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19B" w:rsidRPr="003D448F" w:rsidRDefault="00A73EB9" w:rsidP="00C324CB">
      <w:pPr>
        <w:pStyle w:val="SingleTxtGC"/>
        <w:spacing w:after="360"/>
        <w:ind w:right="0"/>
        <w:jc w:val="right"/>
        <w:rPr>
          <w:b/>
          <w:bCs/>
          <w:sz w:val="20"/>
        </w:rPr>
      </w:pPr>
      <w:hyperlink r:id="rId9" w:history="1">
        <w:r w:rsidR="0014219B" w:rsidRPr="003D448F">
          <w:rPr>
            <w:rStyle w:val="af"/>
            <w:b/>
            <w:bCs/>
            <w:sz w:val="20"/>
          </w:rPr>
          <w:t>A/</w:t>
        </w:r>
        <w:r w:rsidR="00AB4FD9" w:rsidRPr="003D448F">
          <w:rPr>
            <w:rStyle w:val="af"/>
            <w:rFonts w:hint="eastAsia"/>
            <w:b/>
            <w:bCs/>
            <w:sz w:val="20"/>
          </w:rPr>
          <w:t>71/10</w:t>
        </w:r>
      </w:hyperlink>
    </w:p>
    <w:p w:rsidR="00EA034C" w:rsidRPr="00BF42B7" w:rsidRDefault="00315F6C" w:rsidP="00EA034C">
      <w:pPr>
        <w:pStyle w:val="SingleTxtGC"/>
      </w:pPr>
      <w:r w:rsidRPr="00BF42B7">
        <w:rPr>
          <w:noProof/>
          <w:snapToGrid/>
        </w:rPr>
        <w:drawing>
          <wp:anchor distT="0" distB="0" distL="114300" distR="114300" simplePos="0" relativeHeight="251657216" behindDoc="1" locked="0" layoutInCell="1" allowOverlap="0" wp14:anchorId="36600FFD" wp14:editId="1E52328E">
            <wp:simplePos x="0" y="0"/>
            <wp:positionH relativeFrom="column">
              <wp:posOffset>635635</wp:posOffset>
            </wp:positionH>
            <wp:positionV relativeFrom="paragraph">
              <wp:posOffset>50800</wp:posOffset>
            </wp:positionV>
            <wp:extent cx="1191895" cy="1020445"/>
            <wp:effectExtent l="0" t="0" r="8255" b="8255"/>
            <wp:wrapTight wrapText="bothSides">
              <wp:wrapPolygon edited="0">
                <wp:start x="8631" y="0"/>
                <wp:lineTo x="4488" y="806"/>
                <wp:lineTo x="0" y="4436"/>
                <wp:lineTo x="0" y="10484"/>
                <wp:lineTo x="345" y="14113"/>
                <wp:lineTo x="4143" y="19759"/>
                <wp:lineTo x="7250" y="21371"/>
                <wp:lineTo x="13809" y="21371"/>
                <wp:lineTo x="16916" y="19759"/>
                <wp:lineTo x="21059" y="13710"/>
                <wp:lineTo x="21404" y="4436"/>
                <wp:lineTo x="16571" y="806"/>
                <wp:lineTo x="12774" y="0"/>
                <wp:lineTo x="8631" y="0"/>
              </wp:wrapPolygon>
            </wp:wrapTight>
            <wp:docPr id="7" name="图片 7"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un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1895" cy="1020445"/>
                    </a:xfrm>
                    <a:prstGeom prst="rect">
                      <a:avLst/>
                    </a:prstGeom>
                    <a:noFill/>
                  </pic:spPr>
                </pic:pic>
              </a:graphicData>
            </a:graphic>
            <wp14:sizeRelH relativeFrom="page">
              <wp14:pctWidth>0</wp14:pctWidth>
            </wp14:sizeRelH>
            <wp14:sizeRelV relativeFrom="page">
              <wp14:pctHeight>0</wp14:pctHeight>
            </wp14:sizeRelV>
          </wp:anchor>
        </w:drawing>
      </w:r>
    </w:p>
    <w:p w:rsidR="00EA034C" w:rsidRPr="00BF42B7" w:rsidRDefault="00EA034C" w:rsidP="00EA034C">
      <w:pPr>
        <w:pStyle w:val="SingleTxtGC"/>
      </w:pPr>
    </w:p>
    <w:p w:rsidR="00EA034C" w:rsidRPr="00BF42B7" w:rsidRDefault="00EA034C" w:rsidP="00EA034C">
      <w:pPr>
        <w:pStyle w:val="SingleTxtGC"/>
      </w:pPr>
    </w:p>
    <w:p w:rsidR="00444D4E" w:rsidRPr="00BF42B7" w:rsidRDefault="00444D4E" w:rsidP="00EA034C">
      <w:pPr>
        <w:pStyle w:val="SingleTxtGC"/>
      </w:pPr>
    </w:p>
    <w:p w:rsidR="00444D4E" w:rsidRPr="00BF42B7" w:rsidRDefault="007D6CF7" w:rsidP="00884E25">
      <w:pPr>
        <w:pStyle w:val="SMGC"/>
        <w:spacing w:before="0" w:after="1200"/>
      </w:pPr>
      <w:r w:rsidRPr="00BF42B7">
        <w:rPr>
          <w:rFonts w:hint="eastAsia"/>
        </w:rPr>
        <w:t>联</w:t>
      </w:r>
      <w:r w:rsidRPr="00BF42B7">
        <w:rPr>
          <w:rFonts w:hint="eastAsia"/>
        </w:rPr>
        <w:t xml:space="preserve"> </w:t>
      </w:r>
      <w:r w:rsidRPr="00BF42B7">
        <w:rPr>
          <w:rFonts w:hint="eastAsia"/>
        </w:rPr>
        <w:t>合</w:t>
      </w:r>
      <w:r w:rsidRPr="00BF42B7">
        <w:rPr>
          <w:rFonts w:hint="eastAsia"/>
        </w:rPr>
        <w:t xml:space="preserve"> </w:t>
      </w:r>
      <w:r w:rsidRPr="00BF42B7">
        <w:rPr>
          <w:rFonts w:hint="eastAsia"/>
        </w:rPr>
        <w:t>国</w:t>
      </w:r>
    </w:p>
    <w:p w:rsidR="00444D4E" w:rsidRPr="00BF42B7" w:rsidRDefault="0014219B" w:rsidP="00974E4B">
      <w:pPr>
        <w:pStyle w:val="SLGC"/>
        <w:spacing w:after="1200"/>
      </w:pPr>
      <w:r w:rsidRPr="00BF42B7">
        <w:rPr>
          <w:rFonts w:hint="eastAsia"/>
          <w:lang w:val="fr-CH"/>
        </w:rPr>
        <w:t>国际法</w:t>
      </w:r>
      <w:r w:rsidRPr="00BF42B7">
        <w:rPr>
          <w:rFonts w:hint="eastAsia"/>
        </w:rPr>
        <w:t>委员会</w:t>
      </w:r>
      <w:r w:rsidR="00444D4E" w:rsidRPr="00BF42B7">
        <w:rPr>
          <w:rFonts w:hint="eastAsia"/>
        </w:rPr>
        <w:t>报告</w:t>
      </w:r>
    </w:p>
    <w:p w:rsidR="0014219B" w:rsidRPr="00BF42B7" w:rsidRDefault="0014219B" w:rsidP="00AB4FD9">
      <w:pPr>
        <w:pStyle w:val="SMGC"/>
        <w:spacing w:after="0"/>
      </w:pPr>
      <w:r w:rsidRPr="00BF42B7">
        <w:rPr>
          <w:rFonts w:hint="eastAsia"/>
        </w:rPr>
        <w:t>第</w:t>
      </w:r>
      <w:r w:rsidR="00AB4FD9" w:rsidRPr="00BF42B7">
        <w:rPr>
          <w:rFonts w:hint="eastAsia"/>
        </w:rPr>
        <w:t>六十八</w:t>
      </w:r>
      <w:r w:rsidR="00444D4E" w:rsidRPr="00BF42B7">
        <w:rPr>
          <w:rFonts w:hint="eastAsia"/>
        </w:rPr>
        <w:t>届会议</w:t>
      </w:r>
    </w:p>
    <w:p w:rsidR="00444D4E" w:rsidRPr="00BF42B7" w:rsidRDefault="0014219B" w:rsidP="00AB4FD9">
      <w:pPr>
        <w:pStyle w:val="XLargeGC"/>
        <w:spacing w:before="0" w:after="1200"/>
        <w:jc w:val="both"/>
        <w:rPr>
          <w:sz w:val="28"/>
          <w:szCs w:val="28"/>
        </w:rPr>
      </w:pPr>
      <w:r w:rsidRPr="00BF42B7">
        <w:rPr>
          <w:rFonts w:hint="eastAsia"/>
          <w:sz w:val="28"/>
          <w:szCs w:val="28"/>
        </w:rPr>
        <w:t>(</w:t>
      </w:r>
      <w:r w:rsidR="00AB4FD9" w:rsidRPr="00BF42B7">
        <w:rPr>
          <w:rFonts w:hint="eastAsia"/>
          <w:sz w:val="28"/>
          <w:szCs w:val="28"/>
        </w:rPr>
        <w:t>2016</w:t>
      </w:r>
      <w:r w:rsidR="00AB4FD9" w:rsidRPr="00BF42B7">
        <w:rPr>
          <w:rFonts w:hint="eastAsia"/>
          <w:sz w:val="28"/>
          <w:szCs w:val="28"/>
        </w:rPr>
        <w:t>年</w:t>
      </w:r>
      <w:r w:rsidR="00AB4FD9" w:rsidRPr="00BF42B7">
        <w:rPr>
          <w:rFonts w:hint="eastAsia"/>
          <w:sz w:val="28"/>
          <w:szCs w:val="28"/>
        </w:rPr>
        <w:t>5</w:t>
      </w:r>
      <w:r w:rsidR="00AB4FD9" w:rsidRPr="00BF42B7">
        <w:rPr>
          <w:rFonts w:hint="eastAsia"/>
          <w:sz w:val="28"/>
          <w:szCs w:val="28"/>
        </w:rPr>
        <w:t>月</w:t>
      </w:r>
      <w:r w:rsidR="00AB4FD9" w:rsidRPr="00BF42B7">
        <w:rPr>
          <w:rFonts w:hint="eastAsia"/>
          <w:sz w:val="28"/>
          <w:szCs w:val="28"/>
        </w:rPr>
        <w:t>2</w:t>
      </w:r>
      <w:r w:rsidR="00AB4FD9" w:rsidRPr="00BF42B7">
        <w:rPr>
          <w:rFonts w:hint="eastAsia"/>
          <w:sz w:val="28"/>
          <w:szCs w:val="28"/>
        </w:rPr>
        <w:t>日至</w:t>
      </w:r>
      <w:r w:rsidR="00AB4FD9" w:rsidRPr="00BF42B7">
        <w:rPr>
          <w:rFonts w:hint="eastAsia"/>
          <w:sz w:val="28"/>
          <w:szCs w:val="28"/>
        </w:rPr>
        <w:t>6</w:t>
      </w:r>
      <w:r w:rsidR="00AB4FD9" w:rsidRPr="00BF42B7">
        <w:rPr>
          <w:rFonts w:hint="eastAsia"/>
          <w:sz w:val="28"/>
          <w:szCs w:val="28"/>
        </w:rPr>
        <w:t>月</w:t>
      </w:r>
      <w:r w:rsidR="00AB4FD9" w:rsidRPr="00BF42B7">
        <w:rPr>
          <w:rFonts w:hint="eastAsia"/>
          <w:sz w:val="28"/>
          <w:szCs w:val="28"/>
        </w:rPr>
        <w:t>10</w:t>
      </w:r>
      <w:r w:rsidR="00AB4FD9" w:rsidRPr="00BF42B7">
        <w:rPr>
          <w:rFonts w:hint="eastAsia"/>
          <w:sz w:val="28"/>
          <w:szCs w:val="28"/>
        </w:rPr>
        <w:t>日和</w:t>
      </w:r>
      <w:r w:rsidR="00AB4FD9" w:rsidRPr="00BF42B7">
        <w:rPr>
          <w:rFonts w:hint="eastAsia"/>
          <w:sz w:val="28"/>
          <w:szCs w:val="28"/>
        </w:rPr>
        <w:t>7</w:t>
      </w:r>
      <w:r w:rsidR="00AB4FD9" w:rsidRPr="00BF42B7">
        <w:rPr>
          <w:rFonts w:hint="eastAsia"/>
          <w:sz w:val="28"/>
          <w:szCs w:val="28"/>
        </w:rPr>
        <w:t>月</w:t>
      </w:r>
      <w:r w:rsidR="00AB4FD9" w:rsidRPr="00BF42B7">
        <w:rPr>
          <w:rFonts w:hint="eastAsia"/>
          <w:sz w:val="28"/>
          <w:szCs w:val="28"/>
        </w:rPr>
        <w:t>4</w:t>
      </w:r>
      <w:r w:rsidR="00AB4FD9" w:rsidRPr="00BF42B7">
        <w:rPr>
          <w:rFonts w:hint="eastAsia"/>
          <w:sz w:val="28"/>
          <w:szCs w:val="28"/>
        </w:rPr>
        <w:t>日至</w:t>
      </w:r>
      <w:r w:rsidR="00AB4FD9" w:rsidRPr="00BF42B7">
        <w:rPr>
          <w:rFonts w:hint="eastAsia"/>
          <w:sz w:val="28"/>
          <w:szCs w:val="28"/>
        </w:rPr>
        <w:t>8</w:t>
      </w:r>
      <w:r w:rsidR="00AB4FD9" w:rsidRPr="00BF42B7">
        <w:rPr>
          <w:rFonts w:hint="eastAsia"/>
          <w:sz w:val="28"/>
          <w:szCs w:val="28"/>
        </w:rPr>
        <w:t>月</w:t>
      </w:r>
      <w:r w:rsidR="00AB4FD9" w:rsidRPr="00BF42B7">
        <w:rPr>
          <w:rFonts w:hint="eastAsia"/>
          <w:sz w:val="28"/>
          <w:szCs w:val="28"/>
        </w:rPr>
        <w:t>12</w:t>
      </w:r>
      <w:r w:rsidR="00AB4FD9" w:rsidRPr="00BF42B7">
        <w:rPr>
          <w:rFonts w:hint="eastAsia"/>
          <w:sz w:val="28"/>
          <w:szCs w:val="28"/>
        </w:rPr>
        <w:t>日</w:t>
      </w:r>
      <w:r w:rsidR="00444D4E" w:rsidRPr="00BF42B7">
        <w:rPr>
          <w:rFonts w:hint="eastAsia"/>
          <w:sz w:val="28"/>
          <w:szCs w:val="28"/>
        </w:rPr>
        <w:t>)</w:t>
      </w:r>
    </w:p>
    <w:p w:rsidR="00444D4E" w:rsidRPr="00BF42B7" w:rsidRDefault="00444D4E" w:rsidP="00EC111A">
      <w:pPr>
        <w:pStyle w:val="SMGC"/>
        <w:spacing w:after="0"/>
      </w:pPr>
      <w:r w:rsidRPr="00BF42B7">
        <w:rPr>
          <w:rFonts w:hint="eastAsia"/>
        </w:rPr>
        <w:t>大</w:t>
      </w:r>
      <w:r w:rsidR="00477F93" w:rsidRPr="00BF42B7">
        <w:rPr>
          <w:rFonts w:hint="eastAsia"/>
        </w:rPr>
        <w:t xml:space="preserve">  </w:t>
      </w:r>
      <w:r w:rsidRPr="00BF42B7">
        <w:rPr>
          <w:rFonts w:hint="eastAsia"/>
        </w:rPr>
        <w:t>会</w:t>
      </w:r>
    </w:p>
    <w:p w:rsidR="00444D4E" w:rsidRPr="00BF42B7" w:rsidRDefault="00AB75D8" w:rsidP="00AB4FD9">
      <w:pPr>
        <w:pStyle w:val="HChGC"/>
        <w:spacing w:before="0"/>
      </w:pPr>
      <w:r w:rsidRPr="00BF42B7">
        <w:rPr>
          <w:rFonts w:hint="eastAsia"/>
        </w:rPr>
        <w:tab/>
      </w:r>
      <w:r w:rsidRPr="00BF42B7">
        <w:rPr>
          <w:rFonts w:hint="eastAsia"/>
        </w:rPr>
        <w:tab/>
      </w:r>
      <w:r w:rsidR="00444D4E" w:rsidRPr="00BF42B7">
        <w:rPr>
          <w:rFonts w:hint="eastAsia"/>
        </w:rPr>
        <w:t>正式记录</w:t>
      </w:r>
      <w:r w:rsidRPr="00BF42B7">
        <w:br/>
      </w:r>
      <w:r w:rsidR="0014219B" w:rsidRPr="00BF42B7">
        <w:rPr>
          <w:rFonts w:hint="eastAsia"/>
        </w:rPr>
        <w:t>第</w:t>
      </w:r>
      <w:r w:rsidR="00AB4FD9" w:rsidRPr="00BF42B7">
        <w:rPr>
          <w:rFonts w:hint="eastAsia"/>
        </w:rPr>
        <w:t>七十一</w:t>
      </w:r>
      <w:r w:rsidR="00444D4E" w:rsidRPr="00BF42B7">
        <w:rPr>
          <w:rFonts w:hint="eastAsia"/>
        </w:rPr>
        <w:t>届会议</w:t>
      </w:r>
      <w:r w:rsidR="00273C6C" w:rsidRPr="00BF42B7">
        <w:br/>
      </w:r>
      <w:r w:rsidR="00444D4E" w:rsidRPr="00BF42B7">
        <w:rPr>
          <w:rFonts w:hint="eastAsia"/>
        </w:rPr>
        <w:t>补编第</w:t>
      </w:r>
      <w:r w:rsidR="00AB4FD9" w:rsidRPr="00BF42B7">
        <w:rPr>
          <w:rFonts w:hint="eastAsia"/>
        </w:rPr>
        <w:t>10</w:t>
      </w:r>
      <w:r w:rsidR="00444D4E" w:rsidRPr="00BF42B7">
        <w:rPr>
          <w:rFonts w:hint="eastAsia"/>
        </w:rPr>
        <w:t>号</w:t>
      </w:r>
      <w:r w:rsidR="00444D4E" w:rsidRPr="00BF42B7">
        <w:rPr>
          <w:rFonts w:hint="eastAsia"/>
        </w:rPr>
        <w:t>(</w:t>
      </w:r>
      <w:hyperlink r:id="rId11" w:history="1">
        <w:r w:rsidR="00AB4FD9" w:rsidRPr="007F0135">
          <w:rPr>
            <w:rStyle w:val="af"/>
          </w:rPr>
          <w:t>A/71/10</w:t>
        </w:r>
      </w:hyperlink>
      <w:r w:rsidR="00444D4E" w:rsidRPr="00BF42B7">
        <w:rPr>
          <w:rFonts w:hint="eastAsia"/>
        </w:rPr>
        <w:t>)</w:t>
      </w:r>
    </w:p>
    <w:p w:rsidR="001F5B2F" w:rsidRPr="00BF42B7" w:rsidRDefault="001F5B2F" w:rsidP="00444D4E">
      <w:pPr>
        <w:pStyle w:val="SingleTxtGC"/>
        <w:sectPr w:rsidR="001F5B2F" w:rsidRPr="00BF42B7" w:rsidSect="0014219B">
          <w:headerReference w:type="default" r:id="rId12"/>
          <w:footerReference w:type="default" r:id="rId13"/>
          <w:endnotePr>
            <w:numFmt w:val="decimal"/>
          </w:endnotePr>
          <w:pgSz w:w="11906" w:h="16838" w:code="9"/>
          <w:pgMar w:top="1701" w:right="1134" w:bottom="2268" w:left="1134" w:header="1134" w:footer="1701" w:gutter="0"/>
          <w:cols w:space="425"/>
          <w:docGrid w:type="lines" w:linePitch="326"/>
        </w:sectPr>
      </w:pPr>
    </w:p>
    <w:p w:rsidR="00311D38" w:rsidRPr="00BF42B7" w:rsidRDefault="00311D38" w:rsidP="00974E4B">
      <w:pPr>
        <w:tabs>
          <w:tab w:val="clear" w:pos="431"/>
          <w:tab w:val="left" w:pos="510"/>
        </w:tabs>
        <w:spacing w:before="1560" w:line="240" w:lineRule="auto"/>
        <w:rPr>
          <w:rFonts w:eastAsia="黑体" w:hAnsi="Time New Roman" w:hint="eastAsia"/>
          <w:spacing w:val="10"/>
          <w:sz w:val="28"/>
          <w:szCs w:val="28"/>
        </w:rPr>
      </w:pPr>
      <w:r w:rsidRPr="00BF42B7">
        <w:rPr>
          <w:rFonts w:eastAsia="黑体" w:hAnsi="Time New Roman" w:hint="eastAsia"/>
          <w:spacing w:val="10"/>
          <w:sz w:val="28"/>
          <w:szCs w:val="28"/>
        </w:rPr>
        <w:lastRenderedPageBreak/>
        <w:t>大</w:t>
      </w:r>
      <w:r w:rsidRPr="00BF42B7">
        <w:rPr>
          <w:rFonts w:eastAsia="黑体" w:hAnsi="Time New Roman"/>
          <w:spacing w:val="10"/>
          <w:sz w:val="28"/>
          <w:szCs w:val="28"/>
        </w:rPr>
        <w:t xml:space="preserve">  </w:t>
      </w:r>
      <w:r w:rsidRPr="00BF42B7">
        <w:rPr>
          <w:rFonts w:eastAsia="黑体" w:hAnsi="Time New Roman" w:hint="eastAsia"/>
          <w:spacing w:val="10"/>
          <w:sz w:val="28"/>
          <w:szCs w:val="28"/>
        </w:rPr>
        <w:t>会</w:t>
      </w:r>
    </w:p>
    <w:p w:rsidR="00311D38" w:rsidRPr="00BF42B7" w:rsidRDefault="00311D38" w:rsidP="00884E25">
      <w:pPr>
        <w:tabs>
          <w:tab w:val="clear" w:pos="431"/>
          <w:tab w:val="left" w:pos="510"/>
        </w:tabs>
        <w:spacing w:line="240" w:lineRule="auto"/>
        <w:rPr>
          <w:spacing w:val="10"/>
          <w:sz w:val="24"/>
          <w:szCs w:val="24"/>
        </w:rPr>
      </w:pPr>
      <w:r w:rsidRPr="00BF42B7">
        <w:rPr>
          <w:rFonts w:hint="eastAsia"/>
          <w:spacing w:val="10"/>
          <w:sz w:val="24"/>
          <w:szCs w:val="24"/>
        </w:rPr>
        <w:t>正式记录</w:t>
      </w:r>
    </w:p>
    <w:p w:rsidR="00311D38" w:rsidRPr="00BF42B7" w:rsidRDefault="00311D38" w:rsidP="00AB4FD9">
      <w:pPr>
        <w:tabs>
          <w:tab w:val="clear" w:pos="431"/>
          <w:tab w:val="left" w:pos="510"/>
        </w:tabs>
        <w:spacing w:line="240" w:lineRule="auto"/>
        <w:rPr>
          <w:spacing w:val="10"/>
          <w:sz w:val="24"/>
          <w:szCs w:val="24"/>
        </w:rPr>
      </w:pPr>
      <w:r w:rsidRPr="00BF42B7">
        <w:rPr>
          <w:rFonts w:hint="eastAsia"/>
          <w:spacing w:val="10"/>
          <w:sz w:val="24"/>
          <w:szCs w:val="24"/>
        </w:rPr>
        <w:t>第</w:t>
      </w:r>
      <w:r w:rsidR="00AB4FD9" w:rsidRPr="00BF42B7">
        <w:rPr>
          <w:rFonts w:hint="eastAsia"/>
          <w:spacing w:val="10"/>
          <w:sz w:val="24"/>
          <w:szCs w:val="24"/>
        </w:rPr>
        <w:t>七十一</w:t>
      </w:r>
      <w:r w:rsidRPr="00BF42B7">
        <w:rPr>
          <w:rFonts w:hint="eastAsia"/>
          <w:spacing w:val="10"/>
          <w:sz w:val="24"/>
          <w:szCs w:val="24"/>
        </w:rPr>
        <w:t>届会议</w:t>
      </w:r>
    </w:p>
    <w:p w:rsidR="00311D38" w:rsidRPr="00BF42B7" w:rsidRDefault="00311D38" w:rsidP="00AB4FD9">
      <w:pPr>
        <w:tabs>
          <w:tab w:val="clear" w:pos="431"/>
          <w:tab w:val="left" w:pos="510"/>
        </w:tabs>
        <w:spacing w:after="1200" w:line="240" w:lineRule="auto"/>
        <w:rPr>
          <w:spacing w:val="10"/>
          <w:sz w:val="24"/>
          <w:szCs w:val="24"/>
        </w:rPr>
      </w:pPr>
      <w:r w:rsidRPr="00BF42B7">
        <w:rPr>
          <w:rFonts w:hint="eastAsia"/>
          <w:spacing w:val="10"/>
          <w:sz w:val="24"/>
          <w:szCs w:val="24"/>
        </w:rPr>
        <w:t>补编第</w:t>
      </w:r>
      <w:r w:rsidR="00AB4FD9" w:rsidRPr="00BF42B7">
        <w:rPr>
          <w:rFonts w:hint="eastAsia"/>
          <w:spacing w:val="10"/>
          <w:sz w:val="24"/>
          <w:szCs w:val="24"/>
        </w:rPr>
        <w:t>10</w:t>
      </w:r>
      <w:r w:rsidRPr="00BF42B7">
        <w:rPr>
          <w:rFonts w:hint="eastAsia"/>
          <w:spacing w:val="10"/>
          <w:sz w:val="24"/>
          <w:szCs w:val="24"/>
        </w:rPr>
        <w:t>号</w:t>
      </w:r>
      <w:r w:rsidRPr="00BF42B7">
        <w:rPr>
          <w:spacing w:val="10"/>
          <w:sz w:val="24"/>
          <w:szCs w:val="24"/>
        </w:rPr>
        <w:t>(</w:t>
      </w:r>
      <w:hyperlink r:id="rId14" w:history="1">
        <w:r w:rsidR="00AB4FD9" w:rsidRPr="007F0135">
          <w:rPr>
            <w:rStyle w:val="af"/>
            <w:spacing w:val="10"/>
            <w:sz w:val="24"/>
            <w:szCs w:val="24"/>
          </w:rPr>
          <w:t>A/71/10</w:t>
        </w:r>
      </w:hyperlink>
      <w:r w:rsidRPr="00BF42B7">
        <w:rPr>
          <w:spacing w:val="10"/>
          <w:sz w:val="24"/>
          <w:szCs w:val="24"/>
        </w:rPr>
        <w:t>)</w:t>
      </w:r>
    </w:p>
    <w:p w:rsidR="00444D4E" w:rsidRPr="00BF42B7" w:rsidRDefault="00311D38" w:rsidP="00A65023">
      <w:pPr>
        <w:pStyle w:val="SMGC"/>
      </w:pPr>
      <w:r w:rsidRPr="00BF42B7">
        <w:rPr>
          <w:rFonts w:hint="eastAsia"/>
        </w:rPr>
        <w:t>国际法</w:t>
      </w:r>
      <w:r w:rsidR="00444D4E" w:rsidRPr="00BF42B7">
        <w:rPr>
          <w:rFonts w:hint="eastAsia"/>
        </w:rPr>
        <w:t>委员会的报告</w:t>
      </w:r>
    </w:p>
    <w:p w:rsidR="00311D38" w:rsidRPr="00BF42B7" w:rsidRDefault="00311D38" w:rsidP="00103498">
      <w:pPr>
        <w:pStyle w:val="HMGC"/>
        <w:spacing w:before="1200" w:after="0"/>
        <w:rPr>
          <w:sz w:val="28"/>
          <w:szCs w:val="28"/>
        </w:rPr>
      </w:pPr>
      <w:r w:rsidRPr="00BF42B7">
        <w:rPr>
          <w:rFonts w:hint="eastAsia"/>
          <w:sz w:val="28"/>
          <w:szCs w:val="28"/>
        </w:rPr>
        <w:tab/>
      </w:r>
      <w:r w:rsidRPr="00BF42B7">
        <w:rPr>
          <w:rFonts w:hint="eastAsia"/>
          <w:sz w:val="28"/>
          <w:szCs w:val="28"/>
        </w:rPr>
        <w:tab/>
      </w:r>
      <w:r w:rsidRPr="00BF42B7">
        <w:rPr>
          <w:rFonts w:hint="eastAsia"/>
          <w:sz w:val="28"/>
          <w:szCs w:val="28"/>
        </w:rPr>
        <w:t>第</w:t>
      </w:r>
      <w:r w:rsidR="00103498" w:rsidRPr="00BF42B7">
        <w:rPr>
          <w:rFonts w:hint="eastAsia"/>
          <w:sz w:val="28"/>
          <w:szCs w:val="28"/>
        </w:rPr>
        <w:t>六十八</w:t>
      </w:r>
      <w:r w:rsidRPr="00BF42B7">
        <w:rPr>
          <w:rFonts w:hint="eastAsia"/>
          <w:sz w:val="28"/>
          <w:szCs w:val="28"/>
        </w:rPr>
        <w:t>届会议</w:t>
      </w:r>
    </w:p>
    <w:p w:rsidR="00A65023" w:rsidRPr="00BF42B7" w:rsidRDefault="00311D38" w:rsidP="00F45A9D">
      <w:pPr>
        <w:pStyle w:val="SingleTxtGC"/>
        <w:spacing w:after="5520"/>
        <w:rPr>
          <w:rFonts w:eastAsia="黑体"/>
          <w:sz w:val="28"/>
          <w:szCs w:val="28"/>
        </w:rPr>
      </w:pPr>
      <w:r w:rsidRPr="00BF42B7">
        <w:rPr>
          <w:rFonts w:eastAsia="黑体" w:hint="eastAsia"/>
          <w:sz w:val="28"/>
          <w:szCs w:val="28"/>
        </w:rPr>
        <w:t>(</w:t>
      </w:r>
      <w:r w:rsidR="00103498" w:rsidRPr="00BF42B7">
        <w:rPr>
          <w:rFonts w:eastAsia="黑体" w:hint="eastAsia"/>
          <w:sz w:val="28"/>
          <w:szCs w:val="28"/>
        </w:rPr>
        <w:t>2016</w:t>
      </w:r>
      <w:r w:rsidR="00103498" w:rsidRPr="00BF42B7">
        <w:rPr>
          <w:rFonts w:eastAsia="黑体" w:hint="eastAsia"/>
          <w:sz w:val="28"/>
          <w:szCs w:val="28"/>
        </w:rPr>
        <w:t>年</w:t>
      </w:r>
      <w:r w:rsidR="00103498" w:rsidRPr="00BF42B7">
        <w:rPr>
          <w:rFonts w:eastAsia="黑体" w:hint="eastAsia"/>
          <w:sz w:val="28"/>
          <w:szCs w:val="28"/>
        </w:rPr>
        <w:t>5</w:t>
      </w:r>
      <w:r w:rsidR="00103498" w:rsidRPr="00BF42B7">
        <w:rPr>
          <w:rFonts w:eastAsia="黑体" w:hint="eastAsia"/>
          <w:sz w:val="28"/>
          <w:szCs w:val="28"/>
        </w:rPr>
        <w:t>月</w:t>
      </w:r>
      <w:r w:rsidR="00103498" w:rsidRPr="00BF42B7">
        <w:rPr>
          <w:rFonts w:eastAsia="黑体" w:hint="eastAsia"/>
          <w:sz w:val="28"/>
          <w:szCs w:val="28"/>
        </w:rPr>
        <w:t>2</w:t>
      </w:r>
      <w:r w:rsidR="00103498" w:rsidRPr="00BF42B7">
        <w:rPr>
          <w:rFonts w:eastAsia="黑体" w:hint="eastAsia"/>
          <w:sz w:val="28"/>
          <w:szCs w:val="28"/>
        </w:rPr>
        <w:t>日至</w:t>
      </w:r>
      <w:r w:rsidR="00103498" w:rsidRPr="00BF42B7">
        <w:rPr>
          <w:rFonts w:eastAsia="黑体" w:hint="eastAsia"/>
          <w:sz w:val="28"/>
          <w:szCs w:val="28"/>
        </w:rPr>
        <w:t>6</w:t>
      </w:r>
      <w:r w:rsidR="00103498" w:rsidRPr="00BF42B7">
        <w:rPr>
          <w:rFonts w:eastAsia="黑体" w:hint="eastAsia"/>
          <w:sz w:val="28"/>
          <w:szCs w:val="28"/>
        </w:rPr>
        <w:t>月</w:t>
      </w:r>
      <w:r w:rsidR="00103498" w:rsidRPr="00BF42B7">
        <w:rPr>
          <w:rFonts w:eastAsia="黑体" w:hint="eastAsia"/>
          <w:sz w:val="28"/>
          <w:szCs w:val="28"/>
        </w:rPr>
        <w:t>10</w:t>
      </w:r>
      <w:r w:rsidR="00103498" w:rsidRPr="00BF42B7">
        <w:rPr>
          <w:rFonts w:eastAsia="黑体" w:hint="eastAsia"/>
          <w:sz w:val="28"/>
          <w:szCs w:val="28"/>
        </w:rPr>
        <w:t>日和</w:t>
      </w:r>
      <w:r w:rsidR="00103498" w:rsidRPr="00BF42B7">
        <w:rPr>
          <w:rFonts w:eastAsia="黑体" w:hint="eastAsia"/>
          <w:sz w:val="28"/>
          <w:szCs w:val="28"/>
        </w:rPr>
        <w:t>7</w:t>
      </w:r>
      <w:r w:rsidR="00103498" w:rsidRPr="00BF42B7">
        <w:rPr>
          <w:rFonts w:eastAsia="黑体" w:hint="eastAsia"/>
          <w:sz w:val="28"/>
          <w:szCs w:val="28"/>
        </w:rPr>
        <w:t>月</w:t>
      </w:r>
      <w:r w:rsidR="00103498" w:rsidRPr="00BF42B7">
        <w:rPr>
          <w:rFonts w:eastAsia="黑体" w:hint="eastAsia"/>
          <w:sz w:val="28"/>
          <w:szCs w:val="28"/>
        </w:rPr>
        <w:t>4</w:t>
      </w:r>
      <w:r w:rsidR="00103498" w:rsidRPr="00BF42B7">
        <w:rPr>
          <w:rFonts w:eastAsia="黑体" w:hint="eastAsia"/>
          <w:sz w:val="28"/>
          <w:szCs w:val="28"/>
        </w:rPr>
        <w:t>日至</w:t>
      </w:r>
      <w:r w:rsidR="00103498" w:rsidRPr="00BF42B7">
        <w:rPr>
          <w:rFonts w:eastAsia="黑体" w:hint="eastAsia"/>
          <w:sz w:val="28"/>
          <w:szCs w:val="28"/>
        </w:rPr>
        <w:t>8</w:t>
      </w:r>
      <w:r w:rsidR="00103498" w:rsidRPr="00BF42B7">
        <w:rPr>
          <w:rFonts w:eastAsia="黑体" w:hint="eastAsia"/>
          <w:sz w:val="28"/>
          <w:szCs w:val="28"/>
        </w:rPr>
        <w:t>月</w:t>
      </w:r>
      <w:r w:rsidR="00103498" w:rsidRPr="00BF42B7">
        <w:rPr>
          <w:rFonts w:eastAsia="黑体" w:hint="eastAsia"/>
          <w:sz w:val="28"/>
          <w:szCs w:val="28"/>
        </w:rPr>
        <w:t>12</w:t>
      </w:r>
      <w:r w:rsidR="00103498" w:rsidRPr="00BF42B7">
        <w:rPr>
          <w:rFonts w:eastAsia="黑体" w:hint="eastAsia"/>
          <w:sz w:val="28"/>
          <w:szCs w:val="28"/>
        </w:rPr>
        <w:t>日</w:t>
      </w:r>
      <w:r w:rsidRPr="00BF42B7">
        <w:rPr>
          <w:rFonts w:eastAsia="黑体" w:hint="eastAsia"/>
          <w:sz w:val="28"/>
          <w:szCs w:val="28"/>
        </w:rPr>
        <w:t>)</w:t>
      </w:r>
    </w:p>
    <w:p w:rsidR="00974E4B" w:rsidRPr="00BF42B7" w:rsidRDefault="00315F6C" w:rsidP="00974E4B">
      <w:pPr>
        <w:pStyle w:val="SSGC"/>
        <w:spacing w:before="0" w:after="0"/>
      </w:pPr>
      <w:r w:rsidRPr="00BF42B7">
        <w:rPr>
          <w:noProof/>
          <w:snapToGrid/>
        </w:rPr>
        <w:drawing>
          <wp:anchor distT="0" distB="0" distL="114300" distR="114300" simplePos="0" relativeHeight="251658240" behindDoc="0" locked="1" layoutInCell="1" allowOverlap="0" wp14:anchorId="526A3CAA" wp14:editId="50A61FBF">
            <wp:simplePos x="0" y="0"/>
            <wp:positionH relativeFrom="column">
              <wp:posOffset>735965</wp:posOffset>
            </wp:positionH>
            <wp:positionV relativeFrom="paragraph">
              <wp:posOffset>-344805</wp:posOffset>
            </wp:positionV>
            <wp:extent cx="536575" cy="498475"/>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l="-125" t="-133" r="-125" b="-133"/>
                    <a:stretch>
                      <a:fillRect/>
                    </a:stretch>
                  </pic:blipFill>
                  <pic:spPr bwMode="auto">
                    <a:xfrm>
                      <a:off x="0" y="0"/>
                      <a:ext cx="536575" cy="498475"/>
                    </a:xfrm>
                    <a:prstGeom prst="rect">
                      <a:avLst/>
                    </a:prstGeom>
                    <a:noFill/>
                  </pic:spPr>
                </pic:pic>
              </a:graphicData>
            </a:graphic>
            <wp14:sizeRelH relativeFrom="page">
              <wp14:pctWidth>0</wp14:pctWidth>
            </wp14:sizeRelH>
            <wp14:sizeRelV relativeFrom="page">
              <wp14:pctHeight>0</wp14:pctHeight>
            </wp14:sizeRelV>
          </wp:anchor>
        </w:drawing>
      </w:r>
    </w:p>
    <w:p w:rsidR="00444D4E" w:rsidRPr="00BF42B7" w:rsidRDefault="00AA1BBC" w:rsidP="00974E4B">
      <w:pPr>
        <w:pStyle w:val="SSGC"/>
        <w:spacing w:before="0" w:after="0"/>
      </w:pPr>
      <w:r w:rsidRPr="00BF42B7">
        <w:rPr>
          <w:rFonts w:hint="eastAsia"/>
        </w:rPr>
        <w:t>联合国</w:t>
      </w:r>
      <w:r w:rsidR="00AA35AB" w:rsidRPr="00BF42B7">
        <w:rPr>
          <w:rFonts w:hint="eastAsia"/>
        </w:rPr>
        <w:t>·</w:t>
      </w:r>
      <w:r w:rsidR="006B3670" w:rsidRPr="00BF42B7">
        <w:rPr>
          <w:rFonts w:hint="eastAsia"/>
        </w:rPr>
        <w:t>纽约</w:t>
      </w:r>
      <w:r w:rsidRPr="00BF42B7">
        <w:rPr>
          <w:rFonts w:hint="eastAsia"/>
        </w:rPr>
        <w:t>，</w:t>
      </w:r>
      <w:r w:rsidR="00103498" w:rsidRPr="00BF42B7">
        <w:rPr>
          <w:rFonts w:hint="eastAsia"/>
        </w:rPr>
        <w:t>2016</w:t>
      </w:r>
    </w:p>
    <w:p w:rsidR="001F5B2F" w:rsidRPr="00BF42B7" w:rsidRDefault="001F5B2F" w:rsidP="007A55F4">
      <w:pPr>
        <w:pStyle w:val="SingleTxtGC"/>
        <w:ind w:left="0"/>
        <w:sectPr w:rsidR="001F5B2F" w:rsidRPr="00BF42B7" w:rsidSect="001F5B2F">
          <w:headerReference w:type="default" r:id="rId16"/>
          <w:footerReference w:type="default" r:id="rId17"/>
          <w:endnotePr>
            <w:numFmt w:val="decimal"/>
          </w:endnotePr>
          <w:type w:val="oddPage"/>
          <w:pgSz w:w="11906" w:h="16838" w:code="9"/>
          <w:pgMar w:top="1701" w:right="1134" w:bottom="2268" w:left="1134" w:header="1134" w:footer="1701" w:gutter="0"/>
          <w:cols w:space="425"/>
          <w:docGrid w:type="lines" w:linePitch="326"/>
        </w:sectPr>
      </w:pPr>
    </w:p>
    <w:p w:rsidR="00231E44" w:rsidRPr="00BF42B7" w:rsidRDefault="00231E44" w:rsidP="00FA073B">
      <w:pPr>
        <w:pStyle w:val="SingleTxtGC"/>
        <w:spacing w:before="4200"/>
        <w:rPr>
          <w:rFonts w:ascii="Time New Roman" w:eastAsia="楷体" w:hAnsi="Time New Roman" w:hint="eastAsia"/>
        </w:rPr>
      </w:pPr>
      <w:bookmarkStart w:id="0" w:name="_Toc241458860"/>
      <w:bookmarkStart w:id="1" w:name="_Toc241485864"/>
      <w:r w:rsidRPr="00BF42B7">
        <w:rPr>
          <w:rFonts w:ascii="Time New Roman" w:eastAsia="楷体" w:hAnsi="Time New Roman" w:hint="eastAsia"/>
        </w:rPr>
        <w:lastRenderedPageBreak/>
        <w:t>说明</w:t>
      </w:r>
      <w:bookmarkEnd w:id="0"/>
      <w:bookmarkEnd w:id="1"/>
    </w:p>
    <w:p w:rsidR="00231E44" w:rsidRPr="00BF42B7" w:rsidRDefault="00FA073B" w:rsidP="00103498">
      <w:pPr>
        <w:pStyle w:val="SingleTxtGC"/>
        <w:rPr>
          <w:rFonts w:ascii="Time New Roman" w:eastAsia="楷体" w:hAnsi="Time New Roman" w:hint="eastAsia"/>
          <w:snapToGrid/>
        </w:rPr>
      </w:pPr>
      <w:r w:rsidRPr="00BF42B7">
        <w:rPr>
          <w:rFonts w:ascii="Time New Roman" w:eastAsia="楷体" w:hAnsi="Time New Roman" w:hint="eastAsia"/>
          <w:snapToGrid/>
        </w:rPr>
        <w:tab/>
      </w:r>
      <w:r w:rsidR="00103498" w:rsidRPr="00BF42B7">
        <w:rPr>
          <w:rFonts w:ascii="Time New Roman" w:eastAsia="楷体" w:hAnsi="Time New Roman" w:hint="eastAsia"/>
          <w:snapToGrid/>
        </w:rPr>
        <w:t>联合国文件都用大写英文字母附加数字编号。凡是提到这种编号，就是指联合国的某一个文件。</w:t>
      </w:r>
    </w:p>
    <w:p w:rsidR="00231E44" w:rsidRPr="00BF42B7" w:rsidRDefault="00FA073B" w:rsidP="00103498">
      <w:pPr>
        <w:pStyle w:val="SingleTxtGC"/>
        <w:rPr>
          <w:rFonts w:ascii="Time New Roman" w:eastAsia="楷体" w:hAnsi="Time New Roman" w:hint="eastAsia"/>
          <w:snapToGrid/>
        </w:rPr>
      </w:pPr>
      <w:r w:rsidRPr="00BF42B7">
        <w:rPr>
          <w:rFonts w:ascii="Time New Roman" w:eastAsia="楷体" w:hAnsi="Time New Roman" w:hint="eastAsia"/>
          <w:snapToGrid/>
        </w:rPr>
        <w:tab/>
      </w:r>
      <w:r w:rsidR="00103498" w:rsidRPr="00BF42B7">
        <w:rPr>
          <w:rFonts w:ascii="Time New Roman" w:eastAsia="楷体" w:hAnsi="Time New Roman" w:hint="eastAsia"/>
          <w:snapToGrid/>
        </w:rPr>
        <w:t>前有年份和省略号的“年鉴”</w:t>
      </w:r>
      <w:r w:rsidR="00103498" w:rsidRPr="00BF42B7">
        <w:rPr>
          <w:rFonts w:ascii="Time New Roman" w:eastAsia="楷体" w:hAnsi="Time New Roman" w:hint="eastAsia"/>
          <w:snapToGrid/>
        </w:rPr>
        <w:t>(</w:t>
      </w:r>
      <w:r w:rsidR="00103498" w:rsidRPr="00BF42B7">
        <w:rPr>
          <w:rFonts w:ascii="Time New Roman" w:eastAsia="楷体" w:hAnsi="Time New Roman" w:hint="eastAsia"/>
          <w:snapToGrid/>
        </w:rPr>
        <w:t>如《</w:t>
      </w:r>
      <w:r w:rsidR="00103498" w:rsidRPr="00BF42B7">
        <w:rPr>
          <w:rFonts w:ascii="Time New Roman" w:eastAsia="楷体" w:hAnsi="Time New Roman" w:hint="eastAsia"/>
          <w:snapToGrid/>
        </w:rPr>
        <w:t>1971</w:t>
      </w:r>
      <w:r w:rsidR="00103498" w:rsidRPr="00BF42B7">
        <w:rPr>
          <w:rFonts w:ascii="Time New Roman" w:eastAsia="楷体" w:hAnsi="Time New Roman" w:hint="eastAsia"/>
          <w:snapToGrid/>
        </w:rPr>
        <w:t>年……年鉴》</w:t>
      </w:r>
      <w:r w:rsidR="00103498" w:rsidRPr="00BF42B7">
        <w:rPr>
          <w:rFonts w:ascii="Time New Roman" w:eastAsia="楷体" w:hAnsi="Time New Roman" w:hint="eastAsia"/>
          <w:snapToGrid/>
        </w:rPr>
        <w:t>)</w:t>
      </w:r>
      <w:r w:rsidR="00103498" w:rsidRPr="00BF42B7">
        <w:rPr>
          <w:rFonts w:ascii="Time New Roman" w:eastAsia="楷体" w:hAnsi="Time New Roman" w:hint="eastAsia"/>
          <w:snapToGrid/>
        </w:rPr>
        <w:t>是指《国际法委员会年鉴》。</w:t>
      </w:r>
    </w:p>
    <w:p w:rsidR="00231E44" w:rsidRDefault="00FA073B" w:rsidP="00103498">
      <w:pPr>
        <w:pStyle w:val="SingleTxtGC"/>
        <w:rPr>
          <w:rFonts w:ascii="Time New Roman" w:eastAsia="楷体" w:hAnsi="Time New Roman" w:hint="eastAsia"/>
          <w:snapToGrid/>
        </w:rPr>
      </w:pPr>
      <w:r w:rsidRPr="00BF42B7">
        <w:rPr>
          <w:rFonts w:ascii="Time New Roman" w:eastAsia="楷体" w:hAnsi="Time New Roman" w:hint="eastAsia"/>
          <w:snapToGrid/>
        </w:rPr>
        <w:tab/>
      </w:r>
      <w:r w:rsidR="00103498" w:rsidRPr="00BF42B7">
        <w:rPr>
          <w:rFonts w:ascii="Time New Roman" w:eastAsia="楷体" w:hAnsi="Time New Roman" w:hint="eastAsia"/>
          <w:snapToGrid/>
        </w:rPr>
        <w:t>委员会报告的排版本将载入《</w:t>
      </w:r>
      <w:r w:rsidR="00103498" w:rsidRPr="00BF42B7">
        <w:rPr>
          <w:rFonts w:ascii="Time New Roman" w:eastAsia="楷体" w:hAnsi="Time New Roman" w:hint="eastAsia"/>
          <w:snapToGrid/>
        </w:rPr>
        <w:t>2016</w:t>
      </w:r>
      <w:r w:rsidR="00103498" w:rsidRPr="00BF42B7">
        <w:rPr>
          <w:rFonts w:ascii="Time New Roman" w:eastAsia="楷体" w:hAnsi="Time New Roman" w:hint="eastAsia"/>
          <w:snapToGrid/>
        </w:rPr>
        <w:t>年国际法委员会年鉴》第二卷第二部分。</w:t>
      </w:r>
    </w:p>
    <w:p w:rsidR="00F45A9D" w:rsidRPr="00BF42B7" w:rsidRDefault="00F45A9D" w:rsidP="00F45A9D">
      <w:pPr>
        <w:pStyle w:val="SingleTxtGC"/>
        <w:spacing w:before="4080"/>
        <w:rPr>
          <w:rFonts w:ascii="Time New Roman" w:eastAsia="楷体" w:hAnsi="Time New Roman" w:hint="eastAsia"/>
          <w:spacing w:val="10"/>
        </w:rPr>
      </w:pPr>
      <w:r>
        <w:rPr>
          <w:rFonts w:ascii="Time New Roman" w:eastAsia="楷体" w:hAnsi="Time New Roman" w:hint="eastAsia"/>
          <w:snapToGrid/>
        </w:rPr>
        <w:t>ISSN 0251-8562</w:t>
      </w:r>
    </w:p>
    <w:p w:rsidR="006317C5" w:rsidRPr="00BF42B7" w:rsidRDefault="006317C5" w:rsidP="00444D4E">
      <w:pPr>
        <w:pStyle w:val="SingleTxtGC"/>
      </w:pPr>
    </w:p>
    <w:p w:rsidR="00C1504E" w:rsidRPr="00BF42B7" w:rsidRDefault="00C1504E" w:rsidP="00444D4E">
      <w:pPr>
        <w:pStyle w:val="SingleTxtGC"/>
        <w:sectPr w:rsidR="00C1504E" w:rsidRPr="00BF42B7" w:rsidSect="001F5B2F">
          <w:headerReference w:type="even" r:id="rId18"/>
          <w:headerReference w:type="default" r:id="rId19"/>
          <w:footerReference w:type="even" r:id="rId20"/>
          <w:endnotePr>
            <w:numFmt w:val="decimal"/>
          </w:endnotePr>
          <w:pgSz w:w="11906" w:h="16838" w:code="9"/>
          <w:pgMar w:top="1701" w:right="1134" w:bottom="2268" w:left="1134" w:header="1134" w:footer="1701" w:gutter="0"/>
          <w:cols w:space="425"/>
          <w:docGrid w:type="lines" w:linePitch="326"/>
        </w:sectPr>
      </w:pPr>
    </w:p>
    <w:p w:rsidR="006317C5" w:rsidRPr="00BF42B7" w:rsidRDefault="00103498" w:rsidP="00103498">
      <w:pPr>
        <w:spacing w:after="120"/>
        <w:rPr>
          <w:sz w:val="28"/>
          <w:szCs w:val="28"/>
        </w:rPr>
      </w:pPr>
      <w:r w:rsidRPr="00BF42B7">
        <w:rPr>
          <w:rFonts w:hint="eastAsia"/>
          <w:sz w:val="28"/>
          <w:szCs w:val="28"/>
        </w:rPr>
        <w:t>简要</w:t>
      </w:r>
      <w:r w:rsidR="006317C5" w:rsidRPr="00BF42B7">
        <w:rPr>
          <w:rFonts w:hint="eastAsia"/>
          <w:sz w:val="28"/>
          <w:szCs w:val="28"/>
        </w:rPr>
        <w:t>目录</w:t>
      </w:r>
    </w:p>
    <w:p w:rsidR="006317C5" w:rsidRPr="00BF42B7" w:rsidRDefault="00FA073B" w:rsidP="00C222FC">
      <w:pPr>
        <w:tabs>
          <w:tab w:val="right" w:pos="8789"/>
          <w:tab w:val="right" w:pos="9639"/>
        </w:tabs>
        <w:spacing w:after="120"/>
        <w:ind w:left="488"/>
        <w:rPr>
          <w:rFonts w:ascii="Time New Roman" w:eastAsia="楷体" w:hAnsi="Time New Roman" w:hint="eastAsia"/>
          <w:sz w:val="23"/>
          <w:szCs w:val="23"/>
        </w:rPr>
      </w:pPr>
      <w:r w:rsidRPr="00BF42B7">
        <w:rPr>
          <w:rFonts w:ascii="Time New Roman" w:eastAsia="楷体" w:hAnsi="Time New Roman" w:hint="eastAsia"/>
          <w:sz w:val="18"/>
          <w:szCs w:val="18"/>
          <w:lang w:val="fr-CH"/>
        </w:rPr>
        <w:t>章次</w:t>
      </w:r>
      <w:r w:rsidR="006317C5" w:rsidRPr="00BF42B7">
        <w:rPr>
          <w:rFonts w:ascii="Time New Roman" w:eastAsia="楷体" w:hAnsi="Time New Roman"/>
          <w:sz w:val="18"/>
          <w:szCs w:val="18"/>
          <w:lang w:val="fr-CH"/>
        </w:rPr>
        <w:tab/>
      </w:r>
      <w:r w:rsidR="006317C5" w:rsidRPr="00BF42B7">
        <w:rPr>
          <w:rFonts w:ascii="Time New Roman" w:eastAsia="楷体" w:hAnsi="Time New Roman"/>
          <w:sz w:val="23"/>
          <w:szCs w:val="23"/>
        </w:rPr>
        <w:tab/>
      </w:r>
      <w:r w:rsidR="006317C5" w:rsidRPr="00BF42B7">
        <w:rPr>
          <w:rFonts w:ascii="Time New Roman" w:eastAsia="楷体" w:hAnsi="Time New Roman" w:hint="eastAsia"/>
          <w:sz w:val="18"/>
          <w:szCs w:val="18"/>
        </w:rPr>
        <w:t>页次</w:t>
      </w:r>
    </w:p>
    <w:p w:rsidR="00103498" w:rsidRPr="00BF42B7" w:rsidRDefault="00103498" w:rsidP="00C222FC">
      <w:pPr>
        <w:pStyle w:val="a8"/>
        <w:tabs>
          <w:tab w:val="clear" w:pos="1565"/>
          <w:tab w:val="clear" w:pos="1996"/>
        </w:tabs>
      </w:pPr>
      <w:r w:rsidRPr="00BF42B7">
        <w:rPr>
          <w:rFonts w:hint="eastAsia"/>
        </w:rPr>
        <w:tab/>
      </w:r>
      <w:r w:rsidRPr="00BF42B7">
        <w:rPr>
          <w:rFonts w:hint="eastAsia"/>
        </w:rPr>
        <w:t>一</w:t>
      </w:r>
      <w:r w:rsidRPr="00BF42B7">
        <w:rPr>
          <w:rFonts w:hint="eastAsia"/>
        </w:rPr>
        <w:t>.</w:t>
      </w:r>
      <w:r w:rsidRPr="00BF42B7">
        <w:rPr>
          <w:rFonts w:hint="eastAsia"/>
        </w:rPr>
        <w:tab/>
      </w:r>
      <w:r w:rsidRPr="00BF42B7">
        <w:rPr>
          <w:rFonts w:hint="eastAsia"/>
        </w:rPr>
        <w:t>导言</w:t>
      </w:r>
      <w:r w:rsidRPr="00BF42B7">
        <w:rPr>
          <w:rFonts w:hint="eastAsia"/>
        </w:rPr>
        <w:tab/>
      </w:r>
      <w:r w:rsidRPr="00BF42B7">
        <w:rPr>
          <w:rFonts w:hint="eastAsia"/>
        </w:rPr>
        <w:tab/>
      </w:r>
      <w:r w:rsidR="00450FF3">
        <w:rPr>
          <w:rFonts w:hint="eastAsia"/>
        </w:rPr>
        <w:t>1</w:t>
      </w:r>
    </w:p>
    <w:p w:rsidR="00103498" w:rsidRPr="00BF42B7" w:rsidRDefault="00103498" w:rsidP="00C222FC">
      <w:pPr>
        <w:pStyle w:val="a8"/>
      </w:pPr>
      <w:r w:rsidRPr="00BF42B7">
        <w:rPr>
          <w:rFonts w:hint="eastAsia"/>
        </w:rPr>
        <w:tab/>
      </w:r>
      <w:r w:rsidRPr="00BF42B7">
        <w:rPr>
          <w:rFonts w:hint="eastAsia"/>
        </w:rPr>
        <w:t>二</w:t>
      </w:r>
      <w:r w:rsidRPr="00BF42B7">
        <w:rPr>
          <w:rFonts w:hint="eastAsia"/>
        </w:rPr>
        <w:t>.</w:t>
      </w:r>
      <w:r w:rsidRPr="00BF42B7">
        <w:rPr>
          <w:rFonts w:hint="eastAsia"/>
        </w:rPr>
        <w:tab/>
      </w:r>
      <w:r w:rsidRPr="00BF42B7">
        <w:rPr>
          <w:rFonts w:hint="eastAsia"/>
        </w:rPr>
        <w:t>委员会第六十八届会议工作概况</w:t>
      </w:r>
      <w:r w:rsidRPr="00BF42B7">
        <w:rPr>
          <w:rFonts w:hint="eastAsia"/>
        </w:rPr>
        <w:tab/>
      </w:r>
      <w:r w:rsidRPr="00BF42B7">
        <w:rPr>
          <w:rFonts w:hint="eastAsia"/>
        </w:rPr>
        <w:tab/>
      </w:r>
      <w:r w:rsidR="00450FF3">
        <w:rPr>
          <w:rFonts w:hint="eastAsia"/>
        </w:rPr>
        <w:t>6</w:t>
      </w:r>
    </w:p>
    <w:p w:rsidR="00103498" w:rsidRPr="00BF42B7" w:rsidRDefault="00103498" w:rsidP="00C222FC">
      <w:pPr>
        <w:pStyle w:val="a8"/>
      </w:pPr>
      <w:r w:rsidRPr="00BF42B7">
        <w:rPr>
          <w:rFonts w:hint="eastAsia"/>
        </w:rPr>
        <w:tab/>
      </w:r>
      <w:r w:rsidRPr="00BF42B7">
        <w:rPr>
          <w:rFonts w:hint="eastAsia"/>
        </w:rPr>
        <w:t>三</w:t>
      </w:r>
      <w:r w:rsidRPr="00BF42B7">
        <w:rPr>
          <w:rFonts w:hint="eastAsia"/>
        </w:rPr>
        <w:t>.</w:t>
      </w:r>
      <w:r w:rsidRPr="00BF42B7">
        <w:rPr>
          <w:rFonts w:hint="eastAsia"/>
        </w:rPr>
        <w:tab/>
      </w:r>
      <w:r w:rsidRPr="00BF42B7">
        <w:rPr>
          <w:rFonts w:hint="eastAsia"/>
        </w:rPr>
        <w:t>委员会特别想听取意见的具体问题</w:t>
      </w:r>
      <w:r w:rsidRPr="00BF42B7">
        <w:rPr>
          <w:rFonts w:hint="eastAsia"/>
        </w:rPr>
        <w:tab/>
      </w:r>
      <w:r w:rsidRPr="00BF42B7">
        <w:rPr>
          <w:rFonts w:hint="eastAsia"/>
        </w:rPr>
        <w:tab/>
      </w:r>
      <w:r w:rsidR="00450FF3">
        <w:rPr>
          <w:rFonts w:hint="eastAsia"/>
        </w:rPr>
        <w:t>9</w:t>
      </w:r>
    </w:p>
    <w:p w:rsidR="00103498" w:rsidRPr="00BF42B7" w:rsidRDefault="00103498" w:rsidP="00C222FC">
      <w:pPr>
        <w:pStyle w:val="a8"/>
      </w:pPr>
      <w:r w:rsidRPr="00BF42B7">
        <w:rPr>
          <w:rFonts w:hint="eastAsia"/>
        </w:rPr>
        <w:tab/>
      </w:r>
      <w:r w:rsidRPr="00BF42B7">
        <w:rPr>
          <w:rFonts w:hint="eastAsia"/>
        </w:rPr>
        <w:t>四</w:t>
      </w:r>
      <w:r w:rsidRPr="00BF42B7">
        <w:rPr>
          <w:rFonts w:hint="eastAsia"/>
        </w:rPr>
        <w:t>.</w:t>
      </w:r>
      <w:r w:rsidRPr="00BF42B7">
        <w:rPr>
          <w:rFonts w:hint="eastAsia"/>
        </w:rPr>
        <w:tab/>
      </w:r>
      <w:r w:rsidRPr="00BF42B7">
        <w:rPr>
          <w:rFonts w:hint="eastAsia"/>
        </w:rPr>
        <w:t>发生灾害时的人员保护</w:t>
      </w:r>
      <w:r w:rsidRPr="00BF42B7">
        <w:rPr>
          <w:rFonts w:hint="eastAsia"/>
        </w:rPr>
        <w:tab/>
      </w:r>
      <w:r w:rsidRPr="00BF42B7">
        <w:rPr>
          <w:rFonts w:hint="eastAsia"/>
        </w:rPr>
        <w:tab/>
      </w:r>
      <w:r w:rsidR="00B37E08">
        <w:rPr>
          <w:rFonts w:hint="eastAsia"/>
        </w:rPr>
        <w:t>11</w:t>
      </w:r>
    </w:p>
    <w:p w:rsidR="00103498" w:rsidRPr="00BF42B7" w:rsidRDefault="00103498" w:rsidP="00C222FC">
      <w:pPr>
        <w:pStyle w:val="a8"/>
      </w:pPr>
      <w:r w:rsidRPr="00BF42B7">
        <w:rPr>
          <w:rFonts w:hint="eastAsia"/>
        </w:rPr>
        <w:tab/>
      </w:r>
      <w:r w:rsidRPr="00BF42B7">
        <w:rPr>
          <w:rFonts w:hint="eastAsia"/>
        </w:rPr>
        <w:t>五</w:t>
      </w:r>
      <w:r w:rsidRPr="00BF42B7">
        <w:rPr>
          <w:rFonts w:hint="eastAsia"/>
        </w:rPr>
        <w:t>.</w:t>
      </w:r>
      <w:r w:rsidRPr="00BF42B7">
        <w:rPr>
          <w:rFonts w:hint="eastAsia"/>
        </w:rPr>
        <w:tab/>
      </w:r>
      <w:r w:rsidRPr="00BF42B7">
        <w:rPr>
          <w:rFonts w:hint="eastAsia"/>
        </w:rPr>
        <w:t>习惯国际法的识别</w:t>
      </w:r>
      <w:r w:rsidRPr="00BF42B7">
        <w:rPr>
          <w:rFonts w:hint="eastAsia"/>
        </w:rPr>
        <w:tab/>
      </w:r>
      <w:r w:rsidRPr="00BF42B7">
        <w:rPr>
          <w:rFonts w:hint="eastAsia"/>
        </w:rPr>
        <w:tab/>
      </w:r>
      <w:r w:rsidR="000B7556">
        <w:rPr>
          <w:rFonts w:hint="eastAsia"/>
        </w:rPr>
        <w:t>71</w:t>
      </w:r>
    </w:p>
    <w:p w:rsidR="00103498" w:rsidRPr="00BF42B7" w:rsidRDefault="00103498" w:rsidP="00C222FC">
      <w:pPr>
        <w:pStyle w:val="a8"/>
      </w:pPr>
      <w:r w:rsidRPr="00BF42B7">
        <w:rPr>
          <w:rFonts w:hint="eastAsia"/>
        </w:rPr>
        <w:tab/>
      </w:r>
      <w:r w:rsidRPr="00BF42B7">
        <w:rPr>
          <w:rFonts w:hint="eastAsia"/>
        </w:rPr>
        <w:t>六</w:t>
      </w:r>
      <w:r w:rsidRPr="00BF42B7">
        <w:rPr>
          <w:rFonts w:hint="eastAsia"/>
        </w:rPr>
        <w:t>.</w:t>
      </w:r>
      <w:r w:rsidRPr="00BF42B7">
        <w:rPr>
          <w:rFonts w:hint="eastAsia"/>
        </w:rPr>
        <w:tab/>
      </w:r>
      <w:r w:rsidRPr="00BF42B7">
        <w:rPr>
          <w:rFonts w:hint="eastAsia"/>
        </w:rPr>
        <w:t>与条约解释相关的嗣后协定和嗣后惯例</w:t>
      </w:r>
      <w:r w:rsidRPr="00BF42B7">
        <w:rPr>
          <w:rFonts w:hint="eastAsia"/>
        </w:rPr>
        <w:tab/>
      </w:r>
      <w:r w:rsidRPr="00BF42B7">
        <w:rPr>
          <w:rFonts w:hint="eastAsia"/>
        </w:rPr>
        <w:tab/>
      </w:r>
      <w:r w:rsidR="000B7556">
        <w:rPr>
          <w:rFonts w:hint="eastAsia"/>
        </w:rPr>
        <w:t>114</w:t>
      </w:r>
    </w:p>
    <w:p w:rsidR="00103498" w:rsidRPr="00BF42B7" w:rsidRDefault="00103498" w:rsidP="00C222FC">
      <w:pPr>
        <w:pStyle w:val="a8"/>
      </w:pPr>
      <w:r w:rsidRPr="00BF42B7">
        <w:rPr>
          <w:rFonts w:hint="eastAsia"/>
        </w:rPr>
        <w:tab/>
      </w:r>
      <w:r w:rsidRPr="00BF42B7">
        <w:rPr>
          <w:rFonts w:hint="eastAsia"/>
        </w:rPr>
        <w:t>七</w:t>
      </w:r>
      <w:r w:rsidRPr="00BF42B7">
        <w:rPr>
          <w:rFonts w:hint="eastAsia"/>
        </w:rPr>
        <w:t>.</w:t>
      </w:r>
      <w:r w:rsidRPr="00BF42B7">
        <w:rPr>
          <w:rFonts w:hint="eastAsia"/>
        </w:rPr>
        <w:tab/>
      </w:r>
      <w:r w:rsidRPr="00BF42B7">
        <w:rPr>
          <w:rFonts w:hint="eastAsia"/>
        </w:rPr>
        <w:t>危害人类罪</w:t>
      </w:r>
      <w:r w:rsidRPr="00BF42B7">
        <w:rPr>
          <w:rFonts w:hint="eastAsia"/>
        </w:rPr>
        <w:tab/>
      </w:r>
      <w:r w:rsidRPr="00BF42B7">
        <w:rPr>
          <w:rFonts w:hint="eastAsia"/>
        </w:rPr>
        <w:tab/>
      </w:r>
      <w:r w:rsidR="000B7556">
        <w:rPr>
          <w:rFonts w:hint="eastAsia"/>
        </w:rPr>
        <w:t>237</w:t>
      </w:r>
    </w:p>
    <w:p w:rsidR="00103498" w:rsidRPr="00BF42B7" w:rsidRDefault="00103498" w:rsidP="00C222FC">
      <w:pPr>
        <w:pStyle w:val="a8"/>
      </w:pPr>
      <w:r w:rsidRPr="00BF42B7">
        <w:rPr>
          <w:rFonts w:hint="eastAsia"/>
        </w:rPr>
        <w:tab/>
      </w:r>
      <w:r w:rsidRPr="00BF42B7">
        <w:rPr>
          <w:rFonts w:hint="eastAsia"/>
        </w:rPr>
        <w:t>八</w:t>
      </w:r>
      <w:r w:rsidRPr="00BF42B7">
        <w:rPr>
          <w:rFonts w:hint="eastAsia"/>
        </w:rPr>
        <w:t>.</w:t>
      </w:r>
      <w:r w:rsidRPr="00BF42B7">
        <w:rPr>
          <w:rFonts w:hint="eastAsia"/>
        </w:rPr>
        <w:tab/>
      </w:r>
      <w:r w:rsidRPr="00BF42B7">
        <w:rPr>
          <w:rFonts w:hint="eastAsia"/>
        </w:rPr>
        <w:t>保护大气层</w:t>
      </w:r>
      <w:r w:rsidRPr="00BF42B7">
        <w:rPr>
          <w:rFonts w:hint="eastAsia"/>
        </w:rPr>
        <w:tab/>
      </w:r>
      <w:r w:rsidRPr="00BF42B7">
        <w:rPr>
          <w:rFonts w:hint="eastAsia"/>
        </w:rPr>
        <w:tab/>
      </w:r>
      <w:r w:rsidR="000B7556">
        <w:rPr>
          <w:rFonts w:hint="eastAsia"/>
        </w:rPr>
        <w:t>277</w:t>
      </w:r>
    </w:p>
    <w:p w:rsidR="00103498" w:rsidRPr="00BF42B7" w:rsidRDefault="00103498" w:rsidP="00C222FC">
      <w:pPr>
        <w:pStyle w:val="a8"/>
      </w:pPr>
      <w:r w:rsidRPr="00BF42B7">
        <w:rPr>
          <w:rFonts w:hint="eastAsia"/>
        </w:rPr>
        <w:tab/>
      </w:r>
      <w:r w:rsidRPr="00BF42B7">
        <w:rPr>
          <w:rFonts w:hint="eastAsia"/>
        </w:rPr>
        <w:t>九</w:t>
      </w:r>
      <w:r w:rsidRPr="00BF42B7">
        <w:rPr>
          <w:rFonts w:hint="eastAsia"/>
        </w:rPr>
        <w:t>.</w:t>
      </w:r>
      <w:r w:rsidRPr="00BF42B7">
        <w:rPr>
          <w:rFonts w:hint="eastAsia"/>
        </w:rPr>
        <w:tab/>
      </w:r>
      <w:r w:rsidRPr="00BF42B7">
        <w:rPr>
          <w:rFonts w:hint="eastAsia"/>
        </w:rPr>
        <w:t>强行法</w:t>
      </w:r>
      <w:r w:rsidRPr="00BF42B7">
        <w:rPr>
          <w:rFonts w:hint="eastAsia"/>
        </w:rPr>
        <w:tab/>
      </w:r>
      <w:r w:rsidRPr="00BF42B7">
        <w:rPr>
          <w:rFonts w:hint="eastAsia"/>
        </w:rPr>
        <w:tab/>
      </w:r>
      <w:r w:rsidR="00BB0ABA" w:rsidRPr="00BF42B7">
        <w:rPr>
          <w:rFonts w:hint="eastAsia"/>
        </w:rPr>
        <w:tab/>
      </w:r>
      <w:r w:rsidR="000B7556">
        <w:rPr>
          <w:rFonts w:hint="eastAsia"/>
        </w:rPr>
        <w:t>292</w:t>
      </w:r>
    </w:p>
    <w:p w:rsidR="00103498" w:rsidRPr="00BF42B7" w:rsidRDefault="00103498" w:rsidP="00C222FC">
      <w:pPr>
        <w:pStyle w:val="a8"/>
      </w:pPr>
      <w:r w:rsidRPr="00BF42B7">
        <w:rPr>
          <w:rFonts w:hint="eastAsia"/>
        </w:rPr>
        <w:tab/>
      </w:r>
      <w:r w:rsidRPr="00BF42B7">
        <w:rPr>
          <w:rFonts w:hint="eastAsia"/>
        </w:rPr>
        <w:t>十</w:t>
      </w:r>
      <w:r w:rsidRPr="00BF42B7">
        <w:rPr>
          <w:rFonts w:hint="eastAsia"/>
        </w:rPr>
        <w:t>.</w:t>
      </w:r>
      <w:r w:rsidRPr="00BF42B7">
        <w:rPr>
          <w:rFonts w:hint="eastAsia"/>
        </w:rPr>
        <w:tab/>
      </w:r>
      <w:r w:rsidRPr="00BF42B7">
        <w:rPr>
          <w:rFonts w:hint="eastAsia"/>
        </w:rPr>
        <w:t>与武装冲突有关的环境保护</w:t>
      </w:r>
      <w:r w:rsidRPr="00BF42B7">
        <w:rPr>
          <w:rFonts w:hint="eastAsia"/>
        </w:rPr>
        <w:tab/>
      </w:r>
      <w:r w:rsidRPr="00BF42B7">
        <w:rPr>
          <w:rFonts w:hint="eastAsia"/>
        </w:rPr>
        <w:tab/>
      </w:r>
      <w:r w:rsidR="000B7556">
        <w:rPr>
          <w:rFonts w:hint="eastAsia"/>
        </w:rPr>
        <w:t>300</w:t>
      </w:r>
    </w:p>
    <w:p w:rsidR="00103498" w:rsidRPr="00BF42B7" w:rsidRDefault="00103498" w:rsidP="00C222FC">
      <w:pPr>
        <w:pStyle w:val="a8"/>
      </w:pPr>
      <w:r w:rsidRPr="00BF42B7">
        <w:rPr>
          <w:rFonts w:hint="eastAsia"/>
        </w:rPr>
        <w:tab/>
      </w:r>
      <w:r w:rsidRPr="00BF42B7">
        <w:rPr>
          <w:rFonts w:hint="eastAsia"/>
        </w:rPr>
        <w:t>十一</w:t>
      </w:r>
      <w:r w:rsidRPr="00BF42B7">
        <w:rPr>
          <w:rFonts w:hint="eastAsia"/>
        </w:rPr>
        <w:t>.</w:t>
      </w:r>
      <w:r w:rsidRPr="00BF42B7">
        <w:rPr>
          <w:rFonts w:hint="eastAsia"/>
        </w:rPr>
        <w:tab/>
      </w:r>
      <w:r w:rsidRPr="00BF42B7">
        <w:rPr>
          <w:rFonts w:hint="eastAsia"/>
        </w:rPr>
        <w:t>国家官员的外国刑事管辖豁免</w:t>
      </w:r>
      <w:r w:rsidRPr="00BF42B7">
        <w:rPr>
          <w:rFonts w:hint="eastAsia"/>
        </w:rPr>
        <w:tab/>
      </w:r>
      <w:r w:rsidRPr="00BF42B7">
        <w:rPr>
          <w:rFonts w:hint="eastAsia"/>
        </w:rPr>
        <w:tab/>
      </w:r>
      <w:r w:rsidR="000B7556">
        <w:rPr>
          <w:rFonts w:hint="eastAsia"/>
        </w:rPr>
        <w:t>333</w:t>
      </w:r>
    </w:p>
    <w:p w:rsidR="00103498" w:rsidRPr="00BF42B7" w:rsidRDefault="00103498" w:rsidP="00C222FC">
      <w:pPr>
        <w:pStyle w:val="a8"/>
      </w:pPr>
      <w:r w:rsidRPr="00BF42B7">
        <w:rPr>
          <w:rFonts w:hint="eastAsia"/>
        </w:rPr>
        <w:tab/>
      </w:r>
      <w:r w:rsidRPr="00BF42B7">
        <w:rPr>
          <w:rFonts w:hint="eastAsia"/>
        </w:rPr>
        <w:t>十二</w:t>
      </w:r>
      <w:r w:rsidRPr="00BF42B7">
        <w:rPr>
          <w:rFonts w:hint="eastAsia"/>
        </w:rPr>
        <w:t>.</w:t>
      </w:r>
      <w:r w:rsidRPr="00BF42B7">
        <w:rPr>
          <w:rFonts w:hint="eastAsia"/>
        </w:rPr>
        <w:tab/>
      </w:r>
      <w:r w:rsidRPr="00BF42B7">
        <w:rPr>
          <w:rFonts w:hint="eastAsia"/>
        </w:rPr>
        <w:t>条约的暂时适用</w:t>
      </w:r>
      <w:r w:rsidRPr="00BF42B7">
        <w:rPr>
          <w:rFonts w:hint="eastAsia"/>
        </w:rPr>
        <w:tab/>
      </w:r>
      <w:r w:rsidRPr="00BF42B7">
        <w:rPr>
          <w:rFonts w:hint="eastAsia"/>
        </w:rPr>
        <w:tab/>
      </w:r>
      <w:r w:rsidR="000B7556">
        <w:rPr>
          <w:rFonts w:hint="eastAsia"/>
        </w:rPr>
        <w:t>355</w:t>
      </w:r>
    </w:p>
    <w:p w:rsidR="00103498" w:rsidRPr="00BF42B7" w:rsidRDefault="00103498" w:rsidP="00C222FC">
      <w:pPr>
        <w:pStyle w:val="a8"/>
      </w:pPr>
      <w:r w:rsidRPr="00BF42B7">
        <w:rPr>
          <w:rFonts w:hint="eastAsia"/>
        </w:rPr>
        <w:tab/>
      </w:r>
      <w:r w:rsidRPr="00BF42B7">
        <w:rPr>
          <w:rFonts w:hint="eastAsia"/>
        </w:rPr>
        <w:t>十三</w:t>
      </w:r>
      <w:r w:rsidRPr="00BF42B7">
        <w:rPr>
          <w:rFonts w:hint="eastAsia"/>
        </w:rPr>
        <w:t>.</w:t>
      </w:r>
      <w:r w:rsidRPr="00BF42B7">
        <w:rPr>
          <w:rFonts w:hint="eastAsia"/>
        </w:rPr>
        <w:tab/>
      </w:r>
      <w:r w:rsidRPr="00BF42B7">
        <w:rPr>
          <w:rFonts w:hint="eastAsia"/>
        </w:rPr>
        <w:t>委员会的其他决定和结论</w:t>
      </w:r>
      <w:r w:rsidRPr="00BF42B7">
        <w:rPr>
          <w:rFonts w:hint="eastAsia"/>
        </w:rPr>
        <w:tab/>
      </w:r>
      <w:r w:rsidRPr="00BF42B7">
        <w:rPr>
          <w:rFonts w:hint="eastAsia"/>
        </w:rPr>
        <w:tab/>
      </w:r>
      <w:r w:rsidR="000B7556">
        <w:rPr>
          <w:rFonts w:hint="eastAsia"/>
        </w:rPr>
        <w:t>366</w:t>
      </w:r>
    </w:p>
    <w:p w:rsidR="00103498" w:rsidRPr="00BF42B7" w:rsidRDefault="00103498">
      <w:pPr>
        <w:tabs>
          <w:tab w:val="clear" w:pos="431"/>
        </w:tabs>
        <w:overflowPunct/>
        <w:adjustRightInd/>
        <w:snapToGrid/>
        <w:spacing w:line="240" w:lineRule="auto"/>
        <w:jc w:val="left"/>
      </w:pPr>
      <w:r w:rsidRPr="00BF42B7">
        <w:br w:type="page"/>
      </w:r>
    </w:p>
    <w:p w:rsidR="00103498" w:rsidRPr="00BF42B7" w:rsidRDefault="00103498" w:rsidP="00103498">
      <w:pPr>
        <w:spacing w:after="120"/>
        <w:rPr>
          <w:sz w:val="28"/>
          <w:szCs w:val="28"/>
        </w:rPr>
      </w:pPr>
      <w:r w:rsidRPr="00BF42B7">
        <w:rPr>
          <w:rFonts w:hint="eastAsia"/>
          <w:sz w:val="28"/>
          <w:szCs w:val="28"/>
        </w:rPr>
        <w:t>目录</w:t>
      </w:r>
    </w:p>
    <w:p w:rsidR="00103498" w:rsidRPr="00BF42B7" w:rsidRDefault="00103498" w:rsidP="00C222FC">
      <w:pPr>
        <w:tabs>
          <w:tab w:val="right" w:pos="8789"/>
          <w:tab w:val="right" w:pos="9639"/>
        </w:tabs>
        <w:spacing w:after="120"/>
        <w:ind w:left="488"/>
      </w:pPr>
      <w:r w:rsidRPr="00BF42B7">
        <w:rPr>
          <w:rFonts w:ascii="Time New Roman" w:eastAsia="楷体" w:hAnsi="Time New Roman" w:hint="eastAsia"/>
          <w:sz w:val="18"/>
          <w:szCs w:val="18"/>
          <w:lang w:val="fr-CH"/>
        </w:rPr>
        <w:t>章次</w:t>
      </w:r>
      <w:r w:rsidRPr="00BF42B7">
        <w:rPr>
          <w:rFonts w:ascii="Time New Roman" w:eastAsia="楷体" w:hAnsi="Time New Roman"/>
          <w:sz w:val="18"/>
          <w:szCs w:val="18"/>
          <w:lang w:val="fr-CH"/>
        </w:rPr>
        <w:tab/>
      </w:r>
      <w:r w:rsidRPr="00BF42B7">
        <w:rPr>
          <w:rFonts w:ascii="Time New Roman" w:eastAsia="楷体" w:hAnsi="Time New Roman"/>
          <w:sz w:val="23"/>
          <w:szCs w:val="23"/>
        </w:rPr>
        <w:tab/>
      </w:r>
      <w:r w:rsidRPr="00BF42B7">
        <w:rPr>
          <w:rFonts w:ascii="Time New Roman" w:eastAsia="楷体" w:hAnsi="Time New Roman" w:hint="eastAsia"/>
          <w:sz w:val="18"/>
          <w:szCs w:val="18"/>
        </w:rPr>
        <w:t>页次</w:t>
      </w:r>
    </w:p>
    <w:p w:rsidR="006B69FA" w:rsidRPr="00E53510" w:rsidRDefault="006B69FA" w:rsidP="000B7556">
      <w:pPr>
        <w:pStyle w:val="a8"/>
        <w:tabs>
          <w:tab w:val="clear" w:pos="1134"/>
          <w:tab w:val="clear" w:pos="1565"/>
          <w:tab w:val="clear" w:pos="1996"/>
        </w:tabs>
        <w:spacing w:after="60"/>
        <w:rPr>
          <w:szCs w:val="21"/>
        </w:rPr>
      </w:pPr>
      <w:r w:rsidRPr="00E53510">
        <w:rPr>
          <w:rFonts w:hint="eastAsia"/>
          <w:szCs w:val="21"/>
        </w:rPr>
        <w:tab/>
      </w:r>
      <w:r w:rsidRPr="00E53510">
        <w:rPr>
          <w:rFonts w:hint="eastAsia"/>
          <w:szCs w:val="21"/>
        </w:rPr>
        <w:t>一</w:t>
      </w:r>
      <w:r w:rsidRPr="00E53510">
        <w:rPr>
          <w:rFonts w:hint="eastAsia"/>
          <w:szCs w:val="21"/>
        </w:rPr>
        <w:t>.</w:t>
      </w:r>
      <w:r w:rsidRPr="00E53510">
        <w:rPr>
          <w:rFonts w:hint="eastAsia"/>
          <w:szCs w:val="21"/>
        </w:rPr>
        <w:tab/>
      </w:r>
      <w:r w:rsidRPr="00E53510">
        <w:rPr>
          <w:rFonts w:hint="eastAsia"/>
          <w:szCs w:val="21"/>
        </w:rPr>
        <w:t>导言</w:t>
      </w:r>
      <w:r w:rsidRPr="00E53510">
        <w:rPr>
          <w:rFonts w:hint="eastAsia"/>
          <w:szCs w:val="21"/>
        </w:rPr>
        <w:tab/>
      </w:r>
      <w:r w:rsidR="00110F4A">
        <w:rPr>
          <w:rFonts w:hint="eastAsia"/>
          <w:szCs w:val="21"/>
        </w:rPr>
        <w:tab/>
      </w:r>
      <w:r w:rsidRPr="00E53510">
        <w:rPr>
          <w:rFonts w:hint="eastAsia"/>
          <w:szCs w:val="21"/>
        </w:rPr>
        <w:t>1</w:t>
      </w:r>
    </w:p>
    <w:p w:rsidR="006B69FA" w:rsidRPr="00E53510" w:rsidRDefault="006B69FA" w:rsidP="000B7556">
      <w:pPr>
        <w:pStyle w:val="a8"/>
        <w:tabs>
          <w:tab w:val="clear" w:pos="1996"/>
        </w:tabs>
        <w:spacing w:after="60"/>
        <w:rPr>
          <w:szCs w:val="21"/>
        </w:rPr>
      </w:pPr>
      <w:r w:rsidRPr="00E53510">
        <w:rPr>
          <w:rFonts w:hint="eastAsia"/>
          <w:szCs w:val="21"/>
        </w:rPr>
        <w:tab/>
      </w:r>
      <w:r w:rsidRPr="00E53510">
        <w:rPr>
          <w:rFonts w:hint="eastAsia"/>
          <w:szCs w:val="21"/>
        </w:rPr>
        <w:tab/>
        <w:t>A.</w:t>
      </w:r>
      <w:r w:rsidRPr="00E53510">
        <w:rPr>
          <w:rFonts w:hint="eastAsia"/>
          <w:szCs w:val="21"/>
        </w:rPr>
        <w:tab/>
      </w:r>
      <w:r w:rsidRPr="00E53510">
        <w:rPr>
          <w:rFonts w:hint="eastAsia"/>
          <w:szCs w:val="21"/>
        </w:rPr>
        <w:t>委员</w:t>
      </w:r>
      <w:r w:rsidRPr="00E53510">
        <w:rPr>
          <w:rFonts w:hint="eastAsia"/>
          <w:szCs w:val="21"/>
        </w:rPr>
        <w:tab/>
      </w:r>
      <w:r w:rsidR="00110F4A">
        <w:rPr>
          <w:rFonts w:hint="eastAsia"/>
          <w:szCs w:val="21"/>
        </w:rPr>
        <w:tab/>
      </w:r>
      <w:r w:rsidRPr="00E53510">
        <w:rPr>
          <w:rFonts w:hint="eastAsia"/>
          <w:szCs w:val="21"/>
        </w:rPr>
        <w:t>1</w:t>
      </w:r>
    </w:p>
    <w:p w:rsidR="006B69FA" w:rsidRPr="00E53510" w:rsidRDefault="006B69FA" w:rsidP="000B7556">
      <w:pPr>
        <w:pStyle w:val="a8"/>
        <w:spacing w:after="60"/>
        <w:rPr>
          <w:szCs w:val="21"/>
        </w:rPr>
      </w:pPr>
      <w:r w:rsidRPr="00E53510">
        <w:rPr>
          <w:rFonts w:hint="eastAsia"/>
          <w:szCs w:val="21"/>
        </w:rPr>
        <w:tab/>
      </w:r>
      <w:r w:rsidRPr="00E53510">
        <w:rPr>
          <w:rFonts w:hint="eastAsia"/>
          <w:szCs w:val="21"/>
        </w:rPr>
        <w:tab/>
        <w:t>B.</w:t>
      </w:r>
      <w:r w:rsidRPr="00E53510">
        <w:rPr>
          <w:rFonts w:hint="eastAsia"/>
          <w:szCs w:val="21"/>
        </w:rPr>
        <w:tab/>
      </w:r>
      <w:r w:rsidRPr="00E53510">
        <w:rPr>
          <w:rFonts w:hint="eastAsia"/>
          <w:szCs w:val="21"/>
        </w:rPr>
        <w:t>主席团成员和扩大的主席团</w:t>
      </w:r>
      <w:r w:rsidRPr="00E53510">
        <w:rPr>
          <w:rFonts w:hint="eastAsia"/>
          <w:szCs w:val="21"/>
        </w:rPr>
        <w:tab/>
      </w:r>
      <w:r w:rsidRPr="00E53510">
        <w:rPr>
          <w:rFonts w:hint="eastAsia"/>
          <w:szCs w:val="21"/>
        </w:rPr>
        <w:tab/>
      </w:r>
      <w:r w:rsidR="00656EC0">
        <w:rPr>
          <w:rFonts w:hint="eastAsia"/>
          <w:szCs w:val="21"/>
        </w:rPr>
        <w:t>2</w:t>
      </w:r>
    </w:p>
    <w:p w:rsidR="006B69FA" w:rsidRPr="00E53510" w:rsidRDefault="006B69FA" w:rsidP="000B7556">
      <w:pPr>
        <w:pStyle w:val="a8"/>
        <w:spacing w:after="60"/>
        <w:rPr>
          <w:szCs w:val="21"/>
        </w:rPr>
      </w:pPr>
      <w:r w:rsidRPr="00E53510">
        <w:rPr>
          <w:rFonts w:hint="eastAsia"/>
          <w:szCs w:val="21"/>
        </w:rPr>
        <w:tab/>
      </w:r>
      <w:r w:rsidRPr="00E53510">
        <w:rPr>
          <w:rFonts w:hint="eastAsia"/>
          <w:szCs w:val="21"/>
        </w:rPr>
        <w:tab/>
        <w:t>C.</w:t>
      </w:r>
      <w:r w:rsidRPr="00E53510">
        <w:rPr>
          <w:rFonts w:hint="eastAsia"/>
          <w:szCs w:val="21"/>
        </w:rPr>
        <w:tab/>
      </w:r>
      <w:r w:rsidRPr="00E53510">
        <w:rPr>
          <w:rFonts w:hint="eastAsia"/>
          <w:szCs w:val="21"/>
        </w:rPr>
        <w:t>起草委员会</w:t>
      </w:r>
      <w:r w:rsidR="00656EC0">
        <w:rPr>
          <w:rFonts w:hint="eastAsia"/>
          <w:szCs w:val="21"/>
        </w:rPr>
        <w:tab/>
      </w:r>
      <w:r w:rsidR="00656EC0">
        <w:rPr>
          <w:rFonts w:hint="eastAsia"/>
          <w:szCs w:val="21"/>
        </w:rPr>
        <w:tab/>
        <w:t>3</w:t>
      </w:r>
    </w:p>
    <w:p w:rsidR="006B69FA" w:rsidRPr="00E53510" w:rsidRDefault="006B69FA" w:rsidP="000B7556">
      <w:pPr>
        <w:pStyle w:val="a8"/>
        <w:spacing w:after="60"/>
        <w:rPr>
          <w:szCs w:val="21"/>
        </w:rPr>
      </w:pPr>
      <w:r w:rsidRPr="00E53510">
        <w:rPr>
          <w:rFonts w:hint="eastAsia"/>
          <w:szCs w:val="21"/>
        </w:rPr>
        <w:tab/>
      </w:r>
      <w:r w:rsidRPr="00E53510">
        <w:rPr>
          <w:rFonts w:hint="eastAsia"/>
          <w:szCs w:val="21"/>
        </w:rPr>
        <w:tab/>
        <w:t>D.</w:t>
      </w:r>
      <w:r w:rsidRPr="00E53510">
        <w:rPr>
          <w:rFonts w:hint="eastAsia"/>
          <w:szCs w:val="21"/>
        </w:rPr>
        <w:tab/>
      </w:r>
      <w:r w:rsidRPr="00E53510">
        <w:rPr>
          <w:rFonts w:hint="eastAsia"/>
          <w:szCs w:val="21"/>
        </w:rPr>
        <w:t>工作组</w:t>
      </w:r>
      <w:r w:rsidR="00656EC0">
        <w:rPr>
          <w:rFonts w:hint="eastAsia"/>
          <w:szCs w:val="21"/>
        </w:rPr>
        <w:tab/>
      </w:r>
      <w:r w:rsidR="00656EC0">
        <w:rPr>
          <w:rFonts w:hint="eastAsia"/>
          <w:szCs w:val="21"/>
        </w:rPr>
        <w:tab/>
        <w:t>4</w:t>
      </w:r>
    </w:p>
    <w:p w:rsidR="006B69FA" w:rsidRPr="00E53510" w:rsidRDefault="006B69FA" w:rsidP="000B7556">
      <w:pPr>
        <w:pStyle w:val="a8"/>
        <w:spacing w:after="60"/>
        <w:rPr>
          <w:szCs w:val="21"/>
        </w:rPr>
      </w:pPr>
      <w:r w:rsidRPr="00E53510">
        <w:rPr>
          <w:rFonts w:hint="eastAsia"/>
          <w:szCs w:val="21"/>
        </w:rPr>
        <w:tab/>
      </w:r>
      <w:r w:rsidRPr="00E53510">
        <w:rPr>
          <w:rFonts w:hint="eastAsia"/>
          <w:szCs w:val="21"/>
        </w:rPr>
        <w:tab/>
        <w:t>E.</w:t>
      </w:r>
      <w:r w:rsidRPr="00E53510">
        <w:rPr>
          <w:rFonts w:hint="eastAsia"/>
          <w:szCs w:val="21"/>
        </w:rPr>
        <w:tab/>
      </w:r>
      <w:r w:rsidRPr="00E53510">
        <w:rPr>
          <w:rFonts w:hint="eastAsia"/>
          <w:szCs w:val="21"/>
        </w:rPr>
        <w:t>秘书处</w:t>
      </w:r>
      <w:r w:rsidR="00656EC0">
        <w:rPr>
          <w:rFonts w:hint="eastAsia"/>
          <w:szCs w:val="21"/>
        </w:rPr>
        <w:tab/>
      </w:r>
      <w:r w:rsidR="00656EC0">
        <w:rPr>
          <w:rFonts w:hint="eastAsia"/>
          <w:szCs w:val="21"/>
        </w:rPr>
        <w:tab/>
        <w:t>5</w:t>
      </w:r>
    </w:p>
    <w:p w:rsidR="006B69FA" w:rsidRPr="00E53510" w:rsidRDefault="006B69FA" w:rsidP="000B7556">
      <w:pPr>
        <w:pStyle w:val="a8"/>
        <w:tabs>
          <w:tab w:val="clear" w:pos="1996"/>
        </w:tabs>
        <w:spacing w:after="60"/>
        <w:rPr>
          <w:szCs w:val="21"/>
        </w:rPr>
      </w:pPr>
      <w:r w:rsidRPr="00E53510">
        <w:rPr>
          <w:rFonts w:hint="eastAsia"/>
          <w:szCs w:val="21"/>
        </w:rPr>
        <w:tab/>
      </w:r>
      <w:r w:rsidRPr="00E53510">
        <w:rPr>
          <w:rFonts w:hint="eastAsia"/>
          <w:szCs w:val="21"/>
        </w:rPr>
        <w:tab/>
        <w:t>F.</w:t>
      </w:r>
      <w:r w:rsidRPr="00E53510">
        <w:rPr>
          <w:rFonts w:hint="eastAsia"/>
          <w:szCs w:val="21"/>
        </w:rPr>
        <w:tab/>
      </w:r>
      <w:r w:rsidRPr="00E53510">
        <w:rPr>
          <w:rFonts w:hint="eastAsia"/>
          <w:szCs w:val="21"/>
        </w:rPr>
        <w:t>议程</w:t>
      </w:r>
      <w:r w:rsidRPr="00E53510">
        <w:rPr>
          <w:rFonts w:hint="eastAsia"/>
          <w:szCs w:val="21"/>
        </w:rPr>
        <w:tab/>
      </w:r>
      <w:r w:rsidR="00110F4A">
        <w:rPr>
          <w:rFonts w:hint="eastAsia"/>
          <w:szCs w:val="21"/>
        </w:rPr>
        <w:tab/>
      </w:r>
      <w:r w:rsidR="00656EC0">
        <w:rPr>
          <w:rFonts w:hint="eastAsia"/>
          <w:szCs w:val="21"/>
        </w:rPr>
        <w:t>5</w:t>
      </w:r>
    </w:p>
    <w:p w:rsidR="006B69FA" w:rsidRPr="00E53510" w:rsidRDefault="006B69FA" w:rsidP="000B7556">
      <w:pPr>
        <w:pStyle w:val="a8"/>
        <w:spacing w:after="60"/>
        <w:rPr>
          <w:szCs w:val="21"/>
        </w:rPr>
      </w:pPr>
      <w:r w:rsidRPr="00E53510">
        <w:rPr>
          <w:rFonts w:hint="eastAsia"/>
          <w:szCs w:val="21"/>
        </w:rPr>
        <w:tab/>
      </w:r>
      <w:r w:rsidRPr="00E53510">
        <w:rPr>
          <w:rFonts w:hint="eastAsia"/>
          <w:szCs w:val="21"/>
        </w:rPr>
        <w:t>二</w:t>
      </w:r>
      <w:r w:rsidRPr="00E53510">
        <w:rPr>
          <w:rFonts w:hint="eastAsia"/>
          <w:szCs w:val="21"/>
        </w:rPr>
        <w:t>.</w:t>
      </w:r>
      <w:r w:rsidRPr="00E53510">
        <w:rPr>
          <w:rFonts w:hint="eastAsia"/>
          <w:szCs w:val="21"/>
        </w:rPr>
        <w:tab/>
      </w:r>
      <w:r w:rsidRPr="00E53510">
        <w:rPr>
          <w:rFonts w:hint="eastAsia"/>
          <w:szCs w:val="21"/>
        </w:rPr>
        <w:t>委员会第六十八届会议工作概况</w:t>
      </w:r>
      <w:r w:rsidR="00656EC0">
        <w:rPr>
          <w:rFonts w:hint="eastAsia"/>
          <w:szCs w:val="21"/>
        </w:rPr>
        <w:tab/>
      </w:r>
      <w:r w:rsidR="00656EC0">
        <w:rPr>
          <w:rFonts w:hint="eastAsia"/>
          <w:szCs w:val="21"/>
        </w:rPr>
        <w:tab/>
        <w:t>6</w:t>
      </w:r>
    </w:p>
    <w:p w:rsidR="006B69FA" w:rsidRPr="00E53510" w:rsidRDefault="006B69FA" w:rsidP="000B7556">
      <w:pPr>
        <w:pStyle w:val="a8"/>
        <w:spacing w:after="60"/>
        <w:rPr>
          <w:szCs w:val="21"/>
        </w:rPr>
      </w:pPr>
      <w:r w:rsidRPr="00E53510">
        <w:rPr>
          <w:rFonts w:hint="eastAsia"/>
          <w:szCs w:val="21"/>
        </w:rPr>
        <w:tab/>
      </w:r>
      <w:r w:rsidRPr="00E53510">
        <w:rPr>
          <w:rFonts w:hint="eastAsia"/>
          <w:szCs w:val="21"/>
        </w:rPr>
        <w:t>三</w:t>
      </w:r>
      <w:r w:rsidRPr="00E53510">
        <w:rPr>
          <w:rFonts w:hint="eastAsia"/>
          <w:szCs w:val="21"/>
        </w:rPr>
        <w:t>.</w:t>
      </w:r>
      <w:r w:rsidRPr="00E53510">
        <w:rPr>
          <w:rFonts w:hint="eastAsia"/>
          <w:szCs w:val="21"/>
        </w:rPr>
        <w:tab/>
      </w:r>
      <w:r w:rsidRPr="00E53510">
        <w:rPr>
          <w:rFonts w:hint="eastAsia"/>
          <w:szCs w:val="21"/>
        </w:rPr>
        <w:t>委员会特别想听取意见的具体问题</w:t>
      </w:r>
      <w:r w:rsidR="00656EC0">
        <w:rPr>
          <w:rFonts w:hint="eastAsia"/>
          <w:szCs w:val="21"/>
        </w:rPr>
        <w:tab/>
      </w:r>
      <w:r w:rsidR="00656EC0">
        <w:rPr>
          <w:rFonts w:hint="eastAsia"/>
          <w:szCs w:val="21"/>
        </w:rPr>
        <w:tab/>
        <w:t>9</w:t>
      </w:r>
    </w:p>
    <w:p w:rsidR="006B69FA" w:rsidRPr="00E53510" w:rsidRDefault="006B69FA" w:rsidP="000B7556">
      <w:pPr>
        <w:pStyle w:val="a8"/>
        <w:spacing w:after="60"/>
        <w:rPr>
          <w:szCs w:val="21"/>
        </w:rPr>
      </w:pPr>
      <w:r w:rsidRPr="00E53510">
        <w:rPr>
          <w:rFonts w:hint="eastAsia"/>
          <w:szCs w:val="21"/>
        </w:rPr>
        <w:tab/>
      </w:r>
      <w:r w:rsidRPr="00E53510">
        <w:rPr>
          <w:rFonts w:hint="eastAsia"/>
          <w:szCs w:val="21"/>
        </w:rPr>
        <w:tab/>
        <w:t>A.</w:t>
      </w:r>
      <w:r w:rsidRPr="00E53510">
        <w:rPr>
          <w:rFonts w:hint="eastAsia"/>
          <w:szCs w:val="21"/>
        </w:rPr>
        <w:tab/>
      </w:r>
      <w:r w:rsidRPr="00E53510">
        <w:rPr>
          <w:rFonts w:hint="eastAsia"/>
          <w:szCs w:val="21"/>
        </w:rPr>
        <w:t>国家官员的外国刑事管辖豁免</w:t>
      </w:r>
      <w:r w:rsidR="00656EC0">
        <w:rPr>
          <w:rFonts w:hint="eastAsia"/>
          <w:szCs w:val="21"/>
        </w:rPr>
        <w:tab/>
      </w:r>
      <w:r w:rsidR="00656EC0">
        <w:rPr>
          <w:rFonts w:hint="eastAsia"/>
          <w:szCs w:val="21"/>
        </w:rPr>
        <w:tab/>
        <w:t>9</w:t>
      </w:r>
    </w:p>
    <w:p w:rsidR="006B69FA" w:rsidRPr="00E53510" w:rsidRDefault="006B69FA" w:rsidP="000B7556">
      <w:pPr>
        <w:pStyle w:val="a8"/>
        <w:spacing w:after="60"/>
        <w:rPr>
          <w:szCs w:val="21"/>
        </w:rPr>
      </w:pPr>
      <w:r w:rsidRPr="00E53510">
        <w:rPr>
          <w:rFonts w:hint="eastAsia"/>
          <w:szCs w:val="21"/>
        </w:rPr>
        <w:tab/>
      </w:r>
      <w:r w:rsidRPr="00E53510">
        <w:rPr>
          <w:rFonts w:hint="eastAsia"/>
          <w:szCs w:val="21"/>
        </w:rPr>
        <w:tab/>
        <w:t>B.</w:t>
      </w:r>
      <w:r w:rsidRPr="00E53510">
        <w:rPr>
          <w:rFonts w:hint="eastAsia"/>
          <w:szCs w:val="21"/>
        </w:rPr>
        <w:tab/>
      </w:r>
      <w:r w:rsidRPr="00E53510">
        <w:rPr>
          <w:rFonts w:hint="eastAsia"/>
          <w:szCs w:val="21"/>
        </w:rPr>
        <w:t>新专题</w:t>
      </w:r>
      <w:r w:rsidR="00656EC0">
        <w:rPr>
          <w:rFonts w:hint="eastAsia"/>
          <w:szCs w:val="21"/>
        </w:rPr>
        <w:tab/>
      </w:r>
      <w:r w:rsidR="00656EC0">
        <w:rPr>
          <w:rFonts w:hint="eastAsia"/>
          <w:szCs w:val="21"/>
        </w:rPr>
        <w:tab/>
        <w:t>9</w:t>
      </w:r>
    </w:p>
    <w:p w:rsidR="006B69FA" w:rsidRPr="00E53510" w:rsidRDefault="006B69FA" w:rsidP="000B7556">
      <w:pPr>
        <w:pStyle w:val="a8"/>
        <w:spacing w:after="60"/>
        <w:rPr>
          <w:szCs w:val="21"/>
        </w:rPr>
      </w:pPr>
      <w:r w:rsidRPr="00E53510">
        <w:rPr>
          <w:rFonts w:hint="eastAsia"/>
          <w:szCs w:val="21"/>
        </w:rPr>
        <w:tab/>
      </w:r>
      <w:r w:rsidRPr="00E53510">
        <w:rPr>
          <w:rFonts w:hint="eastAsia"/>
          <w:szCs w:val="21"/>
        </w:rPr>
        <w:t>四</w:t>
      </w:r>
      <w:r w:rsidRPr="00E53510">
        <w:rPr>
          <w:rFonts w:hint="eastAsia"/>
          <w:szCs w:val="21"/>
        </w:rPr>
        <w:t>.</w:t>
      </w:r>
      <w:r w:rsidRPr="00E53510">
        <w:rPr>
          <w:rFonts w:hint="eastAsia"/>
          <w:szCs w:val="21"/>
        </w:rPr>
        <w:tab/>
      </w:r>
      <w:r w:rsidRPr="00E53510">
        <w:rPr>
          <w:rFonts w:hint="eastAsia"/>
          <w:szCs w:val="21"/>
        </w:rPr>
        <w:t>发生灾害时的人员保护</w:t>
      </w:r>
      <w:r w:rsidR="00656EC0">
        <w:rPr>
          <w:rFonts w:hint="eastAsia"/>
          <w:szCs w:val="21"/>
        </w:rPr>
        <w:tab/>
      </w:r>
      <w:r w:rsidR="00656EC0">
        <w:rPr>
          <w:rFonts w:hint="eastAsia"/>
          <w:szCs w:val="21"/>
        </w:rPr>
        <w:tab/>
        <w:t>11</w:t>
      </w:r>
    </w:p>
    <w:p w:rsidR="006B69FA" w:rsidRPr="00E53510" w:rsidRDefault="006B69FA" w:rsidP="000B7556">
      <w:pPr>
        <w:pStyle w:val="a8"/>
        <w:tabs>
          <w:tab w:val="clear" w:pos="1996"/>
        </w:tabs>
        <w:spacing w:after="60"/>
        <w:rPr>
          <w:szCs w:val="21"/>
        </w:rPr>
      </w:pPr>
      <w:r w:rsidRPr="00E53510">
        <w:rPr>
          <w:rFonts w:hint="eastAsia"/>
          <w:szCs w:val="21"/>
        </w:rPr>
        <w:tab/>
      </w:r>
      <w:r w:rsidRPr="00E53510">
        <w:rPr>
          <w:rFonts w:hint="eastAsia"/>
          <w:szCs w:val="21"/>
        </w:rPr>
        <w:tab/>
        <w:t>A.</w:t>
      </w:r>
      <w:r w:rsidRPr="00E53510">
        <w:rPr>
          <w:rFonts w:hint="eastAsia"/>
          <w:szCs w:val="21"/>
        </w:rPr>
        <w:tab/>
      </w:r>
      <w:r w:rsidRPr="00E53510">
        <w:rPr>
          <w:rFonts w:hint="eastAsia"/>
          <w:szCs w:val="21"/>
        </w:rPr>
        <w:t>导言</w:t>
      </w:r>
      <w:r w:rsidRPr="00E53510">
        <w:rPr>
          <w:rFonts w:hint="eastAsia"/>
          <w:szCs w:val="21"/>
        </w:rPr>
        <w:tab/>
      </w:r>
      <w:r w:rsidR="00110F4A">
        <w:rPr>
          <w:rFonts w:hint="eastAsia"/>
          <w:szCs w:val="21"/>
        </w:rPr>
        <w:tab/>
      </w:r>
      <w:r w:rsidR="00656EC0">
        <w:rPr>
          <w:rFonts w:hint="eastAsia"/>
          <w:szCs w:val="21"/>
        </w:rPr>
        <w:t>11</w:t>
      </w:r>
    </w:p>
    <w:p w:rsidR="006B69FA" w:rsidRPr="00E53510" w:rsidRDefault="006B69FA" w:rsidP="000B7556">
      <w:pPr>
        <w:pStyle w:val="a8"/>
        <w:spacing w:after="60"/>
        <w:rPr>
          <w:szCs w:val="21"/>
        </w:rPr>
      </w:pPr>
      <w:r w:rsidRPr="00E53510">
        <w:rPr>
          <w:rFonts w:hint="eastAsia"/>
          <w:szCs w:val="21"/>
        </w:rPr>
        <w:tab/>
      </w:r>
      <w:r w:rsidRPr="00E53510">
        <w:rPr>
          <w:rFonts w:hint="eastAsia"/>
          <w:szCs w:val="21"/>
        </w:rPr>
        <w:tab/>
        <w:t>B.</w:t>
      </w:r>
      <w:r w:rsidRPr="00E53510">
        <w:rPr>
          <w:rFonts w:hint="eastAsia"/>
          <w:szCs w:val="21"/>
        </w:rPr>
        <w:tab/>
      </w:r>
      <w:r w:rsidRPr="00E53510">
        <w:rPr>
          <w:rFonts w:hint="eastAsia"/>
          <w:szCs w:val="21"/>
        </w:rPr>
        <w:t>本届会议审议此专题的情况</w:t>
      </w:r>
      <w:r w:rsidR="00656EC0">
        <w:rPr>
          <w:rFonts w:hint="eastAsia"/>
          <w:szCs w:val="21"/>
        </w:rPr>
        <w:tab/>
      </w:r>
      <w:r w:rsidR="00656EC0">
        <w:rPr>
          <w:rFonts w:hint="eastAsia"/>
          <w:szCs w:val="21"/>
        </w:rPr>
        <w:tab/>
        <w:t>11</w:t>
      </w:r>
    </w:p>
    <w:p w:rsidR="006B69FA" w:rsidRPr="00E53510" w:rsidRDefault="006B69FA" w:rsidP="000B7556">
      <w:pPr>
        <w:pStyle w:val="a8"/>
        <w:spacing w:after="60"/>
        <w:rPr>
          <w:szCs w:val="21"/>
        </w:rPr>
      </w:pPr>
      <w:r w:rsidRPr="00E53510">
        <w:rPr>
          <w:rFonts w:hint="eastAsia"/>
          <w:szCs w:val="21"/>
        </w:rPr>
        <w:tab/>
      </w:r>
      <w:r w:rsidRPr="00E53510">
        <w:rPr>
          <w:rFonts w:hint="eastAsia"/>
          <w:szCs w:val="21"/>
        </w:rPr>
        <w:tab/>
        <w:t>C.</w:t>
      </w:r>
      <w:r w:rsidRPr="00E53510">
        <w:rPr>
          <w:rFonts w:hint="eastAsia"/>
          <w:szCs w:val="21"/>
        </w:rPr>
        <w:tab/>
      </w:r>
      <w:r w:rsidRPr="00E53510">
        <w:rPr>
          <w:rFonts w:hint="eastAsia"/>
          <w:szCs w:val="21"/>
        </w:rPr>
        <w:t>委员会的建议</w:t>
      </w:r>
      <w:r w:rsidRPr="00E53510">
        <w:rPr>
          <w:rFonts w:hint="eastAsia"/>
          <w:szCs w:val="21"/>
        </w:rPr>
        <w:tab/>
      </w:r>
      <w:r w:rsidRPr="00E53510">
        <w:rPr>
          <w:rFonts w:hint="eastAsia"/>
          <w:szCs w:val="21"/>
        </w:rPr>
        <w:tab/>
      </w:r>
      <w:r w:rsidR="00656EC0">
        <w:rPr>
          <w:rFonts w:hint="eastAsia"/>
          <w:szCs w:val="21"/>
        </w:rPr>
        <w:t>12</w:t>
      </w:r>
    </w:p>
    <w:p w:rsidR="006B69FA" w:rsidRPr="00E53510" w:rsidRDefault="006B69FA" w:rsidP="000B7556">
      <w:pPr>
        <w:pStyle w:val="a8"/>
        <w:spacing w:after="60"/>
        <w:rPr>
          <w:szCs w:val="21"/>
        </w:rPr>
      </w:pPr>
      <w:r w:rsidRPr="00E53510">
        <w:rPr>
          <w:rFonts w:hint="eastAsia"/>
          <w:szCs w:val="21"/>
        </w:rPr>
        <w:tab/>
      </w:r>
      <w:r w:rsidRPr="00E53510">
        <w:rPr>
          <w:rFonts w:hint="eastAsia"/>
          <w:szCs w:val="21"/>
        </w:rPr>
        <w:tab/>
        <w:t>D.</w:t>
      </w:r>
      <w:r w:rsidRPr="00E53510">
        <w:rPr>
          <w:rFonts w:hint="eastAsia"/>
          <w:szCs w:val="21"/>
        </w:rPr>
        <w:tab/>
      </w:r>
      <w:r w:rsidRPr="00E53510">
        <w:rPr>
          <w:rFonts w:hint="eastAsia"/>
          <w:szCs w:val="21"/>
        </w:rPr>
        <w:t>向特别报告员表示感谢</w:t>
      </w:r>
      <w:r w:rsidR="00656EC0">
        <w:rPr>
          <w:rFonts w:hint="eastAsia"/>
          <w:szCs w:val="21"/>
        </w:rPr>
        <w:tab/>
      </w:r>
      <w:r w:rsidR="00656EC0">
        <w:rPr>
          <w:rFonts w:hint="eastAsia"/>
          <w:szCs w:val="21"/>
        </w:rPr>
        <w:tab/>
        <w:t>12</w:t>
      </w:r>
    </w:p>
    <w:p w:rsidR="006B69FA" w:rsidRPr="00E53510" w:rsidRDefault="006B69FA" w:rsidP="000B7556">
      <w:pPr>
        <w:pStyle w:val="a8"/>
        <w:spacing w:after="60"/>
        <w:rPr>
          <w:szCs w:val="21"/>
        </w:rPr>
      </w:pPr>
      <w:r w:rsidRPr="00E53510">
        <w:rPr>
          <w:rFonts w:hint="eastAsia"/>
          <w:szCs w:val="21"/>
        </w:rPr>
        <w:tab/>
      </w:r>
      <w:r w:rsidRPr="00E53510">
        <w:rPr>
          <w:rFonts w:hint="eastAsia"/>
          <w:szCs w:val="21"/>
        </w:rPr>
        <w:tab/>
        <w:t>E.</w:t>
      </w:r>
      <w:r w:rsidRPr="00E53510">
        <w:rPr>
          <w:rFonts w:hint="eastAsia"/>
          <w:szCs w:val="21"/>
        </w:rPr>
        <w:tab/>
      </w:r>
      <w:r w:rsidRPr="00E53510">
        <w:rPr>
          <w:rFonts w:hint="eastAsia"/>
          <w:szCs w:val="21"/>
        </w:rPr>
        <w:t>关于发生灾害时的人员保护的条款草案案文</w:t>
      </w:r>
      <w:r w:rsidR="00656EC0">
        <w:rPr>
          <w:rFonts w:hint="eastAsia"/>
          <w:szCs w:val="21"/>
        </w:rPr>
        <w:tab/>
      </w:r>
      <w:r w:rsidR="00656EC0">
        <w:rPr>
          <w:rFonts w:hint="eastAsia"/>
          <w:szCs w:val="21"/>
        </w:rPr>
        <w:tab/>
        <w:t>12</w:t>
      </w:r>
    </w:p>
    <w:p w:rsidR="006B69FA" w:rsidRPr="00E53510" w:rsidRDefault="006B69FA" w:rsidP="000B7556">
      <w:pPr>
        <w:pStyle w:val="a8"/>
        <w:spacing w:after="60"/>
        <w:rPr>
          <w:szCs w:val="21"/>
        </w:rPr>
      </w:pPr>
      <w:r w:rsidRPr="00E53510">
        <w:rPr>
          <w:rFonts w:hint="eastAsia"/>
          <w:szCs w:val="21"/>
        </w:rPr>
        <w:tab/>
      </w:r>
      <w:r w:rsidRPr="00E53510">
        <w:rPr>
          <w:rFonts w:hint="eastAsia"/>
          <w:szCs w:val="21"/>
        </w:rPr>
        <w:tab/>
      </w:r>
      <w:r w:rsidRPr="00E53510">
        <w:rPr>
          <w:rFonts w:hint="eastAsia"/>
          <w:szCs w:val="21"/>
        </w:rPr>
        <w:tab/>
        <w:t>1.</w:t>
      </w:r>
      <w:r w:rsidRPr="00E53510">
        <w:rPr>
          <w:rFonts w:hint="eastAsia"/>
          <w:szCs w:val="21"/>
        </w:rPr>
        <w:tab/>
      </w:r>
      <w:r w:rsidRPr="00E53510">
        <w:rPr>
          <w:rFonts w:hint="eastAsia"/>
          <w:szCs w:val="21"/>
        </w:rPr>
        <w:t>条款草案案文</w:t>
      </w:r>
      <w:r w:rsidR="00656EC0">
        <w:rPr>
          <w:rFonts w:hint="eastAsia"/>
          <w:szCs w:val="21"/>
        </w:rPr>
        <w:tab/>
      </w:r>
      <w:r w:rsidR="00656EC0">
        <w:rPr>
          <w:rFonts w:hint="eastAsia"/>
          <w:szCs w:val="21"/>
        </w:rPr>
        <w:tab/>
        <w:t>12</w:t>
      </w:r>
    </w:p>
    <w:p w:rsidR="006B69FA" w:rsidRPr="00E53510" w:rsidRDefault="006B69FA" w:rsidP="000B7556">
      <w:pPr>
        <w:pStyle w:val="a8"/>
        <w:spacing w:after="60"/>
        <w:rPr>
          <w:szCs w:val="21"/>
        </w:rPr>
      </w:pPr>
      <w:r w:rsidRPr="00E53510">
        <w:rPr>
          <w:rFonts w:hint="eastAsia"/>
          <w:szCs w:val="21"/>
        </w:rPr>
        <w:tab/>
      </w:r>
      <w:r w:rsidRPr="00E53510">
        <w:rPr>
          <w:rFonts w:hint="eastAsia"/>
          <w:szCs w:val="21"/>
        </w:rPr>
        <w:tab/>
      </w:r>
      <w:r w:rsidRPr="00E53510">
        <w:rPr>
          <w:rFonts w:hint="eastAsia"/>
          <w:szCs w:val="21"/>
        </w:rPr>
        <w:tab/>
        <w:t>2.</w:t>
      </w:r>
      <w:r w:rsidRPr="00E53510">
        <w:rPr>
          <w:rFonts w:hint="eastAsia"/>
          <w:szCs w:val="21"/>
        </w:rPr>
        <w:tab/>
      </w:r>
      <w:r w:rsidRPr="00E53510">
        <w:rPr>
          <w:rFonts w:hint="eastAsia"/>
          <w:szCs w:val="21"/>
        </w:rPr>
        <w:t>条款草案案文及其评注</w:t>
      </w:r>
      <w:r w:rsidR="00656EC0">
        <w:rPr>
          <w:rFonts w:hint="eastAsia"/>
          <w:szCs w:val="21"/>
        </w:rPr>
        <w:tab/>
      </w:r>
      <w:r w:rsidR="00656EC0">
        <w:rPr>
          <w:rFonts w:hint="eastAsia"/>
          <w:szCs w:val="21"/>
        </w:rPr>
        <w:tab/>
        <w:t>16</w:t>
      </w:r>
    </w:p>
    <w:p w:rsidR="006B69FA" w:rsidRPr="00E53510" w:rsidRDefault="006B69FA" w:rsidP="000B7556">
      <w:pPr>
        <w:tabs>
          <w:tab w:val="clear" w:pos="431"/>
          <w:tab w:val="right" w:pos="850"/>
          <w:tab w:val="left" w:pos="1134"/>
          <w:tab w:val="left" w:pos="1559"/>
          <w:tab w:val="left" w:pos="1984"/>
          <w:tab w:val="left" w:pos="2977"/>
          <w:tab w:val="left" w:leader="dot" w:pos="8787"/>
          <w:tab w:val="right" w:pos="9554"/>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第</w:t>
      </w:r>
      <w:r w:rsidRPr="00E53510">
        <w:rPr>
          <w:rFonts w:hint="eastAsia"/>
          <w:szCs w:val="21"/>
        </w:rPr>
        <w:t>1</w:t>
      </w:r>
      <w:r w:rsidRPr="00E53510">
        <w:rPr>
          <w:rFonts w:hint="eastAsia"/>
          <w:szCs w:val="21"/>
        </w:rPr>
        <w:t>条</w:t>
      </w:r>
      <w:r w:rsidRPr="00E53510">
        <w:rPr>
          <w:rFonts w:hint="eastAsia"/>
          <w:szCs w:val="21"/>
        </w:rPr>
        <w:tab/>
      </w:r>
      <w:r w:rsidRPr="00E53510">
        <w:rPr>
          <w:rFonts w:hint="eastAsia"/>
          <w:szCs w:val="21"/>
        </w:rPr>
        <w:t>范围</w:t>
      </w:r>
      <w:r w:rsidR="00656EC0">
        <w:rPr>
          <w:rFonts w:hint="eastAsia"/>
          <w:szCs w:val="21"/>
        </w:rPr>
        <w:tab/>
      </w:r>
      <w:r w:rsidR="00656EC0">
        <w:rPr>
          <w:rFonts w:hint="eastAsia"/>
          <w:szCs w:val="21"/>
        </w:rPr>
        <w:tab/>
        <w:t>17</w:t>
      </w:r>
    </w:p>
    <w:p w:rsidR="006B69FA" w:rsidRPr="00E53510" w:rsidRDefault="006B69FA" w:rsidP="000B7556">
      <w:pPr>
        <w:tabs>
          <w:tab w:val="clear" w:pos="431"/>
          <w:tab w:val="right" w:pos="850"/>
          <w:tab w:val="left" w:pos="1134"/>
          <w:tab w:val="left" w:pos="1559"/>
          <w:tab w:val="left" w:pos="1984"/>
          <w:tab w:val="left" w:pos="297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Pr="00E53510">
        <w:rPr>
          <w:rFonts w:hint="eastAsia"/>
          <w:szCs w:val="21"/>
        </w:rPr>
        <w:tab/>
      </w:r>
      <w:r w:rsidRPr="00E53510">
        <w:rPr>
          <w:rFonts w:hint="eastAsia"/>
          <w:szCs w:val="21"/>
        </w:rPr>
        <w:tab/>
        <w:t>1</w:t>
      </w:r>
      <w:r w:rsidR="00656EC0">
        <w:rPr>
          <w:rFonts w:hint="eastAsia"/>
          <w:szCs w:val="21"/>
        </w:rPr>
        <w:t>7</w:t>
      </w:r>
    </w:p>
    <w:p w:rsidR="006B69FA" w:rsidRPr="00E53510" w:rsidRDefault="006B69FA" w:rsidP="000B7556">
      <w:pPr>
        <w:tabs>
          <w:tab w:val="clear" w:pos="431"/>
          <w:tab w:val="right" w:pos="850"/>
          <w:tab w:val="left" w:pos="1134"/>
          <w:tab w:val="left" w:pos="1559"/>
          <w:tab w:val="left" w:pos="1984"/>
          <w:tab w:val="left" w:pos="297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第</w:t>
      </w:r>
      <w:r w:rsidRPr="00E53510">
        <w:rPr>
          <w:rFonts w:hint="eastAsia"/>
          <w:szCs w:val="21"/>
        </w:rPr>
        <w:t>2</w:t>
      </w:r>
      <w:r w:rsidRPr="00E53510">
        <w:rPr>
          <w:rFonts w:hint="eastAsia"/>
          <w:szCs w:val="21"/>
        </w:rPr>
        <w:t>条</w:t>
      </w:r>
      <w:r w:rsidRPr="00E53510">
        <w:rPr>
          <w:rFonts w:hint="eastAsia"/>
          <w:szCs w:val="21"/>
        </w:rPr>
        <w:tab/>
      </w:r>
      <w:r w:rsidRPr="00E53510">
        <w:rPr>
          <w:rFonts w:hint="eastAsia"/>
          <w:szCs w:val="21"/>
        </w:rPr>
        <w:t>宗旨</w:t>
      </w:r>
      <w:r w:rsidR="00656EC0">
        <w:rPr>
          <w:rFonts w:hint="eastAsia"/>
          <w:szCs w:val="21"/>
        </w:rPr>
        <w:tab/>
      </w:r>
      <w:r w:rsidR="00656EC0">
        <w:rPr>
          <w:rFonts w:hint="eastAsia"/>
          <w:szCs w:val="21"/>
        </w:rPr>
        <w:tab/>
        <w:t>19</w:t>
      </w:r>
    </w:p>
    <w:p w:rsidR="006B69FA" w:rsidRPr="00E53510" w:rsidRDefault="006B69FA" w:rsidP="000B7556">
      <w:pPr>
        <w:tabs>
          <w:tab w:val="clear" w:pos="431"/>
          <w:tab w:val="right" w:pos="850"/>
          <w:tab w:val="left" w:pos="1134"/>
          <w:tab w:val="left" w:pos="1559"/>
          <w:tab w:val="left" w:pos="1984"/>
          <w:tab w:val="left" w:pos="297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656EC0">
        <w:rPr>
          <w:rFonts w:hint="eastAsia"/>
          <w:szCs w:val="21"/>
        </w:rPr>
        <w:tab/>
      </w:r>
      <w:r w:rsidR="00656EC0">
        <w:rPr>
          <w:rFonts w:hint="eastAsia"/>
          <w:szCs w:val="21"/>
        </w:rPr>
        <w:tab/>
        <w:t>19</w:t>
      </w:r>
    </w:p>
    <w:p w:rsidR="006B69FA" w:rsidRPr="00E53510" w:rsidRDefault="006B69FA" w:rsidP="000B7556">
      <w:pPr>
        <w:tabs>
          <w:tab w:val="clear" w:pos="431"/>
          <w:tab w:val="right" w:pos="850"/>
          <w:tab w:val="left" w:pos="1134"/>
          <w:tab w:val="left" w:pos="1559"/>
          <w:tab w:val="left" w:pos="1984"/>
          <w:tab w:val="left" w:pos="297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第</w:t>
      </w:r>
      <w:r w:rsidRPr="00E53510">
        <w:rPr>
          <w:rFonts w:hint="eastAsia"/>
          <w:szCs w:val="21"/>
        </w:rPr>
        <w:t>3</w:t>
      </w:r>
      <w:r w:rsidRPr="00E53510">
        <w:rPr>
          <w:rFonts w:hint="eastAsia"/>
          <w:szCs w:val="21"/>
        </w:rPr>
        <w:t>条</w:t>
      </w:r>
      <w:r w:rsidRPr="00E53510">
        <w:rPr>
          <w:rFonts w:hint="eastAsia"/>
          <w:szCs w:val="21"/>
        </w:rPr>
        <w:tab/>
      </w:r>
      <w:r w:rsidRPr="00E53510">
        <w:rPr>
          <w:rFonts w:hint="eastAsia"/>
          <w:szCs w:val="21"/>
        </w:rPr>
        <w:t>用语</w:t>
      </w:r>
      <w:r w:rsidR="00656EC0">
        <w:rPr>
          <w:rFonts w:hint="eastAsia"/>
          <w:szCs w:val="21"/>
        </w:rPr>
        <w:tab/>
      </w:r>
      <w:r w:rsidR="00656EC0">
        <w:rPr>
          <w:rFonts w:hint="eastAsia"/>
          <w:szCs w:val="21"/>
        </w:rPr>
        <w:tab/>
        <w:t>20</w:t>
      </w:r>
    </w:p>
    <w:p w:rsidR="006B69FA" w:rsidRPr="00E53510" w:rsidRDefault="006B69FA" w:rsidP="000B7556">
      <w:pPr>
        <w:tabs>
          <w:tab w:val="clear" w:pos="431"/>
          <w:tab w:val="right" w:pos="850"/>
          <w:tab w:val="left" w:pos="1134"/>
          <w:tab w:val="left" w:pos="1559"/>
          <w:tab w:val="left" w:pos="1984"/>
          <w:tab w:val="left" w:pos="297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656EC0">
        <w:rPr>
          <w:rFonts w:hint="eastAsia"/>
          <w:szCs w:val="21"/>
        </w:rPr>
        <w:tab/>
      </w:r>
      <w:r w:rsidR="00656EC0">
        <w:rPr>
          <w:rFonts w:hint="eastAsia"/>
          <w:szCs w:val="21"/>
        </w:rPr>
        <w:tab/>
        <w:t>21</w:t>
      </w:r>
    </w:p>
    <w:p w:rsidR="006B69FA" w:rsidRPr="00E53510" w:rsidRDefault="006B69FA" w:rsidP="000B7556">
      <w:pPr>
        <w:tabs>
          <w:tab w:val="clear" w:pos="431"/>
          <w:tab w:val="right" w:pos="850"/>
          <w:tab w:val="left" w:pos="1134"/>
          <w:tab w:val="left" w:pos="1559"/>
          <w:tab w:val="left" w:pos="1984"/>
          <w:tab w:val="left" w:pos="297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第</w:t>
      </w:r>
      <w:r w:rsidRPr="00E53510">
        <w:rPr>
          <w:rFonts w:hint="eastAsia"/>
          <w:szCs w:val="21"/>
        </w:rPr>
        <w:t>4</w:t>
      </w:r>
      <w:r w:rsidRPr="00E53510">
        <w:rPr>
          <w:rFonts w:hint="eastAsia"/>
          <w:szCs w:val="21"/>
        </w:rPr>
        <w:t>条</w:t>
      </w:r>
      <w:r w:rsidRPr="00E53510">
        <w:rPr>
          <w:rFonts w:hint="eastAsia"/>
          <w:szCs w:val="21"/>
        </w:rPr>
        <w:tab/>
      </w:r>
      <w:r w:rsidRPr="00E53510">
        <w:rPr>
          <w:rFonts w:hint="eastAsia"/>
          <w:szCs w:val="21"/>
        </w:rPr>
        <w:t>人的尊严</w:t>
      </w:r>
      <w:r w:rsidR="00656EC0">
        <w:rPr>
          <w:rFonts w:hint="eastAsia"/>
          <w:szCs w:val="21"/>
        </w:rPr>
        <w:tab/>
      </w:r>
      <w:r w:rsidR="00656EC0">
        <w:rPr>
          <w:rFonts w:hint="eastAsia"/>
          <w:szCs w:val="21"/>
        </w:rPr>
        <w:tab/>
        <w:t>27</w:t>
      </w:r>
    </w:p>
    <w:p w:rsidR="006B69FA" w:rsidRPr="00E53510" w:rsidRDefault="006B69FA" w:rsidP="000B7556">
      <w:pPr>
        <w:tabs>
          <w:tab w:val="clear" w:pos="431"/>
          <w:tab w:val="right" w:pos="850"/>
          <w:tab w:val="left" w:pos="1134"/>
          <w:tab w:val="left" w:pos="1559"/>
          <w:tab w:val="left" w:pos="1984"/>
          <w:tab w:val="left" w:pos="297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656EC0">
        <w:rPr>
          <w:rFonts w:hint="eastAsia"/>
          <w:szCs w:val="21"/>
        </w:rPr>
        <w:tab/>
      </w:r>
      <w:r w:rsidR="00656EC0">
        <w:rPr>
          <w:rFonts w:hint="eastAsia"/>
          <w:szCs w:val="21"/>
        </w:rPr>
        <w:tab/>
        <w:t>27</w:t>
      </w:r>
    </w:p>
    <w:p w:rsidR="006B69FA" w:rsidRPr="00E53510" w:rsidRDefault="006B69FA" w:rsidP="000B7556">
      <w:pPr>
        <w:tabs>
          <w:tab w:val="clear" w:pos="431"/>
          <w:tab w:val="right" w:pos="850"/>
          <w:tab w:val="left" w:pos="1134"/>
          <w:tab w:val="left" w:pos="1559"/>
          <w:tab w:val="left" w:pos="1984"/>
          <w:tab w:val="left" w:pos="297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第</w:t>
      </w:r>
      <w:r w:rsidRPr="00E53510">
        <w:rPr>
          <w:rFonts w:hint="eastAsia"/>
          <w:szCs w:val="21"/>
        </w:rPr>
        <w:t>5</w:t>
      </w:r>
      <w:r w:rsidRPr="00E53510">
        <w:rPr>
          <w:rFonts w:hint="eastAsia"/>
          <w:szCs w:val="21"/>
        </w:rPr>
        <w:t>条</w:t>
      </w:r>
      <w:r w:rsidRPr="00E53510">
        <w:rPr>
          <w:rFonts w:hint="eastAsia"/>
          <w:szCs w:val="21"/>
        </w:rPr>
        <w:tab/>
      </w:r>
      <w:r w:rsidRPr="00E53510">
        <w:rPr>
          <w:rFonts w:hint="eastAsia"/>
          <w:szCs w:val="21"/>
        </w:rPr>
        <w:t>人权</w:t>
      </w:r>
      <w:r w:rsidR="00656EC0">
        <w:rPr>
          <w:rFonts w:hint="eastAsia"/>
          <w:szCs w:val="21"/>
        </w:rPr>
        <w:tab/>
      </w:r>
      <w:r w:rsidR="00656EC0">
        <w:rPr>
          <w:rFonts w:hint="eastAsia"/>
          <w:szCs w:val="21"/>
        </w:rPr>
        <w:tab/>
        <w:t>29</w:t>
      </w:r>
    </w:p>
    <w:p w:rsidR="006B69FA" w:rsidRPr="00E53510" w:rsidRDefault="006B69FA" w:rsidP="000B7556">
      <w:pPr>
        <w:tabs>
          <w:tab w:val="clear" w:pos="431"/>
          <w:tab w:val="right" w:pos="850"/>
          <w:tab w:val="left" w:pos="1134"/>
          <w:tab w:val="left" w:pos="1559"/>
          <w:tab w:val="left" w:pos="1984"/>
          <w:tab w:val="left" w:pos="297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656EC0">
        <w:rPr>
          <w:rFonts w:hint="eastAsia"/>
          <w:szCs w:val="21"/>
        </w:rPr>
        <w:tab/>
      </w:r>
      <w:r w:rsidR="00656EC0">
        <w:rPr>
          <w:rFonts w:hint="eastAsia"/>
          <w:szCs w:val="21"/>
        </w:rPr>
        <w:tab/>
        <w:t>29</w:t>
      </w:r>
    </w:p>
    <w:p w:rsidR="006B69FA" w:rsidRPr="00E53510" w:rsidRDefault="006B69FA" w:rsidP="000B7556">
      <w:pPr>
        <w:tabs>
          <w:tab w:val="clear" w:pos="431"/>
          <w:tab w:val="right" w:pos="850"/>
          <w:tab w:val="left" w:pos="1134"/>
          <w:tab w:val="left" w:pos="1559"/>
          <w:tab w:val="left" w:pos="1984"/>
          <w:tab w:val="left" w:pos="297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第</w:t>
      </w:r>
      <w:r w:rsidRPr="00E53510">
        <w:rPr>
          <w:rFonts w:hint="eastAsia"/>
          <w:szCs w:val="21"/>
        </w:rPr>
        <w:t>6</w:t>
      </w:r>
      <w:r w:rsidRPr="00E53510">
        <w:rPr>
          <w:rFonts w:hint="eastAsia"/>
          <w:szCs w:val="21"/>
        </w:rPr>
        <w:t>条</w:t>
      </w:r>
      <w:r w:rsidRPr="00E53510">
        <w:rPr>
          <w:rFonts w:hint="eastAsia"/>
          <w:szCs w:val="21"/>
        </w:rPr>
        <w:tab/>
      </w:r>
      <w:r w:rsidRPr="00E53510">
        <w:rPr>
          <w:rFonts w:hint="eastAsia"/>
          <w:szCs w:val="21"/>
        </w:rPr>
        <w:t>人道主义原则</w:t>
      </w:r>
      <w:r w:rsidR="00656EC0">
        <w:rPr>
          <w:rFonts w:hint="eastAsia"/>
          <w:szCs w:val="21"/>
        </w:rPr>
        <w:tab/>
      </w:r>
      <w:r w:rsidR="00656EC0">
        <w:rPr>
          <w:rFonts w:hint="eastAsia"/>
          <w:szCs w:val="21"/>
        </w:rPr>
        <w:tab/>
        <w:t>31</w:t>
      </w:r>
    </w:p>
    <w:p w:rsidR="006B69FA" w:rsidRPr="00E53510" w:rsidRDefault="006B69FA" w:rsidP="000B7556">
      <w:pPr>
        <w:tabs>
          <w:tab w:val="clear" w:pos="431"/>
          <w:tab w:val="right" w:pos="850"/>
          <w:tab w:val="left" w:pos="1134"/>
          <w:tab w:val="left" w:pos="1559"/>
          <w:tab w:val="left" w:pos="1984"/>
          <w:tab w:val="left" w:pos="297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656EC0">
        <w:rPr>
          <w:rFonts w:hint="eastAsia"/>
          <w:szCs w:val="21"/>
        </w:rPr>
        <w:tab/>
      </w:r>
      <w:r w:rsidR="00656EC0">
        <w:rPr>
          <w:rFonts w:hint="eastAsia"/>
          <w:szCs w:val="21"/>
        </w:rPr>
        <w:tab/>
        <w:t>31</w:t>
      </w:r>
    </w:p>
    <w:p w:rsidR="006B69FA" w:rsidRPr="00E53510" w:rsidRDefault="006B69FA" w:rsidP="000B7556">
      <w:pPr>
        <w:tabs>
          <w:tab w:val="clear" w:pos="431"/>
          <w:tab w:val="right" w:pos="850"/>
          <w:tab w:val="left" w:pos="1134"/>
          <w:tab w:val="left" w:pos="1559"/>
          <w:tab w:val="left" w:pos="1984"/>
          <w:tab w:val="left" w:pos="297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第</w:t>
      </w:r>
      <w:r w:rsidRPr="00E53510">
        <w:rPr>
          <w:rFonts w:hint="eastAsia"/>
          <w:szCs w:val="21"/>
        </w:rPr>
        <w:t>7</w:t>
      </w:r>
      <w:r w:rsidRPr="00E53510">
        <w:rPr>
          <w:rFonts w:hint="eastAsia"/>
          <w:szCs w:val="21"/>
        </w:rPr>
        <w:t>条</w:t>
      </w:r>
      <w:r w:rsidRPr="00E53510">
        <w:rPr>
          <w:rFonts w:hint="eastAsia"/>
          <w:szCs w:val="21"/>
        </w:rPr>
        <w:tab/>
      </w:r>
      <w:r w:rsidRPr="00E53510">
        <w:rPr>
          <w:rFonts w:hint="eastAsia"/>
          <w:szCs w:val="21"/>
        </w:rPr>
        <w:t>合作的义务</w:t>
      </w:r>
      <w:r w:rsidRPr="00E53510">
        <w:rPr>
          <w:rFonts w:hint="eastAsia"/>
          <w:szCs w:val="21"/>
        </w:rPr>
        <w:tab/>
      </w:r>
      <w:r w:rsidRPr="00E53510">
        <w:rPr>
          <w:rFonts w:hint="eastAsia"/>
          <w:szCs w:val="21"/>
        </w:rPr>
        <w:tab/>
      </w:r>
      <w:r w:rsidR="00656EC0">
        <w:rPr>
          <w:rFonts w:hint="eastAsia"/>
          <w:szCs w:val="21"/>
        </w:rPr>
        <w:t>34</w:t>
      </w:r>
    </w:p>
    <w:p w:rsidR="006B69FA" w:rsidRPr="00E53510" w:rsidRDefault="006B69FA" w:rsidP="000B7556">
      <w:pPr>
        <w:tabs>
          <w:tab w:val="clear" w:pos="431"/>
          <w:tab w:val="right" w:pos="850"/>
          <w:tab w:val="left" w:pos="1134"/>
          <w:tab w:val="left" w:pos="1559"/>
          <w:tab w:val="left" w:pos="1984"/>
          <w:tab w:val="left" w:pos="297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656EC0">
        <w:rPr>
          <w:rFonts w:hint="eastAsia"/>
          <w:szCs w:val="21"/>
        </w:rPr>
        <w:tab/>
      </w:r>
      <w:r w:rsidR="00656EC0">
        <w:rPr>
          <w:rFonts w:hint="eastAsia"/>
          <w:szCs w:val="21"/>
        </w:rPr>
        <w:tab/>
        <w:t>34</w:t>
      </w:r>
    </w:p>
    <w:p w:rsidR="006B69FA" w:rsidRPr="00E53510" w:rsidRDefault="006B69FA" w:rsidP="000B7556">
      <w:pPr>
        <w:tabs>
          <w:tab w:val="clear" w:pos="431"/>
          <w:tab w:val="right" w:pos="850"/>
          <w:tab w:val="left" w:pos="1134"/>
          <w:tab w:val="left" w:pos="1559"/>
          <w:tab w:val="left" w:pos="1984"/>
          <w:tab w:val="left" w:pos="297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第</w:t>
      </w:r>
      <w:r w:rsidRPr="00E53510">
        <w:rPr>
          <w:rFonts w:hint="eastAsia"/>
          <w:szCs w:val="21"/>
        </w:rPr>
        <w:t>8</w:t>
      </w:r>
      <w:r w:rsidRPr="00E53510">
        <w:rPr>
          <w:rFonts w:hint="eastAsia"/>
          <w:szCs w:val="21"/>
        </w:rPr>
        <w:t>条</w:t>
      </w:r>
      <w:r w:rsidRPr="00E53510">
        <w:rPr>
          <w:rFonts w:hint="eastAsia"/>
          <w:szCs w:val="21"/>
        </w:rPr>
        <w:tab/>
      </w:r>
      <w:r w:rsidRPr="00E53510">
        <w:rPr>
          <w:rFonts w:hint="eastAsia"/>
          <w:szCs w:val="21"/>
        </w:rPr>
        <w:t>应对灾害的合作形式</w:t>
      </w:r>
      <w:r w:rsidR="00656EC0">
        <w:rPr>
          <w:rFonts w:hint="eastAsia"/>
          <w:szCs w:val="21"/>
        </w:rPr>
        <w:tab/>
      </w:r>
      <w:r w:rsidR="00656EC0">
        <w:rPr>
          <w:rFonts w:hint="eastAsia"/>
          <w:szCs w:val="21"/>
        </w:rPr>
        <w:tab/>
        <w:t>38</w:t>
      </w:r>
    </w:p>
    <w:p w:rsidR="006B69FA" w:rsidRPr="00E53510" w:rsidRDefault="006B69FA" w:rsidP="000B7556">
      <w:pPr>
        <w:tabs>
          <w:tab w:val="clear" w:pos="431"/>
          <w:tab w:val="right" w:pos="850"/>
          <w:tab w:val="left" w:pos="1134"/>
          <w:tab w:val="left" w:pos="1559"/>
          <w:tab w:val="left" w:pos="1984"/>
          <w:tab w:val="left" w:pos="297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656EC0">
        <w:rPr>
          <w:rFonts w:hint="eastAsia"/>
          <w:szCs w:val="21"/>
        </w:rPr>
        <w:tab/>
      </w:r>
      <w:r w:rsidR="00656EC0">
        <w:rPr>
          <w:rFonts w:hint="eastAsia"/>
          <w:szCs w:val="21"/>
        </w:rPr>
        <w:tab/>
        <w:t>38</w:t>
      </w:r>
    </w:p>
    <w:p w:rsidR="006B69FA" w:rsidRPr="00E53510" w:rsidRDefault="006B69FA" w:rsidP="000B7556">
      <w:pPr>
        <w:tabs>
          <w:tab w:val="clear" w:pos="431"/>
          <w:tab w:val="right" w:pos="850"/>
          <w:tab w:val="left" w:pos="1134"/>
          <w:tab w:val="left" w:pos="1559"/>
          <w:tab w:val="left" w:pos="1984"/>
          <w:tab w:val="left" w:pos="297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第</w:t>
      </w:r>
      <w:r w:rsidRPr="00E53510">
        <w:rPr>
          <w:rFonts w:hint="eastAsia"/>
          <w:szCs w:val="21"/>
        </w:rPr>
        <w:t>9</w:t>
      </w:r>
      <w:r w:rsidRPr="00E53510">
        <w:rPr>
          <w:rFonts w:hint="eastAsia"/>
          <w:szCs w:val="21"/>
        </w:rPr>
        <w:t>条</w:t>
      </w:r>
      <w:r w:rsidRPr="00E53510">
        <w:rPr>
          <w:rFonts w:hint="eastAsia"/>
          <w:szCs w:val="21"/>
        </w:rPr>
        <w:tab/>
      </w:r>
      <w:r w:rsidRPr="00E53510">
        <w:rPr>
          <w:rFonts w:hint="eastAsia"/>
          <w:szCs w:val="21"/>
        </w:rPr>
        <w:t>减少灾害风险</w:t>
      </w:r>
      <w:r w:rsidR="00656EC0">
        <w:rPr>
          <w:rFonts w:hint="eastAsia"/>
          <w:szCs w:val="21"/>
        </w:rPr>
        <w:tab/>
      </w:r>
      <w:r w:rsidR="00656EC0">
        <w:rPr>
          <w:rFonts w:hint="eastAsia"/>
          <w:szCs w:val="21"/>
        </w:rPr>
        <w:tab/>
        <w:t>40</w:t>
      </w:r>
    </w:p>
    <w:p w:rsidR="006B69FA" w:rsidRPr="00E53510" w:rsidRDefault="006B69FA" w:rsidP="000B7556">
      <w:pPr>
        <w:tabs>
          <w:tab w:val="clear" w:pos="431"/>
          <w:tab w:val="right" w:pos="850"/>
          <w:tab w:val="left" w:pos="1134"/>
          <w:tab w:val="left" w:pos="1559"/>
          <w:tab w:val="left" w:pos="1984"/>
          <w:tab w:val="left" w:pos="297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656EC0">
        <w:rPr>
          <w:rFonts w:hint="eastAsia"/>
          <w:szCs w:val="21"/>
        </w:rPr>
        <w:tab/>
      </w:r>
      <w:r w:rsidR="00656EC0">
        <w:rPr>
          <w:rFonts w:hint="eastAsia"/>
          <w:szCs w:val="21"/>
        </w:rPr>
        <w:tab/>
        <w:t>40</w:t>
      </w:r>
    </w:p>
    <w:p w:rsidR="006B69FA" w:rsidRPr="00E53510" w:rsidRDefault="006B69FA" w:rsidP="000B7556">
      <w:pPr>
        <w:tabs>
          <w:tab w:val="clear" w:pos="431"/>
          <w:tab w:val="right" w:pos="850"/>
          <w:tab w:val="left" w:pos="1134"/>
          <w:tab w:val="left" w:pos="1559"/>
          <w:tab w:val="left" w:pos="1984"/>
          <w:tab w:val="left" w:pos="297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第</w:t>
      </w:r>
      <w:r w:rsidRPr="00E53510">
        <w:rPr>
          <w:rFonts w:hint="eastAsia"/>
          <w:szCs w:val="21"/>
        </w:rPr>
        <w:t>10</w:t>
      </w:r>
      <w:r w:rsidRPr="00E53510">
        <w:rPr>
          <w:rFonts w:hint="eastAsia"/>
          <w:szCs w:val="21"/>
        </w:rPr>
        <w:t>条</w:t>
      </w:r>
      <w:r w:rsidRPr="00E53510">
        <w:rPr>
          <w:rFonts w:hint="eastAsia"/>
          <w:szCs w:val="21"/>
        </w:rPr>
        <w:tab/>
      </w:r>
      <w:r w:rsidRPr="00E53510">
        <w:rPr>
          <w:rFonts w:hint="eastAsia"/>
          <w:szCs w:val="21"/>
        </w:rPr>
        <w:t>受灾国的作用</w:t>
      </w:r>
      <w:r w:rsidR="00656EC0">
        <w:rPr>
          <w:rFonts w:hint="eastAsia"/>
          <w:szCs w:val="21"/>
        </w:rPr>
        <w:tab/>
      </w:r>
      <w:r w:rsidR="00656EC0">
        <w:rPr>
          <w:rFonts w:hint="eastAsia"/>
          <w:szCs w:val="21"/>
        </w:rPr>
        <w:tab/>
        <w:t>48</w:t>
      </w:r>
    </w:p>
    <w:p w:rsidR="006B69FA" w:rsidRPr="00E53510" w:rsidRDefault="006B69FA" w:rsidP="000B7556">
      <w:pPr>
        <w:tabs>
          <w:tab w:val="clear" w:pos="431"/>
          <w:tab w:val="right" w:pos="850"/>
          <w:tab w:val="left" w:pos="1134"/>
          <w:tab w:val="left" w:pos="1559"/>
          <w:tab w:val="left" w:pos="1984"/>
          <w:tab w:val="left" w:pos="297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656EC0">
        <w:rPr>
          <w:rFonts w:hint="eastAsia"/>
          <w:szCs w:val="21"/>
        </w:rPr>
        <w:tab/>
      </w:r>
      <w:r w:rsidR="00656EC0">
        <w:rPr>
          <w:rFonts w:hint="eastAsia"/>
          <w:szCs w:val="21"/>
        </w:rPr>
        <w:tab/>
        <w:t>48</w:t>
      </w:r>
    </w:p>
    <w:p w:rsidR="006B69FA" w:rsidRPr="00E53510" w:rsidRDefault="006B69FA" w:rsidP="000B7556">
      <w:pPr>
        <w:tabs>
          <w:tab w:val="clear" w:pos="431"/>
          <w:tab w:val="right" w:pos="850"/>
          <w:tab w:val="left" w:pos="1134"/>
          <w:tab w:val="left" w:pos="1559"/>
          <w:tab w:val="left" w:pos="1984"/>
          <w:tab w:val="left" w:pos="297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第</w:t>
      </w:r>
      <w:r w:rsidRPr="00E53510">
        <w:rPr>
          <w:rFonts w:hint="eastAsia"/>
          <w:szCs w:val="21"/>
        </w:rPr>
        <w:t>11</w:t>
      </w:r>
      <w:r w:rsidRPr="00E53510">
        <w:rPr>
          <w:rFonts w:hint="eastAsia"/>
          <w:szCs w:val="21"/>
        </w:rPr>
        <w:t>条</w:t>
      </w:r>
      <w:r w:rsidRPr="00E53510">
        <w:rPr>
          <w:rFonts w:hint="eastAsia"/>
          <w:szCs w:val="21"/>
        </w:rPr>
        <w:tab/>
      </w:r>
      <w:r w:rsidRPr="00E53510">
        <w:rPr>
          <w:rFonts w:hint="eastAsia"/>
          <w:szCs w:val="21"/>
        </w:rPr>
        <w:t>受灾国寻求外部援助的责任</w:t>
      </w:r>
      <w:r w:rsidR="00656EC0">
        <w:rPr>
          <w:rFonts w:hint="eastAsia"/>
          <w:szCs w:val="21"/>
        </w:rPr>
        <w:tab/>
      </w:r>
      <w:r w:rsidR="00656EC0">
        <w:rPr>
          <w:rFonts w:hint="eastAsia"/>
          <w:szCs w:val="21"/>
        </w:rPr>
        <w:tab/>
        <w:t>50</w:t>
      </w:r>
    </w:p>
    <w:p w:rsidR="006B69FA" w:rsidRPr="00E53510" w:rsidRDefault="006B69FA" w:rsidP="000B7556">
      <w:pPr>
        <w:tabs>
          <w:tab w:val="clear" w:pos="431"/>
          <w:tab w:val="right" w:pos="850"/>
          <w:tab w:val="left" w:pos="1134"/>
          <w:tab w:val="left" w:pos="1559"/>
          <w:tab w:val="left" w:pos="1984"/>
          <w:tab w:val="left" w:pos="297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656EC0">
        <w:rPr>
          <w:rFonts w:hint="eastAsia"/>
          <w:szCs w:val="21"/>
        </w:rPr>
        <w:tab/>
      </w:r>
      <w:r w:rsidR="00656EC0">
        <w:rPr>
          <w:rFonts w:hint="eastAsia"/>
          <w:szCs w:val="21"/>
        </w:rPr>
        <w:tab/>
        <w:t>50</w:t>
      </w:r>
    </w:p>
    <w:p w:rsidR="006B69FA" w:rsidRPr="00E53510" w:rsidRDefault="006B69FA" w:rsidP="000B7556">
      <w:pPr>
        <w:tabs>
          <w:tab w:val="clear" w:pos="431"/>
          <w:tab w:val="right" w:pos="850"/>
          <w:tab w:val="left" w:pos="1134"/>
          <w:tab w:val="left" w:pos="1559"/>
          <w:tab w:val="left" w:pos="1984"/>
          <w:tab w:val="left" w:pos="297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第</w:t>
      </w:r>
      <w:r w:rsidRPr="00E53510">
        <w:rPr>
          <w:rFonts w:hint="eastAsia"/>
          <w:szCs w:val="21"/>
        </w:rPr>
        <w:t>12</w:t>
      </w:r>
      <w:r w:rsidRPr="00E53510">
        <w:rPr>
          <w:rFonts w:hint="eastAsia"/>
          <w:szCs w:val="21"/>
        </w:rPr>
        <w:t>条</w:t>
      </w:r>
      <w:r w:rsidRPr="00E53510">
        <w:rPr>
          <w:rFonts w:hint="eastAsia"/>
          <w:szCs w:val="21"/>
        </w:rPr>
        <w:tab/>
      </w:r>
      <w:r w:rsidRPr="00E53510">
        <w:rPr>
          <w:rFonts w:hint="eastAsia"/>
          <w:szCs w:val="21"/>
        </w:rPr>
        <w:t>提议外部援助</w:t>
      </w:r>
      <w:r w:rsidR="00656EC0">
        <w:rPr>
          <w:rFonts w:hint="eastAsia"/>
          <w:szCs w:val="21"/>
        </w:rPr>
        <w:tab/>
      </w:r>
      <w:r w:rsidR="00656EC0">
        <w:rPr>
          <w:rFonts w:hint="eastAsia"/>
          <w:szCs w:val="21"/>
        </w:rPr>
        <w:tab/>
        <w:t>54</w:t>
      </w:r>
    </w:p>
    <w:p w:rsidR="006B69FA" w:rsidRPr="00E53510" w:rsidRDefault="006B69FA" w:rsidP="000B7556">
      <w:pPr>
        <w:tabs>
          <w:tab w:val="clear" w:pos="431"/>
          <w:tab w:val="right" w:pos="850"/>
          <w:tab w:val="left" w:pos="1134"/>
          <w:tab w:val="left" w:pos="1559"/>
          <w:tab w:val="left" w:pos="1984"/>
          <w:tab w:val="left" w:pos="297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656EC0">
        <w:rPr>
          <w:rFonts w:hint="eastAsia"/>
          <w:szCs w:val="21"/>
        </w:rPr>
        <w:tab/>
      </w:r>
      <w:r w:rsidR="00656EC0">
        <w:rPr>
          <w:rFonts w:hint="eastAsia"/>
          <w:szCs w:val="21"/>
        </w:rPr>
        <w:tab/>
        <w:t>54</w:t>
      </w:r>
    </w:p>
    <w:p w:rsidR="006B69FA" w:rsidRPr="00E53510" w:rsidRDefault="006B69FA" w:rsidP="000B7556">
      <w:pPr>
        <w:tabs>
          <w:tab w:val="clear" w:pos="431"/>
          <w:tab w:val="right" w:pos="850"/>
          <w:tab w:val="left" w:pos="1134"/>
          <w:tab w:val="left" w:pos="1559"/>
          <w:tab w:val="left" w:pos="1984"/>
          <w:tab w:val="left" w:pos="297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第</w:t>
      </w:r>
      <w:r w:rsidRPr="00E53510">
        <w:rPr>
          <w:rFonts w:hint="eastAsia"/>
          <w:szCs w:val="21"/>
        </w:rPr>
        <w:t>13</w:t>
      </w:r>
      <w:r w:rsidRPr="00E53510">
        <w:rPr>
          <w:rFonts w:hint="eastAsia"/>
          <w:szCs w:val="21"/>
        </w:rPr>
        <w:t>条</w:t>
      </w:r>
      <w:r w:rsidRPr="00E53510">
        <w:rPr>
          <w:rFonts w:hint="eastAsia"/>
          <w:szCs w:val="21"/>
        </w:rPr>
        <w:tab/>
      </w:r>
      <w:r w:rsidRPr="00E53510">
        <w:rPr>
          <w:rFonts w:hint="eastAsia"/>
          <w:szCs w:val="21"/>
        </w:rPr>
        <w:t>受灾国对外部援助的同意</w:t>
      </w:r>
      <w:r w:rsidR="00656EC0">
        <w:rPr>
          <w:rFonts w:hint="eastAsia"/>
          <w:szCs w:val="21"/>
        </w:rPr>
        <w:tab/>
      </w:r>
      <w:r w:rsidR="00656EC0">
        <w:rPr>
          <w:rFonts w:hint="eastAsia"/>
          <w:szCs w:val="21"/>
        </w:rPr>
        <w:tab/>
        <w:t>56</w:t>
      </w:r>
    </w:p>
    <w:p w:rsidR="006B69FA" w:rsidRPr="00E53510" w:rsidRDefault="006B69FA" w:rsidP="000B7556">
      <w:pPr>
        <w:tabs>
          <w:tab w:val="clear" w:pos="431"/>
          <w:tab w:val="right" w:pos="850"/>
          <w:tab w:val="left" w:pos="1134"/>
          <w:tab w:val="left" w:pos="1559"/>
          <w:tab w:val="left" w:pos="1984"/>
          <w:tab w:val="left" w:pos="297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656EC0">
        <w:rPr>
          <w:rFonts w:hint="eastAsia"/>
          <w:szCs w:val="21"/>
        </w:rPr>
        <w:tab/>
      </w:r>
      <w:r w:rsidR="00656EC0">
        <w:rPr>
          <w:rFonts w:hint="eastAsia"/>
          <w:szCs w:val="21"/>
        </w:rPr>
        <w:tab/>
        <w:t>56</w:t>
      </w:r>
    </w:p>
    <w:p w:rsidR="006B69FA" w:rsidRPr="00E53510" w:rsidRDefault="006B69FA" w:rsidP="000B7556">
      <w:pPr>
        <w:tabs>
          <w:tab w:val="clear" w:pos="431"/>
          <w:tab w:val="right" w:pos="850"/>
          <w:tab w:val="left" w:pos="1134"/>
          <w:tab w:val="left" w:pos="1559"/>
          <w:tab w:val="left" w:pos="1984"/>
          <w:tab w:val="left" w:pos="297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第</w:t>
      </w:r>
      <w:r w:rsidRPr="00E53510">
        <w:rPr>
          <w:rFonts w:hint="eastAsia"/>
          <w:szCs w:val="21"/>
        </w:rPr>
        <w:t>14</w:t>
      </w:r>
      <w:r w:rsidRPr="00E53510">
        <w:rPr>
          <w:rFonts w:hint="eastAsia"/>
          <w:szCs w:val="21"/>
        </w:rPr>
        <w:t>条</w:t>
      </w:r>
      <w:r w:rsidRPr="00E53510">
        <w:rPr>
          <w:rFonts w:hint="eastAsia"/>
          <w:szCs w:val="21"/>
        </w:rPr>
        <w:tab/>
      </w:r>
      <w:r w:rsidRPr="00E53510">
        <w:rPr>
          <w:rFonts w:hint="eastAsia"/>
          <w:szCs w:val="21"/>
        </w:rPr>
        <w:t>对提供外部援助规定条件</w:t>
      </w:r>
      <w:r w:rsidR="00656EC0">
        <w:rPr>
          <w:rFonts w:hint="eastAsia"/>
          <w:szCs w:val="21"/>
        </w:rPr>
        <w:tab/>
      </w:r>
      <w:r w:rsidR="00656EC0">
        <w:rPr>
          <w:rFonts w:hint="eastAsia"/>
          <w:szCs w:val="21"/>
        </w:rPr>
        <w:tab/>
        <w:t>60</w:t>
      </w:r>
    </w:p>
    <w:p w:rsidR="006B69FA" w:rsidRPr="00E53510" w:rsidRDefault="006B69FA" w:rsidP="000B7556">
      <w:pPr>
        <w:tabs>
          <w:tab w:val="clear" w:pos="431"/>
          <w:tab w:val="right" w:pos="850"/>
          <w:tab w:val="left" w:pos="1134"/>
          <w:tab w:val="left" w:pos="1559"/>
          <w:tab w:val="left" w:pos="1984"/>
          <w:tab w:val="left" w:pos="297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656EC0">
        <w:rPr>
          <w:rFonts w:hint="eastAsia"/>
          <w:szCs w:val="21"/>
        </w:rPr>
        <w:tab/>
      </w:r>
      <w:r w:rsidR="00656EC0">
        <w:rPr>
          <w:rFonts w:hint="eastAsia"/>
          <w:szCs w:val="21"/>
        </w:rPr>
        <w:tab/>
        <w:t>60</w:t>
      </w:r>
    </w:p>
    <w:p w:rsidR="006B69FA" w:rsidRPr="00E53510" w:rsidRDefault="006B69FA" w:rsidP="000B7556">
      <w:pPr>
        <w:tabs>
          <w:tab w:val="clear" w:pos="431"/>
          <w:tab w:val="right" w:pos="850"/>
          <w:tab w:val="left" w:pos="1134"/>
          <w:tab w:val="left" w:pos="1559"/>
          <w:tab w:val="left" w:pos="1984"/>
          <w:tab w:val="left" w:pos="297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第</w:t>
      </w:r>
      <w:r w:rsidRPr="00E53510">
        <w:rPr>
          <w:rFonts w:hint="eastAsia"/>
          <w:szCs w:val="21"/>
        </w:rPr>
        <w:t>15</w:t>
      </w:r>
      <w:r w:rsidRPr="00E53510">
        <w:rPr>
          <w:rFonts w:hint="eastAsia"/>
          <w:szCs w:val="21"/>
        </w:rPr>
        <w:t>条</w:t>
      </w:r>
      <w:r w:rsidRPr="00E53510">
        <w:rPr>
          <w:rFonts w:hint="eastAsia"/>
          <w:szCs w:val="21"/>
        </w:rPr>
        <w:tab/>
      </w:r>
      <w:r w:rsidRPr="00E53510">
        <w:rPr>
          <w:rFonts w:hint="eastAsia"/>
          <w:szCs w:val="21"/>
        </w:rPr>
        <w:t>便利外部援助</w:t>
      </w:r>
      <w:r w:rsidR="00656EC0">
        <w:rPr>
          <w:rFonts w:hint="eastAsia"/>
          <w:szCs w:val="21"/>
        </w:rPr>
        <w:tab/>
      </w:r>
      <w:r w:rsidR="00656EC0">
        <w:rPr>
          <w:rFonts w:hint="eastAsia"/>
          <w:szCs w:val="21"/>
        </w:rPr>
        <w:tab/>
        <w:t>63</w:t>
      </w:r>
    </w:p>
    <w:p w:rsidR="006B69FA" w:rsidRPr="00E53510" w:rsidRDefault="006B69FA" w:rsidP="000B7556">
      <w:pPr>
        <w:tabs>
          <w:tab w:val="clear" w:pos="431"/>
          <w:tab w:val="right" w:pos="850"/>
          <w:tab w:val="left" w:pos="1134"/>
          <w:tab w:val="left" w:pos="1559"/>
          <w:tab w:val="left" w:pos="1984"/>
          <w:tab w:val="left" w:pos="297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656EC0">
        <w:rPr>
          <w:rFonts w:hint="eastAsia"/>
          <w:szCs w:val="21"/>
        </w:rPr>
        <w:tab/>
      </w:r>
      <w:r w:rsidR="00656EC0">
        <w:rPr>
          <w:rFonts w:hint="eastAsia"/>
          <w:szCs w:val="21"/>
        </w:rPr>
        <w:tab/>
        <w:t>63</w:t>
      </w:r>
    </w:p>
    <w:p w:rsidR="006B69FA" w:rsidRPr="00E53510" w:rsidRDefault="006B69FA" w:rsidP="000B7556">
      <w:pPr>
        <w:tabs>
          <w:tab w:val="clear" w:pos="431"/>
          <w:tab w:val="right" w:pos="850"/>
          <w:tab w:val="left" w:pos="1134"/>
          <w:tab w:val="left" w:pos="1559"/>
          <w:tab w:val="left" w:pos="1984"/>
          <w:tab w:val="left" w:pos="297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第</w:t>
      </w:r>
      <w:r w:rsidRPr="00E53510">
        <w:rPr>
          <w:rFonts w:hint="eastAsia"/>
          <w:szCs w:val="21"/>
        </w:rPr>
        <w:t>16</w:t>
      </w:r>
      <w:r w:rsidRPr="00E53510">
        <w:rPr>
          <w:rFonts w:hint="eastAsia"/>
          <w:szCs w:val="21"/>
        </w:rPr>
        <w:t>条</w:t>
      </w:r>
      <w:r w:rsidRPr="00E53510">
        <w:rPr>
          <w:rFonts w:hint="eastAsia"/>
          <w:szCs w:val="21"/>
        </w:rPr>
        <w:tab/>
      </w:r>
      <w:r w:rsidRPr="00E53510">
        <w:rPr>
          <w:rFonts w:hint="eastAsia"/>
          <w:szCs w:val="21"/>
        </w:rPr>
        <w:t>保护救灾人员、设备和物资</w:t>
      </w:r>
      <w:r w:rsidRPr="00E53510">
        <w:rPr>
          <w:rFonts w:hint="eastAsia"/>
          <w:szCs w:val="21"/>
        </w:rPr>
        <w:tab/>
      </w:r>
      <w:r w:rsidR="00656EC0">
        <w:rPr>
          <w:rFonts w:hint="eastAsia"/>
          <w:szCs w:val="21"/>
        </w:rPr>
        <w:tab/>
        <w:t>65</w:t>
      </w:r>
    </w:p>
    <w:p w:rsidR="006B69FA" w:rsidRPr="00E53510" w:rsidRDefault="006B69FA" w:rsidP="000B7556">
      <w:pPr>
        <w:tabs>
          <w:tab w:val="clear" w:pos="431"/>
          <w:tab w:val="right" w:pos="850"/>
          <w:tab w:val="left" w:pos="1134"/>
          <w:tab w:val="left" w:pos="1559"/>
          <w:tab w:val="left" w:pos="1984"/>
          <w:tab w:val="left" w:pos="297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656EC0">
        <w:rPr>
          <w:rFonts w:hint="eastAsia"/>
          <w:szCs w:val="21"/>
        </w:rPr>
        <w:tab/>
      </w:r>
      <w:r w:rsidR="00656EC0">
        <w:rPr>
          <w:rFonts w:hint="eastAsia"/>
          <w:szCs w:val="21"/>
        </w:rPr>
        <w:tab/>
        <w:t>65</w:t>
      </w:r>
    </w:p>
    <w:p w:rsidR="006B69FA" w:rsidRPr="00E53510" w:rsidRDefault="006B69FA" w:rsidP="000B7556">
      <w:pPr>
        <w:tabs>
          <w:tab w:val="clear" w:pos="431"/>
          <w:tab w:val="right" w:pos="850"/>
          <w:tab w:val="left" w:pos="1134"/>
          <w:tab w:val="left" w:pos="1559"/>
          <w:tab w:val="left" w:pos="1984"/>
          <w:tab w:val="left" w:pos="297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第</w:t>
      </w:r>
      <w:r w:rsidRPr="00E53510">
        <w:rPr>
          <w:rFonts w:hint="eastAsia"/>
          <w:szCs w:val="21"/>
        </w:rPr>
        <w:t>17</w:t>
      </w:r>
      <w:r w:rsidRPr="00E53510">
        <w:rPr>
          <w:rFonts w:hint="eastAsia"/>
          <w:szCs w:val="21"/>
        </w:rPr>
        <w:t>条</w:t>
      </w:r>
      <w:r w:rsidRPr="00E53510">
        <w:rPr>
          <w:rFonts w:hint="eastAsia"/>
          <w:szCs w:val="21"/>
        </w:rPr>
        <w:tab/>
      </w:r>
      <w:r w:rsidRPr="00E53510">
        <w:rPr>
          <w:rFonts w:hint="eastAsia"/>
          <w:szCs w:val="21"/>
        </w:rPr>
        <w:t>终止外部援助</w:t>
      </w:r>
      <w:r w:rsidR="00656EC0">
        <w:rPr>
          <w:rFonts w:hint="eastAsia"/>
          <w:szCs w:val="21"/>
        </w:rPr>
        <w:tab/>
      </w:r>
      <w:r w:rsidR="00656EC0">
        <w:rPr>
          <w:rFonts w:hint="eastAsia"/>
          <w:szCs w:val="21"/>
        </w:rPr>
        <w:tab/>
        <w:t>67</w:t>
      </w:r>
    </w:p>
    <w:p w:rsidR="006B69FA" w:rsidRPr="00E53510" w:rsidRDefault="006B69FA" w:rsidP="000B7556">
      <w:pPr>
        <w:tabs>
          <w:tab w:val="clear" w:pos="431"/>
          <w:tab w:val="right" w:pos="850"/>
          <w:tab w:val="left" w:pos="1134"/>
          <w:tab w:val="left" w:pos="1559"/>
          <w:tab w:val="left" w:pos="1984"/>
          <w:tab w:val="left" w:pos="297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656EC0">
        <w:rPr>
          <w:rFonts w:hint="eastAsia"/>
          <w:szCs w:val="21"/>
        </w:rPr>
        <w:tab/>
      </w:r>
      <w:r w:rsidR="00656EC0">
        <w:rPr>
          <w:rFonts w:hint="eastAsia"/>
          <w:szCs w:val="21"/>
        </w:rPr>
        <w:tab/>
        <w:t>67</w:t>
      </w:r>
    </w:p>
    <w:p w:rsidR="006B69FA" w:rsidRPr="00E53510" w:rsidRDefault="006B69FA" w:rsidP="000B7556">
      <w:pPr>
        <w:tabs>
          <w:tab w:val="clear" w:pos="431"/>
          <w:tab w:val="right" w:pos="850"/>
          <w:tab w:val="left" w:pos="1134"/>
          <w:tab w:val="left" w:pos="1559"/>
          <w:tab w:val="left" w:pos="1984"/>
          <w:tab w:val="left" w:pos="297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第</w:t>
      </w:r>
      <w:r w:rsidRPr="00E53510">
        <w:rPr>
          <w:rFonts w:hint="eastAsia"/>
          <w:szCs w:val="21"/>
        </w:rPr>
        <w:t>18</w:t>
      </w:r>
      <w:r w:rsidRPr="00E53510">
        <w:rPr>
          <w:rFonts w:hint="eastAsia"/>
          <w:szCs w:val="21"/>
        </w:rPr>
        <w:t>条</w:t>
      </w:r>
      <w:r w:rsidRPr="00E53510">
        <w:rPr>
          <w:rFonts w:hint="eastAsia"/>
          <w:szCs w:val="21"/>
        </w:rPr>
        <w:tab/>
      </w:r>
      <w:r w:rsidRPr="00E53510">
        <w:rPr>
          <w:rFonts w:hint="eastAsia"/>
          <w:szCs w:val="21"/>
        </w:rPr>
        <w:t>与其他国际法规则的关系</w:t>
      </w:r>
      <w:r w:rsidR="00656EC0">
        <w:rPr>
          <w:rFonts w:hint="eastAsia"/>
          <w:szCs w:val="21"/>
        </w:rPr>
        <w:tab/>
      </w:r>
      <w:r w:rsidR="00656EC0">
        <w:rPr>
          <w:rFonts w:hint="eastAsia"/>
          <w:szCs w:val="21"/>
        </w:rPr>
        <w:tab/>
        <w:t>68</w:t>
      </w:r>
    </w:p>
    <w:p w:rsidR="006B69FA" w:rsidRPr="00E53510" w:rsidRDefault="006B69FA" w:rsidP="000B7556">
      <w:pPr>
        <w:tabs>
          <w:tab w:val="clear" w:pos="431"/>
          <w:tab w:val="right" w:pos="850"/>
          <w:tab w:val="left" w:pos="1134"/>
          <w:tab w:val="left" w:pos="1559"/>
          <w:tab w:val="left" w:pos="1984"/>
          <w:tab w:val="left" w:pos="297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656EC0">
        <w:rPr>
          <w:rFonts w:hint="eastAsia"/>
          <w:szCs w:val="21"/>
        </w:rPr>
        <w:tab/>
      </w:r>
      <w:r w:rsidR="00656EC0">
        <w:rPr>
          <w:rFonts w:hint="eastAsia"/>
          <w:szCs w:val="21"/>
        </w:rPr>
        <w:tab/>
        <w:t>68</w:t>
      </w:r>
    </w:p>
    <w:p w:rsidR="006B69FA" w:rsidRPr="00E53510" w:rsidRDefault="006B69FA" w:rsidP="000B7556">
      <w:pPr>
        <w:pStyle w:val="a8"/>
        <w:spacing w:after="60"/>
        <w:rPr>
          <w:szCs w:val="21"/>
        </w:rPr>
      </w:pPr>
      <w:r w:rsidRPr="00E53510">
        <w:rPr>
          <w:rFonts w:hint="eastAsia"/>
          <w:szCs w:val="21"/>
        </w:rPr>
        <w:tab/>
      </w:r>
      <w:r w:rsidRPr="00E53510">
        <w:rPr>
          <w:rFonts w:hint="eastAsia"/>
          <w:szCs w:val="21"/>
        </w:rPr>
        <w:t>五</w:t>
      </w:r>
      <w:r w:rsidRPr="00E53510">
        <w:rPr>
          <w:rFonts w:hint="eastAsia"/>
          <w:szCs w:val="21"/>
        </w:rPr>
        <w:t>.</w:t>
      </w:r>
      <w:r w:rsidRPr="00E53510">
        <w:rPr>
          <w:rFonts w:hint="eastAsia"/>
          <w:szCs w:val="21"/>
        </w:rPr>
        <w:tab/>
      </w:r>
      <w:r w:rsidRPr="00E53510">
        <w:rPr>
          <w:rFonts w:hint="eastAsia"/>
          <w:szCs w:val="21"/>
        </w:rPr>
        <w:t>习惯国际法的识别</w:t>
      </w:r>
      <w:r w:rsidR="00656EC0">
        <w:rPr>
          <w:rFonts w:hint="eastAsia"/>
          <w:szCs w:val="21"/>
        </w:rPr>
        <w:tab/>
      </w:r>
      <w:r w:rsidR="00656EC0">
        <w:rPr>
          <w:rFonts w:hint="eastAsia"/>
          <w:szCs w:val="21"/>
        </w:rPr>
        <w:tab/>
        <w:t>71</w:t>
      </w:r>
    </w:p>
    <w:p w:rsidR="006B69FA" w:rsidRPr="00E53510" w:rsidRDefault="006B69FA" w:rsidP="000B7556">
      <w:pPr>
        <w:pStyle w:val="a8"/>
        <w:spacing w:after="60"/>
        <w:rPr>
          <w:szCs w:val="21"/>
        </w:rPr>
      </w:pPr>
      <w:r w:rsidRPr="00E53510">
        <w:rPr>
          <w:rFonts w:hint="eastAsia"/>
          <w:szCs w:val="21"/>
        </w:rPr>
        <w:tab/>
      </w:r>
      <w:r w:rsidRPr="00E53510">
        <w:rPr>
          <w:rFonts w:hint="eastAsia"/>
          <w:szCs w:val="21"/>
        </w:rPr>
        <w:tab/>
        <w:t>A.</w:t>
      </w:r>
      <w:r w:rsidRPr="00E53510">
        <w:rPr>
          <w:rFonts w:hint="eastAsia"/>
          <w:szCs w:val="21"/>
        </w:rPr>
        <w:tab/>
      </w:r>
      <w:r w:rsidRPr="00E53510">
        <w:rPr>
          <w:rFonts w:hint="eastAsia"/>
          <w:szCs w:val="21"/>
        </w:rPr>
        <w:t>导言</w:t>
      </w:r>
      <w:r w:rsidRPr="00E53510">
        <w:rPr>
          <w:rFonts w:hint="eastAsia"/>
          <w:szCs w:val="21"/>
        </w:rPr>
        <w:tab/>
      </w:r>
      <w:r w:rsidRPr="00E53510">
        <w:rPr>
          <w:rFonts w:hint="eastAsia"/>
          <w:szCs w:val="21"/>
        </w:rPr>
        <w:tab/>
      </w:r>
      <w:r w:rsidR="00110F4A">
        <w:rPr>
          <w:rFonts w:hint="eastAsia"/>
          <w:szCs w:val="21"/>
        </w:rPr>
        <w:tab/>
      </w:r>
      <w:r w:rsidR="00656EC0">
        <w:rPr>
          <w:rFonts w:hint="eastAsia"/>
          <w:szCs w:val="21"/>
        </w:rPr>
        <w:t>71</w:t>
      </w:r>
    </w:p>
    <w:p w:rsidR="006B69FA" w:rsidRPr="00E53510" w:rsidRDefault="006B69FA" w:rsidP="000B7556">
      <w:pPr>
        <w:pStyle w:val="a8"/>
        <w:spacing w:after="60"/>
        <w:rPr>
          <w:szCs w:val="21"/>
        </w:rPr>
      </w:pPr>
      <w:r w:rsidRPr="00E53510">
        <w:rPr>
          <w:rFonts w:hint="eastAsia"/>
          <w:szCs w:val="21"/>
        </w:rPr>
        <w:tab/>
      </w:r>
      <w:r w:rsidRPr="00E53510">
        <w:rPr>
          <w:rFonts w:hint="eastAsia"/>
          <w:szCs w:val="21"/>
        </w:rPr>
        <w:tab/>
        <w:t>B.</w:t>
      </w:r>
      <w:r w:rsidRPr="00E53510">
        <w:rPr>
          <w:rFonts w:hint="eastAsia"/>
          <w:szCs w:val="21"/>
        </w:rPr>
        <w:tab/>
      </w:r>
      <w:r w:rsidRPr="00E53510">
        <w:rPr>
          <w:rFonts w:hint="eastAsia"/>
          <w:szCs w:val="21"/>
        </w:rPr>
        <w:t>本届会议审议此专题的情况</w:t>
      </w:r>
      <w:r w:rsidR="00656EC0">
        <w:rPr>
          <w:rFonts w:hint="eastAsia"/>
          <w:szCs w:val="21"/>
        </w:rPr>
        <w:tab/>
      </w:r>
      <w:r w:rsidR="00656EC0">
        <w:rPr>
          <w:rFonts w:hint="eastAsia"/>
          <w:szCs w:val="21"/>
        </w:rPr>
        <w:tab/>
        <w:t>72</w:t>
      </w:r>
    </w:p>
    <w:p w:rsidR="006B69FA" w:rsidRPr="00E53510" w:rsidRDefault="006B69FA" w:rsidP="000B7556">
      <w:pPr>
        <w:pStyle w:val="a8"/>
        <w:spacing w:after="60"/>
        <w:rPr>
          <w:szCs w:val="21"/>
        </w:rPr>
      </w:pPr>
      <w:r w:rsidRPr="00E53510">
        <w:rPr>
          <w:rFonts w:hint="eastAsia"/>
          <w:szCs w:val="21"/>
        </w:rPr>
        <w:tab/>
      </w:r>
      <w:r w:rsidRPr="00E53510">
        <w:rPr>
          <w:rFonts w:hint="eastAsia"/>
          <w:szCs w:val="21"/>
        </w:rPr>
        <w:tab/>
        <w:t>C.</w:t>
      </w:r>
      <w:r w:rsidRPr="00E53510">
        <w:rPr>
          <w:rFonts w:hint="eastAsia"/>
          <w:szCs w:val="21"/>
        </w:rPr>
        <w:tab/>
      </w:r>
      <w:r w:rsidRPr="00E53510">
        <w:rPr>
          <w:rFonts w:hint="eastAsia"/>
          <w:szCs w:val="21"/>
        </w:rPr>
        <w:t>委员会通过的关于习惯国际法的识别的结论草案案文</w:t>
      </w:r>
      <w:r w:rsidR="00656EC0">
        <w:rPr>
          <w:rFonts w:hint="eastAsia"/>
          <w:szCs w:val="21"/>
        </w:rPr>
        <w:tab/>
      </w:r>
      <w:r w:rsidR="00656EC0">
        <w:rPr>
          <w:rFonts w:hint="eastAsia"/>
          <w:szCs w:val="21"/>
        </w:rPr>
        <w:tab/>
        <w:t>73</w:t>
      </w:r>
    </w:p>
    <w:p w:rsidR="006B69FA" w:rsidRPr="00E53510" w:rsidRDefault="006B69FA" w:rsidP="000B7556">
      <w:pPr>
        <w:tabs>
          <w:tab w:val="clear" w:pos="431"/>
          <w:tab w:val="right" w:pos="850"/>
          <w:tab w:val="left" w:pos="1134"/>
          <w:tab w:val="left" w:pos="1559"/>
          <w:tab w:val="left" w:pos="1984"/>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t>1.</w:t>
      </w:r>
      <w:r w:rsidRPr="00E53510">
        <w:rPr>
          <w:rFonts w:hint="eastAsia"/>
          <w:szCs w:val="21"/>
        </w:rPr>
        <w:tab/>
      </w:r>
      <w:r w:rsidRPr="00E53510">
        <w:rPr>
          <w:rFonts w:hint="eastAsia"/>
          <w:szCs w:val="21"/>
        </w:rPr>
        <w:t>结论草案案文</w:t>
      </w:r>
      <w:r w:rsidR="00656EC0">
        <w:rPr>
          <w:rFonts w:hint="eastAsia"/>
          <w:szCs w:val="21"/>
        </w:rPr>
        <w:tab/>
      </w:r>
      <w:r w:rsidR="00656EC0">
        <w:rPr>
          <w:rFonts w:hint="eastAsia"/>
          <w:szCs w:val="21"/>
        </w:rPr>
        <w:tab/>
        <w:t>73</w:t>
      </w:r>
    </w:p>
    <w:p w:rsidR="006B69FA" w:rsidRPr="00E53510" w:rsidRDefault="006B69FA" w:rsidP="000B7556">
      <w:pPr>
        <w:tabs>
          <w:tab w:val="clear" w:pos="431"/>
          <w:tab w:val="right" w:pos="850"/>
          <w:tab w:val="left" w:pos="1134"/>
          <w:tab w:val="left" w:pos="1559"/>
          <w:tab w:val="left" w:pos="1984"/>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t>2.</w:t>
      </w:r>
      <w:r w:rsidRPr="00E53510">
        <w:rPr>
          <w:rFonts w:hint="eastAsia"/>
          <w:szCs w:val="21"/>
        </w:rPr>
        <w:tab/>
      </w:r>
      <w:r w:rsidRPr="00E53510">
        <w:rPr>
          <w:rFonts w:hint="eastAsia"/>
          <w:szCs w:val="21"/>
        </w:rPr>
        <w:t>结论草案案文及其评注</w:t>
      </w:r>
      <w:r w:rsidR="00656EC0">
        <w:rPr>
          <w:rFonts w:hint="eastAsia"/>
          <w:szCs w:val="21"/>
        </w:rPr>
        <w:tab/>
      </w:r>
      <w:r w:rsidR="00656EC0">
        <w:rPr>
          <w:rFonts w:hint="eastAsia"/>
          <w:szCs w:val="21"/>
        </w:rPr>
        <w:tab/>
        <w:t>76</w:t>
      </w:r>
    </w:p>
    <w:p w:rsidR="006B69FA" w:rsidRPr="00E53510" w:rsidRDefault="006B69FA" w:rsidP="000B7556">
      <w:pPr>
        <w:tabs>
          <w:tab w:val="clear" w:pos="431"/>
          <w:tab w:val="right" w:pos="850"/>
          <w:tab w:val="left" w:pos="1134"/>
          <w:tab w:val="left" w:pos="1559"/>
          <w:tab w:val="left" w:pos="1984"/>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总</w:t>
      </w:r>
      <w:r w:rsidRPr="00E53510">
        <w:rPr>
          <w:rFonts w:asciiTheme="majorBidi" w:eastAsiaTheme="minorEastAsia" w:hAnsiTheme="majorBidi" w:cstheme="majorBidi" w:hint="eastAsia"/>
          <w:noProof/>
          <w:snapToGrid/>
          <w:szCs w:val="21"/>
          <w:lang w:val="en-GB"/>
        </w:rPr>
        <w:t>评注</w:t>
      </w:r>
      <w:r w:rsidR="00656EC0">
        <w:rPr>
          <w:rFonts w:hint="eastAsia"/>
          <w:szCs w:val="21"/>
        </w:rPr>
        <w:tab/>
      </w:r>
      <w:r w:rsidR="00656EC0">
        <w:rPr>
          <w:rFonts w:hint="eastAsia"/>
          <w:szCs w:val="21"/>
        </w:rPr>
        <w:tab/>
        <w:t>77</w:t>
      </w:r>
    </w:p>
    <w:p w:rsidR="000B7556" w:rsidRDefault="000B7556">
      <w:pPr>
        <w:tabs>
          <w:tab w:val="clear" w:pos="431"/>
        </w:tabs>
        <w:overflowPunct/>
        <w:adjustRightInd/>
        <w:snapToGrid/>
        <w:spacing w:line="240" w:lineRule="auto"/>
        <w:jc w:val="left"/>
        <w:rPr>
          <w:szCs w:val="21"/>
        </w:rPr>
      </w:pPr>
      <w:r>
        <w:rPr>
          <w:szCs w:val="21"/>
        </w:rPr>
        <w:br w:type="page"/>
      </w:r>
    </w:p>
    <w:p w:rsidR="006B69FA" w:rsidRPr="00E53510" w:rsidRDefault="006B69FA" w:rsidP="000B7556">
      <w:pPr>
        <w:tabs>
          <w:tab w:val="clear" w:pos="431"/>
          <w:tab w:val="right" w:pos="850"/>
          <w:tab w:val="left" w:pos="1134"/>
          <w:tab w:val="left" w:pos="1559"/>
          <w:tab w:val="left" w:pos="1984"/>
          <w:tab w:val="left" w:pos="3119"/>
          <w:tab w:val="left" w:leader="dot" w:pos="8787"/>
          <w:tab w:val="right" w:pos="9638"/>
        </w:tabs>
        <w:suppressAutoHyphens/>
        <w:overflowPunct/>
        <w:adjustRightInd/>
        <w:snapToGrid/>
        <w:spacing w:after="60"/>
        <w:ind w:left="1985" w:hanging="1985"/>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第</w:t>
      </w:r>
      <w:r w:rsidRPr="00E53510">
        <w:rPr>
          <w:rFonts w:asciiTheme="majorBidi" w:eastAsiaTheme="minorEastAsia" w:hAnsiTheme="majorBidi" w:cstheme="majorBidi" w:hint="eastAsia"/>
          <w:noProof/>
          <w:snapToGrid/>
          <w:szCs w:val="21"/>
          <w:lang w:val="en-GB"/>
        </w:rPr>
        <w:t>一部分</w:t>
      </w:r>
      <w:r w:rsidRPr="00E53510">
        <w:rPr>
          <w:szCs w:val="21"/>
        </w:rPr>
        <w:br/>
      </w:r>
      <w:r w:rsidRPr="00E53510">
        <w:rPr>
          <w:rFonts w:hint="eastAsia"/>
          <w:szCs w:val="21"/>
        </w:rPr>
        <w:t>导言</w:t>
      </w:r>
    </w:p>
    <w:p w:rsidR="006B69FA" w:rsidRPr="00E53510" w:rsidRDefault="006B69FA" w:rsidP="000B7556">
      <w:pPr>
        <w:tabs>
          <w:tab w:val="clear" w:pos="431"/>
          <w:tab w:val="right" w:pos="850"/>
          <w:tab w:val="left" w:pos="1134"/>
          <w:tab w:val="left" w:pos="1559"/>
          <w:tab w:val="left" w:pos="1984"/>
          <w:tab w:val="left" w:pos="2410"/>
          <w:tab w:val="left" w:pos="3164"/>
          <w:tab w:val="left" w:leader="dot" w:pos="8787"/>
          <w:tab w:val="right" w:pos="9554"/>
          <w:tab w:val="right" w:pos="9638"/>
        </w:tabs>
        <w:suppressAutoHyphens/>
        <w:overflowPunct/>
        <w:adjustRightInd/>
        <w:snapToGrid/>
        <w:spacing w:after="60"/>
        <w:jc w:val="left"/>
        <w:rPr>
          <w:szCs w:val="21"/>
        </w:rPr>
      </w:pP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结论</w:t>
      </w:r>
      <w:r w:rsidRPr="00E53510">
        <w:rPr>
          <w:rFonts w:hint="eastAsia"/>
          <w:szCs w:val="21"/>
        </w:rPr>
        <w:t>1</w:t>
      </w:r>
      <w:r w:rsidRPr="00E53510">
        <w:rPr>
          <w:rFonts w:hint="eastAsia"/>
          <w:szCs w:val="21"/>
        </w:rPr>
        <w:tab/>
      </w:r>
      <w:r w:rsidRPr="00E53510">
        <w:rPr>
          <w:rFonts w:hint="eastAsia"/>
          <w:szCs w:val="21"/>
        </w:rPr>
        <w:t>范围</w:t>
      </w:r>
      <w:r w:rsidRPr="00E53510">
        <w:rPr>
          <w:rFonts w:hint="eastAsia"/>
          <w:szCs w:val="21"/>
        </w:rPr>
        <w:tab/>
      </w:r>
      <w:r w:rsidRPr="00E53510">
        <w:rPr>
          <w:rFonts w:hint="eastAsia"/>
          <w:szCs w:val="21"/>
        </w:rPr>
        <w:tab/>
      </w:r>
      <w:r w:rsidR="00656EC0">
        <w:rPr>
          <w:rFonts w:hint="eastAsia"/>
          <w:szCs w:val="21"/>
        </w:rPr>
        <w:t>78</w:t>
      </w:r>
    </w:p>
    <w:p w:rsidR="006B69FA" w:rsidRPr="00E53510" w:rsidRDefault="006B69FA" w:rsidP="000B7556">
      <w:pPr>
        <w:tabs>
          <w:tab w:val="clear" w:pos="431"/>
          <w:tab w:val="right" w:pos="850"/>
          <w:tab w:val="left" w:pos="1134"/>
          <w:tab w:val="left" w:pos="1559"/>
          <w:tab w:val="left" w:pos="1984"/>
          <w:tab w:val="left" w:pos="3164"/>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656EC0">
        <w:rPr>
          <w:rFonts w:hint="eastAsia"/>
          <w:szCs w:val="21"/>
        </w:rPr>
        <w:tab/>
      </w:r>
      <w:r w:rsidR="00656EC0">
        <w:rPr>
          <w:rFonts w:hint="eastAsia"/>
          <w:szCs w:val="21"/>
        </w:rPr>
        <w:tab/>
        <w:t>78</w:t>
      </w:r>
    </w:p>
    <w:p w:rsidR="006B69FA" w:rsidRPr="00E53510" w:rsidRDefault="006B69FA" w:rsidP="000B7556">
      <w:pPr>
        <w:tabs>
          <w:tab w:val="clear" w:pos="431"/>
          <w:tab w:val="right" w:pos="850"/>
          <w:tab w:val="left" w:pos="1134"/>
          <w:tab w:val="left" w:pos="1559"/>
          <w:tab w:val="left" w:pos="1984"/>
          <w:tab w:val="left" w:pos="3119"/>
          <w:tab w:val="left" w:leader="dot" w:pos="8787"/>
          <w:tab w:val="right" w:pos="9554"/>
          <w:tab w:val="right" w:pos="9638"/>
        </w:tabs>
        <w:suppressAutoHyphens/>
        <w:overflowPunct/>
        <w:adjustRightInd/>
        <w:snapToGrid/>
        <w:spacing w:after="60"/>
        <w:ind w:left="1985" w:hanging="1985"/>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第二部分</w:t>
      </w:r>
      <w:r w:rsidRPr="00E53510">
        <w:rPr>
          <w:szCs w:val="21"/>
        </w:rPr>
        <w:br/>
      </w:r>
      <w:r w:rsidRPr="00E53510">
        <w:rPr>
          <w:rFonts w:hint="eastAsia"/>
          <w:szCs w:val="21"/>
        </w:rPr>
        <w:t>基本方法</w:t>
      </w:r>
    </w:p>
    <w:p w:rsidR="006B69FA" w:rsidRPr="00E53510" w:rsidRDefault="006B69FA" w:rsidP="000B7556">
      <w:pPr>
        <w:tabs>
          <w:tab w:val="clear" w:pos="431"/>
          <w:tab w:val="right" w:pos="850"/>
          <w:tab w:val="left" w:pos="1134"/>
          <w:tab w:val="left" w:pos="1559"/>
          <w:tab w:val="left" w:pos="1984"/>
          <w:tab w:val="left" w:pos="2410"/>
          <w:tab w:val="left" w:pos="3164"/>
          <w:tab w:val="left" w:leader="dot" w:pos="8787"/>
          <w:tab w:val="right" w:pos="9554"/>
          <w:tab w:val="right" w:pos="9638"/>
        </w:tabs>
        <w:suppressAutoHyphens/>
        <w:overflowPunct/>
        <w:adjustRightInd/>
        <w:snapToGrid/>
        <w:spacing w:after="60"/>
        <w:jc w:val="left"/>
        <w:rPr>
          <w:szCs w:val="21"/>
        </w:rPr>
      </w:pP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hint="eastAsia"/>
          <w:szCs w:val="21"/>
        </w:rPr>
        <w:t>结论</w:t>
      </w:r>
      <w:r w:rsidRPr="00E53510">
        <w:rPr>
          <w:rFonts w:hint="eastAsia"/>
          <w:szCs w:val="21"/>
        </w:rPr>
        <w:t>2</w:t>
      </w:r>
      <w:r w:rsidRPr="00E53510">
        <w:rPr>
          <w:rFonts w:hint="eastAsia"/>
          <w:szCs w:val="21"/>
        </w:rPr>
        <w:tab/>
      </w:r>
      <w:r w:rsidRPr="00E53510">
        <w:rPr>
          <w:rFonts w:hint="eastAsia"/>
          <w:szCs w:val="21"/>
        </w:rPr>
        <w:t>两个构成要素</w:t>
      </w:r>
      <w:r w:rsidR="00656EC0">
        <w:rPr>
          <w:rFonts w:hint="eastAsia"/>
          <w:szCs w:val="21"/>
        </w:rPr>
        <w:tab/>
      </w:r>
      <w:r w:rsidR="00656EC0">
        <w:rPr>
          <w:rFonts w:hint="eastAsia"/>
          <w:szCs w:val="21"/>
        </w:rPr>
        <w:tab/>
        <w:t>79</w:t>
      </w:r>
    </w:p>
    <w:p w:rsidR="006B69FA" w:rsidRPr="00E53510" w:rsidRDefault="006B69FA" w:rsidP="000B7556">
      <w:pPr>
        <w:tabs>
          <w:tab w:val="clear" w:pos="431"/>
          <w:tab w:val="right" w:pos="850"/>
          <w:tab w:val="left" w:pos="1134"/>
          <w:tab w:val="left" w:pos="1559"/>
          <w:tab w:val="left" w:pos="1984"/>
          <w:tab w:val="left" w:pos="3164"/>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656EC0">
        <w:rPr>
          <w:rFonts w:hint="eastAsia"/>
          <w:szCs w:val="21"/>
        </w:rPr>
        <w:tab/>
      </w:r>
      <w:r w:rsidR="00656EC0">
        <w:rPr>
          <w:rFonts w:hint="eastAsia"/>
          <w:szCs w:val="21"/>
        </w:rPr>
        <w:tab/>
        <w:t>79</w:t>
      </w:r>
    </w:p>
    <w:p w:rsidR="006B69FA" w:rsidRPr="00E53510" w:rsidRDefault="006B69FA" w:rsidP="000B7556">
      <w:pPr>
        <w:tabs>
          <w:tab w:val="clear" w:pos="431"/>
          <w:tab w:val="right" w:pos="850"/>
          <w:tab w:val="left" w:pos="1134"/>
          <w:tab w:val="left" w:pos="1559"/>
          <w:tab w:val="left" w:pos="1984"/>
          <w:tab w:val="left" w:pos="2410"/>
          <w:tab w:val="left" w:pos="3164"/>
          <w:tab w:val="left" w:leader="dot" w:pos="8787"/>
          <w:tab w:val="right" w:pos="9554"/>
          <w:tab w:val="right" w:pos="9638"/>
        </w:tabs>
        <w:suppressAutoHyphens/>
        <w:overflowPunct/>
        <w:adjustRightInd/>
        <w:snapToGrid/>
        <w:spacing w:after="60"/>
        <w:jc w:val="left"/>
        <w:rPr>
          <w:szCs w:val="21"/>
        </w:rPr>
      </w:pP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hint="eastAsia"/>
          <w:szCs w:val="21"/>
        </w:rPr>
        <w:t>结论</w:t>
      </w:r>
      <w:r w:rsidRPr="00E53510">
        <w:rPr>
          <w:rFonts w:hint="eastAsia"/>
          <w:szCs w:val="21"/>
        </w:rPr>
        <w:t>3</w:t>
      </w:r>
      <w:r w:rsidRPr="00E53510">
        <w:rPr>
          <w:rFonts w:hint="eastAsia"/>
          <w:szCs w:val="21"/>
        </w:rPr>
        <w:tab/>
      </w:r>
      <w:r w:rsidRPr="00E53510">
        <w:rPr>
          <w:rFonts w:hint="eastAsia"/>
          <w:szCs w:val="21"/>
        </w:rPr>
        <w:t>评估两个构成要素的证据</w:t>
      </w:r>
      <w:r w:rsidR="00656EC0">
        <w:rPr>
          <w:rFonts w:hint="eastAsia"/>
          <w:szCs w:val="21"/>
        </w:rPr>
        <w:tab/>
      </w:r>
      <w:r w:rsidR="00656EC0">
        <w:rPr>
          <w:rFonts w:hint="eastAsia"/>
          <w:szCs w:val="21"/>
        </w:rPr>
        <w:tab/>
        <w:t>82</w:t>
      </w:r>
    </w:p>
    <w:p w:rsidR="006B69FA" w:rsidRPr="00E53510" w:rsidRDefault="006B69FA" w:rsidP="000B7556">
      <w:pPr>
        <w:tabs>
          <w:tab w:val="clear" w:pos="431"/>
          <w:tab w:val="right" w:pos="850"/>
          <w:tab w:val="left" w:pos="1134"/>
          <w:tab w:val="left" w:pos="1559"/>
          <w:tab w:val="left" w:pos="1984"/>
          <w:tab w:val="left" w:pos="3164"/>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656EC0">
        <w:rPr>
          <w:rFonts w:hint="eastAsia"/>
          <w:szCs w:val="21"/>
        </w:rPr>
        <w:tab/>
      </w:r>
      <w:r w:rsidR="00656EC0">
        <w:rPr>
          <w:rFonts w:hint="eastAsia"/>
          <w:szCs w:val="21"/>
        </w:rPr>
        <w:tab/>
        <w:t>82</w:t>
      </w:r>
    </w:p>
    <w:p w:rsidR="006B69FA" w:rsidRPr="00E53510" w:rsidRDefault="006B69FA" w:rsidP="000B7556">
      <w:pPr>
        <w:tabs>
          <w:tab w:val="clear" w:pos="431"/>
          <w:tab w:val="right" w:pos="850"/>
          <w:tab w:val="left" w:pos="1134"/>
          <w:tab w:val="left" w:pos="1559"/>
          <w:tab w:val="left" w:pos="1984"/>
          <w:tab w:val="left" w:pos="3119"/>
          <w:tab w:val="left" w:leader="dot" w:pos="8787"/>
          <w:tab w:val="right" w:pos="9554"/>
          <w:tab w:val="right" w:pos="9638"/>
        </w:tabs>
        <w:suppressAutoHyphens/>
        <w:overflowPunct/>
        <w:adjustRightInd/>
        <w:snapToGrid/>
        <w:spacing w:after="60"/>
        <w:ind w:left="1985" w:hanging="1985"/>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第三部分</w:t>
      </w:r>
      <w:r w:rsidRPr="00E53510">
        <w:rPr>
          <w:szCs w:val="21"/>
        </w:rPr>
        <w:br/>
      </w:r>
      <w:r w:rsidRPr="00E53510">
        <w:rPr>
          <w:rFonts w:hint="eastAsia"/>
          <w:szCs w:val="21"/>
        </w:rPr>
        <w:t>一般惯例</w:t>
      </w:r>
    </w:p>
    <w:p w:rsidR="006B69FA" w:rsidRPr="00E53510" w:rsidRDefault="006B69FA" w:rsidP="000B7556">
      <w:pPr>
        <w:tabs>
          <w:tab w:val="clear" w:pos="431"/>
          <w:tab w:val="right" w:pos="850"/>
          <w:tab w:val="left" w:pos="1134"/>
          <w:tab w:val="left" w:pos="1559"/>
          <w:tab w:val="left" w:pos="1984"/>
          <w:tab w:val="left" w:pos="2410"/>
          <w:tab w:val="left" w:pos="3164"/>
          <w:tab w:val="left" w:leader="dot" w:pos="8787"/>
          <w:tab w:val="right" w:pos="9554"/>
          <w:tab w:val="right" w:pos="9638"/>
        </w:tabs>
        <w:suppressAutoHyphens/>
        <w:overflowPunct/>
        <w:adjustRightInd/>
        <w:snapToGrid/>
        <w:spacing w:after="60"/>
        <w:jc w:val="left"/>
        <w:rPr>
          <w:szCs w:val="21"/>
        </w:rPr>
      </w:pP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结论</w:t>
      </w:r>
      <w:r w:rsidRPr="00E53510">
        <w:rPr>
          <w:rFonts w:hint="eastAsia"/>
          <w:szCs w:val="21"/>
        </w:rPr>
        <w:t>4</w:t>
      </w:r>
      <w:r w:rsidRPr="00E53510">
        <w:rPr>
          <w:rFonts w:hint="eastAsia"/>
          <w:szCs w:val="21"/>
        </w:rPr>
        <w:tab/>
      </w:r>
      <w:r w:rsidRPr="00E53510">
        <w:rPr>
          <w:rFonts w:hint="eastAsia"/>
          <w:szCs w:val="21"/>
        </w:rPr>
        <w:t>惯例的要求</w:t>
      </w:r>
      <w:r w:rsidR="00656EC0">
        <w:rPr>
          <w:rFonts w:hint="eastAsia"/>
          <w:szCs w:val="21"/>
        </w:rPr>
        <w:tab/>
      </w:r>
      <w:r w:rsidR="00656EC0">
        <w:rPr>
          <w:rFonts w:hint="eastAsia"/>
          <w:szCs w:val="21"/>
        </w:rPr>
        <w:tab/>
        <w:t>85</w:t>
      </w:r>
    </w:p>
    <w:p w:rsidR="006B69FA" w:rsidRPr="00E53510" w:rsidRDefault="006B69FA" w:rsidP="000B7556">
      <w:pPr>
        <w:tabs>
          <w:tab w:val="clear" w:pos="431"/>
          <w:tab w:val="right" w:pos="850"/>
          <w:tab w:val="left" w:pos="1134"/>
          <w:tab w:val="left" w:pos="1559"/>
          <w:tab w:val="left" w:pos="1984"/>
          <w:tab w:val="left" w:pos="3164"/>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656EC0">
        <w:rPr>
          <w:rFonts w:hint="eastAsia"/>
          <w:szCs w:val="21"/>
        </w:rPr>
        <w:tab/>
      </w:r>
      <w:r w:rsidR="00656EC0">
        <w:rPr>
          <w:rFonts w:hint="eastAsia"/>
          <w:szCs w:val="21"/>
        </w:rPr>
        <w:tab/>
        <w:t>85</w:t>
      </w:r>
    </w:p>
    <w:p w:rsidR="006B69FA" w:rsidRPr="00E53510" w:rsidRDefault="006B69FA" w:rsidP="000B7556">
      <w:pPr>
        <w:tabs>
          <w:tab w:val="clear" w:pos="431"/>
          <w:tab w:val="right" w:pos="850"/>
          <w:tab w:val="left" w:pos="1134"/>
          <w:tab w:val="left" w:pos="1559"/>
          <w:tab w:val="left" w:pos="1984"/>
          <w:tab w:val="left" w:pos="2410"/>
          <w:tab w:val="left" w:pos="3164"/>
          <w:tab w:val="left" w:leader="dot" w:pos="8787"/>
          <w:tab w:val="right" w:pos="9554"/>
          <w:tab w:val="right" w:pos="9638"/>
        </w:tabs>
        <w:suppressAutoHyphens/>
        <w:overflowPunct/>
        <w:adjustRightInd/>
        <w:snapToGrid/>
        <w:spacing w:after="60"/>
        <w:jc w:val="left"/>
        <w:rPr>
          <w:szCs w:val="21"/>
        </w:rPr>
      </w:pP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结论</w:t>
      </w:r>
      <w:r w:rsidRPr="00E53510">
        <w:rPr>
          <w:rFonts w:hint="eastAsia"/>
          <w:szCs w:val="21"/>
        </w:rPr>
        <w:t>5</w:t>
      </w:r>
      <w:r w:rsidRPr="00E53510">
        <w:rPr>
          <w:rFonts w:hint="eastAsia"/>
          <w:szCs w:val="21"/>
        </w:rPr>
        <w:tab/>
      </w:r>
      <w:r w:rsidRPr="00E53510">
        <w:rPr>
          <w:rFonts w:hint="eastAsia"/>
          <w:szCs w:val="21"/>
        </w:rPr>
        <w:t>作为国家惯例的国家行为</w:t>
      </w:r>
      <w:r w:rsidR="00656EC0">
        <w:rPr>
          <w:rFonts w:hint="eastAsia"/>
          <w:szCs w:val="21"/>
        </w:rPr>
        <w:tab/>
      </w:r>
      <w:r w:rsidR="00656EC0">
        <w:rPr>
          <w:rFonts w:hint="eastAsia"/>
          <w:szCs w:val="21"/>
        </w:rPr>
        <w:tab/>
        <w:t>87</w:t>
      </w:r>
    </w:p>
    <w:p w:rsidR="006B69FA" w:rsidRPr="00E53510" w:rsidRDefault="006B69FA" w:rsidP="000B7556">
      <w:pPr>
        <w:tabs>
          <w:tab w:val="clear" w:pos="431"/>
          <w:tab w:val="right" w:pos="850"/>
          <w:tab w:val="left" w:pos="1134"/>
          <w:tab w:val="left" w:pos="1559"/>
          <w:tab w:val="left" w:pos="1984"/>
          <w:tab w:val="left" w:pos="3164"/>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656EC0">
        <w:rPr>
          <w:rFonts w:hint="eastAsia"/>
          <w:szCs w:val="21"/>
        </w:rPr>
        <w:tab/>
      </w:r>
      <w:r w:rsidR="00656EC0">
        <w:rPr>
          <w:rFonts w:hint="eastAsia"/>
          <w:szCs w:val="21"/>
        </w:rPr>
        <w:tab/>
        <w:t>87</w:t>
      </w:r>
    </w:p>
    <w:p w:rsidR="006B69FA" w:rsidRPr="00E53510" w:rsidRDefault="006B69FA" w:rsidP="000B7556">
      <w:pPr>
        <w:tabs>
          <w:tab w:val="clear" w:pos="431"/>
          <w:tab w:val="right" w:pos="850"/>
          <w:tab w:val="left" w:pos="1134"/>
          <w:tab w:val="left" w:pos="1559"/>
          <w:tab w:val="left" w:pos="1984"/>
          <w:tab w:val="left" w:pos="2410"/>
          <w:tab w:val="left" w:pos="3164"/>
          <w:tab w:val="left" w:leader="dot" w:pos="8787"/>
          <w:tab w:val="right" w:pos="9554"/>
          <w:tab w:val="right" w:pos="9638"/>
        </w:tabs>
        <w:suppressAutoHyphens/>
        <w:overflowPunct/>
        <w:adjustRightInd/>
        <w:snapToGrid/>
        <w:spacing w:after="60"/>
        <w:jc w:val="left"/>
        <w:rPr>
          <w:szCs w:val="21"/>
        </w:rPr>
      </w:pP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结论</w:t>
      </w:r>
      <w:r w:rsidRPr="00E53510">
        <w:rPr>
          <w:rFonts w:hint="eastAsia"/>
          <w:szCs w:val="21"/>
        </w:rPr>
        <w:t>6</w:t>
      </w:r>
      <w:r w:rsidRPr="00E53510">
        <w:rPr>
          <w:rFonts w:hint="eastAsia"/>
          <w:szCs w:val="21"/>
        </w:rPr>
        <w:tab/>
      </w:r>
      <w:r w:rsidRPr="00E53510">
        <w:rPr>
          <w:rFonts w:hint="eastAsia"/>
          <w:szCs w:val="21"/>
        </w:rPr>
        <w:t>惯例的形式</w:t>
      </w:r>
      <w:r w:rsidR="00656EC0">
        <w:rPr>
          <w:rFonts w:hint="eastAsia"/>
          <w:szCs w:val="21"/>
        </w:rPr>
        <w:tab/>
      </w:r>
      <w:r w:rsidR="00656EC0">
        <w:rPr>
          <w:rFonts w:hint="eastAsia"/>
          <w:szCs w:val="21"/>
        </w:rPr>
        <w:tab/>
        <w:t>88</w:t>
      </w:r>
    </w:p>
    <w:p w:rsidR="006B69FA" w:rsidRPr="00E53510" w:rsidRDefault="006B69FA" w:rsidP="000B7556">
      <w:pPr>
        <w:tabs>
          <w:tab w:val="clear" w:pos="431"/>
          <w:tab w:val="right" w:pos="850"/>
          <w:tab w:val="left" w:pos="1134"/>
          <w:tab w:val="left" w:pos="1559"/>
          <w:tab w:val="left" w:pos="1984"/>
          <w:tab w:val="left" w:pos="3164"/>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656EC0">
        <w:rPr>
          <w:rFonts w:hint="eastAsia"/>
          <w:szCs w:val="21"/>
        </w:rPr>
        <w:tab/>
      </w:r>
      <w:r w:rsidR="00656EC0">
        <w:rPr>
          <w:rFonts w:hint="eastAsia"/>
          <w:szCs w:val="21"/>
        </w:rPr>
        <w:tab/>
        <w:t>88</w:t>
      </w:r>
    </w:p>
    <w:p w:rsidR="006B69FA" w:rsidRPr="00E53510" w:rsidRDefault="006B69FA" w:rsidP="000B7556">
      <w:pPr>
        <w:tabs>
          <w:tab w:val="clear" w:pos="431"/>
          <w:tab w:val="right" w:pos="850"/>
          <w:tab w:val="left" w:pos="1134"/>
          <w:tab w:val="left" w:pos="1559"/>
          <w:tab w:val="left" w:pos="1984"/>
          <w:tab w:val="left" w:pos="2410"/>
          <w:tab w:val="left" w:pos="3164"/>
          <w:tab w:val="left" w:leader="dot" w:pos="8787"/>
          <w:tab w:val="right" w:pos="9554"/>
          <w:tab w:val="right" w:pos="9638"/>
        </w:tabs>
        <w:suppressAutoHyphens/>
        <w:overflowPunct/>
        <w:adjustRightInd/>
        <w:snapToGrid/>
        <w:spacing w:after="60"/>
        <w:jc w:val="left"/>
        <w:rPr>
          <w:szCs w:val="21"/>
        </w:rPr>
      </w:pP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结论</w:t>
      </w:r>
      <w:r w:rsidRPr="00E53510">
        <w:rPr>
          <w:rFonts w:hint="eastAsia"/>
          <w:szCs w:val="21"/>
        </w:rPr>
        <w:t>7</w:t>
      </w:r>
      <w:r w:rsidRPr="00E53510">
        <w:rPr>
          <w:rFonts w:hint="eastAsia"/>
          <w:szCs w:val="21"/>
        </w:rPr>
        <w:tab/>
      </w:r>
      <w:r w:rsidRPr="00E53510">
        <w:rPr>
          <w:rFonts w:hint="eastAsia"/>
          <w:szCs w:val="21"/>
        </w:rPr>
        <w:t>评估国家惯例</w:t>
      </w:r>
      <w:r w:rsidR="00656EC0">
        <w:rPr>
          <w:rFonts w:hint="eastAsia"/>
          <w:szCs w:val="21"/>
        </w:rPr>
        <w:tab/>
      </w:r>
      <w:r w:rsidR="00656EC0">
        <w:rPr>
          <w:rFonts w:hint="eastAsia"/>
          <w:szCs w:val="21"/>
        </w:rPr>
        <w:tab/>
        <w:t>90</w:t>
      </w:r>
    </w:p>
    <w:p w:rsidR="006B69FA" w:rsidRPr="00E53510" w:rsidRDefault="006B69FA" w:rsidP="000B7556">
      <w:pPr>
        <w:tabs>
          <w:tab w:val="clear" w:pos="431"/>
          <w:tab w:val="right" w:pos="850"/>
          <w:tab w:val="left" w:pos="1134"/>
          <w:tab w:val="left" w:pos="1559"/>
          <w:tab w:val="left" w:pos="1984"/>
          <w:tab w:val="left" w:pos="3164"/>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656EC0">
        <w:rPr>
          <w:rFonts w:hint="eastAsia"/>
          <w:szCs w:val="21"/>
        </w:rPr>
        <w:tab/>
      </w:r>
      <w:r w:rsidR="00656EC0">
        <w:rPr>
          <w:rFonts w:hint="eastAsia"/>
          <w:szCs w:val="21"/>
        </w:rPr>
        <w:tab/>
        <w:t>90</w:t>
      </w:r>
    </w:p>
    <w:p w:rsidR="006B69FA" w:rsidRPr="00E53510" w:rsidRDefault="006B69FA" w:rsidP="000B7556">
      <w:pPr>
        <w:tabs>
          <w:tab w:val="clear" w:pos="431"/>
          <w:tab w:val="right" w:pos="850"/>
          <w:tab w:val="left" w:pos="1134"/>
          <w:tab w:val="left" w:pos="1559"/>
          <w:tab w:val="left" w:pos="1984"/>
          <w:tab w:val="left" w:pos="2410"/>
          <w:tab w:val="left" w:pos="3164"/>
          <w:tab w:val="left" w:leader="dot" w:pos="8787"/>
          <w:tab w:val="right" w:pos="9554"/>
          <w:tab w:val="right" w:pos="9638"/>
        </w:tabs>
        <w:suppressAutoHyphens/>
        <w:overflowPunct/>
        <w:adjustRightInd/>
        <w:snapToGrid/>
        <w:spacing w:after="60"/>
        <w:jc w:val="left"/>
        <w:rPr>
          <w:szCs w:val="21"/>
        </w:rPr>
      </w:pP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结论</w:t>
      </w:r>
      <w:r w:rsidRPr="00E53510">
        <w:rPr>
          <w:rFonts w:hint="eastAsia"/>
          <w:szCs w:val="21"/>
        </w:rPr>
        <w:t>8</w:t>
      </w:r>
      <w:r w:rsidRPr="00E53510">
        <w:rPr>
          <w:rFonts w:hint="eastAsia"/>
          <w:szCs w:val="21"/>
        </w:rPr>
        <w:tab/>
      </w:r>
      <w:r w:rsidRPr="00E53510">
        <w:rPr>
          <w:rFonts w:hint="eastAsia"/>
          <w:szCs w:val="21"/>
        </w:rPr>
        <w:t>惯例必须具备一般性</w:t>
      </w:r>
      <w:r w:rsidR="00656EC0">
        <w:rPr>
          <w:rFonts w:hint="eastAsia"/>
          <w:szCs w:val="21"/>
        </w:rPr>
        <w:tab/>
      </w:r>
      <w:r w:rsidR="00656EC0">
        <w:rPr>
          <w:rFonts w:hint="eastAsia"/>
          <w:szCs w:val="21"/>
        </w:rPr>
        <w:tab/>
        <w:t>91</w:t>
      </w:r>
    </w:p>
    <w:p w:rsidR="006B69FA" w:rsidRPr="00E53510" w:rsidRDefault="006B69FA" w:rsidP="000B7556">
      <w:pPr>
        <w:tabs>
          <w:tab w:val="clear" w:pos="431"/>
          <w:tab w:val="right" w:pos="850"/>
          <w:tab w:val="left" w:pos="1134"/>
          <w:tab w:val="left" w:pos="1559"/>
          <w:tab w:val="left" w:pos="1984"/>
          <w:tab w:val="left" w:pos="3164"/>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656EC0">
        <w:rPr>
          <w:rFonts w:hint="eastAsia"/>
          <w:szCs w:val="21"/>
        </w:rPr>
        <w:tab/>
      </w:r>
      <w:r w:rsidR="00656EC0">
        <w:rPr>
          <w:rFonts w:hint="eastAsia"/>
          <w:szCs w:val="21"/>
        </w:rPr>
        <w:tab/>
        <w:t>91</w:t>
      </w:r>
    </w:p>
    <w:p w:rsidR="006B69FA" w:rsidRPr="00E53510" w:rsidRDefault="006B69FA" w:rsidP="000B7556">
      <w:pPr>
        <w:tabs>
          <w:tab w:val="clear" w:pos="431"/>
          <w:tab w:val="right" w:pos="850"/>
          <w:tab w:val="left" w:pos="1134"/>
          <w:tab w:val="left" w:pos="1559"/>
          <w:tab w:val="left" w:pos="1984"/>
          <w:tab w:val="left" w:pos="3119"/>
          <w:tab w:val="left" w:leader="dot" w:pos="8787"/>
          <w:tab w:val="right" w:pos="9554"/>
          <w:tab w:val="right" w:pos="9638"/>
        </w:tabs>
        <w:suppressAutoHyphens/>
        <w:overflowPunct/>
        <w:adjustRightInd/>
        <w:snapToGrid/>
        <w:spacing w:after="60"/>
        <w:ind w:left="1985" w:hanging="1985"/>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第四部分</w:t>
      </w:r>
      <w:r w:rsidRPr="00E53510">
        <w:rPr>
          <w:szCs w:val="21"/>
        </w:rPr>
        <w:br/>
      </w:r>
      <w:r w:rsidRPr="00E53510">
        <w:rPr>
          <w:rFonts w:hint="eastAsia"/>
          <w:szCs w:val="21"/>
        </w:rPr>
        <w:t>被接受为法律</w:t>
      </w:r>
      <w:r w:rsidRPr="00E53510">
        <w:rPr>
          <w:rFonts w:hint="eastAsia"/>
          <w:szCs w:val="21"/>
        </w:rPr>
        <w:t>(</w:t>
      </w:r>
      <w:r w:rsidRPr="00E53510">
        <w:rPr>
          <w:rFonts w:hint="eastAsia"/>
          <w:szCs w:val="21"/>
        </w:rPr>
        <w:t>法律确信</w:t>
      </w:r>
      <w:r w:rsidRPr="00E53510">
        <w:rPr>
          <w:rFonts w:hint="eastAsia"/>
          <w:szCs w:val="21"/>
        </w:rPr>
        <w:t>)</w:t>
      </w:r>
    </w:p>
    <w:p w:rsidR="006B69FA" w:rsidRPr="00E53510" w:rsidRDefault="006B69FA" w:rsidP="000B7556">
      <w:pPr>
        <w:tabs>
          <w:tab w:val="clear" w:pos="431"/>
          <w:tab w:val="right" w:pos="850"/>
          <w:tab w:val="left" w:pos="1134"/>
          <w:tab w:val="left" w:pos="1559"/>
          <w:tab w:val="left" w:pos="1984"/>
          <w:tab w:val="left" w:pos="2410"/>
          <w:tab w:val="left" w:pos="3164"/>
          <w:tab w:val="left" w:leader="dot" w:pos="8787"/>
          <w:tab w:val="right" w:pos="9554"/>
          <w:tab w:val="right" w:pos="9638"/>
        </w:tabs>
        <w:suppressAutoHyphens/>
        <w:overflowPunct/>
        <w:adjustRightInd/>
        <w:snapToGrid/>
        <w:spacing w:after="60"/>
        <w:jc w:val="left"/>
        <w:rPr>
          <w:szCs w:val="21"/>
        </w:rPr>
      </w:pP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hint="eastAsia"/>
          <w:szCs w:val="21"/>
        </w:rPr>
        <w:t>结论</w:t>
      </w:r>
      <w:r w:rsidRPr="00E53510">
        <w:rPr>
          <w:rFonts w:hint="eastAsia"/>
          <w:szCs w:val="21"/>
        </w:rPr>
        <w:t>9</w:t>
      </w:r>
      <w:r w:rsidRPr="00E53510">
        <w:rPr>
          <w:rFonts w:hint="eastAsia"/>
          <w:szCs w:val="21"/>
        </w:rPr>
        <w:tab/>
      </w:r>
      <w:r w:rsidRPr="00E53510">
        <w:rPr>
          <w:rFonts w:hint="eastAsia"/>
          <w:szCs w:val="21"/>
        </w:rPr>
        <w:t>被接受为法律</w:t>
      </w:r>
      <w:r w:rsidRPr="00E53510">
        <w:rPr>
          <w:rFonts w:hint="eastAsia"/>
          <w:szCs w:val="21"/>
        </w:rPr>
        <w:t>(</w:t>
      </w:r>
      <w:r w:rsidRPr="00E53510">
        <w:rPr>
          <w:rFonts w:hint="eastAsia"/>
          <w:szCs w:val="21"/>
        </w:rPr>
        <w:t>法律确信</w:t>
      </w:r>
      <w:r w:rsidRPr="00E53510">
        <w:rPr>
          <w:rFonts w:hint="eastAsia"/>
          <w:szCs w:val="21"/>
        </w:rPr>
        <w:t>)</w:t>
      </w:r>
      <w:r w:rsidRPr="00E53510">
        <w:rPr>
          <w:rFonts w:hint="eastAsia"/>
          <w:szCs w:val="21"/>
        </w:rPr>
        <w:t>的要求</w:t>
      </w:r>
      <w:r w:rsidR="00656EC0">
        <w:rPr>
          <w:rFonts w:hint="eastAsia"/>
          <w:szCs w:val="21"/>
        </w:rPr>
        <w:tab/>
      </w:r>
      <w:r w:rsidR="00656EC0">
        <w:rPr>
          <w:rFonts w:hint="eastAsia"/>
          <w:szCs w:val="21"/>
        </w:rPr>
        <w:tab/>
        <w:t>94</w:t>
      </w:r>
    </w:p>
    <w:p w:rsidR="006B69FA" w:rsidRPr="00E53510" w:rsidRDefault="006B69FA" w:rsidP="000B7556">
      <w:pPr>
        <w:tabs>
          <w:tab w:val="clear" w:pos="431"/>
          <w:tab w:val="right" w:pos="850"/>
          <w:tab w:val="left" w:pos="1134"/>
          <w:tab w:val="left" w:pos="1559"/>
          <w:tab w:val="left" w:pos="1984"/>
          <w:tab w:val="left" w:pos="3164"/>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656EC0">
        <w:rPr>
          <w:rFonts w:hint="eastAsia"/>
          <w:szCs w:val="21"/>
        </w:rPr>
        <w:tab/>
      </w:r>
      <w:r w:rsidR="00656EC0">
        <w:rPr>
          <w:rFonts w:hint="eastAsia"/>
          <w:szCs w:val="21"/>
        </w:rPr>
        <w:tab/>
        <w:t>94</w:t>
      </w:r>
    </w:p>
    <w:p w:rsidR="006B69FA" w:rsidRPr="00E53510" w:rsidRDefault="006B69FA" w:rsidP="000B7556">
      <w:pPr>
        <w:tabs>
          <w:tab w:val="clear" w:pos="431"/>
          <w:tab w:val="right" w:pos="850"/>
          <w:tab w:val="left" w:pos="1134"/>
          <w:tab w:val="left" w:pos="1559"/>
          <w:tab w:val="left" w:pos="1984"/>
          <w:tab w:val="left" w:pos="2410"/>
          <w:tab w:val="left" w:pos="3164"/>
          <w:tab w:val="left" w:leader="dot" w:pos="8787"/>
          <w:tab w:val="right" w:pos="9554"/>
          <w:tab w:val="right" w:pos="9638"/>
        </w:tabs>
        <w:suppressAutoHyphens/>
        <w:overflowPunct/>
        <w:adjustRightInd/>
        <w:snapToGrid/>
        <w:spacing w:after="60"/>
        <w:jc w:val="left"/>
        <w:rPr>
          <w:szCs w:val="21"/>
        </w:rPr>
      </w:pP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结论</w:t>
      </w:r>
      <w:r w:rsidRPr="00E53510">
        <w:rPr>
          <w:rFonts w:hint="eastAsia"/>
          <w:szCs w:val="21"/>
        </w:rPr>
        <w:t>10</w:t>
      </w:r>
      <w:r w:rsidRPr="00E53510">
        <w:rPr>
          <w:rFonts w:hint="eastAsia"/>
          <w:szCs w:val="21"/>
        </w:rPr>
        <w:tab/>
      </w:r>
      <w:r w:rsidRPr="00E53510">
        <w:rPr>
          <w:rFonts w:hint="eastAsia"/>
          <w:szCs w:val="21"/>
        </w:rPr>
        <w:t>被接受为法律</w:t>
      </w:r>
      <w:r w:rsidRPr="00E53510">
        <w:rPr>
          <w:rFonts w:hint="eastAsia"/>
          <w:szCs w:val="21"/>
        </w:rPr>
        <w:t>(</w:t>
      </w:r>
      <w:r w:rsidRPr="00E53510">
        <w:rPr>
          <w:rFonts w:hint="eastAsia"/>
          <w:szCs w:val="21"/>
        </w:rPr>
        <w:t>法律确信</w:t>
      </w:r>
      <w:r w:rsidRPr="00E53510">
        <w:rPr>
          <w:rFonts w:hint="eastAsia"/>
          <w:szCs w:val="21"/>
        </w:rPr>
        <w:t>)</w:t>
      </w:r>
      <w:r w:rsidRPr="00E53510">
        <w:rPr>
          <w:rFonts w:hint="eastAsia"/>
          <w:szCs w:val="21"/>
        </w:rPr>
        <w:t>的证据形式</w:t>
      </w:r>
      <w:r w:rsidR="00656EC0">
        <w:rPr>
          <w:rFonts w:hint="eastAsia"/>
          <w:szCs w:val="21"/>
        </w:rPr>
        <w:tab/>
      </w:r>
      <w:r w:rsidR="00656EC0">
        <w:rPr>
          <w:rFonts w:hint="eastAsia"/>
          <w:szCs w:val="21"/>
        </w:rPr>
        <w:tab/>
        <w:t>96</w:t>
      </w:r>
    </w:p>
    <w:p w:rsidR="006B69FA" w:rsidRPr="00E53510" w:rsidRDefault="006B69FA" w:rsidP="000B7556">
      <w:pPr>
        <w:tabs>
          <w:tab w:val="clear" w:pos="431"/>
          <w:tab w:val="right" w:pos="850"/>
          <w:tab w:val="left" w:pos="1134"/>
          <w:tab w:val="left" w:pos="1559"/>
          <w:tab w:val="left" w:pos="1984"/>
          <w:tab w:val="left" w:pos="3164"/>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656EC0">
        <w:rPr>
          <w:rFonts w:hint="eastAsia"/>
          <w:szCs w:val="21"/>
        </w:rPr>
        <w:tab/>
      </w:r>
      <w:r w:rsidR="00656EC0">
        <w:rPr>
          <w:rFonts w:hint="eastAsia"/>
          <w:szCs w:val="21"/>
        </w:rPr>
        <w:tab/>
        <w:t>96</w:t>
      </w:r>
    </w:p>
    <w:p w:rsidR="006B69FA" w:rsidRPr="00E53510" w:rsidRDefault="006B69FA" w:rsidP="000B7556">
      <w:pPr>
        <w:tabs>
          <w:tab w:val="clear" w:pos="431"/>
          <w:tab w:val="right" w:pos="850"/>
          <w:tab w:val="left" w:pos="1134"/>
          <w:tab w:val="left" w:pos="1559"/>
          <w:tab w:val="left" w:pos="1984"/>
          <w:tab w:val="left" w:pos="3119"/>
          <w:tab w:val="left" w:leader="dot" w:pos="8787"/>
          <w:tab w:val="right" w:pos="9554"/>
          <w:tab w:val="right" w:pos="9638"/>
        </w:tabs>
        <w:suppressAutoHyphens/>
        <w:overflowPunct/>
        <w:adjustRightInd/>
        <w:snapToGrid/>
        <w:spacing w:after="60"/>
        <w:ind w:left="1985" w:hanging="1985"/>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第五部分</w:t>
      </w:r>
      <w:r w:rsidRPr="00E53510">
        <w:rPr>
          <w:szCs w:val="21"/>
        </w:rPr>
        <w:br/>
      </w:r>
      <w:r w:rsidRPr="00E53510">
        <w:rPr>
          <w:rFonts w:hint="eastAsia"/>
          <w:szCs w:val="21"/>
        </w:rPr>
        <w:t>某些材料对于识别习惯国际法的意义</w:t>
      </w:r>
    </w:p>
    <w:p w:rsidR="006B69FA" w:rsidRPr="00E53510" w:rsidRDefault="006B69FA" w:rsidP="000B7556">
      <w:pPr>
        <w:tabs>
          <w:tab w:val="clear" w:pos="431"/>
          <w:tab w:val="right" w:pos="850"/>
          <w:tab w:val="left" w:pos="1134"/>
          <w:tab w:val="left" w:pos="1559"/>
          <w:tab w:val="left" w:pos="1984"/>
          <w:tab w:val="left" w:pos="3164"/>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656EC0">
        <w:rPr>
          <w:rFonts w:hint="eastAsia"/>
          <w:szCs w:val="21"/>
        </w:rPr>
        <w:tab/>
      </w:r>
      <w:r w:rsidR="00656EC0">
        <w:rPr>
          <w:rFonts w:hint="eastAsia"/>
          <w:szCs w:val="21"/>
        </w:rPr>
        <w:tab/>
        <w:t>98</w:t>
      </w:r>
    </w:p>
    <w:p w:rsidR="006B69FA" w:rsidRPr="00E53510" w:rsidRDefault="006B69FA" w:rsidP="000B7556">
      <w:pPr>
        <w:tabs>
          <w:tab w:val="clear" w:pos="431"/>
          <w:tab w:val="right" w:pos="850"/>
          <w:tab w:val="left" w:pos="1134"/>
          <w:tab w:val="left" w:pos="1559"/>
          <w:tab w:val="left" w:pos="1984"/>
          <w:tab w:val="left" w:pos="2410"/>
          <w:tab w:val="left" w:pos="3164"/>
          <w:tab w:val="left" w:leader="dot" w:pos="8787"/>
          <w:tab w:val="right" w:pos="9554"/>
          <w:tab w:val="right" w:pos="9638"/>
        </w:tabs>
        <w:suppressAutoHyphens/>
        <w:overflowPunct/>
        <w:adjustRightInd/>
        <w:snapToGrid/>
        <w:spacing w:after="60"/>
        <w:jc w:val="left"/>
        <w:rPr>
          <w:szCs w:val="21"/>
        </w:rPr>
      </w:pP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hint="eastAsia"/>
          <w:szCs w:val="21"/>
        </w:rPr>
        <w:t>结论</w:t>
      </w:r>
      <w:r w:rsidRPr="00E53510">
        <w:rPr>
          <w:rFonts w:hint="eastAsia"/>
          <w:szCs w:val="21"/>
        </w:rPr>
        <w:t>11</w:t>
      </w:r>
      <w:r w:rsidRPr="00E53510">
        <w:rPr>
          <w:rFonts w:hint="eastAsia"/>
          <w:szCs w:val="21"/>
        </w:rPr>
        <w:tab/>
      </w:r>
      <w:r w:rsidRPr="00E53510">
        <w:rPr>
          <w:rFonts w:hint="eastAsia"/>
          <w:szCs w:val="21"/>
        </w:rPr>
        <w:t>条约</w:t>
      </w:r>
      <w:r w:rsidRPr="00E53510">
        <w:rPr>
          <w:rFonts w:hint="eastAsia"/>
          <w:szCs w:val="21"/>
        </w:rPr>
        <w:tab/>
      </w:r>
      <w:r w:rsidRPr="00E53510">
        <w:rPr>
          <w:rFonts w:hint="eastAsia"/>
          <w:szCs w:val="21"/>
        </w:rPr>
        <w:tab/>
      </w:r>
      <w:r w:rsidR="00656EC0">
        <w:rPr>
          <w:rFonts w:hint="eastAsia"/>
          <w:szCs w:val="21"/>
        </w:rPr>
        <w:t>99</w:t>
      </w:r>
    </w:p>
    <w:p w:rsidR="006B69FA" w:rsidRPr="00E53510" w:rsidRDefault="006B69FA" w:rsidP="000B7556">
      <w:pPr>
        <w:tabs>
          <w:tab w:val="clear" w:pos="431"/>
          <w:tab w:val="right" w:pos="850"/>
          <w:tab w:val="left" w:pos="1134"/>
          <w:tab w:val="left" w:pos="1559"/>
          <w:tab w:val="left" w:pos="1984"/>
          <w:tab w:val="left" w:pos="3164"/>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Pr="00E53510">
        <w:rPr>
          <w:rFonts w:hint="eastAsia"/>
          <w:szCs w:val="21"/>
        </w:rPr>
        <w:tab/>
      </w:r>
      <w:r w:rsidRPr="00E53510">
        <w:rPr>
          <w:rFonts w:hint="eastAsia"/>
          <w:szCs w:val="21"/>
        </w:rPr>
        <w:tab/>
      </w:r>
      <w:r w:rsidR="00656EC0">
        <w:rPr>
          <w:rFonts w:hint="eastAsia"/>
          <w:szCs w:val="21"/>
        </w:rPr>
        <w:t>99</w:t>
      </w:r>
    </w:p>
    <w:p w:rsidR="000B7556" w:rsidRDefault="000B7556">
      <w:pPr>
        <w:tabs>
          <w:tab w:val="clear" w:pos="431"/>
        </w:tabs>
        <w:overflowPunct/>
        <w:adjustRightInd/>
        <w:snapToGrid/>
        <w:spacing w:line="240" w:lineRule="auto"/>
        <w:jc w:val="left"/>
        <w:rPr>
          <w:rFonts w:asciiTheme="majorBidi" w:eastAsiaTheme="minorEastAsia" w:hAnsiTheme="majorBidi" w:cstheme="majorBidi"/>
          <w:noProof/>
          <w:snapToGrid/>
          <w:szCs w:val="21"/>
          <w:lang w:val="en-GB"/>
        </w:rPr>
      </w:pPr>
      <w:r>
        <w:rPr>
          <w:rFonts w:asciiTheme="majorBidi" w:eastAsiaTheme="minorEastAsia" w:hAnsiTheme="majorBidi" w:cstheme="majorBidi"/>
          <w:noProof/>
          <w:snapToGrid/>
          <w:szCs w:val="21"/>
          <w:lang w:val="en-GB"/>
        </w:rPr>
        <w:br w:type="page"/>
      </w:r>
    </w:p>
    <w:p w:rsidR="006B69FA" w:rsidRPr="00E53510" w:rsidRDefault="006B69FA" w:rsidP="000B7556">
      <w:pPr>
        <w:tabs>
          <w:tab w:val="clear" w:pos="431"/>
          <w:tab w:val="right" w:pos="850"/>
          <w:tab w:val="left" w:pos="1134"/>
          <w:tab w:val="left" w:pos="1559"/>
          <w:tab w:val="left" w:pos="1984"/>
          <w:tab w:val="left" w:pos="2410"/>
          <w:tab w:val="left" w:pos="3164"/>
          <w:tab w:val="left" w:leader="dot" w:pos="8787"/>
          <w:tab w:val="right" w:pos="9554"/>
          <w:tab w:val="right" w:pos="9638"/>
        </w:tabs>
        <w:suppressAutoHyphens/>
        <w:overflowPunct/>
        <w:adjustRightInd/>
        <w:snapToGrid/>
        <w:spacing w:after="60"/>
        <w:jc w:val="left"/>
        <w:rPr>
          <w:szCs w:val="21"/>
        </w:rPr>
      </w:pP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hint="eastAsia"/>
          <w:szCs w:val="21"/>
        </w:rPr>
        <w:t>结论</w:t>
      </w:r>
      <w:r w:rsidRPr="00E53510">
        <w:rPr>
          <w:rFonts w:hint="eastAsia"/>
          <w:szCs w:val="21"/>
        </w:rPr>
        <w:t>12</w:t>
      </w:r>
      <w:r w:rsidRPr="00E53510">
        <w:rPr>
          <w:rFonts w:hint="eastAsia"/>
          <w:szCs w:val="21"/>
        </w:rPr>
        <w:tab/>
      </w:r>
      <w:r w:rsidRPr="00E53510">
        <w:rPr>
          <w:rFonts w:hint="eastAsia"/>
          <w:szCs w:val="21"/>
        </w:rPr>
        <w:t>国际组织和政府间会议的决议</w:t>
      </w:r>
      <w:r w:rsidR="00656EC0">
        <w:rPr>
          <w:rFonts w:hint="eastAsia"/>
          <w:szCs w:val="21"/>
        </w:rPr>
        <w:tab/>
      </w:r>
      <w:r w:rsidR="00656EC0">
        <w:rPr>
          <w:rFonts w:hint="eastAsia"/>
          <w:szCs w:val="21"/>
        </w:rPr>
        <w:tab/>
        <w:t>103</w:t>
      </w:r>
    </w:p>
    <w:p w:rsidR="00110F4A" w:rsidRPr="000B7556" w:rsidRDefault="006B69FA" w:rsidP="000B7556">
      <w:pPr>
        <w:tabs>
          <w:tab w:val="clear" w:pos="431"/>
          <w:tab w:val="right" w:pos="850"/>
          <w:tab w:val="left" w:pos="1134"/>
          <w:tab w:val="left" w:pos="1559"/>
          <w:tab w:val="left" w:pos="1984"/>
          <w:tab w:val="left" w:pos="3164"/>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656EC0">
        <w:rPr>
          <w:rFonts w:hint="eastAsia"/>
          <w:szCs w:val="21"/>
        </w:rPr>
        <w:tab/>
      </w:r>
      <w:r w:rsidR="00656EC0">
        <w:rPr>
          <w:rFonts w:hint="eastAsia"/>
          <w:szCs w:val="21"/>
        </w:rPr>
        <w:tab/>
        <w:t>103</w:t>
      </w:r>
    </w:p>
    <w:p w:rsidR="006B69FA" w:rsidRPr="00E53510" w:rsidRDefault="006B69FA" w:rsidP="000B7556">
      <w:pPr>
        <w:tabs>
          <w:tab w:val="clear" w:pos="431"/>
          <w:tab w:val="right" w:pos="850"/>
          <w:tab w:val="left" w:pos="1134"/>
          <w:tab w:val="left" w:pos="1559"/>
          <w:tab w:val="left" w:pos="1984"/>
          <w:tab w:val="left" w:pos="2410"/>
          <w:tab w:val="left" w:pos="3164"/>
          <w:tab w:val="left" w:leader="dot" w:pos="8787"/>
          <w:tab w:val="right" w:pos="9554"/>
          <w:tab w:val="right" w:pos="9638"/>
        </w:tabs>
        <w:suppressAutoHyphens/>
        <w:overflowPunct/>
        <w:adjustRightInd/>
        <w:snapToGrid/>
        <w:spacing w:after="60"/>
        <w:jc w:val="left"/>
        <w:rPr>
          <w:szCs w:val="21"/>
        </w:rPr>
      </w:pP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hint="eastAsia"/>
          <w:szCs w:val="21"/>
        </w:rPr>
        <w:t>结论</w:t>
      </w:r>
      <w:r w:rsidRPr="00E53510">
        <w:rPr>
          <w:rFonts w:hint="eastAsia"/>
          <w:szCs w:val="21"/>
        </w:rPr>
        <w:t>13</w:t>
      </w:r>
      <w:r w:rsidRPr="00E53510">
        <w:rPr>
          <w:rFonts w:hint="eastAsia"/>
          <w:szCs w:val="21"/>
        </w:rPr>
        <w:tab/>
      </w:r>
      <w:r w:rsidRPr="00E53510">
        <w:rPr>
          <w:rFonts w:hint="eastAsia"/>
          <w:szCs w:val="21"/>
        </w:rPr>
        <w:t>法院和法庭的判决</w:t>
      </w:r>
      <w:r w:rsidRPr="00E53510">
        <w:rPr>
          <w:rFonts w:hint="eastAsia"/>
          <w:szCs w:val="21"/>
        </w:rPr>
        <w:tab/>
      </w:r>
      <w:r w:rsidRPr="00E53510">
        <w:rPr>
          <w:rFonts w:hint="eastAsia"/>
          <w:szCs w:val="21"/>
        </w:rPr>
        <w:tab/>
      </w:r>
      <w:r w:rsidR="00656EC0">
        <w:rPr>
          <w:rFonts w:hint="eastAsia"/>
          <w:szCs w:val="21"/>
        </w:rPr>
        <w:t>105</w:t>
      </w:r>
    </w:p>
    <w:p w:rsidR="006B69FA" w:rsidRPr="00E53510" w:rsidRDefault="006B69FA" w:rsidP="000B7556">
      <w:pPr>
        <w:tabs>
          <w:tab w:val="clear" w:pos="431"/>
          <w:tab w:val="right" w:pos="850"/>
          <w:tab w:val="left" w:pos="1134"/>
          <w:tab w:val="left" w:pos="1559"/>
          <w:tab w:val="left" w:pos="1984"/>
          <w:tab w:val="left" w:pos="3164"/>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656EC0">
        <w:rPr>
          <w:rFonts w:hint="eastAsia"/>
          <w:szCs w:val="21"/>
        </w:rPr>
        <w:tab/>
      </w:r>
      <w:r w:rsidR="00656EC0">
        <w:rPr>
          <w:rFonts w:hint="eastAsia"/>
          <w:szCs w:val="21"/>
        </w:rPr>
        <w:tab/>
        <w:t>105</w:t>
      </w:r>
    </w:p>
    <w:p w:rsidR="006B69FA" w:rsidRPr="00E53510" w:rsidRDefault="006B69FA" w:rsidP="000B7556">
      <w:pPr>
        <w:tabs>
          <w:tab w:val="clear" w:pos="431"/>
          <w:tab w:val="right" w:pos="850"/>
          <w:tab w:val="left" w:pos="1134"/>
          <w:tab w:val="left" w:pos="1559"/>
          <w:tab w:val="left" w:pos="1984"/>
          <w:tab w:val="left" w:pos="2410"/>
          <w:tab w:val="left" w:pos="3164"/>
          <w:tab w:val="left" w:leader="dot" w:pos="8787"/>
          <w:tab w:val="right" w:pos="9554"/>
          <w:tab w:val="right" w:pos="9638"/>
        </w:tabs>
        <w:suppressAutoHyphens/>
        <w:overflowPunct/>
        <w:adjustRightInd/>
        <w:snapToGrid/>
        <w:spacing w:after="60"/>
        <w:jc w:val="left"/>
        <w:rPr>
          <w:szCs w:val="21"/>
        </w:rPr>
      </w:pP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hint="eastAsia"/>
          <w:szCs w:val="21"/>
        </w:rPr>
        <w:t>结论</w:t>
      </w:r>
      <w:r w:rsidRPr="00E53510">
        <w:rPr>
          <w:rFonts w:hint="eastAsia"/>
          <w:szCs w:val="21"/>
        </w:rPr>
        <w:t>14</w:t>
      </w:r>
      <w:r w:rsidRPr="00E53510">
        <w:rPr>
          <w:rFonts w:hint="eastAsia"/>
          <w:szCs w:val="21"/>
        </w:rPr>
        <w:tab/>
      </w:r>
      <w:r w:rsidRPr="00E53510">
        <w:rPr>
          <w:rFonts w:hint="eastAsia"/>
          <w:szCs w:val="21"/>
        </w:rPr>
        <w:t>学说</w:t>
      </w:r>
      <w:r w:rsidR="00656EC0">
        <w:rPr>
          <w:rFonts w:hint="eastAsia"/>
          <w:szCs w:val="21"/>
        </w:rPr>
        <w:tab/>
      </w:r>
      <w:r w:rsidR="00656EC0">
        <w:rPr>
          <w:rFonts w:hint="eastAsia"/>
          <w:szCs w:val="21"/>
        </w:rPr>
        <w:tab/>
        <w:t>107</w:t>
      </w:r>
    </w:p>
    <w:p w:rsidR="006B69FA" w:rsidRPr="00E53510" w:rsidRDefault="006B69FA" w:rsidP="000B7556">
      <w:pPr>
        <w:tabs>
          <w:tab w:val="clear" w:pos="431"/>
          <w:tab w:val="right" w:pos="850"/>
          <w:tab w:val="left" w:pos="1134"/>
          <w:tab w:val="left" w:pos="1559"/>
          <w:tab w:val="left" w:pos="1984"/>
          <w:tab w:val="left" w:pos="3164"/>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656EC0">
        <w:rPr>
          <w:rFonts w:hint="eastAsia"/>
          <w:szCs w:val="21"/>
        </w:rPr>
        <w:tab/>
      </w:r>
      <w:r w:rsidR="00656EC0">
        <w:rPr>
          <w:rFonts w:hint="eastAsia"/>
          <w:szCs w:val="21"/>
        </w:rPr>
        <w:tab/>
        <w:t>107</w:t>
      </w:r>
    </w:p>
    <w:p w:rsidR="006B69FA" w:rsidRPr="00E53510" w:rsidRDefault="006B69FA" w:rsidP="000B7556">
      <w:pPr>
        <w:tabs>
          <w:tab w:val="clear" w:pos="431"/>
          <w:tab w:val="right" w:pos="850"/>
          <w:tab w:val="left" w:pos="1134"/>
          <w:tab w:val="left" w:pos="1559"/>
          <w:tab w:val="left" w:pos="1984"/>
          <w:tab w:val="left" w:pos="3119"/>
          <w:tab w:val="left" w:leader="dot" w:pos="8787"/>
          <w:tab w:val="right" w:pos="9554"/>
          <w:tab w:val="right" w:pos="9638"/>
        </w:tabs>
        <w:suppressAutoHyphens/>
        <w:overflowPunct/>
        <w:adjustRightInd/>
        <w:snapToGrid/>
        <w:spacing w:after="60"/>
        <w:ind w:left="1985" w:hanging="1985"/>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第六部分</w:t>
      </w:r>
      <w:r w:rsidRPr="00E53510">
        <w:rPr>
          <w:szCs w:val="21"/>
        </w:rPr>
        <w:br/>
      </w:r>
      <w:r w:rsidRPr="00E53510">
        <w:rPr>
          <w:rFonts w:hint="eastAsia"/>
          <w:szCs w:val="21"/>
        </w:rPr>
        <w:t>一贯反对者</w:t>
      </w:r>
    </w:p>
    <w:p w:rsidR="006B69FA" w:rsidRPr="00E53510" w:rsidRDefault="006B69FA" w:rsidP="000B7556">
      <w:pPr>
        <w:tabs>
          <w:tab w:val="clear" w:pos="431"/>
          <w:tab w:val="right" w:pos="850"/>
          <w:tab w:val="left" w:pos="1134"/>
          <w:tab w:val="left" w:pos="1559"/>
          <w:tab w:val="left" w:pos="1984"/>
          <w:tab w:val="left" w:pos="2410"/>
          <w:tab w:val="left" w:pos="3164"/>
          <w:tab w:val="left" w:leader="dot" w:pos="8787"/>
          <w:tab w:val="right" w:pos="9554"/>
          <w:tab w:val="right" w:pos="9638"/>
        </w:tabs>
        <w:suppressAutoHyphens/>
        <w:overflowPunct/>
        <w:adjustRightInd/>
        <w:snapToGrid/>
        <w:spacing w:after="60"/>
        <w:jc w:val="left"/>
        <w:rPr>
          <w:szCs w:val="21"/>
        </w:rPr>
      </w:pP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hint="eastAsia"/>
          <w:szCs w:val="21"/>
        </w:rPr>
        <w:t>结论</w:t>
      </w:r>
      <w:r w:rsidRPr="00E53510">
        <w:rPr>
          <w:rFonts w:asciiTheme="majorBidi" w:eastAsiaTheme="minorEastAsia" w:hAnsiTheme="majorBidi" w:cstheme="majorBidi" w:hint="eastAsia"/>
          <w:noProof/>
          <w:snapToGrid/>
          <w:szCs w:val="21"/>
          <w:lang w:val="en-GB"/>
        </w:rPr>
        <w:t>15</w:t>
      </w:r>
      <w:r w:rsidRPr="00E53510">
        <w:rPr>
          <w:rFonts w:hint="eastAsia"/>
          <w:szCs w:val="21"/>
        </w:rPr>
        <w:tab/>
      </w:r>
      <w:r w:rsidRPr="00E53510">
        <w:rPr>
          <w:rFonts w:hint="eastAsia"/>
          <w:szCs w:val="21"/>
        </w:rPr>
        <w:t>一贯反对者</w:t>
      </w:r>
      <w:r w:rsidR="00656EC0">
        <w:rPr>
          <w:rFonts w:hint="eastAsia"/>
          <w:szCs w:val="21"/>
        </w:rPr>
        <w:tab/>
      </w:r>
      <w:r w:rsidR="00656EC0">
        <w:rPr>
          <w:rFonts w:hint="eastAsia"/>
          <w:szCs w:val="21"/>
        </w:rPr>
        <w:tab/>
        <w:t>108</w:t>
      </w:r>
    </w:p>
    <w:p w:rsidR="006B69FA" w:rsidRPr="00E53510" w:rsidRDefault="006B69FA" w:rsidP="000B7556">
      <w:pPr>
        <w:tabs>
          <w:tab w:val="clear" w:pos="431"/>
          <w:tab w:val="right" w:pos="850"/>
          <w:tab w:val="left" w:pos="1134"/>
          <w:tab w:val="left" w:pos="1559"/>
          <w:tab w:val="left" w:pos="1984"/>
          <w:tab w:val="left" w:pos="3164"/>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656EC0">
        <w:rPr>
          <w:rFonts w:hint="eastAsia"/>
          <w:szCs w:val="21"/>
        </w:rPr>
        <w:tab/>
      </w:r>
      <w:r w:rsidR="00656EC0">
        <w:rPr>
          <w:rFonts w:hint="eastAsia"/>
          <w:szCs w:val="21"/>
        </w:rPr>
        <w:tab/>
        <w:t>108</w:t>
      </w:r>
    </w:p>
    <w:p w:rsidR="006B69FA" w:rsidRPr="00E53510" w:rsidRDefault="006B69FA" w:rsidP="000B7556">
      <w:pPr>
        <w:tabs>
          <w:tab w:val="clear" w:pos="431"/>
          <w:tab w:val="right" w:pos="850"/>
          <w:tab w:val="left" w:pos="1134"/>
          <w:tab w:val="left" w:pos="1559"/>
          <w:tab w:val="left" w:pos="1984"/>
          <w:tab w:val="left" w:pos="3119"/>
          <w:tab w:val="left" w:leader="dot" w:pos="8787"/>
          <w:tab w:val="right" w:pos="9554"/>
          <w:tab w:val="right" w:pos="9638"/>
        </w:tabs>
        <w:suppressAutoHyphens/>
        <w:overflowPunct/>
        <w:adjustRightInd/>
        <w:snapToGrid/>
        <w:spacing w:after="60"/>
        <w:ind w:left="1985" w:hanging="1985"/>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第七部分</w:t>
      </w:r>
      <w:r w:rsidRPr="00E53510">
        <w:rPr>
          <w:szCs w:val="21"/>
        </w:rPr>
        <w:br/>
      </w:r>
      <w:r w:rsidRPr="00E53510">
        <w:rPr>
          <w:rFonts w:hint="eastAsia"/>
          <w:szCs w:val="21"/>
        </w:rPr>
        <w:t>特别习惯国际法</w:t>
      </w:r>
    </w:p>
    <w:p w:rsidR="006B69FA" w:rsidRPr="00E53510" w:rsidRDefault="006B69FA" w:rsidP="000B7556">
      <w:pPr>
        <w:tabs>
          <w:tab w:val="clear" w:pos="431"/>
          <w:tab w:val="right" w:pos="850"/>
          <w:tab w:val="left" w:pos="1134"/>
          <w:tab w:val="left" w:pos="1559"/>
          <w:tab w:val="left" w:pos="1984"/>
          <w:tab w:val="left" w:pos="2410"/>
          <w:tab w:val="left" w:pos="3164"/>
          <w:tab w:val="left" w:leader="dot" w:pos="8787"/>
          <w:tab w:val="right" w:pos="9554"/>
          <w:tab w:val="right" w:pos="9638"/>
        </w:tabs>
        <w:suppressAutoHyphens/>
        <w:overflowPunct/>
        <w:adjustRightInd/>
        <w:snapToGrid/>
        <w:spacing w:after="60"/>
        <w:jc w:val="left"/>
        <w:rPr>
          <w:szCs w:val="21"/>
        </w:rPr>
      </w:pP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hint="eastAsia"/>
          <w:szCs w:val="21"/>
        </w:rPr>
        <w:t>结论</w:t>
      </w:r>
      <w:r w:rsidRPr="00E53510">
        <w:rPr>
          <w:rFonts w:asciiTheme="majorBidi" w:eastAsiaTheme="minorEastAsia" w:hAnsiTheme="majorBidi" w:cstheme="majorBidi" w:hint="eastAsia"/>
          <w:noProof/>
          <w:snapToGrid/>
          <w:szCs w:val="21"/>
          <w:lang w:val="en-GB"/>
        </w:rPr>
        <w:t>16</w:t>
      </w:r>
      <w:r w:rsidRPr="00E53510">
        <w:rPr>
          <w:rFonts w:hint="eastAsia"/>
          <w:szCs w:val="21"/>
        </w:rPr>
        <w:tab/>
      </w:r>
      <w:r w:rsidRPr="00E53510">
        <w:rPr>
          <w:rFonts w:hint="eastAsia"/>
          <w:szCs w:val="21"/>
        </w:rPr>
        <w:t>特别习惯国际法</w:t>
      </w:r>
      <w:r w:rsidR="00656EC0">
        <w:rPr>
          <w:rFonts w:hint="eastAsia"/>
          <w:szCs w:val="21"/>
        </w:rPr>
        <w:tab/>
      </w:r>
      <w:r w:rsidR="00656EC0">
        <w:rPr>
          <w:rFonts w:hint="eastAsia"/>
          <w:szCs w:val="21"/>
        </w:rPr>
        <w:tab/>
        <w:t>111</w:t>
      </w:r>
    </w:p>
    <w:p w:rsidR="006B69FA" w:rsidRPr="00E53510" w:rsidRDefault="006B69FA" w:rsidP="000B7556">
      <w:pPr>
        <w:tabs>
          <w:tab w:val="clear" w:pos="431"/>
          <w:tab w:val="right" w:pos="850"/>
          <w:tab w:val="left" w:pos="1134"/>
          <w:tab w:val="left" w:pos="1559"/>
          <w:tab w:val="left" w:pos="1984"/>
          <w:tab w:val="left" w:pos="3164"/>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656EC0">
        <w:rPr>
          <w:rFonts w:hint="eastAsia"/>
          <w:szCs w:val="21"/>
        </w:rPr>
        <w:tab/>
      </w:r>
      <w:r w:rsidR="00656EC0">
        <w:rPr>
          <w:rFonts w:hint="eastAsia"/>
          <w:szCs w:val="21"/>
        </w:rPr>
        <w:tab/>
        <w:t>111</w:t>
      </w:r>
    </w:p>
    <w:p w:rsidR="006B69FA" w:rsidRPr="00E53510" w:rsidRDefault="006B69FA" w:rsidP="000B7556">
      <w:pPr>
        <w:pStyle w:val="a8"/>
        <w:spacing w:after="60"/>
        <w:rPr>
          <w:szCs w:val="21"/>
        </w:rPr>
      </w:pPr>
      <w:r w:rsidRPr="00E53510">
        <w:rPr>
          <w:rFonts w:hint="eastAsia"/>
          <w:szCs w:val="21"/>
        </w:rPr>
        <w:tab/>
      </w:r>
      <w:r w:rsidRPr="00E53510">
        <w:rPr>
          <w:rFonts w:hint="eastAsia"/>
          <w:szCs w:val="21"/>
        </w:rPr>
        <w:t>六</w:t>
      </w:r>
      <w:r w:rsidRPr="00E53510">
        <w:rPr>
          <w:rFonts w:hint="eastAsia"/>
          <w:szCs w:val="21"/>
        </w:rPr>
        <w:t>.</w:t>
      </w:r>
      <w:r w:rsidRPr="00E53510">
        <w:rPr>
          <w:rFonts w:hint="eastAsia"/>
          <w:szCs w:val="21"/>
        </w:rPr>
        <w:tab/>
      </w:r>
      <w:r w:rsidRPr="00E53510">
        <w:rPr>
          <w:rFonts w:hint="eastAsia"/>
          <w:szCs w:val="21"/>
        </w:rPr>
        <w:t>与条约解释相关的嗣后协定和嗣后惯例</w:t>
      </w:r>
      <w:r w:rsidR="00656EC0">
        <w:rPr>
          <w:rFonts w:hint="eastAsia"/>
          <w:szCs w:val="21"/>
        </w:rPr>
        <w:tab/>
      </w:r>
      <w:r w:rsidR="00656EC0">
        <w:rPr>
          <w:rFonts w:hint="eastAsia"/>
          <w:szCs w:val="21"/>
        </w:rPr>
        <w:tab/>
        <w:t>114</w:t>
      </w:r>
    </w:p>
    <w:p w:rsidR="006B69FA" w:rsidRPr="00E53510" w:rsidRDefault="006B69FA" w:rsidP="000B7556">
      <w:pPr>
        <w:pStyle w:val="a8"/>
        <w:tabs>
          <w:tab w:val="clear" w:pos="1996"/>
        </w:tabs>
        <w:spacing w:after="60"/>
        <w:rPr>
          <w:szCs w:val="21"/>
        </w:rPr>
      </w:pPr>
      <w:r w:rsidRPr="00E53510">
        <w:rPr>
          <w:rFonts w:hint="eastAsia"/>
          <w:szCs w:val="21"/>
        </w:rPr>
        <w:tab/>
      </w:r>
      <w:r w:rsidRPr="00E53510">
        <w:rPr>
          <w:rFonts w:hint="eastAsia"/>
          <w:szCs w:val="21"/>
        </w:rPr>
        <w:tab/>
        <w:t>A.</w:t>
      </w:r>
      <w:r w:rsidRPr="00E53510">
        <w:rPr>
          <w:rFonts w:hint="eastAsia"/>
          <w:szCs w:val="21"/>
        </w:rPr>
        <w:tab/>
      </w:r>
      <w:r w:rsidRPr="00E53510">
        <w:rPr>
          <w:rFonts w:hint="eastAsia"/>
          <w:szCs w:val="21"/>
        </w:rPr>
        <w:t>导言</w:t>
      </w:r>
      <w:r w:rsidRPr="00E53510">
        <w:rPr>
          <w:rFonts w:hint="eastAsia"/>
          <w:szCs w:val="21"/>
        </w:rPr>
        <w:tab/>
      </w:r>
      <w:r w:rsidR="00110F4A">
        <w:rPr>
          <w:rFonts w:hint="eastAsia"/>
          <w:szCs w:val="21"/>
        </w:rPr>
        <w:tab/>
      </w:r>
      <w:r w:rsidR="00656EC0">
        <w:rPr>
          <w:rFonts w:hint="eastAsia"/>
          <w:szCs w:val="21"/>
        </w:rPr>
        <w:t>114</w:t>
      </w:r>
    </w:p>
    <w:p w:rsidR="006B69FA" w:rsidRPr="00E53510" w:rsidRDefault="006B69FA" w:rsidP="000B7556">
      <w:pPr>
        <w:pStyle w:val="a8"/>
        <w:spacing w:after="60"/>
        <w:rPr>
          <w:szCs w:val="21"/>
        </w:rPr>
      </w:pPr>
      <w:r w:rsidRPr="00E53510">
        <w:rPr>
          <w:rFonts w:hint="eastAsia"/>
          <w:szCs w:val="21"/>
        </w:rPr>
        <w:tab/>
      </w:r>
      <w:r w:rsidRPr="00E53510">
        <w:rPr>
          <w:rFonts w:hint="eastAsia"/>
          <w:szCs w:val="21"/>
        </w:rPr>
        <w:tab/>
        <w:t>B.</w:t>
      </w:r>
      <w:r w:rsidRPr="00E53510">
        <w:rPr>
          <w:rFonts w:hint="eastAsia"/>
          <w:szCs w:val="21"/>
        </w:rPr>
        <w:tab/>
      </w:r>
      <w:r w:rsidRPr="00E53510">
        <w:rPr>
          <w:rFonts w:hint="eastAsia"/>
          <w:szCs w:val="21"/>
        </w:rPr>
        <w:t>本届会议审议此专题的情况</w:t>
      </w:r>
      <w:r w:rsidR="00656EC0">
        <w:rPr>
          <w:rFonts w:hint="eastAsia"/>
          <w:szCs w:val="21"/>
        </w:rPr>
        <w:tab/>
      </w:r>
      <w:r w:rsidR="00656EC0">
        <w:rPr>
          <w:rFonts w:hint="eastAsia"/>
          <w:szCs w:val="21"/>
        </w:rPr>
        <w:tab/>
        <w:t>115</w:t>
      </w:r>
    </w:p>
    <w:p w:rsidR="006B69FA" w:rsidRPr="00E53510" w:rsidRDefault="006B69FA" w:rsidP="000B7556">
      <w:pPr>
        <w:pStyle w:val="a8"/>
        <w:spacing w:after="60"/>
        <w:ind w:left="1565" w:hanging="1565"/>
        <w:rPr>
          <w:szCs w:val="21"/>
        </w:rPr>
      </w:pPr>
      <w:r w:rsidRPr="00E53510">
        <w:rPr>
          <w:rFonts w:hint="eastAsia"/>
          <w:szCs w:val="21"/>
        </w:rPr>
        <w:tab/>
      </w:r>
      <w:r w:rsidRPr="00E53510">
        <w:rPr>
          <w:rFonts w:hint="eastAsia"/>
          <w:szCs w:val="21"/>
        </w:rPr>
        <w:tab/>
        <w:t>C.</w:t>
      </w:r>
      <w:r w:rsidRPr="00E53510">
        <w:rPr>
          <w:rFonts w:hint="eastAsia"/>
          <w:szCs w:val="21"/>
        </w:rPr>
        <w:tab/>
      </w:r>
      <w:r w:rsidRPr="00E53510">
        <w:rPr>
          <w:rFonts w:hint="eastAsia"/>
          <w:szCs w:val="21"/>
        </w:rPr>
        <w:t>委员会通过的关于与条约解释相关的嗣后协定和嗣后惯例的结论草案案文</w:t>
      </w:r>
      <w:r w:rsidR="00656EC0">
        <w:rPr>
          <w:rFonts w:hint="eastAsia"/>
          <w:szCs w:val="21"/>
        </w:rPr>
        <w:tab/>
      </w:r>
      <w:r w:rsidR="00656EC0">
        <w:rPr>
          <w:rFonts w:hint="eastAsia"/>
          <w:szCs w:val="21"/>
        </w:rPr>
        <w:tab/>
        <w:t>116</w:t>
      </w:r>
    </w:p>
    <w:p w:rsidR="006B69FA" w:rsidRPr="00E53510" w:rsidRDefault="006B69FA" w:rsidP="000B7556">
      <w:pPr>
        <w:tabs>
          <w:tab w:val="clear" w:pos="431"/>
          <w:tab w:val="right" w:pos="850"/>
          <w:tab w:val="left" w:pos="1134"/>
          <w:tab w:val="left" w:pos="1559"/>
          <w:tab w:val="left" w:pos="1984"/>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t>1.</w:t>
      </w:r>
      <w:r w:rsidRPr="00E53510">
        <w:rPr>
          <w:rFonts w:hint="eastAsia"/>
          <w:szCs w:val="21"/>
        </w:rPr>
        <w:tab/>
      </w:r>
      <w:r w:rsidRPr="00E53510">
        <w:rPr>
          <w:rFonts w:hint="eastAsia"/>
          <w:szCs w:val="21"/>
        </w:rPr>
        <w:t>结论草案案文</w:t>
      </w:r>
      <w:r w:rsidRPr="00E53510">
        <w:rPr>
          <w:rFonts w:hint="eastAsia"/>
          <w:szCs w:val="21"/>
        </w:rPr>
        <w:tab/>
      </w:r>
      <w:r w:rsidRPr="00E53510">
        <w:rPr>
          <w:rFonts w:hint="eastAsia"/>
          <w:szCs w:val="21"/>
        </w:rPr>
        <w:tab/>
      </w:r>
      <w:r w:rsidR="00656EC0">
        <w:rPr>
          <w:rFonts w:hint="eastAsia"/>
          <w:szCs w:val="21"/>
        </w:rPr>
        <w:t>116</w:t>
      </w:r>
    </w:p>
    <w:p w:rsidR="006B69FA" w:rsidRPr="00E53510" w:rsidRDefault="006B69FA" w:rsidP="000B7556">
      <w:pPr>
        <w:tabs>
          <w:tab w:val="clear" w:pos="431"/>
          <w:tab w:val="right" w:pos="850"/>
          <w:tab w:val="left" w:pos="1134"/>
          <w:tab w:val="left" w:pos="1559"/>
          <w:tab w:val="left" w:pos="1984"/>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t>2.</w:t>
      </w:r>
      <w:r w:rsidRPr="00E53510">
        <w:rPr>
          <w:rFonts w:hint="eastAsia"/>
          <w:szCs w:val="21"/>
        </w:rPr>
        <w:tab/>
      </w:r>
      <w:r w:rsidRPr="00E53510">
        <w:rPr>
          <w:rFonts w:hint="eastAsia"/>
          <w:szCs w:val="21"/>
        </w:rPr>
        <w:t>结论草案案文及评注</w:t>
      </w:r>
      <w:r w:rsidRPr="00E53510">
        <w:rPr>
          <w:rFonts w:hint="eastAsia"/>
          <w:szCs w:val="21"/>
        </w:rPr>
        <w:tab/>
      </w:r>
      <w:r w:rsidRPr="00E53510">
        <w:rPr>
          <w:rFonts w:hint="eastAsia"/>
          <w:szCs w:val="21"/>
        </w:rPr>
        <w:tab/>
      </w:r>
      <w:r w:rsidR="00656EC0">
        <w:rPr>
          <w:rFonts w:hint="eastAsia"/>
          <w:szCs w:val="21"/>
        </w:rPr>
        <w:t>120</w:t>
      </w:r>
    </w:p>
    <w:p w:rsidR="006B69FA" w:rsidRPr="00E53510" w:rsidRDefault="006B69FA" w:rsidP="000B7556">
      <w:pPr>
        <w:tabs>
          <w:tab w:val="clear" w:pos="431"/>
          <w:tab w:val="right" w:pos="850"/>
          <w:tab w:val="left" w:pos="1134"/>
          <w:tab w:val="left" w:pos="1559"/>
          <w:tab w:val="left" w:pos="1984"/>
          <w:tab w:val="left" w:pos="3119"/>
          <w:tab w:val="left" w:leader="dot" w:pos="8787"/>
          <w:tab w:val="right" w:pos="9554"/>
          <w:tab w:val="right" w:pos="9638"/>
        </w:tabs>
        <w:suppressAutoHyphens/>
        <w:overflowPunct/>
        <w:adjustRightInd/>
        <w:snapToGrid/>
        <w:spacing w:after="60"/>
        <w:ind w:left="1985" w:hanging="1985"/>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第一部分</w:t>
      </w:r>
      <w:r w:rsidRPr="00E53510">
        <w:rPr>
          <w:szCs w:val="21"/>
        </w:rPr>
        <w:br/>
      </w:r>
      <w:r w:rsidRPr="00E53510">
        <w:rPr>
          <w:rFonts w:hint="eastAsia"/>
          <w:szCs w:val="21"/>
        </w:rPr>
        <w:t>导言</w:t>
      </w:r>
    </w:p>
    <w:p w:rsidR="006B69FA" w:rsidRPr="00E53510" w:rsidRDefault="006B69FA" w:rsidP="000B7556">
      <w:pPr>
        <w:tabs>
          <w:tab w:val="clear" w:pos="431"/>
          <w:tab w:val="right" w:pos="850"/>
          <w:tab w:val="left" w:pos="1134"/>
          <w:tab w:val="left" w:pos="1559"/>
          <w:tab w:val="left" w:pos="1984"/>
          <w:tab w:val="left" w:pos="2410"/>
          <w:tab w:val="left" w:pos="2977"/>
          <w:tab w:val="left" w:pos="3544"/>
          <w:tab w:val="left" w:leader="dot" w:pos="8787"/>
          <w:tab w:val="right" w:pos="9554"/>
          <w:tab w:val="right" w:pos="9638"/>
        </w:tabs>
        <w:suppressAutoHyphens/>
        <w:overflowPunct/>
        <w:adjustRightInd/>
        <w:snapToGrid/>
        <w:spacing w:after="60"/>
        <w:jc w:val="left"/>
        <w:rPr>
          <w:szCs w:val="21"/>
        </w:rPr>
      </w:pP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结论</w:t>
      </w:r>
      <w:r w:rsidRPr="00E53510">
        <w:rPr>
          <w:rFonts w:hint="eastAsia"/>
          <w:szCs w:val="21"/>
        </w:rPr>
        <w:t>1 [1a]</w:t>
      </w:r>
      <w:r w:rsidRPr="00E53510">
        <w:rPr>
          <w:rFonts w:hint="eastAsia"/>
          <w:szCs w:val="21"/>
        </w:rPr>
        <w:tab/>
      </w:r>
      <w:r w:rsidRPr="00E53510">
        <w:rPr>
          <w:rFonts w:asciiTheme="majorBidi" w:eastAsiaTheme="minorEastAsia" w:hAnsiTheme="majorBidi" w:cstheme="majorBidi" w:hint="eastAsia"/>
          <w:noProof/>
          <w:snapToGrid/>
          <w:szCs w:val="21"/>
          <w:lang w:val="en-GB"/>
        </w:rPr>
        <w:t>导言</w:t>
      </w:r>
      <w:r w:rsidRPr="00E53510">
        <w:rPr>
          <w:rFonts w:hint="eastAsia"/>
          <w:szCs w:val="21"/>
        </w:rPr>
        <w:tab/>
      </w:r>
      <w:r w:rsidRPr="00E53510">
        <w:rPr>
          <w:rFonts w:hint="eastAsia"/>
          <w:szCs w:val="21"/>
        </w:rPr>
        <w:tab/>
      </w:r>
      <w:r w:rsidR="00656EC0">
        <w:rPr>
          <w:rFonts w:hint="eastAsia"/>
          <w:szCs w:val="21"/>
        </w:rPr>
        <w:t>120</w:t>
      </w:r>
    </w:p>
    <w:p w:rsidR="006B69FA" w:rsidRPr="00E53510" w:rsidRDefault="006B69FA" w:rsidP="000B7556">
      <w:pPr>
        <w:tabs>
          <w:tab w:val="clear" w:pos="431"/>
          <w:tab w:val="right" w:pos="850"/>
          <w:tab w:val="left" w:pos="1134"/>
          <w:tab w:val="left" w:pos="1559"/>
          <w:tab w:val="left" w:pos="1984"/>
          <w:tab w:val="left" w:pos="3544"/>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Pr="00E53510">
        <w:rPr>
          <w:rFonts w:hint="eastAsia"/>
          <w:szCs w:val="21"/>
        </w:rPr>
        <w:tab/>
      </w:r>
      <w:r w:rsidRPr="00E53510">
        <w:rPr>
          <w:rFonts w:hint="eastAsia"/>
          <w:szCs w:val="21"/>
        </w:rPr>
        <w:tab/>
      </w:r>
      <w:r w:rsidR="00656EC0">
        <w:rPr>
          <w:rFonts w:hint="eastAsia"/>
          <w:szCs w:val="21"/>
        </w:rPr>
        <w:t>120</w:t>
      </w:r>
    </w:p>
    <w:p w:rsidR="006B69FA" w:rsidRPr="00E53510" w:rsidRDefault="006B69FA" w:rsidP="000B7556">
      <w:pPr>
        <w:tabs>
          <w:tab w:val="clear" w:pos="431"/>
          <w:tab w:val="right" w:pos="850"/>
          <w:tab w:val="left" w:pos="1134"/>
          <w:tab w:val="left" w:pos="1559"/>
          <w:tab w:val="left" w:pos="1984"/>
          <w:tab w:val="left" w:pos="3119"/>
          <w:tab w:val="left" w:leader="dot" w:pos="8787"/>
          <w:tab w:val="right" w:pos="9554"/>
          <w:tab w:val="right" w:pos="9638"/>
        </w:tabs>
        <w:suppressAutoHyphens/>
        <w:overflowPunct/>
        <w:adjustRightInd/>
        <w:snapToGrid/>
        <w:spacing w:after="60"/>
        <w:ind w:left="1985" w:hanging="1985"/>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第二部分</w:t>
      </w:r>
      <w:r w:rsidRPr="00E53510">
        <w:rPr>
          <w:szCs w:val="21"/>
        </w:rPr>
        <w:br/>
      </w:r>
      <w:r w:rsidRPr="00E53510">
        <w:rPr>
          <w:rFonts w:hint="eastAsia"/>
          <w:szCs w:val="21"/>
        </w:rPr>
        <w:t>基本规则和定义</w:t>
      </w:r>
    </w:p>
    <w:p w:rsidR="006B69FA" w:rsidRPr="00E53510" w:rsidRDefault="006B69FA" w:rsidP="000B7556">
      <w:pPr>
        <w:tabs>
          <w:tab w:val="clear" w:pos="431"/>
          <w:tab w:val="right" w:pos="850"/>
          <w:tab w:val="left" w:pos="1134"/>
          <w:tab w:val="left" w:pos="1559"/>
          <w:tab w:val="left" w:pos="1984"/>
          <w:tab w:val="left" w:pos="2410"/>
          <w:tab w:val="left" w:pos="2977"/>
          <w:tab w:val="left" w:pos="3528"/>
          <w:tab w:val="left" w:leader="dot" w:pos="8787"/>
          <w:tab w:val="right" w:pos="9554"/>
          <w:tab w:val="right" w:pos="9638"/>
        </w:tabs>
        <w:suppressAutoHyphens/>
        <w:overflowPunct/>
        <w:adjustRightInd/>
        <w:snapToGrid/>
        <w:spacing w:after="60"/>
        <w:jc w:val="left"/>
        <w:rPr>
          <w:szCs w:val="21"/>
        </w:rPr>
      </w:pP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结论</w:t>
      </w:r>
      <w:r w:rsidRPr="00E53510">
        <w:rPr>
          <w:rFonts w:hint="eastAsia"/>
          <w:szCs w:val="21"/>
        </w:rPr>
        <w:t>2[1]</w:t>
      </w:r>
      <w:r w:rsidRPr="00E53510">
        <w:rPr>
          <w:rFonts w:hint="eastAsia"/>
          <w:szCs w:val="21"/>
        </w:rPr>
        <w:tab/>
      </w:r>
      <w:r w:rsidRPr="00E53510">
        <w:rPr>
          <w:rFonts w:asciiTheme="majorBidi" w:eastAsiaTheme="minorEastAsia" w:hAnsiTheme="majorBidi" w:cstheme="majorBidi" w:hint="eastAsia"/>
          <w:noProof/>
          <w:snapToGrid/>
          <w:szCs w:val="21"/>
          <w:lang w:val="en-GB"/>
        </w:rPr>
        <w:t>条约</w:t>
      </w:r>
      <w:r w:rsidRPr="00E53510">
        <w:rPr>
          <w:rFonts w:hint="eastAsia"/>
          <w:szCs w:val="21"/>
        </w:rPr>
        <w:t>解释通则和资料</w:t>
      </w:r>
      <w:r w:rsidRPr="00E53510">
        <w:rPr>
          <w:rFonts w:hint="eastAsia"/>
          <w:szCs w:val="21"/>
        </w:rPr>
        <w:tab/>
      </w:r>
      <w:r w:rsidRPr="00E53510">
        <w:rPr>
          <w:rFonts w:hint="eastAsia"/>
          <w:szCs w:val="21"/>
        </w:rPr>
        <w:tab/>
        <w:t>1</w:t>
      </w:r>
      <w:r w:rsidR="00656EC0">
        <w:rPr>
          <w:rFonts w:hint="eastAsia"/>
          <w:szCs w:val="21"/>
        </w:rPr>
        <w:t>21</w:t>
      </w:r>
    </w:p>
    <w:p w:rsidR="006B69FA" w:rsidRPr="00E53510" w:rsidRDefault="006B69FA" w:rsidP="000B7556">
      <w:pPr>
        <w:tabs>
          <w:tab w:val="clear" w:pos="431"/>
          <w:tab w:val="right" w:pos="850"/>
          <w:tab w:val="left" w:pos="1134"/>
          <w:tab w:val="left" w:pos="1559"/>
          <w:tab w:val="left" w:pos="1984"/>
          <w:tab w:val="left" w:pos="3544"/>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Pr="00E53510">
        <w:rPr>
          <w:rFonts w:hint="eastAsia"/>
          <w:szCs w:val="21"/>
        </w:rPr>
        <w:tab/>
      </w:r>
      <w:r w:rsidRPr="00E53510">
        <w:rPr>
          <w:rFonts w:hint="eastAsia"/>
          <w:szCs w:val="21"/>
        </w:rPr>
        <w:tab/>
        <w:t>1</w:t>
      </w:r>
      <w:r w:rsidR="00656EC0">
        <w:rPr>
          <w:rFonts w:hint="eastAsia"/>
          <w:szCs w:val="21"/>
        </w:rPr>
        <w:t>21</w:t>
      </w:r>
    </w:p>
    <w:p w:rsidR="006B69FA" w:rsidRPr="00E53510" w:rsidRDefault="006B69FA" w:rsidP="000B7556">
      <w:pPr>
        <w:tabs>
          <w:tab w:val="clear" w:pos="431"/>
          <w:tab w:val="right" w:pos="850"/>
          <w:tab w:val="left" w:pos="1134"/>
          <w:tab w:val="left" w:pos="1559"/>
          <w:tab w:val="left" w:pos="1984"/>
          <w:tab w:val="left" w:pos="2410"/>
          <w:tab w:val="left" w:pos="2977"/>
          <w:tab w:val="left" w:pos="3528"/>
          <w:tab w:val="left" w:leader="dot" w:pos="8787"/>
          <w:tab w:val="right" w:pos="9554"/>
          <w:tab w:val="right" w:pos="9638"/>
        </w:tabs>
        <w:suppressAutoHyphens/>
        <w:overflowPunct/>
        <w:adjustRightInd/>
        <w:snapToGrid/>
        <w:spacing w:after="60"/>
        <w:jc w:val="left"/>
        <w:rPr>
          <w:szCs w:val="21"/>
        </w:rPr>
      </w:pP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结论</w:t>
      </w:r>
      <w:r w:rsidRPr="00E53510">
        <w:rPr>
          <w:rFonts w:hint="eastAsia"/>
          <w:szCs w:val="21"/>
        </w:rPr>
        <w:t>3[2]</w:t>
      </w:r>
      <w:r w:rsidRPr="00E53510">
        <w:rPr>
          <w:rFonts w:hint="eastAsia"/>
          <w:szCs w:val="21"/>
        </w:rPr>
        <w:tab/>
      </w:r>
      <w:r w:rsidRPr="00E53510">
        <w:rPr>
          <w:rFonts w:hint="eastAsia"/>
          <w:szCs w:val="21"/>
        </w:rPr>
        <w:t>以嗣后协定和嗣后惯例作为作准的解释资料</w:t>
      </w:r>
      <w:r w:rsidRPr="00E53510">
        <w:rPr>
          <w:rFonts w:hint="eastAsia"/>
          <w:szCs w:val="21"/>
        </w:rPr>
        <w:tab/>
      </w:r>
      <w:r w:rsidRPr="00E53510">
        <w:rPr>
          <w:rFonts w:hint="eastAsia"/>
          <w:szCs w:val="21"/>
        </w:rPr>
        <w:tab/>
        <w:t>1</w:t>
      </w:r>
      <w:r w:rsidR="00656EC0">
        <w:rPr>
          <w:rFonts w:hint="eastAsia"/>
          <w:szCs w:val="21"/>
        </w:rPr>
        <w:t>28</w:t>
      </w:r>
    </w:p>
    <w:p w:rsidR="006B69FA" w:rsidRPr="00E53510" w:rsidRDefault="006B69FA" w:rsidP="000B7556">
      <w:pPr>
        <w:tabs>
          <w:tab w:val="clear" w:pos="431"/>
          <w:tab w:val="right" w:pos="850"/>
          <w:tab w:val="left" w:pos="1134"/>
          <w:tab w:val="left" w:pos="1559"/>
          <w:tab w:val="left" w:pos="1984"/>
          <w:tab w:val="left" w:pos="3544"/>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Pr="00E53510">
        <w:rPr>
          <w:rFonts w:hint="eastAsia"/>
          <w:szCs w:val="21"/>
        </w:rPr>
        <w:tab/>
      </w:r>
      <w:r w:rsidRPr="00E53510">
        <w:rPr>
          <w:rFonts w:hint="eastAsia"/>
          <w:szCs w:val="21"/>
        </w:rPr>
        <w:tab/>
        <w:t>1</w:t>
      </w:r>
      <w:r w:rsidR="00656EC0">
        <w:rPr>
          <w:rFonts w:hint="eastAsia"/>
          <w:szCs w:val="21"/>
        </w:rPr>
        <w:t>29</w:t>
      </w:r>
    </w:p>
    <w:p w:rsidR="006B69FA" w:rsidRPr="00E53510" w:rsidRDefault="006B69FA" w:rsidP="000B7556">
      <w:pPr>
        <w:tabs>
          <w:tab w:val="clear" w:pos="431"/>
          <w:tab w:val="right" w:pos="850"/>
          <w:tab w:val="left" w:pos="1134"/>
          <w:tab w:val="left" w:pos="1559"/>
          <w:tab w:val="left" w:pos="1984"/>
          <w:tab w:val="left" w:pos="2410"/>
          <w:tab w:val="left" w:pos="2977"/>
          <w:tab w:val="left" w:pos="3528"/>
          <w:tab w:val="left" w:leader="dot" w:pos="8787"/>
          <w:tab w:val="right" w:pos="9554"/>
          <w:tab w:val="right" w:pos="9638"/>
        </w:tabs>
        <w:suppressAutoHyphens/>
        <w:overflowPunct/>
        <w:adjustRightInd/>
        <w:snapToGrid/>
        <w:spacing w:after="60"/>
        <w:jc w:val="left"/>
        <w:rPr>
          <w:szCs w:val="21"/>
        </w:rPr>
      </w:pP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结论</w:t>
      </w:r>
      <w:r w:rsidRPr="00E53510">
        <w:rPr>
          <w:rFonts w:hint="eastAsia"/>
          <w:szCs w:val="21"/>
        </w:rPr>
        <w:t>4</w:t>
      </w:r>
      <w:r w:rsidRPr="00E53510">
        <w:rPr>
          <w:rFonts w:hint="eastAsia"/>
          <w:szCs w:val="21"/>
        </w:rPr>
        <w:tab/>
      </w:r>
      <w:r w:rsidRPr="00E53510">
        <w:rPr>
          <w:rFonts w:asciiTheme="majorBidi" w:eastAsiaTheme="minorEastAsia" w:hAnsiTheme="majorBidi" w:cstheme="majorBidi" w:hint="eastAsia"/>
          <w:noProof/>
          <w:snapToGrid/>
          <w:szCs w:val="21"/>
          <w:lang w:val="en-GB"/>
        </w:rPr>
        <w:t>嗣后</w:t>
      </w:r>
      <w:r w:rsidRPr="00E53510">
        <w:rPr>
          <w:rFonts w:hint="eastAsia"/>
          <w:szCs w:val="21"/>
        </w:rPr>
        <w:t>协定和嗣后惯例的定义</w:t>
      </w:r>
      <w:r w:rsidRPr="00E53510">
        <w:rPr>
          <w:rFonts w:hint="eastAsia"/>
          <w:szCs w:val="21"/>
        </w:rPr>
        <w:tab/>
      </w:r>
      <w:r w:rsidRPr="00E53510">
        <w:rPr>
          <w:rFonts w:hint="eastAsia"/>
          <w:szCs w:val="21"/>
        </w:rPr>
        <w:tab/>
        <w:t>1</w:t>
      </w:r>
      <w:r w:rsidR="00656EC0">
        <w:rPr>
          <w:rFonts w:hint="eastAsia"/>
          <w:szCs w:val="21"/>
        </w:rPr>
        <w:t>33</w:t>
      </w:r>
    </w:p>
    <w:p w:rsidR="006B69FA" w:rsidRPr="00E53510" w:rsidRDefault="006B69FA" w:rsidP="000B7556">
      <w:pPr>
        <w:tabs>
          <w:tab w:val="clear" w:pos="431"/>
          <w:tab w:val="right" w:pos="850"/>
          <w:tab w:val="left" w:pos="1134"/>
          <w:tab w:val="left" w:pos="1559"/>
          <w:tab w:val="left" w:pos="1984"/>
          <w:tab w:val="left" w:pos="3544"/>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656EC0">
        <w:rPr>
          <w:rFonts w:hint="eastAsia"/>
          <w:szCs w:val="21"/>
        </w:rPr>
        <w:tab/>
      </w:r>
      <w:r w:rsidR="00656EC0">
        <w:rPr>
          <w:rFonts w:hint="eastAsia"/>
          <w:szCs w:val="21"/>
        </w:rPr>
        <w:tab/>
        <w:t>133</w:t>
      </w:r>
    </w:p>
    <w:p w:rsidR="000B7556" w:rsidRDefault="000B7556">
      <w:pPr>
        <w:tabs>
          <w:tab w:val="clear" w:pos="431"/>
        </w:tabs>
        <w:overflowPunct/>
        <w:adjustRightInd/>
        <w:snapToGrid/>
        <w:spacing w:line="240" w:lineRule="auto"/>
        <w:jc w:val="left"/>
        <w:rPr>
          <w:rFonts w:asciiTheme="majorBidi" w:eastAsiaTheme="minorEastAsia" w:hAnsiTheme="majorBidi" w:cstheme="majorBidi"/>
          <w:noProof/>
          <w:snapToGrid/>
          <w:szCs w:val="21"/>
          <w:lang w:val="en-GB"/>
        </w:rPr>
      </w:pPr>
      <w:r>
        <w:rPr>
          <w:rFonts w:asciiTheme="majorBidi" w:eastAsiaTheme="minorEastAsia" w:hAnsiTheme="majorBidi" w:cstheme="majorBidi"/>
          <w:noProof/>
          <w:snapToGrid/>
          <w:szCs w:val="21"/>
          <w:lang w:val="en-GB"/>
        </w:rPr>
        <w:br w:type="page"/>
      </w:r>
    </w:p>
    <w:p w:rsidR="006B69FA" w:rsidRPr="00E53510" w:rsidRDefault="006B69FA" w:rsidP="000B7556">
      <w:pPr>
        <w:tabs>
          <w:tab w:val="clear" w:pos="431"/>
          <w:tab w:val="right" w:pos="850"/>
          <w:tab w:val="left" w:pos="1134"/>
          <w:tab w:val="left" w:pos="1559"/>
          <w:tab w:val="left" w:pos="1984"/>
          <w:tab w:val="left" w:pos="2410"/>
          <w:tab w:val="left" w:pos="2977"/>
          <w:tab w:val="left" w:pos="3528"/>
          <w:tab w:val="left" w:leader="dot" w:pos="8787"/>
          <w:tab w:val="right" w:pos="9554"/>
          <w:tab w:val="right" w:pos="9638"/>
        </w:tabs>
        <w:suppressAutoHyphens/>
        <w:overflowPunct/>
        <w:adjustRightInd/>
        <w:snapToGrid/>
        <w:spacing w:after="60"/>
        <w:jc w:val="left"/>
        <w:rPr>
          <w:szCs w:val="21"/>
        </w:rPr>
      </w:pP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结论</w:t>
      </w:r>
      <w:r w:rsidRPr="00E53510">
        <w:rPr>
          <w:rFonts w:hint="eastAsia"/>
          <w:szCs w:val="21"/>
        </w:rPr>
        <w:t>5</w:t>
      </w:r>
      <w:r w:rsidRPr="00E53510">
        <w:rPr>
          <w:rFonts w:hint="eastAsia"/>
          <w:szCs w:val="21"/>
        </w:rPr>
        <w:tab/>
      </w:r>
      <w:r w:rsidRPr="00E53510">
        <w:rPr>
          <w:rFonts w:asciiTheme="majorBidi" w:eastAsiaTheme="minorEastAsia" w:hAnsiTheme="majorBidi" w:cstheme="majorBidi" w:hint="eastAsia"/>
          <w:noProof/>
          <w:snapToGrid/>
          <w:szCs w:val="21"/>
          <w:lang w:val="en-GB"/>
        </w:rPr>
        <w:t>嗣后</w:t>
      </w:r>
      <w:r w:rsidRPr="00E53510">
        <w:rPr>
          <w:rFonts w:hint="eastAsia"/>
          <w:szCs w:val="21"/>
        </w:rPr>
        <w:t>惯例的归属</w:t>
      </w:r>
      <w:r w:rsidR="00656EC0">
        <w:rPr>
          <w:rFonts w:hint="eastAsia"/>
          <w:szCs w:val="21"/>
        </w:rPr>
        <w:tab/>
      </w:r>
      <w:r w:rsidR="00656EC0">
        <w:rPr>
          <w:rFonts w:hint="eastAsia"/>
          <w:szCs w:val="21"/>
        </w:rPr>
        <w:tab/>
        <w:t>145</w:t>
      </w:r>
    </w:p>
    <w:p w:rsidR="006B69FA" w:rsidRPr="00E53510" w:rsidRDefault="006B69FA" w:rsidP="000B7556">
      <w:pPr>
        <w:tabs>
          <w:tab w:val="clear" w:pos="431"/>
          <w:tab w:val="right" w:pos="850"/>
          <w:tab w:val="left" w:pos="1134"/>
          <w:tab w:val="left" w:pos="1559"/>
          <w:tab w:val="left" w:pos="1984"/>
          <w:tab w:val="left" w:pos="3544"/>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656EC0">
        <w:rPr>
          <w:rFonts w:hint="eastAsia"/>
          <w:szCs w:val="21"/>
        </w:rPr>
        <w:tab/>
      </w:r>
      <w:r w:rsidR="00656EC0">
        <w:rPr>
          <w:rFonts w:hint="eastAsia"/>
          <w:szCs w:val="21"/>
        </w:rPr>
        <w:tab/>
        <w:t>145</w:t>
      </w:r>
    </w:p>
    <w:p w:rsidR="006B69FA" w:rsidRPr="00E53510" w:rsidRDefault="006B69FA" w:rsidP="000B7556">
      <w:pPr>
        <w:tabs>
          <w:tab w:val="clear" w:pos="431"/>
          <w:tab w:val="right" w:pos="850"/>
          <w:tab w:val="left" w:pos="1134"/>
          <w:tab w:val="left" w:pos="1559"/>
          <w:tab w:val="left" w:pos="1984"/>
          <w:tab w:val="left" w:pos="3119"/>
          <w:tab w:val="left" w:leader="dot" w:pos="8787"/>
          <w:tab w:val="right" w:pos="9554"/>
          <w:tab w:val="right" w:pos="9638"/>
        </w:tabs>
        <w:suppressAutoHyphens/>
        <w:overflowPunct/>
        <w:adjustRightInd/>
        <w:snapToGrid/>
        <w:spacing w:after="60"/>
        <w:ind w:left="1985" w:hanging="1985"/>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第三部分</w:t>
      </w:r>
      <w:r w:rsidRPr="00E53510">
        <w:rPr>
          <w:szCs w:val="21"/>
        </w:rPr>
        <w:br/>
      </w:r>
      <w:r w:rsidRPr="00E53510">
        <w:rPr>
          <w:rFonts w:hint="eastAsia"/>
          <w:szCs w:val="21"/>
        </w:rPr>
        <w:t>一般方面</w:t>
      </w:r>
    </w:p>
    <w:p w:rsidR="006B69FA" w:rsidRPr="00E53510" w:rsidRDefault="006B69FA" w:rsidP="000B7556">
      <w:pPr>
        <w:tabs>
          <w:tab w:val="clear" w:pos="431"/>
          <w:tab w:val="right" w:pos="850"/>
          <w:tab w:val="left" w:pos="1134"/>
          <w:tab w:val="left" w:pos="1559"/>
          <w:tab w:val="left" w:pos="1984"/>
          <w:tab w:val="left" w:pos="2410"/>
          <w:tab w:val="left" w:pos="2977"/>
          <w:tab w:val="left" w:pos="3528"/>
          <w:tab w:val="left" w:leader="dot" w:pos="8787"/>
          <w:tab w:val="right" w:pos="9554"/>
          <w:tab w:val="right" w:pos="9638"/>
        </w:tabs>
        <w:suppressAutoHyphens/>
        <w:overflowPunct/>
        <w:adjustRightInd/>
        <w:snapToGrid/>
        <w:spacing w:after="60"/>
        <w:jc w:val="left"/>
        <w:rPr>
          <w:szCs w:val="21"/>
        </w:rPr>
      </w:pP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结论</w:t>
      </w:r>
      <w:r w:rsidRPr="00E53510">
        <w:rPr>
          <w:rFonts w:hint="eastAsia"/>
          <w:szCs w:val="21"/>
        </w:rPr>
        <w:t>6</w:t>
      </w:r>
      <w:r w:rsidRPr="00E53510">
        <w:rPr>
          <w:rFonts w:hint="eastAsia"/>
          <w:szCs w:val="21"/>
        </w:rPr>
        <w:tab/>
      </w:r>
      <w:r w:rsidRPr="00E53510">
        <w:rPr>
          <w:rFonts w:asciiTheme="majorBidi" w:eastAsiaTheme="minorEastAsia" w:hAnsiTheme="majorBidi" w:cstheme="majorBidi" w:hint="eastAsia"/>
          <w:noProof/>
          <w:snapToGrid/>
          <w:szCs w:val="21"/>
          <w:lang w:val="en-GB"/>
        </w:rPr>
        <w:t>嗣后</w:t>
      </w:r>
      <w:r w:rsidRPr="00E53510">
        <w:rPr>
          <w:rFonts w:hint="eastAsia"/>
          <w:szCs w:val="21"/>
        </w:rPr>
        <w:t>协定和嗣后惯例的识别</w:t>
      </w:r>
      <w:r w:rsidRPr="00E53510">
        <w:rPr>
          <w:rFonts w:hint="eastAsia"/>
          <w:szCs w:val="21"/>
        </w:rPr>
        <w:tab/>
      </w:r>
      <w:r w:rsidRPr="00E53510">
        <w:rPr>
          <w:rFonts w:hint="eastAsia"/>
          <w:szCs w:val="21"/>
        </w:rPr>
        <w:tab/>
        <w:t>1</w:t>
      </w:r>
      <w:r w:rsidR="00656EC0">
        <w:rPr>
          <w:rFonts w:hint="eastAsia"/>
          <w:szCs w:val="21"/>
        </w:rPr>
        <w:t>52</w:t>
      </w:r>
    </w:p>
    <w:p w:rsidR="006B69FA" w:rsidRPr="00E53510" w:rsidRDefault="006B69FA" w:rsidP="000B7556">
      <w:pPr>
        <w:tabs>
          <w:tab w:val="clear" w:pos="431"/>
          <w:tab w:val="right" w:pos="850"/>
          <w:tab w:val="left" w:pos="1134"/>
          <w:tab w:val="left" w:pos="1559"/>
          <w:tab w:val="left" w:pos="1984"/>
          <w:tab w:val="left" w:pos="3544"/>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656EC0">
        <w:rPr>
          <w:rFonts w:hint="eastAsia"/>
          <w:szCs w:val="21"/>
        </w:rPr>
        <w:tab/>
      </w:r>
      <w:r w:rsidR="00656EC0">
        <w:rPr>
          <w:rFonts w:hint="eastAsia"/>
          <w:szCs w:val="21"/>
        </w:rPr>
        <w:tab/>
        <w:t>152</w:t>
      </w:r>
    </w:p>
    <w:p w:rsidR="006B69FA" w:rsidRPr="00E53510" w:rsidRDefault="006B69FA" w:rsidP="000B7556">
      <w:pPr>
        <w:tabs>
          <w:tab w:val="clear" w:pos="431"/>
          <w:tab w:val="right" w:pos="850"/>
          <w:tab w:val="left" w:pos="1134"/>
          <w:tab w:val="left" w:pos="1559"/>
          <w:tab w:val="left" w:pos="1984"/>
          <w:tab w:val="left" w:pos="2410"/>
          <w:tab w:val="left" w:pos="2977"/>
          <w:tab w:val="left" w:pos="3528"/>
          <w:tab w:val="left" w:leader="dot" w:pos="8787"/>
          <w:tab w:val="right" w:pos="9554"/>
          <w:tab w:val="right" w:pos="9638"/>
        </w:tabs>
        <w:suppressAutoHyphens/>
        <w:overflowPunct/>
        <w:adjustRightInd/>
        <w:snapToGrid/>
        <w:spacing w:after="60"/>
        <w:jc w:val="left"/>
        <w:rPr>
          <w:szCs w:val="21"/>
        </w:rPr>
      </w:pP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hint="eastAsia"/>
          <w:szCs w:val="21"/>
        </w:rPr>
        <w:t>结论</w:t>
      </w:r>
      <w:r w:rsidRPr="00E53510">
        <w:rPr>
          <w:rFonts w:hint="eastAsia"/>
          <w:szCs w:val="21"/>
        </w:rPr>
        <w:t>7</w:t>
      </w:r>
      <w:r w:rsidRPr="00E53510">
        <w:rPr>
          <w:rFonts w:hint="eastAsia"/>
          <w:szCs w:val="21"/>
        </w:rPr>
        <w:tab/>
      </w:r>
      <w:r w:rsidRPr="00E53510">
        <w:rPr>
          <w:rFonts w:hint="eastAsia"/>
          <w:szCs w:val="21"/>
        </w:rPr>
        <w:t>嗣后协定和嗣后惯例可能对解释产生的影响</w:t>
      </w:r>
      <w:r w:rsidR="00656EC0">
        <w:rPr>
          <w:rFonts w:hint="eastAsia"/>
          <w:szCs w:val="21"/>
        </w:rPr>
        <w:tab/>
      </w:r>
      <w:r w:rsidR="00656EC0">
        <w:rPr>
          <w:rFonts w:hint="eastAsia"/>
          <w:szCs w:val="21"/>
        </w:rPr>
        <w:tab/>
        <w:t>161</w:t>
      </w:r>
    </w:p>
    <w:p w:rsidR="006B69FA" w:rsidRPr="00E53510" w:rsidRDefault="006B69FA" w:rsidP="000B7556">
      <w:pPr>
        <w:tabs>
          <w:tab w:val="clear" w:pos="431"/>
          <w:tab w:val="right" w:pos="850"/>
          <w:tab w:val="left" w:pos="1134"/>
          <w:tab w:val="left" w:pos="1559"/>
          <w:tab w:val="left" w:pos="1984"/>
          <w:tab w:val="left" w:pos="3544"/>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656EC0">
        <w:rPr>
          <w:rFonts w:hint="eastAsia"/>
          <w:szCs w:val="21"/>
        </w:rPr>
        <w:tab/>
      </w:r>
      <w:r w:rsidR="00656EC0">
        <w:rPr>
          <w:rFonts w:hint="eastAsia"/>
          <w:szCs w:val="21"/>
        </w:rPr>
        <w:tab/>
        <w:t>161</w:t>
      </w:r>
    </w:p>
    <w:p w:rsidR="006B69FA" w:rsidRPr="00E53510" w:rsidRDefault="006B69FA" w:rsidP="000B7556">
      <w:pPr>
        <w:tabs>
          <w:tab w:val="clear" w:pos="431"/>
          <w:tab w:val="right" w:pos="850"/>
          <w:tab w:val="left" w:pos="1134"/>
          <w:tab w:val="left" w:pos="1559"/>
          <w:tab w:val="left" w:pos="1984"/>
          <w:tab w:val="left" w:pos="2410"/>
          <w:tab w:val="left" w:pos="2977"/>
          <w:tab w:val="left" w:pos="3528"/>
          <w:tab w:val="left" w:leader="dot" w:pos="8787"/>
          <w:tab w:val="right" w:pos="9554"/>
          <w:tab w:val="right" w:pos="9638"/>
        </w:tabs>
        <w:suppressAutoHyphens/>
        <w:overflowPunct/>
        <w:adjustRightInd/>
        <w:snapToGrid/>
        <w:spacing w:after="60"/>
        <w:jc w:val="left"/>
        <w:rPr>
          <w:szCs w:val="21"/>
        </w:rPr>
      </w:pP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hint="eastAsia"/>
          <w:szCs w:val="21"/>
        </w:rPr>
        <w:t>结论</w:t>
      </w:r>
      <w:r w:rsidRPr="00E53510">
        <w:rPr>
          <w:rFonts w:hint="eastAsia"/>
          <w:szCs w:val="21"/>
        </w:rPr>
        <w:t>8[3]</w:t>
      </w:r>
      <w:r w:rsidRPr="00E53510">
        <w:rPr>
          <w:rFonts w:hint="eastAsia"/>
          <w:szCs w:val="21"/>
        </w:rPr>
        <w:tab/>
      </w:r>
      <w:r w:rsidRPr="00E53510">
        <w:rPr>
          <w:rFonts w:asciiTheme="majorBidi" w:eastAsiaTheme="minorEastAsia" w:hAnsiTheme="majorBidi" w:cstheme="majorBidi" w:hint="eastAsia"/>
          <w:noProof/>
          <w:snapToGrid/>
          <w:szCs w:val="21"/>
          <w:lang w:val="en-GB"/>
        </w:rPr>
        <w:t>能够随时</w:t>
      </w:r>
      <w:r w:rsidRPr="00E53510">
        <w:rPr>
          <w:rFonts w:hint="eastAsia"/>
          <w:szCs w:val="21"/>
        </w:rPr>
        <w:t>间演变的条约用语的解释</w:t>
      </w:r>
      <w:r w:rsidR="00656EC0">
        <w:rPr>
          <w:rFonts w:hint="eastAsia"/>
          <w:szCs w:val="21"/>
        </w:rPr>
        <w:tab/>
      </w:r>
      <w:r w:rsidR="00656EC0">
        <w:rPr>
          <w:rFonts w:hint="eastAsia"/>
          <w:szCs w:val="21"/>
        </w:rPr>
        <w:tab/>
        <w:t>176</w:t>
      </w:r>
    </w:p>
    <w:p w:rsidR="006B69FA" w:rsidRPr="00E53510" w:rsidRDefault="006B69FA" w:rsidP="000B7556">
      <w:pPr>
        <w:tabs>
          <w:tab w:val="clear" w:pos="431"/>
          <w:tab w:val="right" w:pos="850"/>
          <w:tab w:val="left" w:pos="1134"/>
          <w:tab w:val="left" w:pos="1559"/>
          <w:tab w:val="left" w:pos="1984"/>
          <w:tab w:val="left" w:pos="3544"/>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656EC0">
        <w:rPr>
          <w:rFonts w:hint="eastAsia"/>
          <w:szCs w:val="21"/>
        </w:rPr>
        <w:tab/>
      </w:r>
      <w:r w:rsidR="00656EC0">
        <w:rPr>
          <w:rFonts w:hint="eastAsia"/>
          <w:szCs w:val="21"/>
        </w:rPr>
        <w:tab/>
        <w:t>176</w:t>
      </w:r>
    </w:p>
    <w:p w:rsidR="006B69FA" w:rsidRPr="00E53510" w:rsidRDefault="006B69FA" w:rsidP="000B7556">
      <w:pPr>
        <w:tabs>
          <w:tab w:val="clear" w:pos="431"/>
          <w:tab w:val="right" w:pos="850"/>
          <w:tab w:val="left" w:pos="1134"/>
          <w:tab w:val="left" w:pos="1559"/>
          <w:tab w:val="left" w:pos="1984"/>
          <w:tab w:val="left" w:pos="2410"/>
          <w:tab w:val="left" w:pos="2977"/>
          <w:tab w:val="left" w:pos="3528"/>
          <w:tab w:val="left" w:leader="dot" w:pos="8787"/>
          <w:tab w:val="right" w:pos="9554"/>
          <w:tab w:val="right" w:pos="9638"/>
        </w:tabs>
        <w:suppressAutoHyphens/>
        <w:overflowPunct/>
        <w:adjustRightInd/>
        <w:snapToGrid/>
        <w:spacing w:after="60"/>
        <w:jc w:val="left"/>
        <w:rPr>
          <w:szCs w:val="21"/>
        </w:rPr>
      </w:pP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结论</w:t>
      </w:r>
      <w:r w:rsidRPr="00E53510">
        <w:rPr>
          <w:rFonts w:hint="eastAsia"/>
          <w:szCs w:val="21"/>
        </w:rPr>
        <w:t>9[8]</w:t>
      </w:r>
      <w:r w:rsidRPr="00E53510">
        <w:rPr>
          <w:rFonts w:hint="eastAsia"/>
          <w:szCs w:val="21"/>
        </w:rPr>
        <w:tab/>
      </w:r>
      <w:r w:rsidRPr="00E53510">
        <w:rPr>
          <w:rFonts w:hint="eastAsia"/>
          <w:szCs w:val="21"/>
        </w:rPr>
        <w:t>嗣后</w:t>
      </w:r>
      <w:r w:rsidRPr="00E53510">
        <w:rPr>
          <w:rFonts w:asciiTheme="majorBidi" w:eastAsiaTheme="minorEastAsia" w:hAnsiTheme="majorBidi" w:cstheme="majorBidi" w:hint="eastAsia"/>
          <w:noProof/>
          <w:snapToGrid/>
          <w:szCs w:val="21"/>
          <w:lang w:val="en-GB"/>
        </w:rPr>
        <w:t>协定</w:t>
      </w:r>
      <w:r w:rsidRPr="00E53510">
        <w:rPr>
          <w:rFonts w:hint="eastAsia"/>
          <w:szCs w:val="21"/>
        </w:rPr>
        <w:t>和嗣后惯例作为解释资料的权重</w:t>
      </w:r>
      <w:r w:rsidR="00656EC0">
        <w:rPr>
          <w:rFonts w:hint="eastAsia"/>
          <w:szCs w:val="21"/>
        </w:rPr>
        <w:tab/>
      </w:r>
      <w:r w:rsidR="00656EC0">
        <w:rPr>
          <w:rFonts w:hint="eastAsia"/>
          <w:szCs w:val="21"/>
        </w:rPr>
        <w:tab/>
        <w:t>184</w:t>
      </w:r>
    </w:p>
    <w:p w:rsidR="006B69FA" w:rsidRPr="00E53510" w:rsidRDefault="006B69FA" w:rsidP="000B7556">
      <w:pPr>
        <w:tabs>
          <w:tab w:val="clear" w:pos="431"/>
          <w:tab w:val="right" w:pos="850"/>
          <w:tab w:val="left" w:pos="1134"/>
          <w:tab w:val="left" w:pos="1559"/>
          <w:tab w:val="left" w:pos="1984"/>
          <w:tab w:val="left" w:pos="3544"/>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Pr="00E53510">
        <w:rPr>
          <w:rFonts w:hint="eastAsia"/>
          <w:szCs w:val="21"/>
        </w:rPr>
        <w:tab/>
      </w:r>
      <w:r w:rsidRPr="00E53510">
        <w:rPr>
          <w:rFonts w:hint="eastAsia"/>
          <w:szCs w:val="21"/>
        </w:rPr>
        <w:tab/>
        <w:t>1</w:t>
      </w:r>
      <w:r w:rsidR="00656EC0">
        <w:rPr>
          <w:rFonts w:hint="eastAsia"/>
          <w:szCs w:val="21"/>
        </w:rPr>
        <w:t>84</w:t>
      </w:r>
    </w:p>
    <w:p w:rsidR="006B69FA" w:rsidRPr="00E53510" w:rsidRDefault="006B69FA" w:rsidP="000B7556">
      <w:pPr>
        <w:tabs>
          <w:tab w:val="clear" w:pos="431"/>
          <w:tab w:val="right" w:pos="850"/>
          <w:tab w:val="left" w:pos="1134"/>
          <w:tab w:val="left" w:pos="1559"/>
          <w:tab w:val="left" w:pos="1984"/>
          <w:tab w:val="left" w:pos="2410"/>
          <w:tab w:val="left" w:pos="2977"/>
          <w:tab w:val="left" w:pos="3528"/>
          <w:tab w:val="left" w:leader="dot" w:pos="8787"/>
          <w:tab w:val="right" w:pos="9554"/>
          <w:tab w:val="right" w:pos="9638"/>
        </w:tabs>
        <w:suppressAutoHyphens/>
        <w:overflowPunct/>
        <w:adjustRightInd/>
        <w:snapToGrid/>
        <w:spacing w:after="60"/>
        <w:jc w:val="left"/>
        <w:rPr>
          <w:szCs w:val="21"/>
        </w:rPr>
      </w:pP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hint="eastAsia"/>
          <w:szCs w:val="21"/>
        </w:rPr>
        <w:t>结论</w:t>
      </w:r>
      <w:r w:rsidRPr="00E53510">
        <w:rPr>
          <w:rFonts w:hint="eastAsia"/>
          <w:szCs w:val="21"/>
        </w:rPr>
        <w:t>10[9]</w:t>
      </w:r>
      <w:r w:rsidRPr="00E53510">
        <w:rPr>
          <w:rFonts w:hint="eastAsia"/>
          <w:szCs w:val="21"/>
        </w:rPr>
        <w:tab/>
      </w:r>
      <w:r w:rsidRPr="00E53510">
        <w:rPr>
          <w:rFonts w:hint="eastAsia"/>
          <w:szCs w:val="21"/>
        </w:rPr>
        <w:t>与</w:t>
      </w:r>
      <w:r w:rsidRPr="00E53510">
        <w:rPr>
          <w:rFonts w:asciiTheme="majorBidi" w:eastAsiaTheme="minorEastAsia" w:hAnsiTheme="majorBidi" w:cstheme="majorBidi" w:hint="eastAsia"/>
          <w:noProof/>
          <w:snapToGrid/>
          <w:szCs w:val="21"/>
          <w:lang w:val="en-GB"/>
        </w:rPr>
        <w:t>条约</w:t>
      </w:r>
      <w:r w:rsidRPr="00E53510">
        <w:rPr>
          <w:rFonts w:hint="eastAsia"/>
          <w:szCs w:val="21"/>
        </w:rPr>
        <w:t>解释有关的缔约方协定</w:t>
      </w:r>
      <w:r w:rsidR="00656EC0">
        <w:rPr>
          <w:rFonts w:hint="eastAsia"/>
          <w:szCs w:val="21"/>
        </w:rPr>
        <w:tab/>
      </w:r>
      <w:r w:rsidR="00656EC0">
        <w:rPr>
          <w:rFonts w:hint="eastAsia"/>
          <w:szCs w:val="21"/>
        </w:rPr>
        <w:tab/>
        <w:t>189</w:t>
      </w:r>
    </w:p>
    <w:p w:rsidR="006B69FA" w:rsidRPr="00E53510" w:rsidRDefault="006B69FA" w:rsidP="000B7556">
      <w:pPr>
        <w:tabs>
          <w:tab w:val="clear" w:pos="431"/>
          <w:tab w:val="right" w:pos="850"/>
          <w:tab w:val="left" w:pos="1134"/>
          <w:tab w:val="left" w:pos="1559"/>
          <w:tab w:val="left" w:pos="1984"/>
          <w:tab w:val="left" w:pos="3544"/>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Pr="00E53510">
        <w:rPr>
          <w:rFonts w:hint="eastAsia"/>
          <w:szCs w:val="21"/>
        </w:rPr>
        <w:tab/>
      </w:r>
      <w:r w:rsidRPr="00E53510">
        <w:rPr>
          <w:rFonts w:hint="eastAsia"/>
          <w:szCs w:val="21"/>
        </w:rPr>
        <w:tab/>
        <w:t>1</w:t>
      </w:r>
      <w:r w:rsidR="00656EC0">
        <w:rPr>
          <w:rFonts w:hint="eastAsia"/>
          <w:szCs w:val="21"/>
        </w:rPr>
        <w:t>89</w:t>
      </w:r>
    </w:p>
    <w:p w:rsidR="006B69FA" w:rsidRPr="00E53510" w:rsidRDefault="006B69FA" w:rsidP="000B7556">
      <w:pPr>
        <w:tabs>
          <w:tab w:val="clear" w:pos="431"/>
          <w:tab w:val="right" w:pos="850"/>
          <w:tab w:val="left" w:pos="1134"/>
          <w:tab w:val="left" w:pos="1559"/>
          <w:tab w:val="left" w:pos="1984"/>
          <w:tab w:val="left" w:pos="3119"/>
          <w:tab w:val="left" w:leader="dot" w:pos="8787"/>
          <w:tab w:val="right" w:pos="9554"/>
          <w:tab w:val="right" w:pos="9638"/>
        </w:tabs>
        <w:suppressAutoHyphens/>
        <w:overflowPunct/>
        <w:adjustRightInd/>
        <w:snapToGrid/>
        <w:spacing w:after="60"/>
        <w:ind w:left="1985" w:hanging="1985"/>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第四部分</w:t>
      </w:r>
      <w:r w:rsidRPr="00E53510">
        <w:rPr>
          <w:szCs w:val="21"/>
        </w:rPr>
        <w:br/>
      </w:r>
      <w:r w:rsidRPr="00E53510">
        <w:rPr>
          <w:rFonts w:hint="eastAsia"/>
          <w:szCs w:val="21"/>
        </w:rPr>
        <w:t>具体方面</w:t>
      </w:r>
    </w:p>
    <w:p w:rsidR="006B69FA" w:rsidRPr="00E53510" w:rsidRDefault="006B69FA" w:rsidP="000B7556">
      <w:pPr>
        <w:tabs>
          <w:tab w:val="clear" w:pos="431"/>
          <w:tab w:val="right" w:pos="850"/>
          <w:tab w:val="left" w:pos="1134"/>
          <w:tab w:val="left" w:pos="1559"/>
          <w:tab w:val="left" w:pos="1984"/>
          <w:tab w:val="left" w:pos="2410"/>
          <w:tab w:val="left" w:pos="2977"/>
          <w:tab w:val="left" w:pos="3528"/>
          <w:tab w:val="left" w:leader="dot" w:pos="8787"/>
          <w:tab w:val="right" w:pos="9554"/>
          <w:tab w:val="right" w:pos="9638"/>
        </w:tabs>
        <w:suppressAutoHyphens/>
        <w:overflowPunct/>
        <w:adjustRightInd/>
        <w:snapToGrid/>
        <w:spacing w:after="60"/>
        <w:jc w:val="left"/>
        <w:rPr>
          <w:szCs w:val="21"/>
        </w:rPr>
      </w:pP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hint="eastAsia"/>
          <w:szCs w:val="21"/>
        </w:rPr>
        <w:t>结论</w:t>
      </w:r>
      <w:r w:rsidRPr="00E53510">
        <w:rPr>
          <w:rFonts w:hint="eastAsia"/>
          <w:szCs w:val="21"/>
        </w:rPr>
        <w:t>11[10]</w:t>
      </w:r>
      <w:r w:rsidRPr="00E53510">
        <w:rPr>
          <w:rFonts w:hint="eastAsia"/>
          <w:szCs w:val="21"/>
        </w:rPr>
        <w:tab/>
      </w:r>
      <w:r w:rsidRPr="00E53510">
        <w:rPr>
          <w:rFonts w:hint="eastAsia"/>
          <w:szCs w:val="21"/>
        </w:rPr>
        <w:t>在</w:t>
      </w:r>
      <w:r w:rsidRPr="00E53510">
        <w:rPr>
          <w:rFonts w:asciiTheme="majorBidi" w:eastAsiaTheme="minorEastAsia" w:hAnsiTheme="majorBidi" w:cstheme="majorBidi" w:hint="eastAsia"/>
          <w:noProof/>
          <w:snapToGrid/>
          <w:szCs w:val="21"/>
          <w:lang w:val="en-GB"/>
        </w:rPr>
        <w:t>缔约国</w:t>
      </w:r>
      <w:r w:rsidRPr="00E53510">
        <w:rPr>
          <w:rFonts w:hint="eastAsia"/>
          <w:szCs w:val="21"/>
        </w:rPr>
        <w:t>大会框架内通过的决定</w:t>
      </w:r>
      <w:r w:rsidRPr="00E53510">
        <w:rPr>
          <w:rFonts w:hint="eastAsia"/>
          <w:szCs w:val="21"/>
        </w:rPr>
        <w:tab/>
      </w:r>
      <w:r w:rsidRPr="00E53510">
        <w:rPr>
          <w:rFonts w:hint="eastAsia"/>
          <w:szCs w:val="21"/>
        </w:rPr>
        <w:tab/>
        <w:t>1</w:t>
      </w:r>
      <w:r w:rsidR="00FB27A7">
        <w:rPr>
          <w:rFonts w:hint="eastAsia"/>
          <w:szCs w:val="21"/>
        </w:rPr>
        <w:t>98</w:t>
      </w:r>
    </w:p>
    <w:p w:rsidR="006B69FA" w:rsidRPr="00E53510" w:rsidRDefault="006B69FA" w:rsidP="000B7556">
      <w:pPr>
        <w:tabs>
          <w:tab w:val="clear" w:pos="431"/>
          <w:tab w:val="right" w:pos="850"/>
          <w:tab w:val="left" w:pos="1134"/>
          <w:tab w:val="left" w:pos="1559"/>
          <w:tab w:val="left" w:pos="1984"/>
          <w:tab w:val="left" w:pos="3544"/>
          <w:tab w:val="left" w:leader="dot" w:pos="8787"/>
          <w:tab w:val="right" w:pos="9554"/>
          <w:tab w:val="right" w:pos="9638"/>
        </w:tabs>
        <w:suppressAutoHyphens/>
        <w:overflowPunct/>
        <w:adjustRightInd/>
        <w:snapToGrid/>
        <w:spacing w:after="60"/>
        <w:jc w:val="left"/>
        <w:rPr>
          <w:rFonts w:asciiTheme="majorBidi" w:eastAsiaTheme="minorEastAsia" w:hAnsiTheme="majorBidi" w:cstheme="majorBidi"/>
          <w:noProof/>
          <w:snapToGrid/>
          <w:szCs w:val="21"/>
          <w:lang w:val="en-GB"/>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asciiTheme="majorBidi" w:eastAsiaTheme="minorEastAsia" w:hAnsiTheme="majorBidi" w:cstheme="majorBidi" w:hint="eastAsia"/>
          <w:noProof/>
          <w:snapToGrid/>
          <w:szCs w:val="21"/>
          <w:lang w:val="en-GB"/>
        </w:rPr>
        <w:t>评注</w:t>
      </w:r>
      <w:r w:rsidR="00FB27A7">
        <w:rPr>
          <w:rFonts w:asciiTheme="majorBidi" w:eastAsiaTheme="minorEastAsia" w:hAnsiTheme="majorBidi" w:cstheme="majorBidi" w:hint="eastAsia"/>
          <w:noProof/>
          <w:snapToGrid/>
          <w:szCs w:val="21"/>
          <w:lang w:val="en-GB"/>
        </w:rPr>
        <w:tab/>
      </w:r>
      <w:r w:rsidR="00FB27A7">
        <w:rPr>
          <w:rFonts w:asciiTheme="majorBidi" w:eastAsiaTheme="minorEastAsia" w:hAnsiTheme="majorBidi" w:cstheme="majorBidi" w:hint="eastAsia"/>
          <w:noProof/>
          <w:snapToGrid/>
          <w:szCs w:val="21"/>
          <w:lang w:val="en-GB"/>
        </w:rPr>
        <w:tab/>
        <w:t>198</w:t>
      </w:r>
    </w:p>
    <w:p w:rsidR="006B69FA" w:rsidRPr="00E53510" w:rsidRDefault="006B69FA" w:rsidP="000B7556">
      <w:pPr>
        <w:tabs>
          <w:tab w:val="clear" w:pos="431"/>
          <w:tab w:val="right" w:pos="850"/>
          <w:tab w:val="left" w:pos="1134"/>
          <w:tab w:val="left" w:pos="1559"/>
          <w:tab w:val="left" w:pos="1984"/>
          <w:tab w:val="left" w:pos="2410"/>
          <w:tab w:val="left" w:pos="2977"/>
          <w:tab w:val="left" w:pos="3528"/>
          <w:tab w:val="left" w:leader="dot" w:pos="8787"/>
          <w:tab w:val="right" w:pos="9554"/>
          <w:tab w:val="right" w:pos="9638"/>
        </w:tabs>
        <w:suppressAutoHyphens/>
        <w:overflowPunct/>
        <w:adjustRightInd/>
        <w:snapToGrid/>
        <w:spacing w:after="60"/>
        <w:jc w:val="left"/>
        <w:rPr>
          <w:szCs w:val="21"/>
        </w:rPr>
      </w:pP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hint="eastAsia"/>
          <w:szCs w:val="21"/>
        </w:rPr>
        <w:t>结论</w:t>
      </w:r>
      <w:r w:rsidRPr="00E53510">
        <w:rPr>
          <w:rFonts w:hint="eastAsia"/>
          <w:szCs w:val="21"/>
        </w:rPr>
        <w:t>12[11]</w:t>
      </w:r>
      <w:r w:rsidRPr="00E53510">
        <w:rPr>
          <w:rFonts w:hint="eastAsia"/>
          <w:szCs w:val="21"/>
        </w:rPr>
        <w:tab/>
      </w:r>
      <w:r w:rsidRPr="00E53510">
        <w:rPr>
          <w:rFonts w:asciiTheme="majorBidi" w:eastAsiaTheme="minorEastAsia" w:hAnsiTheme="majorBidi" w:cstheme="majorBidi" w:hint="eastAsia"/>
          <w:noProof/>
          <w:snapToGrid/>
          <w:szCs w:val="21"/>
          <w:lang w:val="en-GB"/>
        </w:rPr>
        <w:t>国际</w:t>
      </w:r>
      <w:r w:rsidRPr="00E53510">
        <w:rPr>
          <w:rFonts w:hint="eastAsia"/>
          <w:szCs w:val="21"/>
        </w:rPr>
        <w:t>组织的组成文书</w:t>
      </w:r>
      <w:r w:rsidR="00FB27A7">
        <w:rPr>
          <w:rFonts w:hint="eastAsia"/>
          <w:szCs w:val="21"/>
        </w:rPr>
        <w:tab/>
      </w:r>
      <w:r w:rsidR="00FB27A7">
        <w:rPr>
          <w:rFonts w:hint="eastAsia"/>
          <w:szCs w:val="21"/>
        </w:rPr>
        <w:tab/>
        <w:t>209</w:t>
      </w:r>
    </w:p>
    <w:p w:rsidR="006B69FA" w:rsidRPr="00E53510" w:rsidRDefault="006B69FA" w:rsidP="000B7556">
      <w:pPr>
        <w:tabs>
          <w:tab w:val="clear" w:pos="431"/>
          <w:tab w:val="right" w:pos="850"/>
          <w:tab w:val="left" w:pos="1134"/>
          <w:tab w:val="left" w:pos="1559"/>
          <w:tab w:val="left" w:pos="1984"/>
          <w:tab w:val="left" w:pos="3544"/>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FB27A7">
        <w:rPr>
          <w:rFonts w:hint="eastAsia"/>
          <w:szCs w:val="21"/>
        </w:rPr>
        <w:tab/>
      </w:r>
      <w:r w:rsidR="00FB27A7">
        <w:rPr>
          <w:rFonts w:hint="eastAsia"/>
          <w:szCs w:val="21"/>
        </w:rPr>
        <w:tab/>
        <w:t>210</w:t>
      </w:r>
    </w:p>
    <w:p w:rsidR="006B69FA" w:rsidRPr="00E53510" w:rsidRDefault="006B69FA" w:rsidP="000B7556">
      <w:pPr>
        <w:tabs>
          <w:tab w:val="clear" w:pos="431"/>
          <w:tab w:val="right" w:pos="850"/>
          <w:tab w:val="left" w:pos="1134"/>
          <w:tab w:val="left" w:pos="1559"/>
          <w:tab w:val="left" w:pos="1984"/>
          <w:tab w:val="left" w:pos="2410"/>
          <w:tab w:val="left" w:pos="2977"/>
          <w:tab w:val="left" w:pos="3528"/>
          <w:tab w:val="left" w:leader="dot" w:pos="8787"/>
          <w:tab w:val="right" w:pos="9554"/>
          <w:tab w:val="right" w:pos="9638"/>
        </w:tabs>
        <w:suppressAutoHyphens/>
        <w:overflowPunct/>
        <w:adjustRightInd/>
        <w:snapToGrid/>
        <w:spacing w:after="60"/>
        <w:jc w:val="left"/>
        <w:rPr>
          <w:szCs w:val="21"/>
        </w:rPr>
      </w:pP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asciiTheme="majorBidi" w:eastAsiaTheme="minorEastAsia" w:hAnsiTheme="majorBidi" w:cstheme="majorBidi" w:hint="eastAsia"/>
          <w:noProof/>
          <w:snapToGrid/>
          <w:szCs w:val="21"/>
          <w:lang w:val="en-GB"/>
        </w:rPr>
        <w:tab/>
      </w:r>
      <w:r w:rsidRPr="00E53510">
        <w:rPr>
          <w:rFonts w:hint="eastAsia"/>
          <w:szCs w:val="21"/>
        </w:rPr>
        <w:t>结论</w:t>
      </w:r>
      <w:r w:rsidRPr="00E53510">
        <w:rPr>
          <w:rFonts w:hint="eastAsia"/>
          <w:szCs w:val="21"/>
        </w:rPr>
        <w:t>13[12]</w:t>
      </w:r>
      <w:r w:rsidRPr="00E53510">
        <w:rPr>
          <w:rFonts w:hint="eastAsia"/>
          <w:szCs w:val="21"/>
        </w:rPr>
        <w:tab/>
      </w:r>
      <w:r w:rsidRPr="00E53510">
        <w:rPr>
          <w:rFonts w:asciiTheme="majorBidi" w:eastAsiaTheme="minorEastAsia" w:hAnsiTheme="majorBidi" w:cstheme="majorBidi" w:hint="eastAsia"/>
          <w:noProof/>
          <w:snapToGrid/>
          <w:szCs w:val="21"/>
          <w:lang w:val="en-GB"/>
        </w:rPr>
        <w:t>专家</w:t>
      </w:r>
      <w:r w:rsidRPr="00E53510">
        <w:rPr>
          <w:rFonts w:hint="eastAsia"/>
          <w:szCs w:val="21"/>
        </w:rPr>
        <w:t>条约机构的声明</w:t>
      </w:r>
      <w:r w:rsidRPr="00E53510">
        <w:rPr>
          <w:rFonts w:hint="eastAsia"/>
          <w:szCs w:val="21"/>
        </w:rPr>
        <w:tab/>
      </w:r>
      <w:r w:rsidRPr="00E53510">
        <w:rPr>
          <w:rFonts w:hint="eastAsia"/>
          <w:szCs w:val="21"/>
        </w:rPr>
        <w:tab/>
      </w:r>
      <w:r w:rsidR="00FB27A7">
        <w:rPr>
          <w:rFonts w:hint="eastAsia"/>
          <w:szCs w:val="21"/>
        </w:rPr>
        <w:t>224</w:t>
      </w:r>
    </w:p>
    <w:p w:rsidR="006B69FA" w:rsidRPr="00E53510" w:rsidRDefault="006B69FA" w:rsidP="000B7556">
      <w:pPr>
        <w:tabs>
          <w:tab w:val="clear" w:pos="431"/>
          <w:tab w:val="right" w:pos="850"/>
          <w:tab w:val="left" w:pos="1134"/>
          <w:tab w:val="left" w:pos="1559"/>
          <w:tab w:val="left" w:pos="1984"/>
          <w:tab w:val="left" w:pos="3544"/>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FB27A7">
        <w:rPr>
          <w:rFonts w:hint="eastAsia"/>
          <w:szCs w:val="21"/>
        </w:rPr>
        <w:tab/>
      </w:r>
      <w:r w:rsidR="00FB27A7">
        <w:rPr>
          <w:rFonts w:hint="eastAsia"/>
          <w:szCs w:val="21"/>
        </w:rPr>
        <w:tab/>
        <w:t>225</w:t>
      </w:r>
    </w:p>
    <w:p w:rsidR="006B69FA" w:rsidRPr="00E53510" w:rsidRDefault="006B69FA" w:rsidP="000B7556">
      <w:pPr>
        <w:pStyle w:val="a8"/>
        <w:spacing w:after="60"/>
        <w:rPr>
          <w:szCs w:val="21"/>
        </w:rPr>
      </w:pPr>
      <w:r w:rsidRPr="00E53510">
        <w:rPr>
          <w:rFonts w:hint="eastAsia"/>
          <w:szCs w:val="21"/>
        </w:rPr>
        <w:tab/>
      </w:r>
      <w:r w:rsidRPr="00E53510">
        <w:rPr>
          <w:rFonts w:hint="eastAsia"/>
          <w:szCs w:val="21"/>
        </w:rPr>
        <w:t>七</w:t>
      </w:r>
      <w:r w:rsidRPr="00E53510">
        <w:rPr>
          <w:rFonts w:hint="eastAsia"/>
          <w:szCs w:val="21"/>
        </w:rPr>
        <w:t>.</w:t>
      </w:r>
      <w:r w:rsidRPr="00E53510">
        <w:rPr>
          <w:rFonts w:hint="eastAsia"/>
          <w:szCs w:val="21"/>
        </w:rPr>
        <w:tab/>
      </w:r>
      <w:r w:rsidRPr="00E53510">
        <w:rPr>
          <w:rFonts w:hint="eastAsia"/>
          <w:szCs w:val="21"/>
        </w:rPr>
        <w:t>危害人类罪</w:t>
      </w:r>
      <w:r w:rsidRPr="00E53510">
        <w:rPr>
          <w:rFonts w:hint="eastAsia"/>
          <w:szCs w:val="21"/>
        </w:rPr>
        <w:tab/>
      </w:r>
      <w:r w:rsidRPr="00E53510">
        <w:rPr>
          <w:rFonts w:hint="eastAsia"/>
          <w:szCs w:val="21"/>
        </w:rPr>
        <w:tab/>
      </w:r>
      <w:r w:rsidR="00FB27A7">
        <w:rPr>
          <w:rFonts w:hint="eastAsia"/>
          <w:szCs w:val="21"/>
        </w:rPr>
        <w:t>237</w:t>
      </w:r>
    </w:p>
    <w:p w:rsidR="006B69FA" w:rsidRPr="00E53510" w:rsidRDefault="006B69FA" w:rsidP="000B7556">
      <w:pPr>
        <w:pStyle w:val="a8"/>
        <w:tabs>
          <w:tab w:val="clear" w:pos="1996"/>
        </w:tabs>
        <w:spacing w:after="60"/>
        <w:rPr>
          <w:szCs w:val="21"/>
        </w:rPr>
      </w:pPr>
      <w:r w:rsidRPr="00E53510">
        <w:rPr>
          <w:rFonts w:hint="eastAsia"/>
          <w:szCs w:val="21"/>
        </w:rPr>
        <w:tab/>
      </w:r>
      <w:r w:rsidRPr="00E53510">
        <w:rPr>
          <w:rFonts w:hint="eastAsia"/>
          <w:szCs w:val="21"/>
        </w:rPr>
        <w:tab/>
        <w:t>A.</w:t>
      </w:r>
      <w:r w:rsidRPr="00E53510">
        <w:rPr>
          <w:rFonts w:hint="eastAsia"/>
          <w:szCs w:val="21"/>
        </w:rPr>
        <w:tab/>
      </w:r>
      <w:r w:rsidRPr="00E53510">
        <w:rPr>
          <w:rFonts w:hint="eastAsia"/>
          <w:szCs w:val="21"/>
        </w:rPr>
        <w:t>导言</w:t>
      </w:r>
      <w:r w:rsidR="00FB27A7">
        <w:rPr>
          <w:rFonts w:hint="eastAsia"/>
          <w:szCs w:val="21"/>
        </w:rPr>
        <w:tab/>
      </w:r>
      <w:r w:rsidR="00FB27A7">
        <w:rPr>
          <w:rFonts w:hint="eastAsia"/>
          <w:szCs w:val="21"/>
        </w:rPr>
        <w:tab/>
        <w:t>237</w:t>
      </w:r>
    </w:p>
    <w:p w:rsidR="006B69FA" w:rsidRPr="00E53510" w:rsidRDefault="006B69FA" w:rsidP="000B7556">
      <w:pPr>
        <w:pStyle w:val="a8"/>
        <w:spacing w:after="60"/>
        <w:rPr>
          <w:szCs w:val="21"/>
        </w:rPr>
      </w:pPr>
      <w:r w:rsidRPr="00E53510">
        <w:rPr>
          <w:rFonts w:hint="eastAsia"/>
          <w:szCs w:val="21"/>
        </w:rPr>
        <w:tab/>
      </w:r>
      <w:r w:rsidRPr="00E53510">
        <w:rPr>
          <w:rFonts w:hint="eastAsia"/>
          <w:szCs w:val="21"/>
        </w:rPr>
        <w:tab/>
        <w:t>B.</w:t>
      </w:r>
      <w:r w:rsidRPr="00E53510">
        <w:rPr>
          <w:rFonts w:hint="eastAsia"/>
          <w:szCs w:val="21"/>
        </w:rPr>
        <w:tab/>
      </w:r>
      <w:r w:rsidRPr="00E53510">
        <w:rPr>
          <w:rFonts w:hint="eastAsia"/>
          <w:szCs w:val="21"/>
        </w:rPr>
        <w:t>本届会议审议此专题的情况</w:t>
      </w:r>
      <w:r w:rsidR="00FB27A7">
        <w:rPr>
          <w:rFonts w:hint="eastAsia"/>
          <w:szCs w:val="21"/>
        </w:rPr>
        <w:tab/>
      </w:r>
      <w:r w:rsidR="00FB27A7">
        <w:rPr>
          <w:rFonts w:hint="eastAsia"/>
          <w:szCs w:val="21"/>
        </w:rPr>
        <w:tab/>
        <w:t>237</w:t>
      </w:r>
    </w:p>
    <w:p w:rsidR="006B69FA" w:rsidRPr="00E53510" w:rsidRDefault="006B69FA" w:rsidP="000B7556">
      <w:pPr>
        <w:pStyle w:val="a8"/>
        <w:spacing w:after="60"/>
        <w:ind w:right="2408"/>
        <w:rPr>
          <w:szCs w:val="21"/>
        </w:rPr>
      </w:pPr>
      <w:r w:rsidRPr="00E53510">
        <w:rPr>
          <w:rFonts w:hint="eastAsia"/>
          <w:szCs w:val="21"/>
        </w:rPr>
        <w:tab/>
      </w:r>
      <w:r w:rsidRPr="00E53510">
        <w:rPr>
          <w:rFonts w:hint="eastAsia"/>
          <w:szCs w:val="21"/>
        </w:rPr>
        <w:tab/>
        <w:t>C.</w:t>
      </w:r>
      <w:r w:rsidRPr="00E53510">
        <w:rPr>
          <w:rFonts w:hint="eastAsia"/>
          <w:szCs w:val="21"/>
        </w:rPr>
        <w:tab/>
      </w:r>
      <w:r w:rsidRPr="00E53510">
        <w:rPr>
          <w:rFonts w:hint="eastAsia"/>
          <w:szCs w:val="21"/>
        </w:rPr>
        <w:t>委员会迄今为止暂时通过的关于危害人类罪的条款草案案文</w:t>
      </w:r>
      <w:r w:rsidR="00FB27A7">
        <w:rPr>
          <w:rFonts w:hint="eastAsia"/>
          <w:szCs w:val="21"/>
        </w:rPr>
        <w:tab/>
      </w:r>
      <w:r w:rsidR="00FB27A7">
        <w:rPr>
          <w:rFonts w:hint="eastAsia"/>
          <w:szCs w:val="21"/>
        </w:rPr>
        <w:tab/>
        <w:t>238</w:t>
      </w:r>
    </w:p>
    <w:p w:rsidR="006B69FA" w:rsidRPr="00E53510" w:rsidRDefault="006B69FA" w:rsidP="000B7556">
      <w:pPr>
        <w:tabs>
          <w:tab w:val="clear" w:pos="431"/>
          <w:tab w:val="right" w:pos="850"/>
          <w:tab w:val="left" w:pos="1134"/>
          <w:tab w:val="left" w:pos="1559"/>
          <w:tab w:val="left" w:pos="1984"/>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t>1.</w:t>
      </w:r>
      <w:r w:rsidRPr="00E53510">
        <w:rPr>
          <w:rFonts w:hint="eastAsia"/>
          <w:szCs w:val="21"/>
        </w:rPr>
        <w:tab/>
      </w:r>
      <w:r w:rsidRPr="00E53510">
        <w:rPr>
          <w:rFonts w:hint="eastAsia"/>
          <w:szCs w:val="21"/>
        </w:rPr>
        <w:t>条款草案案文</w:t>
      </w:r>
      <w:r w:rsidRPr="00E53510">
        <w:rPr>
          <w:rFonts w:hint="eastAsia"/>
          <w:szCs w:val="21"/>
        </w:rPr>
        <w:tab/>
      </w:r>
      <w:r w:rsidRPr="00E53510">
        <w:rPr>
          <w:rFonts w:hint="eastAsia"/>
          <w:szCs w:val="21"/>
        </w:rPr>
        <w:tab/>
      </w:r>
      <w:r w:rsidR="00FB27A7">
        <w:rPr>
          <w:rFonts w:hint="eastAsia"/>
          <w:szCs w:val="21"/>
        </w:rPr>
        <w:t>238</w:t>
      </w:r>
    </w:p>
    <w:p w:rsidR="006B69FA" w:rsidRPr="00E53510" w:rsidRDefault="006B69FA" w:rsidP="000B7556">
      <w:pPr>
        <w:tabs>
          <w:tab w:val="clear" w:pos="431"/>
          <w:tab w:val="right" w:pos="850"/>
          <w:tab w:val="left" w:pos="1134"/>
          <w:tab w:val="left" w:pos="1559"/>
          <w:tab w:val="left" w:pos="1984"/>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t>2.</w:t>
      </w:r>
      <w:r w:rsidRPr="00E53510">
        <w:rPr>
          <w:rFonts w:hint="eastAsia"/>
          <w:szCs w:val="21"/>
        </w:rPr>
        <w:tab/>
      </w:r>
      <w:r w:rsidRPr="00E53510">
        <w:rPr>
          <w:rFonts w:hint="eastAsia"/>
          <w:szCs w:val="21"/>
        </w:rPr>
        <w:t>委员会第六十八届会议暂时通过的条款草案案文及其评注</w:t>
      </w:r>
      <w:r w:rsidR="00FB27A7">
        <w:rPr>
          <w:rFonts w:hint="eastAsia"/>
          <w:szCs w:val="21"/>
        </w:rPr>
        <w:tab/>
      </w:r>
      <w:r w:rsidR="00FB27A7">
        <w:rPr>
          <w:rFonts w:hint="eastAsia"/>
          <w:szCs w:val="21"/>
        </w:rPr>
        <w:tab/>
        <w:t>242</w:t>
      </w:r>
    </w:p>
    <w:p w:rsidR="006B69FA" w:rsidRPr="00E53510" w:rsidRDefault="006B69FA" w:rsidP="000B7556">
      <w:pPr>
        <w:tabs>
          <w:tab w:val="clear" w:pos="431"/>
          <w:tab w:val="right" w:pos="850"/>
          <w:tab w:val="left" w:pos="1134"/>
          <w:tab w:val="left" w:pos="1559"/>
          <w:tab w:val="left" w:pos="1984"/>
          <w:tab w:val="left" w:pos="297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第</w:t>
      </w:r>
      <w:r w:rsidRPr="00E53510">
        <w:rPr>
          <w:rFonts w:hint="eastAsia"/>
          <w:szCs w:val="21"/>
        </w:rPr>
        <w:t>5</w:t>
      </w:r>
      <w:r w:rsidRPr="00E53510">
        <w:rPr>
          <w:rFonts w:hint="eastAsia"/>
          <w:szCs w:val="21"/>
        </w:rPr>
        <w:t>条</w:t>
      </w:r>
      <w:r w:rsidRPr="00E53510">
        <w:rPr>
          <w:rFonts w:hint="eastAsia"/>
          <w:szCs w:val="21"/>
        </w:rPr>
        <w:tab/>
      </w:r>
      <w:r w:rsidRPr="00E53510">
        <w:rPr>
          <w:rFonts w:hint="eastAsia"/>
          <w:szCs w:val="21"/>
        </w:rPr>
        <w:t>在国内法中定为刑事犯罪</w:t>
      </w:r>
      <w:r w:rsidR="00FB27A7">
        <w:rPr>
          <w:rFonts w:hint="eastAsia"/>
          <w:szCs w:val="21"/>
        </w:rPr>
        <w:tab/>
      </w:r>
      <w:r w:rsidR="00FB27A7">
        <w:rPr>
          <w:rFonts w:hint="eastAsia"/>
          <w:szCs w:val="21"/>
        </w:rPr>
        <w:tab/>
        <w:t>242</w:t>
      </w:r>
    </w:p>
    <w:p w:rsidR="006B69FA" w:rsidRPr="00E53510" w:rsidRDefault="006B69FA" w:rsidP="000B7556">
      <w:pPr>
        <w:tabs>
          <w:tab w:val="clear" w:pos="431"/>
          <w:tab w:val="right" w:pos="850"/>
          <w:tab w:val="left" w:pos="1134"/>
          <w:tab w:val="left" w:pos="1559"/>
          <w:tab w:val="left" w:pos="1984"/>
          <w:tab w:val="left" w:pos="297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Pr="00E53510">
        <w:rPr>
          <w:rFonts w:hint="eastAsia"/>
          <w:szCs w:val="21"/>
        </w:rPr>
        <w:tab/>
      </w:r>
      <w:r w:rsidRPr="00E53510">
        <w:rPr>
          <w:rFonts w:hint="eastAsia"/>
          <w:szCs w:val="21"/>
        </w:rPr>
        <w:tab/>
      </w:r>
      <w:r w:rsidR="00FB27A7">
        <w:rPr>
          <w:rFonts w:hint="eastAsia"/>
          <w:szCs w:val="21"/>
        </w:rPr>
        <w:t>244</w:t>
      </w:r>
    </w:p>
    <w:p w:rsidR="006B69FA" w:rsidRPr="00E53510" w:rsidRDefault="006B69FA" w:rsidP="000B7556">
      <w:pPr>
        <w:tabs>
          <w:tab w:val="clear" w:pos="431"/>
          <w:tab w:val="right" w:pos="850"/>
          <w:tab w:val="left" w:pos="1134"/>
          <w:tab w:val="left" w:pos="1559"/>
          <w:tab w:val="left" w:pos="1984"/>
          <w:tab w:val="left" w:pos="297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第</w:t>
      </w:r>
      <w:r w:rsidRPr="00E53510">
        <w:rPr>
          <w:rFonts w:hint="eastAsia"/>
          <w:szCs w:val="21"/>
        </w:rPr>
        <w:t>6</w:t>
      </w:r>
      <w:r w:rsidRPr="00E53510">
        <w:rPr>
          <w:rFonts w:hint="eastAsia"/>
          <w:szCs w:val="21"/>
        </w:rPr>
        <w:t>条</w:t>
      </w:r>
      <w:r w:rsidRPr="00E53510">
        <w:rPr>
          <w:rFonts w:hint="eastAsia"/>
          <w:szCs w:val="21"/>
        </w:rPr>
        <w:tab/>
      </w:r>
      <w:r w:rsidRPr="00E53510">
        <w:rPr>
          <w:rFonts w:hint="eastAsia"/>
          <w:szCs w:val="21"/>
        </w:rPr>
        <w:t>确立国家管辖权</w:t>
      </w:r>
      <w:r w:rsidRPr="00E53510">
        <w:rPr>
          <w:rFonts w:hint="eastAsia"/>
          <w:szCs w:val="21"/>
        </w:rPr>
        <w:tab/>
      </w:r>
      <w:r w:rsidRPr="00E53510">
        <w:rPr>
          <w:rFonts w:hint="eastAsia"/>
          <w:szCs w:val="21"/>
        </w:rPr>
        <w:tab/>
        <w:t>26</w:t>
      </w:r>
      <w:r w:rsidR="00FB27A7">
        <w:rPr>
          <w:rFonts w:hint="eastAsia"/>
          <w:szCs w:val="21"/>
        </w:rPr>
        <w:t>1</w:t>
      </w:r>
    </w:p>
    <w:p w:rsidR="006B69FA" w:rsidRPr="00E53510" w:rsidRDefault="006B69FA" w:rsidP="000B7556">
      <w:pPr>
        <w:tabs>
          <w:tab w:val="clear" w:pos="431"/>
          <w:tab w:val="right" w:pos="850"/>
          <w:tab w:val="left" w:pos="1134"/>
          <w:tab w:val="left" w:pos="1559"/>
          <w:tab w:val="left" w:pos="1984"/>
          <w:tab w:val="left" w:pos="297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Pr="00E53510">
        <w:rPr>
          <w:rFonts w:hint="eastAsia"/>
          <w:szCs w:val="21"/>
        </w:rPr>
        <w:tab/>
      </w:r>
      <w:r w:rsidRPr="00E53510">
        <w:rPr>
          <w:rFonts w:hint="eastAsia"/>
          <w:szCs w:val="21"/>
        </w:rPr>
        <w:tab/>
        <w:t>26</w:t>
      </w:r>
      <w:r w:rsidR="00FB27A7">
        <w:rPr>
          <w:rFonts w:hint="eastAsia"/>
          <w:szCs w:val="21"/>
        </w:rPr>
        <w:t>2</w:t>
      </w:r>
    </w:p>
    <w:p w:rsidR="006B69FA" w:rsidRPr="00E53510" w:rsidRDefault="006B69FA" w:rsidP="000B7556">
      <w:pPr>
        <w:tabs>
          <w:tab w:val="clear" w:pos="431"/>
          <w:tab w:val="right" w:pos="850"/>
          <w:tab w:val="left" w:pos="1134"/>
          <w:tab w:val="left" w:pos="1559"/>
          <w:tab w:val="left" w:pos="1984"/>
          <w:tab w:val="left" w:pos="297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第</w:t>
      </w:r>
      <w:r w:rsidRPr="00E53510">
        <w:rPr>
          <w:rFonts w:hint="eastAsia"/>
          <w:szCs w:val="21"/>
        </w:rPr>
        <w:t>7</w:t>
      </w:r>
      <w:r w:rsidRPr="00E53510">
        <w:rPr>
          <w:rFonts w:hint="eastAsia"/>
          <w:szCs w:val="21"/>
        </w:rPr>
        <w:t>条</w:t>
      </w:r>
      <w:r w:rsidRPr="00E53510">
        <w:rPr>
          <w:rFonts w:hint="eastAsia"/>
          <w:szCs w:val="21"/>
        </w:rPr>
        <w:tab/>
      </w:r>
      <w:r w:rsidRPr="00E53510">
        <w:rPr>
          <w:rFonts w:hint="eastAsia"/>
          <w:szCs w:val="21"/>
        </w:rPr>
        <w:t>调查</w:t>
      </w:r>
      <w:r w:rsidR="00FB27A7">
        <w:rPr>
          <w:rFonts w:hint="eastAsia"/>
          <w:szCs w:val="21"/>
        </w:rPr>
        <w:tab/>
      </w:r>
      <w:r w:rsidR="00FB27A7">
        <w:rPr>
          <w:rFonts w:hint="eastAsia"/>
          <w:szCs w:val="21"/>
        </w:rPr>
        <w:tab/>
        <w:t>265</w:t>
      </w:r>
    </w:p>
    <w:p w:rsidR="006B69FA" w:rsidRPr="00E53510" w:rsidRDefault="006B69FA" w:rsidP="000B7556">
      <w:pPr>
        <w:tabs>
          <w:tab w:val="clear" w:pos="431"/>
          <w:tab w:val="right" w:pos="850"/>
          <w:tab w:val="left" w:pos="1134"/>
          <w:tab w:val="left" w:pos="1559"/>
          <w:tab w:val="left" w:pos="1984"/>
          <w:tab w:val="left" w:pos="297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FB27A7">
        <w:rPr>
          <w:rFonts w:hint="eastAsia"/>
          <w:szCs w:val="21"/>
        </w:rPr>
        <w:tab/>
      </w:r>
      <w:r w:rsidR="00FB27A7">
        <w:rPr>
          <w:rFonts w:hint="eastAsia"/>
          <w:szCs w:val="21"/>
        </w:rPr>
        <w:tab/>
        <w:t>265</w:t>
      </w:r>
    </w:p>
    <w:p w:rsidR="006B69FA" w:rsidRPr="00E53510" w:rsidRDefault="006B69FA" w:rsidP="000B7556">
      <w:pPr>
        <w:tabs>
          <w:tab w:val="clear" w:pos="431"/>
          <w:tab w:val="right" w:pos="850"/>
          <w:tab w:val="left" w:pos="1134"/>
          <w:tab w:val="left" w:pos="1559"/>
          <w:tab w:val="left" w:pos="1984"/>
          <w:tab w:val="left" w:pos="297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第</w:t>
      </w:r>
      <w:r w:rsidRPr="00E53510">
        <w:rPr>
          <w:rFonts w:hint="eastAsia"/>
          <w:szCs w:val="21"/>
        </w:rPr>
        <w:t>8</w:t>
      </w:r>
      <w:r w:rsidRPr="00E53510">
        <w:rPr>
          <w:rFonts w:hint="eastAsia"/>
          <w:szCs w:val="21"/>
        </w:rPr>
        <w:t>条</w:t>
      </w:r>
      <w:r w:rsidRPr="00E53510">
        <w:rPr>
          <w:rFonts w:hint="eastAsia"/>
          <w:szCs w:val="21"/>
        </w:rPr>
        <w:tab/>
      </w:r>
      <w:r w:rsidRPr="00E53510">
        <w:rPr>
          <w:rFonts w:hint="eastAsia"/>
          <w:szCs w:val="21"/>
        </w:rPr>
        <w:t>当被指控罪犯在境内时的初步措施</w:t>
      </w:r>
      <w:r w:rsidR="00FB27A7">
        <w:rPr>
          <w:rFonts w:hint="eastAsia"/>
          <w:szCs w:val="21"/>
        </w:rPr>
        <w:tab/>
      </w:r>
      <w:r w:rsidR="00FB27A7">
        <w:rPr>
          <w:rFonts w:hint="eastAsia"/>
          <w:szCs w:val="21"/>
        </w:rPr>
        <w:tab/>
        <w:t>267</w:t>
      </w:r>
    </w:p>
    <w:p w:rsidR="006B69FA" w:rsidRPr="00E53510" w:rsidRDefault="006B69FA" w:rsidP="000B7556">
      <w:pPr>
        <w:tabs>
          <w:tab w:val="clear" w:pos="431"/>
          <w:tab w:val="right" w:pos="850"/>
          <w:tab w:val="left" w:pos="1134"/>
          <w:tab w:val="left" w:pos="1559"/>
          <w:tab w:val="left" w:pos="1984"/>
          <w:tab w:val="left" w:pos="297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FB27A7">
        <w:rPr>
          <w:rFonts w:hint="eastAsia"/>
          <w:szCs w:val="21"/>
        </w:rPr>
        <w:tab/>
      </w:r>
      <w:r w:rsidR="00FB27A7">
        <w:rPr>
          <w:rFonts w:hint="eastAsia"/>
          <w:szCs w:val="21"/>
        </w:rPr>
        <w:tab/>
        <w:t>267</w:t>
      </w:r>
    </w:p>
    <w:p w:rsidR="006B69FA" w:rsidRPr="00E53510" w:rsidRDefault="006B69FA" w:rsidP="000B7556">
      <w:pPr>
        <w:tabs>
          <w:tab w:val="clear" w:pos="431"/>
          <w:tab w:val="right" w:pos="850"/>
          <w:tab w:val="left" w:pos="1134"/>
          <w:tab w:val="left" w:pos="1559"/>
          <w:tab w:val="left" w:pos="1984"/>
          <w:tab w:val="left" w:pos="297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第</w:t>
      </w:r>
      <w:r w:rsidRPr="00E53510">
        <w:rPr>
          <w:rFonts w:hint="eastAsia"/>
          <w:szCs w:val="21"/>
        </w:rPr>
        <w:t>9</w:t>
      </w:r>
      <w:r w:rsidRPr="00E53510">
        <w:rPr>
          <w:rFonts w:hint="eastAsia"/>
          <w:szCs w:val="21"/>
        </w:rPr>
        <w:t>条</w:t>
      </w:r>
      <w:r w:rsidRPr="00E53510">
        <w:rPr>
          <w:rFonts w:hint="eastAsia"/>
          <w:szCs w:val="21"/>
        </w:rPr>
        <w:tab/>
      </w:r>
      <w:r w:rsidRPr="00E53510">
        <w:rPr>
          <w:rFonts w:hint="eastAsia"/>
          <w:szCs w:val="21"/>
        </w:rPr>
        <w:t>引渡或审判</w:t>
      </w:r>
      <w:r w:rsidRPr="00E53510">
        <w:rPr>
          <w:rFonts w:hint="eastAsia"/>
          <w:szCs w:val="21"/>
        </w:rPr>
        <w:tab/>
      </w:r>
      <w:r w:rsidRPr="00E53510">
        <w:rPr>
          <w:rFonts w:hint="eastAsia"/>
          <w:szCs w:val="21"/>
        </w:rPr>
        <w:tab/>
      </w:r>
      <w:r w:rsidR="00FB27A7">
        <w:rPr>
          <w:rFonts w:hint="eastAsia"/>
          <w:szCs w:val="21"/>
        </w:rPr>
        <w:t>268</w:t>
      </w:r>
    </w:p>
    <w:p w:rsidR="006B69FA" w:rsidRPr="00E53510" w:rsidRDefault="006B69FA" w:rsidP="000B7556">
      <w:pPr>
        <w:tabs>
          <w:tab w:val="clear" w:pos="431"/>
          <w:tab w:val="right" w:pos="850"/>
          <w:tab w:val="left" w:pos="1134"/>
          <w:tab w:val="left" w:pos="1559"/>
          <w:tab w:val="left" w:pos="1984"/>
          <w:tab w:val="left" w:pos="297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FB27A7">
        <w:rPr>
          <w:rFonts w:hint="eastAsia"/>
          <w:szCs w:val="21"/>
        </w:rPr>
        <w:tab/>
      </w:r>
      <w:r w:rsidR="00FB27A7">
        <w:rPr>
          <w:rFonts w:hint="eastAsia"/>
          <w:szCs w:val="21"/>
        </w:rPr>
        <w:tab/>
        <w:t>268</w:t>
      </w:r>
    </w:p>
    <w:p w:rsidR="006B69FA" w:rsidRPr="00E53510" w:rsidRDefault="006B69FA" w:rsidP="000B7556">
      <w:pPr>
        <w:tabs>
          <w:tab w:val="clear" w:pos="431"/>
          <w:tab w:val="right" w:pos="850"/>
          <w:tab w:val="left" w:pos="1134"/>
          <w:tab w:val="left" w:pos="1559"/>
          <w:tab w:val="left" w:pos="1984"/>
          <w:tab w:val="left" w:pos="297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第</w:t>
      </w:r>
      <w:r w:rsidRPr="00E53510">
        <w:rPr>
          <w:rFonts w:hint="eastAsia"/>
          <w:szCs w:val="21"/>
        </w:rPr>
        <w:t>10</w:t>
      </w:r>
      <w:r w:rsidRPr="00E53510">
        <w:rPr>
          <w:rFonts w:hint="eastAsia"/>
          <w:szCs w:val="21"/>
        </w:rPr>
        <w:t>条</w:t>
      </w:r>
      <w:r w:rsidRPr="00E53510">
        <w:rPr>
          <w:rFonts w:hint="eastAsia"/>
          <w:szCs w:val="21"/>
        </w:rPr>
        <w:tab/>
      </w:r>
      <w:r w:rsidRPr="00E53510">
        <w:rPr>
          <w:rFonts w:hint="eastAsia"/>
          <w:szCs w:val="21"/>
        </w:rPr>
        <w:t>公平对待被指控罪犯</w:t>
      </w:r>
      <w:r w:rsidR="00FB27A7">
        <w:rPr>
          <w:rFonts w:hint="eastAsia"/>
          <w:szCs w:val="21"/>
        </w:rPr>
        <w:tab/>
      </w:r>
      <w:r w:rsidR="00FB27A7">
        <w:rPr>
          <w:rFonts w:hint="eastAsia"/>
          <w:szCs w:val="21"/>
        </w:rPr>
        <w:tab/>
        <w:t>272</w:t>
      </w:r>
    </w:p>
    <w:p w:rsidR="006B69FA" w:rsidRPr="00E53510" w:rsidRDefault="006B69FA" w:rsidP="000B7556">
      <w:pPr>
        <w:tabs>
          <w:tab w:val="clear" w:pos="431"/>
          <w:tab w:val="right" w:pos="850"/>
          <w:tab w:val="left" w:pos="1134"/>
          <w:tab w:val="left" w:pos="1559"/>
          <w:tab w:val="left" w:pos="1984"/>
          <w:tab w:val="left" w:pos="297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FB27A7">
        <w:rPr>
          <w:rFonts w:hint="eastAsia"/>
          <w:szCs w:val="21"/>
        </w:rPr>
        <w:tab/>
      </w:r>
      <w:r w:rsidR="00FB27A7">
        <w:rPr>
          <w:rFonts w:hint="eastAsia"/>
          <w:szCs w:val="21"/>
        </w:rPr>
        <w:tab/>
        <w:t>272</w:t>
      </w:r>
    </w:p>
    <w:p w:rsidR="006B69FA" w:rsidRPr="00E53510" w:rsidRDefault="006B69FA" w:rsidP="000B7556">
      <w:pPr>
        <w:pStyle w:val="a8"/>
        <w:spacing w:after="60"/>
        <w:rPr>
          <w:szCs w:val="21"/>
        </w:rPr>
      </w:pPr>
      <w:r w:rsidRPr="00E53510">
        <w:rPr>
          <w:rFonts w:hint="eastAsia"/>
          <w:szCs w:val="21"/>
        </w:rPr>
        <w:tab/>
      </w:r>
      <w:r w:rsidRPr="00E53510">
        <w:rPr>
          <w:rFonts w:hint="eastAsia"/>
          <w:szCs w:val="21"/>
        </w:rPr>
        <w:t>八</w:t>
      </w:r>
      <w:r w:rsidRPr="00E53510">
        <w:rPr>
          <w:rFonts w:hint="eastAsia"/>
          <w:szCs w:val="21"/>
        </w:rPr>
        <w:t>.</w:t>
      </w:r>
      <w:r w:rsidRPr="00E53510">
        <w:rPr>
          <w:rFonts w:hint="eastAsia"/>
          <w:szCs w:val="21"/>
        </w:rPr>
        <w:tab/>
      </w:r>
      <w:r w:rsidRPr="00E53510">
        <w:rPr>
          <w:rFonts w:hint="eastAsia"/>
          <w:szCs w:val="21"/>
        </w:rPr>
        <w:t>保护大气层</w:t>
      </w:r>
      <w:r w:rsidR="00FB27A7">
        <w:rPr>
          <w:rFonts w:hint="eastAsia"/>
          <w:szCs w:val="21"/>
        </w:rPr>
        <w:tab/>
      </w:r>
      <w:r w:rsidR="00FB27A7">
        <w:rPr>
          <w:rFonts w:hint="eastAsia"/>
          <w:szCs w:val="21"/>
        </w:rPr>
        <w:tab/>
        <w:t>277</w:t>
      </w:r>
    </w:p>
    <w:p w:rsidR="006B69FA" w:rsidRPr="00E53510" w:rsidRDefault="006B69FA" w:rsidP="000B7556">
      <w:pPr>
        <w:pStyle w:val="a8"/>
        <w:tabs>
          <w:tab w:val="clear" w:pos="1996"/>
        </w:tabs>
        <w:spacing w:after="60"/>
        <w:rPr>
          <w:szCs w:val="21"/>
        </w:rPr>
      </w:pPr>
      <w:r w:rsidRPr="00E53510">
        <w:rPr>
          <w:rFonts w:hint="eastAsia"/>
          <w:szCs w:val="21"/>
        </w:rPr>
        <w:tab/>
      </w:r>
      <w:r w:rsidRPr="00E53510">
        <w:rPr>
          <w:rFonts w:hint="eastAsia"/>
          <w:szCs w:val="21"/>
        </w:rPr>
        <w:tab/>
        <w:t>A.</w:t>
      </w:r>
      <w:r w:rsidRPr="00E53510">
        <w:rPr>
          <w:rFonts w:hint="eastAsia"/>
          <w:szCs w:val="21"/>
        </w:rPr>
        <w:tab/>
      </w:r>
      <w:r w:rsidRPr="00E53510">
        <w:rPr>
          <w:rFonts w:hint="eastAsia"/>
          <w:szCs w:val="21"/>
        </w:rPr>
        <w:t>导言</w:t>
      </w:r>
      <w:r w:rsidR="00FB27A7">
        <w:rPr>
          <w:rFonts w:hint="eastAsia"/>
          <w:szCs w:val="21"/>
        </w:rPr>
        <w:tab/>
      </w:r>
      <w:r w:rsidR="00FB27A7">
        <w:rPr>
          <w:rFonts w:hint="eastAsia"/>
          <w:szCs w:val="21"/>
        </w:rPr>
        <w:tab/>
        <w:t>277</w:t>
      </w:r>
    </w:p>
    <w:p w:rsidR="006B69FA" w:rsidRPr="00E53510" w:rsidRDefault="006B69FA" w:rsidP="000B7556">
      <w:pPr>
        <w:pStyle w:val="a8"/>
        <w:tabs>
          <w:tab w:val="clear" w:pos="1996"/>
        </w:tabs>
        <w:spacing w:after="60"/>
        <w:rPr>
          <w:szCs w:val="21"/>
        </w:rPr>
      </w:pPr>
      <w:r w:rsidRPr="00E53510">
        <w:rPr>
          <w:rFonts w:hint="eastAsia"/>
          <w:szCs w:val="21"/>
        </w:rPr>
        <w:tab/>
      </w:r>
      <w:r w:rsidRPr="00E53510">
        <w:rPr>
          <w:rFonts w:hint="eastAsia"/>
          <w:szCs w:val="21"/>
        </w:rPr>
        <w:tab/>
        <w:t>B.</w:t>
      </w:r>
      <w:r w:rsidRPr="00E53510">
        <w:rPr>
          <w:rFonts w:hint="eastAsia"/>
          <w:szCs w:val="21"/>
        </w:rPr>
        <w:tab/>
      </w:r>
      <w:r w:rsidRPr="00E53510">
        <w:rPr>
          <w:rFonts w:hint="eastAsia"/>
          <w:szCs w:val="21"/>
        </w:rPr>
        <w:t>本届会议审议此专题的情况</w:t>
      </w:r>
      <w:r w:rsidR="00FB27A7">
        <w:rPr>
          <w:rFonts w:hint="eastAsia"/>
          <w:szCs w:val="21"/>
        </w:rPr>
        <w:tab/>
      </w:r>
      <w:r w:rsidR="00FB27A7">
        <w:rPr>
          <w:rFonts w:hint="eastAsia"/>
          <w:szCs w:val="21"/>
        </w:rPr>
        <w:tab/>
        <w:t>277</w:t>
      </w:r>
    </w:p>
    <w:p w:rsidR="006B69FA" w:rsidRPr="00E53510" w:rsidRDefault="006B69FA" w:rsidP="000B7556">
      <w:pPr>
        <w:pStyle w:val="a8"/>
        <w:tabs>
          <w:tab w:val="clear" w:pos="1996"/>
        </w:tabs>
        <w:spacing w:after="60"/>
        <w:ind w:left="1565" w:hanging="1565"/>
        <w:rPr>
          <w:szCs w:val="21"/>
        </w:rPr>
      </w:pPr>
      <w:r w:rsidRPr="00E53510">
        <w:rPr>
          <w:rFonts w:hint="eastAsia"/>
          <w:szCs w:val="21"/>
        </w:rPr>
        <w:tab/>
      </w:r>
      <w:r w:rsidRPr="00E53510">
        <w:rPr>
          <w:rFonts w:hint="eastAsia"/>
          <w:szCs w:val="21"/>
        </w:rPr>
        <w:tab/>
        <w:t>C.</w:t>
      </w:r>
      <w:r w:rsidRPr="00E53510">
        <w:rPr>
          <w:rFonts w:hint="eastAsia"/>
          <w:szCs w:val="21"/>
        </w:rPr>
        <w:tab/>
      </w:r>
      <w:r w:rsidRPr="00E53510">
        <w:rPr>
          <w:rFonts w:hint="eastAsia"/>
          <w:szCs w:val="21"/>
        </w:rPr>
        <w:t>委员会迄今为止暂时通过的关于保护大气层的指南草案案文及序言部分段落</w:t>
      </w:r>
      <w:r w:rsidR="00FB27A7">
        <w:rPr>
          <w:rFonts w:hint="eastAsia"/>
          <w:szCs w:val="21"/>
        </w:rPr>
        <w:tab/>
      </w:r>
      <w:r w:rsidR="00FB27A7">
        <w:rPr>
          <w:rFonts w:hint="eastAsia"/>
          <w:szCs w:val="21"/>
        </w:rPr>
        <w:tab/>
        <w:t>278</w:t>
      </w:r>
    </w:p>
    <w:p w:rsidR="006B69FA" w:rsidRPr="00E53510" w:rsidRDefault="006B69FA" w:rsidP="000B7556">
      <w:pPr>
        <w:tabs>
          <w:tab w:val="clear" w:pos="431"/>
          <w:tab w:val="right" w:pos="850"/>
          <w:tab w:val="left" w:pos="1134"/>
          <w:tab w:val="left" w:pos="1559"/>
          <w:tab w:val="left" w:pos="1984"/>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t>1.</w:t>
      </w:r>
      <w:r w:rsidRPr="00E53510">
        <w:rPr>
          <w:rFonts w:hint="eastAsia"/>
          <w:szCs w:val="21"/>
        </w:rPr>
        <w:tab/>
      </w:r>
      <w:r w:rsidRPr="00E53510">
        <w:rPr>
          <w:rFonts w:hint="eastAsia"/>
          <w:szCs w:val="21"/>
        </w:rPr>
        <w:t>指南草案案文及序言部分段落</w:t>
      </w:r>
      <w:r w:rsidR="00FB27A7">
        <w:rPr>
          <w:rFonts w:hint="eastAsia"/>
          <w:szCs w:val="21"/>
        </w:rPr>
        <w:tab/>
      </w:r>
      <w:r w:rsidR="00FB27A7">
        <w:rPr>
          <w:rFonts w:hint="eastAsia"/>
          <w:szCs w:val="21"/>
        </w:rPr>
        <w:tab/>
        <w:t>278</w:t>
      </w:r>
    </w:p>
    <w:p w:rsidR="006B69FA" w:rsidRPr="00E53510" w:rsidRDefault="006B69FA" w:rsidP="000B7556">
      <w:pPr>
        <w:tabs>
          <w:tab w:val="clear" w:pos="431"/>
          <w:tab w:val="right" w:pos="850"/>
          <w:tab w:val="left" w:pos="1134"/>
          <w:tab w:val="left" w:pos="1559"/>
          <w:tab w:val="left" w:pos="1984"/>
          <w:tab w:val="left" w:leader="dot" w:pos="8787"/>
          <w:tab w:val="right" w:pos="9554"/>
          <w:tab w:val="right" w:pos="9638"/>
        </w:tabs>
        <w:suppressAutoHyphens/>
        <w:overflowPunct/>
        <w:adjustRightInd/>
        <w:snapToGrid/>
        <w:spacing w:after="60"/>
        <w:ind w:left="1985" w:hanging="1985"/>
        <w:jc w:val="left"/>
        <w:rPr>
          <w:szCs w:val="21"/>
        </w:rPr>
      </w:pPr>
      <w:r w:rsidRPr="00E53510">
        <w:rPr>
          <w:rFonts w:hint="eastAsia"/>
          <w:szCs w:val="21"/>
        </w:rPr>
        <w:tab/>
      </w:r>
      <w:r w:rsidRPr="00E53510">
        <w:rPr>
          <w:rFonts w:hint="eastAsia"/>
          <w:szCs w:val="21"/>
        </w:rPr>
        <w:tab/>
      </w:r>
      <w:r w:rsidRPr="00E53510">
        <w:rPr>
          <w:rFonts w:hint="eastAsia"/>
          <w:szCs w:val="21"/>
        </w:rPr>
        <w:tab/>
        <w:t>2.</w:t>
      </w:r>
      <w:r w:rsidRPr="00E53510">
        <w:rPr>
          <w:rFonts w:hint="eastAsia"/>
          <w:szCs w:val="21"/>
        </w:rPr>
        <w:tab/>
      </w:r>
      <w:r w:rsidRPr="00E53510">
        <w:rPr>
          <w:rFonts w:hint="eastAsia"/>
          <w:szCs w:val="21"/>
        </w:rPr>
        <w:t>委员会第六十八届会议暂时通过的指南草案案文与</w:t>
      </w:r>
      <w:r w:rsidRPr="00E53510">
        <w:rPr>
          <w:szCs w:val="21"/>
        </w:rPr>
        <w:br/>
      </w:r>
      <w:r w:rsidRPr="00E53510">
        <w:rPr>
          <w:rFonts w:hint="eastAsia"/>
          <w:szCs w:val="21"/>
        </w:rPr>
        <w:t>序言部分段落及其评注</w:t>
      </w:r>
      <w:r w:rsidR="00FB27A7">
        <w:rPr>
          <w:rFonts w:hint="eastAsia"/>
          <w:szCs w:val="21"/>
        </w:rPr>
        <w:tab/>
      </w:r>
      <w:r w:rsidR="00FB27A7">
        <w:rPr>
          <w:rFonts w:hint="eastAsia"/>
          <w:szCs w:val="21"/>
        </w:rPr>
        <w:tab/>
        <w:t>281</w:t>
      </w:r>
    </w:p>
    <w:p w:rsidR="006B69FA" w:rsidRPr="00E53510" w:rsidRDefault="006B69FA" w:rsidP="000B7556">
      <w:pPr>
        <w:pStyle w:val="a8"/>
        <w:spacing w:after="60"/>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序言</w:t>
      </w:r>
      <w:r w:rsidR="00FB27A7">
        <w:rPr>
          <w:rFonts w:hint="eastAsia"/>
          <w:szCs w:val="21"/>
        </w:rPr>
        <w:tab/>
      </w:r>
      <w:r w:rsidR="00FB27A7">
        <w:rPr>
          <w:rFonts w:hint="eastAsia"/>
          <w:szCs w:val="21"/>
        </w:rPr>
        <w:tab/>
        <w:t>281</w:t>
      </w:r>
    </w:p>
    <w:p w:rsidR="006B69FA" w:rsidRPr="00E53510" w:rsidRDefault="006B69FA" w:rsidP="000B7556">
      <w:pPr>
        <w:tabs>
          <w:tab w:val="clear" w:pos="431"/>
          <w:tab w:val="right" w:pos="850"/>
          <w:tab w:val="left" w:pos="1134"/>
          <w:tab w:val="left" w:pos="1559"/>
          <w:tab w:val="left" w:pos="1984"/>
          <w:tab w:val="left" w:pos="272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FB27A7">
        <w:rPr>
          <w:rFonts w:hint="eastAsia"/>
          <w:szCs w:val="21"/>
        </w:rPr>
        <w:tab/>
      </w:r>
      <w:r w:rsidR="00FB27A7">
        <w:rPr>
          <w:rFonts w:hint="eastAsia"/>
          <w:szCs w:val="21"/>
        </w:rPr>
        <w:tab/>
        <w:t>281</w:t>
      </w:r>
    </w:p>
    <w:p w:rsidR="006B69FA" w:rsidRPr="00E53510" w:rsidRDefault="006B69FA" w:rsidP="000B7556">
      <w:pPr>
        <w:tabs>
          <w:tab w:val="clear" w:pos="431"/>
          <w:tab w:val="right" w:pos="850"/>
          <w:tab w:val="left" w:pos="1134"/>
          <w:tab w:val="left" w:pos="1559"/>
          <w:tab w:val="left" w:pos="1984"/>
          <w:tab w:val="left" w:pos="2730"/>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指南</w:t>
      </w:r>
      <w:r w:rsidRPr="00E53510">
        <w:rPr>
          <w:rFonts w:hint="eastAsia"/>
          <w:szCs w:val="21"/>
        </w:rPr>
        <w:t>3</w:t>
      </w:r>
      <w:r w:rsidRPr="00E53510">
        <w:rPr>
          <w:rFonts w:hint="eastAsia"/>
          <w:szCs w:val="21"/>
        </w:rPr>
        <w:tab/>
      </w:r>
      <w:r w:rsidRPr="00E53510">
        <w:rPr>
          <w:rFonts w:hint="eastAsia"/>
          <w:szCs w:val="21"/>
        </w:rPr>
        <w:t>保护大气层的义务</w:t>
      </w:r>
      <w:r w:rsidR="00FB27A7">
        <w:rPr>
          <w:rFonts w:hint="eastAsia"/>
          <w:szCs w:val="21"/>
        </w:rPr>
        <w:tab/>
      </w:r>
      <w:r w:rsidR="00FB27A7">
        <w:rPr>
          <w:rFonts w:hint="eastAsia"/>
          <w:szCs w:val="21"/>
        </w:rPr>
        <w:tab/>
        <w:t>282</w:t>
      </w:r>
    </w:p>
    <w:p w:rsidR="006B69FA" w:rsidRPr="00E53510" w:rsidRDefault="006B69FA" w:rsidP="000B7556">
      <w:pPr>
        <w:tabs>
          <w:tab w:val="clear" w:pos="431"/>
          <w:tab w:val="right" w:pos="850"/>
          <w:tab w:val="left" w:pos="1134"/>
          <w:tab w:val="left" w:pos="1559"/>
          <w:tab w:val="left" w:pos="1984"/>
          <w:tab w:val="left" w:pos="272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Pr="00E53510">
        <w:rPr>
          <w:rFonts w:hint="eastAsia"/>
          <w:szCs w:val="21"/>
        </w:rPr>
        <w:tab/>
      </w:r>
      <w:r w:rsidRPr="00E53510">
        <w:rPr>
          <w:rFonts w:hint="eastAsia"/>
          <w:szCs w:val="21"/>
        </w:rPr>
        <w:tab/>
      </w:r>
      <w:r w:rsidR="00FB27A7">
        <w:rPr>
          <w:rFonts w:hint="eastAsia"/>
          <w:szCs w:val="21"/>
        </w:rPr>
        <w:t>282</w:t>
      </w:r>
    </w:p>
    <w:p w:rsidR="006B69FA" w:rsidRPr="00E53510" w:rsidRDefault="006B69FA" w:rsidP="000B7556">
      <w:pPr>
        <w:tabs>
          <w:tab w:val="clear" w:pos="431"/>
          <w:tab w:val="right" w:pos="850"/>
          <w:tab w:val="left" w:pos="1134"/>
          <w:tab w:val="left" w:pos="1559"/>
          <w:tab w:val="left" w:pos="1984"/>
          <w:tab w:val="left" w:pos="2730"/>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指南</w:t>
      </w:r>
      <w:r w:rsidRPr="00E53510">
        <w:rPr>
          <w:rFonts w:hint="eastAsia"/>
          <w:szCs w:val="21"/>
        </w:rPr>
        <w:t>4</w:t>
      </w:r>
      <w:r w:rsidRPr="00E53510">
        <w:rPr>
          <w:rFonts w:hint="eastAsia"/>
          <w:szCs w:val="21"/>
        </w:rPr>
        <w:tab/>
      </w:r>
      <w:r w:rsidRPr="00E53510">
        <w:rPr>
          <w:rFonts w:hint="eastAsia"/>
          <w:szCs w:val="21"/>
        </w:rPr>
        <w:t>环境影响评估</w:t>
      </w:r>
      <w:r w:rsidRPr="00E53510">
        <w:rPr>
          <w:rFonts w:hint="eastAsia"/>
          <w:szCs w:val="21"/>
        </w:rPr>
        <w:tab/>
      </w:r>
      <w:r w:rsidRPr="00E53510">
        <w:rPr>
          <w:rFonts w:hint="eastAsia"/>
          <w:szCs w:val="21"/>
        </w:rPr>
        <w:tab/>
      </w:r>
      <w:r w:rsidR="00FB27A7">
        <w:rPr>
          <w:rFonts w:hint="eastAsia"/>
          <w:szCs w:val="21"/>
        </w:rPr>
        <w:t>284</w:t>
      </w:r>
    </w:p>
    <w:p w:rsidR="006B69FA" w:rsidRPr="00E53510" w:rsidRDefault="006B69FA" w:rsidP="000B7556">
      <w:pPr>
        <w:tabs>
          <w:tab w:val="clear" w:pos="431"/>
          <w:tab w:val="right" w:pos="850"/>
          <w:tab w:val="left" w:pos="1134"/>
          <w:tab w:val="left" w:pos="1559"/>
          <w:tab w:val="left" w:pos="1984"/>
          <w:tab w:val="left" w:pos="272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FB27A7">
        <w:rPr>
          <w:rFonts w:hint="eastAsia"/>
          <w:szCs w:val="21"/>
        </w:rPr>
        <w:tab/>
      </w:r>
      <w:r w:rsidR="00FB27A7">
        <w:rPr>
          <w:rFonts w:hint="eastAsia"/>
          <w:szCs w:val="21"/>
        </w:rPr>
        <w:tab/>
        <w:t>285</w:t>
      </w:r>
    </w:p>
    <w:p w:rsidR="006B69FA" w:rsidRPr="00E53510" w:rsidRDefault="006B69FA" w:rsidP="000B7556">
      <w:pPr>
        <w:tabs>
          <w:tab w:val="clear" w:pos="431"/>
          <w:tab w:val="right" w:pos="850"/>
          <w:tab w:val="left" w:pos="1134"/>
          <w:tab w:val="left" w:pos="1559"/>
          <w:tab w:val="left" w:pos="1984"/>
          <w:tab w:val="left" w:pos="2730"/>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指南</w:t>
      </w:r>
      <w:r w:rsidRPr="00E53510">
        <w:rPr>
          <w:rFonts w:hint="eastAsia"/>
          <w:szCs w:val="21"/>
        </w:rPr>
        <w:t>5</w:t>
      </w:r>
      <w:r w:rsidRPr="00E53510">
        <w:rPr>
          <w:rFonts w:hint="eastAsia"/>
          <w:szCs w:val="21"/>
        </w:rPr>
        <w:tab/>
      </w:r>
      <w:r w:rsidRPr="00E53510">
        <w:rPr>
          <w:rFonts w:hint="eastAsia"/>
          <w:szCs w:val="21"/>
        </w:rPr>
        <w:t>可持续利用大气层</w:t>
      </w:r>
      <w:r w:rsidR="00AB00DE">
        <w:rPr>
          <w:rFonts w:hint="eastAsia"/>
          <w:szCs w:val="21"/>
        </w:rPr>
        <w:tab/>
      </w:r>
      <w:r w:rsidR="00AB00DE">
        <w:rPr>
          <w:rFonts w:hint="eastAsia"/>
          <w:szCs w:val="21"/>
        </w:rPr>
        <w:tab/>
        <w:t>287</w:t>
      </w:r>
    </w:p>
    <w:p w:rsidR="006B69FA" w:rsidRPr="00E53510" w:rsidRDefault="006B69FA" w:rsidP="000B7556">
      <w:pPr>
        <w:tabs>
          <w:tab w:val="clear" w:pos="431"/>
          <w:tab w:val="right" w:pos="850"/>
          <w:tab w:val="left" w:pos="1134"/>
          <w:tab w:val="left" w:pos="1559"/>
          <w:tab w:val="left" w:pos="1984"/>
          <w:tab w:val="left" w:pos="272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AB00DE">
        <w:rPr>
          <w:rFonts w:hint="eastAsia"/>
          <w:szCs w:val="21"/>
        </w:rPr>
        <w:tab/>
      </w:r>
      <w:r w:rsidR="00AB00DE">
        <w:rPr>
          <w:rFonts w:hint="eastAsia"/>
          <w:szCs w:val="21"/>
        </w:rPr>
        <w:tab/>
        <w:t>287</w:t>
      </w:r>
    </w:p>
    <w:p w:rsidR="006B69FA" w:rsidRPr="00E53510" w:rsidRDefault="006B69FA" w:rsidP="000B7556">
      <w:pPr>
        <w:tabs>
          <w:tab w:val="clear" w:pos="431"/>
          <w:tab w:val="right" w:pos="850"/>
          <w:tab w:val="left" w:pos="1134"/>
          <w:tab w:val="left" w:pos="1559"/>
          <w:tab w:val="left" w:pos="1984"/>
          <w:tab w:val="left" w:pos="2730"/>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指南</w:t>
      </w:r>
      <w:r w:rsidRPr="00E53510">
        <w:rPr>
          <w:rFonts w:hint="eastAsia"/>
          <w:szCs w:val="21"/>
        </w:rPr>
        <w:t>6</w:t>
      </w:r>
      <w:r w:rsidRPr="00E53510">
        <w:rPr>
          <w:rFonts w:hint="eastAsia"/>
          <w:szCs w:val="21"/>
        </w:rPr>
        <w:tab/>
      </w:r>
      <w:r w:rsidRPr="00E53510">
        <w:rPr>
          <w:rFonts w:hint="eastAsia"/>
          <w:szCs w:val="21"/>
        </w:rPr>
        <w:t>公平合理利用大气层</w:t>
      </w:r>
      <w:r w:rsidR="00AB00DE">
        <w:rPr>
          <w:rFonts w:hint="eastAsia"/>
          <w:szCs w:val="21"/>
        </w:rPr>
        <w:tab/>
      </w:r>
      <w:r w:rsidR="00AB00DE">
        <w:rPr>
          <w:rFonts w:hint="eastAsia"/>
          <w:szCs w:val="21"/>
        </w:rPr>
        <w:tab/>
        <w:t>288</w:t>
      </w:r>
    </w:p>
    <w:p w:rsidR="006B69FA" w:rsidRPr="00E53510" w:rsidRDefault="006B69FA" w:rsidP="000B7556">
      <w:pPr>
        <w:tabs>
          <w:tab w:val="clear" w:pos="431"/>
          <w:tab w:val="right" w:pos="850"/>
          <w:tab w:val="left" w:pos="1134"/>
          <w:tab w:val="left" w:pos="1559"/>
          <w:tab w:val="left" w:pos="1984"/>
          <w:tab w:val="left" w:pos="272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AB00DE">
        <w:rPr>
          <w:rFonts w:hint="eastAsia"/>
          <w:szCs w:val="21"/>
        </w:rPr>
        <w:tab/>
      </w:r>
      <w:r w:rsidR="00AB00DE">
        <w:rPr>
          <w:rFonts w:hint="eastAsia"/>
          <w:szCs w:val="21"/>
        </w:rPr>
        <w:tab/>
        <w:t>288</w:t>
      </w:r>
    </w:p>
    <w:p w:rsidR="006B69FA" w:rsidRPr="00E53510" w:rsidRDefault="006B69FA" w:rsidP="000B7556">
      <w:pPr>
        <w:tabs>
          <w:tab w:val="clear" w:pos="431"/>
          <w:tab w:val="right" w:pos="850"/>
          <w:tab w:val="left" w:pos="1134"/>
          <w:tab w:val="left" w:pos="1559"/>
          <w:tab w:val="left" w:pos="1984"/>
          <w:tab w:val="left" w:pos="2730"/>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指南</w:t>
      </w:r>
      <w:r w:rsidRPr="00E53510">
        <w:rPr>
          <w:rFonts w:hint="eastAsia"/>
          <w:szCs w:val="21"/>
        </w:rPr>
        <w:t>7</w:t>
      </w:r>
      <w:r w:rsidRPr="00E53510">
        <w:rPr>
          <w:rFonts w:hint="eastAsia"/>
          <w:szCs w:val="21"/>
        </w:rPr>
        <w:tab/>
      </w:r>
      <w:r w:rsidRPr="00E53510">
        <w:rPr>
          <w:rFonts w:hint="eastAsia"/>
          <w:szCs w:val="21"/>
        </w:rPr>
        <w:t>有意大规模改变大气层</w:t>
      </w:r>
      <w:r w:rsidRPr="00E53510">
        <w:rPr>
          <w:rFonts w:hint="eastAsia"/>
          <w:szCs w:val="21"/>
        </w:rPr>
        <w:tab/>
      </w:r>
      <w:r w:rsidRPr="00E53510">
        <w:rPr>
          <w:rFonts w:hint="eastAsia"/>
          <w:szCs w:val="21"/>
        </w:rPr>
        <w:tab/>
      </w:r>
      <w:r w:rsidR="00AB00DE">
        <w:rPr>
          <w:rFonts w:hint="eastAsia"/>
          <w:szCs w:val="21"/>
        </w:rPr>
        <w:t>289</w:t>
      </w:r>
    </w:p>
    <w:p w:rsidR="006B69FA" w:rsidRPr="00E53510" w:rsidRDefault="006B69FA" w:rsidP="000B7556">
      <w:pPr>
        <w:tabs>
          <w:tab w:val="clear" w:pos="431"/>
          <w:tab w:val="right" w:pos="850"/>
          <w:tab w:val="left" w:pos="1134"/>
          <w:tab w:val="left" w:pos="1559"/>
          <w:tab w:val="left" w:pos="1984"/>
          <w:tab w:val="left" w:pos="272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AB00DE">
        <w:rPr>
          <w:rFonts w:hint="eastAsia"/>
          <w:szCs w:val="21"/>
        </w:rPr>
        <w:tab/>
      </w:r>
      <w:r w:rsidR="00AB00DE">
        <w:rPr>
          <w:rFonts w:hint="eastAsia"/>
          <w:szCs w:val="21"/>
        </w:rPr>
        <w:tab/>
        <w:t>289</w:t>
      </w:r>
    </w:p>
    <w:p w:rsidR="006B69FA" w:rsidRPr="00E53510" w:rsidRDefault="006B69FA" w:rsidP="000B7556">
      <w:pPr>
        <w:pStyle w:val="a8"/>
        <w:tabs>
          <w:tab w:val="clear" w:pos="1565"/>
          <w:tab w:val="clear" w:pos="1996"/>
        </w:tabs>
        <w:spacing w:after="60"/>
        <w:rPr>
          <w:szCs w:val="21"/>
        </w:rPr>
      </w:pPr>
      <w:r w:rsidRPr="00E53510">
        <w:rPr>
          <w:rFonts w:hint="eastAsia"/>
          <w:szCs w:val="21"/>
        </w:rPr>
        <w:tab/>
      </w:r>
      <w:r w:rsidRPr="00E53510">
        <w:rPr>
          <w:rFonts w:hint="eastAsia"/>
          <w:szCs w:val="21"/>
        </w:rPr>
        <w:t>九</w:t>
      </w:r>
      <w:r w:rsidRPr="00E53510">
        <w:rPr>
          <w:rFonts w:hint="eastAsia"/>
          <w:szCs w:val="21"/>
        </w:rPr>
        <w:t>.</w:t>
      </w:r>
      <w:r w:rsidRPr="00E53510">
        <w:rPr>
          <w:rFonts w:hint="eastAsia"/>
          <w:szCs w:val="21"/>
        </w:rPr>
        <w:tab/>
      </w:r>
      <w:r w:rsidRPr="00E53510">
        <w:rPr>
          <w:rFonts w:hint="eastAsia"/>
          <w:szCs w:val="21"/>
        </w:rPr>
        <w:t>强行法</w:t>
      </w:r>
      <w:r w:rsidR="00AB00DE">
        <w:rPr>
          <w:rFonts w:hint="eastAsia"/>
          <w:szCs w:val="21"/>
        </w:rPr>
        <w:tab/>
      </w:r>
      <w:r w:rsidR="00AB00DE">
        <w:rPr>
          <w:rFonts w:hint="eastAsia"/>
          <w:szCs w:val="21"/>
        </w:rPr>
        <w:tab/>
        <w:t>292</w:t>
      </w:r>
    </w:p>
    <w:p w:rsidR="006B69FA" w:rsidRPr="00E53510" w:rsidRDefault="006B69FA" w:rsidP="000B7556">
      <w:pPr>
        <w:pStyle w:val="a8"/>
        <w:tabs>
          <w:tab w:val="clear" w:pos="1996"/>
        </w:tabs>
        <w:spacing w:after="60"/>
        <w:rPr>
          <w:szCs w:val="21"/>
        </w:rPr>
      </w:pPr>
      <w:r w:rsidRPr="00E53510">
        <w:rPr>
          <w:rFonts w:hint="eastAsia"/>
          <w:szCs w:val="21"/>
        </w:rPr>
        <w:tab/>
      </w:r>
      <w:r w:rsidRPr="00E53510">
        <w:rPr>
          <w:rFonts w:hint="eastAsia"/>
          <w:szCs w:val="21"/>
        </w:rPr>
        <w:tab/>
        <w:t>A.</w:t>
      </w:r>
      <w:r w:rsidRPr="00E53510">
        <w:rPr>
          <w:rFonts w:hint="eastAsia"/>
          <w:szCs w:val="21"/>
        </w:rPr>
        <w:tab/>
      </w:r>
      <w:r w:rsidRPr="00E53510">
        <w:rPr>
          <w:rFonts w:hint="eastAsia"/>
          <w:szCs w:val="21"/>
        </w:rPr>
        <w:t>导言</w:t>
      </w:r>
      <w:r w:rsidR="00AB00DE">
        <w:rPr>
          <w:rFonts w:hint="eastAsia"/>
          <w:szCs w:val="21"/>
        </w:rPr>
        <w:tab/>
      </w:r>
      <w:r w:rsidR="00AB00DE">
        <w:rPr>
          <w:rFonts w:hint="eastAsia"/>
          <w:szCs w:val="21"/>
        </w:rPr>
        <w:tab/>
        <w:t>292</w:t>
      </w:r>
    </w:p>
    <w:p w:rsidR="006B69FA" w:rsidRPr="00E53510" w:rsidRDefault="006B69FA" w:rsidP="000B7556">
      <w:pPr>
        <w:pStyle w:val="a8"/>
        <w:tabs>
          <w:tab w:val="clear" w:pos="1996"/>
        </w:tabs>
        <w:spacing w:after="60"/>
        <w:rPr>
          <w:szCs w:val="21"/>
        </w:rPr>
      </w:pPr>
      <w:r w:rsidRPr="00E53510">
        <w:rPr>
          <w:rFonts w:hint="eastAsia"/>
          <w:szCs w:val="21"/>
        </w:rPr>
        <w:tab/>
      </w:r>
      <w:r w:rsidRPr="00E53510">
        <w:rPr>
          <w:rFonts w:hint="eastAsia"/>
          <w:szCs w:val="21"/>
        </w:rPr>
        <w:tab/>
        <w:t>B.</w:t>
      </w:r>
      <w:r w:rsidRPr="00E53510">
        <w:rPr>
          <w:rFonts w:hint="eastAsia"/>
          <w:szCs w:val="21"/>
        </w:rPr>
        <w:tab/>
      </w:r>
      <w:r w:rsidRPr="00E53510">
        <w:rPr>
          <w:rFonts w:hint="eastAsia"/>
          <w:szCs w:val="21"/>
        </w:rPr>
        <w:t>本届会议审议此专题的情况</w:t>
      </w:r>
      <w:r w:rsidR="00AB00DE">
        <w:rPr>
          <w:rFonts w:hint="eastAsia"/>
          <w:szCs w:val="21"/>
        </w:rPr>
        <w:tab/>
      </w:r>
      <w:r w:rsidR="00AB00DE">
        <w:rPr>
          <w:rFonts w:hint="eastAsia"/>
          <w:szCs w:val="21"/>
        </w:rPr>
        <w:tab/>
        <w:t>292</w:t>
      </w:r>
    </w:p>
    <w:p w:rsidR="006B69FA" w:rsidRPr="00E53510" w:rsidRDefault="006B69FA" w:rsidP="000B7556">
      <w:pPr>
        <w:tabs>
          <w:tab w:val="clear" w:pos="431"/>
          <w:tab w:val="right" w:pos="850"/>
          <w:tab w:val="left" w:pos="1134"/>
          <w:tab w:val="left" w:pos="1559"/>
          <w:tab w:val="left" w:pos="1984"/>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t>1.</w:t>
      </w:r>
      <w:r w:rsidRPr="00E53510">
        <w:rPr>
          <w:rFonts w:hint="eastAsia"/>
          <w:szCs w:val="21"/>
        </w:rPr>
        <w:tab/>
      </w:r>
      <w:r w:rsidRPr="00E53510">
        <w:rPr>
          <w:rFonts w:hint="eastAsia"/>
          <w:szCs w:val="21"/>
        </w:rPr>
        <w:t>特别报告员介绍第一次报告</w:t>
      </w:r>
      <w:r w:rsidR="00AB00DE">
        <w:rPr>
          <w:rFonts w:hint="eastAsia"/>
          <w:szCs w:val="21"/>
        </w:rPr>
        <w:tab/>
      </w:r>
      <w:r w:rsidR="00AB00DE">
        <w:rPr>
          <w:rFonts w:hint="eastAsia"/>
          <w:szCs w:val="21"/>
        </w:rPr>
        <w:tab/>
        <w:t>292</w:t>
      </w:r>
    </w:p>
    <w:p w:rsidR="006B69FA" w:rsidRPr="00E53510" w:rsidRDefault="006B69FA" w:rsidP="000B7556">
      <w:pPr>
        <w:tabs>
          <w:tab w:val="clear" w:pos="431"/>
          <w:tab w:val="right" w:pos="850"/>
          <w:tab w:val="left" w:pos="1134"/>
          <w:tab w:val="left" w:pos="1559"/>
          <w:tab w:val="left" w:pos="1984"/>
          <w:tab w:val="left" w:leader="dot" w:pos="8787"/>
          <w:tab w:val="right" w:pos="9554"/>
          <w:tab w:val="right" w:pos="9638"/>
        </w:tabs>
        <w:suppressAutoHyphens/>
        <w:overflowPunct/>
        <w:adjustRightInd/>
        <w:snapToGrid/>
        <w:spacing w:after="60"/>
        <w:jc w:val="left"/>
        <w:rPr>
          <w:szCs w:val="21"/>
        </w:rPr>
      </w:pPr>
      <w:r w:rsidRPr="00E53510">
        <w:rPr>
          <w:rFonts w:hint="eastAsia"/>
          <w:bCs/>
          <w:szCs w:val="21"/>
        </w:rPr>
        <w:tab/>
      </w:r>
      <w:r w:rsidRPr="00E53510">
        <w:rPr>
          <w:rFonts w:hint="eastAsia"/>
          <w:bCs/>
          <w:szCs w:val="21"/>
        </w:rPr>
        <w:tab/>
      </w:r>
      <w:r w:rsidRPr="00E53510">
        <w:rPr>
          <w:bCs/>
          <w:szCs w:val="21"/>
        </w:rPr>
        <w:tab/>
      </w:r>
      <w:r w:rsidRPr="00E53510">
        <w:rPr>
          <w:szCs w:val="21"/>
        </w:rPr>
        <w:t>2.</w:t>
      </w:r>
      <w:r w:rsidRPr="00E53510">
        <w:rPr>
          <w:rFonts w:hint="eastAsia"/>
          <w:szCs w:val="21"/>
        </w:rPr>
        <w:tab/>
      </w:r>
      <w:r w:rsidRPr="00E53510">
        <w:rPr>
          <w:rFonts w:hint="eastAsia"/>
          <w:szCs w:val="21"/>
        </w:rPr>
        <w:t>辩论摘要</w:t>
      </w:r>
      <w:r w:rsidRPr="00E53510">
        <w:rPr>
          <w:rFonts w:hint="eastAsia"/>
          <w:szCs w:val="21"/>
        </w:rPr>
        <w:tab/>
      </w:r>
      <w:r w:rsidRPr="00E53510">
        <w:rPr>
          <w:rFonts w:hint="eastAsia"/>
          <w:szCs w:val="21"/>
        </w:rPr>
        <w:tab/>
      </w:r>
      <w:r w:rsidR="00AB00DE">
        <w:rPr>
          <w:rFonts w:hint="eastAsia"/>
          <w:szCs w:val="21"/>
        </w:rPr>
        <w:t>295</w:t>
      </w:r>
    </w:p>
    <w:p w:rsidR="006B69FA" w:rsidRPr="00E53510" w:rsidRDefault="006B69FA" w:rsidP="000B7556">
      <w:pPr>
        <w:tabs>
          <w:tab w:val="clear" w:pos="431"/>
          <w:tab w:val="right" w:pos="850"/>
          <w:tab w:val="left" w:pos="1134"/>
          <w:tab w:val="left" w:pos="1559"/>
          <w:tab w:val="left" w:pos="1984"/>
          <w:tab w:val="left" w:leader="dot" w:pos="8787"/>
          <w:tab w:val="right" w:pos="9554"/>
          <w:tab w:val="right" w:pos="9638"/>
        </w:tabs>
        <w:suppressAutoHyphens/>
        <w:overflowPunct/>
        <w:adjustRightInd/>
        <w:snapToGrid/>
        <w:spacing w:after="60"/>
        <w:jc w:val="left"/>
        <w:rPr>
          <w:szCs w:val="21"/>
        </w:rPr>
      </w:pPr>
      <w:r w:rsidRPr="00E53510">
        <w:rPr>
          <w:szCs w:val="21"/>
        </w:rPr>
        <w:tab/>
      </w:r>
      <w:r w:rsidRPr="00E53510">
        <w:rPr>
          <w:rFonts w:hint="eastAsia"/>
          <w:szCs w:val="21"/>
        </w:rPr>
        <w:tab/>
      </w:r>
      <w:r w:rsidRPr="00E53510">
        <w:rPr>
          <w:rFonts w:hint="eastAsia"/>
          <w:szCs w:val="21"/>
        </w:rPr>
        <w:tab/>
      </w:r>
      <w:r w:rsidRPr="00E53510">
        <w:rPr>
          <w:szCs w:val="21"/>
        </w:rPr>
        <w:t>3.</w:t>
      </w:r>
      <w:r w:rsidRPr="00E53510">
        <w:rPr>
          <w:rFonts w:hint="eastAsia"/>
          <w:szCs w:val="21"/>
        </w:rPr>
        <w:tab/>
      </w:r>
      <w:r w:rsidRPr="00E53510">
        <w:rPr>
          <w:rFonts w:hint="eastAsia"/>
          <w:szCs w:val="21"/>
        </w:rPr>
        <w:t>特别报告员的总结</w:t>
      </w:r>
      <w:r w:rsidRPr="00E53510">
        <w:rPr>
          <w:rFonts w:hint="eastAsia"/>
          <w:szCs w:val="21"/>
        </w:rPr>
        <w:tab/>
      </w:r>
      <w:r w:rsidRPr="00E53510">
        <w:rPr>
          <w:rFonts w:hint="eastAsia"/>
          <w:szCs w:val="21"/>
        </w:rPr>
        <w:tab/>
      </w:r>
      <w:r w:rsidR="00AB00DE">
        <w:rPr>
          <w:rFonts w:hint="eastAsia"/>
          <w:szCs w:val="21"/>
        </w:rPr>
        <w:t>299</w:t>
      </w:r>
    </w:p>
    <w:p w:rsidR="000B7556" w:rsidRDefault="000B7556">
      <w:pPr>
        <w:tabs>
          <w:tab w:val="clear" w:pos="431"/>
        </w:tabs>
        <w:overflowPunct/>
        <w:adjustRightInd/>
        <w:snapToGrid/>
        <w:spacing w:line="240" w:lineRule="auto"/>
        <w:jc w:val="left"/>
        <w:rPr>
          <w:szCs w:val="21"/>
        </w:rPr>
      </w:pPr>
      <w:r>
        <w:rPr>
          <w:szCs w:val="21"/>
        </w:rPr>
        <w:br w:type="page"/>
      </w:r>
    </w:p>
    <w:p w:rsidR="006B69FA" w:rsidRPr="00E53510" w:rsidRDefault="006B69FA" w:rsidP="000B7556">
      <w:pPr>
        <w:pStyle w:val="a8"/>
        <w:spacing w:after="60"/>
        <w:rPr>
          <w:szCs w:val="21"/>
        </w:rPr>
      </w:pPr>
      <w:r w:rsidRPr="00E53510">
        <w:rPr>
          <w:rFonts w:hint="eastAsia"/>
          <w:szCs w:val="21"/>
        </w:rPr>
        <w:tab/>
      </w:r>
      <w:r w:rsidRPr="00E53510">
        <w:rPr>
          <w:rFonts w:hint="eastAsia"/>
          <w:szCs w:val="21"/>
        </w:rPr>
        <w:t>十</w:t>
      </w:r>
      <w:r w:rsidRPr="00E53510">
        <w:rPr>
          <w:rFonts w:hint="eastAsia"/>
          <w:szCs w:val="21"/>
        </w:rPr>
        <w:t>.</w:t>
      </w:r>
      <w:r w:rsidRPr="00E53510">
        <w:rPr>
          <w:rFonts w:hint="eastAsia"/>
          <w:szCs w:val="21"/>
        </w:rPr>
        <w:tab/>
      </w:r>
      <w:r w:rsidRPr="00E53510">
        <w:rPr>
          <w:rFonts w:hint="eastAsia"/>
          <w:szCs w:val="21"/>
        </w:rPr>
        <w:t>与武装冲突有关的环境保护</w:t>
      </w:r>
      <w:r w:rsidR="00AB00DE">
        <w:rPr>
          <w:rFonts w:hint="eastAsia"/>
          <w:szCs w:val="21"/>
        </w:rPr>
        <w:tab/>
      </w:r>
      <w:r w:rsidR="00AB00DE">
        <w:rPr>
          <w:rFonts w:hint="eastAsia"/>
          <w:szCs w:val="21"/>
        </w:rPr>
        <w:tab/>
        <w:t>300</w:t>
      </w:r>
    </w:p>
    <w:p w:rsidR="006B69FA" w:rsidRPr="00E53510" w:rsidRDefault="006B69FA" w:rsidP="000B7556">
      <w:pPr>
        <w:pStyle w:val="a8"/>
        <w:tabs>
          <w:tab w:val="clear" w:pos="1996"/>
        </w:tabs>
        <w:spacing w:after="60"/>
        <w:rPr>
          <w:szCs w:val="21"/>
        </w:rPr>
      </w:pPr>
      <w:r w:rsidRPr="00E53510">
        <w:rPr>
          <w:rFonts w:hint="eastAsia"/>
          <w:szCs w:val="21"/>
        </w:rPr>
        <w:tab/>
      </w:r>
      <w:r w:rsidRPr="00E53510">
        <w:rPr>
          <w:rFonts w:hint="eastAsia"/>
          <w:szCs w:val="21"/>
        </w:rPr>
        <w:tab/>
        <w:t>A.</w:t>
      </w:r>
      <w:r w:rsidRPr="00E53510">
        <w:rPr>
          <w:rFonts w:hint="eastAsia"/>
          <w:szCs w:val="21"/>
        </w:rPr>
        <w:tab/>
      </w:r>
      <w:r w:rsidRPr="00E53510">
        <w:rPr>
          <w:rFonts w:hint="eastAsia"/>
          <w:szCs w:val="21"/>
        </w:rPr>
        <w:t>导言</w:t>
      </w:r>
      <w:r w:rsidRPr="00E53510">
        <w:rPr>
          <w:rFonts w:hint="eastAsia"/>
          <w:szCs w:val="21"/>
        </w:rPr>
        <w:tab/>
      </w:r>
      <w:r w:rsidRPr="00E53510">
        <w:rPr>
          <w:rFonts w:hint="eastAsia"/>
          <w:szCs w:val="21"/>
        </w:rPr>
        <w:tab/>
      </w:r>
      <w:r w:rsidR="00AB00DE">
        <w:rPr>
          <w:rFonts w:hint="eastAsia"/>
          <w:szCs w:val="21"/>
        </w:rPr>
        <w:t>300</w:t>
      </w:r>
    </w:p>
    <w:p w:rsidR="006B69FA" w:rsidRPr="00E53510" w:rsidRDefault="006B69FA" w:rsidP="000B7556">
      <w:pPr>
        <w:pStyle w:val="a8"/>
        <w:tabs>
          <w:tab w:val="clear" w:pos="1996"/>
        </w:tabs>
        <w:spacing w:after="60"/>
        <w:rPr>
          <w:szCs w:val="21"/>
        </w:rPr>
      </w:pPr>
      <w:r w:rsidRPr="00E53510">
        <w:rPr>
          <w:rFonts w:hint="eastAsia"/>
          <w:szCs w:val="21"/>
        </w:rPr>
        <w:tab/>
      </w:r>
      <w:r w:rsidRPr="00E53510">
        <w:rPr>
          <w:rFonts w:hint="eastAsia"/>
          <w:szCs w:val="21"/>
        </w:rPr>
        <w:tab/>
        <w:t>B.</w:t>
      </w:r>
      <w:r w:rsidRPr="00E53510">
        <w:rPr>
          <w:rFonts w:hint="eastAsia"/>
          <w:szCs w:val="21"/>
        </w:rPr>
        <w:tab/>
      </w:r>
      <w:r w:rsidRPr="00E53510">
        <w:rPr>
          <w:rFonts w:hint="eastAsia"/>
          <w:szCs w:val="21"/>
        </w:rPr>
        <w:t>本届会议审议此专题的情况</w:t>
      </w:r>
      <w:r w:rsidRPr="00E53510">
        <w:rPr>
          <w:rFonts w:hint="eastAsia"/>
          <w:szCs w:val="21"/>
        </w:rPr>
        <w:tab/>
      </w:r>
      <w:r w:rsidRPr="00E53510">
        <w:rPr>
          <w:rFonts w:hint="eastAsia"/>
          <w:szCs w:val="21"/>
        </w:rPr>
        <w:tab/>
      </w:r>
      <w:r w:rsidR="00AB00DE">
        <w:rPr>
          <w:rFonts w:hint="eastAsia"/>
          <w:szCs w:val="21"/>
        </w:rPr>
        <w:t>300</w:t>
      </w:r>
    </w:p>
    <w:p w:rsidR="006B69FA" w:rsidRPr="00E53510" w:rsidRDefault="006B69FA" w:rsidP="000B7556">
      <w:pPr>
        <w:tabs>
          <w:tab w:val="clear" w:pos="431"/>
          <w:tab w:val="right" w:pos="850"/>
          <w:tab w:val="left" w:pos="1134"/>
          <w:tab w:val="left" w:pos="1559"/>
          <w:tab w:val="left" w:pos="1984"/>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t>1.</w:t>
      </w:r>
      <w:r w:rsidRPr="00E53510">
        <w:rPr>
          <w:rFonts w:hint="eastAsia"/>
          <w:szCs w:val="21"/>
        </w:rPr>
        <w:tab/>
      </w:r>
      <w:r w:rsidRPr="00E53510">
        <w:rPr>
          <w:rFonts w:hint="eastAsia"/>
          <w:szCs w:val="21"/>
        </w:rPr>
        <w:t>特别报告员介绍第三次报告</w:t>
      </w:r>
      <w:r w:rsidRPr="00E53510">
        <w:rPr>
          <w:rFonts w:hint="eastAsia"/>
          <w:szCs w:val="21"/>
        </w:rPr>
        <w:tab/>
      </w:r>
      <w:r w:rsidRPr="00E53510">
        <w:rPr>
          <w:rFonts w:hint="eastAsia"/>
          <w:szCs w:val="21"/>
        </w:rPr>
        <w:tab/>
      </w:r>
      <w:r w:rsidR="00AB00DE">
        <w:rPr>
          <w:rFonts w:hint="eastAsia"/>
          <w:szCs w:val="21"/>
        </w:rPr>
        <w:t>303</w:t>
      </w:r>
    </w:p>
    <w:p w:rsidR="006B69FA" w:rsidRPr="00E53510" w:rsidRDefault="006B69FA" w:rsidP="000B7556">
      <w:pPr>
        <w:tabs>
          <w:tab w:val="clear" w:pos="431"/>
          <w:tab w:val="right" w:pos="851"/>
          <w:tab w:val="left" w:pos="1134"/>
          <w:tab w:val="left" w:pos="1559"/>
          <w:tab w:val="left" w:pos="1984"/>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szCs w:val="21"/>
        </w:rPr>
        <w:t>2.</w:t>
      </w:r>
      <w:r w:rsidRPr="00E53510">
        <w:rPr>
          <w:rFonts w:hint="eastAsia"/>
          <w:szCs w:val="21"/>
        </w:rPr>
        <w:tab/>
      </w:r>
      <w:r w:rsidRPr="00E53510">
        <w:rPr>
          <w:rFonts w:hint="eastAsia"/>
          <w:szCs w:val="21"/>
        </w:rPr>
        <w:t>辩论摘要</w:t>
      </w:r>
      <w:r w:rsidRPr="00E53510">
        <w:rPr>
          <w:rFonts w:hint="eastAsia"/>
          <w:szCs w:val="21"/>
        </w:rPr>
        <w:tab/>
      </w:r>
      <w:r w:rsidRPr="00E53510">
        <w:rPr>
          <w:rFonts w:hint="eastAsia"/>
          <w:szCs w:val="21"/>
        </w:rPr>
        <w:tab/>
      </w:r>
      <w:r w:rsidR="00AB00DE">
        <w:rPr>
          <w:rFonts w:hint="eastAsia"/>
          <w:szCs w:val="21"/>
        </w:rPr>
        <w:t>305</w:t>
      </w:r>
    </w:p>
    <w:p w:rsidR="006B69FA" w:rsidRPr="00E53510" w:rsidRDefault="006B69FA" w:rsidP="000B7556">
      <w:pPr>
        <w:tabs>
          <w:tab w:val="clear" w:pos="431"/>
          <w:tab w:val="right" w:pos="850"/>
          <w:tab w:val="left" w:pos="1134"/>
          <w:tab w:val="left" w:pos="1559"/>
          <w:tab w:val="left" w:pos="1984"/>
          <w:tab w:val="left" w:pos="2410"/>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t>(a)</w:t>
      </w:r>
      <w:r w:rsidRPr="00E53510">
        <w:rPr>
          <w:rFonts w:hint="eastAsia"/>
          <w:szCs w:val="21"/>
        </w:rPr>
        <w:tab/>
      </w:r>
      <w:r w:rsidRPr="00E53510">
        <w:rPr>
          <w:rFonts w:hint="eastAsia"/>
          <w:szCs w:val="21"/>
        </w:rPr>
        <w:t>一般评论</w:t>
      </w:r>
      <w:r w:rsidR="00AB00DE">
        <w:rPr>
          <w:rFonts w:hint="eastAsia"/>
          <w:szCs w:val="21"/>
        </w:rPr>
        <w:tab/>
      </w:r>
      <w:r w:rsidR="00AB00DE">
        <w:rPr>
          <w:rFonts w:hint="eastAsia"/>
          <w:szCs w:val="21"/>
        </w:rPr>
        <w:tab/>
        <w:t>305</w:t>
      </w:r>
    </w:p>
    <w:p w:rsidR="006B69FA" w:rsidRPr="00E53510" w:rsidRDefault="006B69FA" w:rsidP="000B7556">
      <w:pPr>
        <w:tabs>
          <w:tab w:val="clear" w:pos="431"/>
          <w:tab w:val="right" w:pos="850"/>
          <w:tab w:val="left" w:pos="1134"/>
          <w:tab w:val="left" w:pos="1559"/>
          <w:tab w:val="left" w:pos="1984"/>
          <w:tab w:val="left" w:pos="2410"/>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t>(b)</w:t>
      </w:r>
      <w:r w:rsidRPr="00E53510">
        <w:rPr>
          <w:rFonts w:hint="eastAsia"/>
          <w:szCs w:val="21"/>
        </w:rPr>
        <w:tab/>
      </w:r>
      <w:r w:rsidRPr="00E53510">
        <w:rPr>
          <w:rFonts w:hint="eastAsia"/>
          <w:szCs w:val="21"/>
        </w:rPr>
        <w:t>原则草案</w:t>
      </w:r>
      <w:r w:rsidRPr="00E53510">
        <w:rPr>
          <w:rFonts w:hint="eastAsia"/>
          <w:szCs w:val="21"/>
        </w:rPr>
        <w:t>1-1</w:t>
      </w:r>
      <w:r w:rsidRPr="00E53510">
        <w:rPr>
          <w:rFonts w:hint="eastAsia"/>
          <w:spacing w:val="-50"/>
          <w:szCs w:val="21"/>
        </w:rPr>
        <w:t>―</w:t>
      </w:r>
      <w:r w:rsidRPr="00E53510">
        <w:rPr>
          <w:rFonts w:hint="eastAsia"/>
          <w:szCs w:val="21"/>
        </w:rPr>
        <w:t>―实施和强制执行</w:t>
      </w:r>
      <w:r w:rsidR="00AB00DE">
        <w:rPr>
          <w:rFonts w:hint="eastAsia"/>
          <w:szCs w:val="21"/>
        </w:rPr>
        <w:tab/>
      </w:r>
      <w:r w:rsidR="00AB00DE">
        <w:rPr>
          <w:rFonts w:hint="eastAsia"/>
          <w:szCs w:val="21"/>
        </w:rPr>
        <w:tab/>
        <w:t>306</w:t>
      </w:r>
    </w:p>
    <w:p w:rsidR="006B69FA" w:rsidRPr="00E53510" w:rsidRDefault="006B69FA" w:rsidP="000B7556">
      <w:pPr>
        <w:tabs>
          <w:tab w:val="clear" w:pos="431"/>
          <w:tab w:val="right" w:pos="850"/>
          <w:tab w:val="left" w:pos="1134"/>
          <w:tab w:val="left" w:pos="1559"/>
          <w:tab w:val="left" w:pos="1984"/>
          <w:tab w:val="left" w:pos="2410"/>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t>(c)</w:t>
      </w:r>
      <w:r w:rsidRPr="00E53510">
        <w:rPr>
          <w:rFonts w:hint="eastAsia"/>
          <w:szCs w:val="21"/>
        </w:rPr>
        <w:tab/>
      </w:r>
      <w:r w:rsidRPr="00E53510">
        <w:rPr>
          <w:rFonts w:hint="eastAsia"/>
          <w:szCs w:val="21"/>
        </w:rPr>
        <w:t>原则草案</w:t>
      </w:r>
      <w:r w:rsidRPr="00E53510">
        <w:rPr>
          <w:rFonts w:hint="eastAsia"/>
          <w:szCs w:val="21"/>
        </w:rPr>
        <w:t>1-3</w:t>
      </w:r>
      <w:r w:rsidRPr="00E53510">
        <w:rPr>
          <w:rFonts w:hint="eastAsia"/>
          <w:spacing w:val="-50"/>
          <w:szCs w:val="21"/>
        </w:rPr>
        <w:t>―</w:t>
      </w:r>
      <w:r w:rsidRPr="00E53510">
        <w:rPr>
          <w:rFonts w:hint="eastAsia"/>
          <w:szCs w:val="21"/>
        </w:rPr>
        <w:t>―部队地位协定和特派团地位协定</w:t>
      </w:r>
      <w:r w:rsidR="00AB00DE">
        <w:rPr>
          <w:rFonts w:hint="eastAsia"/>
          <w:szCs w:val="21"/>
        </w:rPr>
        <w:tab/>
      </w:r>
      <w:r w:rsidR="00AB00DE">
        <w:rPr>
          <w:rFonts w:hint="eastAsia"/>
          <w:szCs w:val="21"/>
        </w:rPr>
        <w:tab/>
        <w:t>306</w:t>
      </w:r>
    </w:p>
    <w:p w:rsidR="006B69FA" w:rsidRPr="00E53510" w:rsidRDefault="006B69FA" w:rsidP="000B7556">
      <w:pPr>
        <w:tabs>
          <w:tab w:val="clear" w:pos="431"/>
          <w:tab w:val="right" w:pos="850"/>
          <w:tab w:val="left" w:pos="1134"/>
          <w:tab w:val="left" w:pos="1559"/>
          <w:tab w:val="left" w:pos="1984"/>
          <w:tab w:val="left" w:pos="2410"/>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t>(d)</w:t>
      </w:r>
      <w:r w:rsidRPr="00E53510">
        <w:rPr>
          <w:rFonts w:hint="eastAsia"/>
          <w:szCs w:val="21"/>
        </w:rPr>
        <w:tab/>
      </w:r>
      <w:r w:rsidRPr="00E53510">
        <w:rPr>
          <w:rFonts w:hint="eastAsia"/>
          <w:szCs w:val="21"/>
        </w:rPr>
        <w:t>原则草案</w:t>
      </w:r>
      <w:r w:rsidRPr="00E53510">
        <w:rPr>
          <w:rFonts w:hint="eastAsia"/>
          <w:szCs w:val="21"/>
        </w:rPr>
        <w:t>1-4</w:t>
      </w:r>
      <w:r w:rsidRPr="00E53510">
        <w:rPr>
          <w:rFonts w:hint="eastAsia"/>
          <w:spacing w:val="-50"/>
          <w:szCs w:val="21"/>
        </w:rPr>
        <w:t>―</w:t>
      </w:r>
      <w:r w:rsidRPr="00E53510">
        <w:rPr>
          <w:rFonts w:hint="eastAsia"/>
          <w:szCs w:val="21"/>
        </w:rPr>
        <w:t>―和平行动</w:t>
      </w:r>
      <w:r w:rsidR="00AB00DE">
        <w:rPr>
          <w:rFonts w:hint="eastAsia"/>
          <w:szCs w:val="21"/>
        </w:rPr>
        <w:tab/>
      </w:r>
      <w:r w:rsidR="00AB00DE">
        <w:rPr>
          <w:rFonts w:hint="eastAsia"/>
          <w:szCs w:val="21"/>
        </w:rPr>
        <w:tab/>
        <w:t>306</w:t>
      </w:r>
    </w:p>
    <w:p w:rsidR="006B69FA" w:rsidRPr="00E53510" w:rsidRDefault="006B69FA" w:rsidP="000B7556">
      <w:pPr>
        <w:tabs>
          <w:tab w:val="clear" w:pos="431"/>
          <w:tab w:val="right" w:pos="850"/>
          <w:tab w:val="left" w:pos="1134"/>
          <w:tab w:val="left" w:pos="1559"/>
          <w:tab w:val="left" w:pos="1984"/>
          <w:tab w:val="left" w:pos="2410"/>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t>(e)</w:t>
      </w:r>
      <w:r w:rsidRPr="00E53510">
        <w:rPr>
          <w:rFonts w:hint="eastAsia"/>
          <w:szCs w:val="21"/>
        </w:rPr>
        <w:tab/>
      </w:r>
      <w:r w:rsidRPr="00E53510">
        <w:rPr>
          <w:rFonts w:hint="eastAsia"/>
          <w:szCs w:val="21"/>
        </w:rPr>
        <w:t>原则草案</w:t>
      </w:r>
      <w:r w:rsidRPr="00E53510">
        <w:rPr>
          <w:rFonts w:hint="eastAsia"/>
          <w:szCs w:val="21"/>
        </w:rPr>
        <w:t>3-1</w:t>
      </w:r>
      <w:r w:rsidRPr="00E53510">
        <w:rPr>
          <w:rFonts w:hint="eastAsia"/>
          <w:spacing w:val="-50"/>
          <w:szCs w:val="21"/>
        </w:rPr>
        <w:t>―</w:t>
      </w:r>
      <w:r w:rsidRPr="00E53510">
        <w:rPr>
          <w:rFonts w:hint="eastAsia"/>
          <w:szCs w:val="21"/>
        </w:rPr>
        <w:t>―和平协定</w:t>
      </w:r>
      <w:r w:rsidR="00AB00DE">
        <w:rPr>
          <w:rFonts w:hint="eastAsia"/>
          <w:szCs w:val="21"/>
        </w:rPr>
        <w:tab/>
      </w:r>
      <w:r w:rsidR="00AB00DE">
        <w:rPr>
          <w:rFonts w:hint="eastAsia"/>
          <w:szCs w:val="21"/>
        </w:rPr>
        <w:tab/>
        <w:t>307</w:t>
      </w:r>
    </w:p>
    <w:p w:rsidR="006B69FA" w:rsidRPr="00E53510" w:rsidRDefault="006B69FA" w:rsidP="000B7556">
      <w:pPr>
        <w:tabs>
          <w:tab w:val="clear" w:pos="431"/>
          <w:tab w:val="right" w:pos="850"/>
          <w:tab w:val="left" w:pos="1134"/>
          <w:tab w:val="left" w:pos="1559"/>
          <w:tab w:val="left" w:pos="1984"/>
          <w:tab w:val="left" w:pos="2410"/>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t>(f)</w:t>
      </w:r>
      <w:r w:rsidRPr="00E53510">
        <w:rPr>
          <w:rFonts w:hint="eastAsia"/>
          <w:szCs w:val="21"/>
        </w:rPr>
        <w:tab/>
      </w:r>
      <w:r w:rsidRPr="00E53510">
        <w:rPr>
          <w:rFonts w:hint="eastAsia"/>
          <w:szCs w:val="21"/>
        </w:rPr>
        <w:t>原则草案</w:t>
      </w:r>
      <w:r w:rsidRPr="00E53510">
        <w:rPr>
          <w:rFonts w:hint="eastAsia"/>
          <w:szCs w:val="21"/>
        </w:rPr>
        <w:t>3-2</w:t>
      </w:r>
      <w:r w:rsidRPr="00E53510">
        <w:rPr>
          <w:rFonts w:hint="eastAsia"/>
          <w:spacing w:val="-50"/>
          <w:szCs w:val="21"/>
        </w:rPr>
        <w:t>―</w:t>
      </w:r>
      <w:r w:rsidRPr="00E53510">
        <w:rPr>
          <w:rFonts w:hint="eastAsia"/>
          <w:szCs w:val="21"/>
        </w:rPr>
        <w:t>―冲突后环境评估和审查</w:t>
      </w:r>
      <w:r w:rsidR="00AB00DE">
        <w:rPr>
          <w:rFonts w:hint="eastAsia"/>
          <w:szCs w:val="21"/>
        </w:rPr>
        <w:tab/>
      </w:r>
      <w:r w:rsidR="00AB00DE">
        <w:rPr>
          <w:rFonts w:hint="eastAsia"/>
          <w:szCs w:val="21"/>
        </w:rPr>
        <w:tab/>
        <w:t>307</w:t>
      </w:r>
    </w:p>
    <w:p w:rsidR="006B69FA" w:rsidRPr="00E53510" w:rsidRDefault="006B69FA" w:rsidP="000B7556">
      <w:pPr>
        <w:tabs>
          <w:tab w:val="clear" w:pos="431"/>
          <w:tab w:val="right" w:pos="850"/>
          <w:tab w:val="left" w:pos="1134"/>
          <w:tab w:val="left" w:pos="1559"/>
          <w:tab w:val="left" w:pos="1984"/>
          <w:tab w:val="left" w:pos="2410"/>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t>(g)</w:t>
      </w:r>
      <w:r w:rsidRPr="00E53510">
        <w:rPr>
          <w:rFonts w:hint="eastAsia"/>
          <w:szCs w:val="21"/>
        </w:rPr>
        <w:tab/>
      </w:r>
      <w:r w:rsidRPr="00E53510">
        <w:rPr>
          <w:rFonts w:hint="eastAsia"/>
          <w:szCs w:val="21"/>
        </w:rPr>
        <w:t>原则草案</w:t>
      </w:r>
      <w:r w:rsidRPr="00E53510">
        <w:rPr>
          <w:rFonts w:hint="eastAsia"/>
          <w:szCs w:val="21"/>
        </w:rPr>
        <w:t>3-3</w:t>
      </w:r>
      <w:r w:rsidRPr="00E53510">
        <w:rPr>
          <w:rFonts w:hint="eastAsia"/>
          <w:spacing w:val="-50"/>
          <w:szCs w:val="21"/>
        </w:rPr>
        <w:t>―</w:t>
      </w:r>
      <w:r w:rsidRPr="00E53510">
        <w:rPr>
          <w:rFonts w:hint="eastAsia"/>
          <w:szCs w:val="21"/>
        </w:rPr>
        <w:t>―战争遗留物和原则草案</w:t>
      </w:r>
      <w:r w:rsidRPr="00E53510">
        <w:rPr>
          <w:rFonts w:hint="eastAsia"/>
          <w:szCs w:val="21"/>
        </w:rPr>
        <w:t>3-4</w:t>
      </w:r>
      <w:r w:rsidR="00E83B81" w:rsidRPr="00E53510">
        <w:rPr>
          <w:rFonts w:hint="eastAsia"/>
          <w:spacing w:val="-50"/>
          <w:szCs w:val="21"/>
        </w:rPr>
        <w:t>―</w:t>
      </w:r>
      <w:r w:rsidR="00E83B81" w:rsidRPr="00E53510">
        <w:rPr>
          <w:rFonts w:hint="eastAsia"/>
          <w:szCs w:val="21"/>
        </w:rPr>
        <w:t>―</w:t>
      </w:r>
      <w:r w:rsidRPr="00E53510">
        <w:rPr>
          <w:rFonts w:hint="eastAsia"/>
          <w:szCs w:val="21"/>
        </w:rPr>
        <w:t>海上战争遗留物</w:t>
      </w:r>
      <w:r w:rsidR="00AB00DE">
        <w:rPr>
          <w:rFonts w:hint="eastAsia"/>
          <w:szCs w:val="21"/>
        </w:rPr>
        <w:tab/>
      </w:r>
      <w:r w:rsidR="00AB00DE">
        <w:rPr>
          <w:rFonts w:hint="eastAsia"/>
          <w:szCs w:val="21"/>
        </w:rPr>
        <w:tab/>
        <w:t>308</w:t>
      </w:r>
    </w:p>
    <w:p w:rsidR="006B69FA" w:rsidRPr="00E53510" w:rsidRDefault="006B69FA" w:rsidP="000B7556">
      <w:pPr>
        <w:tabs>
          <w:tab w:val="clear" w:pos="431"/>
          <w:tab w:val="right" w:pos="850"/>
          <w:tab w:val="left" w:pos="1134"/>
          <w:tab w:val="left" w:pos="1559"/>
          <w:tab w:val="left" w:pos="1984"/>
          <w:tab w:val="left" w:pos="2410"/>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t>(h)</w:t>
      </w:r>
      <w:r w:rsidRPr="00E53510">
        <w:rPr>
          <w:rFonts w:hint="eastAsia"/>
          <w:szCs w:val="21"/>
        </w:rPr>
        <w:tab/>
      </w:r>
      <w:r w:rsidRPr="00E53510">
        <w:rPr>
          <w:rFonts w:hint="eastAsia"/>
          <w:szCs w:val="21"/>
        </w:rPr>
        <w:t>原则草案</w:t>
      </w:r>
      <w:r w:rsidRPr="00E53510">
        <w:rPr>
          <w:rFonts w:hint="eastAsia"/>
          <w:szCs w:val="21"/>
        </w:rPr>
        <w:t>3-5</w:t>
      </w:r>
      <w:r w:rsidRPr="00E53510">
        <w:rPr>
          <w:rFonts w:hint="eastAsia"/>
          <w:spacing w:val="-50"/>
          <w:szCs w:val="21"/>
        </w:rPr>
        <w:t>―</w:t>
      </w:r>
      <w:r w:rsidRPr="00E53510">
        <w:rPr>
          <w:rFonts w:hint="eastAsia"/>
          <w:szCs w:val="21"/>
        </w:rPr>
        <w:t>―获取和分享信息</w:t>
      </w:r>
      <w:r w:rsidRPr="00E53510">
        <w:rPr>
          <w:rFonts w:hint="eastAsia"/>
          <w:szCs w:val="21"/>
        </w:rPr>
        <w:tab/>
      </w:r>
      <w:r w:rsidRPr="00E53510">
        <w:rPr>
          <w:rFonts w:hint="eastAsia"/>
          <w:szCs w:val="21"/>
        </w:rPr>
        <w:tab/>
      </w:r>
      <w:r w:rsidR="00AB00DE">
        <w:rPr>
          <w:rFonts w:hint="eastAsia"/>
          <w:szCs w:val="21"/>
        </w:rPr>
        <w:t>308</w:t>
      </w:r>
    </w:p>
    <w:p w:rsidR="006B69FA" w:rsidRPr="00E53510" w:rsidRDefault="006B69FA" w:rsidP="000B7556">
      <w:pPr>
        <w:tabs>
          <w:tab w:val="clear" w:pos="431"/>
          <w:tab w:val="right" w:pos="850"/>
          <w:tab w:val="left" w:pos="1134"/>
          <w:tab w:val="left" w:pos="1559"/>
          <w:tab w:val="left" w:pos="1984"/>
          <w:tab w:val="left" w:pos="2410"/>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t>(i)</w:t>
      </w:r>
      <w:r w:rsidRPr="00E53510">
        <w:rPr>
          <w:rFonts w:hint="eastAsia"/>
          <w:szCs w:val="21"/>
        </w:rPr>
        <w:tab/>
      </w:r>
      <w:r w:rsidRPr="00E53510">
        <w:rPr>
          <w:rFonts w:hint="eastAsia"/>
          <w:szCs w:val="21"/>
        </w:rPr>
        <w:t>原则草案</w:t>
      </w:r>
      <w:r w:rsidRPr="00E53510">
        <w:rPr>
          <w:rFonts w:hint="eastAsia"/>
          <w:szCs w:val="21"/>
        </w:rPr>
        <w:t>4-1</w:t>
      </w:r>
      <w:r w:rsidRPr="00E53510">
        <w:rPr>
          <w:rFonts w:hint="eastAsia"/>
          <w:spacing w:val="-50"/>
          <w:szCs w:val="21"/>
        </w:rPr>
        <w:t>―</w:t>
      </w:r>
      <w:r w:rsidRPr="00E53510">
        <w:rPr>
          <w:rFonts w:hint="eastAsia"/>
          <w:szCs w:val="21"/>
        </w:rPr>
        <w:t>―土著人民权利</w:t>
      </w:r>
      <w:r w:rsidR="00AB00DE">
        <w:rPr>
          <w:rFonts w:hint="eastAsia"/>
          <w:szCs w:val="21"/>
        </w:rPr>
        <w:tab/>
      </w:r>
      <w:r w:rsidR="00AB00DE">
        <w:rPr>
          <w:rFonts w:hint="eastAsia"/>
          <w:szCs w:val="21"/>
        </w:rPr>
        <w:tab/>
        <w:t>308</w:t>
      </w:r>
    </w:p>
    <w:p w:rsidR="006B69FA" w:rsidRPr="00E53510" w:rsidRDefault="006B69FA" w:rsidP="000B7556">
      <w:pPr>
        <w:tabs>
          <w:tab w:val="clear" w:pos="431"/>
          <w:tab w:val="right" w:pos="850"/>
          <w:tab w:val="left" w:pos="1134"/>
          <w:tab w:val="left" w:pos="1559"/>
          <w:tab w:val="left" w:pos="1984"/>
          <w:tab w:val="left" w:pos="2410"/>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t>(j)</w:t>
      </w:r>
      <w:r w:rsidRPr="00E53510">
        <w:rPr>
          <w:rFonts w:hint="eastAsia"/>
          <w:szCs w:val="21"/>
        </w:rPr>
        <w:tab/>
      </w:r>
      <w:r w:rsidRPr="00E53510">
        <w:rPr>
          <w:rFonts w:hint="eastAsia"/>
          <w:szCs w:val="21"/>
        </w:rPr>
        <w:t>今后的工作方案</w:t>
      </w:r>
      <w:r w:rsidR="00AB00DE">
        <w:rPr>
          <w:rFonts w:hint="eastAsia"/>
          <w:szCs w:val="21"/>
        </w:rPr>
        <w:tab/>
      </w:r>
      <w:r w:rsidR="00AB00DE">
        <w:rPr>
          <w:rFonts w:hint="eastAsia"/>
          <w:szCs w:val="21"/>
        </w:rPr>
        <w:tab/>
        <w:t>309</w:t>
      </w:r>
    </w:p>
    <w:p w:rsidR="00AB00DE" w:rsidRPr="00E53510" w:rsidRDefault="00AB00DE" w:rsidP="000B7556">
      <w:pPr>
        <w:tabs>
          <w:tab w:val="clear" w:pos="431"/>
          <w:tab w:val="right" w:pos="851"/>
          <w:tab w:val="left" w:pos="1134"/>
          <w:tab w:val="left" w:pos="1559"/>
          <w:tab w:val="left" w:pos="1984"/>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Pr>
          <w:rFonts w:hint="eastAsia"/>
          <w:szCs w:val="21"/>
        </w:rPr>
        <w:t>3</w:t>
      </w:r>
      <w:r w:rsidRPr="00E53510">
        <w:rPr>
          <w:szCs w:val="21"/>
        </w:rPr>
        <w:t>.</w:t>
      </w:r>
      <w:r w:rsidRPr="00E53510">
        <w:rPr>
          <w:rFonts w:hint="eastAsia"/>
          <w:szCs w:val="21"/>
        </w:rPr>
        <w:tab/>
      </w:r>
      <w:r w:rsidRPr="00AB00DE">
        <w:rPr>
          <w:rFonts w:hint="eastAsia"/>
          <w:szCs w:val="21"/>
        </w:rPr>
        <w:t>特别报告员的总结</w:t>
      </w:r>
      <w:r w:rsidRPr="00E53510">
        <w:rPr>
          <w:rFonts w:hint="eastAsia"/>
          <w:szCs w:val="21"/>
        </w:rPr>
        <w:tab/>
      </w:r>
      <w:r w:rsidRPr="00E53510">
        <w:rPr>
          <w:rFonts w:hint="eastAsia"/>
          <w:szCs w:val="21"/>
        </w:rPr>
        <w:tab/>
      </w:r>
      <w:r>
        <w:rPr>
          <w:rFonts w:hint="eastAsia"/>
          <w:szCs w:val="21"/>
        </w:rPr>
        <w:t>310</w:t>
      </w:r>
    </w:p>
    <w:p w:rsidR="006B69FA" w:rsidRPr="00E53510" w:rsidRDefault="006B69FA" w:rsidP="000B7556">
      <w:pPr>
        <w:pStyle w:val="a8"/>
        <w:tabs>
          <w:tab w:val="clear" w:pos="1996"/>
        </w:tabs>
        <w:spacing w:after="60"/>
        <w:ind w:left="1565" w:hanging="1565"/>
        <w:rPr>
          <w:szCs w:val="21"/>
        </w:rPr>
      </w:pPr>
      <w:r w:rsidRPr="00E53510">
        <w:rPr>
          <w:rFonts w:hint="eastAsia"/>
          <w:szCs w:val="21"/>
        </w:rPr>
        <w:tab/>
      </w:r>
      <w:r w:rsidRPr="00E53510">
        <w:rPr>
          <w:rFonts w:hint="eastAsia"/>
          <w:szCs w:val="21"/>
        </w:rPr>
        <w:tab/>
        <w:t>C.</w:t>
      </w:r>
      <w:r w:rsidRPr="00E53510">
        <w:rPr>
          <w:rFonts w:hint="eastAsia"/>
          <w:szCs w:val="21"/>
        </w:rPr>
        <w:tab/>
      </w:r>
      <w:r w:rsidRPr="00E53510">
        <w:rPr>
          <w:rFonts w:hint="eastAsia"/>
          <w:szCs w:val="21"/>
        </w:rPr>
        <w:t>委员会迄今为止暂时通过的与武装冲突有关的环境保护原则草案案文</w:t>
      </w:r>
      <w:r w:rsidR="00AB00DE">
        <w:rPr>
          <w:rFonts w:hint="eastAsia"/>
          <w:szCs w:val="21"/>
        </w:rPr>
        <w:tab/>
      </w:r>
      <w:r w:rsidR="00AB00DE">
        <w:rPr>
          <w:rFonts w:hint="eastAsia"/>
          <w:szCs w:val="21"/>
        </w:rPr>
        <w:tab/>
        <w:t>312</w:t>
      </w:r>
    </w:p>
    <w:p w:rsidR="006B69FA" w:rsidRPr="00E53510" w:rsidRDefault="006B69FA" w:rsidP="000B7556">
      <w:pPr>
        <w:tabs>
          <w:tab w:val="clear" w:pos="431"/>
          <w:tab w:val="right" w:pos="850"/>
          <w:tab w:val="left" w:pos="1134"/>
          <w:tab w:val="left" w:pos="1559"/>
          <w:tab w:val="left" w:pos="1984"/>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t>1.</w:t>
      </w:r>
      <w:r w:rsidRPr="00E53510">
        <w:rPr>
          <w:rFonts w:hint="eastAsia"/>
          <w:szCs w:val="21"/>
        </w:rPr>
        <w:tab/>
      </w:r>
      <w:r w:rsidRPr="00E53510">
        <w:rPr>
          <w:rFonts w:hint="eastAsia"/>
          <w:szCs w:val="21"/>
        </w:rPr>
        <w:t>原则草案案文</w:t>
      </w:r>
      <w:r w:rsidR="00AB00DE">
        <w:rPr>
          <w:rFonts w:hint="eastAsia"/>
          <w:szCs w:val="21"/>
        </w:rPr>
        <w:tab/>
      </w:r>
      <w:r w:rsidR="00AB00DE">
        <w:rPr>
          <w:rFonts w:hint="eastAsia"/>
          <w:szCs w:val="21"/>
        </w:rPr>
        <w:tab/>
        <w:t>312</w:t>
      </w:r>
    </w:p>
    <w:p w:rsidR="006B69FA" w:rsidRPr="00E53510" w:rsidRDefault="006B69FA" w:rsidP="000B7556">
      <w:pPr>
        <w:tabs>
          <w:tab w:val="clear" w:pos="431"/>
          <w:tab w:val="right" w:pos="850"/>
          <w:tab w:val="left" w:pos="1134"/>
          <w:tab w:val="left" w:pos="1559"/>
          <w:tab w:val="left" w:pos="1984"/>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t>2.</w:t>
      </w:r>
      <w:r w:rsidRPr="00E53510">
        <w:rPr>
          <w:rFonts w:hint="eastAsia"/>
          <w:szCs w:val="21"/>
        </w:rPr>
        <w:tab/>
      </w:r>
      <w:r w:rsidRPr="00E53510">
        <w:rPr>
          <w:rFonts w:hint="eastAsia"/>
          <w:szCs w:val="21"/>
        </w:rPr>
        <w:t>委员会第六十八届会议暂时通过的原则草案案文及相关评注</w:t>
      </w:r>
      <w:r w:rsidR="00AB00DE">
        <w:rPr>
          <w:rFonts w:hint="eastAsia"/>
          <w:szCs w:val="21"/>
        </w:rPr>
        <w:tab/>
      </w:r>
      <w:r w:rsidR="00AB00DE">
        <w:rPr>
          <w:rFonts w:hint="eastAsia"/>
          <w:szCs w:val="21"/>
        </w:rPr>
        <w:tab/>
        <w:t>313</w:t>
      </w:r>
    </w:p>
    <w:p w:rsidR="006B69FA" w:rsidRPr="00E53510" w:rsidRDefault="006B69FA" w:rsidP="000B7556">
      <w:pPr>
        <w:pStyle w:val="a8"/>
        <w:spacing w:after="60"/>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导言</w:t>
      </w:r>
      <w:r w:rsidR="00AB00DE">
        <w:rPr>
          <w:rFonts w:hint="eastAsia"/>
          <w:szCs w:val="21"/>
        </w:rPr>
        <w:tab/>
      </w:r>
      <w:r w:rsidR="00AB00DE">
        <w:rPr>
          <w:rFonts w:hint="eastAsia"/>
          <w:szCs w:val="21"/>
        </w:rPr>
        <w:tab/>
        <w:t>313</w:t>
      </w:r>
    </w:p>
    <w:p w:rsidR="006B69FA" w:rsidRPr="00E53510" w:rsidRDefault="006B69FA" w:rsidP="000B7556">
      <w:pPr>
        <w:pStyle w:val="a8"/>
        <w:tabs>
          <w:tab w:val="left" w:pos="2268"/>
          <w:tab w:val="left" w:pos="3962"/>
        </w:tabs>
        <w:spacing w:after="60"/>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原则草案</w:t>
      </w:r>
      <w:r w:rsidRPr="00E53510">
        <w:rPr>
          <w:rFonts w:hint="eastAsia"/>
          <w:szCs w:val="21"/>
        </w:rPr>
        <w:t>1</w:t>
      </w:r>
      <w:r w:rsidRPr="00E53510">
        <w:rPr>
          <w:rFonts w:hint="eastAsia"/>
          <w:szCs w:val="21"/>
        </w:rPr>
        <w:tab/>
      </w:r>
      <w:r w:rsidRPr="00E53510">
        <w:rPr>
          <w:rFonts w:hint="eastAsia"/>
          <w:szCs w:val="21"/>
        </w:rPr>
        <w:t>范围</w:t>
      </w:r>
      <w:r w:rsidRPr="00E53510">
        <w:rPr>
          <w:rFonts w:hint="eastAsia"/>
          <w:szCs w:val="21"/>
        </w:rPr>
        <w:tab/>
      </w:r>
      <w:r w:rsidRPr="00E53510">
        <w:rPr>
          <w:rFonts w:hint="eastAsia"/>
          <w:szCs w:val="21"/>
        </w:rPr>
        <w:tab/>
      </w:r>
      <w:r w:rsidR="00AB00DE">
        <w:rPr>
          <w:rFonts w:hint="eastAsia"/>
          <w:szCs w:val="21"/>
        </w:rPr>
        <w:t>314</w:t>
      </w:r>
    </w:p>
    <w:p w:rsidR="006B69FA" w:rsidRPr="00E53510" w:rsidRDefault="006B69FA" w:rsidP="000B7556">
      <w:pPr>
        <w:pStyle w:val="a8"/>
        <w:tabs>
          <w:tab w:val="left" w:pos="2268"/>
          <w:tab w:val="left" w:pos="3962"/>
        </w:tabs>
        <w:spacing w:after="60"/>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AB00DE">
        <w:rPr>
          <w:rFonts w:hint="eastAsia"/>
          <w:szCs w:val="21"/>
        </w:rPr>
        <w:tab/>
      </w:r>
      <w:r w:rsidR="00AB00DE">
        <w:rPr>
          <w:rFonts w:hint="eastAsia"/>
          <w:szCs w:val="21"/>
        </w:rPr>
        <w:tab/>
        <w:t>314</w:t>
      </w:r>
    </w:p>
    <w:p w:rsidR="006B69FA" w:rsidRPr="00E53510" w:rsidRDefault="006B69FA" w:rsidP="000B7556">
      <w:pPr>
        <w:pStyle w:val="a8"/>
        <w:tabs>
          <w:tab w:val="left" w:pos="2268"/>
          <w:tab w:val="left" w:pos="3962"/>
        </w:tabs>
        <w:spacing w:after="60"/>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原则草案</w:t>
      </w:r>
      <w:r w:rsidRPr="00E53510">
        <w:rPr>
          <w:rFonts w:hint="eastAsia"/>
          <w:szCs w:val="21"/>
        </w:rPr>
        <w:t>2</w:t>
      </w:r>
      <w:r w:rsidRPr="00E53510">
        <w:rPr>
          <w:rFonts w:hint="eastAsia"/>
          <w:szCs w:val="21"/>
        </w:rPr>
        <w:tab/>
      </w:r>
      <w:r w:rsidRPr="00E53510">
        <w:rPr>
          <w:rFonts w:hint="eastAsia"/>
          <w:szCs w:val="21"/>
        </w:rPr>
        <w:t>宗旨</w:t>
      </w:r>
      <w:r w:rsidR="00AB00DE">
        <w:rPr>
          <w:rFonts w:hint="eastAsia"/>
          <w:szCs w:val="21"/>
        </w:rPr>
        <w:tab/>
      </w:r>
      <w:r w:rsidR="00AB00DE">
        <w:rPr>
          <w:rFonts w:hint="eastAsia"/>
          <w:szCs w:val="21"/>
        </w:rPr>
        <w:tab/>
        <w:t>315</w:t>
      </w:r>
    </w:p>
    <w:p w:rsidR="00AB00DE" w:rsidRDefault="00AB00DE" w:rsidP="000B7556">
      <w:pPr>
        <w:pStyle w:val="a8"/>
        <w:tabs>
          <w:tab w:val="left" w:pos="2268"/>
          <w:tab w:val="left" w:pos="3962"/>
        </w:tabs>
        <w:spacing w:after="60"/>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Pr>
          <w:rFonts w:hint="eastAsia"/>
          <w:szCs w:val="21"/>
        </w:rPr>
        <w:tab/>
      </w:r>
      <w:r>
        <w:rPr>
          <w:rFonts w:hint="eastAsia"/>
          <w:szCs w:val="21"/>
        </w:rPr>
        <w:tab/>
        <w:t>315</w:t>
      </w:r>
    </w:p>
    <w:p w:rsidR="00AB00DE" w:rsidRPr="00E53510" w:rsidRDefault="00AB00DE" w:rsidP="000B7556">
      <w:pPr>
        <w:tabs>
          <w:tab w:val="clear" w:pos="431"/>
          <w:tab w:val="right" w:pos="850"/>
          <w:tab w:val="left" w:pos="1134"/>
          <w:tab w:val="left" w:pos="1559"/>
          <w:tab w:val="left" w:pos="1984"/>
          <w:tab w:val="left" w:pos="3119"/>
          <w:tab w:val="left" w:leader="dot" w:pos="8787"/>
          <w:tab w:val="right" w:pos="9554"/>
          <w:tab w:val="right" w:pos="9638"/>
        </w:tabs>
        <w:suppressAutoHyphens/>
        <w:overflowPunct/>
        <w:adjustRightInd/>
        <w:snapToGrid/>
        <w:spacing w:after="60"/>
        <w:ind w:left="1985" w:hanging="1985"/>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第</w:t>
      </w:r>
      <w:r>
        <w:rPr>
          <w:rFonts w:hint="eastAsia"/>
          <w:szCs w:val="21"/>
        </w:rPr>
        <w:t>一</w:t>
      </w:r>
      <w:r w:rsidRPr="00E53510">
        <w:rPr>
          <w:rFonts w:hint="eastAsia"/>
          <w:szCs w:val="21"/>
        </w:rPr>
        <w:t>部分</w:t>
      </w:r>
      <w:r w:rsidRPr="00E53510">
        <w:rPr>
          <w:szCs w:val="21"/>
        </w:rPr>
        <w:br/>
      </w:r>
      <w:r w:rsidRPr="00AB00DE">
        <w:rPr>
          <w:rFonts w:hint="eastAsia"/>
          <w:szCs w:val="21"/>
        </w:rPr>
        <w:t>一般原则</w:t>
      </w:r>
    </w:p>
    <w:p w:rsidR="00AB00DE" w:rsidRDefault="00AB00DE" w:rsidP="000B7556">
      <w:pPr>
        <w:pStyle w:val="a8"/>
        <w:tabs>
          <w:tab w:val="left" w:pos="2268"/>
          <w:tab w:val="left" w:pos="3962"/>
        </w:tabs>
        <w:spacing w:after="60"/>
        <w:rPr>
          <w:szCs w:val="21"/>
        </w:rPr>
      </w:pP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sidRPr="00AB00DE">
        <w:rPr>
          <w:rFonts w:hint="eastAsia"/>
          <w:szCs w:val="21"/>
        </w:rPr>
        <w:t>原则草案</w:t>
      </w:r>
      <w:r w:rsidRPr="00AB00DE">
        <w:rPr>
          <w:rFonts w:hint="eastAsia"/>
          <w:szCs w:val="21"/>
        </w:rPr>
        <w:t>5[1-(x)]</w:t>
      </w:r>
      <w:r>
        <w:rPr>
          <w:rFonts w:hint="eastAsia"/>
          <w:szCs w:val="21"/>
        </w:rPr>
        <w:tab/>
      </w:r>
      <w:r w:rsidRPr="00AB00DE">
        <w:rPr>
          <w:rFonts w:hint="eastAsia"/>
          <w:szCs w:val="21"/>
        </w:rPr>
        <w:t>指定受保护区</w:t>
      </w:r>
      <w:r>
        <w:rPr>
          <w:rFonts w:hint="eastAsia"/>
          <w:szCs w:val="21"/>
        </w:rPr>
        <w:tab/>
      </w:r>
      <w:r>
        <w:rPr>
          <w:rFonts w:hint="eastAsia"/>
          <w:szCs w:val="21"/>
        </w:rPr>
        <w:tab/>
        <w:t>316</w:t>
      </w:r>
    </w:p>
    <w:p w:rsidR="00AB00DE" w:rsidRPr="00E53510" w:rsidRDefault="00AB00DE" w:rsidP="000B7556">
      <w:pPr>
        <w:pStyle w:val="a8"/>
        <w:tabs>
          <w:tab w:val="left" w:pos="2268"/>
          <w:tab w:val="left" w:pos="3962"/>
        </w:tabs>
        <w:spacing w:after="60"/>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Pr>
          <w:rFonts w:hint="eastAsia"/>
          <w:szCs w:val="21"/>
        </w:rPr>
        <w:tab/>
      </w:r>
      <w:r>
        <w:rPr>
          <w:rFonts w:hint="eastAsia"/>
          <w:szCs w:val="21"/>
        </w:rPr>
        <w:tab/>
        <w:t>316</w:t>
      </w:r>
    </w:p>
    <w:p w:rsidR="00AB00DE" w:rsidRPr="00E53510" w:rsidRDefault="00AB00DE" w:rsidP="000B7556">
      <w:pPr>
        <w:tabs>
          <w:tab w:val="clear" w:pos="431"/>
          <w:tab w:val="right" w:pos="850"/>
          <w:tab w:val="left" w:pos="1134"/>
          <w:tab w:val="left" w:pos="1559"/>
          <w:tab w:val="left" w:pos="1984"/>
          <w:tab w:val="left" w:pos="3119"/>
          <w:tab w:val="left" w:leader="dot" w:pos="8787"/>
          <w:tab w:val="right" w:pos="9554"/>
          <w:tab w:val="right" w:pos="9638"/>
        </w:tabs>
        <w:suppressAutoHyphens/>
        <w:overflowPunct/>
        <w:adjustRightInd/>
        <w:snapToGrid/>
        <w:spacing w:after="60"/>
        <w:ind w:left="1985" w:hanging="1985"/>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第</w:t>
      </w:r>
      <w:r>
        <w:rPr>
          <w:rFonts w:hint="eastAsia"/>
          <w:szCs w:val="21"/>
        </w:rPr>
        <w:t>二</w:t>
      </w:r>
      <w:r w:rsidRPr="00E53510">
        <w:rPr>
          <w:rFonts w:hint="eastAsia"/>
          <w:szCs w:val="21"/>
        </w:rPr>
        <w:t>部分</w:t>
      </w:r>
      <w:r w:rsidRPr="00E53510">
        <w:rPr>
          <w:szCs w:val="21"/>
        </w:rPr>
        <w:br/>
      </w:r>
      <w:r w:rsidRPr="00AB00DE">
        <w:rPr>
          <w:rFonts w:hint="eastAsia"/>
          <w:szCs w:val="21"/>
        </w:rPr>
        <w:t>适用于武装冲突期间的原则</w:t>
      </w:r>
    </w:p>
    <w:p w:rsidR="00AB00DE" w:rsidRPr="00E53510" w:rsidRDefault="00AB00DE" w:rsidP="000B7556">
      <w:pPr>
        <w:pStyle w:val="a8"/>
        <w:tabs>
          <w:tab w:val="left" w:pos="2268"/>
          <w:tab w:val="left" w:pos="3962"/>
        </w:tabs>
        <w:spacing w:after="60"/>
        <w:ind w:right="2125"/>
        <w:rPr>
          <w:szCs w:val="21"/>
        </w:rPr>
      </w:pP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sidRPr="00AB00DE">
        <w:rPr>
          <w:rFonts w:hint="eastAsia"/>
          <w:szCs w:val="21"/>
        </w:rPr>
        <w:t>原则草案</w:t>
      </w:r>
      <w:r w:rsidRPr="00AB00DE">
        <w:rPr>
          <w:rFonts w:hint="eastAsia"/>
          <w:szCs w:val="21"/>
        </w:rPr>
        <w:t>9[2-1]</w:t>
      </w:r>
      <w:r>
        <w:rPr>
          <w:rFonts w:hint="eastAsia"/>
          <w:szCs w:val="21"/>
        </w:rPr>
        <w:tab/>
      </w:r>
      <w:r w:rsidRPr="00AB00DE">
        <w:rPr>
          <w:rFonts w:hint="eastAsia"/>
          <w:szCs w:val="21"/>
        </w:rPr>
        <w:t>武装冲突期间对自然环境的总体保护</w:t>
      </w:r>
      <w:r>
        <w:rPr>
          <w:rFonts w:hint="eastAsia"/>
          <w:szCs w:val="21"/>
        </w:rPr>
        <w:tab/>
      </w:r>
      <w:r>
        <w:rPr>
          <w:rFonts w:hint="eastAsia"/>
          <w:szCs w:val="21"/>
        </w:rPr>
        <w:tab/>
        <w:t>320</w:t>
      </w:r>
    </w:p>
    <w:p w:rsidR="00AB00DE" w:rsidRPr="00E53510" w:rsidRDefault="00AB00DE" w:rsidP="000B7556">
      <w:pPr>
        <w:pStyle w:val="a8"/>
        <w:tabs>
          <w:tab w:val="left" w:pos="2268"/>
          <w:tab w:val="left" w:pos="3962"/>
        </w:tabs>
        <w:spacing w:after="60"/>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Pr>
          <w:rFonts w:hint="eastAsia"/>
          <w:szCs w:val="21"/>
        </w:rPr>
        <w:tab/>
      </w:r>
      <w:r>
        <w:rPr>
          <w:rFonts w:hint="eastAsia"/>
          <w:szCs w:val="21"/>
        </w:rPr>
        <w:tab/>
        <w:t>320</w:t>
      </w:r>
    </w:p>
    <w:p w:rsidR="000B7556" w:rsidRDefault="000B7556">
      <w:pPr>
        <w:tabs>
          <w:tab w:val="clear" w:pos="431"/>
        </w:tabs>
        <w:overflowPunct/>
        <w:adjustRightInd/>
        <w:snapToGrid/>
        <w:spacing w:line="240" w:lineRule="auto"/>
        <w:jc w:val="left"/>
        <w:rPr>
          <w:szCs w:val="21"/>
        </w:rPr>
      </w:pPr>
      <w:r>
        <w:rPr>
          <w:szCs w:val="21"/>
        </w:rPr>
        <w:br w:type="page"/>
      </w:r>
    </w:p>
    <w:p w:rsidR="006B69FA" w:rsidRPr="00E53510" w:rsidRDefault="006B69FA" w:rsidP="000B7556">
      <w:pPr>
        <w:pStyle w:val="a8"/>
        <w:tabs>
          <w:tab w:val="left" w:pos="2268"/>
          <w:tab w:val="left" w:pos="3962"/>
        </w:tabs>
        <w:spacing w:after="60"/>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原则草案</w:t>
      </w:r>
      <w:r w:rsidRPr="00E53510">
        <w:rPr>
          <w:rFonts w:hint="eastAsia"/>
          <w:szCs w:val="21"/>
        </w:rPr>
        <w:t>10[2-2]</w:t>
      </w:r>
      <w:r w:rsidRPr="00E53510">
        <w:rPr>
          <w:rFonts w:hint="eastAsia"/>
          <w:szCs w:val="21"/>
        </w:rPr>
        <w:tab/>
      </w:r>
      <w:r w:rsidRPr="00E53510">
        <w:rPr>
          <w:rFonts w:hint="eastAsia"/>
          <w:szCs w:val="21"/>
        </w:rPr>
        <w:t>对自然环境适用武装冲突法</w:t>
      </w:r>
      <w:r w:rsidR="00AB00DE">
        <w:rPr>
          <w:rFonts w:hint="eastAsia"/>
          <w:szCs w:val="21"/>
        </w:rPr>
        <w:tab/>
      </w:r>
      <w:r w:rsidR="00AB00DE">
        <w:rPr>
          <w:rFonts w:hint="eastAsia"/>
          <w:szCs w:val="21"/>
        </w:rPr>
        <w:tab/>
        <w:t>325</w:t>
      </w:r>
    </w:p>
    <w:p w:rsidR="006B69FA" w:rsidRPr="00E53510" w:rsidRDefault="006B69FA" w:rsidP="000B7556">
      <w:pPr>
        <w:pStyle w:val="a8"/>
        <w:tabs>
          <w:tab w:val="left" w:pos="2268"/>
          <w:tab w:val="left" w:pos="3962"/>
        </w:tabs>
        <w:spacing w:after="60"/>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AB00DE">
        <w:rPr>
          <w:rFonts w:hint="eastAsia"/>
          <w:szCs w:val="21"/>
        </w:rPr>
        <w:tab/>
      </w:r>
      <w:r w:rsidR="00AB00DE">
        <w:rPr>
          <w:rFonts w:hint="eastAsia"/>
          <w:szCs w:val="21"/>
        </w:rPr>
        <w:tab/>
        <w:t>325</w:t>
      </w:r>
    </w:p>
    <w:p w:rsidR="006B69FA" w:rsidRPr="00E53510" w:rsidRDefault="006B69FA" w:rsidP="000B7556">
      <w:pPr>
        <w:pStyle w:val="a8"/>
        <w:tabs>
          <w:tab w:val="left" w:pos="2268"/>
          <w:tab w:val="left" w:pos="3962"/>
        </w:tabs>
        <w:spacing w:after="60"/>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原则草案</w:t>
      </w:r>
      <w:r w:rsidRPr="00E53510">
        <w:rPr>
          <w:rFonts w:hint="eastAsia"/>
          <w:szCs w:val="21"/>
        </w:rPr>
        <w:t>11[2-3]</w:t>
      </w:r>
      <w:r w:rsidRPr="00E53510">
        <w:rPr>
          <w:rFonts w:hint="eastAsia"/>
          <w:szCs w:val="21"/>
        </w:rPr>
        <w:tab/>
      </w:r>
      <w:r w:rsidRPr="00E53510">
        <w:rPr>
          <w:rFonts w:hint="eastAsia"/>
          <w:szCs w:val="21"/>
        </w:rPr>
        <w:t>环境因素</w:t>
      </w:r>
      <w:r w:rsidR="00AB00DE">
        <w:rPr>
          <w:rFonts w:hint="eastAsia"/>
          <w:szCs w:val="21"/>
        </w:rPr>
        <w:tab/>
      </w:r>
      <w:r w:rsidR="00AB00DE">
        <w:rPr>
          <w:rFonts w:hint="eastAsia"/>
          <w:szCs w:val="21"/>
        </w:rPr>
        <w:tab/>
        <w:t>328</w:t>
      </w:r>
    </w:p>
    <w:p w:rsidR="006B69FA" w:rsidRPr="00E53510" w:rsidRDefault="006B69FA" w:rsidP="000B7556">
      <w:pPr>
        <w:pStyle w:val="a8"/>
        <w:tabs>
          <w:tab w:val="left" w:pos="2268"/>
          <w:tab w:val="left" w:pos="3962"/>
        </w:tabs>
        <w:spacing w:after="60"/>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AB00DE">
        <w:rPr>
          <w:rFonts w:hint="eastAsia"/>
          <w:szCs w:val="21"/>
        </w:rPr>
        <w:tab/>
      </w:r>
      <w:r w:rsidR="00AB00DE">
        <w:rPr>
          <w:rFonts w:hint="eastAsia"/>
          <w:szCs w:val="21"/>
        </w:rPr>
        <w:tab/>
        <w:t>328</w:t>
      </w:r>
    </w:p>
    <w:p w:rsidR="006B69FA" w:rsidRPr="00E53510" w:rsidRDefault="006B69FA" w:rsidP="000B7556">
      <w:pPr>
        <w:pStyle w:val="a8"/>
        <w:tabs>
          <w:tab w:val="left" w:pos="2268"/>
          <w:tab w:val="left" w:pos="3962"/>
        </w:tabs>
        <w:spacing w:after="60"/>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原则草案</w:t>
      </w:r>
      <w:r w:rsidRPr="00E53510">
        <w:rPr>
          <w:rFonts w:hint="eastAsia"/>
          <w:szCs w:val="21"/>
        </w:rPr>
        <w:t>12[2-4]</w:t>
      </w:r>
      <w:r w:rsidRPr="00E53510">
        <w:rPr>
          <w:rFonts w:hint="eastAsia"/>
          <w:szCs w:val="21"/>
        </w:rPr>
        <w:tab/>
      </w:r>
      <w:r w:rsidRPr="00E53510">
        <w:rPr>
          <w:rFonts w:hint="eastAsia"/>
          <w:szCs w:val="21"/>
        </w:rPr>
        <w:t>禁止报复</w:t>
      </w:r>
      <w:r w:rsidR="00AB00DE">
        <w:rPr>
          <w:rFonts w:hint="eastAsia"/>
          <w:szCs w:val="21"/>
        </w:rPr>
        <w:tab/>
      </w:r>
      <w:r w:rsidR="00AB00DE">
        <w:rPr>
          <w:rFonts w:hint="eastAsia"/>
          <w:szCs w:val="21"/>
        </w:rPr>
        <w:tab/>
        <w:t>329</w:t>
      </w:r>
    </w:p>
    <w:p w:rsidR="006B69FA" w:rsidRPr="00E53510" w:rsidRDefault="006B69FA" w:rsidP="000B7556">
      <w:pPr>
        <w:pStyle w:val="a8"/>
        <w:tabs>
          <w:tab w:val="left" w:pos="2268"/>
          <w:tab w:val="left" w:pos="3962"/>
        </w:tabs>
        <w:spacing w:after="60"/>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Pr="00E53510">
        <w:rPr>
          <w:rFonts w:hint="eastAsia"/>
          <w:szCs w:val="21"/>
        </w:rPr>
        <w:tab/>
      </w:r>
      <w:r w:rsidRPr="00E53510">
        <w:rPr>
          <w:rFonts w:hint="eastAsia"/>
          <w:szCs w:val="21"/>
        </w:rPr>
        <w:tab/>
      </w:r>
      <w:r w:rsidR="00AB00DE">
        <w:rPr>
          <w:rFonts w:hint="eastAsia"/>
          <w:szCs w:val="21"/>
        </w:rPr>
        <w:t>329</w:t>
      </w:r>
    </w:p>
    <w:p w:rsidR="006B69FA" w:rsidRPr="00E53510" w:rsidRDefault="006B69FA" w:rsidP="000B7556">
      <w:pPr>
        <w:pStyle w:val="a8"/>
        <w:tabs>
          <w:tab w:val="left" w:pos="2268"/>
          <w:tab w:val="left" w:pos="3962"/>
        </w:tabs>
        <w:spacing w:after="60"/>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原则草案</w:t>
      </w:r>
      <w:r w:rsidRPr="00E53510">
        <w:rPr>
          <w:rFonts w:hint="eastAsia"/>
          <w:szCs w:val="21"/>
        </w:rPr>
        <w:t>13[2-5]</w:t>
      </w:r>
      <w:r w:rsidRPr="00E53510">
        <w:rPr>
          <w:rFonts w:hint="eastAsia"/>
          <w:szCs w:val="21"/>
        </w:rPr>
        <w:tab/>
      </w:r>
      <w:r w:rsidRPr="00E53510">
        <w:rPr>
          <w:rFonts w:hint="eastAsia"/>
          <w:szCs w:val="21"/>
        </w:rPr>
        <w:t>受保护区</w:t>
      </w:r>
      <w:r w:rsidR="00AB00DE">
        <w:rPr>
          <w:rFonts w:hint="eastAsia"/>
          <w:szCs w:val="21"/>
        </w:rPr>
        <w:tab/>
      </w:r>
      <w:r w:rsidR="00AB00DE">
        <w:rPr>
          <w:rFonts w:hint="eastAsia"/>
          <w:szCs w:val="21"/>
        </w:rPr>
        <w:tab/>
        <w:t>332</w:t>
      </w:r>
    </w:p>
    <w:p w:rsidR="006B69FA" w:rsidRPr="00E53510" w:rsidRDefault="006B69FA" w:rsidP="000B7556">
      <w:pPr>
        <w:pStyle w:val="a8"/>
        <w:tabs>
          <w:tab w:val="left" w:pos="2268"/>
          <w:tab w:val="left" w:pos="3962"/>
        </w:tabs>
        <w:spacing w:after="60"/>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AB00DE">
        <w:rPr>
          <w:rFonts w:hint="eastAsia"/>
          <w:szCs w:val="21"/>
        </w:rPr>
        <w:tab/>
      </w:r>
      <w:r w:rsidR="00AB00DE">
        <w:rPr>
          <w:rFonts w:hint="eastAsia"/>
          <w:szCs w:val="21"/>
        </w:rPr>
        <w:tab/>
        <w:t>332</w:t>
      </w:r>
    </w:p>
    <w:p w:rsidR="006B69FA" w:rsidRPr="00E53510" w:rsidRDefault="006B69FA" w:rsidP="000B7556">
      <w:pPr>
        <w:pStyle w:val="a8"/>
        <w:spacing w:after="60"/>
        <w:rPr>
          <w:szCs w:val="21"/>
        </w:rPr>
      </w:pPr>
      <w:r w:rsidRPr="00E53510">
        <w:rPr>
          <w:rFonts w:hint="eastAsia"/>
          <w:szCs w:val="21"/>
        </w:rPr>
        <w:tab/>
      </w:r>
      <w:r w:rsidRPr="00E53510">
        <w:rPr>
          <w:rFonts w:hint="eastAsia"/>
          <w:szCs w:val="21"/>
        </w:rPr>
        <w:t>十一</w:t>
      </w:r>
      <w:r w:rsidRPr="00E53510">
        <w:rPr>
          <w:rFonts w:hint="eastAsia"/>
          <w:szCs w:val="21"/>
        </w:rPr>
        <w:t>.</w:t>
      </w:r>
      <w:r w:rsidRPr="00E53510">
        <w:rPr>
          <w:rFonts w:hint="eastAsia"/>
          <w:szCs w:val="21"/>
        </w:rPr>
        <w:tab/>
      </w:r>
      <w:r w:rsidRPr="00E53510">
        <w:rPr>
          <w:rFonts w:hint="eastAsia"/>
          <w:szCs w:val="21"/>
        </w:rPr>
        <w:t>国家官员的外国刑事管辖豁免</w:t>
      </w:r>
      <w:r w:rsidR="00AB00DE">
        <w:rPr>
          <w:rFonts w:hint="eastAsia"/>
          <w:szCs w:val="21"/>
        </w:rPr>
        <w:tab/>
      </w:r>
      <w:r w:rsidR="00AB00DE">
        <w:rPr>
          <w:rFonts w:hint="eastAsia"/>
          <w:szCs w:val="21"/>
        </w:rPr>
        <w:tab/>
        <w:t>333</w:t>
      </w:r>
    </w:p>
    <w:p w:rsidR="006B69FA" w:rsidRPr="00E53510" w:rsidRDefault="006B69FA" w:rsidP="000B7556">
      <w:pPr>
        <w:pStyle w:val="a8"/>
        <w:tabs>
          <w:tab w:val="clear" w:pos="1996"/>
        </w:tabs>
        <w:spacing w:after="60"/>
        <w:ind w:left="1565" w:hanging="1565"/>
        <w:rPr>
          <w:szCs w:val="21"/>
        </w:rPr>
      </w:pPr>
      <w:r w:rsidRPr="00E53510">
        <w:rPr>
          <w:rFonts w:hint="eastAsia"/>
          <w:szCs w:val="21"/>
        </w:rPr>
        <w:tab/>
      </w:r>
      <w:r w:rsidRPr="00E53510">
        <w:rPr>
          <w:szCs w:val="21"/>
        </w:rPr>
        <w:tab/>
      </w:r>
      <w:r w:rsidRPr="00E53510">
        <w:rPr>
          <w:rFonts w:hint="eastAsia"/>
          <w:szCs w:val="21"/>
        </w:rPr>
        <w:t>A.</w:t>
      </w:r>
      <w:r w:rsidRPr="00E53510">
        <w:rPr>
          <w:rFonts w:hint="eastAsia"/>
          <w:szCs w:val="21"/>
        </w:rPr>
        <w:tab/>
      </w:r>
      <w:r w:rsidRPr="00E53510">
        <w:rPr>
          <w:rFonts w:hint="eastAsia"/>
          <w:szCs w:val="21"/>
        </w:rPr>
        <w:t>导言</w:t>
      </w:r>
      <w:r w:rsidR="00AB00DE">
        <w:rPr>
          <w:rFonts w:hint="eastAsia"/>
          <w:szCs w:val="21"/>
        </w:rPr>
        <w:tab/>
      </w:r>
      <w:r w:rsidR="00AB00DE">
        <w:rPr>
          <w:rFonts w:hint="eastAsia"/>
          <w:szCs w:val="21"/>
        </w:rPr>
        <w:tab/>
        <w:t>333</w:t>
      </w:r>
    </w:p>
    <w:p w:rsidR="006B69FA" w:rsidRPr="00E53510" w:rsidRDefault="006B69FA" w:rsidP="000B7556">
      <w:pPr>
        <w:pStyle w:val="a8"/>
        <w:tabs>
          <w:tab w:val="clear" w:pos="1996"/>
        </w:tabs>
        <w:spacing w:after="60"/>
        <w:ind w:left="1565" w:hanging="1565"/>
        <w:rPr>
          <w:szCs w:val="21"/>
        </w:rPr>
      </w:pPr>
      <w:r w:rsidRPr="00E53510">
        <w:rPr>
          <w:rFonts w:hint="eastAsia"/>
          <w:szCs w:val="21"/>
        </w:rPr>
        <w:tab/>
      </w:r>
      <w:r w:rsidRPr="00E53510">
        <w:rPr>
          <w:rFonts w:hint="eastAsia"/>
          <w:szCs w:val="21"/>
        </w:rPr>
        <w:tab/>
        <w:t>B.</w:t>
      </w:r>
      <w:r w:rsidRPr="00E53510">
        <w:rPr>
          <w:rFonts w:hint="eastAsia"/>
          <w:szCs w:val="21"/>
        </w:rPr>
        <w:tab/>
      </w:r>
      <w:r w:rsidRPr="00E53510">
        <w:rPr>
          <w:rFonts w:hint="eastAsia"/>
          <w:szCs w:val="21"/>
        </w:rPr>
        <w:t>本届会议审议此专题的情况</w:t>
      </w:r>
      <w:r w:rsidR="00AB00DE">
        <w:rPr>
          <w:rFonts w:hint="eastAsia"/>
          <w:szCs w:val="21"/>
        </w:rPr>
        <w:tab/>
      </w:r>
      <w:r w:rsidR="00AB00DE">
        <w:rPr>
          <w:rFonts w:hint="eastAsia"/>
          <w:szCs w:val="21"/>
        </w:rPr>
        <w:tab/>
        <w:t>334</w:t>
      </w:r>
    </w:p>
    <w:p w:rsidR="006B69FA" w:rsidRPr="00E53510" w:rsidRDefault="006B69FA" w:rsidP="000B7556">
      <w:pPr>
        <w:tabs>
          <w:tab w:val="clear" w:pos="431"/>
          <w:tab w:val="right" w:pos="850"/>
          <w:tab w:val="left" w:pos="1134"/>
          <w:tab w:val="left" w:pos="1559"/>
          <w:tab w:val="left" w:pos="1984"/>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t>1.</w:t>
      </w:r>
      <w:r w:rsidRPr="00E53510">
        <w:rPr>
          <w:rFonts w:hint="eastAsia"/>
          <w:szCs w:val="21"/>
        </w:rPr>
        <w:tab/>
      </w:r>
      <w:r w:rsidRPr="00E53510">
        <w:rPr>
          <w:rFonts w:hint="eastAsia"/>
          <w:szCs w:val="21"/>
        </w:rPr>
        <w:t>特别报告员介绍第五次报告</w:t>
      </w:r>
      <w:r w:rsidR="00AB00DE">
        <w:rPr>
          <w:rFonts w:hint="eastAsia"/>
          <w:szCs w:val="21"/>
        </w:rPr>
        <w:tab/>
      </w:r>
      <w:r w:rsidR="00AB00DE">
        <w:rPr>
          <w:rFonts w:hint="eastAsia"/>
          <w:szCs w:val="21"/>
        </w:rPr>
        <w:tab/>
        <w:t>334</w:t>
      </w:r>
    </w:p>
    <w:p w:rsidR="006B69FA" w:rsidRPr="00E53510" w:rsidRDefault="006B69FA" w:rsidP="000B7556">
      <w:pPr>
        <w:tabs>
          <w:tab w:val="clear" w:pos="431"/>
          <w:tab w:val="right" w:pos="850"/>
          <w:tab w:val="left" w:pos="1134"/>
          <w:tab w:val="left" w:pos="1559"/>
          <w:tab w:val="left" w:pos="1984"/>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t>2.</w:t>
      </w:r>
      <w:r w:rsidRPr="00E53510">
        <w:rPr>
          <w:rFonts w:hint="eastAsia"/>
          <w:szCs w:val="21"/>
        </w:rPr>
        <w:tab/>
      </w:r>
      <w:r w:rsidRPr="00E53510">
        <w:rPr>
          <w:rFonts w:hint="eastAsia"/>
          <w:szCs w:val="21"/>
        </w:rPr>
        <w:t>辩论摘要</w:t>
      </w:r>
      <w:r w:rsidR="00AB00DE">
        <w:rPr>
          <w:rFonts w:hint="eastAsia"/>
          <w:szCs w:val="21"/>
        </w:rPr>
        <w:tab/>
      </w:r>
      <w:r w:rsidR="00AB00DE">
        <w:rPr>
          <w:rFonts w:hint="eastAsia"/>
          <w:szCs w:val="21"/>
        </w:rPr>
        <w:tab/>
        <w:t>337</w:t>
      </w:r>
    </w:p>
    <w:p w:rsidR="006B69FA" w:rsidRPr="00E53510" w:rsidRDefault="006B69FA" w:rsidP="000B7556">
      <w:pPr>
        <w:pStyle w:val="a8"/>
        <w:tabs>
          <w:tab w:val="left" w:pos="2422"/>
        </w:tabs>
        <w:spacing w:after="60"/>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t>(a)</w:t>
      </w:r>
      <w:r w:rsidRPr="00E53510">
        <w:rPr>
          <w:rFonts w:hint="eastAsia"/>
          <w:szCs w:val="21"/>
        </w:rPr>
        <w:tab/>
      </w:r>
      <w:r w:rsidRPr="00E53510">
        <w:rPr>
          <w:rFonts w:hint="eastAsia"/>
          <w:szCs w:val="21"/>
        </w:rPr>
        <w:t>一般评论</w:t>
      </w:r>
      <w:r w:rsidR="00AB00DE">
        <w:rPr>
          <w:rFonts w:hint="eastAsia"/>
          <w:szCs w:val="21"/>
        </w:rPr>
        <w:tab/>
      </w:r>
      <w:r w:rsidR="00AB00DE">
        <w:rPr>
          <w:rFonts w:hint="eastAsia"/>
          <w:szCs w:val="21"/>
        </w:rPr>
        <w:tab/>
        <w:t>337</w:t>
      </w:r>
    </w:p>
    <w:p w:rsidR="006B69FA" w:rsidRPr="00E53510" w:rsidRDefault="006B69FA" w:rsidP="000B7556">
      <w:pPr>
        <w:pStyle w:val="a8"/>
        <w:tabs>
          <w:tab w:val="left" w:pos="2422"/>
        </w:tabs>
        <w:spacing w:after="60"/>
        <w:ind w:right="2834"/>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t>(b)</w:t>
      </w:r>
      <w:r w:rsidRPr="00E53510">
        <w:rPr>
          <w:rFonts w:hint="eastAsia"/>
          <w:szCs w:val="21"/>
        </w:rPr>
        <w:tab/>
      </w:r>
      <w:r w:rsidRPr="00E53510">
        <w:rPr>
          <w:rFonts w:hint="eastAsia"/>
          <w:szCs w:val="21"/>
        </w:rPr>
        <w:t>关于第五次报告提出的方法和概念问题的评论</w:t>
      </w:r>
      <w:r w:rsidR="00AB00DE">
        <w:rPr>
          <w:rFonts w:hint="eastAsia"/>
          <w:szCs w:val="21"/>
        </w:rPr>
        <w:tab/>
      </w:r>
      <w:r w:rsidR="00AB00DE">
        <w:rPr>
          <w:rFonts w:hint="eastAsia"/>
          <w:szCs w:val="21"/>
        </w:rPr>
        <w:tab/>
        <w:t>337</w:t>
      </w:r>
    </w:p>
    <w:p w:rsidR="006B69FA" w:rsidRPr="00E53510" w:rsidRDefault="006B69FA" w:rsidP="000B7556">
      <w:pPr>
        <w:pStyle w:val="a8"/>
        <w:tabs>
          <w:tab w:val="left" w:pos="2422"/>
        </w:tabs>
        <w:spacing w:after="60"/>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t>(c)</w:t>
      </w:r>
      <w:r w:rsidRPr="00E53510">
        <w:rPr>
          <w:rFonts w:hint="eastAsia"/>
          <w:szCs w:val="21"/>
        </w:rPr>
        <w:tab/>
      </w:r>
      <w:r w:rsidRPr="00E53510">
        <w:rPr>
          <w:rFonts w:hint="eastAsia"/>
          <w:szCs w:val="21"/>
        </w:rPr>
        <w:t>关于第</w:t>
      </w:r>
      <w:r w:rsidRPr="00E53510">
        <w:rPr>
          <w:rFonts w:hint="eastAsia"/>
          <w:szCs w:val="21"/>
        </w:rPr>
        <w:t>7</w:t>
      </w:r>
      <w:r w:rsidRPr="00E53510">
        <w:rPr>
          <w:rFonts w:hint="eastAsia"/>
          <w:szCs w:val="21"/>
        </w:rPr>
        <w:t>条草案的评论</w:t>
      </w:r>
      <w:r w:rsidR="00AB00DE">
        <w:rPr>
          <w:rFonts w:hint="eastAsia"/>
          <w:szCs w:val="21"/>
        </w:rPr>
        <w:tab/>
      </w:r>
      <w:r w:rsidR="00AB00DE">
        <w:rPr>
          <w:rFonts w:hint="eastAsia"/>
          <w:szCs w:val="21"/>
        </w:rPr>
        <w:tab/>
        <w:t>341</w:t>
      </w:r>
    </w:p>
    <w:p w:rsidR="006B69FA" w:rsidRPr="00E53510" w:rsidRDefault="006B69FA" w:rsidP="000B7556">
      <w:pPr>
        <w:pStyle w:val="a8"/>
        <w:tabs>
          <w:tab w:val="left" w:pos="2422"/>
        </w:tabs>
        <w:spacing w:after="60"/>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t>(d)</w:t>
      </w:r>
      <w:r w:rsidRPr="00E53510">
        <w:rPr>
          <w:rFonts w:hint="eastAsia"/>
          <w:szCs w:val="21"/>
        </w:rPr>
        <w:tab/>
      </w:r>
      <w:r w:rsidRPr="00E53510">
        <w:rPr>
          <w:rFonts w:hint="eastAsia"/>
          <w:szCs w:val="21"/>
        </w:rPr>
        <w:t>今后的工作</w:t>
      </w:r>
      <w:r w:rsidR="00AB00DE">
        <w:rPr>
          <w:rFonts w:hint="eastAsia"/>
          <w:szCs w:val="21"/>
        </w:rPr>
        <w:tab/>
      </w:r>
      <w:r w:rsidR="00AB00DE">
        <w:rPr>
          <w:rFonts w:hint="eastAsia"/>
          <w:szCs w:val="21"/>
        </w:rPr>
        <w:tab/>
        <w:t>342</w:t>
      </w:r>
    </w:p>
    <w:p w:rsidR="006B69FA" w:rsidRPr="00E53510" w:rsidRDefault="006B69FA" w:rsidP="000B7556">
      <w:pPr>
        <w:pStyle w:val="a8"/>
        <w:tabs>
          <w:tab w:val="clear" w:pos="1996"/>
        </w:tabs>
        <w:spacing w:after="60"/>
        <w:ind w:left="1565" w:hanging="1565"/>
        <w:rPr>
          <w:szCs w:val="21"/>
        </w:rPr>
      </w:pPr>
      <w:r w:rsidRPr="00E53510">
        <w:rPr>
          <w:rFonts w:hint="eastAsia"/>
          <w:szCs w:val="21"/>
        </w:rPr>
        <w:tab/>
      </w:r>
      <w:r w:rsidRPr="00E53510">
        <w:rPr>
          <w:rFonts w:hint="eastAsia"/>
          <w:szCs w:val="21"/>
        </w:rPr>
        <w:tab/>
        <w:t>C.</w:t>
      </w:r>
      <w:r w:rsidRPr="00E53510">
        <w:rPr>
          <w:rFonts w:hint="eastAsia"/>
          <w:szCs w:val="21"/>
        </w:rPr>
        <w:tab/>
      </w:r>
      <w:r w:rsidRPr="00E53510">
        <w:rPr>
          <w:rFonts w:hint="eastAsia"/>
          <w:szCs w:val="21"/>
        </w:rPr>
        <w:t>委员会迄今为止暂时通过的国家官员的外国刑事管辖豁免条款草案案文</w:t>
      </w:r>
      <w:r w:rsidR="00AB00DE">
        <w:rPr>
          <w:rFonts w:hint="eastAsia"/>
          <w:szCs w:val="21"/>
        </w:rPr>
        <w:tab/>
      </w:r>
      <w:r w:rsidR="00AB00DE">
        <w:rPr>
          <w:rFonts w:hint="eastAsia"/>
          <w:szCs w:val="21"/>
        </w:rPr>
        <w:tab/>
        <w:t>342</w:t>
      </w:r>
    </w:p>
    <w:p w:rsidR="006B69FA" w:rsidRPr="00E53510" w:rsidRDefault="006B69FA" w:rsidP="000B7556">
      <w:pPr>
        <w:tabs>
          <w:tab w:val="clear" w:pos="431"/>
          <w:tab w:val="right" w:pos="850"/>
          <w:tab w:val="left" w:pos="1134"/>
          <w:tab w:val="left" w:pos="1559"/>
          <w:tab w:val="left" w:pos="1984"/>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t>1.</w:t>
      </w:r>
      <w:r w:rsidRPr="00E53510">
        <w:rPr>
          <w:rFonts w:hint="eastAsia"/>
          <w:szCs w:val="21"/>
        </w:rPr>
        <w:tab/>
      </w:r>
      <w:r w:rsidRPr="00E53510">
        <w:rPr>
          <w:rFonts w:hint="eastAsia"/>
          <w:szCs w:val="21"/>
        </w:rPr>
        <w:t>条款草案案文</w:t>
      </w:r>
      <w:r w:rsidR="00AB00DE">
        <w:rPr>
          <w:rFonts w:hint="eastAsia"/>
          <w:szCs w:val="21"/>
        </w:rPr>
        <w:tab/>
      </w:r>
      <w:r w:rsidR="00AB00DE">
        <w:rPr>
          <w:rFonts w:hint="eastAsia"/>
          <w:szCs w:val="21"/>
        </w:rPr>
        <w:tab/>
        <w:t>342</w:t>
      </w:r>
    </w:p>
    <w:p w:rsidR="006B69FA" w:rsidRPr="00E53510" w:rsidRDefault="006B69FA" w:rsidP="000B7556">
      <w:pPr>
        <w:tabs>
          <w:tab w:val="clear" w:pos="431"/>
          <w:tab w:val="right" w:pos="850"/>
          <w:tab w:val="left" w:pos="1134"/>
          <w:tab w:val="left" w:pos="1559"/>
          <w:tab w:val="left" w:pos="1984"/>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t>2.</w:t>
      </w:r>
      <w:r w:rsidRPr="00E53510">
        <w:rPr>
          <w:rFonts w:hint="eastAsia"/>
          <w:szCs w:val="21"/>
        </w:rPr>
        <w:tab/>
      </w:r>
      <w:r w:rsidRPr="00E53510">
        <w:rPr>
          <w:rFonts w:hint="eastAsia"/>
          <w:szCs w:val="21"/>
        </w:rPr>
        <w:t>委员会第六十八届会议暂时通过的条款草案案文及其评注</w:t>
      </w:r>
      <w:r w:rsidR="00AB00DE">
        <w:rPr>
          <w:rFonts w:hint="eastAsia"/>
          <w:szCs w:val="21"/>
        </w:rPr>
        <w:tab/>
      </w:r>
      <w:r w:rsidR="00AB00DE">
        <w:rPr>
          <w:rFonts w:hint="eastAsia"/>
          <w:szCs w:val="21"/>
        </w:rPr>
        <w:tab/>
        <w:t>344</w:t>
      </w:r>
    </w:p>
    <w:p w:rsidR="006B69FA" w:rsidRPr="00E53510" w:rsidRDefault="006B69FA" w:rsidP="000B7556">
      <w:pPr>
        <w:tabs>
          <w:tab w:val="clear" w:pos="431"/>
          <w:tab w:val="right" w:pos="850"/>
          <w:tab w:val="left" w:pos="1134"/>
          <w:tab w:val="left" w:pos="1559"/>
          <w:tab w:val="left" w:pos="1984"/>
          <w:tab w:val="left" w:pos="297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第</w:t>
      </w:r>
      <w:r w:rsidRPr="00E53510">
        <w:rPr>
          <w:rFonts w:hint="eastAsia"/>
          <w:szCs w:val="21"/>
        </w:rPr>
        <w:t>2</w:t>
      </w:r>
      <w:r w:rsidRPr="00E53510">
        <w:rPr>
          <w:rFonts w:hint="eastAsia"/>
          <w:szCs w:val="21"/>
        </w:rPr>
        <w:t>条</w:t>
      </w:r>
      <w:r w:rsidRPr="00E53510">
        <w:rPr>
          <w:rFonts w:hint="eastAsia"/>
          <w:szCs w:val="21"/>
        </w:rPr>
        <w:tab/>
      </w:r>
      <w:r w:rsidRPr="00E53510">
        <w:rPr>
          <w:rFonts w:hint="eastAsia"/>
          <w:szCs w:val="21"/>
        </w:rPr>
        <w:t>定义</w:t>
      </w:r>
      <w:r w:rsidR="00AB00DE">
        <w:rPr>
          <w:rFonts w:hint="eastAsia"/>
          <w:szCs w:val="21"/>
        </w:rPr>
        <w:tab/>
      </w:r>
      <w:r w:rsidR="00AB00DE">
        <w:rPr>
          <w:rFonts w:hint="eastAsia"/>
          <w:szCs w:val="21"/>
        </w:rPr>
        <w:tab/>
        <w:t>344</w:t>
      </w:r>
    </w:p>
    <w:p w:rsidR="006B69FA" w:rsidRPr="00E53510" w:rsidRDefault="006B69FA" w:rsidP="000B7556">
      <w:pPr>
        <w:tabs>
          <w:tab w:val="clear" w:pos="431"/>
          <w:tab w:val="right" w:pos="850"/>
          <w:tab w:val="left" w:pos="1134"/>
          <w:tab w:val="left" w:pos="1559"/>
          <w:tab w:val="left" w:pos="1984"/>
          <w:tab w:val="left" w:pos="297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AB00DE">
        <w:rPr>
          <w:rFonts w:hint="eastAsia"/>
          <w:szCs w:val="21"/>
        </w:rPr>
        <w:tab/>
      </w:r>
      <w:r w:rsidR="00AB00DE">
        <w:rPr>
          <w:rFonts w:hint="eastAsia"/>
          <w:szCs w:val="21"/>
        </w:rPr>
        <w:tab/>
        <w:t>344</w:t>
      </w:r>
    </w:p>
    <w:p w:rsidR="006B69FA" w:rsidRPr="00E53510" w:rsidRDefault="006B69FA" w:rsidP="000B7556">
      <w:pPr>
        <w:tabs>
          <w:tab w:val="clear" w:pos="431"/>
          <w:tab w:val="right" w:pos="850"/>
          <w:tab w:val="left" w:pos="1134"/>
          <w:tab w:val="left" w:pos="1559"/>
          <w:tab w:val="left" w:pos="1984"/>
          <w:tab w:val="left" w:pos="297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第</w:t>
      </w:r>
      <w:r w:rsidRPr="00E53510">
        <w:rPr>
          <w:rFonts w:hint="eastAsia"/>
          <w:szCs w:val="21"/>
        </w:rPr>
        <w:t>6</w:t>
      </w:r>
      <w:r w:rsidRPr="00E53510">
        <w:rPr>
          <w:rFonts w:hint="eastAsia"/>
          <w:szCs w:val="21"/>
        </w:rPr>
        <w:t>条</w:t>
      </w:r>
      <w:r w:rsidRPr="00E53510">
        <w:rPr>
          <w:rFonts w:hint="eastAsia"/>
          <w:szCs w:val="21"/>
        </w:rPr>
        <w:tab/>
      </w:r>
      <w:r w:rsidRPr="00E53510">
        <w:rPr>
          <w:rFonts w:hint="eastAsia"/>
          <w:szCs w:val="21"/>
        </w:rPr>
        <w:t>属事豁免的范围</w:t>
      </w:r>
      <w:r w:rsidR="00AB00DE">
        <w:rPr>
          <w:rFonts w:hint="eastAsia"/>
          <w:szCs w:val="21"/>
        </w:rPr>
        <w:tab/>
      </w:r>
      <w:r w:rsidR="00AB00DE">
        <w:rPr>
          <w:rFonts w:hint="eastAsia"/>
          <w:szCs w:val="21"/>
        </w:rPr>
        <w:tab/>
        <w:t>350</w:t>
      </w:r>
    </w:p>
    <w:p w:rsidR="006B69FA" w:rsidRPr="00E53510" w:rsidRDefault="006B69FA" w:rsidP="000B7556">
      <w:pPr>
        <w:tabs>
          <w:tab w:val="clear" w:pos="431"/>
          <w:tab w:val="right" w:pos="850"/>
          <w:tab w:val="left" w:pos="1134"/>
          <w:tab w:val="left" w:pos="1559"/>
          <w:tab w:val="left" w:pos="1984"/>
          <w:tab w:val="left" w:pos="2977"/>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评注</w:t>
      </w:r>
      <w:r w:rsidR="00AB00DE">
        <w:rPr>
          <w:rFonts w:hint="eastAsia"/>
          <w:szCs w:val="21"/>
        </w:rPr>
        <w:tab/>
      </w:r>
      <w:r w:rsidR="00AB00DE">
        <w:rPr>
          <w:rFonts w:hint="eastAsia"/>
          <w:szCs w:val="21"/>
        </w:rPr>
        <w:tab/>
        <w:t>350</w:t>
      </w:r>
    </w:p>
    <w:p w:rsidR="006B69FA" w:rsidRPr="00E53510" w:rsidRDefault="006B69FA" w:rsidP="000B7556">
      <w:pPr>
        <w:pStyle w:val="a8"/>
        <w:spacing w:after="60"/>
        <w:rPr>
          <w:szCs w:val="21"/>
        </w:rPr>
      </w:pPr>
      <w:r w:rsidRPr="00E53510">
        <w:rPr>
          <w:rFonts w:hint="eastAsia"/>
          <w:szCs w:val="21"/>
        </w:rPr>
        <w:tab/>
      </w:r>
      <w:r w:rsidRPr="00E53510">
        <w:rPr>
          <w:rFonts w:hint="eastAsia"/>
          <w:szCs w:val="21"/>
        </w:rPr>
        <w:t>十二</w:t>
      </w:r>
      <w:r w:rsidRPr="00E53510">
        <w:rPr>
          <w:rFonts w:hint="eastAsia"/>
          <w:szCs w:val="21"/>
        </w:rPr>
        <w:t>.</w:t>
      </w:r>
      <w:r w:rsidRPr="00E53510">
        <w:rPr>
          <w:rFonts w:hint="eastAsia"/>
          <w:szCs w:val="21"/>
        </w:rPr>
        <w:tab/>
      </w:r>
      <w:r w:rsidRPr="00E53510">
        <w:rPr>
          <w:rFonts w:hint="eastAsia"/>
          <w:szCs w:val="21"/>
        </w:rPr>
        <w:t>条约的暂时适用</w:t>
      </w:r>
      <w:r w:rsidR="00AB00DE">
        <w:rPr>
          <w:rFonts w:hint="eastAsia"/>
          <w:szCs w:val="21"/>
        </w:rPr>
        <w:tab/>
      </w:r>
      <w:r w:rsidR="00AB00DE">
        <w:rPr>
          <w:rFonts w:hint="eastAsia"/>
          <w:szCs w:val="21"/>
        </w:rPr>
        <w:tab/>
        <w:t>355</w:t>
      </w:r>
    </w:p>
    <w:p w:rsidR="006B69FA" w:rsidRPr="00E53510" w:rsidRDefault="006B69FA" w:rsidP="000B7556">
      <w:pPr>
        <w:pStyle w:val="a8"/>
        <w:tabs>
          <w:tab w:val="clear" w:pos="1996"/>
        </w:tabs>
        <w:spacing w:after="60"/>
        <w:ind w:left="1565" w:hanging="1565"/>
        <w:rPr>
          <w:szCs w:val="21"/>
        </w:rPr>
      </w:pPr>
      <w:r w:rsidRPr="00E53510">
        <w:rPr>
          <w:rFonts w:hint="eastAsia"/>
          <w:szCs w:val="21"/>
        </w:rPr>
        <w:tab/>
      </w:r>
      <w:r w:rsidRPr="00E53510">
        <w:rPr>
          <w:rFonts w:hint="eastAsia"/>
          <w:szCs w:val="21"/>
        </w:rPr>
        <w:tab/>
        <w:t>A.</w:t>
      </w:r>
      <w:r w:rsidRPr="00E53510">
        <w:rPr>
          <w:rFonts w:hint="eastAsia"/>
          <w:szCs w:val="21"/>
        </w:rPr>
        <w:tab/>
      </w:r>
      <w:r w:rsidRPr="00E53510">
        <w:rPr>
          <w:rFonts w:hint="eastAsia"/>
          <w:szCs w:val="21"/>
        </w:rPr>
        <w:t>导言</w:t>
      </w:r>
      <w:r w:rsidR="00AB00DE">
        <w:rPr>
          <w:rFonts w:hint="eastAsia"/>
          <w:szCs w:val="21"/>
        </w:rPr>
        <w:tab/>
      </w:r>
      <w:r w:rsidR="00AB00DE">
        <w:rPr>
          <w:rFonts w:hint="eastAsia"/>
          <w:szCs w:val="21"/>
        </w:rPr>
        <w:tab/>
        <w:t>355</w:t>
      </w:r>
    </w:p>
    <w:p w:rsidR="006B69FA" w:rsidRPr="00E53510" w:rsidRDefault="006B69FA" w:rsidP="000B7556">
      <w:pPr>
        <w:pStyle w:val="a8"/>
        <w:tabs>
          <w:tab w:val="clear" w:pos="1996"/>
        </w:tabs>
        <w:spacing w:after="60"/>
        <w:ind w:left="1565" w:hanging="1565"/>
        <w:rPr>
          <w:szCs w:val="21"/>
        </w:rPr>
      </w:pPr>
      <w:r w:rsidRPr="00E53510">
        <w:rPr>
          <w:rFonts w:hint="eastAsia"/>
          <w:szCs w:val="21"/>
        </w:rPr>
        <w:tab/>
      </w:r>
      <w:r w:rsidRPr="00E53510">
        <w:rPr>
          <w:rFonts w:hint="eastAsia"/>
          <w:szCs w:val="21"/>
        </w:rPr>
        <w:tab/>
        <w:t>B.</w:t>
      </w:r>
      <w:r w:rsidRPr="00E53510">
        <w:rPr>
          <w:rFonts w:hint="eastAsia"/>
          <w:szCs w:val="21"/>
        </w:rPr>
        <w:tab/>
      </w:r>
      <w:r w:rsidRPr="00E53510">
        <w:rPr>
          <w:rFonts w:hint="eastAsia"/>
          <w:szCs w:val="21"/>
        </w:rPr>
        <w:t>本届会议审议此专题的情况</w:t>
      </w:r>
      <w:r w:rsidR="00AB00DE">
        <w:rPr>
          <w:rFonts w:hint="eastAsia"/>
          <w:szCs w:val="21"/>
        </w:rPr>
        <w:tab/>
      </w:r>
      <w:r w:rsidR="00AB00DE">
        <w:rPr>
          <w:rFonts w:hint="eastAsia"/>
          <w:szCs w:val="21"/>
        </w:rPr>
        <w:tab/>
        <w:t>355</w:t>
      </w:r>
    </w:p>
    <w:p w:rsidR="006B69FA" w:rsidRPr="00E53510" w:rsidRDefault="006B69FA" w:rsidP="000B7556">
      <w:pPr>
        <w:tabs>
          <w:tab w:val="clear" w:pos="431"/>
          <w:tab w:val="right" w:pos="850"/>
          <w:tab w:val="left" w:pos="1134"/>
          <w:tab w:val="left" w:pos="1559"/>
          <w:tab w:val="left" w:pos="1984"/>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t>1.</w:t>
      </w:r>
      <w:r w:rsidRPr="00E53510">
        <w:rPr>
          <w:rFonts w:hint="eastAsia"/>
          <w:szCs w:val="21"/>
        </w:rPr>
        <w:tab/>
      </w:r>
      <w:r w:rsidRPr="00E53510">
        <w:rPr>
          <w:rFonts w:hint="eastAsia"/>
          <w:szCs w:val="21"/>
        </w:rPr>
        <w:t>特别报告员介绍第四次报告</w:t>
      </w:r>
      <w:r w:rsidR="00AB00DE">
        <w:rPr>
          <w:rFonts w:hint="eastAsia"/>
          <w:szCs w:val="21"/>
        </w:rPr>
        <w:tab/>
      </w:r>
      <w:r w:rsidR="00AB00DE">
        <w:rPr>
          <w:rFonts w:hint="eastAsia"/>
          <w:szCs w:val="21"/>
        </w:rPr>
        <w:tab/>
        <w:t>357</w:t>
      </w:r>
    </w:p>
    <w:p w:rsidR="006B69FA" w:rsidRPr="00E53510" w:rsidRDefault="006B69FA" w:rsidP="000B7556">
      <w:pPr>
        <w:tabs>
          <w:tab w:val="clear" w:pos="431"/>
          <w:tab w:val="right" w:pos="850"/>
          <w:tab w:val="left" w:pos="1134"/>
          <w:tab w:val="left" w:pos="1559"/>
          <w:tab w:val="left" w:pos="1984"/>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t>2.</w:t>
      </w:r>
      <w:r w:rsidRPr="00E53510">
        <w:rPr>
          <w:rFonts w:hint="eastAsia"/>
          <w:szCs w:val="21"/>
        </w:rPr>
        <w:tab/>
      </w:r>
      <w:r w:rsidRPr="00E53510">
        <w:rPr>
          <w:rFonts w:hint="eastAsia"/>
          <w:szCs w:val="21"/>
        </w:rPr>
        <w:t>辩论摘要</w:t>
      </w:r>
      <w:r w:rsidR="00AB00DE">
        <w:rPr>
          <w:rFonts w:hint="eastAsia"/>
          <w:szCs w:val="21"/>
        </w:rPr>
        <w:tab/>
      </w:r>
      <w:r w:rsidR="00AB00DE">
        <w:rPr>
          <w:rFonts w:hint="eastAsia"/>
          <w:szCs w:val="21"/>
        </w:rPr>
        <w:tab/>
        <w:t>359</w:t>
      </w:r>
    </w:p>
    <w:p w:rsidR="006B69FA" w:rsidRPr="00E53510" w:rsidRDefault="006B69FA" w:rsidP="000B7556">
      <w:pPr>
        <w:pStyle w:val="a8"/>
        <w:tabs>
          <w:tab w:val="left" w:pos="2422"/>
        </w:tabs>
        <w:spacing w:after="60"/>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t>(a)</w:t>
      </w:r>
      <w:r w:rsidRPr="00E53510">
        <w:rPr>
          <w:rFonts w:hint="eastAsia"/>
          <w:szCs w:val="21"/>
        </w:rPr>
        <w:tab/>
      </w:r>
      <w:r w:rsidRPr="00E53510">
        <w:rPr>
          <w:rFonts w:hint="eastAsia"/>
          <w:szCs w:val="21"/>
        </w:rPr>
        <w:t>一般评论</w:t>
      </w:r>
      <w:r w:rsidR="00AB00DE">
        <w:rPr>
          <w:rFonts w:hint="eastAsia"/>
          <w:szCs w:val="21"/>
        </w:rPr>
        <w:tab/>
      </w:r>
      <w:r w:rsidR="00AB00DE">
        <w:rPr>
          <w:rFonts w:hint="eastAsia"/>
          <w:szCs w:val="21"/>
        </w:rPr>
        <w:tab/>
        <w:t>359</w:t>
      </w:r>
    </w:p>
    <w:p w:rsidR="006B69FA" w:rsidRPr="00E53510" w:rsidRDefault="006B69FA" w:rsidP="000B7556">
      <w:pPr>
        <w:pStyle w:val="a8"/>
        <w:tabs>
          <w:tab w:val="left" w:pos="2422"/>
        </w:tabs>
        <w:spacing w:after="60"/>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t>(b)</w:t>
      </w:r>
      <w:r w:rsidRPr="00E53510">
        <w:rPr>
          <w:rFonts w:hint="eastAsia"/>
          <w:szCs w:val="21"/>
        </w:rPr>
        <w:tab/>
      </w:r>
      <w:r w:rsidRPr="00E53510">
        <w:rPr>
          <w:rFonts w:hint="eastAsia"/>
          <w:szCs w:val="21"/>
        </w:rPr>
        <w:t>保留</w:t>
      </w:r>
      <w:r w:rsidR="00AB00DE">
        <w:rPr>
          <w:rFonts w:hint="eastAsia"/>
          <w:szCs w:val="21"/>
        </w:rPr>
        <w:tab/>
      </w:r>
      <w:r w:rsidR="00AB00DE">
        <w:rPr>
          <w:rFonts w:hint="eastAsia"/>
          <w:szCs w:val="21"/>
        </w:rPr>
        <w:tab/>
        <w:t>360</w:t>
      </w:r>
    </w:p>
    <w:p w:rsidR="006B69FA" w:rsidRPr="00E53510" w:rsidRDefault="006B69FA" w:rsidP="000B7556">
      <w:pPr>
        <w:pStyle w:val="a8"/>
        <w:tabs>
          <w:tab w:val="left" w:pos="2422"/>
        </w:tabs>
        <w:spacing w:after="60"/>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t>(c)</w:t>
      </w:r>
      <w:r w:rsidRPr="00E53510">
        <w:rPr>
          <w:rFonts w:hint="eastAsia"/>
          <w:szCs w:val="21"/>
        </w:rPr>
        <w:tab/>
      </w:r>
      <w:r w:rsidRPr="00E53510">
        <w:rPr>
          <w:rFonts w:hint="eastAsia"/>
          <w:szCs w:val="21"/>
        </w:rPr>
        <w:t>条约失效</w:t>
      </w:r>
      <w:r w:rsidRPr="00E53510">
        <w:rPr>
          <w:rFonts w:hint="eastAsia"/>
          <w:szCs w:val="21"/>
        </w:rPr>
        <w:tab/>
      </w:r>
      <w:r w:rsidRPr="00E53510">
        <w:rPr>
          <w:rFonts w:hint="eastAsia"/>
          <w:szCs w:val="21"/>
        </w:rPr>
        <w:tab/>
        <w:t>3</w:t>
      </w:r>
      <w:r w:rsidR="00AB00DE">
        <w:rPr>
          <w:rFonts w:hint="eastAsia"/>
          <w:szCs w:val="21"/>
        </w:rPr>
        <w:t>60</w:t>
      </w:r>
    </w:p>
    <w:p w:rsidR="006B69FA" w:rsidRPr="00E53510" w:rsidRDefault="006B69FA" w:rsidP="000B7556">
      <w:pPr>
        <w:pStyle w:val="a8"/>
        <w:tabs>
          <w:tab w:val="left" w:pos="2422"/>
        </w:tabs>
        <w:spacing w:after="60"/>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t>(d)</w:t>
      </w:r>
      <w:r w:rsidRPr="00E53510">
        <w:rPr>
          <w:rFonts w:hint="eastAsia"/>
          <w:szCs w:val="21"/>
        </w:rPr>
        <w:tab/>
      </w:r>
      <w:r w:rsidRPr="00E53510">
        <w:rPr>
          <w:rFonts w:hint="eastAsia"/>
          <w:szCs w:val="21"/>
        </w:rPr>
        <w:t>条约因违约而终止或停止施行</w:t>
      </w:r>
      <w:r w:rsidR="00AB00DE">
        <w:rPr>
          <w:rFonts w:hint="eastAsia"/>
          <w:szCs w:val="21"/>
        </w:rPr>
        <w:tab/>
      </w:r>
      <w:r w:rsidR="00AB00DE">
        <w:rPr>
          <w:rFonts w:hint="eastAsia"/>
          <w:szCs w:val="21"/>
        </w:rPr>
        <w:tab/>
        <w:t>361</w:t>
      </w:r>
    </w:p>
    <w:p w:rsidR="006B69FA" w:rsidRPr="00E53510" w:rsidRDefault="006B69FA" w:rsidP="000B7556">
      <w:pPr>
        <w:pStyle w:val="a8"/>
        <w:tabs>
          <w:tab w:val="left" w:pos="2422"/>
        </w:tabs>
        <w:spacing w:after="60"/>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t>(e)</w:t>
      </w:r>
      <w:r w:rsidRPr="00E53510">
        <w:rPr>
          <w:rFonts w:hint="eastAsia"/>
          <w:szCs w:val="21"/>
        </w:rPr>
        <w:tab/>
      </w:r>
      <w:r w:rsidRPr="00E53510">
        <w:rPr>
          <w:rFonts w:hint="eastAsia"/>
          <w:szCs w:val="21"/>
        </w:rPr>
        <w:t>国家继承、国家责任及发生敌对行为问题</w:t>
      </w:r>
      <w:r w:rsidR="00AB00DE">
        <w:rPr>
          <w:rFonts w:hint="eastAsia"/>
          <w:szCs w:val="21"/>
        </w:rPr>
        <w:tab/>
      </w:r>
      <w:r w:rsidR="00AB00DE">
        <w:rPr>
          <w:rFonts w:hint="eastAsia"/>
          <w:szCs w:val="21"/>
        </w:rPr>
        <w:tab/>
        <w:t>362</w:t>
      </w:r>
    </w:p>
    <w:p w:rsidR="006B69FA" w:rsidRPr="00E53510" w:rsidRDefault="006B69FA" w:rsidP="000B7556">
      <w:pPr>
        <w:pStyle w:val="a8"/>
        <w:tabs>
          <w:tab w:val="left" w:pos="2422"/>
        </w:tabs>
        <w:spacing w:after="60"/>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t>(f)</w:t>
      </w:r>
      <w:r w:rsidRPr="00E53510">
        <w:rPr>
          <w:rFonts w:hint="eastAsia"/>
          <w:szCs w:val="21"/>
        </w:rPr>
        <w:tab/>
      </w:r>
      <w:r w:rsidRPr="00E53510">
        <w:rPr>
          <w:rFonts w:hint="eastAsia"/>
          <w:szCs w:val="21"/>
        </w:rPr>
        <w:t>准则草案</w:t>
      </w:r>
      <w:r w:rsidR="00AB00DE">
        <w:rPr>
          <w:rFonts w:hint="eastAsia"/>
          <w:szCs w:val="21"/>
        </w:rPr>
        <w:t>10</w:t>
      </w:r>
      <w:r w:rsidR="00AB00DE">
        <w:rPr>
          <w:rFonts w:hint="eastAsia"/>
          <w:szCs w:val="21"/>
        </w:rPr>
        <w:tab/>
      </w:r>
      <w:r w:rsidR="00AB00DE">
        <w:rPr>
          <w:rFonts w:hint="eastAsia"/>
          <w:szCs w:val="21"/>
        </w:rPr>
        <w:tab/>
        <w:t>362</w:t>
      </w:r>
    </w:p>
    <w:p w:rsidR="006B69FA" w:rsidRPr="00E53510" w:rsidRDefault="006B69FA" w:rsidP="000B7556">
      <w:pPr>
        <w:pStyle w:val="a8"/>
        <w:tabs>
          <w:tab w:val="left" w:pos="2422"/>
        </w:tabs>
        <w:spacing w:after="60"/>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t>(g)</w:t>
      </w:r>
      <w:r w:rsidRPr="00E53510">
        <w:rPr>
          <w:rFonts w:hint="eastAsia"/>
          <w:szCs w:val="21"/>
        </w:rPr>
        <w:tab/>
      </w:r>
      <w:r w:rsidRPr="00E53510">
        <w:rPr>
          <w:rFonts w:hint="eastAsia"/>
          <w:szCs w:val="21"/>
        </w:rPr>
        <w:t>关于条约适用的国际组织惯例</w:t>
      </w:r>
      <w:r w:rsidR="00AB00DE">
        <w:rPr>
          <w:rFonts w:hint="eastAsia"/>
          <w:szCs w:val="21"/>
        </w:rPr>
        <w:tab/>
      </w:r>
      <w:r w:rsidR="00AB00DE">
        <w:rPr>
          <w:rFonts w:hint="eastAsia"/>
          <w:szCs w:val="21"/>
        </w:rPr>
        <w:tab/>
        <w:t>363</w:t>
      </w:r>
    </w:p>
    <w:p w:rsidR="006B69FA" w:rsidRPr="00E53510" w:rsidRDefault="006B69FA" w:rsidP="000B7556">
      <w:pPr>
        <w:pStyle w:val="a8"/>
        <w:tabs>
          <w:tab w:val="left" w:pos="2422"/>
        </w:tabs>
        <w:spacing w:after="60"/>
        <w:rPr>
          <w:szCs w:val="21"/>
        </w:rPr>
      </w:pPr>
      <w:r w:rsidRPr="00E53510">
        <w:rPr>
          <w:rFonts w:hint="eastAsia"/>
          <w:szCs w:val="21"/>
        </w:rPr>
        <w:tab/>
      </w:r>
      <w:r w:rsidRPr="00E53510">
        <w:rPr>
          <w:rFonts w:hint="eastAsia"/>
          <w:szCs w:val="21"/>
        </w:rPr>
        <w:tab/>
      </w:r>
      <w:r w:rsidRPr="00E53510">
        <w:rPr>
          <w:rFonts w:hint="eastAsia"/>
          <w:szCs w:val="21"/>
        </w:rPr>
        <w:tab/>
      </w:r>
      <w:r w:rsidRPr="00E53510">
        <w:rPr>
          <w:rFonts w:hint="eastAsia"/>
          <w:szCs w:val="21"/>
        </w:rPr>
        <w:tab/>
        <w:t>(h)</w:t>
      </w:r>
      <w:r w:rsidRPr="00E53510">
        <w:rPr>
          <w:rFonts w:hint="eastAsia"/>
          <w:szCs w:val="21"/>
        </w:rPr>
        <w:tab/>
      </w:r>
      <w:r w:rsidRPr="00E53510">
        <w:rPr>
          <w:rFonts w:hint="eastAsia"/>
          <w:szCs w:val="21"/>
        </w:rPr>
        <w:t>今后的工作</w:t>
      </w:r>
      <w:r w:rsidR="00AB00DE">
        <w:rPr>
          <w:rFonts w:hint="eastAsia"/>
          <w:szCs w:val="21"/>
        </w:rPr>
        <w:tab/>
      </w:r>
      <w:r w:rsidR="00AB00DE">
        <w:rPr>
          <w:rFonts w:hint="eastAsia"/>
          <w:szCs w:val="21"/>
        </w:rPr>
        <w:tab/>
        <w:t>363</w:t>
      </w:r>
    </w:p>
    <w:p w:rsidR="006B69FA" w:rsidRPr="00E53510" w:rsidRDefault="006B69FA" w:rsidP="000B7556">
      <w:pPr>
        <w:tabs>
          <w:tab w:val="clear" w:pos="431"/>
          <w:tab w:val="right" w:pos="850"/>
          <w:tab w:val="left" w:pos="1134"/>
          <w:tab w:val="left" w:pos="1559"/>
          <w:tab w:val="left" w:pos="1984"/>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t>3.</w:t>
      </w:r>
      <w:r w:rsidRPr="00E53510">
        <w:rPr>
          <w:rFonts w:hint="eastAsia"/>
          <w:szCs w:val="21"/>
        </w:rPr>
        <w:tab/>
      </w:r>
      <w:r w:rsidRPr="00E53510">
        <w:rPr>
          <w:rFonts w:hint="eastAsia"/>
          <w:szCs w:val="21"/>
        </w:rPr>
        <w:t>特别报告员的结论性意见</w:t>
      </w:r>
      <w:r w:rsidR="00AB00DE">
        <w:rPr>
          <w:rFonts w:hint="eastAsia"/>
          <w:szCs w:val="21"/>
        </w:rPr>
        <w:tab/>
      </w:r>
      <w:r w:rsidR="00AB00DE">
        <w:rPr>
          <w:rFonts w:hint="eastAsia"/>
          <w:szCs w:val="21"/>
        </w:rPr>
        <w:tab/>
        <w:t>364</w:t>
      </w:r>
    </w:p>
    <w:p w:rsidR="006B69FA" w:rsidRPr="00E53510" w:rsidRDefault="006B69FA" w:rsidP="000B7556">
      <w:pPr>
        <w:pStyle w:val="a8"/>
        <w:spacing w:after="60"/>
        <w:rPr>
          <w:szCs w:val="21"/>
        </w:rPr>
      </w:pPr>
      <w:r w:rsidRPr="00E53510">
        <w:rPr>
          <w:rFonts w:hint="eastAsia"/>
          <w:szCs w:val="21"/>
        </w:rPr>
        <w:tab/>
      </w:r>
      <w:r w:rsidRPr="00E53510">
        <w:rPr>
          <w:rFonts w:hint="eastAsia"/>
          <w:szCs w:val="21"/>
        </w:rPr>
        <w:t>十三</w:t>
      </w:r>
      <w:r w:rsidRPr="00E53510">
        <w:rPr>
          <w:rFonts w:hint="eastAsia"/>
          <w:szCs w:val="21"/>
        </w:rPr>
        <w:t>.</w:t>
      </w:r>
      <w:r w:rsidRPr="00E53510">
        <w:rPr>
          <w:rFonts w:hint="eastAsia"/>
          <w:szCs w:val="21"/>
        </w:rPr>
        <w:tab/>
      </w:r>
      <w:r w:rsidRPr="00E53510">
        <w:rPr>
          <w:rFonts w:hint="eastAsia"/>
          <w:szCs w:val="21"/>
        </w:rPr>
        <w:t>委员会的其他决定和结论</w:t>
      </w:r>
      <w:r w:rsidRPr="00E53510">
        <w:rPr>
          <w:rFonts w:hint="eastAsia"/>
          <w:szCs w:val="21"/>
        </w:rPr>
        <w:tab/>
      </w:r>
      <w:r w:rsidRPr="00E53510">
        <w:rPr>
          <w:rFonts w:hint="eastAsia"/>
          <w:szCs w:val="21"/>
        </w:rPr>
        <w:tab/>
        <w:t>3</w:t>
      </w:r>
      <w:r w:rsidR="0061499D">
        <w:rPr>
          <w:rFonts w:hint="eastAsia"/>
          <w:szCs w:val="21"/>
        </w:rPr>
        <w:t>66</w:t>
      </w:r>
    </w:p>
    <w:p w:rsidR="006B69FA" w:rsidRPr="00E53510" w:rsidRDefault="006B69FA" w:rsidP="000B7556">
      <w:pPr>
        <w:pStyle w:val="a8"/>
        <w:tabs>
          <w:tab w:val="clear" w:pos="1996"/>
        </w:tabs>
        <w:spacing w:after="60"/>
        <w:ind w:left="1565" w:hanging="1565"/>
        <w:rPr>
          <w:szCs w:val="21"/>
        </w:rPr>
      </w:pPr>
      <w:r w:rsidRPr="00E53510">
        <w:rPr>
          <w:rFonts w:hint="eastAsia"/>
          <w:szCs w:val="21"/>
        </w:rPr>
        <w:tab/>
      </w:r>
      <w:r w:rsidRPr="00E53510">
        <w:rPr>
          <w:rFonts w:hint="eastAsia"/>
          <w:szCs w:val="21"/>
        </w:rPr>
        <w:tab/>
        <w:t>A.</w:t>
      </w:r>
      <w:r w:rsidRPr="00E53510">
        <w:rPr>
          <w:rFonts w:hint="eastAsia"/>
          <w:szCs w:val="21"/>
        </w:rPr>
        <w:tab/>
      </w:r>
      <w:r w:rsidRPr="00E53510">
        <w:rPr>
          <w:rFonts w:hint="eastAsia"/>
          <w:szCs w:val="21"/>
        </w:rPr>
        <w:t>委员会请秘书处就委员会议程上的两个专题编写研究报告</w:t>
      </w:r>
      <w:r w:rsidR="0061499D">
        <w:rPr>
          <w:rFonts w:hint="eastAsia"/>
          <w:szCs w:val="21"/>
        </w:rPr>
        <w:tab/>
      </w:r>
      <w:r w:rsidR="0061499D">
        <w:rPr>
          <w:rFonts w:hint="eastAsia"/>
          <w:szCs w:val="21"/>
        </w:rPr>
        <w:tab/>
        <w:t>366</w:t>
      </w:r>
    </w:p>
    <w:p w:rsidR="006B69FA" w:rsidRPr="00E53510" w:rsidRDefault="006B69FA" w:rsidP="000B7556">
      <w:pPr>
        <w:pStyle w:val="a8"/>
        <w:tabs>
          <w:tab w:val="clear" w:pos="1996"/>
        </w:tabs>
        <w:spacing w:after="60"/>
        <w:ind w:left="1565" w:hanging="1565"/>
        <w:rPr>
          <w:szCs w:val="21"/>
        </w:rPr>
      </w:pPr>
      <w:r w:rsidRPr="00E53510">
        <w:rPr>
          <w:rFonts w:hint="eastAsia"/>
          <w:szCs w:val="21"/>
        </w:rPr>
        <w:tab/>
      </w:r>
      <w:r w:rsidRPr="00E53510">
        <w:rPr>
          <w:rFonts w:hint="eastAsia"/>
          <w:szCs w:val="21"/>
        </w:rPr>
        <w:tab/>
        <w:t>B.</w:t>
      </w:r>
      <w:r w:rsidRPr="00E53510">
        <w:rPr>
          <w:rFonts w:hint="eastAsia"/>
          <w:szCs w:val="21"/>
        </w:rPr>
        <w:tab/>
      </w:r>
      <w:r w:rsidRPr="00E53510">
        <w:rPr>
          <w:rFonts w:hint="eastAsia"/>
          <w:szCs w:val="21"/>
        </w:rPr>
        <w:t>委员会的方案、程序和工作方法以及文件</w:t>
      </w:r>
      <w:r w:rsidR="0061499D">
        <w:rPr>
          <w:rFonts w:hint="eastAsia"/>
          <w:szCs w:val="21"/>
        </w:rPr>
        <w:tab/>
      </w:r>
      <w:r w:rsidR="0061499D">
        <w:rPr>
          <w:rFonts w:hint="eastAsia"/>
          <w:szCs w:val="21"/>
        </w:rPr>
        <w:tab/>
        <w:t>366</w:t>
      </w:r>
    </w:p>
    <w:p w:rsidR="006B69FA" w:rsidRPr="00E53510" w:rsidRDefault="006B69FA" w:rsidP="000B7556">
      <w:pPr>
        <w:tabs>
          <w:tab w:val="clear" w:pos="431"/>
          <w:tab w:val="right" w:pos="850"/>
          <w:tab w:val="left" w:pos="1134"/>
          <w:tab w:val="left" w:pos="1559"/>
          <w:tab w:val="left" w:pos="1984"/>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t>1.</w:t>
      </w:r>
      <w:r w:rsidRPr="00E53510">
        <w:rPr>
          <w:rFonts w:hint="eastAsia"/>
          <w:szCs w:val="21"/>
        </w:rPr>
        <w:tab/>
      </w:r>
      <w:r w:rsidRPr="00E53510">
        <w:rPr>
          <w:rFonts w:hint="eastAsia"/>
          <w:szCs w:val="21"/>
        </w:rPr>
        <w:t>长期工作方案工作组</w:t>
      </w:r>
      <w:r w:rsidR="0061499D">
        <w:rPr>
          <w:rFonts w:hint="eastAsia"/>
          <w:szCs w:val="21"/>
        </w:rPr>
        <w:tab/>
      </w:r>
      <w:r w:rsidR="0061499D">
        <w:rPr>
          <w:rFonts w:hint="eastAsia"/>
          <w:szCs w:val="21"/>
        </w:rPr>
        <w:tab/>
        <w:t>366</w:t>
      </w:r>
    </w:p>
    <w:p w:rsidR="006B69FA" w:rsidRPr="00E53510" w:rsidRDefault="006B69FA" w:rsidP="000B7556">
      <w:pPr>
        <w:tabs>
          <w:tab w:val="clear" w:pos="431"/>
          <w:tab w:val="right" w:pos="850"/>
          <w:tab w:val="left" w:pos="1134"/>
          <w:tab w:val="left" w:pos="1559"/>
          <w:tab w:val="left" w:pos="1984"/>
          <w:tab w:val="left" w:leader="dot" w:pos="8787"/>
          <w:tab w:val="right" w:pos="9554"/>
          <w:tab w:val="right" w:pos="9638"/>
        </w:tabs>
        <w:suppressAutoHyphens/>
        <w:overflowPunct/>
        <w:adjustRightInd/>
        <w:snapToGrid/>
        <w:spacing w:after="60"/>
        <w:jc w:val="left"/>
        <w:rPr>
          <w:szCs w:val="21"/>
        </w:rPr>
      </w:pPr>
      <w:r w:rsidRPr="00E53510">
        <w:rPr>
          <w:rFonts w:hint="eastAsia"/>
          <w:szCs w:val="21"/>
        </w:rPr>
        <w:tab/>
      </w:r>
      <w:r w:rsidRPr="00E53510">
        <w:rPr>
          <w:rFonts w:hint="eastAsia"/>
          <w:szCs w:val="21"/>
        </w:rPr>
        <w:tab/>
      </w:r>
      <w:r w:rsidRPr="00E53510">
        <w:rPr>
          <w:rFonts w:hint="eastAsia"/>
          <w:szCs w:val="21"/>
        </w:rPr>
        <w:tab/>
        <w:t>2.</w:t>
      </w:r>
      <w:r w:rsidRPr="00E53510">
        <w:rPr>
          <w:rFonts w:hint="eastAsia"/>
          <w:szCs w:val="21"/>
        </w:rPr>
        <w:tab/>
      </w:r>
      <w:r w:rsidRPr="00E53510">
        <w:rPr>
          <w:rFonts w:hint="eastAsia"/>
          <w:szCs w:val="21"/>
        </w:rPr>
        <w:t>审议大会</w:t>
      </w:r>
      <w:r w:rsidRPr="00E53510">
        <w:rPr>
          <w:rFonts w:hint="eastAsia"/>
          <w:szCs w:val="21"/>
        </w:rPr>
        <w:t>2015</w:t>
      </w:r>
      <w:r w:rsidRPr="00E53510">
        <w:rPr>
          <w:rFonts w:hint="eastAsia"/>
          <w:szCs w:val="21"/>
        </w:rPr>
        <w:t>年</w:t>
      </w:r>
      <w:r w:rsidRPr="00E53510">
        <w:rPr>
          <w:rFonts w:hint="eastAsia"/>
          <w:szCs w:val="21"/>
        </w:rPr>
        <w:t>12</w:t>
      </w:r>
      <w:r w:rsidRPr="00E53510">
        <w:rPr>
          <w:rFonts w:hint="eastAsia"/>
          <w:szCs w:val="21"/>
        </w:rPr>
        <w:t>月</w:t>
      </w:r>
      <w:r w:rsidRPr="00E53510">
        <w:rPr>
          <w:rFonts w:hint="eastAsia"/>
          <w:szCs w:val="21"/>
        </w:rPr>
        <w:t>14</w:t>
      </w:r>
      <w:r w:rsidRPr="00E53510">
        <w:rPr>
          <w:rFonts w:hint="eastAsia"/>
          <w:szCs w:val="21"/>
        </w:rPr>
        <w:t>日关于国内和国际法治的第</w:t>
      </w:r>
      <w:r w:rsidRPr="00E53510">
        <w:rPr>
          <w:rFonts w:hint="eastAsia"/>
          <w:szCs w:val="21"/>
        </w:rPr>
        <w:t>70/118</w:t>
      </w:r>
      <w:r w:rsidRPr="00E53510">
        <w:rPr>
          <w:rFonts w:hint="eastAsia"/>
          <w:szCs w:val="21"/>
        </w:rPr>
        <w:t>号决议</w:t>
      </w:r>
      <w:r w:rsidR="0061499D">
        <w:rPr>
          <w:rFonts w:hint="eastAsia"/>
          <w:szCs w:val="21"/>
        </w:rPr>
        <w:tab/>
      </w:r>
      <w:r w:rsidR="0061499D">
        <w:rPr>
          <w:rFonts w:hint="eastAsia"/>
          <w:szCs w:val="21"/>
        </w:rPr>
        <w:tab/>
        <w:t>368</w:t>
      </w:r>
    </w:p>
    <w:p w:rsidR="006B69FA" w:rsidRPr="00E53510" w:rsidRDefault="006B69FA" w:rsidP="000B7556">
      <w:pPr>
        <w:tabs>
          <w:tab w:val="clear" w:pos="431"/>
          <w:tab w:val="right" w:pos="850"/>
          <w:tab w:val="left" w:pos="1134"/>
          <w:tab w:val="left" w:pos="1559"/>
          <w:tab w:val="left" w:pos="1984"/>
          <w:tab w:val="left" w:leader="dot" w:pos="8787"/>
          <w:tab w:val="right" w:pos="9554"/>
          <w:tab w:val="right" w:pos="9638"/>
        </w:tabs>
        <w:suppressAutoHyphens/>
        <w:overflowPunct/>
        <w:adjustRightInd/>
        <w:snapToGrid/>
        <w:spacing w:after="60"/>
        <w:ind w:left="1985" w:hanging="1985"/>
        <w:jc w:val="left"/>
        <w:rPr>
          <w:szCs w:val="21"/>
        </w:rPr>
      </w:pPr>
      <w:r w:rsidRPr="00E53510">
        <w:rPr>
          <w:rFonts w:hint="eastAsia"/>
          <w:szCs w:val="21"/>
        </w:rPr>
        <w:tab/>
      </w:r>
      <w:r w:rsidRPr="00E53510">
        <w:rPr>
          <w:rFonts w:hint="eastAsia"/>
          <w:szCs w:val="21"/>
        </w:rPr>
        <w:tab/>
      </w:r>
      <w:r w:rsidRPr="00E53510">
        <w:rPr>
          <w:rFonts w:hint="eastAsia"/>
          <w:szCs w:val="21"/>
        </w:rPr>
        <w:tab/>
        <w:t>3.</w:t>
      </w:r>
      <w:r w:rsidRPr="00E53510">
        <w:rPr>
          <w:rFonts w:hint="eastAsia"/>
          <w:szCs w:val="21"/>
        </w:rPr>
        <w:tab/>
      </w:r>
      <w:r w:rsidRPr="00E53510">
        <w:rPr>
          <w:rFonts w:hint="eastAsia"/>
          <w:szCs w:val="21"/>
        </w:rPr>
        <w:t>审议大会</w:t>
      </w:r>
      <w:r w:rsidRPr="00E53510">
        <w:rPr>
          <w:rFonts w:hint="eastAsia"/>
          <w:szCs w:val="21"/>
        </w:rPr>
        <w:t>2015</w:t>
      </w:r>
      <w:r w:rsidRPr="00E53510">
        <w:rPr>
          <w:rFonts w:hint="eastAsia"/>
          <w:szCs w:val="21"/>
        </w:rPr>
        <w:t>年</w:t>
      </w:r>
      <w:r w:rsidRPr="00E53510">
        <w:rPr>
          <w:rFonts w:hint="eastAsia"/>
          <w:szCs w:val="21"/>
        </w:rPr>
        <w:t>12</w:t>
      </w:r>
      <w:r w:rsidRPr="00E53510">
        <w:rPr>
          <w:rFonts w:hint="eastAsia"/>
          <w:szCs w:val="21"/>
        </w:rPr>
        <w:t>月</w:t>
      </w:r>
      <w:r w:rsidRPr="00E53510">
        <w:rPr>
          <w:rFonts w:hint="eastAsia"/>
          <w:szCs w:val="21"/>
        </w:rPr>
        <w:t>23</w:t>
      </w:r>
      <w:r w:rsidRPr="00E53510">
        <w:rPr>
          <w:rFonts w:hint="eastAsia"/>
          <w:szCs w:val="21"/>
        </w:rPr>
        <w:t>日关于国际法委员会第六十七届会议工作</w:t>
      </w:r>
      <w:r w:rsidRPr="00E53510">
        <w:rPr>
          <w:szCs w:val="21"/>
        </w:rPr>
        <w:br/>
      </w:r>
      <w:r w:rsidRPr="00E53510">
        <w:rPr>
          <w:rFonts w:hint="eastAsia"/>
          <w:szCs w:val="21"/>
        </w:rPr>
        <w:t>报告的第</w:t>
      </w:r>
      <w:r w:rsidRPr="00E53510">
        <w:rPr>
          <w:rFonts w:hint="eastAsia"/>
          <w:szCs w:val="21"/>
        </w:rPr>
        <w:t>70/236</w:t>
      </w:r>
      <w:r w:rsidRPr="00E53510">
        <w:rPr>
          <w:rFonts w:hint="eastAsia"/>
          <w:szCs w:val="21"/>
        </w:rPr>
        <w:t>号决议第</w:t>
      </w:r>
      <w:r w:rsidRPr="00E53510">
        <w:rPr>
          <w:rFonts w:hint="eastAsia"/>
          <w:szCs w:val="21"/>
        </w:rPr>
        <w:t>9</w:t>
      </w:r>
      <w:r w:rsidRPr="00E53510">
        <w:rPr>
          <w:rFonts w:hint="eastAsia"/>
          <w:szCs w:val="21"/>
        </w:rPr>
        <w:t>至第</w:t>
      </w:r>
      <w:r w:rsidRPr="00E53510">
        <w:rPr>
          <w:rFonts w:hint="eastAsia"/>
          <w:szCs w:val="21"/>
        </w:rPr>
        <w:t>12</w:t>
      </w:r>
      <w:r w:rsidRPr="00E53510">
        <w:rPr>
          <w:rFonts w:hint="eastAsia"/>
          <w:szCs w:val="21"/>
        </w:rPr>
        <w:t>段</w:t>
      </w:r>
      <w:r w:rsidR="0061499D">
        <w:rPr>
          <w:rFonts w:hint="eastAsia"/>
          <w:szCs w:val="21"/>
        </w:rPr>
        <w:tab/>
      </w:r>
      <w:r w:rsidR="0061499D">
        <w:rPr>
          <w:rFonts w:hint="eastAsia"/>
          <w:szCs w:val="21"/>
        </w:rPr>
        <w:tab/>
        <w:t>369</w:t>
      </w:r>
    </w:p>
    <w:p w:rsidR="006B69FA" w:rsidRPr="00E53510" w:rsidRDefault="006B69FA" w:rsidP="000B7556">
      <w:pPr>
        <w:tabs>
          <w:tab w:val="clear" w:pos="431"/>
          <w:tab w:val="right" w:pos="850"/>
          <w:tab w:val="left" w:pos="1134"/>
          <w:tab w:val="left" w:pos="1559"/>
          <w:tab w:val="left" w:pos="1984"/>
          <w:tab w:val="left" w:leader="dot" w:pos="8787"/>
          <w:tab w:val="right" w:pos="9554"/>
          <w:tab w:val="right" w:pos="9638"/>
        </w:tabs>
        <w:suppressAutoHyphens/>
        <w:overflowPunct/>
        <w:adjustRightInd/>
        <w:snapToGrid/>
        <w:spacing w:after="60"/>
        <w:ind w:left="1985" w:hanging="1985"/>
        <w:jc w:val="left"/>
        <w:rPr>
          <w:szCs w:val="21"/>
        </w:rPr>
      </w:pPr>
      <w:r w:rsidRPr="00E53510">
        <w:rPr>
          <w:rFonts w:hint="eastAsia"/>
          <w:szCs w:val="21"/>
        </w:rPr>
        <w:tab/>
      </w:r>
      <w:r w:rsidRPr="00E53510">
        <w:rPr>
          <w:rFonts w:hint="eastAsia"/>
          <w:szCs w:val="21"/>
        </w:rPr>
        <w:tab/>
      </w:r>
      <w:r w:rsidRPr="00E53510">
        <w:rPr>
          <w:rFonts w:hint="eastAsia"/>
          <w:szCs w:val="21"/>
        </w:rPr>
        <w:tab/>
        <w:t>4.</w:t>
      </w:r>
      <w:r w:rsidRPr="00E53510">
        <w:rPr>
          <w:rFonts w:hint="eastAsia"/>
          <w:szCs w:val="21"/>
        </w:rPr>
        <w:tab/>
      </w:r>
      <w:r w:rsidRPr="00E53510">
        <w:rPr>
          <w:rFonts w:hint="eastAsia"/>
          <w:szCs w:val="21"/>
        </w:rPr>
        <w:t>国际法委员会七十周年届会</w:t>
      </w:r>
      <w:r w:rsidR="0061499D">
        <w:rPr>
          <w:rFonts w:hint="eastAsia"/>
          <w:szCs w:val="21"/>
        </w:rPr>
        <w:tab/>
      </w:r>
      <w:r w:rsidR="0061499D">
        <w:rPr>
          <w:rFonts w:hint="eastAsia"/>
          <w:szCs w:val="21"/>
        </w:rPr>
        <w:tab/>
        <w:t>370</w:t>
      </w:r>
    </w:p>
    <w:p w:rsidR="006B69FA" w:rsidRPr="00E53510" w:rsidRDefault="006B69FA" w:rsidP="000B7556">
      <w:pPr>
        <w:tabs>
          <w:tab w:val="clear" w:pos="431"/>
          <w:tab w:val="right" w:pos="850"/>
          <w:tab w:val="left" w:pos="1134"/>
          <w:tab w:val="left" w:pos="1559"/>
          <w:tab w:val="left" w:pos="1984"/>
          <w:tab w:val="left" w:leader="dot" w:pos="8787"/>
          <w:tab w:val="right" w:pos="9554"/>
          <w:tab w:val="right" w:pos="9638"/>
        </w:tabs>
        <w:suppressAutoHyphens/>
        <w:overflowPunct/>
        <w:adjustRightInd/>
        <w:snapToGrid/>
        <w:spacing w:after="60"/>
        <w:ind w:left="1985" w:hanging="1985"/>
        <w:jc w:val="left"/>
        <w:rPr>
          <w:szCs w:val="21"/>
        </w:rPr>
      </w:pPr>
      <w:r w:rsidRPr="00E53510">
        <w:rPr>
          <w:rFonts w:hint="eastAsia"/>
          <w:szCs w:val="21"/>
        </w:rPr>
        <w:tab/>
      </w:r>
      <w:r w:rsidRPr="00E53510">
        <w:rPr>
          <w:rFonts w:hint="eastAsia"/>
          <w:szCs w:val="21"/>
        </w:rPr>
        <w:tab/>
      </w:r>
      <w:r w:rsidRPr="00E53510">
        <w:rPr>
          <w:rFonts w:hint="eastAsia"/>
          <w:szCs w:val="21"/>
        </w:rPr>
        <w:tab/>
        <w:t>5.</w:t>
      </w:r>
      <w:r w:rsidRPr="00E53510">
        <w:rPr>
          <w:rFonts w:hint="eastAsia"/>
          <w:szCs w:val="21"/>
        </w:rPr>
        <w:tab/>
      </w:r>
      <w:r w:rsidRPr="00E53510">
        <w:rPr>
          <w:rFonts w:hint="eastAsia"/>
          <w:szCs w:val="21"/>
        </w:rPr>
        <w:t>酬金</w:t>
      </w:r>
      <w:r w:rsidR="0061499D">
        <w:rPr>
          <w:rFonts w:hint="eastAsia"/>
          <w:szCs w:val="21"/>
        </w:rPr>
        <w:tab/>
      </w:r>
      <w:r w:rsidR="0061499D">
        <w:rPr>
          <w:rFonts w:hint="eastAsia"/>
          <w:szCs w:val="21"/>
        </w:rPr>
        <w:tab/>
        <w:t>370</w:t>
      </w:r>
    </w:p>
    <w:p w:rsidR="006B69FA" w:rsidRPr="00E53510" w:rsidRDefault="006B69FA" w:rsidP="000B7556">
      <w:pPr>
        <w:tabs>
          <w:tab w:val="clear" w:pos="431"/>
          <w:tab w:val="right" w:pos="850"/>
          <w:tab w:val="left" w:pos="1134"/>
          <w:tab w:val="left" w:pos="1559"/>
          <w:tab w:val="left" w:pos="1984"/>
          <w:tab w:val="left" w:leader="dot" w:pos="8787"/>
          <w:tab w:val="right" w:pos="9554"/>
          <w:tab w:val="right" w:pos="9638"/>
        </w:tabs>
        <w:suppressAutoHyphens/>
        <w:overflowPunct/>
        <w:adjustRightInd/>
        <w:snapToGrid/>
        <w:spacing w:after="60"/>
        <w:ind w:left="1985" w:hanging="1985"/>
        <w:jc w:val="left"/>
        <w:rPr>
          <w:szCs w:val="21"/>
        </w:rPr>
      </w:pPr>
      <w:r w:rsidRPr="00E53510">
        <w:rPr>
          <w:rFonts w:hint="eastAsia"/>
          <w:szCs w:val="21"/>
        </w:rPr>
        <w:tab/>
      </w:r>
      <w:r w:rsidRPr="00E53510">
        <w:rPr>
          <w:rFonts w:hint="eastAsia"/>
          <w:szCs w:val="21"/>
        </w:rPr>
        <w:tab/>
      </w:r>
      <w:r w:rsidRPr="00E53510">
        <w:rPr>
          <w:rFonts w:hint="eastAsia"/>
          <w:szCs w:val="21"/>
        </w:rPr>
        <w:tab/>
        <w:t>6.</w:t>
      </w:r>
      <w:r w:rsidRPr="00E53510">
        <w:rPr>
          <w:rFonts w:hint="eastAsia"/>
          <w:szCs w:val="21"/>
        </w:rPr>
        <w:tab/>
      </w:r>
      <w:r w:rsidRPr="00E53510">
        <w:rPr>
          <w:rFonts w:hint="eastAsia"/>
          <w:szCs w:val="21"/>
        </w:rPr>
        <w:t>文件和出版物</w:t>
      </w:r>
      <w:r w:rsidR="0061499D">
        <w:rPr>
          <w:rFonts w:hint="eastAsia"/>
          <w:szCs w:val="21"/>
        </w:rPr>
        <w:tab/>
      </w:r>
      <w:r w:rsidR="0061499D">
        <w:rPr>
          <w:rFonts w:hint="eastAsia"/>
          <w:szCs w:val="21"/>
        </w:rPr>
        <w:tab/>
        <w:t>371</w:t>
      </w:r>
    </w:p>
    <w:p w:rsidR="006B69FA" w:rsidRPr="00E53510" w:rsidRDefault="006B69FA" w:rsidP="000B7556">
      <w:pPr>
        <w:tabs>
          <w:tab w:val="clear" w:pos="431"/>
          <w:tab w:val="right" w:pos="850"/>
          <w:tab w:val="left" w:pos="1134"/>
          <w:tab w:val="left" w:pos="1559"/>
          <w:tab w:val="left" w:pos="1984"/>
          <w:tab w:val="left" w:leader="dot" w:pos="8787"/>
          <w:tab w:val="right" w:pos="9554"/>
          <w:tab w:val="right" w:pos="9638"/>
        </w:tabs>
        <w:suppressAutoHyphens/>
        <w:overflowPunct/>
        <w:adjustRightInd/>
        <w:snapToGrid/>
        <w:spacing w:after="60"/>
        <w:ind w:left="1985" w:hanging="1985"/>
        <w:jc w:val="left"/>
        <w:rPr>
          <w:szCs w:val="21"/>
        </w:rPr>
      </w:pPr>
      <w:r w:rsidRPr="00E53510">
        <w:rPr>
          <w:rFonts w:hint="eastAsia"/>
          <w:szCs w:val="21"/>
        </w:rPr>
        <w:tab/>
      </w:r>
      <w:r w:rsidRPr="00E53510">
        <w:rPr>
          <w:rFonts w:hint="eastAsia"/>
          <w:szCs w:val="21"/>
        </w:rPr>
        <w:tab/>
      </w:r>
      <w:r w:rsidRPr="00E53510">
        <w:rPr>
          <w:rFonts w:hint="eastAsia"/>
          <w:szCs w:val="21"/>
        </w:rPr>
        <w:tab/>
        <w:t>7.</w:t>
      </w:r>
      <w:r w:rsidRPr="00E53510">
        <w:rPr>
          <w:rFonts w:hint="eastAsia"/>
          <w:szCs w:val="21"/>
        </w:rPr>
        <w:tab/>
      </w:r>
      <w:r w:rsidRPr="00E53510">
        <w:rPr>
          <w:rFonts w:hint="eastAsia"/>
          <w:szCs w:val="21"/>
        </w:rPr>
        <w:t>《国际法委员会年鉴》</w:t>
      </w:r>
      <w:r w:rsidR="0061499D">
        <w:rPr>
          <w:rFonts w:hint="eastAsia"/>
          <w:szCs w:val="21"/>
        </w:rPr>
        <w:tab/>
      </w:r>
      <w:r w:rsidR="0061499D">
        <w:rPr>
          <w:rFonts w:hint="eastAsia"/>
          <w:szCs w:val="21"/>
        </w:rPr>
        <w:tab/>
        <w:t>372</w:t>
      </w:r>
    </w:p>
    <w:p w:rsidR="006B69FA" w:rsidRPr="00E53510" w:rsidRDefault="006B69FA" w:rsidP="000B7556">
      <w:pPr>
        <w:tabs>
          <w:tab w:val="clear" w:pos="431"/>
          <w:tab w:val="right" w:pos="850"/>
          <w:tab w:val="left" w:pos="1134"/>
          <w:tab w:val="left" w:pos="1559"/>
          <w:tab w:val="left" w:pos="1984"/>
          <w:tab w:val="left" w:leader="dot" w:pos="8787"/>
          <w:tab w:val="right" w:pos="9554"/>
          <w:tab w:val="right" w:pos="9638"/>
        </w:tabs>
        <w:suppressAutoHyphens/>
        <w:overflowPunct/>
        <w:adjustRightInd/>
        <w:snapToGrid/>
        <w:spacing w:after="60"/>
        <w:ind w:left="1985" w:hanging="1985"/>
        <w:jc w:val="left"/>
        <w:rPr>
          <w:szCs w:val="21"/>
        </w:rPr>
      </w:pPr>
      <w:r w:rsidRPr="00E53510">
        <w:rPr>
          <w:rFonts w:hint="eastAsia"/>
          <w:szCs w:val="21"/>
        </w:rPr>
        <w:tab/>
      </w:r>
      <w:r w:rsidRPr="00E53510">
        <w:rPr>
          <w:rFonts w:hint="eastAsia"/>
          <w:szCs w:val="21"/>
        </w:rPr>
        <w:tab/>
      </w:r>
      <w:r w:rsidRPr="00E53510">
        <w:rPr>
          <w:rFonts w:hint="eastAsia"/>
          <w:szCs w:val="21"/>
        </w:rPr>
        <w:tab/>
        <w:t>8.</w:t>
      </w:r>
      <w:r w:rsidRPr="00E53510">
        <w:rPr>
          <w:rFonts w:hint="eastAsia"/>
          <w:szCs w:val="21"/>
        </w:rPr>
        <w:tab/>
      </w:r>
      <w:r w:rsidRPr="00E53510">
        <w:rPr>
          <w:rFonts w:hint="eastAsia"/>
          <w:szCs w:val="21"/>
        </w:rPr>
        <w:t>编纂司的协助</w:t>
      </w:r>
      <w:r w:rsidR="0061499D">
        <w:rPr>
          <w:rFonts w:hint="eastAsia"/>
          <w:szCs w:val="21"/>
        </w:rPr>
        <w:tab/>
      </w:r>
      <w:r w:rsidR="0061499D">
        <w:rPr>
          <w:rFonts w:hint="eastAsia"/>
          <w:szCs w:val="21"/>
        </w:rPr>
        <w:tab/>
        <w:t>372</w:t>
      </w:r>
    </w:p>
    <w:p w:rsidR="006B69FA" w:rsidRPr="00E53510" w:rsidRDefault="006B69FA" w:rsidP="000B7556">
      <w:pPr>
        <w:tabs>
          <w:tab w:val="clear" w:pos="431"/>
          <w:tab w:val="right" w:pos="850"/>
          <w:tab w:val="left" w:pos="1134"/>
          <w:tab w:val="left" w:pos="1559"/>
          <w:tab w:val="left" w:pos="1984"/>
          <w:tab w:val="left" w:leader="dot" w:pos="8787"/>
          <w:tab w:val="right" w:pos="9554"/>
          <w:tab w:val="right" w:pos="9638"/>
        </w:tabs>
        <w:suppressAutoHyphens/>
        <w:overflowPunct/>
        <w:adjustRightInd/>
        <w:snapToGrid/>
        <w:spacing w:after="60"/>
        <w:ind w:left="1985" w:hanging="1985"/>
        <w:jc w:val="left"/>
        <w:rPr>
          <w:szCs w:val="21"/>
        </w:rPr>
      </w:pPr>
      <w:r w:rsidRPr="00E53510">
        <w:rPr>
          <w:rFonts w:hint="eastAsia"/>
          <w:szCs w:val="21"/>
        </w:rPr>
        <w:tab/>
      </w:r>
      <w:r w:rsidRPr="00E53510">
        <w:rPr>
          <w:rFonts w:hint="eastAsia"/>
          <w:szCs w:val="21"/>
        </w:rPr>
        <w:tab/>
      </w:r>
      <w:r w:rsidRPr="00E53510">
        <w:rPr>
          <w:rFonts w:hint="eastAsia"/>
          <w:szCs w:val="21"/>
        </w:rPr>
        <w:tab/>
        <w:t>9.</w:t>
      </w:r>
      <w:r w:rsidRPr="00E53510">
        <w:rPr>
          <w:rFonts w:hint="eastAsia"/>
          <w:szCs w:val="21"/>
        </w:rPr>
        <w:tab/>
      </w:r>
      <w:r w:rsidRPr="00E53510">
        <w:rPr>
          <w:rFonts w:hint="eastAsia"/>
          <w:szCs w:val="21"/>
        </w:rPr>
        <w:t>网站</w:t>
      </w:r>
      <w:r w:rsidR="0061499D">
        <w:rPr>
          <w:rFonts w:hint="eastAsia"/>
          <w:szCs w:val="21"/>
        </w:rPr>
        <w:tab/>
      </w:r>
      <w:r w:rsidR="0061499D">
        <w:rPr>
          <w:rFonts w:hint="eastAsia"/>
          <w:szCs w:val="21"/>
        </w:rPr>
        <w:tab/>
        <w:t>372</w:t>
      </w:r>
    </w:p>
    <w:p w:rsidR="006B69FA" w:rsidRPr="00E53510" w:rsidRDefault="006B69FA" w:rsidP="000B7556">
      <w:pPr>
        <w:tabs>
          <w:tab w:val="clear" w:pos="431"/>
          <w:tab w:val="right" w:pos="850"/>
          <w:tab w:val="left" w:pos="1134"/>
          <w:tab w:val="left" w:pos="1559"/>
          <w:tab w:val="left" w:pos="1984"/>
          <w:tab w:val="left" w:leader="dot" w:pos="8787"/>
          <w:tab w:val="right" w:pos="9554"/>
          <w:tab w:val="right" w:pos="9638"/>
        </w:tabs>
        <w:suppressAutoHyphens/>
        <w:overflowPunct/>
        <w:adjustRightInd/>
        <w:snapToGrid/>
        <w:spacing w:after="60"/>
        <w:ind w:left="1985" w:hanging="1985"/>
        <w:jc w:val="left"/>
        <w:rPr>
          <w:szCs w:val="21"/>
        </w:rPr>
      </w:pPr>
      <w:r w:rsidRPr="00E53510">
        <w:rPr>
          <w:rFonts w:hint="eastAsia"/>
          <w:szCs w:val="21"/>
        </w:rPr>
        <w:tab/>
      </w:r>
      <w:r w:rsidRPr="00E53510">
        <w:rPr>
          <w:rFonts w:hint="eastAsia"/>
          <w:szCs w:val="21"/>
        </w:rPr>
        <w:tab/>
      </w:r>
      <w:r w:rsidRPr="00E53510">
        <w:rPr>
          <w:rFonts w:hint="eastAsia"/>
          <w:szCs w:val="21"/>
        </w:rPr>
        <w:tab/>
        <w:t>10.</w:t>
      </w:r>
      <w:r w:rsidRPr="00E53510">
        <w:rPr>
          <w:rFonts w:hint="eastAsia"/>
          <w:szCs w:val="21"/>
        </w:rPr>
        <w:tab/>
      </w:r>
      <w:r w:rsidRPr="00E53510">
        <w:rPr>
          <w:rFonts w:hint="eastAsia"/>
          <w:szCs w:val="21"/>
        </w:rPr>
        <w:t>联合国国际法视听图书馆</w:t>
      </w:r>
      <w:r w:rsidR="0061499D">
        <w:rPr>
          <w:rFonts w:hint="eastAsia"/>
          <w:szCs w:val="21"/>
        </w:rPr>
        <w:tab/>
      </w:r>
      <w:r w:rsidR="0061499D">
        <w:rPr>
          <w:rFonts w:hint="eastAsia"/>
          <w:szCs w:val="21"/>
        </w:rPr>
        <w:tab/>
        <w:t>373</w:t>
      </w:r>
    </w:p>
    <w:p w:rsidR="006B69FA" w:rsidRPr="00E53510" w:rsidRDefault="006B69FA" w:rsidP="000B7556">
      <w:pPr>
        <w:pStyle w:val="a8"/>
        <w:spacing w:after="60"/>
        <w:ind w:left="1565" w:hanging="1565"/>
        <w:rPr>
          <w:szCs w:val="21"/>
        </w:rPr>
      </w:pPr>
      <w:r w:rsidRPr="00E53510">
        <w:rPr>
          <w:rFonts w:hint="eastAsia"/>
          <w:szCs w:val="21"/>
        </w:rPr>
        <w:tab/>
      </w:r>
      <w:r w:rsidRPr="00E53510">
        <w:rPr>
          <w:rFonts w:hint="eastAsia"/>
          <w:szCs w:val="21"/>
        </w:rPr>
        <w:tab/>
        <w:t>C.</w:t>
      </w:r>
      <w:r w:rsidRPr="00E53510">
        <w:rPr>
          <w:rFonts w:hint="eastAsia"/>
          <w:szCs w:val="21"/>
        </w:rPr>
        <w:tab/>
      </w:r>
      <w:r w:rsidRPr="00E53510">
        <w:rPr>
          <w:rFonts w:hint="eastAsia"/>
          <w:szCs w:val="21"/>
        </w:rPr>
        <w:t>委员会第六十九届会议的日期和地点</w:t>
      </w:r>
      <w:r w:rsidR="0061499D">
        <w:rPr>
          <w:rFonts w:hint="eastAsia"/>
          <w:szCs w:val="21"/>
        </w:rPr>
        <w:tab/>
      </w:r>
      <w:r w:rsidR="0061499D">
        <w:rPr>
          <w:rFonts w:hint="eastAsia"/>
          <w:szCs w:val="21"/>
        </w:rPr>
        <w:tab/>
        <w:t>373</w:t>
      </w:r>
    </w:p>
    <w:p w:rsidR="006B69FA" w:rsidRPr="00E53510" w:rsidRDefault="006B69FA" w:rsidP="000B7556">
      <w:pPr>
        <w:pStyle w:val="a8"/>
        <w:tabs>
          <w:tab w:val="clear" w:pos="1996"/>
        </w:tabs>
        <w:spacing w:after="60"/>
        <w:ind w:left="1565" w:hanging="1565"/>
        <w:rPr>
          <w:szCs w:val="21"/>
        </w:rPr>
      </w:pPr>
      <w:r w:rsidRPr="00E53510">
        <w:rPr>
          <w:rFonts w:hint="eastAsia"/>
          <w:szCs w:val="21"/>
        </w:rPr>
        <w:tab/>
      </w:r>
      <w:r w:rsidRPr="00E53510">
        <w:rPr>
          <w:rFonts w:hint="eastAsia"/>
          <w:szCs w:val="21"/>
        </w:rPr>
        <w:tab/>
        <w:t>D.</w:t>
      </w:r>
      <w:r w:rsidRPr="00E53510">
        <w:rPr>
          <w:rFonts w:hint="eastAsia"/>
          <w:szCs w:val="21"/>
        </w:rPr>
        <w:tab/>
      </w:r>
      <w:r w:rsidRPr="00E53510">
        <w:rPr>
          <w:rFonts w:hint="eastAsia"/>
          <w:szCs w:val="21"/>
        </w:rPr>
        <w:t>与其他机构的合作</w:t>
      </w:r>
      <w:r w:rsidR="0061499D">
        <w:rPr>
          <w:rFonts w:hint="eastAsia"/>
          <w:szCs w:val="21"/>
        </w:rPr>
        <w:tab/>
      </w:r>
      <w:r w:rsidR="0061499D">
        <w:rPr>
          <w:rFonts w:hint="eastAsia"/>
          <w:szCs w:val="21"/>
        </w:rPr>
        <w:tab/>
        <w:t>373</w:t>
      </w:r>
    </w:p>
    <w:p w:rsidR="006B69FA" w:rsidRPr="00E53510" w:rsidRDefault="006B69FA" w:rsidP="000B7556">
      <w:pPr>
        <w:pStyle w:val="a8"/>
        <w:spacing w:after="60"/>
        <w:ind w:left="1565" w:hanging="1565"/>
        <w:rPr>
          <w:szCs w:val="21"/>
        </w:rPr>
      </w:pPr>
      <w:r w:rsidRPr="00E53510">
        <w:rPr>
          <w:rFonts w:hint="eastAsia"/>
          <w:szCs w:val="21"/>
        </w:rPr>
        <w:tab/>
      </w:r>
      <w:r w:rsidRPr="00E53510">
        <w:rPr>
          <w:rFonts w:hint="eastAsia"/>
          <w:szCs w:val="21"/>
        </w:rPr>
        <w:tab/>
        <w:t>E.</w:t>
      </w:r>
      <w:r w:rsidRPr="00E53510">
        <w:rPr>
          <w:rFonts w:hint="eastAsia"/>
          <w:szCs w:val="21"/>
        </w:rPr>
        <w:tab/>
      </w:r>
      <w:r w:rsidRPr="00E53510">
        <w:rPr>
          <w:rFonts w:hint="eastAsia"/>
          <w:szCs w:val="21"/>
        </w:rPr>
        <w:t>出席大会第七十一届会议的代表</w:t>
      </w:r>
      <w:r w:rsidR="0061499D">
        <w:rPr>
          <w:rFonts w:hint="eastAsia"/>
          <w:szCs w:val="21"/>
        </w:rPr>
        <w:tab/>
      </w:r>
      <w:r w:rsidR="0061499D">
        <w:rPr>
          <w:rFonts w:hint="eastAsia"/>
          <w:szCs w:val="21"/>
        </w:rPr>
        <w:tab/>
        <w:t>374</w:t>
      </w:r>
    </w:p>
    <w:p w:rsidR="006B69FA" w:rsidRPr="00E53510" w:rsidRDefault="006B69FA" w:rsidP="000B7556">
      <w:pPr>
        <w:pStyle w:val="a8"/>
        <w:spacing w:after="60"/>
        <w:ind w:left="1565" w:hanging="1565"/>
        <w:rPr>
          <w:szCs w:val="21"/>
        </w:rPr>
      </w:pPr>
      <w:r w:rsidRPr="00E53510">
        <w:rPr>
          <w:rFonts w:hint="eastAsia"/>
          <w:szCs w:val="21"/>
        </w:rPr>
        <w:tab/>
      </w:r>
      <w:r w:rsidRPr="00E53510">
        <w:rPr>
          <w:rFonts w:hint="eastAsia"/>
          <w:szCs w:val="21"/>
        </w:rPr>
        <w:tab/>
        <w:t>F.</w:t>
      </w:r>
      <w:r w:rsidRPr="00E53510">
        <w:rPr>
          <w:rFonts w:hint="eastAsia"/>
          <w:szCs w:val="21"/>
        </w:rPr>
        <w:tab/>
      </w:r>
      <w:r w:rsidRPr="00E53510">
        <w:rPr>
          <w:rFonts w:hint="eastAsia"/>
          <w:szCs w:val="21"/>
        </w:rPr>
        <w:t>国际法讲习班</w:t>
      </w:r>
      <w:r w:rsidR="0061499D">
        <w:rPr>
          <w:rFonts w:hint="eastAsia"/>
          <w:szCs w:val="21"/>
        </w:rPr>
        <w:tab/>
      </w:r>
      <w:r w:rsidR="0061499D">
        <w:rPr>
          <w:rFonts w:hint="eastAsia"/>
          <w:szCs w:val="21"/>
        </w:rPr>
        <w:tab/>
        <w:t>374</w:t>
      </w:r>
    </w:p>
    <w:p w:rsidR="006B69FA" w:rsidRPr="00E53510" w:rsidRDefault="006B69FA" w:rsidP="000B7556">
      <w:pPr>
        <w:pStyle w:val="a8"/>
        <w:spacing w:after="60"/>
        <w:rPr>
          <w:szCs w:val="21"/>
        </w:rPr>
      </w:pPr>
      <w:r w:rsidRPr="00E53510">
        <w:rPr>
          <w:rFonts w:hint="eastAsia"/>
          <w:szCs w:val="21"/>
        </w:rPr>
        <w:tab/>
      </w:r>
      <w:r w:rsidRPr="00E53510">
        <w:rPr>
          <w:rFonts w:hint="eastAsia"/>
          <w:szCs w:val="21"/>
        </w:rPr>
        <w:t>附件</w:t>
      </w:r>
    </w:p>
    <w:p w:rsidR="006B69FA" w:rsidRPr="00E53510" w:rsidRDefault="006B69FA" w:rsidP="000B7556">
      <w:pPr>
        <w:pStyle w:val="a8"/>
        <w:spacing w:after="60"/>
        <w:rPr>
          <w:szCs w:val="21"/>
        </w:rPr>
      </w:pPr>
      <w:r w:rsidRPr="00E53510">
        <w:rPr>
          <w:rFonts w:hint="eastAsia"/>
          <w:szCs w:val="21"/>
        </w:rPr>
        <w:tab/>
      </w:r>
      <w:r w:rsidRPr="00E53510">
        <w:rPr>
          <w:rFonts w:hint="eastAsia"/>
          <w:szCs w:val="21"/>
        </w:rPr>
        <w:tab/>
        <w:t>A.</w:t>
      </w:r>
      <w:r w:rsidRPr="00E53510">
        <w:rPr>
          <w:rFonts w:hint="eastAsia"/>
          <w:szCs w:val="21"/>
        </w:rPr>
        <w:tab/>
      </w:r>
      <w:r w:rsidRPr="00E53510">
        <w:rPr>
          <w:rFonts w:hint="eastAsia"/>
          <w:szCs w:val="21"/>
        </w:rPr>
        <w:t>国际组织作为当事方的国际争端的解决</w:t>
      </w:r>
      <w:r w:rsidR="0061499D">
        <w:rPr>
          <w:rFonts w:hint="eastAsia"/>
          <w:szCs w:val="21"/>
        </w:rPr>
        <w:tab/>
      </w:r>
      <w:r w:rsidR="0061499D">
        <w:rPr>
          <w:rFonts w:hint="eastAsia"/>
          <w:szCs w:val="21"/>
        </w:rPr>
        <w:tab/>
        <w:t>377</w:t>
      </w:r>
    </w:p>
    <w:p w:rsidR="006B69FA" w:rsidRPr="00E53510" w:rsidRDefault="006B69FA" w:rsidP="000B7556">
      <w:pPr>
        <w:pStyle w:val="a8"/>
        <w:spacing w:after="60"/>
        <w:rPr>
          <w:szCs w:val="21"/>
        </w:rPr>
      </w:pPr>
      <w:r w:rsidRPr="00E53510">
        <w:rPr>
          <w:rFonts w:hint="eastAsia"/>
          <w:szCs w:val="21"/>
        </w:rPr>
        <w:tab/>
      </w:r>
      <w:r w:rsidRPr="00E53510">
        <w:rPr>
          <w:rFonts w:hint="eastAsia"/>
          <w:szCs w:val="21"/>
        </w:rPr>
        <w:tab/>
        <w:t>B.</w:t>
      </w:r>
      <w:r w:rsidRPr="00E53510">
        <w:rPr>
          <w:rFonts w:hint="eastAsia"/>
          <w:szCs w:val="21"/>
        </w:rPr>
        <w:tab/>
      </w:r>
      <w:r w:rsidRPr="00E53510">
        <w:rPr>
          <w:rFonts w:hint="eastAsia"/>
          <w:szCs w:val="21"/>
        </w:rPr>
        <w:t>国家责任方面的国家继承</w:t>
      </w:r>
      <w:r w:rsidR="0061499D">
        <w:rPr>
          <w:rFonts w:hint="eastAsia"/>
          <w:szCs w:val="21"/>
        </w:rPr>
        <w:tab/>
      </w:r>
      <w:r w:rsidR="0061499D">
        <w:rPr>
          <w:rFonts w:hint="eastAsia"/>
          <w:szCs w:val="21"/>
        </w:rPr>
        <w:tab/>
        <w:t>390</w:t>
      </w:r>
    </w:p>
    <w:p w:rsidR="006B69FA" w:rsidRPr="00E53510" w:rsidRDefault="006B69FA" w:rsidP="00110F4A">
      <w:pPr>
        <w:pStyle w:val="a8"/>
        <w:spacing w:after="60"/>
        <w:rPr>
          <w:szCs w:val="21"/>
        </w:rPr>
      </w:pPr>
    </w:p>
    <w:p w:rsidR="00AD6B14" w:rsidRPr="006B69FA" w:rsidRDefault="00AD6B14" w:rsidP="00444D4E">
      <w:pPr>
        <w:pStyle w:val="SingleTxtGC"/>
      </w:pPr>
    </w:p>
    <w:p w:rsidR="006B69FA" w:rsidRPr="00BF42B7" w:rsidRDefault="006B69FA" w:rsidP="00444D4E">
      <w:pPr>
        <w:pStyle w:val="SingleTxtGC"/>
      </w:pPr>
    </w:p>
    <w:p w:rsidR="00C1504E" w:rsidRPr="00BF42B7" w:rsidRDefault="00C1504E" w:rsidP="00444D4E">
      <w:pPr>
        <w:pStyle w:val="SingleTxtGC"/>
        <w:sectPr w:rsidR="00C1504E" w:rsidRPr="00BF42B7" w:rsidSect="00C73A42">
          <w:headerReference w:type="even" r:id="rId21"/>
          <w:headerReference w:type="default" r:id="rId22"/>
          <w:footerReference w:type="even" r:id="rId23"/>
          <w:footerReference w:type="default" r:id="rId24"/>
          <w:footerReference w:type="first" r:id="rId25"/>
          <w:endnotePr>
            <w:numFmt w:val="decimal"/>
          </w:endnotePr>
          <w:type w:val="oddPage"/>
          <w:pgSz w:w="11906" w:h="16838" w:code="9"/>
          <w:pgMar w:top="1701" w:right="1134" w:bottom="2268" w:left="1134" w:header="1134" w:footer="1701" w:gutter="0"/>
          <w:pgNumType w:fmt="lowerRoman" w:start="3"/>
          <w:cols w:space="425"/>
          <w:titlePg/>
          <w:docGrid w:type="lines" w:linePitch="326"/>
        </w:sectPr>
      </w:pPr>
    </w:p>
    <w:p w:rsidR="00103498" w:rsidRPr="00BF42B7" w:rsidRDefault="00103498" w:rsidP="00A77784">
      <w:pPr>
        <w:pStyle w:val="HChGC"/>
      </w:pPr>
      <w:r w:rsidRPr="00BF42B7">
        <w:rPr>
          <w:rFonts w:hint="eastAsia"/>
        </w:rPr>
        <w:tab/>
      </w:r>
      <w:r w:rsidRPr="00BF42B7">
        <w:rPr>
          <w:rFonts w:hint="eastAsia"/>
        </w:rPr>
        <w:tab/>
      </w:r>
      <w:r w:rsidRPr="00BF42B7">
        <w:t>第一章</w:t>
      </w:r>
      <w:r w:rsidRPr="00BF42B7">
        <w:rPr>
          <w:rFonts w:hint="eastAsia"/>
        </w:rPr>
        <w:br/>
      </w:r>
      <w:r w:rsidRPr="00BF42B7">
        <w:t>导言</w:t>
      </w:r>
    </w:p>
    <w:p w:rsidR="00103498" w:rsidRPr="00BF42B7" w:rsidRDefault="00103498" w:rsidP="00E43C2A">
      <w:pPr>
        <w:pStyle w:val="SingleTxtGC"/>
      </w:pPr>
      <w:r w:rsidRPr="00BF42B7">
        <w:rPr>
          <w:rFonts w:hint="eastAsia"/>
        </w:rPr>
        <w:t>1.</w:t>
      </w:r>
      <w:r w:rsidR="00E43C2A" w:rsidRPr="00BF42B7">
        <w:rPr>
          <w:rFonts w:hint="eastAsia"/>
        </w:rPr>
        <w:t xml:space="preserve">  </w:t>
      </w:r>
      <w:r w:rsidRPr="00BF42B7">
        <w:t>国际法委员会分别于</w:t>
      </w:r>
      <w:r w:rsidRPr="00BF42B7">
        <w:t>2016</w:t>
      </w:r>
      <w:r w:rsidRPr="00BF42B7">
        <w:t>年</w:t>
      </w:r>
      <w:r w:rsidRPr="00BF42B7">
        <w:t>5</w:t>
      </w:r>
      <w:r w:rsidRPr="00BF42B7">
        <w:t>月</w:t>
      </w:r>
      <w:r w:rsidRPr="00BF42B7">
        <w:t>2</w:t>
      </w:r>
      <w:r w:rsidRPr="00BF42B7">
        <w:t>日至</w:t>
      </w:r>
      <w:r w:rsidRPr="00BF42B7">
        <w:t>6</w:t>
      </w:r>
      <w:r w:rsidRPr="00BF42B7">
        <w:t>月</w:t>
      </w:r>
      <w:r w:rsidRPr="00BF42B7">
        <w:t>10</w:t>
      </w:r>
      <w:r w:rsidRPr="00BF42B7">
        <w:t>日和</w:t>
      </w:r>
      <w:r w:rsidRPr="00BF42B7">
        <w:t>2016</w:t>
      </w:r>
      <w:r w:rsidRPr="00BF42B7">
        <w:t>年</w:t>
      </w:r>
      <w:r w:rsidRPr="00BF42B7">
        <w:t>7</w:t>
      </w:r>
      <w:r w:rsidRPr="00BF42B7">
        <w:t>月</w:t>
      </w:r>
      <w:r w:rsidRPr="00BF42B7">
        <w:t>4</w:t>
      </w:r>
      <w:r w:rsidRPr="00BF42B7">
        <w:t>日至</w:t>
      </w:r>
      <w:r w:rsidRPr="00BF42B7">
        <w:t>8</w:t>
      </w:r>
      <w:r w:rsidRPr="00BF42B7">
        <w:t>月</w:t>
      </w:r>
      <w:r w:rsidRPr="00BF42B7">
        <w:t>12</w:t>
      </w:r>
      <w:r w:rsidRPr="00BF42B7">
        <w:t>日在联合国日内瓦办事处委员会所在地举行了第六十八届会议第一期会议和第二期会议。本届会议由委员会第六十七届会议主席纳林德尔</w:t>
      </w:r>
      <w:r w:rsidRPr="00BF42B7">
        <w:rPr>
          <w:rFonts w:hint="eastAsia"/>
        </w:rPr>
        <w:t>·</w:t>
      </w:r>
      <w:r w:rsidRPr="00BF42B7">
        <w:t>辛格先生主持开幕。</w:t>
      </w:r>
    </w:p>
    <w:p w:rsidR="00103498" w:rsidRPr="00BF42B7" w:rsidRDefault="00103498" w:rsidP="00E43C2A">
      <w:pPr>
        <w:pStyle w:val="H1GC"/>
      </w:pPr>
      <w:r w:rsidRPr="00BF42B7">
        <w:rPr>
          <w:rFonts w:hint="eastAsia"/>
        </w:rPr>
        <w:tab/>
        <w:t>A.</w:t>
      </w:r>
      <w:r w:rsidRPr="00BF42B7">
        <w:rPr>
          <w:rFonts w:hint="eastAsia"/>
        </w:rPr>
        <w:tab/>
      </w:r>
      <w:r w:rsidRPr="00BF42B7">
        <w:t>委员</w:t>
      </w:r>
    </w:p>
    <w:p w:rsidR="00103498" w:rsidRPr="00BF42B7" w:rsidRDefault="00103498" w:rsidP="00E43C2A">
      <w:pPr>
        <w:pStyle w:val="SingleTxtGC"/>
      </w:pPr>
      <w:r w:rsidRPr="00BF42B7">
        <w:t>2.</w:t>
      </w:r>
      <w:r w:rsidR="00E43C2A" w:rsidRPr="00BF42B7">
        <w:rPr>
          <w:rFonts w:hint="eastAsia"/>
        </w:rPr>
        <w:t xml:space="preserve">  </w:t>
      </w:r>
      <w:r w:rsidRPr="00BF42B7">
        <w:t>委员会</w:t>
      </w:r>
      <w:r w:rsidRPr="00BF42B7">
        <w:rPr>
          <w:rFonts w:hint="eastAsia"/>
        </w:rPr>
        <w:t>由</w:t>
      </w:r>
      <w:r w:rsidRPr="00BF42B7">
        <w:t>下列</w:t>
      </w:r>
      <w:r w:rsidRPr="00BF42B7">
        <w:rPr>
          <w:rFonts w:hint="eastAsia"/>
        </w:rPr>
        <w:t>委</w:t>
      </w:r>
      <w:r w:rsidRPr="00BF42B7">
        <w:t>员</w:t>
      </w:r>
      <w:r w:rsidRPr="00BF42B7">
        <w:rPr>
          <w:rFonts w:hint="eastAsia"/>
        </w:rPr>
        <w:t>组成</w:t>
      </w:r>
      <w:r w:rsidRPr="00BF42B7">
        <w:t>：</w:t>
      </w:r>
    </w:p>
    <w:p w:rsidR="00103498" w:rsidRPr="00BF42B7" w:rsidRDefault="00103498" w:rsidP="00E43C2A">
      <w:pPr>
        <w:pStyle w:val="SingleTxtGC"/>
        <w:ind w:left="1525"/>
        <w:rPr>
          <w:szCs w:val="21"/>
        </w:rPr>
      </w:pPr>
      <w:r w:rsidRPr="00BF42B7">
        <w:rPr>
          <w:szCs w:val="21"/>
        </w:rPr>
        <w:t>穆罕默德</w:t>
      </w:r>
      <w:r w:rsidRPr="00BF42B7">
        <w:rPr>
          <w:rFonts w:hint="eastAsia"/>
        </w:rPr>
        <w:t>·</w:t>
      </w:r>
      <w:r w:rsidRPr="00BF42B7">
        <w:rPr>
          <w:szCs w:val="21"/>
        </w:rPr>
        <w:t>贝洛</w:t>
      </w:r>
      <w:r w:rsidRPr="00BF42B7">
        <w:rPr>
          <w:rFonts w:hint="eastAsia"/>
        </w:rPr>
        <w:t>·</w:t>
      </w:r>
      <w:r w:rsidRPr="00BF42B7">
        <w:rPr>
          <w:szCs w:val="21"/>
        </w:rPr>
        <w:t>阿多克先生</w:t>
      </w:r>
      <w:r w:rsidRPr="00BF42B7">
        <w:rPr>
          <w:szCs w:val="21"/>
        </w:rPr>
        <w:t>(</w:t>
      </w:r>
      <w:r w:rsidRPr="00BF42B7">
        <w:rPr>
          <w:szCs w:val="21"/>
        </w:rPr>
        <w:t>尼日利亚</w:t>
      </w:r>
      <w:r w:rsidRPr="00BF42B7">
        <w:rPr>
          <w:szCs w:val="21"/>
        </w:rPr>
        <w:t>)</w:t>
      </w:r>
    </w:p>
    <w:p w:rsidR="00103498" w:rsidRPr="00BF42B7" w:rsidRDefault="00103498" w:rsidP="00E43C2A">
      <w:pPr>
        <w:pStyle w:val="SingleTxtGC"/>
        <w:ind w:left="1525"/>
        <w:rPr>
          <w:szCs w:val="21"/>
        </w:rPr>
      </w:pPr>
      <w:r w:rsidRPr="00BF42B7">
        <w:rPr>
          <w:szCs w:val="21"/>
        </w:rPr>
        <w:t>阿里</w:t>
      </w:r>
      <w:r w:rsidRPr="00BF42B7">
        <w:rPr>
          <w:rFonts w:hint="eastAsia"/>
        </w:rPr>
        <w:t>·</w:t>
      </w:r>
      <w:r w:rsidRPr="00BF42B7">
        <w:rPr>
          <w:szCs w:val="21"/>
        </w:rPr>
        <w:t>穆赫辛</w:t>
      </w:r>
      <w:r w:rsidRPr="00BF42B7">
        <w:rPr>
          <w:rFonts w:hint="eastAsia"/>
        </w:rPr>
        <w:t>·</w:t>
      </w:r>
      <w:r w:rsidRPr="00BF42B7">
        <w:rPr>
          <w:szCs w:val="21"/>
        </w:rPr>
        <w:t>费塔伊斯</w:t>
      </w:r>
      <w:r w:rsidRPr="00BF42B7">
        <w:rPr>
          <w:rFonts w:hint="eastAsia"/>
        </w:rPr>
        <w:t>·</w:t>
      </w:r>
      <w:r w:rsidRPr="00BF42B7">
        <w:rPr>
          <w:szCs w:val="21"/>
        </w:rPr>
        <w:t>马里先生</w:t>
      </w:r>
      <w:r w:rsidRPr="00BF42B7">
        <w:rPr>
          <w:szCs w:val="21"/>
        </w:rPr>
        <w:t>(</w:t>
      </w:r>
      <w:r w:rsidRPr="00BF42B7">
        <w:rPr>
          <w:szCs w:val="21"/>
        </w:rPr>
        <w:t>卡塔尔</w:t>
      </w:r>
      <w:r w:rsidRPr="00BF42B7">
        <w:rPr>
          <w:szCs w:val="21"/>
        </w:rPr>
        <w:t>)</w:t>
      </w:r>
    </w:p>
    <w:p w:rsidR="00103498" w:rsidRPr="00BF42B7" w:rsidRDefault="00103498" w:rsidP="00E43C2A">
      <w:pPr>
        <w:pStyle w:val="SingleTxtGC"/>
        <w:ind w:left="1525"/>
        <w:rPr>
          <w:szCs w:val="21"/>
        </w:rPr>
      </w:pPr>
      <w:r w:rsidRPr="00BF42B7">
        <w:rPr>
          <w:szCs w:val="21"/>
        </w:rPr>
        <w:t>卢修斯</w:t>
      </w:r>
      <w:r w:rsidRPr="00BF42B7">
        <w:rPr>
          <w:rFonts w:hint="eastAsia"/>
        </w:rPr>
        <w:t>·</w:t>
      </w:r>
      <w:r w:rsidRPr="00BF42B7">
        <w:rPr>
          <w:szCs w:val="21"/>
        </w:rPr>
        <w:t>卡弗利施先生</w:t>
      </w:r>
      <w:r w:rsidRPr="00BF42B7">
        <w:rPr>
          <w:szCs w:val="21"/>
        </w:rPr>
        <w:t>(</w:t>
      </w:r>
      <w:r w:rsidRPr="00BF42B7">
        <w:rPr>
          <w:szCs w:val="21"/>
        </w:rPr>
        <w:t>瑞士</w:t>
      </w:r>
      <w:r w:rsidRPr="00BF42B7">
        <w:rPr>
          <w:szCs w:val="21"/>
        </w:rPr>
        <w:t>)</w:t>
      </w:r>
    </w:p>
    <w:p w:rsidR="00103498" w:rsidRPr="00BF42B7" w:rsidRDefault="00103498" w:rsidP="00E43C2A">
      <w:pPr>
        <w:pStyle w:val="SingleTxtGC"/>
        <w:ind w:left="1525"/>
        <w:rPr>
          <w:szCs w:val="21"/>
          <w:lang w:val="es-ES"/>
        </w:rPr>
      </w:pPr>
      <w:r w:rsidRPr="00BF42B7">
        <w:rPr>
          <w:szCs w:val="21"/>
        </w:rPr>
        <w:t>恩里克</w:t>
      </w:r>
      <w:r w:rsidRPr="00BF42B7">
        <w:rPr>
          <w:rFonts w:hint="eastAsia"/>
        </w:rPr>
        <w:t>·</w:t>
      </w:r>
      <w:r w:rsidRPr="00BF42B7">
        <w:rPr>
          <w:szCs w:val="21"/>
        </w:rPr>
        <w:t>坎迪奥蒂先生</w:t>
      </w:r>
      <w:r w:rsidRPr="00BF42B7">
        <w:rPr>
          <w:szCs w:val="21"/>
        </w:rPr>
        <w:t>(</w:t>
      </w:r>
      <w:r w:rsidRPr="00BF42B7">
        <w:rPr>
          <w:szCs w:val="21"/>
        </w:rPr>
        <w:t>阿根廷</w:t>
      </w:r>
      <w:r w:rsidRPr="00BF42B7">
        <w:rPr>
          <w:szCs w:val="21"/>
        </w:rPr>
        <w:t>)</w:t>
      </w:r>
    </w:p>
    <w:p w:rsidR="00103498" w:rsidRPr="00BF42B7" w:rsidRDefault="00103498" w:rsidP="00E43C2A">
      <w:pPr>
        <w:pStyle w:val="SingleTxtGC"/>
        <w:ind w:left="1525"/>
        <w:rPr>
          <w:szCs w:val="21"/>
          <w:lang w:val="es-ES"/>
        </w:rPr>
      </w:pPr>
      <w:r w:rsidRPr="00BF42B7">
        <w:rPr>
          <w:szCs w:val="21"/>
        </w:rPr>
        <w:t>佩德罗</w:t>
      </w:r>
      <w:r w:rsidRPr="00BF42B7">
        <w:rPr>
          <w:rFonts w:hint="eastAsia"/>
        </w:rPr>
        <w:t>·</w:t>
      </w:r>
      <w:r w:rsidRPr="00BF42B7">
        <w:rPr>
          <w:szCs w:val="21"/>
        </w:rPr>
        <w:t>科米萨里奥</w:t>
      </w:r>
      <w:r w:rsidRPr="00BF42B7">
        <w:rPr>
          <w:rFonts w:hint="eastAsia"/>
        </w:rPr>
        <w:t>·</w:t>
      </w:r>
      <w:r w:rsidRPr="00BF42B7">
        <w:rPr>
          <w:szCs w:val="21"/>
        </w:rPr>
        <w:t>阿丰索先生</w:t>
      </w:r>
      <w:r w:rsidRPr="00BF42B7">
        <w:rPr>
          <w:szCs w:val="21"/>
        </w:rPr>
        <w:t>(</w:t>
      </w:r>
      <w:r w:rsidRPr="00BF42B7">
        <w:rPr>
          <w:szCs w:val="21"/>
        </w:rPr>
        <w:t>莫桑比克</w:t>
      </w:r>
      <w:r w:rsidRPr="00BF42B7">
        <w:rPr>
          <w:szCs w:val="21"/>
        </w:rPr>
        <w:t>)</w:t>
      </w:r>
    </w:p>
    <w:p w:rsidR="00103498" w:rsidRPr="00BF42B7" w:rsidRDefault="00103498" w:rsidP="00E43C2A">
      <w:pPr>
        <w:pStyle w:val="SingleTxtGC"/>
        <w:ind w:left="1525"/>
        <w:rPr>
          <w:szCs w:val="21"/>
          <w:lang w:val="es-ES"/>
        </w:rPr>
      </w:pPr>
      <w:r w:rsidRPr="00BF42B7">
        <w:rPr>
          <w:szCs w:val="21"/>
        </w:rPr>
        <w:t>阿卜杜勒拉齐克</w:t>
      </w:r>
      <w:r w:rsidRPr="00BF42B7">
        <w:rPr>
          <w:rFonts w:hint="eastAsia"/>
        </w:rPr>
        <w:t>·</w:t>
      </w:r>
      <w:r w:rsidRPr="00BF42B7">
        <w:rPr>
          <w:szCs w:val="21"/>
        </w:rPr>
        <w:t>穆尔塔迪</w:t>
      </w:r>
      <w:r w:rsidRPr="00BF42B7">
        <w:rPr>
          <w:rFonts w:hint="eastAsia"/>
        </w:rPr>
        <w:t>·</w:t>
      </w:r>
      <w:r w:rsidRPr="00BF42B7">
        <w:rPr>
          <w:szCs w:val="21"/>
        </w:rPr>
        <w:t>苏莱曼</w:t>
      </w:r>
      <w:r w:rsidRPr="00BF42B7">
        <w:rPr>
          <w:rFonts w:hint="eastAsia"/>
        </w:rPr>
        <w:t>·</w:t>
      </w:r>
      <w:r w:rsidRPr="00BF42B7">
        <w:rPr>
          <w:szCs w:val="21"/>
        </w:rPr>
        <w:t>古伊德尔</w:t>
      </w:r>
      <w:r w:rsidRPr="00BF42B7">
        <w:rPr>
          <w:kern w:val="14"/>
          <w:szCs w:val="21"/>
        </w:rPr>
        <w:t>先生</w:t>
      </w:r>
      <w:r w:rsidRPr="00BF42B7">
        <w:rPr>
          <w:kern w:val="14"/>
          <w:szCs w:val="21"/>
        </w:rPr>
        <w:t>(</w:t>
      </w:r>
      <w:r w:rsidRPr="00BF42B7">
        <w:rPr>
          <w:kern w:val="14"/>
          <w:szCs w:val="21"/>
        </w:rPr>
        <w:t>利比亚</w:t>
      </w:r>
      <w:r w:rsidRPr="00BF42B7">
        <w:rPr>
          <w:kern w:val="14"/>
          <w:szCs w:val="21"/>
        </w:rPr>
        <w:t>)</w:t>
      </w:r>
    </w:p>
    <w:p w:rsidR="00103498" w:rsidRPr="00BF42B7" w:rsidRDefault="00103498" w:rsidP="00E43C2A">
      <w:pPr>
        <w:pStyle w:val="SingleTxtGC"/>
        <w:ind w:left="1525"/>
        <w:rPr>
          <w:szCs w:val="21"/>
          <w:lang w:val="es-ES"/>
        </w:rPr>
      </w:pPr>
      <w:r w:rsidRPr="00BF42B7">
        <w:rPr>
          <w:kern w:val="14"/>
          <w:szCs w:val="21"/>
        </w:rPr>
        <w:t>康塞普西翁</w:t>
      </w:r>
      <w:r w:rsidRPr="00BF42B7">
        <w:rPr>
          <w:rFonts w:hint="eastAsia"/>
        </w:rPr>
        <w:t>·</w:t>
      </w:r>
      <w:r w:rsidRPr="00BF42B7">
        <w:rPr>
          <w:kern w:val="14"/>
          <w:szCs w:val="21"/>
        </w:rPr>
        <w:t>埃斯科瓦尔</w:t>
      </w:r>
      <w:r w:rsidRPr="00BF42B7">
        <w:rPr>
          <w:rFonts w:hint="eastAsia"/>
        </w:rPr>
        <w:t>·</w:t>
      </w:r>
      <w:r w:rsidRPr="00BF42B7">
        <w:rPr>
          <w:kern w:val="14"/>
          <w:szCs w:val="21"/>
        </w:rPr>
        <w:t>埃尔南德斯女士</w:t>
      </w:r>
      <w:r w:rsidRPr="00BF42B7">
        <w:rPr>
          <w:kern w:val="14"/>
          <w:szCs w:val="21"/>
        </w:rPr>
        <w:t>(</w:t>
      </w:r>
      <w:r w:rsidRPr="00BF42B7">
        <w:rPr>
          <w:kern w:val="14"/>
          <w:szCs w:val="21"/>
        </w:rPr>
        <w:t>西班牙</w:t>
      </w:r>
      <w:r w:rsidRPr="00BF42B7">
        <w:rPr>
          <w:kern w:val="14"/>
          <w:szCs w:val="21"/>
        </w:rPr>
        <w:t>)</w:t>
      </w:r>
    </w:p>
    <w:p w:rsidR="00103498" w:rsidRPr="00BF42B7" w:rsidRDefault="00103498" w:rsidP="00E43C2A">
      <w:pPr>
        <w:pStyle w:val="SingleTxtGC"/>
        <w:ind w:left="1525"/>
        <w:rPr>
          <w:szCs w:val="21"/>
          <w:lang w:val="es-ES"/>
        </w:rPr>
      </w:pPr>
      <w:r w:rsidRPr="00BF42B7">
        <w:rPr>
          <w:kern w:val="14"/>
          <w:szCs w:val="21"/>
        </w:rPr>
        <w:t>马蒂亚斯</w:t>
      </w:r>
      <w:r w:rsidRPr="00BF42B7">
        <w:rPr>
          <w:rFonts w:hint="eastAsia"/>
        </w:rPr>
        <w:t>·</w:t>
      </w:r>
      <w:r w:rsidRPr="00BF42B7">
        <w:rPr>
          <w:kern w:val="14"/>
          <w:szCs w:val="21"/>
        </w:rPr>
        <w:t>福尔托先生</w:t>
      </w:r>
      <w:r w:rsidRPr="00BF42B7">
        <w:rPr>
          <w:kern w:val="14"/>
          <w:szCs w:val="21"/>
        </w:rPr>
        <w:t>(</w:t>
      </w:r>
      <w:r w:rsidRPr="00BF42B7">
        <w:rPr>
          <w:kern w:val="14"/>
          <w:szCs w:val="21"/>
        </w:rPr>
        <w:t>法国</w:t>
      </w:r>
      <w:r w:rsidRPr="00BF42B7">
        <w:rPr>
          <w:kern w:val="14"/>
          <w:szCs w:val="21"/>
        </w:rPr>
        <w:t>)</w:t>
      </w:r>
    </w:p>
    <w:p w:rsidR="00103498" w:rsidRPr="00BF42B7" w:rsidRDefault="00103498" w:rsidP="00E43C2A">
      <w:pPr>
        <w:pStyle w:val="SingleTxtGC"/>
        <w:ind w:left="1525"/>
        <w:rPr>
          <w:szCs w:val="21"/>
          <w:lang w:val="es-ES"/>
        </w:rPr>
      </w:pPr>
      <w:r w:rsidRPr="00BF42B7">
        <w:rPr>
          <w:kern w:val="14"/>
          <w:szCs w:val="21"/>
        </w:rPr>
        <w:t>胡安</w:t>
      </w:r>
      <w:r w:rsidRPr="00BF42B7">
        <w:rPr>
          <w:rFonts w:hint="eastAsia"/>
        </w:rPr>
        <w:t>·</w:t>
      </w:r>
      <w:r w:rsidRPr="00BF42B7">
        <w:rPr>
          <w:kern w:val="14"/>
          <w:szCs w:val="21"/>
        </w:rPr>
        <w:t>曼努埃尔</w:t>
      </w:r>
      <w:r w:rsidRPr="00BF42B7">
        <w:rPr>
          <w:rFonts w:hint="eastAsia"/>
        </w:rPr>
        <w:t>·</w:t>
      </w:r>
      <w:r w:rsidRPr="00BF42B7">
        <w:rPr>
          <w:kern w:val="14"/>
          <w:szCs w:val="21"/>
        </w:rPr>
        <w:t>戈麦斯－罗夫莱多先生</w:t>
      </w:r>
      <w:r w:rsidRPr="00BF42B7">
        <w:rPr>
          <w:kern w:val="14"/>
          <w:szCs w:val="21"/>
        </w:rPr>
        <w:t>(</w:t>
      </w:r>
      <w:r w:rsidRPr="00BF42B7">
        <w:rPr>
          <w:kern w:val="14"/>
          <w:szCs w:val="21"/>
        </w:rPr>
        <w:t>墨西哥</w:t>
      </w:r>
      <w:r w:rsidRPr="00BF42B7">
        <w:rPr>
          <w:kern w:val="14"/>
          <w:szCs w:val="21"/>
        </w:rPr>
        <w:t>)</w:t>
      </w:r>
    </w:p>
    <w:p w:rsidR="00103498" w:rsidRPr="00BF42B7" w:rsidRDefault="00103498" w:rsidP="00E43C2A">
      <w:pPr>
        <w:pStyle w:val="SingleTxtGC"/>
        <w:ind w:left="1525"/>
        <w:rPr>
          <w:szCs w:val="21"/>
        </w:rPr>
      </w:pPr>
      <w:r w:rsidRPr="00BF42B7">
        <w:rPr>
          <w:szCs w:val="21"/>
        </w:rPr>
        <w:t>侯赛因</w:t>
      </w:r>
      <w:r w:rsidRPr="00BF42B7">
        <w:rPr>
          <w:rFonts w:hint="eastAsia"/>
        </w:rPr>
        <w:t>·</w:t>
      </w:r>
      <w:r w:rsidRPr="00BF42B7">
        <w:rPr>
          <w:szCs w:val="21"/>
        </w:rPr>
        <w:t>哈苏纳先生</w:t>
      </w:r>
      <w:r w:rsidRPr="00BF42B7">
        <w:rPr>
          <w:szCs w:val="21"/>
        </w:rPr>
        <w:t>(</w:t>
      </w:r>
      <w:r w:rsidRPr="00BF42B7">
        <w:rPr>
          <w:szCs w:val="21"/>
        </w:rPr>
        <w:t>埃及</w:t>
      </w:r>
      <w:r w:rsidRPr="00BF42B7">
        <w:rPr>
          <w:szCs w:val="21"/>
        </w:rPr>
        <w:t>)</w:t>
      </w:r>
    </w:p>
    <w:p w:rsidR="00103498" w:rsidRPr="00BF42B7" w:rsidRDefault="00103498" w:rsidP="00E43C2A">
      <w:pPr>
        <w:pStyle w:val="SingleTxtGC"/>
        <w:ind w:left="1525"/>
        <w:rPr>
          <w:szCs w:val="21"/>
        </w:rPr>
      </w:pPr>
      <w:r w:rsidRPr="00BF42B7">
        <w:rPr>
          <w:szCs w:val="21"/>
        </w:rPr>
        <w:t>马哈茂德</w:t>
      </w:r>
      <w:r w:rsidRPr="00BF42B7">
        <w:rPr>
          <w:rFonts w:hint="eastAsia"/>
        </w:rPr>
        <w:t>·</w:t>
      </w:r>
      <w:r w:rsidRPr="00BF42B7">
        <w:rPr>
          <w:szCs w:val="21"/>
        </w:rPr>
        <w:t>哈穆德先生</w:t>
      </w:r>
      <w:r w:rsidRPr="00BF42B7">
        <w:rPr>
          <w:szCs w:val="21"/>
        </w:rPr>
        <w:t>(</w:t>
      </w:r>
      <w:r w:rsidRPr="00BF42B7">
        <w:rPr>
          <w:szCs w:val="21"/>
        </w:rPr>
        <w:t>约旦</w:t>
      </w:r>
      <w:r w:rsidRPr="00BF42B7">
        <w:rPr>
          <w:szCs w:val="21"/>
        </w:rPr>
        <w:t>)</w:t>
      </w:r>
    </w:p>
    <w:p w:rsidR="00103498" w:rsidRPr="00BF42B7" w:rsidRDefault="00103498" w:rsidP="00E43C2A">
      <w:pPr>
        <w:pStyle w:val="SingleTxtGC"/>
        <w:ind w:left="1525"/>
        <w:rPr>
          <w:szCs w:val="21"/>
        </w:rPr>
      </w:pPr>
      <w:r w:rsidRPr="00BF42B7">
        <w:rPr>
          <w:szCs w:val="21"/>
        </w:rPr>
        <w:t>黄惠康先生</w:t>
      </w:r>
      <w:r w:rsidRPr="00BF42B7">
        <w:rPr>
          <w:szCs w:val="21"/>
        </w:rPr>
        <w:t>(</w:t>
      </w:r>
      <w:r w:rsidRPr="00BF42B7">
        <w:rPr>
          <w:rFonts w:hint="eastAsia"/>
          <w:szCs w:val="21"/>
        </w:rPr>
        <w:t>中华人民共和国</w:t>
      </w:r>
      <w:r w:rsidRPr="00BF42B7">
        <w:rPr>
          <w:szCs w:val="21"/>
        </w:rPr>
        <w:t>)</w:t>
      </w:r>
    </w:p>
    <w:p w:rsidR="00103498" w:rsidRPr="00BF42B7" w:rsidRDefault="00103498" w:rsidP="00E43C2A">
      <w:pPr>
        <w:pStyle w:val="SingleTxtGC"/>
        <w:ind w:left="1525"/>
        <w:rPr>
          <w:szCs w:val="21"/>
          <w:lang w:val="fr-FR"/>
        </w:rPr>
      </w:pPr>
      <w:r w:rsidRPr="00BF42B7">
        <w:rPr>
          <w:szCs w:val="21"/>
        </w:rPr>
        <w:t>玛丽</w:t>
      </w:r>
      <w:r w:rsidRPr="00BF42B7">
        <w:rPr>
          <w:rFonts w:hint="eastAsia"/>
        </w:rPr>
        <w:t>·</w:t>
      </w:r>
      <w:r w:rsidRPr="00BF42B7">
        <w:rPr>
          <w:szCs w:val="21"/>
        </w:rPr>
        <w:t>雅各布松女士</w:t>
      </w:r>
      <w:r w:rsidRPr="00BF42B7">
        <w:rPr>
          <w:szCs w:val="21"/>
        </w:rPr>
        <w:t>(</w:t>
      </w:r>
      <w:r w:rsidRPr="00BF42B7">
        <w:rPr>
          <w:szCs w:val="21"/>
        </w:rPr>
        <w:t>瑞典</w:t>
      </w:r>
      <w:r w:rsidRPr="00BF42B7">
        <w:rPr>
          <w:szCs w:val="21"/>
        </w:rPr>
        <w:t>)</w:t>
      </w:r>
    </w:p>
    <w:p w:rsidR="00103498" w:rsidRPr="00BF42B7" w:rsidRDefault="00103498" w:rsidP="00E43C2A">
      <w:pPr>
        <w:pStyle w:val="SingleTxtGC"/>
        <w:ind w:left="1525"/>
        <w:rPr>
          <w:szCs w:val="21"/>
        </w:rPr>
      </w:pPr>
      <w:r w:rsidRPr="00BF42B7">
        <w:rPr>
          <w:szCs w:val="21"/>
        </w:rPr>
        <w:t>莫里斯</w:t>
      </w:r>
      <w:r w:rsidRPr="00BF42B7">
        <w:rPr>
          <w:rFonts w:hint="eastAsia"/>
        </w:rPr>
        <w:t>·</w:t>
      </w:r>
      <w:r w:rsidRPr="00BF42B7">
        <w:rPr>
          <w:szCs w:val="21"/>
        </w:rPr>
        <w:t>卡姆托先生</w:t>
      </w:r>
      <w:r w:rsidRPr="00BF42B7">
        <w:rPr>
          <w:szCs w:val="21"/>
        </w:rPr>
        <w:t>(</w:t>
      </w:r>
      <w:r w:rsidRPr="00BF42B7">
        <w:rPr>
          <w:szCs w:val="21"/>
        </w:rPr>
        <w:t>喀麦隆</w:t>
      </w:r>
      <w:r w:rsidRPr="00BF42B7">
        <w:rPr>
          <w:szCs w:val="21"/>
        </w:rPr>
        <w:t>)</w:t>
      </w:r>
    </w:p>
    <w:p w:rsidR="00103498" w:rsidRPr="00BF42B7" w:rsidRDefault="00103498" w:rsidP="00E43C2A">
      <w:pPr>
        <w:pStyle w:val="SingleTxtGC"/>
        <w:ind w:left="1525"/>
        <w:rPr>
          <w:szCs w:val="21"/>
        </w:rPr>
      </w:pPr>
      <w:r w:rsidRPr="00BF42B7">
        <w:rPr>
          <w:szCs w:val="21"/>
        </w:rPr>
        <w:t>江萨</w:t>
      </w:r>
      <w:r w:rsidRPr="00BF42B7">
        <w:rPr>
          <w:rFonts w:hint="eastAsia"/>
        </w:rPr>
        <w:t>·</w:t>
      </w:r>
      <w:r w:rsidRPr="00BF42B7">
        <w:rPr>
          <w:szCs w:val="21"/>
        </w:rPr>
        <w:t>吉滴猜萨里先生</w:t>
      </w:r>
      <w:r w:rsidRPr="00BF42B7">
        <w:rPr>
          <w:szCs w:val="21"/>
        </w:rPr>
        <w:t>(</w:t>
      </w:r>
      <w:r w:rsidRPr="00BF42B7">
        <w:rPr>
          <w:szCs w:val="21"/>
        </w:rPr>
        <w:t>泰国</w:t>
      </w:r>
      <w:r w:rsidRPr="00BF42B7">
        <w:rPr>
          <w:szCs w:val="21"/>
        </w:rPr>
        <w:t>)</w:t>
      </w:r>
    </w:p>
    <w:p w:rsidR="00103498" w:rsidRPr="00BF42B7" w:rsidRDefault="00103498" w:rsidP="00E43C2A">
      <w:pPr>
        <w:pStyle w:val="SingleTxtGC"/>
        <w:ind w:left="1525"/>
        <w:rPr>
          <w:szCs w:val="21"/>
        </w:rPr>
      </w:pPr>
      <w:r w:rsidRPr="00BF42B7">
        <w:rPr>
          <w:szCs w:val="21"/>
        </w:rPr>
        <w:t>罗曼</w:t>
      </w:r>
      <w:r w:rsidRPr="00BF42B7">
        <w:rPr>
          <w:rFonts w:hint="eastAsia"/>
        </w:rPr>
        <w:t>·</w:t>
      </w:r>
      <w:r w:rsidRPr="00BF42B7">
        <w:rPr>
          <w:szCs w:val="21"/>
        </w:rPr>
        <w:t>阿</w:t>
      </w:r>
      <w:r w:rsidRPr="00BF42B7">
        <w:rPr>
          <w:rFonts w:hint="eastAsia"/>
        </w:rPr>
        <w:t>·</w:t>
      </w:r>
      <w:r w:rsidRPr="00BF42B7">
        <w:rPr>
          <w:szCs w:val="21"/>
        </w:rPr>
        <w:t>科洛德金先生</w:t>
      </w:r>
      <w:r w:rsidRPr="00BF42B7">
        <w:rPr>
          <w:szCs w:val="21"/>
        </w:rPr>
        <w:t>(</w:t>
      </w:r>
      <w:r w:rsidRPr="00BF42B7">
        <w:rPr>
          <w:szCs w:val="21"/>
        </w:rPr>
        <w:t>俄罗斯联邦</w:t>
      </w:r>
      <w:r w:rsidRPr="00BF42B7">
        <w:rPr>
          <w:szCs w:val="21"/>
        </w:rPr>
        <w:t>)</w:t>
      </w:r>
    </w:p>
    <w:p w:rsidR="00103498" w:rsidRPr="00BF42B7" w:rsidRDefault="00103498" w:rsidP="00E43C2A">
      <w:pPr>
        <w:pStyle w:val="SingleTxtGC"/>
        <w:ind w:left="1525"/>
        <w:rPr>
          <w:szCs w:val="21"/>
        </w:rPr>
      </w:pPr>
      <w:r w:rsidRPr="00BF42B7">
        <w:rPr>
          <w:szCs w:val="21"/>
        </w:rPr>
        <w:t>艾哈迈德</w:t>
      </w:r>
      <w:r w:rsidRPr="00BF42B7">
        <w:rPr>
          <w:rFonts w:hint="eastAsia"/>
        </w:rPr>
        <w:t>·</w:t>
      </w:r>
      <w:r w:rsidRPr="00BF42B7">
        <w:rPr>
          <w:szCs w:val="21"/>
        </w:rPr>
        <w:t>拉腊巴先生</w:t>
      </w:r>
      <w:r w:rsidRPr="00BF42B7">
        <w:rPr>
          <w:szCs w:val="21"/>
        </w:rPr>
        <w:t>(</w:t>
      </w:r>
      <w:r w:rsidRPr="00BF42B7">
        <w:rPr>
          <w:szCs w:val="21"/>
        </w:rPr>
        <w:t>阿尔及利亚</w:t>
      </w:r>
      <w:r w:rsidRPr="00BF42B7">
        <w:rPr>
          <w:szCs w:val="21"/>
        </w:rPr>
        <w:t>)</w:t>
      </w:r>
    </w:p>
    <w:p w:rsidR="00103498" w:rsidRPr="00BF42B7" w:rsidRDefault="00103498" w:rsidP="00E43C2A">
      <w:pPr>
        <w:pStyle w:val="SingleTxtGC"/>
        <w:ind w:left="1525"/>
        <w:rPr>
          <w:szCs w:val="21"/>
        </w:rPr>
      </w:pPr>
      <w:r w:rsidRPr="00BF42B7">
        <w:rPr>
          <w:szCs w:val="21"/>
        </w:rPr>
        <w:t>唐纳德</w:t>
      </w:r>
      <w:r w:rsidRPr="00BF42B7">
        <w:rPr>
          <w:rFonts w:hint="eastAsia"/>
        </w:rPr>
        <w:t>·</w:t>
      </w:r>
      <w:r w:rsidRPr="00BF42B7">
        <w:rPr>
          <w:szCs w:val="21"/>
        </w:rPr>
        <w:t>麦克雷先生</w:t>
      </w:r>
      <w:r w:rsidRPr="00BF42B7">
        <w:rPr>
          <w:szCs w:val="21"/>
        </w:rPr>
        <w:t>(</w:t>
      </w:r>
      <w:r w:rsidRPr="00BF42B7">
        <w:rPr>
          <w:szCs w:val="21"/>
        </w:rPr>
        <w:t>加拿大</w:t>
      </w:r>
      <w:r w:rsidRPr="00BF42B7">
        <w:rPr>
          <w:szCs w:val="21"/>
        </w:rPr>
        <w:t>)</w:t>
      </w:r>
    </w:p>
    <w:p w:rsidR="00103498" w:rsidRPr="00BF42B7" w:rsidRDefault="00103498" w:rsidP="00E43C2A">
      <w:pPr>
        <w:pStyle w:val="SingleTxtGC"/>
        <w:ind w:left="1525"/>
        <w:rPr>
          <w:szCs w:val="21"/>
        </w:rPr>
      </w:pPr>
      <w:r w:rsidRPr="00BF42B7">
        <w:rPr>
          <w:szCs w:val="21"/>
        </w:rPr>
        <w:t>村濑信也先生</w:t>
      </w:r>
      <w:r w:rsidRPr="00BF42B7">
        <w:rPr>
          <w:szCs w:val="21"/>
        </w:rPr>
        <w:t>(</w:t>
      </w:r>
      <w:r w:rsidRPr="00BF42B7">
        <w:rPr>
          <w:szCs w:val="21"/>
        </w:rPr>
        <w:t>日本</w:t>
      </w:r>
      <w:r w:rsidRPr="00BF42B7">
        <w:rPr>
          <w:szCs w:val="21"/>
        </w:rPr>
        <w:t>)</w:t>
      </w:r>
    </w:p>
    <w:p w:rsidR="00103498" w:rsidRPr="00BF42B7" w:rsidRDefault="00103498" w:rsidP="00E43C2A">
      <w:pPr>
        <w:pStyle w:val="SingleTxtGC"/>
        <w:ind w:left="1525"/>
        <w:rPr>
          <w:szCs w:val="21"/>
        </w:rPr>
      </w:pPr>
      <w:r w:rsidRPr="00BF42B7">
        <w:rPr>
          <w:szCs w:val="21"/>
        </w:rPr>
        <w:t>肖恩</w:t>
      </w:r>
      <w:r w:rsidRPr="00BF42B7">
        <w:rPr>
          <w:rFonts w:hint="eastAsia"/>
        </w:rPr>
        <w:t>·</w:t>
      </w:r>
      <w:r w:rsidRPr="00BF42B7">
        <w:rPr>
          <w:szCs w:val="21"/>
        </w:rPr>
        <w:t>墨菲先生</w:t>
      </w:r>
      <w:r w:rsidRPr="00BF42B7">
        <w:rPr>
          <w:szCs w:val="21"/>
        </w:rPr>
        <w:t>(</w:t>
      </w:r>
      <w:r w:rsidRPr="00BF42B7">
        <w:rPr>
          <w:szCs w:val="21"/>
        </w:rPr>
        <w:t>美利坚合众国</w:t>
      </w:r>
      <w:r w:rsidRPr="00BF42B7">
        <w:rPr>
          <w:szCs w:val="21"/>
        </w:rPr>
        <w:t>)</w:t>
      </w:r>
    </w:p>
    <w:p w:rsidR="00103498" w:rsidRPr="00BF42B7" w:rsidRDefault="00103498" w:rsidP="00E43C2A">
      <w:pPr>
        <w:pStyle w:val="SingleTxtGC"/>
        <w:ind w:left="1525"/>
        <w:rPr>
          <w:szCs w:val="21"/>
        </w:rPr>
      </w:pPr>
      <w:r w:rsidRPr="00BF42B7">
        <w:rPr>
          <w:szCs w:val="21"/>
        </w:rPr>
        <w:t>贝恩德</w:t>
      </w:r>
      <w:r w:rsidRPr="00BF42B7">
        <w:rPr>
          <w:rFonts w:hint="eastAsia"/>
        </w:rPr>
        <w:t>·</w:t>
      </w:r>
      <w:r w:rsidRPr="00BF42B7">
        <w:rPr>
          <w:szCs w:val="21"/>
        </w:rPr>
        <w:t>尼豪斯先生</w:t>
      </w:r>
      <w:r w:rsidRPr="00BF42B7">
        <w:rPr>
          <w:szCs w:val="21"/>
        </w:rPr>
        <w:t>(</w:t>
      </w:r>
      <w:r w:rsidRPr="00BF42B7">
        <w:rPr>
          <w:szCs w:val="21"/>
        </w:rPr>
        <w:t>哥斯达黎加</w:t>
      </w:r>
      <w:r w:rsidRPr="00BF42B7">
        <w:rPr>
          <w:szCs w:val="21"/>
        </w:rPr>
        <w:t>)</w:t>
      </w:r>
    </w:p>
    <w:p w:rsidR="00103498" w:rsidRPr="00BF42B7" w:rsidRDefault="00103498" w:rsidP="00E43C2A">
      <w:pPr>
        <w:pStyle w:val="SingleTxtGC"/>
        <w:ind w:left="1525"/>
        <w:rPr>
          <w:szCs w:val="21"/>
        </w:rPr>
      </w:pPr>
      <w:r w:rsidRPr="00BF42B7">
        <w:rPr>
          <w:szCs w:val="21"/>
        </w:rPr>
        <w:t>格奥尔格</w:t>
      </w:r>
      <w:r w:rsidRPr="00BF42B7">
        <w:rPr>
          <w:rFonts w:hint="eastAsia"/>
        </w:rPr>
        <w:t>·</w:t>
      </w:r>
      <w:r w:rsidRPr="00BF42B7">
        <w:rPr>
          <w:szCs w:val="21"/>
        </w:rPr>
        <w:t>诺尔特先生</w:t>
      </w:r>
      <w:r w:rsidRPr="00BF42B7">
        <w:rPr>
          <w:szCs w:val="21"/>
        </w:rPr>
        <w:t>(</w:t>
      </w:r>
      <w:r w:rsidRPr="00BF42B7">
        <w:rPr>
          <w:szCs w:val="21"/>
        </w:rPr>
        <w:t>德国</w:t>
      </w:r>
      <w:r w:rsidRPr="00BF42B7">
        <w:rPr>
          <w:szCs w:val="21"/>
        </w:rPr>
        <w:t>)</w:t>
      </w:r>
    </w:p>
    <w:p w:rsidR="00103498" w:rsidRPr="00BF42B7" w:rsidRDefault="00103498" w:rsidP="00E43C2A">
      <w:pPr>
        <w:pStyle w:val="SingleTxtGC"/>
        <w:ind w:left="1525"/>
        <w:rPr>
          <w:szCs w:val="21"/>
        </w:rPr>
      </w:pPr>
      <w:r w:rsidRPr="00BF42B7">
        <w:rPr>
          <w:szCs w:val="21"/>
        </w:rPr>
        <w:t>朴基甲先生</w:t>
      </w:r>
      <w:r w:rsidRPr="00BF42B7">
        <w:rPr>
          <w:szCs w:val="21"/>
        </w:rPr>
        <w:t>(</w:t>
      </w:r>
      <w:r w:rsidRPr="00BF42B7">
        <w:rPr>
          <w:szCs w:val="21"/>
        </w:rPr>
        <w:t>大韩民国</w:t>
      </w:r>
      <w:r w:rsidRPr="00BF42B7">
        <w:rPr>
          <w:szCs w:val="21"/>
        </w:rPr>
        <w:t>)</w:t>
      </w:r>
    </w:p>
    <w:p w:rsidR="00103498" w:rsidRPr="00BF42B7" w:rsidRDefault="00103498" w:rsidP="00E43C2A">
      <w:pPr>
        <w:pStyle w:val="SingleTxtGC"/>
        <w:ind w:left="1525"/>
        <w:rPr>
          <w:szCs w:val="21"/>
        </w:rPr>
      </w:pPr>
      <w:r w:rsidRPr="00BF42B7">
        <w:rPr>
          <w:szCs w:val="21"/>
        </w:rPr>
        <w:t>克里斯</w:t>
      </w:r>
      <w:r w:rsidRPr="00BF42B7">
        <w:rPr>
          <w:rFonts w:hint="eastAsia"/>
        </w:rPr>
        <w:t>·</w:t>
      </w:r>
      <w:r w:rsidRPr="00BF42B7">
        <w:rPr>
          <w:szCs w:val="21"/>
        </w:rPr>
        <w:t>马伊纳</w:t>
      </w:r>
      <w:r w:rsidRPr="00BF42B7">
        <w:rPr>
          <w:rFonts w:hint="eastAsia"/>
        </w:rPr>
        <w:t>·</w:t>
      </w:r>
      <w:r w:rsidRPr="00BF42B7">
        <w:rPr>
          <w:szCs w:val="21"/>
        </w:rPr>
        <w:t>彼得先生</w:t>
      </w:r>
      <w:r w:rsidRPr="00BF42B7">
        <w:rPr>
          <w:szCs w:val="21"/>
        </w:rPr>
        <w:t>(</w:t>
      </w:r>
      <w:r w:rsidRPr="00BF42B7">
        <w:rPr>
          <w:szCs w:val="21"/>
        </w:rPr>
        <w:t>坦桑尼亚联合共和国</w:t>
      </w:r>
      <w:r w:rsidRPr="00BF42B7">
        <w:rPr>
          <w:szCs w:val="21"/>
        </w:rPr>
        <w:t>)</w:t>
      </w:r>
    </w:p>
    <w:p w:rsidR="00103498" w:rsidRPr="00BF42B7" w:rsidRDefault="00103498" w:rsidP="00E43C2A">
      <w:pPr>
        <w:pStyle w:val="SingleTxtGC"/>
        <w:ind w:left="1525"/>
        <w:rPr>
          <w:szCs w:val="21"/>
        </w:rPr>
      </w:pPr>
      <w:r w:rsidRPr="00BF42B7">
        <w:rPr>
          <w:szCs w:val="21"/>
        </w:rPr>
        <w:t>埃内斯特</w:t>
      </w:r>
      <w:r w:rsidRPr="00BF42B7">
        <w:rPr>
          <w:rFonts w:hint="eastAsia"/>
        </w:rPr>
        <w:t>·</w:t>
      </w:r>
      <w:r w:rsidRPr="00BF42B7">
        <w:rPr>
          <w:szCs w:val="21"/>
        </w:rPr>
        <w:t>彼得里奇先生</w:t>
      </w:r>
      <w:r w:rsidRPr="00BF42B7">
        <w:rPr>
          <w:szCs w:val="21"/>
        </w:rPr>
        <w:t>(</w:t>
      </w:r>
      <w:r w:rsidRPr="00BF42B7">
        <w:rPr>
          <w:szCs w:val="21"/>
        </w:rPr>
        <w:t>斯洛文尼亚</w:t>
      </w:r>
      <w:r w:rsidRPr="00BF42B7">
        <w:rPr>
          <w:szCs w:val="21"/>
        </w:rPr>
        <w:t>)</w:t>
      </w:r>
    </w:p>
    <w:p w:rsidR="00103498" w:rsidRPr="00BF42B7" w:rsidRDefault="00103498" w:rsidP="00E43C2A">
      <w:pPr>
        <w:pStyle w:val="SingleTxtGC"/>
        <w:ind w:left="1525"/>
        <w:rPr>
          <w:szCs w:val="21"/>
        </w:rPr>
      </w:pPr>
      <w:r w:rsidRPr="00BF42B7">
        <w:rPr>
          <w:szCs w:val="21"/>
        </w:rPr>
        <w:t>吉尔贝托</w:t>
      </w:r>
      <w:r w:rsidRPr="00BF42B7">
        <w:rPr>
          <w:rFonts w:hint="eastAsia"/>
        </w:rPr>
        <w:t>·</w:t>
      </w:r>
      <w:r w:rsidRPr="00BF42B7">
        <w:rPr>
          <w:szCs w:val="21"/>
        </w:rPr>
        <w:t>贝尔涅</w:t>
      </w:r>
      <w:r w:rsidRPr="00BF42B7">
        <w:rPr>
          <w:rFonts w:hint="eastAsia"/>
        </w:rPr>
        <w:t>·</w:t>
      </w:r>
      <w:r w:rsidRPr="00BF42B7">
        <w:rPr>
          <w:szCs w:val="21"/>
        </w:rPr>
        <w:t>萨博亚先生</w:t>
      </w:r>
      <w:r w:rsidRPr="00BF42B7">
        <w:rPr>
          <w:szCs w:val="21"/>
        </w:rPr>
        <w:t>(</w:t>
      </w:r>
      <w:r w:rsidRPr="00BF42B7">
        <w:rPr>
          <w:szCs w:val="21"/>
        </w:rPr>
        <w:t>巴西</w:t>
      </w:r>
      <w:r w:rsidRPr="00BF42B7">
        <w:rPr>
          <w:szCs w:val="21"/>
        </w:rPr>
        <w:t>)</w:t>
      </w:r>
    </w:p>
    <w:p w:rsidR="00103498" w:rsidRPr="00BF42B7" w:rsidRDefault="00103498" w:rsidP="00E43C2A">
      <w:pPr>
        <w:pStyle w:val="SingleTxtGC"/>
        <w:ind w:left="1525"/>
        <w:rPr>
          <w:szCs w:val="21"/>
        </w:rPr>
      </w:pPr>
      <w:r w:rsidRPr="00BF42B7">
        <w:rPr>
          <w:szCs w:val="21"/>
        </w:rPr>
        <w:t>纳林德尔</w:t>
      </w:r>
      <w:r w:rsidRPr="00BF42B7">
        <w:rPr>
          <w:rFonts w:hint="eastAsia"/>
        </w:rPr>
        <w:t>·</w:t>
      </w:r>
      <w:r w:rsidRPr="00BF42B7">
        <w:rPr>
          <w:szCs w:val="21"/>
        </w:rPr>
        <w:t>辛格先生</w:t>
      </w:r>
      <w:r w:rsidRPr="00BF42B7">
        <w:rPr>
          <w:szCs w:val="21"/>
        </w:rPr>
        <w:t>(</w:t>
      </w:r>
      <w:r w:rsidRPr="00BF42B7">
        <w:rPr>
          <w:szCs w:val="21"/>
        </w:rPr>
        <w:t>印度</w:t>
      </w:r>
      <w:r w:rsidRPr="00BF42B7">
        <w:rPr>
          <w:szCs w:val="21"/>
        </w:rPr>
        <w:t>)</w:t>
      </w:r>
    </w:p>
    <w:p w:rsidR="00103498" w:rsidRPr="00BF42B7" w:rsidRDefault="00103498" w:rsidP="00E43C2A">
      <w:pPr>
        <w:pStyle w:val="SingleTxtGC"/>
        <w:ind w:left="1525"/>
        <w:rPr>
          <w:szCs w:val="21"/>
        </w:rPr>
      </w:pPr>
      <w:r w:rsidRPr="00BF42B7">
        <w:rPr>
          <w:szCs w:val="21"/>
        </w:rPr>
        <w:t>帕维尔</w:t>
      </w:r>
      <w:r w:rsidRPr="00BF42B7">
        <w:rPr>
          <w:rFonts w:hint="eastAsia"/>
        </w:rPr>
        <w:t>·</w:t>
      </w:r>
      <w:r w:rsidRPr="00BF42B7">
        <w:rPr>
          <w:szCs w:val="21"/>
        </w:rPr>
        <w:t>斯图尔马先生</w:t>
      </w:r>
      <w:r w:rsidRPr="00BF42B7">
        <w:rPr>
          <w:szCs w:val="21"/>
        </w:rPr>
        <w:t>(</w:t>
      </w:r>
      <w:r w:rsidRPr="00BF42B7">
        <w:rPr>
          <w:szCs w:val="21"/>
        </w:rPr>
        <w:t>捷克共和国</w:t>
      </w:r>
      <w:r w:rsidRPr="00BF42B7">
        <w:rPr>
          <w:szCs w:val="21"/>
        </w:rPr>
        <w:t>)</w:t>
      </w:r>
    </w:p>
    <w:p w:rsidR="00103498" w:rsidRPr="00BF42B7" w:rsidRDefault="00103498" w:rsidP="00E43C2A">
      <w:pPr>
        <w:pStyle w:val="SingleTxtGC"/>
        <w:ind w:left="1525"/>
        <w:rPr>
          <w:szCs w:val="21"/>
        </w:rPr>
      </w:pPr>
      <w:r w:rsidRPr="00BF42B7">
        <w:rPr>
          <w:szCs w:val="21"/>
        </w:rPr>
        <w:t>迪雷</w:t>
      </w:r>
      <w:r w:rsidRPr="00BF42B7">
        <w:rPr>
          <w:rFonts w:hint="eastAsia"/>
        </w:rPr>
        <w:t>·</w:t>
      </w:r>
      <w:r w:rsidRPr="00BF42B7">
        <w:rPr>
          <w:szCs w:val="21"/>
        </w:rPr>
        <w:t>特拉迪先生</w:t>
      </w:r>
      <w:r w:rsidRPr="00BF42B7">
        <w:rPr>
          <w:szCs w:val="21"/>
        </w:rPr>
        <w:t>(</w:t>
      </w:r>
      <w:r w:rsidRPr="00BF42B7">
        <w:rPr>
          <w:szCs w:val="21"/>
        </w:rPr>
        <w:t>南非</w:t>
      </w:r>
      <w:r w:rsidRPr="00BF42B7">
        <w:rPr>
          <w:szCs w:val="21"/>
        </w:rPr>
        <w:t>)</w:t>
      </w:r>
    </w:p>
    <w:p w:rsidR="00103498" w:rsidRPr="00BF42B7" w:rsidRDefault="00103498" w:rsidP="00E43C2A">
      <w:pPr>
        <w:pStyle w:val="SingleTxtGC"/>
        <w:ind w:left="1525"/>
        <w:rPr>
          <w:szCs w:val="21"/>
        </w:rPr>
      </w:pPr>
      <w:r w:rsidRPr="00BF42B7">
        <w:rPr>
          <w:szCs w:val="21"/>
        </w:rPr>
        <w:t>爱德华多</w:t>
      </w:r>
      <w:r w:rsidRPr="00BF42B7">
        <w:rPr>
          <w:rFonts w:hint="eastAsia"/>
        </w:rPr>
        <w:t>·</w:t>
      </w:r>
      <w:r w:rsidRPr="00BF42B7">
        <w:rPr>
          <w:szCs w:val="21"/>
        </w:rPr>
        <w:t>巴伦西亚－奥斯皮纳先生</w:t>
      </w:r>
      <w:r w:rsidRPr="00BF42B7">
        <w:rPr>
          <w:szCs w:val="21"/>
        </w:rPr>
        <w:t>(</w:t>
      </w:r>
      <w:r w:rsidRPr="00BF42B7">
        <w:rPr>
          <w:szCs w:val="21"/>
        </w:rPr>
        <w:t>哥伦比亚</w:t>
      </w:r>
      <w:r w:rsidRPr="00BF42B7">
        <w:rPr>
          <w:szCs w:val="21"/>
        </w:rPr>
        <w:t>)</w:t>
      </w:r>
    </w:p>
    <w:p w:rsidR="00103498" w:rsidRPr="00BF42B7" w:rsidRDefault="00103498" w:rsidP="00E43C2A">
      <w:pPr>
        <w:pStyle w:val="SingleTxtGC"/>
        <w:ind w:left="1525"/>
        <w:rPr>
          <w:szCs w:val="21"/>
        </w:rPr>
      </w:pPr>
      <w:r w:rsidRPr="00BF42B7">
        <w:rPr>
          <w:szCs w:val="21"/>
        </w:rPr>
        <w:t>马塞洛</w:t>
      </w:r>
      <w:r w:rsidRPr="00BF42B7">
        <w:rPr>
          <w:rFonts w:hint="eastAsia"/>
        </w:rPr>
        <w:t>·</w:t>
      </w:r>
      <w:r w:rsidRPr="00BF42B7">
        <w:rPr>
          <w:szCs w:val="21"/>
        </w:rPr>
        <w:t>巴斯克斯－贝穆德斯先生</w:t>
      </w:r>
      <w:r w:rsidRPr="00BF42B7">
        <w:rPr>
          <w:szCs w:val="21"/>
        </w:rPr>
        <w:t>(</w:t>
      </w:r>
      <w:r w:rsidRPr="00BF42B7">
        <w:rPr>
          <w:szCs w:val="21"/>
        </w:rPr>
        <w:t>厄瓜多尔</w:t>
      </w:r>
      <w:r w:rsidRPr="00BF42B7">
        <w:rPr>
          <w:szCs w:val="21"/>
        </w:rPr>
        <w:t>)</w:t>
      </w:r>
    </w:p>
    <w:p w:rsidR="00103498" w:rsidRPr="00BF42B7" w:rsidRDefault="00103498" w:rsidP="00E43C2A">
      <w:pPr>
        <w:pStyle w:val="SingleTxtGC"/>
        <w:ind w:left="1525"/>
        <w:rPr>
          <w:szCs w:val="21"/>
        </w:rPr>
      </w:pPr>
      <w:r w:rsidRPr="00BF42B7">
        <w:rPr>
          <w:szCs w:val="21"/>
        </w:rPr>
        <w:t>阿莫斯</w:t>
      </w:r>
      <w:r w:rsidRPr="00BF42B7">
        <w:rPr>
          <w:rFonts w:hint="eastAsia"/>
        </w:rPr>
        <w:t>·</w:t>
      </w:r>
      <w:r w:rsidRPr="00BF42B7">
        <w:rPr>
          <w:szCs w:val="21"/>
        </w:rPr>
        <w:t>瓦科先生</w:t>
      </w:r>
      <w:r w:rsidRPr="00BF42B7">
        <w:rPr>
          <w:szCs w:val="21"/>
        </w:rPr>
        <w:t>(</w:t>
      </w:r>
      <w:r w:rsidRPr="00BF42B7">
        <w:rPr>
          <w:szCs w:val="21"/>
        </w:rPr>
        <w:t>肯尼亚</w:t>
      </w:r>
      <w:r w:rsidRPr="00BF42B7">
        <w:rPr>
          <w:szCs w:val="21"/>
        </w:rPr>
        <w:t>)</w:t>
      </w:r>
    </w:p>
    <w:p w:rsidR="00103498" w:rsidRPr="00BF42B7" w:rsidRDefault="00103498" w:rsidP="00E43C2A">
      <w:pPr>
        <w:pStyle w:val="SingleTxtGC"/>
        <w:ind w:left="1525"/>
        <w:rPr>
          <w:szCs w:val="21"/>
        </w:rPr>
      </w:pPr>
      <w:r w:rsidRPr="00BF42B7">
        <w:rPr>
          <w:szCs w:val="21"/>
        </w:rPr>
        <w:t>努格罗霍</w:t>
      </w:r>
      <w:r w:rsidRPr="00BF42B7">
        <w:rPr>
          <w:rFonts w:hint="eastAsia"/>
        </w:rPr>
        <w:t>·</w:t>
      </w:r>
      <w:r w:rsidRPr="00BF42B7">
        <w:rPr>
          <w:szCs w:val="21"/>
        </w:rPr>
        <w:t>维斯努穆尔蒂先生</w:t>
      </w:r>
      <w:r w:rsidRPr="00BF42B7">
        <w:rPr>
          <w:szCs w:val="21"/>
        </w:rPr>
        <w:t>(</w:t>
      </w:r>
      <w:r w:rsidRPr="00BF42B7">
        <w:rPr>
          <w:szCs w:val="21"/>
        </w:rPr>
        <w:t>印度尼西亚</w:t>
      </w:r>
      <w:r w:rsidRPr="00BF42B7">
        <w:rPr>
          <w:szCs w:val="21"/>
        </w:rPr>
        <w:t>)</w:t>
      </w:r>
    </w:p>
    <w:p w:rsidR="00103498" w:rsidRPr="00BF42B7" w:rsidRDefault="00103498" w:rsidP="00E43C2A">
      <w:pPr>
        <w:pStyle w:val="SingleTxtGC"/>
        <w:ind w:left="1525"/>
        <w:rPr>
          <w:szCs w:val="21"/>
        </w:rPr>
      </w:pPr>
      <w:r w:rsidRPr="00BF42B7">
        <w:rPr>
          <w:szCs w:val="21"/>
        </w:rPr>
        <w:t>迈克尔</w:t>
      </w:r>
      <w:r w:rsidRPr="00BF42B7">
        <w:rPr>
          <w:rFonts w:hint="eastAsia"/>
        </w:rPr>
        <w:t>·</w:t>
      </w:r>
      <w:r w:rsidRPr="00BF42B7">
        <w:rPr>
          <w:szCs w:val="21"/>
        </w:rPr>
        <w:t>伍德</w:t>
      </w:r>
      <w:r w:rsidRPr="00BF42B7">
        <w:rPr>
          <w:rFonts w:hint="eastAsia"/>
          <w:szCs w:val="21"/>
        </w:rPr>
        <w:t>爵士</w:t>
      </w:r>
      <w:r w:rsidRPr="00BF42B7">
        <w:rPr>
          <w:szCs w:val="21"/>
        </w:rPr>
        <w:t>(</w:t>
      </w:r>
      <w:r w:rsidRPr="00BF42B7">
        <w:rPr>
          <w:szCs w:val="21"/>
        </w:rPr>
        <w:t>大不列颠及北爱尔兰联合王国</w:t>
      </w:r>
      <w:r w:rsidRPr="00BF42B7">
        <w:rPr>
          <w:szCs w:val="21"/>
        </w:rPr>
        <w:t>)</w:t>
      </w:r>
    </w:p>
    <w:p w:rsidR="00103498" w:rsidRPr="00BF42B7" w:rsidRDefault="00103498" w:rsidP="00E43C2A">
      <w:pPr>
        <w:pStyle w:val="H1GC"/>
        <w:rPr>
          <w:b/>
        </w:rPr>
      </w:pPr>
      <w:r w:rsidRPr="00BF42B7">
        <w:rPr>
          <w:rFonts w:hint="eastAsia"/>
          <w:bCs/>
        </w:rPr>
        <w:tab/>
      </w:r>
      <w:r w:rsidRPr="00BF42B7">
        <w:rPr>
          <w:bCs/>
        </w:rPr>
        <w:t>B</w:t>
      </w:r>
      <w:r w:rsidRPr="003D448F">
        <w:rPr>
          <w:bCs/>
        </w:rPr>
        <w:t>.</w:t>
      </w:r>
      <w:r w:rsidRPr="003D448F">
        <w:rPr>
          <w:bCs/>
        </w:rPr>
        <w:tab/>
      </w:r>
      <w:r w:rsidRPr="00BF42B7">
        <w:t>主席团成员和扩大的主席团</w:t>
      </w:r>
    </w:p>
    <w:p w:rsidR="00103498" w:rsidRPr="00BF42B7" w:rsidRDefault="00103498" w:rsidP="00E43C2A">
      <w:pPr>
        <w:pStyle w:val="SingleTxtGC"/>
      </w:pPr>
      <w:r w:rsidRPr="00BF42B7">
        <w:t>3.</w:t>
      </w:r>
      <w:r w:rsidR="00E43C2A" w:rsidRPr="00BF42B7">
        <w:rPr>
          <w:rFonts w:hint="eastAsia"/>
        </w:rPr>
        <w:t xml:space="preserve">  </w:t>
      </w:r>
      <w:r w:rsidRPr="00BF42B7">
        <w:t>在</w:t>
      </w:r>
      <w:r w:rsidRPr="00BF42B7">
        <w:t>2016</w:t>
      </w:r>
      <w:r w:rsidRPr="00BF42B7">
        <w:t>年</w:t>
      </w:r>
      <w:r w:rsidRPr="00BF42B7">
        <w:t>5</w:t>
      </w:r>
      <w:r w:rsidRPr="00BF42B7">
        <w:t>月</w:t>
      </w:r>
      <w:r w:rsidRPr="00BF42B7">
        <w:t>2</w:t>
      </w:r>
      <w:r w:rsidRPr="00BF42B7">
        <w:t>日举行的第</w:t>
      </w:r>
      <w:r w:rsidRPr="00BF42B7">
        <w:t>3291</w:t>
      </w:r>
      <w:r w:rsidRPr="00BF42B7">
        <w:t>次会议上，委员会选出了下列主席团成员：</w:t>
      </w:r>
    </w:p>
    <w:p w:rsidR="00103498" w:rsidRPr="00BF42B7" w:rsidRDefault="00103498" w:rsidP="00103498">
      <w:pPr>
        <w:pStyle w:val="SingleTxtGC"/>
        <w:tabs>
          <w:tab w:val="clear" w:pos="2427"/>
          <w:tab w:val="left" w:pos="3472"/>
        </w:tabs>
      </w:pPr>
      <w:r w:rsidRPr="00BF42B7">
        <w:tab/>
      </w:r>
      <w:r w:rsidRPr="00BF42B7">
        <w:t>主席：</w:t>
      </w:r>
      <w:r w:rsidRPr="00BF42B7">
        <w:tab/>
      </w:r>
      <w:r w:rsidRPr="00BF42B7">
        <w:t>佩德罗</w:t>
      </w:r>
      <w:r w:rsidRPr="00BF42B7">
        <w:rPr>
          <w:rFonts w:hint="eastAsia"/>
        </w:rPr>
        <w:t>·</w:t>
      </w:r>
      <w:r w:rsidRPr="00BF42B7">
        <w:t>科米萨里奥</w:t>
      </w:r>
      <w:r w:rsidRPr="00BF42B7">
        <w:rPr>
          <w:rFonts w:hint="eastAsia"/>
        </w:rPr>
        <w:t>·</w:t>
      </w:r>
      <w:r w:rsidRPr="00BF42B7">
        <w:t>阿丰索先生</w:t>
      </w:r>
      <w:r w:rsidRPr="00BF42B7">
        <w:t>(</w:t>
      </w:r>
      <w:r w:rsidRPr="00BF42B7">
        <w:t>莫桑比克</w:t>
      </w:r>
      <w:r w:rsidRPr="00BF42B7">
        <w:t>)</w:t>
      </w:r>
    </w:p>
    <w:p w:rsidR="00103498" w:rsidRPr="00BF42B7" w:rsidRDefault="00103498" w:rsidP="00103498">
      <w:pPr>
        <w:pStyle w:val="SingleTxtGC"/>
        <w:tabs>
          <w:tab w:val="clear" w:pos="2427"/>
          <w:tab w:val="left" w:pos="3472"/>
        </w:tabs>
      </w:pPr>
      <w:r w:rsidRPr="00BF42B7">
        <w:tab/>
      </w:r>
      <w:r w:rsidRPr="00BF42B7">
        <w:t>第一副主席：</w:t>
      </w:r>
      <w:r w:rsidRPr="00BF42B7">
        <w:tab/>
      </w:r>
      <w:r w:rsidRPr="00BF42B7">
        <w:t>格奥尔格</w:t>
      </w:r>
      <w:r w:rsidRPr="00BF42B7">
        <w:rPr>
          <w:rFonts w:hint="eastAsia"/>
        </w:rPr>
        <w:t>·</w:t>
      </w:r>
      <w:r w:rsidRPr="00BF42B7">
        <w:t>诺尔特先生</w:t>
      </w:r>
      <w:r w:rsidRPr="00BF42B7">
        <w:t>(</w:t>
      </w:r>
      <w:r w:rsidRPr="00BF42B7">
        <w:t>德国</w:t>
      </w:r>
      <w:r w:rsidRPr="00BF42B7">
        <w:t>)</w:t>
      </w:r>
    </w:p>
    <w:p w:rsidR="00103498" w:rsidRPr="00BF42B7" w:rsidRDefault="00103498" w:rsidP="00103498">
      <w:pPr>
        <w:pStyle w:val="SingleTxtGC"/>
        <w:tabs>
          <w:tab w:val="clear" w:pos="2427"/>
          <w:tab w:val="left" w:pos="3472"/>
        </w:tabs>
        <w:rPr>
          <w:szCs w:val="21"/>
        </w:rPr>
      </w:pPr>
      <w:r w:rsidRPr="00BF42B7">
        <w:rPr>
          <w:szCs w:val="21"/>
        </w:rPr>
        <w:tab/>
      </w:r>
      <w:r w:rsidRPr="00BF42B7">
        <w:rPr>
          <w:szCs w:val="21"/>
        </w:rPr>
        <w:t>第二副主席：</w:t>
      </w:r>
      <w:r w:rsidRPr="00BF42B7">
        <w:rPr>
          <w:szCs w:val="21"/>
        </w:rPr>
        <w:tab/>
      </w:r>
      <w:r w:rsidRPr="00BF42B7">
        <w:rPr>
          <w:szCs w:val="21"/>
        </w:rPr>
        <w:t>吉尔贝托</w:t>
      </w:r>
      <w:r w:rsidRPr="00BF42B7">
        <w:rPr>
          <w:rFonts w:hint="eastAsia"/>
        </w:rPr>
        <w:t>·</w:t>
      </w:r>
      <w:r w:rsidRPr="00BF42B7">
        <w:rPr>
          <w:szCs w:val="21"/>
        </w:rPr>
        <w:t>贝尔涅</w:t>
      </w:r>
      <w:r w:rsidRPr="00BF42B7">
        <w:rPr>
          <w:rFonts w:hint="eastAsia"/>
        </w:rPr>
        <w:t>·</w:t>
      </w:r>
      <w:r w:rsidRPr="00BF42B7">
        <w:rPr>
          <w:szCs w:val="21"/>
        </w:rPr>
        <w:t>萨博亚先生</w:t>
      </w:r>
      <w:r w:rsidRPr="00BF42B7">
        <w:rPr>
          <w:szCs w:val="21"/>
        </w:rPr>
        <w:t>(</w:t>
      </w:r>
      <w:r w:rsidRPr="00BF42B7">
        <w:rPr>
          <w:szCs w:val="21"/>
        </w:rPr>
        <w:t>巴西</w:t>
      </w:r>
      <w:r w:rsidRPr="00BF42B7">
        <w:rPr>
          <w:szCs w:val="21"/>
        </w:rPr>
        <w:t>)</w:t>
      </w:r>
    </w:p>
    <w:p w:rsidR="00103498" w:rsidRPr="00BF42B7" w:rsidRDefault="00103498" w:rsidP="00103498">
      <w:pPr>
        <w:pStyle w:val="SingleTxtGC"/>
        <w:tabs>
          <w:tab w:val="clear" w:pos="2427"/>
          <w:tab w:val="left" w:pos="3472"/>
        </w:tabs>
        <w:rPr>
          <w:szCs w:val="21"/>
        </w:rPr>
      </w:pPr>
      <w:r w:rsidRPr="00BF42B7">
        <w:rPr>
          <w:rFonts w:hint="eastAsia"/>
          <w:szCs w:val="21"/>
        </w:rPr>
        <w:tab/>
      </w:r>
      <w:r w:rsidRPr="00BF42B7">
        <w:rPr>
          <w:szCs w:val="21"/>
        </w:rPr>
        <w:t>起草委员会主席：</w:t>
      </w:r>
      <w:r w:rsidRPr="00BF42B7">
        <w:rPr>
          <w:szCs w:val="21"/>
        </w:rPr>
        <w:tab/>
      </w:r>
      <w:r w:rsidRPr="00BF42B7">
        <w:rPr>
          <w:szCs w:val="21"/>
        </w:rPr>
        <w:t>帕维尔</w:t>
      </w:r>
      <w:r w:rsidRPr="00BF42B7">
        <w:rPr>
          <w:rFonts w:hint="eastAsia"/>
        </w:rPr>
        <w:t>·</w:t>
      </w:r>
      <w:r w:rsidRPr="00BF42B7">
        <w:rPr>
          <w:szCs w:val="21"/>
        </w:rPr>
        <w:t>斯图尔马先生</w:t>
      </w:r>
      <w:r w:rsidRPr="00BF42B7">
        <w:rPr>
          <w:szCs w:val="21"/>
        </w:rPr>
        <w:t>(</w:t>
      </w:r>
      <w:r w:rsidRPr="00BF42B7">
        <w:rPr>
          <w:szCs w:val="21"/>
        </w:rPr>
        <w:t>捷克共和国</w:t>
      </w:r>
      <w:r w:rsidRPr="00BF42B7">
        <w:rPr>
          <w:szCs w:val="21"/>
        </w:rPr>
        <w:t>)</w:t>
      </w:r>
    </w:p>
    <w:p w:rsidR="00103498" w:rsidRPr="00BF42B7" w:rsidRDefault="00103498" w:rsidP="00103498">
      <w:pPr>
        <w:pStyle w:val="SingleTxtGC"/>
        <w:tabs>
          <w:tab w:val="clear" w:pos="2427"/>
          <w:tab w:val="left" w:pos="3472"/>
        </w:tabs>
        <w:rPr>
          <w:szCs w:val="21"/>
        </w:rPr>
      </w:pPr>
      <w:r w:rsidRPr="00BF42B7">
        <w:rPr>
          <w:rFonts w:hint="eastAsia"/>
          <w:szCs w:val="21"/>
        </w:rPr>
        <w:tab/>
      </w:r>
      <w:r w:rsidRPr="00BF42B7">
        <w:rPr>
          <w:szCs w:val="21"/>
        </w:rPr>
        <w:t>报告员：</w:t>
      </w:r>
      <w:r w:rsidRPr="00BF42B7">
        <w:rPr>
          <w:rFonts w:hint="eastAsia"/>
          <w:szCs w:val="21"/>
        </w:rPr>
        <w:tab/>
      </w:r>
      <w:r w:rsidRPr="00BF42B7">
        <w:t>朴基甲</w:t>
      </w:r>
      <w:r w:rsidRPr="00BF42B7">
        <w:rPr>
          <w:szCs w:val="21"/>
        </w:rPr>
        <w:t>先生</w:t>
      </w:r>
      <w:r w:rsidRPr="00BF42B7">
        <w:rPr>
          <w:szCs w:val="21"/>
        </w:rPr>
        <w:t>(</w:t>
      </w:r>
      <w:r w:rsidRPr="00BF42B7">
        <w:rPr>
          <w:szCs w:val="21"/>
        </w:rPr>
        <w:t>大韩民国</w:t>
      </w:r>
      <w:r w:rsidRPr="00BF42B7">
        <w:rPr>
          <w:szCs w:val="21"/>
        </w:rPr>
        <w:t>)</w:t>
      </w:r>
    </w:p>
    <w:p w:rsidR="00103498" w:rsidRPr="00BF42B7" w:rsidRDefault="00103498" w:rsidP="00971B6C">
      <w:pPr>
        <w:pStyle w:val="SingleTxtGC"/>
      </w:pPr>
      <w:r w:rsidRPr="00BF42B7">
        <w:t>4.</w:t>
      </w:r>
      <w:r w:rsidR="00A77784" w:rsidRPr="00BF42B7">
        <w:rPr>
          <w:rFonts w:hint="eastAsia"/>
        </w:rPr>
        <w:t xml:space="preserve">  </w:t>
      </w:r>
      <w:r w:rsidRPr="00BF42B7">
        <w:t>委员会扩大的主席团由本届会议主席团成员、委员会前任主席</w:t>
      </w:r>
      <w:r w:rsidR="00971B6C" w:rsidRPr="00BF42B7">
        <w:rPr>
          <w:rStyle w:val="a5"/>
          <w:szCs w:val="21"/>
        </w:rPr>
        <w:footnoteReference w:id="2"/>
      </w:r>
      <w:r w:rsidRPr="00BF42B7">
        <w:rPr>
          <w:rFonts w:hint="eastAsia"/>
          <w:color w:val="0000FF"/>
          <w:vertAlign w:val="superscript"/>
        </w:rPr>
        <w:t xml:space="preserve"> </w:t>
      </w:r>
      <w:r w:rsidRPr="00BF42B7">
        <w:t>和特别报告员组成。</w:t>
      </w:r>
      <w:r w:rsidRPr="00BF42B7">
        <w:rPr>
          <w:rStyle w:val="a5"/>
          <w:szCs w:val="21"/>
        </w:rPr>
        <w:footnoteReference w:id="3"/>
      </w:r>
    </w:p>
    <w:p w:rsidR="00103498" w:rsidRPr="00BF42B7" w:rsidRDefault="00103498" w:rsidP="00A77784">
      <w:pPr>
        <w:pStyle w:val="SingleTxtGC"/>
      </w:pPr>
      <w:r w:rsidRPr="00BF42B7">
        <w:t>5.</w:t>
      </w:r>
      <w:r w:rsidR="00A77784" w:rsidRPr="00BF42B7">
        <w:rPr>
          <w:rFonts w:hint="eastAsia"/>
        </w:rPr>
        <w:t xml:space="preserve">  </w:t>
      </w:r>
      <w:r w:rsidRPr="00BF42B7">
        <w:t>委员会设立了由下列委员组成的规划组：格奥尔格</w:t>
      </w:r>
      <w:r w:rsidRPr="00BF42B7">
        <w:rPr>
          <w:rFonts w:hint="eastAsia"/>
        </w:rPr>
        <w:t>·</w:t>
      </w:r>
      <w:r w:rsidRPr="00BF42B7">
        <w:t>诺尔特先生</w:t>
      </w:r>
      <w:r w:rsidRPr="00BF42B7">
        <w:t>(</w:t>
      </w:r>
      <w:r w:rsidRPr="00BF42B7">
        <w:t>主席</w:t>
      </w:r>
      <w:r w:rsidRPr="00BF42B7">
        <w:t>)</w:t>
      </w:r>
      <w:r w:rsidRPr="00BF42B7">
        <w:t>、卢修斯</w:t>
      </w:r>
      <w:r w:rsidRPr="00BF42B7">
        <w:rPr>
          <w:rFonts w:hint="eastAsia"/>
        </w:rPr>
        <w:t>·</w:t>
      </w:r>
      <w:r w:rsidRPr="00BF42B7">
        <w:t>卡弗利施先生、佩德罗</w:t>
      </w:r>
      <w:r w:rsidRPr="00BF42B7">
        <w:rPr>
          <w:rFonts w:hint="eastAsia"/>
        </w:rPr>
        <w:t>·</w:t>
      </w:r>
      <w:r w:rsidRPr="00BF42B7">
        <w:t>科米萨里奥</w:t>
      </w:r>
      <w:r w:rsidRPr="00BF42B7">
        <w:rPr>
          <w:rFonts w:hint="eastAsia"/>
        </w:rPr>
        <w:t>·</w:t>
      </w:r>
      <w:r w:rsidRPr="00BF42B7">
        <w:t>阿丰索先生、阿卜杜勒拉齐克</w:t>
      </w:r>
      <w:r w:rsidRPr="00BF42B7">
        <w:rPr>
          <w:rFonts w:hint="eastAsia"/>
        </w:rPr>
        <w:t>·</w:t>
      </w:r>
      <w:r w:rsidRPr="00BF42B7">
        <w:t>穆尔塔迪</w:t>
      </w:r>
      <w:r w:rsidRPr="00BF42B7">
        <w:rPr>
          <w:rFonts w:hint="eastAsia"/>
        </w:rPr>
        <w:t>·</w:t>
      </w:r>
      <w:r w:rsidRPr="00BF42B7">
        <w:t>苏莱曼</w:t>
      </w:r>
      <w:r w:rsidRPr="00BF42B7">
        <w:rPr>
          <w:rFonts w:hint="eastAsia"/>
        </w:rPr>
        <w:t>·</w:t>
      </w:r>
      <w:r w:rsidRPr="00BF42B7">
        <w:t>古伊德尔先生、康塞普西翁</w:t>
      </w:r>
      <w:r w:rsidRPr="00BF42B7">
        <w:rPr>
          <w:rFonts w:hint="eastAsia"/>
        </w:rPr>
        <w:t>·</w:t>
      </w:r>
      <w:r w:rsidRPr="00BF42B7">
        <w:t>埃斯科瓦尔</w:t>
      </w:r>
      <w:r w:rsidRPr="00BF42B7">
        <w:rPr>
          <w:rFonts w:hint="eastAsia"/>
        </w:rPr>
        <w:t>·</w:t>
      </w:r>
      <w:r w:rsidRPr="00BF42B7">
        <w:t>埃尔南德斯女士、马蒂亚斯</w:t>
      </w:r>
      <w:r w:rsidRPr="00BF42B7">
        <w:rPr>
          <w:rFonts w:hint="eastAsia"/>
        </w:rPr>
        <w:t>·</w:t>
      </w:r>
      <w:r w:rsidRPr="00BF42B7">
        <w:t>福尔托先生、侯赛因</w:t>
      </w:r>
      <w:r w:rsidRPr="00BF42B7">
        <w:rPr>
          <w:rFonts w:hint="eastAsia"/>
        </w:rPr>
        <w:t>·</w:t>
      </w:r>
      <w:r w:rsidRPr="00BF42B7">
        <w:t>哈苏纳先生、马哈茂德</w:t>
      </w:r>
      <w:r w:rsidRPr="00BF42B7">
        <w:rPr>
          <w:rFonts w:hint="eastAsia"/>
        </w:rPr>
        <w:t>·</w:t>
      </w:r>
      <w:r w:rsidRPr="00BF42B7">
        <w:t>哈穆德先生、玛丽</w:t>
      </w:r>
      <w:r w:rsidRPr="00BF42B7">
        <w:rPr>
          <w:rFonts w:hint="eastAsia"/>
        </w:rPr>
        <w:t>·</w:t>
      </w:r>
      <w:r w:rsidRPr="00BF42B7">
        <w:t>雅各布松女士、江萨</w:t>
      </w:r>
      <w:r w:rsidRPr="00BF42B7">
        <w:rPr>
          <w:rFonts w:hint="eastAsia"/>
        </w:rPr>
        <w:t>·</w:t>
      </w:r>
      <w:r w:rsidRPr="00BF42B7">
        <w:t>吉滴猜萨里先生、罗曼</w:t>
      </w:r>
      <w:r w:rsidRPr="00BF42B7">
        <w:rPr>
          <w:rFonts w:hint="eastAsia"/>
        </w:rPr>
        <w:t>·</w:t>
      </w:r>
      <w:r w:rsidRPr="00BF42B7">
        <w:t>阿</w:t>
      </w:r>
      <w:r w:rsidRPr="00BF42B7">
        <w:rPr>
          <w:rFonts w:hint="eastAsia"/>
        </w:rPr>
        <w:t>·</w:t>
      </w:r>
      <w:r w:rsidRPr="00BF42B7">
        <w:t>科洛德金先生、艾哈迈德</w:t>
      </w:r>
      <w:r w:rsidRPr="00BF42B7">
        <w:rPr>
          <w:rFonts w:hint="eastAsia"/>
        </w:rPr>
        <w:t>·</w:t>
      </w:r>
      <w:r w:rsidRPr="00BF42B7">
        <w:t>拉腊巴先生、唐纳德</w:t>
      </w:r>
      <w:r w:rsidRPr="00BF42B7">
        <w:rPr>
          <w:rFonts w:hint="eastAsia"/>
        </w:rPr>
        <w:t>·</w:t>
      </w:r>
      <w:r w:rsidRPr="00BF42B7">
        <w:t>麦克雷先生、村濑信也先生、肖恩</w:t>
      </w:r>
      <w:r w:rsidRPr="00BF42B7">
        <w:rPr>
          <w:rFonts w:hint="eastAsia"/>
        </w:rPr>
        <w:t>·</w:t>
      </w:r>
      <w:r w:rsidRPr="00BF42B7">
        <w:t>墨菲先生、贝恩德</w:t>
      </w:r>
      <w:r w:rsidRPr="00BF42B7">
        <w:rPr>
          <w:rFonts w:hint="eastAsia"/>
        </w:rPr>
        <w:t>·</w:t>
      </w:r>
      <w:r w:rsidRPr="00BF42B7">
        <w:t>尼豪斯先生、埃内斯特</w:t>
      </w:r>
      <w:r w:rsidRPr="00BF42B7">
        <w:rPr>
          <w:rFonts w:hint="eastAsia"/>
        </w:rPr>
        <w:t>·</w:t>
      </w:r>
      <w:r w:rsidRPr="00BF42B7">
        <w:t>彼得里奇先生、帕维尔</w:t>
      </w:r>
      <w:r w:rsidRPr="00BF42B7">
        <w:rPr>
          <w:rFonts w:hint="eastAsia"/>
        </w:rPr>
        <w:t>·</w:t>
      </w:r>
      <w:r w:rsidRPr="00BF42B7">
        <w:t>斯图尔马先生、迪雷</w:t>
      </w:r>
      <w:r w:rsidRPr="00BF42B7">
        <w:rPr>
          <w:rFonts w:hint="eastAsia"/>
        </w:rPr>
        <w:t>·</w:t>
      </w:r>
      <w:r w:rsidRPr="00BF42B7">
        <w:t>特拉迪先生、马塞洛</w:t>
      </w:r>
      <w:r w:rsidRPr="00BF42B7">
        <w:rPr>
          <w:rFonts w:hint="eastAsia"/>
        </w:rPr>
        <w:t>·</w:t>
      </w:r>
      <w:r w:rsidRPr="00BF42B7">
        <w:t>巴斯克斯－贝穆德斯先生、阿莫斯</w:t>
      </w:r>
      <w:r w:rsidRPr="00BF42B7">
        <w:rPr>
          <w:rFonts w:hint="eastAsia"/>
        </w:rPr>
        <w:t>·</w:t>
      </w:r>
      <w:r w:rsidRPr="00BF42B7">
        <w:t>瓦科先生、努格罗霍</w:t>
      </w:r>
      <w:r w:rsidRPr="00BF42B7">
        <w:rPr>
          <w:rFonts w:hint="eastAsia"/>
        </w:rPr>
        <w:t>·</w:t>
      </w:r>
      <w:r w:rsidRPr="00BF42B7">
        <w:t>维斯努穆尔蒂先生、迈克尔</w:t>
      </w:r>
      <w:r w:rsidRPr="00BF42B7">
        <w:rPr>
          <w:rFonts w:hint="eastAsia"/>
        </w:rPr>
        <w:t>·</w:t>
      </w:r>
      <w:r w:rsidRPr="00BF42B7">
        <w:t>伍德先生和朴基甲先生</w:t>
      </w:r>
      <w:r w:rsidRPr="00BF42B7">
        <w:t>(</w:t>
      </w:r>
      <w:r w:rsidRPr="00BF42B7">
        <w:t>当然成员</w:t>
      </w:r>
      <w:r w:rsidRPr="00BF42B7">
        <w:t>)</w:t>
      </w:r>
      <w:r w:rsidRPr="00BF42B7">
        <w:t>。</w:t>
      </w:r>
    </w:p>
    <w:p w:rsidR="00103498" w:rsidRPr="00BF42B7" w:rsidRDefault="00103498" w:rsidP="00103498">
      <w:pPr>
        <w:pStyle w:val="H1GC"/>
      </w:pPr>
      <w:r w:rsidRPr="00BF42B7">
        <w:rPr>
          <w:rFonts w:hint="eastAsia"/>
        </w:rPr>
        <w:tab/>
      </w:r>
      <w:r w:rsidRPr="00BF42B7">
        <w:t>C.</w:t>
      </w:r>
      <w:r w:rsidRPr="00BF42B7">
        <w:rPr>
          <w:rFonts w:hint="eastAsia"/>
        </w:rPr>
        <w:tab/>
      </w:r>
      <w:r w:rsidRPr="00BF42B7">
        <w:t>起草委员会</w:t>
      </w:r>
    </w:p>
    <w:p w:rsidR="00103498" w:rsidRPr="00BF42B7" w:rsidRDefault="00103498" w:rsidP="00A77784">
      <w:pPr>
        <w:pStyle w:val="SingleTxtGC"/>
      </w:pPr>
      <w:r w:rsidRPr="00BF42B7">
        <w:t>6.</w:t>
      </w:r>
      <w:r w:rsidR="00A77784" w:rsidRPr="00BF42B7">
        <w:rPr>
          <w:rFonts w:hint="eastAsia"/>
        </w:rPr>
        <w:t xml:space="preserve">  </w:t>
      </w:r>
      <w:r w:rsidRPr="00BF42B7">
        <w:t>委员会在分别于</w:t>
      </w:r>
      <w:r w:rsidRPr="00BF42B7">
        <w:t>2016</w:t>
      </w:r>
      <w:r w:rsidRPr="00BF42B7">
        <w:t>年</w:t>
      </w:r>
      <w:r w:rsidRPr="00BF42B7">
        <w:t>5</w:t>
      </w:r>
      <w:r w:rsidRPr="00BF42B7">
        <w:t>月</w:t>
      </w:r>
      <w:r w:rsidRPr="00BF42B7">
        <w:t>10</w:t>
      </w:r>
      <w:r w:rsidRPr="00BF42B7">
        <w:t>日、</w:t>
      </w:r>
      <w:r w:rsidRPr="00BF42B7">
        <w:t>20</w:t>
      </w:r>
      <w:r w:rsidRPr="00BF42B7">
        <w:t>日、</w:t>
      </w:r>
      <w:r w:rsidRPr="00BF42B7">
        <w:t>25</w:t>
      </w:r>
      <w:r w:rsidRPr="00BF42B7">
        <w:t>日和</w:t>
      </w:r>
      <w:r w:rsidRPr="00BF42B7">
        <w:t>31</w:t>
      </w:r>
      <w:r w:rsidRPr="00BF42B7">
        <w:t>日、</w:t>
      </w:r>
      <w:r w:rsidRPr="00BF42B7">
        <w:t>6</w:t>
      </w:r>
      <w:r w:rsidRPr="00BF42B7">
        <w:t>月</w:t>
      </w:r>
      <w:r w:rsidRPr="00BF42B7">
        <w:t>7</w:t>
      </w:r>
      <w:r w:rsidRPr="00BF42B7">
        <w:t>日以及</w:t>
      </w:r>
      <w:r w:rsidRPr="00BF42B7">
        <w:t>7</w:t>
      </w:r>
      <w:r w:rsidRPr="00BF42B7">
        <w:t>月</w:t>
      </w:r>
      <w:r w:rsidRPr="00BF42B7">
        <w:t>5</w:t>
      </w:r>
      <w:r w:rsidRPr="00BF42B7">
        <w:t>日和</w:t>
      </w:r>
      <w:r w:rsidRPr="00BF42B7">
        <w:t>18</w:t>
      </w:r>
      <w:r w:rsidRPr="00BF42B7">
        <w:t>日举行的第</w:t>
      </w:r>
      <w:r w:rsidRPr="00BF42B7">
        <w:t>3295</w:t>
      </w:r>
      <w:r w:rsidRPr="00BF42B7">
        <w:t>、</w:t>
      </w:r>
      <w:r w:rsidRPr="00BF42B7">
        <w:t>3302</w:t>
      </w:r>
      <w:r w:rsidRPr="00BF42B7">
        <w:t>、</w:t>
      </w:r>
      <w:r w:rsidRPr="00BF42B7">
        <w:t>3304</w:t>
      </w:r>
      <w:r w:rsidRPr="00BF42B7">
        <w:t>、</w:t>
      </w:r>
      <w:r w:rsidRPr="00BF42B7">
        <w:t>3307</w:t>
      </w:r>
      <w:r w:rsidRPr="00BF42B7">
        <w:t>、</w:t>
      </w:r>
      <w:r w:rsidRPr="00BF42B7">
        <w:t>3311</w:t>
      </w:r>
      <w:r w:rsidRPr="00BF42B7">
        <w:t>、</w:t>
      </w:r>
      <w:r w:rsidRPr="00BF42B7">
        <w:t>3315</w:t>
      </w:r>
      <w:r w:rsidRPr="00BF42B7">
        <w:t>和</w:t>
      </w:r>
      <w:r w:rsidRPr="00BF42B7">
        <w:t>3322</w:t>
      </w:r>
      <w:r w:rsidRPr="00BF42B7">
        <w:t>次会议上，为下列专题设立了由下列委员组成的起草委员会：</w:t>
      </w:r>
    </w:p>
    <w:p w:rsidR="00103498" w:rsidRPr="00BF42B7" w:rsidRDefault="00103498" w:rsidP="00396D56">
      <w:pPr>
        <w:pStyle w:val="SingleTxtGC"/>
        <w:numPr>
          <w:ilvl w:val="0"/>
          <w:numId w:val="11"/>
        </w:numPr>
      </w:pPr>
      <w:r w:rsidRPr="00BF42B7">
        <w:rPr>
          <w:rFonts w:ascii="Time New Roman" w:eastAsia="楷体" w:hAnsi="Time New Roman"/>
        </w:rPr>
        <w:t>发生灾害时的人员保护：</w:t>
      </w:r>
      <w:r w:rsidRPr="00BF42B7">
        <w:t>帕维尔</w:t>
      </w:r>
      <w:r w:rsidRPr="00BF42B7">
        <w:rPr>
          <w:rFonts w:hint="eastAsia"/>
        </w:rPr>
        <w:t>·</w:t>
      </w:r>
      <w:r w:rsidRPr="00BF42B7">
        <w:t>斯图尔马先生</w:t>
      </w:r>
      <w:r w:rsidRPr="00BF42B7">
        <w:t>(</w:t>
      </w:r>
      <w:r w:rsidRPr="00BF42B7">
        <w:t>主席</w:t>
      </w:r>
      <w:r w:rsidRPr="00BF42B7">
        <w:t>)</w:t>
      </w:r>
      <w:r w:rsidRPr="00BF42B7">
        <w:t>、爱德华多</w:t>
      </w:r>
      <w:r w:rsidRPr="00BF42B7">
        <w:rPr>
          <w:rFonts w:hint="eastAsia"/>
        </w:rPr>
        <w:t>·</w:t>
      </w:r>
      <w:r w:rsidRPr="00BF42B7">
        <w:t>巴伦西亚－奥斯皮纳先生</w:t>
      </w:r>
      <w:r w:rsidRPr="00BF42B7">
        <w:t>(</w:t>
      </w:r>
      <w:r w:rsidRPr="00BF42B7">
        <w:t>特别报告员</w:t>
      </w:r>
      <w:r w:rsidRPr="00BF42B7">
        <w:t>)</w:t>
      </w:r>
      <w:r w:rsidRPr="00BF42B7">
        <w:t>、马蒂亚斯</w:t>
      </w:r>
      <w:r w:rsidRPr="00BF42B7">
        <w:rPr>
          <w:rFonts w:hint="eastAsia"/>
        </w:rPr>
        <w:t>·</w:t>
      </w:r>
      <w:r w:rsidRPr="00BF42B7">
        <w:t>福尔托先生、马哈茂德</w:t>
      </w:r>
      <w:r w:rsidRPr="00BF42B7">
        <w:rPr>
          <w:rFonts w:hint="eastAsia"/>
        </w:rPr>
        <w:t>·</w:t>
      </w:r>
      <w:r w:rsidRPr="00BF42B7">
        <w:t>哈穆德先生、黄惠康先生、莫里斯</w:t>
      </w:r>
      <w:r w:rsidRPr="00BF42B7">
        <w:rPr>
          <w:rFonts w:hint="eastAsia"/>
        </w:rPr>
        <w:t>·</w:t>
      </w:r>
      <w:r w:rsidRPr="00BF42B7">
        <w:t>卡姆托先生、江萨</w:t>
      </w:r>
      <w:r w:rsidRPr="00BF42B7">
        <w:rPr>
          <w:rFonts w:hint="eastAsia"/>
        </w:rPr>
        <w:t>·</w:t>
      </w:r>
      <w:r w:rsidRPr="00BF42B7">
        <w:t>吉滴猜萨里先生、罗曼</w:t>
      </w:r>
      <w:r w:rsidRPr="00BF42B7">
        <w:rPr>
          <w:rFonts w:hint="eastAsia"/>
        </w:rPr>
        <w:t>·</w:t>
      </w:r>
      <w:r w:rsidRPr="00BF42B7">
        <w:t>阿</w:t>
      </w:r>
      <w:r w:rsidRPr="00BF42B7">
        <w:rPr>
          <w:rFonts w:hint="eastAsia"/>
        </w:rPr>
        <w:t>·</w:t>
      </w:r>
      <w:r w:rsidRPr="00BF42B7">
        <w:t>科洛德金先生、唐纳德</w:t>
      </w:r>
      <w:r w:rsidRPr="00BF42B7">
        <w:rPr>
          <w:rFonts w:hint="eastAsia"/>
        </w:rPr>
        <w:t>·</w:t>
      </w:r>
      <w:r w:rsidRPr="00BF42B7">
        <w:t>麦克雷先生、肖恩</w:t>
      </w:r>
      <w:r w:rsidRPr="00BF42B7">
        <w:rPr>
          <w:rFonts w:hint="eastAsia"/>
        </w:rPr>
        <w:t>·</w:t>
      </w:r>
      <w:r w:rsidRPr="00BF42B7">
        <w:t>墨菲先生、格奥尔格</w:t>
      </w:r>
      <w:r w:rsidRPr="00BF42B7">
        <w:rPr>
          <w:rFonts w:hint="eastAsia"/>
        </w:rPr>
        <w:t>·</w:t>
      </w:r>
      <w:r w:rsidRPr="00BF42B7">
        <w:t>诺尔特先生、埃内斯特</w:t>
      </w:r>
      <w:r w:rsidRPr="00BF42B7">
        <w:rPr>
          <w:rFonts w:hint="eastAsia"/>
        </w:rPr>
        <w:t>·</w:t>
      </w:r>
      <w:r w:rsidRPr="00BF42B7">
        <w:t>彼得里奇先生、吉尔贝托</w:t>
      </w:r>
      <w:r w:rsidRPr="00BF42B7">
        <w:rPr>
          <w:rFonts w:hint="eastAsia"/>
        </w:rPr>
        <w:t>·</w:t>
      </w:r>
      <w:r w:rsidRPr="00BF42B7">
        <w:t>贝尔涅</w:t>
      </w:r>
      <w:r w:rsidRPr="00BF42B7">
        <w:rPr>
          <w:rFonts w:hint="eastAsia"/>
        </w:rPr>
        <w:t>·</w:t>
      </w:r>
      <w:r w:rsidRPr="00BF42B7">
        <w:t>萨博亚先生、纳林德尔</w:t>
      </w:r>
      <w:r w:rsidRPr="00BF42B7">
        <w:rPr>
          <w:rFonts w:hint="eastAsia"/>
        </w:rPr>
        <w:t>·</w:t>
      </w:r>
      <w:r w:rsidRPr="00BF42B7">
        <w:t>辛格先生、马塞洛</w:t>
      </w:r>
      <w:r w:rsidRPr="00BF42B7">
        <w:rPr>
          <w:rFonts w:hint="eastAsia"/>
        </w:rPr>
        <w:t>·</w:t>
      </w:r>
      <w:r w:rsidRPr="00BF42B7">
        <w:t>巴斯克斯－贝穆德斯先生、迈克尔</w:t>
      </w:r>
      <w:r w:rsidRPr="00BF42B7">
        <w:rPr>
          <w:rFonts w:hint="eastAsia"/>
        </w:rPr>
        <w:t>·</w:t>
      </w:r>
      <w:r w:rsidRPr="00BF42B7">
        <w:t>伍德先生和朴基甲先生</w:t>
      </w:r>
      <w:r w:rsidRPr="00BF42B7">
        <w:t>(</w:t>
      </w:r>
      <w:r w:rsidRPr="00BF42B7">
        <w:t>当然成员</w:t>
      </w:r>
      <w:r w:rsidRPr="00BF42B7">
        <w:t>)</w:t>
      </w:r>
      <w:r w:rsidRPr="00BF42B7">
        <w:t>。</w:t>
      </w:r>
    </w:p>
    <w:p w:rsidR="00103498" w:rsidRPr="00BF42B7" w:rsidRDefault="00103498" w:rsidP="00396D56">
      <w:pPr>
        <w:pStyle w:val="SingleTxtGC"/>
        <w:numPr>
          <w:ilvl w:val="0"/>
          <w:numId w:val="11"/>
        </w:numPr>
        <w:rPr>
          <w:szCs w:val="21"/>
        </w:rPr>
      </w:pPr>
      <w:r w:rsidRPr="00BF42B7">
        <w:rPr>
          <w:rFonts w:ascii="Time New Roman" w:eastAsia="楷体" w:hAnsi="Time New Roman"/>
          <w:kern w:val="14"/>
          <w:szCs w:val="21"/>
        </w:rPr>
        <w:t>危害人类罪：</w:t>
      </w:r>
      <w:r w:rsidRPr="00BF42B7">
        <w:rPr>
          <w:kern w:val="14"/>
          <w:szCs w:val="21"/>
        </w:rPr>
        <w:t>帕维尔</w:t>
      </w:r>
      <w:r w:rsidRPr="00BF42B7">
        <w:rPr>
          <w:rFonts w:hint="eastAsia"/>
        </w:rPr>
        <w:t>·</w:t>
      </w:r>
      <w:r w:rsidRPr="00BF42B7">
        <w:rPr>
          <w:kern w:val="14"/>
          <w:szCs w:val="21"/>
        </w:rPr>
        <w:t>斯图尔马先生</w:t>
      </w:r>
      <w:r w:rsidRPr="00BF42B7">
        <w:rPr>
          <w:szCs w:val="21"/>
        </w:rPr>
        <w:t>(</w:t>
      </w:r>
      <w:r w:rsidRPr="00BF42B7">
        <w:rPr>
          <w:szCs w:val="21"/>
        </w:rPr>
        <w:t>主席</w:t>
      </w:r>
      <w:r w:rsidRPr="00BF42B7">
        <w:rPr>
          <w:szCs w:val="21"/>
        </w:rPr>
        <w:t>)</w:t>
      </w:r>
      <w:r w:rsidRPr="00BF42B7">
        <w:rPr>
          <w:szCs w:val="21"/>
        </w:rPr>
        <w:t>、肖恩</w:t>
      </w:r>
      <w:r w:rsidRPr="00BF42B7">
        <w:rPr>
          <w:rFonts w:hint="eastAsia"/>
        </w:rPr>
        <w:t>·</w:t>
      </w:r>
      <w:r w:rsidRPr="00BF42B7">
        <w:rPr>
          <w:szCs w:val="21"/>
        </w:rPr>
        <w:t>墨菲先生</w:t>
      </w:r>
      <w:r w:rsidRPr="00BF42B7">
        <w:rPr>
          <w:szCs w:val="21"/>
        </w:rPr>
        <w:t>(</w:t>
      </w:r>
      <w:r w:rsidRPr="00BF42B7">
        <w:rPr>
          <w:szCs w:val="21"/>
        </w:rPr>
        <w:t>特别报告员</w:t>
      </w:r>
      <w:r w:rsidRPr="00BF42B7">
        <w:rPr>
          <w:szCs w:val="21"/>
        </w:rPr>
        <w:t>)</w:t>
      </w:r>
      <w:r w:rsidRPr="00BF42B7">
        <w:rPr>
          <w:szCs w:val="21"/>
        </w:rPr>
        <w:t>、康塞普西翁</w:t>
      </w:r>
      <w:r w:rsidRPr="00BF42B7">
        <w:rPr>
          <w:rFonts w:hint="eastAsia"/>
        </w:rPr>
        <w:t>·</w:t>
      </w:r>
      <w:r w:rsidRPr="00BF42B7">
        <w:rPr>
          <w:szCs w:val="21"/>
        </w:rPr>
        <w:t>埃斯科瓦尔</w:t>
      </w:r>
      <w:r w:rsidRPr="00BF42B7">
        <w:rPr>
          <w:rFonts w:hint="eastAsia"/>
        </w:rPr>
        <w:t>·</w:t>
      </w:r>
      <w:r w:rsidRPr="00BF42B7">
        <w:rPr>
          <w:szCs w:val="21"/>
        </w:rPr>
        <w:t>埃尔南德斯女士、马蒂亚斯</w:t>
      </w:r>
      <w:r w:rsidRPr="00BF42B7">
        <w:rPr>
          <w:rFonts w:hint="eastAsia"/>
        </w:rPr>
        <w:t>·</w:t>
      </w:r>
      <w:r w:rsidRPr="00BF42B7">
        <w:rPr>
          <w:szCs w:val="21"/>
        </w:rPr>
        <w:t>福尔托先生、马哈茂德</w:t>
      </w:r>
      <w:r w:rsidRPr="00BF42B7">
        <w:rPr>
          <w:rFonts w:hint="eastAsia"/>
        </w:rPr>
        <w:t>·</w:t>
      </w:r>
      <w:r w:rsidRPr="00BF42B7">
        <w:rPr>
          <w:szCs w:val="21"/>
        </w:rPr>
        <w:t>哈穆德先生、莫里斯</w:t>
      </w:r>
      <w:r w:rsidRPr="00BF42B7">
        <w:rPr>
          <w:rFonts w:hint="eastAsia"/>
        </w:rPr>
        <w:t>·</w:t>
      </w:r>
      <w:r w:rsidRPr="00BF42B7">
        <w:rPr>
          <w:szCs w:val="21"/>
        </w:rPr>
        <w:t>卡姆托先生、江萨</w:t>
      </w:r>
      <w:r w:rsidRPr="00BF42B7">
        <w:rPr>
          <w:rFonts w:hint="eastAsia"/>
        </w:rPr>
        <w:t>·</w:t>
      </w:r>
      <w:r w:rsidRPr="00BF42B7">
        <w:rPr>
          <w:szCs w:val="21"/>
        </w:rPr>
        <w:t>吉滴猜萨里先生、罗曼</w:t>
      </w:r>
      <w:r w:rsidRPr="00BF42B7">
        <w:rPr>
          <w:rFonts w:hint="eastAsia"/>
        </w:rPr>
        <w:t>·</w:t>
      </w:r>
      <w:r w:rsidRPr="00BF42B7">
        <w:rPr>
          <w:szCs w:val="21"/>
        </w:rPr>
        <w:t>阿</w:t>
      </w:r>
      <w:r w:rsidRPr="00BF42B7">
        <w:rPr>
          <w:rFonts w:hint="eastAsia"/>
        </w:rPr>
        <w:t>·</w:t>
      </w:r>
      <w:r w:rsidRPr="00BF42B7">
        <w:rPr>
          <w:szCs w:val="21"/>
        </w:rPr>
        <w:t>科洛德金先生、唐纳德</w:t>
      </w:r>
      <w:r w:rsidRPr="00BF42B7">
        <w:rPr>
          <w:rFonts w:hint="eastAsia"/>
        </w:rPr>
        <w:t>·</w:t>
      </w:r>
      <w:r w:rsidRPr="00BF42B7">
        <w:rPr>
          <w:szCs w:val="21"/>
        </w:rPr>
        <w:t>麦克雷先生、埃内斯特</w:t>
      </w:r>
      <w:r w:rsidRPr="00BF42B7">
        <w:rPr>
          <w:rFonts w:hint="eastAsia"/>
        </w:rPr>
        <w:t>·</w:t>
      </w:r>
      <w:r w:rsidRPr="00BF42B7">
        <w:rPr>
          <w:szCs w:val="21"/>
        </w:rPr>
        <w:t>彼得里奇先生、吉尔贝托</w:t>
      </w:r>
      <w:r w:rsidRPr="00BF42B7">
        <w:rPr>
          <w:rFonts w:hint="eastAsia"/>
        </w:rPr>
        <w:t>·</w:t>
      </w:r>
      <w:r w:rsidRPr="00BF42B7">
        <w:rPr>
          <w:szCs w:val="21"/>
        </w:rPr>
        <w:t>贝尔涅</w:t>
      </w:r>
      <w:r w:rsidRPr="00BF42B7">
        <w:rPr>
          <w:rFonts w:hint="eastAsia"/>
        </w:rPr>
        <w:t>·</w:t>
      </w:r>
      <w:r w:rsidRPr="00BF42B7">
        <w:rPr>
          <w:szCs w:val="21"/>
        </w:rPr>
        <w:t>萨博亚先生、纳林德尔</w:t>
      </w:r>
      <w:r w:rsidRPr="00BF42B7">
        <w:rPr>
          <w:rFonts w:hint="eastAsia"/>
        </w:rPr>
        <w:t>·</w:t>
      </w:r>
      <w:r w:rsidRPr="00BF42B7">
        <w:rPr>
          <w:szCs w:val="21"/>
        </w:rPr>
        <w:t>辛格先生、马塞洛</w:t>
      </w:r>
      <w:r w:rsidRPr="00BF42B7">
        <w:rPr>
          <w:rFonts w:hint="eastAsia"/>
        </w:rPr>
        <w:t>·</w:t>
      </w:r>
      <w:r w:rsidRPr="00BF42B7">
        <w:rPr>
          <w:szCs w:val="21"/>
        </w:rPr>
        <w:t>巴斯克斯－贝穆德斯先生、阿莫斯</w:t>
      </w:r>
      <w:r w:rsidRPr="00BF42B7">
        <w:rPr>
          <w:rFonts w:hint="eastAsia"/>
        </w:rPr>
        <w:t>·</w:t>
      </w:r>
      <w:r w:rsidRPr="00BF42B7">
        <w:rPr>
          <w:szCs w:val="21"/>
        </w:rPr>
        <w:t>瓦科先生、迈克尔</w:t>
      </w:r>
      <w:r w:rsidRPr="00BF42B7">
        <w:rPr>
          <w:rFonts w:hint="eastAsia"/>
        </w:rPr>
        <w:t>·</w:t>
      </w:r>
      <w:r w:rsidRPr="00BF42B7">
        <w:rPr>
          <w:szCs w:val="21"/>
        </w:rPr>
        <w:t>伍德先生和朴基甲先生</w:t>
      </w:r>
      <w:r w:rsidRPr="00BF42B7">
        <w:rPr>
          <w:szCs w:val="21"/>
        </w:rPr>
        <w:t>(</w:t>
      </w:r>
      <w:r w:rsidRPr="00BF42B7">
        <w:rPr>
          <w:szCs w:val="21"/>
        </w:rPr>
        <w:t>当然成员</w:t>
      </w:r>
      <w:r w:rsidRPr="00BF42B7">
        <w:rPr>
          <w:szCs w:val="21"/>
        </w:rPr>
        <w:t>)</w:t>
      </w:r>
      <w:r w:rsidRPr="00BF42B7">
        <w:rPr>
          <w:szCs w:val="21"/>
        </w:rPr>
        <w:t>。</w:t>
      </w:r>
    </w:p>
    <w:p w:rsidR="00103498" w:rsidRPr="00BF42B7" w:rsidRDefault="00103498" w:rsidP="00396D56">
      <w:pPr>
        <w:pStyle w:val="SingleTxtGC"/>
        <w:numPr>
          <w:ilvl w:val="0"/>
          <w:numId w:val="11"/>
        </w:numPr>
        <w:rPr>
          <w:szCs w:val="21"/>
        </w:rPr>
      </w:pPr>
      <w:r w:rsidRPr="00BF42B7">
        <w:rPr>
          <w:rFonts w:ascii="Time New Roman" w:eastAsia="楷体" w:hAnsi="Time New Roman"/>
          <w:kern w:val="14"/>
          <w:szCs w:val="21"/>
        </w:rPr>
        <w:t>习惯国际法的识别：</w:t>
      </w:r>
      <w:r w:rsidRPr="00BF42B7">
        <w:rPr>
          <w:kern w:val="14"/>
          <w:szCs w:val="21"/>
        </w:rPr>
        <w:t>帕维尔</w:t>
      </w:r>
      <w:r w:rsidRPr="00BF42B7">
        <w:rPr>
          <w:rFonts w:hint="eastAsia"/>
        </w:rPr>
        <w:t>·</w:t>
      </w:r>
      <w:r w:rsidRPr="00BF42B7">
        <w:rPr>
          <w:kern w:val="14"/>
          <w:szCs w:val="21"/>
        </w:rPr>
        <w:t>斯图尔马先生</w:t>
      </w:r>
      <w:r w:rsidRPr="00BF42B7">
        <w:rPr>
          <w:szCs w:val="21"/>
        </w:rPr>
        <w:t>帕维尔</w:t>
      </w:r>
      <w:r w:rsidRPr="00BF42B7">
        <w:rPr>
          <w:rFonts w:hint="eastAsia"/>
        </w:rPr>
        <w:t>·</w:t>
      </w:r>
      <w:r w:rsidRPr="00BF42B7">
        <w:rPr>
          <w:szCs w:val="21"/>
        </w:rPr>
        <w:t>什图马尔先生</w:t>
      </w:r>
      <w:r w:rsidRPr="00BF42B7">
        <w:rPr>
          <w:szCs w:val="21"/>
        </w:rPr>
        <w:t>(</w:t>
      </w:r>
      <w:r w:rsidRPr="00BF42B7">
        <w:rPr>
          <w:szCs w:val="21"/>
        </w:rPr>
        <w:t>主席</w:t>
      </w:r>
      <w:r w:rsidRPr="00BF42B7">
        <w:rPr>
          <w:szCs w:val="21"/>
        </w:rPr>
        <w:t>)</w:t>
      </w:r>
      <w:r w:rsidRPr="00BF42B7">
        <w:rPr>
          <w:szCs w:val="21"/>
        </w:rPr>
        <w:t>、迈克尔</w:t>
      </w:r>
      <w:r w:rsidRPr="00BF42B7">
        <w:rPr>
          <w:rFonts w:hint="eastAsia"/>
        </w:rPr>
        <w:t>·</w:t>
      </w:r>
      <w:r w:rsidRPr="00BF42B7">
        <w:rPr>
          <w:szCs w:val="21"/>
        </w:rPr>
        <w:t>伍德先生</w:t>
      </w:r>
      <w:r w:rsidRPr="00BF42B7">
        <w:rPr>
          <w:szCs w:val="21"/>
        </w:rPr>
        <w:t>(</w:t>
      </w:r>
      <w:r w:rsidRPr="00BF42B7">
        <w:rPr>
          <w:szCs w:val="21"/>
        </w:rPr>
        <w:t>特别报告员</w:t>
      </w:r>
      <w:r w:rsidRPr="00BF42B7">
        <w:rPr>
          <w:szCs w:val="21"/>
        </w:rPr>
        <w:t>)</w:t>
      </w:r>
      <w:r w:rsidRPr="00BF42B7">
        <w:rPr>
          <w:szCs w:val="21"/>
        </w:rPr>
        <w:t>、佩德罗</w:t>
      </w:r>
      <w:r w:rsidRPr="00BF42B7">
        <w:rPr>
          <w:rFonts w:hint="eastAsia"/>
        </w:rPr>
        <w:t>·</w:t>
      </w:r>
      <w:r w:rsidRPr="00BF42B7">
        <w:rPr>
          <w:szCs w:val="21"/>
        </w:rPr>
        <w:t>科米萨里奥</w:t>
      </w:r>
      <w:r w:rsidRPr="00BF42B7">
        <w:rPr>
          <w:rFonts w:hint="eastAsia"/>
        </w:rPr>
        <w:t>·</w:t>
      </w:r>
      <w:r w:rsidRPr="00BF42B7">
        <w:rPr>
          <w:szCs w:val="21"/>
        </w:rPr>
        <w:t>阿丰索先生、康塞普西翁</w:t>
      </w:r>
      <w:r w:rsidRPr="00BF42B7">
        <w:rPr>
          <w:rFonts w:hint="eastAsia"/>
        </w:rPr>
        <w:t>·</w:t>
      </w:r>
      <w:r w:rsidRPr="00BF42B7">
        <w:rPr>
          <w:szCs w:val="21"/>
        </w:rPr>
        <w:t>埃斯科瓦尔</w:t>
      </w:r>
      <w:r w:rsidRPr="00BF42B7">
        <w:rPr>
          <w:rFonts w:hint="eastAsia"/>
        </w:rPr>
        <w:t>·</w:t>
      </w:r>
      <w:r w:rsidRPr="00BF42B7">
        <w:rPr>
          <w:szCs w:val="21"/>
        </w:rPr>
        <w:t>埃尔南德斯女士、马蒂亚斯</w:t>
      </w:r>
      <w:r w:rsidRPr="00BF42B7">
        <w:rPr>
          <w:rFonts w:hint="eastAsia"/>
        </w:rPr>
        <w:t>·</w:t>
      </w:r>
      <w:r w:rsidRPr="00BF42B7">
        <w:rPr>
          <w:szCs w:val="21"/>
        </w:rPr>
        <w:t>福尔托先生、马哈茂德</w:t>
      </w:r>
      <w:r w:rsidRPr="00BF42B7">
        <w:rPr>
          <w:rFonts w:hint="eastAsia"/>
        </w:rPr>
        <w:t>·</w:t>
      </w:r>
      <w:r w:rsidRPr="00BF42B7">
        <w:rPr>
          <w:szCs w:val="21"/>
        </w:rPr>
        <w:t>哈穆德先生、莫里斯</w:t>
      </w:r>
      <w:r w:rsidRPr="00BF42B7">
        <w:rPr>
          <w:rFonts w:hint="eastAsia"/>
        </w:rPr>
        <w:t>·</w:t>
      </w:r>
      <w:r w:rsidRPr="00BF42B7">
        <w:rPr>
          <w:szCs w:val="21"/>
        </w:rPr>
        <w:t>卡姆托先生、江萨</w:t>
      </w:r>
      <w:r w:rsidRPr="00BF42B7">
        <w:rPr>
          <w:rFonts w:hint="eastAsia"/>
        </w:rPr>
        <w:t>·</w:t>
      </w:r>
      <w:r w:rsidRPr="00BF42B7">
        <w:rPr>
          <w:szCs w:val="21"/>
        </w:rPr>
        <w:t>吉滴猜萨里先生、罗曼</w:t>
      </w:r>
      <w:r w:rsidRPr="00BF42B7">
        <w:rPr>
          <w:rFonts w:hint="eastAsia"/>
        </w:rPr>
        <w:t>·</w:t>
      </w:r>
      <w:r w:rsidRPr="00BF42B7">
        <w:rPr>
          <w:szCs w:val="21"/>
        </w:rPr>
        <w:t>阿</w:t>
      </w:r>
      <w:r w:rsidRPr="00BF42B7">
        <w:rPr>
          <w:rFonts w:hint="eastAsia"/>
        </w:rPr>
        <w:t>·</w:t>
      </w:r>
      <w:r w:rsidRPr="00BF42B7">
        <w:rPr>
          <w:szCs w:val="21"/>
        </w:rPr>
        <w:t>科洛德金先生、唐纳德</w:t>
      </w:r>
      <w:r w:rsidRPr="00BF42B7">
        <w:rPr>
          <w:rFonts w:hint="eastAsia"/>
        </w:rPr>
        <w:t>·</w:t>
      </w:r>
      <w:r w:rsidRPr="00BF42B7">
        <w:rPr>
          <w:szCs w:val="21"/>
        </w:rPr>
        <w:t>麦克雷先生、村濑信也先生、肖恩</w:t>
      </w:r>
      <w:r w:rsidRPr="00BF42B7">
        <w:rPr>
          <w:rFonts w:hint="eastAsia"/>
        </w:rPr>
        <w:t>·</w:t>
      </w:r>
      <w:r w:rsidRPr="00BF42B7">
        <w:rPr>
          <w:szCs w:val="21"/>
        </w:rPr>
        <w:t>墨菲先生、格奥尔格</w:t>
      </w:r>
      <w:r w:rsidRPr="00BF42B7">
        <w:rPr>
          <w:rFonts w:hint="eastAsia"/>
        </w:rPr>
        <w:t>·</w:t>
      </w:r>
      <w:r w:rsidRPr="00BF42B7">
        <w:rPr>
          <w:szCs w:val="21"/>
        </w:rPr>
        <w:t>诺尔特先生、埃内斯特</w:t>
      </w:r>
      <w:r w:rsidRPr="00BF42B7">
        <w:rPr>
          <w:rFonts w:hint="eastAsia"/>
        </w:rPr>
        <w:t>·</w:t>
      </w:r>
      <w:r w:rsidRPr="00BF42B7">
        <w:rPr>
          <w:szCs w:val="21"/>
        </w:rPr>
        <w:t>彼得里奇先生、迪雷</w:t>
      </w:r>
      <w:r w:rsidRPr="00BF42B7">
        <w:rPr>
          <w:rFonts w:hint="eastAsia"/>
        </w:rPr>
        <w:t>·</w:t>
      </w:r>
      <w:r w:rsidRPr="00BF42B7">
        <w:rPr>
          <w:szCs w:val="21"/>
        </w:rPr>
        <w:t>特拉迪先生、马塞洛</w:t>
      </w:r>
      <w:r w:rsidRPr="00BF42B7">
        <w:rPr>
          <w:rFonts w:hint="eastAsia"/>
        </w:rPr>
        <w:t>·</w:t>
      </w:r>
      <w:r w:rsidRPr="00BF42B7">
        <w:rPr>
          <w:szCs w:val="21"/>
        </w:rPr>
        <w:t>巴斯克斯－贝穆德斯先生和朴基甲先生</w:t>
      </w:r>
      <w:r w:rsidRPr="00BF42B7">
        <w:rPr>
          <w:szCs w:val="21"/>
        </w:rPr>
        <w:t>(</w:t>
      </w:r>
      <w:r w:rsidRPr="00BF42B7">
        <w:rPr>
          <w:szCs w:val="21"/>
        </w:rPr>
        <w:t>当然成员</w:t>
      </w:r>
      <w:r w:rsidRPr="00BF42B7">
        <w:rPr>
          <w:szCs w:val="21"/>
        </w:rPr>
        <w:t>)</w:t>
      </w:r>
      <w:r w:rsidRPr="00BF42B7">
        <w:rPr>
          <w:szCs w:val="21"/>
        </w:rPr>
        <w:t>。</w:t>
      </w:r>
    </w:p>
    <w:p w:rsidR="00103498" w:rsidRPr="00BF42B7" w:rsidRDefault="00103498" w:rsidP="00396D56">
      <w:pPr>
        <w:pStyle w:val="SingleTxtGC"/>
        <w:numPr>
          <w:ilvl w:val="0"/>
          <w:numId w:val="11"/>
        </w:numPr>
        <w:rPr>
          <w:szCs w:val="21"/>
        </w:rPr>
      </w:pPr>
      <w:r w:rsidRPr="00BF42B7">
        <w:rPr>
          <w:rFonts w:ascii="Time New Roman" w:eastAsia="楷体" w:hAnsi="Time New Roman"/>
          <w:kern w:val="14"/>
          <w:szCs w:val="21"/>
        </w:rPr>
        <w:t>与条约解释相关的嗣后协定和嗣后惯例：</w:t>
      </w:r>
      <w:r w:rsidRPr="00BF42B7">
        <w:rPr>
          <w:kern w:val="14"/>
          <w:szCs w:val="21"/>
        </w:rPr>
        <w:t>帕维尔</w:t>
      </w:r>
      <w:r w:rsidRPr="00BF42B7">
        <w:rPr>
          <w:rFonts w:hint="eastAsia"/>
        </w:rPr>
        <w:t>·</w:t>
      </w:r>
      <w:r w:rsidRPr="00BF42B7">
        <w:rPr>
          <w:kern w:val="14"/>
          <w:szCs w:val="21"/>
        </w:rPr>
        <w:t>斯图尔马先生</w:t>
      </w:r>
      <w:r w:rsidRPr="00BF42B7">
        <w:rPr>
          <w:szCs w:val="21"/>
        </w:rPr>
        <w:t>(</w:t>
      </w:r>
      <w:r w:rsidRPr="00BF42B7">
        <w:rPr>
          <w:szCs w:val="21"/>
        </w:rPr>
        <w:t>主席</w:t>
      </w:r>
      <w:r w:rsidRPr="00BF42B7">
        <w:rPr>
          <w:szCs w:val="21"/>
        </w:rPr>
        <w:t>)</w:t>
      </w:r>
      <w:r w:rsidRPr="00BF42B7">
        <w:rPr>
          <w:szCs w:val="21"/>
        </w:rPr>
        <w:t>、格奥尔格</w:t>
      </w:r>
      <w:r w:rsidRPr="00BF42B7">
        <w:rPr>
          <w:rFonts w:hint="eastAsia"/>
        </w:rPr>
        <w:t>·</w:t>
      </w:r>
      <w:r w:rsidRPr="00BF42B7">
        <w:rPr>
          <w:szCs w:val="21"/>
        </w:rPr>
        <w:t>诺尔特先生</w:t>
      </w:r>
      <w:r w:rsidRPr="00BF42B7">
        <w:rPr>
          <w:szCs w:val="21"/>
        </w:rPr>
        <w:t>(</w:t>
      </w:r>
      <w:r w:rsidRPr="00BF42B7">
        <w:rPr>
          <w:szCs w:val="21"/>
        </w:rPr>
        <w:t>特别报告员</w:t>
      </w:r>
      <w:r w:rsidRPr="00BF42B7">
        <w:rPr>
          <w:szCs w:val="21"/>
        </w:rPr>
        <w:t>)</w:t>
      </w:r>
      <w:r w:rsidRPr="00BF42B7">
        <w:rPr>
          <w:szCs w:val="21"/>
        </w:rPr>
        <w:t>、马哈茂德</w:t>
      </w:r>
      <w:r w:rsidRPr="00BF42B7">
        <w:rPr>
          <w:rFonts w:hint="eastAsia"/>
        </w:rPr>
        <w:t>·</w:t>
      </w:r>
      <w:r w:rsidRPr="00BF42B7">
        <w:rPr>
          <w:szCs w:val="21"/>
        </w:rPr>
        <w:t>哈穆德先生、莫里斯</w:t>
      </w:r>
      <w:r w:rsidRPr="00BF42B7">
        <w:rPr>
          <w:rFonts w:hint="eastAsia"/>
        </w:rPr>
        <w:t>·</w:t>
      </w:r>
      <w:r w:rsidRPr="00BF42B7">
        <w:rPr>
          <w:szCs w:val="21"/>
        </w:rPr>
        <w:t>卡姆托先生、江萨</w:t>
      </w:r>
      <w:r w:rsidRPr="00BF42B7">
        <w:rPr>
          <w:rFonts w:hint="eastAsia"/>
        </w:rPr>
        <w:t>·</w:t>
      </w:r>
      <w:r w:rsidRPr="00BF42B7">
        <w:rPr>
          <w:szCs w:val="21"/>
        </w:rPr>
        <w:t>吉滴猜萨里先生、罗曼</w:t>
      </w:r>
      <w:r w:rsidRPr="00BF42B7">
        <w:rPr>
          <w:rFonts w:hint="eastAsia"/>
        </w:rPr>
        <w:t>·</w:t>
      </w:r>
      <w:r w:rsidRPr="00BF42B7">
        <w:rPr>
          <w:szCs w:val="21"/>
        </w:rPr>
        <w:t>阿</w:t>
      </w:r>
      <w:r w:rsidRPr="00BF42B7">
        <w:rPr>
          <w:rFonts w:hint="eastAsia"/>
        </w:rPr>
        <w:t>·</w:t>
      </w:r>
      <w:r w:rsidRPr="00BF42B7">
        <w:rPr>
          <w:szCs w:val="21"/>
        </w:rPr>
        <w:t>科洛德金先生、唐纳德</w:t>
      </w:r>
      <w:r w:rsidRPr="00BF42B7">
        <w:rPr>
          <w:rFonts w:hint="eastAsia"/>
        </w:rPr>
        <w:t>·</w:t>
      </w:r>
      <w:r w:rsidRPr="00BF42B7">
        <w:rPr>
          <w:szCs w:val="21"/>
        </w:rPr>
        <w:t>麦克雷先生、肖恩</w:t>
      </w:r>
      <w:r w:rsidRPr="00BF42B7">
        <w:rPr>
          <w:rFonts w:hint="eastAsia"/>
        </w:rPr>
        <w:t>·</w:t>
      </w:r>
      <w:r w:rsidRPr="00BF42B7">
        <w:rPr>
          <w:szCs w:val="21"/>
        </w:rPr>
        <w:t>墨菲先生、马塞洛</w:t>
      </w:r>
      <w:r w:rsidRPr="00BF42B7">
        <w:rPr>
          <w:rFonts w:hint="eastAsia"/>
        </w:rPr>
        <w:t>·</w:t>
      </w:r>
      <w:r w:rsidRPr="00BF42B7">
        <w:rPr>
          <w:szCs w:val="21"/>
        </w:rPr>
        <w:t>巴斯克斯－贝穆德斯先生、迈克尔</w:t>
      </w:r>
      <w:r w:rsidRPr="00BF42B7">
        <w:rPr>
          <w:rFonts w:hint="eastAsia"/>
        </w:rPr>
        <w:t>·</w:t>
      </w:r>
      <w:r w:rsidRPr="00BF42B7">
        <w:rPr>
          <w:szCs w:val="21"/>
        </w:rPr>
        <w:t>伍德先生和朴基甲先生</w:t>
      </w:r>
      <w:r w:rsidRPr="00BF42B7">
        <w:rPr>
          <w:szCs w:val="21"/>
        </w:rPr>
        <w:t>(</w:t>
      </w:r>
      <w:r w:rsidRPr="00BF42B7">
        <w:rPr>
          <w:szCs w:val="21"/>
        </w:rPr>
        <w:t>当然成员</w:t>
      </w:r>
      <w:r w:rsidRPr="00BF42B7">
        <w:rPr>
          <w:szCs w:val="21"/>
        </w:rPr>
        <w:t>)</w:t>
      </w:r>
      <w:r w:rsidRPr="00BF42B7">
        <w:rPr>
          <w:szCs w:val="21"/>
        </w:rPr>
        <w:t>。</w:t>
      </w:r>
    </w:p>
    <w:p w:rsidR="00103498" w:rsidRPr="00BF42B7" w:rsidRDefault="00103498" w:rsidP="00396D56">
      <w:pPr>
        <w:pStyle w:val="SingleTxtGC"/>
        <w:numPr>
          <w:ilvl w:val="0"/>
          <w:numId w:val="11"/>
        </w:numPr>
        <w:rPr>
          <w:szCs w:val="21"/>
        </w:rPr>
      </w:pPr>
      <w:r w:rsidRPr="00BF42B7">
        <w:rPr>
          <w:rFonts w:ascii="Time New Roman" w:eastAsia="楷体" w:hAnsi="Time New Roman"/>
          <w:kern w:val="14"/>
          <w:szCs w:val="21"/>
        </w:rPr>
        <w:t>保护大气层：</w:t>
      </w:r>
      <w:r w:rsidRPr="00BF42B7">
        <w:rPr>
          <w:kern w:val="14"/>
          <w:szCs w:val="21"/>
        </w:rPr>
        <w:t>帕维尔</w:t>
      </w:r>
      <w:r w:rsidRPr="00BF42B7">
        <w:rPr>
          <w:rFonts w:hint="eastAsia"/>
        </w:rPr>
        <w:t>·</w:t>
      </w:r>
      <w:r w:rsidRPr="00BF42B7">
        <w:rPr>
          <w:kern w:val="14"/>
          <w:szCs w:val="21"/>
        </w:rPr>
        <w:t>斯图尔马先生</w:t>
      </w:r>
      <w:r w:rsidRPr="00BF42B7">
        <w:rPr>
          <w:szCs w:val="21"/>
        </w:rPr>
        <w:t>(</w:t>
      </w:r>
      <w:r w:rsidRPr="00BF42B7">
        <w:rPr>
          <w:szCs w:val="21"/>
        </w:rPr>
        <w:t>主席</w:t>
      </w:r>
      <w:r w:rsidRPr="00BF42B7">
        <w:rPr>
          <w:szCs w:val="21"/>
        </w:rPr>
        <w:t>)</w:t>
      </w:r>
      <w:r w:rsidRPr="00BF42B7">
        <w:rPr>
          <w:szCs w:val="21"/>
        </w:rPr>
        <w:t>、村濑信也先生</w:t>
      </w:r>
      <w:r w:rsidRPr="00BF42B7">
        <w:rPr>
          <w:szCs w:val="21"/>
        </w:rPr>
        <w:t>(</w:t>
      </w:r>
      <w:r w:rsidRPr="00BF42B7">
        <w:rPr>
          <w:szCs w:val="21"/>
        </w:rPr>
        <w:t>特别报告员</w:t>
      </w:r>
      <w:r w:rsidRPr="00BF42B7">
        <w:rPr>
          <w:szCs w:val="21"/>
        </w:rPr>
        <w:t>)</w:t>
      </w:r>
      <w:r w:rsidRPr="00BF42B7">
        <w:rPr>
          <w:szCs w:val="21"/>
        </w:rPr>
        <w:t>、马蒂亚斯</w:t>
      </w:r>
      <w:r w:rsidRPr="00BF42B7">
        <w:rPr>
          <w:rFonts w:hint="eastAsia"/>
        </w:rPr>
        <w:t>·</w:t>
      </w:r>
      <w:r w:rsidRPr="00BF42B7">
        <w:rPr>
          <w:szCs w:val="21"/>
        </w:rPr>
        <w:t>福尔托先生、马哈茂德</w:t>
      </w:r>
      <w:r w:rsidRPr="00BF42B7">
        <w:rPr>
          <w:rFonts w:hint="eastAsia"/>
        </w:rPr>
        <w:t>·</w:t>
      </w:r>
      <w:r w:rsidRPr="00BF42B7">
        <w:rPr>
          <w:szCs w:val="21"/>
        </w:rPr>
        <w:t>哈穆德先生、江萨</w:t>
      </w:r>
      <w:r w:rsidRPr="00BF42B7">
        <w:rPr>
          <w:rFonts w:hint="eastAsia"/>
        </w:rPr>
        <w:t>·</w:t>
      </w:r>
      <w:r w:rsidRPr="00BF42B7">
        <w:rPr>
          <w:szCs w:val="21"/>
        </w:rPr>
        <w:t>吉滴猜萨里先生、唐纳德</w:t>
      </w:r>
      <w:r w:rsidRPr="00BF42B7">
        <w:rPr>
          <w:rFonts w:hint="eastAsia"/>
        </w:rPr>
        <w:t>·</w:t>
      </w:r>
      <w:r w:rsidRPr="00BF42B7">
        <w:rPr>
          <w:szCs w:val="21"/>
        </w:rPr>
        <w:t>麦克雷先生、肖恩</w:t>
      </w:r>
      <w:r w:rsidRPr="00BF42B7">
        <w:rPr>
          <w:rFonts w:hint="eastAsia"/>
        </w:rPr>
        <w:t>·</w:t>
      </w:r>
      <w:r w:rsidRPr="00BF42B7">
        <w:rPr>
          <w:szCs w:val="21"/>
        </w:rPr>
        <w:t>墨菲先生、贝恩德</w:t>
      </w:r>
      <w:r w:rsidRPr="00BF42B7">
        <w:rPr>
          <w:rFonts w:hint="eastAsia"/>
        </w:rPr>
        <w:t>·</w:t>
      </w:r>
      <w:r w:rsidRPr="00BF42B7">
        <w:rPr>
          <w:szCs w:val="21"/>
        </w:rPr>
        <w:t>尼豪斯先生、吉尔贝托</w:t>
      </w:r>
      <w:r w:rsidRPr="00BF42B7">
        <w:rPr>
          <w:rFonts w:hint="eastAsia"/>
        </w:rPr>
        <w:t>·</w:t>
      </w:r>
      <w:r w:rsidRPr="00BF42B7">
        <w:rPr>
          <w:szCs w:val="21"/>
        </w:rPr>
        <w:t>贝尔涅</w:t>
      </w:r>
      <w:r w:rsidRPr="00BF42B7">
        <w:rPr>
          <w:rFonts w:hint="eastAsia"/>
        </w:rPr>
        <w:t>·</w:t>
      </w:r>
      <w:r w:rsidRPr="00BF42B7">
        <w:rPr>
          <w:szCs w:val="21"/>
        </w:rPr>
        <w:t>萨博亚先生、马塞洛</w:t>
      </w:r>
      <w:r w:rsidRPr="00BF42B7">
        <w:rPr>
          <w:rFonts w:hint="eastAsia"/>
        </w:rPr>
        <w:t>·</w:t>
      </w:r>
      <w:r w:rsidRPr="00BF42B7">
        <w:rPr>
          <w:szCs w:val="21"/>
        </w:rPr>
        <w:t>巴斯克斯－贝穆德斯先生、迈克尔</w:t>
      </w:r>
      <w:r w:rsidRPr="00BF42B7">
        <w:rPr>
          <w:rFonts w:hint="eastAsia"/>
        </w:rPr>
        <w:t>·</w:t>
      </w:r>
      <w:r w:rsidRPr="00BF42B7">
        <w:rPr>
          <w:szCs w:val="21"/>
        </w:rPr>
        <w:t>伍德先生和朴基甲先生</w:t>
      </w:r>
      <w:r w:rsidRPr="00BF42B7">
        <w:rPr>
          <w:szCs w:val="21"/>
        </w:rPr>
        <w:t>(</w:t>
      </w:r>
      <w:r w:rsidRPr="00BF42B7">
        <w:rPr>
          <w:szCs w:val="21"/>
        </w:rPr>
        <w:t>当然成员</w:t>
      </w:r>
      <w:r w:rsidRPr="00BF42B7">
        <w:rPr>
          <w:szCs w:val="21"/>
        </w:rPr>
        <w:t>)</w:t>
      </w:r>
      <w:r w:rsidRPr="00BF42B7">
        <w:rPr>
          <w:szCs w:val="21"/>
        </w:rPr>
        <w:t>。</w:t>
      </w:r>
    </w:p>
    <w:p w:rsidR="00103498" w:rsidRPr="00BF42B7" w:rsidRDefault="00103498" w:rsidP="00396D56">
      <w:pPr>
        <w:pStyle w:val="SingleTxtGC"/>
        <w:numPr>
          <w:ilvl w:val="0"/>
          <w:numId w:val="11"/>
        </w:numPr>
        <w:rPr>
          <w:szCs w:val="21"/>
        </w:rPr>
      </w:pPr>
      <w:r w:rsidRPr="00BF42B7">
        <w:rPr>
          <w:rFonts w:ascii="Time New Roman" w:eastAsia="楷体" w:hAnsi="Time New Roman"/>
          <w:kern w:val="14"/>
          <w:szCs w:val="21"/>
        </w:rPr>
        <w:t>条约的暂时适用：</w:t>
      </w:r>
      <w:r w:rsidRPr="00BF42B7">
        <w:rPr>
          <w:kern w:val="14"/>
          <w:szCs w:val="21"/>
        </w:rPr>
        <w:t>帕维尔</w:t>
      </w:r>
      <w:r w:rsidRPr="00BF42B7">
        <w:rPr>
          <w:rFonts w:hint="eastAsia"/>
        </w:rPr>
        <w:t>·</w:t>
      </w:r>
      <w:r w:rsidRPr="00BF42B7">
        <w:rPr>
          <w:kern w:val="14"/>
          <w:szCs w:val="21"/>
        </w:rPr>
        <w:t>斯图尔马先生</w:t>
      </w:r>
      <w:r w:rsidRPr="00BF42B7">
        <w:rPr>
          <w:szCs w:val="21"/>
        </w:rPr>
        <w:t>(</w:t>
      </w:r>
      <w:r w:rsidRPr="00BF42B7">
        <w:rPr>
          <w:szCs w:val="21"/>
        </w:rPr>
        <w:t>主席</w:t>
      </w:r>
      <w:r w:rsidRPr="00BF42B7">
        <w:rPr>
          <w:szCs w:val="21"/>
        </w:rPr>
        <w:t>)</w:t>
      </w:r>
      <w:r w:rsidRPr="00BF42B7">
        <w:rPr>
          <w:szCs w:val="21"/>
        </w:rPr>
        <w:t>、胡安</w:t>
      </w:r>
      <w:r w:rsidRPr="00BF42B7">
        <w:rPr>
          <w:rFonts w:hint="eastAsia"/>
        </w:rPr>
        <w:t>·</w:t>
      </w:r>
      <w:r w:rsidRPr="00BF42B7">
        <w:rPr>
          <w:szCs w:val="21"/>
        </w:rPr>
        <w:t>曼努埃尔</w:t>
      </w:r>
      <w:r w:rsidRPr="00BF42B7">
        <w:rPr>
          <w:rFonts w:hint="eastAsia"/>
        </w:rPr>
        <w:t>·</w:t>
      </w:r>
      <w:r w:rsidRPr="00BF42B7">
        <w:rPr>
          <w:szCs w:val="21"/>
        </w:rPr>
        <w:t>戈麦斯－罗夫莱多先生</w:t>
      </w:r>
      <w:r w:rsidRPr="00BF42B7">
        <w:rPr>
          <w:szCs w:val="21"/>
        </w:rPr>
        <w:t>(</w:t>
      </w:r>
      <w:r w:rsidRPr="00BF42B7">
        <w:rPr>
          <w:szCs w:val="21"/>
        </w:rPr>
        <w:t>特别报告员</w:t>
      </w:r>
      <w:r w:rsidRPr="00BF42B7">
        <w:rPr>
          <w:szCs w:val="21"/>
        </w:rPr>
        <w:t>)</w:t>
      </w:r>
      <w:r w:rsidRPr="00BF42B7">
        <w:rPr>
          <w:szCs w:val="21"/>
        </w:rPr>
        <w:t>、马蒂亚斯</w:t>
      </w:r>
      <w:r w:rsidRPr="00BF42B7">
        <w:rPr>
          <w:rFonts w:hint="eastAsia"/>
        </w:rPr>
        <w:t>·</w:t>
      </w:r>
      <w:r w:rsidRPr="00BF42B7">
        <w:rPr>
          <w:szCs w:val="21"/>
        </w:rPr>
        <w:t>福尔托先生、莫里斯</w:t>
      </w:r>
      <w:r w:rsidRPr="00BF42B7">
        <w:rPr>
          <w:rFonts w:hint="eastAsia"/>
        </w:rPr>
        <w:t>·</w:t>
      </w:r>
      <w:r w:rsidRPr="00BF42B7">
        <w:rPr>
          <w:szCs w:val="21"/>
        </w:rPr>
        <w:t>卡姆托先生、罗曼</w:t>
      </w:r>
      <w:r w:rsidRPr="00BF42B7">
        <w:rPr>
          <w:rFonts w:hint="eastAsia"/>
        </w:rPr>
        <w:t>·</w:t>
      </w:r>
      <w:r w:rsidRPr="00BF42B7">
        <w:rPr>
          <w:szCs w:val="21"/>
        </w:rPr>
        <w:t>阿</w:t>
      </w:r>
      <w:r w:rsidRPr="00BF42B7">
        <w:rPr>
          <w:rFonts w:hint="eastAsia"/>
        </w:rPr>
        <w:t>·</w:t>
      </w:r>
      <w:r w:rsidRPr="00BF42B7">
        <w:rPr>
          <w:szCs w:val="21"/>
        </w:rPr>
        <w:t>科洛德金先生、唐纳德</w:t>
      </w:r>
      <w:r w:rsidRPr="00BF42B7">
        <w:rPr>
          <w:rFonts w:hint="eastAsia"/>
        </w:rPr>
        <w:t>·</w:t>
      </w:r>
      <w:r w:rsidRPr="00BF42B7">
        <w:rPr>
          <w:szCs w:val="21"/>
        </w:rPr>
        <w:t>麦克雷先生、格奥尔格</w:t>
      </w:r>
      <w:r w:rsidRPr="00BF42B7">
        <w:rPr>
          <w:rFonts w:hint="eastAsia"/>
        </w:rPr>
        <w:t>·</w:t>
      </w:r>
      <w:r w:rsidRPr="00BF42B7">
        <w:rPr>
          <w:szCs w:val="21"/>
        </w:rPr>
        <w:t>诺尔特先生、埃内斯特</w:t>
      </w:r>
      <w:r w:rsidRPr="00BF42B7">
        <w:rPr>
          <w:rFonts w:hint="eastAsia"/>
        </w:rPr>
        <w:t>·</w:t>
      </w:r>
      <w:r w:rsidRPr="00BF42B7">
        <w:rPr>
          <w:szCs w:val="21"/>
        </w:rPr>
        <w:t>彼得里奇先生、马塞洛</w:t>
      </w:r>
      <w:r w:rsidRPr="00BF42B7">
        <w:rPr>
          <w:rFonts w:hint="eastAsia"/>
        </w:rPr>
        <w:t>·</w:t>
      </w:r>
      <w:r w:rsidRPr="00BF42B7">
        <w:rPr>
          <w:szCs w:val="21"/>
        </w:rPr>
        <w:t>巴斯克斯－贝穆德斯先生、迈克尔</w:t>
      </w:r>
      <w:r w:rsidRPr="00BF42B7">
        <w:rPr>
          <w:rFonts w:hint="eastAsia"/>
        </w:rPr>
        <w:t>·</w:t>
      </w:r>
      <w:r w:rsidRPr="00BF42B7">
        <w:rPr>
          <w:szCs w:val="21"/>
        </w:rPr>
        <w:t>伍德先生和朴基甲先生</w:t>
      </w:r>
      <w:r w:rsidRPr="00BF42B7">
        <w:rPr>
          <w:szCs w:val="21"/>
        </w:rPr>
        <w:t>(</w:t>
      </w:r>
      <w:r w:rsidRPr="00BF42B7">
        <w:rPr>
          <w:szCs w:val="21"/>
        </w:rPr>
        <w:t>当然成员</w:t>
      </w:r>
      <w:r w:rsidRPr="00BF42B7">
        <w:rPr>
          <w:szCs w:val="21"/>
        </w:rPr>
        <w:t>)</w:t>
      </w:r>
      <w:r w:rsidRPr="00BF42B7">
        <w:rPr>
          <w:szCs w:val="21"/>
        </w:rPr>
        <w:t>。</w:t>
      </w:r>
    </w:p>
    <w:p w:rsidR="00103498" w:rsidRPr="00BF42B7" w:rsidRDefault="00103498" w:rsidP="00396D56">
      <w:pPr>
        <w:pStyle w:val="SingleTxtGC"/>
        <w:numPr>
          <w:ilvl w:val="0"/>
          <w:numId w:val="11"/>
        </w:numPr>
        <w:rPr>
          <w:szCs w:val="21"/>
        </w:rPr>
      </w:pPr>
      <w:r w:rsidRPr="00BF42B7">
        <w:rPr>
          <w:rFonts w:ascii="Time New Roman" w:eastAsia="楷体" w:hAnsi="Time New Roman"/>
          <w:kern w:val="14"/>
          <w:szCs w:val="21"/>
        </w:rPr>
        <w:t>强</w:t>
      </w:r>
      <w:r w:rsidRPr="00BF42B7">
        <w:rPr>
          <w:rFonts w:ascii="Time New Roman" w:eastAsia="楷体" w:hAnsi="Time New Roman" w:hint="eastAsia"/>
          <w:kern w:val="14"/>
          <w:szCs w:val="21"/>
        </w:rPr>
        <w:t>行</w:t>
      </w:r>
      <w:r w:rsidRPr="00BF42B7">
        <w:rPr>
          <w:rFonts w:ascii="Time New Roman" w:eastAsia="楷体" w:hAnsi="Time New Roman"/>
          <w:kern w:val="14"/>
          <w:szCs w:val="21"/>
        </w:rPr>
        <w:t>法：</w:t>
      </w:r>
      <w:r w:rsidRPr="00BF42B7">
        <w:rPr>
          <w:kern w:val="14"/>
          <w:szCs w:val="21"/>
        </w:rPr>
        <w:t>帕维尔</w:t>
      </w:r>
      <w:r w:rsidRPr="00BF42B7">
        <w:rPr>
          <w:rFonts w:hint="eastAsia"/>
        </w:rPr>
        <w:t>·</w:t>
      </w:r>
      <w:r w:rsidRPr="00BF42B7">
        <w:rPr>
          <w:kern w:val="14"/>
          <w:szCs w:val="21"/>
        </w:rPr>
        <w:t>斯图尔马先生</w:t>
      </w:r>
      <w:r w:rsidRPr="00BF42B7">
        <w:rPr>
          <w:szCs w:val="21"/>
        </w:rPr>
        <w:t>(</w:t>
      </w:r>
      <w:r w:rsidRPr="00BF42B7">
        <w:rPr>
          <w:szCs w:val="21"/>
        </w:rPr>
        <w:t>主席</w:t>
      </w:r>
      <w:r w:rsidRPr="00BF42B7">
        <w:rPr>
          <w:szCs w:val="21"/>
        </w:rPr>
        <w:t>)</w:t>
      </w:r>
      <w:r w:rsidRPr="00BF42B7">
        <w:rPr>
          <w:szCs w:val="21"/>
        </w:rPr>
        <w:t>、迪雷</w:t>
      </w:r>
      <w:r w:rsidRPr="00BF42B7">
        <w:rPr>
          <w:rFonts w:hint="eastAsia"/>
        </w:rPr>
        <w:t>·</w:t>
      </w:r>
      <w:r w:rsidRPr="00BF42B7">
        <w:rPr>
          <w:szCs w:val="21"/>
        </w:rPr>
        <w:t>特拉迪先生</w:t>
      </w:r>
      <w:r w:rsidRPr="00BF42B7">
        <w:rPr>
          <w:szCs w:val="21"/>
        </w:rPr>
        <w:t>(</w:t>
      </w:r>
      <w:r w:rsidRPr="00BF42B7">
        <w:rPr>
          <w:szCs w:val="21"/>
        </w:rPr>
        <w:t>特别报告员</w:t>
      </w:r>
      <w:r w:rsidRPr="00BF42B7">
        <w:rPr>
          <w:szCs w:val="21"/>
        </w:rPr>
        <w:t>)</w:t>
      </w:r>
      <w:r w:rsidRPr="00BF42B7">
        <w:rPr>
          <w:szCs w:val="21"/>
        </w:rPr>
        <w:t>、恩里克</w:t>
      </w:r>
      <w:r w:rsidRPr="00BF42B7">
        <w:rPr>
          <w:rFonts w:hint="eastAsia"/>
        </w:rPr>
        <w:t>·</w:t>
      </w:r>
      <w:r w:rsidRPr="00BF42B7">
        <w:rPr>
          <w:szCs w:val="21"/>
        </w:rPr>
        <w:t>坎迪奥蒂先生、康塞普西翁</w:t>
      </w:r>
      <w:r w:rsidRPr="00BF42B7">
        <w:rPr>
          <w:rFonts w:hint="eastAsia"/>
        </w:rPr>
        <w:t>·</w:t>
      </w:r>
      <w:r w:rsidRPr="00BF42B7">
        <w:rPr>
          <w:szCs w:val="21"/>
        </w:rPr>
        <w:t>埃斯科瓦尔</w:t>
      </w:r>
      <w:r w:rsidRPr="00BF42B7">
        <w:rPr>
          <w:rFonts w:hint="eastAsia"/>
        </w:rPr>
        <w:t>·</w:t>
      </w:r>
      <w:r w:rsidRPr="00BF42B7">
        <w:rPr>
          <w:szCs w:val="21"/>
        </w:rPr>
        <w:t>埃尔南德斯女士、马蒂亚斯</w:t>
      </w:r>
      <w:r w:rsidRPr="00BF42B7">
        <w:rPr>
          <w:rFonts w:hint="eastAsia"/>
        </w:rPr>
        <w:t>·</w:t>
      </w:r>
      <w:r w:rsidRPr="00BF42B7">
        <w:rPr>
          <w:szCs w:val="21"/>
        </w:rPr>
        <w:t>福尔托先生、马哈茂德</w:t>
      </w:r>
      <w:r w:rsidRPr="00BF42B7">
        <w:rPr>
          <w:rFonts w:hint="eastAsia"/>
        </w:rPr>
        <w:t>·</w:t>
      </w:r>
      <w:r w:rsidRPr="00BF42B7">
        <w:rPr>
          <w:szCs w:val="21"/>
        </w:rPr>
        <w:t>哈穆德先生、莫里斯</w:t>
      </w:r>
      <w:r w:rsidRPr="00BF42B7">
        <w:rPr>
          <w:rFonts w:hint="eastAsia"/>
        </w:rPr>
        <w:t>·</w:t>
      </w:r>
      <w:r w:rsidRPr="00BF42B7">
        <w:rPr>
          <w:szCs w:val="21"/>
        </w:rPr>
        <w:t>卡姆托先生、江萨</w:t>
      </w:r>
      <w:r w:rsidRPr="00BF42B7">
        <w:rPr>
          <w:rFonts w:hint="eastAsia"/>
        </w:rPr>
        <w:t>·</w:t>
      </w:r>
      <w:r w:rsidRPr="00BF42B7">
        <w:rPr>
          <w:szCs w:val="21"/>
        </w:rPr>
        <w:t>吉滴猜萨里先生、罗曼</w:t>
      </w:r>
      <w:r w:rsidRPr="00BF42B7">
        <w:rPr>
          <w:rFonts w:hint="eastAsia"/>
        </w:rPr>
        <w:t>·</w:t>
      </w:r>
      <w:r w:rsidRPr="00BF42B7">
        <w:rPr>
          <w:szCs w:val="21"/>
        </w:rPr>
        <w:t>阿</w:t>
      </w:r>
      <w:r w:rsidRPr="00BF42B7">
        <w:rPr>
          <w:rFonts w:hint="eastAsia"/>
        </w:rPr>
        <w:t>·</w:t>
      </w:r>
      <w:r w:rsidRPr="00BF42B7">
        <w:rPr>
          <w:szCs w:val="21"/>
        </w:rPr>
        <w:t>科洛德金先生、唐纳德</w:t>
      </w:r>
      <w:r w:rsidRPr="00BF42B7">
        <w:rPr>
          <w:rFonts w:hint="eastAsia"/>
        </w:rPr>
        <w:t>·</w:t>
      </w:r>
      <w:r w:rsidRPr="00BF42B7">
        <w:rPr>
          <w:szCs w:val="21"/>
        </w:rPr>
        <w:t>麦克雷先生、村濑信也先生、肖恩</w:t>
      </w:r>
      <w:r w:rsidRPr="00BF42B7">
        <w:rPr>
          <w:rFonts w:hint="eastAsia"/>
        </w:rPr>
        <w:t>·</w:t>
      </w:r>
      <w:r w:rsidRPr="00BF42B7">
        <w:rPr>
          <w:szCs w:val="21"/>
        </w:rPr>
        <w:t>墨菲先生、格奥尔格</w:t>
      </w:r>
      <w:r w:rsidRPr="00BF42B7">
        <w:rPr>
          <w:rFonts w:hint="eastAsia"/>
        </w:rPr>
        <w:t>·</w:t>
      </w:r>
      <w:r w:rsidRPr="00BF42B7">
        <w:rPr>
          <w:szCs w:val="21"/>
        </w:rPr>
        <w:t>诺尔特先生、埃内斯特</w:t>
      </w:r>
      <w:r w:rsidRPr="00BF42B7">
        <w:rPr>
          <w:rFonts w:hint="eastAsia"/>
        </w:rPr>
        <w:t>·</w:t>
      </w:r>
      <w:r w:rsidRPr="00BF42B7">
        <w:rPr>
          <w:szCs w:val="21"/>
        </w:rPr>
        <w:t>彼得里奇先生、吉尔贝托</w:t>
      </w:r>
      <w:r w:rsidRPr="00BF42B7">
        <w:rPr>
          <w:rFonts w:hint="eastAsia"/>
        </w:rPr>
        <w:t>·</w:t>
      </w:r>
      <w:r w:rsidRPr="00BF42B7">
        <w:rPr>
          <w:szCs w:val="21"/>
        </w:rPr>
        <w:t>贝尔涅</w:t>
      </w:r>
      <w:r w:rsidRPr="00BF42B7">
        <w:rPr>
          <w:rFonts w:hint="eastAsia"/>
        </w:rPr>
        <w:t>·</w:t>
      </w:r>
      <w:r w:rsidRPr="00BF42B7">
        <w:rPr>
          <w:szCs w:val="21"/>
        </w:rPr>
        <w:t>萨博亚先生、纳林德尔</w:t>
      </w:r>
      <w:r w:rsidRPr="00BF42B7">
        <w:rPr>
          <w:rFonts w:hint="eastAsia"/>
        </w:rPr>
        <w:t>·</w:t>
      </w:r>
      <w:r w:rsidRPr="00BF42B7">
        <w:rPr>
          <w:szCs w:val="21"/>
        </w:rPr>
        <w:t>辛格先生、马塞洛</w:t>
      </w:r>
      <w:r w:rsidRPr="00BF42B7">
        <w:rPr>
          <w:rFonts w:hint="eastAsia"/>
        </w:rPr>
        <w:t>·</w:t>
      </w:r>
      <w:r w:rsidRPr="00BF42B7">
        <w:rPr>
          <w:szCs w:val="21"/>
        </w:rPr>
        <w:t>巴斯克斯－贝穆德斯先生、迈克尔</w:t>
      </w:r>
      <w:r w:rsidRPr="00BF42B7">
        <w:rPr>
          <w:rFonts w:hint="eastAsia"/>
        </w:rPr>
        <w:t>·</w:t>
      </w:r>
      <w:r w:rsidRPr="00BF42B7">
        <w:rPr>
          <w:szCs w:val="21"/>
        </w:rPr>
        <w:t>伍德先生和朴基甲先生</w:t>
      </w:r>
      <w:r w:rsidRPr="00BF42B7">
        <w:rPr>
          <w:szCs w:val="21"/>
        </w:rPr>
        <w:t>(</w:t>
      </w:r>
      <w:r w:rsidRPr="00BF42B7">
        <w:rPr>
          <w:szCs w:val="21"/>
        </w:rPr>
        <w:t>当然成员</w:t>
      </w:r>
      <w:r w:rsidRPr="00BF42B7">
        <w:rPr>
          <w:szCs w:val="21"/>
        </w:rPr>
        <w:t>)</w:t>
      </w:r>
      <w:r w:rsidRPr="00BF42B7">
        <w:rPr>
          <w:szCs w:val="21"/>
        </w:rPr>
        <w:t>。</w:t>
      </w:r>
    </w:p>
    <w:p w:rsidR="00103498" w:rsidRPr="00BF42B7" w:rsidRDefault="00103498" w:rsidP="00396D56">
      <w:pPr>
        <w:pStyle w:val="SingleTxtGC"/>
        <w:numPr>
          <w:ilvl w:val="0"/>
          <w:numId w:val="11"/>
        </w:numPr>
        <w:rPr>
          <w:szCs w:val="21"/>
        </w:rPr>
      </w:pPr>
      <w:r w:rsidRPr="00BF42B7">
        <w:rPr>
          <w:rFonts w:ascii="Time New Roman" w:eastAsia="楷体" w:hAnsi="Time New Roman"/>
          <w:kern w:val="14"/>
          <w:szCs w:val="21"/>
        </w:rPr>
        <w:t>与武装冲突有关的环境保护：</w:t>
      </w:r>
      <w:r w:rsidRPr="00BF42B7">
        <w:rPr>
          <w:kern w:val="14"/>
          <w:szCs w:val="21"/>
        </w:rPr>
        <w:t>帕维尔</w:t>
      </w:r>
      <w:r w:rsidRPr="00BF42B7">
        <w:rPr>
          <w:rFonts w:hint="eastAsia"/>
        </w:rPr>
        <w:t>·</w:t>
      </w:r>
      <w:r w:rsidRPr="00BF42B7">
        <w:rPr>
          <w:kern w:val="14"/>
          <w:szCs w:val="21"/>
        </w:rPr>
        <w:t>斯图尔马先生</w:t>
      </w:r>
      <w:r w:rsidRPr="00BF42B7">
        <w:rPr>
          <w:szCs w:val="21"/>
        </w:rPr>
        <w:t>(</w:t>
      </w:r>
      <w:r w:rsidRPr="00BF42B7">
        <w:rPr>
          <w:szCs w:val="21"/>
        </w:rPr>
        <w:t>主席</w:t>
      </w:r>
      <w:r w:rsidRPr="00BF42B7">
        <w:rPr>
          <w:szCs w:val="21"/>
        </w:rPr>
        <w:t>)</w:t>
      </w:r>
      <w:r w:rsidRPr="00BF42B7">
        <w:rPr>
          <w:szCs w:val="21"/>
        </w:rPr>
        <w:t>、玛丽</w:t>
      </w:r>
      <w:r w:rsidRPr="00BF42B7">
        <w:rPr>
          <w:rFonts w:hint="eastAsia"/>
        </w:rPr>
        <w:t>·</w:t>
      </w:r>
      <w:r w:rsidRPr="00BF42B7">
        <w:rPr>
          <w:szCs w:val="21"/>
        </w:rPr>
        <w:t>雅各布松女士</w:t>
      </w:r>
      <w:r w:rsidRPr="00BF42B7">
        <w:rPr>
          <w:szCs w:val="21"/>
        </w:rPr>
        <w:t>(</w:t>
      </w:r>
      <w:r w:rsidRPr="00BF42B7">
        <w:rPr>
          <w:szCs w:val="21"/>
        </w:rPr>
        <w:t>特别报告员</w:t>
      </w:r>
      <w:r w:rsidRPr="00BF42B7">
        <w:rPr>
          <w:szCs w:val="21"/>
        </w:rPr>
        <w:t>)</w:t>
      </w:r>
      <w:r w:rsidRPr="00BF42B7">
        <w:rPr>
          <w:szCs w:val="21"/>
        </w:rPr>
        <w:t>、康塞普西翁</w:t>
      </w:r>
      <w:r w:rsidRPr="00BF42B7">
        <w:rPr>
          <w:rFonts w:hint="eastAsia"/>
        </w:rPr>
        <w:t>·</w:t>
      </w:r>
      <w:r w:rsidRPr="00BF42B7">
        <w:rPr>
          <w:szCs w:val="21"/>
        </w:rPr>
        <w:t>埃斯科瓦尔</w:t>
      </w:r>
      <w:r w:rsidRPr="00BF42B7">
        <w:rPr>
          <w:rFonts w:hint="eastAsia"/>
        </w:rPr>
        <w:t>·</w:t>
      </w:r>
      <w:r w:rsidRPr="00BF42B7">
        <w:rPr>
          <w:szCs w:val="21"/>
        </w:rPr>
        <w:t>埃尔南德斯女士、马哈茂德</w:t>
      </w:r>
      <w:r w:rsidRPr="00BF42B7">
        <w:rPr>
          <w:rFonts w:hint="eastAsia"/>
        </w:rPr>
        <w:t>·</w:t>
      </w:r>
      <w:r w:rsidRPr="00BF42B7">
        <w:rPr>
          <w:szCs w:val="21"/>
        </w:rPr>
        <w:t>哈穆德先生、江萨</w:t>
      </w:r>
      <w:r w:rsidRPr="00BF42B7">
        <w:rPr>
          <w:rFonts w:hint="eastAsia"/>
        </w:rPr>
        <w:t>·</w:t>
      </w:r>
      <w:r w:rsidRPr="00BF42B7">
        <w:rPr>
          <w:szCs w:val="21"/>
        </w:rPr>
        <w:t>吉滴猜萨里先生、罗曼</w:t>
      </w:r>
      <w:r w:rsidRPr="00BF42B7">
        <w:rPr>
          <w:rFonts w:hint="eastAsia"/>
        </w:rPr>
        <w:t>·</w:t>
      </w:r>
      <w:r w:rsidRPr="00BF42B7">
        <w:rPr>
          <w:szCs w:val="21"/>
        </w:rPr>
        <w:t>阿</w:t>
      </w:r>
      <w:r w:rsidRPr="00BF42B7">
        <w:rPr>
          <w:rFonts w:hint="eastAsia"/>
        </w:rPr>
        <w:t>·</w:t>
      </w:r>
      <w:r w:rsidRPr="00BF42B7">
        <w:rPr>
          <w:szCs w:val="21"/>
        </w:rPr>
        <w:t>科洛德金先生、唐纳德</w:t>
      </w:r>
      <w:r w:rsidRPr="00BF42B7">
        <w:rPr>
          <w:rFonts w:hint="eastAsia"/>
        </w:rPr>
        <w:t>·</w:t>
      </w:r>
      <w:r w:rsidRPr="00BF42B7">
        <w:rPr>
          <w:szCs w:val="21"/>
        </w:rPr>
        <w:t>麦克雷先生、村濑信也先生、肖恩</w:t>
      </w:r>
      <w:r w:rsidRPr="00BF42B7">
        <w:rPr>
          <w:rFonts w:hint="eastAsia"/>
        </w:rPr>
        <w:t>·</w:t>
      </w:r>
      <w:r w:rsidRPr="00BF42B7">
        <w:rPr>
          <w:szCs w:val="21"/>
        </w:rPr>
        <w:t>墨菲先生、马塞洛</w:t>
      </w:r>
      <w:r w:rsidRPr="00BF42B7">
        <w:rPr>
          <w:rFonts w:hint="eastAsia"/>
        </w:rPr>
        <w:t>·</w:t>
      </w:r>
      <w:r w:rsidRPr="00BF42B7">
        <w:rPr>
          <w:szCs w:val="21"/>
        </w:rPr>
        <w:t>巴斯克斯－贝穆德斯先生、迈克尔</w:t>
      </w:r>
      <w:r w:rsidRPr="00BF42B7">
        <w:rPr>
          <w:rFonts w:hint="eastAsia"/>
        </w:rPr>
        <w:t>·</w:t>
      </w:r>
      <w:r w:rsidRPr="00BF42B7">
        <w:rPr>
          <w:szCs w:val="21"/>
        </w:rPr>
        <w:t>伍德先生和朴基甲先生</w:t>
      </w:r>
      <w:r w:rsidRPr="00BF42B7">
        <w:rPr>
          <w:szCs w:val="21"/>
        </w:rPr>
        <w:t>(</w:t>
      </w:r>
      <w:r w:rsidRPr="00BF42B7">
        <w:rPr>
          <w:szCs w:val="21"/>
        </w:rPr>
        <w:t>当然成员</w:t>
      </w:r>
      <w:r w:rsidRPr="00BF42B7">
        <w:rPr>
          <w:szCs w:val="21"/>
        </w:rPr>
        <w:t>)</w:t>
      </w:r>
      <w:r w:rsidRPr="00BF42B7">
        <w:rPr>
          <w:szCs w:val="21"/>
        </w:rPr>
        <w:t>。</w:t>
      </w:r>
    </w:p>
    <w:p w:rsidR="00103498" w:rsidRPr="00BF42B7" w:rsidRDefault="00103498" w:rsidP="00A77784">
      <w:pPr>
        <w:pStyle w:val="SingleTxtGC"/>
        <w:rPr>
          <w:szCs w:val="21"/>
        </w:rPr>
      </w:pPr>
      <w:r w:rsidRPr="00BF42B7">
        <w:rPr>
          <w:szCs w:val="21"/>
        </w:rPr>
        <w:t>7.</w:t>
      </w:r>
      <w:r w:rsidR="00A77784" w:rsidRPr="00BF42B7">
        <w:rPr>
          <w:rFonts w:hint="eastAsia"/>
          <w:szCs w:val="21"/>
        </w:rPr>
        <w:t xml:space="preserve">  </w:t>
      </w:r>
      <w:r w:rsidRPr="00BF42B7">
        <w:rPr>
          <w:szCs w:val="21"/>
        </w:rPr>
        <w:t>起草委员会就上列八项专题一共举行了</w:t>
      </w:r>
      <w:r w:rsidRPr="00BF42B7">
        <w:rPr>
          <w:rFonts w:hint="eastAsia"/>
          <w:szCs w:val="21"/>
        </w:rPr>
        <w:t>51</w:t>
      </w:r>
      <w:r w:rsidRPr="00BF42B7">
        <w:rPr>
          <w:szCs w:val="21"/>
        </w:rPr>
        <w:t>次会议。</w:t>
      </w:r>
    </w:p>
    <w:p w:rsidR="00103498" w:rsidRPr="00BF42B7" w:rsidRDefault="00103498" w:rsidP="00103498">
      <w:pPr>
        <w:pStyle w:val="H1GC"/>
      </w:pPr>
      <w:r w:rsidRPr="00BF42B7">
        <w:rPr>
          <w:rFonts w:hint="eastAsia"/>
        </w:rPr>
        <w:tab/>
      </w:r>
      <w:r w:rsidRPr="00BF42B7">
        <w:t>D.</w:t>
      </w:r>
      <w:r w:rsidRPr="00BF42B7">
        <w:rPr>
          <w:rFonts w:hint="eastAsia"/>
        </w:rPr>
        <w:tab/>
      </w:r>
      <w:r w:rsidRPr="00BF42B7">
        <w:t>工作组</w:t>
      </w:r>
    </w:p>
    <w:p w:rsidR="00103498" w:rsidRPr="00BF42B7" w:rsidRDefault="00103498" w:rsidP="00A77784">
      <w:pPr>
        <w:pStyle w:val="SingleTxtGC"/>
        <w:rPr>
          <w:szCs w:val="21"/>
        </w:rPr>
      </w:pPr>
      <w:r w:rsidRPr="00BF42B7">
        <w:rPr>
          <w:szCs w:val="21"/>
        </w:rPr>
        <w:t>8.</w:t>
      </w:r>
      <w:r w:rsidR="00A77784" w:rsidRPr="003D448F">
        <w:rPr>
          <w:rFonts w:hint="eastAsia"/>
          <w:bCs/>
          <w:szCs w:val="21"/>
        </w:rPr>
        <w:t xml:space="preserve">  </w:t>
      </w:r>
      <w:r w:rsidRPr="00BF42B7">
        <w:rPr>
          <w:szCs w:val="21"/>
        </w:rPr>
        <w:t>在</w:t>
      </w:r>
      <w:r w:rsidRPr="00BF42B7">
        <w:rPr>
          <w:szCs w:val="21"/>
        </w:rPr>
        <w:t>2016</w:t>
      </w:r>
      <w:r w:rsidRPr="00BF42B7">
        <w:rPr>
          <w:szCs w:val="21"/>
        </w:rPr>
        <w:t>年</w:t>
      </w:r>
      <w:r w:rsidRPr="00BF42B7">
        <w:rPr>
          <w:szCs w:val="21"/>
        </w:rPr>
        <w:t>5</w:t>
      </w:r>
      <w:r w:rsidRPr="00BF42B7">
        <w:rPr>
          <w:szCs w:val="21"/>
        </w:rPr>
        <w:t>月</w:t>
      </w:r>
      <w:r w:rsidRPr="00BF42B7">
        <w:rPr>
          <w:szCs w:val="21"/>
        </w:rPr>
        <w:t>2</w:t>
      </w:r>
      <w:r w:rsidRPr="00BF42B7">
        <w:rPr>
          <w:szCs w:val="21"/>
        </w:rPr>
        <w:t>日第</w:t>
      </w:r>
      <w:r w:rsidRPr="00BF42B7">
        <w:rPr>
          <w:szCs w:val="21"/>
        </w:rPr>
        <w:t>3291</w:t>
      </w:r>
      <w:r w:rsidRPr="00BF42B7">
        <w:rPr>
          <w:szCs w:val="21"/>
        </w:rPr>
        <w:t>次会议上，委员会设立了</w:t>
      </w:r>
      <w:r w:rsidRPr="00BF42B7">
        <w:rPr>
          <w:rFonts w:ascii="Time New Roman" w:eastAsia="楷体" w:hAnsi="Time New Roman"/>
          <w:szCs w:val="21"/>
        </w:rPr>
        <w:t>习惯国际法的识别工作组</w:t>
      </w:r>
      <w:r w:rsidRPr="00BF42B7">
        <w:rPr>
          <w:szCs w:val="21"/>
        </w:rPr>
        <w:t>：马塞洛</w:t>
      </w:r>
      <w:r w:rsidRPr="00BF42B7">
        <w:rPr>
          <w:rFonts w:hint="eastAsia"/>
        </w:rPr>
        <w:t>·</w:t>
      </w:r>
      <w:r w:rsidRPr="00BF42B7">
        <w:rPr>
          <w:szCs w:val="21"/>
        </w:rPr>
        <w:t>巴斯克斯－贝穆德斯先生</w:t>
      </w:r>
      <w:r w:rsidRPr="00BF42B7">
        <w:rPr>
          <w:szCs w:val="21"/>
        </w:rPr>
        <w:t>(</w:t>
      </w:r>
      <w:r w:rsidRPr="00BF42B7">
        <w:rPr>
          <w:szCs w:val="21"/>
        </w:rPr>
        <w:t>主席</w:t>
      </w:r>
      <w:r w:rsidRPr="00BF42B7">
        <w:rPr>
          <w:szCs w:val="21"/>
        </w:rPr>
        <w:t>)</w:t>
      </w:r>
      <w:r w:rsidRPr="00BF42B7">
        <w:rPr>
          <w:szCs w:val="21"/>
        </w:rPr>
        <w:t>、迈克尔</w:t>
      </w:r>
      <w:r w:rsidRPr="00BF42B7">
        <w:rPr>
          <w:rFonts w:hint="eastAsia"/>
        </w:rPr>
        <w:t>·</w:t>
      </w:r>
      <w:r w:rsidRPr="00BF42B7">
        <w:rPr>
          <w:szCs w:val="21"/>
        </w:rPr>
        <w:t>伍德先生</w:t>
      </w:r>
      <w:r w:rsidRPr="00BF42B7">
        <w:rPr>
          <w:szCs w:val="21"/>
        </w:rPr>
        <w:t>(</w:t>
      </w:r>
      <w:r w:rsidRPr="00BF42B7">
        <w:rPr>
          <w:szCs w:val="21"/>
        </w:rPr>
        <w:t>特别报告员</w:t>
      </w:r>
      <w:r w:rsidRPr="00BF42B7">
        <w:rPr>
          <w:szCs w:val="21"/>
        </w:rPr>
        <w:t>)</w:t>
      </w:r>
      <w:r w:rsidRPr="00BF42B7">
        <w:rPr>
          <w:szCs w:val="21"/>
        </w:rPr>
        <w:t>、佩德罗</w:t>
      </w:r>
      <w:r w:rsidRPr="00BF42B7">
        <w:rPr>
          <w:rFonts w:hint="eastAsia"/>
        </w:rPr>
        <w:t>·</w:t>
      </w:r>
      <w:r w:rsidRPr="00BF42B7">
        <w:rPr>
          <w:szCs w:val="21"/>
        </w:rPr>
        <w:t>科米萨里奥</w:t>
      </w:r>
      <w:r w:rsidRPr="00BF42B7">
        <w:rPr>
          <w:rFonts w:hint="eastAsia"/>
        </w:rPr>
        <w:t>·</w:t>
      </w:r>
      <w:r w:rsidRPr="00BF42B7">
        <w:rPr>
          <w:szCs w:val="21"/>
        </w:rPr>
        <w:t>阿丰索先生、康塞普西翁</w:t>
      </w:r>
      <w:r w:rsidRPr="00BF42B7">
        <w:rPr>
          <w:rFonts w:hint="eastAsia"/>
        </w:rPr>
        <w:t>·</w:t>
      </w:r>
      <w:r w:rsidRPr="00BF42B7">
        <w:rPr>
          <w:szCs w:val="21"/>
        </w:rPr>
        <w:t>埃斯科瓦尔</w:t>
      </w:r>
      <w:r w:rsidRPr="00BF42B7">
        <w:rPr>
          <w:rFonts w:hint="eastAsia"/>
        </w:rPr>
        <w:t>·</w:t>
      </w:r>
      <w:r w:rsidRPr="00BF42B7">
        <w:rPr>
          <w:szCs w:val="21"/>
        </w:rPr>
        <w:t>埃尔南德斯女士、马蒂亚斯</w:t>
      </w:r>
      <w:r w:rsidRPr="00BF42B7">
        <w:rPr>
          <w:rFonts w:hint="eastAsia"/>
        </w:rPr>
        <w:t>·</w:t>
      </w:r>
      <w:r w:rsidRPr="00BF42B7">
        <w:rPr>
          <w:szCs w:val="21"/>
        </w:rPr>
        <w:t>福尔托先生、马哈茂德</w:t>
      </w:r>
      <w:r w:rsidRPr="00BF42B7">
        <w:rPr>
          <w:rFonts w:hint="eastAsia"/>
        </w:rPr>
        <w:t>·</w:t>
      </w:r>
      <w:r w:rsidRPr="00BF42B7">
        <w:rPr>
          <w:szCs w:val="21"/>
        </w:rPr>
        <w:t>哈穆德先生、莫里斯</w:t>
      </w:r>
      <w:r w:rsidRPr="00BF42B7">
        <w:rPr>
          <w:rFonts w:hint="eastAsia"/>
        </w:rPr>
        <w:t>·</w:t>
      </w:r>
      <w:r w:rsidRPr="00BF42B7">
        <w:rPr>
          <w:szCs w:val="21"/>
        </w:rPr>
        <w:t>卡姆托先生、江萨</w:t>
      </w:r>
      <w:r w:rsidRPr="00BF42B7">
        <w:rPr>
          <w:rFonts w:hint="eastAsia"/>
        </w:rPr>
        <w:t>·</w:t>
      </w:r>
      <w:r w:rsidRPr="00BF42B7">
        <w:rPr>
          <w:szCs w:val="21"/>
        </w:rPr>
        <w:t>吉滴猜萨里先生、罗曼</w:t>
      </w:r>
      <w:r w:rsidRPr="00BF42B7">
        <w:rPr>
          <w:rFonts w:hint="eastAsia"/>
        </w:rPr>
        <w:t>·</w:t>
      </w:r>
      <w:r w:rsidRPr="00BF42B7">
        <w:rPr>
          <w:szCs w:val="21"/>
        </w:rPr>
        <w:t>阿</w:t>
      </w:r>
      <w:r w:rsidRPr="00BF42B7">
        <w:rPr>
          <w:rFonts w:hint="eastAsia"/>
        </w:rPr>
        <w:t>·</w:t>
      </w:r>
      <w:r w:rsidRPr="00BF42B7">
        <w:rPr>
          <w:szCs w:val="21"/>
        </w:rPr>
        <w:t>科洛德金先生、唐纳德</w:t>
      </w:r>
      <w:r w:rsidRPr="00BF42B7">
        <w:rPr>
          <w:rFonts w:hint="eastAsia"/>
        </w:rPr>
        <w:t>·</w:t>
      </w:r>
      <w:r w:rsidRPr="00BF42B7">
        <w:rPr>
          <w:szCs w:val="21"/>
        </w:rPr>
        <w:t>麦克雷先生</w:t>
      </w:r>
      <w:r w:rsidRPr="00BF42B7">
        <w:rPr>
          <w:szCs w:val="21"/>
          <w:lang w:val="en-GB"/>
        </w:rPr>
        <w:t>、</w:t>
      </w:r>
      <w:r w:rsidRPr="00BF42B7">
        <w:rPr>
          <w:szCs w:val="21"/>
        </w:rPr>
        <w:t>村濑信也先生、肖恩</w:t>
      </w:r>
      <w:r w:rsidRPr="00BF42B7">
        <w:rPr>
          <w:rFonts w:hint="eastAsia"/>
        </w:rPr>
        <w:t>·</w:t>
      </w:r>
      <w:r w:rsidRPr="00BF42B7">
        <w:rPr>
          <w:szCs w:val="21"/>
        </w:rPr>
        <w:t>墨菲先生、埃内斯特</w:t>
      </w:r>
      <w:r w:rsidRPr="00BF42B7">
        <w:rPr>
          <w:rFonts w:hint="eastAsia"/>
        </w:rPr>
        <w:t>·</w:t>
      </w:r>
      <w:r w:rsidRPr="00BF42B7">
        <w:rPr>
          <w:szCs w:val="21"/>
        </w:rPr>
        <w:t>彼得里奇先生、帕维尔</w:t>
      </w:r>
      <w:r w:rsidRPr="00BF42B7">
        <w:rPr>
          <w:rFonts w:hint="eastAsia"/>
        </w:rPr>
        <w:t>·</w:t>
      </w:r>
      <w:r w:rsidRPr="00BF42B7">
        <w:rPr>
          <w:szCs w:val="21"/>
        </w:rPr>
        <w:t>斯图尔马先生和朴基甲先生</w:t>
      </w:r>
      <w:r w:rsidRPr="00BF42B7">
        <w:rPr>
          <w:szCs w:val="21"/>
        </w:rPr>
        <w:t>(</w:t>
      </w:r>
      <w:r w:rsidRPr="00BF42B7">
        <w:rPr>
          <w:szCs w:val="21"/>
        </w:rPr>
        <w:t>当然成员</w:t>
      </w:r>
      <w:r w:rsidRPr="00BF42B7">
        <w:rPr>
          <w:szCs w:val="21"/>
        </w:rPr>
        <w:t>)</w:t>
      </w:r>
      <w:r w:rsidRPr="00BF42B7">
        <w:rPr>
          <w:szCs w:val="21"/>
        </w:rPr>
        <w:t>。</w:t>
      </w:r>
    </w:p>
    <w:p w:rsidR="00103498" w:rsidRPr="00BF42B7" w:rsidRDefault="00103498" w:rsidP="00A77784">
      <w:pPr>
        <w:pStyle w:val="SingleTxtGC"/>
        <w:rPr>
          <w:szCs w:val="21"/>
        </w:rPr>
      </w:pPr>
      <w:r w:rsidRPr="00BF42B7">
        <w:rPr>
          <w:szCs w:val="21"/>
        </w:rPr>
        <w:t>9.</w:t>
      </w:r>
      <w:r w:rsidR="00A77784" w:rsidRPr="00BF42B7">
        <w:rPr>
          <w:rFonts w:hint="eastAsia"/>
          <w:szCs w:val="21"/>
        </w:rPr>
        <w:t xml:space="preserve">  </w:t>
      </w:r>
      <w:r w:rsidRPr="00BF42B7">
        <w:rPr>
          <w:szCs w:val="21"/>
        </w:rPr>
        <w:t>规划组重建了</w:t>
      </w:r>
      <w:r w:rsidRPr="00BF42B7">
        <w:rPr>
          <w:rFonts w:ascii="Time New Roman" w:eastAsia="楷体" w:hAnsi="Time New Roman"/>
          <w:szCs w:val="21"/>
        </w:rPr>
        <w:t>长期工作方案工作组</w:t>
      </w:r>
      <w:r w:rsidRPr="00BF42B7">
        <w:rPr>
          <w:szCs w:val="21"/>
        </w:rPr>
        <w:t>：唐纳德</w:t>
      </w:r>
      <w:r w:rsidRPr="00BF42B7">
        <w:rPr>
          <w:rFonts w:hint="eastAsia"/>
        </w:rPr>
        <w:t>·</w:t>
      </w:r>
      <w:r w:rsidRPr="00BF42B7">
        <w:rPr>
          <w:szCs w:val="21"/>
        </w:rPr>
        <w:t>麦克雷先生</w:t>
      </w:r>
      <w:r w:rsidRPr="00BF42B7">
        <w:rPr>
          <w:szCs w:val="21"/>
        </w:rPr>
        <w:t>(</w:t>
      </w:r>
      <w:r w:rsidRPr="00BF42B7">
        <w:rPr>
          <w:szCs w:val="21"/>
        </w:rPr>
        <w:t>主席</w:t>
      </w:r>
      <w:r w:rsidRPr="00BF42B7">
        <w:rPr>
          <w:szCs w:val="21"/>
        </w:rPr>
        <w:t>)</w:t>
      </w:r>
      <w:r w:rsidRPr="00BF42B7">
        <w:rPr>
          <w:szCs w:val="21"/>
        </w:rPr>
        <w:t>、</w:t>
      </w:r>
      <w:r w:rsidRPr="00BF42B7">
        <w:rPr>
          <w:szCs w:val="21"/>
          <w:lang w:val="en-GB"/>
        </w:rPr>
        <w:t>卢修斯</w:t>
      </w:r>
      <w:r w:rsidRPr="00BF42B7">
        <w:rPr>
          <w:rFonts w:hint="eastAsia"/>
        </w:rPr>
        <w:t>·</w:t>
      </w:r>
      <w:r w:rsidRPr="00BF42B7">
        <w:rPr>
          <w:szCs w:val="21"/>
          <w:lang w:val="en-GB"/>
        </w:rPr>
        <w:t>卡弗利施先生、阿卜杜勒拉齐克</w:t>
      </w:r>
      <w:r w:rsidRPr="00BF42B7">
        <w:rPr>
          <w:rFonts w:hint="eastAsia"/>
        </w:rPr>
        <w:t>·</w:t>
      </w:r>
      <w:r w:rsidRPr="00BF42B7">
        <w:rPr>
          <w:szCs w:val="21"/>
          <w:lang w:val="en-GB"/>
        </w:rPr>
        <w:t>穆尔塔迪</w:t>
      </w:r>
      <w:r w:rsidRPr="00BF42B7">
        <w:rPr>
          <w:rFonts w:hint="eastAsia"/>
        </w:rPr>
        <w:t>·</w:t>
      </w:r>
      <w:r w:rsidRPr="00BF42B7">
        <w:rPr>
          <w:szCs w:val="21"/>
          <w:lang w:val="en-GB"/>
        </w:rPr>
        <w:t>苏莱曼</w:t>
      </w:r>
      <w:r w:rsidRPr="00BF42B7">
        <w:rPr>
          <w:rFonts w:hint="eastAsia"/>
        </w:rPr>
        <w:t>·</w:t>
      </w:r>
      <w:r w:rsidRPr="00BF42B7">
        <w:rPr>
          <w:szCs w:val="21"/>
          <w:lang w:val="en-GB"/>
        </w:rPr>
        <w:t>古伊德尔先生、康塞普西翁</w:t>
      </w:r>
      <w:r w:rsidRPr="00BF42B7">
        <w:rPr>
          <w:rFonts w:hint="eastAsia"/>
        </w:rPr>
        <w:t>·</w:t>
      </w:r>
      <w:r w:rsidRPr="00BF42B7">
        <w:rPr>
          <w:szCs w:val="21"/>
          <w:lang w:val="en-GB"/>
        </w:rPr>
        <w:t>埃斯科瓦尔</w:t>
      </w:r>
      <w:r w:rsidRPr="00BF42B7">
        <w:rPr>
          <w:rFonts w:hint="eastAsia"/>
        </w:rPr>
        <w:t>·</w:t>
      </w:r>
      <w:r w:rsidRPr="00BF42B7">
        <w:rPr>
          <w:szCs w:val="21"/>
          <w:lang w:val="en-GB"/>
        </w:rPr>
        <w:t>埃尔南德斯女士、马蒂亚斯</w:t>
      </w:r>
      <w:r w:rsidRPr="00BF42B7">
        <w:rPr>
          <w:rFonts w:hint="eastAsia"/>
        </w:rPr>
        <w:t>·</w:t>
      </w:r>
      <w:r w:rsidRPr="00BF42B7">
        <w:rPr>
          <w:szCs w:val="21"/>
          <w:lang w:val="en-GB"/>
        </w:rPr>
        <w:t>福尔托先生、侯赛因</w:t>
      </w:r>
      <w:r w:rsidRPr="00BF42B7">
        <w:rPr>
          <w:rFonts w:hint="eastAsia"/>
        </w:rPr>
        <w:t>·</w:t>
      </w:r>
      <w:r w:rsidRPr="00BF42B7">
        <w:rPr>
          <w:szCs w:val="21"/>
          <w:lang w:val="en-GB"/>
        </w:rPr>
        <w:t>哈苏纳先生、马哈茂德</w:t>
      </w:r>
      <w:r w:rsidRPr="00BF42B7">
        <w:rPr>
          <w:rFonts w:hint="eastAsia"/>
        </w:rPr>
        <w:t>·</w:t>
      </w:r>
      <w:r w:rsidRPr="00BF42B7">
        <w:rPr>
          <w:szCs w:val="21"/>
          <w:lang w:val="en-GB"/>
        </w:rPr>
        <w:t>哈穆德先生、莫里斯</w:t>
      </w:r>
      <w:r w:rsidRPr="00BF42B7">
        <w:rPr>
          <w:rFonts w:hint="eastAsia"/>
        </w:rPr>
        <w:t>·</w:t>
      </w:r>
      <w:r w:rsidRPr="00BF42B7">
        <w:rPr>
          <w:szCs w:val="21"/>
          <w:lang w:val="en-GB"/>
        </w:rPr>
        <w:t>卡姆托先生、江萨</w:t>
      </w:r>
      <w:r w:rsidRPr="00BF42B7">
        <w:rPr>
          <w:rFonts w:hint="eastAsia"/>
        </w:rPr>
        <w:t>·</w:t>
      </w:r>
      <w:r w:rsidRPr="00BF42B7">
        <w:rPr>
          <w:szCs w:val="21"/>
          <w:lang w:val="en-GB"/>
        </w:rPr>
        <w:t>吉滴猜萨里先生、罗曼</w:t>
      </w:r>
      <w:r w:rsidRPr="00BF42B7">
        <w:rPr>
          <w:rFonts w:hint="eastAsia"/>
        </w:rPr>
        <w:t>·</w:t>
      </w:r>
      <w:r w:rsidRPr="00BF42B7">
        <w:rPr>
          <w:szCs w:val="21"/>
          <w:lang w:val="en-GB"/>
        </w:rPr>
        <w:t>阿</w:t>
      </w:r>
      <w:r w:rsidRPr="00BF42B7">
        <w:rPr>
          <w:rFonts w:hint="eastAsia"/>
        </w:rPr>
        <w:t>·</w:t>
      </w:r>
      <w:r w:rsidRPr="00BF42B7">
        <w:rPr>
          <w:szCs w:val="21"/>
          <w:lang w:val="en-GB"/>
        </w:rPr>
        <w:t>科洛德金先生、艾哈迈德</w:t>
      </w:r>
      <w:r w:rsidRPr="00BF42B7">
        <w:rPr>
          <w:rFonts w:hint="eastAsia"/>
        </w:rPr>
        <w:t>·</w:t>
      </w:r>
      <w:r w:rsidRPr="00BF42B7">
        <w:rPr>
          <w:szCs w:val="21"/>
          <w:lang w:val="en-GB"/>
        </w:rPr>
        <w:t>拉腊巴先生、村濑信也先生、格奥尔格</w:t>
      </w:r>
      <w:r w:rsidRPr="00BF42B7">
        <w:rPr>
          <w:rFonts w:hint="eastAsia"/>
        </w:rPr>
        <w:t>·</w:t>
      </w:r>
      <w:r w:rsidRPr="00BF42B7">
        <w:rPr>
          <w:szCs w:val="21"/>
          <w:lang w:val="en-GB"/>
        </w:rPr>
        <w:t>诺尔特先生、埃内斯特</w:t>
      </w:r>
      <w:r w:rsidRPr="00BF42B7">
        <w:rPr>
          <w:rFonts w:hint="eastAsia"/>
        </w:rPr>
        <w:t>·</w:t>
      </w:r>
      <w:r w:rsidRPr="00BF42B7">
        <w:rPr>
          <w:szCs w:val="21"/>
          <w:lang w:val="en-GB"/>
        </w:rPr>
        <w:t>彼得里奇先生、帕维尔</w:t>
      </w:r>
      <w:r w:rsidRPr="00BF42B7">
        <w:rPr>
          <w:rFonts w:hint="eastAsia"/>
        </w:rPr>
        <w:t>·</w:t>
      </w:r>
      <w:r w:rsidRPr="00BF42B7">
        <w:rPr>
          <w:szCs w:val="21"/>
          <w:lang w:val="en-GB"/>
        </w:rPr>
        <w:t>斯图尔马先生、迪雷</w:t>
      </w:r>
      <w:r w:rsidRPr="00BF42B7">
        <w:rPr>
          <w:rFonts w:hint="eastAsia"/>
        </w:rPr>
        <w:t>·</w:t>
      </w:r>
      <w:r w:rsidRPr="00BF42B7">
        <w:rPr>
          <w:szCs w:val="21"/>
          <w:lang w:val="en-GB"/>
        </w:rPr>
        <w:t>特拉迪先生、阿莫斯</w:t>
      </w:r>
      <w:r w:rsidRPr="00BF42B7">
        <w:rPr>
          <w:rFonts w:hint="eastAsia"/>
        </w:rPr>
        <w:t>·</w:t>
      </w:r>
      <w:r w:rsidRPr="00BF42B7">
        <w:rPr>
          <w:szCs w:val="21"/>
          <w:lang w:val="en-GB"/>
        </w:rPr>
        <w:t>瓦科先生、努格罗霍</w:t>
      </w:r>
      <w:r w:rsidRPr="00BF42B7">
        <w:rPr>
          <w:rFonts w:hint="eastAsia"/>
        </w:rPr>
        <w:t>·</w:t>
      </w:r>
      <w:r w:rsidRPr="00BF42B7">
        <w:rPr>
          <w:szCs w:val="21"/>
          <w:lang w:val="en-GB"/>
        </w:rPr>
        <w:t>维斯努穆尔蒂先生、马塞洛</w:t>
      </w:r>
      <w:r w:rsidRPr="00BF42B7">
        <w:rPr>
          <w:rFonts w:hint="eastAsia"/>
        </w:rPr>
        <w:t>·</w:t>
      </w:r>
      <w:r w:rsidRPr="00BF42B7">
        <w:rPr>
          <w:szCs w:val="21"/>
          <w:lang w:val="en-GB"/>
        </w:rPr>
        <w:t>巴斯克斯－贝穆德斯先生、迈克尔</w:t>
      </w:r>
      <w:r w:rsidRPr="00BF42B7">
        <w:rPr>
          <w:rFonts w:hint="eastAsia"/>
        </w:rPr>
        <w:t>·</w:t>
      </w:r>
      <w:r w:rsidRPr="00BF42B7">
        <w:rPr>
          <w:szCs w:val="21"/>
          <w:lang w:val="en-GB"/>
        </w:rPr>
        <w:t>伍德先生和朴基甲先生</w:t>
      </w:r>
      <w:r w:rsidRPr="00BF42B7">
        <w:rPr>
          <w:szCs w:val="21"/>
          <w:lang w:val="en-GB"/>
        </w:rPr>
        <w:t>(</w:t>
      </w:r>
      <w:r w:rsidRPr="00BF42B7">
        <w:rPr>
          <w:szCs w:val="21"/>
          <w:lang w:val="en-GB"/>
        </w:rPr>
        <w:t>当然成员</w:t>
      </w:r>
      <w:r w:rsidRPr="00BF42B7">
        <w:rPr>
          <w:szCs w:val="21"/>
          <w:lang w:val="en-GB"/>
        </w:rPr>
        <w:t>)</w:t>
      </w:r>
      <w:r w:rsidRPr="00BF42B7">
        <w:rPr>
          <w:szCs w:val="21"/>
          <w:lang w:val="en-GB"/>
        </w:rPr>
        <w:t>。</w:t>
      </w:r>
    </w:p>
    <w:p w:rsidR="00103498" w:rsidRPr="00BF42B7" w:rsidRDefault="00103498" w:rsidP="00103498">
      <w:pPr>
        <w:pStyle w:val="H1GC"/>
      </w:pPr>
      <w:r w:rsidRPr="00BF42B7">
        <w:rPr>
          <w:rFonts w:hint="eastAsia"/>
          <w:lang w:val="en-GB"/>
        </w:rPr>
        <w:tab/>
      </w:r>
      <w:r w:rsidRPr="00BF42B7">
        <w:rPr>
          <w:lang w:val="en-GB"/>
        </w:rPr>
        <w:t>E.</w:t>
      </w:r>
      <w:r w:rsidRPr="00BF42B7">
        <w:rPr>
          <w:rFonts w:hint="eastAsia"/>
          <w:lang w:val="en-GB"/>
        </w:rPr>
        <w:tab/>
      </w:r>
      <w:r w:rsidRPr="00BF42B7">
        <w:rPr>
          <w:lang w:val="en-GB"/>
        </w:rPr>
        <w:t>秘书处</w:t>
      </w:r>
    </w:p>
    <w:p w:rsidR="00103498" w:rsidRPr="00BF42B7" w:rsidRDefault="00103498" w:rsidP="00103498">
      <w:pPr>
        <w:pStyle w:val="SingleTxtGC"/>
        <w:rPr>
          <w:szCs w:val="21"/>
        </w:rPr>
      </w:pPr>
      <w:r w:rsidRPr="00BF42B7">
        <w:rPr>
          <w:szCs w:val="21"/>
        </w:rPr>
        <w:t>10.</w:t>
      </w:r>
      <w:r w:rsidRPr="00BF42B7">
        <w:rPr>
          <w:rFonts w:hint="eastAsia"/>
          <w:szCs w:val="21"/>
        </w:rPr>
        <w:t xml:space="preserve">  </w:t>
      </w:r>
      <w:r w:rsidRPr="00BF42B7">
        <w:rPr>
          <w:szCs w:val="21"/>
        </w:rPr>
        <w:t>主管法律事务厅副秘书长兼联合国法律顾问米格尔</w:t>
      </w:r>
      <w:r w:rsidRPr="00BF42B7">
        <w:rPr>
          <w:rFonts w:hint="eastAsia"/>
        </w:rPr>
        <w:t>·</w:t>
      </w:r>
      <w:r w:rsidRPr="00BF42B7">
        <w:rPr>
          <w:szCs w:val="21"/>
        </w:rPr>
        <w:t>塞尔帕</w:t>
      </w:r>
      <w:r w:rsidRPr="00BF42B7">
        <w:rPr>
          <w:rFonts w:hint="eastAsia"/>
        </w:rPr>
        <w:t>·</w:t>
      </w:r>
      <w:r w:rsidRPr="00BF42B7">
        <w:rPr>
          <w:szCs w:val="21"/>
        </w:rPr>
        <w:t>苏亚雷斯先生担任秘书长的代表。法律事务厅编纂司司长休</w:t>
      </w:r>
      <w:r w:rsidRPr="00BF42B7">
        <w:rPr>
          <w:rFonts w:hint="eastAsia"/>
        </w:rPr>
        <w:t>·</w:t>
      </w:r>
      <w:r w:rsidRPr="00BF42B7">
        <w:rPr>
          <w:szCs w:val="21"/>
        </w:rPr>
        <w:t>卢埃林先生担任委员会秘书，并在法律顾问缺席时代表秘书长。特等法律干事阿诺德</w:t>
      </w:r>
      <w:r w:rsidRPr="00BF42B7">
        <w:rPr>
          <w:rFonts w:hint="eastAsia"/>
        </w:rPr>
        <w:t>·</w:t>
      </w:r>
      <w:r w:rsidRPr="00BF42B7">
        <w:rPr>
          <w:szCs w:val="21"/>
        </w:rPr>
        <w:t>普龙托先生担任首席助理秘书。高级法律干事特雷沃尔</w:t>
      </w:r>
      <w:r w:rsidRPr="00BF42B7">
        <w:rPr>
          <w:rFonts w:hint="eastAsia"/>
        </w:rPr>
        <w:t>·</w:t>
      </w:r>
      <w:r w:rsidRPr="00BF42B7">
        <w:rPr>
          <w:szCs w:val="21"/>
        </w:rPr>
        <w:t>齐敏巴先生担任高级助理秘书。法律干事帕特里夏</w:t>
      </w:r>
      <w:r w:rsidRPr="00BF42B7">
        <w:rPr>
          <w:rFonts w:hint="eastAsia"/>
        </w:rPr>
        <w:t>·</w:t>
      </w:r>
      <w:r w:rsidRPr="00BF42B7">
        <w:rPr>
          <w:szCs w:val="21"/>
        </w:rPr>
        <w:t>若尔热女士、哈娜</w:t>
      </w:r>
      <w:r w:rsidRPr="00BF42B7">
        <w:rPr>
          <w:rFonts w:hint="eastAsia"/>
        </w:rPr>
        <w:t>·</w:t>
      </w:r>
      <w:r w:rsidRPr="00BF42B7">
        <w:rPr>
          <w:szCs w:val="21"/>
        </w:rPr>
        <w:t>德雷菲尔特－莱恩女士和戴维</w:t>
      </w:r>
      <w:r w:rsidRPr="00BF42B7">
        <w:rPr>
          <w:rFonts w:hint="eastAsia"/>
        </w:rPr>
        <w:t>·</w:t>
      </w:r>
      <w:r w:rsidRPr="00BF42B7">
        <w:rPr>
          <w:szCs w:val="21"/>
        </w:rPr>
        <w:t>纳诺波利斯先生担任委员会助理秘书。</w:t>
      </w:r>
    </w:p>
    <w:p w:rsidR="00103498" w:rsidRPr="00BF42B7" w:rsidRDefault="00103498" w:rsidP="00103498">
      <w:pPr>
        <w:pStyle w:val="H1GC"/>
      </w:pPr>
      <w:r w:rsidRPr="00BF42B7">
        <w:rPr>
          <w:rFonts w:hint="eastAsia"/>
        </w:rPr>
        <w:tab/>
      </w:r>
      <w:r w:rsidRPr="00BF42B7">
        <w:t>F.</w:t>
      </w:r>
      <w:r w:rsidRPr="00BF42B7">
        <w:rPr>
          <w:rFonts w:hint="eastAsia"/>
        </w:rPr>
        <w:tab/>
      </w:r>
      <w:r w:rsidRPr="00BF42B7">
        <w:t>议程</w:t>
      </w:r>
    </w:p>
    <w:p w:rsidR="00103498" w:rsidRPr="00BF42B7" w:rsidRDefault="00103498" w:rsidP="00103498">
      <w:pPr>
        <w:pStyle w:val="SingleTxtGC"/>
      </w:pPr>
      <w:r w:rsidRPr="00BF42B7">
        <w:t>11.</w:t>
      </w:r>
      <w:r w:rsidRPr="00BF42B7">
        <w:rPr>
          <w:rFonts w:hint="eastAsia"/>
        </w:rPr>
        <w:t xml:space="preserve">  </w:t>
      </w:r>
      <w:r w:rsidRPr="00BF42B7">
        <w:t>在</w:t>
      </w:r>
      <w:r w:rsidRPr="00BF42B7">
        <w:t>2016</w:t>
      </w:r>
      <w:r w:rsidRPr="00BF42B7">
        <w:t>年</w:t>
      </w:r>
      <w:r w:rsidRPr="00BF42B7">
        <w:t>5</w:t>
      </w:r>
      <w:r w:rsidRPr="00BF42B7">
        <w:t>月</w:t>
      </w:r>
      <w:r w:rsidRPr="00BF42B7">
        <w:t>2</w:t>
      </w:r>
      <w:r w:rsidRPr="00BF42B7">
        <w:t>日第</w:t>
      </w:r>
      <w:r w:rsidRPr="00BF42B7">
        <w:t>3291</w:t>
      </w:r>
      <w:r w:rsidRPr="00BF42B7">
        <w:t>次会议上，委员会通过了第六十八届会议议程，包括下列项目：</w:t>
      </w:r>
    </w:p>
    <w:p w:rsidR="00103498" w:rsidRPr="00BF42B7" w:rsidRDefault="00103498" w:rsidP="00103498">
      <w:pPr>
        <w:pStyle w:val="SingleTxtGC"/>
        <w:tabs>
          <w:tab w:val="clear" w:pos="1996"/>
          <w:tab w:val="left" w:pos="2030"/>
        </w:tabs>
        <w:ind w:left="1565" w:firstLine="17"/>
        <w:rPr>
          <w:szCs w:val="21"/>
        </w:rPr>
      </w:pPr>
      <w:r w:rsidRPr="00BF42B7">
        <w:rPr>
          <w:szCs w:val="21"/>
        </w:rPr>
        <w:t>1.</w:t>
      </w:r>
      <w:r w:rsidRPr="00BF42B7">
        <w:rPr>
          <w:szCs w:val="21"/>
        </w:rPr>
        <w:tab/>
      </w:r>
      <w:r w:rsidRPr="00BF42B7">
        <w:rPr>
          <w:szCs w:val="21"/>
        </w:rPr>
        <w:t>会议工作安排。</w:t>
      </w:r>
    </w:p>
    <w:p w:rsidR="00103498" w:rsidRPr="00BF42B7" w:rsidRDefault="00103498" w:rsidP="00103498">
      <w:pPr>
        <w:pStyle w:val="SingleTxtGC"/>
        <w:tabs>
          <w:tab w:val="clear" w:pos="1996"/>
          <w:tab w:val="left" w:pos="2030"/>
        </w:tabs>
        <w:ind w:left="1565" w:firstLine="17"/>
        <w:rPr>
          <w:szCs w:val="21"/>
        </w:rPr>
      </w:pPr>
      <w:r w:rsidRPr="00BF42B7">
        <w:rPr>
          <w:szCs w:val="21"/>
        </w:rPr>
        <w:t>2.</w:t>
      </w:r>
      <w:r w:rsidRPr="00BF42B7">
        <w:rPr>
          <w:szCs w:val="21"/>
        </w:rPr>
        <w:tab/>
      </w:r>
      <w:r w:rsidRPr="00BF42B7">
        <w:rPr>
          <w:szCs w:val="21"/>
        </w:rPr>
        <w:t>发生灾害时的人员保护。</w:t>
      </w:r>
    </w:p>
    <w:p w:rsidR="00103498" w:rsidRPr="00BF42B7" w:rsidRDefault="00103498" w:rsidP="00103498">
      <w:pPr>
        <w:pStyle w:val="SingleTxtGC"/>
        <w:tabs>
          <w:tab w:val="clear" w:pos="1996"/>
          <w:tab w:val="left" w:pos="2030"/>
        </w:tabs>
        <w:ind w:left="1565" w:firstLine="17"/>
        <w:rPr>
          <w:szCs w:val="21"/>
        </w:rPr>
      </w:pPr>
      <w:r w:rsidRPr="00BF42B7">
        <w:rPr>
          <w:szCs w:val="21"/>
        </w:rPr>
        <w:t>3.</w:t>
      </w:r>
      <w:r w:rsidRPr="00BF42B7">
        <w:rPr>
          <w:szCs w:val="21"/>
        </w:rPr>
        <w:tab/>
      </w:r>
      <w:r w:rsidRPr="00BF42B7">
        <w:rPr>
          <w:szCs w:val="21"/>
        </w:rPr>
        <w:t>国家官员的外国刑事管辖豁免。</w:t>
      </w:r>
    </w:p>
    <w:p w:rsidR="00103498" w:rsidRPr="00BF42B7" w:rsidRDefault="00103498" w:rsidP="00103498">
      <w:pPr>
        <w:pStyle w:val="SingleTxtGC"/>
        <w:tabs>
          <w:tab w:val="clear" w:pos="1996"/>
          <w:tab w:val="left" w:pos="2030"/>
        </w:tabs>
        <w:ind w:left="1565" w:firstLine="17"/>
        <w:rPr>
          <w:szCs w:val="21"/>
        </w:rPr>
      </w:pPr>
      <w:r w:rsidRPr="00BF42B7">
        <w:rPr>
          <w:szCs w:val="21"/>
        </w:rPr>
        <w:t>4.</w:t>
      </w:r>
      <w:r w:rsidRPr="00BF42B7">
        <w:rPr>
          <w:szCs w:val="21"/>
        </w:rPr>
        <w:tab/>
      </w:r>
      <w:r w:rsidRPr="00BF42B7">
        <w:rPr>
          <w:szCs w:val="21"/>
        </w:rPr>
        <w:t>与条约解释相关的嗣后协定和嗣后惯例。</w:t>
      </w:r>
    </w:p>
    <w:p w:rsidR="00103498" w:rsidRPr="00BF42B7" w:rsidRDefault="00103498" w:rsidP="00103498">
      <w:pPr>
        <w:pStyle w:val="SingleTxtGC"/>
        <w:tabs>
          <w:tab w:val="clear" w:pos="1996"/>
          <w:tab w:val="left" w:pos="2030"/>
        </w:tabs>
        <w:ind w:left="1565" w:firstLine="17"/>
        <w:rPr>
          <w:szCs w:val="21"/>
        </w:rPr>
      </w:pPr>
      <w:r w:rsidRPr="00BF42B7">
        <w:rPr>
          <w:szCs w:val="21"/>
        </w:rPr>
        <w:t>5.</w:t>
      </w:r>
      <w:r w:rsidRPr="00BF42B7">
        <w:rPr>
          <w:szCs w:val="21"/>
        </w:rPr>
        <w:tab/>
      </w:r>
      <w:r w:rsidRPr="00BF42B7">
        <w:rPr>
          <w:szCs w:val="21"/>
        </w:rPr>
        <w:t>条约的暂时适用。</w:t>
      </w:r>
    </w:p>
    <w:p w:rsidR="00103498" w:rsidRPr="00BF42B7" w:rsidRDefault="00103498" w:rsidP="00103498">
      <w:pPr>
        <w:pStyle w:val="SingleTxtGC"/>
        <w:tabs>
          <w:tab w:val="clear" w:pos="1996"/>
          <w:tab w:val="left" w:pos="2030"/>
        </w:tabs>
        <w:ind w:left="1565" w:firstLine="17"/>
        <w:rPr>
          <w:szCs w:val="21"/>
        </w:rPr>
      </w:pPr>
      <w:r w:rsidRPr="00BF42B7">
        <w:rPr>
          <w:szCs w:val="21"/>
        </w:rPr>
        <w:t>6.</w:t>
      </w:r>
      <w:r w:rsidRPr="00BF42B7">
        <w:rPr>
          <w:szCs w:val="21"/>
        </w:rPr>
        <w:tab/>
      </w:r>
      <w:r w:rsidRPr="00BF42B7">
        <w:rPr>
          <w:szCs w:val="21"/>
        </w:rPr>
        <w:t>习惯国际法的识别。</w:t>
      </w:r>
    </w:p>
    <w:p w:rsidR="00103498" w:rsidRPr="00BF42B7" w:rsidRDefault="00103498" w:rsidP="00103498">
      <w:pPr>
        <w:pStyle w:val="SingleTxtGC"/>
        <w:tabs>
          <w:tab w:val="clear" w:pos="1996"/>
          <w:tab w:val="left" w:pos="2030"/>
        </w:tabs>
        <w:ind w:left="1565" w:firstLine="17"/>
        <w:rPr>
          <w:szCs w:val="21"/>
        </w:rPr>
      </w:pPr>
      <w:r w:rsidRPr="00BF42B7">
        <w:rPr>
          <w:szCs w:val="21"/>
        </w:rPr>
        <w:t>7.</w:t>
      </w:r>
      <w:r w:rsidRPr="00BF42B7">
        <w:rPr>
          <w:szCs w:val="21"/>
        </w:rPr>
        <w:tab/>
      </w:r>
      <w:r w:rsidRPr="00BF42B7">
        <w:rPr>
          <w:szCs w:val="21"/>
        </w:rPr>
        <w:t>与武装冲突有关的环境保护。</w:t>
      </w:r>
    </w:p>
    <w:p w:rsidR="00103498" w:rsidRPr="00BF42B7" w:rsidRDefault="00103498" w:rsidP="00103498">
      <w:pPr>
        <w:pStyle w:val="SingleTxtGC"/>
        <w:tabs>
          <w:tab w:val="clear" w:pos="1996"/>
          <w:tab w:val="left" w:pos="2030"/>
        </w:tabs>
        <w:ind w:left="1565" w:firstLine="17"/>
        <w:rPr>
          <w:szCs w:val="21"/>
        </w:rPr>
      </w:pPr>
      <w:r w:rsidRPr="00BF42B7">
        <w:rPr>
          <w:szCs w:val="21"/>
        </w:rPr>
        <w:t>8.</w:t>
      </w:r>
      <w:r w:rsidRPr="00BF42B7">
        <w:rPr>
          <w:szCs w:val="21"/>
        </w:rPr>
        <w:tab/>
      </w:r>
      <w:r w:rsidRPr="00BF42B7">
        <w:rPr>
          <w:szCs w:val="21"/>
        </w:rPr>
        <w:t>保护大气层。</w:t>
      </w:r>
    </w:p>
    <w:p w:rsidR="00103498" w:rsidRPr="00BF42B7" w:rsidRDefault="00103498" w:rsidP="00103498">
      <w:pPr>
        <w:pStyle w:val="SingleTxtGC"/>
        <w:tabs>
          <w:tab w:val="clear" w:pos="1996"/>
          <w:tab w:val="left" w:pos="2030"/>
        </w:tabs>
        <w:ind w:left="1565" w:firstLine="17"/>
        <w:rPr>
          <w:szCs w:val="21"/>
        </w:rPr>
      </w:pPr>
      <w:r w:rsidRPr="00BF42B7">
        <w:rPr>
          <w:szCs w:val="21"/>
        </w:rPr>
        <w:t>9.</w:t>
      </w:r>
      <w:r w:rsidRPr="00BF42B7">
        <w:rPr>
          <w:szCs w:val="21"/>
        </w:rPr>
        <w:tab/>
      </w:r>
      <w:r w:rsidRPr="00BF42B7">
        <w:rPr>
          <w:szCs w:val="21"/>
        </w:rPr>
        <w:t>危害人类罪。</w:t>
      </w:r>
    </w:p>
    <w:p w:rsidR="00103498" w:rsidRPr="00BF42B7" w:rsidRDefault="00103498" w:rsidP="00103498">
      <w:pPr>
        <w:pStyle w:val="SingleTxtGC"/>
        <w:tabs>
          <w:tab w:val="clear" w:pos="1996"/>
          <w:tab w:val="left" w:pos="2030"/>
        </w:tabs>
        <w:ind w:left="1565" w:firstLine="17"/>
        <w:rPr>
          <w:szCs w:val="21"/>
        </w:rPr>
      </w:pPr>
      <w:r w:rsidRPr="00BF42B7">
        <w:rPr>
          <w:szCs w:val="21"/>
        </w:rPr>
        <w:t>10.</w:t>
      </w:r>
      <w:r w:rsidRPr="00BF42B7">
        <w:rPr>
          <w:szCs w:val="21"/>
        </w:rPr>
        <w:tab/>
      </w:r>
      <w:r w:rsidRPr="00BF42B7">
        <w:rPr>
          <w:rFonts w:ascii="Time New Roman" w:hAnsi="Time New Roman"/>
          <w:szCs w:val="21"/>
        </w:rPr>
        <w:t>强</w:t>
      </w:r>
      <w:r w:rsidRPr="00BF42B7">
        <w:rPr>
          <w:rFonts w:ascii="Time New Roman" w:hAnsi="Time New Roman" w:hint="eastAsia"/>
          <w:szCs w:val="21"/>
        </w:rPr>
        <w:t>行</w:t>
      </w:r>
      <w:r w:rsidRPr="00BF42B7">
        <w:rPr>
          <w:rFonts w:ascii="Time New Roman" w:hAnsi="Time New Roman"/>
          <w:szCs w:val="21"/>
        </w:rPr>
        <w:t>法</w:t>
      </w:r>
      <w:r w:rsidRPr="00BF42B7">
        <w:rPr>
          <w:szCs w:val="21"/>
        </w:rPr>
        <w:t>。</w:t>
      </w:r>
    </w:p>
    <w:p w:rsidR="00103498" w:rsidRPr="00BF42B7" w:rsidRDefault="00103498" w:rsidP="00103498">
      <w:pPr>
        <w:pStyle w:val="SingleTxtGC"/>
        <w:tabs>
          <w:tab w:val="clear" w:pos="1996"/>
          <w:tab w:val="left" w:pos="2030"/>
        </w:tabs>
        <w:ind w:left="1565" w:firstLine="17"/>
        <w:rPr>
          <w:szCs w:val="21"/>
        </w:rPr>
      </w:pPr>
      <w:r w:rsidRPr="00BF42B7">
        <w:rPr>
          <w:szCs w:val="21"/>
        </w:rPr>
        <w:t>11.</w:t>
      </w:r>
      <w:r w:rsidRPr="00BF42B7">
        <w:rPr>
          <w:szCs w:val="21"/>
        </w:rPr>
        <w:tab/>
      </w:r>
      <w:r w:rsidRPr="00BF42B7">
        <w:rPr>
          <w:szCs w:val="21"/>
        </w:rPr>
        <w:t>委员会方案、程序和工作方法以及文件。</w:t>
      </w:r>
    </w:p>
    <w:p w:rsidR="00103498" w:rsidRPr="00BF42B7" w:rsidRDefault="00103498" w:rsidP="00103498">
      <w:pPr>
        <w:pStyle w:val="SingleTxtGC"/>
        <w:tabs>
          <w:tab w:val="clear" w:pos="1996"/>
          <w:tab w:val="left" w:pos="2030"/>
        </w:tabs>
        <w:ind w:left="1565" w:firstLine="17"/>
        <w:rPr>
          <w:szCs w:val="21"/>
        </w:rPr>
      </w:pPr>
      <w:r w:rsidRPr="00BF42B7">
        <w:rPr>
          <w:szCs w:val="21"/>
        </w:rPr>
        <w:t>12.</w:t>
      </w:r>
      <w:r w:rsidRPr="00BF42B7">
        <w:rPr>
          <w:szCs w:val="21"/>
        </w:rPr>
        <w:tab/>
      </w:r>
      <w:r w:rsidRPr="00BF42B7">
        <w:rPr>
          <w:szCs w:val="21"/>
        </w:rPr>
        <w:t>第六十九届会议的日期和地点。</w:t>
      </w:r>
    </w:p>
    <w:p w:rsidR="00103498" w:rsidRPr="00BF42B7" w:rsidRDefault="00103498" w:rsidP="00103498">
      <w:pPr>
        <w:pStyle w:val="SingleTxtGC"/>
        <w:tabs>
          <w:tab w:val="clear" w:pos="1996"/>
          <w:tab w:val="left" w:pos="2030"/>
        </w:tabs>
        <w:ind w:left="1565" w:firstLine="17"/>
        <w:rPr>
          <w:szCs w:val="21"/>
        </w:rPr>
      </w:pPr>
      <w:r w:rsidRPr="00BF42B7">
        <w:rPr>
          <w:szCs w:val="21"/>
        </w:rPr>
        <w:t>13.</w:t>
      </w:r>
      <w:r w:rsidRPr="00BF42B7">
        <w:rPr>
          <w:szCs w:val="21"/>
        </w:rPr>
        <w:tab/>
      </w:r>
      <w:r w:rsidRPr="00BF42B7">
        <w:rPr>
          <w:szCs w:val="21"/>
        </w:rPr>
        <w:t>与其他机构的合作。</w:t>
      </w:r>
    </w:p>
    <w:p w:rsidR="00103498" w:rsidRPr="00BF42B7" w:rsidRDefault="00103498" w:rsidP="00103498">
      <w:pPr>
        <w:pStyle w:val="SingleTxtGC"/>
        <w:tabs>
          <w:tab w:val="clear" w:pos="1996"/>
          <w:tab w:val="left" w:pos="2030"/>
        </w:tabs>
        <w:ind w:left="1565" w:firstLine="17"/>
        <w:rPr>
          <w:szCs w:val="21"/>
        </w:rPr>
      </w:pPr>
      <w:r w:rsidRPr="00BF42B7">
        <w:rPr>
          <w:szCs w:val="21"/>
        </w:rPr>
        <w:t>14.</w:t>
      </w:r>
      <w:r w:rsidRPr="00BF42B7">
        <w:rPr>
          <w:szCs w:val="21"/>
        </w:rPr>
        <w:tab/>
      </w:r>
      <w:r w:rsidRPr="00BF42B7">
        <w:rPr>
          <w:szCs w:val="21"/>
        </w:rPr>
        <w:t>其他事项。</w:t>
      </w:r>
    </w:p>
    <w:p w:rsidR="00103498" w:rsidRPr="00BF42B7" w:rsidRDefault="00103498" w:rsidP="00103498">
      <w:pPr>
        <w:pStyle w:val="HChGC"/>
        <w:rPr>
          <w:lang w:val="fr-CH"/>
        </w:rPr>
      </w:pPr>
      <w:r w:rsidRPr="00BF42B7">
        <w:rPr>
          <w:rFonts w:hint="eastAsia"/>
          <w:lang w:val="fr-CH"/>
        </w:rPr>
        <w:tab/>
      </w:r>
      <w:r w:rsidRPr="00BF42B7">
        <w:rPr>
          <w:rFonts w:hint="eastAsia"/>
          <w:lang w:val="fr-CH"/>
        </w:rPr>
        <w:tab/>
      </w:r>
      <w:r w:rsidRPr="00BF42B7">
        <w:rPr>
          <w:rFonts w:hint="eastAsia"/>
          <w:lang w:val="fr-CH"/>
        </w:rPr>
        <w:t>第二章</w:t>
      </w:r>
      <w:r w:rsidRPr="00BF42B7">
        <w:rPr>
          <w:lang w:val="fr-CH"/>
        </w:rPr>
        <w:br/>
      </w:r>
      <w:r w:rsidRPr="00BF42B7">
        <w:rPr>
          <w:rFonts w:hint="eastAsia"/>
          <w:lang w:val="fr-CH"/>
        </w:rPr>
        <w:t>委员会第六十八届会议工作概况</w:t>
      </w:r>
    </w:p>
    <w:p w:rsidR="00103498" w:rsidRPr="00BF42B7" w:rsidRDefault="00103498" w:rsidP="00A77784">
      <w:pPr>
        <w:pStyle w:val="SingleTxtGC"/>
        <w:rPr>
          <w:lang w:val="fr-CH"/>
        </w:rPr>
      </w:pPr>
      <w:r w:rsidRPr="00BF42B7">
        <w:rPr>
          <w:rFonts w:hint="eastAsia"/>
          <w:lang w:val="fr-CH"/>
        </w:rPr>
        <w:t>12</w:t>
      </w:r>
      <w:r w:rsidRPr="00BF42B7">
        <w:rPr>
          <w:rFonts w:hint="eastAsia"/>
        </w:rPr>
        <w:t xml:space="preserve">.  </w:t>
      </w:r>
      <w:r w:rsidRPr="00BF42B7">
        <w:rPr>
          <w:rFonts w:hint="eastAsia"/>
        </w:rPr>
        <w:t>关于“</w:t>
      </w:r>
      <w:r w:rsidRPr="00BF42B7">
        <w:rPr>
          <w:rFonts w:eastAsia="黑体" w:hint="eastAsia"/>
        </w:rPr>
        <w:t>发生灾害时的人员保护</w:t>
      </w:r>
      <w:r w:rsidRPr="00BF42B7">
        <w:rPr>
          <w:rFonts w:hint="eastAsia"/>
        </w:rPr>
        <w:t>”专题，委员会收到特别报告员的第八次报告</w:t>
      </w:r>
      <w:r w:rsidRPr="00BF42B7">
        <w:rPr>
          <w:rFonts w:hint="eastAsia"/>
        </w:rPr>
        <w:t>(</w:t>
      </w:r>
      <w:hyperlink r:id="rId26" w:history="1">
        <w:r w:rsidRPr="00BF42B7">
          <w:rPr>
            <w:rStyle w:val="af"/>
            <w:rFonts w:hint="eastAsia"/>
          </w:rPr>
          <w:t>A/CN.4/697</w:t>
        </w:r>
      </w:hyperlink>
      <w:r w:rsidRPr="00BF42B7">
        <w:rPr>
          <w:rFonts w:hint="eastAsia"/>
        </w:rPr>
        <w:t>)</w:t>
      </w:r>
      <w:r w:rsidRPr="00BF42B7">
        <w:rPr>
          <w:rFonts w:hint="eastAsia"/>
        </w:rPr>
        <w:t>，报告概括评述了各国、各国际组织以及其他实体就第六十六届会议</w:t>
      </w:r>
      <w:r w:rsidRPr="00BF42B7">
        <w:rPr>
          <w:rFonts w:hint="eastAsia"/>
        </w:rPr>
        <w:t>(2014</w:t>
      </w:r>
      <w:r w:rsidRPr="00BF42B7">
        <w:rPr>
          <w:rFonts w:hint="eastAsia"/>
        </w:rPr>
        <w:t>年</w:t>
      </w:r>
      <w:r w:rsidRPr="00BF42B7">
        <w:rPr>
          <w:rFonts w:hint="eastAsia"/>
        </w:rPr>
        <w:t>)</w:t>
      </w:r>
      <w:r w:rsidRPr="00BF42B7">
        <w:rPr>
          <w:rFonts w:hint="eastAsia"/>
        </w:rPr>
        <w:t>上一读通过的发生灾害时的人员保护条款草案发表的评论，并提出建议，供委员会在二读期间审议。委员会还收到各国政府和国际组织提交的关于一读通过的条款草案的评论和意见</w:t>
      </w:r>
      <w:r w:rsidRPr="00BF42B7">
        <w:rPr>
          <w:rFonts w:hint="eastAsia"/>
        </w:rPr>
        <w:t>(</w:t>
      </w:r>
      <w:hyperlink r:id="rId27" w:history="1">
        <w:r w:rsidRPr="00BF42B7">
          <w:rPr>
            <w:rStyle w:val="af"/>
            <w:rFonts w:hint="eastAsia"/>
          </w:rPr>
          <w:t>A/CN.4/696</w:t>
        </w:r>
      </w:hyperlink>
      <w:r w:rsidRPr="00BF42B7">
        <w:rPr>
          <w:rFonts w:hint="eastAsia"/>
          <w:lang w:val="fr-CH"/>
        </w:rPr>
        <w:t>和</w:t>
      </w:r>
      <w:hyperlink r:id="rId28" w:history="1">
        <w:r w:rsidRPr="00BF42B7">
          <w:rPr>
            <w:rStyle w:val="af"/>
            <w:rFonts w:hint="eastAsia"/>
            <w:lang w:val="fr-CH"/>
          </w:rPr>
          <w:t>Add.1</w:t>
        </w:r>
      </w:hyperlink>
      <w:r w:rsidRPr="00BF42B7">
        <w:rPr>
          <w:rFonts w:hint="eastAsia"/>
          <w:lang w:val="fr-CH"/>
        </w:rPr>
        <w:t>)</w:t>
      </w:r>
      <w:r w:rsidRPr="00BF42B7">
        <w:rPr>
          <w:rFonts w:hint="eastAsia"/>
          <w:lang w:val="fr-CH"/>
        </w:rPr>
        <w:t>。</w:t>
      </w:r>
    </w:p>
    <w:p w:rsidR="00103498" w:rsidRPr="00BF42B7" w:rsidRDefault="00103498" w:rsidP="00A77784">
      <w:pPr>
        <w:pStyle w:val="SingleTxtGC"/>
        <w:rPr>
          <w:lang w:val="fr-CH"/>
        </w:rPr>
      </w:pPr>
      <w:r w:rsidRPr="00BF42B7">
        <w:rPr>
          <w:rFonts w:hint="eastAsia"/>
          <w:lang w:val="fr-CH"/>
        </w:rPr>
        <w:t xml:space="preserve">13.  </w:t>
      </w:r>
      <w:r w:rsidRPr="00BF42B7">
        <w:rPr>
          <w:rFonts w:hint="eastAsia"/>
          <w:lang w:val="fr-CH"/>
        </w:rPr>
        <w:t>委员会随后就发生灾害时的人员保护专题二读通过了序言草案和</w:t>
      </w:r>
      <w:r w:rsidRPr="00BF42B7">
        <w:rPr>
          <w:rFonts w:hint="eastAsia"/>
          <w:lang w:val="fr-CH"/>
        </w:rPr>
        <w:t>18</w:t>
      </w:r>
      <w:r w:rsidRPr="00BF42B7">
        <w:rPr>
          <w:rFonts w:hint="eastAsia"/>
          <w:lang w:val="fr-CH"/>
        </w:rPr>
        <w:t>个条文草案及其评注，并根据其《章程》第</w:t>
      </w:r>
      <w:r w:rsidRPr="00BF42B7">
        <w:rPr>
          <w:rFonts w:hint="eastAsia"/>
          <w:lang w:val="fr-CH"/>
        </w:rPr>
        <w:t>23</w:t>
      </w:r>
      <w:r w:rsidRPr="00BF42B7">
        <w:rPr>
          <w:rFonts w:hint="eastAsia"/>
          <w:lang w:val="fr-CH"/>
        </w:rPr>
        <w:t>条建议大会在发生灾害时的人员保护条款草案基础上拟订一项公约</w:t>
      </w:r>
      <w:r w:rsidRPr="00BF42B7">
        <w:rPr>
          <w:rFonts w:hint="eastAsia"/>
          <w:lang w:val="fr-CH"/>
        </w:rPr>
        <w:t>(</w:t>
      </w:r>
      <w:r w:rsidRPr="00BF42B7">
        <w:rPr>
          <w:rFonts w:hint="eastAsia"/>
          <w:lang w:val="fr-CH"/>
        </w:rPr>
        <w:t>第四章</w:t>
      </w:r>
      <w:r w:rsidRPr="00BF42B7">
        <w:rPr>
          <w:rFonts w:hint="eastAsia"/>
          <w:lang w:val="fr-CH"/>
        </w:rPr>
        <w:t>)</w:t>
      </w:r>
      <w:r w:rsidRPr="00BF42B7">
        <w:rPr>
          <w:rFonts w:hint="eastAsia"/>
          <w:lang w:val="fr-CH"/>
        </w:rPr>
        <w:t>。</w:t>
      </w:r>
    </w:p>
    <w:p w:rsidR="00103498" w:rsidRPr="00BF42B7" w:rsidRDefault="00103498" w:rsidP="00A77784">
      <w:pPr>
        <w:pStyle w:val="SingleTxtGC"/>
        <w:rPr>
          <w:lang w:val="fr-CH"/>
        </w:rPr>
      </w:pPr>
      <w:r w:rsidRPr="00BF42B7">
        <w:rPr>
          <w:rFonts w:hint="eastAsia"/>
          <w:lang w:val="fr-CH"/>
        </w:rPr>
        <w:t xml:space="preserve">14.  </w:t>
      </w:r>
      <w:r w:rsidRPr="00BF42B7">
        <w:rPr>
          <w:rFonts w:hint="eastAsia"/>
          <w:lang w:val="fr-CH"/>
        </w:rPr>
        <w:t>关于“</w:t>
      </w:r>
      <w:r w:rsidRPr="00BF42B7">
        <w:rPr>
          <w:rFonts w:eastAsia="黑体" w:hint="eastAsia"/>
          <w:lang w:val="fr-CH"/>
        </w:rPr>
        <w:t>习惯国际法的识别</w:t>
      </w:r>
      <w:r w:rsidRPr="00BF42B7">
        <w:rPr>
          <w:rFonts w:hint="eastAsia"/>
          <w:lang w:val="fr-CH"/>
        </w:rPr>
        <w:t>”专题，委员会收到特别报告员的第四次报告</w:t>
      </w:r>
      <w:r w:rsidRPr="00BF42B7">
        <w:rPr>
          <w:rFonts w:hint="eastAsia"/>
          <w:lang w:val="fr-CH"/>
        </w:rPr>
        <w:t>(</w:t>
      </w:r>
      <w:hyperlink r:id="rId29" w:history="1">
        <w:r w:rsidRPr="00BF42B7">
          <w:rPr>
            <w:rStyle w:val="af"/>
            <w:rFonts w:hint="eastAsia"/>
            <w:lang w:val="fr-CH"/>
          </w:rPr>
          <w:t>A/CN.4/695</w:t>
        </w:r>
      </w:hyperlink>
      <w:r w:rsidRPr="00BF42B7">
        <w:rPr>
          <w:rFonts w:hint="eastAsia"/>
          <w:lang w:val="fr-CH"/>
        </w:rPr>
        <w:t>和</w:t>
      </w:r>
      <w:hyperlink r:id="rId30" w:history="1">
        <w:r w:rsidRPr="00BF42B7">
          <w:rPr>
            <w:rStyle w:val="af"/>
            <w:rFonts w:hint="eastAsia"/>
            <w:lang w:val="fr-CH"/>
          </w:rPr>
          <w:t>Add.1</w:t>
        </w:r>
      </w:hyperlink>
      <w:r w:rsidRPr="00BF42B7">
        <w:rPr>
          <w:rFonts w:hint="eastAsia"/>
          <w:lang w:val="fr-CH"/>
        </w:rPr>
        <w:t>)</w:t>
      </w:r>
      <w:r w:rsidRPr="00BF42B7">
        <w:rPr>
          <w:rFonts w:hint="eastAsia"/>
          <w:lang w:val="fr-CH"/>
        </w:rPr>
        <w:t>。尤其值得一提的是，该报告载有根据各国政府提出的评论编写的几项结论草案的建议修正案。该报告还谈及使习惯国际法的证据更易考察的方法和手段。最后，报告提供了有关这一专题的参考书目。此外，委员会还收到秘书处的备忘录</w:t>
      </w:r>
      <w:r w:rsidRPr="00BF42B7">
        <w:rPr>
          <w:rFonts w:hint="eastAsia"/>
          <w:lang w:val="fr-CH"/>
        </w:rPr>
        <w:t>(</w:t>
      </w:r>
      <w:hyperlink r:id="rId31" w:history="1">
        <w:r w:rsidRPr="00BF42B7">
          <w:rPr>
            <w:rStyle w:val="af"/>
            <w:rFonts w:hint="eastAsia"/>
            <w:lang w:val="fr-CH"/>
          </w:rPr>
          <w:t>A/CN.4/691</w:t>
        </w:r>
      </w:hyperlink>
      <w:r w:rsidRPr="00BF42B7">
        <w:rPr>
          <w:rFonts w:hint="eastAsia"/>
          <w:lang w:val="fr-CH"/>
        </w:rPr>
        <w:t>)</w:t>
      </w:r>
      <w:r w:rsidRPr="00BF42B7">
        <w:rPr>
          <w:rFonts w:hint="eastAsia"/>
          <w:lang w:val="fr-CH"/>
        </w:rPr>
        <w:t>，备忘录论述了就确定习惯国际法而言国家法院的判决在普遍性国际法院和法庭的案例法方面发挥的作用。</w:t>
      </w:r>
    </w:p>
    <w:p w:rsidR="00103498" w:rsidRPr="00BF42B7" w:rsidRDefault="00103498" w:rsidP="00A77784">
      <w:pPr>
        <w:pStyle w:val="SingleTxtGC"/>
        <w:rPr>
          <w:lang w:val="fr-CH"/>
        </w:rPr>
      </w:pPr>
      <w:r w:rsidRPr="00BF42B7">
        <w:rPr>
          <w:rFonts w:hint="eastAsia"/>
          <w:lang w:val="fr-CH"/>
        </w:rPr>
        <w:t xml:space="preserve">15.  </w:t>
      </w:r>
      <w:r w:rsidRPr="00BF42B7">
        <w:rPr>
          <w:rFonts w:hint="eastAsia"/>
          <w:lang w:val="fr-CH"/>
        </w:rPr>
        <w:t>委员会本届会议在对该专题进行审议之后，一读通过了关于习惯国际法识别问题的一套结论草案，共</w:t>
      </w:r>
      <w:r w:rsidRPr="00BF42B7">
        <w:rPr>
          <w:rFonts w:hint="eastAsia"/>
          <w:lang w:val="fr-CH"/>
        </w:rPr>
        <w:t>16</w:t>
      </w:r>
      <w:r w:rsidRPr="00BF42B7">
        <w:rPr>
          <w:rFonts w:hint="eastAsia"/>
          <w:lang w:val="fr-CH"/>
        </w:rPr>
        <w:t>项，包括评注。委员会根据其《章程》第</w:t>
      </w:r>
      <w:r w:rsidRPr="00BF42B7">
        <w:rPr>
          <w:rFonts w:hint="eastAsia"/>
          <w:lang w:val="fr-CH"/>
        </w:rPr>
        <w:t>16</w:t>
      </w:r>
      <w:r w:rsidRPr="00BF42B7">
        <w:rPr>
          <w:rFonts w:hint="eastAsia"/>
          <w:lang w:val="fr-CH"/>
        </w:rPr>
        <w:t>至</w:t>
      </w:r>
      <w:r w:rsidRPr="00BF42B7">
        <w:rPr>
          <w:rFonts w:hint="eastAsia"/>
          <w:lang w:val="fr-CH"/>
        </w:rPr>
        <w:t>21</w:t>
      </w:r>
      <w:r w:rsidRPr="00BF42B7">
        <w:rPr>
          <w:rFonts w:hint="eastAsia"/>
          <w:lang w:val="fr-CH"/>
        </w:rPr>
        <w:t>条决定，通过秘书长向各国政府转发这些结论草案，征求其评论和意见，并要求在</w:t>
      </w:r>
      <w:r w:rsidRPr="00BF42B7">
        <w:rPr>
          <w:rFonts w:hint="eastAsia"/>
          <w:lang w:val="fr-CH"/>
        </w:rPr>
        <w:t>2018</w:t>
      </w:r>
      <w:r w:rsidRPr="00BF42B7">
        <w:rPr>
          <w:rFonts w:hint="eastAsia"/>
          <w:lang w:val="fr-CH"/>
        </w:rPr>
        <w:t>年</w:t>
      </w:r>
      <w:r w:rsidRPr="00BF42B7">
        <w:rPr>
          <w:rFonts w:hint="eastAsia"/>
          <w:lang w:val="fr-CH"/>
        </w:rPr>
        <w:t>1</w:t>
      </w:r>
      <w:r w:rsidRPr="00BF42B7">
        <w:rPr>
          <w:rFonts w:hint="eastAsia"/>
          <w:lang w:val="fr-CH"/>
        </w:rPr>
        <w:t>月</w:t>
      </w:r>
      <w:r w:rsidRPr="00BF42B7">
        <w:rPr>
          <w:rFonts w:hint="eastAsia"/>
          <w:lang w:val="fr-CH"/>
        </w:rPr>
        <w:t>1</w:t>
      </w:r>
      <w:r w:rsidRPr="00BF42B7">
        <w:rPr>
          <w:rFonts w:hint="eastAsia"/>
          <w:lang w:val="fr-CH"/>
        </w:rPr>
        <w:t>日前向秘书长提交此种评论和意见</w:t>
      </w:r>
      <w:r w:rsidRPr="00BF42B7">
        <w:rPr>
          <w:rFonts w:hint="eastAsia"/>
          <w:lang w:val="fr-CH"/>
        </w:rPr>
        <w:t>(</w:t>
      </w:r>
      <w:r w:rsidRPr="00BF42B7">
        <w:rPr>
          <w:rFonts w:hint="eastAsia"/>
          <w:lang w:val="fr-CH"/>
        </w:rPr>
        <w:t>第五章</w:t>
      </w:r>
      <w:r w:rsidRPr="00BF42B7">
        <w:rPr>
          <w:rFonts w:hint="eastAsia"/>
          <w:lang w:val="fr-CH"/>
        </w:rPr>
        <w:t>)</w:t>
      </w:r>
      <w:r w:rsidRPr="00BF42B7">
        <w:rPr>
          <w:rFonts w:hint="eastAsia"/>
          <w:lang w:val="fr-CH"/>
        </w:rPr>
        <w:t>。</w:t>
      </w:r>
    </w:p>
    <w:p w:rsidR="00103498" w:rsidRPr="00BF42B7" w:rsidRDefault="00103498" w:rsidP="00A77784">
      <w:pPr>
        <w:pStyle w:val="SingleTxtGC"/>
        <w:rPr>
          <w:lang w:val="fr-CH"/>
        </w:rPr>
      </w:pPr>
      <w:r w:rsidRPr="00BF42B7">
        <w:rPr>
          <w:rFonts w:hint="eastAsia"/>
          <w:lang w:val="fr-CH"/>
        </w:rPr>
        <w:t xml:space="preserve">16.  </w:t>
      </w:r>
      <w:r w:rsidRPr="00BF42B7">
        <w:rPr>
          <w:rFonts w:hint="eastAsia"/>
          <w:lang w:val="fr-CH"/>
        </w:rPr>
        <w:t>关于“</w:t>
      </w:r>
      <w:r w:rsidRPr="00BF42B7">
        <w:rPr>
          <w:rFonts w:eastAsia="黑体" w:hint="eastAsia"/>
          <w:lang w:val="fr-CH"/>
        </w:rPr>
        <w:t>与条约解释相关的嗣后协定和嗣后惯例</w:t>
      </w:r>
      <w:r w:rsidRPr="00BF42B7">
        <w:rPr>
          <w:rFonts w:hint="eastAsia"/>
          <w:lang w:val="fr-CH"/>
        </w:rPr>
        <w:t>”专题，委员会收到特别报告员的第四次报告</w:t>
      </w:r>
      <w:r w:rsidRPr="00BF42B7">
        <w:rPr>
          <w:rFonts w:hint="eastAsia"/>
          <w:lang w:val="fr-CH"/>
        </w:rPr>
        <w:t>(</w:t>
      </w:r>
      <w:hyperlink r:id="rId32" w:history="1">
        <w:r w:rsidRPr="00BF42B7">
          <w:rPr>
            <w:rStyle w:val="af"/>
            <w:rFonts w:hint="eastAsia"/>
            <w:lang w:val="fr-CH"/>
          </w:rPr>
          <w:t>A/CN.4/694</w:t>
        </w:r>
      </w:hyperlink>
      <w:r w:rsidRPr="00BF42B7">
        <w:rPr>
          <w:rFonts w:hint="eastAsia"/>
          <w:lang w:val="fr-CH"/>
        </w:rPr>
        <w:t>)</w:t>
      </w:r>
      <w:r w:rsidRPr="00BF42B7">
        <w:rPr>
          <w:rFonts w:hint="eastAsia"/>
          <w:lang w:val="fr-CH"/>
        </w:rPr>
        <w:t>，报告论及专家机构的声明和国内法院的裁决就解释条约而言以及作为条约之下的惯例形式而言，所具有的法律意义。该报告还讨论了结论草案的架构和范围。</w:t>
      </w:r>
    </w:p>
    <w:p w:rsidR="00103498" w:rsidRPr="00BF42B7" w:rsidRDefault="00103498" w:rsidP="00A77784">
      <w:pPr>
        <w:pStyle w:val="SingleTxtGC"/>
        <w:rPr>
          <w:lang w:val="fr-CH"/>
        </w:rPr>
      </w:pPr>
      <w:r w:rsidRPr="00BF42B7">
        <w:rPr>
          <w:rFonts w:hint="eastAsia"/>
          <w:lang w:val="fr-CH"/>
        </w:rPr>
        <w:t xml:space="preserve">17.  </w:t>
      </w:r>
      <w:r w:rsidRPr="00BF42B7">
        <w:rPr>
          <w:rFonts w:hint="eastAsia"/>
          <w:lang w:val="fr-CH"/>
        </w:rPr>
        <w:t>委员会本届会议审议该专题之后，一读通过了关于与条约解释相关的嗣后协定和嗣后惯例问题的一套结论草案，共</w:t>
      </w:r>
      <w:r w:rsidRPr="00BF42B7">
        <w:rPr>
          <w:rFonts w:hint="eastAsia"/>
          <w:lang w:val="fr-CH"/>
        </w:rPr>
        <w:t>13</w:t>
      </w:r>
      <w:r w:rsidRPr="00BF42B7">
        <w:rPr>
          <w:rFonts w:hint="eastAsia"/>
          <w:lang w:val="fr-CH"/>
        </w:rPr>
        <w:t>项，包括评注。委员会根据其《章程》第</w:t>
      </w:r>
      <w:r w:rsidRPr="00BF42B7">
        <w:rPr>
          <w:rFonts w:hint="eastAsia"/>
          <w:lang w:val="fr-CH"/>
        </w:rPr>
        <w:t>16</w:t>
      </w:r>
      <w:r w:rsidRPr="00BF42B7">
        <w:rPr>
          <w:rFonts w:hint="eastAsia"/>
          <w:lang w:val="fr-CH"/>
        </w:rPr>
        <w:t>至</w:t>
      </w:r>
      <w:r w:rsidRPr="00BF42B7">
        <w:rPr>
          <w:rFonts w:hint="eastAsia"/>
          <w:lang w:val="fr-CH"/>
        </w:rPr>
        <w:t>21</w:t>
      </w:r>
      <w:r w:rsidRPr="00BF42B7">
        <w:rPr>
          <w:rFonts w:hint="eastAsia"/>
          <w:lang w:val="fr-CH"/>
        </w:rPr>
        <w:t>条决定，通过秘书长向各国政府转发这些结论草案，征求其评论和意见，并要求在</w:t>
      </w:r>
      <w:r w:rsidRPr="00BF42B7">
        <w:rPr>
          <w:rFonts w:hint="eastAsia"/>
          <w:lang w:val="fr-CH"/>
        </w:rPr>
        <w:t>2018</w:t>
      </w:r>
      <w:r w:rsidRPr="00BF42B7">
        <w:rPr>
          <w:rFonts w:hint="eastAsia"/>
          <w:lang w:val="fr-CH"/>
        </w:rPr>
        <w:t>年</w:t>
      </w:r>
      <w:r w:rsidRPr="00BF42B7">
        <w:rPr>
          <w:rFonts w:hint="eastAsia"/>
          <w:lang w:val="fr-CH"/>
        </w:rPr>
        <w:t>1</w:t>
      </w:r>
      <w:r w:rsidRPr="00BF42B7">
        <w:rPr>
          <w:rFonts w:hint="eastAsia"/>
          <w:lang w:val="fr-CH"/>
        </w:rPr>
        <w:t>月</w:t>
      </w:r>
      <w:r w:rsidRPr="00BF42B7">
        <w:rPr>
          <w:rFonts w:hint="eastAsia"/>
          <w:lang w:val="fr-CH"/>
        </w:rPr>
        <w:t>1</w:t>
      </w:r>
      <w:r w:rsidRPr="00BF42B7">
        <w:rPr>
          <w:rFonts w:hint="eastAsia"/>
          <w:lang w:val="fr-CH"/>
        </w:rPr>
        <w:t>日前向秘书长提交此种评论和意见</w:t>
      </w:r>
      <w:r w:rsidRPr="00BF42B7">
        <w:rPr>
          <w:rFonts w:hint="eastAsia"/>
          <w:lang w:val="fr-CH"/>
        </w:rPr>
        <w:t>(</w:t>
      </w:r>
      <w:r w:rsidRPr="00BF42B7">
        <w:rPr>
          <w:rFonts w:hint="eastAsia"/>
          <w:lang w:val="fr-CH"/>
        </w:rPr>
        <w:t>第六章</w:t>
      </w:r>
      <w:r w:rsidRPr="00BF42B7">
        <w:rPr>
          <w:rFonts w:hint="eastAsia"/>
          <w:lang w:val="fr-CH"/>
        </w:rPr>
        <w:t>)</w:t>
      </w:r>
      <w:r w:rsidRPr="00BF42B7">
        <w:rPr>
          <w:rFonts w:hint="eastAsia"/>
          <w:lang w:val="fr-CH"/>
        </w:rPr>
        <w:t>。</w:t>
      </w:r>
    </w:p>
    <w:p w:rsidR="00103498" w:rsidRPr="00C931E2" w:rsidRDefault="00103498" w:rsidP="00A77784">
      <w:pPr>
        <w:pStyle w:val="SingleTxtGC"/>
        <w:rPr>
          <w:lang w:val="fr-CH"/>
        </w:rPr>
      </w:pPr>
      <w:r w:rsidRPr="00BF42B7">
        <w:rPr>
          <w:rFonts w:hint="eastAsia"/>
          <w:lang w:val="fr-CH"/>
        </w:rPr>
        <w:t xml:space="preserve">18.  </w:t>
      </w:r>
      <w:r w:rsidRPr="00C931E2">
        <w:rPr>
          <w:rFonts w:hint="eastAsia"/>
          <w:lang w:val="fr-CH"/>
        </w:rPr>
        <w:t>关于“</w:t>
      </w:r>
      <w:r w:rsidRPr="00C931E2">
        <w:rPr>
          <w:rFonts w:eastAsia="黑体" w:hint="eastAsia"/>
          <w:lang w:val="fr-CH"/>
        </w:rPr>
        <w:t>危害人类罪</w:t>
      </w:r>
      <w:r w:rsidRPr="00C931E2">
        <w:rPr>
          <w:rFonts w:hint="eastAsia"/>
          <w:lang w:val="fr-CH"/>
        </w:rPr>
        <w:t>”专题，委员会收到特别报告员的第二次报告</w:t>
      </w:r>
      <w:r w:rsidRPr="00C931E2">
        <w:rPr>
          <w:rFonts w:hint="eastAsia"/>
          <w:lang w:val="fr-CH"/>
        </w:rPr>
        <w:t>(</w:t>
      </w:r>
      <w:hyperlink r:id="rId33" w:history="1">
        <w:r w:rsidRPr="00C931E2">
          <w:rPr>
            <w:rStyle w:val="af"/>
            <w:rFonts w:hint="eastAsia"/>
            <w:lang w:val="fr-CH"/>
          </w:rPr>
          <w:t>A/</w:t>
        </w:r>
        <w:r w:rsidR="00C931E2">
          <w:rPr>
            <w:rStyle w:val="af"/>
            <w:rFonts w:hint="eastAsia"/>
            <w:lang w:val="fr-CH"/>
          </w:rPr>
          <w:t xml:space="preserve"> </w:t>
        </w:r>
        <w:r w:rsidRPr="00C931E2">
          <w:rPr>
            <w:rStyle w:val="af"/>
            <w:rFonts w:hint="eastAsia"/>
            <w:lang w:val="fr-CH"/>
          </w:rPr>
          <w:t>CN.4/690</w:t>
        </w:r>
      </w:hyperlink>
      <w:r w:rsidRPr="00C931E2">
        <w:rPr>
          <w:rFonts w:hint="eastAsia"/>
          <w:lang w:val="fr-CH"/>
        </w:rPr>
        <w:t>)</w:t>
      </w:r>
      <w:r w:rsidRPr="00C931E2">
        <w:rPr>
          <w:rFonts w:hint="eastAsia"/>
          <w:lang w:val="fr-CH"/>
        </w:rPr>
        <w:t>，以及秘书处提供可能与国际法委员会今后工作有关的现有条约监督机制的资料的备忘录</w:t>
      </w:r>
      <w:r w:rsidRPr="00C931E2">
        <w:rPr>
          <w:rFonts w:hint="eastAsia"/>
          <w:lang w:val="fr-CH"/>
        </w:rPr>
        <w:t>(</w:t>
      </w:r>
      <w:hyperlink r:id="rId34" w:history="1">
        <w:r w:rsidRPr="00C931E2">
          <w:rPr>
            <w:rStyle w:val="af"/>
            <w:rFonts w:hint="eastAsia"/>
            <w:lang w:val="fr-CH"/>
          </w:rPr>
          <w:t>A/CN.4/698</w:t>
        </w:r>
      </w:hyperlink>
      <w:r w:rsidRPr="00C931E2">
        <w:rPr>
          <w:rFonts w:hint="eastAsia"/>
          <w:lang w:val="fr-CH"/>
        </w:rPr>
        <w:t>)</w:t>
      </w:r>
      <w:r w:rsidRPr="00C931E2">
        <w:rPr>
          <w:rFonts w:hint="eastAsia"/>
          <w:lang w:val="fr-CH"/>
        </w:rPr>
        <w:t>。特别报告员的第二次报告除其他内容外，谈及在国内法中定为刑事犯罪、确定国家管辖权、开展一般性调查与合作以查明被指控罪犯、被指控罪犯所在地行使国家管辖权、引渡或审判原则，以及公平对待被指控罪犯等问题。</w:t>
      </w:r>
    </w:p>
    <w:p w:rsidR="00103498" w:rsidRPr="00BF42B7" w:rsidRDefault="00103498" w:rsidP="00A77784">
      <w:pPr>
        <w:pStyle w:val="SingleTxtGC"/>
        <w:rPr>
          <w:lang w:val="fr-CH"/>
        </w:rPr>
      </w:pPr>
      <w:r w:rsidRPr="00BF42B7">
        <w:rPr>
          <w:rFonts w:hint="eastAsia"/>
          <w:lang w:val="fr-CH"/>
        </w:rPr>
        <w:t xml:space="preserve">19.  </w:t>
      </w:r>
      <w:r w:rsidRPr="00BF42B7">
        <w:rPr>
          <w:rFonts w:hint="eastAsia"/>
          <w:lang w:val="fr-CH"/>
        </w:rPr>
        <w:t>继全体会议辩论之后，委员会决定将特别报告员提议的条款草案转交起草委员会。在审议起草委员会的报告</w:t>
      </w:r>
      <w:r w:rsidRPr="00BF42B7">
        <w:rPr>
          <w:rFonts w:hint="eastAsia"/>
          <w:lang w:val="fr-CH"/>
        </w:rPr>
        <w:t>(</w:t>
      </w:r>
      <w:hyperlink r:id="rId35" w:history="1">
        <w:r w:rsidRPr="00BF42B7">
          <w:rPr>
            <w:rStyle w:val="af"/>
            <w:rFonts w:hint="eastAsia"/>
            <w:lang w:val="fr-CH"/>
          </w:rPr>
          <w:t>A/CN.4/L.873</w:t>
        </w:r>
      </w:hyperlink>
      <w:r w:rsidRPr="00BF42B7">
        <w:rPr>
          <w:rFonts w:hint="eastAsia"/>
          <w:lang w:val="fr-CH"/>
        </w:rPr>
        <w:t>)</w:t>
      </w:r>
      <w:r w:rsidRPr="00BF42B7">
        <w:rPr>
          <w:rFonts w:hint="eastAsia"/>
          <w:lang w:val="fr-CH"/>
        </w:rPr>
        <w:t>后，委员会暂时通过了第</w:t>
      </w:r>
      <w:r w:rsidRPr="00BF42B7">
        <w:rPr>
          <w:rFonts w:hint="eastAsia"/>
          <w:lang w:val="fr-CH"/>
        </w:rPr>
        <w:t>5</w:t>
      </w:r>
      <w:r w:rsidRPr="00BF42B7">
        <w:rPr>
          <w:rFonts w:hint="eastAsia"/>
          <w:lang w:val="fr-CH"/>
        </w:rPr>
        <w:t>至第</w:t>
      </w:r>
      <w:r w:rsidRPr="00BF42B7">
        <w:rPr>
          <w:rFonts w:hint="eastAsia"/>
          <w:lang w:val="fr-CH"/>
        </w:rPr>
        <w:t>10</w:t>
      </w:r>
      <w:r w:rsidRPr="00BF42B7">
        <w:rPr>
          <w:rFonts w:hint="eastAsia"/>
          <w:lang w:val="fr-CH"/>
        </w:rPr>
        <w:t>条草案及其评注。委员会还决定将法人责任问题转交起草委员会。继对起草委员会的另一份报告</w:t>
      </w:r>
      <w:r w:rsidRPr="00BF42B7">
        <w:rPr>
          <w:rFonts w:hint="eastAsia"/>
          <w:lang w:val="fr-CH"/>
        </w:rPr>
        <w:t>(</w:t>
      </w:r>
      <w:hyperlink r:id="rId36" w:history="1">
        <w:r w:rsidRPr="00BF42B7">
          <w:rPr>
            <w:rStyle w:val="af"/>
            <w:rFonts w:hint="eastAsia"/>
            <w:lang w:val="fr-CH"/>
          </w:rPr>
          <w:t>A/CN.4/L.873/Add.1</w:t>
        </w:r>
      </w:hyperlink>
      <w:r w:rsidRPr="00BF42B7">
        <w:rPr>
          <w:rFonts w:hint="eastAsia"/>
          <w:lang w:val="fr-CH"/>
        </w:rPr>
        <w:t>)</w:t>
      </w:r>
      <w:r w:rsidRPr="00BF42B7">
        <w:rPr>
          <w:rFonts w:hint="eastAsia"/>
          <w:lang w:val="fr-CH"/>
        </w:rPr>
        <w:t>进行审议后，委员会暂时通过了第</w:t>
      </w:r>
      <w:r w:rsidRPr="00BF42B7">
        <w:rPr>
          <w:rFonts w:hint="eastAsia"/>
          <w:lang w:val="fr-CH"/>
        </w:rPr>
        <w:t>5</w:t>
      </w:r>
      <w:r w:rsidRPr="00BF42B7">
        <w:rPr>
          <w:rFonts w:hint="eastAsia"/>
          <w:lang w:val="fr-CH"/>
        </w:rPr>
        <w:t>条草案第</w:t>
      </w:r>
      <w:r w:rsidRPr="00BF42B7">
        <w:rPr>
          <w:rFonts w:hint="eastAsia"/>
          <w:lang w:val="fr-CH"/>
        </w:rPr>
        <w:t>7</w:t>
      </w:r>
      <w:r w:rsidRPr="00BF42B7">
        <w:rPr>
          <w:rFonts w:hint="eastAsia"/>
          <w:lang w:val="fr-CH"/>
        </w:rPr>
        <w:t>款及其评注</w:t>
      </w:r>
      <w:r w:rsidRPr="00BF42B7">
        <w:rPr>
          <w:rFonts w:hint="eastAsia"/>
          <w:lang w:val="fr-CH"/>
        </w:rPr>
        <w:t>(</w:t>
      </w:r>
      <w:r w:rsidRPr="00BF42B7">
        <w:rPr>
          <w:rFonts w:hint="eastAsia"/>
          <w:lang w:val="fr-CH"/>
        </w:rPr>
        <w:t>第七章</w:t>
      </w:r>
      <w:r w:rsidRPr="00BF42B7">
        <w:rPr>
          <w:rFonts w:hint="eastAsia"/>
          <w:lang w:val="fr-CH"/>
        </w:rPr>
        <w:t>)</w:t>
      </w:r>
      <w:r w:rsidRPr="00BF42B7">
        <w:rPr>
          <w:rFonts w:hint="eastAsia"/>
          <w:lang w:val="fr-CH"/>
        </w:rPr>
        <w:t>。</w:t>
      </w:r>
    </w:p>
    <w:p w:rsidR="00103498" w:rsidRPr="00BF42B7" w:rsidRDefault="00103498" w:rsidP="00A77784">
      <w:pPr>
        <w:pStyle w:val="SingleTxtGC"/>
        <w:rPr>
          <w:lang w:val="fr-CH"/>
        </w:rPr>
      </w:pPr>
      <w:r w:rsidRPr="00BF42B7">
        <w:rPr>
          <w:rFonts w:hint="eastAsia"/>
          <w:lang w:val="fr-CH"/>
        </w:rPr>
        <w:t xml:space="preserve">20.  </w:t>
      </w:r>
      <w:r w:rsidRPr="00BF42B7">
        <w:rPr>
          <w:rFonts w:hint="eastAsia"/>
          <w:spacing w:val="-4"/>
          <w:lang w:val="fr-CH"/>
        </w:rPr>
        <w:t>关于“</w:t>
      </w:r>
      <w:r w:rsidRPr="00BF42B7">
        <w:rPr>
          <w:rFonts w:eastAsia="黑体" w:hint="eastAsia"/>
          <w:spacing w:val="-4"/>
          <w:lang w:val="fr-CH"/>
        </w:rPr>
        <w:t>保护大气层</w:t>
      </w:r>
      <w:r w:rsidRPr="00BF42B7">
        <w:rPr>
          <w:rFonts w:hint="eastAsia"/>
          <w:spacing w:val="-4"/>
          <w:lang w:val="fr-CH"/>
        </w:rPr>
        <w:t>”专题，委员会收到特别报告员的第三次报告</w:t>
      </w:r>
      <w:r w:rsidRPr="00BF42B7">
        <w:rPr>
          <w:rFonts w:hint="eastAsia"/>
          <w:spacing w:val="-4"/>
          <w:lang w:val="fr-CH"/>
        </w:rPr>
        <w:t>(</w:t>
      </w:r>
      <w:hyperlink r:id="rId37" w:history="1">
        <w:r w:rsidRPr="00BF42B7">
          <w:rPr>
            <w:rStyle w:val="af"/>
            <w:rFonts w:hint="eastAsia"/>
            <w:spacing w:val="-4"/>
            <w:lang w:val="fr-CH"/>
          </w:rPr>
          <w:t>A/CN.4/692</w:t>
        </w:r>
      </w:hyperlink>
      <w:r w:rsidRPr="00BF42B7">
        <w:rPr>
          <w:rFonts w:hint="eastAsia"/>
          <w:spacing w:val="-4"/>
          <w:lang w:val="fr-CH"/>
        </w:rPr>
        <w:t>)</w:t>
      </w:r>
      <w:r w:rsidRPr="00BF42B7">
        <w:rPr>
          <w:rFonts w:hint="eastAsia"/>
          <w:spacing w:val="-4"/>
          <w:lang w:val="fr-CH"/>
        </w:rPr>
        <w:t>。</w:t>
      </w:r>
      <w:r w:rsidRPr="00BF42B7">
        <w:rPr>
          <w:rFonts w:hint="eastAsia"/>
          <w:lang w:val="fr-CH"/>
        </w:rPr>
        <w:t>该报告在前两次报告的基础上，分析了与该专题有关的几个关键议题，即各国防止大气污染和减缓大气状况退化的义务，以及尽职和开展环境影响评估的要求。报告还探讨了可持续和公平利用大气层的相关问题，以及对旨在有意改变大气层的某些活动的法律限制。随后，就各国保护环境的义务、环境影响评估、大气层的可持续利用、大气层的公平利用和地球工程等问题提出了五条指南草案，以及一个额外的序言段落。</w:t>
      </w:r>
    </w:p>
    <w:p w:rsidR="00103498" w:rsidRPr="00BF42B7" w:rsidRDefault="00103498" w:rsidP="00A77784">
      <w:pPr>
        <w:pStyle w:val="SingleTxtGC"/>
        <w:rPr>
          <w:lang w:val="fr-CH"/>
        </w:rPr>
      </w:pPr>
      <w:r w:rsidRPr="00BF42B7">
        <w:rPr>
          <w:rFonts w:hint="eastAsia"/>
          <w:lang w:val="fr-CH"/>
        </w:rPr>
        <w:t xml:space="preserve">21.  </w:t>
      </w:r>
      <w:r w:rsidRPr="00BF42B7">
        <w:rPr>
          <w:rFonts w:hint="eastAsia"/>
          <w:lang w:val="fr-CH"/>
        </w:rPr>
        <w:t>委员会在特别报告员组织下与科学家进行了对话，随后举行了辩论，并决定将特别报告员第三次报告所载的五条指南草案以及序言段落转交起草委员会。在审议起草委员会的报告</w:t>
      </w:r>
      <w:r w:rsidRPr="00BF42B7">
        <w:rPr>
          <w:rFonts w:hint="eastAsia"/>
          <w:lang w:val="fr-CH"/>
        </w:rPr>
        <w:t>(</w:t>
      </w:r>
      <w:hyperlink r:id="rId38" w:history="1">
        <w:r w:rsidRPr="00BF42B7">
          <w:rPr>
            <w:rStyle w:val="af"/>
            <w:rFonts w:hint="eastAsia"/>
            <w:lang w:val="fr-CH"/>
          </w:rPr>
          <w:t>A/CN.4/L.875</w:t>
        </w:r>
      </w:hyperlink>
      <w:r w:rsidRPr="00BF42B7">
        <w:rPr>
          <w:rFonts w:hint="eastAsia"/>
          <w:lang w:val="fr-CH"/>
        </w:rPr>
        <w:t>)</w:t>
      </w:r>
      <w:r w:rsidRPr="00BF42B7">
        <w:rPr>
          <w:rFonts w:hint="eastAsia"/>
          <w:lang w:val="fr-CH"/>
        </w:rPr>
        <w:t>后，委员会审暂时通过了指南</w:t>
      </w:r>
      <w:r w:rsidRPr="00BF42B7">
        <w:rPr>
          <w:rFonts w:hint="eastAsia"/>
          <w:lang w:val="fr-CH"/>
        </w:rPr>
        <w:t>3</w:t>
      </w:r>
      <w:r w:rsidRPr="00BF42B7">
        <w:rPr>
          <w:rFonts w:hint="eastAsia"/>
          <w:lang w:val="fr-CH"/>
        </w:rPr>
        <w:t>、</w:t>
      </w:r>
      <w:r w:rsidRPr="00BF42B7">
        <w:rPr>
          <w:rFonts w:hint="eastAsia"/>
          <w:lang w:val="fr-CH"/>
        </w:rPr>
        <w:t>4</w:t>
      </w:r>
      <w:r w:rsidRPr="00BF42B7">
        <w:rPr>
          <w:rFonts w:hint="eastAsia"/>
          <w:lang w:val="fr-CH"/>
        </w:rPr>
        <w:t>、</w:t>
      </w:r>
      <w:r w:rsidRPr="00BF42B7">
        <w:rPr>
          <w:rFonts w:hint="eastAsia"/>
          <w:lang w:val="fr-CH"/>
        </w:rPr>
        <w:t>5</w:t>
      </w:r>
      <w:r w:rsidRPr="00BF42B7">
        <w:rPr>
          <w:rFonts w:hint="eastAsia"/>
          <w:lang w:val="fr-CH"/>
        </w:rPr>
        <w:t>、</w:t>
      </w:r>
      <w:r w:rsidRPr="00BF42B7">
        <w:rPr>
          <w:rFonts w:hint="eastAsia"/>
          <w:lang w:val="fr-CH"/>
        </w:rPr>
        <w:t>6</w:t>
      </w:r>
      <w:r w:rsidRPr="00BF42B7">
        <w:rPr>
          <w:rFonts w:hint="eastAsia"/>
          <w:lang w:val="fr-CH"/>
        </w:rPr>
        <w:t>、</w:t>
      </w:r>
      <w:r w:rsidRPr="00BF42B7">
        <w:rPr>
          <w:rFonts w:hint="eastAsia"/>
          <w:lang w:val="fr-CH"/>
        </w:rPr>
        <w:t>7</w:t>
      </w:r>
      <w:r w:rsidRPr="00BF42B7">
        <w:rPr>
          <w:rFonts w:hint="eastAsia"/>
          <w:lang w:val="fr-CH"/>
        </w:rPr>
        <w:t>的草案和序言段落，包括评注</w:t>
      </w:r>
      <w:r w:rsidRPr="00BF42B7">
        <w:rPr>
          <w:rFonts w:hint="eastAsia"/>
          <w:lang w:val="fr-CH"/>
        </w:rPr>
        <w:t>(</w:t>
      </w:r>
      <w:r w:rsidRPr="00BF42B7">
        <w:rPr>
          <w:rFonts w:hint="eastAsia"/>
          <w:lang w:val="fr-CH"/>
        </w:rPr>
        <w:t>第八章</w:t>
      </w:r>
      <w:r w:rsidRPr="00BF42B7">
        <w:rPr>
          <w:rFonts w:hint="eastAsia"/>
          <w:lang w:val="fr-CH"/>
        </w:rPr>
        <w:t>)</w:t>
      </w:r>
      <w:r w:rsidRPr="00BF42B7">
        <w:rPr>
          <w:rFonts w:hint="eastAsia"/>
          <w:lang w:val="fr-CH"/>
        </w:rPr>
        <w:t>。</w:t>
      </w:r>
    </w:p>
    <w:p w:rsidR="00103498" w:rsidRPr="00BF42B7" w:rsidRDefault="00103498" w:rsidP="00A77784">
      <w:pPr>
        <w:pStyle w:val="SingleTxtGC"/>
        <w:rPr>
          <w:lang w:val="fr-CH"/>
        </w:rPr>
      </w:pPr>
      <w:r w:rsidRPr="00BF42B7">
        <w:rPr>
          <w:rFonts w:hint="eastAsia"/>
          <w:lang w:val="fr-CH"/>
        </w:rPr>
        <w:t xml:space="preserve">22.  </w:t>
      </w:r>
      <w:r w:rsidRPr="00BF42B7">
        <w:rPr>
          <w:rFonts w:hint="eastAsia"/>
          <w:lang w:val="fr-CH"/>
        </w:rPr>
        <w:t>关于“</w:t>
      </w:r>
      <w:r w:rsidRPr="00BF42B7">
        <w:rPr>
          <w:rFonts w:eastAsia="黑体" w:hint="eastAsia"/>
          <w:lang w:val="fr-CH"/>
        </w:rPr>
        <w:t>强行法</w:t>
      </w:r>
      <w:r w:rsidRPr="00BF42B7">
        <w:rPr>
          <w:rFonts w:hint="eastAsia"/>
          <w:lang w:val="fr-CH"/>
        </w:rPr>
        <w:t>”专题，委员会收到特别报告员的第一次报告</w:t>
      </w:r>
      <w:r w:rsidRPr="00BF42B7">
        <w:rPr>
          <w:rFonts w:hint="eastAsia"/>
          <w:lang w:val="fr-CH"/>
        </w:rPr>
        <w:t>(</w:t>
      </w:r>
      <w:hyperlink r:id="rId39" w:history="1">
        <w:r w:rsidRPr="00BF42B7">
          <w:rPr>
            <w:rStyle w:val="af"/>
            <w:rFonts w:hint="eastAsia"/>
            <w:lang w:val="fr-CH"/>
          </w:rPr>
          <w:t>A/CN.4/693</w:t>
        </w:r>
      </w:hyperlink>
      <w:r w:rsidRPr="00BF42B7">
        <w:rPr>
          <w:rFonts w:hint="eastAsia"/>
          <w:lang w:val="fr-CH"/>
        </w:rPr>
        <w:t>)</w:t>
      </w:r>
      <w:r w:rsidRPr="00BF42B7">
        <w:rPr>
          <w:rFonts w:hint="eastAsia"/>
          <w:lang w:val="fr-CH"/>
        </w:rPr>
        <w:t>，报告谈及强制性规范</w:t>
      </w:r>
      <w:r w:rsidRPr="00BF42B7">
        <w:rPr>
          <w:rFonts w:hint="eastAsia"/>
          <w:lang w:val="fr-CH"/>
        </w:rPr>
        <w:t>(</w:t>
      </w:r>
      <w:r w:rsidRPr="00BF42B7">
        <w:rPr>
          <w:rFonts w:hint="eastAsia"/>
          <w:lang w:val="fr-CH"/>
        </w:rPr>
        <w:t>强行法</w:t>
      </w:r>
      <w:r w:rsidRPr="00BF42B7">
        <w:rPr>
          <w:rFonts w:hint="eastAsia"/>
          <w:lang w:val="fr-CH"/>
        </w:rPr>
        <w:t>)</w:t>
      </w:r>
      <w:r w:rsidRPr="00BF42B7">
        <w:rPr>
          <w:rFonts w:hint="eastAsia"/>
          <w:lang w:val="fr-CH"/>
        </w:rPr>
        <w:t>的相关概念问题，包括其性质和定义，并追溯了强制性规范的历史演变，以及此前全球国际法中接受强制性规范概念核心要素的情况。该报告进一步提出了若干系统方法问题，并请委员会就此发表评论，报告还回顾了第六委员会于</w:t>
      </w:r>
      <w:r w:rsidRPr="00BF42B7">
        <w:rPr>
          <w:rFonts w:hint="eastAsia"/>
          <w:lang w:val="fr-CH"/>
        </w:rPr>
        <w:t>2014</w:t>
      </w:r>
      <w:r w:rsidRPr="00BF42B7">
        <w:rPr>
          <w:rFonts w:hint="eastAsia"/>
          <w:lang w:val="fr-CH"/>
        </w:rPr>
        <w:t>年和</w:t>
      </w:r>
      <w:r w:rsidRPr="00BF42B7">
        <w:rPr>
          <w:rFonts w:hint="eastAsia"/>
          <w:lang w:val="fr-CH"/>
        </w:rPr>
        <w:t>2015</w:t>
      </w:r>
      <w:r w:rsidRPr="00BF42B7">
        <w:rPr>
          <w:rFonts w:hint="eastAsia"/>
          <w:lang w:val="fr-CH"/>
        </w:rPr>
        <w:t>年进行的辩论。委员会随后决定将特别报告员报告所载的结论草案</w:t>
      </w:r>
      <w:r w:rsidR="00781663">
        <w:rPr>
          <w:rFonts w:hint="eastAsia"/>
          <w:lang w:val="fr-CH"/>
        </w:rPr>
        <w:t>1</w:t>
      </w:r>
      <w:r w:rsidR="00781663">
        <w:rPr>
          <w:rFonts w:hint="eastAsia"/>
          <w:lang w:val="fr-CH"/>
        </w:rPr>
        <w:t>和</w:t>
      </w:r>
      <w:r w:rsidR="00781663">
        <w:rPr>
          <w:rFonts w:hint="eastAsia"/>
          <w:lang w:val="fr-CH"/>
        </w:rPr>
        <w:t>3</w:t>
      </w:r>
      <w:r w:rsidRPr="00BF42B7">
        <w:rPr>
          <w:rFonts w:hint="eastAsia"/>
          <w:lang w:val="fr-CH"/>
        </w:rPr>
        <w:t>转交起草委员会。随后，委员会注意到了起草委员会主席就该委员会暂时通过的结论</w:t>
      </w:r>
      <w:r w:rsidRPr="00BF42B7">
        <w:rPr>
          <w:rFonts w:hint="eastAsia"/>
          <w:lang w:val="fr-CH"/>
        </w:rPr>
        <w:t>1</w:t>
      </w:r>
      <w:r w:rsidRPr="00BF42B7">
        <w:rPr>
          <w:rFonts w:hint="eastAsia"/>
          <w:lang w:val="fr-CH"/>
        </w:rPr>
        <w:t>和结论</w:t>
      </w:r>
      <w:r w:rsidRPr="00BF42B7">
        <w:rPr>
          <w:rFonts w:hint="eastAsia"/>
          <w:lang w:val="fr-CH"/>
        </w:rPr>
        <w:t>2</w:t>
      </w:r>
      <w:r w:rsidRPr="00BF42B7">
        <w:rPr>
          <w:rFonts w:hint="eastAsia"/>
          <w:lang w:val="fr-CH"/>
        </w:rPr>
        <w:t>草案所作的临时报告。该报告提交委员会供参考</w:t>
      </w:r>
      <w:r w:rsidRPr="00BF42B7">
        <w:rPr>
          <w:rFonts w:hint="eastAsia"/>
          <w:lang w:val="fr-CH"/>
        </w:rPr>
        <w:t>(</w:t>
      </w:r>
      <w:r w:rsidRPr="00BF42B7">
        <w:rPr>
          <w:rFonts w:hint="eastAsia"/>
          <w:lang w:val="fr-CH"/>
        </w:rPr>
        <w:t>第九章</w:t>
      </w:r>
      <w:r w:rsidRPr="00BF42B7">
        <w:rPr>
          <w:rFonts w:hint="eastAsia"/>
          <w:lang w:val="fr-CH"/>
        </w:rPr>
        <w:t>)</w:t>
      </w:r>
      <w:r w:rsidRPr="00BF42B7">
        <w:rPr>
          <w:rFonts w:hint="eastAsia"/>
          <w:lang w:val="fr-CH"/>
        </w:rPr>
        <w:t>。</w:t>
      </w:r>
    </w:p>
    <w:p w:rsidR="00103498" w:rsidRPr="00BF42B7" w:rsidRDefault="00103498" w:rsidP="00A77784">
      <w:pPr>
        <w:pStyle w:val="SingleTxtGC"/>
        <w:rPr>
          <w:szCs w:val="21"/>
          <w:lang w:val="fr-CH"/>
        </w:rPr>
      </w:pPr>
      <w:r w:rsidRPr="00BF42B7">
        <w:rPr>
          <w:rFonts w:hint="eastAsia"/>
          <w:lang w:val="fr-CH"/>
        </w:rPr>
        <w:t>23</w:t>
      </w:r>
      <w:r w:rsidRPr="00BF42B7">
        <w:rPr>
          <w:rFonts w:hint="eastAsia"/>
          <w:szCs w:val="21"/>
          <w:lang w:val="fr-CH"/>
        </w:rPr>
        <w:t xml:space="preserve">.  </w:t>
      </w:r>
      <w:r w:rsidRPr="00BF42B7">
        <w:rPr>
          <w:rFonts w:hint="eastAsia"/>
          <w:szCs w:val="21"/>
          <w:lang w:val="fr-CH"/>
        </w:rPr>
        <w:t>关于“</w:t>
      </w:r>
      <w:r w:rsidRPr="00BF42B7">
        <w:rPr>
          <w:rFonts w:eastAsia="黑体" w:hint="eastAsia"/>
          <w:szCs w:val="21"/>
          <w:lang w:val="fr-CH"/>
        </w:rPr>
        <w:t>与武装冲突有关的环境保护</w:t>
      </w:r>
      <w:r w:rsidRPr="00BF42B7">
        <w:rPr>
          <w:rFonts w:hint="eastAsia"/>
          <w:szCs w:val="21"/>
          <w:lang w:val="fr-CH"/>
        </w:rPr>
        <w:t>”专题，委员会收到特别报告员的第三次报告</w:t>
      </w:r>
      <w:r w:rsidRPr="00BF42B7">
        <w:rPr>
          <w:rFonts w:hint="eastAsia"/>
          <w:szCs w:val="21"/>
          <w:lang w:val="fr-CH"/>
        </w:rPr>
        <w:t>(</w:t>
      </w:r>
      <w:hyperlink r:id="rId40" w:history="1">
        <w:r w:rsidRPr="00BF42B7">
          <w:rPr>
            <w:rStyle w:val="af"/>
            <w:rFonts w:hint="eastAsia"/>
            <w:szCs w:val="21"/>
            <w:lang w:val="fr-CH"/>
          </w:rPr>
          <w:t>A/CN.4/700</w:t>
        </w:r>
      </w:hyperlink>
      <w:r w:rsidRPr="00BF42B7">
        <w:rPr>
          <w:rFonts w:hint="eastAsia"/>
          <w:szCs w:val="21"/>
          <w:lang w:val="fr-CH"/>
        </w:rPr>
        <w:t>)</w:t>
      </w:r>
      <w:r w:rsidRPr="00BF42B7">
        <w:rPr>
          <w:rFonts w:hint="eastAsia"/>
          <w:szCs w:val="21"/>
          <w:lang w:val="fr-CH"/>
        </w:rPr>
        <w:t>。该报告侧重于确定冲突后局势所适用的规则，与此同时亦论及冲突前阶段应采取的预防措施的一些相关问题。该报告载有三项关于预防措施的</w:t>
      </w:r>
      <w:r w:rsidRPr="00BF42B7">
        <w:rPr>
          <w:rFonts w:hint="eastAsia"/>
          <w:spacing w:val="4"/>
          <w:szCs w:val="21"/>
          <w:lang w:val="fr-CH"/>
        </w:rPr>
        <w:t>原则草案、五项主要涉及冲突</w:t>
      </w:r>
      <w:r w:rsidRPr="00BF42B7">
        <w:rPr>
          <w:rFonts w:hint="eastAsia"/>
          <w:szCs w:val="21"/>
          <w:lang w:val="fr-CH"/>
        </w:rPr>
        <w:t>后阶段的原则草案，以及一项关于土著民族权利的原则草案。继全体会议辩论之后，委员会决定将特别报告员报告所载的原则草案转交起草委员会。之后，委员会收到起草委员会的报告</w:t>
      </w:r>
      <w:r w:rsidRPr="00BF42B7">
        <w:rPr>
          <w:rFonts w:hint="eastAsia"/>
          <w:szCs w:val="21"/>
          <w:lang w:val="fr-CH"/>
        </w:rPr>
        <w:t>(</w:t>
      </w:r>
      <w:hyperlink r:id="rId41" w:history="1">
        <w:r w:rsidRPr="00BF42B7">
          <w:rPr>
            <w:rStyle w:val="af"/>
            <w:rFonts w:hint="eastAsia"/>
            <w:szCs w:val="21"/>
            <w:lang w:val="fr-CH"/>
          </w:rPr>
          <w:t>A/CN.4/L.876</w:t>
        </w:r>
      </w:hyperlink>
      <w:r w:rsidRPr="00BF42B7">
        <w:rPr>
          <w:rFonts w:hint="eastAsia"/>
          <w:szCs w:val="21"/>
          <w:lang w:val="fr-CH"/>
        </w:rPr>
        <w:t>)</w:t>
      </w:r>
      <w:r w:rsidRPr="00BF42B7">
        <w:rPr>
          <w:rFonts w:hint="eastAsia"/>
          <w:szCs w:val="21"/>
          <w:lang w:val="fr-CH"/>
        </w:rPr>
        <w:t>，并表示注意到起草委员会暂时通过的原则草案</w:t>
      </w:r>
      <w:r w:rsidRPr="00BF42B7">
        <w:t>4</w:t>
      </w:r>
      <w:r w:rsidRPr="00BF42B7">
        <w:rPr>
          <w:rFonts w:hint="eastAsia"/>
        </w:rPr>
        <w:t>、</w:t>
      </w:r>
      <w:r w:rsidRPr="00BF42B7">
        <w:t>6</w:t>
      </w:r>
      <w:r w:rsidRPr="00BF42B7">
        <w:rPr>
          <w:rFonts w:hint="eastAsia"/>
        </w:rPr>
        <w:t>、</w:t>
      </w:r>
      <w:r w:rsidRPr="00BF42B7">
        <w:t>7</w:t>
      </w:r>
      <w:r w:rsidRPr="00BF42B7">
        <w:rPr>
          <w:rFonts w:hint="eastAsia"/>
        </w:rPr>
        <w:t>、</w:t>
      </w:r>
      <w:r w:rsidRPr="00BF42B7">
        <w:t>8</w:t>
      </w:r>
      <w:r w:rsidRPr="00BF42B7">
        <w:rPr>
          <w:rFonts w:hint="eastAsia"/>
        </w:rPr>
        <w:t>、</w:t>
      </w:r>
      <w:r w:rsidRPr="00BF42B7">
        <w:t>14</w:t>
      </w:r>
      <w:r w:rsidRPr="00BF42B7">
        <w:rPr>
          <w:rFonts w:hint="eastAsia"/>
        </w:rPr>
        <w:t>、</w:t>
      </w:r>
      <w:r w:rsidRPr="00BF42B7">
        <w:t>15</w:t>
      </w:r>
      <w:r w:rsidRPr="00BF42B7">
        <w:rPr>
          <w:rFonts w:hint="eastAsia"/>
        </w:rPr>
        <w:t>、</w:t>
      </w:r>
      <w:r w:rsidRPr="00BF42B7">
        <w:t>16</w:t>
      </w:r>
      <w:r w:rsidRPr="00BF42B7">
        <w:rPr>
          <w:rFonts w:hint="eastAsia"/>
        </w:rPr>
        <w:t>、</w:t>
      </w:r>
      <w:r w:rsidRPr="00BF42B7">
        <w:t>17</w:t>
      </w:r>
      <w:r w:rsidRPr="00BF42B7">
        <w:rPr>
          <w:rFonts w:hint="eastAsia"/>
        </w:rPr>
        <w:t>和</w:t>
      </w:r>
      <w:r w:rsidRPr="00BF42B7">
        <w:t xml:space="preserve"> 18</w:t>
      </w:r>
      <w:r w:rsidRPr="00BF42B7">
        <w:rPr>
          <w:rFonts w:hint="eastAsia"/>
          <w:szCs w:val="21"/>
          <w:lang w:val="fr-CH"/>
        </w:rPr>
        <w:t>。此外，委员会暂时通过了第六十七届会议上曾表示注意到的几个原则草案。起草委员会在本届会议上出于技术原因，对上述原则草案及其评注作了重新编号和修订</w:t>
      </w:r>
      <w:r w:rsidRPr="00BF42B7">
        <w:rPr>
          <w:rFonts w:hint="eastAsia"/>
          <w:szCs w:val="21"/>
          <w:lang w:val="fr-CH"/>
        </w:rPr>
        <w:t>(</w:t>
      </w:r>
      <w:hyperlink r:id="rId42" w:history="1">
        <w:r w:rsidRPr="00BF42B7">
          <w:rPr>
            <w:rStyle w:val="af"/>
            <w:rFonts w:hint="eastAsia"/>
            <w:szCs w:val="21"/>
            <w:lang w:val="fr-CH"/>
          </w:rPr>
          <w:t>A/CN.4/L.870/</w:t>
        </w:r>
      </w:hyperlink>
      <w:r w:rsidRPr="00BF42B7">
        <w:rPr>
          <w:rFonts w:hint="eastAsia"/>
          <w:szCs w:val="21"/>
          <w:lang w:val="fr-CH"/>
        </w:rPr>
        <w:t>Rev.1)(</w:t>
      </w:r>
      <w:r w:rsidRPr="00BF42B7">
        <w:rPr>
          <w:rFonts w:hint="eastAsia"/>
          <w:szCs w:val="21"/>
          <w:lang w:val="fr-CH"/>
        </w:rPr>
        <w:t>第十章</w:t>
      </w:r>
      <w:r w:rsidRPr="00BF42B7">
        <w:rPr>
          <w:rFonts w:hint="eastAsia"/>
          <w:szCs w:val="21"/>
          <w:lang w:val="fr-CH"/>
        </w:rPr>
        <w:t>)</w:t>
      </w:r>
      <w:r w:rsidRPr="00BF42B7">
        <w:rPr>
          <w:rFonts w:hint="eastAsia"/>
          <w:szCs w:val="21"/>
          <w:lang w:val="fr-CH"/>
        </w:rPr>
        <w:t>。</w:t>
      </w:r>
    </w:p>
    <w:p w:rsidR="00103498" w:rsidRPr="00BF42B7" w:rsidRDefault="00103498" w:rsidP="00A77784">
      <w:pPr>
        <w:pStyle w:val="SingleTxtGC"/>
        <w:rPr>
          <w:lang w:val="fr-CH"/>
        </w:rPr>
      </w:pPr>
      <w:r w:rsidRPr="00BF42B7">
        <w:rPr>
          <w:rFonts w:hint="eastAsia"/>
          <w:lang w:val="fr-CH"/>
        </w:rPr>
        <w:t xml:space="preserve">24.  </w:t>
      </w:r>
      <w:r w:rsidRPr="00BF42B7">
        <w:rPr>
          <w:rFonts w:hint="eastAsia"/>
          <w:lang w:val="fr-CH"/>
        </w:rPr>
        <w:t>关于“</w:t>
      </w:r>
      <w:r w:rsidRPr="00BF42B7">
        <w:rPr>
          <w:rFonts w:eastAsia="黑体" w:hint="eastAsia"/>
          <w:lang w:val="fr-CH"/>
        </w:rPr>
        <w:t>国家官员的外国刑事管辖豁免</w:t>
      </w:r>
      <w:r w:rsidRPr="00BF42B7">
        <w:rPr>
          <w:rFonts w:hint="eastAsia"/>
          <w:lang w:val="fr-CH"/>
        </w:rPr>
        <w:t>”专题，委员会收到特别报告员的第五次报告</w:t>
      </w:r>
      <w:r w:rsidRPr="00BF42B7">
        <w:rPr>
          <w:rFonts w:hint="eastAsia"/>
          <w:lang w:val="fr-CH"/>
        </w:rPr>
        <w:t>(</w:t>
      </w:r>
      <w:hyperlink r:id="rId43" w:history="1">
        <w:r w:rsidRPr="00BF42B7">
          <w:rPr>
            <w:rStyle w:val="af"/>
            <w:rFonts w:hint="eastAsia"/>
            <w:lang w:val="fr-CH"/>
          </w:rPr>
          <w:t>A/CN.4/701</w:t>
        </w:r>
      </w:hyperlink>
      <w:r w:rsidRPr="00BF42B7">
        <w:rPr>
          <w:rFonts w:hint="eastAsia"/>
          <w:lang w:val="fr-CH"/>
        </w:rPr>
        <w:t>)</w:t>
      </w:r>
      <w:r w:rsidRPr="00BF42B7">
        <w:rPr>
          <w:rFonts w:hint="eastAsia"/>
          <w:lang w:val="fr-CH"/>
        </w:rPr>
        <w:t>，报告分析了国家官员外国刑事管辖豁免权的限制和例外问题。由于审议报告时，委员会仅收到联合国六种正式语文中的两种文本，因此委员会的辩论只是刚开始，在第六十八届会议上只有想就该专题发言的几个委员发言，委员会将在第六十九届会议上继续辩论。</w:t>
      </w:r>
    </w:p>
    <w:p w:rsidR="00103498" w:rsidRPr="00BF42B7" w:rsidRDefault="00103498" w:rsidP="00A77784">
      <w:pPr>
        <w:pStyle w:val="SingleTxtGC"/>
        <w:rPr>
          <w:lang w:val="fr-CH"/>
        </w:rPr>
      </w:pPr>
      <w:r w:rsidRPr="00BF42B7">
        <w:rPr>
          <w:rFonts w:hint="eastAsia"/>
          <w:lang w:val="fr-CH"/>
        </w:rPr>
        <w:t xml:space="preserve">25.  </w:t>
      </w:r>
      <w:r w:rsidRPr="00BF42B7">
        <w:rPr>
          <w:rFonts w:hint="eastAsia"/>
          <w:lang w:val="fr-CH"/>
        </w:rPr>
        <w:t>委员会第六十七届会议曾表示，注意到起草委员会关于其之前所开展工作情况的报告</w:t>
      </w:r>
      <w:r w:rsidRPr="00BF42B7">
        <w:rPr>
          <w:rFonts w:hint="eastAsia"/>
          <w:lang w:val="fr-CH"/>
        </w:rPr>
        <w:t>(</w:t>
      </w:r>
      <w:hyperlink r:id="rId44" w:history="1">
        <w:r w:rsidRPr="00BF42B7">
          <w:rPr>
            <w:rStyle w:val="af"/>
            <w:rFonts w:hint="eastAsia"/>
            <w:lang w:val="fr-CH"/>
          </w:rPr>
          <w:t>A/CN.4/L.865</w:t>
        </w:r>
      </w:hyperlink>
      <w:r w:rsidRPr="00BF42B7">
        <w:rPr>
          <w:rFonts w:hint="eastAsia"/>
          <w:lang w:val="fr-CH"/>
        </w:rPr>
        <w:t>)</w:t>
      </w:r>
      <w:r w:rsidRPr="00BF42B7">
        <w:rPr>
          <w:rFonts w:hint="eastAsia"/>
          <w:lang w:val="fr-CH"/>
        </w:rPr>
        <w:t>，委员会在审议该报告之后，暂时通过了第</w:t>
      </w:r>
      <w:r w:rsidRPr="00BF42B7">
        <w:rPr>
          <w:rFonts w:hint="eastAsia"/>
          <w:lang w:val="fr-CH"/>
        </w:rPr>
        <w:t>2</w:t>
      </w:r>
      <w:r w:rsidRPr="00BF42B7">
        <w:rPr>
          <w:rFonts w:hint="eastAsia"/>
          <w:lang w:val="fr-CH"/>
        </w:rPr>
        <w:t>条</w:t>
      </w:r>
      <w:r w:rsidRPr="00BF42B7">
        <w:rPr>
          <w:rFonts w:hint="eastAsia"/>
          <w:lang w:val="fr-CH"/>
        </w:rPr>
        <w:t>(f)</w:t>
      </w:r>
      <w:r w:rsidRPr="00BF42B7">
        <w:rPr>
          <w:rFonts w:hint="eastAsia"/>
          <w:lang w:val="fr-CH"/>
        </w:rPr>
        <w:t>项草案和第</w:t>
      </w:r>
      <w:r w:rsidRPr="00BF42B7">
        <w:rPr>
          <w:rFonts w:hint="eastAsia"/>
          <w:lang w:val="fr-CH"/>
        </w:rPr>
        <w:t>6</w:t>
      </w:r>
      <w:r w:rsidRPr="00BF42B7">
        <w:rPr>
          <w:rFonts w:hint="eastAsia"/>
          <w:lang w:val="fr-CH"/>
        </w:rPr>
        <w:t>条草案及其评注</w:t>
      </w:r>
      <w:r w:rsidRPr="00BF42B7">
        <w:rPr>
          <w:rFonts w:hint="eastAsia"/>
          <w:lang w:val="fr-CH"/>
        </w:rPr>
        <w:t>(</w:t>
      </w:r>
      <w:r w:rsidRPr="00BF42B7">
        <w:rPr>
          <w:rFonts w:hint="eastAsia"/>
          <w:lang w:val="fr-CH"/>
        </w:rPr>
        <w:t>第十一章</w:t>
      </w:r>
      <w:r w:rsidRPr="00BF42B7">
        <w:rPr>
          <w:rFonts w:hint="eastAsia"/>
          <w:lang w:val="fr-CH"/>
        </w:rPr>
        <w:t>)</w:t>
      </w:r>
      <w:r w:rsidRPr="00BF42B7">
        <w:rPr>
          <w:rFonts w:hint="eastAsia"/>
          <w:lang w:val="fr-CH"/>
        </w:rPr>
        <w:t>。</w:t>
      </w:r>
    </w:p>
    <w:p w:rsidR="00103498" w:rsidRPr="00BF42B7" w:rsidRDefault="00103498" w:rsidP="00A77784">
      <w:pPr>
        <w:pStyle w:val="SingleTxtGC"/>
        <w:rPr>
          <w:lang w:val="fr-CH"/>
        </w:rPr>
      </w:pPr>
      <w:r w:rsidRPr="00BF42B7">
        <w:rPr>
          <w:rFonts w:hint="eastAsia"/>
          <w:lang w:val="fr-CH"/>
        </w:rPr>
        <w:t xml:space="preserve">26.  </w:t>
      </w:r>
      <w:r w:rsidRPr="00BF42B7">
        <w:rPr>
          <w:rFonts w:hint="eastAsia"/>
          <w:lang w:val="fr-CH"/>
        </w:rPr>
        <w:t>关于“</w:t>
      </w:r>
      <w:r w:rsidRPr="00BF42B7">
        <w:rPr>
          <w:rFonts w:eastAsia="黑体" w:hint="eastAsia"/>
          <w:lang w:val="fr-CH"/>
        </w:rPr>
        <w:t>条约的暂时适用</w:t>
      </w:r>
      <w:r w:rsidRPr="00BF42B7">
        <w:rPr>
          <w:rFonts w:hint="eastAsia"/>
          <w:lang w:val="fr-CH"/>
        </w:rPr>
        <w:t>”专题，委员会收到特别报告员的第四次报告</w:t>
      </w:r>
      <w:r w:rsidRPr="00BF42B7">
        <w:rPr>
          <w:rFonts w:hint="eastAsia"/>
          <w:lang w:val="fr-CH"/>
        </w:rPr>
        <w:t>(</w:t>
      </w:r>
      <w:hyperlink r:id="rId45" w:history="1">
        <w:r w:rsidRPr="00BF42B7">
          <w:rPr>
            <w:rStyle w:val="af"/>
            <w:rFonts w:hint="eastAsia"/>
            <w:lang w:val="fr-CH"/>
          </w:rPr>
          <w:t>A/CN.4/699</w:t>
        </w:r>
      </w:hyperlink>
      <w:r w:rsidRPr="00BF42B7">
        <w:rPr>
          <w:rFonts w:hint="eastAsia"/>
          <w:lang w:val="fr-CH"/>
        </w:rPr>
        <w:t>和</w:t>
      </w:r>
      <w:hyperlink r:id="rId46" w:history="1">
        <w:r w:rsidRPr="00BF42B7">
          <w:rPr>
            <w:rStyle w:val="af"/>
            <w:rFonts w:hint="eastAsia"/>
            <w:lang w:val="fr-CH"/>
          </w:rPr>
          <w:t>A/CN.4/699/Add.1</w:t>
        </w:r>
      </w:hyperlink>
      <w:r w:rsidRPr="00BF42B7">
        <w:rPr>
          <w:rFonts w:hint="eastAsia"/>
          <w:lang w:val="fr-CH"/>
        </w:rPr>
        <w:t>)</w:t>
      </w:r>
      <w:r w:rsidRPr="00BF42B7">
        <w:rPr>
          <w:rFonts w:hint="eastAsia"/>
          <w:lang w:val="fr-CH"/>
        </w:rPr>
        <w:t>，报告继续分析了暂时适用与</w:t>
      </w:r>
      <w:r w:rsidRPr="00BF42B7">
        <w:rPr>
          <w:rFonts w:hint="eastAsia"/>
          <w:lang w:val="fr-CH"/>
        </w:rPr>
        <w:t>1969</w:t>
      </w:r>
      <w:r w:rsidRPr="00BF42B7">
        <w:rPr>
          <w:rFonts w:hint="eastAsia"/>
          <w:lang w:val="fr-CH"/>
        </w:rPr>
        <w:t>年《维也纳公约》其他</w:t>
      </w:r>
      <w:r w:rsidRPr="00BF42B7">
        <w:rPr>
          <w:rFonts w:hint="eastAsia"/>
          <w:spacing w:val="4"/>
          <w:lang w:val="fr-CH"/>
        </w:rPr>
        <w:t>规定的关系以及国际组织在条约暂时适用方面的实践。报告载有一项关于国内法</w:t>
      </w:r>
      <w:r w:rsidRPr="00BF42B7">
        <w:rPr>
          <w:rFonts w:hint="eastAsia"/>
          <w:lang w:val="fr-CH"/>
        </w:rPr>
        <w:t>和对条约全部或部分的暂时适用</w:t>
      </w:r>
      <w:r w:rsidRPr="00BF42B7">
        <w:rPr>
          <w:rFonts w:hint="eastAsia"/>
          <w:spacing w:val="4"/>
          <w:lang w:val="fr-CH"/>
        </w:rPr>
        <w:t>的准则</w:t>
      </w:r>
      <w:r w:rsidRPr="00BF42B7">
        <w:rPr>
          <w:rFonts w:hint="eastAsia"/>
          <w:spacing w:val="4"/>
          <w:lang w:val="fr-CH"/>
        </w:rPr>
        <w:t>10</w:t>
      </w:r>
      <w:r w:rsidRPr="00BF42B7">
        <w:rPr>
          <w:rFonts w:hint="eastAsia"/>
          <w:spacing w:val="4"/>
          <w:lang w:val="fr-CH"/>
        </w:rPr>
        <w:t>草案提案</w:t>
      </w:r>
      <w:r w:rsidRPr="00BF42B7">
        <w:rPr>
          <w:rFonts w:hint="eastAsia"/>
          <w:lang w:val="fr-CH"/>
        </w:rPr>
        <w:t>。报告的增编收入了欧洲联盟在暂时适用与第三国协定方面最新的做法实例。</w:t>
      </w:r>
    </w:p>
    <w:p w:rsidR="00103498" w:rsidRPr="00BF42B7" w:rsidRDefault="00103498" w:rsidP="00A77784">
      <w:pPr>
        <w:pStyle w:val="SingleTxtGC"/>
        <w:rPr>
          <w:lang w:val="fr-CH"/>
        </w:rPr>
      </w:pPr>
      <w:r w:rsidRPr="00BF42B7">
        <w:rPr>
          <w:rFonts w:hint="eastAsia"/>
          <w:lang w:val="fr-CH"/>
        </w:rPr>
        <w:t xml:space="preserve">27.  </w:t>
      </w:r>
      <w:r w:rsidRPr="00BF42B7">
        <w:rPr>
          <w:rFonts w:hint="eastAsia"/>
          <w:lang w:val="fr-CH"/>
        </w:rPr>
        <w:t>委员会在全体会议辩论之后决定，将特别报告员第四次报告所载的准则</w:t>
      </w:r>
      <w:r w:rsidRPr="00BF42B7">
        <w:rPr>
          <w:rFonts w:hint="eastAsia"/>
          <w:lang w:val="fr-CH"/>
        </w:rPr>
        <w:t>10</w:t>
      </w:r>
      <w:r w:rsidRPr="00BF42B7">
        <w:rPr>
          <w:rFonts w:hint="eastAsia"/>
          <w:lang w:val="fr-CH"/>
        </w:rPr>
        <w:t>草案转交起草委员会。委员会随后收到起草委员会的报告</w:t>
      </w:r>
      <w:r w:rsidRPr="00BF42B7">
        <w:rPr>
          <w:rFonts w:hint="eastAsia"/>
          <w:lang w:val="fr-CH"/>
        </w:rPr>
        <w:t>(</w:t>
      </w:r>
      <w:hyperlink r:id="rId47" w:history="1">
        <w:r w:rsidRPr="00BF42B7">
          <w:rPr>
            <w:rStyle w:val="af"/>
            <w:rFonts w:hint="eastAsia"/>
            <w:lang w:val="fr-CH"/>
          </w:rPr>
          <w:t>A/CN.4/L.877</w:t>
        </w:r>
      </w:hyperlink>
      <w:r w:rsidRPr="00BF42B7">
        <w:rPr>
          <w:rFonts w:hint="eastAsia"/>
          <w:lang w:val="fr-CH"/>
        </w:rPr>
        <w:t>)</w:t>
      </w:r>
      <w:r w:rsidRPr="00BF42B7">
        <w:rPr>
          <w:rFonts w:hint="eastAsia"/>
          <w:lang w:val="fr-CH"/>
        </w:rPr>
        <w:t>，委员会注意到起草委员会在第六十七和第六十八届会议上暂时通过的准则</w:t>
      </w:r>
      <w:r w:rsidRPr="00BF42B7">
        <w:rPr>
          <w:rFonts w:hint="eastAsia"/>
          <w:lang w:val="fr-CH"/>
        </w:rPr>
        <w:t>1</w:t>
      </w:r>
      <w:r w:rsidRPr="00BF42B7">
        <w:rPr>
          <w:rFonts w:hint="eastAsia"/>
          <w:lang w:val="fr-CH"/>
        </w:rPr>
        <w:t>至</w:t>
      </w:r>
      <w:r w:rsidRPr="00BF42B7">
        <w:rPr>
          <w:rFonts w:hint="eastAsia"/>
          <w:lang w:val="fr-CH"/>
        </w:rPr>
        <w:t>4</w:t>
      </w:r>
      <w:r w:rsidRPr="00BF42B7">
        <w:rPr>
          <w:rFonts w:hint="eastAsia"/>
          <w:lang w:val="fr-CH"/>
        </w:rPr>
        <w:t>和</w:t>
      </w:r>
      <w:r w:rsidRPr="00BF42B7">
        <w:rPr>
          <w:rFonts w:hint="eastAsia"/>
          <w:lang w:val="fr-CH"/>
        </w:rPr>
        <w:t>6</w:t>
      </w:r>
      <w:r w:rsidRPr="00BF42B7">
        <w:rPr>
          <w:rFonts w:hint="eastAsia"/>
          <w:lang w:val="fr-CH"/>
        </w:rPr>
        <w:t>至</w:t>
      </w:r>
      <w:r w:rsidRPr="00BF42B7">
        <w:rPr>
          <w:rFonts w:hint="eastAsia"/>
          <w:lang w:val="fr-CH"/>
        </w:rPr>
        <w:t>9</w:t>
      </w:r>
      <w:r w:rsidRPr="00BF42B7">
        <w:rPr>
          <w:rFonts w:hint="eastAsia"/>
          <w:lang w:val="fr-CH"/>
        </w:rPr>
        <w:t>的草案。关于单边声明问题的准则</w:t>
      </w:r>
      <w:r w:rsidRPr="00BF42B7">
        <w:rPr>
          <w:rFonts w:hint="eastAsia"/>
          <w:lang w:val="fr-CH"/>
        </w:rPr>
        <w:t>5</w:t>
      </w:r>
      <w:r w:rsidRPr="00BF42B7">
        <w:rPr>
          <w:rFonts w:hint="eastAsia"/>
          <w:lang w:val="fr-CH"/>
        </w:rPr>
        <w:t>草案被起草委员会搁置，留待日后再议</w:t>
      </w:r>
      <w:r w:rsidRPr="00BF42B7">
        <w:rPr>
          <w:rFonts w:hint="eastAsia"/>
          <w:lang w:val="fr-CH"/>
        </w:rPr>
        <w:t>(</w:t>
      </w:r>
      <w:r w:rsidRPr="00BF42B7">
        <w:rPr>
          <w:rFonts w:hint="eastAsia"/>
          <w:lang w:val="fr-CH"/>
        </w:rPr>
        <w:t>第十二章</w:t>
      </w:r>
      <w:r w:rsidRPr="00BF42B7">
        <w:rPr>
          <w:rFonts w:hint="eastAsia"/>
          <w:lang w:val="fr-CH"/>
        </w:rPr>
        <w:t>)</w:t>
      </w:r>
      <w:r w:rsidRPr="00BF42B7">
        <w:rPr>
          <w:rFonts w:hint="eastAsia"/>
          <w:lang w:val="fr-CH"/>
        </w:rPr>
        <w:t>。</w:t>
      </w:r>
    </w:p>
    <w:p w:rsidR="00103498" w:rsidRPr="00BF42B7" w:rsidRDefault="00103498" w:rsidP="00A77784">
      <w:pPr>
        <w:pStyle w:val="SingleTxtGC"/>
        <w:rPr>
          <w:szCs w:val="21"/>
          <w:lang w:val="fr-CH"/>
        </w:rPr>
      </w:pPr>
      <w:r w:rsidRPr="00BF42B7">
        <w:rPr>
          <w:rFonts w:hint="eastAsia"/>
          <w:lang w:val="fr-CH"/>
        </w:rPr>
        <w:t xml:space="preserve">28.  </w:t>
      </w:r>
      <w:r w:rsidRPr="00BF42B7">
        <w:rPr>
          <w:rFonts w:hint="eastAsia"/>
          <w:lang w:val="fr-CH"/>
        </w:rPr>
        <w:t>关于“</w:t>
      </w:r>
      <w:r w:rsidRPr="00BF42B7">
        <w:rPr>
          <w:rFonts w:eastAsia="黑体" w:hint="eastAsia"/>
          <w:lang w:val="fr-CH"/>
        </w:rPr>
        <w:t>委员会的其他决定和结论</w:t>
      </w:r>
      <w:r w:rsidRPr="00BF42B7">
        <w:rPr>
          <w:rFonts w:hint="eastAsia"/>
          <w:lang w:val="fr-CH"/>
        </w:rPr>
        <w:t>”，</w:t>
      </w:r>
      <w:r w:rsidRPr="00BF42B7">
        <w:rPr>
          <w:rFonts w:hint="eastAsia"/>
          <w:szCs w:val="21"/>
          <w:lang w:val="fr-CH"/>
        </w:rPr>
        <w:t>委员会决定，请秘书处就使习惯国际法的证据更易考察的方法和手段编写一份备忘录，概括介绍习惯国际法证据问题的现状，并就如何改善提出建议；请秘书处另外编写一份备忘录，</w:t>
      </w:r>
      <w:r w:rsidRPr="00BF42B7">
        <w:t>分析过去</w:t>
      </w:r>
      <w:r w:rsidRPr="00BF42B7">
        <w:rPr>
          <w:lang w:val="fr-CH"/>
        </w:rPr>
        <w:t>20</w:t>
      </w:r>
      <w:r w:rsidRPr="00BF42B7">
        <w:t>年向秘书长交存或登记的对暂时适用作了规定的</w:t>
      </w:r>
      <w:r w:rsidRPr="00BF42B7">
        <w:rPr>
          <w:lang w:val="fr-CH"/>
        </w:rPr>
        <w:t>(</w:t>
      </w:r>
      <w:r w:rsidRPr="00BF42B7">
        <w:t>双边和多边</w:t>
      </w:r>
      <w:r w:rsidRPr="00BF42B7">
        <w:rPr>
          <w:lang w:val="fr-CH"/>
        </w:rPr>
        <w:t>)</w:t>
      </w:r>
      <w:r w:rsidRPr="00BF42B7">
        <w:t>条约</w:t>
      </w:r>
      <w:r w:rsidRPr="00BF42B7">
        <w:rPr>
          <w:rFonts w:hint="eastAsia"/>
        </w:rPr>
        <w:t>方面</w:t>
      </w:r>
      <w:r w:rsidRPr="00BF42B7">
        <w:t>的国家实践</w:t>
      </w:r>
      <w:r w:rsidRPr="00BF42B7">
        <w:rPr>
          <w:lang w:val="fr-CH"/>
        </w:rPr>
        <w:t>，</w:t>
      </w:r>
      <w:r w:rsidRPr="00BF42B7">
        <w:t>包括与这些条约有关的条约行动</w:t>
      </w:r>
      <w:r w:rsidRPr="00BF42B7">
        <w:rPr>
          <w:rFonts w:hint="eastAsia"/>
          <w:szCs w:val="21"/>
          <w:lang w:val="fr-CH"/>
        </w:rPr>
        <w:t>(</w:t>
      </w:r>
      <w:r w:rsidRPr="00BF42B7">
        <w:rPr>
          <w:rFonts w:hint="eastAsia"/>
          <w:szCs w:val="21"/>
          <w:lang w:val="fr-CH"/>
        </w:rPr>
        <w:t>第十三章</w:t>
      </w:r>
      <w:r w:rsidRPr="00BF42B7">
        <w:rPr>
          <w:rFonts w:hint="eastAsia"/>
          <w:szCs w:val="21"/>
          <w:lang w:val="fr-CH"/>
        </w:rPr>
        <w:t>A</w:t>
      </w:r>
      <w:r w:rsidRPr="00BF42B7">
        <w:rPr>
          <w:rFonts w:hint="eastAsia"/>
          <w:szCs w:val="21"/>
          <w:lang w:val="fr-CH"/>
        </w:rPr>
        <w:t>节</w:t>
      </w:r>
      <w:r w:rsidRPr="00BF42B7">
        <w:rPr>
          <w:rFonts w:hint="eastAsia"/>
          <w:szCs w:val="21"/>
          <w:lang w:val="fr-CH"/>
        </w:rPr>
        <w:t>)</w:t>
      </w:r>
      <w:r w:rsidRPr="00BF42B7">
        <w:rPr>
          <w:rFonts w:hint="eastAsia"/>
          <w:szCs w:val="21"/>
          <w:lang w:val="fr-CH"/>
        </w:rPr>
        <w:t>。</w:t>
      </w:r>
    </w:p>
    <w:p w:rsidR="00103498" w:rsidRPr="00BF42B7" w:rsidRDefault="00103498" w:rsidP="009C15B9">
      <w:pPr>
        <w:pStyle w:val="SingleTxtGC"/>
        <w:rPr>
          <w:szCs w:val="21"/>
          <w:lang w:val="fr-CH"/>
        </w:rPr>
      </w:pPr>
      <w:r w:rsidRPr="00BF42B7">
        <w:rPr>
          <w:rFonts w:hint="eastAsia"/>
          <w:szCs w:val="21"/>
          <w:lang w:val="fr-CH"/>
        </w:rPr>
        <w:t>29.</w:t>
      </w:r>
      <w:r w:rsidR="009C15B9" w:rsidRPr="00BF42B7">
        <w:rPr>
          <w:rFonts w:hint="eastAsia"/>
          <w:szCs w:val="21"/>
          <w:lang w:val="fr-CH"/>
        </w:rPr>
        <w:t xml:space="preserve">  </w:t>
      </w:r>
      <w:r w:rsidRPr="00BF42B7">
        <w:rPr>
          <w:rFonts w:hint="eastAsia"/>
          <w:szCs w:val="21"/>
          <w:lang w:val="fr-CH"/>
        </w:rPr>
        <w:t>委员会还设立了规划组，负责审议其方案、程序和工作方法</w:t>
      </w:r>
      <w:r w:rsidRPr="00BF42B7">
        <w:rPr>
          <w:rFonts w:hint="eastAsia"/>
          <w:szCs w:val="21"/>
          <w:lang w:val="fr-CH"/>
        </w:rPr>
        <w:t>(</w:t>
      </w:r>
      <w:r w:rsidRPr="00BF42B7">
        <w:rPr>
          <w:rFonts w:hint="eastAsia"/>
          <w:szCs w:val="21"/>
          <w:lang w:val="fr-CH"/>
        </w:rPr>
        <w:t>第十三章，</w:t>
      </w:r>
      <w:r w:rsidRPr="00BF42B7">
        <w:rPr>
          <w:rFonts w:hint="eastAsia"/>
          <w:szCs w:val="21"/>
          <w:lang w:val="fr-CH"/>
        </w:rPr>
        <w:t>B</w:t>
      </w:r>
      <w:r w:rsidRPr="00BF42B7">
        <w:rPr>
          <w:rFonts w:hint="eastAsia"/>
          <w:szCs w:val="21"/>
          <w:lang w:val="fr-CH"/>
        </w:rPr>
        <w:t>节</w:t>
      </w:r>
      <w:r w:rsidRPr="00BF42B7">
        <w:rPr>
          <w:rFonts w:hint="eastAsia"/>
          <w:szCs w:val="21"/>
          <w:lang w:val="fr-CH"/>
        </w:rPr>
        <w:t>)</w:t>
      </w:r>
      <w:r w:rsidRPr="00BF42B7">
        <w:rPr>
          <w:rFonts w:hint="eastAsia"/>
          <w:szCs w:val="21"/>
          <w:lang w:val="fr-CH"/>
        </w:rPr>
        <w:t>。委员会决定在其长期工作方案中纳入以下专题：</w:t>
      </w:r>
      <w:r w:rsidRPr="00BF42B7">
        <w:rPr>
          <w:rFonts w:hint="eastAsia"/>
          <w:szCs w:val="21"/>
          <w:lang w:val="fr-CH"/>
        </w:rPr>
        <w:t xml:space="preserve">(a) </w:t>
      </w:r>
      <w:r w:rsidRPr="00BF42B7">
        <w:rPr>
          <w:rFonts w:hint="eastAsia"/>
          <w:szCs w:val="21"/>
          <w:lang w:val="fr-CH"/>
        </w:rPr>
        <w:t>国际组织作为当事方的国际争端的解决；</w:t>
      </w:r>
      <w:r w:rsidRPr="00BF42B7">
        <w:rPr>
          <w:rFonts w:hint="eastAsia"/>
          <w:szCs w:val="21"/>
          <w:lang w:val="fr-CH"/>
        </w:rPr>
        <w:t xml:space="preserve">(b) </w:t>
      </w:r>
      <w:r w:rsidRPr="00BF42B7">
        <w:rPr>
          <w:rFonts w:hint="eastAsia"/>
          <w:szCs w:val="21"/>
          <w:lang w:val="fr-CH"/>
        </w:rPr>
        <w:t>国家责任方面的国家继承</w:t>
      </w:r>
      <w:r w:rsidRPr="00BF42B7">
        <w:rPr>
          <w:rFonts w:hint="eastAsia"/>
          <w:szCs w:val="21"/>
          <w:lang w:val="fr-CH"/>
        </w:rPr>
        <w:t>(</w:t>
      </w:r>
      <w:r w:rsidRPr="00BF42B7">
        <w:rPr>
          <w:rFonts w:hint="eastAsia"/>
          <w:szCs w:val="21"/>
          <w:lang w:val="fr-CH"/>
        </w:rPr>
        <w:t>第十三章</w:t>
      </w:r>
      <w:r w:rsidRPr="00BF42B7">
        <w:rPr>
          <w:rFonts w:hint="eastAsia"/>
          <w:szCs w:val="21"/>
          <w:lang w:val="fr-CH"/>
        </w:rPr>
        <w:t>B</w:t>
      </w:r>
      <w:r w:rsidRPr="00BF42B7">
        <w:rPr>
          <w:rFonts w:hint="eastAsia"/>
          <w:szCs w:val="21"/>
          <w:lang w:val="fr-CH"/>
        </w:rPr>
        <w:t>节</w:t>
      </w:r>
      <w:r w:rsidRPr="00BF42B7">
        <w:rPr>
          <w:rFonts w:hint="eastAsia"/>
          <w:szCs w:val="21"/>
          <w:lang w:val="fr-CH"/>
        </w:rPr>
        <w:t>)</w:t>
      </w:r>
      <w:r w:rsidRPr="00BF42B7">
        <w:rPr>
          <w:rFonts w:hint="eastAsia"/>
          <w:szCs w:val="21"/>
          <w:lang w:val="fr-CH"/>
        </w:rPr>
        <w:t>。</w:t>
      </w:r>
    </w:p>
    <w:p w:rsidR="00103498" w:rsidRPr="00BF42B7" w:rsidRDefault="00103498" w:rsidP="009C15B9">
      <w:pPr>
        <w:pStyle w:val="SingleTxtGC"/>
        <w:rPr>
          <w:szCs w:val="21"/>
          <w:lang w:val="fr-CH"/>
        </w:rPr>
      </w:pPr>
      <w:r w:rsidRPr="00BF42B7">
        <w:rPr>
          <w:rFonts w:hint="eastAsia"/>
          <w:szCs w:val="21"/>
          <w:lang w:val="fr-CH"/>
        </w:rPr>
        <w:t>30.</w:t>
      </w:r>
      <w:r w:rsidR="009C15B9" w:rsidRPr="00BF42B7">
        <w:rPr>
          <w:rFonts w:hint="eastAsia"/>
          <w:szCs w:val="21"/>
          <w:lang w:val="fr-CH"/>
        </w:rPr>
        <w:t xml:space="preserve">  </w:t>
      </w:r>
      <w:r w:rsidRPr="00BF42B7">
        <w:rPr>
          <w:rFonts w:hint="eastAsia"/>
          <w:szCs w:val="21"/>
          <w:lang w:val="fr-CH"/>
        </w:rPr>
        <w:t>委员会建议，第七十届会议的第一期会议在纽约举行，请秘书处着手进行必要的行政和组织安排，以提供便利。委员会建议，在</w:t>
      </w:r>
      <w:r w:rsidRPr="00BF42B7">
        <w:rPr>
          <w:rFonts w:hint="eastAsia"/>
          <w:szCs w:val="21"/>
          <w:lang w:val="fr-CH"/>
        </w:rPr>
        <w:t>2018</w:t>
      </w:r>
      <w:r w:rsidRPr="00BF42B7">
        <w:rPr>
          <w:rFonts w:hint="eastAsia"/>
          <w:szCs w:val="21"/>
          <w:lang w:val="fr-CH"/>
        </w:rPr>
        <w:t>年召开的第七十届会议期间举办一场七十周年纪念活动。该纪念活动将分两部分举行，第一部分在建议于纽约召开的第七十届会议第一期会议期间举行，第二部分在日内瓦召开的第七十届会议第二期会议期间举行</w:t>
      </w:r>
      <w:r w:rsidRPr="00BF42B7">
        <w:rPr>
          <w:rFonts w:hint="eastAsia"/>
          <w:szCs w:val="21"/>
          <w:lang w:val="fr-CH"/>
        </w:rPr>
        <w:t>(</w:t>
      </w:r>
      <w:r w:rsidRPr="00BF42B7">
        <w:rPr>
          <w:rFonts w:hint="eastAsia"/>
          <w:szCs w:val="21"/>
          <w:lang w:val="fr-CH"/>
        </w:rPr>
        <w:t>第十三章</w:t>
      </w:r>
      <w:r w:rsidRPr="00BF42B7">
        <w:rPr>
          <w:rFonts w:hint="eastAsia"/>
          <w:szCs w:val="21"/>
          <w:lang w:val="fr-CH"/>
        </w:rPr>
        <w:t>B</w:t>
      </w:r>
      <w:r w:rsidRPr="00BF42B7">
        <w:rPr>
          <w:rFonts w:hint="eastAsia"/>
          <w:szCs w:val="21"/>
          <w:lang w:val="fr-CH"/>
        </w:rPr>
        <w:t>节</w:t>
      </w:r>
      <w:r w:rsidRPr="00BF42B7">
        <w:rPr>
          <w:rFonts w:hint="eastAsia"/>
          <w:szCs w:val="21"/>
          <w:lang w:val="fr-CH"/>
        </w:rPr>
        <w:t>)</w:t>
      </w:r>
      <w:r w:rsidRPr="00BF42B7">
        <w:rPr>
          <w:rFonts w:hint="eastAsia"/>
          <w:szCs w:val="21"/>
          <w:lang w:val="fr-CH"/>
        </w:rPr>
        <w:t>。</w:t>
      </w:r>
    </w:p>
    <w:p w:rsidR="00103498" w:rsidRPr="00BF42B7" w:rsidRDefault="00103498" w:rsidP="00A77784">
      <w:pPr>
        <w:pStyle w:val="SingleTxtGC"/>
        <w:rPr>
          <w:szCs w:val="21"/>
          <w:lang w:val="fr-CH"/>
        </w:rPr>
      </w:pPr>
      <w:r w:rsidRPr="00BF42B7">
        <w:rPr>
          <w:rFonts w:hint="eastAsia"/>
          <w:szCs w:val="21"/>
          <w:lang w:val="fr-CH"/>
        </w:rPr>
        <w:t xml:space="preserve">31.  </w:t>
      </w:r>
      <w:r w:rsidRPr="00BF42B7">
        <w:rPr>
          <w:rFonts w:hint="eastAsia"/>
          <w:szCs w:val="21"/>
          <w:lang w:val="fr-CH"/>
        </w:rPr>
        <w:t>委员会继续与国际法院、美洲法律委员会以及欧洲委员会国际公法法律顾问委员会交流信息。委员会委员与红十字国际委员会成员进行了非正式的意见交流</w:t>
      </w:r>
      <w:r w:rsidRPr="00BF42B7">
        <w:rPr>
          <w:rFonts w:hint="eastAsia"/>
          <w:szCs w:val="21"/>
          <w:lang w:val="fr-CH"/>
        </w:rPr>
        <w:t>(</w:t>
      </w:r>
      <w:r w:rsidRPr="00BF42B7">
        <w:rPr>
          <w:rFonts w:hint="eastAsia"/>
          <w:szCs w:val="21"/>
          <w:lang w:val="fr-CH"/>
        </w:rPr>
        <w:t>第十三章</w:t>
      </w:r>
      <w:r w:rsidRPr="00BF42B7">
        <w:rPr>
          <w:rFonts w:hint="eastAsia"/>
          <w:szCs w:val="21"/>
          <w:lang w:val="fr-CH"/>
        </w:rPr>
        <w:t>D</w:t>
      </w:r>
      <w:r w:rsidRPr="00BF42B7">
        <w:rPr>
          <w:rFonts w:hint="eastAsia"/>
          <w:szCs w:val="21"/>
          <w:lang w:val="fr-CH"/>
        </w:rPr>
        <w:t>节</w:t>
      </w:r>
      <w:r w:rsidRPr="00BF42B7">
        <w:rPr>
          <w:rFonts w:hint="eastAsia"/>
          <w:szCs w:val="21"/>
          <w:lang w:val="fr-CH"/>
        </w:rPr>
        <w:t>)</w:t>
      </w:r>
      <w:r w:rsidRPr="00BF42B7">
        <w:rPr>
          <w:rFonts w:hint="eastAsia"/>
          <w:szCs w:val="21"/>
          <w:lang w:val="fr-CH"/>
        </w:rPr>
        <w:t>。</w:t>
      </w:r>
    </w:p>
    <w:p w:rsidR="00103498" w:rsidRPr="00BF42B7" w:rsidRDefault="00103498" w:rsidP="00A77784">
      <w:pPr>
        <w:pStyle w:val="SingleTxtGC"/>
        <w:rPr>
          <w:szCs w:val="21"/>
          <w:lang w:val="fr-CH"/>
        </w:rPr>
      </w:pPr>
      <w:r w:rsidRPr="00BF42B7">
        <w:rPr>
          <w:rFonts w:hint="eastAsia"/>
          <w:szCs w:val="21"/>
          <w:lang w:val="fr-CH"/>
        </w:rPr>
        <w:t xml:space="preserve">32.  </w:t>
      </w:r>
      <w:r w:rsidRPr="00BF42B7">
        <w:rPr>
          <w:rFonts w:hint="eastAsia"/>
          <w:szCs w:val="21"/>
          <w:lang w:val="fr-CH"/>
        </w:rPr>
        <w:t>委员会决定，第六十九届会议将于</w:t>
      </w:r>
      <w:r w:rsidRPr="00BF42B7">
        <w:rPr>
          <w:rFonts w:hint="eastAsia"/>
          <w:szCs w:val="21"/>
          <w:lang w:val="fr-CH"/>
        </w:rPr>
        <w:t>2017</w:t>
      </w:r>
      <w:r w:rsidRPr="00BF42B7">
        <w:rPr>
          <w:rFonts w:hint="eastAsia"/>
          <w:szCs w:val="21"/>
          <w:lang w:val="fr-CH"/>
        </w:rPr>
        <w:t>年</w:t>
      </w:r>
      <w:r w:rsidRPr="00BF42B7">
        <w:rPr>
          <w:rFonts w:hint="eastAsia"/>
          <w:szCs w:val="21"/>
          <w:lang w:val="fr-CH"/>
        </w:rPr>
        <w:t>5</w:t>
      </w:r>
      <w:r w:rsidRPr="00BF42B7">
        <w:rPr>
          <w:rFonts w:hint="eastAsia"/>
          <w:szCs w:val="21"/>
          <w:lang w:val="fr-CH"/>
        </w:rPr>
        <w:t>月</w:t>
      </w:r>
      <w:r w:rsidRPr="00BF42B7">
        <w:rPr>
          <w:rFonts w:hint="eastAsia"/>
          <w:szCs w:val="21"/>
          <w:lang w:val="fr-CH"/>
        </w:rPr>
        <w:t>1</w:t>
      </w:r>
      <w:r w:rsidRPr="00BF42B7">
        <w:rPr>
          <w:rFonts w:hint="eastAsia"/>
          <w:szCs w:val="21"/>
          <w:lang w:val="fr-CH"/>
        </w:rPr>
        <w:t>日至</w:t>
      </w:r>
      <w:r w:rsidRPr="00BF42B7">
        <w:rPr>
          <w:rFonts w:hint="eastAsia"/>
          <w:szCs w:val="21"/>
          <w:lang w:val="fr-CH"/>
        </w:rPr>
        <w:t>6</w:t>
      </w:r>
      <w:r w:rsidRPr="00BF42B7">
        <w:rPr>
          <w:rFonts w:hint="eastAsia"/>
          <w:szCs w:val="21"/>
          <w:lang w:val="fr-CH"/>
        </w:rPr>
        <w:t>月</w:t>
      </w:r>
      <w:r w:rsidRPr="00BF42B7">
        <w:rPr>
          <w:rFonts w:hint="eastAsia"/>
          <w:szCs w:val="21"/>
          <w:lang w:val="fr-CH"/>
        </w:rPr>
        <w:t>2</w:t>
      </w:r>
      <w:r w:rsidRPr="00BF42B7">
        <w:rPr>
          <w:rFonts w:hint="eastAsia"/>
          <w:szCs w:val="21"/>
          <w:lang w:val="fr-CH"/>
        </w:rPr>
        <w:t>日和</w:t>
      </w:r>
      <w:r w:rsidRPr="00BF42B7">
        <w:rPr>
          <w:rFonts w:hint="eastAsia"/>
          <w:szCs w:val="21"/>
          <w:lang w:val="fr-CH"/>
        </w:rPr>
        <w:t>7</w:t>
      </w:r>
      <w:r w:rsidRPr="00BF42B7">
        <w:rPr>
          <w:rFonts w:hint="eastAsia"/>
          <w:szCs w:val="21"/>
          <w:lang w:val="fr-CH"/>
        </w:rPr>
        <w:t>月</w:t>
      </w:r>
      <w:r w:rsidRPr="00BF42B7">
        <w:rPr>
          <w:rFonts w:hint="eastAsia"/>
          <w:szCs w:val="21"/>
          <w:lang w:val="fr-CH"/>
        </w:rPr>
        <w:t>3</w:t>
      </w:r>
      <w:r w:rsidRPr="00BF42B7">
        <w:rPr>
          <w:rFonts w:hint="eastAsia"/>
          <w:szCs w:val="21"/>
          <w:lang w:val="fr-CH"/>
        </w:rPr>
        <w:t>日至</w:t>
      </w:r>
      <w:r w:rsidRPr="00BF42B7">
        <w:rPr>
          <w:rFonts w:hint="eastAsia"/>
          <w:szCs w:val="21"/>
          <w:lang w:val="fr-CH"/>
        </w:rPr>
        <w:t>8</w:t>
      </w:r>
      <w:r w:rsidRPr="00BF42B7">
        <w:rPr>
          <w:rFonts w:hint="eastAsia"/>
          <w:szCs w:val="21"/>
          <w:lang w:val="fr-CH"/>
        </w:rPr>
        <w:t>月</w:t>
      </w:r>
      <w:r w:rsidRPr="00BF42B7">
        <w:rPr>
          <w:rFonts w:hint="eastAsia"/>
          <w:szCs w:val="21"/>
          <w:lang w:val="fr-CH"/>
        </w:rPr>
        <w:t>4</w:t>
      </w:r>
      <w:r w:rsidRPr="00BF42B7">
        <w:rPr>
          <w:rFonts w:hint="eastAsia"/>
          <w:szCs w:val="21"/>
          <w:lang w:val="fr-CH"/>
        </w:rPr>
        <w:t>日在日内瓦举行</w:t>
      </w:r>
      <w:r w:rsidRPr="00BF42B7">
        <w:rPr>
          <w:rFonts w:hint="eastAsia"/>
          <w:szCs w:val="21"/>
          <w:lang w:val="fr-CH"/>
        </w:rPr>
        <w:t>(</w:t>
      </w:r>
      <w:r w:rsidRPr="00BF42B7">
        <w:rPr>
          <w:rFonts w:hint="eastAsia"/>
          <w:szCs w:val="21"/>
          <w:lang w:val="fr-CH"/>
        </w:rPr>
        <w:t>第十三章</w:t>
      </w:r>
      <w:r w:rsidRPr="00BF42B7">
        <w:rPr>
          <w:rFonts w:hint="eastAsia"/>
          <w:szCs w:val="21"/>
          <w:lang w:val="fr-CH"/>
        </w:rPr>
        <w:t>C</w:t>
      </w:r>
      <w:r w:rsidRPr="00BF42B7">
        <w:rPr>
          <w:rFonts w:hint="eastAsia"/>
          <w:szCs w:val="21"/>
          <w:lang w:val="fr-CH"/>
        </w:rPr>
        <w:t>节</w:t>
      </w:r>
      <w:r w:rsidRPr="00BF42B7">
        <w:rPr>
          <w:rFonts w:hint="eastAsia"/>
          <w:szCs w:val="21"/>
          <w:lang w:val="fr-CH"/>
        </w:rPr>
        <w:t>)</w:t>
      </w:r>
      <w:r w:rsidRPr="00BF42B7">
        <w:rPr>
          <w:rFonts w:hint="eastAsia"/>
          <w:szCs w:val="21"/>
          <w:lang w:val="fr-CH"/>
        </w:rPr>
        <w:t>。</w:t>
      </w:r>
    </w:p>
    <w:p w:rsidR="00103498" w:rsidRPr="00BF42B7" w:rsidRDefault="00103498" w:rsidP="00A77784">
      <w:pPr>
        <w:pStyle w:val="HChGC"/>
      </w:pPr>
      <w:r w:rsidRPr="00BF42B7">
        <w:rPr>
          <w:szCs w:val="21"/>
        </w:rPr>
        <w:br w:type="page"/>
      </w:r>
      <w:r w:rsidRPr="00BF42B7">
        <w:rPr>
          <w:rFonts w:hint="eastAsia"/>
        </w:rPr>
        <w:tab/>
      </w:r>
      <w:r w:rsidRPr="00BF42B7">
        <w:rPr>
          <w:rFonts w:hint="eastAsia"/>
        </w:rPr>
        <w:tab/>
      </w:r>
      <w:r w:rsidRPr="00BF42B7">
        <w:rPr>
          <w:rFonts w:hint="eastAsia"/>
        </w:rPr>
        <w:t>第三章</w:t>
      </w:r>
      <w:r w:rsidRPr="00BF42B7">
        <w:br/>
      </w:r>
      <w:r w:rsidRPr="00BF42B7">
        <w:rPr>
          <w:rFonts w:hint="eastAsia"/>
        </w:rPr>
        <w:t>委员会特别想听取意见的具体问题</w:t>
      </w:r>
    </w:p>
    <w:p w:rsidR="00103498" w:rsidRPr="00BF42B7" w:rsidRDefault="00103498" w:rsidP="00A77784">
      <w:pPr>
        <w:pStyle w:val="SingleTxtGC"/>
      </w:pPr>
      <w:r w:rsidRPr="00BF42B7">
        <w:rPr>
          <w:rFonts w:hint="eastAsia"/>
        </w:rPr>
        <w:t xml:space="preserve">33.  </w:t>
      </w:r>
      <w:r w:rsidRPr="00BF42B7">
        <w:rPr>
          <w:rFonts w:hint="eastAsia"/>
        </w:rPr>
        <w:t>委员会认为，第六十六届会议</w:t>
      </w:r>
      <w:r w:rsidRPr="00BF42B7">
        <w:rPr>
          <w:rFonts w:hint="eastAsia"/>
        </w:rPr>
        <w:t>(2014</w:t>
      </w:r>
      <w:r w:rsidRPr="00BF42B7">
        <w:rPr>
          <w:rFonts w:hint="eastAsia"/>
        </w:rPr>
        <w:t>年</w:t>
      </w:r>
      <w:r w:rsidRPr="00BF42B7">
        <w:rPr>
          <w:rFonts w:hint="eastAsia"/>
        </w:rPr>
        <w:t>)</w:t>
      </w:r>
      <w:r w:rsidRPr="00BF42B7">
        <w:rPr>
          <w:rFonts w:hint="eastAsia"/>
        </w:rPr>
        <w:t>报告第三章要求就专题“危害人类罪”</w:t>
      </w:r>
      <w:r w:rsidRPr="00BF42B7">
        <w:rPr>
          <w:rStyle w:val="a5"/>
          <w:szCs w:val="21"/>
        </w:rPr>
        <w:footnoteReference w:id="4"/>
      </w:r>
      <w:r w:rsidRPr="00BF42B7">
        <w:rPr>
          <w:rStyle w:val="a5"/>
          <w:rFonts w:hint="eastAsia"/>
          <w:szCs w:val="21"/>
        </w:rPr>
        <w:t xml:space="preserve"> </w:t>
      </w:r>
      <w:r w:rsidRPr="00BF42B7">
        <w:rPr>
          <w:rFonts w:hint="eastAsia"/>
        </w:rPr>
        <w:t>和“保护大气层”</w:t>
      </w:r>
      <w:r w:rsidRPr="00BF42B7">
        <w:rPr>
          <w:rStyle w:val="a5"/>
          <w:szCs w:val="21"/>
        </w:rPr>
        <w:footnoteReference w:id="5"/>
      </w:r>
      <w:r w:rsidRPr="00BF42B7">
        <w:rPr>
          <w:rStyle w:val="a5"/>
          <w:rFonts w:hint="eastAsia"/>
          <w:szCs w:val="21"/>
        </w:rPr>
        <w:t xml:space="preserve"> </w:t>
      </w:r>
      <w:r w:rsidRPr="00BF42B7">
        <w:rPr>
          <w:rFonts w:hint="eastAsia"/>
        </w:rPr>
        <w:t>以及第六十七届会议</w:t>
      </w:r>
      <w:r w:rsidRPr="00BF42B7">
        <w:rPr>
          <w:rFonts w:hint="eastAsia"/>
        </w:rPr>
        <w:t>(2015</w:t>
      </w:r>
      <w:r w:rsidRPr="00BF42B7">
        <w:rPr>
          <w:rFonts w:hint="eastAsia"/>
        </w:rPr>
        <w:t>年</w:t>
      </w:r>
      <w:r w:rsidRPr="00BF42B7">
        <w:rPr>
          <w:rFonts w:hint="eastAsia"/>
        </w:rPr>
        <w:t>)</w:t>
      </w:r>
      <w:r w:rsidRPr="00BF42B7">
        <w:rPr>
          <w:rFonts w:hint="eastAsia"/>
        </w:rPr>
        <w:t>要求就专题“条约的暂时适用”</w:t>
      </w:r>
      <w:r w:rsidRPr="00BF42B7">
        <w:rPr>
          <w:rStyle w:val="a5"/>
          <w:szCs w:val="21"/>
        </w:rPr>
        <w:footnoteReference w:id="6"/>
      </w:r>
      <w:r w:rsidRPr="00BF42B7">
        <w:rPr>
          <w:rStyle w:val="a5"/>
          <w:rFonts w:hint="eastAsia"/>
          <w:szCs w:val="21"/>
        </w:rPr>
        <w:t xml:space="preserve"> </w:t>
      </w:r>
      <w:r w:rsidRPr="00BF42B7">
        <w:rPr>
          <w:rFonts w:hint="eastAsia"/>
        </w:rPr>
        <w:t>和“强行法”</w:t>
      </w:r>
      <w:r w:rsidRPr="00BF42B7">
        <w:rPr>
          <w:rStyle w:val="a5"/>
          <w:szCs w:val="21"/>
        </w:rPr>
        <w:footnoteReference w:id="7"/>
      </w:r>
      <w:r w:rsidRPr="00BF42B7">
        <w:rPr>
          <w:rStyle w:val="a5"/>
          <w:rFonts w:hint="eastAsia"/>
          <w:szCs w:val="21"/>
        </w:rPr>
        <w:t xml:space="preserve"> </w:t>
      </w:r>
      <w:r w:rsidRPr="00BF42B7">
        <w:rPr>
          <w:rFonts w:hint="eastAsia"/>
        </w:rPr>
        <w:t>提供资料的请求仍然适用，并欢迎提供任何其他资料。</w:t>
      </w:r>
    </w:p>
    <w:p w:rsidR="00103498" w:rsidRPr="00BF42B7" w:rsidRDefault="00103498" w:rsidP="00A77784">
      <w:pPr>
        <w:pStyle w:val="SingleTxtGC"/>
      </w:pPr>
      <w:r w:rsidRPr="00BF42B7">
        <w:rPr>
          <w:rFonts w:hint="eastAsia"/>
        </w:rPr>
        <w:t xml:space="preserve">34. </w:t>
      </w:r>
      <w:r w:rsidRPr="00BF42B7">
        <w:t xml:space="preserve"> </w:t>
      </w:r>
      <w:r w:rsidRPr="00BF42B7">
        <w:rPr>
          <w:rFonts w:hint="eastAsia"/>
        </w:rPr>
        <w:t>委员会欢迎在</w:t>
      </w:r>
      <w:r w:rsidRPr="00BF42B7">
        <w:rPr>
          <w:rFonts w:hint="eastAsia"/>
        </w:rPr>
        <w:t>2017</w:t>
      </w:r>
      <w:r w:rsidRPr="00BF42B7">
        <w:rPr>
          <w:rFonts w:hint="eastAsia"/>
        </w:rPr>
        <w:t>年</w:t>
      </w:r>
      <w:r w:rsidRPr="00BF42B7">
        <w:rPr>
          <w:rFonts w:hint="eastAsia"/>
        </w:rPr>
        <w:t>1</w:t>
      </w:r>
      <w:r w:rsidRPr="00BF42B7">
        <w:rPr>
          <w:rFonts w:hint="eastAsia"/>
        </w:rPr>
        <w:t>月</w:t>
      </w:r>
      <w:r w:rsidRPr="00BF42B7">
        <w:rPr>
          <w:rFonts w:hint="eastAsia"/>
        </w:rPr>
        <w:t>31</w:t>
      </w:r>
      <w:r w:rsidRPr="00BF42B7">
        <w:rPr>
          <w:rFonts w:hint="eastAsia"/>
        </w:rPr>
        <w:t>日之前就上一段所提到的问题和以下问题提供任何资料，以便特别报告员在各自报告中给予考虑。</w:t>
      </w:r>
    </w:p>
    <w:p w:rsidR="00103498" w:rsidRPr="00BF42B7" w:rsidRDefault="00103498" w:rsidP="00A77784">
      <w:pPr>
        <w:pStyle w:val="H1GC"/>
      </w:pPr>
      <w:r w:rsidRPr="00BF42B7">
        <w:rPr>
          <w:rFonts w:hint="eastAsia"/>
        </w:rPr>
        <w:tab/>
      </w:r>
      <w:r w:rsidRPr="00BF42B7">
        <w:t>A.</w:t>
      </w:r>
      <w:r w:rsidRPr="00BF42B7">
        <w:rPr>
          <w:rFonts w:hint="eastAsia"/>
        </w:rPr>
        <w:tab/>
      </w:r>
      <w:r w:rsidRPr="00BF42B7">
        <w:rPr>
          <w:rFonts w:hint="eastAsia"/>
        </w:rPr>
        <w:t>国家官员的外国刑事管辖豁免</w:t>
      </w:r>
    </w:p>
    <w:p w:rsidR="00103498" w:rsidRPr="00BF42B7" w:rsidRDefault="00103498" w:rsidP="00A77784">
      <w:pPr>
        <w:pStyle w:val="SingleTxtGC"/>
      </w:pPr>
      <w:r w:rsidRPr="00BF42B7">
        <w:rPr>
          <w:rFonts w:hint="eastAsia"/>
        </w:rPr>
        <w:t>35.</w:t>
      </w:r>
      <w:r w:rsidRPr="00BF42B7">
        <w:t xml:space="preserve"> </w:t>
      </w:r>
      <w:r w:rsidRPr="00BF42B7">
        <w:rPr>
          <w:rFonts w:hint="eastAsia"/>
        </w:rPr>
        <w:t xml:space="preserve"> </w:t>
      </w:r>
      <w:r w:rsidRPr="00BF42B7">
        <w:rPr>
          <w:rFonts w:hint="eastAsia"/>
        </w:rPr>
        <w:t>委员会希望各国提供资料，说明与以下问题有关的国内法律和实践，包括司法实践和行政实践：</w:t>
      </w:r>
    </w:p>
    <w:p w:rsidR="00103498" w:rsidRPr="00BF42B7" w:rsidRDefault="00103498" w:rsidP="00396D56">
      <w:pPr>
        <w:pStyle w:val="SingleTxtGC"/>
        <w:numPr>
          <w:ilvl w:val="0"/>
          <w:numId w:val="4"/>
        </w:numPr>
        <w:tabs>
          <w:tab w:val="clear" w:pos="431"/>
        </w:tabs>
      </w:pPr>
      <w:r w:rsidRPr="00BF42B7">
        <w:rPr>
          <w:rFonts w:hint="eastAsia"/>
        </w:rPr>
        <w:t>援引豁免；</w:t>
      </w:r>
    </w:p>
    <w:p w:rsidR="00103498" w:rsidRPr="00BF42B7" w:rsidRDefault="00103498" w:rsidP="00396D56">
      <w:pPr>
        <w:pStyle w:val="SingleTxtGC"/>
        <w:numPr>
          <w:ilvl w:val="0"/>
          <w:numId w:val="4"/>
        </w:numPr>
        <w:tabs>
          <w:tab w:val="clear" w:pos="431"/>
        </w:tabs>
      </w:pPr>
      <w:r w:rsidRPr="00BF42B7">
        <w:rPr>
          <w:rFonts w:hint="eastAsia"/>
        </w:rPr>
        <w:t>放弃豁免；</w:t>
      </w:r>
    </w:p>
    <w:p w:rsidR="00103498" w:rsidRPr="00BF42B7" w:rsidRDefault="00103498" w:rsidP="00396D56">
      <w:pPr>
        <w:pStyle w:val="SingleTxtGC"/>
        <w:numPr>
          <w:ilvl w:val="0"/>
          <w:numId w:val="4"/>
        </w:numPr>
        <w:tabs>
          <w:tab w:val="clear" w:pos="431"/>
        </w:tabs>
      </w:pPr>
      <w:r w:rsidRPr="00BF42B7">
        <w:rPr>
          <w:rFonts w:hint="eastAsia"/>
        </w:rPr>
        <w:t>国家主管当局在何阶段考虑豁免</w:t>
      </w:r>
      <w:r w:rsidRPr="00BF42B7">
        <w:rPr>
          <w:rFonts w:hint="eastAsia"/>
        </w:rPr>
        <w:t>(</w:t>
      </w:r>
      <w:r w:rsidRPr="00BF42B7">
        <w:rPr>
          <w:rFonts w:hint="eastAsia"/>
        </w:rPr>
        <w:t>调查、控告、起诉</w:t>
      </w:r>
      <w:r w:rsidRPr="00BF42B7">
        <w:rPr>
          <w:rFonts w:hint="eastAsia"/>
        </w:rPr>
        <w:t>)</w:t>
      </w:r>
      <w:r w:rsidRPr="00BF42B7">
        <w:rPr>
          <w:rFonts w:hint="eastAsia"/>
        </w:rPr>
        <w:t>；</w:t>
      </w:r>
    </w:p>
    <w:p w:rsidR="00103498" w:rsidRPr="00BF42B7" w:rsidRDefault="00103498" w:rsidP="00396D56">
      <w:pPr>
        <w:pStyle w:val="SingleTxtGC"/>
        <w:numPr>
          <w:ilvl w:val="0"/>
          <w:numId w:val="4"/>
        </w:numPr>
        <w:tabs>
          <w:tab w:val="clear" w:pos="431"/>
        </w:tabs>
      </w:pPr>
      <w:r w:rsidRPr="00BF42B7">
        <w:rPr>
          <w:rFonts w:hint="eastAsia"/>
        </w:rPr>
        <w:t>在考虑或可能考虑豁免的案件中，行政部门向国内法院转交资料、法律文件和意见可使用的办法；</w:t>
      </w:r>
    </w:p>
    <w:p w:rsidR="00103498" w:rsidRPr="00BF42B7" w:rsidRDefault="00103498" w:rsidP="00396D56">
      <w:pPr>
        <w:pStyle w:val="SingleTxtGC"/>
        <w:numPr>
          <w:ilvl w:val="0"/>
          <w:numId w:val="4"/>
        </w:numPr>
        <w:tabs>
          <w:tab w:val="clear" w:pos="431"/>
        </w:tabs>
      </w:pPr>
      <w:r w:rsidRPr="00BF42B7">
        <w:rPr>
          <w:rFonts w:hint="eastAsia"/>
        </w:rPr>
        <w:t>在考虑或可能考虑豁免的案件中，国家主管当局可以利用的国际法律援助、合作及磋商机制。</w:t>
      </w:r>
    </w:p>
    <w:p w:rsidR="00103498" w:rsidRPr="00BF42B7" w:rsidRDefault="00103498" w:rsidP="00A77784">
      <w:pPr>
        <w:pStyle w:val="H1GC"/>
      </w:pPr>
      <w:r w:rsidRPr="00BF42B7">
        <w:rPr>
          <w:rFonts w:hint="eastAsia"/>
        </w:rPr>
        <w:tab/>
        <w:t>B.</w:t>
      </w:r>
      <w:r w:rsidRPr="00BF42B7">
        <w:rPr>
          <w:rFonts w:hint="eastAsia"/>
        </w:rPr>
        <w:tab/>
      </w:r>
      <w:r w:rsidRPr="00BF42B7">
        <w:rPr>
          <w:rFonts w:hint="eastAsia"/>
        </w:rPr>
        <w:t>新专题</w:t>
      </w:r>
    </w:p>
    <w:p w:rsidR="00103498" w:rsidRPr="00BF42B7" w:rsidRDefault="00103498" w:rsidP="00A77784">
      <w:pPr>
        <w:pStyle w:val="SingleTxtGC"/>
      </w:pPr>
      <w:r w:rsidRPr="00BF42B7">
        <w:rPr>
          <w:rFonts w:hint="eastAsia"/>
        </w:rPr>
        <w:t xml:space="preserve">36.  </w:t>
      </w:r>
      <w:r w:rsidRPr="00BF42B7">
        <w:rPr>
          <w:rFonts w:hint="eastAsia"/>
        </w:rPr>
        <w:t>委员会</w:t>
      </w:r>
      <w:r w:rsidRPr="00BF42B7">
        <w:t>决定在其长期工作方案里列入</w:t>
      </w:r>
      <w:r w:rsidRPr="00BF42B7">
        <w:rPr>
          <w:rFonts w:hint="eastAsia"/>
        </w:rPr>
        <w:t>两</w:t>
      </w:r>
      <w:r w:rsidRPr="00BF42B7">
        <w:t>项新专题</w:t>
      </w:r>
      <w:r w:rsidRPr="00BF42B7">
        <w:rPr>
          <w:rFonts w:hint="eastAsia"/>
        </w:rPr>
        <w:t>，即</w:t>
      </w:r>
      <w:r w:rsidRPr="00BF42B7">
        <w:rPr>
          <w:rFonts w:hint="eastAsia"/>
        </w:rPr>
        <w:t>(</w:t>
      </w:r>
      <w:r w:rsidRPr="00BF42B7">
        <w:t>a</w:t>
      </w:r>
      <w:r w:rsidRPr="00BF42B7">
        <w:rPr>
          <w:rFonts w:hint="eastAsia"/>
        </w:rPr>
        <w:t xml:space="preserve">) </w:t>
      </w:r>
      <w:r w:rsidRPr="00BF42B7">
        <w:rPr>
          <w:rFonts w:hint="eastAsia"/>
        </w:rPr>
        <w:t>国际组织作为当事方的国际争端的解决；</w:t>
      </w:r>
      <w:r w:rsidRPr="00BF42B7">
        <w:rPr>
          <w:rFonts w:hint="eastAsia"/>
        </w:rPr>
        <w:t>(</w:t>
      </w:r>
      <w:r w:rsidRPr="00BF42B7">
        <w:t>b</w:t>
      </w:r>
      <w:r w:rsidRPr="00BF42B7">
        <w:rPr>
          <w:rFonts w:hint="eastAsia"/>
        </w:rPr>
        <w:t xml:space="preserve">) </w:t>
      </w:r>
      <w:r w:rsidRPr="00BF42B7">
        <w:rPr>
          <w:rFonts w:hint="eastAsia"/>
        </w:rPr>
        <w:t>国家责任方面的国家继承。在选择这些专题时，委员会遵循它在</w:t>
      </w:r>
      <w:r w:rsidRPr="00BF42B7">
        <w:rPr>
          <w:rFonts w:hint="eastAsia"/>
        </w:rPr>
        <w:t>1998</w:t>
      </w:r>
      <w:r w:rsidRPr="00BF42B7">
        <w:rPr>
          <w:rFonts w:hint="eastAsia"/>
        </w:rPr>
        <w:t>年所商定的下述标准，即</w:t>
      </w:r>
      <w:r w:rsidRPr="00BF42B7">
        <w:rPr>
          <w:rFonts w:hint="eastAsia"/>
        </w:rPr>
        <w:t>(a)</w:t>
      </w:r>
      <w:r w:rsidR="009C15B9" w:rsidRPr="00BF42B7">
        <w:rPr>
          <w:rFonts w:hint="eastAsia"/>
        </w:rPr>
        <w:t xml:space="preserve"> </w:t>
      </w:r>
      <w:r w:rsidRPr="00BF42B7">
        <w:rPr>
          <w:rFonts w:hint="eastAsia"/>
        </w:rPr>
        <w:t>专题应反映各国在逐渐发展和编纂国际法方面的需要；</w:t>
      </w:r>
      <w:r w:rsidRPr="00BF42B7">
        <w:rPr>
          <w:rFonts w:hint="eastAsia"/>
        </w:rPr>
        <w:t>(b)</w:t>
      </w:r>
      <w:r w:rsidR="009C15B9" w:rsidRPr="00BF42B7">
        <w:rPr>
          <w:rFonts w:hint="eastAsia"/>
        </w:rPr>
        <w:t xml:space="preserve"> </w:t>
      </w:r>
      <w:r w:rsidRPr="00BF42B7">
        <w:rPr>
          <w:rFonts w:hint="eastAsia"/>
        </w:rPr>
        <w:t>专题在国家实践方面应处于足够成熟阶段，从而允许逐渐发展和编纂；</w:t>
      </w:r>
      <w:r w:rsidRPr="00BF42B7">
        <w:rPr>
          <w:rFonts w:hint="eastAsia"/>
        </w:rPr>
        <w:t>(c)</w:t>
      </w:r>
      <w:r w:rsidR="009C15B9" w:rsidRPr="00BF42B7">
        <w:rPr>
          <w:rFonts w:hint="eastAsia"/>
        </w:rPr>
        <w:t xml:space="preserve"> </w:t>
      </w:r>
      <w:r w:rsidRPr="00BF42B7">
        <w:rPr>
          <w:rFonts w:hint="eastAsia"/>
        </w:rPr>
        <w:t>专题应具体可行，宜于逐渐发展和编纂；</w:t>
      </w:r>
      <w:r w:rsidRPr="00BF42B7">
        <w:rPr>
          <w:rFonts w:hint="eastAsia"/>
        </w:rPr>
        <w:t xml:space="preserve">(d) </w:t>
      </w:r>
      <w:r w:rsidRPr="00BF42B7">
        <w:rPr>
          <w:rFonts w:hint="eastAsia"/>
        </w:rPr>
        <w:t>委员会不应局限于传统专题，还应考虑那些反映国际法中新动态和整个国际社会紧迫关切事项的专题。委员会欢迎各国对这些新专题发表看法。</w:t>
      </w:r>
    </w:p>
    <w:p w:rsidR="00103498" w:rsidRPr="00BF42B7" w:rsidRDefault="00103498" w:rsidP="00A77784">
      <w:pPr>
        <w:pStyle w:val="SingleTxtGC"/>
      </w:pPr>
      <w:r w:rsidRPr="00BF42B7">
        <w:rPr>
          <w:rFonts w:hint="eastAsia"/>
        </w:rPr>
        <w:t xml:space="preserve">37.  </w:t>
      </w:r>
      <w:r w:rsidRPr="00BF42B7">
        <w:rPr>
          <w:rFonts w:hint="eastAsia"/>
        </w:rPr>
        <w:t>此外，委员会欢迎各国就希望列入长期工作方案的专题提出任何建议。在提出这些建议时，最好同时说明理由，并考虑到上文提到的选择专题的标准。</w:t>
      </w:r>
    </w:p>
    <w:p w:rsidR="00103498" w:rsidRPr="00BF42B7" w:rsidRDefault="00103498" w:rsidP="00A77784">
      <w:pPr>
        <w:pStyle w:val="HChGC"/>
        <w:rPr>
          <w:b/>
        </w:rPr>
      </w:pPr>
      <w:r w:rsidRPr="00BF42B7">
        <w:rPr>
          <w:szCs w:val="21"/>
        </w:rPr>
        <w:br w:type="page"/>
      </w:r>
      <w:bookmarkStart w:id="2" w:name="_Toc398107248"/>
      <w:r w:rsidRPr="00BF42B7">
        <w:rPr>
          <w:rFonts w:hint="eastAsia"/>
          <w:lang w:val="zh-CN"/>
        </w:rPr>
        <w:tab/>
      </w:r>
      <w:r w:rsidRPr="00BF42B7">
        <w:rPr>
          <w:rFonts w:hint="eastAsia"/>
          <w:lang w:val="zh-CN"/>
        </w:rPr>
        <w:tab/>
      </w:r>
      <w:r w:rsidRPr="00BF42B7">
        <w:rPr>
          <w:lang w:val="zh-CN"/>
        </w:rPr>
        <w:t>第四章</w:t>
      </w:r>
      <w:r w:rsidRPr="00BF42B7">
        <w:rPr>
          <w:rFonts w:hint="eastAsia"/>
          <w:lang w:val="zh-CN"/>
        </w:rPr>
        <w:br/>
      </w:r>
      <w:r w:rsidRPr="00BF42B7">
        <w:rPr>
          <w:lang w:val="zh-CN"/>
        </w:rPr>
        <w:t>发生灾害时的人员保护</w:t>
      </w:r>
      <w:bookmarkEnd w:id="2"/>
    </w:p>
    <w:p w:rsidR="00103498" w:rsidRPr="00BF42B7" w:rsidRDefault="00103498" w:rsidP="00A77784">
      <w:pPr>
        <w:pStyle w:val="H1GC"/>
      </w:pPr>
      <w:bookmarkStart w:id="3" w:name="_Toc398107249"/>
      <w:r w:rsidRPr="00BF42B7">
        <w:rPr>
          <w:rFonts w:hint="eastAsia"/>
          <w:lang w:val="zh-CN"/>
        </w:rPr>
        <w:tab/>
      </w:r>
      <w:r w:rsidRPr="00BF42B7">
        <w:rPr>
          <w:lang w:val="zh-CN"/>
        </w:rPr>
        <w:t>A.</w:t>
      </w:r>
      <w:r w:rsidRPr="00BF42B7">
        <w:rPr>
          <w:lang w:val="zh-CN"/>
        </w:rPr>
        <w:tab/>
      </w:r>
      <w:r w:rsidRPr="00BF42B7">
        <w:rPr>
          <w:lang w:val="zh-CN"/>
        </w:rPr>
        <w:t>导言</w:t>
      </w:r>
      <w:bookmarkEnd w:id="3"/>
    </w:p>
    <w:p w:rsidR="00103498" w:rsidRPr="00BF42B7" w:rsidRDefault="00103498" w:rsidP="00A77784">
      <w:pPr>
        <w:pStyle w:val="SingleTxtGC"/>
        <w:rPr>
          <w:szCs w:val="21"/>
        </w:rPr>
      </w:pPr>
      <w:r w:rsidRPr="00BF42B7">
        <w:rPr>
          <w:rFonts w:hint="eastAsia"/>
          <w:spacing w:val="-2"/>
          <w:szCs w:val="21"/>
          <w:lang w:val="zh-CN"/>
        </w:rPr>
        <w:t>38</w:t>
      </w:r>
      <w:r w:rsidRPr="00BF42B7">
        <w:rPr>
          <w:spacing w:val="-2"/>
          <w:szCs w:val="21"/>
          <w:lang w:val="zh-CN"/>
        </w:rPr>
        <w:t>.</w:t>
      </w:r>
      <w:r w:rsidR="00A77784" w:rsidRPr="00BF42B7">
        <w:rPr>
          <w:rFonts w:hint="eastAsia"/>
          <w:spacing w:val="-2"/>
          <w:szCs w:val="21"/>
          <w:lang w:val="zh-CN"/>
        </w:rPr>
        <w:t xml:space="preserve">  </w:t>
      </w:r>
      <w:r w:rsidRPr="00BF42B7">
        <w:rPr>
          <w:spacing w:val="-2"/>
          <w:szCs w:val="21"/>
          <w:lang w:val="zh-CN"/>
        </w:rPr>
        <w:t>委员会第五十九届会议</w:t>
      </w:r>
      <w:r w:rsidRPr="00BF42B7">
        <w:rPr>
          <w:spacing w:val="-2"/>
          <w:szCs w:val="21"/>
          <w:lang w:val="zh-CN"/>
        </w:rPr>
        <w:t>(2007</w:t>
      </w:r>
      <w:r w:rsidRPr="00BF42B7">
        <w:rPr>
          <w:spacing w:val="-2"/>
          <w:szCs w:val="21"/>
          <w:lang w:val="zh-CN"/>
        </w:rPr>
        <w:t>年</w:t>
      </w:r>
      <w:r w:rsidRPr="00BF42B7">
        <w:rPr>
          <w:spacing w:val="-2"/>
          <w:szCs w:val="21"/>
          <w:lang w:val="zh-CN"/>
        </w:rPr>
        <w:t>)</w:t>
      </w:r>
      <w:r w:rsidRPr="00BF42B7">
        <w:rPr>
          <w:spacing w:val="-2"/>
          <w:szCs w:val="21"/>
          <w:lang w:val="zh-CN"/>
        </w:rPr>
        <w:t>决定在工作方案中列入</w:t>
      </w:r>
      <w:r w:rsidRPr="00BF42B7">
        <w:rPr>
          <w:rFonts w:hint="eastAsia"/>
          <w:spacing w:val="-2"/>
          <w:szCs w:val="21"/>
          <w:lang w:val="zh-CN"/>
        </w:rPr>
        <w:t>“</w:t>
      </w:r>
      <w:r w:rsidRPr="00BF42B7">
        <w:rPr>
          <w:spacing w:val="-2"/>
          <w:szCs w:val="21"/>
          <w:lang w:val="zh-CN"/>
        </w:rPr>
        <w:t>发生灾害时的人员保护</w:t>
      </w:r>
      <w:r w:rsidRPr="00BF42B7">
        <w:rPr>
          <w:rFonts w:hint="eastAsia"/>
          <w:spacing w:val="-2"/>
          <w:szCs w:val="21"/>
          <w:lang w:val="zh-CN"/>
        </w:rPr>
        <w:t>”</w:t>
      </w:r>
      <w:r w:rsidRPr="00BF42B7">
        <w:rPr>
          <w:spacing w:val="-2"/>
          <w:szCs w:val="21"/>
          <w:lang w:val="zh-CN"/>
        </w:rPr>
        <w:t>专题，并任命爱德华多</w:t>
      </w:r>
      <w:r w:rsidRPr="00BF42B7">
        <w:rPr>
          <w:rFonts w:hint="eastAsia"/>
          <w:spacing w:val="-2"/>
          <w:szCs w:val="21"/>
          <w:lang w:val="fr-CH"/>
        </w:rPr>
        <w:t>·</w:t>
      </w:r>
      <w:r w:rsidRPr="00BF42B7">
        <w:rPr>
          <w:spacing w:val="-2"/>
          <w:szCs w:val="21"/>
          <w:lang w:val="zh-CN"/>
        </w:rPr>
        <w:t>巴伦西亚－奥斯皮纳先生为专题特别报告员。</w:t>
      </w:r>
      <w:r w:rsidRPr="00BF42B7">
        <w:rPr>
          <w:rStyle w:val="a5"/>
          <w:szCs w:val="21"/>
        </w:rPr>
        <w:footnoteReference w:id="8"/>
      </w:r>
      <w:r w:rsidRPr="00BF42B7">
        <w:rPr>
          <w:rFonts w:hint="eastAsia"/>
          <w:spacing w:val="-2"/>
          <w:szCs w:val="21"/>
          <w:lang w:val="zh-CN"/>
        </w:rPr>
        <w:t xml:space="preserve"> </w:t>
      </w:r>
      <w:r w:rsidRPr="00BF42B7">
        <w:rPr>
          <w:szCs w:val="21"/>
          <w:lang w:val="zh-CN"/>
        </w:rPr>
        <w:t>大会</w:t>
      </w:r>
      <w:r w:rsidRPr="00BF42B7">
        <w:rPr>
          <w:szCs w:val="21"/>
          <w:lang w:val="zh-CN"/>
        </w:rPr>
        <w:t>2007</w:t>
      </w:r>
      <w:r w:rsidRPr="00BF42B7">
        <w:rPr>
          <w:szCs w:val="21"/>
          <w:lang w:val="zh-CN"/>
        </w:rPr>
        <w:t>年</w:t>
      </w:r>
      <w:r w:rsidRPr="00BF42B7">
        <w:rPr>
          <w:szCs w:val="21"/>
          <w:lang w:val="zh-CN"/>
        </w:rPr>
        <w:t>12</w:t>
      </w:r>
      <w:r w:rsidRPr="00BF42B7">
        <w:rPr>
          <w:szCs w:val="21"/>
          <w:lang w:val="zh-CN"/>
        </w:rPr>
        <w:t>月</w:t>
      </w:r>
      <w:r w:rsidRPr="00BF42B7">
        <w:rPr>
          <w:szCs w:val="21"/>
          <w:lang w:val="zh-CN"/>
        </w:rPr>
        <w:t>6</w:t>
      </w:r>
      <w:r w:rsidRPr="00BF42B7">
        <w:rPr>
          <w:szCs w:val="21"/>
          <w:lang w:val="zh-CN"/>
        </w:rPr>
        <w:t>日第</w:t>
      </w:r>
      <w:hyperlink r:id="rId48" w:history="1">
        <w:r w:rsidRPr="007F0135">
          <w:rPr>
            <w:rStyle w:val="af"/>
            <w:szCs w:val="21"/>
            <w:lang w:val="zh-CN"/>
          </w:rPr>
          <w:t>62/66</w:t>
        </w:r>
      </w:hyperlink>
      <w:r w:rsidRPr="00BF42B7">
        <w:rPr>
          <w:szCs w:val="21"/>
          <w:lang w:val="zh-CN"/>
        </w:rPr>
        <w:t>号决议第</w:t>
      </w:r>
      <w:r w:rsidRPr="00BF42B7">
        <w:rPr>
          <w:szCs w:val="21"/>
          <w:lang w:val="zh-CN"/>
        </w:rPr>
        <w:t>7</w:t>
      </w:r>
      <w:r w:rsidRPr="00BF42B7">
        <w:rPr>
          <w:szCs w:val="21"/>
          <w:lang w:val="zh-CN"/>
        </w:rPr>
        <w:t>段注意到委员会将该专题纳入工作方案的决定。</w:t>
      </w:r>
    </w:p>
    <w:p w:rsidR="00103498" w:rsidRPr="00BF42B7" w:rsidRDefault="00103498" w:rsidP="00A77784">
      <w:pPr>
        <w:pStyle w:val="SingleTxtGC"/>
        <w:rPr>
          <w:szCs w:val="21"/>
        </w:rPr>
      </w:pPr>
      <w:r w:rsidRPr="00BF42B7">
        <w:rPr>
          <w:rFonts w:hint="eastAsia"/>
          <w:szCs w:val="21"/>
          <w:lang w:val="zh-CN"/>
        </w:rPr>
        <w:t>39</w:t>
      </w:r>
      <w:r w:rsidRPr="00BF42B7">
        <w:rPr>
          <w:szCs w:val="21"/>
          <w:lang w:val="zh-CN"/>
        </w:rPr>
        <w:t>.</w:t>
      </w:r>
      <w:r w:rsidR="00A77784" w:rsidRPr="00BF42B7">
        <w:rPr>
          <w:rFonts w:hint="eastAsia"/>
          <w:szCs w:val="21"/>
          <w:lang w:val="zh-CN"/>
        </w:rPr>
        <w:t xml:space="preserve">  </w:t>
      </w:r>
      <w:r w:rsidRPr="00BF42B7">
        <w:rPr>
          <w:szCs w:val="21"/>
          <w:lang w:val="zh-CN"/>
        </w:rPr>
        <w:t>委员会从第六十届会议</w:t>
      </w:r>
      <w:r w:rsidRPr="00BF42B7">
        <w:rPr>
          <w:szCs w:val="21"/>
          <w:lang w:val="zh-CN"/>
        </w:rPr>
        <w:t>(2008</w:t>
      </w:r>
      <w:r w:rsidRPr="00BF42B7">
        <w:rPr>
          <w:szCs w:val="21"/>
          <w:lang w:val="zh-CN"/>
        </w:rPr>
        <w:t>年</w:t>
      </w:r>
      <w:r w:rsidRPr="00BF42B7">
        <w:rPr>
          <w:szCs w:val="21"/>
          <w:lang w:val="zh-CN"/>
        </w:rPr>
        <w:t>)</w:t>
      </w:r>
      <w:r w:rsidRPr="00BF42B7">
        <w:rPr>
          <w:szCs w:val="21"/>
          <w:lang w:val="zh-CN"/>
        </w:rPr>
        <w:t>到第六十六届会议</w:t>
      </w:r>
      <w:r w:rsidRPr="00BF42B7">
        <w:rPr>
          <w:szCs w:val="21"/>
          <w:lang w:val="zh-CN"/>
        </w:rPr>
        <w:t>(2014</w:t>
      </w:r>
      <w:r w:rsidRPr="00BF42B7">
        <w:rPr>
          <w:szCs w:val="21"/>
          <w:lang w:val="zh-CN"/>
        </w:rPr>
        <w:t>年</w:t>
      </w:r>
      <w:r w:rsidRPr="00BF42B7">
        <w:rPr>
          <w:szCs w:val="21"/>
          <w:lang w:val="zh-CN"/>
        </w:rPr>
        <w:t>)</w:t>
      </w:r>
      <w:r w:rsidRPr="00BF42B7">
        <w:rPr>
          <w:szCs w:val="21"/>
          <w:lang w:val="zh-CN"/>
        </w:rPr>
        <w:t>，在特别报告员连续提交的七份报告的基础上审议了这一专题。</w:t>
      </w:r>
      <w:r w:rsidRPr="00BF42B7">
        <w:rPr>
          <w:rStyle w:val="a5"/>
          <w:szCs w:val="21"/>
          <w:lang w:val="zh-CN"/>
        </w:rPr>
        <w:footnoteReference w:id="9"/>
      </w:r>
      <w:r w:rsidRPr="00BF42B7">
        <w:rPr>
          <w:rFonts w:hint="eastAsia"/>
          <w:szCs w:val="21"/>
          <w:lang w:val="zh-CN"/>
        </w:rPr>
        <w:t xml:space="preserve"> </w:t>
      </w:r>
      <w:r w:rsidRPr="00BF42B7">
        <w:rPr>
          <w:szCs w:val="21"/>
          <w:lang w:val="zh-CN"/>
        </w:rPr>
        <w:t>委员会还收到了一份秘书处的备忘录</w:t>
      </w:r>
      <w:r w:rsidRPr="00BF42B7">
        <w:rPr>
          <w:rStyle w:val="a5"/>
          <w:szCs w:val="21"/>
          <w:lang w:val="zh-CN"/>
        </w:rPr>
        <w:footnoteReference w:id="10"/>
      </w:r>
      <w:r w:rsidRPr="00BF42B7">
        <w:rPr>
          <w:szCs w:val="21"/>
          <w:lang w:val="zh-CN"/>
        </w:rPr>
        <w:t>，以及人道主义事务协调厅和红十字会与红新月会国际联合会对委员会</w:t>
      </w:r>
      <w:r w:rsidRPr="00BF42B7">
        <w:rPr>
          <w:szCs w:val="21"/>
          <w:lang w:val="zh-CN"/>
        </w:rPr>
        <w:t>2008</w:t>
      </w:r>
      <w:r w:rsidRPr="00BF42B7">
        <w:rPr>
          <w:szCs w:val="21"/>
          <w:lang w:val="zh-CN"/>
        </w:rPr>
        <w:t>年向它们提出的问题所提交的书面答复。</w:t>
      </w:r>
      <w:r w:rsidRPr="00BF42B7">
        <w:rPr>
          <w:rStyle w:val="a5"/>
          <w:szCs w:val="21"/>
          <w:lang w:val="zh-CN"/>
        </w:rPr>
        <w:footnoteReference w:id="11"/>
      </w:r>
    </w:p>
    <w:p w:rsidR="00103498" w:rsidRPr="00BF42B7" w:rsidRDefault="00103498" w:rsidP="00A77784">
      <w:pPr>
        <w:pStyle w:val="SingleTxtGC"/>
        <w:rPr>
          <w:szCs w:val="21"/>
        </w:rPr>
      </w:pPr>
      <w:r w:rsidRPr="00BF42B7">
        <w:rPr>
          <w:rFonts w:hint="eastAsia"/>
          <w:szCs w:val="21"/>
          <w:lang w:val="zh-CN"/>
        </w:rPr>
        <w:t>40</w:t>
      </w:r>
      <w:r w:rsidRPr="00BF42B7">
        <w:rPr>
          <w:szCs w:val="21"/>
          <w:lang w:val="zh-CN"/>
        </w:rPr>
        <w:t>.</w:t>
      </w:r>
      <w:r w:rsidR="00A77784" w:rsidRPr="00BF42B7">
        <w:rPr>
          <w:rFonts w:hint="eastAsia"/>
          <w:szCs w:val="21"/>
          <w:lang w:val="zh-CN"/>
        </w:rPr>
        <w:t xml:space="preserve">  </w:t>
      </w:r>
      <w:r w:rsidRPr="00BF42B7">
        <w:rPr>
          <w:szCs w:val="21"/>
          <w:lang w:val="zh-CN"/>
        </w:rPr>
        <w:t>委员会第六十六届会议</w:t>
      </w:r>
      <w:r w:rsidRPr="00BF42B7">
        <w:rPr>
          <w:szCs w:val="21"/>
          <w:lang w:val="zh-CN"/>
        </w:rPr>
        <w:t>(2014</w:t>
      </w:r>
      <w:r w:rsidRPr="00BF42B7">
        <w:rPr>
          <w:szCs w:val="21"/>
          <w:lang w:val="zh-CN"/>
        </w:rPr>
        <w:t>年</w:t>
      </w:r>
      <w:r w:rsidRPr="00BF42B7">
        <w:rPr>
          <w:szCs w:val="21"/>
          <w:lang w:val="zh-CN"/>
        </w:rPr>
        <w:t>)</w:t>
      </w:r>
      <w:r w:rsidRPr="00BF42B7">
        <w:rPr>
          <w:szCs w:val="21"/>
          <w:lang w:val="zh-CN"/>
        </w:rPr>
        <w:t>一读通过了一套共</w:t>
      </w:r>
      <w:r w:rsidRPr="00BF42B7">
        <w:rPr>
          <w:szCs w:val="21"/>
          <w:lang w:val="zh-CN"/>
        </w:rPr>
        <w:t>21</w:t>
      </w:r>
      <w:r w:rsidRPr="00BF42B7">
        <w:rPr>
          <w:szCs w:val="21"/>
          <w:lang w:val="zh-CN"/>
        </w:rPr>
        <w:t>条关于发生灾害时的人员保护的条款草案及其评注。</w:t>
      </w:r>
      <w:r w:rsidRPr="00BF42B7">
        <w:rPr>
          <w:rStyle w:val="a5"/>
          <w:szCs w:val="21"/>
          <w:lang w:val="zh-CN"/>
        </w:rPr>
        <w:footnoteReference w:id="12"/>
      </w:r>
      <w:r w:rsidRPr="00BF42B7">
        <w:rPr>
          <w:rFonts w:hint="eastAsia"/>
          <w:szCs w:val="21"/>
          <w:lang w:val="zh-CN"/>
        </w:rPr>
        <w:t xml:space="preserve"> </w:t>
      </w:r>
      <w:r w:rsidRPr="00BF42B7">
        <w:rPr>
          <w:szCs w:val="21"/>
          <w:lang w:val="zh-CN"/>
        </w:rPr>
        <w:t>委员会根据《章程》第</w:t>
      </w:r>
      <w:r w:rsidRPr="00BF42B7">
        <w:rPr>
          <w:szCs w:val="21"/>
          <w:lang w:val="zh-CN"/>
        </w:rPr>
        <w:t>16</w:t>
      </w:r>
      <w:r w:rsidRPr="00BF42B7">
        <w:rPr>
          <w:szCs w:val="21"/>
          <w:lang w:val="zh-CN"/>
        </w:rPr>
        <w:t>至</w:t>
      </w:r>
      <w:r w:rsidRPr="00BF42B7">
        <w:rPr>
          <w:szCs w:val="21"/>
          <w:lang w:val="zh-CN"/>
        </w:rPr>
        <w:t>21</w:t>
      </w:r>
      <w:r w:rsidRPr="00BF42B7">
        <w:rPr>
          <w:szCs w:val="21"/>
          <w:lang w:val="zh-CN"/>
        </w:rPr>
        <w:t>条，决定通过秘书长向各国政府、有关国际组织、红十字国际委员会和红十字会与红新月会国际联合会转发这些条款草案，征求其评论和意见。</w:t>
      </w:r>
      <w:r w:rsidRPr="00BF42B7">
        <w:rPr>
          <w:rStyle w:val="a5"/>
          <w:szCs w:val="21"/>
          <w:lang w:val="zh-CN"/>
        </w:rPr>
        <w:footnoteReference w:id="13"/>
      </w:r>
    </w:p>
    <w:p w:rsidR="00103498" w:rsidRPr="00BF42B7" w:rsidRDefault="00103498" w:rsidP="00A77784">
      <w:pPr>
        <w:pStyle w:val="H1GC"/>
      </w:pPr>
      <w:bookmarkStart w:id="4" w:name="B_Consideration_of_the_topic_a"/>
      <w:bookmarkStart w:id="5" w:name="_Toc398107250"/>
      <w:r w:rsidRPr="00BF42B7">
        <w:rPr>
          <w:rFonts w:hint="eastAsia"/>
          <w:lang w:val="zh-CN"/>
        </w:rPr>
        <w:tab/>
      </w:r>
      <w:r w:rsidRPr="00BF42B7">
        <w:rPr>
          <w:lang w:val="zh-CN"/>
        </w:rPr>
        <w:t>B.</w:t>
      </w:r>
      <w:r w:rsidRPr="00BF42B7">
        <w:rPr>
          <w:lang w:val="zh-CN"/>
        </w:rPr>
        <w:tab/>
      </w:r>
      <w:r w:rsidRPr="00BF42B7">
        <w:rPr>
          <w:lang w:val="zh-CN"/>
        </w:rPr>
        <w:t>本届会议审议此专题的情况</w:t>
      </w:r>
      <w:bookmarkEnd w:id="4"/>
      <w:bookmarkEnd w:id="5"/>
    </w:p>
    <w:p w:rsidR="00103498" w:rsidRPr="00BF42B7" w:rsidRDefault="00103498" w:rsidP="00E61025">
      <w:pPr>
        <w:pStyle w:val="SingleTxtGC"/>
      </w:pPr>
      <w:r w:rsidRPr="00BF42B7">
        <w:rPr>
          <w:lang w:val="zh-CN"/>
        </w:rPr>
        <w:t>4</w:t>
      </w:r>
      <w:r w:rsidRPr="00BF42B7">
        <w:rPr>
          <w:rFonts w:hint="eastAsia"/>
          <w:lang w:val="zh-CN"/>
        </w:rPr>
        <w:t>1</w:t>
      </w:r>
      <w:r w:rsidRPr="00BF42B7">
        <w:rPr>
          <w:lang w:val="zh-CN"/>
        </w:rPr>
        <w:t>.</w:t>
      </w:r>
      <w:r w:rsidR="00A77784" w:rsidRPr="00BF42B7">
        <w:rPr>
          <w:rFonts w:hint="eastAsia"/>
          <w:lang w:val="zh-CN"/>
        </w:rPr>
        <w:t xml:space="preserve">  </w:t>
      </w:r>
      <w:r w:rsidRPr="00BF42B7">
        <w:rPr>
          <w:lang w:val="zh-CN"/>
        </w:rPr>
        <w:t>委员会本届会议收到了特别报告员的第八次报告</w:t>
      </w:r>
      <w:r w:rsidRPr="00BF42B7">
        <w:rPr>
          <w:lang w:val="zh-CN"/>
        </w:rPr>
        <w:t>(</w:t>
      </w:r>
      <w:hyperlink r:id="rId49" w:history="1">
        <w:r w:rsidRPr="007F0135">
          <w:rPr>
            <w:rStyle w:val="af"/>
            <w:lang w:val="zh-CN"/>
          </w:rPr>
          <w:t>A/CN.4/697</w:t>
        </w:r>
      </w:hyperlink>
      <w:r w:rsidRPr="00BF42B7">
        <w:rPr>
          <w:lang w:val="zh-CN"/>
        </w:rPr>
        <w:t>)</w:t>
      </w:r>
      <w:r w:rsidRPr="00BF42B7">
        <w:rPr>
          <w:lang w:val="zh-CN"/>
        </w:rPr>
        <w:t>以及各国政府、国际组织和其他实体提交的评论和意见</w:t>
      </w:r>
      <w:r w:rsidRPr="00BF42B7">
        <w:rPr>
          <w:lang w:val="zh-CN"/>
        </w:rPr>
        <w:t>(</w:t>
      </w:r>
      <w:hyperlink r:id="rId50" w:history="1">
        <w:r w:rsidRPr="007F0135">
          <w:rPr>
            <w:rStyle w:val="af"/>
            <w:lang w:val="zh-CN"/>
          </w:rPr>
          <w:t>A/CN.4/696</w:t>
        </w:r>
      </w:hyperlink>
      <w:r w:rsidRPr="00BF42B7">
        <w:rPr>
          <w:lang w:val="zh-CN"/>
        </w:rPr>
        <w:t>和</w:t>
      </w:r>
      <w:r w:rsidRPr="00BF42B7">
        <w:rPr>
          <w:lang w:val="zh-CN"/>
        </w:rPr>
        <w:t>Add.1)</w:t>
      </w:r>
      <w:r w:rsidRPr="00BF42B7">
        <w:rPr>
          <w:lang w:val="zh-CN"/>
        </w:rPr>
        <w:t>。</w:t>
      </w:r>
    </w:p>
    <w:p w:rsidR="00103498" w:rsidRPr="00BF42B7" w:rsidRDefault="00103498" w:rsidP="00A77784">
      <w:pPr>
        <w:pStyle w:val="SingleTxtGC"/>
      </w:pPr>
      <w:r w:rsidRPr="00BF42B7">
        <w:rPr>
          <w:rFonts w:hint="eastAsia"/>
          <w:lang w:val="zh-CN"/>
        </w:rPr>
        <w:t>42</w:t>
      </w:r>
      <w:r w:rsidRPr="00BF42B7">
        <w:rPr>
          <w:lang w:val="zh-CN"/>
        </w:rPr>
        <w:t>.</w:t>
      </w:r>
      <w:r w:rsidR="00A77784" w:rsidRPr="00BF42B7">
        <w:rPr>
          <w:rFonts w:hint="eastAsia"/>
          <w:lang w:val="zh-CN"/>
        </w:rPr>
        <w:t xml:space="preserve">  </w:t>
      </w:r>
      <w:r w:rsidRPr="00BF42B7">
        <w:rPr>
          <w:lang w:val="zh-CN"/>
        </w:rPr>
        <w:t>委员会在</w:t>
      </w:r>
      <w:r w:rsidRPr="00BF42B7">
        <w:rPr>
          <w:lang w:val="zh-CN"/>
        </w:rPr>
        <w:t>2016</w:t>
      </w:r>
      <w:r w:rsidRPr="00BF42B7">
        <w:rPr>
          <w:lang w:val="zh-CN"/>
        </w:rPr>
        <w:t>年</w:t>
      </w:r>
      <w:r w:rsidRPr="00BF42B7">
        <w:rPr>
          <w:lang w:val="zh-CN"/>
        </w:rPr>
        <w:t>5</w:t>
      </w:r>
      <w:r w:rsidRPr="00BF42B7">
        <w:rPr>
          <w:lang w:val="zh-CN"/>
        </w:rPr>
        <w:t>月</w:t>
      </w:r>
      <w:r w:rsidRPr="00BF42B7">
        <w:rPr>
          <w:lang w:val="zh-CN"/>
        </w:rPr>
        <w:t>2</w:t>
      </w:r>
      <w:r w:rsidRPr="00BF42B7">
        <w:rPr>
          <w:lang w:val="zh-CN"/>
        </w:rPr>
        <w:t>日至</w:t>
      </w:r>
      <w:r w:rsidRPr="00BF42B7">
        <w:rPr>
          <w:lang w:val="zh-CN"/>
        </w:rPr>
        <w:t>11</w:t>
      </w:r>
      <w:r w:rsidRPr="00BF42B7">
        <w:rPr>
          <w:lang w:val="zh-CN"/>
        </w:rPr>
        <w:t>日举行的第</w:t>
      </w:r>
      <w:r w:rsidRPr="00BF42B7">
        <w:rPr>
          <w:lang w:val="zh-CN"/>
        </w:rPr>
        <w:t>3291</w:t>
      </w:r>
      <w:r w:rsidRPr="00BF42B7">
        <w:rPr>
          <w:lang w:val="zh-CN"/>
        </w:rPr>
        <w:t>至第</w:t>
      </w:r>
      <w:r w:rsidRPr="00BF42B7">
        <w:rPr>
          <w:lang w:val="zh-CN"/>
        </w:rPr>
        <w:t>3296</w:t>
      </w:r>
      <w:r w:rsidRPr="00BF42B7">
        <w:rPr>
          <w:lang w:val="zh-CN"/>
        </w:rPr>
        <w:t>次会议上审议了特别报告员的第八次报告。委员会在</w:t>
      </w:r>
      <w:r w:rsidRPr="00BF42B7">
        <w:rPr>
          <w:lang w:val="zh-CN"/>
        </w:rPr>
        <w:t>2016</w:t>
      </w:r>
      <w:r w:rsidRPr="00BF42B7">
        <w:rPr>
          <w:lang w:val="zh-CN"/>
        </w:rPr>
        <w:t>年</w:t>
      </w:r>
      <w:r w:rsidRPr="00BF42B7">
        <w:rPr>
          <w:lang w:val="zh-CN"/>
        </w:rPr>
        <w:t>5</w:t>
      </w:r>
      <w:r w:rsidRPr="00BF42B7">
        <w:rPr>
          <w:lang w:val="zh-CN"/>
        </w:rPr>
        <w:t>月</w:t>
      </w:r>
      <w:r w:rsidRPr="00BF42B7">
        <w:rPr>
          <w:lang w:val="zh-CN"/>
        </w:rPr>
        <w:t>11</w:t>
      </w:r>
      <w:r w:rsidRPr="00BF42B7">
        <w:rPr>
          <w:lang w:val="zh-CN"/>
        </w:rPr>
        <w:t>日举行的第</w:t>
      </w:r>
      <w:r w:rsidRPr="00BF42B7">
        <w:rPr>
          <w:lang w:val="zh-CN"/>
        </w:rPr>
        <w:t>3296</w:t>
      </w:r>
      <w:r w:rsidRPr="00BF42B7">
        <w:rPr>
          <w:lang w:val="zh-CN"/>
        </w:rPr>
        <w:t>次会议上，将特别报告员第八次报告提出的序言草案以及第</w:t>
      </w:r>
      <w:r w:rsidRPr="00BF42B7">
        <w:rPr>
          <w:lang w:val="zh-CN"/>
        </w:rPr>
        <w:t>1</w:t>
      </w:r>
      <w:r w:rsidRPr="00BF42B7">
        <w:rPr>
          <w:lang w:val="zh-CN"/>
        </w:rPr>
        <w:t>至第</w:t>
      </w:r>
      <w:r w:rsidRPr="00BF42B7">
        <w:rPr>
          <w:lang w:val="zh-CN"/>
        </w:rPr>
        <w:t>21</w:t>
      </w:r>
      <w:r w:rsidRPr="00BF42B7">
        <w:rPr>
          <w:lang w:val="zh-CN"/>
        </w:rPr>
        <w:t>条条款草案转交起草委员会，并指示起草委员会结合各国政府、国际组织和其他实体的评论</w:t>
      </w:r>
      <w:r w:rsidRPr="00BF42B7">
        <w:rPr>
          <w:rFonts w:hint="eastAsia"/>
          <w:lang w:val="zh-CN"/>
        </w:rPr>
        <w:t>、</w:t>
      </w:r>
      <w:r w:rsidRPr="00BF42B7">
        <w:rPr>
          <w:lang w:val="zh-CN"/>
        </w:rPr>
        <w:t>特别报告员的建议以及关于特别报告员第八次报告的全会辩论，开始对条款草案进行二读。</w:t>
      </w:r>
      <w:r w:rsidRPr="00BF42B7">
        <w:rPr>
          <w:lang w:val="zh-CN"/>
        </w:rPr>
        <w:t xml:space="preserve"> </w:t>
      </w:r>
    </w:p>
    <w:p w:rsidR="00103498" w:rsidRPr="00BF42B7" w:rsidRDefault="00103498" w:rsidP="00A77784">
      <w:pPr>
        <w:pStyle w:val="SingleTxtGC"/>
        <w:rPr>
          <w:szCs w:val="21"/>
        </w:rPr>
      </w:pPr>
      <w:r w:rsidRPr="00BF42B7">
        <w:rPr>
          <w:rFonts w:hint="eastAsia"/>
          <w:szCs w:val="21"/>
          <w:lang w:val="zh-CN"/>
        </w:rPr>
        <w:t>43</w:t>
      </w:r>
      <w:r w:rsidRPr="00BF42B7">
        <w:rPr>
          <w:szCs w:val="21"/>
          <w:lang w:val="zh-CN"/>
        </w:rPr>
        <w:t>.</w:t>
      </w:r>
      <w:r w:rsidR="00A77784" w:rsidRPr="00BF42B7">
        <w:rPr>
          <w:rFonts w:hint="eastAsia"/>
          <w:szCs w:val="21"/>
          <w:lang w:val="zh-CN"/>
        </w:rPr>
        <w:t xml:space="preserve">  </w:t>
      </w:r>
      <w:r w:rsidRPr="00BF42B7">
        <w:rPr>
          <w:szCs w:val="21"/>
          <w:lang w:val="zh-CN"/>
        </w:rPr>
        <w:t>委员会在</w:t>
      </w:r>
      <w:r w:rsidRPr="00BF42B7">
        <w:rPr>
          <w:szCs w:val="21"/>
          <w:lang w:val="zh-CN"/>
        </w:rPr>
        <w:t>2016</w:t>
      </w:r>
      <w:r w:rsidRPr="00BF42B7">
        <w:rPr>
          <w:szCs w:val="21"/>
          <w:lang w:val="zh-CN"/>
        </w:rPr>
        <w:t>年</w:t>
      </w:r>
      <w:r w:rsidRPr="00BF42B7">
        <w:rPr>
          <w:szCs w:val="21"/>
          <w:lang w:val="zh-CN"/>
        </w:rPr>
        <w:t>6</w:t>
      </w:r>
      <w:r w:rsidRPr="00BF42B7">
        <w:rPr>
          <w:szCs w:val="21"/>
          <w:lang w:val="zh-CN"/>
        </w:rPr>
        <w:t>月</w:t>
      </w:r>
      <w:r w:rsidRPr="00BF42B7">
        <w:rPr>
          <w:szCs w:val="21"/>
          <w:lang w:val="zh-CN"/>
        </w:rPr>
        <w:t>3</w:t>
      </w:r>
      <w:r w:rsidRPr="00BF42B7">
        <w:rPr>
          <w:szCs w:val="21"/>
          <w:lang w:val="zh-CN"/>
        </w:rPr>
        <w:t>日举行的第</w:t>
      </w:r>
      <w:r w:rsidRPr="00BF42B7">
        <w:rPr>
          <w:szCs w:val="21"/>
          <w:lang w:val="zh-CN"/>
        </w:rPr>
        <w:t>3310</w:t>
      </w:r>
      <w:r w:rsidRPr="00BF42B7">
        <w:rPr>
          <w:szCs w:val="21"/>
          <w:lang w:val="zh-CN"/>
        </w:rPr>
        <w:t>次会议上审议了起草委员会的报告</w:t>
      </w:r>
      <w:r w:rsidRPr="00BF42B7">
        <w:rPr>
          <w:szCs w:val="21"/>
          <w:lang w:val="zh-CN"/>
        </w:rPr>
        <w:t>(</w:t>
      </w:r>
      <w:hyperlink r:id="rId51" w:history="1">
        <w:r w:rsidRPr="007F0135">
          <w:rPr>
            <w:rStyle w:val="af"/>
            <w:szCs w:val="21"/>
            <w:lang w:val="zh-CN"/>
          </w:rPr>
          <w:t>A/CN.4/L.871</w:t>
        </w:r>
      </w:hyperlink>
      <w:r w:rsidRPr="00BF42B7">
        <w:rPr>
          <w:szCs w:val="21"/>
          <w:lang w:val="zh-CN"/>
        </w:rPr>
        <w:t>)</w:t>
      </w:r>
      <w:r w:rsidRPr="00BF42B7">
        <w:rPr>
          <w:szCs w:val="21"/>
          <w:lang w:val="zh-CN"/>
        </w:rPr>
        <w:t>，在同一会议上二读通过了关于发生灾害时的人员保护的整套条款草案</w:t>
      </w:r>
      <w:r w:rsidRPr="00BF42B7">
        <w:rPr>
          <w:szCs w:val="21"/>
          <w:lang w:val="zh-CN"/>
        </w:rPr>
        <w:t>(</w:t>
      </w:r>
      <w:r w:rsidRPr="00BF42B7">
        <w:rPr>
          <w:rFonts w:hint="eastAsia"/>
          <w:szCs w:val="21"/>
          <w:lang w:val="zh-CN"/>
        </w:rPr>
        <w:t>见</w:t>
      </w:r>
      <w:r w:rsidRPr="00BF42B7">
        <w:rPr>
          <w:szCs w:val="21"/>
          <w:lang w:val="zh-CN"/>
        </w:rPr>
        <w:t>下文</w:t>
      </w:r>
      <w:r w:rsidRPr="00BF42B7">
        <w:rPr>
          <w:szCs w:val="21"/>
          <w:lang w:val="zh-CN"/>
        </w:rPr>
        <w:t>E.1</w:t>
      </w:r>
      <w:r w:rsidRPr="00BF42B7">
        <w:rPr>
          <w:szCs w:val="21"/>
          <w:lang w:val="zh-CN"/>
        </w:rPr>
        <w:t>节</w:t>
      </w:r>
      <w:r w:rsidRPr="00BF42B7">
        <w:rPr>
          <w:szCs w:val="21"/>
          <w:lang w:val="zh-CN"/>
        </w:rPr>
        <w:t>)</w:t>
      </w:r>
      <w:r w:rsidRPr="00BF42B7">
        <w:rPr>
          <w:szCs w:val="21"/>
          <w:lang w:val="zh-CN"/>
        </w:rPr>
        <w:t>。</w:t>
      </w:r>
    </w:p>
    <w:p w:rsidR="00103498" w:rsidRPr="00BF42B7" w:rsidRDefault="00103498" w:rsidP="00A77784">
      <w:pPr>
        <w:pStyle w:val="SingleTxtGC"/>
        <w:rPr>
          <w:szCs w:val="21"/>
        </w:rPr>
      </w:pPr>
      <w:r w:rsidRPr="00BF42B7">
        <w:rPr>
          <w:rFonts w:hint="eastAsia"/>
          <w:szCs w:val="21"/>
          <w:lang w:val="zh-CN"/>
        </w:rPr>
        <w:t>44</w:t>
      </w:r>
      <w:r w:rsidRPr="00BF42B7">
        <w:rPr>
          <w:szCs w:val="21"/>
          <w:lang w:val="zh-CN"/>
        </w:rPr>
        <w:t>.</w:t>
      </w:r>
      <w:r w:rsidR="00A77784" w:rsidRPr="00BF42B7">
        <w:rPr>
          <w:rFonts w:hint="eastAsia"/>
          <w:szCs w:val="21"/>
          <w:lang w:val="zh-CN"/>
        </w:rPr>
        <w:t xml:space="preserve">  </w:t>
      </w:r>
      <w:r w:rsidRPr="00BF42B7">
        <w:rPr>
          <w:szCs w:val="21"/>
          <w:lang w:val="zh-CN"/>
        </w:rPr>
        <w:t>委员会在</w:t>
      </w:r>
      <w:r w:rsidRPr="00BF42B7">
        <w:rPr>
          <w:szCs w:val="21"/>
          <w:lang w:val="zh-CN"/>
        </w:rPr>
        <w:t>2016</w:t>
      </w:r>
      <w:r w:rsidRPr="00BF42B7">
        <w:rPr>
          <w:szCs w:val="21"/>
          <w:lang w:val="zh-CN"/>
        </w:rPr>
        <w:t>年</w:t>
      </w:r>
      <w:r w:rsidRPr="00BF42B7">
        <w:rPr>
          <w:szCs w:val="21"/>
          <w:lang w:val="zh-CN"/>
        </w:rPr>
        <w:t>8</w:t>
      </w:r>
      <w:r w:rsidRPr="00BF42B7">
        <w:rPr>
          <w:szCs w:val="21"/>
          <w:lang w:val="zh-CN"/>
        </w:rPr>
        <w:t>月</w:t>
      </w:r>
      <w:r w:rsidRPr="00BF42B7">
        <w:rPr>
          <w:rFonts w:hint="eastAsia"/>
          <w:szCs w:val="21"/>
          <w:lang w:val="zh-CN"/>
        </w:rPr>
        <w:t>2</w:t>
      </w:r>
      <w:r w:rsidRPr="00BF42B7">
        <w:rPr>
          <w:szCs w:val="21"/>
          <w:lang w:val="zh-CN"/>
        </w:rPr>
        <w:t>日</w:t>
      </w:r>
      <w:r w:rsidRPr="00BF42B7">
        <w:rPr>
          <w:rFonts w:hint="eastAsia"/>
          <w:szCs w:val="21"/>
          <w:lang w:val="zh-CN"/>
        </w:rPr>
        <w:t>至</w:t>
      </w:r>
      <w:r w:rsidRPr="00BF42B7">
        <w:rPr>
          <w:rFonts w:hint="eastAsia"/>
          <w:szCs w:val="21"/>
          <w:lang w:val="zh-CN"/>
        </w:rPr>
        <w:t>4</w:t>
      </w:r>
      <w:r w:rsidRPr="00BF42B7">
        <w:rPr>
          <w:rFonts w:hint="eastAsia"/>
          <w:szCs w:val="21"/>
          <w:lang w:val="zh-CN"/>
        </w:rPr>
        <w:t>日</w:t>
      </w:r>
      <w:r w:rsidRPr="00BF42B7">
        <w:rPr>
          <w:szCs w:val="21"/>
          <w:lang w:val="zh-CN"/>
        </w:rPr>
        <w:t>举行的第</w:t>
      </w:r>
      <w:r w:rsidRPr="00BF42B7">
        <w:rPr>
          <w:rFonts w:hint="eastAsia"/>
          <w:szCs w:val="21"/>
          <w:lang w:val="zh-CN"/>
        </w:rPr>
        <w:t>3332</w:t>
      </w:r>
      <w:r w:rsidRPr="00BF42B7">
        <w:rPr>
          <w:rFonts w:hint="eastAsia"/>
          <w:szCs w:val="21"/>
          <w:lang w:val="zh-CN"/>
        </w:rPr>
        <w:t>至</w:t>
      </w:r>
      <w:r w:rsidRPr="00BF42B7">
        <w:rPr>
          <w:rFonts w:hint="eastAsia"/>
          <w:szCs w:val="21"/>
          <w:lang w:val="zh-CN"/>
        </w:rPr>
        <w:t>3335</w:t>
      </w:r>
      <w:r w:rsidRPr="00BF42B7">
        <w:rPr>
          <w:szCs w:val="21"/>
          <w:lang w:val="zh-CN"/>
        </w:rPr>
        <w:t>次会议上，通过了上述条款草案的评注</w:t>
      </w:r>
      <w:r w:rsidRPr="00BF42B7">
        <w:rPr>
          <w:szCs w:val="21"/>
          <w:lang w:val="zh-CN"/>
        </w:rPr>
        <w:t>(</w:t>
      </w:r>
      <w:r w:rsidRPr="00BF42B7">
        <w:rPr>
          <w:szCs w:val="21"/>
          <w:lang w:val="zh-CN"/>
        </w:rPr>
        <w:t>见下文</w:t>
      </w:r>
      <w:r w:rsidRPr="00BF42B7">
        <w:rPr>
          <w:szCs w:val="21"/>
          <w:lang w:val="zh-CN"/>
        </w:rPr>
        <w:t>E.2</w:t>
      </w:r>
      <w:r w:rsidRPr="00BF42B7">
        <w:rPr>
          <w:szCs w:val="21"/>
          <w:lang w:val="zh-CN"/>
        </w:rPr>
        <w:t>节</w:t>
      </w:r>
      <w:r w:rsidRPr="00BF42B7">
        <w:rPr>
          <w:szCs w:val="21"/>
          <w:lang w:val="zh-CN"/>
        </w:rPr>
        <w:t>)</w:t>
      </w:r>
      <w:r w:rsidRPr="00BF42B7">
        <w:rPr>
          <w:szCs w:val="21"/>
          <w:lang w:val="zh-CN"/>
        </w:rPr>
        <w:t>。</w:t>
      </w:r>
    </w:p>
    <w:p w:rsidR="00103498" w:rsidRPr="00BF42B7" w:rsidRDefault="00103498" w:rsidP="00A77784">
      <w:pPr>
        <w:pStyle w:val="SingleTxtGC"/>
        <w:rPr>
          <w:szCs w:val="21"/>
        </w:rPr>
      </w:pPr>
      <w:r w:rsidRPr="00BF42B7">
        <w:rPr>
          <w:rFonts w:hint="eastAsia"/>
          <w:szCs w:val="21"/>
          <w:lang w:val="zh-CN"/>
        </w:rPr>
        <w:t>45</w:t>
      </w:r>
      <w:r w:rsidRPr="00BF42B7">
        <w:rPr>
          <w:szCs w:val="21"/>
          <w:lang w:val="zh-CN"/>
        </w:rPr>
        <w:t>.</w:t>
      </w:r>
      <w:r w:rsidR="00A77784" w:rsidRPr="00BF42B7">
        <w:rPr>
          <w:rFonts w:hint="eastAsia"/>
          <w:szCs w:val="21"/>
          <w:lang w:val="zh-CN"/>
        </w:rPr>
        <w:t xml:space="preserve">  </w:t>
      </w:r>
      <w:r w:rsidRPr="00BF42B7">
        <w:rPr>
          <w:szCs w:val="21"/>
          <w:lang w:val="zh-CN"/>
        </w:rPr>
        <w:t>根据《章程》，委员会向大会提交条款草案以及下述建议。</w:t>
      </w:r>
    </w:p>
    <w:p w:rsidR="00103498" w:rsidRPr="00BF42B7" w:rsidRDefault="00103498" w:rsidP="00A77784">
      <w:pPr>
        <w:pStyle w:val="H1GC"/>
      </w:pPr>
      <w:r w:rsidRPr="00BF42B7">
        <w:rPr>
          <w:rFonts w:hint="eastAsia"/>
          <w:lang w:val="zh-CN"/>
        </w:rPr>
        <w:tab/>
      </w:r>
      <w:r w:rsidRPr="00BF42B7">
        <w:rPr>
          <w:lang w:val="zh-CN"/>
        </w:rPr>
        <w:t>C.</w:t>
      </w:r>
      <w:r w:rsidRPr="00BF42B7">
        <w:rPr>
          <w:lang w:val="zh-CN"/>
        </w:rPr>
        <w:tab/>
      </w:r>
      <w:r w:rsidRPr="00BF42B7">
        <w:rPr>
          <w:lang w:val="zh-CN"/>
        </w:rPr>
        <w:t>委员会的建议</w:t>
      </w:r>
      <w:bookmarkStart w:id="6" w:name="_Toc304293419"/>
      <w:bookmarkStart w:id="7" w:name="_Toc304454133"/>
      <w:bookmarkEnd w:id="6"/>
      <w:bookmarkEnd w:id="7"/>
    </w:p>
    <w:p w:rsidR="00103498" w:rsidRPr="00BF42B7" w:rsidRDefault="00103498" w:rsidP="00A77784">
      <w:pPr>
        <w:pStyle w:val="SingleTxtGC"/>
      </w:pPr>
      <w:r w:rsidRPr="00BF42B7">
        <w:rPr>
          <w:rFonts w:hint="eastAsia"/>
          <w:lang w:val="zh-CN"/>
        </w:rPr>
        <w:t>46</w:t>
      </w:r>
      <w:r w:rsidR="00A77784" w:rsidRPr="00BF42B7">
        <w:rPr>
          <w:lang w:val="zh-CN"/>
        </w:rPr>
        <w:t>.</w:t>
      </w:r>
      <w:r w:rsidR="00A77784" w:rsidRPr="00BF42B7">
        <w:rPr>
          <w:rFonts w:hint="eastAsia"/>
          <w:lang w:val="zh-CN"/>
        </w:rPr>
        <w:t xml:space="preserve">  </w:t>
      </w:r>
      <w:r w:rsidRPr="00BF42B7">
        <w:rPr>
          <w:lang w:val="zh-CN"/>
        </w:rPr>
        <w:t>在</w:t>
      </w:r>
      <w:r w:rsidRPr="00BF42B7">
        <w:rPr>
          <w:lang w:val="zh-CN"/>
        </w:rPr>
        <w:t>2016</w:t>
      </w:r>
      <w:r w:rsidRPr="00BF42B7">
        <w:rPr>
          <w:lang w:val="zh-CN"/>
        </w:rPr>
        <w:t>年</w:t>
      </w:r>
      <w:r w:rsidRPr="00BF42B7">
        <w:rPr>
          <w:lang w:val="zh-CN"/>
        </w:rPr>
        <w:t>8</w:t>
      </w:r>
      <w:r w:rsidRPr="00BF42B7">
        <w:rPr>
          <w:lang w:val="zh-CN"/>
        </w:rPr>
        <w:t>月</w:t>
      </w:r>
      <w:r w:rsidRPr="00BF42B7">
        <w:rPr>
          <w:rFonts w:hint="eastAsia"/>
          <w:lang w:val="zh-CN"/>
        </w:rPr>
        <w:t>4</w:t>
      </w:r>
      <w:r w:rsidRPr="00BF42B7">
        <w:rPr>
          <w:lang w:val="zh-CN"/>
        </w:rPr>
        <w:t>日举行的第</w:t>
      </w:r>
      <w:r w:rsidRPr="00BF42B7">
        <w:rPr>
          <w:rFonts w:hint="eastAsia"/>
          <w:lang w:val="zh-CN"/>
        </w:rPr>
        <w:t>3335</w:t>
      </w:r>
      <w:r w:rsidRPr="00BF42B7">
        <w:rPr>
          <w:lang w:val="zh-CN"/>
        </w:rPr>
        <w:t>次会议上，委员会根据其《章程》第</w:t>
      </w:r>
      <w:r w:rsidRPr="00BF42B7">
        <w:rPr>
          <w:lang w:val="zh-CN"/>
        </w:rPr>
        <w:t>23</w:t>
      </w:r>
      <w:r w:rsidRPr="00BF42B7">
        <w:rPr>
          <w:lang w:val="zh-CN"/>
        </w:rPr>
        <w:t>条，决定建议大会</w:t>
      </w:r>
      <w:r w:rsidRPr="00BF42B7">
        <w:rPr>
          <w:rFonts w:hint="eastAsia"/>
          <w:lang w:val="fr-CH"/>
        </w:rPr>
        <w:t>在发生灾害时的人员保护条款草案基础上拟订一项公约</w:t>
      </w:r>
      <w:r w:rsidRPr="00BF42B7">
        <w:rPr>
          <w:rFonts w:hint="eastAsia"/>
          <w:lang w:val="zh-CN"/>
        </w:rPr>
        <w:t>。</w:t>
      </w:r>
    </w:p>
    <w:p w:rsidR="00103498" w:rsidRPr="00BF42B7" w:rsidRDefault="00103498" w:rsidP="00A77784">
      <w:pPr>
        <w:pStyle w:val="H1GC"/>
      </w:pPr>
      <w:r w:rsidRPr="00BF42B7">
        <w:rPr>
          <w:rFonts w:hint="eastAsia"/>
          <w:lang w:val="zh-CN"/>
        </w:rPr>
        <w:tab/>
      </w:r>
      <w:r w:rsidRPr="00BF42B7">
        <w:rPr>
          <w:lang w:val="zh-CN"/>
        </w:rPr>
        <w:t>D.</w:t>
      </w:r>
      <w:r w:rsidRPr="00BF42B7">
        <w:rPr>
          <w:lang w:val="zh-CN"/>
        </w:rPr>
        <w:tab/>
      </w:r>
      <w:r w:rsidRPr="00BF42B7">
        <w:rPr>
          <w:lang w:val="zh-CN"/>
        </w:rPr>
        <w:t>向特别报告员表示感谢</w:t>
      </w:r>
      <w:bookmarkStart w:id="8" w:name="_Toc304293420"/>
      <w:bookmarkStart w:id="9" w:name="_Toc304454134"/>
      <w:bookmarkEnd w:id="8"/>
      <w:bookmarkEnd w:id="9"/>
    </w:p>
    <w:p w:rsidR="00103498" w:rsidRPr="00BF42B7" w:rsidRDefault="00103498" w:rsidP="00A77784">
      <w:pPr>
        <w:pStyle w:val="SingleTxtGC"/>
      </w:pPr>
      <w:r w:rsidRPr="00BF42B7">
        <w:rPr>
          <w:rFonts w:hint="eastAsia"/>
          <w:lang w:val="zh-CN"/>
        </w:rPr>
        <w:t>47</w:t>
      </w:r>
      <w:r w:rsidR="00A77784" w:rsidRPr="00BF42B7">
        <w:rPr>
          <w:lang w:val="zh-CN"/>
        </w:rPr>
        <w:t>.</w:t>
      </w:r>
      <w:r w:rsidR="00A77784" w:rsidRPr="00BF42B7">
        <w:rPr>
          <w:rFonts w:hint="eastAsia"/>
          <w:lang w:val="zh-CN"/>
        </w:rPr>
        <w:t xml:space="preserve">  </w:t>
      </w:r>
      <w:r w:rsidRPr="00BF42B7">
        <w:rPr>
          <w:lang w:val="zh-CN"/>
        </w:rPr>
        <w:t>在</w:t>
      </w:r>
      <w:r w:rsidRPr="00BF42B7">
        <w:rPr>
          <w:lang w:val="zh-CN"/>
        </w:rPr>
        <w:t>2016</w:t>
      </w:r>
      <w:r w:rsidRPr="00BF42B7">
        <w:rPr>
          <w:lang w:val="zh-CN"/>
        </w:rPr>
        <w:t>年</w:t>
      </w:r>
      <w:r w:rsidRPr="00BF42B7">
        <w:rPr>
          <w:lang w:val="zh-CN"/>
        </w:rPr>
        <w:t>8</w:t>
      </w:r>
      <w:r w:rsidRPr="00BF42B7">
        <w:rPr>
          <w:lang w:val="zh-CN"/>
        </w:rPr>
        <w:t>月</w:t>
      </w:r>
      <w:r w:rsidRPr="00BF42B7">
        <w:rPr>
          <w:rFonts w:hint="eastAsia"/>
          <w:lang w:val="zh-CN"/>
        </w:rPr>
        <w:t>4</w:t>
      </w:r>
      <w:r w:rsidRPr="00BF42B7">
        <w:rPr>
          <w:lang w:val="zh-CN"/>
        </w:rPr>
        <w:t>日举行的第</w:t>
      </w:r>
      <w:r w:rsidRPr="00BF42B7">
        <w:rPr>
          <w:rFonts w:hint="eastAsia"/>
          <w:lang w:val="zh-CN"/>
        </w:rPr>
        <w:t>3335</w:t>
      </w:r>
      <w:r w:rsidRPr="00BF42B7">
        <w:rPr>
          <w:lang w:val="zh-CN"/>
        </w:rPr>
        <w:t>次会议上，委员会在通过了关于发生灾害时的人员保护的条款草案后，</w:t>
      </w:r>
      <w:r w:rsidRPr="00BF42B7">
        <w:rPr>
          <w:rFonts w:hint="eastAsia"/>
        </w:rPr>
        <w:t>以鼓掌方式通过了</w:t>
      </w:r>
      <w:r w:rsidRPr="00BF42B7">
        <w:rPr>
          <w:lang w:val="zh-CN"/>
        </w:rPr>
        <w:t>以下决议：</w:t>
      </w:r>
    </w:p>
    <w:p w:rsidR="00103498" w:rsidRPr="00BF42B7" w:rsidRDefault="00103498" w:rsidP="00103498">
      <w:pPr>
        <w:pStyle w:val="SingleTxtGC"/>
        <w:rPr>
          <w:rFonts w:eastAsia="楷体"/>
          <w:szCs w:val="21"/>
        </w:rPr>
      </w:pPr>
      <w:r w:rsidRPr="00BF42B7">
        <w:rPr>
          <w:szCs w:val="21"/>
          <w:lang w:val="zh-CN"/>
        </w:rPr>
        <w:tab/>
      </w:r>
      <w:r w:rsidRPr="00BF42B7">
        <w:rPr>
          <w:szCs w:val="21"/>
          <w:lang w:val="zh-CN"/>
        </w:rPr>
        <w:tab/>
      </w:r>
      <w:r w:rsidRPr="00BF42B7">
        <w:rPr>
          <w:rFonts w:eastAsia="楷体" w:hint="eastAsia"/>
          <w:szCs w:val="21"/>
          <w:lang w:val="zh-CN"/>
        </w:rPr>
        <w:t>“</w:t>
      </w:r>
      <w:r w:rsidRPr="00BF42B7">
        <w:rPr>
          <w:rFonts w:eastAsia="楷体"/>
          <w:szCs w:val="21"/>
          <w:lang w:val="zh-CN"/>
        </w:rPr>
        <w:t>国际法委员会，</w:t>
      </w:r>
    </w:p>
    <w:p w:rsidR="00103498" w:rsidRPr="00BF42B7" w:rsidRDefault="00103498" w:rsidP="00103498">
      <w:pPr>
        <w:pStyle w:val="SingleTxtGC"/>
        <w:rPr>
          <w:szCs w:val="21"/>
        </w:rPr>
      </w:pPr>
      <w:r w:rsidRPr="00BF42B7">
        <w:rPr>
          <w:szCs w:val="21"/>
          <w:lang w:val="zh-CN"/>
        </w:rPr>
        <w:tab/>
      </w:r>
      <w:r w:rsidRPr="00BF42B7">
        <w:rPr>
          <w:szCs w:val="21"/>
        </w:rPr>
        <w:tab/>
      </w:r>
      <w:r w:rsidRPr="00BF42B7">
        <w:rPr>
          <w:rFonts w:eastAsia="楷体"/>
          <w:szCs w:val="21"/>
          <w:lang w:val="zh-CN"/>
        </w:rPr>
        <w:t>通过了</w:t>
      </w:r>
      <w:r w:rsidRPr="00BF42B7">
        <w:rPr>
          <w:szCs w:val="21"/>
          <w:lang w:val="zh-CN"/>
        </w:rPr>
        <w:t>关于发生灾害时的人员保护的条款草案，</w:t>
      </w:r>
    </w:p>
    <w:p w:rsidR="00103498" w:rsidRPr="00BF42B7" w:rsidRDefault="00103498" w:rsidP="00B37E08">
      <w:pPr>
        <w:pStyle w:val="SingleTxtGC"/>
        <w:tabs>
          <w:tab w:val="clear" w:pos="431"/>
          <w:tab w:val="clear" w:pos="1134"/>
          <w:tab w:val="clear" w:pos="1565"/>
        </w:tabs>
        <w:ind w:left="1554"/>
        <w:rPr>
          <w:szCs w:val="21"/>
        </w:rPr>
      </w:pPr>
      <w:r w:rsidRPr="00BF42B7">
        <w:rPr>
          <w:szCs w:val="21"/>
          <w:lang w:val="zh-CN"/>
        </w:rPr>
        <w:tab/>
      </w:r>
      <w:r w:rsidRPr="00BF42B7">
        <w:rPr>
          <w:rFonts w:eastAsia="楷体"/>
          <w:szCs w:val="21"/>
          <w:lang w:val="zh-CN"/>
        </w:rPr>
        <w:t>向</w:t>
      </w:r>
      <w:r w:rsidRPr="00BF42B7">
        <w:rPr>
          <w:szCs w:val="21"/>
          <w:lang w:val="zh-CN"/>
        </w:rPr>
        <w:t>特别报告员爱德华多</w:t>
      </w:r>
      <w:r w:rsidRPr="00BF42B7">
        <w:rPr>
          <w:rFonts w:hint="eastAsia"/>
          <w:lang w:val="fr-CH"/>
        </w:rPr>
        <w:t>·</w:t>
      </w:r>
      <w:r w:rsidRPr="00BF42B7">
        <w:rPr>
          <w:szCs w:val="21"/>
          <w:lang w:val="zh-CN"/>
        </w:rPr>
        <w:t>巴伦西亚－奥斯皮纳先生</w:t>
      </w:r>
      <w:r w:rsidRPr="00BF42B7">
        <w:rPr>
          <w:rFonts w:eastAsia="楷体"/>
          <w:szCs w:val="21"/>
          <w:lang w:val="zh-CN"/>
        </w:rPr>
        <w:t>表示</w:t>
      </w:r>
      <w:r w:rsidRPr="00BF42B7">
        <w:rPr>
          <w:szCs w:val="21"/>
          <w:lang w:val="zh-CN"/>
        </w:rPr>
        <w:t>深挚感谢和热烈祝贺，感谢并祝贺他以不懈的努力和专注的工作为起草条款草案做出杰出贡献，并使关于发生灾害时的人员保护的条款草案的拟订工作取得成果。</w:t>
      </w:r>
      <w:r w:rsidRPr="00BF42B7">
        <w:rPr>
          <w:rFonts w:hint="eastAsia"/>
          <w:szCs w:val="21"/>
          <w:lang w:val="zh-CN"/>
        </w:rPr>
        <w:t>”</w:t>
      </w:r>
    </w:p>
    <w:p w:rsidR="00103498" w:rsidRPr="00BF42B7" w:rsidRDefault="00103498" w:rsidP="00A77784">
      <w:pPr>
        <w:pStyle w:val="H1GC"/>
      </w:pPr>
      <w:bookmarkStart w:id="10" w:name="_Toc304293421"/>
      <w:bookmarkStart w:id="11" w:name="_Toc304454135"/>
      <w:r w:rsidRPr="00BF42B7">
        <w:rPr>
          <w:rFonts w:hint="eastAsia"/>
          <w:lang w:val="zh-CN"/>
        </w:rPr>
        <w:tab/>
      </w:r>
      <w:r w:rsidRPr="00BF42B7">
        <w:rPr>
          <w:lang w:val="zh-CN"/>
        </w:rPr>
        <w:t>E.</w:t>
      </w:r>
      <w:r w:rsidRPr="00BF42B7">
        <w:rPr>
          <w:lang w:val="zh-CN"/>
        </w:rPr>
        <w:tab/>
      </w:r>
      <w:r w:rsidRPr="00BF42B7">
        <w:rPr>
          <w:lang w:val="zh-CN"/>
        </w:rPr>
        <w:t>关于发生灾害时的人员保护的条款草案案文</w:t>
      </w:r>
      <w:bookmarkEnd w:id="10"/>
      <w:bookmarkEnd w:id="11"/>
    </w:p>
    <w:p w:rsidR="00103498" w:rsidRPr="00BF42B7" w:rsidRDefault="00103498" w:rsidP="00A77784">
      <w:pPr>
        <w:pStyle w:val="H23GC"/>
      </w:pPr>
      <w:bookmarkStart w:id="12" w:name="_Toc304293422"/>
      <w:bookmarkStart w:id="13" w:name="_Toc304454136"/>
      <w:r w:rsidRPr="00BF42B7">
        <w:rPr>
          <w:rFonts w:hint="eastAsia"/>
          <w:lang w:val="zh-CN"/>
        </w:rPr>
        <w:tab/>
      </w:r>
      <w:r w:rsidRPr="00BF42B7">
        <w:rPr>
          <w:lang w:val="zh-CN"/>
        </w:rPr>
        <w:t>1.</w:t>
      </w:r>
      <w:r w:rsidRPr="00BF42B7">
        <w:rPr>
          <w:lang w:val="zh-CN"/>
        </w:rPr>
        <w:tab/>
      </w:r>
      <w:r w:rsidRPr="00BF42B7">
        <w:rPr>
          <w:lang w:val="zh-CN"/>
        </w:rPr>
        <w:t>条款草案案文</w:t>
      </w:r>
      <w:bookmarkEnd w:id="12"/>
      <w:bookmarkEnd w:id="13"/>
    </w:p>
    <w:p w:rsidR="00103498" w:rsidRPr="00BF42B7" w:rsidRDefault="00103498" w:rsidP="00A77784">
      <w:pPr>
        <w:pStyle w:val="SingleTxtGC"/>
        <w:rPr>
          <w:lang w:val="zh-CN"/>
        </w:rPr>
      </w:pPr>
      <w:r w:rsidRPr="00BF42B7">
        <w:rPr>
          <w:rFonts w:hint="eastAsia"/>
          <w:lang w:val="zh-CN"/>
        </w:rPr>
        <w:t>48</w:t>
      </w:r>
      <w:r w:rsidRPr="00BF42B7">
        <w:rPr>
          <w:lang w:val="zh-CN"/>
        </w:rPr>
        <w:t>.</w:t>
      </w:r>
      <w:r w:rsidR="00781663">
        <w:rPr>
          <w:rFonts w:hint="eastAsia"/>
          <w:lang w:val="zh-CN"/>
        </w:rPr>
        <w:t xml:space="preserve">  </w:t>
      </w:r>
      <w:r w:rsidRPr="00BF42B7">
        <w:rPr>
          <w:lang w:val="zh-CN"/>
        </w:rPr>
        <w:t>委员会第六十八届会议二读通过的条款草案案文载录如下。</w:t>
      </w:r>
    </w:p>
    <w:p w:rsidR="00103498" w:rsidRPr="00BF42B7" w:rsidRDefault="00103498" w:rsidP="00CD12D6">
      <w:pPr>
        <w:pStyle w:val="H23GC"/>
        <w:ind w:left="1554"/>
        <w:rPr>
          <w:lang w:val="zh-CN"/>
        </w:rPr>
      </w:pPr>
      <w:r w:rsidRPr="00BF42B7">
        <w:rPr>
          <w:rFonts w:hint="eastAsia"/>
          <w:color w:val="0000FF"/>
          <w:lang w:val="zh-CN"/>
        </w:rPr>
        <w:tab/>
      </w:r>
      <w:r w:rsidRPr="00BF42B7">
        <w:rPr>
          <w:rFonts w:hint="eastAsia"/>
          <w:color w:val="0000FF"/>
          <w:lang w:val="zh-CN"/>
        </w:rPr>
        <w:tab/>
      </w:r>
      <w:r w:rsidRPr="00BF42B7">
        <w:rPr>
          <w:lang w:val="zh-CN"/>
        </w:rPr>
        <w:t>发生灾害时的人员保护</w:t>
      </w:r>
    </w:p>
    <w:p w:rsidR="00103498" w:rsidRPr="00BF42B7" w:rsidRDefault="00103498" w:rsidP="00CD12D6">
      <w:pPr>
        <w:pStyle w:val="SingleTxtGC"/>
        <w:tabs>
          <w:tab w:val="clear" w:pos="1134"/>
          <w:tab w:val="clear" w:pos="1565"/>
          <w:tab w:val="clear" w:pos="1996"/>
          <w:tab w:val="clear" w:pos="2427"/>
          <w:tab w:val="left" w:pos="1985"/>
        </w:tabs>
        <w:ind w:left="1554"/>
      </w:pPr>
      <w:r w:rsidRPr="00BF42B7">
        <w:rPr>
          <w:lang w:val="zh-CN"/>
        </w:rPr>
        <w:tab/>
      </w:r>
      <w:r w:rsidRPr="00BF42B7">
        <w:rPr>
          <w:rFonts w:eastAsia="楷体"/>
          <w:lang w:val="zh-CN"/>
        </w:rPr>
        <w:t>铭记</w:t>
      </w:r>
      <w:r w:rsidRPr="00BF42B7">
        <w:rPr>
          <w:lang w:val="zh-CN"/>
        </w:rPr>
        <w:t>《联合国宪章》第十三条第一款</w:t>
      </w:r>
      <w:r w:rsidRPr="00BF42B7">
        <w:rPr>
          <w:lang w:val="zh-CN"/>
        </w:rPr>
        <w:t>(</w:t>
      </w:r>
      <w:r w:rsidRPr="00BF42B7">
        <w:rPr>
          <w:lang w:val="zh-CN"/>
        </w:rPr>
        <w:t>子</w:t>
      </w:r>
      <w:r w:rsidRPr="00BF42B7">
        <w:rPr>
          <w:lang w:val="zh-CN"/>
        </w:rPr>
        <w:t>)</w:t>
      </w:r>
      <w:r w:rsidRPr="00BF42B7">
        <w:rPr>
          <w:lang w:val="zh-CN"/>
        </w:rPr>
        <w:t>项，其中规定大会应发动研究，并作成建议，以提倡国际法之逐渐发展与编纂，</w:t>
      </w:r>
      <w:r w:rsidRPr="00BF42B7">
        <w:rPr>
          <w:lang w:val="zh-CN"/>
        </w:rPr>
        <w:t xml:space="preserve"> </w:t>
      </w:r>
    </w:p>
    <w:p w:rsidR="00103498" w:rsidRPr="00BF42B7" w:rsidRDefault="00103498" w:rsidP="00CD12D6">
      <w:pPr>
        <w:pStyle w:val="SingleTxtGC"/>
        <w:tabs>
          <w:tab w:val="clear" w:pos="1134"/>
          <w:tab w:val="clear" w:pos="1565"/>
          <w:tab w:val="clear" w:pos="2427"/>
        </w:tabs>
        <w:ind w:left="1554"/>
      </w:pPr>
      <w:r w:rsidRPr="00BF42B7">
        <w:rPr>
          <w:lang w:val="zh-CN"/>
        </w:rPr>
        <w:tab/>
      </w:r>
      <w:r w:rsidRPr="00BF42B7">
        <w:rPr>
          <w:rFonts w:eastAsia="楷体"/>
          <w:lang w:val="zh-CN"/>
        </w:rPr>
        <w:t>考虑到</w:t>
      </w:r>
      <w:r w:rsidRPr="00BF42B7">
        <w:rPr>
          <w:lang w:val="zh-CN"/>
        </w:rPr>
        <w:t>自然灾害和人为灾害的频繁</w:t>
      </w:r>
      <w:r w:rsidRPr="00BF42B7">
        <w:rPr>
          <w:rFonts w:hint="eastAsia"/>
          <w:lang w:val="zh-CN"/>
        </w:rPr>
        <w:t>性</w:t>
      </w:r>
      <w:r w:rsidRPr="00BF42B7">
        <w:rPr>
          <w:lang w:val="zh-CN"/>
        </w:rPr>
        <w:t>和严重性以及灾害的短期和长期破坏性影响，</w:t>
      </w:r>
      <w:r w:rsidRPr="00BF42B7">
        <w:rPr>
          <w:lang w:val="zh-CN"/>
        </w:rPr>
        <w:t xml:space="preserve"> </w:t>
      </w:r>
    </w:p>
    <w:p w:rsidR="00103498" w:rsidRPr="00BF42B7" w:rsidRDefault="00103498" w:rsidP="00CD12D6">
      <w:pPr>
        <w:pStyle w:val="SingleTxtGC"/>
        <w:tabs>
          <w:tab w:val="clear" w:pos="1134"/>
          <w:tab w:val="clear" w:pos="1565"/>
          <w:tab w:val="clear" w:pos="2427"/>
        </w:tabs>
        <w:ind w:left="1554"/>
        <w:rPr>
          <w:szCs w:val="21"/>
        </w:rPr>
      </w:pPr>
      <w:r w:rsidRPr="00BF42B7">
        <w:rPr>
          <w:szCs w:val="21"/>
          <w:lang w:val="zh-CN"/>
        </w:rPr>
        <w:tab/>
      </w:r>
      <w:r w:rsidRPr="00BF42B7">
        <w:rPr>
          <w:rFonts w:eastAsia="楷体"/>
          <w:szCs w:val="21"/>
          <w:lang w:val="zh-CN"/>
        </w:rPr>
        <w:t>充分意识到</w:t>
      </w:r>
      <w:r w:rsidRPr="00BF42B7">
        <w:rPr>
          <w:szCs w:val="21"/>
          <w:lang w:val="zh-CN"/>
        </w:rPr>
        <w:t>受灾人员的基本需要，并意识到在</w:t>
      </w:r>
      <w:r w:rsidRPr="00BF42B7">
        <w:rPr>
          <w:rFonts w:hint="eastAsia"/>
          <w:szCs w:val="21"/>
          <w:lang w:val="zh-CN"/>
        </w:rPr>
        <w:t>受灾</w:t>
      </w:r>
      <w:r w:rsidRPr="00BF42B7">
        <w:rPr>
          <w:szCs w:val="21"/>
          <w:lang w:val="zh-CN"/>
        </w:rPr>
        <w:t>情况下，这些人</w:t>
      </w:r>
      <w:r w:rsidRPr="00BF42B7">
        <w:rPr>
          <w:rFonts w:hint="eastAsia"/>
          <w:szCs w:val="21"/>
          <w:lang w:val="zh-CN"/>
        </w:rPr>
        <w:t>员</w:t>
      </w:r>
      <w:r w:rsidRPr="00BF42B7">
        <w:rPr>
          <w:szCs w:val="21"/>
          <w:lang w:val="zh-CN"/>
        </w:rPr>
        <w:t>的权利必须得到尊重，</w:t>
      </w:r>
      <w:r w:rsidRPr="00BF42B7">
        <w:rPr>
          <w:szCs w:val="21"/>
          <w:lang w:val="zh-CN"/>
        </w:rPr>
        <w:t xml:space="preserve"> </w:t>
      </w:r>
    </w:p>
    <w:p w:rsidR="00103498" w:rsidRPr="00BF42B7" w:rsidRDefault="00103498" w:rsidP="00CD12D6">
      <w:pPr>
        <w:pStyle w:val="SingleTxtGC"/>
        <w:tabs>
          <w:tab w:val="clear" w:pos="1134"/>
          <w:tab w:val="clear" w:pos="1565"/>
          <w:tab w:val="clear" w:pos="2427"/>
        </w:tabs>
        <w:ind w:left="1554"/>
        <w:rPr>
          <w:szCs w:val="21"/>
        </w:rPr>
      </w:pPr>
      <w:r w:rsidRPr="00BF42B7">
        <w:rPr>
          <w:szCs w:val="21"/>
          <w:lang w:val="zh-CN"/>
        </w:rPr>
        <w:tab/>
      </w:r>
      <w:r w:rsidRPr="00BF42B7">
        <w:rPr>
          <w:rFonts w:eastAsia="楷体" w:hint="eastAsia"/>
          <w:szCs w:val="21"/>
          <w:lang w:val="zh-CN"/>
        </w:rPr>
        <w:t>意识到</w:t>
      </w:r>
      <w:r w:rsidRPr="00BF42B7">
        <w:rPr>
          <w:szCs w:val="21"/>
          <w:lang w:val="zh-CN"/>
        </w:rPr>
        <w:t>团结在</w:t>
      </w:r>
      <w:r w:rsidRPr="00BF42B7">
        <w:rPr>
          <w:lang w:val="zh-CN"/>
        </w:rPr>
        <w:t>国际</w:t>
      </w:r>
      <w:r w:rsidRPr="00BF42B7">
        <w:rPr>
          <w:szCs w:val="21"/>
          <w:lang w:val="zh-CN"/>
        </w:rPr>
        <w:t>关系中的</w:t>
      </w:r>
      <w:r w:rsidRPr="00BF42B7">
        <w:rPr>
          <w:rFonts w:hint="eastAsia"/>
          <w:szCs w:val="21"/>
          <w:lang w:val="zh-CN"/>
        </w:rPr>
        <w:t>基</w:t>
      </w:r>
      <w:r w:rsidRPr="00BF42B7">
        <w:rPr>
          <w:szCs w:val="21"/>
          <w:lang w:val="zh-CN"/>
        </w:rPr>
        <w:t>本价值以及在灾害的所有阶段加强国际合作的重要性，</w:t>
      </w:r>
      <w:r w:rsidRPr="00BF42B7">
        <w:rPr>
          <w:szCs w:val="21"/>
          <w:lang w:val="zh-CN"/>
        </w:rPr>
        <w:t xml:space="preserve"> </w:t>
      </w:r>
    </w:p>
    <w:p w:rsidR="00103498" w:rsidRPr="00BF42B7" w:rsidRDefault="00103498" w:rsidP="00CD12D6">
      <w:pPr>
        <w:pStyle w:val="SingleTxtGC"/>
        <w:tabs>
          <w:tab w:val="clear" w:pos="1134"/>
          <w:tab w:val="clear" w:pos="1565"/>
          <w:tab w:val="clear" w:pos="2427"/>
        </w:tabs>
        <w:ind w:left="1554"/>
        <w:rPr>
          <w:szCs w:val="21"/>
        </w:rPr>
      </w:pPr>
      <w:r w:rsidRPr="00BF42B7">
        <w:rPr>
          <w:szCs w:val="21"/>
          <w:lang w:val="zh-CN"/>
        </w:rPr>
        <w:tab/>
      </w:r>
      <w:r w:rsidRPr="00BF42B7">
        <w:rPr>
          <w:rFonts w:eastAsia="楷体"/>
          <w:szCs w:val="21"/>
          <w:lang w:val="zh-CN"/>
        </w:rPr>
        <w:t>强调</w:t>
      </w:r>
      <w:r w:rsidRPr="00BF42B7">
        <w:rPr>
          <w:szCs w:val="21"/>
          <w:lang w:val="zh-CN"/>
        </w:rPr>
        <w:t>国家主权原则，因此重申受灾国在提供救灾援助方面承担主要作用，</w:t>
      </w:r>
    </w:p>
    <w:p w:rsidR="00103498" w:rsidRPr="00BF42B7" w:rsidRDefault="00103498" w:rsidP="00CD12D6">
      <w:pPr>
        <w:pStyle w:val="H23GC"/>
        <w:ind w:left="1554"/>
      </w:pPr>
      <w:r w:rsidRPr="00BF42B7">
        <w:rPr>
          <w:rFonts w:hint="eastAsia"/>
          <w:lang w:val="zh-CN"/>
        </w:rPr>
        <w:tab/>
      </w:r>
      <w:r w:rsidRPr="00BF42B7">
        <w:rPr>
          <w:rFonts w:hint="eastAsia"/>
          <w:lang w:val="zh-CN"/>
        </w:rPr>
        <w:tab/>
      </w:r>
      <w:r w:rsidRPr="00BF42B7">
        <w:rPr>
          <w:lang w:val="zh-CN"/>
        </w:rPr>
        <w:t>第</w:t>
      </w:r>
      <w:r w:rsidRPr="00BF42B7">
        <w:rPr>
          <w:lang w:val="zh-CN"/>
        </w:rPr>
        <w:t>1</w:t>
      </w:r>
      <w:r w:rsidRPr="00BF42B7">
        <w:rPr>
          <w:lang w:val="zh-CN"/>
        </w:rPr>
        <w:t>条</w:t>
      </w:r>
      <w:r w:rsidRPr="00BF42B7">
        <w:rPr>
          <w:rFonts w:hint="eastAsia"/>
        </w:rPr>
        <w:br/>
      </w:r>
      <w:r w:rsidRPr="00BF42B7">
        <w:rPr>
          <w:lang w:val="zh-CN"/>
        </w:rPr>
        <w:t>范围</w:t>
      </w:r>
    </w:p>
    <w:p w:rsidR="00103498" w:rsidRPr="00BF42B7" w:rsidRDefault="00103498" w:rsidP="00CD12D6">
      <w:pPr>
        <w:pStyle w:val="SingleTxtGC"/>
        <w:tabs>
          <w:tab w:val="clear" w:pos="1134"/>
          <w:tab w:val="clear" w:pos="1565"/>
          <w:tab w:val="clear" w:pos="2427"/>
        </w:tabs>
        <w:ind w:left="1554"/>
      </w:pPr>
      <w:r w:rsidRPr="00BF42B7">
        <w:rPr>
          <w:lang w:val="zh-CN"/>
        </w:rPr>
        <w:tab/>
      </w:r>
      <w:r w:rsidRPr="00BF42B7">
        <w:rPr>
          <w:lang w:val="zh-CN"/>
        </w:rPr>
        <w:t>本条款草案适用于发生灾害时的人员保护。</w:t>
      </w:r>
    </w:p>
    <w:p w:rsidR="00103498" w:rsidRPr="00BF42B7" w:rsidRDefault="00103498" w:rsidP="00CD12D6">
      <w:pPr>
        <w:pStyle w:val="H23GC"/>
        <w:ind w:left="1554"/>
        <w:rPr>
          <w:b/>
          <w:bCs/>
          <w:szCs w:val="21"/>
        </w:rPr>
      </w:pPr>
      <w:bookmarkStart w:id="14" w:name="OLE_LINK3"/>
      <w:bookmarkStart w:id="15" w:name="OLE_LINK4"/>
      <w:r w:rsidRPr="00BF42B7">
        <w:rPr>
          <w:rFonts w:hint="eastAsia"/>
          <w:lang w:val="zh-CN"/>
        </w:rPr>
        <w:tab/>
      </w:r>
      <w:r w:rsidRPr="00BF42B7">
        <w:rPr>
          <w:rFonts w:hint="eastAsia"/>
          <w:lang w:val="zh-CN"/>
        </w:rPr>
        <w:tab/>
      </w:r>
      <w:r w:rsidRPr="00BF42B7">
        <w:rPr>
          <w:lang w:val="zh-CN"/>
        </w:rPr>
        <w:t>第</w:t>
      </w:r>
      <w:r w:rsidRPr="00BF42B7">
        <w:rPr>
          <w:lang w:val="zh-CN"/>
        </w:rPr>
        <w:t>2</w:t>
      </w:r>
      <w:r w:rsidRPr="00BF42B7">
        <w:rPr>
          <w:lang w:val="zh-CN"/>
        </w:rPr>
        <w:t>条</w:t>
      </w:r>
      <w:r w:rsidRPr="00BF42B7">
        <w:rPr>
          <w:rFonts w:hint="eastAsia"/>
        </w:rPr>
        <w:br/>
      </w:r>
      <w:r w:rsidRPr="00BF42B7">
        <w:rPr>
          <w:szCs w:val="21"/>
          <w:lang w:val="zh-CN"/>
        </w:rPr>
        <w:t>宗旨</w:t>
      </w:r>
    </w:p>
    <w:p w:rsidR="00103498" w:rsidRPr="00BF42B7" w:rsidRDefault="00103498" w:rsidP="00CD12D6">
      <w:pPr>
        <w:pStyle w:val="SingleTxtGC"/>
        <w:tabs>
          <w:tab w:val="clear" w:pos="1134"/>
          <w:tab w:val="clear" w:pos="1565"/>
          <w:tab w:val="clear" w:pos="2427"/>
        </w:tabs>
        <w:ind w:left="1554"/>
        <w:rPr>
          <w:lang w:val="zh-CN"/>
        </w:rPr>
      </w:pPr>
      <w:r w:rsidRPr="00BF42B7">
        <w:rPr>
          <w:lang w:val="zh-CN"/>
        </w:rPr>
        <w:tab/>
      </w:r>
      <w:r w:rsidRPr="00BF42B7">
        <w:rPr>
          <w:lang w:val="zh-CN"/>
        </w:rPr>
        <w:t>本条款草案的宗旨是促进充分和有效地应对灾害和减少灾害风险，以满足有关人员的基本需要，充分尊重其权利。</w:t>
      </w:r>
      <w:r w:rsidRPr="00BF42B7">
        <w:rPr>
          <w:lang w:val="zh-CN"/>
        </w:rPr>
        <w:t xml:space="preserve"> </w:t>
      </w:r>
      <w:bookmarkEnd w:id="14"/>
      <w:bookmarkEnd w:id="15"/>
    </w:p>
    <w:p w:rsidR="00103498" w:rsidRPr="00BF42B7" w:rsidRDefault="00103498" w:rsidP="00CD12D6">
      <w:pPr>
        <w:pStyle w:val="H23GC"/>
        <w:ind w:left="1554"/>
      </w:pPr>
      <w:r w:rsidRPr="00BF42B7">
        <w:rPr>
          <w:rFonts w:hint="eastAsia"/>
          <w:lang w:val="zh-CN"/>
        </w:rPr>
        <w:tab/>
      </w:r>
      <w:r w:rsidRPr="00BF42B7">
        <w:rPr>
          <w:rFonts w:hint="eastAsia"/>
          <w:lang w:val="zh-CN"/>
        </w:rPr>
        <w:tab/>
      </w:r>
      <w:r w:rsidRPr="00BF42B7">
        <w:rPr>
          <w:lang w:val="zh-CN"/>
        </w:rPr>
        <w:t>第</w:t>
      </w:r>
      <w:r w:rsidRPr="00BF42B7">
        <w:rPr>
          <w:lang w:val="zh-CN"/>
        </w:rPr>
        <w:t>3</w:t>
      </w:r>
      <w:r w:rsidRPr="00BF42B7">
        <w:rPr>
          <w:lang w:val="zh-CN"/>
        </w:rPr>
        <w:t>条</w:t>
      </w:r>
      <w:r w:rsidRPr="00BF42B7">
        <w:rPr>
          <w:rFonts w:hint="eastAsia"/>
        </w:rPr>
        <w:br/>
      </w:r>
      <w:r w:rsidRPr="00BF42B7">
        <w:rPr>
          <w:lang w:val="zh-CN"/>
        </w:rPr>
        <w:t>用语</w:t>
      </w:r>
    </w:p>
    <w:p w:rsidR="00103498" w:rsidRPr="00BF42B7" w:rsidRDefault="00103498" w:rsidP="00CD12D6">
      <w:pPr>
        <w:pStyle w:val="SingleTxtGC"/>
        <w:tabs>
          <w:tab w:val="clear" w:pos="1134"/>
          <w:tab w:val="clear" w:pos="1565"/>
          <w:tab w:val="clear" w:pos="2427"/>
        </w:tabs>
        <w:ind w:left="1554"/>
      </w:pPr>
      <w:r w:rsidRPr="00BF42B7">
        <w:tab/>
      </w:r>
      <w:r w:rsidRPr="00BF42B7">
        <w:rPr>
          <w:lang w:val="zh-CN"/>
        </w:rPr>
        <w:t>为本条款草案的目的：</w:t>
      </w:r>
    </w:p>
    <w:p w:rsidR="00103498" w:rsidRPr="00C222FC" w:rsidRDefault="00103498" w:rsidP="00396D56">
      <w:pPr>
        <w:pStyle w:val="SingleTxtGC"/>
        <w:numPr>
          <w:ilvl w:val="0"/>
          <w:numId w:val="12"/>
        </w:numPr>
        <w:ind w:left="1554"/>
      </w:pPr>
      <w:r w:rsidRPr="00C222FC">
        <w:rPr>
          <w:rFonts w:hint="eastAsia"/>
          <w:lang w:val="zh-CN"/>
        </w:rPr>
        <w:t>“</w:t>
      </w:r>
      <w:r w:rsidRPr="00C222FC">
        <w:rPr>
          <w:lang w:val="zh-CN"/>
        </w:rPr>
        <w:t>灾害</w:t>
      </w:r>
      <w:r w:rsidRPr="00C222FC">
        <w:rPr>
          <w:rFonts w:hint="eastAsia"/>
          <w:lang w:val="zh-CN"/>
        </w:rPr>
        <w:t>”</w:t>
      </w:r>
      <w:r w:rsidRPr="00C222FC">
        <w:rPr>
          <w:lang w:val="zh-CN"/>
        </w:rPr>
        <w:t>是指造成广泛的生命损失、巨大的人类痛苦和危难、大规模流离失所、或大规模的物质或环境损害，从而严重扰乱社会运转的一个灾难性事件或一系列事件；</w:t>
      </w:r>
    </w:p>
    <w:p w:rsidR="00103498" w:rsidRPr="00C222FC" w:rsidRDefault="00103498" w:rsidP="00396D56">
      <w:pPr>
        <w:pStyle w:val="SingleTxtGC"/>
        <w:numPr>
          <w:ilvl w:val="0"/>
          <w:numId w:val="12"/>
        </w:numPr>
        <w:ind w:left="1554"/>
      </w:pPr>
      <w:r w:rsidRPr="00C222FC">
        <w:rPr>
          <w:rFonts w:hint="eastAsia"/>
          <w:lang w:val="zh-CN"/>
        </w:rPr>
        <w:t>“</w:t>
      </w:r>
      <w:r w:rsidRPr="00C222FC">
        <w:rPr>
          <w:lang w:val="zh-CN"/>
        </w:rPr>
        <w:t>受灾国</w:t>
      </w:r>
      <w:r w:rsidRPr="00C222FC">
        <w:rPr>
          <w:rFonts w:hint="eastAsia"/>
          <w:lang w:val="zh-CN"/>
        </w:rPr>
        <w:t>”</w:t>
      </w:r>
      <w:r w:rsidRPr="00C222FC">
        <w:rPr>
          <w:lang w:val="zh-CN"/>
        </w:rPr>
        <w:t>是指在其领土或受其管辖或控制的领土内发生灾害的国家；</w:t>
      </w:r>
    </w:p>
    <w:p w:rsidR="00103498" w:rsidRPr="00C222FC" w:rsidRDefault="00103498" w:rsidP="00396D56">
      <w:pPr>
        <w:pStyle w:val="SingleTxtGC"/>
        <w:numPr>
          <w:ilvl w:val="0"/>
          <w:numId w:val="12"/>
        </w:numPr>
        <w:ind w:left="1554"/>
      </w:pPr>
      <w:r w:rsidRPr="00C222FC">
        <w:rPr>
          <w:rFonts w:hint="eastAsia"/>
          <w:lang w:val="zh-CN"/>
        </w:rPr>
        <w:t>“</w:t>
      </w:r>
      <w:r w:rsidRPr="00C222FC">
        <w:rPr>
          <w:lang w:val="zh-CN"/>
        </w:rPr>
        <w:t>援助国</w:t>
      </w:r>
      <w:r w:rsidRPr="00C222FC">
        <w:rPr>
          <w:rFonts w:hint="eastAsia"/>
          <w:lang w:val="zh-CN"/>
        </w:rPr>
        <w:t>”</w:t>
      </w:r>
      <w:r w:rsidRPr="00C222FC">
        <w:rPr>
          <w:lang w:val="zh-CN"/>
        </w:rPr>
        <w:t>是指经受灾国同意向其提供援助的国家；</w:t>
      </w:r>
    </w:p>
    <w:p w:rsidR="00103498" w:rsidRPr="00C222FC" w:rsidRDefault="00103498" w:rsidP="00396D56">
      <w:pPr>
        <w:pStyle w:val="SingleTxtGC"/>
        <w:numPr>
          <w:ilvl w:val="0"/>
          <w:numId w:val="12"/>
        </w:numPr>
        <w:ind w:left="1554"/>
      </w:pPr>
      <w:r w:rsidRPr="00C222FC">
        <w:rPr>
          <w:rFonts w:hint="eastAsia"/>
          <w:lang w:val="zh-CN"/>
        </w:rPr>
        <w:t>“</w:t>
      </w:r>
      <w:r w:rsidRPr="00C222FC">
        <w:rPr>
          <w:lang w:val="zh-CN"/>
        </w:rPr>
        <w:t>其他援助方</w:t>
      </w:r>
      <w:r w:rsidRPr="00C222FC">
        <w:rPr>
          <w:rFonts w:hint="eastAsia"/>
          <w:lang w:val="zh-CN"/>
        </w:rPr>
        <w:t>”</w:t>
      </w:r>
      <w:r w:rsidRPr="00C222FC">
        <w:rPr>
          <w:lang w:val="zh-CN"/>
        </w:rPr>
        <w:t>是指经受灾国同意向其提供援助的主管政府间组织或有关非政府组织或实体；</w:t>
      </w:r>
      <w:r w:rsidRPr="00C222FC">
        <w:rPr>
          <w:lang w:val="zh-CN"/>
        </w:rPr>
        <w:t xml:space="preserve"> </w:t>
      </w:r>
    </w:p>
    <w:p w:rsidR="00103498" w:rsidRPr="00C222FC" w:rsidRDefault="00103498" w:rsidP="00396D56">
      <w:pPr>
        <w:pStyle w:val="SingleTxtGC"/>
        <w:numPr>
          <w:ilvl w:val="0"/>
          <w:numId w:val="12"/>
        </w:numPr>
        <w:ind w:left="1554"/>
      </w:pPr>
      <w:r w:rsidRPr="00C222FC">
        <w:rPr>
          <w:rFonts w:hint="eastAsia"/>
          <w:lang w:val="zh-CN"/>
        </w:rPr>
        <w:t>“</w:t>
      </w:r>
      <w:r w:rsidRPr="00C222FC">
        <w:rPr>
          <w:lang w:val="zh-CN"/>
        </w:rPr>
        <w:t>外部援助</w:t>
      </w:r>
      <w:r w:rsidRPr="00C222FC">
        <w:rPr>
          <w:rFonts w:hint="eastAsia"/>
          <w:lang w:val="zh-CN"/>
        </w:rPr>
        <w:t>”</w:t>
      </w:r>
      <w:r w:rsidRPr="00C222FC">
        <w:rPr>
          <w:lang w:val="zh-CN"/>
        </w:rPr>
        <w:t>是指援助国或其他援助方为救灾援助而向受灾国提供的救灾人员、设备和物资</w:t>
      </w:r>
      <w:r w:rsidRPr="00C222FC">
        <w:rPr>
          <w:rFonts w:hint="eastAsia"/>
          <w:lang w:val="zh-CN"/>
        </w:rPr>
        <w:t>以</w:t>
      </w:r>
      <w:r w:rsidRPr="00C222FC">
        <w:rPr>
          <w:lang w:val="zh-CN"/>
        </w:rPr>
        <w:t>及服务；</w:t>
      </w:r>
    </w:p>
    <w:p w:rsidR="00103498" w:rsidRPr="00C222FC" w:rsidRDefault="00103498" w:rsidP="00396D56">
      <w:pPr>
        <w:pStyle w:val="SingleTxtGC"/>
        <w:numPr>
          <w:ilvl w:val="0"/>
          <w:numId w:val="12"/>
        </w:numPr>
        <w:ind w:left="1554"/>
      </w:pPr>
      <w:r w:rsidRPr="00C222FC">
        <w:rPr>
          <w:rFonts w:hint="eastAsia"/>
          <w:lang w:val="zh-CN"/>
        </w:rPr>
        <w:t>“</w:t>
      </w:r>
      <w:r w:rsidRPr="00C222FC">
        <w:rPr>
          <w:lang w:val="zh-CN"/>
        </w:rPr>
        <w:t>救灾人员</w:t>
      </w:r>
      <w:r w:rsidRPr="00C222FC">
        <w:rPr>
          <w:rFonts w:hint="eastAsia"/>
          <w:lang w:val="zh-CN"/>
        </w:rPr>
        <w:t>”</w:t>
      </w:r>
      <w:r w:rsidRPr="00C222FC">
        <w:rPr>
          <w:lang w:val="zh-CN"/>
        </w:rPr>
        <w:t>是指援助国或其他援助方为提供救灾援助而派遣的民事或军事人员；</w:t>
      </w:r>
    </w:p>
    <w:p w:rsidR="00103498" w:rsidRPr="00C222FC" w:rsidRDefault="00103498" w:rsidP="00396D56">
      <w:pPr>
        <w:pStyle w:val="SingleTxtGC"/>
        <w:numPr>
          <w:ilvl w:val="0"/>
          <w:numId w:val="12"/>
        </w:numPr>
        <w:ind w:left="1554"/>
      </w:pPr>
      <w:r w:rsidRPr="00C222FC">
        <w:rPr>
          <w:rFonts w:hint="eastAsia"/>
          <w:lang w:val="zh-CN"/>
        </w:rPr>
        <w:t>“</w:t>
      </w:r>
      <w:r w:rsidRPr="00C222FC">
        <w:rPr>
          <w:lang w:val="zh-CN"/>
        </w:rPr>
        <w:t>设备和物资</w:t>
      </w:r>
      <w:r w:rsidRPr="00C222FC">
        <w:rPr>
          <w:rFonts w:hint="eastAsia"/>
          <w:lang w:val="zh-CN"/>
        </w:rPr>
        <w:t>”</w:t>
      </w:r>
      <w:r w:rsidRPr="00C222FC">
        <w:rPr>
          <w:lang w:val="zh-CN"/>
        </w:rPr>
        <w:t>是指为救灾援助提供的用品、工具、机器、经过专门训练的动物、食品、饮用水、医疗用品、栖身手段、衣物、铺盖用品、车辆、电信设备和其他物品。</w:t>
      </w:r>
    </w:p>
    <w:p w:rsidR="00103498" w:rsidRPr="00BF42B7" w:rsidRDefault="00103498" w:rsidP="00CD12D6">
      <w:pPr>
        <w:pStyle w:val="H23GC"/>
        <w:ind w:left="1554"/>
        <w:rPr>
          <w:lang w:val="zh-CN"/>
        </w:rPr>
      </w:pPr>
      <w:r w:rsidRPr="00BF42B7">
        <w:rPr>
          <w:rFonts w:hint="eastAsia"/>
          <w:lang w:val="zh-CN"/>
        </w:rPr>
        <w:tab/>
      </w:r>
      <w:r w:rsidRPr="00BF42B7">
        <w:rPr>
          <w:rFonts w:hint="eastAsia"/>
          <w:lang w:val="zh-CN"/>
        </w:rPr>
        <w:tab/>
      </w:r>
      <w:r w:rsidRPr="00BF42B7">
        <w:rPr>
          <w:lang w:val="zh-CN"/>
        </w:rPr>
        <w:t>第</w:t>
      </w:r>
      <w:r w:rsidRPr="00BF42B7">
        <w:rPr>
          <w:lang w:val="zh-CN"/>
        </w:rPr>
        <w:t>4</w:t>
      </w:r>
      <w:r w:rsidRPr="00BF42B7">
        <w:rPr>
          <w:lang w:val="zh-CN"/>
        </w:rPr>
        <w:t>条</w:t>
      </w:r>
      <w:r w:rsidRPr="00BF42B7">
        <w:rPr>
          <w:rFonts w:hint="eastAsia"/>
          <w:lang w:val="zh-CN"/>
        </w:rPr>
        <w:br/>
      </w:r>
      <w:r w:rsidRPr="00BF42B7">
        <w:rPr>
          <w:lang w:val="zh-CN"/>
        </w:rPr>
        <w:t>人的尊严</w:t>
      </w:r>
    </w:p>
    <w:p w:rsidR="00103498" w:rsidRPr="00BF42B7" w:rsidRDefault="00103498" w:rsidP="00CD12D6">
      <w:pPr>
        <w:pStyle w:val="SingleTxtGC"/>
        <w:tabs>
          <w:tab w:val="clear" w:pos="1134"/>
          <w:tab w:val="clear" w:pos="1565"/>
          <w:tab w:val="clear" w:pos="2427"/>
        </w:tabs>
        <w:ind w:left="1554"/>
      </w:pPr>
      <w:r w:rsidRPr="00BF42B7">
        <w:rPr>
          <w:lang w:val="zh-CN"/>
        </w:rPr>
        <w:tab/>
      </w:r>
      <w:r w:rsidRPr="00BF42B7">
        <w:rPr>
          <w:lang w:val="zh-CN"/>
        </w:rPr>
        <w:t>发生灾害时，人的固有尊严应得到尊重和保护。</w:t>
      </w:r>
    </w:p>
    <w:p w:rsidR="00103498" w:rsidRPr="00BF42B7" w:rsidRDefault="00103498" w:rsidP="00CD12D6">
      <w:pPr>
        <w:pStyle w:val="H23GC"/>
        <w:ind w:left="1554"/>
        <w:rPr>
          <w:b/>
          <w:bCs/>
          <w:szCs w:val="21"/>
        </w:rPr>
      </w:pPr>
      <w:r w:rsidRPr="00BF42B7">
        <w:rPr>
          <w:rFonts w:hint="eastAsia"/>
          <w:lang w:val="zh-CN"/>
        </w:rPr>
        <w:tab/>
      </w:r>
      <w:r w:rsidRPr="00BF42B7">
        <w:rPr>
          <w:rFonts w:hint="eastAsia"/>
          <w:lang w:val="zh-CN"/>
        </w:rPr>
        <w:tab/>
      </w:r>
      <w:r w:rsidRPr="00BF42B7">
        <w:rPr>
          <w:lang w:val="zh-CN"/>
        </w:rPr>
        <w:t>第</w:t>
      </w:r>
      <w:r w:rsidRPr="00BF42B7">
        <w:rPr>
          <w:lang w:val="zh-CN"/>
        </w:rPr>
        <w:t>5</w:t>
      </w:r>
      <w:r w:rsidRPr="00BF42B7">
        <w:rPr>
          <w:lang w:val="zh-CN"/>
        </w:rPr>
        <w:t>条</w:t>
      </w:r>
      <w:r w:rsidRPr="00BF42B7">
        <w:rPr>
          <w:rFonts w:hint="eastAsia"/>
          <w:lang w:val="zh-CN"/>
        </w:rPr>
        <w:br/>
      </w:r>
      <w:r w:rsidRPr="00BF42B7">
        <w:rPr>
          <w:lang w:val="zh-CN"/>
        </w:rPr>
        <w:t>人权</w:t>
      </w:r>
    </w:p>
    <w:p w:rsidR="00103498" w:rsidRPr="00BF42B7" w:rsidRDefault="00103498" w:rsidP="00CD12D6">
      <w:pPr>
        <w:pStyle w:val="SingleTxtGC"/>
        <w:tabs>
          <w:tab w:val="clear" w:pos="1134"/>
          <w:tab w:val="clear" w:pos="1565"/>
          <w:tab w:val="clear" w:pos="2427"/>
        </w:tabs>
        <w:ind w:left="1554"/>
      </w:pPr>
      <w:r w:rsidRPr="00BF42B7">
        <w:rPr>
          <w:lang w:val="zh-CN"/>
        </w:rPr>
        <w:tab/>
      </w:r>
      <w:r w:rsidRPr="00BF42B7">
        <w:rPr>
          <w:lang w:val="zh-CN"/>
        </w:rPr>
        <w:t>受灾人员有权依国际法得到对其人权的尊重和保护。</w:t>
      </w:r>
    </w:p>
    <w:p w:rsidR="00103498" w:rsidRPr="00BF42B7" w:rsidRDefault="00103498" w:rsidP="00CD12D6">
      <w:pPr>
        <w:pStyle w:val="H23GC"/>
        <w:ind w:left="1554"/>
        <w:rPr>
          <w:lang w:val="zh-CN"/>
        </w:rPr>
      </w:pPr>
      <w:r w:rsidRPr="00BF42B7">
        <w:rPr>
          <w:rFonts w:hint="eastAsia"/>
          <w:lang w:val="zh-CN"/>
        </w:rPr>
        <w:tab/>
      </w:r>
      <w:r w:rsidRPr="00BF42B7">
        <w:rPr>
          <w:rFonts w:hint="eastAsia"/>
          <w:lang w:val="zh-CN"/>
        </w:rPr>
        <w:tab/>
      </w:r>
      <w:r w:rsidRPr="00BF42B7">
        <w:rPr>
          <w:lang w:val="zh-CN"/>
        </w:rPr>
        <w:t>第</w:t>
      </w:r>
      <w:r w:rsidRPr="00BF42B7">
        <w:rPr>
          <w:lang w:val="zh-CN"/>
        </w:rPr>
        <w:t>6</w:t>
      </w:r>
      <w:r w:rsidRPr="00BF42B7">
        <w:rPr>
          <w:lang w:val="zh-CN"/>
        </w:rPr>
        <w:t>条</w:t>
      </w:r>
      <w:r w:rsidRPr="00BF42B7">
        <w:rPr>
          <w:rFonts w:hint="eastAsia"/>
          <w:lang w:val="zh-CN"/>
        </w:rPr>
        <w:br/>
      </w:r>
      <w:r w:rsidRPr="00BF42B7">
        <w:rPr>
          <w:lang w:val="zh-CN"/>
        </w:rPr>
        <w:t>人道主义原则</w:t>
      </w:r>
    </w:p>
    <w:p w:rsidR="00103498" w:rsidRPr="00BF42B7" w:rsidRDefault="00103498" w:rsidP="00CD12D6">
      <w:pPr>
        <w:pStyle w:val="SingleTxtGC"/>
        <w:tabs>
          <w:tab w:val="clear" w:pos="1134"/>
          <w:tab w:val="clear" w:pos="1565"/>
          <w:tab w:val="clear" w:pos="2427"/>
        </w:tabs>
        <w:ind w:left="1554"/>
      </w:pPr>
      <w:r w:rsidRPr="00BF42B7">
        <w:rPr>
          <w:lang w:val="zh-CN"/>
        </w:rPr>
        <w:tab/>
      </w:r>
      <w:r w:rsidRPr="00BF42B7">
        <w:rPr>
          <w:lang w:val="zh-CN"/>
        </w:rPr>
        <w:t>应对灾害应</w:t>
      </w:r>
      <w:r w:rsidRPr="00BF42B7">
        <w:rPr>
          <w:rFonts w:hint="eastAsia"/>
          <w:lang w:val="zh-CN"/>
        </w:rPr>
        <w:t>按照</w:t>
      </w:r>
      <w:r w:rsidRPr="00BF42B7">
        <w:rPr>
          <w:lang w:val="zh-CN"/>
        </w:rPr>
        <w:t>人道、中立和公正的原则，在不歧视的基础上进行，同时应考虑到特别弱势者的需要。</w:t>
      </w:r>
    </w:p>
    <w:p w:rsidR="00103498" w:rsidRPr="00BF42B7" w:rsidRDefault="00103498" w:rsidP="00CD12D6">
      <w:pPr>
        <w:pStyle w:val="H23GC"/>
        <w:ind w:left="1554"/>
        <w:rPr>
          <w:lang w:val="zh-CN"/>
        </w:rPr>
      </w:pPr>
      <w:r w:rsidRPr="00BF42B7">
        <w:rPr>
          <w:rFonts w:hint="eastAsia"/>
          <w:lang w:val="zh-CN"/>
        </w:rPr>
        <w:tab/>
      </w:r>
      <w:r w:rsidRPr="00BF42B7">
        <w:rPr>
          <w:rFonts w:hint="eastAsia"/>
          <w:lang w:val="zh-CN"/>
        </w:rPr>
        <w:tab/>
      </w:r>
      <w:r w:rsidRPr="00BF42B7">
        <w:rPr>
          <w:lang w:val="zh-CN"/>
        </w:rPr>
        <w:t>第</w:t>
      </w:r>
      <w:r w:rsidRPr="00BF42B7">
        <w:rPr>
          <w:lang w:val="zh-CN"/>
        </w:rPr>
        <w:t>7</w:t>
      </w:r>
      <w:r w:rsidRPr="00BF42B7">
        <w:rPr>
          <w:lang w:val="zh-CN"/>
        </w:rPr>
        <w:t>条</w:t>
      </w:r>
      <w:r w:rsidRPr="00BF42B7">
        <w:rPr>
          <w:rFonts w:hint="eastAsia"/>
          <w:lang w:val="zh-CN"/>
        </w:rPr>
        <w:br/>
      </w:r>
      <w:r w:rsidRPr="00BF42B7">
        <w:rPr>
          <w:lang w:val="zh-CN"/>
        </w:rPr>
        <w:t>合作的义务</w:t>
      </w:r>
    </w:p>
    <w:p w:rsidR="00103498" w:rsidRPr="00BF42B7" w:rsidRDefault="00103498" w:rsidP="00CD12D6">
      <w:pPr>
        <w:pStyle w:val="SingleTxtGC"/>
        <w:tabs>
          <w:tab w:val="clear" w:pos="1134"/>
          <w:tab w:val="clear" w:pos="1565"/>
          <w:tab w:val="clear" w:pos="2427"/>
        </w:tabs>
        <w:ind w:left="1554"/>
        <w:rPr>
          <w:lang w:val="zh-CN"/>
        </w:rPr>
      </w:pPr>
      <w:r w:rsidRPr="00BF42B7">
        <w:rPr>
          <w:lang w:val="zh-CN"/>
        </w:rPr>
        <w:tab/>
      </w:r>
      <w:r w:rsidRPr="00BF42B7">
        <w:rPr>
          <w:lang w:val="zh-CN"/>
        </w:rPr>
        <w:t>适用本条款草案时，各国应酌情相互合作，并与联合国、红十字与红新月运动各组成部分及其他援助方合作。</w:t>
      </w:r>
    </w:p>
    <w:p w:rsidR="00103498" w:rsidRPr="00BF42B7" w:rsidRDefault="00103498" w:rsidP="00CD12D6">
      <w:pPr>
        <w:pStyle w:val="H23GC"/>
        <w:ind w:left="1554"/>
        <w:rPr>
          <w:lang w:val="zh-CN"/>
        </w:rPr>
      </w:pPr>
      <w:r w:rsidRPr="00BF42B7">
        <w:rPr>
          <w:rFonts w:hint="eastAsia"/>
          <w:lang w:val="zh-CN"/>
        </w:rPr>
        <w:tab/>
      </w:r>
      <w:r w:rsidRPr="00BF42B7">
        <w:rPr>
          <w:rFonts w:hint="eastAsia"/>
          <w:lang w:val="zh-CN"/>
        </w:rPr>
        <w:tab/>
      </w:r>
      <w:r w:rsidRPr="00BF42B7">
        <w:rPr>
          <w:lang w:val="zh-CN"/>
        </w:rPr>
        <w:t>第</w:t>
      </w:r>
      <w:r w:rsidRPr="00BF42B7">
        <w:rPr>
          <w:lang w:val="zh-CN"/>
        </w:rPr>
        <w:t>8</w:t>
      </w:r>
      <w:r w:rsidRPr="00BF42B7">
        <w:rPr>
          <w:lang w:val="zh-CN"/>
        </w:rPr>
        <w:t>条</w:t>
      </w:r>
      <w:r w:rsidRPr="00BF42B7">
        <w:rPr>
          <w:rFonts w:hint="eastAsia"/>
          <w:lang w:val="zh-CN"/>
        </w:rPr>
        <w:br/>
      </w:r>
      <w:r w:rsidRPr="00BF42B7">
        <w:rPr>
          <w:lang w:val="zh-CN"/>
        </w:rPr>
        <w:t>应对灾害的合作形式</w:t>
      </w:r>
    </w:p>
    <w:p w:rsidR="00103498" w:rsidRPr="00BF42B7" w:rsidRDefault="00103498" w:rsidP="00CD12D6">
      <w:pPr>
        <w:pStyle w:val="SingleTxtGC"/>
        <w:tabs>
          <w:tab w:val="clear" w:pos="1134"/>
          <w:tab w:val="clear" w:pos="1565"/>
          <w:tab w:val="clear" w:pos="2427"/>
        </w:tabs>
        <w:ind w:left="1554"/>
        <w:rPr>
          <w:lang w:val="zh-CN"/>
        </w:rPr>
      </w:pPr>
      <w:r w:rsidRPr="00BF42B7">
        <w:rPr>
          <w:lang w:val="zh-CN"/>
        </w:rPr>
        <w:tab/>
      </w:r>
      <w:r w:rsidRPr="00BF42B7">
        <w:rPr>
          <w:lang w:val="zh-CN"/>
        </w:rPr>
        <w:t>应对灾害的合作包括提供人道主义援助，协调国际救灾行动和通信，提供救灾人员、设备和物资以及科学、医学、技术资源。</w:t>
      </w:r>
    </w:p>
    <w:p w:rsidR="00103498" w:rsidRPr="00BF42B7" w:rsidRDefault="00103498" w:rsidP="00CD12D6">
      <w:pPr>
        <w:pStyle w:val="H23GC"/>
        <w:ind w:left="1554"/>
        <w:rPr>
          <w:lang w:val="zh-CN"/>
        </w:rPr>
      </w:pPr>
      <w:r w:rsidRPr="00BF42B7">
        <w:rPr>
          <w:rFonts w:hint="eastAsia"/>
          <w:lang w:val="zh-CN"/>
        </w:rPr>
        <w:tab/>
      </w:r>
      <w:r w:rsidRPr="00BF42B7">
        <w:rPr>
          <w:rFonts w:hint="eastAsia"/>
          <w:lang w:val="zh-CN"/>
        </w:rPr>
        <w:tab/>
      </w:r>
      <w:r w:rsidRPr="00BF42B7">
        <w:rPr>
          <w:lang w:val="zh-CN"/>
        </w:rPr>
        <w:t>第</w:t>
      </w:r>
      <w:r w:rsidRPr="00BF42B7">
        <w:rPr>
          <w:lang w:val="zh-CN"/>
        </w:rPr>
        <w:t>9</w:t>
      </w:r>
      <w:r w:rsidRPr="00BF42B7">
        <w:rPr>
          <w:lang w:val="zh-CN"/>
        </w:rPr>
        <w:t>条</w:t>
      </w:r>
      <w:r w:rsidRPr="00BF42B7">
        <w:rPr>
          <w:rFonts w:hint="eastAsia"/>
          <w:lang w:val="zh-CN"/>
        </w:rPr>
        <w:br/>
      </w:r>
      <w:r w:rsidRPr="00BF42B7">
        <w:rPr>
          <w:lang w:val="zh-CN"/>
        </w:rPr>
        <w:t>减少灾害风险</w:t>
      </w:r>
    </w:p>
    <w:p w:rsidR="00103498" w:rsidRPr="00BF42B7" w:rsidRDefault="00103498" w:rsidP="00CD12D6">
      <w:pPr>
        <w:pStyle w:val="SingleTxtGC"/>
        <w:tabs>
          <w:tab w:val="clear" w:pos="1134"/>
          <w:tab w:val="clear" w:pos="1565"/>
          <w:tab w:val="clear" w:pos="2427"/>
        </w:tabs>
        <w:ind w:left="1554"/>
      </w:pPr>
      <w:r w:rsidRPr="00BF42B7">
        <w:rPr>
          <w:lang w:val="zh-CN"/>
        </w:rPr>
        <w:t>1.</w:t>
      </w:r>
      <w:r w:rsidR="00A77784" w:rsidRPr="00BF42B7">
        <w:rPr>
          <w:rFonts w:hint="eastAsia"/>
          <w:lang w:val="zh-CN"/>
        </w:rPr>
        <w:t xml:space="preserve">  </w:t>
      </w:r>
      <w:r w:rsidRPr="00BF42B7">
        <w:rPr>
          <w:lang w:val="zh-CN"/>
        </w:rPr>
        <w:t>每一国应通过采取适当的防灾、减灾和备灾措施，包括通过制订法律和规章，减少灾害风险。</w:t>
      </w:r>
      <w:r w:rsidRPr="00BF42B7">
        <w:rPr>
          <w:lang w:val="zh-CN"/>
        </w:rPr>
        <w:t xml:space="preserve"> </w:t>
      </w:r>
    </w:p>
    <w:p w:rsidR="00103498" w:rsidRPr="00BF42B7" w:rsidRDefault="00A77784" w:rsidP="00CD12D6">
      <w:pPr>
        <w:pStyle w:val="SingleTxtGC"/>
        <w:tabs>
          <w:tab w:val="clear" w:pos="1134"/>
          <w:tab w:val="clear" w:pos="1565"/>
          <w:tab w:val="clear" w:pos="2427"/>
        </w:tabs>
        <w:ind w:left="1554"/>
      </w:pPr>
      <w:r w:rsidRPr="00BF42B7">
        <w:rPr>
          <w:lang w:val="zh-CN"/>
        </w:rPr>
        <w:t>2.</w:t>
      </w:r>
      <w:r w:rsidRPr="00BF42B7">
        <w:rPr>
          <w:rFonts w:hint="eastAsia"/>
          <w:lang w:val="zh-CN"/>
        </w:rPr>
        <w:t xml:space="preserve">  </w:t>
      </w:r>
      <w:r w:rsidR="00103498" w:rsidRPr="00BF42B7">
        <w:rPr>
          <w:lang w:val="zh-CN"/>
        </w:rPr>
        <w:t>减少灾害风险的措施包括开展风险评估</w:t>
      </w:r>
      <w:r w:rsidR="00103498" w:rsidRPr="00BF42B7">
        <w:rPr>
          <w:rFonts w:hint="eastAsia"/>
          <w:lang w:val="zh-CN"/>
        </w:rPr>
        <w:t>，</w:t>
      </w:r>
      <w:r w:rsidR="00103498" w:rsidRPr="00BF42B7">
        <w:rPr>
          <w:lang w:val="zh-CN"/>
        </w:rPr>
        <w:t>收集和传播风险</w:t>
      </w:r>
      <w:r w:rsidR="00103498" w:rsidRPr="00BF42B7">
        <w:rPr>
          <w:rFonts w:hint="eastAsia"/>
          <w:lang w:val="zh-CN"/>
        </w:rPr>
        <w:t>信息</w:t>
      </w:r>
      <w:r w:rsidR="00103498" w:rsidRPr="00BF42B7">
        <w:rPr>
          <w:lang w:val="zh-CN"/>
        </w:rPr>
        <w:t>和以往损失信息</w:t>
      </w:r>
      <w:r w:rsidR="00103498" w:rsidRPr="00BF42B7">
        <w:rPr>
          <w:rFonts w:hint="eastAsia"/>
          <w:lang w:val="zh-CN"/>
        </w:rPr>
        <w:t>，以及</w:t>
      </w:r>
      <w:r w:rsidR="00103498" w:rsidRPr="00BF42B7">
        <w:rPr>
          <w:lang w:val="zh-CN"/>
        </w:rPr>
        <w:t>安装和操作预警系统。</w:t>
      </w:r>
    </w:p>
    <w:p w:rsidR="00103498" w:rsidRPr="00BF42B7" w:rsidRDefault="00103498" w:rsidP="00CD12D6">
      <w:pPr>
        <w:pStyle w:val="H23GC"/>
        <w:ind w:left="1554"/>
        <w:rPr>
          <w:lang w:val="zh-CN"/>
        </w:rPr>
      </w:pPr>
      <w:r w:rsidRPr="00BF42B7">
        <w:rPr>
          <w:rFonts w:hint="eastAsia"/>
          <w:lang w:val="zh-CN"/>
        </w:rPr>
        <w:tab/>
      </w:r>
      <w:r w:rsidRPr="00BF42B7">
        <w:rPr>
          <w:rFonts w:hint="eastAsia"/>
          <w:lang w:val="zh-CN"/>
        </w:rPr>
        <w:tab/>
      </w:r>
      <w:r w:rsidRPr="00BF42B7">
        <w:rPr>
          <w:lang w:val="zh-CN"/>
        </w:rPr>
        <w:t>第</w:t>
      </w:r>
      <w:r w:rsidRPr="00BF42B7">
        <w:rPr>
          <w:lang w:val="zh-CN"/>
        </w:rPr>
        <w:t>10</w:t>
      </w:r>
      <w:r w:rsidRPr="00BF42B7">
        <w:rPr>
          <w:lang w:val="zh-CN"/>
        </w:rPr>
        <w:t>条</w:t>
      </w:r>
      <w:r w:rsidRPr="00BF42B7">
        <w:rPr>
          <w:rFonts w:hint="eastAsia"/>
          <w:lang w:val="zh-CN"/>
        </w:rPr>
        <w:br/>
      </w:r>
      <w:r w:rsidRPr="00BF42B7">
        <w:rPr>
          <w:lang w:val="zh-CN"/>
        </w:rPr>
        <w:t>受灾国的作用</w:t>
      </w:r>
    </w:p>
    <w:p w:rsidR="00103498" w:rsidRPr="00BF42B7" w:rsidRDefault="00A77784" w:rsidP="00CD12D6">
      <w:pPr>
        <w:pStyle w:val="SingleTxtGC"/>
        <w:tabs>
          <w:tab w:val="clear" w:pos="1134"/>
          <w:tab w:val="clear" w:pos="1565"/>
          <w:tab w:val="clear" w:pos="2427"/>
        </w:tabs>
        <w:ind w:left="1554"/>
        <w:rPr>
          <w:lang w:val="zh-CN"/>
        </w:rPr>
      </w:pPr>
      <w:r w:rsidRPr="00BF42B7">
        <w:rPr>
          <w:lang w:val="zh-CN"/>
        </w:rPr>
        <w:t>1.</w:t>
      </w:r>
      <w:r w:rsidRPr="00BF42B7">
        <w:rPr>
          <w:rFonts w:hint="eastAsia"/>
          <w:lang w:val="zh-CN"/>
        </w:rPr>
        <w:t xml:space="preserve">  </w:t>
      </w:r>
      <w:r w:rsidR="00103498" w:rsidRPr="00BF42B7">
        <w:rPr>
          <w:lang w:val="zh-CN"/>
        </w:rPr>
        <w:t>受灾国有责任在其领土或受其管辖或控制的领土内</w:t>
      </w:r>
      <w:r w:rsidR="00103498" w:rsidRPr="00BF42B7">
        <w:rPr>
          <w:rFonts w:hint="eastAsia"/>
          <w:lang w:val="zh-CN"/>
        </w:rPr>
        <w:t>确保对人员的保护和救灾援助的提供。</w:t>
      </w:r>
    </w:p>
    <w:p w:rsidR="00103498" w:rsidRPr="00BF42B7" w:rsidRDefault="00A77784" w:rsidP="00CD12D6">
      <w:pPr>
        <w:pStyle w:val="SingleTxtGC"/>
        <w:tabs>
          <w:tab w:val="clear" w:pos="1134"/>
          <w:tab w:val="clear" w:pos="1565"/>
          <w:tab w:val="clear" w:pos="2427"/>
        </w:tabs>
        <w:ind w:left="1554"/>
        <w:rPr>
          <w:szCs w:val="21"/>
          <w:lang w:val="zh-CN"/>
        </w:rPr>
      </w:pPr>
      <w:r w:rsidRPr="00BF42B7">
        <w:rPr>
          <w:szCs w:val="21"/>
          <w:lang w:val="zh-CN"/>
        </w:rPr>
        <w:t>2.</w:t>
      </w:r>
      <w:r w:rsidRPr="00BF42B7">
        <w:rPr>
          <w:rFonts w:hint="eastAsia"/>
          <w:szCs w:val="21"/>
          <w:lang w:val="zh-CN"/>
        </w:rPr>
        <w:t xml:space="preserve">  </w:t>
      </w:r>
      <w:r w:rsidR="00103498" w:rsidRPr="00BF42B7">
        <w:rPr>
          <w:szCs w:val="21"/>
          <w:lang w:val="zh-CN"/>
        </w:rPr>
        <w:t>受灾国在指挥、控制、协调和监督</w:t>
      </w:r>
      <w:r w:rsidR="00103498" w:rsidRPr="00BF42B7">
        <w:rPr>
          <w:rFonts w:hint="eastAsia"/>
          <w:szCs w:val="21"/>
          <w:lang w:val="zh-CN"/>
        </w:rPr>
        <w:t>此种</w:t>
      </w:r>
      <w:r w:rsidR="00103498" w:rsidRPr="00BF42B7">
        <w:rPr>
          <w:szCs w:val="21"/>
          <w:lang w:val="zh-CN"/>
        </w:rPr>
        <w:t>救灾援助方面应</w:t>
      </w:r>
      <w:r w:rsidR="00103498" w:rsidRPr="00BF42B7">
        <w:rPr>
          <w:rFonts w:hint="eastAsia"/>
          <w:szCs w:val="21"/>
          <w:lang w:val="zh-CN"/>
        </w:rPr>
        <w:t>承担</w:t>
      </w:r>
      <w:r w:rsidR="00103498" w:rsidRPr="00BF42B7">
        <w:rPr>
          <w:szCs w:val="21"/>
          <w:lang w:val="zh-CN"/>
        </w:rPr>
        <w:t>主要作用。</w:t>
      </w:r>
    </w:p>
    <w:p w:rsidR="00103498" w:rsidRPr="00BF42B7" w:rsidRDefault="00103498" w:rsidP="00CD12D6">
      <w:pPr>
        <w:pStyle w:val="H23GC"/>
        <w:ind w:left="1554"/>
        <w:rPr>
          <w:lang w:val="zh-CN"/>
        </w:rPr>
      </w:pPr>
      <w:r w:rsidRPr="00BF42B7">
        <w:rPr>
          <w:rFonts w:hint="eastAsia"/>
          <w:lang w:val="zh-CN"/>
        </w:rPr>
        <w:tab/>
      </w:r>
      <w:r w:rsidRPr="00BF42B7">
        <w:rPr>
          <w:rFonts w:hint="eastAsia"/>
          <w:lang w:val="zh-CN"/>
        </w:rPr>
        <w:tab/>
      </w:r>
      <w:r w:rsidRPr="00BF42B7">
        <w:rPr>
          <w:lang w:val="zh-CN"/>
        </w:rPr>
        <w:t>第</w:t>
      </w:r>
      <w:r w:rsidRPr="00BF42B7">
        <w:rPr>
          <w:lang w:val="zh-CN"/>
        </w:rPr>
        <w:t>11</w:t>
      </w:r>
      <w:r w:rsidRPr="00BF42B7">
        <w:rPr>
          <w:lang w:val="zh-CN"/>
        </w:rPr>
        <w:t>条</w:t>
      </w:r>
      <w:r w:rsidRPr="00BF42B7">
        <w:rPr>
          <w:rFonts w:hint="eastAsia"/>
          <w:lang w:val="zh-CN"/>
        </w:rPr>
        <w:br/>
      </w:r>
      <w:r w:rsidRPr="00BF42B7">
        <w:rPr>
          <w:lang w:val="zh-CN"/>
        </w:rPr>
        <w:t>受灾国寻求外部援助的责任</w:t>
      </w:r>
    </w:p>
    <w:p w:rsidR="00103498" w:rsidRPr="00BF42B7" w:rsidRDefault="00103498" w:rsidP="00CD12D6">
      <w:pPr>
        <w:pStyle w:val="SingleTxtGC"/>
        <w:tabs>
          <w:tab w:val="clear" w:pos="1134"/>
          <w:tab w:val="clear" w:pos="1565"/>
          <w:tab w:val="clear" w:pos="2427"/>
        </w:tabs>
        <w:ind w:left="1554"/>
        <w:rPr>
          <w:lang w:val="zh-CN"/>
        </w:rPr>
      </w:pPr>
      <w:r w:rsidRPr="00BF42B7">
        <w:rPr>
          <w:lang w:val="zh-CN"/>
        </w:rPr>
        <w:tab/>
      </w:r>
      <w:r w:rsidRPr="00BF42B7">
        <w:rPr>
          <w:lang w:val="zh-CN"/>
        </w:rPr>
        <w:t>如所遭受的灾害明显超出</w:t>
      </w:r>
      <w:r w:rsidRPr="00BF42B7">
        <w:rPr>
          <w:rFonts w:hint="eastAsia"/>
          <w:lang w:val="zh-CN"/>
        </w:rPr>
        <w:t>受灾</w:t>
      </w:r>
      <w:r w:rsidRPr="00BF42B7">
        <w:rPr>
          <w:lang w:val="zh-CN"/>
        </w:rPr>
        <w:t>国的应对能力，则受灾国有责任酌情向其他国家、联合国及其他潜在援助方寻求援助。</w:t>
      </w:r>
    </w:p>
    <w:p w:rsidR="00103498" w:rsidRPr="00BF42B7" w:rsidRDefault="00103498" w:rsidP="00CD12D6">
      <w:pPr>
        <w:pStyle w:val="H23GC"/>
        <w:ind w:left="1554"/>
        <w:rPr>
          <w:lang w:val="zh-CN"/>
        </w:rPr>
      </w:pPr>
      <w:r w:rsidRPr="00BF42B7">
        <w:rPr>
          <w:rFonts w:hint="eastAsia"/>
          <w:lang w:val="zh-CN"/>
        </w:rPr>
        <w:tab/>
      </w:r>
      <w:r w:rsidRPr="00BF42B7">
        <w:rPr>
          <w:rFonts w:hint="eastAsia"/>
          <w:lang w:val="zh-CN"/>
        </w:rPr>
        <w:tab/>
      </w:r>
      <w:r w:rsidRPr="00BF42B7">
        <w:rPr>
          <w:lang w:val="zh-CN"/>
        </w:rPr>
        <w:t>第</w:t>
      </w:r>
      <w:r w:rsidRPr="00BF42B7">
        <w:rPr>
          <w:lang w:val="zh-CN"/>
        </w:rPr>
        <w:t>12</w:t>
      </w:r>
      <w:r w:rsidRPr="00BF42B7">
        <w:rPr>
          <w:lang w:val="zh-CN"/>
        </w:rPr>
        <w:t>条</w:t>
      </w:r>
      <w:r w:rsidRPr="00BF42B7">
        <w:rPr>
          <w:rFonts w:hint="eastAsia"/>
          <w:lang w:val="zh-CN"/>
        </w:rPr>
        <w:br/>
      </w:r>
      <w:r w:rsidRPr="00BF42B7">
        <w:rPr>
          <w:lang w:val="zh-CN"/>
        </w:rPr>
        <w:t>提议外部援助</w:t>
      </w:r>
    </w:p>
    <w:p w:rsidR="00103498" w:rsidRPr="00BF42B7" w:rsidRDefault="00103498" w:rsidP="00CD12D6">
      <w:pPr>
        <w:pStyle w:val="SingleTxtGC"/>
        <w:tabs>
          <w:tab w:val="clear" w:pos="1134"/>
          <w:tab w:val="clear" w:pos="1565"/>
          <w:tab w:val="clear" w:pos="2427"/>
        </w:tabs>
        <w:ind w:left="1554"/>
      </w:pPr>
      <w:r w:rsidRPr="00BF42B7">
        <w:rPr>
          <w:lang w:val="zh-CN"/>
        </w:rPr>
        <w:t>1.</w:t>
      </w:r>
      <w:r w:rsidR="00A77784" w:rsidRPr="00BF42B7">
        <w:rPr>
          <w:rFonts w:hint="eastAsia"/>
          <w:lang w:val="zh-CN"/>
        </w:rPr>
        <w:t xml:space="preserve">  </w:t>
      </w:r>
      <w:r w:rsidRPr="00BF42B7">
        <w:rPr>
          <w:lang w:val="zh-CN"/>
        </w:rPr>
        <w:t>发生灾害时，各国、联合国及其他潜在援助方可向受灾国提议援助。</w:t>
      </w:r>
    </w:p>
    <w:p w:rsidR="00103498" w:rsidRPr="00BF42B7" w:rsidRDefault="00103498" w:rsidP="00CD12D6">
      <w:pPr>
        <w:pStyle w:val="SingleTxtGC"/>
        <w:tabs>
          <w:tab w:val="clear" w:pos="1134"/>
          <w:tab w:val="clear" w:pos="1565"/>
          <w:tab w:val="clear" w:pos="2427"/>
        </w:tabs>
        <w:ind w:left="1554"/>
        <w:rPr>
          <w:lang w:val="zh-CN"/>
        </w:rPr>
      </w:pPr>
      <w:r w:rsidRPr="00BF42B7">
        <w:rPr>
          <w:lang w:val="zh-CN"/>
        </w:rPr>
        <w:t>2.</w:t>
      </w:r>
      <w:r w:rsidR="00A77784" w:rsidRPr="00BF42B7">
        <w:rPr>
          <w:rFonts w:hint="eastAsia"/>
          <w:lang w:val="zh-CN"/>
        </w:rPr>
        <w:t xml:space="preserve">  </w:t>
      </w:r>
      <w:r w:rsidRPr="00BF42B7">
        <w:rPr>
          <w:lang w:val="zh-CN"/>
        </w:rPr>
        <w:t>受灾国通过向</w:t>
      </w:r>
      <w:r w:rsidRPr="00BF42B7">
        <w:rPr>
          <w:rFonts w:hint="eastAsia"/>
          <w:lang w:val="zh-CN"/>
        </w:rPr>
        <w:t>另一</w:t>
      </w:r>
      <w:r w:rsidRPr="00BF42B7">
        <w:rPr>
          <w:lang w:val="zh-CN"/>
        </w:rPr>
        <w:t>国、联合国或其他潜在援助方提出请求而寻求外部援助时，受请求方应迅速对请求予以适当考虑并将其答复通知受灾国。</w:t>
      </w:r>
    </w:p>
    <w:p w:rsidR="00103498" w:rsidRPr="00BF42B7" w:rsidRDefault="00103498" w:rsidP="00CD12D6">
      <w:pPr>
        <w:pStyle w:val="H23GC"/>
        <w:ind w:left="1554"/>
        <w:rPr>
          <w:lang w:val="zh-CN"/>
        </w:rPr>
      </w:pPr>
      <w:r w:rsidRPr="00BF42B7">
        <w:rPr>
          <w:rFonts w:hint="eastAsia"/>
          <w:lang w:val="zh-CN"/>
        </w:rPr>
        <w:tab/>
      </w:r>
      <w:r w:rsidRPr="00BF42B7">
        <w:rPr>
          <w:rFonts w:hint="eastAsia"/>
          <w:lang w:val="zh-CN"/>
        </w:rPr>
        <w:tab/>
      </w:r>
      <w:r w:rsidRPr="00BF42B7">
        <w:rPr>
          <w:lang w:val="zh-CN"/>
        </w:rPr>
        <w:t>第</w:t>
      </w:r>
      <w:r w:rsidRPr="00BF42B7">
        <w:rPr>
          <w:lang w:val="zh-CN"/>
        </w:rPr>
        <w:t>13</w:t>
      </w:r>
      <w:r w:rsidRPr="00BF42B7">
        <w:rPr>
          <w:lang w:val="zh-CN"/>
        </w:rPr>
        <w:t>条</w:t>
      </w:r>
      <w:r w:rsidRPr="00BF42B7">
        <w:rPr>
          <w:rFonts w:hint="eastAsia"/>
          <w:lang w:val="zh-CN"/>
        </w:rPr>
        <w:br/>
      </w:r>
      <w:r w:rsidRPr="00BF42B7">
        <w:rPr>
          <w:lang w:val="zh-CN"/>
        </w:rPr>
        <w:t>受灾国对外部援助的同意</w:t>
      </w:r>
    </w:p>
    <w:p w:rsidR="00103498" w:rsidRPr="00BF42B7" w:rsidRDefault="00103498" w:rsidP="00CD12D6">
      <w:pPr>
        <w:pStyle w:val="SingleTxtGC"/>
        <w:tabs>
          <w:tab w:val="clear" w:pos="1134"/>
          <w:tab w:val="clear" w:pos="1565"/>
          <w:tab w:val="clear" w:pos="2427"/>
        </w:tabs>
        <w:ind w:left="1554"/>
      </w:pPr>
      <w:r w:rsidRPr="00BF42B7">
        <w:rPr>
          <w:lang w:val="zh-CN"/>
        </w:rPr>
        <w:t>1.</w:t>
      </w:r>
      <w:r w:rsidR="00A77784" w:rsidRPr="00BF42B7">
        <w:rPr>
          <w:rFonts w:hint="eastAsia"/>
          <w:lang w:val="zh-CN"/>
        </w:rPr>
        <w:t xml:space="preserve">  </w:t>
      </w:r>
      <w:r w:rsidRPr="00BF42B7">
        <w:rPr>
          <w:lang w:val="zh-CN"/>
        </w:rPr>
        <w:t>提供外部援助须征得受灾国的同意。</w:t>
      </w:r>
      <w:r w:rsidRPr="00BF42B7">
        <w:rPr>
          <w:lang w:val="zh-CN"/>
        </w:rPr>
        <w:t xml:space="preserve"> </w:t>
      </w:r>
    </w:p>
    <w:p w:rsidR="00103498" w:rsidRPr="00BF42B7" w:rsidRDefault="00103498" w:rsidP="00CD12D6">
      <w:pPr>
        <w:pStyle w:val="SingleTxtGC"/>
        <w:tabs>
          <w:tab w:val="clear" w:pos="1134"/>
          <w:tab w:val="clear" w:pos="1565"/>
          <w:tab w:val="clear" w:pos="2427"/>
        </w:tabs>
        <w:ind w:left="1554"/>
      </w:pPr>
      <w:r w:rsidRPr="00BF42B7">
        <w:rPr>
          <w:lang w:val="zh-CN"/>
        </w:rPr>
        <w:t>2.</w:t>
      </w:r>
      <w:r w:rsidR="00A77784" w:rsidRPr="00BF42B7">
        <w:rPr>
          <w:rFonts w:hint="eastAsia"/>
          <w:lang w:val="zh-CN"/>
        </w:rPr>
        <w:t xml:space="preserve">  </w:t>
      </w:r>
      <w:r w:rsidRPr="00BF42B7">
        <w:rPr>
          <w:lang w:val="zh-CN"/>
        </w:rPr>
        <w:t>受灾国不得任意拒绝外</w:t>
      </w:r>
      <w:r w:rsidRPr="00BF42B7">
        <w:rPr>
          <w:rFonts w:hint="eastAsia"/>
          <w:lang w:val="zh-CN"/>
        </w:rPr>
        <w:t>部</w:t>
      </w:r>
      <w:r w:rsidRPr="00BF42B7">
        <w:rPr>
          <w:lang w:val="zh-CN"/>
        </w:rPr>
        <w:t>援助。</w:t>
      </w:r>
    </w:p>
    <w:p w:rsidR="00103498" w:rsidRPr="00BF42B7" w:rsidRDefault="00103498" w:rsidP="00CD12D6">
      <w:pPr>
        <w:pStyle w:val="SingleTxtGC"/>
        <w:tabs>
          <w:tab w:val="clear" w:pos="1134"/>
          <w:tab w:val="clear" w:pos="1565"/>
          <w:tab w:val="clear" w:pos="2427"/>
        </w:tabs>
        <w:ind w:left="1554"/>
      </w:pPr>
      <w:r w:rsidRPr="00BF42B7">
        <w:rPr>
          <w:lang w:val="zh-CN"/>
        </w:rPr>
        <w:t>3.</w:t>
      </w:r>
      <w:r w:rsidR="00A77784" w:rsidRPr="00BF42B7">
        <w:rPr>
          <w:rFonts w:hint="eastAsia"/>
          <w:lang w:val="zh-CN"/>
        </w:rPr>
        <w:t xml:space="preserve">  </w:t>
      </w:r>
      <w:r w:rsidRPr="00BF42B7">
        <w:rPr>
          <w:lang w:val="zh-CN"/>
        </w:rPr>
        <w:t>对按照本条款草案提出的援助提议，受灾国只要有可能，应及时告知就该援助提议作出的决定。</w:t>
      </w:r>
    </w:p>
    <w:p w:rsidR="00103498" w:rsidRPr="00BF42B7" w:rsidRDefault="00103498" w:rsidP="00CD12D6">
      <w:pPr>
        <w:pStyle w:val="H23GC"/>
        <w:ind w:left="1554"/>
        <w:rPr>
          <w:lang w:val="zh-CN"/>
        </w:rPr>
      </w:pPr>
      <w:r w:rsidRPr="00BF42B7">
        <w:rPr>
          <w:rFonts w:hint="eastAsia"/>
          <w:lang w:val="zh-CN"/>
        </w:rPr>
        <w:tab/>
      </w:r>
      <w:r w:rsidRPr="00BF42B7">
        <w:rPr>
          <w:rFonts w:hint="eastAsia"/>
          <w:lang w:val="zh-CN"/>
        </w:rPr>
        <w:tab/>
      </w:r>
      <w:r w:rsidRPr="00BF42B7">
        <w:rPr>
          <w:lang w:val="zh-CN"/>
        </w:rPr>
        <w:t>第</w:t>
      </w:r>
      <w:r w:rsidRPr="00BF42B7">
        <w:rPr>
          <w:lang w:val="zh-CN"/>
        </w:rPr>
        <w:t>14</w:t>
      </w:r>
      <w:r w:rsidRPr="00BF42B7">
        <w:rPr>
          <w:lang w:val="zh-CN"/>
        </w:rPr>
        <w:t>条</w:t>
      </w:r>
      <w:r w:rsidRPr="00BF42B7">
        <w:rPr>
          <w:rFonts w:hint="eastAsia"/>
          <w:lang w:val="zh-CN"/>
        </w:rPr>
        <w:br/>
      </w:r>
      <w:r w:rsidRPr="00BF42B7">
        <w:rPr>
          <w:lang w:val="zh-CN"/>
        </w:rPr>
        <w:t>对提供外部援助规定条件</w:t>
      </w:r>
    </w:p>
    <w:p w:rsidR="00103498" w:rsidRPr="00BF42B7" w:rsidRDefault="00103498" w:rsidP="00CD12D6">
      <w:pPr>
        <w:pStyle w:val="SingleTxtGC"/>
        <w:tabs>
          <w:tab w:val="clear" w:pos="1134"/>
          <w:tab w:val="clear" w:pos="1565"/>
          <w:tab w:val="clear" w:pos="2427"/>
        </w:tabs>
        <w:ind w:left="1554"/>
      </w:pPr>
      <w:r w:rsidRPr="00BF42B7">
        <w:rPr>
          <w:lang w:val="zh-CN"/>
        </w:rPr>
        <w:tab/>
      </w:r>
      <w:r w:rsidRPr="00BF42B7">
        <w:rPr>
          <w:lang w:val="zh-CN"/>
        </w:rPr>
        <w:t>受灾国可对提供外部援助规定条件。此种条件应与本条款草案、适用的国际法规则以及受灾国国内法相符。条件应考虑到查明的受灾人员的需要以及援助的质量。在拟订条件时，受灾国应指明所寻求的援助的范围和种类。</w:t>
      </w:r>
    </w:p>
    <w:p w:rsidR="00103498" w:rsidRPr="00BF42B7" w:rsidRDefault="00103498" w:rsidP="00CD12D6">
      <w:pPr>
        <w:pStyle w:val="H23GC"/>
        <w:ind w:left="1554"/>
        <w:rPr>
          <w:lang w:val="zh-CN"/>
        </w:rPr>
      </w:pPr>
      <w:r w:rsidRPr="00BF42B7">
        <w:rPr>
          <w:rFonts w:hint="eastAsia"/>
          <w:lang w:val="zh-CN"/>
        </w:rPr>
        <w:tab/>
      </w:r>
      <w:r w:rsidRPr="00BF42B7">
        <w:rPr>
          <w:rFonts w:hint="eastAsia"/>
          <w:lang w:val="zh-CN"/>
        </w:rPr>
        <w:tab/>
      </w:r>
      <w:r w:rsidRPr="00BF42B7">
        <w:rPr>
          <w:lang w:val="zh-CN"/>
        </w:rPr>
        <w:t>第</w:t>
      </w:r>
      <w:r w:rsidRPr="00BF42B7">
        <w:rPr>
          <w:lang w:val="zh-CN"/>
        </w:rPr>
        <w:t>15</w:t>
      </w:r>
      <w:r w:rsidRPr="00BF42B7">
        <w:rPr>
          <w:lang w:val="zh-CN"/>
        </w:rPr>
        <w:t>条</w:t>
      </w:r>
      <w:r w:rsidRPr="00BF42B7">
        <w:rPr>
          <w:rFonts w:hint="eastAsia"/>
          <w:lang w:val="zh-CN"/>
        </w:rPr>
        <w:br/>
      </w:r>
      <w:r w:rsidRPr="00BF42B7">
        <w:rPr>
          <w:lang w:val="zh-CN"/>
        </w:rPr>
        <w:t>便利外部援助</w:t>
      </w:r>
    </w:p>
    <w:p w:rsidR="00103498" w:rsidRPr="00BF42B7" w:rsidRDefault="00B46738" w:rsidP="00CD12D6">
      <w:pPr>
        <w:pStyle w:val="SingleTxtGC"/>
        <w:tabs>
          <w:tab w:val="clear" w:pos="1134"/>
          <w:tab w:val="clear" w:pos="1565"/>
          <w:tab w:val="clear" w:pos="2427"/>
        </w:tabs>
        <w:ind w:left="1554"/>
      </w:pPr>
      <w:r w:rsidRPr="00BF42B7">
        <w:rPr>
          <w:lang w:val="zh-CN"/>
        </w:rPr>
        <w:t>1.</w:t>
      </w:r>
      <w:r w:rsidRPr="00BF42B7">
        <w:rPr>
          <w:rFonts w:hint="eastAsia"/>
          <w:lang w:val="zh-CN"/>
        </w:rPr>
        <w:t xml:space="preserve">  </w:t>
      </w:r>
      <w:r w:rsidR="00103498" w:rsidRPr="00BF42B7">
        <w:rPr>
          <w:lang w:val="zh-CN"/>
        </w:rPr>
        <w:t>受灾国应在其国内法范围内采取必要措施，便利迅速及有效地提供外部援助，尤其是：</w:t>
      </w:r>
      <w:r w:rsidR="00103498" w:rsidRPr="00BF42B7">
        <w:rPr>
          <w:lang w:val="zh-CN"/>
        </w:rPr>
        <w:t xml:space="preserve"> </w:t>
      </w:r>
    </w:p>
    <w:p w:rsidR="00103498" w:rsidRPr="00BF42B7" w:rsidRDefault="00103498" w:rsidP="00396D56">
      <w:pPr>
        <w:pStyle w:val="SingleTxtGC"/>
        <w:numPr>
          <w:ilvl w:val="0"/>
          <w:numId w:val="13"/>
        </w:numPr>
        <w:ind w:left="1554"/>
      </w:pPr>
      <w:r w:rsidRPr="00BF42B7">
        <w:rPr>
          <w:lang w:val="zh-CN"/>
        </w:rPr>
        <w:t>对于救灾人员，在诸如特权和豁免、签证和入境要求、工作许可证、通行自由等方面提供便利；</w:t>
      </w:r>
      <w:r w:rsidRPr="00BF42B7">
        <w:rPr>
          <w:lang w:val="zh-CN"/>
        </w:rPr>
        <w:t xml:space="preserve"> </w:t>
      </w:r>
    </w:p>
    <w:p w:rsidR="00103498" w:rsidRPr="00BF42B7" w:rsidRDefault="00103498" w:rsidP="00396D56">
      <w:pPr>
        <w:pStyle w:val="SingleTxtGC"/>
        <w:numPr>
          <w:ilvl w:val="0"/>
          <w:numId w:val="13"/>
        </w:numPr>
        <w:ind w:left="1554"/>
      </w:pPr>
      <w:r w:rsidRPr="00BF42B7">
        <w:rPr>
          <w:lang w:val="zh-CN"/>
        </w:rPr>
        <w:t>对于设备和物资，在诸如海关要求和关税、征税、运输以及处置等方面提供便利。</w:t>
      </w:r>
    </w:p>
    <w:p w:rsidR="00103498" w:rsidRPr="00BF42B7" w:rsidRDefault="00B46738" w:rsidP="00CD12D6">
      <w:pPr>
        <w:pStyle w:val="SingleTxtGC"/>
        <w:tabs>
          <w:tab w:val="clear" w:pos="1134"/>
          <w:tab w:val="clear" w:pos="1565"/>
          <w:tab w:val="clear" w:pos="2427"/>
        </w:tabs>
        <w:ind w:left="1554"/>
        <w:rPr>
          <w:lang w:val="zh-CN"/>
        </w:rPr>
      </w:pPr>
      <w:r w:rsidRPr="00BF42B7">
        <w:rPr>
          <w:lang w:val="zh-CN"/>
        </w:rPr>
        <w:t>2.</w:t>
      </w:r>
      <w:r w:rsidRPr="00BF42B7">
        <w:rPr>
          <w:rFonts w:hint="eastAsia"/>
          <w:lang w:val="zh-CN"/>
        </w:rPr>
        <w:t xml:space="preserve">  </w:t>
      </w:r>
      <w:r w:rsidR="00103498" w:rsidRPr="00BF42B7">
        <w:rPr>
          <w:lang w:val="zh-CN"/>
        </w:rPr>
        <w:t>受灾国应确保其有关法律和规章容易查阅，从而便</w:t>
      </w:r>
      <w:r w:rsidR="00103498" w:rsidRPr="00BF42B7">
        <w:rPr>
          <w:rFonts w:hint="eastAsia"/>
          <w:lang w:val="zh-CN"/>
        </w:rPr>
        <w:t>于</w:t>
      </w:r>
      <w:r w:rsidR="00103498" w:rsidRPr="00BF42B7">
        <w:rPr>
          <w:lang w:val="zh-CN"/>
        </w:rPr>
        <w:t>遵守国内法。</w:t>
      </w:r>
    </w:p>
    <w:p w:rsidR="00103498" w:rsidRPr="00BF42B7" w:rsidRDefault="00103498" w:rsidP="00CD12D6">
      <w:pPr>
        <w:pStyle w:val="H23GC"/>
        <w:ind w:left="1554"/>
        <w:rPr>
          <w:lang w:val="zh-CN"/>
        </w:rPr>
      </w:pPr>
      <w:r w:rsidRPr="00BF42B7">
        <w:rPr>
          <w:rFonts w:hint="eastAsia"/>
          <w:lang w:val="zh-CN"/>
        </w:rPr>
        <w:tab/>
      </w:r>
      <w:r w:rsidRPr="00BF42B7">
        <w:rPr>
          <w:rFonts w:hint="eastAsia"/>
          <w:lang w:val="zh-CN"/>
        </w:rPr>
        <w:tab/>
      </w:r>
      <w:r w:rsidRPr="00BF42B7">
        <w:rPr>
          <w:lang w:val="zh-CN"/>
        </w:rPr>
        <w:t>第</w:t>
      </w:r>
      <w:r w:rsidRPr="00BF42B7">
        <w:rPr>
          <w:lang w:val="zh-CN"/>
        </w:rPr>
        <w:t>16</w:t>
      </w:r>
      <w:r w:rsidRPr="00BF42B7">
        <w:rPr>
          <w:lang w:val="zh-CN"/>
        </w:rPr>
        <w:t>条</w:t>
      </w:r>
      <w:r w:rsidRPr="00BF42B7">
        <w:rPr>
          <w:rFonts w:hint="eastAsia"/>
          <w:lang w:val="zh-CN"/>
        </w:rPr>
        <w:br/>
      </w:r>
      <w:r w:rsidRPr="00BF42B7">
        <w:rPr>
          <w:lang w:val="zh-CN"/>
        </w:rPr>
        <w:t>保护救灾人员、设备和物资</w:t>
      </w:r>
    </w:p>
    <w:p w:rsidR="00103498" w:rsidRPr="00BF42B7" w:rsidRDefault="00103498" w:rsidP="00CD12D6">
      <w:pPr>
        <w:pStyle w:val="SingleTxtGC"/>
        <w:tabs>
          <w:tab w:val="clear" w:pos="1134"/>
          <w:tab w:val="clear" w:pos="1565"/>
          <w:tab w:val="clear" w:pos="2427"/>
        </w:tabs>
        <w:ind w:left="1554"/>
        <w:rPr>
          <w:lang w:val="zh-CN"/>
        </w:rPr>
      </w:pPr>
      <w:r w:rsidRPr="00BF42B7">
        <w:tab/>
      </w:r>
      <w:r w:rsidRPr="00BF42B7">
        <w:rPr>
          <w:lang w:val="zh-CN"/>
        </w:rPr>
        <w:t>受灾国应采取适当措施，确保为提供外部援助目的而</w:t>
      </w:r>
      <w:r w:rsidRPr="00BF42B7">
        <w:rPr>
          <w:rFonts w:hint="eastAsia"/>
          <w:lang w:val="zh-CN"/>
        </w:rPr>
        <w:t>在其</w:t>
      </w:r>
      <w:r w:rsidRPr="00BF42B7">
        <w:rPr>
          <w:lang w:val="zh-CN"/>
        </w:rPr>
        <w:t>领土或受</w:t>
      </w:r>
      <w:r w:rsidRPr="00BF42B7">
        <w:rPr>
          <w:rFonts w:hint="eastAsia"/>
          <w:lang w:val="zh-CN"/>
        </w:rPr>
        <w:t>其</w:t>
      </w:r>
      <w:r w:rsidRPr="00BF42B7">
        <w:rPr>
          <w:lang w:val="zh-CN"/>
        </w:rPr>
        <w:t>管辖或控制的领土内的救灾人员、设备和物资得到保护。</w:t>
      </w:r>
    </w:p>
    <w:p w:rsidR="00103498" w:rsidRPr="00BF42B7" w:rsidRDefault="00103498" w:rsidP="00CD12D6">
      <w:pPr>
        <w:pStyle w:val="H23GC"/>
        <w:ind w:left="1554"/>
        <w:rPr>
          <w:lang w:val="zh-CN"/>
        </w:rPr>
      </w:pPr>
      <w:r w:rsidRPr="00BF42B7">
        <w:rPr>
          <w:rFonts w:hint="eastAsia"/>
          <w:lang w:val="zh-CN"/>
        </w:rPr>
        <w:tab/>
      </w:r>
      <w:r w:rsidRPr="00BF42B7">
        <w:rPr>
          <w:rFonts w:hint="eastAsia"/>
          <w:lang w:val="zh-CN"/>
        </w:rPr>
        <w:tab/>
      </w:r>
      <w:r w:rsidRPr="00BF42B7">
        <w:rPr>
          <w:lang w:val="zh-CN"/>
        </w:rPr>
        <w:t>第</w:t>
      </w:r>
      <w:r w:rsidRPr="00BF42B7">
        <w:rPr>
          <w:lang w:val="zh-CN"/>
        </w:rPr>
        <w:t>17</w:t>
      </w:r>
      <w:r w:rsidRPr="00BF42B7">
        <w:rPr>
          <w:lang w:val="zh-CN"/>
        </w:rPr>
        <w:t>条</w:t>
      </w:r>
      <w:r w:rsidRPr="00BF42B7">
        <w:rPr>
          <w:rFonts w:hint="eastAsia"/>
          <w:lang w:val="zh-CN"/>
        </w:rPr>
        <w:br/>
      </w:r>
      <w:r w:rsidRPr="00BF42B7">
        <w:rPr>
          <w:lang w:val="zh-CN"/>
        </w:rPr>
        <w:t>终止外部援助</w:t>
      </w:r>
    </w:p>
    <w:p w:rsidR="00103498" w:rsidRPr="00BF42B7" w:rsidRDefault="00103498" w:rsidP="00CD12D6">
      <w:pPr>
        <w:pStyle w:val="SingleTxtGC"/>
        <w:tabs>
          <w:tab w:val="clear" w:pos="1134"/>
          <w:tab w:val="clear" w:pos="1565"/>
          <w:tab w:val="clear" w:pos="2427"/>
        </w:tabs>
        <w:ind w:left="1554"/>
        <w:rPr>
          <w:lang w:val="zh-CN"/>
        </w:rPr>
      </w:pPr>
      <w:r w:rsidRPr="00BF42B7">
        <w:rPr>
          <w:lang w:val="zh-CN"/>
        </w:rPr>
        <w:tab/>
      </w:r>
      <w:r w:rsidRPr="00BF42B7">
        <w:rPr>
          <w:lang w:val="zh-CN"/>
        </w:rPr>
        <w:t>受灾国、援助国、联合国或其他援助方均可在任何时候终止外部援助。任何希望终止援助的国家或行为方应发出适当的通知。受灾国以及适当时</w:t>
      </w:r>
      <w:r w:rsidRPr="00BF42B7">
        <w:rPr>
          <w:rFonts w:hint="eastAsia"/>
          <w:lang w:val="zh-CN"/>
        </w:rPr>
        <w:t>，</w:t>
      </w:r>
      <w:r w:rsidRPr="00BF42B7">
        <w:rPr>
          <w:lang w:val="zh-CN"/>
        </w:rPr>
        <w:t>援助国、联合国或其他援助方</w:t>
      </w:r>
      <w:r w:rsidRPr="00BF42B7">
        <w:rPr>
          <w:rFonts w:hint="eastAsia"/>
          <w:lang w:val="zh-CN"/>
        </w:rPr>
        <w:t>，</w:t>
      </w:r>
      <w:r w:rsidRPr="00BF42B7">
        <w:rPr>
          <w:lang w:val="zh-CN"/>
        </w:rPr>
        <w:t>应就终止外部援助</w:t>
      </w:r>
      <w:r w:rsidRPr="00BF42B7">
        <w:rPr>
          <w:rFonts w:hint="eastAsia"/>
          <w:lang w:val="zh-CN"/>
        </w:rPr>
        <w:t>问题</w:t>
      </w:r>
      <w:r w:rsidRPr="00BF42B7">
        <w:rPr>
          <w:lang w:val="zh-CN"/>
        </w:rPr>
        <w:t>和终止方式进行磋商。</w:t>
      </w:r>
    </w:p>
    <w:p w:rsidR="00103498" w:rsidRPr="00BF42B7" w:rsidRDefault="00103498" w:rsidP="00CD12D6">
      <w:pPr>
        <w:pStyle w:val="H23GC"/>
        <w:ind w:left="1554"/>
        <w:rPr>
          <w:lang w:val="zh-CN"/>
        </w:rPr>
      </w:pPr>
      <w:r w:rsidRPr="00BF42B7">
        <w:rPr>
          <w:rFonts w:hint="eastAsia"/>
          <w:lang w:val="zh-CN"/>
        </w:rPr>
        <w:tab/>
      </w:r>
      <w:r w:rsidRPr="00BF42B7">
        <w:rPr>
          <w:rFonts w:hint="eastAsia"/>
          <w:lang w:val="zh-CN"/>
        </w:rPr>
        <w:tab/>
      </w:r>
      <w:r w:rsidRPr="00BF42B7">
        <w:rPr>
          <w:lang w:val="zh-CN"/>
        </w:rPr>
        <w:t>第</w:t>
      </w:r>
      <w:r w:rsidRPr="00BF42B7">
        <w:rPr>
          <w:lang w:val="zh-CN"/>
        </w:rPr>
        <w:t>18</w:t>
      </w:r>
      <w:r w:rsidRPr="00BF42B7">
        <w:rPr>
          <w:lang w:val="zh-CN"/>
        </w:rPr>
        <w:t>条</w:t>
      </w:r>
      <w:r w:rsidRPr="00BF42B7">
        <w:rPr>
          <w:rFonts w:hint="eastAsia"/>
          <w:lang w:val="zh-CN"/>
        </w:rPr>
        <w:br/>
      </w:r>
      <w:r w:rsidRPr="00BF42B7">
        <w:rPr>
          <w:lang w:val="zh-CN"/>
        </w:rPr>
        <w:t>与其他国际法规则的关系</w:t>
      </w:r>
    </w:p>
    <w:p w:rsidR="00103498" w:rsidRPr="00BF42B7" w:rsidRDefault="00B46738" w:rsidP="00CD12D6">
      <w:pPr>
        <w:pStyle w:val="SingleTxtGC"/>
        <w:tabs>
          <w:tab w:val="clear" w:pos="1134"/>
          <w:tab w:val="clear" w:pos="1565"/>
          <w:tab w:val="clear" w:pos="2427"/>
        </w:tabs>
        <w:ind w:left="1554"/>
      </w:pPr>
      <w:r w:rsidRPr="00BF42B7">
        <w:rPr>
          <w:lang w:val="zh-CN"/>
        </w:rPr>
        <w:t>1.</w:t>
      </w:r>
      <w:r w:rsidRPr="00BF42B7">
        <w:rPr>
          <w:rFonts w:hint="eastAsia"/>
          <w:lang w:val="zh-CN"/>
        </w:rPr>
        <w:t xml:space="preserve">  </w:t>
      </w:r>
      <w:r w:rsidR="00103498" w:rsidRPr="00BF42B7">
        <w:rPr>
          <w:rFonts w:hint="eastAsia"/>
          <w:lang w:val="zh-CN"/>
        </w:rPr>
        <w:t>本条款草案不影响其他可适用的国际法规则</w:t>
      </w:r>
      <w:r w:rsidR="00103498" w:rsidRPr="00BF42B7">
        <w:rPr>
          <w:lang w:val="zh-CN"/>
        </w:rPr>
        <w:t>。</w:t>
      </w:r>
    </w:p>
    <w:p w:rsidR="00103498" w:rsidRPr="00BF42B7" w:rsidRDefault="00B46738" w:rsidP="00CD12D6">
      <w:pPr>
        <w:pStyle w:val="SingleTxtGC"/>
        <w:tabs>
          <w:tab w:val="clear" w:pos="1134"/>
          <w:tab w:val="clear" w:pos="1565"/>
          <w:tab w:val="clear" w:pos="2427"/>
        </w:tabs>
        <w:ind w:left="1554"/>
        <w:rPr>
          <w:color w:val="0000FF"/>
          <w:szCs w:val="21"/>
          <w:lang w:val="zh-CN"/>
        </w:rPr>
      </w:pPr>
      <w:r w:rsidRPr="00BF42B7">
        <w:rPr>
          <w:szCs w:val="21"/>
          <w:lang w:val="zh-CN"/>
        </w:rPr>
        <w:t>2.</w:t>
      </w:r>
      <w:r w:rsidRPr="00BF42B7">
        <w:rPr>
          <w:rFonts w:hint="eastAsia"/>
          <w:szCs w:val="21"/>
          <w:lang w:val="zh-CN"/>
        </w:rPr>
        <w:t xml:space="preserve">  </w:t>
      </w:r>
      <w:r w:rsidR="00103498" w:rsidRPr="00BF42B7">
        <w:rPr>
          <w:rFonts w:hint="eastAsia"/>
          <w:szCs w:val="21"/>
          <w:lang w:val="zh-CN"/>
        </w:rPr>
        <w:t>在应对灾害须遵守国际</w:t>
      </w:r>
      <w:r w:rsidR="00103498" w:rsidRPr="00BF42B7">
        <w:rPr>
          <w:rFonts w:hint="eastAsia"/>
          <w:lang w:val="zh-CN"/>
        </w:rPr>
        <w:t>人道主义</w:t>
      </w:r>
      <w:r w:rsidR="00103498" w:rsidRPr="00BF42B7">
        <w:rPr>
          <w:rFonts w:hint="eastAsia"/>
          <w:szCs w:val="21"/>
          <w:lang w:val="zh-CN"/>
        </w:rPr>
        <w:t>法规则的情况下，本条款草案不适用</w:t>
      </w:r>
      <w:r w:rsidR="00103498" w:rsidRPr="00BF42B7">
        <w:rPr>
          <w:color w:val="0000FF"/>
          <w:szCs w:val="21"/>
          <w:lang w:val="zh-CN"/>
        </w:rPr>
        <w:t>。</w:t>
      </w:r>
    </w:p>
    <w:p w:rsidR="00103498" w:rsidRPr="00BF42B7" w:rsidRDefault="00103498" w:rsidP="00B46738">
      <w:pPr>
        <w:pStyle w:val="H23GC"/>
        <w:rPr>
          <w:b/>
        </w:rPr>
      </w:pPr>
      <w:r w:rsidRPr="00BF42B7">
        <w:rPr>
          <w:rFonts w:hint="eastAsia"/>
        </w:rPr>
        <w:tab/>
      </w:r>
      <w:r w:rsidRPr="00BF42B7">
        <w:t>2.</w:t>
      </w:r>
      <w:r w:rsidRPr="00BF42B7">
        <w:rPr>
          <w:rFonts w:hint="eastAsia"/>
        </w:rPr>
        <w:tab/>
      </w:r>
      <w:r w:rsidRPr="00BF42B7">
        <w:rPr>
          <w:rFonts w:hint="eastAsia"/>
        </w:rPr>
        <w:t>条款草案案文及其评注</w:t>
      </w:r>
    </w:p>
    <w:p w:rsidR="00103498" w:rsidRPr="00BF42B7" w:rsidRDefault="00103498" w:rsidP="00B46738">
      <w:pPr>
        <w:pStyle w:val="SingleTxtGC"/>
        <w:rPr>
          <w:lang w:val="fr-CH"/>
        </w:rPr>
      </w:pPr>
      <w:r w:rsidRPr="00BF42B7">
        <w:rPr>
          <w:rFonts w:hint="eastAsia"/>
          <w:lang w:val="fr-CH"/>
        </w:rPr>
        <w:t xml:space="preserve">49.  </w:t>
      </w:r>
      <w:r w:rsidRPr="00BF42B7">
        <w:rPr>
          <w:rFonts w:hint="eastAsia"/>
          <w:lang w:val="fr-CH"/>
        </w:rPr>
        <w:t>委员会二读通过的序言草案和条款草案案文</w:t>
      </w:r>
      <w:r w:rsidRPr="00BF42B7">
        <w:rPr>
          <w:rFonts w:hint="eastAsia"/>
        </w:rPr>
        <w:t>及其评注</w:t>
      </w:r>
      <w:r w:rsidRPr="00BF42B7">
        <w:rPr>
          <w:rFonts w:hint="eastAsia"/>
          <w:lang w:val="fr-CH"/>
        </w:rPr>
        <w:t>载录如下。</w:t>
      </w:r>
    </w:p>
    <w:p w:rsidR="00103498" w:rsidRPr="00BF42B7" w:rsidRDefault="00103498" w:rsidP="00C222FC">
      <w:pPr>
        <w:pStyle w:val="H23GC"/>
        <w:ind w:left="1554"/>
      </w:pPr>
      <w:r w:rsidRPr="00BF42B7">
        <w:rPr>
          <w:lang w:val="fr-CH"/>
        </w:rPr>
        <w:tab/>
      </w:r>
      <w:r w:rsidRPr="00BF42B7">
        <w:rPr>
          <w:lang w:val="fr-CH"/>
        </w:rPr>
        <w:tab/>
      </w:r>
      <w:r w:rsidRPr="00BF42B7">
        <w:rPr>
          <w:rFonts w:hint="eastAsia"/>
          <w:lang w:val="fr-CH"/>
        </w:rPr>
        <w:t>发生灾害时的人员保护</w:t>
      </w:r>
    </w:p>
    <w:p w:rsidR="00103498" w:rsidRPr="00BF42B7" w:rsidRDefault="00103498" w:rsidP="00C222FC">
      <w:pPr>
        <w:pStyle w:val="SingleTxtGC"/>
        <w:ind w:left="1554"/>
      </w:pPr>
      <w:r w:rsidRPr="00BF42B7">
        <w:rPr>
          <w:rFonts w:hint="eastAsia"/>
          <w:lang w:val="fr-CH"/>
        </w:rPr>
        <w:t>……</w:t>
      </w:r>
    </w:p>
    <w:p w:rsidR="00103498" w:rsidRPr="00BF42B7" w:rsidRDefault="00C222FC" w:rsidP="00C222FC">
      <w:pPr>
        <w:pStyle w:val="SingleTxtGC"/>
        <w:tabs>
          <w:tab w:val="clear" w:pos="1134"/>
          <w:tab w:val="clear" w:pos="1565"/>
          <w:tab w:val="clear" w:pos="1996"/>
          <w:tab w:val="clear" w:pos="2427"/>
          <w:tab w:val="left" w:pos="1985"/>
        </w:tabs>
        <w:ind w:left="1554"/>
        <w:rPr>
          <w:rFonts w:ascii="Time New Roman" w:eastAsia="黑体" w:hAnsi="Time New Roman" w:hint="eastAsia"/>
          <w:szCs w:val="21"/>
        </w:rPr>
      </w:pPr>
      <w:r>
        <w:rPr>
          <w:rFonts w:ascii="Time New Roman" w:eastAsia="楷体" w:hAnsi="Time New Roman" w:hint="eastAsia"/>
          <w:b/>
          <w:bCs/>
          <w:szCs w:val="21"/>
          <w:lang w:val="zh-CN"/>
        </w:rPr>
        <w:tab/>
      </w:r>
      <w:r w:rsidR="00103498" w:rsidRPr="00BF42B7">
        <w:rPr>
          <w:rFonts w:ascii="Time New Roman" w:eastAsia="楷体" w:hAnsi="Time New Roman"/>
          <w:b/>
          <w:bCs/>
          <w:szCs w:val="21"/>
          <w:lang w:val="zh-CN"/>
        </w:rPr>
        <w:t>铭记</w:t>
      </w:r>
      <w:r w:rsidR="00103498" w:rsidRPr="00BF42B7">
        <w:rPr>
          <w:rFonts w:ascii="Time New Roman" w:eastAsia="黑体" w:hAnsi="Time New Roman"/>
          <w:szCs w:val="21"/>
          <w:lang w:val="zh-CN"/>
        </w:rPr>
        <w:t>《联合国宪章》第十三条第一款</w:t>
      </w:r>
      <w:r w:rsidR="00103498" w:rsidRPr="00BF42B7">
        <w:rPr>
          <w:rFonts w:ascii="Time New Roman" w:eastAsia="黑体" w:hAnsi="Time New Roman"/>
          <w:szCs w:val="21"/>
          <w:lang w:val="zh-CN"/>
        </w:rPr>
        <w:t>(</w:t>
      </w:r>
      <w:r w:rsidR="00103498" w:rsidRPr="00BF42B7">
        <w:rPr>
          <w:rFonts w:ascii="Time New Roman" w:eastAsia="黑体" w:hAnsi="Time New Roman"/>
          <w:szCs w:val="21"/>
          <w:lang w:val="zh-CN"/>
        </w:rPr>
        <w:t>子</w:t>
      </w:r>
      <w:r w:rsidR="00103498" w:rsidRPr="00BF42B7">
        <w:rPr>
          <w:rFonts w:ascii="Time New Roman" w:eastAsia="黑体" w:hAnsi="Time New Roman"/>
          <w:szCs w:val="21"/>
          <w:lang w:val="zh-CN"/>
        </w:rPr>
        <w:t>)</w:t>
      </w:r>
      <w:r w:rsidR="00103498" w:rsidRPr="00BF42B7">
        <w:rPr>
          <w:rFonts w:ascii="Time New Roman" w:eastAsia="黑体" w:hAnsi="Time New Roman"/>
          <w:szCs w:val="21"/>
          <w:lang w:val="zh-CN"/>
        </w:rPr>
        <w:t>项，其中规定大会应发动研究，并作成建议，以提倡国际法之逐渐发展与编纂，</w:t>
      </w:r>
      <w:r w:rsidR="00103498" w:rsidRPr="00BF42B7">
        <w:rPr>
          <w:rFonts w:ascii="Time New Roman" w:eastAsia="黑体" w:hAnsi="Time New Roman"/>
          <w:szCs w:val="21"/>
          <w:lang w:val="zh-CN"/>
        </w:rPr>
        <w:t xml:space="preserve"> </w:t>
      </w:r>
    </w:p>
    <w:p w:rsidR="00103498" w:rsidRPr="00BF42B7" w:rsidRDefault="00C222FC" w:rsidP="00C222FC">
      <w:pPr>
        <w:pStyle w:val="SingleTxtGC"/>
        <w:tabs>
          <w:tab w:val="clear" w:pos="1134"/>
          <w:tab w:val="clear" w:pos="1565"/>
          <w:tab w:val="clear" w:pos="1996"/>
          <w:tab w:val="clear" w:pos="2427"/>
          <w:tab w:val="left" w:pos="1985"/>
        </w:tabs>
        <w:ind w:left="1554"/>
        <w:rPr>
          <w:rFonts w:ascii="Time New Roman" w:eastAsia="黑体" w:hAnsi="Time New Roman" w:hint="eastAsia"/>
          <w:szCs w:val="21"/>
        </w:rPr>
      </w:pPr>
      <w:r>
        <w:rPr>
          <w:rFonts w:ascii="Time New Roman" w:eastAsia="楷体" w:hAnsi="Time New Roman" w:hint="eastAsia"/>
          <w:b/>
          <w:bCs/>
          <w:szCs w:val="21"/>
          <w:lang w:val="zh-CN"/>
        </w:rPr>
        <w:tab/>
      </w:r>
      <w:r w:rsidR="00103498" w:rsidRPr="00BF42B7">
        <w:rPr>
          <w:rFonts w:ascii="Time New Roman" w:eastAsia="楷体" w:hAnsi="Time New Roman"/>
          <w:b/>
          <w:bCs/>
          <w:szCs w:val="21"/>
          <w:lang w:val="zh-CN"/>
        </w:rPr>
        <w:t>考虑到</w:t>
      </w:r>
      <w:r w:rsidR="00103498" w:rsidRPr="00BF42B7">
        <w:rPr>
          <w:rFonts w:ascii="Time New Roman" w:eastAsia="黑体" w:hAnsi="Time New Roman"/>
          <w:szCs w:val="21"/>
          <w:lang w:val="zh-CN"/>
        </w:rPr>
        <w:t>自然灾害和人为灾害的频繁</w:t>
      </w:r>
      <w:r w:rsidR="00103498" w:rsidRPr="00BF42B7">
        <w:rPr>
          <w:rFonts w:ascii="Time New Roman" w:eastAsia="黑体" w:hAnsi="Time New Roman" w:hint="eastAsia"/>
          <w:szCs w:val="21"/>
          <w:lang w:val="zh-CN"/>
        </w:rPr>
        <w:t>性</w:t>
      </w:r>
      <w:r w:rsidR="00103498" w:rsidRPr="00BF42B7">
        <w:rPr>
          <w:rFonts w:ascii="Time New Roman" w:eastAsia="黑体" w:hAnsi="Time New Roman"/>
          <w:szCs w:val="21"/>
          <w:lang w:val="zh-CN"/>
        </w:rPr>
        <w:t>和严重性以及灾害的短期和长期破坏性影响，</w:t>
      </w:r>
      <w:r w:rsidR="00103498" w:rsidRPr="00BF42B7">
        <w:rPr>
          <w:rFonts w:ascii="Time New Roman" w:eastAsia="黑体" w:hAnsi="Time New Roman"/>
          <w:szCs w:val="21"/>
          <w:lang w:val="zh-CN"/>
        </w:rPr>
        <w:t xml:space="preserve"> </w:t>
      </w:r>
    </w:p>
    <w:p w:rsidR="00103498" w:rsidRPr="00BF42B7" w:rsidRDefault="00C222FC" w:rsidP="00C222FC">
      <w:pPr>
        <w:pStyle w:val="SingleTxtGC"/>
        <w:tabs>
          <w:tab w:val="clear" w:pos="1134"/>
          <w:tab w:val="clear" w:pos="1565"/>
          <w:tab w:val="clear" w:pos="1996"/>
          <w:tab w:val="clear" w:pos="2427"/>
          <w:tab w:val="left" w:pos="1985"/>
        </w:tabs>
        <w:ind w:left="1554"/>
        <w:rPr>
          <w:rFonts w:ascii="Time New Roman" w:eastAsia="黑体" w:hAnsi="Time New Roman" w:hint="eastAsia"/>
          <w:szCs w:val="21"/>
        </w:rPr>
      </w:pPr>
      <w:r>
        <w:rPr>
          <w:rFonts w:ascii="Time New Roman" w:eastAsia="楷体" w:hAnsi="Time New Roman" w:hint="eastAsia"/>
          <w:b/>
          <w:bCs/>
          <w:szCs w:val="21"/>
          <w:lang w:val="zh-CN"/>
        </w:rPr>
        <w:tab/>
      </w:r>
      <w:r w:rsidR="00103498" w:rsidRPr="00BF42B7">
        <w:rPr>
          <w:rFonts w:ascii="Time New Roman" w:eastAsia="楷体" w:hAnsi="Time New Roman"/>
          <w:b/>
          <w:bCs/>
          <w:szCs w:val="21"/>
          <w:lang w:val="zh-CN"/>
        </w:rPr>
        <w:t>充分意识到</w:t>
      </w:r>
      <w:r w:rsidR="00103498" w:rsidRPr="00BF42B7">
        <w:rPr>
          <w:rFonts w:ascii="Time New Roman" w:eastAsia="黑体" w:hAnsi="Time New Roman"/>
          <w:szCs w:val="21"/>
          <w:lang w:val="zh-CN"/>
        </w:rPr>
        <w:t>受灾人员的基本需要，并意识到在</w:t>
      </w:r>
      <w:r w:rsidR="00103498" w:rsidRPr="00BF42B7">
        <w:rPr>
          <w:rFonts w:ascii="Time New Roman" w:eastAsia="黑体" w:hAnsi="Time New Roman" w:hint="eastAsia"/>
          <w:szCs w:val="21"/>
          <w:lang w:val="zh-CN"/>
        </w:rPr>
        <w:t>受灾</w:t>
      </w:r>
      <w:r w:rsidR="00103498" w:rsidRPr="00BF42B7">
        <w:rPr>
          <w:rFonts w:ascii="Time New Roman" w:eastAsia="黑体" w:hAnsi="Time New Roman"/>
          <w:szCs w:val="21"/>
          <w:lang w:val="zh-CN"/>
        </w:rPr>
        <w:t>情况下，这些人</w:t>
      </w:r>
      <w:r w:rsidR="00103498" w:rsidRPr="00BF42B7">
        <w:rPr>
          <w:rFonts w:ascii="Time New Roman" w:eastAsia="黑体" w:hAnsi="Time New Roman" w:hint="eastAsia"/>
          <w:szCs w:val="21"/>
          <w:lang w:val="zh-CN"/>
        </w:rPr>
        <w:t>员</w:t>
      </w:r>
      <w:r w:rsidR="00103498" w:rsidRPr="00BF42B7">
        <w:rPr>
          <w:rFonts w:ascii="Time New Roman" w:eastAsia="黑体" w:hAnsi="Time New Roman"/>
          <w:szCs w:val="21"/>
          <w:lang w:val="zh-CN"/>
        </w:rPr>
        <w:t>的权利必须得到尊重，</w:t>
      </w:r>
      <w:r w:rsidR="00103498" w:rsidRPr="00BF42B7">
        <w:rPr>
          <w:rFonts w:ascii="Time New Roman" w:eastAsia="黑体" w:hAnsi="Time New Roman"/>
          <w:szCs w:val="21"/>
          <w:lang w:val="zh-CN"/>
        </w:rPr>
        <w:t xml:space="preserve"> </w:t>
      </w:r>
    </w:p>
    <w:p w:rsidR="00103498" w:rsidRPr="00BF42B7" w:rsidRDefault="00C222FC" w:rsidP="00C222FC">
      <w:pPr>
        <w:pStyle w:val="SingleTxtGC"/>
        <w:tabs>
          <w:tab w:val="clear" w:pos="1134"/>
          <w:tab w:val="clear" w:pos="1565"/>
          <w:tab w:val="clear" w:pos="1996"/>
          <w:tab w:val="clear" w:pos="2427"/>
          <w:tab w:val="left" w:pos="1985"/>
        </w:tabs>
        <w:ind w:left="1554"/>
        <w:rPr>
          <w:rFonts w:ascii="Time New Roman" w:eastAsia="黑体" w:hAnsi="Time New Roman" w:hint="eastAsia"/>
          <w:szCs w:val="21"/>
        </w:rPr>
      </w:pPr>
      <w:r>
        <w:rPr>
          <w:rFonts w:ascii="Time New Roman" w:eastAsia="楷体" w:hAnsi="Time New Roman" w:hint="eastAsia"/>
          <w:b/>
          <w:bCs/>
          <w:szCs w:val="21"/>
          <w:lang w:val="zh-CN"/>
        </w:rPr>
        <w:tab/>
      </w:r>
      <w:r w:rsidR="00103498" w:rsidRPr="00BF42B7">
        <w:rPr>
          <w:rFonts w:ascii="Time New Roman" w:eastAsia="楷体" w:hAnsi="Time New Roman" w:hint="eastAsia"/>
          <w:b/>
          <w:bCs/>
          <w:szCs w:val="21"/>
          <w:lang w:val="zh-CN"/>
        </w:rPr>
        <w:t>意识到</w:t>
      </w:r>
      <w:r w:rsidR="00103498" w:rsidRPr="00BF42B7">
        <w:rPr>
          <w:rFonts w:ascii="Time New Roman" w:eastAsia="黑体" w:hAnsi="Time New Roman"/>
          <w:szCs w:val="21"/>
          <w:lang w:val="zh-CN"/>
        </w:rPr>
        <w:t>团结在国际关系中的</w:t>
      </w:r>
      <w:r w:rsidR="00103498" w:rsidRPr="00BF42B7">
        <w:rPr>
          <w:rFonts w:ascii="Time New Roman" w:eastAsia="黑体" w:hAnsi="Time New Roman" w:hint="eastAsia"/>
          <w:szCs w:val="21"/>
          <w:lang w:val="zh-CN"/>
        </w:rPr>
        <w:t>基</w:t>
      </w:r>
      <w:r w:rsidR="00103498" w:rsidRPr="00BF42B7">
        <w:rPr>
          <w:rFonts w:ascii="Time New Roman" w:eastAsia="黑体" w:hAnsi="Time New Roman"/>
          <w:szCs w:val="21"/>
          <w:lang w:val="zh-CN"/>
        </w:rPr>
        <w:t>本价值以及在灾害的所有阶段加强国际合作的重要性，</w:t>
      </w:r>
      <w:r w:rsidR="00103498" w:rsidRPr="00BF42B7">
        <w:rPr>
          <w:rFonts w:ascii="Time New Roman" w:eastAsia="黑体" w:hAnsi="Time New Roman"/>
          <w:szCs w:val="21"/>
          <w:lang w:val="zh-CN"/>
        </w:rPr>
        <w:t xml:space="preserve"> </w:t>
      </w:r>
    </w:p>
    <w:p w:rsidR="00103498" w:rsidRPr="00BF42B7" w:rsidRDefault="00C222FC" w:rsidP="00C222FC">
      <w:pPr>
        <w:pStyle w:val="SingleTxtGC"/>
        <w:tabs>
          <w:tab w:val="clear" w:pos="1134"/>
          <w:tab w:val="clear" w:pos="1565"/>
          <w:tab w:val="clear" w:pos="1996"/>
          <w:tab w:val="clear" w:pos="2427"/>
          <w:tab w:val="left" w:pos="1985"/>
        </w:tabs>
        <w:ind w:left="1554"/>
        <w:rPr>
          <w:rFonts w:ascii="Time New Roman" w:eastAsia="黑体" w:hAnsi="Time New Roman" w:hint="eastAsia"/>
        </w:rPr>
      </w:pPr>
      <w:r>
        <w:rPr>
          <w:rFonts w:ascii="Time New Roman" w:eastAsia="楷体" w:hAnsi="Time New Roman" w:hint="eastAsia"/>
          <w:b/>
          <w:bCs/>
          <w:szCs w:val="21"/>
          <w:lang w:val="zh-CN"/>
        </w:rPr>
        <w:tab/>
      </w:r>
      <w:r w:rsidR="00103498" w:rsidRPr="00BF42B7">
        <w:rPr>
          <w:rFonts w:ascii="Time New Roman" w:eastAsia="楷体" w:hAnsi="Time New Roman"/>
          <w:b/>
          <w:bCs/>
          <w:szCs w:val="21"/>
          <w:lang w:val="zh-CN"/>
        </w:rPr>
        <w:t>强调</w:t>
      </w:r>
      <w:r w:rsidR="00103498" w:rsidRPr="00BF42B7">
        <w:rPr>
          <w:rFonts w:ascii="Time New Roman" w:eastAsia="黑体" w:hAnsi="Time New Roman"/>
          <w:lang w:val="zh-CN"/>
        </w:rPr>
        <w:t>国家主权原则，因此重申受灾国在提供救灾援助方面承担主要作用，</w:t>
      </w:r>
    </w:p>
    <w:p w:rsidR="00103498" w:rsidRPr="00BF42B7" w:rsidRDefault="00103498" w:rsidP="00C222FC">
      <w:pPr>
        <w:pStyle w:val="SingleTxtGC"/>
        <w:tabs>
          <w:tab w:val="clear" w:pos="1565"/>
          <w:tab w:val="clear" w:pos="1996"/>
          <w:tab w:val="clear" w:pos="2427"/>
        </w:tabs>
        <w:ind w:left="1554"/>
        <w:rPr>
          <w:rFonts w:ascii="Time New Roman" w:eastAsia="黑体" w:hAnsi="Time New Roman" w:hint="eastAsia"/>
          <w:lang w:val="fr-CH"/>
        </w:rPr>
      </w:pPr>
      <w:r w:rsidRPr="00BF42B7">
        <w:rPr>
          <w:rFonts w:ascii="Time New Roman" w:eastAsia="黑体" w:hAnsi="Time New Roman" w:hint="eastAsia"/>
          <w:lang w:val="fr-CH"/>
        </w:rPr>
        <w:t>……</w:t>
      </w:r>
    </w:p>
    <w:p w:rsidR="00103498" w:rsidRPr="00BF42B7" w:rsidRDefault="00103498" w:rsidP="00B46738">
      <w:pPr>
        <w:pStyle w:val="H23GC"/>
        <w:rPr>
          <w:lang w:val="fr-CH"/>
        </w:rPr>
      </w:pPr>
      <w:r w:rsidRPr="00BF42B7">
        <w:rPr>
          <w:rFonts w:hint="eastAsia"/>
          <w:lang w:val="fr-CH"/>
        </w:rPr>
        <w:tab/>
      </w:r>
      <w:r w:rsidRPr="00BF42B7">
        <w:rPr>
          <w:rFonts w:hint="eastAsia"/>
          <w:lang w:val="fr-CH"/>
        </w:rPr>
        <w:tab/>
      </w:r>
      <w:r w:rsidRPr="00BF42B7">
        <w:rPr>
          <w:rFonts w:hint="eastAsia"/>
          <w:lang w:val="fr-CH"/>
        </w:rPr>
        <w:t>评注</w:t>
      </w:r>
    </w:p>
    <w:p w:rsidR="00103498" w:rsidRPr="00BF42B7" w:rsidRDefault="00103498" w:rsidP="00B46738">
      <w:pPr>
        <w:pStyle w:val="SingleTxtGC"/>
      </w:pPr>
      <w:r w:rsidRPr="00BF42B7">
        <w:rPr>
          <w:rFonts w:hint="eastAsia"/>
          <w:lang w:val="fr-CH"/>
        </w:rPr>
        <w:t>(</w:t>
      </w:r>
      <w:r w:rsidRPr="00BF42B7">
        <w:rPr>
          <w:lang w:val="fr-CH"/>
        </w:rPr>
        <w:t>1</w:t>
      </w:r>
      <w:r w:rsidRPr="00BF42B7">
        <w:rPr>
          <w:rFonts w:hint="eastAsia"/>
          <w:lang w:val="fr-CH"/>
        </w:rPr>
        <w:t xml:space="preserve">)  </w:t>
      </w:r>
      <w:r w:rsidRPr="00BF42B7">
        <w:rPr>
          <w:rFonts w:hint="eastAsia"/>
        </w:rPr>
        <w:t>序言旨在为本条款草案提供一个概念框架，阐述讨论发生灾害时的人员保护专题的一般背景，并说明案文的基本依据。</w:t>
      </w:r>
    </w:p>
    <w:p w:rsidR="00103498" w:rsidRPr="00BF42B7" w:rsidRDefault="00103498" w:rsidP="00B46738">
      <w:pPr>
        <w:pStyle w:val="SingleTxtGC"/>
        <w:rPr>
          <w:lang w:val="en-GB"/>
        </w:rPr>
      </w:pPr>
      <w:r w:rsidRPr="00BF42B7">
        <w:rPr>
          <w:lang w:val="en-GB"/>
        </w:rPr>
        <w:t>(2)</w:t>
      </w:r>
      <w:r w:rsidRPr="00BF42B7">
        <w:rPr>
          <w:rFonts w:hint="eastAsia"/>
          <w:lang w:val="en-GB"/>
        </w:rPr>
        <w:t xml:space="preserve">  </w:t>
      </w:r>
      <w:r w:rsidRPr="00BF42B7">
        <w:rPr>
          <w:rFonts w:hint="eastAsia"/>
          <w:lang w:val="en-GB"/>
        </w:rPr>
        <w:t>序言第一段的重点是根据《联合国宪章》第十三条第一款</w:t>
      </w:r>
      <w:r w:rsidRPr="00BF42B7">
        <w:rPr>
          <w:rFonts w:hint="eastAsia"/>
          <w:lang w:val="en-GB"/>
        </w:rPr>
        <w:t>(</w:t>
      </w:r>
      <w:r w:rsidRPr="00BF42B7">
        <w:rPr>
          <w:rFonts w:hint="eastAsia"/>
          <w:lang w:val="en-GB"/>
        </w:rPr>
        <w:t>子</w:t>
      </w:r>
      <w:r w:rsidRPr="00BF42B7">
        <w:rPr>
          <w:rFonts w:hint="eastAsia"/>
          <w:lang w:val="en-GB"/>
        </w:rPr>
        <w:t>)</w:t>
      </w:r>
      <w:r w:rsidRPr="00BF42B7">
        <w:rPr>
          <w:rFonts w:hint="eastAsia"/>
          <w:lang w:val="en-GB"/>
        </w:rPr>
        <w:t>项赋予大会鼓励国际法的逐渐发展与编纂的任务，以及国际法委员会按照其章程第</w:t>
      </w:r>
      <w:r w:rsidRPr="00BF42B7">
        <w:rPr>
          <w:lang w:val="en-GB"/>
        </w:rPr>
        <w:t>1</w:t>
      </w:r>
      <w:r w:rsidRPr="00BF42B7">
        <w:rPr>
          <w:rFonts w:hint="eastAsia"/>
          <w:lang w:val="en-GB"/>
        </w:rPr>
        <w:t>条的规定由此而来的目标。这一段的措辞与委员会近期一份载有序言部分的最后草案中的措辞相似。</w:t>
      </w:r>
      <w:r w:rsidRPr="00BF42B7">
        <w:rPr>
          <w:color w:val="0000FF"/>
          <w:vertAlign w:val="superscript"/>
          <w:lang w:val="en-GB"/>
        </w:rPr>
        <w:footnoteReference w:id="14"/>
      </w:r>
      <w:r w:rsidRPr="00BF42B7">
        <w:rPr>
          <w:color w:val="0000FF"/>
          <w:vertAlign w:val="superscript"/>
          <w:lang w:val="en-GB"/>
        </w:rPr>
        <w:t xml:space="preserve"> </w:t>
      </w:r>
      <w:r w:rsidRPr="00BF42B7">
        <w:rPr>
          <w:rFonts w:hint="eastAsia"/>
          <w:lang w:val="en-GB"/>
        </w:rPr>
        <w:t>这一段的作用还在于，一开始就强调条款草案中既包含国际法逐渐发展的要素，也包含国际法编纂的要素。</w:t>
      </w:r>
    </w:p>
    <w:p w:rsidR="00103498" w:rsidRPr="00BF42B7" w:rsidRDefault="00103498" w:rsidP="00103498">
      <w:pPr>
        <w:pStyle w:val="SingleTxtGC"/>
        <w:rPr>
          <w:lang w:val="en-GB"/>
        </w:rPr>
      </w:pPr>
      <w:r w:rsidRPr="00BF42B7">
        <w:rPr>
          <w:lang w:val="en-GB"/>
        </w:rPr>
        <w:t>(3)</w:t>
      </w:r>
      <w:r w:rsidRPr="00BF42B7">
        <w:rPr>
          <w:rFonts w:hint="eastAsia"/>
          <w:lang w:val="en-GB"/>
        </w:rPr>
        <w:t xml:space="preserve">  </w:t>
      </w:r>
      <w:r w:rsidRPr="00BF42B7">
        <w:rPr>
          <w:rFonts w:hint="eastAsia"/>
          <w:lang w:val="en-GB"/>
        </w:rPr>
        <w:t>序言第二段要求注意自然灾害和人类灾害的频繁性和严重性及其造成的破坏性影响，这引起了国际社会的关切，导致委员会制订法律规则。“自然灾害和人为灾害”的提法强调了条款草案与范围较为有限、仅限于自然灾害的其他类似文书相比具有的独特性。相反，灾害的产生往往有各种复杂的原因。另外，条款草案的意图是有覆盖灾害周期的各个阶段，以应对和减少灾害风险为重点。“短期和长期”的提法用意是表明，条款草案的重点不仅仅是灾害的直接影响。这还意味着一种长远的做法，涉及恢复阶段进行的活动。</w:t>
      </w:r>
    </w:p>
    <w:p w:rsidR="00103498" w:rsidRPr="00BF42B7" w:rsidRDefault="00103498" w:rsidP="00103498">
      <w:pPr>
        <w:pStyle w:val="SingleTxtGC"/>
        <w:rPr>
          <w:lang w:val="en-GB"/>
        </w:rPr>
      </w:pPr>
      <w:r w:rsidRPr="00BF42B7">
        <w:rPr>
          <w:lang w:val="en-GB"/>
        </w:rPr>
        <w:t xml:space="preserve">(4) </w:t>
      </w:r>
      <w:r w:rsidRPr="00BF42B7">
        <w:rPr>
          <w:rFonts w:hint="eastAsia"/>
          <w:lang w:val="en-GB"/>
        </w:rPr>
        <w:t xml:space="preserve"> </w:t>
      </w:r>
      <w:r w:rsidRPr="00BF42B7">
        <w:rPr>
          <w:rFonts w:hint="eastAsia"/>
          <w:lang w:val="en-GB"/>
        </w:rPr>
        <w:t>序言第三段处理的是生命、福利和财产受到灾害影响的人的基本需要，并重申在此种情况下必须按照条款草案的规定尊重这些人员的权利。</w:t>
      </w:r>
    </w:p>
    <w:p w:rsidR="00103498" w:rsidRPr="00BF42B7" w:rsidRDefault="00103498" w:rsidP="00103498">
      <w:pPr>
        <w:pStyle w:val="SingleTxtGC"/>
        <w:rPr>
          <w:lang w:val="en-GB"/>
        </w:rPr>
      </w:pPr>
      <w:r w:rsidRPr="00BF42B7">
        <w:rPr>
          <w:lang w:val="en-GB"/>
        </w:rPr>
        <w:t xml:space="preserve">(5) </w:t>
      </w:r>
      <w:r w:rsidRPr="00BF42B7">
        <w:rPr>
          <w:rFonts w:hint="eastAsia"/>
          <w:lang w:val="en-GB"/>
        </w:rPr>
        <w:t xml:space="preserve"> </w:t>
      </w:r>
      <w:r w:rsidRPr="00BF42B7">
        <w:rPr>
          <w:rFonts w:hint="eastAsia"/>
          <w:lang w:val="en-GB"/>
        </w:rPr>
        <w:t>序言第四段回顾团结在国际关系中的基本价值和在灾害的所有阶段加强国际合作的重要性，两者都是这一专题的关键基本概念，不得被解释为减损受灾国的主权及其在国际法限度范围内的特权。“灾害的所有阶段”的提法确认，这些条款酌情涉及整个灾害周期的每个构成阶段。</w:t>
      </w:r>
    </w:p>
    <w:p w:rsidR="00103498" w:rsidRPr="00BF42B7" w:rsidRDefault="00103498" w:rsidP="00103498">
      <w:pPr>
        <w:pStyle w:val="SingleTxtGC"/>
        <w:rPr>
          <w:lang w:val="en-GB"/>
        </w:rPr>
      </w:pPr>
      <w:r w:rsidRPr="00BF42B7">
        <w:rPr>
          <w:lang w:val="en-GB"/>
        </w:rPr>
        <w:t xml:space="preserve">(6) </w:t>
      </w:r>
      <w:r w:rsidRPr="00BF42B7">
        <w:rPr>
          <w:rFonts w:hint="eastAsia"/>
          <w:lang w:val="en-GB"/>
        </w:rPr>
        <w:t xml:space="preserve"> </w:t>
      </w:r>
      <w:r w:rsidRPr="00BF42B7">
        <w:rPr>
          <w:rFonts w:hint="eastAsia"/>
          <w:lang w:val="en-GB"/>
        </w:rPr>
        <w:t>最后序言段强调了国家主权原则，重申受灾国在提供救灾援助方面的主要作用，这是条款草案的一个核心内容。提及主权以及受灾国的主要作用，就提供了理解整套条款草案的背景。</w:t>
      </w:r>
    </w:p>
    <w:p w:rsidR="00103498" w:rsidRPr="00BF42B7" w:rsidRDefault="00103498" w:rsidP="00CD12D6">
      <w:pPr>
        <w:pStyle w:val="H23GC"/>
        <w:ind w:left="1554"/>
        <w:rPr>
          <w:lang w:val="fr-CH"/>
        </w:rPr>
      </w:pPr>
      <w:r w:rsidRPr="00BF42B7">
        <w:rPr>
          <w:rFonts w:hint="eastAsia"/>
          <w:lang w:val="fr-CH"/>
        </w:rPr>
        <w:tab/>
      </w:r>
      <w:r w:rsidRPr="00BF42B7">
        <w:rPr>
          <w:rFonts w:hint="eastAsia"/>
          <w:lang w:val="fr-CH"/>
        </w:rPr>
        <w:tab/>
      </w:r>
      <w:r w:rsidRPr="00BF42B7">
        <w:rPr>
          <w:rFonts w:hint="eastAsia"/>
          <w:lang w:val="fr-CH"/>
        </w:rPr>
        <w:t>第</w:t>
      </w:r>
      <w:r w:rsidRPr="00BF42B7">
        <w:rPr>
          <w:lang w:val="fr-CH"/>
        </w:rPr>
        <w:t>1</w:t>
      </w:r>
      <w:r w:rsidRPr="00BF42B7">
        <w:rPr>
          <w:rFonts w:hint="eastAsia"/>
          <w:lang w:val="fr-CH"/>
        </w:rPr>
        <w:t>条</w:t>
      </w:r>
      <w:r w:rsidRPr="00BF42B7">
        <w:rPr>
          <w:lang w:val="fr-CH"/>
        </w:rPr>
        <w:br/>
      </w:r>
      <w:r w:rsidRPr="00BF42B7">
        <w:rPr>
          <w:rFonts w:hint="eastAsia"/>
          <w:lang w:val="fr-CH"/>
        </w:rPr>
        <w:t>范围</w:t>
      </w:r>
    </w:p>
    <w:p w:rsidR="00103498" w:rsidRPr="00BF42B7" w:rsidRDefault="00103498" w:rsidP="00CD12D6">
      <w:pPr>
        <w:pStyle w:val="SingleTxtGC"/>
        <w:tabs>
          <w:tab w:val="clear" w:pos="431"/>
          <w:tab w:val="clear" w:pos="1134"/>
          <w:tab w:val="clear" w:pos="1565"/>
          <w:tab w:val="clear" w:pos="1996"/>
          <w:tab w:val="left" w:pos="1985"/>
        </w:tabs>
        <w:ind w:left="1554"/>
      </w:pPr>
      <w:r w:rsidRPr="00BF42B7">
        <w:rPr>
          <w:rFonts w:hint="eastAsia"/>
          <w:lang w:val="fr-CH"/>
        </w:rPr>
        <w:tab/>
      </w:r>
      <w:r w:rsidRPr="00BF42B7">
        <w:rPr>
          <w:lang w:val="zh-CN"/>
        </w:rPr>
        <w:t>本条款草案适用于发生灾害时的人员保护</w:t>
      </w:r>
      <w:r w:rsidRPr="00BF42B7">
        <w:rPr>
          <w:rFonts w:hint="eastAsia"/>
          <w:lang w:val="fr-CH"/>
        </w:rPr>
        <w:t>。</w:t>
      </w:r>
    </w:p>
    <w:p w:rsidR="00103498" w:rsidRPr="00BF42B7" w:rsidRDefault="00103498" w:rsidP="00B46738">
      <w:pPr>
        <w:pStyle w:val="H23GC"/>
      </w:pPr>
      <w:r w:rsidRPr="00BF42B7">
        <w:rPr>
          <w:rFonts w:hint="eastAsia"/>
        </w:rPr>
        <w:tab/>
      </w:r>
      <w:r w:rsidRPr="00BF42B7">
        <w:rPr>
          <w:rFonts w:hint="eastAsia"/>
        </w:rPr>
        <w:tab/>
      </w:r>
      <w:r w:rsidRPr="00BF42B7">
        <w:rPr>
          <w:rFonts w:hint="eastAsia"/>
        </w:rPr>
        <w:t>评注</w:t>
      </w:r>
    </w:p>
    <w:p w:rsidR="00103498" w:rsidRPr="00BF42B7" w:rsidRDefault="00103498" w:rsidP="00B46738">
      <w:pPr>
        <w:pStyle w:val="SingleTxtGC"/>
        <w:rPr>
          <w:lang w:val="en-GB"/>
        </w:rPr>
      </w:pPr>
      <w:r w:rsidRPr="00BF42B7">
        <w:rPr>
          <w:lang w:val="en-GB"/>
        </w:rPr>
        <w:t xml:space="preserve">(1)  </w:t>
      </w:r>
      <w:r w:rsidRPr="00BF42B7">
        <w:rPr>
          <w:rFonts w:hint="eastAsia"/>
          <w:lang w:val="en-GB"/>
        </w:rPr>
        <w:t>第</w:t>
      </w:r>
      <w:r w:rsidRPr="00BF42B7">
        <w:rPr>
          <w:lang w:val="en-GB"/>
        </w:rPr>
        <w:t>1</w:t>
      </w:r>
      <w:r w:rsidRPr="00BF42B7">
        <w:rPr>
          <w:rFonts w:hint="eastAsia"/>
          <w:lang w:val="en-GB"/>
        </w:rPr>
        <w:t>条草案确立了本条款草案的范围，并沿用了本专题标题的说法。</w:t>
      </w:r>
      <w:r w:rsidRPr="00BF42B7">
        <w:rPr>
          <w:rFonts w:hint="eastAsia"/>
        </w:rPr>
        <w:t>这</w:t>
      </w:r>
      <w:r w:rsidRPr="00BF42B7">
        <w:rPr>
          <w:rFonts w:hint="eastAsia"/>
          <w:lang w:val="en-GB"/>
        </w:rPr>
        <w:t>条草案确立本条款草案方向基本上是侧重于生命、福利和财产受灾害影响的那些人的保护。因此，如第</w:t>
      </w:r>
      <w:r w:rsidRPr="00BF42B7">
        <w:rPr>
          <w:lang w:val="en-GB"/>
        </w:rPr>
        <w:t>2</w:t>
      </w:r>
      <w:r w:rsidRPr="00BF42B7">
        <w:rPr>
          <w:rFonts w:hint="eastAsia"/>
          <w:lang w:val="en-GB"/>
        </w:rPr>
        <w:t>条草案所规定，重点是应对灾害以及降低灾害风险，以便充分和有效地满足受灾人员的基本需要，同时充分尊重他们的权利。</w:t>
      </w:r>
    </w:p>
    <w:p w:rsidR="00103498" w:rsidRPr="00BF42B7" w:rsidRDefault="00103498" w:rsidP="00103498">
      <w:pPr>
        <w:pStyle w:val="SingleTxtGC"/>
        <w:rPr>
          <w:lang w:val="en-GB"/>
        </w:rPr>
      </w:pPr>
      <w:r w:rsidRPr="00BF42B7">
        <w:rPr>
          <w:lang w:val="en-GB"/>
        </w:rPr>
        <w:t xml:space="preserve">(2)  </w:t>
      </w:r>
      <w:r w:rsidRPr="00BF42B7">
        <w:rPr>
          <w:rFonts w:hint="eastAsia"/>
          <w:lang w:val="en-GB"/>
        </w:rPr>
        <w:t>本条款草案从属事理由出发，涉及了受灾国相对于其领土内的人</w:t>
      </w:r>
      <w:r w:rsidRPr="00BF42B7">
        <w:rPr>
          <w:rFonts w:hint="eastAsia"/>
          <w:lang w:val="en-GB"/>
        </w:rPr>
        <w:t>(</w:t>
      </w:r>
      <w:r w:rsidRPr="00BF42B7">
        <w:rPr>
          <w:rFonts w:hint="eastAsia"/>
          <w:lang w:val="en-GB"/>
        </w:rPr>
        <w:t>无论其国籍如何</w:t>
      </w:r>
      <w:r w:rsidRPr="00BF42B7">
        <w:rPr>
          <w:lang w:val="en-GB"/>
        </w:rPr>
        <w:t>)</w:t>
      </w:r>
      <w:r w:rsidRPr="00BF42B7">
        <w:rPr>
          <w:rFonts w:hint="eastAsia"/>
          <w:lang w:val="en-GB"/>
        </w:rPr>
        <w:t>或受其管辖或控制的领土内的人而言所具有的权利和义务，以及有能力合作特别是在提供救灾援助和减少灾害风险方面有能力合作的第三国、国际组织和其他实体的权利和义务。这种权利和义务的理解是，围绕两个方向适用：各国相互之间的权利和义务，各国相对于需要保护的人员的权利和义务。虽然重点放在前者，但条款草案也考虑了受灾个人按国际法规定享有的权利，尽管措辞是概括性的。在联合国主持下设立的人权机构以及一些区域国际法庭对人权问题的重视不断加强，这体现了在灾难条件下保护人权的重要性。另外，如第</w:t>
      </w:r>
      <w:r w:rsidRPr="00BF42B7">
        <w:rPr>
          <w:lang w:val="en-GB"/>
        </w:rPr>
        <w:t>3</w:t>
      </w:r>
      <w:r w:rsidRPr="00BF42B7">
        <w:rPr>
          <w:rFonts w:hint="eastAsia"/>
          <w:lang w:val="en-GB"/>
        </w:rPr>
        <w:t>条草案所述，条款草案并不限于任何一类特定灾害。鉴于导致灾害的不同原因之间复杂的互动关系，自然灾害和人为灾害的划分是武断的，在实际操作中也难以维持。</w:t>
      </w:r>
    </w:p>
    <w:p w:rsidR="00103498" w:rsidRPr="00BF42B7" w:rsidRDefault="00103498" w:rsidP="00103498">
      <w:pPr>
        <w:pStyle w:val="SingleTxtGC"/>
        <w:rPr>
          <w:lang w:val="en-GB"/>
        </w:rPr>
      </w:pPr>
      <w:r w:rsidRPr="00BF42B7">
        <w:rPr>
          <w:lang w:val="en-GB"/>
        </w:rPr>
        <w:t xml:space="preserve">(3)  </w:t>
      </w:r>
      <w:r w:rsidRPr="00BF42B7">
        <w:rPr>
          <w:rFonts w:hint="eastAsia"/>
          <w:lang w:val="en-GB"/>
        </w:rPr>
        <w:t>条款草案的属人理由范围限于受灾害影响的自然人。此外，侧重的主要是国家和国际组织以及在发生灾害时提供救灾援助方面享有特定国际法律权能的其他实体的活动。非政府组织和其他私人行为者有时统称为“民间社会”行为者，其活动也包括在条款草案的范围内，但处于次要地位，或作为国家义务</w:t>
      </w:r>
      <w:r w:rsidRPr="00BF42B7">
        <w:rPr>
          <w:rFonts w:hint="eastAsia"/>
          <w:lang w:val="en-GB"/>
        </w:rPr>
        <w:t>(</w:t>
      </w:r>
      <w:r w:rsidRPr="00BF42B7">
        <w:rPr>
          <w:rFonts w:hint="eastAsia"/>
          <w:lang w:val="en-GB"/>
        </w:rPr>
        <w:t>例如第</w:t>
      </w:r>
      <w:r w:rsidRPr="00BF42B7">
        <w:rPr>
          <w:lang w:val="en-GB"/>
        </w:rPr>
        <w:t>7</w:t>
      </w:r>
      <w:r w:rsidRPr="00BF42B7">
        <w:rPr>
          <w:rFonts w:hint="eastAsia"/>
          <w:lang w:val="en-GB"/>
        </w:rPr>
        <w:t>条草案中国家开展合作的义务</w:t>
      </w:r>
      <w:r w:rsidRPr="00BF42B7">
        <w:rPr>
          <w:rFonts w:hint="eastAsia"/>
          <w:lang w:val="en-GB"/>
        </w:rPr>
        <w:t>)</w:t>
      </w:r>
      <w:r w:rsidRPr="00BF42B7">
        <w:rPr>
          <w:rFonts w:hint="eastAsia"/>
          <w:lang w:val="en-GB"/>
        </w:rPr>
        <w:t>的直接受益人，或根据受灾国、第三国或实体或私人行为者国籍国的国内法律间接受益。除非另有具体说明，条款草案覆盖国际行为者和国内行为者两方面的国际灾害应对。但是，条款草案并不包括其他类型的国际援助，如各国在国外为其国民提供的援助以及领事协助。</w:t>
      </w:r>
    </w:p>
    <w:p w:rsidR="00103498" w:rsidRPr="00BF42B7" w:rsidRDefault="00103498" w:rsidP="00103498">
      <w:pPr>
        <w:pStyle w:val="SingleTxtGC"/>
        <w:rPr>
          <w:lang w:val="en-GB"/>
        </w:rPr>
      </w:pPr>
      <w:r w:rsidRPr="00BF42B7">
        <w:rPr>
          <w:lang w:val="en-GB"/>
        </w:rPr>
        <w:t xml:space="preserve">(4)  </w:t>
      </w:r>
      <w:r w:rsidRPr="00BF42B7">
        <w:rPr>
          <w:rFonts w:hint="eastAsia"/>
          <w:lang w:val="en-GB"/>
        </w:rPr>
        <w:t>如本专题的标题中“发生灾害时”这一短语所示，条款草案的范围依据属时理由，主要侧重于灾害发生后的立即应对行动以及早期的恢复阶段，包括灾后重建阶段。尽管如此，如第</w:t>
      </w:r>
      <w:r w:rsidRPr="00BF42B7">
        <w:rPr>
          <w:lang w:val="en-GB"/>
        </w:rPr>
        <w:t>2</w:t>
      </w:r>
      <w:r w:rsidRPr="00BF42B7">
        <w:rPr>
          <w:rFonts w:hint="eastAsia"/>
          <w:lang w:val="en-GB"/>
        </w:rPr>
        <w:t>条草案所确认，灾害前阶段也属于条款草案的范围之内，是第</w:t>
      </w:r>
      <w:r w:rsidRPr="00BF42B7">
        <w:rPr>
          <w:lang w:val="en-GB"/>
        </w:rPr>
        <w:t>9</w:t>
      </w:r>
      <w:r w:rsidRPr="00BF42B7">
        <w:rPr>
          <w:rFonts w:hint="eastAsia"/>
          <w:lang w:val="en-GB"/>
        </w:rPr>
        <w:t>条草案的事项，该条处理的是减少灾害风险和灾害预防和缓解活动。</w:t>
      </w:r>
    </w:p>
    <w:p w:rsidR="00103498" w:rsidRPr="00BF42B7" w:rsidRDefault="00103498" w:rsidP="00103498">
      <w:pPr>
        <w:pStyle w:val="SingleTxtGC"/>
        <w:rPr>
          <w:lang w:val="en-GB"/>
        </w:rPr>
      </w:pPr>
      <w:r w:rsidRPr="00BF42B7">
        <w:rPr>
          <w:lang w:val="en-GB"/>
        </w:rPr>
        <w:t xml:space="preserve">(5)  </w:t>
      </w:r>
      <w:r w:rsidRPr="00BF42B7">
        <w:rPr>
          <w:rFonts w:hint="eastAsia"/>
        </w:rPr>
        <w:t>从属地理由讲，本条款草案不局限于灾害发生地的活动，也包括那些援助国和过境国内的活动。灾害具有跨界性质也不是引起条款草案适用的必要条件。当然，重大的灾害通常具有跨界影响，因而增加了国际合作与协调的必要性。尽管如此，大量的例子也表明，重大的国际救灾活动主要针对发生在一国领土边界之内或受一国管辖或控制的领土内的灾害事件。一旦发生灾害时，各国有责任保护在其领土或受其管辖或控制的领土内的所有人员，无论其国籍或法律身份如何。虽然可能会有各种不同的考虑，但除非有另外明确规定，本条款草案不针对任何具体类型的灾害或情况，而是意在灵活地适用，以满足所有灾害所产生的需要，无论灾害是否具有跨界影响。</w:t>
      </w:r>
    </w:p>
    <w:p w:rsidR="00103498" w:rsidRPr="00BF42B7" w:rsidRDefault="00103498" w:rsidP="00CD12D6">
      <w:pPr>
        <w:pStyle w:val="H23GC"/>
        <w:ind w:left="1554"/>
        <w:rPr>
          <w:b/>
        </w:rPr>
      </w:pPr>
      <w:bookmarkStart w:id="16" w:name="_Toc398107254"/>
      <w:r w:rsidRPr="00BF42B7">
        <w:rPr>
          <w:rFonts w:hint="eastAsia"/>
          <w:lang w:val="fr-CH"/>
        </w:rPr>
        <w:tab/>
      </w:r>
      <w:r w:rsidRPr="00BF42B7">
        <w:rPr>
          <w:rFonts w:hint="eastAsia"/>
          <w:lang w:val="fr-CH"/>
        </w:rPr>
        <w:tab/>
      </w:r>
      <w:r w:rsidRPr="00BF42B7">
        <w:rPr>
          <w:rFonts w:hint="eastAsia"/>
          <w:lang w:val="fr-CH"/>
        </w:rPr>
        <w:t>第</w:t>
      </w:r>
      <w:r w:rsidRPr="00BF42B7">
        <w:rPr>
          <w:lang w:val="fr-CH"/>
        </w:rPr>
        <w:t>2</w:t>
      </w:r>
      <w:r w:rsidRPr="00BF42B7">
        <w:rPr>
          <w:rFonts w:hint="eastAsia"/>
          <w:lang w:val="fr-CH"/>
        </w:rPr>
        <w:t>条</w:t>
      </w:r>
      <w:r w:rsidRPr="00BF42B7">
        <w:rPr>
          <w:lang w:val="fr-CH"/>
        </w:rPr>
        <w:br/>
      </w:r>
      <w:r w:rsidRPr="00BF42B7">
        <w:rPr>
          <w:rFonts w:hint="eastAsia"/>
          <w:lang w:val="fr-CH"/>
        </w:rPr>
        <w:t>宗旨</w:t>
      </w:r>
    </w:p>
    <w:p w:rsidR="00103498" w:rsidRPr="00BF42B7" w:rsidRDefault="00103498" w:rsidP="00CD12D6">
      <w:pPr>
        <w:pStyle w:val="SingleTxtGC"/>
        <w:tabs>
          <w:tab w:val="clear" w:pos="431"/>
          <w:tab w:val="clear" w:pos="1134"/>
          <w:tab w:val="clear" w:pos="1565"/>
        </w:tabs>
        <w:ind w:left="1554"/>
        <w:rPr>
          <w:lang w:val="fr-CH"/>
        </w:rPr>
      </w:pPr>
      <w:r w:rsidRPr="00BF42B7">
        <w:rPr>
          <w:rFonts w:hint="eastAsia"/>
          <w:lang w:val="fr-CH"/>
        </w:rPr>
        <w:tab/>
      </w:r>
      <w:r w:rsidRPr="00BF42B7">
        <w:rPr>
          <w:lang w:val="zh-CN"/>
        </w:rPr>
        <w:t>本条款草案的宗旨是促进充分和有效地应对灾害和减少灾害风险，以满足有关人员的基本需要，充分尊重其权利</w:t>
      </w:r>
      <w:r w:rsidRPr="00BF42B7">
        <w:rPr>
          <w:rFonts w:hint="eastAsia"/>
          <w:lang w:val="fr-CH"/>
        </w:rPr>
        <w:t>。</w:t>
      </w:r>
    </w:p>
    <w:p w:rsidR="00103498" w:rsidRPr="00BF42B7" w:rsidRDefault="00103498" w:rsidP="00103498">
      <w:pPr>
        <w:pStyle w:val="H23GC"/>
        <w:rPr>
          <w:lang w:val="en-GB"/>
        </w:rPr>
      </w:pPr>
      <w:r w:rsidRPr="00BF42B7">
        <w:rPr>
          <w:rFonts w:hint="eastAsia"/>
          <w:lang w:val="en-GB"/>
        </w:rPr>
        <w:tab/>
      </w:r>
      <w:r w:rsidRPr="00BF42B7">
        <w:rPr>
          <w:rFonts w:hint="eastAsia"/>
          <w:lang w:val="en-GB"/>
        </w:rPr>
        <w:tab/>
      </w:r>
      <w:r w:rsidRPr="00BF42B7">
        <w:rPr>
          <w:rFonts w:hint="eastAsia"/>
          <w:lang w:val="en-GB"/>
        </w:rPr>
        <w:t>评注</w:t>
      </w:r>
      <w:bookmarkEnd w:id="16"/>
    </w:p>
    <w:p w:rsidR="00103498" w:rsidRPr="00BF42B7" w:rsidRDefault="00103498" w:rsidP="00103498">
      <w:pPr>
        <w:pStyle w:val="SingleTxtGC"/>
        <w:rPr>
          <w:lang w:val="en-GB"/>
        </w:rPr>
      </w:pPr>
      <w:r w:rsidRPr="00BF42B7">
        <w:rPr>
          <w:lang w:val="en-GB"/>
        </w:rPr>
        <w:t>(</w:t>
      </w:r>
      <w:r w:rsidRPr="00BF42B7">
        <w:rPr>
          <w:rFonts w:hint="eastAsia"/>
          <w:lang w:val="en-GB"/>
        </w:rPr>
        <w:t>1</w:t>
      </w:r>
      <w:r w:rsidRPr="00BF42B7">
        <w:rPr>
          <w:lang w:val="en-GB"/>
        </w:rPr>
        <w:t xml:space="preserve">)  </w:t>
      </w:r>
      <w:r w:rsidRPr="00BF42B7">
        <w:rPr>
          <w:rFonts w:hint="eastAsia"/>
        </w:rPr>
        <w:t>第</w:t>
      </w:r>
      <w:r w:rsidRPr="00BF42B7">
        <w:rPr>
          <w:rFonts w:hint="eastAsia"/>
        </w:rPr>
        <w:t>2</w:t>
      </w:r>
      <w:r w:rsidRPr="00BF42B7">
        <w:rPr>
          <w:rFonts w:hint="eastAsia"/>
        </w:rPr>
        <w:t>条是对第</w:t>
      </w:r>
      <w:r w:rsidRPr="00BF42B7">
        <w:t>1</w:t>
      </w:r>
      <w:r w:rsidRPr="00BF42B7">
        <w:rPr>
          <w:rFonts w:hint="eastAsia"/>
        </w:rPr>
        <w:t>条草案</w:t>
      </w:r>
      <w:r w:rsidRPr="00BF42B7">
        <w:t>(</w:t>
      </w:r>
      <w:r w:rsidRPr="00BF42B7">
        <w:rPr>
          <w:rFonts w:hint="eastAsia"/>
        </w:rPr>
        <w:t>范围</w:t>
      </w:r>
      <w:r w:rsidRPr="00BF42B7">
        <w:t>)</w:t>
      </w:r>
      <w:r w:rsidRPr="00BF42B7">
        <w:rPr>
          <w:rFonts w:hint="eastAsia"/>
        </w:rPr>
        <w:t>的阐述，就条款草案的目的提出了进一步的指导。提出的主要问题涉及“需要”与“权利”的关系问题。委员会了解到人道主义援助领域人们进行过这样的辩论，即应该采用“基于权利”的做法，还是应该采用更为传统的“基于需要”的做法。委员会的主流意见认为，两种做法并不一定相互排斥，而最好视为相互补充。委员会最终采用的措辞，强调应对灾害和减少灾害风险的重要性，这就充分和有效地满足了受灾害影响人员的“需要”。开展这种应对或减少风险的工作时，必须充分尊重此类人员的权利。</w:t>
      </w:r>
    </w:p>
    <w:p w:rsidR="00103498" w:rsidRPr="00BF42B7" w:rsidRDefault="00103498" w:rsidP="00103498">
      <w:pPr>
        <w:pStyle w:val="SingleTxtGC"/>
        <w:rPr>
          <w:lang w:val="en-GB"/>
        </w:rPr>
      </w:pPr>
      <w:r w:rsidRPr="00BF42B7">
        <w:rPr>
          <w:lang w:val="en-GB"/>
        </w:rPr>
        <w:t>(</w:t>
      </w:r>
      <w:r w:rsidRPr="00BF42B7">
        <w:rPr>
          <w:rFonts w:hint="eastAsia"/>
          <w:lang w:val="en-GB"/>
        </w:rPr>
        <w:t>2</w:t>
      </w:r>
      <w:r w:rsidRPr="00BF42B7">
        <w:rPr>
          <w:lang w:val="en-GB"/>
        </w:rPr>
        <w:t xml:space="preserve">)  </w:t>
      </w:r>
      <w:r w:rsidRPr="00BF42B7">
        <w:rPr>
          <w:rFonts w:hint="eastAsia"/>
        </w:rPr>
        <w:t>“充分和有效”不一定是专门术语，其实际含义是高质量的应对工作或减少灾害风险，满足受灾害影响的人员的基本需要。类似的措辞也见于应对灾害的其他已有协定。其中包括</w:t>
      </w:r>
      <w:r w:rsidRPr="00BF42B7">
        <w:t>2015</w:t>
      </w:r>
      <w:r w:rsidRPr="00BF42B7">
        <w:rPr>
          <w:rFonts w:hint="eastAsia"/>
        </w:rPr>
        <w:t>年《东南亚国家联盟灾害管理和紧急应对协定》</w:t>
      </w:r>
      <w:bookmarkStart w:id="17" w:name="_Ref328247660"/>
      <w:r w:rsidRPr="00BF42B7">
        <w:rPr>
          <w:rFonts w:hint="eastAsia"/>
        </w:rPr>
        <w:t>(</w:t>
      </w:r>
      <w:r w:rsidRPr="00BF42B7">
        <w:rPr>
          <w:rFonts w:hint="eastAsia"/>
        </w:rPr>
        <w:t>下称《东盟协定》</w:t>
      </w:r>
      <w:r w:rsidRPr="00BF42B7">
        <w:rPr>
          <w:rFonts w:hint="eastAsia"/>
        </w:rPr>
        <w:t>)</w:t>
      </w:r>
      <w:r w:rsidRPr="00BF42B7">
        <w:rPr>
          <w:rStyle w:val="a5"/>
          <w:szCs w:val="21"/>
        </w:rPr>
        <w:footnoteReference w:id="15"/>
      </w:r>
      <w:r w:rsidRPr="00BF42B7">
        <w:rPr>
          <w:color w:val="0000FF"/>
          <w:vertAlign w:val="superscript"/>
          <w:lang w:val="en-GB"/>
        </w:rPr>
        <w:t xml:space="preserve"> </w:t>
      </w:r>
      <w:bookmarkEnd w:id="17"/>
      <w:r w:rsidRPr="00BF42B7">
        <w:rPr>
          <w:rFonts w:hint="eastAsia"/>
        </w:rPr>
        <w:t>中出现的“有效和一致”以及“快速和有效”等词语，</w:t>
      </w:r>
      <w:r w:rsidRPr="00BF42B7">
        <w:t>1998</w:t>
      </w:r>
      <w:r w:rsidRPr="00BF42B7">
        <w:rPr>
          <w:rFonts w:hint="eastAsia"/>
        </w:rPr>
        <w:t>年《关于为减灾和救灾行动提供电信资源的坦佩雷公约》</w:t>
      </w:r>
      <w:r w:rsidRPr="00BF42B7">
        <w:rPr>
          <w:rFonts w:hint="eastAsia"/>
        </w:rPr>
        <w:t>(</w:t>
      </w:r>
      <w:r w:rsidRPr="00BF42B7">
        <w:rPr>
          <w:rFonts w:hint="eastAsia"/>
        </w:rPr>
        <w:t>下称《坦佩雷公约》</w:t>
      </w:r>
      <w:r w:rsidRPr="00BF42B7">
        <w:rPr>
          <w:rFonts w:hint="eastAsia"/>
        </w:rPr>
        <w:t>)</w:t>
      </w:r>
      <w:bookmarkStart w:id="18" w:name="_Ref450651512"/>
      <w:r w:rsidRPr="00BF42B7">
        <w:rPr>
          <w:rStyle w:val="a5"/>
          <w:szCs w:val="21"/>
        </w:rPr>
        <w:footnoteReference w:id="16"/>
      </w:r>
      <w:bookmarkEnd w:id="18"/>
      <w:r w:rsidRPr="00BF42B7">
        <w:rPr>
          <w:color w:val="0000FF"/>
          <w:vertAlign w:val="superscript"/>
          <w:lang w:val="en-GB"/>
        </w:rPr>
        <w:t xml:space="preserve"> </w:t>
      </w:r>
      <w:r w:rsidRPr="00BF42B7">
        <w:rPr>
          <w:rFonts w:hint="eastAsia"/>
        </w:rPr>
        <w:t>使用的“恰当和有效”等词语</w:t>
      </w:r>
      <w:r w:rsidRPr="00BF42B7">
        <w:rPr>
          <w:rFonts w:hint="eastAsia"/>
          <w:lang w:val="en-GB"/>
        </w:rPr>
        <w:t>。</w:t>
      </w:r>
      <w:r w:rsidRPr="00BF42B7">
        <w:rPr>
          <w:rFonts w:hint="eastAsia"/>
        </w:rPr>
        <w:t>鉴于进行各种应对时所存在的背景，及时性要素通常暗含于“有效”一词中。应对工作越是拖沓，其有效性越打折扣。这一点，以及使应对“充分”和“有效”所涉的其他方面是包括第</w:t>
      </w:r>
      <w:r w:rsidRPr="00BF42B7">
        <w:t>15</w:t>
      </w:r>
      <w:r w:rsidRPr="00BF42B7">
        <w:rPr>
          <w:rFonts w:hint="eastAsia"/>
        </w:rPr>
        <w:t>条草案在内的本条款草案其他部分规定所处理的议题。尽管如此，有一项谅解是，虽然有必要采纳高标准，但在发生任何具体灾害时，标准必须建立在“实地”工作现实和可行的基础上。因此，举例而言，在案文里没有提到应对必须是“完全”有效的。</w:t>
      </w:r>
    </w:p>
    <w:p w:rsidR="00103498" w:rsidRPr="00BF42B7" w:rsidRDefault="00103498" w:rsidP="00971B6C">
      <w:pPr>
        <w:pStyle w:val="SingleTxtGC"/>
        <w:rPr>
          <w:lang w:val="en-GB"/>
        </w:rPr>
      </w:pPr>
      <w:r w:rsidRPr="00BF42B7">
        <w:rPr>
          <w:lang w:val="en-GB"/>
        </w:rPr>
        <w:t>(</w:t>
      </w:r>
      <w:r w:rsidRPr="00BF42B7">
        <w:rPr>
          <w:rFonts w:hint="eastAsia"/>
          <w:lang w:val="en-GB"/>
        </w:rPr>
        <w:t>3</w:t>
      </w:r>
      <w:r w:rsidRPr="00BF42B7">
        <w:rPr>
          <w:lang w:val="en-GB"/>
        </w:rPr>
        <w:t xml:space="preserve">)  </w:t>
      </w:r>
      <w:r w:rsidRPr="00BF42B7">
        <w:rPr>
          <w:rFonts w:hint="eastAsia"/>
          <w:lang w:val="en-GB"/>
        </w:rPr>
        <w:t>虽然本条款草案的主要重点是应对灾害，但减少灾害风险问题也在第</w:t>
      </w:r>
      <w:r w:rsidRPr="00BF42B7">
        <w:rPr>
          <w:lang w:val="en-GB"/>
        </w:rPr>
        <w:t>9</w:t>
      </w:r>
      <w:r w:rsidRPr="00BF42B7">
        <w:rPr>
          <w:rFonts w:hint="eastAsia"/>
          <w:lang w:val="en-GB"/>
        </w:rPr>
        <w:t>条草案范围之内，是该条的议题。通过这种处理办法，条款草案承认国际社会范围内对于减少灾害风险这一基本作用的普遍认识</w:t>
      </w:r>
      <w:r w:rsidRPr="00BF42B7">
        <w:rPr>
          <w:rFonts w:hint="eastAsia"/>
          <w:lang w:val="en-GB"/>
        </w:rPr>
        <w:t>(</w:t>
      </w:r>
      <w:r w:rsidRPr="00BF42B7">
        <w:rPr>
          <w:rFonts w:hint="eastAsia"/>
          <w:lang w:val="en-GB"/>
        </w:rPr>
        <w:t>近期的证明是</w:t>
      </w:r>
      <w:r w:rsidRPr="00BF42B7">
        <w:rPr>
          <w:lang w:val="en-GB"/>
        </w:rPr>
        <w:t>2015</w:t>
      </w:r>
      <w:r w:rsidRPr="00BF42B7">
        <w:rPr>
          <w:rFonts w:hint="eastAsia"/>
          <w:lang w:val="en-GB"/>
        </w:rPr>
        <w:t>年通过的</w:t>
      </w:r>
      <w:r w:rsidRPr="00BF42B7">
        <w:rPr>
          <w:rFonts w:hint="eastAsia"/>
        </w:rPr>
        <w:t>《</w:t>
      </w:r>
      <w:r w:rsidRPr="00BF42B7">
        <w:t>2015-2030</w:t>
      </w:r>
      <w:r w:rsidRPr="00BF42B7">
        <w:rPr>
          <w:rFonts w:hint="eastAsia"/>
        </w:rPr>
        <w:t>年仙台减少灾害风险框架》</w:t>
      </w:r>
      <w:r w:rsidRPr="00BF42B7">
        <w:rPr>
          <w:color w:val="0000FF"/>
          <w:vertAlign w:val="superscript"/>
          <w:lang w:val="en-GB"/>
        </w:rPr>
        <w:footnoteReference w:id="17"/>
      </w:r>
      <w:r w:rsidRPr="00BF42B7">
        <w:rPr>
          <w:rFonts w:hint="eastAsia"/>
          <w:lang w:val="en-GB"/>
        </w:rPr>
        <w:t>。因此，提到“</w:t>
      </w:r>
      <w:r w:rsidRPr="00BF42B7">
        <w:rPr>
          <w:rFonts w:hint="eastAsia"/>
        </w:rPr>
        <w:t>充分和有效”地应对灾害和减少灾害风险以“满足有关人员的基本需要，充分尊重其权利”，对应对灾害和减少灾害风险同样适用。</w:t>
      </w:r>
    </w:p>
    <w:p w:rsidR="00103498" w:rsidRPr="00BF42B7" w:rsidRDefault="00103498" w:rsidP="00103498">
      <w:pPr>
        <w:pStyle w:val="SingleTxtGC"/>
        <w:rPr>
          <w:lang w:val="en-GB"/>
        </w:rPr>
      </w:pPr>
      <w:r w:rsidRPr="00BF42B7">
        <w:rPr>
          <w:lang w:val="en-GB"/>
        </w:rPr>
        <w:t>(</w:t>
      </w:r>
      <w:r w:rsidRPr="00BF42B7">
        <w:rPr>
          <w:rFonts w:hint="eastAsia"/>
          <w:lang w:val="en-GB"/>
        </w:rPr>
        <w:t>4</w:t>
      </w:r>
      <w:r w:rsidRPr="00BF42B7">
        <w:rPr>
          <w:lang w:val="en-GB"/>
        </w:rPr>
        <w:t xml:space="preserve">)  </w:t>
      </w:r>
      <w:r w:rsidRPr="00BF42B7">
        <w:rPr>
          <w:rFonts w:hint="eastAsia"/>
        </w:rPr>
        <w:t>委员会在拟定这一项规定时决定不采用一般性陈述的形式论述各国的义务，因为委员会觉得那样做不能足够地强调受灾国的具体权利和义务。但这种措辞是否足够地区分了不同国家的不同义务，例如受灾国相对于援助国的不同义务，这点并不清楚。因此，在这一条里没有提到各国，所依据的谅解是，对于论述条款草案目的的规定而言，这不是严格必要的。各国的义务在条款草案其他规定中得到具体的考虑。</w:t>
      </w:r>
    </w:p>
    <w:p w:rsidR="00103498" w:rsidRPr="00BF42B7" w:rsidRDefault="00103498" w:rsidP="00103498">
      <w:pPr>
        <w:pStyle w:val="SingleTxtGC"/>
        <w:rPr>
          <w:lang w:val="en-GB"/>
        </w:rPr>
      </w:pPr>
      <w:r w:rsidRPr="00BF42B7">
        <w:rPr>
          <w:lang w:val="en-GB"/>
        </w:rPr>
        <w:t>(</w:t>
      </w:r>
      <w:r w:rsidRPr="00BF42B7">
        <w:rPr>
          <w:rFonts w:hint="eastAsia"/>
          <w:lang w:val="en-GB"/>
        </w:rPr>
        <w:t>5</w:t>
      </w:r>
      <w:r w:rsidRPr="00BF42B7">
        <w:rPr>
          <w:lang w:val="en-GB"/>
        </w:rPr>
        <w:t xml:space="preserve">)  </w:t>
      </w:r>
      <w:r w:rsidRPr="00BF42B7">
        <w:rPr>
          <w:rFonts w:hint="eastAsia"/>
        </w:rPr>
        <w:t>“促进”一词反映了委员会对于条款草案在灾害救援以及减少灾害领域目前国际上存在的众多文书和协定中可起的作用的设想。委员会觉得，条款草案本身不能保证对灾害作出应对或减少灾害风险，其目的是便利作出充分和有效的应对。</w:t>
      </w:r>
    </w:p>
    <w:p w:rsidR="00103498" w:rsidRPr="00BF42B7" w:rsidRDefault="00103498" w:rsidP="00103498">
      <w:pPr>
        <w:pStyle w:val="SingleTxtGC"/>
        <w:rPr>
          <w:lang w:val="en-GB"/>
        </w:rPr>
      </w:pPr>
      <w:r w:rsidRPr="00BF42B7">
        <w:rPr>
          <w:lang w:val="en-GB"/>
        </w:rPr>
        <w:t>(</w:t>
      </w:r>
      <w:r w:rsidRPr="00BF42B7">
        <w:rPr>
          <w:rFonts w:hint="eastAsia"/>
          <w:lang w:val="en-GB"/>
        </w:rPr>
        <w:t>6</w:t>
      </w:r>
      <w:r w:rsidRPr="00BF42B7">
        <w:rPr>
          <w:lang w:val="en-GB"/>
        </w:rPr>
        <w:t xml:space="preserve">)  </w:t>
      </w:r>
      <w:r w:rsidRPr="00BF42B7">
        <w:rPr>
          <w:rFonts w:hint="eastAsia"/>
        </w:rPr>
        <w:t>在“需要”之前加上了形容词“基本”，这是为了更清楚地表明，这里所说的需要是在发生灾害之后与生存相关的需要或类似的基本需要。委员会觉得，“基本”明确地带出了这类需要所产生的背景。应结合第</w:t>
      </w:r>
      <w:r w:rsidRPr="00BF42B7">
        <w:t>6</w:t>
      </w:r>
      <w:r w:rsidRPr="00BF42B7">
        <w:rPr>
          <w:rFonts w:hint="eastAsia"/>
        </w:rPr>
        <w:t>条草案所示的考虑到特别弱势者需要的重要性，进一步理解这样的措辞。</w:t>
      </w:r>
    </w:p>
    <w:p w:rsidR="00103498" w:rsidRPr="00BF42B7" w:rsidRDefault="00103498" w:rsidP="00103498">
      <w:pPr>
        <w:pStyle w:val="SingleTxtGC"/>
        <w:rPr>
          <w:lang w:val="en-GB"/>
        </w:rPr>
      </w:pPr>
      <w:r w:rsidRPr="00BF42B7">
        <w:rPr>
          <w:lang w:val="en-GB"/>
        </w:rPr>
        <w:t>(</w:t>
      </w:r>
      <w:r w:rsidRPr="00BF42B7">
        <w:rPr>
          <w:rFonts w:hint="eastAsia"/>
          <w:lang w:val="en-GB"/>
        </w:rPr>
        <w:t>7</w:t>
      </w:r>
      <w:r w:rsidRPr="00BF42B7">
        <w:rPr>
          <w:lang w:val="en-GB"/>
        </w:rPr>
        <w:t xml:space="preserve">)  </w:t>
      </w:r>
      <w:r w:rsidRPr="00BF42B7">
        <w:rPr>
          <w:rFonts w:hint="eastAsia"/>
        </w:rPr>
        <w:t>“有关人员”的意思是指直接受灾害影响的人，而不是那些更间接地受到影响的人。插入这一用语是为了界定本条款草案的适用范围</w:t>
      </w:r>
      <w:r w:rsidRPr="00BF42B7">
        <w:rPr>
          <w:rFonts w:hint="eastAsia"/>
          <w:lang w:val="en-GB"/>
        </w:rPr>
        <w:t>，</w:t>
      </w:r>
      <w:r w:rsidRPr="00BF42B7">
        <w:rPr>
          <w:rFonts w:hint="eastAsia"/>
        </w:rPr>
        <w:t>这与现有各文书所采取的做法是一致的，它们都侧重于向直接受灾害影响的人提供救济。这不是说，更多地受到间接影响的个人，例如那些因灾害而失去家人或因其他地方遭受灾害而遭受经济损失的人便没有办法得到救济或帮助。实际上，委员会并不打算在本条款草案里说明适用于此类个人的法律规则。在条款草案范围之内列入减少灾害风险就意味着，“有关人员”包括有可能在未来的灾害中受灾的人，这是要依据对人员暴露和脆弱程度的评估在国家层面作出的判断。</w:t>
      </w:r>
    </w:p>
    <w:p w:rsidR="00103498" w:rsidRPr="00BF42B7" w:rsidRDefault="00103498" w:rsidP="00103498">
      <w:pPr>
        <w:pStyle w:val="SingleTxtGC"/>
        <w:rPr>
          <w:lang w:val="en-GB"/>
        </w:rPr>
      </w:pPr>
      <w:r w:rsidRPr="00BF42B7">
        <w:rPr>
          <w:lang w:val="en-GB"/>
        </w:rPr>
        <w:t>(</w:t>
      </w:r>
      <w:r w:rsidRPr="00BF42B7">
        <w:rPr>
          <w:rFonts w:hint="eastAsia"/>
          <w:lang w:val="en-GB"/>
        </w:rPr>
        <w:t>8</w:t>
      </w:r>
      <w:r w:rsidRPr="00BF42B7">
        <w:rPr>
          <w:lang w:val="en-GB"/>
        </w:rPr>
        <w:t xml:space="preserve">)  </w:t>
      </w:r>
      <w:r w:rsidRPr="00BF42B7">
        <w:rPr>
          <w:rFonts w:hint="eastAsia"/>
          <w:lang w:val="en-GB"/>
        </w:rPr>
        <w:t>提及“充分尊重其权利”，其目的是确保所涉权利应受到尊重和保护，有如第</w:t>
      </w:r>
      <w:r w:rsidRPr="00BF42B7">
        <w:rPr>
          <w:lang w:val="en-GB"/>
        </w:rPr>
        <w:t>5</w:t>
      </w:r>
      <w:r w:rsidRPr="00BF42B7">
        <w:rPr>
          <w:rFonts w:hint="eastAsia"/>
          <w:lang w:val="en-GB"/>
        </w:rPr>
        <w:t>条草案就人权所作的确认。</w:t>
      </w:r>
      <w:r w:rsidRPr="00BF42B7">
        <w:rPr>
          <w:rFonts w:hint="eastAsia"/>
        </w:rPr>
        <w:t>此外，这一短语目的是将这些权利如何实现的问题，留给有关的国际法规定本身来处理。条款草案考虑的主要是人权的适用，这是第</w:t>
      </w:r>
      <w:r w:rsidRPr="00BF42B7">
        <w:t>5</w:t>
      </w:r>
      <w:r w:rsidRPr="00BF42B7">
        <w:rPr>
          <w:rFonts w:hint="eastAsia"/>
        </w:rPr>
        <w:t>条草案的议题，但是，提到“权利”不仅是指人权，而且除其他外也指按照国内法所获得的权利。</w:t>
      </w:r>
    </w:p>
    <w:p w:rsidR="00103498" w:rsidRPr="00BF42B7" w:rsidRDefault="00103498" w:rsidP="00CD12D6">
      <w:pPr>
        <w:pStyle w:val="H23GC"/>
        <w:ind w:left="1554"/>
      </w:pPr>
      <w:r w:rsidRPr="00BF42B7">
        <w:rPr>
          <w:rFonts w:hint="eastAsia"/>
          <w:lang w:val="fr-CH"/>
        </w:rPr>
        <w:tab/>
      </w:r>
      <w:r w:rsidRPr="00BF42B7">
        <w:rPr>
          <w:rFonts w:hint="eastAsia"/>
          <w:lang w:val="fr-CH"/>
        </w:rPr>
        <w:tab/>
      </w:r>
      <w:r w:rsidRPr="00BF42B7">
        <w:rPr>
          <w:lang w:val="fr-CH"/>
        </w:rPr>
        <w:t>第</w:t>
      </w:r>
      <w:r w:rsidRPr="00BF42B7">
        <w:rPr>
          <w:lang w:val="fr-CH"/>
        </w:rPr>
        <w:t>3</w:t>
      </w:r>
      <w:r w:rsidRPr="00BF42B7">
        <w:rPr>
          <w:lang w:val="zh-CN"/>
        </w:rPr>
        <w:t>条</w:t>
      </w:r>
      <w:r w:rsidRPr="00BF42B7">
        <w:rPr>
          <w:rFonts w:hint="eastAsia"/>
        </w:rPr>
        <w:br/>
      </w:r>
      <w:r w:rsidRPr="00BF42B7">
        <w:rPr>
          <w:lang w:val="zh-CN"/>
        </w:rPr>
        <w:t>用语</w:t>
      </w:r>
    </w:p>
    <w:p w:rsidR="00103498" w:rsidRPr="00BF42B7" w:rsidRDefault="00103498" w:rsidP="00CD12D6">
      <w:pPr>
        <w:pStyle w:val="SingleTxtGC"/>
        <w:tabs>
          <w:tab w:val="clear" w:pos="431"/>
          <w:tab w:val="clear" w:pos="1134"/>
          <w:tab w:val="clear" w:pos="1565"/>
        </w:tabs>
        <w:ind w:left="1554"/>
      </w:pPr>
      <w:r w:rsidRPr="00BF42B7">
        <w:tab/>
      </w:r>
      <w:r w:rsidRPr="00BF42B7">
        <w:rPr>
          <w:lang w:val="zh-CN"/>
        </w:rPr>
        <w:t>为本条款草案的目的：</w:t>
      </w:r>
    </w:p>
    <w:p w:rsidR="00103498" w:rsidRPr="00BF42B7" w:rsidRDefault="00103498" w:rsidP="00396D56">
      <w:pPr>
        <w:pStyle w:val="SingleTxtGC"/>
        <w:numPr>
          <w:ilvl w:val="0"/>
          <w:numId w:val="14"/>
        </w:numPr>
      </w:pPr>
      <w:r w:rsidRPr="00BF42B7">
        <w:rPr>
          <w:rFonts w:hint="eastAsia"/>
          <w:lang w:val="zh-CN"/>
        </w:rPr>
        <w:t>“</w:t>
      </w:r>
      <w:r w:rsidRPr="00BF42B7">
        <w:rPr>
          <w:lang w:val="zh-CN"/>
        </w:rPr>
        <w:t>灾害</w:t>
      </w:r>
      <w:r w:rsidRPr="00BF42B7">
        <w:rPr>
          <w:rFonts w:hint="eastAsia"/>
          <w:lang w:val="zh-CN"/>
        </w:rPr>
        <w:t>”</w:t>
      </w:r>
      <w:r w:rsidRPr="00BF42B7">
        <w:rPr>
          <w:lang w:val="zh-CN"/>
        </w:rPr>
        <w:t>是指造成广泛的生命损失、巨大的人类痛苦和危难、大规模流离失所、或大规模的物质或环境损害，从而严重扰乱社会运转的一个灾难性事件或一系列事件；</w:t>
      </w:r>
    </w:p>
    <w:p w:rsidR="00103498" w:rsidRPr="00BF42B7" w:rsidRDefault="00103498" w:rsidP="00396D56">
      <w:pPr>
        <w:pStyle w:val="SingleTxtGC"/>
        <w:numPr>
          <w:ilvl w:val="0"/>
          <w:numId w:val="14"/>
        </w:numPr>
        <w:rPr>
          <w:spacing w:val="-4"/>
        </w:rPr>
      </w:pPr>
      <w:r w:rsidRPr="00BF42B7">
        <w:rPr>
          <w:rFonts w:hint="eastAsia"/>
          <w:spacing w:val="-4"/>
          <w:lang w:val="zh-CN"/>
        </w:rPr>
        <w:t>“</w:t>
      </w:r>
      <w:r w:rsidRPr="00BF42B7">
        <w:rPr>
          <w:spacing w:val="-4"/>
          <w:lang w:val="zh-CN"/>
        </w:rPr>
        <w:t>受灾国</w:t>
      </w:r>
      <w:r w:rsidRPr="00BF42B7">
        <w:rPr>
          <w:rFonts w:hint="eastAsia"/>
          <w:spacing w:val="-4"/>
          <w:lang w:val="zh-CN"/>
        </w:rPr>
        <w:t>”</w:t>
      </w:r>
      <w:r w:rsidRPr="00BF42B7">
        <w:rPr>
          <w:spacing w:val="-4"/>
          <w:lang w:val="zh-CN"/>
        </w:rPr>
        <w:t>是指在其领土或受其管辖或控制的领土内发生灾害的国家；</w:t>
      </w:r>
    </w:p>
    <w:p w:rsidR="00103498" w:rsidRPr="00BF42B7" w:rsidRDefault="00103498" w:rsidP="00396D56">
      <w:pPr>
        <w:pStyle w:val="SingleTxtGC"/>
        <w:numPr>
          <w:ilvl w:val="0"/>
          <w:numId w:val="14"/>
        </w:numPr>
      </w:pPr>
      <w:r w:rsidRPr="00BF42B7">
        <w:rPr>
          <w:rFonts w:hint="eastAsia"/>
          <w:lang w:val="zh-CN"/>
        </w:rPr>
        <w:t>“</w:t>
      </w:r>
      <w:r w:rsidRPr="00BF42B7">
        <w:rPr>
          <w:lang w:val="zh-CN"/>
        </w:rPr>
        <w:t>援助国</w:t>
      </w:r>
      <w:r w:rsidRPr="00BF42B7">
        <w:rPr>
          <w:rFonts w:hint="eastAsia"/>
          <w:lang w:val="zh-CN"/>
        </w:rPr>
        <w:t>”</w:t>
      </w:r>
      <w:r w:rsidRPr="00BF42B7">
        <w:rPr>
          <w:lang w:val="zh-CN"/>
        </w:rPr>
        <w:t>是指经受灾国同意向其提供援助的国家；</w:t>
      </w:r>
    </w:p>
    <w:p w:rsidR="00103498" w:rsidRPr="00BF42B7" w:rsidRDefault="00103498" w:rsidP="00396D56">
      <w:pPr>
        <w:pStyle w:val="SingleTxtGC"/>
        <w:numPr>
          <w:ilvl w:val="0"/>
          <w:numId w:val="14"/>
        </w:numPr>
      </w:pPr>
      <w:r w:rsidRPr="00BF42B7">
        <w:rPr>
          <w:rFonts w:hint="eastAsia"/>
          <w:lang w:val="zh-CN"/>
        </w:rPr>
        <w:t>“</w:t>
      </w:r>
      <w:r w:rsidRPr="00BF42B7">
        <w:rPr>
          <w:lang w:val="zh-CN"/>
        </w:rPr>
        <w:t>其他援助方</w:t>
      </w:r>
      <w:r w:rsidRPr="00BF42B7">
        <w:rPr>
          <w:rFonts w:hint="eastAsia"/>
          <w:lang w:val="zh-CN"/>
        </w:rPr>
        <w:t>”</w:t>
      </w:r>
      <w:r w:rsidRPr="00BF42B7">
        <w:rPr>
          <w:lang w:val="zh-CN"/>
        </w:rPr>
        <w:t>是指经受灾国同意向其提供援助的主管政府间组织或有关非政府组织或实体；</w:t>
      </w:r>
      <w:r w:rsidRPr="00BF42B7">
        <w:rPr>
          <w:lang w:val="zh-CN"/>
        </w:rPr>
        <w:t xml:space="preserve"> </w:t>
      </w:r>
    </w:p>
    <w:p w:rsidR="00103498" w:rsidRPr="00BF42B7" w:rsidRDefault="00103498" w:rsidP="00396D56">
      <w:pPr>
        <w:pStyle w:val="SingleTxtGC"/>
        <w:numPr>
          <w:ilvl w:val="0"/>
          <w:numId w:val="14"/>
        </w:numPr>
      </w:pPr>
      <w:r w:rsidRPr="00BF42B7">
        <w:rPr>
          <w:rFonts w:hint="eastAsia"/>
          <w:lang w:val="zh-CN"/>
        </w:rPr>
        <w:t>“</w:t>
      </w:r>
      <w:r w:rsidRPr="00BF42B7">
        <w:rPr>
          <w:lang w:val="zh-CN"/>
        </w:rPr>
        <w:t>外部援助</w:t>
      </w:r>
      <w:r w:rsidRPr="00BF42B7">
        <w:rPr>
          <w:rFonts w:hint="eastAsia"/>
          <w:lang w:val="zh-CN"/>
        </w:rPr>
        <w:t>”</w:t>
      </w:r>
      <w:r w:rsidRPr="00BF42B7">
        <w:rPr>
          <w:lang w:val="zh-CN"/>
        </w:rPr>
        <w:t>是指援助国或其他援助方为救灾援助而向受灾国提供的救灾人员、设备和物资</w:t>
      </w:r>
      <w:r w:rsidRPr="00BF42B7">
        <w:rPr>
          <w:rFonts w:hint="eastAsia"/>
          <w:lang w:val="zh-CN"/>
        </w:rPr>
        <w:t>以</w:t>
      </w:r>
      <w:r w:rsidRPr="00BF42B7">
        <w:rPr>
          <w:lang w:val="zh-CN"/>
        </w:rPr>
        <w:t>及服务；</w:t>
      </w:r>
    </w:p>
    <w:p w:rsidR="00103498" w:rsidRPr="00BF42B7" w:rsidRDefault="00103498" w:rsidP="00396D56">
      <w:pPr>
        <w:pStyle w:val="SingleTxtGC"/>
        <w:numPr>
          <w:ilvl w:val="0"/>
          <w:numId w:val="14"/>
        </w:numPr>
        <w:rPr>
          <w:lang w:val="zh-CN"/>
        </w:rPr>
      </w:pPr>
      <w:r w:rsidRPr="00BF42B7">
        <w:rPr>
          <w:rFonts w:hint="eastAsia"/>
          <w:lang w:val="zh-CN"/>
        </w:rPr>
        <w:t>“</w:t>
      </w:r>
      <w:r w:rsidRPr="00BF42B7">
        <w:rPr>
          <w:lang w:val="zh-CN"/>
        </w:rPr>
        <w:t>救灾人员</w:t>
      </w:r>
      <w:r w:rsidRPr="00BF42B7">
        <w:rPr>
          <w:rFonts w:hint="eastAsia"/>
          <w:lang w:val="zh-CN"/>
        </w:rPr>
        <w:t>”</w:t>
      </w:r>
      <w:r w:rsidRPr="00BF42B7">
        <w:rPr>
          <w:lang w:val="zh-CN"/>
        </w:rPr>
        <w:t>是指援助国或其他援助方为提供救灾援助而派遣的民事或军事人员；</w:t>
      </w:r>
    </w:p>
    <w:p w:rsidR="00103498" w:rsidRPr="00BF42B7" w:rsidRDefault="00103498" w:rsidP="00396D56">
      <w:pPr>
        <w:pStyle w:val="SingleTxtGC"/>
        <w:numPr>
          <w:ilvl w:val="0"/>
          <w:numId w:val="14"/>
        </w:numPr>
        <w:rPr>
          <w:bCs/>
        </w:rPr>
      </w:pPr>
      <w:r w:rsidRPr="00BF42B7">
        <w:rPr>
          <w:rFonts w:hint="eastAsia"/>
          <w:lang w:val="zh-CN"/>
        </w:rPr>
        <w:t>“</w:t>
      </w:r>
      <w:r w:rsidRPr="00BF42B7">
        <w:rPr>
          <w:lang w:val="zh-CN"/>
        </w:rPr>
        <w:t>设备和物资</w:t>
      </w:r>
      <w:r w:rsidRPr="00BF42B7">
        <w:rPr>
          <w:rFonts w:hint="eastAsia"/>
          <w:lang w:val="zh-CN"/>
        </w:rPr>
        <w:t>”</w:t>
      </w:r>
      <w:r w:rsidRPr="00BF42B7">
        <w:rPr>
          <w:lang w:val="zh-CN"/>
        </w:rPr>
        <w:t>是指为救灾援助提供的用品、工具、机器、经过专门训练的动物、食品、饮用水、医疗用品、栖身手段、衣物、铺盖用品、车辆、电信设备和其他物品。</w:t>
      </w:r>
    </w:p>
    <w:p w:rsidR="00103498" w:rsidRPr="00BF42B7" w:rsidRDefault="00103498" w:rsidP="00B46738">
      <w:pPr>
        <w:pStyle w:val="H23GC"/>
        <w:rPr>
          <w:lang w:val="en-GB"/>
        </w:rPr>
      </w:pPr>
      <w:r w:rsidRPr="00BF42B7">
        <w:rPr>
          <w:rFonts w:hint="eastAsia"/>
          <w:lang w:val="en-GB"/>
        </w:rPr>
        <w:tab/>
      </w:r>
      <w:r w:rsidRPr="00BF42B7">
        <w:rPr>
          <w:rFonts w:hint="eastAsia"/>
          <w:lang w:val="en-GB"/>
        </w:rPr>
        <w:tab/>
      </w:r>
      <w:r w:rsidRPr="00BF42B7">
        <w:rPr>
          <w:rFonts w:hint="eastAsia"/>
          <w:lang w:val="en-GB"/>
        </w:rPr>
        <w:t>评注</w:t>
      </w:r>
    </w:p>
    <w:p w:rsidR="00103498" w:rsidRPr="00BF42B7" w:rsidRDefault="00103498" w:rsidP="00B46738">
      <w:pPr>
        <w:pStyle w:val="SingleTxtGC"/>
        <w:rPr>
          <w:lang w:val="en-GB"/>
        </w:rPr>
      </w:pPr>
      <w:r w:rsidRPr="00BF42B7">
        <w:rPr>
          <w:lang w:val="en-GB"/>
        </w:rPr>
        <w:t xml:space="preserve">(1)  </w:t>
      </w:r>
      <w:r w:rsidRPr="00BF42B7">
        <w:rPr>
          <w:rFonts w:hint="eastAsia"/>
        </w:rPr>
        <w:t>正如围绕各种国际法专题已经通过的大多数条款草案所反映的那样，委员会的做法是在条款草案里加上“用语”规定。</w:t>
      </w:r>
      <w:r w:rsidRPr="00BF42B7">
        <w:t>列入第</w:t>
      </w:r>
      <w:r w:rsidRPr="00BF42B7">
        <w:rPr>
          <w:rFonts w:hint="eastAsia"/>
        </w:rPr>
        <w:t>3</w:t>
      </w:r>
      <w:r w:rsidRPr="00BF42B7">
        <w:t>条草案里的某些术语会在各项条文草案的评注里单独提出来，说明为何需要界定</w:t>
      </w:r>
      <w:r w:rsidRPr="00BF42B7">
        <w:rPr>
          <w:rFonts w:hint="eastAsia"/>
        </w:rPr>
        <w:t>。</w:t>
      </w:r>
      <w:r w:rsidRPr="00BF42B7">
        <w:t>另一些术语之所以列入是由于其在条款草案里的总体出现频率。</w:t>
      </w:r>
    </w:p>
    <w:p w:rsidR="00103498" w:rsidRPr="00BF42B7" w:rsidRDefault="00103498" w:rsidP="00B46738">
      <w:pPr>
        <w:pStyle w:val="H4GC"/>
        <w:rPr>
          <w:rFonts w:eastAsia="楷体"/>
          <w:lang w:val="en-GB"/>
        </w:rPr>
      </w:pPr>
      <w:r w:rsidRPr="00BF42B7">
        <w:rPr>
          <w:rFonts w:eastAsia="楷体" w:hint="eastAsia"/>
          <w:lang w:val="en-GB"/>
        </w:rPr>
        <w:tab/>
      </w:r>
      <w:r w:rsidRPr="00BF42B7">
        <w:rPr>
          <w:rFonts w:eastAsia="楷体" w:hint="eastAsia"/>
          <w:lang w:val="en-GB"/>
        </w:rPr>
        <w:tab/>
      </w:r>
      <w:r w:rsidRPr="00BF42B7">
        <w:rPr>
          <w:rFonts w:eastAsia="楷体"/>
          <w:lang w:val="en-GB"/>
        </w:rPr>
        <w:t>(a)</w:t>
      </w:r>
      <w:r w:rsidRPr="00BF42B7">
        <w:rPr>
          <w:rFonts w:eastAsia="楷体" w:hint="eastAsia"/>
          <w:lang w:val="en-GB"/>
        </w:rPr>
        <w:t>项</w:t>
      </w:r>
    </w:p>
    <w:p w:rsidR="00103498" w:rsidRPr="00BF42B7" w:rsidRDefault="00103498" w:rsidP="00103498">
      <w:pPr>
        <w:pStyle w:val="SingleTxtGC"/>
        <w:rPr>
          <w:lang w:val="en-GB"/>
        </w:rPr>
      </w:pPr>
      <w:r w:rsidRPr="00BF42B7">
        <w:rPr>
          <w:lang w:val="en-GB"/>
        </w:rPr>
        <w:t xml:space="preserve">(2)  (a) </w:t>
      </w:r>
      <w:r w:rsidRPr="00BF42B7">
        <w:rPr>
          <w:rFonts w:hint="eastAsia"/>
          <w:lang w:val="en-GB"/>
        </w:rPr>
        <w:t>项仅为本条款草案的目的界定“灾害”一语。确定这一定义是要恰当把握第</w:t>
      </w:r>
      <w:r w:rsidRPr="00BF42B7">
        <w:rPr>
          <w:rFonts w:hint="eastAsia"/>
          <w:lang w:val="en-GB"/>
        </w:rPr>
        <w:t>1</w:t>
      </w:r>
      <w:r w:rsidRPr="00BF42B7">
        <w:rPr>
          <w:rFonts w:hint="eastAsia"/>
          <w:lang w:val="en-GB"/>
        </w:rPr>
        <w:t>条草案建立的条款草案范围，</w:t>
      </w:r>
      <w:r w:rsidRPr="00BF42B7">
        <w:t>与此同时又不会无意地处理其他严重事件，例如政治和经济危机，这些危机也可能破坏社会的运转</w:t>
      </w:r>
      <w:r w:rsidRPr="00BF42B7">
        <w:rPr>
          <w:rFonts w:hint="eastAsia"/>
        </w:rPr>
        <w:t>，但超出了条款草案的范围。</w:t>
      </w:r>
      <w:r w:rsidRPr="00BF42B7">
        <w:t>这样的界定包含着两个特点：</w:t>
      </w:r>
      <w:r w:rsidRPr="00BF42B7">
        <w:t xml:space="preserve">(a) </w:t>
      </w:r>
      <w:r w:rsidRPr="00BF42B7">
        <w:t>强调发生了导致社会运转被</w:t>
      </w:r>
      <w:r w:rsidRPr="00BF42B7">
        <w:rPr>
          <w:rFonts w:hint="eastAsia"/>
        </w:rPr>
        <w:t>严重</w:t>
      </w:r>
      <w:r w:rsidRPr="00BF42B7">
        <w:t>破坏的事件；</w:t>
      </w:r>
      <w:r w:rsidRPr="00BF42B7">
        <w:t xml:space="preserve">(b) </w:t>
      </w:r>
      <w:r w:rsidRPr="00BF42B7">
        <w:t>包括了一些限定性短语。</w:t>
      </w:r>
    </w:p>
    <w:p w:rsidR="00103498" w:rsidRPr="00BF42B7" w:rsidRDefault="00103498" w:rsidP="00103498">
      <w:pPr>
        <w:pStyle w:val="SingleTxtGC"/>
        <w:rPr>
          <w:lang w:val="en-GB"/>
        </w:rPr>
      </w:pPr>
      <w:r w:rsidRPr="00BF42B7">
        <w:rPr>
          <w:lang w:val="en-GB"/>
        </w:rPr>
        <w:t xml:space="preserve">(3)  </w:t>
      </w:r>
      <w:r w:rsidRPr="00BF42B7">
        <w:rPr>
          <w:rFonts w:hint="eastAsia"/>
        </w:rPr>
        <w:t>委员会审议了《坦佩雷公约》中的处理办法，该公约将灾害设想为一个事件的后果，即由于该事件而社会的运转遭受严重破坏，这有别于事件本身。</w:t>
      </w:r>
      <w:r w:rsidRPr="00BF42B7">
        <w:t>委员会意识到，这样的处理办法代表了人道主义援助界目前所存在的思维，这正如</w:t>
      </w:r>
      <w:r w:rsidRPr="00BF42B7">
        <w:rPr>
          <w:spacing w:val="-1"/>
        </w:rPr>
        <w:t>2005</w:t>
      </w:r>
      <w:r w:rsidRPr="00BF42B7">
        <w:rPr>
          <w:spacing w:val="-1"/>
        </w:rPr>
        <w:t>年联合国在日本兵库举行的世界减灾大会所确认的，以及最近的条约和其他文书所确认的，包括</w:t>
      </w:r>
      <w:r w:rsidRPr="00BF42B7">
        <w:rPr>
          <w:spacing w:val="-1"/>
        </w:rPr>
        <w:t>2007</w:t>
      </w:r>
      <w:r w:rsidRPr="00BF42B7">
        <w:rPr>
          <w:spacing w:val="-1"/>
        </w:rPr>
        <w:t>年红十字会与红新月会国际联合会《国内便利和管理国</w:t>
      </w:r>
      <w:r w:rsidRPr="00BF42B7">
        <w:t>际救灾和初期恢复援助工作导则》</w:t>
      </w:r>
      <w:r w:rsidRPr="00BF42B7">
        <w:rPr>
          <w:lang w:val="en-GB"/>
        </w:rPr>
        <w:t>(</w:t>
      </w:r>
      <w:r w:rsidRPr="00BF42B7">
        <w:rPr>
          <w:rFonts w:hint="eastAsia"/>
          <w:lang w:val="en-GB"/>
        </w:rPr>
        <w:t>下称《</w:t>
      </w:r>
      <w:r w:rsidRPr="00BF42B7">
        <w:t>红十字会红新月会联会导则》</w:t>
      </w:r>
      <w:r w:rsidRPr="00BF42B7">
        <w:rPr>
          <w:lang w:val="en-GB"/>
        </w:rPr>
        <w:t>)</w:t>
      </w:r>
      <w:r w:rsidRPr="00BF42B7">
        <w:rPr>
          <w:rFonts w:hint="eastAsia"/>
          <w:lang w:val="en-GB"/>
        </w:rPr>
        <w:t>。</w:t>
      </w:r>
      <w:bookmarkStart w:id="19" w:name="_Ref450649159"/>
      <w:r w:rsidRPr="00BF42B7">
        <w:rPr>
          <w:color w:val="0000FF"/>
          <w:vertAlign w:val="superscript"/>
          <w:lang w:val="en-GB"/>
        </w:rPr>
        <w:footnoteReference w:id="18"/>
      </w:r>
      <w:bookmarkEnd w:id="19"/>
      <w:r w:rsidRPr="00BF42B7">
        <w:rPr>
          <w:color w:val="0000FF"/>
          <w:spacing w:val="-2"/>
          <w:vertAlign w:val="superscript"/>
          <w:lang w:val="en-GB"/>
        </w:rPr>
        <w:t xml:space="preserve"> </w:t>
      </w:r>
      <w:r w:rsidRPr="00BF42B7">
        <w:rPr>
          <w:rFonts w:hint="eastAsia"/>
        </w:rPr>
        <w:t>尽管如此，委员会决定将重点恢复到早先的“灾害”概念中，即灾害是一个具体事件，因为委员会正在做的是拟订一项法律文书，要求有更简练和准确的法律定义，不同于更多地以政策为导向的那种定义。</w:t>
      </w:r>
    </w:p>
    <w:p w:rsidR="00103498" w:rsidRPr="00BF42B7" w:rsidRDefault="00103498" w:rsidP="00103498">
      <w:pPr>
        <w:pStyle w:val="SingleTxtGC"/>
      </w:pPr>
      <w:r w:rsidRPr="00BF42B7">
        <w:rPr>
          <w:lang w:val="en-GB"/>
        </w:rPr>
        <w:t xml:space="preserve">(4)  </w:t>
      </w:r>
      <w:r w:rsidRPr="00BF42B7">
        <w:rPr>
          <w:rFonts w:hint="eastAsia"/>
        </w:rPr>
        <w:t>须存在一项事件这一要素受到好几种限定。首先，提到“灾难性”事件，这是通过提到事件的性质而确立一个门槛，即只有极端的事件才包含在内。这一点受国际法学会</w:t>
      </w:r>
      <w:r w:rsidRPr="00BF42B7">
        <w:t>2003</w:t>
      </w:r>
      <w:r w:rsidRPr="00BF42B7">
        <w:rPr>
          <w:rFonts w:hint="eastAsia"/>
        </w:rPr>
        <w:t>年布鲁日会议</w:t>
      </w:r>
      <w:bookmarkStart w:id="20" w:name="_Ref450648805"/>
      <w:r w:rsidRPr="00BF42B7">
        <w:rPr>
          <w:color w:val="0000FF"/>
          <w:vertAlign w:val="superscript"/>
          <w:lang w:val="en-GB"/>
        </w:rPr>
        <w:footnoteReference w:id="19"/>
      </w:r>
      <w:bookmarkEnd w:id="20"/>
      <w:r w:rsidRPr="00BF42B7">
        <w:rPr>
          <w:color w:val="0000FF"/>
          <w:vertAlign w:val="superscript"/>
          <w:lang w:val="en-GB"/>
        </w:rPr>
        <w:t xml:space="preserve"> </w:t>
      </w:r>
      <w:r w:rsidRPr="00BF42B7">
        <w:rPr>
          <w:rFonts w:hint="eastAsia"/>
        </w:rPr>
        <w:t>通过的关于人道主义援助的决议中定义的启发，国际法学会有意确立这么高的门槛，以排除其他紧急事件。对于“灾难性”一词的理解应该从两方面来进行，一是适用该条规定后一部分的限定语，即“造成普遍生命损失、巨大人类痛苦和危难、或大规模物质和环境损坏，从而严重扰乱社会运转”；另一方面须牢记条款草案的范围和目的，正如第</w:t>
      </w:r>
      <w:r w:rsidRPr="00BF42B7">
        <w:t>1</w:t>
      </w:r>
      <w:r w:rsidRPr="00BF42B7">
        <w:rPr>
          <w:rFonts w:hint="eastAsia"/>
        </w:rPr>
        <w:t>和第</w:t>
      </w:r>
      <w:r w:rsidRPr="00BF42B7">
        <w:t>2</w:t>
      </w:r>
      <w:r w:rsidRPr="00BF42B7">
        <w:rPr>
          <w:rFonts w:hint="eastAsia"/>
        </w:rPr>
        <w:t>条草案所说明的。此外，还提到“事件或一系列事件”，这是为了包含这样类型的事件，其本身可能达不到标准，但合在一起，可能构成本条款草案所说的灾难性事件。这一条里没有包含事件原因的限制，不论是人为还是自然原因，这是为了承认，灾害往往产生于复杂的原因，可能既包含完全天然的因素，也包含人类活动的因素。与此类似，条款草案可以同样适用于突发事件</w:t>
      </w:r>
      <w:r w:rsidRPr="00BF42B7">
        <w:rPr>
          <w:rFonts w:hint="eastAsia"/>
        </w:rPr>
        <w:t>(</w:t>
      </w:r>
      <w:r w:rsidRPr="00BF42B7">
        <w:rPr>
          <w:rFonts w:hint="eastAsia"/>
        </w:rPr>
        <w:t>如地震或海啸等</w:t>
      </w:r>
      <w:r w:rsidRPr="00BF42B7">
        <w:rPr>
          <w:rFonts w:hint="eastAsia"/>
        </w:rPr>
        <w:t>)</w:t>
      </w:r>
      <w:r w:rsidRPr="00BF42B7">
        <w:rPr>
          <w:rFonts w:hint="eastAsia"/>
        </w:rPr>
        <w:t>和缓慢发生的事件</w:t>
      </w:r>
      <w:r w:rsidRPr="00BF42B7">
        <w:rPr>
          <w:rFonts w:hint="eastAsia"/>
        </w:rPr>
        <w:t>(</w:t>
      </w:r>
      <w:r w:rsidRPr="00BF42B7">
        <w:rPr>
          <w:rFonts w:hint="eastAsia"/>
        </w:rPr>
        <w:t>如干旱或海平面上升</w:t>
      </w:r>
      <w:r w:rsidRPr="00BF42B7">
        <w:rPr>
          <w:rFonts w:hint="eastAsia"/>
        </w:rPr>
        <w:t>)</w:t>
      </w:r>
      <w:r w:rsidRPr="00BF42B7">
        <w:rPr>
          <w:rFonts w:hint="eastAsia"/>
        </w:rPr>
        <w:t>以及频繁的小规模事件</w:t>
      </w:r>
      <w:r w:rsidRPr="00BF42B7">
        <w:rPr>
          <w:rFonts w:hint="eastAsia"/>
        </w:rPr>
        <w:t>(</w:t>
      </w:r>
      <w:r w:rsidRPr="00BF42B7">
        <w:rPr>
          <w:rFonts w:hint="eastAsia"/>
        </w:rPr>
        <w:t>洪水或滑坡</w:t>
      </w:r>
      <w:r w:rsidRPr="00BF42B7">
        <w:rPr>
          <w:rFonts w:hint="eastAsia"/>
        </w:rPr>
        <w:t>)</w:t>
      </w:r>
      <w:r w:rsidRPr="00BF42B7">
        <w:rPr>
          <w:rFonts w:hint="eastAsia"/>
        </w:rPr>
        <w:t>。</w:t>
      </w:r>
    </w:p>
    <w:p w:rsidR="00103498" w:rsidRPr="00BF42B7" w:rsidRDefault="00103498" w:rsidP="00103498">
      <w:pPr>
        <w:pStyle w:val="SingleTxtGC"/>
        <w:rPr>
          <w:lang w:val="en-GB"/>
        </w:rPr>
      </w:pPr>
      <w:r w:rsidRPr="00BF42B7">
        <w:rPr>
          <w:lang w:val="en-GB"/>
        </w:rPr>
        <w:t xml:space="preserve">(5)  </w:t>
      </w:r>
      <w:r w:rsidRPr="00BF42B7">
        <w:rPr>
          <w:rFonts w:hint="eastAsia"/>
          <w:lang w:val="en-GB"/>
        </w:rPr>
        <w:t>事件</w:t>
      </w:r>
      <w:r w:rsidRPr="00BF42B7">
        <w:rPr>
          <w:rFonts w:hint="eastAsia"/>
        </w:rPr>
        <w:t>另受两个因果要求的限定。首先，对于事件或系列事件而言，如果要认定为条款草案所说的“灾难性”，事件须造成四项可能后果中的一个或更多：普遍生命损失、巨大的人类痛苦和危难，大规模流离失所或大规模物质和环境损害。因此，像一次严重地震这样的重大事件，如果发生在海洋中间或无人居住地区，并没有造成上面所设想的四个结果之一，就不符合</w:t>
      </w:r>
      <w:r w:rsidRPr="00BF42B7">
        <w:rPr>
          <w:rFonts w:hint="eastAsia"/>
        </w:rPr>
        <w:t>(</w:t>
      </w:r>
      <w:r w:rsidRPr="00BF42B7">
        <w:t>a</w:t>
      </w:r>
      <w:r w:rsidRPr="00BF42B7">
        <w:rPr>
          <w:rFonts w:hint="eastAsia"/>
        </w:rPr>
        <w:t>)</w:t>
      </w:r>
      <w:r w:rsidRPr="00BF42B7">
        <w:rPr>
          <w:rFonts w:hint="eastAsia"/>
        </w:rPr>
        <w:t>项草案所说的标准。第二，事件的性质还加上了一条限定，即上述四个可能结果中的任何一个或全部结果都会造成社会运转遭受了严重破坏。换句话说，有一个事件造成了大规模物质损害，但并没有严重扰乱社会的运转，这就不符合这一条中的要求。因此，通过加上这些因果要素，定义就保留了现在人们所用的案文中的做法，例如《坦佩雷公约》中的做法，即考虑事件的后果，将其视为定义的关键方面，虽然这只是为了确立适用本条款的门槛的目的。</w:t>
      </w:r>
    </w:p>
    <w:p w:rsidR="00103498" w:rsidRPr="00BF42B7" w:rsidRDefault="00103498" w:rsidP="00103498">
      <w:pPr>
        <w:pStyle w:val="SingleTxtGC"/>
        <w:rPr>
          <w:lang w:val="en-GB"/>
        </w:rPr>
      </w:pPr>
      <w:r w:rsidRPr="00BF42B7">
        <w:rPr>
          <w:lang w:val="en-GB"/>
        </w:rPr>
        <w:t xml:space="preserve">(6)  </w:t>
      </w:r>
      <w:r w:rsidRPr="00BF42B7">
        <w:rPr>
          <w:rFonts w:hint="eastAsia"/>
        </w:rPr>
        <w:t>“广泛的生命损失”，这一限定语受</w:t>
      </w:r>
      <w:r w:rsidRPr="00BF42B7">
        <w:t>1995</w:t>
      </w:r>
      <w:r w:rsidRPr="00BF42B7">
        <w:rPr>
          <w:rFonts w:hint="eastAsia"/>
        </w:rPr>
        <w:t>年《国际红十字会和红新月会运动和非政府组织救灾行为准则》</w:t>
      </w:r>
      <w:r w:rsidRPr="00BF42B7">
        <w:rPr>
          <w:color w:val="0000FF"/>
          <w:vertAlign w:val="superscript"/>
          <w:lang w:val="en-GB"/>
        </w:rPr>
        <w:footnoteReference w:id="20"/>
      </w:r>
      <w:r w:rsidRPr="00BF42B7">
        <w:rPr>
          <w:color w:val="0000FF"/>
          <w:vertAlign w:val="superscript"/>
          <w:lang w:val="en-GB"/>
        </w:rPr>
        <w:t xml:space="preserve"> </w:t>
      </w:r>
      <w:r w:rsidRPr="00BF42B7">
        <w:rPr>
          <w:rFonts w:hint="eastAsia"/>
        </w:rPr>
        <w:t>的启发。规定了“广泛的”生命损失，目的是排除造成较少人员伤亡的事件。需要牢记的是，这样的事件也可能满足其他的因果要求。相反，已造成广泛的生命损失的事件，如果使社会运转遭受严重破坏，其本身也能满足因果要求，因而可引起本条款草案的适用。</w:t>
      </w:r>
    </w:p>
    <w:p w:rsidR="00103498" w:rsidRPr="00BF42B7" w:rsidRDefault="00103498" w:rsidP="00103498">
      <w:pPr>
        <w:pStyle w:val="SingleTxtGC"/>
        <w:rPr>
          <w:lang w:val="en-GB"/>
        </w:rPr>
      </w:pPr>
      <w:r w:rsidRPr="00BF42B7">
        <w:rPr>
          <w:lang w:val="en-GB"/>
        </w:rPr>
        <w:t xml:space="preserve">(7)  </w:t>
      </w:r>
      <w:r w:rsidRPr="00BF42B7">
        <w:rPr>
          <w:rFonts w:hint="eastAsia"/>
        </w:rPr>
        <w:t>之所以加上“巨大的人类痛苦和危难”的可能性，是因为认识到许多重大的灾害伴随着广泛的生命损失，或伴随着巨大的人类痛苦和危难，包括灾害造成的非致命伤害、疾病或其他健康问题。因此，有时由于有充分的预防和准备工作以及有效的减轻灾害行动，当地造成的生命损失有限，但还是引起了巨大的人类痛苦和危难，并严重破坏了社会的运转，这样的情况依然在条款草案范围内。</w:t>
      </w:r>
    </w:p>
    <w:p w:rsidR="00103498" w:rsidRPr="00BF42B7" w:rsidRDefault="00103498" w:rsidP="00103498">
      <w:pPr>
        <w:pStyle w:val="SingleTxtGC"/>
        <w:rPr>
          <w:lang w:val="en-GB"/>
        </w:rPr>
      </w:pPr>
      <w:r w:rsidRPr="00BF42B7">
        <w:rPr>
          <w:lang w:val="en-GB"/>
        </w:rPr>
        <w:t xml:space="preserve">(8)  </w:t>
      </w:r>
      <w:r w:rsidRPr="00BF42B7">
        <w:rPr>
          <w:rFonts w:hint="eastAsia"/>
          <w:lang w:val="en-GB"/>
        </w:rPr>
        <w:t>同样，“大规模流离失所”也是指重大灾害的其他后果之一，即人员被迫大规模流离失所。与</w:t>
      </w:r>
      <w:r w:rsidRPr="00BF42B7">
        <w:rPr>
          <w:rFonts w:hint="eastAsia"/>
        </w:rPr>
        <w:t>“巨大的人类痛苦和危难”一起，灾害发生造成的流离失所是认为人员受到灾害“影响”的两种最常见方式之一。流离失所状况使受灾者失去获得生计和社会服务以及融入社会结构的机会。各国在遵守条款草案规定的义务时，还应考虑到流离失所问题。加上“大规模”的形容词是要与适用条款草案的高标准取得一致。</w:t>
      </w:r>
    </w:p>
    <w:p w:rsidR="00103498" w:rsidRPr="00BF42B7" w:rsidRDefault="00103498" w:rsidP="00103498">
      <w:pPr>
        <w:pStyle w:val="SingleTxtGC"/>
        <w:rPr>
          <w:lang w:val="en-GB"/>
        </w:rPr>
      </w:pPr>
      <w:r w:rsidRPr="00BF42B7">
        <w:rPr>
          <w:lang w:val="en-GB"/>
        </w:rPr>
        <w:t xml:space="preserve">(9)  </w:t>
      </w:r>
      <w:r w:rsidRPr="00BF42B7">
        <w:rPr>
          <w:rFonts w:hint="eastAsia"/>
        </w:rPr>
        <w:t>委员会将“大规模的物质或环境损害”列入条款，是为了确认重大灾害通常引起的大规模财产、生计和经济、物质、社会和文化财产以及环境破坏和这类损失通常会造成的人类发展和福利严重受挫引起的社会运转中断</w:t>
      </w:r>
      <w:r w:rsidRPr="00BF42B7">
        <w:rPr>
          <w:rFonts w:hint="eastAsia"/>
          <w:lang w:val="en-GB"/>
        </w:rPr>
        <w:t>。</w:t>
      </w:r>
      <w:r w:rsidRPr="00BF42B7">
        <w:rPr>
          <w:rFonts w:hint="eastAsia"/>
        </w:rPr>
        <w:t>应该理解的是，环境或财产损失本身没有包含在条款草案范围内，而是这种损失对人类的影响，从而避免对经济损失的一般考虑。对经济损失加以规定，可能不必要地限制条款草案范围，例如使条款草案无法处理以减轻现有环境破坏可能给未来人类造成的损失为目的的某些活动。</w:t>
      </w:r>
    </w:p>
    <w:p w:rsidR="00103498" w:rsidRPr="00BF42B7" w:rsidRDefault="00103498" w:rsidP="00103498">
      <w:pPr>
        <w:pStyle w:val="SingleTxtGC"/>
        <w:rPr>
          <w:lang w:val="en-GB"/>
        </w:rPr>
      </w:pPr>
      <w:r w:rsidRPr="00BF42B7">
        <w:rPr>
          <w:lang w:val="en-GB"/>
        </w:rPr>
        <w:t xml:space="preserve">(10)  </w:t>
      </w:r>
      <w:r w:rsidRPr="00BF42B7">
        <w:rPr>
          <w:rFonts w:hint="eastAsia"/>
        </w:rPr>
        <w:t>正如已经暗示过的，规定对社会运转造成严重破坏这一点是为了确立较高的门槛，将其他一些类型的危机排除在条款草案适用范围之外，例如严重的政治或经济危机。另外，适用方面的这种差别也表现在第</w:t>
      </w:r>
      <w:r w:rsidRPr="00BF42B7">
        <w:t>2</w:t>
      </w:r>
      <w:r w:rsidRPr="00BF42B7">
        <w:rPr>
          <w:rFonts w:hint="eastAsia"/>
        </w:rPr>
        <w:t>条草案所确立的条款草案的目的上，而事实上所需要的保护类型以及所涉及的权利都可能不同，在不同的程度上受其他国际法规则尤其是国际人道主义法的制约，正如第</w:t>
      </w:r>
      <w:r w:rsidRPr="00BF42B7">
        <w:rPr>
          <w:rFonts w:hint="eastAsia"/>
        </w:rPr>
        <w:t>18</w:t>
      </w:r>
      <w:r w:rsidRPr="00BF42B7">
        <w:rPr>
          <w:rFonts w:hint="eastAsia"/>
        </w:rPr>
        <w:t>条草案所表示的。就本条款草案而言，武装冲突局势本身不能被定性为灾害。严重破坏的标准也意味着造成这种破坏的潜力。这意味着，国家按照应对具有严重破坏社会运转潜力的灾害制订的应急计划采取了适当减少灾害风险措施或救济措施，本身并不能排除条款草案的适用。</w:t>
      </w:r>
    </w:p>
    <w:p w:rsidR="00103498" w:rsidRPr="00BF42B7" w:rsidRDefault="00103498" w:rsidP="00103498">
      <w:pPr>
        <w:pStyle w:val="SingleTxtGC"/>
        <w:rPr>
          <w:lang w:val="en-GB"/>
        </w:rPr>
      </w:pPr>
      <w:r w:rsidRPr="00BF42B7">
        <w:rPr>
          <w:lang w:val="en-GB"/>
        </w:rPr>
        <w:t xml:space="preserve">(11)  </w:t>
      </w:r>
      <w:r w:rsidRPr="00BF42B7">
        <w:rPr>
          <w:rFonts w:hint="eastAsia"/>
        </w:rPr>
        <w:t>虽然设想的这四种可能后果在一定程度上说明了什么可能构成严重破坏社会的运转，但委员会没有提出进一步的描述性或限定性因素，以便给实践留出一定的酌定余地。</w:t>
      </w:r>
    </w:p>
    <w:p w:rsidR="00103498" w:rsidRPr="00BF42B7" w:rsidRDefault="00103498" w:rsidP="00103498">
      <w:pPr>
        <w:pStyle w:val="SingleTxtGC"/>
        <w:rPr>
          <w:lang w:val="en-GB"/>
        </w:rPr>
      </w:pPr>
      <w:r w:rsidRPr="00BF42B7">
        <w:rPr>
          <w:lang w:val="en-GB"/>
        </w:rPr>
        <w:t xml:space="preserve">(12)  </w:t>
      </w:r>
      <w:r w:rsidRPr="00BF42B7">
        <w:rPr>
          <w:rFonts w:hint="eastAsia"/>
          <w:lang w:val="en-GB"/>
        </w:rPr>
        <w:t>就条款草案的目的而言，“灾害”的定义受第</w:t>
      </w:r>
      <w:r w:rsidRPr="00BF42B7">
        <w:rPr>
          <w:rFonts w:hint="eastAsia"/>
          <w:lang w:val="en-GB"/>
        </w:rPr>
        <w:t>18</w:t>
      </w:r>
      <w:r w:rsidRPr="00BF42B7">
        <w:rPr>
          <w:rFonts w:hint="eastAsia"/>
          <w:lang w:val="en-GB"/>
        </w:rPr>
        <w:t>条第</w:t>
      </w:r>
      <w:r w:rsidRPr="00BF42B7">
        <w:rPr>
          <w:rFonts w:hint="eastAsia"/>
          <w:lang w:val="en-GB"/>
        </w:rPr>
        <w:t>2</w:t>
      </w:r>
      <w:r w:rsidRPr="00BF42B7">
        <w:rPr>
          <w:rFonts w:hint="eastAsia"/>
          <w:lang w:val="en-GB"/>
        </w:rPr>
        <w:t>款草案具体规定的限制，即条款草案不适用于应对灾害须遵守国际人道主义法规则的情况。</w:t>
      </w:r>
    </w:p>
    <w:p w:rsidR="00103498" w:rsidRPr="00BF42B7" w:rsidRDefault="00103498" w:rsidP="00B46738">
      <w:pPr>
        <w:pStyle w:val="H4GC"/>
        <w:rPr>
          <w:rFonts w:eastAsia="楷体"/>
          <w:lang w:val="en-GB"/>
        </w:rPr>
      </w:pPr>
      <w:r w:rsidRPr="00BF42B7">
        <w:rPr>
          <w:rFonts w:eastAsia="楷体"/>
          <w:lang w:val="en-GB"/>
        </w:rPr>
        <w:tab/>
      </w:r>
      <w:r w:rsidRPr="00BF42B7">
        <w:rPr>
          <w:rFonts w:eastAsia="楷体" w:hint="eastAsia"/>
          <w:lang w:val="en-GB"/>
        </w:rPr>
        <w:tab/>
      </w:r>
      <w:r w:rsidRPr="00BF42B7">
        <w:rPr>
          <w:rFonts w:eastAsia="楷体"/>
          <w:lang w:val="en-GB"/>
        </w:rPr>
        <w:t>(b)</w:t>
      </w:r>
      <w:r w:rsidRPr="00BF42B7">
        <w:rPr>
          <w:rFonts w:eastAsia="楷体" w:hint="eastAsia"/>
          <w:lang w:val="en-GB"/>
        </w:rPr>
        <w:t>项</w:t>
      </w:r>
    </w:p>
    <w:p w:rsidR="00103498" w:rsidRPr="00BF42B7" w:rsidRDefault="00103498" w:rsidP="00B46738">
      <w:pPr>
        <w:pStyle w:val="SingleTxtGC"/>
        <w:rPr>
          <w:lang w:val="en-GB"/>
        </w:rPr>
      </w:pPr>
      <w:r w:rsidRPr="00BF42B7">
        <w:rPr>
          <w:lang w:val="en-GB"/>
        </w:rPr>
        <w:t>(13)  (b)</w:t>
      </w:r>
      <w:r w:rsidRPr="00BF42B7">
        <w:rPr>
          <w:rFonts w:hint="eastAsia"/>
          <w:lang w:val="en-GB"/>
        </w:rPr>
        <w:t>项为条款草案的目的界定“受灾国”一语，是受到了《红十字会红新月会联会导则》</w:t>
      </w:r>
      <w:r w:rsidRPr="00BF42B7">
        <w:rPr>
          <w:color w:val="0000FF"/>
          <w:vertAlign w:val="superscript"/>
          <w:lang w:val="en-GB"/>
        </w:rPr>
        <w:footnoteReference w:id="21"/>
      </w:r>
      <w:r w:rsidRPr="00BF42B7">
        <w:rPr>
          <w:color w:val="0000FF"/>
          <w:vertAlign w:val="superscript"/>
          <w:lang w:val="en-GB"/>
        </w:rPr>
        <w:t xml:space="preserve"> </w:t>
      </w:r>
      <w:r w:rsidRPr="00BF42B7">
        <w:rPr>
          <w:rFonts w:hint="eastAsia"/>
          <w:lang w:val="en-GB"/>
        </w:rPr>
        <w:t>中同一用语定义的启发。所体现的方向是</w:t>
      </w:r>
      <w:r w:rsidRPr="00BF42B7">
        <w:rPr>
          <w:lang w:val="en-GB"/>
        </w:rPr>
        <w:t>，</w:t>
      </w:r>
      <w:r w:rsidRPr="00BF42B7">
        <w:rPr>
          <w:rFonts w:hint="eastAsia"/>
          <w:lang w:val="en-GB"/>
        </w:rPr>
        <w:t>条款草案的主要对象是国家。与第</w:t>
      </w:r>
      <w:r w:rsidRPr="00BF42B7">
        <w:rPr>
          <w:rFonts w:hint="eastAsia"/>
          <w:lang w:val="en-GB"/>
        </w:rPr>
        <w:t>10</w:t>
      </w:r>
      <w:r w:rsidRPr="00BF42B7">
        <w:rPr>
          <w:rFonts w:hint="eastAsia"/>
          <w:lang w:val="en-GB"/>
        </w:rPr>
        <w:t>条草案的规定一样，该项规定还预期受灾国所发挥作用的中心地位。</w:t>
      </w:r>
    </w:p>
    <w:p w:rsidR="00103498" w:rsidRPr="00BF42B7" w:rsidRDefault="00103498" w:rsidP="00B46738">
      <w:pPr>
        <w:pStyle w:val="SingleTxtGC"/>
        <w:rPr>
          <w:lang w:val="en-GB"/>
        </w:rPr>
      </w:pPr>
      <w:r w:rsidRPr="00BF42B7">
        <w:rPr>
          <w:lang w:val="en-GB"/>
        </w:rPr>
        <w:t xml:space="preserve">(14)  </w:t>
      </w:r>
      <w:r w:rsidRPr="00BF42B7">
        <w:rPr>
          <w:rFonts w:hint="eastAsia"/>
        </w:rPr>
        <w:t>救灾或减少灾害风险的主要特点是国家控制。在大多数情况下，这与其领土内发生灾害的国家所行使的控制是一致的。然而，这并不一定排除另外的情况，即一国可针对发生灾害的另一个领土行使法律上的管辖或实际控制的情况。“指在其领土或受其管辖或控制的领土内”这一短语取自</w:t>
      </w:r>
      <w:r w:rsidRPr="00BF42B7">
        <w:t>2001</w:t>
      </w:r>
      <w:r w:rsidRPr="00BF42B7">
        <w:rPr>
          <w:rFonts w:hint="eastAsia"/>
        </w:rPr>
        <w:t>年预防危险活动的越境损害的条款草案中的第</w:t>
      </w:r>
      <w:r w:rsidRPr="00BF42B7">
        <w:t>2</w:t>
      </w:r>
      <w:r w:rsidRPr="00BF42B7">
        <w:rPr>
          <w:rFonts w:hint="eastAsia"/>
        </w:rPr>
        <w:t>条</w:t>
      </w:r>
      <w:r w:rsidRPr="00BF42B7">
        <w:t>(d)</w:t>
      </w:r>
      <w:r w:rsidRPr="00BF42B7">
        <w:rPr>
          <w:rFonts w:hint="eastAsia"/>
        </w:rPr>
        <w:t>项“起源国”的定义。</w:t>
      </w:r>
      <w:r w:rsidRPr="00BF42B7">
        <w:rPr>
          <w:color w:val="0000FF"/>
          <w:vertAlign w:val="superscript"/>
          <w:lang w:val="en-GB"/>
        </w:rPr>
        <w:footnoteReference w:id="22"/>
      </w:r>
      <w:r w:rsidRPr="00BF42B7">
        <w:rPr>
          <w:color w:val="0000FF"/>
          <w:vertAlign w:val="superscript"/>
          <w:lang w:val="en-GB"/>
        </w:rPr>
        <w:t xml:space="preserve"> </w:t>
      </w:r>
    </w:p>
    <w:p w:rsidR="00103498" w:rsidRPr="00BF42B7" w:rsidRDefault="00103498" w:rsidP="00B46738">
      <w:pPr>
        <w:pStyle w:val="SingleTxtGC"/>
        <w:rPr>
          <w:lang w:val="en-GB"/>
        </w:rPr>
      </w:pPr>
      <w:r w:rsidRPr="00BF42B7">
        <w:rPr>
          <w:lang w:val="en-GB"/>
        </w:rPr>
        <w:t xml:space="preserve">(15)  </w:t>
      </w:r>
      <w:r w:rsidRPr="00BF42B7">
        <w:rPr>
          <w:rFonts w:hint="eastAsia"/>
        </w:rPr>
        <w:t>委员会认为，对发生灾害的另一个领土</w:t>
      </w:r>
      <w:r w:rsidRPr="00BF42B7">
        <w:t>(</w:t>
      </w:r>
      <w:r w:rsidRPr="00BF42B7">
        <w:rPr>
          <w:rFonts w:hint="eastAsia"/>
        </w:rPr>
        <w:t>非自己领土</w:t>
      </w:r>
      <w:r w:rsidRPr="00BF42B7">
        <w:t>)</w:t>
      </w:r>
      <w:r w:rsidRPr="00BF42B7">
        <w:rPr>
          <w:rFonts w:hint="eastAsia"/>
        </w:rPr>
        <w:t>或另一个地区行使管辖或控制的一国，为本条款草案的目的，也将被视为“受灾国”。此种可能性也在第</w:t>
      </w:r>
      <w:r w:rsidRPr="00BF42B7">
        <w:rPr>
          <w:rFonts w:hint="eastAsia"/>
        </w:rPr>
        <w:t>18</w:t>
      </w:r>
      <w:r w:rsidRPr="00BF42B7">
        <w:rPr>
          <w:rFonts w:hint="eastAsia"/>
        </w:rPr>
        <w:t>条草案中得到默认，该条承认，如果对所涉灾害的应对不在国际人道主义法规则范围内，本条款草案也在所谓“复杂灾害”情况下适用，这里指灾害与武装冲突发生在同一个领土内的情形。同时，这条规定的措辞有意清楚地表明领土关系。因此，提到“管辖”并不是要包含根据国际法对在本国领土或其管辖和控制下的地区以外发生灾害的受灾个人具有管辖权的国家。委员会认识到，将行使管辖或控制的国家包括在定义里，这样做的含义是，在特殊情况下，可能有两个受灾国：在其领土内发生灾害的国家和针对同一领土而对领土行使管辖或控制的国家。</w:t>
      </w:r>
    </w:p>
    <w:p w:rsidR="00103498" w:rsidRPr="00BF42B7" w:rsidRDefault="00103498" w:rsidP="00B46738">
      <w:pPr>
        <w:pStyle w:val="SingleTxtGC"/>
        <w:rPr>
          <w:lang w:val="en-GB"/>
        </w:rPr>
      </w:pPr>
      <w:r w:rsidRPr="00BF42B7">
        <w:rPr>
          <w:lang w:val="en-GB"/>
        </w:rPr>
        <w:t xml:space="preserve">(16)  </w:t>
      </w:r>
      <w:r w:rsidRPr="00BF42B7">
        <w:rPr>
          <w:rFonts w:hint="eastAsia"/>
          <w:lang w:val="en-GB"/>
        </w:rPr>
        <w:t>末尾处“发生灾害”的短语，用意是使“受灾国”的定义同</w:t>
      </w:r>
      <w:r w:rsidRPr="00BF42B7">
        <w:rPr>
          <w:rFonts w:hint="eastAsia"/>
          <w:lang w:val="en-GB"/>
        </w:rPr>
        <w:t>(</w:t>
      </w:r>
      <w:r w:rsidRPr="00BF42B7">
        <w:t>a</w:t>
      </w:r>
      <w:r w:rsidRPr="00BF42B7">
        <w:rPr>
          <w:rFonts w:hint="eastAsia"/>
          <w:lang w:val="en-GB"/>
        </w:rPr>
        <w:t>)</w:t>
      </w:r>
      <w:r w:rsidRPr="00BF42B7">
        <w:rPr>
          <w:rFonts w:hint="eastAsia"/>
          <w:lang w:val="en-GB"/>
        </w:rPr>
        <w:t>项中的“灾害”定义取得一致。这个短语力求在两者之间取得一种平衡，一方面是把重点放在强调灾害影响上，这样就会增多有可能被视为“受灾国”的国家数目，另一方面是侧重领土内容</w:t>
      </w:r>
      <w:r w:rsidRPr="00BF42B7">
        <w:rPr>
          <w:rFonts w:hint="eastAsia"/>
          <w:lang w:val="en-GB"/>
        </w:rPr>
        <w:t>(</w:t>
      </w:r>
      <w:r w:rsidRPr="00BF42B7">
        <w:rPr>
          <w:rFonts w:hint="eastAsia"/>
          <w:lang w:val="en-GB"/>
        </w:rPr>
        <w:t>事件发生地</w:t>
      </w:r>
      <w:r w:rsidRPr="00BF42B7">
        <w:rPr>
          <w:rFonts w:hint="eastAsia"/>
          <w:lang w:val="en-GB"/>
        </w:rPr>
        <w:t>)</w:t>
      </w:r>
      <w:r w:rsidRPr="00BF42B7">
        <w:rPr>
          <w:rFonts w:hint="eastAsia"/>
          <w:lang w:val="en-GB"/>
        </w:rPr>
        <w:t>，这样可能会不必要地把虽然受灾，但严格地说灾害并不发生在其</w:t>
      </w:r>
      <w:r w:rsidRPr="00BF42B7">
        <w:rPr>
          <w:rFonts w:hint="eastAsia"/>
          <w:lang w:val="en-GB"/>
        </w:rPr>
        <w:t>(</w:t>
      </w:r>
      <w:r w:rsidRPr="00BF42B7">
        <w:rPr>
          <w:rFonts w:hint="eastAsia"/>
          <w:lang w:val="en-GB"/>
        </w:rPr>
        <w:t>或其管辖或控制下的</w:t>
      </w:r>
      <w:r w:rsidRPr="00BF42B7">
        <w:rPr>
          <w:rFonts w:hint="eastAsia"/>
          <w:lang w:val="en-GB"/>
        </w:rPr>
        <w:t>)</w:t>
      </w:r>
      <w:r w:rsidRPr="00BF42B7">
        <w:rPr>
          <w:rFonts w:hint="eastAsia"/>
          <w:lang w:val="en-GB"/>
        </w:rPr>
        <w:t>境内。因此，</w:t>
      </w:r>
      <w:r w:rsidRPr="00BF42B7">
        <w:rPr>
          <w:rFonts w:hint="eastAsia"/>
          <w:lang w:val="en-GB"/>
        </w:rPr>
        <w:t>(</w:t>
      </w:r>
      <w:r w:rsidRPr="00BF42B7">
        <w:t>a</w:t>
      </w:r>
      <w:r w:rsidRPr="00BF42B7">
        <w:rPr>
          <w:rFonts w:hint="eastAsia"/>
          <w:lang w:val="en-GB"/>
        </w:rPr>
        <w:t>)</w:t>
      </w:r>
      <w:r w:rsidRPr="00BF42B7">
        <w:rPr>
          <w:rFonts w:hint="eastAsia"/>
          <w:lang w:val="en-GB"/>
        </w:rPr>
        <w:t>项明确提到“灾害”的定义是承认，条款草案的灾害定义是复合型的，既包括事件也包括影响，含义是，为条款草案的目的，不同的国家在不同的情景中都可被视为“受灾”。</w:t>
      </w:r>
      <w:r w:rsidRPr="00BF42B7">
        <w:t>这也符合委员会在确立适用本条款草案的门槛时将事件的后果视为一个关键因素的做法。</w:t>
      </w:r>
      <w:r w:rsidRPr="00BF42B7">
        <w:rPr>
          <w:color w:val="0000FF"/>
          <w:vertAlign w:val="superscript"/>
          <w:lang w:val="en-GB"/>
        </w:rPr>
        <w:footnoteReference w:id="23"/>
      </w:r>
      <w:r w:rsidRPr="00BF42B7">
        <w:rPr>
          <w:color w:val="0000FF"/>
          <w:vertAlign w:val="superscript"/>
          <w:lang w:val="en-GB"/>
        </w:rPr>
        <w:t xml:space="preserve"> </w:t>
      </w:r>
    </w:p>
    <w:p w:rsidR="00103498" w:rsidRPr="00BF42B7" w:rsidRDefault="00103498" w:rsidP="00B46738">
      <w:pPr>
        <w:pStyle w:val="H4GC"/>
        <w:rPr>
          <w:rFonts w:eastAsia="楷体"/>
          <w:lang w:val="en-GB"/>
        </w:rPr>
      </w:pPr>
      <w:r w:rsidRPr="00BF42B7">
        <w:rPr>
          <w:rFonts w:eastAsia="楷体"/>
          <w:lang w:val="en-GB"/>
        </w:rPr>
        <w:tab/>
      </w:r>
      <w:r w:rsidRPr="00BF42B7">
        <w:rPr>
          <w:rFonts w:eastAsia="楷体" w:hint="eastAsia"/>
          <w:lang w:val="en-GB"/>
        </w:rPr>
        <w:tab/>
      </w:r>
      <w:r w:rsidRPr="00BF42B7">
        <w:rPr>
          <w:rFonts w:eastAsia="楷体"/>
          <w:lang w:val="en-GB"/>
        </w:rPr>
        <w:t>(c)</w:t>
      </w:r>
      <w:r w:rsidRPr="00BF42B7">
        <w:rPr>
          <w:rFonts w:eastAsia="楷体" w:hint="eastAsia"/>
          <w:lang w:val="en-GB"/>
        </w:rPr>
        <w:t>项</w:t>
      </w:r>
    </w:p>
    <w:p w:rsidR="00103498" w:rsidRPr="00BF42B7" w:rsidRDefault="00103498" w:rsidP="00103498">
      <w:pPr>
        <w:pStyle w:val="SingleTxtGC"/>
        <w:rPr>
          <w:lang w:val="en-GB"/>
        </w:rPr>
      </w:pPr>
      <w:r w:rsidRPr="00BF42B7">
        <w:rPr>
          <w:lang w:val="en-GB"/>
        </w:rPr>
        <w:t xml:space="preserve">(17)  </w:t>
      </w:r>
      <w:r w:rsidRPr="00BF42B7">
        <w:rPr>
          <w:rFonts w:hint="eastAsia"/>
          <w:lang w:val="en-GB"/>
        </w:rPr>
        <w:t>(</w:t>
      </w:r>
      <w:r w:rsidRPr="00BF42B7">
        <w:t>c</w:t>
      </w:r>
      <w:r w:rsidRPr="00BF42B7">
        <w:rPr>
          <w:rFonts w:hint="eastAsia"/>
          <w:lang w:val="en-GB"/>
        </w:rPr>
        <w:t>)</w:t>
      </w:r>
      <w:r w:rsidRPr="00BF42B7">
        <w:rPr>
          <w:rFonts w:hint="eastAsia"/>
          <w:lang w:val="en-GB"/>
        </w:rPr>
        <w:t>项中的“援助国”定义</w:t>
      </w:r>
      <w:r w:rsidRPr="00BF42B7">
        <w:t>参照了</w:t>
      </w:r>
      <w:r w:rsidRPr="00BF42B7">
        <w:t>2000</w:t>
      </w:r>
      <w:r w:rsidRPr="00BF42B7">
        <w:t>年《民防援助框架公约》</w:t>
      </w:r>
      <w:bookmarkStart w:id="21" w:name="_Ref450659397"/>
      <w:r w:rsidRPr="00BF42B7">
        <w:rPr>
          <w:color w:val="0000FF"/>
          <w:vertAlign w:val="superscript"/>
          <w:lang w:val="en-GB"/>
        </w:rPr>
        <w:footnoteReference w:id="24"/>
      </w:r>
      <w:bookmarkEnd w:id="21"/>
      <w:r w:rsidRPr="00BF42B7">
        <w:rPr>
          <w:color w:val="0000FF"/>
          <w:vertAlign w:val="superscript"/>
          <w:lang w:val="en-GB"/>
        </w:rPr>
        <w:t xml:space="preserve"> </w:t>
      </w:r>
      <w:r w:rsidRPr="00BF42B7">
        <w:t>中</w:t>
      </w:r>
      <w:r w:rsidRPr="00BF42B7">
        <w:rPr>
          <w:rFonts w:hint="eastAsia"/>
        </w:rPr>
        <w:t>“</w:t>
      </w:r>
      <w:r w:rsidRPr="00BF42B7">
        <w:t>支援国</w:t>
      </w:r>
      <w:r w:rsidRPr="00BF42B7">
        <w:rPr>
          <w:rFonts w:hint="eastAsia"/>
        </w:rPr>
        <w:t>”</w:t>
      </w:r>
      <w:r w:rsidRPr="00BF42B7">
        <w:t>的定义，将</w:t>
      </w:r>
      <w:r w:rsidRPr="00BF42B7">
        <w:rPr>
          <w:rFonts w:hint="eastAsia"/>
        </w:rPr>
        <w:t>“</w:t>
      </w:r>
      <w:r w:rsidRPr="00BF42B7">
        <w:t>受惠国</w:t>
      </w:r>
      <w:r w:rsidRPr="00BF42B7">
        <w:rPr>
          <w:rFonts w:hint="eastAsia"/>
        </w:rPr>
        <w:t>”</w:t>
      </w:r>
      <w:r w:rsidRPr="00BF42B7">
        <w:t>改为</w:t>
      </w:r>
      <w:r w:rsidRPr="00BF42B7">
        <w:rPr>
          <w:rFonts w:hint="eastAsia"/>
        </w:rPr>
        <w:t>“</w:t>
      </w:r>
      <w:r w:rsidRPr="00BF42B7">
        <w:t>受灾国</w:t>
      </w:r>
      <w:r w:rsidRPr="00BF42B7">
        <w:rPr>
          <w:rFonts w:hint="eastAsia"/>
        </w:rPr>
        <w:t>”</w:t>
      </w:r>
      <w:r w:rsidRPr="00BF42B7">
        <w:t>，条款草案采用了这一用语，</w:t>
      </w:r>
      <w:r w:rsidRPr="00BF42B7">
        <w:t>(b)</w:t>
      </w:r>
      <w:r w:rsidRPr="00BF42B7">
        <w:t>项也作了界定。短语</w:t>
      </w:r>
      <w:r w:rsidRPr="00BF42B7">
        <w:rPr>
          <w:rFonts w:hint="eastAsia"/>
        </w:rPr>
        <w:t>“</w:t>
      </w:r>
      <w:r w:rsidRPr="00BF42B7">
        <w:t>提供援助的国家</w:t>
      </w:r>
      <w:r w:rsidRPr="00BF42B7">
        <w:rPr>
          <w:rFonts w:hint="eastAsia"/>
        </w:rPr>
        <w:t>”</w:t>
      </w:r>
      <w:r w:rsidRPr="00BF42B7">
        <w:t>是对</w:t>
      </w:r>
      <w:r w:rsidRPr="00BF42B7">
        <w:rPr>
          <w:rFonts w:hint="eastAsia"/>
        </w:rPr>
        <w:t>“</w:t>
      </w:r>
      <w:r w:rsidRPr="00BF42B7">
        <w:t>外部援助</w:t>
      </w:r>
      <w:r w:rsidRPr="00BF42B7">
        <w:rPr>
          <w:rFonts w:hint="eastAsia"/>
        </w:rPr>
        <w:t>”</w:t>
      </w:r>
      <w:r w:rsidRPr="00BF42B7">
        <w:t>概念的提及，</w:t>
      </w:r>
      <w:r w:rsidRPr="00BF42B7">
        <w:t>(e)</w:t>
      </w:r>
      <w:r w:rsidRPr="00BF42B7">
        <w:t>项对此作了界定，提供</w:t>
      </w:r>
      <w:r w:rsidRPr="00BF42B7">
        <w:rPr>
          <w:rFonts w:hint="eastAsia"/>
        </w:rPr>
        <w:t>“</w:t>
      </w:r>
      <w:r w:rsidRPr="00BF42B7">
        <w:t>外部援助</w:t>
      </w:r>
      <w:r w:rsidRPr="00BF42B7">
        <w:rPr>
          <w:rFonts w:hint="eastAsia"/>
        </w:rPr>
        <w:t>”</w:t>
      </w:r>
      <w:r w:rsidRPr="00BF42B7">
        <w:t>是在第</w:t>
      </w:r>
      <w:r w:rsidRPr="00BF42B7">
        <w:t>7</w:t>
      </w:r>
      <w:r w:rsidRPr="00BF42B7">
        <w:t>条草案中的合作义务基础上进行的，应与第</w:t>
      </w:r>
      <w:r w:rsidRPr="00BF42B7">
        <w:t>8</w:t>
      </w:r>
      <w:r w:rsidRPr="00BF42B7">
        <w:rPr>
          <w:rFonts w:hint="eastAsia"/>
        </w:rPr>
        <w:t>和第</w:t>
      </w:r>
      <w:r w:rsidRPr="00BF42B7">
        <w:t>9</w:t>
      </w:r>
      <w:r w:rsidRPr="00BF42B7">
        <w:t>条草案一起来理解。</w:t>
      </w:r>
    </w:p>
    <w:p w:rsidR="00103498" w:rsidRPr="00BF42B7" w:rsidRDefault="00103498" w:rsidP="00103498">
      <w:pPr>
        <w:pStyle w:val="SingleTxtGC"/>
        <w:rPr>
          <w:lang w:val="en-GB"/>
        </w:rPr>
      </w:pPr>
      <w:r w:rsidRPr="00BF42B7">
        <w:rPr>
          <w:lang w:val="en-GB"/>
        </w:rPr>
        <w:t xml:space="preserve">(18)  </w:t>
      </w:r>
      <w:r w:rsidRPr="00BF42B7">
        <w:rPr>
          <w:rFonts w:hint="eastAsia"/>
        </w:rPr>
        <w:t>一国只有正在提供或已经提供援助之后才可归类为“援助国”。</w:t>
      </w:r>
      <w:r w:rsidRPr="00BF42B7">
        <w:t>换句话说，一个提议提供援助的国家不是</w:t>
      </w:r>
      <w:r w:rsidRPr="00BF42B7">
        <w:rPr>
          <w:rFonts w:hint="eastAsia"/>
        </w:rPr>
        <w:t>“</w:t>
      </w:r>
      <w:r w:rsidRPr="00BF42B7">
        <w:t>援助国</w:t>
      </w:r>
      <w:r w:rsidRPr="00BF42B7">
        <w:rPr>
          <w:rFonts w:hint="eastAsia"/>
        </w:rPr>
        <w:t>”</w:t>
      </w:r>
      <w:r w:rsidRPr="00BF42B7">
        <w:t>，由这种分类自然产生各种各样法律后果，正如本条款草案所规定的，直到这种援助已被受灾国按照第</w:t>
      </w:r>
      <w:r w:rsidRPr="00BF42B7">
        <w:t>1</w:t>
      </w:r>
      <w:r w:rsidRPr="00BF42B7">
        <w:rPr>
          <w:rFonts w:hint="eastAsia"/>
        </w:rPr>
        <w:t>3</w:t>
      </w:r>
      <w:r w:rsidRPr="00BF42B7">
        <w:t>条草案同意。</w:t>
      </w:r>
    </w:p>
    <w:p w:rsidR="00103498" w:rsidRPr="00BF42B7" w:rsidRDefault="00103498" w:rsidP="00B46738">
      <w:pPr>
        <w:pStyle w:val="H4GC"/>
        <w:rPr>
          <w:rFonts w:eastAsia="楷体"/>
          <w:lang w:val="en-GB"/>
        </w:rPr>
      </w:pPr>
      <w:r w:rsidRPr="00BF42B7">
        <w:rPr>
          <w:rFonts w:eastAsia="楷体"/>
          <w:lang w:val="en-GB"/>
        </w:rPr>
        <w:tab/>
      </w:r>
      <w:r w:rsidRPr="00BF42B7">
        <w:rPr>
          <w:rFonts w:eastAsia="楷体" w:hint="eastAsia"/>
          <w:lang w:val="en-GB"/>
        </w:rPr>
        <w:tab/>
      </w:r>
      <w:r w:rsidRPr="00BF42B7">
        <w:rPr>
          <w:rFonts w:eastAsia="楷体"/>
          <w:lang w:val="en-GB"/>
        </w:rPr>
        <w:t>(d)</w:t>
      </w:r>
      <w:r w:rsidRPr="00BF42B7">
        <w:rPr>
          <w:rFonts w:eastAsia="楷体" w:hint="eastAsia"/>
          <w:lang w:val="en-GB"/>
        </w:rPr>
        <w:t>项</w:t>
      </w:r>
    </w:p>
    <w:p w:rsidR="00103498" w:rsidRPr="00BF42B7" w:rsidRDefault="00103498" w:rsidP="00103498">
      <w:pPr>
        <w:pStyle w:val="SingleTxtGC"/>
        <w:rPr>
          <w:lang w:val="en-GB"/>
        </w:rPr>
      </w:pPr>
      <w:r w:rsidRPr="00BF42B7">
        <w:rPr>
          <w:lang w:val="en-GB"/>
        </w:rPr>
        <w:t xml:space="preserve">(19)  </w:t>
      </w:r>
      <w:r w:rsidRPr="00BF42B7">
        <w:rPr>
          <w:rFonts w:hint="eastAsia"/>
        </w:rPr>
        <w:t>除了受灾国和援助国，本条款草案也试图对其他援助方的地位作出规定。</w:t>
      </w:r>
      <w:r w:rsidRPr="00BF42B7">
        <w:t>当代减灾和救灾活动有相当大的比例是由国际组织实施或在国际组织主持下进行的，国际组织包括但不限于联合国，实施或主持这种活动的还可以是非政府组织和其他实体</w:t>
      </w:r>
      <w:r w:rsidRPr="00BF42B7">
        <w:rPr>
          <w:rFonts w:hint="eastAsia"/>
        </w:rPr>
        <w:t>。本条款草案将这一组行为者统称为“其他援助方”。</w:t>
      </w:r>
      <w:r w:rsidRPr="00BF42B7">
        <w:t>这</w:t>
      </w:r>
      <w:r w:rsidRPr="00BF42B7">
        <w:rPr>
          <w:rFonts w:hint="eastAsia"/>
        </w:rPr>
        <w:t>一名称</w:t>
      </w:r>
      <w:r w:rsidRPr="00BF42B7">
        <w:t>不妨碍</w:t>
      </w:r>
      <w:r w:rsidRPr="00BF42B7">
        <w:rPr>
          <w:rFonts w:hint="eastAsia"/>
        </w:rPr>
        <w:t>这些行为者</w:t>
      </w:r>
      <w:r w:rsidRPr="00BF42B7">
        <w:t>根据国际法所具有的各不相同的法律地位，这在条款草案里已经得到</w:t>
      </w:r>
      <w:r w:rsidRPr="00BF42B7">
        <w:rPr>
          <w:rFonts w:hint="eastAsia"/>
        </w:rPr>
        <w:t>确</w:t>
      </w:r>
      <w:r w:rsidRPr="00BF42B7">
        <w:t>认，例如</w:t>
      </w:r>
      <w:r w:rsidRPr="00BF42B7">
        <w:rPr>
          <w:rFonts w:hint="eastAsia"/>
        </w:rPr>
        <w:t>在</w:t>
      </w:r>
      <w:r w:rsidRPr="00BF42B7">
        <w:t>第</w:t>
      </w:r>
      <w:r w:rsidRPr="00BF42B7">
        <w:t>12</w:t>
      </w:r>
      <w:r w:rsidRPr="00BF42B7">
        <w:t>条草案。</w:t>
      </w:r>
      <w:r w:rsidRPr="00BF42B7">
        <w:rPr>
          <w:color w:val="0000FF"/>
          <w:vertAlign w:val="superscript"/>
          <w:lang w:val="en-GB"/>
        </w:rPr>
        <w:footnoteReference w:id="25"/>
      </w:r>
      <w:r w:rsidRPr="00BF42B7">
        <w:rPr>
          <w:color w:val="0000FF"/>
          <w:vertAlign w:val="superscript"/>
          <w:lang w:val="en-GB"/>
        </w:rPr>
        <w:t xml:space="preserve"> </w:t>
      </w:r>
    </w:p>
    <w:p w:rsidR="00103498" w:rsidRPr="00BF42B7" w:rsidRDefault="00103498" w:rsidP="00103498">
      <w:pPr>
        <w:pStyle w:val="SingleTxtGC"/>
        <w:rPr>
          <w:lang w:val="en-GB"/>
        </w:rPr>
      </w:pPr>
      <w:r w:rsidRPr="00BF42B7">
        <w:rPr>
          <w:lang w:val="en-GB"/>
        </w:rPr>
        <w:t xml:space="preserve">(20)  </w:t>
      </w:r>
      <w:r w:rsidRPr="00BF42B7">
        <w:rPr>
          <w:rFonts w:hint="eastAsia"/>
        </w:rPr>
        <w:t>这项定义反映了第</w:t>
      </w:r>
      <w:r w:rsidRPr="00BF42B7">
        <w:rPr>
          <w:rFonts w:hint="eastAsia"/>
        </w:rPr>
        <w:t>7</w:t>
      </w:r>
      <w:r w:rsidRPr="00BF42B7">
        <w:rPr>
          <w:rFonts w:hint="eastAsia"/>
        </w:rPr>
        <w:t>条草案的评注，第</w:t>
      </w:r>
      <w:r w:rsidRPr="00BF42B7">
        <w:rPr>
          <w:rFonts w:hint="eastAsia"/>
        </w:rPr>
        <w:t>7</w:t>
      </w:r>
      <w:r w:rsidRPr="00BF42B7">
        <w:rPr>
          <w:rFonts w:hint="eastAsia"/>
        </w:rPr>
        <w:t>条草案确认了这样的理解，即“援助方”指第</w:t>
      </w:r>
      <w:r w:rsidRPr="00BF42B7">
        <w:rPr>
          <w:rFonts w:hint="eastAsia"/>
        </w:rPr>
        <w:t>7</w:t>
      </w:r>
      <w:r w:rsidRPr="00BF42B7">
        <w:rPr>
          <w:rFonts w:hint="eastAsia"/>
        </w:rPr>
        <w:t>条草案措辞所提到的</w:t>
      </w:r>
      <w:r w:rsidRPr="00BF42B7">
        <w:t>联合国、红十字和红新月运动各组成部分及其他援助方</w:t>
      </w:r>
      <w:r w:rsidRPr="00BF42B7">
        <w:rPr>
          <w:rFonts w:hint="eastAsia"/>
        </w:rPr>
        <w:t>。</w:t>
      </w:r>
      <w:r w:rsidRPr="00BF42B7">
        <w:rPr>
          <w:color w:val="0000FF"/>
          <w:vertAlign w:val="superscript"/>
          <w:lang w:val="en-GB"/>
        </w:rPr>
        <w:footnoteReference w:id="26"/>
      </w:r>
      <w:r w:rsidRPr="00BF42B7">
        <w:rPr>
          <w:color w:val="0000FF"/>
          <w:vertAlign w:val="superscript"/>
          <w:lang w:val="en-GB"/>
        </w:rPr>
        <w:t xml:space="preserve"> </w:t>
      </w:r>
      <w:r w:rsidRPr="00BF42B7">
        <w:rPr>
          <w:rFonts w:hint="eastAsia"/>
          <w:lang w:val="en-GB"/>
        </w:rPr>
        <w:t>“或实体”的短语部分上取自《东盟协定》</w:t>
      </w:r>
      <w:bookmarkStart w:id="22" w:name="_Ref450651630"/>
      <w:r w:rsidRPr="00BF42B7">
        <w:rPr>
          <w:color w:val="0000FF"/>
          <w:vertAlign w:val="superscript"/>
          <w:lang w:val="en-GB"/>
        </w:rPr>
        <w:footnoteReference w:id="27"/>
      </w:r>
      <w:bookmarkEnd w:id="22"/>
      <w:r w:rsidRPr="00BF42B7">
        <w:rPr>
          <w:rFonts w:hint="eastAsia"/>
          <w:lang w:val="en-GB"/>
        </w:rPr>
        <w:t>，加上这个短语是确认，</w:t>
      </w:r>
      <w:r w:rsidRPr="00BF42B7">
        <w:t>并非所有参与救灾工作的行为者都可以归</w:t>
      </w:r>
      <w:r w:rsidRPr="00BF42B7">
        <w:rPr>
          <w:rFonts w:hint="eastAsia"/>
        </w:rPr>
        <w:t>入</w:t>
      </w:r>
      <w:r w:rsidRPr="00BF42B7">
        <w:t>前边提到的这个或那个类别。具体地说，这一短语应该理解为是专指红十字会</w:t>
      </w:r>
      <w:r w:rsidRPr="00BF42B7">
        <w:rPr>
          <w:rFonts w:hint="eastAsia"/>
        </w:rPr>
        <w:t>和</w:t>
      </w:r>
      <w:r w:rsidRPr="00BF42B7">
        <w:t>红新月会</w:t>
      </w:r>
      <w:r w:rsidRPr="00BF42B7">
        <w:rPr>
          <w:rFonts w:hint="eastAsia"/>
        </w:rPr>
        <w:t>运动这类实体</w:t>
      </w:r>
      <w:r w:rsidRPr="00BF42B7">
        <w:t>。</w:t>
      </w:r>
    </w:p>
    <w:p w:rsidR="00103498" w:rsidRPr="00BF42B7" w:rsidRDefault="00103498" w:rsidP="00103498">
      <w:pPr>
        <w:pStyle w:val="SingleTxtGC"/>
        <w:rPr>
          <w:lang w:val="en-GB"/>
        </w:rPr>
      </w:pPr>
      <w:r w:rsidRPr="00BF42B7">
        <w:rPr>
          <w:lang w:val="en-GB"/>
        </w:rPr>
        <w:t xml:space="preserve">(21)  </w:t>
      </w:r>
      <w:r w:rsidRPr="00BF42B7">
        <w:rPr>
          <w:rFonts w:hint="eastAsia"/>
          <w:lang w:val="en-GB"/>
        </w:rPr>
        <w:t>为本条款草案的目的，委员会对“其他援助方”定义的理解是仅限于受害国外部的援助方。</w:t>
      </w:r>
      <w:r w:rsidRPr="00BF42B7">
        <w:rPr>
          <w:color w:val="0000FF"/>
          <w:vertAlign w:val="superscript"/>
          <w:lang w:val="en-GB"/>
        </w:rPr>
        <w:footnoteReference w:id="28"/>
      </w:r>
      <w:r w:rsidRPr="00BF42B7">
        <w:rPr>
          <w:color w:val="0000FF"/>
          <w:vertAlign w:val="superscript"/>
          <w:lang w:val="en-GB"/>
        </w:rPr>
        <w:t xml:space="preserve"> </w:t>
      </w:r>
      <w:r w:rsidRPr="00BF42B7">
        <w:rPr>
          <w:rFonts w:hint="eastAsia"/>
          <w:lang w:val="en-GB"/>
        </w:rPr>
        <w:t>因此，举例而言，本国非政府组织的活动就不在此列。国内行为者也不会因为从国外获得或试图获得援助而无意中被划入此列。</w:t>
      </w:r>
    </w:p>
    <w:p w:rsidR="00103498" w:rsidRPr="00BF42B7" w:rsidRDefault="00103498" w:rsidP="00103498">
      <w:pPr>
        <w:pStyle w:val="SingleTxtGC"/>
        <w:rPr>
          <w:lang w:val="en-GB"/>
        </w:rPr>
      </w:pPr>
      <w:r w:rsidRPr="00BF42B7">
        <w:rPr>
          <w:lang w:val="en-GB"/>
        </w:rPr>
        <w:t xml:space="preserve">(22)  </w:t>
      </w:r>
      <w:r w:rsidRPr="00BF42B7">
        <w:rPr>
          <w:rFonts w:hint="eastAsia"/>
          <w:lang w:val="en-GB"/>
        </w:rPr>
        <w:t>至于</w:t>
      </w:r>
      <w:r w:rsidRPr="00BF42B7">
        <w:rPr>
          <w:rFonts w:hint="eastAsia"/>
          <w:lang w:val="en-GB"/>
        </w:rPr>
        <w:t>(</w:t>
      </w:r>
      <w:r w:rsidRPr="00BF42B7">
        <w:t>c</w:t>
      </w:r>
      <w:r w:rsidRPr="00BF42B7">
        <w:rPr>
          <w:rFonts w:hint="eastAsia"/>
          <w:lang w:val="en-GB"/>
        </w:rPr>
        <w:t>)</w:t>
      </w:r>
      <w:r w:rsidRPr="00BF42B7">
        <w:rPr>
          <w:rFonts w:hint="eastAsia"/>
          <w:lang w:val="en-GB"/>
        </w:rPr>
        <w:t>项中“援助国”的定义，末尾处“经</w:t>
      </w:r>
      <w:r w:rsidRPr="00BF42B7">
        <w:rPr>
          <w:lang w:val="en-GB"/>
        </w:rPr>
        <w:t>受灾国同意向</w:t>
      </w:r>
      <w:r w:rsidRPr="00BF42B7">
        <w:rPr>
          <w:rFonts w:hint="eastAsia"/>
          <w:lang w:val="en-GB"/>
        </w:rPr>
        <w:t>其</w:t>
      </w:r>
      <w:r w:rsidRPr="00BF42B7">
        <w:rPr>
          <w:lang w:val="en-GB"/>
        </w:rPr>
        <w:t>提供援助</w:t>
      </w:r>
      <w:r w:rsidRPr="00BF42B7">
        <w:rPr>
          <w:rFonts w:hint="eastAsia"/>
          <w:lang w:val="en-GB"/>
        </w:rPr>
        <w:t>”是指根据第</w:t>
      </w:r>
      <w:r w:rsidRPr="00BF42B7">
        <w:rPr>
          <w:rFonts w:hint="eastAsia"/>
          <w:lang w:val="en-GB"/>
        </w:rPr>
        <w:t>13</w:t>
      </w:r>
      <w:r w:rsidRPr="00BF42B7">
        <w:rPr>
          <w:rFonts w:hint="eastAsia"/>
          <w:lang w:val="en-GB"/>
        </w:rPr>
        <w:t>条草案，同意在条款草案中起到的中心作用。</w:t>
      </w:r>
      <w:r w:rsidRPr="00BF42B7">
        <w:t>加上这个短语也是为了确认有关实体在减少灾害风险和提供救灾援助方面通常所开展的活动的广阔范围，而这两个方面都是本条款草案所要规范的</w:t>
      </w:r>
      <w:r w:rsidRPr="00BF42B7">
        <w:rPr>
          <w:rFonts w:hint="eastAsia"/>
        </w:rPr>
        <w:t>。</w:t>
      </w:r>
    </w:p>
    <w:p w:rsidR="00103498" w:rsidRPr="00BF42B7" w:rsidRDefault="00103498" w:rsidP="00B46738">
      <w:pPr>
        <w:pStyle w:val="H4GC"/>
        <w:rPr>
          <w:rFonts w:eastAsia="楷体"/>
          <w:lang w:val="en-GB"/>
        </w:rPr>
      </w:pPr>
      <w:r w:rsidRPr="00BF42B7">
        <w:rPr>
          <w:rFonts w:eastAsia="楷体" w:hint="eastAsia"/>
          <w:lang w:val="en-GB"/>
        </w:rPr>
        <w:tab/>
      </w:r>
      <w:r w:rsidRPr="00BF42B7">
        <w:rPr>
          <w:rFonts w:eastAsia="楷体"/>
          <w:lang w:val="en-GB"/>
        </w:rPr>
        <w:tab/>
        <w:t>(e)</w:t>
      </w:r>
      <w:r w:rsidRPr="00BF42B7">
        <w:rPr>
          <w:rFonts w:eastAsia="楷体" w:hint="eastAsia"/>
          <w:lang w:val="en-GB"/>
        </w:rPr>
        <w:t>项</w:t>
      </w:r>
    </w:p>
    <w:p w:rsidR="00103498" w:rsidRPr="00BF42B7" w:rsidRDefault="00103498" w:rsidP="00103498">
      <w:pPr>
        <w:pStyle w:val="SingleTxtGC"/>
        <w:rPr>
          <w:lang w:val="en-GB"/>
        </w:rPr>
      </w:pPr>
      <w:r w:rsidRPr="00BF42B7">
        <w:rPr>
          <w:lang w:val="en-GB"/>
        </w:rPr>
        <w:t xml:space="preserve">(23)  </w:t>
      </w:r>
      <w:r w:rsidRPr="00BF42B7">
        <w:t>(</w:t>
      </w:r>
      <w:r w:rsidRPr="00BF42B7">
        <w:rPr>
          <w:rFonts w:hint="eastAsia"/>
        </w:rPr>
        <w:t>e</w:t>
      </w:r>
      <w:r w:rsidRPr="00BF42B7">
        <w:t>)</w:t>
      </w:r>
      <w:r w:rsidRPr="00BF42B7">
        <w:rPr>
          <w:rFonts w:hint="eastAsia"/>
        </w:rPr>
        <w:t>项界定的是本条款草案所设想的援助国或其他援助方向受灾国提供的援助的类型，作为第</w:t>
      </w:r>
      <w:r w:rsidRPr="00BF42B7">
        <w:rPr>
          <w:rFonts w:hint="eastAsia"/>
        </w:rPr>
        <w:t>8</w:t>
      </w:r>
      <w:r w:rsidRPr="00BF42B7">
        <w:rPr>
          <w:rFonts w:hint="eastAsia"/>
        </w:rPr>
        <w:t>条草案所预想的合作的一种形式。</w:t>
      </w:r>
    </w:p>
    <w:p w:rsidR="00103498" w:rsidRPr="00BF42B7" w:rsidRDefault="00103498" w:rsidP="00103498">
      <w:pPr>
        <w:pStyle w:val="SingleTxtGC"/>
        <w:rPr>
          <w:lang w:val="en-GB"/>
        </w:rPr>
      </w:pPr>
      <w:r w:rsidRPr="00BF42B7">
        <w:rPr>
          <w:lang w:val="en-GB"/>
        </w:rPr>
        <w:t xml:space="preserve">(24)  </w:t>
      </w:r>
      <w:r w:rsidRPr="00BF42B7">
        <w:t>(</w:t>
      </w:r>
      <w:r w:rsidRPr="00BF42B7">
        <w:rPr>
          <w:rFonts w:hint="eastAsia"/>
        </w:rPr>
        <w:t>e</w:t>
      </w:r>
      <w:r w:rsidRPr="00BF42B7">
        <w:t>)</w:t>
      </w:r>
      <w:r w:rsidRPr="00BF42B7">
        <w:rPr>
          <w:rFonts w:hint="eastAsia"/>
          <w:lang w:val="en-GB"/>
        </w:rPr>
        <w:t>措辞参照了《在救灾中使用外国军事和民防资源的准则》</w:t>
      </w:r>
      <w:bookmarkStart w:id="23" w:name="_Ref450650190"/>
      <w:r w:rsidRPr="00BF42B7">
        <w:rPr>
          <w:rFonts w:hint="eastAsia"/>
        </w:rPr>
        <w:t>（又称作</w:t>
      </w:r>
      <w:r w:rsidRPr="00BF42B7">
        <w:rPr>
          <w:rFonts w:hint="eastAsia"/>
          <w:lang w:val="en-GB"/>
        </w:rPr>
        <w:t>《奥斯陆准则》</w:t>
      </w:r>
      <w:r w:rsidRPr="00BF42B7">
        <w:rPr>
          <w:rFonts w:hint="eastAsia"/>
        </w:rPr>
        <w:t>）</w:t>
      </w:r>
      <w:bookmarkStart w:id="24" w:name="_Ref461892244"/>
      <w:r w:rsidRPr="00BF42B7">
        <w:rPr>
          <w:color w:val="0000FF"/>
          <w:vertAlign w:val="superscript"/>
          <w:lang w:val="en-GB"/>
        </w:rPr>
        <w:footnoteReference w:id="29"/>
      </w:r>
      <w:bookmarkEnd w:id="24"/>
      <w:r w:rsidRPr="00BF42B7">
        <w:rPr>
          <w:color w:val="0000FF"/>
          <w:vertAlign w:val="superscript"/>
          <w:lang w:val="en-GB"/>
        </w:rPr>
        <w:t xml:space="preserve"> </w:t>
      </w:r>
      <w:bookmarkEnd w:id="23"/>
      <w:r w:rsidRPr="00BF42B7">
        <w:rPr>
          <w:rFonts w:hint="eastAsia"/>
          <w:lang w:val="en-GB"/>
        </w:rPr>
        <w:t>和</w:t>
      </w:r>
      <w:r w:rsidRPr="00BF42B7">
        <w:rPr>
          <w:rFonts w:hint="eastAsia"/>
          <w:lang w:val="en-GB"/>
        </w:rPr>
        <w:t>2000</w:t>
      </w:r>
      <w:r w:rsidRPr="00BF42B7">
        <w:rPr>
          <w:rFonts w:hint="eastAsia"/>
          <w:lang w:val="en-GB"/>
        </w:rPr>
        <w:t>年</w:t>
      </w:r>
      <w:r w:rsidRPr="00BF42B7">
        <w:t>《民防援助框架公约》</w:t>
      </w:r>
      <w:r w:rsidRPr="00BF42B7">
        <w:rPr>
          <w:rFonts w:hint="eastAsia"/>
        </w:rPr>
        <w:t>。</w:t>
      </w:r>
      <w:r w:rsidRPr="00BF42B7">
        <w:rPr>
          <w:iCs/>
          <w:color w:val="0000FF"/>
          <w:vertAlign w:val="superscript"/>
          <w:lang w:val="en-GB"/>
        </w:rPr>
        <w:footnoteReference w:id="30"/>
      </w:r>
      <w:r w:rsidRPr="00BF42B7">
        <w:rPr>
          <w:iCs/>
          <w:color w:val="0000FF"/>
          <w:lang w:val="en-GB"/>
        </w:rPr>
        <w:t xml:space="preserve"> </w:t>
      </w:r>
      <w:r w:rsidRPr="00BF42B7">
        <w:rPr>
          <w:rFonts w:hint="eastAsia"/>
          <w:lang w:val="en-GB"/>
        </w:rPr>
        <w:t>以“设备和物资”代替了《奥斯陆准则》中的“物质”，这是本条款草案的用语，</w:t>
      </w:r>
      <w:r w:rsidRPr="00BF42B7">
        <w:rPr>
          <w:lang w:val="en-GB"/>
        </w:rPr>
        <w:t>(g)</w:t>
      </w:r>
      <w:r w:rsidRPr="00BF42B7">
        <w:rPr>
          <w:rFonts w:hint="eastAsia"/>
          <w:lang w:val="en-GB"/>
        </w:rPr>
        <w:t>项对此作了界定。</w:t>
      </w:r>
    </w:p>
    <w:p w:rsidR="00103498" w:rsidRPr="00BF42B7" w:rsidRDefault="00103498" w:rsidP="00103498">
      <w:pPr>
        <w:pStyle w:val="SingleTxtGC"/>
        <w:rPr>
          <w:lang w:val="en-GB"/>
        </w:rPr>
      </w:pPr>
      <w:r w:rsidRPr="00BF42B7">
        <w:rPr>
          <w:lang w:val="en-GB"/>
        </w:rPr>
        <w:t xml:space="preserve">(25)  </w:t>
      </w:r>
      <w:r w:rsidRPr="00BF42B7">
        <w:rPr>
          <w:rFonts w:hint="eastAsia"/>
        </w:rPr>
        <w:t>短语“援助国或其他援助方</w:t>
      </w:r>
      <w:r w:rsidRPr="00BF42B7">
        <w:t>…</w:t>
      </w:r>
      <w:r w:rsidRPr="00BF42B7">
        <w:rPr>
          <w:rFonts w:hint="eastAsia"/>
        </w:rPr>
        <w:t>而向受灾国提供的”是指</w:t>
      </w:r>
      <w:r w:rsidRPr="00BF42B7">
        <w:t>本条款草案所设想的援助国或援助方与受灾国的法律关系的性质</w:t>
      </w:r>
      <w:r w:rsidRPr="00BF42B7">
        <w:rPr>
          <w:rFonts w:hint="eastAsia"/>
        </w:rPr>
        <w:t>。</w:t>
      </w:r>
    </w:p>
    <w:p w:rsidR="00103498" w:rsidRPr="00BF42B7" w:rsidRDefault="00103498" w:rsidP="00103498">
      <w:pPr>
        <w:pStyle w:val="SingleTxtGC"/>
        <w:rPr>
          <w:lang w:val="en-GB"/>
        </w:rPr>
      </w:pPr>
      <w:r w:rsidRPr="00BF42B7">
        <w:rPr>
          <w:lang w:val="en-GB"/>
        </w:rPr>
        <w:t xml:space="preserve">(26)  </w:t>
      </w:r>
      <w:r w:rsidRPr="00BF42B7">
        <w:rPr>
          <w:rFonts w:hint="eastAsia"/>
        </w:rPr>
        <w:t>末尾短语旨在澄清提供外部援助应遵循的目的，即“为救灾援助”。委员会的理解是，“外部援助”从定义上说具体适用于应对阶段。</w:t>
      </w:r>
      <w:r w:rsidRPr="00BF42B7">
        <w:t>虽然措辞用的是救灾和减少灾害风险方面的技术术语，但人们能够理解这符合载于第</w:t>
      </w:r>
      <w:r w:rsidRPr="00BF42B7">
        <w:t>2</w:t>
      </w:r>
      <w:r w:rsidRPr="00BF42B7">
        <w:t>条草案的总体目标，即</w:t>
      </w:r>
      <w:r w:rsidRPr="00BF42B7">
        <w:rPr>
          <w:rFonts w:hint="eastAsia"/>
        </w:rPr>
        <w:t>“促进</w:t>
      </w:r>
      <w:r w:rsidRPr="00BF42B7">
        <w:t>充分和有效地应对灾害</w:t>
      </w:r>
      <w:r w:rsidRPr="00BF42B7">
        <w:rPr>
          <w:rFonts w:hint="eastAsia"/>
        </w:rPr>
        <w:t>……</w:t>
      </w:r>
      <w:r w:rsidRPr="00BF42B7">
        <w:t>以满足有关人员的基本需要，充分尊重其权利</w:t>
      </w:r>
      <w:r w:rsidRPr="00BF42B7">
        <w:rPr>
          <w:rFonts w:hint="eastAsia"/>
        </w:rPr>
        <w:t>”</w:t>
      </w:r>
      <w:r w:rsidRPr="00BF42B7">
        <w:t>。</w:t>
      </w:r>
    </w:p>
    <w:p w:rsidR="00103498" w:rsidRPr="00BF42B7" w:rsidRDefault="00103498" w:rsidP="00B46738">
      <w:pPr>
        <w:pStyle w:val="H4GC"/>
        <w:rPr>
          <w:rFonts w:eastAsia="楷体"/>
          <w:lang w:val="en-GB"/>
        </w:rPr>
      </w:pPr>
      <w:r w:rsidRPr="00BF42B7">
        <w:rPr>
          <w:rFonts w:eastAsia="楷体"/>
          <w:lang w:val="en-GB"/>
        </w:rPr>
        <w:tab/>
      </w:r>
      <w:r w:rsidRPr="00BF42B7">
        <w:rPr>
          <w:rFonts w:eastAsia="楷体" w:hint="eastAsia"/>
          <w:lang w:val="en-GB"/>
        </w:rPr>
        <w:tab/>
      </w:r>
      <w:r w:rsidRPr="00BF42B7">
        <w:rPr>
          <w:rFonts w:eastAsia="楷体"/>
          <w:lang w:val="en-GB"/>
        </w:rPr>
        <w:t>(f)</w:t>
      </w:r>
      <w:r w:rsidRPr="00BF42B7">
        <w:rPr>
          <w:rFonts w:eastAsia="楷体" w:hint="eastAsia"/>
          <w:lang w:val="en-GB"/>
        </w:rPr>
        <w:t>项</w:t>
      </w:r>
    </w:p>
    <w:p w:rsidR="00103498" w:rsidRPr="00BF42B7" w:rsidRDefault="00103498" w:rsidP="009C15B9">
      <w:pPr>
        <w:pStyle w:val="SingleTxtGC"/>
        <w:rPr>
          <w:lang w:val="en-GB"/>
        </w:rPr>
      </w:pPr>
      <w:r w:rsidRPr="00BF42B7">
        <w:rPr>
          <w:lang w:val="en-GB"/>
        </w:rPr>
        <w:t xml:space="preserve">(27)  </w:t>
      </w:r>
      <w:r w:rsidRPr="00BF42B7">
        <w:rPr>
          <w:rFonts w:hint="eastAsia"/>
          <w:lang w:val="en-GB"/>
        </w:rPr>
        <w:t>这项界定的是援助国或其他援助方提供外部援助的人员构成部分。</w:t>
      </w:r>
      <w:r w:rsidRPr="00BF42B7">
        <w:t>该定义表明，为提供救灾援助或减少灾害风险的目的，通常派遣两类人员，即</w:t>
      </w:r>
      <w:r w:rsidRPr="00BF42B7">
        <w:rPr>
          <w:rFonts w:hint="eastAsia"/>
        </w:rPr>
        <w:t>“</w:t>
      </w:r>
      <w:r w:rsidRPr="00BF42B7">
        <w:t>民事</w:t>
      </w:r>
      <w:r w:rsidRPr="00BF42B7">
        <w:rPr>
          <w:rFonts w:hint="eastAsia"/>
        </w:rPr>
        <w:t>”</w:t>
      </w:r>
      <w:r w:rsidRPr="00BF42B7">
        <w:t>或</w:t>
      </w:r>
      <w:r w:rsidRPr="00BF42B7">
        <w:rPr>
          <w:rFonts w:hint="eastAsia"/>
        </w:rPr>
        <w:t>“</w:t>
      </w:r>
      <w:r w:rsidRPr="00BF42B7">
        <w:t>军事</w:t>
      </w:r>
      <w:r w:rsidRPr="00BF42B7">
        <w:rPr>
          <w:rFonts w:hint="eastAsia"/>
        </w:rPr>
        <w:t>”</w:t>
      </w:r>
      <w:r w:rsidRPr="00BF42B7">
        <w:t>人员。</w:t>
      </w:r>
      <w:r w:rsidRPr="00BF42B7">
        <w:rPr>
          <w:color w:val="0000FF"/>
          <w:vertAlign w:val="superscript"/>
          <w:lang w:val="en-GB"/>
        </w:rPr>
        <w:footnoteReference w:id="31"/>
      </w:r>
      <w:r w:rsidR="009C15B9" w:rsidRPr="00BF42B7">
        <w:rPr>
          <w:rFonts w:hint="eastAsia"/>
        </w:rPr>
        <w:t xml:space="preserve"> </w:t>
      </w:r>
      <w:r w:rsidRPr="00BF42B7">
        <w:t>提及军事人员，这是受</w:t>
      </w:r>
      <w:r w:rsidRPr="00BF42B7">
        <w:t>2000</w:t>
      </w:r>
      <w:r w:rsidRPr="00BF42B7">
        <w:t>年希腊和俄罗斯联邦之间的双边条约</w:t>
      </w:r>
      <w:r w:rsidRPr="00BF42B7">
        <w:rPr>
          <w:color w:val="0000FF"/>
          <w:vertAlign w:val="superscript"/>
          <w:lang w:val="en-GB"/>
        </w:rPr>
        <w:footnoteReference w:id="32"/>
      </w:r>
      <w:r w:rsidRPr="00BF42B7">
        <w:rPr>
          <w:color w:val="0000FF"/>
          <w:vertAlign w:val="superscript"/>
          <w:lang w:val="en-GB"/>
        </w:rPr>
        <w:t xml:space="preserve"> </w:t>
      </w:r>
      <w:r w:rsidRPr="00BF42B7">
        <w:t>的启发，旨在承认军事人员作为一个类别的救灾人员在提供救灾援助方面所发挥的重要作用</w:t>
      </w:r>
      <w:r w:rsidRPr="00BF42B7">
        <w:rPr>
          <w:rFonts w:hint="eastAsia"/>
        </w:rPr>
        <w:t>。提及军事人员对于援助国来说更为相关，但“民事”人员一词意在让定义宽泛，能包括援助国和其他援助方所派遣的这类人员。</w:t>
      </w:r>
      <w:r w:rsidRPr="00BF42B7">
        <w:t>对某些但并非所有的援助实体</w:t>
      </w:r>
      <w:r w:rsidRPr="00BF42B7">
        <w:t>(</w:t>
      </w:r>
      <w:r w:rsidRPr="00BF42B7">
        <w:t>包括国家在内</w:t>
      </w:r>
      <w:r w:rsidRPr="00BF42B7">
        <w:t>)</w:t>
      </w:r>
      <w:r w:rsidRPr="00BF42B7">
        <w:t>来说，这些是开放性的选择，短语里所用的选择性词语</w:t>
      </w:r>
      <w:r w:rsidRPr="00BF42B7">
        <w:t>(</w:t>
      </w:r>
      <w:r w:rsidRPr="00BF42B7">
        <w:rPr>
          <w:rFonts w:hint="eastAsia"/>
        </w:rPr>
        <w:t>“</w:t>
      </w:r>
      <w:r w:rsidRPr="00BF42B7">
        <w:t>或</w:t>
      </w:r>
      <w:r w:rsidRPr="00BF42B7">
        <w:rPr>
          <w:rFonts w:hint="eastAsia"/>
        </w:rPr>
        <w:t>”</w:t>
      </w:r>
      <w:r w:rsidRPr="00BF42B7">
        <w:t>)</w:t>
      </w:r>
      <w:r w:rsidRPr="00BF42B7">
        <w:t>确认了这一点。</w:t>
      </w:r>
    </w:p>
    <w:p w:rsidR="00103498" w:rsidRPr="00BF42B7" w:rsidRDefault="00103498" w:rsidP="00103498">
      <w:pPr>
        <w:pStyle w:val="SingleTxtGC"/>
        <w:rPr>
          <w:lang w:val="en-GB"/>
        </w:rPr>
      </w:pPr>
      <w:r w:rsidRPr="00BF42B7">
        <w:rPr>
          <w:lang w:val="en-GB"/>
        </w:rPr>
        <w:t xml:space="preserve">(28)  </w:t>
      </w:r>
      <w:r w:rsidRPr="00BF42B7">
        <w:rPr>
          <w:rFonts w:hint="eastAsia"/>
        </w:rPr>
        <w:t>根据理解，这些人员通常是“专业”人员，正如大会</w:t>
      </w:r>
      <w:r w:rsidRPr="00BF42B7">
        <w:rPr>
          <w:rFonts w:hint="eastAsia"/>
        </w:rPr>
        <w:t>1991</w:t>
      </w:r>
      <w:r w:rsidRPr="00BF42B7">
        <w:rPr>
          <w:rFonts w:hint="eastAsia"/>
        </w:rPr>
        <w:t>年</w:t>
      </w:r>
      <w:r w:rsidRPr="00BF42B7">
        <w:rPr>
          <w:rFonts w:hint="eastAsia"/>
        </w:rPr>
        <w:t>12</w:t>
      </w:r>
      <w:r w:rsidRPr="00BF42B7">
        <w:rPr>
          <w:rFonts w:hint="eastAsia"/>
        </w:rPr>
        <w:t>月</w:t>
      </w:r>
      <w:r w:rsidRPr="00BF42B7">
        <w:rPr>
          <w:rFonts w:hint="eastAsia"/>
        </w:rPr>
        <w:t>19</w:t>
      </w:r>
      <w:r w:rsidRPr="00BF42B7">
        <w:rPr>
          <w:rFonts w:hint="eastAsia"/>
        </w:rPr>
        <w:t>日第</w:t>
      </w:r>
      <w:hyperlink r:id="rId52" w:history="1">
        <w:r w:rsidRPr="007F0135">
          <w:rPr>
            <w:rStyle w:val="af"/>
          </w:rPr>
          <w:t>46/182</w:t>
        </w:r>
      </w:hyperlink>
      <w:r w:rsidRPr="00BF42B7">
        <w:rPr>
          <w:rFonts w:hint="eastAsia"/>
        </w:rPr>
        <w:t>号决议附件中所提及的，即所期待的人员应具有必要的技能，并具有</w:t>
      </w:r>
      <w:r w:rsidRPr="00BF42B7">
        <w:t>(g)</w:t>
      </w:r>
      <w:r w:rsidRPr="00BF42B7">
        <w:rPr>
          <w:rFonts w:hint="eastAsia"/>
        </w:rPr>
        <w:t>项所界定的必要的设备和物资，以便履行所说的职能。</w:t>
      </w:r>
    </w:p>
    <w:p w:rsidR="00103498" w:rsidRPr="00BF42B7" w:rsidRDefault="00103498" w:rsidP="00103498">
      <w:pPr>
        <w:pStyle w:val="SingleTxtGC"/>
        <w:rPr>
          <w:lang w:val="en-GB"/>
        </w:rPr>
      </w:pPr>
      <w:r w:rsidRPr="00BF42B7">
        <w:rPr>
          <w:lang w:val="en-GB"/>
        </w:rPr>
        <w:t xml:space="preserve">(29)  </w:t>
      </w:r>
      <w:r w:rsidRPr="00BF42B7">
        <w:rPr>
          <w:rFonts w:hint="eastAsia"/>
          <w:lang w:val="en-GB"/>
        </w:rPr>
        <w:t>“派遣的”</w:t>
      </w:r>
      <w:r w:rsidRPr="00BF42B7">
        <w:rPr>
          <w:rFonts w:hint="eastAsia"/>
        </w:rPr>
        <w:t>这个短语在援助实体</w:t>
      </w:r>
      <w:r w:rsidRPr="00BF42B7">
        <w:t>(</w:t>
      </w:r>
      <w:r w:rsidRPr="00BF42B7">
        <w:rPr>
          <w:rFonts w:hint="eastAsia"/>
        </w:rPr>
        <w:t>无论是国家还是其他行为者</w:t>
      </w:r>
      <w:r w:rsidRPr="00BF42B7">
        <w:t>)</w:t>
      </w:r>
      <w:r w:rsidRPr="00BF42B7">
        <w:rPr>
          <w:rFonts w:hint="eastAsia"/>
        </w:rPr>
        <w:t>与有关人员之间建立起了联系。</w:t>
      </w:r>
      <w:r w:rsidRPr="00BF42B7">
        <w:t>委员会决定不提及</w:t>
      </w:r>
      <w:r w:rsidRPr="00BF42B7">
        <w:rPr>
          <w:rFonts w:hint="eastAsia"/>
        </w:rPr>
        <w:t>“</w:t>
      </w:r>
      <w:r w:rsidRPr="00BF42B7">
        <w:t>代表</w:t>
      </w:r>
      <w:r w:rsidRPr="00BF42B7">
        <w:rPr>
          <w:rFonts w:hint="eastAsia"/>
          <w:lang w:val="fr-CH"/>
        </w:rPr>
        <w:t>……</w:t>
      </w:r>
      <w:r w:rsidRPr="00BF42B7">
        <w:t>而行事</w:t>
      </w:r>
      <w:r w:rsidRPr="00BF42B7">
        <w:rPr>
          <w:rFonts w:hint="eastAsia"/>
        </w:rPr>
        <w:t>”</w:t>
      </w:r>
      <w:r w:rsidRPr="00BF42B7">
        <w:t>这样的说法，以避免</w:t>
      </w:r>
      <w:r w:rsidRPr="00BF42B7">
        <w:rPr>
          <w:rFonts w:hint="eastAsia"/>
        </w:rPr>
        <w:t>预先判断</w:t>
      </w:r>
      <w:r w:rsidRPr="00BF42B7">
        <w:t>将行为归属于国家或国际组织的国际法规则的适用性问题，</w:t>
      </w:r>
      <w:r w:rsidRPr="00BF42B7">
        <w:rPr>
          <w:color w:val="0000FF"/>
          <w:vertAlign w:val="superscript"/>
          <w:lang w:val="en-GB"/>
        </w:rPr>
        <w:footnoteReference w:id="33"/>
      </w:r>
      <w:r w:rsidRPr="00BF42B7">
        <w:rPr>
          <w:color w:val="0000FF"/>
          <w:vertAlign w:val="superscript"/>
          <w:lang w:val="en-GB"/>
        </w:rPr>
        <w:t xml:space="preserve"> </w:t>
      </w:r>
      <w:r w:rsidRPr="00BF42B7">
        <w:rPr>
          <w:rFonts w:hint="eastAsia"/>
        </w:rPr>
        <w:t>因为正如</w:t>
      </w:r>
      <w:r w:rsidRPr="00BF42B7">
        <w:t>第</w:t>
      </w:r>
      <w:r w:rsidRPr="00BF42B7">
        <w:t>1</w:t>
      </w:r>
      <w:r w:rsidRPr="00BF42B7">
        <w:rPr>
          <w:rFonts w:hint="eastAsia"/>
        </w:rPr>
        <w:t>0</w:t>
      </w:r>
      <w:r w:rsidRPr="00BF42B7">
        <w:t>条草案</w:t>
      </w:r>
      <w:r w:rsidRPr="00BF42B7">
        <w:rPr>
          <w:rFonts w:hint="eastAsia"/>
        </w:rPr>
        <w:t>第</w:t>
      </w:r>
      <w:r w:rsidRPr="00BF42B7">
        <w:rPr>
          <w:rFonts w:hint="eastAsia"/>
        </w:rPr>
        <w:t>2</w:t>
      </w:r>
      <w:r w:rsidRPr="00BF42B7">
        <w:rPr>
          <w:rFonts w:hint="eastAsia"/>
        </w:rPr>
        <w:t>款所规定的</w:t>
      </w:r>
      <w:r w:rsidRPr="00BF42B7">
        <w:t>，受灾国</w:t>
      </w:r>
      <w:r w:rsidRPr="00BF42B7">
        <w:rPr>
          <w:rFonts w:hint="eastAsia"/>
        </w:rPr>
        <w:t>承担着主要作用。</w:t>
      </w:r>
    </w:p>
    <w:p w:rsidR="00103498" w:rsidRPr="00BF42B7" w:rsidRDefault="00103498" w:rsidP="00B46738">
      <w:pPr>
        <w:pStyle w:val="H4GC"/>
        <w:rPr>
          <w:rFonts w:eastAsia="楷体"/>
          <w:lang w:val="en-GB"/>
        </w:rPr>
      </w:pPr>
      <w:r w:rsidRPr="00BF42B7">
        <w:rPr>
          <w:rFonts w:eastAsia="楷体" w:hint="eastAsia"/>
          <w:lang w:val="en-GB"/>
        </w:rPr>
        <w:tab/>
      </w:r>
      <w:r w:rsidRPr="00BF42B7">
        <w:rPr>
          <w:rFonts w:eastAsia="楷体"/>
          <w:lang w:val="en-GB"/>
        </w:rPr>
        <w:tab/>
        <w:t>(g)</w:t>
      </w:r>
      <w:r w:rsidRPr="00BF42B7">
        <w:rPr>
          <w:rFonts w:eastAsia="楷体" w:hint="eastAsia"/>
          <w:lang w:val="en-GB"/>
        </w:rPr>
        <w:t>项</w:t>
      </w:r>
    </w:p>
    <w:p w:rsidR="00103498" w:rsidRPr="00BF42B7" w:rsidRDefault="00103498" w:rsidP="00103498">
      <w:pPr>
        <w:pStyle w:val="SingleTxtGC"/>
        <w:rPr>
          <w:szCs w:val="21"/>
          <w:lang w:val="en-GB"/>
        </w:rPr>
      </w:pPr>
      <w:r w:rsidRPr="00BF42B7">
        <w:rPr>
          <w:szCs w:val="21"/>
          <w:lang w:val="en-GB"/>
        </w:rPr>
        <w:t xml:space="preserve">(30)  </w:t>
      </w:r>
      <w:r w:rsidRPr="00BF42B7">
        <w:rPr>
          <w:rFonts w:hint="eastAsia"/>
          <w:spacing w:val="2"/>
          <w:szCs w:val="21"/>
          <w:lang w:val="en-GB"/>
        </w:rPr>
        <w:t>如</w:t>
      </w:r>
      <w:r w:rsidRPr="00BF42B7">
        <w:rPr>
          <w:spacing w:val="2"/>
          <w:szCs w:val="21"/>
          <w:lang w:val="en-GB"/>
        </w:rPr>
        <w:t>(e)</w:t>
      </w:r>
      <w:r w:rsidRPr="00BF42B7">
        <w:rPr>
          <w:rFonts w:hint="eastAsia"/>
          <w:spacing w:val="2"/>
          <w:szCs w:val="21"/>
          <w:lang w:val="en-GB"/>
        </w:rPr>
        <w:t>项所示，</w:t>
      </w:r>
      <w:r w:rsidRPr="00BF42B7">
        <w:rPr>
          <w:rFonts w:hint="eastAsia"/>
          <w:spacing w:val="2"/>
          <w:szCs w:val="21"/>
        </w:rPr>
        <w:t>“</w:t>
      </w:r>
      <w:r w:rsidRPr="00BF42B7">
        <w:rPr>
          <w:spacing w:val="2"/>
          <w:szCs w:val="21"/>
        </w:rPr>
        <w:t>设备</w:t>
      </w:r>
      <w:r w:rsidRPr="00BF42B7">
        <w:rPr>
          <w:rFonts w:hint="eastAsia"/>
          <w:spacing w:val="2"/>
          <w:szCs w:val="21"/>
        </w:rPr>
        <w:t>”</w:t>
      </w:r>
      <w:r w:rsidRPr="00BF42B7">
        <w:rPr>
          <w:spacing w:val="2"/>
          <w:szCs w:val="21"/>
        </w:rPr>
        <w:t>和</w:t>
      </w:r>
      <w:r w:rsidRPr="00BF42B7">
        <w:rPr>
          <w:rFonts w:hint="eastAsia"/>
          <w:spacing w:val="2"/>
          <w:szCs w:val="21"/>
        </w:rPr>
        <w:t>“</w:t>
      </w:r>
      <w:r w:rsidRPr="00BF42B7">
        <w:rPr>
          <w:spacing w:val="2"/>
          <w:szCs w:val="21"/>
        </w:rPr>
        <w:t>物资</w:t>
      </w:r>
      <w:r w:rsidRPr="00BF42B7">
        <w:rPr>
          <w:rFonts w:hint="eastAsia"/>
          <w:spacing w:val="2"/>
          <w:szCs w:val="21"/>
        </w:rPr>
        <w:t>”</w:t>
      </w:r>
      <w:r w:rsidRPr="00BF42B7">
        <w:rPr>
          <w:spacing w:val="2"/>
          <w:szCs w:val="21"/>
        </w:rPr>
        <w:t>是本条款草案所设想的外部援助的重要组成部分。</w:t>
      </w:r>
      <w:r w:rsidRPr="00BF42B7">
        <w:rPr>
          <w:rFonts w:hint="eastAsia"/>
          <w:spacing w:val="2"/>
          <w:szCs w:val="21"/>
        </w:rPr>
        <w:t>这一措辞是从第</w:t>
      </w:r>
      <w:r w:rsidRPr="00BF42B7">
        <w:rPr>
          <w:spacing w:val="2"/>
          <w:szCs w:val="21"/>
        </w:rPr>
        <w:t>1</w:t>
      </w:r>
      <w:r w:rsidRPr="00BF42B7">
        <w:rPr>
          <w:rFonts w:hint="eastAsia"/>
          <w:spacing w:val="2"/>
          <w:szCs w:val="21"/>
        </w:rPr>
        <w:t>5</w:t>
      </w:r>
      <w:r w:rsidRPr="00BF42B7">
        <w:rPr>
          <w:rFonts w:hint="eastAsia"/>
          <w:spacing w:val="2"/>
          <w:szCs w:val="21"/>
        </w:rPr>
        <w:t>条草案的评注</w:t>
      </w:r>
      <w:r w:rsidRPr="00BF42B7">
        <w:rPr>
          <w:color w:val="0000FF"/>
          <w:spacing w:val="2"/>
          <w:szCs w:val="21"/>
          <w:vertAlign w:val="superscript"/>
          <w:lang w:val="en-GB"/>
        </w:rPr>
        <w:footnoteReference w:id="34"/>
      </w:r>
      <w:r w:rsidRPr="00BF42B7">
        <w:rPr>
          <w:color w:val="0000FF"/>
          <w:spacing w:val="2"/>
          <w:szCs w:val="21"/>
          <w:vertAlign w:val="superscript"/>
          <w:lang w:val="en-GB"/>
        </w:rPr>
        <w:t xml:space="preserve"> </w:t>
      </w:r>
      <w:r w:rsidRPr="00BF42B7">
        <w:rPr>
          <w:rFonts w:hint="eastAsia"/>
          <w:spacing w:val="2"/>
          <w:szCs w:val="21"/>
        </w:rPr>
        <w:t>及国际法学会人道主义援助决议</w:t>
      </w:r>
      <w:r w:rsidRPr="00BF42B7">
        <w:rPr>
          <w:rStyle w:val="a5"/>
          <w:spacing w:val="2"/>
          <w:szCs w:val="21"/>
        </w:rPr>
        <w:footnoteReference w:id="35"/>
      </w:r>
      <w:r w:rsidR="009C15B9" w:rsidRPr="00BF42B7">
        <w:rPr>
          <w:rFonts w:hint="eastAsia"/>
          <w:color w:val="0000FF"/>
          <w:spacing w:val="2"/>
          <w:szCs w:val="21"/>
          <w:vertAlign w:val="superscript"/>
        </w:rPr>
        <w:t xml:space="preserve"> </w:t>
      </w:r>
      <w:r w:rsidRPr="00BF42B7">
        <w:rPr>
          <w:rFonts w:hint="eastAsia"/>
          <w:szCs w:val="21"/>
        </w:rPr>
        <w:t>里吸取的。</w:t>
      </w:r>
      <w:r w:rsidRPr="00BF42B7">
        <w:rPr>
          <w:szCs w:val="21"/>
        </w:rPr>
        <w:t>该清单涵盖了普遍认为有必要提供的救灾援助物质的类型。提及</w:t>
      </w:r>
      <w:r w:rsidRPr="00BF42B7">
        <w:rPr>
          <w:rFonts w:hint="eastAsia"/>
          <w:szCs w:val="21"/>
        </w:rPr>
        <w:t>“</w:t>
      </w:r>
      <w:r w:rsidRPr="00BF42B7">
        <w:rPr>
          <w:szCs w:val="21"/>
        </w:rPr>
        <w:t>其他物品</w:t>
      </w:r>
      <w:r w:rsidRPr="00BF42B7">
        <w:rPr>
          <w:rFonts w:hint="eastAsia"/>
          <w:szCs w:val="21"/>
        </w:rPr>
        <w:t>”</w:t>
      </w:r>
      <w:r w:rsidRPr="00BF42B7">
        <w:rPr>
          <w:szCs w:val="21"/>
        </w:rPr>
        <w:t>是为了确认该列表并不是详尽无遗。</w:t>
      </w:r>
    </w:p>
    <w:p w:rsidR="00103498" w:rsidRPr="00BF42B7" w:rsidRDefault="00103498" w:rsidP="00103498">
      <w:pPr>
        <w:pStyle w:val="SingleTxtGC"/>
        <w:rPr>
          <w:szCs w:val="21"/>
          <w:lang w:val="en-GB"/>
        </w:rPr>
      </w:pPr>
      <w:r w:rsidRPr="00BF42B7">
        <w:rPr>
          <w:szCs w:val="21"/>
          <w:lang w:val="en-GB"/>
        </w:rPr>
        <w:t xml:space="preserve">(31)  </w:t>
      </w:r>
      <w:r w:rsidRPr="00BF42B7">
        <w:rPr>
          <w:rFonts w:hint="eastAsia"/>
          <w:szCs w:val="21"/>
        </w:rPr>
        <w:t>一般来说，设想到的有两种材料：救灾人员履行职责所需要的技术“设备”，这里既指他们自己维持生存所需要的设备，也指他们救灾所需要的东西，例如消耗品、物理工具和电子工具、机器和电信设备等；以及灾害受害者满足生存和基本需要所需的“物资”，例如食品、饮用水、医疗用品、栖身手段、衣物和铺盖用品等。</w:t>
      </w:r>
      <w:r w:rsidRPr="00BF42B7">
        <w:rPr>
          <w:szCs w:val="21"/>
        </w:rPr>
        <w:t>对于</w:t>
      </w:r>
      <w:r w:rsidRPr="00BF42B7">
        <w:rPr>
          <w:rFonts w:hint="eastAsia"/>
          <w:szCs w:val="21"/>
        </w:rPr>
        <w:t>“</w:t>
      </w:r>
      <w:r w:rsidRPr="00BF42B7">
        <w:rPr>
          <w:szCs w:val="21"/>
        </w:rPr>
        <w:t>经过专门训练的动物</w:t>
      </w:r>
      <w:r w:rsidRPr="00BF42B7">
        <w:rPr>
          <w:rFonts w:hint="eastAsia"/>
          <w:szCs w:val="21"/>
        </w:rPr>
        <w:t>”</w:t>
      </w:r>
      <w:r w:rsidRPr="00BF42B7">
        <w:rPr>
          <w:szCs w:val="21"/>
        </w:rPr>
        <w:t>一语，人们会具体想到搜救犬，这一短语来自《京都公约》的专项附件</w:t>
      </w:r>
      <w:r w:rsidRPr="00BF42B7">
        <w:rPr>
          <w:szCs w:val="21"/>
        </w:rPr>
        <w:t>J</w:t>
      </w:r>
      <w:r w:rsidRPr="00BF42B7">
        <w:rPr>
          <w:szCs w:val="21"/>
        </w:rPr>
        <w:t>。</w:t>
      </w:r>
      <w:r w:rsidRPr="00BF42B7">
        <w:rPr>
          <w:color w:val="0000FF"/>
          <w:szCs w:val="21"/>
          <w:vertAlign w:val="superscript"/>
          <w:lang w:val="en-GB"/>
        </w:rPr>
        <w:footnoteReference w:id="36"/>
      </w:r>
      <w:r w:rsidRPr="00BF42B7">
        <w:rPr>
          <w:color w:val="0000FF"/>
          <w:szCs w:val="21"/>
          <w:vertAlign w:val="superscript"/>
          <w:lang w:val="en-GB"/>
        </w:rPr>
        <w:t xml:space="preserve"> </w:t>
      </w:r>
      <w:r w:rsidRPr="00BF42B7">
        <w:rPr>
          <w:rFonts w:hint="eastAsia"/>
          <w:szCs w:val="21"/>
        </w:rPr>
        <w:t>委员会认为定义具有足够的灵活性，还可包括救灾人员可能提供的服务。</w:t>
      </w:r>
    </w:p>
    <w:p w:rsidR="00103498" w:rsidRPr="00BF42B7" w:rsidRDefault="00103498" w:rsidP="00CD12D6">
      <w:pPr>
        <w:pStyle w:val="H23GC"/>
        <w:ind w:left="1554"/>
        <w:rPr>
          <w:lang w:val="fr-CH"/>
        </w:rPr>
      </w:pPr>
      <w:bookmarkStart w:id="25" w:name="TOC304454278"/>
      <w:bookmarkStart w:id="26" w:name="_Toc398107257"/>
      <w:r w:rsidRPr="00BF42B7">
        <w:rPr>
          <w:rFonts w:hint="eastAsia"/>
          <w:lang w:val="fr-CH"/>
        </w:rPr>
        <w:tab/>
      </w:r>
      <w:r w:rsidRPr="00BF42B7">
        <w:rPr>
          <w:rFonts w:hint="eastAsia"/>
          <w:lang w:val="fr-CH"/>
        </w:rPr>
        <w:tab/>
      </w:r>
      <w:r w:rsidRPr="00BF42B7">
        <w:rPr>
          <w:rFonts w:hint="eastAsia"/>
          <w:lang w:val="fr-CH"/>
        </w:rPr>
        <w:t>第</w:t>
      </w:r>
      <w:r w:rsidRPr="00BF42B7">
        <w:rPr>
          <w:lang w:val="fr-CH"/>
        </w:rPr>
        <w:t>4</w:t>
      </w:r>
      <w:r w:rsidRPr="00BF42B7">
        <w:rPr>
          <w:rFonts w:hint="eastAsia"/>
          <w:lang w:val="fr-CH"/>
        </w:rPr>
        <w:t>条</w:t>
      </w:r>
      <w:r w:rsidRPr="00BF42B7">
        <w:rPr>
          <w:lang w:val="fr-CH"/>
        </w:rPr>
        <w:br/>
      </w:r>
      <w:r w:rsidRPr="00BF42B7">
        <w:rPr>
          <w:rFonts w:hint="eastAsia"/>
          <w:lang w:val="fr-CH"/>
        </w:rPr>
        <w:t>人的尊严</w:t>
      </w:r>
    </w:p>
    <w:p w:rsidR="00103498" w:rsidRPr="00BF42B7" w:rsidRDefault="00103498" w:rsidP="00CD12D6">
      <w:pPr>
        <w:pStyle w:val="SingleTxtGC"/>
        <w:tabs>
          <w:tab w:val="clear" w:pos="431"/>
          <w:tab w:val="clear" w:pos="1134"/>
          <w:tab w:val="clear" w:pos="1565"/>
        </w:tabs>
        <w:ind w:left="1554"/>
      </w:pPr>
      <w:r w:rsidRPr="00BF42B7">
        <w:rPr>
          <w:lang w:val="zh-CN"/>
        </w:rPr>
        <w:tab/>
      </w:r>
      <w:r w:rsidRPr="00BF42B7">
        <w:rPr>
          <w:lang w:val="zh-CN"/>
        </w:rPr>
        <w:t>发生灾害时，人的固有尊严应得到尊重和保护</w:t>
      </w:r>
      <w:r w:rsidRPr="00BF42B7">
        <w:rPr>
          <w:rFonts w:hint="eastAsia"/>
          <w:lang w:val="fr-CH"/>
        </w:rPr>
        <w:t>。</w:t>
      </w:r>
    </w:p>
    <w:p w:rsidR="00103498" w:rsidRPr="00BF42B7" w:rsidRDefault="00103498" w:rsidP="00B46738">
      <w:pPr>
        <w:pStyle w:val="H23GC"/>
        <w:rPr>
          <w:lang w:val="en-GB"/>
        </w:rPr>
      </w:pPr>
      <w:r w:rsidRPr="00BF42B7">
        <w:rPr>
          <w:rFonts w:hint="eastAsia"/>
        </w:rPr>
        <w:tab/>
      </w:r>
      <w:r w:rsidRPr="00BF42B7">
        <w:rPr>
          <w:rFonts w:hint="eastAsia"/>
        </w:rPr>
        <w:tab/>
      </w:r>
      <w:r w:rsidRPr="00BF42B7">
        <w:rPr>
          <w:rFonts w:hint="eastAsia"/>
        </w:rPr>
        <w:t>评注</w:t>
      </w:r>
      <w:bookmarkEnd w:id="25"/>
      <w:bookmarkEnd w:id="26"/>
    </w:p>
    <w:p w:rsidR="00103498" w:rsidRPr="00BF42B7" w:rsidRDefault="00103498" w:rsidP="00B46738">
      <w:pPr>
        <w:pStyle w:val="SingleTxtGC"/>
        <w:rPr>
          <w:lang w:val="en-GB"/>
        </w:rPr>
      </w:pPr>
      <w:r w:rsidRPr="00BF42B7">
        <w:rPr>
          <w:lang w:val="en-GB"/>
        </w:rPr>
        <w:t xml:space="preserve">(1)  </w:t>
      </w:r>
      <w:r w:rsidRPr="00BF42B7">
        <w:rPr>
          <w:rFonts w:hint="eastAsia"/>
          <w:lang w:val="en-GB"/>
        </w:rPr>
        <w:t>第</w:t>
      </w:r>
      <w:r w:rsidRPr="00BF42B7">
        <w:rPr>
          <w:rFonts w:hint="eastAsia"/>
        </w:rPr>
        <w:t>4</w:t>
      </w:r>
      <w:r w:rsidRPr="00BF42B7">
        <w:rPr>
          <w:rFonts w:hint="eastAsia"/>
        </w:rPr>
        <w:t>条草案论述的是应对灾害背景下人的尊严原则。人的尊严是指导并支持国际人权法律的核心原则。</w:t>
      </w:r>
      <w:r w:rsidRPr="00BF42B7">
        <w:t>在发生灾害时保护人员的问题上，人的尊严是一个指导原则，对任何提供救助的行动及应对灾害方面的法律的不断发展都是如此。</w:t>
      </w:r>
      <w:r w:rsidRPr="00BF42B7">
        <w:rPr>
          <w:rFonts w:hint="eastAsia"/>
        </w:rPr>
        <w:t>委员会认为，这条原则在灾害条件下保护人员问题上的核心地位就是</w:t>
      </w:r>
      <w:r w:rsidRPr="00BF42B7">
        <w:t>将</w:t>
      </w:r>
      <w:r w:rsidRPr="00BF42B7">
        <w:rPr>
          <w:rFonts w:hint="eastAsia"/>
        </w:rPr>
        <w:t>“</w:t>
      </w:r>
      <w:r w:rsidRPr="00BF42B7">
        <w:t>人的尊严</w:t>
      </w:r>
      <w:r w:rsidRPr="00BF42B7">
        <w:rPr>
          <w:rFonts w:hint="eastAsia"/>
        </w:rPr>
        <w:t>”</w:t>
      </w:r>
      <w:r w:rsidRPr="00BF42B7">
        <w:t>列入作为草案正文的一项单独、自主条款的</w:t>
      </w:r>
      <w:r w:rsidRPr="00BF42B7">
        <w:rPr>
          <w:rFonts w:hint="eastAsia"/>
        </w:rPr>
        <w:t>充分理由。</w:t>
      </w:r>
    </w:p>
    <w:p w:rsidR="00103498" w:rsidRPr="00BF42B7" w:rsidRDefault="00103498" w:rsidP="00B46738">
      <w:pPr>
        <w:pStyle w:val="SingleTxtGC"/>
      </w:pPr>
      <w:r w:rsidRPr="00BF42B7">
        <w:rPr>
          <w:lang w:val="en-GB"/>
        </w:rPr>
        <w:t xml:space="preserve">(2)  </w:t>
      </w:r>
      <w:r w:rsidRPr="00BF42B7">
        <w:rPr>
          <w:rFonts w:hint="eastAsia"/>
        </w:rPr>
        <w:t>人的尊严这一原则维系着国际人权文书，一直以来都将其解读为人权法律最根本的基础。</w:t>
      </w:r>
      <w:r w:rsidRPr="00BF42B7">
        <w:t>《联合国宪章》的序言中再次肯定了</w:t>
      </w:r>
      <w:r w:rsidRPr="00BF42B7">
        <w:rPr>
          <w:rFonts w:hint="eastAsia"/>
        </w:rPr>
        <w:t>“</w:t>
      </w:r>
      <w:r w:rsidRPr="00BF42B7">
        <w:t>人格尊严和价值</w:t>
      </w:r>
      <w:r w:rsidRPr="00BF42B7">
        <w:rPr>
          <w:rFonts w:hint="eastAsia"/>
        </w:rPr>
        <w:t>”</w:t>
      </w:r>
      <w:r w:rsidRPr="00BF42B7">
        <w:t>，同时</w:t>
      </w:r>
      <w:r w:rsidRPr="00BF42B7">
        <w:t>1948</w:t>
      </w:r>
      <w:r w:rsidRPr="00BF42B7">
        <w:t>年《世界人权宣言》</w:t>
      </w:r>
      <w:bookmarkStart w:id="27" w:name="_Ref450664539"/>
      <w:r w:rsidRPr="00BF42B7">
        <w:rPr>
          <w:color w:val="0000FF"/>
          <w:vertAlign w:val="superscript"/>
          <w:lang w:val="en-GB"/>
        </w:rPr>
        <w:footnoteReference w:id="37"/>
      </w:r>
      <w:bookmarkEnd w:id="27"/>
      <w:r w:rsidRPr="00BF42B7">
        <w:rPr>
          <w:color w:val="0000FF"/>
          <w:vertAlign w:val="superscript"/>
          <w:lang w:val="en-GB"/>
        </w:rPr>
        <w:t xml:space="preserve"> </w:t>
      </w:r>
      <w:r w:rsidRPr="00BF42B7">
        <w:t>序言称，</w:t>
      </w:r>
      <w:r w:rsidRPr="00BF42B7">
        <w:rPr>
          <w:rFonts w:hint="eastAsia"/>
        </w:rPr>
        <w:t>“</w:t>
      </w:r>
      <w:r w:rsidRPr="00BF42B7">
        <w:t>对人类家庭所有成员的固有尊严</w:t>
      </w:r>
      <w:r w:rsidRPr="00BF42B7">
        <w:t>[</w:t>
      </w:r>
      <w:r w:rsidRPr="00BF42B7">
        <w:rPr>
          <w:rFonts w:hint="eastAsia"/>
          <w:lang w:val="fr-CH"/>
        </w:rPr>
        <w:t>……</w:t>
      </w:r>
      <w:r w:rsidRPr="00BF42B7">
        <w:t>]</w:t>
      </w:r>
      <w:r w:rsidRPr="00BF42B7">
        <w:t>的承认，乃是世界自由、正义与和平的基础</w:t>
      </w:r>
      <w:r w:rsidRPr="00BF42B7">
        <w:rPr>
          <w:rFonts w:hint="eastAsia"/>
        </w:rPr>
        <w:t>”</w:t>
      </w:r>
      <w:r w:rsidRPr="00BF42B7">
        <w:t>。</w:t>
      </w:r>
      <w:r w:rsidRPr="00BF42B7">
        <w:rPr>
          <w:rFonts w:hint="eastAsia"/>
        </w:rPr>
        <w:t>下列文书中都肯定了人的尊严这一原则：《公民权利和政治权利国际公约》、</w:t>
      </w:r>
      <w:r w:rsidRPr="00BF42B7">
        <w:rPr>
          <w:color w:val="0000FF"/>
          <w:vertAlign w:val="superscript"/>
        </w:rPr>
        <w:footnoteReference w:id="38"/>
      </w:r>
      <w:r w:rsidRPr="00BF42B7">
        <w:rPr>
          <w:color w:val="0000FF"/>
          <w:vertAlign w:val="superscript"/>
        </w:rPr>
        <w:t xml:space="preserve"> </w:t>
      </w:r>
      <w:r w:rsidRPr="00BF42B7">
        <w:rPr>
          <w:rFonts w:hint="eastAsia"/>
        </w:rPr>
        <w:t>《经济、社会和文化权利国际公约》、</w:t>
      </w:r>
      <w:r w:rsidRPr="00BF42B7">
        <w:rPr>
          <w:color w:val="0000FF"/>
          <w:vertAlign w:val="superscript"/>
        </w:rPr>
        <w:footnoteReference w:id="39"/>
      </w:r>
      <w:r w:rsidRPr="00BF42B7">
        <w:rPr>
          <w:color w:val="0000FF"/>
          <w:vertAlign w:val="superscript"/>
        </w:rPr>
        <w:t xml:space="preserve"> </w:t>
      </w:r>
      <w:r w:rsidRPr="00BF42B7">
        <w:rPr>
          <w:rFonts w:hint="eastAsia"/>
        </w:rPr>
        <w:t>《消除一切形式种族歧视国际公约》</w:t>
      </w:r>
      <w:r w:rsidRPr="00BF42B7">
        <w:rPr>
          <w:color w:val="0000FF"/>
          <w:vertAlign w:val="superscript"/>
        </w:rPr>
        <w:footnoteReference w:id="40"/>
      </w:r>
      <w:r w:rsidRPr="00BF42B7">
        <w:rPr>
          <w:color w:val="0000FF"/>
          <w:vertAlign w:val="superscript"/>
        </w:rPr>
        <w:t xml:space="preserve"> </w:t>
      </w:r>
      <w:r w:rsidRPr="00BF42B7">
        <w:rPr>
          <w:rFonts w:hint="eastAsia"/>
        </w:rPr>
        <w:t>、《消除对妇女一切形式歧视公约任择议定书》、</w:t>
      </w:r>
      <w:r w:rsidRPr="00BF42B7">
        <w:rPr>
          <w:color w:val="0000FF"/>
          <w:vertAlign w:val="superscript"/>
        </w:rPr>
        <w:footnoteReference w:id="41"/>
      </w:r>
      <w:r w:rsidRPr="00BF42B7">
        <w:rPr>
          <w:color w:val="0000FF"/>
          <w:vertAlign w:val="superscript"/>
        </w:rPr>
        <w:t xml:space="preserve"> </w:t>
      </w:r>
      <w:r w:rsidRPr="00BF42B7">
        <w:rPr>
          <w:rFonts w:hint="eastAsia"/>
        </w:rPr>
        <w:t>《禁止酷刑和其他残忍、不人道或有辱人格的待遇或处罚公约》</w:t>
      </w:r>
      <w:r w:rsidRPr="00BF42B7">
        <w:rPr>
          <w:color w:val="0000FF"/>
          <w:vertAlign w:val="superscript"/>
        </w:rPr>
        <w:footnoteReference w:id="42"/>
      </w:r>
      <w:r w:rsidRPr="00BF42B7">
        <w:rPr>
          <w:color w:val="0000FF"/>
          <w:vertAlign w:val="superscript"/>
        </w:rPr>
        <w:t xml:space="preserve"> </w:t>
      </w:r>
      <w:r w:rsidRPr="00BF42B7">
        <w:rPr>
          <w:rFonts w:hint="eastAsia"/>
        </w:rPr>
        <w:t>、《儿童权利公约》</w:t>
      </w:r>
      <w:r w:rsidRPr="00BF42B7">
        <w:rPr>
          <w:color w:val="0000FF"/>
          <w:vertAlign w:val="superscript"/>
        </w:rPr>
        <w:footnoteReference w:id="43"/>
      </w:r>
      <w:r w:rsidRPr="00BF42B7">
        <w:rPr>
          <w:color w:val="0000FF"/>
          <w:vertAlign w:val="superscript"/>
        </w:rPr>
        <w:t xml:space="preserve"> </w:t>
      </w:r>
      <w:r w:rsidRPr="00BF42B7">
        <w:rPr>
          <w:rFonts w:hint="eastAsia"/>
        </w:rPr>
        <w:t>以及《残疾人权利公约》。</w:t>
      </w:r>
      <w:r w:rsidRPr="00BF42B7">
        <w:rPr>
          <w:rStyle w:val="a5"/>
          <w:szCs w:val="21"/>
        </w:rPr>
        <w:footnoteReference w:id="44"/>
      </w:r>
      <w:r w:rsidR="009C15B9" w:rsidRPr="00BF42B7">
        <w:rPr>
          <w:rFonts w:hint="eastAsia"/>
        </w:rPr>
        <w:t xml:space="preserve"> </w:t>
      </w:r>
      <w:r w:rsidRPr="00BF42B7">
        <w:rPr>
          <w:rFonts w:hint="eastAsia"/>
        </w:rPr>
        <w:t>该原则在国际人权法领域也处于中心地位。关于保护战争受难者的《日内瓦四公约》</w:t>
      </w:r>
      <w:r w:rsidRPr="00BF42B7">
        <w:rPr>
          <w:rFonts w:hint="eastAsia"/>
        </w:rPr>
        <w:t>(</w:t>
      </w:r>
      <w:r w:rsidRPr="00BF42B7">
        <w:rPr>
          <w:rFonts w:hint="eastAsia"/>
        </w:rPr>
        <w:t>下称《</w:t>
      </w:r>
      <w:r w:rsidRPr="00BF42B7">
        <w:t>1949</w:t>
      </w:r>
      <w:r w:rsidRPr="00BF42B7">
        <w:rPr>
          <w:rFonts w:hint="eastAsia"/>
          <w:spacing w:val="2"/>
        </w:rPr>
        <w:t>年日内瓦四公约》共同第三条第一</w:t>
      </w:r>
      <w:r w:rsidRPr="00BF42B7">
        <w:rPr>
          <w:spacing w:val="2"/>
        </w:rPr>
        <w:t>(</w:t>
      </w:r>
      <w:r w:rsidRPr="00BF42B7">
        <w:rPr>
          <w:rFonts w:hint="eastAsia"/>
          <w:spacing w:val="2"/>
        </w:rPr>
        <w:t>丙</w:t>
      </w:r>
      <w:r w:rsidRPr="00BF42B7">
        <w:rPr>
          <w:spacing w:val="2"/>
        </w:rPr>
        <w:t>)</w:t>
      </w:r>
      <w:r w:rsidRPr="00BF42B7">
        <w:rPr>
          <w:rFonts w:hint="eastAsia"/>
          <w:spacing w:val="2"/>
        </w:rPr>
        <w:t>款、</w:t>
      </w:r>
      <w:r w:rsidRPr="00BF42B7">
        <w:rPr>
          <w:color w:val="0000FF"/>
          <w:spacing w:val="2"/>
          <w:vertAlign w:val="superscript"/>
        </w:rPr>
        <w:footnoteReference w:id="45"/>
      </w:r>
      <w:r w:rsidRPr="00BF42B7">
        <w:rPr>
          <w:color w:val="0000FF"/>
          <w:spacing w:val="2"/>
          <w:vertAlign w:val="superscript"/>
        </w:rPr>
        <w:t xml:space="preserve"> </w:t>
      </w:r>
      <w:r w:rsidRPr="00BF42B7">
        <w:rPr>
          <w:rFonts w:hint="eastAsia"/>
          <w:spacing w:val="2"/>
        </w:rPr>
        <w:t>第一议定书第七十五和第八十五条</w:t>
      </w:r>
      <w:r w:rsidRPr="00BF42B7">
        <w:rPr>
          <w:color w:val="0000FF"/>
          <w:spacing w:val="2"/>
          <w:vertAlign w:val="superscript"/>
        </w:rPr>
        <w:footnoteReference w:id="46"/>
      </w:r>
      <w:r w:rsidRPr="00BF42B7">
        <w:rPr>
          <w:color w:val="0000FF"/>
          <w:vertAlign w:val="superscript"/>
        </w:rPr>
        <w:t xml:space="preserve"> </w:t>
      </w:r>
      <w:r w:rsidRPr="00BF42B7">
        <w:rPr>
          <w:rFonts w:hint="eastAsia"/>
        </w:rPr>
        <w:t>以及第二议定书第四条中承认了人的尊严。</w:t>
      </w:r>
      <w:r w:rsidRPr="00BF42B7">
        <w:rPr>
          <w:color w:val="0000FF"/>
          <w:vertAlign w:val="superscript"/>
        </w:rPr>
        <w:footnoteReference w:id="47"/>
      </w:r>
      <w:r w:rsidRPr="00BF42B7">
        <w:rPr>
          <w:color w:val="0000FF"/>
          <w:vertAlign w:val="superscript"/>
        </w:rPr>
        <w:t xml:space="preserve"> </w:t>
      </w:r>
    </w:p>
    <w:p w:rsidR="00103498" w:rsidRPr="00BF42B7" w:rsidRDefault="00103498" w:rsidP="00B46738">
      <w:pPr>
        <w:pStyle w:val="SingleTxtGC"/>
        <w:rPr>
          <w:lang w:val="en-GB"/>
        </w:rPr>
      </w:pPr>
      <w:r w:rsidRPr="00BF42B7">
        <w:rPr>
          <w:lang w:val="en-GB"/>
        </w:rPr>
        <w:t xml:space="preserve">(3)  </w:t>
      </w:r>
      <w:r w:rsidRPr="00BF42B7">
        <w:rPr>
          <w:rFonts w:hint="eastAsia"/>
        </w:rPr>
        <w:t>众多关于发生灾害时提供人道主义援助的国际文书也以人的尊严这一概念为核心。</w:t>
      </w:r>
      <w:r w:rsidRPr="00BF42B7">
        <w:t>红十字与红新月联会《导则》称，</w:t>
      </w:r>
      <w:r w:rsidRPr="00BF42B7">
        <w:rPr>
          <w:rFonts w:hint="eastAsia"/>
        </w:rPr>
        <w:t>“</w:t>
      </w:r>
      <w:r w:rsidRPr="00BF42B7">
        <w:t>援助方及其人员应</w:t>
      </w:r>
      <w:r w:rsidRPr="00BF42B7">
        <w:t>[</w:t>
      </w:r>
      <w:r w:rsidRPr="00BF42B7">
        <w:rPr>
          <w:rFonts w:hint="eastAsia"/>
          <w:lang w:val="fr-CH"/>
        </w:rPr>
        <w:t>……</w:t>
      </w:r>
      <w:r w:rsidRPr="00BF42B7">
        <w:t>]</w:t>
      </w:r>
      <w:r w:rsidRPr="00BF42B7">
        <w:t>时刻尊重受灾人员的尊严</w:t>
      </w:r>
      <w:r w:rsidRPr="00BF42B7">
        <w:rPr>
          <w:rFonts w:hint="eastAsia"/>
        </w:rPr>
        <w:t>”</w:t>
      </w:r>
      <w:r w:rsidRPr="00BF42B7">
        <w:t>。</w:t>
      </w:r>
      <w:r w:rsidRPr="00BF42B7">
        <w:rPr>
          <w:color w:val="0000FF"/>
          <w:vertAlign w:val="superscript"/>
          <w:lang w:val="en-GB"/>
        </w:rPr>
        <w:footnoteReference w:id="48"/>
      </w:r>
      <w:r w:rsidRPr="00BF42B7">
        <w:rPr>
          <w:color w:val="0000FF"/>
          <w:vertAlign w:val="superscript"/>
          <w:lang w:val="en-GB"/>
        </w:rPr>
        <w:t xml:space="preserve"> </w:t>
      </w:r>
      <w:r w:rsidRPr="00BF42B7">
        <w:rPr>
          <w:rFonts w:hint="eastAsia"/>
        </w:rPr>
        <w:t>大会</w:t>
      </w:r>
      <w:r w:rsidRPr="00BF42B7">
        <w:rPr>
          <w:rFonts w:hint="eastAsia"/>
        </w:rPr>
        <w:t>1990</w:t>
      </w:r>
      <w:r w:rsidRPr="00BF42B7">
        <w:rPr>
          <w:rFonts w:hint="eastAsia"/>
        </w:rPr>
        <w:t>年</w:t>
      </w:r>
      <w:r w:rsidRPr="00BF42B7">
        <w:rPr>
          <w:rFonts w:hint="eastAsia"/>
        </w:rPr>
        <w:t>12</w:t>
      </w:r>
      <w:r w:rsidRPr="00BF42B7">
        <w:rPr>
          <w:rFonts w:hint="eastAsia"/>
        </w:rPr>
        <w:t>月</w:t>
      </w:r>
      <w:r w:rsidRPr="00BF42B7">
        <w:rPr>
          <w:rFonts w:hint="eastAsia"/>
        </w:rPr>
        <w:t>14</w:t>
      </w:r>
      <w:r w:rsidRPr="00BF42B7">
        <w:rPr>
          <w:rFonts w:hint="eastAsia"/>
        </w:rPr>
        <w:t>日第</w:t>
      </w:r>
      <w:hyperlink r:id="rId53" w:history="1">
        <w:r w:rsidRPr="007F0135">
          <w:rPr>
            <w:rStyle w:val="af"/>
          </w:rPr>
          <w:t>45/100</w:t>
        </w:r>
      </w:hyperlink>
      <w:r w:rsidRPr="00BF42B7">
        <w:rPr>
          <w:rFonts w:hint="eastAsia"/>
        </w:rPr>
        <w:t>号决议称，“对自然灾害及类似紧急情况的受害者置之不理且未向其提供人道主义援助，构成威胁人的生命及侵犯人的尊严”。</w:t>
      </w:r>
      <w:r w:rsidRPr="00BF42B7">
        <w:rPr>
          <w:color w:val="0000FF"/>
          <w:vertAlign w:val="superscript"/>
          <w:lang w:val="en-GB"/>
        </w:rPr>
        <w:footnoteReference w:id="49"/>
      </w:r>
      <w:r w:rsidRPr="00BF42B7">
        <w:rPr>
          <w:color w:val="0000FF"/>
          <w:vertAlign w:val="superscript"/>
          <w:lang w:val="en-GB"/>
        </w:rPr>
        <w:t xml:space="preserve"> </w:t>
      </w:r>
      <w:r w:rsidRPr="00BF42B7">
        <w:rPr>
          <w:rFonts w:hint="eastAsia"/>
        </w:rPr>
        <w:t>国际法学会也表示，未向受灾人员提供人道主义援助构成“侵犯人的尊严”。</w:t>
      </w:r>
      <w:r w:rsidRPr="00BF42B7">
        <w:rPr>
          <w:color w:val="0000FF"/>
          <w:vertAlign w:val="superscript"/>
          <w:lang w:val="en-GB"/>
        </w:rPr>
        <w:footnoteReference w:id="50"/>
      </w:r>
      <w:r w:rsidRPr="00BF42B7">
        <w:rPr>
          <w:color w:val="0000FF"/>
          <w:vertAlign w:val="superscript"/>
          <w:lang w:val="en-GB"/>
        </w:rPr>
        <w:t xml:space="preserve"> </w:t>
      </w:r>
    </w:p>
    <w:p w:rsidR="00103498" w:rsidRPr="00BF42B7" w:rsidRDefault="00103498" w:rsidP="00B46738">
      <w:pPr>
        <w:pStyle w:val="SingleTxtGC"/>
        <w:rPr>
          <w:lang w:val="en-GB"/>
        </w:rPr>
      </w:pPr>
      <w:r w:rsidRPr="00BF42B7">
        <w:rPr>
          <w:lang w:val="en-GB"/>
        </w:rPr>
        <w:t xml:space="preserve">(4)  </w:t>
      </w:r>
      <w:r w:rsidRPr="00BF42B7">
        <w:rPr>
          <w:rFonts w:hint="eastAsia"/>
        </w:rPr>
        <w:t>委员会采用的该原则的确切表述为“人的固有尊严”，该表述来自《经济、社会和文化权利国际公约》序言及《公民权利和政治权利国际公约》第十条第</w:t>
      </w:r>
      <w:r w:rsidRPr="00BF42B7">
        <w:t>1</w:t>
      </w:r>
      <w:r w:rsidRPr="00BF42B7">
        <w:rPr>
          <w:rFonts w:hint="eastAsia"/>
        </w:rPr>
        <w:t>款。</w:t>
      </w:r>
      <w:r w:rsidRPr="00BF42B7">
        <w:t>《儿童权利公约》</w:t>
      </w:r>
      <w:r w:rsidRPr="00BF42B7">
        <w:rPr>
          <w:color w:val="0000FF"/>
          <w:vertAlign w:val="superscript"/>
          <w:lang w:val="en-GB"/>
        </w:rPr>
        <w:footnoteReference w:id="51"/>
      </w:r>
      <w:r w:rsidRPr="00BF42B7">
        <w:rPr>
          <w:color w:val="0000FF"/>
          <w:vertAlign w:val="superscript"/>
          <w:lang w:val="en-GB"/>
        </w:rPr>
        <w:t xml:space="preserve"> </w:t>
      </w:r>
      <w:r w:rsidRPr="00BF42B7">
        <w:t>、《美洲人权公约》</w:t>
      </w:r>
      <w:r w:rsidRPr="00BF42B7">
        <w:rPr>
          <w:color w:val="0000FF"/>
          <w:vertAlign w:val="superscript"/>
          <w:lang w:val="en-GB"/>
        </w:rPr>
        <w:footnoteReference w:id="52"/>
      </w:r>
      <w:r w:rsidRPr="00BF42B7">
        <w:rPr>
          <w:color w:val="0000FF"/>
          <w:vertAlign w:val="superscript"/>
          <w:lang w:val="en-GB"/>
        </w:rPr>
        <w:t xml:space="preserve"> </w:t>
      </w:r>
      <w:r w:rsidRPr="00BF42B7">
        <w:t>等文书也采用了这一表述。</w:t>
      </w:r>
    </w:p>
    <w:p w:rsidR="00103498" w:rsidRPr="00BF42B7" w:rsidRDefault="00103498" w:rsidP="00B46738">
      <w:pPr>
        <w:pStyle w:val="SingleTxtGC"/>
        <w:rPr>
          <w:lang w:val="en-GB"/>
        </w:rPr>
      </w:pPr>
      <w:r w:rsidRPr="00BF42B7">
        <w:rPr>
          <w:lang w:val="en-GB"/>
        </w:rPr>
        <w:t xml:space="preserve">(5)  </w:t>
      </w:r>
      <w:r w:rsidRPr="00BF42B7">
        <w:rPr>
          <w:rFonts w:hint="eastAsia"/>
          <w:lang w:val="en-GB"/>
        </w:rPr>
        <w:t>这条规定没有明确指出对象行为方。可以认为，这条规定只适用于国家，不一定适用于“其他援助方”，因为对依国际法具有保护受灾者尊严法律义务的非国家实体，存在不同的法律方针。无论如何，应把这条规定理解为适用于国家和有能力在国际法下接受义务的援助方</w:t>
      </w:r>
      <w:r w:rsidRPr="00BF42B7">
        <w:rPr>
          <w:rFonts w:hint="eastAsia"/>
          <w:lang w:val="en-GB"/>
        </w:rPr>
        <w:t>(</w:t>
      </w:r>
      <w:r w:rsidRPr="00BF42B7">
        <w:rPr>
          <w:rFonts w:hint="eastAsia"/>
          <w:lang w:val="en-GB"/>
        </w:rPr>
        <w:t>如第</w:t>
      </w:r>
      <w:r w:rsidRPr="00BF42B7">
        <w:rPr>
          <w:rFonts w:hint="eastAsia"/>
          <w:lang w:val="en-GB"/>
        </w:rPr>
        <w:t>3</w:t>
      </w:r>
      <w:r w:rsidRPr="00BF42B7">
        <w:rPr>
          <w:rFonts w:hint="eastAsia"/>
          <w:lang w:val="en-GB"/>
        </w:rPr>
        <w:t>条下的理解</w:t>
      </w:r>
      <w:r w:rsidRPr="00BF42B7">
        <w:rPr>
          <w:rFonts w:hint="eastAsia"/>
          <w:lang w:val="en-GB"/>
        </w:rPr>
        <w:t>)</w:t>
      </w:r>
      <w:r w:rsidRPr="00BF42B7">
        <w:rPr>
          <w:rFonts w:hint="eastAsia"/>
          <w:lang w:val="en-GB"/>
        </w:rPr>
        <w:t>。委员会承认</w:t>
      </w:r>
      <w:r w:rsidRPr="00BF42B7">
        <w:t>受灾国和援助国双方在应对灾害的活动中的作用</w:t>
      </w:r>
      <w:r w:rsidRPr="00BF42B7">
        <w:t>(</w:t>
      </w:r>
      <w:r w:rsidRPr="00BF42B7">
        <w:t>见第</w:t>
      </w:r>
      <w:r w:rsidRPr="00BF42B7">
        <w:t>9</w:t>
      </w:r>
      <w:r w:rsidRPr="00BF42B7">
        <w:t>至第</w:t>
      </w:r>
      <w:r w:rsidRPr="00BF42B7">
        <w:t>1</w:t>
      </w:r>
      <w:r w:rsidRPr="00BF42B7">
        <w:rPr>
          <w:rFonts w:hint="eastAsia"/>
        </w:rPr>
        <w:t>6</w:t>
      </w:r>
      <w:r w:rsidRPr="00BF42B7">
        <w:t>条草案</w:t>
      </w:r>
      <w:r w:rsidRPr="00BF42B7">
        <w:t>)</w:t>
      </w:r>
      <w:r w:rsidRPr="00BF42B7">
        <w:t>。</w:t>
      </w:r>
      <w:r w:rsidRPr="00BF42B7">
        <w:rPr>
          <w:rFonts w:hint="eastAsia"/>
        </w:rPr>
        <w:t>应对灾害领域和一定程度上在减少灾害风险领域的许多活动是由政府间组织、非政府组织及红十字与红新月联会这样的其他非国家实体执行的。</w:t>
      </w:r>
      <w:r w:rsidRPr="00BF42B7">
        <w:rPr>
          <w:color w:val="0000FF"/>
          <w:vertAlign w:val="superscript"/>
          <w:lang w:val="en-GB"/>
        </w:rPr>
        <w:footnoteReference w:id="53"/>
      </w:r>
      <w:r w:rsidRPr="00BF42B7">
        <w:rPr>
          <w:color w:val="0000FF"/>
          <w:vertAlign w:val="superscript"/>
          <w:lang w:val="en-GB"/>
        </w:rPr>
        <w:t xml:space="preserve"> </w:t>
      </w:r>
    </w:p>
    <w:p w:rsidR="00103498" w:rsidRPr="00BF42B7" w:rsidRDefault="00103498" w:rsidP="00B46738">
      <w:pPr>
        <w:pStyle w:val="SingleTxtGC"/>
      </w:pPr>
      <w:r w:rsidRPr="00BF42B7">
        <w:rPr>
          <w:lang w:val="en-GB"/>
        </w:rPr>
        <w:t xml:space="preserve">(6)  </w:t>
      </w:r>
      <w:r w:rsidRPr="00BF42B7">
        <w:rPr>
          <w:rFonts w:hint="eastAsia"/>
        </w:rPr>
        <w:t>“尊重和保护”这一表述，与现代理论和国际人权法的判例相一致。</w:t>
      </w:r>
      <w:r w:rsidRPr="00BF42B7">
        <w:t>若干与抗灾救济有关的文书采用了这一表述，如《奥斯陆准则》、</w:t>
      </w:r>
      <w:r w:rsidRPr="00BF42B7">
        <w:rPr>
          <w:color w:val="0000FF"/>
          <w:vertAlign w:val="superscript"/>
        </w:rPr>
        <w:footnoteReference w:id="54"/>
      </w:r>
      <w:r w:rsidRPr="00BF42B7">
        <w:rPr>
          <w:color w:val="0000FF"/>
          <w:vertAlign w:val="superscript"/>
        </w:rPr>
        <w:t xml:space="preserve"> </w:t>
      </w:r>
      <w:r w:rsidRPr="00BF42B7">
        <w:t>《</w:t>
      </w:r>
      <w:r w:rsidRPr="00BF42B7">
        <w:rPr>
          <w:rFonts w:hint="eastAsia"/>
        </w:rPr>
        <w:t>莫</w:t>
      </w:r>
      <w:r w:rsidRPr="00BF42B7">
        <w:t>洪克标准》、</w:t>
      </w:r>
      <w:bookmarkStart w:id="28" w:name="_Ref457231680"/>
      <w:r w:rsidRPr="00BF42B7">
        <w:rPr>
          <w:color w:val="0000FF"/>
          <w:vertAlign w:val="superscript"/>
        </w:rPr>
        <w:footnoteReference w:id="55"/>
      </w:r>
      <w:bookmarkEnd w:id="28"/>
      <w:r w:rsidRPr="00BF42B7">
        <w:rPr>
          <w:color w:val="0000FF"/>
          <w:vertAlign w:val="superscript"/>
        </w:rPr>
        <w:t xml:space="preserve"> </w:t>
      </w:r>
      <w:r w:rsidRPr="00BF42B7">
        <w:t>《关于境内流离失所问题的指导原则》、</w:t>
      </w:r>
      <w:bookmarkStart w:id="29" w:name="_Ref457226247"/>
      <w:r w:rsidRPr="00BF42B7">
        <w:rPr>
          <w:color w:val="0000FF"/>
          <w:vertAlign w:val="superscript"/>
        </w:rPr>
        <w:footnoteReference w:id="56"/>
      </w:r>
      <w:bookmarkEnd w:id="29"/>
      <w:r w:rsidRPr="00BF42B7">
        <w:rPr>
          <w:color w:val="0000FF"/>
          <w:vertAlign w:val="superscript"/>
        </w:rPr>
        <w:t xml:space="preserve"> </w:t>
      </w:r>
      <w:r w:rsidRPr="00BF42B7">
        <w:t>《人道主义援助权利指导原则》。</w:t>
      </w:r>
      <w:r w:rsidRPr="00BF42B7">
        <w:rPr>
          <w:color w:val="0000FF"/>
          <w:vertAlign w:val="superscript"/>
        </w:rPr>
        <w:footnoteReference w:id="57"/>
      </w:r>
      <w:r w:rsidRPr="00BF42B7">
        <w:rPr>
          <w:color w:val="0000FF"/>
          <w:vertAlign w:val="superscript"/>
        </w:rPr>
        <w:t xml:space="preserve"> </w:t>
      </w:r>
      <w:r w:rsidRPr="00BF42B7">
        <w:rPr>
          <w:rFonts w:hint="eastAsia"/>
        </w:rPr>
        <w:t>“</w:t>
      </w:r>
      <w:r w:rsidRPr="00BF42B7">
        <w:t>尊重和保护</w:t>
      </w:r>
      <w:r w:rsidRPr="00BF42B7">
        <w:rPr>
          <w:rFonts w:hint="eastAsia"/>
        </w:rPr>
        <w:t>”</w:t>
      </w:r>
      <w:r w:rsidRPr="00BF42B7">
        <w:t>并用，意含避免损害人的固有尊严的消极义务，也含采取行动</w:t>
      </w:r>
      <w:r w:rsidRPr="00BF42B7">
        <w:rPr>
          <w:rFonts w:hint="eastAsia"/>
        </w:rPr>
        <w:t>保护</w:t>
      </w:r>
      <w:r w:rsidRPr="00BF42B7">
        <w:t>人的尊严的积极义务。例如，保护的义务</w:t>
      </w:r>
      <w:r w:rsidRPr="00BF42B7">
        <w:rPr>
          <w:rFonts w:hint="eastAsia"/>
        </w:rPr>
        <w:t>可能</w:t>
      </w:r>
      <w:r w:rsidRPr="00BF42B7">
        <w:t>要求各国通过法律，禁止第三方实施可能违反尊重人的尊严原则的活动。委员会认为，</w:t>
      </w:r>
      <w:r w:rsidRPr="00BF42B7">
        <w:rPr>
          <w:rFonts w:hint="eastAsia"/>
        </w:rPr>
        <w:t>“</w:t>
      </w:r>
      <w:r w:rsidRPr="00BF42B7">
        <w:t>保护</w:t>
      </w:r>
      <w:r w:rsidRPr="00BF42B7">
        <w:rPr>
          <w:rFonts w:hint="eastAsia"/>
        </w:rPr>
        <w:t>”</w:t>
      </w:r>
      <w:r w:rsidRPr="00BF42B7">
        <w:t>的义务应与条款中提及的各行为方所承担的法律义务相符。受灾国担负着指导、控制、协调和监督救灾及援助的主要任务，如第</w:t>
      </w:r>
      <w:r w:rsidRPr="00BF42B7">
        <w:t>1</w:t>
      </w:r>
      <w:r w:rsidRPr="00BF42B7">
        <w:rPr>
          <w:rFonts w:hint="eastAsia"/>
        </w:rPr>
        <w:t>0</w:t>
      </w:r>
      <w:r w:rsidRPr="00BF42B7">
        <w:t>条草案第</w:t>
      </w:r>
      <w:r w:rsidRPr="00BF42B7">
        <w:t>2</w:t>
      </w:r>
      <w:r w:rsidRPr="00BF42B7">
        <w:t>段中所述，因此保护人的尊严的义务主要应由受灾国承担。</w:t>
      </w:r>
      <w:r w:rsidRPr="00BF42B7">
        <w:rPr>
          <w:rFonts w:hint="eastAsia"/>
        </w:rPr>
        <w:t>另外，每个国家在如第</w:t>
      </w:r>
      <w:r w:rsidRPr="00BF42B7">
        <w:rPr>
          <w:rFonts w:hint="eastAsia"/>
        </w:rPr>
        <w:t>9</w:t>
      </w:r>
      <w:r w:rsidRPr="00BF42B7">
        <w:rPr>
          <w:rFonts w:hint="eastAsia"/>
        </w:rPr>
        <w:t>条草案所述采取措施减少灾害风险时应遵循</w:t>
      </w:r>
      <w:r w:rsidRPr="00BF42B7">
        <w:t>在应</w:t>
      </w:r>
      <w:r w:rsidRPr="00BF42B7">
        <w:rPr>
          <w:rFonts w:hint="eastAsia"/>
        </w:rPr>
        <w:t>对</w:t>
      </w:r>
      <w:r w:rsidRPr="00BF42B7">
        <w:t>灾</w:t>
      </w:r>
      <w:r w:rsidRPr="00BF42B7">
        <w:rPr>
          <w:rFonts w:hint="eastAsia"/>
        </w:rPr>
        <w:t>害</w:t>
      </w:r>
      <w:r w:rsidRPr="00BF42B7">
        <w:t>时尊重和保护人的固有尊严</w:t>
      </w:r>
      <w:r w:rsidRPr="00BF42B7">
        <w:rPr>
          <w:rFonts w:hint="eastAsia"/>
        </w:rPr>
        <w:t>的义务。</w:t>
      </w:r>
    </w:p>
    <w:p w:rsidR="00103498" w:rsidRPr="00BF42B7" w:rsidRDefault="00103498" w:rsidP="00B46738">
      <w:pPr>
        <w:pStyle w:val="SingleTxtGC"/>
        <w:rPr>
          <w:lang w:val="en-GB"/>
        </w:rPr>
      </w:pPr>
      <w:r w:rsidRPr="00BF42B7">
        <w:rPr>
          <w:lang w:val="en-GB"/>
        </w:rPr>
        <w:t xml:space="preserve">(7)  </w:t>
      </w:r>
      <w:r w:rsidRPr="00BF42B7">
        <w:rPr>
          <w:rFonts w:hint="eastAsia"/>
          <w:lang w:val="en-GB"/>
        </w:rPr>
        <w:t>该条中“发生灾害时”的通用提法与第</w:t>
      </w:r>
      <w:r w:rsidRPr="00BF42B7">
        <w:rPr>
          <w:rFonts w:hint="eastAsia"/>
          <w:lang w:val="en-GB"/>
        </w:rPr>
        <w:t>1</w:t>
      </w:r>
      <w:r w:rsidRPr="00BF42B7">
        <w:rPr>
          <w:rFonts w:hint="eastAsia"/>
          <w:lang w:val="en-GB"/>
        </w:rPr>
        <w:t>条草案的措辞相同，反映出条款草案的一般范围，其中包括减少灾害风险。</w:t>
      </w:r>
    </w:p>
    <w:p w:rsidR="00103498" w:rsidRPr="00BF42B7" w:rsidRDefault="00103498" w:rsidP="00CD12D6">
      <w:pPr>
        <w:pStyle w:val="H23GC"/>
        <w:ind w:left="1554"/>
      </w:pPr>
      <w:bookmarkStart w:id="30" w:name="TOC304454279"/>
      <w:bookmarkStart w:id="31" w:name="_Toc398107258"/>
      <w:r w:rsidRPr="00BF42B7">
        <w:rPr>
          <w:rFonts w:hint="eastAsia"/>
          <w:lang w:val="fr-CH"/>
        </w:rPr>
        <w:tab/>
      </w:r>
      <w:r w:rsidRPr="00BF42B7">
        <w:rPr>
          <w:rFonts w:hint="eastAsia"/>
          <w:lang w:val="fr-CH"/>
        </w:rPr>
        <w:tab/>
      </w:r>
      <w:r w:rsidRPr="00BF42B7">
        <w:rPr>
          <w:rFonts w:hint="eastAsia"/>
          <w:lang w:val="fr-CH"/>
        </w:rPr>
        <w:t>第</w:t>
      </w:r>
      <w:r w:rsidRPr="00BF42B7">
        <w:rPr>
          <w:lang w:val="fr-CH"/>
        </w:rPr>
        <w:t>5</w:t>
      </w:r>
      <w:r w:rsidRPr="00BF42B7">
        <w:rPr>
          <w:rFonts w:hint="eastAsia"/>
          <w:lang w:val="fr-CH"/>
        </w:rPr>
        <w:t>条</w:t>
      </w:r>
      <w:r w:rsidRPr="00BF42B7">
        <w:rPr>
          <w:lang w:val="fr-CH"/>
        </w:rPr>
        <w:br/>
      </w:r>
      <w:r w:rsidRPr="00BF42B7">
        <w:rPr>
          <w:rFonts w:hint="eastAsia"/>
          <w:lang w:val="fr-CH"/>
        </w:rPr>
        <w:t>人权</w:t>
      </w:r>
    </w:p>
    <w:p w:rsidR="00103498" w:rsidRPr="00BF42B7" w:rsidRDefault="00103498" w:rsidP="00CD12D6">
      <w:pPr>
        <w:pStyle w:val="SingleTxtGC"/>
        <w:tabs>
          <w:tab w:val="clear" w:pos="431"/>
          <w:tab w:val="clear" w:pos="1134"/>
          <w:tab w:val="clear" w:pos="1565"/>
        </w:tabs>
        <w:ind w:left="1554"/>
        <w:rPr>
          <w:bCs/>
          <w:lang w:val="fr-CH"/>
        </w:rPr>
      </w:pPr>
      <w:r w:rsidRPr="00BF42B7">
        <w:rPr>
          <w:lang w:val="zh-CN"/>
        </w:rPr>
        <w:tab/>
      </w:r>
      <w:r w:rsidRPr="00BF42B7">
        <w:rPr>
          <w:lang w:val="zh-CN"/>
        </w:rPr>
        <w:t>受灾人员有权依国际法得到对其人权的尊重和保护</w:t>
      </w:r>
      <w:r w:rsidRPr="00BF42B7">
        <w:rPr>
          <w:rFonts w:hint="eastAsia"/>
          <w:bCs/>
          <w:lang w:val="fr-CH"/>
        </w:rPr>
        <w:t>。</w:t>
      </w:r>
    </w:p>
    <w:p w:rsidR="00103498" w:rsidRPr="00BF42B7" w:rsidRDefault="00103498" w:rsidP="00B46738">
      <w:pPr>
        <w:pStyle w:val="H23GC"/>
        <w:rPr>
          <w:lang w:val="en-GB"/>
        </w:rPr>
      </w:pPr>
      <w:r w:rsidRPr="00BF42B7">
        <w:rPr>
          <w:lang w:val="en-GB"/>
        </w:rPr>
        <w:tab/>
      </w:r>
      <w:r w:rsidRPr="00BF42B7">
        <w:rPr>
          <w:rFonts w:hint="eastAsia"/>
          <w:lang w:val="en-GB"/>
        </w:rPr>
        <w:tab/>
      </w:r>
      <w:r w:rsidRPr="00BF42B7">
        <w:rPr>
          <w:rFonts w:hint="eastAsia"/>
          <w:lang w:val="en-GB"/>
        </w:rPr>
        <w:t>评注</w:t>
      </w:r>
      <w:bookmarkEnd w:id="30"/>
      <w:bookmarkEnd w:id="31"/>
    </w:p>
    <w:p w:rsidR="00103498" w:rsidRPr="00BF42B7" w:rsidRDefault="00103498" w:rsidP="00B46738">
      <w:pPr>
        <w:pStyle w:val="SingleTxtGC"/>
        <w:rPr>
          <w:lang w:val="en-GB"/>
        </w:rPr>
      </w:pPr>
      <w:r w:rsidRPr="00BF42B7">
        <w:rPr>
          <w:lang w:val="en-GB"/>
        </w:rPr>
        <w:t xml:space="preserve">(1)  </w:t>
      </w:r>
      <w:r w:rsidRPr="00BF42B7">
        <w:rPr>
          <w:rFonts w:hint="eastAsia"/>
        </w:rPr>
        <w:t>第</w:t>
      </w:r>
      <w:r w:rsidRPr="00BF42B7">
        <w:rPr>
          <w:rFonts w:hint="eastAsia"/>
        </w:rPr>
        <w:t>5</w:t>
      </w:r>
      <w:r w:rsidRPr="00BF42B7">
        <w:rPr>
          <w:rFonts w:hint="eastAsia"/>
        </w:rPr>
        <w:t>条草案想要体现的是，受灾人员广泛享有人权保护的权利。这也有助于提醒</w:t>
      </w:r>
      <w:r w:rsidRPr="00BF42B7">
        <w:t>国家有责任确保</w:t>
      </w:r>
      <w:r w:rsidRPr="00BF42B7">
        <w:rPr>
          <w:rFonts w:hint="eastAsia"/>
        </w:rPr>
        <w:t>在灾害中和灾前阶段</w:t>
      </w:r>
      <w:r w:rsidRPr="00BF42B7">
        <w:t>遵守所有相关的人权</w:t>
      </w:r>
      <w:r w:rsidRPr="00BF42B7">
        <w:rPr>
          <w:rFonts w:hint="eastAsia"/>
        </w:rPr>
        <w:t>。</w:t>
      </w:r>
      <w:r w:rsidRPr="00BF42B7">
        <w:t>委员会承认，人权与第</w:t>
      </w:r>
      <w:r w:rsidRPr="00BF42B7">
        <w:rPr>
          <w:rFonts w:hint="eastAsia"/>
        </w:rPr>
        <w:t>4</w:t>
      </w:r>
      <w:r w:rsidRPr="00BF42B7">
        <w:t>条草案所体现的人的尊严的原则密切相关，两条草案紧</w:t>
      </w:r>
      <w:r w:rsidRPr="00BF42B7">
        <w:rPr>
          <w:rFonts w:hint="eastAsia"/>
        </w:rPr>
        <w:t>密衔接</w:t>
      </w:r>
      <w:r w:rsidRPr="00BF42B7">
        <w:t>，强化了这种关联。</w:t>
      </w:r>
    </w:p>
    <w:p w:rsidR="00103498" w:rsidRPr="00BF42B7" w:rsidRDefault="00103498" w:rsidP="00B46738">
      <w:pPr>
        <w:pStyle w:val="SingleTxtGC"/>
      </w:pPr>
      <w:r w:rsidRPr="00BF42B7">
        <w:rPr>
          <w:lang w:val="en-GB"/>
        </w:rPr>
        <w:t xml:space="preserve">(2)  </w:t>
      </w:r>
      <w:r w:rsidRPr="00BF42B7">
        <w:rPr>
          <w:rFonts w:hint="eastAsia"/>
        </w:rPr>
        <w:t>笼统提及“人权”时，包括了有关国际协定所表述及习惯国际法所反映的人权义务。国际层面不具约束力的文本中载录的人权保护最佳做法，其中包括机构间常设委员会</w:t>
      </w:r>
      <w:r w:rsidRPr="00BF42B7">
        <w:t>《自然灾害情况下人员保护业务准则》</w:t>
      </w:r>
      <w:r w:rsidRPr="00BF42B7">
        <w:rPr>
          <w:color w:val="0000FF"/>
          <w:vertAlign w:val="superscript"/>
          <w:lang w:val="en-GB"/>
        </w:rPr>
        <w:footnoteReference w:id="58"/>
      </w:r>
      <w:r w:rsidRPr="00BF42B7">
        <w:rPr>
          <w:color w:val="0000FF"/>
          <w:vertAlign w:val="superscript"/>
          <w:lang w:val="en-GB"/>
        </w:rPr>
        <w:t xml:space="preserve"> </w:t>
      </w:r>
      <w:r w:rsidRPr="00BF42B7">
        <w:rPr>
          <w:rFonts w:hint="eastAsia"/>
        </w:rPr>
        <w:t>和</w:t>
      </w:r>
      <w:r w:rsidRPr="00BF42B7">
        <w:t>《关于境内流离失所问题的指导原则》</w:t>
      </w:r>
      <w:r w:rsidRPr="00BF42B7">
        <w:rPr>
          <w:color w:val="0000FF"/>
          <w:vertAlign w:val="superscript"/>
          <w:lang w:val="en-GB"/>
        </w:rPr>
        <w:footnoteReference w:id="59"/>
      </w:r>
      <w:r w:rsidR="009C15B9" w:rsidRPr="00BF42B7">
        <w:rPr>
          <w:rFonts w:hint="eastAsia"/>
          <w:color w:val="0000FF"/>
          <w:vertAlign w:val="superscript"/>
        </w:rPr>
        <w:t xml:space="preserve"> </w:t>
      </w:r>
      <w:r w:rsidRPr="00BF42B7">
        <w:rPr>
          <w:rFonts w:hint="eastAsia"/>
        </w:rPr>
        <w:t>所载的最佳做法，</w:t>
      </w:r>
      <w:r w:rsidRPr="00BF42B7">
        <w:rPr>
          <w:rFonts w:hint="eastAsia"/>
          <w:lang w:val="en-GB"/>
        </w:rPr>
        <w:t>有助于针对特定的灾害情况适用现有人权义务。还考虑到了国内法下的保护</w:t>
      </w:r>
      <w:r w:rsidRPr="00BF42B7">
        <w:rPr>
          <w:rFonts w:hint="eastAsia"/>
          <w:lang w:val="en-GB"/>
        </w:rPr>
        <w:t>(</w:t>
      </w:r>
      <w:r w:rsidRPr="00BF42B7">
        <w:rPr>
          <w:rFonts w:hint="eastAsia"/>
          <w:lang w:val="en-GB"/>
        </w:rPr>
        <w:t>如很多国家宪法法律规定的保护</w:t>
      </w:r>
      <w:r w:rsidRPr="00BF42B7">
        <w:rPr>
          <w:rFonts w:hint="eastAsia"/>
          <w:lang w:val="en-GB"/>
        </w:rPr>
        <w:t>)</w:t>
      </w:r>
      <w:r w:rsidRPr="00BF42B7">
        <w:rPr>
          <w:rFonts w:hint="eastAsia"/>
          <w:lang w:val="en-GB"/>
        </w:rPr>
        <w:t>。</w:t>
      </w:r>
      <w:r w:rsidRPr="00BF42B7">
        <w:t>委员会采用的措辞指的是人权义务这一广泛领域，并非要指定、增加或限定这些义务。</w:t>
      </w:r>
    </w:p>
    <w:p w:rsidR="00103498" w:rsidRPr="00BF42B7" w:rsidRDefault="00103498" w:rsidP="00B46738">
      <w:pPr>
        <w:pStyle w:val="SingleTxtGC"/>
        <w:rPr>
          <w:lang w:val="en-GB"/>
        </w:rPr>
      </w:pPr>
      <w:r w:rsidRPr="00BF42B7">
        <w:rPr>
          <w:lang w:val="en-GB"/>
        </w:rPr>
        <w:t xml:space="preserve">(3)  </w:t>
      </w:r>
      <w:r w:rsidRPr="00BF42B7">
        <w:rPr>
          <w:rFonts w:hint="eastAsia"/>
          <w:lang w:val="en-GB"/>
        </w:rPr>
        <w:t>如第</w:t>
      </w:r>
      <w:r w:rsidRPr="00BF42B7">
        <w:rPr>
          <w:rFonts w:hint="eastAsia"/>
          <w:lang w:val="en-GB"/>
        </w:rPr>
        <w:t>1</w:t>
      </w:r>
      <w:r w:rsidRPr="00BF42B7">
        <w:rPr>
          <w:rFonts w:hint="eastAsia"/>
          <w:lang w:val="en-GB"/>
        </w:rPr>
        <w:t>条草案的评注第</w:t>
      </w:r>
      <w:r w:rsidRPr="00BF42B7">
        <w:rPr>
          <w:rFonts w:hint="eastAsia"/>
          <w:lang w:val="en-GB"/>
        </w:rPr>
        <w:t>(3)</w:t>
      </w:r>
      <w:r w:rsidRPr="00BF42B7">
        <w:rPr>
          <w:rFonts w:hint="eastAsia"/>
          <w:lang w:val="en-GB"/>
        </w:rPr>
        <w:t>段的澄清所述，条款草案的属人理由范围涵盖国家和国际组织的活动，包括区域一体化组织和具有提供救灾援助特定国际法律资格的其他实体。</w:t>
      </w:r>
      <w:r w:rsidRPr="00BF42B7">
        <w:t>委员会承认，对于不同的行为方，保护受灾人员的人权这一义务的范围和内容差别很大。</w:t>
      </w:r>
      <w:r w:rsidRPr="00BF42B7">
        <w:rPr>
          <w:rFonts w:hint="eastAsia"/>
        </w:rPr>
        <w:t>对委员会采用的中性措辞，应本着以下认识加以解读：受灾国、援助国及其他援助方各自有不同的义务。</w:t>
      </w:r>
    </w:p>
    <w:p w:rsidR="00103498" w:rsidRPr="00BF42B7" w:rsidRDefault="00103498" w:rsidP="00B46738">
      <w:pPr>
        <w:pStyle w:val="SingleTxtGC"/>
        <w:rPr>
          <w:lang w:val="en-GB"/>
        </w:rPr>
      </w:pPr>
      <w:r w:rsidRPr="00BF42B7">
        <w:rPr>
          <w:lang w:val="en-GB"/>
        </w:rPr>
        <w:t>(</w:t>
      </w:r>
      <w:r w:rsidRPr="00BF42B7">
        <w:rPr>
          <w:rFonts w:hint="eastAsia"/>
          <w:lang w:val="en-GB"/>
        </w:rPr>
        <w:t>4</w:t>
      </w:r>
      <w:r w:rsidRPr="00BF42B7">
        <w:rPr>
          <w:lang w:val="en-GB"/>
        </w:rPr>
        <w:t xml:space="preserve">)  </w:t>
      </w:r>
      <w:r w:rsidRPr="00BF42B7">
        <w:rPr>
          <w:rFonts w:hint="eastAsia"/>
          <w:lang w:val="en-GB"/>
        </w:rPr>
        <w:t>本条草案承认受灾人员的人权应得到“尊重和保护”，这些人权在灾害的背景下继续适用。这一短语沿用了第</w:t>
      </w:r>
      <w:r w:rsidRPr="00BF42B7">
        <w:rPr>
          <w:rFonts w:hint="eastAsia"/>
          <w:lang w:val="en-GB"/>
        </w:rPr>
        <w:t>4</w:t>
      </w:r>
      <w:r w:rsidRPr="00BF42B7">
        <w:rPr>
          <w:rFonts w:hint="eastAsia"/>
          <w:lang w:val="en-GB"/>
        </w:rPr>
        <w:t>条草案关于人的尊严的用语，进一步确认了这两条规定之间的联系。“保护”概念常见于现有的保护人权国际文书，与“尊重”放在一起提及这个概念的用意是通过综合性的措辞说明各国义务的性质和范围，应参照第</w:t>
      </w:r>
      <w:r w:rsidRPr="00BF42B7">
        <w:rPr>
          <w:rFonts w:hint="eastAsia"/>
          <w:lang w:val="en-GB"/>
        </w:rPr>
        <w:t>2</w:t>
      </w:r>
      <w:r w:rsidRPr="00BF42B7">
        <w:rPr>
          <w:rFonts w:hint="eastAsia"/>
          <w:lang w:val="en-GB"/>
        </w:rPr>
        <w:t>条草案中的“充分尊重其权利”解读。这样，国家义务就不仅限于避免干涉人民的权利</w:t>
      </w:r>
      <w:r w:rsidRPr="00BF42B7">
        <w:rPr>
          <w:rFonts w:hint="eastAsia"/>
          <w:lang w:val="en-GB"/>
        </w:rPr>
        <w:t>(</w:t>
      </w:r>
      <w:r w:rsidRPr="00BF42B7">
        <w:rPr>
          <w:rFonts w:hint="eastAsia"/>
          <w:lang w:val="en-GB"/>
        </w:rPr>
        <w:t>尊重</w:t>
      </w:r>
      <w:r w:rsidRPr="00BF42B7">
        <w:rPr>
          <w:rFonts w:hint="eastAsia"/>
          <w:lang w:val="en-GB"/>
        </w:rPr>
        <w:t>)</w:t>
      </w:r>
      <w:r w:rsidRPr="00BF42B7">
        <w:rPr>
          <w:rFonts w:hint="eastAsia"/>
          <w:lang w:val="en-GB"/>
        </w:rPr>
        <w:t>，而是可能扩展范围，按照这些规则的要求伸展至“保护”</w:t>
      </w:r>
      <w:r w:rsidRPr="00BF42B7">
        <w:rPr>
          <w:color w:val="0000FF"/>
          <w:vertAlign w:val="superscript"/>
          <w:lang w:val="en-GB"/>
        </w:rPr>
        <w:footnoteReference w:id="60"/>
      </w:r>
      <w:r w:rsidRPr="00BF42B7">
        <w:rPr>
          <w:color w:val="0000FF"/>
          <w:vertAlign w:val="superscript"/>
          <w:lang w:val="en-GB"/>
        </w:rPr>
        <w:t xml:space="preserve"> </w:t>
      </w:r>
      <w:r w:rsidRPr="00BF42B7">
        <w:rPr>
          <w:rFonts w:hint="eastAsia"/>
          <w:lang w:val="en-GB"/>
        </w:rPr>
        <w:t>其权利，除其他外，采取从被动的不干涉到主动的确保满足个人需要等多种措施，所有这些都取决于具体情况。考虑到第</w:t>
      </w:r>
      <w:r w:rsidRPr="00BF42B7">
        <w:rPr>
          <w:rFonts w:hint="eastAsia"/>
          <w:lang w:val="en-GB"/>
        </w:rPr>
        <w:t>2</w:t>
      </w:r>
      <w:r w:rsidRPr="00BF42B7">
        <w:rPr>
          <w:rFonts w:hint="eastAsia"/>
          <w:lang w:val="en-GB"/>
        </w:rPr>
        <w:t>条草案规定的范围，这类措施还可包括防止和避免可能导致人权受到侵犯的情况。</w:t>
      </w:r>
      <w:r w:rsidRPr="00BF42B7">
        <w:rPr>
          <w:color w:val="0000FF"/>
          <w:vertAlign w:val="superscript"/>
          <w:lang w:val="en-GB"/>
        </w:rPr>
        <w:footnoteReference w:id="61"/>
      </w:r>
      <w:r w:rsidRPr="00BF42B7">
        <w:rPr>
          <w:color w:val="0000FF"/>
          <w:vertAlign w:val="superscript"/>
          <w:lang w:val="en-GB"/>
        </w:rPr>
        <w:t xml:space="preserve"> </w:t>
      </w:r>
    </w:p>
    <w:p w:rsidR="00103498" w:rsidRPr="00BF42B7" w:rsidRDefault="00103498" w:rsidP="00B46738">
      <w:pPr>
        <w:pStyle w:val="SingleTxtGC"/>
        <w:rPr>
          <w:lang w:val="en-GB"/>
        </w:rPr>
      </w:pPr>
      <w:r w:rsidRPr="00BF42B7">
        <w:rPr>
          <w:lang w:val="en-GB"/>
        </w:rPr>
        <w:t>(</w:t>
      </w:r>
      <w:r w:rsidRPr="00BF42B7">
        <w:rPr>
          <w:rFonts w:hint="eastAsia"/>
          <w:lang w:val="en-GB"/>
        </w:rPr>
        <w:t>5</w:t>
      </w:r>
      <w:r w:rsidRPr="00BF42B7">
        <w:rPr>
          <w:lang w:val="en-GB"/>
        </w:rPr>
        <w:t xml:space="preserve">)  </w:t>
      </w:r>
      <w:r w:rsidRPr="00BF42B7">
        <w:rPr>
          <w:rFonts w:hint="eastAsia"/>
          <w:lang w:val="en-GB"/>
        </w:rPr>
        <w:t>委员会认为拟定所有可能适用的权利的详尽清单是不可行的，</w:t>
      </w:r>
      <w:r w:rsidRPr="00BF42B7">
        <w:rPr>
          <w:rFonts w:hint="eastAsia"/>
        </w:rPr>
        <w:t>并且</w:t>
      </w:r>
      <w:r w:rsidRPr="00BF42B7">
        <w:t>担心这样的清单可能导致另一种相反的解释，即没有提到的权利并不适用。</w:t>
      </w:r>
    </w:p>
    <w:p w:rsidR="00103498" w:rsidRPr="00BF42B7" w:rsidRDefault="00103498" w:rsidP="00B46738">
      <w:pPr>
        <w:pStyle w:val="SingleTxtGC"/>
        <w:rPr>
          <w:lang w:val="en-GB"/>
        </w:rPr>
      </w:pPr>
      <w:r w:rsidRPr="00BF42B7">
        <w:rPr>
          <w:lang w:val="en-GB"/>
        </w:rPr>
        <w:t>(</w:t>
      </w:r>
      <w:r w:rsidRPr="00BF42B7">
        <w:rPr>
          <w:rFonts w:hint="eastAsia"/>
          <w:lang w:val="en-GB"/>
        </w:rPr>
        <w:t>6</w:t>
      </w:r>
      <w:r w:rsidRPr="00BF42B7">
        <w:rPr>
          <w:lang w:val="en-GB"/>
        </w:rPr>
        <w:t xml:space="preserve">)  </w:t>
      </w:r>
      <w:r w:rsidRPr="00BF42B7">
        <w:rPr>
          <w:rFonts w:hint="eastAsia"/>
          <w:lang w:val="en-GB"/>
        </w:rPr>
        <w:t>如果一国拒绝采取积极措施防止或应对造成生命损失的灾害，此时</w:t>
      </w:r>
      <w:r w:rsidRPr="00BF42B7">
        <w:rPr>
          <w:rFonts w:hint="eastAsia"/>
        </w:rPr>
        <w:t>一项特别相关的权利便是生命权，正如《公民权利和政治权利国际公约》第六条第</w:t>
      </w:r>
      <w:r w:rsidRPr="00BF42B7">
        <w:t>1</w:t>
      </w:r>
      <w:r w:rsidRPr="00BF42B7">
        <w:rPr>
          <w:rFonts w:hint="eastAsia"/>
        </w:rPr>
        <w:t>款所承认的。</w:t>
      </w:r>
      <w:r w:rsidRPr="00BF42B7">
        <w:rPr>
          <w:color w:val="0000FF"/>
          <w:vertAlign w:val="superscript"/>
          <w:lang w:val="en-GB"/>
        </w:rPr>
        <w:footnoteReference w:id="62"/>
      </w:r>
      <w:r w:rsidRPr="00BF42B7">
        <w:rPr>
          <w:color w:val="0000FF"/>
          <w:vertAlign w:val="superscript"/>
          <w:lang w:val="en-GB"/>
        </w:rPr>
        <w:t xml:space="preserve"> </w:t>
      </w:r>
      <w:r w:rsidRPr="00BF42B7">
        <w:rPr>
          <w:rFonts w:hint="eastAsia"/>
          <w:lang w:val="en-GB"/>
        </w:rPr>
        <w:t>另外的理解是，</w:t>
      </w:r>
      <w:r w:rsidRPr="00BF42B7">
        <w:t>其中一部分相关权利是经济和社会权利，对于这些权利</w:t>
      </w:r>
      <w:r w:rsidRPr="00BF42B7">
        <w:rPr>
          <w:rFonts w:hint="eastAsia"/>
        </w:rPr>
        <w:t>，《经济、社会及文化权利国际公约》和其他适用公约的缔约国</w:t>
      </w:r>
      <w:r w:rsidRPr="00BF42B7">
        <w:t>有义务逐步</w:t>
      </w:r>
      <w:r w:rsidRPr="00BF42B7">
        <w:rPr>
          <w:rFonts w:hint="eastAsia"/>
        </w:rPr>
        <w:t>实现，其中包括规定了</w:t>
      </w:r>
      <w:r w:rsidRPr="00BF42B7">
        <w:t>最基本</w:t>
      </w:r>
      <w:r w:rsidRPr="00BF42B7">
        <w:rPr>
          <w:rFonts w:hint="eastAsia"/>
        </w:rPr>
        <w:t>的、而且在灾害条件下继续适用的</w:t>
      </w:r>
      <w:r w:rsidRPr="00BF42B7">
        <w:t>核心义务</w:t>
      </w:r>
      <w:r w:rsidRPr="00BF42B7">
        <w:t>(</w:t>
      </w:r>
      <w:r w:rsidRPr="00BF42B7">
        <w:t>与提供必不可少的食品、必不可少的保健服务、基本住所和住房、儿童教育有关</w:t>
      </w:r>
      <w:r w:rsidRPr="00BF42B7">
        <w:t>)</w:t>
      </w:r>
      <w:r w:rsidRPr="00BF42B7">
        <w:rPr>
          <w:rFonts w:hint="eastAsia"/>
        </w:rPr>
        <w:t>的公约</w:t>
      </w:r>
      <w:r w:rsidRPr="00BF42B7">
        <w:t>。</w:t>
      </w:r>
      <w:r w:rsidRPr="00BF42B7">
        <w:rPr>
          <w:rFonts w:hint="eastAsia"/>
        </w:rPr>
        <w:t>其他适用的权利除其他外包括</w:t>
      </w:r>
      <w:r w:rsidRPr="00BF42B7">
        <w:t>获得人道主义援助的权利；特别脆弱的群体</w:t>
      </w:r>
      <w:r w:rsidRPr="00BF42B7">
        <w:t>(</w:t>
      </w:r>
      <w:r w:rsidRPr="00BF42B7">
        <w:rPr>
          <w:rFonts w:hint="eastAsia"/>
        </w:rPr>
        <w:t>如第</w:t>
      </w:r>
      <w:r w:rsidRPr="00BF42B7">
        <w:rPr>
          <w:rFonts w:hint="eastAsia"/>
        </w:rPr>
        <w:t>6</w:t>
      </w:r>
      <w:r w:rsidRPr="00BF42B7">
        <w:rPr>
          <w:rFonts w:hint="eastAsia"/>
        </w:rPr>
        <w:t>条草案预期的那样</w:t>
      </w:r>
      <w:r w:rsidRPr="00BF42B7">
        <w:rPr>
          <w:rFonts w:hint="eastAsia"/>
        </w:rPr>
        <w:t>)</w:t>
      </w:r>
      <w:r w:rsidRPr="00BF42B7">
        <w:t>其特殊保护和援助需要</w:t>
      </w:r>
      <w:r w:rsidRPr="00BF42B7">
        <w:rPr>
          <w:rFonts w:hint="eastAsia"/>
        </w:rPr>
        <w:t>得到考虑</w:t>
      </w:r>
      <w:r w:rsidRPr="00BF42B7">
        <w:t>的权利；社区在规划和执行减少风险、应对和恢复的举措方面拥有发言权；因灾害流离失所的所有人接受无歧视的援助以便持久解决其流离失所问题的权利。</w:t>
      </w:r>
      <w:r w:rsidRPr="00BF42B7">
        <w:rPr>
          <w:rFonts w:hint="eastAsia"/>
        </w:rPr>
        <w:t>其他条款草案的一些评注也提到了一些具体权利。</w:t>
      </w:r>
      <w:r w:rsidRPr="00BF42B7">
        <w:rPr>
          <w:color w:val="0000FF"/>
          <w:vertAlign w:val="superscript"/>
          <w:lang w:val="en-GB"/>
        </w:rPr>
        <w:footnoteReference w:id="63"/>
      </w:r>
      <w:r w:rsidRPr="00BF42B7">
        <w:rPr>
          <w:color w:val="0000FF"/>
          <w:vertAlign w:val="superscript"/>
          <w:lang w:val="en-GB"/>
        </w:rPr>
        <w:t xml:space="preserve"> </w:t>
      </w:r>
    </w:p>
    <w:p w:rsidR="00103498" w:rsidRPr="00BF42B7" w:rsidRDefault="00103498" w:rsidP="00B46738">
      <w:pPr>
        <w:pStyle w:val="SingleTxtGC"/>
        <w:rPr>
          <w:lang w:val="en-GB"/>
        </w:rPr>
      </w:pPr>
      <w:r w:rsidRPr="00BF42B7">
        <w:rPr>
          <w:lang w:val="en-GB"/>
        </w:rPr>
        <w:t>(</w:t>
      </w:r>
      <w:r w:rsidRPr="00BF42B7">
        <w:rPr>
          <w:rFonts w:hint="eastAsia"/>
          <w:lang w:val="en-GB"/>
        </w:rPr>
        <w:t>7</w:t>
      </w:r>
      <w:r w:rsidRPr="00BF42B7">
        <w:rPr>
          <w:lang w:val="en-GB"/>
        </w:rPr>
        <w:t xml:space="preserve">)  </w:t>
      </w:r>
      <w:r w:rsidRPr="00BF42B7">
        <w:rPr>
          <w:rFonts w:hint="eastAsia"/>
          <w:lang w:val="en-GB"/>
        </w:rPr>
        <w:t>这一条草案刻意把</w:t>
      </w:r>
      <w:r w:rsidRPr="00BF42B7">
        <w:t>这些权利如何实现的问题留给有关的国际法规</w:t>
      </w:r>
      <w:r w:rsidRPr="00BF42B7">
        <w:rPr>
          <w:rFonts w:hint="eastAsia"/>
        </w:rPr>
        <w:t>则</w:t>
      </w:r>
      <w:r w:rsidRPr="00BF42B7">
        <w:t>本身来处理。</w:t>
      </w:r>
      <w:r w:rsidRPr="00BF42B7">
        <w:rPr>
          <w:rFonts w:hint="eastAsia"/>
        </w:rPr>
        <w:t>对此的</w:t>
      </w:r>
      <w:r w:rsidRPr="00BF42B7">
        <w:t>理解是，在适用权利的问题上，往往暗含着一定的</w:t>
      </w:r>
      <w:r w:rsidRPr="00BF42B7">
        <w:rPr>
          <w:rFonts w:hint="eastAsia"/>
        </w:rPr>
        <w:t>酌定权</w:t>
      </w:r>
      <w:r w:rsidRPr="00BF42B7">
        <w:t>，视灾害的</w:t>
      </w:r>
      <w:r w:rsidRPr="00BF42B7">
        <w:rPr>
          <w:rFonts w:hint="eastAsia"/>
        </w:rPr>
        <w:t>严重</w:t>
      </w:r>
      <w:r w:rsidRPr="00BF42B7">
        <w:t>程度而定，同时取决于确认或确定有关权利的相关规则。</w:t>
      </w:r>
      <w:r w:rsidRPr="00BF42B7">
        <w:rPr>
          <w:rFonts w:hint="eastAsia"/>
        </w:rPr>
        <w:t>另外，</w:t>
      </w:r>
      <w:r w:rsidRPr="00BF42B7">
        <w:t>委员会认为，提及</w:t>
      </w:r>
      <w:r w:rsidRPr="00BF42B7">
        <w:rPr>
          <w:rFonts w:hint="eastAsia"/>
        </w:rPr>
        <w:t>“</w:t>
      </w:r>
      <w:r w:rsidRPr="00BF42B7">
        <w:t>人权</w:t>
      </w:r>
      <w:r w:rsidRPr="00BF42B7">
        <w:rPr>
          <w:rFonts w:hint="eastAsia"/>
        </w:rPr>
        <w:t>”</w:t>
      </w:r>
      <w:r w:rsidRPr="00BF42B7">
        <w:t>之处，国际人权法律规定的权利和限制两者都包括在内</w:t>
      </w:r>
      <w:r w:rsidRPr="00BF42B7">
        <w:rPr>
          <w:rFonts w:hint="eastAsia"/>
        </w:rPr>
        <w:t>。因此，提到“人权”是指</w:t>
      </w:r>
      <w:r w:rsidRPr="00BF42B7">
        <w:t>整个国际人权法</w:t>
      </w:r>
      <w:r w:rsidRPr="00BF42B7">
        <w:rPr>
          <w:rFonts w:hint="eastAsia"/>
        </w:rPr>
        <w:t>，</w:t>
      </w:r>
      <w:r w:rsidRPr="00BF42B7">
        <w:t>包括其对可减损和不可减损的权利处理办法</w:t>
      </w:r>
      <w:r w:rsidRPr="00BF42B7">
        <w:rPr>
          <w:rFonts w:hint="eastAsia"/>
        </w:rPr>
        <w:t>。这样，条款草案就考虑到了受灾国在现有国际协定下得到承认的中止或减损权，“依国际法”这一短语也确认了这层考虑。</w:t>
      </w:r>
    </w:p>
    <w:p w:rsidR="00103498" w:rsidRPr="00BF42B7" w:rsidRDefault="00103498" w:rsidP="00B46738">
      <w:pPr>
        <w:pStyle w:val="SingleTxtGC"/>
        <w:rPr>
          <w:lang w:val="en-GB"/>
        </w:rPr>
      </w:pPr>
      <w:r w:rsidRPr="00BF42B7">
        <w:rPr>
          <w:lang w:val="en-GB"/>
        </w:rPr>
        <w:t>(</w:t>
      </w:r>
      <w:r w:rsidRPr="00BF42B7">
        <w:rPr>
          <w:rFonts w:hint="eastAsia"/>
          <w:lang w:val="en-GB"/>
        </w:rPr>
        <w:t>8</w:t>
      </w:r>
      <w:r w:rsidRPr="00BF42B7">
        <w:rPr>
          <w:lang w:val="en-GB"/>
        </w:rPr>
        <w:t xml:space="preserve">)  </w:t>
      </w:r>
      <w:r w:rsidRPr="00BF42B7">
        <w:rPr>
          <w:rFonts w:hint="eastAsia"/>
          <w:lang w:val="en-GB"/>
        </w:rPr>
        <w:t>提及“依国际法”还有助于忆及，可能还有其他国际法规则如关于难民和境内流离失所者的规则，会影响到受灾人员的权利，第</w:t>
      </w:r>
      <w:r w:rsidRPr="00BF42B7">
        <w:rPr>
          <w:rFonts w:hint="eastAsia"/>
          <w:lang w:val="en-GB"/>
        </w:rPr>
        <w:t>18</w:t>
      </w:r>
      <w:r w:rsidRPr="00BF42B7">
        <w:rPr>
          <w:rFonts w:hint="eastAsia"/>
          <w:lang w:val="en-GB"/>
        </w:rPr>
        <w:t>条草案也设想到了这种可能性。</w:t>
      </w:r>
    </w:p>
    <w:p w:rsidR="00103498" w:rsidRPr="00BF42B7" w:rsidRDefault="00103498" w:rsidP="00CD12D6">
      <w:pPr>
        <w:pStyle w:val="H23GC"/>
        <w:ind w:left="1554"/>
      </w:pPr>
      <w:r w:rsidRPr="00BF42B7">
        <w:rPr>
          <w:rFonts w:hint="eastAsia"/>
        </w:rPr>
        <w:tab/>
      </w:r>
      <w:r w:rsidRPr="00BF42B7">
        <w:rPr>
          <w:rFonts w:hint="eastAsia"/>
        </w:rPr>
        <w:tab/>
      </w:r>
      <w:r w:rsidRPr="00BF42B7">
        <w:rPr>
          <w:rFonts w:hint="eastAsia"/>
        </w:rPr>
        <w:t>第</w:t>
      </w:r>
      <w:r w:rsidRPr="00BF42B7">
        <w:t>6</w:t>
      </w:r>
      <w:r w:rsidRPr="00BF42B7">
        <w:rPr>
          <w:rFonts w:hint="eastAsia"/>
        </w:rPr>
        <w:t>条</w:t>
      </w:r>
      <w:r w:rsidRPr="00BF42B7">
        <w:br/>
      </w:r>
      <w:r w:rsidRPr="00BF42B7">
        <w:rPr>
          <w:rFonts w:hint="eastAsia"/>
        </w:rPr>
        <w:t>人道主义原则</w:t>
      </w:r>
    </w:p>
    <w:p w:rsidR="00103498" w:rsidRPr="00BF42B7" w:rsidRDefault="00103498" w:rsidP="00CD12D6">
      <w:pPr>
        <w:pStyle w:val="SingleTxtGC"/>
        <w:tabs>
          <w:tab w:val="clear" w:pos="431"/>
          <w:tab w:val="clear" w:pos="1134"/>
          <w:tab w:val="clear" w:pos="1565"/>
        </w:tabs>
        <w:ind w:left="1554"/>
      </w:pPr>
      <w:r w:rsidRPr="00BF42B7">
        <w:rPr>
          <w:lang w:val="zh-CN"/>
        </w:rPr>
        <w:tab/>
      </w:r>
      <w:r w:rsidRPr="00BF42B7">
        <w:rPr>
          <w:lang w:val="zh-CN"/>
        </w:rPr>
        <w:t>应对灾害应</w:t>
      </w:r>
      <w:r w:rsidRPr="00BF42B7">
        <w:rPr>
          <w:rFonts w:hint="eastAsia"/>
          <w:lang w:val="zh-CN"/>
        </w:rPr>
        <w:t>按照</w:t>
      </w:r>
      <w:r w:rsidRPr="00BF42B7">
        <w:rPr>
          <w:lang w:val="zh-CN"/>
        </w:rPr>
        <w:t>人道、中立和公正的原则，在不歧视的基础上进行，同时应考虑到特别弱势者的需要</w:t>
      </w:r>
      <w:r w:rsidRPr="00BF42B7">
        <w:rPr>
          <w:rFonts w:hint="eastAsia"/>
        </w:rPr>
        <w:t>。</w:t>
      </w:r>
    </w:p>
    <w:p w:rsidR="00103498" w:rsidRPr="00BF42B7" w:rsidRDefault="00103498" w:rsidP="00B46738">
      <w:pPr>
        <w:pStyle w:val="H23GC"/>
      </w:pPr>
      <w:r w:rsidRPr="00BF42B7">
        <w:tab/>
      </w:r>
      <w:r w:rsidRPr="00BF42B7">
        <w:tab/>
      </w:r>
      <w:bookmarkStart w:id="32" w:name="_Toc398303944"/>
      <w:r w:rsidRPr="00BF42B7">
        <w:rPr>
          <w:rFonts w:hint="eastAsia"/>
        </w:rPr>
        <w:t>评注</w:t>
      </w:r>
      <w:bookmarkEnd w:id="32"/>
    </w:p>
    <w:p w:rsidR="00103498" w:rsidRPr="00BF42B7" w:rsidRDefault="00103498" w:rsidP="00B46738">
      <w:pPr>
        <w:pStyle w:val="SingleTxtGC"/>
      </w:pPr>
      <w:r w:rsidRPr="00BF42B7">
        <w:t>(1)</w:t>
      </w:r>
      <w:r w:rsidR="00B46738" w:rsidRPr="00BF42B7">
        <w:rPr>
          <w:rFonts w:hint="eastAsia"/>
        </w:rPr>
        <w:t xml:space="preserve">  </w:t>
      </w:r>
      <w:r w:rsidRPr="00BF42B7">
        <w:rPr>
          <w:rFonts w:hint="eastAsia"/>
        </w:rPr>
        <w:t>第</w:t>
      </w:r>
      <w:r w:rsidRPr="00BF42B7">
        <w:t>6</w:t>
      </w:r>
      <w:r w:rsidRPr="00BF42B7">
        <w:rPr>
          <w:rFonts w:hint="eastAsia"/>
        </w:rPr>
        <w:t>条草案规定了与发生灾害时的人员保护有关的主要人道主义原则。委员会认为不必确定这些原则是否也是国际法的一般原则，同时也指出这些原则不能用以排除国际法其他相关原则。这条草案承认这些原则对提供救灾援助以及适用时，对开展减少灾害风险活动，所具有的重要意义。</w:t>
      </w:r>
    </w:p>
    <w:p w:rsidR="00103498" w:rsidRPr="00BF42B7" w:rsidRDefault="00103498" w:rsidP="00B46738">
      <w:pPr>
        <w:pStyle w:val="SingleTxtGC"/>
      </w:pPr>
      <w:r w:rsidRPr="00BF42B7">
        <w:rPr>
          <w:spacing w:val="-2"/>
        </w:rPr>
        <w:t>(2)</w:t>
      </w:r>
      <w:r w:rsidR="00B46738" w:rsidRPr="00BF42B7">
        <w:rPr>
          <w:rFonts w:hint="eastAsia"/>
          <w:spacing w:val="-2"/>
        </w:rPr>
        <w:t xml:space="preserve">  </w:t>
      </w:r>
      <w:r w:rsidRPr="00BF42B7">
        <w:rPr>
          <w:rFonts w:hint="eastAsia"/>
          <w:spacing w:val="-2"/>
        </w:rPr>
        <w:t>人道、中立和公正这几个核心原则通常被视为人道主义援助的根本原则。</w:t>
      </w:r>
      <w:r w:rsidRPr="00BF42B7">
        <w:rPr>
          <w:color w:val="0000FF"/>
          <w:vertAlign w:val="superscript"/>
          <w:lang w:val="en-GB"/>
        </w:rPr>
        <w:footnoteReference w:id="64"/>
      </w:r>
      <w:r w:rsidRPr="00BF42B7">
        <w:rPr>
          <w:spacing w:val="-2"/>
        </w:rPr>
        <w:t xml:space="preserve"> </w:t>
      </w:r>
      <w:r w:rsidRPr="00BF42B7">
        <w:rPr>
          <w:rFonts w:hint="eastAsia"/>
        </w:rPr>
        <w:t>这些原则也是救灾工作中可适用法律的根基。例如，大会第</w:t>
      </w:r>
      <w:hyperlink r:id="rId54" w:history="1">
        <w:r w:rsidRPr="007F0135">
          <w:rPr>
            <w:rStyle w:val="af"/>
          </w:rPr>
          <w:t>46/182</w:t>
        </w:r>
      </w:hyperlink>
      <w:r w:rsidRPr="00BF42B7">
        <w:rPr>
          <w:rFonts w:hint="eastAsia"/>
        </w:rPr>
        <w:t>号决议指出，“必须按照人道、中立和公正的原则提供人道主义援助”。</w:t>
      </w:r>
      <w:r w:rsidRPr="00BF42B7">
        <w:rPr>
          <w:color w:val="0000FF"/>
          <w:vertAlign w:val="superscript"/>
          <w:lang w:val="en-GB"/>
        </w:rPr>
        <w:footnoteReference w:id="65"/>
      </w:r>
    </w:p>
    <w:p w:rsidR="00103498" w:rsidRPr="00BF42B7" w:rsidRDefault="00103498" w:rsidP="00B46738">
      <w:pPr>
        <w:pStyle w:val="SingleTxtGC"/>
      </w:pPr>
      <w:r w:rsidRPr="00BF42B7">
        <w:t>(3)</w:t>
      </w:r>
      <w:r w:rsidR="00B46738" w:rsidRPr="00BF42B7">
        <w:rPr>
          <w:rFonts w:hint="eastAsia"/>
        </w:rPr>
        <w:t xml:space="preserve">  </w:t>
      </w:r>
      <w:r w:rsidRPr="00BF42B7">
        <w:rPr>
          <w:rFonts w:hint="eastAsia"/>
        </w:rPr>
        <w:t>人道主义原则是国际法中人员保护工作的基石。作为国际人道主义法和国际人权法的一项共同内容，是制定发生灾害时人员保护方面法律的主要参照。国际人权法领域内，对该原则最明确的表达是</w:t>
      </w:r>
      <w:r w:rsidRPr="00BF42B7">
        <w:t>1949</w:t>
      </w:r>
      <w:r w:rsidRPr="00BF42B7">
        <w:rPr>
          <w:rFonts w:hint="eastAsia"/>
        </w:rPr>
        <w:t>年日内瓦四公约共同第三条中给予人道待遇的要求。</w:t>
      </w:r>
      <w:r w:rsidRPr="00BF42B7">
        <w:rPr>
          <w:rStyle w:val="a5"/>
          <w:szCs w:val="21"/>
        </w:rPr>
        <w:footnoteReference w:id="66"/>
      </w:r>
      <w:r w:rsidRPr="00BF42B7">
        <w:rPr>
          <w:rFonts w:hint="eastAsia"/>
        </w:rPr>
        <w:t xml:space="preserve"> </w:t>
      </w:r>
      <w:r w:rsidRPr="00BF42B7">
        <w:rPr>
          <w:rFonts w:hint="eastAsia"/>
        </w:rPr>
        <w:t>然而，正如国际法院在科孚海峡案</w:t>
      </w:r>
      <w:r w:rsidRPr="00BF42B7">
        <w:t>(</w:t>
      </w:r>
      <w:r w:rsidRPr="00BF42B7">
        <w:rPr>
          <w:rFonts w:hint="eastAsia"/>
        </w:rPr>
        <w:t>实质问题</w:t>
      </w:r>
      <w:r w:rsidRPr="00BF42B7">
        <w:t>)</w:t>
      </w:r>
      <w:r w:rsidRPr="00BF42B7">
        <w:rPr>
          <w:rFonts w:hint="eastAsia"/>
        </w:rPr>
        <w:t>中所确认的，普遍认可的一般原则中包括“对</w:t>
      </w:r>
      <w:r w:rsidRPr="00BF42B7">
        <w:t>人道主义的基本考虑</w:t>
      </w:r>
      <w:r w:rsidRPr="00BF42B7">
        <w:rPr>
          <w:rFonts w:hint="eastAsia"/>
        </w:rPr>
        <w:t>，在和平时期比在战时更为艰巨”。</w:t>
      </w:r>
      <w:bookmarkStart w:id="33" w:name="_Ref457232452"/>
      <w:r w:rsidRPr="00BF42B7">
        <w:rPr>
          <w:rStyle w:val="a5"/>
          <w:szCs w:val="21"/>
        </w:rPr>
        <w:footnoteReference w:id="67"/>
      </w:r>
      <w:bookmarkEnd w:id="33"/>
      <w:r w:rsidRPr="00BF42B7">
        <w:t xml:space="preserve"> </w:t>
      </w:r>
      <w:r w:rsidRPr="00BF42B7">
        <w:rPr>
          <w:rFonts w:hint="eastAsia"/>
        </w:rPr>
        <w:t>皮克泰在对红十字会原则的评注中指出，人道主义原则有三个要素：“防止和减轻痛苦、保护生命与健康以及确保对个人的尊重”。</w:t>
      </w:r>
      <w:r w:rsidRPr="00BF42B7">
        <w:rPr>
          <w:rStyle w:val="a5"/>
          <w:szCs w:val="21"/>
        </w:rPr>
        <w:footnoteReference w:id="68"/>
      </w:r>
      <w:r w:rsidRPr="00BF42B7">
        <w:t xml:space="preserve"> </w:t>
      </w:r>
      <w:r w:rsidRPr="00BF42B7">
        <w:rPr>
          <w:rFonts w:hint="eastAsia"/>
        </w:rPr>
        <w:t>具体到救灾问题，《奥斯陆准则》及《莫洪克标准》申明，根据人道主义原则的要求，“哪里有人类痛苦，哪里就要有应对行动”。</w:t>
      </w:r>
      <w:r w:rsidRPr="00BF42B7">
        <w:rPr>
          <w:rStyle w:val="a5"/>
          <w:szCs w:val="21"/>
        </w:rPr>
        <w:footnoteReference w:id="69"/>
      </w:r>
    </w:p>
    <w:p w:rsidR="00103498" w:rsidRPr="00BF42B7" w:rsidRDefault="00103498" w:rsidP="00B46738">
      <w:pPr>
        <w:pStyle w:val="SingleTxtGC"/>
      </w:pPr>
      <w:r w:rsidRPr="00BF42B7">
        <w:t>(4)</w:t>
      </w:r>
      <w:r w:rsidR="00B46738" w:rsidRPr="00BF42B7">
        <w:rPr>
          <w:rFonts w:hint="eastAsia"/>
        </w:rPr>
        <w:t xml:space="preserve">  </w:t>
      </w:r>
      <w:r w:rsidRPr="00BF42B7">
        <w:rPr>
          <w:rFonts w:hint="eastAsia"/>
        </w:rPr>
        <w:t>中立原则源于武装冲突法律，但这项原则同样适用于其他法律领域。在人道主义援助问题上，中立原则要求提供援助应与任何特定政治、宗教、族裔或意识形态背景无关。《奥斯陆准则》及《莫洪克标准》都确认，“提供人道主义援助时不得参加敌对行动，或在政治、宗教或意识形态的争议中表示立场”。</w:t>
      </w:r>
      <w:r w:rsidRPr="00BF42B7">
        <w:rPr>
          <w:rStyle w:val="a5"/>
          <w:szCs w:val="21"/>
        </w:rPr>
        <w:footnoteReference w:id="70"/>
      </w:r>
      <w:r w:rsidRPr="00BF42B7">
        <w:t xml:space="preserve"> </w:t>
      </w:r>
      <w:r w:rsidRPr="00BF42B7">
        <w:rPr>
          <w:rFonts w:hint="eastAsia"/>
        </w:rPr>
        <w:t>这种中立原则表明了灾害应对的非政治性质，并申明人道主义活动除应对当前灾害之外不应用于其他目的。该原则确保救灾工作中受灾人员的利益是受灾国及其他相关行为方的首要关切。遵守中立原则对促进开展第</w:t>
      </w:r>
      <w:r w:rsidRPr="00BF42B7">
        <w:t>2</w:t>
      </w:r>
      <w:r w:rsidRPr="00BF42B7">
        <w:rPr>
          <w:rFonts w:hint="eastAsia"/>
        </w:rPr>
        <w:t>条草案所述的适当且有效的救灾行动至关重要。</w:t>
      </w:r>
    </w:p>
    <w:p w:rsidR="00103498" w:rsidRPr="00BF42B7" w:rsidRDefault="00103498" w:rsidP="00B46738">
      <w:pPr>
        <w:pStyle w:val="SingleTxtGC"/>
      </w:pPr>
      <w:r w:rsidRPr="00BF42B7">
        <w:t>(5)</w:t>
      </w:r>
      <w:r w:rsidR="00B46738" w:rsidRPr="00BF42B7">
        <w:rPr>
          <w:rFonts w:hint="eastAsia"/>
        </w:rPr>
        <w:t xml:space="preserve">  </w:t>
      </w:r>
      <w:r w:rsidRPr="00BF42B7">
        <w:rPr>
          <w:rFonts w:hint="eastAsia"/>
        </w:rPr>
        <w:t>公正原则包含三项原则：不歧视、相称性和公正性本身。鉴于下述原因，委员会阐述不歧视原则时，不仅将其作为第</w:t>
      </w:r>
      <w:r w:rsidRPr="00BF42B7">
        <w:t>6</w:t>
      </w:r>
      <w:r w:rsidRPr="00BF42B7">
        <w:rPr>
          <w:rFonts w:hint="eastAsia"/>
        </w:rPr>
        <w:t>条草案的内容，也作为应对灾害工作的一个独立原则。不歧视的目标使人与人之间的歧视失去客观理由，这样受灾人员的需要就成了提供援助所遵循的唯一标准。相称性原则规定，应对灾害的行动应与受灾范围及受灾人员的需要相称。该原则也是一个分配机制，使得最迫切的需要能够在实际提供援助时得到关注。公正性本身体现的原则是，应对灾害时不应在人与人之间进行主观区分。《日内瓦四公约第一附加议定书》评注将公正性描述为“响应号召为遭受苦难者的利益而行动的个人或机构必须具备的道德素质”。</w:t>
      </w:r>
      <w:r w:rsidRPr="00BF42B7">
        <w:rPr>
          <w:rStyle w:val="a5"/>
          <w:szCs w:val="21"/>
        </w:rPr>
        <w:footnoteReference w:id="71"/>
      </w:r>
      <w:r w:rsidRPr="00BF42B7">
        <w:t xml:space="preserve"> </w:t>
      </w:r>
      <w:r w:rsidRPr="00BF42B7">
        <w:rPr>
          <w:rFonts w:hint="eastAsia"/>
        </w:rPr>
        <w:t>例如，《国际人道主义援助行动导则草案》规定，“必须在公正的基础上提供人道主义援助，不应对任何迫切需要援助的人员加以不利区别”。</w:t>
      </w:r>
      <w:bookmarkStart w:id="34" w:name="_Ref457232225"/>
      <w:r w:rsidRPr="00BF42B7">
        <w:rPr>
          <w:rStyle w:val="a5"/>
          <w:szCs w:val="21"/>
        </w:rPr>
        <w:footnoteReference w:id="72"/>
      </w:r>
      <w:bookmarkEnd w:id="34"/>
      <w:r w:rsidRPr="00BF42B7">
        <w:t xml:space="preserve"> </w:t>
      </w:r>
      <w:r w:rsidRPr="00BF42B7">
        <w:rPr>
          <w:rFonts w:hint="eastAsia"/>
        </w:rPr>
        <w:t>总的来说，按照公正性原则的要求，救灾应以充分尊重并满足受灾人员的需要为目标，并且将特别弱势群体的需要作为优先事项。</w:t>
      </w:r>
    </w:p>
    <w:p w:rsidR="00103498" w:rsidRPr="00BF42B7" w:rsidRDefault="00103498" w:rsidP="00B46738">
      <w:pPr>
        <w:pStyle w:val="SingleTxtGC"/>
      </w:pPr>
      <w:r w:rsidRPr="00BF42B7">
        <w:t>(6)</w:t>
      </w:r>
      <w:r w:rsidR="00B46738" w:rsidRPr="00BF42B7">
        <w:rPr>
          <w:rFonts w:hint="eastAsia"/>
        </w:rPr>
        <w:t xml:space="preserve">  </w:t>
      </w:r>
      <w:r w:rsidRPr="00BF42B7">
        <w:rPr>
          <w:rFonts w:hint="eastAsia"/>
          <w:spacing w:val="-2"/>
        </w:rPr>
        <w:t>不歧视原则也适用于减灾活动。这项原则反映了人人生而平等以及不可对人加以不利的区别。受禁止的歧视理由难以穷尽，族裔出身、性别、国籍、政见、种族、宗教和残疾都包括在其中。</w:t>
      </w:r>
      <w:r w:rsidRPr="00BF42B7">
        <w:rPr>
          <w:rStyle w:val="a5"/>
          <w:szCs w:val="21"/>
        </w:rPr>
        <w:footnoteReference w:id="73"/>
      </w:r>
      <w:r w:rsidRPr="00BF42B7">
        <w:rPr>
          <w:spacing w:val="-2"/>
        </w:rPr>
        <w:t xml:space="preserve"> </w:t>
      </w:r>
      <w:r w:rsidRPr="00BF42B7">
        <w:rPr>
          <w:rFonts w:hint="eastAsia"/>
        </w:rPr>
        <w:t>委员会决定，鉴于不歧视对本专题的重要性，应将其作为一个独立的原则。国际法学会关于人道主义援助的</w:t>
      </w:r>
      <w:r w:rsidRPr="00BF42B7">
        <w:t>2003</w:t>
      </w:r>
      <w:r w:rsidRPr="00BF42B7">
        <w:rPr>
          <w:rFonts w:hint="eastAsia"/>
        </w:rPr>
        <w:t>年决议也采取了这一做法，该决议规定，人道主义援助的提供和分配应“不带有任何出于受禁止的理由的歧视”。</w:t>
      </w:r>
      <w:r w:rsidRPr="00BF42B7">
        <w:rPr>
          <w:rStyle w:val="a5"/>
          <w:szCs w:val="21"/>
        </w:rPr>
        <w:footnoteReference w:id="74"/>
      </w:r>
      <w:r w:rsidRPr="00BF42B7">
        <w:t xml:space="preserve"> </w:t>
      </w:r>
      <w:r w:rsidRPr="00BF42B7">
        <w:rPr>
          <w:rFonts w:hint="eastAsia"/>
        </w:rPr>
        <w:t>红十字与红新月联会《导则》也规定，为受灾人员提供援助时不应带有“任何不利区别</w:t>
      </w:r>
      <w:r w:rsidRPr="00BF42B7">
        <w:t>(</w:t>
      </w:r>
      <w:r w:rsidRPr="00BF42B7">
        <w:rPr>
          <w:rFonts w:hint="eastAsia"/>
        </w:rPr>
        <w:t>例如在国籍、种族、族裔、宗教信仰、阶层、残疾、年龄、政见等方面</w:t>
      </w:r>
      <w:r w:rsidRPr="00BF42B7">
        <w:t>)</w:t>
      </w:r>
      <w:r w:rsidRPr="00BF42B7">
        <w:rPr>
          <w:rFonts w:hint="eastAsia"/>
        </w:rPr>
        <w:t>”。</w:t>
      </w:r>
      <w:r w:rsidRPr="00BF42B7">
        <w:rPr>
          <w:rStyle w:val="a5"/>
          <w:szCs w:val="21"/>
        </w:rPr>
        <w:footnoteReference w:id="75"/>
      </w:r>
    </w:p>
    <w:p w:rsidR="00103498" w:rsidRPr="00BF42B7" w:rsidRDefault="00103498" w:rsidP="00B46738">
      <w:pPr>
        <w:pStyle w:val="SingleTxtGC"/>
      </w:pPr>
      <w:r w:rsidRPr="00BF42B7">
        <w:t>(7)</w:t>
      </w:r>
      <w:r w:rsidR="00B46738" w:rsidRPr="00BF42B7">
        <w:rPr>
          <w:rFonts w:hint="eastAsia"/>
        </w:rPr>
        <w:t xml:space="preserve">  </w:t>
      </w:r>
      <w:r w:rsidRPr="00BF42B7">
        <w:rPr>
          <w:rFonts w:hint="eastAsia"/>
        </w:rPr>
        <w:t>不应认为不歧视原则排斥酌情实行“积极歧视”的预期。第</w:t>
      </w:r>
      <w:r w:rsidRPr="00BF42B7">
        <w:t>6</w:t>
      </w:r>
      <w:r w:rsidRPr="00BF42B7">
        <w:rPr>
          <w:rFonts w:hint="eastAsia"/>
        </w:rPr>
        <w:t>条草案中的“同时考虑到特别弱势者的需要”即体现了这一立场。“弱势者”一词涵盖了群体和个人。因此，“弱势者”这一中性表达，既可指“弱势群体”也可指“弱势个人”。使用限定词“特别”是因为考虑到受灾人员本身就是弱势者这一事实。“特别弱势者”这一说法来自红十字与红新月联合会《导则》第</w:t>
      </w:r>
      <w:r w:rsidRPr="00BF42B7">
        <w:t>4</w:t>
      </w:r>
      <w:r w:rsidRPr="00BF42B7">
        <w:rPr>
          <w:rFonts w:hint="eastAsia"/>
        </w:rPr>
        <w:t>条第</w:t>
      </w:r>
      <w:r w:rsidRPr="00BF42B7">
        <w:t>3(a)</w:t>
      </w:r>
      <w:r w:rsidRPr="00BF42B7">
        <w:rPr>
          <w:rFonts w:hint="eastAsia"/>
        </w:rPr>
        <w:t>款，其中提到“妇女和特别弱势者，包括儿童、流离失所者、老人、残疾人、艾滋病毒感染者及其他重病患者”的特殊需要。</w:t>
      </w:r>
      <w:r w:rsidRPr="00BF42B7">
        <w:rPr>
          <w:rStyle w:val="a5"/>
          <w:szCs w:val="21"/>
        </w:rPr>
        <w:footnoteReference w:id="76"/>
      </w:r>
      <w:r w:rsidRPr="00BF42B7">
        <w:rPr>
          <w:rFonts w:hint="eastAsia"/>
        </w:rPr>
        <w:t xml:space="preserve"> </w:t>
      </w:r>
      <w:r w:rsidRPr="00BF42B7">
        <w:rPr>
          <w:rFonts w:hint="eastAsia"/>
        </w:rPr>
        <w:t>国际法学会通过的关于人道主义援助的决议也使用了该限定词，其中提及了考虑“最弱势者”的需要这一要求。</w:t>
      </w:r>
      <w:r w:rsidRPr="00BF42B7">
        <w:rPr>
          <w:rStyle w:val="a5"/>
          <w:szCs w:val="21"/>
        </w:rPr>
        <w:footnoteReference w:id="77"/>
      </w:r>
      <w:r w:rsidRPr="00BF42B7">
        <w:rPr>
          <w:rFonts w:hint="eastAsia"/>
        </w:rPr>
        <w:t xml:space="preserve"> </w:t>
      </w:r>
      <w:r w:rsidRPr="00BF42B7">
        <w:rPr>
          <w:rStyle w:val="shorttext"/>
          <w:rFonts w:hint="eastAsia"/>
        </w:rPr>
        <w:t>同样，大会在</w:t>
      </w:r>
      <w:r w:rsidRPr="00BF42B7">
        <w:rPr>
          <w:rStyle w:val="shorttext"/>
          <w:rFonts w:hint="eastAsia"/>
        </w:rPr>
        <w:t>2014</w:t>
      </w:r>
      <w:r w:rsidRPr="00BF42B7">
        <w:rPr>
          <w:rStyle w:val="shorttext"/>
          <w:rFonts w:hint="eastAsia"/>
        </w:rPr>
        <w:t>年</w:t>
      </w:r>
      <w:r w:rsidRPr="00BF42B7">
        <w:rPr>
          <w:rStyle w:val="shorttext"/>
          <w:rFonts w:hint="eastAsia"/>
        </w:rPr>
        <w:t>12</w:t>
      </w:r>
      <w:r w:rsidRPr="00BF42B7">
        <w:rPr>
          <w:rStyle w:val="shorttext"/>
          <w:rFonts w:hint="eastAsia"/>
        </w:rPr>
        <w:t>月</w:t>
      </w:r>
      <w:r w:rsidRPr="00BF42B7">
        <w:rPr>
          <w:rStyle w:val="shorttext"/>
          <w:rFonts w:hint="eastAsia"/>
        </w:rPr>
        <w:t>12</w:t>
      </w:r>
      <w:r w:rsidRPr="00BF42B7">
        <w:rPr>
          <w:rStyle w:val="shorttext"/>
          <w:rFonts w:hint="eastAsia"/>
        </w:rPr>
        <w:t>日第</w:t>
      </w:r>
      <w:hyperlink r:id="rId55" w:history="1">
        <w:r w:rsidRPr="007F0135">
          <w:rPr>
            <w:rStyle w:val="af"/>
            <w:rFonts w:hint="eastAsia"/>
          </w:rPr>
          <w:t>69/135</w:t>
        </w:r>
      </w:hyperlink>
      <w:r w:rsidRPr="00BF42B7">
        <w:rPr>
          <w:rStyle w:val="shorttext"/>
          <w:rFonts w:hint="eastAsia"/>
        </w:rPr>
        <w:t>号决议中也请：</w:t>
      </w:r>
    </w:p>
    <w:p w:rsidR="00103498" w:rsidRPr="00BF42B7" w:rsidRDefault="00103498" w:rsidP="00103498">
      <w:pPr>
        <w:pStyle w:val="SingleTxtGC"/>
        <w:ind w:left="1565"/>
        <w:rPr>
          <w:rStyle w:val="a5"/>
          <w:szCs w:val="21"/>
        </w:rPr>
      </w:pPr>
      <w:r w:rsidRPr="00BF42B7">
        <w:rPr>
          <w:rFonts w:hint="eastAsia"/>
        </w:rPr>
        <w:t>“</w:t>
      </w:r>
      <w:r w:rsidRPr="00BF42B7">
        <w:t>会员国、联合国系统相关人道主义组织和其他相关人道主义行为体确保人道主义应急措施的所有方面，包括备灾和需求评估，都要考虑到灾民所有组成部分，特别是女孩、男孩、妇女、老人和残疾人的具体人道主义需要和脆弱情况，包括在减少灾害风险工作的设计和执行过程中、人道主义和复原方案的制订以及在人道主义紧急情况后重建工作中这样做，在这一方面鼓励作出各种努力，确保性别平等观点主流化</w:t>
      </w:r>
      <w:r w:rsidRPr="00BF42B7">
        <w:rPr>
          <w:rFonts w:hint="eastAsia"/>
          <w:lang w:val="fr-CH"/>
        </w:rPr>
        <w:t>……</w:t>
      </w:r>
      <w:r w:rsidRPr="00BF42B7">
        <w:rPr>
          <w:rFonts w:hint="eastAsia"/>
        </w:rPr>
        <w:t>”</w:t>
      </w:r>
      <w:r w:rsidRPr="00BF42B7">
        <w:rPr>
          <w:rStyle w:val="a5"/>
          <w:szCs w:val="21"/>
        </w:rPr>
        <w:footnoteReference w:id="78"/>
      </w:r>
    </w:p>
    <w:p w:rsidR="00103498" w:rsidRPr="00BF42B7" w:rsidRDefault="00103498" w:rsidP="00103498">
      <w:pPr>
        <w:pStyle w:val="SingleTxtGC"/>
      </w:pPr>
      <w:r w:rsidRPr="00BF42B7">
        <w:rPr>
          <w:rFonts w:hint="eastAsia"/>
        </w:rPr>
        <w:t>委员会决定不在本条草案内列入一份弱势群体清单，是认为弱势具有相对性质。重要的是，在受灾或可能受灾的广泛个人群体内不赘述固定的特别弱势的亚群体，而是确认不歧视原则包含对特别弱势者需要予以特别关注的积极义务。“特别弱势者”一词是故意开放的，不仅包括上述与本概念相关的个人类别，也包括在灾害后也处于特别脆弱状况的其他可能个人，如非本国国民。</w:t>
      </w:r>
    </w:p>
    <w:p w:rsidR="00103498" w:rsidRPr="00BF42B7" w:rsidRDefault="00103498" w:rsidP="00B46738">
      <w:pPr>
        <w:pStyle w:val="SingleTxtGC"/>
        <w:rPr>
          <w:szCs w:val="21"/>
        </w:rPr>
      </w:pPr>
      <w:r w:rsidRPr="00BF42B7">
        <w:rPr>
          <w:rFonts w:hint="eastAsia"/>
          <w:szCs w:val="21"/>
        </w:rPr>
        <w:t>(8)</w:t>
      </w:r>
      <w:r w:rsidR="00B46738" w:rsidRPr="00BF42B7">
        <w:rPr>
          <w:rFonts w:hint="eastAsia"/>
          <w:szCs w:val="21"/>
        </w:rPr>
        <w:t xml:space="preserve">  </w:t>
      </w:r>
      <w:r w:rsidRPr="00BF42B7">
        <w:rPr>
          <w:rFonts w:hint="eastAsia"/>
          <w:szCs w:val="21"/>
        </w:rPr>
        <w:t>委员会认为，这里提到的“考虑到”是广义的，除其他外也包括发生灾害时获得信息和社区参与，包括弱势群体参与设计、实施、监督、评估和援助，以及应对灾害的准备。</w:t>
      </w:r>
    </w:p>
    <w:p w:rsidR="00103498" w:rsidRPr="00BF42B7" w:rsidRDefault="00103498" w:rsidP="00B46738">
      <w:pPr>
        <w:pStyle w:val="SingleTxtGC"/>
        <w:rPr>
          <w:szCs w:val="21"/>
        </w:rPr>
      </w:pPr>
      <w:r w:rsidRPr="00BF42B7">
        <w:rPr>
          <w:rFonts w:hint="eastAsia"/>
          <w:szCs w:val="21"/>
        </w:rPr>
        <w:t>(9)</w:t>
      </w:r>
      <w:r w:rsidR="00B46738" w:rsidRPr="00BF42B7">
        <w:rPr>
          <w:rFonts w:hint="eastAsia"/>
          <w:szCs w:val="21"/>
        </w:rPr>
        <w:t xml:space="preserve">  </w:t>
      </w:r>
      <w:r w:rsidRPr="00BF42B7">
        <w:rPr>
          <w:rFonts w:hint="eastAsia"/>
          <w:szCs w:val="21"/>
        </w:rPr>
        <w:t>委员会认识到，灾害对妇女和女童、男人和男童的影响往往会不同。在很多情况下，性别不平等限制了妇女和女童的影响力和控制权，她们无法平等参与对影响其生活的决定以及获得资源，如资金、食品、农业投入品、土地和财产、技术、教育、卫生、安全住房和就业机会。她们受到的影响可能特别大，在灾害发生时或发生后，面临各种风险，其中包括更多地失去生命和生计，遭受性别暴力等。人们日益认识到，妇女和女童与男人和男童一样，也拥有技术和能力，可以作为减灾和人道主义行动的参与者和合作伙伴，参与备灾、救灾和灾后恢复。妇女和女童的能力和知识可在个人和社区抗灾中发挥重要作用。从基于性别的视角进行灾害风险管理的重要性已得到各方面的认可，包括</w:t>
      </w:r>
      <w:r w:rsidRPr="00BF42B7">
        <w:rPr>
          <w:szCs w:val="21"/>
        </w:rPr>
        <w:t>《</w:t>
      </w:r>
      <w:r w:rsidRPr="00BF42B7">
        <w:rPr>
          <w:szCs w:val="21"/>
        </w:rPr>
        <w:t>2005-2015</w:t>
      </w:r>
      <w:r w:rsidRPr="00BF42B7">
        <w:rPr>
          <w:szCs w:val="21"/>
        </w:rPr>
        <w:t>年兵库行动框架：加强国家和社区的抗灾能力》</w:t>
      </w:r>
      <w:bookmarkStart w:id="35" w:name="_Ref455500083"/>
      <w:r w:rsidRPr="00BF42B7">
        <w:rPr>
          <w:rStyle w:val="a5"/>
          <w:szCs w:val="21"/>
        </w:rPr>
        <w:footnoteReference w:id="79"/>
      </w:r>
      <w:bookmarkEnd w:id="35"/>
      <w:r w:rsidRPr="00BF42B7">
        <w:rPr>
          <w:rStyle w:val="a5"/>
          <w:rFonts w:hint="eastAsia"/>
        </w:rPr>
        <w:t xml:space="preserve"> </w:t>
      </w:r>
      <w:r w:rsidRPr="00BF42B7">
        <w:rPr>
          <w:rFonts w:hint="eastAsia"/>
          <w:szCs w:val="21"/>
        </w:rPr>
        <w:t>和《仙台框架》</w:t>
      </w:r>
      <w:r w:rsidRPr="00BF42B7">
        <w:rPr>
          <w:rStyle w:val="a5"/>
          <w:szCs w:val="21"/>
        </w:rPr>
        <w:footnoteReference w:id="80"/>
      </w:r>
      <w:r w:rsidRPr="00BF42B7">
        <w:rPr>
          <w:rFonts w:hint="eastAsia"/>
          <w:szCs w:val="21"/>
        </w:rPr>
        <w:t>。</w:t>
      </w:r>
    </w:p>
    <w:p w:rsidR="00103498" w:rsidRPr="00BF42B7" w:rsidRDefault="00B46738" w:rsidP="00CD12D6">
      <w:pPr>
        <w:pStyle w:val="H23GC"/>
        <w:ind w:left="1554"/>
      </w:pPr>
      <w:bookmarkStart w:id="36" w:name="_Toc398303945"/>
      <w:r w:rsidRPr="00BF42B7">
        <w:rPr>
          <w:rFonts w:hint="eastAsia"/>
        </w:rPr>
        <w:tab/>
      </w:r>
      <w:r w:rsidRPr="00BF42B7">
        <w:rPr>
          <w:rFonts w:hint="eastAsia"/>
        </w:rPr>
        <w:tab/>
      </w:r>
      <w:r w:rsidR="00103498" w:rsidRPr="00BF42B7">
        <w:rPr>
          <w:rFonts w:hint="eastAsia"/>
        </w:rPr>
        <w:t>第</w:t>
      </w:r>
      <w:r w:rsidR="00103498" w:rsidRPr="00BF42B7">
        <w:rPr>
          <w:rFonts w:hint="eastAsia"/>
        </w:rPr>
        <w:t>7</w:t>
      </w:r>
      <w:r w:rsidR="00103498" w:rsidRPr="00BF42B7">
        <w:rPr>
          <w:rFonts w:hint="eastAsia"/>
        </w:rPr>
        <w:t>条</w:t>
      </w:r>
      <w:r w:rsidR="00103498" w:rsidRPr="00BF42B7">
        <w:br/>
      </w:r>
      <w:r w:rsidR="00103498" w:rsidRPr="00BF42B7">
        <w:rPr>
          <w:rFonts w:hint="eastAsia"/>
        </w:rPr>
        <w:t>合作的义务</w:t>
      </w:r>
      <w:bookmarkEnd w:id="36"/>
    </w:p>
    <w:p w:rsidR="00103498" w:rsidRPr="00BF42B7" w:rsidRDefault="00103498" w:rsidP="00CD12D6">
      <w:pPr>
        <w:pStyle w:val="SingleTxtGC"/>
        <w:tabs>
          <w:tab w:val="clear" w:pos="431"/>
          <w:tab w:val="clear" w:pos="1134"/>
          <w:tab w:val="clear" w:pos="1565"/>
        </w:tabs>
        <w:ind w:left="1554"/>
      </w:pPr>
      <w:r w:rsidRPr="00BF42B7">
        <w:rPr>
          <w:lang w:val="zh-CN"/>
        </w:rPr>
        <w:tab/>
      </w:r>
      <w:r w:rsidRPr="00BF42B7">
        <w:rPr>
          <w:lang w:val="zh-CN"/>
        </w:rPr>
        <w:t>适用本条款草案时，各国应酌情相互合作，并与联合国、红十字与红新月运动各组成部分及其他援助方合作</w:t>
      </w:r>
      <w:r w:rsidRPr="00BF42B7">
        <w:rPr>
          <w:rFonts w:hint="eastAsia"/>
        </w:rPr>
        <w:t>。</w:t>
      </w:r>
    </w:p>
    <w:p w:rsidR="00103498" w:rsidRPr="00BF42B7" w:rsidRDefault="00103498" w:rsidP="00B46738">
      <w:pPr>
        <w:pStyle w:val="H23GC"/>
      </w:pPr>
      <w:r w:rsidRPr="00BF42B7">
        <w:tab/>
      </w:r>
      <w:r w:rsidRPr="00BF42B7">
        <w:tab/>
      </w:r>
      <w:bookmarkStart w:id="37" w:name="_Toc398303946"/>
      <w:r w:rsidRPr="00BF42B7">
        <w:rPr>
          <w:rFonts w:hint="eastAsia"/>
        </w:rPr>
        <w:t>评注</w:t>
      </w:r>
      <w:bookmarkEnd w:id="37"/>
    </w:p>
    <w:p w:rsidR="00103498" w:rsidRPr="00BF42B7" w:rsidRDefault="00103498" w:rsidP="00B46738">
      <w:pPr>
        <w:pStyle w:val="SingleTxtGC"/>
      </w:pPr>
      <w:r w:rsidRPr="00BF42B7">
        <w:t>(1)</w:t>
      </w:r>
      <w:r w:rsidR="00B46738" w:rsidRPr="00BF42B7">
        <w:rPr>
          <w:rFonts w:hint="eastAsia"/>
        </w:rPr>
        <w:t xml:space="preserve">  </w:t>
      </w:r>
      <w:r w:rsidRPr="00BF42B7">
        <w:rPr>
          <w:rFonts w:hint="eastAsia"/>
        </w:rPr>
        <w:t>有效的国际合作是发生灾害时保护人员不可或缺的。合作的义务是一项公认的国际法原则，在众多国际文书中均有表述。《联合国宪章》一再申明这一原则，特别提及发生灾害时保护人员这一人道主义情势。《宪章》第一条第三款明确规定联合国的宗旨之一是：</w:t>
      </w:r>
    </w:p>
    <w:p w:rsidR="00103498" w:rsidRPr="00BF42B7" w:rsidRDefault="00103498" w:rsidP="00103498">
      <w:pPr>
        <w:pStyle w:val="SingleTxtGC"/>
        <w:ind w:left="1565"/>
      </w:pPr>
      <w:r w:rsidRPr="00BF42B7">
        <w:rPr>
          <w:rFonts w:hint="eastAsia"/>
        </w:rPr>
        <w:t>“促成国际合作，以解决国际间属于经济、社会、文化、及人类福利性质之国际问题，且不分种族、性别、语言、或宗教，增进并激励对于全体人类之人权及基本自由之尊重”。</w:t>
      </w:r>
    </w:p>
    <w:p w:rsidR="00103498" w:rsidRPr="00BF42B7" w:rsidRDefault="00103498" w:rsidP="00103498">
      <w:pPr>
        <w:pStyle w:val="SingleTxtGC"/>
      </w:pPr>
      <w:r w:rsidRPr="00BF42B7">
        <w:rPr>
          <w:rFonts w:hint="eastAsia"/>
        </w:rPr>
        <w:t>《宪章》第五十五和第五十六条在有关国际合作方面对第一条第三款进行了详细阐述。第五十五条规定：</w:t>
      </w:r>
    </w:p>
    <w:p w:rsidR="00103498" w:rsidRPr="00BF42B7" w:rsidRDefault="00103498" w:rsidP="00103498">
      <w:pPr>
        <w:pStyle w:val="SingleTxtGC"/>
        <w:ind w:left="1565"/>
      </w:pPr>
      <w:r w:rsidRPr="00BF42B7">
        <w:rPr>
          <w:rFonts w:hint="eastAsia"/>
        </w:rPr>
        <w:t>“为造成国际间以尊重人民平等权利及自决原则为根据之和平友好关系所必要之安定及福利条件起见，联合国应促进：</w:t>
      </w:r>
    </w:p>
    <w:p w:rsidR="00103498" w:rsidRPr="00BF42B7" w:rsidRDefault="00103498" w:rsidP="00103498">
      <w:pPr>
        <w:pStyle w:val="SingleTxtGC"/>
        <w:tabs>
          <w:tab w:val="left" w:pos="2694"/>
        </w:tabs>
        <w:ind w:left="1565"/>
      </w:pPr>
      <w:r w:rsidRPr="00BF42B7">
        <w:tab/>
      </w:r>
      <w:r w:rsidRPr="00BF42B7">
        <w:rPr>
          <w:rFonts w:hint="eastAsia"/>
        </w:rPr>
        <w:t>“</w:t>
      </w:r>
      <w:r w:rsidRPr="00BF42B7">
        <w:t>(</w:t>
      </w:r>
      <w:r w:rsidRPr="00BF42B7">
        <w:rPr>
          <w:rFonts w:hint="eastAsia"/>
        </w:rPr>
        <w:t>子</w:t>
      </w:r>
      <w:r w:rsidRPr="00BF42B7">
        <w:t>)</w:t>
      </w:r>
      <w:r w:rsidRPr="00BF42B7">
        <w:tab/>
      </w:r>
      <w:r w:rsidRPr="00BF42B7">
        <w:rPr>
          <w:rFonts w:hint="eastAsia"/>
        </w:rPr>
        <w:t>较高之生活程度，全民就业，及经济与社会进展；</w:t>
      </w:r>
    </w:p>
    <w:p w:rsidR="00103498" w:rsidRPr="00BF42B7" w:rsidRDefault="00103498" w:rsidP="00103498">
      <w:pPr>
        <w:pStyle w:val="SingleTxtGC"/>
        <w:tabs>
          <w:tab w:val="left" w:pos="2694"/>
        </w:tabs>
        <w:ind w:left="1565"/>
      </w:pPr>
      <w:r w:rsidRPr="00BF42B7">
        <w:tab/>
      </w:r>
      <w:r w:rsidRPr="00BF42B7">
        <w:rPr>
          <w:rFonts w:hint="eastAsia"/>
        </w:rPr>
        <w:t>“</w:t>
      </w:r>
      <w:r w:rsidRPr="00BF42B7">
        <w:t>(</w:t>
      </w:r>
      <w:r w:rsidRPr="00BF42B7">
        <w:rPr>
          <w:rFonts w:hint="eastAsia"/>
        </w:rPr>
        <w:t>丑</w:t>
      </w:r>
      <w:r w:rsidRPr="00BF42B7">
        <w:t>)</w:t>
      </w:r>
      <w:r w:rsidRPr="00BF42B7">
        <w:rPr>
          <w:rFonts w:hint="eastAsia"/>
        </w:rPr>
        <w:tab/>
      </w:r>
      <w:r w:rsidRPr="00BF42B7">
        <w:rPr>
          <w:rFonts w:hint="eastAsia"/>
        </w:rPr>
        <w:t>国际间经济、社会、卫生及有关问题之解决；国际间文化及教育合作；</w:t>
      </w:r>
    </w:p>
    <w:p w:rsidR="00103498" w:rsidRPr="00BF42B7" w:rsidRDefault="00103498" w:rsidP="00103498">
      <w:pPr>
        <w:pStyle w:val="SingleTxtGC"/>
        <w:tabs>
          <w:tab w:val="left" w:pos="2694"/>
        </w:tabs>
        <w:ind w:left="1565"/>
      </w:pPr>
      <w:r w:rsidRPr="00BF42B7">
        <w:tab/>
      </w:r>
      <w:r w:rsidRPr="00BF42B7">
        <w:rPr>
          <w:rFonts w:hint="eastAsia"/>
        </w:rPr>
        <w:t>“</w:t>
      </w:r>
      <w:r w:rsidRPr="00BF42B7">
        <w:t>(</w:t>
      </w:r>
      <w:r w:rsidRPr="00BF42B7">
        <w:rPr>
          <w:rFonts w:hint="eastAsia"/>
        </w:rPr>
        <w:t>寅</w:t>
      </w:r>
      <w:r w:rsidRPr="00BF42B7">
        <w:t>)</w:t>
      </w:r>
      <w:r w:rsidRPr="00BF42B7">
        <w:rPr>
          <w:rFonts w:hint="eastAsia"/>
        </w:rPr>
        <w:tab/>
      </w:r>
      <w:r w:rsidRPr="00BF42B7">
        <w:rPr>
          <w:rFonts w:hint="eastAsia"/>
        </w:rPr>
        <w:t>全体人类之人权及基本自由之普遍尊重与遵守，不分种族、性别、语言或宗教”。</w:t>
      </w:r>
    </w:p>
    <w:p w:rsidR="00103498" w:rsidRPr="00BF42B7" w:rsidRDefault="00103498" w:rsidP="00103498">
      <w:pPr>
        <w:pStyle w:val="SingleTxtGC"/>
        <w:ind w:left="1293"/>
      </w:pPr>
      <w:r w:rsidRPr="00BF42B7">
        <w:rPr>
          <w:rFonts w:hint="eastAsia"/>
        </w:rPr>
        <w:t>《宪章》第五十六条规定：</w:t>
      </w:r>
    </w:p>
    <w:p w:rsidR="00103498" w:rsidRPr="00BF42B7" w:rsidRDefault="00103498" w:rsidP="00103498">
      <w:pPr>
        <w:pStyle w:val="SingleTxtGC"/>
        <w:ind w:left="1565"/>
      </w:pPr>
      <w:r w:rsidRPr="00BF42B7">
        <w:rPr>
          <w:rFonts w:hint="eastAsia"/>
        </w:rPr>
        <w:t>“各会员国担允采取共同及个别行动与本组织合作，以达成第五十五条所载之宗旨”。</w:t>
      </w:r>
    </w:p>
    <w:p w:rsidR="00103498" w:rsidRPr="00BF42B7" w:rsidRDefault="00103498" w:rsidP="00103498">
      <w:pPr>
        <w:pStyle w:val="SingleTxtGC"/>
      </w:pPr>
      <w:r w:rsidRPr="00BF42B7">
        <w:rPr>
          <w:rFonts w:hint="eastAsia"/>
        </w:rPr>
        <w:t>《关于各国依联合国宪章建立友好关系和合作的国际法原则宣言》以下列措辞重申一般合作责任是国际法的原则之一：</w:t>
      </w:r>
    </w:p>
    <w:p w:rsidR="00103498" w:rsidRPr="00BF42B7" w:rsidRDefault="00103498" w:rsidP="00B46738">
      <w:pPr>
        <w:pStyle w:val="SingleTxtGC"/>
        <w:ind w:left="1565"/>
      </w:pPr>
      <w:r w:rsidRPr="00BF42B7">
        <w:rPr>
          <w:rFonts w:hint="eastAsia"/>
        </w:rPr>
        <w:t>“各国不问在政治、经济及社会制度上有何差异均有义务在国际关系之各方面彼此合作，以期维持国际和平与安全，并增进国际经济安定与进步、各国之一般福利及不受此种差异所产生歧视之国际合作。”</w:t>
      </w:r>
      <w:r w:rsidRPr="00BF42B7">
        <w:rPr>
          <w:rStyle w:val="a5"/>
          <w:szCs w:val="21"/>
        </w:rPr>
        <w:footnoteReference w:id="81"/>
      </w:r>
    </w:p>
    <w:p w:rsidR="00103498" w:rsidRPr="00BF42B7" w:rsidRDefault="00103498" w:rsidP="00B46738">
      <w:pPr>
        <w:pStyle w:val="SingleTxtGC"/>
        <w:rPr>
          <w:szCs w:val="21"/>
        </w:rPr>
      </w:pPr>
      <w:r w:rsidRPr="00BF42B7">
        <w:rPr>
          <w:szCs w:val="21"/>
        </w:rPr>
        <w:t>(2)</w:t>
      </w:r>
      <w:r w:rsidR="00B46738" w:rsidRPr="00BF42B7">
        <w:rPr>
          <w:rFonts w:hint="eastAsia"/>
          <w:szCs w:val="21"/>
        </w:rPr>
        <w:t xml:space="preserve">  </w:t>
      </w:r>
      <w:r w:rsidRPr="00BF42B7">
        <w:rPr>
          <w:rFonts w:hint="eastAsia"/>
          <w:szCs w:val="21"/>
        </w:rPr>
        <w:t>对于各国所承担的国际人权义务来说，合作具有特别意义。《经济、社会、文化权利国际公约》明确地将国际合作称为实现该《公约》所载权利的一种手段。</w:t>
      </w:r>
      <w:r w:rsidRPr="00BF42B7">
        <w:rPr>
          <w:rStyle w:val="a5"/>
        </w:rPr>
        <w:footnoteReference w:id="82"/>
      </w:r>
      <w:r w:rsidRPr="00BF42B7">
        <w:rPr>
          <w:szCs w:val="21"/>
        </w:rPr>
        <w:t xml:space="preserve"> </w:t>
      </w:r>
      <w:r w:rsidRPr="00BF42B7">
        <w:rPr>
          <w:rFonts w:hint="eastAsia"/>
          <w:szCs w:val="21"/>
        </w:rPr>
        <w:t>经济、社会、文化权利委员会在关于执行该《公约》所保障的具体权利的一般性意见中重申了这一规定。</w:t>
      </w:r>
      <w:r w:rsidRPr="00BF42B7">
        <w:rPr>
          <w:color w:val="0000FF"/>
          <w:vertAlign w:val="superscript"/>
          <w:lang w:val="en-GB"/>
        </w:rPr>
        <w:footnoteReference w:id="83"/>
      </w:r>
      <w:r w:rsidRPr="00BF42B7">
        <w:rPr>
          <w:szCs w:val="21"/>
        </w:rPr>
        <w:t xml:space="preserve"> </w:t>
      </w:r>
      <w:r w:rsidRPr="00BF42B7">
        <w:rPr>
          <w:rFonts w:hint="eastAsia"/>
          <w:szCs w:val="21"/>
        </w:rPr>
        <w:t>国际合作在</w:t>
      </w:r>
      <w:r w:rsidRPr="00BF42B7">
        <w:rPr>
          <w:szCs w:val="21"/>
        </w:rPr>
        <w:t>2006</w:t>
      </w:r>
      <w:r w:rsidRPr="00BF42B7">
        <w:rPr>
          <w:rFonts w:hint="eastAsia"/>
          <w:szCs w:val="21"/>
        </w:rPr>
        <w:t>年《残疾人权利公约》中尤显突出，《公约》重申了“在危难情况下，包括在发生武装冲突、人道主义紧急情况和自然灾害时”存在着的对残疾人的国际义务。</w:t>
      </w:r>
      <w:r w:rsidRPr="00BF42B7">
        <w:rPr>
          <w:color w:val="0000FF"/>
          <w:vertAlign w:val="superscript"/>
          <w:lang w:val="en-GB"/>
        </w:rPr>
        <w:footnoteReference w:id="84"/>
      </w:r>
    </w:p>
    <w:p w:rsidR="00103498" w:rsidRPr="00BF42B7" w:rsidRDefault="00103498" w:rsidP="00B46738">
      <w:pPr>
        <w:pStyle w:val="SingleTxtGC"/>
        <w:rPr>
          <w:szCs w:val="21"/>
        </w:rPr>
      </w:pPr>
      <w:r w:rsidRPr="00BF42B7">
        <w:rPr>
          <w:szCs w:val="21"/>
        </w:rPr>
        <w:t>(3)</w:t>
      </w:r>
      <w:r w:rsidR="00B46738" w:rsidRPr="00BF42B7">
        <w:rPr>
          <w:rFonts w:hint="eastAsia"/>
          <w:szCs w:val="21"/>
        </w:rPr>
        <w:t xml:space="preserve">  </w:t>
      </w:r>
      <w:r w:rsidRPr="00BF42B7">
        <w:rPr>
          <w:rFonts w:hint="eastAsia"/>
          <w:szCs w:val="21"/>
        </w:rPr>
        <w:t>关于救灾援助时的合作，大会在第</w:t>
      </w:r>
      <w:hyperlink r:id="rId56" w:history="1">
        <w:r w:rsidRPr="007F0135">
          <w:rPr>
            <w:rStyle w:val="af"/>
            <w:szCs w:val="21"/>
          </w:rPr>
          <w:t>46/182</w:t>
        </w:r>
      </w:hyperlink>
      <w:r w:rsidRPr="00BF42B7">
        <w:rPr>
          <w:rFonts w:hint="eastAsia"/>
          <w:szCs w:val="21"/>
        </w:rPr>
        <w:t>号决议中确认：</w:t>
      </w:r>
    </w:p>
    <w:p w:rsidR="00103498" w:rsidRPr="00BF42B7" w:rsidRDefault="00103498" w:rsidP="00103498">
      <w:pPr>
        <w:pStyle w:val="SingleTxtGC"/>
        <w:ind w:left="1565"/>
        <w:rPr>
          <w:szCs w:val="21"/>
        </w:rPr>
      </w:pPr>
      <w:r w:rsidRPr="00BF42B7">
        <w:rPr>
          <w:rFonts w:hint="eastAsia"/>
          <w:szCs w:val="21"/>
        </w:rPr>
        <w:t>“许多紧急情况的规模和持续的时间可能不是许多受灾国的能力可以应付的。因此进行国际合作以处理紧急情况和加强受灾国的应付能力是非常重要的。应根据国际法和各国法律提供这种合作……”</w:t>
      </w:r>
      <w:r w:rsidRPr="00BF42B7">
        <w:rPr>
          <w:rStyle w:val="a5"/>
        </w:rPr>
        <w:footnoteReference w:id="85"/>
      </w:r>
    </w:p>
    <w:p w:rsidR="00103498" w:rsidRPr="00BF42B7" w:rsidRDefault="00103498" w:rsidP="00103498">
      <w:pPr>
        <w:pStyle w:val="SingleTxtGC"/>
        <w:rPr>
          <w:szCs w:val="21"/>
        </w:rPr>
      </w:pPr>
      <w:r w:rsidRPr="00BF42B7">
        <w:rPr>
          <w:rFonts w:hint="eastAsia"/>
          <w:szCs w:val="21"/>
        </w:rPr>
        <w:t>此外，关于减灾情况下的合作，《仙台框架》指导原则第</w:t>
      </w:r>
      <w:r w:rsidRPr="00BF42B7">
        <w:rPr>
          <w:rFonts w:hint="eastAsia"/>
          <w:szCs w:val="21"/>
        </w:rPr>
        <w:t>19</w:t>
      </w:r>
      <w:r w:rsidRPr="00BF42B7">
        <w:rPr>
          <w:szCs w:val="21"/>
        </w:rPr>
        <w:t>(a)</w:t>
      </w:r>
      <w:r w:rsidRPr="00BF42B7">
        <w:rPr>
          <w:rFonts w:hint="eastAsia"/>
          <w:szCs w:val="21"/>
        </w:rPr>
        <w:t>段指出，“</w:t>
      </w:r>
      <w:r w:rsidRPr="00BF42B7">
        <w:rPr>
          <w:szCs w:val="21"/>
        </w:rPr>
        <w:t>每个国家都负有通过国际、区域、次区域、跨界和双边合作预防和减少灾害风险的首要责任</w:t>
      </w:r>
      <w:r w:rsidRPr="00BF42B7">
        <w:rPr>
          <w:rFonts w:hint="eastAsia"/>
          <w:szCs w:val="21"/>
        </w:rPr>
        <w:t>”。发生灾害时的人员保护问题，已有大量与之具体相关的文书，显示出国际合作对抗击灾害影响的重要性。这些文书不仅本身便是合作的表述，而且文书案文中普遍反映出在灾害治理具体方面应实行合作的原则。就双边协议而言，这通常体现在文书标题中，明确表示合作或</w:t>
      </w:r>
      <w:r w:rsidRPr="00BF42B7">
        <w:rPr>
          <w:szCs w:val="21"/>
        </w:rPr>
        <w:t>(</w:t>
      </w:r>
      <w:r w:rsidRPr="00BF42B7">
        <w:rPr>
          <w:rFonts w:hint="eastAsia"/>
          <w:szCs w:val="21"/>
        </w:rPr>
        <w:t>相互</w:t>
      </w:r>
      <w:r w:rsidRPr="00BF42B7">
        <w:rPr>
          <w:szCs w:val="21"/>
        </w:rPr>
        <w:t>)</w:t>
      </w:r>
      <w:r w:rsidRPr="00BF42B7">
        <w:rPr>
          <w:rFonts w:hint="eastAsia"/>
          <w:szCs w:val="21"/>
        </w:rPr>
        <w:t>援助。</w:t>
      </w:r>
      <w:r w:rsidRPr="00BF42B7">
        <w:rPr>
          <w:rStyle w:val="a5"/>
        </w:rPr>
        <w:footnoteReference w:id="86"/>
      </w:r>
      <w:r w:rsidRPr="00BF42B7">
        <w:rPr>
          <w:rStyle w:val="a5"/>
          <w:vertAlign w:val="baseline"/>
        </w:rPr>
        <w:t xml:space="preserve"> </w:t>
      </w:r>
      <w:r w:rsidRPr="00BF42B7">
        <w:rPr>
          <w:rFonts w:hint="eastAsia"/>
          <w:szCs w:val="21"/>
        </w:rPr>
        <w:t>此外，合作义务在大多数情况下被列为文书的目标之一或被视为对这些目标具有积极作用。同样，《坦佩雷公约》也与之相关，《公约》序言第</w:t>
      </w:r>
      <w:r w:rsidRPr="00BF42B7">
        <w:rPr>
          <w:szCs w:val="21"/>
        </w:rPr>
        <w:t>21</w:t>
      </w:r>
      <w:r w:rsidRPr="00BF42B7">
        <w:rPr>
          <w:rFonts w:hint="eastAsia"/>
          <w:szCs w:val="21"/>
        </w:rPr>
        <w:t>段指出，各缔约方期望“促进国际合作以减轻灾害所造成的影响”。另一实例是法国与马来西亚之间的一项协定：</w:t>
      </w:r>
    </w:p>
    <w:p w:rsidR="00103498" w:rsidRPr="00BF42B7" w:rsidRDefault="00103498" w:rsidP="00103498">
      <w:pPr>
        <w:pStyle w:val="SingleTxtGC"/>
        <w:ind w:left="1565"/>
        <w:rPr>
          <w:szCs w:val="21"/>
        </w:rPr>
      </w:pPr>
      <w:r w:rsidRPr="00BF42B7">
        <w:rPr>
          <w:rFonts w:hint="eastAsia"/>
          <w:szCs w:val="21"/>
        </w:rPr>
        <w:t>“坚信，双方主管机构需要在预防严重风险以及保护人口、财产和环境方面发展合作……”</w:t>
      </w:r>
      <w:r w:rsidRPr="00BF42B7">
        <w:rPr>
          <w:rStyle w:val="a5"/>
        </w:rPr>
        <w:footnoteReference w:id="87"/>
      </w:r>
    </w:p>
    <w:p w:rsidR="00103498" w:rsidRPr="00BF42B7" w:rsidRDefault="00103498" w:rsidP="00B46738">
      <w:pPr>
        <w:pStyle w:val="SingleTxtGC"/>
        <w:rPr>
          <w:szCs w:val="21"/>
        </w:rPr>
      </w:pPr>
      <w:r w:rsidRPr="00BF42B7">
        <w:rPr>
          <w:szCs w:val="21"/>
        </w:rPr>
        <w:t>(4)</w:t>
      </w:r>
      <w:r w:rsidR="00B46738" w:rsidRPr="00BF42B7">
        <w:rPr>
          <w:rFonts w:hint="eastAsia"/>
          <w:szCs w:val="21"/>
        </w:rPr>
        <w:t xml:space="preserve">  </w:t>
      </w:r>
      <w:r w:rsidRPr="00BF42B7">
        <w:rPr>
          <w:rFonts w:hint="eastAsia"/>
          <w:szCs w:val="21"/>
        </w:rPr>
        <w:t>然而，合作不应解释为削弱受灾国承担的主要作用，正如第</w:t>
      </w:r>
      <w:r w:rsidRPr="00BF42B7">
        <w:rPr>
          <w:szCs w:val="21"/>
        </w:rPr>
        <w:t>1</w:t>
      </w:r>
      <w:r w:rsidRPr="00BF42B7">
        <w:rPr>
          <w:rFonts w:hint="eastAsia"/>
          <w:szCs w:val="21"/>
        </w:rPr>
        <w:t>0</w:t>
      </w:r>
      <w:r w:rsidRPr="00BF42B7">
        <w:rPr>
          <w:rFonts w:hint="eastAsia"/>
          <w:szCs w:val="21"/>
        </w:rPr>
        <w:t>条草案第</w:t>
      </w:r>
      <w:r w:rsidRPr="00BF42B7">
        <w:rPr>
          <w:szCs w:val="21"/>
        </w:rPr>
        <w:t>2</w:t>
      </w:r>
      <w:r w:rsidRPr="00BF42B7">
        <w:rPr>
          <w:rFonts w:hint="eastAsia"/>
          <w:szCs w:val="21"/>
        </w:rPr>
        <w:t>款所规定的。此外，合作原则应理解为是对受灾国义务的补充，即受灾国当局有义务照顾受其境内发生的自然灾害和类似紧急情况影响的人</w:t>
      </w:r>
      <w:r w:rsidRPr="00BF42B7">
        <w:rPr>
          <w:szCs w:val="21"/>
        </w:rPr>
        <w:t>(</w:t>
      </w:r>
      <w:r w:rsidRPr="00BF42B7">
        <w:rPr>
          <w:rFonts w:hint="eastAsia"/>
          <w:szCs w:val="21"/>
        </w:rPr>
        <w:t>第</w:t>
      </w:r>
      <w:r w:rsidRPr="00BF42B7">
        <w:rPr>
          <w:szCs w:val="21"/>
        </w:rPr>
        <w:t>1</w:t>
      </w:r>
      <w:r w:rsidRPr="00BF42B7">
        <w:rPr>
          <w:rFonts w:hint="eastAsia"/>
          <w:szCs w:val="21"/>
        </w:rPr>
        <w:t>0</w:t>
      </w:r>
      <w:r w:rsidRPr="00BF42B7">
        <w:rPr>
          <w:rFonts w:hint="eastAsia"/>
          <w:szCs w:val="21"/>
        </w:rPr>
        <w:t>条草案第</w:t>
      </w:r>
      <w:r w:rsidRPr="00BF42B7">
        <w:rPr>
          <w:szCs w:val="21"/>
        </w:rPr>
        <w:t>1</w:t>
      </w:r>
      <w:r w:rsidRPr="00BF42B7">
        <w:rPr>
          <w:rFonts w:hint="eastAsia"/>
          <w:szCs w:val="21"/>
        </w:rPr>
        <w:t>款</w:t>
      </w:r>
      <w:r w:rsidRPr="00BF42B7">
        <w:rPr>
          <w:szCs w:val="21"/>
        </w:rPr>
        <w:t>)</w:t>
      </w:r>
      <w:r w:rsidRPr="00BF42B7">
        <w:rPr>
          <w:rFonts w:hint="eastAsia"/>
          <w:szCs w:val="21"/>
        </w:rPr>
        <w:t>。</w:t>
      </w:r>
      <w:r w:rsidRPr="00BF42B7">
        <w:rPr>
          <w:rStyle w:val="a5"/>
        </w:rPr>
        <w:footnoteReference w:id="88"/>
      </w:r>
    </w:p>
    <w:p w:rsidR="00103498" w:rsidRPr="00BF42B7" w:rsidRDefault="00103498" w:rsidP="00B46738">
      <w:pPr>
        <w:pStyle w:val="SingleTxtGC"/>
        <w:tabs>
          <w:tab w:val="clear" w:pos="2427"/>
          <w:tab w:val="left" w:pos="2220"/>
        </w:tabs>
        <w:rPr>
          <w:szCs w:val="21"/>
        </w:rPr>
      </w:pPr>
      <w:r w:rsidRPr="00BF42B7">
        <w:rPr>
          <w:szCs w:val="21"/>
        </w:rPr>
        <w:t>(5)</w:t>
      </w:r>
      <w:r w:rsidR="00B46738" w:rsidRPr="00BF42B7">
        <w:rPr>
          <w:rFonts w:hint="eastAsia"/>
          <w:szCs w:val="21"/>
        </w:rPr>
        <w:t xml:space="preserve">  </w:t>
      </w:r>
      <w:r w:rsidRPr="00BF42B7">
        <w:rPr>
          <w:rFonts w:hint="eastAsia"/>
          <w:szCs w:val="21"/>
        </w:rPr>
        <w:t>救灾援助领域活动的一个重要特点是国际合作，不仅是各国之间的合作，而且是与国际组织和非政府组织的合作。这些组织的作用得到承认已经有一段时间了。大会在第</w:t>
      </w:r>
      <w:hyperlink r:id="rId57" w:history="1">
        <w:r w:rsidRPr="007F0135">
          <w:rPr>
            <w:rStyle w:val="af"/>
            <w:szCs w:val="21"/>
          </w:rPr>
          <w:t>46/182</w:t>
        </w:r>
      </w:hyperlink>
      <w:r w:rsidRPr="00BF42B7">
        <w:rPr>
          <w:rFonts w:hint="eastAsia"/>
          <w:szCs w:val="21"/>
        </w:rPr>
        <w:t>号决议里确认：</w:t>
      </w:r>
    </w:p>
    <w:p w:rsidR="00103498" w:rsidRPr="00BF42B7" w:rsidRDefault="00103498" w:rsidP="00103498">
      <w:pPr>
        <w:pStyle w:val="SingleTxtGC"/>
        <w:ind w:left="1565"/>
        <w:rPr>
          <w:szCs w:val="21"/>
        </w:rPr>
      </w:pPr>
      <w:r w:rsidRPr="00BF42B7">
        <w:rPr>
          <w:rFonts w:hint="eastAsia"/>
          <w:szCs w:val="21"/>
        </w:rPr>
        <w:t>“……不偏不倚地工作和具有纯粹人道主义动机的政府间和非政府间组织应继续在补充国家努力方面作出重要贡献”。</w:t>
      </w:r>
      <w:r w:rsidRPr="00BF42B7">
        <w:rPr>
          <w:rStyle w:val="a5"/>
        </w:rPr>
        <w:footnoteReference w:id="89"/>
      </w:r>
    </w:p>
    <w:p w:rsidR="00103498" w:rsidRPr="00BF42B7" w:rsidRDefault="00103498" w:rsidP="00103498">
      <w:pPr>
        <w:pStyle w:val="SingleTxtGC"/>
        <w:tabs>
          <w:tab w:val="clear" w:pos="1565"/>
        </w:tabs>
        <w:rPr>
          <w:szCs w:val="21"/>
        </w:rPr>
      </w:pPr>
      <w:r w:rsidRPr="00BF42B7">
        <w:rPr>
          <w:rFonts w:hint="eastAsia"/>
          <w:szCs w:val="21"/>
        </w:rPr>
        <w:t>经济及社会理事会在</w:t>
      </w:r>
      <w:r w:rsidRPr="00BF42B7">
        <w:rPr>
          <w:szCs w:val="21"/>
        </w:rPr>
        <w:t>2008</w:t>
      </w:r>
      <w:r w:rsidRPr="00BF42B7">
        <w:rPr>
          <w:rFonts w:hint="eastAsia"/>
          <w:szCs w:val="21"/>
        </w:rPr>
        <w:t>年</w:t>
      </w:r>
      <w:r w:rsidRPr="00BF42B7">
        <w:rPr>
          <w:rFonts w:hint="eastAsia"/>
          <w:szCs w:val="21"/>
        </w:rPr>
        <w:t>7</w:t>
      </w:r>
      <w:r w:rsidRPr="00BF42B7">
        <w:rPr>
          <w:rFonts w:hint="eastAsia"/>
          <w:szCs w:val="21"/>
        </w:rPr>
        <w:t>月</w:t>
      </w:r>
      <w:r w:rsidRPr="00BF42B7">
        <w:rPr>
          <w:rFonts w:hint="eastAsia"/>
          <w:szCs w:val="21"/>
        </w:rPr>
        <w:t>25</w:t>
      </w:r>
      <w:r w:rsidRPr="00BF42B7">
        <w:rPr>
          <w:rFonts w:hint="eastAsia"/>
          <w:szCs w:val="21"/>
        </w:rPr>
        <w:t>日第</w:t>
      </w:r>
      <w:r w:rsidRPr="00BF42B7">
        <w:rPr>
          <w:rFonts w:hint="eastAsia"/>
          <w:szCs w:val="21"/>
        </w:rPr>
        <w:t>2008/36</w:t>
      </w:r>
      <w:r w:rsidRPr="00BF42B7">
        <w:rPr>
          <w:rFonts w:hint="eastAsia"/>
          <w:szCs w:val="21"/>
        </w:rPr>
        <w:t>号决议中确认：</w:t>
      </w:r>
    </w:p>
    <w:p w:rsidR="00103498" w:rsidRPr="00BF42B7" w:rsidRDefault="00103498" w:rsidP="00103498">
      <w:pPr>
        <w:pStyle w:val="SingleTxtGC"/>
        <w:ind w:left="1565"/>
        <w:rPr>
          <w:szCs w:val="21"/>
        </w:rPr>
      </w:pPr>
      <w:r w:rsidRPr="00BF42B7">
        <w:rPr>
          <w:rFonts w:hint="eastAsia"/>
          <w:szCs w:val="21"/>
        </w:rPr>
        <w:t>“……承认有关人道主义行为者的参与以及与其协调可提高人道主义应急行动的效力，并鼓励联合国继续努力，加强与国际红十字与红新月运动、有关人道主义非政府组织和机构间常设委员会其他参与机构建立的全球伙伴关系”。</w:t>
      </w:r>
      <w:r w:rsidRPr="00BF42B7">
        <w:rPr>
          <w:rStyle w:val="a5"/>
        </w:rPr>
        <w:footnoteReference w:id="90"/>
      </w:r>
    </w:p>
    <w:p w:rsidR="00103498" w:rsidRPr="00BF42B7" w:rsidRDefault="00103498" w:rsidP="00B46738">
      <w:pPr>
        <w:pStyle w:val="SingleTxtGC"/>
        <w:rPr>
          <w:rStyle w:val="shorttext"/>
          <w:szCs w:val="21"/>
        </w:rPr>
      </w:pPr>
      <w:r w:rsidRPr="00BF42B7">
        <w:rPr>
          <w:szCs w:val="21"/>
        </w:rPr>
        <w:t>(6)</w:t>
      </w:r>
      <w:r w:rsidR="00B46738" w:rsidRPr="00BF42B7">
        <w:rPr>
          <w:rFonts w:hint="eastAsia"/>
          <w:szCs w:val="21"/>
        </w:rPr>
        <w:t xml:space="preserve">  </w:t>
      </w:r>
      <w:r w:rsidRPr="00BF42B7">
        <w:rPr>
          <w:rFonts w:hint="eastAsia"/>
          <w:szCs w:val="21"/>
        </w:rPr>
        <w:t>第</w:t>
      </w:r>
      <w:r w:rsidRPr="00BF42B7">
        <w:rPr>
          <w:rFonts w:hint="eastAsia"/>
          <w:szCs w:val="21"/>
        </w:rPr>
        <w:t>7</w:t>
      </w:r>
      <w:r w:rsidRPr="00BF42B7">
        <w:rPr>
          <w:rFonts w:hint="eastAsia"/>
          <w:szCs w:val="21"/>
        </w:rPr>
        <w:t>条草案承认国际合作在国际救灾援助以及减少灾害风险方面的中心作用。该条草案反映了各有关当事方的法律义务。合作义务的性质可能依参与方和寻求或提供援助的情况而不尽相同。合作的法律义务性质在具体条款中论述</w:t>
      </w:r>
      <w:r w:rsidRPr="00BF42B7">
        <w:rPr>
          <w:szCs w:val="21"/>
        </w:rPr>
        <w:t>(</w:t>
      </w:r>
      <w:r w:rsidRPr="00BF42B7">
        <w:rPr>
          <w:rFonts w:hint="eastAsia"/>
          <w:szCs w:val="21"/>
        </w:rPr>
        <w:t>为此，本条的开头语是“适用本条款草案时”</w:t>
      </w:r>
      <w:r w:rsidRPr="00BF42B7">
        <w:rPr>
          <w:szCs w:val="21"/>
        </w:rPr>
        <w:t>)</w:t>
      </w:r>
      <w:r w:rsidRPr="00BF42B7">
        <w:rPr>
          <w:rFonts w:hint="eastAsia"/>
          <w:szCs w:val="21"/>
        </w:rPr>
        <w:t>，尤其是在应对灾害的第</w:t>
      </w:r>
      <w:r w:rsidRPr="00BF42B7">
        <w:rPr>
          <w:rFonts w:hint="eastAsia"/>
          <w:szCs w:val="21"/>
        </w:rPr>
        <w:t>8</w:t>
      </w:r>
      <w:r w:rsidRPr="00BF42B7">
        <w:rPr>
          <w:rFonts w:hint="eastAsia"/>
          <w:szCs w:val="21"/>
        </w:rPr>
        <w:t>条草案和在减少灾害风险的第</w:t>
      </w:r>
      <w:r w:rsidRPr="00BF42B7">
        <w:rPr>
          <w:rFonts w:hint="eastAsia"/>
          <w:szCs w:val="21"/>
        </w:rPr>
        <w:t>9</w:t>
      </w:r>
      <w:r w:rsidRPr="00BF42B7">
        <w:rPr>
          <w:rFonts w:hint="eastAsia"/>
          <w:szCs w:val="21"/>
        </w:rPr>
        <w:t>条草案。委员会加上了“酌情”一词，是修饰整个条款草案，既指本条草案所提及各参与方之间合作义务的具体规则，也表明在确定合作是否“适当”时在实地留有一定回旋余地。该条没有规定预期的合</w:t>
      </w:r>
      <w:r w:rsidRPr="00BF42B7">
        <w:rPr>
          <w:rStyle w:val="shorttext"/>
          <w:rFonts w:hint="eastAsia"/>
          <w:szCs w:val="21"/>
        </w:rPr>
        <w:t>作水平，只是说明应该与哪些援助方进行合作。</w:t>
      </w:r>
    </w:p>
    <w:p w:rsidR="00103498" w:rsidRPr="00BF42B7" w:rsidRDefault="00103498" w:rsidP="00B46738">
      <w:pPr>
        <w:pStyle w:val="SingleTxtGC"/>
        <w:rPr>
          <w:szCs w:val="21"/>
        </w:rPr>
      </w:pPr>
      <w:r w:rsidRPr="00BF42B7">
        <w:rPr>
          <w:rFonts w:hint="eastAsia"/>
          <w:szCs w:val="21"/>
        </w:rPr>
        <w:t>(7)</w:t>
      </w:r>
      <w:r w:rsidR="00B46738" w:rsidRPr="00BF42B7">
        <w:rPr>
          <w:rFonts w:hint="eastAsia"/>
          <w:szCs w:val="21"/>
        </w:rPr>
        <w:t xml:space="preserve">  </w:t>
      </w:r>
      <w:r w:rsidRPr="00BF42B7">
        <w:rPr>
          <w:rFonts w:hint="eastAsia"/>
          <w:szCs w:val="21"/>
        </w:rPr>
        <w:t>除国家之间的合作外，第</w:t>
      </w:r>
      <w:r w:rsidRPr="00BF42B7">
        <w:rPr>
          <w:rFonts w:hint="eastAsia"/>
          <w:szCs w:val="21"/>
        </w:rPr>
        <w:t>7</w:t>
      </w:r>
      <w:r w:rsidRPr="00BF42B7">
        <w:rPr>
          <w:rFonts w:hint="eastAsia"/>
          <w:szCs w:val="21"/>
        </w:rPr>
        <w:t>条草案还设想与援助方的合作。明确提及与联合国的合作，是确认该组织在协调救灾援助活动方面的中心作用。根据大会</w:t>
      </w:r>
      <w:r w:rsidRPr="00BF42B7">
        <w:rPr>
          <w:rFonts w:hint="eastAsia"/>
          <w:szCs w:val="21"/>
        </w:rPr>
        <w:t>1991</w:t>
      </w:r>
      <w:r w:rsidRPr="00BF42B7">
        <w:rPr>
          <w:rFonts w:hint="eastAsia"/>
          <w:szCs w:val="21"/>
        </w:rPr>
        <w:t>年</w:t>
      </w:r>
      <w:r w:rsidRPr="00BF42B7">
        <w:rPr>
          <w:rFonts w:hint="eastAsia"/>
          <w:szCs w:val="21"/>
        </w:rPr>
        <w:t>12</w:t>
      </w:r>
      <w:r w:rsidRPr="00BF42B7">
        <w:rPr>
          <w:rFonts w:hint="eastAsia"/>
          <w:szCs w:val="21"/>
        </w:rPr>
        <w:t>月</w:t>
      </w:r>
      <w:r w:rsidRPr="00BF42B7">
        <w:rPr>
          <w:rFonts w:hint="eastAsia"/>
          <w:szCs w:val="21"/>
        </w:rPr>
        <w:t>19</w:t>
      </w:r>
      <w:r w:rsidRPr="00BF42B7">
        <w:rPr>
          <w:rFonts w:hint="eastAsia"/>
          <w:szCs w:val="21"/>
        </w:rPr>
        <w:t>日第</w:t>
      </w:r>
      <w:hyperlink r:id="rId58" w:history="1">
        <w:r w:rsidRPr="007F0135">
          <w:rPr>
            <w:rStyle w:val="af"/>
            <w:rFonts w:hint="eastAsia"/>
            <w:szCs w:val="21"/>
          </w:rPr>
          <w:t>46/182</w:t>
        </w:r>
      </w:hyperlink>
      <w:r w:rsidRPr="00BF42B7">
        <w:rPr>
          <w:rFonts w:hint="eastAsia"/>
          <w:szCs w:val="21"/>
        </w:rPr>
        <w:t>号决议，人道主义事务协调厅负有协助协调国际援助的特殊任务。大会在该决议中确定</w:t>
      </w:r>
      <w:r w:rsidRPr="00BF42B7">
        <w:rPr>
          <w:szCs w:val="21"/>
        </w:rPr>
        <w:t>了紧急救济协调员</w:t>
      </w:r>
      <w:r w:rsidRPr="00BF42B7">
        <w:rPr>
          <w:rFonts w:hint="eastAsia"/>
          <w:szCs w:val="21"/>
        </w:rPr>
        <w:t>的</w:t>
      </w:r>
      <w:r w:rsidRPr="00BF42B7">
        <w:rPr>
          <w:szCs w:val="21"/>
        </w:rPr>
        <w:t>高级别职位，</w:t>
      </w:r>
      <w:r w:rsidRPr="00BF42B7">
        <w:rPr>
          <w:rFonts w:hint="eastAsia"/>
          <w:szCs w:val="21"/>
        </w:rPr>
        <w:t>是</w:t>
      </w:r>
      <w:r w:rsidRPr="00BF42B7">
        <w:rPr>
          <w:szCs w:val="21"/>
        </w:rPr>
        <w:t>作为联合国</w:t>
      </w:r>
      <w:r w:rsidRPr="00BF42B7">
        <w:rPr>
          <w:rFonts w:hint="eastAsia"/>
          <w:szCs w:val="21"/>
        </w:rPr>
        <w:t>应对</w:t>
      </w:r>
      <w:r w:rsidRPr="00BF42B7">
        <w:rPr>
          <w:szCs w:val="21"/>
        </w:rPr>
        <w:t>复杂紧急情况</w:t>
      </w:r>
      <w:r w:rsidRPr="00BF42B7">
        <w:rPr>
          <w:rFonts w:hint="eastAsia"/>
          <w:szCs w:val="21"/>
        </w:rPr>
        <w:t>以及</w:t>
      </w:r>
      <w:r w:rsidRPr="00BF42B7">
        <w:rPr>
          <w:szCs w:val="21"/>
        </w:rPr>
        <w:t>自然灾害情况的统一协调人。例如，紧急救济协调员</w:t>
      </w:r>
      <w:r w:rsidRPr="00BF42B7">
        <w:rPr>
          <w:rFonts w:hint="eastAsia"/>
          <w:szCs w:val="21"/>
        </w:rPr>
        <w:t>负责</w:t>
      </w:r>
      <w:r w:rsidRPr="00BF42B7">
        <w:rPr>
          <w:szCs w:val="21"/>
        </w:rPr>
        <w:t>处理受灾会员国</w:t>
      </w:r>
      <w:r w:rsidRPr="00BF42B7">
        <w:rPr>
          <w:rFonts w:hint="eastAsia"/>
          <w:szCs w:val="21"/>
        </w:rPr>
        <w:t>的需要协调行动的</w:t>
      </w:r>
      <w:r w:rsidRPr="00BF42B7">
        <w:rPr>
          <w:szCs w:val="21"/>
        </w:rPr>
        <w:t>紧急援助</w:t>
      </w:r>
      <w:r w:rsidRPr="00BF42B7">
        <w:rPr>
          <w:rFonts w:hint="eastAsia"/>
          <w:szCs w:val="21"/>
        </w:rPr>
        <w:t>请求</w:t>
      </w:r>
      <w:r w:rsidRPr="00BF42B7">
        <w:rPr>
          <w:szCs w:val="21"/>
        </w:rPr>
        <w:t>，充当联合国紧急救援行动的中央协调人，并提供综合信息，包括紧急情况早期预警。</w:t>
      </w:r>
    </w:p>
    <w:p w:rsidR="00103498" w:rsidRPr="00BF42B7" w:rsidRDefault="00103498" w:rsidP="00C46CB5">
      <w:pPr>
        <w:pStyle w:val="SingleTxtGC"/>
        <w:rPr>
          <w:szCs w:val="21"/>
        </w:rPr>
      </w:pPr>
      <w:r w:rsidRPr="00BF42B7">
        <w:rPr>
          <w:rFonts w:hint="eastAsia"/>
          <w:szCs w:val="21"/>
        </w:rPr>
        <w:t>(8)</w:t>
      </w:r>
      <w:r w:rsidR="00B46738" w:rsidRPr="00BF42B7">
        <w:rPr>
          <w:rFonts w:hint="eastAsia"/>
          <w:szCs w:val="21"/>
        </w:rPr>
        <w:t xml:space="preserve">  </w:t>
      </w:r>
      <w:r w:rsidRPr="00BF42B7">
        <w:rPr>
          <w:rFonts w:hint="eastAsia"/>
          <w:szCs w:val="21"/>
        </w:rPr>
        <w:t>提及“其他援助方”是引入第</w:t>
      </w:r>
      <w:r w:rsidRPr="00BF42B7">
        <w:rPr>
          <w:rFonts w:hint="eastAsia"/>
          <w:szCs w:val="21"/>
        </w:rPr>
        <w:t>3</w:t>
      </w:r>
      <w:r w:rsidRPr="00BF42B7">
        <w:rPr>
          <w:rFonts w:hint="eastAsia"/>
          <w:szCs w:val="21"/>
        </w:rPr>
        <w:t>条</w:t>
      </w:r>
      <w:r w:rsidRPr="00BF42B7">
        <w:rPr>
          <w:rFonts w:hint="eastAsia"/>
          <w:szCs w:val="21"/>
        </w:rPr>
        <w:t>(d)</w:t>
      </w:r>
      <w:r w:rsidRPr="00BF42B7">
        <w:rPr>
          <w:rFonts w:hint="eastAsia"/>
          <w:szCs w:val="21"/>
        </w:rPr>
        <w:t>款草案中的定义，其中包括主管政府间组织和有关非政府组织或实体。委员会认为需要专门提及一组这类实体机构，即红十字与红新月运动各组成部分，以承认这一运动在本条款草案所涉情况下国际合作中发挥的重要作用。红十字和红新月运动各组成部分的提法包含红十字国际委员会，因为条款草案也可能适用于涉及武装冲突的复杂紧急情况。</w:t>
      </w:r>
      <w:r w:rsidRPr="00BF42B7">
        <w:rPr>
          <w:rStyle w:val="a5"/>
          <w:szCs w:val="21"/>
        </w:rPr>
        <w:footnoteReference w:id="91"/>
      </w:r>
      <w:r w:rsidRPr="00BF42B7">
        <w:rPr>
          <w:rFonts w:hint="eastAsia"/>
          <w:szCs w:val="21"/>
        </w:rPr>
        <w:t xml:space="preserve"> </w:t>
      </w:r>
      <w:r w:rsidRPr="00BF42B7">
        <w:rPr>
          <w:rFonts w:hint="eastAsia"/>
          <w:szCs w:val="21"/>
        </w:rPr>
        <w:t>如第</w:t>
      </w:r>
      <w:r w:rsidRPr="00BF42B7">
        <w:rPr>
          <w:rFonts w:hint="eastAsia"/>
          <w:szCs w:val="21"/>
        </w:rPr>
        <w:t>3</w:t>
      </w:r>
      <w:r w:rsidRPr="00BF42B7">
        <w:rPr>
          <w:rFonts w:hint="eastAsia"/>
          <w:szCs w:val="21"/>
        </w:rPr>
        <w:t>条草案评注第</w:t>
      </w:r>
      <w:r w:rsidRPr="00BF42B7">
        <w:rPr>
          <w:rFonts w:hint="eastAsia"/>
          <w:szCs w:val="21"/>
        </w:rPr>
        <w:t>(18)</w:t>
      </w:r>
      <w:r w:rsidRPr="00BF42B7">
        <w:rPr>
          <w:rFonts w:hint="eastAsia"/>
          <w:szCs w:val="21"/>
        </w:rPr>
        <w:t>段所述，“其他援助方”的范畴是有意保持广义。在减少灾害风险方面与其他援助方的合作也见于《仙台框架》第</w:t>
      </w:r>
      <w:r w:rsidRPr="00BF42B7">
        <w:rPr>
          <w:rFonts w:hint="eastAsia"/>
          <w:szCs w:val="21"/>
        </w:rPr>
        <w:t>19(b)</w:t>
      </w:r>
      <w:r w:rsidRPr="00BF42B7">
        <w:rPr>
          <w:rFonts w:hint="eastAsia"/>
          <w:szCs w:val="21"/>
        </w:rPr>
        <w:t>段，该段指出，“</w:t>
      </w:r>
      <w:r w:rsidRPr="00BF42B7">
        <w:rPr>
          <w:rFonts w:ascii="Arial" w:hAnsi="Arial" w:cs="Arial"/>
          <w:szCs w:val="21"/>
        </w:rPr>
        <w:t>减少灾害风险需要各国中央政府和相关国家当局、部门和利益攸关方根据各自国情和治理制度共同承担责任</w:t>
      </w:r>
      <w:r w:rsidR="00C46CB5" w:rsidRPr="00BF42B7">
        <w:rPr>
          <w:rFonts w:hint="eastAsia"/>
          <w:szCs w:val="21"/>
        </w:rPr>
        <w:t>”</w:t>
      </w:r>
      <w:r w:rsidRPr="00BF42B7">
        <w:rPr>
          <w:rFonts w:ascii="Arial" w:hAnsi="Arial" w:cs="Arial" w:hint="eastAsia"/>
          <w:szCs w:val="21"/>
        </w:rPr>
        <w:t>，</w:t>
      </w:r>
      <w:r w:rsidRPr="00BF42B7">
        <w:rPr>
          <w:szCs w:val="21"/>
        </w:rPr>
        <w:t>第</w:t>
      </w:r>
      <w:r w:rsidRPr="00BF42B7">
        <w:rPr>
          <w:szCs w:val="21"/>
        </w:rPr>
        <w:t>19(d)</w:t>
      </w:r>
      <w:r w:rsidRPr="00BF42B7">
        <w:rPr>
          <w:rFonts w:ascii="Arial" w:hAnsi="Arial" w:cs="Arial" w:hint="eastAsia"/>
          <w:szCs w:val="21"/>
        </w:rPr>
        <w:t>段也提及“</w:t>
      </w:r>
      <w:r w:rsidRPr="00BF42B7">
        <w:rPr>
          <w:szCs w:val="21"/>
        </w:rPr>
        <w:t>减少灾害风险需要全社会的参与和</w:t>
      </w:r>
      <w:r w:rsidRPr="00BF42B7">
        <w:rPr>
          <w:rFonts w:hint="eastAsia"/>
          <w:szCs w:val="21"/>
        </w:rPr>
        <w:t>合作</w:t>
      </w:r>
      <w:r w:rsidRPr="00BF42B7">
        <w:rPr>
          <w:szCs w:val="21"/>
        </w:rPr>
        <w:t>伙伴关系</w:t>
      </w:r>
      <w:r w:rsidR="00C46CB5" w:rsidRPr="00BF42B7">
        <w:rPr>
          <w:rFonts w:hint="eastAsia"/>
          <w:szCs w:val="21"/>
        </w:rPr>
        <w:t>”</w:t>
      </w:r>
      <w:r w:rsidRPr="00BF42B7">
        <w:rPr>
          <w:szCs w:val="21"/>
        </w:rPr>
        <w:t>。</w:t>
      </w:r>
    </w:p>
    <w:p w:rsidR="00103498" w:rsidRPr="00C46CB5" w:rsidRDefault="00103498" w:rsidP="00B46738">
      <w:pPr>
        <w:pStyle w:val="SingleTxtGC"/>
        <w:rPr>
          <w:spacing w:val="-2"/>
          <w:szCs w:val="21"/>
        </w:rPr>
      </w:pPr>
      <w:r w:rsidRPr="00C46CB5">
        <w:rPr>
          <w:rFonts w:hint="eastAsia"/>
          <w:spacing w:val="-2"/>
          <w:szCs w:val="21"/>
        </w:rPr>
        <w:t>(9)</w:t>
      </w:r>
      <w:r w:rsidR="00B46738" w:rsidRPr="00C46CB5">
        <w:rPr>
          <w:rFonts w:hint="eastAsia"/>
          <w:spacing w:val="-2"/>
          <w:szCs w:val="21"/>
        </w:rPr>
        <w:t xml:space="preserve">  </w:t>
      </w:r>
      <w:r w:rsidRPr="00C46CB5">
        <w:rPr>
          <w:rFonts w:hint="eastAsia"/>
          <w:spacing w:val="-2"/>
          <w:szCs w:val="21"/>
        </w:rPr>
        <w:t>救灾阶段的合作形式见第</w:t>
      </w:r>
      <w:r w:rsidRPr="00C46CB5">
        <w:rPr>
          <w:rFonts w:hint="eastAsia"/>
          <w:spacing w:val="-2"/>
          <w:szCs w:val="21"/>
        </w:rPr>
        <w:t>8</w:t>
      </w:r>
      <w:r w:rsidRPr="00C46CB5">
        <w:rPr>
          <w:rFonts w:hint="eastAsia"/>
          <w:spacing w:val="-2"/>
          <w:szCs w:val="21"/>
        </w:rPr>
        <w:t>条草案，而减灾阶段的合作形式见第</w:t>
      </w:r>
      <w:r w:rsidRPr="00C46CB5">
        <w:rPr>
          <w:rFonts w:hint="eastAsia"/>
          <w:spacing w:val="-2"/>
          <w:szCs w:val="21"/>
        </w:rPr>
        <w:t>9</w:t>
      </w:r>
      <w:r w:rsidRPr="00C46CB5">
        <w:rPr>
          <w:rFonts w:hint="eastAsia"/>
          <w:spacing w:val="-2"/>
          <w:szCs w:val="21"/>
        </w:rPr>
        <w:t>条草案。</w:t>
      </w:r>
    </w:p>
    <w:p w:rsidR="00103498" w:rsidRPr="00BF42B7" w:rsidRDefault="00103498" w:rsidP="00CD12D6">
      <w:pPr>
        <w:pStyle w:val="H23GC"/>
        <w:ind w:left="1554"/>
      </w:pPr>
      <w:r w:rsidRPr="00BF42B7">
        <w:tab/>
      </w:r>
      <w:r w:rsidRPr="00BF42B7">
        <w:tab/>
      </w:r>
      <w:bookmarkStart w:id="38" w:name="_Toc398303947"/>
      <w:r w:rsidRPr="00BF42B7">
        <w:rPr>
          <w:rFonts w:hint="eastAsia"/>
        </w:rPr>
        <w:t>第</w:t>
      </w:r>
      <w:r w:rsidRPr="00BF42B7">
        <w:rPr>
          <w:rFonts w:hint="eastAsia"/>
        </w:rPr>
        <w:t>8</w:t>
      </w:r>
      <w:r w:rsidRPr="00BF42B7">
        <w:rPr>
          <w:rFonts w:hint="eastAsia"/>
        </w:rPr>
        <w:t>条</w:t>
      </w:r>
      <w:r w:rsidRPr="00BF42B7">
        <w:br/>
      </w:r>
      <w:r w:rsidRPr="00BF42B7">
        <w:rPr>
          <w:rFonts w:hint="eastAsia"/>
        </w:rPr>
        <w:t>应对灾害的合作形式</w:t>
      </w:r>
      <w:bookmarkEnd w:id="38"/>
    </w:p>
    <w:p w:rsidR="00103498" w:rsidRPr="00BF42B7" w:rsidRDefault="00103498" w:rsidP="00CD12D6">
      <w:pPr>
        <w:pStyle w:val="SingleTxtGC"/>
        <w:tabs>
          <w:tab w:val="clear" w:pos="431"/>
          <w:tab w:val="clear" w:pos="1134"/>
          <w:tab w:val="clear" w:pos="1565"/>
        </w:tabs>
        <w:ind w:left="1554"/>
      </w:pPr>
      <w:r w:rsidRPr="00BF42B7">
        <w:rPr>
          <w:lang w:val="zh-CN"/>
        </w:rPr>
        <w:tab/>
      </w:r>
      <w:r w:rsidRPr="00BF42B7">
        <w:rPr>
          <w:lang w:val="zh-CN"/>
        </w:rPr>
        <w:t>应对灾害的合作包括提供人道主义援助，协调国际救灾行动和通信，提供救灾人员、设备和物资以及科学、医学、技术资源</w:t>
      </w:r>
      <w:r w:rsidRPr="00BF42B7">
        <w:rPr>
          <w:rFonts w:hint="eastAsia"/>
        </w:rPr>
        <w:t>。</w:t>
      </w:r>
    </w:p>
    <w:p w:rsidR="00103498" w:rsidRPr="00BF42B7" w:rsidRDefault="00103498" w:rsidP="00B46738">
      <w:pPr>
        <w:pStyle w:val="H23GC"/>
      </w:pPr>
      <w:r w:rsidRPr="00BF42B7">
        <w:tab/>
      </w:r>
      <w:r w:rsidRPr="00BF42B7">
        <w:tab/>
      </w:r>
      <w:bookmarkStart w:id="39" w:name="_Toc398303948"/>
      <w:r w:rsidRPr="00BF42B7">
        <w:rPr>
          <w:rFonts w:hint="eastAsia"/>
        </w:rPr>
        <w:t>评注</w:t>
      </w:r>
      <w:bookmarkEnd w:id="39"/>
    </w:p>
    <w:p w:rsidR="00103498" w:rsidRPr="00BF42B7" w:rsidRDefault="00103498" w:rsidP="00B46738">
      <w:pPr>
        <w:pStyle w:val="SingleTxtGC"/>
      </w:pPr>
      <w:r w:rsidRPr="00BF42B7">
        <w:t>(1)</w:t>
      </w:r>
      <w:r w:rsidR="00B46738" w:rsidRPr="00BF42B7">
        <w:rPr>
          <w:rFonts w:hint="eastAsia"/>
        </w:rPr>
        <w:t xml:space="preserve">  </w:t>
      </w:r>
      <w:r w:rsidRPr="00BF42B7">
        <w:rPr>
          <w:rFonts w:hint="eastAsia"/>
        </w:rPr>
        <w:t>第</w:t>
      </w:r>
      <w:r w:rsidRPr="00BF42B7">
        <w:rPr>
          <w:rFonts w:hint="eastAsia"/>
        </w:rPr>
        <w:t>8</w:t>
      </w:r>
      <w:r w:rsidRPr="00BF42B7">
        <w:rPr>
          <w:rFonts w:hint="eastAsia"/>
        </w:rPr>
        <w:t>条草案力求说明受灾国、援助国及其他援助方应对灾害时开展各种合作的形式。第</w:t>
      </w:r>
      <w:r w:rsidRPr="00BF42B7">
        <w:rPr>
          <w:rFonts w:hint="eastAsia"/>
        </w:rPr>
        <w:t>7</w:t>
      </w:r>
      <w:r w:rsidRPr="00BF42B7">
        <w:rPr>
          <w:rFonts w:hint="eastAsia"/>
        </w:rPr>
        <w:t>条草案笼统表述合作，视之为本专题的指导原则和基本义务，因为合作在救灾行动中发挥中心作用。由于合作的重要作用，需要在本条中更加详细说明相关合作形式。因此，本条草案旨在进一步阐述第</w:t>
      </w:r>
      <w:r w:rsidRPr="00BF42B7">
        <w:rPr>
          <w:rFonts w:hint="eastAsia"/>
        </w:rPr>
        <w:t>7</w:t>
      </w:r>
      <w:r w:rsidRPr="00BF42B7">
        <w:rPr>
          <w:rFonts w:hint="eastAsia"/>
        </w:rPr>
        <w:t>条草案的含义，而又不增加任何法律义务。</w:t>
      </w:r>
    </w:p>
    <w:p w:rsidR="00103498" w:rsidRPr="00BF42B7" w:rsidRDefault="00103498" w:rsidP="0075574A">
      <w:pPr>
        <w:pStyle w:val="SingleTxtGC"/>
      </w:pPr>
      <w:r w:rsidRPr="00BF42B7">
        <w:t>(2)</w:t>
      </w:r>
      <w:r w:rsidR="00B46738" w:rsidRPr="00BF42B7">
        <w:rPr>
          <w:rFonts w:hint="eastAsia"/>
        </w:rPr>
        <w:t xml:space="preserve">  </w:t>
      </w:r>
      <w:r w:rsidRPr="00BF42B7">
        <w:rPr>
          <w:rFonts w:hint="eastAsia"/>
        </w:rPr>
        <w:t>第</w:t>
      </w:r>
      <w:r w:rsidRPr="00BF42B7">
        <w:rPr>
          <w:rFonts w:hint="eastAsia"/>
        </w:rPr>
        <w:t>8</w:t>
      </w:r>
      <w:r w:rsidRPr="00BF42B7">
        <w:rPr>
          <w:rFonts w:hint="eastAsia"/>
        </w:rPr>
        <w:t>条草案列出的合作形式</w:t>
      </w:r>
      <w:r w:rsidR="0075574A" w:rsidRPr="00BF42B7">
        <w:rPr>
          <w:rFonts w:hint="eastAsia"/>
          <w:spacing w:val="-50"/>
        </w:rPr>
        <w:t>―</w:t>
      </w:r>
      <w:r w:rsidR="0075574A" w:rsidRPr="00BF42B7">
        <w:rPr>
          <w:rFonts w:hint="eastAsia"/>
        </w:rPr>
        <w:t>―</w:t>
      </w:r>
      <w:r w:rsidRPr="00BF42B7">
        <w:rPr>
          <w:rFonts w:hint="eastAsia"/>
        </w:rPr>
        <w:t>人道主义援助；协调国际救灾行动和通信；提供救灾人员、设备和物资以及科学、医学、技术资源</w:t>
      </w:r>
      <w:r w:rsidR="0075574A" w:rsidRPr="00BF42B7">
        <w:rPr>
          <w:rFonts w:hint="eastAsia"/>
          <w:spacing w:val="-50"/>
        </w:rPr>
        <w:t>―</w:t>
      </w:r>
      <w:r w:rsidR="0075574A" w:rsidRPr="00BF42B7">
        <w:rPr>
          <w:rFonts w:hint="eastAsia"/>
        </w:rPr>
        <w:t>―</w:t>
      </w:r>
      <w:r w:rsidRPr="00BF42B7">
        <w:rPr>
          <w:rFonts w:hint="eastAsia"/>
        </w:rPr>
        <w:t>大致基于《跨界含水层法》条款草案第</w:t>
      </w:r>
      <w:r w:rsidRPr="00BF42B7">
        <w:t>17</w:t>
      </w:r>
      <w:r w:rsidRPr="00BF42B7">
        <w:rPr>
          <w:rFonts w:hint="eastAsia"/>
        </w:rPr>
        <w:t>条第</w:t>
      </w:r>
      <w:r w:rsidRPr="00BF42B7">
        <w:t>4</w:t>
      </w:r>
      <w:r w:rsidRPr="00BF42B7">
        <w:rPr>
          <w:rFonts w:hint="eastAsia"/>
        </w:rPr>
        <w:t>款第二句。该款说明那些条款第</w:t>
      </w:r>
      <w:r w:rsidRPr="00BF42B7">
        <w:t>7</w:t>
      </w:r>
      <w:r w:rsidRPr="00BF42B7">
        <w:rPr>
          <w:rFonts w:hint="eastAsia"/>
        </w:rPr>
        <w:t>条中的一般合作义务，描述了紧急情况下需开展的合作。</w:t>
      </w:r>
      <w:r w:rsidRPr="00BF42B7">
        <w:rPr>
          <w:rStyle w:val="a5"/>
          <w:szCs w:val="21"/>
        </w:rPr>
        <w:footnoteReference w:id="92"/>
      </w:r>
      <w:r w:rsidRPr="00BF42B7">
        <w:t xml:space="preserve"> </w:t>
      </w:r>
      <w:r w:rsidRPr="00BF42B7">
        <w:rPr>
          <w:rFonts w:hint="eastAsia"/>
        </w:rPr>
        <w:t>第</w:t>
      </w:r>
      <w:r w:rsidRPr="00BF42B7">
        <w:t>17</w:t>
      </w:r>
      <w:r w:rsidRPr="00BF42B7">
        <w:rPr>
          <w:rFonts w:hint="eastAsia"/>
        </w:rPr>
        <w:t>条第</w:t>
      </w:r>
      <w:r w:rsidRPr="00BF42B7">
        <w:t>4</w:t>
      </w:r>
      <w:r w:rsidRPr="00BF42B7">
        <w:rPr>
          <w:rFonts w:hint="eastAsia"/>
        </w:rPr>
        <w:t>款第二句规定：</w:t>
      </w:r>
    </w:p>
    <w:p w:rsidR="00103498" w:rsidRPr="00BF42B7" w:rsidRDefault="00103498" w:rsidP="00103498">
      <w:pPr>
        <w:pStyle w:val="SingleTxtGC"/>
        <w:ind w:left="1565"/>
      </w:pPr>
      <w:r w:rsidRPr="00BF42B7">
        <w:rPr>
          <w:rFonts w:hint="eastAsia"/>
        </w:rPr>
        <w:t>“合作可包括协调紧急情况的国际行动和通信，提供应急人员、应急设备和物资、科技专业知识和人道主义援助”。</w:t>
      </w:r>
      <w:r w:rsidRPr="00BF42B7">
        <w:rPr>
          <w:rStyle w:val="a5"/>
          <w:szCs w:val="21"/>
        </w:rPr>
        <w:footnoteReference w:id="93"/>
      </w:r>
    </w:p>
    <w:p w:rsidR="00103498" w:rsidRPr="00BF42B7" w:rsidRDefault="00103498" w:rsidP="0075574A">
      <w:pPr>
        <w:pStyle w:val="SingleTxtGC"/>
      </w:pPr>
      <w:r w:rsidRPr="00BF42B7">
        <w:rPr>
          <w:rFonts w:hint="eastAsia"/>
        </w:rPr>
        <w:t>鉴于上述规定是针对有关背景</w:t>
      </w:r>
      <w:r w:rsidR="0075574A" w:rsidRPr="00BF42B7">
        <w:rPr>
          <w:rFonts w:hint="eastAsia"/>
          <w:spacing w:val="-50"/>
        </w:rPr>
        <w:t>―</w:t>
      </w:r>
      <w:r w:rsidR="0075574A" w:rsidRPr="00BF42B7">
        <w:rPr>
          <w:rFonts w:hint="eastAsia"/>
        </w:rPr>
        <w:t>―</w:t>
      </w:r>
      <w:r w:rsidRPr="00BF42B7">
        <w:rPr>
          <w:rFonts w:hint="eastAsia"/>
        </w:rPr>
        <w:t>发生影响跨界含水层的紧急情况时需要合作</w:t>
      </w:r>
      <w:r w:rsidR="0075574A" w:rsidRPr="00BF42B7">
        <w:rPr>
          <w:rFonts w:hint="eastAsia"/>
          <w:spacing w:val="-50"/>
        </w:rPr>
        <w:t>―</w:t>
      </w:r>
      <w:r w:rsidR="0075574A" w:rsidRPr="00BF42B7">
        <w:rPr>
          <w:rFonts w:hint="eastAsia"/>
        </w:rPr>
        <w:t>―</w:t>
      </w:r>
      <w:r w:rsidRPr="00BF42B7">
        <w:rPr>
          <w:rFonts w:hint="eastAsia"/>
        </w:rPr>
        <w:t>专门起草的，委员会认为其文字是起草第</w:t>
      </w:r>
      <w:r w:rsidRPr="00BF42B7">
        <w:rPr>
          <w:rFonts w:hint="eastAsia"/>
        </w:rPr>
        <w:t>8</w:t>
      </w:r>
      <w:r w:rsidRPr="00BF42B7">
        <w:rPr>
          <w:rFonts w:hint="eastAsia"/>
        </w:rPr>
        <w:t>条草案的有益出发点。然而，第</w:t>
      </w:r>
      <w:r w:rsidRPr="00BF42B7">
        <w:rPr>
          <w:rFonts w:hint="eastAsia"/>
        </w:rPr>
        <w:t>8</w:t>
      </w:r>
      <w:r w:rsidRPr="00BF42B7">
        <w:rPr>
          <w:rFonts w:hint="eastAsia"/>
        </w:rPr>
        <w:t>条草案案文也有修改，以便适当反映本专题条款草案的背景和目的，确保考虑关于救灾的国际文书中提到的主要合作领域。</w:t>
      </w:r>
      <w:r w:rsidRPr="00BF42B7">
        <w:t>1976</w:t>
      </w:r>
      <w:r w:rsidRPr="00BF42B7">
        <w:rPr>
          <w:rFonts w:hint="eastAsia"/>
        </w:rPr>
        <w:t>年</w:t>
      </w:r>
      <w:r w:rsidRPr="00BF42B7">
        <w:t>6</w:t>
      </w:r>
      <w:r w:rsidRPr="00BF42B7">
        <w:rPr>
          <w:rFonts w:hint="eastAsia"/>
        </w:rPr>
        <w:t>月</w:t>
      </w:r>
      <w:r w:rsidRPr="00BF42B7">
        <w:t>26</w:t>
      </w:r>
      <w:r w:rsidRPr="00BF42B7">
        <w:rPr>
          <w:rFonts w:hint="eastAsia"/>
        </w:rPr>
        <w:t>日《东盟自然灾害互助宣言》载有类似文字，其中指出：</w:t>
      </w:r>
    </w:p>
    <w:p w:rsidR="00103498" w:rsidRPr="00BF42B7" w:rsidRDefault="00103498" w:rsidP="00103498">
      <w:pPr>
        <w:pStyle w:val="SingleTxtGC"/>
        <w:ind w:left="1565"/>
      </w:pPr>
      <w:r w:rsidRPr="00BF42B7">
        <w:rPr>
          <w:rFonts w:hint="eastAsia"/>
        </w:rPr>
        <w:t>“成员国应在各自的能力范围内，合作改进以下方面的沟通渠道：灾害预警、专家和学员交换、信息和文件交流，以及医疗物资、服务和救灾援助的分发”。</w:t>
      </w:r>
      <w:r w:rsidRPr="00BF42B7">
        <w:rPr>
          <w:rStyle w:val="a5"/>
          <w:szCs w:val="21"/>
        </w:rPr>
        <w:footnoteReference w:id="94"/>
      </w:r>
    </w:p>
    <w:p w:rsidR="00103498" w:rsidRPr="00BF42B7" w:rsidRDefault="00103498" w:rsidP="00103498">
      <w:pPr>
        <w:pStyle w:val="SingleTxtGC"/>
        <w:rPr>
          <w:rStyle w:val="a5"/>
          <w:szCs w:val="21"/>
        </w:rPr>
      </w:pPr>
      <w:r w:rsidRPr="00BF42B7">
        <w:rPr>
          <w:rFonts w:hint="eastAsia"/>
        </w:rPr>
        <w:t>同样，在说明联合国应在哪些领域发挥协调作用和鼓励合作时，大会在第</w:t>
      </w:r>
      <w:hyperlink r:id="rId59" w:history="1">
        <w:r w:rsidRPr="007F0135">
          <w:rPr>
            <w:rStyle w:val="af"/>
          </w:rPr>
          <w:t>46/182</w:t>
        </w:r>
      </w:hyperlink>
      <w:r w:rsidRPr="00BF42B7">
        <w:rPr>
          <w:rFonts w:hint="eastAsia"/>
        </w:rPr>
        <w:t>号决议中呼吁协调“专门人员和技术专家小组，以及救灾物资、设备和服务……”。</w:t>
      </w:r>
      <w:r w:rsidRPr="00BF42B7">
        <w:rPr>
          <w:rStyle w:val="a5"/>
          <w:szCs w:val="21"/>
        </w:rPr>
        <w:footnoteReference w:id="95"/>
      </w:r>
    </w:p>
    <w:p w:rsidR="00103498" w:rsidRPr="00BF42B7" w:rsidRDefault="00103498" w:rsidP="00B46738">
      <w:pPr>
        <w:pStyle w:val="SingleTxtGC"/>
      </w:pPr>
      <w:r w:rsidRPr="00BF42B7">
        <w:t>(3)</w:t>
      </w:r>
      <w:r w:rsidR="00B46738" w:rsidRPr="00BF42B7">
        <w:rPr>
          <w:rFonts w:hint="eastAsia"/>
        </w:rPr>
        <w:t xml:space="preserve">  </w:t>
      </w:r>
      <w:r w:rsidRPr="00BF42B7">
        <w:rPr>
          <w:rFonts w:hint="eastAsia"/>
        </w:rPr>
        <w:t>第</w:t>
      </w:r>
      <w:r w:rsidRPr="00BF42B7">
        <w:rPr>
          <w:rFonts w:hint="eastAsia"/>
        </w:rPr>
        <w:t>8</w:t>
      </w:r>
      <w:r w:rsidRPr="00BF42B7">
        <w:rPr>
          <w:rFonts w:hint="eastAsia"/>
        </w:rPr>
        <w:t>条草案开头确认，所指的合作形式是灾害开始后的救灾阶段或灾后恢复阶段的合作形式。就其性质而言，是向受影响人员提供或便利提供救济援助。同样，灾</w:t>
      </w:r>
      <w:r w:rsidRPr="00BF42B7">
        <w:t>前阶段的合作，包括防灾、备灾和缓解等方面的</w:t>
      </w:r>
      <w:r w:rsidRPr="00BF42B7">
        <w:rPr>
          <w:rFonts w:hint="eastAsia"/>
        </w:rPr>
        <w:t>合作，在第</w:t>
      </w:r>
      <w:r w:rsidRPr="00BF42B7">
        <w:rPr>
          <w:rFonts w:hint="eastAsia"/>
        </w:rPr>
        <w:t>9</w:t>
      </w:r>
      <w:r w:rsidRPr="00BF42B7">
        <w:rPr>
          <w:rFonts w:hint="eastAsia"/>
        </w:rPr>
        <w:t>条草案中论述。</w:t>
      </w:r>
      <w:r w:rsidRPr="00BF42B7">
        <w:t>因此，</w:t>
      </w:r>
      <w:r w:rsidRPr="00BF42B7">
        <w:rPr>
          <w:rFonts w:hint="eastAsia"/>
        </w:rPr>
        <w:t>需要</w:t>
      </w:r>
      <w:r w:rsidRPr="00BF42B7">
        <w:t>参照其他条款草案一并阅读第</w:t>
      </w:r>
      <w:r w:rsidRPr="00BF42B7">
        <w:rPr>
          <w:rFonts w:hint="eastAsia"/>
        </w:rPr>
        <w:t>8</w:t>
      </w:r>
      <w:r w:rsidRPr="00BF42B7">
        <w:t>条草案</w:t>
      </w:r>
      <w:r w:rsidRPr="00BF42B7">
        <w:rPr>
          <w:rFonts w:hint="eastAsia"/>
        </w:rPr>
        <w:t>，该条草案着力</w:t>
      </w:r>
      <w:r w:rsidRPr="00BF42B7">
        <w:t>实现第</w:t>
      </w:r>
      <w:r w:rsidRPr="00BF42B7">
        <w:t>2</w:t>
      </w:r>
      <w:r w:rsidRPr="00BF42B7">
        <w:t>条草案所述整个专题的宗旨，即</w:t>
      </w:r>
      <w:r w:rsidR="00B46738" w:rsidRPr="00BF42B7">
        <w:rPr>
          <w:rFonts w:hint="eastAsia"/>
        </w:rPr>
        <w:t>“</w:t>
      </w:r>
      <w:r w:rsidRPr="00BF42B7">
        <w:t>促进充分而有效地应对灾害以满足有关人员的基本需要，充分尊重其权利</w:t>
      </w:r>
      <w:r w:rsidR="00B46738" w:rsidRPr="00BF42B7">
        <w:rPr>
          <w:rFonts w:hint="eastAsia"/>
        </w:rPr>
        <w:t>”</w:t>
      </w:r>
      <w:r w:rsidRPr="00BF42B7">
        <w:t>。在本专题范围内，合作义务</w:t>
      </w:r>
      <w:r w:rsidRPr="00BF42B7">
        <w:rPr>
          <w:rFonts w:hint="eastAsia"/>
        </w:rPr>
        <w:t>的</w:t>
      </w:r>
      <w:r w:rsidRPr="00BF42B7">
        <w:t>最终目的，</w:t>
      </w:r>
      <w:r w:rsidRPr="00BF42B7">
        <w:rPr>
          <w:rFonts w:hint="eastAsia"/>
        </w:rPr>
        <w:t>即</w:t>
      </w:r>
      <w:r w:rsidRPr="00BF42B7">
        <w:t>第</w:t>
      </w:r>
      <w:r w:rsidRPr="00BF42B7">
        <w:rPr>
          <w:rFonts w:hint="eastAsia"/>
        </w:rPr>
        <w:t>8</w:t>
      </w:r>
      <w:r w:rsidRPr="00BF42B7">
        <w:t>条草案提到的任何形式合作的最终目的是保护受灾人员。</w:t>
      </w:r>
    </w:p>
    <w:p w:rsidR="00103498" w:rsidRPr="00BF42B7" w:rsidRDefault="00103498" w:rsidP="00B46738">
      <w:pPr>
        <w:pStyle w:val="SingleTxtGC"/>
      </w:pPr>
      <w:r w:rsidRPr="00BF42B7">
        <w:t>(4)</w:t>
      </w:r>
      <w:r w:rsidR="00B46738" w:rsidRPr="00BF42B7">
        <w:rPr>
          <w:rFonts w:hint="eastAsia"/>
        </w:rPr>
        <w:t xml:space="preserve">  </w:t>
      </w:r>
      <w:r w:rsidRPr="00BF42B7">
        <w:rPr>
          <w:rFonts w:hint="eastAsia"/>
        </w:rPr>
        <w:t>本条草案着重指出具体的合作形式，</w:t>
      </w:r>
      <w:r w:rsidRPr="00BF42B7">
        <w:t>无意包罗万象</w:t>
      </w:r>
      <w:r w:rsidRPr="00BF42B7">
        <w:rPr>
          <w:rFonts w:hint="eastAsia"/>
        </w:rPr>
        <w:t>，只是说明可能适合具体情况的主要合作领域。使用“包括”一词，以及其他正式语文中对应的词，强调了列举并非详尽无疑。委员会确定，条款中提到的形式只是可能需要合作的主要领域，这些形式范围广泛，足以囊括众多不同的合作活动。因此，合作可包括、但不仅限于条款中提到的活动；不排除本条草案没有明确提到的其他合作形式，例如资金支持、技术转让</w:t>
      </w:r>
      <w:r w:rsidRPr="00BF42B7">
        <w:t>(</w:t>
      </w:r>
      <w:r w:rsidRPr="00BF42B7">
        <w:rPr>
          <w:rFonts w:hint="eastAsia"/>
        </w:rPr>
        <w:t>其中包括与卫星图像有关的技术</w:t>
      </w:r>
      <w:r w:rsidRPr="00BF42B7">
        <w:t>)</w:t>
      </w:r>
      <w:r w:rsidRPr="00BF42B7">
        <w:rPr>
          <w:rFonts w:hint="eastAsia"/>
        </w:rPr>
        <w:t>、培训、共享信息以及联合模拟演习和规划，需求评估和情况审查。</w:t>
      </w:r>
    </w:p>
    <w:p w:rsidR="00103498" w:rsidRPr="00BF42B7" w:rsidRDefault="00103498" w:rsidP="00B46738">
      <w:pPr>
        <w:pStyle w:val="SingleTxtGC"/>
      </w:pPr>
      <w:r w:rsidRPr="00BF42B7">
        <w:t>(5)</w:t>
      </w:r>
      <w:r w:rsidR="00B46738" w:rsidRPr="00BF42B7">
        <w:rPr>
          <w:rFonts w:hint="eastAsia"/>
        </w:rPr>
        <w:t xml:space="preserve">  </w:t>
      </w:r>
      <w:r w:rsidRPr="00BF42B7">
        <w:rPr>
          <w:rFonts w:hint="eastAsia"/>
        </w:rPr>
        <w:t>第</w:t>
      </w:r>
      <w:r w:rsidRPr="00BF42B7">
        <w:rPr>
          <w:rFonts w:hint="eastAsia"/>
        </w:rPr>
        <w:t>8</w:t>
      </w:r>
      <w:r w:rsidRPr="00BF42B7">
        <w:rPr>
          <w:rFonts w:hint="eastAsia"/>
        </w:rPr>
        <w:t>条草案只是说明可能的合作形式，不是为受灾国或援助方规定参加某些活动的额外法律义务。尽管如此，合作也可在现有义务下进行。例如，受灾国有义务在灾害开始时告知或通知</w:t>
      </w:r>
      <w:r w:rsidRPr="00BF42B7">
        <w:t>负有收集资料、提供早期预警</w:t>
      </w:r>
      <w:r w:rsidRPr="00BF42B7">
        <w:rPr>
          <w:rFonts w:hint="eastAsia"/>
        </w:rPr>
        <w:t>和</w:t>
      </w:r>
      <w:r w:rsidRPr="00BF42B7">
        <w:t>协调国际社会援助等法定责任</w:t>
      </w:r>
      <w:r w:rsidRPr="00BF42B7">
        <w:rPr>
          <w:rFonts w:hint="eastAsia"/>
        </w:rPr>
        <w:t>的其他国家和其他援助方</w:t>
      </w:r>
      <w:r w:rsidRPr="00BF42B7">
        <w:t>。</w:t>
      </w:r>
      <w:r w:rsidRPr="00BF42B7">
        <w:rPr>
          <w:rFonts w:hint="eastAsia"/>
        </w:rPr>
        <w:t>这项义务是</w:t>
      </w:r>
      <w:r w:rsidRPr="00BF42B7">
        <w:t>2001</w:t>
      </w:r>
      <w:r w:rsidRPr="00BF42B7">
        <w:t>年通过的预防危险活动</w:t>
      </w:r>
      <w:r w:rsidRPr="00BF42B7">
        <w:rPr>
          <w:rFonts w:hint="eastAsia"/>
        </w:rPr>
        <w:t>带来的</w:t>
      </w:r>
      <w:r w:rsidRPr="00BF42B7">
        <w:t>跨界损害的条款</w:t>
      </w:r>
      <w:r w:rsidRPr="00BF42B7">
        <w:rPr>
          <w:rFonts w:hint="eastAsia"/>
        </w:rPr>
        <w:t>所规定的，其中指出：</w:t>
      </w:r>
    </w:p>
    <w:p w:rsidR="00765E0D" w:rsidRPr="00BF42B7" w:rsidRDefault="00765E0D" w:rsidP="008972C0">
      <w:pPr>
        <w:pStyle w:val="SingleTxtGC"/>
        <w:ind w:left="1565"/>
        <w:rPr>
          <w:rFonts w:eastAsiaTheme="minorEastAsia"/>
          <w:szCs w:val="21"/>
        </w:rPr>
      </w:pPr>
      <w:r w:rsidRPr="00BF42B7">
        <w:rPr>
          <w:rFonts w:eastAsiaTheme="minorEastAsia" w:hint="eastAsia"/>
          <w:szCs w:val="21"/>
        </w:rPr>
        <w:t>“</w:t>
      </w:r>
      <w:r w:rsidRPr="00BF42B7">
        <w:rPr>
          <w:rFonts w:eastAsiaTheme="minorEastAsia"/>
          <w:szCs w:val="21"/>
        </w:rPr>
        <w:t>起源国应毫不迟延地以可以获得的最迅速手段，向可能受影响的国家告知本条款草案范围内某项活动涉及的紧急情况，并向其提供一切有关的现有资料</w:t>
      </w:r>
      <w:r w:rsidRPr="00BF42B7">
        <w:rPr>
          <w:rFonts w:eastAsiaTheme="minorEastAsia" w:hint="eastAsia"/>
          <w:szCs w:val="21"/>
        </w:rPr>
        <w:t>”</w:t>
      </w:r>
      <w:r w:rsidRPr="00BF42B7">
        <w:rPr>
          <w:rFonts w:eastAsiaTheme="minorEastAsia"/>
          <w:szCs w:val="21"/>
        </w:rPr>
        <w:t>。</w:t>
      </w:r>
      <w:r w:rsidRPr="00BF42B7">
        <w:rPr>
          <w:rStyle w:val="a5"/>
          <w:rFonts w:eastAsiaTheme="minorEastAsia"/>
          <w:szCs w:val="21"/>
        </w:rPr>
        <w:footnoteReference w:id="96"/>
      </w:r>
    </w:p>
    <w:p w:rsidR="00765E0D" w:rsidRPr="00BF42B7" w:rsidRDefault="00765E0D" w:rsidP="00765E0D">
      <w:pPr>
        <w:pStyle w:val="SingleTxtGC"/>
        <w:rPr>
          <w:rFonts w:eastAsiaTheme="minorEastAsia"/>
          <w:szCs w:val="21"/>
        </w:rPr>
      </w:pPr>
      <w:r w:rsidRPr="00BF42B7">
        <w:rPr>
          <w:rFonts w:eastAsiaTheme="minorEastAsia"/>
          <w:szCs w:val="21"/>
        </w:rPr>
        <w:t>(6)</w:t>
      </w:r>
      <w:r w:rsidRPr="00BF42B7">
        <w:rPr>
          <w:rFonts w:eastAsiaTheme="minorEastAsia" w:hint="eastAsia"/>
          <w:szCs w:val="21"/>
        </w:rPr>
        <w:t xml:space="preserve">  </w:t>
      </w:r>
      <w:r w:rsidRPr="00BF42B7">
        <w:rPr>
          <w:rFonts w:eastAsiaTheme="minorEastAsia" w:hint="eastAsia"/>
          <w:szCs w:val="21"/>
        </w:rPr>
        <w:t>可采取的合作形式必然取决于一系列因素，除其他外包括灾害性质、受灾人员需要、受灾国和其他援助方能力。与合作原则本身一样，第</w:t>
      </w:r>
      <w:r w:rsidRPr="00BF42B7">
        <w:rPr>
          <w:rFonts w:eastAsiaTheme="minorEastAsia" w:hint="eastAsia"/>
          <w:szCs w:val="21"/>
        </w:rPr>
        <w:t>8</w:t>
      </w:r>
      <w:r w:rsidRPr="00BF42B7">
        <w:rPr>
          <w:rFonts w:eastAsiaTheme="minorEastAsia" w:hint="eastAsia"/>
          <w:szCs w:val="21"/>
        </w:rPr>
        <w:t>条草案所列的合作形式旨在表明一种相互性，因为合作并非单方面行为，而是涉及多方的合作行为。</w:t>
      </w:r>
      <w:r w:rsidRPr="00BF42B7">
        <w:rPr>
          <w:rFonts w:eastAsiaTheme="minorEastAsia"/>
          <w:color w:val="0000FF"/>
          <w:szCs w:val="21"/>
          <w:vertAlign w:val="superscript"/>
        </w:rPr>
        <w:footnoteReference w:id="97"/>
      </w:r>
      <w:r w:rsidRPr="00BF42B7">
        <w:rPr>
          <w:rFonts w:eastAsiaTheme="minorEastAsia"/>
          <w:szCs w:val="21"/>
        </w:rPr>
        <w:t xml:space="preserve"> </w:t>
      </w:r>
      <w:r w:rsidRPr="00BF42B7">
        <w:rPr>
          <w:rFonts w:eastAsiaTheme="minorEastAsia" w:hint="eastAsia"/>
          <w:szCs w:val="21"/>
        </w:rPr>
        <w:t>因此，本条草案不是为了列举援助国可参与活动的清单，而是说明受灾国和其他援助方双方可通过协商采取协调行动的领域。</w:t>
      </w:r>
    </w:p>
    <w:p w:rsidR="00765E0D" w:rsidRPr="00BF42B7" w:rsidRDefault="00765E0D" w:rsidP="00765E0D">
      <w:pPr>
        <w:pStyle w:val="SingleTxtGC"/>
        <w:rPr>
          <w:rFonts w:eastAsiaTheme="minorEastAsia"/>
          <w:szCs w:val="21"/>
        </w:rPr>
      </w:pPr>
      <w:r w:rsidRPr="00BF42B7">
        <w:rPr>
          <w:rFonts w:eastAsiaTheme="minorEastAsia"/>
          <w:szCs w:val="21"/>
        </w:rPr>
        <w:t>(7)</w:t>
      </w:r>
      <w:r w:rsidRPr="00BF42B7">
        <w:rPr>
          <w:rFonts w:eastAsiaTheme="minorEastAsia" w:hint="eastAsia"/>
          <w:szCs w:val="21"/>
        </w:rPr>
        <w:t xml:space="preserve">  </w:t>
      </w:r>
      <w:r w:rsidRPr="00BF42B7">
        <w:rPr>
          <w:rFonts w:eastAsiaTheme="minorEastAsia" w:hint="eastAsia"/>
          <w:szCs w:val="21"/>
        </w:rPr>
        <w:t>此外，提到的合作领域必须与其他条文草案保持一致。例如，与第</w:t>
      </w:r>
      <w:r w:rsidRPr="00BF42B7">
        <w:rPr>
          <w:rFonts w:eastAsiaTheme="minorEastAsia"/>
          <w:szCs w:val="21"/>
        </w:rPr>
        <w:t>7</w:t>
      </w:r>
      <w:r w:rsidRPr="00BF42B7">
        <w:rPr>
          <w:rFonts w:eastAsiaTheme="minorEastAsia" w:hint="eastAsia"/>
          <w:szCs w:val="21"/>
        </w:rPr>
        <w:t>条草案一样，第</w:t>
      </w:r>
      <w:r w:rsidRPr="00BF42B7">
        <w:rPr>
          <w:rFonts w:eastAsiaTheme="minorEastAsia"/>
          <w:szCs w:val="21"/>
        </w:rPr>
        <w:t>8</w:t>
      </w:r>
      <w:r w:rsidRPr="00BF42B7">
        <w:rPr>
          <w:rFonts w:eastAsiaTheme="minorEastAsia" w:hint="eastAsia"/>
          <w:szCs w:val="21"/>
        </w:rPr>
        <w:t>条草案提到的合作形式必须与第</w:t>
      </w:r>
      <w:r w:rsidRPr="00BF42B7">
        <w:rPr>
          <w:rFonts w:eastAsiaTheme="minorEastAsia"/>
          <w:szCs w:val="21"/>
        </w:rPr>
        <w:t>10</w:t>
      </w:r>
      <w:r w:rsidRPr="00BF42B7">
        <w:rPr>
          <w:rFonts w:eastAsiaTheme="minorEastAsia" w:hint="eastAsia"/>
          <w:szCs w:val="21"/>
        </w:rPr>
        <w:t>条草案一致，该条承认受灾国由于其主权而在救灾援助中起主要作用。合作还必须符合受灾国对外部援助表示同意的要求</w:t>
      </w:r>
      <w:r w:rsidRPr="00BF42B7">
        <w:rPr>
          <w:rFonts w:eastAsiaTheme="minorEastAsia"/>
          <w:szCs w:val="21"/>
        </w:rPr>
        <w:t>(</w:t>
      </w:r>
      <w:r w:rsidRPr="00BF42B7">
        <w:rPr>
          <w:rFonts w:eastAsiaTheme="minorEastAsia" w:hint="eastAsia"/>
          <w:szCs w:val="21"/>
        </w:rPr>
        <w:t>第</w:t>
      </w:r>
      <w:r w:rsidRPr="00BF42B7">
        <w:rPr>
          <w:rFonts w:eastAsiaTheme="minorEastAsia"/>
          <w:szCs w:val="21"/>
        </w:rPr>
        <w:t>13</w:t>
      </w:r>
      <w:r w:rsidRPr="00BF42B7">
        <w:rPr>
          <w:rFonts w:eastAsiaTheme="minorEastAsia" w:hint="eastAsia"/>
          <w:szCs w:val="21"/>
        </w:rPr>
        <w:t>条草案</w:t>
      </w:r>
      <w:r w:rsidRPr="00BF42B7">
        <w:rPr>
          <w:rFonts w:eastAsiaTheme="minorEastAsia"/>
          <w:szCs w:val="21"/>
        </w:rPr>
        <w:t>)</w:t>
      </w:r>
      <w:r w:rsidRPr="00BF42B7">
        <w:rPr>
          <w:rFonts w:eastAsiaTheme="minorEastAsia" w:hint="eastAsia"/>
          <w:szCs w:val="21"/>
        </w:rPr>
        <w:t>，并遵行承认受灾国可对外部援助提出适当条件的规定，特别是了解受灾人员需要和保证援助质量</w:t>
      </w:r>
      <w:r w:rsidRPr="00BF42B7">
        <w:rPr>
          <w:rFonts w:eastAsiaTheme="minorEastAsia"/>
          <w:szCs w:val="21"/>
        </w:rPr>
        <w:t>(</w:t>
      </w:r>
      <w:r w:rsidRPr="00BF42B7">
        <w:rPr>
          <w:rFonts w:eastAsiaTheme="minorEastAsia" w:hint="eastAsia"/>
          <w:szCs w:val="21"/>
        </w:rPr>
        <w:t>第</w:t>
      </w:r>
      <w:r w:rsidRPr="00BF42B7">
        <w:rPr>
          <w:rFonts w:eastAsiaTheme="minorEastAsia"/>
          <w:szCs w:val="21"/>
        </w:rPr>
        <w:t>14</w:t>
      </w:r>
      <w:r w:rsidRPr="00BF42B7">
        <w:rPr>
          <w:rFonts w:eastAsiaTheme="minorEastAsia" w:hint="eastAsia"/>
          <w:szCs w:val="21"/>
        </w:rPr>
        <w:t>条草案</w:t>
      </w:r>
      <w:r w:rsidRPr="00BF42B7">
        <w:rPr>
          <w:rFonts w:eastAsiaTheme="minorEastAsia"/>
          <w:szCs w:val="21"/>
        </w:rPr>
        <w:t>)</w:t>
      </w:r>
      <w:r w:rsidRPr="00BF42B7">
        <w:rPr>
          <w:rFonts w:eastAsiaTheme="minorEastAsia" w:hint="eastAsia"/>
          <w:szCs w:val="21"/>
        </w:rPr>
        <w:t>。合作还与第</w:t>
      </w:r>
      <w:r w:rsidRPr="00BF42B7">
        <w:rPr>
          <w:rFonts w:eastAsiaTheme="minorEastAsia"/>
          <w:szCs w:val="21"/>
        </w:rPr>
        <w:t>15</w:t>
      </w:r>
      <w:r w:rsidRPr="00BF42B7">
        <w:rPr>
          <w:rFonts w:eastAsiaTheme="minorEastAsia" w:hint="eastAsia"/>
          <w:szCs w:val="21"/>
        </w:rPr>
        <w:t>条草案有关，该条承认受灾国应发挥作用，促进迅速及有效地向受灾人员提供援助。鉴此，也由于第</w:t>
      </w:r>
      <w:r w:rsidRPr="00BF42B7">
        <w:rPr>
          <w:rFonts w:eastAsiaTheme="minorEastAsia"/>
          <w:szCs w:val="21"/>
        </w:rPr>
        <w:t>8</w:t>
      </w:r>
      <w:r w:rsidRPr="00BF42B7">
        <w:rPr>
          <w:rFonts w:eastAsiaTheme="minorEastAsia" w:hint="eastAsia"/>
          <w:szCs w:val="21"/>
        </w:rPr>
        <w:t>条草案没有规定任何额外的法律义务，受灾国、援助国及其他援助方在开展上述形式合作时的关系将遵行本专题条款草案的其他规定。</w:t>
      </w:r>
    </w:p>
    <w:p w:rsidR="00765E0D" w:rsidRPr="00BF42B7" w:rsidRDefault="00765E0D" w:rsidP="00765E0D">
      <w:pPr>
        <w:pStyle w:val="SingleTxtGC"/>
        <w:rPr>
          <w:rFonts w:eastAsiaTheme="minorEastAsia"/>
          <w:szCs w:val="21"/>
        </w:rPr>
      </w:pPr>
      <w:r w:rsidRPr="00BF42B7">
        <w:rPr>
          <w:rFonts w:eastAsiaTheme="minorEastAsia"/>
          <w:szCs w:val="21"/>
        </w:rPr>
        <w:t>(8)</w:t>
      </w:r>
      <w:r w:rsidRPr="00BF42B7">
        <w:rPr>
          <w:rFonts w:eastAsiaTheme="minorEastAsia" w:hint="eastAsia"/>
          <w:szCs w:val="21"/>
        </w:rPr>
        <w:t xml:space="preserve">  </w:t>
      </w:r>
      <w:r w:rsidRPr="00BF42B7">
        <w:rPr>
          <w:rFonts w:eastAsiaTheme="minorEastAsia" w:hint="eastAsia"/>
          <w:szCs w:val="21"/>
        </w:rPr>
        <w:t>第</w:t>
      </w:r>
      <w:r w:rsidRPr="00BF42B7">
        <w:rPr>
          <w:rFonts w:eastAsiaTheme="minorEastAsia"/>
          <w:szCs w:val="21"/>
        </w:rPr>
        <w:t>8</w:t>
      </w:r>
      <w:r w:rsidRPr="00BF42B7">
        <w:rPr>
          <w:rFonts w:eastAsiaTheme="minorEastAsia" w:hint="eastAsia"/>
          <w:szCs w:val="21"/>
        </w:rPr>
        <w:t>条草案提到的合作形式中，特意将人道主义援助放在第一位，这是因为委员会认为这种合作在救灾工作中最重要。第二类</w:t>
      </w:r>
      <w:r w:rsidRPr="00BF42B7">
        <w:rPr>
          <w:rFonts w:hint="eastAsia"/>
        </w:rPr>
        <w:t>合作</w:t>
      </w:r>
      <w:r w:rsidRPr="00BF42B7">
        <w:rPr>
          <w:rFonts w:hint="eastAsia"/>
          <w:spacing w:val="-50"/>
        </w:rPr>
        <w:t>―</w:t>
      </w:r>
      <w:r w:rsidRPr="00BF42B7">
        <w:rPr>
          <w:rFonts w:hint="eastAsia"/>
        </w:rPr>
        <w:t>―协调国际</w:t>
      </w:r>
      <w:r w:rsidRPr="00BF42B7">
        <w:rPr>
          <w:rFonts w:eastAsiaTheme="minorEastAsia" w:hint="eastAsia"/>
          <w:szCs w:val="21"/>
        </w:rPr>
        <w:t>救灾行动和通信</w:t>
      </w:r>
      <w:r w:rsidRPr="00BF42B7">
        <w:rPr>
          <w:rFonts w:eastAsiaTheme="minorEastAsia" w:hint="eastAsia"/>
          <w:spacing w:val="-50"/>
          <w:szCs w:val="21"/>
        </w:rPr>
        <w:t>―</w:t>
      </w:r>
      <w:r w:rsidRPr="00BF42B7">
        <w:rPr>
          <w:rFonts w:eastAsiaTheme="minorEastAsia" w:hint="eastAsia"/>
          <w:szCs w:val="21"/>
        </w:rPr>
        <w:t>―希望尽可能涵盖救灾阶段的大多数合作努力，可包括后勤协调、监督、为救灾人员和设备的活动及通行提供便利，以及分享和交流与灾害有关的信息。虽然强调灾前合作的文书经常提到信息交流是减少灾害风险的预防手段，</w:t>
      </w:r>
      <w:r w:rsidRPr="00BF42B7">
        <w:rPr>
          <w:rFonts w:eastAsiaTheme="minorEastAsia"/>
          <w:color w:val="0000FF"/>
          <w:szCs w:val="21"/>
          <w:vertAlign w:val="superscript"/>
        </w:rPr>
        <w:footnoteReference w:id="98"/>
      </w:r>
      <w:r w:rsidRPr="00BF42B7">
        <w:rPr>
          <w:rFonts w:eastAsiaTheme="minorEastAsia"/>
          <w:szCs w:val="21"/>
        </w:rPr>
        <w:t xml:space="preserve"> </w:t>
      </w:r>
      <w:r w:rsidRPr="00BF42B7">
        <w:rPr>
          <w:rFonts w:eastAsiaTheme="minorEastAsia" w:hint="eastAsia"/>
          <w:szCs w:val="21"/>
        </w:rPr>
        <w:t>但是通信和信息对于在救灾过程中监督灾情发展、推动协调各参与方的救援行动也十分重要。许多文书都提到了救灾过程中的通信和信息分享问题。</w:t>
      </w:r>
      <w:r w:rsidRPr="00BF42B7">
        <w:rPr>
          <w:rFonts w:eastAsiaTheme="minorEastAsia"/>
          <w:color w:val="0000FF"/>
          <w:szCs w:val="21"/>
          <w:vertAlign w:val="superscript"/>
        </w:rPr>
        <w:footnoteReference w:id="99"/>
      </w:r>
      <w:r w:rsidRPr="00BF42B7">
        <w:rPr>
          <w:rFonts w:eastAsiaTheme="minorEastAsia"/>
          <w:szCs w:val="21"/>
        </w:rPr>
        <w:t xml:space="preserve"> </w:t>
      </w:r>
      <w:r w:rsidRPr="00BF42B7">
        <w:rPr>
          <w:rFonts w:eastAsiaTheme="minorEastAsia" w:hint="eastAsia"/>
          <w:szCs w:val="21"/>
        </w:rPr>
        <w:t>提到“提供救灾人员、设备和物资以及科学、医学、技术资源”是指提供救灾行动所需的任何及一切资源。提到“人员”是指可能需要提供医疗小组、搜寻和救援小组、工程师和技术专家、笔译和口译员，或代表某参与方</w:t>
      </w:r>
      <w:r w:rsidRPr="00BF42B7">
        <w:rPr>
          <w:rFonts w:eastAsiaTheme="minorEastAsia" w:hint="eastAsia"/>
          <w:spacing w:val="-50"/>
          <w:szCs w:val="21"/>
        </w:rPr>
        <w:t>―</w:t>
      </w:r>
      <w:r w:rsidRPr="00BF42B7">
        <w:rPr>
          <w:rFonts w:eastAsiaTheme="minorEastAsia" w:hint="eastAsia"/>
          <w:szCs w:val="21"/>
        </w:rPr>
        <w:t>―受灾国、援助国或其他援助方</w:t>
      </w:r>
      <w:r w:rsidRPr="00BF42B7">
        <w:rPr>
          <w:rFonts w:eastAsiaTheme="minorEastAsia" w:hint="eastAsia"/>
          <w:spacing w:val="-50"/>
          <w:szCs w:val="21"/>
        </w:rPr>
        <w:t>―</w:t>
      </w:r>
      <w:r w:rsidRPr="00BF42B7">
        <w:rPr>
          <w:rFonts w:eastAsiaTheme="minorEastAsia" w:hint="eastAsia"/>
          <w:szCs w:val="21"/>
        </w:rPr>
        <w:t>―参加救援行动的其他人员，并需要他们之间的合作。“资源”一词涵盖科学、技术和医学专长和知识，以及设备、工具、药物，或对救援有用的其他物品。</w:t>
      </w:r>
    </w:p>
    <w:p w:rsidR="00765E0D" w:rsidRPr="00BF42B7" w:rsidRDefault="00765E0D" w:rsidP="00765E0D">
      <w:pPr>
        <w:pStyle w:val="H23GC"/>
        <w:ind w:left="1554"/>
        <w:jc w:val="left"/>
      </w:pPr>
      <w:bookmarkStart w:id="40" w:name="_Toc398303951"/>
      <w:r w:rsidRPr="00BF42B7">
        <w:rPr>
          <w:rFonts w:hint="eastAsia"/>
        </w:rPr>
        <w:tab/>
      </w:r>
      <w:r w:rsidRPr="00BF42B7">
        <w:rPr>
          <w:rFonts w:hint="eastAsia"/>
        </w:rPr>
        <w:tab/>
      </w:r>
      <w:r w:rsidRPr="00BF42B7">
        <w:t>第</w:t>
      </w:r>
      <w:r w:rsidRPr="00BF42B7">
        <w:rPr>
          <w:rFonts w:hint="eastAsia"/>
        </w:rPr>
        <w:t>9</w:t>
      </w:r>
      <w:r w:rsidRPr="00BF42B7">
        <w:t>条</w:t>
      </w:r>
      <w:r w:rsidRPr="00BF42B7">
        <w:br/>
      </w:r>
      <w:r w:rsidRPr="00BF42B7">
        <w:t>减少灾害风险</w:t>
      </w:r>
      <w:bookmarkEnd w:id="40"/>
    </w:p>
    <w:p w:rsidR="00765E0D" w:rsidRPr="00BF42B7" w:rsidRDefault="00765E0D" w:rsidP="00765E0D">
      <w:pPr>
        <w:pStyle w:val="SingleTxtGC"/>
        <w:ind w:left="1554"/>
      </w:pPr>
      <w:r w:rsidRPr="00BF42B7">
        <w:rPr>
          <w:lang w:val="zh-CN"/>
        </w:rPr>
        <w:t>1.</w:t>
      </w:r>
      <w:r w:rsidRPr="00BF42B7">
        <w:rPr>
          <w:rFonts w:hint="eastAsia"/>
          <w:lang w:val="zh-CN"/>
        </w:rPr>
        <w:t xml:space="preserve">  </w:t>
      </w:r>
      <w:r w:rsidRPr="00BF42B7">
        <w:rPr>
          <w:lang w:val="zh-CN"/>
        </w:rPr>
        <w:t>每一国应通过采取适当的防灾、减灾和备灾措施，包括通过制订法律和规章，减少灾害风险。</w:t>
      </w:r>
    </w:p>
    <w:p w:rsidR="00765E0D" w:rsidRPr="00BF42B7" w:rsidRDefault="00765E0D" w:rsidP="00765E0D">
      <w:pPr>
        <w:pStyle w:val="SingleTxtGC"/>
        <w:ind w:left="1554"/>
        <w:rPr>
          <w:rFonts w:eastAsiaTheme="minorEastAsia"/>
          <w:szCs w:val="21"/>
        </w:rPr>
      </w:pPr>
      <w:r w:rsidRPr="00BF42B7">
        <w:rPr>
          <w:rFonts w:eastAsiaTheme="minorEastAsia"/>
          <w:szCs w:val="21"/>
          <w:lang w:val="zh-CN"/>
        </w:rPr>
        <w:t>2.</w:t>
      </w:r>
      <w:r w:rsidRPr="00BF42B7">
        <w:rPr>
          <w:rFonts w:eastAsiaTheme="minorEastAsia" w:hint="eastAsia"/>
          <w:szCs w:val="21"/>
          <w:lang w:val="zh-CN"/>
        </w:rPr>
        <w:t xml:space="preserve">  </w:t>
      </w:r>
      <w:r w:rsidRPr="00BF42B7">
        <w:rPr>
          <w:rFonts w:eastAsiaTheme="minorEastAsia"/>
          <w:szCs w:val="21"/>
          <w:lang w:val="zh-CN"/>
        </w:rPr>
        <w:t>减少灾害风险的措施包括开展风险评估</w:t>
      </w:r>
      <w:r w:rsidRPr="00BF42B7">
        <w:rPr>
          <w:rFonts w:eastAsiaTheme="minorEastAsia" w:hint="eastAsia"/>
          <w:szCs w:val="21"/>
          <w:lang w:val="zh-CN"/>
        </w:rPr>
        <w:t>，</w:t>
      </w:r>
      <w:r w:rsidRPr="00BF42B7">
        <w:rPr>
          <w:rFonts w:eastAsiaTheme="minorEastAsia"/>
          <w:szCs w:val="21"/>
          <w:lang w:val="zh-CN"/>
        </w:rPr>
        <w:t>收集和传播风险</w:t>
      </w:r>
      <w:r w:rsidRPr="00BF42B7">
        <w:rPr>
          <w:rFonts w:eastAsiaTheme="minorEastAsia" w:hint="eastAsia"/>
          <w:szCs w:val="21"/>
          <w:lang w:val="zh-CN"/>
        </w:rPr>
        <w:t>信息</w:t>
      </w:r>
      <w:r w:rsidRPr="00BF42B7">
        <w:rPr>
          <w:rFonts w:eastAsiaTheme="minorEastAsia"/>
          <w:szCs w:val="21"/>
          <w:lang w:val="zh-CN"/>
        </w:rPr>
        <w:t>和以往损失信息</w:t>
      </w:r>
      <w:r w:rsidRPr="00BF42B7">
        <w:rPr>
          <w:rFonts w:eastAsiaTheme="minorEastAsia" w:hint="eastAsia"/>
          <w:szCs w:val="21"/>
          <w:lang w:val="zh-CN"/>
        </w:rPr>
        <w:t>，以及</w:t>
      </w:r>
      <w:r w:rsidRPr="00BF42B7">
        <w:rPr>
          <w:rFonts w:eastAsiaTheme="minorEastAsia"/>
          <w:szCs w:val="21"/>
          <w:lang w:val="zh-CN"/>
        </w:rPr>
        <w:t>安装和操作预警系统</w:t>
      </w:r>
      <w:r w:rsidRPr="00BF42B7">
        <w:rPr>
          <w:rFonts w:eastAsiaTheme="minorEastAsia"/>
          <w:szCs w:val="21"/>
        </w:rPr>
        <w:t>。</w:t>
      </w:r>
    </w:p>
    <w:p w:rsidR="00765E0D" w:rsidRPr="00BF42B7" w:rsidRDefault="00765E0D" w:rsidP="00765E0D">
      <w:pPr>
        <w:pStyle w:val="H23GC"/>
        <w:jc w:val="left"/>
      </w:pPr>
      <w:r w:rsidRPr="00BF42B7">
        <w:rPr>
          <w:rFonts w:hint="eastAsia"/>
        </w:rPr>
        <w:tab/>
      </w:r>
      <w:r w:rsidRPr="00BF42B7">
        <w:tab/>
      </w:r>
      <w:bookmarkStart w:id="41" w:name="_Toc398303952"/>
      <w:r w:rsidRPr="00BF42B7">
        <w:t>评注</w:t>
      </w:r>
      <w:bookmarkEnd w:id="41"/>
    </w:p>
    <w:p w:rsidR="00765E0D" w:rsidRPr="00BF42B7" w:rsidRDefault="00765E0D" w:rsidP="00765E0D">
      <w:pPr>
        <w:pStyle w:val="SingleTxtGC"/>
        <w:rPr>
          <w:rFonts w:eastAsiaTheme="minorEastAsia"/>
          <w:szCs w:val="21"/>
        </w:rPr>
      </w:pPr>
      <w:r w:rsidRPr="00BF42B7">
        <w:rPr>
          <w:rFonts w:eastAsiaTheme="minorEastAsia"/>
          <w:szCs w:val="21"/>
        </w:rPr>
        <w:t>(1)</w:t>
      </w:r>
      <w:r w:rsidRPr="00BF42B7">
        <w:rPr>
          <w:rFonts w:eastAsiaTheme="minorEastAsia" w:hint="eastAsia"/>
          <w:szCs w:val="21"/>
        </w:rPr>
        <w:t xml:space="preserve">  </w:t>
      </w:r>
      <w:r w:rsidRPr="00BF42B7">
        <w:rPr>
          <w:rFonts w:eastAsiaTheme="minorEastAsia"/>
          <w:szCs w:val="21"/>
        </w:rPr>
        <w:t>第</w:t>
      </w:r>
      <w:r w:rsidRPr="00BF42B7">
        <w:rPr>
          <w:rFonts w:eastAsiaTheme="minorEastAsia" w:hint="eastAsia"/>
          <w:szCs w:val="21"/>
        </w:rPr>
        <w:t>9</w:t>
      </w:r>
      <w:r w:rsidRPr="00BF42B7">
        <w:rPr>
          <w:rFonts w:eastAsiaTheme="minorEastAsia"/>
          <w:szCs w:val="21"/>
        </w:rPr>
        <w:t>条草案</w:t>
      </w:r>
      <w:r w:rsidRPr="00BF42B7">
        <w:rPr>
          <w:rFonts w:eastAsiaTheme="minorEastAsia" w:hint="eastAsia"/>
          <w:szCs w:val="21"/>
        </w:rPr>
        <w:t>论述</w:t>
      </w:r>
      <w:r w:rsidRPr="00BF42B7">
        <w:rPr>
          <w:rFonts w:eastAsiaTheme="minorEastAsia"/>
          <w:szCs w:val="21"/>
        </w:rPr>
        <w:t>减少灾害风险</w:t>
      </w:r>
      <w:r w:rsidRPr="00BF42B7">
        <w:rPr>
          <w:rFonts w:eastAsiaTheme="minorEastAsia" w:hint="eastAsia"/>
          <w:szCs w:val="21"/>
        </w:rPr>
        <w:t>的义务</w:t>
      </w:r>
      <w:r w:rsidRPr="00BF42B7">
        <w:rPr>
          <w:rFonts w:eastAsiaTheme="minorEastAsia"/>
          <w:szCs w:val="21"/>
        </w:rPr>
        <w:t>。这条草案由两款组成。第</w:t>
      </w:r>
      <w:r w:rsidRPr="00BF42B7">
        <w:rPr>
          <w:rFonts w:eastAsiaTheme="minorEastAsia"/>
          <w:szCs w:val="21"/>
        </w:rPr>
        <w:t>1</w:t>
      </w:r>
      <w:r w:rsidRPr="00BF42B7">
        <w:rPr>
          <w:rFonts w:eastAsiaTheme="minorEastAsia"/>
          <w:szCs w:val="21"/>
        </w:rPr>
        <w:t>款规定采取</w:t>
      </w:r>
      <w:r w:rsidRPr="00BF42B7">
        <w:rPr>
          <w:rFonts w:eastAsiaTheme="minorEastAsia" w:hint="eastAsia"/>
          <w:szCs w:val="21"/>
        </w:rPr>
        <w:t>某些</w:t>
      </w:r>
      <w:r w:rsidRPr="00BF42B7">
        <w:rPr>
          <w:rFonts w:eastAsiaTheme="minorEastAsia"/>
          <w:szCs w:val="21"/>
        </w:rPr>
        <w:t>措施</w:t>
      </w:r>
      <w:r w:rsidRPr="00BF42B7">
        <w:rPr>
          <w:rFonts w:eastAsiaTheme="minorEastAsia" w:hint="eastAsia"/>
          <w:szCs w:val="21"/>
        </w:rPr>
        <w:t>以</w:t>
      </w:r>
      <w:r w:rsidRPr="00BF42B7">
        <w:rPr>
          <w:rFonts w:eastAsiaTheme="minorEastAsia"/>
          <w:szCs w:val="21"/>
        </w:rPr>
        <w:t>减少灾害风险的基本义务，第</w:t>
      </w:r>
      <w:r w:rsidRPr="00BF42B7">
        <w:rPr>
          <w:rFonts w:eastAsiaTheme="minorEastAsia"/>
          <w:szCs w:val="21"/>
        </w:rPr>
        <w:t>2</w:t>
      </w:r>
      <w:r w:rsidRPr="00BF42B7">
        <w:rPr>
          <w:rFonts w:eastAsiaTheme="minorEastAsia"/>
          <w:szCs w:val="21"/>
        </w:rPr>
        <w:t>款列</w:t>
      </w:r>
      <w:r w:rsidRPr="00BF42B7">
        <w:rPr>
          <w:rFonts w:eastAsiaTheme="minorEastAsia" w:hint="eastAsia"/>
          <w:szCs w:val="21"/>
        </w:rPr>
        <w:t>出</w:t>
      </w:r>
      <w:r w:rsidRPr="00BF42B7">
        <w:rPr>
          <w:rFonts w:eastAsiaTheme="minorEastAsia"/>
          <w:szCs w:val="21"/>
        </w:rPr>
        <w:t>这类措施</w:t>
      </w:r>
      <w:r w:rsidRPr="00BF42B7">
        <w:rPr>
          <w:rFonts w:eastAsiaTheme="minorEastAsia" w:hint="eastAsia"/>
          <w:szCs w:val="21"/>
        </w:rPr>
        <w:t>的</w:t>
      </w:r>
      <w:r w:rsidRPr="00BF42B7">
        <w:rPr>
          <w:rFonts w:eastAsiaTheme="minorEastAsia"/>
          <w:szCs w:val="21"/>
        </w:rPr>
        <w:t>指示性</w:t>
      </w:r>
      <w:r w:rsidRPr="00BF42B7">
        <w:rPr>
          <w:rFonts w:eastAsiaTheme="minorEastAsia" w:hint="eastAsia"/>
          <w:szCs w:val="21"/>
        </w:rPr>
        <w:t>清单</w:t>
      </w:r>
      <w:r w:rsidRPr="00BF42B7">
        <w:rPr>
          <w:rFonts w:eastAsiaTheme="minorEastAsia"/>
          <w:szCs w:val="21"/>
        </w:rPr>
        <w:t>。</w:t>
      </w:r>
    </w:p>
    <w:p w:rsidR="00765E0D" w:rsidRPr="00BF42B7" w:rsidRDefault="00765E0D" w:rsidP="00765E0D">
      <w:pPr>
        <w:pStyle w:val="SingleTxtGC"/>
        <w:rPr>
          <w:rFonts w:eastAsiaTheme="minorEastAsia"/>
          <w:szCs w:val="21"/>
        </w:rPr>
      </w:pPr>
      <w:r w:rsidRPr="00BF42B7">
        <w:rPr>
          <w:rFonts w:eastAsiaTheme="minorEastAsia"/>
          <w:szCs w:val="21"/>
        </w:rPr>
        <w:t>(2)</w:t>
      </w:r>
      <w:r w:rsidRPr="00BF42B7">
        <w:rPr>
          <w:rFonts w:eastAsiaTheme="minorEastAsia" w:hint="eastAsia"/>
          <w:szCs w:val="21"/>
        </w:rPr>
        <w:t xml:space="preserve">  </w:t>
      </w:r>
      <w:r w:rsidRPr="00BF42B7">
        <w:rPr>
          <w:rStyle w:val="shorttext"/>
          <w:rFonts w:eastAsiaTheme="minorEastAsia" w:hint="eastAsia"/>
          <w:szCs w:val="21"/>
        </w:rPr>
        <w:t>如第</w:t>
      </w:r>
      <w:r w:rsidRPr="00BF42B7">
        <w:rPr>
          <w:rStyle w:val="shorttext"/>
          <w:rFonts w:eastAsiaTheme="minorEastAsia" w:hint="eastAsia"/>
          <w:szCs w:val="21"/>
        </w:rPr>
        <w:t>2</w:t>
      </w:r>
      <w:r w:rsidRPr="00BF42B7">
        <w:rPr>
          <w:rStyle w:val="shorttext"/>
          <w:rFonts w:eastAsiaTheme="minorEastAsia" w:hint="eastAsia"/>
          <w:szCs w:val="21"/>
        </w:rPr>
        <w:t>条草案所述，本条款草案的宗旨是减少灾害风险。减少灾害风险</w:t>
      </w:r>
      <w:r w:rsidRPr="00BF42B7">
        <w:rPr>
          <w:rFonts w:eastAsiaTheme="minorEastAsia"/>
          <w:szCs w:val="21"/>
        </w:rPr>
        <w:t>概念</w:t>
      </w:r>
      <w:r w:rsidRPr="00BF42B7">
        <w:rPr>
          <w:rFonts w:eastAsiaTheme="minorEastAsia" w:hint="eastAsia"/>
          <w:szCs w:val="21"/>
        </w:rPr>
        <w:t>最初来自</w:t>
      </w:r>
      <w:r w:rsidRPr="00BF42B7">
        <w:rPr>
          <w:rFonts w:eastAsiaTheme="minorEastAsia"/>
          <w:szCs w:val="21"/>
        </w:rPr>
        <w:t>大会的一些决议，</w:t>
      </w:r>
      <w:r w:rsidRPr="00BF42B7">
        <w:rPr>
          <w:rFonts w:eastAsiaTheme="minorEastAsia" w:hint="eastAsia"/>
          <w:szCs w:val="21"/>
        </w:rPr>
        <w:t>后经由</w:t>
      </w:r>
      <w:r w:rsidRPr="00BF42B7">
        <w:rPr>
          <w:rFonts w:eastAsiaTheme="minorEastAsia"/>
          <w:szCs w:val="21"/>
        </w:rPr>
        <w:t>1994</w:t>
      </w:r>
      <w:r w:rsidRPr="00BF42B7">
        <w:rPr>
          <w:rFonts w:eastAsiaTheme="minorEastAsia"/>
          <w:szCs w:val="21"/>
        </w:rPr>
        <w:t>年横滨减少自然灾害世界会议、</w:t>
      </w:r>
      <w:r w:rsidRPr="00BF42B7">
        <w:rPr>
          <w:rFonts w:eastAsiaTheme="minorEastAsia"/>
          <w:color w:val="0000FF"/>
          <w:szCs w:val="21"/>
          <w:vertAlign w:val="superscript"/>
        </w:rPr>
        <w:footnoteReference w:id="100"/>
      </w:r>
      <w:r w:rsidRPr="00BF42B7">
        <w:rPr>
          <w:rFonts w:eastAsiaTheme="minorEastAsia"/>
          <w:szCs w:val="21"/>
        </w:rPr>
        <w:t xml:space="preserve"> </w:t>
      </w:r>
      <w:r w:rsidRPr="00BF42B7">
        <w:rPr>
          <w:rFonts w:eastAsiaTheme="minorEastAsia"/>
          <w:szCs w:val="21"/>
        </w:rPr>
        <w:t>《兵库行动框架》</w:t>
      </w:r>
      <w:r w:rsidRPr="00BF42B7">
        <w:rPr>
          <w:rFonts w:eastAsiaTheme="minorEastAsia" w:hint="eastAsia"/>
          <w:szCs w:val="21"/>
        </w:rPr>
        <w:t>和《仙台框架》</w:t>
      </w:r>
      <w:r w:rsidRPr="00BF42B7">
        <w:rPr>
          <w:rFonts w:eastAsiaTheme="minorEastAsia"/>
          <w:szCs w:val="21"/>
        </w:rPr>
        <w:t>以及全球减少灾害风险平台几届会议</w:t>
      </w:r>
      <w:r w:rsidRPr="00BF42B7">
        <w:rPr>
          <w:rFonts w:eastAsiaTheme="minorEastAsia" w:hint="eastAsia"/>
          <w:szCs w:val="21"/>
        </w:rPr>
        <w:t>得到</w:t>
      </w:r>
      <w:r w:rsidRPr="00BF42B7">
        <w:rPr>
          <w:rFonts w:eastAsiaTheme="minorEastAsia"/>
          <w:szCs w:val="21"/>
        </w:rPr>
        <w:t>进一步发展。</w:t>
      </w:r>
    </w:p>
    <w:p w:rsidR="00765E0D" w:rsidRPr="00BF42B7" w:rsidRDefault="00765E0D" w:rsidP="00765E0D">
      <w:pPr>
        <w:pStyle w:val="SingleTxtGC"/>
        <w:rPr>
          <w:rFonts w:ascii="Arial" w:eastAsiaTheme="minorEastAsia" w:hAnsi="Arial" w:cs="Arial"/>
          <w:szCs w:val="21"/>
        </w:rPr>
      </w:pPr>
      <w:r w:rsidRPr="00BF42B7">
        <w:rPr>
          <w:rFonts w:eastAsiaTheme="minorEastAsia"/>
          <w:szCs w:val="21"/>
        </w:rPr>
        <w:t>(3)</w:t>
      </w:r>
      <w:r w:rsidRPr="00BF42B7">
        <w:rPr>
          <w:rFonts w:eastAsiaTheme="minorEastAsia" w:hint="eastAsia"/>
          <w:szCs w:val="21"/>
        </w:rPr>
        <w:t xml:space="preserve">  </w:t>
      </w:r>
      <w:r w:rsidRPr="00BF42B7">
        <w:rPr>
          <w:rFonts w:eastAsiaTheme="minorEastAsia" w:hint="eastAsia"/>
          <w:szCs w:val="21"/>
        </w:rPr>
        <w:t>在</w:t>
      </w:r>
      <w:r w:rsidRPr="00BF42B7">
        <w:rPr>
          <w:rFonts w:eastAsiaTheme="minorEastAsia"/>
          <w:szCs w:val="21"/>
        </w:rPr>
        <w:t>2013</w:t>
      </w:r>
      <w:r w:rsidRPr="00BF42B7">
        <w:rPr>
          <w:rFonts w:eastAsiaTheme="minorEastAsia"/>
          <w:szCs w:val="21"/>
        </w:rPr>
        <w:t>年全球减少灾害风险平台第四届会议</w:t>
      </w:r>
      <w:r w:rsidRPr="00BF42B7">
        <w:rPr>
          <w:rStyle w:val="a5"/>
          <w:rFonts w:eastAsiaTheme="minorEastAsia"/>
          <w:szCs w:val="21"/>
        </w:rPr>
        <w:footnoteReference w:id="101"/>
      </w:r>
      <w:r w:rsidRPr="00BF42B7">
        <w:rPr>
          <w:rFonts w:eastAsiaTheme="minorEastAsia" w:hint="eastAsia"/>
          <w:color w:val="0000FF"/>
          <w:szCs w:val="21"/>
          <w:vertAlign w:val="superscript"/>
        </w:rPr>
        <w:t xml:space="preserve"> </w:t>
      </w:r>
      <w:r w:rsidRPr="00BF42B7">
        <w:rPr>
          <w:rFonts w:eastAsiaTheme="minorEastAsia"/>
          <w:szCs w:val="21"/>
        </w:rPr>
        <w:t>上，主席在总结概要中提请注意：</w:t>
      </w:r>
      <w:r w:rsidRPr="00BF42B7">
        <w:rPr>
          <w:rFonts w:eastAsiaTheme="minorEastAsia" w:hint="eastAsia"/>
          <w:szCs w:val="21"/>
        </w:rPr>
        <w:t>“人们</w:t>
      </w:r>
      <w:r w:rsidRPr="00BF42B7">
        <w:rPr>
          <w:rFonts w:eastAsiaTheme="minorEastAsia" w:hint="eastAsia"/>
          <w:spacing w:val="4"/>
          <w:szCs w:val="21"/>
        </w:rPr>
        <w:t>日益</w:t>
      </w:r>
      <w:r w:rsidRPr="00BF42B7">
        <w:rPr>
          <w:rFonts w:eastAsiaTheme="minorEastAsia"/>
          <w:spacing w:val="4"/>
          <w:szCs w:val="21"/>
        </w:rPr>
        <w:t>认识到，预防和减少灾害风险是一项法律义务，涵盖风险评估、安装预警系统、以及获得风险信息权</w:t>
      </w:r>
      <w:r w:rsidRPr="00BF42B7">
        <w:rPr>
          <w:rFonts w:eastAsiaTheme="minorEastAsia" w:hint="eastAsia"/>
          <w:spacing w:val="4"/>
          <w:szCs w:val="21"/>
        </w:rPr>
        <w:t>”。在</w:t>
      </w:r>
      <w:r w:rsidRPr="00BF42B7">
        <w:rPr>
          <w:rFonts w:eastAsiaTheme="minorEastAsia"/>
          <w:spacing w:val="4"/>
          <w:szCs w:val="21"/>
        </w:rPr>
        <w:t>第三次联合国</w:t>
      </w:r>
      <w:r w:rsidRPr="00BF42B7">
        <w:rPr>
          <w:rFonts w:eastAsiaTheme="minorEastAsia"/>
          <w:szCs w:val="21"/>
        </w:rPr>
        <w:t>减少灾害风险世界</w:t>
      </w:r>
      <w:r w:rsidRPr="00BF42B7">
        <w:rPr>
          <w:rFonts w:eastAsiaTheme="minorEastAsia" w:hint="eastAsia"/>
          <w:szCs w:val="21"/>
        </w:rPr>
        <w:t>会议上，“各国重申它们承诺以新的紧迫感解决</w:t>
      </w:r>
      <w:r w:rsidRPr="00BF42B7">
        <w:rPr>
          <w:rFonts w:eastAsiaTheme="minorEastAsia"/>
          <w:szCs w:val="21"/>
        </w:rPr>
        <w:t>减少灾害风险和建设抗灾能力</w:t>
      </w:r>
      <w:r w:rsidRPr="00BF42B7">
        <w:rPr>
          <w:rFonts w:eastAsiaTheme="minorEastAsia" w:hint="eastAsia"/>
          <w:szCs w:val="21"/>
        </w:rPr>
        <w:t>问题”。</w:t>
      </w:r>
      <w:r w:rsidRPr="00BF42B7">
        <w:rPr>
          <w:rStyle w:val="a5"/>
          <w:szCs w:val="21"/>
        </w:rPr>
        <w:footnoteReference w:id="102"/>
      </w:r>
      <w:r w:rsidRPr="00BF42B7">
        <w:rPr>
          <w:rFonts w:eastAsiaTheme="minorEastAsia" w:hint="eastAsia"/>
          <w:szCs w:val="21"/>
        </w:rPr>
        <w:t xml:space="preserve"> </w:t>
      </w:r>
      <w:r w:rsidRPr="00BF42B7">
        <w:rPr>
          <w:rFonts w:eastAsiaTheme="minorEastAsia" w:hint="eastAsia"/>
          <w:szCs w:val="21"/>
        </w:rPr>
        <w:t>《仙台框架》指出，“当</w:t>
      </w:r>
      <w:r w:rsidRPr="00BF42B7">
        <w:rPr>
          <w:rFonts w:ascii="Arial" w:eastAsiaTheme="minorEastAsia" w:hAnsi="Arial" w:cs="Arial"/>
          <w:szCs w:val="21"/>
        </w:rPr>
        <w:t>务之急是预测、规划和减少灾害风险，以更有效地保护个人、社区和国家</w:t>
      </w:r>
      <w:r w:rsidRPr="00BF42B7">
        <w:rPr>
          <w:rFonts w:ascii="Arial" w:eastAsiaTheme="minorEastAsia" w:hAnsi="Arial" w:cs="Arial" w:hint="eastAsia"/>
          <w:szCs w:val="21"/>
        </w:rPr>
        <w:t>”，需要“在各级</w:t>
      </w:r>
      <w:r w:rsidRPr="00BF42B7">
        <w:rPr>
          <w:rFonts w:eastAsiaTheme="minorEastAsia" w:hint="eastAsia"/>
          <w:szCs w:val="21"/>
          <w:lang w:val="fr-CH"/>
        </w:rPr>
        <w:t>……</w:t>
      </w:r>
      <w:r w:rsidRPr="00BF42B7">
        <w:rPr>
          <w:rFonts w:ascii="Arial" w:eastAsiaTheme="minorEastAsia" w:hAnsi="Arial" w:cs="Arial" w:hint="eastAsia"/>
          <w:szCs w:val="21"/>
        </w:rPr>
        <w:t>对创造灾害风险</w:t>
      </w:r>
      <w:r w:rsidRPr="00BF42B7">
        <w:rPr>
          <w:rFonts w:eastAsiaTheme="minorEastAsia" w:hint="eastAsia"/>
          <w:szCs w:val="21"/>
          <w:lang w:val="fr-CH"/>
        </w:rPr>
        <w:t>……</w:t>
      </w:r>
      <w:r w:rsidRPr="00BF42B7">
        <w:rPr>
          <w:rFonts w:ascii="Arial" w:eastAsiaTheme="minorEastAsia" w:hAnsi="Arial" w:cs="Arial" w:hint="eastAsia"/>
          <w:szCs w:val="21"/>
        </w:rPr>
        <w:t>问责”。</w:t>
      </w:r>
      <w:r w:rsidRPr="00BF42B7">
        <w:rPr>
          <w:rStyle w:val="a5"/>
          <w:rFonts w:eastAsiaTheme="minorEastAsia"/>
          <w:szCs w:val="21"/>
        </w:rPr>
        <w:footnoteReference w:id="103"/>
      </w:r>
      <w:r w:rsidRPr="00BF42B7">
        <w:rPr>
          <w:rFonts w:ascii="Arial" w:eastAsiaTheme="minorEastAsia" w:hAnsi="Arial" w:cs="Arial" w:hint="eastAsia"/>
          <w:szCs w:val="21"/>
        </w:rPr>
        <w:t xml:space="preserve"> </w:t>
      </w:r>
      <w:r w:rsidRPr="00BF42B7">
        <w:rPr>
          <w:rFonts w:ascii="Arial" w:eastAsiaTheme="minorEastAsia" w:hAnsi="Arial" w:cs="Arial" w:hint="eastAsia"/>
          <w:szCs w:val="21"/>
        </w:rPr>
        <w:t>此外，《仙台框架》还指出，作为一项原则，“</w:t>
      </w:r>
      <w:r w:rsidRPr="00BF42B7">
        <w:rPr>
          <w:rFonts w:ascii="Arial" w:eastAsiaTheme="minorEastAsia" w:hAnsi="Arial" w:cs="Arial"/>
          <w:szCs w:val="21"/>
        </w:rPr>
        <w:t>每个国家都负有首要责</w:t>
      </w:r>
      <w:r w:rsidRPr="00BF42B7">
        <w:rPr>
          <w:rFonts w:ascii="Arial" w:eastAsiaTheme="minorEastAsia" w:hAnsi="Arial" w:cs="Arial" w:hint="eastAsia"/>
          <w:szCs w:val="21"/>
        </w:rPr>
        <w:t>任</w:t>
      </w:r>
      <w:r w:rsidRPr="00BF42B7">
        <w:rPr>
          <w:rFonts w:ascii="Arial" w:eastAsiaTheme="minorEastAsia" w:hAnsi="Arial" w:cs="Arial"/>
          <w:szCs w:val="21"/>
        </w:rPr>
        <w:t>预防和减少灾害风险</w:t>
      </w:r>
      <w:r w:rsidRPr="00BF42B7">
        <w:rPr>
          <w:rFonts w:ascii="Arial" w:eastAsiaTheme="minorEastAsia" w:hAnsi="Arial" w:cs="Arial" w:hint="eastAsia"/>
          <w:szCs w:val="21"/>
        </w:rPr>
        <w:t>，包括为此开展</w:t>
      </w:r>
      <w:r w:rsidRPr="00BF42B7">
        <w:rPr>
          <w:rFonts w:ascii="Arial" w:eastAsiaTheme="minorEastAsia" w:hAnsi="Arial" w:cs="Arial"/>
          <w:szCs w:val="21"/>
        </w:rPr>
        <w:t>国际、区域、次区域、跨界和双边合作</w:t>
      </w:r>
      <w:r w:rsidRPr="00BF42B7">
        <w:rPr>
          <w:rFonts w:ascii="Arial" w:eastAsiaTheme="minorEastAsia" w:hAnsi="Arial" w:cs="Arial" w:hint="eastAsia"/>
          <w:szCs w:val="21"/>
        </w:rPr>
        <w:t>”</w:t>
      </w:r>
      <w:r w:rsidRPr="00BF42B7">
        <w:rPr>
          <w:rFonts w:ascii="Arial" w:eastAsiaTheme="minorEastAsia" w:hAnsi="Arial" w:cs="Arial"/>
          <w:szCs w:val="21"/>
        </w:rPr>
        <w:t>。</w:t>
      </w:r>
      <w:r w:rsidRPr="00BF42B7">
        <w:rPr>
          <w:rStyle w:val="a5"/>
          <w:rFonts w:eastAsiaTheme="minorEastAsia"/>
          <w:szCs w:val="21"/>
        </w:rPr>
        <w:footnoteReference w:id="104"/>
      </w:r>
      <w:r w:rsidRPr="00BF42B7">
        <w:rPr>
          <w:rFonts w:ascii="Arial" w:eastAsiaTheme="minorEastAsia" w:hAnsi="Arial" w:cs="Arial" w:hint="eastAsia"/>
          <w:szCs w:val="21"/>
        </w:rPr>
        <w:t xml:space="preserve"> </w:t>
      </w:r>
      <w:r w:rsidRPr="00BF42B7">
        <w:rPr>
          <w:rFonts w:ascii="Arial" w:eastAsiaTheme="minorEastAsia" w:hAnsi="Arial" w:cs="Arial" w:hint="eastAsia"/>
          <w:szCs w:val="21"/>
        </w:rPr>
        <w:t>最后，为了</w:t>
      </w:r>
      <w:r w:rsidRPr="00BF42B7">
        <w:rPr>
          <w:rFonts w:ascii="Arial" w:eastAsiaTheme="minorEastAsia" w:hAnsi="Arial" w:cs="Arial" w:hint="eastAsia"/>
          <w:szCs w:val="21"/>
        </w:rPr>
        <w:t>"</w:t>
      </w:r>
      <w:r w:rsidRPr="00BF42B7">
        <w:rPr>
          <w:rFonts w:ascii="Arial" w:eastAsiaTheme="minorEastAsia" w:hAnsi="Arial" w:cs="Arial" w:hint="eastAsia"/>
          <w:szCs w:val="21"/>
        </w:rPr>
        <w:t>大</w:t>
      </w:r>
      <w:r w:rsidRPr="00BF42B7">
        <w:rPr>
          <w:rFonts w:ascii="Arial" w:eastAsiaTheme="minorEastAsia" w:hAnsi="Arial" w:cs="Arial"/>
          <w:szCs w:val="21"/>
        </w:rPr>
        <w:t>幅</w:t>
      </w:r>
      <w:r w:rsidRPr="00BF42B7">
        <w:rPr>
          <w:rFonts w:ascii="Arial" w:eastAsiaTheme="minorEastAsia" w:hAnsi="Arial" w:cs="Arial" w:hint="eastAsia"/>
          <w:szCs w:val="21"/>
        </w:rPr>
        <w:t>度减少</w:t>
      </w:r>
      <w:r w:rsidRPr="00BF42B7">
        <w:rPr>
          <w:rFonts w:ascii="Arial" w:eastAsiaTheme="minorEastAsia" w:hAnsi="Arial" w:cs="Arial"/>
          <w:szCs w:val="21"/>
        </w:rPr>
        <w:t>灾害风险</w:t>
      </w:r>
      <w:r w:rsidRPr="00BF42B7">
        <w:rPr>
          <w:rFonts w:ascii="Arial" w:eastAsiaTheme="minorEastAsia" w:hAnsi="Arial" w:cs="Arial" w:hint="eastAsia"/>
          <w:szCs w:val="21"/>
        </w:rPr>
        <w:t>与</w:t>
      </w:r>
      <w:r w:rsidRPr="00BF42B7">
        <w:rPr>
          <w:rFonts w:ascii="Arial" w:eastAsiaTheme="minorEastAsia" w:hAnsi="Arial" w:cs="Arial"/>
          <w:szCs w:val="21"/>
        </w:rPr>
        <w:t>生命、生计和</w:t>
      </w:r>
      <w:r w:rsidRPr="00BF42B7">
        <w:rPr>
          <w:rFonts w:ascii="Arial" w:eastAsiaTheme="minorEastAsia" w:hAnsi="Arial" w:cs="Arial" w:hint="eastAsia"/>
          <w:szCs w:val="21"/>
        </w:rPr>
        <w:t>健康损失，</w:t>
      </w:r>
      <w:r w:rsidRPr="00BF42B7">
        <w:rPr>
          <w:rFonts w:ascii="Arial" w:eastAsiaTheme="minorEastAsia" w:hAnsi="Arial" w:cs="Arial"/>
          <w:szCs w:val="21"/>
        </w:rPr>
        <w:t>以及人员、企业、社区和国家的经济、实</w:t>
      </w:r>
      <w:r w:rsidRPr="00BF42B7">
        <w:rPr>
          <w:rFonts w:ascii="Arial" w:eastAsiaTheme="minorEastAsia" w:hAnsi="Arial" w:cs="Arial" w:hint="eastAsia"/>
          <w:szCs w:val="21"/>
        </w:rPr>
        <w:t>体</w:t>
      </w:r>
      <w:r w:rsidRPr="00BF42B7">
        <w:rPr>
          <w:rFonts w:ascii="Arial" w:eastAsiaTheme="minorEastAsia" w:hAnsi="Arial" w:cs="Arial"/>
          <w:szCs w:val="21"/>
        </w:rPr>
        <w:t>、社会、文化和环境资产的损失</w:t>
      </w:r>
      <w:r w:rsidRPr="00BF42B7">
        <w:rPr>
          <w:rFonts w:ascii="Arial" w:eastAsiaTheme="minorEastAsia" w:hAnsi="Arial" w:cs="Arial" w:hint="eastAsia"/>
          <w:szCs w:val="21"/>
        </w:rPr>
        <w:t>”，</w:t>
      </w:r>
      <w:r w:rsidRPr="00BF42B7">
        <w:rPr>
          <w:rStyle w:val="a5"/>
          <w:rFonts w:eastAsiaTheme="minorEastAsia"/>
          <w:szCs w:val="21"/>
        </w:rPr>
        <w:footnoteReference w:id="105"/>
      </w:r>
      <w:r w:rsidRPr="00BF42B7">
        <w:rPr>
          <w:rFonts w:ascii="Arial" w:eastAsiaTheme="minorEastAsia" w:hAnsi="Arial" w:cs="Arial" w:hint="eastAsia"/>
          <w:szCs w:val="21"/>
        </w:rPr>
        <w:t xml:space="preserve"> </w:t>
      </w:r>
      <w:r w:rsidRPr="00BF42B7">
        <w:rPr>
          <w:rFonts w:ascii="Arial" w:eastAsiaTheme="minorEastAsia" w:hAnsi="Arial" w:cs="Arial" w:hint="eastAsia"/>
          <w:szCs w:val="21"/>
        </w:rPr>
        <w:t>《仙台框架》指出，“</w:t>
      </w:r>
      <w:r w:rsidRPr="00BF42B7">
        <w:rPr>
          <w:rFonts w:ascii="Arial" w:eastAsiaTheme="minorEastAsia" w:hAnsi="Arial" w:cs="Arial"/>
          <w:szCs w:val="21"/>
        </w:rPr>
        <w:t>必须设法实现以下目标：预防产生新的灾害风险和减少现有的灾害风险，为此要采取综合</w:t>
      </w:r>
      <w:r w:rsidRPr="00BF42B7">
        <w:rPr>
          <w:rFonts w:ascii="Arial" w:eastAsiaTheme="minorEastAsia" w:hAnsi="Arial" w:cs="Arial" w:hint="eastAsia"/>
          <w:szCs w:val="21"/>
        </w:rPr>
        <w:t>性</w:t>
      </w:r>
      <w:r w:rsidRPr="00BF42B7">
        <w:rPr>
          <w:rFonts w:ascii="Arial" w:eastAsiaTheme="minorEastAsia" w:hAnsi="Arial" w:cs="Arial"/>
          <w:szCs w:val="21"/>
        </w:rPr>
        <w:t>和包容</w:t>
      </w:r>
      <w:r w:rsidRPr="00BF42B7">
        <w:rPr>
          <w:rFonts w:ascii="Arial" w:eastAsiaTheme="minorEastAsia" w:hAnsi="Arial" w:cs="Arial" w:hint="eastAsia"/>
          <w:szCs w:val="21"/>
        </w:rPr>
        <w:t>性</w:t>
      </w:r>
      <w:r w:rsidRPr="00BF42B7">
        <w:rPr>
          <w:rFonts w:ascii="Arial" w:eastAsiaTheme="minorEastAsia" w:hAnsi="Arial" w:cs="Arial"/>
          <w:szCs w:val="21"/>
        </w:rPr>
        <w:t>的经济、结构、法律、社会、卫生、文化、教育、环境、技术、政治和体制措施，防止和减少</w:t>
      </w:r>
      <w:r w:rsidRPr="00BF42B7">
        <w:rPr>
          <w:rFonts w:ascii="Arial" w:eastAsiaTheme="minorEastAsia" w:hAnsi="Arial" w:cs="Arial" w:hint="eastAsia"/>
          <w:szCs w:val="21"/>
        </w:rPr>
        <w:t>危险程度</w:t>
      </w:r>
      <w:r w:rsidRPr="00BF42B7">
        <w:rPr>
          <w:rFonts w:ascii="Arial" w:eastAsiaTheme="minorEastAsia" w:hAnsi="Arial" w:cs="Arial"/>
          <w:szCs w:val="21"/>
        </w:rPr>
        <w:t>和受灾脆弱性，加强</w:t>
      </w:r>
      <w:r w:rsidRPr="00BF42B7">
        <w:rPr>
          <w:rFonts w:ascii="Arial" w:eastAsiaTheme="minorEastAsia" w:hAnsi="Arial" w:cs="Arial" w:hint="eastAsia"/>
          <w:szCs w:val="21"/>
        </w:rPr>
        <w:t>备灾</w:t>
      </w:r>
      <w:r w:rsidRPr="00BF42B7">
        <w:rPr>
          <w:rFonts w:ascii="Arial" w:eastAsiaTheme="minorEastAsia" w:hAnsi="Arial" w:cs="Arial"/>
          <w:szCs w:val="21"/>
        </w:rPr>
        <w:t>和</w:t>
      </w:r>
      <w:r w:rsidRPr="00BF42B7">
        <w:rPr>
          <w:rFonts w:ascii="Arial" w:eastAsiaTheme="minorEastAsia" w:hAnsi="Arial" w:cs="Arial" w:hint="eastAsia"/>
          <w:szCs w:val="21"/>
        </w:rPr>
        <w:t>恢复</w:t>
      </w:r>
      <w:r w:rsidRPr="00BF42B7">
        <w:rPr>
          <w:rFonts w:ascii="Arial" w:eastAsiaTheme="minorEastAsia" w:hAnsi="Arial" w:cs="Arial"/>
          <w:szCs w:val="21"/>
        </w:rPr>
        <w:t>准备，从而提高抗灾能力</w:t>
      </w:r>
      <w:r w:rsidRPr="00BF42B7">
        <w:rPr>
          <w:rFonts w:ascii="Arial" w:eastAsiaTheme="minorEastAsia" w:hAnsi="Arial" w:cs="Arial" w:hint="eastAsia"/>
          <w:szCs w:val="21"/>
        </w:rPr>
        <w:t>”</w:t>
      </w:r>
      <w:r w:rsidRPr="00BF42B7">
        <w:rPr>
          <w:rFonts w:ascii="Arial" w:eastAsiaTheme="minorEastAsia" w:hAnsi="Arial" w:cs="Arial"/>
          <w:szCs w:val="21"/>
        </w:rPr>
        <w:t>。</w:t>
      </w:r>
      <w:r w:rsidRPr="00BF42B7">
        <w:rPr>
          <w:rStyle w:val="a5"/>
          <w:rFonts w:eastAsiaTheme="minorEastAsia"/>
          <w:szCs w:val="21"/>
        </w:rPr>
        <w:footnoteReference w:id="106"/>
      </w:r>
    </w:p>
    <w:p w:rsidR="00765E0D" w:rsidRPr="00BF42B7" w:rsidRDefault="00765E0D" w:rsidP="00765E0D">
      <w:pPr>
        <w:pStyle w:val="SingleTxtGC"/>
        <w:rPr>
          <w:rFonts w:eastAsiaTheme="minorEastAsia"/>
          <w:szCs w:val="21"/>
        </w:rPr>
      </w:pPr>
      <w:r w:rsidRPr="00BF42B7">
        <w:rPr>
          <w:rFonts w:eastAsiaTheme="minorEastAsia"/>
          <w:szCs w:val="21"/>
        </w:rPr>
        <w:t>(4)</w:t>
      </w:r>
      <w:r w:rsidRPr="00BF42B7">
        <w:rPr>
          <w:rFonts w:eastAsiaTheme="minorEastAsia" w:hint="eastAsia"/>
          <w:szCs w:val="21"/>
        </w:rPr>
        <w:t xml:space="preserve">  </w:t>
      </w:r>
      <w:r w:rsidRPr="00BF42B7">
        <w:rPr>
          <w:rFonts w:eastAsiaTheme="minorEastAsia"/>
          <w:szCs w:val="21"/>
        </w:rPr>
        <w:t>委员会</w:t>
      </w:r>
      <w:r w:rsidRPr="00BF42B7">
        <w:rPr>
          <w:rFonts w:eastAsiaTheme="minorEastAsia" w:hint="eastAsia"/>
          <w:szCs w:val="21"/>
        </w:rPr>
        <w:t>遵循</w:t>
      </w:r>
      <w:r w:rsidRPr="00BF42B7">
        <w:rPr>
          <w:rFonts w:eastAsiaTheme="minorEastAsia"/>
          <w:szCs w:val="21"/>
        </w:rPr>
        <w:t>国家主权和不干涉的基本原则，同时</w:t>
      </w:r>
      <w:r w:rsidRPr="00BF42B7">
        <w:rPr>
          <w:rFonts w:eastAsiaTheme="minorEastAsia" w:hint="eastAsia"/>
          <w:szCs w:val="21"/>
        </w:rPr>
        <w:t>汲取</w:t>
      </w:r>
      <w:r w:rsidRPr="00BF42B7">
        <w:rPr>
          <w:rFonts w:eastAsiaTheme="minorEastAsia"/>
          <w:szCs w:val="21"/>
        </w:rPr>
        <w:t>国际人权法产生的原则，包括各国有义务尊重、保护人权，特别是生命权。保护</w:t>
      </w:r>
      <w:r w:rsidRPr="00BF42B7">
        <w:rPr>
          <w:rFonts w:eastAsiaTheme="minorEastAsia" w:hint="eastAsia"/>
          <w:szCs w:val="21"/>
        </w:rPr>
        <w:t>就要求各国承担起积极义务，</w:t>
      </w:r>
      <w:r w:rsidRPr="00BF42B7">
        <w:rPr>
          <w:rFonts w:eastAsiaTheme="minorEastAsia"/>
          <w:szCs w:val="21"/>
        </w:rPr>
        <w:t>采取必要适当措施，防止</w:t>
      </w:r>
      <w:r w:rsidRPr="00BF42B7">
        <w:rPr>
          <w:rFonts w:eastAsiaTheme="minorEastAsia" w:hint="eastAsia"/>
          <w:szCs w:val="21"/>
        </w:rPr>
        <w:t>即将发生的灾害造成损害。</w:t>
      </w:r>
      <w:r w:rsidRPr="00BF42B7">
        <w:rPr>
          <w:rFonts w:eastAsiaTheme="minorEastAsia"/>
          <w:szCs w:val="21"/>
        </w:rPr>
        <w:t>这一点得到</w:t>
      </w:r>
      <w:r w:rsidRPr="00BF42B7">
        <w:rPr>
          <w:rFonts w:eastAsiaTheme="minorEastAsia" w:hint="eastAsia"/>
          <w:szCs w:val="21"/>
        </w:rPr>
        <w:t>了</w:t>
      </w:r>
      <w:r w:rsidRPr="00BF42B7">
        <w:rPr>
          <w:rFonts w:eastAsiaTheme="minorEastAsia"/>
          <w:szCs w:val="21"/>
        </w:rPr>
        <w:t>国际法庭裁决</w:t>
      </w:r>
      <w:r w:rsidRPr="00BF42B7">
        <w:rPr>
          <w:rFonts w:eastAsiaTheme="minorEastAsia" w:hint="eastAsia"/>
          <w:szCs w:val="21"/>
        </w:rPr>
        <w:t>的认可</w:t>
      </w:r>
      <w:r w:rsidRPr="00BF42B7">
        <w:rPr>
          <w:rFonts w:eastAsiaTheme="minorEastAsia"/>
          <w:szCs w:val="21"/>
        </w:rPr>
        <w:t>，</w:t>
      </w:r>
      <w:r w:rsidRPr="00BF42B7">
        <w:rPr>
          <w:rFonts w:eastAsiaTheme="minorEastAsia" w:hint="eastAsia"/>
          <w:szCs w:val="21"/>
        </w:rPr>
        <w:t>可参见</w:t>
      </w:r>
      <w:r w:rsidRPr="00BF42B7">
        <w:rPr>
          <w:rFonts w:eastAsiaTheme="minorEastAsia"/>
          <w:szCs w:val="21"/>
        </w:rPr>
        <w:t>欧洲人权法院关于厄内尔伊尔迪兹诉土耳其案</w:t>
      </w:r>
      <w:r w:rsidRPr="00BF42B7">
        <w:rPr>
          <w:rFonts w:eastAsiaTheme="minorEastAsia"/>
          <w:color w:val="0000FF"/>
          <w:szCs w:val="21"/>
          <w:vertAlign w:val="superscript"/>
        </w:rPr>
        <w:footnoteReference w:id="107"/>
      </w:r>
      <w:r w:rsidRPr="00BF42B7">
        <w:rPr>
          <w:rFonts w:eastAsiaTheme="minorEastAsia"/>
          <w:color w:val="0000FF"/>
          <w:szCs w:val="21"/>
          <w:vertAlign w:val="superscript"/>
        </w:rPr>
        <w:t xml:space="preserve"> </w:t>
      </w:r>
      <w:r w:rsidRPr="00BF42B7">
        <w:rPr>
          <w:rFonts w:eastAsiaTheme="minorEastAsia"/>
          <w:szCs w:val="21"/>
        </w:rPr>
        <w:t>和在布达耶娃等人诉俄罗斯案</w:t>
      </w:r>
      <w:r w:rsidRPr="00BF42B7">
        <w:rPr>
          <w:rFonts w:eastAsiaTheme="minorEastAsia"/>
          <w:color w:val="0000FF"/>
          <w:szCs w:val="21"/>
          <w:vertAlign w:val="superscript"/>
        </w:rPr>
        <w:footnoteReference w:id="108"/>
      </w:r>
      <w:r w:rsidRPr="00BF42B7">
        <w:rPr>
          <w:rFonts w:eastAsiaTheme="minorEastAsia"/>
          <w:color w:val="0000FF"/>
          <w:szCs w:val="21"/>
          <w:vertAlign w:val="superscript"/>
        </w:rPr>
        <w:t xml:space="preserve"> </w:t>
      </w:r>
      <w:r w:rsidRPr="00BF42B7">
        <w:rPr>
          <w:rFonts w:eastAsiaTheme="minorEastAsia"/>
          <w:szCs w:val="21"/>
        </w:rPr>
        <w:t>的裁决。这些裁决确认了采取预防措施的责任。此外，第</w:t>
      </w:r>
      <w:r w:rsidRPr="00BF42B7">
        <w:rPr>
          <w:rFonts w:eastAsiaTheme="minorEastAsia"/>
          <w:szCs w:val="21"/>
        </w:rPr>
        <w:t>9</w:t>
      </w:r>
      <w:r w:rsidRPr="00BF42B7">
        <w:rPr>
          <w:rFonts w:eastAsiaTheme="minorEastAsia"/>
          <w:szCs w:val="21"/>
        </w:rPr>
        <w:t>条草案</w:t>
      </w:r>
      <w:r w:rsidRPr="00BF42B7">
        <w:rPr>
          <w:rFonts w:eastAsiaTheme="minorEastAsia" w:hint="eastAsia"/>
          <w:szCs w:val="21"/>
        </w:rPr>
        <w:t>借鉴</w:t>
      </w:r>
      <w:r w:rsidRPr="00BF42B7">
        <w:rPr>
          <w:rFonts w:eastAsiaTheme="minorEastAsia"/>
          <w:szCs w:val="21"/>
        </w:rPr>
        <w:t>了若干国际环境法原则，包括</w:t>
      </w:r>
      <w:r w:rsidRPr="00BF42B7">
        <w:rPr>
          <w:rFonts w:eastAsiaTheme="minorEastAsia" w:hint="eastAsia"/>
          <w:szCs w:val="21"/>
        </w:rPr>
        <w:t>“</w:t>
      </w:r>
      <w:r w:rsidRPr="00BF42B7">
        <w:rPr>
          <w:rFonts w:eastAsiaTheme="minorEastAsia"/>
          <w:szCs w:val="21"/>
        </w:rPr>
        <w:t>尽职</w:t>
      </w:r>
      <w:r w:rsidRPr="00BF42B7">
        <w:rPr>
          <w:rFonts w:eastAsiaTheme="minorEastAsia" w:hint="eastAsia"/>
          <w:szCs w:val="21"/>
        </w:rPr>
        <w:t>”</w:t>
      </w:r>
      <w:r w:rsidRPr="00BF42B7">
        <w:rPr>
          <w:rFonts w:eastAsiaTheme="minorEastAsia"/>
          <w:szCs w:val="21"/>
        </w:rPr>
        <w:t>原则。</w:t>
      </w:r>
    </w:p>
    <w:p w:rsidR="00765E0D" w:rsidRPr="00BF42B7" w:rsidRDefault="00765E0D" w:rsidP="00D111E4">
      <w:pPr>
        <w:pStyle w:val="SingleTxtGC"/>
        <w:rPr>
          <w:rFonts w:eastAsiaTheme="minorEastAsia"/>
          <w:szCs w:val="21"/>
        </w:rPr>
      </w:pPr>
      <w:r w:rsidRPr="00BF42B7">
        <w:rPr>
          <w:rFonts w:eastAsiaTheme="minorEastAsia"/>
          <w:szCs w:val="21"/>
        </w:rPr>
        <w:t>(5)</w:t>
      </w:r>
      <w:r w:rsidRPr="00BF42B7">
        <w:rPr>
          <w:rFonts w:eastAsiaTheme="minorEastAsia" w:hint="eastAsia"/>
          <w:szCs w:val="21"/>
        </w:rPr>
        <w:t xml:space="preserve">  </w:t>
      </w:r>
      <w:r w:rsidRPr="00BF42B7">
        <w:rPr>
          <w:rFonts w:eastAsiaTheme="minorEastAsia" w:hint="eastAsia"/>
          <w:szCs w:val="21"/>
        </w:rPr>
        <w:t>第</w:t>
      </w:r>
      <w:r w:rsidRPr="00BF42B7">
        <w:rPr>
          <w:rFonts w:eastAsiaTheme="minorEastAsia" w:hint="eastAsia"/>
          <w:szCs w:val="21"/>
        </w:rPr>
        <w:t>9</w:t>
      </w:r>
      <w:r w:rsidRPr="00BF42B7">
        <w:rPr>
          <w:rFonts w:eastAsiaTheme="minorEastAsia" w:hint="eastAsia"/>
          <w:szCs w:val="21"/>
        </w:rPr>
        <w:t>条草案的重要法律基础是反映各国承诺减少灾害风险的广泛实践。各国和各国际组织通过了减少灾害风险的具有约束力的多边、区域和双边协议，其中包括：《巴黎协定》</w:t>
      </w:r>
      <w:r w:rsidRPr="00BF42B7">
        <w:rPr>
          <w:rFonts w:eastAsiaTheme="minorEastAsia"/>
          <w:szCs w:val="21"/>
        </w:rPr>
        <w:t>(2015</w:t>
      </w:r>
      <w:r w:rsidRPr="00BF42B7">
        <w:rPr>
          <w:rFonts w:eastAsiaTheme="minorEastAsia" w:hint="eastAsia"/>
          <w:szCs w:val="21"/>
        </w:rPr>
        <w:t>年</w:t>
      </w:r>
      <w:r w:rsidRPr="00BF42B7">
        <w:rPr>
          <w:rFonts w:eastAsiaTheme="minorEastAsia"/>
          <w:szCs w:val="21"/>
        </w:rPr>
        <w:t>)</w:t>
      </w:r>
      <w:r w:rsidRPr="00BF42B7">
        <w:rPr>
          <w:rFonts w:eastAsiaTheme="minorEastAsia" w:hint="eastAsia"/>
          <w:szCs w:val="21"/>
        </w:rPr>
        <w:t>；</w:t>
      </w:r>
      <w:r w:rsidRPr="00BF42B7">
        <w:rPr>
          <w:rStyle w:val="a5"/>
          <w:rFonts w:eastAsiaTheme="minorEastAsia"/>
          <w:szCs w:val="21"/>
        </w:rPr>
        <w:footnoteReference w:id="109"/>
      </w:r>
      <w:r w:rsidR="00861980" w:rsidRPr="00BF42B7">
        <w:rPr>
          <w:rFonts w:eastAsiaTheme="minorEastAsia" w:hint="eastAsia"/>
          <w:szCs w:val="21"/>
        </w:rPr>
        <w:t xml:space="preserve"> </w:t>
      </w:r>
      <w:r w:rsidRPr="00BF42B7">
        <w:rPr>
          <w:rStyle w:val="st"/>
          <w:rFonts w:ascii="宋体" w:eastAsiaTheme="minorEastAsia" w:hAnsi="宋体" w:cs="宋体" w:hint="eastAsia"/>
          <w:szCs w:val="21"/>
        </w:rPr>
        <w:t>《改变我</w:t>
      </w:r>
      <w:r w:rsidRPr="00BF42B7">
        <w:rPr>
          <w:rFonts w:hint="eastAsia"/>
          <w:szCs w:val="21"/>
        </w:rPr>
        <w:t>们的世界</w:t>
      </w:r>
      <w:r w:rsidRPr="00BF42B7">
        <w:rPr>
          <w:rFonts w:hint="eastAsia"/>
          <w:spacing w:val="-50"/>
          <w:szCs w:val="21"/>
        </w:rPr>
        <w:t>―</w:t>
      </w:r>
      <w:r w:rsidRPr="00BF42B7">
        <w:rPr>
          <w:rFonts w:hint="eastAsia"/>
          <w:szCs w:val="21"/>
        </w:rPr>
        <w:t>―</w:t>
      </w:r>
      <w:r w:rsidRPr="00BF42B7">
        <w:rPr>
          <w:szCs w:val="21"/>
        </w:rPr>
        <w:t>2030</w:t>
      </w:r>
      <w:r w:rsidRPr="00BF42B7">
        <w:rPr>
          <w:rFonts w:hint="eastAsia"/>
          <w:szCs w:val="21"/>
        </w:rPr>
        <w:t>年</w:t>
      </w:r>
      <w:r w:rsidRPr="00BF42B7">
        <w:rPr>
          <w:rStyle w:val="st"/>
          <w:rFonts w:ascii="宋体" w:eastAsiaTheme="minorEastAsia" w:hAnsi="宋体" w:cs="宋体" w:hint="eastAsia"/>
          <w:szCs w:val="21"/>
        </w:rPr>
        <w:t>可持续发展议程》</w:t>
      </w:r>
      <w:r w:rsidRPr="00BF42B7">
        <w:rPr>
          <w:rFonts w:eastAsiaTheme="minorEastAsia"/>
          <w:szCs w:val="21"/>
        </w:rPr>
        <w:t>(2015</w:t>
      </w:r>
      <w:r w:rsidRPr="00BF42B7">
        <w:rPr>
          <w:rFonts w:eastAsiaTheme="minorEastAsia" w:hint="eastAsia"/>
          <w:szCs w:val="21"/>
        </w:rPr>
        <w:t>年</w:t>
      </w:r>
      <w:r w:rsidRPr="00BF42B7">
        <w:rPr>
          <w:rFonts w:eastAsiaTheme="minorEastAsia"/>
          <w:szCs w:val="21"/>
        </w:rPr>
        <w:t>)</w:t>
      </w:r>
      <w:r w:rsidRPr="00BF42B7">
        <w:rPr>
          <w:rFonts w:eastAsiaTheme="minorEastAsia" w:hint="eastAsia"/>
          <w:szCs w:val="21"/>
        </w:rPr>
        <w:t>；</w:t>
      </w:r>
      <w:r w:rsidRPr="00BF42B7">
        <w:rPr>
          <w:rStyle w:val="a5"/>
          <w:rFonts w:eastAsiaTheme="minorEastAsia"/>
          <w:szCs w:val="21"/>
        </w:rPr>
        <w:footnoteReference w:id="110"/>
      </w:r>
      <w:r w:rsidRPr="00BF42B7">
        <w:rPr>
          <w:rFonts w:eastAsiaTheme="minorEastAsia"/>
          <w:szCs w:val="21"/>
        </w:rPr>
        <w:t xml:space="preserve"> </w:t>
      </w:r>
      <w:r w:rsidRPr="00BF42B7">
        <w:rPr>
          <w:rFonts w:eastAsiaTheme="minorEastAsia" w:hint="eastAsia"/>
          <w:szCs w:val="21"/>
        </w:rPr>
        <w:t>第三次发展筹资问题国际会议《亚的斯亚贝巴行动议程》</w:t>
      </w:r>
      <w:r w:rsidRPr="00BF42B7">
        <w:rPr>
          <w:rFonts w:eastAsiaTheme="minorEastAsia"/>
          <w:szCs w:val="21"/>
        </w:rPr>
        <w:t>(2015</w:t>
      </w:r>
      <w:r w:rsidRPr="00BF42B7">
        <w:rPr>
          <w:rFonts w:eastAsiaTheme="minorEastAsia" w:hint="eastAsia"/>
          <w:szCs w:val="21"/>
        </w:rPr>
        <w:t>年</w:t>
      </w:r>
      <w:r w:rsidRPr="00BF42B7">
        <w:rPr>
          <w:rFonts w:eastAsiaTheme="minorEastAsia"/>
          <w:szCs w:val="21"/>
        </w:rPr>
        <w:t>)</w:t>
      </w:r>
      <w:r w:rsidRPr="00BF42B7">
        <w:rPr>
          <w:rFonts w:eastAsiaTheme="minorEastAsia" w:hint="eastAsia"/>
          <w:szCs w:val="21"/>
        </w:rPr>
        <w:t>；</w:t>
      </w:r>
      <w:r w:rsidRPr="00BF42B7">
        <w:rPr>
          <w:rStyle w:val="a5"/>
          <w:rFonts w:eastAsiaTheme="minorEastAsia"/>
          <w:szCs w:val="21"/>
        </w:rPr>
        <w:footnoteReference w:id="111"/>
      </w:r>
      <w:r w:rsidRPr="00BF42B7">
        <w:rPr>
          <w:rStyle w:val="st"/>
          <w:rFonts w:eastAsiaTheme="minorEastAsia" w:hint="eastAsia"/>
          <w:szCs w:val="21"/>
        </w:rPr>
        <w:t xml:space="preserve"> </w:t>
      </w:r>
      <w:r w:rsidRPr="00BF42B7">
        <w:rPr>
          <w:rFonts w:eastAsia="黑体" w:hint="eastAsia"/>
          <w:szCs w:val="21"/>
        </w:rPr>
        <w:t>小岛屿发展中国家快速行动</w:t>
      </w:r>
      <w:r w:rsidRPr="00BF42B7">
        <w:rPr>
          <w:rStyle w:val="st"/>
          <w:rFonts w:ascii="宋体" w:eastAsiaTheme="minorEastAsia" w:hAnsi="宋体" w:cs="宋体" w:hint="eastAsia"/>
          <w:szCs w:val="21"/>
        </w:rPr>
        <w:t>方式</w:t>
      </w:r>
      <w:r w:rsidRPr="00BF42B7">
        <w:rPr>
          <w:rStyle w:val="st"/>
          <w:rFonts w:eastAsiaTheme="minorEastAsia"/>
          <w:szCs w:val="21"/>
        </w:rPr>
        <w:t>(</w:t>
      </w:r>
      <w:r w:rsidRPr="00BF42B7">
        <w:rPr>
          <w:rStyle w:val="st"/>
          <w:rFonts w:ascii="宋体" w:eastAsiaTheme="minorEastAsia" w:hAnsi="宋体" w:cs="宋体" w:hint="eastAsia"/>
          <w:szCs w:val="21"/>
        </w:rPr>
        <w:t>萨摩亚途径</w:t>
      </w:r>
      <w:r w:rsidRPr="00BF42B7">
        <w:rPr>
          <w:rStyle w:val="st"/>
          <w:rFonts w:eastAsiaTheme="minorEastAsia"/>
          <w:szCs w:val="21"/>
        </w:rPr>
        <w:t>)</w:t>
      </w:r>
      <w:r w:rsidRPr="00BF42B7">
        <w:rPr>
          <w:rFonts w:eastAsiaTheme="minorEastAsia"/>
          <w:szCs w:val="21"/>
        </w:rPr>
        <w:t>(2014</w:t>
      </w:r>
      <w:r w:rsidRPr="00BF42B7">
        <w:rPr>
          <w:rFonts w:eastAsiaTheme="minorEastAsia" w:hint="eastAsia"/>
          <w:szCs w:val="21"/>
        </w:rPr>
        <w:t>年</w:t>
      </w:r>
      <w:r w:rsidRPr="00BF42B7">
        <w:rPr>
          <w:rFonts w:eastAsiaTheme="minorEastAsia"/>
          <w:szCs w:val="21"/>
        </w:rPr>
        <w:t>)</w:t>
      </w:r>
      <w:r w:rsidRPr="00BF42B7">
        <w:rPr>
          <w:rFonts w:eastAsiaTheme="minorEastAsia" w:hint="eastAsia"/>
          <w:szCs w:val="21"/>
        </w:rPr>
        <w:t>；</w:t>
      </w:r>
      <w:r w:rsidRPr="00BF42B7">
        <w:rPr>
          <w:rStyle w:val="a5"/>
          <w:rFonts w:eastAsiaTheme="minorEastAsia"/>
          <w:szCs w:val="21"/>
        </w:rPr>
        <w:footnoteReference w:id="112"/>
      </w:r>
      <w:r w:rsidRPr="00BF42B7">
        <w:rPr>
          <w:rFonts w:eastAsiaTheme="minorEastAsia" w:hint="eastAsia"/>
          <w:szCs w:val="21"/>
        </w:rPr>
        <w:t>《东盟协定》；</w:t>
      </w:r>
      <w:r w:rsidRPr="00BF42B7">
        <w:rPr>
          <w:rFonts w:eastAsiaTheme="minorEastAsia"/>
          <w:color w:val="0000FF"/>
          <w:szCs w:val="21"/>
          <w:vertAlign w:val="superscript"/>
        </w:rPr>
        <w:footnoteReference w:id="113"/>
      </w:r>
      <w:r w:rsidRPr="00BF42B7">
        <w:rPr>
          <w:rFonts w:eastAsiaTheme="minorEastAsia" w:hint="eastAsia"/>
          <w:szCs w:val="21"/>
        </w:rPr>
        <w:t>《亚洲减少灾害风险北京行动计划》</w:t>
      </w:r>
      <w:r w:rsidRPr="00BF42B7">
        <w:rPr>
          <w:rFonts w:eastAsiaTheme="minorEastAsia"/>
          <w:szCs w:val="21"/>
        </w:rPr>
        <w:t>(2005</w:t>
      </w:r>
      <w:r w:rsidRPr="00BF42B7">
        <w:rPr>
          <w:rFonts w:eastAsiaTheme="minorEastAsia" w:hint="eastAsia"/>
          <w:szCs w:val="21"/>
        </w:rPr>
        <w:t>年</w:t>
      </w:r>
      <w:r w:rsidRPr="00BF42B7">
        <w:rPr>
          <w:rFonts w:eastAsiaTheme="minorEastAsia"/>
          <w:szCs w:val="21"/>
        </w:rPr>
        <w:t>)</w:t>
      </w:r>
      <w:r w:rsidRPr="00BF42B7">
        <w:rPr>
          <w:rFonts w:eastAsiaTheme="minorEastAsia" w:hint="eastAsia"/>
          <w:szCs w:val="21"/>
        </w:rPr>
        <w:t>；</w:t>
      </w:r>
      <w:r w:rsidRPr="00BF42B7">
        <w:rPr>
          <w:rStyle w:val="a5"/>
          <w:rFonts w:eastAsiaTheme="minorEastAsia"/>
          <w:szCs w:val="21"/>
        </w:rPr>
        <w:footnoteReference w:id="114"/>
      </w:r>
      <w:r w:rsidRPr="00BF42B7">
        <w:rPr>
          <w:rFonts w:eastAsiaTheme="minorEastAsia" w:hint="eastAsia"/>
          <w:szCs w:val="21"/>
        </w:rPr>
        <w:t>《亚洲减少灾害风险德里宣言》</w:t>
      </w:r>
      <w:r w:rsidRPr="00BF42B7">
        <w:rPr>
          <w:rFonts w:eastAsiaTheme="minorEastAsia"/>
          <w:szCs w:val="21"/>
        </w:rPr>
        <w:t>(2007</w:t>
      </w:r>
      <w:r w:rsidRPr="00BF42B7">
        <w:rPr>
          <w:rFonts w:eastAsiaTheme="minorEastAsia" w:hint="eastAsia"/>
          <w:szCs w:val="21"/>
        </w:rPr>
        <w:t>年</w:t>
      </w:r>
      <w:r w:rsidRPr="00BF42B7">
        <w:rPr>
          <w:rFonts w:eastAsiaTheme="minorEastAsia"/>
          <w:szCs w:val="21"/>
        </w:rPr>
        <w:t>)</w:t>
      </w:r>
      <w:r w:rsidRPr="00BF42B7">
        <w:rPr>
          <w:rFonts w:eastAsiaTheme="minorEastAsia" w:hint="eastAsia"/>
          <w:szCs w:val="21"/>
        </w:rPr>
        <w:t>；</w:t>
      </w:r>
      <w:r w:rsidRPr="00BF42B7">
        <w:rPr>
          <w:rStyle w:val="a5"/>
          <w:rFonts w:eastAsiaTheme="minorEastAsia"/>
          <w:szCs w:val="21"/>
        </w:rPr>
        <w:footnoteReference w:id="115"/>
      </w:r>
      <w:r w:rsidRPr="00BF42B7">
        <w:rPr>
          <w:rFonts w:eastAsiaTheme="minorEastAsia" w:hint="eastAsia"/>
          <w:szCs w:val="21"/>
        </w:rPr>
        <w:t>《亚洲减少灾害风险吉隆坡宣言》</w:t>
      </w:r>
      <w:r w:rsidRPr="00BF42B7">
        <w:rPr>
          <w:rFonts w:eastAsiaTheme="minorEastAsia"/>
          <w:szCs w:val="21"/>
        </w:rPr>
        <w:t>(2008</w:t>
      </w:r>
      <w:r w:rsidRPr="00BF42B7">
        <w:rPr>
          <w:rFonts w:eastAsiaTheme="minorEastAsia" w:hint="eastAsia"/>
          <w:szCs w:val="21"/>
        </w:rPr>
        <w:t>年</w:t>
      </w:r>
      <w:r w:rsidRPr="00BF42B7">
        <w:rPr>
          <w:rFonts w:eastAsiaTheme="minorEastAsia"/>
          <w:szCs w:val="21"/>
        </w:rPr>
        <w:t>)</w:t>
      </w:r>
      <w:r w:rsidRPr="00BF42B7">
        <w:rPr>
          <w:rFonts w:eastAsiaTheme="minorEastAsia" w:hint="eastAsia"/>
          <w:szCs w:val="21"/>
        </w:rPr>
        <w:t>；</w:t>
      </w:r>
      <w:r w:rsidRPr="00BF42B7">
        <w:rPr>
          <w:rStyle w:val="a5"/>
          <w:rFonts w:eastAsiaTheme="minorEastAsia"/>
          <w:szCs w:val="21"/>
        </w:rPr>
        <w:footnoteReference w:id="116"/>
      </w:r>
      <w:r w:rsidRPr="00BF42B7">
        <w:rPr>
          <w:rFonts w:eastAsiaTheme="minorEastAsia"/>
          <w:szCs w:val="21"/>
        </w:rPr>
        <w:t xml:space="preserve"> </w:t>
      </w:r>
      <w:r w:rsidRPr="00BF42B7">
        <w:rPr>
          <w:rFonts w:eastAsiaTheme="minorEastAsia" w:hint="eastAsia"/>
          <w:szCs w:val="21"/>
        </w:rPr>
        <w:t>《</w:t>
      </w:r>
      <w:r w:rsidRPr="00BF42B7">
        <w:rPr>
          <w:rFonts w:eastAsiaTheme="minorEastAsia"/>
          <w:szCs w:val="21"/>
        </w:rPr>
        <w:t>2010</w:t>
      </w:r>
      <w:r w:rsidRPr="00BF42B7">
        <w:rPr>
          <w:rFonts w:hint="eastAsia"/>
          <w:szCs w:val="21"/>
        </w:rPr>
        <w:t>年亚太减轻灾害风</w:t>
      </w:r>
      <w:r w:rsidRPr="00BF42B7">
        <w:rPr>
          <w:rFonts w:eastAsiaTheme="minorEastAsia" w:hint="eastAsia"/>
          <w:szCs w:val="21"/>
        </w:rPr>
        <w:t>险仁川宣言》；</w:t>
      </w:r>
      <w:r w:rsidRPr="00BF42B7">
        <w:rPr>
          <w:rStyle w:val="a5"/>
          <w:rFonts w:eastAsiaTheme="minorEastAsia"/>
          <w:szCs w:val="21"/>
        </w:rPr>
        <w:footnoteReference w:id="117"/>
      </w:r>
      <w:r w:rsidRPr="00BF42B7">
        <w:rPr>
          <w:rFonts w:eastAsiaTheme="minorEastAsia" w:hint="eastAsia"/>
          <w:szCs w:val="21"/>
        </w:rPr>
        <w:t xml:space="preserve"> </w:t>
      </w:r>
      <w:r w:rsidRPr="00BF42B7">
        <w:rPr>
          <w:rFonts w:eastAsiaTheme="minorEastAsia" w:hint="eastAsia"/>
          <w:szCs w:val="21"/>
        </w:rPr>
        <w:t>《亚太适应气候变化减轻灾害风险仁川区域路线图》</w:t>
      </w:r>
      <w:r w:rsidRPr="00BF42B7">
        <w:rPr>
          <w:rStyle w:val="a5"/>
          <w:rFonts w:eastAsiaTheme="minorEastAsia"/>
          <w:szCs w:val="21"/>
        </w:rPr>
        <w:footnoteReference w:id="118"/>
      </w:r>
      <w:r w:rsidRPr="00BF42B7">
        <w:rPr>
          <w:rFonts w:eastAsiaTheme="minorEastAsia" w:hint="eastAsia"/>
          <w:szCs w:val="21"/>
        </w:rPr>
        <w:t>，重申了《兵库行动纲领》，提出了考虑到该区域脆弱性的适应气候变化和减少灾害风险的亚洲倡议；太平洋区域灾害风险管理论坛第六届会议成果文件：“前进方向：太平洋区域具有气候抵御力和抗灾能力的发展</w:t>
      </w:r>
      <w:r w:rsidRPr="00BF42B7">
        <w:rPr>
          <w:rFonts w:ascii="Courier New" w:eastAsiaTheme="minorEastAsia" w:hAnsi="Courier New" w:cs="Courier New" w:hint="eastAsia"/>
          <w:szCs w:val="21"/>
        </w:rPr>
        <w:t>”</w:t>
      </w:r>
      <w:r w:rsidRPr="00BF42B7">
        <w:rPr>
          <w:rFonts w:eastAsiaTheme="minorEastAsia"/>
          <w:szCs w:val="21"/>
        </w:rPr>
        <w:t>(2014</w:t>
      </w:r>
      <w:r w:rsidRPr="00BF42B7">
        <w:rPr>
          <w:rFonts w:eastAsiaTheme="minorEastAsia" w:hint="eastAsia"/>
          <w:szCs w:val="21"/>
        </w:rPr>
        <w:t>年</w:t>
      </w:r>
      <w:r w:rsidRPr="00BF42B7">
        <w:rPr>
          <w:rFonts w:eastAsiaTheme="minorEastAsia"/>
          <w:szCs w:val="21"/>
        </w:rPr>
        <w:t>)</w:t>
      </w:r>
      <w:r w:rsidRPr="00BF42B7">
        <w:rPr>
          <w:rFonts w:eastAsiaTheme="minorEastAsia"/>
          <w:szCs w:val="21"/>
        </w:rPr>
        <w:t>；</w:t>
      </w:r>
      <w:r w:rsidRPr="00BF42B7">
        <w:rPr>
          <w:rStyle w:val="a5"/>
          <w:rFonts w:eastAsiaTheme="minorEastAsia"/>
          <w:szCs w:val="21"/>
        </w:rPr>
        <w:footnoteReference w:id="119"/>
      </w:r>
      <w:r w:rsidRPr="00BF42B7">
        <w:rPr>
          <w:rFonts w:eastAsiaTheme="minorEastAsia"/>
          <w:szCs w:val="21"/>
        </w:rPr>
        <w:t xml:space="preserve"> </w:t>
      </w:r>
      <w:r w:rsidRPr="00BF42B7">
        <w:rPr>
          <w:rStyle w:val="shorttext"/>
          <w:rFonts w:ascii="宋体" w:eastAsiaTheme="minorEastAsia" w:hAnsi="宋体" w:cs="宋体" w:hint="eastAsia"/>
          <w:szCs w:val="21"/>
        </w:rPr>
        <w:t>中亚和南高加索地区灾害管理部门在减少灾害风险方面加强区域合作的框架</w:t>
      </w:r>
      <w:r w:rsidRPr="00BF42B7">
        <w:rPr>
          <w:rFonts w:eastAsiaTheme="minorEastAsia"/>
          <w:szCs w:val="21"/>
        </w:rPr>
        <w:t>(2015</w:t>
      </w:r>
      <w:r w:rsidRPr="00BF42B7">
        <w:rPr>
          <w:rFonts w:eastAsiaTheme="minorEastAsia" w:hint="eastAsia"/>
          <w:szCs w:val="21"/>
        </w:rPr>
        <w:t>年</w:t>
      </w:r>
      <w:r w:rsidRPr="00BF42B7">
        <w:rPr>
          <w:rFonts w:eastAsiaTheme="minorEastAsia"/>
          <w:szCs w:val="21"/>
        </w:rPr>
        <w:t>)</w:t>
      </w:r>
      <w:r w:rsidRPr="00BF42B7">
        <w:rPr>
          <w:rFonts w:eastAsiaTheme="minorEastAsia"/>
          <w:szCs w:val="21"/>
        </w:rPr>
        <w:t>；</w:t>
      </w:r>
      <w:r w:rsidRPr="00BF42B7">
        <w:rPr>
          <w:rStyle w:val="a5"/>
          <w:rFonts w:eastAsiaTheme="minorEastAsia"/>
          <w:szCs w:val="21"/>
        </w:rPr>
        <w:footnoteReference w:id="120"/>
      </w:r>
      <w:r w:rsidRPr="00BF42B7">
        <w:rPr>
          <w:rFonts w:eastAsiaTheme="minorEastAsia"/>
          <w:szCs w:val="21"/>
        </w:rPr>
        <w:t xml:space="preserve"> 2004</w:t>
      </w:r>
      <w:r w:rsidRPr="00BF42B7">
        <w:rPr>
          <w:rFonts w:eastAsiaTheme="minorEastAsia" w:hint="eastAsia"/>
          <w:szCs w:val="21"/>
        </w:rPr>
        <w:t>年《非洲联盟减少灾害风险非洲区域战略》，</w:t>
      </w:r>
      <w:r w:rsidRPr="00BF42B7">
        <w:rPr>
          <w:rStyle w:val="a5"/>
          <w:rFonts w:eastAsiaTheme="minorEastAsia"/>
          <w:szCs w:val="21"/>
        </w:rPr>
        <w:footnoteReference w:id="121"/>
      </w:r>
      <w:r w:rsidRPr="00BF42B7">
        <w:rPr>
          <w:rFonts w:eastAsiaTheme="minorEastAsia" w:hint="eastAsia"/>
          <w:szCs w:val="21"/>
        </w:rPr>
        <w:t xml:space="preserve"> </w:t>
      </w:r>
      <w:r w:rsidRPr="00BF42B7">
        <w:rPr>
          <w:rFonts w:eastAsiaTheme="minorEastAsia" w:hint="eastAsia"/>
          <w:szCs w:val="21"/>
        </w:rPr>
        <w:t>随后又</w:t>
      </w:r>
      <w:r w:rsidRPr="00BF42B7">
        <w:rPr>
          <w:rFonts w:hint="eastAsia"/>
          <w:szCs w:val="21"/>
        </w:rPr>
        <w:t>有实施该战略的行动方案</w:t>
      </w:r>
      <w:r w:rsidRPr="00BF42B7">
        <w:rPr>
          <w:rFonts w:eastAsiaTheme="minorEastAsia"/>
          <w:szCs w:val="21"/>
        </w:rPr>
        <w:t>(</w:t>
      </w:r>
      <w:r w:rsidRPr="00BF42B7">
        <w:rPr>
          <w:rFonts w:eastAsiaTheme="minorEastAsia" w:hint="eastAsia"/>
          <w:szCs w:val="21"/>
        </w:rPr>
        <w:t>原定为</w:t>
      </w:r>
      <w:r w:rsidRPr="00BF42B7">
        <w:rPr>
          <w:rFonts w:eastAsiaTheme="minorEastAsia"/>
          <w:szCs w:val="21"/>
        </w:rPr>
        <w:t>2005-2010</w:t>
      </w:r>
      <w:r w:rsidRPr="00BF42B7">
        <w:rPr>
          <w:rFonts w:eastAsiaTheme="minorEastAsia" w:hint="eastAsia"/>
          <w:szCs w:val="21"/>
        </w:rPr>
        <w:t>年，后来延长至</w:t>
      </w:r>
      <w:r w:rsidRPr="00BF42B7">
        <w:rPr>
          <w:rFonts w:eastAsiaTheme="minorEastAsia"/>
          <w:szCs w:val="21"/>
        </w:rPr>
        <w:t>2015</w:t>
      </w:r>
      <w:r w:rsidRPr="00BF42B7">
        <w:rPr>
          <w:rFonts w:eastAsiaTheme="minorEastAsia" w:hint="eastAsia"/>
          <w:szCs w:val="21"/>
        </w:rPr>
        <w:t>年</w:t>
      </w:r>
      <w:r w:rsidRPr="00BF42B7">
        <w:rPr>
          <w:rFonts w:eastAsiaTheme="minorEastAsia"/>
          <w:szCs w:val="21"/>
        </w:rPr>
        <w:t>)</w:t>
      </w:r>
      <w:r w:rsidRPr="00BF42B7">
        <w:rPr>
          <w:rFonts w:eastAsiaTheme="minorEastAsia" w:hint="eastAsia"/>
          <w:szCs w:val="21"/>
        </w:rPr>
        <w:t>；</w:t>
      </w:r>
      <w:r w:rsidRPr="00BF42B7">
        <w:rPr>
          <w:rFonts w:eastAsiaTheme="minorEastAsia"/>
          <w:color w:val="0000FF"/>
          <w:szCs w:val="21"/>
          <w:vertAlign w:val="superscript"/>
        </w:rPr>
        <w:footnoteReference w:id="122"/>
      </w:r>
      <w:r w:rsidRPr="00BF42B7">
        <w:rPr>
          <w:rFonts w:eastAsiaTheme="minorEastAsia"/>
          <w:szCs w:val="21"/>
        </w:rPr>
        <w:t xml:space="preserve"> </w:t>
      </w:r>
      <w:r w:rsidRPr="00BF42B7">
        <w:rPr>
          <w:rFonts w:eastAsiaTheme="minorEastAsia" w:hint="eastAsia"/>
          <w:szCs w:val="21"/>
        </w:rPr>
        <w:t>东非共同体减少灾害风险和灾害管理法案</w:t>
      </w:r>
      <w:r w:rsidRPr="00BF42B7">
        <w:rPr>
          <w:rFonts w:eastAsiaTheme="minorEastAsia" w:hint="eastAsia"/>
          <w:szCs w:val="21"/>
        </w:rPr>
        <w:t>(2013</w:t>
      </w:r>
      <w:r w:rsidRPr="00BF42B7">
        <w:rPr>
          <w:rFonts w:eastAsiaTheme="minorEastAsia" w:hint="eastAsia"/>
          <w:szCs w:val="21"/>
        </w:rPr>
        <w:t>年</w:t>
      </w:r>
      <w:r w:rsidRPr="00BF42B7">
        <w:rPr>
          <w:rFonts w:eastAsiaTheme="minorEastAsia" w:hint="eastAsia"/>
          <w:szCs w:val="21"/>
        </w:rPr>
        <w:t>)</w:t>
      </w:r>
      <w:r w:rsidRPr="00BF42B7">
        <w:rPr>
          <w:rFonts w:eastAsiaTheme="minorEastAsia"/>
          <w:szCs w:val="21"/>
        </w:rPr>
        <w:t>；</w:t>
      </w:r>
      <w:r w:rsidRPr="00BF42B7">
        <w:rPr>
          <w:rStyle w:val="a5"/>
          <w:rFonts w:eastAsiaTheme="minorEastAsia"/>
          <w:szCs w:val="21"/>
        </w:rPr>
        <w:footnoteReference w:id="123"/>
      </w:r>
      <w:r w:rsidRPr="00BF42B7">
        <w:rPr>
          <w:rFonts w:eastAsiaTheme="minorEastAsia" w:hint="eastAsia"/>
          <w:szCs w:val="21"/>
        </w:rPr>
        <w:t xml:space="preserve"> </w:t>
      </w:r>
      <w:r w:rsidRPr="00BF42B7">
        <w:rPr>
          <w:rFonts w:eastAsiaTheme="minorEastAsia" w:hint="eastAsia"/>
          <w:szCs w:val="21"/>
        </w:rPr>
        <w:t>第四届非洲区域减少灾害风险平台会议，最近的一届是在</w:t>
      </w:r>
      <w:r w:rsidRPr="00BF42B7">
        <w:rPr>
          <w:rFonts w:eastAsiaTheme="minorEastAsia"/>
          <w:szCs w:val="21"/>
        </w:rPr>
        <w:t>2013</w:t>
      </w:r>
      <w:r w:rsidRPr="00BF42B7">
        <w:rPr>
          <w:rFonts w:eastAsiaTheme="minorEastAsia" w:hint="eastAsia"/>
          <w:szCs w:val="21"/>
        </w:rPr>
        <w:t>年；</w:t>
      </w:r>
      <w:r w:rsidRPr="00BF42B7">
        <w:rPr>
          <w:rStyle w:val="a5"/>
          <w:rFonts w:eastAsiaTheme="minorEastAsia"/>
          <w:szCs w:val="21"/>
        </w:rPr>
        <w:footnoteReference w:id="124"/>
      </w:r>
      <w:r w:rsidRPr="00BF42B7">
        <w:rPr>
          <w:rFonts w:eastAsiaTheme="minorEastAsia"/>
          <w:szCs w:val="21"/>
        </w:rPr>
        <w:t xml:space="preserve"> </w:t>
      </w:r>
      <w:r w:rsidRPr="00BF42B7">
        <w:rPr>
          <w:rFonts w:eastAsiaTheme="minorEastAsia" w:hint="eastAsia"/>
          <w:szCs w:val="21"/>
        </w:rPr>
        <w:t>《非洲执行</w:t>
      </w:r>
      <w:r w:rsidR="00D111E4">
        <w:rPr>
          <w:rFonts w:eastAsiaTheme="minorEastAsia" w:hint="eastAsia"/>
          <w:szCs w:val="21"/>
        </w:rPr>
        <w:t>〈</w:t>
      </w:r>
      <w:r w:rsidRPr="00BF42B7">
        <w:rPr>
          <w:rFonts w:eastAsiaTheme="minorEastAsia" w:hint="eastAsia"/>
          <w:szCs w:val="21"/>
        </w:rPr>
        <w:t>仙台框架</w:t>
      </w:r>
      <w:r w:rsidR="00D111E4">
        <w:rPr>
          <w:rFonts w:eastAsiaTheme="minorEastAsia" w:hint="eastAsia"/>
          <w:szCs w:val="21"/>
        </w:rPr>
        <w:t>〉</w:t>
      </w:r>
      <w:r w:rsidRPr="00BF42B7">
        <w:rPr>
          <w:rFonts w:eastAsiaTheme="minorEastAsia" w:hint="eastAsia"/>
          <w:szCs w:val="21"/>
        </w:rPr>
        <w:t>的雅温得宣言》</w:t>
      </w:r>
      <w:r w:rsidRPr="00BF42B7">
        <w:rPr>
          <w:rFonts w:eastAsiaTheme="minorEastAsia" w:hint="eastAsia"/>
          <w:szCs w:val="21"/>
        </w:rPr>
        <w:t>(2015</w:t>
      </w:r>
      <w:r w:rsidRPr="00BF42B7">
        <w:rPr>
          <w:rFonts w:eastAsiaTheme="minorEastAsia" w:hint="eastAsia"/>
          <w:szCs w:val="21"/>
        </w:rPr>
        <w:t>年</w:t>
      </w:r>
      <w:r w:rsidRPr="00BF42B7">
        <w:rPr>
          <w:rFonts w:eastAsiaTheme="minorEastAsia" w:hint="eastAsia"/>
          <w:szCs w:val="21"/>
        </w:rPr>
        <w:t>)</w:t>
      </w:r>
      <w:r w:rsidRPr="00BF42B7">
        <w:rPr>
          <w:rFonts w:eastAsiaTheme="minorEastAsia" w:hint="eastAsia"/>
          <w:szCs w:val="21"/>
        </w:rPr>
        <w:t>；</w:t>
      </w:r>
      <w:r w:rsidRPr="00BF42B7">
        <w:rPr>
          <w:rStyle w:val="a5"/>
          <w:rFonts w:eastAsiaTheme="minorEastAsia"/>
          <w:szCs w:val="21"/>
        </w:rPr>
        <w:footnoteReference w:id="125"/>
      </w:r>
      <w:r w:rsidRPr="00BF42B7">
        <w:rPr>
          <w:rFonts w:eastAsiaTheme="minorEastAsia" w:hint="eastAsia"/>
          <w:szCs w:val="21"/>
        </w:rPr>
        <w:t>《</w:t>
      </w:r>
      <w:r w:rsidRPr="00BF42B7">
        <w:rPr>
          <w:rFonts w:eastAsiaTheme="minorEastAsia" w:hint="eastAsia"/>
          <w:szCs w:val="21"/>
        </w:rPr>
        <w:t>2020</w:t>
      </w:r>
      <w:r w:rsidRPr="00BF42B7">
        <w:rPr>
          <w:rFonts w:eastAsiaTheme="minorEastAsia" w:hint="eastAsia"/>
          <w:szCs w:val="21"/>
        </w:rPr>
        <w:t>年阿拉伯减少灾害风险战略》</w:t>
      </w:r>
      <w:r w:rsidRPr="00BF42B7">
        <w:rPr>
          <w:rStyle w:val="a5"/>
          <w:rFonts w:eastAsiaTheme="minorEastAsia"/>
          <w:szCs w:val="21"/>
        </w:rPr>
        <w:footnoteReference w:id="126"/>
      </w:r>
      <w:r w:rsidRPr="00BF42B7">
        <w:rPr>
          <w:rFonts w:eastAsiaTheme="minorEastAsia" w:hint="eastAsia"/>
          <w:szCs w:val="21"/>
        </w:rPr>
        <w:t>；《沙姆沙伊赫减少灾害风险宣言》</w:t>
      </w:r>
      <w:r w:rsidRPr="00BF42B7">
        <w:rPr>
          <w:rFonts w:eastAsiaTheme="minorEastAsia" w:hint="eastAsia"/>
          <w:szCs w:val="21"/>
        </w:rPr>
        <w:t>(2014</w:t>
      </w:r>
      <w:r w:rsidRPr="00BF42B7">
        <w:rPr>
          <w:rFonts w:eastAsiaTheme="minorEastAsia" w:hint="eastAsia"/>
          <w:szCs w:val="21"/>
        </w:rPr>
        <w:t>年</w:t>
      </w:r>
      <w:r w:rsidRPr="00BF42B7">
        <w:rPr>
          <w:rFonts w:eastAsiaTheme="minorEastAsia" w:hint="eastAsia"/>
          <w:szCs w:val="21"/>
        </w:rPr>
        <w:t>)</w:t>
      </w:r>
      <w:r w:rsidRPr="00BF42B7">
        <w:rPr>
          <w:rFonts w:eastAsiaTheme="minorEastAsia"/>
          <w:szCs w:val="21"/>
        </w:rPr>
        <w:t>；</w:t>
      </w:r>
      <w:r w:rsidRPr="00BF42B7">
        <w:rPr>
          <w:rStyle w:val="a5"/>
          <w:rFonts w:eastAsiaTheme="minorEastAsia"/>
          <w:szCs w:val="21"/>
        </w:rPr>
        <w:footnoteReference w:id="127"/>
      </w:r>
      <w:r w:rsidRPr="00BF42B7">
        <w:rPr>
          <w:rFonts w:eastAsiaTheme="minorEastAsia" w:hint="eastAsia"/>
          <w:szCs w:val="21"/>
        </w:rPr>
        <w:t xml:space="preserve"> </w:t>
      </w:r>
      <w:r w:rsidRPr="00BF42B7">
        <w:rPr>
          <w:rFonts w:eastAsiaTheme="minorEastAsia" w:hint="eastAsia"/>
          <w:szCs w:val="21"/>
        </w:rPr>
        <w:t>《亚松森宣言</w:t>
      </w:r>
      <w:r w:rsidRPr="00BF42B7">
        <w:rPr>
          <w:rFonts w:eastAsiaTheme="minorEastAsia" w:hint="eastAsia"/>
          <w:spacing w:val="-50"/>
          <w:szCs w:val="21"/>
        </w:rPr>
        <w:t>―</w:t>
      </w:r>
      <w:r w:rsidRPr="00BF42B7">
        <w:rPr>
          <w:rFonts w:eastAsiaTheme="minorEastAsia" w:hint="eastAsia"/>
          <w:szCs w:val="21"/>
        </w:rPr>
        <w:t>―</w:t>
      </w:r>
      <w:r w:rsidRPr="00BF42B7">
        <w:rPr>
          <w:rFonts w:eastAsiaTheme="minorEastAsia" w:hint="eastAsia"/>
          <w:szCs w:val="21"/>
        </w:rPr>
        <w:t>2015-2030</w:t>
      </w:r>
      <w:r w:rsidRPr="00BF42B7">
        <w:rPr>
          <w:rFonts w:eastAsiaTheme="minorEastAsia" w:hint="eastAsia"/>
          <w:szCs w:val="21"/>
        </w:rPr>
        <w:t>年执行</w:t>
      </w:r>
      <w:r w:rsidR="00D111E4">
        <w:rPr>
          <w:rFonts w:eastAsiaTheme="minorEastAsia" w:hint="eastAsia"/>
          <w:szCs w:val="21"/>
        </w:rPr>
        <w:t>〈</w:t>
      </w:r>
      <w:r w:rsidRPr="00BF42B7">
        <w:rPr>
          <w:rFonts w:eastAsiaTheme="minorEastAsia" w:hint="eastAsia"/>
          <w:szCs w:val="21"/>
        </w:rPr>
        <w:t>仙台框架</w:t>
      </w:r>
      <w:r w:rsidR="00D111E4">
        <w:rPr>
          <w:rFonts w:eastAsiaTheme="minorEastAsia" w:hint="eastAsia"/>
          <w:szCs w:val="21"/>
        </w:rPr>
        <w:t>〉</w:t>
      </w:r>
      <w:r w:rsidRPr="00BF42B7">
        <w:rPr>
          <w:rFonts w:eastAsiaTheme="minorEastAsia" w:hint="eastAsia"/>
          <w:szCs w:val="21"/>
        </w:rPr>
        <w:t>的区域行动计划准则》</w:t>
      </w:r>
      <w:r w:rsidRPr="00BF42B7">
        <w:rPr>
          <w:rFonts w:eastAsiaTheme="minorEastAsia" w:hint="eastAsia"/>
          <w:szCs w:val="21"/>
        </w:rPr>
        <w:t>(2016</w:t>
      </w:r>
      <w:r w:rsidRPr="00BF42B7">
        <w:rPr>
          <w:rFonts w:eastAsiaTheme="minorEastAsia" w:hint="eastAsia"/>
          <w:szCs w:val="21"/>
        </w:rPr>
        <w:t>年</w:t>
      </w:r>
      <w:r w:rsidRPr="00BF42B7">
        <w:rPr>
          <w:rFonts w:eastAsiaTheme="minorEastAsia" w:hint="eastAsia"/>
          <w:szCs w:val="21"/>
        </w:rPr>
        <w:t>)</w:t>
      </w:r>
      <w:r w:rsidRPr="00BF42B7">
        <w:rPr>
          <w:rFonts w:eastAsiaTheme="minorEastAsia" w:hint="eastAsia"/>
          <w:szCs w:val="21"/>
        </w:rPr>
        <w:t>；</w:t>
      </w:r>
      <w:r w:rsidRPr="00BF42B7">
        <w:rPr>
          <w:rStyle w:val="a5"/>
          <w:rFonts w:eastAsiaTheme="minorEastAsia"/>
          <w:szCs w:val="21"/>
        </w:rPr>
        <w:footnoteReference w:id="128"/>
      </w:r>
      <w:r w:rsidRPr="00BF42B7">
        <w:rPr>
          <w:rFonts w:eastAsiaTheme="minorEastAsia" w:hint="eastAsia"/>
          <w:szCs w:val="21"/>
        </w:rPr>
        <w:t xml:space="preserve"> </w:t>
      </w:r>
      <w:r w:rsidRPr="00BF42B7">
        <w:rPr>
          <w:rFonts w:eastAsiaTheme="minorEastAsia" w:hint="eastAsia"/>
          <w:szCs w:val="21"/>
        </w:rPr>
        <w:t>《城市减少灾害风险的亚喀巴宣言》</w:t>
      </w:r>
      <w:r w:rsidRPr="00BF42B7">
        <w:rPr>
          <w:rFonts w:eastAsiaTheme="minorEastAsia" w:hint="eastAsia"/>
          <w:szCs w:val="21"/>
        </w:rPr>
        <w:t>(2013</w:t>
      </w:r>
      <w:r w:rsidRPr="00BF42B7">
        <w:rPr>
          <w:rFonts w:eastAsiaTheme="minorEastAsia" w:hint="eastAsia"/>
          <w:szCs w:val="21"/>
        </w:rPr>
        <w:t>年</w:t>
      </w:r>
      <w:r w:rsidRPr="00BF42B7">
        <w:rPr>
          <w:rFonts w:eastAsiaTheme="minorEastAsia" w:hint="eastAsia"/>
          <w:szCs w:val="21"/>
        </w:rPr>
        <w:t>)</w:t>
      </w:r>
      <w:r w:rsidRPr="00BF42B7">
        <w:rPr>
          <w:rStyle w:val="a5"/>
          <w:rFonts w:eastAsiaTheme="minorEastAsia"/>
          <w:szCs w:val="21"/>
        </w:rPr>
        <w:footnoteReference w:id="129"/>
      </w:r>
      <w:r w:rsidRPr="00BF42B7">
        <w:rPr>
          <w:rFonts w:eastAsiaTheme="minorEastAsia" w:hint="eastAsia"/>
          <w:szCs w:val="21"/>
        </w:rPr>
        <w:t>；《拉丁美洲和加勒比地区灾害风险管理的拉丁美洲议会议定书》</w:t>
      </w:r>
      <w:r w:rsidRPr="00BF42B7">
        <w:rPr>
          <w:rFonts w:eastAsiaTheme="minorEastAsia" w:hint="eastAsia"/>
          <w:szCs w:val="21"/>
        </w:rPr>
        <w:t>(2013</w:t>
      </w:r>
      <w:r w:rsidRPr="00BF42B7">
        <w:rPr>
          <w:rFonts w:eastAsiaTheme="minorEastAsia" w:hint="eastAsia"/>
          <w:szCs w:val="21"/>
        </w:rPr>
        <w:t>年</w:t>
      </w:r>
      <w:r w:rsidRPr="00BF42B7">
        <w:rPr>
          <w:rFonts w:eastAsiaTheme="minorEastAsia" w:hint="eastAsia"/>
          <w:szCs w:val="21"/>
        </w:rPr>
        <w:t>)</w:t>
      </w:r>
      <w:r w:rsidRPr="00BF42B7">
        <w:rPr>
          <w:rStyle w:val="a5"/>
          <w:rFonts w:eastAsiaTheme="minorEastAsia"/>
          <w:szCs w:val="21"/>
        </w:rPr>
        <w:footnoteReference w:id="130"/>
      </w:r>
      <w:r w:rsidRPr="00BF42B7">
        <w:rPr>
          <w:rFonts w:eastAsiaTheme="minorEastAsia" w:hint="eastAsia"/>
          <w:szCs w:val="21"/>
        </w:rPr>
        <w:t>；《美洲减少灾害风险区域平台第四届会议的瓜亚基尔纳亚里特公报》</w:t>
      </w:r>
      <w:r w:rsidRPr="00BF42B7">
        <w:rPr>
          <w:rFonts w:eastAsiaTheme="minorEastAsia" w:hint="eastAsia"/>
          <w:szCs w:val="21"/>
        </w:rPr>
        <w:t>(2014</w:t>
      </w:r>
      <w:r w:rsidRPr="00BF42B7">
        <w:rPr>
          <w:rFonts w:eastAsiaTheme="minorEastAsia" w:hint="eastAsia"/>
          <w:szCs w:val="21"/>
        </w:rPr>
        <w:t>年</w:t>
      </w:r>
      <w:r w:rsidRPr="00BF42B7">
        <w:rPr>
          <w:rFonts w:eastAsiaTheme="minorEastAsia" w:hint="eastAsia"/>
          <w:szCs w:val="21"/>
        </w:rPr>
        <w:t>)</w:t>
      </w:r>
      <w:r w:rsidRPr="00BF42B7">
        <w:rPr>
          <w:rFonts w:eastAsiaTheme="minorEastAsia"/>
          <w:color w:val="0000FF"/>
          <w:szCs w:val="21"/>
          <w:vertAlign w:val="superscript"/>
        </w:rPr>
        <w:footnoteReference w:id="131"/>
      </w:r>
      <w:r w:rsidRPr="00BF42B7">
        <w:rPr>
          <w:rFonts w:eastAsiaTheme="minorEastAsia" w:hint="eastAsia"/>
          <w:szCs w:val="21"/>
        </w:rPr>
        <w:t>；《美洲加强减少灾害风险行动路线纳亚里特公报》</w:t>
      </w:r>
      <w:r w:rsidRPr="00BF42B7">
        <w:rPr>
          <w:rFonts w:eastAsiaTheme="minorEastAsia" w:hint="eastAsia"/>
          <w:szCs w:val="21"/>
        </w:rPr>
        <w:t>(2011</w:t>
      </w:r>
      <w:r w:rsidRPr="00BF42B7">
        <w:rPr>
          <w:rFonts w:eastAsiaTheme="minorEastAsia" w:hint="eastAsia"/>
          <w:szCs w:val="21"/>
        </w:rPr>
        <w:t>年</w:t>
      </w:r>
      <w:r w:rsidRPr="00BF42B7">
        <w:rPr>
          <w:rFonts w:eastAsiaTheme="minorEastAsia" w:hint="eastAsia"/>
          <w:szCs w:val="21"/>
        </w:rPr>
        <w:t>)</w:t>
      </w:r>
      <w:r w:rsidRPr="00BF42B7">
        <w:rPr>
          <w:rStyle w:val="a5"/>
          <w:rFonts w:eastAsiaTheme="minorEastAsia"/>
          <w:szCs w:val="21"/>
        </w:rPr>
        <w:footnoteReference w:id="132"/>
      </w:r>
      <w:r w:rsidRPr="00BF42B7">
        <w:rPr>
          <w:rFonts w:eastAsiaTheme="minorEastAsia" w:hint="eastAsia"/>
          <w:szCs w:val="21"/>
        </w:rPr>
        <w:t>；欧盟减少灾害风险部长级会议的成果：</w:t>
      </w:r>
      <w:r w:rsidRPr="00BF42B7">
        <w:rPr>
          <w:rFonts w:eastAsiaTheme="minorEastAsia" w:hint="eastAsia"/>
          <w:szCs w:val="21"/>
        </w:rPr>
        <w:t>2015</w:t>
      </w:r>
      <w:r w:rsidRPr="00BF42B7">
        <w:rPr>
          <w:rFonts w:eastAsiaTheme="minorEastAsia" w:hint="eastAsia"/>
          <w:szCs w:val="21"/>
        </w:rPr>
        <w:t>年后减少灾害风险框架</w:t>
      </w:r>
      <w:r w:rsidRPr="00BF42B7">
        <w:rPr>
          <w:rFonts w:eastAsiaTheme="minorEastAsia" w:hint="eastAsia"/>
          <w:spacing w:val="-50"/>
          <w:szCs w:val="21"/>
        </w:rPr>
        <w:t>―</w:t>
      </w:r>
      <w:r w:rsidRPr="00BF42B7">
        <w:rPr>
          <w:rFonts w:eastAsiaTheme="minorEastAsia" w:hint="eastAsia"/>
          <w:szCs w:val="21"/>
        </w:rPr>
        <w:t>―加强国家和社区的抗灾能力</w:t>
      </w:r>
      <w:r w:rsidRPr="00BF42B7">
        <w:rPr>
          <w:rFonts w:eastAsiaTheme="minorEastAsia" w:hint="eastAsia"/>
          <w:szCs w:val="21"/>
        </w:rPr>
        <w:t>(2014</w:t>
      </w:r>
      <w:r w:rsidRPr="00BF42B7">
        <w:rPr>
          <w:rFonts w:eastAsiaTheme="minorEastAsia" w:hint="eastAsia"/>
          <w:szCs w:val="21"/>
        </w:rPr>
        <w:t>年</w:t>
      </w:r>
      <w:r w:rsidRPr="00BF42B7">
        <w:rPr>
          <w:rFonts w:eastAsiaTheme="minorEastAsia" w:hint="eastAsia"/>
          <w:szCs w:val="21"/>
        </w:rPr>
        <w:t>)</w:t>
      </w:r>
      <w:r w:rsidRPr="00BF42B7">
        <w:rPr>
          <w:rStyle w:val="a5"/>
          <w:rFonts w:eastAsiaTheme="minorEastAsia"/>
          <w:szCs w:val="21"/>
        </w:rPr>
        <w:footnoteReference w:id="133"/>
      </w:r>
      <w:r w:rsidRPr="00BF42B7">
        <w:rPr>
          <w:rFonts w:eastAsiaTheme="minorEastAsia" w:hint="eastAsia"/>
          <w:szCs w:val="21"/>
        </w:rPr>
        <w:t>；欧洲减少灾害风险论坛第六届年会</w:t>
      </w:r>
      <w:r w:rsidRPr="00BF42B7">
        <w:rPr>
          <w:rFonts w:eastAsiaTheme="minorEastAsia" w:hint="eastAsia"/>
          <w:spacing w:val="-50"/>
          <w:szCs w:val="21"/>
        </w:rPr>
        <w:t>―</w:t>
      </w:r>
      <w:r w:rsidRPr="00BF42B7">
        <w:rPr>
          <w:rFonts w:eastAsiaTheme="minorEastAsia" w:hint="eastAsia"/>
          <w:szCs w:val="21"/>
        </w:rPr>
        <w:t>―执行《仙台框架》路线图</w:t>
      </w:r>
      <w:r w:rsidRPr="00BF42B7">
        <w:rPr>
          <w:rFonts w:eastAsiaTheme="minorEastAsia" w:hint="eastAsia"/>
          <w:szCs w:val="21"/>
        </w:rPr>
        <w:t>(2015</w:t>
      </w:r>
      <w:r w:rsidRPr="00BF42B7">
        <w:rPr>
          <w:rFonts w:eastAsiaTheme="minorEastAsia" w:hint="eastAsia"/>
          <w:szCs w:val="21"/>
        </w:rPr>
        <w:t>年</w:t>
      </w:r>
      <w:r w:rsidRPr="00BF42B7">
        <w:rPr>
          <w:rFonts w:eastAsiaTheme="minorEastAsia" w:hint="eastAsia"/>
          <w:szCs w:val="21"/>
        </w:rPr>
        <w:t>)</w:t>
      </w:r>
      <w:r w:rsidRPr="00BF42B7">
        <w:rPr>
          <w:rStyle w:val="a5"/>
          <w:rFonts w:eastAsiaTheme="minorEastAsia"/>
          <w:szCs w:val="21"/>
        </w:rPr>
        <w:footnoteReference w:id="134"/>
      </w:r>
      <w:r w:rsidRPr="00BF42B7">
        <w:rPr>
          <w:rFonts w:eastAsiaTheme="minorEastAsia" w:hint="eastAsia"/>
          <w:szCs w:val="21"/>
        </w:rPr>
        <w:t>；“团结行动</w:t>
      </w:r>
      <w:r w:rsidRPr="00BF42B7">
        <w:rPr>
          <w:rFonts w:eastAsiaTheme="minorEastAsia"/>
          <w:szCs w:val="21"/>
        </w:rPr>
        <w:t>”</w:t>
      </w:r>
      <w:r w:rsidRPr="00BF42B7">
        <w:rPr>
          <w:rFonts w:eastAsiaTheme="minorEastAsia" w:hint="eastAsia"/>
          <w:szCs w:val="21"/>
        </w:rPr>
        <w:t>，东南欧合作进程外交部长联合声明</w:t>
      </w:r>
      <w:r w:rsidRPr="00BF42B7">
        <w:rPr>
          <w:rFonts w:eastAsiaTheme="minorEastAsia" w:hint="eastAsia"/>
          <w:szCs w:val="21"/>
        </w:rPr>
        <w:t>(2013</w:t>
      </w:r>
      <w:r w:rsidRPr="00BF42B7">
        <w:rPr>
          <w:rFonts w:eastAsiaTheme="minorEastAsia" w:hint="eastAsia"/>
          <w:szCs w:val="21"/>
        </w:rPr>
        <w:t>年</w:t>
      </w:r>
      <w:r w:rsidRPr="00BF42B7">
        <w:rPr>
          <w:rFonts w:eastAsiaTheme="minorEastAsia" w:hint="eastAsia"/>
          <w:szCs w:val="21"/>
        </w:rPr>
        <w:t>)</w:t>
      </w:r>
      <w:r w:rsidRPr="00BF42B7">
        <w:rPr>
          <w:rStyle w:val="a5"/>
          <w:rFonts w:eastAsiaTheme="minorEastAsia"/>
          <w:szCs w:val="21"/>
        </w:rPr>
        <w:footnoteReference w:id="135"/>
      </w:r>
      <w:r w:rsidRPr="00BF42B7">
        <w:rPr>
          <w:rFonts w:eastAsiaTheme="minorEastAsia" w:hint="eastAsia"/>
          <w:szCs w:val="21"/>
        </w:rPr>
        <w:t>；欧盟民事保护机制</w:t>
      </w:r>
      <w:r w:rsidRPr="00BF42B7">
        <w:rPr>
          <w:rFonts w:eastAsiaTheme="minorEastAsia" w:hint="eastAsia"/>
          <w:szCs w:val="21"/>
        </w:rPr>
        <w:t>(2013</w:t>
      </w:r>
      <w:r w:rsidRPr="00BF42B7">
        <w:rPr>
          <w:rFonts w:eastAsiaTheme="minorEastAsia" w:hint="eastAsia"/>
          <w:szCs w:val="21"/>
        </w:rPr>
        <w:t>年</w:t>
      </w:r>
      <w:r w:rsidRPr="00BF42B7">
        <w:rPr>
          <w:rFonts w:eastAsiaTheme="minorEastAsia" w:hint="eastAsia"/>
          <w:szCs w:val="21"/>
        </w:rPr>
        <w:t>)</w:t>
      </w:r>
      <w:r w:rsidRPr="00BF42B7">
        <w:rPr>
          <w:rStyle w:val="a5"/>
          <w:rFonts w:eastAsiaTheme="minorEastAsia"/>
          <w:szCs w:val="21"/>
        </w:rPr>
        <w:footnoteReference w:id="136"/>
      </w:r>
      <w:r w:rsidRPr="00BF42B7">
        <w:rPr>
          <w:rFonts w:eastAsiaTheme="minorEastAsia" w:hint="eastAsia"/>
          <w:szCs w:val="21"/>
        </w:rPr>
        <w:t>；红十字会与红新月会第</w:t>
      </w:r>
      <w:r w:rsidRPr="00BF42B7">
        <w:rPr>
          <w:rFonts w:eastAsiaTheme="minorEastAsia" w:hint="eastAsia"/>
          <w:szCs w:val="21"/>
        </w:rPr>
        <w:t>32</w:t>
      </w:r>
      <w:r w:rsidRPr="00BF42B7">
        <w:rPr>
          <w:rFonts w:eastAsiaTheme="minorEastAsia" w:hint="eastAsia"/>
          <w:szCs w:val="21"/>
        </w:rPr>
        <w:t>届国际会议关于加强救灾、减少风险和急救的法律框架的第</w:t>
      </w:r>
      <w:r w:rsidRPr="00BF42B7">
        <w:rPr>
          <w:rFonts w:eastAsiaTheme="minorEastAsia" w:hint="eastAsia"/>
          <w:szCs w:val="21"/>
        </w:rPr>
        <w:t>6</w:t>
      </w:r>
      <w:r w:rsidRPr="00BF42B7">
        <w:rPr>
          <w:rFonts w:eastAsiaTheme="minorEastAsia" w:hint="eastAsia"/>
          <w:szCs w:val="21"/>
        </w:rPr>
        <w:t>号决议</w:t>
      </w:r>
      <w:r w:rsidRPr="00BF42B7">
        <w:rPr>
          <w:rFonts w:eastAsiaTheme="minorEastAsia" w:hint="eastAsia"/>
          <w:szCs w:val="21"/>
        </w:rPr>
        <w:t>(2015</w:t>
      </w:r>
      <w:r w:rsidRPr="00BF42B7">
        <w:rPr>
          <w:rFonts w:eastAsiaTheme="minorEastAsia" w:hint="eastAsia"/>
          <w:szCs w:val="21"/>
        </w:rPr>
        <w:t>年</w:t>
      </w:r>
      <w:r w:rsidRPr="00BF42B7">
        <w:rPr>
          <w:rFonts w:eastAsiaTheme="minorEastAsia" w:hint="eastAsia"/>
          <w:szCs w:val="21"/>
        </w:rPr>
        <w:t>)</w:t>
      </w:r>
      <w:r w:rsidRPr="00BF42B7">
        <w:rPr>
          <w:rStyle w:val="a5"/>
          <w:rFonts w:eastAsiaTheme="minorEastAsia"/>
          <w:szCs w:val="21"/>
        </w:rPr>
        <w:footnoteReference w:id="137"/>
      </w:r>
      <w:r w:rsidRPr="00BF42B7">
        <w:rPr>
          <w:rFonts w:eastAsiaTheme="minorEastAsia" w:hint="eastAsia"/>
          <w:szCs w:val="21"/>
        </w:rPr>
        <w:t>；《欧洲委员会执行</w:t>
      </w:r>
      <w:r w:rsidR="00C46CB5">
        <w:rPr>
          <w:rFonts w:eastAsiaTheme="minorEastAsia" w:hint="eastAsia"/>
          <w:szCs w:val="21"/>
        </w:rPr>
        <w:t>〈</w:t>
      </w:r>
      <w:r w:rsidRPr="00BF42B7">
        <w:rPr>
          <w:rFonts w:eastAsiaTheme="minorEastAsia" w:hint="eastAsia"/>
          <w:szCs w:val="21"/>
        </w:rPr>
        <w:t>减少灾害风险仙台框架</w:t>
      </w:r>
      <w:r w:rsidR="00C46CB5">
        <w:rPr>
          <w:rFonts w:eastAsiaTheme="minorEastAsia" w:hint="eastAsia"/>
          <w:szCs w:val="21"/>
        </w:rPr>
        <w:t>〉</w:t>
      </w:r>
      <w:r w:rsidRPr="00BF42B7">
        <w:rPr>
          <w:rFonts w:eastAsiaTheme="minorEastAsia" w:hint="eastAsia"/>
          <w:szCs w:val="21"/>
        </w:rPr>
        <w:t>的行动计划</w:t>
      </w:r>
      <w:r w:rsidRPr="00BF42B7">
        <w:rPr>
          <w:rFonts w:eastAsiaTheme="minorEastAsia" w:hint="eastAsia"/>
          <w:szCs w:val="21"/>
        </w:rPr>
        <w:t>(2015-2030</w:t>
      </w:r>
      <w:r w:rsidRPr="00BF42B7">
        <w:rPr>
          <w:rFonts w:eastAsiaTheme="minorEastAsia" w:hint="eastAsia"/>
          <w:szCs w:val="21"/>
        </w:rPr>
        <w:t>年</w:t>
      </w:r>
      <w:r w:rsidRPr="00BF42B7">
        <w:rPr>
          <w:rFonts w:eastAsiaTheme="minorEastAsia" w:hint="eastAsia"/>
          <w:szCs w:val="21"/>
        </w:rPr>
        <w:t>)</w:t>
      </w:r>
      <w:r w:rsidRPr="00BF42B7">
        <w:rPr>
          <w:rFonts w:eastAsiaTheme="minorEastAsia" w:hint="eastAsia"/>
          <w:szCs w:val="21"/>
        </w:rPr>
        <w:t>》</w:t>
      </w:r>
      <w:r w:rsidRPr="00BF42B7">
        <w:rPr>
          <w:rFonts w:eastAsiaTheme="minorEastAsia" w:hint="eastAsia"/>
          <w:szCs w:val="21"/>
        </w:rPr>
        <w:t>(2016</w:t>
      </w:r>
      <w:r w:rsidRPr="00BF42B7">
        <w:rPr>
          <w:rFonts w:eastAsiaTheme="minorEastAsia" w:hint="eastAsia"/>
          <w:szCs w:val="21"/>
        </w:rPr>
        <w:t>年</w:t>
      </w:r>
      <w:r w:rsidRPr="00BF42B7">
        <w:rPr>
          <w:rFonts w:eastAsiaTheme="minorEastAsia" w:hint="eastAsia"/>
          <w:szCs w:val="21"/>
        </w:rPr>
        <w:t>)</w:t>
      </w:r>
      <w:r w:rsidRPr="00BF42B7">
        <w:rPr>
          <w:rFonts w:eastAsiaTheme="minorEastAsia" w:hint="eastAsia"/>
          <w:szCs w:val="21"/>
        </w:rPr>
        <w:t>。</w:t>
      </w:r>
      <w:r w:rsidRPr="00BF42B7">
        <w:rPr>
          <w:rStyle w:val="a5"/>
          <w:rFonts w:eastAsiaTheme="minorEastAsia"/>
          <w:szCs w:val="21"/>
        </w:rPr>
        <w:footnoteReference w:id="138"/>
      </w:r>
    </w:p>
    <w:p w:rsidR="00765E0D" w:rsidRPr="00BF42B7" w:rsidRDefault="00765E0D" w:rsidP="0049004C">
      <w:pPr>
        <w:pStyle w:val="SingleTxtGC"/>
        <w:spacing w:line="330" w:lineRule="exact"/>
        <w:rPr>
          <w:rFonts w:eastAsiaTheme="minorEastAsia"/>
          <w:szCs w:val="21"/>
        </w:rPr>
      </w:pPr>
      <w:r w:rsidRPr="00BF42B7">
        <w:rPr>
          <w:rFonts w:eastAsiaTheme="minorEastAsia"/>
          <w:szCs w:val="21"/>
        </w:rPr>
        <w:t>(6)</w:t>
      </w:r>
      <w:r w:rsidRPr="00BF42B7">
        <w:rPr>
          <w:rFonts w:eastAsiaTheme="minorEastAsia" w:hint="eastAsia"/>
          <w:szCs w:val="21"/>
        </w:rPr>
        <w:t xml:space="preserve">  </w:t>
      </w:r>
      <w:r w:rsidRPr="00BF42B7">
        <w:rPr>
          <w:rFonts w:eastAsiaTheme="minorEastAsia"/>
          <w:szCs w:val="21"/>
        </w:rPr>
        <w:t>各国对这一承诺的认</w:t>
      </w:r>
      <w:r w:rsidRPr="00BF42B7">
        <w:rPr>
          <w:rFonts w:eastAsiaTheme="minorEastAsia" w:hint="eastAsia"/>
          <w:szCs w:val="21"/>
        </w:rPr>
        <w:t>可</w:t>
      </w:r>
      <w:r w:rsidRPr="00BF42B7">
        <w:rPr>
          <w:rFonts w:eastAsiaTheme="minorEastAsia"/>
          <w:szCs w:val="21"/>
        </w:rPr>
        <w:t>也体现在各国将减少灾害风险措施纳入国家政策和法律框架。</w:t>
      </w:r>
      <w:r w:rsidRPr="00BF42B7">
        <w:rPr>
          <w:rFonts w:eastAsiaTheme="minorEastAsia" w:hint="eastAsia"/>
          <w:szCs w:val="21"/>
        </w:rPr>
        <w:t>从</w:t>
      </w:r>
      <w:r w:rsidRPr="00BF42B7">
        <w:rPr>
          <w:rFonts w:eastAsiaTheme="minorEastAsia"/>
          <w:szCs w:val="21"/>
        </w:rPr>
        <w:t>各国</w:t>
      </w:r>
      <w:r w:rsidRPr="00BF42B7">
        <w:rPr>
          <w:rFonts w:eastAsiaTheme="minorEastAsia" w:hint="eastAsia"/>
          <w:szCs w:val="21"/>
        </w:rPr>
        <w:t>执行</w:t>
      </w:r>
      <w:r w:rsidRPr="00BF42B7">
        <w:rPr>
          <w:rFonts w:eastAsiaTheme="minorEastAsia"/>
          <w:szCs w:val="21"/>
        </w:rPr>
        <w:t>《兵库</w:t>
      </w:r>
      <w:r w:rsidRPr="00BF42B7">
        <w:rPr>
          <w:rFonts w:eastAsiaTheme="minorEastAsia" w:hint="eastAsia"/>
          <w:szCs w:val="21"/>
        </w:rPr>
        <w:t>行动</w:t>
      </w:r>
      <w:r w:rsidRPr="00BF42B7">
        <w:rPr>
          <w:rFonts w:eastAsiaTheme="minorEastAsia"/>
          <w:szCs w:val="21"/>
        </w:rPr>
        <w:t>框架》</w:t>
      </w:r>
      <w:r w:rsidRPr="00BF42B7">
        <w:rPr>
          <w:rFonts w:eastAsiaTheme="minorEastAsia"/>
          <w:color w:val="0000FF"/>
          <w:szCs w:val="21"/>
          <w:vertAlign w:val="superscript"/>
        </w:rPr>
        <w:footnoteReference w:id="139"/>
      </w:r>
      <w:r w:rsidRPr="00BF42B7">
        <w:rPr>
          <w:rFonts w:eastAsiaTheme="minorEastAsia" w:hint="eastAsia"/>
          <w:color w:val="0000FF"/>
          <w:szCs w:val="21"/>
          <w:vertAlign w:val="superscript"/>
        </w:rPr>
        <w:t xml:space="preserve"> </w:t>
      </w:r>
      <w:r w:rsidRPr="00BF42B7">
        <w:rPr>
          <w:rFonts w:eastAsiaTheme="minorEastAsia"/>
          <w:szCs w:val="21"/>
        </w:rPr>
        <w:t>进展报告汇编</w:t>
      </w:r>
      <w:r w:rsidRPr="00BF42B7">
        <w:rPr>
          <w:rFonts w:eastAsiaTheme="minorEastAsia" w:hint="eastAsia"/>
          <w:szCs w:val="21"/>
        </w:rPr>
        <w:t>中</w:t>
      </w:r>
      <w:r w:rsidRPr="00BF42B7">
        <w:rPr>
          <w:rFonts w:eastAsiaTheme="minorEastAsia"/>
          <w:szCs w:val="21"/>
        </w:rPr>
        <w:t>可以</w:t>
      </w:r>
      <w:r w:rsidRPr="00BF42B7">
        <w:rPr>
          <w:rFonts w:eastAsiaTheme="minorEastAsia" w:hint="eastAsia"/>
          <w:szCs w:val="21"/>
        </w:rPr>
        <w:t>看到</w:t>
      </w:r>
      <w:r w:rsidRPr="00BF42B7">
        <w:rPr>
          <w:rFonts w:eastAsiaTheme="minorEastAsia"/>
          <w:szCs w:val="21"/>
        </w:rPr>
        <w:t>，</w:t>
      </w:r>
      <w:r w:rsidRPr="00BF42B7">
        <w:rPr>
          <w:rFonts w:eastAsiaTheme="minorEastAsia" w:hint="eastAsia"/>
          <w:szCs w:val="21"/>
        </w:rPr>
        <w:t>截至</w:t>
      </w:r>
      <w:r w:rsidRPr="00BF42B7">
        <w:rPr>
          <w:rFonts w:eastAsiaTheme="minorEastAsia" w:hint="eastAsia"/>
          <w:szCs w:val="21"/>
        </w:rPr>
        <w:t>2016</w:t>
      </w:r>
      <w:r w:rsidRPr="00BF42B7">
        <w:rPr>
          <w:rFonts w:eastAsiaTheme="minorEastAsia" w:hint="eastAsia"/>
          <w:szCs w:val="21"/>
        </w:rPr>
        <w:t>年，已有</w:t>
      </w:r>
      <w:r w:rsidRPr="00BF42B7">
        <w:rPr>
          <w:rFonts w:eastAsiaTheme="minorEastAsia"/>
          <w:szCs w:val="21"/>
        </w:rPr>
        <w:t>64</w:t>
      </w:r>
      <w:r w:rsidRPr="00BF42B7">
        <w:rPr>
          <w:rFonts w:eastAsiaTheme="minorEastAsia"/>
          <w:szCs w:val="21"/>
        </w:rPr>
        <w:t>个国家或地区</w:t>
      </w:r>
      <w:r w:rsidRPr="00BF42B7">
        <w:rPr>
          <w:rFonts w:eastAsiaTheme="minorEastAsia" w:hint="eastAsia"/>
          <w:szCs w:val="21"/>
        </w:rPr>
        <w:t>报告说它们制定</w:t>
      </w:r>
      <w:r w:rsidRPr="00BF42B7">
        <w:rPr>
          <w:rFonts w:eastAsiaTheme="minorEastAsia"/>
          <w:szCs w:val="21"/>
        </w:rPr>
        <w:t>了减少灾害风险的专门政策，这些国家或地区均匀地分布于各大洲和各个地区，包括主要易受灾</w:t>
      </w:r>
      <w:r w:rsidRPr="00BF42B7">
        <w:rPr>
          <w:rFonts w:eastAsiaTheme="minorEastAsia" w:hint="eastAsia"/>
          <w:szCs w:val="21"/>
        </w:rPr>
        <w:t>地区</w:t>
      </w:r>
      <w:r w:rsidRPr="00BF42B7">
        <w:rPr>
          <w:rFonts w:eastAsiaTheme="minorEastAsia"/>
          <w:szCs w:val="21"/>
        </w:rPr>
        <w:t>。这些国家或地区是：阿尔及利亚、安吉拉、阿根廷、亚美尼亚、孟加拉国、多民族玻利维亚国、巴西、英属维尔京群岛、加拿大、佛得角、智利、哥伦比亚、库克群岛、哥斯达黎加、科特迪瓦、古巴、多米尼加共和国、斐济、芬兰、格鲁吉亚、德国、加纳、危地马拉、洪都拉斯、印度、印度尼西亚、意大利、日本、肯尼亚、老挝人民民主共和国、黎巴嫩、马达加斯加、马拉维、马来西亚、马尔代夫、马绍尔群岛、毛里求斯、墨西哥、蒙古、摩洛哥、莫桑比克、尼泊尔、新西兰、尼加拉瓜、尼日利亚、挪威、巴拿马、巴拉圭、秘鲁、波兰、圣基茨和尼维斯、圣卢西亚、萨摩亚、塞内加尔、斯里兰卡、瑞典、瑞士、阿拉伯叙利亚共和国、泰国、前南斯拉夫的马其顿共和国、坦桑尼亚联合共和国、美利坚合众国、瓦努阿图、委内瑞拉玻利瓦尔共和国。</w:t>
      </w:r>
      <w:r w:rsidRPr="00BF42B7">
        <w:rPr>
          <w:rFonts w:eastAsiaTheme="minorEastAsia" w:hint="eastAsia"/>
          <w:szCs w:val="21"/>
        </w:rPr>
        <w:t>最近</w:t>
      </w:r>
      <w:r w:rsidRPr="00BF42B7">
        <w:rPr>
          <w:rFonts w:eastAsiaTheme="minorEastAsia"/>
          <w:szCs w:val="21"/>
        </w:rPr>
        <w:t>，联合国国际减灾战略署</w:t>
      </w:r>
      <w:r w:rsidRPr="00BF42B7">
        <w:rPr>
          <w:rFonts w:eastAsiaTheme="minorEastAsia"/>
          <w:szCs w:val="21"/>
        </w:rPr>
        <w:t>(</w:t>
      </w:r>
      <w:r w:rsidRPr="00BF42B7">
        <w:rPr>
          <w:rFonts w:eastAsiaTheme="minorEastAsia"/>
          <w:szCs w:val="21"/>
        </w:rPr>
        <w:t>联合国减灾署</w:t>
      </w:r>
      <w:r w:rsidRPr="00BF42B7">
        <w:rPr>
          <w:rFonts w:eastAsiaTheme="minorEastAsia"/>
          <w:szCs w:val="21"/>
        </w:rPr>
        <w:t>)</w:t>
      </w:r>
      <w:r w:rsidRPr="00BF42B7">
        <w:rPr>
          <w:rFonts w:eastAsiaTheme="minorEastAsia"/>
          <w:szCs w:val="21"/>
        </w:rPr>
        <w:t>查明已有</w:t>
      </w:r>
      <w:r w:rsidRPr="00BF42B7">
        <w:rPr>
          <w:rFonts w:eastAsiaTheme="minorEastAsia" w:hint="eastAsia"/>
          <w:szCs w:val="21"/>
        </w:rPr>
        <w:t>93</w:t>
      </w:r>
      <w:r w:rsidRPr="00BF42B7">
        <w:rPr>
          <w:rFonts w:eastAsiaTheme="minorEastAsia"/>
          <w:szCs w:val="21"/>
        </w:rPr>
        <w:t>个国家</w:t>
      </w:r>
      <w:r w:rsidRPr="00BF42B7">
        <w:rPr>
          <w:rFonts w:eastAsiaTheme="minorEastAsia"/>
          <w:color w:val="0000FF"/>
          <w:szCs w:val="21"/>
          <w:vertAlign w:val="superscript"/>
        </w:rPr>
        <w:footnoteReference w:id="140"/>
      </w:r>
      <w:r w:rsidRPr="00BF42B7">
        <w:rPr>
          <w:rFonts w:eastAsiaTheme="minorEastAsia" w:hint="eastAsia"/>
          <w:color w:val="0000FF"/>
          <w:szCs w:val="21"/>
          <w:vertAlign w:val="superscript"/>
        </w:rPr>
        <w:t xml:space="preserve"> </w:t>
      </w:r>
      <w:r w:rsidRPr="00BF42B7">
        <w:rPr>
          <w:rFonts w:eastAsiaTheme="minorEastAsia"/>
          <w:szCs w:val="21"/>
        </w:rPr>
        <w:t>建立了国家减灾平台</w:t>
      </w:r>
      <w:r w:rsidRPr="00BF42B7">
        <w:rPr>
          <w:rFonts w:eastAsiaTheme="minorEastAsia" w:hint="eastAsia"/>
          <w:szCs w:val="21"/>
        </w:rPr>
        <w:t>。按照《仙台框架》，这一平台是相关利益相关方组成的政府</w:t>
      </w:r>
      <w:r w:rsidRPr="00BF42B7">
        <w:rPr>
          <w:rFonts w:eastAsiaTheme="minorEastAsia"/>
          <w:szCs w:val="21"/>
        </w:rPr>
        <w:t>协调机制，</w:t>
      </w:r>
      <w:r w:rsidRPr="00BF42B7">
        <w:rPr>
          <w:rFonts w:eastAsiaTheme="minorEastAsia" w:hint="eastAsia"/>
          <w:szCs w:val="21"/>
        </w:rPr>
        <w:t>旨在“</w:t>
      </w:r>
      <w:r w:rsidRPr="00BF42B7">
        <w:rPr>
          <w:rFonts w:ascii="Arial" w:eastAsiaTheme="minorEastAsia" w:hAnsi="Arial" w:cs="Arial"/>
          <w:szCs w:val="21"/>
        </w:rPr>
        <w:t>除其他外，通过分享和传播非敏感灾害风险信息和数据，查明部门和多部门灾害风险，提高对灾害风险的认识和了解，协助和协调编制地方</w:t>
      </w:r>
      <w:r w:rsidRPr="00BF42B7">
        <w:rPr>
          <w:rFonts w:ascii="Arial" w:eastAsiaTheme="minorEastAsia" w:hAnsi="Arial" w:cs="Arial"/>
          <w:spacing w:val="4"/>
          <w:szCs w:val="21"/>
        </w:rPr>
        <w:t>和国家灾害风险报告，协调开展关于减少灾害风险的公共宣传活动，促进和支持地方</w:t>
      </w:r>
      <w:r w:rsidRPr="00BF42B7">
        <w:rPr>
          <w:rFonts w:ascii="Arial" w:eastAsiaTheme="minorEastAsia" w:hAnsi="Arial" w:cs="Arial"/>
          <w:szCs w:val="21"/>
        </w:rPr>
        <w:t>多部门合作</w:t>
      </w:r>
      <w:r w:rsidRPr="00BF42B7">
        <w:rPr>
          <w:rFonts w:ascii="Arial" w:eastAsiaTheme="minorEastAsia" w:hAnsi="Arial" w:cs="Arial"/>
          <w:szCs w:val="21"/>
        </w:rPr>
        <w:t>(</w:t>
      </w:r>
      <w:r w:rsidRPr="00BF42B7">
        <w:rPr>
          <w:rFonts w:ascii="Arial" w:eastAsiaTheme="minorEastAsia" w:hAnsi="Arial" w:cs="Arial"/>
          <w:szCs w:val="21"/>
        </w:rPr>
        <w:t>如地方政府之间的合作</w:t>
      </w:r>
      <w:r w:rsidRPr="00BF42B7">
        <w:rPr>
          <w:rFonts w:ascii="Arial" w:eastAsiaTheme="minorEastAsia" w:hAnsi="Arial" w:cs="Arial"/>
          <w:szCs w:val="21"/>
        </w:rPr>
        <w:t>)</w:t>
      </w:r>
      <w:r w:rsidRPr="00BF42B7">
        <w:rPr>
          <w:rFonts w:ascii="Arial" w:eastAsiaTheme="minorEastAsia" w:hAnsi="Arial" w:cs="Arial"/>
          <w:szCs w:val="21"/>
        </w:rPr>
        <w:t>，协助确定和报告国家和地方灾害风险管理计划，以及所有灾害风险管理相关政策</w:t>
      </w:r>
      <w:r w:rsidRPr="00BF42B7">
        <w:rPr>
          <w:rFonts w:ascii="Arial" w:eastAsiaTheme="minorEastAsia" w:hAnsi="Arial" w:cs="Arial" w:hint="eastAsia"/>
          <w:szCs w:val="21"/>
        </w:rPr>
        <w:t>”</w:t>
      </w:r>
      <w:r w:rsidRPr="00BF42B7">
        <w:rPr>
          <w:rFonts w:ascii="Arial" w:eastAsiaTheme="minorEastAsia" w:hAnsi="Arial" w:cs="Arial"/>
          <w:szCs w:val="21"/>
        </w:rPr>
        <w:t>。</w:t>
      </w:r>
      <w:r w:rsidRPr="00BF42B7">
        <w:rPr>
          <w:rFonts w:eastAsiaTheme="minorEastAsia"/>
          <w:color w:val="0000FF"/>
          <w:szCs w:val="21"/>
          <w:vertAlign w:val="superscript"/>
        </w:rPr>
        <w:footnoteReference w:id="141"/>
      </w:r>
      <w:r w:rsidRPr="00BF42B7">
        <w:rPr>
          <w:rFonts w:ascii="Arial" w:eastAsiaTheme="minorEastAsia" w:hAnsi="Arial" w:cs="Arial" w:hint="eastAsia"/>
          <w:szCs w:val="21"/>
        </w:rPr>
        <w:t xml:space="preserve"> </w:t>
      </w:r>
      <w:r w:rsidRPr="00BF42B7">
        <w:rPr>
          <w:rFonts w:ascii="Arial" w:eastAsiaTheme="minorEastAsia" w:hAnsi="Arial" w:cs="Arial" w:hint="eastAsia"/>
          <w:spacing w:val="-2"/>
          <w:szCs w:val="21"/>
        </w:rPr>
        <w:t>一些</w:t>
      </w:r>
      <w:r w:rsidRPr="00BF42B7">
        <w:rPr>
          <w:rFonts w:eastAsiaTheme="minorEastAsia"/>
          <w:spacing w:val="-2"/>
          <w:szCs w:val="21"/>
        </w:rPr>
        <w:t>国家制</w:t>
      </w:r>
      <w:r w:rsidRPr="00BF42B7">
        <w:rPr>
          <w:rFonts w:eastAsiaTheme="minorEastAsia" w:hint="eastAsia"/>
          <w:spacing w:val="-2"/>
          <w:szCs w:val="21"/>
        </w:rPr>
        <w:t>定</w:t>
      </w:r>
      <w:r w:rsidRPr="00BF42B7">
        <w:rPr>
          <w:rFonts w:eastAsiaTheme="minorEastAsia"/>
          <w:spacing w:val="-2"/>
          <w:szCs w:val="21"/>
        </w:rPr>
        <w:t>了减少灾害风险法律，</w:t>
      </w:r>
      <w:r w:rsidRPr="00BF42B7">
        <w:rPr>
          <w:rFonts w:eastAsiaTheme="minorEastAsia" w:hint="eastAsia"/>
          <w:spacing w:val="-2"/>
          <w:szCs w:val="21"/>
        </w:rPr>
        <w:t>或是专门法律，或是灾害风险管理和应对灾害</w:t>
      </w:r>
      <w:r w:rsidRPr="00BF42B7">
        <w:rPr>
          <w:rFonts w:eastAsiaTheme="minorEastAsia"/>
          <w:spacing w:val="-2"/>
          <w:szCs w:val="21"/>
        </w:rPr>
        <w:t>的法律框架</w:t>
      </w:r>
      <w:r w:rsidRPr="00BF42B7">
        <w:rPr>
          <w:rFonts w:eastAsiaTheme="minorEastAsia" w:hint="eastAsia"/>
          <w:spacing w:val="-2"/>
          <w:szCs w:val="21"/>
        </w:rPr>
        <w:t>的一部分</w:t>
      </w:r>
      <w:r w:rsidRPr="00BF42B7">
        <w:rPr>
          <w:rFonts w:eastAsiaTheme="minorEastAsia"/>
          <w:spacing w:val="-2"/>
          <w:szCs w:val="21"/>
        </w:rPr>
        <w:t>。这些国家包括：阿尔及利亚、</w:t>
      </w:r>
      <w:r w:rsidRPr="00BF42B7">
        <w:rPr>
          <w:rFonts w:eastAsiaTheme="minorEastAsia"/>
          <w:color w:val="0000FF"/>
          <w:spacing w:val="-2"/>
          <w:szCs w:val="21"/>
          <w:vertAlign w:val="superscript"/>
        </w:rPr>
        <w:footnoteReference w:id="142"/>
      </w:r>
      <w:r w:rsidRPr="00BF42B7">
        <w:rPr>
          <w:rFonts w:eastAsiaTheme="minorEastAsia"/>
          <w:spacing w:val="-2"/>
          <w:szCs w:val="21"/>
        </w:rPr>
        <w:t xml:space="preserve"> </w:t>
      </w:r>
      <w:r w:rsidRPr="00BF42B7">
        <w:rPr>
          <w:rFonts w:eastAsiaTheme="minorEastAsia"/>
          <w:spacing w:val="-2"/>
          <w:szCs w:val="21"/>
        </w:rPr>
        <w:t>喀麦隆、</w:t>
      </w:r>
      <w:r w:rsidRPr="00BF42B7">
        <w:rPr>
          <w:rFonts w:eastAsiaTheme="minorEastAsia"/>
          <w:color w:val="0000FF"/>
          <w:spacing w:val="-2"/>
          <w:szCs w:val="21"/>
          <w:vertAlign w:val="superscript"/>
        </w:rPr>
        <w:footnoteReference w:id="143"/>
      </w:r>
      <w:r w:rsidRPr="00BF42B7">
        <w:rPr>
          <w:rFonts w:eastAsiaTheme="minorEastAsia"/>
          <w:spacing w:val="-2"/>
          <w:szCs w:val="21"/>
        </w:rPr>
        <w:t xml:space="preserve"> </w:t>
      </w:r>
      <w:r w:rsidRPr="00BF42B7">
        <w:rPr>
          <w:rFonts w:eastAsiaTheme="minorEastAsia"/>
          <w:spacing w:val="-2"/>
          <w:szCs w:val="21"/>
        </w:rPr>
        <w:t>中国、</w:t>
      </w:r>
      <w:r w:rsidRPr="00BF42B7">
        <w:rPr>
          <w:rFonts w:eastAsiaTheme="minorEastAsia"/>
          <w:color w:val="0000FF"/>
          <w:spacing w:val="-2"/>
          <w:szCs w:val="21"/>
          <w:vertAlign w:val="superscript"/>
        </w:rPr>
        <w:footnoteReference w:id="144"/>
      </w:r>
      <w:r w:rsidRPr="00BF42B7">
        <w:rPr>
          <w:rFonts w:eastAsiaTheme="minorEastAsia" w:hint="eastAsia"/>
          <w:spacing w:val="-2"/>
          <w:szCs w:val="21"/>
        </w:rPr>
        <w:t xml:space="preserve"> </w:t>
      </w:r>
      <w:r w:rsidRPr="00BF42B7">
        <w:rPr>
          <w:rFonts w:eastAsiaTheme="minorEastAsia" w:hint="eastAsia"/>
          <w:spacing w:val="-2"/>
          <w:szCs w:val="21"/>
        </w:rPr>
        <w:t>柬埔寨、</w:t>
      </w:r>
      <w:r w:rsidRPr="00BF42B7">
        <w:rPr>
          <w:rStyle w:val="a5"/>
          <w:rFonts w:eastAsiaTheme="minorEastAsia"/>
          <w:spacing w:val="-2"/>
          <w:szCs w:val="21"/>
        </w:rPr>
        <w:footnoteReference w:id="145"/>
      </w:r>
      <w:r w:rsidRPr="00BF42B7">
        <w:rPr>
          <w:rFonts w:eastAsiaTheme="minorEastAsia" w:hint="eastAsia"/>
          <w:spacing w:val="-2"/>
          <w:szCs w:val="21"/>
        </w:rPr>
        <w:t xml:space="preserve"> </w:t>
      </w:r>
      <w:r w:rsidRPr="00BF42B7">
        <w:rPr>
          <w:rFonts w:eastAsiaTheme="minorEastAsia"/>
          <w:spacing w:val="-2"/>
          <w:szCs w:val="21"/>
        </w:rPr>
        <w:t>多米尼加共和国、</w:t>
      </w:r>
      <w:r w:rsidRPr="00BF42B7">
        <w:rPr>
          <w:rFonts w:eastAsiaTheme="minorEastAsia"/>
          <w:color w:val="0000FF"/>
          <w:spacing w:val="-2"/>
          <w:szCs w:val="21"/>
          <w:vertAlign w:val="superscript"/>
        </w:rPr>
        <w:footnoteReference w:id="146"/>
      </w:r>
      <w:r w:rsidRPr="00BF42B7">
        <w:rPr>
          <w:rFonts w:eastAsiaTheme="minorEastAsia"/>
          <w:spacing w:val="-2"/>
          <w:szCs w:val="21"/>
        </w:rPr>
        <w:t xml:space="preserve"> </w:t>
      </w:r>
      <w:r w:rsidRPr="00BF42B7">
        <w:rPr>
          <w:rFonts w:eastAsiaTheme="minorEastAsia"/>
          <w:spacing w:val="-2"/>
          <w:szCs w:val="21"/>
        </w:rPr>
        <w:t>萨尔瓦多、</w:t>
      </w:r>
      <w:r w:rsidRPr="00BF42B7">
        <w:rPr>
          <w:rFonts w:eastAsiaTheme="minorEastAsia"/>
          <w:color w:val="0000FF"/>
          <w:spacing w:val="-2"/>
          <w:szCs w:val="21"/>
          <w:vertAlign w:val="superscript"/>
        </w:rPr>
        <w:footnoteReference w:id="147"/>
      </w:r>
      <w:r w:rsidRPr="00BF42B7">
        <w:rPr>
          <w:rFonts w:eastAsiaTheme="minorEastAsia"/>
          <w:spacing w:val="-2"/>
          <w:szCs w:val="21"/>
        </w:rPr>
        <w:t xml:space="preserve"> </w:t>
      </w:r>
      <w:r w:rsidRPr="00BF42B7">
        <w:rPr>
          <w:rFonts w:eastAsiaTheme="minorEastAsia"/>
          <w:spacing w:val="-2"/>
          <w:szCs w:val="21"/>
        </w:rPr>
        <w:t>爱沙尼亚、</w:t>
      </w:r>
      <w:r w:rsidRPr="00BF42B7">
        <w:rPr>
          <w:rFonts w:eastAsiaTheme="minorEastAsia"/>
          <w:color w:val="0000FF"/>
          <w:spacing w:val="-2"/>
          <w:szCs w:val="21"/>
          <w:vertAlign w:val="superscript"/>
        </w:rPr>
        <w:footnoteReference w:id="148"/>
      </w:r>
      <w:r w:rsidRPr="00BF42B7">
        <w:rPr>
          <w:rFonts w:eastAsiaTheme="minorEastAsia"/>
          <w:spacing w:val="-2"/>
          <w:szCs w:val="21"/>
        </w:rPr>
        <w:t xml:space="preserve"> </w:t>
      </w:r>
      <w:r w:rsidRPr="00BF42B7">
        <w:rPr>
          <w:rFonts w:eastAsiaTheme="minorEastAsia"/>
          <w:spacing w:val="-2"/>
          <w:szCs w:val="21"/>
        </w:rPr>
        <w:t>法国、</w:t>
      </w:r>
      <w:r w:rsidRPr="00BF42B7">
        <w:rPr>
          <w:rFonts w:eastAsiaTheme="minorEastAsia"/>
          <w:color w:val="0000FF"/>
          <w:spacing w:val="-2"/>
          <w:szCs w:val="21"/>
          <w:vertAlign w:val="superscript"/>
        </w:rPr>
        <w:footnoteReference w:id="149"/>
      </w:r>
      <w:r w:rsidRPr="00BF42B7">
        <w:rPr>
          <w:rFonts w:eastAsiaTheme="minorEastAsia" w:hint="eastAsia"/>
          <w:spacing w:val="-2"/>
          <w:szCs w:val="21"/>
        </w:rPr>
        <w:t xml:space="preserve"> </w:t>
      </w:r>
      <w:r w:rsidRPr="00BF42B7">
        <w:rPr>
          <w:rFonts w:eastAsiaTheme="minorEastAsia" w:hint="eastAsia"/>
          <w:spacing w:val="-2"/>
          <w:szCs w:val="21"/>
        </w:rPr>
        <w:t>格鲁吉亚、</w:t>
      </w:r>
      <w:r w:rsidRPr="00BF42B7">
        <w:rPr>
          <w:rStyle w:val="a5"/>
          <w:rFonts w:eastAsiaTheme="minorEastAsia"/>
          <w:spacing w:val="-2"/>
          <w:szCs w:val="21"/>
        </w:rPr>
        <w:footnoteReference w:id="150"/>
      </w:r>
      <w:r w:rsidRPr="00BF42B7">
        <w:rPr>
          <w:rFonts w:eastAsiaTheme="minorEastAsia" w:hint="eastAsia"/>
          <w:szCs w:val="21"/>
        </w:rPr>
        <w:t xml:space="preserve"> </w:t>
      </w:r>
      <w:r w:rsidRPr="00BF42B7">
        <w:rPr>
          <w:rFonts w:eastAsiaTheme="minorEastAsia"/>
          <w:szCs w:val="21"/>
        </w:rPr>
        <w:t>危地马拉、</w:t>
      </w:r>
      <w:r w:rsidRPr="00BF42B7">
        <w:rPr>
          <w:rFonts w:eastAsiaTheme="minorEastAsia"/>
          <w:color w:val="0000FF"/>
          <w:szCs w:val="21"/>
          <w:vertAlign w:val="superscript"/>
        </w:rPr>
        <w:footnoteReference w:id="151"/>
      </w:r>
      <w:r w:rsidRPr="00BF42B7">
        <w:rPr>
          <w:rFonts w:eastAsiaTheme="minorEastAsia"/>
          <w:szCs w:val="21"/>
        </w:rPr>
        <w:t xml:space="preserve"> </w:t>
      </w:r>
      <w:r w:rsidRPr="00BF42B7">
        <w:rPr>
          <w:rFonts w:eastAsiaTheme="minorEastAsia"/>
          <w:szCs w:val="21"/>
        </w:rPr>
        <w:t>海地、</w:t>
      </w:r>
      <w:r w:rsidRPr="00BF42B7">
        <w:rPr>
          <w:rFonts w:eastAsiaTheme="minorEastAsia"/>
          <w:color w:val="0000FF"/>
          <w:szCs w:val="21"/>
          <w:vertAlign w:val="superscript"/>
        </w:rPr>
        <w:footnoteReference w:id="152"/>
      </w:r>
      <w:r w:rsidRPr="00BF42B7">
        <w:rPr>
          <w:rFonts w:eastAsiaTheme="minorEastAsia"/>
          <w:szCs w:val="21"/>
        </w:rPr>
        <w:t xml:space="preserve"> </w:t>
      </w:r>
      <w:r w:rsidRPr="00BF42B7">
        <w:rPr>
          <w:rFonts w:eastAsiaTheme="minorEastAsia"/>
          <w:szCs w:val="21"/>
        </w:rPr>
        <w:t>匈牙利、</w:t>
      </w:r>
      <w:r w:rsidRPr="00BF42B7">
        <w:rPr>
          <w:rFonts w:eastAsiaTheme="minorEastAsia"/>
          <w:color w:val="0000FF"/>
          <w:szCs w:val="21"/>
          <w:vertAlign w:val="superscript"/>
        </w:rPr>
        <w:footnoteReference w:id="153"/>
      </w:r>
      <w:r w:rsidRPr="00BF42B7">
        <w:rPr>
          <w:rFonts w:eastAsiaTheme="minorEastAsia"/>
          <w:szCs w:val="21"/>
        </w:rPr>
        <w:t xml:space="preserve"> </w:t>
      </w:r>
      <w:r w:rsidRPr="00BF42B7">
        <w:rPr>
          <w:rFonts w:eastAsiaTheme="minorEastAsia"/>
          <w:szCs w:val="21"/>
        </w:rPr>
        <w:t>印度、</w:t>
      </w:r>
      <w:r w:rsidRPr="00BF42B7">
        <w:rPr>
          <w:rFonts w:eastAsiaTheme="minorEastAsia"/>
          <w:color w:val="0000FF"/>
          <w:szCs w:val="21"/>
          <w:vertAlign w:val="superscript"/>
        </w:rPr>
        <w:footnoteReference w:id="154"/>
      </w:r>
      <w:r w:rsidRPr="00BF42B7">
        <w:rPr>
          <w:rFonts w:eastAsiaTheme="minorEastAsia"/>
          <w:szCs w:val="21"/>
        </w:rPr>
        <w:t xml:space="preserve"> </w:t>
      </w:r>
      <w:r w:rsidRPr="00BF42B7">
        <w:rPr>
          <w:rFonts w:eastAsiaTheme="minorEastAsia"/>
          <w:szCs w:val="21"/>
        </w:rPr>
        <w:t>印度尼西亚、</w:t>
      </w:r>
      <w:r w:rsidRPr="00BF42B7">
        <w:rPr>
          <w:rFonts w:eastAsiaTheme="minorEastAsia"/>
          <w:color w:val="0000FF"/>
          <w:szCs w:val="21"/>
          <w:vertAlign w:val="superscript"/>
        </w:rPr>
        <w:footnoteReference w:id="155"/>
      </w:r>
      <w:r w:rsidRPr="00BF42B7">
        <w:rPr>
          <w:rFonts w:eastAsiaTheme="minorEastAsia"/>
          <w:szCs w:val="21"/>
        </w:rPr>
        <w:t xml:space="preserve"> </w:t>
      </w:r>
      <w:r w:rsidRPr="00BF42B7">
        <w:rPr>
          <w:rFonts w:eastAsiaTheme="minorEastAsia"/>
          <w:szCs w:val="21"/>
        </w:rPr>
        <w:t>意大利、</w:t>
      </w:r>
      <w:r w:rsidRPr="00BF42B7">
        <w:rPr>
          <w:rFonts w:eastAsiaTheme="minorEastAsia"/>
          <w:color w:val="0000FF"/>
          <w:szCs w:val="21"/>
          <w:vertAlign w:val="superscript"/>
        </w:rPr>
        <w:footnoteReference w:id="156"/>
      </w:r>
      <w:r w:rsidRPr="00BF42B7">
        <w:rPr>
          <w:rFonts w:eastAsiaTheme="minorEastAsia"/>
          <w:szCs w:val="21"/>
        </w:rPr>
        <w:t xml:space="preserve"> </w:t>
      </w:r>
      <w:r w:rsidRPr="00BF42B7">
        <w:rPr>
          <w:rFonts w:eastAsiaTheme="minorEastAsia"/>
          <w:szCs w:val="21"/>
        </w:rPr>
        <w:t>马达加斯加、</w:t>
      </w:r>
      <w:r w:rsidRPr="00BF42B7">
        <w:rPr>
          <w:rFonts w:eastAsiaTheme="minorEastAsia"/>
          <w:color w:val="0000FF"/>
          <w:szCs w:val="21"/>
          <w:vertAlign w:val="superscript"/>
        </w:rPr>
        <w:footnoteReference w:id="157"/>
      </w:r>
      <w:r w:rsidRPr="00BF42B7">
        <w:rPr>
          <w:rFonts w:eastAsiaTheme="minorEastAsia"/>
          <w:szCs w:val="21"/>
        </w:rPr>
        <w:t xml:space="preserve"> </w:t>
      </w:r>
      <w:r w:rsidRPr="00BF42B7">
        <w:rPr>
          <w:rFonts w:eastAsiaTheme="minorEastAsia"/>
          <w:szCs w:val="21"/>
        </w:rPr>
        <w:t>纳米比亚、</w:t>
      </w:r>
      <w:r w:rsidRPr="00BF42B7">
        <w:rPr>
          <w:rFonts w:eastAsiaTheme="minorEastAsia"/>
          <w:color w:val="0000FF"/>
          <w:szCs w:val="21"/>
          <w:vertAlign w:val="superscript"/>
        </w:rPr>
        <w:footnoteReference w:id="158"/>
      </w:r>
      <w:r w:rsidRPr="00BF42B7">
        <w:rPr>
          <w:rFonts w:eastAsiaTheme="minorEastAsia"/>
          <w:szCs w:val="21"/>
        </w:rPr>
        <w:t xml:space="preserve"> </w:t>
      </w:r>
      <w:r w:rsidRPr="00BF42B7">
        <w:rPr>
          <w:rFonts w:eastAsiaTheme="minorEastAsia"/>
          <w:szCs w:val="21"/>
        </w:rPr>
        <w:t>新西兰、</w:t>
      </w:r>
      <w:r w:rsidRPr="00BF42B7">
        <w:rPr>
          <w:rFonts w:eastAsiaTheme="minorEastAsia"/>
          <w:color w:val="0000FF"/>
          <w:szCs w:val="21"/>
          <w:vertAlign w:val="superscript"/>
        </w:rPr>
        <w:footnoteReference w:id="159"/>
      </w:r>
      <w:r w:rsidRPr="00BF42B7">
        <w:rPr>
          <w:rFonts w:eastAsiaTheme="minorEastAsia"/>
          <w:szCs w:val="21"/>
        </w:rPr>
        <w:t xml:space="preserve"> </w:t>
      </w:r>
      <w:r w:rsidRPr="00BF42B7">
        <w:rPr>
          <w:rFonts w:eastAsiaTheme="minorEastAsia"/>
          <w:szCs w:val="21"/>
        </w:rPr>
        <w:t>巴基斯坦、</w:t>
      </w:r>
      <w:r w:rsidRPr="00BF42B7">
        <w:rPr>
          <w:rFonts w:eastAsiaTheme="minorEastAsia"/>
          <w:color w:val="0000FF"/>
          <w:szCs w:val="21"/>
          <w:vertAlign w:val="superscript"/>
        </w:rPr>
        <w:footnoteReference w:id="160"/>
      </w:r>
      <w:r w:rsidRPr="00BF42B7">
        <w:rPr>
          <w:rFonts w:eastAsiaTheme="minorEastAsia"/>
          <w:szCs w:val="21"/>
        </w:rPr>
        <w:t xml:space="preserve"> </w:t>
      </w:r>
      <w:r w:rsidRPr="00BF42B7">
        <w:rPr>
          <w:rFonts w:eastAsiaTheme="minorEastAsia"/>
          <w:szCs w:val="21"/>
        </w:rPr>
        <w:t>秘鲁、</w:t>
      </w:r>
      <w:r w:rsidRPr="00BF42B7">
        <w:rPr>
          <w:rFonts w:eastAsiaTheme="minorEastAsia"/>
          <w:color w:val="0000FF"/>
          <w:szCs w:val="21"/>
          <w:vertAlign w:val="superscript"/>
        </w:rPr>
        <w:footnoteReference w:id="161"/>
      </w:r>
      <w:r w:rsidRPr="00BF42B7">
        <w:rPr>
          <w:rFonts w:eastAsiaTheme="minorEastAsia"/>
          <w:szCs w:val="21"/>
        </w:rPr>
        <w:t xml:space="preserve"> </w:t>
      </w:r>
      <w:r w:rsidRPr="00BF42B7">
        <w:rPr>
          <w:rFonts w:eastAsiaTheme="minorEastAsia"/>
          <w:szCs w:val="21"/>
        </w:rPr>
        <w:t>菲律宾、</w:t>
      </w:r>
      <w:r w:rsidRPr="00BF42B7">
        <w:rPr>
          <w:rFonts w:eastAsiaTheme="minorEastAsia"/>
          <w:color w:val="0000FF"/>
          <w:szCs w:val="21"/>
          <w:vertAlign w:val="superscript"/>
        </w:rPr>
        <w:footnoteReference w:id="162"/>
      </w:r>
      <w:r w:rsidRPr="00BF42B7">
        <w:rPr>
          <w:rFonts w:eastAsiaTheme="minorEastAsia"/>
          <w:szCs w:val="21"/>
        </w:rPr>
        <w:t xml:space="preserve"> </w:t>
      </w:r>
      <w:r w:rsidRPr="00BF42B7">
        <w:rPr>
          <w:rFonts w:eastAsiaTheme="minorEastAsia"/>
          <w:szCs w:val="21"/>
        </w:rPr>
        <w:t>大韩民国、</w:t>
      </w:r>
      <w:r w:rsidRPr="00BF42B7">
        <w:rPr>
          <w:rFonts w:eastAsiaTheme="minorEastAsia"/>
          <w:color w:val="0000FF"/>
          <w:szCs w:val="21"/>
          <w:vertAlign w:val="superscript"/>
        </w:rPr>
        <w:footnoteReference w:id="163"/>
      </w:r>
      <w:r w:rsidRPr="00BF42B7">
        <w:rPr>
          <w:rFonts w:eastAsiaTheme="minorEastAsia"/>
          <w:szCs w:val="21"/>
        </w:rPr>
        <w:t xml:space="preserve"> </w:t>
      </w:r>
      <w:r w:rsidRPr="00BF42B7">
        <w:rPr>
          <w:rFonts w:eastAsiaTheme="minorEastAsia"/>
          <w:szCs w:val="21"/>
        </w:rPr>
        <w:t>斯洛文尼亚、</w:t>
      </w:r>
      <w:r w:rsidRPr="00BF42B7">
        <w:rPr>
          <w:rFonts w:eastAsiaTheme="minorEastAsia"/>
          <w:color w:val="0000FF"/>
          <w:szCs w:val="21"/>
          <w:vertAlign w:val="superscript"/>
        </w:rPr>
        <w:footnoteReference w:id="164"/>
      </w:r>
      <w:r w:rsidRPr="00BF42B7">
        <w:rPr>
          <w:rFonts w:eastAsiaTheme="minorEastAsia"/>
          <w:szCs w:val="21"/>
        </w:rPr>
        <w:t xml:space="preserve"> </w:t>
      </w:r>
      <w:r w:rsidRPr="00BF42B7">
        <w:rPr>
          <w:rFonts w:eastAsiaTheme="minorEastAsia"/>
          <w:szCs w:val="21"/>
        </w:rPr>
        <w:t>南非、</w:t>
      </w:r>
      <w:r w:rsidRPr="00BF42B7">
        <w:rPr>
          <w:rFonts w:eastAsiaTheme="minorEastAsia"/>
          <w:color w:val="0000FF"/>
          <w:szCs w:val="21"/>
          <w:vertAlign w:val="superscript"/>
        </w:rPr>
        <w:footnoteReference w:id="165"/>
      </w:r>
      <w:r w:rsidRPr="00BF42B7">
        <w:rPr>
          <w:rFonts w:eastAsiaTheme="minorEastAsia"/>
          <w:szCs w:val="21"/>
        </w:rPr>
        <w:t xml:space="preserve"> </w:t>
      </w:r>
      <w:r w:rsidRPr="00BF42B7">
        <w:rPr>
          <w:rFonts w:eastAsiaTheme="minorEastAsia"/>
          <w:szCs w:val="21"/>
        </w:rPr>
        <w:t>泰国、</w:t>
      </w:r>
      <w:r w:rsidRPr="00BF42B7">
        <w:rPr>
          <w:rFonts w:eastAsiaTheme="minorEastAsia"/>
          <w:color w:val="0000FF"/>
          <w:szCs w:val="21"/>
          <w:vertAlign w:val="superscript"/>
        </w:rPr>
        <w:footnoteReference w:id="166"/>
      </w:r>
      <w:r w:rsidRPr="00BF42B7">
        <w:rPr>
          <w:rFonts w:eastAsiaTheme="minorEastAsia" w:hint="eastAsia"/>
          <w:szCs w:val="21"/>
        </w:rPr>
        <w:t xml:space="preserve"> </w:t>
      </w:r>
      <w:r w:rsidRPr="00BF42B7">
        <w:rPr>
          <w:rFonts w:eastAsiaTheme="minorEastAsia"/>
          <w:szCs w:val="21"/>
        </w:rPr>
        <w:t>美国。</w:t>
      </w:r>
      <w:r w:rsidRPr="00BF42B7">
        <w:rPr>
          <w:rFonts w:eastAsiaTheme="minorEastAsia"/>
          <w:color w:val="0000FF"/>
          <w:szCs w:val="21"/>
          <w:vertAlign w:val="superscript"/>
        </w:rPr>
        <w:footnoteReference w:id="167"/>
      </w:r>
    </w:p>
    <w:p w:rsidR="00765E0D" w:rsidRPr="00BF42B7" w:rsidRDefault="00765E0D" w:rsidP="00765E0D">
      <w:pPr>
        <w:pStyle w:val="SingleTxtGC"/>
        <w:rPr>
          <w:rFonts w:eastAsiaTheme="minorEastAsia"/>
          <w:szCs w:val="21"/>
        </w:rPr>
      </w:pPr>
      <w:r w:rsidRPr="00BF42B7">
        <w:rPr>
          <w:rFonts w:eastAsiaTheme="minorEastAsia"/>
          <w:szCs w:val="21"/>
        </w:rPr>
        <w:t>(7)</w:t>
      </w:r>
      <w:r w:rsidRPr="00BF42B7">
        <w:rPr>
          <w:rFonts w:eastAsiaTheme="minorEastAsia" w:hint="eastAsia"/>
          <w:szCs w:val="21"/>
        </w:rPr>
        <w:t xml:space="preserve">  </w:t>
      </w:r>
      <w:r w:rsidRPr="00BF42B7">
        <w:rPr>
          <w:rFonts w:eastAsiaTheme="minorEastAsia"/>
          <w:szCs w:val="21"/>
        </w:rPr>
        <w:t>应</w:t>
      </w:r>
      <w:r w:rsidRPr="00BF42B7">
        <w:rPr>
          <w:rFonts w:eastAsiaTheme="minorEastAsia" w:hint="eastAsia"/>
          <w:szCs w:val="21"/>
        </w:rPr>
        <w:t>结合本条款草案中</w:t>
      </w:r>
      <w:r w:rsidRPr="00BF42B7">
        <w:rPr>
          <w:rFonts w:eastAsiaTheme="minorEastAsia"/>
          <w:szCs w:val="21"/>
        </w:rPr>
        <w:t>的普遍适用规则</w:t>
      </w:r>
      <w:r w:rsidRPr="00BF42B7">
        <w:rPr>
          <w:rFonts w:eastAsiaTheme="minorEastAsia" w:hint="eastAsia"/>
          <w:szCs w:val="21"/>
        </w:rPr>
        <w:t>，</w:t>
      </w:r>
      <w:r w:rsidRPr="00BF42B7">
        <w:rPr>
          <w:rFonts w:eastAsiaTheme="minorEastAsia"/>
          <w:szCs w:val="21"/>
        </w:rPr>
        <w:t>包括主要</w:t>
      </w:r>
      <w:r w:rsidRPr="00BF42B7">
        <w:rPr>
          <w:rFonts w:eastAsiaTheme="minorEastAsia" w:hint="eastAsia"/>
          <w:szCs w:val="21"/>
        </w:rPr>
        <w:t>涉及应对</w:t>
      </w:r>
      <w:r w:rsidRPr="00BF42B7">
        <w:rPr>
          <w:rFonts w:eastAsiaTheme="minorEastAsia"/>
          <w:szCs w:val="21"/>
        </w:rPr>
        <w:t>灾害的规则一起</w:t>
      </w:r>
      <w:r w:rsidRPr="00BF42B7">
        <w:rPr>
          <w:rFonts w:eastAsiaTheme="minorEastAsia" w:hint="eastAsia"/>
          <w:szCs w:val="21"/>
        </w:rPr>
        <w:t>阅读</w:t>
      </w:r>
      <w:r w:rsidRPr="00BF42B7">
        <w:rPr>
          <w:rFonts w:eastAsiaTheme="minorEastAsia"/>
          <w:szCs w:val="21"/>
        </w:rPr>
        <w:t>第</w:t>
      </w:r>
      <w:r w:rsidRPr="00BF42B7">
        <w:rPr>
          <w:rFonts w:eastAsiaTheme="minorEastAsia" w:hint="eastAsia"/>
          <w:szCs w:val="21"/>
        </w:rPr>
        <w:t>9</w:t>
      </w:r>
      <w:r w:rsidRPr="00BF42B7">
        <w:rPr>
          <w:rFonts w:eastAsiaTheme="minorEastAsia"/>
          <w:szCs w:val="21"/>
        </w:rPr>
        <w:t>条草案。</w:t>
      </w:r>
    </w:p>
    <w:p w:rsidR="00765E0D" w:rsidRPr="00BF42B7" w:rsidRDefault="00765E0D" w:rsidP="00765E0D">
      <w:pPr>
        <w:pStyle w:val="SingleTxtGC"/>
        <w:rPr>
          <w:szCs w:val="21"/>
        </w:rPr>
      </w:pPr>
      <w:r w:rsidRPr="00BF42B7">
        <w:rPr>
          <w:szCs w:val="21"/>
        </w:rPr>
        <w:t>(8)</w:t>
      </w:r>
      <w:r w:rsidRPr="00BF42B7">
        <w:rPr>
          <w:rFonts w:hint="eastAsia"/>
          <w:szCs w:val="21"/>
        </w:rPr>
        <w:t xml:space="preserve">  </w:t>
      </w:r>
      <w:r w:rsidRPr="00BF42B7">
        <w:rPr>
          <w:szCs w:val="21"/>
        </w:rPr>
        <w:t>第</w:t>
      </w:r>
      <w:r w:rsidRPr="00BF42B7">
        <w:rPr>
          <w:szCs w:val="21"/>
        </w:rPr>
        <w:t>1</w:t>
      </w:r>
      <w:r w:rsidRPr="00BF42B7">
        <w:rPr>
          <w:szCs w:val="21"/>
        </w:rPr>
        <w:t>款以</w:t>
      </w:r>
      <w:r w:rsidRPr="00BF42B7">
        <w:rPr>
          <w:rFonts w:hint="eastAsia"/>
          <w:szCs w:val="21"/>
        </w:rPr>
        <w:t>“</w:t>
      </w:r>
      <w:r w:rsidRPr="00BF42B7">
        <w:rPr>
          <w:szCs w:val="21"/>
        </w:rPr>
        <w:t>每一国</w:t>
      </w:r>
      <w:r w:rsidRPr="00BF42B7">
        <w:rPr>
          <w:rFonts w:hint="eastAsia"/>
          <w:szCs w:val="21"/>
        </w:rPr>
        <w:t>”</w:t>
      </w:r>
      <w:r w:rsidRPr="00BF42B7">
        <w:rPr>
          <w:szCs w:val="21"/>
        </w:rPr>
        <w:t>开始。委员会选择这一措辞，而不是英文复数</w:t>
      </w:r>
      <w:r w:rsidRPr="00BF42B7">
        <w:rPr>
          <w:rFonts w:hint="eastAsia"/>
          <w:szCs w:val="21"/>
        </w:rPr>
        <w:t>“各</w:t>
      </w:r>
      <w:r w:rsidRPr="00BF42B7">
        <w:rPr>
          <w:szCs w:val="21"/>
        </w:rPr>
        <w:t>国</w:t>
      </w:r>
      <w:r w:rsidRPr="00BF42B7">
        <w:rPr>
          <w:rFonts w:hint="eastAsia"/>
          <w:szCs w:val="21"/>
        </w:rPr>
        <w:t>”</w:t>
      </w:r>
      <w:r w:rsidRPr="00BF42B7">
        <w:rPr>
          <w:szCs w:val="21"/>
        </w:rPr>
        <w:t>，是为了与先前通过的</w:t>
      </w:r>
      <w:r w:rsidRPr="00BF42B7">
        <w:rPr>
          <w:rFonts w:hint="eastAsia"/>
          <w:szCs w:val="21"/>
        </w:rPr>
        <w:t>小心确</w:t>
      </w:r>
      <w:r w:rsidRPr="00BF42B7">
        <w:rPr>
          <w:szCs w:val="21"/>
        </w:rPr>
        <w:t>定负有</w:t>
      </w:r>
      <w:r w:rsidRPr="00BF42B7">
        <w:rPr>
          <w:rFonts w:hint="eastAsia"/>
          <w:szCs w:val="21"/>
        </w:rPr>
        <w:t>采取行动的</w:t>
      </w:r>
      <w:r w:rsidRPr="00BF42B7">
        <w:rPr>
          <w:szCs w:val="21"/>
        </w:rPr>
        <w:t>法律责任的一国或多国</w:t>
      </w:r>
      <w:r w:rsidRPr="00BF42B7">
        <w:rPr>
          <w:rFonts w:hint="eastAsia"/>
          <w:szCs w:val="21"/>
        </w:rPr>
        <w:t>的</w:t>
      </w:r>
      <w:r w:rsidRPr="00BF42B7">
        <w:rPr>
          <w:szCs w:val="21"/>
        </w:rPr>
        <w:t>条款草案保持一致。相比那些直接涉及灾害应对的条文草案</w:t>
      </w:r>
      <w:r w:rsidRPr="00BF42B7">
        <w:rPr>
          <w:szCs w:val="21"/>
        </w:rPr>
        <w:t>(</w:t>
      </w:r>
      <w:r w:rsidRPr="00BF42B7">
        <w:rPr>
          <w:szCs w:val="21"/>
        </w:rPr>
        <w:t>受灾国有别于其他国家</w:t>
      </w:r>
      <w:r w:rsidRPr="00BF42B7">
        <w:rPr>
          <w:szCs w:val="21"/>
        </w:rPr>
        <w:t>)</w:t>
      </w:r>
      <w:r w:rsidRPr="00BF42B7">
        <w:rPr>
          <w:szCs w:val="21"/>
        </w:rPr>
        <w:t>，灾前阶段的有关义务适用于每一国。此外，第</w:t>
      </w:r>
      <w:r w:rsidRPr="00BF42B7">
        <w:rPr>
          <w:szCs w:val="21"/>
        </w:rPr>
        <w:t>2</w:t>
      </w:r>
      <w:r w:rsidRPr="00BF42B7">
        <w:rPr>
          <w:szCs w:val="21"/>
        </w:rPr>
        <w:t>款</w:t>
      </w:r>
      <w:r w:rsidRPr="00BF42B7">
        <w:rPr>
          <w:rFonts w:hint="eastAsia"/>
          <w:szCs w:val="21"/>
        </w:rPr>
        <w:t>中</w:t>
      </w:r>
      <w:r w:rsidRPr="00BF42B7">
        <w:rPr>
          <w:szCs w:val="21"/>
        </w:rPr>
        <w:t>显而易见的是，减少风险的义务主要</w:t>
      </w:r>
      <w:r w:rsidRPr="00BF42B7">
        <w:rPr>
          <w:rFonts w:hint="eastAsia"/>
          <w:szCs w:val="21"/>
        </w:rPr>
        <w:t>要求在</w:t>
      </w:r>
      <w:r w:rsidRPr="00BF42B7">
        <w:rPr>
          <w:szCs w:val="21"/>
        </w:rPr>
        <w:t>国内一级采取措施。第</w:t>
      </w:r>
      <w:r w:rsidRPr="00BF42B7">
        <w:rPr>
          <w:rFonts w:hint="eastAsia"/>
          <w:szCs w:val="21"/>
        </w:rPr>
        <w:t>7</w:t>
      </w:r>
      <w:r w:rsidRPr="00BF42B7">
        <w:rPr>
          <w:szCs w:val="21"/>
        </w:rPr>
        <w:t>条草案旨在涵盖</w:t>
      </w:r>
      <w:r w:rsidRPr="00BF42B7">
        <w:rPr>
          <w:rFonts w:hint="eastAsia"/>
          <w:szCs w:val="21"/>
        </w:rPr>
        <w:t>国家之间</w:t>
      </w:r>
      <w:r w:rsidRPr="00BF42B7">
        <w:rPr>
          <w:szCs w:val="21"/>
        </w:rPr>
        <w:t>或与其他援助方之间互动的这类措施。换言之，这一义务分别适用于每一个国家。因此，委员会决定不使用英文复数</w:t>
      </w:r>
      <w:r w:rsidRPr="00BF42B7">
        <w:rPr>
          <w:rFonts w:hint="eastAsia"/>
          <w:szCs w:val="21"/>
        </w:rPr>
        <w:t>“各</w:t>
      </w:r>
      <w:r w:rsidRPr="00BF42B7">
        <w:rPr>
          <w:szCs w:val="21"/>
        </w:rPr>
        <w:t>国</w:t>
      </w:r>
      <w:r w:rsidRPr="00BF42B7">
        <w:rPr>
          <w:rFonts w:hint="eastAsia"/>
          <w:szCs w:val="21"/>
        </w:rPr>
        <w:t>”</w:t>
      </w:r>
      <w:r w:rsidRPr="00BF42B7">
        <w:rPr>
          <w:szCs w:val="21"/>
        </w:rPr>
        <w:t>，也是避免暗示任何集体义务。</w:t>
      </w:r>
    </w:p>
    <w:p w:rsidR="00765E0D" w:rsidRPr="00BF42B7" w:rsidRDefault="00765E0D" w:rsidP="00765E0D">
      <w:pPr>
        <w:pStyle w:val="SingleTxtGC"/>
        <w:rPr>
          <w:rFonts w:eastAsiaTheme="minorEastAsia"/>
          <w:szCs w:val="21"/>
        </w:rPr>
      </w:pPr>
      <w:r w:rsidRPr="00BF42B7">
        <w:rPr>
          <w:rFonts w:eastAsiaTheme="minorEastAsia"/>
          <w:szCs w:val="21"/>
        </w:rPr>
        <w:t>(9)</w:t>
      </w:r>
      <w:r w:rsidRPr="00BF42B7">
        <w:rPr>
          <w:rFonts w:eastAsiaTheme="minorEastAsia" w:hint="eastAsia"/>
          <w:szCs w:val="21"/>
        </w:rPr>
        <w:t xml:space="preserve">  </w:t>
      </w:r>
      <w:r w:rsidRPr="00BF42B7">
        <w:rPr>
          <w:rFonts w:eastAsiaTheme="minorEastAsia" w:hint="eastAsia"/>
          <w:szCs w:val="21"/>
        </w:rPr>
        <w:t>“</w:t>
      </w:r>
      <w:r w:rsidRPr="00BF42B7">
        <w:rPr>
          <w:rFonts w:eastAsiaTheme="minorEastAsia"/>
          <w:szCs w:val="21"/>
        </w:rPr>
        <w:t>应</w:t>
      </w:r>
      <w:r w:rsidRPr="00BF42B7">
        <w:rPr>
          <w:rFonts w:eastAsiaTheme="minorEastAsia" w:hint="eastAsia"/>
          <w:szCs w:val="21"/>
        </w:rPr>
        <w:t>”</w:t>
      </w:r>
      <w:r w:rsidRPr="00BF42B7">
        <w:rPr>
          <w:rFonts w:eastAsiaTheme="minorEastAsia"/>
          <w:szCs w:val="21"/>
        </w:rPr>
        <w:t>一词表示存在以这一款所述方式行事的国际法律义务，是</w:t>
      </w:r>
      <w:r w:rsidRPr="00BF42B7">
        <w:rPr>
          <w:rFonts w:eastAsiaTheme="minorEastAsia" w:hint="eastAsia"/>
          <w:szCs w:val="21"/>
        </w:rPr>
        <w:t>表</w:t>
      </w:r>
      <w:r w:rsidRPr="00BF42B7">
        <w:rPr>
          <w:rFonts w:eastAsiaTheme="minorEastAsia"/>
          <w:szCs w:val="21"/>
        </w:rPr>
        <w:t>达这一法律义务</w:t>
      </w:r>
      <w:r w:rsidRPr="00BF42B7">
        <w:rPr>
          <w:rFonts w:eastAsiaTheme="minorEastAsia" w:hint="eastAsia"/>
          <w:szCs w:val="21"/>
        </w:rPr>
        <w:t>的</w:t>
      </w:r>
      <w:r w:rsidRPr="00BF42B7">
        <w:rPr>
          <w:rFonts w:eastAsiaTheme="minorEastAsia"/>
          <w:szCs w:val="21"/>
        </w:rPr>
        <w:t>含义</w:t>
      </w:r>
      <w:r w:rsidRPr="00BF42B7">
        <w:rPr>
          <w:rFonts w:eastAsiaTheme="minorEastAsia" w:hint="eastAsia"/>
          <w:szCs w:val="21"/>
        </w:rPr>
        <w:t>的</w:t>
      </w:r>
      <w:r w:rsidRPr="00BF42B7">
        <w:rPr>
          <w:rFonts w:eastAsiaTheme="minorEastAsia"/>
          <w:szCs w:val="21"/>
        </w:rPr>
        <w:t>最简洁方式。这条草案的标题确认了这一点，说的是减少灾害风险的</w:t>
      </w:r>
      <w:r w:rsidRPr="00BF42B7">
        <w:rPr>
          <w:rFonts w:eastAsiaTheme="minorEastAsia" w:hint="eastAsia"/>
          <w:szCs w:val="21"/>
        </w:rPr>
        <w:t>“</w:t>
      </w:r>
      <w:r w:rsidRPr="00BF42B7">
        <w:rPr>
          <w:rFonts w:eastAsiaTheme="minorEastAsia"/>
          <w:szCs w:val="21"/>
        </w:rPr>
        <w:t>义务</w:t>
      </w:r>
      <w:r w:rsidRPr="00BF42B7">
        <w:rPr>
          <w:rFonts w:eastAsiaTheme="minorEastAsia" w:hint="eastAsia"/>
          <w:szCs w:val="21"/>
        </w:rPr>
        <w:t>”</w:t>
      </w:r>
      <w:r w:rsidRPr="00BF42B7">
        <w:rPr>
          <w:rFonts w:eastAsiaTheme="minorEastAsia"/>
          <w:szCs w:val="21"/>
        </w:rPr>
        <w:t>。虽然每一国都承担同样的义务，但是以</w:t>
      </w:r>
      <w:r w:rsidRPr="00BF42B7">
        <w:rPr>
          <w:rFonts w:eastAsiaTheme="minorEastAsia" w:hint="eastAsia"/>
          <w:szCs w:val="21"/>
        </w:rPr>
        <w:t>“</w:t>
      </w:r>
      <w:r w:rsidRPr="00BF42B7">
        <w:rPr>
          <w:rFonts w:eastAsiaTheme="minorEastAsia"/>
          <w:szCs w:val="21"/>
        </w:rPr>
        <w:t>采取适当的措施</w:t>
      </w:r>
      <w:r w:rsidRPr="00BF42B7">
        <w:rPr>
          <w:rFonts w:eastAsiaTheme="minorEastAsia" w:hint="eastAsia"/>
          <w:szCs w:val="21"/>
        </w:rPr>
        <w:t>”</w:t>
      </w:r>
      <w:r w:rsidRPr="00BF42B7">
        <w:rPr>
          <w:rFonts w:eastAsiaTheme="minorEastAsia"/>
          <w:szCs w:val="21"/>
        </w:rPr>
        <w:t>这一短语处理了各国之间履行义务能力的水平不同问题。</w:t>
      </w:r>
    </w:p>
    <w:p w:rsidR="00765E0D" w:rsidRPr="00BF42B7" w:rsidRDefault="00765E0D" w:rsidP="00765E0D">
      <w:pPr>
        <w:pStyle w:val="SingleTxtGC"/>
        <w:rPr>
          <w:rFonts w:eastAsiaTheme="minorEastAsia"/>
          <w:szCs w:val="21"/>
        </w:rPr>
      </w:pPr>
      <w:r w:rsidRPr="00BF42B7">
        <w:rPr>
          <w:rFonts w:eastAsiaTheme="minorEastAsia"/>
          <w:szCs w:val="21"/>
        </w:rPr>
        <w:t>(10)</w:t>
      </w:r>
      <w:r w:rsidRPr="00BF42B7">
        <w:rPr>
          <w:rFonts w:eastAsiaTheme="minorEastAsia" w:hint="eastAsia"/>
          <w:szCs w:val="21"/>
        </w:rPr>
        <w:t xml:space="preserve">  </w:t>
      </w:r>
      <w:r w:rsidRPr="00BF42B7">
        <w:rPr>
          <w:rFonts w:eastAsiaTheme="minorEastAsia"/>
          <w:szCs w:val="21"/>
        </w:rPr>
        <w:t>义务是</w:t>
      </w:r>
      <w:r w:rsidRPr="00BF42B7">
        <w:rPr>
          <w:rFonts w:eastAsiaTheme="minorEastAsia" w:hint="eastAsia"/>
          <w:szCs w:val="21"/>
        </w:rPr>
        <w:t>“</w:t>
      </w:r>
      <w:r w:rsidRPr="00BF42B7">
        <w:rPr>
          <w:rFonts w:eastAsiaTheme="minorEastAsia"/>
          <w:szCs w:val="21"/>
        </w:rPr>
        <w:t>减少灾害风险</w:t>
      </w:r>
      <w:r w:rsidRPr="00BF42B7">
        <w:rPr>
          <w:rFonts w:eastAsiaTheme="minorEastAsia" w:hint="eastAsia"/>
          <w:szCs w:val="21"/>
        </w:rPr>
        <w:t>”</w:t>
      </w:r>
      <w:r w:rsidRPr="00BF42B7">
        <w:rPr>
          <w:rFonts w:eastAsiaTheme="minorEastAsia"/>
          <w:szCs w:val="21"/>
        </w:rPr>
        <w:t>。委员会采纳了本用语，以承认数个主要宣言</w:t>
      </w:r>
      <w:r w:rsidRPr="00BF42B7">
        <w:rPr>
          <w:rFonts w:eastAsiaTheme="minorEastAsia" w:hint="eastAsia"/>
          <w:szCs w:val="21"/>
        </w:rPr>
        <w:t>尤其是最近</w:t>
      </w:r>
      <w:r w:rsidRPr="00BF42B7">
        <w:rPr>
          <w:rFonts w:eastAsiaTheme="minorEastAsia"/>
          <w:szCs w:val="21"/>
        </w:rPr>
        <w:t>的《</w:t>
      </w:r>
      <w:r w:rsidRPr="00BF42B7">
        <w:rPr>
          <w:rFonts w:eastAsiaTheme="minorEastAsia" w:hint="eastAsia"/>
          <w:szCs w:val="21"/>
        </w:rPr>
        <w:t>仙台框架</w:t>
      </w:r>
      <w:r w:rsidRPr="00BF42B7">
        <w:rPr>
          <w:rFonts w:eastAsiaTheme="minorEastAsia"/>
          <w:szCs w:val="21"/>
        </w:rPr>
        <w:t>》</w:t>
      </w:r>
      <w:r w:rsidRPr="00BF42B7">
        <w:rPr>
          <w:rFonts w:eastAsiaTheme="minorEastAsia" w:hint="eastAsia"/>
          <w:szCs w:val="21"/>
        </w:rPr>
        <w:t>所</w:t>
      </w:r>
      <w:r w:rsidRPr="00BF42B7">
        <w:rPr>
          <w:rFonts w:eastAsiaTheme="minorEastAsia"/>
          <w:szCs w:val="21"/>
        </w:rPr>
        <w:t>体现的当代国际社会观点，即重点应是减少危险因素造成损害的风险，</w:t>
      </w:r>
      <w:r w:rsidRPr="00BF42B7">
        <w:rPr>
          <w:rFonts w:eastAsiaTheme="minorEastAsia" w:hint="eastAsia"/>
          <w:szCs w:val="21"/>
        </w:rPr>
        <w:t>这</w:t>
      </w:r>
      <w:r w:rsidRPr="00BF42B7">
        <w:rPr>
          <w:rFonts w:eastAsiaTheme="minorEastAsia"/>
          <w:szCs w:val="21"/>
        </w:rPr>
        <w:t>有别于防止</w:t>
      </w:r>
      <w:r w:rsidRPr="00BF42B7">
        <w:rPr>
          <w:rFonts w:eastAsiaTheme="minorEastAsia" w:hint="eastAsia"/>
          <w:szCs w:val="21"/>
        </w:rPr>
        <w:t>和管理</w:t>
      </w:r>
      <w:r w:rsidRPr="00BF42B7">
        <w:rPr>
          <w:rFonts w:eastAsiaTheme="minorEastAsia"/>
          <w:szCs w:val="21"/>
        </w:rPr>
        <w:t>灾害本身。因此，第</w:t>
      </w:r>
      <w:r w:rsidRPr="00BF42B7">
        <w:rPr>
          <w:rFonts w:eastAsiaTheme="minorEastAsia"/>
          <w:szCs w:val="21"/>
        </w:rPr>
        <w:t>1</w:t>
      </w:r>
      <w:r w:rsidRPr="00BF42B7">
        <w:rPr>
          <w:rFonts w:eastAsiaTheme="minorEastAsia"/>
          <w:szCs w:val="21"/>
        </w:rPr>
        <w:t>款的重点是减少灾害风险。实现这一点就要采取</w:t>
      </w:r>
      <w:r w:rsidRPr="00BF42B7">
        <w:rPr>
          <w:rFonts w:eastAsiaTheme="minorEastAsia" w:hint="eastAsia"/>
          <w:szCs w:val="21"/>
        </w:rPr>
        <w:t>某些</w:t>
      </w:r>
      <w:r w:rsidRPr="00BF42B7">
        <w:rPr>
          <w:rFonts w:eastAsiaTheme="minorEastAsia"/>
          <w:szCs w:val="21"/>
        </w:rPr>
        <w:t>防灾、减灾和备灾</w:t>
      </w:r>
      <w:r w:rsidRPr="00BF42B7">
        <w:rPr>
          <w:rFonts w:eastAsiaTheme="minorEastAsia" w:hint="eastAsia"/>
          <w:szCs w:val="21"/>
        </w:rPr>
        <w:t>措施</w:t>
      </w:r>
      <w:r w:rsidRPr="00BF42B7">
        <w:rPr>
          <w:rFonts w:eastAsiaTheme="minorEastAsia"/>
          <w:szCs w:val="21"/>
        </w:rPr>
        <w:t>。</w:t>
      </w:r>
      <w:r w:rsidRPr="00BF42B7">
        <w:rPr>
          <w:rFonts w:eastAsiaTheme="minorEastAsia" w:hint="eastAsia"/>
          <w:szCs w:val="21"/>
        </w:rPr>
        <w:t>设想的义务是行为义务而不是结果义务；换句话说，不是完全防止或减少灾害的义务，而是减少可能引起的损害风险的义务。</w:t>
      </w:r>
    </w:p>
    <w:p w:rsidR="00765E0D" w:rsidRPr="00BF42B7" w:rsidRDefault="00765E0D" w:rsidP="00765E0D">
      <w:pPr>
        <w:pStyle w:val="SingleTxtGC"/>
        <w:rPr>
          <w:rFonts w:eastAsiaTheme="minorEastAsia"/>
          <w:szCs w:val="21"/>
        </w:rPr>
      </w:pPr>
      <w:r w:rsidRPr="00BF42B7">
        <w:rPr>
          <w:rFonts w:eastAsiaTheme="minorEastAsia"/>
          <w:szCs w:val="21"/>
        </w:rPr>
        <w:t xml:space="preserve">(11)  </w:t>
      </w:r>
      <w:r w:rsidRPr="00BF42B7">
        <w:rPr>
          <w:rFonts w:eastAsiaTheme="minorEastAsia" w:hint="eastAsia"/>
          <w:szCs w:val="21"/>
        </w:rPr>
        <w:t>“</w:t>
      </w:r>
      <w:r w:rsidRPr="00BF42B7">
        <w:rPr>
          <w:rFonts w:eastAsiaTheme="minorEastAsia"/>
          <w:szCs w:val="21"/>
        </w:rPr>
        <w:t>采取适当的</w:t>
      </w:r>
      <w:r w:rsidRPr="00BF42B7">
        <w:rPr>
          <w:rFonts w:eastAsiaTheme="minorEastAsia" w:hint="eastAsia"/>
          <w:szCs w:val="21"/>
          <w:lang w:val="fr-CH"/>
        </w:rPr>
        <w:t>……</w:t>
      </w:r>
      <w:r w:rsidRPr="00BF42B7">
        <w:rPr>
          <w:rFonts w:eastAsiaTheme="minorEastAsia"/>
          <w:szCs w:val="21"/>
        </w:rPr>
        <w:t>措施</w:t>
      </w:r>
      <w:r w:rsidRPr="00BF42B7">
        <w:rPr>
          <w:rFonts w:eastAsiaTheme="minorEastAsia" w:hint="eastAsia"/>
          <w:szCs w:val="21"/>
        </w:rPr>
        <w:t>”一语</w:t>
      </w:r>
      <w:r w:rsidRPr="00BF42B7">
        <w:rPr>
          <w:rFonts w:eastAsiaTheme="minorEastAsia"/>
          <w:szCs w:val="21"/>
        </w:rPr>
        <w:t>指出所要求的具体行为。除下文第</w:t>
      </w:r>
      <w:r w:rsidRPr="00BF42B7">
        <w:rPr>
          <w:rFonts w:eastAsiaTheme="minorEastAsia"/>
          <w:szCs w:val="21"/>
        </w:rPr>
        <w:t>(13)</w:t>
      </w:r>
      <w:r w:rsidRPr="00BF42B7">
        <w:rPr>
          <w:rFonts w:eastAsiaTheme="minorEastAsia"/>
          <w:szCs w:val="21"/>
        </w:rPr>
        <w:t>段对法律和规章的进一步解释外，以</w:t>
      </w:r>
      <w:r w:rsidRPr="00BF42B7">
        <w:rPr>
          <w:rFonts w:eastAsiaTheme="minorEastAsia" w:hint="eastAsia"/>
          <w:szCs w:val="21"/>
        </w:rPr>
        <w:t>“</w:t>
      </w:r>
      <w:r w:rsidRPr="00BF42B7">
        <w:rPr>
          <w:rFonts w:eastAsiaTheme="minorEastAsia"/>
          <w:szCs w:val="21"/>
        </w:rPr>
        <w:t>适当</w:t>
      </w:r>
      <w:r w:rsidRPr="00BF42B7">
        <w:rPr>
          <w:rFonts w:eastAsiaTheme="minorEastAsia" w:hint="eastAsia"/>
          <w:szCs w:val="21"/>
        </w:rPr>
        <w:t>”</w:t>
      </w:r>
      <w:r w:rsidRPr="00BF42B7">
        <w:rPr>
          <w:rFonts w:eastAsiaTheme="minorEastAsia"/>
          <w:szCs w:val="21"/>
        </w:rPr>
        <w:t>这个词来界定应采取的</w:t>
      </w:r>
      <w:r w:rsidRPr="00BF42B7">
        <w:rPr>
          <w:rFonts w:eastAsiaTheme="minorEastAsia" w:hint="eastAsia"/>
          <w:szCs w:val="21"/>
        </w:rPr>
        <w:t>“</w:t>
      </w:r>
      <w:r w:rsidRPr="00BF42B7">
        <w:rPr>
          <w:rFonts w:eastAsiaTheme="minorEastAsia"/>
          <w:szCs w:val="21"/>
        </w:rPr>
        <w:t>措施</w:t>
      </w:r>
      <w:r w:rsidRPr="00BF42B7">
        <w:rPr>
          <w:rFonts w:eastAsiaTheme="minorEastAsia" w:hint="eastAsia"/>
          <w:szCs w:val="21"/>
        </w:rPr>
        <w:t>”，是</w:t>
      </w:r>
      <w:r w:rsidRPr="00BF42B7">
        <w:rPr>
          <w:rFonts w:eastAsiaTheme="minorEastAsia"/>
          <w:szCs w:val="21"/>
        </w:rPr>
        <w:t>普遍的做法。</w:t>
      </w:r>
      <w:r w:rsidRPr="00BF42B7">
        <w:rPr>
          <w:rFonts w:eastAsiaTheme="minorEastAsia" w:hint="eastAsia"/>
          <w:szCs w:val="21"/>
        </w:rPr>
        <w:t>因此，使用“</w:t>
      </w:r>
      <w:r w:rsidRPr="00BF42B7">
        <w:rPr>
          <w:rFonts w:eastAsiaTheme="minorEastAsia"/>
          <w:szCs w:val="21"/>
        </w:rPr>
        <w:t>适当</w:t>
      </w:r>
      <w:r w:rsidRPr="00BF42B7">
        <w:rPr>
          <w:rFonts w:eastAsiaTheme="minorEastAsia" w:hint="eastAsia"/>
          <w:szCs w:val="21"/>
        </w:rPr>
        <w:t>”在于</w:t>
      </w:r>
      <w:r w:rsidRPr="00BF42B7">
        <w:rPr>
          <w:rFonts w:eastAsiaTheme="minorEastAsia"/>
          <w:szCs w:val="21"/>
        </w:rPr>
        <w:t>指出所说的不是任何一般措施，而是专门和具体的防灾、减灾、备灾措施。在任何特定情况下，什么可能是</w:t>
      </w:r>
      <w:r w:rsidRPr="00BF42B7">
        <w:rPr>
          <w:rFonts w:eastAsiaTheme="minorEastAsia" w:hint="eastAsia"/>
          <w:szCs w:val="21"/>
        </w:rPr>
        <w:t>“</w:t>
      </w:r>
      <w:r w:rsidRPr="00BF42B7">
        <w:rPr>
          <w:rFonts w:eastAsiaTheme="minorEastAsia"/>
          <w:szCs w:val="21"/>
        </w:rPr>
        <w:t>适当</w:t>
      </w:r>
      <w:r w:rsidRPr="00BF42B7">
        <w:rPr>
          <w:rFonts w:eastAsiaTheme="minorEastAsia" w:hint="eastAsia"/>
          <w:szCs w:val="21"/>
        </w:rPr>
        <w:t>”</w:t>
      </w:r>
      <w:r w:rsidRPr="00BF42B7">
        <w:rPr>
          <w:rFonts w:eastAsiaTheme="minorEastAsia"/>
          <w:szCs w:val="21"/>
        </w:rPr>
        <w:t>的，将按照应采取措施的既定目标来理解，即</w:t>
      </w:r>
      <w:r w:rsidRPr="00BF42B7">
        <w:rPr>
          <w:rFonts w:eastAsiaTheme="minorEastAsia" w:hint="eastAsia"/>
          <w:szCs w:val="21"/>
        </w:rPr>
        <w:t>“</w:t>
      </w:r>
      <w:r w:rsidRPr="00BF42B7">
        <w:rPr>
          <w:rFonts w:eastAsiaTheme="minorEastAsia"/>
          <w:szCs w:val="21"/>
        </w:rPr>
        <w:t>防灾、减灾和备灾</w:t>
      </w:r>
      <w:r w:rsidRPr="00BF42B7">
        <w:rPr>
          <w:rFonts w:eastAsiaTheme="minorEastAsia" w:hint="eastAsia"/>
          <w:szCs w:val="21"/>
        </w:rPr>
        <w:t>”</w:t>
      </w:r>
      <w:r w:rsidRPr="00BF42B7">
        <w:rPr>
          <w:rFonts w:eastAsiaTheme="minorEastAsia"/>
          <w:szCs w:val="21"/>
        </w:rPr>
        <w:t>以减少风险。如上文第</w:t>
      </w:r>
      <w:r w:rsidRPr="00BF42B7">
        <w:rPr>
          <w:rFonts w:eastAsiaTheme="minorEastAsia"/>
          <w:szCs w:val="21"/>
        </w:rPr>
        <w:t>(</w:t>
      </w:r>
      <w:r w:rsidRPr="00BF42B7">
        <w:rPr>
          <w:rFonts w:eastAsiaTheme="minorEastAsia" w:hint="eastAsia"/>
          <w:szCs w:val="21"/>
        </w:rPr>
        <w:t>9</w:t>
      </w:r>
      <w:r w:rsidRPr="00BF42B7">
        <w:rPr>
          <w:rFonts w:eastAsiaTheme="minorEastAsia"/>
          <w:szCs w:val="21"/>
        </w:rPr>
        <w:t>)</w:t>
      </w:r>
      <w:r w:rsidRPr="00BF42B7">
        <w:rPr>
          <w:rFonts w:eastAsiaTheme="minorEastAsia"/>
          <w:szCs w:val="21"/>
        </w:rPr>
        <w:t>段指出的，这应在有关国家现有能力和可用资源的更广泛背景下进行评估。</w:t>
      </w:r>
      <w:r w:rsidRPr="00BF42B7">
        <w:rPr>
          <w:rStyle w:val="shorttext"/>
          <w:rFonts w:eastAsiaTheme="minorEastAsia" w:hint="eastAsia"/>
          <w:szCs w:val="21"/>
        </w:rPr>
        <w:t>因此，“采取适当的措施”的提法是为了说明义务的相对性。</w:t>
      </w:r>
      <w:r w:rsidRPr="00BF42B7">
        <w:rPr>
          <w:rFonts w:eastAsiaTheme="minorEastAsia"/>
          <w:szCs w:val="21"/>
        </w:rPr>
        <w:t>尽职的基本要求是</w:t>
      </w:r>
      <w:r w:rsidRPr="00BF42B7">
        <w:rPr>
          <w:rFonts w:eastAsiaTheme="minorEastAsia" w:hint="eastAsia"/>
          <w:szCs w:val="21"/>
        </w:rPr>
        <w:t>“</w:t>
      </w:r>
      <w:r w:rsidRPr="00BF42B7">
        <w:rPr>
          <w:rFonts w:eastAsiaTheme="minorEastAsia"/>
          <w:szCs w:val="21"/>
        </w:rPr>
        <w:t>适当</w:t>
      </w:r>
      <w:r w:rsidRPr="00BF42B7">
        <w:rPr>
          <w:rFonts w:eastAsiaTheme="minorEastAsia" w:hint="eastAsia"/>
          <w:szCs w:val="21"/>
        </w:rPr>
        <w:t>”</w:t>
      </w:r>
      <w:r w:rsidRPr="00BF42B7">
        <w:rPr>
          <w:rFonts w:eastAsiaTheme="minorEastAsia"/>
          <w:szCs w:val="21"/>
        </w:rPr>
        <w:t>概念</w:t>
      </w:r>
      <w:r w:rsidRPr="00BF42B7">
        <w:rPr>
          <w:rFonts w:eastAsiaTheme="minorEastAsia" w:hint="eastAsia"/>
          <w:szCs w:val="21"/>
        </w:rPr>
        <w:t>所</w:t>
      </w:r>
      <w:r w:rsidRPr="00BF42B7">
        <w:rPr>
          <w:rFonts w:eastAsiaTheme="minorEastAsia"/>
          <w:szCs w:val="21"/>
        </w:rPr>
        <w:t>固有的。因此，进一步理解是，这一措辞</w:t>
      </w:r>
      <w:r w:rsidRPr="00BF42B7">
        <w:rPr>
          <w:rFonts w:eastAsiaTheme="minorEastAsia" w:hint="eastAsia"/>
          <w:szCs w:val="21"/>
        </w:rPr>
        <w:t>也</w:t>
      </w:r>
      <w:r w:rsidRPr="00BF42B7">
        <w:rPr>
          <w:rFonts w:eastAsiaTheme="minorEastAsia"/>
          <w:szCs w:val="21"/>
        </w:rPr>
        <w:t>暗含着措施的成效问题。</w:t>
      </w:r>
    </w:p>
    <w:p w:rsidR="00765E0D" w:rsidRPr="00BF42B7" w:rsidRDefault="00765E0D" w:rsidP="00765E0D">
      <w:pPr>
        <w:pStyle w:val="SingleTxtGC"/>
        <w:rPr>
          <w:rFonts w:eastAsiaTheme="minorEastAsia"/>
          <w:szCs w:val="21"/>
        </w:rPr>
      </w:pPr>
      <w:r w:rsidRPr="00BF42B7">
        <w:rPr>
          <w:rFonts w:eastAsiaTheme="minorEastAsia"/>
          <w:szCs w:val="21"/>
        </w:rPr>
        <w:t xml:space="preserve">(12)  </w:t>
      </w:r>
      <w:r w:rsidRPr="00BF42B7">
        <w:rPr>
          <w:rFonts w:eastAsiaTheme="minorEastAsia" w:hint="eastAsia"/>
          <w:szCs w:val="21"/>
        </w:rPr>
        <w:t>借助于“</w:t>
      </w:r>
      <w:r w:rsidRPr="00BF42B7">
        <w:rPr>
          <w:rFonts w:eastAsiaTheme="minorEastAsia"/>
          <w:szCs w:val="21"/>
        </w:rPr>
        <w:t>包括</w:t>
      </w:r>
      <w:r w:rsidRPr="00BF42B7">
        <w:rPr>
          <w:rFonts w:eastAsiaTheme="minorEastAsia" w:hint="eastAsia"/>
          <w:szCs w:val="21"/>
        </w:rPr>
        <w:t>通过</w:t>
      </w:r>
      <w:r w:rsidRPr="00BF42B7">
        <w:rPr>
          <w:rFonts w:eastAsiaTheme="minorEastAsia"/>
          <w:szCs w:val="21"/>
        </w:rPr>
        <w:t>制订法律和规章</w:t>
      </w:r>
      <w:r w:rsidRPr="00BF42B7">
        <w:rPr>
          <w:rFonts w:eastAsiaTheme="minorEastAsia" w:hint="eastAsia"/>
          <w:szCs w:val="21"/>
        </w:rPr>
        <w:t>”</w:t>
      </w:r>
      <w:r w:rsidRPr="00BF42B7">
        <w:rPr>
          <w:rFonts w:eastAsiaTheme="minorEastAsia"/>
          <w:szCs w:val="21"/>
        </w:rPr>
        <w:t>这一短语，这一款指出</w:t>
      </w:r>
      <w:r w:rsidRPr="00BF42B7">
        <w:rPr>
          <w:rFonts w:eastAsiaTheme="minorEastAsia" w:hint="eastAsia"/>
          <w:szCs w:val="21"/>
        </w:rPr>
        <w:t>了</w:t>
      </w:r>
      <w:r w:rsidRPr="00BF42B7">
        <w:rPr>
          <w:rFonts w:eastAsiaTheme="minorEastAsia"/>
          <w:szCs w:val="21"/>
        </w:rPr>
        <w:t>应采取的相应措施的具体背景。预期的成果包括根据法律或规章框架而专门采取的一些具体措施。因此，对于仍然没有制订这类框架的国家，减少灾害风险的一般义务也包括制订这一法律框架</w:t>
      </w:r>
      <w:r w:rsidRPr="00BF42B7">
        <w:rPr>
          <w:rFonts w:eastAsiaTheme="minorEastAsia" w:hint="eastAsia"/>
          <w:szCs w:val="21"/>
        </w:rPr>
        <w:t>的义务</w:t>
      </w:r>
      <w:r w:rsidRPr="00BF42B7">
        <w:rPr>
          <w:rFonts w:eastAsiaTheme="minorEastAsia"/>
          <w:szCs w:val="21"/>
        </w:rPr>
        <w:t>，从而能够采取</w:t>
      </w:r>
      <w:r w:rsidRPr="00BF42B7">
        <w:rPr>
          <w:rFonts w:eastAsiaTheme="minorEastAsia" w:hint="eastAsia"/>
          <w:szCs w:val="21"/>
        </w:rPr>
        <w:t>“</w:t>
      </w:r>
      <w:r w:rsidRPr="00BF42B7">
        <w:rPr>
          <w:rFonts w:eastAsiaTheme="minorEastAsia"/>
          <w:szCs w:val="21"/>
        </w:rPr>
        <w:t>适当的</w:t>
      </w:r>
      <w:r w:rsidRPr="00BF42B7">
        <w:rPr>
          <w:rFonts w:eastAsiaTheme="minorEastAsia" w:hint="eastAsia"/>
          <w:szCs w:val="21"/>
        </w:rPr>
        <w:t>”</w:t>
      </w:r>
      <w:r w:rsidRPr="00BF42B7">
        <w:rPr>
          <w:rFonts w:eastAsiaTheme="minorEastAsia"/>
          <w:szCs w:val="21"/>
        </w:rPr>
        <w:t>措施。应在广义上理解</w:t>
      </w:r>
      <w:r w:rsidRPr="00BF42B7">
        <w:rPr>
          <w:rFonts w:eastAsiaTheme="minorEastAsia" w:hint="eastAsia"/>
          <w:szCs w:val="21"/>
        </w:rPr>
        <w:t>“</w:t>
      </w:r>
      <w:r w:rsidRPr="00BF42B7">
        <w:rPr>
          <w:rFonts w:eastAsiaTheme="minorEastAsia"/>
          <w:szCs w:val="21"/>
        </w:rPr>
        <w:t>法律和规章</w:t>
      </w:r>
      <w:r w:rsidRPr="00BF42B7">
        <w:rPr>
          <w:rFonts w:eastAsiaTheme="minorEastAsia" w:hint="eastAsia"/>
          <w:szCs w:val="21"/>
        </w:rPr>
        <w:t>”</w:t>
      </w:r>
      <w:r w:rsidRPr="00BF42B7">
        <w:rPr>
          <w:rFonts w:eastAsiaTheme="minorEastAsia"/>
          <w:szCs w:val="21"/>
        </w:rPr>
        <w:t>几字，以涵盖尽可能多的法律表现形式；普遍承认的一点是：这些基于法律的措施是</w:t>
      </w:r>
      <w:r w:rsidRPr="00BF42B7">
        <w:rPr>
          <w:rFonts w:eastAsiaTheme="minorEastAsia" w:hint="eastAsia"/>
          <w:szCs w:val="21"/>
        </w:rPr>
        <w:t>促进</w:t>
      </w:r>
      <w:r w:rsidRPr="00BF42B7">
        <w:rPr>
          <w:rFonts w:eastAsiaTheme="minorEastAsia"/>
          <w:szCs w:val="21"/>
        </w:rPr>
        <w:t>(</w:t>
      </w:r>
      <w:r w:rsidRPr="00BF42B7">
        <w:rPr>
          <w:rFonts w:eastAsiaTheme="minorEastAsia"/>
          <w:szCs w:val="21"/>
        </w:rPr>
        <w:t>因此有</w:t>
      </w:r>
      <w:r w:rsidRPr="00BF42B7">
        <w:rPr>
          <w:rFonts w:eastAsiaTheme="minorEastAsia" w:hint="eastAsia"/>
          <w:szCs w:val="21"/>
        </w:rPr>
        <w:t>“通过”</w:t>
      </w:r>
      <w:r w:rsidRPr="00BF42B7">
        <w:rPr>
          <w:rFonts w:eastAsiaTheme="minorEastAsia"/>
          <w:szCs w:val="21"/>
        </w:rPr>
        <w:t>一词</w:t>
      </w:r>
      <w:r w:rsidRPr="00BF42B7">
        <w:rPr>
          <w:rFonts w:eastAsiaTheme="minorEastAsia"/>
          <w:szCs w:val="21"/>
        </w:rPr>
        <w:t>)</w:t>
      </w:r>
      <w:r w:rsidRPr="00BF42B7">
        <w:rPr>
          <w:rFonts w:eastAsiaTheme="minorEastAsia"/>
          <w:szCs w:val="21"/>
        </w:rPr>
        <w:t>在国内一级采取减少灾害风险措施的最常见、最有效的方式。</w:t>
      </w:r>
    </w:p>
    <w:p w:rsidR="00765E0D" w:rsidRPr="00BF42B7" w:rsidRDefault="00765E0D" w:rsidP="00765E0D">
      <w:pPr>
        <w:pStyle w:val="SingleTxtGC"/>
        <w:rPr>
          <w:rFonts w:eastAsiaTheme="minorEastAsia"/>
          <w:szCs w:val="21"/>
        </w:rPr>
      </w:pPr>
      <w:r w:rsidRPr="00BF42B7">
        <w:rPr>
          <w:rFonts w:eastAsiaTheme="minorEastAsia"/>
          <w:szCs w:val="21"/>
        </w:rPr>
        <w:t xml:space="preserve">(13)  </w:t>
      </w:r>
      <w:r w:rsidRPr="00BF42B7">
        <w:rPr>
          <w:rFonts w:eastAsiaTheme="minorEastAsia"/>
          <w:szCs w:val="21"/>
        </w:rPr>
        <w:t>限定词</w:t>
      </w:r>
      <w:r w:rsidRPr="00BF42B7">
        <w:rPr>
          <w:rFonts w:eastAsiaTheme="minorEastAsia" w:hint="eastAsia"/>
          <w:szCs w:val="21"/>
        </w:rPr>
        <w:t>“</w:t>
      </w:r>
      <w:r w:rsidRPr="00BF42B7">
        <w:rPr>
          <w:rFonts w:eastAsiaTheme="minorEastAsia"/>
          <w:szCs w:val="21"/>
        </w:rPr>
        <w:t>包括</w:t>
      </w:r>
      <w:r w:rsidRPr="00BF42B7">
        <w:rPr>
          <w:rFonts w:eastAsiaTheme="minorEastAsia" w:hint="eastAsia"/>
          <w:szCs w:val="21"/>
        </w:rPr>
        <w:t>”</w:t>
      </w:r>
      <w:r w:rsidRPr="00BF42B7">
        <w:rPr>
          <w:rFonts w:eastAsiaTheme="minorEastAsia"/>
          <w:szCs w:val="21"/>
        </w:rPr>
        <w:t>表明，尽管</w:t>
      </w:r>
      <w:r w:rsidRPr="00BF42B7">
        <w:rPr>
          <w:rFonts w:eastAsiaTheme="minorEastAsia" w:hint="eastAsia"/>
          <w:szCs w:val="21"/>
        </w:rPr>
        <w:t>“</w:t>
      </w:r>
      <w:r w:rsidRPr="00BF42B7">
        <w:rPr>
          <w:rFonts w:eastAsiaTheme="minorEastAsia"/>
          <w:szCs w:val="21"/>
        </w:rPr>
        <w:t>法律和规章</w:t>
      </w:r>
      <w:r w:rsidRPr="00BF42B7">
        <w:rPr>
          <w:rFonts w:eastAsiaTheme="minorEastAsia" w:hint="eastAsia"/>
          <w:szCs w:val="21"/>
        </w:rPr>
        <w:t>”</w:t>
      </w:r>
      <w:r w:rsidRPr="00BF42B7">
        <w:rPr>
          <w:rFonts w:eastAsiaTheme="minorEastAsia"/>
          <w:szCs w:val="21"/>
        </w:rPr>
        <w:t>可能是主要的方法，但还可能有其他可以据之采取这些措施的安排。选择</w:t>
      </w:r>
      <w:r w:rsidRPr="00BF42B7">
        <w:rPr>
          <w:rFonts w:eastAsiaTheme="minorEastAsia" w:hint="eastAsia"/>
          <w:szCs w:val="21"/>
        </w:rPr>
        <w:t>“</w:t>
      </w:r>
      <w:r w:rsidRPr="00BF42B7">
        <w:rPr>
          <w:rFonts w:eastAsiaTheme="minorEastAsia"/>
          <w:szCs w:val="21"/>
        </w:rPr>
        <w:t>包括</w:t>
      </w:r>
      <w:r w:rsidRPr="00BF42B7">
        <w:rPr>
          <w:rFonts w:eastAsiaTheme="minorEastAsia" w:hint="eastAsia"/>
          <w:szCs w:val="21"/>
        </w:rPr>
        <w:t>”</w:t>
      </w:r>
      <w:r w:rsidRPr="00BF42B7">
        <w:rPr>
          <w:rFonts w:eastAsiaTheme="minorEastAsia"/>
          <w:szCs w:val="21"/>
        </w:rPr>
        <w:t>一词，以避免解释为始终要求通过和执行具体的法律和规章。这将允许每一国有</w:t>
      </w:r>
      <w:r w:rsidRPr="00BF42B7">
        <w:rPr>
          <w:rFonts w:eastAsiaTheme="minorEastAsia" w:hint="eastAsia"/>
          <w:szCs w:val="21"/>
        </w:rPr>
        <w:t>一定的自由裁量权</w:t>
      </w:r>
      <w:r w:rsidRPr="00BF42B7">
        <w:rPr>
          <w:rFonts w:eastAsiaTheme="minorEastAsia"/>
          <w:szCs w:val="21"/>
        </w:rPr>
        <w:t>来决定适用的法律框架；</w:t>
      </w:r>
      <w:r w:rsidRPr="00BF42B7">
        <w:rPr>
          <w:rFonts w:eastAsiaTheme="minorEastAsia" w:hint="eastAsia"/>
          <w:szCs w:val="21"/>
        </w:rPr>
        <w:t>同时有一项</w:t>
      </w:r>
      <w:r w:rsidRPr="00BF42B7">
        <w:rPr>
          <w:rFonts w:eastAsiaTheme="minorEastAsia"/>
          <w:szCs w:val="21"/>
        </w:rPr>
        <w:t>理解是：具有一个预期采取</w:t>
      </w:r>
      <w:r w:rsidRPr="00BF42B7">
        <w:rPr>
          <w:rFonts w:eastAsiaTheme="minorEastAsia" w:hint="eastAsia"/>
          <w:szCs w:val="21"/>
        </w:rPr>
        <w:t>“</w:t>
      </w:r>
      <w:r w:rsidRPr="00BF42B7">
        <w:rPr>
          <w:rFonts w:eastAsiaTheme="minorEastAsia"/>
          <w:szCs w:val="21"/>
        </w:rPr>
        <w:t>适当的措施</w:t>
      </w:r>
      <w:r w:rsidRPr="00BF42B7">
        <w:rPr>
          <w:rFonts w:eastAsiaTheme="minorEastAsia" w:hint="eastAsia"/>
          <w:szCs w:val="21"/>
        </w:rPr>
        <w:t>”</w:t>
      </w:r>
      <w:r w:rsidRPr="00BF42B7">
        <w:rPr>
          <w:rFonts w:eastAsiaTheme="minorEastAsia"/>
          <w:szCs w:val="21"/>
        </w:rPr>
        <w:t>的法律框架，是减少灾害风险的一个必要条件。</w:t>
      </w:r>
    </w:p>
    <w:p w:rsidR="00765E0D" w:rsidRPr="00BF42B7" w:rsidRDefault="00765E0D" w:rsidP="00765E0D">
      <w:pPr>
        <w:pStyle w:val="SingleTxtGC"/>
        <w:rPr>
          <w:rFonts w:eastAsiaTheme="minorEastAsia"/>
          <w:szCs w:val="21"/>
        </w:rPr>
      </w:pPr>
      <w:r w:rsidRPr="00BF42B7">
        <w:rPr>
          <w:rFonts w:eastAsiaTheme="minorEastAsia"/>
          <w:szCs w:val="21"/>
        </w:rPr>
        <w:t xml:space="preserve">(14)  </w:t>
      </w:r>
      <w:r w:rsidRPr="00BF42B7">
        <w:rPr>
          <w:rFonts w:eastAsiaTheme="minorEastAsia" w:hint="eastAsia"/>
          <w:szCs w:val="21"/>
        </w:rPr>
        <w:t>“通过</w:t>
      </w:r>
      <w:r w:rsidRPr="00BF42B7">
        <w:rPr>
          <w:rFonts w:eastAsiaTheme="minorEastAsia"/>
          <w:szCs w:val="21"/>
        </w:rPr>
        <w:t>制定法律和规章</w:t>
      </w:r>
      <w:r w:rsidRPr="00BF42B7">
        <w:rPr>
          <w:rFonts w:eastAsiaTheme="minorEastAsia" w:hint="eastAsia"/>
          <w:szCs w:val="21"/>
        </w:rPr>
        <w:t>”</w:t>
      </w:r>
      <w:r w:rsidRPr="00BF42B7">
        <w:rPr>
          <w:rFonts w:eastAsiaTheme="minorEastAsia"/>
          <w:szCs w:val="21"/>
        </w:rPr>
        <w:t>这一短语意味着需确保在国内法律制度中界定执行机制和针对不执行的问责制。这类问题虽然重要，但不是减少灾害风险领域</w:t>
      </w:r>
      <w:r w:rsidRPr="00BF42B7">
        <w:rPr>
          <w:rFonts w:eastAsiaTheme="minorEastAsia" w:hint="eastAsia"/>
          <w:szCs w:val="21"/>
        </w:rPr>
        <w:t>的</w:t>
      </w:r>
      <w:r w:rsidRPr="00BF42B7">
        <w:rPr>
          <w:rFonts w:eastAsiaTheme="minorEastAsia"/>
          <w:szCs w:val="21"/>
        </w:rPr>
        <w:t>法律和规章可</w:t>
      </w:r>
      <w:r w:rsidRPr="00BF42B7">
        <w:rPr>
          <w:rFonts w:eastAsiaTheme="minorEastAsia" w:hint="eastAsia"/>
          <w:szCs w:val="21"/>
        </w:rPr>
        <w:t>处理</w:t>
      </w:r>
      <w:r w:rsidRPr="00BF42B7">
        <w:rPr>
          <w:rFonts w:eastAsiaTheme="minorEastAsia"/>
          <w:szCs w:val="21"/>
        </w:rPr>
        <w:t>的唯一内容。</w:t>
      </w:r>
    </w:p>
    <w:p w:rsidR="00765E0D" w:rsidRPr="00BF42B7" w:rsidRDefault="00765E0D" w:rsidP="00765E0D">
      <w:pPr>
        <w:pStyle w:val="SingleTxtGC"/>
        <w:rPr>
          <w:rFonts w:eastAsiaTheme="minorEastAsia"/>
          <w:szCs w:val="21"/>
        </w:rPr>
      </w:pPr>
      <w:r w:rsidRPr="00BF42B7">
        <w:rPr>
          <w:rFonts w:eastAsiaTheme="minorEastAsia"/>
          <w:szCs w:val="21"/>
        </w:rPr>
        <w:t xml:space="preserve">(15)  </w:t>
      </w:r>
      <w:r w:rsidRPr="00BF42B7">
        <w:rPr>
          <w:rFonts w:eastAsiaTheme="minorEastAsia" w:hint="eastAsia"/>
          <w:szCs w:val="21"/>
        </w:rPr>
        <w:t>“</w:t>
      </w:r>
      <w:r w:rsidRPr="00BF42B7">
        <w:rPr>
          <w:rFonts w:eastAsiaTheme="minorEastAsia"/>
          <w:szCs w:val="21"/>
        </w:rPr>
        <w:t>防灾、减灾和备灾</w:t>
      </w:r>
      <w:r w:rsidRPr="00BF42B7">
        <w:rPr>
          <w:rFonts w:eastAsiaTheme="minorEastAsia" w:hint="eastAsia"/>
          <w:szCs w:val="21"/>
        </w:rPr>
        <w:t>”这一短语</w:t>
      </w:r>
      <w:r w:rsidRPr="00BF42B7">
        <w:rPr>
          <w:rFonts w:eastAsiaTheme="minorEastAsia"/>
          <w:szCs w:val="21"/>
        </w:rPr>
        <w:t>用于说明国家在灾前阶段应采取的</w:t>
      </w:r>
      <w:r w:rsidRPr="00BF42B7">
        <w:rPr>
          <w:rStyle w:val="shorttext"/>
          <w:rFonts w:eastAsiaTheme="minorEastAsia" w:hint="eastAsia"/>
          <w:szCs w:val="21"/>
        </w:rPr>
        <w:t>解决风险、脆弱性和危害特点的“适当”措施的目的，这些措施最</w:t>
      </w:r>
      <w:r w:rsidRPr="00BF42B7">
        <w:rPr>
          <w:rFonts w:eastAsiaTheme="minorEastAsia"/>
          <w:szCs w:val="21"/>
        </w:rPr>
        <w:t>终目标是减少灾害风险。这句话沿循了减少灾害风险主要文书使用的措辞。委员会认识到的一个事实是：采用不同措辞可能会导致对</w:t>
      </w:r>
      <w:r w:rsidRPr="00BF42B7">
        <w:rPr>
          <w:rFonts w:eastAsiaTheme="minorEastAsia" w:hint="eastAsia"/>
          <w:szCs w:val="21"/>
        </w:rPr>
        <w:t>本</w:t>
      </w:r>
      <w:r w:rsidRPr="00BF42B7">
        <w:rPr>
          <w:rFonts w:eastAsiaTheme="minorEastAsia"/>
          <w:szCs w:val="21"/>
        </w:rPr>
        <w:t>条草案所设想</w:t>
      </w:r>
      <w:r w:rsidRPr="00BF42B7">
        <w:rPr>
          <w:rFonts w:eastAsiaTheme="minorEastAsia" w:hint="eastAsia"/>
          <w:szCs w:val="21"/>
        </w:rPr>
        <w:t>的</w:t>
      </w:r>
      <w:r w:rsidRPr="00BF42B7">
        <w:rPr>
          <w:rFonts w:eastAsiaTheme="minorEastAsia"/>
          <w:szCs w:val="21"/>
        </w:rPr>
        <w:t>活动类别出现意想不到的相反解释。</w:t>
      </w:r>
      <w:r w:rsidRPr="00BF42B7">
        <w:rPr>
          <w:rStyle w:val="shorttext"/>
          <w:rFonts w:eastAsiaTheme="minorEastAsia" w:hint="eastAsia"/>
          <w:szCs w:val="21"/>
        </w:rPr>
        <w:t>此外，委员会认为，这一条款也将涉及《仙台框架》关于预防新的风险和减少现有风险，从而增加抗灾能力的要求。</w:t>
      </w:r>
    </w:p>
    <w:p w:rsidR="00765E0D" w:rsidRPr="00BF42B7" w:rsidRDefault="00765E0D" w:rsidP="00765E0D">
      <w:pPr>
        <w:pStyle w:val="SingleTxtGC"/>
        <w:rPr>
          <w:rFonts w:eastAsiaTheme="minorEastAsia"/>
          <w:szCs w:val="21"/>
        </w:rPr>
      </w:pPr>
      <w:r w:rsidRPr="00BF42B7">
        <w:rPr>
          <w:rFonts w:eastAsiaTheme="minorEastAsia"/>
          <w:szCs w:val="21"/>
        </w:rPr>
        <w:t xml:space="preserve">(16)  </w:t>
      </w:r>
      <w:r w:rsidRPr="00BF42B7">
        <w:rPr>
          <w:rFonts w:eastAsiaTheme="minorEastAsia"/>
          <w:szCs w:val="21"/>
        </w:rPr>
        <w:t>联合国减灾署在</w:t>
      </w:r>
      <w:r w:rsidRPr="00BF42B7">
        <w:rPr>
          <w:rFonts w:eastAsiaTheme="minorEastAsia"/>
          <w:szCs w:val="21"/>
        </w:rPr>
        <w:t>2009</w:t>
      </w:r>
      <w:r w:rsidRPr="00BF42B7">
        <w:rPr>
          <w:rFonts w:eastAsiaTheme="minorEastAsia"/>
          <w:szCs w:val="21"/>
        </w:rPr>
        <w:t>年编写的《减少灾害风险词汇》</w:t>
      </w:r>
      <w:r w:rsidRPr="00BF42B7">
        <w:rPr>
          <w:rFonts w:eastAsiaTheme="minorEastAsia"/>
          <w:color w:val="0000FF"/>
          <w:szCs w:val="21"/>
          <w:vertAlign w:val="superscript"/>
        </w:rPr>
        <w:footnoteReference w:id="168"/>
      </w:r>
      <w:r w:rsidRPr="00BF42B7">
        <w:rPr>
          <w:rFonts w:eastAsiaTheme="minorEastAsia" w:hint="eastAsia"/>
          <w:szCs w:val="21"/>
        </w:rPr>
        <w:t xml:space="preserve"> </w:t>
      </w:r>
      <w:r w:rsidRPr="00BF42B7">
        <w:rPr>
          <w:rFonts w:eastAsiaTheme="minorEastAsia"/>
          <w:szCs w:val="21"/>
        </w:rPr>
        <w:t>说明</w:t>
      </w:r>
      <w:r w:rsidRPr="00BF42B7">
        <w:rPr>
          <w:rFonts w:eastAsiaTheme="minorEastAsia" w:hint="eastAsia"/>
          <w:szCs w:val="21"/>
        </w:rPr>
        <w:t>了</w:t>
      </w:r>
      <w:r w:rsidRPr="00BF42B7">
        <w:rPr>
          <w:rFonts w:eastAsiaTheme="minorEastAsia"/>
          <w:szCs w:val="21"/>
        </w:rPr>
        <w:t>防灾、减灾和备灾这三个用语各自的含义：</w:t>
      </w:r>
    </w:p>
    <w:p w:rsidR="00765E0D" w:rsidRPr="00BF42B7" w:rsidRDefault="00765E0D" w:rsidP="008972C0">
      <w:pPr>
        <w:pStyle w:val="SingleTxtGC"/>
        <w:ind w:left="1565"/>
        <w:rPr>
          <w:rFonts w:eastAsiaTheme="minorEastAsia"/>
          <w:szCs w:val="21"/>
        </w:rPr>
      </w:pPr>
      <w:r w:rsidRPr="00BF42B7">
        <w:rPr>
          <w:rFonts w:eastAsiaTheme="minorEastAsia" w:hint="eastAsia"/>
          <w:szCs w:val="21"/>
        </w:rPr>
        <w:t>“</w:t>
      </w:r>
      <w:r w:rsidRPr="00BF42B7">
        <w:rPr>
          <w:rFonts w:eastAsiaTheme="minorEastAsia"/>
          <w:szCs w:val="21"/>
        </w:rPr>
        <w:t>防灾是全面防止致灾因子和相关灾害的不利影响</w:t>
      </w:r>
      <w:r w:rsidRPr="00BF42B7">
        <w:rPr>
          <w:rFonts w:eastAsiaTheme="minorEastAsia" w:hint="eastAsia"/>
          <w:szCs w:val="21"/>
        </w:rPr>
        <w:t>……。</w:t>
      </w:r>
    </w:p>
    <w:p w:rsidR="00765E0D" w:rsidRPr="00BF42B7" w:rsidRDefault="00765E0D" w:rsidP="008972C0">
      <w:pPr>
        <w:pStyle w:val="SingleTxtGC"/>
        <w:ind w:left="1565"/>
        <w:rPr>
          <w:rFonts w:eastAsiaTheme="minorEastAsia"/>
          <w:spacing w:val="-4"/>
          <w:szCs w:val="21"/>
        </w:rPr>
      </w:pPr>
      <w:r w:rsidRPr="00BF42B7">
        <w:rPr>
          <w:rFonts w:eastAsiaTheme="minorEastAsia" w:hint="eastAsia"/>
          <w:spacing w:val="-4"/>
          <w:szCs w:val="21"/>
        </w:rPr>
        <w:t>“</w:t>
      </w:r>
      <w:r w:rsidRPr="00BF42B7">
        <w:rPr>
          <w:rFonts w:eastAsiaTheme="minorEastAsia" w:hint="eastAsia"/>
          <w:spacing w:val="-4"/>
          <w:szCs w:val="21"/>
          <w:lang w:val="fr-CH"/>
        </w:rPr>
        <w:t>……</w:t>
      </w:r>
      <w:r w:rsidRPr="00BF42B7">
        <w:rPr>
          <w:rFonts w:eastAsiaTheme="minorEastAsia"/>
          <w:spacing w:val="-4"/>
          <w:szCs w:val="21"/>
        </w:rPr>
        <w:t>预防或防灾表达的是通过事先采取行动，完全避免潜在不利影响的概念和意愿</w:t>
      </w:r>
      <w:r w:rsidRPr="00BF42B7">
        <w:rPr>
          <w:rFonts w:eastAsiaTheme="minorEastAsia" w:hint="eastAsia"/>
          <w:spacing w:val="-4"/>
          <w:szCs w:val="21"/>
        </w:rPr>
        <w:t>……。</w:t>
      </w:r>
      <w:r w:rsidRPr="00BF42B7">
        <w:rPr>
          <w:rFonts w:eastAsiaTheme="minorEastAsia"/>
          <w:spacing w:val="-4"/>
          <w:szCs w:val="21"/>
        </w:rPr>
        <w:t>很多情况下，完全避免损失是不可能的，所以防灾任务转变成了减灾任务。部分是这个原因，有时防灾和减灾术语被不经意地交替使用</w:t>
      </w:r>
      <w:r w:rsidRPr="00BF42B7">
        <w:rPr>
          <w:rFonts w:eastAsiaTheme="minorEastAsia" w:hint="eastAsia"/>
          <w:spacing w:val="-4"/>
          <w:szCs w:val="21"/>
        </w:rPr>
        <w:t>”。</w:t>
      </w:r>
    </w:p>
    <w:p w:rsidR="00765E0D" w:rsidRPr="00BF42B7" w:rsidRDefault="00765E0D" w:rsidP="008972C0">
      <w:pPr>
        <w:pStyle w:val="SingleTxtGC"/>
        <w:ind w:left="1565"/>
        <w:rPr>
          <w:rFonts w:eastAsiaTheme="minorEastAsia"/>
          <w:szCs w:val="21"/>
        </w:rPr>
      </w:pPr>
      <w:r w:rsidRPr="00BF42B7">
        <w:rPr>
          <w:rFonts w:eastAsiaTheme="minorEastAsia" w:hint="eastAsia"/>
          <w:szCs w:val="21"/>
        </w:rPr>
        <w:t>“</w:t>
      </w:r>
      <w:r w:rsidRPr="00BF42B7">
        <w:rPr>
          <w:rFonts w:eastAsiaTheme="minorEastAsia"/>
          <w:szCs w:val="21"/>
        </w:rPr>
        <w:t>减灾是</w:t>
      </w:r>
      <w:r w:rsidRPr="00BF42B7">
        <w:rPr>
          <w:rFonts w:eastAsiaTheme="minorEastAsia" w:hint="eastAsia"/>
          <w:szCs w:val="21"/>
        </w:rPr>
        <w:t>‘</w:t>
      </w:r>
      <w:r w:rsidRPr="00BF42B7">
        <w:rPr>
          <w:rFonts w:eastAsiaTheme="minorEastAsia"/>
          <w:szCs w:val="21"/>
        </w:rPr>
        <w:t>减轻或限制致灾因子和相关灾害的不利影响</w:t>
      </w:r>
      <w:r w:rsidRPr="00BF42B7">
        <w:rPr>
          <w:rFonts w:eastAsiaTheme="minorEastAsia" w:hint="eastAsia"/>
          <w:szCs w:val="21"/>
        </w:rPr>
        <w:t>，</w:t>
      </w:r>
    </w:p>
    <w:p w:rsidR="00765E0D" w:rsidRPr="00BF42B7" w:rsidRDefault="00765E0D" w:rsidP="008972C0">
      <w:pPr>
        <w:pStyle w:val="SingleTxtGC"/>
        <w:ind w:left="1565"/>
        <w:rPr>
          <w:rFonts w:eastAsiaTheme="minorEastAsia"/>
          <w:szCs w:val="21"/>
        </w:rPr>
      </w:pPr>
      <w:r w:rsidRPr="00BF42B7">
        <w:rPr>
          <w:rFonts w:eastAsiaTheme="minorEastAsia" w:hint="eastAsia"/>
          <w:szCs w:val="21"/>
        </w:rPr>
        <w:t>“</w:t>
      </w:r>
      <w:r w:rsidRPr="00BF42B7">
        <w:rPr>
          <w:rFonts w:eastAsiaTheme="minorEastAsia" w:hint="eastAsia"/>
          <w:szCs w:val="21"/>
          <w:lang w:val="fr-CH"/>
        </w:rPr>
        <w:t>……</w:t>
      </w:r>
      <w:r w:rsidRPr="00BF42B7">
        <w:rPr>
          <w:rFonts w:eastAsiaTheme="minorEastAsia"/>
          <w:szCs w:val="21"/>
        </w:rPr>
        <w:t>致灾因子的不利影响通常无法完全避免，但可以通过各种战略和行动切实地减轻它们的规模或危害程度。</w:t>
      </w:r>
      <w:r w:rsidRPr="00BF42B7">
        <w:rPr>
          <w:rFonts w:eastAsiaTheme="minorEastAsia" w:hint="eastAsia"/>
          <w:szCs w:val="21"/>
        </w:rPr>
        <w:t>……</w:t>
      </w:r>
      <w:r w:rsidRPr="00BF42B7">
        <w:rPr>
          <w:rFonts w:eastAsiaTheme="minorEastAsia"/>
          <w:szCs w:val="21"/>
        </w:rPr>
        <w:t>应该注意在气候变化政策里</w:t>
      </w:r>
      <w:r w:rsidRPr="00BF42B7">
        <w:rPr>
          <w:rFonts w:eastAsiaTheme="minorEastAsia" w:hint="eastAsia"/>
          <w:szCs w:val="21"/>
        </w:rPr>
        <w:t>“</w:t>
      </w:r>
      <w:r w:rsidRPr="00BF42B7">
        <w:rPr>
          <w:rFonts w:eastAsiaTheme="minorEastAsia"/>
          <w:szCs w:val="21"/>
        </w:rPr>
        <w:t>减轻</w:t>
      </w:r>
      <w:r w:rsidRPr="00BF42B7">
        <w:rPr>
          <w:rFonts w:eastAsiaTheme="minorEastAsia" w:hint="eastAsia"/>
          <w:szCs w:val="21"/>
        </w:rPr>
        <w:t>”</w:t>
      </w:r>
      <w:r w:rsidRPr="00BF42B7">
        <w:rPr>
          <w:rFonts w:eastAsiaTheme="minorEastAsia"/>
          <w:szCs w:val="21"/>
        </w:rPr>
        <w:t>的表述不一样，</w:t>
      </w:r>
      <w:r w:rsidRPr="00BF42B7">
        <w:rPr>
          <w:rFonts w:eastAsiaTheme="minorEastAsia" w:hint="eastAsia"/>
          <w:szCs w:val="21"/>
        </w:rPr>
        <w:t>即</w:t>
      </w:r>
      <w:r w:rsidRPr="00BF42B7">
        <w:rPr>
          <w:rFonts w:eastAsiaTheme="minorEastAsia"/>
          <w:szCs w:val="21"/>
        </w:rPr>
        <w:t>减少作为气候变化根源的温室气体排放</w:t>
      </w:r>
      <w:r w:rsidRPr="00BF42B7">
        <w:rPr>
          <w:rFonts w:eastAsiaTheme="minorEastAsia" w:hint="eastAsia"/>
          <w:szCs w:val="21"/>
        </w:rPr>
        <w:t>”。</w:t>
      </w:r>
      <w:r w:rsidRPr="00BF42B7">
        <w:rPr>
          <w:rFonts w:eastAsiaTheme="minorEastAsia"/>
          <w:color w:val="0000FF"/>
          <w:szCs w:val="21"/>
          <w:vertAlign w:val="superscript"/>
        </w:rPr>
        <w:footnoteReference w:id="169"/>
      </w:r>
    </w:p>
    <w:p w:rsidR="00765E0D" w:rsidRPr="00BF42B7" w:rsidRDefault="00765E0D" w:rsidP="008972C0">
      <w:pPr>
        <w:pStyle w:val="SingleTxtGC"/>
        <w:ind w:left="1565"/>
        <w:rPr>
          <w:rFonts w:eastAsiaTheme="minorEastAsia"/>
          <w:szCs w:val="21"/>
        </w:rPr>
      </w:pPr>
      <w:r w:rsidRPr="00BF42B7">
        <w:rPr>
          <w:rFonts w:eastAsiaTheme="minorEastAsia" w:hint="eastAsia"/>
          <w:szCs w:val="21"/>
        </w:rPr>
        <w:t>“</w:t>
      </w:r>
      <w:r w:rsidRPr="00BF42B7">
        <w:rPr>
          <w:rFonts w:eastAsiaTheme="minorEastAsia"/>
          <w:szCs w:val="21"/>
        </w:rPr>
        <w:t>备灾是</w:t>
      </w:r>
      <w:r w:rsidRPr="00BF42B7">
        <w:rPr>
          <w:rFonts w:eastAsiaTheme="minorEastAsia" w:hint="eastAsia"/>
          <w:szCs w:val="21"/>
        </w:rPr>
        <w:t>‘</w:t>
      </w:r>
      <w:r w:rsidRPr="00BF42B7">
        <w:rPr>
          <w:rFonts w:eastAsiaTheme="minorEastAsia"/>
          <w:szCs w:val="21"/>
        </w:rPr>
        <w:t>由政府、专业灾害响应和恢复机构、社区和个人建立的知识和能力，对可能发生的、即将发生的、或已经发生的危险事件或条件，以及它们的影响进行有效的预见、应对和恢复</w:t>
      </w:r>
      <w:r w:rsidRPr="00BF42B7">
        <w:rPr>
          <w:rFonts w:eastAsiaTheme="minorEastAsia" w:hint="eastAsia"/>
          <w:szCs w:val="21"/>
        </w:rPr>
        <w:t>…</w:t>
      </w:r>
      <w:r w:rsidRPr="00BF42B7">
        <w:rPr>
          <w:rFonts w:eastAsiaTheme="minorEastAsia" w:hint="eastAsia"/>
          <w:szCs w:val="21"/>
          <w:lang w:val="fr-CH"/>
        </w:rPr>
        <w:t>…</w:t>
      </w:r>
      <w:r w:rsidRPr="00BF42B7">
        <w:rPr>
          <w:rFonts w:eastAsiaTheme="minorEastAsia" w:hint="eastAsia"/>
          <w:szCs w:val="21"/>
        </w:rPr>
        <w:t>。</w:t>
      </w:r>
    </w:p>
    <w:p w:rsidR="00765E0D" w:rsidRPr="00BF42B7" w:rsidRDefault="00765E0D" w:rsidP="008972C0">
      <w:pPr>
        <w:pStyle w:val="SingleTxtGC"/>
        <w:ind w:left="1565"/>
        <w:rPr>
          <w:rFonts w:eastAsiaTheme="minorEastAsia"/>
          <w:szCs w:val="21"/>
        </w:rPr>
      </w:pPr>
      <w:r w:rsidRPr="00BF42B7">
        <w:rPr>
          <w:rFonts w:eastAsiaTheme="minorEastAsia" w:hint="eastAsia"/>
          <w:szCs w:val="21"/>
        </w:rPr>
        <w:t>“</w:t>
      </w:r>
      <w:r w:rsidRPr="00BF42B7">
        <w:rPr>
          <w:rFonts w:eastAsiaTheme="minorEastAsia" w:hint="eastAsia"/>
          <w:szCs w:val="21"/>
          <w:lang w:val="fr-CH"/>
        </w:rPr>
        <w:t>……</w:t>
      </w:r>
      <w:r w:rsidRPr="00BF42B7">
        <w:rPr>
          <w:rFonts w:eastAsiaTheme="minorEastAsia"/>
          <w:szCs w:val="21"/>
        </w:rPr>
        <w:t>备灾行动是在整个灾害风险管理的范围内进行的，目的是建立有效管理所有突发事件的能力，实现有序地从灾害响应到稳固恢复的过渡。好的备灾基于对灾害风险的良好分析，与预警系统的良好衔接</w:t>
      </w:r>
      <w:r w:rsidRPr="00BF42B7">
        <w:rPr>
          <w:rFonts w:eastAsiaTheme="minorEastAsia" w:hint="eastAsia"/>
          <w:szCs w:val="21"/>
        </w:rPr>
        <w:t>……</w:t>
      </w:r>
      <w:r w:rsidRPr="00BF42B7">
        <w:rPr>
          <w:rFonts w:eastAsiaTheme="minorEastAsia"/>
          <w:szCs w:val="21"/>
        </w:rPr>
        <w:t>[</w:t>
      </w:r>
      <w:r w:rsidRPr="00BF42B7">
        <w:rPr>
          <w:rFonts w:eastAsiaTheme="minorEastAsia"/>
          <w:szCs w:val="21"/>
        </w:rPr>
        <w:t>应采取的措施</w:t>
      </w:r>
      <w:r w:rsidRPr="00BF42B7">
        <w:rPr>
          <w:rFonts w:eastAsiaTheme="minorEastAsia"/>
          <w:szCs w:val="21"/>
        </w:rPr>
        <w:t>]</w:t>
      </w:r>
      <w:r w:rsidRPr="00BF42B7">
        <w:rPr>
          <w:rFonts w:eastAsiaTheme="minorEastAsia"/>
          <w:szCs w:val="21"/>
        </w:rPr>
        <w:t>必须要有一个正规机构、相关法律和预算的支持</w:t>
      </w:r>
      <w:r w:rsidRPr="00BF42B7">
        <w:rPr>
          <w:rFonts w:eastAsiaTheme="minorEastAsia" w:hint="eastAsia"/>
          <w:szCs w:val="21"/>
        </w:rPr>
        <w:t>”。</w:t>
      </w:r>
    </w:p>
    <w:p w:rsidR="00765E0D" w:rsidRPr="00BF42B7" w:rsidRDefault="00765E0D" w:rsidP="00765E0D">
      <w:pPr>
        <w:pStyle w:val="SingleTxtGC"/>
        <w:rPr>
          <w:szCs w:val="21"/>
        </w:rPr>
      </w:pPr>
      <w:r w:rsidRPr="00BF42B7">
        <w:rPr>
          <w:rFonts w:hint="eastAsia"/>
          <w:szCs w:val="21"/>
        </w:rPr>
        <w:t>委员会认识到上述用语可以根据关于减少灾害风险指标和术语问题不限成员名额政府间专家工作组的成果，由大会做进一步的推敲。该工作组是根据</w:t>
      </w:r>
      <w:r w:rsidRPr="00BF42B7">
        <w:rPr>
          <w:rFonts w:hint="eastAsia"/>
          <w:szCs w:val="21"/>
        </w:rPr>
        <w:t>2015</w:t>
      </w:r>
      <w:r w:rsidRPr="00BF42B7">
        <w:rPr>
          <w:rFonts w:hint="eastAsia"/>
          <w:szCs w:val="21"/>
        </w:rPr>
        <w:t>年</w:t>
      </w:r>
      <w:r w:rsidRPr="00BF42B7">
        <w:rPr>
          <w:rFonts w:hint="eastAsia"/>
          <w:szCs w:val="21"/>
        </w:rPr>
        <w:t>6</w:t>
      </w:r>
      <w:r w:rsidRPr="00BF42B7">
        <w:rPr>
          <w:rFonts w:hint="eastAsia"/>
          <w:szCs w:val="21"/>
        </w:rPr>
        <w:t>月</w:t>
      </w:r>
      <w:r w:rsidRPr="00BF42B7">
        <w:rPr>
          <w:rFonts w:hint="eastAsia"/>
          <w:szCs w:val="21"/>
        </w:rPr>
        <w:t>3</w:t>
      </w:r>
      <w:r w:rsidRPr="00BF42B7">
        <w:rPr>
          <w:rFonts w:hint="eastAsia"/>
          <w:szCs w:val="21"/>
        </w:rPr>
        <w:t>日第</w:t>
      </w:r>
      <w:hyperlink r:id="rId60" w:history="1">
        <w:r w:rsidRPr="007F0135">
          <w:rPr>
            <w:rStyle w:val="af"/>
            <w:rFonts w:hint="eastAsia"/>
            <w:szCs w:val="21"/>
          </w:rPr>
          <w:t>69/284</w:t>
        </w:r>
      </w:hyperlink>
      <w:r w:rsidRPr="00BF42B7">
        <w:rPr>
          <w:rFonts w:hint="eastAsia"/>
          <w:szCs w:val="21"/>
        </w:rPr>
        <w:t>号决议建立的。</w:t>
      </w:r>
    </w:p>
    <w:p w:rsidR="00765E0D" w:rsidRPr="00BF42B7" w:rsidRDefault="00765E0D" w:rsidP="00765E0D">
      <w:pPr>
        <w:pStyle w:val="SingleTxtGC"/>
        <w:rPr>
          <w:rFonts w:eastAsiaTheme="minorEastAsia"/>
          <w:szCs w:val="21"/>
        </w:rPr>
      </w:pPr>
      <w:r w:rsidRPr="00BF42B7">
        <w:rPr>
          <w:rFonts w:eastAsiaTheme="minorEastAsia"/>
          <w:szCs w:val="21"/>
        </w:rPr>
        <w:t xml:space="preserve">(17)  </w:t>
      </w:r>
      <w:r w:rsidRPr="00BF42B7">
        <w:rPr>
          <w:rFonts w:eastAsiaTheme="minorEastAsia"/>
          <w:szCs w:val="21"/>
        </w:rPr>
        <w:t>第</w:t>
      </w:r>
      <w:r w:rsidRPr="00BF42B7">
        <w:rPr>
          <w:rFonts w:eastAsiaTheme="minorEastAsia"/>
          <w:szCs w:val="21"/>
        </w:rPr>
        <w:t>2</w:t>
      </w:r>
      <w:r w:rsidRPr="00BF42B7">
        <w:rPr>
          <w:rFonts w:eastAsiaTheme="minorEastAsia"/>
          <w:szCs w:val="21"/>
        </w:rPr>
        <w:t>款列出三类减少灾害风险的措施，即：开展风险评估、收集和传播风险</w:t>
      </w:r>
      <w:r w:rsidRPr="00BF42B7">
        <w:rPr>
          <w:rFonts w:eastAsiaTheme="minorEastAsia" w:hint="eastAsia"/>
          <w:szCs w:val="21"/>
        </w:rPr>
        <w:t>信息</w:t>
      </w:r>
      <w:r w:rsidRPr="00BF42B7">
        <w:rPr>
          <w:rFonts w:eastAsiaTheme="minorEastAsia"/>
          <w:szCs w:val="21"/>
        </w:rPr>
        <w:t>和以往损失信息、以及安装和操作预警系统。正如</w:t>
      </w:r>
      <w:r w:rsidRPr="00BF42B7">
        <w:rPr>
          <w:rFonts w:eastAsiaTheme="minorEastAsia" w:hint="eastAsia"/>
          <w:szCs w:val="21"/>
        </w:rPr>
        <w:t>上文</w:t>
      </w:r>
      <w:r w:rsidRPr="00BF42B7">
        <w:rPr>
          <w:rFonts w:eastAsiaTheme="minorEastAsia"/>
          <w:szCs w:val="21"/>
        </w:rPr>
        <w:t>评注第</w:t>
      </w:r>
      <w:r w:rsidRPr="00BF42B7">
        <w:rPr>
          <w:rFonts w:eastAsiaTheme="minorEastAsia"/>
          <w:szCs w:val="21"/>
        </w:rPr>
        <w:t>(3)</w:t>
      </w:r>
      <w:r w:rsidRPr="00BF42B7">
        <w:rPr>
          <w:rFonts w:eastAsiaTheme="minorEastAsia"/>
          <w:szCs w:val="21"/>
        </w:rPr>
        <w:t>段指出的，</w:t>
      </w:r>
      <w:r w:rsidRPr="00BF42B7">
        <w:rPr>
          <w:rFonts w:eastAsiaTheme="minorEastAsia"/>
          <w:szCs w:val="21"/>
        </w:rPr>
        <w:t>2013</w:t>
      </w:r>
      <w:r w:rsidRPr="00BF42B7">
        <w:rPr>
          <w:rFonts w:eastAsiaTheme="minorEastAsia"/>
          <w:szCs w:val="21"/>
        </w:rPr>
        <w:t>年</w:t>
      </w:r>
      <w:r w:rsidRPr="00BF42B7">
        <w:rPr>
          <w:rFonts w:eastAsiaTheme="minorEastAsia"/>
          <w:szCs w:val="21"/>
        </w:rPr>
        <w:t>5</w:t>
      </w:r>
      <w:r w:rsidRPr="00BF42B7">
        <w:rPr>
          <w:rFonts w:eastAsiaTheme="minorEastAsia"/>
          <w:szCs w:val="21"/>
        </w:rPr>
        <w:t>月举行的减少灾害风险全球平台第四届会议结束时，主席在总结中强调了这三个措施。委员会决定明确提及列出的三个实例，以反映最突出类型的当代减少灾害风险努力。</w:t>
      </w:r>
      <w:r w:rsidRPr="00BF42B7">
        <w:rPr>
          <w:rFonts w:eastAsiaTheme="minorEastAsia" w:hint="eastAsia"/>
          <w:szCs w:val="21"/>
        </w:rPr>
        <w:t>“</w:t>
      </w:r>
      <w:r w:rsidRPr="00BF42B7">
        <w:rPr>
          <w:rFonts w:eastAsiaTheme="minorEastAsia"/>
          <w:szCs w:val="21"/>
        </w:rPr>
        <w:t>包括</w:t>
      </w:r>
      <w:r w:rsidRPr="00BF42B7">
        <w:rPr>
          <w:rFonts w:eastAsiaTheme="minorEastAsia" w:hint="eastAsia"/>
          <w:szCs w:val="21"/>
        </w:rPr>
        <w:t>”</w:t>
      </w:r>
      <w:r w:rsidRPr="00BF42B7">
        <w:rPr>
          <w:rFonts w:eastAsiaTheme="minorEastAsia"/>
          <w:szCs w:val="21"/>
        </w:rPr>
        <w:t>一词表示所列举的并非详尽无遗。列举这三项措施不影响目前正在或未来可能开展的旨在减少灾害风险的其他活动。</w:t>
      </w:r>
    </w:p>
    <w:p w:rsidR="00765E0D" w:rsidRPr="00BF42B7" w:rsidRDefault="00765E0D" w:rsidP="00765E0D">
      <w:pPr>
        <w:pStyle w:val="SingleTxtGC"/>
        <w:rPr>
          <w:rFonts w:eastAsiaTheme="minorEastAsia"/>
          <w:szCs w:val="21"/>
        </w:rPr>
      </w:pPr>
      <w:r w:rsidRPr="00BF42B7">
        <w:rPr>
          <w:rFonts w:eastAsiaTheme="minorEastAsia"/>
          <w:szCs w:val="21"/>
        </w:rPr>
        <w:t xml:space="preserve">(18)  </w:t>
      </w:r>
      <w:r w:rsidRPr="00BF42B7">
        <w:rPr>
          <w:rFonts w:eastAsiaTheme="minorEastAsia"/>
          <w:szCs w:val="21"/>
        </w:rPr>
        <w:t>可采取的</w:t>
      </w:r>
      <w:r w:rsidRPr="00BF42B7">
        <w:rPr>
          <w:rFonts w:eastAsiaTheme="minorEastAsia" w:hint="eastAsia"/>
          <w:szCs w:val="21"/>
        </w:rPr>
        <w:t>结构性和非结论性的实际</w:t>
      </w:r>
      <w:r w:rsidRPr="00BF42B7">
        <w:rPr>
          <w:rFonts w:eastAsiaTheme="minorEastAsia"/>
          <w:szCs w:val="21"/>
        </w:rPr>
        <w:t>措施是无数的，依赖于社会、环境、金融、文化和其他相关情况。公共和私营部门的实践</w:t>
      </w:r>
      <w:r w:rsidRPr="00BF42B7">
        <w:rPr>
          <w:rFonts w:eastAsiaTheme="minorEastAsia" w:hint="eastAsia"/>
          <w:szCs w:val="21"/>
        </w:rPr>
        <w:t>以及《仙台框架》等有关文书</w:t>
      </w:r>
      <w:r w:rsidRPr="00BF42B7">
        <w:rPr>
          <w:rFonts w:eastAsiaTheme="minorEastAsia"/>
          <w:szCs w:val="21"/>
        </w:rPr>
        <w:t>提供了丰富的实例。其中可援引的</w:t>
      </w:r>
      <w:r w:rsidRPr="00BF42B7">
        <w:rPr>
          <w:rFonts w:eastAsiaTheme="minorEastAsia" w:hint="eastAsia"/>
          <w:szCs w:val="21"/>
        </w:rPr>
        <w:t>有</w:t>
      </w:r>
      <w:r w:rsidRPr="00BF42B7">
        <w:rPr>
          <w:rFonts w:eastAsiaTheme="minorEastAsia"/>
          <w:szCs w:val="21"/>
        </w:rPr>
        <w:t>：社区一级的备灾和教育</w:t>
      </w:r>
      <w:r w:rsidRPr="00BF42B7">
        <w:rPr>
          <w:rFonts w:eastAsiaTheme="minorEastAsia" w:hint="eastAsia"/>
          <w:szCs w:val="21"/>
        </w:rPr>
        <w:t>；</w:t>
      </w:r>
      <w:r w:rsidRPr="00BF42B7">
        <w:rPr>
          <w:rFonts w:eastAsiaTheme="minorEastAsia"/>
          <w:szCs w:val="21"/>
        </w:rPr>
        <w:t>建立</w:t>
      </w:r>
      <w:r w:rsidRPr="00BF42B7">
        <w:rPr>
          <w:rFonts w:eastAsiaTheme="minorEastAsia" w:hint="eastAsia"/>
          <w:szCs w:val="21"/>
        </w:rPr>
        <w:t>灾害治理</w:t>
      </w:r>
      <w:r w:rsidRPr="00BF42B7">
        <w:rPr>
          <w:rFonts w:eastAsiaTheme="minorEastAsia"/>
          <w:szCs w:val="21"/>
        </w:rPr>
        <w:t>框架</w:t>
      </w:r>
      <w:r w:rsidRPr="00BF42B7">
        <w:rPr>
          <w:rFonts w:eastAsiaTheme="minorEastAsia" w:hint="eastAsia"/>
          <w:szCs w:val="21"/>
        </w:rPr>
        <w:t>；</w:t>
      </w:r>
      <w:r w:rsidRPr="00BF42B7">
        <w:rPr>
          <w:rFonts w:eastAsiaTheme="minorEastAsia"/>
          <w:szCs w:val="21"/>
        </w:rPr>
        <w:t>应急</w:t>
      </w:r>
      <w:r w:rsidRPr="00BF42B7">
        <w:rPr>
          <w:rFonts w:eastAsiaTheme="minorEastAsia" w:hint="eastAsia"/>
          <w:szCs w:val="21"/>
        </w:rPr>
        <w:t>规划；</w:t>
      </w:r>
      <w:r w:rsidRPr="00BF42B7">
        <w:rPr>
          <w:rFonts w:eastAsiaTheme="minorEastAsia"/>
          <w:szCs w:val="21"/>
        </w:rPr>
        <w:t>设立监督机制</w:t>
      </w:r>
      <w:r w:rsidRPr="00BF42B7">
        <w:rPr>
          <w:rFonts w:eastAsiaTheme="minorEastAsia" w:hint="eastAsia"/>
          <w:szCs w:val="21"/>
        </w:rPr>
        <w:t>；</w:t>
      </w:r>
      <w:r w:rsidRPr="00BF42B7">
        <w:rPr>
          <w:rFonts w:eastAsiaTheme="minorEastAsia"/>
          <w:szCs w:val="21"/>
        </w:rPr>
        <w:t>土地用途控制</w:t>
      </w:r>
      <w:r w:rsidRPr="00BF42B7">
        <w:rPr>
          <w:rFonts w:eastAsiaTheme="minorEastAsia" w:hint="eastAsia"/>
          <w:szCs w:val="21"/>
        </w:rPr>
        <w:t>；</w:t>
      </w:r>
      <w:r w:rsidRPr="00BF42B7">
        <w:rPr>
          <w:rFonts w:eastAsiaTheme="minorEastAsia"/>
          <w:szCs w:val="21"/>
        </w:rPr>
        <w:t>建筑标准</w:t>
      </w:r>
      <w:r w:rsidRPr="00BF42B7">
        <w:rPr>
          <w:rFonts w:eastAsiaTheme="minorEastAsia" w:hint="eastAsia"/>
          <w:szCs w:val="21"/>
        </w:rPr>
        <w:t>；</w:t>
      </w:r>
      <w:r w:rsidRPr="00BF42B7">
        <w:rPr>
          <w:rFonts w:eastAsiaTheme="minorEastAsia"/>
          <w:szCs w:val="21"/>
        </w:rPr>
        <w:t>生态系统管理</w:t>
      </w:r>
      <w:r w:rsidRPr="00BF42B7">
        <w:rPr>
          <w:rFonts w:eastAsiaTheme="minorEastAsia" w:hint="eastAsia"/>
          <w:szCs w:val="21"/>
        </w:rPr>
        <w:t>；</w:t>
      </w:r>
      <w:r w:rsidRPr="00BF42B7">
        <w:rPr>
          <w:rFonts w:eastAsiaTheme="minorEastAsia"/>
          <w:szCs w:val="21"/>
        </w:rPr>
        <w:t>排水系统</w:t>
      </w:r>
      <w:r w:rsidRPr="00BF42B7">
        <w:rPr>
          <w:rFonts w:eastAsiaTheme="minorEastAsia" w:hint="eastAsia"/>
          <w:szCs w:val="21"/>
        </w:rPr>
        <w:t>；</w:t>
      </w:r>
      <w:r w:rsidRPr="00BF42B7">
        <w:rPr>
          <w:rStyle w:val="shorttext"/>
          <w:rFonts w:eastAsiaTheme="minorEastAsia" w:hint="eastAsia"/>
          <w:szCs w:val="21"/>
        </w:rPr>
        <w:t>解决脆弱性和抵御能力的社会安全网；风险披露；对风险知情后的投资；</w:t>
      </w:r>
      <w:r w:rsidRPr="00BF42B7">
        <w:rPr>
          <w:rFonts w:eastAsiaTheme="minorEastAsia"/>
          <w:szCs w:val="21"/>
        </w:rPr>
        <w:t>以及保险。</w:t>
      </w:r>
    </w:p>
    <w:p w:rsidR="00765E0D" w:rsidRPr="00BF42B7" w:rsidRDefault="00765E0D" w:rsidP="00765E0D">
      <w:pPr>
        <w:pStyle w:val="SingleTxtGC"/>
        <w:rPr>
          <w:rFonts w:eastAsiaTheme="minorEastAsia"/>
          <w:szCs w:val="21"/>
        </w:rPr>
      </w:pPr>
      <w:r w:rsidRPr="00BF42B7">
        <w:rPr>
          <w:rFonts w:eastAsiaTheme="minorEastAsia"/>
          <w:szCs w:val="21"/>
        </w:rPr>
        <w:t>(19)</w:t>
      </w:r>
      <w:r w:rsidRPr="00BF42B7">
        <w:rPr>
          <w:rFonts w:eastAsiaTheme="minorEastAsia" w:hint="eastAsia"/>
          <w:szCs w:val="21"/>
        </w:rPr>
        <w:t xml:space="preserve">  </w:t>
      </w:r>
      <w:r w:rsidRPr="00BF42B7">
        <w:rPr>
          <w:rFonts w:eastAsiaTheme="minorEastAsia"/>
          <w:szCs w:val="21"/>
        </w:rPr>
        <w:t>第</w:t>
      </w:r>
      <w:r w:rsidRPr="00BF42B7">
        <w:rPr>
          <w:rFonts w:eastAsiaTheme="minorEastAsia"/>
          <w:szCs w:val="21"/>
        </w:rPr>
        <w:t>2</w:t>
      </w:r>
      <w:r w:rsidRPr="00BF42B7">
        <w:rPr>
          <w:rFonts w:eastAsiaTheme="minorEastAsia"/>
          <w:szCs w:val="21"/>
        </w:rPr>
        <w:t>款所</w:t>
      </w:r>
      <w:r w:rsidRPr="00BF42B7">
        <w:rPr>
          <w:rFonts w:eastAsiaTheme="minorEastAsia" w:hint="eastAsia"/>
          <w:szCs w:val="21"/>
        </w:rPr>
        <w:t>列</w:t>
      </w:r>
      <w:r w:rsidRPr="00BF42B7">
        <w:rPr>
          <w:rFonts w:eastAsiaTheme="minorEastAsia"/>
          <w:szCs w:val="21"/>
        </w:rPr>
        <w:t>的三个连续措施具有一个共同特征：都有助于制订和适用许多即使并非全部</w:t>
      </w:r>
      <w:r w:rsidRPr="00BF42B7">
        <w:rPr>
          <w:rFonts w:eastAsiaTheme="minorEastAsia" w:hint="eastAsia"/>
          <w:szCs w:val="21"/>
        </w:rPr>
        <w:t>的</w:t>
      </w:r>
      <w:r w:rsidRPr="00BF42B7">
        <w:rPr>
          <w:rFonts w:eastAsiaTheme="minorEastAsia"/>
          <w:szCs w:val="21"/>
        </w:rPr>
        <w:t>其他措施，</w:t>
      </w:r>
      <w:r w:rsidRPr="00BF42B7">
        <w:rPr>
          <w:rFonts w:eastAsiaTheme="minorEastAsia" w:hint="eastAsia"/>
          <w:szCs w:val="21"/>
        </w:rPr>
        <w:t>涉及法律框架以及</w:t>
      </w:r>
      <w:r w:rsidRPr="00BF42B7">
        <w:rPr>
          <w:rFonts w:eastAsiaTheme="minorEastAsia"/>
          <w:szCs w:val="21"/>
        </w:rPr>
        <w:t>公共和私营部门</w:t>
      </w:r>
      <w:r w:rsidRPr="00BF42B7">
        <w:rPr>
          <w:rFonts w:eastAsiaTheme="minorEastAsia" w:hint="eastAsia"/>
          <w:szCs w:val="21"/>
        </w:rPr>
        <w:t>确定优先事项</w:t>
      </w:r>
      <w:r w:rsidRPr="00BF42B7">
        <w:rPr>
          <w:rFonts w:eastAsiaTheme="minorEastAsia"/>
          <w:szCs w:val="21"/>
        </w:rPr>
        <w:t>或投资规划。</w:t>
      </w:r>
    </w:p>
    <w:p w:rsidR="00765E0D" w:rsidRPr="00BF42B7" w:rsidRDefault="00765E0D" w:rsidP="00765E0D">
      <w:pPr>
        <w:pStyle w:val="SingleTxtGC"/>
        <w:rPr>
          <w:rFonts w:eastAsiaTheme="minorEastAsia"/>
          <w:szCs w:val="21"/>
        </w:rPr>
      </w:pPr>
      <w:r w:rsidRPr="00BF42B7">
        <w:rPr>
          <w:rFonts w:eastAsiaTheme="minorEastAsia"/>
          <w:szCs w:val="21"/>
        </w:rPr>
        <w:t xml:space="preserve">(20)  </w:t>
      </w:r>
      <w:r w:rsidRPr="00BF42B7">
        <w:rPr>
          <w:rFonts w:eastAsiaTheme="minorEastAsia"/>
          <w:szCs w:val="21"/>
        </w:rPr>
        <w:t>第一项措施</w:t>
      </w:r>
      <w:r w:rsidRPr="00BF42B7">
        <w:rPr>
          <w:rFonts w:eastAsiaTheme="minorEastAsia" w:hint="eastAsia"/>
          <w:spacing w:val="-50"/>
          <w:szCs w:val="21"/>
        </w:rPr>
        <w:t>―</w:t>
      </w:r>
      <w:r w:rsidRPr="00BF42B7">
        <w:rPr>
          <w:rFonts w:eastAsiaTheme="minorEastAsia" w:hint="eastAsia"/>
          <w:szCs w:val="21"/>
        </w:rPr>
        <w:t>―</w:t>
      </w:r>
      <w:r w:rsidRPr="00BF42B7">
        <w:rPr>
          <w:rFonts w:eastAsiaTheme="minorEastAsia"/>
          <w:szCs w:val="21"/>
        </w:rPr>
        <w:t>风险评估</w:t>
      </w:r>
      <w:r w:rsidRPr="00BF42B7">
        <w:rPr>
          <w:rFonts w:eastAsiaTheme="minorEastAsia" w:hint="eastAsia"/>
          <w:spacing w:val="-50"/>
          <w:szCs w:val="21"/>
        </w:rPr>
        <w:t>―</w:t>
      </w:r>
      <w:r w:rsidRPr="00BF42B7">
        <w:rPr>
          <w:rFonts w:eastAsiaTheme="minorEastAsia" w:hint="eastAsia"/>
          <w:szCs w:val="21"/>
        </w:rPr>
        <w:t>―</w:t>
      </w:r>
      <w:r w:rsidRPr="00BF42B7">
        <w:rPr>
          <w:rFonts w:eastAsiaTheme="minorEastAsia"/>
          <w:szCs w:val="21"/>
        </w:rPr>
        <w:t>涉及培养有关危险</w:t>
      </w:r>
      <w:r w:rsidRPr="00BF42B7">
        <w:rPr>
          <w:rFonts w:eastAsiaTheme="minorEastAsia" w:hint="eastAsia"/>
          <w:szCs w:val="21"/>
        </w:rPr>
        <w:t>、风险</w:t>
      </w:r>
      <w:r w:rsidRPr="00BF42B7">
        <w:rPr>
          <w:rFonts w:eastAsiaTheme="minorEastAsia"/>
          <w:szCs w:val="21"/>
        </w:rPr>
        <w:t>和脆弱性</w:t>
      </w:r>
      <w:r w:rsidRPr="00BF42B7">
        <w:rPr>
          <w:rFonts w:eastAsiaTheme="minorEastAsia" w:hint="eastAsia"/>
          <w:szCs w:val="21"/>
        </w:rPr>
        <w:t>以及灾害风险趋势</w:t>
      </w:r>
      <w:r w:rsidRPr="00BF42B7">
        <w:rPr>
          <w:rFonts w:eastAsiaTheme="minorEastAsia"/>
          <w:szCs w:val="21"/>
        </w:rPr>
        <w:t>的知识。因此，这是任何减少灾害风险的明智措施</w:t>
      </w:r>
      <w:r w:rsidRPr="00BF42B7">
        <w:rPr>
          <w:rFonts w:eastAsiaTheme="minorEastAsia" w:hint="eastAsia"/>
          <w:szCs w:val="21"/>
        </w:rPr>
        <w:t>的</w:t>
      </w:r>
      <w:r w:rsidRPr="00BF42B7">
        <w:rPr>
          <w:rFonts w:eastAsiaTheme="minorEastAsia"/>
          <w:szCs w:val="21"/>
        </w:rPr>
        <w:t>第一步。如果没有足够确</w:t>
      </w:r>
      <w:r w:rsidRPr="00BF42B7">
        <w:rPr>
          <w:rFonts w:eastAsiaTheme="minorEastAsia" w:hint="eastAsia"/>
          <w:szCs w:val="21"/>
        </w:rPr>
        <w:t>切</w:t>
      </w:r>
      <w:r w:rsidRPr="00BF42B7">
        <w:rPr>
          <w:rFonts w:eastAsiaTheme="minorEastAsia"/>
          <w:szCs w:val="21"/>
        </w:rPr>
        <w:t>地了解灾害</w:t>
      </w:r>
      <w:r w:rsidRPr="00BF42B7">
        <w:rPr>
          <w:rFonts w:eastAsiaTheme="minorEastAsia" w:hint="eastAsia"/>
          <w:szCs w:val="21"/>
        </w:rPr>
        <w:t>风险</w:t>
      </w:r>
      <w:r w:rsidRPr="00BF42B7">
        <w:rPr>
          <w:rFonts w:eastAsiaTheme="minorEastAsia"/>
          <w:szCs w:val="21"/>
        </w:rPr>
        <w:t>的情况</w:t>
      </w:r>
      <w:r w:rsidRPr="00BF42B7">
        <w:rPr>
          <w:rFonts w:eastAsiaTheme="minorEastAsia" w:hint="eastAsia"/>
          <w:szCs w:val="21"/>
        </w:rPr>
        <w:t>、因素和</w:t>
      </w:r>
      <w:r w:rsidRPr="00BF42B7">
        <w:rPr>
          <w:rFonts w:eastAsiaTheme="minorEastAsia"/>
          <w:szCs w:val="21"/>
        </w:rPr>
        <w:t>特点，就不能</w:t>
      </w:r>
      <w:r w:rsidRPr="00BF42B7">
        <w:rPr>
          <w:rFonts w:eastAsiaTheme="minorEastAsia" w:hint="eastAsia"/>
          <w:szCs w:val="21"/>
        </w:rPr>
        <w:t>制定和</w:t>
      </w:r>
      <w:r w:rsidRPr="00BF42B7">
        <w:rPr>
          <w:rFonts w:eastAsiaTheme="minorEastAsia"/>
          <w:szCs w:val="21"/>
        </w:rPr>
        <w:t>颁布有效的措施。风险评估也迫使各方更仔细了解当地实际情况和当地社区参与。</w:t>
      </w:r>
    </w:p>
    <w:p w:rsidR="00765E0D" w:rsidRPr="00BF42B7" w:rsidRDefault="00765E0D" w:rsidP="00765E0D">
      <w:pPr>
        <w:pStyle w:val="SingleTxtGC"/>
        <w:rPr>
          <w:rFonts w:eastAsiaTheme="minorEastAsia"/>
          <w:szCs w:val="21"/>
        </w:rPr>
      </w:pPr>
      <w:r w:rsidRPr="00BF42B7">
        <w:rPr>
          <w:rFonts w:eastAsiaTheme="minorEastAsia"/>
          <w:szCs w:val="21"/>
        </w:rPr>
        <w:t xml:space="preserve">(21)  </w:t>
      </w:r>
      <w:r w:rsidRPr="00BF42B7">
        <w:rPr>
          <w:rFonts w:eastAsiaTheme="minorEastAsia"/>
          <w:szCs w:val="21"/>
        </w:rPr>
        <w:t>第二项措施</w:t>
      </w:r>
      <w:r w:rsidRPr="00BF42B7">
        <w:rPr>
          <w:rFonts w:eastAsiaTheme="minorEastAsia" w:hint="eastAsia"/>
          <w:spacing w:val="-50"/>
          <w:szCs w:val="21"/>
        </w:rPr>
        <w:t>―</w:t>
      </w:r>
      <w:r w:rsidRPr="00BF42B7">
        <w:rPr>
          <w:rFonts w:eastAsiaTheme="minorEastAsia" w:hint="eastAsia"/>
          <w:szCs w:val="21"/>
        </w:rPr>
        <w:t>―</w:t>
      </w:r>
      <w:r w:rsidRPr="00BF42B7">
        <w:rPr>
          <w:rFonts w:eastAsiaTheme="minorEastAsia"/>
          <w:szCs w:val="21"/>
        </w:rPr>
        <w:t>收集和传播风险</w:t>
      </w:r>
      <w:r w:rsidRPr="00BF42B7">
        <w:rPr>
          <w:rFonts w:eastAsiaTheme="minorEastAsia" w:hint="eastAsia"/>
          <w:szCs w:val="21"/>
        </w:rPr>
        <w:t>信息</w:t>
      </w:r>
      <w:r w:rsidRPr="00BF42B7">
        <w:rPr>
          <w:rFonts w:eastAsiaTheme="minorEastAsia"/>
          <w:szCs w:val="21"/>
        </w:rPr>
        <w:t>和以往损失信息</w:t>
      </w:r>
      <w:r w:rsidRPr="00BF42B7">
        <w:rPr>
          <w:rFonts w:eastAsiaTheme="minorEastAsia" w:hint="eastAsia"/>
          <w:spacing w:val="-50"/>
          <w:szCs w:val="21"/>
        </w:rPr>
        <w:t>―</w:t>
      </w:r>
      <w:r w:rsidRPr="00BF42B7">
        <w:rPr>
          <w:rFonts w:eastAsiaTheme="minorEastAsia" w:hint="eastAsia"/>
          <w:szCs w:val="21"/>
        </w:rPr>
        <w:t>―</w:t>
      </w:r>
      <w:r w:rsidRPr="00BF42B7">
        <w:rPr>
          <w:rFonts w:eastAsiaTheme="minorEastAsia"/>
          <w:szCs w:val="21"/>
        </w:rPr>
        <w:t>是下一个步骤。减少灾害风险，需要公私部门和民间社会中所有参与者的行动。收集和传播的结果应是免费提供风险和以往损失信息，能够推动有效的</w:t>
      </w:r>
      <w:r w:rsidRPr="00BF42B7">
        <w:rPr>
          <w:rFonts w:eastAsiaTheme="minorEastAsia" w:hint="eastAsia"/>
          <w:szCs w:val="21"/>
        </w:rPr>
        <w:t>决策和</w:t>
      </w:r>
      <w:r w:rsidRPr="00BF42B7">
        <w:rPr>
          <w:rFonts w:eastAsiaTheme="minorEastAsia"/>
          <w:szCs w:val="21"/>
        </w:rPr>
        <w:t>行动。它使所有利益攸关方能够为自己的行动承担责任，并更好地确定规划</w:t>
      </w:r>
      <w:r w:rsidRPr="00BF42B7">
        <w:rPr>
          <w:rFonts w:eastAsiaTheme="minorEastAsia" w:hint="eastAsia"/>
          <w:szCs w:val="21"/>
        </w:rPr>
        <w:t>和投资</w:t>
      </w:r>
      <w:r w:rsidRPr="00BF42B7">
        <w:rPr>
          <w:rFonts w:eastAsiaTheme="minorEastAsia"/>
          <w:szCs w:val="21"/>
        </w:rPr>
        <w:t>重点；它也增强了交易透明度以及公众监督和控制。委员会希望强调：需要传播和免费提供风险</w:t>
      </w:r>
      <w:r w:rsidRPr="00BF42B7">
        <w:rPr>
          <w:rFonts w:eastAsiaTheme="minorEastAsia" w:hint="eastAsia"/>
          <w:szCs w:val="21"/>
        </w:rPr>
        <w:t>信息</w:t>
      </w:r>
      <w:r w:rsidRPr="00BF42B7">
        <w:rPr>
          <w:rFonts w:eastAsiaTheme="minorEastAsia"/>
          <w:szCs w:val="21"/>
        </w:rPr>
        <w:t>和以往损失信息，因为这反映了关注公众获取此类信息的重要性这一流行趋势。委员会尽管认识到这一趋势重要，但认为最好在评注中，而不是在第</w:t>
      </w:r>
      <w:r w:rsidRPr="00BF42B7">
        <w:rPr>
          <w:rFonts w:eastAsiaTheme="minorEastAsia"/>
          <w:szCs w:val="21"/>
        </w:rPr>
        <w:t>2</w:t>
      </w:r>
      <w:r w:rsidRPr="00BF42B7">
        <w:rPr>
          <w:rFonts w:eastAsiaTheme="minorEastAsia"/>
          <w:szCs w:val="21"/>
        </w:rPr>
        <w:t>款</w:t>
      </w:r>
      <w:r w:rsidRPr="00BF42B7">
        <w:rPr>
          <w:rFonts w:eastAsiaTheme="minorEastAsia" w:hint="eastAsia"/>
          <w:szCs w:val="21"/>
        </w:rPr>
        <w:t>案</w:t>
      </w:r>
      <w:r w:rsidRPr="00BF42B7">
        <w:rPr>
          <w:rFonts w:eastAsiaTheme="minorEastAsia"/>
          <w:szCs w:val="21"/>
        </w:rPr>
        <w:t>文中阐述；因为将它作为统一的法律规定，可能让各国</w:t>
      </w:r>
      <w:r w:rsidRPr="00BF42B7">
        <w:rPr>
          <w:rFonts w:eastAsiaTheme="minorEastAsia" w:hint="eastAsia"/>
          <w:szCs w:val="21"/>
        </w:rPr>
        <w:t>感觉</w:t>
      </w:r>
      <w:r w:rsidRPr="00BF42B7">
        <w:rPr>
          <w:rFonts w:eastAsiaTheme="minorEastAsia"/>
          <w:szCs w:val="21"/>
        </w:rPr>
        <w:t>负担过重。</w:t>
      </w:r>
    </w:p>
    <w:p w:rsidR="00765E0D" w:rsidRPr="00BF42B7" w:rsidRDefault="00765E0D" w:rsidP="00765E0D">
      <w:pPr>
        <w:pStyle w:val="SingleTxtGC"/>
        <w:rPr>
          <w:rFonts w:eastAsiaTheme="minorEastAsia"/>
          <w:szCs w:val="21"/>
        </w:rPr>
      </w:pPr>
      <w:r w:rsidRPr="00BF42B7">
        <w:rPr>
          <w:rFonts w:eastAsiaTheme="minorEastAsia"/>
          <w:szCs w:val="21"/>
        </w:rPr>
        <w:t xml:space="preserve">(22)  </w:t>
      </w:r>
      <w:r w:rsidRPr="00BF42B7">
        <w:rPr>
          <w:rFonts w:eastAsiaTheme="minorEastAsia"/>
          <w:szCs w:val="21"/>
        </w:rPr>
        <w:t>第三项措施是预警系统；它同时有助于启动和实施应急计划，从而限制危险的出现；正因为如此，这是有效备灾和应对的一个先决条件。</w:t>
      </w:r>
    </w:p>
    <w:p w:rsidR="00765E0D" w:rsidRPr="00BF42B7" w:rsidRDefault="00765E0D" w:rsidP="00765E0D">
      <w:pPr>
        <w:pStyle w:val="SingleTxtGC"/>
        <w:rPr>
          <w:rFonts w:eastAsiaTheme="minorEastAsia"/>
          <w:szCs w:val="21"/>
        </w:rPr>
      </w:pPr>
      <w:r w:rsidRPr="00BF42B7">
        <w:rPr>
          <w:rFonts w:eastAsiaTheme="minorEastAsia"/>
          <w:szCs w:val="21"/>
        </w:rPr>
        <w:t xml:space="preserve">(23)  </w:t>
      </w:r>
      <w:r w:rsidRPr="00BF42B7">
        <w:rPr>
          <w:rFonts w:eastAsiaTheme="minorEastAsia"/>
          <w:szCs w:val="21"/>
        </w:rPr>
        <w:t>如上文第</w:t>
      </w:r>
      <w:r w:rsidRPr="00BF42B7">
        <w:rPr>
          <w:rFonts w:eastAsiaTheme="minorEastAsia" w:hint="eastAsia"/>
          <w:szCs w:val="21"/>
        </w:rPr>
        <w:t>8</w:t>
      </w:r>
      <w:r w:rsidRPr="00BF42B7">
        <w:rPr>
          <w:rFonts w:eastAsiaTheme="minorEastAsia"/>
          <w:szCs w:val="21"/>
        </w:rPr>
        <w:t>段所解释的，第</w:t>
      </w:r>
      <w:r w:rsidRPr="00BF42B7">
        <w:rPr>
          <w:rFonts w:eastAsiaTheme="minorEastAsia" w:hint="eastAsia"/>
          <w:szCs w:val="21"/>
        </w:rPr>
        <w:t>9</w:t>
      </w:r>
      <w:r w:rsidRPr="00BF42B7">
        <w:rPr>
          <w:rFonts w:eastAsiaTheme="minorEastAsia" w:hint="eastAsia"/>
          <w:szCs w:val="21"/>
        </w:rPr>
        <w:t>条草案</w:t>
      </w:r>
      <w:r w:rsidRPr="00BF42B7">
        <w:rPr>
          <w:rFonts w:eastAsiaTheme="minorEastAsia"/>
          <w:szCs w:val="21"/>
        </w:rPr>
        <w:t>事关在国内采取预想</w:t>
      </w:r>
      <w:r w:rsidRPr="00BF42B7">
        <w:rPr>
          <w:rFonts w:eastAsiaTheme="minorEastAsia" w:hint="eastAsia"/>
          <w:szCs w:val="21"/>
        </w:rPr>
        <w:t>的</w:t>
      </w:r>
      <w:r w:rsidRPr="00BF42B7">
        <w:rPr>
          <w:rFonts w:eastAsiaTheme="minorEastAsia"/>
          <w:szCs w:val="21"/>
        </w:rPr>
        <w:t>措施。第</w:t>
      </w:r>
      <w:r w:rsidRPr="00BF42B7">
        <w:rPr>
          <w:rFonts w:eastAsiaTheme="minorEastAsia" w:hint="eastAsia"/>
          <w:szCs w:val="21"/>
        </w:rPr>
        <w:t>7</w:t>
      </w:r>
      <w:r w:rsidRPr="00BF42B7">
        <w:rPr>
          <w:rFonts w:eastAsiaTheme="minorEastAsia"/>
          <w:szCs w:val="21"/>
        </w:rPr>
        <w:t>条草案的合作义务将涵盖任何国家间的措施。因此，有关任何列举和未列举的、为减少灾害风险可能采取的措施的国际法律义务的程度，应以每一国与其他的、该国有义务与之合作的行为者订立的相关具体协议或安排来确定。</w:t>
      </w:r>
    </w:p>
    <w:p w:rsidR="00765E0D" w:rsidRPr="00BF42B7" w:rsidRDefault="00765E0D" w:rsidP="00765E0D">
      <w:pPr>
        <w:pStyle w:val="H23GC"/>
        <w:ind w:left="1554"/>
        <w:jc w:val="left"/>
        <w:rPr>
          <w:lang w:val="zh-CN"/>
        </w:rPr>
      </w:pPr>
      <w:r w:rsidRPr="00BF42B7">
        <w:rPr>
          <w:rFonts w:hint="eastAsia"/>
          <w:lang w:val="zh-CN"/>
        </w:rPr>
        <w:tab/>
      </w:r>
      <w:r w:rsidRPr="00BF42B7">
        <w:rPr>
          <w:rFonts w:hint="eastAsia"/>
          <w:lang w:val="zh-CN"/>
        </w:rPr>
        <w:tab/>
      </w:r>
      <w:r w:rsidRPr="00BF42B7">
        <w:rPr>
          <w:lang w:val="zh-CN"/>
        </w:rPr>
        <w:t>第</w:t>
      </w:r>
      <w:r w:rsidRPr="00BF42B7">
        <w:rPr>
          <w:lang w:val="zh-CN"/>
        </w:rPr>
        <w:t>10</w:t>
      </w:r>
      <w:r w:rsidRPr="00BF42B7">
        <w:rPr>
          <w:lang w:val="zh-CN"/>
        </w:rPr>
        <w:t>条</w:t>
      </w:r>
      <w:r w:rsidRPr="00BF42B7">
        <w:rPr>
          <w:lang w:val="zh-CN"/>
        </w:rPr>
        <w:br/>
      </w:r>
      <w:r w:rsidRPr="00BF42B7">
        <w:rPr>
          <w:lang w:val="zh-CN"/>
        </w:rPr>
        <w:t>受灾国的作用</w:t>
      </w:r>
    </w:p>
    <w:p w:rsidR="00765E0D" w:rsidRPr="00BF42B7" w:rsidRDefault="00765E0D" w:rsidP="00765E0D">
      <w:pPr>
        <w:pStyle w:val="SingleTxtGC"/>
        <w:ind w:left="1554"/>
        <w:rPr>
          <w:rFonts w:eastAsiaTheme="minorEastAsia"/>
          <w:szCs w:val="21"/>
        </w:rPr>
      </w:pPr>
      <w:r w:rsidRPr="00BF42B7">
        <w:rPr>
          <w:rFonts w:eastAsiaTheme="minorEastAsia"/>
          <w:szCs w:val="21"/>
          <w:lang w:val="zh-CN"/>
        </w:rPr>
        <w:t xml:space="preserve">1.  </w:t>
      </w:r>
      <w:r w:rsidRPr="00BF42B7">
        <w:rPr>
          <w:rFonts w:eastAsiaTheme="minorEastAsia"/>
          <w:szCs w:val="21"/>
          <w:lang w:val="zh-CN"/>
        </w:rPr>
        <w:t>受灾国有责任在其领土或受其管辖或控制的领土内</w:t>
      </w:r>
      <w:r w:rsidRPr="00BF42B7">
        <w:rPr>
          <w:rFonts w:eastAsiaTheme="minorEastAsia" w:hint="eastAsia"/>
          <w:szCs w:val="21"/>
          <w:lang w:val="zh-CN"/>
        </w:rPr>
        <w:t>确保对人员的保护和救灾援助的提供</w:t>
      </w:r>
      <w:r w:rsidRPr="00BF42B7">
        <w:rPr>
          <w:rFonts w:eastAsiaTheme="minorEastAsia"/>
          <w:szCs w:val="21"/>
          <w:lang w:val="zh-CN"/>
        </w:rPr>
        <w:t>。</w:t>
      </w:r>
    </w:p>
    <w:p w:rsidR="00765E0D" w:rsidRPr="00BF42B7" w:rsidRDefault="00765E0D" w:rsidP="00765E0D">
      <w:pPr>
        <w:pStyle w:val="SingleTxtGC"/>
        <w:ind w:left="1554"/>
        <w:rPr>
          <w:rFonts w:eastAsiaTheme="minorEastAsia"/>
          <w:szCs w:val="21"/>
          <w:lang w:val="zh-CN"/>
        </w:rPr>
      </w:pPr>
      <w:r w:rsidRPr="00BF42B7">
        <w:rPr>
          <w:rFonts w:eastAsiaTheme="minorEastAsia"/>
          <w:szCs w:val="21"/>
          <w:lang w:val="zh-CN"/>
        </w:rPr>
        <w:t xml:space="preserve">2.  </w:t>
      </w:r>
      <w:r w:rsidRPr="00BF42B7">
        <w:rPr>
          <w:rFonts w:eastAsiaTheme="minorEastAsia"/>
          <w:szCs w:val="21"/>
          <w:lang w:val="zh-CN"/>
        </w:rPr>
        <w:t>受灾国在指挥、控制、协调和监督</w:t>
      </w:r>
      <w:r w:rsidRPr="00BF42B7">
        <w:rPr>
          <w:rFonts w:eastAsiaTheme="minorEastAsia" w:hint="eastAsia"/>
          <w:szCs w:val="21"/>
          <w:lang w:val="zh-CN"/>
        </w:rPr>
        <w:t>此种</w:t>
      </w:r>
      <w:r w:rsidRPr="00BF42B7">
        <w:rPr>
          <w:rFonts w:eastAsiaTheme="minorEastAsia"/>
          <w:szCs w:val="21"/>
          <w:lang w:val="zh-CN"/>
        </w:rPr>
        <w:t>救灾援助方面应</w:t>
      </w:r>
      <w:r w:rsidRPr="00BF42B7">
        <w:rPr>
          <w:rFonts w:eastAsiaTheme="minorEastAsia" w:hint="eastAsia"/>
          <w:szCs w:val="21"/>
          <w:lang w:val="zh-CN"/>
        </w:rPr>
        <w:t>承担</w:t>
      </w:r>
      <w:r w:rsidRPr="00BF42B7">
        <w:rPr>
          <w:rFonts w:eastAsiaTheme="minorEastAsia"/>
          <w:szCs w:val="21"/>
          <w:lang w:val="zh-CN"/>
        </w:rPr>
        <w:t>主要作用。</w:t>
      </w:r>
    </w:p>
    <w:p w:rsidR="00765E0D" w:rsidRPr="00BF42B7" w:rsidRDefault="00765E0D" w:rsidP="00765E0D">
      <w:pPr>
        <w:pStyle w:val="H23GC"/>
        <w:jc w:val="left"/>
      </w:pPr>
      <w:r w:rsidRPr="00BF42B7">
        <w:rPr>
          <w:rFonts w:hint="eastAsia"/>
        </w:rPr>
        <w:tab/>
      </w:r>
      <w:r w:rsidRPr="00BF42B7">
        <w:rPr>
          <w:rFonts w:hint="eastAsia"/>
        </w:rPr>
        <w:tab/>
      </w:r>
      <w:r w:rsidRPr="00BF42B7">
        <w:t>评注</w:t>
      </w:r>
    </w:p>
    <w:p w:rsidR="00765E0D" w:rsidRPr="00BF42B7" w:rsidRDefault="00765E0D" w:rsidP="00765E0D">
      <w:pPr>
        <w:pStyle w:val="SingleTxtGC"/>
        <w:rPr>
          <w:rFonts w:eastAsiaTheme="minorEastAsia"/>
          <w:szCs w:val="21"/>
        </w:rPr>
      </w:pPr>
      <w:r w:rsidRPr="00BF42B7">
        <w:rPr>
          <w:rFonts w:eastAsiaTheme="minorEastAsia"/>
          <w:szCs w:val="21"/>
        </w:rPr>
        <w:t>(1)</w:t>
      </w:r>
      <w:r w:rsidRPr="00BF42B7">
        <w:rPr>
          <w:rFonts w:eastAsiaTheme="minorEastAsia" w:hint="eastAsia"/>
          <w:szCs w:val="21"/>
        </w:rPr>
        <w:t xml:space="preserve">  </w:t>
      </w:r>
      <w:r w:rsidRPr="00BF42B7">
        <w:rPr>
          <w:rFonts w:eastAsiaTheme="minorEastAsia"/>
          <w:szCs w:val="21"/>
        </w:rPr>
        <w:t>第</w:t>
      </w:r>
      <w:r w:rsidRPr="00BF42B7">
        <w:rPr>
          <w:rFonts w:eastAsiaTheme="minorEastAsia"/>
          <w:szCs w:val="21"/>
        </w:rPr>
        <w:t>10</w:t>
      </w:r>
      <w:r w:rsidRPr="00BF42B7">
        <w:rPr>
          <w:rFonts w:eastAsiaTheme="minorEastAsia"/>
          <w:szCs w:val="21"/>
        </w:rPr>
        <w:t>条草案针对的是受灾国在其领土或受其管辖或控制的领土内发生灾害时保护人员的情况。标题中</w:t>
      </w:r>
      <w:r w:rsidRPr="00BF42B7">
        <w:rPr>
          <w:rFonts w:eastAsiaTheme="minorEastAsia" w:hint="eastAsia"/>
          <w:szCs w:val="21"/>
        </w:rPr>
        <w:t>“</w:t>
      </w:r>
      <w:r w:rsidRPr="00BF42B7">
        <w:rPr>
          <w:rFonts w:eastAsiaTheme="minorEastAsia"/>
          <w:szCs w:val="21"/>
        </w:rPr>
        <w:t>作用</w:t>
      </w:r>
      <w:r w:rsidRPr="00BF42B7">
        <w:rPr>
          <w:rFonts w:eastAsiaTheme="minorEastAsia" w:hint="eastAsia"/>
          <w:szCs w:val="21"/>
        </w:rPr>
        <w:t>”</w:t>
      </w:r>
      <w:r w:rsidRPr="00BF42B7">
        <w:rPr>
          <w:rFonts w:eastAsiaTheme="minorEastAsia"/>
          <w:szCs w:val="21"/>
        </w:rPr>
        <w:t>一词的含义宽泛，也包括国家的</w:t>
      </w:r>
      <w:r w:rsidRPr="00BF42B7">
        <w:rPr>
          <w:rFonts w:eastAsiaTheme="minorEastAsia" w:hint="eastAsia"/>
          <w:szCs w:val="21"/>
        </w:rPr>
        <w:t>“</w:t>
      </w:r>
      <w:r w:rsidRPr="00BF42B7">
        <w:rPr>
          <w:rFonts w:eastAsiaTheme="minorEastAsia"/>
          <w:szCs w:val="21"/>
        </w:rPr>
        <w:t>职能</w:t>
      </w:r>
      <w:r w:rsidRPr="00BF42B7">
        <w:rPr>
          <w:rFonts w:eastAsiaTheme="minorEastAsia" w:hint="eastAsia"/>
          <w:szCs w:val="21"/>
        </w:rPr>
        <w:t>”</w:t>
      </w:r>
      <w:r w:rsidRPr="00BF42B7">
        <w:rPr>
          <w:rFonts w:eastAsiaTheme="minorEastAsia"/>
          <w:szCs w:val="21"/>
        </w:rPr>
        <w:t>。第</w:t>
      </w:r>
      <w:r w:rsidRPr="00BF42B7">
        <w:rPr>
          <w:rFonts w:eastAsiaTheme="minorEastAsia"/>
          <w:szCs w:val="21"/>
        </w:rPr>
        <w:t>1</w:t>
      </w:r>
      <w:r w:rsidRPr="00BF42B7">
        <w:rPr>
          <w:rFonts w:eastAsiaTheme="minorEastAsia"/>
          <w:szCs w:val="21"/>
        </w:rPr>
        <w:t>款体现了受灾国保护人员及提供救灾援助的义务。第</w:t>
      </w:r>
      <w:r w:rsidRPr="00BF42B7">
        <w:rPr>
          <w:rFonts w:eastAsiaTheme="minorEastAsia"/>
          <w:szCs w:val="21"/>
        </w:rPr>
        <w:t>2</w:t>
      </w:r>
      <w:r w:rsidRPr="00BF42B7">
        <w:rPr>
          <w:rFonts w:eastAsiaTheme="minorEastAsia"/>
          <w:szCs w:val="21"/>
        </w:rPr>
        <w:t>款确认了受灾国在应对其领土或受其管辖或控制的领土内的灾害时的主要作用。</w:t>
      </w:r>
    </w:p>
    <w:p w:rsidR="00765E0D" w:rsidRPr="00BF42B7" w:rsidRDefault="00765E0D" w:rsidP="00765E0D">
      <w:pPr>
        <w:pStyle w:val="SingleTxtGC"/>
        <w:rPr>
          <w:rFonts w:eastAsiaTheme="minorEastAsia"/>
          <w:spacing w:val="-4"/>
          <w:szCs w:val="21"/>
        </w:rPr>
      </w:pPr>
      <w:r w:rsidRPr="00BF42B7">
        <w:rPr>
          <w:rFonts w:eastAsiaTheme="minorEastAsia"/>
          <w:szCs w:val="21"/>
        </w:rPr>
        <w:t>(2)</w:t>
      </w:r>
      <w:r w:rsidRPr="00BF42B7">
        <w:rPr>
          <w:rFonts w:eastAsiaTheme="minorEastAsia" w:hint="eastAsia"/>
          <w:szCs w:val="21"/>
        </w:rPr>
        <w:t xml:space="preserve">  </w:t>
      </w:r>
      <w:r w:rsidRPr="00BF42B7">
        <w:rPr>
          <w:rFonts w:eastAsiaTheme="minorEastAsia"/>
          <w:szCs w:val="21"/>
        </w:rPr>
        <w:t>第</w:t>
      </w:r>
      <w:r w:rsidRPr="00BF42B7">
        <w:rPr>
          <w:rFonts w:eastAsiaTheme="minorEastAsia"/>
          <w:szCs w:val="21"/>
        </w:rPr>
        <w:t>10</w:t>
      </w:r>
      <w:r w:rsidRPr="00BF42B7">
        <w:rPr>
          <w:rFonts w:eastAsiaTheme="minorEastAsia"/>
          <w:szCs w:val="21"/>
        </w:rPr>
        <w:t>条草案的前提是本套条款草案的序言中强调的主权核心原则。主权原则及从其推论出来的不干涉原则都体现于《联合国宪章》</w:t>
      </w:r>
      <w:r w:rsidRPr="00BF42B7">
        <w:rPr>
          <w:rStyle w:val="a5"/>
          <w:rFonts w:eastAsiaTheme="minorEastAsia"/>
          <w:szCs w:val="21"/>
        </w:rPr>
        <w:footnoteReference w:id="170"/>
      </w:r>
      <w:r w:rsidRPr="00BF42B7">
        <w:rPr>
          <w:rFonts w:eastAsiaTheme="minorEastAsia"/>
          <w:szCs w:val="21"/>
        </w:rPr>
        <w:t>，并得到了众多国际法律文书和司法声明的承认</w:t>
      </w:r>
      <w:r w:rsidRPr="00BF42B7">
        <w:rPr>
          <w:rStyle w:val="a5"/>
          <w:rFonts w:eastAsiaTheme="minorEastAsia"/>
          <w:szCs w:val="21"/>
        </w:rPr>
        <w:footnoteReference w:id="171"/>
      </w:r>
      <w:r w:rsidRPr="00BF42B7">
        <w:rPr>
          <w:rFonts w:eastAsiaTheme="minorEastAsia"/>
          <w:szCs w:val="21"/>
        </w:rPr>
        <w:t>。在救灾援助问题上，大会第</w:t>
      </w:r>
      <w:hyperlink r:id="rId61" w:history="1">
        <w:r w:rsidRPr="007F0135">
          <w:rPr>
            <w:rStyle w:val="af"/>
            <w:rFonts w:eastAsiaTheme="minorEastAsia"/>
            <w:szCs w:val="21"/>
          </w:rPr>
          <w:t>46/182</w:t>
        </w:r>
      </w:hyperlink>
      <w:r w:rsidRPr="00BF42B7">
        <w:rPr>
          <w:rFonts w:eastAsiaTheme="minorEastAsia"/>
          <w:szCs w:val="21"/>
        </w:rPr>
        <w:t>号决议</w:t>
      </w:r>
      <w:r w:rsidRPr="00BF42B7">
        <w:rPr>
          <w:rFonts w:eastAsiaTheme="minorEastAsia"/>
          <w:spacing w:val="-4"/>
          <w:szCs w:val="21"/>
        </w:rPr>
        <w:t>确认，</w:t>
      </w:r>
      <w:r w:rsidRPr="00BF42B7">
        <w:rPr>
          <w:rFonts w:eastAsiaTheme="minorEastAsia" w:hint="eastAsia"/>
          <w:spacing w:val="-4"/>
          <w:szCs w:val="21"/>
        </w:rPr>
        <w:t>“</w:t>
      </w:r>
      <w:r w:rsidRPr="00BF42B7">
        <w:rPr>
          <w:rFonts w:eastAsiaTheme="minorEastAsia"/>
          <w:spacing w:val="-4"/>
          <w:szCs w:val="21"/>
        </w:rPr>
        <w:t>必须按照《联合国宪章》充分尊重各国的主权、领土完整和国家统一</w:t>
      </w:r>
      <w:r w:rsidRPr="00BF42B7">
        <w:rPr>
          <w:rFonts w:eastAsiaTheme="minorEastAsia" w:hint="eastAsia"/>
          <w:spacing w:val="-4"/>
          <w:szCs w:val="21"/>
        </w:rPr>
        <w:t>”</w:t>
      </w:r>
      <w:r w:rsidRPr="00BF42B7">
        <w:rPr>
          <w:rFonts w:eastAsiaTheme="minorEastAsia"/>
          <w:spacing w:val="-4"/>
          <w:szCs w:val="21"/>
        </w:rPr>
        <w:t>。</w:t>
      </w:r>
      <w:r w:rsidRPr="00BF42B7">
        <w:rPr>
          <w:rStyle w:val="a5"/>
          <w:rFonts w:eastAsiaTheme="minorEastAsia"/>
          <w:spacing w:val="-4"/>
          <w:szCs w:val="21"/>
        </w:rPr>
        <w:footnoteReference w:id="172"/>
      </w:r>
    </w:p>
    <w:p w:rsidR="00765E0D" w:rsidRPr="00BF42B7" w:rsidRDefault="00765E0D" w:rsidP="00765E0D">
      <w:pPr>
        <w:pStyle w:val="SingleTxtGC"/>
        <w:rPr>
          <w:rFonts w:eastAsiaTheme="minorEastAsia"/>
          <w:szCs w:val="21"/>
        </w:rPr>
      </w:pPr>
      <w:r w:rsidRPr="00BF42B7">
        <w:rPr>
          <w:rFonts w:eastAsiaTheme="minorEastAsia"/>
          <w:szCs w:val="21"/>
        </w:rPr>
        <w:t>(3)</w:t>
      </w:r>
      <w:r w:rsidRPr="00BF42B7">
        <w:rPr>
          <w:rFonts w:eastAsiaTheme="minorEastAsia" w:hint="eastAsia"/>
          <w:szCs w:val="21"/>
        </w:rPr>
        <w:t xml:space="preserve">  </w:t>
      </w:r>
      <w:r w:rsidRPr="00BF42B7">
        <w:rPr>
          <w:rFonts w:eastAsiaTheme="minorEastAsia"/>
          <w:szCs w:val="21"/>
        </w:rPr>
        <w:t>第</w:t>
      </w:r>
      <w:r w:rsidRPr="00BF42B7">
        <w:rPr>
          <w:rFonts w:eastAsiaTheme="minorEastAsia"/>
          <w:szCs w:val="21"/>
        </w:rPr>
        <w:t>1</w:t>
      </w:r>
      <w:r w:rsidRPr="00BF42B7">
        <w:rPr>
          <w:rFonts w:eastAsiaTheme="minorEastAsia"/>
          <w:szCs w:val="21"/>
        </w:rPr>
        <w:t>款确认</w:t>
      </w:r>
      <w:r w:rsidRPr="00BF42B7">
        <w:rPr>
          <w:rFonts w:eastAsiaTheme="minorEastAsia" w:hint="eastAsia"/>
          <w:szCs w:val="21"/>
        </w:rPr>
        <w:t>了</w:t>
      </w:r>
      <w:r w:rsidRPr="00BF42B7">
        <w:rPr>
          <w:rFonts w:eastAsiaTheme="minorEastAsia"/>
          <w:szCs w:val="21"/>
        </w:rPr>
        <w:t>受灾国有责任在其领土内确保</w:t>
      </w:r>
      <w:r w:rsidRPr="00BF42B7">
        <w:rPr>
          <w:rFonts w:eastAsiaTheme="minorEastAsia" w:hint="eastAsia"/>
          <w:szCs w:val="21"/>
        </w:rPr>
        <w:t>对</w:t>
      </w:r>
      <w:r w:rsidRPr="00BF42B7">
        <w:rPr>
          <w:rFonts w:eastAsiaTheme="minorEastAsia"/>
          <w:szCs w:val="21"/>
        </w:rPr>
        <w:t>人员</w:t>
      </w:r>
      <w:r w:rsidRPr="00BF42B7">
        <w:rPr>
          <w:rFonts w:eastAsiaTheme="minorEastAsia" w:hint="eastAsia"/>
          <w:szCs w:val="21"/>
        </w:rPr>
        <w:t>的保护和</w:t>
      </w:r>
      <w:r w:rsidRPr="00BF42B7">
        <w:rPr>
          <w:rFonts w:eastAsiaTheme="minorEastAsia"/>
          <w:szCs w:val="21"/>
        </w:rPr>
        <w:t>救灾援助</w:t>
      </w:r>
      <w:r w:rsidRPr="00BF42B7">
        <w:rPr>
          <w:rFonts w:eastAsiaTheme="minorEastAsia" w:hint="eastAsia"/>
          <w:szCs w:val="21"/>
        </w:rPr>
        <w:t>的提供</w:t>
      </w:r>
      <w:r w:rsidRPr="00BF42B7">
        <w:rPr>
          <w:rFonts w:eastAsiaTheme="minorEastAsia"/>
          <w:szCs w:val="21"/>
        </w:rPr>
        <w:t>，这一责任源自其主权。之所以又插入</w:t>
      </w:r>
      <w:r w:rsidRPr="00BF42B7">
        <w:rPr>
          <w:rFonts w:eastAsiaTheme="minorEastAsia" w:hint="eastAsia"/>
          <w:szCs w:val="21"/>
        </w:rPr>
        <w:t>“</w:t>
      </w:r>
      <w:r w:rsidRPr="00BF42B7">
        <w:rPr>
          <w:rFonts w:eastAsiaTheme="minorEastAsia"/>
          <w:szCs w:val="21"/>
        </w:rPr>
        <w:t>或受其管辖或控制的领土</w:t>
      </w:r>
      <w:r w:rsidRPr="00BF42B7">
        <w:rPr>
          <w:rFonts w:eastAsiaTheme="minorEastAsia" w:hint="eastAsia"/>
          <w:szCs w:val="21"/>
        </w:rPr>
        <w:t>”</w:t>
      </w:r>
      <w:r w:rsidRPr="00BF42B7">
        <w:rPr>
          <w:rFonts w:eastAsiaTheme="minorEastAsia"/>
          <w:szCs w:val="21"/>
        </w:rPr>
        <w:t>一语，是为了与第</w:t>
      </w:r>
      <w:r w:rsidRPr="00BF42B7">
        <w:rPr>
          <w:rFonts w:eastAsiaTheme="minorEastAsia"/>
          <w:szCs w:val="21"/>
        </w:rPr>
        <w:t>3</w:t>
      </w:r>
      <w:r w:rsidRPr="00BF42B7">
        <w:rPr>
          <w:rFonts w:eastAsiaTheme="minorEastAsia"/>
          <w:szCs w:val="21"/>
        </w:rPr>
        <w:t>条草案</w:t>
      </w:r>
      <w:r w:rsidRPr="00BF42B7">
        <w:rPr>
          <w:rFonts w:eastAsiaTheme="minorEastAsia"/>
          <w:szCs w:val="21"/>
        </w:rPr>
        <w:t>(b)</w:t>
      </w:r>
      <w:r w:rsidRPr="00BF42B7">
        <w:rPr>
          <w:rFonts w:eastAsiaTheme="minorEastAsia"/>
          <w:szCs w:val="21"/>
        </w:rPr>
        <w:t>项中</w:t>
      </w:r>
      <w:r w:rsidRPr="00BF42B7">
        <w:rPr>
          <w:rFonts w:eastAsiaTheme="minorEastAsia" w:hint="eastAsia"/>
          <w:szCs w:val="21"/>
        </w:rPr>
        <w:t>“</w:t>
      </w:r>
      <w:r w:rsidRPr="00BF42B7">
        <w:rPr>
          <w:rFonts w:eastAsiaTheme="minorEastAsia"/>
          <w:szCs w:val="21"/>
        </w:rPr>
        <w:t>受灾国</w:t>
      </w:r>
      <w:r w:rsidRPr="00BF42B7">
        <w:rPr>
          <w:rFonts w:eastAsiaTheme="minorEastAsia" w:hint="eastAsia"/>
          <w:szCs w:val="21"/>
        </w:rPr>
        <w:t>”</w:t>
      </w:r>
      <w:r w:rsidRPr="00BF42B7">
        <w:rPr>
          <w:rFonts w:eastAsiaTheme="minorEastAsia"/>
          <w:szCs w:val="21"/>
        </w:rPr>
        <w:t>含义有所扩大的行文保持一致。</w:t>
      </w:r>
    </w:p>
    <w:p w:rsidR="00765E0D" w:rsidRPr="00BF42B7" w:rsidRDefault="00765E0D" w:rsidP="00765E0D">
      <w:pPr>
        <w:pStyle w:val="SingleTxtGC"/>
        <w:rPr>
          <w:rFonts w:eastAsiaTheme="minorEastAsia"/>
          <w:szCs w:val="21"/>
        </w:rPr>
      </w:pPr>
      <w:r w:rsidRPr="00BF42B7">
        <w:rPr>
          <w:rFonts w:eastAsiaTheme="minorEastAsia"/>
          <w:szCs w:val="21"/>
        </w:rPr>
        <w:t>(4)</w:t>
      </w:r>
      <w:r w:rsidRPr="00BF42B7">
        <w:rPr>
          <w:rFonts w:eastAsiaTheme="minorEastAsia" w:hint="eastAsia"/>
          <w:szCs w:val="21"/>
        </w:rPr>
        <w:t xml:space="preserve">  </w:t>
      </w:r>
      <w:r w:rsidRPr="00BF42B7">
        <w:rPr>
          <w:rFonts w:eastAsiaTheme="minorEastAsia"/>
          <w:szCs w:val="21"/>
        </w:rPr>
        <w:t>关于一国的主权权利与相应的责任之间的联系这一理念，阿尔瓦雷斯法官在</w:t>
      </w:r>
      <w:r w:rsidRPr="00BF42B7">
        <w:rPr>
          <w:rFonts w:eastAsiaTheme="minorEastAsia" w:hint="eastAsia"/>
          <w:szCs w:val="21"/>
        </w:rPr>
        <w:t>“</w:t>
      </w:r>
      <w:r w:rsidRPr="00BF42B7">
        <w:rPr>
          <w:rFonts w:eastAsiaTheme="minorEastAsia"/>
          <w:szCs w:val="21"/>
        </w:rPr>
        <w:t>科孚海峡案</w:t>
      </w:r>
      <w:r w:rsidRPr="00BF42B7">
        <w:rPr>
          <w:rFonts w:eastAsiaTheme="minorEastAsia" w:hint="eastAsia"/>
          <w:szCs w:val="21"/>
        </w:rPr>
        <w:t>”</w:t>
      </w:r>
      <w:r w:rsidRPr="00BF42B7">
        <w:rPr>
          <w:rFonts w:eastAsiaTheme="minorEastAsia"/>
          <w:szCs w:val="21"/>
        </w:rPr>
        <w:t>的独立意见中</w:t>
      </w:r>
      <w:r w:rsidRPr="00BF42B7">
        <w:rPr>
          <w:rFonts w:eastAsiaTheme="minorEastAsia" w:hint="eastAsia"/>
          <w:szCs w:val="21"/>
        </w:rPr>
        <w:t>曾特别作过</w:t>
      </w:r>
      <w:r w:rsidRPr="00BF42B7">
        <w:rPr>
          <w:rFonts w:eastAsiaTheme="minorEastAsia"/>
          <w:szCs w:val="21"/>
        </w:rPr>
        <w:t>表述：</w:t>
      </w:r>
    </w:p>
    <w:p w:rsidR="00765E0D" w:rsidRPr="00BF42B7" w:rsidRDefault="00765E0D" w:rsidP="008972C0">
      <w:pPr>
        <w:pStyle w:val="SingleTxtGC"/>
        <w:ind w:left="1565"/>
        <w:rPr>
          <w:rFonts w:eastAsiaTheme="minorEastAsia"/>
          <w:szCs w:val="21"/>
        </w:rPr>
      </w:pPr>
      <w:r w:rsidRPr="00BF42B7">
        <w:rPr>
          <w:rFonts w:eastAsiaTheme="minorEastAsia" w:hint="eastAsia"/>
          <w:szCs w:val="21"/>
        </w:rPr>
        <w:t>“</w:t>
      </w:r>
      <w:r w:rsidRPr="00BF42B7">
        <w:rPr>
          <w:rFonts w:eastAsiaTheme="minorEastAsia"/>
          <w:szCs w:val="21"/>
        </w:rPr>
        <w:t>我们理解的主权是指一国在其领土内排除所有其他国家所具有的以及在与他国关系中所具有的一整套权利和属性。</w:t>
      </w:r>
      <w:r w:rsidRPr="00BF42B7">
        <w:rPr>
          <w:rFonts w:eastAsiaTheme="minorEastAsia" w:hint="eastAsia"/>
          <w:szCs w:val="21"/>
        </w:rPr>
        <w:t>”“</w:t>
      </w:r>
      <w:r w:rsidRPr="00BF42B7">
        <w:rPr>
          <w:rFonts w:eastAsiaTheme="minorEastAsia"/>
          <w:szCs w:val="21"/>
        </w:rPr>
        <w:t>主权赋予国家权利，也使其承担义务。</w:t>
      </w:r>
      <w:r w:rsidRPr="00BF42B7">
        <w:rPr>
          <w:rFonts w:eastAsiaTheme="minorEastAsia" w:hint="eastAsia"/>
          <w:szCs w:val="21"/>
        </w:rPr>
        <w:t>”</w:t>
      </w:r>
    </w:p>
    <w:p w:rsidR="00765E0D" w:rsidRPr="00BF42B7" w:rsidRDefault="00765E0D" w:rsidP="008972C0">
      <w:pPr>
        <w:pStyle w:val="SingleTxtGC"/>
        <w:ind w:left="1565"/>
        <w:rPr>
          <w:rFonts w:eastAsiaTheme="minorEastAsia"/>
          <w:szCs w:val="21"/>
        </w:rPr>
      </w:pPr>
      <w:r w:rsidRPr="00BF42B7">
        <w:rPr>
          <w:rFonts w:eastAsiaTheme="minorEastAsia" w:hint="eastAsia"/>
          <w:szCs w:val="21"/>
        </w:rPr>
        <w:t>“</w:t>
      </w:r>
      <w:r w:rsidRPr="00BF42B7">
        <w:rPr>
          <w:rFonts w:eastAsiaTheme="minorEastAsia"/>
          <w:szCs w:val="21"/>
        </w:rPr>
        <w:t>主权赋予国家权利，也使其承担义务。</w:t>
      </w:r>
      <w:r w:rsidRPr="00BF42B7">
        <w:rPr>
          <w:rFonts w:eastAsiaTheme="minorEastAsia" w:hint="eastAsia"/>
          <w:szCs w:val="21"/>
        </w:rPr>
        <w:t>”</w:t>
      </w:r>
      <w:r w:rsidRPr="00BF42B7">
        <w:rPr>
          <w:rStyle w:val="a5"/>
          <w:rFonts w:eastAsiaTheme="minorEastAsia"/>
          <w:szCs w:val="21"/>
        </w:rPr>
        <w:footnoteReference w:id="173"/>
      </w:r>
    </w:p>
    <w:p w:rsidR="00765E0D" w:rsidRPr="00BF42B7" w:rsidRDefault="00765E0D" w:rsidP="00765E0D">
      <w:pPr>
        <w:pStyle w:val="SingleTxtGC"/>
        <w:rPr>
          <w:rFonts w:eastAsiaTheme="minorEastAsia"/>
          <w:szCs w:val="21"/>
        </w:rPr>
      </w:pPr>
      <w:r w:rsidRPr="00BF42B7">
        <w:rPr>
          <w:rFonts w:eastAsiaTheme="minorEastAsia"/>
          <w:szCs w:val="21"/>
        </w:rPr>
        <w:t>(5)</w:t>
      </w:r>
      <w:r w:rsidRPr="00BF42B7">
        <w:rPr>
          <w:rFonts w:eastAsiaTheme="minorEastAsia" w:hint="eastAsia"/>
          <w:szCs w:val="21"/>
        </w:rPr>
        <w:t xml:space="preserve">  </w:t>
      </w:r>
      <w:r w:rsidRPr="00BF42B7">
        <w:rPr>
          <w:rFonts w:eastAsiaTheme="minorEastAsia"/>
          <w:szCs w:val="21"/>
        </w:rPr>
        <w:t>第</w:t>
      </w:r>
      <w:r w:rsidRPr="00BF42B7">
        <w:rPr>
          <w:rFonts w:eastAsiaTheme="minorEastAsia"/>
          <w:szCs w:val="21"/>
        </w:rPr>
        <w:t>1</w:t>
      </w:r>
      <w:r w:rsidRPr="00BF42B7">
        <w:rPr>
          <w:rFonts w:eastAsiaTheme="minorEastAsia"/>
          <w:szCs w:val="21"/>
        </w:rPr>
        <w:t>款强调，受灾国是负有保护身处其领土或受其管辖或控制的领土内的人员这一责任的行为方。委员会认</w:t>
      </w:r>
      <w:r w:rsidRPr="00BF42B7">
        <w:rPr>
          <w:rFonts w:eastAsiaTheme="minorEastAsia" w:hint="eastAsia"/>
          <w:szCs w:val="21"/>
        </w:rPr>
        <w:t>为“</w:t>
      </w:r>
      <w:r w:rsidRPr="00BF42B7">
        <w:rPr>
          <w:rFonts w:eastAsiaTheme="minorEastAsia"/>
          <w:szCs w:val="21"/>
        </w:rPr>
        <w:t>责任</w:t>
      </w:r>
      <w:r w:rsidRPr="00BF42B7">
        <w:rPr>
          <w:rFonts w:eastAsiaTheme="minorEastAsia" w:hint="eastAsia"/>
          <w:szCs w:val="21"/>
        </w:rPr>
        <w:t>”</w:t>
      </w:r>
      <w:r w:rsidRPr="00BF42B7">
        <w:rPr>
          <w:rFonts w:eastAsiaTheme="minorEastAsia"/>
          <w:szCs w:val="21"/>
        </w:rPr>
        <w:t>一词比</w:t>
      </w:r>
      <w:r w:rsidRPr="00BF42B7">
        <w:rPr>
          <w:rFonts w:eastAsiaTheme="minorEastAsia" w:hint="eastAsia"/>
          <w:szCs w:val="21"/>
        </w:rPr>
        <w:t>“</w:t>
      </w:r>
      <w:r w:rsidRPr="00BF42B7">
        <w:rPr>
          <w:rFonts w:eastAsiaTheme="minorEastAsia"/>
          <w:szCs w:val="21"/>
        </w:rPr>
        <w:t>职责</w:t>
      </w:r>
      <w:r w:rsidRPr="00BF42B7">
        <w:rPr>
          <w:rFonts w:eastAsiaTheme="minorEastAsia" w:hint="eastAsia"/>
          <w:szCs w:val="21"/>
        </w:rPr>
        <w:t>”</w:t>
      </w:r>
      <w:r w:rsidRPr="00BF42B7">
        <w:rPr>
          <w:rFonts w:eastAsiaTheme="minorEastAsia"/>
          <w:szCs w:val="21"/>
        </w:rPr>
        <w:t>更为妥当。</w:t>
      </w:r>
      <w:r w:rsidRPr="00BF42B7">
        <w:rPr>
          <w:rFonts w:eastAsiaTheme="minorEastAsia" w:hint="eastAsia"/>
          <w:szCs w:val="21"/>
        </w:rPr>
        <w:t>鉴于“</w:t>
      </w:r>
      <w:r w:rsidRPr="00BF42B7">
        <w:rPr>
          <w:rFonts w:eastAsiaTheme="minorEastAsia"/>
          <w:szCs w:val="21"/>
        </w:rPr>
        <w:t>职责</w:t>
      </w:r>
      <w:r w:rsidRPr="00BF42B7">
        <w:rPr>
          <w:rFonts w:eastAsiaTheme="minorEastAsia" w:hint="eastAsia"/>
          <w:szCs w:val="21"/>
        </w:rPr>
        <w:t>”一词在其他语境里使用，在这里使用可能被误解</w:t>
      </w:r>
      <w:r w:rsidRPr="00BF42B7">
        <w:rPr>
          <w:rFonts w:eastAsiaTheme="minorEastAsia"/>
          <w:szCs w:val="21"/>
        </w:rPr>
        <w:t>。</w:t>
      </w:r>
    </w:p>
    <w:p w:rsidR="00765E0D" w:rsidRPr="00BF42B7" w:rsidRDefault="00765E0D" w:rsidP="00765E0D">
      <w:pPr>
        <w:pStyle w:val="SingleTxtGC"/>
        <w:rPr>
          <w:rFonts w:eastAsiaTheme="minorEastAsia"/>
          <w:szCs w:val="21"/>
        </w:rPr>
      </w:pPr>
      <w:r w:rsidRPr="00BF42B7">
        <w:rPr>
          <w:rFonts w:eastAsiaTheme="minorEastAsia"/>
          <w:szCs w:val="21"/>
        </w:rPr>
        <w:t>(6)</w:t>
      </w:r>
      <w:r w:rsidRPr="00BF42B7">
        <w:rPr>
          <w:rFonts w:eastAsiaTheme="minorEastAsia" w:hint="eastAsia"/>
          <w:szCs w:val="21"/>
        </w:rPr>
        <w:t xml:space="preserve">  </w:t>
      </w:r>
      <w:r w:rsidRPr="00BF42B7">
        <w:rPr>
          <w:rFonts w:eastAsiaTheme="minorEastAsia"/>
          <w:szCs w:val="21"/>
        </w:rPr>
        <w:t>第</w:t>
      </w:r>
      <w:r w:rsidRPr="00BF42B7">
        <w:rPr>
          <w:rFonts w:eastAsiaTheme="minorEastAsia"/>
          <w:szCs w:val="21"/>
        </w:rPr>
        <w:t>2</w:t>
      </w:r>
      <w:r w:rsidRPr="00BF42B7">
        <w:rPr>
          <w:rFonts w:eastAsiaTheme="minorEastAsia"/>
          <w:szCs w:val="21"/>
        </w:rPr>
        <w:t>款进一步体现了国家在灾害应对中起着主要作用。由于上述原因，委员会决定采用</w:t>
      </w:r>
      <w:r w:rsidRPr="00BF42B7">
        <w:rPr>
          <w:rFonts w:eastAsiaTheme="minorEastAsia" w:hint="eastAsia"/>
          <w:szCs w:val="21"/>
        </w:rPr>
        <w:t>“</w:t>
      </w:r>
      <w:r w:rsidRPr="00BF42B7">
        <w:rPr>
          <w:rFonts w:eastAsiaTheme="minorEastAsia"/>
          <w:szCs w:val="21"/>
        </w:rPr>
        <w:t>作用</w:t>
      </w:r>
      <w:r w:rsidRPr="00BF42B7">
        <w:rPr>
          <w:rFonts w:eastAsiaTheme="minorEastAsia" w:hint="eastAsia"/>
          <w:szCs w:val="21"/>
        </w:rPr>
        <w:t>”</w:t>
      </w:r>
      <w:r w:rsidRPr="00BF42B7">
        <w:rPr>
          <w:rFonts w:eastAsiaTheme="minorEastAsia"/>
          <w:szCs w:val="21"/>
        </w:rPr>
        <w:t>一词而不用</w:t>
      </w:r>
      <w:r w:rsidRPr="00BF42B7">
        <w:rPr>
          <w:rFonts w:eastAsiaTheme="minorEastAsia" w:hint="eastAsia"/>
          <w:szCs w:val="21"/>
        </w:rPr>
        <w:t>“</w:t>
      </w:r>
      <w:r w:rsidRPr="00BF42B7">
        <w:rPr>
          <w:rFonts w:eastAsiaTheme="minorEastAsia"/>
          <w:szCs w:val="21"/>
        </w:rPr>
        <w:t>职责</w:t>
      </w:r>
      <w:r w:rsidRPr="00BF42B7">
        <w:rPr>
          <w:rFonts w:eastAsiaTheme="minorEastAsia" w:hint="eastAsia"/>
          <w:szCs w:val="21"/>
        </w:rPr>
        <w:t>”</w:t>
      </w:r>
      <w:r w:rsidRPr="00BF42B7">
        <w:rPr>
          <w:rFonts w:eastAsiaTheme="minorEastAsia"/>
          <w:szCs w:val="21"/>
        </w:rPr>
        <w:t>来表述受灾国的地位。采用</w:t>
      </w:r>
      <w:r w:rsidRPr="00BF42B7">
        <w:rPr>
          <w:rFonts w:eastAsiaTheme="minorEastAsia" w:hint="eastAsia"/>
          <w:szCs w:val="21"/>
        </w:rPr>
        <w:t>“</w:t>
      </w:r>
      <w:r w:rsidRPr="00BF42B7">
        <w:rPr>
          <w:rFonts w:eastAsiaTheme="minorEastAsia"/>
          <w:szCs w:val="21"/>
        </w:rPr>
        <w:t>作用</w:t>
      </w:r>
      <w:r w:rsidRPr="00BF42B7">
        <w:rPr>
          <w:rFonts w:eastAsiaTheme="minorEastAsia" w:hint="eastAsia"/>
          <w:szCs w:val="21"/>
        </w:rPr>
        <w:t>”</w:t>
      </w:r>
      <w:r w:rsidRPr="00BF42B7">
        <w:rPr>
          <w:rFonts w:eastAsiaTheme="minorEastAsia"/>
          <w:szCs w:val="21"/>
        </w:rPr>
        <w:t>一词受到了大会第</w:t>
      </w:r>
      <w:hyperlink r:id="rId62" w:history="1">
        <w:r w:rsidRPr="007F0135">
          <w:rPr>
            <w:rStyle w:val="af"/>
            <w:rFonts w:eastAsiaTheme="minorEastAsia"/>
            <w:szCs w:val="21"/>
          </w:rPr>
          <w:t>46/182</w:t>
        </w:r>
      </w:hyperlink>
      <w:r w:rsidRPr="00BF42B7">
        <w:rPr>
          <w:rFonts w:eastAsiaTheme="minorEastAsia"/>
          <w:szCs w:val="21"/>
        </w:rPr>
        <w:t>号决议的启发，该决议中称，受灾国</w:t>
      </w:r>
      <w:r w:rsidRPr="00BF42B7">
        <w:rPr>
          <w:rFonts w:eastAsiaTheme="minorEastAsia" w:hint="eastAsia"/>
          <w:szCs w:val="21"/>
        </w:rPr>
        <w:t>“</w:t>
      </w:r>
      <w:r w:rsidRPr="00BF42B7">
        <w:rPr>
          <w:rFonts w:eastAsiaTheme="minorEastAsia"/>
          <w:szCs w:val="21"/>
        </w:rPr>
        <w:t>在其境内发起、组织、协调和执行人道主义援助方面起主要作用</w:t>
      </w:r>
      <w:r w:rsidRPr="00BF42B7">
        <w:rPr>
          <w:rFonts w:eastAsiaTheme="minorEastAsia" w:hint="eastAsia"/>
          <w:szCs w:val="21"/>
        </w:rPr>
        <w:t>”</w:t>
      </w:r>
      <w:r w:rsidRPr="00BF42B7">
        <w:rPr>
          <w:rFonts w:eastAsiaTheme="minorEastAsia"/>
          <w:szCs w:val="21"/>
        </w:rPr>
        <w:t>。</w:t>
      </w:r>
      <w:r w:rsidRPr="00BF42B7">
        <w:rPr>
          <w:rStyle w:val="a5"/>
          <w:rFonts w:eastAsiaTheme="minorEastAsia"/>
          <w:szCs w:val="21"/>
        </w:rPr>
        <w:footnoteReference w:id="174"/>
      </w:r>
      <w:r w:rsidRPr="00BF42B7">
        <w:rPr>
          <w:rFonts w:eastAsiaTheme="minorEastAsia"/>
          <w:szCs w:val="21"/>
        </w:rPr>
        <w:t xml:space="preserve"> </w:t>
      </w:r>
      <w:r w:rsidRPr="00BF42B7">
        <w:rPr>
          <w:rFonts w:eastAsiaTheme="minorEastAsia"/>
          <w:szCs w:val="21"/>
        </w:rPr>
        <w:t>采用</w:t>
      </w:r>
      <w:r w:rsidRPr="00BF42B7">
        <w:rPr>
          <w:rFonts w:eastAsiaTheme="minorEastAsia" w:hint="eastAsia"/>
          <w:szCs w:val="21"/>
        </w:rPr>
        <w:t>“</w:t>
      </w:r>
      <w:r w:rsidRPr="00BF42B7">
        <w:rPr>
          <w:rFonts w:eastAsiaTheme="minorEastAsia"/>
          <w:szCs w:val="21"/>
        </w:rPr>
        <w:t>作用</w:t>
      </w:r>
      <w:r w:rsidRPr="00BF42B7">
        <w:rPr>
          <w:rFonts w:eastAsiaTheme="minorEastAsia" w:hint="eastAsia"/>
          <w:szCs w:val="21"/>
        </w:rPr>
        <w:t>”</w:t>
      </w:r>
      <w:r w:rsidRPr="00BF42B7">
        <w:rPr>
          <w:rFonts w:eastAsiaTheme="minorEastAsia"/>
          <w:szCs w:val="21"/>
        </w:rPr>
        <w:t>一词而不用</w:t>
      </w:r>
      <w:r w:rsidRPr="00BF42B7">
        <w:rPr>
          <w:rFonts w:eastAsiaTheme="minorEastAsia" w:hint="eastAsia"/>
          <w:szCs w:val="21"/>
        </w:rPr>
        <w:t>“</w:t>
      </w:r>
      <w:r w:rsidRPr="00BF42B7">
        <w:rPr>
          <w:rFonts w:eastAsiaTheme="minorEastAsia"/>
          <w:szCs w:val="21"/>
        </w:rPr>
        <w:t>职责</w:t>
      </w:r>
      <w:r w:rsidRPr="00BF42B7">
        <w:rPr>
          <w:rFonts w:eastAsiaTheme="minorEastAsia" w:hint="eastAsia"/>
          <w:szCs w:val="21"/>
        </w:rPr>
        <w:t>”</w:t>
      </w:r>
      <w:r w:rsidRPr="00BF42B7">
        <w:rPr>
          <w:rFonts w:eastAsiaTheme="minorEastAsia"/>
          <w:szCs w:val="21"/>
        </w:rPr>
        <w:t>在灾害应对活动</w:t>
      </w:r>
      <w:r w:rsidRPr="00BF42B7">
        <w:rPr>
          <w:rFonts w:eastAsiaTheme="minorEastAsia" w:hint="eastAsia"/>
          <w:szCs w:val="21"/>
        </w:rPr>
        <w:t>的协调</w:t>
      </w:r>
      <w:r w:rsidRPr="00BF42B7">
        <w:rPr>
          <w:rFonts w:eastAsiaTheme="minorEastAsia"/>
          <w:szCs w:val="21"/>
        </w:rPr>
        <w:t>方面给</w:t>
      </w:r>
      <w:r w:rsidRPr="00BF42B7">
        <w:rPr>
          <w:rFonts w:eastAsiaTheme="minorEastAsia" w:hint="eastAsia"/>
          <w:szCs w:val="21"/>
        </w:rPr>
        <w:t>各</w:t>
      </w:r>
      <w:r w:rsidRPr="00BF42B7">
        <w:rPr>
          <w:rFonts w:eastAsiaTheme="minorEastAsia"/>
          <w:szCs w:val="21"/>
        </w:rPr>
        <w:t>国留出</w:t>
      </w:r>
      <w:r w:rsidRPr="00BF42B7">
        <w:rPr>
          <w:rFonts w:eastAsiaTheme="minorEastAsia" w:hint="eastAsia"/>
          <w:szCs w:val="21"/>
        </w:rPr>
        <w:t>一定灵活</w:t>
      </w:r>
      <w:r w:rsidRPr="00BF42B7">
        <w:rPr>
          <w:rFonts w:eastAsiaTheme="minorEastAsia"/>
          <w:szCs w:val="21"/>
        </w:rPr>
        <w:t>余地。含有国家有义务指挥或控制灾害应对活动之意的措辞可能反而</w:t>
      </w:r>
      <w:r w:rsidRPr="00BF42B7">
        <w:rPr>
          <w:rFonts w:eastAsiaTheme="minorEastAsia" w:hint="eastAsia"/>
          <w:szCs w:val="21"/>
        </w:rPr>
        <w:t>对</w:t>
      </w:r>
      <w:r w:rsidRPr="00BF42B7">
        <w:rPr>
          <w:rFonts w:eastAsiaTheme="minorEastAsia"/>
          <w:szCs w:val="21"/>
        </w:rPr>
        <w:t>一些倾向于在灾害应对的协调</w:t>
      </w:r>
      <w:r w:rsidRPr="00BF42B7">
        <w:rPr>
          <w:rFonts w:eastAsiaTheme="minorEastAsia" w:hint="eastAsia"/>
          <w:szCs w:val="21"/>
        </w:rPr>
        <w:t>方面</w:t>
      </w:r>
      <w:r w:rsidRPr="00BF42B7">
        <w:rPr>
          <w:rFonts w:eastAsiaTheme="minorEastAsia"/>
          <w:szCs w:val="21"/>
        </w:rPr>
        <w:t>发挥较有限的作用的国家</w:t>
      </w:r>
      <w:r w:rsidRPr="00BF42B7">
        <w:rPr>
          <w:rFonts w:eastAsiaTheme="minorEastAsia" w:hint="eastAsia"/>
          <w:szCs w:val="21"/>
        </w:rPr>
        <w:t>具有过强的限制性，这些国家例如由于</w:t>
      </w:r>
      <w:r w:rsidRPr="00BF42B7">
        <w:rPr>
          <w:rFonts w:eastAsiaTheme="minorEastAsia"/>
          <w:szCs w:val="21"/>
        </w:rPr>
        <w:t>资源有限</w:t>
      </w:r>
      <w:r w:rsidRPr="00BF42B7">
        <w:rPr>
          <w:rFonts w:eastAsiaTheme="minorEastAsia" w:hint="eastAsia"/>
          <w:szCs w:val="21"/>
        </w:rPr>
        <w:t>，倾向于发挥有限的作用。</w:t>
      </w:r>
    </w:p>
    <w:p w:rsidR="00765E0D" w:rsidRPr="00BF42B7" w:rsidRDefault="00765E0D" w:rsidP="00765E0D">
      <w:pPr>
        <w:pStyle w:val="SingleTxtGC"/>
        <w:rPr>
          <w:rFonts w:eastAsiaTheme="minorEastAsia"/>
          <w:szCs w:val="21"/>
        </w:rPr>
      </w:pPr>
      <w:r w:rsidRPr="00BF42B7">
        <w:rPr>
          <w:rFonts w:eastAsiaTheme="minorEastAsia"/>
          <w:szCs w:val="21"/>
        </w:rPr>
        <w:t>(7)</w:t>
      </w:r>
      <w:r w:rsidRPr="00BF42B7">
        <w:rPr>
          <w:rFonts w:eastAsiaTheme="minorEastAsia" w:hint="eastAsia"/>
          <w:szCs w:val="21"/>
        </w:rPr>
        <w:t xml:space="preserve">  </w:t>
      </w:r>
      <w:r w:rsidRPr="00BF42B7">
        <w:rPr>
          <w:rFonts w:eastAsiaTheme="minorEastAsia"/>
          <w:szCs w:val="21"/>
        </w:rPr>
        <w:t>受灾国的主要作用还受到另一启发：国际法早已承认一国最能判断紧急情况的严重性并制定适当的应对政策。第</w:t>
      </w:r>
      <w:r w:rsidRPr="00BF42B7">
        <w:rPr>
          <w:rFonts w:eastAsiaTheme="minorEastAsia"/>
          <w:szCs w:val="21"/>
        </w:rPr>
        <w:t>2</w:t>
      </w:r>
      <w:r w:rsidRPr="00BF42B7">
        <w:rPr>
          <w:rFonts w:eastAsiaTheme="minorEastAsia"/>
          <w:szCs w:val="21"/>
        </w:rPr>
        <w:t>款中称，受灾国起着指挥、控制、协调和监督抗灾救济和援助的主要作用，这一点应与第</w:t>
      </w:r>
      <w:r w:rsidRPr="00BF42B7">
        <w:rPr>
          <w:rFonts w:eastAsiaTheme="minorEastAsia"/>
          <w:szCs w:val="21"/>
        </w:rPr>
        <w:t>7</w:t>
      </w:r>
      <w:r w:rsidRPr="00BF42B7">
        <w:rPr>
          <w:rFonts w:eastAsiaTheme="minorEastAsia"/>
          <w:szCs w:val="21"/>
        </w:rPr>
        <w:t>条草案所述的合作</w:t>
      </w:r>
      <w:r w:rsidRPr="00BF42B7">
        <w:rPr>
          <w:rFonts w:eastAsiaTheme="minorEastAsia" w:hint="eastAsia"/>
          <w:szCs w:val="21"/>
        </w:rPr>
        <w:t>义务</w:t>
      </w:r>
      <w:r w:rsidRPr="00BF42B7">
        <w:rPr>
          <w:rFonts w:eastAsiaTheme="minorEastAsia"/>
          <w:szCs w:val="21"/>
        </w:rPr>
        <w:t>一并解读。这样看来，第</w:t>
      </w:r>
      <w:r w:rsidRPr="00BF42B7">
        <w:rPr>
          <w:rFonts w:eastAsiaTheme="minorEastAsia"/>
          <w:szCs w:val="21"/>
        </w:rPr>
        <w:t>10</w:t>
      </w:r>
      <w:r w:rsidRPr="00BF42B7">
        <w:rPr>
          <w:rFonts w:eastAsiaTheme="minorEastAsia"/>
          <w:szCs w:val="21"/>
        </w:rPr>
        <w:t>条草案第</w:t>
      </w:r>
      <w:r w:rsidRPr="00BF42B7">
        <w:rPr>
          <w:rFonts w:eastAsiaTheme="minorEastAsia"/>
          <w:szCs w:val="21"/>
        </w:rPr>
        <w:t>2</w:t>
      </w:r>
      <w:r w:rsidRPr="00BF42B7">
        <w:rPr>
          <w:rFonts w:eastAsiaTheme="minorEastAsia"/>
          <w:szCs w:val="21"/>
        </w:rPr>
        <w:t>款肯定了受灾国在与第</w:t>
      </w:r>
      <w:r w:rsidRPr="00BF42B7">
        <w:rPr>
          <w:rFonts w:eastAsiaTheme="minorEastAsia"/>
          <w:szCs w:val="21"/>
        </w:rPr>
        <w:t>7</w:t>
      </w:r>
      <w:r w:rsidRPr="00BF42B7">
        <w:rPr>
          <w:rFonts w:eastAsiaTheme="minorEastAsia"/>
          <w:szCs w:val="21"/>
        </w:rPr>
        <w:t>条草案中提到的其他相关行为方的合作关系中起着主要作用。</w:t>
      </w:r>
    </w:p>
    <w:p w:rsidR="00765E0D" w:rsidRPr="00BF42B7" w:rsidRDefault="00765E0D" w:rsidP="00765E0D">
      <w:pPr>
        <w:pStyle w:val="SingleTxtGC"/>
        <w:rPr>
          <w:rFonts w:eastAsiaTheme="minorEastAsia"/>
          <w:szCs w:val="21"/>
        </w:rPr>
      </w:pPr>
      <w:r w:rsidRPr="00BF42B7">
        <w:rPr>
          <w:rFonts w:eastAsiaTheme="minorEastAsia"/>
          <w:szCs w:val="21"/>
        </w:rPr>
        <w:t>(8)</w:t>
      </w:r>
      <w:r w:rsidRPr="00BF42B7">
        <w:rPr>
          <w:rFonts w:eastAsiaTheme="minorEastAsia" w:hint="eastAsia"/>
          <w:szCs w:val="21"/>
        </w:rPr>
        <w:t xml:space="preserve">  </w:t>
      </w:r>
      <w:r w:rsidRPr="00BF42B7">
        <w:rPr>
          <w:rFonts w:eastAsiaTheme="minorEastAsia" w:hint="eastAsia"/>
          <w:szCs w:val="21"/>
        </w:rPr>
        <w:t>“</w:t>
      </w:r>
      <w:r w:rsidRPr="00BF42B7">
        <w:rPr>
          <w:rFonts w:eastAsiaTheme="minorEastAsia"/>
          <w:szCs w:val="21"/>
        </w:rPr>
        <w:t>指挥、控制、协调和监督</w:t>
      </w:r>
      <w:r w:rsidRPr="00BF42B7">
        <w:rPr>
          <w:rFonts w:eastAsiaTheme="minorEastAsia" w:hint="eastAsia"/>
          <w:szCs w:val="21"/>
        </w:rPr>
        <w:t>”</w:t>
      </w:r>
      <w:r w:rsidRPr="00BF42B7">
        <w:rPr>
          <w:rFonts w:eastAsiaTheme="minorEastAsia"/>
          <w:szCs w:val="21"/>
        </w:rPr>
        <w:t>救灾援助的提法来自《坦佩雷公约》第</w:t>
      </w:r>
      <w:r w:rsidRPr="00BF42B7">
        <w:rPr>
          <w:rFonts w:eastAsiaTheme="minorEastAsia"/>
          <w:szCs w:val="21"/>
        </w:rPr>
        <w:t>4</w:t>
      </w:r>
      <w:r w:rsidRPr="00BF42B7">
        <w:rPr>
          <w:rFonts w:eastAsiaTheme="minorEastAsia"/>
          <w:szCs w:val="21"/>
        </w:rPr>
        <w:t>条第</w:t>
      </w:r>
      <w:r w:rsidRPr="00BF42B7">
        <w:rPr>
          <w:rFonts w:eastAsiaTheme="minorEastAsia"/>
          <w:szCs w:val="21"/>
        </w:rPr>
        <w:t>8</w:t>
      </w:r>
      <w:r w:rsidRPr="00BF42B7">
        <w:rPr>
          <w:rFonts w:eastAsiaTheme="minorEastAsia"/>
          <w:szCs w:val="21"/>
        </w:rPr>
        <w:t>款。</w:t>
      </w:r>
      <w:r w:rsidRPr="00BF42B7">
        <w:rPr>
          <w:rStyle w:val="a5"/>
          <w:rFonts w:eastAsiaTheme="minorEastAsia"/>
          <w:szCs w:val="21"/>
        </w:rPr>
        <w:footnoteReference w:id="175"/>
      </w:r>
      <w:r w:rsidRPr="00BF42B7">
        <w:rPr>
          <w:rFonts w:eastAsiaTheme="minorEastAsia"/>
          <w:szCs w:val="21"/>
        </w:rPr>
        <w:t xml:space="preserve"> </w:t>
      </w:r>
      <w:r w:rsidRPr="00BF42B7">
        <w:rPr>
          <w:rFonts w:eastAsiaTheme="minorEastAsia"/>
          <w:szCs w:val="21"/>
        </w:rPr>
        <w:t>《坦佩雷公约》在救灾援助领域日益广被接受，而且措辞较为现代。</w:t>
      </w:r>
      <w:bookmarkStart w:id="42" w:name="_Ref450724024"/>
      <w:r w:rsidRPr="00BF42B7">
        <w:rPr>
          <w:rStyle w:val="a5"/>
          <w:rFonts w:eastAsiaTheme="minorEastAsia"/>
          <w:szCs w:val="21"/>
        </w:rPr>
        <w:footnoteReference w:id="176"/>
      </w:r>
      <w:bookmarkEnd w:id="42"/>
      <w:r w:rsidRPr="00BF42B7">
        <w:rPr>
          <w:rFonts w:eastAsiaTheme="minorEastAsia"/>
          <w:szCs w:val="21"/>
        </w:rPr>
        <w:t xml:space="preserve"> </w:t>
      </w:r>
      <w:r w:rsidRPr="00BF42B7">
        <w:rPr>
          <w:rFonts w:eastAsiaTheme="minorEastAsia"/>
          <w:szCs w:val="21"/>
        </w:rPr>
        <w:t>这种表述体现了</w:t>
      </w:r>
      <w:r w:rsidRPr="00BF42B7">
        <w:rPr>
          <w:rFonts w:eastAsiaTheme="minorEastAsia" w:hint="eastAsia"/>
          <w:szCs w:val="21"/>
        </w:rPr>
        <w:t>受灾</w:t>
      </w:r>
      <w:r w:rsidRPr="00BF42B7">
        <w:rPr>
          <w:rFonts w:eastAsiaTheme="minorEastAsia"/>
          <w:szCs w:val="21"/>
        </w:rPr>
        <w:t>国在以何种方式遵照国际法</w:t>
      </w:r>
      <w:r w:rsidRPr="00BF42B7">
        <w:rPr>
          <w:rFonts w:eastAsiaTheme="minorEastAsia"/>
          <w:szCs w:val="21"/>
        </w:rPr>
        <w:t>(</w:t>
      </w:r>
      <w:r w:rsidRPr="00BF42B7">
        <w:rPr>
          <w:rFonts w:eastAsiaTheme="minorEastAsia"/>
          <w:szCs w:val="21"/>
        </w:rPr>
        <w:t>包括本条款草案</w:t>
      </w:r>
      <w:r w:rsidRPr="00BF42B7">
        <w:rPr>
          <w:rFonts w:eastAsiaTheme="minorEastAsia"/>
          <w:szCs w:val="21"/>
        </w:rPr>
        <w:t>)</w:t>
      </w:r>
      <w:r w:rsidRPr="00BF42B7">
        <w:rPr>
          <w:rFonts w:eastAsiaTheme="minorEastAsia"/>
          <w:szCs w:val="21"/>
        </w:rPr>
        <w:t>开展救灾行动方面拥有控制权的立场。受灾国</w:t>
      </w:r>
      <w:r w:rsidRPr="00BF42B7">
        <w:rPr>
          <w:rFonts w:eastAsiaTheme="minorEastAsia" w:hint="eastAsia"/>
          <w:szCs w:val="21"/>
        </w:rPr>
        <w:t>的这种</w:t>
      </w:r>
      <w:r w:rsidRPr="00BF42B7">
        <w:rPr>
          <w:rFonts w:eastAsiaTheme="minorEastAsia"/>
          <w:szCs w:val="21"/>
        </w:rPr>
        <w:t>控制权不能</w:t>
      </w:r>
      <w:r w:rsidRPr="00BF42B7">
        <w:rPr>
          <w:rFonts w:eastAsiaTheme="minorEastAsia" w:hint="eastAsia"/>
          <w:szCs w:val="21"/>
        </w:rPr>
        <w:t>视为对</w:t>
      </w:r>
      <w:r w:rsidRPr="00BF42B7">
        <w:rPr>
          <w:rFonts w:eastAsiaTheme="minorEastAsia"/>
          <w:szCs w:val="21"/>
        </w:rPr>
        <w:t>援助方的活动</w:t>
      </w:r>
      <w:r w:rsidRPr="00BF42B7">
        <w:rPr>
          <w:rFonts w:eastAsiaTheme="minorEastAsia" w:hint="eastAsia"/>
          <w:szCs w:val="21"/>
        </w:rPr>
        <w:t>的</w:t>
      </w:r>
      <w:r w:rsidRPr="00BF42B7">
        <w:rPr>
          <w:rFonts w:eastAsiaTheme="minorEastAsia"/>
          <w:szCs w:val="21"/>
        </w:rPr>
        <w:t>不当干涉。</w:t>
      </w:r>
    </w:p>
    <w:p w:rsidR="00765E0D" w:rsidRPr="00BF42B7" w:rsidRDefault="00765E0D" w:rsidP="00765E0D">
      <w:pPr>
        <w:pStyle w:val="SingleTxtGC"/>
        <w:rPr>
          <w:rFonts w:eastAsiaTheme="minorEastAsia"/>
          <w:szCs w:val="21"/>
        </w:rPr>
      </w:pPr>
      <w:r w:rsidRPr="00BF42B7">
        <w:rPr>
          <w:rFonts w:eastAsiaTheme="minorEastAsia"/>
          <w:szCs w:val="21"/>
        </w:rPr>
        <w:t>(9)</w:t>
      </w:r>
      <w:r w:rsidRPr="00BF42B7">
        <w:rPr>
          <w:rFonts w:eastAsiaTheme="minorEastAsia" w:hint="eastAsia"/>
          <w:szCs w:val="21"/>
        </w:rPr>
        <w:t xml:space="preserve">  </w:t>
      </w:r>
      <w:r w:rsidRPr="00BF42B7">
        <w:rPr>
          <w:rFonts w:eastAsiaTheme="minorEastAsia"/>
          <w:szCs w:val="21"/>
        </w:rPr>
        <w:t>委员会采用了与《坦佩雷公约》有所不同的措辞，决定本条中在表述受灾国的主要作用时不提及</w:t>
      </w:r>
      <w:r w:rsidRPr="00BF42B7">
        <w:rPr>
          <w:rFonts w:eastAsiaTheme="minorEastAsia" w:hint="eastAsia"/>
          <w:szCs w:val="21"/>
        </w:rPr>
        <w:t>“</w:t>
      </w:r>
      <w:r w:rsidRPr="00BF42B7">
        <w:rPr>
          <w:rFonts w:eastAsiaTheme="minorEastAsia"/>
          <w:szCs w:val="21"/>
        </w:rPr>
        <w:t>本国法律</w:t>
      </w:r>
      <w:r w:rsidRPr="00BF42B7">
        <w:rPr>
          <w:rFonts w:eastAsiaTheme="minorEastAsia" w:hint="eastAsia"/>
          <w:szCs w:val="21"/>
        </w:rPr>
        <w:t>”</w:t>
      </w:r>
      <w:r w:rsidRPr="00BF42B7">
        <w:rPr>
          <w:rFonts w:eastAsiaTheme="minorEastAsia"/>
          <w:szCs w:val="21"/>
        </w:rPr>
        <w:t>。《坦佩雷公约》中提及本国法律之处表明，妥善的协调须与受灾国的国内法保持一致。委员会决定在本条中不提及这一点，因为可能并非所有受灾国的国内法都规范或规定了国家在灾害应对情况下的主要作用。</w:t>
      </w:r>
    </w:p>
    <w:p w:rsidR="00765E0D" w:rsidRPr="00BF42B7" w:rsidRDefault="00765E0D" w:rsidP="00765E0D">
      <w:pPr>
        <w:pStyle w:val="H23GC"/>
        <w:ind w:left="1554"/>
        <w:jc w:val="left"/>
        <w:rPr>
          <w:snapToGrid/>
          <w:lang w:val="zh-CN"/>
        </w:rPr>
      </w:pPr>
      <w:r w:rsidRPr="00BF42B7">
        <w:rPr>
          <w:rFonts w:hint="eastAsia"/>
          <w:lang w:val="zh-CN"/>
        </w:rPr>
        <w:tab/>
      </w:r>
      <w:r w:rsidRPr="00BF42B7">
        <w:rPr>
          <w:rFonts w:hint="eastAsia"/>
          <w:lang w:val="zh-CN"/>
        </w:rPr>
        <w:tab/>
      </w:r>
      <w:r w:rsidRPr="00BF42B7">
        <w:rPr>
          <w:snapToGrid/>
          <w:lang w:val="zh-CN"/>
        </w:rPr>
        <w:t>第</w:t>
      </w:r>
      <w:r w:rsidRPr="00BF42B7">
        <w:rPr>
          <w:snapToGrid/>
          <w:lang w:val="zh-CN"/>
        </w:rPr>
        <w:t>11</w:t>
      </w:r>
      <w:r w:rsidRPr="00BF42B7">
        <w:rPr>
          <w:snapToGrid/>
          <w:lang w:val="zh-CN"/>
        </w:rPr>
        <w:t>条</w:t>
      </w:r>
      <w:r w:rsidRPr="00BF42B7">
        <w:rPr>
          <w:snapToGrid/>
          <w:lang w:val="zh-CN"/>
        </w:rPr>
        <w:cr/>
      </w:r>
      <w:r w:rsidRPr="00BF42B7">
        <w:rPr>
          <w:snapToGrid/>
          <w:lang w:val="zh-CN"/>
        </w:rPr>
        <w:t>受灾国寻求外部援助的责任</w:t>
      </w:r>
    </w:p>
    <w:p w:rsidR="00765E0D" w:rsidRPr="00BF42B7" w:rsidRDefault="00765E0D" w:rsidP="00765E0D">
      <w:pPr>
        <w:pStyle w:val="SingleTxtGC"/>
        <w:ind w:left="1554" w:firstLine="431"/>
        <w:rPr>
          <w:rFonts w:eastAsiaTheme="minorEastAsia"/>
          <w:szCs w:val="21"/>
        </w:rPr>
      </w:pPr>
      <w:r w:rsidRPr="00BF42B7">
        <w:rPr>
          <w:rFonts w:eastAsiaTheme="minorEastAsia"/>
          <w:szCs w:val="21"/>
          <w:lang w:val="zh-CN"/>
        </w:rPr>
        <w:t>如所遭受的灾害明显超出</w:t>
      </w:r>
      <w:r w:rsidRPr="00BF42B7">
        <w:rPr>
          <w:rFonts w:eastAsiaTheme="minorEastAsia" w:hint="eastAsia"/>
          <w:szCs w:val="21"/>
          <w:lang w:val="zh-CN"/>
        </w:rPr>
        <w:t>受灾</w:t>
      </w:r>
      <w:r w:rsidRPr="00BF42B7">
        <w:rPr>
          <w:rFonts w:eastAsiaTheme="minorEastAsia"/>
          <w:szCs w:val="21"/>
          <w:lang w:val="zh-CN"/>
        </w:rPr>
        <w:t>国的应对能力，则受灾国有责任酌情向其他国家、联合国及其他潜在援助方寻求援助</w:t>
      </w:r>
      <w:r w:rsidRPr="00BF42B7">
        <w:rPr>
          <w:rFonts w:eastAsiaTheme="minorEastAsia"/>
          <w:szCs w:val="21"/>
        </w:rPr>
        <w:t>。</w:t>
      </w:r>
    </w:p>
    <w:p w:rsidR="00765E0D" w:rsidRPr="00BF42B7" w:rsidRDefault="00765E0D" w:rsidP="00765E0D">
      <w:pPr>
        <w:pStyle w:val="H23GC"/>
        <w:jc w:val="left"/>
      </w:pPr>
      <w:bookmarkStart w:id="43" w:name="TOC304454281"/>
      <w:bookmarkStart w:id="44" w:name="_Toc398107265"/>
      <w:r w:rsidRPr="00BF42B7">
        <w:rPr>
          <w:rFonts w:hint="eastAsia"/>
        </w:rPr>
        <w:tab/>
      </w:r>
      <w:r w:rsidRPr="00BF42B7">
        <w:rPr>
          <w:rFonts w:hint="eastAsia"/>
        </w:rPr>
        <w:tab/>
      </w:r>
      <w:r w:rsidRPr="00BF42B7">
        <w:t>评注</w:t>
      </w:r>
    </w:p>
    <w:bookmarkEnd w:id="43"/>
    <w:bookmarkEnd w:id="44"/>
    <w:p w:rsidR="00765E0D" w:rsidRPr="00BF42B7" w:rsidRDefault="00765E0D" w:rsidP="00765E0D">
      <w:pPr>
        <w:pStyle w:val="SingleTxtGC"/>
        <w:rPr>
          <w:rFonts w:eastAsiaTheme="minorEastAsia"/>
          <w:szCs w:val="21"/>
        </w:rPr>
      </w:pPr>
      <w:r w:rsidRPr="00BF42B7">
        <w:rPr>
          <w:rFonts w:eastAsiaTheme="minorEastAsia"/>
          <w:szCs w:val="21"/>
        </w:rPr>
        <w:t>(1)</w:t>
      </w:r>
      <w:r w:rsidRPr="00BF42B7">
        <w:rPr>
          <w:rFonts w:eastAsiaTheme="minorEastAsia" w:hint="eastAsia"/>
          <w:szCs w:val="21"/>
        </w:rPr>
        <w:t xml:space="preserve">  </w:t>
      </w:r>
      <w:r w:rsidRPr="00BF42B7">
        <w:rPr>
          <w:rFonts w:eastAsiaTheme="minorEastAsia"/>
          <w:szCs w:val="21"/>
        </w:rPr>
        <w:t>第</w:t>
      </w:r>
      <w:r w:rsidRPr="00BF42B7">
        <w:rPr>
          <w:rFonts w:eastAsiaTheme="minorEastAsia"/>
          <w:szCs w:val="21"/>
        </w:rPr>
        <w:t>11</w:t>
      </w:r>
      <w:r w:rsidRPr="00BF42B7">
        <w:rPr>
          <w:rFonts w:eastAsiaTheme="minorEastAsia"/>
          <w:szCs w:val="21"/>
        </w:rPr>
        <w:t>条草案是关于灾害超过国家应对能力的特殊情况。在这种情况下，受灾国有责任酌情向其他国家、联合国及第</w:t>
      </w:r>
      <w:r w:rsidRPr="00BF42B7">
        <w:rPr>
          <w:rFonts w:eastAsiaTheme="minorEastAsia"/>
          <w:szCs w:val="21"/>
        </w:rPr>
        <w:t>3</w:t>
      </w:r>
      <w:r w:rsidRPr="00BF42B7">
        <w:rPr>
          <w:rFonts w:eastAsiaTheme="minorEastAsia"/>
          <w:szCs w:val="21"/>
        </w:rPr>
        <w:t>条草案</w:t>
      </w:r>
      <w:r w:rsidRPr="00BF42B7">
        <w:rPr>
          <w:rFonts w:eastAsiaTheme="minorEastAsia"/>
          <w:szCs w:val="21"/>
        </w:rPr>
        <w:t>(d)</w:t>
      </w:r>
      <w:r w:rsidRPr="00BF42B7">
        <w:rPr>
          <w:rFonts w:eastAsiaTheme="minorEastAsia"/>
          <w:szCs w:val="21"/>
        </w:rPr>
        <w:t>项所定义的其他潜在援助方寻求援助。第</w:t>
      </w:r>
      <w:r w:rsidRPr="00BF42B7">
        <w:rPr>
          <w:rFonts w:eastAsiaTheme="minorEastAsia"/>
          <w:szCs w:val="21"/>
        </w:rPr>
        <w:t>11</w:t>
      </w:r>
      <w:r w:rsidRPr="00BF42B7">
        <w:rPr>
          <w:rFonts w:eastAsiaTheme="minorEastAsia"/>
          <w:szCs w:val="21"/>
        </w:rPr>
        <w:t>条草案中阐述的义务是第</w:t>
      </w:r>
      <w:r w:rsidRPr="00BF42B7">
        <w:rPr>
          <w:rFonts w:eastAsiaTheme="minorEastAsia"/>
          <w:szCs w:val="21"/>
        </w:rPr>
        <w:t>7</w:t>
      </w:r>
      <w:r w:rsidRPr="00BF42B7">
        <w:rPr>
          <w:rFonts w:eastAsiaTheme="minorEastAsia"/>
          <w:szCs w:val="21"/>
        </w:rPr>
        <w:t>和第</w:t>
      </w:r>
      <w:r w:rsidRPr="00BF42B7">
        <w:rPr>
          <w:rFonts w:eastAsiaTheme="minorEastAsia"/>
          <w:szCs w:val="21"/>
        </w:rPr>
        <w:t>10</w:t>
      </w:r>
      <w:r w:rsidRPr="00BF42B7">
        <w:rPr>
          <w:rFonts w:eastAsiaTheme="minorEastAsia"/>
          <w:szCs w:val="21"/>
        </w:rPr>
        <w:t>条草案的详细说明。第</w:t>
      </w:r>
      <w:r w:rsidRPr="00BF42B7">
        <w:rPr>
          <w:rFonts w:eastAsiaTheme="minorEastAsia"/>
          <w:szCs w:val="21"/>
        </w:rPr>
        <w:t>10</w:t>
      </w:r>
      <w:r w:rsidRPr="00BF42B7">
        <w:rPr>
          <w:rFonts w:eastAsiaTheme="minorEastAsia"/>
          <w:szCs w:val="21"/>
        </w:rPr>
        <w:t>条草案第</w:t>
      </w:r>
      <w:r w:rsidRPr="00BF42B7">
        <w:rPr>
          <w:rFonts w:eastAsiaTheme="minorEastAsia"/>
          <w:szCs w:val="21"/>
        </w:rPr>
        <w:t>1</w:t>
      </w:r>
      <w:r w:rsidRPr="00BF42B7">
        <w:rPr>
          <w:rFonts w:eastAsiaTheme="minorEastAsia"/>
          <w:szCs w:val="21"/>
        </w:rPr>
        <w:t>款规定，受灾国有责任在其领土或受其管辖或控制的领土内确保人员</w:t>
      </w:r>
      <w:r w:rsidRPr="00BF42B7">
        <w:rPr>
          <w:rFonts w:eastAsiaTheme="minorEastAsia" w:hint="eastAsia"/>
          <w:szCs w:val="21"/>
        </w:rPr>
        <w:t>的保护</w:t>
      </w:r>
      <w:r w:rsidRPr="00BF42B7">
        <w:rPr>
          <w:rFonts w:eastAsiaTheme="minorEastAsia"/>
          <w:szCs w:val="21"/>
        </w:rPr>
        <w:t>和救灾援助</w:t>
      </w:r>
      <w:r w:rsidRPr="00BF42B7">
        <w:rPr>
          <w:rFonts w:eastAsiaTheme="minorEastAsia" w:hint="eastAsia"/>
          <w:szCs w:val="21"/>
        </w:rPr>
        <w:t>的提供</w:t>
      </w:r>
      <w:r w:rsidRPr="00BF42B7">
        <w:rPr>
          <w:rFonts w:eastAsiaTheme="minorEastAsia"/>
          <w:szCs w:val="21"/>
        </w:rPr>
        <w:t>。该条文草案申明了</w:t>
      </w:r>
      <w:r w:rsidRPr="00BF42B7">
        <w:rPr>
          <w:rFonts w:eastAsiaTheme="minorEastAsia" w:hint="eastAsia"/>
          <w:szCs w:val="21"/>
        </w:rPr>
        <w:t>受灾</w:t>
      </w:r>
      <w:r w:rsidRPr="00BF42B7">
        <w:rPr>
          <w:rFonts w:eastAsiaTheme="minorEastAsia"/>
          <w:szCs w:val="21"/>
        </w:rPr>
        <w:t>国对在其</w:t>
      </w:r>
      <w:r w:rsidRPr="00BF42B7">
        <w:rPr>
          <w:rFonts w:eastAsiaTheme="minorEastAsia" w:hint="eastAsia"/>
          <w:szCs w:val="21"/>
        </w:rPr>
        <w:t>管辖或控制的领土</w:t>
      </w:r>
      <w:r w:rsidRPr="00BF42B7">
        <w:rPr>
          <w:rFonts w:eastAsiaTheme="minorEastAsia"/>
          <w:szCs w:val="21"/>
        </w:rPr>
        <w:t>内的人员</w:t>
      </w:r>
      <w:r w:rsidRPr="00BF42B7">
        <w:rPr>
          <w:rFonts w:eastAsiaTheme="minorEastAsia" w:hint="eastAsia"/>
          <w:szCs w:val="21"/>
        </w:rPr>
        <w:t>全力提供援助的</w:t>
      </w:r>
      <w:r w:rsidRPr="00BF42B7">
        <w:rPr>
          <w:rFonts w:eastAsiaTheme="minorEastAsia"/>
          <w:szCs w:val="21"/>
        </w:rPr>
        <w:t>义务。合作的责任也构成受灾国在灾害明显超出其国家应对能力时的责任的基础。第</w:t>
      </w:r>
      <w:r w:rsidRPr="00BF42B7">
        <w:rPr>
          <w:rFonts w:eastAsiaTheme="minorEastAsia"/>
          <w:szCs w:val="21"/>
        </w:rPr>
        <w:t>7</w:t>
      </w:r>
      <w:r w:rsidRPr="00BF42B7">
        <w:rPr>
          <w:rFonts w:eastAsiaTheme="minorEastAsia"/>
          <w:szCs w:val="21"/>
        </w:rPr>
        <w:t>条草案申明，在适宜进行此种合作的情形下，潜在援助国或其他潜在援助方和受灾国都有合作的</w:t>
      </w:r>
      <w:r w:rsidRPr="00BF42B7">
        <w:rPr>
          <w:rFonts w:eastAsiaTheme="minorEastAsia" w:hint="eastAsia"/>
          <w:szCs w:val="21"/>
        </w:rPr>
        <w:t>义务</w:t>
      </w:r>
      <w:r w:rsidRPr="00BF42B7">
        <w:rPr>
          <w:rFonts w:eastAsiaTheme="minorEastAsia"/>
          <w:szCs w:val="21"/>
        </w:rPr>
        <w:t>。委员会认为，在灾害明显超出受灾国应对能力的情形下，</w:t>
      </w:r>
      <w:r w:rsidRPr="00BF42B7">
        <w:rPr>
          <w:rFonts w:eastAsiaTheme="minorEastAsia" w:hint="eastAsia"/>
          <w:szCs w:val="21"/>
        </w:rPr>
        <w:t>寻求援助既</w:t>
      </w:r>
      <w:r w:rsidRPr="00BF42B7">
        <w:rPr>
          <w:rFonts w:eastAsiaTheme="minorEastAsia"/>
          <w:szCs w:val="21"/>
        </w:rPr>
        <w:t>是适当</w:t>
      </w:r>
      <w:r w:rsidRPr="00BF42B7">
        <w:rPr>
          <w:rFonts w:eastAsiaTheme="minorEastAsia" w:hint="eastAsia"/>
          <w:szCs w:val="21"/>
        </w:rPr>
        <w:t>的，也是必要的</w:t>
      </w:r>
      <w:r w:rsidRPr="00BF42B7">
        <w:rPr>
          <w:rFonts w:eastAsiaTheme="minorEastAsia"/>
          <w:szCs w:val="21"/>
        </w:rPr>
        <w:t>。</w:t>
      </w:r>
    </w:p>
    <w:p w:rsidR="00765E0D" w:rsidRPr="00BF42B7" w:rsidRDefault="00765E0D" w:rsidP="00765E0D">
      <w:pPr>
        <w:pStyle w:val="SingleTxtGC"/>
        <w:rPr>
          <w:rFonts w:eastAsiaTheme="minorEastAsia"/>
          <w:szCs w:val="21"/>
        </w:rPr>
      </w:pPr>
      <w:r w:rsidRPr="00BF42B7">
        <w:rPr>
          <w:rFonts w:eastAsiaTheme="minorEastAsia"/>
          <w:szCs w:val="21"/>
        </w:rPr>
        <w:t>(2)</w:t>
      </w:r>
      <w:r w:rsidRPr="00BF42B7">
        <w:rPr>
          <w:rFonts w:eastAsiaTheme="minorEastAsia" w:hint="eastAsia"/>
          <w:szCs w:val="21"/>
        </w:rPr>
        <w:t xml:space="preserve">  </w:t>
      </w:r>
      <w:r w:rsidRPr="00BF42B7">
        <w:rPr>
          <w:rFonts w:eastAsiaTheme="minorEastAsia"/>
          <w:szCs w:val="21"/>
        </w:rPr>
        <w:t>本条草案强调，寻求援助的责任只来源于明显超出受灾国的国家应对能力这一点。</w:t>
      </w:r>
      <w:r w:rsidRPr="00BF42B7">
        <w:rPr>
          <w:rFonts w:eastAsiaTheme="minorEastAsia" w:hint="eastAsia"/>
          <w:szCs w:val="21"/>
        </w:rPr>
        <w:t>“</w:t>
      </w:r>
      <w:r w:rsidRPr="00BF42B7">
        <w:rPr>
          <w:rFonts w:eastAsiaTheme="minorEastAsia"/>
          <w:szCs w:val="21"/>
        </w:rPr>
        <w:t>如所遭受的灾害</w:t>
      </w:r>
      <w:r w:rsidRPr="00BF42B7">
        <w:rPr>
          <w:rFonts w:eastAsiaTheme="minorEastAsia" w:hint="eastAsia"/>
          <w:szCs w:val="21"/>
        </w:rPr>
        <w:t>……”</w:t>
      </w:r>
      <w:r w:rsidRPr="00BF42B7">
        <w:rPr>
          <w:rFonts w:eastAsiaTheme="minorEastAsia"/>
          <w:szCs w:val="21"/>
        </w:rPr>
        <w:t>这一条件语</w:t>
      </w:r>
      <w:r w:rsidRPr="00BF42B7">
        <w:rPr>
          <w:rFonts w:eastAsiaTheme="minorEastAsia" w:hint="eastAsia"/>
          <w:szCs w:val="21"/>
        </w:rPr>
        <w:t>用于</w:t>
      </w:r>
      <w:r w:rsidRPr="00BF42B7">
        <w:rPr>
          <w:rFonts w:eastAsiaTheme="minorEastAsia"/>
          <w:szCs w:val="21"/>
        </w:rPr>
        <w:t>澄清下面一点：受灾国的国家应对能力</w:t>
      </w:r>
      <w:r w:rsidRPr="00BF42B7">
        <w:rPr>
          <w:rFonts w:eastAsiaTheme="minorEastAsia" w:hint="eastAsia"/>
          <w:szCs w:val="21"/>
        </w:rPr>
        <w:t>可能不总是</w:t>
      </w:r>
      <w:r w:rsidRPr="00BF42B7">
        <w:rPr>
          <w:rFonts w:eastAsiaTheme="minorEastAsia"/>
          <w:szCs w:val="21"/>
        </w:rPr>
        <w:t>绝对地够或绝对地不够。可能会在救灾行动的一个方面明显超出受灾国的国家能力，但该国仍然能够进行其他行动。作为一个整体，</w:t>
      </w:r>
      <w:r w:rsidRPr="00BF42B7">
        <w:rPr>
          <w:rFonts w:eastAsiaTheme="minorEastAsia" w:hint="eastAsia"/>
          <w:szCs w:val="21"/>
        </w:rPr>
        <w:t>“</w:t>
      </w:r>
      <w:r w:rsidRPr="00BF42B7">
        <w:rPr>
          <w:rFonts w:eastAsiaTheme="minorEastAsia"/>
          <w:szCs w:val="21"/>
        </w:rPr>
        <w:t>明显超出</w:t>
      </w:r>
      <w:r w:rsidRPr="00BF42B7">
        <w:rPr>
          <w:rFonts w:eastAsiaTheme="minorEastAsia" w:hint="eastAsia"/>
          <w:szCs w:val="21"/>
        </w:rPr>
        <w:t>受灾</w:t>
      </w:r>
      <w:r w:rsidRPr="00BF42B7">
        <w:rPr>
          <w:rFonts w:eastAsiaTheme="minorEastAsia"/>
          <w:szCs w:val="21"/>
        </w:rPr>
        <w:t>国的应对能力</w:t>
      </w:r>
      <w:r w:rsidRPr="00BF42B7">
        <w:rPr>
          <w:rFonts w:eastAsiaTheme="minorEastAsia" w:hint="eastAsia"/>
          <w:szCs w:val="21"/>
        </w:rPr>
        <w:t>”</w:t>
      </w:r>
      <w:r w:rsidRPr="00BF42B7">
        <w:rPr>
          <w:rFonts w:eastAsiaTheme="minorEastAsia"/>
          <w:szCs w:val="21"/>
        </w:rPr>
        <w:t>一语涵盖了灾害可能明显超出受灾国应对能力的情况。这种灵活和积极的做法符合第</w:t>
      </w:r>
      <w:r w:rsidRPr="00BF42B7">
        <w:rPr>
          <w:rFonts w:eastAsiaTheme="minorEastAsia"/>
          <w:szCs w:val="21"/>
        </w:rPr>
        <w:t>2</w:t>
      </w:r>
      <w:r w:rsidRPr="00BF42B7">
        <w:rPr>
          <w:rFonts w:eastAsiaTheme="minorEastAsia"/>
          <w:szCs w:val="21"/>
        </w:rPr>
        <w:t>条草案中所表达的条款草案根本目的。这种做法有利于充分和有效地应对灾害，以满足有关人员的基本需要，同时充分尊重他们的权利。确认各国在这种情况下的责任反映了委员会对及时和有效提供救灾援助的关注。</w:t>
      </w:r>
    </w:p>
    <w:p w:rsidR="00765E0D" w:rsidRPr="00BF42B7" w:rsidRDefault="00765E0D" w:rsidP="00765E0D">
      <w:pPr>
        <w:pStyle w:val="SingleTxtGC"/>
        <w:rPr>
          <w:rFonts w:eastAsiaTheme="minorEastAsia"/>
          <w:szCs w:val="21"/>
        </w:rPr>
      </w:pPr>
      <w:r w:rsidRPr="00BF42B7">
        <w:rPr>
          <w:rFonts w:eastAsiaTheme="minorEastAsia"/>
          <w:szCs w:val="21"/>
        </w:rPr>
        <w:t>(</w:t>
      </w:r>
      <w:r w:rsidRPr="00BF42B7">
        <w:rPr>
          <w:rFonts w:eastAsiaTheme="minorEastAsia" w:hint="eastAsia"/>
          <w:szCs w:val="21"/>
        </w:rPr>
        <w:t>3</w:t>
      </w:r>
      <w:r w:rsidRPr="00BF42B7">
        <w:rPr>
          <w:rFonts w:eastAsiaTheme="minorEastAsia"/>
          <w:szCs w:val="21"/>
        </w:rPr>
        <w:t>)</w:t>
      </w:r>
      <w:r w:rsidRPr="00BF42B7">
        <w:rPr>
          <w:rFonts w:eastAsiaTheme="minorEastAsia" w:hint="eastAsia"/>
          <w:szCs w:val="21"/>
        </w:rPr>
        <w:t xml:space="preserve">  </w:t>
      </w:r>
      <w:r w:rsidRPr="00BF42B7">
        <w:rPr>
          <w:rFonts w:eastAsiaTheme="minorEastAsia"/>
          <w:szCs w:val="21"/>
        </w:rPr>
        <w:t>委员会认为，在第</w:t>
      </w:r>
      <w:r w:rsidRPr="00BF42B7">
        <w:rPr>
          <w:rFonts w:eastAsiaTheme="minorEastAsia"/>
          <w:szCs w:val="21"/>
        </w:rPr>
        <w:t>11</w:t>
      </w:r>
      <w:r w:rsidRPr="00BF42B7">
        <w:rPr>
          <w:rFonts w:eastAsiaTheme="minorEastAsia"/>
          <w:szCs w:val="21"/>
        </w:rPr>
        <w:t>条草案中寻求援助的责任也来源于受灾国根据国际人权文书和习惯</w:t>
      </w:r>
      <w:r w:rsidRPr="00BF42B7">
        <w:rPr>
          <w:rFonts w:eastAsiaTheme="minorEastAsia"/>
          <w:spacing w:val="6"/>
          <w:szCs w:val="21"/>
        </w:rPr>
        <w:t>国际法承担的义务。诉诸国际社会的支持可能是受灾国自身的资源不足以满足保护需要</w:t>
      </w:r>
      <w:r w:rsidRPr="00BF42B7">
        <w:rPr>
          <w:rFonts w:eastAsiaTheme="minorEastAsia"/>
          <w:szCs w:val="21"/>
        </w:rPr>
        <w:t>时对个人履行一国的国际义务的必要元素。虽然如第</w:t>
      </w:r>
      <w:r w:rsidRPr="00BF42B7">
        <w:rPr>
          <w:rFonts w:eastAsiaTheme="minorEastAsia"/>
          <w:szCs w:val="21"/>
        </w:rPr>
        <w:t>5</w:t>
      </w:r>
      <w:r w:rsidRPr="00BF42B7">
        <w:rPr>
          <w:rFonts w:eastAsiaTheme="minorEastAsia"/>
          <w:szCs w:val="21"/>
        </w:rPr>
        <w:t>条草案评注中所提到的，这种情况在没有任何灾害时也可能发生，但灾害的发生直接关系到若干人权，其中包括生命权、</w:t>
      </w:r>
      <w:r w:rsidRPr="00BF42B7">
        <w:rPr>
          <w:rFonts w:eastAsiaTheme="minorEastAsia" w:hint="eastAsia"/>
          <w:szCs w:val="21"/>
        </w:rPr>
        <w:t>适足</w:t>
      </w:r>
      <w:r w:rsidRPr="00BF42B7">
        <w:rPr>
          <w:rFonts w:eastAsiaTheme="minorEastAsia"/>
          <w:szCs w:val="21"/>
        </w:rPr>
        <w:t>食物权、健康权和医疗服务权、</w:t>
      </w:r>
      <w:r w:rsidRPr="00BF42B7">
        <w:rPr>
          <w:rFonts w:eastAsiaTheme="minorEastAsia" w:hint="eastAsia"/>
          <w:szCs w:val="21"/>
        </w:rPr>
        <w:t>安全饮用</w:t>
      </w:r>
      <w:r w:rsidRPr="00BF42B7">
        <w:rPr>
          <w:rFonts w:eastAsiaTheme="minorEastAsia"/>
          <w:szCs w:val="21"/>
        </w:rPr>
        <w:t>水权、适足住房、服装和卫生权以及不受歧视的权利。</w:t>
      </w:r>
      <w:r w:rsidRPr="00BF42B7">
        <w:rPr>
          <w:rStyle w:val="a5"/>
          <w:rFonts w:eastAsiaTheme="minorEastAsia"/>
          <w:szCs w:val="21"/>
        </w:rPr>
        <w:footnoteReference w:id="177"/>
      </w:r>
      <w:r w:rsidRPr="00BF42B7">
        <w:rPr>
          <w:rFonts w:eastAsiaTheme="minorEastAsia"/>
          <w:szCs w:val="21"/>
        </w:rPr>
        <w:t xml:space="preserve"> </w:t>
      </w:r>
      <w:bookmarkStart w:id="45" w:name="_Ref450652134"/>
      <w:r w:rsidRPr="00BF42B7">
        <w:rPr>
          <w:rFonts w:eastAsiaTheme="minorEastAsia"/>
          <w:szCs w:val="21"/>
        </w:rPr>
        <w:t>委员会注意到，人权事务委员会</w:t>
      </w:r>
      <w:r w:rsidRPr="00BF42B7">
        <w:rPr>
          <w:rFonts w:eastAsiaTheme="minorEastAsia" w:hint="eastAsia"/>
          <w:szCs w:val="21"/>
        </w:rPr>
        <w:t>说过</w:t>
      </w:r>
      <w:r w:rsidRPr="00BF42B7">
        <w:rPr>
          <w:rFonts w:eastAsiaTheme="minorEastAsia"/>
          <w:szCs w:val="21"/>
        </w:rPr>
        <w:t>(</w:t>
      </w:r>
      <w:r w:rsidRPr="00BF42B7">
        <w:rPr>
          <w:rFonts w:eastAsiaTheme="minorEastAsia"/>
          <w:szCs w:val="21"/>
        </w:rPr>
        <w:t>见关于生命权的第</w:t>
      </w:r>
      <w:r w:rsidRPr="00BF42B7">
        <w:rPr>
          <w:rFonts w:eastAsiaTheme="minorEastAsia"/>
          <w:szCs w:val="21"/>
        </w:rPr>
        <w:t>6</w:t>
      </w:r>
      <w:r w:rsidRPr="00BF42B7">
        <w:rPr>
          <w:rFonts w:eastAsiaTheme="minorEastAsia"/>
          <w:szCs w:val="21"/>
        </w:rPr>
        <w:t>号一般性意见</w:t>
      </w:r>
      <w:r w:rsidRPr="00BF42B7">
        <w:rPr>
          <w:rFonts w:eastAsiaTheme="minorEastAsia"/>
          <w:szCs w:val="21"/>
        </w:rPr>
        <w:t>)</w:t>
      </w:r>
      <w:r w:rsidRPr="00BF42B7">
        <w:rPr>
          <w:rFonts w:eastAsiaTheme="minorEastAsia"/>
          <w:szCs w:val="21"/>
        </w:rPr>
        <w:t>，一个国家履行生命权的职责超越了仅仅予以尊重的范围</w:t>
      </w:r>
      <w:r w:rsidRPr="00BF42B7">
        <w:rPr>
          <w:rFonts w:eastAsiaTheme="minorEastAsia" w:hint="eastAsia"/>
          <w:szCs w:val="21"/>
        </w:rPr>
        <w:t>，</w:t>
      </w:r>
      <w:r w:rsidRPr="00BF42B7">
        <w:rPr>
          <w:rFonts w:eastAsiaTheme="minorEastAsia"/>
          <w:szCs w:val="21"/>
        </w:rPr>
        <w:t>而延伸到</w:t>
      </w:r>
      <w:r w:rsidRPr="00BF42B7">
        <w:rPr>
          <w:rFonts w:eastAsiaTheme="minorEastAsia" w:hint="eastAsia"/>
          <w:szCs w:val="21"/>
        </w:rPr>
        <w:t>采取积极措施</w:t>
      </w:r>
      <w:r w:rsidRPr="00BF42B7">
        <w:rPr>
          <w:rFonts w:eastAsiaTheme="minorEastAsia"/>
          <w:szCs w:val="21"/>
        </w:rPr>
        <w:t>保护</w:t>
      </w:r>
      <w:r w:rsidRPr="00BF42B7">
        <w:rPr>
          <w:rFonts w:eastAsiaTheme="minorEastAsia" w:hint="eastAsia"/>
          <w:szCs w:val="21"/>
        </w:rPr>
        <w:t>这一</w:t>
      </w:r>
      <w:r w:rsidRPr="00BF42B7">
        <w:rPr>
          <w:rFonts w:eastAsiaTheme="minorEastAsia"/>
          <w:szCs w:val="21"/>
        </w:rPr>
        <w:t>权利</w:t>
      </w:r>
      <w:r w:rsidRPr="00BF42B7">
        <w:rPr>
          <w:rFonts w:eastAsiaTheme="minorEastAsia" w:hint="eastAsia"/>
          <w:szCs w:val="21"/>
        </w:rPr>
        <w:t>的</w:t>
      </w:r>
      <w:r w:rsidRPr="00BF42B7">
        <w:rPr>
          <w:rFonts w:eastAsiaTheme="minorEastAsia"/>
          <w:szCs w:val="21"/>
        </w:rPr>
        <w:t>责任。</w:t>
      </w:r>
      <w:bookmarkStart w:id="46" w:name="_Ref457295645"/>
      <w:r w:rsidRPr="00BF42B7">
        <w:rPr>
          <w:rStyle w:val="a5"/>
          <w:rFonts w:eastAsiaTheme="minorEastAsia"/>
          <w:szCs w:val="21"/>
        </w:rPr>
        <w:footnoteReference w:id="178"/>
      </w:r>
      <w:bookmarkEnd w:id="45"/>
      <w:bookmarkEnd w:id="46"/>
      <w:r w:rsidRPr="00BF42B7">
        <w:rPr>
          <w:rFonts w:eastAsiaTheme="minorEastAsia"/>
          <w:szCs w:val="21"/>
        </w:rPr>
        <w:t xml:space="preserve"> </w:t>
      </w:r>
      <w:r w:rsidRPr="00BF42B7">
        <w:rPr>
          <w:rFonts w:eastAsiaTheme="minorEastAsia"/>
          <w:szCs w:val="21"/>
        </w:rPr>
        <w:t>根据《公民权利和政治权利国际公约》，生命权是不可克减的，即使是发生</w:t>
      </w:r>
      <w:r w:rsidRPr="00BF42B7">
        <w:rPr>
          <w:rFonts w:eastAsiaTheme="minorEastAsia" w:hint="eastAsia"/>
          <w:szCs w:val="21"/>
        </w:rPr>
        <w:t>“</w:t>
      </w:r>
      <w:r w:rsidRPr="00BF42B7">
        <w:rPr>
          <w:rFonts w:eastAsiaTheme="minorEastAsia"/>
          <w:szCs w:val="21"/>
        </w:rPr>
        <w:t>威胁到一个民族的生命的公共紧急状态</w:t>
      </w:r>
      <w:r w:rsidRPr="00BF42B7">
        <w:rPr>
          <w:rFonts w:eastAsiaTheme="minorEastAsia" w:hint="eastAsia"/>
          <w:szCs w:val="21"/>
        </w:rPr>
        <w:t>”</w:t>
      </w:r>
      <w:r w:rsidRPr="00BF42B7">
        <w:rPr>
          <w:rStyle w:val="a5"/>
          <w:rFonts w:eastAsiaTheme="minorEastAsia"/>
          <w:szCs w:val="21"/>
        </w:rPr>
        <w:footnoteReference w:id="179"/>
      </w:r>
      <w:r w:rsidRPr="00BF42B7">
        <w:rPr>
          <w:rFonts w:eastAsiaTheme="minorEastAsia" w:hint="eastAsia"/>
          <w:szCs w:val="21"/>
        </w:rPr>
        <w:t xml:space="preserve"> </w:t>
      </w:r>
      <w:r w:rsidRPr="00BF42B7">
        <w:rPr>
          <w:rFonts w:eastAsiaTheme="minorEastAsia" w:hint="eastAsia"/>
          <w:spacing w:val="-50"/>
          <w:szCs w:val="21"/>
        </w:rPr>
        <w:t>―</w:t>
      </w:r>
      <w:r w:rsidRPr="00BF42B7">
        <w:rPr>
          <w:rFonts w:eastAsiaTheme="minorEastAsia" w:hint="eastAsia"/>
          <w:szCs w:val="21"/>
        </w:rPr>
        <w:t>―</w:t>
      </w:r>
      <w:r w:rsidRPr="00BF42B7">
        <w:rPr>
          <w:rFonts w:eastAsiaTheme="minorEastAsia"/>
          <w:szCs w:val="21"/>
        </w:rPr>
        <w:t>人权事务委员会在其第</w:t>
      </w:r>
      <w:r w:rsidRPr="00BF42B7">
        <w:rPr>
          <w:rFonts w:eastAsiaTheme="minorEastAsia"/>
          <w:szCs w:val="21"/>
        </w:rPr>
        <w:t>29</w:t>
      </w:r>
      <w:r w:rsidRPr="00BF42B7">
        <w:rPr>
          <w:rFonts w:eastAsiaTheme="minorEastAsia"/>
          <w:szCs w:val="21"/>
        </w:rPr>
        <w:t>号一般性意见中已确认这种状态包括</w:t>
      </w:r>
      <w:r w:rsidRPr="00BF42B7">
        <w:rPr>
          <w:rFonts w:eastAsiaTheme="minorEastAsia" w:hint="eastAsia"/>
          <w:szCs w:val="21"/>
        </w:rPr>
        <w:t>“</w:t>
      </w:r>
      <w:r w:rsidRPr="00BF42B7">
        <w:rPr>
          <w:rFonts w:eastAsiaTheme="minorEastAsia"/>
          <w:szCs w:val="21"/>
        </w:rPr>
        <w:t>自然灾害</w:t>
      </w:r>
      <w:r w:rsidRPr="00BF42B7">
        <w:rPr>
          <w:rFonts w:eastAsiaTheme="minorEastAsia" w:hint="eastAsia"/>
          <w:szCs w:val="21"/>
        </w:rPr>
        <w:t>”</w:t>
      </w:r>
      <w:r w:rsidRPr="00BF42B7">
        <w:rPr>
          <w:rFonts w:eastAsiaTheme="minorEastAsia"/>
          <w:szCs w:val="21"/>
        </w:rPr>
        <w:t>。</w:t>
      </w:r>
      <w:r w:rsidRPr="00BF42B7">
        <w:rPr>
          <w:rStyle w:val="a5"/>
          <w:rFonts w:eastAsiaTheme="minorEastAsia"/>
          <w:szCs w:val="21"/>
        </w:rPr>
        <w:footnoteReference w:id="180"/>
      </w:r>
      <w:r w:rsidRPr="00BF42B7">
        <w:rPr>
          <w:rFonts w:eastAsiaTheme="minorEastAsia"/>
          <w:szCs w:val="21"/>
        </w:rPr>
        <w:t xml:space="preserve"> </w:t>
      </w:r>
      <w:r w:rsidRPr="00BF42B7">
        <w:rPr>
          <w:rFonts w:eastAsiaTheme="minorEastAsia"/>
          <w:szCs w:val="21"/>
        </w:rPr>
        <w:t>《经济、社会、文化权利国际公约》指出，依据获得粮食的权利：</w:t>
      </w:r>
    </w:p>
    <w:p w:rsidR="00765E0D" w:rsidRPr="00BF42B7" w:rsidRDefault="00765E0D" w:rsidP="008972C0">
      <w:pPr>
        <w:pStyle w:val="SingleTxtGC"/>
        <w:ind w:left="1565"/>
        <w:rPr>
          <w:rFonts w:eastAsiaTheme="minorEastAsia"/>
          <w:szCs w:val="21"/>
        </w:rPr>
      </w:pPr>
      <w:r w:rsidRPr="00BF42B7">
        <w:rPr>
          <w:rFonts w:eastAsiaTheme="minorEastAsia" w:hint="eastAsia"/>
          <w:szCs w:val="21"/>
        </w:rPr>
        <w:t>“</w:t>
      </w:r>
      <w:r w:rsidRPr="00BF42B7">
        <w:rPr>
          <w:rFonts w:eastAsiaTheme="minorEastAsia"/>
          <w:szCs w:val="21"/>
        </w:rPr>
        <w:t>缔约国将采取适当的步骤以保证实现这一权利，承认为此基于自愿同意而实行国际合作的基本重要性。</w:t>
      </w:r>
      <w:r w:rsidRPr="00BF42B7">
        <w:rPr>
          <w:rFonts w:eastAsiaTheme="minorEastAsia" w:hint="eastAsia"/>
          <w:szCs w:val="21"/>
        </w:rPr>
        <w:t>”</w:t>
      </w:r>
      <w:r w:rsidRPr="00BF42B7">
        <w:rPr>
          <w:rStyle w:val="a5"/>
          <w:rFonts w:eastAsiaTheme="minorEastAsia"/>
          <w:szCs w:val="21"/>
        </w:rPr>
        <w:footnoteReference w:id="181"/>
      </w:r>
    </w:p>
    <w:p w:rsidR="00765E0D" w:rsidRPr="00BF42B7" w:rsidRDefault="00765E0D" w:rsidP="008972C0">
      <w:pPr>
        <w:pStyle w:val="SingleTxtGC"/>
        <w:rPr>
          <w:szCs w:val="21"/>
        </w:rPr>
      </w:pPr>
      <w:r w:rsidRPr="00BF42B7">
        <w:rPr>
          <w:szCs w:val="21"/>
        </w:rPr>
        <w:t>经济、社会及文化权利委员会在关于适足食物权</w:t>
      </w:r>
      <w:r w:rsidRPr="00BF42B7">
        <w:rPr>
          <w:szCs w:val="21"/>
        </w:rPr>
        <w:t>(</w:t>
      </w:r>
      <w:r w:rsidRPr="00BF42B7">
        <w:rPr>
          <w:szCs w:val="21"/>
        </w:rPr>
        <w:t>《公约》第十一条</w:t>
      </w:r>
      <w:r w:rsidRPr="00BF42B7">
        <w:rPr>
          <w:szCs w:val="21"/>
        </w:rPr>
        <w:t>)</w:t>
      </w:r>
      <w:r w:rsidRPr="00BF42B7">
        <w:rPr>
          <w:szCs w:val="21"/>
        </w:rPr>
        <w:t>的第</w:t>
      </w:r>
      <w:r w:rsidRPr="00BF42B7">
        <w:rPr>
          <w:szCs w:val="21"/>
        </w:rPr>
        <w:t>12</w:t>
      </w:r>
      <w:r w:rsidRPr="00BF42B7">
        <w:rPr>
          <w:szCs w:val="21"/>
        </w:rPr>
        <w:t>号一般性意见中指出，如果一个缔约国认为资源的限制使它不可能对需要的人提供食物：</w:t>
      </w:r>
    </w:p>
    <w:p w:rsidR="00765E0D" w:rsidRPr="00BF42B7" w:rsidRDefault="00765E0D" w:rsidP="008972C0">
      <w:pPr>
        <w:pStyle w:val="SingleTxtGC"/>
        <w:ind w:left="1565"/>
        <w:rPr>
          <w:rFonts w:eastAsiaTheme="minorEastAsia"/>
          <w:szCs w:val="21"/>
        </w:rPr>
      </w:pPr>
      <w:r w:rsidRPr="00BF42B7">
        <w:rPr>
          <w:rFonts w:eastAsiaTheme="minorEastAsia" w:hint="eastAsia"/>
          <w:szCs w:val="21"/>
        </w:rPr>
        <w:t>“</w:t>
      </w:r>
      <w:r w:rsidRPr="00BF42B7">
        <w:rPr>
          <w:rFonts w:eastAsiaTheme="minorEastAsia"/>
          <w:szCs w:val="21"/>
        </w:rPr>
        <w:t>国家必须证明已尽力作出努力，作为一个优先事项，使用可供其处置的所有资源，去满足这些最低限度的义务。</w:t>
      </w:r>
      <w:r w:rsidRPr="00BF42B7">
        <w:rPr>
          <w:rFonts w:eastAsiaTheme="minorEastAsia"/>
          <w:szCs w:val="21"/>
        </w:rPr>
        <w:t>[</w:t>
      </w:r>
      <w:r w:rsidRPr="00BF42B7">
        <w:rPr>
          <w:rFonts w:eastAsiaTheme="minorEastAsia" w:hint="eastAsia"/>
          <w:szCs w:val="21"/>
        </w:rPr>
        <w:t>……</w:t>
      </w:r>
      <w:r w:rsidRPr="00BF42B7">
        <w:rPr>
          <w:rFonts w:eastAsiaTheme="minorEastAsia"/>
          <w:szCs w:val="21"/>
        </w:rPr>
        <w:t>]</w:t>
      </w:r>
      <w:r w:rsidRPr="00BF42B7">
        <w:rPr>
          <w:rFonts w:eastAsiaTheme="minorEastAsia"/>
          <w:szCs w:val="21"/>
        </w:rPr>
        <w:t>因此，声称由于无法控制的原因无法履行其义务的国家必须承担举证责任，证明情况的确如此，并且它没有成功地寻求获得国际支持，以确保所需食物的供应和获得</w:t>
      </w:r>
      <w:r w:rsidRPr="00BF42B7">
        <w:rPr>
          <w:rFonts w:eastAsiaTheme="minorEastAsia" w:hint="eastAsia"/>
          <w:szCs w:val="21"/>
        </w:rPr>
        <w:t>”</w:t>
      </w:r>
      <w:r w:rsidRPr="00BF42B7">
        <w:rPr>
          <w:rFonts w:eastAsiaTheme="minorEastAsia"/>
          <w:szCs w:val="21"/>
        </w:rPr>
        <w:t>。</w:t>
      </w:r>
      <w:r w:rsidRPr="00BF42B7">
        <w:rPr>
          <w:rStyle w:val="a5"/>
          <w:rFonts w:eastAsiaTheme="minorEastAsia"/>
          <w:szCs w:val="21"/>
        </w:rPr>
        <w:footnoteReference w:id="182"/>
      </w:r>
    </w:p>
    <w:p w:rsidR="00765E0D" w:rsidRPr="00BF42B7" w:rsidRDefault="00765E0D" w:rsidP="00765E0D">
      <w:pPr>
        <w:pStyle w:val="SingleTxtGC"/>
        <w:rPr>
          <w:rFonts w:eastAsiaTheme="minorEastAsia"/>
          <w:szCs w:val="21"/>
        </w:rPr>
      </w:pPr>
      <w:r w:rsidRPr="00BF42B7">
        <w:rPr>
          <w:rFonts w:eastAsiaTheme="minorEastAsia"/>
          <w:szCs w:val="21"/>
        </w:rPr>
        <w:t>因此，委员会指出，一国采取的</w:t>
      </w:r>
      <w:r w:rsidRPr="00BF42B7">
        <w:rPr>
          <w:rFonts w:eastAsiaTheme="minorEastAsia" w:hint="eastAsia"/>
          <w:szCs w:val="21"/>
        </w:rPr>
        <w:t>“</w:t>
      </w:r>
      <w:r w:rsidRPr="00BF42B7">
        <w:rPr>
          <w:rFonts w:eastAsiaTheme="minorEastAsia"/>
          <w:szCs w:val="21"/>
        </w:rPr>
        <w:t>适当措施</w:t>
      </w:r>
      <w:r w:rsidRPr="00BF42B7">
        <w:rPr>
          <w:rFonts w:eastAsiaTheme="minorEastAsia" w:hint="eastAsia"/>
          <w:szCs w:val="21"/>
        </w:rPr>
        <w:t>”</w:t>
      </w:r>
      <w:r w:rsidRPr="00BF42B7">
        <w:rPr>
          <w:rFonts w:eastAsiaTheme="minorEastAsia"/>
          <w:szCs w:val="21"/>
        </w:rPr>
        <w:t>，包括在国内条件到了无法实现获得粮食的权利的情况下寻求国际援助。如果一国本身断言无法履行其义务，则应当采取这一步骤。</w:t>
      </w:r>
    </w:p>
    <w:p w:rsidR="00765E0D" w:rsidRPr="00BF42B7" w:rsidRDefault="00765E0D" w:rsidP="00765E0D">
      <w:pPr>
        <w:pStyle w:val="SingleTxtGC"/>
        <w:rPr>
          <w:rFonts w:eastAsiaTheme="minorEastAsia"/>
          <w:szCs w:val="21"/>
        </w:rPr>
      </w:pPr>
      <w:r w:rsidRPr="00BF42B7">
        <w:rPr>
          <w:rFonts w:eastAsiaTheme="minorEastAsia"/>
          <w:szCs w:val="21"/>
        </w:rPr>
        <w:t>(</w:t>
      </w:r>
      <w:r w:rsidRPr="00BF42B7">
        <w:rPr>
          <w:rFonts w:eastAsiaTheme="minorEastAsia" w:hint="eastAsia"/>
          <w:szCs w:val="21"/>
        </w:rPr>
        <w:t>4</w:t>
      </w:r>
      <w:r w:rsidRPr="00BF42B7">
        <w:rPr>
          <w:rFonts w:eastAsiaTheme="minorEastAsia"/>
          <w:szCs w:val="21"/>
        </w:rPr>
        <w:t>)</w:t>
      </w:r>
      <w:r w:rsidRPr="00BF42B7">
        <w:rPr>
          <w:rFonts w:eastAsiaTheme="minorEastAsia" w:hint="eastAsia"/>
          <w:szCs w:val="21"/>
        </w:rPr>
        <w:t xml:space="preserve">  </w:t>
      </w:r>
      <w:r w:rsidRPr="00BF42B7">
        <w:rPr>
          <w:rFonts w:eastAsiaTheme="minorEastAsia"/>
          <w:szCs w:val="21"/>
        </w:rPr>
        <w:t>《非洲儿童权利和福利宪章》</w:t>
      </w:r>
      <w:r w:rsidRPr="00BF42B7">
        <w:rPr>
          <w:rStyle w:val="a5"/>
          <w:rFonts w:eastAsiaTheme="minorEastAsia"/>
          <w:szCs w:val="21"/>
        </w:rPr>
        <w:footnoteReference w:id="183"/>
      </w:r>
      <w:r w:rsidRPr="00BF42B7">
        <w:rPr>
          <w:rFonts w:eastAsiaTheme="minorEastAsia" w:hint="eastAsia"/>
          <w:color w:val="0000FF"/>
          <w:szCs w:val="21"/>
          <w:vertAlign w:val="superscript"/>
        </w:rPr>
        <w:t xml:space="preserve"> </w:t>
      </w:r>
      <w:r w:rsidRPr="00BF42B7">
        <w:rPr>
          <w:rFonts w:eastAsiaTheme="minorEastAsia"/>
          <w:szCs w:val="21"/>
        </w:rPr>
        <w:t>和《残疾人权利公约》具体提到在发生灾害时对权利的保护。根据《非洲儿童权利和福利宪章》第</w:t>
      </w:r>
      <w:r w:rsidRPr="00BF42B7">
        <w:rPr>
          <w:rFonts w:eastAsiaTheme="minorEastAsia"/>
          <w:szCs w:val="21"/>
        </w:rPr>
        <w:t>23</w:t>
      </w:r>
      <w:r w:rsidRPr="00BF42B7">
        <w:rPr>
          <w:rFonts w:eastAsiaTheme="minorEastAsia"/>
          <w:szCs w:val="21"/>
        </w:rPr>
        <w:t>条，各国应采取</w:t>
      </w:r>
      <w:r w:rsidRPr="00BF42B7">
        <w:rPr>
          <w:rFonts w:eastAsiaTheme="minorEastAsia" w:hint="eastAsia"/>
          <w:szCs w:val="21"/>
        </w:rPr>
        <w:t>“</w:t>
      </w:r>
      <w:r w:rsidRPr="00BF42B7">
        <w:rPr>
          <w:rFonts w:eastAsiaTheme="minorEastAsia"/>
          <w:szCs w:val="21"/>
        </w:rPr>
        <w:t>一切适当措施</w:t>
      </w:r>
      <w:r w:rsidRPr="00BF42B7">
        <w:rPr>
          <w:rFonts w:eastAsiaTheme="minorEastAsia" w:hint="eastAsia"/>
          <w:szCs w:val="21"/>
        </w:rPr>
        <w:t>”</w:t>
      </w:r>
      <w:r w:rsidRPr="00BF42B7">
        <w:rPr>
          <w:rFonts w:eastAsiaTheme="minorEastAsia"/>
          <w:szCs w:val="21"/>
        </w:rPr>
        <w:t>，以确保寻求或持有难民地位的儿童以及那些由于包括</w:t>
      </w:r>
      <w:r w:rsidRPr="00BF42B7">
        <w:rPr>
          <w:rFonts w:eastAsiaTheme="minorEastAsia" w:hint="eastAsia"/>
          <w:szCs w:val="21"/>
        </w:rPr>
        <w:t>“</w:t>
      </w:r>
      <w:r w:rsidRPr="00BF42B7">
        <w:rPr>
          <w:rFonts w:eastAsiaTheme="minorEastAsia"/>
          <w:szCs w:val="21"/>
        </w:rPr>
        <w:t>自然灾害</w:t>
      </w:r>
      <w:r w:rsidRPr="00BF42B7">
        <w:rPr>
          <w:rFonts w:eastAsiaTheme="minorEastAsia" w:hint="eastAsia"/>
          <w:szCs w:val="21"/>
        </w:rPr>
        <w:t>”</w:t>
      </w:r>
      <w:r w:rsidRPr="00BF42B7">
        <w:rPr>
          <w:rFonts w:eastAsiaTheme="minorEastAsia"/>
          <w:szCs w:val="21"/>
        </w:rPr>
        <w:t>在内的事件而在国内流离失所的人在享受本宪章和各国参与缔结的其他国际人权和人道主义文书所载述的权利方面能够</w:t>
      </w:r>
      <w:r w:rsidRPr="00BF42B7">
        <w:rPr>
          <w:rFonts w:eastAsiaTheme="minorEastAsia" w:hint="eastAsia"/>
          <w:szCs w:val="21"/>
        </w:rPr>
        <w:t>“</w:t>
      </w:r>
      <w:r w:rsidRPr="00BF42B7">
        <w:rPr>
          <w:rFonts w:eastAsiaTheme="minorEastAsia"/>
          <w:szCs w:val="21"/>
        </w:rPr>
        <w:t>得到适当的保护和人道主义援助</w:t>
      </w:r>
      <w:r w:rsidRPr="00BF42B7">
        <w:rPr>
          <w:rFonts w:eastAsiaTheme="minorEastAsia" w:hint="eastAsia"/>
          <w:szCs w:val="21"/>
        </w:rPr>
        <w:t>”</w:t>
      </w:r>
      <w:r w:rsidRPr="00BF42B7">
        <w:rPr>
          <w:rFonts w:eastAsiaTheme="minorEastAsia"/>
          <w:szCs w:val="21"/>
        </w:rPr>
        <w:t>。《残疾人权利公约》提到国家在发生灾害时对残疾人的义务：</w:t>
      </w:r>
    </w:p>
    <w:p w:rsidR="00765E0D" w:rsidRPr="00BF42B7" w:rsidRDefault="00765E0D" w:rsidP="008972C0">
      <w:pPr>
        <w:pStyle w:val="SingleTxtGC"/>
        <w:ind w:left="1565"/>
        <w:rPr>
          <w:rFonts w:eastAsiaTheme="minorEastAsia"/>
          <w:szCs w:val="21"/>
        </w:rPr>
      </w:pPr>
      <w:r w:rsidRPr="00BF42B7">
        <w:rPr>
          <w:rFonts w:eastAsiaTheme="minorEastAsia" w:hint="eastAsia"/>
          <w:szCs w:val="21"/>
        </w:rPr>
        <w:t>“</w:t>
      </w:r>
      <w:r w:rsidRPr="00BF42B7">
        <w:rPr>
          <w:rFonts w:eastAsiaTheme="minorEastAsia"/>
          <w:szCs w:val="21"/>
        </w:rPr>
        <w:t>按照国际法，包括国际人道主义法和国际人权法规定的义务，缔约国应采取一切必要措施，在风险情况，包括发生武装冲突、人道主义突发事件和自然灾害的情况下，落实对残疾人的保护及其安全。</w:t>
      </w:r>
      <w:r w:rsidRPr="00BF42B7">
        <w:rPr>
          <w:rFonts w:eastAsiaTheme="minorEastAsia" w:hint="eastAsia"/>
          <w:szCs w:val="21"/>
        </w:rPr>
        <w:t>”</w:t>
      </w:r>
      <w:r w:rsidRPr="00BF42B7">
        <w:rPr>
          <w:rStyle w:val="a5"/>
          <w:rFonts w:eastAsiaTheme="minorEastAsia"/>
          <w:szCs w:val="21"/>
        </w:rPr>
        <w:footnoteReference w:id="184"/>
      </w:r>
    </w:p>
    <w:p w:rsidR="00765E0D" w:rsidRPr="00BF42B7" w:rsidRDefault="00765E0D" w:rsidP="00E552D3">
      <w:pPr>
        <w:pStyle w:val="SingleTxtGC"/>
      </w:pPr>
      <w:r w:rsidRPr="00BF42B7">
        <w:rPr>
          <w:rFonts w:hint="eastAsia"/>
        </w:rPr>
        <w:t>“</w:t>
      </w:r>
      <w:r w:rsidRPr="00BF42B7">
        <w:t>一切必要措施</w:t>
      </w:r>
      <w:r w:rsidRPr="00BF42B7">
        <w:rPr>
          <w:rFonts w:hint="eastAsia"/>
        </w:rPr>
        <w:t>”</w:t>
      </w:r>
      <w:r w:rsidRPr="00BF42B7">
        <w:t>一语可包括当灾害明显超出受灾国应对能力时接受可能来自国际社会成员的援助。这种做法符合国际法律体系中所适用的人道主义指导原则。国际法院在科孚海峡案中申明，</w:t>
      </w:r>
      <w:r w:rsidRPr="00BF42B7">
        <w:rPr>
          <w:rFonts w:hint="eastAsia"/>
        </w:rPr>
        <w:t>基本的人道考虑为</w:t>
      </w:r>
      <w:r w:rsidRPr="00BF42B7">
        <w:t>普遍和公认的原则</w:t>
      </w:r>
      <w:r w:rsidRPr="00BF42B7">
        <w:rPr>
          <w:rFonts w:hint="eastAsia"/>
        </w:rPr>
        <w:t>，“</w:t>
      </w:r>
      <w:r w:rsidRPr="00BF42B7">
        <w:t>基本的人道考虑，在和平时期比战争时期还要严格</w:t>
      </w:r>
      <w:r w:rsidRPr="00BF42B7">
        <w:rPr>
          <w:rFonts w:hint="eastAsia"/>
        </w:rPr>
        <w:t>”</w:t>
      </w:r>
      <w:r w:rsidRPr="00BF42B7">
        <w:t>。</w:t>
      </w:r>
      <w:r w:rsidRPr="00BF42B7">
        <w:rPr>
          <w:rStyle w:val="a5"/>
          <w:rFonts w:eastAsiaTheme="minorEastAsia"/>
          <w:szCs w:val="21"/>
        </w:rPr>
        <w:footnoteReference w:id="185"/>
      </w:r>
      <w:r w:rsidRPr="00BF42B7">
        <w:t xml:space="preserve"> </w:t>
      </w:r>
      <w:r w:rsidRPr="00BF42B7">
        <w:t>第</w:t>
      </w:r>
      <w:r w:rsidRPr="00BF42B7">
        <w:t>6</w:t>
      </w:r>
      <w:r w:rsidRPr="00BF42B7">
        <w:t>条草案确认人道主义原则在应对灾害中的核心地位。</w:t>
      </w:r>
    </w:p>
    <w:p w:rsidR="00765E0D" w:rsidRPr="00BF42B7" w:rsidRDefault="00765E0D" w:rsidP="00765E0D">
      <w:pPr>
        <w:pStyle w:val="SingleTxtGC"/>
        <w:rPr>
          <w:rFonts w:eastAsiaTheme="minorEastAsia"/>
          <w:szCs w:val="21"/>
        </w:rPr>
      </w:pPr>
      <w:r w:rsidRPr="00BF42B7">
        <w:rPr>
          <w:rFonts w:eastAsiaTheme="minorEastAsia"/>
          <w:szCs w:val="21"/>
        </w:rPr>
        <w:t>(</w:t>
      </w:r>
      <w:r w:rsidRPr="00BF42B7">
        <w:rPr>
          <w:rFonts w:eastAsiaTheme="minorEastAsia" w:hint="eastAsia"/>
          <w:szCs w:val="21"/>
        </w:rPr>
        <w:t>5</w:t>
      </w:r>
      <w:r w:rsidRPr="00BF42B7">
        <w:rPr>
          <w:rFonts w:eastAsiaTheme="minorEastAsia"/>
          <w:szCs w:val="21"/>
        </w:rPr>
        <w:t>)</w:t>
      </w:r>
      <w:r w:rsidRPr="00BF42B7">
        <w:rPr>
          <w:rFonts w:eastAsiaTheme="minorEastAsia" w:hint="eastAsia"/>
          <w:szCs w:val="21"/>
        </w:rPr>
        <w:t xml:space="preserve">  </w:t>
      </w:r>
      <w:r w:rsidRPr="00BF42B7">
        <w:rPr>
          <w:rFonts w:eastAsiaTheme="minorEastAsia"/>
          <w:szCs w:val="21"/>
        </w:rPr>
        <w:t>委员会认为，在第</w:t>
      </w:r>
      <w:r w:rsidRPr="00BF42B7">
        <w:rPr>
          <w:rFonts w:eastAsiaTheme="minorEastAsia"/>
          <w:szCs w:val="21"/>
        </w:rPr>
        <w:t>11</w:t>
      </w:r>
      <w:r w:rsidRPr="00BF42B7">
        <w:rPr>
          <w:rFonts w:eastAsiaTheme="minorEastAsia"/>
          <w:szCs w:val="21"/>
        </w:rPr>
        <w:t>条草案的范围内，有责任</w:t>
      </w:r>
      <w:r w:rsidRPr="00BF42B7">
        <w:rPr>
          <w:rFonts w:eastAsiaTheme="minorEastAsia" w:hint="eastAsia"/>
          <w:szCs w:val="21"/>
        </w:rPr>
        <w:t>“</w:t>
      </w:r>
      <w:r w:rsidRPr="00BF42B7">
        <w:rPr>
          <w:rFonts w:eastAsiaTheme="minorEastAsia"/>
          <w:szCs w:val="21"/>
        </w:rPr>
        <w:t>寻求</w:t>
      </w:r>
      <w:r w:rsidRPr="00BF42B7">
        <w:rPr>
          <w:rFonts w:eastAsiaTheme="minorEastAsia" w:hint="eastAsia"/>
          <w:szCs w:val="21"/>
        </w:rPr>
        <w:t>”</w:t>
      </w:r>
      <w:r w:rsidRPr="00BF42B7">
        <w:rPr>
          <w:rFonts w:eastAsiaTheme="minorEastAsia"/>
          <w:szCs w:val="21"/>
        </w:rPr>
        <w:t>援助比有责任</w:t>
      </w:r>
      <w:r w:rsidRPr="00BF42B7">
        <w:rPr>
          <w:rFonts w:eastAsiaTheme="minorEastAsia" w:hint="eastAsia"/>
          <w:szCs w:val="21"/>
        </w:rPr>
        <w:t>“</w:t>
      </w:r>
      <w:r w:rsidRPr="00BF42B7">
        <w:rPr>
          <w:rFonts w:eastAsiaTheme="minorEastAsia"/>
          <w:szCs w:val="21"/>
        </w:rPr>
        <w:t>请求</w:t>
      </w:r>
      <w:r w:rsidRPr="00BF42B7">
        <w:rPr>
          <w:rFonts w:eastAsiaTheme="minorEastAsia" w:hint="eastAsia"/>
          <w:szCs w:val="21"/>
        </w:rPr>
        <w:t>”</w:t>
      </w:r>
      <w:r w:rsidRPr="00BF42B7">
        <w:rPr>
          <w:rFonts w:eastAsiaTheme="minorEastAsia"/>
          <w:szCs w:val="21"/>
        </w:rPr>
        <w:t>援助的措辞适当。委员会这一表述源自于国际法学会通过的关于人道主义援助的决议中所列出的责任，其中指出：</w:t>
      </w:r>
    </w:p>
    <w:p w:rsidR="00765E0D" w:rsidRPr="00BF42B7" w:rsidRDefault="00765E0D" w:rsidP="008972C0">
      <w:pPr>
        <w:pStyle w:val="SingleTxtGC"/>
        <w:ind w:left="1565"/>
        <w:rPr>
          <w:rFonts w:eastAsiaTheme="minorEastAsia"/>
          <w:szCs w:val="21"/>
        </w:rPr>
      </w:pPr>
      <w:r w:rsidRPr="00BF42B7">
        <w:rPr>
          <w:rFonts w:eastAsiaTheme="minorEastAsia" w:hint="eastAsia"/>
          <w:szCs w:val="21"/>
        </w:rPr>
        <w:t>“</w:t>
      </w:r>
      <w:r w:rsidRPr="00BF42B7">
        <w:rPr>
          <w:rFonts w:eastAsiaTheme="minorEastAsia"/>
          <w:szCs w:val="21"/>
        </w:rPr>
        <w:t>当受灾国无法向在其管辖或实际控制下的受害者提供足够的人道主义援助时，应当向主管的国际组织和</w:t>
      </w:r>
      <w:r w:rsidRPr="00BF42B7">
        <w:rPr>
          <w:rFonts w:eastAsiaTheme="minorEastAsia"/>
          <w:szCs w:val="21"/>
        </w:rPr>
        <w:t>/</w:t>
      </w:r>
      <w:r w:rsidRPr="00BF42B7">
        <w:rPr>
          <w:rFonts w:eastAsiaTheme="minorEastAsia"/>
          <w:szCs w:val="21"/>
        </w:rPr>
        <w:t>或第三国寻求援助。</w:t>
      </w:r>
      <w:r w:rsidRPr="00BF42B7">
        <w:rPr>
          <w:rFonts w:eastAsiaTheme="minorEastAsia" w:hint="eastAsia"/>
          <w:szCs w:val="21"/>
        </w:rPr>
        <w:t>”</w:t>
      </w:r>
      <w:r w:rsidRPr="00BF42B7">
        <w:rPr>
          <w:rStyle w:val="a5"/>
          <w:rFonts w:eastAsiaTheme="minorEastAsia"/>
          <w:szCs w:val="21"/>
        </w:rPr>
        <w:footnoteReference w:id="186"/>
      </w:r>
    </w:p>
    <w:p w:rsidR="00765E0D" w:rsidRPr="00BF42B7" w:rsidRDefault="00765E0D" w:rsidP="008972C0">
      <w:pPr>
        <w:pStyle w:val="SingleTxtGC"/>
        <w:rPr>
          <w:rFonts w:eastAsiaTheme="minorEastAsia"/>
          <w:szCs w:val="21"/>
        </w:rPr>
      </w:pPr>
      <w:r w:rsidRPr="00BF42B7">
        <w:rPr>
          <w:rFonts w:eastAsiaTheme="minorEastAsia"/>
          <w:szCs w:val="21"/>
        </w:rPr>
        <w:t>同样，红十字与红新月联合会《导则》认为：</w:t>
      </w:r>
    </w:p>
    <w:p w:rsidR="00765E0D" w:rsidRPr="00BF42B7" w:rsidRDefault="00765E0D" w:rsidP="008972C0">
      <w:pPr>
        <w:pStyle w:val="SingleTxtGC"/>
        <w:ind w:left="1565"/>
        <w:rPr>
          <w:rFonts w:eastAsiaTheme="minorEastAsia"/>
          <w:szCs w:val="21"/>
        </w:rPr>
      </w:pPr>
      <w:r w:rsidRPr="00BF42B7">
        <w:rPr>
          <w:rFonts w:eastAsiaTheme="minorEastAsia" w:hint="eastAsia"/>
          <w:szCs w:val="21"/>
        </w:rPr>
        <w:t>“</w:t>
      </w:r>
      <w:r w:rsidRPr="00BF42B7">
        <w:rPr>
          <w:rFonts w:eastAsiaTheme="minorEastAsia"/>
          <w:szCs w:val="21"/>
        </w:rPr>
        <w:t>如果受灾国确定灾情超出国家的应对能力，应寻求国际和</w:t>
      </w:r>
      <w:r w:rsidRPr="00BF42B7">
        <w:rPr>
          <w:rFonts w:eastAsiaTheme="minorEastAsia"/>
          <w:szCs w:val="21"/>
        </w:rPr>
        <w:t>/</w:t>
      </w:r>
      <w:r w:rsidRPr="00BF42B7">
        <w:rPr>
          <w:rFonts w:eastAsiaTheme="minorEastAsia"/>
          <w:szCs w:val="21"/>
        </w:rPr>
        <w:t>或地区的援助，以解决受影响人员的需要。</w:t>
      </w:r>
      <w:r w:rsidRPr="00BF42B7">
        <w:rPr>
          <w:rFonts w:eastAsiaTheme="minorEastAsia" w:hint="eastAsia"/>
          <w:szCs w:val="21"/>
        </w:rPr>
        <w:t>”</w:t>
      </w:r>
      <w:r w:rsidRPr="00BF42B7">
        <w:rPr>
          <w:rStyle w:val="a5"/>
          <w:rFonts w:eastAsiaTheme="minorEastAsia"/>
          <w:szCs w:val="21"/>
        </w:rPr>
        <w:footnoteReference w:id="187"/>
      </w:r>
    </w:p>
    <w:p w:rsidR="00765E0D" w:rsidRPr="00BF42B7" w:rsidRDefault="00765E0D" w:rsidP="008972C0">
      <w:pPr>
        <w:pStyle w:val="SingleTxtGC"/>
        <w:rPr>
          <w:rFonts w:eastAsiaTheme="minorEastAsia"/>
          <w:szCs w:val="21"/>
        </w:rPr>
      </w:pPr>
      <w:r w:rsidRPr="00BF42B7">
        <w:rPr>
          <w:rFonts w:eastAsiaTheme="minorEastAsia"/>
          <w:szCs w:val="21"/>
        </w:rPr>
        <w:t>此外，大会第</w:t>
      </w:r>
      <w:hyperlink r:id="rId63" w:history="1">
        <w:r w:rsidRPr="007F0135">
          <w:rPr>
            <w:rStyle w:val="af"/>
            <w:rFonts w:eastAsiaTheme="minorEastAsia"/>
            <w:szCs w:val="21"/>
          </w:rPr>
          <w:t>46/182</w:t>
        </w:r>
      </w:hyperlink>
      <w:r w:rsidRPr="00BF42B7">
        <w:rPr>
          <w:rFonts w:eastAsiaTheme="minorEastAsia"/>
          <w:szCs w:val="21"/>
        </w:rPr>
        <w:t>号决议所附的指导原则似乎也</w:t>
      </w:r>
      <w:r w:rsidRPr="00BF42B7">
        <w:rPr>
          <w:rFonts w:eastAsiaTheme="minorEastAsia" w:hint="eastAsia"/>
          <w:szCs w:val="21"/>
        </w:rPr>
        <w:t>支持</w:t>
      </w:r>
      <w:r w:rsidRPr="00BF42B7">
        <w:rPr>
          <w:rFonts w:eastAsiaTheme="minorEastAsia"/>
          <w:szCs w:val="21"/>
        </w:rPr>
        <w:t>受灾国在紧急情况超出其应对能力的情形下有责任</w:t>
      </w:r>
      <w:r w:rsidRPr="00BF42B7">
        <w:rPr>
          <w:rFonts w:eastAsiaTheme="minorEastAsia" w:hint="eastAsia"/>
          <w:szCs w:val="21"/>
        </w:rPr>
        <w:t>求助于</w:t>
      </w:r>
      <w:r w:rsidRPr="00BF42B7">
        <w:rPr>
          <w:rFonts w:eastAsiaTheme="minorEastAsia"/>
          <w:szCs w:val="21"/>
        </w:rPr>
        <w:t>国际合作：</w:t>
      </w:r>
    </w:p>
    <w:p w:rsidR="00765E0D" w:rsidRPr="00BF42B7" w:rsidRDefault="00765E0D" w:rsidP="008972C0">
      <w:pPr>
        <w:pStyle w:val="SingleTxtGC"/>
        <w:ind w:left="1565"/>
        <w:rPr>
          <w:rFonts w:eastAsiaTheme="minorEastAsia"/>
          <w:szCs w:val="21"/>
        </w:rPr>
      </w:pPr>
      <w:r w:rsidRPr="00BF42B7">
        <w:rPr>
          <w:rFonts w:eastAsiaTheme="minorEastAsia" w:hint="eastAsia"/>
          <w:szCs w:val="21"/>
        </w:rPr>
        <w:t>“</w:t>
      </w:r>
      <w:r w:rsidRPr="00BF42B7">
        <w:rPr>
          <w:rFonts w:eastAsiaTheme="minorEastAsia"/>
          <w:szCs w:val="21"/>
        </w:rPr>
        <w:t>许多紧急情况的严重性和持续时间可能超出了许多受灾国的应对能力。因此，进行国际合作以处理紧急情况和加强受灾国的应对能力是非常重要的。这种合作应按照国际法和国内法提供。</w:t>
      </w:r>
      <w:r w:rsidRPr="00BF42B7">
        <w:rPr>
          <w:rFonts w:eastAsiaTheme="minorEastAsia" w:hint="eastAsia"/>
          <w:szCs w:val="21"/>
        </w:rPr>
        <w:t>”</w:t>
      </w:r>
      <w:r w:rsidRPr="00BF42B7">
        <w:rPr>
          <w:rStyle w:val="a5"/>
          <w:rFonts w:eastAsiaTheme="minorEastAsia"/>
          <w:szCs w:val="21"/>
        </w:rPr>
        <w:footnoteReference w:id="188"/>
      </w:r>
    </w:p>
    <w:p w:rsidR="00765E0D" w:rsidRPr="00BF42B7" w:rsidRDefault="00765E0D" w:rsidP="00765E0D">
      <w:pPr>
        <w:pStyle w:val="SingleTxtGC"/>
        <w:rPr>
          <w:rFonts w:eastAsiaTheme="minorEastAsia"/>
          <w:szCs w:val="21"/>
        </w:rPr>
      </w:pPr>
      <w:r w:rsidRPr="00BF42B7">
        <w:rPr>
          <w:rFonts w:eastAsiaTheme="minorEastAsia"/>
          <w:szCs w:val="21"/>
        </w:rPr>
        <w:t>(</w:t>
      </w:r>
      <w:r w:rsidRPr="00BF42B7">
        <w:rPr>
          <w:rFonts w:eastAsiaTheme="minorEastAsia" w:hint="eastAsia"/>
          <w:szCs w:val="21"/>
        </w:rPr>
        <w:t>6</w:t>
      </w:r>
      <w:r w:rsidRPr="00BF42B7">
        <w:rPr>
          <w:rFonts w:eastAsiaTheme="minorEastAsia"/>
          <w:szCs w:val="21"/>
        </w:rPr>
        <w:t>)</w:t>
      </w:r>
      <w:r w:rsidRPr="00BF42B7">
        <w:rPr>
          <w:rFonts w:eastAsiaTheme="minorEastAsia" w:hint="eastAsia"/>
          <w:szCs w:val="21"/>
        </w:rPr>
        <w:t xml:space="preserve">  </w:t>
      </w:r>
      <w:r w:rsidRPr="00BF42B7">
        <w:rPr>
          <w:rFonts w:eastAsiaTheme="minorEastAsia" w:hint="eastAsia"/>
          <w:szCs w:val="21"/>
        </w:rPr>
        <w:t>“</w:t>
      </w:r>
      <w:r w:rsidRPr="00BF42B7">
        <w:rPr>
          <w:rFonts w:eastAsiaTheme="minorEastAsia"/>
          <w:szCs w:val="21"/>
        </w:rPr>
        <w:t>请求</w:t>
      </w:r>
      <w:r w:rsidRPr="00BF42B7">
        <w:rPr>
          <w:rFonts w:eastAsiaTheme="minorEastAsia" w:hint="eastAsia"/>
          <w:szCs w:val="21"/>
        </w:rPr>
        <w:t>”</w:t>
      </w:r>
      <w:r w:rsidRPr="00BF42B7">
        <w:rPr>
          <w:rFonts w:eastAsiaTheme="minorEastAsia"/>
          <w:szCs w:val="21"/>
        </w:rPr>
        <w:t>的另一种提法载于《奥斯陆准则》，其中指出，</w:t>
      </w:r>
      <w:r w:rsidRPr="00BF42B7">
        <w:rPr>
          <w:rFonts w:eastAsiaTheme="minorEastAsia" w:hint="eastAsia"/>
          <w:szCs w:val="21"/>
        </w:rPr>
        <w:t>“</w:t>
      </w:r>
      <w:r w:rsidRPr="00BF42B7">
        <w:rPr>
          <w:rFonts w:eastAsiaTheme="minorEastAsia"/>
          <w:szCs w:val="21"/>
        </w:rPr>
        <w:t>如果国际援助是必要的，应由受灾国在灾害一发生时为了最大限度地发挥救灾的效益而尽快请求或同意国际援助</w:t>
      </w:r>
      <w:r w:rsidRPr="00BF42B7">
        <w:rPr>
          <w:rFonts w:eastAsiaTheme="minorEastAsia" w:hint="eastAsia"/>
          <w:szCs w:val="21"/>
        </w:rPr>
        <w:t>”</w:t>
      </w:r>
      <w:r w:rsidRPr="00BF42B7">
        <w:rPr>
          <w:rFonts w:eastAsiaTheme="minorEastAsia"/>
          <w:szCs w:val="21"/>
        </w:rPr>
        <w:t>。</w:t>
      </w:r>
      <w:r w:rsidRPr="00BF42B7">
        <w:rPr>
          <w:rStyle w:val="a5"/>
          <w:rFonts w:eastAsiaTheme="minorEastAsia"/>
          <w:szCs w:val="21"/>
        </w:rPr>
        <w:footnoteReference w:id="189"/>
      </w:r>
      <w:r w:rsidRPr="00BF42B7">
        <w:rPr>
          <w:rFonts w:eastAsiaTheme="minorEastAsia"/>
          <w:szCs w:val="21"/>
        </w:rPr>
        <w:t xml:space="preserve"> </w:t>
      </w:r>
      <w:r w:rsidRPr="00BF42B7">
        <w:rPr>
          <w:rFonts w:eastAsiaTheme="minorEastAsia"/>
          <w:szCs w:val="21"/>
        </w:rPr>
        <w:t>委员会认为，</w:t>
      </w:r>
      <w:r w:rsidRPr="00BF42B7">
        <w:rPr>
          <w:rFonts w:eastAsiaTheme="minorEastAsia" w:hint="eastAsia"/>
          <w:szCs w:val="21"/>
        </w:rPr>
        <w:t>“</w:t>
      </w:r>
      <w:r w:rsidRPr="00BF42B7">
        <w:rPr>
          <w:rFonts w:eastAsiaTheme="minorEastAsia"/>
          <w:szCs w:val="21"/>
        </w:rPr>
        <w:t>请求</w:t>
      </w:r>
      <w:r w:rsidRPr="00BF42B7">
        <w:rPr>
          <w:rFonts w:eastAsiaTheme="minorEastAsia" w:hint="eastAsia"/>
          <w:szCs w:val="21"/>
        </w:rPr>
        <w:t>”</w:t>
      </w:r>
      <w:r w:rsidRPr="00BF42B7">
        <w:rPr>
          <w:rFonts w:eastAsiaTheme="minorEastAsia"/>
          <w:szCs w:val="21"/>
        </w:rPr>
        <w:t>给予援助意味着在援助国或其他援助方接受这一请求时受灾国同意接受其援助。与此相反，委员会认为，有责任</w:t>
      </w:r>
      <w:r w:rsidRPr="00BF42B7">
        <w:rPr>
          <w:rFonts w:eastAsiaTheme="minorEastAsia" w:hint="eastAsia"/>
          <w:szCs w:val="21"/>
        </w:rPr>
        <w:t>“</w:t>
      </w:r>
      <w:r w:rsidRPr="00BF42B7">
        <w:rPr>
          <w:rFonts w:eastAsiaTheme="minorEastAsia"/>
          <w:szCs w:val="21"/>
        </w:rPr>
        <w:t>寻求</w:t>
      </w:r>
      <w:r w:rsidRPr="00BF42B7">
        <w:rPr>
          <w:rFonts w:eastAsiaTheme="minorEastAsia" w:hint="eastAsia"/>
          <w:szCs w:val="21"/>
        </w:rPr>
        <w:t>”</w:t>
      </w:r>
      <w:r w:rsidRPr="00BF42B7">
        <w:rPr>
          <w:rFonts w:eastAsiaTheme="minorEastAsia"/>
          <w:szCs w:val="21"/>
        </w:rPr>
        <w:t>援助意味着对国际援助的提供展开更广泛的协商。</w:t>
      </w:r>
      <w:r w:rsidRPr="00BF42B7">
        <w:rPr>
          <w:rFonts w:eastAsiaTheme="minorEastAsia" w:hint="eastAsia"/>
          <w:szCs w:val="21"/>
        </w:rPr>
        <w:t>“</w:t>
      </w:r>
      <w:r w:rsidRPr="00BF42B7">
        <w:rPr>
          <w:rFonts w:eastAsiaTheme="minorEastAsia"/>
          <w:szCs w:val="21"/>
        </w:rPr>
        <w:t>寻求</w:t>
      </w:r>
      <w:r w:rsidRPr="00BF42B7">
        <w:rPr>
          <w:rFonts w:eastAsiaTheme="minorEastAsia" w:hint="eastAsia"/>
          <w:szCs w:val="21"/>
        </w:rPr>
        <w:t>”</w:t>
      </w:r>
      <w:r w:rsidRPr="00BF42B7">
        <w:rPr>
          <w:rFonts w:eastAsiaTheme="minorEastAsia"/>
          <w:szCs w:val="21"/>
        </w:rPr>
        <w:t>一词意指受灾国采取主动行动谋求达成协议。因此，第</w:t>
      </w:r>
      <w:r w:rsidRPr="00BF42B7">
        <w:rPr>
          <w:rFonts w:eastAsiaTheme="minorEastAsia"/>
          <w:szCs w:val="21"/>
        </w:rPr>
        <w:t>11</w:t>
      </w:r>
      <w:r w:rsidRPr="00BF42B7">
        <w:rPr>
          <w:rFonts w:eastAsiaTheme="minorEastAsia"/>
          <w:szCs w:val="21"/>
        </w:rPr>
        <w:t>条草案责成受灾国在灾害明显超出其国家应对能力时积极寻求援助。</w:t>
      </w:r>
    </w:p>
    <w:p w:rsidR="00765E0D" w:rsidRPr="00BF42B7" w:rsidRDefault="00765E0D" w:rsidP="00765E0D">
      <w:pPr>
        <w:pStyle w:val="SingleTxtGC"/>
        <w:rPr>
          <w:rFonts w:eastAsiaTheme="minorEastAsia"/>
          <w:szCs w:val="21"/>
        </w:rPr>
      </w:pPr>
      <w:r w:rsidRPr="00BF42B7">
        <w:rPr>
          <w:rFonts w:eastAsiaTheme="minorEastAsia"/>
          <w:szCs w:val="21"/>
        </w:rPr>
        <w:t>(</w:t>
      </w:r>
      <w:r w:rsidRPr="00BF42B7">
        <w:rPr>
          <w:rFonts w:eastAsiaTheme="minorEastAsia" w:hint="eastAsia"/>
          <w:szCs w:val="21"/>
        </w:rPr>
        <w:t>7</w:t>
      </w:r>
      <w:r w:rsidRPr="00BF42B7">
        <w:rPr>
          <w:rFonts w:eastAsiaTheme="minorEastAsia"/>
          <w:szCs w:val="21"/>
        </w:rPr>
        <w:t>)</w:t>
      </w:r>
      <w:r w:rsidRPr="00BF42B7">
        <w:rPr>
          <w:rFonts w:eastAsiaTheme="minorEastAsia" w:hint="eastAsia"/>
          <w:szCs w:val="21"/>
        </w:rPr>
        <w:t xml:space="preserve">  </w:t>
      </w:r>
      <w:r w:rsidRPr="00BF42B7">
        <w:rPr>
          <w:rFonts w:eastAsiaTheme="minorEastAsia"/>
          <w:szCs w:val="21"/>
        </w:rPr>
        <w:t>受灾国政府</w:t>
      </w:r>
      <w:r w:rsidRPr="00BF42B7">
        <w:rPr>
          <w:rFonts w:eastAsiaTheme="minorEastAsia" w:hint="eastAsia"/>
          <w:szCs w:val="21"/>
        </w:rPr>
        <w:t>原则上</w:t>
      </w:r>
      <w:r w:rsidRPr="00BF42B7">
        <w:rPr>
          <w:rFonts w:eastAsiaTheme="minorEastAsia"/>
          <w:szCs w:val="21"/>
        </w:rPr>
        <w:t>最能够判断灾情的严重性和国家应对能力的</w:t>
      </w:r>
      <w:r w:rsidRPr="00BF42B7">
        <w:rPr>
          <w:rFonts w:eastAsiaTheme="minorEastAsia" w:hint="eastAsia"/>
          <w:szCs w:val="21"/>
        </w:rPr>
        <w:t>局限。尽管这么说，</w:t>
      </w:r>
      <w:r w:rsidRPr="00BF42B7">
        <w:rPr>
          <w:rFonts w:eastAsiaTheme="minorEastAsia"/>
          <w:szCs w:val="21"/>
        </w:rPr>
        <w:t>受灾国</w:t>
      </w:r>
      <w:r w:rsidRPr="00BF42B7">
        <w:rPr>
          <w:rFonts w:eastAsiaTheme="minorEastAsia" w:hint="eastAsia"/>
          <w:szCs w:val="21"/>
        </w:rPr>
        <w:t>还</w:t>
      </w:r>
      <w:r w:rsidRPr="00BF42B7">
        <w:rPr>
          <w:rFonts w:eastAsiaTheme="minorEastAsia"/>
          <w:szCs w:val="21"/>
        </w:rPr>
        <w:t>必须真诚评估灾害的严重程度。《各国依联合国宪章建立友好关系及合作之国际法原则之宣言》阐述了诚意原则，</w:t>
      </w:r>
      <w:r w:rsidRPr="00BF42B7">
        <w:rPr>
          <w:rStyle w:val="a5"/>
          <w:rFonts w:eastAsiaTheme="minorEastAsia"/>
          <w:szCs w:val="21"/>
        </w:rPr>
        <w:footnoteReference w:id="190"/>
      </w:r>
      <w:r w:rsidRPr="00BF42B7">
        <w:rPr>
          <w:rFonts w:eastAsiaTheme="minorEastAsia"/>
          <w:szCs w:val="21"/>
        </w:rPr>
        <w:t xml:space="preserve"> </w:t>
      </w:r>
      <w:r w:rsidRPr="00BF42B7">
        <w:rPr>
          <w:rFonts w:eastAsiaTheme="minorEastAsia"/>
          <w:szCs w:val="21"/>
        </w:rPr>
        <w:t>其中规定，</w:t>
      </w:r>
      <w:r w:rsidRPr="00BF42B7">
        <w:rPr>
          <w:rFonts w:eastAsiaTheme="minorEastAsia" w:hint="eastAsia"/>
          <w:szCs w:val="21"/>
        </w:rPr>
        <w:t>“</w:t>
      </w:r>
      <w:r w:rsidRPr="00BF42B7">
        <w:rPr>
          <w:rFonts w:eastAsiaTheme="minorEastAsia"/>
          <w:szCs w:val="21"/>
        </w:rPr>
        <w:t>每一国均有责任一秉诚意履行其按照联合国宪章</w:t>
      </w:r>
      <w:r w:rsidRPr="00BF42B7">
        <w:rPr>
          <w:rFonts w:eastAsiaTheme="minorEastAsia" w:hint="eastAsia"/>
          <w:szCs w:val="21"/>
        </w:rPr>
        <w:t>”</w:t>
      </w:r>
      <w:r w:rsidRPr="00BF42B7">
        <w:rPr>
          <w:rFonts w:eastAsiaTheme="minorEastAsia"/>
          <w:szCs w:val="21"/>
        </w:rPr>
        <w:t>担负的义务、</w:t>
      </w:r>
      <w:r w:rsidRPr="00BF42B7">
        <w:rPr>
          <w:rStyle w:val="a5"/>
          <w:rFonts w:eastAsiaTheme="minorEastAsia"/>
          <w:szCs w:val="21"/>
        </w:rPr>
        <w:footnoteReference w:id="191"/>
      </w:r>
      <w:r w:rsidRPr="00BF42B7">
        <w:rPr>
          <w:rFonts w:eastAsiaTheme="minorEastAsia"/>
          <w:szCs w:val="21"/>
        </w:rPr>
        <w:t xml:space="preserve"> </w:t>
      </w:r>
      <w:r w:rsidRPr="00BF42B7">
        <w:rPr>
          <w:rFonts w:eastAsiaTheme="minorEastAsia" w:hint="eastAsia"/>
          <w:szCs w:val="21"/>
        </w:rPr>
        <w:t>“</w:t>
      </w:r>
      <w:r w:rsidRPr="00BF42B7">
        <w:rPr>
          <w:rFonts w:eastAsiaTheme="minorEastAsia"/>
          <w:szCs w:val="21"/>
        </w:rPr>
        <w:t>依公认之国际法原则与规则</w:t>
      </w:r>
      <w:r w:rsidRPr="00BF42B7">
        <w:rPr>
          <w:rFonts w:eastAsiaTheme="minorEastAsia" w:hint="eastAsia"/>
          <w:szCs w:val="21"/>
        </w:rPr>
        <w:t>”</w:t>
      </w:r>
      <w:r w:rsidR="00B95A94">
        <w:rPr>
          <w:rFonts w:eastAsiaTheme="minorEastAsia"/>
          <w:szCs w:val="21"/>
        </w:rPr>
        <w:t>所担负</w:t>
      </w:r>
      <w:r w:rsidRPr="00BF42B7">
        <w:rPr>
          <w:rFonts w:eastAsiaTheme="minorEastAsia"/>
          <w:szCs w:val="21"/>
        </w:rPr>
        <w:t>的义务</w:t>
      </w:r>
      <w:r w:rsidRPr="00BF42B7">
        <w:rPr>
          <w:rStyle w:val="a5"/>
          <w:rFonts w:eastAsiaTheme="minorEastAsia"/>
          <w:szCs w:val="21"/>
        </w:rPr>
        <w:footnoteReference w:id="192"/>
      </w:r>
      <w:r w:rsidRPr="00BF42B7">
        <w:rPr>
          <w:rFonts w:eastAsiaTheme="minorEastAsia" w:hint="eastAsia"/>
          <w:color w:val="0000FF"/>
          <w:szCs w:val="21"/>
          <w:vertAlign w:val="superscript"/>
        </w:rPr>
        <w:t xml:space="preserve"> </w:t>
      </w:r>
      <w:r w:rsidRPr="00BF42B7">
        <w:rPr>
          <w:rFonts w:eastAsiaTheme="minorEastAsia"/>
          <w:szCs w:val="21"/>
        </w:rPr>
        <w:t>以及</w:t>
      </w:r>
      <w:r w:rsidRPr="00BF42B7">
        <w:rPr>
          <w:rFonts w:eastAsiaTheme="minorEastAsia" w:hint="eastAsia"/>
          <w:szCs w:val="21"/>
        </w:rPr>
        <w:t>“</w:t>
      </w:r>
      <w:r w:rsidRPr="00BF42B7">
        <w:rPr>
          <w:rFonts w:eastAsiaTheme="minorEastAsia"/>
          <w:szCs w:val="21"/>
        </w:rPr>
        <w:t>在依公认国际法原则与规则系属有效之国际协定下</w:t>
      </w:r>
      <w:r w:rsidRPr="00BF42B7">
        <w:rPr>
          <w:rFonts w:eastAsiaTheme="minorEastAsia" w:hint="eastAsia"/>
          <w:szCs w:val="21"/>
        </w:rPr>
        <w:t>”</w:t>
      </w:r>
      <w:r w:rsidRPr="00BF42B7">
        <w:rPr>
          <w:rFonts w:eastAsiaTheme="minorEastAsia"/>
          <w:szCs w:val="21"/>
        </w:rPr>
        <w:t>所担负的义务。</w:t>
      </w:r>
      <w:r w:rsidRPr="00BF42B7">
        <w:rPr>
          <w:rStyle w:val="a5"/>
          <w:rFonts w:eastAsiaTheme="minorEastAsia"/>
          <w:szCs w:val="21"/>
        </w:rPr>
        <w:footnoteReference w:id="193"/>
      </w:r>
      <w:r w:rsidRPr="00BF42B7">
        <w:rPr>
          <w:rFonts w:eastAsiaTheme="minorEastAsia"/>
          <w:szCs w:val="21"/>
        </w:rPr>
        <w:t xml:space="preserve"> </w:t>
      </w:r>
      <w:r w:rsidRPr="00BF42B7">
        <w:rPr>
          <w:rFonts w:eastAsiaTheme="minorEastAsia"/>
          <w:szCs w:val="21"/>
        </w:rPr>
        <w:t>对灾害严重程度真诚进行评估是受灾国根据第</w:t>
      </w:r>
      <w:r w:rsidRPr="00BF42B7">
        <w:rPr>
          <w:rFonts w:eastAsiaTheme="minorEastAsia"/>
          <w:szCs w:val="21"/>
        </w:rPr>
        <w:t>10</w:t>
      </w:r>
      <w:r w:rsidRPr="00BF42B7">
        <w:rPr>
          <w:rFonts w:eastAsiaTheme="minorEastAsia"/>
          <w:szCs w:val="21"/>
        </w:rPr>
        <w:t>条草案第</w:t>
      </w:r>
      <w:r w:rsidRPr="00BF42B7">
        <w:rPr>
          <w:rFonts w:eastAsiaTheme="minorEastAsia"/>
          <w:szCs w:val="21"/>
        </w:rPr>
        <w:t>1</w:t>
      </w:r>
      <w:r w:rsidRPr="00BF42B7">
        <w:rPr>
          <w:rFonts w:eastAsiaTheme="minorEastAsia"/>
          <w:szCs w:val="21"/>
        </w:rPr>
        <w:t>款确保人员</w:t>
      </w:r>
      <w:r w:rsidRPr="00BF42B7">
        <w:rPr>
          <w:rFonts w:eastAsiaTheme="minorEastAsia" w:hint="eastAsia"/>
          <w:szCs w:val="21"/>
        </w:rPr>
        <w:t>的保护</w:t>
      </w:r>
      <w:r w:rsidRPr="00BF42B7">
        <w:rPr>
          <w:rFonts w:eastAsiaTheme="minorEastAsia"/>
          <w:szCs w:val="21"/>
        </w:rPr>
        <w:t>和救灾援助</w:t>
      </w:r>
      <w:r w:rsidRPr="00BF42B7">
        <w:rPr>
          <w:rFonts w:eastAsiaTheme="minorEastAsia" w:hint="eastAsia"/>
          <w:szCs w:val="21"/>
        </w:rPr>
        <w:t>的提供</w:t>
      </w:r>
      <w:r w:rsidRPr="00BF42B7">
        <w:rPr>
          <w:rFonts w:eastAsiaTheme="minorEastAsia"/>
          <w:szCs w:val="21"/>
        </w:rPr>
        <w:t>的责任的一个要素。</w:t>
      </w:r>
    </w:p>
    <w:p w:rsidR="00765E0D" w:rsidRPr="00BF42B7" w:rsidRDefault="00765E0D" w:rsidP="00765E0D">
      <w:pPr>
        <w:pStyle w:val="SingleTxtGC"/>
        <w:rPr>
          <w:rFonts w:eastAsiaTheme="minorEastAsia"/>
          <w:szCs w:val="21"/>
        </w:rPr>
      </w:pPr>
      <w:r w:rsidRPr="00BF42B7">
        <w:rPr>
          <w:rFonts w:eastAsiaTheme="minorEastAsia"/>
          <w:szCs w:val="21"/>
        </w:rPr>
        <w:t>(</w:t>
      </w:r>
      <w:r w:rsidRPr="00BF42B7">
        <w:rPr>
          <w:rFonts w:eastAsiaTheme="minorEastAsia" w:hint="eastAsia"/>
          <w:szCs w:val="21"/>
        </w:rPr>
        <w:t>8</w:t>
      </w:r>
      <w:r w:rsidRPr="00BF42B7">
        <w:rPr>
          <w:rFonts w:eastAsiaTheme="minorEastAsia"/>
          <w:szCs w:val="21"/>
        </w:rPr>
        <w:t>)</w:t>
      </w:r>
      <w:r w:rsidRPr="00BF42B7">
        <w:rPr>
          <w:rFonts w:eastAsiaTheme="minorEastAsia" w:hint="eastAsia"/>
          <w:szCs w:val="21"/>
        </w:rPr>
        <w:t xml:space="preserve">  </w:t>
      </w:r>
      <w:r w:rsidRPr="00BF42B7">
        <w:rPr>
          <w:rFonts w:eastAsiaTheme="minorEastAsia"/>
          <w:szCs w:val="21"/>
        </w:rPr>
        <w:t>委员会采用</w:t>
      </w:r>
      <w:r w:rsidRPr="00BF42B7">
        <w:rPr>
          <w:rFonts w:eastAsiaTheme="minorEastAsia" w:hint="eastAsia"/>
          <w:szCs w:val="21"/>
        </w:rPr>
        <w:t>“</w:t>
      </w:r>
      <w:r w:rsidRPr="00BF42B7">
        <w:rPr>
          <w:rFonts w:eastAsiaTheme="minorEastAsia"/>
          <w:szCs w:val="21"/>
        </w:rPr>
        <w:t>酌情</w:t>
      </w:r>
      <w:r w:rsidRPr="00BF42B7">
        <w:rPr>
          <w:rFonts w:eastAsiaTheme="minorEastAsia" w:hint="eastAsia"/>
          <w:szCs w:val="21"/>
        </w:rPr>
        <w:t>”</w:t>
      </w:r>
      <w:r w:rsidRPr="00BF42B7">
        <w:rPr>
          <w:rFonts w:eastAsiaTheme="minorEastAsia"/>
          <w:szCs w:val="21"/>
        </w:rPr>
        <w:t>一词是要强调受灾国从其他国家、联合国及其他潜在援助方中选择最适合其特定需要之援助的自由裁量权。该词进一步反映寻求协助的责任并不意味着一国有责任从第</w:t>
      </w:r>
      <w:r w:rsidRPr="00BF42B7">
        <w:rPr>
          <w:rFonts w:eastAsiaTheme="minorEastAsia"/>
          <w:szCs w:val="21"/>
        </w:rPr>
        <w:t>11</w:t>
      </w:r>
      <w:r w:rsidRPr="00BF42B7">
        <w:rPr>
          <w:rFonts w:eastAsiaTheme="minorEastAsia"/>
          <w:szCs w:val="21"/>
        </w:rPr>
        <w:t>条草案中所列出的每一个来源寻求援助。因此，</w:t>
      </w:r>
      <w:r w:rsidRPr="00BF42B7">
        <w:rPr>
          <w:rFonts w:eastAsiaTheme="minorEastAsia" w:hint="eastAsia"/>
          <w:szCs w:val="21"/>
        </w:rPr>
        <w:t>“</w:t>
      </w:r>
      <w:r w:rsidRPr="00BF42B7">
        <w:rPr>
          <w:rFonts w:eastAsiaTheme="minorEastAsia"/>
          <w:szCs w:val="21"/>
        </w:rPr>
        <w:t>酌情</w:t>
      </w:r>
      <w:r w:rsidRPr="00BF42B7">
        <w:rPr>
          <w:rFonts w:eastAsiaTheme="minorEastAsia" w:hint="eastAsia"/>
          <w:szCs w:val="21"/>
        </w:rPr>
        <w:t>”</w:t>
      </w:r>
      <w:r w:rsidRPr="00BF42B7">
        <w:rPr>
          <w:rFonts w:eastAsiaTheme="minorEastAsia"/>
          <w:szCs w:val="21"/>
        </w:rPr>
        <w:t>一词强调了第</w:t>
      </w:r>
      <w:r w:rsidRPr="00BF42B7">
        <w:rPr>
          <w:rFonts w:eastAsiaTheme="minorEastAsia"/>
          <w:szCs w:val="21"/>
        </w:rPr>
        <w:t>10</w:t>
      </w:r>
      <w:r w:rsidRPr="00BF42B7">
        <w:rPr>
          <w:rFonts w:eastAsiaTheme="minorEastAsia"/>
          <w:szCs w:val="21"/>
        </w:rPr>
        <w:t>条草案第</w:t>
      </w:r>
      <w:r w:rsidRPr="00BF42B7">
        <w:rPr>
          <w:rFonts w:eastAsiaTheme="minorEastAsia"/>
          <w:szCs w:val="21"/>
        </w:rPr>
        <w:t>2</w:t>
      </w:r>
      <w:r w:rsidRPr="00BF42B7">
        <w:rPr>
          <w:rFonts w:eastAsiaTheme="minorEastAsia"/>
          <w:szCs w:val="21"/>
        </w:rPr>
        <w:t>款所述的受灾国在指挥、控制、协调和监督救灾援助上起主要作用这一点。</w:t>
      </w:r>
    </w:p>
    <w:p w:rsidR="00765E0D" w:rsidRPr="00BF42B7" w:rsidRDefault="00765E0D" w:rsidP="00765E0D">
      <w:pPr>
        <w:pStyle w:val="SingleTxtGC"/>
        <w:rPr>
          <w:rFonts w:eastAsiaTheme="minorEastAsia"/>
          <w:szCs w:val="21"/>
        </w:rPr>
      </w:pPr>
      <w:r w:rsidRPr="00BF42B7">
        <w:rPr>
          <w:rFonts w:eastAsiaTheme="minorEastAsia"/>
          <w:szCs w:val="21"/>
        </w:rPr>
        <w:t>(</w:t>
      </w:r>
      <w:r w:rsidRPr="00BF42B7">
        <w:rPr>
          <w:rFonts w:eastAsiaTheme="minorEastAsia" w:hint="eastAsia"/>
          <w:szCs w:val="21"/>
        </w:rPr>
        <w:t>9</w:t>
      </w:r>
      <w:r w:rsidRPr="00BF42B7">
        <w:rPr>
          <w:rFonts w:eastAsiaTheme="minorEastAsia"/>
          <w:szCs w:val="21"/>
        </w:rPr>
        <w:t>)</w:t>
      </w:r>
      <w:r w:rsidRPr="00BF42B7">
        <w:rPr>
          <w:rFonts w:eastAsiaTheme="minorEastAsia" w:hint="eastAsia"/>
          <w:szCs w:val="21"/>
        </w:rPr>
        <w:t xml:space="preserve">  </w:t>
      </w:r>
      <w:r w:rsidRPr="00BF42B7">
        <w:rPr>
          <w:rFonts w:eastAsiaTheme="minorEastAsia"/>
          <w:szCs w:val="21"/>
        </w:rPr>
        <w:t>在灾害明显超出</w:t>
      </w:r>
      <w:r w:rsidRPr="00BF42B7">
        <w:rPr>
          <w:rFonts w:eastAsiaTheme="minorEastAsia" w:hint="eastAsia"/>
          <w:szCs w:val="21"/>
        </w:rPr>
        <w:t>受灾</w:t>
      </w:r>
      <w:r w:rsidRPr="00BF42B7">
        <w:rPr>
          <w:rFonts w:eastAsiaTheme="minorEastAsia"/>
          <w:szCs w:val="21"/>
        </w:rPr>
        <w:t>国应对能力的情形下</w:t>
      </w:r>
      <w:r w:rsidRPr="00BF42B7">
        <w:rPr>
          <w:rFonts w:eastAsiaTheme="minorEastAsia" w:hint="eastAsia"/>
          <w:szCs w:val="21"/>
        </w:rPr>
        <w:t>存在着</w:t>
      </w:r>
      <w:r w:rsidRPr="00BF42B7">
        <w:rPr>
          <w:rFonts w:eastAsiaTheme="minorEastAsia"/>
          <w:szCs w:val="21"/>
        </w:rPr>
        <w:t>寻求援助的责任</w:t>
      </w:r>
      <w:r w:rsidRPr="00BF42B7">
        <w:rPr>
          <w:rFonts w:eastAsiaTheme="minorEastAsia" w:hint="eastAsia"/>
          <w:szCs w:val="21"/>
        </w:rPr>
        <w:t>，这并不</w:t>
      </w:r>
      <w:r w:rsidRPr="00BF42B7">
        <w:rPr>
          <w:rFonts w:eastAsiaTheme="minorEastAsia"/>
          <w:szCs w:val="21"/>
        </w:rPr>
        <w:t>意味着受灾国在灾情较轻时</w:t>
      </w:r>
      <w:r w:rsidRPr="00BF42B7">
        <w:rPr>
          <w:rFonts w:eastAsiaTheme="minorEastAsia" w:hint="eastAsia"/>
          <w:szCs w:val="21"/>
        </w:rPr>
        <w:t>不应</w:t>
      </w:r>
      <w:r w:rsidRPr="00BF42B7">
        <w:rPr>
          <w:rFonts w:eastAsiaTheme="minorEastAsia"/>
          <w:szCs w:val="21"/>
        </w:rPr>
        <w:t>寻求援助。委员会认为，在提供救灾援助的各个阶段进行合作，对充分和有效应对灾害具有主要作用，并且是团结原则的实际体现。即使受灾国有能力且愿意提供所需的援助，国际行为方的合作与援助在许多情况下将确保更可充分、迅速和广泛地应对灾害和加强保护受影响的人。</w:t>
      </w:r>
    </w:p>
    <w:p w:rsidR="00765E0D" w:rsidRPr="00BF42B7" w:rsidRDefault="00765E0D" w:rsidP="00765E0D">
      <w:pPr>
        <w:pStyle w:val="H23GC"/>
        <w:ind w:left="1554"/>
        <w:jc w:val="left"/>
      </w:pPr>
      <w:r w:rsidRPr="00BF42B7">
        <w:rPr>
          <w:rFonts w:hint="eastAsia"/>
        </w:rPr>
        <w:tab/>
      </w:r>
      <w:r w:rsidRPr="00BF42B7">
        <w:rPr>
          <w:rFonts w:hint="eastAsia"/>
        </w:rPr>
        <w:tab/>
      </w:r>
      <w:r w:rsidRPr="00BF42B7">
        <w:t>第</w:t>
      </w:r>
      <w:r w:rsidRPr="00BF42B7">
        <w:t>12</w:t>
      </w:r>
      <w:r w:rsidRPr="00BF42B7">
        <w:t>条</w:t>
      </w:r>
      <w:r w:rsidRPr="00BF42B7">
        <w:br/>
      </w:r>
      <w:r w:rsidRPr="00BF42B7">
        <w:t>提议外部援助</w:t>
      </w:r>
    </w:p>
    <w:p w:rsidR="00765E0D" w:rsidRPr="00BF42B7" w:rsidRDefault="00765E0D" w:rsidP="00765E0D">
      <w:pPr>
        <w:pStyle w:val="SingleTxtGC"/>
        <w:ind w:left="1554"/>
        <w:rPr>
          <w:rFonts w:eastAsiaTheme="minorEastAsia"/>
          <w:szCs w:val="21"/>
        </w:rPr>
      </w:pPr>
      <w:r w:rsidRPr="00BF42B7">
        <w:rPr>
          <w:rFonts w:eastAsiaTheme="minorEastAsia" w:hint="eastAsia"/>
          <w:szCs w:val="21"/>
        </w:rPr>
        <w:t>1</w:t>
      </w:r>
      <w:r w:rsidRPr="00BF42B7">
        <w:rPr>
          <w:rFonts w:eastAsiaTheme="minorEastAsia"/>
          <w:szCs w:val="21"/>
        </w:rPr>
        <w:t xml:space="preserve">.  </w:t>
      </w:r>
      <w:r w:rsidRPr="00BF42B7">
        <w:rPr>
          <w:rFonts w:eastAsiaTheme="minorEastAsia"/>
          <w:szCs w:val="21"/>
          <w:lang w:val="zh-CN"/>
        </w:rPr>
        <w:t>发生灾害时，各国、联合国及其他潜在援助方可向受灾国提议援助</w:t>
      </w:r>
      <w:r w:rsidRPr="00BF42B7">
        <w:rPr>
          <w:rFonts w:eastAsiaTheme="minorEastAsia"/>
          <w:szCs w:val="21"/>
        </w:rPr>
        <w:t>。</w:t>
      </w:r>
    </w:p>
    <w:p w:rsidR="00765E0D" w:rsidRPr="00BF42B7" w:rsidRDefault="00765E0D" w:rsidP="00765E0D">
      <w:pPr>
        <w:pStyle w:val="SingleTxtGC"/>
        <w:ind w:left="1554"/>
        <w:rPr>
          <w:rFonts w:eastAsiaTheme="minorEastAsia"/>
          <w:szCs w:val="21"/>
        </w:rPr>
      </w:pPr>
      <w:r w:rsidRPr="00BF42B7">
        <w:rPr>
          <w:rFonts w:eastAsiaTheme="minorEastAsia"/>
          <w:szCs w:val="21"/>
        </w:rPr>
        <w:t xml:space="preserve">2.  </w:t>
      </w:r>
      <w:r w:rsidRPr="00BF42B7">
        <w:rPr>
          <w:rFonts w:eastAsiaTheme="minorEastAsia"/>
          <w:szCs w:val="21"/>
          <w:lang w:val="zh-CN"/>
        </w:rPr>
        <w:t>受灾国通过向</w:t>
      </w:r>
      <w:r w:rsidRPr="00BF42B7">
        <w:rPr>
          <w:rFonts w:eastAsiaTheme="minorEastAsia" w:hint="eastAsia"/>
          <w:szCs w:val="21"/>
          <w:lang w:val="zh-CN"/>
        </w:rPr>
        <w:t>另一</w:t>
      </w:r>
      <w:r w:rsidRPr="00BF42B7">
        <w:rPr>
          <w:rFonts w:eastAsiaTheme="minorEastAsia"/>
          <w:szCs w:val="21"/>
          <w:lang w:val="zh-CN"/>
        </w:rPr>
        <w:t>国、联合国或其他潜在援助方提出请求而寻求外部援助时，受请求方应迅速对请求予以适当考虑并将其答复通知受灾国</w:t>
      </w:r>
      <w:r w:rsidRPr="00BF42B7">
        <w:rPr>
          <w:rFonts w:eastAsiaTheme="minorEastAsia"/>
          <w:szCs w:val="21"/>
        </w:rPr>
        <w:t>。</w:t>
      </w:r>
    </w:p>
    <w:p w:rsidR="00765E0D" w:rsidRPr="00BF42B7" w:rsidRDefault="00765E0D" w:rsidP="00765E0D">
      <w:pPr>
        <w:pStyle w:val="H23GC"/>
        <w:jc w:val="left"/>
      </w:pPr>
      <w:r w:rsidRPr="00BF42B7">
        <w:tab/>
      </w:r>
      <w:r w:rsidRPr="00BF42B7">
        <w:tab/>
      </w:r>
      <w:r w:rsidRPr="00BF42B7">
        <w:t>评注</w:t>
      </w:r>
    </w:p>
    <w:p w:rsidR="00765E0D" w:rsidRPr="00BF42B7" w:rsidRDefault="00765E0D" w:rsidP="00765E0D">
      <w:pPr>
        <w:pStyle w:val="SingleTxtGC"/>
        <w:rPr>
          <w:rFonts w:eastAsiaTheme="minorEastAsia"/>
          <w:szCs w:val="21"/>
        </w:rPr>
      </w:pPr>
      <w:r w:rsidRPr="00BF42B7">
        <w:rPr>
          <w:rFonts w:eastAsiaTheme="minorEastAsia"/>
          <w:szCs w:val="21"/>
        </w:rPr>
        <w:t>(1)</w:t>
      </w:r>
      <w:r w:rsidRPr="00BF42B7">
        <w:rPr>
          <w:rFonts w:eastAsiaTheme="minorEastAsia" w:hint="eastAsia"/>
          <w:szCs w:val="21"/>
        </w:rPr>
        <w:t xml:space="preserve">  </w:t>
      </w:r>
      <w:r w:rsidRPr="00BF42B7">
        <w:rPr>
          <w:rFonts w:eastAsiaTheme="minorEastAsia"/>
          <w:szCs w:val="21"/>
        </w:rPr>
        <w:t>第</w:t>
      </w:r>
      <w:r w:rsidRPr="00BF42B7">
        <w:rPr>
          <w:rFonts w:eastAsiaTheme="minorEastAsia"/>
          <w:szCs w:val="21"/>
        </w:rPr>
        <w:t>12</w:t>
      </w:r>
      <w:r w:rsidRPr="00BF42B7">
        <w:rPr>
          <w:rFonts w:eastAsiaTheme="minorEastAsia"/>
          <w:szCs w:val="21"/>
        </w:rPr>
        <w:t>条草案承认国际社会愿意在发生灾害时保护人员，这被视为对第</w:t>
      </w:r>
      <w:r w:rsidRPr="00BF42B7">
        <w:rPr>
          <w:rFonts w:eastAsiaTheme="minorEastAsia"/>
          <w:szCs w:val="21"/>
        </w:rPr>
        <w:t>10</w:t>
      </w:r>
      <w:r w:rsidRPr="00BF42B7">
        <w:rPr>
          <w:rFonts w:eastAsiaTheme="minorEastAsia"/>
          <w:szCs w:val="21"/>
        </w:rPr>
        <w:t>条草案所载受灾国主要作用的补充。本条文草案表达了序言中所强调的作为本专题整套条款草案的基础的团结与合作原则，而合作原则具体体现于第</w:t>
      </w:r>
      <w:r w:rsidRPr="00BF42B7">
        <w:rPr>
          <w:rFonts w:eastAsiaTheme="minorEastAsia"/>
          <w:szCs w:val="21"/>
        </w:rPr>
        <w:t>7</w:t>
      </w:r>
      <w:r w:rsidRPr="00BF42B7">
        <w:rPr>
          <w:rFonts w:eastAsiaTheme="minorEastAsia"/>
          <w:szCs w:val="21"/>
        </w:rPr>
        <w:t>至第</w:t>
      </w:r>
      <w:r w:rsidRPr="00BF42B7">
        <w:rPr>
          <w:rFonts w:eastAsiaTheme="minorEastAsia"/>
          <w:szCs w:val="21"/>
        </w:rPr>
        <w:t>9</w:t>
      </w:r>
      <w:r w:rsidRPr="00BF42B7">
        <w:rPr>
          <w:rFonts w:eastAsiaTheme="minorEastAsia"/>
          <w:szCs w:val="21"/>
        </w:rPr>
        <w:t>条草案。</w:t>
      </w:r>
    </w:p>
    <w:p w:rsidR="00765E0D" w:rsidRPr="00BF42B7" w:rsidRDefault="00765E0D" w:rsidP="00765E0D">
      <w:pPr>
        <w:pStyle w:val="SingleTxtGC"/>
        <w:rPr>
          <w:rFonts w:eastAsiaTheme="minorEastAsia"/>
          <w:szCs w:val="21"/>
        </w:rPr>
      </w:pPr>
      <w:r w:rsidRPr="00BF42B7">
        <w:rPr>
          <w:rFonts w:eastAsiaTheme="minorEastAsia"/>
          <w:szCs w:val="21"/>
        </w:rPr>
        <w:t>(2)</w:t>
      </w:r>
      <w:r w:rsidRPr="00BF42B7">
        <w:rPr>
          <w:rFonts w:eastAsiaTheme="minorEastAsia" w:hint="eastAsia"/>
          <w:szCs w:val="21"/>
        </w:rPr>
        <w:t xml:space="preserve">  </w:t>
      </w:r>
      <w:r w:rsidRPr="00BF42B7">
        <w:rPr>
          <w:rFonts w:eastAsiaTheme="minorEastAsia"/>
          <w:szCs w:val="21"/>
        </w:rPr>
        <w:t>第</w:t>
      </w:r>
      <w:r w:rsidRPr="00BF42B7">
        <w:rPr>
          <w:rFonts w:eastAsiaTheme="minorEastAsia"/>
          <w:szCs w:val="21"/>
        </w:rPr>
        <w:t>12</w:t>
      </w:r>
      <w:r w:rsidRPr="00BF42B7">
        <w:rPr>
          <w:rFonts w:eastAsiaTheme="minorEastAsia"/>
          <w:szCs w:val="21"/>
        </w:rPr>
        <w:t>条草案只涉及</w:t>
      </w:r>
      <w:r w:rsidRPr="00BF42B7">
        <w:rPr>
          <w:rFonts w:eastAsiaTheme="minorEastAsia" w:hint="eastAsia"/>
          <w:szCs w:val="21"/>
        </w:rPr>
        <w:t>“</w:t>
      </w:r>
      <w:r w:rsidRPr="00BF42B7">
        <w:rPr>
          <w:rFonts w:eastAsiaTheme="minorEastAsia"/>
          <w:szCs w:val="21"/>
        </w:rPr>
        <w:t>提议</w:t>
      </w:r>
      <w:r w:rsidRPr="00BF42B7">
        <w:rPr>
          <w:rFonts w:eastAsiaTheme="minorEastAsia" w:hint="eastAsia"/>
          <w:szCs w:val="21"/>
        </w:rPr>
        <w:t>”</w:t>
      </w:r>
      <w:r w:rsidRPr="00BF42B7">
        <w:rPr>
          <w:rFonts w:eastAsiaTheme="minorEastAsia"/>
          <w:szCs w:val="21"/>
        </w:rPr>
        <w:t>援助，不涉及实际</w:t>
      </w:r>
      <w:r w:rsidRPr="00BF42B7">
        <w:rPr>
          <w:rFonts w:eastAsiaTheme="minorEastAsia" w:hint="eastAsia"/>
          <w:szCs w:val="21"/>
        </w:rPr>
        <w:t>“</w:t>
      </w:r>
      <w:r w:rsidRPr="00BF42B7">
        <w:rPr>
          <w:rFonts w:eastAsiaTheme="minorEastAsia"/>
          <w:szCs w:val="21"/>
        </w:rPr>
        <w:t>提供</w:t>
      </w:r>
      <w:r w:rsidRPr="00BF42B7">
        <w:rPr>
          <w:rFonts w:eastAsiaTheme="minorEastAsia" w:hint="eastAsia"/>
          <w:szCs w:val="21"/>
        </w:rPr>
        <w:t>”</w:t>
      </w:r>
      <w:r w:rsidRPr="00BF42B7">
        <w:rPr>
          <w:rFonts w:eastAsiaTheme="minorEastAsia"/>
          <w:szCs w:val="21"/>
        </w:rPr>
        <w:t>援助。这类提议，不论是单方面提出还是应要求提出，本质上属于自愿性质，不应视为承认存在援助的法律义务。援助提议也并不导致受灾国有相应的义务要接受该提议。根据序言中强调的且贯穿于整套条款草案的</w:t>
      </w:r>
      <w:r w:rsidRPr="00BF42B7">
        <w:rPr>
          <w:rFonts w:eastAsiaTheme="minorEastAsia" w:hint="eastAsia"/>
          <w:szCs w:val="21"/>
        </w:rPr>
        <w:t>国家</w:t>
      </w:r>
      <w:r w:rsidRPr="00BF42B7">
        <w:rPr>
          <w:rFonts w:eastAsiaTheme="minorEastAsia"/>
          <w:szCs w:val="21"/>
        </w:rPr>
        <w:t>主权原则</w:t>
      </w:r>
      <w:r w:rsidRPr="00BF42B7">
        <w:rPr>
          <w:rFonts w:eastAsiaTheme="minorEastAsia" w:hint="eastAsia"/>
          <w:szCs w:val="21"/>
        </w:rPr>
        <w:t>和受灾国承担的主要作用</w:t>
      </w:r>
      <w:r w:rsidRPr="00BF42B7">
        <w:rPr>
          <w:rFonts w:eastAsiaTheme="minorEastAsia"/>
          <w:szCs w:val="21"/>
        </w:rPr>
        <w:t>，受灾国可按照第</w:t>
      </w:r>
      <w:r w:rsidRPr="00BF42B7">
        <w:rPr>
          <w:rFonts w:eastAsiaTheme="minorEastAsia"/>
          <w:szCs w:val="21"/>
        </w:rPr>
        <w:t>13</w:t>
      </w:r>
      <w:r w:rsidRPr="00BF42B7">
        <w:rPr>
          <w:rFonts w:eastAsiaTheme="minorEastAsia"/>
          <w:szCs w:val="21"/>
        </w:rPr>
        <w:t>条草案</w:t>
      </w:r>
      <w:r w:rsidRPr="00BF42B7">
        <w:rPr>
          <w:rFonts w:eastAsiaTheme="minorEastAsia" w:hint="eastAsia"/>
          <w:szCs w:val="21"/>
        </w:rPr>
        <w:t>所规定的条件，</w:t>
      </w:r>
      <w:r w:rsidRPr="00BF42B7">
        <w:rPr>
          <w:rFonts w:eastAsiaTheme="minorEastAsia"/>
          <w:szCs w:val="21"/>
        </w:rPr>
        <w:t>选择全部或部分接受或者不接受国家或非国家行为方的援助提议。</w:t>
      </w:r>
    </w:p>
    <w:p w:rsidR="00765E0D" w:rsidRPr="00BF42B7" w:rsidRDefault="00765E0D" w:rsidP="00765E0D">
      <w:pPr>
        <w:pStyle w:val="SingleTxtGC"/>
        <w:rPr>
          <w:rFonts w:eastAsiaTheme="minorEastAsia"/>
          <w:szCs w:val="21"/>
        </w:rPr>
      </w:pPr>
      <w:r w:rsidRPr="00BF42B7">
        <w:rPr>
          <w:rFonts w:eastAsiaTheme="minorEastAsia"/>
          <w:szCs w:val="21"/>
        </w:rPr>
        <w:t>(3)</w:t>
      </w:r>
      <w:r w:rsidRPr="00BF42B7">
        <w:rPr>
          <w:rFonts w:eastAsiaTheme="minorEastAsia" w:hint="eastAsia"/>
          <w:szCs w:val="21"/>
        </w:rPr>
        <w:t xml:space="preserve">  </w:t>
      </w:r>
      <w:r w:rsidRPr="00BF42B7">
        <w:rPr>
          <w:rFonts w:eastAsiaTheme="minorEastAsia"/>
          <w:szCs w:val="21"/>
        </w:rPr>
        <w:t>援助提议必须符合本条款草案特别是第</w:t>
      </w:r>
      <w:r w:rsidRPr="00BF42B7">
        <w:rPr>
          <w:rFonts w:eastAsiaTheme="minorEastAsia"/>
          <w:szCs w:val="21"/>
        </w:rPr>
        <w:t>6</w:t>
      </w:r>
      <w:r w:rsidRPr="00BF42B7">
        <w:rPr>
          <w:rFonts w:eastAsiaTheme="minorEastAsia"/>
          <w:szCs w:val="21"/>
        </w:rPr>
        <w:t>条草案中申明的各项原则。这种援助提议不得视为干涉受灾国内部事务。这一论断符合国际法学会在</w:t>
      </w:r>
      <w:r w:rsidRPr="00BF42B7">
        <w:rPr>
          <w:rFonts w:eastAsiaTheme="minorEastAsia"/>
          <w:szCs w:val="21"/>
        </w:rPr>
        <w:t>1989</w:t>
      </w:r>
      <w:r w:rsidRPr="00BF42B7">
        <w:rPr>
          <w:rFonts w:eastAsiaTheme="minorEastAsia"/>
          <w:szCs w:val="21"/>
        </w:rPr>
        <w:t>年关于</w:t>
      </w:r>
      <w:r w:rsidRPr="00BF42B7">
        <w:rPr>
          <w:rFonts w:eastAsiaTheme="minorEastAsia" w:hint="eastAsia"/>
          <w:szCs w:val="21"/>
        </w:rPr>
        <w:t>“</w:t>
      </w:r>
      <w:r w:rsidRPr="00BF42B7">
        <w:rPr>
          <w:rFonts w:eastAsiaTheme="minorEastAsia"/>
          <w:szCs w:val="21"/>
        </w:rPr>
        <w:t>保护人权和不干涉他国内部事务原则</w:t>
      </w:r>
      <w:r w:rsidRPr="00BF42B7">
        <w:rPr>
          <w:rFonts w:eastAsiaTheme="minorEastAsia" w:hint="eastAsia"/>
          <w:szCs w:val="21"/>
        </w:rPr>
        <w:t>”</w:t>
      </w:r>
      <w:r w:rsidRPr="00BF42B7">
        <w:rPr>
          <w:rFonts w:eastAsiaTheme="minorEastAsia"/>
          <w:szCs w:val="21"/>
        </w:rPr>
        <w:t>的决议中的声明：</w:t>
      </w:r>
    </w:p>
    <w:p w:rsidR="00765E0D" w:rsidRPr="00BF42B7" w:rsidRDefault="00765E0D" w:rsidP="008972C0">
      <w:pPr>
        <w:pStyle w:val="SingleTxtGC"/>
        <w:ind w:left="1565"/>
        <w:rPr>
          <w:rFonts w:eastAsiaTheme="minorEastAsia"/>
          <w:szCs w:val="21"/>
        </w:rPr>
      </w:pPr>
      <w:r w:rsidRPr="00BF42B7">
        <w:rPr>
          <w:rFonts w:eastAsiaTheme="minorEastAsia" w:hint="eastAsia"/>
          <w:szCs w:val="21"/>
        </w:rPr>
        <w:t>“</w:t>
      </w:r>
      <w:r w:rsidRPr="00BF42B7">
        <w:rPr>
          <w:rFonts w:eastAsiaTheme="minorEastAsia"/>
          <w:szCs w:val="21"/>
        </w:rPr>
        <w:t>国家、国家集团、国际组织或红十字国际委员会等公正的人道主义机构向领土内人民生命或健康遭到严重威胁的国家提出提供粮食或医疗物资，不得视为对该国内部事务的非法干涉。</w:t>
      </w:r>
      <w:r w:rsidRPr="00BF42B7">
        <w:rPr>
          <w:rFonts w:eastAsiaTheme="minorEastAsia" w:hint="eastAsia"/>
          <w:szCs w:val="21"/>
        </w:rPr>
        <w:t>”</w:t>
      </w:r>
      <w:r w:rsidRPr="00BF42B7">
        <w:rPr>
          <w:rStyle w:val="a5"/>
          <w:rFonts w:eastAsiaTheme="minorEastAsia"/>
          <w:szCs w:val="21"/>
        </w:rPr>
        <w:footnoteReference w:id="194"/>
      </w:r>
    </w:p>
    <w:p w:rsidR="00765E0D" w:rsidRPr="00BF42B7" w:rsidRDefault="00765E0D" w:rsidP="00765E0D">
      <w:pPr>
        <w:pStyle w:val="SingleTxtGC"/>
        <w:rPr>
          <w:rFonts w:eastAsiaTheme="minorEastAsia"/>
          <w:szCs w:val="21"/>
        </w:rPr>
      </w:pPr>
      <w:r w:rsidRPr="00BF42B7">
        <w:rPr>
          <w:rFonts w:eastAsiaTheme="minorEastAsia"/>
          <w:szCs w:val="21"/>
        </w:rPr>
        <w:t>(4)</w:t>
      </w:r>
      <w:r w:rsidRPr="00BF42B7">
        <w:rPr>
          <w:rFonts w:eastAsiaTheme="minorEastAsia" w:hint="eastAsia"/>
          <w:szCs w:val="21"/>
        </w:rPr>
        <w:t xml:space="preserve">  </w:t>
      </w:r>
      <w:r w:rsidRPr="00BF42B7">
        <w:rPr>
          <w:rFonts w:eastAsiaTheme="minorEastAsia"/>
          <w:szCs w:val="21"/>
        </w:rPr>
        <w:t>第</w:t>
      </w:r>
      <w:r w:rsidRPr="00BF42B7">
        <w:rPr>
          <w:rFonts w:eastAsiaTheme="minorEastAsia"/>
          <w:szCs w:val="21"/>
        </w:rPr>
        <w:t>12</w:t>
      </w:r>
      <w:r w:rsidRPr="00BF42B7">
        <w:rPr>
          <w:rFonts w:eastAsiaTheme="minorEastAsia"/>
          <w:szCs w:val="21"/>
        </w:rPr>
        <w:t>条草案是关于最有可能在发生灾害后提出援助提议的行为方向受灾国提议援助的问题，这些行为方就是各国、联合国及其他援助方。冠以条件修饰语</w:t>
      </w:r>
      <w:r w:rsidRPr="00BF42B7">
        <w:rPr>
          <w:rFonts w:eastAsiaTheme="minorEastAsia" w:hint="eastAsia"/>
          <w:szCs w:val="21"/>
        </w:rPr>
        <w:t>“</w:t>
      </w:r>
      <w:r w:rsidRPr="00BF42B7">
        <w:rPr>
          <w:rFonts w:eastAsiaTheme="minorEastAsia"/>
          <w:szCs w:val="21"/>
        </w:rPr>
        <w:t>潜在</w:t>
      </w:r>
      <w:r w:rsidRPr="00BF42B7">
        <w:rPr>
          <w:rFonts w:eastAsiaTheme="minorEastAsia" w:hint="eastAsia"/>
          <w:szCs w:val="21"/>
        </w:rPr>
        <w:t>”</w:t>
      </w:r>
      <w:r w:rsidRPr="00BF42B7">
        <w:rPr>
          <w:rFonts w:eastAsiaTheme="minorEastAsia"/>
          <w:szCs w:val="21"/>
        </w:rPr>
        <w:t>的</w:t>
      </w:r>
      <w:r w:rsidRPr="00BF42B7">
        <w:rPr>
          <w:rFonts w:eastAsiaTheme="minorEastAsia" w:hint="eastAsia"/>
          <w:szCs w:val="21"/>
        </w:rPr>
        <w:t>“</w:t>
      </w:r>
      <w:r w:rsidRPr="00BF42B7">
        <w:rPr>
          <w:rFonts w:eastAsiaTheme="minorEastAsia"/>
          <w:szCs w:val="21"/>
        </w:rPr>
        <w:t>其他援助方</w:t>
      </w:r>
      <w:r w:rsidRPr="00BF42B7">
        <w:rPr>
          <w:rFonts w:eastAsiaTheme="minorEastAsia" w:hint="eastAsia"/>
          <w:szCs w:val="21"/>
        </w:rPr>
        <w:t>”</w:t>
      </w:r>
      <w:r w:rsidRPr="00BF42B7">
        <w:rPr>
          <w:rFonts w:eastAsiaTheme="minorEastAsia"/>
          <w:szCs w:val="21"/>
        </w:rPr>
        <w:t>一词在第</w:t>
      </w:r>
      <w:r w:rsidRPr="00BF42B7">
        <w:rPr>
          <w:rFonts w:eastAsiaTheme="minorEastAsia"/>
          <w:szCs w:val="21"/>
        </w:rPr>
        <w:t>3</w:t>
      </w:r>
      <w:r w:rsidRPr="00BF42B7">
        <w:rPr>
          <w:rFonts w:eastAsiaTheme="minorEastAsia"/>
          <w:szCs w:val="21"/>
        </w:rPr>
        <w:t>条草案</w:t>
      </w:r>
      <w:r w:rsidRPr="00BF42B7">
        <w:rPr>
          <w:rFonts w:eastAsiaTheme="minorEastAsia"/>
          <w:szCs w:val="21"/>
        </w:rPr>
        <w:t>(d)</w:t>
      </w:r>
      <w:r w:rsidRPr="00BF42B7">
        <w:rPr>
          <w:rFonts w:eastAsiaTheme="minorEastAsia"/>
          <w:szCs w:val="21"/>
        </w:rPr>
        <w:t>项中有定义，它包含主管政府间组织或有关非政府组织或实体。联合国及政府间组织根据其组成文书不仅有权提议援助，而且鼓励它们向受灾国提议援助。</w:t>
      </w:r>
    </w:p>
    <w:p w:rsidR="00765E0D" w:rsidRPr="00BF42B7" w:rsidRDefault="00765E0D" w:rsidP="00765E0D">
      <w:pPr>
        <w:pStyle w:val="SingleTxtGC"/>
        <w:rPr>
          <w:rFonts w:eastAsiaTheme="minorEastAsia"/>
          <w:szCs w:val="21"/>
        </w:rPr>
      </w:pPr>
      <w:r w:rsidRPr="00BF42B7">
        <w:rPr>
          <w:rFonts w:eastAsiaTheme="minorEastAsia"/>
          <w:szCs w:val="21"/>
        </w:rPr>
        <w:t>(5)</w:t>
      </w:r>
      <w:r w:rsidRPr="00BF42B7">
        <w:rPr>
          <w:rFonts w:eastAsiaTheme="minorEastAsia" w:hint="eastAsia"/>
          <w:szCs w:val="21"/>
        </w:rPr>
        <w:t xml:space="preserve">  </w:t>
      </w:r>
      <w:r w:rsidRPr="00BF42B7">
        <w:rPr>
          <w:rFonts w:eastAsiaTheme="minorEastAsia"/>
          <w:szCs w:val="21"/>
        </w:rPr>
        <w:t>非政府组织或实体基于其性质、所在位置和专长，完全能够针对特定灾害提供援助。非政府组织或实体在开展救援行动方面的地位在国际法中并不鲜见。</w:t>
      </w:r>
      <w:r w:rsidRPr="00BF42B7">
        <w:rPr>
          <w:rFonts w:eastAsiaTheme="minorEastAsia"/>
          <w:szCs w:val="21"/>
        </w:rPr>
        <w:t>1949</w:t>
      </w:r>
      <w:r w:rsidRPr="00BF42B7">
        <w:rPr>
          <w:rFonts w:eastAsiaTheme="minorEastAsia"/>
          <w:szCs w:val="21"/>
        </w:rPr>
        <w:t>年日内瓦四公约已经规定，在武装冲突情况下：</w:t>
      </w:r>
    </w:p>
    <w:p w:rsidR="00765E0D" w:rsidRPr="00BF42B7" w:rsidRDefault="00765E0D" w:rsidP="008972C0">
      <w:pPr>
        <w:pStyle w:val="SingleTxtGC"/>
        <w:ind w:left="1565"/>
        <w:rPr>
          <w:rFonts w:eastAsiaTheme="minorEastAsia"/>
          <w:szCs w:val="21"/>
        </w:rPr>
      </w:pPr>
      <w:r w:rsidRPr="00BF42B7">
        <w:rPr>
          <w:rFonts w:eastAsiaTheme="minorEastAsia" w:hint="eastAsia"/>
          <w:szCs w:val="21"/>
        </w:rPr>
        <w:t>“</w:t>
      </w:r>
      <w:r w:rsidRPr="00BF42B7">
        <w:rPr>
          <w:rFonts w:eastAsiaTheme="minorEastAsia"/>
          <w:szCs w:val="21"/>
        </w:rPr>
        <w:t>公正的人道主义团体，如红十字国际委员会，得向冲突之各方提供服务。</w:t>
      </w:r>
      <w:r w:rsidRPr="00BF42B7">
        <w:rPr>
          <w:rFonts w:eastAsiaTheme="minorEastAsia" w:hint="eastAsia"/>
          <w:szCs w:val="21"/>
        </w:rPr>
        <w:t>”</w:t>
      </w:r>
      <w:r w:rsidRPr="00BF42B7">
        <w:rPr>
          <w:rStyle w:val="a5"/>
          <w:rFonts w:eastAsiaTheme="minorEastAsia"/>
          <w:szCs w:val="21"/>
        </w:rPr>
        <w:footnoteReference w:id="195"/>
      </w:r>
    </w:p>
    <w:p w:rsidR="00765E0D" w:rsidRPr="00BF42B7" w:rsidRDefault="00765E0D" w:rsidP="008972C0">
      <w:pPr>
        <w:pStyle w:val="SingleTxtGC"/>
        <w:rPr>
          <w:rFonts w:eastAsiaTheme="minorEastAsia"/>
          <w:szCs w:val="21"/>
        </w:rPr>
      </w:pPr>
      <w:r w:rsidRPr="00BF42B7">
        <w:rPr>
          <w:rFonts w:eastAsiaTheme="minorEastAsia"/>
          <w:szCs w:val="21"/>
        </w:rPr>
        <w:t>同样，</w:t>
      </w:r>
      <w:r w:rsidRPr="00BF42B7">
        <w:rPr>
          <w:rFonts w:eastAsiaTheme="minorEastAsia"/>
          <w:szCs w:val="21"/>
        </w:rPr>
        <w:t>1949</w:t>
      </w:r>
      <w:r w:rsidRPr="00BF42B7">
        <w:rPr>
          <w:rFonts w:eastAsiaTheme="minorEastAsia"/>
          <w:szCs w:val="21"/>
        </w:rPr>
        <w:t>年日内瓦四公约第二附加议定书规定：</w:t>
      </w:r>
    </w:p>
    <w:p w:rsidR="00765E0D" w:rsidRPr="00BF42B7" w:rsidRDefault="00765E0D" w:rsidP="008972C0">
      <w:pPr>
        <w:pStyle w:val="SingleTxtGC"/>
        <w:ind w:left="1565"/>
        <w:rPr>
          <w:rFonts w:eastAsiaTheme="minorEastAsia"/>
          <w:spacing w:val="-4"/>
          <w:szCs w:val="21"/>
        </w:rPr>
      </w:pPr>
      <w:r w:rsidRPr="00B95A94">
        <w:rPr>
          <w:rFonts w:eastAsiaTheme="minorEastAsia" w:hint="eastAsia"/>
          <w:szCs w:val="21"/>
        </w:rPr>
        <w:t>“</w:t>
      </w:r>
      <w:r w:rsidRPr="00B95A94">
        <w:rPr>
          <w:rFonts w:eastAsiaTheme="minorEastAsia"/>
          <w:szCs w:val="21"/>
        </w:rPr>
        <w:t>在缔约一方领土内的救济团体，如红十字会</w:t>
      </w:r>
      <w:r w:rsidRPr="00B95A94">
        <w:rPr>
          <w:rFonts w:eastAsiaTheme="minorEastAsia"/>
          <w:szCs w:val="21"/>
        </w:rPr>
        <w:t>(</w:t>
      </w:r>
      <w:r w:rsidRPr="00B95A94">
        <w:rPr>
          <w:rFonts w:eastAsiaTheme="minorEastAsia"/>
          <w:szCs w:val="21"/>
        </w:rPr>
        <w:t>红新月会、红狮与太阳会</w:t>
      </w:r>
      <w:r w:rsidRPr="00B95A94">
        <w:rPr>
          <w:rFonts w:eastAsiaTheme="minorEastAsia"/>
          <w:szCs w:val="21"/>
        </w:rPr>
        <w:t>)</w:t>
      </w:r>
      <w:r w:rsidRPr="00B95A94">
        <w:rPr>
          <w:rFonts w:eastAsiaTheme="minorEastAsia"/>
          <w:szCs w:val="21"/>
        </w:rPr>
        <w:t>组织，得提供服务，对武装冲突受难者执行其传统的职务。平民居民即使在其自己主动下，也得提供收集和照顾伤者、病者和遇船难者的服务。</w:t>
      </w:r>
      <w:r w:rsidRPr="00B95A94">
        <w:rPr>
          <w:rFonts w:eastAsiaTheme="minorEastAsia" w:hint="eastAsia"/>
          <w:szCs w:val="21"/>
        </w:rPr>
        <w:t>”</w:t>
      </w:r>
      <w:r w:rsidRPr="00BF42B7">
        <w:rPr>
          <w:rStyle w:val="a5"/>
          <w:rFonts w:eastAsiaTheme="minorEastAsia"/>
          <w:spacing w:val="-4"/>
          <w:szCs w:val="21"/>
        </w:rPr>
        <w:footnoteReference w:id="196"/>
      </w:r>
    </w:p>
    <w:p w:rsidR="00765E0D" w:rsidRPr="00BF42B7" w:rsidRDefault="00765E0D" w:rsidP="008972C0">
      <w:pPr>
        <w:pStyle w:val="SingleTxtGC"/>
        <w:rPr>
          <w:rFonts w:eastAsiaTheme="minorEastAsia"/>
          <w:szCs w:val="21"/>
        </w:rPr>
      </w:pPr>
      <w:r w:rsidRPr="00BF42B7">
        <w:rPr>
          <w:rFonts w:eastAsiaTheme="minorEastAsia"/>
          <w:szCs w:val="21"/>
        </w:rPr>
        <w:t>大会</w:t>
      </w:r>
      <w:r w:rsidRPr="00BF42B7">
        <w:rPr>
          <w:rFonts w:eastAsiaTheme="minorEastAsia"/>
          <w:szCs w:val="21"/>
        </w:rPr>
        <w:t>1988</w:t>
      </w:r>
      <w:r w:rsidRPr="00BF42B7">
        <w:rPr>
          <w:rFonts w:eastAsiaTheme="minorEastAsia"/>
          <w:szCs w:val="21"/>
        </w:rPr>
        <w:t>年</w:t>
      </w:r>
      <w:r w:rsidRPr="00BF42B7">
        <w:rPr>
          <w:rFonts w:eastAsiaTheme="minorEastAsia"/>
          <w:szCs w:val="21"/>
        </w:rPr>
        <w:t>12</w:t>
      </w:r>
      <w:r w:rsidRPr="00BF42B7">
        <w:rPr>
          <w:rFonts w:eastAsiaTheme="minorEastAsia"/>
          <w:szCs w:val="21"/>
        </w:rPr>
        <w:t>月</w:t>
      </w:r>
      <w:r w:rsidRPr="00BF42B7">
        <w:rPr>
          <w:rFonts w:eastAsiaTheme="minorEastAsia"/>
          <w:szCs w:val="21"/>
        </w:rPr>
        <w:t>8</w:t>
      </w:r>
      <w:r w:rsidRPr="00BF42B7">
        <w:rPr>
          <w:rFonts w:eastAsiaTheme="minorEastAsia"/>
          <w:szCs w:val="21"/>
        </w:rPr>
        <w:t>日题为</w:t>
      </w:r>
      <w:r w:rsidRPr="00BF42B7">
        <w:rPr>
          <w:rFonts w:eastAsiaTheme="minorEastAsia" w:hint="eastAsia"/>
          <w:szCs w:val="21"/>
        </w:rPr>
        <w:t>“</w:t>
      </w:r>
      <w:r w:rsidRPr="00BF42B7">
        <w:rPr>
          <w:rFonts w:eastAsiaTheme="minorEastAsia"/>
          <w:szCs w:val="21"/>
        </w:rPr>
        <w:t>向自然灾害和类似紧急情况的受害者提供人道主义援助</w:t>
      </w:r>
      <w:r w:rsidRPr="00BF42B7">
        <w:rPr>
          <w:rFonts w:eastAsiaTheme="minorEastAsia" w:hint="eastAsia"/>
          <w:szCs w:val="21"/>
        </w:rPr>
        <w:t>”</w:t>
      </w:r>
      <w:r w:rsidRPr="00BF42B7">
        <w:rPr>
          <w:rFonts w:eastAsiaTheme="minorEastAsia"/>
          <w:szCs w:val="21"/>
        </w:rPr>
        <w:t>的第</w:t>
      </w:r>
      <w:hyperlink r:id="rId64" w:history="1">
        <w:r w:rsidRPr="007F0135">
          <w:rPr>
            <w:rStyle w:val="af"/>
            <w:rFonts w:eastAsiaTheme="minorEastAsia"/>
            <w:szCs w:val="21"/>
          </w:rPr>
          <w:t>43/131</w:t>
        </w:r>
      </w:hyperlink>
      <w:r w:rsidRPr="00BF42B7">
        <w:rPr>
          <w:rFonts w:eastAsiaTheme="minorEastAsia"/>
          <w:szCs w:val="21"/>
        </w:rPr>
        <w:t>号决议强调了纯粹出于人道主义动机而工作的非政府组织或实体在救灾工作中的重要贡献，除其他外，大会在该决议中请所有受灾国</w:t>
      </w:r>
      <w:r w:rsidRPr="00BF42B7">
        <w:rPr>
          <w:rFonts w:eastAsiaTheme="minorEastAsia" w:hint="eastAsia"/>
          <w:szCs w:val="21"/>
        </w:rPr>
        <w:t>“</w:t>
      </w:r>
      <w:r w:rsidRPr="00BF42B7">
        <w:rPr>
          <w:rFonts w:eastAsiaTheme="minorEastAsia"/>
          <w:szCs w:val="21"/>
        </w:rPr>
        <w:t>便利</w:t>
      </w:r>
      <w:r w:rsidRPr="00BF42B7">
        <w:rPr>
          <w:rFonts w:eastAsiaTheme="minorEastAsia"/>
          <w:szCs w:val="21"/>
        </w:rPr>
        <w:t>[</w:t>
      </w:r>
      <w:r w:rsidRPr="00BF42B7">
        <w:rPr>
          <w:rFonts w:eastAsiaTheme="minorEastAsia"/>
          <w:szCs w:val="21"/>
        </w:rPr>
        <w:t>这类</w:t>
      </w:r>
      <w:r w:rsidRPr="00BF42B7">
        <w:rPr>
          <w:rFonts w:eastAsiaTheme="minorEastAsia"/>
          <w:szCs w:val="21"/>
        </w:rPr>
        <w:t>]</w:t>
      </w:r>
      <w:r w:rsidRPr="00BF42B7">
        <w:rPr>
          <w:rFonts w:eastAsiaTheme="minorEastAsia"/>
          <w:szCs w:val="21"/>
        </w:rPr>
        <w:t>组织提供人道主义援助的工作，特别是提供粮食、药品和医疗保健，而这些援助切需到达灾民手中</w:t>
      </w:r>
      <w:r w:rsidRPr="00BF42B7">
        <w:rPr>
          <w:rFonts w:eastAsiaTheme="minorEastAsia" w:hint="eastAsia"/>
          <w:szCs w:val="21"/>
        </w:rPr>
        <w:t>”</w:t>
      </w:r>
      <w:r w:rsidRPr="00BF42B7">
        <w:rPr>
          <w:rFonts w:eastAsiaTheme="minorEastAsia"/>
          <w:szCs w:val="21"/>
        </w:rPr>
        <w:t>，并呼吁</w:t>
      </w:r>
      <w:r w:rsidRPr="00BF42B7">
        <w:rPr>
          <w:rFonts w:eastAsiaTheme="minorEastAsia" w:hint="eastAsia"/>
          <w:szCs w:val="21"/>
        </w:rPr>
        <w:t>“</w:t>
      </w:r>
      <w:r w:rsidRPr="00BF42B7">
        <w:rPr>
          <w:rFonts w:eastAsiaTheme="minorEastAsia"/>
          <w:szCs w:val="21"/>
        </w:rPr>
        <w:t>所有国家支持向自然灾害和类似紧急情况的灾民提供人道主义援助的</w:t>
      </w:r>
      <w:r w:rsidRPr="00BF42B7">
        <w:rPr>
          <w:rFonts w:eastAsiaTheme="minorEastAsia"/>
          <w:szCs w:val="21"/>
        </w:rPr>
        <w:t>[</w:t>
      </w:r>
      <w:r w:rsidRPr="00BF42B7">
        <w:rPr>
          <w:rFonts w:eastAsiaTheme="minorEastAsia"/>
          <w:szCs w:val="21"/>
        </w:rPr>
        <w:t>那些</w:t>
      </w:r>
      <w:r w:rsidRPr="00BF42B7">
        <w:rPr>
          <w:rFonts w:eastAsiaTheme="minorEastAsia"/>
          <w:szCs w:val="21"/>
        </w:rPr>
        <w:t>]</w:t>
      </w:r>
      <w:r w:rsidRPr="00BF42B7">
        <w:rPr>
          <w:rFonts w:eastAsiaTheme="minorEastAsia"/>
          <w:szCs w:val="21"/>
        </w:rPr>
        <w:t>组织</w:t>
      </w:r>
      <w:r w:rsidRPr="00BF42B7">
        <w:rPr>
          <w:rFonts w:eastAsiaTheme="minorEastAsia" w:hint="eastAsia"/>
          <w:szCs w:val="21"/>
        </w:rPr>
        <w:t>”</w:t>
      </w:r>
      <w:r w:rsidRPr="00BF42B7">
        <w:rPr>
          <w:rFonts w:eastAsiaTheme="minorEastAsia"/>
          <w:szCs w:val="21"/>
        </w:rPr>
        <w:t>。</w:t>
      </w:r>
      <w:r w:rsidRPr="00BF42B7">
        <w:rPr>
          <w:rStyle w:val="a5"/>
          <w:rFonts w:eastAsiaTheme="minorEastAsia"/>
          <w:szCs w:val="21"/>
        </w:rPr>
        <w:footnoteReference w:id="197"/>
      </w:r>
    </w:p>
    <w:p w:rsidR="00765E0D" w:rsidRPr="00BF42B7" w:rsidRDefault="00765E0D" w:rsidP="00765E0D">
      <w:pPr>
        <w:pStyle w:val="SingleTxtGC"/>
        <w:rPr>
          <w:rFonts w:eastAsiaTheme="minorEastAsia"/>
          <w:szCs w:val="21"/>
        </w:rPr>
      </w:pPr>
      <w:r w:rsidRPr="00BF42B7">
        <w:rPr>
          <w:rFonts w:eastAsiaTheme="minorEastAsia"/>
          <w:szCs w:val="21"/>
        </w:rPr>
        <w:t>(6)</w:t>
      </w:r>
      <w:r w:rsidRPr="00BF42B7">
        <w:rPr>
          <w:rFonts w:eastAsiaTheme="minorEastAsia" w:hint="eastAsia"/>
          <w:szCs w:val="21"/>
        </w:rPr>
        <w:t xml:space="preserve">  </w:t>
      </w:r>
      <w:r w:rsidRPr="00BF42B7">
        <w:rPr>
          <w:rFonts w:eastAsiaTheme="minorEastAsia"/>
          <w:szCs w:val="21"/>
        </w:rPr>
        <w:t>第</w:t>
      </w:r>
      <w:r w:rsidRPr="00BF42B7">
        <w:rPr>
          <w:rFonts w:eastAsiaTheme="minorEastAsia"/>
          <w:szCs w:val="21"/>
        </w:rPr>
        <w:t>1</w:t>
      </w:r>
      <w:r w:rsidRPr="00BF42B7">
        <w:rPr>
          <w:rFonts w:eastAsiaTheme="minorEastAsia"/>
          <w:szCs w:val="21"/>
        </w:rPr>
        <w:t>款中使用副词</w:t>
      </w:r>
      <w:r w:rsidRPr="00BF42B7">
        <w:rPr>
          <w:rFonts w:eastAsiaTheme="minorEastAsia" w:hint="eastAsia"/>
          <w:szCs w:val="21"/>
        </w:rPr>
        <w:t>“</w:t>
      </w:r>
      <w:r w:rsidRPr="00BF42B7">
        <w:rPr>
          <w:rFonts w:eastAsiaTheme="minorEastAsia"/>
          <w:szCs w:val="21"/>
        </w:rPr>
        <w:t>可</w:t>
      </w:r>
      <w:r w:rsidRPr="00BF42B7">
        <w:rPr>
          <w:rFonts w:eastAsiaTheme="minorEastAsia" w:hint="eastAsia"/>
          <w:szCs w:val="21"/>
        </w:rPr>
        <w:t>”</w:t>
      </w:r>
      <w:r w:rsidRPr="00BF42B7">
        <w:rPr>
          <w:rFonts w:eastAsiaTheme="minorEastAsia"/>
          <w:szCs w:val="21"/>
        </w:rPr>
        <w:t>是要强调，就提议外部援助而言，重要的是使所有潜在援助方都可以提议援助，不论其地位和能够采取行动的法律依据为何。</w:t>
      </w:r>
    </w:p>
    <w:p w:rsidR="00765E0D" w:rsidRPr="00BF42B7" w:rsidRDefault="00765E0D" w:rsidP="00765E0D">
      <w:pPr>
        <w:pStyle w:val="SingleTxtGC"/>
        <w:rPr>
          <w:rFonts w:eastAsiaTheme="minorEastAsia"/>
          <w:szCs w:val="21"/>
        </w:rPr>
      </w:pPr>
      <w:r w:rsidRPr="00BF42B7">
        <w:rPr>
          <w:rFonts w:eastAsiaTheme="minorEastAsia"/>
          <w:szCs w:val="21"/>
        </w:rPr>
        <w:t>(7)</w:t>
      </w:r>
      <w:r w:rsidRPr="00BF42B7">
        <w:rPr>
          <w:rFonts w:eastAsiaTheme="minorEastAsia" w:hint="eastAsia"/>
          <w:szCs w:val="21"/>
        </w:rPr>
        <w:t xml:space="preserve">  </w:t>
      </w:r>
      <w:r w:rsidRPr="00BF42B7">
        <w:rPr>
          <w:rFonts w:eastAsiaTheme="minorEastAsia"/>
          <w:szCs w:val="21"/>
        </w:rPr>
        <w:t>第</w:t>
      </w:r>
      <w:r w:rsidRPr="00BF42B7">
        <w:rPr>
          <w:rFonts w:eastAsiaTheme="minorEastAsia"/>
          <w:szCs w:val="21"/>
        </w:rPr>
        <w:t>2</w:t>
      </w:r>
      <w:r w:rsidRPr="00BF42B7">
        <w:rPr>
          <w:rFonts w:eastAsiaTheme="minorEastAsia"/>
          <w:szCs w:val="21"/>
        </w:rPr>
        <w:t>款受到了</w:t>
      </w:r>
      <w:r w:rsidRPr="00BF42B7">
        <w:rPr>
          <w:rFonts w:eastAsiaTheme="minorEastAsia" w:hint="eastAsia"/>
          <w:szCs w:val="21"/>
        </w:rPr>
        <w:t>2000</w:t>
      </w:r>
      <w:r w:rsidRPr="00BF42B7">
        <w:rPr>
          <w:rFonts w:eastAsiaTheme="minorEastAsia" w:hint="eastAsia"/>
          <w:szCs w:val="21"/>
        </w:rPr>
        <w:t>年</w:t>
      </w:r>
      <w:r w:rsidRPr="00BF42B7">
        <w:rPr>
          <w:rFonts w:eastAsiaTheme="minorEastAsia"/>
          <w:szCs w:val="21"/>
        </w:rPr>
        <w:t>《民防援助框架公约》第</w:t>
      </w:r>
      <w:r w:rsidRPr="00BF42B7">
        <w:rPr>
          <w:rFonts w:eastAsiaTheme="minorEastAsia"/>
          <w:szCs w:val="21"/>
        </w:rPr>
        <w:t>3</w:t>
      </w:r>
      <w:r w:rsidRPr="00BF42B7">
        <w:rPr>
          <w:rFonts w:eastAsiaTheme="minorEastAsia"/>
          <w:szCs w:val="21"/>
        </w:rPr>
        <w:t>条</w:t>
      </w:r>
      <w:r w:rsidRPr="00BF42B7">
        <w:rPr>
          <w:rFonts w:eastAsiaTheme="minorEastAsia"/>
          <w:szCs w:val="21"/>
        </w:rPr>
        <w:t>(e)</w:t>
      </w:r>
      <w:r w:rsidRPr="00BF42B7">
        <w:rPr>
          <w:rFonts w:eastAsiaTheme="minorEastAsia"/>
          <w:szCs w:val="21"/>
        </w:rPr>
        <w:t>项的启发，后者载明：</w:t>
      </w:r>
      <w:r w:rsidRPr="00BF42B7">
        <w:rPr>
          <w:rFonts w:eastAsiaTheme="minorEastAsia" w:hint="eastAsia"/>
          <w:szCs w:val="21"/>
        </w:rPr>
        <w:t>“</w:t>
      </w:r>
      <w:r w:rsidRPr="00BF42B7">
        <w:rPr>
          <w:rFonts w:eastAsiaTheme="minorEastAsia"/>
          <w:szCs w:val="21"/>
        </w:rPr>
        <w:t>接受国应在尽可能短的时间内审查和答复援助提议或请求</w:t>
      </w:r>
      <w:r w:rsidRPr="00BF42B7">
        <w:rPr>
          <w:rFonts w:eastAsiaTheme="minorEastAsia" w:hint="eastAsia"/>
          <w:szCs w:val="21"/>
        </w:rPr>
        <w:t>”</w:t>
      </w:r>
      <w:r w:rsidRPr="00BF42B7">
        <w:rPr>
          <w:rFonts w:eastAsiaTheme="minorEastAsia"/>
          <w:szCs w:val="21"/>
        </w:rPr>
        <w:t>。</w:t>
      </w:r>
      <w:r w:rsidRPr="00BF42B7">
        <w:rPr>
          <w:rStyle w:val="a5"/>
          <w:rFonts w:eastAsiaTheme="minorEastAsia"/>
          <w:szCs w:val="21"/>
        </w:rPr>
        <w:footnoteReference w:id="198"/>
      </w:r>
      <w:r w:rsidRPr="00BF42B7">
        <w:rPr>
          <w:rFonts w:eastAsiaTheme="minorEastAsia"/>
          <w:szCs w:val="21"/>
        </w:rPr>
        <w:t xml:space="preserve"> </w:t>
      </w:r>
      <w:r w:rsidRPr="00BF42B7">
        <w:rPr>
          <w:rFonts w:eastAsiaTheme="minorEastAsia"/>
          <w:szCs w:val="21"/>
        </w:rPr>
        <w:t>第</w:t>
      </w:r>
      <w:r w:rsidRPr="00BF42B7">
        <w:rPr>
          <w:rFonts w:eastAsiaTheme="minorEastAsia"/>
          <w:szCs w:val="21"/>
        </w:rPr>
        <w:t>2</w:t>
      </w:r>
      <w:r w:rsidRPr="00BF42B7">
        <w:rPr>
          <w:rFonts w:eastAsiaTheme="minorEastAsia"/>
          <w:szCs w:val="21"/>
        </w:rPr>
        <w:t>款的目的是在整套条款草案中实现更大的平衡，为各国或其他潜在援助方在受灾国请求提供外部援助时规定一种反向的义务。该义务与第</w:t>
      </w:r>
      <w:r w:rsidRPr="00BF42B7">
        <w:rPr>
          <w:rFonts w:eastAsiaTheme="minorEastAsia"/>
          <w:szCs w:val="21"/>
        </w:rPr>
        <w:t>13</w:t>
      </w:r>
      <w:r w:rsidRPr="00BF42B7">
        <w:rPr>
          <w:rFonts w:eastAsiaTheme="minorEastAsia"/>
          <w:szCs w:val="21"/>
        </w:rPr>
        <w:t>条草案第</w:t>
      </w:r>
      <w:r w:rsidRPr="00BF42B7">
        <w:rPr>
          <w:rFonts w:eastAsiaTheme="minorEastAsia"/>
          <w:szCs w:val="21"/>
        </w:rPr>
        <w:t>3</w:t>
      </w:r>
      <w:r w:rsidRPr="00BF42B7">
        <w:rPr>
          <w:rFonts w:eastAsiaTheme="minorEastAsia"/>
          <w:szCs w:val="21"/>
        </w:rPr>
        <w:t>款中规定的受灾国及时告知就援助提议所作决定这一义务相平行。然而，这两条对义务的表述有所不同，这是因为在发生了属于本条款草案适用范围的灾害之后，受灾国的地位有别于援助国或其他援助方。</w:t>
      </w:r>
    </w:p>
    <w:p w:rsidR="00765E0D" w:rsidRPr="00BF42B7" w:rsidRDefault="00765E0D" w:rsidP="00765E0D">
      <w:pPr>
        <w:pStyle w:val="SingleTxtGC"/>
        <w:rPr>
          <w:rFonts w:eastAsiaTheme="minorEastAsia"/>
          <w:szCs w:val="21"/>
        </w:rPr>
      </w:pPr>
      <w:r w:rsidRPr="00BF42B7">
        <w:rPr>
          <w:rFonts w:eastAsiaTheme="minorEastAsia"/>
          <w:szCs w:val="21"/>
        </w:rPr>
        <w:t>(8)</w:t>
      </w:r>
      <w:r w:rsidRPr="00BF42B7">
        <w:rPr>
          <w:rFonts w:eastAsiaTheme="minorEastAsia" w:hint="eastAsia"/>
          <w:szCs w:val="21"/>
        </w:rPr>
        <w:t xml:space="preserve">  </w:t>
      </w:r>
      <w:r w:rsidRPr="00BF42B7">
        <w:rPr>
          <w:rFonts w:eastAsiaTheme="minorEastAsia"/>
          <w:szCs w:val="21"/>
        </w:rPr>
        <w:t>第</w:t>
      </w:r>
      <w:r w:rsidRPr="00BF42B7">
        <w:rPr>
          <w:rFonts w:eastAsiaTheme="minorEastAsia"/>
          <w:szCs w:val="21"/>
        </w:rPr>
        <w:t>2</w:t>
      </w:r>
      <w:r w:rsidRPr="00BF42B7">
        <w:rPr>
          <w:rFonts w:eastAsiaTheme="minorEastAsia"/>
          <w:szCs w:val="21"/>
        </w:rPr>
        <w:t>款由三部分组成。首先，受灾国寻求外部援助即触发了该款的适用。与第</w:t>
      </w:r>
      <w:r w:rsidRPr="00BF42B7">
        <w:rPr>
          <w:rFonts w:eastAsiaTheme="minorEastAsia"/>
          <w:szCs w:val="21"/>
        </w:rPr>
        <w:t>11</w:t>
      </w:r>
      <w:r w:rsidRPr="00BF42B7">
        <w:rPr>
          <w:rFonts w:eastAsiaTheme="minorEastAsia"/>
          <w:szCs w:val="21"/>
        </w:rPr>
        <w:t>条草案中受灾国</w:t>
      </w:r>
      <w:r w:rsidRPr="00BF42B7">
        <w:rPr>
          <w:rFonts w:eastAsiaTheme="minorEastAsia" w:hint="eastAsia"/>
          <w:szCs w:val="21"/>
        </w:rPr>
        <w:t>“</w:t>
      </w:r>
      <w:r w:rsidRPr="00BF42B7">
        <w:rPr>
          <w:rFonts w:eastAsiaTheme="minorEastAsia"/>
          <w:szCs w:val="21"/>
        </w:rPr>
        <w:t>寻求</w:t>
      </w:r>
      <w:r w:rsidRPr="00BF42B7">
        <w:rPr>
          <w:rFonts w:eastAsiaTheme="minorEastAsia" w:hint="eastAsia"/>
          <w:szCs w:val="21"/>
        </w:rPr>
        <w:t>”</w:t>
      </w:r>
      <w:r w:rsidRPr="00BF42B7">
        <w:rPr>
          <w:rFonts w:eastAsiaTheme="minorEastAsia"/>
          <w:szCs w:val="21"/>
        </w:rPr>
        <w:t>援助的一般责任不同的是，这一款针对的是受灾国通过向列明的潜在援助方</w:t>
      </w:r>
      <w:r w:rsidRPr="00BF42B7">
        <w:rPr>
          <w:rFonts w:eastAsiaTheme="minorEastAsia" w:hint="eastAsia"/>
          <w:szCs w:val="21"/>
        </w:rPr>
        <w:t>“</w:t>
      </w:r>
      <w:r w:rsidRPr="00BF42B7">
        <w:rPr>
          <w:rFonts w:eastAsiaTheme="minorEastAsia"/>
          <w:szCs w:val="21"/>
        </w:rPr>
        <w:t>提出请求</w:t>
      </w:r>
      <w:r w:rsidRPr="00BF42B7">
        <w:rPr>
          <w:rFonts w:eastAsiaTheme="minorEastAsia" w:hint="eastAsia"/>
          <w:szCs w:val="21"/>
        </w:rPr>
        <w:t>”</w:t>
      </w:r>
      <w:r w:rsidRPr="00BF42B7">
        <w:rPr>
          <w:rFonts w:eastAsiaTheme="minorEastAsia"/>
          <w:szCs w:val="21"/>
        </w:rPr>
        <w:t>而寻求特定援助的情况。这种特定性很重要，因为它限制了该款只适用于特定的请求而非一般的援助呼吁。</w:t>
      </w:r>
    </w:p>
    <w:p w:rsidR="00765E0D" w:rsidRPr="00BF42B7" w:rsidRDefault="00765E0D" w:rsidP="00765E0D">
      <w:pPr>
        <w:pStyle w:val="SingleTxtGC"/>
        <w:rPr>
          <w:rFonts w:eastAsiaTheme="minorEastAsia"/>
          <w:szCs w:val="21"/>
        </w:rPr>
      </w:pPr>
      <w:r w:rsidRPr="00BF42B7">
        <w:rPr>
          <w:rFonts w:hint="eastAsia"/>
          <w:szCs w:val="21"/>
        </w:rPr>
        <w:t xml:space="preserve">(9)  </w:t>
      </w:r>
      <w:r w:rsidRPr="00BF42B7">
        <w:rPr>
          <w:rFonts w:eastAsiaTheme="minorEastAsia" w:hint="eastAsia"/>
          <w:szCs w:val="21"/>
        </w:rPr>
        <w:t>其次，</w:t>
      </w:r>
      <w:r w:rsidRPr="00BF42B7">
        <w:rPr>
          <w:rFonts w:eastAsiaTheme="minorEastAsia"/>
          <w:szCs w:val="21"/>
        </w:rPr>
        <w:t>该款提及援助请求的</w:t>
      </w:r>
      <w:r w:rsidRPr="00BF42B7">
        <w:rPr>
          <w:rFonts w:eastAsiaTheme="minorEastAsia" w:hint="eastAsia"/>
          <w:szCs w:val="21"/>
        </w:rPr>
        <w:t>各种</w:t>
      </w:r>
      <w:r w:rsidRPr="00BF42B7">
        <w:rPr>
          <w:rFonts w:eastAsiaTheme="minorEastAsia"/>
          <w:szCs w:val="21"/>
        </w:rPr>
        <w:t>对象，其中包括</w:t>
      </w:r>
      <w:r w:rsidRPr="00BF42B7">
        <w:rPr>
          <w:rFonts w:eastAsiaTheme="minorEastAsia" w:hint="eastAsia"/>
          <w:szCs w:val="21"/>
        </w:rPr>
        <w:t>其他国家</w:t>
      </w:r>
      <w:r w:rsidRPr="00BF42B7">
        <w:rPr>
          <w:rFonts w:eastAsiaTheme="minorEastAsia"/>
          <w:szCs w:val="21"/>
        </w:rPr>
        <w:t>、联合国和其他潜在援助方，这交叉引用了第</w:t>
      </w:r>
      <w:r w:rsidRPr="00BF42B7">
        <w:rPr>
          <w:rFonts w:eastAsiaTheme="minorEastAsia"/>
          <w:szCs w:val="21"/>
        </w:rPr>
        <w:t>3</w:t>
      </w:r>
      <w:r w:rsidRPr="00BF42B7">
        <w:rPr>
          <w:rFonts w:eastAsiaTheme="minorEastAsia"/>
          <w:szCs w:val="21"/>
        </w:rPr>
        <w:t>条草案</w:t>
      </w:r>
      <w:r w:rsidRPr="00BF42B7">
        <w:rPr>
          <w:rFonts w:eastAsiaTheme="minorEastAsia"/>
          <w:szCs w:val="21"/>
        </w:rPr>
        <w:t>(d)</w:t>
      </w:r>
      <w:r w:rsidRPr="00BF42B7">
        <w:rPr>
          <w:rFonts w:eastAsiaTheme="minorEastAsia"/>
          <w:szCs w:val="21"/>
        </w:rPr>
        <w:t>项中的定义。单单特别提到联合国，是因为联合国在接收援助请求方面起着中心作用。</w:t>
      </w:r>
    </w:p>
    <w:p w:rsidR="00765E0D" w:rsidRPr="00BF42B7" w:rsidRDefault="00765E0D" w:rsidP="00765E0D">
      <w:pPr>
        <w:pStyle w:val="SingleTxtGC"/>
        <w:rPr>
          <w:rFonts w:eastAsiaTheme="minorEastAsia"/>
          <w:szCs w:val="21"/>
        </w:rPr>
      </w:pPr>
      <w:r w:rsidRPr="00BF42B7">
        <w:rPr>
          <w:rFonts w:eastAsiaTheme="minorEastAsia" w:hint="eastAsia"/>
          <w:szCs w:val="21"/>
        </w:rPr>
        <w:t xml:space="preserve">(10)  </w:t>
      </w:r>
      <w:r w:rsidRPr="00BF42B7">
        <w:rPr>
          <w:rFonts w:eastAsiaTheme="minorEastAsia"/>
          <w:szCs w:val="21"/>
        </w:rPr>
        <w:t>第三，第</w:t>
      </w:r>
      <w:r w:rsidRPr="00BF42B7">
        <w:rPr>
          <w:rFonts w:eastAsiaTheme="minorEastAsia"/>
          <w:szCs w:val="21"/>
        </w:rPr>
        <w:t>2</w:t>
      </w:r>
      <w:r w:rsidRPr="00BF42B7">
        <w:rPr>
          <w:rFonts w:eastAsiaTheme="minorEastAsia"/>
          <w:szCs w:val="21"/>
        </w:rPr>
        <w:t>款为特定请求的对象规定了一项义务。该义务有两个部分：第一部分是对请求予以适当考虑；第二部分是将其答复通知受灾国。两部分义务均</w:t>
      </w:r>
      <w:r w:rsidRPr="00BF42B7">
        <w:rPr>
          <w:rFonts w:eastAsiaTheme="minorEastAsia" w:hint="eastAsia"/>
          <w:szCs w:val="21"/>
        </w:rPr>
        <w:t>含有</w:t>
      </w:r>
      <w:r w:rsidRPr="00BF42B7">
        <w:rPr>
          <w:rFonts w:eastAsiaTheme="minorEastAsia"/>
          <w:szCs w:val="21"/>
        </w:rPr>
        <w:t>修饰语</w:t>
      </w:r>
      <w:r w:rsidRPr="00BF42B7">
        <w:rPr>
          <w:rFonts w:eastAsiaTheme="minorEastAsia" w:hint="eastAsia"/>
          <w:szCs w:val="21"/>
        </w:rPr>
        <w:t>“</w:t>
      </w:r>
      <w:r w:rsidRPr="00BF42B7">
        <w:rPr>
          <w:rFonts w:eastAsiaTheme="minorEastAsia"/>
          <w:szCs w:val="21"/>
        </w:rPr>
        <w:t>迅速</w:t>
      </w:r>
      <w:r w:rsidRPr="00BF42B7">
        <w:rPr>
          <w:rFonts w:eastAsiaTheme="minorEastAsia" w:hint="eastAsia"/>
          <w:szCs w:val="21"/>
        </w:rPr>
        <w:t>”</w:t>
      </w:r>
      <w:r w:rsidRPr="00BF42B7">
        <w:rPr>
          <w:rFonts w:eastAsiaTheme="minorEastAsia"/>
          <w:szCs w:val="21"/>
        </w:rPr>
        <w:t>，指的是要及时。</w:t>
      </w:r>
      <w:r w:rsidRPr="00BF42B7">
        <w:rPr>
          <w:rFonts w:eastAsiaTheme="minorEastAsia" w:hint="eastAsia"/>
          <w:szCs w:val="21"/>
        </w:rPr>
        <w:t>“</w:t>
      </w:r>
      <w:r w:rsidRPr="00BF42B7">
        <w:rPr>
          <w:rFonts w:eastAsiaTheme="minorEastAsia"/>
          <w:szCs w:val="21"/>
        </w:rPr>
        <w:t>对请求予以适当考虑</w:t>
      </w:r>
      <w:r w:rsidRPr="00BF42B7">
        <w:rPr>
          <w:rFonts w:eastAsiaTheme="minorEastAsia" w:hint="eastAsia"/>
          <w:szCs w:val="21"/>
        </w:rPr>
        <w:t>”</w:t>
      </w:r>
      <w:r w:rsidRPr="00BF42B7">
        <w:rPr>
          <w:rFonts w:eastAsiaTheme="minorEastAsia"/>
          <w:szCs w:val="21"/>
        </w:rPr>
        <w:t>这一义务表述取自</w:t>
      </w:r>
      <w:r w:rsidRPr="00BF42B7">
        <w:rPr>
          <w:rFonts w:eastAsiaTheme="minorEastAsia"/>
          <w:szCs w:val="21"/>
        </w:rPr>
        <w:t>2006</w:t>
      </w:r>
      <w:r w:rsidRPr="00BF42B7">
        <w:rPr>
          <w:rFonts w:eastAsiaTheme="minorEastAsia"/>
          <w:szCs w:val="21"/>
        </w:rPr>
        <w:t>年通过的关于外交保护的条款第</w:t>
      </w:r>
      <w:r w:rsidRPr="00BF42B7">
        <w:rPr>
          <w:rFonts w:eastAsiaTheme="minorEastAsia"/>
          <w:szCs w:val="21"/>
        </w:rPr>
        <w:t>19</w:t>
      </w:r>
      <w:r w:rsidRPr="00BF42B7">
        <w:rPr>
          <w:rFonts w:eastAsiaTheme="minorEastAsia"/>
          <w:szCs w:val="21"/>
        </w:rPr>
        <w:t>条中的类似措辞。</w:t>
      </w:r>
      <w:r w:rsidRPr="00BF42B7">
        <w:rPr>
          <w:rStyle w:val="a5"/>
          <w:rFonts w:eastAsiaTheme="minorEastAsia"/>
          <w:szCs w:val="21"/>
        </w:rPr>
        <w:footnoteReference w:id="199"/>
      </w:r>
      <w:r w:rsidRPr="00BF42B7">
        <w:rPr>
          <w:rFonts w:eastAsiaTheme="minorEastAsia"/>
          <w:szCs w:val="21"/>
        </w:rPr>
        <w:t xml:space="preserve"> </w:t>
      </w:r>
      <w:r w:rsidRPr="00BF42B7">
        <w:rPr>
          <w:rFonts w:eastAsiaTheme="minorEastAsia" w:hint="eastAsia"/>
          <w:szCs w:val="21"/>
        </w:rPr>
        <w:t>“</w:t>
      </w:r>
      <w:r w:rsidRPr="00BF42B7">
        <w:rPr>
          <w:rFonts w:eastAsiaTheme="minorEastAsia"/>
          <w:szCs w:val="21"/>
        </w:rPr>
        <w:t>适当</w:t>
      </w:r>
      <w:r w:rsidRPr="00BF42B7">
        <w:rPr>
          <w:rFonts w:eastAsiaTheme="minorEastAsia" w:hint="eastAsia"/>
          <w:szCs w:val="21"/>
        </w:rPr>
        <w:t>”</w:t>
      </w:r>
      <w:r w:rsidRPr="00BF42B7">
        <w:rPr>
          <w:rFonts w:eastAsiaTheme="minorEastAsia"/>
          <w:szCs w:val="21"/>
        </w:rPr>
        <w:t>一词更多的是</w:t>
      </w:r>
      <w:r w:rsidRPr="00BF42B7">
        <w:rPr>
          <w:rFonts w:eastAsiaTheme="minorEastAsia" w:hint="eastAsia"/>
          <w:szCs w:val="21"/>
        </w:rPr>
        <w:t>指</w:t>
      </w:r>
      <w:r w:rsidRPr="00BF42B7">
        <w:rPr>
          <w:rFonts w:eastAsiaTheme="minorEastAsia"/>
          <w:szCs w:val="21"/>
        </w:rPr>
        <w:t>对请求</w:t>
      </w:r>
      <w:r w:rsidRPr="00BF42B7">
        <w:rPr>
          <w:rFonts w:eastAsiaTheme="minorEastAsia" w:hint="eastAsia"/>
          <w:szCs w:val="21"/>
        </w:rPr>
        <w:t>给予认真的考虑</w:t>
      </w:r>
      <w:r w:rsidRPr="00BF42B7">
        <w:rPr>
          <w:rFonts w:eastAsiaTheme="minorEastAsia"/>
          <w:szCs w:val="21"/>
        </w:rPr>
        <w:t>而不是指时间</w:t>
      </w:r>
      <w:r w:rsidRPr="00BF42B7">
        <w:rPr>
          <w:rFonts w:eastAsiaTheme="minorEastAsia" w:hint="eastAsia"/>
          <w:szCs w:val="21"/>
        </w:rPr>
        <w:t>上的及时</w:t>
      </w:r>
      <w:r w:rsidRPr="00BF42B7">
        <w:rPr>
          <w:rFonts w:eastAsiaTheme="minorEastAsia"/>
          <w:szCs w:val="21"/>
        </w:rPr>
        <w:t>，因为</w:t>
      </w:r>
      <w:r w:rsidRPr="00BF42B7">
        <w:rPr>
          <w:rFonts w:eastAsiaTheme="minorEastAsia" w:hint="eastAsia"/>
          <w:szCs w:val="21"/>
        </w:rPr>
        <w:t>“</w:t>
      </w:r>
      <w:r w:rsidRPr="00BF42B7">
        <w:rPr>
          <w:rFonts w:eastAsiaTheme="minorEastAsia"/>
          <w:szCs w:val="21"/>
        </w:rPr>
        <w:t>迅速</w:t>
      </w:r>
      <w:r w:rsidRPr="00BF42B7">
        <w:rPr>
          <w:rFonts w:eastAsiaTheme="minorEastAsia" w:hint="eastAsia"/>
          <w:szCs w:val="21"/>
        </w:rPr>
        <w:t>”</w:t>
      </w:r>
      <w:r w:rsidRPr="00BF42B7">
        <w:rPr>
          <w:rFonts w:eastAsiaTheme="minorEastAsia"/>
          <w:szCs w:val="21"/>
        </w:rPr>
        <w:t>的概念已经包含时间上的适当性了。</w:t>
      </w:r>
    </w:p>
    <w:p w:rsidR="00765E0D" w:rsidRPr="00BF42B7" w:rsidRDefault="00765E0D" w:rsidP="00765E0D">
      <w:pPr>
        <w:pStyle w:val="H23GC"/>
        <w:ind w:left="1554"/>
        <w:jc w:val="left"/>
      </w:pPr>
      <w:r w:rsidRPr="00BF42B7">
        <w:tab/>
      </w:r>
      <w:r w:rsidRPr="00BF42B7">
        <w:tab/>
      </w:r>
      <w:r w:rsidRPr="00BF42B7">
        <w:t>第</w:t>
      </w:r>
      <w:r w:rsidRPr="00BF42B7">
        <w:t>13</w:t>
      </w:r>
      <w:r w:rsidRPr="00BF42B7">
        <w:t>条</w:t>
      </w:r>
      <w:r w:rsidRPr="00BF42B7">
        <w:br/>
      </w:r>
      <w:r w:rsidRPr="00BF42B7">
        <w:t>受灾国对外部援助的同意</w:t>
      </w:r>
    </w:p>
    <w:p w:rsidR="00765E0D" w:rsidRPr="00BF42B7" w:rsidRDefault="00765E0D" w:rsidP="00765E0D">
      <w:pPr>
        <w:pStyle w:val="SingleTxtGC"/>
        <w:ind w:left="1554"/>
        <w:rPr>
          <w:rFonts w:eastAsiaTheme="minorEastAsia"/>
          <w:szCs w:val="21"/>
        </w:rPr>
      </w:pPr>
      <w:r w:rsidRPr="00BF42B7">
        <w:rPr>
          <w:rFonts w:eastAsiaTheme="minorEastAsia"/>
          <w:szCs w:val="21"/>
        </w:rPr>
        <w:t>1.</w:t>
      </w:r>
      <w:r w:rsidRPr="00BF42B7">
        <w:rPr>
          <w:rFonts w:eastAsiaTheme="minorEastAsia" w:hint="eastAsia"/>
          <w:szCs w:val="21"/>
        </w:rPr>
        <w:t xml:space="preserve">  </w:t>
      </w:r>
      <w:r w:rsidRPr="00BF42B7">
        <w:rPr>
          <w:rFonts w:eastAsiaTheme="minorEastAsia"/>
          <w:szCs w:val="21"/>
          <w:lang w:val="zh-CN"/>
        </w:rPr>
        <w:t>提供外部援助须征得受灾国的同意。</w:t>
      </w:r>
    </w:p>
    <w:p w:rsidR="00765E0D" w:rsidRPr="00BF42B7" w:rsidRDefault="00765E0D" w:rsidP="00765E0D">
      <w:pPr>
        <w:pStyle w:val="SingleTxtGC"/>
        <w:ind w:left="1554"/>
        <w:rPr>
          <w:rFonts w:eastAsiaTheme="minorEastAsia"/>
          <w:szCs w:val="21"/>
        </w:rPr>
      </w:pPr>
      <w:r w:rsidRPr="00BF42B7">
        <w:rPr>
          <w:rFonts w:eastAsiaTheme="minorEastAsia"/>
          <w:szCs w:val="21"/>
          <w:lang w:val="zh-CN"/>
        </w:rPr>
        <w:t>2.</w:t>
      </w:r>
      <w:r w:rsidRPr="00BF42B7">
        <w:rPr>
          <w:rFonts w:eastAsiaTheme="minorEastAsia" w:hint="eastAsia"/>
          <w:szCs w:val="21"/>
          <w:lang w:val="zh-CN"/>
        </w:rPr>
        <w:t xml:space="preserve">  </w:t>
      </w:r>
      <w:r w:rsidRPr="00BF42B7">
        <w:rPr>
          <w:rFonts w:eastAsiaTheme="minorEastAsia"/>
          <w:szCs w:val="21"/>
          <w:lang w:val="zh-CN"/>
        </w:rPr>
        <w:t>受灾国不得任意拒绝外</w:t>
      </w:r>
      <w:r w:rsidRPr="00BF42B7">
        <w:rPr>
          <w:rFonts w:eastAsiaTheme="minorEastAsia" w:hint="eastAsia"/>
          <w:szCs w:val="21"/>
          <w:lang w:val="zh-CN"/>
        </w:rPr>
        <w:t>部</w:t>
      </w:r>
      <w:r w:rsidRPr="00BF42B7">
        <w:rPr>
          <w:rFonts w:eastAsiaTheme="minorEastAsia"/>
          <w:szCs w:val="21"/>
          <w:lang w:val="zh-CN"/>
        </w:rPr>
        <w:t>援助。</w:t>
      </w:r>
    </w:p>
    <w:p w:rsidR="00765E0D" w:rsidRPr="00BF42B7" w:rsidRDefault="00765E0D" w:rsidP="00765E0D">
      <w:pPr>
        <w:pStyle w:val="SingleTxtGC"/>
        <w:ind w:left="1554"/>
        <w:rPr>
          <w:rFonts w:eastAsiaTheme="minorEastAsia"/>
          <w:szCs w:val="21"/>
        </w:rPr>
      </w:pPr>
      <w:r w:rsidRPr="00BF42B7">
        <w:rPr>
          <w:rFonts w:eastAsiaTheme="minorEastAsia"/>
          <w:szCs w:val="21"/>
          <w:lang w:val="zh-CN"/>
        </w:rPr>
        <w:t>3.</w:t>
      </w:r>
      <w:r w:rsidRPr="00BF42B7">
        <w:rPr>
          <w:rFonts w:eastAsiaTheme="minorEastAsia" w:hint="eastAsia"/>
          <w:szCs w:val="21"/>
          <w:lang w:val="zh-CN"/>
        </w:rPr>
        <w:t xml:space="preserve">  </w:t>
      </w:r>
      <w:r w:rsidRPr="00BF42B7">
        <w:rPr>
          <w:rFonts w:eastAsiaTheme="minorEastAsia"/>
          <w:szCs w:val="21"/>
          <w:lang w:val="zh-CN"/>
        </w:rPr>
        <w:t>对按照本条款草案提出的援助提议，受灾国只要有可能，应及时告知就该援助提议作出的决定</w:t>
      </w:r>
      <w:r w:rsidRPr="00BF42B7">
        <w:rPr>
          <w:rFonts w:eastAsiaTheme="minorEastAsia"/>
          <w:szCs w:val="21"/>
        </w:rPr>
        <w:t>。</w:t>
      </w:r>
    </w:p>
    <w:p w:rsidR="00765E0D" w:rsidRPr="00BF42B7" w:rsidRDefault="00765E0D" w:rsidP="00765E0D">
      <w:pPr>
        <w:pStyle w:val="H23GC"/>
        <w:jc w:val="left"/>
      </w:pPr>
      <w:bookmarkStart w:id="47" w:name="TOC304454282"/>
      <w:bookmarkStart w:id="48" w:name="_Toc398107266"/>
      <w:r w:rsidRPr="00BF42B7">
        <w:tab/>
      </w:r>
      <w:bookmarkEnd w:id="47"/>
      <w:bookmarkEnd w:id="48"/>
      <w:r w:rsidRPr="00BF42B7">
        <w:tab/>
      </w:r>
      <w:r w:rsidRPr="00BF42B7">
        <w:t>评注</w:t>
      </w:r>
    </w:p>
    <w:p w:rsidR="00765E0D" w:rsidRPr="00BF42B7" w:rsidRDefault="00765E0D" w:rsidP="00765E0D">
      <w:pPr>
        <w:pStyle w:val="SingleTxtGC"/>
        <w:rPr>
          <w:rFonts w:eastAsiaTheme="minorEastAsia"/>
          <w:szCs w:val="21"/>
        </w:rPr>
      </w:pPr>
      <w:r w:rsidRPr="00BF42B7">
        <w:rPr>
          <w:rFonts w:eastAsiaTheme="minorEastAsia"/>
          <w:szCs w:val="21"/>
        </w:rPr>
        <w:t>(1)</w:t>
      </w:r>
      <w:r w:rsidRPr="00BF42B7">
        <w:rPr>
          <w:rFonts w:eastAsiaTheme="minorEastAsia" w:hint="eastAsia"/>
          <w:szCs w:val="21"/>
        </w:rPr>
        <w:t xml:space="preserve">  </w:t>
      </w:r>
      <w:r w:rsidRPr="00BF42B7">
        <w:rPr>
          <w:rFonts w:eastAsiaTheme="minorEastAsia"/>
          <w:szCs w:val="21"/>
        </w:rPr>
        <w:t>第</w:t>
      </w:r>
      <w:r w:rsidRPr="00BF42B7">
        <w:rPr>
          <w:rFonts w:eastAsiaTheme="minorEastAsia"/>
          <w:szCs w:val="21"/>
        </w:rPr>
        <w:t>13</w:t>
      </w:r>
      <w:r w:rsidRPr="00BF42B7">
        <w:rPr>
          <w:rFonts w:eastAsiaTheme="minorEastAsia"/>
          <w:szCs w:val="21"/>
        </w:rPr>
        <w:t>条草案是关于受灾国对提供外部援助的同意。作为一个整体，该条文草案为受灾国在救灾行动方面创建一个附有条件的同意制度。第</w:t>
      </w:r>
      <w:r w:rsidRPr="00BF42B7">
        <w:rPr>
          <w:rFonts w:eastAsiaTheme="minorEastAsia"/>
          <w:szCs w:val="21"/>
        </w:rPr>
        <w:t>1</w:t>
      </w:r>
      <w:r w:rsidRPr="00BF42B7">
        <w:rPr>
          <w:rFonts w:eastAsiaTheme="minorEastAsia"/>
          <w:szCs w:val="21"/>
        </w:rPr>
        <w:t>款反映了国际救灾援助的实施需要受灾国同意这一核心原则。第</w:t>
      </w:r>
      <w:r w:rsidRPr="00BF42B7">
        <w:rPr>
          <w:rFonts w:eastAsiaTheme="minorEastAsia"/>
          <w:szCs w:val="21"/>
        </w:rPr>
        <w:t>2</w:t>
      </w:r>
      <w:r w:rsidRPr="00BF42B7">
        <w:rPr>
          <w:rFonts w:eastAsiaTheme="minorEastAsia"/>
          <w:szCs w:val="21"/>
        </w:rPr>
        <w:t>款规定，对外部援助不得任意拒绝，而第</w:t>
      </w:r>
      <w:r w:rsidRPr="00BF42B7">
        <w:rPr>
          <w:rFonts w:eastAsiaTheme="minorEastAsia"/>
          <w:szCs w:val="21"/>
        </w:rPr>
        <w:t>3</w:t>
      </w:r>
      <w:r w:rsidRPr="00BF42B7">
        <w:rPr>
          <w:rFonts w:eastAsiaTheme="minorEastAsia"/>
          <w:szCs w:val="21"/>
        </w:rPr>
        <w:t>款正式责成受灾国在只要有可能应及时告知其就援助提议作出的决定。</w:t>
      </w:r>
    </w:p>
    <w:p w:rsidR="00765E0D" w:rsidRPr="00BF42B7" w:rsidRDefault="00765E0D" w:rsidP="00765E0D">
      <w:pPr>
        <w:pStyle w:val="SingleTxtGC"/>
        <w:rPr>
          <w:rFonts w:eastAsiaTheme="minorEastAsia"/>
          <w:szCs w:val="21"/>
        </w:rPr>
      </w:pPr>
      <w:r w:rsidRPr="00BF42B7">
        <w:rPr>
          <w:rFonts w:eastAsiaTheme="minorEastAsia"/>
          <w:szCs w:val="21"/>
        </w:rPr>
        <w:t>(2)</w:t>
      </w:r>
      <w:r w:rsidRPr="00BF42B7">
        <w:rPr>
          <w:rFonts w:eastAsiaTheme="minorEastAsia" w:hint="eastAsia"/>
          <w:szCs w:val="21"/>
        </w:rPr>
        <w:t xml:space="preserve">  </w:t>
      </w:r>
      <w:r w:rsidRPr="00BF42B7">
        <w:rPr>
          <w:rFonts w:eastAsiaTheme="minorEastAsia"/>
          <w:szCs w:val="21"/>
        </w:rPr>
        <w:t>提供外部援助需要受灾国同意是国际法的根本原则。因此，大会第</w:t>
      </w:r>
      <w:hyperlink r:id="rId65" w:history="1">
        <w:r w:rsidRPr="007F0135">
          <w:rPr>
            <w:rStyle w:val="af"/>
            <w:rFonts w:eastAsiaTheme="minorEastAsia"/>
            <w:szCs w:val="21"/>
          </w:rPr>
          <w:t>46/182</w:t>
        </w:r>
      </w:hyperlink>
      <w:r w:rsidRPr="00BF42B7">
        <w:rPr>
          <w:rFonts w:eastAsiaTheme="minorEastAsia"/>
          <w:szCs w:val="21"/>
        </w:rPr>
        <w:t>号决议所附载的指导原则第</w:t>
      </w:r>
      <w:r w:rsidRPr="00BF42B7">
        <w:rPr>
          <w:rFonts w:eastAsiaTheme="minorEastAsia"/>
          <w:szCs w:val="21"/>
        </w:rPr>
        <w:t>3</w:t>
      </w:r>
      <w:r w:rsidRPr="00BF42B7">
        <w:rPr>
          <w:rFonts w:eastAsiaTheme="minorEastAsia"/>
          <w:szCs w:val="21"/>
        </w:rPr>
        <w:t>段指出，</w:t>
      </w:r>
      <w:r w:rsidRPr="00BF42B7">
        <w:rPr>
          <w:rFonts w:eastAsiaTheme="minorEastAsia" w:hint="eastAsia"/>
          <w:szCs w:val="21"/>
        </w:rPr>
        <w:t>“</w:t>
      </w:r>
      <w:r w:rsidRPr="00BF42B7">
        <w:rPr>
          <w:rFonts w:eastAsiaTheme="minorEastAsia"/>
          <w:szCs w:val="21"/>
        </w:rPr>
        <w:t>人道主义援助应获得受灾国的同意，并原则上根据受灾国的呼吁予以提供</w:t>
      </w:r>
      <w:r w:rsidRPr="00BF42B7">
        <w:rPr>
          <w:rFonts w:eastAsiaTheme="minorEastAsia" w:hint="eastAsia"/>
          <w:szCs w:val="21"/>
        </w:rPr>
        <w:t>”</w:t>
      </w:r>
      <w:r w:rsidRPr="00BF42B7">
        <w:rPr>
          <w:rFonts w:eastAsiaTheme="minorEastAsia"/>
          <w:szCs w:val="21"/>
        </w:rPr>
        <w:t>。</w:t>
      </w:r>
      <w:r w:rsidRPr="00BF42B7">
        <w:rPr>
          <w:rStyle w:val="a5"/>
          <w:rFonts w:eastAsiaTheme="minorEastAsia"/>
          <w:szCs w:val="21"/>
        </w:rPr>
        <w:footnoteReference w:id="200"/>
      </w:r>
      <w:r w:rsidRPr="00BF42B7">
        <w:rPr>
          <w:rFonts w:eastAsiaTheme="minorEastAsia"/>
          <w:szCs w:val="21"/>
        </w:rPr>
        <w:t xml:space="preserve"> </w:t>
      </w:r>
      <w:r w:rsidRPr="00BF42B7">
        <w:rPr>
          <w:rFonts w:eastAsiaTheme="minorEastAsia"/>
          <w:szCs w:val="21"/>
        </w:rPr>
        <w:t>《坦佩雷公约》规定，</w:t>
      </w:r>
      <w:r w:rsidRPr="00BF42B7">
        <w:rPr>
          <w:rFonts w:eastAsiaTheme="minorEastAsia" w:hint="eastAsia"/>
          <w:szCs w:val="21"/>
        </w:rPr>
        <w:t>“</w:t>
      </w:r>
      <w:r w:rsidRPr="00BF42B7">
        <w:rPr>
          <w:rFonts w:eastAsiaTheme="minorEastAsia"/>
          <w:szCs w:val="21"/>
        </w:rPr>
        <w:t>没有提出请求的缔约国同意，不应该根据本公约提供电信援助</w:t>
      </w:r>
      <w:r w:rsidRPr="00BF42B7">
        <w:rPr>
          <w:rFonts w:eastAsiaTheme="minorEastAsia" w:hint="eastAsia"/>
          <w:szCs w:val="21"/>
        </w:rPr>
        <w:t>”</w:t>
      </w:r>
      <w:r w:rsidRPr="00BF42B7">
        <w:rPr>
          <w:rStyle w:val="a5"/>
          <w:rFonts w:eastAsiaTheme="minorEastAsia"/>
          <w:szCs w:val="21"/>
        </w:rPr>
        <w:footnoteReference w:id="201"/>
      </w:r>
      <w:r w:rsidRPr="00BF42B7">
        <w:rPr>
          <w:rFonts w:eastAsiaTheme="minorEastAsia"/>
          <w:szCs w:val="21"/>
        </w:rPr>
        <w:t>，而《东盟协定》则指出，</w:t>
      </w:r>
      <w:r w:rsidRPr="00BF42B7">
        <w:rPr>
          <w:rFonts w:eastAsiaTheme="minorEastAsia" w:hint="eastAsia"/>
          <w:szCs w:val="21"/>
        </w:rPr>
        <w:t>“</w:t>
      </w:r>
      <w:r w:rsidRPr="00BF42B7">
        <w:rPr>
          <w:rFonts w:eastAsiaTheme="minorEastAsia"/>
          <w:szCs w:val="21"/>
        </w:rPr>
        <w:t>外部援助或援助提议应只在受灾国提出请求或同意后予以提供</w:t>
      </w:r>
      <w:r w:rsidRPr="00BF42B7">
        <w:rPr>
          <w:rFonts w:eastAsiaTheme="minorEastAsia" w:hint="eastAsia"/>
          <w:szCs w:val="21"/>
        </w:rPr>
        <w:t>”</w:t>
      </w:r>
      <w:r w:rsidRPr="00BF42B7">
        <w:rPr>
          <w:rStyle w:val="a5"/>
          <w:rFonts w:eastAsiaTheme="minorEastAsia"/>
          <w:szCs w:val="21"/>
        </w:rPr>
        <w:footnoteReference w:id="202"/>
      </w:r>
      <w:r w:rsidRPr="00BF42B7">
        <w:rPr>
          <w:rFonts w:eastAsiaTheme="minorEastAsia"/>
          <w:szCs w:val="21"/>
        </w:rPr>
        <w:t>。承认外部援助的提供须征得受灾国同意符合第</w:t>
      </w:r>
      <w:r w:rsidRPr="00BF42B7">
        <w:rPr>
          <w:rFonts w:eastAsiaTheme="minorEastAsia"/>
          <w:szCs w:val="21"/>
        </w:rPr>
        <w:t>10</w:t>
      </w:r>
      <w:r w:rsidRPr="00BF42B7">
        <w:rPr>
          <w:rFonts w:eastAsiaTheme="minorEastAsia"/>
          <w:szCs w:val="21"/>
        </w:rPr>
        <w:t>条草案第</w:t>
      </w:r>
      <w:r w:rsidRPr="00BF42B7">
        <w:rPr>
          <w:rFonts w:eastAsiaTheme="minorEastAsia"/>
          <w:szCs w:val="21"/>
        </w:rPr>
        <w:t>2</w:t>
      </w:r>
      <w:r w:rsidRPr="00BF42B7">
        <w:rPr>
          <w:rFonts w:eastAsiaTheme="minorEastAsia"/>
          <w:szCs w:val="21"/>
        </w:rPr>
        <w:t>款的立场：受灾国在指挥、控制、协调和监督其领土或受其管辖或控制的领土内的救灾援助方面起主要作用。</w:t>
      </w:r>
    </w:p>
    <w:p w:rsidR="00765E0D" w:rsidRPr="00BF42B7" w:rsidRDefault="00765E0D" w:rsidP="00765E0D">
      <w:pPr>
        <w:pStyle w:val="SingleTxtGC"/>
        <w:rPr>
          <w:rFonts w:eastAsiaTheme="minorEastAsia"/>
          <w:szCs w:val="21"/>
        </w:rPr>
      </w:pPr>
      <w:r w:rsidRPr="00BF42B7">
        <w:rPr>
          <w:rFonts w:eastAsiaTheme="minorEastAsia"/>
          <w:szCs w:val="21"/>
        </w:rPr>
        <w:t>(3)</w:t>
      </w:r>
      <w:r w:rsidRPr="00BF42B7">
        <w:rPr>
          <w:rFonts w:eastAsiaTheme="minorEastAsia" w:hint="eastAsia"/>
          <w:szCs w:val="21"/>
        </w:rPr>
        <w:t xml:space="preserve">  </w:t>
      </w:r>
      <w:r w:rsidRPr="00BF42B7">
        <w:rPr>
          <w:rFonts w:eastAsiaTheme="minorEastAsia"/>
          <w:szCs w:val="21"/>
        </w:rPr>
        <w:t>第</w:t>
      </w:r>
      <w:r w:rsidRPr="00BF42B7">
        <w:rPr>
          <w:rFonts w:eastAsiaTheme="minorEastAsia"/>
          <w:szCs w:val="21"/>
        </w:rPr>
        <w:t>2</w:t>
      </w:r>
      <w:r w:rsidRPr="00BF42B7">
        <w:rPr>
          <w:rFonts w:eastAsiaTheme="minorEastAsia"/>
          <w:szCs w:val="21"/>
        </w:rPr>
        <w:t>款中承认受灾国拒绝提议的权利并非是不受限制的，这一点反映了主权同时引起权利和义务的双重性质。这种做法体现在第</w:t>
      </w:r>
      <w:r w:rsidRPr="00BF42B7">
        <w:rPr>
          <w:rFonts w:eastAsiaTheme="minorEastAsia"/>
          <w:szCs w:val="21"/>
        </w:rPr>
        <w:t>10</w:t>
      </w:r>
      <w:r w:rsidRPr="00BF42B7">
        <w:rPr>
          <w:rFonts w:eastAsiaTheme="minorEastAsia"/>
          <w:szCs w:val="21"/>
        </w:rPr>
        <w:t>条草案第</w:t>
      </w:r>
      <w:r w:rsidRPr="00BF42B7">
        <w:rPr>
          <w:rFonts w:eastAsiaTheme="minorEastAsia"/>
          <w:szCs w:val="21"/>
        </w:rPr>
        <w:t>1</w:t>
      </w:r>
      <w:r w:rsidRPr="00BF42B7">
        <w:rPr>
          <w:rFonts w:eastAsiaTheme="minorEastAsia"/>
          <w:szCs w:val="21"/>
        </w:rPr>
        <w:t>款，其中申明受灾国</w:t>
      </w:r>
      <w:r w:rsidRPr="00BF42B7">
        <w:rPr>
          <w:rFonts w:eastAsiaTheme="minorEastAsia" w:hint="eastAsia"/>
          <w:szCs w:val="21"/>
        </w:rPr>
        <w:t>“</w:t>
      </w:r>
      <w:r w:rsidRPr="00BF42B7">
        <w:rPr>
          <w:rFonts w:eastAsiaTheme="minorEastAsia"/>
          <w:szCs w:val="21"/>
        </w:rPr>
        <w:t>有责任在其领土或受其管辖或控制的领土内</w:t>
      </w:r>
      <w:r w:rsidRPr="00BF42B7">
        <w:rPr>
          <w:rFonts w:eastAsiaTheme="minorEastAsia" w:hint="eastAsia"/>
          <w:szCs w:val="21"/>
        </w:rPr>
        <w:t>确保</w:t>
      </w:r>
      <w:r w:rsidRPr="00BF42B7">
        <w:rPr>
          <w:rFonts w:eastAsiaTheme="minorEastAsia"/>
          <w:szCs w:val="21"/>
        </w:rPr>
        <w:t>人员</w:t>
      </w:r>
      <w:r w:rsidRPr="00BF42B7">
        <w:rPr>
          <w:rFonts w:eastAsiaTheme="minorEastAsia" w:hint="eastAsia"/>
          <w:szCs w:val="21"/>
        </w:rPr>
        <w:t>的保护</w:t>
      </w:r>
      <w:r w:rsidRPr="00BF42B7">
        <w:rPr>
          <w:rFonts w:eastAsiaTheme="minorEastAsia"/>
          <w:szCs w:val="21"/>
        </w:rPr>
        <w:t>和救灾援助</w:t>
      </w:r>
      <w:r w:rsidRPr="00BF42B7">
        <w:rPr>
          <w:rFonts w:eastAsiaTheme="minorEastAsia" w:hint="eastAsia"/>
          <w:szCs w:val="21"/>
        </w:rPr>
        <w:t>的提供”。</w:t>
      </w:r>
    </w:p>
    <w:p w:rsidR="00765E0D" w:rsidRPr="00BF42B7" w:rsidRDefault="00765E0D" w:rsidP="00765E0D">
      <w:pPr>
        <w:pStyle w:val="SingleTxtGC"/>
        <w:rPr>
          <w:rFonts w:eastAsiaTheme="minorEastAsia"/>
          <w:szCs w:val="21"/>
        </w:rPr>
      </w:pPr>
      <w:r w:rsidRPr="00BF42B7">
        <w:rPr>
          <w:rFonts w:eastAsiaTheme="minorEastAsia"/>
          <w:szCs w:val="21"/>
        </w:rPr>
        <w:t>(4)</w:t>
      </w:r>
      <w:r w:rsidRPr="00BF42B7">
        <w:rPr>
          <w:rFonts w:eastAsiaTheme="minorEastAsia" w:hint="eastAsia"/>
          <w:szCs w:val="21"/>
        </w:rPr>
        <w:t xml:space="preserve">  </w:t>
      </w:r>
      <w:r w:rsidRPr="00BF42B7">
        <w:rPr>
          <w:rFonts w:eastAsiaTheme="minorEastAsia"/>
          <w:szCs w:val="21"/>
        </w:rPr>
        <w:t>委员会认为，发生灾害时受灾国在其领土或受其管辖或控制的领土内确保人员</w:t>
      </w:r>
      <w:r w:rsidRPr="00BF42B7">
        <w:rPr>
          <w:rFonts w:eastAsiaTheme="minorEastAsia" w:hint="eastAsia"/>
          <w:szCs w:val="21"/>
        </w:rPr>
        <w:t>得到保护</w:t>
      </w:r>
      <w:r w:rsidRPr="00BF42B7">
        <w:rPr>
          <w:rFonts w:eastAsiaTheme="minorEastAsia"/>
          <w:szCs w:val="21"/>
        </w:rPr>
        <w:t>和向</w:t>
      </w:r>
      <w:r w:rsidRPr="00BF42B7">
        <w:rPr>
          <w:rFonts w:eastAsiaTheme="minorEastAsia" w:hint="eastAsia"/>
          <w:szCs w:val="21"/>
        </w:rPr>
        <w:t>他们</w:t>
      </w:r>
      <w:r w:rsidRPr="00BF42B7">
        <w:rPr>
          <w:rFonts w:eastAsiaTheme="minorEastAsia"/>
          <w:szCs w:val="21"/>
        </w:rPr>
        <w:t>提供援助的责任旨在维护受灾害影响的人的生命和尊严并保证这些人</w:t>
      </w:r>
      <w:r w:rsidRPr="00BF42B7">
        <w:rPr>
          <w:rFonts w:eastAsiaTheme="minorEastAsia" w:hint="eastAsia"/>
          <w:szCs w:val="21"/>
        </w:rPr>
        <w:t>员</w:t>
      </w:r>
      <w:r w:rsidRPr="00BF42B7">
        <w:rPr>
          <w:rFonts w:eastAsiaTheme="minorEastAsia"/>
          <w:szCs w:val="21"/>
        </w:rPr>
        <w:t>获得所需要的人道主义援助。这一责任是确保受灾国领土或受其管辖或控制的领土内的人员的生命权的核心。</w:t>
      </w:r>
      <w:r w:rsidRPr="00BF42B7">
        <w:rPr>
          <w:rStyle w:val="a5"/>
          <w:rFonts w:eastAsiaTheme="minorEastAsia"/>
          <w:szCs w:val="21"/>
        </w:rPr>
        <w:footnoteReference w:id="203"/>
      </w:r>
      <w:r w:rsidRPr="00BF42B7">
        <w:rPr>
          <w:rFonts w:eastAsiaTheme="minorEastAsia"/>
          <w:szCs w:val="21"/>
        </w:rPr>
        <w:t xml:space="preserve"> </w:t>
      </w:r>
      <w:r w:rsidRPr="00BF42B7">
        <w:rPr>
          <w:rFonts w:eastAsiaTheme="minorEastAsia"/>
          <w:szCs w:val="21"/>
        </w:rPr>
        <w:t>人权事务委员会将《公民权利和政治权利国际公约》第六条所载述的生命权解释为包含国家有义务采取积极措施以</w:t>
      </w:r>
      <w:r w:rsidRPr="00BF42B7">
        <w:rPr>
          <w:rFonts w:eastAsiaTheme="minorEastAsia" w:hint="eastAsia"/>
          <w:szCs w:val="21"/>
        </w:rPr>
        <w:t>保护</w:t>
      </w:r>
      <w:r w:rsidRPr="00BF42B7">
        <w:rPr>
          <w:rFonts w:eastAsiaTheme="minorEastAsia"/>
          <w:szCs w:val="21"/>
        </w:rPr>
        <w:t>这项权利。</w:t>
      </w:r>
      <w:r w:rsidRPr="00BF42B7">
        <w:rPr>
          <w:rStyle w:val="a5"/>
          <w:rFonts w:eastAsiaTheme="minorEastAsia"/>
          <w:szCs w:val="21"/>
        </w:rPr>
        <w:footnoteReference w:id="204"/>
      </w:r>
      <w:r w:rsidRPr="00BF42B7">
        <w:rPr>
          <w:rFonts w:eastAsiaTheme="minorEastAsia"/>
          <w:szCs w:val="21"/>
        </w:rPr>
        <w:t xml:space="preserve"> </w:t>
      </w:r>
      <w:r w:rsidRPr="00BF42B7">
        <w:rPr>
          <w:rFonts w:eastAsiaTheme="minorEastAsia"/>
          <w:szCs w:val="21"/>
        </w:rPr>
        <w:t>因此，拒绝援助提议在一定条件下可能构成对生命权的侵犯。大会重申其</w:t>
      </w:r>
      <w:r w:rsidRPr="00BF42B7">
        <w:rPr>
          <w:rFonts w:eastAsiaTheme="minorEastAsia"/>
          <w:szCs w:val="21"/>
        </w:rPr>
        <w:t>1988</w:t>
      </w:r>
      <w:r w:rsidRPr="00BF42B7">
        <w:rPr>
          <w:rFonts w:eastAsiaTheme="minorEastAsia"/>
          <w:szCs w:val="21"/>
        </w:rPr>
        <w:t>年</w:t>
      </w:r>
      <w:r w:rsidRPr="00BF42B7">
        <w:rPr>
          <w:rFonts w:eastAsiaTheme="minorEastAsia"/>
          <w:szCs w:val="21"/>
        </w:rPr>
        <w:t>12</w:t>
      </w:r>
      <w:r w:rsidRPr="00BF42B7">
        <w:rPr>
          <w:rFonts w:eastAsiaTheme="minorEastAsia"/>
          <w:szCs w:val="21"/>
        </w:rPr>
        <w:t>月</w:t>
      </w:r>
      <w:r w:rsidRPr="00BF42B7">
        <w:rPr>
          <w:rFonts w:eastAsiaTheme="minorEastAsia"/>
          <w:szCs w:val="21"/>
        </w:rPr>
        <w:t>8</w:t>
      </w:r>
      <w:r w:rsidRPr="00BF42B7">
        <w:rPr>
          <w:rFonts w:eastAsiaTheme="minorEastAsia"/>
          <w:szCs w:val="21"/>
        </w:rPr>
        <w:t>日第</w:t>
      </w:r>
      <w:hyperlink r:id="rId66" w:history="1">
        <w:r w:rsidRPr="007F0135">
          <w:rPr>
            <w:rStyle w:val="af"/>
            <w:rFonts w:eastAsiaTheme="minorEastAsia"/>
            <w:szCs w:val="21"/>
          </w:rPr>
          <w:t>43/131</w:t>
        </w:r>
      </w:hyperlink>
      <w:r w:rsidRPr="00BF42B7">
        <w:rPr>
          <w:rFonts w:eastAsiaTheme="minorEastAsia"/>
          <w:szCs w:val="21"/>
        </w:rPr>
        <w:t>号和</w:t>
      </w:r>
      <w:r w:rsidRPr="00BF42B7">
        <w:rPr>
          <w:rFonts w:eastAsiaTheme="minorEastAsia"/>
          <w:szCs w:val="21"/>
        </w:rPr>
        <w:t>1990</w:t>
      </w:r>
      <w:r w:rsidRPr="00BF42B7">
        <w:rPr>
          <w:rFonts w:eastAsiaTheme="minorEastAsia"/>
          <w:szCs w:val="21"/>
        </w:rPr>
        <w:t>年</w:t>
      </w:r>
      <w:r w:rsidRPr="00BF42B7">
        <w:rPr>
          <w:rFonts w:eastAsiaTheme="minorEastAsia"/>
          <w:szCs w:val="21"/>
        </w:rPr>
        <w:t>12</w:t>
      </w:r>
      <w:r w:rsidRPr="00BF42B7">
        <w:rPr>
          <w:rFonts w:eastAsiaTheme="minorEastAsia"/>
          <w:szCs w:val="21"/>
        </w:rPr>
        <w:t>月</w:t>
      </w:r>
      <w:r w:rsidRPr="00BF42B7">
        <w:rPr>
          <w:rFonts w:eastAsiaTheme="minorEastAsia"/>
          <w:szCs w:val="21"/>
        </w:rPr>
        <w:t>14</w:t>
      </w:r>
      <w:r w:rsidRPr="00BF42B7">
        <w:rPr>
          <w:rFonts w:eastAsiaTheme="minorEastAsia"/>
          <w:szCs w:val="21"/>
        </w:rPr>
        <w:t>日第</w:t>
      </w:r>
      <w:hyperlink r:id="rId67" w:history="1">
        <w:r w:rsidRPr="007F0135">
          <w:rPr>
            <w:rStyle w:val="af"/>
            <w:rFonts w:eastAsiaTheme="minorEastAsia"/>
            <w:szCs w:val="21"/>
          </w:rPr>
          <w:t>45/100</w:t>
        </w:r>
      </w:hyperlink>
      <w:r w:rsidRPr="00BF42B7">
        <w:rPr>
          <w:rFonts w:eastAsiaTheme="minorEastAsia"/>
          <w:szCs w:val="21"/>
        </w:rPr>
        <w:t>号决议，</w:t>
      </w:r>
      <w:r w:rsidRPr="00BF42B7">
        <w:rPr>
          <w:rFonts w:eastAsiaTheme="minorEastAsia" w:hint="eastAsia"/>
          <w:szCs w:val="21"/>
        </w:rPr>
        <w:t>“</w:t>
      </w:r>
      <w:r w:rsidRPr="00BF42B7">
        <w:rPr>
          <w:rFonts w:eastAsiaTheme="minorEastAsia"/>
          <w:szCs w:val="21"/>
        </w:rPr>
        <w:t>遗弃自然灾害和类似紧急情况的受害者而不给予人道主义援助构成了威胁人类生命和侵犯人类尊严的罪行。</w:t>
      </w:r>
      <w:r w:rsidRPr="00BF42B7">
        <w:rPr>
          <w:rFonts w:eastAsiaTheme="minorEastAsia" w:hint="eastAsia"/>
          <w:szCs w:val="21"/>
        </w:rPr>
        <w:t>”</w:t>
      </w:r>
      <w:r w:rsidRPr="00BF42B7">
        <w:rPr>
          <w:rStyle w:val="a5"/>
          <w:rFonts w:eastAsiaTheme="minorEastAsia"/>
          <w:szCs w:val="21"/>
        </w:rPr>
        <w:footnoteReference w:id="205"/>
      </w:r>
    </w:p>
    <w:p w:rsidR="00765E0D" w:rsidRPr="00BF42B7" w:rsidRDefault="00765E0D" w:rsidP="00765E0D">
      <w:pPr>
        <w:pStyle w:val="SingleTxtGC"/>
        <w:rPr>
          <w:rFonts w:eastAsiaTheme="minorEastAsia"/>
          <w:szCs w:val="21"/>
        </w:rPr>
      </w:pPr>
      <w:r w:rsidRPr="00BF42B7">
        <w:rPr>
          <w:rFonts w:eastAsiaTheme="minorEastAsia"/>
          <w:szCs w:val="21"/>
        </w:rPr>
        <w:t>(5)</w:t>
      </w:r>
      <w:r w:rsidRPr="00BF42B7">
        <w:rPr>
          <w:rFonts w:eastAsiaTheme="minorEastAsia" w:hint="eastAsia"/>
          <w:szCs w:val="21"/>
        </w:rPr>
        <w:t xml:space="preserve">  </w:t>
      </w:r>
      <w:r w:rsidRPr="00BF42B7">
        <w:rPr>
          <w:rFonts w:eastAsiaTheme="minorEastAsia"/>
          <w:szCs w:val="21"/>
        </w:rPr>
        <w:t>承认受灾国对同意的自由裁量权并非不受限制这一点载反映于</w:t>
      </w:r>
      <w:r w:rsidRPr="00BF42B7">
        <w:rPr>
          <w:rFonts w:eastAsiaTheme="minorEastAsia" w:hint="eastAsia"/>
          <w:szCs w:val="21"/>
        </w:rPr>
        <w:t>“</w:t>
      </w:r>
      <w:r w:rsidRPr="00BF42B7">
        <w:rPr>
          <w:rFonts w:eastAsiaTheme="minorEastAsia"/>
          <w:szCs w:val="21"/>
        </w:rPr>
        <w:t>对国内流离失所问题的指导原则</w:t>
      </w:r>
      <w:r w:rsidRPr="00BF42B7">
        <w:rPr>
          <w:rFonts w:eastAsiaTheme="minorEastAsia" w:hint="eastAsia"/>
          <w:szCs w:val="21"/>
        </w:rPr>
        <w:t>”</w:t>
      </w:r>
      <w:r w:rsidRPr="00BF42B7">
        <w:rPr>
          <w:rFonts w:eastAsiaTheme="minorEastAsia"/>
          <w:szCs w:val="21"/>
        </w:rPr>
        <w:t>。</w:t>
      </w:r>
      <w:r w:rsidRPr="00BF42B7">
        <w:rPr>
          <w:rStyle w:val="a5"/>
          <w:rFonts w:eastAsiaTheme="minorEastAsia"/>
          <w:szCs w:val="21"/>
        </w:rPr>
        <w:footnoteReference w:id="206"/>
      </w:r>
      <w:r w:rsidRPr="00BF42B7">
        <w:rPr>
          <w:rFonts w:eastAsiaTheme="minorEastAsia"/>
          <w:szCs w:val="21"/>
        </w:rPr>
        <w:t xml:space="preserve"> </w:t>
      </w:r>
      <w:r w:rsidRPr="00BF42B7">
        <w:rPr>
          <w:rFonts w:eastAsiaTheme="minorEastAsia"/>
          <w:szCs w:val="21"/>
        </w:rPr>
        <w:t>前人权委员会和大会以协商一致方式通过的各项决议欢迎这些指导原则，秘书长也形容它们是使在国内流离失所者获得</w:t>
      </w:r>
      <w:r w:rsidRPr="00BF42B7">
        <w:rPr>
          <w:rFonts w:eastAsiaTheme="minorEastAsia" w:hint="eastAsia"/>
          <w:szCs w:val="21"/>
        </w:rPr>
        <w:t>“</w:t>
      </w:r>
      <w:r w:rsidRPr="00BF42B7">
        <w:rPr>
          <w:rFonts w:eastAsiaTheme="minorEastAsia"/>
          <w:szCs w:val="21"/>
        </w:rPr>
        <w:t>保护的基本国际规范</w:t>
      </w:r>
      <w:r w:rsidRPr="00BF42B7">
        <w:rPr>
          <w:rFonts w:eastAsiaTheme="minorEastAsia" w:hint="eastAsia"/>
          <w:szCs w:val="21"/>
        </w:rPr>
        <w:t>”</w:t>
      </w:r>
      <w:r w:rsidRPr="00BF42B7">
        <w:rPr>
          <w:rFonts w:eastAsiaTheme="minorEastAsia"/>
          <w:szCs w:val="21"/>
        </w:rPr>
        <w:t>，指出：</w:t>
      </w:r>
      <w:r w:rsidRPr="00BF42B7">
        <w:rPr>
          <w:rStyle w:val="a5"/>
          <w:rFonts w:eastAsiaTheme="minorEastAsia"/>
          <w:szCs w:val="21"/>
        </w:rPr>
        <w:footnoteReference w:id="207"/>
      </w:r>
    </w:p>
    <w:p w:rsidR="00765E0D" w:rsidRPr="00BF42B7" w:rsidRDefault="00765E0D" w:rsidP="008972C0">
      <w:pPr>
        <w:pStyle w:val="SingleTxtGC"/>
        <w:ind w:left="1565"/>
        <w:rPr>
          <w:rFonts w:eastAsiaTheme="minorEastAsia"/>
          <w:szCs w:val="21"/>
        </w:rPr>
      </w:pPr>
      <w:r w:rsidRPr="00BF42B7">
        <w:rPr>
          <w:rFonts w:eastAsiaTheme="minorEastAsia" w:hint="eastAsia"/>
          <w:szCs w:val="21"/>
        </w:rPr>
        <w:t>“</w:t>
      </w:r>
      <w:r w:rsidRPr="00BF42B7">
        <w:rPr>
          <w:rFonts w:eastAsiaTheme="minorEastAsia"/>
          <w:szCs w:val="21"/>
        </w:rPr>
        <w:t>[</w:t>
      </w:r>
      <w:r w:rsidRPr="00BF42B7">
        <w:rPr>
          <w:rFonts w:eastAsiaTheme="minorEastAsia"/>
          <w:szCs w:val="21"/>
        </w:rPr>
        <w:t>对人道主义援助提议</w:t>
      </w:r>
      <w:r w:rsidRPr="00BF42B7">
        <w:rPr>
          <w:rFonts w:eastAsiaTheme="minorEastAsia"/>
          <w:szCs w:val="21"/>
        </w:rPr>
        <w:t>]</w:t>
      </w:r>
      <w:r w:rsidRPr="00BF42B7">
        <w:rPr>
          <w:rFonts w:eastAsiaTheme="minorEastAsia"/>
          <w:szCs w:val="21"/>
        </w:rPr>
        <w:t>不得任意拒绝，特别是当有关当局不能或不愿提供必要的人道主义援助的时候。</w:t>
      </w:r>
      <w:r w:rsidRPr="00BF42B7">
        <w:rPr>
          <w:rFonts w:eastAsiaTheme="minorEastAsia" w:hint="eastAsia"/>
          <w:szCs w:val="21"/>
        </w:rPr>
        <w:t>”</w:t>
      </w:r>
      <w:r w:rsidRPr="00BF42B7">
        <w:rPr>
          <w:rStyle w:val="a5"/>
          <w:rFonts w:eastAsiaTheme="minorEastAsia"/>
          <w:szCs w:val="21"/>
        </w:rPr>
        <w:footnoteReference w:id="208"/>
      </w:r>
    </w:p>
    <w:p w:rsidR="00765E0D" w:rsidRPr="00BF42B7" w:rsidRDefault="00765E0D" w:rsidP="008972C0">
      <w:pPr>
        <w:pStyle w:val="SingleTxtGC"/>
        <w:rPr>
          <w:rFonts w:eastAsiaTheme="minorEastAsia"/>
          <w:szCs w:val="21"/>
        </w:rPr>
      </w:pPr>
      <w:r w:rsidRPr="00BF42B7">
        <w:rPr>
          <w:rFonts w:eastAsiaTheme="minorEastAsia"/>
          <w:szCs w:val="21"/>
        </w:rPr>
        <w:t>国际法学会两度处理过人道主义援助方面的同意问题。其关于</w:t>
      </w:r>
      <w:r w:rsidRPr="00BF42B7">
        <w:rPr>
          <w:rFonts w:eastAsiaTheme="minorEastAsia" w:hint="eastAsia"/>
          <w:szCs w:val="21"/>
        </w:rPr>
        <w:t>“</w:t>
      </w:r>
      <w:r w:rsidRPr="00BF42B7">
        <w:rPr>
          <w:rFonts w:eastAsiaTheme="minorEastAsia"/>
          <w:szCs w:val="21"/>
        </w:rPr>
        <w:t>保护人权和不干涉各国内部事务的原则</w:t>
      </w:r>
      <w:r w:rsidRPr="00BF42B7">
        <w:rPr>
          <w:rFonts w:eastAsiaTheme="minorEastAsia" w:hint="eastAsia"/>
          <w:szCs w:val="21"/>
        </w:rPr>
        <w:t>”</w:t>
      </w:r>
      <w:r w:rsidRPr="00BF42B7">
        <w:rPr>
          <w:rFonts w:eastAsiaTheme="minorEastAsia"/>
          <w:szCs w:val="21"/>
        </w:rPr>
        <w:t>的</w:t>
      </w:r>
      <w:r w:rsidRPr="00BF42B7">
        <w:rPr>
          <w:rFonts w:eastAsiaTheme="minorEastAsia"/>
          <w:szCs w:val="21"/>
        </w:rPr>
        <w:t>1989</w:t>
      </w:r>
      <w:r w:rsidRPr="00BF42B7">
        <w:rPr>
          <w:rFonts w:eastAsiaTheme="minorEastAsia"/>
          <w:szCs w:val="21"/>
        </w:rPr>
        <w:t>年决议第</w:t>
      </w:r>
      <w:r w:rsidRPr="00BF42B7">
        <w:rPr>
          <w:rFonts w:eastAsiaTheme="minorEastAsia"/>
          <w:szCs w:val="21"/>
        </w:rPr>
        <w:t>5</w:t>
      </w:r>
      <w:r w:rsidRPr="00BF42B7">
        <w:rPr>
          <w:rFonts w:eastAsiaTheme="minorEastAsia"/>
          <w:szCs w:val="21"/>
        </w:rPr>
        <w:t>条草案第</w:t>
      </w:r>
      <w:r w:rsidRPr="00BF42B7">
        <w:rPr>
          <w:rFonts w:eastAsiaTheme="minorEastAsia"/>
          <w:szCs w:val="21"/>
        </w:rPr>
        <w:t>2</w:t>
      </w:r>
      <w:r w:rsidRPr="00BF42B7">
        <w:rPr>
          <w:rFonts w:eastAsiaTheme="minorEastAsia"/>
          <w:szCs w:val="21"/>
        </w:rPr>
        <w:t>款的正式法文本载明：</w:t>
      </w:r>
    </w:p>
    <w:p w:rsidR="00765E0D" w:rsidRPr="00BF42B7" w:rsidRDefault="00765E0D" w:rsidP="008972C0">
      <w:pPr>
        <w:pStyle w:val="SingleTxtGC"/>
        <w:ind w:left="1565"/>
        <w:rPr>
          <w:rFonts w:eastAsiaTheme="minorEastAsia"/>
          <w:szCs w:val="21"/>
        </w:rPr>
      </w:pPr>
      <w:r w:rsidRPr="00BF42B7">
        <w:rPr>
          <w:rFonts w:eastAsiaTheme="minorEastAsia" w:hint="eastAsia"/>
          <w:szCs w:val="21"/>
          <w:lang w:val="fr-FR"/>
        </w:rPr>
        <w:t>“</w:t>
      </w:r>
      <w:r w:rsidRPr="00BF42B7">
        <w:rPr>
          <w:rFonts w:eastAsiaTheme="minorEastAsia"/>
          <w:szCs w:val="21"/>
          <w:lang w:val="fr-FR"/>
        </w:rPr>
        <w:t>Les États sur le territoire desquels de telles situations de détresse [où la population est gravement menacée dans sa vie ou sa santé] existent ne refuseront pas arbitrairement de pareilles offres de secours humanitaires.</w:t>
      </w:r>
      <w:bookmarkStart w:id="49" w:name="_Ref450727478"/>
      <w:r w:rsidRPr="00BF42B7">
        <w:rPr>
          <w:rFonts w:eastAsiaTheme="minorEastAsia" w:hint="eastAsia"/>
          <w:szCs w:val="21"/>
          <w:lang w:val="fr-FR"/>
        </w:rPr>
        <w:t xml:space="preserve"> </w:t>
      </w:r>
      <w:r w:rsidRPr="00BF42B7">
        <w:rPr>
          <w:rFonts w:eastAsiaTheme="minorEastAsia"/>
          <w:szCs w:val="21"/>
        </w:rPr>
        <w:t>(</w:t>
      </w:r>
      <w:r w:rsidRPr="00BF42B7">
        <w:rPr>
          <w:rFonts w:eastAsiaTheme="minorEastAsia"/>
          <w:szCs w:val="21"/>
          <w:lang w:val="fr-FR"/>
        </w:rPr>
        <w:t>在其领土上出现这些紧急情况</w:t>
      </w:r>
      <w:r w:rsidRPr="00BF42B7">
        <w:rPr>
          <w:rFonts w:eastAsiaTheme="minorEastAsia"/>
          <w:szCs w:val="21"/>
        </w:rPr>
        <w:t>[</w:t>
      </w:r>
      <w:r w:rsidRPr="00BF42B7">
        <w:rPr>
          <w:rFonts w:eastAsiaTheme="minorEastAsia"/>
          <w:szCs w:val="21"/>
          <w:lang w:val="fr-FR"/>
        </w:rPr>
        <w:t>人民的生命或健康受到严重威胁</w:t>
      </w:r>
      <w:r w:rsidRPr="00BF42B7">
        <w:rPr>
          <w:rFonts w:eastAsiaTheme="minorEastAsia"/>
          <w:szCs w:val="21"/>
        </w:rPr>
        <w:t>]</w:t>
      </w:r>
      <w:r w:rsidRPr="00BF42B7">
        <w:rPr>
          <w:rFonts w:eastAsiaTheme="minorEastAsia"/>
          <w:szCs w:val="21"/>
          <w:lang w:val="fr-FR"/>
        </w:rPr>
        <w:t>的国家不得任意拒绝此种人道主义救援提议</w:t>
      </w:r>
      <w:r w:rsidRPr="00BF42B7">
        <w:rPr>
          <w:rFonts w:eastAsiaTheme="minorEastAsia"/>
          <w:szCs w:val="21"/>
        </w:rPr>
        <w:t>)</w:t>
      </w:r>
      <w:r w:rsidRPr="00BF42B7">
        <w:rPr>
          <w:rFonts w:eastAsiaTheme="minorEastAsia" w:hint="eastAsia"/>
          <w:szCs w:val="21"/>
        </w:rPr>
        <w:t>”</w:t>
      </w:r>
      <w:r w:rsidRPr="00BF42B7">
        <w:rPr>
          <w:rStyle w:val="a5"/>
          <w:rFonts w:eastAsiaTheme="minorEastAsia"/>
          <w:szCs w:val="21"/>
        </w:rPr>
        <w:footnoteReference w:id="209"/>
      </w:r>
      <w:bookmarkEnd w:id="49"/>
    </w:p>
    <w:p w:rsidR="00765E0D" w:rsidRPr="00BF42B7" w:rsidRDefault="00765E0D" w:rsidP="008972C0">
      <w:pPr>
        <w:pStyle w:val="SingleTxtGC"/>
        <w:rPr>
          <w:rFonts w:eastAsiaTheme="minorEastAsia"/>
          <w:szCs w:val="21"/>
          <w:lang w:val="fr-FR"/>
        </w:rPr>
      </w:pPr>
      <w:r w:rsidRPr="00BF42B7">
        <w:rPr>
          <w:rFonts w:eastAsiaTheme="minorEastAsia"/>
          <w:szCs w:val="21"/>
        </w:rPr>
        <w:t>国际法学会在</w:t>
      </w:r>
      <w:r w:rsidRPr="00BF42B7">
        <w:rPr>
          <w:rFonts w:eastAsiaTheme="minorEastAsia"/>
          <w:szCs w:val="21"/>
          <w:lang w:val="fr-FR"/>
        </w:rPr>
        <w:t>2003</w:t>
      </w:r>
      <w:r w:rsidRPr="00BF42B7">
        <w:rPr>
          <w:rFonts w:eastAsiaTheme="minorEastAsia"/>
          <w:szCs w:val="21"/>
        </w:rPr>
        <w:t>年重新审视这个问题</w:t>
      </w:r>
      <w:r w:rsidRPr="00BF42B7">
        <w:rPr>
          <w:rFonts w:eastAsiaTheme="minorEastAsia"/>
          <w:szCs w:val="21"/>
          <w:lang w:val="fr-FR"/>
        </w:rPr>
        <w:t>，</w:t>
      </w:r>
      <w:r w:rsidRPr="00BF42B7">
        <w:rPr>
          <w:rFonts w:eastAsiaTheme="minorEastAsia"/>
          <w:szCs w:val="21"/>
        </w:rPr>
        <w:t>在关于人道主义援助的决议中</w:t>
      </w:r>
      <w:r w:rsidRPr="00BF42B7">
        <w:rPr>
          <w:rFonts w:eastAsiaTheme="minorEastAsia"/>
          <w:szCs w:val="21"/>
          <w:lang w:val="fr-FR"/>
        </w:rPr>
        <w:t>，</w:t>
      </w:r>
      <w:r w:rsidRPr="00BF42B7">
        <w:rPr>
          <w:rFonts w:eastAsiaTheme="minorEastAsia"/>
          <w:szCs w:val="21"/>
        </w:rPr>
        <w:t>在标题</w:t>
      </w:r>
      <w:r w:rsidRPr="00BF42B7">
        <w:rPr>
          <w:rFonts w:eastAsiaTheme="minorEastAsia" w:hint="eastAsia"/>
          <w:szCs w:val="21"/>
          <w:lang w:val="fr-FR"/>
        </w:rPr>
        <w:t>“</w:t>
      </w:r>
      <w:r w:rsidRPr="00BF42B7">
        <w:rPr>
          <w:rFonts w:eastAsiaTheme="minorEastAsia"/>
          <w:szCs w:val="21"/>
        </w:rPr>
        <w:t>受灾国不能任意拒绝善意的人道主义援助提议</w:t>
      </w:r>
      <w:r w:rsidRPr="00BF42B7">
        <w:rPr>
          <w:rFonts w:eastAsiaTheme="minorEastAsia" w:hint="eastAsia"/>
          <w:szCs w:val="21"/>
          <w:lang w:val="fr-FR"/>
        </w:rPr>
        <w:t>”</w:t>
      </w:r>
      <w:r w:rsidRPr="00BF42B7">
        <w:rPr>
          <w:rFonts w:eastAsiaTheme="minorEastAsia"/>
          <w:szCs w:val="21"/>
        </w:rPr>
        <w:t>之下规定</w:t>
      </w:r>
      <w:r w:rsidRPr="00BF42B7">
        <w:rPr>
          <w:rFonts w:eastAsiaTheme="minorEastAsia"/>
          <w:szCs w:val="21"/>
          <w:lang w:val="fr-FR"/>
        </w:rPr>
        <w:t>：</w:t>
      </w:r>
    </w:p>
    <w:p w:rsidR="00765E0D" w:rsidRPr="00BF42B7" w:rsidRDefault="00765E0D" w:rsidP="008972C0">
      <w:pPr>
        <w:pStyle w:val="SingleTxtGC"/>
        <w:ind w:left="1565"/>
        <w:rPr>
          <w:rFonts w:eastAsiaTheme="minorEastAsia"/>
          <w:szCs w:val="21"/>
        </w:rPr>
      </w:pPr>
      <w:r w:rsidRPr="00BF42B7">
        <w:rPr>
          <w:rFonts w:eastAsiaTheme="minorEastAsia" w:hint="eastAsia"/>
          <w:szCs w:val="21"/>
        </w:rPr>
        <w:t>“</w:t>
      </w:r>
      <w:r w:rsidRPr="00BF42B7">
        <w:rPr>
          <w:rFonts w:eastAsiaTheme="minorEastAsia"/>
          <w:szCs w:val="21"/>
        </w:rPr>
        <w:t>受灾国有义务不能任意和无理拒绝纯粹为了提供人道主义援助的善意提议或拒绝救援受害者。特别是，他们不得拒绝援助的提议，也不能拒绝救援，如果这种拒绝可能危及受害者的基本人权，或将违反不得作为一种作战方法使平民陷于饥饿的禁令。</w:t>
      </w:r>
      <w:r w:rsidRPr="00BF42B7">
        <w:rPr>
          <w:rFonts w:eastAsiaTheme="minorEastAsia" w:hint="eastAsia"/>
          <w:szCs w:val="21"/>
        </w:rPr>
        <w:t>”</w:t>
      </w:r>
      <w:r w:rsidRPr="00BF42B7">
        <w:rPr>
          <w:rStyle w:val="a5"/>
          <w:rFonts w:eastAsiaTheme="minorEastAsia"/>
          <w:szCs w:val="21"/>
        </w:rPr>
        <w:footnoteReference w:id="210"/>
      </w:r>
    </w:p>
    <w:p w:rsidR="00765E0D" w:rsidRPr="00BF42B7" w:rsidRDefault="00765E0D" w:rsidP="00765E0D">
      <w:pPr>
        <w:pStyle w:val="SingleTxtGC"/>
        <w:rPr>
          <w:rFonts w:eastAsiaTheme="minorEastAsia"/>
          <w:szCs w:val="21"/>
        </w:rPr>
      </w:pPr>
      <w:r w:rsidRPr="00BF42B7">
        <w:rPr>
          <w:rFonts w:eastAsiaTheme="minorEastAsia"/>
          <w:szCs w:val="21"/>
        </w:rPr>
        <w:t>(6)</w:t>
      </w:r>
      <w:r w:rsidRPr="00BF42B7">
        <w:rPr>
          <w:rFonts w:eastAsiaTheme="minorEastAsia" w:hint="eastAsia"/>
          <w:szCs w:val="21"/>
        </w:rPr>
        <w:t xml:space="preserve">  </w:t>
      </w:r>
      <w:r w:rsidRPr="00BF42B7">
        <w:rPr>
          <w:rFonts w:eastAsiaTheme="minorEastAsia"/>
          <w:szCs w:val="21"/>
        </w:rPr>
        <w:t>在武装冲突情况下，安全理事会经常要求冲突各方允许人道主义援助的进出，并多次</w:t>
      </w:r>
      <w:r w:rsidRPr="00BF42B7">
        <w:rPr>
          <w:rFonts w:eastAsiaTheme="minorEastAsia" w:hint="eastAsia"/>
          <w:szCs w:val="21"/>
        </w:rPr>
        <w:t>通过了与</w:t>
      </w:r>
      <w:r w:rsidRPr="00BF42B7">
        <w:rPr>
          <w:rFonts w:eastAsiaTheme="minorEastAsia"/>
          <w:szCs w:val="21"/>
        </w:rPr>
        <w:t>人道主义救济行动</w:t>
      </w:r>
      <w:r w:rsidRPr="00BF42B7">
        <w:rPr>
          <w:rFonts w:eastAsiaTheme="minorEastAsia" w:hint="eastAsia"/>
          <w:szCs w:val="21"/>
        </w:rPr>
        <w:t>有关</w:t>
      </w:r>
      <w:r w:rsidRPr="00BF42B7">
        <w:rPr>
          <w:rFonts w:eastAsiaTheme="minorEastAsia"/>
          <w:szCs w:val="21"/>
        </w:rPr>
        <w:t>的措施。</w:t>
      </w:r>
      <w:r w:rsidRPr="00BF42B7">
        <w:rPr>
          <w:rStyle w:val="a5"/>
          <w:rFonts w:eastAsiaTheme="minorEastAsia"/>
          <w:szCs w:val="21"/>
        </w:rPr>
        <w:footnoteReference w:id="211"/>
      </w:r>
      <w:r w:rsidRPr="00BF42B7">
        <w:rPr>
          <w:rFonts w:eastAsiaTheme="minorEastAsia"/>
          <w:szCs w:val="21"/>
        </w:rPr>
        <w:t xml:space="preserve"> </w:t>
      </w:r>
      <w:r w:rsidRPr="00BF42B7">
        <w:rPr>
          <w:rFonts w:eastAsiaTheme="minorEastAsia"/>
          <w:szCs w:val="21"/>
        </w:rPr>
        <w:t>为应对叙利亚冲突造成的人道主义危机，安全理事会采取了更为积极的做法。在</w:t>
      </w:r>
      <w:r w:rsidRPr="00BF42B7">
        <w:rPr>
          <w:rFonts w:eastAsiaTheme="minorEastAsia"/>
          <w:szCs w:val="21"/>
        </w:rPr>
        <w:t>2014</w:t>
      </w:r>
      <w:r w:rsidRPr="00BF42B7">
        <w:rPr>
          <w:rFonts w:eastAsiaTheme="minorEastAsia"/>
          <w:szCs w:val="21"/>
        </w:rPr>
        <w:t>年</w:t>
      </w:r>
      <w:r w:rsidRPr="00BF42B7">
        <w:rPr>
          <w:rFonts w:eastAsiaTheme="minorEastAsia"/>
          <w:szCs w:val="21"/>
        </w:rPr>
        <w:t>2</w:t>
      </w:r>
      <w:r w:rsidRPr="00BF42B7">
        <w:rPr>
          <w:rFonts w:eastAsiaTheme="minorEastAsia"/>
          <w:szCs w:val="21"/>
        </w:rPr>
        <w:t>月</w:t>
      </w:r>
      <w:r w:rsidRPr="00BF42B7">
        <w:rPr>
          <w:rFonts w:eastAsiaTheme="minorEastAsia"/>
          <w:szCs w:val="21"/>
        </w:rPr>
        <w:t>22</w:t>
      </w:r>
      <w:r w:rsidRPr="00BF42B7">
        <w:rPr>
          <w:rFonts w:eastAsiaTheme="minorEastAsia"/>
          <w:szCs w:val="21"/>
        </w:rPr>
        <w:t>日第</w:t>
      </w:r>
      <w:r w:rsidRPr="00BF42B7">
        <w:rPr>
          <w:rFonts w:eastAsiaTheme="minorEastAsia"/>
          <w:szCs w:val="21"/>
        </w:rPr>
        <w:t>2139</w:t>
      </w:r>
      <w:r w:rsidRPr="00BF42B7">
        <w:rPr>
          <w:rFonts w:eastAsiaTheme="minorEastAsia" w:hint="eastAsia"/>
          <w:szCs w:val="21"/>
        </w:rPr>
        <w:t xml:space="preserve"> </w:t>
      </w:r>
      <w:r w:rsidRPr="00BF42B7">
        <w:rPr>
          <w:rFonts w:eastAsiaTheme="minorEastAsia"/>
          <w:szCs w:val="21"/>
        </w:rPr>
        <w:t>(2014)</w:t>
      </w:r>
      <w:r w:rsidRPr="00BF42B7">
        <w:rPr>
          <w:rFonts w:eastAsiaTheme="minorEastAsia"/>
          <w:szCs w:val="21"/>
        </w:rPr>
        <w:t>号决议中，它谴责所有不让人道主义人员和物资进出的行为，并回顾</w:t>
      </w:r>
      <w:r w:rsidRPr="00BF42B7">
        <w:rPr>
          <w:rFonts w:eastAsiaTheme="minorEastAsia" w:hint="eastAsia"/>
          <w:szCs w:val="21"/>
        </w:rPr>
        <w:t>“</w:t>
      </w:r>
      <w:r w:rsidRPr="00BF42B7">
        <w:rPr>
          <w:rFonts w:eastAsiaTheme="minorEastAsia"/>
          <w:szCs w:val="21"/>
        </w:rPr>
        <w:t>任意剥夺平民生存不可缺少的物品，包括蓄意阻碍救济物资的供应和获取，可构成违反国际人道主义法行为</w:t>
      </w:r>
      <w:r w:rsidRPr="00BF42B7">
        <w:rPr>
          <w:rFonts w:eastAsiaTheme="minorEastAsia" w:hint="eastAsia"/>
          <w:szCs w:val="21"/>
        </w:rPr>
        <w:t>”</w:t>
      </w:r>
      <w:r w:rsidRPr="00BF42B7">
        <w:rPr>
          <w:rFonts w:eastAsiaTheme="minorEastAsia"/>
          <w:szCs w:val="21"/>
        </w:rPr>
        <w:t>。</w:t>
      </w:r>
      <w:r w:rsidRPr="00BF42B7">
        <w:rPr>
          <w:rStyle w:val="a5"/>
          <w:rFonts w:eastAsiaTheme="minorEastAsia"/>
          <w:szCs w:val="21"/>
        </w:rPr>
        <w:footnoteReference w:id="212"/>
      </w:r>
      <w:r w:rsidRPr="00BF42B7">
        <w:rPr>
          <w:rFonts w:eastAsiaTheme="minorEastAsia" w:hint="eastAsia"/>
          <w:szCs w:val="21"/>
        </w:rPr>
        <w:t xml:space="preserve"> </w:t>
      </w:r>
      <w:r w:rsidRPr="00BF42B7">
        <w:rPr>
          <w:rFonts w:eastAsiaTheme="minorEastAsia"/>
          <w:szCs w:val="21"/>
        </w:rPr>
        <w:t>在</w:t>
      </w:r>
      <w:r w:rsidRPr="00BF42B7">
        <w:rPr>
          <w:rFonts w:eastAsiaTheme="minorEastAsia"/>
          <w:szCs w:val="21"/>
        </w:rPr>
        <w:t>2014</w:t>
      </w:r>
      <w:r w:rsidRPr="00BF42B7">
        <w:rPr>
          <w:rFonts w:eastAsiaTheme="minorEastAsia"/>
          <w:szCs w:val="21"/>
        </w:rPr>
        <w:t>年</w:t>
      </w:r>
      <w:r w:rsidRPr="00BF42B7">
        <w:rPr>
          <w:rFonts w:eastAsiaTheme="minorEastAsia"/>
          <w:szCs w:val="21"/>
        </w:rPr>
        <w:t>7</w:t>
      </w:r>
      <w:r w:rsidRPr="00BF42B7">
        <w:rPr>
          <w:rFonts w:eastAsiaTheme="minorEastAsia"/>
          <w:szCs w:val="21"/>
        </w:rPr>
        <w:t>月</w:t>
      </w:r>
      <w:r w:rsidRPr="00BF42B7">
        <w:rPr>
          <w:rFonts w:eastAsiaTheme="minorEastAsia"/>
          <w:szCs w:val="21"/>
        </w:rPr>
        <w:t>14</w:t>
      </w:r>
      <w:r w:rsidRPr="00BF42B7">
        <w:rPr>
          <w:rFonts w:eastAsiaTheme="minorEastAsia"/>
          <w:szCs w:val="21"/>
        </w:rPr>
        <w:t>日第</w:t>
      </w:r>
      <w:hyperlink r:id="rId68" w:history="1">
        <w:r w:rsidRPr="007F0135">
          <w:rPr>
            <w:rStyle w:val="af"/>
            <w:rFonts w:eastAsiaTheme="minorEastAsia"/>
            <w:szCs w:val="21"/>
          </w:rPr>
          <w:t>2165(2014)</w:t>
        </w:r>
      </w:hyperlink>
      <w:r w:rsidRPr="00BF42B7">
        <w:rPr>
          <w:rFonts w:eastAsiaTheme="minorEastAsia"/>
          <w:szCs w:val="21"/>
        </w:rPr>
        <w:t>号决议中，安全理事会决定授权联合国人道主义机构及其执行伙伴在联合国通知叙利亚当局后使用越过冲突线的路线和特定边界过境点，把人道主义援助送交需要援助的人。</w:t>
      </w:r>
      <w:r w:rsidRPr="00BF42B7">
        <w:rPr>
          <w:rStyle w:val="a5"/>
          <w:rFonts w:eastAsiaTheme="minorEastAsia"/>
          <w:szCs w:val="21"/>
        </w:rPr>
        <w:footnoteReference w:id="213"/>
      </w:r>
    </w:p>
    <w:p w:rsidR="00765E0D" w:rsidRPr="00BF42B7" w:rsidRDefault="00765E0D" w:rsidP="00765E0D">
      <w:pPr>
        <w:pStyle w:val="SingleTxtGC"/>
        <w:rPr>
          <w:rFonts w:eastAsiaTheme="minorEastAsia"/>
          <w:szCs w:val="21"/>
        </w:rPr>
      </w:pPr>
      <w:r w:rsidRPr="00BF42B7">
        <w:rPr>
          <w:rFonts w:eastAsiaTheme="minorEastAsia"/>
          <w:szCs w:val="21"/>
        </w:rPr>
        <w:t>(7)</w:t>
      </w:r>
      <w:r w:rsidRPr="00BF42B7">
        <w:rPr>
          <w:rFonts w:eastAsiaTheme="minorEastAsia" w:hint="eastAsia"/>
          <w:szCs w:val="21"/>
        </w:rPr>
        <w:t xml:space="preserve">  </w:t>
      </w:r>
      <w:r w:rsidRPr="00BF42B7">
        <w:rPr>
          <w:rFonts w:eastAsiaTheme="minorEastAsia" w:hint="eastAsia"/>
          <w:szCs w:val="21"/>
        </w:rPr>
        <w:t>“</w:t>
      </w:r>
      <w:r w:rsidRPr="00BF42B7">
        <w:rPr>
          <w:rFonts w:eastAsiaTheme="minorEastAsia"/>
          <w:szCs w:val="21"/>
        </w:rPr>
        <w:t>拒绝</w:t>
      </w:r>
      <w:r w:rsidRPr="00BF42B7">
        <w:rPr>
          <w:rFonts w:eastAsiaTheme="minorEastAsia" w:hint="eastAsia"/>
          <w:szCs w:val="21"/>
        </w:rPr>
        <w:t>”</w:t>
      </w:r>
      <w:r w:rsidRPr="00BF42B7">
        <w:rPr>
          <w:rFonts w:eastAsiaTheme="minorEastAsia"/>
          <w:szCs w:val="21"/>
        </w:rPr>
        <w:t>一词隐含一个确定任意性的时间因素。受灾国拒绝援助和没有按照第</w:t>
      </w:r>
      <w:r w:rsidRPr="00BF42B7">
        <w:rPr>
          <w:rFonts w:eastAsiaTheme="minorEastAsia"/>
          <w:szCs w:val="21"/>
        </w:rPr>
        <w:t>13</w:t>
      </w:r>
      <w:r w:rsidRPr="00BF42B7">
        <w:rPr>
          <w:rFonts w:eastAsiaTheme="minorEastAsia"/>
          <w:szCs w:val="21"/>
        </w:rPr>
        <w:t>条草案第</w:t>
      </w:r>
      <w:r w:rsidRPr="00BF42B7">
        <w:rPr>
          <w:rFonts w:eastAsiaTheme="minorEastAsia"/>
          <w:szCs w:val="21"/>
        </w:rPr>
        <w:t>3</w:t>
      </w:r>
      <w:r w:rsidRPr="00BF42B7">
        <w:rPr>
          <w:rFonts w:eastAsiaTheme="minorEastAsia"/>
          <w:szCs w:val="21"/>
        </w:rPr>
        <w:t>款草案在合理的时间范围内告知决定可能会被视为任意的。这种观点见于大会第</w:t>
      </w:r>
      <w:hyperlink r:id="rId69" w:history="1">
        <w:r w:rsidRPr="007F0135">
          <w:rPr>
            <w:rStyle w:val="af"/>
            <w:rFonts w:eastAsiaTheme="minorEastAsia"/>
            <w:szCs w:val="21"/>
          </w:rPr>
          <w:t>43/131</w:t>
        </w:r>
      </w:hyperlink>
      <w:r w:rsidRPr="00BF42B7">
        <w:rPr>
          <w:rFonts w:eastAsiaTheme="minorEastAsia"/>
          <w:szCs w:val="21"/>
        </w:rPr>
        <w:t>号决议</w:t>
      </w:r>
      <w:r w:rsidRPr="00BF42B7">
        <w:rPr>
          <w:rStyle w:val="a5"/>
          <w:rFonts w:eastAsiaTheme="minorEastAsia"/>
          <w:szCs w:val="21"/>
        </w:rPr>
        <w:footnoteReference w:id="214"/>
      </w:r>
      <w:r w:rsidRPr="00BF42B7">
        <w:rPr>
          <w:rFonts w:eastAsiaTheme="minorEastAsia" w:hint="eastAsia"/>
          <w:szCs w:val="21"/>
        </w:rPr>
        <w:t xml:space="preserve"> </w:t>
      </w:r>
      <w:r w:rsidRPr="00BF42B7">
        <w:rPr>
          <w:rFonts w:eastAsiaTheme="minorEastAsia"/>
          <w:szCs w:val="21"/>
        </w:rPr>
        <w:t>和第</w:t>
      </w:r>
      <w:hyperlink r:id="rId70" w:history="1">
        <w:r w:rsidRPr="007F0135">
          <w:rPr>
            <w:rStyle w:val="af"/>
            <w:rFonts w:eastAsiaTheme="minorEastAsia"/>
            <w:szCs w:val="21"/>
          </w:rPr>
          <w:t>45/100</w:t>
        </w:r>
      </w:hyperlink>
      <w:r w:rsidRPr="00BF42B7">
        <w:rPr>
          <w:rFonts w:eastAsiaTheme="minorEastAsia"/>
          <w:szCs w:val="21"/>
        </w:rPr>
        <w:t>号决议</w:t>
      </w:r>
      <w:r w:rsidRPr="00BF42B7">
        <w:rPr>
          <w:rStyle w:val="a5"/>
          <w:rFonts w:eastAsiaTheme="minorEastAsia"/>
          <w:szCs w:val="21"/>
        </w:rPr>
        <w:footnoteReference w:id="215"/>
      </w:r>
      <w:r w:rsidRPr="00BF42B7">
        <w:rPr>
          <w:rFonts w:eastAsiaTheme="minorEastAsia"/>
          <w:szCs w:val="21"/>
        </w:rPr>
        <w:t>，其中包括以下序言段：</w:t>
      </w:r>
    </w:p>
    <w:p w:rsidR="00765E0D" w:rsidRPr="00BF42B7" w:rsidRDefault="00765E0D" w:rsidP="008972C0">
      <w:pPr>
        <w:pStyle w:val="SingleTxtGC"/>
        <w:ind w:left="1565"/>
        <w:rPr>
          <w:rFonts w:eastAsiaTheme="minorEastAsia"/>
          <w:szCs w:val="21"/>
        </w:rPr>
      </w:pPr>
      <w:r w:rsidRPr="00BF42B7">
        <w:rPr>
          <w:rFonts w:eastAsiaTheme="minorEastAsia" w:hint="eastAsia"/>
          <w:szCs w:val="21"/>
        </w:rPr>
        <w:t>“</w:t>
      </w:r>
      <w:r w:rsidRPr="00BF42B7">
        <w:rPr>
          <w:rFonts w:eastAsiaTheme="minorEastAsia"/>
          <w:szCs w:val="21"/>
        </w:rPr>
        <w:t>关注自然灾害和类似紧急情况的受害者在接受人道主义援助方面可能会遇到的困难，</w:t>
      </w:r>
    </w:p>
    <w:p w:rsidR="00765E0D" w:rsidRPr="00BF42B7" w:rsidRDefault="00765E0D" w:rsidP="008972C0">
      <w:pPr>
        <w:pStyle w:val="SingleTxtGC"/>
        <w:ind w:left="1565"/>
        <w:rPr>
          <w:rFonts w:eastAsiaTheme="minorEastAsia"/>
          <w:szCs w:val="21"/>
        </w:rPr>
      </w:pPr>
      <w:r w:rsidRPr="00BF42B7">
        <w:rPr>
          <w:rFonts w:eastAsiaTheme="minorEastAsia"/>
          <w:szCs w:val="21"/>
        </w:rPr>
        <w:t>深信在提供人道主义援助特别是食品、药品或保健方面，访问受害者是必不可少的，迅速救援可避免灾民人数增加的不幸景象。</w:t>
      </w:r>
      <w:r w:rsidRPr="00BF42B7">
        <w:rPr>
          <w:rFonts w:eastAsiaTheme="minorEastAsia" w:hint="eastAsia"/>
          <w:szCs w:val="21"/>
        </w:rPr>
        <w:t>”</w:t>
      </w:r>
    </w:p>
    <w:p w:rsidR="00765E0D" w:rsidRPr="00BF42B7" w:rsidRDefault="00765E0D" w:rsidP="008972C0">
      <w:pPr>
        <w:pStyle w:val="SingleTxtGC"/>
        <w:rPr>
          <w:rFonts w:eastAsiaTheme="minorEastAsia"/>
          <w:szCs w:val="21"/>
        </w:rPr>
      </w:pPr>
      <w:r w:rsidRPr="00BF42B7">
        <w:rPr>
          <w:rFonts w:eastAsiaTheme="minorEastAsia"/>
          <w:szCs w:val="21"/>
        </w:rPr>
        <w:t>同样，</w:t>
      </w:r>
      <w:r w:rsidRPr="00BF42B7">
        <w:rPr>
          <w:rFonts w:eastAsiaTheme="minorEastAsia"/>
          <w:szCs w:val="21"/>
        </w:rPr>
        <w:t>2000</w:t>
      </w:r>
      <w:r w:rsidRPr="00BF42B7">
        <w:rPr>
          <w:rFonts w:eastAsiaTheme="minorEastAsia"/>
          <w:szCs w:val="21"/>
        </w:rPr>
        <w:t>年《民防援助框架公约》除了其他原则以外反映：各缔约国承诺在发生灾害时提供援助方面，</w:t>
      </w:r>
      <w:r w:rsidRPr="00BF42B7">
        <w:rPr>
          <w:rFonts w:eastAsiaTheme="minorEastAsia" w:hint="eastAsia"/>
          <w:szCs w:val="21"/>
        </w:rPr>
        <w:t>“</w:t>
      </w:r>
      <w:r w:rsidRPr="00BF42B7">
        <w:rPr>
          <w:rFonts w:eastAsiaTheme="minorEastAsia"/>
          <w:szCs w:val="21"/>
        </w:rPr>
        <w:t>受援国务必审查援助的提议或请求并在最短期间内提出答复</w:t>
      </w:r>
      <w:r w:rsidRPr="00BF42B7">
        <w:rPr>
          <w:rFonts w:eastAsiaTheme="minorEastAsia" w:hint="eastAsia"/>
          <w:szCs w:val="21"/>
        </w:rPr>
        <w:t>”</w:t>
      </w:r>
      <w:r w:rsidRPr="00BF42B7">
        <w:rPr>
          <w:rFonts w:eastAsiaTheme="minorEastAsia"/>
          <w:szCs w:val="21"/>
        </w:rPr>
        <w:t>。</w:t>
      </w:r>
      <w:r w:rsidRPr="00BF42B7">
        <w:rPr>
          <w:rStyle w:val="a5"/>
          <w:rFonts w:eastAsiaTheme="minorEastAsia"/>
          <w:szCs w:val="21"/>
        </w:rPr>
        <w:footnoteReference w:id="216"/>
      </w:r>
    </w:p>
    <w:p w:rsidR="00765E0D" w:rsidRPr="00BF42B7" w:rsidRDefault="00765E0D" w:rsidP="00765E0D">
      <w:pPr>
        <w:pStyle w:val="SingleTxtGC"/>
        <w:rPr>
          <w:rFonts w:eastAsiaTheme="minorEastAsia"/>
          <w:szCs w:val="21"/>
        </w:rPr>
      </w:pPr>
      <w:r w:rsidRPr="00BF42B7">
        <w:rPr>
          <w:rFonts w:eastAsiaTheme="minorEastAsia"/>
          <w:szCs w:val="21"/>
        </w:rPr>
        <w:t>(8)</w:t>
      </w:r>
      <w:r w:rsidRPr="00BF42B7">
        <w:rPr>
          <w:rFonts w:eastAsiaTheme="minorEastAsia" w:hint="eastAsia"/>
          <w:szCs w:val="21"/>
        </w:rPr>
        <w:t xml:space="preserve">  </w:t>
      </w:r>
      <w:r w:rsidRPr="00BF42B7">
        <w:rPr>
          <w:rFonts w:eastAsiaTheme="minorEastAsia" w:hint="eastAsia"/>
          <w:szCs w:val="21"/>
        </w:rPr>
        <w:t>“</w:t>
      </w:r>
      <w:r w:rsidRPr="00BF42B7">
        <w:rPr>
          <w:rFonts w:eastAsiaTheme="minorEastAsia"/>
          <w:szCs w:val="21"/>
        </w:rPr>
        <w:t>任意</w:t>
      </w:r>
      <w:r w:rsidRPr="00BF42B7">
        <w:rPr>
          <w:rFonts w:eastAsiaTheme="minorEastAsia" w:hint="eastAsia"/>
          <w:szCs w:val="21"/>
        </w:rPr>
        <w:t>”</w:t>
      </w:r>
      <w:r w:rsidRPr="00BF42B7">
        <w:rPr>
          <w:rFonts w:eastAsiaTheme="minorEastAsia"/>
          <w:szCs w:val="21"/>
        </w:rPr>
        <w:t>一词针对的是受灾国决定不予同意的依据。确定不予同意是否为任意，必须视具体情况而定，虽然作为一般规则，可以举出几个原则。首先，委员会认为，倘若一个国家依靠自身资源能够且愿意提供适当和有效应对灾害的措施，则对外部援助不予同意不是任意的。其次，倘若受灾国已经接受了来自他处的适当和足够的援助，则对某一外部来源的援助不予同意也不是任意的。再其次，倘若有关提议并非按照本条款草案提出，则不予同意就不是任意的。尤其是，第</w:t>
      </w:r>
      <w:r w:rsidRPr="00BF42B7">
        <w:rPr>
          <w:rFonts w:eastAsiaTheme="minorEastAsia"/>
          <w:szCs w:val="21"/>
        </w:rPr>
        <w:t>6</w:t>
      </w:r>
      <w:r w:rsidRPr="00BF42B7">
        <w:rPr>
          <w:rFonts w:eastAsiaTheme="minorEastAsia"/>
          <w:szCs w:val="21"/>
        </w:rPr>
        <w:t>条草案规定，人道主义援助必须按照人道、中立和公正的原则在不歧视的基础上进行。相反，若援助提议是按照本条款草案提出的，而且没有任何其他援助来源，则有很强的论据认为不予同意的决定是任意作出的。</w:t>
      </w:r>
    </w:p>
    <w:p w:rsidR="00765E0D" w:rsidRPr="00BF42B7" w:rsidRDefault="00765E0D" w:rsidP="00765E0D">
      <w:pPr>
        <w:pStyle w:val="SingleTxtGC"/>
        <w:rPr>
          <w:rFonts w:eastAsiaTheme="minorEastAsia"/>
          <w:szCs w:val="21"/>
        </w:rPr>
      </w:pPr>
      <w:r w:rsidRPr="00BF42B7">
        <w:rPr>
          <w:rFonts w:eastAsiaTheme="minorEastAsia"/>
          <w:color w:val="000000" w:themeColor="text1"/>
          <w:szCs w:val="21"/>
        </w:rPr>
        <w:t>(9)</w:t>
      </w:r>
      <w:r w:rsidRPr="00BF42B7">
        <w:rPr>
          <w:rFonts w:eastAsiaTheme="minorEastAsia" w:hint="eastAsia"/>
          <w:color w:val="000000" w:themeColor="text1"/>
          <w:szCs w:val="21"/>
        </w:rPr>
        <w:t xml:space="preserve"> </w:t>
      </w:r>
      <w:r w:rsidRPr="00BF42B7">
        <w:rPr>
          <w:rFonts w:eastAsiaTheme="minorEastAsia" w:hint="eastAsia"/>
          <w:szCs w:val="21"/>
        </w:rPr>
        <w:t xml:space="preserve"> </w:t>
      </w:r>
      <w:r w:rsidRPr="00BF42B7">
        <w:rPr>
          <w:rFonts w:eastAsiaTheme="minorEastAsia"/>
          <w:szCs w:val="21"/>
        </w:rPr>
        <w:t>2013</w:t>
      </w:r>
      <w:r w:rsidRPr="00BF42B7">
        <w:rPr>
          <w:rFonts w:eastAsiaTheme="minorEastAsia"/>
          <w:szCs w:val="21"/>
        </w:rPr>
        <w:t>年，秘书长请人道主义事务协调厅进一步分析任意拒绝同意接受人道主义救济行动及其后果的问题。根据随后产生的指导文件</w:t>
      </w:r>
      <w:r w:rsidRPr="00BF42B7">
        <w:rPr>
          <w:rStyle w:val="a5"/>
          <w:rFonts w:eastAsiaTheme="minorEastAsia"/>
          <w:szCs w:val="21"/>
        </w:rPr>
        <w:footnoteReference w:id="217"/>
      </w:r>
      <w:r w:rsidRPr="00BF42B7">
        <w:rPr>
          <w:rFonts w:eastAsiaTheme="minorEastAsia"/>
          <w:szCs w:val="21"/>
        </w:rPr>
        <w:t>，下列情况属于任意拒绝同意：</w:t>
      </w:r>
      <w:r w:rsidRPr="00BF42B7">
        <w:rPr>
          <w:rFonts w:eastAsiaTheme="minorEastAsia"/>
          <w:szCs w:val="21"/>
        </w:rPr>
        <w:t xml:space="preserve">(a) </w:t>
      </w:r>
      <w:r w:rsidRPr="00BF42B7">
        <w:rPr>
          <w:rFonts w:eastAsiaTheme="minorEastAsia"/>
          <w:szCs w:val="21"/>
        </w:rPr>
        <w:t>拒绝同意导致一国违反其在国际法下的义务；或</w:t>
      </w:r>
      <w:r w:rsidRPr="00BF42B7">
        <w:rPr>
          <w:rFonts w:eastAsiaTheme="minorEastAsia"/>
          <w:szCs w:val="21"/>
        </w:rPr>
        <w:t xml:space="preserve">(b) </w:t>
      </w:r>
      <w:r w:rsidRPr="00BF42B7">
        <w:rPr>
          <w:rFonts w:eastAsiaTheme="minorEastAsia"/>
          <w:szCs w:val="21"/>
        </w:rPr>
        <w:t>拒绝同意违反了必要和相称原则；或</w:t>
      </w:r>
      <w:r w:rsidRPr="00BF42B7">
        <w:rPr>
          <w:rFonts w:eastAsiaTheme="minorEastAsia"/>
          <w:szCs w:val="21"/>
        </w:rPr>
        <w:t xml:space="preserve">(c) </w:t>
      </w:r>
      <w:r w:rsidRPr="00BF42B7">
        <w:rPr>
          <w:rFonts w:eastAsiaTheme="minorEastAsia"/>
          <w:szCs w:val="21"/>
        </w:rPr>
        <w:t>拒绝同意是不合理、不公正、不可预料或在其他方面不适当的。尽管准则针对的是武装冲突的情况，但对哪些因素可据以判定拒绝同意能否被视为</w:t>
      </w:r>
      <w:r w:rsidRPr="00BF42B7">
        <w:rPr>
          <w:rFonts w:eastAsiaTheme="minorEastAsia" w:hint="eastAsia"/>
          <w:szCs w:val="21"/>
        </w:rPr>
        <w:t>“</w:t>
      </w:r>
      <w:r w:rsidRPr="00BF42B7">
        <w:rPr>
          <w:rFonts w:eastAsiaTheme="minorEastAsia"/>
          <w:szCs w:val="21"/>
        </w:rPr>
        <w:t>任意</w:t>
      </w:r>
      <w:r w:rsidRPr="00BF42B7">
        <w:rPr>
          <w:rFonts w:eastAsiaTheme="minorEastAsia" w:hint="eastAsia"/>
          <w:szCs w:val="21"/>
        </w:rPr>
        <w:t>”</w:t>
      </w:r>
      <w:r w:rsidRPr="00BF42B7">
        <w:rPr>
          <w:rFonts w:eastAsiaTheme="minorEastAsia"/>
          <w:szCs w:val="21"/>
        </w:rPr>
        <w:t>提供了宝贵的看法。从事实上和法律上说，武装冲突的情况显然有别于发生灾害的情况。但就非任意拒绝同意而言，两种情况所涉及的法律问题是差不多的。</w:t>
      </w:r>
    </w:p>
    <w:p w:rsidR="00765E0D" w:rsidRPr="00BF42B7" w:rsidRDefault="00765E0D" w:rsidP="00765E0D">
      <w:pPr>
        <w:pStyle w:val="SingleTxtGC"/>
        <w:rPr>
          <w:rFonts w:eastAsiaTheme="minorEastAsia"/>
          <w:szCs w:val="21"/>
        </w:rPr>
      </w:pPr>
      <w:r w:rsidRPr="00BF42B7">
        <w:rPr>
          <w:rFonts w:eastAsiaTheme="minorEastAsia"/>
          <w:szCs w:val="21"/>
        </w:rPr>
        <w:t>(</w:t>
      </w:r>
      <w:r w:rsidRPr="00BF42B7">
        <w:rPr>
          <w:rFonts w:eastAsiaTheme="minorEastAsia" w:hint="eastAsia"/>
          <w:szCs w:val="21"/>
        </w:rPr>
        <w:t>10</w:t>
      </w:r>
      <w:r w:rsidRPr="00BF42B7">
        <w:rPr>
          <w:rFonts w:eastAsiaTheme="minorEastAsia"/>
          <w:szCs w:val="21"/>
        </w:rPr>
        <w:t xml:space="preserve">) </w:t>
      </w:r>
      <w:r w:rsidRPr="00BF42B7">
        <w:rPr>
          <w:rFonts w:eastAsiaTheme="minorEastAsia" w:hint="eastAsia"/>
          <w:szCs w:val="21"/>
        </w:rPr>
        <w:t xml:space="preserve"> </w:t>
      </w:r>
      <w:r w:rsidRPr="00BF42B7">
        <w:rPr>
          <w:rFonts w:eastAsiaTheme="minorEastAsia"/>
          <w:szCs w:val="21"/>
        </w:rPr>
        <w:t>受灾国确定援助的最适当形式的自由裁量权，是它根据第</w:t>
      </w:r>
      <w:r w:rsidRPr="00BF42B7">
        <w:rPr>
          <w:rFonts w:eastAsiaTheme="minorEastAsia"/>
          <w:szCs w:val="21"/>
        </w:rPr>
        <w:t>10</w:t>
      </w:r>
      <w:r w:rsidRPr="00BF42B7">
        <w:rPr>
          <w:rFonts w:eastAsiaTheme="minorEastAsia"/>
          <w:szCs w:val="21"/>
        </w:rPr>
        <w:t>条草案第</w:t>
      </w:r>
      <w:r w:rsidRPr="00BF42B7">
        <w:rPr>
          <w:rFonts w:eastAsiaTheme="minorEastAsia"/>
          <w:szCs w:val="21"/>
        </w:rPr>
        <w:t>2</w:t>
      </w:r>
      <w:r w:rsidRPr="00BF42B7">
        <w:rPr>
          <w:rFonts w:eastAsiaTheme="minorEastAsia"/>
          <w:szCs w:val="21"/>
        </w:rPr>
        <w:t>款在指挥、控制、协调和监督救灾援助方面的主要作用的一个方面。这种自由裁量权必须根据受灾国的国际义务真诚地行使。</w:t>
      </w:r>
      <w:r w:rsidRPr="00BF42B7">
        <w:rPr>
          <w:rStyle w:val="a5"/>
          <w:rFonts w:eastAsiaTheme="minorEastAsia"/>
          <w:szCs w:val="21"/>
        </w:rPr>
        <w:footnoteReference w:id="218"/>
      </w:r>
      <w:r w:rsidRPr="00BF42B7">
        <w:rPr>
          <w:rFonts w:eastAsiaTheme="minorEastAsia"/>
          <w:szCs w:val="21"/>
        </w:rPr>
        <w:t xml:space="preserve"> </w:t>
      </w:r>
      <w:r w:rsidRPr="00BF42B7">
        <w:rPr>
          <w:rFonts w:eastAsiaTheme="minorEastAsia"/>
          <w:szCs w:val="21"/>
        </w:rPr>
        <w:t>委员会鼓励受灾国说明拒绝同意援助的原因。说明原因，对确定受灾国拒绝同意援助的决定是否属于真诚至关重要。不说明原因，可能成为论证对援助不予同意属于任意的一个理据。</w:t>
      </w:r>
    </w:p>
    <w:p w:rsidR="00765E0D" w:rsidRPr="00BF42B7" w:rsidRDefault="00765E0D" w:rsidP="00765E0D">
      <w:pPr>
        <w:pStyle w:val="SingleTxtGC"/>
        <w:rPr>
          <w:rFonts w:eastAsiaTheme="minorEastAsia"/>
          <w:szCs w:val="21"/>
        </w:rPr>
      </w:pPr>
      <w:r w:rsidRPr="00BF42B7">
        <w:rPr>
          <w:rFonts w:eastAsiaTheme="minorEastAsia"/>
          <w:szCs w:val="21"/>
        </w:rPr>
        <w:t>(1</w:t>
      </w:r>
      <w:r w:rsidRPr="00BF42B7">
        <w:rPr>
          <w:rFonts w:eastAsiaTheme="minorEastAsia" w:hint="eastAsia"/>
          <w:szCs w:val="21"/>
        </w:rPr>
        <w:t>1</w:t>
      </w:r>
      <w:r w:rsidRPr="00BF42B7">
        <w:rPr>
          <w:rFonts w:eastAsiaTheme="minorEastAsia"/>
          <w:szCs w:val="21"/>
        </w:rPr>
        <w:t xml:space="preserve">) </w:t>
      </w:r>
      <w:r w:rsidRPr="00BF42B7">
        <w:rPr>
          <w:rFonts w:eastAsiaTheme="minorEastAsia" w:hint="eastAsia"/>
          <w:szCs w:val="21"/>
        </w:rPr>
        <w:t xml:space="preserve"> </w:t>
      </w:r>
      <w:r w:rsidRPr="00BF42B7">
        <w:rPr>
          <w:rFonts w:eastAsiaTheme="minorEastAsia"/>
          <w:szCs w:val="21"/>
        </w:rPr>
        <w:t>为此，国际法公认，除其他外，</w:t>
      </w:r>
      <w:r w:rsidRPr="00BF42B7">
        <w:rPr>
          <w:rFonts w:eastAsiaTheme="minorEastAsia" w:hint="eastAsia"/>
          <w:szCs w:val="21"/>
        </w:rPr>
        <w:t>“</w:t>
      </w:r>
      <w:r w:rsidRPr="00BF42B7">
        <w:rPr>
          <w:rFonts w:eastAsiaTheme="minorEastAsia"/>
          <w:szCs w:val="21"/>
        </w:rPr>
        <w:t>真诚</w:t>
      </w:r>
      <w:r w:rsidRPr="00BF42B7">
        <w:rPr>
          <w:rFonts w:eastAsiaTheme="minorEastAsia" w:hint="eastAsia"/>
          <w:szCs w:val="21"/>
        </w:rPr>
        <w:t>”</w:t>
      </w:r>
      <w:r w:rsidRPr="00BF42B7">
        <w:rPr>
          <w:rFonts w:eastAsiaTheme="minorEastAsia"/>
          <w:szCs w:val="21"/>
        </w:rPr>
        <w:t>的目的是对准许的权利和自由裁量权行使予以限制。国际法院及一些国际仲裁庭在若干案件中审议了</w:t>
      </w:r>
      <w:r w:rsidRPr="00BF42B7">
        <w:rPr>
          <w:rFonts w:eastAsiaTheme="minorEastAsia" w:hint="eastAsia"/>
          <w:szCs w:val="21"/>
        </w:rPr>
        <w:t>“</w:t>
      </w:r>
      <w:r w:rsidRPr="00BF42B7">
        <w:rPr>
          <w:rFonts w:eastAsiaTheme="minorEastAsia"/>
          <w:szCs w:val="21"/>
        </w:rPr>
        <w:t>真诚</w:t>
      </w:r>
      <w:r w:rsidRPr="00BF42B7">
        <w:rPr>
          <w:rFonts w:eastAsiaTheme="minorEastAsia" w:hint="eastAsia"/>
          <w:szCs w:val="21"/>
        </w:rPr>
        <w:t>”</w:t>
      </w:r>
      <w:r w:rsidRPr="00BF42B7">
        <w:rPr>
          <w:rFonts w:eastAsiaTheme="minorEastAsia"/>
          <w:szCs w:val="21"/>
        </w:rPr>
        <w:t>的这一作用。</w:t>
      </w:r>
      <w:r w:rsidRPr="00BF42B7">
        <w:rPr>
          <w:rStyle w:val="a5"/>
          <w:rFonts w:eastAsiaTheme="minorEastAsia"/>
          <w:szCs w:val="21"/>
        </w:rPr>
        <w:footnoteReference w:id="219"/>
      </w:r>
      <w:r w:rsidRPr="00BF42B7">
        <w:rPr>
          <w:rFonts w:eastAsiaTheme="minorEastAsia"/>
          <w:szCs w:val="21"/>
        </w:rPr>
        <w:t xml:space="preserve"> </w:t>
      </w:r>
      <w:r w:rsidRPr="00BF42B7">
        <w:rPr>
          <w:rFonts w:eastAsiaTheme="minorEastAsia"/>
          <w:szCs w:val="21"/>
        </w:rPr>
        <w:t>因此，</w:t>
      </w:r>
      <w:r w:rsidRPr="00BF42B7">
        <w:rPr>
          <w:rFonts w:eastAsiaTheme="minorEastAsia" w:hint="eastAsia"/>
          <w:szCs w:val="21"/>
        </w:rPr>
        <w:t>“</w:t>
      </w:r>
      <w:r w:rsidRPr="00BF42B7">
        <w:rPr>
          <w:rFonts w:eastAsiaTheme="minorEastAsia"/>
          <w:szCs w:val="21"/>
        </w:rPr>
        <w:t>真诚</w:t>
      </w:r>
      <w:r w:rsidRPr="00BF42B7">
        <w:rPr>
          <w:rFonts w:eastAsiaTheme="minorEastAsia" w:hint="eastAsia"/>
          <w:szCs w:val="21"/>
        </w:rPr>
        <w:t>”</w:t>
      </w:r>
      <w:r w:rsidRPr="00BF42B7">
        <w:rPr>
          <w:rFonts w:eastAsiaTheme="minorEastAsia"/>
          <w:szCs w:val="21"/>
        </w:rPr>
        <w:t>成为主权和自由裁量权行使的外部限制因素，这既适用于一国的决定必须考虑到政治因素的情况，也适用于关系到条约义务的履行的情况。这尤其适用于有关条约规定载有以某种方式行事的积极义务的情况，例如上文提到的《公民权利和政治权利国际公约》第六条。</w:t>
      </w:r>
    </w:p>
    <w:p w:rsidR="00765E0D" w:rsidRPr="00BF42B7" w:rsidRDefault="00765E0D" w:rsidP="00765E0D">
      <w:pPr>
        <w:pStyle w:val="SingleTxtGC"/>
        <w:rPr>
          <w:rFonts w:eastAsiaTheme="minorEastAsia"/>
          <w:szCs w:val="21"/>
        </w:rPr>
      </w:pPr>
      <w:r w:rsidRPr="00BF42B7">
        <w:rPr>
          <w:rFonts w:eastAsiaTheme="minorEastAsia"/>
          <w:szCs w:val="21"/>
        </w:rPr>
        <w:t>(1</w:t>
      </w:r>
      <w:r w:rsidRPr="00BF42B7">
        <w:rPr>
          <w:rFonts w:eastAsiaTheme="minorEastAsia" w:hint="eastAsia"/>
          <w:szCs w:val="21"/>
        </w:rPr>
        <w:t>2</w:t>
      </w:r>
      <w:r w:rsidRPr="00BF42B7">
        <w:rPr>
          <w:rFonts w:eastAsiaTheme="minorEastAsia"/>
          <w:szCs w:val="21"/>
        </w:rPr>
        <w:t>)</w:t>
      </w:r>
      <w:r w:rsidRPr="00BF42B7">
        <w:rPr>
          <w:rFonts w:eastAsiaTheme="minorEastAsia" w:hint="eastAsia"/>
          <w:szCs w:val="21"/>
        </w:rPr>
        <w:t xml:space="preserve">  </w:t>
      </w:r>
      <w:r w:rsidRPr="00BF42B7">
        <w:rPr>
          <w:rFonts w:eastAsiaTheme="minorEastAsia"/>
          <w:szCs w:val="21"/>
        </w:rPr>
        <w:t>在第</w:t>
      </w:r>
      <w:r w:rsidRPr="00BF42B7">
        <w:rPr>
          <w:rFonts w:eastAsiaTheme="minorEastAsia"/>
          <w:szCs w:val="21"/>
        </w:rPr>
        <w:t>3</w:t>
      </w:r>
      <w:r w:rsidRPr="00BF42B7">
        <w:rPr>
          <w:rFonts w:eastAsiaTheme="minorEastAsia"/>
          <w:szCs w:val="21"/>
        </w:rPr>
        <w:t>款中，委员会采用</w:t>
      </w:r>
      <w:r w:rsidRPr="00BF42B7">
        <w:rPr>
          <w:rFonts w:eastAsiaTheme="minorEastAsia" w:hint="eastAsia"/>
          <w:szCs w:val="21"/>
        </w:rPr>
        <w:t>“</w:t>
      </w:r>
      <w:r w:rsidRPr="00BF42B7">
        <w:rPr>
          <w:rFonts w:eastAsiaTheme="minorEastAsia"/>
          <w:szCs w:val="21"/>
        </w:rPr>
        <w:t>及时告知就该援助提议作出的决定</w:t>
      </w:r>
      <w:r w:rsidRPr="00BF42B7">
        <w:rPr>
          <w:rFonts w:eastAsiaTheme="minorEastAsia" w:hint="eastAsia"/>
          <w:szCs w:val="21"/>
        </w:rPr>
        <w:t>”</w:t>
      </w:r>
      <w:r w:rsidRPr="00BF42B7">
        <w:rPr>
          <w:rFonts w:eastAsiaTheme="minorEastAsia"/>
          <w:szCs w:val="21"/>
        </w:rPr>
        <w:t>这一短语，是为了使受灾国在确定如何以最好的方式答复援助提议方面有</w:t>
      </w:r>
      <w:r w:rsidRPr="00BF42B7">
        <w:rPr>
          <w:rFonts w:eastAsiaTheme="minorEastAsia" w:hint="eastAsia"/>
          <w:szCs w:val="21"/>
        </w:rPr>
        <w:t>一定程度</w:t>
      </w:r>
      <w:r w:rsidRPr="00BF42B7">
        <w:rPr>
          <w:rFonts w:eastAsiaTheme="minorEastAsia"/>
          <w:szCs w:val="21"/>
        </w:rPr>
        <w:t>的灵活性。人们认识到，对提供援助的每一个提议作出正式反应的刚性责任可能对处于灾害情况下的受灾国造成太大的负担。作为平衡，该款又表示应及时作出决定，以便提议外部援助的行为方有适当反应的机会。委员会认为目前的行文涵盖广泛的答复方式，包括由受灾国公布其对所有援助提议所作的决定。这一款适用于受灾国同意接受援助和不同意接受援助这两种情况。</w:t>
      </w:r>
    </w:p>
    <w:p w:rsidR="00765E0D" w:rsidRPr="00BF42B7" w:rsidRDefault="00765E0D" w:rsidP="00765E0D">
      <w:pPr>
        <w:pStyle w:val="SingleTxtGC"/>
        <w:rPr>
          <w:rFonts w:eastAsiaTheme="minorEastAsia"/>
          <w:szCs w:val="21"/>
        </w:rPr>
      </w:pPr>
      <w:r w:rsidRPr="00BF42B7">
        <w:rPr>
          <w:rFonts w:eastAsiaTheme="minorEastAsia"/>
          <w:szCs w:val="21"/>
        </w:rPr>
        <w:t>(1</w:t>
      </w:r>
      <w:r w:rsidRPr="00BF42B7">
        <w:rPr>
          <w:rFonts w:eastAsiaTheme="minorEastAsia" w:hint="eastAsia"/>
          <w:szCs w:val="21"/>
        </w:rPr>
        <w:t>3</w:t>
      </w:r>
      <w:r w:rsidRPr="00BF42B7">
        <w:rPr>
          <w:rFonts w:eastAsiaTheme="minorEastAsia"/>
          <w:szCs w:val="21"/>
        </w:rPr>
        <w:t>)</w:t>
      </w:r>
      <w:r w:rsidRPr="00BF42B7">
        <w:rPr>
          <w:rFonts w:eastAsiaTheme="minorEastAsia" w:hint="eastAsia"/>
          <w:szCs w:val="21"/>
        </w:rPr>
        <w:t xml:space="preserve">  </w:t>
      </w:r>
      <w:r w:rsidRPr="00BF42B7">
        <w:rPr>
          <w:rFonts w:eastAsiaTheme="minorEastAsia"/>
          <w:szCs w:val="21"/>
        </w:rPr>
        <w:t>委员会认为</w:t>
      </w:r>
      <w:r w:rsidRPr="00BF42B7">
        <w:rPr>
          <w:rFonts w:eastAsiaTheme="minorEastAsia" w:hint="eastAsia"/>
          <w:szCs w:val="21"/>
        </w:rPr>
        <w:t>“</w:t>
      </w:r>
      <w:r w:rsidRPr="00BF42B7">
        <w:rPr>
          <w:rFonts w:eastAsiaTheme="minorEastAsia"/>
          <w:szCs w:val="21"/>
        </w:rPr>
        <w:t>只要有可能</w:t>
      </w:r>
      <w:r w:rsidRPr="00BF42B7">
        <w:rPr>
          <w:rFonts w:eastAsiaTheme="minorEastAsia" w:hint="eastAsia"/>
          <w:szCs w:val="21"/>
        </w:rPr>
        <w:t>”</w:t>
      </w:r>
      <w:r w:rsidRPr="00BF42B7">
        <w:rPr>
          <w:rFonts w:eastAsiaTheme="minorEastAsia"/>
          <w:szCs w:val="21"/>
        </w:rPr>
        <w:t>一语的含义范围有限。这个短语提请注意一国由于缺乏一个可发挥职能的政府或同样丧失工作能力的原因而无法就同意与否形成意见的极端情况。因此，该短语的目的在于表示这一款具有某种弹性。短语还为</w:t>
      </w:r>
      <w:r w:rsidRPr="00BF42B7">
        <w:rPr>
          <w:rFonts w:eastAsiaTheme="minorEastAsia" w:hint="eastAsia"/>
          <w:szCs w:val="21"/>
        </w:rPr>
        <w:t>“</w:t>
      </w:r>
      <w:r w:rsidRPr="00BF42B7">
        <w:rPr>
          <w:rFonts w:eastAsiaTheme="minorEastAsia"/>
          <w:szCs w:val="21"/>
        </w:rPr>
        <w:t>及时</w:t>
      </w:r>
      <w:r w:rsidRPr="00BF42B7">
        <w:rPr>
          <w:rFonts w:eastAsiaTheme="minorEastAsia" w:hint="eastAsia"/>
          <w:szCs w:val="21"/>
        </w:rPr>
        <w:t>”</w:t>
      </w:r>
      <w:r w:rsidRPr="00BF42B7">
        <w:rPr>
          <w:rFonts w:eastAsiaTheme="minorEastAsia"/>
          <w:szCs w:val="21"/>
        </w:rPr>
        <w:t>一词划定了适用范围。委员会还认为，受灾国倘若没有本段所述的特殊情况，就能使用它认为最适当的方式告知其所作的决定。</w:t>
      </w:r>
    </w:p>
    <w:p w:rsidR="00765E0D" w:rsidRPr="00BF42B7" w:rsidRDefault="00765E0D" w:rsidP="00765E0D">
      <w:pPr>
        <w:pStyle w:val="H23GC"/>
        <w:ind w:left="1554"/>
        <w:jc w:val="left"/>
      </w:pPr>
      <w:r w:rsidRPr="00BF42B7">
        <w:rPr>
          <w:rFonts w:hint="eastAsia"/>
          <w:lang w:val="zh-CN"/>
        </w:rPr>
        <w:tab/>
      </w:r>
      <w:r w:rsidRPr="00BF42B7">
        <w:rPr>
          <w:rFonts w:hint="eastAsia"/>
          <w:lang w:val="zh-CN"/>
        </w:rPr>
        <w:tab/>
      </w:r>
      <w:r w:rsidRPr="00BF42B7">
        <w:rPr>
          <w:lang w:val="zh-CN"/>
        </w:rPr>
        <w:t>第</w:t>
      </w:r>
      <w:r w:rsidRPr="00BF42B7">
        <w:rPr>
          <w:lang w:val="zh-CN"/>
        </w:rPr>
        <w:t>14</w:t>
      </w:r>
      <w:r w:rsidRPr="00BF42B7">
        <w:rPr>
          <w:lang w:val="zh-CN"/>
        </w:rPr>
        <w:t>条</w:t>
      </w:r>
      <w:r w:rsidRPr="00BF42B7">
        <w:rPr>
          <w:lang w:val="zh-CN"/>
        </w:rPr>
        <w:br/>
      </w:r>
      <w:r w:rsidRPr="00BF42B7">
        <w:rPr>
          <w:lang w:val="zh-CN"/>
        </w:rPr>
        <w:t>对提供外部援助规定条件</w:t>
      </w:r>
    </w:p>
    <w:p w:rsidR="00765E0D" w:rsidRPr="00BF42B7" w:rsidRDefault="00765E0D" w:rsidP="00765E0D">
      <w:pPr>
        <w:pStyle w:val="SingleTxtGC"/>
        <w:ind w:left="1554" w:firstLine="431"/>
        <w:rPr>
          <w:rFonts w:eastAsiaTheme="minorEastAsia"/>
          <w:szCs w:val="21"/>
        </w:rPr>
      </w:pPr>
      <w:r w:rsidRPr="00BF42B7">
        <w:rPr>
          <w:rFonts w:eastAsiaTheme="minorEastAsia"/>
          <w:szCs w:val="21"/>
          <w:lang w:val="zh-CN"/>
        </w:rPr>
        <w:t>受灾国可对提供外部援助规定条件。此种条件应与本条款草案、适用的国际法规则以及受灾国国内法相符。条件应考虑到查明的受灾人员的需要以及援助的质量。在拟订条件时，受灾国应指明所寻求的援助的范围和种类。</w:t>
      </w:r>
    </w:p>
    <w:p w:rsidR="00765E0D" w:rsidRPr="00BF42B7" w:rsidRDefault="00765E0D" w:rsidP="00765E0D">
      <w:pPr>
        <w:pStyle w:val="H23GC"/>
        <w:jc w:val="left"/>
        <w:rPr>
          <w:lang w:val="zh-CN"/>
        </w:rPr>
      </w:pPr>
      <w:bookmarkStart w:id="50" w:name="_Toc398107267"/>
      <w:r w:rsidRPr="00BF42B7">
        <w:rPr>
          <w:lang w:val="zh-CN"/>
        </w:rPr>
        <w:tab/>
      </w:r>
      <w:r w:rsidRPr="00BF42B7">
        <w:rPr>
          <w:lang w:val="zh-CN"/>
        </w:rPr>
        <w:tab/>
      </w:r>
      <w:r w:rsidRPr="00BF42B7">
        <w:rPr>
          <w:rFonts w:hint="eastAsia"/>
          <w:lang w:val="zh-CN"/>
        </w:rPr>
        <w:t>评注</w:t>
      </w:r>
      <w:bookmarkEnd w:id="50"/>
    </w:p>
    <w:p w:rsidR="00765E0D" w:rsidRPr="00BF42B7" w:rsidRDefault="00765E0D" w:rsidP="00765E0D">
      <w:pPr>
        <w:pStyle w:val="SingleTxtGC"/>
        <w:rPr>
          <w:rFonts w:eastAsiaTheme="minorEastAsia"/>
          <w:szCs w:val="21"/>
          <w:lang w:val="zh-CN"/>
        </w:rPr>
      </w:pPr>
      <w:r w:rsidRPr="00BF42B7">
        <w:rPr>
          <w:rFonts w:eastAsiaTheme="minorEastAsia"/>
          <w:szCs w:val="21"/>
        </w:rPr>
        <w:t>(1)</w:t>
      </w:r>
      <w:r w:rsidRPr="00BF42B7">
        <w:rPr>
          <w:rFonts w:eastAsiaTheme="minorEastAsia" w:hint="eastAsia"/>
          <w:szCs w:val="21"/>
        </w:rPr>
        <w:t xml:space="preserve">  </w:t>
      </w:r>
      <w:r w:rsidRPr="00BF42B7">
        <w:rPr>
          <w:rFonts w:eastAsiaTheme="minorEastAsia" w:hint="eastAsia"/>
          <w:szCs w:val="21"/>
          <w:lang w:val="zh-CN"/>
        </w:rPr>
        <w:t>第</w:t>
      </w:r>
      <w:r w:rsidRPr="00BF42B7">
        <w:rPr>
          <w:rFonts w:eastAsiaTheme="minorEastAsia" w:hint="eastAsia"/>
          <w:szCs w:val="21"/>
          <w:lang w:val="zh-CN"/>
        </w:rPr>
        <w:t>14</w:t>
      </w:r>
      <w:r w:rsidRPr="00BF42B7">
        <w:rPr>
          <w:rFonts w:eastAsiaTheme="minorEastAsia"/>
          <w:szCs w:val="21"/>
          <w:lang w:val="zh-CN"/>
        </w:rPr>
        <w:t>条</w:t>
      </w:r>
      <w:r w:rsidRPr="00BF42B7">
        <w:rPr>
          <w:rFonts w:eastAsiaTheme="minorEastAsia" w:hint="eastAsia"/>
          <w:szCs w:val="21"/>
          <w:lang w:val="zh-CN"/>
        </w:rPr>
        <w:t>草案涉及受灾国对在其领土或受其管辖或控制的领土内提供外部援助设定条件的问题。本条草案肯定了受灾国有权根据本条款草案以及国际和国内法的适用规定，对提供外部援助规定条件。本条草案说明了如何确定这些条件。查明的受灾人员的需要和援助的质量决定了条件的性质。本条还要求受灾国在拟定条件时指明所寻求的援助的范围和种类。</w:t>
      </w:r>
    </w:p>
    <w:p w:rsidR="00765E0D" w:rsidRPr="00BF42B7" w:rsidRDefault="00765E0D" w:rsidP="00765E0D">
      <w:pPr>
        <w:pStyle w:val="SingleTxtGC"/>
        <w:rPr>
          <w:rFonts w:eastAsiaTheme="minorEastAsia"/>
          <w:szCs w:val="21"/>
          <w:lang w:val="zh-CN"/>
        </w:rPr>
      </w:pPr>
      <w:r w:rsidRPr="00BF42B7">
        <w:rPr>
          <w:rFonts w:eastAsiaTheme="minorEastAsia"/>
          <w:szCs w:val="21"/>
        </w:rPr>
        <w:t>(2)</w:t>
      </w:r>
      <w:r w:rsidRPr="00BF42B7">
        <w:rPr>
          <w:rFonts w:eastAsiaTheme="minorEastAsia" w:hint="eastAsia"/>
          <w:szCs w:val="21"/>
        </w:rPr>
        <w:t xml:space="preserve">  </w:t>
      </w:r>
      <w:r w:rsidRPr="00BF42B7">
        <w:rPr>
          <w:rFonts w:eastAsiaTheme="minorEastAsia" w:hint="eastAsia"/>
          <w:szCs w:val="21"/>
        </w:rPr>
        <w:t>本条草案进一步体现了第</w:t>
      </w:r>
      <w:r w:rsidRPr="00BF42B7">
        <w:rPr>
          <w:rFonts w:eastAsiaTheme="minorEastAsia" w:hint="eastAsia"/>
          <w:szCs w:val="21"/>
        </w:rPr>
        <w:t>10</w:t>
      </w:r>
      <w:r w:rsidRPr="00BF42B7">
        <w:rPr>
          <w:rFonts w:eastAsiaTheme="minorEastAsia" w:hint="eastAsia"/>
          <w:szCs w:val="21"/>
        </w:rPr>
        <w:t>条草案规定的原则，第</w:t>
      </w:r>
      <w:r w:rsidRPr="00BF42B7">
        <w:rPr>
          <w:rFonts w:eastAsiaTheme="minorEastAsia" w:hint="eastAsia"/>
          <w:szCs w:val="21"/>
        </w:rPr>
        <w:t>10</w:t>
      </w:r>
      <w:r w:rsidRPr="00BF42B7">
        <w:rPr>
          <w:rFonts w:eastAsiaTheme="minorEastAsia" w:hint="eastAsia"/>
          <w:szCs w:val="21"/>
        </w:rPr>
        <w:t>条草案确认受灾国在指挥、控制、协调和监督在其领土或受其管辖或控制的领土内的救灾援助方面应发挥主要作用。第</w:t>
      </w:r>
      <w:r w:rsidRPr="00BF42B7">
        <w:rPr>
          <w:rFonts w:eastAsiaTheme="minorEastAsia"/>
          <w:szCs w:val="21"/>
        </w:rPr>
        <w:t>1</w:t>
      </w:r>
      <w:r w:rsidRPr="00BF42B7">
        <w:rPr>
          <w:rFonts w:eastAsiaTheme="minorEastAsia" w:hint="eastAsia"/>
          <w:szCs w:val="21"/>
        </w:rPr>
        <w:t>4</w:t>
      </w:r>
      <w:r w:rsidRPr="00BF42B7">
        <w:rPr>
          <w:rFonts w:eastAsiaTheme="minorEastAsia" w:hint="eastAsia"/>
          <w:szCs w:val="21"/>
        </w:rPr>
        <w:t>条草案</w:t>
      </w:r>
      <w:r w:rsidRPr="00BF42B7">
        <w:rPr>
          <w:rFonts w:eastAsiaTheme="minorEastAsia" w:hint="eastAsia"/>
          <w:szCs w:val="21"/>
          <w:lang w:val="zh-CN"/>
        </w:rPr>
        <w:t>采用“可……规定条件”的说法</w:t>
      </w:r>
      <w:r w:rsidRPr="00BF42B7">
        <w:rPr>
          <w:rFonts w:eastAsiaTheme="minorEastAsia" w:hint="eastAsia"/>
          <w:szCs w:val="21"/>
          <w:lang w:val="zh-CN"/>
        </w:rPr>
        <w:t>(</w:t>
      </w:r>
      <w:r w:rsidRPr="00BF42B7">
        <w:rPr>
          <w:rFonts w:eastAsiaTheme="minorEastAsia" w:hint="eastAsia"/>
          <w:szCs w:val="21"/>
          <w:lang w:val="zh-CN"/>
        </w:rPr>
        <w:t>这符合提供援助的自愿性质</w:t>
      </w:r>
      <w:r w:rsidRPr="00BF42B7">
        <w:rPr>
          <w:rFonts w:eastAsiaTheme="minorEastAsia" w:hint="eastAsia"/>
          <w:szCs w:val="21"/>
          <w:lang w:val="zh-CN"/>
        </w:rPr>
        <w:t>)</w:t>
      </w:r>
      <w:r w:rsidRPr="00BF42B7">
        <w:rPr>
          <w:rFonts w:eastAsiaTheme="minorEastAsia" w:hint="eastAsia"/>
          <w:szCs w:val="21"/>
          <w:lang w:val="zh-CN"/>
        </w:rPr>
        <w:t>，便是承认受灾国有权对这类援助施加条件，这最好在灾害发生前进行，不过也可以在救灾过程中就已知援助方的具体援助形式规定条件。委员会提到“外部”援助是因为本条的范围是第三国或其他援助方提供的援助，但不包括来自国内的援助，如国内非政府组织提供的援助。</w:t>
      </w:r>
    </w:p>
    <w:p w:rsidR="00765E0D" w:rsidRPr="00BF42B7" w:rsidRDefault="00765E0D" w:rsidP="00765E0D">
      <w:pPr>
        <w:pStyle w:val="SingleTxtGC"/>
        <w:rPr>
          <w:rFonts w:eastAsiaTheme="minorEastAsia"/>
          <w:szCs w:val="21"/>
          <w:lang w:val="zh-CN"/>
        </w:rPr>
      </w:pPr>
      <w:r w:rsidRPr="00BF42B7">
        <w:rPr>
          <w:rFonts w:eastAsiaTheme="minorEastAsia"/>
          <w:szCs w:val="21"/>
        </w:rPr>
        <w:t>(3)</w:t>
      </w:r>
      <w:r w:rsidRPr="00BF42B7">
        <w:rPr>
          <w:rFonts w:eastAsiaTheme="minorEastAsia" w:hint="eastAsia"/>
          <w:szCs w:val="21"/>
        </w:rPr>
        <w:t xml:space="preserve">  </w:t>
      </w:r>
      <w:r w:rsidRPr="00BF42B7">
        <w:rPr>
          <w:rFonts w:eastAsiaTheme="minorEastAsia" w:hint="eastAsia"/>
          <w:szCs w:val="21"/>
        </w:rPr>
        <w:t>本条草案对受灾国规定援助条件的权利设置了限制，即必须依据适用的法律规则施加条件。</w:t>
      </w:r>
      <w:r w:rsidRPr="00BF42B7">
        <w:rPr>
          <w:rFonts w:eastAsiaTheme="minorEastAsia" w:hint="eastAsia"/>
          <w:szCs w:val="21"/>
          <w:lang w:val="zh-CN"/>
        </w:rPr>
        <w:t>第二句列出了可施加条件的法律框架，包括“本条款草案、适用的国际法规则以及受灾国国内法”。委员会提到“本条款草案”，以强调所有条件都必须符合条款草案所体现的原则，因此无需再次列举其他条款已经阐述过的人道主义和法律原则，特别是主权、诚信以及第</w:t>
      </w:r>
      <w:r w:rsidRPr="00BF42B7">
        <w:rPr>
          <w:rFonts w:eastAsiaTheme="minorEastAsia"/>
          <w:szCs w:val="21"/>
          <w:lang w:val="zh-CN"/>
        </w:rPr>
        <w:t>6</w:t>
      </w:r>
      <w:r w:rsidRPr="00BF42B7">
        <w:rPr>
          <w:rFonts w:eastAsiaTheme="minorEastAsia" w:hint="eastAsia"/>
          <w:szCs w:val="21"/>
          <w:lang w:val="zh-CN"/>
        </w:rPr>
        <w:t>条草案中提到的人道主义原则，即人道、中立、公正和不歧视原则。</w:t>
      </w:r>
    </w:p>
    <w:p w:rsidR="00765E0D" w:rsidRPr="00BF42B7" w:rsidRDefault="00765E0D" w:rsidP="00765E0D">
      <w:pPr>
        <w:pStyle w:val="SingleTxtGC"/>
        <w:rPr>
          <w:rFonts w:eastAsiaTheme="minorEastAsia"/>
          <w:szCs w:val="21"/>
          <w:lang w:val="zh-CN"/>
        </w:rPr>
      </w:pPr>
      <w:r w:rsidRPr="00BF42B7">
        <w:rPr>
          <w:rFonts w:eastAsiaTheme="minorEastAsia"/>
          <w:szCs w:val="21"/>
        </w:rPr>
        <w:t>(4)</w:t>
      </w:r>
      <w:r w:rsidRPr="00BF42B7">
        <w:rPr>
          <w:rFonts w:eastAsiaTheme="minorEastAsia" w:hint="eastAsia"/>
          <w:szCs w:val="21"/>
        </w:rPr>
        <w:t xml:space="preserve">  </w:t>
      </w:r>
      <w:r w:rsidRPr="00BF42B7">
        <w:rPr>
          <w:rFonts w:eastAsiaTheme="minorEastAsia" w:hint="eastAsia"/>
          <w:szCs w:val="21"/>
        </w:rPr>
        <w:t>提到国内法，是为了强调国内法在具体受灾地区的权威。但这并不意味着事先就存在专门规范</w:t>
      </w:r>
      <w:r w:rsidRPr="00BF42B7">
        <w:rPr>
          <w:rFonts w:eastAsiaTheme="minorEastAsia" w:hint="eastAsia"/>
          <w:szCs w:val="21"/>
          <w:lang w:val="zh-CN"/>
        </w:rPr>
        <w:t>发生灾害时受灾国施加的具体条件的国内法</w:t>
      </w:r>
      <w:r w:rsidRPr="00BF42B7">
        <w:rPr>
          <w:rFonts w:eastAsiaTheme="minorEastAsia"/>
          <w:szCs w:val="21"/>
          <w:lang w:val="zh-CN"/>
        </w:rPr>
        <w:t>(</w:t>
      </w:r>
      <w:r w:rsidRPr="00BF42B7">
        <w:rPr>
          <w:rFonts w:eastAsiaTheme="minorEastAsia" w:hint="eastAsia"/>
          <w:szCs w:val="21"/>
          <w:lang w:val="zh-CN"/>
        </w:rPr>
        <w:t>内部法</w:t>
      </w:r>
      <w:r w:rsidRPr="00BF42B7">
        <w:rPr>
          <w:rFonts w:eastAsiaTheme="minorEastAsia"/>
          <w:szCs w:val="21"/>
          <w:lang w:val="zh-CN"/>
        </w:rPr>
        <w:t>)</w:t>
      </w:r>
      <w:r w:rsidRPr="00BF42B7">
        <w:rPr>
          <w:rFonts w:eastAsiaTheme="minorEastAsia" w:hint="eastAsia"/>
          <w:szCs w:val="21"/>
          <w:lang w:val="zh-CN"/>
        </w:rPr>
        <w:t>。虽然不要求在规定条件之前必须存在专门的国内法，但是规定的条件必须如第</w:t>
      </w:r>
      <w:r w:rsidRPr="00BF42B7">
        <w:rPr>
          <w:rFonts w:eastAsiaTheme="minorEastAsia" w:hint="eastAsia"/>
          <w:szCs w:val="21"/>
          <w:lang w:val="zh-CN"/>
        </w:rPr>
        <w:t>15</w:t>
      </w:r>
      <w:r w:rsidRPr="00BF42B7">
        <w:rPr>
          <w:rFonts w:eastAsiaTheme="minorEastAsia" w:hint="eastAsia"/>
          <w:szCs w:val="21"/>
          <w:lang w:val="zh-CN"/>
        </w:rPr>
        <w:t>条草案所设想的那样，符合受灾国现有的相关国内法律。</w:t>
      </w:r>
    </w:p>
    <w:p w:rsidR="00765E0D" w:rsidRPr="00BF42B7" w:rsidRDefault="00765E0D" w:rsidP="00765E0D">
      <w:pPr>
        <w:pStyle w:val="SingleTxtGC"/>
        <w:rPr>
          <w:rFonts w:eastAsiaTheme="minorEastAsia"/>
          <w:szCs w:val="21"/>
        </w:rPr>
      </w:pPr>
      <w:r w:rsidRPr="00BF42B7">
        <w:rPr>
          <w:rFonts w:eastAsiaTheme="minorEastAsia"/>
          <w:szCs w:val="21"/>
        </w:rPr>
        <w:t>(5)</w:t>
      </w:r>
      <w:r w:rsidRPr="00BF42B7">
        <w:rPr>
          <w:rFonts w:eastAsiaTheme="minorEastAsia" w:hint="eastAsia"/>
          <w:szCs w:val="21"/>
        </w:rPr>
        <w:t xml:space="preserve">  </w:t>
      </w:r>
      <w:r w:rsidRPr="00BF42B7">
        <w:rPr>
          <w:rFonts w:eastAsiaTheme="minorEastAsia" w:hint="eastAsia"/>
          <w:szCs w:val="21"/>
        </w:rPr>
        <w:t>受灾国</w:t>
      </w:r>
      <w:r w:rsidRPr="00BF42B7">
        <w:rPr>
          <w:rFonts w:eastAsiaTheme="minorEastAsia" w:hint="eastAsia"/>
          <w:szCs w:val="21"/>
          <w:lang w:val="zh-CN"/>
        </w:rPr>
        <w:t>和援助方都必须遵守受灾国国内法的适用规则。受灾国只可依据这类法律施加条件，援助方在整个援助期间都必须遵守这类法律。本条草案没有明确说明这种相互性，因为遵守国内法这一普遍原则本身就体现了这种相互性。现有国际协定支持援助方必须遵守国内法的观点。例如，《东盟协定》第</w:t>
      </w:r>
      <w:r w:rsidRPr="00BF42B7">
        <w:rPr>
          <w:rFonts w:eastAsiaTheme="minorEastAsia"/>
          <w:szCs w:val="21"/>
          <w:lang w:val="zh-CN"/>
        </w:rPr>
        <w:t>13</w:t>
      </w:r>
      <w:r w:rsidRPr="00BF42B7">
        <w:rPr>
          <w:rFonts w:eastAsiaTheme="minorEastAsia" w:hint="eastAsia"/>
          <w:szCs w:val="21"/>
          <w:lang w:val="zh-CN"/>
        </w:rPr>
        <w:t>条第</w:t>
      </w:r>
      <w:r w:rsidRPr="00BF42B7">
        <w:rPr>
          <w:rFonts w:eastAsiaTheme="minorEastAsia"/>
          <w:szCs w:val="21"/>
          <w:lang w:val="zh-CN"/>
        </w:rPr>
        <w:t>2</w:t>
      </w:r>
      <w:r w:rsidRPr="00BF42B7">
        <w:rPr>
          <w:rFonts w:eastAsiaTheme="minorEastAsia" w:hint="eastAsia"/>
          <w:szCs w:val="21"/>
          <w:lang w:val="zh-CN"/>
        </w:rPr>
        <w:t>款规定，“援助行动的成员必须尊重并遵守所有国内法律和规章。”其他一些国际协定也要求援助方遵守国内法</w:t>
      </w:r>
      <w:r w:rsidRPr="00BF42B7">
        <w:rPr>
          <w:rStyle w:val="a5"/>
          <w:rFonts w:eastAsiaTheme="minorEastAsia"/>
          <w:szCs w:val="21"/>
        </w:rPr>
        <w:footnoteReference w:id="220"/>
      </w:r>
      <w:r w:rsidRPr="00BF42B7">
        <w:rPr>
          <w:rFonts w:ascii="宋体" w:eastAsiaTheme="minorEastAsia" w:hAnsi="宋体" w:cs="宋体" w:hint="eastAsia"/>
          <w:szCs w:val="21"/>
        </w:rPr>
        <w:t xml:space="preserve"> </w:t>
      </w:r>
      <w:r w:rsidRPr="00BF42B7">
        <w:rPr>
          <w:rFonts w:eastAsiaTheme="minorEastAsia" w:hint="eastAsia"/>
          <w:szCs w:val="21"/>
          <w:lang w:val="zh-CN"/>
        </w:rPr>
        <w:t>或依据受灾国的法律开展活动。</w:t>
      </w:r>
      <w:r w:rsidRPr="00BF42B7">
        <w:rPr>
          <w:rStyle w:val="a5"/>
          <w:rFonts w:eastAsiaTheme="minorEastAsia"/>
          <w:szCs w:val="21"/>
        </w:rPr>
        <w:footnoteReference w:id="221"/>
      </w:r>
    </w:p>
    <w:p w:rsidR="00765E0D" w:rsidRPr="00BF42B7" w:rsidRDefault="00765E0D" w:rsidP="00765E0D">
      <w:pPr>
        <w:pStyle w:val="SingleTxtGC"/>
        <w:rPr>
          <w:rFonts w:eastAsiaTheme="minorEastAsia"/>
          <w:szCs w:val="21"/>
          <w:lang w:val="zh-CN"/>
        </w:rPr>
      </w:pPr>
      <w:r w:rsidRPr="00BF42B7">
        <w:rPr>
          <w:rFonts w:eastAsiaTheme="minorEastAsia"/>
          <w:szCs w:val="21"/>
        </w:rPr>
        <w:t>(6)</w:t>
      </w:r>
      <w:r w:rsidRPr="00BF42B7">
        <w:rPr>
          <w:rFonts w:eastAsiaTheme="minorEastAsia" w:hint="eastAsia"/>
          <w:szCs w:val="21"/>
        </w:rPr>
        <w:t xml:space="preserve">  </w:t>
      </w:r>
      <w:r w:rsidRPr="00BF42B7">
        <w:rPr>
          <w:rFonts w:eastAsiaTheme="minorEastAsia" w:hint="eastAsia"/>
          <w:szCs w:val="21"/>
        </w:rPr>
        <w:t>援助方遵守国内法的义务意味着它们有义务要求救援行动成员遵守受灾国的国内法律</w:t>
      </w:r>
      <w:r w:rsidRPr="00BF42B7">
        <w:rPr>
          <w:rFonts w:eastAsiaTheme="minorEastAsia" w:hint="eastAsia"/>
          <w:szCs w:val="21"/>
          <w:lang w:val="zh-CN"/>
        </w:rPr>
        <w:t>和规章，</w:t>
      </w:r>
      <w:r w:rsidRPr="00BF42B7">
        <w:rPr>
          <w:rStyle w:val="a5"/>
          <w:rFonts w:eastAsiaTheme="minorEastAsia"/>
          <w:szCs w:val="21"/>
        </w:rPr>
        <w:footnoteReference w:id="222"/>
      </w:r>
      <w:r w:rsidRPr="00BF42B7">
        <w:rPr>
          <w:rFonts w:ascii="宋体" w:eastAsiaTheme="minorEastAsia" w:hAnsi="宋体" w:cs="宋体" w:hint="eastAsia"/>
          <w:szCs w:val="21"/>
        </w:rPr>
        <w:t xml:space="preserve"> </w:t>
      </w:r>
      <w:r w:rsidRPr="00BF42B7">
        <w:rPr>
          <w:rFonts w:eastAsiaTheme="minorEastAsia" w:hint="eastAsia"/>
          <w:szCs w:val="21"/>
          <w:lang w:val="zh-CN"/>
        </w:rPr>
        <w:t>要求救援行动负责人采取一切适当措施确保遵守受灾国的国内法律和规章，</w:t>
      </w:r>
      <w:r w:rsidRPr="00BF42B7">
        <w:rPr>
          <w:rStyle w:val="a5"/>
          <w:rFonts w:eastAsiaTheme="minorEastAsia"/>
          <w:szCs w:val="21"/>
        </w:rPr>
        <w:footnoteReference w:id="223"/>
      </w:r>
      <w:r w:rsidRPr="00BF42B7">
        <w:rPr>
          <w:rFonts w:ascii="宋体" w:eastAsiaTheme="minorEastAsia" w:hAnsi="宋体" w:cs="宋体" w:hint="eastAsia"/>
          <w:szCs w:val="21"/>
        </w:rPr>
        <w:t xml:space="preserve"> </w:t>
      </w:r>
      <w:r w:rsidRPr="00BF42B7">
        <w:rPr>
          <w:rFonts w:eastAsiaTheme="minorEastAsia" w:hint="eastAsia"/>
          <w:szCs w:val="21"/>
          <w:lang w:val="zh-CN"/>
        </w:rPr>
        <w:t>要求援助人员与受灾国当局合作。</w:t>
      </w:r>
      <w:r w:rsidRPr="00BF42B7">
        <w:rPr>
          <w:rStyle w:val="a5"/>
          <w:rFonts w:eastAsiaTheme="minorEastAsia"/>
          <w:szCs w:val="21"/>
        </w:rPr>
        <w:footnoteReference w:id="224"/>
      </w:r>
      <w:r w:rsidRPr="00BF42B7">
        <w:rPr>
          <w:rFonts w:eastAsiaTheme="minorEastAsia"/>
          <w:szCs w:val="21"/>
        </w:rPr>
        <w:t xml:space="preserve"> </w:t>
      </w:r>
      <w:r w:rsidRPr="00BF42B7">
        <w:rPr>
          <w:rFonts w:eastAsiaTheme="minorEastAsia" w:hint="eastAsia"/>
          <w:szCs w:val="21"/>
        </w:rPr>
        <w:t>遵</w:t>
      </w:r>
      <w:r w:rsidRPr="00BF42B7">
        <w:rPr>
          <w:rFonts w:eastAsiaTheme="minorEastAsia" w:hint="eastAsia"/>
          <w:szCs w:val="21"/>
          <w:lang w:val="zh-CN"/>
        </w:rPr>
        <w:t>守受灾国国内法并与受灾国当局合作的义务与受灾国主权至上的原则和合作原则是一致的。</w:t>
      </w:r>
    </w:p>
    <w:p w:rsidR="00765E0D" w:rsidRPr="00BF42B7" w:rsidRDefault="00765E0D" w:rsidP="00765E0D">
      <w:pPr>
        <w:pStyle w:val="SingleTxtGC"/>
        <w:rPr>
          <w:rFonts w:eastAsiaTheme="minorEastAsia"/>
          <w:szCs w:val="21"/>
          <w:lang w:val="zh-CN"/>
        </w:rPr>
      </w:pPr>
      <w:r w:rsidRPr="00BF42B7">
        <w:rPr>
          <w:rFonts w:eastAsiaTheme="minorEastAsia"/>
          <w:szCs w:val="21"/>
        </w:rPr>
        <w:t>(7)</w:t>
      </w:r>
      <w:r w:rsidRPr="00BF42B7">
        <w:rPr>
          <w:rFonts w:eastAsiaTheme="minorEastAsia" w:hint="eastAsia"/>
          <w:szCs w:val="21"/>
        </w:rPr>
        <w:t xml:space="preserve">  </w:t>
      </w:r>
      <w:r w:rsidRPr="00BF42B7">
        <w:rPr>
          <w:rFonts w:eastAsiaTheme="minorEastAsia" w:hint="eastAsia"/>
          <w:szCs w:val="21"/>
        </w:rPr>
        <w:t>规定</w:t>
      </w:r>
      <w:r w:rsidRPr="00BF42B7">
        <w:rPr>
          <w:rFonts w:eastAsiaTheme="minorEastAsia" w:hint="eastAsia"/>
          <w:szCs w:val="21"/>
          <w:lang w:val="zh-CN"/>
        </w:rPr>
        <w:t>援助条件的权利承认受灾国有权拒绝不想要或不需要的援助，并有权决定援助内容和时间。本条草案第三句解释了受灾国设定条件需满足的要求，即条件不仅必须“考虑到”查明的受灾人员的需要，而且还必须考虑到援助的质量。不过，“考虑到”一词并不表示国家对提供外部援助只能规定与查明的需要和援助质量有关的条件。</w:t>
      </w:r>
    </w:p>
    <w:p w:rsidR="00765E0D" w:rsidRPr="00BF42B7" w:rsidRDefault="00765E0D" w:rsidP="00765E0D">
      <w:pPr>
        <w:pStyle w:val="SingleTxtGC"/>
        <w:rPr>
          <w:rFonts w:eastAsiaTheme="minorEastAsia"/>
          <w:szCs w:val="21"/>
          <w:lang w:val="zh-CN"/>
        </w:rPr>
      </w:pPr>
      <w:r w:rsidRPr="00BF42B7">
        <w:rPr>
          <w:rFonts w:eastAsiaTheme="minorEastAsia"/>
          <w:szCs w:val="21"/>
        </w:rPr>
        <w:t>(8)</w:t>
      </w:r>
      <w:r w:rsidRPr="00BF42B7">
        <w:rPr>
          <w:rFonts w:eastAsiaTheme="minorEastAsia" w:hint="eastAsia"/>
          <w:szCs w:val="21"/>
        </w:rPr>
        <w:t xml:space="preserve">  </w:t>
      </w:r>
      <w:r w:rsidRPr="00BF42B7">
        <w:rPr>
          <w:rFonts w:eastAsiaTheme="minorEastAsia" w:hint="eastAsia"/>
          <w:szCs w:val="21"/>
        </w:rPr>
        <w:t>委员会</w:t>
      </w:r>
      <w:r w:rsidRPr="00BF42B7">
        <w:rPr>
          <w:rFonts w:eastAsiaTheme="minorEastAsia" w:hint="eastAsia"/>
          <w:szCs w:val="21"/>
          <w:lang w:val="zh-CN"/>
        </w:rPr>
        <w:t>使用“查明的”一词，以显示设定条件时必须有明显的需要，而且随着实地情况的变化以及更多信息的出现，需要也可能随之变化。这意味着不应任意施加条件，而应当以保护受灾人员为目标拟定条件。“查明的”表示必须存在某些了解需要的程序，可采取需求评估的形式，而且最好与援助方磋商进行。不过，查明需要的程序不是事先设定的，而是由受灾国选择其认为最合适的程序。这不是一项硬性规定，须视灾害的具体情况和受灾国的能力而定。无论如何，查明需要不应妨碍或耽误迅速和有效的援助。第三句的规定旨在如第</w:t>
      </w:r>
      <w:r w:rsidRPr="00BF42B7">
        <w:rPr>
          <w:rFonts w:eastAsiaTheme="minorEastAsia"/>
          <w:szCs w:val="21"/>
          <w:lang w:val="zh-CN"/>
        </w:rPr>
        <w:t>2</w:t>
      </w:r>
      <w:r w:rsidRPr="00BF42B7">
        <w:rPr>
          <w:rFonts w:eastAsiaTheme="minorEastAsia" w:hint="eastAsia"/>
          <w:szCs w:val="21"/>
          <w:lang w:val="zh-CN"/>
        </w:rPr>
        <w:t>条草案所述，在发生灾害时“满足有关人员的基本需要”，应视为对受灾人员权利和需要的进一步保护。这两条草案中提到的“需要”范围广泛，足以涵盖妇女、儿童、老人和残疾人以及脆弱或弱势人员和群体的特殊需要。</w:t>
      </w:r>
    </w:p>
    <w:p w:rsidR="00765E0D" w:rsidRPr="00BF42B7" w:rsidRDefault="00765E0D" w:rsidP="00765E0D">
      <w:pPr>
        <w:pStyle w:val="SingleTxtGC"/>
        <w:rPr>
          <w:rFonts w:eastAsiaTheme="minorEastAsia"/>
          <w:szCs w:val="21"/>
          <w:lang w:val="zh-CN"/>
        </w:rPr>
      </w:pPr>
      <w:r w:rsidRPr="00BF42B7">
        <w:rPr>
          <w:rFonts w:eastAsiaTheme="minorEastAsia"/>
          <w:szCs w:val="21"/>
        </w:rPr>
        <w:t>(9)</w:t>
      </w:r>
      <w:r w:rsidRPr="00BF42B7">
        <w:rPr>
          <w:rFonts w:eastAsiaTheme="minorEastAsia" w:hint="eastAsia"/>
          <w:szCs w:val="21"/>
        </w:rPr>
        <w:t xml:space="preserve">  </w:t>
      </w:r>
      <w:r w:rsidRPr="00BF42B7">
        <w:rPr>
          <w:rFonts w:eastAsiaTheme="minorEastAsia" w:hint="eastAsia"/>
          <w:szCs w:val="21"/>
        </w:rPr>
        <w:t>使用“质量”</w:t>
      </w:r>
      <w:r w:rsidRPr="00BF42B7">
        <w:rPr>
          <w:rFonts w:eastAsiaTheme="minorEastAsia" w:hint="eastAsia"/>
          <w:szCs w:val="21"/>
          <w:lang w:val="zh-CN"/>
        </w:rPr>
        <w:t>一词是为了确保受灾国有权拒绝不必要或可能有害的援助。条件可包括：出于安全、安保、营养和文化适当性等因素而施加的限制。</w:t>
      </w:r>
    </w:p>
    <w:p w:rsidR="00765E0D" w:rsidRPr="00BF42B7" w:rsidRDefault="00765E0D" w:rsidP="00765E0D">
      <w:pPr>
        <w:pStyle w:val="SingleTxtGC"/>
        <w:rPr>
          <w:rFonts w:eastAsiaTheme="minorEastAsia"/>
          <w:szCs w:val="21"/>
          <w:lang w:val="zh-CN"/>
        </w:rPr>
      </w:pPr>
      <w:r w:rsidRPr="00BF42B7">
        <w:rPr>
          <w:rFonts w:eastAsiaTheme="minorEastAsia"/>
          <w:szCs w:val="21"/>
        </w:rPr>
        <w:t xml:space="preserve">(10)  </w:t>
      </w:r>
      <w:r w:rsidRPr="00BF42B7">
        <w:rPr>
          <w:rFonts w:eastAsiaTheme="minorEastAsia" w:hint="eastAsia"/>
          <w:szCs w:val="21"/>
        </w:rPr>
        <w:t>第</w:t>
      </w:r>
      <w:r w:rsidRPr="00BF42B7">
        <w:rPr>
          <w:rFonts w:eastAsiaTheme="minorEastAsia" w:hint="eastAsia"/>
          <w:szCs w:val="21"/>
        </w:rPr>
        <w:t>14</w:t>
      </w:r>
      <w:r w:rsidRPr="00BF42B7">
        <w:rPr>
          <w:rFonts w:eastAsiaTheme="minorEastAsia" w:hint="eastAsia"/>
          <w:szCs w:val="21"/>
        </w:rPr>
        <w:t>条草案提及“寻求的援助的范围和种类”。之前的一些国际协定也载有类似规定</w:t>
      </w:r>
      <w:r w:rsidRPr="00BF42B7">
        <w:rPr>
          <w:rFonts w:eastAsiaTheme="minorEastAsia" w:hint="eastAsia"/>
          <w:szCs w:val="21"/>
          <w:lang w:val="zh-CN"/>
        </w:rPr>
        <w:t>。</w:t>
      </w:r>
      <w:r w:rsidRPr="00BF42B7">
        <w:rPr>
          <w:rStyle w:val="a5"/>
          <w:rFonts w:eastAsiaTheme="minorEastAsia"/>
          <w:szCs w:val="21"/>
        </w:rPr>
        <w:footnoteReference w:id="225"/>
      </w:r>
      <w:r w:rsidRPr="00BF42B7">
        <w:rPr>
          <w:rFonts w:eastAsiaTheme="minorEastAsia"/>
          <w:szCs w:val="21"/>
          <w:lang w:val="zh-CN"/>
        </w:rPr>
        <w:t xml:space="preserve"> </w:t>
      </w:r>
      <w:r w:rsidRPr="00BF42B7">
        <w:rPr>
          <w:rFonts w:eastAsiaTheme="minorEastAsia" w:hint="eastAsia"/>
          <w:szCs w:val="21"/>
          <w:lang w:val="zh-CN"/>
        </w:rPr>
        <w:t>本条草案使用“应指明”等字，规定受灾国在规定援助条件时有责任明确说明寻求的援助种类和范围。与此同时，这意味着援助的范围和种类一旦确定，便将告知可能提供援助的援助方，以方便磋商。这将提高援助进程的效率，并确保及时向困难人群提供适当的援助。</w:t>
      </w:r>
    </w:p>
    <w:p w:rsidR="00765E0D" w:rsidRPr="00BF42B7" w:rsidRDefault="00765E0D" w:rsidP="00E83B81">
      <w:pPr>
        <w:pStyle w:val="SingleTxtGC"/>
        <w:rPr>
          <w:rFonts w:eastAsiaTheme="minorEastAsia"/>
          <w:szCs w:val="21"/>
          <w:lang w:val="zh-CN"/>
        </w:rPr>
      </w:pPr>
      <w:r w:rsidRPr="00BF42B7">
        <w:rPr>
          <w:rFonts w:eastAsiaTheme="minorEastAsia"/>
          <w:szCs w:val="21"/>
        </w:rPr>
        <w:t xml:space="preserve">(11)  </w:t>
      </w:r>
      <w:r w:rsidRPr="00BF42B7">
        <w:rPr>
          <w:rFonts w:eastAsiaTheme="minorEastAsia" w:hint="eastAsia"/>
          <w:szCs w:val="21"/>
        </w:rPr>
        <w:t>关于用</w:t>
      </w:r>
      <w:r w:rsidRPr="00BF42B7">
        <w:rPr>
          <w:rFonts w:eastAsiaTheme="minorEastAsia" w:hint="eastAsia"/>
          <w:szCs w:val="21"/>
          <w:lang w:val="zh-CN"/>
        </w:rPr>
        <w:t>什么动词来修饰“条件”一词，委员会考虑了多种可能。委员会决定使用两个不同的词</w:t>
      </w:r>
      <w:r w:rsidR="00E83B81" w:rsidRPr="00E53510">
        <w:rPr>
          <w:rFonts w:hint="eastAsia"/>
          <w:spacing w:val="-50"/>
          <w:szCs w:val="21"/>
        </w:rPr>
        <w:t>―</w:t>
      </w:r>
      <w:r w:rsidR="00E83B81" w:rsidRPr="00E53510">
        <w:rPr>
          <w:rFonts w:hint="eastAsia"/>
          <w:szCs w:val="21"/>
        </w:rPr>
        <w:t>―</w:t>
      </w:r>
      <w:r w:rsidRPr="00BF42B7">
        <w:rPr>
          <w:rFonts w:eastAsiaTheme="minorEastAsia" w:hint="eastAsia"/>
          <w:szCs w:val="21"/>
          <w:lang w:val="zh-CN"/>
        </w:rPr>
        <w:t>“规定”和“拟定”，这是为了避免用词重复，并不表示不同的含义。</w:t>
      </w:r>
    </w:p>
    <w:p w:rsidR="00765E0D" w:rsidRPr="00BF42B7" w:rsidRDefault="00765E0D" w:rsidP="00E552D3">
      <w:pPr>
        <w:pStyle w:val="H23GC"/>
        <w:ind w:left="1554"/>
        <w:jc w:val="left"/>
        <w:rPr>
          <w:lang w:val="zh-CN"/>
        </w:rPr>
      </w:pPr>
      <w:r w:rsidRPr="00BF42B7">
        <w:rPr>
          <w:rFonts w:hint="eastAsia"/>
          <w:lang w:val="zh-CN"/>
        </w:rPr>
        <w:tab/>
      </w:r>
      <w:r w:rsidRPr="00BF42B7">
        <w:rPr>
          <w:rFonts w:hint="eastAsia"/>
          <w:lang w:val="zh-CN"/>
        </w:rPr>
        <w:tab/>
      </w:r>
      <w:r w:rsidRPr="00BF42B7">
        <w:rPr>
          <w:lang w:val="zh-CN"/>
        </w:rPr>
        <w:t>第</w:t>
      </w:r>
      <w:r w:rsidRPr="00BF42B7">
        <w:rPr>
          <w:lang w:val="zh-CN"/>
        </w:rPr>
        <w:t>15</w:t>
      </w:r>
      <w:r w:rsidRPr="00BF42B7">
        <w:rPr>
          <w:lang w:val="zh-CN"/>
        </w:rPr>
        <w:t>条</w:t>
      </w:r>
      <w:r w:rsidRPr="00BF42B7">
        <w:rPr>
          <w:rFonts w:hint="eastAsia"/>
          <w:lang w:val="zh-CN"/>
        </w:rPr>
        <w:br/>
      </w:r>
      <w:r w:rsidRPr="00BF42B7">
        <w:rPr>
          <w:lang w:val="zh-CN"/>
        </w:rPr>
        <w:t>便利外部援助</w:t>
      </w:r>
    </w:p>
    <w:p w:rsidR="00765E0D" w:rsidRPr="00BF42B7" w:rsidRDefault="00765E0D" w:rsidP="00E552D3">
      <w:pPr>
        <w:pStyle w:val="SingleTxtGC"/>
        <w:ind w:left="1554"/>
        <w:rPr>
          <w:rFonts w:eastAsiaTheme="minorEastAsia"/>
          <w:szCs w:val="21"/>
        </w:rPr>
      </w:pPr>
      <w:r w:rsidRPr="00BF42B7">
        <w:rPr>
          <w:rFonts w:eastAsiaTheme="minorEastAsia"/>
          <w:szCs w:val="21"/>
          <w:lang w:val="zh-CN"/>
        </w:rPr>
        <w:t>1.</w:t>
      </w:r>
      <w:r w:rsidRPr="00BF42B7">
        <w:rPr>
          <w:rFonts w:eastAsiaTheme="minorEastAsia" w:hint="eastAsia"/>
          <w:szCs w:val="21"/>
        </w:rPr>
        <w:t xml:space="preserve">  </w:t>
      </w:r>
      <w:r w:rsidRPr="00BF42B7">
        <w:rPr>
          <w:rFonts w:eastAsiaTheme="minorEastAsia"/>
          <w:szCs w:val="21"/>
          <w:lang w:val="zh-CN"/>
        </w:rPr>
        <w:t>受灾国应在其国内法范围内采取必要措施，便利迅速及有效地提供外部援助，尤其是：</w:t>
      </w:r>
    </w:p>
    <w:p w:rsidR="00765E0D" w:rsidRPr="00BF42B7" w:rsidRDefault="00765E0D" w:rsidP="00E552D3">
      <w:pPr>
        <w:pStyle w:val="SingleTxtGC"/>
        <w:numPr>
          <w:ilvl w:val="0"/>
          <w:numId w:val="15"/>
        </w:numPr>
        <w:tabs>
          <w:tab w:val="clear" w:pos="431"/>
          <w:tab w:val="clear" w:pos="1134"/>
          <w:tab w:val="clear" w:pos="1565"/>
          <w:tab w:val="clear" w:pos="1996"/>
          <w:tab w:val="clear" w:pos="2427"/>
          <w:tab w:val="left" w:pos="1985"/>
        </w:tabs>
        <w:ind w:left="1554" w:firstLine="426"/>
        <w:rPr>
          <w:rFonts w:eastAsiaTheme="minorEastAsia"/>
          <w:szCs w:val="21"/>
        </w:rPr>
      </w:pPr>
      <w:r w:rsidRPr="00BF42B7">
        <w:rPr>
          <w:rFonts w:eastAsiaTheme="minorEastAsia"/>
          <w:szCs w:val="21"/>
          <w:lang w:val="zh-CN"/>
        </w:rPr>
        <w:t>对于救灾人员，在诸如特权和豁免、签证和入境要求、工作许可证、通行自由等方面提供便利</w:t>
      </w:r>
      <w:r w:rsidRPr="00BF42B7">
        <w:rPr>
          <w:rFonts w:eastAsiaTheme="minorEastAsia" w:hint="eastAsia"/>
          <w:szCs w:val="21"/>
          <w:lang w:val="zh-CN"/>
        </w:rPr>
        <w:t>；</w:t>
      </w:r>
    </w:p>
    <w:p w:rsidR="00765E0D" w:rsidRPr="00BF42B7" w:rsidRDefault="00765E0D" w:rsidP="00E552D3">
      <w:pPr>
        <w:pStyle w:val="SingleTxtGC"/>
        <w:numPr>
          <w:ilvl w:val="0"/>
          <w:numId w:val="15"/>
        </w:numPr>
        <w:tabs>
          <w:tab w:val="clear" w:pos="431"/>
          <w:tab w:val="clear" w:pos="1134"/>
          <w:tab w:val="clear" w:pos="1565"/>
          <w:tab w:val="clear" w:pos="1996"/>
          <w:tab w:val="clear" w:pos="2427"/>
          <w:tab w:val="left" w:pos="1985"/>
        </w:tabs>
        <w:ind w:left="1554" w:firstLine="426"/>
        <w:rPr>
          <w:rFonts w:eastAsiaTheme="minorEastAsia"/>
          <w:szCs w:val="21"/>
        </w:rPr>
      </w:pPr>
      <w:r w:rsidRPr="00BF42B7">
        <w:rPr>
          <w:rFonts w:eastAsiaTheme="minorEastAsia"/>
          <w:szCs w:val="21"/>
          <w:lang w:val="zh-CN"/>
        </w:rPr>
        <w:t>对于设备和物资，在诸如海关要求和关税、征税、运输以及处置等方面提供便利。</w:t>
      </w:r>
    </w:p>
    <w:p w:rsidR="00765E0D" w:rsidRPr="00BF42B7" w:rsidRDefault="00765E0D" w:rsidP="00E552D3">
      <w:pPr>
        <w:pStyle w:val="SingleTxtGC"/>
        <w:ind w:left="1554"/>
        <w:rPr>
          <w:rFonts w:eastAsiaTheme="minorEastAsia"/>
          <w:szCs w:val="21"/>
          <w:lang w:val="zh-CN"/>
        </w:rPr>
      </w:pPr>
      <w:r w:rsidRPr="00BF42B7">
        <w:rPr>
          <w:rFonts w:eastAsiaTheme="minorEastAsia"/>
          <w:szCs w:val="21"/>
          <w:lang w:val="zh-CN"/>
        </w:rPr>
        <w:t>2.</w:t>
      </w:r>
      <w:r w:rsidRPr="00BF42B7">
        <w:rPr>
          <w:rFonts w:eastAsiaTheme="minorEastAsia" w:hint="eastAsia"/>
          <w:szCs w:val="21"/>
        </w:rPr>
        <w:t xml:space="preserve">  </w:t>
      </w:r>
      <w:r w:rsidRPr="00BF42B7">
        <w:rPr>
          <w:rFonts w:eastAsiaTheme="minorEastAsia"/>
          <w:szCs w:val="21"/>
          <w:lang w:val="zh-CN"/>
        </w:rPr>
        <w:t>受灾国应确保其有关法律和规章容易查阅，从而便</w:t>
      </w:r>
      <w:r w:rsidRPr="00BF42B7">
        <w:rPr>
          <w:rFonts w:eastAsiaTheme="minorEastAsia" w:hint="eastAsia"/>
          <w:szCs w:val="21"/>
          <w:lang w:val="zh-CN"/>
        </w:rPr>
        <w:t>于</w:t>
      </w:r>
      <w:r w:rsidRPr="00BF42B7">
        <w:rPr>
          <w:rFonts w:eastAsiaTheme="minorEastAsia"/>
          <w:szCs w:val="21"/>
          <w:lang w:val="zh-CN"/>
        </w:rPr>
        <w:t>遵守国内法。</w:t>
      </w:r>
    </w:p>
    <w:p w:rsidR="00765E0D" w:rsidRPr="00BF42B7" w:rsidRDefault="00765E0D" w:rsidP="00765E0D">
      <w:pPr>
        <w:pStyle w:val="H23GC"/>
        <w:jc w:val="left"/>
        <w:rPr>
          <w:lang w:val="zh-CN"/>
        </w:rPr>
      </w:pPr>
      <w:bookmarkStart w:id="51" w:name="_Toc398107269"/>
      <w:r w:rsidRPr="00BF42B7">
        <w:rPr>
          <w:rFonts w:eastAsiaTheme="minorEastAsia"/>
          <w:szCs w:val="21"/>
        </w:rPr>
        <w:tab/>
      </w:r>
      <w:r w:rsidRPr="00BF42B7">
        <w:rPr>
          <w:rFonts w:eastAsiaTheme="minorEastAsia"/>
          <w:szCs w:val="21"/>
        </w:rPr>
        <w:tab/>
      </w:r>
      <w:bookmarkEnd w:id="51"/>
      <w:r w:rsidRPr="00BF42B7">
        <w:rPr>
          <w:rFonts w:hint="eastAsia"/>
          <w:lang w:val="zh-CN"/>
        </w:rPr>
        <w:t>评注</w:t>
      </w:r>
    </w:p>
    <w:p w:rsidR="00765E0D" w:rsidRPr="00BF42B7" w:rsidRDefault="00765E0D" w:rsidP="00765E0D">
      <w:pPr>
        <w:pStyle w:val="SingleTxtGC"/>
        <w:rPr>
          <w:rFonts w:eastAsiaTheme="minorEastAsia"/>
          <w:szCs w:val="21"/>
          <w:lang w:val="zh-CN"/>
        </w:rPr>
      </w:pPr>
      <w:r w:rsidRPr="00BF42B7">
        <w:rPr>
          <w:rFonts w:eastAsiaTheme="minorEastAsia"/>
          <w:szCs w:val="21"/>
        </w:rPr>
        <w:t>(1)</w:t>
      </w:r>
      <w:r w:rsidRPr="00BF42B7">
        <w:rPr>
          <w:rFonts w:eastAsiaTheme="minorEastAsia" w:hint="eastAsia"/>
          <w:szCs w:val="21"/>
        </w:rPr>
        <w:t xml:space="preserve">  </w:t>
      </w:r>
      <w:r w:rsidRPr="00BF42B7">
        <w:rPr>
          <w:rFonts w:eastAsiaTheme="minorEastAsia" w:hint="eastAsia"/>
          <w:szCs w:val="21"/>
        </w:rPr>
        <w:t>第</w:t>
      </w:r>
      <w:r w:rsidRPr="00BF42B7">
        <w:rPr>
          <w:rFonts w:eastAsiaTheme="minorEastAsia" w:hint="eastAsia"/>
          <w:szCs w:val="21"/>
        </w:rPr>
        <w:t>15</w:t>
      </w:r>
      <w:r w:rsidRPr="00BF42B7">
        <w:rPr>
          <w:rFonts w:eastAsiaTheme="minorEastAsia" w:hint="eastAsia"/>
          <w:szCs w:val="21"/>
        </w:rPr>
        <w:t>条草案</w:t>
      </w:r>
      <w:r w:rsidRPr="00BF42B7">
        <w:rPr>
          <w:rFonts w:eastAsiaTheme="minorEastAsia" w:hint="eastAsia"/>
          <w:szCs w:val="21"/>
          <w:lang w:val="zh-CN"/>
        </w:rPr>
        <w:t>涉及便利外部援助问题。这包括确保国内法有利于提供迅速和有效的援助。为此，该条第</w:t>
      </w:r>
      <w:r w:rsidRPr="00BF42B7">
        <w:rPr>
          <w:rFonts w:eastAsiaTheme="minorEastAsia" w:hint="eastAsia"/>
          <w:szCs w:val="21"/>
          <w:lang w:val="zh-CN"/>
        </w:rPr>
        <w:t>2</w:t>
      </w:r>
      <w:r w:rsidRPr="00BF42B7">
        <w:rPr>
          <w:rFonts w:eastAsiaTheme="minorEastAsia" w:hint="eastAsia"/>
          <w:szCs w:val="21"/>
          <w:lang w:val="zh-CN"/>
        </w:rPr>
        <w:t>款还要求受灾国确保援助方能够容易查阅到其有关法律和规章。</w:t>
      </w:r>
    </w:p>
    <w:p w:rsidR="00765E0D" w:rsidRPr="00BF42B7" w:rsidRDefault="00765E0D" w:rsidP="00765E0D">
      <w:pPr>
        <w:pStyle w:val="SingleTxtGC"/>
        <w:rPr>
          <w:rFonts w:eastAsiaTheme="minorEastAsia"/>
          <w:szCs w:val="21"/>
        </w:rPr>
      </w:pPr>
      <w:r w:rsidRPr="00BF42B7">
        <w:rPr>
          <w:rFonts w:eastAsiaTheme="minorEastAsia"/>
          <w:szCs w:val="21"/>
        </w:rPr>
        <w:t>(2)</w:t>
      </w:r>
      <w:r w:rsidRPr="00BF42B7">
        <w:rPr>
          <w:rFonts w:eastAsiaTheme="minorEastAsia" w:hint="eastAsia"/>
          <w:szCs w:val="21"/>
        </w:rPr>
        <w:t xml:space="preserve">  </w:t>
      </w:r>
      <w:r w:rsidRPr="00BF42B7">
        <w:rPr>
          <w:rFonts w:eastAsiaTheme="minorEastAsia" w:hint="eastAsia"/>
          <w:szCs w:val="21"/>
        </w:rPr>
        <w:t>本条草案规定，受灾国“应……采取必要措施”，便利迅速及有效地提供援助。“在其国内法</w:t>
      </w:r>
      <w:r w:rsidRPr="00BF42B7">
        <w:rPr>
          <w:rFonts w:eastAsiaTheme="minorEastAsia" w:hint="eastAsia"/>
          <w:szCs w:val="21"/>
          <w:lang w:val="zh-CN"/>
        </w:rPr>
        <w:t>范围内采取必要措施”可包括立法、执行或行政等措施。措施还可以包括根据紧急状态法采取行动，以及在允许的范围内酌情临时调整或放弃某些国内法律或规章的适用，也包括为便利外部援助而采取的不会受国内法禁止的实际措施。委员会如此拟订本条草案，是为了鼓励各国允许在发生灾害时暂不适用某些可能不必要地妨碍援助的国内法律，并在国内法中添加适当便利条款，以免在灾后需要这类紧急条款的关键时期造成任何法律上的不确定性。即使过了需要援助的时候，仍可能需要某些便利化措施</w:t>
      </w:r>
      <w:r w:rsidRPr="00BF42B7">
        <w:rPr>
          <w:rFonts w:ascii="宋体" w:eastAsiaTheme="minorEastAsia" w:hAnsi="宋体" w:hint="eastAsia"/>
          <w:szCs w:val="21"/>
        </w:rPr>
        <w:t>，</w:t>
      </w:r>
      <w:r w:rsidRPr="00BF42B7">
        <w:rPr>
          <w:rFonts w:eastAsiaTheme="minorEastAsia" w:hint="eastAsia"/>
          <w:szCs w:val="21"/>
          <w:lang w:val="zh-CN"/>
        </w:rPr>
        <w:t>以保证救灾人员、设备和未用物资在外部援助终止后以高效率而适当的方式退出、移交、撤离和</w:t>
      </w:r>
      <w:r w:rsidRPr="00BF42B7">
        <w:rPr>
          <w:rFonts w:eastAsiaTheme="minorEastAsia" w:hint="eastAsia"/>
          <w:szCs w:val="21"/>
          <w:lang w:val="zh-CN"/>
        </w:rPr>
        <w:t>(</w:t>
      </w:r>
      <w:r w:rsidRPr="00BF42B7">
        <w:rPr>
          <w:rFonts w:eastAsiaTheme="minorEastAsia" w:hint="eastAsia"/>
          <w:szCs w:val="21"/>
          <w:lang w:val="zh-CN"/>
        </w:rPr>
        <w:t>或</w:t>
      </w:r>
      <w:r w:rsidRPr="00BF42B7">
        <w:rPr>
          <w:rFonts w:eastAsiaTheme="minorEastAsia" w:hint="eastAsia"/>
          <w:szCs w:val="21"/>
          <w:lang w:val="zh-CN"/>
        </w:rPr>
        <w:t>)</w:t>
      </w:r>
      <w:r w:rsidRPr="00BF42B7">
        <w:rPr>
          <w:rFonts w:eastAsiaTheme="minorEastAsia" w:hint="eastAsia"/>
          <w:szCs w:val="21"/>
          <w:lang w:val="zh-CN"/>
        </w:rPr>
        <w:t>再出口。第</w:t>
      </w:r>
      <w:r w:rsidRPr="00BF42B7">
        <w:rPr>
          <w:rFonts w:eastAsiaTheme="minorEastAsia" w:hint="eastAsia"/>
          <w:szCs w:val="21"/>
          <w:lang w:val="zh-CN"/>
        </w:rPr>
        <w:t>1</w:t>
      </w:r>
      <w:r w:rsidRPr="00BF42B7">
        <w:rPr>
          <w:rFonts w:eastAsiaTheme="minorEastAsia" w:hint="eastAsia"/>
          <w:szCs w:val="21"/>
          <w:lang w:val="zh-CN"/>
        </w:rPr>
        <w:t>款</w:t>
      </w:r>
      <w:r w:rsidRPr="00BF42B7">
        <w:rPr>
          <w:rFonts w:eastAsiaTheme="minorEastAsia"/>
          <w:szCs w:val="21"/>
          <w:lang w:val="zh-CN"/>
        </w:rPr>
        <w:t>(b)</w:t>
      </w:r>
      <w:r w:rsidRPr="00BF42B7">
        <w:rPr>
          <w:rFonts w:eastAsiaTheme="minorEastAsia" w:hint="eastAsia"/>
          <w:szCs w:val="21"/>
          <w:lang w:val="zh-CN"/>
        </w:rPr>
        <w:t>项使用“</w:t>
      </w:r>
      <w:r w:rsidRPr="00BF42B7">
        <w:rPr>
          <w:rFonts w:eastAsiaTheme="minorEastAsia"/>
          <w:szCs w:val="21"/>
          <w:lang w:val="zh-CN"/>
        </w:rPr>
        <w:t>处置</w:t>
      </w:r>
      <w:r w:rsidRPr="00BF42B7">
        <w:rPr>
          <w:rFonts w:eastAsiaTheme="minorEastAsia" w:hint="eastAsia"/>
          <w:szCs w:val="21"/>
          <w:lang w:val="zh-CN"/>
        </w:rPr>
        <w:t>”一词便是为了强调了这一点。虽然第</w:t>
      </w:r>
      <w:r w:rsidRPr="00BF42B7">
        <w:rPr>
          <w:rFonts w:eastAsiaTheme="minorEastAsia" w:hint="eastAsia"/>
          <w:szCs w:val="21"/>
          <w:lang w:val="zh-CN"/>
        </w:rPr>
        <w:t>15</w:t>
      </w:r>
      <w:r w:rsidRPr="00BF42B7">
        <w:rPr>
          <w:rFonts w:eastAsiaTheme="minorEastAsia" w:hint="eastAsia"/>
          <w:szCs w:val="21"/>
          <w:lang w:val="zh-CN"/>
        </w:rPr>
        <w:t>条草案的重点在受灾国上，但是，提供便利造福受灾人员意味着，过境国也可能为确保切实提供外部援助而在其国内法范围内采取必要措施。</w:t>
      </w:r>
    </w:p>
    <w:p w:rsidR="00765E0D" w:rsidRPr="00BF42B7" w:rsidRDefault="00765E0D" w:rsidP="00765E0D">
      <w:pPr>
        <w:pStyle w:val="SingleTxtGC"/>
        <w:rPr>
          <w:rFonts w:eastAsiaTheme="minorEastAsia"/>
          <w:szCs w:val="21"/>
        </w:rPr>
      </w:pPr>
      <w:r w:rsidRPr="00BF42B7">
        <w:rPr>
          <w:rFonts w:eastAsiaTheme="minorEastAsia"/>
          <w:szCs w:val="21"/>
        </w:rPr>
        <w:t>(3)</w:t>
      </w:r>
      <w:r w:rsidRPr="00BF42B7">
        <w:rPr>
          <w:rFonts w:eastAsiaTheme="minorEastAsia" w:hint="eastAsia"/>
          <w:szCs w:val="21"/>
        </w:rPr>
        <w:t xml:space="preserve">  </w:t>
      </w:r>
      <w:r w:rsidRPr="00BF42B7">
        <w:rPr>
          <w:rFonts w:eastAsiaTheme="minorEastAsia" w:hint="eastAsia"/>
          <w:szCs w:val="21"/>
        </w:rPr>
        <w:t>本条草案</w:t>
      </w:r>
      <w:r w:rsidRPr="00BF42B7">
        <w:rPr>
          <w:rFonts w:eastAsiaTheme="minorEastAsia" w:hint="eastAsia"/>
          <w:szCs w:val="21"/>
          <w:lang w:val="zh-CN"/>
        </w:rPr>
        <w:t>列出了国内法应允许采取适当措施的援助领域。列举前使用的“尤其是”一词表明没有列出所有情况，而是说明了国内法可能需要为迅速及有效的援助提供便利的不同领域。有关此类措施的指导说明见相关文书，如</w:t>
      </w:r>
      <w:r w:rsidRPr="00BF42B7">
        <w:rPr>
          <w:rFonts w:eastAsiaTheme="minorEastAsia"/>
          <w:szCs w:val="21"/>
          <w:lang w:val="zh-CN"/>
        </w:rPr>
        <w:t>2007</w:t>
      </w:r>
      <w:r w:rsidRPr="00BF42B7">
        <w:rPr>
          <w:rFonts w:eastAsiaTheme="minorEastAsia" w:hint="eastAsia"/>
          <w:szCs w:val="21"/>
          <w:lang w:val="zh-CN"/>
        </w:rPr>
        <w:t>年《红十字与红新月联会导则》及相关的</w:t>
      </w:r>
      <w:r w:rsidRPr="00BF42B7">
        <w:rPr>
          <w:rFonts w:eastAsiaTheme="minorEastAsia"/>
          <w:szCs w:val="21"/>
          <w:lang w:val="zh-CN"/>
        </w:rPr>
        <w:t>2013</w:t>
      </w:r>
      <w:r w:rsidRPr="00BF42B7">
        <w:rPr>
          <w:rFonts w:eastAsiaTheme="minorEastAsia" w:hint="eastAsia"/>
          <w:szCs w:val="21"/>
          <w:lang w:val="zh-CN"/>
        </w:rPr>
        <w:t>年《关于国际救灾和灾后初期恢复重建援助便利化和规范化的示范法》。</w:t>
      </w:r>
      <w:r w:rsidRPr="00BF42B7">
        <w:rPr>
          <w:rStyle w:val="a5"/>
          <w:rFonts w:eastAsiaTheme="minorEastAsia"/>
          <w:szCs w:val="21"/>
        </w:rPr>
        <w:footnoteReference w:id="226"/>
      </w:r>
    </w:p>
    <w:p w:rsidR="00765E0D" w:rsidRPr="00BF42B7" w:rsidRDefault="00765E0D" w:rsidP="00765E0D">
      <w:pPr>
        <w:pStyle w:val="SingleTxtGC"/>
        <w:rPr>
          <w:rFonts w:eastAsiaTheme="minorEastAsia"/>
          <w:szCs w:val="21"/>
          <w:lang w:val="zh-CN"/>
        </w:rPr>
      </w:pPr>
      <w:r w:rsidRPr="00BF42B7">
        <w:rPr>
          <w:rFonts w:eastAsiaTheme="minorEastAsia"/>
          <w:szCs w:val="21"/>
        </w:rPr>
        <w:t>(4)</w:t>
      </w:r>
      <w:r w:rsidRPr="00BF42B7">
        <w:rPr>
          <w:rFonts w:eastAsiaTheme="minorEastAsia" w:hint="eastAsia"/>
          <w:szCs w:val="21"/>
        </w:rPr>
        <w:t xml:space="preserve">  </w:t>
      </w:r>
      <w:r w:rsidRPr="00BF42B7">
        <w:rPr>
          <w:rFonts w:eastAsiaTheme="minorEastAsia" w:hint="eastAsia"/>
          <w:szCs w:val="21"/>
        </w:rPr>
        <w:t>本条</w:t>
      </w:r>
      <w:r w:rsidRPr="00BF42B7">
        <w:rPr>
          <w:rFonts w:eastAsiaTheme="minorEastAsia"/>
          <w:szCs w:val="21"/>
        </w:rPr>
        <w:t>(a)</w:t>
      </w:r>
      <w:r w:rsidRPr="00BF42B7">
        <w:rPr>
          <w:rFonts w:eastAsiaTheme="minorEastAsia" w:hint="eastAsia"/>
          <w:szCs w:val="21"/>
        </w:rPr>
        <w:t>项规定</w:t>
      </w:r>
      <w:r w:rsidRPr="00BF42B7">
        <w:rPr>
          <w:rFonts w:eastAsiaTheme="minorEastAsia" w:hint="eastAsia"/>
          <w:szCs w:val="21"/>
          <w:lang w:val="zh-CN"/>
        </w:rPr>
        <w:t>须为救灾人员提供便利。该项提到的领域就如何更好地为救灾人员提供便利作出了指导。授予援助方特权和豁免是许多国际协定所载鼓励外国救援人员提供帮助的一项重要措施。</w:t>
      </w:r>
      <w:r w:rsidRPr="00BF42B7">
        <w:rPr>
          <w:rStyle w:val="a5"/>
          <w:rFonts w:eastAsiaTheme="minorEastAsia"/>
          <w:szCs w:val="21"/>
        </w:rPr>
        <w:footnoteReference w:id="227"/>
      </w:r>
      <w:r w:rsidRPr="00BF42B7">
        <w:rPr>
          <w:rFonts w:eastAsiaTheme="minorEastAsia"/>
          <w:szCs w:val="21"/>
        </w:rPr>
        <w:t xml:space="preserve"> </w:t>
      </w:r>
      <w:r w:rsidRPr="00BF42B7">
        <w:rPr>
          <w:rFonts w:eastAsiaTheme="minorEastAsia" w:hint="eastAsia"/>
          <w:szCs w:val="21"/>
          <w:lang w:val="zh-CN"/>
        </w:rPr>
        <w:t>免签证或快速办理签证以及在入境要求和工作许可证方面提供便利，这是确保迅速提供援助的关键。</w:t>
      </w:r>
      <w:r w:rsidRPr="00BF42B7">
        <w:rPr>
          <w:rStyle w:val="a5"/>
          <w:rFonts w:eastAsiaTheme="minorEastAsia"/>
          <w:szCs w:val="21"/>
        </w:rPr>
        <w:footnoteReference w:id="228"/>
      </w:r>
      <w:r w:rsidRPr="00BF42B7">
        <w:rPr>
          <w:rFonts w:eastAsiaTheme="minorEastAsia"/>
          <w:szCs w:val="21"/>
        </w:rPr>
        <w:t xml:space="preserve"> </w:t>
      </w:r>
      <w:r w:rsidRPr="00BF42B7">
        <w:rPr>
          <w:rFonts w:eastAsiaTheme="minorEastAsia" w:hint="eastAsia"/>
          <w:szCs w:val="21"/>
          <w:lang w:val="zh-CN"/>
        </w:rPr>
        <w:t>如果没有特殊机制，救援人员可能被拦在边境，或无法在灾害发生后的关键几天合法地开展工作，或为避免逗留时间超过签证期限而不得不反复出入境。通行自由意味着救援人员能够在灾区自由通行，以充分履行专门商定的职责。</w:t>
      </w:r>
      <w:r w:rsidRPr="00BF42B7">
        <w:rPr>
          <w:rStyle w:val="a5"/>
          <w:rFonts w:eastAsiaTheme="minorEastAsia"/>
          <w:szCs w:val="21"/>
        </w:rPr>
        <w:footnoteReference w:id="229"/>
      </w:r>
      <w:r w:rsidRPr="00BF42B7">
        <w:rPr>
          <w:rFonts w:eastAsiaTheme="minorEastAsia"/>
          <w:szCs w:val="21"/>
        </w:rPr>
        <w:t xml:space="preserve"> </w:t>
      </w:r>
      <w:r w:rsidRPr="00BF42B7">
        <w:rPr>
          <w:rFonts w:eastAsiaTheme="minorEastAsia" w:hint="eastAsia"/>
          <w:szCs w:val="21"/>
          <w:lang w:val="zh-CN"/>
        </w:rPr>
        <w:t>对救援人员的通行自由施加不必要的限制将遏制救援人员灵活提供援助的能力。</w:t>
      </w:r>
    </w:p>
    <w:p w:rsidR="00765E0D" w:rsidRPr="00BF42B7" w:rsidRDefault="00765E0D" w:rsidP="00765E0D">
      <w:pPr>
        <w:pStyle w:val="SingleTxtGC"/>
        <w:rPr>
          <w:rFonts w:eastAsiaTheme="minorEastAsia"/>
          <w:szCs w:val="21"/>
        </w:rPr>
      </w:pPr>
      <w:r w:rsidRPr="00BF42B7">
        <w:rPr>
          <w:rFonts w:eastAsiaTheme="minorEastAsia"/>
          <w:szCs w:val="21"/>
        </w:rPr>
        <w:t>(5)</w:t>
      </w:r>
      <w:r w:rsidRPr="00BF42B7">
        <w:rPr>
          <w:rFonts w:eastAsiaTheme="minorEastAsia" w:hint="eastAsia"/>
          <w:szCs w:val="21"/>
        </w:rPr>
        <w:t xml:space="preserve">  </w:t>
      </w:r>
      <w:r w:rsidRPr="00BF42B7">
        <w:rPr>
          <w:rFonts w:eastAsiaTheme="minorEastAsia" w:hint="eastAsia"/>
          <w:szCs w:val="21"/>
        </w:rPr>
        <w:t>本条</w:t>
      </w:r>
      <w:r w:rsidRPr="00BF42B7">
        <w:rPr>
          <w:rFonts w:eastAsiaTheme="minorEastAsia"/>
          <w:szCs w:val="21"/>
        </w:rPr>
        <w:t>(b)</w:t>
      </w:r>
      <w:r w:rsidRPr="00BF42B7">
        <w:rPr>
          <w:rFonts w:eastAsiaTheme="minorEastAsia" w:hint="eastAsia"/>
          <w:szCs w:val="21"/>
        </w:rPr>
        <w:t>项涉及第</w:t>
      </w:r>
      <w:r w:rsidRPr="00BF42B7">
        <w:rPr>
          <w:rFonts w:eastAsiaTheme="minorEastAsia" w:hint="eastAsia"/>
          <w:szCs w:val="21"/>
        </w:rPr>
        <w:t>3</w:t>
      </w:r>
      <w:r w:rsidRPr="00BF42B7">
        <w:rPr>
          <w:rFonts w:eastAsiaTheme="minorEastAsia" w:hint="eastAsia"/>
          <w:szCs w:val="21"/>
        </w:rPr>
        <w:t>条草案</w:t>
      </w:r>
      <w:r w:rsidRPr="00BF42B7">
        <w:rPr>
          <w:rFonts w:eastAsiaTheme="minorEastAsia"/>
          <w:szCs w:val="21"/>
        </w:rPr>
        <w:t>(g)</w:t>
      </w:r>
      <w:r w:rsidRPr="00BF42B7">
        <w:rPr>
          <w:rFonts w:eastAsiaTheme="minorEastAsia" w:hint="eastAsia"/>
          <w:szCs w:val="21"/>
        </w:rPr>
        <w:t>项所界定的设备和物资，包括用品、工具、机器、经过专门训练的动物</w:t>
      </w:r>
      <w:r w:rsidRPr="00BF42B7">
        <w:rPr>
          <w:rFonts w:eastAsiaTheme="minorEastAsia" w:hint="eastAsia"/>
          <w:szCs w:val="21"/>
          <w:lang w:val="zh-CN"/>
        </w:rPr>
        <w:t>、食物、饮用水、医疗用品、栖身手段、衣物、铺盖用品、车辆、电信设备以及救灾援助所需的其他物品。委员会希望将该类别也包括搜救犬</w:t>
      </w:r>
      <w:r w:rsidRPr="00BF42B7">
        <w:rPr>
          <w:rFonts w:eastAsiaTheme="minorEastAsia" w:hint="eastAsia"/>
          <w:szCs w:val="21"/>
          <w:lang w:val="zh-CN"/>
        </w:rPr>
        <w:t>(</w:t>
      </w:r>
      <w:r w:rsidRPr="00BF42B7">
        <w:rPr>
          <w:rFonts w:eastAsiaTheme="minorEastAsia" w:hint="eastAsia"/>
          <w:szCs w:val="21"/>
          <w:lang w:val="zh-CN"/>
        </w:rPr>
        <w:t>一般被视为设备和物资类，而不是作为单独的动物类</w:t>
      </w:r>
      <w:r w:rsidRPr="00BF42B7">
        <w:rPr>
          <w:rFonts w:eastAsiaTheme="minorEastAsia" w:hint="eastAsia"/>
          <w:szCs w:val="21"/>
          <w:lang w:val="zh-CN"/>
        </w:rPr>
        <w:t>)</w:t>
      </w:r>
      <w:r w:rsidRPr="00BF42B7">
        <w:rPr>
          <w:rFonts w:eastAsiaTheme="minorEastAsia" w:hint="eastAsia"/>
          <w:szCs w:val="21"/>
          <w:lang w:val="zh-CN"/>
        </w:rPr>
        <w:t>。物资和设备是为有效援助提供便利的关键，国内法必须灵活应对受灾人员的需要，确保迅速提供物资和设备。应取消或放松海关规定，减免关税和其他税金，以降低成本，避免耽误物资运送。</w:t>
      </w:r>
      <w:r w:rsidRPr="00BF42B7">
        <w:rPr>
          <w:rStyle w:val="a5"/>
          <w:rFonts w:eastAsiaTheme="minorEastAsia"/>
          <w:szCs w:val="21"/>
        </w:rPr>
        <w:footnoteReference w:id="230"/>
      </w:r>
      <w:r w:rsidRPr="00BF42B7">
        <w:rPr>
          <w:rFonts w:eastAsiaTheme="minorEastAsia"/>
          <w:szCs w:val="21"/>
        </w:rPr>
        <w:t xml:space="preserve"> </w:t>
      </w:r>
      <w:r w:rsidRPr="00BF42B7">
        <w:rPr>
          <w:rFonts w:eastAsiaTheme="minorEastAsia" w:hint="eastAsia"/>
          <w:szCs w:val="21"/>
          <w:lang w:val="zh-CN"/>
        </w:rPr>
        <w:t>设备和物资如果不能及时送到，可能很快就派不上用场了，通常的程序旨在保护一国经济利益，但是可能阻碍拯救生命或提供所需援助的救援设备的送达。因此，各国可以减少、优先处理或免除对援助国和其他援助方的有关设备和物资的过境检查。国家条例也可以规定飞越和着陆权利、工具，尽量减少设备和物资的进口和过境所需文件，暂时承认外国车辆注册。本条</w:t>
      </w:r>
      <w:r w:rsidRPr="00BF42B7">
        <w:rPr>
          <w:rFonts w:eastAsiaTheme="minorEastAsia"/>
          <w:szCs w:val="21"/>
          <w:lang w:val="zh-CN"/>
        </w:rPr>
        <w:t>(b)</w:t>
      </w:r>
      <w:r w:rsidRPr="00BF42B7">
        <w:rPr>
          <w:rFonts w:eastAsiaTheme="minorEastAsia" w:hint="eastAsia"/>
          <w:szCs w:val="21"/>
          <w:lang w:val="zh-CN"/>
        </w:rPr>
        <w:t>项并未列举旨在便利设备和物资方面的外部援助的所有可以采取的措施。例如，鉴于电信在紧急状况中的关键作用，常常需要按</w:t>
      </w:r>
      <w:r w:rsidRPr="00BF42B7">
        <w:rPr>
          <w:rFonts w:eastAsiaTheme="minorEastAsia" w:hint="eastAsia"/>
          <w:szCs w:val="21"/>
          <w:lang w:val="zh-CN"/>
        </w:rPr>
        <w:t>1998</w:t>
      </w:r>
      <w:r w:rsidRPr="00BF42B7">
        <w:rPr>
          <w:rFonts w:eastAsiaTheme="minorEastAsia" w:hint="eastAsia"/>
          <w:szCs w:val="21"/>
          <w:lang w:val="zh-CN"/>
        </w:rPr>
        <w:t>年《坦佩雷公约》的规定，减少或限制使用限制电信设备或无线电频谱的使用的条例</w:t>
      </w:r>
      <w:r w:rsidRPr="00BF42B7">
        <w:rPr>
          <w:rFonts w:ascii="宋体" w:eastAsiaTheme="minorEastAsia" w:hAnsi="宋体" w:cs="宋体" w:hint="eastAsia"/>
          <w:szCs w:val="21"/>
        </w:rPr>
        <w:t>。</w:t>
      </w:r>
    </w:p>
    <w:p w:rsidR="00765E0D" w:rsidRPr="00BF42B7" w:rsidRDefault="00765E0D" w:rsidP="00765E0D">
      <w:pPr>
        <w:pStyle w:val="SingleTxtGC"/>
        <w:rPr>
          <w:rFonts w:eastAsiaTheme="minorEastAsia"/>
          <w:szCs w:val="21"/>
        </w:rPr>
      </w:pPr>
      <w:r w:rsidRPr="00BF42B7">
        <w:rPr>
          <w:rFonts w:eastAsiaTheme="minorEastAsia"/>
          <w:szCs w:val="21"/>
        </w:rPr>
        <w:t>(6)</w:t>
      </w:r>
      <w:r w:rsidRPr="00BF42B7">
        <w:rPr>
          <w:rFonts w:eastAsiaTheme="minorEastAsia" w:hint="eastAsia"/>
          <w:szCs w:val="21"/>
        </w:rPr>
        <w:t xml:space="preserve">  </w:t>
      </w:r>
      <w:r w:rsidRPr="00BF42B7">
        <w:rPr>
          <w:rFonts w:eastAsiaTheme="minorEastAsia" w:hint="eastAsia"/>
          <w:szCs w:val="21"/>
        </w:rPr>
        <w:t>本条</w:t>
      </w:r>
      <w:r w:rsidRPr="00BF42B7">
        <w:rPr>
          <w:rFonts w:eastAsiaTheme="minorEastAsia" w:hint="eastAsia"/>
          <w:szCs w:val="21"/>
          <w:lang w:val="zh-CN"/>
        </w:rPr>
        <w:t>草案第</w:t>
      </w:r>
      <w:r w:rsidRPr="00BF42B7">
        <w:rPr>
          <w:rFonts w:eastAsiaTheme="minorEastAsia"/>
          <w:szCs w:val="21"/>
          <w:lang w:val="zh-CN"/>
        </w:rPr>
        <w:t>2</w:t>
      </w:r>
      <w:r w:rsidRPr="00BF42B7">
        <w:rPr>
          <w:rFonts w:eastAsiaTheme="minorEastAsia" w:hint="eastAsia"/>
          <w:szCs w:val="21"/>
          <w:lang w:val="zh-CN"/>
        </w:rPr>
        <w:t>款要求所有有关法律和规章对援助方而言，容易查阅。“容易查阅”是说这类法律必须查阅方便，包括必要时翻译成其他语文，无需受灾国专门向每个援助方分别提供这些信息。本条还确认，国家必须按照第</w:t>
      </w:r>
      <w:r w:rsidRPr="00BF42B7">
        <w:rPr>
          <w:rFonts w:eastAsiaTheme="minorEastAsia" w:hint="eastAsia"/>
          <w:szCs w:val="21"/>
          <w:lang w:val="zh-CN"/>
        </w:rPr>
        <w:t>9</w:t>
      </w:r>
      <w:r w:rsidRPr="00BF42B7">
        <w:rPr>
          <w:rFonts w:eastAsiaTheme="minorEastAsia" w:hint="eastAsia"/>
          <w:szCs w:val="21"/>
          <w:lang w:val="zh-CN"/>
        </w:rPr>
        <w:t>条草案第</w:t>
      </w:r>
      <w:r w:rsidRPr="00BF42B7">
        <w:rPr>
          <w:rFonts w:eastAsiaTheme="minorEastAsia" w:hint="eastAsia"/>
          <w:szCs w:val="21"/>
          <w:lang w:val="zh-CN"/>
        </w:rPr>
        <w:t>1</w:t>
      </w:r>
      <w:r w:rsidRPr="00BF42B7">
        <w:rPr>
          <w:rFonts w:eastAsiaTheme="minorEastAsia" w:hint="eastAsia"/>
          <w:szCs w:val="21"/>
          <w:lang w:val="zh-CN"/>
        </w:rPr>
        <w:t>款的规定，在发生灾害之前就采用有关便利外部援助的国内条例。</w:t>
      </w:r>
    </w:p>
    <w:p w:rsidR="00765E0D" w:rsidRPr="00BF42B7" w:rsidRDefault="00765E0D" w:rsidP="00765E0D">
      <w:pPr>
        <w:pStyle w:val="H23GC"/>
        <w:ind w:left="1554"/>
        <w:jc w:val="left"/>
        <w:rPr>
          <w:szCs w:val="21"/>
        </w:rPr>
      </w:pPr>
      <w:r w:rsidRPr="00BF42B7">
        <w:rPr>
          <w:rFonts w:hint="eastAsia"/>
          <w:szCs w:val="21"/>
        </w:rPr>
        <w:tab/>
      </w:r>
      <w:r w:rsidRPr="00BF42B7">
        <w:rPr>
          <w:rFonts w:hint="eastAsia"/>
          <w:szCs w:val="21"/>
        </w:rPr>
        <w:tab/>
      </w:r>
      <w:r w:rsidRPr="00BF42B7">
        <w:rPr>
          <w:rFonts w:hint="eastAsia"/>
          <w:szCs w:val="21"/>
        </w:rPr>
        <w:t>第</w:t>
      </w:r>
      <w:r w:rsidRPr="00BF42B7">
        <w:rPr>
          <w:rFonts w:hint="eastAsia"/>
          <w:szCs w:val="21"/>
        </w:rPr>
        <w:t>16</w:t>
      </w:r>
      <w:r w:rsidRPr="00BF42B7">
        <w:rPr>
          <w:rFonts w:hint="eastAsia"/>
          <w:szCs w:val="21"/>
        </w:rPr>
        <w:t>条</w:t>
      </w:r>
      <w:r w:rsidRPr="00BF42B7">
        <w:rPr>
          <w:rFonts w:hint="eastAsia"/>
          <w:szCs w:val="21"/>
        </w:rPr>
        <w:br/>
      </w:r>
      <w:r w:rsidRPr="00BF42B7">
        <w:rPr>
          <w:rFonts w:hint="eastAsia"/>
          <w:szCs w:val="21"/>
        </w:rPr>
        <w:t>保护救灾人员、设备和物资</w:t>
      </w:r>
    </w:p>
    <w:p w:rsidR="00765E0D" w:rsidRPr="00BF42B7" w:rsidRDefault="00765E0D" w:rsidP="00765E0D">
      <w:pPr>
        <w:pStyle w:val="SingleTxtGC"/>
        <w:ind w:left="1554" w:firstLine="431"/>
        <w:rPr>
          <w:rFonts w:eastAsiaTheme="minorEastAsia"/>
          <w:szCs w:val="21"/>
          <w:lang w:val="zh-CN"/>
        </w:rPr>
      </w:pPr>
      <w:r w:rsidRPr="00BF42B7">
        <w:rPr>
          <w:rFonts w:eastAsiaTheme="minorEastAsia"/>
          <w:szCs w:val="21"/>
          <w:lang w:val="zh-CN"/>
        </w:rPr>
        <w:t>受灾国应采取适当措施，确保为提供外部援助目的而</w:t>
      </w:r>
      <w:r w:rsidRPr="00BF42B7">
        <w:rPr>
          <w:rFonts w:eastAsiaTheme="minorEastAsia" w:hint="eastAsia"/>
          <w:szCs w:val="21"/>
          <w:lang w:val="zh-CN"/>
        </w:rPr>
        <w:t>在其</w:t>
      </w:r>
      <w:r w:rsidRPr="00BF42B7">
        <w:rPr>
          <w:rFonts w:eastAsiaTheme="minorEastAsia"/>
          <w:szCs w:val="21"/>
          <w:lang w:val="zh-CN"/>
        </w:rPr>
        <w:t>领土或受</w:t>
      </w:r>
      <w:r w:rsidRPr="00BF42B7">
        <w:rPr>
          <w:rFonts w:eastAsiaTheme="minorEastAsia" w:hint="eastAsia"/>
          <w:szCs w:val="21"/>
          <w:lang w:val="zh-CN"/>
        </w:rPr>
        <w:t>其</w:t>
      </w:r>
      <w:r w:rsidRPr="00BF42B7">
        <w:rPr>
          <w:rFonts w:eastAsiaTheme="minorEastAsia"/>
          <w:szCs w:val="21"/>
          <w:lang w:val="zh-CN"/>
        </w:rPr>
        <w:t>管辖或控制的领土内的救灾人员、设备和物资得到保护。</w:t>
      </w:r>
      <w:bookmarkStart w:id="52" w:name="_Toc398107270"/>
    </w:p>
    <w:p w:rsidR="00765E0D" w:rsidRPr="00BF42B7" w:rsidRDefault="00765E0D" w:rsidP="00765E0D">
      <w:pPr>
        <w:pStyle w:val="H23GC"/>
        <w:jc w:val="left"/>
        <w:rPr>
          <w:szCs w:val="21"/>
        </w:rPr>
      </w:pPr>
      <w:r w:rsidRPr="00BF42B7">
        <w:rPr>
          <w:rFonts w:eastAsiaTheme="minorEastAsia"/>
          <w:szCs w:val="21"/>
        </w:rPr>
        <w:tab/>
      </w:r>
      <w:r w:rsidRPr="00BF42B7">
        <w:rPr>
          <w:rFonts w:eastAsiaTheme="minorEastAsia"/>
          <w:szCs w:val="21"/>
        </w:rPr>
        <w:tab/>
      </w:r>
      <w:bookmarkEnd w:id="52"/>
      <w:r w:rsidRPr="00BF42B7">
        <w:rPr>
          <w:rFonts w:hint="eastAsia"/>
          <w:szCs w:val="21"/>
        </w:rPr>
        <w:t>评注</w:t>
      </w:r>
    </w:p>
    <w:p w:rsidR="00765E0D" w:rsidRPr="00BF42B7" w:rsidRDefault="00765E0D" w:rsidP="00765E0D">
      <w:pPr>
        <w:pStyle w:val="SingleTxtGC"/>
        <w:rPr>
          <w:rFonts w:eastAsiaTheme="minorEastAsia"/>
          <w:szCs w:val="21"/>
        </w:rPr>
      </w:pPr>
      <w:r w:rsidRPr="00BF42B7">
        <w:rPr>
          <w:rFonts w:eastAsiaTheme="minorEastAsia"/>
          <w:szCs w:val="21"/>
        </w:rPr>
        <w:t>(1)</w:t>
      </w:r>
      <w:r w:rsidRPr="00BF42B7">
        <w:rPr>
          <w:rFonts w:eastAsiaTheme="minorEastAsia" w:hint="eastAsia"/>
          <w:szCs w:val="21"/>
        </w:rPr>
        <w:t xml:space="preserve">  </w:t>
      </w:r>
      <w:r w:rsidRPr="00BF42B7">
        <w:rPr>
          <w:rFonts w:eastAsiaTheme="minorEastAsia" w:hint="eastAsia"/>
          <w:szCs w:val="21"/>
        </w:rPr>
        <w:t>第</w:t>
      </w:r>
      <w:r w:rsidRPr="00BF42B7">
        <w:rPr>
          <w:rFonts w:eastAsiaTheme="minorEastAsia"/>
          <w:szCs w:val="21"/>
        </w:rPr>
        <w:t>1</w:t>
      </w:r>
      <w:r w:rsidRPr="00BF42B7">
        <w:rPr>
          <w:rFonts w:eastAsiaTheme="minorEastAsia" w:hint="eastAsia"/>
          <w:szCs w:val="21"/>
        </w:rPr>
        <w:t>6</w:t>
      </w:r>
      <w:r w:rsidRPr="00BF42B7">
        <w:rPr>
          <w:rFonts w:eastAsiaTheme="minorEastAsia" w:hint="eastAsia"/>
          <w:szCs w:val="21"/>
          <w:lang w:val="zh-CN"/>
        </w:rPr>
        <w:t>条草案为受灾国规定了义务：它应采取在当时情况下适当的措施，保证参与提供外部援助的救灾人员、设备和物资得到保护。考虑到灾害往往带来的混乱情况，对这类个人和物品安全的担心可能造成一些障碍，妨碍开展旨在向受害者提供支持的活动，从而降低了使受灾者基本需要得到恰当满足的可能性。</w:t>
      </w:r>
    </w:p>
    <w:p w:rsidR="00765E0D" w:rsidRPr="00BF42B7" w:rsidRDefault="00765E0D" w:rsidP="00765E0D">
      <w:pPr>
        <w:pStyle w:val="SingleTxtGC"/>
        <w:rPr>
          <w:rFonts w:eastAsiaTheme="minorEastAsia"/>
          <w:szCs w:val="21"/>
        </w:rPr>
      </w:pPr>
      <w:r w:rsidRPr="00BF42B7">
        <w:rPr>
          <w:rFonts w:eastAsiaTheme="minorEastAsia"/>
          <w:szCs w:val="21"/>
        </w:rPr>
        <w:t>(2)</w:t>
      </w:r>
      <w:r w:rsidRPr="00BF42B7">
        <w:rPr>
          <w:rFonts w:eastAsiaTheme="minorEastAsia" w:hint="eastAsia"/>
          <w:szCs w:val="21"/>
        </w:rPr>
        <w:t xml:space="preserve">  </w:t>
      </w:r>
      <w:r w:rsidRPr="00BF42B7">
        <w:rPr>
          <w:rFonts w:eastAsiaTheme="minorEastAsia" w:hint="eastAsia"/>
          <w:szCs w:val="21"/>
        </w:rPr>
        <w:t>因此，本条</w:t>
      </w:r>
      <w:r w:rsidRPr="00BF42B7">
        <w:rPr>
          <w:rFonts w:eastAsiaTheme="minorEastAsia" w:hint="eastAsia"/>
          <w:szCs w:val="21"/>
          <w:lang w:val="zh-CN"/>
        </w:rPr>
        <w:t>草案补充了第</w:t>
      </w:r>
      <w:r w:rsidRPr="00BF42B7">
        <w:rPr>
          <w:rFonts w:eastAsiaTheme="minorEastAsia" w:hint="eastAsia"/>
          <w:szCs w:val="21"/>
          <w:lang w:val="zh-CN"/>
        </w:rPr>
        <w:t>15</w:t>
      </w:r>
      <w:r w:rsidRPr="00BF42B7">
        <w:rPr>
          <w:rFonts w:eastAsiaTheme="minorEastAsia" w:hint="eastAsia"/>
          <w:szCs w:val="21"/>
          <w:lang w:val="zh-CN"/>
        </w:rPr>
        <w:t>条草案，两者一起为受灾国确立了一套一致的义务，根据这些义务，受灾国应开展一系列必要活动，以保证援助国和其他援助方有可能提供有效和及时的援助。然而，这两项规定在侧重点和做法上有所不同。第</w:t>
      </w:r>
      <w:r w:rsidRPr="00BF42B7">
        <w:rPr>
          <w:rFonts w:eastAsiaTheme="minorEastAsia" w:hint="eastAsia"/>
          <w:szCs w:val="21"/>
          <w:lang w:val="zh-CN"/>
        </w:rPr>
        <w:t>15</w:t>
      </w:r>
      <w:r w:rsidRPr="00BF42B7">
        <w:rPr>
          <w:rFonts w:eastAsiaTheme="minorEastAsia" w:hint="eastAsia"/>
          <w:szCs w:val="21"/>
          <w:lang w:val="zh-CN"/>
        </w:rPr>
        <w:t>条草案强调受灾国需要建立能够便利外部援助的国内法律秩序，办法主要是采取一系列立法和监管行动。另一方面，救灾人员及其设备和物资的保护问题由于其性质和可采取的措施的种类，出于迫不得已的政策原因历来是作为单独事项来处理的，本条草案便是一例。</w:t>
      </w:r>
    </w:p>
    <w:p w:rsidR="00765E0D" w:rsidRPr="00BF42B7" w:rsidRDefault="00765E0D" w:rsidP="00765E0D">
      <w:pPr>
        <w:pStyle w:val="SingleTxtGC"/>
        <w:rPr>
          <w:rFonts w:eastAsiaTheme="minorEastAsia"/>
          <w:szCs w:val="21"/>
        </w:rPr>
      </w:pPr>
      <w:r w:rsidRPr="00BF42B7">
        <w:rPr>
          <w:rFonts w:eastAsiaTheme="minorEastAsia"/>
          <w:szCs w:val="21"/>
        </w:rPr>
        <w:t>(3)</w:t>
      </w:r>
      <w:r w:rsidRPr="00BF42B7">
        <w:rPr>
          <w:rFonts w:eastAsiaTheme="minorEastAsia" w:hint="eastAsia"/>
          <w:szCs w:val="21"/>
        </w:rPr>
        <w:t xml:space="preserve">  </w:t>
      </w:r>
      <w:r w:rsidRPr="00BF42B7">
        <w:rPr>
          <w:rFonts w:eastAsiaTheme="minorEastAsia" w:hint="eastAsia"/>
          <w:szCs w:val="21"/>
        </w:rPr>
        <w:t>因有关义务</w:t>
      </w:r>
      <w:r w:rsidRPr="00BF42B7">
        <w:rPr>
          <w:rFonts w:eastAsiaTheme="minorEastAsia" w:hint="eastAsia"/>
          <w:szCs w:val="21"/>
          <w:lang w:val="zh-CN"/>
        </w:rPr>
        <w:t>特别易受背景影响这一性质，受灾国采取的措施可能在内容上有所变化，并可能意味着采取不同形式的国家行为。具体而言，“适当措施”的概念本来就具有灵活性含义，这就表明，视可能给救灾人员、设备和物资构成潜在威胁的行为者的身份而定，受灾国可能承担不同的义务。</w:t>
      </w:r>
    </w:p>
    <w:p w:rsidR="00765E0D" w:rsidRPr="00BF42B7" w:rsidRDefault="00765E0D" w:rsidP="00765E0D">
      <w:pPr>
        <w:pStyle w:val="SingleTxtGC"/>
        <w:rPr>
          <w:rFonts w:eastAsiaTheme="minorEastAsia"/>
          <w:szCs w:val="21"/>
          <w:lang w:val="zh-CN"/>
        </w:rPr>
      </w:pPr>
      <w:r w:rsidRPr="00BF42B7">
        <w:rPr>
          <w:rFonts w:eastAsiaTheme="minorEastAsia"/>
          <w:szCs w:val="21"/>
        </w:rPr>
        <w:t>(4)</w:t>
      </w:r>
      <w:r w:rsidRPr="00BF42B7">
        <w:rPr>
          <w:rFonts w:eastAsiaTheme="minorEastAsia" w:hint="eastAsia"/>
          <w:szCs w:val="21"/>
        </w:rPr>
        <w:t xml:space="preserve">  </w:t>
      </w:r>
      <w:r w:rsidRPr="00BF42B7">
        <w:rPr>
          <w:rFonts w:eastAsiaTheme="minorEastAsia" w:hint="eastAsia"/>
          <w:szCs w:val="21"/>
        </w:rPr>
        <w:t>对受灾国的初步要求是，必须防止本国机关给救援活动造成不利影响。在这种情况</w:t>
      </w:r>
      <w:r w:rsidRPr="00BF42B7">
        <w:rPr>
          <w:rFonts w:eastAsiaTheme="minorEastAsia" w:hint="eastAsia"/>
          <w:szCs w:val="21"/>
          <w:lang w:val="zh-CN"/>
        </w:rPr>
        <w:t>下，给受灾国规定的义务是不通过其机关开展的行动给参与外部援助的人员、设备和物资造成损害。</w:t>
      </w:r>
    </w:p>
    <w:p w:rsidR="00765E0D" w:rsidRPr="00BF42B7" w:rsidRDefault="00765E0D" w:rsidP="00765E0D">
      <w:pPr>
        <w:pStyle w:val="SingleTxtGC"/>
        <w:rPr>
          <w:rFonts w:eastAsiaTheme="minorEastAsia"/>
          <w:szCs w:val="21"/>
        </w:rPr>
      </w:pPr>
      <w:r w:rsidRPr="00BF42B7">
        <w:rPr>
          <w:rFonts w:eastAsiaTheme="minorEastAsia"/>
          <w:szCs w:val="21"/>
        </w:rPr>
        <w:t>(5)</w:t>
      </w:r>
      <w:r w:rsidRPr="00BF42B7">
        <w:rPr>
          <w:rFonts w:eastAsiaTheme="minorEastAsia" w:hint="eastAsia"/>
          <w:szCs w:val="21"/>
        </w:rPr>
        <w:t xml:space="preserve">  </w:t>
      </w:r>
      <w:r w:rsidRPr="00BF42B7">
        <w:rPr>
          <w:rFonts w:eastAsiaTheme="minorEastAsia" w:hint="eastAsia"/>
          <w:szCs w:val="21"/>
        </w:rPr>
        <w:t>其次</w:t>
      </w:r>
      <w:r w:rsidRPr="00BF42B7">
        <w:rPr>
          <w:rFonts w:eastAsiaTheme="minorEastAsia" w:hint="eastAsia"/>
          <w:szCs w:val="21"/>
          <w:lang w:val="zh-CN"/>
        </w:rPr>
        <w:t>，第</w:t>
      </w:r>
      <w:r w:rsidRPr="00BF42B7">
        <w:rPr>
          <w:rFonts w:eastAsiaTheme="minorEastAsia"/>
          <w:szCs w:val="21"/>
          <w:lang w:val="zh-CN"/>
        </w:rPr>
        <w:t>1</w:t>
      </w:r>
      <w:r w:rsidRPr="00BF42B7">
        <w:rPr>
          <w:rFonts w:eastAsiaTheme="minorEastAsia" w:hint="eastAsia"/>
          <w:szCs w:val="21"/>
          <w:lang w:val="zh-CN"/>
        </w:rPr>
        <w:t>6</w:t>
      </w:r>
      <w:r w:rsidRPr="00BF42B7">
        <w:rPr>
          <w:rFonts w:eastAsiaTheme="minorEastAsia" w:hint="eastAsia"/>
          <w:szCs w:val="21"/>
          <w:lang w:val="zh-CN"/>
        </w:rPr>
        <w:t>条草案设想了一系列可采纳的措施，用以防止非国家行为者进行有害的活动，例如这种活动的目的是利用灾害之后可能会出现的不稳定的安全情况，从针对救灾人员、设备和物资的犯罪活动中获得非法收益。不是期望受灾国不管情况如何都要成功防止出现有害行为，而是期望它去努力实现有关义务的目的。具体而言，“适当措施”这一措辞给了受灾国一定程度的自由裁量权，让受灾国决定在这方面采取什么行动。它要求国家以勤勉方式行事，力求避免可能由非国家行为者造成的伤害事件。国家在为达到预期目标而作出最大努力方面采取何种措施须视情况而定。因此，第</w:t>
      </w:r>
      <w:r w:rsidRPr="00BF42B7">
        <w:rPr>
          <w:rFonts w:eastAsiaTheme="minorEastAsia"/>
          <w:szCs w:val="21"/>
          <w:lang w:val="zh-CN"/>
        </w:rPr>
        <w:t>1</w:t>
      </w:r>
      <w:r w:rsidRPr="00BF42B7">
        <w:rPr>
          <w:rFonts w:eastAsiaTheme="minorEastAsia" w:hint="eastAsia"/>
          <w:szCs w:val="21"/>
          <w:lang w:val="zh-CN"/>
        </w:rPr>
        <w:t>6</w:t>
      </w:r>
      <w:r w:rsidRPr="00BF42B7">
        <w:rPr>
          <w:rFonts w:eastAsiaTheme="minorEastAsia" w:hint="eastAsia"/>
          <w:szCs w:val="21"/>
          <w:lang w:val="zh-CN"/>
        </w:rPr>
        <w:t>条草案没有列出实现这一结果可用的手段，因为这一义务视情况的变化，可具有动态特性。</w:t>
      </w:r>
    </w:p>
    <w:p w:rsidR="00765E0D" w:rsidRPr="00BF42B7" w:rsidRDefault="00765E0D" w:rsidP="00765E0D">
      <w:pPr>
        <w:pStyle w:val="SingleTxtGC"/>
        <w:rPr>
          <w:rFonts w:eastAsiaTheme="minorEastAsia"/>
          <w:szCs w:val="21"/>
        </w:rPr>
      </w:pPr>
      <w:r w:rsidRPr="00BF42B7">
        <w:rPr>
          <w:rFonts w:eastAsiaTheme="minorEastAsia"/>
          <w:szCs w:val="21"/>
        </w:rPr>
        <w:t>(6)</w:t>
      </w:r>
      <w:r w:rsidRPr="00BF42B7">
        <w:rPr>
          <w:rFonts w:eastAsiaTheme="minorEastAsia" w:hint="eastAsia"/>
          <w:szCs w:val="21"/>
        </w:rPr>
        <w:t xml:space="preserve">  </w:t>
      </w:r>
      <w:r w:rsidRPr="00BF42B7">
        <w:rPr>
          <w:rFonts w:eastAsiaTheme="minorEastAsia" w:hint="eastAsia"/>
          <w:szCs w:val="21"/>
        </w:rPr>
        <w:t>可以</w:t>
      </w:r>
      <w:r w:rsidRPr="00BF42B7">
        <w:rPr>
          <w:rFonts w:eastAsiaTheme="minorEastAsia" w:hint="eastAsia"/>
          <w:szCs w:val="21"/>
          <w:lang w:val="zh-CN"/>
        </w:rPr>
        <w:t>参考多种情况来评价在发生灾害的情况下为履行这项义务而采取的措施是否适当。这些情况包括一国在试图开展常规活动时</w:t>
      </w:r>
      <w:r w:rsidRPr="00BF42B7">
        <w:rPr>
          <w:rFonts w:eastAsiaTheme="minorEastAsia" w:hint="eastAsia"/>
          <w:szCs w:val="21"/>
        </w:rPr>
        <w:t>，</w:t>
      </w:r>
      <w:r w:rsidRPr="00BF42B7">
        <w:rPr>
          <w:rFonts w:eastAsiaTheme="minorEastAsia" w:hint="eastAsia"/>
          <w:szCs w:val="21"/>
          <w:lang w:val="zh-CN"/>
        </w:rPr>
        <w:t>因这场灾害的规模</w:t>
      </w:r>
      <w:r w:rsidRPr="00BF42B7">
        <w:rPr>
          <w:rFonts w:eastAsiaTheme="minorEastAsia" w:hint="eastAsia"/>
          <w:szCs w:val="21"/>
        </w:rPr>
        <w:t>以及该国经济形势的恶化而</w:t>
      </w:r>
      <w:r w:rsidRPr="00BF42B7">
        <w:rPr>
          <w:rFonts w:eastAsiaTheme="minorEastAsia" w:hint="eastAsia"/>
          <w:szCs w:val="21"/>
          <w:lang w:val="zh-CN"/>
        </w:rPr>
        <w:t>产生的难以控制的局面、可能受到灾害严重影响的相关国家缺少可支配的资源的情况以及该国在一些灾区行使控制的能力而可能遇到的困难。这些情况也包括有关行动区域的安全形势和参与救援行动的人道主义行动者的态度和行为</w:t>
      </w:r>
      <w:r w:rsidRPr="00BF42B7">
        <w:rPr>
          <w:rFonts w:eastAsiaTheme="minorEastAsia" w:hint="eastAsia"/>
          <w:szCs w:val="21"/>
        </w:rPr>
        <w:t>。事实上，即使要求外来</w:t>
      </w:r>
      <w:r w:rsidRPr="00BF42B7">
        <w:rPr>
          <w:rFonts w:eastAsiaTheme="minorEastAsia" w:hint="eastAsia"/>
          <w:szCs w:val="21"/>
          <w:lang w:val="zh-CN"/>
        </w:rPr>
        <w:t>行动者在保护与安全问题上与受灾国磋商合作，但他们还是可能无视属于地方当局的指挥作用</w:t>
      </w:r>
      <w:r w:rsidRPr="00BF42B7">
        <w:rPr>
          <w:rFonts w:eastAsiaTheme="minorEastAsia" w:hint="eastAsia"/>
          <w:szCs w:val="21"/>
        </w:rPr>
        <w:t>，</w:t>
      </w:r>
      <w:r w:rsidRPr="00BF42B7">
        <w:rPr>
          <w:rFonts w:eastAsiaTheme="minorEastAsia" w:hint="eastAsia"/>
          <w:szCs w:val="21"/>
          <w:lang w:val="zh-CN"/>
        </w:rPr>
        <w:t>从而增加他们面临安全风险的可能性。此外</w:t>
      </w:r>
      <w:r w:rsidRPr="00BF42B7">
        <w:rPr>
          <w:rFonts w:eastAsiaTheme="minorEastAsia" w:hint="eastAsia"/>
          <w:szCs w:val="21"/>
        </w:rPr>
        <w:t>，</w:t>
      </w:r>
      <w:r w:rsidRPr="00BF42B7">
        <w:rPr>
          <w:rFonts w:eastAsiaTheme="minorEastAsia" w:hint="eastAsia"/>
          <w:szCs w:val="21"/>
          <w:lang w:val="zh-CN"/>
        </w:rPr>
        <w:t>如果有害行为针对的是救灾人员、设备和物资</w:t>
      </w:r>
      <w:r w:rsidRPr="00BF42B7">
        <w:rPr>
          <w:rFonts w:eastAsiaTheme="minorEastAsia" w:hint="eastAsia"/>
          <w:szCs w:val="21"/>
        </w:rPr>
        <w:t>，</w:t>
      </w:r>
      <w:r w:rsidRPr="00BF42B7">
        <w:rPr>
          <w:rFonts w:eastAsiaTheme="minorEastAsia" w:hint="eastAsia"/>
          <w:szCs w:val="21"/>
          <w:lang w:val="zh-CN"/>
        </w:rPr>
        <w:t>则受灾国应处理这些行为</w:t>
      </w:r>
      <w:r w:rsidRPr="00BF42B7">
        <w:rPr>
          <w:rFonts w:eastAsiaTheme="minorEastAsia" w:hint="eastAsia"/>
          <w:szCs w:val="21"/>
        </w:rPr>
        <w:t>，</w:t>
      </w:r>
      <w:r w:rsidRPr="00BF42B7">
        <w:rPr>
          <w:rFonts w:eastAsiaTheme="minorEastAsia" w:hint="eastAsia"/>
          <w:szCs w:val="21"/>
          <w:lang w:val="zh-CN"/>
        </w:rPr>
        <w:t>行使其固有的管辖权来惩治灾区发生的犯罪行为。</w:t>
      </w:r>
    </w:p>
    <w:p w:rsidR="00765E0D" w:rsidRPr="00BF42B7" w:rsidRDefault="00765E0D" w:rsidP="00765E0D">
      <w:pPr>
        <w:pStyle w:val="SingleTxtGC"/>
        <w:rPr>
          <w:rFonts w:eastAsiaTheme="minorEastAsia"/>
          <w:szCs w:val="21"/>
        </w:rPr>
      </w:pPr>
      <w:r w:rsidRPr="00BF42B7">
        <w:rPr>
          <w:rFonts w:eastAsiaTheme="minorEastAsia"/>
          <w:szCs w:val="21"/>
        </w:rPr>
        <w:t>(7)</w:t>
      </w:r>
      <w:r w:rsidRPr="00BF42B7">
        <w:rPr>
          <w:rFonts w:eastAsiaTheme="minorEastAsia" w:hint="eastAsia"/>
          <w:szCs w:val="21"/>
        </w:rPr>
        <w:t xml:space="preserve">  </w:t>
      </w:r>
      <w:r w:rsidRPr="00BF42B7">
        <w:rPr>
          <w:rFonts w:eastAsiaTheme="minorEastAsia" w:hint="eastAsia"/>
          <w:szCs w:val="21"/>
        </w:rPr>
        <w:t>国际人道主义</w:t>
      </w:r>
      <w:r w:rsidRPr="00BF42B7">
        <w:rPr>
          <w:rFonts w:eastAsiaTheme="minorEastAsia" w:hint="eastAsia"/>
          <w:szCs w:val="21"/>
          <w:lang w:val="zh-CN"/>
        </w:rPr>
        <w:t>行动者自己也可以促进实现所追求的目标</w:t>
      </w:r>
      <w:r w:rsidRPr="00BF42B7">
        <w:rPr>
          <w:rFonts w:eastAsiaTheme="minorEastAsia" w:hint="eastAsia"/>
          <w:szCs w:val="21"/>
        </w:rPr>
        <w:t>，</w:t>
      </w:r>
      <w:r w:rsidRPr="00BF42B7">
        <w:rPr>
          <w:rFonts w:eastAsiaTheme="minorEastAsia" w:hint="eastAsia"/>
          <w:szCs w:val="21"/>
          <w:lang w:val="zh-CN"/>
        </w:rPr>
        <w:t>通过在其行动规划和实施过程中采取一系列的措施</w:t>
      </w:r>
      <w:r w:rsidRPr="00BF42B7">
        <w:rPr>
          <w:rFonts w:eastAsiaTheme="minorEastAsia" w:hint="eastAsia"/>
          <w:szCs w:val="21"/>
        </w:rPr>
        <w:t>，</w:t>
      </w:r>
      <w:r w:rsidRPr="00BF42B7">
        <w:rPr>
          <w:rFonts w:eastAsiaTheme="minorEastAsia" w:hint="eastAsia"/>
          <w:szCs w:val="21"/>
          <w:lang w:val="zh-CN"/>
        </w:rPr>
        <w:t>降低遭受安全威胁的可能性。可通过各种措施来做到这一点</w:t>
      </w:r>
      <w:r w:rsidRPr="00BF42B7">
        <w:rPr>
          <w:rFonts w:eastAsiaTheme="minorEastAsia" w:hint="eastAsia"/>
          <w:szCs w:val="21"/>
        </w:rPr>
        <w:t>，</w:t>
      </w:r>
      <w:r w:rsidRPr="00BF42B7">
        <w:rPr>
          <w:rFonts w:eastAsiaTheme="minorEastAsia" w:hint="eastAsia"/>
          <w:szCs w:val="21"/>
          <w:lang w:val="zh-CN"/>
        </w:rPr>
        <w:t>例如</w:t>
      </w:r>
      <w:r w:rsidRPr="00BF42B7">
        <w:rPr>
          <w:rFonts w:eastAsiaTheme="minorEastAsia" w:hint="eastAsia"/>
          <w:szCs w:val="21"/>
        </w:rPr>
        <w:t>，</w:t>
      </w:r>
      <w:r w:rsidRPr="00BF42B7">
        <w:rPr>
          <w:rFonts w:eastAsiaTheme="minorEastAsia" w:hint="eastAsia"/>
          <w:szCs w:val="21"/>
          <w:lang w:val="zh-CN"/>
        </w:rPr>
        <w:t>制定恰当的行为守则</w:t>
      </w:r>
      <w:r w:rsidRPr="00BF42B7">
        <w:rPr>
          <w:rFonts w:eastAsiaTheme="minorEastAsia" w:hint="eastAsia"/>
          <w:szCs w:val="21"/>
        </w:rPr>
        <w:t>，</w:t>
      </w:r>
      <w:r w:rsidRPr="00BF42B7">
        <w:rPr>
          <w:rFonts w:eastAsiaTheme="minorEastAsia" w:hint="eastAsia"/>
          <w:szCs w:val="21"/>
          <w:lang w:val="zh-CN"/>
        </w:rPr>
        <w:t>开展培训活动</w:t>
      </w:r>
      <w:r w:rsidRPr="00BF42B7">
        <w:rPr>
          <w:rFonts w:eastAsiaTheme="minorEastAsia" w:hint="eastAsia"/>
          <w:szCs w:val="21"/>
        </w:rPr>
        <w:t>，</w:t>
      </w:r>
      <w:r w:rsidRPr="00BF42B7">
        <w:rPr>
          <w:rFonts w:eastAsiaTheme="minorEastAsia" w:hint="eastAsia"/>
          <w:szCs w:val="21"/>
          <w:lang w:val="zh-CN"/>
        </w:rPr>
        <w:t>提供适当的信息</w:t>
      </w:r>
      <w:r w:rsidRPr="00BF42B7">
        <w:rPr>
          <w:rFonts w:eastAsiaTheme="minorEastAsia" w:hint="eastAsia"/>
          <w:szCs w:val="21"/>
        </w:rPr>
        <w:t>，</w:t>
      </w:r>
      <w:r w:rsidRPr="00BF42B7">
        <w:rPr>
          <w:rFonts w:eastAsiaTheme="minorEastAsia" w:hint="eastAsia"/>
          <w:szCs w:val="21"/>
          <w:lang w:val="zh-CN"/>
        </w:rPr>
        <w:t>介绍其人员开展活动时所处的条件</w:t>
      </w:r>
      <w:r w:rsidRPr="00BF42B7">
        <w:rPr>
          <w:rFonts w:eastAsiaTheme="minorEastAsia" w:hint="eastAsia"/>
          <w:szCs w:val="21"/>
        </w:rPr>
        <w:t>，</w:t>
      </w:r>
      <w:r w:rsidRPr="00BF42B7">
        <w:rPr>
          <w:rFonts w:eastAsiaTheme="minorEastAsia" w:hint="eastAsia"/>
          <w:szCs w:val="21"/>
          <w:lang w:val="zh-CN"/>
        </w:rPr>
        <w:t>他们须遵守的行为标准等等。无论如何</w:t>
      </w:r>
      <w:r w:rsidRPr="00BF42B7">
        <w:rPr>
          <w:rFonts w:eastAsiaTheme="minorEastAsia" w:hint="eastAsia"/>
          <w:szCs w:val="21"/>
        </w:rPr>
        <w:t>，</w:t>
      </w:r>
      <w:r w:rsidRPr="00BF42B7">
        <w:rPr>
          <w:rFonts w:eastAsiaTheme="minorEastAsia" w:hint="eastAsia"/>
          <w:szCs w:val="21"/>
          <w:lang w:val="zh-CN"/>
        </w:rPr>
        <w:t>采取这类降低风险的措施不应干扰受灾国自主采取措施。</w:t>
      </w:r>
    </w:p>
    <w:p w:rsidR="00765E0D" w:rsidRPr="00BF42B7" w:rsidRDefault="00765E0D" w:rsidP="00765E0D">
      <w:pPr>
        <w:pStyle w:val="SingleTxtGC"/>
        <w:rPr>
          <w:rFonts w:eastAsiaTheme="minorEastAsia"/>
          <w:szCs w:val="21"/>
        </w:rPr>
      </w:pPr>
      <w:r w:rsidRPr="00BF42B7">
        <w:rPr>
          <w:rFonts w:eastAsiaTheme="minorEastAsia"/>
          <w:szCs w:val="21"/>
        </w:rPr>
        <w:t>(8)</w:t>
      </w:r>
      <w:r w:rsidRPr="00BF42B7">
        <w:rPr>
          <w:rFonts w:eastAsiaTheme="minorEastAsia" w:hint="eastAsia"/>
          <w:szCs w:val="21"/>
        </w:rPr>
        <w:t xml:space="preserve">  </w:t>
      </w:r>
      <w:r w:rsidRPr="00BF42B7">
        <w:rPr>
          <w:rFonts w:eastAsiaTheme="minorEastAsia" w:hint="eastAsia"/>
          <w:szCs w:val="21"/>
        </w:rPr>
        <w:t>与此同时，</w:t>
      </w:r>
      <w:r w:rsidRPr="00BF42B7">
        <w:rPr>
          <w:rFonts w:eastAsiaTheme="minorEastAsia" w:hint="eastAsia"/>
          <w:szCs w:val="21"/>
          <w:lang w:val="zh-CN"/>
        </w:rPr>
        <w:t>必须强调的是</w:t>
      </w:r>
      <w:r w:rsidRPr="00BF42B7">
        <w:rPr>
          <w:rFonts w:eastAsiaTheme="minorEastAsia" w:hint="eastAsia"/>
          <w:szCs w:val="21"/>
        </w:rPr>
        <w:t>，</w:t>
      </w:r>
      <w:r w:rsidRPr="00BF42B7">
        <w:rPr>
          <w:rFonts w:eastAsiaTheme="minorEastAsia" w:hint="eastAsia"/>
          <w:szCs w:val="21"/>
          <w:lang w:val="zh-CN"/>
        </w:rPr>
        <w:t>在对安全风险进行评价时不应该忘记救灾任务的特点和保证向灾民提供充分和有效的救灾反应的需要。第</w:t>
      </w:r>
      <w:r w:rsidRPr="00BF42B7">
        <w:rPr>
          <w:rFonts w:eastAsiaTheme="minorEastAsia"/>
          <w:szCs w:val="21"/>
        </w:rPr>
        <w:t>1</w:t>
      </w:r>
      <w:r w:rsidRPr="00BF42B7">
        <w:rPr>
          <w:rFonts w:eastAsiaTheme="minorEastAsia" w:hint="eastAsia"/>
          <w:szCs w:val="21"/>
        </w:rPr>
        <w:t>6</w:t>
      </w:r>
      <w:r w:rsidRPr="00BF42B7">
        <w:rPr>
          <w:rFonts w:eastAsiaTheme="minorEastAsia" w:hint="eastAsia"/>
          <w:szCs w:val="21"/>
          <w:lang w:val="zh-CN"/>
        </w:rPr>
        <w:t>条草案不应被误解为会导致给救灾活动设置不合理和不相称的障碍。正如前面围绕第</w:t>
      </w:r>
      <w:r w:rsidRPr="00BF42B7">
        <w:rPr>
          <w:rFonts w:eastAsiaTheme="minorEastAsia" w:hint="eastAsia"/>
          <w:szCs w:val="21"/>
        </w:rPr>
        <w:t>15</w:t>
      </w:r>
      <w:r w:rsidRPr="00BF42B7">
        <w:rPr>
          <w:rFonts w:eastAsiaTheme="minorEastAsia" w:hint="eastAsia"/>
          <w:szCs w:val="21"/>
          <w:lang w:val="zh-CN"/>
        </w:rPr>
        <w:t>条草案已经强调过的那样</w:t>
      </w:r>
      <w:r w:rsidRPr="00BF42B7">
        <w:rPr>
          <w:rFonts w:eastAsiaTheme="minorEastAsia" w:hint="eastAsia"/>
          <w:szCs w:val="21"/>
        </w:rPr>
        <w:t>，</w:t>
      </w:r>
      <w:r w:rsidRPr="00BF42B7">
        <w:rPr>
          <w:rFonts w:eastAsiaTheme="minorEastAsia" w:hint="eastAsia"/>
          <w:szCs w:val="21"/>
          <w:lang w:val="zh-CN"/>
        </w:rPr>
        <w:t>基于安全考虑可能采取的限制救灾人员行动的措施不应导致不必要地限制这些行为者向受灾者提供援助的能力。</w:t>
      </w:r>
    </w:p>
    <w:p w:rsidR="00765E0D" w:rsidRPr="00BF42B7" w:rsidRDefault="00765E0D" w:rsidP="00765E0D">
      <w:pPr>
        <w:pStyle w:val="SingleTxtGC"/>
        <w:rPr>
          <w:rFonts w:eastAsiaTheme="minorEastAsia"/>
          <w:szCs w:val="21"/>
        </w:rPr>
      </w:pPr>
      <w:r w:rsidRPr="00BF42B7">
        <w:rPr>
          <w:rFonts w:eastAsiaTheme="minorEastAsia"/>
          <w:szCs w:val="21"/>
        </w:rPr>
        <w:t>(9)</w:t>
      </w:r>
      <w:r w:rsidRPr="00BF42B7">
        <w:rPr>
          <w:rFonts w:eastAsiaTheme="minorEastAsia" w:hint="eastAsia"/>
          <w:szCs w:val="21"/>
        </w:rPr>
        <w:t xml:space="preserve">  </w:t>
      </w:r>
      <w:r w:rsidRPr="00BF42B7">
        <w:rPr>
          <w:rFonts w:eastAsiaTheme="minorEastAsia" w:hint="eastAsia"/>
          <w:szCs w:val="21"/>
        </w:rPr>
        <w:t>同样，对于</w:t>
      </w:r>
      <w:r w:rsidRPr="00BF42B7">
        <w:rPr>
          <w:rFonts w:eastAsiaTheme="minorEastAsia" w:hint="eastAsia"/>
          <w:szCs w:val="21"/>
          <w:lang w:val="zh-CN"/>
        </w:rPr>
        <w:t>在救灾行动中是否可以使用武装护送人员以消除安全顾虑的问题，应严格根据由主要人道主义行动者在这方面建立起来的最佳做法进行评估。在此特别提醒注意</w:t>
      </w:r>
      <w:r w:rsidRPr="00BF42B7">
        <w:rPr>
          <w:rFonts w:eastAsiaTheme="minorEastAsia"/>
          <w:szCs w:val="21"/>
          <w:lang w:val="zh-CN"/>
        </w:rPr>
        <w:t>2013</w:t>
      </w:r>
      <w:r w:rsidRPr="00BF42B7">
        <w:rPr>
          <w:rFonts w:eastAsiaTheme="minorEastAsia" w:hint="eastAsia"/>
          <w:szCs w:val="21"/>
          <w:lang w:val="zh-CN"/>
        </w:rPr>
        <w:t>年机构间常设委员会制订的“武装护送人道主义车队非约束性指南”，</w:t>
      </w:r>
      <w:r w:rsidRPr="00BF42B7">
        <w:rPr>
          <w:rStyle w:val="a5"/>
          <w:rFonts w:eastAsiaTheme="minorEastAsia"/>
          <w:szCs w:val="21"/>
        </w:rPr>
        <w:footnoteReference w:id="231"/>
      </w:r>
      <w:r w:rsidRPr="00BF42B7">
        <w:rPr>
          <w:rFonts w:eastAsiaTheme="minorEastAsia"/>
          <w:szCs w:val="21"/>
          <w:lang w:val="zh-CN"/>
        </w:rPr>
        <w:t xml:space="preserve"> </w:t>
      </w:r>
      <w:r w:rsidRPr="00BF42B7">
        <w:rPr>
          <w:rFonts w:eastAsiaTheme="minorEastAsia" w:hint="eastAsia"/>
          <w:szCs w:val="21"/>
          <w:lang w:val="zh-CN"/>
        </w:rPr>
        <w:t>其目的是协助有关行为者恰当地评估是否采取这种敏感的行动方案。正如该文件所解释的那样，人道主义车队通常不会使用武装护送，除非有特殊情况存在，必须使用武装护送。为了确认特殊情况，相关行为者应考虑武装护送的后果和可能的替代办法，尤其应考虑到灾害情况下可能出现的普遍安全问题可能远不如其他情况下存在的安全问题严重。</w:t>
      </w:r>
    </w:p>
    <w:p w:rsidR="00765E0D" w:rsidRPr="00BF42B7" w:rsidRDefault="00765E0D" w:rsidP="00765E0D">
      <w:pPr>
        <w:pStyle w:val="SingleTxtGC"/>
        <w:rPr>
          <w:rFonts w:eastAsiaTheme="minorEastAsia"/>
          <w:szCs w:val="21"/>
        </w:rPr>
      </w:pPr>
      <w:r w:rsidRPr="00BF42B7">
        <w:rPr>
          <w:rFonts w:eastAsiaTheme="minorEastAsia"/>
          <w:szCs w:val="21"/>
        </w:rPr>
        <w:t xml:space="preserve">(10)  </w:t>
      </w:r>
      <w:r w:rsidRPr="00BF42B7">
        <w:rPr>
          <w:rFonts w:eastAsiaTheme="minorEastAsia" w:hint="eastAsia"/>
          <w:szCs w:val="21"/>
        </w:rPr>
        <w:t>第</w:t>
      </w:r>
      <w:r w:rsidRPr="00BF42B7">
        <w:rPr>
          <w:rFonts w:eastAsiaTheme="minorEastAsia"/>
          <w:szCs w:val="21"/>
        </w:rPr>
        <w:t>1</w:t>
      </w:r>
      <w:r w:rsidRPr="00BF42B7">
        <w:rPr>
          <w:rFonts w:eastAsiaTheme="minorEastAsia" w:hint="eastAsia"/>
          <w:szCs w:val="21"/>
        </w:rPr>
        <w:t>6</w:t>
      </w:r>
      <w:r w:rsidRPr="00BF42B7">
        <w:rPr>
          <w:rFonts w:eastAsiaTheme="minorEastAsia" w:hint="eastAsia"/>
          <w:szCs w:val="21"/>
        </w:rPr>
        <w:t>条</w:t>
      </w:r>
      <w:r w:rsidRPr="00BF42B7">
        <w:rPr>
          <w:rFonts w:eastAsiaTheme="minorEastAsia" w:hint="eastAsia"/>
          <w:szCs w:val="21"/>
          <w:lang w:val="zh-CN"/>
        </w:rPr>
        <w:t>草案规定须保护“救灾人员、设备和物资”，即为第</w:t>
      </w:r>
      <w:r w:rsidRPr="00BF42B7">
        <w:rPr>
          <w:rFonts w:eastAsiaTheme="minorEastAsia" w:hint="eastAsia"/>
          <w:szCs w:val="21"/>
          <w:lang w:val="zh-CN"/>
        </w:rPr>
        <w:t>3</w:t>
      </w:r>
      <w:r w:rsidRPr="00BF42B7">
        <w:rPr>
          <w:rFonts w:eastAsiaTheme="minorEastAsia" w:hint="eastAsia"/>
          <w:szCs w:val="21"/>
          <w:lang w:val="zh-CN"/>
        </w:rPr>
        <w:t>条草案</w:t>
      </w:r>
      <w:r w:rsidRPr="00BF42B7">
        <w:rPr>
          <w:rFonts w:eastAsiaTheme="minorEastAsia"/>
          <w:szCs w:val="21"/>
          <w:lang w:val="zh-CN"/>
        </w:rPr>
        <w:t>(f)</w:t>
      </w:r>
      <w:r w:rsidRPr="00BF42B7">
        <w:rPr>
          <w:rFonts w:eastAsiaTheme="minorEastAsia" w:hint="eastAsia"/>
          <w:szCs w:val="21"/>
          <w:lang w:val="zh-CN"/>
        </w:rPr>
        <w:t>项和</w:t>
      </w:r>
      <w:r w:rsidRPr="00BF42B7">
        <w:rPr>
          <w:rFonts w:eastAsiaTheme="minorEastAsia"/>
          <w:szCs w:val="21"/>
          <w:lang w:val="zh-CN"/>
        </w:rPr>
        <w:t>(g)</w:t>
      </w:r>
      <w:r w:rsidRPr="00BF42B7">
        <w:rPr>
          <w:rFonts w:eastAsiaTheme="minorEastAsia" w:hint="eastAsia"/>
          <w:szCs w:val="21"/>
          <w:lang w:val="zh-CN"/>
        </w:rPr>
        <w:t>项所界定的参与提供外部援助的这类人员和物品提供保护。正如本条款草案中其他一些规定、主要是第</w:t>
      </w:r>
      <w:r w:rsidRPr="00BF42B7">
        <w:rPr>
          <w:rFonts w:eastAsiaTheme="minorEastAsia"/>
          <w:szCs w:val="21"/>
          <w:lang w:val="zh-CN"/>
        </w:rPr>
        <w:t>1</w:t>
      </w:r>
      <w:r w:rsidRPr="00BF42B7">
        <w:rPr>
          <w:rFonts w:eastAsiaTheme="minorEastAsia" w:hint="eastAsia"/>
          <w:szCs w:val="21"/>
          <w:lang w:val="zh-CN"/>
        </w:rPr>
        <w:t>0</w:t>
      </w:r>
      <w:r w:rsidRPr="00BF42B7">
        <w:rPr>
          <w:rFonts w:eastAsiaTheme="minorEastAsia" w:hint="eastAsia"/>
          <w:szCs w:val="21"/>
          <w:lang w:val="zh-CN"/>
        </w:rPr>
        <w:t>条和第</w:t>
      </w:r>
      <w:r w:rsidRPr="00BF42B7">
        <w:rPr>
          <w:rFonts w:eastAsiaTheme="minorEastAsia" w:hint="eastAsia"/>
          <w:szCs w:val="21"/>
          <w:lang w:val="zh-CN"/>
        </w:rPr>
        <w:t>13</w:t>
      </w:r>
      <w:r w:rsidRPr="00BF42B7">
        <w:rPr>
          <w:rFonts w:eastAsiaTheme="minorEastAsia" w:hint="eastAsia"/>
          <w:szCs w:val="21"/>
          <w:lang w:val="zh-CN"/>
        </w:rPr>
        <w:t>条草案所强调的那样，外部援助应以受灾国的同意为前提，受灾国在指挥、控制、协调和监督这类活动方面应发挥主要作用。因此，一旦受灾国请求援助，或已接受援助国的援助提议，受灾国就应努力保障第</w:t>
      </w:r>
      <w:r w:rsidRPr="00BF42B7">
        <w:rPr>
          <w:rFonts w:eastAsiaTheme="minorEastAsia" w:hint="eastAsia"/>
          <w:szCs w:val="21"/>
          <w:lang w:val="zh-CN"/>
        </w:rPr>
        <w:t>16</w:t>
      </w:r>
      <w:r w:rsidRPr="00BF42B7">
        <w:rPr>
          <w:rFonts w:eastAsiaTheme="minorEastAsia" w:hint="eastAsia"/>
          <w:szCs w:val="21"/>
          <w:lang w:val="zh-CN"/>
        </w:rPr>
        <w:t>条草案所规定的保护。</w:t>
      </w:r>
    </w:p>
    <w:p w:rsidR="00765E0D" w:rsidRPr="00BF42B7" w:rsidRDefault="00765E0D" w:rsidP="00765E0D">
      <w:pPr>
        <w:pStyle w:val="SingleTxtGC"/>
        <w:rPr>
          <w:rFonts w:eastAsiaTheme="minorEastAsia"/>
          <w:szCs w:val="21"/>
        </w:rPr>
      </w:pPr>
      <w:r w:rsidRPr="00BF42B7">
        <w:rPr>
          <w:rFonts w:eastAsiaTheme="minorEastAsia"/>
          <w:szCs w:val="21"/>
        </w:rPr>
        <w:t xml:space="preserve">(11)  </w:t>
      </w:r>
      <w:r w:rsidRPr="00BF42B7">
        <w:rPr>
          <w:rFonts w:eastAsiaTheme="minorEastAsia" w:hint="eastAsia"/>
          <w:szCs w:val="21"/>
        </w:rPr>
        <w:t>这种全面的处理</w:t>
      </w:r>
      <w:r w:rsidRPr="00BF42B7">
        <w:rPr>
          <w:rFonts w:eastAsiaTheme="minorEastAsia" w:hint="eastAsia"/>
          <w:szCs w:val="21"/>
          <w:lang w:val="zh-CN"/>
        </w:rPr>
        <w:t>办法对于正确履行第</w:t>
      </w:r>
      <w:r w:rsidRPr="00BF42B7">
        <w:rPr>
          <w:rFonts w:eastAsiaTheme="minorEastAsia"/>
          <w:szCs w:val="21"/>
          <w:lang w:val="zh-CN"/>
        </w:rPr>
        <w:t>1</w:t>
      </w:r>
      <w:r w:rsidRPr="00BF42B7">
        <w:rPr>
          <w:rFonts w:eastAsiaTheme="minorEastAsia" w:hint="eastAsia"/>
          <w:szCs w:val="21"/>
          <w:lang w:val="zh-CN"/>
        </w:rPr>
        <w:t>6</w:t>
      </w:r>
      <w:r w:rsidRPr="00BF42B7">
        <w:rPr>
          <w:rFonts w:eastAsiaTheme="minorEastAsia" w:hint="eastAsia"/>
          <w:szCs w:val="21"/>
          <w:lang w:val="zh-CN"/>
        </w:rPr>
        <w:t>条草案规定的义务是有用的。国内当局最能够确保为救灾活动的实施确立一个适当的安全框架。具体而言，国内当局应该考虑到安全方面的关切，评估国际救灾人员可能面临的安全风险，与他们合作处理安全问题，并协调外部行为者的活动。</w:t>
      </w:r>
    </w:p>
    <w:p w:rsidR="00765E0D" w:rsidRPr="00BF42B7" w:rsidRDefault="00765E0D" w:rsidP="00765E0D">
      <w:pPr>
        <w:pStyle w:val="SingleTxtGC"/>
        <w:rPr>
          <w:rFonts w:eastAsiaTheme="minorEastAsia"/>
          <w:szCs w:val="21"/>
        </w:rPr>
      </w:pPr>
      <w:r w:rsidRPr="00BF42B7">
        <w:rPr>
          <w:rFonts w:eastAsiaTheme="minorEastAsia"/>
          <w:szCs w:val="21"/>
        </w:rPr>
        <w:t xml:space="preserve">(12)  </w:t>
      </w:r>
      <w:r w:rsidRPr="00BF42B7">
        <w:rPr>
          <w:rFonts w:eastAsiaTheme="minorEastAsia" w:hint="eastAsia"/>
          <w:szCs w:val="21"/>
        </w:rPr>
        <w:t>根据第</w:t>
      </w:r>
      <w:r w:rsidRPr="00BF42B7">
        <w:rPr>
          <w:rFonts w:eastAsiaTheme="minorEastAsia" w:hint="eastAsia"/>
          <w:szCs w:val="21"/>
        </w:rPr>
        <w:t>3</w:t>
      </w:r>
      <w:r w:rsidRPr="00BF42B7">
        <w:rPr>
          <w:rFonts w:eastAsiaTheme="minorEastAsia" w:hint="eastAsia"/>
          <w:szCs w:val="21"/>
          <w:lang w:val="zh-CN"/>
        </w:rPr>
        <w:t>条草案</w:t>
      </w:r>
      <w:r w:rsidRPr="00BF42B7">
        <w:rPr>
          <w:rFonts w:eastAsiaTheme="minorEastAsia"/>
          <w:szCs w:val="21"/>
          <w:lang w:val="zh-CN"/>
        </w:rPr>
        <w:t>(f)</w:t>
      </w:r>
      <w:r w:rsidRPr="00BF42B7">
        <w:rPr>
          <w:rFonts w:eastAsiaTheme="minorEastAsia" w:hint="eastAsia"/>
          <w:szCs w:val="21"/>
          <w:lang w:val="zh-CN"/>
        </w:rPr>
        <w:t>项，可能受益于第</w:t>
      </w:r>
      <w:r w:rsidRPr="00BF42B7">
        <w:rPr>
          <w:rFonts w:eastAsiaTheme="minorEastAsia"/>
          <w:szCs w:val="21"/>
          <w:lang w:val="zh-CN"/>
        </w:rPr>
        <w:t>1</w:t>
      </w:r>
      <w:r w:rsidRPr="00BF42B7">
        <w:rPr>
          <w:rFonts w:eastAsiaTheme="minorEastAsia" w:hint="eastAsia"/>
          <w:szCs w:val="21"/>
          <w:lang w:val="zh-CN"/>
        </w:rPr>
        <w:t>6</w:t>
      </w:r>
      <w:r w:rsidRPr="00BF42B7">
        <w:rPr>
          <w:rFonts w:eastAsiaTheme="minorEastAsia" w:hint="eastAsia"/>
          <w:szCs w:val="21"/>
          <w:lang w:val="zh-CN"/>
        </w:rPr>
        <w:t>条草案的救灾人员可能属于援助国或其他援助方，即主管政府间组织、或有关非政府组织或实体经受灾国同意而向其派遣的提供援助的民事或军事人员</w:t>
      </w:r>
      <w:r w:rsidRPr="00BF42B7">
        <w:rPr>
          <w:rFonts w:eastAsiaTheme="minorEastAsia"/>
          <w:szCs w:val="21"/>
          <w:lang w:val="zh-CN"/>
        </w:rPr>
        <w:t>(</w:t>
      </w:r>
      <w:r w:rsidRPr="00BF42B7">
        <w:rPr>
          <w:rFonts w:eastAsiaTheme="minorEastAsia" w:hint="eastAsia"/>
          <w:szCs w:val="21"/>
          <w:lang w:val="zh-CN"/>
        </w:rPr>
        <w:t>视情况而定</w:t>
      </w:r>
      <w:r w:rsidRPr="00BF42B7">
        <w:rPr>
          <w:rFonts w:eastAsiaTheme="minorEastAsia"/>
          <w:szCs w:val="21"/>
          <w:lang w:val="zh-CN"/>
        </w:rPr>
        <w:t>)</w:t>
      </w:r>
      <w:r w:rsidRPr="00BF42B7">
        <w:rPr>
          <w:rFonts w:eastAsiaTheme="minorEastAsia" w:hint="eastAsia"/>
          <w:szCs w:val="21"/>
          <w:lang w:val="zh-CN"/>
        </w:rPr>
        <w:t>。因此，所有这些类别对于第</w:t>
      </w:r>
      <w:r w:rsidRPr="00BF42B7">
        <w:rPr>
          <w:rFonts w:eastAsiaTheme="minorEastAsia"/>
          <w:szCs w:val="21"/>
          <w:lang w:val="zh-CN"/>
        </w:rPr>
        <w:t>1</w:t>
      </w:r>
      <w:r w:rsidRPr="00BF42B7">
        <w:rPr>
          <w:rFonts w:eastAsiaTheme="minorEastAsia" w:hint="eastAsia"/>
          <w:szCs w:val="21"/>
          <w:lang w:val="zh-CN"/>
        </w:rPr>
        <w:t>6</w:t>
      </w:r>
      <w:r w:rsidRPr="00BF42B7">
        <w:rPr>
          <w:rFonts w:eastAsiaTheme="minorEastAsia" w:hint="eastAsia"/>
          <w:szCs w:val="21"/>
          <w:lang w:val="zh-CN"/>
        </w:rPr>
        <w:t>条草案的适用而言都是相关的。“外部援助”这一说法反映了第</w:t>
      </w:r>
      <w:r w:rsidRPr="00BF42B7">
        <w:rPr>
          <w:rFonts w:eastAsiaTheme="minorEastAsia"/>
          <w:szCs w:val="21"/>
          <w:lang w:val="zh-CN"/>
        </w:rPr>
        <w:t>1</w:t>
      </w:r>
      <w:r w:rsidRPr="00BF42B7">
        <w:rPr>
          <w:rFonts w:eastAsiaTheme="minorEastAsia" w:hint="eastAsia"/>
          <w:szCs w:val="21"/>
          <w:lang w:val="zh-CN"/>
        </w:rPr>
        <w:t>4</w:t>
      </w:r>
      <w:r w:rsidRPr="00BF42B7">
        <w:rPr>
          <w:rFonts w:eastAsiaTheme="minorEastAsia" w:hint="eastAsia"/>
          <w:szCs w:val="21"/>
          <w:lang w:val="zh-CN"/>
        </w:rPr>
        <w:t>条草案评注内已经申明的立场，</w:t>
      </w:r>
      <w:r w:rsidRPr="00BF42B7">
        <w:rPr>
          <w:rStyle w:val="a5"/>
          <w:rFonts w:eastAsiaTheme="minorEastAsia"/>
          <w:szCs w:val="21"/>
        </w:rPr>
        <w:footnoteReference w:id="232"/>
      </w:r>
      <w:r w:rsidRPr="00BF42B7">
        <w:rPr>
          <w:rFonts w:eastAsiaTheme="minorEastAsia" w:hint="eastAsia"/>
          <w:szCs w:val="21"/>
          <w:lang w:val="zh-CN"/>
        </w:rPr>
        <w:t xml:space="preserve"> </w:t>
      </w:r>
      <w:r w:rsidRPr="00BF42B7">
        <w:rPr>
          <w:rFonts w:eastAsiaTheme="minorEastAsia" w:hint="eastAsia"/>
          <w:szCs w:val="21"/>
          <w:lang w:val="zh-CN"/>
        </w:rPr>
        <w:t>即本条款只规范受灾国以外的行为者的活动。</w:t>
      </w:r>
    </w:p>
    <w:p w:rsidR="00765E0D" w:rsidRPr="00BF42B7" w:rsidRDefault="00765E0D" w:rsidP="00765E0D">
      <w:pPr>
        <w:pStyle w:val="SingleTxtGC"/>
        <w:rPr>
          <w:rFonts w:eastAsiaTheme="minorEastAsia"/>
          <w:szCs w:val="21"/>
          <w:lang w:val="zh-CN"/>
        </w:rPr>
      </w:pPr>
      <w:r w:rsidRPr="00BF42B7">
        <w:rPr>
          <w:rFonts w:eastAsiaTheme="minorEastAsia"/>
          <w:szCs w:val="21"/>
        </w:rPr>
        <w:t xml:space="preserve">(13)  </w:t>
      </w:r>
      <w:r w:rsidRPr="00BF42B7">
        <w:rPr>
          <w:rFonts w:eastAsiaTheme="minorEastAsia" w:hint="eastAsia"/>
          <w:szCs w:val="21"/>
        </w:rPr>
        <w:t>第</w:t>
      </w:r>
      <w:r w:rsidRPr="00BF42B7">
        <w:rPr>
          <w:rFonts w:eastAsiaTheme="minorEastAsia" w:hint="eastAsia"/>
          <w:szCs w:val="21"/>
        </w:rPr>
        <w:t>3</w:t>
      </w:r>
      <w:r w:rsidRPr="00BF42B7">
        <w:rPr>
          <w:rFonts w:eastAsiaTheme="minorEastAsia" w:hint="eastAsia"/>
          <w:szCs w:val="21"/>
        </w:rPr>
        <w:t>条</w:t>
      </w:r>
      <w:r w:rsidRPr="00BF42B7">
        <w:rPr>
          <w:rFonts w:eastAsiaTheme="minorEastAsia" w:hint="eastAsia"/>
          <w:szCs w:val="21"/>
          <w:lang w:val="zh-CN"/>
        </w:rPr>
        <w:t>草案</w:t>
      </w:r>
      <w:r w:rsidRPr="00BF42B7">
        <w:rPr>
          <w:rFonts w:eastAsiaTheme="minorEastAsia"/>
          <w:szCs w:val="21"/>
          <w:lang w:val="zh-CN"/>
        </w:rPr>
        <w:t>(g)</w:t>
      </w:r>
      <w:r w:rsidRPr="00BF42B7">
        <w:rPr>
          <w:rFonts w:eastAsiaTheme="minorEastAsia" w:hint="eastAsia"/>
          <w:szCs w:val="21"/>
          <w:lang w:val="zh-CN"/>
        </w:rPr>
        <w:t>项所界定的与救灾人员的活动有关的设备和物资同样受益于第</w:t>
      </w:r>
      <w:r w:rsidRPr="00BF42B7">
        <w:rPr>
          <w:rFonts w:eastAsiaTheme="minorEastAsia"/>
          <w:szCs w:val="21"/>
          <w:lang w:val="zh-CN"/>
        </w:rPr>
        <w:t>1</w:t>
      </w:r>
      <w:r w:rsidRPr="00BF42B7">
        <w:rPr>
          <w:rFonts w:eastAsiaTheme="minorEastAsia" w:hint="eastAsia"/>
          <w:szCs w:val="21"/>
          <w:lang w:val="zh-CN"/>
        </w:rPr>
        <w:t>6</w:t>
      </w:r>
      <w:r w:rsidRPr="00BF42B7">
        <w:rPr>
          <w:rFonts w:eastAsiaTheme="minorEastAsia" w:hint="eastAsia"/>
          <w:szCs w:val="21"/>
          <w:lang w:val="zh-CN"/>
        </w:rPr>
        <w:t>条草案的适用。由援助国或其他援助方支配的设备和物资不论来自于何处，都将属于第</w:t>
      </w:r>
      <w:r w:rsidRPr="00BF42B7">
        <w:rPr>
          <w:rFonts w:eastAsiaTheme="minorEastAsia"/>
          <w:szCs w:val="21"/>
          <w:lang w:val="zh-CN"/>
        </w:rPr>
        <w:t>1</w:t>
      </w:r>
      <w:r w:rsidRPr="00BF42B7">
        <w:rPr>
          <w:rFonts w:eastAsiaTheme="minorEastAsia" w:hint="eastAsia"/>
          <w:szCs w:val="21"/>
          <w:lang w:val="zh-CN"/>
        </w:rPr>
        <w:t>6</w:t>
      </w:r>
      <w:r w:rsidRPr="00BF42B7">
        <w:rPr>
          <w:rFonts w:eastAsiaTheme="minorEastAsia" w:hint="eastAsia"/>
          <w:szCs w:val="21"/>
          <w:lang w:val="zh-CN"/>
        </w:rPr>
        <w:t>条的适用范围。这些物品也可以在受灾国的国内市场上直接购买。“处于</w:t>
      </w:r>
      <w:r w:rsidRPr="00BF42B7">
        <w:rPr>
          <w:rFonts w:eastAsiaTheme="minorEastAsia"/>
          <w:szCs w:val="21"/>
          <w:lang w:val="zh-CN"/>
        </w:rPr>
        <w:t>该国领土或受该国管辖或控制的领土内</w:t>
      </w:r>
      <w:r w:rsidRPr="00BF42B7">
        <w:rPr>
          <w:rFonts w:eastAsiaTheme="minorEastAsia" w:hint="eastAsia"/>
          <w:szCs w:val="21"/>
          <w:lang w:val="zh-CN"/>
        </w:rPr>
        <w:t>”这一措辞正是为了澄清这一问题。</w:t>
      </w:r>
    </w:p>
    <w:p w:rsidR="00765E0D" w:rsidRPr="00BF42B7" w:rsidRDefault="00765E0D" w:rsidP="00765E0D">
      <w:pPr>
        <w:pStyle w:val="H23GC"/>
        <w:ind w:left="1554"/>
        <w:jc w:val="left"/>
        <w:rPr>
          <w:szCs w:val="21"/>
        </w:rPr>
      </w:pPr>
      <w:r w:rsidRPr="00BF42B7">
        <w:rPr>
          <w:rFonts w:hint="eastAsia"/>
          <w:szCs w:val="21"/>
        </w:rPr>
        <w:tab/>
      </w:r>
      <w:r w:rsidRPr="00BF42B7">
        <w:rPr>
          <w:rFonts w:hint="eastAsia"/>
          <w:szCs w:val="21"/>
        </w:rPr>
        <w:tab/>
      </w:r>
      <w:r w:rsidRPr="00BF42B7">
        <w:rPr>
          <w:szCs w:val="21"/>
        </w:rPr>
        <w:t>第</w:t>
      </w:r>
      <w:r w:rsidRPr="00BF42B7">
        <w:rPr>
          <w:szCs w:val="21"/>
        </w:rPr>
        <w:t>17</w:t>
      </w:r>
      <w:r w:rsidRPr="00BF42B7">
        <w:rPr>
          <w:szCs w:val="21"/>
        </w:rPr>
        <w:t>条</w:t>
      </w:r>
      <w:r w:rsidRPr="00BF42B7">
        <w:rPr>
          <w:rFonts w:hint="eastAsia"/>
          <w:szCs w:val="21"/>
        </w:rPr>
        <w:br/>
      </w:r>
      <w:r w:rsidRPr="00BF42B7">
        <w:rPr>
          <w:szCs w:val="21"/>
        </w:rPr>
        <w:t>终止外部援助</w:t>
      </w:r>
    </w:p>
    <w:p w:rsidR="00765E0D" w:rsidRPr="00BF42B7" w:rsidRDefault="00765E0D" w:rsidP="00765E0D">
      <w:pPr>
        <w:pStyle w:val="SingleTxtGC"/>
        <w:ind w:left="1554" w:firstLine="431"/>
        <w:rPr>
          <w:rFonts w:eastAsiaTheme="minorEastAsia"/>
          <w:b/>
          <w:szCs w:val="21"/>
        </w:rPr>
      </w:pPr>
      <w:r w:rsidRPr="00BF42B7">
        <w:rPr>
          <w:rFonts w:eastAsiaTheme="minorEastAsia"/>
          <w:szCs w:val="21"/>
          <w:lang w:val="zh-CN"/>
        </w:rPr>
        <w:t>受灾国、援助国、联合国或其他援助方均可在任何时候终止外部援助。任何希望终止援助的国家或行为方应发出适当的通知。受灾国以及适当时</w:t>
      </w:r>
      <w:r w:rsidRPr="00BF42B7">
        <w:rPr>
          <w:rFonts w:eastAsiaTheme="minorEastAsia" w:hint="eastAsia"/>
          <w:szCs w:val="21"/>
          <w:lang w:val="zh-CN"/>
        </w:rPr>
        <w:t>，</w:t>
      </w:r>
      <w:r w:rsidRPr="00BF42B7">
        <w:rPr>
          <w:rFonts w:eastAsiaTheme="minorEastAsia"/>
          <w:szCs w:val="21"/>
          <w:lang w:val="zh-CN"/>
        </w:rPr>
        <w:t>援助国、联合国或其他援助方</w:t>
      </w:r>
      <w:r w:rsidRPr="00BF42B7">
        <w:rPr>
          <w:rFonts w:eastAsiaTheme="minorEastAsia" w:hint="eastAsia"/>
          <w:szCs w:val="21"/>
          <w:lang w:val="zh-CN"/>
        </w:rPr>
        <w:t>，</w:t>
      </w:r>
      <w:r w:rsidRPr="00BF42B7">
        <w:rPr>
          <w:rFonts w:eastAsiaTheme="minorEastAsia"/>
          <w:szCs w:val="21"/>
          <w:lang w:val="zh-CN"/>
        </w:rPr>
        <w:t>应就终止外部援助</w:t>
      </w:r>
      <w:r w:rsidRPr="00BF42B7">
        <w:rPr>
          <w:rFonts w:eastAsiaTheme="minorEastAsia" w:hint="eastAsia"/>
          <w:szCs w:val="21"/>
          <w:lang w:val="zh-CN"/>
        </w:rPr>
        <w:t>问题</w:t>
      </w:r>
      <w:r w:rsidRPr="00BF42B7">
        <w:rPr>
          <w:rFonts w:eastAsiaTheme="minorEastAsia"/>
          <w:szCs w:val="21"/>
          <w:lang w:val="zh-CN"/>
        </w:rPr>
        <w:t>和终止方式进行磋商。</w:t>
      </w:r>
      <w:bookmarkStart w:id="53" w:name="_Toc398107271"/>
    </w:p>
    <w:p w:rsidR="00765E0D" w:rsidRPr="00BF42B7" w:rsidRDefault="00765E0D" w:rsidP="00765E0D">
      <w:pPr>
        <w:pStyle w:val="H23GC"/>
        <w:jc w:val="left"/>
        <w:rPr>
          <w:szCs w:val="21"/>
        </w:rPr>
      </w:pPr>
      <w:r w:rsidRPr="00BF42B7">
        <w:rPr>
          <w:szCs w:val="21"/>
        </w:rPr>
        <w:tab/>
      </w:r>
      <w:r w:rsidRPr="00BF42B7">
        <w:rPr>
          <w:szCs w:val="21"/>
        </w:rPr>
        <w:tab/>
      </w:r>
      <w:bookmarkEnd w:id="53"/>
      <w:r w:rsidRPr="00BF42B7">
        <w:rPr>
          <w:rFonts w:hint="eastAsia"/>
          <w:szCs w:val="21"/>
        </w:rPr>
        <w:t>评注</w:t>
      </w:r>
    </w:p>
    <w:p w:rsidR="00765E0D" w:rsidRPr="00BF42B7" w:rsidRDefault="00765E0D" w:rsidP="00765E0D">
      <w:pPr>
        <w:pStyle w:val="SingleTxtGC"/>
        <w:rPr>
          <w:rFonts w:eastAsiaTheme="minorEastAsia"/>
          <w:szCs w:val="21"/>
        </w:rPr>
      </w:pPr>
      <w:r w:rsidRPr="00BF42B7">
        <w:rPr>
          <w:rFonts w:eastAsiaTheme="minorEastAsia"/>
          <w:szCs w:val="21"/>
        </w:rPr>
        <w:t>(1)</w:t>
      </w:r>
      <w:r w:rsidRPr="00BF42B7">
        <w:rPr>
          <w:rFonts w:eastAsiaTheme="minorEastAsia" w:hint="eastAsia"/>
          <w:szCs w:val="21"/>
        </w:rPr>
        <w:t xml:space="preserve">  </w:t>
      </w:r>
      <w:r w:rsidRPr="00BF42B7">
        <w:rPr>
          <w:rFonts w:eastAsiaTheme="minorEastAsia" w:hint="eastAsia"/>
          <w:szCs w:val="21"/>
        </w:rPr>
        <w:t>第</w:t>
      </w:r>
      <w:r w:rsidRPr="00BF42B7">
        <w:rPr>
          <w:rFonts w:eastAsiaTheme="minorEastAsia"/>
          <w:szCs w:val="21"/>
        </w:rPr>
        <w:t>1</w:t>
      </w:r>
      <w:r w:rsidRPr="00BF42B7">
        <w:rPr>
          <w:rFonts w:eastAsiaTheme="minorEastAsia" w:hint="eastAsia"/>
          <w:szCs w:val="21"/>
        </w:rPr>
        <w:t>7</w:t>
      </w:r>
      <w:r w:rsidRPr="00BF42B7">
        <w:rPr>
          <w:rFonts w:eastAsiaTheme="minorEastAsia" w:hint="eastAsia"/>
          <w:szCs w:val="21"/>
          <w:lang w:val="zh-CN"/>
        </w:rPr>
        <w:t>条草案涉及终止外部援助的问题。这条草案包含三句话。第一句确认有关各方</w:t>
      </w:r>
      <w:r w:rsidRPr="00BF42B7">
        <w:rPr>
          <w:rFonts w:eastAsiaTheme="minorEastAsia" w:hint="eastAsia"/>
          <w:szCs w:val="21"/>
          <w:lang w:val="zh-CN"/>
        </w:rPr>
        <w:t>(</w:t>
      </w:r>
      <w:r w:rsidRPr="00BF42B7">
        <w:rPr>
          <w:rFonts w:eastAsiaTheme="minorEastAsia" w:hint="eastAsia"/>
          <w:szCs w:val="21"/>
          <w:lang w:val="zh-CN"/>
        </w:rPr>
        <w:t>即受灾国、援助国、联合国或其他援助方</w:t>
      </w:r>
      <w:r w:rsidRPr="00BF42B7">
        <w:rPr>
          <w:rFonts w:eastAsiaTheme="minorEastAsia" w:hint="eastAsia"/>
          <w:szCs w:val="21"/>
          <w:lang w:val="zh-CN"/>
        </w:rPr>
        <w:t>)</w:t>
      </w:r>
      <w:r w:rsidRPr="00BF42B7">
        <w:rPr>
          <w:rFonts w:eastAsiaTheme="minorEastAsia" w:hint="eastAsia"/>
          <w:szCs w:val="21"/>
          <w:lang w:val="zh-CN"/>
        </w:rPr>
        <w:t>在任何时候终止外部援助的基本权利。第二句要求打算终止援助的一方发出适当的通知。第三句要求受灾国以及适当时援助国、联合国或其他援助方就终止外部援助问题包括终止方式进行磋商。大家都了解，终止援助包括全部终止和部分终止。鉴于联合国在提供救援方面的中心作用，第</w:t>
      </w:r>
      <w:r w:rsidRPr="00BF42B7">
        <w:rPr>
          <w:rFonts w:eastAsiaTheme="minorEastAsia" w:hint="eastAsia"/>
          <w:szCs w:val="21"/>
          <w:lang w:val="zh-CN"/>
        </w:rPr>
        <w:t>17</w:t>
      </w:r>
      <w:r w:rsidRPr="00BF42B7">
        <w:rPr>
          <w:rFonts w:eastAsiaTheme="minorEastAsia" w:hint="eastAsia"/>
          <w:szCs w:val="21"/>
          <w:lang w:val="zh-CN"/>
        </w:rPr>
        <w:t>条草案在潜在</w:t>
      </w:r>
      <w:r w:rsidRPr="00BF42B7">
        <w:rPr>
          <w:rFonts w:eastAsiaTheme="minorEastAsia"/>
          <w:szCs w:val="21"/>
          <w:lang w:val="zh-CN"/>
        </w:rPr>
        <w:t>援助方</w:t>
      </w:r>
      <w:r w:rsidRPr="00BF42B7">
        <w:rPr>
          <w:rFonts w:eastAsiaTheme="minorEastAsia" w:hint="eastAsia"/>
          <w:szCs w:val="21"/>
          <w:lang w:val="zh-CN"/>
        </w:rPr>
        <w:t>中还特别提到了联合国。</w:t>
      </w:r>
    </w:p>
    <w:p w:rsidR="00765E0D" w:rsidRPr="00BF42B7" w:rsidRDefault="00765E0D" w:rsidP="00765E0D">
      <w:pPr>
        <w:pStyle w:val="SingleTxtGC"/>
        <w:rPr>
          <w:rFonts w:eastAsiaTheme="minorEastAsia"/>
          <w:szCs w:val="21"/>
        </w:rPr>
      </w:pPr>
      <w:r w:rsidRPr="00BF42B7">
        <w:rPr>
          <w:rFonts w:eastAsiaTheme="minorEastAsia"/>
          <w:szCs w:val="21"/>
        </w:rPr>
        <w:t>(2)</w:t>
      </w:r>
      <w:r w:rsidRPr="00BF42B7">
        <w:rPr>
          <w:rFonts w:eastAsiaTheme="minorEastAsia" w:hint="eastAsia"/>
          <w:szCs w:val="21"/>
        </w:rPr>
        <w:t xml:space="preserve">  </w:t>
      </w:r>
      <w:r w:rsidRPr="00BF42B7">
        <w:rPr>
          <w:rFonts w:eastAsiaTheme="minorEastAsia" w:hint="eastAsia"/>
          <w:szCs w:val="21"/>
        </w:rPr>
        <w:t>受灾</w:t>
      </w:r>
      <w:r w:rsidRPr="00BF42B7">
        <w:rPr>
          <w:rFonts w:eastAsiaTheme="minorEastAsia" w:hint="eastAsia"/>
          <w:szCs w:val="21"/>
          <w:lang w:val="zh-CN"/>
        </w:rPr>
        <w:t>国在接受援助提议后，仍保留对援助期限的控制权。第</w:t>
      </w:r>
      <w:r w:rsidRPr="00BF42B7">
        <w:rPr>
          <w:rFonts w:eastAsiaTheme="minorEastAsia"/>
          <w:szCs w:val="21"/>
          <w:lang w:val="zh-CN"/>
        </w:rPr>
        <w:t>1</w:t>
      </w:r>
      <w:r w:rsidRPr="00BF42B7">
        <w:rPr>
          <w:rFonts w:eastAsiaTheme="minorEastAsia" w:hint="eastAsia"/>
          <w:szCs w:val="21"/>
          <w:lang w:val="zh-CN"/>
        </w:rPr>
        <w:t>0</w:t>
      </w:r>
      <w:r w:rsidRPr="00BF42B7">
        <w:rPr>
          <w:rFonts w:eastAsiaTheme="minorEastAsia" w:hint="eastAsia"/>
          <w:szCs w:val="21"/>
          <w:lang w:val="zh-CN"/>
        </w:rPr>
        <w:t>条草案第</w:t>
      </w:r>
      <w:r w:rsidRPr="00BF42B7">
        <w:rPr>
          <w:rFonts w:eastAsiaTheme="minorEastAsia"/>
          <w:szCs w:val="21"/>
          <w:lang w:val="zh-CN"/>
        </w:rPr>
        <w:t>2</w:t>
      </w:r>
      <w:r w:rsidRPr="00BF42B7">
        <w:rPr>
          <w:rFonts w:eastAsiaTheme="minorEastAsia" w:hint="eastAsia"/>
          <w:szCs w:val="21"/>
          <w:lang w:val="zh-CN"/>
        </w:rPr>
        <w:t>款明确肯定了受灾国在指挥、控制、协调和监督其领土内的救灾援助方面应发挥主要作用。第</w:t>
      </w:r>
      <w:r w:rsidRPr="00BF42B7">
        <w:rPr>
          <w:rFonts w:eastAsiaTheme="minorEastAsia"/>
          <w:szCs w:val="21"/>
          <w:lang w:val="zh-CN"/>
        </w:rPr>
        <w:t>1</w:t>
      </w:r>
      <w:r w:rsidRPr="00BF42B7">
        <w:rPr>
          <w:rFonts w:eastAsiaTheme="minorEastAsia" w:hint="eastAsia"/>
          <w:szCs w:val="21"/>
          <w:lang w:val="zh-CN"/>
        </w:rPr>
        <w:t>3</w:t>
      </w:r>
      <w:r w:rsidRPr="00BF42B7">
        <w:rPr>
          <w:rFonts w:eastAsiaTheme="minorEastAsia" w:hint="eastAsia"/>
          <w:szCs w:val="21"/>
          <w:lang w:val="zh-CN"/>
        </w:rPr>
        <w:t>条草案规定，提供外部援助须征得受灾国的同意，但前提是受灾国不得任意拒绝外部援助。结合上述两项规定来看，受灾国可以撤销同意，从而终止外部援助。</w:t>
      </w:r>
    </w:p>
    <w:p w:rsidR="00765E0D" w:rsidRPr="00BF42B7" w:rsidRDefault="00765E0D" w:rsidP="00765E0D">
      <w:pPr>
        <w:pStyle w:val="SingleTxtGC"/>
        <w:rPr>
          <w:rFonts w:eastAsiaTheme="minorEastAsia"/>
          <w:szCs w:val="21"/>
        </w:rPr>
      </w:pPr>
      <w:r w:rsidRPr="00BF42B7">
        <w:rPr>
          <w:rFonts w:eastAsiaTheme="minorEastAsia"/>
          <w:szCs w:val="21"/>
        </w:rPr>
        <w:t>(3)</w:t>
      </w:r>
      <w:r w:rsidRPr="00BF42B7">
        <w:rPr>
          <w:rFonts w:eastAsiaTheme="minorEastAsia" w:hint="eastAsia"/>
          <w:szCs w:val="21"/>
        </w:rPr>
        <w:t xml:space="preserve">  </w:t>
      </w:r>
      <w:r w:rsidRPr="00BF42B7">
        <w:rPr>
          <w:rFonts w:eastAsiaTheme="minorEastAsia" w:hint="eastAsia"/>
          <w:szCs w:val="21"/>
        </w:rPr>
        <w:t>第</w:t>
      </w:r>
      <w:r w:rsidRPr="00BF42B7">
        <w:rPr>
          <w:rFonts w:eastAsiaTheme="minorEastAsia" w:hint="eastAsia"/>
          <w:szCs w:val="21"/>
        </w:rPr>
        <w:t>17</w:t>
      </w:r>
      <w:r w:rsidRPr="00BF42B7">
        <w:rPr>
          <w:rFonts w:eastAsiaTheme="minorEastAsia" w:hint="eastAsia"/>
          <w:szCs w:val="21"/>
          <w:lang w:val="zh-CN"/>
        </w:rPr>
        <w:t>条草案不承认唯有受灾国拥有单方面终止援助的权利。相反，委员会承认援助国及其他援助方本身也可能需要终止其援助活动。因此，第</w:t>
      </w:r>
      <w:r w:rsidRPr="00BF42B7">
        <w:rPr>
          <w:rFonts w:eastAsiaTheme="minorEastAsia"/>
          <w:szCs w:val="21"/>
          <w:lang w:val="zh-CN"/>
        </w:rPr>
        <w:t>1</w:t>
      </w:r>
      <w:r w:rsidRPr="00BF42B7">
        <w:rPr>
          <w:rFonts w:eastAsiaTheme="minorEastAsia" w:hint="eastAsia"/>
          <w:szCs w:val="21"/>
          <w:lang w:val="zh-CN"/>
        </w:rPr>
        <w:t>7</w:t>
      </w:r>
      <w:r w:rsidRPr="00BF42B7">
        <w:rPr>
          <w:rFonts w:eastAsiaTheme="minorEastAsia" w:hint="eastAsia"/>
          <w:szCs w:val="21"/>
          <w:lang w:val="zh-CN"/>
        </w:rPr>
        <w:t>条草案保留了任何一方终止正在提供的援助的权利。</w:t>
      </w:r>
    </w:p>
    <w:p w:rsidR="00765E0D" w:rsidRPr="00BF42B7" w:rsidRDefault="00765E0D" w:rsidP="00765E0D">
      <w:pPr>
        <w:pStyle w:val="SingleTxtGC"/>
        <w:rPr>
          <w:rFonts w:eastAsiaTheme="minorEastAsia"/>
          <w:szCs w:val="21"/>
        </w:rPr>
      </w:pPr>
      <w:r w:rsidRPr="00BF42B7">
        <w:rPr>
          <w:rFonts w:eastAsiaTheme="minorEastAsia"/>
          <w:szCs w:val="21"/>
        </w:rPr>
        <w:t>(4)</w:t>
      </w:r>
      <w:r w:rsidRPr="00BF42B7">
        <w:rPr>
          <w:rFonts w:eastAsiaTheme="minorEastAsia" w:hint="eastAsia"/>
          <w:szCs w:val="21"/>
        </w:rPr>
        <w:t xml:space="preserve">  </w:t>
      </w:r>
      <w:r w:rsidRPr="00BF42B7">
        <w:rPr>
          <w:rFonts w:eastAsiaTheme="minorEastAsia" w:hint="eastAsia"/>
          <w:szCs w:val="21"/>
        </w:rPr>
        <w:t>应当结合</w:t>
      </w:r>
      <w:r w:rsidRPr="00BF42B7">
        <w:rPr>
          <w:rFonts w:eastAsiaTheme="minorEastAsia" w:hint="eastAsia"/>
          <w:szCs w:val="21"/>
          <w:lang w:val="zh-CN"/>
        </w:rPr>
        <w:t>第</w:t>
      </w:r>
      <w:r w:rsidRPr="00BF42B7">
        <w:rPr>
          <w:rFonts w:eastAsiaTheme="minorEastAsia"/>
          <w:szCs w:val="21"/>
          <w:lang w:val="zh-CN"/>
        </w:rPr>
        <w:t>2</w:t>
      </w:r>
      <w:r w:rsidRPr="00BF42B7">
        <w:rPr>
          <w:rFonts w:eastAsiaTheme="minorEastAsia" w:hint="eastAsia"/>
          <w:szCs w:val="21"/>
          <w:lang w:val="zh-CN"/>
        </w:rPr>
        <w:t>条草案所述条款草案的宗旨解读第</w:t>
      </w:r>
      <w:r w:rsidRPr="00BF42B7">
        <w:rPr>
          <w:rFonts w:eastAsiaTheme="minorEastAsia" w:hint="eastAsia"/>
          <w:szCs w:val="21"/>
          <w:lang w:val="zh-CN"/>
        </w:rPr>
        <w:t>17</w:t>
      </w:r>
      <w:r w:rsidRPr="00BF42B7">
        <w:rPr>
          <w:rFonts w:eastAsiaTheme="minorEastAsia" w:hint="eastAsia"/>
          <w:szCs w:val="21"/>
          <w:lang w:val="zh-CN"/>
        </w:rPr>
        <w:t>条草案。因此，在做出终止援助的决定时，应考虑受灾人员的需要，即考虑他们的需要是否及在多大程度上得到了满足，以便终止外部援助不对受灾人员产生不利影响</w:t>
      </w:r>
      <w:r w:rsidRPr="00BF42B7">
        <w:rPr>
          <w:rFonts w:ascii="宋体" w:eastAsiaTheme="minorEastAsia" w:hAnsi="宋体" w:hint="eastAsia"/>
          <w:szCs w:val="21"/>
        </w:rPr>
        <w:t>，</w:t>
      </w:r>
      <w:r w:rsidRPr="00BF42B7">
        <w:rPr>
          <w:rFonts w:eastAsiaTheme="minorEastAsia" w:hint="eastAsia"/>
          <w:szCs w:val="21"/>
          <w:lang w:val="zh-CN"/>
        </w:rPr>
        <w:t>因为过早地决定终止援助可能使恢复工作遭受挫折。</w:t>
      </w:r>
    </w:p>
    <w:p w:rsidR="00765E0D" w:rsidRPr="00BF42B7" w:rsidRDefault="00765E0D" w:rsidP="00765E0D">
      <w:pPr>
        <w:pStyle w:val="SingleTxtGC"/>
        <w:rPr>
          <w:rFonts w:eastAsiaTheme="minorEastAsia"/>
          <w:szCs w:val="21"/>
          <w:lang w:val="zh-CN"/>
        </w:rPr>
      </w:pPr>
      <w:r w:rsidRPr="00BF42B7">
        <w:rPr>
          <w:rFonts w:eastAsiaTheme="minorEastAsia"/>
          <w:szCs w:val="21"/>
        </w:rPr>
        <w:t>(5)</w:t>
      </w:r>
      <w:r w:rsidRPr="00BF42B7">
        <w:rPr>
          <w:rFonts w:eastAsiaTheme="minorEastAsia" w:hint="eastAsia"/>
          <w:szCs w:val="21"/>
        </w:rPr>
        <w:t xml:space="preserve">  </w:t>
      </w:r>
      <w:r w:rsidRPr="00BF42B7">
        <w:rPr>
          <w:rFonts w:eastAsiaTheme="minorEastAsia" w:hint="eastAsia"/>
          <w:szCs w:val="21"/>
        </w:rPr>
        <w:t>委员会</w:t>
      </w:r>
      <w:r w:rsidRPr="00BF42B7">
        <w:rPr>
          <w:rFonts w:eastAsiaTheme="minorEastAsia" w:hint="eastAsia"/>
          <w:szCs w:val="21"/>
          <w:lang w:val="zh-CN"/>
        </w:rPr>
        <w:t>预计在提供援助的不同阶段，可能会出于各种原因需要终止援助。救援行动可能会达到受灾国或一个或多个援助方停止救援行动才合理的阶段。导致终止援助的情况可能包括：援助国或其他援助方资源耗尽，或发生其他灾害，必须转移资源。同样，受灾国应能终止不再相关或偏离最初提议的援助。第</w:t>
      </w:r>
      <w:r w:rsidRPr="00BF42B7">
        <w:rPr>
          <w:rFonts w:eastAsiaTheme="minorEastAsia"/>
          <w:szCs w:val="21"/>
          <w:lang w:val="zh-CN"/>
        </w:rPr>
        <w:t>1</w:t>
      </w:r>
      <w:r w:rsidRPr="00BF42B7">
        <w:rPr>
          <w:rFonts w:eastAsiaTheme="minorEastAsia" w:hint="eastAsia"/>
          <w:szCs w:val="21"/>
          <w:lang w:val="zh-CN"/>
        </w:rPr>
        <w:t>7</w:t>
      </w:r>
      <w:r w:rsidRPr="00BF42B7">
        <w:rPr>
          <w:rFonts w:eastAsiaTheme="minorEastAsia" w:hint="eastAsia"/>
          <w:szCs w:val="21"/>
          <w:lang w:val="zh-CN"/>
        </w:rPr>
        <w:t>条草案没有作硬性规定，允许根据情况调整援助期限，同时暗示各方应真诚磋商。第</w:t>
      </w:r>
      <w:r w:rsidRPr="00BF42B7">
        <w:rPr>
          <w:rFonts w:eastAsiaTheme="minorEastAsia"/>
          <w:szCs w:val="21"/>
          <w:lang w:val="zh-CN"/>
        </w:rPr>
        <w:t>1</w:t>
      </w:r>
      <w:r w:rsidRPr="00BF42B7">
        <w:rPr>
          <w:rFonts w:eastAsiaTheme="minorEastAsia" w:hint="eastAsia"/>
          <w:szCs w:val="21"/>
          <w:lang w:val="zh-CN"/>
        </w:rPr>
        <w:t>7</w:t>
      </w:r>
      <w:r w:rsidRPr="00BF42B7">
        <w:rPr>
          <w:rFonts w:eastAsiaTheme="minorEastAsia" w:hint="eastAsia"/>
          <w:szCs w:val="21"/>
          <w:lang w:val="zh-CN"/>
        </w:rPr>
        <w:t>条草案是从双边角度起草的，但不排除多个援助方提供外部援助的情况。</w:t>
      </w:r>
    </w:p>
    <w:p w:rsidR="00765E0D" w:rsidRPr="00BF42B7" w:rsidRDefault="00765E0D" w:rsidP="00765E0D">
      <w:pPr>
        <w:pStyle w:val="SingleTxtGC"/>
        <w:rPr>
          <w:rFonts w:eastAsiaTheme="minorEastAsia"/>
          <w:spacing w:val="-4"/>
          <w:szCs w:val="21"/>
        </w:rPr>
      </w:pPr>
      <w:r w:rsidRPr="00BF42B7">
        <w:rPr>
          <w:rFonts w:eastAsiaTheme="minorEastAsia"/>
          <w:szCs w:val="21"/>
        </w:rPr>
        <w:t>(</w:t>
      </w:r>
      <w:r w:rsidRPr="00BF42B7">
        <w:rPr>
          <w:rFonts w:eastAsiaTheme="minorEastAsia" w:hint="eastAsia"/>
          <w:szCs w:val="21"/>
        </w:rPr>
        <w:t>6</w:t>
      </w:r>
      <w:r w:rsidRPr="00BF42B7">
        <w:rPr>
          <w:rFonts w:eastAsiaTheme="minorEastAsia"/>
          <w:szCs w:val="21"/>
        </w:rPr>
        <w:t>)</w:t>
      </w:r>
      <w:r w:rsidRPr="00BF42B7">
        <w:rPr>
          <w:rFonts w:eastAsiaTheme="minorEastAsia" w:hint="eastAsia"/>
          <w:szCs w:val="21"/>
        </w:rPr>
        <w:t xml:space="preserve">  </w:t>
      </w:r>
      <w:r w:rsidRPr="00BF42B7">
        <w:rPr>
          <w:rFonts w:eastAsiaTheme="minorEastAsia"/>
          <w:szCs w:val="21"/>
        </w:rPr>
        <w:t>在委员会的</w:t>
      </w:r>
      <w:r w:rsidRPr="00BF42B7">
        <w:rPr>
          <w:rFonts w:eastAsiaTheme="minorEastAsia"/>
          <w:szCs w:val="21"/>
        </w:rPr>
        <w:t>1989</w:t>
      </w:r>
      <w:r w:rsidRPr="00BF42B7">
        <w:rPr>
          <w:rFonts w:eastAsiaTheme="minorEastAsia"/>
          <w:szCs w:val="21"/>
        </w:rPr>
        <w:t>年关于外交信使和沒有外交信使护送的外交邮袋的地位的条款草案及其任择议定书草案</w:t>
      </w:r>
      <w:r w:rsidRPr="00BF42B7">
        <w:rPr>
          <w:rStyle w:val="a5"/>
          <w:rFonts w:eastAsiaTheme="minorEastAsia"/>
          <w:szCs w:val="21"/>
        </w:rPr>
        <w:footnoteReference w:id="233"/>
      </w:r>
      <w:r w:rsidRPr="00BF42B7">
        <w:rPr>
          <w:rFonts w:eastAsiaTheme="minorEastAsia" w:hint="eastAsia"/>
          <w:szCs w:val="21"/>
        </w:rPr>
        <w:t xml:space="preserve"> </w:t>
      </w:r>
      <w:r w:rsidRPr="00BF42B7">
        <w:rPr>
          <w:rFonts w:eastAsiaTheme="minorEastAsia"/>
          <w:szCs w:val="21"/>
        </w:rPr>
        <w:t>中，第</w:t>
      </w:r>
      <w:r w:rsidRPr="00BF42B7">
        <w:rPr>
          <w:rFonts w:eastAsiaTheme="minorEastAsia"/>
          <w:szCs w:val="21"/>
        </w:rPr>
        <w:t>9</w:t>
      </w:r>
      <w:r w:rsidRPr="00BF42B7">
        <w:rPr>
          <w:rFonts w:eastAsiaTheme="minorEastAsia"/>
          <w:szCs w:val="21"/>
        </w:rPr>
        <w:t>条第</w:t>
      </w:r>
      <w:r w:rsidRPr="00BF42B7">
        <w:rPr>
          <w:rFonts w:eastAsiaTheme="minorEastAsia"/>
          <w:szCs w:val="21"/>
        </w:rPr>
        <w:t>2</w:t>
      </w:r>
      <w:r w:rsidRPr="00BF42B7">
        <w:rPr>
          <w:rFonts w:eastAsiaTheme="minorEastAsia"/>
          <w:szCs w:val="21"/>
        </w:rPr>
        <w:t>款规定，</w:t>
      </w:r>
      <w:r w:rsidRPr="00BF42B7">
        <w:rPr>
          <w:rFonts w:eastAsiaTheme="minorEastAsia" w:hint="eastAsia"/>
          <w:szCs w:val="21"/>
        </w:rPr>
        <w:t>“</w:t>
      </w:r>
      <w:r w:rsidRPr="00BF42B7">
        <w:rPr>
          <w:rFonts w:eastAsiaTheme="minorEastAsia"/>
          <w:szCs w:val="21"/>
        </w:rPr>
        <w:t>非经接受国同意，不得委派具有接受国国籍的人为外交信使，此項同意可</w:t>
      </w:r>
      <w:r w:rsidRPr="00BF42B7">
        <w:rPr>
          <w:rFonts w:eastAsiaTheme="minorEastAsia" w:hint="eastAsia"/>
          <w:szCs w:val="21"/>
        </w:rPr>
        <w:t>随时撤销”</w:t>
      </w:r>
      <w:r w:rsidRPr="00BF42B7">
        <w:rPr>
          <w:rFonts w:eastAsiaTheme="minorEastAsia"/>
          <w:szCs w:val="21"/>
        </w:rPr>
        <w:t>。根据对</w:t>
      </w:r>
      <w:r w:rsidRPr="00BF42B7">
        <w:rPr>
          <w:rFonts w:eastAsiaTheme="minorEastAsia"/>
          <w:spacing w:val="-4"/>
          <w:szCs w:val="21"/>
        </w:rPr>
        <w:t>这一款的评注，</w:t>
      </w:r>
      <w:r w:rsidRPr="00BF42B7">
        <w:rPr>
          <w:rFonts w:eastAsiaTheme="minorEastAsia" w:hint="eastAsia"/>
          <w:spacing w:val="-4"/>
          <w:szCs w:val="21"/>
        </w:rPr>
        <w:t>“‘随时’</w:t>
      </w:r>
      <w:r w:rsidRPr="00BF42B7">
        <w:rPr>
          <w:rFonts w:eastAsiaTheme="minorEastAsia"/>
          <w:spacing w:val="-4"/>
          <w:szCs w:val="21"/>
        </w:rPr>
        <w:t>二字的目的并不是使专</w:t>
      </w:r>
      <w:r w:rsidRPr="00BF42B7">
        <w:rPr>
          <w:rFonts w:eastAsiaTheme="minorEastAsia" w:hint="eastAsia"/>
          <w:spacing w:val="-4"/>
          <w:szCs w:val="21"/>
        </w:rPr>
        <w:t>断</w:t>
      </w:r>
      <w:r w:rsidRPr="00BF42B7">
        <w:rPr>
          <w:rFonts w:eastAsiaTheme="minorEastAsia"/>
          <w:spacing w:val="-4"/>
          <w:szCs w:val="21"/>
        </w:rPr>
        <w:t>地</w:t>
      </w:r>
      <w:r w:rsidRPr="00BF42B7">
        <w:rPr>
          <w:rFonts w:eastAsiaTheme="minorEastAsia" w:hint="eastAsia"/>
          <w:spacing w:val="-4"/>
          <w:szCs w:val="21"/>
        </w:rPr>
        <w:t>撤销</w:t>
      </w:r>
      <w:r w:rsidRPr="00BF42B7">
        <w:rPr>
          <w:rFonts w:eastAsiaTheme="minorEastAsia"/>
          <w:spacing w:val="-4"/>
          <w:szCs w:val="21"/>
        </w:rPr>
        <w:t>同意</w:t>
      </w:r>
      <w:r w:rsidRPr="00BF42B7">
        <w:rPr>
          <w:rFonts w:eastAsiaTheme="minorEastAsia" w:hint="eastAsia"/>
          <w:spacing w:val="-4"/>
          <w:szCs w:val="21"/>
          <w:lang w:val="fr-CH"/>
        </w:rPr>
        <w:t>……</w:t>
      </w:r>
      <w:r w:rsidRPr="00BF42B7">
        <w:rPr>
          <w:rFonts w:eastAsiaTheme="minorEastAsia"/>
          <w:spacing w:val="-4"/>
          <w:szCs w:val="21"/>
        </w:rPr>
        <w:t>合法化</w:t>
      </w:r>
      <w:r w:rsidRPr="00BF42B7">
        <w:rPr>
          <w:rFonts w:eastAsiaTheme="minorEastAsia" w:hint="eastAsia"/>
          <w:spacing w:val="-4"/>
          <w:szCs w:val="21"/>
        </w:rPr>
        <w:t>”</w:t>
      </w:r>
      <w:r w:rsidRPr="00BF42B7">
        <w:rPr>
          <w:rFonts w:eastAsiaTheme="minorEastAsia"/>
          <w:spacing w:val="-4"/>
          <w:szCs w:val="21"/>
        </w:rPr>
        <w:t>。</w:t>
      </w:r>
      <w:r w:rsidRPr="00BF42B7">
        <w:rPr>
          <w:rStyle w:val="a5"/>
          <w:rFonts w:eastAsiaTheme="minorEastAsia"/>
          <w:spacing w:val="-4"/>
          <w:szCs w:val="21"/>
        </w:rPr>
        <w:footnoteReference w:id="234"/>
      </w:r>
    </w:p>
    <w:p w:rsidR="00765E0D" w:rsidRPr="00BF42B7" w:rsidRDefault="00765E0D" w:rsidP="00765E0D">
      <w:pPr>
        <w:pStyle w:val="SingleTxtGC"/>
        <w:rPr>
          <w:rFonts w:eastAsiaTheme="minorEastAsia"/>
          <w:szCs w:val="21"/>
        </w:rPr>
      </w:pPr>
      <w:r w:rsidRPr="00BF42B7">
        <w:rPr>
          <w:rFonts w:eastAsiaTheme="minorEastAsia"/>
          <w:szCs w:val="21"/>
        </w:rPr>
        <w:t>(</w:t>
      </w:r>
      <w:r w:rsidRPr="00BF42B7">
        <w:rPr>
          <w:rFonts w:eastAsiaTheme="minorEastAsia" w:hint="eastAsia"/>
          <w:szCs w:val="21"/>
        </w:rPr>
        <w:t>7</w:t>
      </w:r>
      <w:r w:rsidRPr="00BF42B7">
        <w:rPr>
          <w:rFonts w:eastAsiaTheme="minorEastAsia"/>
          <w:szCs w:val="21"/>
        </w:rPr>
        <w:t>)</w:t>
      </w:r>
      <w:r w:rsidRPr="00BF42B7">
        <w:rPr>
          <w:rFonts w:eastAsiaTheme="minorEastAsia" w:hint="eastAsia"/>
          <w:szCs w:val="21"/>
        </w:rPr>
        <w:t xml:space="preserve">  </w:t>
      </w:r>
      <w:r w:rsidRPr="00BF42B7">
        <w:rPr>
          <w:rFonts w:eastAsiaTheme="minorEastAsia" w:hint="eastAsia"/>
          <w:szCs w:val="21"/>
        </w:rPr>
        <w:t>第二</w:t>
      </w:r>
      <w:r w:rsidRPr="00BF42B7">
        <w:rPr>
          <w:rFonts w:eastAsiaTheme="minorEastAsia" w:hint="eastAsia"/>
          <w:szCs w:val="21"/>
          <w:lang w:val="zh-CN"/>
        </w:rPr>
        <w:t>句规定打算终止外部援助的一方应发出通知。要想确保形势保持一定程度的稳定，就必需发出适当的通知，以避免任何一方因援助突然中断而蒙受损失。本条款未作硬性规定，在磋商进程之前、期间或之后都可以发出通知。没有对通知程序施加程序上的限制。不过，应根据具体情况发出“适当的”通知，包括以适当的形式、在适当的时间发出通知，而且最好尽早通知。</w:t>
      </w:r>
    </w:p>
    <w:p w:rsidR="00765E0D" w:rsidRPr="00BF42B7" w:rsidRDefault="00765E0D" w:rsidP="00765E0D">
      <w:pPr>
        <w:pStyle w:val="SingleTxtGC"/>
        <w:rPr>
          <w:rFonts w:eastAsiaTheme="minorEastAsia"/>
          <w:szCs w:val="21"/>
          <w:lang w:val="zh-CN"/>
        </w:rPr>
      </w:pPr>
      <w:r w:rsidRPr="00BF42B7">
        <w:rPr>
          <w:rFonts w:eastAsiaTheme="minorEastAsia"/>
          <w:szCs w:val="21"/>
        </w:rPr>
        <w:t>(</w:t>
      </w:r>
      <w:r w:rsidRPr="00BF42B7">
        <w:rPr>
          <w:rFonts w:eastAsiaTheme="minorEastAsia" w:hint="eastAsia"/>
          <w:szCs w:val="21"/>
        </w:rPr>
        <w:t>8</w:t>
      </w:r>
      <w:r w:rsidRPr="00BF42B7">
        <w:rPr>
          <w:rFonts w:eastAsiaTheme="minorEastAsia"/>
          <w:szCs w:val="21"/>
        </w:rPr>
        <w:t>)</w:t>
      </w:r>
      <w:r w:rsidRPr="00BF42B7">
        <w:rPr>
          <w:rFonts w:eastAsiaTheme="minorEastAsia" w:hint="eastAsia"/>
          <w:szCs w:val="21"/>
        </w:rPr>
        <w:t xml:space="preserve">  </w:t>
      </w:r>
      <w:r w:rsidRPr="00BF42B7">
        <w:rPr>
          <w:rFonts w:eastAsiaTheme="minorEastAsia" w:hint="eastAsia"/>
          <w:szCs w:val="21"/>
        </w:rPr>
        <w:t>第三句</w:t>
      </w:r>
      <w:r w:rsidRPr="00BF42B7">
        <w:rPr>
          <w:rFonts w:eastAsiaTheme="minorEastAsia" w:hint="eastAsia"/>
          <w:szCs w:val="21"/>
          <w:lang w:val="zh-CN"/>
        </w:rPr>
        <w:t>的磋商要求反映了序言所强调的并贯穿于本套条款草案的团结与合作精神，以及第</w:t>
      </w:r>
      <w:r w:rsidRPr="00BF42B7">
        <w:rPr>
          <w:rFonts w:eastAsiaTheme="minorEastAsia" w:hint="eastAsia"/>
          <w:szCs w:val="21"/>
          <w:lang w:val="zh-CN"/>
        </w:rPr>
        <w:t>7</w:t>
      </w:r>
      <w:r w:rsidRPr="00BF42B7">
        <w:rPr>
          <w:rFonts w:eastAsiaTheme="minorEastAsia" w:hint="eastAsia"/>
          <w:szCs w:val="21"/>
          <w:lang w:val="zh-CN"/>
        </w:rPr>
        <w:t>和第</w:t>
      </w:r>
      <w:r w:rsidRPr="00BF42B7">
        <w:rPr>
          <w:rFonts w:eastAsiaTheme="minorEastAsia" w:hint="eastAsia"/>
          <w:szCs w:val="21"/>
          <w:lang w:val="zh-CN"/>
        </w:rPr>
        <w:t>8</w:t>
      </w:r>
      <w:r w:rsidRPr="00BF42B7">
        <w:rPr>
          <w:rFonts w:eastAsiaTheme="minorEastAsia" w:hint="eastAsia"/>
          <w:szCs w:val="21"/>
          <w:lang w:val="zh-CN"/>
        </w:rPr>
        <w:t>条草案所载的合作原则。“方式”指终止援助需遵循的程序。虽然双方同时想终止援助的情况并不总会发生，但是就终止方式进行磋商将有助于有关各方友好、有效地终止援助。“适当时”的提法是为了澄清，预期的磋商是在受灾国与提供援助的另一方</w:t>
      </w:r>
      <w:r w:rsidRPr="00BF42B7">
        <w:rPr>
          <w:rFonts w:eastAsiaTheme="minorEastAsia" w:hint="eastAsia"/>
          <w:szCs w:val="21"/>
          <w:lang w:val="zh-CN"/>
        </w:rPr>
        <w:t>(</w:t>
      </w:r>
      <w:r w:rsidRPr="00BF42B7">
        <w:rPr>
          <w:rFonts w:eastAsiaTheme="minorEastAsia" w:hint="eastAsia"/>
          <w:szCs w:val="21"/>
          <w:lang w:val="zh-CN"/>
        </w:rPr>
        <w:t>不论是</w:t>
      </w:r>
      <w:r w:rsidRPr="00BF42B7">
        <w:rPr>
          <w:rFonts w:eastAsiaTheme="minorEastAsia"/>
          <w:szCs w:val="21"/>
          <w:lang w:val="zh-CN"/>
        </w:rPr>
        <w:t>援助国、联合国</w:t>
      </w:r>
      <w:r w:rsidRPr="00BF42B7">
        <w:rPr>
          <w:rFonts w:eastAsiaTheme="minorEastAsia" w:hint="eastAsia"/>
          <w:szCs w:val="21"/>
          <w:lang w:val="zh-CN"/>
        </w:rPr>
        <w:t>还是</w:t>
      </w:r>
      <w:r w:rsidRPr="00BF42B7">
        <w:rPr>
          <w:rFonts w:eastAsiaTheme="minorEastAsia"/>
          <w:szCs w:val="21"/>
          <w:lang w:val="zh-CN"/>
        </w:rPr>
        <w:t>其他援助方</w:t>
      </w:r>
      <w:r w:rsidRPr="00BF42B7">
        <w:rPr>
          <w:rFonts w:eastAsiaTheme="minorEastAsia" w:hint="eastAsia"/>
          <w:szCs w:val="21"/>
          <w:lang w:val="zh-CN"/>
        </w:rPr>
        <w:t>)</w:t>
      </w:r>
      <w:r w:rsidRPr="00BF42B7">
        <w:rPr>
          <w:rFonts w:eastAsiaTheme="minorEastAsia" w:hint="eastAsia"/>
          <w:szCs w:val="21"/>
          <w:lang w:val="zh-CN"/>
        </w:rPr>
        <w:t>之间进行的。</w:t>
      </w:r>
    </w:p>
    <w:p w:rsidR="00765E0D" w:rsidRPr="00BF42B7" w:rsidRDefault="00765E0D" w:rsidP="00765E0D">
      <w:pPr>
        <w:pStyle w:val="H23GC"/>
        <w:ind w:left="1554"/>
        <w:jc w:val="left"/>
        <w:rPr>
          <w:szCs w:val="21"/>
        </w:rPr>
      </w:pPr>
      <w:r w:rsidRPr="00BF42B7">
        <w:rPr>
          <w:rFonts w:hint="eastAsia"/>
          <w:szCs w:val="21"/>
        </w:rPr>
        <w:tab/>
      </w:r>
      <w:r w:rsidRPr="00BF42B7">
        <w:rPr>
          <w:rFonts w:hint="eastAsia"/>
          <w:szCs w:val="21"/>
        </w:rPr>
        <w:tab/>
      </w:r>
      <w:r w:rsidRPr="00BF42B7">
        <w:rPr>
          <w:szCs w:val="21"/>
        </w:rPr>
        <w:t>第</w:t>
      </w:r>
      <w:r w:rsidRPr="00BF42B7">
        <w:rPr>
          <w:szCs w:val="21"/>
        </w:rPr>
        <w:t>18</w:t>
      </w:r>
      <w:r w:rsidRPr="00BF42B7">
        <w:rPr>
          <w:szCs w:val="21"/>
        </w:rPr>
        <w:t>条</w:t>
      </w:r>
      <w:r w:rsidRPr="00BF42B7">
        <w:rPr>
          <w:rFonts w:hint="eastAsia"/>
          <w:szCs w:val="21"/>
        </w:rPr>
        <w:br/>
      </w:r>
      <w:r w:rsidRPr="00BF42B7">
        <w:rPr>
          <w:szCs w:val="21"/>
        </w:rPr>
        <w:t>与其他国际法规则的关系</w:t>
      </w:r>
    </w:p>
    <w:p w:rsidR="00765E0D" w:rsidRPr="00BF42B7" w:rsidRDefault="00765E0D" w:rsidP="00765E0D">
      <w:pPr>
        <w:pStyle w:val="SingleTxtGC"/>
        <w:ind w:left="1554"/>
        <w:rPr>
          <w:rFonts w:eastAsiaTheme="minorEastAsia"/>
          <w:szCs w:val="21"/>
        </w:rPr>
      </w:pPr>
      <w:r w:rsidRPr="00BF42B7">
        <w:rPr>
          <w:rFonts w:eastAsiaTheme="minorEastAsia"/>
          <w:szCs w:val="21"/>
          <w:lang w:val="zh-CN"/>
        </w:rPr>
        <w:t>1.</w:t>
      </w:r>
      <w:r w:rsidRPr="00BF42B7">
        <w:rPr>
          <w:rFonts w:eastAsiaTheme="minorEastAsia" w:hint="eastAsia"/>
          <w:szCs w:val="21"/>
        </w:rPr>
        <w:t xml:space="preserve">  </w:t>
      </w:r>
      <w:r w:rsidRPr="00BF42B7">
        <w:rPr>
          <w:rFonts w:eastAsiaTheme="minorEastAsia" w:hint="eastAsia"/>
          <w:szCs w:val="21"/>
          <w:lang w:val="zh-CN"/>
        </w:rPr>
        <w:t>本条款草案不影响其他可适用的国际法规则</w:t>
      </w:r>
      <w:r w:rsidRPr="00BF42B7">
        <w:rPr>
          <w:rFonts w:eastAsiaTheme="minorEastAsia"/>
          <w:szCs w:val="21"/>
          <w:lang w:val="zh-CN"/>
        </w:rPr>
        <w:t>。</w:t>
      </w:r>
    </w:p>
    <w:p w:rsidR="00765E0D" w:rsidRPr="00BF42B7" w:rsidRDefault="00765E0D" w:rsidP="00765E0D">
      <w:pPr>
        <w:pStyle w:val="SingleTxtGC"/>
        <w:ind w:left="1554"/>
        <w:rPr>
          <w:rFonts w:eastAsiaTheme="minorEastAsia"/>
          <w:szCs w:val="21"/>
          <w:lang w:val="zh-CN"/>
        </w:rPr>
      </w:pPr>
      <w:r w:rsidRPr="00BF42B7">
        <w:rPr>
          <w:rFonts w:eastAsiaTheme="minorEastAsia"/>
          <w:szCs w:val="21"/>
          <w:lang w:val="zh-CN"/>
        </w:rPr>
        <w:t>2.</w:t>
      </w:r>
      <w:r w:rsidRPr="00BF42B7">
        <w:rPr>
          <w:rFonts w:eastAsiaTheme="minorEastAsia" w:hint="eastAsia"/>
          <w:szCs w:val="21"/>
        </w:rPr>
        <w:t xml:space="preserve">  </w:t>
      </w:r>
      <w:r w:rsidRPr="00BF42B7">
        <w:rPr>
          <w:rFonts w:eastAsiaTheme="minorEastAsia" w:hint="eastAsia"/>
          <w:szCs w:val="21"/>
          <w:lang w:val="zh-CN"/>
        </w:rPr>
        <w:t>在应对灾害须遵守国际人道主义法规则的情况下，本条款草案不适用</w:t>
      </w:r>
      <w:r w:rsidRPr="00BF42B7">
        <w:rPr>
          <w:rFonts w:eastAsiaTheme="minorEastAsia"/>
          <w:szCs w:val="21"/>
          <w:lang w:val="zh-CN"/>
        </w:rPr>
        <w:t>。</w:t>
      </w:r>
      <w:bookmarkStart w:id="54" w:name="_Toc398107272"/>
    </w:p>
    <w:p w:rsidR="00765E0D" w:rsidRPr="00BF42B7" w:rsidRDefault="00765E0D" w:rsidP="00765E0D">
      <w:pPr>
        <w:pStyle w:val="H23GC"/>
        <w:jc w:val="left"/>
        <w:rPr>
          <w:szCs w:val="21"/>
        </w:rPr>
      </w:pPr>
      <w:r w:rsidRPr="00BF42B7">
        <w:rPr>
          <w:szCs w:val="21"/>
        </w:rPr>
        <w:tab/>
      </w:r>
      <w:r w:rsidRPr="00BF42B7">
        <w:rPr>
          <w:szCs w:val="21"/>
        </w:rPr>
        <w:tab/>
      </w:r>
      <w:bookmarkEnd w:id="54"/>
      <w:r w:rsidRPr="00BF42B7">
        <w:rPr>
          <w:rFonts w:hint="eastAsia"/>
          <w:szCs w:val="21"/>
        </w:rPr>
        <w:t>评注</w:t>
      </w:r>
    </w:p>
    <w:p w:rsidR="00765E0D" w:rsidRPr="00BF42B7" w:rsidRDefault="00765E0D" w:rsidP="00765E0D">
      <w:pPr>
        <w:pStyle w:val="SingleTxtGC"/>
        <w:rPr>
          <w:rFonts w:eastAsiaTheme="minorEastAsia"/>
          <w:szCs w:val="21"/>
        </w:rPr>
      </w:pPr>
      <w:r w:rsidRPr="00BF42B7">
        <w:rPr>
          <w:rFonts w:eastAsiaTheme="minorEastAsia"/>
          <w:szCs w:val="21"/>
        </w:rPr>
        <w:t>(1)</w:t>
      </w:r>
      <w:r w:rsidRPr="00BF42B7">
        <w:rPr>
          <w:rFonts w:eastAsiaTheme="minorEastAsia" w:hint="eastAsia"/>
          <w:szCs w:val="21"/>
        </w:rPr>
        <w:t xml:space="preserve">  </w:t>
      </w:r>
      <w:r w:rsidRPr="00BF42B7">
        <w:rPr>
          <w:rFonts w:eastAsiaTheme="minorEastAsia" w:hint="eastAsia"/>
          <w:szCs w:val="21"/>
        </w:rPr>
        <w:t>第</w:t>
      </w:r>
      <w:r w:rsidRPr="00BF42B7">
        <w:rPr>
          <w:rFonts w:eastAsiaTheme="minorEastAsia" w:hint="eastAsia"/>
          <w:szCs w:val="21"/>
        </w:rPr>
        <w:t>18</w:t>
      </w:r>
      <w:r w:rsidRPr="00BF42B7">
        <w:rPr>
          <w:rFonts w:eastAsiaTheme="minorEastAsia" w:hint="eastAsia"/>
          <w:szCs w:val="21"/>
        </w:rPr>
        <w:t>条草案</w:t>
      </w:r>
      <w:r w:rsidRPr="00BF42B7">
        <w:rPr>
          <w:rFonts w:ascii="宋体" w:eastAsiaTheme="minorEastAsia" w:hAnsi="宋体" w:cs="宋体" w:hint="eastAsia"/>
          <w:szCs w:val="21"/>
        </w:rPr>
        <w:t>处理本条款草案与国际法其他规则之间的关系，目的是澄清本条款草案与某些国际法规则发生互动的方式，这些国际法规则处理的事项与本条款草案处理的事项相同，或者虽不直接涉及灾害，但仍然会适用于本条款草案所涵盖的情况。</w:t>
      </w:r>
    </w:p>
    <w:p w:rsidR="00765E0D" w:rsidRPr="00BF42B7" w:rsidRDefault="00765E0D" w:rsidP="00765E0D">
      <w:pPr>
        <w:pStyle w:val="SingleTxtGC"/>
        <w:rPr>
          <w:rFonts w:ascii="宋体" w:eastAsiaTheme="minorEastAsia" w:hAnsi="宋体"/>
          <w:szCs w:val="21"/>
        </w:rPr>
      </w:pPr>
      <w:r w:rsidRPr="00BF42B7">
        <w:rPr>
          <w:rFonts w:eastAsiaTheme="minorEastAsia"/>
          <w:szCs w:val="21"/>
        </w:rPr>
        <w:t>(2)</w:t>
      </w:r>
      <w:r w:rsidRPr="00BF42B7">
        <w:rPr>
          <w:rFonts w:eastAsiaTheme="minorEastAsia" w:hint="eastAsia"/>
          <w:szCs w:val="21"/>
        </w:rPr>
        <w:t xml:space="preserve">  </w:t>
      </w:r>
      <w:r w:rsidRPr="00BF42B7">
        <w:rPr>
          <w:rFonts w:eastAsiaTheme="minorEastAsia" w:hint="eastAsia"/>
          <w:szCs w:val="21"/>
        </w:rPr>
        <w:t>在标题</w:t>
      </w:r>
      <w:r w:rsidRPr="00BF42B7">
        <w:rPr>
          <w:rFonts w:ascii="宋体" w:eastAsiaTheme="minorEastAsia" w:hAnsi="宋体" w:cs="宋体" w:hint="eastAsia"/>
          <w:szCs w:val="21"/>
        </w:rPr>
        <w:t>中提及“其他规则”是为了确保关于本条款草案所涉事宜的现有义务得以继续适用。</w:t>
      </w:r>
      <w:r w:rsidRPr="00BF42B7">
        <w:rPr>
          <w:rFonts w:eastAsiaTheme="minorEastAsia" w:hint="eastAsia"/>
          <w:szCs w:val="21"/>
        </w:rPr>
        <w:t>第</w:t>
      </w:r>
      <w:r w:rsidRPr="00BF42B7">
        <w:rPr>
          <w:rFonts w:eastAsiaTheme="minorEastAsia" w:hint="eastAsia"/>
          <w:szCs w:val="21"/>
        </w:rPr>
        <w:t>1</w:t>
      </w:r>
      <w:r w:rsidRPr="00BF42B7">
        <w:rPr>
          <w:rFonts w:eastAsiaTheme="minorEastAsia" w:hint="eastAsia"/>
          <w:szCs w:val="21"/>
        </w:rPr>
        <w:t>款</w:t>
      </w:r>
      <w:r w:rsidRPr="00BF42B7">
        <w:rPr>
          <w:rFonts w:ascii="宋体" w:eastAsiaTheme="minorEastAsia" w:hAnsi="宋体" w:cs="宋体" w:hint="eastAsia"/>
          <w:szCs w:val="21"/>
        </w:rPr>
        <w:t>中“其他可适用的国际法规则”的提法是有意不作硬性规定，而不将此类其他规则称为与条款草案相对的“特别”规则，因为视其内容而定，这些规则可能是、也可能不是“特别”规则。</w:t>
      </w:r>
    </w:p>
    <w:p w:rsidR="00765E0D" w:rsidRPr="00BF42B7" w:rsidRDefault="00765E0D" w:rsidP="00765E0D">
      <w:pPr>
        <w:pStyle w:val="SingleTxtGC"/>
        <w:rPr>
          <w:rFonts w:eastAsiaTheme="minorEastAsia"/>
          <w:szCs w:val="21"/>
        </w:rPr>
      </w:pPr>
      <w:r w:rsidRPr="00BF42B7">
        <w:rPr>
          <w:rFonts w:eastAsiaTheme="minorEastAsia"/>
          <w:szCs w:val="21"/>
        </w:rPr>
        <w:t>(3)</w:t>
      </w:r>
      <w:r w:rsidRPr="00BF42B7">
        <w:rPr>
          <w:rFonts w:eastAsiaTheme="minorEastAsia" w:hint="eastAsia"/>
          <w:szCs w:val="21"/>
        </w:rPr>
        <w:t xml:space="preserve">  </w:t>
      </w:r>
      <w:r w:rsidRPr="00BF42B7">
        <w:rPr>
          <w:rFonts w:eastAsiaTheme="minorEastAsia" w:hint="eastAsia"/>
          <w:szCs w:val="21"/>
        </w:rPr>
        <w:t>第</w:t>
      </w:r>
      <w:r w:rsidRPr="00BF42B7">
        <w:rPr>
          <w:rFonts w:eastAsiaTheme="minorEastAsia" w:hint="eastAsia"/>
          <w:szCs w:val="21"/>
        </w:rPr>
        <w:t>1</w:t>
      </w:r>
      <w:r w:rsidRPr="00BF42B7">
        <w:rPr>
          <w:rFonts w:ascii="宋体" w:eastAsiaTheme="minorEastAsia" w:hAnsi="宋体" w:cs="宋体" w:hint="eastAsia"/>
          <w:szCs w:val="21"/>
        </w:rPr>
        <w:t>款意在涵盖各种不同形式的“其他可适用的国际法规则”。这些规则尤其包括范围也在本条款草案属事管辖范围内的条约</w:t>
      </w:r>
      <w:r w:rsidRPr="00BF42B7">
        <w:rPr>
          <w:rFonts w:ascii="宋体" w:eastAsiaTheme="minorEastAsia" w:hAnsi="宋体" w:cs="宋体"/>
          <w:szCs w:val="21"/>
        </w:rPr>
        <w:t>(</w:t>
      </w:r>
      <w:r w:rsidRPr="00BF42B7">
        <w:rPr>
          <w:rFonts w:ascii="宋体" w:eastAsiaTheme="minorEastAsia" w:hAnsi="宋体" w:cs="宋体" w:hint="eastAsia"/>
          <w:szCs w:val="21"/>
        </w:rPr>
        <w:t>如关于在发生灾害时相互援助的区域或双边条约</w:t>
      </w:r>
      <w:r w:rsidRPr="00BF42B7">
        <w:rPr>
          <w:rFonts w:ascii="宋体" w:eastAsiaTheme="minorEastAsia" w:hAnsi="宋体" w:cs="宋体"/>
          <w:szCs w:val="21"/>
        </w:rPr>
        <w:t>)</w:t>
      </w:r>
      <w:r w:rsidRPr="00BF42B7">
        <w:rPr>
          <w:rFonts w:ascii="宋体" w:eastAsiaTheme="minorEastAsia" w:hAnsi="宋体" w:cs="宋体" w:hint="eastAsia"/>
          <w:szCs w:val="21"/>
        </w:rPr>
        <w:t>所载的比较具体的规则，以及那些专注于其他事项但含有处理灾害情况的某些具体规则的条约所载的规则。</w:t>
      </w:r>
      <w:r w:rsidRPr="00BF42B7">
        <w:rPr>
          <w:rStyle w:val="a5"/>
          <w:rFonts w:eastAsiaTheme="minorEastAsia"/>
          <w:szCs w:val="21"/>
        </w:rPr>
        <w:footnoteReference w:id="235"/>
      </w:r>
    </w:p>
    <w:p w:rsidR="00765E0D" w:rsidRPr="00BF42B7" w:rsidRDefault="00765E0D" w:rsidP="00765E0D">
      <w:pPr>
        <w:pStyle w:val="SingleTxtGC"/>
        <w:rPr>
          <w:rFonts w:eastAsiaTheme="minorEastAsia"/>
          <w:szCs w:val="21"/>
        </w:rPr>
      </w:pPr>
      <w:r w:rsidRPr="00BF42B7">
        <w:rPr>
          <w:rFonts w:eastAsiaTheme="minorEastAsia"/>
          <w:szCs w:val="21"/>
        </w:rPr>
        <w:t>(4)</w:t>
      </w:r>
      <w:r w:rsidRPr="00BF42B7">
        <w:rPr>
          <w:rFonts w:eastAsiaTheme="minorEastAsia" w:hint="eastAsia"/>
          <w:szCs w:val="21"/>
        </w:rPr>
        <w:t xml:space="preserve">  </w:t>
      </w:r>
      <w:r w:rsidRPr="00BF42B7">
        <w:rPr>
          <w:rFonts w:eastAsiaTheme="minorEastAsia" w:hint="eastAsia"/>
          <w:szCs w:val="21"/>
        </w:rPr>
        <w:t>本条款草案</w:t>
      </w:r>
      <w:r w:rsidRPr="00BF42B7">
        <w:rPr>
          <w:rFonts w:ascii="宋体" w:eastAsiaTheme="minorEastAsia" w:hAnsi="宋体" w:cs="宋体" w:hint="eastAsia"/>
          <w:szCs w:val="21"/>
        </w:rPr>
        <w:t>第1款还处理本条款草案与不直接涉及灾害但在灾害发生时仍可以适用的国际法规则之间的互动问题。例子有关于条约法的规定，特别是那些涉及因发生意外不可能履行和情况发生根本改变的规定，以及关于国家和国际组织的责任以及个人责任的规则。这项规定确认，这一类规则不受本条款草案的影响。</w:t>
      </w:r>
    </w:p>
    <w:p w:rsidR="00765E0D" w:rsidRPr="00BF42B7" w:rsidRDefault="00765E0D" w:rsidP="00765E0D">
      <w:pPr>
        <w:pStyle w:val="SingleTxtGC"/>
        <w:rPr>
          <w:rFonts w:ascii="宋体" w:eastAsiaTheme="minorEastAsia" w:hAnsi="宋体" w:cs="宋体"/>
          <w:szCs w:val="21"/>
        </w:rPr>
      </w:pPr>
      <w:r w:rsidRPr="00BF42B7">
        <w:rPr>
          <w:rFonts w:eastAsiaTheme="minorEastAsia"/>
          <w:szCs w:val="21"/>
        </w:rPr>
        <w:t>(5)</w:t>
      </w:r>
      <w:r w:rsidRPr="00BF42B7">
        <w:rPr>
          <w:rFonts w:eastAsiaTheme="minorEastAsia" w:hint="eastAsia"/>
          <w:szCs w:val="21"/>
        </w:rPr>
        <w:t xml:space="preserve">  </w:t>
      </w:r>
      <w:r w:rsidRPr="00BF42B7">
        <w:rPr>
          <w:rFonts w:eastAsiaTheme="minorEastAsia" w:hint="eastAsia"/>
          <w:szCs w:val="21"/>
        </w:rPr>
        <w:t>第</w:t>
      </w:r>
      <w:r w:rsidRPr="00BF42B7">
        <w:rPr>
          <w:rFonts w:eastAsiaTheme="minorEastAsia" w:hint="eastAsia"/>
          <w:szCs w:val="21"/>
        </w:rPr>
        <w:t>18</w:t>
      </w:r>
      <w:r w:rsidRPr="00BF42B7">
        <w:rPr>
          <w:rFonts w:eastAsiaTheme="minorEastAsia" w:hint="eastAsia"/>
          <w:szCs w:val="21"/>
        </w:rPr>
        <w:t>条</w:t>
      </w:r>
      <w:r w:rsidRPr="00BF42B7">
        <w:rPr>
          <w:rFonts w:ascii="宋体" w:eastAsiaTheme="minorEastAsia" w:hAnsi="宋体" w:cs="宋体" w:hint="eastAsia"/>
          <w:szCs w:val="21"/>
        </w:rPr>
        <w:t>草案中的不影响条款也适用于习惯国际法规则。事实上，本条款草案没有涵盖在发生灾害时可能相关的所有问题。此外，条款草案无意排除习惯国际法规则在这一领域的进一步发展。因此，本条草案</w:t>
      </w:r>
      <w:r w:rsidRPr="00BF42B7">
        <w:rPr>
          <w:rFonts w:eastAsiaTheme="minorEastAsia" w:hint="eastAsia"/>
          <w:szCs w:val="21"/>
        </w:rPr>
        <w:t>受到</w:t>
      </w:r>
      <w:r w:rsidRPr="00BF42B7">
        <w:rPr>
          <w:rFonts w:eastAsiaTheme="minorEastAsia"/>
          <w:szCs w:val="21"/>
        </w:rPr>
        <w:t>1969</w:t>
      </w:r>
      <w:r w:rsidRPr="00BF42B7">
        <w:rPr>
          <w:rFonts w:eastAsiaTheme="minorEastAsia" w:hint="eastAsia"/>
          <w:szCs w:val="21"/>
        </w:rPr>
        <w:t>年</w:t>
      </w:r>
      <w:r w:rsidRPr="00BF42B7">
        <w:rPr>
          <w:rFonts w:ascii="宋体" w:eastAsiaTheme="minorEastAsia" w:hAnsi="宋体" w:cs="宋体" w:hint="eastAsia"/>
          <w:szCs w:val="21"/>
        </w:rPr>
        <w:t>《维也纳条约法公约》</w:t>
      </w:r>
      <w:r w:rsidRPr="00BF42B7">
        <w:rPr>
          <w:rStyle w:val="a5"/>
          <w:rFonts w:eastAsiaTheme="minorEastAsia"/>
          <w:szCs w:val="21"/>
        </w:rPr>
        <w:footnoteReference w:id="236"/>
      </w:r>
      <w:r w:rsidRPr="00BF42B7">
        <w:rPr>
          <w:rFonts w:ascii="宋体" w:eastAsiaTheme="minorEastAsia" w:hAnsi="宋体" w:cs="宋体"/>
          <w:szCs w:val="21"/>
        </w:rPr>
        <w:t xml:space="preserve"> </w:t>
      </w:r>
      <w:r w:rsidRPr="00BF42B7">
        <w:rPr>
          <w:rFonts w:ascii="宋体" w:eastAsiaTheme="minorEastAsia" w:hAnsi="宋体" w:cs="宋体" w:hint="eastAsia"/>
          <w:szCs w:val="21"/>
        </w:rPr>
        <w:t>序言段的启发，其中规定：“凡未经本公约各条规定之问题，将仍以国际习惯法规则为准”。</w:t>
      </w:r>
    </w:p>
    <w:p w:rsidR="00765E0D" w:rsidRPr="00BF42B7" w:rsidRDefault="00765E0D" w:rsidP="00765E0D">
      <w:pPr>
        <w:pStyle w:val="SingleTxtGC"/>
        <w:rPr>
          <w:rFonts w:ascii="宋体" w:eastAsiaTheme="minorEastAsia" w:hAnsi="宋体" w:cs="宋体"/>
          <w:szCs w:val="21"/>
        </w:rPr>
      </w:pPr>
      <w:r w:rsidRPr="00BF42B7">
        <w:rPr>
          <w:rFonts w:eastAsiaTheme="minorEastAsia"/>
          <w:szCs w:val="21"/>
        </w:rPr>
        <w:t>(6)</w:t>
      </w:r>
      <w:r w:rsidRPr="00BF42B7">
        <w:rPr>
          <w:rFonts w:eastAsiaTheme="minorEastAsia" w:hint="eastAsia"/>
          <w:szCs w:val="21"/>
        </w:rPr>
        <w:t xml:space="preserve">  </w:t>
      </w:r>
      <w:r w:rsidRPr="00BF42B7">
        <w:rPr>
          <w:rFonts w:eastAsiaTheme="minorEastAsia" w:hint="eastAsia"/>
          <w:szCs w:val="21"/>
        </w:rPr>
        <w:t>此外</w:t>
      </w:r>
      <w:r w:rsidRPr="00BF42B7">
        <w:rPr>
          <w:rFonts w:ascii="宋体" w:eastAsiaTheme="minorEastAsia" w:hAnsi="宋体" w:cs="宋体" w:hint="eastAsia"/>
          <w:szCs w:val="21"/>
        </w:rPr>
        <w:t>，不应忘记，不直接涉及灾害的普遍适用的规则也可能载于条约法中。因此，委员会认为，“其他可适用的国际法规则”是说明可能与本条款草案发生互动的所有国际法规则的最合适的措辞，它表达了这样的思想，即</w:t>
      </w:r>
      <w:r w:rsidRPr="00BF42B7">
        <w:rPr>
          <w:rFonts w:eastAsiaTheme="minorEastAsia" w:hint="eastAsia"/>
          <w:szCs w:val="21"/>
        </w:rPr>
        <w:t>第</w:t>
      </w:r>
      <w:r w:rsidRPr="00BF42B7">
        <w:rPr>
          <w:rFonts w:eastAsiaTheme="minorEastAsia" w:hint="eastAsia"/>
          <w:szCs w:val="21"/>
        </w:rPr>
        <w:t>18</w:t>
      </w:r>
      <w:r w:rsidRPr="00BF42B7">
        <w:rPr>
          <w:rFonts w:eastAsiaTheme="minorEastAsia" w:hint="eastAsia"/>
          <w:szCs w:val="21"/>
        </w:rPr>
        <w:t>条</w:t>
      </w:r>
      <w:r w:rsidRPr="00BF42B7">
        <w:rPr>
          <w:rFonts w:ascii="宋体" w:eastAsiaTheme="minorEastAsia" w:hAnsi="宋体" w:cs="宋体" w:hint="eastAsia"/>
          <w:szCs w:val="21"/>
        </w:rPr>
        <w:t>草案中的不影响条款适用于所有类别的国际法规则。</w:t>
      </w:r>
    </w:p>
    <w:p w:rsidR="00765E0D" w:rsidRPr="00BF42B7" w:rsidRDefault="00765E0D" w:rsidP="00765E0D">
      <w:pPr>
        <w:pStyle w:val="SingleTxtGC"/>
        <w:rPr>
          <w:rFonts w:ascii="宋体" w:eastAsiaTheme="minorEastAsia" w:hAnsi="宋体" w:cs="宋体"/>
          <w:szCs w:val="21"/>
        </w:rPr>
      </w:pPr>
      <w:r w:rsidRPr="00BF42B7">
        <w:rPr>
          <w:rFonts w:eastAsiaTheme="minorEastAsia"/>
          <w:szCs w:val="21"/>
        </w:rPr>
        <w:t>(7)</w:t>
      </w:r>
      <w:r w:rsidRPr="00BF42B7">
        <w:rPr>
          <w:rFonts w:eastAsiaTheme="minorEastAsia" w:hint="eastAsia"/>
          <w:szCs w:val="21"/>
        </w:rPr>
        <w:t xml:space="preserve">  </w:t>
      </w:r>
      <w:r w:rsidRPr="00BF42B7">
        <w:rPr>
          <w:rFonts w:eastAsiaTheme="minorEastAsia" w:hint="eastAsia"/>
          <w:szCs w:val="21"/>
        </w:rPr>
        <w:t>第</w:t>
      </w:r>
      <w:r w:rsidRPr="00BF42B7">
        <w:rPr>
          <w:rFonts w:eastAsiaTheme="minorEastAsia"/>
          <w:szCs w:val="21"/>
        </w:rPr>
        <w:t>2</w:t>
      </w:r>
      <w:r w:rsidRPr="00BF42B7">
        <w:rPr>
          <w:rFonts w:eastAsiaTheme="minorEastAsia" w:hint="eastAsia"/>
          <w:szCs w:val="21"/>
        </w:rPr>
        <w:t>款具体</w:t>
      </w:r>
      <w:r w:rsidRPr="00BF42B7">
        <w:rPr>
          <w:rFonts w:ascii="宋体" w:eastAsiaTheme="minorEastAsia" w:hAnsi="宋体" w:cs="宋体" w:hint="eastAsia"/>
          <w:szCs w:val="21"/>
        </w:rPr>
        <w:t>处理条款草案与国际人道主义法的关系问题。这一条规定之所以这样措辞，就是为了澄清这种关系，表明优先适用国际人道主义法规则。</w:t>
      </w:r>
    </w:p>
    <w:p w:rsidR="00765E0D" w:rsidRPr="00BF42B7" w:rsidRDefault="00765E0D" w:rsidP="00765E0D">
      <w:pPr>
        <w:pStyle w:val="SingleTxtGC"/>
        <w:rPr>
          <w:rFonts w:eastAsiaTheme="minorEastAsia"/>
          <w:szCs w:val="21"/>
        </w:rPr>
      </w:pPr>
      <w:r w:rsidRPr="00BF42B7">
        <w:rPr>
          <w:rFonts w:eastAsiaTheme="minorEastAsia"/>
          <w:szCs w:val="21"/>
        </w:rPr>
        <w:t>(8)</w:t>
      </w:r>
      <w:r w:rsidRPr="00BF42B7">
        <w:rPr>
          <w:rFonts w:eastAsiaTheme="minorEastAsia" w:hint="eastAsia"/>
          <w:szCs w:val="21"/>
        </w:rPr>
        <w:t xml:space="preserve">  </w:t>
      </w:r>
      <w:r w:rsidRPr="00BF42B7">
        <w:rPr>
          <w:rFonts w:eastAsiaTheme="minorEastAsia" w:hint="eastAsia"/>
          <w:szCs w:val="21"/>
        </w:rPr>
        <w:t>委员会曾考虑过，加进明确的措辞排除这些条款草案适用于武装冲突情况作为“灾害”定义</w:t>
      </w:r>
      <w:r w:rsidRPr="00BF42B7">
        <w:rPr>
          <w:rFonts w:ascii="宋体" w:eastAsiaTheme="minorEastAsia" w:hAnsi="宋体" w:cs="宋体" w:hint="eastAsia"/>
          <w:szCs w:val="21"/>
        </w:rPr>
        <w:t>(</w:t>
      </w:r>
      <w:r w:rsidRPr="00BF42B7">
        <w:rPr>
          <w:rFonts w:eastAsiaTheme="minorEastAsia" w:hint="eastAsia"/>
          <w:szCs w:val="21"/>
        </w:rPr>
        <w:t>第</w:t>
      </w:r>
      <w:r w:rsidRPr="00BF42B7">
        <w:rPr>
          <w:rFonts w:eastAsiaTheme="minorEastAsia"/>
          <w:szCs w:val="21"/>
        </w:rPr>
        <w:t>3</w:t>
      </w:r>
      <w:r w:rsidRPr="00BF42B7">
        <w:rPr>
          <w:rFonts w:eastAsiaTheme="minorEastAsia" w:hint="eastAsia"/>
          <w:szCs w:val="21"/>
        </w:rPr>
        <w:t>条草案</w:t>
      </w:r>
      <w:r w:rsidRPr="00BF42B7">
        <w:rPr>
          <w:rFonts w:eastAsiaTheme="minorEastAsia"/>
          <w:szCs w:val="21"/>
        </w:rPr>
        <w:t>(a)</w:t>
      </w:r>
      <w:r w:rsidRPr="00BF42B7">
        <w:rPr>
          <w:rFonts w:eastAsiaTheme="minorEastAsia" w:hint="eastAsia"/>
          <w:szCs w:val="21"/>
        </w:rPr>
        <w:t>项</w:t>
      </w:r>
      <w:r w:rsidRPr="00BF42B7">
        <w:rPr>
          <w:rFonts w:eastAsiaTheme="minorEastAsia" w:hint="eastAsia"/>
          <w:szCs w:val="21"/>
        </w:rPr>
        <w:t>)</w:t>
      </w:r>
      <w:r w:rsidRPr="00BF42B7">
        <w:rPr>
          <w:rFonts w:eastAsiaTheme="minorEastAsia" w:hint="eastAsia"/>
          <w:szCs w:val="21"/>
        </w:rPr>
        <w:t>的另一要素，以避免任何这样的解释，即为条款草之的目的，只要如第</w:t>
      </w:r>
      <w:r w:rsidRPr="00BF42B7">
        <w:rPr>
          <w:rFonts w:eastAsiaTheme="minorEastAsia"/>
          <w:szCs w:val="21"/>
        </w:rPr>
        <w:t>3</w:t>
      </w:r>
      <w:r w:rsidRPr="00BF42B7">
        <w:rPr>
          <w:rFonts w:eastAsiaTheme="minorEastAsia" w:hint="eastAsia"/>
          <w:szCs w:val="21"/>
        </w:rPr>
        <w:t>条草案所述</w:t>
      </w:r>
      <w:r w:rsidRPr="00BF42B7">
        <w:rPr>
          <w:rFonts w:ascii="宋体" w:eastAsiaTheme="minorEastAsia" w:hAnsi="宋体" w:cs="宋体" w:hint="eastAsia"/>
          <w:szCs w:val="21"/>
        </w:rPr>
        <w:t>的门槛标准得到满足，武装冲突便包括在内。委员会没有采用这样的做法，</w:t>
      </w:r>
      <w:r w:rsidRPr="00BF42B7">
        <w:rPr>
          <w:rFonts w:eastAsiaTheme="minorEastAsia" w:hint="eastAsia"/>
          <w:szCs w:val="21"/>
        </w:rPr>
        <w:t>因为将其明确地排除在外可能于事无补，尤其是在“复杂紧急情况”下，即灾害发生于存在着武装冲突的地区。因同时存在武装冲突便明确排除条款草案适用，将不利于保护受灾害影响的人，</w:t>
      </w:r>
      <w:r w:rsidRPr="00BF42B7">
        <w:rPr>
          <w:rFonts w:ascii="宋体" w:eastAsiaTheme="minorEastAsia" w:hAnsi="宋体" w:cs="宋体" w:hint="eastAsia"/>
          <w:szCs w:val="21"/>
        </w:rPr>
        <w:t>特别是当灾害发生于武装冲突之前时。</w:t>
      </w:r>
      <w:r w:rsidRPr="00BF42B7">
        <w:rPr>
          <w:rStyle w:val="a5"/>
        </w:rPr>
        <w:footnoteReference w:id="237"/>
      </w:r>
    </w:p>
    <w:p w:rsidR="0033276F" w:rsidRPr="00BF42B7" w:rsidRDefault="00765E0D" w:rsidP="00790CCC">
      <w:pPr>
        <w:pStyle w:val="SingleTxtGC"/>
        <w:rPr>
          <w:rFonts w:eastAsiaTheme="minorEastAsia"/>
          <w:szCs w:val="21"/>
        </w:rPr>
      </w:pPr>
      <w:r w:rsidRPr="00BF42B7">
        <w:rPr>
          <w:rFonts w:eastAsiaTheme="minorEastAsia"/>
          <w:szCs w:val="21"/>
        </w:rPr>
        <w:t>(9)</w:t>
      </w:r>
      <w:r w:rsidRPr="00BF42B7">
        <w:rPr>
          <w:rFonts w:eastAsiaTheme="minorEastAsia" w:hint="eastAsia"/>
          <w:szCs w:val="21"/>
        </w:rPr>
        <w:t xml:space="preserve">  </w:t>
      </w:r>
      <w:r w:rsidRPr="00BF42B7">
        <w:rPr>
          <w:rFonts w:eastAsiaTheme="minorEastAsia" w:hint="eastAsia"/>
          <w:szCs w:val="21"/>
        </w:rPr>
        <w:t>在这种情况下，国际人道主义法规则应作为特别法适用，而本条款草案所载的规则，只要灾害引起的法律问题不在国际人道主义法规则的范围内，则将继续适用。通过这样做，本条款草案将有助于填补在保护受武装冲突期间发生的灾害影响的人员方面可能存在的法律空白；对于同时受本条款草案和国际人道主义法调整的情况，国际人道主义法将保持优先地位。具体而言，本条款草案不得解释为妨碍人道主义组织在即使与灾害同时发生的武装冲突</w:t>
      </w:r>
      <w:r w:rsidRPr="00BF42B7">
        <w:rPr>
          <w:rFonts w:eastAsiaTheme="minorEastAsia" w:hint="eastAsia"/>
          <w:szCs w:val="21"/>
        </w:rPr>
        <w:t>(</w:t>
      </w:r>
      <w:r w:rsidRPr="00BF42B7">
        <w:rPr>
          <w:rFonts w:eastAsiaTheme="minorEastAsia" w:hint="eastAsia"/>
          <w:szCs w:val="21"/>
        </w:rPr>
        <w:t>不论是国际还是非国际性的武装冲突</w:t>
      </w:r>
      <w:r w:rsidRPr="00BF42B7">
        <w:rPr>
          <w:rFonts w:eastAsiaTheme="minorEastAsia" w:hint="eastAsia"/>
          <w:szCs w:val="21"/>
        </w:rPr>
        <w:t>)</w:t>
      </w:r>
      <w:r w:rsidRPr="00BF42B7">
        <w:rPr>
          <w:rFonts w:eastAsiaTheme="minorEastAsia" w:hint="eastAsia"/>
          <w:szCs w:val="21"/>
        </w:rPr>
        <w:t>时按照国际人道主义法赋予的任务，开展人道主义活动。</w:t>
      </w:r>
    </w:p>
    <w:p w:rsidR="00790CCC" w:rsidRPr="00BF42B7" w:rsidRDefault="00790CCC">
      <w:pPr>
        <w:tabs>
          <w:tab w:val="clear" w:pos="431"/>
        </w:tabs>
        <w:overflowPunct/>
        <w:adjustRightInd/>
        <w:snapToGrid/>
        <w:spacing w:line="240" w:lineRule="auto"/>
        <w:jc w:val="left"/>
        <w:rPr>
          <w:rFonts w:eastAsiaTheme="minorEastAsia"/>
          <w:szCs w:val="21"/>
        </w:rPr>
      </w:pPr>
      <w:r w:rsidRPr="00BF42B7">
        <w:rPr>
          <w:rFonts w:eastAsiaTheme="minorEastAsia"/>
          <w:szCs w:val="21"/>
        </w:rPr>
        <w:br w:type="page"/>
      </w:r>
    </w:p>
    <w:p w:rsidR="00790CCC" w:rsidRPr="00BF42B7" w:rsidRDefault="00790CCC" w:rsidP="00790CCC">
      <w:pPr>
        <w:pStyle w:val="HChGC"/>
        <w:rPr>
          <w:b/>
        </w:rPr>
      </w:pPr>
      <w:r w:rsidRPr="00BF42B7">
        <w:rPr>
          <w:rFonts w:hint="eastAsia"/>
        </w:rPr>
        <w:tab/>
      </w:r>
      <w:r w:rsidRPr="00BF42B7">
        <w:rPr>
          <w:rFonts w:hint="eastAsia"/>
        </w:rPr>
        <w:tab/>
      </w:r>
      <w:r w:rsidRPr="00BF42B7">
        <w:rPr>
          <w:rFonts w:hint="eastAsia"/>
        </w:rPr>
        <w:t>第五章</w:t>
      </w:r>
      <w:r w:rsidRPr="00BF42B7">
        <w:br/>
      </w:r>
      <w:r w:rsidRPr="00BF42B7">
        <w:t>习惯国际法的识别</w:t>
      </w:r>
    </w:p>
    <w:p w:rsidR="00790CCC" w:rsidRPr="00BF42B7" w:rsidRDefault="00790CCC" w:rsidP="00790CCC">
      <w:pPr>
        <w:pStyle w:val="H1GC"/>
        <w:rPr>
          <w:b/>
        </w:rPr>
      </w:pPr>
      <w:bookmarkStart w:id="55" w:name="_Toc427938097"/>
      <w:r w:rsidRPr="00BF42B7">
        <w:rPr>
          <w:rFonts w:hint="eastAsia"/>
        </w:rPr>
        <w:tab/>
      </w:r>
      <w:r w:rsidRPr="00BF42B7">
        <w:t>A.</w:t>
      </w:r>
      <w:r w:rsidRPr="00BF42B7">
        <w:tab/>
      </w:r>
      <w:bookmarkEnd w:id="55"/>
      <w:r w:rsidRPr="00BF42B7">
        <w:rPr>
          <w:rFonts w:hint="eastAsia"/>
        </w:rPr>
        <w:t>导言</w:t>
      </w:r>
    </w:p>
    <w:p w:rsidR="00790CCC" w:rsidRPr="00BF42B7" w:rsidRDefault="00790CCC" w:rsidP="00790CCC">
      <w:pPr>
        <w:pStyle w:val="SingleTxtGC"/>
        <w:rPr>
          <w:szCs w:val="21"/>
        </w:rPr>
      </w:pPr>
      <w:r w:rsidRPr="00BF42B7">
        <w:rPr>
          <w:rFonts w:hint="eastAsia"/>
          <w:szCs w:val="21"/>
        </w:rPr>
        <w:t>50</w:t>
      </w:r>
      <w:r w:rsidRPr="00BF42B7">
        <w:rPr>
          <w:szCs w:val="21"/>
        </w:rPr>
        <w:t>.</w:t>
      </w:r>
      <w:r w:rsidRPr="00BF42B7">
        <w:rPr>
          <w:rFonts w:hint="eastAsia"/>
          <w:szCs w:val="21"/>
        </w:rPr>
        <w:t xml:space="preserve">  </w:t>
      </w:r>
      <w:r w:rsidRPr="00BF42B7">
        <w:rPr>
          <w:rFonts w:hint="eastAsia"/>
          <w:szCs w:val="21"/>
        </w:rPr>
        <w:t>委员会第六十四届会议</w:t>
      </w:r>
      <w:r w:rsidRPr="00BF42B7">
        <w:rPr>
          <w:szCs w:val="21"/>
        </w:rPr>
        <w:t>(2012</w:t>
      </w:r>
      <w:r w:rsidRPr="00BF42B7">
        <w:rPr>
          <w:rFonts w:hint="eastAsia"/>
          <w:szCs w:val="21"/>
        </w:rPr>
        <w:t>年</w:t>
      </w:r>
      <w:r w:rsidRPr="00BF42B7">
        <w:rPr>
          <w:szCs w:val="21"/>
        </w:rPr>
        <w:t>)</w:t>
      </w:r>
      <w:r w:rsidRPr="00BF42B7">
        <w:rPr>
          <w:rFonts w:hint="eastAsia"/>
          <w:szCs w:val="21"/>
        </w:rPr>
        <w:t>决定将“习惯国际法的形成与证据”专题列入工作方案，并任命迈克尔·伍德爵士为特别报告员。</w:t>
      </w:r>
      <w:r w:rsidRPr="00BF42B7">
        <w:rPr>
          <w:color w:val="0000FF"/>
          <w:vertAlign w:val="superscript"/>
        </w:rPr>
        <w:footnoteReference w:id="238"/>
      </w:r>
      <w:r w:rsidRPr="00BF42B7">
        <w:rPr>
          <w:rFonts w:hint="eastAsia"/>
          <w:szCs w:val="21"/>
        </w:rPr>
        <w:t xml:space="preserve"> </w:t>
      </w:r>
      <w:r w:rsidRPr="00BF42B7">
        <w:rPr>
          <w:rFonts w:hint="eastAsia"/>
          <w:szCs w:val="21"/>
        </w:rPr>
        <w:t>在该届会议上，委员会收到特别报告员的说明</w:t>
      </w:r>
      <w:r w:rsidRPr="00BF42B7">
        <w:rPr>
          <w:szCs w:val="21"/>
        </w:rPr>
        <w:t>(</w:t>
      </w:r>
      <w:hyperlink r:id="rId71" w:history="1">
        <w:r w:rsidRPr="00BF42B7">
          <w:rPr>
            <w:rStyle w:val="af"/>
            <w:szCs w:val="21"/>
          </w:rPr>
          <w:t>A/CN.4/653</w:t>
        </w:r>
      </w:hyperlink>
      <w:r w:rsidRPr="00BF42B7">
        <w:rPr>
          <w:szCs w:val="21"/>
        </w:rPr>
        <w:t>)</w:t>
      </w:r>
      <w:r w:rsidRPr="00BF42B7">
        <w:rPr>
          <w:rFonts w:hint="eastAsia"/>
          <w:szCs w:val="21"/>
        </w:rPr>
        <w:t>。</w:t>
      </w:r>
      <w:r w:rsidRPr="00BF42B7">
        <w:rPr>
          <w:color w:val="0000FF"/>
          <w:vertAlign w:val="superscript"/>
        </w:rPr>
        <w:footnoteReference w:id="239"/>
      </w:r>
      <w:r w:rsidRPr="00BF42B7">
        <w:rPr>
          <w:rFonts w:hint="eastAsia"/>
          <w:szCs w:val="21"/>
        </w:rPr>
        <w:t xml:space="preserve"> </w:t>
      </w:r>
      <w:r w:rsidRPr="00BF42B7">
        <w:rPr>
          <w:rFonts w:hint="eastAsia"/>
          <w:szCs w:val="21"/>
        </w:rPr>
        <w:t>在同届会议上，委员会还请秘书处编写一份备忘录，说明委员会此前的工作中可能与此专题尤为相关的要素。</w:t>
      </w:r>
      <w:r w:rsidRPr="00BF42B7">
        <w:rPr>
          <w:color w:val="0000FF"/>
          <w:vertAlign w:val="superscript"/>
        </w:rPr>
        <w:footnoteReference w:id="240"/>
      </w:r>
    </w:p>
    <w:p w:rsidR="00790CCC" w:rsidRPr="00BF42B7" w:rsidRDefault="00790CCC" w:rsidP="00790CCC">
      <w:pPr>
        <w:pStyle w:val="SingleTxtGC"/>
        <w:rPr>
          <w:szCs w:val="21"/>
        </w:rPr>
      </w:pPr>
      <w:r w:rsidRPr="00BF42B7">
        <w:rPr>
          <w:rFonts w:hint="eastAsia"/>
          <w:szCs w:val="21"/>
        </w:rPr>
        <w:t>51</w:t>
      </w:r>
      <w:r w:rsidRPr="00BF42B7">
        <w:rPr>
          <w:szCs w:val="21"/>
        </w:rPr>
        <w:t>.</w:t>
      </w:r>
      <w:r w:rsidRPr="00BF42B7">
        <w:rPr>
          <w:rFonts w:hint="eastAsia"/>
          <w:szCs w:val="21"/>
        </w:rPr>
        <w:t xml:space="preserve">  </w:t>
      </w:r>
      <w:r w:rsidRPr="00BF42B7">
        <w:rPr>
          <w:rFonts w:hint="eastAsia"/>
          <w:szCs w:val="21"/>
        </w:rPr>
        <w:t>委员会第六十五届会议</w:t>
      </w:r>
      <w:r w:rsidRPr="00BF42B7">
        <w:rPr>
          <w:szCs w:val="21"/>
        </w:rPr>
        <w:t>(2013</w:t>
      </w:r>
      <w:r w:rsidRPr="00BF42B7">
        <w:rPr>
          <w:rFonts w:hint="eastAsia"/>
          <w:szCs w:val="21"/>
        </w:rPr>
        <w:t>年</w:t>
      </w:r>
      <w:r w:rsidRPr="00BF42B7">
        <w:rPr>
          <w:szCs w:val="21"/>
        </w:rPr>
        <w:t>)</w:t>
      </w:r>
      <w:r w:rsidRPr="00BF42B7">
        <w:rPr>
          <w:rFonts w:hint="eastAsia"/>
          <w:szCs w:val="21"/>
        </w:rPr>
        <w:t>审议了特别报告员的第一次报告</w:t>
      </w:r>
      <w:r w:rsidRPr="00BF42B7">
        <w:rPr>
          <w:szCs w:val="21"/>
        </w:rPr>
        <w:t>(</w:t>
      </w:r>
      <w:hyperlink r:id="rId72" w:history="1">
        <w:r w:rsidRPr="00BF42B7">
          <w:rPr>
            <w:rStyle w:val="af"/>
            <w:szCs w:val="21"/>
          </w:rPr>
          <w:t>A/CN.4/</w:t>
        </w:r>
        <w:r w:rsidRPr="00BF42B7">
          <w:rPr>
            <w:rStyle w:val="af"/>
            <w:rFonts w:hint="eastAsia"/>
            <w:szCs w:val="21"/>
          </w:rPr>
          <w:t xml:space="preserve"> </w:t>
        </w:r>
        <w:r w:rsidRPr="00BF42B7">
          <w:rPr>
            <w:rStyle w:val="af"/>
            <w:szCs w:val="21"/>
          </w:rPr>
          <w:t>663</w:t>
        </w:r>
      </w:hyperlink>
      <w:r w:rsidRPr="00BF42B7">
        <w:rPr>
          <w:szCs w:val="21"/>
        </w:rPr>
        <w:t>)</w:t>
      </w:r>
      <w:r w:rsidRPr="00BF42B7">
        <w:rPr>
          <w:rFonts w:hint="eastAsia"/>
          <w:szCs w:val="21"/>
        </w:rPr>
        <w:t>，以及秘书处关于该专题的一份备忘录</w:t>
      </w:r>
      <w:r w:rsidRPr="00BF42B7">
        <w:rPr>
          <w:szCs w:val="21"/>
        </w:rPr>
        <w:t>(</w:t>
      </w:r>
      <w:hyperlink r:id="rId73" w:history="1">
        <w:r w:rsidRPr="00BF42B7">
          <w:rPr>
            <w:rStyle w:val="af"/>
            <w:szCs w:val="21"/>
          </w:rPr>
          <w:t>A/CN.4/659</w:t>
        </w:r>
      </w:hyperlink>
      <w:r w:rsidRPr="00BF42B7">
        <w:rPr>
          <w:szCs w:val="21"/>
        </w:rPr>
        <w:t>)</w:t>
      </w:r>
      <w:r w:rsidRPr="00BF42B7">
        <w:rPr>
          <w:rFonts w:hint="eastAsia"/>
          <w:szCs w:val="21"/>
        </w:rPr>
        <w:t>。</w:t>
      </w:r>
      <w:r w:rsidRPr="00BF42B7">
        <w:rPr>
          <w:color w:val="0000FF"/>
          <w:vertAlign w:val="superscript"/>
        </w:rPr>
        <w:footnoteReference w:id="241"/>
      </w:r>
      <w:r w:rsidRPr="00BF42B7">
        <w:rPr>
          <w:rFonts w:hint="eastAsia"/>
          <w:szCs w:val="21"/>
        </w:rPr>
        <w:t xml:space="preserve"> </w:t>
      </w:r>
      <w:r w:rsidRPr="00BF42B7">
        <w:rPr>
          <w:rFonts w:hint="eastAsia"/>
          <w:szCs w:val="21"/>
        </w:rPr>
        <w:t>在同届会议上，委员会决定将专题标题改为“习惯国际法的识别”。</w:t>
      </w:r>
    </w:p>
    <w:p w:rsidR="00790CCC" w:rsidRPr="00BF42B7" w:rsidRDefault="00790CCC" w:rsidP="00790CCC">
      <w:pPr>
        <w:pStyle w:val="SingleTxtGC"/>
        <w:rPr>
          <w:szCs w:val="21"/>
        </w:rPr>
      </w:pPr>
      <w:r w:rsidRPr="00BF42B7">
        <w:rPr>
          <w:rFonts w:hint="eastAsia"/>
          <w:szCs w:val="21"/>
        </w:rPr>
        <w:t>52</w:t>
      </w:r>
      <w:r w:rsidRPr="00BF42B7">
        <w:rPr>
          <w:szCs w:val="21"/>
        </w:rPr>
        <w:t>.</w:t>
      </w:r>
      <w:r w:rsidRPr="00BF42B7">
        <w:rPr>
          <w:rFonts w:hint="eastAsia"/>
          <w:szCs w:val="21"/>
        </w:rPr>
        <w:t xml:space="preserve">  </w:t>
      </w:r>
      <w:r w:rsidRPr="00BF42B7">
        <w:rPr>
          <w:rFonts w:hint="eastAsia"/>
          <w:szCs w:val="21"/>
        </w:rPr>
        <w:t>委员会第六十六届会议</w:t>
      </w:r>
      <w:r w:rsidRPr="00BF42B7">
        <w:rPr>
          <w:szCs w:val="21"/>
        </w:rPr>
        <w:t>(2014</w:t>
      </w:r>
      <w:r w:rsidRPr="00BF42B7">
        <w:rPr>
          <w:rFonts w:hint="eastAsia"/>
          <w:szCs w:val="21"/>
        </w:rPr>
        <w:t>年</w:t>
      </w:r>
      <w:r w:rsidRPr="00BF42B7">
        <w:rPr>
          <w:szCs w:val="21"/>
        </w:rPr>
        <w:t>)</w:t>
      </w:r>
      <w:r w:rsidRPr="00BF42B7">
        <w:rPr>
          <w:rFonts w:hint="eastAsia"/>
          <w:szCs w:val="21"/>
        </w:rPr>
        <w:t>审议了特别报告员的第二次报告</w:t>
      </w:r>
      <w:r w:rsidRPr="00BF42B7">
        <w:rPr>
          <w:szCs w:val="21"/>
        </w:rPr>
        <w:t>(</w:t>
      </w:r>
      <w:hyperlink r:id="rId74" w:history="1">
        <w:r w:rsidRPr="00BF42B7">
          <w:rPr>
            <w:rStyle w:val="af"/>
            <w:szCs w:val="21"/>
          </w:rPr>
          <w:t>A/CN.4/</w:t>
        </w:r>
        <w:r w:rsidRPr="00BF42B7">
          <w:rPr>
            <w:rStyle w:val="af"/>
            <w:rFonts w:hint="eastAsia"/>
            <w:szCs w:val="21"/>
          </w:rPr>
          <w:t xml:space="preserve"> </w:t>
        </w:r>
        <w:r w:rsidRPr="00BF42B7">
          <w:rPr>
            <w:rStyle w:val="af"/>
            <w:szCs w:val="21"/>
          </w:rPr>
          <w:t>672</w:t>
        </w:r>
      </w:hyperlink>
      <w:r w:rsidRPr="00BF42B7">
        <w:rPr>
          <w:szCs w:val="21"/>
        </w:rPr>
        <w:t>)</w:t>
      </w:r>
      <w:r w:rsidRPr="00BF42B7">
        <w:rPr>
          <w:rFonts w:hint="eastAsia"/>
          <w:szCs w:val="21"/>
        </w:rPr>
        <w:t>，</w:t>
      </w:r>
      <w:r w:rsidRPr="00BF42B7">
        <w:rPr>
          <w:color w:val="0000FF"/>
          <w:vertAlign w:val="superscript"/>
        </w:rPr>
        <w:footnoteReference w:id="242"/>
      </w:r>
      <w:r w:rsidRPr="00BF42B7">
        <w:rPr>
          <w:rFonts w:hint="eastAsia"/>
          <w:szCs w:val="21"/>
        </w:rPr>
        <w:t xml:space="preserve"> </w:t>
      </w:r>
      <w:r w:rsidRPr="00BF42B7">
        <w:rPr>
          <w:rFonts w:hint="eastAsia"/>
          <w:szCs w:val="21"/>
        </w:rPr>
        <w:t>并决定将特别报告员第二次报告所载结论草案</w:t>
      </w:r>
      <w:r w:rsidRPr="00BF42B7">
        <w:rPr>
          <w:szCs w:val="21"/>
        </w:rPr>
        <w:t>1</w:t>
      </w:r>
      <w:r w:rsidRPr="00BF42B7">
        <w:rPr>
          <w:rFonts w:hint="eastAsia"/>
          <w:szCs w:val="21"/>
        </w:rPr>
        <w:t>至</w:t>
      </w:r>
      <w:r w:rsidRPr="00BF42B7">
        <w:rPr>
          <w:szCs w:val="21"/>
        </w:rPr>
        <w:t>11</w:t>
      </w:r>
      <w:r w:rsidRPr="00BF42B7">
        <w:rPr>
          <w:rFonts w:hint="eastAsia"/>
          <w:szCs w:val="21"/>
        </w:rPr>
        <w:t>转交起草委员会。委员会随后审议了起草委员会关于“习惯国际法的识别”的临时报告，其中载有起草委员会在第六十六届会议期间暂时通过的八条结论草案。</w:t>
      </w:r>
    </w:p>
    <w:p w:rsidR="00790CCC" w:rsidRPr="00BF42B7" w:rsidRDefault="00790CCC" w:rsidP="00790CCC">
      <w:pPr>
        <w:pStyle w:val="SingleTxtGC"/>
        <w:rPr>
          <w:szCs w:val="21"/>
        </w:rPr>
      </w:pPr>
      <w:r w:rsidRPr="00BF42B7">
        <w:rPr>
          <w:rFonts w:hint="eastAsia"/>
          <w:szCs w:val="21"/>
        </w:rPr>
        <w:t>53</w:t>
      </w:r>
      <w:r w:rsidRPr="00BF42B7">
        <w:rPr>
          <w:szCs w:val="21"/>
        </w:rPr>
        <w:t>.</w:t>
      </w:r>
      <w:r w:rsidRPr="00BF42B7">
        <w:rPr>
          <w:rFonts w:hint="eastAsia"/>
          <w:szCs w:val="21"/>
        </w:rPr>
        <w:t xml:space="preserve">  </w:t>
      </w:r>
      <w:r w:rsidRPr="00BF42B7">
        <w:rPr>
          <w:rFonts w:hint="eastAsia"/>
          <w:szCs w:val="21"/>
        </w:rPr>
        <w:t>委员会第六十七届会议</w:t>
      </w:r>
      <w:r w:rsidRPr="00BF42B7">
        <w:rPr>
          <w:szCs w:val="21"/>
        </w:rPr>
        <w:t>(201</w:t>
      </w:r>
      <w:r w:rsidRPr="00BF42B7">
        <w:rPr>
          <w:rFonts w:hint="eastAsia"/>
          <w:szCs w:val="21"/>
        </w:rPr>
        <w:t>5</w:t>
      </w:r>
      <w:r w:rsidRPr="00BF42B7">
        <w:rPr>
          <w:rFonts w:hint="eastAsia"/>
          <w:szCs w:val="21"/>
        </w:rPr>
        <w:t>年</w:t>
      </w:r>
      <w:r w:rsidRPr="00BF42B7">
        <w:rPr>
          <w:szCs w:val="21"/>
        </w:rPr>
        <w:t>)</w:t>
      </w:r>
      <w:r w:rsidRPr="00BF42B7">
        <w:rPr>
          <w:rFonts w:hint="eastAsia"/>
          <w:szCs w:val="21"/>
        </w:rPr>
        <w:t>审议了特别报告员的第三次报告</w:t>
      </w:r>
      <w:r w:rsidRPr="00BF42B7">
        <w:rPr>
          <w:szCs w:val="21"/>
        </w:rPr>
        <w:t>(</w:t>
      </w:r>
      <w:hyperlink r:id="rId75" w:history="1">
        <w:r w:rsidRPr="007F0135">
          <w:rPr>
            <w:rStyle w:val="af"/>
            <w:szCs w:val="21"/>
          </w:rPr>
          <w:t>A/CN.4/</w:t>
        </w:r>
      </w:hyperlink>
      <w:r w:rsidRPr="00BF42B7">
        <w:rPr>
          <w:rFonts w:hint="eastAsia"/>
          <w:szCs w:val="21"/>
        </w:rPr>
        <w:t xml:space="preserve"> </w:t>
      </w:r>
      <w:r w:rsidRPr="00BF42B7">
        <w:rPr>
          <w:szCs w:val="21"/>
        </w:rPr>
        <w:t>682)</w:t>
      </w:r>
      <w:r w:rsidRPr="00BF42B7">
        <w:rPr>
          <w:rFonts w:hint="eastAsia"/>
          <w:szCs w:val="21"/>
        </w:rPr>
        <w:t>，并决定将报告所载的各条结论草案转交起草委员会。委员会随后注意到起草委员会在第六十六和第六十七届会议期间暂时通过的结论草案</w:t>
      </w:r>
      <w:r w:rsidRPr="00BF42B7">
        <w:rPr>
          <w:rFonts w:hint="eastAsia"/>
          <w:szCs w:val="21"/>
        </w:rPr>
        <w:t>1</w:t>
      </w:r>
      <w:r w:rsidRPr="00BF42B7">
        <w:rPr>
          <w:rFonts w:hint="eastAsia"/>
          <w:szCs w:val="21"/>
        </w:rPr>
        <w:t>至</w:t>
      </w:r>
      <w:r w:rsidRPr="00BF42B7">
        <w:rPr>
          <w:rFonts w:hint="eastAsia"/>
          <w:szCs w:val="21"/>
        </w:rPr>
        <w:t>16</w:t>
      </w:r>
      <w:r w:rsidRPr="00BF42B7">
        <w:rPr>
          <w:szCs w:val="21"/>
        </w:rPr>
        <w:t>(</w:t>
      </w:r>
      <w:hyperlink r:id="rId76" w:history="1">
        <w:r w:rsidRPr="00BF42B7">
          <w:rPr>
            <w:rStyle w:val="af"/>
            <w:szCs w:val="21"/>
          </w:rPr>
          <w:t>A/CN.4/L.869</w:t>
        </w:r>
      </w:hyperlink>
      <w:r w:rsidRPr="00BF42B7">
        <w:rPr>
          <w:rStyle w:val="af"/>
          <w:szCs w:val="21"/>
        </w:rPr>
        <w:t>)</w:t>
      </w:r>
      <w:r w:rsidRPr="00BF42B7">
        <w:rPr>
          <w:rFonts w:hint="eastAsia"/>
          <w:szCs w:val="21"/>
        </w:rPr>
        <w:t>。</w:t>
      </w:r>
      <w:r w:rsidRPr="00BF42B7">
        <w:rPr>
          <w:color w:val="0000FF"/>
          <w:vertAlign w:val="superscript"/>
        </w:rPr>
        <w:footnoteReference w:id="243"/>
      </w:r>
      <w:r w:rsidRPr="00BF42B7">
        <w:rPr>
          <w:rFonts w:hint="eastAsia"/>
          <w:szCs w:val="21"/>
        </w:rPr>
        <w:t xml:space="preserve"> </w:t>
      </w:r>
      <w:r w:rsidRPr="00BF42B7">
        <w:rPr>
          <w:rFonts w:hint="eastAsia"/>
          <w:szCs w:val="21"/>
        </w:rPr>
        <w:t>委员会还请秘书处编写一份备忘录，说明就确定习惯国际法而言国内法院的判决在普遍性国际法院和法庭的判例法中的作用。</w:t>
      </w:r>
      <w:r w:rsidRPr="00BF42B7">
        <w:rPr>
          <w:color w:val="0000FF"/>
          <w:vertAlign w:val="superscript"/>
        </w:rPr>
        <w:footnoteReference w:id="244"/>
      </w:r>
    </w:p>
    <w:p w:rsidR="00790CCC" w:rsidRPr="00BF42B7" w:rsidRDefault="00790CCC" w:rsidP="00790CCC">
      <w:pPr>
        <w:pStyle w:val="H1GC"/>
        <w:rPr>
          <w:b/>
        </w:rPr>
      </w:pPr>
      <w:bookmarkStart w:id="56" w:name="_Toc427938098"/>
      <w:r w:rsidRPr="00BF42B7">
        <w:rPr>
          <w:rFonts w:hint="eastAsia"/>
        </w:rPr>
        <w:tab/>
      </w:r>
      <w:r w:rsidRPr="00BF42B7">
        <w:t>B</w:t>
      </w:r>
      <w:bookmarkEnd w:id="56"/>
      <w:r w:rsidRPr="00BF42B7">
        <w:rPr>
          <w:rFonts w:hint="eastAsia"/>
        </w:rPr>
        <w:t>.</w:t>
      </w:r>
      <w:r w:rsidRPr="00BF42B7">
        <w:rPr>
          <w:rFonts w:hint="eastAsia"/>
        </w:rPr>
        <w:tab/>
      </w:r>
      <w:r w:rsidRPr="00BF42B7">
        <w:rPr>
          <w:rFonts w:hint="eastAsia"/>
        </w:rPr>
        <w:t>本届会议审议此专题的情况</w:t>
      </w:r>
    </w:p>
    <w:p w:rsidR="00790CCC" w:rsidRPr="00BF42B7" w:rsidRDefault="00790CCC" w:rsidP="00790CCC">
      <w:pPr>
        <w:pStyle w:val="SingleTxtGC"/>
        <w:rPr>
          <w:szCs w:val="21"/>
        </w:rPr>
      </w:pPr>
      <w:r w:rsidRPr="00BF42B7">
        <w:rPr>
          <w:szCs w:val="21"/>
        </w:rPr>
        <w:t>5</w:t>
      </w:r>
      <w:r w:rsidRPr="00BF42B7">
        <w:rPr>
          <w:rFonts w:hint="eastAsia"/>
          <w:szCs w:val="21"/>
        </w:rPr>
        <w:t>4</w:t>
      </w:r>
      <w:r w:rsidRPr="00BF42B7">
        <w:rPr>
          <w:szCs w:val="21"/>
        </w:rPr>
        <w:t>.</w:t>
      </w:r>
      <w:r w:rsidRPr="00BF42B7">
        <w:rPr>
          <w:rFonts w:hint="eastAsia"/>
          <w:szCs w:val="21"/>
        </w:rPr>
        <w:t xml:space="preserve">  </w:t>
      </w:r>
      <w:r w:rsidRPr="00BF42B7">
        <w:rPr>
          <w:rFonts w:hint="eastAsia"/>
          <w:szCs w:val="21"/>
        </w:rPr>
        <w:t>在本届会议上，委员会收到了特别报告员的第四次报告</w:t>
      </w:r>
      <w:r w:rsidRPr="00BF42B7">
        <w:rPr>
          <w:szCs w:val="21"/>
        </w:rPr>
        <w:t>(</w:t>
      </w:r>
      <w:hyperlink r:id="rId77" w:history="1">
        <w:r w:rsidRPr="00BF42B7">
          <w:rPr>
            <w:rStyle w:val="af"/>
            <w:szCs w:val="21"/>
          </w:rPr>
          <w:t>A/CN.4/695</w:t>
        </w:r>
      </w:hyperlink>
      <w:r w:rsidRPr="00BF42B7">
        <w:rPr>
          <w:szCs w:val="21"/>
        </w:rPr>
        <w:t>)</w:t>
      </w:r>
      <w:r w:rsidRPr="00BF42B7">
        <w:rPr>
          <w:rFonts w:hint="eastAsia"/>
          <w:szCs w:val="21"/>
        </w:rPr>
        <w:t>和载有此专题文献书目的报告增编</w:t>
      </w:r>
      <w:r w:rsidRPr="00BF42B7">
        <w:rPr>
          <w:szCs w:val="21"/>
        </w:rPr>
        <w:t>(</w:t>
      </w:r>
      <w:hyperlink r:id="rId78" w:history="1">
        <w:r w:rsidRPr="00BF42B7">
          <w:rPr>
            <w:rStyle w:val="af"/>
            <w:szCs w:val="21"/>
          </w:rPr>
          <w:t>A/CN.4/695/Add.1</w:t>
        </w:r>
      </w:hyperlink>
      <w:r w:rsidRPr="00BF42B7">
        <w:rPr>
          <w:szCs w:val="21"/>
        </w:rPr>
        <w:t>)</w:t>
      </w:r>
      <w:r w:rsidRPr="00BF42B7">
        <w:rPr>
          <w:rFonts w:hint="eastAsia"/>
          <w:szCs w:val="21"/>
        </w:rPr>
        <w:t>。第四次报告列出了</w:t>
      </w:r>
      <w:r w:rsidRPr="00BF42B7">
        <w:rPr>
          <w:szCs w:val="21"/>
        </w:rPr>
        <w:t>各国和其他方面就暂时</w:t>
      </w:r>
      <w:r w:rsidRPr="00BF42B7">
        <w:rPr>
          <w:rFonts w:hint="eastAsia"/>
          <w:szCs w:val="21"/>
        </w:rPr>
        <w:t>通过</w:t>
      </w:r>
      <w:r w:rsidRPr="00BF42B7">
        <w:rPr>
          <w:szCs w:val="21"/>
        </w:rPr>
        <w:t>的结论草案提出的建议</w:t>
      </w:r>
      <w:r w:rsidRPr="00BF42B7">
        <w:rPr>
          <w:rFonts w:hint="eastAsia"/>
          <w:szCs w:val="21"/>
        </w:rPr>
        <w:t>，并载有</w:t>
      </w:r>
      <w:r w:rsidRPr="00BF42B7">
        <w:rPr>
          <w:szCs w:val="21"/>
        </w:rPr>
        <w:t>根据已收到</w:t>
      </w:r>
      <w:r w:rsidRPr="00BF42B7">
        <w:rPr>
          <w:rFonts w:hint="eastAsia"/>
          <w:szCs w:val="21"/>
        </w:rPr>
        <w:t>的</w:t>
      </w:r>
      <w:r w:rsidRPr="00BF42B7">
        <w:rPr>
          <w:szCs w:val="21"/>
        </w:rPr>
        <w:t>评论意见</w:t>
      </w:r>
      <w:r w:rsidRPr="00BF42B7">
        <w:rPr>
          <w:rFonts w:hint="eastAsia"/>
          <w:szCs w:val="21"/>
        </w:rPr>
        <w:t>对若干</w:t>
      </w:r>
      <w:r w:rsidRPr="00BF42B7">
        <w:rPr>
          <w:szCs w:val="21"/>
        </w:rPr>
        <w:t>结论草案</w:t>
      </w:r>
      <w:r w:rsidRPr="00BF42B7">
        <w:rPr>
          <w:rFonts w:hint="eastAsia"/>
          <w:szCs w:val="21"/>
        </w:rPr>
        <w:t>提出的修改建议。该报告还探讨了使习惯国际法的证据更易于查考的方式和方法，并</w:t>
      </w:r>
      <w:r w:rsidRPr="00BF42B7">
        <w:rPr>
          <w:szCs w:val="21"/>
        </w:rPr>
        <w:t>回顾了</w:t>
      </w:r>
      <w:r w:rsidRPr="00BF42B7">
        <w:rPr>
          <w:rFonts w:hint="eastAsia"/>
          <w:szCs w:val="21"/>
        </w:rPr>
        <w:t>委员会先前</w:t>
      </w:r>
      <w:r w:rsidRPr="00BF42B7">
        <w:rPr>
          <w:szCs w:val="21"/>
        </w:rPr>
        <w:t>工作的背景，作为委员会进一步审议</w:t>
      </w:r>
      <w:r w:rsidRPr="00BF42B7">
        <w:rPr>
          <w:rFonts w:hint="eastAsia"/>
          <w:szCs w:val="21"/>
        </w:rPr>
        <w:t>此专题</w:t>
      </w:r>
      <w:r w:rsidRPr="00BF42B7">
        <w:rPr>
          <w:szCs w:val="21"/>
        </w:rPr>
        <w:t>的基础。</w:t>
      </w:r>
      <w:r w:rsidRPr="00BF42B7">
        <w:rPr>
          <w:rFonts w:hint="eastAsia"/>
          <w:szCs w:val="21"/>
        </w:rPr>
        <w:t>此外，委员会还收到了秘书处编写的关于就确定习惯国际法而言国内法院判决在普遍性国际法院和法庭的判例法中作用的备忘录</w:t>
      </w:r>
      <w:r w:rsidRPr="00BF42B7">
        <w:rPr>
          <w:szCs w:val="21"/>
        </w:rPr>
        <w:t>(</w:t>
      </w:r>
      <w:hyperlink r:id="rId79" w:history="1">
        <w:r w:rsidRPr="00BF42B7">
          <w:rPr>
            <w:rStyle w:val="af"/>
            <w:szCs w:val="21"/>
          </w:rPr>
          <w:t>A/CN.4/691</w:t>
        </w:r>
      </w:hyperlink>
      <w:r w:rsidRPr="00BF42B7">
        <w:rPr>
          <w:szCs w:val="21"/>
        </w:rPr>
        <w:t>)</w:t>
      </w:r>
      <w:r w:rsidRPr="00BF42B7">
        <w:rPr>
          <w:rFonts w:hint="eastAsia"/>
          <w:szCs w:val="21"/>
        </w:rPr>
        <w:t>。</w:t>
      </w:r>
    </w:p>
    <w:p w:rsidR="00790CCC" w:rsidRPr="00BF42B7" w:rsidRDefault="00790CCC" w:rsidP="00790CCC">
      <w:pPr>
        <w:pStyle w:val="SingleTxtGC"/>
        <w:rPr>
          <w:szCs w:val="21"/>
        </w:rPr>
      </w:pPr>
      <w:r w:rsidRPr="00BF42B7">
        <w:rPr>
          <w:rFonts w:hint="eastAsia"/>
          <w:szCs w:val="21"/>
        </w:rPr>
        <w:t>55</w:t>
      </w:r>
      <w:r w:rsidRPr="00BF42B7">
        <w:rPr>
          <w:szCs w:val="21"/>
        </w:rPr>
        <w:t>.</w:t>
      </w:r>
      <w:r w:rsidRPr="00BF42B7">
        <w:rPr>
          <w:rFonts w:hint="eastAsia"/>
          <w:szCs w:val="21"/>
        </w:rPr>
        <w:t xml:space="preserve">  </w:t>
      </w:r>
      <w:r w:rsidRPr="00BF42B7">
        <w:rPr>
          <w:rFonts w:hint="eastAsia"/>
          <w:szCs w:val="21"/>
        </w:rPr>
        <w:t>委员会在</w:t>
      </w:r>
      <w:r w:rsidRPr="00BF42B7">
        <w:rPr>
          <w:rFonts w:hint="eastAsia"/>
          <w:szCs w:val="21"/>
        </w:rPr>
        <w:t>2016</w:t>
      </w:r>
      <w:r w:rsidRPr="00BF42B7">
        <w:rPr>
          <w:rFonts w:hint="eastAsia"/>
          <w:szCs w:val="21"/>
        </w:rPr>
        <w:t>年</w:t>
      </w:r>
      <w:r w:rsidRPr="00BF42B7">
        <w:rPr>
          <w:rFonts w:hint="eastAsia"/>
          <w:szCs w:val="21"/>
        </w:rPr>
        <w:t>5</w:t>
      </w:r>
      <w:r w:rsidRPr="00BF42B7">
        <w:rPr>
          <w:rFonts w:hint="eastAsia"/>
          <w:szCs w:val="21"/>
        </w:rPr>
        <w:t>月</w:t>
      </w:r>
      <w:r w:rsidRPr="00BF42B7">
        <w:rPr>
          <w:rFonts w:hint="eastAsia"/>
          <w:szCs w:val="21"/>
        </w:rPr>
        <w:t>19</w:t>
      </w:r>
      <w:r w:rsidRPr="00BF42B7">
        <w:rPr>
          <w:rFonts w:hint="eastAsia"/>
          <w:szCs w:val="21"/>
        </w:rPr>
        <w:t>日至</w:t>
      </w:r>
      <w:r w:rsidRPr="00BF42B7">
        <w:rPr>
          <w:rFonts w:hint="eastAsia"/>
          <w:szCs w:val="21"/>
        </w:rPr>
        <w:t>24</w:t>
      </w:r>
      <w:r w:rsidRPr="00BF42B7">
        <w:rPr>
          <w:rFonts w:hint="eastAsia"/>
          <w:szCs w:val="21"/>
        </w:rPr>
        <w:t>日举行的第</w:t>
      </w:r>
      <w:r w:rsidRPr="00BF42B7">
        <w:rPr>
          <w:rFonts w:hint="eastAsia"/>
          <w:szCs w:val="21"/>
        </w:rPr>
        <w:t>3301</w:t>
      </w:r>
      <w:r w:rsidRPr="00BF42B7">
        <w:rPr>
          <w:rFonts w:hint="eastAsia"/>
          <w:szCs w:val="21"/>
        </w:rPr>
        <w:t>至第</w:t>
      </w:r>
      <w:r w:rsidRPr="00BF42B7">
        <w:rPr>
          <w:rFonts w:hint="eastAsia"/>
          <w:szCs w:val="21"/>
        </w:rPr>
        <w:t>3303</w:t>
      </w:r>
      <w:r w:rsidRPr="00BF42B7">
        <w:rPr>
          <w:rFonts w:hint="eastAsia"/>
          <w:szCs w:val="21"/>
        </w:rPr>
        <w:t>次会议上，审议了特别报告员的第四次报告以及秘书处的备忘录。委员会在</w:t>
      </w:r>
      <w:r w:rsidRPr="00BF42B7">
        <w:rPr>
          <w:rFonts w:hint="eastAsia"/>
          <w:szCs w:val="21"/>
        </w:rPr>
        <w:t>2016</w:t>
      </w:r>
      <w:r w:rsidRPr="00BF42B7">
        <w:rPr>
          <w:rFonts w:hint="eastAsia"/>
          <w:szCs w:val="21"/>
        </w:rPr>
        <w:t>年</w:t>
      </w:r>
      <w:r w:rsidRPr="00BF42B7">
        <w:rPr>
          <w:rFonts w:hint="eastAsia"/>
          <w:szCs w:val="21"/>
        </w:rPr>
        <w:t>5</w:t>
      </w:r>
      <w:r w:rsidRPr="00BF42B7">
        <w:rPr>
          <w:rFonts w:hint="eastAsia"/>
          <w:szCs w:val="21"/>
        </w:rPr>
        <w:t>月</w:t>
      </w:r>
      <w:r w:rsidRPr="00BF42B7">
        <w:rPr>
          <w:rFonts w:hint="eastAsia"/>
          <w:szCs w:val="21"/>
        </w:rPr>
        <w:t>24</w:t>
      </w:r>
      <w:r w:rsidRPr="00BF42B7">
        <w:rPr>
          <w:rFonts w:hint="eastAsia"/>
          <w:szCs w:val="21"/>
        </w:rPr>
        <w:t>日举行的第</w:t>
      </w:r>
      <w:r w:rsidRPr="00BF42B7">
        <w:rPr>
          <w:rFonts w:hint="eastAsia"/>
          <w:szCs w:val="21"/>
        </w:rPr>
        <w:t>3303</w:t>
      </w:r>
      <w:r w:rsidRPr="00BF42B7">
        <w:rPr>
          <w:rFonts w:hint="eastAsia"/>
          <w:szCs w:val="21"/>
        </w:rPr>
        <w:t>次会议上，向起草委员会转交了特别报告员第四次报告所载结论草案的拟议修正案。</w:t>
      </w:r>
      <w:r w:rsidRPr="00BF42B7">
        <w:rPr>
          <w:color w:val="0000FF"/>
          <w:vertAlign w:val="superscript"/>
        </w:rPr>
        <w:footnoteReference w:id="245"/>
      </w:r>
    </w:p>
    <w:p w:rsidR="00790CCC" w:rsidRPr="00BF42B7" w:rsidRDefault="00790CCC" w:rsidP="00790CCC">
      <w:pPr>
        <w:pStyle w:val="SingleTxtGC"/>
        <w:rPr>
          <w:szCs w:val="21"/>
        </w:rPr>
      </w:pPr>
      <w:r w:rsidRPr="00BF42B7">
        <w:rPr>
          <w:rFonts w:hint="eastAsia"/>
          <w:szCs w:val="21"/>
        </w:rPr>
        <w:t>56</w:t>
      </w:r>
      <w:r w:rsidRPr="00BF42B7">
        <w:rPr>
          <w:szCs w:val="21"/>
        </w:rPr>
        <w:t>.</w:t>
      </w:r>
      <w:r w:rsidRPr="00BF42B7">
        <w:rPr>
          <w:rFonts w:hint="eastAsia"/>
          <w:szCs w:val="21"/>
        </w:rPr>
        <w:t xml:space="preserve">  </w:t>
      </w:r>
      <w:r w:rsidRPr="00BF42B7">
        <w:rPr>
          <w:rFonts w:hint="eastAsia"/>
          <w:szCs w:val="21"/>
        </w:rPr>
        <w:t>委员会还在</w:t>
      </w:r>
      <w:r w:rsidRPr="00BF42B7">
        <w:rPr>
          <w:rFonts w:hint="eastAsia"/>
          <w:szCs w:val="21"/>
        </w:rPr>
        <w:t>2016</w:t>
      </w:r>
      <w:r w:rsidRPr="00BF42B7">
        <w:rPr>
          <w:rFonts w:hint="eastAsia"/>
          <w:szCs w:val="21"/>
        </w:rPr>
        <w:t>年</w:t>
      </w:r>
      <w:r w:rsidRPr="00BF42B7">
        <w:rPr>
          <w:rFonts w:hint="eastAsia"/>
          <w:szCs w:val="21"/>
        </w:rPr>
        <w:t>5</w:t>
      </w:r>
      <w:r w:rsidRPr="00BF42B7">
        <w:rPr>
          <w:rFonts w:hint="eastAsia"/>
          <w:szCs w:val="21"/>
        </w:rPr>
        <w:t>月</w:t>
      </w:r>
      <w:r w:rsidRPr="00BF42B7">
        <w:rPr>
          <w:rFonts w:hint="eastAsia"/>
          <w:szCs w:val="21"/>
        </w:rPr>
        <w:t>24</w:t>
      </w:r>
      <w:r w:rsidRPr="00BF42B7">
        <w:rPr>
          <w:rFonts w:hint="eastAsia"/>
          <w:szCs w:val="21"/>
        </w:rPr>
        <w:t>日举行的第</w:t>
      </w:r>
      <w:r w:rsidRPr="00BF42B7">
        <w:rPr>
          <w:rFonts w:hint="eastAsia"/>
          <w:szCs w:val="21"/>
        </w:rPr>
        <w:t>3303</w:t>
      </w:r>
      <w:r w:rsidRPr="00BF42B7">
        <w:rPr>
          <w:rFonts w:hint="eastAsia"/>
          <w:szCs w:val="21"/>
        </w:rPr>
        <w:t>次会议上请秘书处编写一份备忘录，说明使习惯国际法的证据更易于查考的方法和手段，这份备忘录将调查习惯国际法证据的现状，并提出改进建议。</w:t>
      </w:r>
    </w:p>
    <w:p w:rsidR="00790CCC" w:rsidRPr="00BF42B7" w:rsidRDefault="00790CCC" w:rsidP="00790CCC">
      <w:pPr>
        <w:pStyle w:val="SingleTxtGC"/>
        <w:rPr>
          <w:szCs w:val="21"/>
        </w:rPr>
      </w:pPr>
      <w:r w:rsidRPr="00BF42B7">
        <w:rPr>
          <w:rFonts w:hint="eastAsia"/>
          <w:szCs w:val="21"/>
        </w:rPr>
        <w:t>57</w:t>
      </w:r>
      <w:r w:rsidRPr="00BF42B7">
        <w:rPr>
          <w:szCs w:val="21"/>
        </w:rPr>
        <w:t>.</w:t>
      </w:r>
      <w:r w:rsidRPr="00BF42B7">
        <w:rPr>
          <w:rFonts w:hint="eastAsia"/>
          <w:szCs w:val="21"/>
        </w:rPr>
        <w:t xml:space="preserve">  </w:t>
      </w:r>
      <w:r w:rsidRPr="00BF42B7">
        <w:rPr>
          <w:rFonts w:hint="eastAsia"/>
          <w:szCs w:val="21"/>
        </w:rPr>
        <w:t>委员会在</w:t>
      </w:r>
      <w:r w:rsidRPr="00BF42B7">
        <w:rPr>
          <w:rFonts w:hint="eastAsia"/>
          <w:szCs w:val="21"/>
        </w:rPr>
        <w:t>2016</w:t>
      </w:r>
      <w:r w:rsidRPr="00BF42B7">
        <w:rPr>
          <w:rFonts w:hint="eastAsia"/>
          <w:szCs w:val="21"/>
        </w:rPr>
        <w:t>年</w:t>
      </w:r>
      <w:r w:rsidRPr="00BF42B7">
        <w:rPr>
          <w:rFonts w:hint="eastAsia"/>
          <w:szCs w:val="21"/>
        </w:rPr>
        <w:t>6</w:t>
      </w:r>
      <w:r w:rsidRPr="00BF42B7">
        <w:rPr>
          <w:rFonts w:hint="eastAsia"/>
          <w:szCs w:val="21"/>
        </w:rPr>
        <w:t>月</w:t>
      </w:r>
      <w:r w:rsidRPr="00BF42B7">
        <w:rPr>
          <w:rFonts w:hint="eastAsia"/>
          <w:szCs w:val="21"/>
        </w:rPr>
        <w:t>2</w:t>
      </w:r>
      <w:r w:rsidRPr="00BF42B7">
        <w:rPr>
          <w:rFonts w:hint="eastAsia"/>
          <w:szCs w:val="21"/>
        </w:rPr>
        <w:t>日举行的第</w:t>
      </w:r>
      <w:r w:rsidRPr="00BF42B7">
        <w:rPr>
          <w:rFonts w:hint="eastAsia"/>
          <w:szCs w:val="21"/>
        </w:rPr>
        <w:t>3309</w:t>
      </w:r>
      <w:r w:rsidRPr="00BF42B7">
        <w:rPr>
          <w:rFonts w:hint="eastAsia"/>
          <w:szCs w:val="21"/>
        </w:rPr>
        <w:t>次会议上审议并通过了起草委员会关于结论草案</w:t>
      </w:r>
      <w:r w:rsidRPr="00BF42B7">
        <w:rPr>
          <w:rFonts w:hint="eastAsia"/>
          <w:szCs w:val="21"/>
        </w:rPr>
        <w:t>1</w:t>
      </w:r>
      <w:r w:rsidRPr="00BF42B7">
        <w:rPr>
          <w:rFonts w:hint="eastAsia"/>
          <w:szCs w:val="21"/>
        </w:rPr>
        <w:t>至</w:t>
      </w:r>
      <w:r w:rsidRPr="00BF42B7">
        <w:rPr>
          <w:rFonts w:hint="eastAsia"/>
          <w:szCs w:val="21"/>
        </w:rPr>
        <w:t>16</w:t>
      </w:r>
      <w:r w:rsidRPr="00BF42B7">
        <w:rPr>
          <w:rFonts w:hint="eastAsia"/>
          <w:szCs w:val="21"/>
        </w:rPr>
        <w:t>的报告</w:t>
      </w:r>
      <w:r w:rsidRPr="00BF42B7">
        <w:rPr>
          <w:szCs w:val="21"/>
        </w:rPr>
        <w:t>(</w:t>
      </w:r>
      <w:hyperlink r:id="rId80" w:history="1">
        <w:r w:rsidRPr="007F0135">
          <w:rPr>
            <w:rStyle w:val="af"/>
            <w:szCs w:val="21"/>
          </w:rPr>
          <w:t>A/CN.4/L.872</w:t>
        </w:r>
      </w:hyperlink>
      <w:r w:rsidRPr="00BF42B7">
        <w:rPr>
          <w:szCs w:val="21"/>
        </w:rPr>
        <w:t>)</w:t>
      </w:r>
      <w:r w:rsidRPr="00BF42B7">
        <w:rPr>
          <w:rFonts w:hint="eastAsia"/>
          <w:szCs w:val="21"/>
        </w:rPr>
        <w:t>。相应地，委员会一读通过了一套关于习惯国际法的识别的</w:t>
      </w:r>
      <w:r w:rsidRPr="00BF42B7">
        <w:rPr>
          <w:rFonts w:hint="eastAsia"/>
          <w:szCs w:val="21"/>
        </w:rPr>
        <w:t>16</w:t>
      </w:r>
      <w:r w:rsidRPr="00BF42B7">
        <w:rPr>
          <w:rFonts w:hint="eastAsia"/>
          <w:szCs w:val="21"/>
        </w:rPr>
        <w:t>条结论草案</w:t>
      </w:r>
      <w:r w:rsidRPr="00BF42B7">
        <w:rPr>
          <w:szCs w:val="21"/>
        </w:rPr>
        <w:t>(</w:t>
      </w:r>
      <w:r w:rsidRPr="00BF42B7">
        <w:rPr>
          <w:rFonts w:hint="eastAsia"/>
          <w:szCs w:val="21"/>
        </w:rPr>
        <w:t>见下文</w:t>
      </w:r>
      <w:r w:rsidRPr="00BF42B7">
        <w:rPr>
          <w:szCs w:val="21"/>
        </w:rPr>
        <w:t>C.1</w:t>
      </w:r>
      <w:r w:rsidRPr="00BF42B7">
        <w:rPr>
          <w:rFonts w:hint="eastAsia"/>
          <w:szCs w:val="21"/>
        </w:rPr>
        <w:t>节</w:t>
      </w:r>
      <w:r w:rsidRPr="00BF42B7">
        <w:rPr>
          <w:szCs w:val="21"/>
        </w:rPr>
        <w:t>)</w:t>
      </w:r>
      <w:r w:rsidRPr="00BF42B7">
        <w:rPr>
          <w:rFonts w:hint="eastAsia"/>
          <w:szCs w:val="21"/>
        </w:rPr>
        <w:t>。</w:t>
      </w:r>
    </w:p>
    <w:p w:rsidR="00790CCC" w:rsidRPr="00BF42B7" w:rsidRDefault="00790CCC" w:rsidP="00790CCC">
      <w:pPr>
        <w:pStyle w:val="SingleTxtGC"/>
        <w:rPr>
          <w:szCs w:val="21"/>
        </w:rPr>
      </w:pPr>
      <w:r w:rsidRPr="00BF42B7">
        <w:rPr>
          <w:rFonts w:hint="eastAsia"/>
          <w:szCs w:val="21"/>
        </w:rPr>
        <w:t>58</w:t>
      </w:r>
      <w:r w:rsidRPr="00BF42B7">
        <w:rPr>
          <w:szCs w:val="21"/>
        </w:rPr>
        <w:t>.</w:t>
      </w:r>
      <w:r w:rsidRPr="00BF42B7">
        <w:rPr>
          <w:rFonts w:hint="eastAsia"/>
          <w:szCs w:val="21"/>
        </w:rPr>
        <w:t xml:space="preserve">  </w:t>
      </w:r>
      <w:r w:rsidRPr="00BF42B7">
        <w:rPr>
          <w:rFonts w:hint="eastAsia"/>
          <w:szCs w:val="21"/>
        </w:rPr>
        <w:t>委员会在</w:t>
      </w:r>
      <w:r w:rsidRPr="00BF42B7">
        <w:rPr>
          <w:rFonts w:hint="eastAsia"/>
          <w:szCs w:val="21"/>
        </w:rPr>
        <w:t>2016</w:t>
      </w:r>
      <w:r w:rsidRPr="00BF42B7">
        <w:rPr>
          <w:rFonts w:hint="eastAsia"/>
          <w:szCs w:val="21"/>
        </w:rPr>
        <w:t>年</w:t>
      </w:r>
      <w:r w:rsidRPr="00BF42B7">
        <w:rPr>
          <w:rFonts w:hint="eastAsia"/>
          <w:szCs w:val="21"/>
        </w:rPr>
        <w:t>5</w:t>
      </w:r>
      <w:r w:rsidRPr="00BF42B7">
        <w:rPr>
          <w:rFonts w:hint="eastAsia"/>
          <w:szCs w:val="21"/>
        </w:rPr>
        <w:t>月</w:t>
      </w:r>
      <w:r w:rsidRPr="00BF42B7">
        <w:rPr>
          <w:rFonts w:hint="eastAsia"/>
          <w:szCs w:val="21"/>
        </w:rPr>
        <w:t>2</w:t>
      </w:r>
      <w:r w:rsidRPr="00BF42B7">
        <w:rPr>
          <w:rFonts w:hint="eastAsia"/>
          <w:szCs w:val="21"/>
        </w:rPr>
        <w:t>日举行的第</w:t>
      </w:r>
      <w:r w:rsidRPr="00BF42B7">
        <w:rPr>
          <w:rFonts w:hint="eastAsia"/>
          <w:szCs w:val="21"/>
        </w:rPr>
        <w:t>3291</w:t>
      </w:r>
      <w:r w:rsidRPr="00BF42B7">
        <w:rPr>
          <w:rFonts w:hint="eastAsia"/>
          <w:szCs w:val="21"/>
        </w:rPr>
        <w:t>次会议上，决定设立一个不限成员名额工作组，由马塞洛·巴斯克斯－贝穆德斯先生任主席，协助特别报告员编写将供委员会通过的结论草案的评注草案。</w:t>
      </w:r>
      <w:r w:rsidRPr="00BF42B7">
        <w:rPr>
          <w:rFonts w:hint="eastAsia"/>
          <w:szCs w:val="21"/>
        </w:rPr>
        <w:t>2016</w:t>
      </w:r>
      <w:r w:rsidRPr="00BF42B7">
        <w:rPr>
          <w:rFonts w:hint="eastAsia"/>
          <w:szCs w:val="21"/>
        </w:rPr>
        <w:t>年</w:t>
      </w:r>
      <w:r w:rsidRPr="00BF42B7">
        <w:rPr>
          <w:rFonts w:hint="eastAsia"/>
          <w:szCs w:val="21"/>
        </w:rPr>
        <w:t>5</w:t>
      </w:r>
      <w:r w:rsidRPr="00BF42B7">
        <w:rPr>
          <w:rFonts w:hint="eastAsia"/>
          <w:szCs w:val="21"/>
        </w:rPr>
        <w:t>月</w:t>
      </w:r>
      <w:r w:rsidRPr="00BF42B7">
        <w:rPr>
          <w:rFonts w:hint="eastAsia"/>
          <w:szCs w:val="21"/>
        </w:rPr>
        <w:t>3</w:t>
      </w:r>
      <w:r w:rsidRPr="00BF42B7">
        <w:rPr>
          <w:rFonts w:hint="eastAsia"/>
          <w:szCs w:val="21"/>
        </w:rPr>
        <w:t>日至</w:t>
      </w:r>
      <w:r w:rsidRPr="00BF42B7">
        <w:rPr>
          <w:rFonts w:hint="eastAsia"/>
          <w:szCs w:val="21"/>
        </w:rPr>
        <w:t>11</w:t>
      </w:r>
      <w:r w:rsidRPr="00BF42B7">
        <w:rPr>
          <w:rFonts w:hint="eastAsia"/>
          <w:szCs w:val="21"/>
        </w:rPr>
        <w:t>日，工作组举行了五次会议。</w:t>
      </w:r>
    </w:p>
    <w:p w:rsidR="00790CCC" w:rsidRPr="00BF42B7" w:rsidRDefault="00790CCC" w:rsidP="00790CCC">
      <w:pPr>
        <w:pStyle w:val="SingleTxtGC"/>
        <w:rPr>
          <w:szCs w:val="21"/>
        </w:rPr>
      </w:pPr>
      <w:r w:rsidRPr="00BF42B7">
        <w:rPr>
          <w:rFonts w:hint="eastAsia"/>
          <w:szCs w:val="21"/>
        </w:rPr>
        <w:t>59</w:t>
      </w:r>
      <w:r w:rsidRPr="00BF42B7">
        <w:rPr>
          <w:szCs w:val="21"/>
        </w:rPr>
        <w:t>.</w:t>
      </w:r>
      <w:r w:rsidRPr="00BF42B7">
        <w:rPr>
          <w:rFonts w:hint="eastAsia"/>
          <w:szCs w:val="21"/>
        </w:rPr>
        <w:t xml:space="preserve">  </w:t>
      </w:r>
      <w:r w:rsidRPr="00BF42B7">
        <w:rPr>
          <w:rFonts w:hint="eastAsia"/>
          <w:szCs w:val="21"/>
        </w:rPr>
        <w:t>委员会在</w:t>
      </w:r>
      <w:r w:rsidRPr="00BF42B7">
        <w:rPr>
          <w:rFonts w:hint="eastAsia"/>
          <w:szCs w:val="21"/>
        </w:rPr>
        <w:t>2016</w:t>
      </w:r>
      <w:r w:rsidRPr="00BF42B7">
        <w:rPr>
          <w:rFonts w:hint="eastAsia"/>
          <w:szCs w:val="21"/>
        </w:rPr>
        <w:t>年</w:t>
      </w:r>
      <w:r w:rsidRPr="00BF42B7">
        <w:rPr>
          <w:rFonts w:hint="eastAsia"/>
          <w:szCs w:val="21"/>
        </w:rPr>
        <w:t>8</w:t>
      </w:r>
      <w:r w:rsidRPr="00BF42B7">
        <w:rPr>
          <w:rFonts w:hint="eastAsia"/>
          <w:szCs w:val="21"/>
        </w:rPr>
        <w:t>月</w:t>
      </w:r>
      <w:r w:rsidRPr="00BF42B7">
        <w:rPr>
          <w:rFonts w:hint="eastAsia"/>
          <w:szCs w:val="21"/>
        </w:rPr>
        <w:t>5</w:t>
      </w:r>
      <w:r w:rsidRPr="00BF42B7">
        <w:rPr>
          <w:rFonts w:hint="eastAsia"/>
          <w:szCs w:val="21"/>
        </w:rPr>
        <w:t>日和</w:t>
      </w:r>
      <w:r w:rsidRPr="00BF42B7">
        <w:rPr>
          <w:rFonts w:hint="eastAsia"/>
          <w:szCs w:val="21"/>
        </w:rPr>
        <w:t>8</w:t>
      </w:r>
      <w:r w:rsidRPr="00BF42B7">
        <w:rPr>
          <w:rFonts w:hint="eastAsia"/>
          <w:szCs w:val="21"/>
        </w:rPr>
        <w:t>日举行的第</w:t>
      </w:r>
      <w:r w:rsidRPr="00BF42B7">
        <w:rPr>
          <w:rFonts w:hint="eastAsia"/>
          <w:szCs w:val="21"/>
        </w:rPr>
        <w:t>3338</w:t>
      </w:r>
      <w:r w:rsidRPr="00BF42B7">
        <w:rPr>
          <w:rFonts w:hint="eastAsia"/>
          <w:szCs w:val="21"/>
        </w:rPr>
        <w:t>至第</w:t>
      </w:r>
      <w:r w:rsidRPr="00BF42B7">
        <w:rPr>
          <w:rFonts w:hint="eastAsia"/>
          <w:szCs w:val="21"/>
        </w:rPr>
        <w:t>3340</w:t>
      </w:r>
      <w:r w:rsidRPr="00BF42B7">
        <w:rPr>
          <w:rFonts w:hint="eastAsia"/>
          <w:szCs w:val="21"/>
        </w:rPr>
        <w:t>次会议上，通过了关于习惯国际法的识别的结论草案的评注</w:t>
      </w:r>
      <w:r w:rsidRPr="00BF42B7">
        <w:rPr>
          <w:rFonts w:hint="eastAsia"/>
          <w:szCs w:val="21"/>
        </w:rPr>
        <w:t>(</w:t>
      </w:r>
      <w:r w:rsidRPr="00BF42B7">
        <w:rPr>
          <w:rFonts w:hint="eastAsia"/>
          <w:szCs w:val="21"/>
        </w:rPr>
        <w:t>见下文</w:t>
      </w:r>
      <w:r w:rsidRPr="00BF42B7">
        <w:rPr>
          <w:rFonts w:hint="eastAsia"/>
          <w:szCs w:val="21"/>
        </w:rPr>
        <w:t>C.2</w:t>
      </w:r>
      <w:r w:rsidRPr="00BF42B7">
        <w:rPr>
          <w:rFonts w:hint="eastAsia"/>
          <w:szCs w:val="21"/>
        </w:rPr>
        <w:t>节</w:t>
      </w:r>
      <w:r w:rsidRPr="00BF42B7">
        <w:rPr>
          <w:rFonts w:hint="eastAsia"/>
          <w:szCs w:val="21"/>
        </w:rPr>
        <w:t>)</w:t>
      </w:r>
      <w:r w:rsidRPr="00BF42B7">
        <w:rPr>
          <w:rFonts w:hint="eastAsia"/>
          <w:szCs w:val="21"/>
        </w:rPr>
        <w:t>。</w:t>
      </w:r>
    </w:p>
    <w:p w:rsidR="00790CCC" w:rsidRPr="00BF42B7" w:rsidRDefault="00790CCC" w:rsidP="00790CCC">
      <w:pPr>
        <w:pStyle w:val="SingleTxtGC"/>
        <w:rPr>
          <w:szCs w:val="21"/>
        </w:rPr>
      </w:pPr>
      <w:r w:rsidRPr="00BF42B7">
        <w:rPr>
          <w:rFonts w:hint="eastAsia"/>
          <w:szCs w:val="21"/>
        </w:rPr>
        <w:t>60</w:t>
      </w:r>
      <w:r w:rsidRPr="00BF42B7">
        <w:rPr>
          <w:szCs w:val="21"/>
        </w:rPr>
        <w:t>.</w:t>
      </w:r>
      <w:r w:rsidRPr="00BF42B7">
        <w:rPr>
          <w:rFonts w:hint="eastAsia"/>
          <w:szCs w:val="21"/>
        </w:rPr>
        <w:t xml:space="preserve">  </w:t>
      </w:r>
      <w:r w:rsidRPr="00BF42B7">
        <w:rPr>
          <w:rFonts w:hint="eastAsia"/>
          <w:szCs w:val="21"/>
        </w:rPr>
        <w:t>委员会在</w:t>
      </w:r>
      <w:r w:rsidRPr="00BF42B7">
        <w:rPr>
          <w:rFonts w:hint="eastAsia"/>
          <w:szCs w:val="21"/>
        </w:rPr>
        <w:t>2016</w:t>
      </w:r>
      <w:r w:rsidRPr="00BF42B7">
        <w:rPr>
          <w:rFonts w:hint="eastAsia"/>
          <w:szCs w:val="21"/>
        </w:rPr>
        <w:t>年</w:t>
      </w:r>
      <w:r w:rsidRPr="00BF42B7">
        <w:rPr>
          <w:rFonts w:hint="eastAsia"/>
          <w:szCs w:val="21"/>
        </w:rPr>
        <w:t>8</w:t>
      </w:r>
      <w:r w:rsidRPr="00BF42B7">
        <w:rPr>
          <w:rFonts w:hint="eastAsia"/>
          <w:szCs w:val="21"/>
        </w:rPr>
        <w:t>月</w:t>
      </w:r>
      <w:r w:rsidRPr="00BF42B7">
        <w:rPr>
          <w:rFonts w:hint="eastAsia"/>
          <w:szCs w:val="21"/>
        </w:rPr>
        <w:t>8</w:t>
      </w:r>
      <w:r w:rsidRPr="00BF42B7">
        <w:rPr>
          <w:rFonts w:hint="eastAsia"/>
          <w:szCs w:val="21"/>
        </w:rPr>
        <w:t>日举行的第</w:t>
      </w:r>
      <w:r w:rsidRPr="00BF42B7">
        <w:rPr>
          <w:rFonts w:hint="eastAsia"/>
          <w:szCs w:val="21"/>
        </w:rPr>
        <w:t>3340</w:t>
      </w:r>
      <w:r w:rsidRPr="00BF42B7">
        <w:rPr>
          <w:rFonts w:hint="eastAsia"/>
          <w:szCs w:val="21"/>
        </w:rPr>
        <w:t>次会议上，根据其《章程》第</w:t>
      </w:r>
      <w:r w:rsidRPr="00BF42B7">
        <w:rPr>
          <w:szCs w:val="21"/>
        </w:rPr>
        <w:t>16</w:t>
      </w:r>
      <w:r w:rsidRPr="00BF42B7">
        <w:rPr>
          <w:rFonts w:hint="eastAsia"/>
          <w:szCs w:val="21"/>
        </w:rPr>
        <w:t>至第</w:t>
      </w:r>
      <w:r w:rsidRPr="00BF42B7">
        <w:rPr>
          <w:szCs w:val="21"/>
        </w:rPr>
        <w:t>21</w:t>
      </w:r>
      <w:r w:rsidRPr="00BF42B7">
        <w:rPr>
          <w:rFonts w:hint="eastAsia"/>
          <w:szCs w:val="21"/>
        </w:rPr>
        <w:t>条，决定通过秘书长将各条结论草案</w:t>
      </w:r>
      <w:r w:rsidRPr="00BF42B7">
        <w:rPr>
          <w:szCs w:val="21"/>
        </w:rPr>
        <w:t>(</w:t>
      </w:r>
      <w:r w:rsidRPr="00BF42B7">
        <w:rPr>
          <w:rFonts w:hint="eastAsia"/>
          <w:szCs w:val="21"/>
        </w:rPr>
        <w:t>见下文</w:t>
      </w:r>
      <w:r w:rsidRPr="00BF42B7">
        <w:rPr>
          <w:szCs w:val="21"/>
        </w:rPr>
        <w:t>C</w:t>
      </w:r>
      <w:r w:rsidRPr="00BF42B7">
        <w:rPr>
          <w:rFonts w:hint="eastAsia"/>
          <w:szCs w:val="21"/>
        </w:rPr>
        <w:t>节</w:t>
      </w:r>
      <w:r w:rsidRPr="00BF42B7">
        <w:rPr>
          <w:szCs w:val="21"/>
        </w:rPr>
        <w:t>)</w:t>
      </w:r>
      <w:r w:rsidRPr="00BF42B7">
        <w:rPr>
          <w:rFonts w:hint="eastAsia"/>
          <w:szCs w:val="21"/>
        </w:rPr>
        <w:t>转交各国政府征求评论和意见，并请各国政府在</w:t>
      </w:r>
      <w:r w:rsidRPr="00BF42B7">
        <w:rPr>
          <w:szCs w:val="21"/>
        </w:rPr>
        <w:t>201</w:t>
      </w:r>
      <w:r w:rsidRPr="00BF42B7">
        <w:rPr>
          <w:rFonts w:hint="eastAsia"/>
          <w:szCs w:val="21"/>
        </w:rPr>
        <w:t>8</w:t>
      </w:r>
      <w:r w:rsidRPr="00BF42B7">
        <w:rPr>
          <w:rFonts w:hint="eastAsia"/>
          <w:szCs w:val="21"/>
        </w:rPr>
        <w:t>年</w:t>
      </w:r>
      <w:r w:rsidRPr="00BF42B7">
        <w:rPr>
          <w:szCs w:val="21"/>
        </w:rPr>
        <w:t>1</w:t>
      </w:r>
      <w:r w:rsidRPr="00BF42B7">
        <w:rPr>
          <w:rFonts w:hint="eastAsia"/>
          <w:szCs w:val="21"/>
        </w:rPr>
        <w:t>月</w:t>
      </w:r>
      <w:r w:rsidRPr="00BF42B7">
        <w:rPr>
          <w:szCs w:val="21"/>
        </w:rPr>
        <w:t>1</w:t>
      </w:r>
      <w:r w:rsidRPr="00BF42B7">
        <w:rPr>
          <w:rFonts w:hint="eastAsia"/>
          <w:szCs w:val="21"/>
        </w:rPr>
        <w:t>日之前向秘书长提交这些评论和意见。</w:t>
      </w:r>
    </w:p>
    <w:p w:rsidR="00790CCC" w:rsidRPr="00BF42B7" w:rsidRDefault="00790CCC" w:rsidP="00790CCC">
      <w:pPr>
        <w:pStyle w:val="SingleTxtGC"/>
        <w:rPr>
          <w:szCs w:val="21"/>
        </w:rPr>
      </w:pPr>
      <w:r w:rsidRPr="00BF42B7">
        <w:rPr>
          <w:rFonts w:hint="eastAsia"/>
          <w:szCs w:val="21"/>
        </w:rPr>
        <w:t>61</w:t>
      </w:r>
      <w:r w:rsidRPr="00BF42B7">
        <w:rPr>
          <w:szCs w:val="21"/>
        </w:rPr>
        <w:t>.</w:t>
      </w:r>
      <w:r w:rsidRPr="00BF42B7">
        <w:rPr>
          <w:rFonts w:hint="eastAsia"/>
          <w:szCs w:val="21"/>
        </w:rPr>
        <w:t xml:space="preserve">  </w:t>
      </w:r>
      <w:r w:rsidRPr="00BF42B7">
        <w:rPr>
          <w:rFonts w:hint="eastAsia"/>
          <w:szCs w:val="21"/>
        </w:rPr>
        <w:t>委员会在</w:t>
      </w:r>
      <w:r w:rsidRPr="00BF42B7">
        <w:rPr>
          <w:rFonts w:hint="eastAsia"/>
          <w:szCs w:val="21"/>
        </w:rPr>
        <w:t>2016</w:t>
      </w:r>
      <w:r w:rsidRPr="00BF42B7">
        <w:rPr>
          <w:rFonts w:hint="eastAsia"/>
          <w:szCs w:val="21"/>
        </w:rPr>
        <w:t>年</w:t>
      </w:r>
      <w:r w:rsidRPr="00BF42B7">
        <w:rPr>
          <w:rFonts w:hint="eastAsia"/>
          <w:szCs w:val="21"/>
        </w:rPr>
        <w:t>8</w:t>
      </w:r>
      <w:r w:rsidRPr="00BF42B7">
        <w:rPr>
          <w:rFonts w:hint="eastAsia"/>
          <w:szCs w:val="21"/>
        </w:rPr>
        <w:t>月</w:t>
      </w:r>
      <w:r w:rsidRPr="00BF42B7">
        <w:rPr>
          <w:rFonts w:hint="eastAsia"/>
          <w:szCs w:val="21"/>
        </w:rPr>
        <w:t>8</w:t>
      </w:r>
      <w:r w:rsidRPr="00BF42B7">
        <w:rPr>
          <w:rFonts w:hint="eastAsia"/>
          <w:szCs w:val="21"/>
        </w:rPr>
        <w:t>日举行的第</w:t>
      </w:r>
      <w:r w:rsidRPr="00BF42B7">
        <w:rPr>
          <w:rFonts w:hint="eastAsia"/>
          <w:szCs w:val="21"/>
        </w:rPr>
        <w:t>3340</w:t>
      </w:r>
      <w:r w:rsidRPr="00BF42B7">
        <w:rPr>
          <w:rFonts w:hint="eastAsia"/>
          <w:szCs w:val="21"/>
        </w:rPr>
        <w:t>次会议上，向特别报告员迈克尔·伍德爵士表示深深的感谢，由于他的杰出贡献，委员会得以圆满结束了对关于习惯国际法的识别的结论草案的一读。</w:t>
      </w:r>
    </w:p>
    <w:p w:rsidR="00790CCC" w:rsidRPr="00BF42B7" w:rsidRDefault="00790CCC" w:rsidP="00790CCC">
      <w:pPr>
        <w:pStyle w:val="H1GC"/>
        <w:rPr>
          <w:b/>
        </w:rPr>
      </w:pPr>
      <w:r w:rsidRPr="00BF42B7">
        <w:rPr>
          <w:rFonts w:hint="eastAsia"/>
        </w:rPr>
        <w:tab/>
      </w:r>
      <w:r w:rsidRPr="00BF42B7">
        <w:t>C.</w:t>
      </w:r>
      <w:r w:rsidRPr="00BF42B7">
        <w:tab/>
      </w:r>
      <w:r w:rsidRPr="00BF42B7">
        <w:rPr>
          <w:rFonts w:hint="eastAsia"/>
        </w:rPr>
        <w:t>委员会通过的关于习惯国际法的识别的结论草案案文</w:t>
      </w:r>
    </w:p>
    <w:p w:rsidR="00790CCC" w:rsidRPr="00BF42B7" w:rsidRDefault="00790CCC" w:rsidP="00790CCC">
      <w:pPr>
        <w:pStyle w:val="H23GC"/>
      </w:pPr>
      <w:r w:rsidRPr="00BF42B7">
        <w:rPr>
          <w:rFonts w:hint="eastAsia"/>
        </w:rPr>
        <w:tab/>
        <w:t>1.</w:t>
      </w:r>
      <w:r w:rsidRPr="00BF42B7">
        <w:rPr>
          <w:rFonts w:hint="eastAsia"/>
        </w:rPr>
        <w:tab/>
      </w:r>
      <w:r w:rsidRPr="00BF42B7">
        <w:rPr>
          <w:rFonts w:hint="eastAsia"/>
        </w:rPr>
        <w:t>结论草案案文</w:t>
      </w:r>
    </w:p>
    <w:p w:rsidR="00790CCC" w:rsidRPr="00BF42B7" w:rsidRDefault="00790CCC" w:rsidP="00790CCC">
      <w:pPr>
        <w:pStyle w:val="SingleTxtGC"/>
      </w:pPr>
      <w:r w:rsidRPr="00BF42B7">
        <w:rPr>
          <w:rFonts w:hint="eastAsia"/>
        </w:rPr>
        <w:t>62</w:t>
      </w:r>
      <w:r w:rsidRPr="00BF42B7">
        <w:t>.</w:t>
      </w:r>
      <w:r w:rsidRPr="00BF42B7">
        <w:rPr>
          <w:rFonts w:hint="eastAsia"/>
        </w:rPr>
        <w:t xml:space="preserve">  </w:t>
      </w:r>
      <w:r w:rsidRPr="00BF42B7">
        <w:rPr>
          <w:rFonts w:hint="eastAsia"/>
        </w:rPr>
        <w:t>委员会一读通过的关于习惯国际法的识别的结论草案案文载录如下。</w:t>
      </w:r>
    </w:p>
    <w:p w:rsidR="00790CCC" w:rsidRPr="00BF42B7" w:rsidRDefault="00421513" w:rsidP="00421513">
      <w:pPr>
        <w:pStyle w:val="H23GC"/>
        <w:ind w:left="1554"/>
        <w:rPr>
          <w:rFonts w:ascii="Time New Roman" w:hAnsi="Time New Roman" w:hint="eastAsia"/>
          <w:b/>
        </w:rPr>
      </w:pPr>
      <w:r>
        <w:rPr>
          <w:rFonts w:ascii="Time New Roman" w:hAnsi="Time New Roman" w:hint="eastAsia"/>
        </w:rPr>
        <w:tab/>
      </w:r>
      <w:r>
        <w:rPr>
          <w:rFonts w:ascii="Time New Roman" w:hAnsi="Time New Roman" w:hint="eastAsia"/>
        </w:rPr>
        <w:tab/>
      </w:r>
      <w:r w:rsidR="00790CCC" w:rsidRPr="00BF42B7">
        <w:rPr>
          <w:rFonts w:ascii="Time New Roman" w:hAnsi="Time New Roman" w:hint="eastAsia"/>
        </w:rPr>
        <w:t>习惯国际法的识别</w:t>
      </w:r>
    </w:p>
    <w:p w:rsidR="00790CCC" w:rsidRPr="00BF42B7" w:rsidRDefault="00421513" w:rsidP="00421513">
      <w:pPr>
        <w:pStyle w:val="H23GC"/>
        <w:ind w:left="1554"/>
        <w:rPr>
          <w:rFonts w:ascii="Time New Roman" w:hAnsi="Time New Roman" w:hint="eastAsia"/>
          <w:b/>
        </w:rPr>
      </w:pPr>
      <w:r>
        <w:rPr>
          <w:rFonts w:hint="eastAsia"/>
        </w:rPr>
        <w:tab/>
      </w:r>
      <w:r>
        <w:rPr>
          <w:rFonts w:hint="eastAsia"/>
        </w:rPr>
        <w:tab/>
      </w:r>
      <w:r w:rsidR="00790CCC" w:rsidRPr="00421513">
        <w:rPr>
          <w:rFonts w:hint="eastAsia"/>
        </w:rPr>
        <w:t>第一部分</w:t>
      </w:r>
      <w:r w:rsidR="00790CCC" w:rsidRPr="00421513">
        <w:br/>
      </w:r>
      <w:r w:rsidR="00790CCC" w:rsidRPr="00BF42B7">
        <w:rPr>
          <w:rFonts w:ascii="Time New Roman" w:hAnsi="Time New Roman" w:hint="eastAsia"/>
        </w:rPr>
        <w:t>导言</w:t>
      </w:r>
    </w:p>
    <w:p w:rsidR="00790CCC" w:rsidRPr="00BF42B7" w:rsidRDefault="00421513" w:rsidP="00421513">
      <w:pPr>
        <w:pStyle w:val="H23GC"/>
        <w:ind w:left="1554"/>
        <w:rPr>
          <w:rFonts w:ascii="Time New Roman" w:hAnsi="Time New Roman" w:hint="eastAsia"/>
        </w:rPr>
      </w:pPr>
      <w:r>
        <w:rPr>
          <w:rFonts w:ascii="Time New Roman" w:hAnsi="Time New Roman" w:hint="eastAsia"/>
        </w:rPr>
        <w:tab/>
      </w:r>
      <w:r>
        <w:rPr>
          <w:rFonts w:ascii="Time New Roman" w:hAnsi="Time New Roman" w:hint="eastAsia"/>
        </w:rPr>
        <w:tab/>
      </w:r>
      <w:r w:rsidR="00790CCC" w:rsidRPr="00BF42B7">
        <w:rPr>
          <w:rFonts w:ascii="Time New Roman" w:hAnsi="Time New Roman" w:hint="eastAsia"/>
        </w:rPr>
        <w:t>结论</w:t>
      </w:r>
      <w:r w:rsidR="00790CCC" w:rsidRPr="00BF42B7">
        <w:rPr>
          <w:rFonts w:ascii="Time New Roman" w:hAnsi="Time New Roman"/>
        </w:rPr>
        <w:t>1</w:t>
      </w:r>
      <w:r w:rsidR="00790CCC" w:rsidRPr="00BF42B7">
        <w:rPr>
          <w:rFonts w:ascii="Time New Roman" w:hAnsi="Time New Roman"/>
        </w:rPr>
        <w:br/>
      </w:r>
      <w:r w:rsidR="00790CCC" w:rsidRPr="00BF42B7">
        <w:rPr>
          <w:rFonts w:ascii="Time New Roman" w:hAnsi="Time New Roman" w:hint="eastAsia"/>
        </w:rPr>
        <w:t>范围</w:t>
      </w:r>
    </w:p>
    <w:p w:rsidR="00790CCC" w:rsidRPr="00BF42B7" w:rsidRDefault="00790CCC" w:rsidP="00790CCC">
      <w:pPr>
        <w:pStyle w:val="SingleTxtGC"/>
        <w:tabs>
          <w:tab w:val="clear" w:pos="431"/>
          <w:tab w:val="clear" w:pos="1134"/>
          <w:tab w:val="clear" w:pos="1565"/>
        </w:tabs>
        <w:ind w:left="1554"/>
      </w:pPr>
      <w:r w:rsidRPr="00BF42B7">
        <w:rPr>
          <w:rFonts w:hint="eastAsia"/>
        </w:rPr>
        <w:tab/>
      </w:r>
      <w:r w:rsidRPr="00BF42B7">
        <w:rPr>
          <w:rFonts w:hint="eastAsia"/>
        </w:rPr>
        <w:t>本结论草案论及如何确定习惯国际法规则的存在及内容。</w:t>
      </w:r>
    </w:p>
    <w:p w:rsidR="00790CCC" w:rsidRPr="00BF42B7" w:rsidRDefault="00421513" w:rsidP="00421513">
      <w:pPr>
        <w:pStyle w:val="H23GC"/>
        <w:ind w:left="1554"/>
        <w:rPr>
          <w:rFonts w:ascii="Time New Roman" w:hAnsi="Time New Roman" w:hint="eastAsia"/>
          <w:b/>
        </w:rPr>
      </w:pPr>
      <w:r>
        <w:rPr>
          <w:rFonts w:ascii="Time New Roman" w:hAnsi="Time New Roman" w:hint="eastAsia"/>
        </w:rPr>
        <w:tab/>
      </w:r>
      <w:r>
        <w:rPr>
          <w:rFonts w:ascii="Time New Roman" w:hAnsi="Time New Roman" w:hint="eastAsia"/>
        </w:rPr>
        <w:tab/>
      </w:r>
      <w:r w:rsidR="00790CCC" w:rsidRPr="00BF42B7">
        <w:rPr>
          <w:rFonts w:ascii="Time New Roman" w:hAnsi="Time New Roman" w:hint="eastAsia"/>
        </w:rPr>
        <w:t>第二部分</w:t>
      </w:r>
      <w:r w:rsidR="00790CCC" w:rsidRPr="00BF42B7">
        <w:rPr>
          <w:rFonts w:ascii="Time New Roman" w:hAnsi="Time New Roman"/>
        </w:rPr>
        <w:br/>
      </w:r>
      <w:r w:rsidR="00790CCC" w:rsidRPr="00BF42B7">
        <w:rPr>
          <w:rFonts w:ascii="Time New Roman" w:hAnsi="Time New Roman" w:hint="eastAsia"/>
        </w:rPr>
        <w:t>基本方法</w:t>
      </w:r>
    </w:p>
    <w:p w:rsidR="00790CCC" w:rsidRPr="00BF42B7" w:rsidRDefault="00421513" w:rsidP="00421513">
      <w:pPr>
        <w:pStyle w:val="H23GC"/>
        <w:ind w:left="1554"/>
        <w:rPr>
          <w:rFonts w:ascii="Time New Roman" w:hAnsi="Time New Roman" w:hint="eastAsia"/>
        </w:rPr>
      </w:pPr>
      <w:r>
        <w:rPr>
          <w:rFonts w:ascii="Time New Roman" w:hAnsi="Time New Roman" w:hint="eastAsia"/>
        </w:rPr>
        <w:tab/>
      </w:r>
      <w:r>
        <w:rPr>
          <w:rFonts w:ascii="Time New Roman" w:hAnsi="Time New Roman" w:hint="eastAsia"/>
        </w:rPr>
        <w:tab/>
      </w:r>
      <w:r w:rsidR="00790CCC" w:rsidRPr="00BF42B7">
        <w:rPr>
          <w:rFonts w:ascii="Time New Roman" w:hAnsi="Time New Roman" w:hint="eastAsia"/>
        </w:rPr>
        <w:t>结论</w:t>
      </w:r>
      <w:r w:rsidR="00790CCC" w:rsidRPr="00BF42B7">
        <w:rPr>
          <w:rFonts w:ascii="Time New Roman" w:hAnsi="Time New Roman"/>
        </w:rPr>
        <w:t>2</w:t>
      </w:r>
      <w:r w:rsidR="00790CCC" w:rsidRPr="00BF42B7">
        <w:rPr>
          <w:rFonts w:ascii="Time New Roman" w:hAnsi="Time New Roman" w:hint="eastAsia"/>
          <w:iCs/>
        </w:rPr>
        <w:br/>
      </w:r>
      <w:r w:rsidR="00790CCC" w:rsidRPr="00BF42B7">
        <w:rPr>
          <w:rFonts w:ascii="Time New Roman" w:hAnsi="Time New Roman" w:hint="eastAsia"/>
        </w:rPr>
        <w:t>两个构成要素</w:t>
      </w:r>
    </w:p>
    <w:p w:rsidR="00790CCC" w:rsidRPr="00BF42B7" w:rsidRDefault="00790CCC" w:rsidP="00790CCC">
      <w:pPr>
        <w:pStyle w:val="SingleTxtGC"/>
        <w:tabs>
          <w:tab w:val="clear" w:pos="431"/>
          <w:tab w:val="clear" w:pos="1134"/>
          <w:tab w:val="clear" w:pos="1565"/>
        </w:tabs>
        <w:ind w:left="1554"/>
      </w:pPr>
      <w:r w:rsidRPr="00BF42B7">
        <w:rPr>
          <w:rFonts w:hint="eastAsia"/>
        </w:rPr>
        <w:tab/>
      </w:r>
      <w:r w:rsidRPr="00BF42B7">
        <w:rPr>
          <w:rFonts w:hint="eastAsia"/>
        </w:rPr>
        <w:t>要确定一项习惯国际法规则的存在及内容，必须查明是否存在一项被接受为法律</w:t>
      </w:r>
      <w:r w:rsidRPr="00BF42B7">
        <w:rPr>
          <w:rFonts w:hint="eastAsia"/>
        </w:rPr>
        <w:t>(</w:t>
      </w:r>
      <w:r w:rsidRPr="00BF42B7">
        <w:rPr>
          <w:rFonts w:hint="eastAsia"/>
        </w:rPr>
        <w:t>法律确信</w:t>
      </w:r>
      <w:r w:rsidRPr="00BF42B7">
        <w:rPr>
          <w:rFonts w:hint="eastAsia"/>
        </w:rPr>
        <w:t>)</w:t>
      </w:r>
      <w:r w:rsidRPr="00BF42B7">
        <w:rPr>
          <w:rFonts w:hint="eastAsia"/>
        </w:rPr>
        <w:t>的一般惯例。</w:t>
      </w:r>
    </w:p>
    <w:p w:rsidR="00790CCC" w:rsidRPr="00BF42B7" w:rsidRDefault="00421513" w:rsidP="00421513">
      <w:pPr>
        <w:pStyle w:val="H23GC"/>
        <w:ind w:left="1554"/>
        <w:rPr>
          <w:rFonts w:ascii="Time New Roman" w:hAnsi="Time New Roman" w:hint="eastAsia"/>
          <w:b/>
        </w:rPr>
      </w:pPr>
      <w:r>
        <w:rPr>
          <w:rFonts w:ascii="Time New Roman" w:hAnsi="Time New Roman" w:hint="eastAsia"/>
        </w:rPr>
        <w:tab/>
      </w:r>
      <w:r>
        <w:rPr>
          <w:rFonts w:ascii="Time New Roman" w:hAnsi="Time New Roman" w:hint="eastAsia"/>
        </w:rPr>
        <w:tab/>
      </w:r>
      <w:r w:rsidR="00790CCC" w:rsidRPr="00BF42B7">
        <w:rPr>
          <w:rFonts w:ascii="Time New Roman" w:hAnsi="Time New Roman" w:hint="eastAsia"/>
        </w:rPr>
        <w:t>结论</w:t>
      </w:r>
      <w:r w:rsidR="00790CCC" w:rsidRPr="00BF42B7">
        <w:rPr>
          <w:rFonts w:ascii="Time New Roman" w:hAnsi="Time New Roman"/>
        </w:rPr>
        <w:t>3</w:t>
      </w:r>
      <w:r w:rsidR="00790CCC" w:rsidRPr="00BF42B7">
        <w:rPr>
          <w:rFonts w:ascii="Time New Roman" w:hAnsi="Time New Roman" w:hint="eastAsia"/>
        </w:rPr>
        <w:br/>
      </w:r>
      <w:r w:rsidR="00790CCC" w:rsidRPr="00BF42B7">
        <w:rPr>
          <w:rFonts w:ascii="Time New Roman" w:hAnsi="Time New Roman" w:hint="eastAsia"/>
        </w:rPr>
        <w:t>评估两个构成要素的证据</w:t>
      </w:r>
    </w:p>
    <w:p w:rsidR="00790CCC" w:rsidRPr="00BF42B7" w:rsidRDefault="00790CCC" w:rsidP="00790CCC">
      <w:pPr>
        <w:pStyle w:val="SingleTxtGC"/>
        <w:ind w:left="1554"/>
      </w:pPr>
      <w:r w:rsidRPr="00BF42B7">
        <w:t>1.</w:t>
      </w:r>
      <w:r w:rsidRPr="00BF42B7">
        <w:rPr>
          <w:rFonts w:hint="eastAsia"/>
        </w:rPr>
        <w:t xml:space="preserve">  </w:t>
      </w:r>
      <w:r w:rsidRPr="00BF42B7">
        <w:rPr>
          <w:rFonts w:hint="eastAsia"/>
        </w:rPr>
        <w:t>为查明是否存在一项一般惯例及该惯例是否被接受为法律</w:t>
      </w:r>
      <w:r w:rsidRPr="00BF42B7">
        <w:rPr>
          <w:rFonts w:hint="eastAsia"/>
        </w:rPr>
        <w:t>(</w:t>
      </w:r>
      <w:r w:rsidRPr="00BF42B7">
        <w:rPr>
          <w:rFonts w:hint="eastAsia"/>
        </w:rPr>
        <w:t>法律确信</w:t>
      </w:r>
      <w:r w:rsidRPr="00BF42B7">
        <w:rPr>
          <w:rFonts w:hint="eastAsia"/>
        </w:rPr>
        <w:t>)</w:t>
      </w:r>
      <w:r w:rsidRPr="00BF42B7">
        <w:rPr>
          <w:rFonts w:hint="eastAsia"/>
        </w:rPr>
        <w:t>而对证据进行评估时，必须考虑到总体背景、规则的性质以及有关证据所处的具体情况。</w:t>
      </w:r>
    </w:p>
    <w:p w:rsidR="00790CCC" w:rsidRPr="00BF42B7" w:rsidRDefault="00790CCC" w:rsidP="00790CCC">
      <w:pPr>
        <w:pStyle w:val="SingleTxtGC"/>
        <w:ind w:left="1554"/>
      </w:pPr>
      <w:r w:rsidRPr="00BF42B7">
        <w:t>2.</w:t>
      </w:r>
      <w:r w:rsidRPr="00BF42B7">
        <w:rPr>
          <w:rFonts w:hint="eastAsia"/>
        </w:rPr>
        <w:t xml:space="preserve">  </w:t>
      </w:r>
      <w:r w:rsidRPr="00BF42B7">
        <w:rPr>
          <w:rFonts w:hint="eastAsia"/>
        </w:rPr>
        <w:t>两个构成要素中的每一要素必须单独予以确定。这就要求评估每一要素的证据。</w:t>
      </w:r>
    </w:p>
    <w:p w:rsidR="00790CCC" w:rsidRPr="00BF42B7" w:rsidRDefault="00421513" w:rsidP="00421513">
      <w:pPr>
        <w:pStyle w:val="H23GC"/>
        <w:ind w:left="1554"/>
        <w:rPr>
          <w:rFonts w:ascii="Time New Roman" w:hAnsi="Time New Roman" w:hint="eastAsia"/>
          <w:b/>
        </w:rPr>
      </w:pPr>
      <w:r>
        <w:rPr>
          <w:rFonts w:ascii="Time New Roman" w:hAnsi="Time New Roman" w:hint="eastAsia"/>
        </w:rPr>
        <w:tab/>
      </w:r>
      <w:r>
        <w:rPr>
          <w:rFonts w:ascii="Time New Roman" w:hAnsi="Time New Roman" w:hint="eastAsia"/>
        </w:rPr>
        <w:tab/>
      </w:r>
      <w:r w:rsidR="00790CCC" w:rsidRPr="00BF42B7">
        <w:rPr>
          <w:rFonts w:ascii="Time New Roman" w:hAnsi="Time New Roman" w:hint="eastAsia"/>
        </w:rPr>
        <w:t>第三</w:t>
      </w:r>
      <w:r w:rsidR="00790CCC" w:rsidRPr="00421513">
        <w:rPr>
          <w:rFonts w:hint="eastAsia"/>
        </w:rPr>
        <w:t>部分</w:t>
      </w:r>
      <w:r w:rsidR="00790CCC" w:rsidRPr="00BF42B7">
        <w:rPr>
          <w:rFonts w:ascii="Time New Roman" w:hAnsi="Time New Roman"/>
        </w:rPr>
        <w:br/>
      </w:r>
      <w:r w:rsidR="00790CCC" w:rsidRPr="00BF42B7">
        <w:rPr>
          <w:rFonts w:ascii="Time New Roman" w:hAnsi="Time New Roman" w:hint="eastAsia"/>
        </w:rPr>
        <w:t>一般惯例</w:t>
      </w:r>
    </w:p>
    <w:p w:rsidR="00790CCC" w:rsidRPr="00BF42B7" w:rsidRDefault="00421513" w:rsidP="00421513">
      <w:pPr>
        <w:pStyle w:val="H23GC"/>
        <w:ind w:left="1554"/>
        <w:rPr>
          <w:rFonts w:ascii="Time New Roman" w:hAnsi="Time New Roman" w:hint="eastAsia"/>
        </w:rPr>
      </w:pPr>
      <w:r>
        <w:rPr>
          <w:rFonts w:ascii="Time New Roman" w:hAnsi="Time New Roman" w:hint="eastAsia"/>
          <w:bCs/>
        </w:rPr>
        <w:tab/>
      </w:r>
      <w:r>
        <w:rPr>
          <w:rFonts w:ascii="Time New Roman" w:hAnsi="Time New Roman" w:hint="eastAsia"/>
          <w:bCs/>
        </w:rPr>
        <w:tab/>
      </w:r>
      <w:r w:rsidR="00790CCC" w:rsidRPr="00BF42B7">
        <w:rPr>
          <w:rFonts w:ascii="Time New Roman" w:hAnsi="Time New Roman" w:hint="eastAsia"/>
          <w:bCs/>
        </w:rPr>
        <w:t>结论</w:t>
      </w:r>
      <w:r w:rsidR="00790CCC" w:rsidRPr="00BF42B7">
        <w:rPr>
          <w:rFonts w:ascii="Time New Roman" w:hAnsi="Time New Roman"/>
          <w:bCs/>
        </w:rPr>
        <w:t>4</w:t>
      </w:r>
      <w:r w:rsidR="00790CCC" w:rsidRPr="00BF42B7">
        <w:rPr>
          <w:rFonts w:ascii="Time New Roman" w:hAnsi="Time New Roman" w:hint="eastAsia"/>
          <w:bCs/>
        </w:rPr>
        <w:br/>
      </w:r>
      <w:r w:rsidR="00790CCC" w:rsidRPr="00BF42B7">
        <w:rPr>
          <w:rFonts w:ascii="Time New Roman" w:hAnsi="Time New Roman" w:hint="eastAsia"/>
        </w:rPr>
        <w:t>惯例的要求</w:t>
      </w:r>
    </w:p>
    <w:p w:rsidR="00790CCC" w:rsidRPr="00BF42B7" w:rsidRDefault="00790CCC" w:rsidP="00790CCC">
      <w:pPr>
        <w:pStyle w:val="SingleTxtGC"/>
        <w:ind w:left="1554"/>
      </w:pPr>
      <w:r w:rsidRPr="00BF42B7">
        <w:t>1.</w:t>
      </w:r>
      <w:r w:rsidRPr="00BF42B7">
        <w:rPr>
          <w:rFonts w:hint="eastAsia"/>
        </w:rPr>
        <w:t xml:space="preserve">  </w:t>
      </w:r>
      <w:r w:rsidRPr="00BF42B7">
        <w:rPr>
          <w:rFonts w:hint="eastAsia"/>
        </w:rPr>
        <w:t>关于须有一般惯例的要求作为习惯国际法的构成要素，意味着主要是国家惯例有助于习惯国际法规则的形成或表述。</w:t>
      </w:r>
    </w:p>
    <w:p w:rsidR="00790CCC" w:rsidRPr="00BF42B7" w:rsidRDefault="00790CCC" w:rsidP="00790CCC">
      <w:pPr>
        <w:pStyle w:val="SingleTxtGC"/>
        <w:ind w:left="1554"/>
      </w:pPr>
      <w:r w:rsidRPr="00BF42B7">
        <w:t>2.</w:t>
      </w:r>
      <w:r w:rsidRPr="00BF42B7">
        <w:rPr>
          <w:rFonts w:hint="eastAsia"/>
        </w:rPr>
        <w:t xml:space="preserve">  </w:t>
      </w:r>
      <w:r w:rsidRPr="00BF42B7">
        <w:rPr>
          <w:rFonts w:hint="eastAsia"/>
        </w:rPr>
        <w:t>在某些情况下，国际组织的惯例也有助于习惯国际法规则的形成或表述。</w:t>
      </w:r>
    </w:p>
    <w:p w:rsidR="00790CCC" w:rsidRPr="00BF42B7" w:rsidRDefault="00790CCC" w:rsidP="00790CCC">
      <w:pPr>
        <w:pStyle w:val="SingleTxtGC"/>
        <w:ind w:left="1554"/>
      </w:pPr>
      <w:r w:rsidRPr="00BF42B7">
        <w:t>3.</w:t>
      </w:r>
      <w:r w:rsidRPr="00BF42B7">
        <w:rPr>
          <w:rFonts w:hint="eastAsia"/>
        </w:rPr>
        <w:t xml:space="preserve">  </w:t>
      </w:r>
      <w:r w:rsidRPr="00BF42B7">
        <w:rPr>
          <w:rFonts w:hint="eastAsia"/>
        </w:rPr>
        <w:t>其他行为者的行为不是有助于习惯国际法规则形成或表述的惯例，但在评估第</w:t>
      </w:r>
      <w:r w:rsidRPr="00BF42B7">
        <w:rPr>
          <w:rFonts w:eastAsia="黑体" w:hint="eastAsia"/>
        </w:rPr>
        <w:t>1</w:t>
      </w:r>
      <w:r w:rsidRPr="00BF42B7">
        <w:rPr>
          <w:rFonts w:hint="eastAsia"/>
        </w:rPr>
        <w:t>和第</w:t>
      </w:r>
      <w:r w:rsidRPr="00BF42B7">
        <w:rPr>
          <w:rFonts w:eastAsia="黑体" w:hint="eastAsia"/>
        </w:rPr>
        <w:t>2</w:t>
      </w:r>
      <w:r w:rsidRPr="00BF42B7">
        <w:rPr>
          <w:rFonts w:hint="eastAsia"/>
        </w:rPr>
        <w:t>段所指的惯例时可能相关。</w:t>
      </w:r>
    </w:p>
    <w:p w:rsidR="00790CCC" w:rsidRPr="00BF42B7" w:rsidRDefault="00421513" w:rsidP="00421513">
      <w:pPr>
        <w:pStyle w:val="H23GC"/>
        <w:ind w:left="1554"/>
        <w:rPr>
          <w:rFonts w:ascii="Time New Roman" w:hAnsi="Time New Roman" w:hint="eastAsia"/>
        </w:rPr>
      </w:pPr>
      <w:r>
        <w:rPr>
          <w:rFonts w:ascii="Time New Roman" w:hAnsi="Time New Roman" w:hint="eastAsia"/>
        </w:rPr>
        <w:tab/>
      </w:r>
      <w:r>
        <w:rPr>
          <w:rFonts w:ascii="Time New Roman" w:hAnsi="Time New Roman" w:hint="eastAsia"/>
        </w:rPr>
        <w:tab/>
      </w:r>
      <w:r w:rsidR="00790CCC" w:rsidRPr="00BF42B7">
        <w:rPr>
          <w:rFonts w:ascii="Time New Roman" w:hAnsi="Time New Roman" w:hint="eastAsia"/>
        </w:rPr>
        <w:t>结论</w:t>
      </w:r>
      <w:r w:rsidR="00790CCC" w:rsidRPr="00BF42B7">
        <w:rPr>
          <w:rFonts w:ascii="Time New Roman" w:hAnsi="Time New Roman"/>
        </w:rPr>
        <w:t>5</w:t>
      </w:r>
      <w:r w:rsidR="00790CCC" w:rsidRPr="00BF42B7">
        <w:rPr>
          <w:rFonts w:ascii="Time New Roman" w:hAnsi="Time New Roman"/>
        </w:rPr>
        <w:br/>
      </w:r>
      <w:r w:rsidR="00790CCC" w:rsidRPr="00BF42B7">
        <w:rPr>
          <w:rFonts w:ascii="Time New Roman" w:hAnsi="Time New Roman" w:hint="eastAsia"/>
        </w:rPr>
        <w:t>作为</w:t>
      </w:r>
      <w:r w:rsidR="00790CCC" w:rsidRPr="00421513">
        <w:rPr>
          <w:rFonts w:hint="eastAsia"/>
        </w:rPr>
        <w:t>国家</w:t>
      </w:r>
      <w:r w:rsidR="00790CCC" w:rsidRPr="00BF42B7">
        <w:rPr>
          <w:rFonts w:ascii="Time New Roman" w:hAnsi="Time New Roman" w:hint="eastAsia"/>
        </w:rPr>
        <w:t>惯例的国家行为</w:t>
      </w:r>
    </w:p>
    <w:p w:rsidR="00790CCC" w:rsidRPr="00BF42B7" w:rsidRDefault="00790CCC" w:rsidP="00790CCC">
      <w:pPr>
        <w:pStyle w:val="SingleTxtGC"/>
        <w:tabs>
          <w:tab w:val="clear" w:pos="431"/>
          <w:tab w:val="clear" w:pos="1134"/>
          <w:tab w:val="clear" w:pos="1565"/>
        </w:tabs>
        <w:ind w:left="1554"/>
      </w:pPr>
      <w:r w:rsidRPr="00BF42B7">
        <w:rPr>
          <w:rFonts w:hint="eastAsia"/>
        </w:rPr>
        <w:tab/>
      </w:r>
      <w:r w:rsidRPr="00BF42B7">
        <w:rPr>
          <w:rFonts w:hint="eastAsia"/>
        </w:rPr>
        <w:t>国家惯例由国家行为构成，不论该行为是行使行政、立法、司法职能，还是行使其他职能。</w:t>
      </w:r>
    </w:p>
    <w:p w:rsidR="00790CCC" w:rsidRPr="00BF42B7" w:rsidRDefault="00421513" w:rsidP="00421513">
      <w:pPr>
        <w:pStyle w:val="H23GC"/>
        <w:ind w:left="1554"/>
        <w:rPr>
          <w:rFonts w:ascii="Time New Roman" w:hAnsi="Time New Roman" w:hint="eastAsia"/>
          <w:b/>
        </w:rPr>
      </w:pPr>
      <w:r>
        <w:rPr>
          <w:rFonts w:ascii="Time New Roman" w:hAnsi="Time New Roman" w:hint="eastAsia"/>
        </w:rPr>
        <w:tab/>
      </w:r>
      <w:r>
        <w:rPr>
          <w:rFonts w:ascii="Time New Roman" w:hAnsi="Time New Roman" w:hint="eastAsia"/>
        </w:rPr>
        <w:tab/>
      </w:r>
      <w:r w:rsidR="00790CCC" w:rsidRPr="00BF42B7">
        <w:rPr>
          <w:rFonts w:ascii="Time New Roman" w:hAnsi="Time New Roman" w:hint="eastAsia"/>
        </w:rPr>
        <w:t>结论</w:t>
      </w:r>
      <w:r w:rsidR="00790CCC" w:rsidRPr="00BF42B7">
        <w:rPr>
          <w:rFonts w:ascii="Time New Roman" w:hAnsi="Time New Roman"/>
        </w:rPr>
        <w:t>6</w:t>
      </w:r>
      <w:r w:rsidR="00790CCC" w:rsidRPr="00BF42B7">
        <w:rPr>
          <w:rFonts w:ascii="Time New Roman" w:hAnsi="Time New Roman"/>
        </w:rPr>
        <w:br/>
      </w:r>
      <w:r w:rsidR="00790CCC" w:rsidRPr="00BF42B7">
        <w:rPr>
          <w:rFonts w:ascii="Time New Roman" w:hAnsi="Time New Roman" w:hint="eastAsia"/>
        </w:rPr>
        <w:t>惯例的形式</w:t>
      </w:r>
    </w:p>
    <w:p w:rsidR="00790CCC" w:rsidRPr="00BF42B7" w:rsidRDefault="00790CCC" w:rsidP="00790CCC">
      <w:pPr>
        <w:pStyle w:val="SingleTxtGC"/>
        <w:ind w:left="1554"/>
      </w:pPr>
      <w:r w:rsidRPr="00BF42B7">
        <w:t>1.</w:t>
      </w:r>
      <w:r w:rsidRPr="00BF42B7">
        <w:rPr>
          <w:rFonts w:hint="eastAsia"/>
        </w:rPr>
        <w:t xml:space="preserve">  </w:t>
      </w:r>
      <w:r w:rsidRPr="00BF42B7">
        <w:rPr>
          <w:rFonts w:hint="eastAsia"/>
        </w:rPr>
        <w:t>惯例可有多种形式，既包括实际行为，也包括言语行为。在某些情况下，还可包括不作为。</w:t>
      </w:r>
    </w:p>
    <w:p w:rsidR="00790CCC" w:rsidRPr="00BF42B7" w:rsidRDefault="00790CCC" w:rsidP="00790CCC">
      <w:pPr>
        <w:pStyle w:val="SingleTxtGC"/>
        <w:ind w:left="1554"/>
      </w:pPr>
      <w:r w:rsidRPr="00BF42B7">
        <w:t>2.</w:t>
      </w:r>
      <w:r w:rsidRPr="00BF42B7">
        <w:rPr>
          <w:rFonts w:hint="eastAsia"/>
        </w:rPr>
        <w:t xml:space="preserve">  </w:t>
      </w:r>
      <w:r w:rsidRPr="00BF42B7">
        <w:rPr>
          <w:rFonts w:hint="eastAsia"/>
        </w:rPr>
        <w:t>国家惯例的形式包括但不限于：外交行为和信函；与国际组织通过的或在政府间会议上通过的决议有关的行为；与条约有关的行为；执行行为，包括“实地”作业行为；立法和行政行为；各国法院的判决。</w:t>
      </w:r>
    </w:p>
    <w:p w:rsidR="00790CCC" w:rsidRPr="00BF42B7" w:rsidRDefault="00790CCC" w:rsidP="00790CCC">
      <w:pPr>
        <w:pStyle w:val="SingleTxtGC"/>
        <w:ind w:left="1554"/>
      </w:pPr>
      <w:r w:rsidRPr="00BF42B7">
        <w:t>3.</w:t>
      </w:r>
      <w:r w:rsidRPr="00BF42B7">
        <w:rPr>
          <w:rFonts w:hint="eastAsia"/>
        </w:rPr>
        <w:t xml:space="preserve">  </w:t>
      </w:r>
      <w:r w:rsidRPr="00BF42B7">
        <w:rPr>
          <w:rFonts w:hint="eastAsia"/>
        </w:rPr>
        <w:t>各种不同形式的惯例之间没有预先确定的等级。</w:t>
      </w:r>
    </w:p>
    <w:p w:rsidR="00790CCC" w:rsidRPr="00BF42B7" w:rsidRDefault="00421513" w:rsidP="00421513">
      <w:pPr>
        <w:pStyle w:val="H23GC"/>
        <w:ind w:left="1554"/>
        <w:rPr>
          <w:rFonts w:ascii="Time New Roman" w:hAnsi="Time New Roman" w:hint="eastAsia"/>
        </w:rPr>
      </w:pPr>
      <w:r>
        <w:rPr>
          <w:rFonts w:ascii="Time New Roman" w:hAnsi="Time New Roman" w:hint="eastAsia"/>
        </w:rPr>
        <w:tab/>
      </w:r>
      <w:r>
        <w:rPr>
          <w:rFonts w:ascii="Time New Roman" w:hAnsi="Time New Roman" w:hint="eastAsia"/>
        </w:rPr>
        <w:tab/>
      </w:r>
      <w:r w:rsidR="00790CCC" w:rsidRPr="00BF42B7">
        <w:rPr>
          <w:rFonts w:ascii="Time New Roman" w:hAnsi="Time New Roman" w:hint="eastAsia"/>
        </w:rPr>
        <w:t>结论</w:t>
      </w:r>
      <w:r w:rsidR="00790CCC" w:rsidRPr="00BF42B7">
        <w:rPr>
          <w:rFonts w:ascii="Time New Roman" w:hAnsi="Time New Roman"/>
        </w:rPr>
        <w:t>7</w:t>
      </w:r>
      <w:r w:rsidR="00790CCC" w:rsidRPr="00BF42B7">
        <w:rPr>
          <w:rFonts w:ascii="Time New Roman" w:hAnsi="Time New Roman"/>
        </w:rPr>
        <w:br/>
      </w:r>
      <w:r w:rsidR="00790CCC" w:rsidRPr="00BF42B7">
        <w:rPr>
          <w:rFonts w:ascii="Time New Roman" w:hAnsi="Time New Roman" w:hint="eastAsia"/>
        </w:rPr>
        <w:t>评估</w:t>
      </w:r>
      <w:r w:rsidR="00790CCC" w:rsidRPr="00421513">
        <w:rPr>
          <w:rFonts w:hint="eastAsia"/>
        </w:rPr>
        <w:t>国家</w:t>
      </w:r>
      <w:r w:rsidR="00790CCC" w:rsidRPr="00BF42B7">
        <w:rPr>
          <w:rFonts w:ascii="Time New Roman" w:hAnsi="Time New Roman" w:hint="eastAsia"/>
        </w:rPr>
        <w:t>惯例</w:t>
      </w:r>
    </w:p>
    <w:p w:rsidR="00790CCC" w:rsidRPr="00BF42B7" w:rsidRDefault="00790CCC" w:rsidP="00790CCC">
      <w:pPr>
        <w:pStyle w:val="SingleTxtGC"/>
        <w:ind w:left="1554"/>
      </w:pPr>
      <w:r w:rsidRPr="00BF42B7">
        <w:t>1.</w:t>
      </w:r>
      <w:r w:rsidRPr="00BF42B7">
        <w:rPr>
          <w:rFonts w:hint="eastAsia"/>
        </w:rPr>
        <w:t xml:space="preserve">  </w:t>
      </w:r>
      <w:r w:rsidRPr="00BF42B7">
        <w:rPr>
          <w:rFonts w:hint="eastAsia"/>
        </w:rPr>
        <w:t>应考虑特定国家的所有已知的惯例，作为一个整体进行评估。</w:t>
      </w:r>
    </w:p>
    <w:p w:rsidR="00790CCC" w:rsidRPr="00BF42B7" w:rsidRDefault="00790CCC" w:rsidP="00790CCC">
      <w:pPr>
        <w:pStyle w:val="SingleTxtGC"/>
        <w:ind w:left="1554"/>
      </w:pPr>
      <w:r w:rsidRPr="00BF42B7">
        <w:t>2.</w:t>
      </w:r>
      <w:r w:rsidRPr="00BF42B7">
        <w:rPr>
          <w:rFonts w:hint="eastAsia"/>
        </w:rPr>
        <w:t xml:space="preserve">  </w:t>
      </w:r>
      <w:r w:rsidRPr="00BF42B7">
        <w:rPr>
          <w:rFonts w:hint="eastAsia"/>
        </w:rPr>
        <w:t>如果特定国家的惯例不一致，可减少赋予该惯例的权重。</w:t>
      </w:r>
    </w:p>
    <w:p w:rsidR="00790CCC" w:rsidRPr="00BF42B7" w:rsidRDefault="00421513" w:rsidP="00421513">
      <w:pPr>
        <w:pStyle w:val="H23GC"/>
        <w:ind w:left="1554"/>
        <w:rPr>
          <w:rFonts w:ascii="Time New Roman" w:hAnsi="Time New Roman" w:hint="eastAsia"/>
        </w:rPr>
      </w:pPr>
      <w:r>
        <w:rPr>
          <w:rFonts w:ascii="Time New Roman" w:hAnsi="Time New Roman" w:hint="eastAsia"/>
        </w:rPr>
        <w:tab/>
      </w:r>
      <w:r>
        <w:rPr>
          <w:rFonts w:ascii="Time New Roman" w:hAnsi="Time New Roman" w:hint="eastAsia"/>
        </w:rPr>
        <w:tab/>
      </w:r>
      <w:r w:rsidR="00790CCC" w:rsidRPr="00BF42B7">
        <w:rPr>
          <w:rFonts w:ascii="Time New Roman" w:hAnsi="Time New Roman" w:hint="eastAsia"/>
        </w:rPr>
        <w:t>结论</w:t>
      </w:r>
      <w:r w:rsidR="00790CCC" w:rsidRPr="00BF42B7">
        <w:rPr>
          <w:rFonts w:ascii="Time New Roman" w:hAnsi="Time New Roman"/>
        </w:rPr>
        <w:t>8</w:t>
      </w:r>
      <w:r w:rsidR="00790CCC" w:rsidRPr="00BF42B7">
        <w:rPr>
          <w:rFonts w:ascii="Time New Roman" w:hAnsi="Time New Roman"/>
        </w:rPr>
        <w:br/>
      </w:r>
      <w:r w:rsidR="00790CCC" w:rsidRPr="00BF42B7">
        <w:rPr>
          <w:rFonts w:ascii="Time New Roman" w:hAnsi="Time New Roman" w:hint="eastAsia"/>
        </w:rPr>
        <w:t>惯例必须具备一般性</w:t>
      </w:r>
    </w:p>
    <w:p w:rsidR="00790CCC" w:rsidRPr="00BF42B7" w:rsidRDefault="00790CCC" w:rsidP="00790CCC">
      <w:pPr>
        <w:pStyle w:val="SingleTxtGC"/>
        <w:ind w:left="1554"/>
      </w:pPr>
      <w:r w:rsidRPr="00BF42B7">
        <w:t>1.</w:t>
      </w:r>
      <w:r w:rsidRPr="00BF42B7">
        <w:rPr>
          <w:rFonts w:hint="eastAsia"/>
        </w:rPr>
        <w:t xml:space="preserve">  </w:t>
      </w:r>
      <w:r w:rsidRPr="00BF42B7">
        <w:rPr>
          <w:rFonts w:hint="eastAsia"/>
        </w:rPr>
        <w:t>有关惯例必须具备一般性，即必须足够普及和有代表性，还必须是一贯的</w:t>
      </w:r>
      <w:r w:rsidRPr="00BF42B7">
        <w:rPr>
          <w:rFonts w:hint="eastAsia"/>
          <w:spacing w:val="-6"/>
        </w:rPr>
        <w:t>。</w:t>
      </w:r>
    </w:p>
    <w:p w:rsidR="00790CCC" w:rsidRPr="00BF42B7" w:rsidRDefault="00790CCC" w:rsidP="00790CCC">
      <w:pPr>
        <w:pStyle w:val="SingleTxtGC"/>
        <w:ind w:left="1554"/>
      </w:pPr>
      <w:r w:rsidRPr="00BF42B7">
        <w:t>2.</w:t>
      </w:r>
      <w:r w:rsidRPr="00BF42B7">
        <w:rPr>
          <w:rFonts w:hint="eastAsia"/>
        </w:rPr>
        <w:t xml:space="preserve">  </w:t>
      </w:r>
      <w:r w:rsidRPr="00BF42B7">
        <w:rPr>
          <w:rFonts w:hint="eastAsia"/>
        </w:rPr>
        <w:t>只要惯例具备一般性，就不要求特定存续时间。</w:t>
      </w:r>
    </w:p>
    <w:p w:rsidR="00790CCC" w:rsidRPr="00BF42B7" w:rsidRDefault="00421513" w:rsidP="00421513">
      <w:pPr>
        <w:pStyle w:val="H23GC"/>
        <w:ind w:left="1554"/>
        <w:rPr>
          <w:rFonts w:ascii="Time New Roman" w:hAnsi="Time New Roman" w:hint="eastAsia"/>
          <w:b/>
        </w:rPr>
      </w:pPr>
      <w:r>
        <w:rPr>
          <w:rFonts w:ascii="Time New Roman" w:hAnsi="Time New Roman" w:hint="eastAsia"/>
        </w:rPr>
        <w:tab/>
      </w:r>
      <w:r>
        <w:rPr>
          <w:rFonts w:ascii="Time New Roman" w:hAnsi="Time New Roman" w:hint="eastAsia"/>
        </w:rPr>
        <w:tab/>
      </w:r>
      <w:r w:rsidR="00790CCC" w:rsidRPr="00BF42B7">
        <w:rPr>
          <w:rFonts w:ascii="Time New Roman" w:hAnsi="Time New Roman" w:hint="eastAsia"/>
        </w:rPr>
        <w:t>第四部分</w:t>
      </w:r>
      <w:r w:rsidR="00790CCC" w:rsidRPr="00BF42B7">
        <w:rPr>
          <w:rFonts w:ascii="Time New Roman" w:hAnsi="Time New Roman"/>
        </w:rPr>
        <w:br/>
      </w:r>
      <w:r w:rsidR="00790CCC" w:rsidRPr="00BF42B7">
        <w:rPr>
          <w:rFonts w:ascii="Time New Roman" w:hAnsi="Time New Roman" w:hint="eastAsia"/>
        </w:rPr>
        <w:t>被接受为法律</w:t>
      </w:r>
      <w:r w:rsidR="00790CCC" w:rsidRPr="00BF42B7">
        <w:rPr>
          <w:rFonts w:ascii="Time New Roman" w:hAnsi="Time New Roman"/>
        </w:rPr>
        <w:t>(</w:t>
      </w:r>
      <w:r w:rsidR="00790CCC" w:rsidRPr="00BF42B7">
        <w:rPr>
          <w:rFonts w:ascii="Time New Roman" w:hAnsi="Time New Roman" w:hint="eastAsia"/>
        </w:rPr>
        <w:t>法律确信</w:t>
      </w:r>
      <w:r w:rsidR="00790CCC" w:rsidRPr="00BF42B7">
        <w:rPr>
          <w:rFonts w:ascii="Time New Roman" w:hAnsi="Time New Roman"/>
        </w:rPr>
        <w:t>)</w:t>
      </w:r>
    </w:p>
    <w:p w:rsidR="00790CCC" w:rsidRPr="00BF42B7" w:rsidRDefault="00421513" w:rsidP="00421513">
      <w:pPr>
        <w:pStyle w:val="H23GC"/>
        <w:ind w:left="1554"/>
        <w:rPr>
          <w:rFonts w:ascii="Time New Roman" w:hAnsi="Time New Roman" w:hint="eastAsia"/>
        </w:rPr>
      </w:pPr>
      <w:r>
        <w:rPr>
          <w:rFonts w:ascii="Time New Roman" w:hAnsi="Time New Roman" w:hint="eastAsia"/>
        </w:rPr>
        <w:tab/>
      </w:r>
      <w:r>
        <w:rPr>
          <w:rFonts w:ascii="Time New Roman" w:hAnsi="Time New Roman" w:hint="eastAsia"/>
        </w:rPr>
        <w:tab/>
      </w:r>
      <w:r w:rsidR="00790CCC" w:rsidRPr="00BF42B7">
        <w:rPr>
          <w:rFonts w:ascii="Time New Roman" w:hAnsi="Time New Roman" w:hint="eastAsia"/>
        </w:rPr>
        <w:t>结论</w:t>
      </w:r>
      <w:r w:rsidR="00790CCC" w:rsidRPr="00BF42B7">
        <w:rPr>
          <w:rFonts w:ascii="Time New Roman" w:hAnsi="Time New Roman"/>
        </w:rPr>
        <w:t>9</w:t>
      </w:r>
      <w:r w:rsidR="00790CCC" w:rsidRPr="00BF42B7">
        <w:rPr>
          <w:rFonts w:ascii="Time New Roman" w:hAnsi="Time New Roman"/>
        </w:rPr>
        <w:br/>
      </w:r>
      <w:r w:rsidR="00790CCC" w:rsidRPr="00BF42B7">
        <w:rPr>
          <w:rFonts w:ascii="Time New Roman" w:hAnsi="Time New Roman" w:hint="eastAsia"/>
        </w:rPr>
        <w:t>被接受为法律</w:t>
      </w:r>
      <w:r w:rsidR="00790CCC" w:rsidRPr="00BF42B7">
        <w:rPr>
          <w:rFonts w:ascii="Time New Roman" w:hAnsi="Time New Roman" w:hint="eastAsia"/>
        </w:rPr>
        <w:t>(</w:t>
      </w:r>
      <w:r w:rsidR="00790CCC" w:rsidRPr="00BF42B7">
        <w:rPr>
          <w:rFonts w:ascii="Time New Roman" w:hAnsi="Time New Roman" w:hint="eastAsia"/>
        </w:rPr>
        <w:t>法律确信</w:t>
      </w:r>
      <w:r w:rsidR="00790CCC" w:rsidRPr="00BF42B7">
        <w:rPr>
          <w:rFonts w:ascii="Time New Roman" w:hAnsi="Time New Roman" w:hint="eastAsia"/>
        </w:rPr>
        <w:t>)</w:t>
      </w:r>
      <w:r w:rsidR="00790CCC" w:rsidRPr="00BF42B7">
        <w:rPr>
          <w:rFonts w:ascii="Time New Roman" w:hAnsi="Time New Roman" w:hint="eastAsia"/>
        </w:rPr>
        <w:t>的要求</w:t>
      </w:r>
    </w:p>
    <w:p w:rsidR="00790CCC" w:rsidRPr="00BF42B7" w:rsidRDefault="00790CCC" w:rsidP="00790CCC">
      <w:pPr>
        <w:pStyle w:val="SingleTxtGC"/>
        <w:ind w:left="1554"/>
      </w:pPr>
      <w:r w:rsidRPr="00BF42B7">
        <w:t>1.</w:t>
      </w:r>
      <w:r w:rsidRPr="00BF42B7">
        <w:rPr>
          <w:rFonts w:hint="eastAsia"/>
        </w:rPr>
        <w:t xml:space="preserve">  </w:t>
      </w:r>
      <w:r w:rsidRPr="00BF42B7">
        <w:rPr>
          <w:rFonts w:hint="eastAsia"/>
        </w:rPr>
        <w:t>关于一般惯例须被接受为法律</w:t>
      </w:r>
      <w:r w:rsidRPr="00BF42B7">
        <w:rPr>
          <w:rFonts w:hint="eastAsia"/>
        </w:rPr>
        <w:t>(</w:t>
      </w:r>
      <w:r w:rsidRPr="00BF42B7">
        <w:rPr>
          <w:rFonts w:hint="eastAsia"/>
        </w:rPr>
        <w:t>法律确信</w:t>
      </w:r>
      <w:r w:rsidRPr="00BF42B7">
        <w:rPr>
          <w:rFonts w:hint="eastAsia"/>
        </w:rPr>
        <w:t>)</w:t>
      </w:r>
      <w:r w:rsidRPr="00BF42B7">
        <w:rPr>
          <w:rFonts w:hint="eastAsia"/>
        </w:rPr>
        <w:t>的要求作为习惯国际法的构成要素，意味着有关惯例的采用必须带有一种法律权利或义务感。</w:t>
      </w:r>
    </w:p>
    <w:p w:rsidR="00790CCC" w:rsidRPr="00BF42B7" w:rsidRDefault="00790CCC" w:rsidP="00790CCC">
      <w:pPr>
        <w:pStyle w:val="SingleTxtGC"/>
        <w:ind w:left="1554"/>
      </w:pPr>
      <w:r w:rsidRPr="00BF42B7">
        <w:t>2.</w:t>
      </w:r>
      <w:r w:rsidRPr="00BF42B7">
        <w:rPr>
          <w:rFonts w:hint="eastAsia"/>
        </w:rPr>
        <w:t xml:space="preserve">  </w:t>
      </w:r>
      <w:r w:rsidRPr="00BF42B7">
        <w:rPr>
          <w:rFonts w:hint="eastAsia"/>
        </w:rPr>
        <w:t>被接受为法律</w:t>
      </w:r>
      <w:r w:rsidRPr="00BF42B7">
        <w:rPr>
          <w:rFonts w:hint="eastAsia"/>
        </w:rPr>
        <w:t>(</w:t>
      </w:r>
      <w:r w:rsidRPr="00BF42B7">
        <w:rPr>
          <w:rFonts w:hint="eastAsia"/>
        </w:rPr>
        <w:t>法律确信</w:t>
      </w:r>
      <w:r w:rsidRPr="00BF42B7">
        <w:rPr>
          <w:rFonts w:hint="eastAsia"/>
        </w:rPr>
        <w:t>)</w:t>
      </w:r>
      <w:r w:rsidRPr="00BF42B7">
        <w:rPr>
          <w:rFonts w:hint="eastAsia"/>
        </w:rPr>
        <w:t>的一般惯例不同于单纯的常例或习惯。</w:t>
      </w:r>
    </w:p>
    <w:p w:rsidR="00790CCC" w:rsidRPr="00BF42B7" w:rsidRDefault="00421513" w:rsidP="00421513">
      <w:pPr>
        <w:pStyle w:val="H23GC"/>
        <w:ind w:left="1554"/>
        <w:rPr>
          <w:rFonts w:ascii="Time New Roman" w:hAnsi="Time New Roman" w:hint="eastAsia"/>
        </w:rPr>
      </w:pPr>
      <w:r>
        <w:rPr>
          <w:rFonts w:ascii="Time New Roman" w:hAnsi="Time New Roman" w:hint="eastAsia"/>
        </w:rPr>
        <w:tab/>
      </w:r>
      <w:r>
        <w:rPr>
          <w:rFonts w:ascii="Time New Roman" w:hAnsi="Time New Roman" w:hint="eastAsia"/>
        </w:rPr>
        <w:tab/>
      </w:r>
      <w:r w:rsidR="00790CCC" w:rsidRPr="00BF42B7">
        <w:rPr>
          <w:rFonts w:ascii="Time New Roman" w:hAnsi="Time New Roman" w:hint="eastAsia"/>
        </w:rPr>
        <w:t>结论</w:t>
      </w:r>
      <w:r w:rsidR="00790CCC" w:rsidRPr="00BF42B7">
        <w:rPr>
          <w:rFonts w:ascii="Time New Roman" w:hAnsi="Time New Roman"/>
        </w:rPr>
        <w:t>10</w:t>
      </w:r>
      <w:r w:rsidR="00790CCC" w:rsidRPr="00BF42B7">
        <w:rPr>
          <w:rFonts w:ascii="Time New Roman" w:hAnsi="Time New Roman"/>
        </w:rPr>
        <w:br/>
      </w:r>
      <w:r w:rsidR="00790CCC" w:rsidRPr="00BF42B7">
        <w:rPr>
          <w:rFonts w:ascii="Time New Roman" w:hAnsi="Time New Roman" w:hint="eastAsia"/>
          <w:lang w:val="en-GB"/>
        </w:rPr>
        <w:t>被接受为法律</w:t>
      </w:r>
      <w:r w:rsidR="00790CCC" w:rsidRPr="00BF42B7">
        <w:rPr>
          <w:rFonts w:ascii="Time New Roman" w:hAnsi="Time New Roman" w:hint="eastAsia"/>
          <w:lang w:val="en-GB"/>
        </w:rPr>
        <w:t>(</w:t>
      </w:r>
      <w:r w:rsidR="00790CCC" w:rsidRPr="00BF42B7">
        <w:rPr>
          <w:rFonts w:ascii="Time New Roman" w:hAnsi="Time New Roman" w:hint="eastAsia"/>
          <w:lang w:val="en-GB"/>
        </w:rPr>
        <w:t>法律确信</w:t>
      </w:r>
      <w:r w:rsidR="00790CCC" w:rsidRPr="00BF42B7">
        <w:rPr>
          <w:rFonts w:ascii="Time New Roman" w:hAnsi="Time New Roman" w:hint="eastAsia"/>
          <w:lang w:val="en-GB"/>
        </w:rPr>
        <w:t>)</w:t>
      </w:r>
      <w:r w:rsidR="00790CCC" w:rsidRPr="00BF42B7">
        <w:rPr>
          <w:rFonts w:ascii="Time New Roman" w:hAnsi="Time New Roman" w:hint="eastAsia"/>
          <w:lang w:val="en-GB"/>
        </w:rPr>
        <w:t>的证据形式</w:t>
      </w:r>
    </w:p>
    <w:p w:rsidR="00790CCC" w:rsidRPr="00BF42B7" w:rsidRDefault="00790CCC" w:rsidP="00790CCC">
      <w:pPr>
        <w:pStyle w:val="SingleTxtGC"/>
        <w:ind w:left="1554"/>
        <w:rPr>
          <w:lang w:val="en-GB"/>
        </w:rPr>
      </w:pPr>
      <w:r w:rsidRPr="00BF42B7">
        <w:rPr>
          <w:lang w:val="en-GB"/>
        </w:rPr>
        <w:t>1.</w:t>
      </w:r>
      <w:r w:rsidRPr="00BF42B7">
        <w:rPr>
          <w:rFonts w:hint="eastAsia"/>
          <w:lang w:val="en-GB"/>
        </w:rPr>
        <w:t xml:space="preserve">  </w:t>
      </w:r>
      <w:r w:rsidRPr="00BF42B7">
        <w:rPr>
          <w:rFonts w:hint="eastAsia"/>
          <w:lang w:val="en-GB"/>
        </w:rPr>
        <w:t>被接受为法律</w:t>
      </w:r>
      <w:r w:rsidRPr="00BF42B7">
        <w:rPr>
          <w:rFonts w:hint="eastAsia"/>
          <w:lang w:val="en-GB"/>
        </w:rPr>
        <w:t>(</w:t>
      </w:r>
      <w:r w:rsidRPr="00BF42B7">
        <w:rPr>
          <w:rFonts w:hint="eastAsia"/>
          <w:lang w:val="en-GB"/>
        </w:rPr>
        <w:t>法律确信</w:t>
      </w:r>
      <w:r w:rsidRPr="00BF42B7">
        <w:rPr>
          <w:rFonts w:hint="eastAsia"/>
          <w:lang w:val="en-GB"/>
        </w:rPr>
        <w:t>)</w:t>
      </w:r>
      <w:r w:rsidRPr="00BF42B7">
        <w:rPr>
          <w:rFonts w:hint="eastAsia"/>
          <w:lang w:val="en-GB"/>
        </w:rPr>
        <w:t>的证据可有多种形式。</w:t>
      </w:r>
    </w:p>
    <w:p w:rsidR="00790CCC" w:rsidRPr="00BF42B7" w:rsidRDefault="00790CCC" w:rsidP="00790CCC">
      <w:pPr>
        <w:pStyle w:val="SingleTxtGC"/>
        <w:ind w:left="1554"/>
        <w:rPr>
          <w:lang w:val="en-GB"/>
        </w:rPr>
      </w:pPr>
      <w:r w:rsidRPr="00BF42B7">
        <w:rPr>
          <w:lang w:val="en-GB"/>
        </w:rPr>
        <w:t>2.</w:t>
      </w:r>
      <w:r w:rsidRPr="00BF42B7">
        <w:rPr>
          <w:rFonts w:hint="eastAsia"/>
          <w:lang w:val="en-GB"/>
        </w:rPr>
        <w:t xml:space="preserve">  </w:t>
      </w:r>
      <w:r w:rsidRPr="00BF42B7">
        <w:rPr>
          <w:rFonts w:hint="eastAsia"/>
          <w:lang w:val="en-GB"/>
        </w:rPr>
        <w:t>被接受为法律</w:t>
      </w:r>
      <w:r w:rsidRPr="00BF42B7">
        <w:rPr>
          <w:rFonts w:hint="eastAsia"/>
          <w:lang w:val="en-GB"/>
        </w:rPr>
        <w:t>(</w:t>
      </w:r>
      <w:r w:rsidRPr="00BF42B7">
        <w:rPr>
          <w:rFonts w:hint="eastAsia"/>
          <w:lang w:val="en-GB"/>
        </w:rPr>
        <w:t>法律确信</w:t>
      </w:r>
      <w:r w:rsidRPr="00BF42B7">
        <w:rPr>
          <w:rFonts w:hint="eastAsia"/>
          <w:lang w:val="en-GB"/>
        </w:rPr>
        <w:t>)</w:t>
      </w:r>
      <w:r w:rsidRPr="00BF42B7">
        <w:rPr>
          <w:rFonts w:hint="eastAsia"/>
          <w:lang w:val="en-GB"/>
        </w:rPr>
        <w:t>的证据形式包括但不限于：以国家名义发表的公开声明；官方出版物；政府的法律意见；外交信函；国内法院的判决；条约规定；与国际组织通过的或在政府间会议上通过的决议有关的行为。</w:t>
      </w:r>
    </w:p>
    <w:p w:rsidR="00790CCC" w:rsidRPr="00BF42B7" w:rsidRDefault="00790CCC" w:rsidP="00790CCC">
      <w:pPr>
        <w:pStyle w:val="SingleTxtGC"/>
        <w:ind w:left="1554"/>
      </w:pPr>
      <w:r w:rsidRPr="00BF42B7">
        <w:rPr>
          <w:lang w:val="en-GB"/>
        </w:rPr>
        <w:t>3.</w:t>
      </w:r>
      <w:r w:rsidRPr="00BF42B7">
        <w:rPr>
          <w:rFonts w:hint="eastAsia"/>
          <w:lang w:val="en-GB"/>
        </w:rPr>
        <w:t xml:space="preserve">  </w:t>
      </w:r>
      <w:r w:rsidRPr="00BF42B7">
        <w:rPr>
          <w:rFonts w:hint="eastAsia"/>
          <w:lang w:val="en-GB"/>
        </w:rPr>
        <w:t>在有关国家有能力做出反应并且有关情况也要求做出某种反应的情况下，对一种惯例经过一定时间而没有做出反应，可用作已接受其为法律</w:t>
      </w:r>
      <w:r w:rsidRPr="00BF42B7">
        <w:rPr>
          <w:rFonts w:hint="eastAsia"/>
          <w:lang w:val="en-GB"/>
        </w:rPr>
        <w:t>(</w:t>
      </w:r>
      <w:r w:rsidRPr="00BF42B7">
        <w:rPr>
          <w:rFonts w:hint="eastAsia"/>
          <w:lang w:val="en-GB"/>
        </w:rPr>
        <w:t>法律确信</w:t>
      </w:r>
      <w:r w:rsidRPr="00BF42B7">
        <w:rPr>
          <w:rFonts w:hint="eastAsia"/>
          <w:lang w:val="en-GB"/>
        </w:rPr>
        <w:t>)</w:t>
      </w:r>
      <w:r w:rsidRPr="00BF42B7">
        <w:rPr>
          <w:rFonts w:hint="eastAsia"/>
          <w:lang w:val="en-GB"/>
        </w:rPr>
        <w:t>的证据</w:t>
      </w:r>
      <w:r w:rsidRPr="00BF42B7">
        <w:rPr>
          <w:rFonts w:hint="eastAsia"/>
          <w:spacing w:val="-4"/>
        </w:rPr>
        <w:t>。</w:t>
      </w:r>
    </w:p>
    <w:p w:rsidR="00790CCC" w:rsidRPr="00BF42B7" w:rsidRDefault="00421513" w:rsidP="00421513">
      <w:pPr>
        <w:pStyle w:val="H23GC"/>
        <w:ind w:left="1554"/>
        <w:rPr>
          <w:rFonts w:ascii="Time New Roman" w:hAnsi="Time New Roman" w:hint="eastAsia"/>
          <w:b/>
        </w:rPr>
      </w:pPr>
      <w:r>
        <w:rPr>
          <w:rFonts w:ascii="Time New Roman" w:hAnsi="Time New Roman" w:hint="eastAsia"/>
        </w:rPr>
        <w:tab/>
      </w:r>
      <w:r>
        <w:rPr>
          <w:rFonts w:ascii="Time New Roman" w:hAnsi="Time New Roman" w:hint="eastAsia"/>
        </w:rPr>
        <w:tab/>
      </w:r>
      <w:r w:rsidR="00790CCC" w:rsidRPr="00BF42B7">
        <w:rPr>
          <w:rFonts w:ascii="Time New Roman" w:hAnsi="Time New Roman" w:hint="eastAsia"/>
        </w:rPr>
        <w:t>第五部分</w:t>
      </w:r>
      <w:r w:rsidR="00790CCC" w:rsidRPr="00BF42B7">
        <w:rPr>
          <w:rFonts w:ascii="Time New Roman" w:hAnsi="Time New Roman"/>
        </w:rPr>
        <w:br/>
      </w:r>
      <w:r w:rsidR="00790CCC" w:rsidRPr="00BF42B7">
        <w:rPr>
          <w:rFonts w:ascii="Time New Roman" w:hAnsi="Time New Roman"/>
          <w:lang w:val="en-GB"/>
        </w:rPr>
        <w:t>某些</w:t>
      </w:r>
      <w:r w:rsidR="00790CCC" w:rsidRPr="00421513">
        <w:t>材料</w:t>
      </w:r>
      <w:r w:rsidR="00790CCC" w:rsidRPr="00BF42B7">
        <w:rPr>
          <w:rFonts w:ascii="Time New Roman" w:hAnsi="Time New Roman"/>
          <w:lang w:val="en-GB"/>
        </w:rPr>
        <w:t>对于识别习惯国际法的意义</w:t>
      </w:r>
    </w:p>
    <w:p w:rsidR="00790CCC" w:rsidRPr="00BF42B7" w:rsidRDefault="00421513" w:rsidP="00421513">
      <w:pPr>
        <w:pStyle w:val="H23GC"/>
        <w:ind w:left="1554"/>
        <w:rPr>
          <w:rFonts w:ascii="Time New Roman" w:hAnsi="Time New Roman" w:hint="eastAsia"/>
        </w:rPr>
      </w:pPr>
      <w:r>
        <w:rPr>
          <w:rFonts w:ascii="Time New Roman" w:hAnsi="Time New Roman" w:hint="eastAsia"/>
        </w:rPr>
        <w:tab/>
      </w:r>
      <w:r>
        <w:rPr>
          <w:rFonts w:ascii="Time New Roman" w:hAnsi="Time New Roman" w:hint="eastAsia"/>
        </w:rPr>
        <w:tab/>
      </w:r>
      <w:r w:rsidR="00790CCC" w:rsidRPr="00BF42B7">
        <w:rPr>
          <w:rFonts w:ascii="Time New Roman" w:hAnsi="Time New Roman" w:hint="eastAsia"/>
        </w:rPr>
        <w:t>结论</w:t>
      </w:r>
      <w:r w:rsidR="00790CCC" w:rsidRPr="00BF42B7">
        <w:rPr>
          <w:rFonts w:ascii="Time New Roman" w:hAnsi="Time New Roman"/>
        </w:rPr>
        <w:t>11</w:t>
      </w:r>
      <w:r w:rsidR="00790CCC" w:rsidRPr="00BF42B7">
        <w:rPr>
          <w:rFonts w:ascii="Time New Roman" w:hAnsi="Time New Roman"/>
        </w:rPr>
        <w:br/>
      </w:r>
      <w:r w:rsidR="00790CCC" w:rsidRPr="00BF42B7">
        <w:rPr>
          <w:rFonts w:ascii="Time New Roman" w:hAnsi="Time New Roman" w:hint="eastAsia"/>
        </w:rPr>
        <w:t>条约</w:t>
      </w:r>
    </w:p>
    <w:p w:rsidR="00790CCC" w:rsidRPr="00BF42B7" w:rsidRDefault="00790CCC" w:rsidP="00790CCC">
      <w:pPr>
        <w:pStyle w:val="SingleTxtGC"/>
        <w:ind w:left="1554"/>
        <w:rPr>
          <w:lang w:val="en-GB"/>
        </w:rPr>
      </w:pPr>
      <w:r w:rsidRPr="00BF42B7">
        <w:t>1.</w:t>
      </w:r>
      <w:r w:rsidRPr="00BF42B7">
        <w:rPr>
          <w:rFonts w:hint="eastAsia"/>
        </w:rPr>
        <w:t xml:space="preserve">  </w:t>
      </w:r>
      <w:r w:rsidRPr="00BF42B7">
        <w:rPr>
          <w:lang w:val="en-GB"/>
        </w:rPr>
        <w:t>条约</w:t>
      </w:r>
      <w:r w:rsidRPr="00BF42B7">
        <w:rPr>
          <w:rFonts w:hint="eastAsia"/>
          <w:lang w:val="en-GB"/>
        </w:rPr>
        <w:t>所载</w:t>
      </w:r>
      <w:r w:rsidRPr="00BF42B7">
        <w:rPr>
          <w:lang w:val="en-GB"/>
        </w:rPr>
        <w:t>的规则可反映习惯国际法规则，条件是能够确定该条约规则：</w:t>
      </w:r>
    </w:p>
    <w:p w:rsidR="00790CCC" w:rsidRPr="00BF42B7" w:rsidRDefault="00790CCC" w:rsidP="006C724B">
      <w:pPr>
        <w:pStyle w:val="SingleTxtGC"/>
        <w:numPr>
          <w:ilvl w:val="0"/>
          <w:numId w:val="31"/>
        </w:numPr>
        <w:rPr>
          <w:lang w:val="en-GB"/>
        </w:rPr>
      </w:pPr>
      <w:r w:rsidRPr="00BF42B7">
        <w:rPr>
          <w:lang w:val="en-GB"/>
        </w:rPr>
        <w:t>将条约缔结时已经存在的一项习惯国际法规则编纂成法；</w:t>
      </w:r>
    </w:p>
    <w:p w:rsidR="00790CCC" w:rsidRPr="00BF42B7" w:rsidRDefault="00790CCC" w:rsidP="006C724B">
      <w:pPr>
        <w:pStyle w:val="SingleTxtGC"/>
        <w:numPr>
          <w:ilvl w:val="0"/>
          <w:numId w:val="31"/>
        </w:numPr>
        <w:rPr>
          <w:lang w:val="en-GB"/>
        </w:rPr>
      </w:pPr>
      <w:r w:rsidRPr="00BF42B7">
        <w:rPr>
          <w:lang w:val="en-GB"/>
        </w:rPr>
        <w:t>将条约缔结之前开始形成的一项习惯国际法规则具体化；</w:t>
      </w:r>
    </w:p>
    <w:p w:rsidR="00790CCC" w:rsidRPr="00BF42B7" w:rsidRDefault="00790CCC" w:rsidP="006C724B">
      <w:pPr>
        <w:pStyle w:val="SingleTxtGC"/>
        <w:numPr>
          <w:ilvl w:val="0"/>
          <w:numId w:val="31"/>
        </w:numPr>
      </w:pPr>
      <w:r w:rsidRPr="00BF42B7">
        <w:rPr>
          <w:lang w:val="en-GB"/>
        </w:rPr>
        <w:t>形成了一</w:t>
      </w:r>
      <w:r w:rsidRPr="00BF42B7">
        <w:rPr>
          <w:rFonts w:hint="eastAsia"/>
          <w:lang w:val="en-GB"/>
        </w:rPr>
        <w:t>项</w:t>
      </w:r>
      <w:r w:rsidRPr="00BF42B7">
        <w:rPr>
          <w:lang w:val="en-GB"/>
        </w:rPr>
        <w:t>被接受为法律</w:t>
      </w:r>
      <w:r w:rsidRPr="00BF42B7">
        <w:rPr>
          <w:lang w:val="en-GB"/>
        </w:rPr>
        <w:t>(</w:t>
      </w:r>
      <w:r w:rsidRPr="00BF42B7">
        <w:rPr>
          <w:lang w:val="en-GB"/>
        </w:rPr>
        <w:t>法律确信</w:t>
      </w:r>
      <w:r w:rsidRPr="00BF42B7">
        <w:rPr>
          <w:lang w:val="en-GB"/>
        </w:rPr>
        <w:t>)</w:t>
      </w:r>
      <w:r w:rsidRPr="00BF42B7">
        <w:rPr>
          <w:lang w:val="en-GB"/>
        </w:rPr>
        <w:t>的一般惯例，从而产生了一项新的习惯国际法规则</w:t>
      </w:r>
      <w:r w:rsidRPr="00BF42B7">
        <w:rPr>
          <w:rFonts w:hint="eastAsia"/>
        </w:rPr>
        <w:t>。</w:t>
      </w:r>
    </w:p>
    <w:p w:rsidR="00790CCC" w:rsidRPr="00BF42B7" w:rsidRDefault="00790CCC" w:rsidP="00790CCC">
      <w:pPr>
        <w:pStyle w:val="SingleTxtGC"/>
        <w:ind w:left="1554"/>
      </w:pPr>
      <w:r w:rsidRPr="00BF42B7">
        <w:t>2.</w:t>
      </w:r>
      <w:r w:rsidRPr="00BF42B7">
        <w:rPr>
          <w:rFonts w:hint="eastAsia"/>
        </w:rPr>
        <w:t xml:space="preserve">  </w:t>
      </w:r>
      <w:r w:rsidRPr="00BF42B7">
        <w:rPr>
          <w:lang w:val="en-GB"/>
        </w:rPr>
        <w:t>一项规则在多项条约中出现，可能</w:t>
      </w:r>
      <w:r w:rsidRPr="00BF42B7">
        <w:rPr>
          <w:rFonts w:hint="eastAsia"/>
          <w:lang w:val="en-GB"/>
        </w:rPr>
        <w:t>但并不一定</w:t>
      </w:r>
      <w:r w:rsidRPr="00BF42B7">
        <w:rPr>
          <w:lang w:val="en-GB"/>
        </w:rPr>
        <w:t>表明该条约规则</w:t>
      </w:r>
      <w:r w:rsidRPr="00BF42B7">
        <w:rPr>
          <w:rFonts w:hint="eastAsia"/>
          <w:lang w:val="en-GB"/>
        </w:rPr>
        <w:t>反映了</w:t>
      </w:r>
      <w:r w:rsidRPr="00BF42B7">
        <w:rPr>
          <w:lang w:val="en-GB"/>
        </w:rPr>
        <w:t>一项习惯国际法规则</w:t>
      </w:r>
      <w:r w:rsidRPr="00BF42B7">
        <w:rPr>
          <w:rFonts w:hint="eastAsia"/>
        </w:rPr>
        <w:t>。</w:t>
      </w:r>
    </w:p>
    <w:p w:rsidR="00790CCC" w:rsidRPr="00BF42B7" w:rsidRDefault="00421513" w:rsidP="00421513">
      <w:pPr>
        <w:pStyle w:val="H23GC"/>
        <w:ind w:left="1554"/>
        <w:rPr>
          <w:rFonts w:ascii="Time New Roman" w:hAnsi="Time New Roman" w:hint="eastAsia"/>
        </w:rPr>
      </w:pPr>
      <w:r>
        <w:rPr>
          <w:rFonts w:ascii="Time New Roman" w:hAnsi="Time New Roman" w:hint="eastAsia"/>
        </w:rPr>
        <w:tab/>
      </w:r>
      <w:r>
        <w:rPr>
          <w:rFonts w:ascii="Time New Roman" w:hAnsi="Time New Roman" w:hint="eastAsia"/>
        </w:rPr>
        <w:tab/>
      </w:r>
      <w:r w:rsidR="00790CCC" w:rsidRPr="00BF42B7">
        <w:rPr>
          <w:rFonts w:ascii="Time New Roman" w:hAnsi="Time New Roman" w:hint="eastAsia"/>
        </w:rPr>
        <w:t>结论</w:t>
      </w:r>
      <w:r w:rsidR="00790CCC" w:rsidRPr="00BF42B7">
        <w:rPr>
          <w:rFonts w:ascii="Time New Roman" w:hAnsi="Time New Roman"/>
        </w:rPr>
        <w:t>12</w:t>
      </w:r>
      <w:r w:rsidR="00790CCC" w:rsidRPr="00BF42B7">
        <w:rPr>
          <w:rFonts w:ascii="Time New Roman" w:hAnsi="Time New Roman"/>
        </w:rPr>
        <w:br/>
      </w:r>
      <w:r w:rsidR="00790CCC" w:rsidRPr="00BF42B7">
        <w:rPr>
          <w:rFonts w:ascii="Time New Roman" w:hAnsi="Time New Roman" w:hint="eastAsia"/>
        </w:rPr>
        <w:t>国际组织和政府间会议的决议</w:t>
      </w:r>
    </w:p>
    <w:p w:rsidR="00790CCC" w:rsidRPr="00BF42B7" w:rsidRDefault="00790CCC" w:rsidP="00790CCC">
      <w:pPr>
        <w:pStyle w:val="SingleTxtGC"/>
        <w:ind w:left="1554"/>
        <w:rPr>
          <w:lang w:val="en-GB"/>
        </w:rPr>
      </w:pPr>
      <w:r w:rsidRPr="00BF42B7">
        <w:rPr>
          <w:lang w:val="en-GB"/>
        </w:rPr>
        <w:t>1.</w:t>
      </w:r>
      <w:r w:rsidRPr="00BF42B7">
        <w:rPr>
          <w:rFonts w:hint="eastAsia"/>
          <w:lang w:val="en-GB"/>
        </w:rPr>
        <w:t xml:space="preserve">  </w:t>
      </w:r>
      <w:r w:rsidRPr="00BF42B7">
        <w:rPr>
          <w:rFonts w:hint="eastAsia"/>
          <w:lang w:val="en-GB"/>
        </w:rPr>
        <w:t>国际组织通过的或在政府间会议上通过的决议本身并不能创立一项习惯国际法规则。</w:t>
      </w:r>
    </w:p>
    <w:p w:rsidR="00790CCC" w:rsidRPr="00BF42B7" w:rsidRDefault="00790CCC" w:rsidP="00790CCC">
      <w:pPr>
        <w:pStyle w:val="SingleTxtGC"/>
        <w:ind w:left="1554"/>
        <w:rPr>
          <w:lang w:val="en-GB"/>
        </w:rPr>
      </w:pPr>
      <w:r w:rsidRPr="00BF42B7">
        <w:rPr>
          <w:lang w:val="en-GB"/>
        </w:rPr>
        <w:t>2.</w:t>
      </w:r>
      <w:r w:rsidRPr="00BF42B7">
        <w:rPr>
          <w:rFonts w:hint="eastAsia"/>
          <w:lang w:val="en-GB"/>
        </w:rPr>
        <w:t xml:space="preserve">  </w:t>
      </w:r>
      <w:r w:rsidRPr="00BF42B7">
        <w:rPr>
          <w:rFonts w:hint="eastAsia"/>
          <w:lang w:val="en-GB"/>
        </w:rPr>
        <w:t>国际组织通过的或在政府间会议上通过的决议可为确定一项习惯国际法规则的存在及内容提供证据，或促进其发展。</w:t>
      </w:r>
    </w:p>
    <w:p w:rsidR="00790CCC" w:rsidRPr="00BF42B7" w:rsidRDefault="00790CCC" w:rsidP="00790CCC">
      <w:pPr>
        <w:pStyle w:val="SingleTxtGC"/>
        <w:ind w:left="1554"/>
      </w:pPr>
      <w:r w:rsidRPr="00BF42B7">
        <w:rPr>
          <w:lang w:val="en-GB"/>
        </w:rPr>
        <w:t>3.</w:t>
      </w:r>
      <w:r w:rsidRPr="00BF42B7">
        <w:rPr>
          <w:rFonts w:hint="eastAsia"/>
          <w:lang w:val="en-GB"/>
        </w:rPr>
        <w:t xml:space="preserve">  </w:t>
      </w:r>
      <w:r w:rsidRPr="00BF42B7">
        <w:rPr>
          <w:rFonts w:hint="eastAsia"/>
          <w:lang w:val="en-GB"/>
        </w:rPr>
        <w:t>如果能够确定国际组织通过的或在政府间会议上通过的决议中的某项规定与一项被接受为法律</w:t>
      </w:r>
      <w:r w:rsidRPr="00BF42B7">
        <w:rPr>
          <w:lang w:val="en-GB"/>
        </w:rPr>
        <w:t>(</w:t>
      </w:r>
      <w:r w:rsidRPr="00BF42B7">
        <w:rPr>
          <w:rFonts w:hint="eastAsia"/>
          <w:lang w:val="en-GB"/>
        </w:rPr>
        <w:t>法律确信</w:t>
      </w:r>
      <w:r w:rsidRPr="00BF42B7">
        <w:rPr>
          <w:lang w:val="en-GB"/>
        </w:rPr>
        <w:t>)</w:t>
      </w:r>
      <w:r w:rsidRPr="00BF42B7">
        <w:rPr>
          <w:rFonts w:hint="eastAsia"/>
          <w:lang w:val="en-GB"/>
        </w:rPr>
        <w:t>的一般惯例相一致，则该规定可反映一项习惯国际法规则</w:t>
      </w:r>
      <w:r w:rsidRPr="00BF42B7">
        <w:rPr>
          <w:rFonts w:hint="eastAsia"/>
        </w:rPr>
        <w:t>。</w:t>
      </w:r>
    </w:p>
    <w:p w:rsidR="00790CCC" w:rsidRPr="00BF42B7" w:rsidRDefault="00421513" w:rsidP="00421513">
      <w:pPr>
        <w:pStyle w:val="H23GC"/>
        <w:ind w:left="1554"/>
        <w:rPr>
          <w:rFonts w:ascii="Time New Roman" w:hAnsi="Time New Roman" w:hint="eastAsia"/>
        </w:rPr>
      </w:pPr>
      <w:r>
        <w:rPr>
          <w:rFonts w:ascii="Time New Roman" w:hAnsi="Time New Roman" w:hint="eastAsia"/>
        </w:rPr>
        <w:tab/>
      </w:r>
      <w:r>
        <w:rPr>
          <w:rFonts w:ascii="Time New Roman" w:hAnsi="Time New Roman" w:hint="eastAsia"/>
        </w:rPr>
        <w:tab/>
      </w:r>
      <w:r w:rsidR="00790CCC" w:rsidRPr="00BF42B7">
        <w:rPr>
          <w:rFonts w:ascii="Time New Roman" w:hAnsi="Time New Roman" w:hint="eastAsia"/>
        </w:rPr>
        <w:t>结论</w:t>
      </w:r>
      <w:r w:rsidR="00790CCC" w:rsidRPr="00BF42B7">
        <w:rPr>
          <w:rFonts w:ascii="Time New Roman" w:hAnsi="Time New Roman"/>
        </w:rPr>
        <w:t>13</w:t>
      </w:r>
      <w:r w:rsidR="00790CCC" w:rsidRPr="00BF42B7">
        <w:rPr>
          <w:rFonts w:ascii="Time New Roman" w:hAnsi="Time New Roman"/>
        </w:rPr>
        <w:br/>
      </w:r>
      <w:r w:rsidR="00790CCC" w:rsidRPr="00BF42B7">
        <w:rPr>
          <w:rFonts w:ascii="Time New Roman" w:hAnsi="Time New Roman" w:hint="eastAsia"/>
        </w:rPr>
        <w:t>法院和</w:t>
      </w:r>
      <w:r w:rsidR="00790CCC" w:rsidRPr="00421513">
        <w:rPr>
          <w:rFonts w:hint="eastAsia"/>
        </w:rPr>
        <w:t>法庭</w:t>
      </w:r>
      <w:r w:rsidR="00790CCC" w:rsidRPr="00BF42B7">
        <w:rPr>
          <w:rFonts w:ascii="Time New Roman" w:hAnsi="Time New Roman" w:hint="eastAsia"/>
        </w:rPr>
        <w:t>的判决</w:t>
      </w:r>
    </w:p>
    <w:p w:rsidR="00790CCC" w:rsidRPr="00BF42B7" w:rsidRDefault="00790CCC" w:rsidP="00790CCC">
      <w:pPr>
        <w:pStyle w:val="SingleTxtGC"/>
        <w:ind w:left="1554"/>
        <w:rPr>
          <w:lang w:val="en-GB"/>
        </w:rPr>
      </w:pPr>
      <w:r w:rsidRPr="00BF42B7">
        <w:rPr>
          <w:lang w:val="en-GB"/>
        </w:rPr>
        <w:t>1.</w:t>
      </w:r>
      <w:r w:rsidRPr="00BF42B7">
        <w:rPr>
          <w:rFonts w:hint="eastAsia"/>
          <w:lang w:val="en-GB"/>
        </w:rPr>
        <w:t xml:space="preserve">  </w:t>
      </w:r>
      <w:r w:rsidRPr="00BF42B7">
        <w:rPr>
          <w:rFonts w:hint="eastAsia"/>
          <w:lang w:val="en-GB"/>
        </w:rPr>
        <w:t>国际性法院和法庭特别是国际法院涉及习惯国际法规则的存在及内容的判决，是确定此类规则的辅助手段。</w:t>
      </w:r>
    </w:p>
    <w:p w:rsidR="00790CCC" w:rsidRPr="00BF42B7" w:rsidRDefault="00790CCC" w:rsidP="00790CCC">
      <w:pPr>
        <w:pStyle w:val="SingleTxtGC"/>
        <w:ind w:left="1554"/>
      </w:pPr>
      <w:r w:rsidRPr="00BF42B7">
        <w:rPr>
          <w:lang w:val="en-GB"/>
        </w:rPr>
        <w:t>2.</w:t>
      </w:r>
      <w:r w:rsidRPr="00BF42B7">
        <w:rPr>
          <w:rFonts w:hint="eastAsia"/>
          <w:lang w:val="en-GB"/>
        </w:rPr>
        <w:t xml:space="preserve">  </w:t>
      </w:r>
      <w:r w:rsidRPr="00BF42B7">
        <w:rPr>
          <w:rFonts w:hint="eastAsia"/>
          <w:lang w:val="en-GB"/>
        </w:rPr>
        <w:t>也可酌情考虑将各国法院涉及习惯国际法规则的存在及内容的判决用作确定此类规则的辅助手段</w:t>
      </w:r>
      <w:r w:rsidRPr="00BF42B7">
        <w:rPr>
          <w:rFonts w:hint="eastAsia"/>
        </w:rPr>
        <w:t>。</w:t>
      </w:r>
    </w:p>
    <w:p w:rsidR="00790CCC" w:rsidRPr="00BF42B7" w:rsidRDefault="00421513" w:rsidP="00421513">
      <w:pPr>
        <w:pStyle w:val="H23GC"/>
        <w:ind w:left="1554"/>
        <w:rPr>
          <w:rFonts w:ascii="Time New Roman" w:hAnsi="Time New Roman" w:hint="eastAsia"/>
        </w:rPr>
      </w:pPr>
      <w:r>
        <w:rPr>
          <w:rFonts w:ascii="Time New Roman" w:hAnsi="Time New Roman" w:hint="eastAsia"/>
        </w:rPr>
        <w:tab/>
      </w:r>
      <w:r>
        <w:rPr>
          <w:rFonts w:ascii="Time New Roman" w:hAnsi="Time New Roman" w:hint="eastAsia"/>
        </w:rPr>
        <w:tab/>
      </w:r>
      <w:r w:rsidR="00790CCC" w:rsidRPr="00BF42B7">
        <w:rPr>
          <w:rFonts w:ascii="Time New Roman" w:hAnsi="Time New Roman" w:hint="eastAsia"/>
        </w:rPr>
        <w:t>结论</w:t>
      </w:r>
      <w:r w:rsidR="00790CCC" w:rsidRPr="00BF42B7">
        <w:rPr>
          <w:rFonts w:ascii="Time New Roman" w:hAnsi="Time New Roman"/>
        </w:rPr>
        <w:t>14</w:t>
      </w:r>
      <w:r w:rsidR="00790CCC" w:rsidRPr="00BF42B7">
        <w:rPr>
          <w:rFonts w:ascii="Time New Roman" w:hAnsi="Time New Roman"/>
        </w:rPr>
        <w:br/>
      </w:r>
      <w:r w:rsidR="00790CCC" w:rsidRPr="00BF42B7">
        <w:rPr>
          <w:rFonts w:ascii="Time New Roman" w:hAnsi="Time New Roman" w:hint="eastAsia"/>
        </w:rPr>
        <w:t>学说</w:t>
      </w:r>
    </w:p>
    <w:p w:rsidR="00790CCC" w:rsidRPr="00BF42B7" w:rsidRDefault="00790CCC" w:rsidP="00790CCC">
      <w:pPr>
        <w:pStyle w:val="SingleTxtGC"/>
        <w:tabs>
          <w:tab w:val="clear" w:pos="431"/>
          <w:tab w:val="clear" w:pos="1134"/>
          <w:tab w:val="clear" w:pos="1565"/>
        </w:tabs>
        <w:ind w:left="1554"/>
      </w:pPr>
      <w:r w:rsidRPr="00BF42B7">
        <w:tab/>
      </w:r>
      <w:r w:rsidRPr="00BF42B7">
        <w:rPr>
          <w:rFonts w:hint="eastAsia"/>
          <w:lang w:val="en-GB"/>
        </w:rPr>
        <w:t>各国最权威的国际法专家的学说可用作确定习惯国际法规则的辅助手段</w:t>
      </w:r>
      <w:r w:rsidRPr="00BF42B7">
        <w:rPr>
          <w:rFonts w:hint="eastAsia"/>
        </w:rPr>
        <w:t>。</w:t>
      </w:r>
    </w:p>
    <w:p w:rsidR="00790CCC" w:rsidRPr="00BF42B7" w:rsidRDefault="00421513" w:rsidP="00421513">
      <w:pPr>
        <w:pStyle w:val="H23GC"/>
        <w:ind w:left="1554"/>
        <w:rPr>
          <w:rFonts w:ascii="Time New Roman" w:hAnsi="Time New Roman" w:hint="eastAsia"/>
          <w:b/>
          <w:lang w:val="fr-FR"/>
        </w:rPr>
      </w:pPr>
      <w:r>
        <w:rPr>
          <w:rFonts w:ascii="Time New Roman" w:hAnsi="Time New Roman" w:hint="eastAsia"/>
          <w:lang w:val="fr-FR"/>
        </w:rPr>
        <w:tab/>
      </w:r>
      <w:r>
        <w:rPr>
          <w:rFonts w:ascii="Time New Roman" w:hAnsi="Time New Roman" w:hint="eastAsia"/>
          <w:lang w:val="fr-FR"/>
        </w:rPr>
        <w:tab/>
      </w:r>
      <w:r w:rsidR="00790CCC" w:rsidRPr="00BF42B7">
        <w:rPr>
          <w:rFonts w:ascii="Time New Roman" w:hAnsi="Time New Roman" w:hint="eastAsia"/>
          <w:lang w:val="fr-FR"/>
        </w:rPr>
        <w:t>第六部分</w:t>
      </w:r>
      <w:r w:rsidR="00790CCC" w:rsidRPr="00BF42B7">
        <w:rPr>
          <w:rFonts w:ascii="Time New Roman" w:hAnsi="Time New Roman"/>
          <w:lang w:val="fr-FR"/>
        </w:rPr>
        <w:br/>
      </w:r>
      <w:r w:rsidR="00790CCC" w:rsidRPr="00BF42B7">
        <w:rPr>
          <w:rFonts w:ascii="Time New Roman" w:hAnsi="Time New Roman" w:hint="eastAsia"/>
          <w:lang w:val="fr-FR"/>
        </w:rPr>
        <w:t>一贯反对者</w:t>
      </w:r>
    </w:p>
    <w:p w:rsidR="00790CCC" w:rsidRPr="00BF42B7" w:rsidRDefault="00421513" w:rsidP="00421513">
      <w:pPr>
        <w:pStyle w:val="H23GC"/>
        <w:ind w:left="1554"/>
        <w:rPr>
          <w:rFonts w:ascii="Time New Roman" w:hAnsi="Time New Roman" w:hint="eastAsia"/>
        </w:rPr>
      </w:pPr>
      <w:r>
        <w:rPr>
          <w:rFonts w:ascii="Time New Roman" w:hAnsi="Time New Roman" w:hint="eastAsia"/>
          <w:bCs/>
        </w:rPr>
        <w:tab/>
      </w:r>
      <w:r>
        <w:rPr>
          <w:rFonts w:ascii="Time New Roman" w:hAnsi="Time New Roman" w:hint="eastAsia"/>
          <w:bCs/>
        </w:rPr>
        <w:tab/>
      </w:r>
      <w:r w:rsidR="00790CCC" w:rsidRPr="00BF42B7">
        <w:rPr>
          <w:rFonts w:ascii="Time New Roman" w:hAnsi="Time New Roman" w:hint="eastAsia"/>
          <w:bCs/>
        </w:rPr>
        <w:t>结论</w:t>
      </w:r>
      <w:r w:rsidR="00790CCC" w:rsidRPr="00421513">
        <w:t>15</w:t>
      </w:r>
      <w:r w:rsidR="00790CCC" w:rsidRPr="00BF42B7">
        <w:rPr>
          <w:rFonts w:ascii="Time New Roman" w:hAnsi="Time New Roman"/>
          <w:b/>
        </w:rPr>
        <w:br/>
      </w:r>
      <w:r w:rsidR="00790CCC" w:rsidRPr="00BF42B7">
        <w:rPr>
          <w:rFonts w:ascii="Time New Roman" w:hAnsi="Time New Roman" w:hint="eastAsia"/>
        </w:rPr>
        <w:t>一贯反对者</w:t>
      </w:r>
    </w:p>
    <w:p w:rsidR="00790CCC" w:rsidRPr="00BF42B7" w:rsidRDefault="00790CCC" w:rsidP="00790CCC">
      <w:pPr>
        <w:pStyle w:val="SingleTxtGC"/>
        <w:ind w:left="1554"/>
        <w:rPr>
          <w:lang w:val="en-GB"/>
        </w:rPr>
      </w:pPr>
      <w:r w:rsidRPr="00BF42B7">
        <w:rPr>
          <w:lang w:val="en-GB"/>
        </w:rPr>
        <w:t>1.</w:t>
      </w:r>
      <w:r w:rsidRPr="00BF42B7">
        <w:rPr>
          <w:rFonts w:hint="eastAsia"/>
          <w:lang w:val="en-GB"/>
        </w:rPr>
        <w:t xml:space="preserve">  </w:t>
      </w:r>
      <w:r w:rsidRPr="00BF42B7">
        <w:rPr>
          <w:rFonts w:hint="eastAsia"/>
          <w:lang w:val="en-GB"/>
        </w:rPr>
        <w:t>如果一国在一项习惯国际法规则的形成过程中对其表示反对，只要该国坚持其反对立场，则该规则不可施用于该国。</w:t>
      </w:r>
    </w:p>
    <w:p w:rsidR="00790CCC" w:rsidRPr="00BF42B7" w:rsidRDefault="00790CCC" w:rsidP="00790CCC">
      <w:pPr>
        <w:pStyle w:val="SingleTxtGC"/>
        <w:ind w:left="1554"/>
        <w:rPr>
          <w:lang w:val="fr-FR"/>
        </w:rPr>
      </w:pPr>
      <w:r w:rsidRPr="00BF42B7">
        <w:rPr>
          <w:rFonts w:hint="eastAsia"/>
          <w:lang w:val="en-GB"/>
        </w:rPr>
        <w:t xml:space="preserve">2.  </w:t>
      </w:r>
      <w:r w:rsidRPr="00BF42B7">
        <w:rPr>
          <w:rFonts w:hint="eastAsia"/>
          <w:lang w:val="fr-FR"/>
        </w:rPr>
        <w:t>反对立场必须明确表示，向其他国家公开，并始终坚持。</w:t>
      </w:r>
    </w:p>
    <w:p w:rsidR="00790CCC" w:rsidRPr="00BF42B7" w:rsidRDefault="00421513" w:rsidP="00421513">
      <w:pPr>
        <w:pStyle w:val="H23GC"/>
        <w:ind w:left="1554"/>
        <w:rPr>
          <w:rFonts w:ascii="Time New Roman" w:hAnsi="Time New Roman" w:hint="eastAsia"/>
          <w:b/>
        </w:rPr>
      </w:pPr>
      <w:r>
        <w:rPr>
          <w:rFonts w:ascii="Time New Roman" w:hAnsi="Time New Roman" w:hint="eastAsia"/>
        </w:rPr>
        <w:tab/>
      </w:r>
      <w:r>
        <w:rPr>
          <w:rFonts w:ascii="Time New Roman" w:hAnsi="Time New Roman" w:hint="eastAsia"/>
        </w:rPr>
        <w:tab/>
      </w:r>
      <w:r w:rsidR="00790CCC" w:rsidRPr="00BF42B7">
        <w:rPr>
          <w:rFonts w:ascii="Time New Roman" w:hAnsi="Time New Roman" w:hint="eastAsia"/>
        </w:rPr>
        <w:t>第七</w:t>
      </w:r>
      <w:r w:rsidR="00790CCC" w:rsidRPr="00421513">
        <w:rPr>
          <w:rFonts w:hint="eastAsia"/>
        </w:rPr>
        <w:t>部分</w:t>
      </w:r>
      <w:r w:rsidR="00790CCC" w:rsidRPr="00BF42B7">
        <w:rPr>
          <w:rFonts w:ascii="Time New Roman" w:hAnsi="Time New Roman"/>
        </w:rPr>
        <w:br/>
      </w:r>
      <w:r w:rsidR="00790CCC" w:rsidRPr="00BF42B7">
        <w:rPr>
          <w:rFonts w:ascii="Time New Roman" w:hAnsi="Time New Roman" w:hint="eastAsia"/>
        </w:rPr>
        <w:t>特别习惯国际法</w:t>
      </w:r>
    </w:p>
    <w:p w:rsidR="00790CCC" w:rsidRPr="00BF42B7" w:rsidRDefault="00421513" w:rsidP="00421513">
      <w:pPr>
        <w:pStyle w:val="H23GC"/>
        <w:ind w:left="1554"/>
        <w:rPr>
          <w:rFonts w:ascii="Time New Roman" w:hAnsi="Time New Roman" w:hint="eastAsia"/>
        </w:rPr>
      </w:pPr>
      <w:r>
        <w:rPr>
          <w:rFonts w:ascii="Time New Roman" w:hAnsi="Time New Roman" w:hint="eastAsia"/>
        </w:rPr>
        <w:tab/>
      </w:r>
      <w:r>
        <w:rPr>
          <w:rFonts w:ascii="Time New Roman" w:hAnsi="Time New Roman" w:hint="eastAsia"/>
        </w:rPr>
        <w:tab/>
      </w:r>
      <w:r w:rsidR="00790CCC" w:rsidRPr="00BF42B7">
        <w:rPr>
          <w:rFonts w:ascii="Time New Roman" w:hAnsi="Time New Roman" w:hint="eastAsia"/>
        </w:rPr>
        <w:t>结论</w:t>
      </w:r>
      <w:r w:rsidR="00790CCC" w:rsidRPr="00BF42B7">
        <w:rPr>
          <w:rFonts w:ascii="Time New Roman" w:hAnsi="Time New Roman"/>
        </w:rPr>
        <w:t>16</w:t>
      </w:r>
      <w:r w:rsidR="00790CCC" w:rsidRPr="00BF42B7">
        <w:rPr>
          <w:rFonts w:ascii="Time New Roman" w:hAnsi="Time New Roman"/>
        </w:rPr>
        <w:br/>
      </w:r>
      <w:r w:rsidR="00790CCC" w:rsidRPr="00BF42B7">
        <w:rPr>
          <w:rFonts w:ascii="Time New Roman" w:hAnsi="Time New Roman" w:hint="eastAsia"/>
        </w:rPr>
        <w:t>特别</w:t>
      </w:r>
      <w:r w:rsidR="00790CCC" w:rsidRPr="00421513">
        <w:rPr>
          <w:rFonts w:hint="eastAsia"/>
        </w:rPr>
        <w:t>习惯</w:t>
      </w:r>
      <w:r w:rsidR="00790CCC" w:rsidRPr="00BF42B7">
        <w:rPr>
          <w:rFonts w:ascii="Time New Roman" w:hAnsi="Time New Roman" w:hint="eastAsia"/>
        </w:rPr>
        <w:t>国际法</w:t>
      </w:r>
    </w:p>
    <w:p w:rsidR="00790CCC" w:rsidRPr="00BF42B7" w:rsidRDefault="00790CCC" w:rsidP="00790CCC">
      <w:pPr>
        <w:pStyle w:val="SingleTxtGC"/>
        <w:ind w:left="1554"/>
        <w:rPr>
          <w:lang w:val="en-GB"/>
        </w:rPr>
      </w:pPr>
      <w:r w:rsidRPr="00BF42B7">
        <w:rPr>
          <w:lang w:val="en-GB"/>
        </w:rPr>
        <w:t>1.</w:t>
      </w:r>
      <w:r w:rsidRPr="00BF42B7">
        <w:rPr>
          <w:rFonts w:hint="eastAsia"/>
          <w:lang w:val="en-GB"/>
        </w:rPr>
        <w:t xml:space="preserve">  </w:t>
      </w:r>
      <w:r w:rsidRPr="00BF42B7">
        <w:rPr>
          <w:rFonts w:hint="eastAsia"/>
          <w:lang w:val="en-GB"/>
        </w:rPr>
        <w:t>特别习惯国际法规则，不论是区域的、地方的还是其他层面的，都是仅在数量有限的国家之间适用的习惯国际法规则。</w:t>
      </w:r>
    </w:p>
    <w:p w:rsidR="00790CCC" w:rsidRPr="00BF42B7" w:rsidRDefault="00790CCC" w:rsidP="00790CCC">
      <w:pPr>
        <w:pStyle w:val="SingleTxtGC"/>
        <w:ind w:left="1554"/>
      </w:pPr>
      <w:r w:rsidRPr="00BF42B7">
        <w:rPr>
          <w:rFonts w:hint="eastAsia"/>
          <w:lang w:val="en-GB"/>
        </w:rPr>
        <w:t xml:space="preserve">2.  </w:t>
      </w:r>
      <w:r w:rsidRPr="00BF42B7">
        <w:rPr>
          <w:rFonts w:hint="eastAsia"/>
        </w:rPr>
        <w:t>要确定一项特别习惯国际法规则的存在及内容，必须查明有关国家之间是否存在一项被接受为法律</w:t>
      </w:r>
      <w:r w:rsidRPr="00BF42B7">
        <w:t>(</w:t>
      </w:r>
      <w:r w:rsidRPr="00BF42B7">
        <w:rPr>
          <w:rFonts w:hint="eastAsia"/>
        </w:rPr>
        <w:t>法律确信</w:t>
      </w:r>
      <w:r w:rsidRPr="00BF42B7">
        <w:t>)</w:t>
      </w:r>
      <w:r w:rsidRPr="00BF42B7">
        <w:rPr>
          <w:rFonts w:hint="eastAsia"/>
        </w:rPr>
        <w:t>的一般惯例。</w:t>
      </w:r>
    </w:p>
    <w:p w:rsidR="00790CCC" w:rsidRPr="00BF42B7" w:rsidRDefault="00790CCC" w:rsidP="00790CCC">
      <w:pPr>
        <w:pStyle w:val="H23GC"/>
      </w:pPr>
      <w:r w:rsidRPr="00BF42B7">
        <w:rPr>
          <w:rFonts w:hint="eastAsia"/>
          <w:b/>
          <w:bCs/>
        </w:rPr>
        <w:tab/>
      </w:r>
      <w:r w:rsidRPr="00BF42B7">
        <w:t>2.</w:t>
      </w:r>
      <w:r w:rsidRPr="00BF42B7">
        <w:tab/>
      </w:r>
      <w:r w:rsidRPr="00BF42B7">
        <w:rPr>
          <w:rFonts w:hint="eastAsia"/>
        </w:rPr>
        <w:t>结论草案案文及其评注</w:t>
      </w:r>
    </w:p>
    <w:p w:rsidR="00790CCC" w:rsidRPr="00BF42B7" w:rsidRDefault="00790CCC" w:rsidP="00790CCC">
      <w:pPr>
        <w:pStyle w:val="SingleTxtGC"/>
      </w:pPr>
      <w:r w:rsidRPr="00BF42B7">
        <w:rPr>
          <w:rFonts w:hint="eastAsia"/>
        </w:rPr>
        <w:t xml:space="preserve">63.  </w:t>
      </w:r>
      <w:r w:rsidRPr="00BF42B7">
        <w:rPr>
          <w:rFonts w:hint="eastAsia"/>
        </w:rPr>
        <w:t>委员会第六十八届会议一读通过的结论草案案文及其评注载录如下。</w:t>
      </w:r>
    </w:p>
    <w:p w:rsidR="00790CCC" w:rsidRPr="00BF42B7" w:rsidRDefault="00790CCC" w:rsidP="00790CCC">
      <w:pPr>
        <w:pStyle w:val="H23GC"/>
      </w:pPr>
      <w:r w:rsidRPr="00BF42B7">
        <w:rPr>
          <w:rFonts w:hint="eastAsia"/>
        </w:rPr>
        <w:tab/>
      </w:r>
      <w:r w:rsidRPr="00BF42B7">
        <w:rPr>
          <w:rFonts w:hint="eastAsia"/>
        </w:rPr>
        <w:tab/>
      </w:r>
      <w:r w:rsidRPr="00BF42B7">
        <w:rPr>
          <w:rFonts w:hint="eastAsia"/>
        </w:rPr>
        <w:t>习惯国际法的识别</w:t>
      </w:r>
    </w:p>
    <w:p w:rsidR="00790CCC" w:rsidRPr="00BF42B7" w:rsidRDefault="00790CCC" w:rsidP="00790CCC">
      <w:pPr>
        <w:pStyle w:val="H23GC"/>
        <w:rPr>
          <w:rFonts w:eastAsia="Calibri"/>
          <w:b/>
        </w:rPr>
      </w:pPr>
      <w:r w:rsidRPr="00BF42B7">
        <w:rPr>
          <w:rFonts w:hint="eastAsia"/>
        </w:rPr>
        <w:tab/>
      </w:r>
      <w:r w:rsidRPr="00BF42B7">
        <w:rPr>
          <w:rFonts w:hint="eastAsia"/>
        </w:rPr>
        <w:tab/>
      </w:r>
      <w:r w:rsidR="008B3302">
        <w:rPr>
          <w:rFonts w:hint="eastAsia"/>
        </w:rPr>
        <w:t>总</w:t>
      </w:r>
      <w:r w:rsidRPr="00BF42B7">
        <w:rPr>
          <w:rFonts w:hint="eastAsia"/>
        </w:rPr>
        <w:t>评注</w:t>
      </w:r>
    </w:p>
    <w:p w:rsidR="00790CCC" w:rsidRPr="00BF42B7" w:rsidRDefault="00790CCC" w:rsidP="00790CCC">
      <w:pPr>
        <w:pStyle w:val="SingleTxtGC"/>
        <w:rPr>
          <w:szCs w:val="21"/>
        </w:rPr>
      </w:pPr>
      <w:r w:rsidRPr="00BF42B7">
        <w:rPr>
          <w:rFonts w:eastAsia="Calibri"/>
          <w:szCs w:val="21"/>
        </w:rPr>
        <w:t>(1)</w:t>
      </w:r>
      <w:r w:rsidRPr="00BF42B7">
        <w:rPr>
          <w:rFonts w:eastAsiaTheme="minorEastAsia" w:hint="eastAsia"/>
          <w:szCs w:val="21"/>
        </w:rPr>
        <w:t xml:space="preserve">  </w:t>
      </w:r>
      <w:r w:rsidRPr="00BF42B7">
        <w:rPr>
          <w:rFonts w:hint="eastAsia"/>
          <w:szCs w:val="21"/>
        </w:rPr>
        <w:t>本结论草案论及习惯国际法规则的识别方法。</w:t>
      </w:r>
      <w:r w:rsidRPr="00BF42B7">
        <w:rPr>
          <w:color w:val="0000FF"/>
          <w:vertAlign w:val="superscript"/>
        </w:rPr>
        <w:footnoteReference w:id="246"/>
      </w:r>
      <w:r w:rsidRPr="00BF42B7">
        <w:rPr>
          <w:rFonts w:eastAsia="Calibri"/>
          <w:szCs w:val="21"/>
        </w:rPr>
        <w:t xml:space="preserve"> </w:t>
      </w:r>
      <w:r w:rsidRPr="00BF42B7">
        <w:rPr>
          <w:rFonts w:hint="eastAsia"/>
          <w:szCs w:val="21"/>
        </w:rPr>
        <w:t>这些草案试图就确定习惯国际法规则的存在</w:t>
      </w:r>
      <w:r w:rsidRPr="00BF42B7">
        <w:rPr>
          <w:rFonts w:hint="eastAsia"/>
          <w:szCs w:val="21"/>
        </w:rPr>
        <w:t>(</w:t>
      </w:r>
      <w:r w:rsidRPr="00BF42B7">
        <w:rPr>
          <w:rFonts w:hint="eastAsia"/>
          <w:szCs w:val="21"/>
        </w:rPr>
        <w:t>或不存在</w:t>
      </w:r>
      <w:r w:rsidRPr="00BF42B7">
        <w:rPr>
          <w:rFonts w:hint="eastAsia"/>
          <w:szCs w:val="21"/>
        </w:rPr>
        <w:t>)</w:t>
      </w:r>
      <w:r w:rsidRPr="00BF42B7">
        <w:rPr>
          <w:rFonts w:hint="eastAsia"/>
          <w:szCs w:val="21"/>
        </w:rPr>
        <w:t>及内容的方法提供实际指导。这一事项不仅令国际公法专家们关注；其他人员，包括参与国内法院工作的人员，也越来越多地被要求适用习惯国际法或就习惯国际法提供咨询意见。每当此时，就需要开展条理清楚且细致的法律分析，以确保妥善识别习惯国际法规则，从而提高具体判定的可信度。</w:t>
      </w:r>
    </w:p>
    <w:p w:rsidR="00790CCC" w:rsidRPr="00BF42B7" w:rsidRDefault="00790CCC" w:rsidP="00790CCC">
      <w:pPr>
        <w:pStyle w:val="SingleTxtGC"/>
        <w:rPr>
          <w:szCs w:val="21"/>
        </w:rPr>
      </w:pPr>
      <w:r w:rsidRPr="00BF42B7">
        <w:rPr>
          <w:rFonts w:eastAsia="Calibri"/>
          <w:szCs w:val="21"/>
        </w:rPr>
        <w:t>(2)</w:t>
      </w:r>
      <w:bookmarkStart w:id="57" w:name="_Ref453666521"/>
      <w:r w:rsidRPr="00BF42B7">
        <w:rPr>
          <w:rFonts w:eastAsiaTheme="minorEastAsia" w:hint="eastAsia"/>
          <w:szCs w:val="21"/>
        </w:rPr>
        <w:t xml:space="preserve">  </w:t>
      </w:r>
      <w:r w:rsidRPr="00BF42B7">
        <w:rPr>
          <w:rFonts w:hint="eastAsia"/>
          <w:szCs w:val="21"/>
        </w:rPr>
        <w:t>习惯国际法仍然是国际公法的重要渊源。</w:t>
      </w:r>
      <w:bookmarkStart w:id="58" w:name="_Ref461975037"/>
      <w:r w:rsidRPr="00BF42B7">
        <w:rPr>
          <w:rFonts w:eastAsia="Calibri"/>
          <w:color w:val="0000FF"/>
          <w:szCs w:val="21"/>
          <w:vertAlign w:val="superscript"/>
        </w:rPr>
        <w:footnoteReference w:id="247"/>
      </w:r>
      <w:bookmarkEnd w:id="57"/>
      <w:bookmarkEnd w:id="58"/>
      <w:r w:rsidRPr="00BF42B7">
        <w:rPr>
          <w:rFonts w:eastAsia="Calibri"/>
          <w:szCs w:val="21"/>
        </w:rPr>
        <w:t xml:space="preserve"> </w:t>
      </w:r>
      <w:r w:rsidRPr="00BF42B7">
        <w:rPr>
          <w:rFonts w:hint="eastAsia"/>
          <w:szCs w:val="21"/>
        </w:rPr>
        <w:t>在国际法律体系中，这种源自被接受为法律的惯例的不成文法可以成为国际法主体规范其行为的有效手段，而且国家和其他方面也确实常常援引这种法律。另外，习惯国际法也是《国际法院规约》第三十八条第一款所列的国际法渊源之一，《规约》该款</w:t>
      </w:r>
      <w:r w:rsidRPr="00BF42B7">
        <w:rPr>
          <w:rFonts w:hint="eastAsia"/>
          <w:szCs w:val="21"/>
        </w:rPr>
        <w:t>(</w:t>
      </w:r>
      <w:r w:rsidRPr="00BF42B7">
        <w:rPr>
          <w:rFonts w:hint="eastAsia"/>
          <w:szCs w:val="21"/>
        </w:rPr>
        <w:t>丑</w:t>
      </w:r>
      <w:r w:rsidRPr="00BF42B7">
        <w:rPr>
          <w:rFonts w:hint="eastAsia"/>
          <w:szCs w:val="21"/>
        </w:rPr>
        <w:t>)</w:t>
      </w:r>
      <w:r w:rsidRPr="00BF42B7">
        <w:rPr>
          <w:rFonts w:hint="eastAsia"/>
          <w:szCs w:val="21"/>
        </w:rPr>
        <w:t>项提到了“国际习惯，作为通例之证明而经接受为法律者”。</w:t>
      </w:r>
      <w:r w:rsidRPr="00BF42B7">
        <w:rPr>
          <w:rFonts w:eastAsia="Calibri"/>
          <w:color w:val="0000FF"/>
          <w:szCs w:val="21"/>
          <w:vertAlign w:val="superscript"/>
        </w:rPr>
        <w:footnoteReference w:id="248"/>
      </w:r>
      <w:r w:rsidRPr="00BF42B7">
        <w:rPr>
          <w:rFonts w:hint="eastAsia"/>
          <w:szCs w:val="21"/>
        </w:rPr>
        <w:t xml:space="preserve"> </w:t>
      </w:r>
      <w:r w:rsidRPr="00BF42B7">
        <w:rPr>
          <w:rFonts w:hint="eastAsia"/>
          <w:szCs w:val="21"/>
        </w:rPr>
        <w:t>这一措辞反映了习惯国际法的两个构成要素：一项一般惯例，以及该惯例被接受为法律</w:t>
      </w:r>
      <w:r w:rsidRPr="00BF42B7">
        <w:rPr>
          <w:rFonts w:hint="eastAsia"/>
          <w:szCs w:val="21"/>
        </w:rPr>
        <w:t>(</w:t>
      </w:r>
      <w:r w:rsidRPr="00BF42B7">
        <w:rPr>
          <w:rFonts w:hint="eastAsia"/>
          <w:szCs w:val="21"/>
        </w:rPr>
        <w:t>又称“法律确信”</w:t>
      </w:r>
      <w:r w:rsidRPr="00BF42B7">
        <w:rPr>
          <w:rFonts w:hint="eastAsia"/>
          <w:szCs w:val="21"/>
        </w:rPr>
        <w:t>)</w:t>
      </w:r>
      <w:r w:rsidRPr="00BF42B7">
        <w:rPr>
          <w:rFonts w:hint="eastAsia"/>
          <w:szCs w:val="21"/>
        </w:rPr>
        <w:t>。</w:t>
      </w:r>
    </w:p>
    <w:p w:rsidR="00790CCC" w:rsidRPr="00BF42B7" w:rsidRDefault="00790CCC" w:rsidP="00790CCC">
      <w:pPr>
        <w:pStyle w:val="SingleTxtGC"/>
        <w:rPr>
          <w:szCs w:val="21"/>
        </w:rPr>
      </w:pPr>
      <w:r w:rsidRPr="00BF42B7">
        <w:rPr>
          <w:rFonts w:eastAsia="Calibri"/>
          <w:spacing w:val="-4"/>
          <w:szCs w:val="21"/>
        </w:rPr>
        <w:t>(3)</w:t>
      </w:r>
      <w:r w:rsidRPr="00BF42B7">
        <w:rPr>
          <w:rFonts w:eastAsiaTheme="minorEastAsia" w:hint="eastAsia"/>
          <w:spacing w:val="-4"/>
          <w:szCs w:val="21"/>
        </w:rPr>
        <w:t xml:space="preserve">  </w:t>
      </w:r>
      <w:r w:rsidRPr="00BF42B7">
        <w:rPr>
          <w:rFonts w:hint="eastAsia"/>
          <w:spacing w:val="-4"/>
          <w:szCs w:val="21"/>
        </w:rPr>
        <w:t>习惯国际法的识别这一事项有着丰富的相关材料，包括判例法和学术著作。</w:t>
      </w:r>
      <w:r w:rsidRPr="00BF42B7">
        <w:rPr>
          <w:color w:val="0000FF"/>
          <w:vertAlign w:val="superscript"/>
        </w:rPr>
        <w:footnoteReference w:id="249"/>
      </w:r>
      <w:r w:rsidRPr="00BF42B7">
        <w:rPr>
          <w:rFonts w:hint="eastAsia"/>
          <w:szCs w:val="21"/>
        </w:rPr>
        <w:t xml:space="preserve"> </w:t>
      </w:r>
      <w:r w:rsidRPr="00BF42B7">
        <w:rPr>
          <w:rFonts w:hint="eastAsia"/>
          <w:szCs w:val="21"/>
        </w:rPr>
        <w:t>结论草案反映了各国、国际性法院和法庭以及在国际组织内部采取的做法。结论草案承认，识别习惯国际法的程序并不总是能够精确地描述，草案旨在提供明确的指导，而不做出过于硬性的规定。</w:t>
      </w:r>
    </w:p>
    <w:p w:rsidR="00790CCC" w:rsidRPr="00BF42B7" w:rsidRDefault="00790CCC" w:rsidP="00790CCC">
      <w:pPr>
        <w:pStyle w:val="SingleTxtGC"/>
        <w:rPr>
          <w:szCs w:val="21"/>
        </w:rPr>
      </w:pPr>
      <w:r w:rsidRPr="00BF42B7">
        <w:rPr>
          <w:rFonts w:eastAsia="Calibri"/>
          <w:szCs w:val="21"/>
        </w:rPr>
        <w:t>(4)</w:t>
      </w:r>
      <w:r w:rsidRPr="00BF42B7">
        <w:rPr>
          <w:rFonts w:eastAsiaTheme="minorEastAsia" w:hint="eastAsia"/>
          <w:szCs w:val="21"/>
        </w:rPr>
        <w:t xml:space="preserve">  </w:t>
      </w:r>
      <w:r w:rsidRPr="00BF42B7">
        <w:rPr>
          <w:rFonts w:hint="eastAsia"/>
          <w:szCs w:val="21"/>
        </w:rPr>
        <w:t>下文所载的</w:t>
      </w:r>
      <w:r w:rsidRPr="00BF42B7">
        <w:rPr>
          <w:rFonts w:hint="eastAsia"/>
          <w:szCs w:val="21"/>
        </w:rPr>
        <w:t>16</w:t>
      </w:r>
      <w:r w:rsidRPr="00BF42B7">
        <w:rPr>
          <w:rFonts w:hint="eastAsia"/>
          <w:szCs w:val="21"/>
        </w:rPr>
        <w:t>条结论草案分为七个部分。第一部分论及范围和目的。第二部分阐述习惯国际法的基本识别方法，即“两要素”方法。第三和第四部分就习惯国际法的两个构成要素提供进一步指导，这两个构成要素也是习惯国际法的识别标准，即“一项一般惯例”和“被接受为法律”</w:t>
      </w:r>
      <w:r w:rsidRPr="00BF42B7">
        <w:rPr>
          <w:rFonts w:eastAsia="Calibri"/>
          <w:szCs w:val="21"/>
        </w:rPr>
        <w:t>(</w:t>
      </w:r>
      <w:r w:rsidRPr="00BF42B7">
        <w:rPr>
          <w:rFonts w:ascii="宋体" w:hAnsi="宋体" w:cs="宋体" w:hint="eastAsia"/>
          <w:szCs w:val="21"/>
        </w:rPr>
        <w:t>法律确信</w:t>
      </w:r>
      <w:r w:rsidRPr="00BF42B7">
        <w:rPr>
          <w:rFonts w:eastAsia="Calibri"/>
          <w:szCs w:val="21"/>
        </w:rPr>
        <w:t>)</w:t>
      </w:r>
      <w:r w:rsidRPr="00BF42B7">
        <w:rPr>
          <w:rFonts w:hint="eastAsia"/>
          <w:szCs w:val="21"/>
        </w:rPr>
        <w:t>。第五部分论及在识别习惯国际法规则时频繁援引的某些类别的材料。第六和第七部分论及两种例外情况：一贯反对者和特别习惯国际法</w:t>
      </w:r>
      <w:r w:rsidRPr="00BF42B7">
        <w:rPr>
          <w:rFonts w:hint="eastAsia"/>
          <w:szCs w:val="21"/>
        </w:rPr>
        <w:t>(</w:t>
      </w:r>
      <w:r w:rsidRPr="00BF42B7">
        <w:rPr>
          <w:rFonts w:hint="eastAsia"/>
          <w:szCs w:val="21"/>
        </w:rPr>
        <w:t>仅在数量有限的国家之间适用的习惯国际法规则</w:t>
      </w:r>
      <w:r w:rsidRPr="00BF42B7">
        <w:rPr>
          <w:rFonts w:hint="eastAsia"/>
          <w:szCs w:val="21"/>
        </w:rPr>
        <w:t>)</w:t>
      </w:r>
      <w:r w:rsidRPr="00BF42B7">
        <w:rPr>
          <w:rFonts w:hint="eastAsia"/>
          <w:szCs w:val="21"/>
        </w:rPr>
        <w:t>。</w:t>
      </w:r>
    </w:p>
    <w:p w:rsidR="00790CCC" w:rsidRPr="00BF42B7" w:rsidRDefault="00790CCC" w:rsidP="00C64929">
      <w:pPr>
        <w:pStyle w:val="H23GC"/>
        <w:ind w:left="1554"/>
      </w:pPr>
      <w:r w:rsidRPr="00BF42B7">
        <w:rPr>
          <w:rFonts w:hint="eastAsia"/>
        </w:rPr>
        <w:tab/>
      </w:r>
      <w:r w:rsidRPr="00BF42B7">
        <w:rPr>
          <w:rFonts w:hint="eastAsia"/>
        </w:rPr>
        <w:tab/>
      </w:r>
      <w:r w:rsidRPr="00BF42B7">
        <w:rPr>
          <w:rFonts w:hint="eastAsia"/>
        </w:rPr>
        <w:t>第一部分</w:t>
      </w:r>
      <w:r w:rsidRPr="00BF42B7">
        <w:br/>
      </w:r>
      <w:r w:rsidRPr="00BF42B7">
        <w:rPr>
          <w:rFonts w:hint="eastAsia"/>
        </w:rPr>
        <w:t>导言</w:t>
      </w:r>
    </w:p>
    <w:p w:rsidR="00790CCC" w:rsidRPr="00BF42B7" w:rsidRDefault="00790CCC" w:rsidP="008B3302">
      <w:pPr>
        <w:pStyle w:val="SingleTxtGC"/>
        <w:tabs>
          <w:tab w:val="clear" w:pos="431"/>
          <w:tab w:val="clear" w:pos="1134"/>
          <w:tab w:val="clear" w:pos="1565"/>
        </w:tabs>
        <w:ind w:left="1554"/>
      </w:pPr>
      <w:r w:rsidRPr="00BF42B7">
        <w:rPr>
          <w:rFonts w:hint="eastAsia"/>
        </w:rPr>
        <w:tab/>
      </w:r>
      <w:r w:rsidRPr="00BF42B7">
        <w:rPr>
          <w:rFonts w:hint="eastAsia"/>
        </w:rPr>
        <w:t>第一部分只包括一条结论草案，该部分确定了结论草案的范围，同时扼要说明了结论草案的功能和目的。</w:t>
      </w:r>
    </w:p>
    <w:p w:rsidR="00790CCC" w:rsidRPr="00BF42B7" w:rsidRDefault="00790CCC" w:rsidP="00790CCC">
      <w:pPr>
        <w:pStyle w:val="H23GC"/>
        <w:ind w:left="1554"/>
      </w:pPr>
      <w:bookmarkStart w:id="59" w:name="DC1"/>
      <w:r w:rsidRPr="00BF42B7">
        <w:rPr>
          <w:rFonts w:hint="eastAsia"/>
        </w:rPr>
        <w:tab/>
      </w:r>
      <w:r w:rsidRPr="00BF42B7">
        <w:rPr>
          <w:rFonts w:hint="eastAsia"/>
        </w:rPr>
        <w:tab/>
      </w:r>
      <w:r w:rsidRPr="00BF42B7">
        <w:rPr>
          <w:rFonts w:hint="eastAsia"/>
        </w:rPr>
        <w:t>结论</w:t>
      </w:r>
      <w:r w:rsidRPr="00BF42B7">
        <w:t>1</w:t>
      </w:r>
      <w:bookmarkEnd w:id="59"/>
      <w:r w:rsidRPr="00BF42B7">
        <w:rPr>
          <w:rFonts w:hint="eastAsia"/>
        </w:rPr>
        <w:br/>
      </w:r>
      <w:r w:rsidRPr="00BF42B7">
        <w:rPr>
          <w:rFonts w:hint="eastAsia"/>
        </w:rPr>
        <w:t>范围</w:t>
      </w:r>
    </w:p>
    <w:p w:rsidR="00790CCC" w:rsidRPr="00BF42B7" w:rsidRDefault="00790CCC" w:rsidP="00790CCC">
      <w:pPr>
        <w:pStyle w:val="SingleTxtGC"/>
        <w:tabs>
          <w:tab w:val="clear" w:pos="431"/>
          <w:tab w:val="clear" w:pos="1134"/>
          <w:tab w:val="clear" w:pos="1565"/>
        </w:tabs>
        <w:ind w:left="1554"/>
      </w:pPr>
      <w:r w:rsidRPr="00BF42B7">
        <w:rPr>
          <w:rFonts w:hint="eastAsia"/>
        </w:rPr>
        <w:tab/>
      </w:r>
      <w:r w:rsidRPr="00BF42B7">
        <w:rPr>
          <w:rFonts w:hint="eastAsia"/>
        </w:rPr>
        <w:t>本结论草案论及如何确定习惯国际法规则的存在及内容。</w:t>
      </w:r>
    </w:p>
    <w:p w:rsidR="00790CCC" w:rsidRPr="00BF42B7" w:rsidRDefault="00790CCC" w:rsidP="00790CCC">
      <w:pPr>
        <w:pStyle w:val="H23GC"/>
        <w:rPr>
          <w:rFonts w:eastAsia="Calibri"/>
        </w:rPr>
      </w:pPr>
      <w:r w:rsidRPr="00BF42B7">
        <w:rPr>
          <w:rFonts w:hint="eastAsia"/>
        </w:rPr>
        <w:tab/>
      </w:r>
      <w:r w:rsidRPr="00BF42B7">
        <w:rPr>
          <w:rFonts w:hint="eastAsia"/>
        </w:rPr>
        <w:tab/>
      </w:r>
      <w:r w:rsidRPr="00BF42B7">
        <w:t>评注</w:t>
      </w:r>
    </w:p>
    <w:p w:rsidR="00790CCC" w:rsidRPr="00BF42B7" w:rsidRDefault="00790CCC" w:rsidP="00790CCC">
      <w:pPr>
        <w:pStyle w:val="SingleTxtGC"/>
        <w:rPr>
          <w:szCs w:val="21"/>
        </w:rPr>
      </w:pPr>
      <w:r w:rsidRPr="00BF42B7">
        <w:rPr>
          <w:rFonts w:eastAsia="Calibri"/>
          <w:szCs w:val="21"/>
        </w:rPr>
        <w:t>(1)</w:t>
      </w:r>
      <w:r w:rsidRPr="00BF42B7">
        <w:rPr>
          <w:rFonts w:eastAsiaTheme="minorEastAsia" w:hint="eastAsia"/>
          <w:szCs w:val="21"/>
        </w:rPr>
        <w:t xml:space="preserve">  </w:t>
      </w:r>
      <w:r w:rsidRPr="00BF42B7">
        <w:rPr>
          <w:rFonts w:hint="eastAsia"/>
          <w:szCs w:val="21"/>
        </w:rPr>
        <w:t>从本质上而言，结论草案</w:t>
      </w:r>
      <w:r w:rsidRPr="00BF42B7">
        <w:rPr>
          <w:rFonts w:hint="eastAsia"/>
          <w:szCs w:val="21"/>
        </w:rPr>
        <w:t>1</w:t>
      </w:r>
      <w:r w:rsidRPr="00BF42B7">
        <w:rPr>
          <w:rFonts w:hint="eastAsia"/>
          <w:szCs w:val="21"/>
        </w:rPr>
        <w:t>是介绍性的。该条规定，各条结论草案论及习惯国际法规则的识别方法，即在开展识别工作时使用的法律方法。</w:t>
      </w:r>
    </w:p>
    <w:p w:rsidR="00790CCC" w:rsidRPr="00BF42B7" w:rsidRDefault="00790CCC" w:rsidP="008B3302">
      <w:pPr>
        <w:pStyle w:val="SingleTxtGC"/>
        <w:rPr>
          <w:szCs w:val="21"/>
        </w:rPr>
      </w:pPr>
      <w:r w:rsidRPr="00BF42B7">
        <w:rPr>
          <w:rFonts w:eastAsia="Calibri"/>
          <w:szCs w:val="21"/>
        </w:rPr>
        <w:t>(2)</w:t>
      </w:r>
      <w:r w:rsidRPr="00BF42B7">
        <w:rPr>
          <w:rFonts w:eastAsiaTheme="minorEastAsia" w:hint="eastAsia"/>
          <w:szCs w:val="21"/>
        </w:rPr>
        <w:t xml:space="preserve">  </w:t>
      </w:r>
      <w:r w:rsidRPr="00BF42B7">
        <w:rPr>
          <w:rFonts w:hint="eastAsia"/>
          <w:szCs w:val="21"/>
        </w:rPr>
        <w:t>结论草案均采用了“习惯国际法”这一术语，该术语较为常用，且最能清楚地反映这一国际法渊源的性质。法律文书</w:t>
      </w:r>
      <w:r w:rsidRPr="00BF42B7">
        <w:rPr>
          <w:rFonts w:hint="eastAsia"/>
          <w:szCs w:val="21"/>
        </w:rPr>
        <w:t>(</w:t>
      </w:r>
      <w:r w:rsidRPr="00BF42B7">
        <w:rPr>
          <w:rFonts w:hint="eastAsia"/>
          <w:szCs w:val="21"/>
        </w:rPr>
        <w:t>包括宪法</w:t>
      </w:r>
      <w:r w:rsidRPr="00BF42B7">
        <w:rPr>
          <w:rFonts w:hint="eastAsia"/>
          <w:szCs w:val="21"/>
        </w:rPr>
        <w:t>)</w:t>
      </w:r>
      <w:r w:rsidRPr="00BF42B7">
        <w:rPr>
          <w:rFonts w:hint="eastAsia"/>
          <w:szCs w:val="21"/>
        </w:rPr>
        <w:t>、判例法和学术著作中有时使用的其他术语包括</w:t>
      </w:r>
      <w:bookmarkStart w:id="60" w:name="_Ref453675797"/>
      <w:r w:rsidRPr="00BF42B7">
        <w:rPr>
          <w:rFonts w:hint="eastAsia"/>
          <w:szCs w:val="21"/>
        </w:rPr>
        <w:t>“习惯”、“国际习惯”和“国际习惯法”以及“万民法”和“一般国际法”。</w:t>
      </w:r>
      <w:bookmarkStart w:id="61" w:name="_Ref461974724"/>
      <w:r w:rsidRPr="00BF42B7">
        <w:rPr>
          <w:rFonts w:eastAsia="Calibri"/>
          <w:color w:val="0000FF"/>
          <w:szCs w:val="21"/>
          <w:vertAlign w:val="superscript"/>
        </w:rPr>
        <w:footnoteReference w:id="250"/>
      </w:r>
      <w:bookmarkStart w:id="62" w:name="_Ref453677007"/>
      <w:bookmarkEnd w:id="60"/>
      <w:bookmarkEnd w:id="61"/>
      <w:r w:rsidRPr="00BF42B7">
        <w:rPr>
          <w:rFonts w:hint="eastAsia"/>
          <w:szCs w:val="21"/>
        </w:rPr>
        <w:t xml:space="preserve"> </w:t>
      </w:r>
      <w:r w:rsidRPr="00BF42B7">
        <w:rPr>
          <w:rFonts w:hint="eastAsia"/>
          <w:szCs w:val="21"/>
        </w:rPr>
        <w:t>提到习惯国际法“规则”时，所指对象包括那些因为具有更加通用、更加基本的特点而有时被称为</w:t>
      </w:r>
      <w:r w:rsidR="008B3302">
        <w:rPr>
          <w:rFonts w:hint="eastAsia"/>
          <w:szCs w:val="21"/>
        </w:rPr>
        <w:t>(</w:t>
      </w:r>
      <w:r w:rsidRPr="00BF42B7">
        <w:rPr>
          <w:rFonts w:hint="eastAsia"/>
          <w:szCs w:val="21"/>
        </w:rPr>
        <w:t>法律</w:t>
      </w:r>
      <w:r w:rsidR="008B3302">
        <w:rPr>
          <w:rFonts w:hint="eastAsia"/>
          <w:szCs w:val="21"/>
        </w:rPr>
        <w:t>)</w:t>
      </w:r>
      <w:r w:rsidRPr="00BF42B7">
        <w:rPr>
          <w:rFonts w:hint="eastAsia"/>
          <w:szCs w:val="21"/>
        </w:rPr>
        <w:t>“原则”的规则。</w:t>
      </w:r>
      <w:bookmarkStart w:id="63" w:name="_Ref461974739"/>
      <w:r w:rsidRPr="00BF42B7">
        <w:rPr>
          <w:rFonts w:eastAsia="Calibri"/>
          <w:color w:val="0000FF"/>
          <w:szCs w:val="21"/>
          <w:vertAlign w:val="superscript"/>
        </w:rPr>
        <w:footnoteReference w:id="251"/>
      </w:r>
      <w:bookmarkEnd w:id="62"/>
      <w:bookmarkEnd w:id="63"/>
    </w:p>
    <w:p w:rsidR="00790CCC" w:rsidRPr="00BF42B7" w:rsidRDefault="00790CCC" w:rsidP="00790CCC">
      <w:pPr>
        <w:pStyle w:val="SingleTxtGC"/>
        <w:rPr>
          <w:szCs w:val="21"/>
        </w:rPr>
      </w:pPr>
      <w:r w:rsidRPr="00BF42B7">
        <w:rPr>
          <w:rFonts w:eastAsia="Calibri"/>
          <w:szCs w:val="21"/>
        </w:rPr>
        <w:t>(3)</w:t>
      </w:r>
      <w:r w:rsidRPr="00BF42B7">
        <w:rPr>
          <w:rFonts w:eastAsiaTheme="minorEastAsia" w:hint="eastAsia"/>
          <w:szCs w:val="21"/>
        </w:rPr>
        <w:t xml:space="preserve">  </w:t>
      </w:r>
      <w:r w:rsidRPr="00BF42B7">
        <w:rPr>
          <w:rFonts w:hint="eastAsia"/>
          <w:szCs w:val="21"/>
        </w:rPr>
        <w:t>“识别”与“确定”这两个术语在本结论草案及评注中可以互换。草案提到了要确定习惯国际法的“存在及内容”，这反映出，虽然往往既需要识别规则是否存在也需要识别规则有何内容，但有时也会仅承认规则存在，但对其具体范围仍有争议。例如，当各方对某特定表述</w:t>
      </w:r>
      <w:r w:rsidRPr="00BF42B7">
        <w:rPr>
          <w:rFonts w:hint="eastAsia"/>
          <w:szCs w:val="21"/>
        </w:rPr>
        <w:t>(</w:t>
      </w:r>
      <w:r w:rsidRPr="00BF42B7">
        <w:rPr>
          <w:rFonts w:hint="eastAsia"/>
          <w:szCs w:val="21"/>
        </w:rPr>
        <w:t>往往是条约或决议等案文中的表述</w:t>
      </w:r>
      <w:r w:rsidRPr="00BF42B7">
        <w:rPr>
          <w:rFonts w:hint="eastAsia"/>
          <w:szCs w:val="21"/>
        </w:rPr>
        <w:t>)</w:t>
      </w:r>
      <w:r w:rsidRPr="00BF42B7">
        <w:rPr>
          <w:rFonts w:hint="eastAsia"/>
          <w:szCs w:val="21"/>
        </w:rPr>
        <w:t>是否事实上等同于一项现行习惯国际法规则的问题存在分歧，或是就某项公认的习惯国际法规则是否存在例外情况的问题提出疑问时，就可能出现上述情况。</w:t>
      </w:r>
    </w:p>
    <w:p w:rsidR="00790CCC" w:rsidRPr="00BF42B7" w:rsidRDefault="00790CCC" w:rsidP="00790CCC">
      <w:pPr>
        <w:pStyle w:val="SingleTxtGC"/>
        <w:rPr>
          <w:szCs w:val="21"/>
        </w:rPr>
      </w:pPr>
      <w:r w:rsidRPr="00BF42B7">
        <w:rPr>
          <w:rFonts w:eastAsia="Calibri"/>
          <w:szCs w:val="21"/>
        </w:rPr>
        <w:t>(4)</w:t>
      </w:r>
      <w:r w:rsidRPr="00BF42B7">
        <w:rPr>
          <w:rFonts w:eastAsiaTheme="minorEastAsia" w:hint="eastAsia"/>
          <w:szCs w:val="21"/>
        </w:rPr>
        <w:t xml:space="preserve">  </w:t>
      </w:r>
      <w:r w:rsidRPr="00BF42B7">
        <w:rPr>
          <w:rFonts w:hint="eastAsia"/>
          <w:szCs w:val="21"/>
        </w:rPr>
        <w:t>结论草案在论及习惯国际法规则的识别时，并未直接论及习惯国际法随时间发展的过程。但在实践中，并不能始终将习惯国际法的识别与其形成分隔开来；要识别习惯国际法规则的存在及内容，很可能涉及对其发展过程的考虑。因此，结论草案不可避免地在多处提到了规则的形成；但是，这些草案并未有系统地论及规则是如何产生、改变或终止的。</w:t>
      </w:r>
    </w:p>
    <w:p w:rsidR="00790CCC" w:rsidRPr="00BF42B7" w:rsidRDefault="00790CCC" w:rsidP="00790CCC">
      <w:pPr>
        <w:pStyle w:val="SingleTxtGC"/>
        <w:rPr>
          <w:szCs w:val="21"/>
        </w:rPr>
      </w:pPr>
      <w:r w:rsidRPr="00BF42B7">
        <w:rPr>
          <w:rFonts w:eastAsia="Calibri"/>
          <w:szCs w:val="21"/>
        </w:rPr>
        <w:t>(5)</w:t>
      </w:r>
      <w:r w:rsidRPr="00BF42B7">
        <w:rPr>
          <w:rFonts w:eastAsiaTheme="minorEastAsia" w:hint="eastAsia"/>
          <w:szCs w:val="21"/>
        </w:rPr>
        <w:t xml:space="preserve">  </w:t>
      </w:r>
      <w:r w:rsidRPr="00BF42B7">
        <w:rPr>
          <w:rFonts w:hint="eastAsia"/>
          <w:szCs w:val="21"/>
        </w:rPr>
        <w:t>还有若干其他事项不属于结论草案的范围。首先，结论草案没有论及习惯国际法的内容，而是仅涉及习惯国际法的识别方法问题。</w:t>
      </w:r>
      <w:r w:rsidRPr="00BF42B7">
        <w:rPr>
          <w:rStyle w:val="a5"/>
        </w:rPr>
        <w:footnoteReference w:id="252"/>
      </w:r>
      <w:r w:rsidRPr="00BF42B7">
        <w:rPr>
          <w:rFonts w:eastAsia="Calibri"/>
          <w:szCs w:val="21"/>
        </w:rPr>
        <w:t xml:space="preserve"> </w:t>
      </w:r>
      <w:r w:rsidRPr="00BF42B7">
        <w:rPr>
          <w:rFonts w:hint="eastAsia"/>
          <w:szCs w:val="21"/>
        </w:rPr>
        <w:t>第二，结论草案没有试图解释习惯国际法与国际法的其他渊源之间的关系，只有在为了解释习惯国际法规则的识别方法而必须谈到这一问题时，例如在解释条约对识别习惯国际法规则的意义时，才述及了这一问题。第三，结论草案并不影响国际法规则之间的等级问题，包括涉及一般国际法强制性规范</w:t>
      </w:r>
      <w:r w:rsidRPr="00BF42B7">
        <w:rPr>
          <w:rFonts w:hint="eastAsia"/>
          <w:szCs w:val="21"/>
        </w:rPr>
        <w:t>(</w:t>
      </w:r>
      <w:r w:rsidRPr="00BF42B7">
        <w:rPr>
          <w:rFonts w:hint="eastAsia"/>
          <w:szCs w:val="21"/>
        </w:rPr>
        <w:t>强行法</w:t>
      </w:r>
      <w:r w:rsidRPr="00BF42B7">
        <w:rPr>
          <w:rFonts w:hint="eastAsia"/>
          <w:szCs w:val="21"/>
        </w:rPr>
        <w:t>)</w:t>
      </w:r>
      <w:r w:rsidRPr="00BF42B7">
        <w:rPr>
          <w:rFonts w:hint="eastAsia"/>
          <w:szCs w:val="21"/>
        </w:rPr>
        <w:t>的问题，或某些义务的普遍适用性的问题。最后，结论草案没有论及习惯国际法在各国法律体系内部的地位问题。</w:t>
      </w:r>
    </w:p>
    <w:p w:rsidR="00790CCC" w:rsidRPr="00BF42B7" w:rsidRDefault="00790CCC" w:rsidP="00C64929">
      <w:pPr>
        <w:pStyle w:val="H23GC"/>
        <w:ind w:left="1554"/>
      </w:pPr>
      <w:r w:rsidRPr="00BF42B7">
        <w:rPr>
          <w:rFonts w:hint="eastAsia"/>
        </w:rPr>
        <w:tab/>
      </w:r>
      <w:r w:rsidRPr="00BF42B7">
        <w:rPr>
          <w:rFonts w:hint="eastAsia"/>
        </w:rPr>
        <w:tab/>
      </w:r>
      <w:r w:rsidRPr="00BF42B7">
        <w:rPr>
          <w:rFonts w:hint="eastAsia"/>
        </w:rPr>
        <w:t>第二部分</w:t>
      </w:r>
      <w:r w:rsidRPr="00BF42B7">
        <w:br/>
      </w:r>
      <w:r w:rsidRPr="00BF42B7">
        <w:rPr>
          <w:rFonts w:hint="eastAsia"/>
        </w:rPr>
        <w:t>基本方法</w:t>
      </w:r>
    </w:p>
    <w:p w:rsidR="00790CCC" w:rsidRPr="00BF42B7" w:rsidRDefault="00790CCC" w:rsidP="00790CCC">
      <w:pPr>
        <w:pStyle w:val="SingleTxtGC"/>
      </w:pPr>
      <w:r w:rsidRPr="00BF42B7">
        <w:rPr>
          <w:rFonts w:hint="eastAsia"/>
        </w:rPr>
        <w:tab/>
      </w:r>
      <w:r w:rsidRPr="00BF42B7">
        <w:rPr>
          <w:rFonts w:hint="eastAsia"/>
        </w:rPr>
        <w:t>第二部分阐述习惯国际法的基本识别方法，包括两条结论草案，指出确定一项习惯国际法规则需要确定存在两个构成要素：一项一般惯例以及该惯例被接受为法律</w:t>
      </w:r>
      <w:r w:rsidRPr="00BF42B7">
        <w:rPr>
          <w:rFonts w:eastAsia="Calibri"/>
        </w:rPr>
        <w:t>(</w:t>
      </w:r>
      <w:r w:rsidRPr="00BF42B7">
        <w:rPr>
          <w:rFonts w:ascii="宋体" w:hAnsi="宋体" w:cs="宋体" w:hint="eastAsia"/>
          <w:iCs/>
        </w:rPr>
        <w:t>法律确信</w:t>
      </w:r>
      <w:r w:rsidRPr="00BF42B7">
        <w:rPr>
          <w:rFonts w:eastAsia="Calibri"/>
        </w:rPr>
        <w:t>)</w:t>
      </w:r>
      <w:r w:rsidRPr="00BF42B7">
        <w:rPr>
          <w:rFonts w:hint="eastAsia"/>
        </w:rPr>
        <w:t>。这要求对每一要素的证据进行认真分析。</w:t>
      </w:r>
    </w:p>
    <w:p w:rsidR="00790CCC" w:rsidRPr="00BF42B7" w:rsidRDefault="00790CCC" w:rsidP="00790CCC">
      <w:pPr>
        <w:pStyle w:val="H23GC"/>
        <w:ind w:left="1554"/>
      </w:pPr>
      <w:bookmarkStart w:id="64" w:name="DC2"/>
      <w:r w:rsidRPr="00BF42B7">
        <w:rPr>
          <w:rFonts w:hint="eastAsia"/>
        </w:rPr>
        <w:tab/>
      </w:r>
      <w:r w:rsidRPr="00BF42B7">
        <w:rPr>
          <w:rFonts w:hint="eastAsia"/>
        </w:rPr>
        <w:tab/>
      </w:r>
      <w:r w:rsidRPr="00BF42B7">
        <w:rPr>
          <w:rFonts w:hint="eastAsia"/>
        </w:rPr>
        <w:t>结论</w:t>
      </w:r>
      <w:r w:rsidRPr="00BF42B7">
        <w:t>2</w:t>
      </w:r>
      <w:bookmarkEnd w:id="64"/>
      <w:r w:rsidRPr="00BF42B7">
        <w:rPr>
          <w:rFonts w:hint="eastAsia"/>
        </w:rPr>
        <w:br/>
      </w:r>
      <w:r w:rsidRPr="00BF42B7">
        <w:rPr>
          <w:rFonts w:hint="eastAsia"/>
        </w:rPr>
        <w:t>两个构成要素</w:t>
      </w:r>
    </w:p>
    <w:p w:rsidR="00790CCC" w:rsidRPr="00BF42B7" w:rsidRDefault="00790CCC" w:rsidP="00790CCC">
      <w:pPr>
        <w:pStyle w:val="SingleTxtGC"/>
        <w:ind w:left="1554" w:firstLine="431"/>
      </w:pPr>
      <w:r w:rsidRPr="00BF42B7">
        <w:rPr>
          <w:rFonts w:hint="eastAsia"/>
        </w:rPr>
        <w:t>要确定一项习惯国际法规则的存在及内容，必须查明是否存在一项被接受为法律</w:t>
      </w:r>
      <w:r w:rsidRPr="00BF42B7">
        <w:rPr>
          <w:rFonts w:hint="eastAsia"/>
        </w:rPr>
        <w:t>(</w:t>
      </w:r>
      <w:r w:rsidRPr="00BF42B7">
        <w:rPr>
          <w:rFonts w:hint="eastAsia"/>
        </w:rPr>
        <w:t>法律确信</w:t>
      </w:r>
      <w:r w:rsidRPr="00BF42B7">
        <w:rPr>
          <w:rFonts w:hint="eastAsia"/>
        </w:rPr>
        <w:t>)</w:t>
      </w:r>
      <w:r w:rsidRPr="00BF42B7">
        <w:rPr>
          <w:rFonts w:hint="eastAsia"/>
        </w:rPr>
        <w:t>的一般惯例。</w:t>
      </w:r>
    </w:p>
    <w:p w:rsidR="00790CCC" w:rsidRPr="00BF42B7" w:rsidRDefault="00790CCC" w:rsidP="00790CCC">
      <w:pPr>
        <w:pStyle w:val="H23GC"/>
        <w:rPr>
          <w:rFonts w:eastAsia="Calibri"/>
          <w:b/>
        </w:rPr>
      </w:pPr>
      <w:r w:rsidRPr="00BF42B7">
        <w:rPr>
          <w:rFonts w:hint="eastAsia"/>
        </w:rPr>
        <w:tab/>
      </w:r>
      <w:r w:rsidRPr="00BF42B7">
        <w:rPr>
          <w:rFonts w:hint="eastAsia"/>
        </w:rPr>
        <w:tab/>
      </w:r>
      <w:r w:rsidRPr="00BF42B7">
        <w:t>评注</w:t>
      </w:r>
    </w:p>
    <w:p w:rsidR="00790CCC" w:rsidRPr="00BF42B7" w:rsidRDefault="00790CCC" w:rsidP="00790CCC">
      <w:pPr>
        <w:pStyle w:val="SingleTxtGC"/>
        <w:rPr>
          <w:rFonts w:eastAsia="Calibri"/>
        </w:rPr>
      </w:pPr>
      <w:r w:rsidRPr="00BF42B7">
        <w:rPr>
          <w:rFonts w:eastAsia="Calibri"/>
        </w:rPr>
        <w:t>(1)</w:t>
      </w:r>
      <w:r w:rsidRPr="00BF42B7">
        <w:rPr>
          <w:rFonts w:eastAsiaTheme="minorEastAsia" w:hint="eastAsia"/>
        </w:rPr>
        <w:t xml:space="preserve">  </w:t>
      </w:r>
      <w:r w:rsidRPr="00BF42B7">
        <w:rPr>
          <w:rFonts w:hint="eastAsia"/>
        </w:rPr>
        <w:t>结论草案</w:t>
      </w:r>
      <w:r w:rsidRPr="00BF42B7">
        <w:rPr>
          <w:rFonts w:hint="eastAsia"/>
        </w:rPr>
        <w:t>2</w:t>
      </w:r>
      <w:r w:rsidRPr="00BF42B7">
        <w:rPr>
          <w:rFonts w:hint="eastAsia"/>
        </w:rPr>
        <w:t>阐明了基本方法，即识别习惯国际法的规则需要调查两项独立而相关的问题：是否存在一项一般惯例，及该惯例是否被接受为法律</w:t>
      </w:r>
      <w:r w:rsidRPr="00BF42B7">
        <w:rPr>
          <w:rFonts w:hint="eastAsia"/>
        </w:rPr>
        <w:t>(</w:t>
      </w:r>
      <w:r w:rsidRPr="00BF42B7">
        <w:rPr>
          <w:rFonts w:hint="eastAsia"/>
        </w:rPr>
        <w:t>即伴有法律确信</w:t>
      </w:r>
      <w:r w:rsidRPr="00BF42B7">
        <w:rPr>
          <w:rFonts w:eastAsia="Calibri"/>
          <w:color w:val="0000FF"/>
          <w:vertAlign w:val="superscript"/>
        </w:rPr>
        <w:footnoteReference w:id="253"/>
      </w:r>
      <w:r w:rsidRPr="00BF42B7">
        <w:rPr>
          <w:rFonts w:hint="eastAsia"/>
        </w:rPr>
        <w:t>）。换言之，必须审视各国实际上是怎么做的，并试图理解它们是否承认存在着这样做的义务或权利。“两要素法”是结论草案的基础，也得到各国判例法和学术著作的广泛支持。该方法旨在确保识别习惯国际法规则的工作只确定实际存在的此类规则。</w:t>
      </w:r>
      <w:r w:rsidRPr="00BF42B7">
        <w:rPr>
          <w:rStyle w:val="a5"/>
        </w:rPr>
        <w:footnoteReference w:id="254"/>
      </w:r>
    </w:p>
    <w:p w:rsidR="00790CCC" w:rsidRPr="00BF42B7" w:rsidRDefault="00790CCC" w:rsidP="00790CCC">
      <w:pPr>
        <w:pStyle w:val="SingleTxtGC"/>
      </w:pPr>
      <w:r w:rsidRPr="00BF42B7">
        <w:rPr>
          <w:rFonts w:eastAsia="Calibri"/>
        </w:rPr>
        <w:t>(2)</w:t>
      </w:r>
      <w:r w:rsidRPr="00BF42B7">
        <w:rPr>
          <w:rFonts w:eastAsiaTheme="minorEastAsia" w:hint="eastAsia"/>
        </w:rPr>
        <w:t xml:space="preserve">  </w:t>
      </w:r>
      <w:r w:rsidRPr="00BF42B7">
        <w:rPr>
          <w:rFonts w:hint="eastAsia"/>
        </w:rPr>
        <w:t>一项一般惯例和该惯例被接受为法律</w:t>
      </w:r>
      <w:r w:rsidRPr="00BF42B7">
        <w:rPr>
          <w:rFonts w:eastAsia="Calibri"/>
        </w:rPr>
        <w:t>(</w:t>
      </w:r>
      <w:r w:rsidRPr="00BF42B7">
        <w:rPr>
          <w:rFonts w:ascii="宋体" w:hAnsi="宋体" w:cs="宋体" w:hint="eastAsia"/>
          <w:iCs/>
        </w:rPr>
        <w:t>法律确信</w:t>
      </w:r>
      <w:r w:rsidRPr="00BF42B7">
        <w:rPr>
          <w:rFonts w:eastAsia="Calibri"/>
        </w:rPr>
        <w:t>)</w:t>
      </w:r>
      <w:r w:rsidRPr="00BF42B7">
        <w:rPr>
          <w:rFonts w:hint="eastAsia"/>
        </w:rPr>
        <w:t>是习惯国际法的两个构成要素；这两个要素共同构成习惯国际法规则存在的必要条件。因此，要识别这一规则，就必须细致研究已知的证据，确定在任何给定案件中均存在这两项要素。这一点在国际法院判例法等处得到了证实，国际法院判例法提到“必须满足两项条件”</w:t>
      </w:r>
      <w:bookmarkStart w:id="65" w:name="_Ref453666652"/>
      <w:r w:rsidRPr="00BF42B7">
        <w:rPr>
          <w:rStyle w:val="a5"/>
        </w:rPr>
        <w:footnoteReference w:id="255"/>
      </w:r>
      <w:bookmarkEnd w:id="65"/>
      <w:r w:rsidRPr="00BF42B7">
        <w:rPr>
          <w:rFonts w:hint="eastAsia"/>
        </w:rPr>
        <w:t>，并反复指出“要确定存在一项习惯国际法规则，除法律确信外，还须存在着</w:t>
      </w:r>
      <w:r w:rsidRPr="00BF42B7">
        <w:rPr>
          <w:rFonts w:ascii="宋体" w:hAnsi="宋体" w:hint="eastAsia"/>
        </w:rPr>
        <w:t>‘既定惯例’</w:t>
      </w:r>
      <w:r w:rsidRPr="00BF42B7">
        <w:rPr>
          <w:rFonts w:hint="eastAsia"/>
        </w:rPr>
        <w:t>”</w:t>
      </w:r>
      <w:bookmarkStart w:id="66" w:name="_Ref453667027"/>
      <w:r w:rsidRPr="00BF42B7">
        <w:rPr>
          <w:rStyle w:val="a5"/>
        </w:rPr>
        <w:footnoteReference w:id="256"/>
      </w:r>
      <w:bookmarkEnd w:id="66"/>
      <w:r w:rsidRPr="00BF42B7">
        <w:rPr>
          <w:rFonts w:hint="eastAsia"/>
        </w:rPr>
        <w:t>。因此，要证实某项关于习惯国际法规则存在和</w:t>
      </w:r>
      <w:r w:rsidRPr="00BF42B7">
        <w:rPr>
          <w:rFonts w:hint="eastAsia"/>
        </w:rPr>
        <w:t>/</w:t>
      </w:r>
      <w:r w:rsidRPr="00BF42B7">
        <w:rPr>
          <w:rFonts w:hint="eastAsia"/>
        </w:rPr>
        <w:t>或内容的主张具有充分的依据，就需要寻找一项已在各国获得一定接受度乃至可被视为表现了一项法律权利或义务</w:t>
      </w:r>
      <w:r w:rsidRPr="00BF42B7">
        <w:rPr>
          <w:rFonts w:hint="eastAsia"/>
        </w:rPr>
        <w:t>(</w:t>
      </w:r>
      <w:r w:rsidRPr="00BF42B7">
        <w:rPr>
          <w:rFonts w:hint="eastAsia"/>
        </w:rPr>
        <w:t>即被法律所要求、允许或禁止</w:t>
      </w:r>
      <w:r w:rsidRPr="00BF42B7">
        <w:rPr>
          <w:rFonts w:hint="eastAsia"/>
        </w:rPr>
        <w:t>)</w:t>
      </w:r>
      <w:r w:rsidRPr="00BF42B7">
        <w:rPr>
          <w:rFonts w:hint="eastAsia"/>
        </w:rPr>
        <w:t>的惯例。</w:t>
      </w:r>
      <w:r w:rsidRPr="00BF42B7">
        <w:rPr>
          <w:rStyle w:val="a5"/>
        </w:rPr>
        <w:footnoteReference w:id="257"/>
      </w:r>
      <w:r w:rsidRPr="00BF42B7">
        <w:rPr>
          <w:rFonts w:eastAsia="Calibri"/>
        </w:rPr>
        <w:t xml:space="preserve"> </w:t>
      </w:r>
      <w:r w:rsidRPr="00BF42B7">
        <w:rPr>
          <w:rFonts w:hint="eastAsia"/>
        </w:rPr>
        <w:t>考察的内容必须始终是：是否存在一项被接受为法律的一般惯例？</w:t>
      </w:r>
    </w:p>
    <w:p w:rsidR="00790CCC" w:rsidRPr="00BF42B7" w:rsidRDefault="00790CCC" w:rsidP="00790CCC">
      <w:pPr>
        <w:pStyle w:val="SingleTxtGC"/>
      </w:pPr>
      <w:r w:rsidRPr="00BF42B7">
        <w:rPr>
          <w:rFonts w:eastAsia="Calibri"/>
        </w:rPr>
        <w:t>(3)</w:t>
      </w:r>
      <w:r w:rsidRPr="00BF42B7">
        <w:rPr>
          <w:rFonts w:eastAsiaTheme="minorEastAsia" w:hint="eastAsia"/>
        </w:rPr>
        <w:t xml:space="preserve">  </w:t>
      </w:r>
      <w:r w:rsidRPr="00BF42B7">
        <w:rPr>
          <w:rFonts w:hint="eastAsia"/>
        </w:rPr>
        <w:t>若无法证实存在一项被接受为法律的一般惯例，则结论是不存在所称的习惯国际法规则。例如，在</w:t>
      </w:r>
      <w:r w:rsidRPr="00BF42B7">
        <w:rPr>
          <w:rFonts w:eastAsia="楷体"/>
          <w:iCs/>
        </w:rPr>
        <w:t>哥伦比亚</w:t>
      </w:r>
      <w:r w:rsidRPr="00BF42B7">
        <w:rPr>
          <w:rFonts w:hint="eastAsia"/>
        </w:rPr>
        <w:t>－</w:t>
      </w:r>
      <w:r w:rsidRPr="00BF42B7">
        <w:rPr>
          <w:rFonts w:eastAsia="楷体"/>
          <w:iCs/>
        </w:rPr>
        <w:t>秘鲁庇护权案</w:t>
      </w:r>
      <w:r w:rsidRPr="00BF42B7">
        <w:rPr>
          <w:rFonts w:hint="eastAsia"/>
        </w:rPr>
        <w:t>中，国际法院认为，与所称存在的</w:t>
      </w:r>
      <w:r w:rsidRPr="00BF42B7">
        <w:rPr>
          <w:rFonts w:hint="eastAsia"/>
        </w:rPr>
        <w:t>(</w:t>
      </w:r>
      <w:r w:rsidRPr="00BF42B7">
        <w:rPr>
          <w:rFonts w:hint="eastAsia"/>
        </w:rPr>
        <w:t>特别</w:t>
      </w:r>
      <w:r w:rsidRPr="00BF42B7">
        <w:rPr>
          <w:rFonts w:hint="eastAsia"/>
        </w:rPr>
        <w:t>)</w:t>
      </w:r>
      <w:r w:rsidRPr="00BF42B7">
        <w:rPr>
          <w:rFonts w:hint="eastAsia"/>
        </w:rPr>
        <w:t>国际法规则有关的事实显示：</w:t>
      </w:r>
    </w:p>
    <w:p w:rsidR="00790CCC" w:rsidRPr="00BF42B7" w:rsidRDefault="00790CCC" w:rsidP="00790CCC">
      <w:pPr>
        <w:pStyle w:val="SingleTxtGC"/>
        <w:ind w:left="1554"/>
        <w:rPr>
          <w:sz w:val="24"/>
          <w:szCs w:val="24"/>
        </w:rPr>
      </w:pPr>
      <w:bookmarkStart w:id="67" w:name="_Ref453683184"/>
      <w:r w:rsidRPr="00BF42B7">
        <w:rPr>
          <w:rFonts w:hint="eastAsia"/>
        </w:rPr>
        <w:t>“纵观外交庇护的使用方式以及多种不同场合表达的官方意见，其中存在太多不确定与矛盾之处，也存在太多变动与差异之处，就被一些国家所批准而被另一些国家所拒绝的各项庇护公约的快速继承而言，存在太多不一致，且所涉惯例过于受到种种案件中政治权宜考虑的影响，因此，无法从中分析出任何与所称的单方面确定犯罪性质的规则有关的恒定、统一、可被接受为法律的做法”。</w:t>
      </w:r>
      <w:bookmarkStart w:id="68" w:name="_Ref461975016"/>
      <w:r w:rsidRPr="00BF42B7">
        <w:rPr>
          <w:rStyle w:val="a5"/>
        </w:rPr>
        <w:footnoteReference w:id="258"/>
      </w:r>
      <w:bookmarkEnd w:id="67"/>
      <w:bookmarkEnd w:id="68"/>
    </w:p>
    <w:p w:rsidR="00790CCC" w:rsidRPr="00BF42B7" w:rsidRDefault="00790CCC" w:rsidP="00790CCC">
      <w:pPr>
        <w:pStyle w:val="SingleTxtGC"/>
      </w:pPr>
      <w:r w:rsidRPr="00BF42B7">
        <w:rPr>
          <w:rFonts w:eastAsia="Calibri"/>
        </w:rPr>
        <w:t>(4)</w:t>
      </w:r>
      <w:bookmarkStart w:id="69" w:name="_Ref453683819"/>
      <w:r w:rsidRPr="00BF42B7">
        <w:rPr>
          <w:rFonts w:eastAsiaTheme="minorEastAsia" w:hint="eastAsia"/>
        </w:rPr>
        <w:t xml:space="preserve">  </w:t>
      </w:r>
      <w:r w:rsidRPr="00BF42B7">
        <w:rPr>
          <w:rFonts w:hint="eastAsia"/>
        </w:rPr>
        <w:t>正如结论草案</w:t>
      </w:r>
      <w:r w:rsidRPr="00BF42B7">
        <w:rPr>
          <w:rFonts w:hint="eastAsia"/>
        </w:rPr>
        <w:t>2</w:t>
      </w:r>
      <w:r w:rsidRPr="00BF42B7">
        <w:rPr>
          <w:rFonts w:hint="eastAsia"/>
        </w:rPr>
        <w:t>所明确指出的，仅具备一个构成要素不足以识别习惯国际法规则。未被接受为法律</w:t>
      </w:r>
      <w:r w:rsidRPr="00BF42B7">
        <w:rPr>
          <w:rFonts w:eastAsia="Calibri"/>
        </w:rPr>
        <w:t>(</w:t>
      </w:r>
      <w:r w:rsidRPr="00BF42B7">
        <w:rPr>
          <w:rFonts w:hint="eastAsia"/>
        </w:rPr>
        <w:t>没有</w:t>
      </w:r>
      <w:r w:rsidRPr="00BF42B7">
        <w:rPr>
          <w:rFonts w:ascii="宋体" w:hAnsi="宋体" w:cs="宋体" w:hint="eastAsia"/>
        </w:rPr>
        <w:t>法律确信</w:t>
      </w:r>
      <w:r w:rsidRPr="00BF42B7">
        <w:rPr>
          <w:rFonts w:eastAsia="Calibri"/>
        </w:rPr>
        <w:t>)</w:t>
      </w:r>
      <w:r w:rsidRPr="00BF42B7">
        <w:rPr>
          <w:rFonts w:hint="eastAsia"/>
        </w:rPr>
        <w:t>的惯例，即便被广泛和一致地使用，也只能是没有约束力的做法，而在没有惯例支撑的情况下认为某项规定是</w:t>
      </w:r>
      <w:r w:rsidRPr="00BF42B7">
        <w:rPr>
          <w:rFonts w:hint="eastAsia"/>
        </w:rPr>
        <w:t>(</w:t>
      </w:r>
      <w:r w:rsidRPr="00BF42B7">
        <w:rPr>
          <w:rFonts w:hint="eastAsia"/>
        </w:rPr>
        <w:t>或应当是</w:t>
      </w:r>
      <w:r w:rsidRPr="00BF42B7">
        <w:rPr>
          <w:rFonts w:hint="eastAsia"/>
        </w:rPr>
        <w:t>)</w:t>
      </w:r>
      <w:r w:rsidRPr="00BF42B7">
        <w:rPr>
          <w:rFonts w:hint="eastAsia"/>
        </w:rPr>
        <w:t>法律，则仅仅属于愿望；只有二者合一方能证实存在一项习惯国际法的规则。</w:t>
      </w:r>
      <w:bookmarkStart w:id="70" w:name="_Ref461975062"/>
      <w:r w:rsidRPr="00BF42B7">
        <w:rPr>
          <w:rStyle w:val="a5"/>
        </w:rPr>
        <w:footnoteReference w:id="259"/>
      </w:r>
      <w:bookmarkEnd w:id="69"/>
      <w:bookmarkEnd w:id="70"/>
      <w:r w:rsidRPr="00BF42B7">
        <w:rPr>
          <w:rFonts w:hint="eastAsia"/>
          <w:sz w:val="24"/>
          <w:szCs w:val="24"/>
        </w:rPr>
        <w:t xml:space="preserve"> </w:t>
      </w:r>
      <w:r w:rsidRPr="00BF42B7">
        <w:rPr>
          <w:rFonts w:hint="eastAsia"/>
        </w:rPr>
        <w:t>虽然不时有著述者试图设计识别习惯国际法的其他方法，强调其中的某个构成要素比另一个更加重要，乃至完全排除某个要素，但这种理论并未得到各国或判例法的支持。</w:t>
      </w:r>
    </w:p>
    <w:p w:rsidR="00790CCC" w:rsidRPr="00BF42B7" w:rsidRDefault="00790CCC" w:rsidP="00790CCC">
      <w:pPr>
        <w:pStyle w:val="SingleTxtGC"/>
      </w:pPr>
      <w:r w:rsidRPr="00BF42B7">
        <w:rPr>
          <w:rFonts w:eastAsia="Calibri"/>
        </w:rPr>
        <w:t>(5)</w:t>
      </w:r>
      <w:r w:rsidRPr="00BF42B7">
        <w:rPr>
          <w:rFonts w:eastAsiaTheme="minorEastAsia" w:hint="eastAsia"/>
        </w:rPr>
        <w:t xml:space="preserve">  </w:t>
      </w:r>
      <w:r w:rsidRPr="00BF42B7">
        <w:rPr>
          <w:rFonts w:hint="eastAsia"/>
        </w:rPr>
        <w:t>两要素法经常被称为“归纳”法，与可能的“演绎”法相对，根据演绎法，可根据法律推理确定规则，而不需要有存在一般惯例及其被接受为法律</w:t>
      </w:r>
      <w:r w:rsidRPr="00BF42B7">
        <w:rPr>
          <w:rFonts w:eastAsia="Calibri"/>
        </w:rPr>
        <w:t>(</w:t>
      </w:r>
      <w:r w:rsidRPr="00BF42B7">
        <w:rPr>
          <w:rFonts w:ascii="宋体" w:hAnsi="宋体" w:cs="宋体" w:hint="eastAsia"/>
          <w:iCs/>
        </w:rPr>
        <w:t>法律确信</w:t>
      </w:r>
      <w:r w:rsidRPr="00BF42B7">
        <w:rPr>
          <w:rFonts w:eastAsia="Calibri"/>
        </w:rPr>
        <w:t>)</w:t>
      </w:r>
      <w:r w:rsidRPr="00BF42B7">
        <w:rPr>
          <w:rFonts w:hint="eastAsia"/>
        </w:rPr>
        <w:t>的经验证据。两要素法事实上并未排除演绎法，特别是在审查以下两种可能的习惯国际法规则时：源自表述更为宽泛的其他规则、以这些规则为背景发挥作用并反映了被接受为法律</w:t>
      </w:r>
      <w:r w:rsidRPr="00BF42B7">
        <w:rPr>
          <w:rFonts w:hint="eastAsia"/>
        </w:rPr>
        <w:t>(</w:t>
      </w:r>
      <w:r w:rsidRPr="00BF42B7">
        <w:rPr>
          <w:rFonts w:hint="eastAsia"/>
        </w:rPr>
        <w:t>伴有法律确信</w:t>
      </w:r>
      <w:r w:rsidRPr="00BF42B7">
        <w:rPr>
          <w:rFonts w:hint="eastAsia"/>
        </w:rPr>
        <w:t>)</w:t>
      </w:r>
      <w:r w:rsidRPr="00BF42B7">
        <w:rPr>
          <w:rFonts w:hint="eastAsia"/>
        </w:rPr>
        <w:t>的一般惯例的规则</w:t>
      </w:r>
      <w:r w:rsidRPr="00BF42B7">
        <w:rPr>
          <w:rStyle w:val="a5"/>
        </w:rPr>
        <w:footnoteReference w:id="260"/>
      </w:r>
      <w:r w:rsidRPr="00BF42B7">
        <w:rPr>
          <w:rFonts w:hint="eastAsia"/>
        </w:rPr>
        <w:t>；或得出结论认为可能的国际法规则构成“不可分割的制度”的一部分</w:t>
      </w:r>
      <w:r w:rsidRPr="00BF42B7">
        <w:rPr>
          <w:rStyle w:val="a5"/>
        </w:rPr>
        <w:footnoteReference w:id="261"/>
      </w:r>
      <w:r w:rsidRPr="00BF42B7">
        <w:rPr>
          <w:rFonts w:hint="eastAsia"/>
        </w:rPr>
        <w:t>。</w:t>
      </w:r>
    </w:p>
    <w:p w:rsidR="00790CCC" w:rsidRPr="00BF42B7" w:rsidRDefault="00790CCC" w:rsidP="00790CCC">
      <w:pPr>
        <w:pStyle w:val="SingleTxtGC"/>
      </w:pPr>
      <w:r w:rsidRPr="00BF42B7">
        <w:rPr>
          <w:rFonts w:eastAsia="Calibri"/>
        </w:rPr>
        <w:t>(6)</w:t>
      </w:r>
      <w:r w:rsidRPr="00BF42B7">
        <w:rPr>
          <w:rFonts w:eastAsiaTheme="minorEastAsia" w:hint="eastAsia"/>
        </w:rPr>
        <w:t xml:space="preserve">  </w:t>
      </w:r>
      <w:r w:rsidRPr="008B3302">
        <w:rPr>
          <w:rFonts w:hint="eastAsia"/>
          <w:spacing w:val="2"/>
        </w:rPr>
        <w:t>两要素法适用于在国际法的所有领域识别习惯国际法规则的存在及内容。这一点已得到各国惯例以及判例法的证实，也符合国际法的统一性和一贯性，国际法是一个单一的法律系统，并非分为几个独立分支，各有其确定渊源的方法。</w:t>
      </w:r>
      <w:r w:rsidRPr="008B3302">
        <w:rPr>
          <w:rStyle w:val="a5"/>
          <w:spacing w:val="2"/>
        </w:rPr>
        <w:footnoteReference w:id="262"/>
      </w:r>
      <w:r w:rsidRPr="008B3302">
        <w:rPr>
          <w:rFonts w:hint="eastAsia"/>
          <w:spacing w:val="2"/>
        </w:rPr>
        <w:t xml:space="preserve"> </w:t>
      </w:r>
      <w:r w:rsidRPr="00BF42B7">
        <w:rPr>
          <w:rFonts w:hint="eastAsia"/>
        </w:rPr>
        <w:t>在实际情况下，适用基本方法时很可能会考虑到所称规则产生和发挥作用的具体情况和背景，</w:t>
      </w:r>
      <w:r w:rsidRPr="00BF42B7">
        <w:rPr>
          <w:rStyle w:val="a5"/>
        </w:rPr>
        <w:footnoteReference w:id="263"/>
      </w:r>
      <w:r w:rsidRPr="00BF42B7">
        <w:rPr>
          <w:rFonts w:hint="eastAsia"/>
        </w:rPr>
        <w:t xml:space="preserve"> </w:t>
      </w:r>
      <w:r w:rsidRPr="00BF42B7">
        <w:rPr>
          <w:rFonts w:hint="eastAsia"/>
        </w:rPr>
        <w:t>但必须始终尊重习惯国际法作为被接受为法律</w:t>
      </w:r>
      <w:r w:rsidRPr="00BF42B7">
        <w:rPr>
          <w:rFonts w:hint="eastAsia"/>
        </w:rPr>
        <w:t>(</w:t>
      </w:r>
      <w:r w:rsidRPr="00BF42B7">
        <w:rPr>
          <w:rFonts w:hint="eastAsia"/>
        </w:rPr>
        <w:t>伴有法律确信</w:t>
      </w:r>
      <w:r w:rsidRPr="00BF42B7">
        <w:rPr>
          <w:rFonts w:hint="eastAsia"/>
        </w:rPr>
        <w:t>)</w:t>
      </w:r>
      <w:r w:rsidRPr="00BF42B7">
        <w:rPr>
          <w:rFonts w:hint="eastAsia"/>
        </w:rPr>
        <w:t>的一般惯例的基本性质。</w:t>
      </w:r>
    </w:p>
    <w:p w:rsidR="00790CCC" w:rsidRPr="00BF42B7" w:rsidRDefault="00790CCC" w:rsidP="00790CCC">
      <w:pPr>
        <w:pStyle w:val="H23GC"/>
        <w:ind w:left="1554"/>
      </w:pPr>
      <w:r w:rsidRPr="00BF42B7">
        <w:rPr>
          <w:rFonts w:hint="eastAsia"/>
        </w:rPr>
        <w:tab/>
      </w:r>
      <w:r w:rsidRPr="00BF42B7">
        <w:rPr>
          <w:rFonts w:hint="eastAsia"/>
        </w:rPr>
        <w:tab/>
      </w:r>
      <w:r w:rsidRPr="00BF42B7">
        <w:rPr>
          <w:rFonts w:hint="eastAsia"/>
        </w:rPr>
        <w:t>结论</w:t>
      </w:r>
      <w:r w:rsidRPr="00BF42B7">
        <w:rPr>
          <w:rFonts w:hint="eastAsia"/>
        </w:rPr>
        <w:t>3</w:t>
      </w:r>
      <w:r w:rsidRPr="00BF42B7">
        <w:br/>
      </w:r>
      <w:r w:rsidRPr="00BF42B7">
        <w:rPr>
          <w:rFonts w:hint="eastAsia"/>
        </w:rPr>
        <w:t>评估两个构成要素的证据</w:t>
      </w:r>
    </w:p>
    <w:p w:rsidR="00790CCC" w:rsidRPr="00BF42B7" w:rsidRDefault="00790CCC" w:rsidP="00790CCC">
      <w:pPr>
        <w:pStyle w:val="SingleTxtGC"/>
        <w:ind w:left="1554"/>
      </w:pPr>
      <w:r w:rsidRPr="00BF42B7">
        <w:rPr>
          <w:rFonts w:hint="eastAsia"/>
        </w:rPr>
        <w:t>1</w:t>
      </w:r>
      <w:r w:rsidRPr="00BF42B7">
        <w:t>.</w:t>
      </w:r>
      <w:r w:rsidRPr="00BF42B7">
        <w:tab/>
      </w:r>
      <w:r w:rsidRPr="00BF42B7">
        <w:rPr>
          <w:rFonts w:hint="eastAsia"/>
        </w:rPr>
        <w:t>为查明是否存在一项一般惯例及该惯例是否被接受为法律</w:t>
      </w:r>
      <w:r w:rsidRPr="00BF42B7">
        <w:rPr>
          <w:rFonts w:hint="eastAsia"/>
        </w:rPr>
        <w:t>(</w:t>
      </w:r>
      <w:r w:rsidRPr="00BF42B7">
        <w:rPr>
          <w:rFonts w:hint="eastAsia"/>
        </w:rPr>
        <w:t>法律确信</w:t>
      </w:r>
      <w:r w:rsidRPr="00BF42B7">
        <w:rPr>
          <w:rFonts w:hint="eastAsia"/>
        </w:rPr>
        <w:t>)</w:t>
      </w:r>
      <w:r w:rsidRPr="00BF42B7">
        <w:rPr>
          <w:rFonts w:hint="eastAsia"/>
        </w:rPr>
        <w:t>而对证据进行评估时，必须考虑到总体背景、规则的性质以及有关证据所处的具体情况。</w:t>
      </w:r>
    </w:p>
    <w:p w:rsidR="00790CCC" w:rsidRPr="00BF42B7" w:rsidRDefault="00790CCC" w:rsidP="00790CCC">
      <w:pPr>
        <w:pStyle w:val="SingleTxtGC"/>
        <w:ind w:left="1554"/>
      </w:pPr>
      <w:r w:rsidRPr="00BF42B7">
        <w:t>2.</w:t>
      </w:r>
      <w:r w:rsidRPr="00BF42B7">
        <w:tab/>
      </w:r>
      <w:r w:rsidRPr="00BF42B7">
        <w:rPr>
          <w:rFonts w:hint="eastAsia"/>
        </w:rPr>
        <w:t>两个构成要素中的每一要素必须单独予以确定。这就要求评估每一要素的证据。</w:t>
      </w:r>
    </w:p>
    <w:p w:rsidR="00790CCC" w:rsidRPr="00BF42B7" w:rsidRDefault="00790CCC" w:rsidP="00790CCC">
      <w:pPr>
        <w:pStyle w:val="H23GC"/>
        <w:rPr>
          <w:rFonts w:eastAsia="Calibri"/>
          <w:b/>
        </w:rPr>
      </w:pPr>
      <w:r w:rsidRPr="00BF42B7">
        <w:rPr>
          <w:rFonts w:hint="eastAsia"/>
        </w:rPr>
        <w:tab/>
      </w:r>
      <w:r w:rsidRPr="00BF42B7">
        <w:rPr>
          <w:rFonts w:hint="eastAsia"/>
        </w:rPr>
        <w:tab/>
      </w:r>
      <w:r w:rsidRPr="00BF42B7">
        <w:t>评注</w:t>
      </w:r>
    </w:p>
    <w:p w:rsidR="00790CCC" w:rsidRPr="00BF42B7" w:rsidRDefault="00790CCC" w:rsidP="00790CCC">
      <w:pPr>
        <w:pStyle w:val="SingleTxtGC"/>
        <w:rPr>
          <w:szCs w:val="21"/>
        </w:rPr>
      </w:pPr>
      <w:r w:rsidRPr="00BF42B7">
        <w:rPr>
          <w:rFonts w:eastAsia="Calibri"/>
          <w:szCs w:val="21"/>
        </w:rPr>
        <w:t>(1)</w:t>
      </w:r>
      <w:r w:rsidRPr="00BF42B7">
        <w:rPr>
          <w:rFonts w:eastAsiaTheme="minorEastAsia" w:hint="eastAsia"/>
          <w:szCs w:val="21"/>
        </w:rPr>
        <w:t xml:space="preserve">  </w:t>
      </w:r>
      <w:r w:rsidRPr="00BF42B7">
        <w:rPr>
          <w:rFonts w:hint="eastAsia"/>
          <w:szCs w:val="21"/>
        </w:rPr>
        <w:t>结论草案</w:t>
      </w:r>
      <w:r w:rsidRPr="00BF42B7">
        <w:rPr>
          <w:rFonts w:hint="eastAsia"/>
          <w:szCs w:val="21"/>
        </w:rPr>
        <w:t>3</w:t>
      </w:r>
      <w:r w:rsidRPr="00BF42B7">
        <w:rPr>
          <w:rFonts w:hint="eastAsia"/>
          <w:szCs w:val="21"/>
        </w:rPr>
        <w:t>论及如何评估习惯国际法两个构成要素的证据。</w:t>
      </w:r>
      <w:r w:rsidRPr="00BF42B7">
        <w:rPr>
          <w:rStyle w:val="a5"/>
        </w:rPr>
        <w:footnoteReference w:id="264"/>
      </w:r>
      <w:r w:rsidRPr="00BF42B7">
        <w:rPr>
          <w:rFonts w:eastAsia="Calibri" w:hint="eastAsia"/>
          <w:szCs w:val="21"/>
        </w:rPr>
        <w:t xml:space="preserve"> </w:t>
      </w:r>
      <w:r w:rsidRPr="00BF42B7">
        <w:rPr>
          <w:rFonts w:hint="eastAsia"/>
          <w:szCs w:val="21"/>
        </w:rPr>
        <w:t>该结论草案的两个段落就如何根据评估时掌握的各种证据确定习惯国际法规则的存在</w:t>
      </w:r>
      <w:r w:rsidRPr="00BF42B7">
        <w:rPr>
          <w:rFonts w:hint="eastAsia"/>
          <w:szCs w:val="21"/>
        </w:rPr>
        <w:t>(</w:t>
      </w:r>
      <w:r w:rsidRPr="00BF42B7">
        <w:rPr>
          <w:rFonts w:hint="eastAsia"/>
          <w:szCs w:val="21"/>
        </w:rPr>
        <w:t>或不存在</w:t>
      </w:r>
      <w:r w:rsidRPr="00BF42B7">
        <w:rPr>
          <w:rFonts w:hint="eastAsia"/>
          <w:szCs w:val="21"/>
        </w:rPr>
        <w:t>)</w:t>
      </w:r>
      <w:r w:rsidRPr="00BF42B7">
        <w:rPr>
          <w:rFonts w:hint="eastAsia"/>
          <w:szCs w:val="21"/>
        </w:rPr>
        <w:t>及内容提供了总体指导，这一评估过程既反映了所要求的严谨分析，也反映了习惯国际法作为国际法渊源的动态本质。</w:t>
      </w:r>
    </w:p>
    <w:p w:rsidR="00790CCC" w:rsidRPr="00BF42B7" w:rsidRDefault="00790CCC" w:rsidP="00790CCC">
      <w:pPr>
        <w:pStyle w:val="SingleTxtGC"/>
        <w:rPr>
          <w:szCs w:val="21"/>
        </w:rPr>
      </w:pPr>
      <w:r w:rsidRPr="00BF42B7">
        <w:rPr>
          <w:rFonts w:eastAsia="Calibri"/>
          <w:szCs w:val="21"/>
        </w:rPr>
        <w:t>(2)</w:t>
      </w:r>
      <w:r w:rsidRPr="00BF42B7">
        <w:rPr>
          <w:rFonts w:eastAsiaTheme="minorEastAsia" w:hint="eastAsia"/>
          <w:szCs w:val="21"/>
        </w:rPr>
        <w:t xml:space="preserve">  </w:t>
      </w:r>
      <w:r w:rsidRPr="00BF42B7">
        <w:rPr>
          <w:rFonts w:hint="eastAsia"/>
          <w:szCs w:val="21"/>
          <w:lang w:bidi="he-IL"/>
        </w:rPr>
        <w:t>第</w:t>
      </w:r>
      <w:r w:rsidRPr="00BF42B7">
        <w:rPr>
          <w:rFonts w:hint="eastAsia"/>
          <w:szCs w:val="21"/>
          <w:lang w:bidi="he-IL"/>
        </w:rPr>
        <w:t>1</w:t>
      </w:r>
      <w:r w:rsidRPr="00BF42B7">
        <w:rPr>
          <w:rFonts w:hint="eastAsia"/>
          <w:szCs w:val="21"/>
          <w:lang w:bidi="he-IL"/>
        </w:rPr>
        <w:t>段阐述了所有结论草案所立足的总原则，即评估任何可用证据时都必须认真并考虑背景。调查是否存在被接受为法律</w:t>
      </w:r>
      <w:r w:rsidRPr="00BF42B7">
        <w:rPr>
          <w:rFonts w:hint="eastAsia"/>
          <w:szCs w:val="21"/>
          <w:lang w:bidi="he-IL"/>
        </w:rPr>
        <w:t>(</w:t>
      </w:r>
      <w:r w:rsidRPr="00BF42B7">
        <w:rPr>
          <w:rFonts w:hint="eastAsia"/>
          <w:szCs w:val="21"/>
          <w:lang w:bidi="he-IL"/>
        </w:rPr>
        <w:t>伴有法律确信</w:t>
      </w:r>
      <w:r w:rsidRPr="00BF42B7">
        <w:rPr>
          <w:rFonts w:hint="eastAsia"/>
          <w:szCs w:val="21"/>
          <w:lang w:bidi="he-IL"/>
        </w:rPr>
        <w:t>)</w:t>
      </w:r>
      <w:r w:rsidRPr="00BF42B7">
        <w:rPr>
          <w:rFonts w:hint="eastAsia"/>
          <w:szCs w:val="21"/>
          <w:lang w:bidi="he-IL"/>
        </w:rPr>
        <w:t>的一般惯例时，必须考虑到有关情况，逐案认真调查。</w:t>
      </w:r>
      <w:r w:rsidRPr="00BF42B7">
        <w:rPr>
          <w:rStyle w:val="a5"/>
        </w:rPr>
        <w:footnoteReference w:id="265"/>
      </w:r>
      <w:r w:rsidRPr="00BF42B7">
        <w:rPr>
          <w:rFonts w:hint="eastAsia"/>
          <w:szCs w:val="21"/>
          <w:lang w:bidi="he-IL"/>
        </w:rPr>
        <w:t xml:space="preserve"> </w:t>
      </w:r>
      <w:r w:rsidRPr="00BF42B7">
        <w:rPr>
          <w:rFonts w:hint="eastAsia"/>
          <w:szCs w:val="21"/>
        </w:rPr>
        <w:t>这种分析不仅能提高任何具体决定的可信度，还能将两要素方法以具备必要灵活性的方式适用于国际法的所有领域。</w:t>
      </w:r>
    </w:p>
    <w:p w:rsidR="00790CCC" w:rsidRPr="00BF42B7" w:rsidRDefault="00790CCC" w:rsidP="00790CCC">
      <w:pPr>
        <w:pStyle w:val="SingleTxtGC"/>
        <w:rPr>
          <w:szCs w:val="21"/>
        </w:rPr>
      </w:pPr>
      <w:r w:rsidRPr="00BF42B7">
        <w:rPr>
          <w:rFonts w:eastAsia="Calibri"/>
          <w:szCs w:val="21"/>
        </w:rPr>
        <w:t>(3)</w:t>
      </w:r>
      <w:r w:rsidRPr="00BF42B7">
        <w:rPr>
          <w:rFonts w:eastAsiaTheme="minorEastAsia" w:hint="eastAsia"/>
          <w:szCs w:val="21"/>
        </w:rPr>
        <w:t xml:space="preserve">  </w:t>
      </w:r>
      <w:r w:rsidRPr="00BF42B7">
        <w:rPr>
          <w:rFonts w:hint="eastAsia"/>
          <w:szCs w:val="21"/>
        </w:rPr>
        <w:t>考虑总体背景这一要求反映出，需要在适用两要素方法的同时考虑所涉规则据称所规范的主体事项。这意味着，在每种情况下，必须将可适用于所涉事项的任何国际法基本原则均纳入考虑。</w:t>
      </w:r>
      <w:r w:rsidRPr="00BF42B7">
        <w:rPr>
          <w:rStyle w:val="a5"/>
        </w:rPr>
        <w:footnoteReference w:id="266"/>
      </w:r>
      <w:r w:rsidRPr="00BF42B7">
        <w:rPr>
          <w:rFonts w:eastAsia="Calibri"/>
          <w:szCs w:val="21"/>
        </w:rPr>
        <w:t xml:space="preserve"> </w:t>
      </w:r>
      <w:r w:rsidRPr="00BF42B7">
        <w:rPr>
          <w:rFonts w:hint="eastAsia"/>
          <w:szCs w:val="21"/>
        </w:rPr>
        <w:t>此外，所查阅的证据的类型</w:t>
      </w:r>
      <w:r w:rsidRPr="00BF42B7">
        <w:rPr>
          <w:rFonts w:hint="eastAsia"/>
          <w:szCs w:val="21"/>
        </w:rPr>
        <w:t>(</w:t>
      </w:r>
      <w:r w:rsidRPr="00BF42B7">
        <w:rPr>
          <w:rFonts w:hint="eastAsia"/>
          <w:szCs w:val="21"/>
        </w:rPr>
        <w:t>以及审议是否存在可用证据的工作</w:t>
      </w:r>
      <w:r w:rsidRPr="00BF42B7">
        <w:rPr>
          <w:rFonts w:hint="eastAsia"/>
          <w:szCs w:val="21"/>
        </w:rPr>
        <w:t>)</w:t>
      </w:r>
      <w:r w:rsidRPr="00BF42B7">
        <w:rPr>
          <w:rFonts w:hint="eastAsia"/>
          <w:szCs w:val="21"/>
        </w:rPr>
        <w:t>需要根据情况作出调整，某些形式的惯例和被接受为法律</w:t>
      </w:r>
      <w:r w:rsidRPr="00BF42B7">
        <w:rPr>
          <w:rFonts w:hint="eastAsia"/>
          <w:szCs w:val="21"/>
        </w:rPr>
        <w:t>(</w:t>
      </w:r>
      <w:r w:rsidRPr="00BF42B7">
        <w:rPr>
          <w:rFonts w:hint="eastAsia"/>
          <w:szCs w:val="21"/>
        </w:rPr>
        <w:t>法律确信</w:t>
      </w:r>
      <w:r w:rsidRPr="00BF42B7">
        <w:rPr>
          <w:rFonts w:hint="eastAsia"/>
          <w:szCs w:val="21"/>
        </w:rPr>
        <w:t>)</w:t>
      </w:r>
      <w:r w:rsidRPr="00BF42B7">
        <w:rPr>
          <w:rFonts w:hint="eastAsia"/>
          <w:szCs w:val="21"/>
        </w:rPr>
        <w:t>的证据依具体情况，可能具有尤为重要的意义。例如，在</w:t>
      </w:r>
      <w:r w:rsidRPr="00BF42B7">
        <w:rPr>
          <w:rFonts w:eastAsia="楷体"/>
          <w:iCs/>
          <w:szCs w:val="21"/>
        </w:rPr>
        <w:t>国家的管辖豁免案</w:t>
      </w:r>
      <w:r w:rsidRPr="00BF42B7">
        <w:rPr>
          <w:rFonts w:hint="eastAsia"/>
          <w:szCs w:val="21"/>
        </w:rPr>
        <w:t>中，国际法院认为：</w:t>
      </w:r>
    </w:p>
    <w:p w:rsidR="00790CCC" w:rsidRPr="00BF42B7" w:rsidRDefault="00790CCC" w:rsidP="00790CCC">
      <w:pPr>
        <w:pStyle w:val="SingleTxtGC"/>
        <w:ind w:left="1554"/>
        <w:rPr>
          <w:rFonts w:eastAsia="Calibri"/>
        </w:rPr>
      </w:pPr>
      <w:r w:rsidRPr="00BF42B7">
        <w:rPr>
          <w:rFonts w:hint="eastAsia"/>
        </w:rPr>
        <w:t>“就本案而言，具有尤为重要意义的国家惯例见于：国内法院在面对他国是否享有豁免的问题时作出的判决、已颁布豁免法规的国家的立法、各国向他国法院提出的豁免主张，以及各国在国际法委员会对该主题进行广泛研究时以及后来在通过《联合国</w:t>
      </w:r>
      <w:r w:rsidRPr="00BF42B7">
        <w:rPr>
          <w:rFonts w:hint="eastAsia"/>
        </w:rPr>
        <w:t>[</w:t>
      </w:r>
      <w:r w:rsidRPr="00BF42B7">
        <w:rPr>
          <w:rFonts w:hint="eastAsia"/>
        </w:rPr>
        <w:t>国家及其财产管辖豁免</w:t>
      </w:r>
      <w:r w:rsidRPr="00BF42B7">
        <w:rPr>
          <w:rFonts w:hint="eastAsia"/>
        </w:rPr>
        <w:t>]</w:t>
      </w:r>
      <w:r w:rsidRPr="00BF42B7">
        <w:rPr>
          <w:rFonts w:hint="eastAsia"/>
        </w:rPr>
        <w:t>公约》时发表的声明。本案中，特别能反映法律确信的有：提出豁免主张的国家声称国际法向本国赋予了这种豁免他国管辖的权利的声明；批准豁免的国家承认国际法对其施加了批准豁免的义务的</w:t>
      </w:r>
      <w:r w:rsidRPr="00BF42B7">
        <w:rPr>
          <w:rFonts w:hint="eastAsia"/>
          <w:spacing w:val="-4"/>
        </w:rPr>
        <w:t>声明；与此相反，还有其他案件中当事国声称本国有权对他国行使管辖的声明。”</w:t>
      </w:r>
      <w:bookmarkStart w:id="71" w:name="_Ref461974753"/>
      <w:r w:rsidRPr="00BF42B7">
        <w:rPr>
          <w:rStyle w:val="a5"/>
        </w:rPr>
        <w:footnoteReference w:id="267"/>
      </w:r>
      <w:bookmarkEnd w:id="71"/>
    </w:p>
    <w:p w:rsidR="00790CCC" w:rsidRPr="00BF42B7" w:rsidRDefault="00790CCC" w:rsidP="00790CCC">
      <w:pPr>
        <w:pStyle w:val="SingleTxtGC"/>
        <w:rPr>
          <w:szCs w:val="21"/>
        </w:rPr>
      </w:pPr>
      <w:r w:rsidRPr="00BF42B7">
        <w:rPr>
          <w:rFonts w:eastAsia="Calibri"/>
          <w:szCs w:val="21"/>
        </w:rPr>
        <w:t>(4)</w:t>
      </w:r>
      <w:r w:rsidRPr="00BF42B7">
        <w:rPr>
          <w:rFonts w:eastAsiaTheme="minorEastAsia" w:hint="eastAsia"/>
          <w:szCs w:val="21"/>
        </w:rPr>
        <w:t xml:space="preserve">  </w:t>
      </w:r>
      <w:r w:rsidRPr="00BF42B7">
        <w:rPr>
          <w:rFonts w:hint="eastAsia"/>
          <w:szCs w:val="21"/>
        </w:rPr>
        <w:t>在评估证据以确定是否存在被接受为法律</w:t>
      </w:r>
      <w:r w:rsidRPr="00BF42B7">
        <w:rPr>
          <w:rFonts w:hint="eastAsia"/>
          <w:szCs w:val="21"/>
        </w:rPr>
        <w:t>(</w:t>
      </w:r>
      <w:r w:rsidRPr="00BF42B7">
        <w:rPr>
          <w:rFonts w:hint="eastAsia"/>
          <w:szCs w:val="21"/>
        </w:rPr>
        <w:t>伴有法律确信</w:t>
      </w:r>
      <w:r w:rsidRPr="00BF42B7">
        <w:rPr>
          <w:rFonts w:hint="eastAsia"/>
          <w:szCs w:val="21"/>
        </w:rPr>
        <w:t>)</w:t>
      </w:r>
      <w:r w:rsidRPr="00BF42B7">
        <w:rPr>
          <w:rFonts w:hint="eastAsia"/>
          <w:szCs w:val="21"/>
        </w:rPr>
        <w:t>的一般惯例时，所涉规则的性质也可具有重要意义。特别是，在涉及禁止性规则</w:t>
      </w:r>
      <w:r w:rsidRPr="00BF42B7">
        <w:rPr>
          <w:rFonts w:hint="eastAsia"/>
          <w:szCs w:val="21"/>
        </w:rPr>
        <w:t>(</w:t>
      </w:r>
      <w:r w:rsidRPr="00BF42B7">
        <w:rPr>
          <w:rFonts w:hint="eastAsia"/>
          <w:szCs w:val="21"/>
        </w:rPr>
        <w:t>例如禁止酷刑</w:t>
      </w:r>
      <w:r w:rsidRPr="00BF42B7">
        <w:rPr>
          <w:rFonts w:hint="eastAsia"/>
          <w:szCs w:val="21"/>
        </w:rPr>
        <w:t>)</w:t>
      </w:r>
      <w:r w:rsidRPr="00BF42B7">
        <w:rPr>
          <w:rFonts w:hint="eastAsia"/>
          <w:szCs w:val="21"/>
        </w:rPr>
        <w:t>时，有时可能难以找到</w:t>
      </w:r>
      <w:r w:rsidRPr="00BF42B7">
        <w:rPr>
          <w:rFonts w:hint="eastAsia"/>
          <w:szCs w:val="21"/>
        </w:rPr>
        <w:t>(</w:t>
      </w:r>
      <w:r w:rsidRPr="00BF42B7">
        <w:rPr>
          <w:rFonts w:hint="eastAsia"/>
          <w:szCs w:val="21"/>
        </w:rPr>
        <w:t>与不作为相反的</w:t>
      </w:r>
      <w:r w:rsidRPr="00BF42B7">
        <w:rPr>
          <w:rFonts w:hint="eastAsia"/>
          <w:szCs w:val="21"/>
        </w:rPr>
        <w:t>)</w:t>
      </w:r>
      <w:r w:rsidRPr="00BF42B7">
        <w:rPr>
          <w:rFonts w:hint="eastAsia"/>
          <w:szCs w:val="21"/>
        </w:rPr>
        <w:t>积极的国家惯例；对涉及这种规则的案件，很可能取决于评价</w:t>
      </w:r>
      <w:r w:rsidRPr="00BF42B7">
        <w:rPr>
          <w:rFonts w:hint="eastAsia"/>
          <w:szCs w:val="21"/>
        </w:rPr>
        <w:t>(</w:t>
      </w:r>
      <w:r w:rsidRPr="00BF42B7">
        <w:rPr>
          <w:rFonts w:hint="eastAsia"/>
          <w:szCs w:val="21"/>
        </w:rPr>
        <w:t>故意不作为的</w:t>
      </w:r>
      <w:r w:rsidRPr="00BF42B7">
        <w:rPr>
          <w:rFonts w:hint="eastAsia"/>
          <w:szCs w:val="21"/>
        </w:rPr>
        <w:t>)</w:t>
      </w:r>
      <w:r w:rsidRPr="00BF42B7">
        <w:rPr>
          <w:rFonts w:hint="eastAsia"/>
          <w:szCs w:val="21"/>
        </w:rPr>
        <w:t>惯例是否被接受为法律。</w:t>
      </w:r>
      <w:r w:rsidRPr="00BF42B7">
        <w:rPr>
          <w:rStyle w:val="a5"/>
        </w:rPr>
        <w:footnoteReference w:id="268"/>
      </w:r>
    </w:p>
    <w:p w:rsidR="00790CCC" w:rsidRPr="00BF42B7" w:rsidRDefault="00790CCC" w:rsidP="00790CCC">
      <w:pPr>
        <w:pStyle w:val="SingleTxtGC"/>
        <w:rPr>
          <w:szCs w:val="21"/>
        </w:rPr>
      </w:pPr>
      <w:r w:rsidRPr="00BF42B7">
        <w:rPr>
          <w:rFonts w:eastAsia="Calibri"/>
          <w:szCs w:val="21"/>
        </w:rPr>
        <w:t>(5)</w:t>
      </w:r>
      <w:r w:rsidRPr="00BF42B7">
        <w:rPr>
          <w:rFonts w:eastAsiaTheme="minorEastAsia" w:hint="eastAsia"/>
          <w:szCs w:val="21"/>
        </w:rPr>
        <w:t xml:space="preserve">  </w:t>
      </w:r>
      <w:r w:rsidRPr="00BF42B7">
        <w:rPr>
          <w:rFonts w:hint="eastAsia"/>
          <w:szCs w:val="21"/>
        </w:rPr>
        <w:t>鉴于行为可能充斥着不明晰之处，第</w:t>
      </w:r>
      <w:r w:rsidRPr="00BF42B7">
        <w:rPr>
          <w:rFonts w:hint="eastAsia"/>
          <w:szCs w:val="21"/>
        </w:rPr>
        <w:t>1</w:t>
      </w:r>
      <w:r w:rsidRPr="00BF42B7">
        <w:rPr>
          <w:rFonts w:hint="eastAsia"/>
          <w:szCs w:val="21"/>
        </w:rPr>
        <w:t>款进一步指出，对任何证据，均必须考虑到其</w:t>
      </w:r>
      <w:r w:rsidRPr="00BF42B7">
        <w:rPr>
          <w:rFonts w:ascii="宋体" w:hAnsi="宋体" w:cs="宋体" w:hint="eastAsia"/>
          <w:szCs w:val="21"/>
        </w:rPr>
        <w:t>所处的具体情况</w:t>
      </w:r>
      <w:r w:rsidRPr="00BF42B7">
        <w:rPr>
          <w:rFonts w:hint="eastAsia"/>
          <w:szCs w:val="21"/>
        </w:rPr>
        <w:t>；只有这样做之后，方能对证据赋予适当的权重。例如，在</w:t>
      </w:r>
      <w:r w:rsidRPr="00BF42B7">
        <w:rPr>
          <w:rFonts w:eastAsia="楷体" w:hint="eastAsia"/>
          <w:szCs w:val="21"/>
        </w:rPr>
        <w:t>摩洛哥境内美国国民案</w:t>
      </w:r>
      <w:r w:rsidRPr="00BF42B7">
        <w:rPr>
          <w:rFonts w:hint="eastAsia"/>
          <w:szCs w:val="21"/>
        </w:rPr>
        <w:t>中，国际法院在试图确定是否存在一项</w:t>
      </w:r>
      <w:r w:rsidRPr="00BF42B7">
        <w:rPr>
          <w:rFonts w:hint="eastAsia"/>
          <w:szCs w:val="21"/>
        </w:rPr>
        <w:t>(</w:t>
      </w:r>
      <w:r w:rsidRPr="00BF42B7">
        <w:rPr>
          <w:rFonts w:hint="eastAsia"/>
          <w:szCs w:val="21"/>
        </w:rPr>
        <w:t>特别</w:t>
      </w:r>
      <w:r w:rsidRPr="00BF42B7">
        <w:rPr>
          <w:rFonts w:hint="eastAsia"/>
          <w:szCs w:val="21"/>
        </w:rPr>
        <w:t>)</w:t>
      </w:r>
      <w:r w:rsidRPr="00BF42B7">
        <w:rPr>
          <w:rFonts w:hint="eastAsia"/>
          <w:szCs w:val="21"/>
        </w:rPr>
        <w:t>习惯国际法规则时表示：</w:t>
      </w:r>
    </w:p>
    <w:p w:rsidR="00790CCC" w:rsidRPr="00BF42B7" w:rsidRDefault="00790CCC" w:rsidP="00790CCC">
      <w:pPr>
        <w:pStyle w:val="SingleTxtGC"/>
        <w:ind w:left="1554"/>
        <w:rPr>
          <w:szCs w:val="21"/>
        </w:rPr>
      </w:pPr>
      <w:r w:rsidRPr="00BF42B7">
        <w:rPr>
          <w:rFonts w:hint="eastAsia"/>
          <w:szCs w:val="21"/>
        </w:rPr>
        <w:t>“外交信函中有一些零星的表述，如果脱离上下文予以考虑，可能会将之视为对美国行使领事管辖权和其他领事裁判权的主张予以承认。另一方面，法院</w:t>
      </w:r>
      <w:r w:rsidRPr="00BF42B7">
        <w:rPr>
          <w:rFonts w:hint="eastAsia"/>
          <w:szCs w:val="21"/>
        </w:rPr>
        <w:t>[</w:t>
      </w:r>
      <w:r w:rsidRPr="00BF42B7">
        <w:rPr>
          <w:rFonts w:hint="eastAsia"/>
          <w:szCs w:val="21"/>
        </w:rPr>
        <w:t>不能</w:t>
      </w:r>
      <w:r w:rsidRPr="00BF42B7">
        <w:rPr>
          <w:rFonts w:hint="eastAsia"/>
          <w:szCs w:val="21"/>
        </w:rPr>
        <w:t>]</w:t>
      </w:r>
      <w:r w:rsidRPr="00BF42B7">
        <w:rPr>
          <w:rFonts w:hint="eastAsia"/>
          <w:szCs w:val="21"/>
        </w:rPr>
        <w:t>无视信函的主旨，这一主旨表明法国和美国始终试图找到双方同意的解决办法，且双方均无意就自身的法律立场作出让步。”</w:t>
      </w:r>
      <w:bookmarkStart w:id="72" w:name="_Ref461975485"/>
      <w:r w:rsidRPr="00BF42B7">
        <w:rPr>
          <w:rStyle w:val="a5"/>
        </w:rPr>
        <w:footnoteReference w:id="269"/>
      </w:r>
      <w:bookmarkEnd w:id="72"/>
    </w:p>
    <w:p w:rsidR="00790CCC" w:rsidRPr="00BF42B7" w:rsidRDefault="00790CCC" w:rsidP="00790CCC">
      <w:pPr>
        <w:pStyle w:val="SingleTxtGC"/>
      </w:pPr>
      <w:r w:rsidRPr="00BF42B7">
        <w:rPr>
          <w:rFonts w:hint="eastAsia"/>
        </w:rPr>
        <w:t>在将法律作为惯例予以考虑时，有时法律被解释和适用的方式可能比实际案文更加重要。国内法院的判决若被立法机关撤销或因为担心与国际法不一致而未予执行，则重要性会降低。就份量而言，即兴或一时激动下作出的声明通常低于认真考虑作出的声明；低级官员的声明可能低于政府高级成员的声明。若当事国不抗议，则不抗议的重要性取决于所有具体情况，若对方已经采取了具体的行动、当事国知晓这种行动且这种行动对其利益有直接不利影响，则该国不抗议的做法可能尤为重要。并且，若一国的某项惯例不符合其显然利益，或者会给该国带来不小的代价，则更有可能反映出该项惯例已被接受为法律。</w:t>
      </w:r>
    </w:p>
    <w:p w:rsidR="00790CCC" w:rsidRPr="00BF42B7" w:rsidRDefault="00790CCC" w:rsidP="00790CCC">
      <w:pPr>
        <w:pStyle w:val="SingleTxtGC"/>
      </w:pPr>
      <w:r w:rsidRPr="00BF42B7">
        <w:rPr>
          <w:rFonts w:eastAsia="Calibri"/>
        </w:rPr>
        <w:t>(6)</w:t>
      </w:r>
      <w:r w:rsidRPr="00BF42B7">
        <w:rPr>
          <w:rFonts w:eastAsiaTheme="minorEastAsia" w:hint="eastAsia"/>
        </w:rPr>
        <w:t xml:space="preserve">  </w:t>
      </w:r>
      <w:r w:rsidRPr="00BF42B7">
        <w:rPr>
          <w:rFonts w:hint="eastAsia"/>
        </w:rPr>
        <w:t>第</w:t>
      </w:r>
      <w:r w:rsidRPr="00BF42B7">
        <w:rPr>
          <w:rFonts w:hint="eastAsia"/>
        </w:rPr>
        <w:t>2</w:t>
      </w:r>
      <w:r w:rsidRPr="00BF42B7">
        <w:rPr>
          <w:rFonts w:hint="eastAsia"/>
        </w:rPr>
        <w:t>段指出，只有确定两个构成要素均存在，方能识别习惯国际法规则的存在及内容，并解释称，这要求对每一要素的证据进行评估。换言之，惯例和被接受为法律</w:t>
      </w:r>
      <w:r w:rsidRPr="00BF42B7">
        <w:rPr>
          <w:rFonts w:hint="eastAsia"/>
        </w:rPr>
        <w:t>(</w:t>
      </w:r>
      <w:r w:rsidRPr="00BF42B7">
        <w:rPr>
          <w:rFonts w:hint="eastAsia"/>
        </w:rPr>
        <w:t>法律确信</w:t>
      </w:r>
      <w:r w:rsidRPr="00BF42B7">
        <w:rPr>
          <w:rFonts w:hint="eastAsia"/>
        </w:rPr>
        <w:t>)</w:t>
      </w:r>
      <w:r w:rsidRPr="00BF42B7">
        <w:rPr>
          <w:rFonts w:hint="eastAsia"/>
        </w:rPr>
        <w:t>一起方能提供识别习惯国际法所必需的信息，但需要开展两项单独的调查。虽然两个构成要素可能事实上相互交织</w:t>
      </w:r>
      <w:r w:rsidRPr="00BF42B7">
        <w:rPr>
          <w:rFonts w:hint="eastAsia"/>
        </w:rPr>
        <w:t>(</w:t>
      </w:r>
      <w:r w:rsidRPr="00BF42B7">
        <w:rPr>
          <w:rFonts w:hint="eastAsia"/>
        </w:rPr>
        <w:t>惯例背后可能伴随着某种动机</w:t>
      </w:r>
      <w:r w:rsidRPr="00BF42B7">
        <w:rPr>
          <w:rFonts w:hint="eastAsia"/>
        </w:rPr>
        <w:t>)</w:t>
      </w:r>
      <w:r w:rsidRPr="00BF42B7">
        <w:rPr>
          <w:rFonts w:hint="eastAsia"/>
        </w:rPr>
        <w:t>，但就识别习惯国际法规则的目的而言，每一个要素在概念上都是单独的。</w:t>
      </w:r>
    </w:p>
    <w:p w:rsidR="00790CCC" w:rsidRPr="00BF42B7" w:rsidRDefault="00790CCC" w:rsidP="00790CCC">
      <w:pPr>
        <w:pStyle w:val="SingleTxtGC"/>
      </w:pPr>
      <w:r w:rsidRPr="00BF42B7">
        <w:rPr>
          <w:rFonts w:eastAsia="Calibri"/>
        </w:rPr>
        <w:t>(7)</w:t>
      </w:r>
      <w:r w:rsidRPr="00BF42B7">
        <w:rPr>
          <w:rFonts w:eastAsiaTheme="minorEastAsia" w:hint="eastAsia"/>
        </w:rPr>
        <w:t xml:space="preserve">  </w:t>
      </w:r>
      <w:r w:rsidRPr="00BF42B7">
        <w:rPr>
          <w:rFonts w:hint="eastAsia"/>
        </w:rPr>
        <w:t>虽然习惯国际法表现在伴有法律确信的行为的具体实例上，但构成有关惯例的行动本身并不是被接受为法律的证据。此外，被接受为法律</w:t>
      </w:r>
      <w:r w:rsidRPr="00BF42B7">
        <w:rPr>
          <w:rFonts w:hint="eastAsia"/>
        </w:rPr>
        <w:t>(</w:t>
      </w:r>
      <w:r w:rsidRPr="00BF42B7">
        <w:rPr>
          <w:rFonts w:hint="eastAsia"/>
        </w:rPr>
        <w:t>法律确信</w:t>
      </w:r>
      <w:r w:rsidRPr="00BF42B7">
        <w:rPr>
          <w:rFonts w:hint="eastAsia"/>
        </w:rPr>
        <w:t>)</w:t>
      </w:r>
      <w:r w:rsidRPr="00BF42B7">
        <w:rPr>
          <w:rFonts w:hint="eastAsia"/>
        </w:rPr>
        <w:t>不仅涉及惯例的参与方，还涉及有能力对惯例作出反应的各方。因此，仅从所涉惯例并不能推断出被接受为法律；用国际法院的话说，“以某种方式行动或同意以某种方式行动，本身并不能证明任何法律性质的结论”</w:t>
      </w:r>
      <w:r w:rsidRPr="00BF42B7">
        <w:rPr>
          <w:rFonts w:hint="eastAsia"/>
          <w:szCs w:val="21"/>
        </w:rPr>
        <w:t>。</w:t>
      </w:r>
      <w:r w:rsidRPr="00BF42B7">
        <w:rPr>
          <w:rStyle w:val="a5"/>
        </w:rPr>
        <w:footnoteReference w:id="270"/>
      </w:r>
    </w:p>
    <w:p w:rsidR="00790CCC" w:rsidRPr="00BF42B7" w:rsidRDefault="00790CCC" w:rsidP="00790CCC">
      <w:pPr>
        <w:pStyle w:val="SingleTxtGC"/>
      </w:pPr>
      <w:r w:rsidRPr="00BF42B7">
        <w:rPr>
          <w:rFonts w:eastAsia="Calibri"/>
        </w:rPr>
        <w:t>(8)</w:t>
      </w:r>
      <w:r w:rsidRPr="00BF42B7">
        <w:rPr>
          <w:rFonts w:eastAsiaTheme="minorEastAsia" w:hint="eastAsia"/>
        </w:rPr>
        <w:t xml:space="preserve">  </w:t>
      </w:r>
      <w:r w:rsidRPr="00BF42B7">
        <w:rPr>
          <w:rFonts w:hint="eastAsia"/>
        </w:rPr>
        <w:t>第</w:t>
      </w:r>
      <w:r w:rsidRPr="00BF42B7">
        <w:rPr>
          <w:rFonts w:hint="eastAsia"/>
        </w:rPr>
        <w:t>2</w:t>
      </w:r>
      <w:r w:rsidRPr="00BF42B7">
        <w:rPr>
          <w:rFonts w:hint="eastAsia"/>
        </w:rPr>
        <w:t>段强调，不可仅从一个要素的存在而推断出另一个要素的存在，需要对每个要素开展单独的调查。尽管如此，该段并不排除同一材料可既用于查明惯例，又用于查明被接受为法律</w:t>
      </w:r>
      <w:r w:rsidRPr="00BF42B7">
        <w:rPr>
          <w:rFonts w:hint="eastAsia"/>
        </w:rPr>
        <w:t>(</w:t>
      </w:r>
      <w:r w:rsidRPr="00BF42B7">
        <w:rPr>
          <w:rFonts w:hint="eastAsia"/>
        </w:rPr>
        <w:t>法律确信</w:t>
      </w:r>
      <w:r w:rsidRPr="00BF42B7">
        <w:rPr>
          <w:rFonts w:hint="eastAsia"/>
        </w:rPr>
        <w:t>)</w:t>
      </w:r>
      <w:r w:rsidRPr="00BF42B7">
        <w:rPr>
          <w:rFonts w:hint="eastAsia"/>
        </w:rPr>
        <w:t>。例如，国内法院的一项判决可能既是有关惯例，又能表明其结果是习惯国际法的要求。但重点依然是，必须将该材料作为两项单独调查的一部分予以研究，以查明惯例和查明被接受为法律的情况。</w:t>
      </w:r>
    </w:p>
    <w:p w:rsidR="00790CCC" w:rsidRPr="00BF42B7" w:rsidRDefault="00790CCC" w:rsidP="00790CCC">
      <w:pPr>
        <w:pStyle w:val="SingleTxtGC"/>
      </w:pPr>
      <w:r w:rsidRPr="00BF42B7">
        <w:t>(9)</w:t>
      </w:r>
      <w:r w:rsidRPr="00BF42B7">
        <w:rPr>
          <w:rFonts w:hint="eastAsia"/>
        </w:rPr>
        <w:t xml:space="preserve">  </w:t>
      </w:r>
      <w:r w:rsidRPr="00BF42B7">
        <w:rPr>
          <w:rFonts w:hint="eastAsia"/>
        </w:rPr>
        <w:t>在习惯国际法规则的识别过程中，是否存在一般惯例往往是首先考虑的因素，只有确定这个问题之后才开始调查这种一般惯例是否被接受为法律，但这一调查顺序并不是强制的。识别习惯国际法规则也可先评估据称表达了某种法律确信的书面案文或声明，之后再试图验证是否存在与之相对应的一般惯例。</w:t>
      </w:r>
    </w:p>
    <w:p w:rsidR="00790CCC" w:rsidRPr="00BF42B7" w:rsidRDefault="00790CCC" w:rsidP="00C64929">
      <w:pPr>
        <w:pStyle w:val="H23GC"/>
        <w:ind w:left="1554"/>
      </w:pPr>
      <w:r w:rsidRPr="00BF42B7">
        <w:rPr>
          <w:rFonts w:hint="eastAsia"/>
        </w:rPr>
        <w:tab/>
      </w:r>
      <w:r w:rsidRPr="00BF42B7">
        <w:rPr>
          <w:rFonts w:hint="eastAsia"/>
        </w:rPr>
        <w:tab/>
      </w:r>
      <w:r w:rsidRPr="00BF42B7">
        <w:rPr>
          <w:rFonts w:hint="eastAsia"/>
        </w:rPr>
        <w:t>第三部分</w:t>
      </w:r>
      <w:r w:rsidRPr="00BF42B7">
        <w:br/>
      </w:r>
      <w:r w:rsidRPr="00BF42B7">
        <w:rPr>
          <w:rFonts w:hint="eastAsia"/>
        </w:rPr>
        <w:t>一般惯例</w:t>
      </w:r>
    </w:p>
    <w:p w:rsidR="00790CCC" w:rsidRPr="00BF42B7" w:rsidRDefault="00790CCC" w:rsidP="00E552D3">
      <w:pPr>
        <w:pStyle w:val="SingleTxtGC"/>
        <w:tabs>
          <w:tab w:val="clear" w:pos="431"/>
          <w:tab w:val="clear" w:pos="1565"/>
        </w:tabs>
        <w:ind w:left="1554"/>
      </w:pPr>
      <w:r w:rsidRPr="00BF42B7">
        <w:rPr>
          <w:rFonts w:hint="eastAsia"/>
        </w:rPr>
        <w:tab/>
      </w:r>
      <w:r w:rsidRPr="00BF42B7">
        <w:rPr>
          <w:rFonts w:hint="eastAsia"/>
        </w:rPr>
        <w:t>如结论草案</w:t>
      </w:r>
      <w:r w:rsidRPr="00BF42B7">
        <w:rPr>
          <w:rFonts w:hint="eastAsia"/>
        </w:rPr>
        <w:t>2</w:t>
      </w:r>
      <w:r w:rsidRPr="00BF42B7">
        <w:rPr>
          <w:rFonts w:hint="eastAsia"/>
        </w:rPr>
        <w:t>所述，既确定存在一项一般惯例又确定这一惯例被接受为法律</w:t>
      </w:r>
      <w:r w:rsidRPr="00BF42B7">
        <w:rPr>
          <w:rFonts w:eastAsia="Calibri"/>
        </w:rPr>
        <w:t>(</w:t>
      </w:r>
      <w:r w:rsidRPr="00BF42B7">
        <w:rPr>
          <w:rFonts w:ascii="宋体" w:hAnsi="宋体" w:cs="宋体" w:hint="eastAsia"/>
          <w:iCs/>
        </w:rPr>
        <w:t>法律确信</w:t>
      </w:r>
      <w:r w:rsidRPr="00BF42B7">
        <w:rPr>
          <w:rFonts w:eastAsia="Calibri"/>
        </w:rPr>
        <w:t>)</w:t>
      </w:r>
      <w:r w:rsidRPr="00BF42B7">
        <w:rPr>
          <w:rFonts w:hint="eastAsia"/>
        </w:rPr>
        <w:t>，是识别习惯国际法规则的必不可少的要求。第三部分就习惯国际法两个构成要素中的第一个</w:t>
      </w:r>
      <w:r w:rsidRPr="00BF42B7">
        <w:rPr>
          <w:rFonts w:hint="eastAsia"/>
          <w:spacing w:val="-50"/>
        </w:rPr>
        <w:t>―</w:t>
      </w:r>
      <w:r w:rsidRPr="00BF42B7">
        <w:rPr>
          <w:rFonts w:hint="eastAsia"/>
        </w:rPr>
        <w:t>―“一项一般惯例”提供了更加详细的指导。该要素又称“实质”或“客观”要素，</w:t>
      </w:r>
      <w:r w:rsidRPr="00BF42B7">
        <w:rPr>
          <w:rStyle w:val="a5"/>
        </w:rPr>
        <w:footnoteReference w:id="271"/>
      </w:r>
      <w:r w:rsidRPr="00BF42B7">
        <w:rPr>
          <w:rFonts w:hint="eastAsia"/>
        </w:rPr>
        <w:t xml:space="preserve"> </w:t>
      </w:r>
      <w:r w:rsidRPr="00BF42B7">
        <w:rPr>
          <w:rFonts w:hint="eastAsia"/>
        </w:rPr>
        <w:t>指</w:t>
      </w:r>
      <w:r w:rsidRPr="00BF42B7">
        <w:rPr>
          <w:rFonts w:hint="eastAsia"/>
        </w:rPr>
        <w:t>(</w:t>
      </w:r>
      <w:r w:rsidRPr="00BF42B7">
        <w:rPr>
          <w:rFonts w:hint="eastAsia"/>
        </w:rPr>
        <w:t>在被接受为法律的同时</w:t>
      </w:r>
      <w:r w:rsidRPr="00BF42B7">
        <w:rPr>
          <w:rFonts w:hint="eastAsia"/>
        </w:rPr>
        <w:t>)</w:t>
      </w:r>
      <w:r w:rsidRPr="00BF42B7">
        <w:rPr>
          <w:rFonts w:hint="eastAsia"/>
        </w:rPr>
        <w:t>能创立或表述习惯国际法的行为的实例。在评估一项一般惯例是否实际存在时，必须考虑若干因素。</w:t>
      </w:r>
    </w:p>
    <w:p w:rsidR="00790CCC" w:rsidRPr="00BF42B7" w:rsidRDefault="00790CCC" w:rsidP="00790CCC">
      <w:pPr>
        <w:pStyle w:val="H23GC"/>
        <w:ind w:left="1554"/>
      </w:pPr>
      <w:bookmarkStart w:id="73" w:name="DC4"/>
      <w:r w:rsidRPr="00BF42B7">
        <w:rPr>
          <w:rFonts w:hint="eastAsia"/>
        </w:rPr>
        <w:tab/>
      </w:r>
      <w:r w:rsidRPr="00BF42B7">
        <w:rPr>
          <w:rFonts w:hint="eastAsia"/>
        </w:rPr>
        <w:tab/>
      </w:r>
      <w:r w:rsidRPr="00BF42B7">
        <w:rPr>
          <w:rFonts w:hint="eastAsia"/>
        </w:rPr>
        <w:t>结论</w:t>
      </w:r>
      <w:r w:rsidRPr="00BF42B7">
        <w:t>4</w:t>
      </w:r>
      <w:bookmarkEnd w:id="73"/>
      <w:r w:rsidRPr="00BF42B7">
        <w:rPr>
          <w:rFonts w:hint="eastAsia"/>
        </w:rPr>
        <w:br/>
      </w:r>
      <w:r w:rsidRPr="00BF42B7">
        <w:rPr>
          <w:rFonts w:hint="eastAsia"/>
        </w:rPr>
        <w:t>惯例的要求</w:t>
      </w:r>
    </w:p>
    <w:p w:rsidR="00790CCC" w:rsidRPr="00BF42B7" w:rsidRDefault="00790CCC" w:rsidP="00790CCC">
      <w:pPr>
        <w:pStyle w:val="SingleTxtGC"/>
        <w:ind w:left="1554"/>
      </w:pPr>
      <w:r w:rsidRPr="00BF42B7">
        <w:rPr>
          <w:rFonts w:eastAsia="黑体"/>
        </w:rPr>
        <w:t>1.</w:t>
      </w:r>
      <w:r w:rsidRPr="00BF42B7">
        <w:rPr>
          <w:rFonts w:hint="eastAsia"/>
        </w:rPr>
        <w:tab/>
      </w:r>
      <w:r w:rsidRPr="00BF42B7">
        <w:rPr>
          <w:rFonts w:hint="eastAsia"/>
        </w:rPr>
        <w:t>关于须有一般惯例的要求作为习惯国际法的构成要素，意味着主要是国家惯例有助于习惯国际法规则的形成或表述。</w:t>
      </w:r>
    </w:p>
    <w:p w:rsidR="00790CCC" w:rsidRPr="00BF42B7" w:rsidRDefault="00790CCC" w:rsidP="00790CCC">
      <w:pPr>
        <w:pStyle w:val="SingleTxtGC"/>
        <w:ind w:left="1554"/>
        <w:rPr>
          <w:rFonts w:eastAsia="黑体"/>
        </w:rPr>
      </w:pPr>
      <w:r w:rsidRPr="00BF42B7">
        <w:rPr>
          <w:rFonts w:eastAsia="黑体"/>
        </w:rPr>
        <w:t>2.</w:t>
      </w:r>
      <w:r w:rsidRPr="00BF42B7">
        <w:rPr>
          <w:rFonts w:hint="eastAsia"/>
        </w:rPr>
        <w:tab/>
      </w:r>
      <w:r w:rsidRPr="00BF42B7">
        <w:rPr>
          <w:rFonts w:hint="eastAsia"/>
        </w:rPr>
        <w:t>在某些情况下，国际组织的惯例也有助于习惯国际法规则的形成或表述。</w:t>
      </w:r>
    </w:p>
    <w:p w:rsidR="00790CCC" w:rsidRPr="00BF42B7" w:rsidRDefault="00790CCC" w:rsidP="00790CCC">
      <w:pPr>
        <w:pStyle w:val="SingleTxtGC"/>
        <w:ind w:left="1554"/>
        <w:rPr>
          <w:rFonts w:eastAsia="黑体"/>
        </w:rPr>
      </w:pPr>
      <w:r w:rsidRPr="00BF42B7">
        <w:rPr>
          <w:rFonts w:eastAsia="黑体"/>
        </w:rPr>
        <w:t>3.</w:t>
      </w:r>
      <w:r w:rsidRPr="00BF42B7">
        <w:rPr>
          <w:rFonts w:hint="eastAsia"/>
        </w:rPr>
        <w:tab/>
      </w:r>
      <w:r w:rsidRPr="00BF42B7">
        <w:rPr>
          <w:rFonts w:hint="eastAsia"/>
        </w:rPr>
        <w:t>其他行为者的行为不是有助于习惯国际法规则形成或表述的惯例，但在评估第</w:t>
      </w:r>
      <w:r w:rsidRPr="00BF42B7">
        <w:rPr>
          <w:rFonts w:eastAsia="黑体" w:hint="eastAsia"/>
        </w:rPr>
        <w:t>1</w:t>
      </w:r>
      <w:r w:rsidRPr="00BF42B7">
        <w:rPr>
          <w:rFonts w:hint="eastAsia"/>
        </w:rPr>
        <w:t>和第</w:t>
      </w:r>
      <w:r w:rsidRPr="00BF42B7">
        <w:rPr>
          <w:rFonts w:eastAsia="黑体" w:hint="eastAsia"/>
        </w:rPr>
        <w:t>2</w:t>
      </w:r>
      <w:r w:rsidRPr="00BF42B7">
        <w:rPr>
          <w:rFonts w:hint="eastAsia"/>
        </w:rPr>
        <w:t>段所指的惯例时可能相关。</w:t>
      </w:r>
    </w:p>
    <w:p w:rsidR="00790CCC" w:rsidRPr="00BF42B7" w:rsidRDefault="00790CCC" w:rsidP="00790CCC">
      <w:pPr>
        <w:pStyle w:val="H23GC"/>
        <w:rPr>
          <w:rFonts w:eastAsia="Calibri"/>
          <w:b/>
        </w:rPr>
      </w:pPr>
      <w:r w:rsidRPr="00BF42B7">
        <w:rPr>
          <w:rFonts w:hint="eastAsia"/>
        </w:rPr>
        <w:tab/>
      </w:r>
      <w:r w:rsidRPr="00BF42B7">
        <w:rPr>
          <w:rFonts w:hint="eastAsia"/>
        </w:rPr>
        <w:tab/>
      </w:r>
      <w:r w:rsidRPr="00BF42B7">
        <w:t>评注</w:t>
      </w:r>
    </w:p>
    <w:p w:rsidR="00790CCC" w:rsidRPr="00BF42B7" w:rsidRDefault="00790CCC" w:rsidP="00790CCC">
      <w:pPr>
        <w:pStyle w:val="SingleTxtGC"/>
        <w:rPr>
          <w:szCs w:val="21"/>
        </w:rPr>
      </w:pPr>
      <w:r w:rsidRPr="00BF42B7">
        <w:rPr>
          <w:rFonts w:eastAsia="Calibri"/>
          <w:szCs w:val="21"/>
        </w:rPr>
        <w:t>(1)</w:t>
      </w:r>
      <w:r w:rsidRPr="00BF42B7">
        <w:rPr>
          <w:rFonts w:eastAsiaTheme="minorEastAsia" w:hint="eastAsia"/>
          <w:szCs w:val="21"/>
        </w:rPr>
        <w:t xml:space="preserve">  </w:t>
      </w:r>
      <w:r w:rsidRPr="00BF42B7">
        <w:rPr>
          <w:rFonts w:hint="eastAsia"/>
          <w:szCs w:val="21"/>
        </w:rPr>
        <w:t>结论草案</w:t>
      </w:r>
      <w:r w:rsidRPr="00BF42B7">
        <w:rPr>
          <w:rFonts w:hint="eastAsia"/>
          <w:szCs w:val="21"/>
        </w:rPr>
        <w:t>4</w:t>
      </w:r>
      <w:r w:rsidRPr="00BF42B7">
        <w:rPr>
          <w:rFonts w:hint="eastAsia"/>
          <w:szCs w:val="21"/>
        </w:rPr>
        <w:t>具体说明了在确定一项习惯国际法规则的存在及其作用时，应考虑来自哪方的惯例。</w:t>
      </w:r>
    </w:p>
    <w:p w:rsidR="00790CCC" w:rsidRPr="00BF42B7" w:rsidRDefault="00790CCC" w:rsidP="00790CCC">
      <w:pPr>
        <w:pStyle w:val="SingleTxtGC"/>
        <w:rPr>
          <w:szCs w:val="21"/>
          <w:lang w:bidi="he-IL"/>
        </w:rPr>
      </w:pPr>
      <w:r w:rsidRPr="00BF42B7">
        <w:rPr>
          <w:rFonts w:eastAsia="Calibri"/>
          <w:szCs w:val="21"/>
        </w:rPr>
        <w:t>(2)</w:t>
      </w:r>
      <w:r w:rsidRPr="00BF42B7">
        <w:rPr>
          <w:rFonts w:eastAsiaTheme="minorEastAsia" w:hint="eastAsia"/>
          <w:szCs w:val="21"/>
        </w:rPr>
        <w:t xml:space="preserve">  </w:t>
      </w:r>
      <w:r w:rsidRPr="00BF42B7">
        <w:rPr>
          <w:rFonts w:hint="eastAsia"/>
          <w:szCs w:val="21"/>
        </w:rPr>
        <w:t>第</w:t>
      </w:r>
      <w:r w:rsidRPr="00BF42B7">
        <w:rPr>
          <w:rFonts w:eastAsia="Calibri"/>
          <w:szCs w:val="21"/>
        </w:rPr>
        <w:t>1</w:t>
      </w:r>
      <w:r w:rsidRPr="00BF42B7">
        <w:rPr>
          <w:rFonts w:hint="eastAsia"/>
          <w:szCs w:val="21"/>
        </w:rPr>
        <w:t>段明确指出，在确定习惯国际法规则的存在及内容时，原则上应审视国家惯例；确实，习惯国际法的实质要素常常被称为“国家惯例”。</w:t>
      </w:r>
      <w:r w:rsidRPr="00BF42B7">
        <w:rPr>
          <w:rStyle w:val="a5"/>
        </w:rPr>
        <w:footnoteReference w:id="272"/>
      </w:r>
      <w:r w:rsidRPr="00BF42B7">
        <w:rPr>
          <w:rFonts w:eastAsia="Calibri"/>
          <w:szCs w:val="21"/>
        </w:rPr>
        <w:t xml:space="preserve"> </w:t>
      </w:r>
      <w:r w:rsidRPr="00BF42B7">
        <w:rPr>
          <w:rFonts w:hint="eastAsia"/>
          <w:szCs w:val="21"/>
        </w:rPr>
        <w:t>“主要”一词反映出国家是具有一般性权能的最重要的国际法主体，并强调了国家行为对习惯国际法的形成与识别所起的突出重要作用。国际法院在</w:t>
      </w:r>
      <w:r w:rsidRPr="00BF42B7">
        <w:rPr>
          <w:rFonts w:eastAsia="楷体"/>
          <w:iCs/>
          <w:szCs w:val="21"/>
          <w:lang w:bidi="he-IL"/>
        </w:rPr>
        <w:t>尼加拉瓜境内和针对尼加拉瓜的军事和准军事活动案</w:t>
      </w:r>
      <w:r w:rsidRPr="00BF42B7">
        <w:rPr>
          <w:rFonts w:hint="eastAsia"/>
          <w:szCs w:val="21"/>
          <w:lang w:bidi="he-IL"/>
        </w:rPr>
        <w:t>中认定，要“审议有哪些习惯国际法规则适用于本争端……必须关注各国的惯例和</w:t>
      </w:r>
      <w:r w:rsidRPr="00BF42B7">
        <w:rPr>
          <w:rFonts w:ascii="宋体" w:hAnsi="宋体" w:cs="宋体" w:hint="eastAsia"/>
          <w:iCs/>
          <w:szCs w:val="21"/>
          <w:lang w:bidi="he-IL"/>
        </w:rPr>
        <w:t>法律确信</w:t>
      </w:r>
      <w:r w:rsidRPr="00BF42B7">
        <w:rPr>
          <w:rFonts w:hint="eastAsia"/>
          <w:iCs/>
          <w:szCs w:val="21"/>
          <w:lang w:bidi="he-IL"/>
        </w:rPr>
        <w:t>”</w:t>
      </w:r>
      <w:r w:rsidRPr="00BF42B7">
        <w:rPr>
          <w:rFonts w:hint="eastAsia"/>
          <w:szCs w:val="21"/>
          <w:lang w:bidi="he-IL"/>
        </w:rPr>
        <w:t>。</w:t>
      </w:r>
      <w:r w:rsidRPr="00BF42B7">
        <w:rPr>
          <w:rStyle w:val="a5"/>
        </w:rPr>
        <w:footnoteReference w:id="273"/>
      </w:r>
      <w:r w:rsidRPr="00BF42B7">
        <w:rPr>
          <w:rFonts w:hint="eastAsia"/>
          <w:szCs w:val="21"/>
          <w:lang w:bidi="he-IL"/>
        </w:rPr>
        <w:t xml:space="preserve"> </w:t>
      </w:r>
      <w:r w:rsidRPr="00BF42B7">
        <w:rPr>
          <w:rFonts w:hint="eastAsia"/>
          <w:szCs w:val="21"/>
        </w:rPr>
        <w:t>与此同时，“主要”一词也显示出国家惯例不是唯一的有关方面，并引导读者阅读第</w:t>
      </w:r>
      <w:r w:rsidRPr="00BF42B7">
        <w:rPr>
          <w:rFonts w:hint="eastAsia"/>
          <w:szCs w:val="21"/>
        </w:rPr>
        <w:t>2</w:t>
      </w:r>
      <w:r w:rsidRPr="00BF42B7">
        <w:rPr>
          <w:rFonts w:hint="eastAsia"/>
          <w:szCs w:val="21"/>
        </w:rPr>
        <w:t>段。</w:t>
      </w:r>
    </w:p>
    <w:p w:rsidR="00790CCC" w:rsidRPr="00BF42B7" w:rsidRDefault="00790CCC" w:rsidP="00790CCC">
      <w:pPr>
        <w:pStyle w:val="SingleTxtGC"/>
        <w:rPr>
          <w:szCs w:val="21"/>
        </w:rPr>
      </w:pPr>
      <w:r w:rsidRPr="00BF42B7">
        <w:rPr>
          <w:rFonts w:eastAsia="Calibri"/>
          <w:szCs w:val="21"/>
        </w:rPr>
        <w:t>(3)</w:t>
      </w:r>
      <w:r w:rsidRPr="00BF42B7">
        <w:rPr>
          <w:rFonts w:eastAsiaTheme="minorEastAsia" w:hint="eastAsia"/>
          <w:szCs w:val="21"/>
        </w:rPr>
        <w:t xml:space="preserve">  </w:t>
      </w:r>
      <w:r w:rsidRPr="00BF42B7">
        <w:rPr>
          <w:rFonts w:hint="eastAsia"/>
          <w:szCs w:val="21"/>
        </w:rPr>
        <w:t>第</w:t>
      </w:r>
      <w:r w:rsidRPr="00BF42B7">
        <w:rPr>
          <w:rFonts w:eastAsia="Calibri"/>
          <w:szCs w:val="21"/>
        </w:rPr>
        <w:t>2</w:t>
      </w:r>
      <w:r w:rsidRPr="00BF42B7">
        <w:rPr>
          <w:rFonts w:hint="eastAsia"/>
          <w:szCs w:val="21"/>
        </w:rPr>
        <w:t>段论及国际组织的惯例，并指出“在某些情况下”，这种惯例也有助于识别习惯国际法规则。因此，在解读结论草案及评注中提到国家惯例之处时，应视为在有关情况下也包括国际组织的惯例。该段论及属于国际组织本身的惯例，而不是国际组织成员国在组织内行事的惯例</w:t>
      </w:r>
      <w:r w:rsidRPr="00BF42B7">
        <w:rPr>
          <w:rFonts w:hint="eastAsia"/>
          <w:szCs w:val="21"/>
        </w:rPr>
        <w:t>(</w:t>
      </w:r>
      <w:r w:rsidRPr="00BF42B7">
        <w:rPr>
          <w:rFonts w:hint="eastAsia"/>
          <w:szCs w:val="21"/>
        </w:rPr>
        <w:t>这种惯例属于所涉国家</w:t>
      </w:r>
      <w:r w:rsidRPr="00BF42B7">
        <w:rPr>
          <w:rFonts w:hint="eastAsia"/>
          <w:szCs w:val="21"/>
        </w:rPr>
        <w:t>)</w:t>
      </w:r>
      <w:r w:rsidRPr="00BF42B7">
        <w:rPr>
          <w:rFonts w:hint="eastAsia"/>
          <w:szCs w:val="21"/>
        </w:rPr>
        <w:t>。</w:t>
      </w:r>
      <w:r w:rsidRPr="00BF42B7">
        <w:rPr>
          <w:rStyle w:val="a5"/>
        </w:rPr>
        <w:footnoteReference w:id="274"/>
      </w:r>
      <w:r w:rsidRPr="00BF42B7">
        <w:rPr>
          <w:rFonts w:hint="eastAsia"/>
          <w:szCs w:val="21"/>
        </w:rPr>
        <w:t xml:space="preserve"> </w:t>
      </w:r>
      <w:r w:rsidRPr="00BF42B7">
        <w:rPr>
          <w:rFonts w:hint="eastAsia"/>
          <w:szCs w:val="21"/>
        </w:rPr>
        <w:t>为这些结论草案及评注的目的，“国际组织”这一术语指受国际法规范的文书所设立、通常是条约所设立，并且具有自身国际法律人格的组织。该术语不包括非政府组织。</w:t>
      </w:r>
    </w:p>
    <w:p w:rsidR="00790CCC" w:rsidRPr="00BF42B7" w:rsidRDefault="00790CCC" w:rsidP="00790CCC">
      <w:pPr>
        <w:pStyle w:val="SingleTxtGC"/>
        <w:rPr>
          <w:rFonts w:eastAsia="Calibri"/>
          <w:szCs w:val="21"/>
        </w:rPr>
      </w:pPr>
      <w:r w:rsidRPr="00BF42B7">
        <w:rPr>
          <w:rFonts w:eastAsia="Calibri"/>
          <w:szCs w:val="21"/>
        </w:rPr>
        <w:t>(4)</w:t>
      </w:r>
      <w:r w:rsidRPr="00BF42B7">
        <w:rPr>
          <w:rFonts w:eastAsiaTheme="minorEastAsia" w:hint="eastAsia"/>
          <w:szCs w:val="21"/>
        </w:rPr>
        <w:t xml:space="preserve">  </w:t>
      </w:r>
      <w:r w:rsidRPr="00BF42B7">
        <w:rPr>
          <w:rFonts w:hint="eastAsia"/>
          <w:szCs w:val="21"/>
        </w:rPr>
        <w:t>国际组织不是国家。</w:t>
      </w:r>
      <w:r w:rsidRPr="00BF42B7">
        <w:rPr>
          <w:rStyle w:val="a5"/>
        </w:rPr>
        <w:footnoteReference w:id="275"/>
      </w:r>
      <w:r w:rsidRPr="00BF42B7">
        <w:rPr>
          <w:rFonts w:eastAsia="Calibri"/>
          <w:szCs w:val="21"/>
        </w:rPr>
        <w:t xml:space="preserve"> </w:t>
      </w:r>
      <w:r w:rsidRPr="00BF42B7">
        <w:rPr>
          <w:rFonts w:hint="eastAsia"/>
          <w:szCs w:val="21"/>
        </w:rPr>
        <w:t>国际组织是由国家</w:t>
      </w:r>
      <w:r w:rsidRPr="00BF42B7">
        <w:rPr>
          <w:rFonts w:hint="eastAsia"/>
          <w:szCs w:val="21"/>
        </w:rPr>
        <w:t>(</w:t>
      </w:r>
      <w:r w:rsidRPr="00BF42B7">
        <w:rPr>
          <w:rFonts w:hint="eastAsia"/>
          <w:szCs w:val="21"/>
        </w:rPr>
        <w:t>或由国家和</w:t>
      </w:r>
      <w:r w:rsidRPr="00BF42B7">
        <w:rPr>
          <w:rFonts w:hint="eastAsia"/>
          <w:szCs w:val="21"/>
        </w:rPr>
        <w:t>/</w:t>
      </w:r>
      <w:r w:rsidRPr="00BF42B7">
        <w:rPr>
          <w:rFonts w:hint="eastAsia"/>
          <w:szCs w:val="21"/>
        </w:rPr>
        <w:t>或国际组织</w:t>
      </w:r>
      <w:r w:rsidRPr="00BF42B7">
        <w:rPr>
          <w:rFonts w:hint="eastAsia"/>
          <w:szCs w:val="21"/>
        </w:rPr>
        <w:t>)</w:t>
      </w:r>
      <w:r w:rsidRPr="00BF42B7">
        <w:rPr>
          <w:rFonts w:hint="eastAsia"/>
          <w:szCs w:val="21"/>
        </w:rPr>
        <w:t>设立和赋权以履行某些职能并为此获得国际法律人格</w:t>
      </w:r>
      <w:r w:rsidRPr="00BF42B7">
        <w:rPr>
          <w:rFonts w:hint="eastAsia"/>
          <w:szCs w:val="21"/>
        </w:rPr>
        <w:t>(</w:t>
      </w:r>
      <w:r w:rsidRPr="00BF42B7">
        <w:rPr>
          <w:rFonts w:hint="eastAsia"/>
          <w:szCs w:val="21"/>
        </w:rPr>
        <w:t>即可根据国际法享有自身的权利和义务</w:t>
      </w:r>
      <w:r w:rsidRPr="00BF42B7">
        <w:rPr>
          <w:rFonts w:hint="eastAsia"/>
          <w:szCs w:val="21"/>
        </w:rPr>
        <w:t>)</w:t>
      </w:r>
      <w:r w:rsidRPr="00BF42B7">
        <w:rPr>
          <w:rFonts w:hint="eastAsia"/>
          <w:szCs w:val="21"/>
        </w:rPr>
        <w:t>的实体。在伴有被接受为法律</w:t>
      </w:r>
      <w:r w:rsidRPr="00BF42B7">
        <w:rPr>
          <w:rFonts w:hint="eastAsia"/>
          <w:szCs w:val="21"/>
        </w:rPr>
        <w:t>(</w:t>
      </w:r>
      <w:r w:rsidRPr="00BF42B7">
        <w:rPr>
          <w:rFonts w:hint="eastAsia"/>
          <w:szCs w:val="21"/>
        </w:rPr>
        <w:t>法律确信</w:t>
      </w:r>
      <w:r w:rsidRPr="00BF42B7">
        <w:rPr>
          <w:rFonts w:hint="eastAsia"/>
          <w:szCs w:val="21"/>
        </w:rPr>
        <w:t>)</w:t>
      </w:r>
      <w:r w:rsidRPr="00BF42B7">
        <w:rPr>
          <w:rFonts w:hint="eastAsia"/>
          <w:szCs w:val="21"/>
        </w:rPr>
        <w:t>时，国际组织在国际关系中的惯例也可算作在其运作的领域</w:t>
      </w:r>
      <w:r w:rsidRPr="00BF42B7">
        <w:rPr>
          <w:rStyle w:val="a5"/>
        </w:rPr>
        <w:footnoteReference w:id="276"/>
      </w:r>
      <w:r w:rsidRPr="00BF42B7">
        <w:rPr>
          <w:rFonts w:hint="eastAsia"/>
          <w:szCs w:val="21"/>
        </w:rPr>
        <w:t xml:space="preserve"> </w:t>
      </w:r>
      <w:r w:rsidRPr="00BF42B7">
        <w:rPr>
          <w:rFonts w:hint="eastAsia"/>
          <w:szCs w:val="21"/>
        </w:rPr>
        <w:t>催生或证明习惯国际法规则的惯例，但仅限于下文所述的某些情况。</w:t>
      </w:r>
      <w:r w:rsidRPr="00BF42B7">
        <w:rPr>
          <w:rStyle w:val="a5"/>
        </w:rPr>
        <w:footnoteReference w:id="277"/>
      </w:r>
    </w:p>
    <w:p w:rsidR="00790CCC" w:rsidRPr="00BF42B7" w:rsidRDefault="00790CCC" w:rsidP="00790CCC">
      <w:pPr>
        <w:pStyle w:val="SingleTxtGC"/>
        <w:rPr>
          <w:szCs w:val="21"/>
        </w:rPr>
      </w:pPr>
      <w:r w:rsidRPr="00BF42B7">
        <w:rPr>
          <w:rFonts w:eastAsia="Calibri"/>
          <w:szCs w:val="21"/>
        </w:rPr>
        <w:t>(5)</w:t>
      </w:r>
      <w:r w:rsidRPr="00BF42B7">
        <w:rPr>
          <w:rFonts w:eastAsiaTheme="minorEastAsia" w:hint="eastAsia"/>
          <w:szCs w:val="21"/>
        </w:rPr>
        <w:t xml:space="preserve">  </w:t>
      </w:r>
      <w:r w:rsidRPr="00BF42B7">
        <w:rPr>
          <w:rFonts w:hint="eastAsia"/>
          <w:szCs w:val="21"/>
        </w:rPr>
        <w:t>显然，若成员国将专属的权能转移给国际组织，以便后者行使其成员国的一部分公共权力，则该组织的惯例可等同于这些国家的惯例，在这种情况下，即产生第</w:t>
      </w:r>
      <w:r w:rsidRPr="00BF42B7">
        <w:rPr>
          <w:rFonts w:hint="eastAsia"/>
          <w:szCs w:val="21"/>
        </w:rPr>
        <w:t>2</w:t>
      </w:r>
      <w:r w:rsidRPr="00BF42B7">
        <w:rPr>
          <w:rFonts w:hint="eastAsia"/>
          <w:szCs w:val="21"/>
        </w:rPr>
        <w:t>段所指范围内的惯例。欧洲联盟的某些权能便属于这种情况。</w:t>
      </w:r>
    </w:p>
    <w:p w:rsidR="00790CCC" w:rsidRPr="00BF42B7" w:rsidRDefault="00790CCC" w:rsidP="00790CCC">
      <w:pPr>
        <w:pStyle w:val="SingleTxtGC"/>
        <w:rPr>
          <w:szCs w:val="21"/>
        </w:rPr>
      </w:pPr>
      <w:r w:rsidRPr="00BF42B7">
        <w:rPr>
          <w:rFonts w:eastAsia="Calibri"/>
          <w:szCs w:val="21"/>
        </w:rPr>
        <w:t>(6)</w:t>
      </w:r>
      <w:r w:rsidRPr="00BF42B7">
        <w:rPr>
          <w:rFonts w:eastAsiaTheme="minorEastAsia" w:hint="eastAsia"/>
          <w:szCs w:val="21"/>
        </w:rPr>
        <w:t xml:space="preserve">  </w:t>
      </w:r>
      <w:r w:rsidRPr="00BF42B7">
        <w:rPr>
          <w:rFonts w:hint="eastAsia"/>
          <w:szCs w:val="21"/>
        </w:rPr>
        <w:t>若成员国并未将专属权能转移，但向国际组织赋予了在职能上与国家权力相等的权力，在这种情况下也可产生第</w:t>
      </w:r>
      <w:r w:rsidRPr="00BF42B7">
        <w:rPr>
          <w:rFonts w:hint="eastAsia"/>
          <w:szCs w:val="21"/>
        </w:rPr>
        <w:t>2</w:t>
      </w:r>
      <w:r w:rsidRPr="00BF42B7">
        <w:rPr>
          <w:rFonts w:hint="eastAsia"/>
          <w:szCs w:val="21"/>
        </w:rPr>
        <w:t>段所指范围内的惯例。国际组织秘书处在作为条约保存方、部署军队</w:t>
      </w:r>
      <w:r w:rsidRPr="00BF42B7">
        <w:rPr>
          <w:rFonts w:hint="eastAsia"/>
          <w:szCs w:val="21"/>
        </w:rPr>
        <w:t>(</w:t>
      </w:r>
      <w:r w:rsidRPr="00BF42B7">
        <w:rPr>
          <w:rFonts w:hint="eastAsia"/>
          <w:szCs w:val="21"/>
        </w:rPr>
        <w:t>例如维和部队</w:t>
      </w:r>
      <w:r w:rsidRPr="00BF42B7">
        <w:rPr>
          <w:rFonts w:hint="eastAsia"/>
          <w:szCs w:val="21"/>
        </w:rPr>
        <w:t>)</w:t>
      </w:r>
      <w:r w:rsidRPr="00BF42B7">
        <w:rPr>
          <w:rFonts w:hint="eastAsia"/>
          <w:szCs w:val="21"/>
        </w:rPr>
        <w:t>或就本组织及其官员的特权和豁免范围发表立场时的惯例可有助于形成或表述这些领域的习惯国际法规则。职能上不等同于国家权力的国际组织行为不太可能属于相关惯例。</w:t>
      </w:r>
    </w:p>
    <w:p w:rsidR="00790CCC" w:rsidRPr="00BF42B7" w:rsidRDefault="00790CCC" w:rsidP="00790CCC">
      <w:pPr>
        <w:pStyle w:val="SingleTxtGC"/>
        <w:rPr>
          <w:szCs w:val="21"/>
        </w:rPr>
      </w:pPr>
      <w:r w:rsidRPr="00BF42B7">
        <w:rPr>
          <w:rFonts w:eastAsia="Calibri"/>
          <w:szCs w:val="21"/>
        </w:rPr>
        <w:t>(7)</w:t>
      </w:r>
      <w:r w:rsidRPr="00BF42B7">
        <w:rPr>
          <w:rFonts w:eastAsiaTheme="minorEastAsia" w:hint="eastAsia"/>
          <w:szCs w:val="21"/>
        </w:rPr>
        <w:t xml:space="preserve">  </w:t>
      </w:r>
      <w:r w:rsidRPr="00BF42B7">
        <w:rPr>
          <w:rFonts w:hint="eastAsia"/>
          <w:szCs w:val="21"/>
        </w:rPr>
        <w:t>国际组织的惯例与专门针对国际组织的习惯国际法规则可能尤为相关，例如关于国际组织国际责任的习惯国际法规则，或涉及国际组织所加入的条约的习惯国际法规则。</w:t>
      </w:r>
    </w:p>
    <w:p w:rsidR="00790CCC" w:rsidRPr="00BF42B7" w:rsidRDefault="00790CCC" w:rsidP="00790CCC">
      <w:pPr>
        <w:pStyle w:val="SingleTxtGC"/>
        <w:rPr>
          <w:szCs w:val="21"/>
        </w:rPr>
      </w:pPr>
      <w:r w:rsidRPr="00BF42B7">
        <w:rPr>
          <w:rFonts w:eastAsia="Calibri"/>
          <w:szCs w:val="21"/>
        </w:rPr>
        <w:t>(8)</w:t>
      </w:r>
      <w:r w:rsidRPr="00BF42B7">
        <w:rPr>
          <w:rFonts w:eastAsiaTheme="minorEastAsia" w:hint="eastAsia"/>
          <w:szCs w:val="21"/>
        </w:rPr>
        <w:t xml:space="preserve">  </w:t>
      </w:r>
      <w:r w:rsidRPr="00BF42B7">
        <w:rPr>
          <w:rFonts w:hint="eastAsia"/>
          <w:szCs w:val="21"/>
        </w:rPr>
        <w:t>与此同时，在评估这种惯例的相关性和权重时需要慎重。国际组织之间差异很大，不仅权力存在差异，在成员情况和职能方面也存在差异。一般规则是，越是直接代表成员国实施或越是直接经成员国核可实施的国际组织惯例，且上述成员国数量越多，在习惯国际法规则的形成或表述方面就可能具有更大的权重。成员国对这种惯例的反应也具有重要意义。除其他外，在衡量惯例的权重时要考虑的因素有：该组织的性质；行为接受审议的机关的性质；所涉规则的主题事项以及该组织本身是否受到该规则约束；该行为是否逾越了该组织或机关的职权；以及该行为是否与该组织成员国的行为一致。</w:t>
      </w:r>
    </w:p>
    <w:p w:rsidR="00790CCC" w:rsidRPr="00BF42B7" w:rsidRDefault="00790CCC" w:rsidP="00F709E3">
      <w:pPr>
        <w:pStyle w:val="SingleTxtGC"/>
        <w:rPr>
          <w:rFonts w:eastAsia="Calibri"/>
          <w:szCs w:val="21"/>
        </w:rPr>
      </w:pPr>
      <w:r w:rsidRPr="00BF42B7">
        <w:rPr>
          <w:rFonts w:eastAsia="Calibri"/>
          <w:szCs w:val="21"/>
        </w:rPr>
        <w:t>(9)</w:t>
      </w:r>
      <w:r w:rsidRPr="00BF42B7">
        <w:rPr>
          <w:rFonts w:eastAsiaTheme="minorEastAsia" w:hint="eastAsia"/>
          <w:szCs w:val="21"/>
        </w:rPr>
        <w:t xml:space="preserve">  </w:t>
      </w:r>
      <w:r w:rsidRPr="00BF42B7">
        <w:rPr>
          <w:rFonts w:hint="eastAsia"/>
          <w:szCs w:val="21"/>
        </w:rPr>
        <w:t>第</w:t>
      </w:r>
      <w:r w:rsidRPr="00BF42B7">
        <w:rPr>
          <w:rFonts w:hint="eastAsia"/>
          <w:szCs w:val="21"/>
        </w:rPr>
        <w:t>3</w:t>
      </w:r>
      <w:r w:rsidRPr="00BF42B7">
        <w:rPr>
          <w:rFonts w:hint="eastAsia"/>
          <w:szCs w:val="21"/>
        </w:rPr>
        <w:t>段指明了第</w:t>
      </w:r>
      <w:r w:rsidRPr="00BF42B7">
        <w:rPr>
          <w:rFonts w:hint="eastAsia"/>
          <w:szCs w:val="21"/>
        </w:rPr>
        <w:t>1</w:t>
      </w:r>
      <w:r w:rsidRPr="00BF42B7">
        <w:rPr>
          <w:rFonts w:hint="eastAsia"/>
          <w:szCs w:val="21"/>
        </w:rPr>
        <w:t>和第</w:t>
      </w:r>
      <w:r w:rsidRPr="00BF42B7">
        <w:rPr>
          <w:rFonts w:hint="eastAsia"/>
          <w:szCs w:val="21"/>
        </w:rPr>
        <w:t>2</w:t>
      </w:r>
      <w:r w:rsidRPr="00BF42B7">
        <w:rPr>
          <w:rFonts w:hint="eastAsia"/>
          <w:szCs w:val="21"/>
        </w:rPr>
        <w:t>段中可能暗含的内容，即非国家和非国际组织的实体的行为，例如非政府组织、非国家武装团体、跨国公司和个人的行为，既不能创立也不能表达习惯国际法。如此，这些实体的行为不能作为证明习惯国际法规则存在及内容的直接</w:t>
      </w:r>
      <w:r w:rsidRPr="00BF42B7">
        <w:rPr>
          <w:rFonts w:hint="eastAsia"/>
          <w:szCs w:val="21"/>
        </w:rPr>
        <w:t>(</w:t>
      </w:r>
      <w:r w:rsidRPr="00BF42B7">
        <w:rPr>
          <w:rFonts w:hint="eastAsia"/>
          <w:szCs w:val="21"/>
        </w:rPr>
        <w:t>主要</w:t>
      </w:r>
      <w:r w:rsidRPr="00BF42B7">
        <w:rPr>
          <w:rFonts w:hint="eastAsia"/>
          <w:szCs w:val="21"/>
        </w:rPr>
        <w:t>)</w:t>
      </w:r>
      <w:r w:rsidRPr="00BF42B7">
        <w:rPr>
          <w:rFonts w:hint="eastAsia"/>
          <w:szCs w:val="21"/>
        </w:rPr>
        <w:t>证据。但是，该段承认，这种行为可规定或记录国家和国际组织的惯例及其被接受为法律</w:t>
      </w:r>
      <w:r w:rsidRPr="00BF42B7">
        <w:rPr>
          <w:rFonts w:hint="eastAsia"/>
          <w:szCs w:val="21"/>
        </w:rPr>
        <w:t>(</w:t>
      </w:r>
      <w:r w:rsidRPr="00BF42B7">
        <w:rPr>
          <w:rFonts w:hint="eastAsia"/>
          <w:szCs w:val="21"/>
        </w:rPr>
        <w:t>法律确信</w:t>
      </w:r>
      <w:r w:rsidRPr="00BF42B7">
        <w:rPr>
          <w:rFonts w:hint="eastAsia"/>
          <w:szCs w:val="21"/>
        </w:rPr>
        <w:t>)</w:t>
      </w:r>
      <w:r w:rsidRPr="00BF42B7">
        <w:rPr>
          <w:rFonts w:hint="eastAsia"/>
          <w:szCs w:val="21"/>
        </w:rPr>
        <w:t>的情况，从而在识别习惯国际法的工作中发挥重要的间接作用。</w:t>
      </w:r>
      <w:r w:rsidRPr="00BF42B7">
        <w:rPr>
          <w:rStyle w:val="a5"/>
        </w:rPr>
        <w:footnoteReference w:id="278"/>
      </w:r>
      <w:r w:rsidR="00F709E3" w:rsidRPr="00BF42B7">
        <w:rPr>
          <w:rFonts w:hint="eastAsia"/>
          <w:szCs w:val="21"/>
        </w:rPr>
        <w:t xml:space="preserve"> </w:t>
      </w:r>
      <w:r w:rsidRPr="00BF42B7">
        <w:rPr>
          <w:rFonts w:hint="eastAsia"/>
          <w:szCs w:val="21"/>
        </w:rPr>
        <w:t>尽管非国家武装团体的行为并不属于可称之为能创立或表述习惯国际法的惯例，但各国对这种行为的反应很可能属于惯例。同理，个人的行为有时也可能是相关的，但仅仅是在国家核可此种个人行为或对之作出反应的意义上相关。</w:t>
      </w:r>
      <w:r w:rsidRPr="00BF42B7">
        <w:rPr>
          <w:rStyle w:val="a5"/>
        </w:rPr>
        <w:footnoteReference w:id="279"/>
      </w:r>
    </w:p>
    <w:p w:rsidR="00790CCC" w:rsidRPr="00BF42B7" w:rsidRDefault="00790CCC" w:rsidP="00790CCC">
      <w:pPr>
        <w:pStyle w:val="SingleTxtGC"/>
        <w:rPr>
          <w:szCs w:val="21"/>
        </w:rPr>
      </w:pPr>
      <w:r w:rsidRPr="00BF42B7">
        <w:rPr>
          <w:rFonts w:eastAsia="Calibri"/>
          <w:szCs w:val="21"/>
        </w:rPr>
        <w:t>(10)</w:t>
      </w:r>
      <w:r w:rsidRPr="00BF42B7">
        <w:rPr>
          <w:rFonts w:eastAsiaTheme="minorEastAsia" w:hint="eastAsia"/>
          <w:szCs w:val="21"/>
        </w:rPr>
        <w:t xml:space="preserve">  </w:t>
      </w:r>
      <w:r w:rsidRPr="00BF42B7">
        <w:rPr>
          <w:rFonts w:hint="eastAsia"/>
          <w:szCs w:val="21"/>
        </w:rPr>
        <w:t>红十字国际委员会的正式声明，例如有关尊重国际人道主义法的呼吁和备忘录，在塑造国家应对这种声明的惯例方面可能同样发挥着重要的作用；红十字国际委员会的出版物也可成为相关惯例的有益记录。因此这种活动可能有助于习惯国际法的发展和确定，但本身并不属于惯例。</w:t>
      </w:r>
      <w:r w:rsidRPr="00BF42B7">
        <w:rPr>
          <w:rStyle w:val="a5"/>
        </w:rPr>
        <w:footnoteReference w:id="280"/>
      </w:r>
    </w:p>
    <w:p w:rsidR="00790CCC" w:rsidRPr="00BF42B7" w:rsidRDefault="00790CCC" w:rsidP="00790CCC">
      <w:pPr>
        <w:pStyle w:val="H23GC"/>
        <w:ind w:left="1554"/>
      </w:pPr>
      <w:bookmarkStart w:id="74" w:name="DC5"/>
      <w:r w:rsidRPr="00BF42B7">
        <w:rPr>
          <w:rFonts w:hint="eastAsia"/>
        </w:rPr>
        <w:tab/>
      </w:r>
      <w:r w:rsidRPr="00BF42B7">
        <w:rPr>
          <w:rFonts w:hint="eastAsia"/>
        </w:rPr>
        <w:tab/>
      </w:r>
      <w:r w:rsidRPr="00BF42B7">
        <w:rPr>
          <w:rFonts w:hint="eastAsia"/>
        </w:rPr>
        <w:t>结论</w:t>
      </w:r>
      <w:r w:rsidRPr="00BF42B7">
        <w:t>5</w:t>
      </w:r>
      <w:bookmarkEnd w:id="74"/>
      <w:r w:rsidRPr="00BF42B7">
        <w:rPr>
          <w:rFonts w:hint="eastAsia"/>
        </w:rPr>
        <w:br/>
      </w:r>
      <w:r w:rsidRPr="00BF42B7">
        <w:rPr>
          <w:rFonts w:hint="eastAsia"/>
        </w:rPr>
        <w:t>作为国家惯例的国家行为</w:t>
      </w:r>
    </w:p>
    <w:p w:rsidR="00790CCC" w:rsidRPr="00BF42B7" w:rsidRDefault="00790CCC" w:rsidP="00790CCC">
      <w:pPr>
        <w:pStyle w:val="SingleTxtGC"/>
        <w:ind w:left="1554" w:firstLine="431"/>
      </w:pPr>
      <w:r w:rsidRPr="00BF42B7">
        <w:rPr>
          <w:rFonts w:hint="eastAsia"/>
        </w:rPr>
        <w:t>国家惯例由国家行为构成，不论该行为是行使行政、立法、司法职能，还是行使其他职能。</w:t>
      </w:r>
    </w:p>
    <w:p w:rsidR="00790CCC" w:rsidRPr="00BF42B7" w:rsidRDefault="00790CCC" w:rsidP="00790CCC">
      <w:pPr>
        <w:pStyle w:val="H23GC"/>
        <w:rPr>
          <w:rFonts w:eastAsia="Calibri"/>
          <w:b/>
        </w:rPr>
      </w:pPr>
      <w:r w:rsidRPr="00BF42B7">
        <w:rPr>
          <w:rFonts w:hint="eastAsia"/>
        </w:rPr>
        <w:tab/>
      </w:r>
      <w:r w:rsidRPr="00BF42B7">
        <w:rPr>
          <w:rFonts w:hint="eastAsia"/>
        </w:rPr>
        <w:tab/>
      </w:r>
      <w:r w:rsidRPr="00BF42B7">
        <w:t>评注</w:t>
      </w:r>
    </w:p>
    <w:p w:rsidR="00790CCC" w:rsidRPr="00BF42B7" w:rsidRDefault="00790CCC" w:rsidP="00790CCC">
      <w:pPr>
        <w:pStyle w:val="SingleTxtGC"/>
        <w:rPr>
          <w:szCs w:val="21"/>
        </w:rPr>
      </w:pPr>
      <w:r w:rsidRPr="00BF42B7">
        <w:rPr>
          <w:rFonts w:eastAsia="Calibri"/>
          <w:szCs w:val="21"/>
        </w:rPr>
        <w:t>(1)</w:t>
      </w:r>
      <w:r w:rsidRPr="00BF42B7">
        <w:rPr>
          <w:rFonts w:eastAsiaTheme="minorEastAsia" w:hint="eastAsia"/>
          <w:szCs w:val="21"/>
        </w:rPr>
        <w:t xml:space="preserve">  </w:t>
      </w:r>
      <w:r w:rsidRPr="00BF42B7">
        <w:rPr>
          <w:rFonts w:hint="eastAsia"/>
          <w:szCs w:val="21"/>
        </w:rPr>
        <w:t>国家在国际关系中通过行政机关行事最为常见，但结论草案</w:t>
      </w:r>
      <w:r w:rsidRPr="00BF42B7">
        <w:rPr>
          <w:rFonts w:hint="eastAsia"/>
          <w:szCs w:val="21"/>
        </w:rPr>
        <w:t>5</w:t>
      </w:r>
      <w:r w:rsidRPr="00BF42B7">
        <w:rPr>
          <w:rFonts w:hint="eastAsia"/>
          <w:szCs w:val="21"/>
        </w:rPr>
        <w:t>说明的是，国家惯例包括国家的任何行为，不论所涉及的是哪个机关，也不论所涉及的是哪种职能。按照国家统一原则，这包括构成国家组织的一部分并以此身份行事的任何国家机关的行为，不论该机关是在行使行政、立法、司法职能，还是在行使“其他”职能，例如商业活动或向私营部门提供行政指导。</w:t>
      </w:r>
    </w:p>
    <w:p w:rsidR="00790CCC" w:rsidRPr="00BF42B7" w:rsidRDefault="00790CCC" w:rsidP="00790CCC">
      <w:pPr>
        <w:pStyle w:val="SingleTxtGC"/>
        <w:rPr>
          <w:rStyle w:val="a5"/>
        </w:rPr>
      </w:pPr>
      <w:r w:rsidRPr="00BF42B7">
        <w:rPr>
          <w:rFonts w:eastAsia="Calibri"/>
          <w:szCs w:val="21"/>
        </w:rPr>
        <w:t>(2)</w:t>
      </w:r>
      <w:r w:rsidRPr="00BF42B7">
        <w:rPr>
          <w:rFonts w:eastAsiaTheme="minorEastAsia" w:hint="eastAsia"/>
          <w:szCs w:val="21"/>
        </w:rPr>
        <w:t xml:space="preserve">  </w:t>
      </w:r>
      <w:r w:rsidRPr="00BF42B7">
        <w:rPr>
          <w:rFonts w:hint="eastAsia"/>
          <w:szCs w:val="21"/>
        </w:rPr>
        <w:t>所涉行为必须是“国家的”，方能构成国家惯例。任何国家机关的行为，都应被视为该国的行为，不论该机关行使的是立法、行政、司法或任何其他职能，不论该机关在国家的组织中具有何种地位，也不论该机关在性质上属于中央政府机关还是国家地方机关。机关包括依该国国内法具有此种地位的任何人员或实体；以其他方式经该国法律授权行使政府权力要素的人员或实体，其行为也是“国家行为”，前提是该人或实体在所涉具体实例中是以上述身份行事。</w:t>
      </w:r>
      <w:r w:rsidRPr="00BF42B7">
        <w:rPr>
          <w:rStyle w:val="a5"/>
        </w:rPr>
        <w:footnoteReference w:id="281"/>
      </w:r>
    </w:p>
    <w:p w:rsidR="00790CCC" w:rsidRPr="00BF42B7" w:rsidRDefault="00790CCC" w:rsidP="00790CCC">
      <w:pPr>
        <w:pStyle w:val="SingleTxtGC"/>
        <w:rPr>
          <w:szCs w:val="21"/>
        </w:rPr>
      </w:pPr>
      <w:r w:rsidRPr="00BF42B7">
        <w:rPr>
          <w:rFonts w:eastAsia="Calibri"/>
          <w:szCs w:val="21"/>
        </w:rPr>
        <w:t>(3)</w:t>
      </w:r>
      <w:r w:rsidRPr="00BF42B7">
        <w:rPr>
          <w:rFonts w:eastAsiaTheme="minorEastAsia" w:hint="eastAsia"/>
          <w:szCs w:val="21"/>
        </w:rPr>
        <w:t xml:space="preserve">  </w:t>
      </w:r>
      <w:r w:rsidRPr="00BF42B7">
        <w:rPr>
          <w:rFonts w:hint="eastAsia"/>
          <w:szCs w:val="21"/>
        </w:rPr>
        <w:t>国家的有关惯例不限于对其他国家或其他国际法主体的行为；国家内部的行为，例如该国对待本国国民的方式，也可与国际法事项有关。</w:t>
      </w:r>
    </w:p>
    <w:p w:rsidR="00790CCC" w:rsidRPr="00BF42B7" w:rsidRDefault="00790CCC" w:rsidP="00790CCC">
      <w:pPr>
        <w:pStyle w:val="SingleTxtGC"/>
        <w:rPr>
          <w:szCs w:val="21"/>
        </w:rPr>
      </w:pPr>
      <w:r w:rsidRPr="00BF42B7">
        <w:rPr>
          <w:rFonts w:eastAsia="Calibri"/>
          <w:szCs w:val="21"/>
        </w:rPr>
        <w:t>(4)</w:t>
      </w:r>
      <w:r w:rsidRPr="00BF42B7">
        <w:rPr>
          <w:rFonts w:eastAsiaTheme="minorEastAsia" w:hint="eastAsia"/>
          <w:szCs w:val="21"/>
        </w:rPr>
        <w:t xml:space="preserve">  </w:t>
      </w:r>
      <w:r w:rsidRPr="00BF42B7">
        <w:rPr>
          <w:rFonts w:hint="eastAsia"/>
          <w:szCs w:val="21"/>
        </w:rPr>
        <w:t>国家惯例可以是单一国家的惯例，也可以是两个或两个以上国家共同行事的惯例。后一种惯例的实例可包括若干国家在公海巡逻以打击海盗或合作发射卫星进入轨道的联合行动。应将这种联合行动与国际组织的行为区分开来。</w:t>
      </w:r>
      <w:r w:rsidRPr="00BF42B7">
        <w:rPr>
          <w:rStyle w:val="a5"/>
        </w:rPr>
        <w:footnoteReference w:id="282"/>
      </w:r>
    </w:p>
    <w:p w:rsidR="00790CCC" w:rsidRPr="00BF42B7" w:rsidRDefault="00790CCC" w:rsidP="00790CCC">
      <w:pPr>
        <w:pStyle w:val="SingleTxtGC"/>
        <w:rPr>
          <w:szCs w:val="21"/>
        </w:rPr>
      </w:pPr>
      <w:r w:rsidRPr="00BF42B7">
        <w:rPr>
          <w:rFonts w:eastAsia="Calibri"/>
          <w:szCs w:val="21"/>
        </w:rPr>
        <w:t>(5)</w:t>
      </w:r>
      <w:r w:rsidRPr="00BF42B7">
        <w:rPr>
          <w:rFonts w:eastAsiaTheme="minorEastAsia" w:hint="eastAsia"/>
          <w:szCs w:val="21"/>
        </w:rPr>
        <w:t xml:space="preserve">  </w:t>
      </w:r>
      <w:r w:rsidRPr="00BF42B7">
        <w:rPr>
          <w:rFonts w:hint="eastAsia"/>
          <w:szCs w:val="21"/>
        </w:rPr>
        <w:t>只有公开或至少有其他国家知晓</w:t>
      </w:r>
      <w:r w:rsidRPr="00BF42B7">
        <w:rPr>
          <w:rStyle w:val="a5"/>
        </w:rPr>
        <w:footnoteReference w:id="283"/>
      </w:r>
      <w:r w:rsidRPr="00BF42B7">
        <w:rPr>
          <w:rStyle w:val="a5"/>
          <w:rFonts w:hint="eastAsia"/>
        </w:rPr>
        <w:t xml:space="preserve"> </w:t>
      </w:r>
      <w:r w:rsidRPr="00BF42B7">
        <w:rPr>
          <w:rFonts w:hint="eastAsia"/>
          <w:szCs w:val="21"/>
        </w:rPr>
        <w:t>的惯例，方能有助于习惯国际法规则的形成和识别。确实，除非及直至国家的保密行为得到披露，否则难以发现该行为如何能够实现上述目标。</w:t>
      </w:r>
    </w:p>
    <w:p w:rsidR="00790CCC" w:rsidRPr="00BF42B7" w:rsidRDefault="00790CCC" w:rsidP="00790CCC">
      <w:pPr>
        <w:pStyle w:val="H23GC"/>
        <w:ind w:left="1554"/>
      </w:pPr>
      <w:bookmarkStart w:id="75" w:name="DC6"/>
      <w:r w:rsidRPr="00BF42B7">
        <w:rPr>
          <w:rFonts w:hint="eastAsia"/>
        </w:rPr>
        <w:tab/>
      </w:r>
      <w:r w:rsidRPr="00BF42B7">
        <w:rPr>
          <w:rFonts w:hint="eastAsia"/>
        </w:rPr>
        <w:tab/>
      </w:r>
      <w:r w:rsidRPr="00BF42B7">
        <w:rPr>
          <w:rFonts w:hint="eastAsia"/>
        </w:rPr>
        <w:t>结论</w:t>
      </w:r>
      <w:r w:rsidRPr="00BF42B7">
        <w:t>6</w:t>
      </w:r>
      <w:bookmarkEnd w:id="75"/>
      <w:r w:rsidRPr="00BF42B7">
        <w:rPr>
          <w:rFonts w:hint="eastAsia"/>
        </w:rPr>
        <w:br/>
      </w:r>
      <w:r w:rsidRPr="00BF42B7">
        <w:rPr>
          <w:rFonts w:hint="eastAsia"/>
        </w:rPr>
        <w:t>惯例的形式</w:t>
      </w:r>
    </w:p>
    <w:p w:rsidR="00790CCC" w:rsidRPr="00BF42B7" w:rsidRDefault="00790CCC" w:rsidP="00790CCC">
      <w:pPr>
        <w:pStyle w:val="SingleTxtGC"/>
        <w:ind w:left="1554"/>
      </w:pPr>
      <w:r w:rsidRPr="00BF42B7">
        <w:t>1.</w:t>
      </w:r>
      <w:r w:rsidRPr="00BF42B7">
        <w:rPr>
          <w:rFonts w:hint="eastAsia"/>
        </w:rPr>
        <w:t xml:space="preserve">  </w:t>
      </w:r>
      <w:r w:rsidRPr="00BF42B7">
        <w:rPr>
          <w:rFonts w:hint="eastAsia"/>
        </w:rPr>
        <w:t>惯例可有多种形式，既包括实际行为，也包括言语行为。在某些情况下，还可包括不作为。</w:t>
      </w:r>
    </w:p>
    <w:p w:rsidR="00790CCC" w:rsidRPr="00BF42B7" w:rsidRDefault="00790CCC" w:rsidP="00790CCC">
      <w:pPr>
        <w:pStyle w:val="SingleTxtGC"/>
        <w:ind w:left="1554"/>
      </w:pPr>
      <w:r w:rsidRPr="00BF42B7">
        <w:t>2.</w:t>
      </w:r>
      <w:r w:rsidRPr="00BF42B7">
        <w:rPr>
          <w:rFonts w:hint="eastAsia"/>
        </w:rPr>
        <w:t xml:space="preserve">  </w:t>
      </w:r>
      <w:r w:rsidRPr="00BF42B7">
        <w:rPr>
          <w:rFonts w:hint="eastAsia"/>
        </w:rPr>
        <w:t>国家惯例的形式包括但不限于：外交行为和信函；与国际组织通过的或在政府间会议上通过的决议有关的行为；与条约有关的行为；执行行为，包括“实地”作业行为；立法和行政行为；各国法院的判决。</w:t>
      </w:r>
    </w:p>
    <w:p w:rsidR="00790CCC" w:rsidRPr="00BF42B7" w:rsidRDefault="00790CCC" w:rsidP="00790CCC">
      <w:pPr>
        <w:pStyle w:val="SingleTxtGC"/>
        <w:ind w:left="1554"/>
      </w:pPr>
      <w:r w:rsidRPr="00BF42B7">
        <w:t>3.</w:t>
      </w:r>
      <w:r w:rsidRPr="00BF42B7">
        <w:rPr>
          <w:rFonts w:hint="eastAsia"/>
        </w:rPr>
        <w:t xml:space="preserve">  </w:t>
      </w:r>
      <w:r w:rsidRPr="00BF42B7">
        <w:rPr>
          <w:rFonts w:hint="eastAsia"/>
        </w:rPr>
        <w:t>各种不同形式的惯例之间没有预先确定的等级。</w:t>
      </w:r>
    </w:p>
    <w:p w:rsidR="00790CCC" w:rsidRPr="00BF42B7" w:rsidRDefault="00790CCC" w:rsidP="00790CCC">
      <w:pPr>
        <w:pStyle w:val="H23GC"/>
        <w:rPr>
          <w:rFonts w:eastAsia="Calibri"/>
          <w:b/>
        </w:rPr>
      </w:pPr>
      <w:r w:rsidRPr="00BF42B7">
        <w:rPr>
          <w:rFonts w:hint="eastAsia"/>
        </w:rPr>
        <w:tab/>
      </w:r>
      <w:r w:rsidRPr="00BF42B7">
        <w:rPr>
          <w:rFonts w:hint="eastAsia"/>
        </w:rPr>
        <w:tab/>
      </w:r>
      <w:r w:rsidRPr="00BF42B7">
        <w:t>评注</w:t>
      </w:r>
    </w:p>
    <w:p w:rsidR="00790CCC" w:rsidRPr="00BF42B7" w:rsidRDefault="00790CCC" w:rsidP="00790CCC">
      <w:pPr>
        <w:pStyle w:val="SingleTxtGC"/>
        <w:rPr>
          <w:rFonts w:eastAsia="Calibri"/>
          <w:szCs w:val="21"/>
        </w:rPr>
      </w:pPr>
      <w:r w:rsidRPr="00BF42B7">
        <w:rPr>
          <w:rFonts w:eastAsia="Calibri"/>
          <w:szCs w:val="21"/>
        </w:rPr>
        <w:t>(1)</w:t>
      </w:r>
      <w:r w:rsidRPr="00BF42B7">
        <w:rPr>
          <w:rFonts w:eastAsiaTheme="minorEastAsia" w:hint="eastAsia"/>
          <w:szCs w:val="21"/>
        </w:rPr>
        <w:t xml:space="preserve">  </w:t>
      </w:r>
      <w:r w:rsidRPr="00BF42B7">
        <w:rPr>
          <w:rFonts w:hint="eastAsia"/>
          <w:szCs w:val="21"/>
        </w:rPr>
        <w:t>结论草案</w:t>
      </w:r>
      <w:r w:rsidRPr="00BF42B7">
        <w:rPr>
          <w:rFonts w:hint="eastAsia"/>
          <w:szCs w:val="21"/>
        </w:rPr>
        <w:t>6</w:t>
      </w:r>
      <w:r w:rsidRPr="00BF42B7">
        <w:rPr>
          <w:rFonts w:hint="eastAsia"/>
          <w:szCs w:val="21"/>
        </w:rPr>
        <w:t>举例说明了“惯例”这一术语所涵盖的行为的种类，并指出没有任何一种惯例相对其他惯例具有先验的优先地位。该条结论草案指出，不同形式的惯例是可以从经验上核实的事实，并且为了当前目的，没有对行为与行为的证据作出区分。</w:t>
      </w:r>
    </w:p>
    <w:p w:rsidR="00790CCC" w:rsidRPr="00BF42B7" w:rsidRDefault="00790CCC" w:rsidP="00790CCC">
      <w:pPr>
        <w:pStyle w:val="SingleTxtGC"/>
        <w:rPr>
          <w:szCs w:val="21"/>
        </w:rPr>
      </w:pPr>
      <w:r w:rsidRPr="00BF42B7">
        <w:rPr>
          <w:rFonts w:eastAsia="Calibri"/>
          <w:szCs w:val="21"/>
        </w:rPr>
        <w:t>(2)</w:t>
      </w:r>
      <w:r w:rsidRPr="00BF42B7">
        <w:rPr>
          <w:rFonts w:eastAsiaTheme="minorEastAsia" w:hint="eastAsia"/>
          <w:szCs w:val="21"/>
        </w:rPr>
        <w:t xml:space="preserve">  </w:t>
      </w:r>
      <w:r w:rsidRPr="00BF42B7">
        <w:rPr>
          <w:rFonts w:hint="eastAsia"/>
          <w:szCs w:val="21"/>
        </w:rPr>
        <w:t>各国会采取多种不同的形式行使权力，且不会局限于几种行为，有鉴于此，第</w:t>
      </w:r>
      <w:r w:rsidRPr="00BF42B7">
        <w:rPr>
          <w:rFonts w:hint="eastAsia"/>
          <w:szCs w:val="21"/>
        </w:rPr>
        <w:t>1</w:t>
      </w:r>
      <w:r w:rsidRPr="00BF42B7">
        <w:rPr>
          <w:rFonts w:hint="eastAsia"/>
          <w:szCs w:val="21"/>
        </w:rPr>
        <w:t>段规定，惯例可采取多种广泛的形式。有些撰写者认为，为了识别习惯国际法的目的，能算作惯例的只有国家的“行动”，而不是国家的“言语”，但是，现在人们普遍接受，言语行为</w:t>
      </w:r>
      <w:r w:rsidRPr="00BF42B7">
        <w:rPr>
          <w:rFonts w:hint="eastAsia"/>
          <w:szCs w:val="21"/>
        </w:rPr>
        <w:t>(</w:t>
      </w:r>
      <w:r w:rsidRPr="00BF42B7">
        <w:rPr>
          <w:rFonts w:hint="eastAsia"/>
          <w:szCs w:val="21"/>
        </w:rPr>
        <w:t>无论书面还是口头</w:t>
      </w:r>
      <w:r w:rsidRPr="00BF42B7">
        <w:rPr>
          <w:rFonts w:hint="eastAsia"/>
          <w:szCs w:val="21"/>
        </w:rPr>
        <w:t>)</w:t>
      </w:r>
      <w:r w:rsidRPr="00BF42B7">
        <w:rPr>
          <w:rFonts w:hint="eastAsia"/>
          <w:szCs w:val="21"/>
        </w:rPr>
        <w:t>也可算作惯例；有时，行动可能完全由声明组成，例如，一国向另一国提出的抗议。</w:t>
      </w:r>
    </w:p>
    <w:p w:rsidR="00790CCC" w:rsidRPr="00BF42B7" w:rsidRDefault="00790CCC" w:rsidP="00790CCC">
      <w:pPr>
        <w:pStyle w:val="SingleTxtGC"/>
        <w:rPr>
          <w:spacing w:val="-2"/>
          <w:szCs w:val="21"/>
        </w:rPr>
      </w:pPr>
      <w:r w:rsidRPr="00BF42B7">
        <w:rPr>
          <w:rFonts w:eastAsia="Calibri"/>
          <w:szCs w:val="21"/>
        </w:rPr>
        <w:t>(3)</w:t>
      </w:r>
      <w:r w:rsidRPr="00BF42B7">
        <w:rPr>
          <w:rFonts w:eastAsiaTheme="minorEastAsia" w:hint="eastAsia"/>
          <w:szCs w:val="21"/>
        </w:rPr>
        <w:t xml:space="preserve">  </w:t>
      </w:r>
      <w:r w:rsidRPr="00BF42B7">
        <w:rPr>
          <w:rFonts w:hint="eastAsia"/>
          <w:spacing w:val="-2"/>
          <w:szCs w:val="21"/>
        </w:rPr>
        <w:t>第</w:t>
      </w:r>
      <w:r w:rsidRPr="00BF42B7">
        <w:rPr>
          <w:rFonts w:hint="eastAsia"/>
          <w:spacing w:val="-2"/>
          <w:szCs w:val="21"/>
        </w:rPr>
        <w:t>1</w:t>
      </w:r>
      <w:r w:rsidRPr="00BF42B7">
        <w:rPr>
          <w:rFonts w:hint="eastAsia"/>
          <w:spacing w:val="-2"/>
          <w:szCs w:val="21"/>
        </w:rPr>
        <w:t>段进一步指明，不作为也可算作惯例。但是，“在某些情况下”这几个字旨在警示，只有蓄意不采取行动方可起到这一作用：所涉国家需要有意识地在某给定情况下不采取行动。这种不作为</w:t>
      </w:r>
      <w:r w:rsidRPr="00BF42B7">
        <w:rPr>
          <w:rFonts w:hint="eastAsia"/>
          <w:spacing w:val="-2"/>
          <w:szCs w:val="21"/>
        </w:rPr>
        <w:t>(</w:t>
      </w:r>
      <w:r w:rsidRPr="00BF42B7">
        <w:rPr>
          <w:rFonts w:hint="eastAsia"/>
          <w:spacing w:val="-2"/>
          <w:szCs w:val="21"/>
        </w:rPr>
        <w:t>有时称为“消极惯例”</w:t>
      </w:r>
      <w:r w:rsidRPr="00BF42B7">
        <w:rPr>
          <w:rFonts w:hint="eastAsia"/>
          <w:spacing w:val="-2"/>
          <w:szCs w:val="21"/>
        </w:rPr>
        <w:t>)</w:t>
      </w:r>
      <w:r w:rsidRPr="00BF42B7">
        <w:rPr>
          <w:rFonts w:hint="eastAsia"/>
          <w:spacing w:val="-2"/>
          <w:szCs w:val="21"/>
        </w:rPr>
        <w:t>的例子包括：不提起刑事诉讼；不对某些归化入籍人员予以保护；以及不威胁使用或使用武力。</w:t>
      </w:r>
      <w:r w:rsidRPr="00BF42B7">
        <w:rPr>
          <w:rStyle w:val="a5"/>
        </w:rPr>
        <w:footnoteReference w:id="284"/>
      </w:r>
    </w:p>
    <w:p w:rsidR="00790CCC" w:rsidRPr="00BF42B7" w:rsidRDefault="00790CCC" w:rsidP="00790CCC">
      <w:pPr>
        <w:pStyle w:val="SingleTxtGC"/>
        <w:rPr>
          <w:szCs w:val="21"/>
        </w:rPr>
      </w:pPr>
      <w:r w:rsidRPr="00BF42B7">
        <w:rPr>
          <w:rFonts w:eastAsia="Calibri"/>
          <w:szCs w:val="21"/>
        </w:rPr>
        <w:t>(4)</w:t>
      </w:r>
      <w:r w:rsidRPr="00BF42B7">
        <w:rPr>
          <w:rFonts w:eastAsiaTheme="minorEastAsia" w:hint="eastAsia"/>
          <w:szCs w:val="21"/>
        </w:rPr>
        <w:t xml:space="preserve">  </w:t>
      </w:r>
      <w:r w:rsidRPr="00BF42B7">
        <w:rPr>
          <w:rFonts w:hint="eastAsia"/>
          <w:szCs w:val="21"/>
        </w:rPr>
        <w:t>第二段列出了常见的有益于识别习惯国际法的多种形式的惯例。“但不限于”这几个字强调，所列形式并非详尽无遗；无论如何，考虑到政治和技术变化的不可避免性和步伐，要拟出涵盖惯例可采取的所有诸多形式的清单是不切实际的。</w:t>
      </w:r>
      <w:r w:rsidRPr="00BF42B7">
        <w:rPr>
          <w:rStyle w:val="a5"/>
        </w:rPr>
        <w:footnoteReference w:id="285"/>
      </w:r>
      <w:r w:rsidRPr="00BF42B7">
        <w:rPr>
          <w:rFonts w:hint="eastAsia"/>
          <w:szCs w:val="21"/>
        </w:rPr>
        <w:t xml:space="preserve"> </w:t>
      </w:r>
      <w:r w:rsidRPr="00BF42B7">
        <w:rPr>
          <w:rFonts w:hint="eastAsia"/>
          <w:szCs w:val="21"/>
        </w:rPr>
        <w:t>所列出的惯例形式只是例子，此外，这些例子也可能出现重叠</w:t>
      </w:r>
      <w:r w:rsidRPr="00BF42B7">
        <w:rPr>
          <w:rFonts w:hint="eastAsia"/>
          <w:szCs w:val="21"/>
        </w:rPr>
        <w:t>(</w:t>
      </w:r>
      <w:r w:rsidRPr="00BF42B7">
        <w:rPr>
          <w:rFonts w:hint="eastAsia"/>
          <w:szCs w:val="21"/>
        </w:rPr>
        <w:t>例如“外交行为和信函”与“行政行为”</w:t>
      </w:r>
      <w:r w:rsidRPr="00BF42B7">
        <w:rPr>
          <w:rFonts w:hint="eastAsia"/>
          <w:szCs w:val="21"/>
        </w:rPr>
        <w:t>)</w:t>
      </w:r>
      <w:r w:rsidRPr="00BF42B7">
        <w:rPr>
          <w:rFonts w:hint="eastAsia"/>
          <w:szCs w:val="21"/>
        </w:rPr>
        <w:t>。</w:t>
      </w:r>
    </w:p>
    <w:p w:rsidR="00790CCC" w:rsidRPr="00BF42B7" w:rsidRDefault="00790CCC" w:rsidP="00790CCC">
      <w:pPr>
        <w:pStyle w:val="SingleTxtGC"/>
        <w:rPr>
          <w:rFonts w:eastAsia="Calibri"/>
          <w:szCs w:val="21"/>
        </w:rPr>
      </w:pPr>
      <w:r w:rsidRPr="00BF42B7">
        <w:rPr>
          <w:rFonts w:eastAsia="Calibri"/>
          <w:szCs w:val="21"/>
        </w:rPr>
        <w:t>(5)</w:t>
      </w:r>
      <w:r w:rsidRPr="00BF42B7">
        <w:rPr>
          <w:rFonts w:eastAsiaTheme="minorEastAsia" w:hint="eastAsia"/>
          <w:szCs w:val="21"/>
        </w:rPr>
        <w:t xml:space="preserve">  </w:t>
      </w:r>
      <w:r w:rsidRPr="00BF42B7">
        <w:rPr>
          <w:rFonts w:hint="eastAsia"/>
          <w:szCs w:val="21"/>
        </w:rPr>
        <w:t>第</w:t>
      </w:r>
      <w:r w:rsidRPr="00BF42B7">
        <w:rPr>
          <w:rFonts w:hint="eastAsia"/>
          <w:szCs w:val="21"/>
        </w:rPr>
        <w:t>2</w:t>
      </w:r>
      <w:r w:rsidRPr="00BF42B7">
        <w:rPr>
          <w:rFonts w:hint="eastAsia"/>
          <w:szCs w:val="21"/>
        </w:rPr>
        <w:t>段列出了各种惯例形式，但对其顺序无意赋予任何重要意义。对每种形式，都应予以广泛地解释，以反映国家行动和反应的多种不同方式；例如，“行政行为”这一表述指代广泛，指任何行政行动，包括行政命令、法令和其他措施；在国际层面、对立法机关或向媒体作出的正式声明；以及向国家或国际法院和法庭提出的主张。同样，“立法和管理行为”涵盖由公共主管部门实施的任何形式的规管处置。“</w:t>
      </w:r>
      <w:r w:rsidRPr="00BF42B7">
        <w:rPr>
          <w:rFonts w:ascii="宋体" w:hAnsi="宋体" w:hint="eastAsia"/>
          <w:szCs w:val="21"/>
        </w:rPr>
        <w:t>‘</w:t>
      </w:r>
      <w:r w:rsidRPr="00BF42B7">
        <w:rPr>
          <w:rFonts w:hint="eastAsia"/>
          <w:szCs w:val="21"/>
        </w:rPr>
        <w:t>实地</w:t>
      </w:r>
      <w:r w:rsidRPr="00BF42B7">
        <w:rPr>
          <w:rFonts w:ascii="宋体" w:hAnsi="宋体" w:hint="eastAsia"/>
          <w:szCs w:val="21"/>
        </w:rPr>
        <w:t>’</w:t>
      </w:r>
      <w:r w:rsidRPr="00BF42B7">
        <w:rPr>
          <w:rFonts w:hint="eastAsia"/>
          <w:szCs w:val="21"/>
        </w:rPr>
        <w:t>作业行为”包括执法和没收财产，以及战地或其他军事活动，例如调动部队或舰船，或部署某些武器。“</w:t>
      </w:r>
      <w:r w:rsidRPr="00BF42B7">
        <w:rPr>
          <w:rFonts w:ascii="宋体" w:hAnsi="宋体" w:cs="宋体" w:hint="eastAsia"/>
          <w:szCs w:val="21"/>
        </w:rPr>
        <w:t>与条约有关的行为</w:t>
      </w:r>
      <w:r w:rsidRPr="00BF42B7">
        <w:rPr>
          <w:rFonts w:hint="eastAsia"/>
          <w:szCs w:val="21"/>
        </w:rPr>
        <w:t>”这几个字涵盖所有与谈判和缔结以及执行条约有关的行动；一国缔结一项条约即可能参与条约相关领域的惯例，例如海洋划界协定或东道国协定。同理，“与国际组织通过的或在政府间会议上通过的决议有关的行为”包括各国在国际组织内或政府间会议上所有与谈判、通过和执行决议、决定和各国通过的其他文件有关的行动，不论其名称为何及是否具有法律约束力。在具体情况中，这些惯例形式的任何实例是否确实具有相关性，这尤其取决于正在审议的所称的特定规则。</w:t>
      </w:r>
      <w:r w:rsidRPr="00BF42B7">
        <w:rPr>
          <w:rStyle w:val="a5"/>
        </w:rPr>
        <w:footnoteReference w:id="286"/>
      </w:r>
    </w:p>
    <w:p w:rsidR="00790CCC" w:rsidRPr="00BF42B7" w:rsidRDefault="00790CCC" w:rsidP="00790CCC">
      <w:pPr>
        <w:pStyle w:val="SingleTxtGC"/>
        <w:rPr>
          <w:szCs w:val="21"/>
          <w:lang w:bidi="he-IL"/>
        </w:rPr>
      </w:pPr>
      <w:r w:rsidRPr="00BF42B7">
        <w:rPr>
          <w:rFonts w:eastAsia="Calibri"/>
          <w:szCs w:val="21"/>
        </w:rPr>
        <w:t>(6)</w:t>
      </w:r>
      <w:r w:rsidRPr="00BF42B7">
        <w:rPr>
          <w:rFonts w:eastAsiaTheme="minorEastAsia" w:hint="eastAsia"/>
          <w:szCs w:val="21"/>
        </w:rPr>
        <w:t xml:space="preserve">  </w:t>
      </w:r>
      <w:r w:rsidRPr="00BF42B7">
        <w:rPr>
          <w:rFonts w:hint="eastAsia"/>
          <w:szCs w:val="21"/>
        </w:rPr>
        <w:t>各国各级法院的判决均可算作国家惯例</w:t>
      </w:r>
      <w:r w:rsidRPr="00BF42B7">
        <w:rPr>
          <w:rStyle w:val="a5"/>
        </w:rPr>
        <w:footnoteReference w:id="287"/>
      </w:r>
      <w:r w:rsidRPr="00BF42B7">
        <w:rPr>
          <w:szCs w:val="21"/>
        </w:rPr>
        <w:t xml:space="preserve"> </w:t>
      </w:r>
      <w:r w:rsidRPr="00BF42B7">
        <w:rPr>
          <w:rFonts w:eastAsia="Calibri"/>
          <w:szCs w:val="21"/>
          <w:lang w:bidi="he-IL"/>
        </w:rPr>
        <w:t>(</w:t>
      </w:r>
      <w:r w:rsidRPr="00BF42B7">
        <w:rPr>
          <w:rFonts w:hint="eastAsia"/>
          <w:szCs w:val="21"/>
          <w:lang w:bidi="he-IL"/>
        </w:rPr>
        <w:t>对上级法院可能予以更高的权重</w:t>
      </w:r>
      <w:r w:rsidRPr="00BF42B7">
        <w:rPr>
          <w:rFonts w:hint="eastAsia"/>
          <w:szCs w:val="21"/>
          <w:lang w:bidi="he-IL"/>
        </w:rPr>
        <w:t>)</w:t>
      </w:r>
      <w:r w:rsidRPr="00BF42B7">
        <w:rPr>
          <w:rFonts w:hint="eastAsia"/>
          <w:szCs w:val="21"/>
          <w:lang w:bidi="he-IL"/>
        </w:rPr>
        <w:t>；</w:t>
      </w:r>
      <w:r w:rsidRPr="00BF42B7">
        <w:rPr>
          <w:rFonts w:hint="eastAsia"/>
          <w:szCs w:val="21"/>
        </w:rPr>
        <w:t>在具体要点上被推翻的判决不太可能被视为具有相关性。应将各国法院的判决作为一种国家惯例形式的作用与其作为确定习惯国际法规则的“辅助手段”的潜在作用区分开来。</w:t>
      </w:r>
      <w:r w:rsidRPr="00BF42B7">
        <w:rPr>
          <w:rStyle w:val="a5"/>
        </w:rPr>
        <w:footnoteReference w:id="288"/>
      </w:r>
    </w:p>
    <w:p w:rsidR="00790CCC" w:rsidRPr="00BF42B7" w:rsidRDefault="00790CCC" w:rsidP="00790CCC">
      <w:pPr>
        <w:pStyle w:val="SingleTxtGC"/>
        <w:rPr>
          <w:b/>
          <w:bCs/>
          <w:szCs w:val="21"/>
        </w:rPr>
      </w:pPr>
      <w:r w:rsidRPr="00BF42B7">
        <w:rPr>
          <w:rFonts w:eastAsia="Calibri"/>
          <w:szCs w:val="21"/>
        </w:rPr>
        <w:t>(7)</w:t>
      </w:r>
      <w:r w:rsidRPr="00BF42B7">
        <w:rPr>
          <w:rFonts w:eastAsiaTheme="minorEastAsia" w:hint="eastAsia"/>
          <w:szCs w:val="21"/>
        </w:rPr>
        <w:t xml:space="preserve">  </w:t>
      </w:r>
      <w:r w:rsidRPr="00BF42B7">
        <w:rPr>
          <w:rFonts w:hint="eastAsia"/>
          <w:szCs w:val="21"/>
        </w:rPr>
        <w:t>第</w:t>
      </w:r>
      <w:r w:rsidRPr="00BF42B7">
        <w:rPr>
          <w:rFonts w:hint="eastAsia"/>
          <w:szCs w:val="21"/>
        </w:rPr>
        <w:t>3</w:t>
      </w:r>
      <w:r w:rsidRPr="00BF42B7">
        <w:rPr>
          <w:rFonts w:hint="eastAsia"/>
          <w:szCs w:val="21"/>
        </w:rPr>
        <w:t>段澄清，原则上，没有任何一种惯例形式可笼统地说比其他形式具有更高的证明价值。但是在具体情况中，如结论草案</w:t>
      </w:r>
      <w:r w:rsidRPr="00BF42B7">
        <w:rPr>
          <w:rFonts w:hint="eastAsia"/>
          <w:szCs w:val="21"/>
        </w:rPr>
        <w:t>3</w:t>
      </w:r>
      <w:r w:rsidRPr="00BF42B7">
        <w:rPr>
          <w:rFonts w:hint="eastAsia"/>
          <w:szCs w:val="21"/>
        </w:rPr>
        <w:t>和</w:t>
      </w:r>
      <w:r w:rsidRPr="00BF42B7">
        <w:rPr>
          <w:rFonts w:hint="eastAsia"/>
          <w:szCs w:val="21"/>
        </w:rPr>
        <w:t>7</w:t>
      </w:r>
      <w:r w:rsidRPr="00BF42B7">
        <w:rPr>
          <w:rFonts w:hint="eastAsia"/>
          <w:szCs w:val="21"/>
        </w:rPr>
        <w:t>的评注中所解释的，在结合情境评估不同的惯例形式</w:t>
      </w:r>
      <w:r w:rsidRPr="00BF42B7">
        <w:rPr>
          <w:rFonts w:hint="eastAsia"/>
          <w:szCs w:val="21"/>
        </w:rPr>
        <w:t>(</w:t>
      </w:r>
      <w:r w:rsidRPr="00BF42B7">
        <w:rPr>
          <w:rFonts w:hint="eastAsia"/>
          <w:szCs w:val="21"/>
        </w:rPr>
        <w:t>或实例</w:t>
      </w:r>
      <w:r w:rsidRPr="00BF42B7">
        <w:rPr>
          <w:rFonts w:hint="eastAsia"/>
          <w:szCs w:val="21"/>
        </w:rPr>
        <w:t>)</w:t>
      </w:r>
      <w:r w:rsidRPr="00BF42B7">
        <w:rPr>
          <w:rFonts w:hint="eastAsia"/>
          <w:szCs w:val="21"/>
        </w:rPr>
        <w:t>时，应当赋予它们不同的权重。</w:t>
      </w:r>
    </w:p>
    <w:p w:rsidR="00790CCC" w:rsidRPr="00BF42B7" w:rsidRDefault="00790CCC" w:rsidP="00790CCC">
      <w:pPr>
        <w:pStyle w:val="H23GC"/>
        <w:ind w:left="1554"/>
      </w:pPr>
      <w:bookmarkStart w:id="76" w:name="DC7"/>
      <w:r w:rsidRPr="00BF42B7">
        <w:rPr>
          <w:rFonts w:hint="eastAsia"/>
        </w:rPr>
        <w:tab/>
      </w:r>
      <w:r w:rsidRPr="00BF42B7">
        <w:rPr>
          <w:rFonts w:hint="eastAsia"/>
        </w:rPr>
        <w:tab/>
      </w:r>
      <w:r w:rsidRPr="00BF42B7">
        <w:rPr>
          <w:rFonts w:hint="eastAsia"/>
        </w:rPr>
        <w:t>结论</w:t>
      </w:r>
      <w:r w:rsidRPr="00BF42B7">
        <w:t>7</w:t>
      </w:r>
      <w:bookmarkEnd w:id="76"/>
      <w:r w:rsidRPr="00BF42B7">
        <w:rPr>
          <w:rFonts w:hint="eastAsia"/>
        </w:rPr>
        <w:br/>
      </w:r>
      <w:r w:rsidRPr="00BF42B7">
        <w:rPr>
          <w:rFonts w:hint="eastAsia"/>
        </w:rPr>
        <w:t>评估国家惯例</w:t>
      </w:r>
    </w:p>
    <w:p w:rsidR="00790CCC" w:rsidRPr="00BF42B7" w:rsidRDefault="00790CCC" w:rsidP="00790CCC">
      <w:pPr>
        <w:pStyle w:val="SingleTxtGC"/>
        <w:ind w:left="1554"/>
      </w:pPr>
      <w:r w:rsidRPr="00BF42B7">
        <w:t>1.</w:t>
      </w:r>
      <w:r w:rsidRPr="00BF42B7">
        <w:rPr>
          <w:rFonts w:hint="eastAsia"/>
        </w:rPr>
        <w:tab/>
      </w:r>
      <w:r w:rsidRPr="00BF42B7">
        <w:rPr>
          <w:rFonts w:hint="eastAsia"/>
        </w:rPr>
        <w:t>应考虑特定国家的所有已知的惯例，作为一个整体进行评估。</w:t>
      </w:r>
    </w:p>
    <w:p w:rsidR="00790CCC" w:rsidRPr="00BF42B7" w:rsidRDefault="00790CCC" w:rsidP="00790CCC">
      <w:pPr>
        <w:pStyle w:val="SingleTxtGC"/>
        <w:ind w:left="1554"/>
      </w:pPr>
      <w:r w:rsidRPr="00BF42B7">
        <w:t>2.</w:t>
      </w:r>
      <w:r w:rsidRPr="00BF42B7">
        <w:rPr>
          <w:rFonts w:hint="eastAsia"/>
        </w:rPr>
        <w:tab/>
      </w:r>
      <w:r w:rsidRPr="00BF42B7">
        <w:rPr>
          <w:rFonts w:hint="eastAsia"/>
        </w:rPr>
        <w:t>如果特定国家的惯例不一致，可减少赋予该惯例的权重。</w:t>
      </w:r>
    </w:p>
    <w:p w:rsidR="00790CCC" w:rsidRPr="00BF42B7" w:rsidRDefault="00790CCC" w:rsidP="00790CCC">
      <w:pPr>
        <w:pStyle w:val="H23GC"/>
        <w:rPr>
          <w:rFonts w:eastAsia="Calibri"/>
          <w:b/>
        </w:rPr>
      </w:pPr>
      <w:r w:rsidRPr="00BF42B7">
        <w:rPr>
          <w:rFonts w:hint="eastAsia"/>
        </w:rPr>
        <w:tab/>
      </w:r>
      <w:r w:rsidRPr="00BF42B7">
        <w:rPr>
          <w:rFonts w:hint="eastAsia"/>
        </w:rPr>
        <w:tab/>
      </w:r>
      <w:r w:rsidRPr="00BF42B7">
        <w:t>评注</w:t>
      </w:r>
    </w:p>
    <w:p w:rsidR="00790CCC" w:rsidRPr="00BF42B7" w:rsidRDefault="00790CCC" w:rsidP="00790CCC">
      <w:pPr>
        <w:pStyle w:val="SingleTxtGC"/>
      </w:pPr>
      <w:r w:rsidRPr="00BF42B7">
        <w:rPr>
          <w:rFonts w:eastAsia="Calibri"/>
        </w:rPr>
        <w:t>(1)</w:t>
      </w:r>
      <w:r w:rsidRPr="00BF42B7">
        <w:rPr>
          <w:rFonts w:eastAsiaTheme="minorEastAsia" w:hint="eastAsia"/>
        </w:rPr>
        <w:t xml:space="preserve">  </w:t>
      </w:r>
      <w:r w:rsidRPr="00BF42B7">
        <w:rPr>
          <w:rFonts w:hint="eastAsia"/>
        </w:rPr>
        <w:t>结论草案</w:t>
      </w:r>
      <w:r w:rsidRPr="00BF42B7">
        <w:rPr>
          <w:rFonts w:hint="eastAsia"/>
        </w:rPr>
        <w:t>7</w:t>
      </w:r>
      <w:r w:rsidRPr="00BF42B7">
        <w:rPr>
          <w:rFonts w:hint="eastAsia"/>
        </w:rPr>
        <w:t>论及评估某具体国家的惯例以确定该国立场的工作，这是评估是否存在一般惯例的工作的一部分</w:t>
      </w:r>
      <w:r w:rsidRPr="00BF42B7">
        <w:rPr>
          <w:rFonts w:hint="eastAsia"/>
        </w:rPr>
        <w:t>(</w:t>
      </w:r>
      <w:r w:rsidRPr="00BF42B7">
        <w:rPr>
          <w:rFonts w:hint="eastAsia"/>
        </w:rPr>
        <w:t>结论草案</w:t>
      </w:r>
      <w:r w:rsidRPr="00BF42B7">
        <w:rPr>
          <w:rFonts w:hint="eastAsia"/>
        </w:rPr>
        <w:t>8</w:t>
      </w:r>
      <w:r w:rsidRPr="00BF42B7">
        <w:rPr>
          <w:rFonts w:hint="eastAsia"/>
        </w:rPr>
        <w:t>的主题</w:t>
      </w:r>
      <w:r w:rsidRPr="00BF42B7">
        <w:rPr>
          <w:rFonts w:hint="eastAsia"/>
        </w:rPr>
        <w:t>)</w:t>
      </w:r>
      <w:r w:rsidRPr="00BF42B7">
        <w:rPr>
          <w:rFonts w:hint="eastAsia"/>
        </w:rPr>
        <w:t>。结论草案</w:t>
      </w:r>
      <w:r w:rsidRPr="00BF42B7">
        <w:rPr>
          <w:rFonts w:hint="eastAsia"/>
        </w:rPr>
        <w:t>7</w:t>
      </w:r>
      <w:r w:rsidRPr="00BF42B7">
        <w:rPr>
          <w:rFonts w:hint="eastAsia"/>
        </w:rPr>
        <w:t>的两个段落明确指出，必须考虑到所涉国家在所涉事项上的所有已知的惯例，作为一个整体进行评估，包括其一致性。</w:t>
      </w:r>
    </w:p>
    <w:p w:rsidR="00790CCC" w:rsidRPr="00BF42B7" w:rsidRDefault="00790CCC" w:rsidP="00790CCC">
      <w:pPr>
        <w:pStyle w:val="SingleTxtGC"/>
      </w:pPr>
      <w:r w:rsidRPr="00BF42B7">
        <w:rPr>
          <w:rFonts w:eastAsia="Calibri"/>
        </w:rPr>
        <w:t>(2)</w:t>
      </w:r>
      <w:r w:rsidRPr="00BF42B7">
        <w:rPr>
          <w:rFonts w:eastAsiaTheme="minorEastAsia" w:hint="eastAsia"/>
        </w:rPr>
        <w:t xml:space="preserve">  </w:t>
      </w:r>
      <w:r w:rsidRPr="00BF42B7">
        <w:rPr>
          <w:rFonts w:hint="eastAsia"/>
        </w:rPr>
        <w:t>第</w:t>
      </w:r>
      <w:r w:rsidRPr="00BF42B7">
        <w:rPr>
          <w:rFonts w:hint="eastAsia"/>
        </w:rPr>
        <w:t>1</w:t>
      </w:r>
      <w:r w:rsidRPr="00BF42B7">
        <w:rPr>
          <w:rFonts w:hint="eastAsia"/>
        </w:rPr>
        <w:t>段指出，首先，在试图确定一个具体国家在所涉事项上的立场时，应考虑到该国的所有已知的惯例。这意味着审视的案例应在已知范围内详尽无遗，即包括该国所有机关的有关惯例和具体机关的所有有关惯例。该段还指出，这种惯例应作为一个整体进行评估；只有这样才能确定该国的实际立场。</w:t>
      </w:r>
    </w:p>
    <w:p w:rsidR="00790CCC" w:rsidRPr="00BF42B7" w:rsidRDefault="00790CCC" w:rsidP="00790CCC">
      <w:pPr>
        <w:pStyle w:val="SingleTxtGC"/>
      </w:pPr>
      <w:r w:rsidRPr="00BF42B7">
        <w:rPr>
          <w:rFonts w:eastAsia="Calibri"/>
        </w:rPr>
        <w:t>(3)</w:t>
      </w:r>
      <w:r w:rsidRPr="00BF42B7">
        <w:rPr>
          <w:rFonts w:eastAsiaTheme="minorEastAsia" w:hint="eastAsia"/>
        </w:rPr>
        <w:t xml:space="preserve">  </w:t>
      </w:r>
      <w:r w:rsidRPr="00BF42B7">
        <w:rPr>
          <w:rFonts w:eastAsia="楷体"/>
          <w:iCs/>
        </w:rPr>
        <w:t>国家的管辖豁免案</w:t>
      </w:r>
      <w:r w:rsidRPr="00BF42B7">
        <w:rPr>
          <w:rFonts w:hint="eastAsia"/>
        </w:rPr>
        <w:t>就体现了“作为一个整体”评估所有已知的惯例的要求。希腊最高法院曾在一宗案件中裁定，依照“属地侵权原则”，习惯国际法规定的国家豁免不涵盖武装部队在武装冲突期间的行动，但特别最高法院采取了不同的立场，希腊政府在拒绝执行希腊最高法院的判决时也采取了上述不同立场并曾在欧洲人权法院为这种立场辩护，希腊最高法院在后来的一项判决中也采取了这种立场。国际法院将这种惯例“作为一个整体”予以评估，得出结论，“将希腊的国家惯例作为一个整体来看，实际上是反对而非支持意大利的论点”。</w:t>
      </w:r>
      <w:r w:rsidRPr="00BF42B7">
        <w:rPr>
          <w:rStyle w:val="a5"/>
        </w:rPr>
        <w:footnoteReference w:id="289"/>
      </w:r>
    </w:p>
    <w:p w:rsidR="00790CCC" w:rsidRPr="00BF42B7" w:rsidRDefault="00790CCC" w:rsidP="00790CCC">
      <w:pPr>
        <w:pStyle w:val="SingleTxtGC"/>
      </w:pPr>
      <w:r w:rsidRPr="00BF42B7">
        <w:rPr>
          <w:rFonts w:eastAsia="Calibri"/>
        </w:rPr>
        <w:t>(4)</w:t>
      </w:r>
      <w:r w:rsidRPr="00BF42B7">
        <w:rPr>
          <w:rFonts w:eastAsiaTheme="minorEastAsia" w:hint="eastAsia"/>
        </w:rPr>
        <w:t xml:space="preserve">  </w:t>
      </w:r>
      <w:r w:rsidRPr="00BF42B7">
        <w:rPr>
          <w:rFonts w:hint="eastAsia"/>
        </w:rPr>
        <w:t>第</w:t>
      </w:r>
      <w:r w:rsidRPr="00BF42B7">
        <w:rPr>
          <w:rFonts w:hint="eastAsia"/>
        </w:rPr>
        <w:t>2</w:t>
      </w:r>
      <w:r w:rsidRPr="00BF42B7">
        <w:rPr>
          <w:rFonts w:hint="eastAsia"/>
        </w:rPr>
        <w:t>段明确指出了一个具体国家惯例存在或似乎存在不一致的情况。如上文第</w:t>
      </w:r>
      <w:r w:rsidRPr="00BF42B7">
        <w:rPr>
          <w:rFonts w:hint="eastAsia"/>
        </w:rPr>
        <w:t>(</w:t>
      </w:r>
      <w:r w:rsidRPr="00BF42B7">
        <w:t>3)</w:t>
      </w:r>
      <w:r w:rsidRPr="00BF42B7">
        <w:rPr>
          <w:rFonts w:hint="eastAsia"/>
        </w:rPr>
        <w:t>段所述，若一国内部的不同机关或部门就同一事项采取了不同的行政方针，或者同一个机关的惯例随着时间发生变化，就可能出现这种情况。如果在这种情况下，认为一国的惯例作为一个整体并不一致，则该国对“一般惯例”要素的贡献可能降低乃至无效。</w:t>
      </w:r>
    </w:p>
    <w:p w:rsidR="00790CCC" w:rsidRPr="00BF42B7" w:rsidRDefault="00790CCC" w:rsidP="00790CCC">
      <w:pPr>
        <w:pStyle w:val="SingleTxtGC"/>
      </w:pPr>
      <w:r w:rsidRPr="00BF42B7">
        <w:rPr>
          <w:rFonts w:eastAsia="Calibri"/>
        </w:rPr>
        <w:t>(5)</w:t>
      </w:r>
      <w:r w:rsidRPr="00BF42B7">
        <w:rPr>
          <w:rFonts w:eastAsiaTheme="minorEastAsia" w:hint="eastAsia"/>
        </w:rPr>
        <w:t xml:space="preserve">  </w:t>
      </w:r>
      <w:r w:rsidRPr="00BF42B7">
        <w:rPr>
          <w:rFonts w:hint="eastAsia"/>
        </w:rPr>
        <w:t>然而，该段使用了“可”字，说明这样的评估需要审慎地进行，并且不一定所有情况下都能得出同样的结论。例如，国际法院在</w:t>
      </w:r>
      <w:r w:rsidRPr="00BF42B7">
        <w:rPr>
          <w:rFonts w:eastAsia="楷体" w:hint="eastAsia"/>
        </w:rPr>
        <w:t>渔业案</w:t>
      </w:r>
      <w:r w:rsidRPr="00BF42B7">
        <w:rPr>
          <w:rFonts w:hint="eastAsia"/>
        </w:rPr>
        <w:t>中认定：</w:t>
      </w:r>
    </w:p>
    <w:p w:rsidR="00790CCC" w:rsidRPr="00BF42B7" w:rsidRDefault="00790CCC" w:rsidP="00790CCC">
      <w:pPr>
        <w:pStyle w:val="SingleTxtGC"/>
        <w:ind w:left="1554"/>
      </w:pPr>
      <w:r w:rsidRPr="00BF42B7">
        <w:rPr>
          <w:rFonts w:hint="eastAsia"/>
        </w:rPr>
        <w:t>“</w:t>
      </w:r>
      <w:r w:rsidRPr="00BF42B7">
        <w:rPr>
          <w:rFonts w:ascii="宋体" w:hAnsi="宋体" w:cs="宋体" w:hint="eastAsia"/>
        </w:rPr>
        <w:t>不必过分重视</w:t>
      </w:r>
      <w:r w:rsidRPr="00BF42B7">
        <w:rPr>
          <w:rFonts w:hint="eastAsia"/>
        </w:rPr>
        <w:t>……</w:t>
      </w:r>
      <w:r w:rsidRPr="00BF42B7">
        <w:rPr>
          <w:rFonts w:ascii="宋体" w:hAnsi="宋体" w:cs="宋体" w:hint="eastAsia"/>
        </w:rPr>
        <w:t>在挪威的</w:t>
      </w:r>
      <w:r w:rsidRPr="00BF42B7">
        <w:rPr>
          <w:rFonts w:hint="eastAsia"/>
        </w:rPr>
        <w:t>惯例</w:t>
      </w:r>
      <w:r w:rsidRPr="00BF42B7">
        <w:rPr>
          <w:rFonts w:ascii="宋体" w:hAnsi="宋体" w:cs="宋体" w:hint="eastAsia"/>
        </w:rPr>
        <w:t>中发现的少数不确定或矛盾之处</w:t>
      </w:r>
      <w:r w:rsidRPr="00BF42B7">
        <w:rPr>
          <w:rFonts w:hint="eastAsia"/>
        </w:rPr>
        <w:t>。这种不确定或矛盾之处很容易理解，毕竟在那么长的时间内，占主导地位的事实情况和条件也发生了多种变化</w:t>
      </w:r>
      <w:bookmarkStart w:id="77" w:name="_Ref453682888"/>
      <w:r w:rsidRPr="00BF42B7">
        <w:rPr>
          <w:rFonts w:hint="eastAsia"/>
        </w:rPr>
        <w:t>”</w:t>
      </w:r>
      <w:bookmarkStart w:id="78" w:name="_Ref461897013"/>
      <w:r w:rsidRPr="00BF42B7">
        <w:rPr>
          <w:rStyle w:val="a5"/>
        </w:rPr>
        <w:footnoteReference w:id="290"/>
      </w:r>
      <w:bookmarkEnd w:id="77"/>
      <w:bookmarkEnd w:id="78"/>
    </w:p>
    <w:p w:rsidR="00790CCC" w:rsidRPr="00BF42B7" w:rsidRDefault="00790CCC" w:rsidP="00790CCC">
      <w:pPr>
        <w:pStyle w:val="SingleTxtGC"/>
        <w:rPr>
          <w:rStyle w:val="a5"/>
        </w:rPr>
      </w:pPr>
      <w:r w:rsidRPr="00BF42B7">
        <w:rPr>
          <w:rFonts w:hint="eastAsia"/>
        </w:rPr>
        <w:t>在这方面，举例而言，若同一国低级机关与高级机关的惯例存在差异，则高级机关的惯例不太可能因此而权重降低。为了当前目的，中央政府机关的惯例往往会比联邦国家组成单位的惯例或国家次级政府机关的惯例具有更加重要的意义；行政机关的惯例往往在国家层面最为相关，但可能也需要考虑到各所涉机关的宪法地位。</w:t>
      </w:r>
      <w:r w:rsidRPr="00BF42B7">
        <w:rPr>
          <w:rStyle w:val="a5"/>
        </w:rPr>
        <w:footnoteReference w:id="291"/>
      </w:r>
    </w:p>
    <w:p w:rsidR="00790CCC" w:rsidRPr="00BF42B7" w:rsidRDefault="00790CCC" w:rsidP="00790CCC">
      <w:pPr>
        <w:pStyle w:val="H23GC"/>
        <w:ind w:left="1554"/>
      </w:pPr>
      <w:r w:rsidRPr="00BF42B7">
        <w:rPr>
          <w:rFonts w:hint="eastAsia"/>
        </w:rPr>
        <w:tab/>
      </w:r>
      <w:r w:rsidRPr="00BF42B7">
        <w:rPr>
          <w:rFonts w:hint="eastAsia"/>
        </w:rPr>
        <w:tab/>
      </w:r>
      <w:r w:rsidRPr="00BF42B7">
        <w:rPr>
          <w:rFonts w:hint="eastAsia"/>
        </w:rPr>
        <w:t>结论</w:t>
      </w:r>
      <w:r w:rsidRPr="00BF42B7">
        <w:t>8</w:t>
      </w:r>
      <w:r w:rsidRPr="00BF42B7">
        <w:rPr>
          <w:rFonts w:hint="eastAsia"/>
        </w:rPr>
        <w:br/>
      </w:r>
      <w:r w:rsidRPr="00BF42B7">
        <w:rPr>
          <w:rFonts w:hint="eastAsia"/>
        </w:rPr>
        <w:t>惯例必须具备一般性</w:t>
      </w:r>
    </w:p>
    <w:p w:rsidR="00790CCC" w:rsidRPr="00BF42B7" w:rsidRDefault="00790CCC" w:rsidP="00790CCC">
      <w:pPr>
        <w:pStyle w:val="SingleTxtGC"/>
        <w:ind w:left="1554"/>
      </w:pPr>
      <w:r w:rsidRPr="00BF42B7">
        <w:t>1.</w:t>
      </w:r>
      <w:r w:rsidRPr="00BF42B7">
        <w:rPr>
          <w:rFonts w:hint="eastAsia"/>
        </w:rPr>
        <w:tab/>
      </w:r>
      <w:r w:rsidRPr="00BF42B7">
        <w:rPr>
          <w:rFonts w:hint="eastAsia"/>
        </w:rPr>
        <w:t>有关惯例必须具备一般性，即必须足够普及和有代表性，还必须是一贯的。</w:t>
      </w:r>
    </w:p>
    <w:p w:rsidR="00790CCC" w:rsidRPr="00BF42B7" w:rsidRDefault="00790CCC" w:rsidP="00790CCC">
      <w:pPr>
        <w:pStyle w:val="SingleTxtGC"/>
        <w:ind w:left="1554"/>
      </w:pPr>
      <w:r w:rsidRPr="00BF42B7">
        <w:t>2.</w:t>
      </w:r>
      <w:r w:rsidRPr="00BF42B7">
        <w:rPr>
          <w:rFonts w:hint="eastAsia"/>
        </w:rPr>
        <w:tab/>
      </w:r>
      <w:r w:rsidRPr="00BF42B7">
        <w:rPr>
          <w:rFonts w:hint="eastAsia"/>
        </w:rPr>
        <w:t>只要惯例具备一般性，就不要求特定存续时间。</w:t>
      </w:r>
    </w:p>
    <w:p w:rsidR="00790CCC" w:rsidRPr="00BF42B7" w:rsidRDefault="00790CCC" w:rsidP="00790CCC">
      <w:pPr>
        <w:pStyle w:val="H23GC"/>
        <w:rPr>
          <w:rFonts w:eastAsia="Calibri"/>
          <w:b/>
        </w:rPr>
      </w:pPr>
      <w:r w:rsidRPr="00BF42B7">
        <w:rPr>
          <w:rFonts w:hint="eastAsia"/>
        </w:rPr>
        <w:tab/>
      </w:r>
      <w:r w:rsidRPr="00BF42B7">
        <w:rPr>
          <w:rFonts w:hint="eastAsia"/>
        </w:rPr>
        <w:tab/>
      </w:r>
      <w:r w:rsidRPr="00BF42B7">
        <w:t>评注</w:t>
      </w:r>
    </w:p>
    <w:p w:rsidR="00790CCC" w:rsidRPr="00BF42B7" w:rsidRDefault="00790CCC" w:rsidP="00790CCC">
      <w:pPr>
        <w:pStyle w:val="SingleTxtGC"/>
        <w:rPr>
          <w:szCs w:val="21"/>
        </w:rPr>
      </w:pPr>
      <w:r w:rsidRPr="00BF42B7">
        <w:rPr>
          <w:rFonts w:eastAsia="Calibri"/>
          <w:szCs w:val="21"/>
        </w:rPr>
        <w:t>(1)</w:t>
      </w:r>
      <w:r w:rsidRPr="00BF42B7">
        <w:rPr>
          <w:rFonts w:eastAsiaTheme="minorEastAsia" w:hint="eastAsia"/>
          <w:szCs w:val="21"/>
        </w:rPr>
        <w:t xml:space="preserve">  </w:t>
      </w:r>
      <w:r w:rsidRPr="00BF42B7">
        <w:rPr>
          <w:rFonts w:hint="eastAsia"/>
          <w:szCs w:val="21"/>
        </w:rPr>
        <w:t>结论草案</w:t>
      </w:r>
      <w:r w:rsidRPr="00BF42B7">
        <w:rPr>
          <w:rFonts w:hint="eastAsia"/>
          <w:szCs w:val="21"/>
        </w:rPr>
        <w:t>8</w:t>
      </w:r>
      <w:r w:rsidRPr="00BF42B7">
        <w:rPr>
          <w:rFonts w:hint="eastAsia"/>
          <w:szCs w:val="21"/>
        </w:rPr>
        <w:t>论及惯例必须具备一般性这一要求，力求说明该要求的本质，以及核实某具体案件中该要求是否得到满足所需要开展的调查。</w:t>
      </w:r>
    </w:p>
    <w:p w:rsidR="00790CCC" w:rsidRPr="00BF42B7" w:rsidRDefault="00790CCC" w:rsidP="00790CCC">
      <w:pPr>
        <w:pStyle w:val="SingleTxtGC"/>
        <w:rPr>
          <w:szCs w:val="21"/>
        </w:rPr>
      </w:pPr>
      <w:r w:rsidRPr="00BF42B7">
        <w:rPr>
          <w:rFonts w:eastAsia="Calibri"/>
          <w:szCs w:val="21"/>
        </w:rPr>
        <w:t>(2)</w:t>
      </w:r>
      <w:r w:rsidRPr="00BF42B7">
        <w:rPr>
          <w:rFonts w:eastAsiaTheme="minorEastAsia" w:hint="eastAsia"/>
          <w:szCs w:val="21"/>
        </w:rPr>
        <w:t xml:space="preserve">  </w:t>
      </w:r>
      <w:r w:rsidRPr="00BF42B7">
        <w:rPr>
          <w:rFonts w:hint="eastAsia"/>
          <w:szCs w:val="21"/>
        </w:rPr>
        <w:t>第</w:t>
      </w:r>
      <w:r w:rsidRPr="00BF42B7">
        <w:rPr>
          <w:rFonts w:hint="eastAsia"/>
          <w:szCs w:val="21"/>
        </w:rPr>
        <w:t>1</w:t>
      </w:r>
      <w:r w:rsidRPr="00BF42B7">
        <w:rPr>
          <w:rFonts w:hint="eastAsia"/>
          <w:szCs w:val="21"/>
        </w:rPr>
        <w:t>段解释了一般性的概念，即遵循所称的习惯国际法规则的实例的集合，包括了两项要求。第一，必须有数量上足够多且足够具有代表性的国家遵循该惯例。第二，这些实例必须表现出一致性。用国际法院在</w:t>
      </w:r>
      <w:r w:rsidRPr="00BF42B7">
        <w:rPr>
          <w:rFonts w:eastAsia="楷体"/>
          <w:iCs/>
          <w:szCs w:val="21"/>
        </w:rPr>
        <w:t>北海大陆架案</w:t>
      </w:r>
      <w:r w:rsidRPr="00BF42B7">
        <w:rPr>
          <w:rFonts w:hint="eastAsia"/>
          <w:szCs w:val="21"/>
        </w:rPr>
        <w:t>中的话说，所涉惯例必须既“广泛并基本上统一”</w:t>
      </w:r>
      <w:r w:rsidRPr="00BF42B7">
        <w:rPr>
          <w:rStyle w:val="a5"/>
        </w:rPr>
        <w:footnoteReference w:id="292"/>
      </w:r>
      <w:r w:rsidRPr="00BF42B7">
        <w:rPr>
          <w:rFonts w:hint="eastAsia"/>
          <w:szCs w:val="21"/>
        </w:rPr>
        <w:t>：必须是一项“既定惯例”。</w:t>
      </w:r>
      <w:r w:rsidRPr="00BF42B7">
        <w:rPr>
          <w:rStyle w:val="a5"/>
        </w:rPr>
        <w:footnoteReference w:id="293"/>
      </w:r>
      <w:r w:rsidRPr="00BF42B7">
        <w:rPr>
          <w:rFonts w:hint="eastAsia"/>
          <w:szCs w:val="21"/>
        </w:rPr>
        <w:t xml:space="preserve"> </w:t>
      </w:r>
      <w:r w:rsidRPr="00BF42B7">
        <w:rPr>
          <w:rFonts w:hint="eastAsia"/>
          <w:szCs w:val="21"/>
        </w:rPr>
        <w:t>如下文所解释的，对这两项要求中的任何一项，都无法提出绝对的标准；每项要求需要达到的标准都必须结合实际情况予以评估。</w:t>
      </w:r>
      <w:r w:rsidRPr="00BF42B7">
        <w:rPr>
          <w:rStyle w:val="a5"/>
        </w:rPr>
        <w:footnoteReference w:id="294"/>
      </w:r>
      <w:r w:rsidRPr="00BF42B7">
        <w:rPr>
          <w:rFonts w:hint="eastAsia"/>
          <w:szCs w:val="21"/>
        </w:rPr>
        <w:t xml:space="preserve"> </w:t>
      </w:r>
      <w:r w:rsidRPr="00BF42B7">
        <w:rPr>
          <w:rFonts w:hint="eastAsia"/>
          <w:szCs w:val="21"/>
        </w:rPr>
        <w:t>但是，在每一种情况下，惯例必须具有这样一种特质，使人们可以观察出某种一贯和统一的常例。</w:t>
      </w:r>
    </w:p>
    <w:p w:rsidR="00790CCC" w:rsidRPr="00BF42B7" w:rsidRDefault="00790CCC" w:rsidP="00790CCC">
      <w:pPr>
        <w:pStyle w:val="SingleTxtGC"/>
        <w:rPr>
          <w:szCs w:val="21"/>
        </w:rPr>
      </w:pPr>
      <w:r w:rsidRPr="00BF42B7">
        <w:rPr>
          <w:rFonts w:eastAsia="Calibri"/>
          <w:szCs w:val="21"/>
        </w:rPr>
        <w:t>(3)</w:t>
      </w:r>
      <w:r w:rsidRPr="00BF42B7">
        <w:rPr>
          <w:rFonts w:eastAsiaTheme="minorEastAsia" w:hint="eastAsia"/>
          <w:szCs w:val="21"/>
        </w:rPr>
        <w:t xml:space="preserve">  </w:t>
      </w:r>
      <w:r w:rsidRPr="00BF42B7">
        <w:rPr>
          <w:rFonts w:hint="eastAsia"/>
          <w:szCs w:val="21"/>
        </w:rPr>
        <w:t>对惯例“普及和有代表性”的要求，不宜予以精确的公式化定论，因为具体情况可能存在很大差异</w:t>
      </w:r>
      <w:r w:rsidRPr="00BF42B7">
        <w:rPr>
          <w:rFonts w:hint="eastAsia"/>
          <w:szCs w:val="21"/>
        </w:rPr>
        <w:t>(</w:t>
      </w:r>
      <w:r w:rsidRPr="00BF42B7">
        <w:rPr>
          <w:rFonts w:hint="eastAsia"/>
          <w:szCs w:val="21"/>
        </w:rPr>
        <w:t>例如，出现需要采取行动的情况的频率</w:t>
      </w:r>
      <w:r w:rsidRPr="00BF42B7">
        <w:rPr>
          <w:rFonts w:hint="eastAsia"/>
          <w:szCs w:val="21"/>
        </w:rPr>
        <w:t>)</w:t>
      </w:r>
      <w:r w:rsidRPr="00BF42B7">
        <w:rPr>
          <w:rFonts w:hint="eastAsia"/>
          <w:szCs w:val="21"/>
        </w:rPr>
        <w:t>。</w:t>
      </w:r>
      <w:r w:rsidRPr="00BF42B7">
        <w:rPr>
          <w:rStyle w:val="a5"/>
        </w:rPr>
        <w:footnoteReference w:id="295"/>
      </w:r>
      <w:r w:rsidRPr="00BF42B7">
        <w:rPr>
          <w:rFonts w:eastAsia="Calibri"/>
          <w:szCs w:val="21"/>
        </w:rPr>
        <w:t xml:space="preserve"> </w:t>
      </w:r>
      <w:r w:rsidRPr="00BF42B7">
        <w:rPr>
          <w:rFonts w:hint="eastAsia"/>
          <w:szCs w:val="21"/>
        </w:rPr>
        <w:t>举例而言，所有国家都定期参与外交关系，因此在外交关系方面，惯例必须普遍存在方能满足本要求，而国际运河很少，因此在国际运河方面要求的惯例的数量就必然较少。“足够”一词体现了这一点，暗指无法</w:t>
      </w:r>
      <w:r w:rsidRPr="00BF42B7">
        <w:rPr>
          <w:rFonts w:hint="eastAsia"/>
          <w:szCs w:val="21"/>
        </w:rPr>
        <w:t>(</w:t>
      </w:r>
      <w:r w:rsidRPr="00BF42B7">
        <w:rPr>
          <w:rFonts w:hint="eastAsia"/>
          <w:szCs w:val="21"/>
        </w:rPr>
        <w:t>像惯例的实例数量一样</w:t>
      </w:r>
      <w:r w:rsidRPr="00BF42B7">
        <w:rPr>
          <w:rFonts w:hint="eastAsia"/>
          <w:szCs w:val="21"/>
        </w:rPr>
        <w:t>)</w:t>
      </w:r>
      <w:r w:rsidRPr="00BF42B7">
        <w:rPr>
          <w:rFonts w:hint="eastAsia"/>
          <w:szCs w:val="21"/>
        </w:rPr>
        <w:t>抽象地确定参与有关惯例的国家的必要数量和分布。但是，对普遍参与显然不作要求：没有必要证明所有国家都参与了所涉惯例。</w:t>
      </w:r>
      <w:r w:rsidRPr="00BF42B7">
        <w:rPr>
          <w:rStyle w:val="a5"/>
        </w:rPr>
        <w:footnoteReference w:id="296"/>
      </w:r>
      <w:r w:rsidRPr="00BF42B7">
        <w:rPr>
          <w:rFonts w:hint="eastAsia"/>
          <w:szCs w:val="21"/>
        </w:rPr>
        <w:t xml:space="preserve"> </w:t>
      </w:r>
      <w:r w:rsidRPr="00BF42B7">
        <w:rPr>
          <w:rFonts w:hint="eastAsia"/>
          <w:szCs w:val="21"/>
        </w:rPr>
        <w:t>参与国应包括有机会或有可能适用所称规则的国家。</w:t>
      </w:r>
      <w:r w:rsidRPr="00BF42B7">
        <w:rPr>
          <w:rStyle w:val="a5"/>
        </w:rPr>
        <w:footnoteReference w:id="297"/>
      </w:r>
      <w:r w:rsidRPr="00BF42B7">
        <w:rPr>
          <w:rFonts w:eastAsia="Calibri" w:hint="eastAsia"/>
          <w:szCs w:val="21"/>
        </w:rPr>
        <w:t xml:space="preserve"> </w:t>
      </w:r>
      <w:r w:rsidRPr="00BF42B7">
        <w:rPr>
          <w:rFonts w:hint="eastAsia"/>
          <w:szCs w:val="21"/>
        </w:rPr>
        <w:t>这些国家必须能够代表各地理区域和</w:t>
      </w:r>
      <w:r w:rsidRPr="00BF42B7">
        <w:rPr>
          <w:rFonts w:hint="eastAsia"/>
          <w:szCs w:val="21"/>
        </w:rPr>
        <w:t>/</w:t>
      </w:r>
      <w:r w:rsidRPr="00BF42B7">
        <w:rPr>
          <w:rFonts w:hint="eastAsia"/>
          <w:szCs w:val="21"/>
        </w:rPr>
        <w:t>或各利害关系方。</w:t>
      </w:r>
    </w:p>
    <w:p w:rsidR="00790CCC" w:rsidRPr="00BF42B7" w:rsidRDefault="00790CCC" w:rsidP="00790CCC">
      <w:pPr>
        <w:pStyle w:val="SingleTxtGC"/>
        <w:rPr>
          <w:szCs w:val="21"/>
        </w:rPr>
      </w:pPr>
      <w:r w:rsidRPr="00BF42B7">
        <w:rPr>
          <w:rFonts w:eastAsia="Calibri"/>
          <w:szCs w:val="21"/>
        </w:rPr>
        <w:t>(4)</w:t>
      </w:r>
      <w:r w:rsidRPr="00BF42B7">
        <w:rPr>
          <w:rFonts w:eastAsiaTheme="minorEastAsia" w:hint="eastAsia"/>
          <w:szCs w:val="21"/>
        </w:rPr>
        <w:t xml:space="preserve">  </w:t>
      </w:r>
      <w:r w:rsidRPr="00BF42B7">
        <w:rPr>
          <w:rFonts w:hint="eastAsia"/>
          <w:szCs w:val="21"/>
        </w:rPr>
        <w:t>在评估一般性时，需要考虑到的一个重要因素是，特别参与有关活动或最有可能关注所称规则的国家在多大程度上参与了惯例。</w:t>
      </w:r>
      <w:r w:rsidRPr="00BF42B7">
        <w:rPr>
          <w:rStyle w:val="a5"/>
        </w:rPr>
        <w:footnoteReference w:id="298"/>
      </w:r>
      <w:r w:rsidRPr="00BF42B7">
        <w:rPr>
          <w:rFonts w:eastAsia="Calibri"/>
          <w:szCs w:val="21"/>
        </w:rPr>
        <w:t xml:space="preserve"> </w:t>
      </w:r>
      <w:r w:rsidRPr="00BF42B7">
        <w:rPr>
          <w:rFonts w:hint="eastAsia"/>
          <w:szCs w:val="21"/>
        </w:rPr>
        <w:t>举例而言，若不考虑沿海国家和主要航运国的惯例，要确定某项涉及海区航行的习惯国际法规则的存在及内容显然不切实际；若不考虑资本出口国以及投资所在国的惯例，要确定某项关于外国投资的规则的存在及内容显然也不切实际。在许多情况下，所有国家或基本上所有国家都同等相关。</w:t>
      </w:r>
    </w:p>
    <w:p w:rsidR="00790CCC" w:rsidRPr="00BF42B7" w:rsidRDefault="00790CCC" w:rsidP="00790CCC">
      <w:pPr>
        <w:pStyle w:val="SingleTxtGC"/>
        <w:rPr>
          <w:szCs w:val="21"/>
        </w:rPr>
      </w:pPr>
      <w:r w:rsidRPr="00BF42B7">
        <w:rPr>
          <w:rFonts w:eastAsia="Calibri"/>
          <w:szCs w:val="21"/>
        </w:rPr>
        <w:t>(5)</w:t>
      </w:r>
      <w:r w:rsidRPr="00BF42B7">
        <w:rPr>
          <w:rFonts w:eastAsiaTheme="minorEastAsia" w:hint="eastAsia"/>
          <w:szCs w:val="21"/>
        </w:rPr>
        <w:t xml:space="preserve">  </w:t>
      </w:r>
      <w:r w:rsidRPr="00BF42B7">
        <w:rPr>
          <w:rFonts w:hint="eastAsia"/>
          <w:szCs w:val="21"/>
        </w:rPr>
        <w:t>关于惯例必须具有一贯性的要求意味着，若有关行动的差异过大，无法观察到行为模式，则不得认为存在一般惯例</w:t>
      </w:r>
      <w:r w:rsidRPr="00BF42B7">
        <w:rPr>
          <w:rFonts w:hint="eastAsia"/>
          <w:szCs w:val="21"/>
        </w:rPr>
        <w:t>(</w:t>
      </w:r>
      <w:r w:rsidRPr="00BF42B7">
        <w:rPr>
          <w:rFonts w:hint="eastAsia"/>
          <w:szCs w:val="21"/>
        </w:rPr>
        <w:t>因此也就不存在对应的习惯国际法规则</w:t>
      </w:r>
      <w:r w:rsidRPr="00BF42B7">
        <w:rPr>
          <w:rFonts w:hint="eastAsia"/>
          <w:szCs w:val="21"/>
        </w:rPr>
        <w:t>)</w:t>
      </w:r>
      <w:r w:rsidRPr="00BF42B7">
        <w:rPr>
          <w:rFonts w:hint="eastAsia"/>
          <w:szCs w:val="21"/>
        </w:rPr>
        <w:t>。例如，国际法院在</w:t>
      </w:r>
      <w:r w:rsidRPr="00BF42B7">
        <w:rPr>
          <w:rFonts w:eastAsia="楷体" w:hint="eastAsia"/>
          <w:szCs w:val="21"/>
        </w:rPr>
        <w:t>渔业案</w:t>
      </w:r>
      <w:r w:rsidRPr="00BF42B7">
        <w:rPr>
          <w:rFonts w:hint="eastAsia"/>
          <w:szCs w:val="21"/>
        </w:rPr>
        <w:t>中认定：</w:t>
      </w:r>
    </w:p>
    <w:p w:rsidR="00790CCC" w:rsidRPr="00BF42B7" w:rsidRDefault="00790CCC" w:rsidP="00790CCC">
      <w:pPr>
        <w:pStyle w:val="SingleTxtGC"/>
        <w:ind w:left="1554"/>
      </w:pPr>
      <w:r w:rsidRPr="00BF42B7">
        <w:rPr>
          <w:rFonts w:hint="eastAsia"/>
        </w:rPr>
        <w:t>“尽管某些国家采用了</w:t>
      </w:r>
      <w:r w:rsidRPr="00BF42B7">
        <w:rPr>
          <w:rFonts w:hint="eastAsia"/>
        </w:rPr>
        <w:t>10</w:t>
      </w:r>
      <w:r w:rsidRPr="00BF42B7">
        <w:rPr>
          <w:rFonts w:hint="eastAsia"/>
        </w:rPr>
        <w:t>海里规则……但其他国家采用了不同的限值。因此，</w:t>
      </w:r>
      <w:r w:rsidRPr="00BF42B7">
        <w:rPr>
          <w:rFonts w:hint="eastAsia"/>
        </w:rPr>
        <w:t>10</w:t>
      </w:r>
      <w:r w:rsidRPr="00BF42B7">
        <w:rPr>
          <w:rFonts w:hint="eastAsia"/>
        </w:rPr>
        <w:t>海里规则没有获得国际法一般规则的权威。”</w:t>
      </w:r>
      <w:r w:rsidRPr="00BF42B7">
        <w:rPr>
          <w:rStyle w:val="a5"/>
        </w:rPr>
        <w:footnoteReference w:id="299"/>
      </w:r>
    </w:p>
    <w:p w:rsidR="00790CCC" w:rsidRPr="00BF42B7" w:rsidRDefault="00790CCC" w:rsidP="00790CCC">
      <w:pPr>
        <w:pStyle w:val="SingleTxtGC"/>
      </w:pPr>
      <w:r w:rsidRPr="00BF42B7">
        <w:rPr>
          <w:rFonts w:eastAsia="Calibri"/>
        </w:rPr>
        <w:t>(6)</w:t>
      </w:r>
      <w:r w:rsidRPr="00BF42B7">
        <w:rPr>
          <w:rFonts w:eastAsiaTheme="minorEastAsia" w:hint="eastAsia"/>
        </w:rPr>
        <w:t xml:space="preserve">  </w:t>
      </w:r>
      <w:r w:rsidRPr="00BF42B7">
        <w:rPr>
          <w:rFonts w:hint="eastAsia"/>
        </w:rPr>
        <w:t>在审查惯例是否一贯时，当然必须考虑在事实上可比较的行为实例，即考虑在何处曾发生过相同或类似的问题，以便这种实例可以确实构成可靠的指导。常设国际法院在</w:t>
      </w:r>
      <w:r w:rsidRPr="00BF42B7">
        <w:rPr>
          <w:rFonts w:eastAsia="楷体" w:hint="eastAsia"/>
          <w:iCs/>
          <w:lang w:bidi="he-IL"/>
        </w:rPr>
        <w:t>“莲花号”案</w:t>
      </w:r>
      <w:r w:rsidRPr="00BF42B7">
        <w:rPr>
          <w:rFonts w:hint="eastAsia"/>
        </w:rPr>
        <w:t>中提到了：</w:t>
      </w:r>
    </w:p>
    <w:p w:rsidR="00790CCC" w:rsidRPr="00BF42B7" w:rsidRDefault="00790CCC" w:rsidP="00790CCC">
      <w:pPr>
        <w:pStyle w:val="SingleTxtGC"/>
        <w:ind w:left="1554"/>
      </w:pPr>
      <w:r w:rsidRPr="00BF42B7">
        <w:rPr>
          <w:rFonts w:hint="eastAsia"/>
        </w:rPr>
        <w:t>“与所审案件近似的先例；只有从这一性质的先例中才能发现适用于具体所审案件的</w:t>
      </w:r>
      <w:r w:rsidRPr="00BF42B7">
        <w:rPr>
          <w:rFonts w:hint="eastAsia"/>
        </w:rPr>
        <w:t>[</w:t>
      </w:r>
      <w:r w:rsidRPr="00BF42B7">
        <w:rPr>
          <w:rFonts w:hint="eastAsia"/>
        </w:rPr>
        <w:t>习惯国际法</w:t>
      </w:r>
      <w:r w:rsidRPr="00BF42B7">
        <w:rPr>
          <w:rFonts w:hint="eastAsia"/>
        </w:rPr>
        <w:t>]</w:t>
      </w:r>
      <w:r w:rsidRPr="00BF42B7">
        <w:rPr>
          <w:rFonts w:hint="eastAsia"/>
        </w:rPr>
        <w:t>一般原则的存在”。</w:t>
      </w:r>
      <w:r w:rsidRPr="00BF42B7">
        <w:rPr>
          <w:rStyle w:val="a5"/>
        </w:rPr>
        <w:footnoteReference w:id="300"/>
      </w:r>
    </w:p>
    <w:p w:rsidR="00790CCC" w:rsidRPr="00BF42B7" w:rsidRDefault="00790CCC" w:rsidP="00790CCC">
      <w:pPr>
        <w:pStyle w:val="SingleTxtGC"/>
      </w:pPr>
      <w:r w:rsidRPr="00BF42B7">
        <w:rPr>
          <w:rFonts w:eastAsia="Calibri"/>
        </w:rPr>
        <w:t>(7)</w:t>
      </w:r>
      <w:r w:rsidRPr="00BF42B7">
        <w:rPr>
          <w:rFonts w:eastAsiaTheme="minorEastAsia" w:hint="eastAsia"/>
        </w:rPr>
        <w:t xml:space="preserve">  </w:t>
      </w:r>
      <w:r w:rsidRPr="00BF42B7">
        <w:rPr>
          <w:rFonts w:hint="eastAsia"/>
        </w:rPr>
        <w:t>与此同时，并不要求各国惯例完全一致。有关惯例只需要基本上或实质上一致；因此，即便存在一些不一致和矛盾之处，不一定就不能认定存在“一项一般惯例”。在</w:t>
      </w:r>
      <w:r w:rsidRPr="00BF42B7">
        <w:rPr>
          <w:rFonts w:eastAsia="楷体"/>
          <w:iCs/>
          <w:lang w:bidi="he-IL"/>
        </w:rPr>
        <w:t>尼加拉瓜境内和针对尼加拉瓜的军事和准军事活动案</w:t>
      </w:r>
      <w:r w:rsidRPr="00BF42B7">
        <w:rPr>
          <w:rFonts w:hint="eastAsia"/>
          <w:lang w:bidi="he-IL"/>
        </w:rPr>
        <w:t>中，国际法院认定：</w:t>
      </w:r>
    </w:p>
    <w:p w:rsidR="00790CCC" w:rsidRPr="00BF42B7" w:rsidRDefault="00790CCC" w:rsidP="00790CCC">
      <w:pPr>
        <w:pStyle w:val="SingleTxtGC"/>
        <w:ind w:left="1554"/>
        <w:rPr>
          <w:rStyle w:val="a5"/>
        </w:rPr>
      </w:pPr>
      <w:r w:rsidRPr="00BF42B7">
        <w:rPr>
          <w:rFonts w:hint="eastAsia"/>
        </w:rPr>
        <w:t>“不应期望所涉规则在各国惯例中的适用情况是完美的……本法院并不认为，要确定某项规则是习惯规则，所对应的惯例必须与该规则绝对严格地保持一致。本法院认为，各国的行为只要大体上与这种规则一致，就足以推导出习惯规则的存在。”</w:t>
      </w:r>
      <w:r w:rsidRPr="00BF42B7">
        <w:rPr>
          <w:rStyle w:val="a5"/>
        </w:rPr>
        <w:footnoteReference w:id="301"/>
      </w:r>
    </w:p>
    <w:p w:rsidR="00790CCC" w:rsidRPr="00BF42B7" w:rsidRDefault="00790CCC" w:rsidP="00790CCC">
      <w:pPr>
        <w:pStyle w:val="SingleTxtGC"/>
      </w:pPr>
      <w:r w:rsidRPr="00BF42B7">
        <w:rPr>
          <w:rFonts w:eastAsia="Calibri"/>
        </w:rPr>
        <w:t>(8)</w:t>
      </w:r>
      <w:r w:rsidRPr="00BF42B7">
        <w:rPr>
          <w:rFonts w:eastAsiaTheme="minorEastAsia" w:hint="eastAsia"/>
        </w:rPr>
        <w:t xml:space="preserve">  </w:t>
      </w:r>
      <w:r w:rsidRPr="00BF42B7">
        <w:rPr>
          <w:rFonts w:hint="eastAsia"/>
        </w:rPr>
        <w:t>若不一致是以违反规则的形式出现，则不一定妨碍一般惯例的确定，尤其是在所涉国家不承认违反规则和</w:t>
      </w:r>
      <w:r w:rsidRPr="00BF42B7">
        <w:rPr>
          <w:rFonts w:hint="eastAsia"/>
        </w:rPr>
        <w:t>/</w:t>
      </w:r>
      <w:r w:rsidRPr="00BF42B7">
        <w:rPr>
          <w:rFonts w:hint="eastAsia"/>
        </w:rPr>
        <w:t>或对该规则表示支持的情况下。正如国际法院所述：</w:t>
      </w:r>
    </w:p>
    <w:p w:rsidR="00790CCC" w:rsidRPr="00BF42B7" w:rsidRDefault="00790CCC" w:rsidP="00790CCC">
      <w:pPr>
        <w:pStyle w:val="SingleTxtGC"/>
        <w:ind w:left="1554"/>
      </w:pPr>
      <w:r w:rsidRPr="00BF42B7">
        <w:rPr>
          <w:rFonts w:hint="eastAsia"/>
        </w:rPr>
        <w:t>“国家行为与某给定规则不一致的实例，通常应视为对该规则的违反，而非视为承认一项新规则的表现。若某国的行动方式表面上与某项承认的规则不符，但该国援引该规则内规定的例外情况或理由为自己的行为辩护，则不论该国行为据此事实上是否合理，这种态度的意义恰恰是确认该规则，而非削弱该规则。”</w:t>
      </w:r>
      <w:r w:rsidRPr="00BF42B7">
        <w:rPr>
          <w:rStyle w:val="a5"/>
        </w:rPr>
        <w:footnoteReference w:id="302"/>
      </w:r>
    </w:p>
    <w:p w:rsidR="00790CCC" w:rsidRPr="00BF42B7" w:rsidRDefault="00790CCC" w:rsidP="00790CCC">
      <w:pPr>
        <w:pStyle w:val="SingleTxtGC"/>
      </w:pPr>
      <w:r w:rsidRPr="00BF42B7">
        <w:rPr>
          <w:rFonts w:eastAsia="Calibri"/>
        </w:rPr>
        <w:t>(9)</w:t>
      </w:r>
      <w:r w:rsidRPr="00BF42B7">
        <w:rPr>
          <w:rFonts w:eastAsiaTheme="minorEastAsia" w:hint="eastAsia"/>
        </w:rPr>
        <w:t xml:space="preserve">  </w:t>
      </w:r>
      <w:r w:rsidRPr="00BF42B7">
        <w:rPr>
          <w:rFonts w:hint="eastAsia"/>
        </w:rPr>
        <w:t>第</w:t>
      </w:r>
      <w:r w:rsidRPr="00BF42B7">
        <w:rPr>
          <w:rFonts w:hint="eastAsia"/>
        </w:rPr>
        <w:t>2</w:t>
      </w:r>
      <w:r w:rsidRPr="00BF42B7">
        <w:rPr>
          <w:rFonts w:hint="eastAsia"/>
        </w:rPr>
        <w:t>段提到了时间要素，指明若某项一般惯例得到遵循的时间相对较短，这本身并不妨碍确定存在着对应的习惯国际法规则。虽然较长的存续时间可能产生更加广泛的有关惯例，但习惯规则的存在并不需要一般惯例存续了久远或较长或固定的时间。</w:t>
      </w:r>
      <w:r w:rsidRPr="00BF42B7">
        <w:rPr>
          <w:rStyle w:val="a5"/>
        </w:rPr>
        <w:footnoteReference w:id="303"/>
      </w:r>
      <w:r w:rsidRPr="00BF42B7">
        <w:rPr>
          <w:rFonts w:eastAsia="Calibri"/>
        </w:rPr>
        <w:t xml:space="preserve"> </w:t>
      </w:r>
      <w:r w:rsidRPr="00BF42B7">
        <w:rPr>
          <w:rFonts w:hint="eastAsia"/>
        </w:rPr>
        <w:t>国际法院在</w:t>
      </w:r>
      <w:r w:rsidRPr="00BF42B7">
        <w:rPr>
          <w:rFonts w:eastAsia="楷体"/>
          <w:iCs/>
        </w:rPr>
        <w:t>北海大陆架案</w:t>
      </w:r>
      <w:r w:rsidRPr="00BF42B7">
        <w:rPr>
          <w:rFonts w:hint="eastAsia"/>
        </w:rPr>
        <w:t>中证实了这一点，认定“所过时间较短这一点本身并不妨碍一项习惯国际法新规则的形成”。</w:t>
      </w:r>
      <w:r w:rsidRPr="00BF42B7">
        <w:rPr>
          <w:rStyle w:val="a5"/>
        </w:rPr>
        <w:footnoteReference w:id="304"/>
      </w:r>
      <w:r w:rsidRPr="00BF42B7">
        <w:rPr>
          <w:rFonts w:hint="eastAsia"/>
        </w:rPr>
        <w:t xml:space="preserve"> </w:t>
      </w:r>
      <w:r w:rsidRPr="00BF42B7">
        <w:rPr>
          <w:rFonts w:hint="eastAsia"/>
        </w:rPr>
        <w:t>但也正如该段所指明的，一项一般惯例的出现必须经过一些时间；不存在“速成习惯”。</w:t>
      </w:r>
    </w:p>
    <w:p w:rsidR="00790CCC" w:rsidRPr="00BF42B7" w:rsidRDefault="00790CCC" w:rsidP="00C64929">
      <w:pPr>
        <w:pStyle w:val="H23GC"/>
        <w:ind w:left="1554"/>
        <w:rPr>
          <w:rFonts w:eastAsia="Calibri"/>
        </w:rPr>
      </w:pPr>
      <w:r w:rsidRPr="00BF42B7">
        <w:rPr>
          <w:rFonts w:hint="eastAsia"/>
        </w:rPr>
        <w:tab/>
      </w:r>
      <w:r w:rsidRPr="00BF42B7">
        <w:rPr>
          <w:rFonts w:hint="eastAsia"/>
        </w:rPr>
        <w:tab/>
      </w:r>
      <w:r w:rsidRPr="00BF42B7">
        <w:rPr>
          <w:rFonts w:hint="eastAsia"/>
        </w:rPr>
        <w:t>第四部分</w:t>
      </w:r>
      <w:r w:rsidRPr="00BF42B7">
        <w:br/>
      </w:r>
      <w:r w:rsidRPr="00BF42B7">
        <w:rPr>
          <w:rFonts w:hint="eastAsia"/>
        </w:rPr>
        <w:t>被接受为法律</w:t>
      </w:r>
      <w:r w:rsidRPr="00BF42B7">
        <w:rPr>
          <w:rFonts w:eastAsia="Calibri" w:hint="eastAsia"/>
        </w:rPr>
        <w:t>(</w:t>
      </w:r>
      <w:r w:rsidRPr="00BF42B7">
        <w:rPr>
          <w:rFonts w:hint="eastAsia"/>
        </w:rPr>
        <w:t>法律确信</w:t>
      </w:r>
      <w:r w:rsidRPr="00BF42B7">
        <w:rPr>
          <w:rFonts w:eastAsia="Calibri" w:hint="eastAsia"/>
        </w:rPr>
        <w:t>)</w:t>
      </w:r>
    </w:p>
    <w:p w:rsidR="00790CCC" w:rsidRPr="00BF42B7" w:rsidRDefault="00790CCC" w:rsidP="008B3302">
      <w:pPr>
        <w:pStyle w:val="SingleTxtGC"/>
        <w:tabs>
          <w:tab w:val="clear" w:pos="431"/>
          <w:tab w:val="clear" w:pos="1134"/>
          <w:tab w:val="clear" w:pos="1565"/>
        </w:tabs>
        <w:ind w:left="1554"/>
        <w:rPr>
          <w:rFonts w:eastAsia="Calibri"/>
        </w:rPr>
      </w:pPr>
      <w:r w:rsidRPr="00BF42B7">
        <w:rPr>
          <w:rFonts w:hint="eastAsia"/>
        </w:rPr>
        <w:tab/>
      </w:r>
      <w:r w:rsidRPr="00BF42B7">
        <w:rPr>
          <w:rFonts w:hint="eastAsia"/>
        </w:rPr>
        <w:t>证明某种惯例被足够广泛和有代表性的一些国家一贯遵守并不足以识别习惯国际法规则。第四部分涉及习惯国际法的第二个构成要素，常常被称为“主观”或“心理”要素：在每种情况下，还必须满足这样的条件，即各国接受有关惯例的约束性，将之接受为法律</w:t>
      </w:r>
      <w:r w:rsidRPr="00BF42B7">
        <w:rPr>
          <w:rFonts w:hint="eastAsia"/>
        </w:rPr>
        <w:t>(</w:t>
      </w:r>
      <w:r w:rsidRPr="00BF42B7">
        <w:rPr>
          <w:rFonts w:hint="eastAsia"/>
        </w:rPr>
        <w:t>法律确信</w:t>
      </w:r>
      <w:r w:rsidRPr="00BF42B7">
        <w:rPr>
          <w:rFonts w:hint="eastAsia"/>
        </w:rPr>
        <w:t>)</w:t>
      </w:r>
      <w:r w:rsidRPr="00BF42B7">
        <w:rPr>
          <w:rFonts w:hint="eastAsia"/>
        </w:rPr>
        <w:t>。</w:t>
      </w:r>
    </w:p>
    <w:p w:rsidR="00790CCC" w:rsidRPr="00BF42B7" w:rsidRDefault="00790CCC" w:rsidP="00790CCC">
      <w:pPr>
        <w:pStyle w:val="H23GC"/>
        <w:ind w:left="1554"/>
        <w:rPr>
          <w:rFonts w:eastAsia="Calibri"/>
        </w:rPr>
      </w:pPr>
      <w:r w:rsidRPr="00BF42B7">
        <w:rPr>
          <w:rFonts w:hint="eastAsia"/>
        </w:rPr>
        <w:tab/>
      </w:r>
      <w:r w:rsidRPr="00BF42B7">
        <w:rPr>
          <w:rFonts w:hint="eastAsia"/>
        </w:rPr>
        <w:tab/>
      </w:r>
      <w:r w:rsidRPr="00BF42B7">
        <w:rPr>
          <w:rFonts w:hint="eastAsia"/>
        </w:rPr>
        <w:t>结论</w:t>
      </w:r>
      <w:r w:rsidRPr="00BF42B7">
        <w:rPr>
          <w:rFonts w:eastAsia="Calibri" w:hint="eastAsia"/>
        </w:rPr>
        <w:t>9</w:t>
      </w:r>
      <w:r w:rsidRPr="00BF42B7">
        <w:br/>
      </w:r>
      <w:r w:rsidRPr="00BF42B7">
        <w:rPr>
          <w:rFonts w:hint="eastAsia"/>
        </w:rPr>
        <w:t>被接受为法律</w:t>
      </w:r>
      <w:r w:rsidRPr="00BF42B7">
        <w:rPr>
          <w:rFonts w:eastAsia="Calibri" w:hint="eastAsia"/>
        </w:rPr>
        <w:t>(</w:t>
      </w:r>
      <w:r w:rsidRPr="00BF42B7">
        <w:rPr>
          <w:rFonts w:hint="eastAsia"/>
        </w:rPr>
        <w:t>法律确信</w:t>
      </w:r>
      <w:r w:rsidRPr="00BF42B7">
        <w:rPr>
          <w:rFonts w:eastAsia="Calibri" w:hint="eastAsia"/>
        </w:rPr>
        <w:t>)</w:t>
      </w:r>
      <w:r w:rsidRPr="00BF42B7">
        <w:rPr>
          <w:rFonts w:hint="eastAsia"/>
        </w:rPr>
        <w:t>的要求</w:t>
      </w:r>
    </w:p>
    <w:p w:rsidR="00790CCC" w:rsidRPr="00BF42B7" w:rsidRDefault="00790CCC" w:rsidP="008B3302">
      <w:pPr>
        <w:pStyle w:val="SingleTxtGC"/>
        <w:ind w:left="1554"/>
      </w:pPr>
      <w:r w:rsidRPr="00BF42B7">
        <w:t>1.</w:t>
      </w:r>
      <w:r w:rsidR="008B3302">
        <w:rPr>
          <w:rFonts w:hint="eastAsia"/>
        </w:rPr>
        <w:t xml:space="preserve">  </w:t>
      </w:r>
      <w:r w:rsidRPr="00BF42B7">
        <w:rPr>
          <w:rFonts w:hint="eastAsia"/>
        </w:rPr>
        <w:t>关于一般惯例须被接受为法律</w:t>
      </w:r>
      <w:r w:rsidRPr="00BF42B7">
        <w:rPr>
          <w:rFonts w:hint="eastAsia"/>
        </w:rPr>
        <w:t>(</w:t>
      </w:r>
      <w:r w:rsidRPr="00BF42B7">
        <w:rPr>
          <w:rFonts w:hint="eastAsia"/>
        </w:rPr>
        <w:t>法律确信</w:t>
      </w:r>
      <w:r w:rsidRPr="00BF42B7">
        <w:rPr>
          <w:rFonts w:hint="eastAsia"/>
        </w:rPr>
        <w:t>)</w:t>
      </w:r>
      <w:r w:rsidRPr="00BF42B7">
        <w:rPr>
          <w:rFonts w:hint="eastAsia"/>
        </w:rPr>
        <w:t>的要求作为习惯国际法的构成要素，意味着有关惯例的采用必须带有一种法律权利或义务感。</w:t>
      </w:r>
    </w:p>
    <w:p w:rsidR="00790CCC" w:rsidRPr="00BF42B7" w:rsidRDefault="00790CCC" w:rsidP="008B3302">
      <w:pPr>
        <w:pStyle w:val="SingleTxtGC"/>
        <w:ind w:left="1554"/>
      </w:pPr>
      <w:r w:rsidRPr="00BF42B7">
        <w:t>2.</w:t>
      </w:r>
      <w:r w:rsidR="008B3302">
        <w:rPr>
          <w:rFonts w:hint="eastAsia"/>
        </w:rPr>
        <w:t xml:space="preserve">  </w:t>
      </w:r>
      <w:r w:rsidRPr="00BF42B7">
        <w:rPr>
          <w:rFonts w:hint="eastAsia"/>
        </w:rPr>
        <w:t>被接受为法律</w:t>
      </w:r>
      <w:r w:rsidRPr="00BF42B7">
        <w:rPr>
          <w:rFonts w:hint="eastAsia"/>
        </w:rPr>
        <w:t>(</w:t>
      </w:r>
      <w:r w:rsidRPr="00BF42B7">
        <w:rPr>
          <w:rFonts w:hint="eastAsia"/>
        </w:rPr>
        <w:t>法律确信</w:t>
      </w:r>
      <w:r w:rsidRPr="00BF42B7">
        <w:rPr>
          <w:rFonts w:hint="eastAsia"/>
        </w:rPr>
        <w:t>)</w:t>
      </w:r>
      <w:r w:rsidRPr="00BF42B7">
        <w:rPr>
          <w:rFonts w:hint="eastAsia"/>
        </w:rPr>
        <w:t>的一般惯例不同于单纯的常例或习惯。</w:t>
      </w:r>
    </w:p>
    <w:p w:rsidR="00790CCC" w:rsidRPr="00BF42B7" w:rsidRDefault="00790CCC" w:rsidP="00790CCC">
      <w:pPr>
        <w:pStyle w:val="H23GC"/>
        <w:rPr>
          <w:rFonts w:eastAsia="Calibri"/>
        </w:rPr>
      </w:pPr>
      <w:r w:rsidRPr="00BF42B7">
        <w:rPr>
          <w:rFonts w:hint="eastAsia"/>
        </w:rPr>
        <w:tab/>
      </w:r>
      <w:r w:rsidRPr="00BF42B7">
        <w:rPr>
          <w:rFonts w:hint="eastAsia"/>
        </w:rPr>
        <w:tab/>
      </w:r>
      <w:r w:rsidRPr="00BF42B7">
        <w:rPr>
          <w:rFonts w:hint="eastAsia"/>
        </w:rPr>
        <w:t>评注</w:t>
      </w:r>
    </w:p>
    <w:p w:rsidR="00790CCC" w:rsidRPr="00BF42B7" w:rsidRDefault="00790CCC" w:rsidP="00790CCC">
      <w:pPr>
        <w:pStyle w:val="SingleTxtGC"/>
      </w:pPr>
      <w:r w:rsidRPr="00BF42B7">
        <w:rPr>
          <w:rFonts w:eastAsia="Calibri"/>
        </w:rPr>
        <w:t>(1)</w:t>
      </w:r>
      <w:r w:rsidRPr="00BF42B7">
        <w:rPr>
          <w:rFonts w:eastAsiaTheme="minorEastAsia" w:hint="eastAsia"/>
        </w:rPr>
        <w:t xml:space="preserve">  </w:t>
      </w:r>
      <w:r w:rsidRPr="00BF42B7">
        <w:t>结论草案</w:t>
      </w:r>
      <w:r w:rsidRPr="00BF42B7">
        <w:t>9</w:t>
      </w:r>
      <w:r w:rsidRPr="00BF42B7">
        <w:t>试图概括习惯国际法第二个构成要素即被接受为法律</w:t>
      </w:r>
      <w:r w:rsidRPr="00BF42B7">
        <w:t>(</w:t>
      </w:r>
      <w:r w:rsidRPr="00BF42B7">
        <w:t>法律确信</w:t>
      </w:r>
      <w:r w:rsidRPr="00BF42B7">
        <w:t>)</w:t>
      </w:r>
      <w:r w:rsidRPr="00BF42B7">
        <w:t>的性质和作用。</w:t>
      </w:r>
    </w:p>
    <w:p w:rsidR="00790CCC" w:rsidRPr="00BF42B7" w:rsidRDefault="00790CCC" w:rsidP="00790CCC">
      <w:pPr>
        <w:pStyle w:val="SingleTxtGC"/>
        <w:rPr>
          <w:rFonts w:eastAsia="Calibri"/>
        </w:rPr>
      </w:pPr>
      <w:r w:rsidRPr="00BF42B7">
        <w:rPr>
          <w:rFonts w:eastAsia="Calibri"/>
        </w:rPr>
        <w:t>(2)</w:t>
      </w:r>
      <w:r w:rsidRPr="00BF42B7">
        <w:rPr>
          <w:rFonts w:eastAsiaTheme="minorEastAsia" w:hint="eastAsia"/>
        </w:rPr>
        <w:t xml:space="preserve">  </w:t>
      </w:r>
      <w:r w:rsidRPr="00BF42B7">
        <w:t>第</w:t>
      </w:r>
      <w:r w:rsidRPr="00BF42B7">
        <w:t>1</w:t>
      </w:r>
      <w:r w:rsidRPr="00BF42B7">
        <w:t>段解释说，作为习惯国际法的一个构成要素，被接受为法律</w:t>
      </w:r>
      <w:r w:rsidRPr="00BF42B7">
        <w:t>(</w:t>
      </w:r>
      <w:r w:rsidRPr="00BF42B7">
        <w:t>法律确信</w:t>
      </w:r>
      <w:r w:rsidRPr="00BF42B7">
        <w:t>)</w:t>
      </w:r>
      <w:r w:rsidRPr="00BF42B7">
        <w:t>述及一项要求，有关惯例的采用必须带有一种法律权利或义务感，即它必须伴有关于此种惯例被习惯国际法所允许、要求或禁止的信念。因此，必须逐案证明国家以某种方式行事是因为它们感觉或相信，它们因一项习惯国际法规则而在法律上必须或有权利如此行事：它们必须作为一项权利采用这项惯例，或作为一项义务遵守这项惯例。国际法院在</w:t>
      </w:r>
      <w:r w:rsidRPr="00BF42B7">
        <w:rPr>
          <w:rFonts w:eastAsia="楷体"/>
        </w:rPr>
        <w:t>北海大陆架案</w:t>
      </w:r>
      <w:r w:rsidRPr="00BF42B7">
        <w:t>的判决中强调：</w:t>
      </w:r>
    </w:p>
    <w:p w:rsidR="00790CCC" w:rsidRPr="00BF42B7" w:rsidRDefault="00790CCC" w:rsidP="00790CCC">
      <w:pPr>
        <w:pStyle w:val="SingleTxtGC"/>
        <w:ind w:left="1554"/>
        <w:rPr>
          <w:rFonts w:eastAsia="Calibri"/>
        </w:rPr>
      </w:pPr>
      <w:r w:rsidRPr="00BF42B7">
        <w:rPr>
          <w:rFonts w:eastAsia="Calibri" w:hint="eastAsia"/>
        </w:rPr>
        <w:t>“</w:t>
      </w:r>
      <w:r w:rsidRPr="00BF42B7">
        <w:rPr>
          <w:rFonts w:hint="eastAsia"/>
        </w:rPr>
        <w:t>有关行为不仅要构成既定惯例，而且其本身或其实施方式须能够佐证一种看法，即有规则要求采用这种惯例，因此该惯例具有强制性。这样一种信念的必要性，即主观因素的存在，包含在‘法律必要确信’的概念中。因此，有关国家必须感到它们是在遵守相当于法律义务的东西</w:t>
      </w:r>
      <w:r w:rsidRPr="00BF42B7">
        <w:rPr>
          <w:rFonts w:eastAsia="Calibri" w:hint="eastAsia"/>
        </w:rPr>
        <w:t>”</w:t>
      </w:r>
      <w:r w:rsidRPr="00BF42B7">
        <w:rPr>
          <w:rFonts w:hint="eastAsia"/>
        </w:rPr>
        <w:t>。</w:t>
      </w:r>
      <w:r w:rsidRPr="00BF42B7">
        <w:rPr>
          <w:rStyle w:val="a5"/>
        </w:rPr>
        <w:footnoteReference w:id="305"/>
      </w:r>
    </w:p>
    <w:p w:rsidR="00790CCC" w:rsidRPr="00BF42B7" w:rsidRDefault="00790CCC" w:rsidP="00790CCC">
      <w:pPr>
        <w:pStyle w:val="SingleTxtGC"/>
        <w:rPr>
          <w:lang w:val="en-GB"/>
        </w:rPr>
      </w:pPr>
      <w:r w:rsidRPr="00BF42B7">
        <w:rPr>
          <w:rFonts w:eastAsia="Calibri"/>
        </w:rPr>
        <w:t>(3)</w:t>
      </w:r>
      <w:r w:rsidRPr="00BF42B7">
        <w:rPr>
          <w:rFonts w:eastAsiaTheme="minorEastAsia" w:hint="eastAsia"/>
        </w:rPr>
        <w:t xml:space="preserve">  </w:t>
      </w:r>
      <w:r w:rsidRPr="00BF42B7">
        <w:rPr>
          <w:rFonts w:hint="eastAsia"/>
        </w:rPr>
        <w:t>被接受为法律</w:t>
      </w:r>
      <w:r w:rsidRPr="00BF42B7">
        <w:rPr>
          <w:rFonts w:eastAsia="Calibri" w:hint="eastAsia"/>
        </w:rPr>
        <w:t>(</w:t>
      </w:r>
      <w:r w:rsidRPr="00BF42B7">
        <w:rPr>
          <w:rFonts w:hint="eastAsia"/>
        </w:rPr>
        <w:t>法律确信</w:t>
      </w:r>
      <w:r w:rsidRPr="00BF42B7">
        <w:rPr>
          <w:rFonts w:eastAsia="Calibri" w:hint="eastAsia"/>
        </w:rPr>
        <w:t>)</w:t>
      </w:r>
      <w:r w:rsidRPr="00BF42B7">
        <w:rPr>
          <w:rFonts w:hint="eastAsia"/>
        </w:rPr>
        <w:t>不同于其他法律以外的行动动机，如礼让、政治权宜之计或便利；如果该惯例的动机仅是这类其他考虑因素，将不能识别习惯国际法规则。</w:t>
      </w:r>
      <w:r w:rsidRPr="00BF42B7">
        <w:rPr>
          <w:rFonts w:hint="eastAsia"/>
          <w:lang w:val="en-GB"/>
        </w:rPr>
        <w:t>因此，在</w:t>
      </w:r>
      <w:r w:rsidRPr="00BF42B7">
        <w:rPr>
          <w:rFonts w:ascii="Time New Roman" w:eastAsia="楷体" w:hAnsi="Time New Roman"/>
          <w:lang w:val="en-GB"/>
        </w:rPr>
        <w:t>哥伦比亚</w:t>
      </w:r>
      <w:r w:rsidRPr="00BF42B7">
        <w:rPr>
          <w:rFonts w:ascii="Time New Roman" w:eastAsia="楷体" w:hAnsi="Time New Roman" w:hint="eastAsia"/>
          <w:lang w:val="en-GB"/>
        </w:rPr>
        <w:t>－</w:t>
      </w:r>
      <w:r w:rsidRPr="00BF42B7">
        <w:rPr>
          <w:rFonts w:ascii="Time New Roman" w:eastAsia="楷体" w:hAnsi="Time New Roman"/>
          <w:lang w:val="en-GB"/>
        </w:rPr>
        <w:t>秘鲁</w:t>
      </w:r>
      <w:r w:rsidRPr="00BF42B7">
        <w:rPr>
          <w:rFonts w:ascii="Time New Roman" w:eastAsia="楷体" w:hAnsi="Time New Roman" w:hint="eastAsia"/>
          <w:lang w:val="en-GB"/>
        </w:rPr>
        <w:t>庇护权案</w:t>
      </w:r>
      <w:r w:rsidRPr="00BF42B7">
        <w:rPr>
          <w:rFonts w:hint="eastAsia"/>
          <w:lang w:val="en-GB"/>
        </w:rPr>
        <w:t>中，国际法院在所声称的惯例实例未被证明属下列情况时拒绝承认存在习惯国际法规则：</w:t>
      </w:r>
    </w:p>
    <w:p w:rsidR="00790CCC" w:rsidRPr="00BF42B7" w:rsidRDefault="008B3302" w:rsidP="00790CCC">
      <w:pPr>
        <w:pStyle w:val="SingleTxtGC"/>
        <w:ind w:left="1554"/>
        <w:rPr>
          <w:lang w:val="en-GB"/>
        </w:rPr>
      </w:pPr>
      <w:r>
        <w:rPr>
          <w:rFonts w:hint="eastAsia"/>
          <w:lang w:val="en-GB"/>
        </w:rPr>
        <w:t>“</w:t>
      </w:r>
      <w:r w:rsidR="00790CCC" w:rsidRPr="00BF42B7">
        <w:rPr>
          <w:rFonts w:hint="eastAsia"/>
          <w:lang w:val="en-GB"/>
        </w:rPr>
        <w:t>由给予庇护之国作为属于该国的一项权利行使并由领土所属国作为其有责任履行的义务予以遵守，而非仅出于政治权宜之计。……便利或简单的政治权宜考虑似乎导致领土所属国承认庇护，而支配该决定的并非任何法律义务感。</w:t>
      </w:r>
      <w:r>
        <w:rPr>
          <w:rFonts w:hint="eastAsia"/>
          <w:lang w:val="en-GB"/>
        </w:rPr>
        <w:t>”</w:t>
      </w:r>
      <w:r w:rsidR="00790CCC" w:rsidRPr="00BF42B7">
        <w:rPr>
          <w:color w:val="0000FF"/>
          <w:vertAlign w:val="superscript"/>
          <w:lang w:val="en-GB"/>
        </w:rPr>
        <w:footnoteReference w:id="306"/>
      </w:r>
      <w:r w:rsidR="00790CCC" w:rsidRPr="00BF42B7">
        <w:rPr>
          <w:color w:val="0000FF"/>
          <w:vertAlign w:val="superscript"/>
          <w:lang w:val="en-GB"/>
        </w:rPr>
        <w:t xml:space="preserve"> </w:t>
      </w:r>
    </w:p>
    <w:p w:rsidR="00790CCC" w:rsidRPr="00BF42B7" w:rsidRDefault="00790CCC" w:rsidP="00790CCC">
      <w:pPr>
        <w:pStyle w:val="SingleTxtGC"/>
        <w:rPr>
          <w:lang w:val="en-GB"/>
        </w:rPr>
      </w:pPr>
      <w:r w:rsidRPr="00BF42B7">
        <w:rPr>
          <w:lang w:val="en-GB"/>
        </w:rPr>
        <w:t xml:space="preserve">(4)  </w:t>
      </w:r>
      <w:r w:rsidRPr="00BF42B7">
        <w:rPr>
          <w:rFonts w:hint="eastAsia"/>
          <w:lang w:val="en-GB"/>
        </w:rPr>
        <w:t>作为一项条约义务试图遵守一项条约义务与试图遵守国内法很像，就识别习惯国际法目的而言不是被接受为法律，以此种意图采用的惯例本身不能推断存在一项习惯国际法规则。</w:t>
      </w:r>
      <w:r w:rsidRPr="00BF42B7">
        <w:rPr>
          <w:color w:val="0000FF"/>
          <w:vertAlign w:val="superscript"/>
          <w:lang w:val="en-GB"/>
        </w:rPr>
        <w:footnoteReference w:id="307"/>
      </w:r>
      <w:r w:rsidRPr="00BF42B7">
        <w:rPr>
          <w:color w:val="0000FF"/>
          <w:vertAlign w:val="superscript"/>
          <w:lang w:val="en-GB"/>
        </w:rPr>
        <w:t xml:space="preserve"> </w:t>
      </w:r>
      <w:r w:rsidRPr="00BF42B7">
        <w:rPr>
          <w:rFonts w:hint="eastAsia"/>
          <w:lang w:val="en-GB"/>
        </w:rPr>
        <w:t>然而，一国可承认它同时受到习惯国际法和条约的某种义务的约束；但这种情况需要得到证明。另一方面，当国家遵守一项对其不具约束力的条约行事，或在其与该条约非缔约方的关系中适用公约义务的情况下，在不存在任何相反的解释时，这可证明存在被接受为法律。</w:t>
      </w:r>
    </w:p>
    <w:p w:rsidR="00790CCC" w:rsidRPr="00BF42B7" w:rsidRDefault="00790CCC" w:rsidP="00790CCC">
      <w:pPr>
        <w:pStyle w:val="SingleTxtGC"/>
        <w:rPr>
          <w:lang w:val="en-GB"/>
        </w:rPr>
      </w:pPr>
      <w:r w:rsidRPr="00BF42B7">
        <w:rPr>
          <w:lang w:val="en-GB"/>
        </w:rPr>
        <w:t xml:space="preserve">(5)  </w:t>
      </w:r>
      <w:r w:rsidRPr="00BF42B7">
        <w:rPr>
          <w:rFonts w:hint="eastAsia"/>
          <w:lang w:val="en-GB"/>
        </w:rPr>
        <w:t>应面向实施有关惯例的国家和能够对惯例做出反应的国家查证被接受为法律</w:t>
      </w:r>
      <w:r w:rsidRPr="00BF42B7">
        <w:rPr>
          <w:rFonts w:hint="eastAsia"/>
          <w:lang w:val="en-GB"/>
        </w:rPr>
        <w:t>(</w:t>
      </w:r>
      <w:r w:rsidRPr="00BF42B7">
        <w:rPr>
          <w:rFonts w:hint="eastAsia"/>
          <w:lang w:val="en-GB"/>
        </w:rPr>
        <w:t>法律确信</w:t>
      </w:r>
      <w:r w:rsidRPr="00BF42B7">
        <w:rPr>
          <w:rFonts w:hint="eastAsia"/>
          <w:lang w:val="en-GB"/>
        </w:rPr>
        <w:t>)</w:t>
      </w:r>
      <w:r w:rsidRPr="00BF42B7">
        <w:rPr>
          <w:rFonts w:hint="eastAsia"/>
          <w:lang w:val="en-GB"/>
        </w:rPr>
        <w:t>；必须证明这些国家知道该惯例符合习惯国际法。</w:t>
      </w:r>
      <w:r w:rsidRPr="00BF42B7">
        <w:rPr>
          <w:color w:val="0000FF"/>
          <w:vertAlign w:val="superscript"/>
          <w:lang w:val="en-GB"/>
        </w:rPr>
        <w:footnoteReference w:id="308"/>
      </w:r>
      <w:r w:rsidRPr="00BF42B7">
        <w:rPr>
          <w:color w:val="0000FF"/>
          <w:lang w:val="en-GB"/>
        </w:rPr>
        <w:t xml:space="preserve"> </w:t>
      </w:r>
      <w:r w:rsidRPr="00BF42B7">
        <w:rPr>
          <w:rFonts w:hint="eastAsia"/>
          <w:lang w:val="en-GB"/>
        </w:rPr>
        <w:t>没有必要证明所有国家都承认</w:t>
      </w:r>
      <w:r w:rsidRPr="00BF42B7">
        <w:rPr>
          <w:rFonts w:hint="eastAsia"/>
          <w:lang w:val="en-GB"/>
        </w:rPr>
        <w:t>(</w:t>
      </w:r>
      <w:r w:rsidRPr="00BF42B7">
        <w:rPr>
          <w:rFonts w:hint="eastAsia"/>
          <w:lang w:val="en-GB"/>
        </w:rPr>
        <w:t>被接受为法律</w:t>
      </w:r>
      <w:r w:rsidRPr="00BF42B7">
        <w:rPr>
          <w:rFonts w:hint="eastAsia"/>
          <w:lang w:val="en-GB"/>
        </w:rPr>
        <w:t>)</w:t>
      </w:r>
      <w:r w:rsidRPr="00BF42B7">
        <w:rPr>
          <w:rFonts w:hint="eastAsia"/>
          <w:lang w:val="en-GB"/>
        </w:rPr>
        <w:t>所声称的规则为习惯国际法规则；需要的是广泛接受和没有反对或很少反对。</w:t>
      </w:r>
      <w:r w:rsidRPr="00BF42B7">
        <w:rPr>
          <w:color w:val="0000FF"/>
          <w:vertAlign w:val="superscript"/>
          <w:lang w:val="en-GB"/>
        </w:rPr>
        <w:footnoteReference w:id="309"/>
      </w:r>
    </w:p>
    <w:p w:rsidR="00790CCC" w:rsidRPr="00BF42B7" w:rsidRDefault="00790CCC" w:rsidP="00790CCC">
      <w:pPr>
        <w:pStyle w:val="SingleTxtGC"/>
        <w:rPr>
          <w:lang w:val="en-GB"/>
        </w:rPr>
      </w:pPr>
      <w:r w:rsidRPr="00BF42B7">
        <w:rPr>
          <w:lang w:val="en-GB"/>
        </w:rPr>
        <w:t xml:space="preserve">(6)  </w:t>
      </w:r>
      <w:r w:rsidRPr="00BF42B7">
        <w:rPr>
          <w:rFonts w:hint="eastAsia"/>
          <w:lang w:val="en-GB"/>
        </w:rPr>
        <w:t>第</w:t>
      </w:r>
      <w:r w:rsidRPr="00BF42B7">
        <w:rPr>
          <w:rFonts w:hint="eastAsia"/>
          <w:lang w:val="en-GB"/>
        </w:rPr>
        <w:t>2</w:t>
      </w:r>
      <w:r w:rsidRPr="00BF42B7">
        <w:rPr>
          <w:rFonts w:hint="eastAsia"/>
          <w:lang w:val="en-GB"/>
        </w:rPr>
        <w:t>段强调，在没有被接受为法律</w:t>
      </w:r>
      <w:r w:rsidRPr="00BF42B7">
        <w:rPr>
          <w:rFonts w:hint="eastAsia"/>
          <w:lang w:val="en-GB"/>
        </w:rPr>
        <w:t>(</w:t>
      </w:r>
      <w:r w:rsidRPr="00BF42B7">
        <w:rPr>
          <w:rFonts w:hint="eastAsia"/>
          <w:lang w:val="en-GB"/>
        </w:rPr>
        <w:t>法律确信</w:t>
      </w:r>
      <w:r w:rsidRPr="00BF42B7">
        <w:rPr>
          <w:rFonts w:hint="eastAsia"/>
          <w:lang w:val="en-GB"/>
        </w:rPr>
        <w:t>)</w:t>
      </w:r>
      <w:r w:rsidRPr="00BF42B7">
        <w:rPr>
          <w:rFonts w:hint="eastAsia"/>
          <w:lang w:val="en-GB"/>
        </w:rPr>
        <w:t>的情况下，一般惯例不可被认为创立或表达了习惯国际法；它只是常例或习惯。换言之，各国认为它们可依法自由选择遵循或置之不理的惯例不会促进或反映习惯国际法</w:t>
      </w:r>
      <w:r w:rsidRPr="00BF42B7">
        <w:rPr>
          <w:rFonts w:hint="eastAsia"/>
          <w:lang w:val="en-GB"/>
        </w:rPr>
        <w:t>(</w:t>
      </w:r>
      <w:r w:rsidRPr="00BF42B7">
        <w:rPr>
          <w:rFonts w:hint="eastAsia"/>
          <w:lang w:val="en-GB"/>
        </w:rPr>
        <w:t>除非要识别的规则自身提供了此种选择</w:t>
      </w:r>
      <w:r w:rsidRPr="00BF42B7">
        <w:rPr>
          <w:rFonts w:hint="eastAsia"/>
          <w:lang w:val="en-GB"/>
        </w:rPr>
        <w:t>)</w:t>
      </w:r>
      <w:r w:rsidRPr="00BF42B7">
        <w:rPr>
          <w:rFonts w:hint="eastAsia"/>
          <w:lang w:val="en-GB"/>
        </w:rPr>
        <w:t>。</w:t>
      </w:r>
      <w:r w:rsidRPr="00BF42B7">
        <w:rPr>
          <w:color w:val="0000FF"/>
          <w:vertAlign w:val="superscript"/>
          <w:lang w:val="en-GB"/>
        </w:rPr>
        <w:footnoteReference w:id="310"/>
      </w:r>
      <w:r w:rsidRPr="00BF42B7">
        <w:rPr>
          <w:color w:val="0000FF"/>
          <w:vertAlign w:val="superscript"/>
          <w:lang w:val="en-GB"/>
        </w:rPr>
        <w:t xml:space="preserve"> </w:t>
      </w:r>
      <w:r w:rsidRPr="00BF42B7">
        <w:rPr>
          <w:rFonts w:hint="eastAsia"/>
          <w:lang w:val="en-GB"/>
        </w:rPr>
        <w:t>并非所有被观察到的有规律国际行为都具有法律意义；例如，为来访国家元首准备红地毯之类的外交礼仪不伴有法律义务感，因此也不产生或表明任何采取相应行动的法律义务或权利。</w:t>
      </w:r>
      <w:r w:rsidRPr="00BF42B7">
        <w:rPr>
          <w:rStyle w:val="a5"/>
        </w:rPr>
        <w:footnoteReference w:id="311"/>
      </w:r>
      <w:r w:rsidRPr="00BF42B7">
        <w:rPr>
          <w:color w:val="0000FF"/>
          <w:vertAlign w:val="superscript"/>
          <w:lang w:val="en-GB"/>
        </w:rPr>
        <w:t xml:space="preserve"> </w:t>
      </w:r>
    </w:p>
    <w:p w:rsidR="00790CCC" w:rsidRPr="00BF42B7" w:rsidRDefault="00790CCC" w:rsidP="00790CCC">
      <w:pPr>
        <w:pStyle w:val="H23GC"/>
        <w:ind w:left="1554"/>
        <w:rPr>
          <w:lang w:val="en-GB"/>
        </w:rPr>
      </w:pPr>
      <w:bookmarkStart w:id="79" w:name="DC10"/>
      <w:r w:rsidRPr="00BF42B7">
        <w:rPr>
          <w:rFonts w:hint="eastAsia"/>
          <w:lang w:val="en-GB"/>
        </w:rPr>
        <w:tab/>
      </w:r>
      <w:r w:rsidRPr="00BF42B7">
        <w:rPr>
          <w:rFonts w:hint="eastAsia"/>
          <w:lang w:val="en-GB"/>
        </w:rPr>
        <w:tab/>
      </w:r>
      <w:r w:rsidRPr="00BF42B7">
        <w:rPr>
          <w:rFonts w:hint="eastAsia"/>
          <w:lang w:val="en-GB"/>
        </w:rPr>
        <w:t>结论</w:t>
      </w:r>
      <w:r w:rsidRPr="00BF42B7">
        <w:rPr>
          <w:lang w:val="en-GB"/>
        </w:rPr>
        <w:t>10</w:t>
      </w:r>
      <w:bookmarkEnd w:id="79"/>
      <w:r w:rsidRPr="00BF42B7">
        <w:rPr>
          <w:rFonts w:hint="eastAsia"/>
          <w:lang w:val="en-GB"/>
        </w:rPr>
        <w:br/>
      </w:r>
      <w:r w:rsidRPr="00BF42B7">
        <w:rPr>
          <w:rFonts w:hint="eastAsia"/>
          <w:lang w:val="en-GB"/>
        </w:rPr>
        <w:t>被接受为法律</w:t>
      </w:r>
      <w:r w:rsidRPr="00BF42B7">
        <w:rPr>
          <w:rFonts w:hint="eastAsia"/>
          <w:lang w:val="en-GB"/>
        </w:rPr>
        <w:t>(</w:t>
      </w:r>
      <w:r w:rsidRPr="00BF42B7">
        <w:rPr>
          <w:rFonts w:hint="eastAsia"/>
          <w:lang w:val="en-GB"/>
        </w:rPr>
        <w:t>法律确信</w:t>
      </w:r>
      <w:r w:rsidRPr="00BF42B7">
        <w:rPr>
          <w:rFonts w:hint="eastAsia"/>
          <w:lang w:val="en-GB"/>
        </w:rPr>
        <w:t>)</w:t>
      </w:r>
      <w:r w:rsidRPr="00BF42B7">
        <w:rPr>
          <w:rFonts w:hint="eastAsia"/>
          <w:lang w:val="en-GB"/>
        </w:rPr>
        <w:t>的证据形式</w:t>
      </w:r>
    </w:p>
    <w:p w:rsidR="00790CCC" w:rsidRPr="00BF42B7" w:rsidRDefault="00790CCC" w:rsidP="00790CCC">
      <w:pPr>
        <w:pStyle w:val="SingleTxtGC"/>
        <w:ind w:left="1554"/>
        <w:rPr>
          <w:lang w:val="en-GB"/>
        </w:rPr>
      </w:pPr>
      <w:r w:rsidRPr="00BF42B7">
        <w:rPr>
          <w:lang w:val="en-GB"/>
        </w:rPr>
        <w:t>1.</w:t>
      </w:r>
      <w:r w:rsidRPr="00BF42B7">
        <w:rPr>
          <w:rFonts w:hint="eastAsia"/>
          <w:lang w:val="en-GB"/>
        </w:rPr>
        <w:t xml:space="preserve">  </w:t>
      </w:r>
      <w:r w:rsidRPr="00BF42B7">
        <w:rPr>
          <w:rFonts w:hint="eastAsia"/>
          <w:lang w:val="en-GB"/>
        </w:rPr>
        <w:t>被接受为法律</w:t>
      </w:r>
      <w:r w:rsidRPr="00BF42B7">
        <w:rPr>
          <w:rFonts w:hint="eastAsia"/>
          <w:lang w:val="en-GB"/>
        </w:rPr>
        <w:t>(</w:t>
      </w:r>
      <w:r w:rsidRPr="00BF42B7">
        <w:rPr>
          <w:rFonts w:hint="eastAsia"/>
          <w:lang w:val="en-GB"/>
        </w:rPr>
        <w:t>法律确信</w:t>
      </w:r>
      <w:r w:rsidRPr="00BF42B7">
        <w:rPr>
          <w:rFonts w:hint="eastAsia"/>
          <w:lang w:val="en-GB"/>
        </w:rPr>
        <w:t>)</w:t>
      </w:r>
      <w:r w:rsidRPr="00BF42B7">
        <w:rPr>
          <w:rFonts w:hint="eastAsia"/>
          <w:lang w:val="en-GB"/>
        </w:rPr>
        <w:t>的证据可有多种形式。</w:t>
      </w:r>
    </w:p>
    <w:p w:rsidR="00790CCC" w:rsidRPr="00BF42B7" w:rsidRDefault="00790CCC" w:rsidP="00790CCC">
      <w:pPr>
        <w:pStyle w:val="SingleTxtGC"/>
        <w:ind w:left="1554"/>
        <w:rPr>
          <w:lang w:val="en-GB"/>
        </w:rPr>
      </w:pPr>
      <w:r w:rsidRPr="00BF42B7">
        <w:rPr>
          <w:lang w:val="en-GB"/>
        </w:rPr>
        <w:t>2.</w:t>
      </w:r>
      <w:r w:rsidRPr="00BF42B7">
        <w:rPr>
          <w:rFonts w:hint="eastAsia"/>
          <w:lang w:val="en-GB"/>
        </w:rPr>
        <w:t xml:space="preserve">  </w:t>
      </w:r>
      <w:r w:rsidRPr="00BF42B7">
        <w:rPr>
          <w:rFonts w:hint="eastAsia"/>
          <w:lang w:val="en-GB"/>
        </w:rPr>
        <w:t>被接受为法律</w:t>
      </w:r>
      <w:r w:rsidRPr="00BF42B7">
        <w:rPr>
          <w:rFonts w:hint="eastAsia"/>
          <w:lang w:val="en-GB"/>
        </w:rPr>
        <w:t>(</w:t>
      </w:r>
      <w:r w:rsidRPr="00BF42B7">
        <w:rPr>
          <w:rFonts w:hint="eastAsia"/>
          <w:lang w:val="en-GB"/>
        </w:rPr>
        <w:t>法律确信</w:t>
      </w:r>
      <w:r w:rsidRPr="00BF42B7">
        <w:rPr>
          <w:rFonts w:hint="eastAsia"/>
          <w:lang w:val="en-GB"/>
        </w:rPr>
        <w:t>)</w:t>
      </w:r>
      <w:r w:rsidRPr="00BF42B7">
        <w:rPr>
          <w:rFonts w:hint="eastAsia"/>
          <w:lang w:val="en-GB"/>
        </w:rPr>
        <w:t>的证据形式包括但不限于：以国家名义发表的公开声明；官方出版物；政府的法律意见；外交信函；国内法院的判决；条约规定；与国际组织通过的或在政府间会议上通过的决议有关的行为。</w:t>
      </w:r>
    </w:p>
    <w:p w:rsidR="00790CCC" w:rsidRPr="00BF42B7" w:rsidRDefault="00790CCC" w:rsidP="00790CCC">
      <w:pPr>
        <w:pStyle w:val="SingleTxtGC"/>
        <w:ind w:left="1554"/>
        <w:rPr>
          <w:lang w:val="en-GB"/>
        </w:rPr>
      </w:pPr>
      <w:r w:rsidRPr="00BF42B7">
        <w:rPr>
          <w:lang w:val="en-GB"/>
        </w:rPr>
        <w:t>3.</w:t>
      </w:r>
      <w:r w:rsidRPr="00BF42B7">
        <w:rPr>
          <w:rFonts w:hint="eastAsia"/>
          <w:lang w:val="en-GB"/>
        </w:rPr>
        <w:t xml:space="preserve">  </w:t>
      </w:r>
      <w:r w:rsidRPr="00BF42B7">
        <w:rPr>
          <w:rFonts w:hint="eastAsia"/>
          <w:lang w:val="en-GB"/>
        </w:rPr>
        <w:t>在有关国家有能力做出反应并且有关情况也要求做出某种反应的情况下，对一种惯例经过一定时间而没有做出反应，可用作已接受其为法律</w:t>
      </w:r>
      <w:r w:rsidRPr="00BF42B7">
        <w:rPr>
          <w:rFonts w:hint="eastAsia"/>
          <w:lang w:val="en-GB"/>
        </w:rPr>
        <w:t>(</w:t>
      </w:r>
      <w:r w:rsidRPr="00BF42B7">
        <w:rPr>
          <w:rFonts w:hint="eastAsia"/>
          <w:lang w:val="en-GB"/>
        </w:rPr>
        <w:t>法律确信</w:t>
      </w:r>
      <w:r w:rsidRPr="00BF42B7">
        <w:rPr>
          <w:rFonts w:hint="eastAsia"/>
          <w:lang w:val="en-GB"/>
        </w:rPr>
        <w:t>)</w:t>
      </w:r>
      <w:r w:rsidRPr="00BF42B7">
        <w:rPr>
          <w:rFonts w:hint="eastAsia"/>
          <w:lang w:val="en-GB"/>
        </w:rPr>
        <w:t>的证据。</w:t>
      </w:r>
    </w:p>
    <w:p w:rsidR="00790CCC" w:rsidRPr="00BF42B7" w:rsidRDefault="00790CCC" w:rsidP="00790CCC">
      <w:pPr>
        <w:pStyle w:val="H23GC"/>
        <w:rPr>
          <w:lang w:val="en-GB"/>
        </w:rPr>
      </w:pPr>
      <w:r w:rsidRPr="00BF42B7">
        <w:rPr>
          <w:rFonts w:hint="eastAsia"/>
          <w:lang w:val="en-GB"/>
        </w:rPr>
        <w:tab/>
      </w:r>
      <w:r w:rsidRPr="00BF42B7">
        <w:rPr>
          <w:rFonts w:hint="eastAsia"/>
          <w:lang w:val="en-GB"/>
        </w:rPr>
        <w:tab/>
      </w:r>
      <w:r w:rsidRPr="00BF42B7">
        <w:rPr>
          <w:rFonts w:hint="eastAsia"/>
          <w:lang w:val="en-GB"/>
        </w:rPr>
        <w:t>评注</w:t>
      </w:r>
    </w:p>
    <w:p w:rsidR="00790CCC" w:rsidRPr="00BF42B7" w:rsidRDefault="00790CCC" w:rsidP="00790CCC">
      <w:pPr>
        <w:pStyle w:val="SingleTxtGC"/>
        <w:rPr>
          <w:lang w:val="en-GB"/>
        </w:rPr>
      </w:pPr>
      <w:r w:rsidRPr="00BF42B7">
        <w:rPr>
          <w:lang w:val="en-GB"/>
        </w:rPr>
        <w:t xml:space="preserve">(1)  </w:t>
      </w:r>
      <w:r w:rsidRPr="00BF42B7">
        <w:rPr>
          <w:rFonts w:hint="eastAsia"/>
          <w:lang w:val="en-GB"/>
        </w:rPr>
        <w:t>结论草案</w:t>
      </w:r>
      <w:r w:rsidRPr="00BF42B7">
        <w:rPr>
          <w:rFonts w:hint="eastAsia"/>
          <w:lang w:val="en-GB"/>
        </w:rPr>
        <w:t>10</w:t>
      </w:r>
      <w:r w:rsidRPr="00BF42B7">
        <w:rPr>
          <w:rFonts w:hint="eastAsia"/>
          <w:lang w:val="en-GB"/>
        </w:rPr>
        <w:t>涉及的是可从中推断出特定惯例被接受为法律</w:t>
      </w:r>
      <w:r w:rsidRPr="00BF42B7">
        <w:rPr>
          <w:rFonts w:hint="eastAsia"/>
          <w:lang w:val="en-GB"/>
        </w:rPr>
        <w:t>(</w:t>
      </w:r>
      <w:r w:rsidRPr="00BF42B7">
        <w:rPr>
          <w:rFonts w:hint="eastAsia"/>
          <w:lang w:val="en-GB"/>
        </w:rPr>
        <w:t>法律确信</w:t>
      </w:r>
      <w:r w:rsidRPr="00BF42B7">
        <w:rPr>
          <w:rFonts w:hint="eastAsia"/>
          <w:lang w:val="en-GB"/>
        </w:rPr>
        <w:t>)</w:t>
      </w:r>
      <w:r w:rsidRPr="00BF42B7">
        <w:rPr>
          <w:rFonts w:hint="eastAsia"/>
          <w:lang w:val="en-GB"/>
        </w:rPr>
        <w:t>的证据。它反映的事实是，被接受为法律这一点可通过国家行为的各种表现形式公布出来。</w:t>
      </w:r>
    </w:p>
    <w:p w:rsidR="00790CCC" w:rsidRPr="00BF42B7" w:rsidRDefault="00790CCC" w:rsidP="00790CCC">
      <w:pPr>
        <w:pStyle w:val="SingleTxtGC"/>
        <w:rPr>
          <w:lang w:val="en-GB"/>
        </w:rPr>
      </w:pPr>
      <w:r w:rsidRPr="00BF42B7">
        <w:rPr>
          <w:lang w:val="en-GB"/>
        </w:rPr>
        <w:t>(</w:t>
      </w:r>
      <w:bookmarkStart w:id="80" w:name="Para2_DC10"/>
      <w:r w:rsidRPr="00BF42B7">
        <w:rPr>
          <w:lang w:val="en-GB"/>
        </w:rPr>
        <w:t>2</w:t>
      </w:r>
      <w:bookmarkEnd w:id="80"/>
      <w:r w:rsidRPr="00BF42B7">
        <w:rPr>
          <w:lang w:val="en-GB"/>
        </w:rPr>
        <w:t xml:space="preserve">)  </w:t>
      </w:r>
      <w:r w:rsidRPr="00BF42B7">
        <w:rPr>
          <w:rFonts w:hint="eastAsia"/>
          <w:lang w:val="en-GB"/>
        </w:rPr>
        <w:t>第</w:t>
      </w:r>
      <w:r w:rsidRPr="00BF42B7">
        <w:rPr>
          <w:rFonts w:hint="eastAsia"/>
          <w:lang w:val="en-GB"/>
        </w:rPr>
        <w:t>1</w:t>
      </w:r>
      <w:r w:rsidRPr="00BF42B7">
        <w:rPr>
          <w:rFonts w:hint="eastAsia"/>
          <w:lang w:val="en-GB"/>
        </w:rPr>
        <w:t>段陈述了一项一般主张，即被接受为法律</w:t>
      </w:r>
      <w:r w:rsidRPr="00BF42B7">
        <w:rPr>
          <w:rFonts w:hint="eastAsia"/>
          <w:lang w:val="en-GB"/>
        </w:rPr>
        <w:t>(</w:t>
      </w:r>
      <w:r w:rsidRPr="00BF42B7">
        <w:rPr>
          <w:rFonts w:hint="eastAsia"/>
          <w:lang w:val="en-GB"/>
        </w:rPr>
        <w:t>法律确信</w:t>
      </w:r>
      <w:r w:rsidRPr="00BF42B7">
        <w:rPr>
          <w:rFonts w:hint="eastAsia"/>
          <w:lang w:val="en-GB"/>
        </w:rPr>
        <w:t>)</w:t>
      </w:r>
      <w:r w:rsidRPr="00BF42B7">
        <w:rPr>
          <w:rFonts w:hint="eastAsia"/>
          <w:lang w:val="en-GB"/>
        </w:rPr>
        <w:t>可有多种体现形式。国家可以多种方式表示承认</w:t>
      </w:r>
      <w:r w:rsidRPr="00BF42B7">
        <w:rPr>
          <w:rFonts w:hint="eastAsia"/>
          <w:lang w:val="en-GB"/>
        </w:rPr>
        <w:t>(</w:t>
      </w:r>
      <w:r w:rsidRPr="00BF42B7">
        <w:rPr>
          <w:rFonts w:hint="eastAsia"/>
          <w:lang w:val="en-GB"/>
        </w:rPr>
        <w:t>或拒绝</w:t>
      </w:r>
      <w:r w:rsidRPr="00BF42B7">
        <w:rPr>
          <w:rFonts w:hint="eastAsia"/>
          <w:lang w:val="en-GB"/>
        </w:rPr>
        <w:t>)</w:t>
      </w:r>
      <w:r w:rsidRPr="00BF42B7">
        <w:rPr>
          <w:rFonts w:hint="eastAsia"/>
          <w:lang w:val="en-GB"/>
        </w:rPr>
        <w:t>一项习惯国际法规则的存在。随后段落明确说明，支持所声称规则的表明被接受为法律的此种行为包含与该惯例有关的声明和实际行动</w:t>
      </w:r>
      <w:r w:rsidRPr="00BF42B7">
        <w:rPr>
          <w:rFonts w:hint="eastAsia"/>
          <w:lang w:val="en-GB"/>
        </w:rPr>
        <w:t>(</w:t>
      </w:r>
      <w:r w:rsidRPr="00BF42B7">
        <w:rPr>
          <w:rFonts w:hint="eastAsia"/>
          <w:lang w:val="en-GB"/>
        </w:rPr>
        <w:t>以及不作为</w:t>
      </w:r>
      <w:r w:rsidRPr="00BF42B7">
        <w:rPr>
          <w:rFonts w:hint="eastAsia"/>
          <w:lang w:val="en-GB"/>
        </w:rPr>
        <w:t>)</w:t>
      </w:r>
      <w:r w:rsidRPr="00BF42B7">
        <w:rPr>
          <w:rFonts w:hint="eastAsia"/>
          <w:lang w:val="en-GB"/>
        </w:rPr>
        <w:t>。</w:t>
      </w:r>
    </w:p>
    <w:p w:rsidR="00790CCC" w:rsidRPr="00BF42B7" w:rsidRDefault="00790CCC" w:rsidP="00790CCC">
      <w:pPr>
        <w:pStyle w:val="SingleTxtGC"/>
        <w:rPr>
          <w:lang w:val="en-GB"/>
        </w:rPr>
      </w:pPr>
      <w:r w:rsidRPr="00BF42B7">
        <w:rPr>
          <w:lang w:val="en-GB"/>
        </w:rPr>
        <w:t xml:space="preserve">(3)  </w:t>
      </w:r>
      <w:r w:rsidRPr="00BF42B7">
        <w:rPr>
          <w:rFonts w:hint="eastAsia"/>
          <w:lang w:val="en-GB"/>
        </w:rPr>
        <w:t>第</w:t>
      </w:r>
      <w:r w:rsidRPr="00BF42B7">
        <w:rPr>
          <w:rFonts w:hint="eastAsia"/>
          <w:lang w:val="en-GB"/>
        </w:rPr>
        <w:t>2</w:t>
      </w:r>
      <w:r w:rsidRPr="00BF42B7">
        <w:rPr>
          <w:rFonts w:hint="eastAsia"/>
          <w:lang w:val="en-GB"/>
        </w:rPr>
        <w:t>段提出了被接受为法律</w:t>
      </w:r>
      <w:r w:rsidRPr="00BF42B7">
        <w:rPr>
          <w:rFonts w:hint="eastAsia"/>
          <w:lang w:val="en-GB"/>
        </w:rPr>
        <w:t>(</w:t>
      </w:r>
      <w:r w:rsidRPr="00BF42B7">
        <w:rPr>
          <w:rFonts w:hint="eastAsia"/>
          <w:lang w:val="en-GB"/>
        </w:rPr>
        <w:t>法律确信</w:t>
      </w:r>
      <w:r w:rsidRPr="00BF42B7">
        <w:rPr>
          <w:rFonts w:hint="eastAsia"/>
          <w:lang w:val="en-GB"/>
        </w:rPr>
        <w:t>)</w:t>
      </w:r>
      <w:r w:rsidRPr="00BF42B7">
        <w:rPr>
          <w:rFonts w:hint="eastAsia"/>
          <w:lang w:val="en-GB"/>
        </w:rPr>
        <w:t>的证据形式的非详尽清单，包括为此类目的最常采用的形式。此种证据也可有助于表明不存在被接受为法律。被接受为法律的证据形式和国家惯例的形式之间存在一些共同点；这部分反映出一个事实，即两个要素有时可能出现于同一材料之中</w:t>
      </w:r>
      <w:r w:rsidRPr="00BF42B7">
        <w:rPr>
          <w:rFonts w:hint="eastAsia"/>
          <w:lang w:val="en-GB"/>
        </w:rPr>
        <w:t>(</w:t>
      </w:r>
      <w:r w:rsidRPr="00BF42B7">
        <w:rPr>
          <w:rFonts w:hint="eastAsia"/>
          <w:lang w:val="en-GB"/>
        </w:rPr>
        <w:t>但是即使在那样的情况下，仍需要逐案对其进行单独识别</w:t>
      </w:r>
      <w:r w:rsidRPr="00BF42B7">
        <w:rPr>
          <w:rFonts w:hint="eastAsia"/>
          <w:lang w:val="en-GB"/>
        </w:rPr>
        <w:t>)</w:t>
      </w:r>
      <w:r w:rsidRPr="00BF42B7">
        <w:rPr>
          <w:rFonts w:hint="eastAsia"/>
          <w:lang w:val="en-GB"/>
        </w:rPr>
        <w:t>。</w:t>
      </w:r>
      <w:r w:rsidRPr="00BF42B7">
        <w:rPr>
          <w:rStyle w:val="a5"/>
        </w:rPr>
        <w:footnoteReference w:id="312"/>
      </w:r>
      <w:r w:rsidRPr="00BF42B7">
        <w:rPr>
          <w:color w:val="0000FF"/>
          <w:vertAlign w:val="superscript"/>
          <w:lang w:val="en-GB"/>
        </w:rPr>
        <w:t xml:space="preserve"> </w:t>
      </w:r>
      <w:r w:rsidRPr="00BF42B7">
        <w:rPr>
          <w:rFonts w:hint="eastAsia"/>
          <w:lang w:val="en-GB"/>
        </w:rPr>
        <w:t>无论如何，声明更有可能体现国家的法律信念，而且将声明作为接受为法律</w:t>
      </w:r>
      <w:r w:rsidRPr="00BF42B7">
        <w:rPr>
          <w:rFonts w:hint="eastAsia"/>
          <w:lang w:val="en-GB"/>
        </w:rPr>
        <w:t>(</w:t>
      </w:r>
      <w:r w:rsidRPr="00BF42B7">
        <w:rPr>
          <w:rFonts w:hint="eastAsia"/>
          <w:lang w:val="en-GB"/>
        </w:rPr>
        <w:t>或相反</w:t>
      </w:r>
      <w:r w:rsidRPr="00BF42B7">
        <w:rPr>
          <w:rFonts w:hint="eastAsia"/>
          <w:lang w:val="en-GB"/>
        </w:rPr>
        <w:t>)</w:t>
      </w:r>
      <w:r w:rsidRPr="00BF42B7">
        <w:rPr>
          <w:rFonts w:hint="eastAsia"/>
          <w:lang w:val="en-GB"/>
        </w:rPr>
        <w:t>的表示，而不是作为惯例的实例，可能往往更有实际意义。</w:t>
      </w:r>
    </w:p>
    <w:p w:rsidR="00790CCC" w:rsidRPr="00BF42B7" w:rsidRDefault="00790CCC" w:rsidP="00790CCC">
      <w:pPr>
        <w:pStyle w:val="SingleTxtGC"/>
        <w:rPr>
          <w:lang w:val="en-GB"/>
        </w:rPr>
      </w:pPr>
      <w:r w:rsidRPr="00BF42B7">
        <w:rPr>
          <w:lang w:val="en-GB"/>
        </w:rPr>
        <w:t xml:space="preserve">(4)  </w:t>
      </w:r>
      <w:r w:rsidRPr="00BF42B7">
        <w:rPr>
          <w:rFonts w:hint="eastAsia"/>
          <w:lang w:val="en-GB"/>
        </w:rPr>
        <w:t>在被接受为法律</w:t>
      </w:r>
      <w:r w:rsidRPr="00BF42B7">
        <w:rPr>
          <w:rFonts w:hint="eastAsia"/>
          <w:lang w:val="en-GB"/>
        </w:rPr>
        <w:t>(</w:t>
      </w:r>
      <w:r w:rsidRPr="00BF42B7">
        <w:rPr>
          <w:rFonts w:hint="eastAsia"/>
          <w:lang w:val="en-GB"/>
        </w:rPr>
        <w:t>法律确信</w:t>
      </w:r>
      <w:r w:rsidRPr="00BF42B7">
        <w:rPr>
          <w:rFonts w:hint="eastAsia"/>
          <w:lang w:val="en-GB"/>
        </w:rPr>
        <w:t>)</w:t>
      </w:r>
      <w:r w:rsidRPr="00BF42B7">
        <w:rPr>
          <w:rFonts w:hint="eastAsia"/>
          <w:lang w:val="en-GB"/>
        </w:rPr>
        <w:t>的证据形式中，以国家名义发表的关于习惯国际法允许、禁止或要求一项特定惯例的明确公开声明最清楚地说明该国出于法律权利或义务感，避免或采用了这种惯例</w:t>
      </w:r>
      <w:r w:rsidRPr="00BF42B7">
        <w:rPr>
          <w:rFonts w:hint="eastAsia"/>
          <w:lang w:val="en-GB"/>
        </w:rPr>
        <w:t>(</w:t>
      </w:r>
      <w:r w:rsidRPr="00BF42B7">
        <w:rPr>
          <w:rFonts w:hint="eastAsia"/>
          <w:lang w:val="en-GB"/>
        </w:rPr>
        <w:t>或承认其他国家正当地采用或避免了该惯例</w:t>
      </w:r>
      <w:r w:rsidRPr="00BF42B7">
        <w:rPr>
          <w:rFonts w:hint="eastAsia"/>
          <w:lang w:val="en-GB"/>
        </w:rPr>
        <w:t>)</w:t>
      </w:r>
      <w:r w:rsidRPr="00BF42B7">
        <w:rPr>
          <w:rFonts w:hint="eastAsia"/>
          <w:lang w:val="en-GB"/>
        </w:rPr>
        <w:t>。例如，可在以下场合发表此类声明：在多边场合的辩论中；在向立法机构提出法律草案时；作为向法院和法庭提出的书面和口头陈述中的主张；在宣称其他国家的行为非法的抗议中；作为对编纂法律的提议的响应。声明可单独发表，或与其他声明联合发表。同样，符合所谓规则的惯例的效力可被不存在此类规则的同时期声明宣布无效。</w:t>
      </w:r>
      <w:r w:rsidRPr="00BF42B7">
        <w:rPr>
          <w:rStyle w:val="a5"/>
        </w:rPr>
        <w:footnoteReference w:id="313"/>
      </w:r>
      <w:r w:rsidRPr="00BF42B7">
        <w:rPr>
          <w:rStyle w:val="a5"/>
        </w:rPr>
        <w:t xml:space="preserve"> </w:t>
      </w:r>
    </w:p>
    <w:p w:rsidR="00790CCC" w:rsidRPr="00BF42B7" w:rsidRDefault="00790CCC" w:rsidP="00790CCC">
      <w:pPr>
        <w:pStyle w:val="SingleTxtGC"/>
        <w:rPr>
          <w:lang w:val="en-GB"/>
        </w:rPr>
      </w:pPr>
      <w:r w:rsidRPr="00BF42B7">
        <w:rPr>
          <w:lang w:val="en-GB"/>
        </w:rPr>
        <w:t xml:space="preserve">(5)  </w:t>
      </w:r>
      <w:r w:rsidRPr="00BF42B7">
        <w:rPr>
          <w:rFonts w:hint="eastAsia"/>
          <w:lang w:val="en-GB"/>
        </w:rPr>
        <w:t>第</w:t>
      </w:r>
      <w:r w:rsidRPr="00BF42B7">
        <w:rPr>
          <w:rFonts w:hint="eastAsia"/>
          <w:lang w:val="en-GB"/>
        </w:rPr>
        <w:t>2</w:t>
      </w:r>
      <w:r w:rsidRPr="00BF42B7">
        <w:rPr>
          <w:rFonts w:hint="eastAsia"/>
          <w:lang w:val="en-GB"/>
        </w:rPr>
        <w:t>段中所列其他证据形式也可能特别有助于确定各国对某些惯例的法律立场。其中，“官方出版物”一词涵盖了以国家名义发布的文件，如军事手册和官方地图，其中可显示出被接受为法律</w:t>
      </w:r>
      <w:r w:rsidRPr="00BF42B7">
        <w:rPr>
          <w:rFonts w:hint="eastAsia"/>
          <w:lang w:val="en-GB"/>
        </w:rPr>
        <w:t>(</w:t>
      </w:r>
      <w:r w:rsidRPr="00BF42B7">
        <w:rPr>
          <w:rFonts w:hint="eastAsia"/>
          <w:lang w:val="en-GB"/>
        </w:rPr>
        <w:t>法律确信</w:t>
      </w:r>
      <w:r w:rsidRPr="00BF42B7">
        <w:rPr>
          <w:rFonts w:hint="eastAsia"/>
          <w:lang w:val="en-GB"/>
        </w:rPr>
        <w:t>)</w:t>
      </w:r>
      <w:r w:rsidRPr="00BF42B7">
        <w:rPr>
          <w:rFonts w:hint="eastAsia"/>
          <w:lang w:val="en-GB"/>
        </w:rPr>
        <w:t>。同样，政府法律顾问公开发布的意见也可说明一国的法律立场，但如果该国拒绝采用其咨询意见则另当别论。外交信函可包括，例如，向外交使团发出的通知照会，如关于特权和豁免的通知照会。国家立法虽往往是政治选择的产物，但作为被接受为法律的证据可能是有价值的，特别是在明确说明该立法依据或履行习惯国际法的情况下。国内法院的判决对国际法问题发表意见时，也可能包含此类声明。</w:t>
      </w:r>
    </w:p>
    <w:p w:rsidR="00790CCC" w:rsidRPr="00BF42B7" w:rsidRDefault="00790CCC" w:rsidP="00790CCC">
      <w:pPr>
        <w:pStyle w:val="SingleTxtGC"/>
        <w:rPr>
          <w:lang w:val="en-GB"/>
        </w:rPr>
      </w:pPr>
      <w:r w:rsidRPr="00BF42B7">
        <w:rPr>
          <w:lang w:val="en-GB"/>
        </w:rPr>
        <w:t xml:space="preserve">(6)  </w:t>
      </w:r>
      <w:r w:rsidRPr="00BF42B7">
        <w:rPr>
          <w:rFonts w:hint="eastAsia"/>
          <w:lang w:val="en-GB"/>
        </w:rPr>
        <w:t>当各国就此类问题进行辩论和讨论时，多边起草和外交进程可提供关于各国在习惯国际法内容方面的法律信念的宝贵和可获得的证据。因此结论草案</w:t>
      </w:r>
      <w:r w:rsidRPr="00BF42B7">
        <w:rPr>
          <w:rFonts w:hint="eastAsia"/>
          <w:lang w:val="en-GB"/>
        </w:rPr>
        <w:t>10</w:t>
      </w:r>
      <w:r w:rsidRPr="00BF42B7">
        <w:rPr>
          <w:rFonts w:hint="eastAsia"/>
          <w:lang w:val="en-GB"/>
        </w:rPr>
        <w:t>提及了“条约规定”和“与国际组织通过的或在政府间会议上通过的决议有关的行为”。结论草案</w:t>
      </w:r>
      <w:r w:rsidRPr="00BF42B7">
        <w:rPr>
          <w:lang w:val="en-GB"/>
        </w:rPr>
        <w:fldChar w:fldCharType="begin"/>
      </w:r>
      <w:r w:rsidRPr="00BF42B7">
        <w:rPr>
          <w:lang w:val="en-GB"/>
        </w:rPr>
        <w:instrText xml:space="preserve"> REF DC11 \h  \* MERGEFORMAT </w:instrText>
      </w:r>
      <w:r w:rsidRPr="00BF42B7">
        <w:rPr>
          <w:lang w:val="en-GB"/>
        </w:rPr>
      </w:r>
      <w:r w:rsidRPr="00BF42B7">
        <w:rPr>
          <w:lang w:val="en-GB"/>
        </w:rPr>
        <w:fldChar w:fldCharType="separate"/>
      </w:r>
      <w:r w:rsidR="00A73EB9" w:rsidRPr="00BF42B7">
        <w:rPr>
          <w:lang w:val="en-GB"/>
        </w:rPr>
        <w:t>11</w:t>
      </w:r>
      <w:r w:rsidRPr="00BF42B7">
        <w:rPr>
          <w:lang w:val="fr-CH"/>
        </w:rPr>
        <w:fldChar w:fldCharType="end"/>
      </w:r>
      <w:r w:rsidRPr="00BF42B7">
        <w:rPr>
          <w:rFonts w:hint="eastAsia"/>
          <w:lang w:val="en-GB"/>
        </w:rPr>
        <w:t>和</w:t>
      </w:r>
      <w:r w:rsidRPr="00BF42B7">
        <w:rPr>
          <w:lang w:val="en-GB"/>
        </w:rPr>
        <w:fldChar w:fldCharType="begin"/>
      </w:r>
      <w:r w:rsidRPr="00BF42B7">
        <w:rPr>
          <w:lang w:val="en-GB"/>
        </w:rPr>
        <w:instrText xml:space="preserve"> REF DC12 \h  \* MERGEFORMAT </w:instrText>
      </w:r>
      <w:r w:rsidRPr="00BF42B7">
        <w:rPr>
          <w:lang w:val="en-GB"/>
        </w:rPr>
      </w:r>
      <w:r w:rsidRPr="00BF42B7">
        <w:rPr>
          <w:lang w:val="en-GB"/>
        </w:rPr>
        <w:fldChar w:fldCharType="separate"/>
      </w:r>
      <w:r w:rsidR="00A73EB9" w:rsidRPr="00BF42B7">
        <w:rPr>
          <w:lang w:val="en-GB"/>
        </w:rPr>
        <w:t>12</w:t>
      </w:r>
      <w:r w:rsidRPr="00BF42B7">
        <w:rPr>
          <w:lang w:val="fr-CH"/>
        </w:rPr>
        <w:fldChar w:fldCharType="end"/>
      </w:r>
      <w:r w:rsidRPr="00BF42B7">
        <w:rPr>
          <w:rFonts w:hint="eastAsia"/>
          <w:lang w:val="en-GB"/>
        </w:rPr>
        <w:t>对它们在识别习惯国际法规则方面的潜在效用进行了更详细的探讨。</w:t>
      </w:r>
    </w:p>
    <w:p w:rsidR="00790CCC" w:rsidRPr="00BF42B7" w:rsidRDefault="00790CCC" w:rsidP="00790CCC">
      <w:pPr>
        <w:pStyle w:val="SingleTxtGC"/>
        <w:rPr>
          <w:lang w:val="en-GB"/>
        </w:rPr>
      </w:pPr>
      <w:r w:rsidRPr="00BF42B7">
        <w:rPr>
          <w:lang w:val="en-GB"/>
        </w:rPr>
        <w:t xml:space="preserve">(7)  </w:t>
      </w:r>
      <w:r w:rsidRPr="00BF42B7">
        <w:rPr>
          <w:rFonts w:hint="eastAsia"/>
          <w:lang w:val="en-GB"/>
        </w:rPr>
        <w:t>第</w:t>
      </w:r>
      <w:r w:rsidRPr="00BF42B7">
        <w:rPr>
          <w:rFonts w:hint="eastAsia"/>
          <w:lang w:val="en-GB"/>
        </w:rPr>
        <w:t>3</w:t>
      </w:r>
      <w:r w:rsidRPr="00BF42B7">
        <w:rPr>
          <w:rFonts w:hint="eastAsia"/>
          <w:lang w:val="en-GB"/>
        </w:rPr>
        <w:t>段规定，在某些情况下，国家未能在合理时间内做出反应，也可如国际法院在</w:t>
      </w:r>
      <w:r w:rsidRPr="00BF42B7">
        <w:rPr>
          <w:rFonts w:ascii="Time New Roman" w:eastAsia="楷体" w:hAnsi="Time New Roman" w:hint="eastAsia"/>
          <w:lang w:val="en-GB"/>
        </w:rPr>
        <w:t>渔业案</w:t>
      </w:r>
      <w:r w:rsidRPr="00BF42B7">
        <w:rPr>
          <w:rFonts w:hint="eastAsia"/>
          <w:lang w:val="en-GB"/>
        </w:rPr>
        <w:t>中指出的那样，“证明了这样一个事实，即它们不认为……</w:t>
      </w:r>
      <w:r w:rsidRPr="00BF42B7">
        <w:rPr>
          <w:rFonts w:hint="eastAsia"/>
          <w:lang w:val="en-GB"/>
        </w:rPr>
        <w:t>[</w:t>
      </w:r>
      <w:r w:rsidRPr="00BF42B7">
        <w:rPr>
          <w:rFonts w:hint="eastAsia"/>
          <w:lang w:val="en-GB"/>
        </w:rPr>
        <w:t>其他国家采用的某种惯例</w:t>
      </w:r>
      <w:r w:rsidRPr="00BF42B7">
        <w:rPr>
          <w:rFonts w:hint="eastAsia"/>
          <w:lang w:val="en-GB"/>
        </w:rPr>
        <w:t>]</w:t>
      </w:r>
      <w:r w:rsidRPr="00BF42B7">
        <w:rPr>
          <w:rFonts w:hint="eastAsia"/>
          <w:lang w:val="en-GB"/>
        </w:rPr>
        <w:t>与国际法相矛盾”。</w:t>
      </w:r>
      <w:r w:rsidRPr="00BF42B7">
        <w:rPr>
          <w:rStyle w:val="a5"/>
        </w:rPr>
        <w:footnoteReference w:id="314"/>
      </w:r>
      <w:r w:rsidRPr="00BF42B7">
        <w:rPr>
          <w:color w:val="0000FF"/>
          <w:lang w:val="en-GB"/>
        </w:rPr>
        <w:t xml:space="preserve"> </w:t>
      </w:r>
      <w:r w:rsidRPr="00BF42B7">
        <w:rPr>
          <w:rFonts w:hint="eastAsia"/>
          <w:lang w:val="en-GB"/>
        </w:rPr>
        <w:t>事实上，如果容忍某种惯例代表着对这种惯例的赞同，这种容忍可能成为被接受为法律</w:t>
      </w:r>
      <w:r w:rsidRPr="00BF42B7">
        <w:rPr>
          <w:rFonts w:hint="eastAsia"/>
          <w:lang w:val="en-GB"/>
        </w:rPr>
        <w:t>(</w:t>
      </w:r>
      <w:r w:rsidRPr="00BF42B7">
        <w:rPr>
          <w:rFonts w:hint="eastAsia"/>
          <w:lang w:val="en-GB"/>
        </w:rPr>
        <w:t>法律确信</w:t>
      </w:r>
      <w:r w:rsidRPr="00BF42B7">
        <w:rPr>
          <w:rFonts w:hint="eastAsia"/>
          <w:lang w:val="en-GB"/>
        </w:rPr>
        <w:t>)</w:t>
      </w:r>
      <w:r w:rsidRPr="00BF42B7">
        <w:rPr>
          <w:rFonts w:hint="eastAsia"/>
          <w:lang w:val="en-GB"/>
        </w:rPr>
        <w:t>的证据。然而，为使这种没有公开反对或抗议的情况具有此种证明价值，必须符合两个要求，以确保这一情况并不产生于与该惯例的合法性无关的原因。</w:t>
      </w:r>
      <w:r w:rsidRPr="00BF42B7">
        <w:rPr>
          <w:rStyle w:val="a5"/>
        </w:rPr>
        <w:footnoteReference w:id="315"/>
      </w:r>
      <w:r w:rsidRPr="00BF42B7">
        <w:rPr>
          <w:rStyle w:val="a5"/>
        </w:rPr>
        <w:t xml:space="preserve"> </w:t>
      </w:r>
      <w:r w:rsidRPr="00BF42B7">
        <w:rPr>
          <w:rFonts w:hint="eastAsia"/>
          <w:lang w:val="en-GB"/>
        </w:rPr>
        <w:t>首先，至关重要的是，已有对该惯例做出反应的要求：</w:t>
      </w:r>
      <w:r w:rsidRPr="00BF42B7">
        <w:rPr>
          <w:rStyle w:val="a5"/>
        </w:rPr>
        <w:footnoteReference w:id="316"/>
      </w:r>
      <w:r w:rsidRPr="00BF42B7">
        <w:rPr>
          <w:rStyle w:val="a5"/>
        </w:rPr>
        <w:t xml:space="preserve"> </w:t>
      </w:r>
      <w:r w:rsidRPr="00BF42B7">
        <w:rPr>
          <w:rFonts w:hint="eastAsia"/>
          <w:lang w:val="en-GB"/>
        </w:rPr>
        <w:t>例如，如果这种惯例</w:t>
      </w:r>
      <w:r w:rsidRPr="00BF42B7">
        <w:rPr>
          <w:rFonts w:hint="eastAsia"/>
          <w:lang w:val="en-GB"/>
        </w:rPr>
        <w:t>(</w:t>
      </w:r>
      <w:r w:rsidRPr="00BF42B7">
        <w:rPr>
          <w:rFonts w:hint="eastAsia"/>
          <w:lang w:val="en-GB"/>
        </w:rPr>
        <w:t>直接或间接</w:t>
      </w:r>
      <w:r w:rsidRPr="00BF42B7">
        <w:rPr>
          <w:rFonts w:hint="eastAsia"/>
          <w:lang w:val="en-GB"/>
        </w:rPr>
        <w:t>)</w:t>
      </w:r>
      <w:r w:rsidRPr="00BF42B7">
        <w:rPr>
          <w:rFonts w:hint="eastAsia"/>
          <w:lang w:val="en-GB"/>
        </w:rPr>
        <w:t>影响</w:t>
      </w:r>
      <w:r w:rsidRPr="00BF42B7">
        <w:rPr>
          <w:rFonts w:hint="eastAsia"/>
          <w:spacing w:val="-50"/>
          <w:lang w:val="en-GB"/>
        </w:rPr>
        <w:t>―</w:t>
      </w:r>
      <w:r w:rsidRPr="00BF42B7">
        <w:rPr>
          <w:rFonts w:hint="eastAsia"/>
          <w:lang w:val="en-GB"/>
        </w:rPr>
        <w:t>―通常是不利地影响</w:t>
      </w:r>
      <w:r w:rsidRPr="00BF42B7">
        <w:rPr>
          <w:rFonts w:hint="eastAsia"/>
          <w:spacing w:val="-50"/>
          <w:lang w:val="en-GB"/>
        </w:rPr>
        <w:t>―</w:t>
      </w:r>
      <w:r w:rsidRPr="00BF42B7">
        <w:rPr>
          <w:rFonts w:hint="eastAsia"/>
          <w:lang w:val="en-GB"/>
        </w:rPr>
        <w:t>―没有或拒绝做出反应的国家的利益或权利，即可能是此种情况。</w:t>
      </w:r>
      <w:r w:rsidRPr="00BF42B7">
        <w:rPr>
          <w:rStyle w:val="a5"/>
        </w:rPr>
        <w:footnoteReference w:id="317"/>
      </w:r>
      <w:r w:rsidRPr="00BF42B7">
        <w:rPr>
          <w:color w:val="0000FF"/>
          <w:lang w:val="en-GB"/>
        </w:rPr>
        <w:t xml:space="preserve"> </w:t>
      </w:r>
      <w:r w:rsidRPr="00BF42B7">
        <w:rPr>
          <w:rFonts w:hint="eastAsia"/>
          <w:lang w:val="en-GB"/>
        </w:rPr>
        <w:t>第二，提及一国“有能力做出反应”意味着，有关国家必须已知悉该惯例</w:t>
      </w:r>
      <w:r w:rsidRPr="00BF42B7">
        <w:rPr>
          <w:rFonts w:hint="eastAsia"/>
          <w:lang w:val="en-GB"/>
        </w:rPr>
        <w:t>(</w:t>
      </w:r>
      <w:r w:rsidRPr="00BF42B7">
        <w:rPr>
          <w:rFonts w:hint="eastAsia"/>
          <w:lang w:val="en-GB"/>
        </w:rPr>
        <w:t>包括由于对该惯例的宣传，必须推定该国已有所知悉</w:t>
      </w:r>
      <w:r w:rsidRPr="00BF42B7">
        <w:rPr>
          <w:rFonts w:hint="eastAsia"/>
          <w:lang w:val="en-GB"/>
        </w:rPr>
        <w:t>)</w:t>
      </w:r>
      <w:r w:rsidRPr="00BF42B7">
        <w:rPr>
          <w:rFonts w:hint="eastAsia"/>
          <w:lang w:val="en-GB"/>
        </w:rPr>
        <w:t>，且该国必须有足够的时间和能力采取行动。如果一国未知悉或不能认为该国知悉某惯例，或尚未有合理时间做出反应，则不能将不作为归因于承认这种做法是习惯国际法所要求</w:t>
      </w:r>
      <w:r w:rsidRPr="00BF42B7">
        <w:rPr>
          <w:rFonts w:hint="eastAsia"/>
          <w:lang w:val="en-GB"/>
        </w:rPr>
        <w:t>(</w:t>
      </w:r>
      <w:r w:rsidRPr="00BF42B7">
        <w:rPr>
          <w:rFonts w:hint="eastAsia"/>
          <w:lang w:val="en-GB"/>
        </w:rPr>
        <w:t>或允许</w:t>
      </w:r>
      <w:r w:rsidRPr="00BF42B7">
        <w:rPr>
          <w:rFonts w:hint="eastAsia"/>
          <w:lang w:val="en-GB"/>
        </w:rPr>
        <w:t>)</w:t>
      </w:r>
      <w:r w:rsidRPr="00BF42B7">
        <w:rPr>
          <w:rFonts w:hint="eastAsia"/>
          <w:lang w:val="en-GB"/>
        </w:rPr>
        <w:t>的。</w:t>
      </w:r>
    </w:p>
    <w:p w:rsidR="00790CCC" w:rsidRPr="00BF42B7" w:rsidRDefault="00790CCC" w:rsidP="00C64929">
      <w:pPr>
        <w:pStyle w:val="H23GC"/>
        <w:ind w:left="1554"/>
        <w:rPr>
          <w:b/>
          <w:bCs/>
          <w:lang w:val="en-GB"/>
        </w:rPr>
      </w:pPr>
      <w:r w:rsidRPr="00BF42B7">
        <w:rPr>
          <w:rFonts w:hint="eastAsia"/>
          <w:lang w:val="en-GB"/>
        </w:rPr>
        <w:tab/>
      </w:r>
      <w:r w:rsidRPr="00BF42B7">
        <w:rPr>
          <w:rFonts w:hint="eastAsia"/>
          <w:lang w:val="en-GB"/>
        </w:rPr>
        <w:tab/>
      </w:r>
      <w:r w:rsidRPr="00BF42B7">
        <w:rPr>
          <w:lang w:val="en-GB"/>
        </w:rPr>
        <w:t>第五部分</w:t>
      </w:r>
      <w:r w:rsidRPr="00BF42B7">
        <w:rPr>
          <w:rFonts w:hint="eastAsia"/>
          <w:lang w:val="en-GB"/>
        </w:rPr>
        <w:br/>
      </w:r>
      <w:r w:rsidRPr="00BF42B7">
        <w:rPr>
          <w:lang w:val="en-GB"/>
        </w:rPr>
        <w:t>某些材料对于识别习惯国际法的意义</w:t>
      </w:r>
    </w:p>
    <w:p w:rsidR="00790CCC" w:rsidRPr="00BF42B7" w:rsidRDefault="00790CCC" w:rsidP="00790CCC">
      <w:pPr>
        <w:pStyle w:val="H23GC"/>
        <w:rPr>
          <w:lang w:val="en-GB"/>
        </w:rPr>
      </w:pPr>
      <w:r w:rsidRPr="00BF42B7">
        <w:rPr>
          <w:rFonts w:hint="eastAsia"/>
          <w:lang w:val="en-GB"/>
        </w:rPr>
        <w:tab/>
      </w:r>
      <w:r w:rsidRPr="00BF42B7">
        <w:rPr>
          <w:rFonts w:hint="eastAsia"/>
          <w:lang w:val="en-GB"/>
        </w:rPr>
        <w:tab/>
      </w:r>
      <w:r w:rsidRPr="00BF42B7">
        <w:rPr>
          <w:rFonts w:hint="eastAsia"/>
          <w:lang w:val="en-GB"/>
        </w:rPr>
        <w:t>评注</w:t>
      </w:r>
    </w:p>
    <w:p w:rsidR="00790CCC" w:rsidRPr="00BF42B7" w:rsidRDefault="00790CCC" w:rsidP="00790CCC">
      <w:pPr>
        <w:pStyle w:val="SingleTxtGC"/>
        <w:rPr>
          <w:lang w:val="en-GB"/>
        </w:rPr>
      </w:pPr>
      <w:r w:rsidRPr="00BF42B7">
        <w:rPr>
          <w:rFonts w:hint="eastAsia"/>
          <w:lang w:val="en-GB"/>
        </w:rPr>
        <w:t xml:space="preserve">(1)  </w:t>
      </w:r>
      <w:r w:rsidRPr="00BF42B7">
        <w:rPr>
          <w:rFonts w:hint="eastAsia"/>
          <w:lang w:val="en-GB"/>
        </w:rPr>
        <w:t>在识别习惯国际法</w:t>
      </w:r>
      <w:r w:rsidRPr="00BF42B7">
        <w:rPr>
          <w:lang w:val="en-GB"/>
        </w:rPr>
        <w:t>规则的存在及内容</w:t>
      </w:r>
      <w:r w:rsidRPr="00BF42B7">
        <w:rPr>
          <w:rFonts w:hint="eastAsia"/>
          <w:lang w:val="en-GB"/>
        </w:rPr>
        <w:t>时，除了惯例被接受为法律</w:t>
      </w:r>
      <w:r w:rsidRPr="00BF42B7">
        <w:rPr>
          <w:rFonts w:hint="eastAsia"/>
          <w:lang w:val="en-GB"/>
        </w:rPr>
        <w:t>(</w:t>
      </w:r>
      <w:r w:rsidRPr="00BF42B7">
        <w:rPr>
          <w:rFonts w:hint="eastAsia"/>
          <w:lang w:val="en-GB"/>
        </w:rPr>
        <w:t>伴有法律确信</w:t>
      </w:r>
      <w:r w:rsidRPr="00BF42B7">
        <w:rPr>
          <w:rFonts w:hint="eastAsia"/>
          <w:lang w:val="en-GB"/>
        </w:rPr>
        <w:t>)</w:t>
      </w:r>
      <w:r w:rsidRPr="00BF42B7">
        <w:rPr>
          <w:rFonts w:hint="eastAsia"/>
          <w:lang w:val="en-GB"/>
        </w:rPr>
        <w:t>的宣称实例这种主要证据以外，还可以参考各种材料。通常包括有关法律问题的书面文本，尤其是条约、国际组织和会议的决议、</w:t>
      </w:r>
      <w:r w:rsidRPr="00BF42B7">
        <w:rPr>
          <w:rFonts w:hint="eastAsia"/>
          <w:lang w:val="en-GB"/>
        </w:rPr>
        <w:t>(</w:t>
      </w:r>
      <w:r w:rsidRPr="00BF42B7">
        <w:rPr>
          <w:rFonts w:hint="eastAsia"/>
          <w:lang w:val="en-GB"/>
        </w:rPr>
        <w:t>国际性法院和各国法院的</w:t>
      </w:r>
      <w:r w:rsidRPr="00BF42B7">
        <w:rPr>
          <w:rFonts w:hint="eastAsia"/>
          <w:lang w:val="en-GB"/>
        </w:rPr>
        <w:t>)</w:t>
      </w:r>
      <w:r w:rsidRPr="00BF42B7">
        <w:rPr>
          <w:rFonts w:hint="eastAsia"/>
          <w:lang w:val="en-GB"/>
        </w:rPr>
        <w:t>司法判决以及学术著作。这些文本可协助收集、综合或解释与识别习惯国际法有关的做法，并可提供准确的表述来为针对两个构成要素的调查提供框架和指导。第五部分试图解释这些材料的潜在重要性，并说明至关重要的是同时仔细研究这类材料的内容和编写这些材料时的背景。</w:t>
      </w:r>
    </w:p>
    <w:p w:rsidR="008D7906" w:rsidRPr="00BF42B7" w:rsidRDefault="008D7906" w:rsidP="008D7906">
      <w:pPr>
        <w:pStyle w:val="SingleTxtGC"/>
        <w:rPr>
          <w:lang w:val="en-GB"/>
        </w:rPr>
      </w:pPr>
      <w:r w:rsidRPr="00BF42B7">
        <w:rPr>
          <w:lang w:val="en-GB"/>
        </w:rPr>
        <w:t>(2)</w:t>
      </w:r>
      <w:r w:rsidRPr="00BF42B7">
        <w:rPr>
          <w:rFonts w:hint="eastAsia"/>
          <w:lang w:val="en-GB"/>
        </w:rPr>
        <w:t xml:space="preserve">  </w:t>
      </w:r>
      <w:r w:rsidRPr="00BF42B7">
        <w:rPr>
          <w:lang w:val="en-GB"/>
        </w:rPr>
        <w:t>委员会决定在目前阶段不针对国际法委员会工作成果单独列出一项结论，但在目前情况下，这种成果确实应得到特殊考虑。正如国际法院和其他法院及法庭已经确认的，</w:t>
      </w:r>
      <w:r w:rsidRPr="00BF42B7">
        <w:rPr>
          <w:color w:val="0000FF"/>
          <w:vertAlign w:val="superscript"/>
          <w:lang w:val="en-GB"/>
        </w:rPr>
        <w:footnoteReference w:id="318"/>
      </w:r>
      <w:r w:rsidRPr="00BF42B7">
        <w:rPr>
          <w:color w:val="0000FF"/>
          <w:vertAlign w:val="superscript"/>
          <w:lang w:val="en-GB"/>
        </w:rPr>
        <w:t xml:space="preserve"> </w:t>
      </w:r>
      <w:r w:rsidRPr="00BF42B7">
        <w:rPr>
          <w:lang w:val="en-GB"/>
        </w:rPr>
        <w:t>委员会认定一项习惯国际法规则的存在及其内容具有特别重要的价值；委员会认为不存在这样一项规则的结论同样</w:t>
      </w:r>
      <w:r w:rsidRPr="00BF42B7">
        <w:rPr>
          <w:spacing w:val="-4"/>
          <w:lang w:val="en-GB"/>
        </w:rPr>
        <w:t>如此。这源自各国赋予委员会的促进国际法的逐渐发展和编纂的独特任务，</w:t>
      </w:r>
      <w:r w:rsidRPr="00BF42B7">
        <w:rPr>
          <w:color w:val="0000FF"/>
          <w:vertAlign w:val="superscript"/>
          <w:lang w:val="en-GB"/>
        </w:rPr>
        <w:footnoteReference w:id="319"/>
      </w:r>
      <w:r w:rsidRPr="00BF42B7">
        <w:rPr>
          <w:color w:val="0000FF"/>
          <w:vertAlign w:val="superscript"/>
          <w:lang w:val="en-GB"/>
        </w:rPr>
        <w:t xml:space="preserve"> </w:t>
      </w:r>
      <w:r w:rsidRPr="00BF42B7">
        <w:rPr>
          <w:lang w:val="en-GB"/>
        </w:rPr>
        <w:t>其程序的充分性</w:t>
      </w:r>
      <w:r w:rsidRPr="00BF42B7">
        <w:rPr>
          <w:lang w:val="en-GB"/>
        </w:rPr>
        <w:t>(</w:t>
      </w:r>
      <w:r w:rsidRPr="00BF42B7">
        <w:rPr>
          <w:lang w:val="en-GB"/>
        </w:rPr>
        <w:t>包括对国家惯例广泛调查结果进行审议</w:t>
      </w:r>
      <w:r w:rsidRPr="00BF42B7">
        <w:rPr>
          <w:lang w:val="en-GB"/>
        </w:rPr>
        <w:t>)</w:t>
      </w:r>
      <w:r w:rsidRPr="00BF42B7">
        <w:rPr>
          <w:lang w:val="en-GB"/>
        </w:rPr>
        <w:t>，及其作为大会的附属机构与各国的紧密联系</w:t>
      </w:r>
      <w:r w:rsidRPr="00BF42B7">
        <w:rPr>
          <w:lang w:val="en-GB"/>
        </w:rPr>
        <w:t>(</w:t>
      </w:r>
      <w:r w:rsidRPr="00BF42B7">
        <w:rPr>
          <w:lang w:val="en-GB"/>
        </w:rPr>
        <w:t>包括在着手开展工作的同时收到各国的口头和书面评论</w:t>
      </w:r>
      <w:r w:rsidRPr="00BF42B7">
        <w:rPr>
          <w:lang w:val="en-GB"/>
        </w:rPr>
        <w:t>)</w:t>
      </w:r>
      <w:r w:rsidRPr="00BF42B7">
        <w:rPr>
          <w:lang w:val="en-GB"/>
        </w:rPr>
        <w:t>。不过，委员会作出的认定的权重取决于各种因素，其中包括委员会所依赖的资料来源，其工作所进行到的阶段，最重要的是取决于各国对其工作成果的接受程度。</w:t>
      </w:r>
      <w:r w:rsidRPr="00BF42B7">
        <w:rPr>
          <w:color w:val="0000FF"/>
          <w:vertAlign w:val="superscript"/>
          <w:lang w:val="en-GB"/>
        </w:rPr>
        <w:footnoteReference w:id="320"/>
      </w:r>
    </w:p>
    <w:p w:rsidR="008D7906" w:rsidRPr="00BF42B7" w:rsidRDefault="008D7906" w:rsidP="008D7906">
      <w:pPr>
        <w:pStyle w:val="H23GC"/>
        <w:ind w:left="1565"/>
        <w:rPr>
          <w:lang w:val="en-GB"/>
        </w:rPr>
      </w:pPr>
      <w:r w:rsidRPr="00BF42B7">
        <w:rPr>
          <w:rFonts w:hint="eastAsia"/>
          <w:lang w:val="en-GB"/>
        </w:rPr>
        <w:tab/>
      </w:r>
      <w:r w:rsidRPr="00BF42B7">
        <w:rPr>
          <w:rFonts w:hint="eastAsia"/>
          <w:lang w:val="en-GB"/>
        </w:rPr>
        <w:tab/>
      </w:r>
      <w:r w:rsidRPr="00BF42B7">
        <w:rPr>
          <w:lang w:val="en-GB"/>
        </w:rPr>
        <w:t>结论</w:t>
      </w:r>
      <w:bookmarkStart w:id="81" w:name="DC11"/>
      <w:r w:rsidRPr="00BF42B7">
        <w:rPr>
          <w:lang w:val="en-GB"/>
        </w:rPr>
        <w:t>11</w:t>
      </w:r>
      <w:bookmarkEnd w:id="81"/>
      <w:r w:rsidRPr="00BF42B7">
        <w:rPr>
          <w:lang w:val="en-GB"/>
        </w:rPr>
        <w:br/>
      </w:r>
      <w:r w:rsidRPr="00BF42B7">
        <w:rPr>
          <w:lang w:val="en-GB"/>
        </w:rPr>
        <w:t>条约</w:t>
      </w:r>
    </w:p>
    <w:p w:rsidR="008D7906" w:rsidRPr="00BF42B7" w:rsidRDefault="008D7906" w:rsidP="008D7906">
      <w:pPr>
        <w:pStyle w:val="SingleTxtGC"/>
        <w:ind w:left="1565"/>
        <w:rPr>
          <w:lang w:val="en-GB"/>
        </w:rPr>
      </w:pPr>
      <w:r w:rsidRPr="00BF42B7">
        <w:rPr>
          <w:lang w:val="en-GB"/>
        </w:rPr>
        <w:t xml:space="preserve">1.  </w:t>
      </w:r>
      <w:r w:rsidRPr="00BF42B7">
        <w:rPr>
          <w:lang w:val="en-GB"/>
        </w:rPr>
        <w:t>条约所载的规则可反映习惯国际法规则，条件是能够确定该条约规则：</w:t>
      </w:r>
    </w:p>
    <w:p w:rsidR="008D7906" w:rsidRPr="00BF42B7" w:rsidRDefault="008D7906" w:rsidP="008D7906">
      <w:pPr>
        <w:pStyle w:val="SingleTxtGC"/>
        <w:tabs>
          <w:tab w:val="clear" w:pos="1565"/>
          <w:tab w:val="clear" w:pos="1996"/>
          <w:tab w:val="left" w:pos="1560"/>
        </w:tabs>
        <w:ind w:left="1560" w:firstLine="414"/>
        <w:rPr>
          <w:lang w:val="en-GB"/>
        </w:rPr>
      </w:pPr>
      <w:r w:rsidRPr="00BF42B7">
        <w:rPr>
          <w:lang w:val="en-GB"/>
        </w:rPr>
        <w:t>(a)</w:t>
      </w:r>
      <w:r w:rsidRPr="00BF42B7">
        <w:rPr>
          <w:lang w:val="en-GB"/>
        </w:rPr>
        <w:tab/>
      </w:r>
      <w:r w:rsidRPr="00BF42B7">
        <w:rPr>
          <w:lang w:val="en-GB"/>
        </w:rPr>
        <w:t>将条约缔结时已经存在的一项习惯国际法规则编纂成法；</w:t>
      </w:r>
    </w:p>
    <w:p w:rsidR="008D7906" w:rsidRPr="00BF42B7" w:rsidRDefault="008D7906" w:rsidP="008D7906">
      <w:pPr>
        <w:pStyle w:val="SingleTxtGC"/>
        <w:tabs>
          <w:tab w:val="clear" w:pos="1565"/>
          <w:tab w:val="clear" w:pos="1996"/>
          <w:tab w:val="left" w:pos="1560"/>
        </w:tabs>
        <w:ind w:left="1560" w:firstLine="414"/>
        <w:rPr>
          <w:lang w:val="en-GB"/>
        </w:rPr>
      </w:pPr>
      <w:r w:rsidRPr="00BF42B7">
        <w:rPr>
          <w:lang w:val="en-GB"/>
        </w:rPr>
        <w:t>(b)</w:t>
      </w:r>
      <w:r w:rsidRPr="00BF42B7">
        <w:rPr>
          <w:lang w:val="en-GB"/>
        </w:rPr>
        <w:tab/>
      </w:r>
      <w:r w:rsidRPr="00BF42B7">
        <w:rPr>
          <w:lang w:val="en-GB"/>
        </w:rPr>
        <w:t>将条约缔结之前开始形成的一项习惯国际法规则具体化；</w:t>
      </w:r>
    </w:p>
    <w:p w:rsidR="008D7906" w:rsidRPr="00BF42B7" w:rsidRDefault="008D7906" w:rsidP="008D7906">
      <w:pPr>
        <w:pStyle w:val="SingleTxtGC"/>
        <w:tabs>
          <w:tab w:val="clear" w:pos="1565"/>
          <w:tab w:val="clear" w:pos="1996"/>
          <w:tab w:val="left" w:pos="1560"/>
        </w:tabs>
        <w:ind w:left="1560" w:firstLine="414"/>
        <w:rPr>
          <w:lang w:val="en-GB"/>
        </w:rPr>
      </w:pPr>
      <w:r w:rsidRPr="00BF42B7">
        <w:rPr>
          <w:lang w:val="en-GB"/>
        </w:rPr>
        <w:t>(c)</w:t>
      </w:r>
      <w:r w:rsidRPr="00BF42B7">
        <w:rPr>
          <w:lang w:val="en-GB"/>
        </w:rPr>
        <w:tab/>
      </w:r>
      <w:r w:rsidRPr="00BF42B7">
        <w:rPr>
          <w:lang w:val="en-GB"/>
        </w:rPr>
        <w:t>形成了一项被接受为法律</w:t>
      </w:r>
      <w:r w:rsidRPr="00BF42B7">
        <w:rPr>
          <w:lang w:val="en-GB"/>
        </w:rPr>
        <w:t>(</w:t>
      </w:r>
      <w:r w:rsidRPr="00BF42B7">
        <w:rPr>
          <w:lang w:val="en-GB"/>
        </w:rPr>
        <w:t>法律确信</w:t>
      </w:r>
      <w:r w:rsidRPr="00BF42B7">
        <w:rPr>
          <w:lang w:val="en-GB"/>
        </w:rPr>
        <w:t>)</w:t>
      </w:r>
      <w:r w:rsidRPr="00BF42B7">
        <w:rPr>
          <w:lang w:val="en-GB"/>
        </w:rPr>
        <w:t>的一般惯例，从而产生了一项新的习惯国际法规则。</w:t>
      </w:r>
    </w:p>
    <w:p w:rsidR="008D7906" w:rsidRPr="00BF42B7" w:rsidRDefault="008D7906" w:rsidP="008D7906">
      <w:pPr>
        <w:pStyle w:val="SingleTxtGC"/>
        <w:ind w:left="1565"/>
        <w:rPr>
          <w:lang w:val="en-GB"/>
        </w:rPr>
      </w:pPr>
      <w:r w:rsidRPr="00BF42B7">
        <w:rPr>
          <w:lang w:val="en-GB"/>
        </w:rPr>
        <w:t xml:space="preserve">2.  </w:t>
      </w:r>
      <w:r w:rsidRPr="00BF42B7">
        <w:rPr>
          <w:lang w:val="en-GB"/>
        </w:rPr>
        <w:t>一项规则在多项条约中出现，可能但并不一定表明该条约规则反映了一项习惯国际法规则。</w:t>
      </w:r>
    </w:p>
    <w:p w:rsidR="008D7906" w:rsidRPr="00BF42B7" w:rsidRDefault="008D7906" w:rsidP="008D7906">
      <w:pPr>
        <w:pStyle w:val="H23GC"/>
        <w:rPr>
          <w:lang w:val="en-GB"/>
        </w:rPr>
      </w:pPr>
      <w:r w:rsidRPr="00BF42B7">
        <w:rPr>
          <w:rFonts w:hint="eastAsia"/>
          <w:lang w:val="en-GB"/>
        </w:rPr>
        <w:tab/>
      </w:r>
      <w:r w:rsidRPr="00BF42B7">
        <w:rPr>
          <w:rFonts w:hint="eastAsia"/>
          <w:lang w:val="en-GB"/>
        </w:rPr>
        <w:tab/>
      </w:r>
      <w:r w:rsidRPr="00BF42B7">
        <w:rPr>
          <w:lang w:val="en-GB"/>
        </w:rPr>
        <w:t>评注</w:t>
      </w:r>
    </w:p>
    <w:p w:rsidR="008D7906" w:rsidRPr="00BF42B7" w:rsidRDefault="008D7906" w:rsidP="009B5A10">
      <w:pPr>
        <w:pStyle w:val="SingleTxtGC"/>
        <w:rPr>
          <w:lang w:val="en-GB"/>
        </w:rPr>
      </w:pPr>
      <w:r w:rsidRPr="00BF42B7">
        <w:rPr>
          <w:lang w:val="en-GB"/>
        </w:rPr>
        <w:t xml:space="preserve">(1)  </w:t>
      </w:r>
      <w:r w:rsidRPr="00BF42B7">
        <w:rPr>
          <w:lang w:val="en-GB"/>
        </w:rPr>
        <w:t>结论草案</w:t>
      </w:r>
      <w:r w:rsidR="009B5A10">
        <w:rPr>
          <w:rFonts w:hint="eastAsia"/>
          <w:lang w:val="en-GB"/>
        </w:rPr>
        <w:t>11</w:t>
      </w:r>
      <w:r w:rsidRPr="00BF42B7">
        <w:rPr>
          <w:lang w:val="en-GB"/>
        </w:rPr>
        <w:t>涉及条约特别是广泛批准的多边条约对于识别习惯国际法的意义。该结论草案，没有涉及作为一种惯例形式的与条约有关的行为，此事在结论草案</w:t>
      </w:r>
      <w:r w:rsidRPr="00BF42B7">
        <w:rPr>
          <w:lang w:val="en-GB"/>
        </w:rPr>
        <w:t>6</w:t>
      </w:r>
      <w:r w:rsidRPr="00BF42B7">
        <w:rPr>
          <w:lang w:val="en-GB"/>
        </w:rPr>
        <w:t>中已涉及；也没有直接涉及条约制订过程或条约条款草案，它们本身可形成结论草案</w:t>
      </w:r>
      <w:r w:rsidRPr="00BF42B7">
        <w:rPr>
          <w:lang w:val="en-GB"/>
        </w:rPr>
        <w:t>6</w:t>
      </w:r>
      <w:r w:rsidRPr="00BF42B7">
        <w:rPr>
          <w:lang w:val="en-GB"/>
        </w:rPr>
        <w:t>和</w:t>
      </w:r>
      <w:r w:rsidRPr="00BF42B7">
        <w:rPr>
          <w:lang w:val="en-GB"/>
        </w:rPr>
        <w:t>10</w:t>
      </w:r>
      <w:r w:rsidRPr="00BF42B7">
        <w:rPr>
          <w:lang w:val="en-GB"/>
        </w:rPr>
        <w:t>中所指出的国家惯例和被接受为法律</w:t>
      </w:r>
      <w:r w:rsidRPr="00BF42B7">
        <w:rPr>
          <w:lang w:val="en-GB"/>
        </w:rPr>
        <w:t>(</w:t>
      </w:r>
      <w:r w:rsidRPr="00BF42B7">
        <w:rPr>
          <w:lang w:val="en-GB"/>
        </w:rPr>
        <w:t>法律确信</w:t>
      </w:r>
      <w:r w:rsidRPr="00BF42B7">
        <w:rPr>
          <w:lang w:val="en-GB"/>
        </w:rPr>
        <w:t>)</w:t>
      </w:r>
      <w:r w:rsidRPr="00BF42B7">
        <w:rPr>
          <w:lang w:val="en-GB"/>
        </w:rPr>
        <w:t>的证据。</w:t>
      </w:r>
    </w:p>
    <w:p w:rsidR="008D7906" w:rsidRPr="00BF42B7" w:rsidRDefault="008D7906" w:rsidP="008D7906">
      <w:pPr>
        <w:pStyle w:val="SingleTxtGC"/>
        <w:rPr>
          <w:lang w:val="en-GB"/>
        </w:rPr>
      </w:pPr>
      <w:r w:rsidRPr="00BF42B7">
        <w:rPr>
          <w:lang w:val="en-GB"/>
        </w:rPr>
        <w:t xml:space="preserve">(2)  </w:t>
      </w:r>
      <w:r w:rsidRPr="00BF42B7">
        <w:rPr>
          <w:lang w:val="en-GB"/>
        </w:rPr>
        <w:t>尽管条约本身仅对缔约方有约束力，但它们</w:t>
      </w:r>
      <w:r w:rsidRPr="00BF42B7">
        <w:rPr>
          <w:rFonts w:hint="eastAsia"/>
          <w:lang w:val="en-GB"/>
        </w:rPr>
        <w:t>“</w:t>
      </w:r>
      <w:r w:rsidRPr="00BF42B7">
        <w:rPr>
          <w:lang w:val="en-GB"/>
        </w:rPr>
        <w:t>在记录和界定，甚至发展源于习惯的规则方面可发挥重要作用</w:t>
      </w:r>
      <w:r w:rsidRPr="00BF42B7">
        <w:rPr>
          <w:rFonts w:hint="eastAsia"/>
          <w:lang w:val="en-GB"/>
        </w:rPr>
        <w:t>”</w:t>
      </w:r>
      <w:r w:rsidRPr="00BF42B7">
        <w:rPr>
          <w:lang w:val="en-GB"/>
        </w:rPr>
        <w:t>。</w:t>
      </w:r>
      <w:r w:rsidRPr="00BF42B7">
        <w:rPr>
          <w:color w:val="0000FF"/>
          <w:vertAlign w:val="superscript"/>
          <w:lang w:val="en-GB"/>
        </w:rPr>
        <w:footnoteReference w:id="321"/>
      </w:r>
      <w:r w:rsidRPr="00BF42B7">
        <w:rPr>
          <w:color w:val="0000FF"/>
          <w:vertAlign w:val="superscript"/>
          <w:lang w:val="en-GB"/>
        </w:rPr>
        <w:t xml:space="preserve"> </w:t>
      </w:r>
      <w:r w:rsidRPr="00BF42B7">
        <w:rPr>
          <w:lang w:val="en-GB"/>
        </w:rPr>
        <w:t>其条款</w:t>
      </w:r>
      <w:r w:rsidRPr="00BF42B7">
        <w:rPr>
          <w:lang w:val="en-GB"/>
        </w:rPr>
        <w:t>(</w:t>
      </w:r>
      <w:r w:rsidRPr="00BF42B7">
        <w:rPr>
          <w:lang w:val="en-GB"/>
        </w:rPr>
        <w:t>以及通过和实施这些条款的过程</w:t>
      </w:r>
      <w:r w:rsidRPr="00BF42B7">
        <w:rPr>
          <w:lang w:val="en-GB"/>
        </w:rPr>
        <w:t>)</w:t>
      </w:r>
      <w:r w:rsidRPr="00BF42B7">
        <w:rPr>
          <w:lang w:val="en-GB"/>
        </w:rPr>
        <w:t>可有助于阐明习惯国际法的内容。</w:t>
      </w:r>
      <w:r w:rsidRPr="00BF42B7">
        <w:rPr>
          <w:color w:val="0000FF"/>
          <w:vertAlign w:val="superscript"/>
          <w:lang w:val="en-GB"/>
        </w:rPr>
        <w:footnoteReference w:id="322"/>
      </w:r>
      <w:r w:rsidRPr="00BF42B7">
        <w:rPr>
          <w:color w:val="0000FF"/>
          <w:vertAlign w:val="superscript"/>
          <w:lang w:val="en-GB"/>
        </w:rPr>
        <w:t xml:space="preserve"> </w:t>
      </w:r>
      <w:r w:rsidRPr="00BF42B7">
        <w:rPr>
          <w:lang w:val="en-GB"/>
        </w:rPr>
        <w:t>表述清晰的条约条款，如果宣示了习惯国际法规则，可为这些规则的存在或内容提供特别适当的证据。</w:t>
      </w:r>
      <w:r w:rsidRPr="00BF42B7">
        <w:rPr>
          <w:rFonts w:hint="eastAsia"/>
          <w:lang w:val="en-GB"/>
        </w:rPr>
        <w:t>“</w:t>
      </w:r>
      <w:r w:rsidRPr="00BF42B7">
        <w:rPr>
          <w:lang w:val="en-GB"/>
        </w:rPr>
        <w:t>条约中提出的规则</w:t>
      </w:r>
      <w:r w:rsidRPr="00BF42B7">
        <w:rPr>
          <w:rFonts w:hint="eastAsia"/>
          <w:lang w:val="en-GB"/>
        </w:rPr>
        <w:t>”</w:t>
      </w:r>
      <w:r w:rsidRPr="00BF42B7">
        <w:rPr>
          <w:lang w:val="en-GB"/>
        </w:rPr>
        <w:t>这种提法，试图说明一条规则可能未必载于某单一条约条款，而是可能在一并解读的两条或多条条款中得到反映。</w:t>
      </w:r>
      <w:r w:rsidRPr="00BF42B7">
        <w:rPr>
          <w:color w:val="0000FF"/>
          <w:vertAlign w:val="superscript"/>
          <w:lang w:val="en-GB"/>
        </w:rPr>
        <w:footnoteReference w:id="323"/>
      </w:r>
      <w:r w:rsidRPr="00BF42B7">
        <w:rPr>
          <w:color w:val="0000FF"/>
          <w:vertAlign w:val="superscript"/>
          <w:lang w:val="en-GB"/>
        </w:rPr>
        <w:t xml:space="preserve"> </w:t>
      </w:r>
      <w:r w:rsidRPr="00BF42B7">
        <w:rPr>
          <w:lang w:val="en-GB"/>
        </w:rPr>
        <w:t>无论是哪种情况，</w:t>
      </w:r>
      <w:r w:rsidRPr="00BF42B7">
        <w:rPr>
          <w:rFonts w:hint="eastAsia"/>
          <w:lang w:val="en-GB"/>
        </w:rPr>
        <w:t>“</w:t>
      </w:r>
      <w:r w:rsidRPr="00BF42B7">
        <w:rPr>
          <w:lang w:val="en-GB"/>
        </w:rPr>
        <w:t>可能反映</w:t>
      </w:r>
      <w:r w:rsidRPr="00BF42B7">
        <w:rPr>
          <w:rFonts w:hint="eastAsia"/>
          <w:lang w:val="en-GB"/>
        </w:rPr>
        <w:t>”</w:t>
      </w:r>
      <w:r w:rsidRPr="00BF42B7">
        <w:rPr>
          <w:lang w:val="en-GB"/>
        </w:rPr>
        <w:t>这种措辞提请注意，条约本身无法创立习惯国际法或绝对证明其存在。</w:t>
      </w:r>
    </w:p>
    <w:p w:rsidR="008D7906" w:rsidRPr="00BF42B7" w:rsidRDefault="008D7906" w:rsidP="008D7906">
      <w:pPr>
        <w:pStyle w:val="SingleTxtGC"/>
        <w:rPr>
          <w:lang w:val="en-GB"/>
        </w:rPr>
      </w:pPr>
      <w:r w:rsidRPr="00BF42B7">
        <w:rPr>
          <w:lang w:val="en-GB"/>
        </w:rPr>
        <w:t xml:space="preserve">(3)  </w:t>
      </w:r>
      <w:r w:rsidRPr="00BF42B7">
        <w:rPr>
          <w:lang w:val="en-GB"/>
        </w:rPr>
        <w:t>对一项条约的参与程度可能是决定其是否相当于习惯国际法的重要因素；在这方面，已经几乎获得普遍接受的条约可被视为特别具有指示性。</w:t>
      </w:r>
      <w:r w:rsidRPr="00BF42B7">
        <w:rPr>
          <w:color w:val="0000FF"/>
          <w:vertAlign w:val="superscript"/>
          <w:lang w:val="en-GB"/>
        </w:rPr>
        <w:footnoteReference w:id="324"/>
      </w:r>
      <w:r w:rsidRPr="00BF42B7">
        <w:rPr>
          <w:color w:val="0000FF"/>
          <w:vertAlign w:val="superscript"/>
          <w:lang w:val="en-GB"/>
        </w:rPr>
        <w:t xml:space="preserve"> </w:t>
      </w:r>
      <w:r w:rsidRPr="00BF42B7">
        <w:rPr>
          <w:lang w:val="en-GB"/>
        </w:rPr>
        <w:t>但尚未生效，或尚未获得普遍参与的条约在特定情况下也可具有重要影响，尤其是当它们获得通过时没有反对意见，或获得绝大多数国家支持而通过时。</w:t>
      </w:r>
      <w:r w:rsidRPr="00BF42B7">
        <w:rPr>
          <w:color w:val="0000FF"/>
          <w:vertAlign w:val="superscript"/>
          <w:lang w:val="en-GB"/>
        </w:rPr>
        <w:footnoteReference w:id="325"/>
      </w:r>
    </w:p>
    <w:p w:rsidR="008D7906" w:rsidRPr="00BF42B7" w:rsidRDefault="008D7906" w:rsidP="008D7906">
      <w:pPr>
        <w:pStyle w:val="SingleTxtGC"/>
        <w:rPr>
          <w:lang w:val="en-GB"/>
        </w:rPr>
      </w:pPr>
      <w:r w:rsidRPr="00BF42B7">
        <w:rPr>
          <w:lang w:val="en-GB"/>
        </w:rPr>
        <w:t xml:space="preserve">(4)  </w:t>
      </w:r>
      <w:r w:rsidRPr="00BF42B7">
        <w:rPr>
          <w:lang w:val="en-GB"/>
        </w:rPr>
        <w:t>第</w:t>
      </w:r>
      <w:r w:rsidRPr="00BF42B7">
        <w:rPr>
          <w:lang w:val="en-GB"/>
        </w:rPr>
        <w:t>1</w:t>
      </w:r>
      <w:r w:rsidRPr="00BF42B7">
        <w:rPr>
          <w:lang w:val="en-GB"/>
        </w:rPr>
        <w:t>段规定了条约中提出的规则可以被视为反映习惯国际法的三种情况，由习惯国际法规则形成</w:t>
      </w:r>
      <w:r w:rsidRPr="00BF42B7">
        <w:rPr>
          <w:lang w:val="en-GB"/>
        </w:rPr>
        <w:t>(</w:t>
      </w:r>
      <w:r w:rsidRPr="00BF42B7">
        <w:rPr>
          <w:lang w:val="en-GB"/>
        </w:rPr>
        <w:t>或开始形成</w:t>
      </w:r>
      <w:r w:rsidRPr="00BF42B7">
        <w:rPr>
          <w:lang w:val="en-GB"/>
        </w:rPr>
        <w:t>)</w:t>
      </w:r>
      <w:r w:rsidRPr="00BF42B7">
        <w:rPr>
          <w:lang w:val="en-GB"/>
        </w:rPr>
        <w:t>的时间区分。</w:t>
      </w:r>
      <w:r w:rsidRPr="00BF42B7">
        <w:rPr>
          <w:rFonts w:hint="eastAsia"/>
          <w:lang w:val="en-GB"/>
        </w:rPr>
        <w:t>“</w:t>
      </w:r>
      <w:r w:rsidRPr="00BF42B7">
        <w:rPr>
          <w:lang w:val="en-GB"/>
        </w:rPr>
        <w:t>条件是能够确定</w:t>
      </w:r>
      <w:r w:rsidRPr="00BF42B7">
        <w:rPr>
          <w:rFonts w:hint="eastAsia"/>
          <w:lang w:val="en-GB"/>
        </w:rPr>
        <w:t>”</w:t>
      </w:r>
      <w:r w:rsidRPr="00BF42B7">
        <w:rPr>
          <w:lang w:val="en-GB"/>
        </w:rPr>
        <w:t>这种措辞明确了仅仅靠条约的案文并不能确定条约中的一项规则是否确实与宣称的习惯国际法规则相一致；规则的存在必须逐例由惯例</w:t>
      </w:r>
      <w:r w:rsidRPr="00BF42B7">
        <w:rPr>
          <w:lang w:val="en-GB"/>
        </w:rPr>
        <w:t>(</w:t>
      </w:r>
      <w:r w:rsidRPr="00BF42B7">
        <w:rPr>
          <w:lang w:val="en-GB"/>
        </w:rPr>
        <w:t>以及被接受为法律</w:t>
      </w:r>
      <w:r w:rsidRPr="00BF42B7">
        <w:rPr>
          <w:lang w:val="en-GB"/>
        </w:rPr>
        <w:t>)</w:t>
      </w:r>
      <w:r w:rsidRPr="00BF42B7">
        <w:rPr>
          <w:lang w:val="en-GB"/>
        </w:rPr>
        <w:t>来印证。重要的是可以证明各国对惯例的参与并非</w:t>
      </w:r>
      <w:r w:rsidRPr="00BF42B7">
        <w:rPr>
          <w:lang w:val="en-GB"/>
        </w:rPr>
        <w:t>(</w:t>
      </w:r>
      <w:r w:rsidRPr="00BF42B7">
        <w:rPr>
          <w:lang w:val="en-GB"/>
        </w:rPr>
        <w:t>仅</w:t>
      </w:r>
      <w:r w:rsidRPr="00BF42B7">
        <w:rPr>
          <w:lang w:val="en-GB"/>
        </w:rPr>
        <w:t>)</w:t>
      </w:r>
      <w:r w:rsidRPr="00BF42B7">
        <w:rPr>
          <w:lang w:val="en-GB"/>
        </w:rPr>
        <w:t>由于条约义务，而是由于确信条约中所载规则是或已成为习惯国际法。</w:t>
      </w:r>
      <w:r w:rsidRPr="00BF42B7">
        <w:rPr>
          <w:color w:val="0000FF"/>
          <w:vertAlign w:val="superscript"/>
          <w:lang w:val="en-GB"/>
        </w:rPr>
        <w:footnoteReference w:id="326"/>
      </w:r>
    </w:p>
    <w:p w:rsidR="008D7906" w:rsidRPr="00BF42B7" w:rsidRDefault="008D7906" w:rsidP="008D7906">
      <w:pPr>
        <w:pStyle w:val="SingleTxtGC"/>
        <w:rPr>
          <w:lang w:val="en-GB"/>
        </w:rPr>
      </w:pPr>
      <w:r w:rsidRPr="00BF42B7">
        <w:rPr>
          <w:lang w:val="en-GB"/>
        </w:rPr>
        <w:t>(5)  (a)</w:t>
      </w:r>
      <w:r w:rsidRPr="00BF42B7">
        <w:rPr>
          <w:lang w:val="en-GB"/>
        </w:rPr>
        <w:t>分段涉及能够确定条约中提出的规则宣示了已经存在的一项习惯国际法规则的情况。</w:t>
      </w:r>
      <w:r w:rsidRPr="00BF42B7">
        <w:rPr>
          <w:color w:val="0000FF"/>
          <w:vertAlign w:val="superscript"/>
          <w:lang w:val="en-GB"/>
        </w:rPr>
        <w:footnoteReference w:id="327"/>
      </w:r>
      <w:r w:rsidRPr="00BF42B7">
        <w:rPr>
          <w:color w:val="0000FF"/>
          <w:vertAlign w:val="superscript"/>
          <w:lang w:val="en-GB"/>
        </w:rPr>
        <w:t xml:space="preserve"> </w:t>
      </w:r>
      <w:r w:rsidRPr="00BF42B7">
        <w:rPr>
          <w:lang w:val="en-GB"/>
        </w:rPr>
        <w:t>在调查一项宣称的习惯国际法规则是否符合这种情况时，应首先考虑条约案文，因为案文可能包含关于此事的明确声明。</w:t>
      </w:r>
      <w:r w:rsidRPr="00BF42B7">
        <w:rPr>
          <w:color w:val="0000FF"/>
          <w:vertAlign w:val="superscript"/>
          <w:lang w:val="en-GB"/>
        </w:rPr>
        <w:footnoteReference w:id="328"/>
      </w:r>
      <w:r w:rsidRPr="00BF42B7">
        <w:rPr>
          <w:color w:val="0000FF"/>
          <w:vertAlign w:val="superscript"/>
          <w:lang w:val="en-GB"/>
        </w:rPr>
        <w:t xml:space="preserve"> </w:t>
      </w:r>
      <w:r w:rsidRPr="00BF42B7">
        <w:rPr>
          <w:lang w:val="en-GB"/>
        </w:rPr>
        <w:t>明文允许对某一条约条款有所保留可能具有重大影响，但不一定说明该条款是否反映习惯国际法。</w:t>
      </w:r>
      <w:r w:rsidRPr="00BF42B7">
        <w:rPr>
          <w:color w:val="0000FF"/>
          <w:vertAlign w:val="superscript"/>
          <w:lang w:val="en-GB"/>
        </w:rPr>
        <w:footnoteReference w:id="329"/>
      </w:r>
      <w:r w:rsidRPr="00BF42B7">
        <w:rPr>
          <w:color w:val="0000FF"/>
          <w:vertAlign w:val="superscript"/>
          <w:lang w:val="en-GB"/>
        </w:rPr>
        <w:t xml:space="preserve"> </w:t>
      </w:r>
      <w:r w:rsidRPr="00BF42B7">
        <w:rPr>
          <w:lang w:val="en-GB"/>
        </w:rPr>
        <w:t>然而，这种案文中的说明很罕见，或往往是一般性地提及条约，而不是条约所载的具体规则；</w:t>
      </w:r>
      <w:r w:rsidRPr="00BF42B7">
        <w:rPr>
          <w:color w:val="0000FF"/>
          <w:vertAlign w:val="superscript"/>
          <w:lang w:val="en-GB"/>
        </w:rPr>
        <w:footnoteReference w:id="330"/>
      </w:r>
      <w:r w:rsidRPr="00BF42B7">
        <w:rPr>
          <w:color w:val="0000FF"/>
          <w:vertAlign w:val="superscript"/>
          <w:lang w:val="en-GB"/>
        </w:rPr>
        <w:t xml:space="preserve"> </w:t>
      </w:r>
      <w:r w:rsidRPr="00BF42B7">
        <w:rPr>
          <w:lang w:val="en-GB"/>
        </w:rPr>
        <w:t>在这种情况下，或是当条约中没有说明时，可借助于条约的准备工作</w:t>
      </w:r>
      <w:r w:rsidRPr="00BF42B7">
        <w:rPr>
          <w:lang w:val="en-GB"/>
        </w:rPr>
        <w:t>(</w:t>
      </w:r>
      <w:r w:rsidRPr="00BF42B7">
        <w:rPr>
          <w:iCs/>
          <w:lang w:val="en-GB"/>
        </w:rPr>
        <w:t>travaux préparatoires</w:t>
      </w:r>
      <w:r w:rsidRPr="00BF42B7">
        <w:rPr>
          <w:lang w:val="en-GB"/>
        </w:rPr>
        <w:t>)</w:t>
      </w:r>
      <w:r w:rsidRPr="00BF42B7">
        <w:rPr>
          <w:lang w:val="en-GB"/>
        </w:rPr>
        <w:t>，</w:t>
      </w:r>
      <w:r w:rsidRPr="00BF42B7">
        <w:rPr>
          <w:color w:val="0000FF"/>
          <w:vertAlign w:val="superscript"/>
          <w:lang w:val="en-GB"/>
        </w:rPr>
        <w:footnoteReference w:id="331"/>
      </w:r>
      <w:r w:rsidRPr="00BF42B7">
        <w:rPr>
          <w:color w:val="0000FF"/>
          <w:vertAlign w:val="superscript"/>
          <w:lang w:val="en-GB"/>
        </w:rPr>
        <w:t xml:space="preserve"> </w:t>
      </w:r>
      <w:r w:rsidRPr="00BF42B7">
        <w:rPr>
          <w:lang w:val="en-GB"/>
        </w:rPr>
        <w:t>包括在起草过程中各国作出的可能透露将一项已经存在的习惯国际法规则编纂成法的意愿的任何声明。如果发现谈判国确实认为所涉规则是一项习惯国际法规则，这将是被接受为法律</w:t>
      </w:r>
      <w:r w:rsidRPr="00BF42B7">
        <w:rPr>
          <w:lang w:val="en-GB"/>
        </w:rPr>
        <w:t>(</w:t>
      </w:r>
      <w:r w:rsidRPr="00BF42B7">
        <w:rPr>
          <w:iCs/>
          <w:lang w:val="en-GB"/>
        </w:rPr>
        <w:t>法律确信</w:t>
      </w:r>
      <w:r w:rsidRPr="00BF42B7">
        <w:rPr>
          <w:lang w:val="en-GB"/>
        </w:rPr>
        <w:t>)</w:t>
      </w:r>
      <w:r w:rsidRPr="00BF42B7">
        <w:rPr>
          <w:lang w:val="en-GB"/>
        </w:rPr>
        <w:t>的证据，从而在识别习惯规则时具有很大份量，谈判国的数量越多，份量就越重。但是，仍然有必要考虑是否有具备充分普遍性和代表性以及连贯性的相关惯例的实例来支持该规则；不仅因为各方声称该条约宣示了现有法律的事实</w:t>
      </w:r>
      <w:r w:rsidRPr="00BF42B7">
        <w:rPr>
          <w:lang w:val="en-GB"/>
        </w:rPr>
        <w:t>(</w:t>
      </w:r>
      <w:r w:rsidRPr="00BF42B7">
        <w:rPr>
          <w:lang w:val="en-GB"/>
        </w:rPr>
        <w:t>在涉及第三方时</w:t>
      </w:r>
      <w:r w:rsidRPr="00BF42B7">
        <w:rPr>
          <w:lang w:val="en-GB"/>
        </w:rPr>
        <w:t>)</w:t>
      </w:r>
      <w:r w:rsidRPr="00BF42B7">
        <w:rPr>
          <w:lang w:val="en-GB"/>
        </w:rPr>
        <w:t>只是这方面的单一证据，还因为自条约缔结以来，条约案文所依据的习惯规则可能已经发生变化或被取代。换言之，相关惯例必须确认</w:t>
      </w:r>
      <w:r w:rsidRPr="00BF42B7">
        <w:rPr>
          <w:iCs/>
          <w:lang w:val="en-GB"/>
        </w:rPr>
        <w:t>法律确信，或与法律确信同时存在。</w:t>
      </w:r>
    </w:p>
    <w:p w:rsidR="008D7906" w:rsidRPr="00BF42B7" w:rsidRDefault="008D7906" w:rsidP="008D7906">
      <w:pPr>
        <w:pStyle w:val="SingleTxtGC"/>
        <w:rPr>
          <w:rFonts w:asciiTheme="majorBidi" w:hAnsiTheme="majorBidi" w:cstheme="majorBidi"/>
          <w:szCs w:val="21"/>
          <w:lang w:val="en-GB"/>
        </w:rPr>
      </w:pPr>
      <w:r w:rsidRPr="00BF42B7">
        <w:rPr>
          <w:rFonts w:asciiTheme="majorBidi" w:hAnsiTheme="majorBidi" w:cstheme="majorBidi"/>
          <w:szCs w:val="21"/>
          <w:lang w:val="en-GB"/>
        </w:rPr>
        <w:t>(6)  (b)</w:t>
      </w:r>
      <w:r w:rsidRPr="00BF42B7">
        <w:rPr>
          <w:rFonts w:asciiTheme="majorBidi" w:hAnsiTheme="majorBidi" w:cstheme="majorBidi"/>
          <w:szCs w:val="21"/>
          <w:lang w:val="en-GB"/>
        </w:rPr>
        <w:t>分段涉及能够确定根据数量有限的国家惯例拟订的条约规则将一项被接受为法律</w:t>
      </w:r>
      <w:r w:rsidRPr="00BF42B7">
        <w:rPr>
          <w:rFonts w:asciiTheme="majorBidi" w:hAnsiTheme="majorBidi" w:cstheme="majorBidi"/>
          <w:szCs w:val="21"/>
          <w:lang w:val="en-GB"/>
        </w:rPr>
        <w:t>(</w:t>
      </w:r>
      <w:r w:rsidRPr="00BF42B7">
        <w:rPr>
          <w:rFonts w:asciiTheme="majorBidi" w:hAnsiTheme="majorBidi" w:cstheme="majorBidi"/>
          <w:szCs w:val="21"/>
          <w:lang w:val="en-GB"/>
        </w:rPr>
        <w:t>伴有</w:t>
      </w:r>
      <w:r w:rsidRPr="00BF42B7">
        <w:rPr>
          <w:rFonts w:asciiTheme="majorBidi" w:hAnsiTheme="majorBidi" w:cstheme="majorBidi"/>
          <w:iCs/>
          <w:szCs w:val="21"/>
          <w:lang w:val="en-GB"/>
        </w:rPr>
        <w:t>法律确信</w:t>
      </w:r>
      <w:r w:rsidRPr="00BF42B7">
        <w:rPr>
          <w:rFonts w:asciiTheme="majorBidi" w:hAnsiTheme="majorBidi" w:cstheme="majorBidi"/>
          <w:szCs w:val="21"/>
          <w:lang w:val="en-GB"/>
        </w:rPr>
        <w:t>)</w:t>
      </w:r>
      <w:r w:rsidRPr="00BF42B7">
        <w:rPr>
          <w:rFonts w:asciiTheme="majorBidi" w:hAnsiTheme="majorBidi" w:cstheme="majorBidi"/>
          <w:szCs w:val="21"/>
          <w:lang w:val="en-GB"/>
        </w:rPr>
        <w:t>的一般惯例具体化的情况。换言之，该条约规则巩固了一项在条约起草时刚刚开始出现的习惯国际法规则，并给予其进一步的定义，因此之后开始反映这项规则。</w:t>
      </w:r>
      <w:r w:rsidRPr="00BF42B7">
        <w:rPr>
          <w:rFonts w:cstheme="majorBidi"/>
          <w:color w:val="0000FF"/>
          <w:szCs w:val="21"/>
          <w:vertAlign w:val="superscript"/>
          <w:lang w:val="en-GB"/>
        </w:rPr>
        <w:footnoteReference w:id="332"/>
      </w:r>
      <w:r w:rsidRPr="00BF42B7">
        <w:rPr>
          <w:rFonts w:cstheme="majorBidi"/>
          <w:color w:val="0000FF"/>
          <w:szCs w:val="21"/>
          <w:vertAlign w:val="superscript"/>
          <w:lang w:val="en-GB"/>
        </w:rPr>
        <w:t xml:space="preserve"> </w:t>
      </w:r>
      <w:r w:rsidRPr="00BF42B7">
        <w:rPr>
          <w:rFonts w:asciiTheme="majorBidi" w:hAnsiTheme="majorBidi" w:cstheme="majorBidi"/>
          <w:szCs w:val="21"/>
          <w:lang w:val="en-GB"/>
        </w:rPr>
        <w:t>在此，确定情况确实如此也需要评估条约表述是否被接受为法律，并确实得到一般惯例的支持。</w:t>
      </w:r>
      <w:r w:rsidRPr="00BF42B7">
        <w:rPr>
          <w:rFonts w:cstheme="majorBidi"/>
          <w:color w:val="0000FF"/>
          <w:szCs w:val="21"/>
          <w:vertAlign w:val="superscript"/>
          <w:lang w:val="en-GB"/>
        </w:rPr>
        <w:footnoteReference w:id="333"/>
      </w:r>
    </w:p>
    <w:p w:rsidR="008D7906" w:rsidRPr="00BF42B7" w:rsidRDefault="008D7906" w:rsidP="008D7906">
      <w:pPr>
        <w:pStyle w:val="SingleTxtGC"/>
        <w:rPr>
          <w:rFonts w:asciiTheme="majorBidi" w:hAnsiTheme="majorBidi" w:cstheme="majorBidi"/>
          <w:szCs w:val="21"/>
          <w:lang w:val="en-GB"/>
        </w:rPr>
      </w:pPr>
      <w:r w:rsidRPr="00BF42B7">
        <w:rPr>
          <w:rFonts w:asciiTheme="majorBidi" w:hAnsiTheme="majorBidi" w:cstheme="majorBidi"/>
          <w:szCs w:val="21"/>
          <w:lang w:val="en-GB"/>
        </w:rPr>
        <w:t>(7)  (c)</w:t>
      </w:r>
      <w:r w:rsidRPr="00BF42B7">
        <w:rPr>
          <w:rFonts w:asciiTheme="majorBidi" w:hAnsiTheme="majorBidi" w:cstheme="majorBidi"/>
          <w:szCs w:val="21"/>
          <w:lang w:val="en-GB"/>
        </w:rPr>
        <w:t>分段涉及能够确定条约中提出的规则产生了一项新的习惯国际法规则的情况。</w:t>
      </w:r>
      <w:r w:rsidRPr="00BF42B7">
        <w:rPr>
          <w:rFonts w:cstheme="majorBidi"/>
          <w:color w:val="0000FF"/>
          <w:szCs w:val="21"/>
          <w:vertAlign w:val="superscript"/>
          <w:lang w:val="en-GB"/>
        </w:rPr>
        <w:footnoteReference w:id="334"/>
      </w:r>
      <w:r w:rsidRPr="00BF42B7">
        <w:rPr>
          <w:rFonts w:cstheme="majorBidi"/>
          <w:color w:val="0000FF"/>
          <w:szCs w:val="21"/>
          <w:vertAlign w:val="superscript"/>
          <w:lang w:val="en-GB"/>
        </w:rPr>
        <w:t xml:space="preserve"> </w:t>
      </w:r>
      <w:r w:rsidRPr="00BF42B7">
        <w:rPr>
          <w:rFonts w:asciiTheme="majorBidi" w:hAnsiTheme="majorBidi" w:cstheme="majorBidi"/>
          <w:szCs w:val="21"/>
          <w:lang w:val="en-GB"/>
        </w:rPr>
        <w:t>这一过程不能轻率地视为已经发生。正如国际法院在</w:t>
      </w:r>
      <w:r w:rsidRPr="00BF42B7">
        <w:rPr>
          <w:rFonts w:asciiTheme="majorBidi" w:eastAsia="楷体" w:hAnsiTheme="majorBidi" w:cstheme="majorBidi"/>
          <w:szCs w:val="21"/>
          <w:lang w:val="en-GB"/>
        </w:rPr>
        <w:t>北海</w:t>
      </w:r>
      <w:r w:rsidRPr="00BF42B7">
        <w:rPr>
          <w:rFonts w:asciiTheme="majorBidi" w:eastAsia="楷体" w:hAnsiTheme="majorBidi" w:cstheme="majorBidi"/>
          <w:iCs/>
          <w:szCs w:val="21"/>
          <w:lang w:val="en-GB"/>
        </w:rPr>
        <w:t>大陆架案</w:t>
      </w:r>
      <w:r w:rsidRPr="00BF42B7">
        <w:rPr>
          <w:rFonts w:asciiTheme="majorBidi" w:hAnsiTheme="majorBidi" w:cstheme="majorBidi"/>
          <w:iCs/>
          <w:szCs w:val="21"/>
          <w:lang w:val="en-GB"/>
        </w:rPr>
        <w:t>中所解释的那样，要确定条约中提出的规则产生了习惯国际法规则已经形成的效果：</w:t>
      </w:r>
    </w:p>
    <w:p w:rsidR="008D7906" w:rsidRPr="00BF42B7" w:rsidRDefault="008D7906" w:rsidP="008D7906">
      <w:pPr>
        <w:pStyle w:val="SingleTxtGC"/>
        <w:ind w:left="1565"/>
        <w:rPr>
          <w:lang w:val="en-GB"/>
        </w:rPr>
      </w:pPr>
      <w:r w:rsidRPr="00BF42B7">
        <w:rPr>
          <w:rFonts w:hint="eastAsia"/>
          <w:lang w:val="en-GB"/>
        </w:rPr>
        <w:t>“</w:t>
      </w:r>
      <w:r w:rsidRPr="00BF42B7">
        <w:rPr>
          <w:lang w:val="en-GB"/>
        </w:rPr>
        <w:t>其必要前提是，相关规定应在任何潜在情况下均具备根本的规范制订性质，能被视为构成一般法律规则的基础；</w:t>
      </w:r>
      <w:r w:rsidRPr="00BF42B7">
        <w:rPr>
          <w:rFonts w:hint="eastAsia"/>
          <w:lang w:val="fr-CH"/>
        </w:rPr>
        <w:t>……</w:t>
      </w:r>
      <w:r w:rsidRPr="00BF42B7">
        <w:rPr>
          <w:lang w:val="en-GB"/>
        </w:rPr>
        <w:t>[</w:t>
      </w:r>
      <w:r w:rsidRPr="00BF42B7">
        <w:rPr>
          <w:lang w:val="en-GB"/>
        </w:rPr>
        <w:t>下</w:t>
      </w:r>
      <w:r w:rsidRPr="00BF42B7">
        <w:rPr>
          <w:lang w:val="en-GB"/>
        </w:rPr>
        <w:t>]</w:t>
      </w:r>
      <w:r w:rsidRPr="00BF42B7">
        <w:rPr>
          <w:lang w:val="en-GB"/>
        </w:rPr>
        <w:t>一个不可或缺的条件是，即便所涉及的期间非常短暂，国家实践，包括那些利益特别受到影响的国家的实践，应与所援引的规定一样，是广泛的且基本上统一的，而且其发生方式也表明，所涉法律规则或法律义务得到普遍承认。</w:t>
      </w:r>
      <w:r w:rsidRPr="00BF42B7">
        <w:rPr>
          <w:rFonts w:hint="eastAsia"/>
          <w:lang w:val="en-GB"/>
        </w:rPr>
        <w:t>”</w:t>
      </w:r>
      <w:r w:rsidRPr="00BF42B7">
        <w:rPr>
          <w:color w:val="0000FF"/>
          <w:vertAlign w:val="superscript"/>
          <w:lang w:val="en-GB"/>
        </w:rPr>
        <w:footnoteReference w:id="335"/>
      </w:r>
    </w:p>
    <w:p w:rsidR="008D7906" w:rsidRPr="00BF42B7" w:rsidRDefault="008D7906" w:rsidP="008D7906">
      <w:pPr>
        <w:pStyle w:val="SingleTxtGC"/>
        <w:rPr>
          <w:lang w:val="en-GB"/>
        </w:rPr>
      </w:pPr>
      <w:r w:rsidRPr="00BF42B7">
        <w:rPr>
          <w:lang w:val="en-GB"/>
        </w:rPr>
        <w:t>换言之，</w:t>
      </w:r>
      <w:r w:rsidRPr="00BF42B7">
        <w:rPr>
          <w:rFonts w:hint="eastAsia"/>
          <w:lang w:val="en-GB"/>
        </w:rPr>
        <w:t>“</w:t>
      </w:r>
      <w:r w:rsidRPr="00BF42B7">
        <w:rPr>
          <w:lang w:val="en-GB"/>
        </w:rPr>
        <w:t>就所援引的条款而言</w:t>
      </w:r>
      <w:r w:rsidRPr="00BF42B7">
        <w:rPr>
          <w:rFonts w:hint="eastAsia"/>
          <w:lang w:val="en-GB"/>
        </w:rPr>
        <w:t>”</w:t>
      </w:r>
      <w:r w:rsidRPr="00BF42B7">
        <w:rPr>
          <w:lang w:val="en-GB"/>
        </w:rPr>
        <w:t>被接受为法律</w:t>
      </w:r>
      <w:r w:rsidRPr="00BF42B7">
        <w:rPr>
          <w:lang w:val="en-GB"/>
        </w:rPr>
        <w:t>(</w:t>
      </w:r>
      <w:r w:rsidRPr="00BF42B7">
        <w:rPr>
          <w:lang w:val="en-GB"/>
        </w:rPr>
        <w:t>伴有</w:t>
      </w:r>
      <w:r w:rsidRPr="00BF42B7">
        <w:rPr>
          <w:iCs/>
          <w:lang w:val="en-GB"/>
        </w:rPr>
        <w:t>法律确信</w:t>
      </w:r>
      <w:r w:rsidRPr="00BF42B7">
        <w:rPr>
          <w:lang w:val="en-GB"/>
        </w:rPr>
        <w:t>)</w:t>
      </w:r>
      <w:r w:rsidRPr="00BF42B7">
        <w:rPr>
          <w:lang w:val="en-GB"/>
        </w:rPr>
        <w:t>的一般规则必须得到遵守。鉴于条约缔约方之间的一致行为可以假定为源于条约义务，而不是接受所涉规则根据习惯国际法具有的约束力，此类缔约方与非条约缔约方有关的惯例，以及非缔约方与缔约方有关或非缔约方之间的惯例，都将具有特别的价值。</w:t>
      </w:r>
    </w:p>
    <w:p w:rsidR="008D7906" w:rsidRPr="00BF42B7" w:rsidRDefault="008D7906" w:rsidP="008D7906">
      <w:pPr>
        <w:pStyle w:val="SingleTxtGC"/>
        <w:rPr>
          <w:rFonts w:asciiTheme="majorBidi" w:hAnsiTheme="majorBidi" w:cstheme="majorBidi"/>
          <w:szCs w:val="21"/>
          <w:lang w:val="en-GB"/>
        </w:rPr>
      </w:pPr>
      <w:r w:rsidRPr="00BF42B7">
        <w:rPr>
          <w:rFonts w:asciiTheme="majorBidi" w:hAnsiTheme="majorBidi" w:cstheme="majorBidi"/>
          <w:szCs w:val="21"/>
          <w:lang w:val="en-GB"/>
        </w:rPr>
        <w:t xml:space="preserve">(8)  </w:t>
      </w:r>
      <w:r w:rsidRPr="00BF42B7">
        <w:rPr>
          <w:rFonts w:asciiTheme="majorBidi" w:hAnsiTheme="majorBidi" w:cstheme="majorBidi"/>
          <w:szCs w:val="21"/>
          <w:lang w:val="en-GB"/>
        </w:rPr>
        <w:t>第</w:t>
      </w:r>
      <w:r w:rsidRPr="00BF42B7">
        <w:rPr>
          <w:rFonts w:asciiTheme="majorBidi" w:hAnsiTheme="majorBidi" w:cstheme="majorBidi"/>
          <w:szCs w:val="21"/>
          <w:lang w:val="en-GB"/>
        </w:rPr>
        <w:t>2</w:t>
      </w:r>
      <w:r w:rsidRPr="00BF42B7">
        <w:rPr>
          <w:rFonts w:asciiTheme="majorBidi" w:hAnsiTheme="majorBidi" w:cstheme="majorBidi"/>
          <w:szCs w:val="21"/>
          <w:lang w:val="en-GB"/>
        </w:rPr>
        <w:t>段试图提醒，在许多双边或其他条约中存在类似的条款，从而为范围广泛的国家确定了类似的权利和义务，但并不一定表明这些条款反映了一项习惯国际法规则。虽然这种重复确实可能证明存在相应的习惯国际法规则</w:t>
      </w:r>
      <w:r w:rsidRPr="00BF42B7">
        <w:rPr>
          <w:rFonts w:asciiTheme="majorBidi" w:hAnsiTheme="majorBidi" w:cstheme="majorBidi"/>
          <w:szCs w:val="21"/>
          <w:lang w:val="en-GB"/>
        </w:rPr>
        <w:t>(</w:t>
      </w:r>
      <w:r w:rsidRPr="00BF42B7">
        <w:rPr>
          <w:rFonts w:asciiTheme="majorBidi" w:hAnsiTheme="majorBidi" w:cstheme="majorBidi"/>
          <w:szCs w:val="21"/>
          <w:lang w:val="en-GB"/>
        </w:rPr>
        <w:t>或形成了这样一项规则</w:t>
      </w:r>
      <w:r w:rsidRPr="00BF42B7">
        <w:rPr>
          <w:rFonts w:asciiTheme="majorBidi" w:hAnsiTheme="majorBidi" w:cstheme="majorBidi"/>
          <w:szCs w:val="21"/>
          <w:lang w:val="en-GB"/>
        </w:rPr>
        <w:t>)</w:t>
      </w:r>
      <w:r w:rsidRPr="00BF42B7">
        <w:rPr>
          <w:rFonts w:asciiTheme="majorBidi" w:hAnsiTheme="majorBidi" w:cstheme="majorBidi"/>
          <w:szCs w:val="21"/>
          <w:lang w:val="en-GB"/>
        </w:rPr>
        <w:t>，这</w:t>
      </w:r>
      <w:r w:rsidRPr="00BF42B7">
        <w:rPr>
          <w:rFonts w:asciiTheme="majorBidi" w:hAnsiTheme="majorBidi" w:cstheme="majorBidi" w:hint="eastAsia"/>
          <w:szCs w:val="21"/>
          <w:lang w:val="en-GB"/>
        </w:rPr>
        <w:t>“</w:t>
      </w:r>
      <w:r w:rsidRPr="00BF42B7">
        <w:rPr>
          <w:rFonts w:asciiTheme="majorBidi" w:hAnsiTheme="majorBidi" w:cstheme="majorBidi"/>
          <w:szCs w:val="21"/>
          <w:lang w:val="en-GB"/>
        </w:rPr>
        <w:t>同样可以证明事实正好相反</w:t>
      </w:r>
      <w:r w:rsidRPr="00BF42B7">
        <w:rPr>
          <w:rFonts w:asciiTheme="majorBidi" w:hAnsiTheme="majorBidi" w:cstheme="majorBidi" w:hint="eastAsia"/>
          <w:szCs w:val="21"/>
          <w:lang w:val="en-GB"/>
        </w:rPr>
        <w:t>”</w:t>
      </w:r>
      <w:r w:rsidRPr="00BF42B7">
        <w:rPr>
          <w:rFonts w:asciiTheme="majorBidi" w:hAnsiTheme="majorBidi" w:cstheme="majorBidi"/>
          <w:szCs w:val="21"/>
          <w:lang w:val="en-GB"/>
        </w:rPr>
        <w:t>，因为各国缔结条约是由于不存在任何规则，或是为了减损规则。</w:t>
      </w:r>
      <w:r w:rsidRPr="00BF42B7">
        <w:rPr>
          <w:rFonts w:cstheme="majorBidi"/>
          <w:color w:val="0000FF"/>
          <w:szCs w:val="21"/>
          <w:vertAlign w:val="superscript"/>
          <w:lang w:val="en-GB"/>
        </w:rPr>
        <w:footnoteReference w:id="336"/>
      </w:r>
      <w:r w:rsidRPr="00BF42B7">
        <w:rPr>
          <w:rFonts w:cstheme="majorBidi"/>
          <w:color w:val="0000FF"/>
          <w:szCs w:val="21"/>
          <w:vertAlign w:val="superscript"/>
          <w:lang w:val="en-GB"/>
        </w:rPr>
        <w:t xml:space="preserve"> </w:t>
      </w:r>
      <w:r w:rsidRPr="00BF42B7">
        <w:rPr>
          <w:rFonts w:asciiTheme="majorBidi" w:hAnsiTheme="majorBidi" w:cstheme="majorBidi"/>
          <w:szCs w:val="21"/>
          <w:lang w:val="en-GB"/>
        </w:rPr>
        <w:t>同样，需要调查是否存在某种被接受为法律</w:t>
      </w:r>
      <w:r w:rsidRPr="00BF42B7">
        <w:rPr>
          <w:rFonts w:asciiTheme="majorBidi" w:hAnsiTheme="majorBidi" w:cstheme="majorBidi"/>
          <w:szCs w:val="21"/>
          <w:lang w:val="en-GB"/>
        </w:rPr>
        <w:t>(</w:t>
      </w:r>
      <w:r w:rsidRPr="00BF42B7">
        <w:rPr>
          <w:rFonts w:asciiTheme="majorBidi" w:hAnsiTheme="majorBidi" w:cstheme="majorBidi"/>
          <w:szCs w:val="21"/>
          <w:lang w:val="en-GB"/>
        </w:rPr>
        <w:t>伴有</w:t>
      </w:r>
      <w:r w:rsidRPr="00BF42B7">
        <w:rPr>
          <w:rFonts w:asciiTheme="majorBidi" w:hAnsiTheme="majorBidi" w:cstheme="majorBidi"/>
          <w:iCs/>
          <w:szCs w:val="21"/>
          <w:lang w:val="en-GB"/>
        </w:rPr>
        <w:t>法律确信</w:t>
      </w:r>
      <w:r w:rsidRPr="00BF42B7">
        <w:rPr>
          <w:rFonts w:asciiTheme="majorBidi" w:hAnsiTheme="majorBidi" w:cstheme="majorBidi"/>
          <w:szCs w:val="21"/>
          <w:lang w:val="en-GB"/>
        </w:rPr>
        <w:t>)</w:t>
      </w:r>
      <w:r w:rsidRPr="00BF42B7">
        <w:rPr>
          <w:rFonts w:asciiTheme="majorBidi" w:hAnsiTheme="majorBidi" w:cstheme="majorBidi"/>
          <w:szCs w:val="21"/>
          <w:lang w:val="en-GB"/>
        </w:rPr>
        <w:t>的惯例实例来支持书面规则。</w:t>
      </w:r>
    </w:p>
    <w:p w:rsidR="008D7906" w:rsidRPr="00BF42B7" w:rsidRDefault="008D7906" w:rsidP="008D7906">
      <w:pPr>
        <w:pStyle w:val="H23GC"/>
        <w:ind w:left="1565"/>
        <w:rPr>
          <w:lang w:val="en-GB"/>
        </w:rPr>
      </w:pPr>
      <w:r w:rsidRPr="00BF42B7">
        <w:rPr>
          <w:rFonts w:hint="eastAsia"/>
          <w:lang w:val="en-GB"/>
        </w:rPr>
        <w:tab/>
      </w:r>
      <w:r w:rsidRPr="00BF42B7">
        <w:rPr>
          <w:rFonts w:hint="eastAsia"/>
          <w:lang w:val="en-GB"/>
        </w:rPr>
        <w:tab/>
      </w:r>
      <w:r w:rsidRPr="00BF42B7">
        <w:rPr>
          <w:lang w:val="en-GB"/>
        </w:rPr>
        <w:t>结论</w:t>
      </w:r>
      <w:bookmarkStart w:id="82" w:name="DC12"/>
      <w:r w:rsidRPr="00BF42B7">
        <w:rPr>
          <w:lang w:val="en-GB"/>
        </w:rPr>
        <w:t>12</w:t>
      </w:r>
      <w:bookmarkEnd w:id="82"/>
      <w:r w:rsidRPr="00BF42B7">
        <w:rPr>
          <w:lang w:val="en-GB"/>
        </w:rPr>
        <w:br/>
      </w:r>
      <w:r w:rsidRPr="00BF42B7">
        <w:t>国际组织和政府间会议的决议</w:t>
      </w:r>
    </w:p>
    <w:p w:rsidR="008D7906" w:rsidRPr="00BF42B7" w:rsidRDefault="008D7906" w:rsidP="008D7906">
      <w:pPr>
        <w:pStyle w:val="SingleTxtGC"/>
        <w:ind w:left="1565"/>
        <w:rPr>
          <w:rFonts w:asciiTheme="majorBidi" w:hAnsiTheme="majorBidi" w:cstheme="majorBidi"/>
          <w:szCs w:val="21"/>
          <w:lang w:val="en-GB"/>
        </w:rPr>
      </w:pPr>
      <w:r w:rsidRPr="00BF42B7">
        <w:rPr>
          <w:rFonts w:asciiTheme="majorBidi" w:hAnsiTheme="majorBidi" w:cstheme="majorBidi"/>
          <w:szCs w:val="21"/>
          <w:lang w:val="en-GB"/>
        </w:rPr>
        <w:t xml:space="preserve">1.  </w:t>
      </w:r>
      <w:r w:rsidRPr="00BF42B7">
        <w:rPr>
          <w:rFonts w:asciiTheme="majorBidi" w:hAnsiTheme="majorBidi" w:cstheme="majorBidi"/>
          <w:szCs w:val="21"/>
          <w:lang w:val="en-GB"/>
        </w:rPr>
        <w:t>国际组织通过的或在政府间会议上通过的决议本身并不能创立一项习惯国际法规则。</w:t>
      </w:r>
    </w:p>
    <w:p w:rsidR="008D7906" w:rsidRPr="00BF42B7" w:rsidRDefault="008D7906" w:rsidP="008D7906">
      <w:pPr>
        <w:pStyle w:val="SingleTxtGC"/>
        <w:ind w:left="1565"/>
        <w:rPr>
          <w:rFonts w:asciiTheme="majorBidi" w:hAnsiTheme="majorBidi" w:cstheme="majorBidi"/>
          <w:szCs w:val="21"/>
          <w:lang w:val="en-GB"/>
        </w:rPr>
      </w:pPr>
      <w:r w:rsidRPr="00BF42B7">
        <w:rPr>
          <w:rFonts w:asciiTheme="majorBidi" w:hAnsiTheme="majorBidi" w:cstheme="majorBidi"/>
          <w:szCs w:val="21"/>
          <w:lang w:val="en-GB"/>
        </w:rPr>
        <w:t xml:space="preserve">2.  </w:t>
      </w:r>
      <w:r w:rsidRPr="00BF42B7">
        <w:rPr>
          <w:rFonts w:asciiTheme="majorBidi" w:hAnsiTheme="majorBidi" w:cstheme="majorBidi"/>
          <w:szCs w:val="21"/>
          <w:lang w:val="en-GB"/>
        </w:rPr>
        <w:t>国际组织通过的或在政府间会议上通过的决议可为确定一项习惯国际法规则的存在及内容提供证据，或促进其发展。</w:t>
      </w:r>
    </w:p>
    <w:p w:rsidR="008D7906" w:rsidRPr="00BF42B7" w:rsidRDefault="008D7906" w:rsidP="008D7906">
      <w:pPr>
        <w:pStyle w:val="SingleTxtGC"/>
        <w:ind w:left="1565"/>
        <w:rPr>
          <w:rFonts w:asciiTheme="majorBidi" w:hAnsiTheme="majorBidi" w:cstheme="majorBidi"/>
          <w:szCs w:val="21"/>
          <w:lang w:val="en-GB"/>
        </w:rPr>
      </w:pPr>
      <w:r w:rsidRPr="00BF42B7">
        <w:rPr>
          <w:rFonts w:asciiTheme="majorBidi" w:hAnsiTheme="majorBidi" w:cstheme="majorBidi"/>
          <w:szCs w:val="21"/>
          <w:lang w:val="en-GB"/>
        </w:rPr>
        <w:t xml:space="preserve">3.  </w:t>
      </w:r>
      <w:r w:rsidRPr="00BF42B7">
        <w:rPr>
          <w:rFonts w:asciiTheme="majorBidi" w:hAnsiTheme="majorBidi" w:cstheme="majorBidi"/>
          <w:szCs w:val="21"/>
          <w:lang w:val="en-GB"/>
        </w:rPr>
        <w:t>如果能够确定国际组织通过的或在政府间会议上通过的决议中的某项规定与一项被接受为法律</w:t>
      </w:r>
      <w:r w:rsidRPr="00BF42B7">
        <w:rPr>
          <w:rFonts w:asciiTheme="majorBidi" w:hAnsiTheme="majorBidi" w:cstheme="majorBidi"/>
          <w:szCs w:val="21"/>
          <w:lang w:val="en-GB"/>
        </w:rPr>
        <w:t>(</w:t>
      </w:r>
      <w:r w:rsidRPr="00BF42B7">
        <w:rPr>
          <w:rFonts w:asciiTheme="majorBidi" w:hAnsiTheme="majorBidi" w:cstheme="majorBidi"/>
          <w:szCs w:val="21"/>
          <w:lang w:val="en-GB"/>
        </w:rPr>
        <w:t>法律确信</w:t>
      </w:r>
      <w:r w:rsidRPr="00BF42B7">
        <w:rPr>
          <w:rFonts w:asciiTheme="majorBidi" w:hAnsiTheme="majorBidi" w:cstheme="majorBidi"/>
          <w:szCs w:val="21"/>
          <w:lang w:val="en-GB"/>
        </w:rPr>
        <w:t>)</w:t>
      </w:r>
      <w:r w:rsidRPr="00BF42B7">
        <w:rPr>
          <w:rFonts w:asciiTheme="majorBidi" w:hAnsiTheme="majorBidi" w:cstheme="majorBidi"/>
          <w:szCs w:val="21"/>
          <w:lang w:val="en-GB"/>
        </w:rPr>
        <w:t>的一般惯例相一致，则该规定可反映一项习惯国际法规则。</w:t>
      </w:r>
    </w:p>
    <w:p w:rsidR="008D7906" w:rsidRPr="00BF42B7" w:rsidRDefault="008D7906" w:rsidP="008D7906">
      <w:pPr>
        <w:pStyle w:val="H23GC"/>
        <w:rPr>
          <w:lang w:val="en-GB"/>
        </w:rPr>
      </w:pPr>
      <w:r w:rsidRPr="00BF42B7">
        <w:rPr>
          <w:rFonts w:hint="eastAsia"/>
          <w:lang w:val="en-GB"/>
        </w:rPr>
        <w:tab/>
      </w:r>
      <w:r w:rsidRPr="00BF42B7">
        <w:rPr>
          <w:rFonts w:hint="eastAsia"/>
          <w:lang w:val="en-GB"/>
        </w:rPr>
        <w:tab/>
      </w:r>
      <w:r w:rsidRPr="00BF42B7">
        <w:rPr>
          <w:lang w:val="en-GB"/>
        </w:rPr>
        <w:t>评注</w:t>
      </w:r>
    </w:p>
    <w:p w:rsidR="008D7906" w:rsidRPr="00BF42B7" w:rsidRDefault="008D7906" w:rsidP="009B5A10">
      <w:pPr>
        <w:pStyle w:val="SingleTxtGC"/>
        <w:rPr>
          <w:lang w:val="en-GB"/>
        </w:rPr>
      </w:pPr>
      <w:r w:rsidRPr="00BF42B7">
        <w:rPr>
          <w:lang w:val="en-GB"/>
        </w:rPr>
        <w:t xml:space="preserve">(1)  </w:t>
      </w:r>
      <w:r w:rsidRPr="00BF42B7">
        <w:rPr>
          <w:lang w:val="en-GB"/>
        </w:rPr>
        <w:t>结论草案</w:t>
      </w:r>
      <w:r w:rsidR="009B5A10">
        <w:rPr>
          <w:rFonts w:hint="eastAsia"/>
          <w:lang w:val="en-GB"/>
        </w:rPr>
        <w:t>12</w:t>
      </w:r>
      <w:r w:rsidRPr="00BF42B7">
        <w:rPr>
          <w:lang w:val="en-GB"/>
        </w:rPr>
        <w:t>涉及国际组织通过的或在政府间会议上通过的决议在确定习惯国际法规则方面扮演的角色。该条规定，尽管这类决议本身既不构成习惯国际法规则，也不能作为习惯国际法规则存在及其内容的确凿证据，但它们有时在提供现有或正在形成的法律的证据方面有其价值。</w:t>
      </w:r>
      <w:r w:rsidRPr="00BF42B7">
        <w:rPr>
          <w:color w:val="0000FF"/>
          <w:vertAlign w:val="superscript"/>
          <w:lang w:val="en-GB"/>
        </w:rPr>
        <w:footnoteReference w:id="337"/>
      </w:r>
    </w:p>
    <w:p w:rsidR="008D7906" w:rsidRPr="00BF42B7" w:rsidRDefault="008D7906" w:rsidP="008D7906">
      <w:pPr>
        <w:pStyle w:val="SingleTxtGC"/>
        <w:rPr>
          <w:lang w:val="en-GB"/>
        </w:rPr>
      </w:pPr>
      <w:r w:rsidRPr="00BF42B7">
        <w:rPr>
          <w:lang w:val="en-GB"/>
        </w:rPr>
        <w:t xml:space="preserve">(2)  </w:t>
      </w:r>
      <w:r w:rsidRPr="00BF42B7">
        <w:rPr>
          <w:lang w:val="en-GB"/>
        </w:rPr>
        <w:t>与结论草案</w:t>
      </w:r>
      <w:r w:rsidRPr="00BF42B7">
        <w:rPr>
          <w:lang w:val="en-GB"/>
        </w:rPr>
        <w:t>6</w:t>
      </w:r>
      <w:r w:rsidRPr="00BF42B7">
        <w:rPr>
          <w:lang w:val="en-GB"/>
        </w:rPr>
        <w:t>中一样，</w:t>
      </w:r>
      <w:r w:rsidRPr="00BF42B7">
        <w:rPr>
          <w:rFonts w:hint="eastAsia"/>
          <w:lang w:val="en-GB"/>
        </w:rPr>
        <w:t>“</w:t>
      </w:r>
      <w:r w:rsidRPr="00BF42B7">
        <w:rPr>
          <w:lang w:val="en-GB"/>
        </w:rPr>
        <w:t>决议</w:t>
      </w:r>
      <w:r w:rsidRPr="00BF42B7">
        <w:rPr>
          <w:rFonts w:hint="eastAsia"/>
          <w:lang w:val="en-GB"/>
        </w:rPr>
        <w:t>”</w:t>
      </w:r>
      <w:r w:rsidRPr="00BF42B7">
        <w:rPr>
          <w:lang w:val="en-GB"/>
        </w:rPr>
        <w:t>一词指国际组织或政府间会议通过的所有决议、决定和其他文件，而无论其名称如何，</w:t>
      </w:r>
      <w:r w:rsidRPr="00BF42B7">
        <w:rPr>
          <w:color w:val="0000FF"/>
          <w:vertAlign w:val="superscript"/>
          <w:lang w:val="en-GB"/>
        </w:rPr>
        <w:footnoteReference w:id="338"/>
      </w:r>
      <w:r w:rsidRPr="00BF42B7">
        <w:rPr>
          <w:color w:val="0000FF"/>
          <w:vertAlign w:val="superscript"/>
          <w:lang w:val="en-GB"/>
        </w:rPr>
        <w:t xml:space="preserve"> </w:t>
      </w:r>
      <w:r w:rsidRPr="00BF42B7">
        <w:rPr>
          <w:lang w:val="en-GB"/>
        </w:rPr>
        <w:t>也无论它们是否具有法律约束力。在此，对于大会的决议给予特别关注，因为大会是一个几乎获得普遍参与的全体机构，可提供一种方便的途径来审查其会员的集体意见。成员较为有限的机构或会议通过的决议也可具有相关性，尽管它们在识别一般习惯国际法规则方面的重要性可能略低。</w:t>
      </w:r>
    </w:p>
    <w:p w:rsidR="008D7906" w:rsidRPr="00BF42B7" w:rsidRDefault="008D7906" w:rsidP="009B5A10">
      <w:pPr>
        <w:pStyle w:val="SingleTxtGC"/>
        <w:rPr>
          <w:lang w:val="en-GB"/>
        </w:rPr>
      </w:pPr>
      <w:r w:rsidRPr="00BF42B7">
        <w:rPr>
          <w:lang w:val="en-GB"/>
        </w:rPr>
        <w:t xml:space="preserve">(3)  </w:t>
      </w:r>
      <w:r w:rsidRPr="00BF42B7">
        <w:rPr>
          <w:lang w:val="en-GB"/>
        </w:rPr>
        <w:t>尽管国际组织各机构的决议是这些机构的行为，在本结论草案的范围内，重要的是它们可反映这类机构成员国意见的集体表达：当它们意在</w:t>
      </w:r>
      <w:r w:rsidRPr="00BF42B7">
        <w:rPr>
          <w:lang w:val="en-GB"/>
        </w:rPr>
        <w:t>(</w:t>
      </w:r>
      <w:r w:rsidRPr="00BF42B7">
        <w:rPr>
          <w:lang w:val="en-GB"/>
        </w:rPr>
        <w:t>明示或暗示</w:t>
      </w:r>
      <w:r w:rsidRPr="00BF42B7">
        <w:rPr>
          <w:lang w:val="en-GB"/>
        </w:rPr>
        <w:t>)</w:t>
      </w:r>
      <w:r w:rsidRPr="00BF42B7">
        <w:rPr>
          <w:lang w:val="en-GB"/>
        </w:rPr>
        <w:t>处理法律问题时，它们可有助于了解其成员在这类问题上的态度。结论草案</w:t>
      </w:r>
      <w:r w:rsidR="009B5A10">
        <w:rPr>
          <w:rFonts w:hint="eastAsia"/>
          <w:lang w:val="en-GB"/>
        </w:rPr>
        <w:t>11</w:t>
      </w:r>
      <w:r w:rsidRPr="00BF42B7">
        <w:rPr>
          <w:lang w:val="en-GB"/>
        </w:rPr>
        <w:t>中对条约的大部分说明都适用于决议；但是，与条约不同，决议通常不是具有法律约束力的文件，在大多数情况下没有试图体现法律权利和义务，并且一般得到的法律审查要比拟议的条约案文少得多。和条约一样，决议不可以替代确定是否确实存在被接受为法律</w:t>
      </w:r>
      <w:r w:rsidRPr="00BF42B7">
        <w:rPr>
          <w:lang w:val="en-GB"/>
        </w:rPr>
        <w:t>(</w:t>
      </w:r>
      <w:r w:rsidRPr="00BF42B7">
        <w:rPr>
          <w:lang w:val="en-GB"/>
        </w:rPr>
        <w:t>伴有</w:t>
      </w:r>
      <w:r w:rsidRPr="00BF42B7">
        <w:rPr>
          <w:iCs/>
          <w:lang w:val="en-GB"/>
        </w:rPr>
        <w:t>法律确信</w:t>
      </w:r>
      <w:r w:rsidRPr="00BF42B7">
        <w:rPr>
          <w:lang w:val="en-GB"/>
        </w:rPr>
        <w:t>)</w:t>
      </w:r>
      <w:r w:rsidRPr="00BF42B7">
        <w:rPr>
          <w:lang w:val="en-GB"/>
        </w:rPr>
        <w:t>的一般惯例的工作。</w:t>
      </w:r>
    </w:p>
    <w:p w:rsidR="008D7906" w:rsidRPr="00BF42B7" w:rsidRDefault="008D7906" w:rsidP="008D7906">
      <w:pPr>
        <w:pStyle w:val="SingleTxtGC"/>
        <w:rPr>
          <w:rFonts w:asciiTheme="majorBidi" w:hAnsiTheme="majorBidi" w:cstheme="majorBidi"/>
          <w:szCs w:val="21"/>
          <w:lang w:val="en-GB"/>
        </w:rPr>
      </w:pPr>
      <w:r w:rsidRPr="00BF42B7">
        <w:rPr>
          <w:rFonts w:asciiTheme="majorBidi" w:hAnsiTheme="majorBidi" w:cstheme="majorBidi"/>
          <w:szCs w:val="21"/>
          <w:lang w:val="en-GB"/>
        </w:rPr>
        <w:t xml:space="preserve">(4)  </w:t>
      </w:r>
      <w:r w:rsidRPr="00BF42B7">
        <w:rPr>
          <w:rFonts w:asciiTheme="majorBidi" w:hAnsiTheme="majorBidi" w:cstheme="majorBidi"/>
          <w:szCs w:val="21"/>
          <w:lang w:val="en-GB"/>
        </w:rPr>
        <w:t>第</w:t>
      </w:r>
      <w:r w:rsidRPr="00BF42B7">
        <w:rPr>
          <w:rFonts w:asciiTheme="majorBidi" w:hAnsiTheme="majorBidi" w:cstheme="majorBidi"/>
          <w:szCs w:val="21"/>
          <w:lang w:val="en-GB"/>
        </w:rPr>
        <w:t>1</w:t>
      </w:r>
      <w:r w:rsidRPr="00BF42B7">
        <w:rPr>
          <w:rFonts w:asciiTheme="majorBidi" w:hAnsiTheme="majorBidi" w:cstheme="majorBidi"/>
          <w:szCs w:val="21"/>
          <w:lang w:val="en-GB"/>
        </w:rPr>
        <w:t>段明确了国际组织通过的或在政府间会议上通过的决议不可独立构成习惯国际法规则。换言之，意在制订一项习惯国际法规则的一项决议</w:t>
      </w:r>
      <w:r w:rsidRPr="00BF42B7">
        <w:rPr>
          <w:rFonts w:asciiTheme="majorBidi" w:hAnsiTheme="majorBidi" w:cstheme="majorBidi"/>
          <w:szCs w:val="21"/>
          <w:lang w:val="en-GB"/>
        </w:rPr>
        <w:t>(</w:t>
      </w:r>
      <w:r w:rsidRPr="00BF42B7">
        <w:rPr>
          <w:rFonts w:asciiTheme="majorBidi" w:hAnsiTheme="majorBidi" w:cstheme="majorBidi"/>
          <w:szCs w:val="21"/>
          <w:lang w:val="en-GB"/>
        </w:rPr>
        <w:t>或一系列决议</w:t>
      </w:r>
      <w:r w:rsidRPr="00BF42B7">
        <w:rPr>
          <w:rFonts w:asciiTheme="majorBidi" w:hAnsiTheme="majorBidi" w:cstheme="majorBidi"/>
          <w:szCs w:val="21"/>
          <w:lang w:val="en-GB"/>
        </w:rPr>
        <w:t>)</w:t>
      </w:r>
      <w:r w:rsidRPr="00BF42B7">
        <w:rPr>
          <w:rFonts w:asciiTheme="majorBidi" w:hAnsiTheme="majorBidi" w:cstheme="majorBidi"/>
          <w:szCs w:val="21"/>
          <w:lang w:val="en-GB"/>
        </w:rPr>
        <w:t>仅仅获得通过并不能创立这类法律：必须能够确定决议中提出的规则确实与被接受为法律</w:t>
      </w:r>
      <w:r w:rsidRPr="00BF42B7">
        <w:rPr>
          <w:rFonts w:asciiTheme="majorBidi" w:hAnsiTheme="majorBidi" w:cstheme="majorBidi"/>
          <w:szCs w:val="21"/>
          <w:lang w:val="en-GB"/>
        </w:rPr>
        <w:t>(</w:t>
      </w:r>
      <w:r w:rsidRPr="00BF42B7">
        <w:rPr>
          <w:rFonts w:asciiTheme="majorBidi" w:hAnsiTheme="majorBidi" w:cstheme="majorBidi"/>
          <w:szCs w:val="21"/>
          <w:lang w:val="en-GB"/>
        </w:rPr>
        <w:t>伴有</w:t>
      </w:r>
      <w:r w:rsidRPr="00BF42B7">
        <w:rPr>
          <w:rFonts w:asciiTheme="majorBidi" w:hAnsiTheme="majorBidi" w:cstheme="majorBidi"/>
          <w:iCs/>
          <w:szCs w:val="21"/>
          <w:lang w:val="en-GB"/>
        </w:rPr>
        <w:t>法律确信</w:t>
      </w:r>
      <w:r w:rsidRPr="00BF42B7">
        <w:rPr>
          <w:rFonts w:asciiTheme="majorBidi" w:hAnsiTheme="majorBidi" w:cstheme="majorBidi"/>
          <w:szCs w:val="21"/>
          <w:lang w:val="en-GB"/>
        </w:rPr>
        <w:t>)</w:t>
      </w:r>
      <w:r w:rsidRPr="00BF42B7">
        <w:rPr>
          <w:rFonts w:asciiTheme="majorBidi" w:hAnsiTheme="majorBidi" w:cstheme="majorBidi"/>
          <w:szCs w:val="21"/>
          <w:lang w:val="en-GB"/>
        </w:rPr>
        <w:t>的某项一般惯例相一致。这类决议就其本身并不构成</w:t>
      </w:r>
      <w:r w:rsidRPr="00BF42B7">
        <w:rPr>
          <w:rFonts w:asciiTheme="majorBidi" w:hAnsiTheme="majorBidi" w:cstheme="majorBidi" w:hint="eastAsia"/>
          <w:szCs w:val="21"/>
          <w:lang w:val="en-GB"/>
        </w:rPr>
        <w:t>“</w:t>
      </w:r>
      <w:r w:rsidRPr="00BF42B7">
        <w:rPr>
          <w:rFonts w:asciiTheme="majorBidi" w:hAnsiTheme="majorBidi" w:cstheme="majorBidi"/>
          <w:szCs w:val="21"/>
          <w:lang w:val="en-GB"/>
        </w:rPr>
        <w:t>速成习惯</w:t>
      </w:r>
      <w:r w:rsidRPr="00BF42B7">
        <w:rPr>
          <w:rFonts w:asciiTheme="majorBidi" w:hAnsiTheme="majorBidi" w:cstheme="majorBidi" w:hint="eastAsia"/>
          <w:szCs w:val="21"/>
          <w:lang w:val="en-GB"/>
        </w:rPr>
        <w:t>”</w:t>
      </w:r>
      <w:r w:rsidRPr="00BF42B7">
        <w:rPr>
          <w:rFonts w:asciiTheme="majorBidi" w:hAnsiTheme="majorBidi" w:cstheme="majorBidi"/>
          <w:szCs w:val="21"/>
          <w:lang w:val="en-GB"/>
        </w:rPr>
        <w:t>。</w:t>
      </w:r>
    </w:p>
    <w:p w:rsidR="008D7906" w:rsidRPr="00BF42B7" w:rsidRDefault="008D7906" w:rsidP="008D7906">
      <w:pPr>
        <w:pStyle w:val="SingleTxtGC"/>
        <w:rPr>
          <w:lang w:val="en-GB"/>
        </w:rPr>
      </w:pPr>
      <w:r w:rsidRPr="00BF42B7">
        <w:rPr>
          <w:lang w:val="en-GB"/>
        </w:rPr>
        <w:t xml:space="preserve">(5)  </w:t>
      </w:r>
      <w:r w:rsidRPr="00BF42B7">
        <w:rPr>
          <w:lang w:val="en-GB"/>
        </w:rPr>
        <w:t>第</w:t>
      </w:r>
      <w:r w:rsidRPr="00BF42B7">
        <w:rPr>
          <w:lang w:val="en-GB"/>
        </w:rPr>
        <w:t>2</w:t>
      </w:r>
      <w:r w:rsidRPr="00BF42B7">
        <w:rPr>
          <w:lang w:val="en-GB"/>
        </w:rPr>
        <w:t>段首先指出，决议仍可通过提供习惯国际法规则的存在及其内容的证据来协助确定习惯国际法规则。正如国际法院在《</w:t>
      </w:r>
      <w:r w:rsidRPr="00BF42B7">
        <w:rPr>
          <w:rFonts w:eastAsia="楷体"/>
          <w:iCs/>
          <w:lang w:val="en-GB"/>
        </w:rPr>
        <w:t>以核武器进行威胁或使用核武器的合法性</w:t>
      </w:r>
      <w:r w:rsidRPr="00BF42B7">
        <w:rPr>
          <w:lang w:val="en-GB"/>
        </w:rPr>
        <w:t>咨询意见》中所指出的那样，决议</w:t>
      </w:r>
      <w:r w:rsidRPr="00BF42B7">
        <w:rPr>
          <w:rFonts w:hint="eastAsia"/>
          <w:lang w:val="en-GB"/>
        </w:rPr>
        <w:t>“</w:t>
      </w:r>
      <w:r w:rsidRPr="00BF42B7">
        <w:rPr>
          <w:lang w:val="en-GB"/>
        </w:rPr>
        <w:t>纵无约束力</w:t>
      </w:r>
      <w:r w:rsidRPr="00BF42B7">
        <w:rPr>
          <w:rFonts w:hint="eastAsia"/>
          <w:lang w:val="fr-CH"/>
        </w:rPr>
        <w:t>……</w:t>
      </w:r>
      <w:r w:rsidRPr="00BF42B7">
        <w:rPr>
          <w:lang w:val="en-GB"/>
        </w:rPr>
        <w:t>在某些情况下，可以作为重要的证据来确定有一个规则存在或有一种法律确信刚刚出现</w:t>
      </w:r>
      <w:r w:rsidRPr="00BF42B7">
        <w:rPr>
          <w:rFonts w:hint="eastAsia"/>
          <w:lang w:val="en-GB"/>
        </w:rPr>
        <w:t>”</w:t>
      </w:r>
      <w:r w:rsidRPr="00BF42B7">
        <w:rPr>
          <w:lang w:val="en-GB"/>
        </w:rPr>
        <w:t>。</w:t>
      </w:r>
      <w:r w:rsidRPr="00BF42B7">
        <w:rPr>
          <w:color w:val="0000FF"/>
          <w:vertAlign w:val="superscript"/>
          <w:lang w:val="en-GB"/>
        </w:rPr>
        <w:footnoteReference w:id="339"/>
      </w:r>
      <w:r w:rsidRPr="00BF42B7">
        <w:rPr>
          <w:color w:val="0000FF"/>
          <w:vertAlign w:val="superscript"/>
          <w:lang w:val="en-GB"/>
        </w:rPr>
        <w:t xml:space="preserve"> </w:t>
      </w:r>
      <w:r w:rsidRPr="00BF42B7">
        <w:rPr>
          <w:lang w:val="en-GB"/>
        </w:rPr>
        <w:t>当一项决议意在宣示一项现有的习惯国际法规则时尤其如此，这时它可以作为这项规则被支持决议的各国接受为法律的证据。换言之，</w:t>
      </w:r>
      <w:r w:rsidRPr="00BF42B7">
        <w:rPr>
          <w:rFonts w:hint="eastAsia"/>
          <w:lang w:val="en-GB"/>
        </w:rPr>
        <w:t>“</w:t>
      </w:r>
      <w:r w:rsidRPr="00BF42B7">
        <w:rPr>
          <w:lang w:val="en-GB"/>
        </w:rPr>
        <w:t>对这些决议案文予以同意所产生的影响</w:t>
      </w:r>
      <w:r w:rsidRPr="00BF42B7">
        <w:rPr>
          <w:rFonts w:hint="eastAsia"/>
          <w:lang w:val="fr-CH"/>
        </w:rPr>
        <w:t>……</w:t>
      </w:r>
      <w:r w:rsidRPr="00BF42B7">
        <w:rPr>
          <w:lang w:val="en-GB"/>
        </w:rPr>
        <w:t>，可以将其理解为</w:t>
      </w:r>
      <w:r w:rsidRPr="00BF42B7">
        <w:rPr>
          <w:rFonts w:hint="eastAsia"/>
          <w:lang w:val="fr-CH"/>
        </w:rPr>
        <w:t>……</w:t>
      </w:r>
      <w:r w:rsidRPr="00BF42B7">
        <w:rPr>
          <w:lang w:val="en-GB"/>
        </w:rPr>
        <w:t>接受该决议所宣布的规则或一套规则的有效性</w:t>
      </w:r>
      <w:r w:rsidRPr="00BF42B7">
        <w:rPr>
          <w:rFonts w:hint="eastAsia"/>
          <w:lang w:val="en-GB"/>
        </w:rPr>
        <w:t>”</w:t>
      </w:r>
      <w:r w:rsidRPr="00BF42B7">
        <w:rPr>
          <w:lang w:val="en-GB"/>
        </w:rPr>
        <w:t>。</w:t>
      </w:r>
      <w:r w:rsidRPr="00BF42B7">
        <w:rPr>
          <w:color w:val="0000FF"/>
          <w:vertAlign w:val="superscript"/>
          <w:lang w:val="en-GB"/>
        </w:rPr>
        <w:footnoteReference w:id="340"/>
      </w:r>
      <w:r w:rsidRPr="00BF42B7">
        <w:rPr>
          <w:color w:val="0000FF"/>
          <w:vertAlign w:val="superscript"/>
          <w:lang w:val="en-GB"/>
        </w:rPr>
        <w:t xml:space="preserve"> </w:t>
      </w:r>
      <w:r w:rsidRPr="00BF42B7">
        <w:rPr>
          <w:lang w:val="en-GB"/>
        </w:rPr>
        <w:t>反过来，否决票、弃权或不赞成共识，连同一般声明和解释立场的发言一起，可用作表明不存在被接受为法律的证据，因此可证明不存在规则。</w:t>
      </w:r>
    </w:p>
    <w:p w:rsidR="008D7906" w:rsidRPr="00BF42B7" w:rsidRDefault="008D7906" w:rsidP="008D7906">
      <w:pPr>
        <w:pStyle w:val="SingleTxtGC"/>
        <w:rPr>
          <w:rFonts w:asciiTheme="majorBidi" w:hAnsiTheme="majorBidi" w:cstheme="majorBidi"/>
          <w:szCs w:val="21"/>
          <w:lang w:val="en-GB"/>
        </w:rPr>
      </w:pPr>
      <w:r w:rsidRPr="00BF42B7">
        <w:rPr>
          <w:rFonts w:asciiTheme="majorBidi" w:hAnsiTheme="majorBidi" w:cstheme="majorBidi"/>
          <w:szCs w:val="21"/>
          <w:lang w:val="en-GB"/>
        </w:rPr>
        <w:t xml:space="preserve">(6)  </w:t>
      </w:r>
      <w:r w:rsidRPr="00BF42B7">
        <w:rPr>
          <w:rFonts w:asciiTheme="majorBidi" w:hAnsiTheme="majorBidi" w:cstheme="majorBidi"/>
          <w:szCs w:val="21"/>
          <w:lang w:val="en-GB"/>
        </w:rPr>
        <w:t>因为各国通过投票或其他方式表达的对于特定决议</w:t>
      </w:r>
      <w:r w:rsidRPr="00BF42B7">
        <w:rPr>
          <w:rFonts w:asciiTheme="majorBidi" w:hAnsiTheme="majorBidi" w:cstheme="majorBidi"/>
          <w:szCs w:val="21"/>
          <w:lang w:val="en-GB"/>
        </w:rPr>
        <w:t>(</w:t>
      </w:r>
      <w:r w:rsidRPr="00BF42B7">
        <w:rPr>
          <w:rFonts w:asciiTheme="majorBidi" w:hAnsiTheme="majorBidi" w:cstheme="majorBidi"/>
          <w:szCs w:val="21"/>
          <w:lang w:val="en-GB"/>
        </w:rPr>
        <w:t>或某一决议中提出的特定规则</w:t>
      </w:r>
      <w:r w:rsidRPr="00BF42B7">
        <w:rPr>
          <w:rFonts w:asciiTheme="majorBidi" w:hAnsiTheme="majorBidi" w:cstheme="majorBidi"/>
          <w:szCs w:val="21"/>
          <w:lang w:val="en-GB"/>
        </w:rPr>
        <w:t>)</w:t>
      </w:r>
      <w:r w:rsidRPr="00BF42B7">
        <w:rPr>
          <w:rFonts w:asciiTheme="majorBidi" w:hAnsiTheme="majorBidi" w:cstheme="majorBidi"/>
          <w:szCs w:val="21"/>
          <w:lang w:val="en-GB"/>
        </w:rPr>
        <w:t>的态度往往出于政治考虑或其他非法律考虑，通过这类决议确定被接受为法律</w:t>
      </w:r>
      <w:r w:rsidRPr="00BF42B7">
        <w:rPr>
          <w:rFonts w:asciiTheme="majorBidi" w:hAnsiTheme="majorBidi" w:cstheme="majorBidi"/>
          <w:szCs w:val="21"/>
          <w:lang w:val="en-GB"/>
        </w:rPr>
        <w:t>(</w:t>
      </w:r>
      <w:r w:rsidRPr="00BF42B7">
        <w:rPr>
          <w:rFonts w:asciiTheme="majorBidi" w:hAnsiTheme="majorBidi" w:cstheme="majorBidi"/>
          <w:iCs/>
          <w:szCs w:val="21"/>
          <w:lang w:val="en-GB"/>
        </w:rPr>
        <w:t>法律确信</w:t>
      </w:r>
      <w:r w:rsidRPr="00BF42B7">
        <w:rPr>
          <w:rFonts w:asciiTheme="majorBidi" w:hAnsiTheme="majorBidi" w:cstheme="majorBidi"/>
          <w:szCs w:val="21"/>
          <w:lang w:val="en-GB"/>
        </w:rPr>
        <w:t>)</w:t>
      </w:r>
      <w:r w:rsidRPr="00BF42B7">
        <w:rPr>
          <w:rFonts w:asciiTheme="majorBidi" w:hAnsiTheme="majorBidi" w:cstheme="majorBidi"/>
          <w:szCs w:val="21"/>
          <w:lang w:val="en-GB"/>
        </w:rPr>
        <w:t>的工作必须</w:t>
      </w:r>
      <w:r w:rsidRPr="00BF42B7">
        <w:rPr>
          <w:rFonts w:asciiTheme="majorBidi" w:hAnsiTheme="majorBidi" w:cstheme="majorBidi" w:hint="eastAsia"/>
          <w:szCs w:val="21"/>
          <w:lang w:val="en-GB"/>
        </w:rPr>
        <w:t>“</w:t>
      </w:r>
      <w:r w:rsidRPr="00BF42B7">
        <w:rPr>
          <w:rFonts w:asciiTheme="majorBidi" w:hAnsiTheme="majorBidi" w:cstheme="majorBidi"/>
          <w:szCs w:val="21"/>
          <w:lang w:val="en-GB"/>
        </w:rPr>
        <w:t>以应有的谨慎态度</w:t>
      </w:r>
      <w:r w:rsidRPr="00BF42B7">
        <w:rPr>
          <w:rFonts w:asciiTheme="majorBidi" w:hAnsiTheme="majorBidi" w:cstheme="majorBidi" w:hint="eastAsia"/>
          <w:szCs w:val="21"/>
          <w:lang w:val="en-GB"/>
        </w:rPr>
        <w:t>”</w:t>
      </w:r>
      <w:r w:rsidRPr="00BF42B7">
        <w:rPr>
          <w:rFonts w:asciiTheme="majorBidi" w:hAnsiTheme="majorBidi" w:cstheme="majorBidi"/>
          <w:szCs w:val="21"/>
          <w:lang w:val="en-GB"/>
        </w:rPr>
        <w:t>进行。</w:t>
      </w:r>
      <w:r w:rsidRPr="00BF42B7">
        <w:rPr>
          <w:rFonts w:cstheme="majorBidi"/>
          <w:color w:val="0000FF"/>
          <w:szCs w:val="21"/>
          <w:vertAlign w:val="superscript"/>
          <w:lang w:val="en-GB"/>
        </w:rPr>
        <w:footnoteReference w:id="341"/>
      </w:r>
      <w:r w:rsidRPr="00BF42B7">
        <w:rPr>
          <w:rFonts w:cstheme="majorBidi"/>
          <w:color w:val="0000FF"/>
          <w:szCs w:val="21"/>
          <w:vertAlign w:val="superscript"/>
          <w:lang w:val="en-GB"/>
        </w:rPr>
        <w:t xml:space="preserve"> </w:t>
      </w:r>
      <w:r w:rsidRPr="00BF42B7">
        <w:rPr>
          <w:rFonts w:asciiTheme="majorBidi" w:hAnsiTheme="majorBidi" w:cstheme="majorBidi"/>
          <w:szCs w:val="21"/>
          <w:lang w:val="en-GB"/>
        </w:rPr>
        <w:t>这一点通过</w:t>
      </w:r>
      <w:r w:rsidRPr="00BF42B7">
        <w:rPr>
          <w:rFonts w:asciiTheme="majorBidi" w:hAnsiTheme="majorBidi" w:cstheme="majorBidi" w:hint="eastAsia"/>
          <w:szCs w:val="21"/>
          <w:lang w:val="en-GB"/>
        </w:rPr>
        <w:t>“</w:t>
      </w:r>
      <w:r w:rsidRPr="00BF42B7">
        <w:rPr>
          <w:rFonts w:asciiTheme="majorBidi" w:hAnsiTheme="majorBidi" w:cstheme="majorBidi"/>
          <w:szCs w:val="21"/>
          <w:lang w:val="en-GB"/>
        </w:rPr>
        <w:t>可</w:t>
      </w:r>
      <w:r w:rsidRPr="00BF42B7">
        <w:rPr>
          <w:rFonts w:asciiTheme="majorBidi" w:hAnsiTheme="majorBidi" w:cstheme="majorBidi" w:hint="eastAsia"/>
          <w:szCs w:val="21"/>
          <w:lang w:val="en-GB"/>
        </w:rPr>
        <w:t>”</w:t>
      </w:r>
      <w:r w:rsidRPr="00BF42B7">
        <w:rPr>
          <w:rFonts w:asciiTheme="majorBidi" w:hAnsiTheme="majorBidi" w:cstheme="majorBidi"/>
          <w:szCs w:val="21"/>
          <w:lang w:val="en-GB"/>
        </w:rPr>
        <w:t>字得到体现。应逐例对各种因素进行仔细的评估，以核实所涉国家是否确实意在确认一项习惯国际法规则的存在。正如国际法院在</w:t>
      </w:r>
      <w:r w:rsidRPr="00BF42B7">
        <w:rPr>
          <w:rFonts w:asciiTheme="majorBidi" w:eastAsia="楷体" w:hAnsiTheme="majorBidi" w:cstheme="majorBidi"/>
          <w:iCs/>
          <w:szCs w:val="21"/>
          <w:lang w:val="en-GB"/>
        </w:rPr>
        <w:t>以核武器进行威胁或使用核武器的合法性案</w:t>
      </w:r>
      <w:r w:rsidRPr="00BF42B7">
        <w:rPr>
          <w:rFonts w:asciiTheme="majorBidi" w:hAnsiTheme="majorBidi" w:cstheme="majorBidi"/>
          <w:szCs w:val="21"/>
          <w:lang w:val="en-GB"/>
        </w:rPr>
        <w:t>中指出的那样：</w:t>
      </w:r>
    </w:p>
    <w:p w:rsidR="008D7906" w:rsidRPr="00BF42B7" w:rsidRDefault="008D7906" w:rsidP="008D7906">
      <w:pPr>
        <w:pStyle w:val="SingleTxtGC"/>
        <w:ind w:left="1565"/>
        <w:rPr>
          <w:rFonts w:asciiTheme="majorBidi" w:hAnsiTheme="majorBidi" w:cstheme="majorBidi"/>
          <w:szCs w:val="21"/>
          <w:lang w:val="en-GB"/>
        </w:rPr>
      </w:pPr>
      <w:r w:rsidRPr="00BF42B7">
        <w:rPr>
          <w:rFonts w:asciiTheme="majorBidi" w:hAnsiTheme="majorBidi" w:cstheme="majorBidi" w:hint="eastAsia"/>
          <w:szCs w:val="21"/>
          <w:lang w:val="en-GB"/>
        </w:rPr>
        <w:t>“</w:t>
      </w:r>
      <w:r w:rsidRPr="00BF42B7">
        <w:rPr>
          <w:rFonts w:asciiTheme="majorBidi" w:hAnsiTheme="majorBidi" w:cstheme="majorBidi"/>
          <w:szCs w:val="21"/>
          <w:lang w:val="en-GB"/>
        </w:rPr>
        <w:t>必须审视</w:t>
      </w:r>
      <w:r w:rsidRPr="00BF42B7">
        <w:rPr>
          <w:rFonts w:asciiTheme="majorBidi" w:hAnsiTheme="majorBidi" w:cstheme="majorBidi"/>
          <w:szCs w:val="21"/>
          <w:lang w:val="en-GB"/>
        </w:rPr>
        <w:t>[</w:t>
      </w:r>
      <w:r w:rsidRPr="00BF42B7">
        <w:rPr>
          <w:rFonts w:asciiTheme="majorBidi" w:hAnsiTheme="majorBidi" w:cstheme="majorBidi"/>
          <w:szCs w:val="21"/>
          <w:lang w:val="en-GB"/>
        </w:rPr>
        <w:t>决议的</w:t>
      </w:r>
      <w:r w:rsidRPr="00BF42B7">
        <w:rPr>
          <w:rFonts w:asciiTheme="majorBidi" w:hAnsiTheme="majorBidi" w:cstheme="majorBidi"/>
          <w:szCs w:val="21"/>
          <w:lang w:val="en-GB"/>
        </w:rPr>
        <w:t>]</w:t>
      </w:r>
      <w:r w:rsidRPr="00BF42B7">
        <w:rPr>
          <w:rFonts w:asciiTheme="majorBidi" w:hAnsiTheme="majorBidi" w:cstheme="majorBidi"/>
          <w:szCs w:val="21"/>
          <w:lang w:val="en-GB"/>
        </w:rPr>
        <w:t>内容和通过</w:t>
      </w:r>
      <w:r w:rsidRPr="00BF42B7">
        <w:rPr>
          <w:rFonts w:asciiTheme="majorBidi" w:hAnsiTheme="majorBidi" w:cstheme="majorBidi"/>
          <w:szCs w:val="21"/>
          <w:lang w:val="en-GB"/>
        </w:rPr>
        <w:t>[</w:t>
      </w:r>
      <w:r w:rsidRPr="00BF42B7">
        <w:rPr>
          <w:rFonts w:asciiTheme="majorBidi" w:hAnsiTheme="majorBidi" w:cstheme="majorBidi"/>
          <w:szCs w:val="21"/>
          <w:lang w:val="en-GB"/>
        </w:rPr>
        <w:t>决议</w:t>
      </w:r>
      <w:r w:rsidRPr="00BF42B7">
        <w:rPr>
          <w:rFonts w:asciiTheme="majorBidi" w:hAnsiTheme="majorBidi" w:cstheme="majorBidi"/>
          <w:szCs w:val="21"/>
          <w:lang w:val="en-GB"/>
        </w:rPr>
        <w:t>]</w:t>
      </w:r>
      <w:r w:rsidRPr="00BF42B7">
        <w:rPr>
          <w:rFonts w:asciiTheme="majorBidi" w:hAnsiTheme="majorBidi" w:cstheme="majorBidi"/>
          <w:szCs w:val="21"/>
          <w:lang w:val="en-GB"/>
        </w:rPr>
        <w:t>时的状况；还必须审视是否有一种法律确信存在，认为这项决议具有规范的性质。有时一系列决议可能体现出确立一项新规则所需的法律确信的逐渐演变。</w:t>
      </w:r>
      <w:r w:rsidRPr="00BF42B7">
        <w:rPr>
          <w:rFonts w:asciiTheme="majorBidi" w:hAnsiTheme="majorBidi" w:cstheme="majorBidi" w:hint="eastAsia"/>
          <w:szCs w:val="21"/>
          <w:lang w:val="en-GB"/>
        </w:rPr>
        <w:t>”</w:t>
      </w:r>
      <w:r w:rsidRPr="00BF42B7">
        <w:rPr>
          <w:rFonts w:cstheme="majorBidi"/>
          <w:color w:val="0000FF"/>
          <w:szCs w:val="21"/>
          <w:vertAlign w:val="superscript"/>
          <w:lang w:val="en-GB"/>
        </w:rPr>
        <w:footnoteReference w:id="342"/>
      </w:r>
    </w:p>
    <w:p w:rsidR="008D7906" w:rsidRPr="00BF42B7" w:rsidRDefault="008D7906" w:rsidP="008D7906">
      <w:pPr>
        <w:pStyle w:val="SingleTxtGC"/>
        <w:rPr>
          <w:rFonts w:asciiTheme="majorBidi" w:hAnsiTheme="majorBidi" w:cstheme="majorBidi"/>
          <w:szCs w:val="21"/>
          <w:lang w:val="en-GB"/>
        </w:rPr>
      </w:pPr>
      <w:r w:rsidRPr="00BF42B7">
        <w:rPr>
          <w:rFonts w:asciiTheme="majorBidi" w:hAnsiTheme="majorBidi" w:cstheme="majorBidi"/>
          <w:szCs w:val="21"/>
          <w:lang w:val="en-GB"/>
        </w:rPr>
        <w:t>所使用的确切措辞是寻求评价某一决议之法律重要性的出发点；对国际法的提及，以及在案文，包括在序言和执行部分中选择</w:t>
      </w:r>
      <w:r w:rsidRPr="00BF42B7">
        <w:rPr>
          <w:rFonts w:asciiTheme="majorBidi" w:hAnsiTheme="majorBidi" w:cstheme="majorBidi"/>
          <w:szCs w:val="21"/>
          <w:lang w:val="en-GB"/>
        </w:rPr>
        <w:t>(</w:t>
      </w:r>
      <w:r w:rsidRPr="00BF42B7">
        <w:rPr>
          <w:rFonts w:asciiTheme="majorBidi" w:hAnsiTheme="majorBidi" w:cstheme="majorBidi"/>
          <w:szCs w:val="21"/>
          <w:lang w:val="en-GB"/>
        </w:rPr>
        <w:t>或避免</w:t>
      </w:r>
      <w:r w:rsidRPr="00BF42B7">
        <w:rPr>
          <w:rFonts w:asciiTheme="majorBidi" w:hAnsiTheme="majorBidi" w:cstheme="majorBidi"/>
          <w:szCs w:val="21"/>
          <w:lang w:val="en-GB"/>
        </w:rPr>
        <w:t>)</w:t>
      </w:r>
      <w:r w:rsidRPr="00BF42B7">
        <w:rPr>
          <w:rFonts w:asciiTheme="majorBidi" w:hAnsiTheme="majorBidi" w:cstheme="majorBidi"/>
          <w:szCs w:val="21"/>
          <w:lang w:val="en-GB"/>
        </w:rPr>
        <w:t>特定用语，都可能具有重要意义。</w:t>
      </w:r>
      <w:r w:rsidRPr="00BF42B7">
        <w:rPr>
          <w:rFonts w:cstheme="majorBidi"/>
          <w:color w:val="0000FF"/>
          <w:szCs w:val="21"/>
          <w:vertAlign w:val="superscript"/>
          <w:lang w:val="en-GB"/>
        </w:rPr>
        <w:footnoteReference w:id="343"/>
      </w:r>
      <w:r w:rsidRPr="00BF42B7">
        <w:rPr>
          <w:rFonts w:cstheme="majorBidi"/>
          <w:color w:val="0000FF"/>
          <w:szCs w:val="21"/>
          <w:vertAlign w:val="superscript"/>
          <w:lang w:val="en-GB"/>
        </w:rPr>
        <w:t xml:space="preserve"> </w:t>
      </w:r>
      <w:r w:rsidRPr="00BF42B7">
        <w:rPr>
          <w:rFonts w:asciiTheme="majorBidi" w:hAnsiTheme="majorBidi" w:cstheme="majorBidi"/>
          <w:szCs w:val="21"/>
          <w:lang w:val="en-GB"/>
        </w:rPr>
        <w:t>同样相关的还有通过决议前的辩论和谈判，特别是对投票的解释、对立场的解释以及在通过前后立即作出的类似发言。</w:t>
      </w:r>
      <w:r w:rsidRPr="00BF42B7">
        <w:rPr>
          <w:rFonts w:cstheme="majorBidi"/>
          <w:color w:val="0000FF"/>
          <w:szCs w:val="21"/>
          <w:vertAlign w:val="superscript"/>
          <w:lang w:val="en-GB"/>
        </w:rPr>
        <w:footnoteReference w:id="344"/>
      </w:r>
      <w:r w:rsidRPr="00BF42B7">
        <w:rPr>
          <w:rFonts w:cstheme="majorBidi"/>
          <w:color w:val="0000FF"/>
          <w:szCs w:val="21"/>
          <w:vertAlign w:val="superscript"/>
          <w:lang w:val="en-GB"/>
        </w:rPr>
        <w:t xml:space="preserve"> </w:t>
      </w:r>
      <w:r w:rsidRPr="00BF42B7">
        <w:rPr>
          <w:rFonts w:asciiTheme="majorBidi" w:hAnsiTheme="majorBidi" w:cstheme="majorBidi"/>
          <w:szCs w:val="21"/>
          <w:lang w:val="en-GB"/>
        </w:rPr>
        <w:t>决议所获支持程度</w:t>
      </w:r>
      <w:r w:rsidRPr="00BF42B7">
        <w:rPr>
          <w:rFonts w:asciiTheme="majorBidi" w:hAnsiTheme="majorBidi" w:cstheme="majorBidi"/>
          <w:szCs w:val="21"/>
          <w:lang w:val="en-GB"/>
        </w:rPr>
        <w:t>(</w:t>
      </w:r>
      <w:r w:rsidRPr="00BF42B7">
        <w:rPr>
          <w:rFonts w:asciiTheme="majorBidi" w:hAnsiTheme="majorBidi" w:cstheme="majorBidi"/>
          <w:szCs w:val="21"/>
          <w:lang w:val="en-GB"/>
        </w:rPr>
        <w:t>可通过观察或多数支持的规模以及否决票和弃权票的数量获得</w:t>
      </w:r>
      <w:r w:rsidRPr="00BF42B7">
        <w:rPr>
          <w:rFonts w:asciiTheme="majorBidi" w:hAnsiTheme="majorBidi" w:cstheme="majorBidi"/>
          <w:szCs w:val="21"/>
          <w:lang w:val="en-GB"/>
        </w:rPr>
        <w:t>)</w:t>
      </w:r>
      <w:r w:rsidRPr="00BF42B7">
        <w:rPr>
          <w:rFonts w:asciiTheme="majorBidi" w:hAnsiTheme="majorBidi" w:cstheme="majorBidi"/>
          <w:szCs w:val="21"/>
          <w:lang w:val="en-GB"/>
        </w:rPr>
        <w:t>至关重要。就一项决议的不同方面表达的不同意见可表明不存在一般性的被接受为法律</w:t>
      </w:r>
      <w:r w:rsidRPr="00BF42B7">
        <w:rPr>
          <w:rFonts w:asciiTheme="majorBidi" w:hAnsiTheme="majorBidi" w:cstheme="majorBidi"/>
          <w:szCs w:val="21"/>
          <w:lang w:val="en-GB"/>
        </w:rPr>
        <w:t>(</w:t>
      </w:r>
      <w:r w:rsidRPr="00BF42B7">
        <w:rPr>
          <w:rFonts w:asciiTheme="majorBidi" w:hAnsiTheme="majorBidi" w:cstheme="majorBidi"/>
          <w:iCs/>
          <w:szCs w:val="21"/>
          <w:lang w:val="en-GB"/>
        </w:rPr>
        <w:t>法律确信</w:t>
      </w:r>
      <w:r w:rsidRPr="00BF42B7">
        <w:rPr>
          <w:rFonts w:asciiTheme="majorBidi" w:hAnsiTheme="majorBidi" w:cstheme="majorBidi"/>
          <w:szCs w:val="21"/>
          <w:lang w:val="en-GB"/>
        </w:rPr>
        <w:t>)</w:t>
      </w:r>
      <w:r w:rsidRPr="00BF42B7">
        <w:rPr>
          <w:rFonts w:asciiTheme="majorBidi" w:hAnsiTheme="majorBidi" w:cstheme="majorBidi"/>
          <w:szCs w:val="21"/>
          <w:lang w:val="en-GB"/>
        </w:rPr>
        <w:t>，至少在那些方面不存在，而获大量国家反对的决议不太可能被视为反映习惯国际法。</w:t>
      </w:r>
      <w:r w:rsidRPr="00BF42B7">
        <w:rPr>
          <w:rFonts w:cstheme="majorBidi"/>
          <w:color w:val="0000FF"/>
          <w:szCs w:val="21"/>
          <w:vertAlign w:val="superscript"/>
          <w:lang w:val="en-GB"/>
        </w:rPr>
        <w:footnoteReference w:id="345"/>
      </w:r>
    </w:p>
    <w:p w:rsidR="008D7906" w:rsidRPr="00BF42B7" w:rsidRDefault="008D7906" w:rsidP="008D7906">
      <w:pPr>
        <w:pStyle w:val="SingleTxtGC"/>
        <w:rPr>
          <w:rFonts w:asciiTheme="majorBidi" w:hAnsiTheme="majorBidi" w:cstheme="majorBidi"/>
          <w:szCs w:val="21"/>
          <w:lang w:val="en-GB"/>
        </w:rPr>
      </w:pPr>
      <w:r w:rsidRPr="00BF42B7">
        <w:rPr>
          <w:rFonts w:asciiTheme="majorBidi" w:hAnsiTheme="majorBidi" w:cstheme="majorBidi"/>
          <w:szCs w:val="21"/>
          <w:lang w:val="en-GB"/>
        </w:rPr>
        <w:t xml:space="preserve">(7)  </w:t>
      </w:r>
      <w:r w:rsidRPr="00BF42B7">
        <w:rPr>
          <w:rFonts w:asciiTheme="majorBidi" w:hAnsiTheme="majorBidi" w:cstheme="majorBidi"/>
          <w:szCs w:val="21"/>
          <w:lang w:val="en-GB"/>
        </w:rPr>
        <w:t>第</w:t>
      </w:r>
      <w:r w:rsidRPr="00BF42B7">
        <w:rPr>
          <w:rFonts w:asciiTheme="majorBidi" w:hAnsiTheme="majorBidi" w:cstheme="majorBidi"/>
          <w:szCs w:val="21"/>
          <w:lang w:val="en-GB"/>
        </w:rPr>
        <w:t>2</w:t>
      </w:r>
      <w:r w:rsidRPr="00BF42B7">
        <w:rPr>
          <w:rFonts w:asciiTheme="majorBidi" w:hAnsiTheme="majorBidi" w:cstheme="majorBidi"/>
          <w:szCs w:val="21"/>
          <w:lang w:val="en-GB"/>
        </w:rPr>
        <w:t>段进一步确认国际组织通过的或在政府间会议上通过的决议，即便本身缺乏法律效力，有时仍可在习惯国际法的发展方面发挥重要作用。与条约条款一样，当一项决议</w:t>
      </w:r>
      <w:r w:rsidRPr="00BF42B7">
        <w:rPr>
          <w:rFonts w:asciiTheme="majorBidi" w:hAnsiTheme="majorBidi" w:cstheme="majorBidi"/>
          <w:szCs w:val="21"/>
          <w:lang w:val="en-GB"/>
        </w:rPr>
        <w:t>(</w:t>
      </w:r>
      <w:r w:rsidRPr="00BF42B7">
        <w:rPr>
          <w:rFonts w:asciiTheme="majorBidi" w:hAnsiTheme="majorBidi" w:cstheme="majorBidi"/>
          <w:szCs w:val="21"/>
          <w:lang w:val="en-GB"/>
        </w:rPr>
        <w:t>或一系列决议</w:t>
      </w:r>
      <w:r w:rsidRPr="00BF42B7">
        <w:rPr>
          <w:rFonts w:asciiTheme="majorBidi" w:hAnsiTheme="majorBidi" w:cstheme="majorBidi"/>
          <w:szCs w:val="21"/>
          <w:lang w:val="en-GB"/>
        </w:rPr>
        <w:t>)</w:t>
      </w:r>
      <w:r w:rsidRPr="00BF42B7">
        <w:rPr>
          <w:rFonts w:asciiTheme="majorBidi" w:hAnsiTheme="majorBidi" w:cstheme="majorBidi"/>
          <w:szCs w:val="21"/>
          <w:lang w:val="en-GB"/>
        </w:rPr>
        <w:t>为一项与其案文相符、被接受为法律</w:t>
      </w:r>
      <w:r w:rsidRPr="00BF42B7">
        <w:rPr>
          <w:rFonts w:asciiTheme="majorBidi" w:hAnsiTheme="majorBidi" w:cstheme="majorBidi"/>
          <w:szCs w:val="21"/>
          <w:lang w:val="en-GB"/>
        </w:rPr>
        <w:t>(</w:t>
      </w:r>
      <w:r w:rsidRPr="00BF42B7">
        <w:rPr>
          <w:rFonts w:asciiTheme="majorBidi" w:hAnsiTheme="majorBidi" w:cstheme="majorBidi"/>
          <w:szCs w:val="21"/>
          <w:lang w:val="en-GB"/>
        </w:rPr>
        <w:t>伴有</w:t>
      </w:r>
      <w:r w:rsidRPr="00BF42B7">
        <w:rPr>
          <w:rFonts w:asciiTheme="majorBidi" w:hAnsiTheme="majorBidi" w:cstheme="majorBidi"/>
          <w:iCs/>
          <w:szCs w:val="21"/>
          <w:lang w:val="en-GB"/>
        </w:rPr>
        <w:t>法律确信</w:t>
      </w:r>
      <w:r w:rsidRPr="00BF42B7">
        <w:rPr>
          <w:rFonts w:asciiTheme="majorBidi" w:hAnsiTheme="majorBidi" w:cstheme="majorBidi"/>
          <w:szCs w:val="21"/>
          <w:lang w:val="en-GB"/>
        </w:rPr>
        <w:t>)</w:t>
      </w:r>
      <w:r w:rsidRPr="00BF42B7">
        <w:rPr>
          <w:rFonts w:asciiTheme="majorBidi" w:hAnsiTheme="majorBidi" w:cstheme="majorBidi"/>
          <w:szCs w:val="21"/>
          <w:lang w:val="en-GB"/>
        </w:rPr>
        <w:t>的一般惯例的发展提供灵感和推动力时，或当一项决议将某项正在出现的规则具体化时，便可能是这种情况。</w:t>
      </w:r>
    </w:p>
    <w:p w:rsidR="008D7906" w:rsidRPr="00BF42B7" w:rsidRDefault="008D7906" w:rsidP="008D7906">
      <w:pPr>
        <w:pStyle w:val="SingleTxtGC"/>
        <w:rPr>
          <w:rFonts w:asciiTheme="majorBidi" w:hAnsiTheme="majorBidi" w:cstheme="majorBidi"/>
          <w:szCs w:val="21"/>
          <w:lang w:val="en-GB"/>
        </w:rPr>
      </w:pPr>
      <w:r w:rsidRPr="00BF42B7">
        <w:rPr>
          <w:rFonts w:asciiTheme="majorBidi" w:hAnsiTheme="majorBidi" w:cstheme="majorBidi"/>
          <w:szCs w:val="21"/>
          <w:lang w:val="en-GB"/>
        </w:rPr>
        <w:t xml:space="preserve">(8)  </w:t>
      </w:r>
      <w:r w:rsidRPr="00BF42B7">
        <w:rPr>
          <w:rFonts w:asciiTheme="majorBidi" w:hAnsiTheme="majorBidi" w:cstheme="majorBidi"/>
          <w:szCs w:val="21"/>
          <w:lang w:val="en-GB"/>
        </w:rPr>
        <w:t>第</w:t>
      </w:r>
      <w:r w:rsidRPr="00BF42B7">
        <w:rPr>
          <w:rFonts w:asciiTheme="majorBidi" w:hAnsiTheme="majorBidi" w:cstheme="majorBidi"/>
          <w:szCs w:val="21"/>
          <w:lang w:val="en-GB"/>
        </w:rPr>
        <w:t>3</w:t>
      </w:r>
      <w:r w:rsidRPr="00BF42B7">
        <w:rPr>
          <w:rFonts w:asciiTheme="majorBidi" w:hAnsiTheme="majorBidi" w:cstheme="majorBidi"/>
          <w:szCs w:val="21"/>
          <w:lang w:val="en-GB"/>
        </w:rPr>
        <w:t>段，作为第</w:t>
      </w:r>
      <w:r w:rsidRPr="00BF42B7">
        <w:rPr>
          <w:rFonts w:asciiTheme="majorBidi" w:hAnsiTheme="majorBidi" w:cstheme="majorBidi"/>
          <w:szCs w:val="21"/>
          <w:lang w:val="en-GB"/>
        </w:rPr>
        <w:t>1</w:t>
      </w:r>
      <w:r w:rsidRPr="00BF42B7">
        <w:rPr>
          <w:rFonts w:asciiTheme="majorBidi" w:hAnsiTheme="majorBidi" w:cstheme="majorBidi"/>
          <w:szCs w:val="21"/>
          <w:lang w:val="en-GB"/>
        </w:rPr>
        <w:t>段和第</w:t>
      </w:r>
      <w:r w:rsidRPr="00BF42B7">
        <w:rPr>
          <w:rFonts w:asciiTheme="majorBidi" w:hAnsiTheme="majorBidi" w:cstheme="majorBidi"/>
          <w:szCs w:val="21"/>
          <w:lang w:val="en-GB"/>
        </w:rPr>
        <w:t>2</w:t>
      </w:r>
      <w:r w:rsidRPr="00BF42B7">
        <w:rPr>
          <w:rFonts w:asciiTheme="majorBidi" w:hAnsiTheme="majorBidi" w:cstheme="majorBidi"/>
          <w:szCs w:val="21"/>
          <w:lang w:val="en-GB"/>
        </w:rPr>
        <w:t>段的合理推断结果，澄清了国际组织通过的或在政府间会议上通过的决议规定本身不可用作习惯国际法存在和内容的确凿证据。这是因为已经指出，要确定一项规则的存在，以一项决议为证据的各国的法律确信必须得到惯例的验证；因此需要其他证据，尤其是表明所宣称的规则确实在各国的惯例中得到遵守。</w:t>
      </w:r>
      <w:r w:rsidRPr="00BF42B7">
        <w:rPr>
          <w:rFonts w:cstheme="majorBidi"/>
          <w:color w:val="0000FF"/>
          <w:szCs w:val="21"/>
          <w:vertAlign w:val="superscript"/>
          <w:lang w:val="en-GB"/>
        </w:rPr>
        <w:footnoteReference w:id="346"/>
      </w:r>
      <w:r w:rsidRPr="00BF42B7">
        <w:rPr>
          <w:rFonts w:cstheme="majorBidi"/>
          <w:color w:val="0000FF"/>
          <w:szCs w:val="21"/>
          <w:vertAlign w:val="superscript"/>
          <w:lang w:val="en-GB"/>
        </w:rPr>
        <w:t xml:space="preserve"> </w:t>
      </w:r>
      <w:r w:rsidRPr="00BF42B7">
        <w:rPr>
          <w:rFonts w:asciiTheme="majorBidi" w:hAnsiTheme="majorBidi" w:cstheme="majorBidi"/>
          <w:szCs w:val="21"/>
          <w:lang w:val="en-GB"/>
        </w:rPr>
        <w:t>如果不存在实际的惯例，或实际惯例有所不同或不统一，一项决议规定便不能成为一项习惯国际法规则的证据。</w:t>
      </w:r>
    </w:p>
    <w:p w:rsidR="008D7906" w:rsidRPr="00BF42B7" w:rsidRDefault="008D7906" w:rsidP="008D7906">
      <w:pPr>
        <w:pStyle w:val="H23GC"/>
        <w:ind w:left="1565"/>
        <w:rPr>
          <w:b/>
          <w:bCs/>
          <w:lang w:val="en-GB"/>
        </w:rPr>
      </w:pPr>
      <w:r w:rsidRPr="00BF42B7">
        <w:rPr>
          <w:rFonts w:hint="eastAsia"/>
          <w:lang w:val="en-GB"/>
        </w:rPr>
        <w:tab/>
      </w:r>
      <w:r w:rsidRPr="00BF42B7">
        <w:rPr>
          <w:rFonts w:hint="eastAsia"/>
          <w:lang w:val="en-GB"/>
        </w:rPr>
        <w:tab/>
      </w:r>
      <w:r w:rsidRPr="00BF42B7">
        <w:rPr>
          <w:lang w:val="en-GB"/>
        </w:rPr>
        <w:t>结论</w:t>
      </w:r>
      <w:bookmarkStart w:id="83" w:name="DC13"/>
      <w:r w:rsidRPr="00BF42B7">
        <w:rPr>
          <w:lang w:val="en-GB"/>
        </w:rPr>
        <w:t>13</w:t>
      </w:r>
      <w:bookmarkEnd w:id="83"/>
      <w:r w:rsidRPr="00BF42B7">
        <w:rPr>
          <w:lang w:val="en-GB"/>
        </w:rPr>
        <w:br/>
      </w:r>
      <w:r w:rsidRPr="00BF42B7">
        <w:rPr>
          <w:lang w:val="en-GB"/>
        </w:rPr>
        <w:t>法院和法庭的判决</w:t>
      </w:r>
    </w:p>
    <w:p w:rsidR="008D7906" w:rsidRPr="00BF42B7" w:rsidRDefault="008D7906" w:rsidP="008D7906">
      <w:pPr>
        <w:pStyle w:val="SingleTxtGC"/>
        <w:ind w:left="1565"/>
        <w:rPr>
          <w:lang w:val="en-GB"/>
        </w:rPr>
      </w:pPr>
      <w:r w:rsidRPr="00BF42B7">
        <w:rPr>
          <w:lang w:val="en-GB"/>
        </w:rPr>
        <w:t xml:space="preserve">1.  </w:t>
      </w:r>
      <w:r w:rsidRPr="00BF42B7">
        <w:rPr>
          <w:lang w:val="en-GB"/>
        </w:rPr>
        <w:t>国际性法院和法庭特别是国际法院涉及习惯国际法规则的存在及内容的判决，是确定此类规则的辅助手段。</w:t>
      </w:r>
    </w:p>
    <w:p w:rsidR="008D7906" w:rsidRPr="00BF42B7" w:rsidRDefault="008D7906" w:rsidP="008D7906">
      <w:pPr>
        <w:pStyle w:val="SingleTxtGC"/>
        <w:ind w:left="1565"/>
        <w:rPr>
          <w:rFonts w:asciiTheme="majorBidi" w:hAnsiTheme="majorBidi" w:cstheme="majorBidi"/>
          <w:szCs w:val="21"/>
          <w:lang w:val="en-GB"/>
        </w:rPr>
      </w:pPr>
      <w:r w:rsidRPr="00BF42B7">
        <w:rPr>
          <w:rFonts w:asciiTheme="majorBidi" w:hAnsiTheme="majorBidi" w:cstheme="majorBidi"/>
          <w:szCs w:val="21"/>
          <w:lang w:val="en-GB"/>
        </w:rPr>
        <w:t xml:space="preserve">2.  </w:t>
      </w:r>
      <w:r w:rsidRPr="00BF42B7">
        <w:rPr>
          <w:rFonts w:asciiTheme="majorBidi" w:hAnsiTheme="majorBidi" w:cstheme="majorBidi"/>
          <w:szCs w:val="21"/>
          <w:lang w:val="en-GB"/>
        </w:rPr>
        <w:t>也可酌情考虑将各国法院涉及习惯国际法规则的存在及内容的判决用作确定此类规则的辅助手段。</w:t>
      </w:r>
    </w:p>
    <w:p w:rsidR="008D7906" w:rsidRPr="00BF42B7" w:rsidRDefault="008D7906" w:rsidP="008D7906">
      <w:pPr>
        <w:pStyle w:val="H23GC"/>
        <w:rPr>
          <w:lang w:val="en-GB"/>
        </w:rPr>
      </w:pPr>
      <w:r w:rsidRPr="00BF42B7">
        <w:rPr>
          <w:lang w:val="en-GB"/>
        </w:rPr>
        <w:tab/>
      </w:r>
      <w:r w:rsidRPr="00BF42B7">
        <w:rPr>
          <w:lang w:val="en-GB"/>
        </w:rPr>
        <w:tab/>
      </w:r>
      <w:r w:rsidRPr="00BF42B7">
        <w:rPr>
          <w:lang w:val="en-GB"/>
        </w:rPr>
        <w:t>评注</w:t>
      </w:r>
    </w:p>
    <w:p w:rsidR="008D7906" w:rsidRPr="00BF42B7" w:rsidRDefault="008D7906" w:rsidP="00D522D8">
      <w:pPr>
        <w:pStyle w:val="SingleTxtGC"/>
        <w:rPr>
          <w:lang w:val="en-GB"/>
        </w:rPr>
      </w:pPr>
      <w:r w:rsidRPr="00BF42B7">
        <w:rPr>
          <w:lang w:val="en-GB"/>
        </w:rPr>
        <w:t xml:space="preserve">(1)  </w:t>
      </w:r>
      <w:r w:rsidRPr="00BF42B7">
        <w:rPr>
          <w:lang w:val="en-GB"/>
        </w:rPr>
        <w:t>结论草案</w:t>
      </w:r>
      <w:r w:rsidR="009B5A10">
        <w:rPr>
          <w:rFonts w:hint="eastAsia"/>
          <w:lang w:val="en-GB"/>
        </w:rPr>
        <w:t>13</w:t>
      </w:r>
      <w:r w:rsidRPr="00BF42B7">
        <w:rPr>
          <w:lang w:val="en-GB"/>
        </w:rPr>
        <w:t>涉及国际性和各国法院和法庭的判决协助识别习惯国际法规则的作用。应该指出，各国法院的判决在识别习惯国际法方面可发挥双重作用。一方面，正如结论草案</w:t>
      </w:r>
      <w:r w:rsidRPr="00BF42B7">
        <w:rPr>
          <w:lang w:val="en-GB"/>
        </w:rPr>
        <w:t>6</w:t>
      </w:r>
      <w:r w:rsidRPr="00BF42B7">
        <w:rPr>
          <w:lang w:val="en-GB"/>
        </w:rPr>
        <w:t>和</w:t>
      </w:r>
      <w:r w:rsidRPr="00BF42B7">
        <w:rPr>
          <w:lang w:val="en-GB"/>
        </w:rPr>
        <w:t>10</w:t>
      </w:r>
      <w:r w:rsidRPr="00BF42B7">
        <w:rPr>
          <w:lang w:val="en-GB"/>
        </w:rPr>
        <w:t>所指出的样，它们可列为法院地国的惯例和</w:t>
      </w:r>
      <w:r w:rsidRPr="00BF42B7">
        <w:rPr>
          <w:lang w:val="en-GB"/>
        </w:rPr>
        <w:t>/</w:t>
      </w:r>
      <w:r w:rsidRPr="00BF42B7">
        <w:rPr>
          <w:lang w:val="en-GB"/>
        </w:rPr>
        <w:t>或被接受为法律</w:t>
      </w:r>
      <w:r w:rsidRPr="00BF42B7">
        <w:rPr>
          <w:lang w:val="en-GB"/>
        </w:rPr>
        <w:t>(</w:t>
      </w:r>
      <w:r w:rsidRPr="00BF42B7">
        <w:rPr>
          <w:lang w:val="en-GB"/>
        </w:rPr>
        <w:t>法律确信</w:t>
      </w:r>
      <w:r w:rsidRPr="00BF42B7">
        <w:rPr>
          <w:lang w:val="en-GB"/>
        </w:rPr>
        <w:t>)</w:t>
      </w:r>
      <w:r w:rsidRPr="00BF42B7">
        <w:rPr>
          <w:lang w:val="en-GB"/>
        </w:rPr>
        <w:t>的证据。另一方面，结论草案</w:t>
      </w:r>
      <w:r w:rsidR="00D522D8">
        <w:rPr>
          <w:rFonts w:hint="eastAsia"/>
          <w:lang w:val="en-GB"/>
        </w:rPr>
        <w:t>13</w:t>
      </w:r>
      <w:r w:rsidRPr="00BF42B7">
        <w:rPr>
          <w:lang w:val="en-GB"/>
        </w:rPr>
        <w:t>指出，当这类判决本身对这类规则的存在及其内容作了调查时，它们也可用作确定习惯国际法规则的辅助手段。</w:t>
      </w:r>
    </w:p>
    <w:p w:rsidR="008D7906" w:rsidRPr="00BF42B7" w:rsidRDefault="008D7906" w:rsidP="00D522D8">
      <w:pPr>
        <w:pStyle w:val="SingleTxtGC"/>
        <w:rPr>
          <w:rFonts w:asciiTheme="majorBidi" w:hAnsiTheme="majorBidi" w:cstheme="majorBidi"/>
          <w:bCs/>
          <w:szCs w:val="21"/>
          <w:lang w:val="en-GB"/>
        </w:rPr>
      </w:pPr>
      <w:r w:rsidRPr="00BF42B7">
        <w:rPr>
          <w:rFonts w:asciiTheme="majorBidi" w:hAnsiTheme="majorBidi" w:cstheme="majorBidi"/>
          <w:bCs/>
          <w:szCs w:val="21"/>
          <w:lang w:val="en-GB"/>
        </w:rPr>
        <w:t xml:space="preserve">(2)  </w:t>
      </w:r>
      <w:r w:rsidRPr="00BF42B7">
        <w:rPr>
          <w:rFonts w:asciiTheme="majorBidi" w:hAnsiTheme="majorBidi" w:cstheme="majorBidi"/>
          <w:bCs/>
          <w:szCs w:val="21"/>
          <w:lang w:val="en-GB"/>
        </w:rPr>
        <w:t>结论草案</w:t>
      </w:r>
      <w:r w:rsidR="00D522D8">
        <w:rPr>
          <w:rFonts w:asciiTheme="majorBidi" w:hAnsiTheme="majorBidi" w:cstheme="majorBidi" w:hint="eastAsia"/>
          <w:bCs/>
          <w:szCs w:val="21"/>
          <w:lang w:val="en-GB"/>
        </w:rPr>
        <w:t>13</w:t>
      </w:r>
      <w:r w:rsidRPr="00BF42B7">
        <w:rPr>
          <w:rFonts w:asciiTheme="majorBidi" w:hAnsiTheme="majorBidi" w:cstheme="majorBidi"/>
          <w:bCs/>
          <w:szCs w:val="21"/>
          <w:lang w:val="en-GB"/>
        </w:rPr>
        <w:t>完全符合《国际法院规约》第三十八条第一款</w:t>
      </w:r>
      <w:r w:rsidRPr="00BF42B7">
        <w:rPr>
          <w:rFonts w:asciiTheme="majorBidi" w:hAnsiTheme="majorBidi" w:cstheme="majorBidi"/>
          <w:bCs/>
          <w:iCs/>
          <w:szCs w:val="21"/>
          <w:lang w:val="en-GB"/>
        </w:rPr>
        <w:t>(</w:t>
      </w:r>
      <w:r w:rsidRPr="00BF42B7">
        <w:rPr>
          <w:rFonts w:asciiTheme="majorBidi" w:hAnsiTheme="majorBidi" w:cstheme="majorBidi"/>
          <w:bCs/>
          <w:iCs/>
          <w:szCs w:val="21"/>
          <w:lang w:val="en-GB"/>
        </w:rPr>
        <w:t>卯</w:t>
      </w:r>
      <w:r w:rsidRPr="00BF42B7">
        <w:rPr>
          <w:rFonts w:asciiTheme="majorBidi" w:hAnsiTheme="majorBidi" w:cstheme="majorBidi"/>
          <w:bCs/>
          <w:iCs/>
          <w:szCs w:val="21"/>
          <w:lang w:val="en-GB"/>
        </w:rPr>
        <w:t>)</w:t>
      </w:r>
      <w:r w:rsidRPr="00BF42B7">
        <w:rPr>
          <w:rFonts w:asciiTheme="majorBidi" w:hAnsiTheme="majorBidi" w:cstheme="majorBidi"/>
          <w:bCs/>
          <w:iCs/>
          <w:szCs w:val="21"/>
          <w:lang w:val="en-GB"/>
        </w:rPr>
        <w:t>项，其中规定司法判例是确定国际法规则，包括习惯国际法规则的</w:t>
      </w:r>
      <w:r w:rsidRPr="00BF42B7">
        <w:rPr>
          <w:rFonts w:asciiTheme="majorBidi" w:hAnsiTheme="majorBidi" w:cstheme="majorBidi" w:hint="eastAsia"/>
          <w:bCs/>
          <w:iCs/>
          <w:szCs w:val="21"/>
          <w:lang w:val="en-GB"/>
        </w:rPr>
        <w:t>“</w:t>
      </w:r>
      <w:r w:rsidRPr="00BF42B7">
        <w:rPr>
          <w:rFonts w:asciiTheme="majorBidi" w:hAnsiTheme="majorBidi" w:cstheme="majorBidi"/>
          <w:bCs/>
          <w:iCs/>
          <w:szCs w:val="21"/>
          <w:lang w:val="en-GB"/>
        </w:rPr>
        <w:t>辅助手段</w:t>
      </w:r>
      <w:r w:rsidRPr="00BF42B7">
        <w:rPr>
          <w:rFonts w:asciiTheme="majorBidi" w:hAnsiTheme="majorBidi" w:cstheme="majorBidi" w:hint="eastAsia"/>
          <w:bCs/>
          <w:iCs/>
          <w:szCs w:val="21"/>
          <w:lang w:val="en-GB"/>
        </w:rPr>
        <w:t>”</w:t>
      </w:r>
      <w:r w:rsidRPr="00BF42B7">
        <w:rPr>
          <w:rFonts w:asciiTheme="majorBidi" w:hAnsiTheme="majorBidi" w:cstheme="majorBidi"/>
          <w:bCs/>
          <w:szCs w:val="21"/>
          <w:lang w:val="en-GB"/>
        </w:rPr>
        <w:t>(</w:t>
      </w:r>
      <w:r w:rsidRPr="00BF42B7">
        <w:rPr>
          <w:rFonts w:asciiTheme="majorBidi" w:hAnsiTheme="majorBidi" w:cstheme="majorBidi"/>
          <w:bCs/>
          <w:iCs/>
          <w:szCs w:val="21"/>
          <w:lang w:val="en-GB"/>
        </w:rPr>
        <w:t>moyen auxiliaire)</w:t>
      </w:r>
      <w:r w:rsidRPr="00BF42B7">
        <w:rPr>
          <w:rFonts w:asciiTheme="majorBidi" w:hAnsiTheme="majorBidi" w:cstheme="majorBidi"/>
          <w:bCs/>
          <w:iCs/>
          <w:szCs w:val="21"/>
          <w:lang w:val="en-GB"/>
        </w:rPr>
        <w:t>。</w:t>
      </w:r>
      <w:r w:rsidRPr="00BF42B7">
        <w:rPr>
          <w:rFonts w:asciiTheme="majorBidi" w:hAnsiTheme="majorBidi" w:cstheme="majorBidi" w:hint="eastAsia"/>
          <w:bCs/>
          <w:iCs/>
          <w:szCs w:val="21"/>
          <w:lang w:val="en-GB"/>
        </w:rPr>
        <w:t>“</w:t>
      </w:r>
      <w:r w:rsidRPr="00BF42B7">
        <w:rPr>
          <w:rFonts w:asciiTheme="majorBidi" w:hAnsiTheme="majorBidi" w:cstheme="majorBidi"/>
          <w:bCs/>
          <w:iCs/>
          <w:szCs w:val="21"/>
          <w:lang w:val="en-GB"/>
        </w:rPr>
        <w:t>辅助手段</w:t>
      </w:r>
      <w:r w:rsidRPr="00BF42B7">
        <w:rPr>
          <w:rFonts w:asciiTheme="majorBidi" w:hAnsiTheme="majorBidi" w:cstheme="majorBidi" w:hint="eastAsia"/>
          <w:bCs/>
          <w:iCs/>
          <w:szCs w:val="21"/>
          <w:lang w:val="en-GB"/>
        </w:rPr>
        <w:t>”</w:t>
      </w:r>
      <w:r w:rsidRPr="00BF42B7">
        <w:rPr>
          <w:rFonts w:asciiTheme="majorBidi" w:hAnsiTheme="majorBidi" w:cstheme="majorBidi"/>
          <w:bCs/>
          <w:iCs/>
          <w:szCs w:val="21"/>
          <w:lang w:val="en-GB"/>
        </w:rPr>
        <w:t>的措辞表明了这类判决在阐明法律方面的补充作用，而不是像条约、习惯国际法或一般法律原则那样本身就是国际法的渊源。</w:t>
      </w:r>
      <w:r w:rsidRPr="00BF42B7">
        <w:rPr>
          <w:rFonts w:asciiTheme="majorBidi" w:hAnsiTheme="majorBidi" w:cstheme="majorBidi" w:hint="eastAsia"/>
          <w:bCs/>
          <w:iCs/>
          <w:szCs w:val="21"/>
          <w:lang w:val="en-GB"/>
        </w:rPr>
        <w:t>“</w:t>
      </w:r>
      <w:r w:rsidRPr="00BF42B7">
        <w:rPr>
          <w:rFonts w:asciiTheme="majorBidi" w:hAnsiTheme="majorBidi" w:cstheme="majorBidi"/>
          <w:bCs/>
          <w:iCs/>
          <w:szCs w:val="21"/>
          <w:lang w:val="en-GB"/>
        </w:rPr>
        <w:t>辅助手段</w:t>
      </w:r>
      <w:r w:rsidRPr="00BF42B7">
        <w:rPr>
          <w:rFonts w:asciiTheme="majorBidi" w:hAnsiTheme="majorBidi" w:cstheme="majorBidi" w:hint="eastAsia"/>
          <w:bCs/>
          <w:iCs/>
          <w:szCs w:val="21"/>
          <w:lang w:val="en-GB"/>
        </w:rPr>
        <w:t>”</w:t>
      </w:r>
      <w:r w:rsidRPr="00BF42B7">
        <w:rPr>
          <w:rFonts w:asciiTheme="majorBidi" w:hAnsiTheme="majorBidi" w:cstheme="majorBidi"/>
          <w:bCs/>
          <w:iCs/>
          <w:szCs w:val="21"/>
          <w:lang w:val="en-GB"/>
        </w:rPr>
        <w:t>一词的使用无意表明这类判决在实践中不重要。</w:t>
      </w:r>
    </w:p>
    <w:p w:rsidR="008D7906" w:rsidRPr="00BF42B7" w:rsidRDefault="008D7906" w:rsidP="008D7906">
      <w:pPr>
        <w:pStyle w:val="SingleTxtGC"/>
        <w:rPr>
          <w:lang w:val="en-GB"/>
        </w:rPr>
      </w:pPr>
      <w:r w:rsidRPr="00BF42B7">
        <w:rPr>
          <w:lang w:val="en-GB"/>
        </w:rPr>
        <w:t xml:space="preserve">(3)  </w:t>
      </w:r>
      <w:r w:rsidRPr="00BF42B7">
        <w:rPr>
          <w:lang w:val="en-GB"/>
        </w:rPr>
        <w:t>各法院和法庭关于国际法问题的判决，尤其是考虑了习惯国际法规则的存在，并识别和适用了这类规则的判决，可为确定习惯国际法规则存在与否提供宝贵的指南。不过，这类判决的价值大不相同，取决于每项判决的推理过程</w:t>
      </w:r>
      <w:r w:rsidRPr="00BF42B7">
        <w:rPr>
          <w:lang w:val="en-GB"/>
        </w:rPr>
        <w:t>(</w:t>
      </w:r>
      <w:r w:rsidRPr="00BF42B7">
        <w:rPr>
          <w:lang w:val="en-GB"/>
        </w:rPr>
        <w:t>包括判决在多大程度上是基于对被接受为法律的某项宣称的一般惯例之证据的仔细审查</w:t>
      </w:r>
      <w:r w:rsidRPr="00BF42B7">
        <w:rPr>
          <w:lang w:val="en-GB"/>
        </w:rPr>
        <w:t>)</w:t>
      </w:r>
      <w:r w:rsidRPr="00BF42B7">
        <w:rPr>
          <w:lang w:val="en-GB"/>
        </w:rPr>
        <w:t>以及各国及其他法院对判决的接受程度。其他考虑因素可酌情包括法院或法庭的组成</w:t>
      </w:r>
      <w:r w:rsidRPr="00BF42B7">
        <w:rPr>
          <w:lang w:val="en-GB"/>
        </w:rPr>
        <w:t>(</w:t>
      </w:r>
      <w:r w:rsidRPr="00BF42B7">
        <w:rPr>
          <w:lang w:val="en-GB"/>
        </w:rPr>
        <w:t>及其成员的特殊专长</w:t>
      </w:r>
      <w:r w:rsidRPr="00BF42B7">
        <w:rPr>
          <w:lang w:val="en-GB"/>
        </w:rPr>
        <w:t>)</w:t>
      </w:r>
      <w:r w:rsidRPr="00BF42B7">
        <w:rPr>
          <w:lang w:val="en-GB"/>
        </w:rPr>
        <w:t>；判决通过时所获多数赞成的规模；以及法院或法庭据以</w:t>
      </w:r>
      <w:r w:rsidRPr="00BF42B7">
        <w:rPr>
          <w:spacing w:val="2"/>
          <w:lang w:val="en-GB"/>
        </w:rPr>
        <w:t>运作</w:t>
      </w:r>
      <w:r w:rsidRPr="00BF42B7">
        <w:rPr>
          <w:spacing w:val="2"/>
          <w:lang w:val="en-GB"/>
        </w:rPr>
        <w:t>/</w:t>
      </w:r>
      <w:r w:rsidRPr="00BF42B7">
        <w:rPr>
          <w:spacing w:val="2"/>
          <w:lang w:val="en-GB"/>
        </w:rPr>
        <w:t>开展其工作的条件。此外，还必须牢记，关于习惯国际法状况的司法裁决不会冻结法律的发展；习惯国际法规则可能自特定判决发布之日起已经有所演变。</w:t>
      </w:r>
      <w:r w:rsidRPr="00BF42B7">
        <w:rPr>
          <w:color w:val="0000FF"/>
          <w:spacing w:val="2"/>
          <w:vertAlign w:val="superscript"/>
          <w:lang w:val="en-GB"/>
        </w:rPr>
        <w:footnoteReference w:id="347"/>
      </w:r>
    </w:p>
    <w:p w:rsidR="008D7906" w:rsidRPr="00BF42B7" w:rsidRDefault="008D7906" w:rsidP="008D7906">
      <w:pPr>
        <w:pStyle w:val="SingleTxtGC"/>
        <w:rPr>
          <w:rFonts w:asciiTheme="majorBidi" w:hAnsiTheme="majorBidi" w:cstheme="majorBidi"/>
          <w:bCs/>
          <w:szCs w:val="21"/>
          <w:lang w:val="en-GB"/>
        </w:rPr>
      </w:pPr>
      <w:r w:rsidRPr="00BF42B7">
        <w:rPr>
          <w:rFonts w:asciiTheme="majorBidi" w:hAnsiTheme="majorBidi" w:cstheme="majorBidi"/>
          <w:bCs/>
          <w:iCs/>
          <w:szCs w:val="21"/>
          <w:lang w:val="en-GB"/>
        </w:rPr>
        <w:t xml:space="preserve">(4)  </w:t>
      </w:r>
      <w:r w:rsidRPr="00BF42B7">
        <w:rPr>
          <w:rFonts w:asciiTheme="majorBidi" w:hAnsiTheme="majorBidi" w:cstheme="majorBidi"/>
          <w:bCs/>
          <w:szCs w:val="21"/>
          <w:lang w:val="en-GB"/>
        </w:rPr>
        <w:t>第</w:t>
      </w:r>
      <w:r w:rsidRPr="00BF42B7">
        <w:rPr>
          <w:rFonts w:asciiTheme="majorBidi" w:hAnsiTheme="majorBidi" w:cstheme="majorBidi"/>
          <w:bCs/>
          <w:szCs w:val="21"/>
          <w:lang w:val="en-GB"/>
        </w:rPr>
        <w:t>1</w:t>
      </w:r>
      <w:r w:rsidRPr="00BF42B7">
        <w:rPr>
          <w:rFonts w:asciiTheme="majorBidi" w:hAnsiTheme="majorBidi" w:cstheme="majorBidi"/>
          <w:bCs/>
          <w:szCs w:val="21"/>
          <w:lang w:val="en-GB"/>
        </w:rPr>
        <w:t>段提到</w:t>
      </w:r>
      <w:r w:rsidRPr="00BF42B7">
        <w:rPr>
          <w:rFonts w:asciiTheme="majorBidi" w:hAnsiTheme="majorBidi" w:cstheme="majorBidi" w:hint="eastAsia"/>
          <w:bCs/>
          <w:szCs w:val="21"/>
          <w:lang w:val="en-GB"/>
        </w:rPr>
        <w:t>“</w:t>
      </w:r>
      <w:r w:rsidRPr="00BF42B7">
        <w:rPr>
          <w:rFonts w:asciiTheme="majorBidi" w:hAnsiTheme="majorBidi" w:cstheme="majorBidi"/>
          <w:bCs/>
          <w:szCs w:val="21"/>
          <w:lang w:val="en-GB"/>
        </w:rPr>
        <w:t>国际性法院和法庭</w:t>
      </w:r>
      <w:r w:rsidRPr="00BF42B7">
        <w:rPr>
          <w:rFonts w:asciiTheme="majorBidi" w:hAnsiTheme="majorBidi" w:cstheme="majorBidi" w:hint="eastAsia"/>
          <w:bCs/>
          <w:szCs w:val="21"/>
          <w:lang w:val="en-GB"/>
        </w:rPr>
        <w:t>”</w:t>
      </w:r>
      <w:r w:rsidRPr="00BF42B7">
        <w:rPr>
          <w:rFonts w:asciiTheme="majorBidi" w:hAnsiTheme="majorBidi" w:cstheme="majorBidi"/>
          <w:bCs/>
          <w:szCs w:val="21"/>
          <w:lang w:val="en-GB"/>
        </w:rPr>
        <w:t>，这种措辞意在涵盖任何被提请审查习惯国际法规则的行使司法权的国际机构。认识到国际法院案例法的重要性，和其作为具有一般管辖权的唯一常设国际性法院的特殊权威，该法院被明确提及，它是联合国的主要司法机关，其规约是《联合国宪章》的组成部分，其成员由大会和安理会选举产生。</w:t>
      </w:r>
      <w:r w:rsidRPr="00BF42B7">
        <w:rPr>
          <w:rFonts w:cstheme="majorBidi"/>
          <w:bCs/>
          <w:color w:val="0000FF"/>
          <w:szCs w:val="21"/>
          <w:vertAlign w:val="superscript"/>
          <w:lang w:val="en-GB"/>
        </w:rPr>
        <w:footnoteReference w:id="348"/>
      </w:r>
      <w:r w:rsidRPr="00BF42B7">
        <w:rPr>
          <w:rFonts w:cstheme="majorBidi"/>
          <w:bCs/>
          <w:color w:val="0000FF"/>
          <w:szCs w:val="21"/>
          <w:vertAlign w:val="superscript"/>
          <w:lang w:val="en-GB"/>
        </w:rPr>
        <w:t xml:space="preserve"> </w:t>
      </w:r>
      <w:r w:rsidRPr="00BF42B7">
        <w:rPr>
          <w:rFonts w:asciiTheme="majorBidi" w:hAnsiTheme="majorBidi" w:cstheme="majorBidi"/>
          <w:bCs/>
          <w:szCs w:val="21"/>
          <w:lang w:val="en-GB"/>
        </w:rPr>
        <w:t>除了国际法院的前身</w:t>
      </w:r>
      <w:r w:rsidRPr="00BF42B7">
        <w:rPr>
          <w:rFonts w:asciiTheme="majorBidi" w:hAnsiTheme="majorBidi" w:cstheme="majorBidi"/>
          <w:szCs w:val="21"/>
          <w:lang w:val="en-GB"/>
        </w:rPr>
        <w:t>常设国际法院</w:t>
      </w:r>
      <w:r w:rsidRPr="00BF42B7">
        <w:rPr>
          <w:rFonts w:asciiTheme="majorBidi" w:hAnsiTheme="majorBidi" w:cstheme="majorBidi"/>
          <w:bCs/>
          <w:szCs w:val="21"/>
          <w:lang w:val="en-GB"/>
        </w:rPr>
        <w:t>，</w:t>
      </w:r>
      <w:r w:rsidRPr="00BF42B7">
        <w:rPr>
          <w:rFonts w:asciiTheme="majorBidi" w:hAnsiTheme="majorBidi" w:cstheme="majorBidi" w:hint="eastAsia"/>
          <w:bCs/>
          <w:szCs w:val="21"/>
          <w:lang w:val="en-GB"/>
        </w:rPr>
        <w:t>“</w:t>
      </w:r>
      <w:r w:rsidRPr="00BF42B7">
        <w:rPr>
          <w:rFonts w:asciiTheme="majorBidi" w:hAnsiTheme="majorBidi" w:cstheme="majorBidi"/>
          <w:bCs/>
          <w:szCs w:val="21"/>
          <w:lang w:val="en-GB"/>
        </w:rPr>
        <w:t>国际性法院和法庭</w:t>
      </w:r>
      <w:r w:rsidRPr="00BF42B7">
        <w:rPr>
          <w:rFonts w:asciiTheme="majorBidi" w:hAnsiTheme="majorBidi" w:cstheme="majorBidi" w:hint="eastAsia"/>
          <w:bCs/>
          <w:szCs w:val="21"/>
          <w:lang w:val="en-GB"/>
        </w:rPr>
        <w:t>”</w:t>
      </w:r>
      <w:r w:rsidRPr="00BF42B7">
        <w:rPr>
          <w:rFonts w:asciiTheme="majorBidi" w:hAnsiTheme="majorBidi" w:cstheme="majorBidi"/>
          <w:bCs/>
          <w:szCs w:val="21"/>
          <w:lang w:val="en-GB"/>
        </w:rPr>
        <w:t>这一说法还包括</w:t>
      </w:r>
      <w:r w:rsidRPr="00BF42B7">
        <w:rPr>
          <w:rFonts w:asciiTheme="majorBidi" w:hAnsiTheme="majorBidi" w:cstheme="majorBidi"/>
          <w:bCs/>
          <w:szCs w:val="21"/>
          <w:lang w:val="en-GB"/>
        </w:rPr>
        <w:t>(</w:t>
      </w:r>
      <w:r w:rsidRPr="00BF42B7">
        <w:rPr>
          <w:rFonts w:asciiTheme="majorBidi" w:hAnsiTheme="majorBidi" w:cstheme="majorBidi"/>
          <w:bCs/>
          <w:szCs w:val="21"/>
          <w:lang w:val="en-GB"/>
        </w:rPr>
        <w:t>但不限于</w:t>
      </w:r>
      <w:r w:rsidRPr="00BF42B7">
        <w:rPr>
          <w:rFonts w:asciiTheme="majorBidi" w:hAnsiTheme="majorBidi" w:cstheme="majorBidi"/>
          <w:bCs/>
          <w:szCs w:val="21"/>
          <w:lang w:val="en-GB"/>
        </w:rPr>
        <w:t>)</w:t>
      </w:r>
      <w:r w:rsidRPr="00BF42B7">
        <w:rPr>
          <w:rFonts w:asciiTheme="majorBidi" w:hAnsiTheme="majorBidi" w:cstheme="majorBidi"/>
          <w:bCs/>
          <w:szCs w:val="21"/>
          <w:lang w:val="en-GB"/>
        </w:rPr>
        <w:t>专门法院和区域法院，例如，</w:t>
      </w:r>
      <w:r w:rsidRPr="00BF42B7">
        <w:rPr>
          <w:rFonts w:asciiTheme="majorBidi" w:hAnsiTheme="majorBidi" w:cstheme="majorBidi"/>
          <w:szCs w:val="21"/>
          <w:lang w:val="en-GB"/>
        </w:rPr>
        <w:t>国际海洋法法庭、国际刑事法院和其他国际刑事法庭、区域人权法院和世界贸易组织上诉机构。它还包括国家间仲裁法庭和其他适用国际法的仲裁法庭。国际性法院和法庭的判决需接受上一段所提及的那种考虑，但这些法院和法庭通常可支配的技能和证据的广度使它们的判决具有重要份量。</w:t>
      </w:r>
    </w:p>
    <w:p w:rsidR="008D7906" w:rsidRPr="00BF42B7" w:rsidRDefault="008D7906" w:rsidP="008D7906">
      <w:pPr>
        <w:pStyle w:val="SingleTxtGC"/>
        <w:rPr>
          <w:rFonts w:asciiTheme="majorBidi" w:hAnsiTheme="majorBidi" w:cstheme="majorBidi"/>
          <w:bCs/>
          <w:szCs w:val="21"/>
          <w:lang w:val="en-GB"/>
        </w:rPr>
      </w:pPr>
      <w:r w:rsidRPr="00BF42B7">
        <w:rPr>
          <w:rFonts w:asciiTheme="majorBidi" w:hAnsiTheme="majorBidi" w:cstheme="majorBidi"/>
          <w:bCs/>
          <w:szCs w:val="21"/>
          <w:lang w:val="en-GB"/>
        </w:rPr>
        <w:t xml:space="preserve">(5)  </w:t>
      </w:r>
      <w:r w:rsidRPr="00BF42B7">
        <w:rPr>
          <w:rFonts w:asciiTheme="majorBidi" w:hAnsiTheme="majorBidi" w:cstheme="majorBidi"/>
          <w:bCs/>
          <w:szCs w:val="21"/>
          <w:lang w:val="en-GB"/>
        </w:rPr>
        <w:t>为本结论草案的目的，</w:t>
      </w:r>
      <w:r w:rsidRPr="00BF42B7">
        <w:rPr>
          <w:rFonts w:asciiTheme="majorBidi" w:hAnsiTheme="majorBidi" w:cstheme="majorBidi" w:hint="eastAsia"/>
          <w:bCs/>
          <w:szCs w:val="21"/>
          <w:lang w:val="en-GB"/>
        </w:rPr>
        <w:t>“</w:t>
      </w:r>
      <w:r w:rsidRPr="00BF42B7">
        <w:rPr>
          <w:rFonts w:asciiTheme="majorBidi" w:hAnsiTheme="majorBidi" w:cstheme="majorBidi"/>
          <w:bCs/>
          <w:szCs w:val="21"/>
          <w:lang w:val="en-GB"/>
        </w:rPr>
        <w:t>判决</w:t>
      </w:r>
      <w:r w:rsidRPr="00BF42B7">
        <w:rPr>
          <w:rFonts w:asciiTheme="majorBidi" w:hAnsiTheme="majorBidi" w:cstheme="majorBidi" w:hint="eastAsia"/>
          <w:bCs/>
          <w:szCs w:val="21"/>
          <w:lang w:val="en-GB"/>
        </w:rPr>
        <w:t>”</w:t>
      </w:r>
      <w:r w:rsidRPr="00BF42B7">
        <w:rPr>
          <w:rFonts w:asciiTheme="majorBidi" w:hAnsiTheme="majorBidi" w:cstheme="majorBidi"/>
          <w:bCs/>
          <w:szCs w:val="21"/>
          <w:lang w:val="en-GB"/>
        </w:rPr>
        <w:t>一词包括判决和咨询意见以及关于程序和中间事项的指示。个别意见和不同意见可有助于理解判决，并可能讨论到法院或法庭的判决中没有涵盖的要点；但必须对它们进行谨慎处理，因为它们可能仅反映个别法官的观点，或是列出没有被法院或法庭接受的要点。</w:t>
      </w:r>
    </w:p>
    <w:p w:rsidR="008D7906" w:rsidRPr="00BF42B7" w:rsidRDefault="008D7906" w:rsidP="008D7906">
      <w:pPr>
        <w:pStyle w:val="SingleTxtGC"/>
        <w:rPr>
          <w:rFonts w:asciiTheme="majorBidi" w:hAnsiTheme="majorBidi" w:cstheme="majorBidi"/>
          <w:bCs/>
          <w:i/>
          <w:szCs w:val="21"/>
          <w:lang w:val="en-GB"/>
        </w:rPr>
      </w:pPr>
      <w:r w:rsidRPr="00BF42B7">
        <w:rPr>
          <w:rFonts w:asciiTheme="majorBidi" w:hAnsiTheme="majorBidi" w:cstheme="majorBidi"/>
          <w:bCs/>
          <w:iCs/>
          <w:szCs w:val="21"/>
          <w:lang w:val="en-GB"/>
        </w:rPr>
        <w:t xml:space="preserve">(6)  </w:t>
      </w:r>
      <w:r w:rsidRPr="00BF42B7">
        <w:rPr>
          <w:rFonts w:asciiTheme="majorBidi" w:hAnsiTheme="majorBidi" w:cstheme="majorBidi"/>
          <w:bCs/>
          <w:szCs w:val="21"/>
          <w:lang w:val="en-GB"/>
        </w:rPr>
        <w:t>第</w:t>
      </w:r>
      <w:r w:rsidRPr="00BF42B7">
        <w:rPr>
          <w:rFonts w:asciiTheme="majorBidi" w:hAnsiTheme="majorBidi" w:cstheme="majorBidi"/>
          <w:bCs/>
          <w:szCs w:val="21"/>
          <w:lang w:val="en-GB"/>
        </w:rPr>
        <w:t>2</w:t>
      </w:r>
      <w:r w:rsidRPr="00BF42B7">
        <w:rPr>
          <w:rFonts w:asciiTheme="majorBidi" w:hAnsiTheme="majorBidi" w:cstheme="majorBidi"/>
          <w:bCs/>
          <w:szCs w:val="21"/>
          <w:lang w:val="en-GB"/>
        </w:rPr>
        <w:t>段涉及各国法院</w:t>
      </w:r>
      <w:r w:rsidRPr="00BF42B7">
        <w:rPr>
          <w:rFonts w:asciiTheme="majorBidi" w:hAnsiTheme="majorBidi" w:cstheme="majorBidi"/>
          <w:bCs/>
          <w:szCs w:val="21"/>
          <w:lang w:val="en-GB"/>
        </w:rPr>
        <w:t>(</w:t>
      </w:r>
      <w:r w:rsidRPr="00BF42B7">
        <w:rPr>
          <w:rFonts w:asciiTheme="majorBidi" w:hAnsiTheme="majorBidi" w:cstheme="majorBidi"/>
          <w:bCs/>
          <w:szCs w:val="21"/>
          <w:lang w:val="en-GB"/>
        </w:rPr>
        <w:t>也被称为国内法院</w:t>
      </w:r>
      <w:r w:rsidRPr="00BF42B7">
        <w:rPr>
          <w:rFonts w:asciiTheme="majorBidi" w:hAnsiTheme="majorBidi" w:cstheme="majorBidi"/>
          <w:bCs/>
          <w:szCs w:val="21"/>
          <w:lang w:val="en-GB"/>
        </w:rPr>
        <w:t>)</w:t>
      </w:r>
      <w:r w:rsidRPr="00BF42B7">
        <w:rPr>
          <w:rFonts w:asciiTheme="majorBidi" w:hAnsiTheme="majorBidi" w:cstheme="majorBidi"/>
          <w:bCs/>
          <w:szCs w:val="21"/>
          <w:lang w:val="en-GB"/>
        </w:rPr>
        <w:t>的判决。</w:t>
      </w:r>
      <w:r w:rsidRPr="00BF42B7">
        <w:rPr>
          <w:rFonts w:cstheme="majorBidi"/>
          <w:bCs/>
          <w:color w:val="0000FF"/>
          <w:szCs w:val="21"/>
          <w:vertAlign w:val="superscript"/>
          <w:lang w:val="en-GB"/>
        </w:rPr>
        <w:footnoteReference w:id="349"/>
      </w:r>
      <w:r w:rsidRPr="00BF42B7">
        <w:rPr>
          <w:rFonts w:cstheme="majorBidi"/>
          <w:bCs/>
          <w:color w:val="0000FF"/>
          <w:szCs w:val="21"/>
          <w:vertAlign w:val="superscript"/>
          <w:lang w:val="en-GB"/>
        </w:rPr>
        <w:t xml:space="preserve"> </w:t>
      </w:r>
      <w:r w:rsidRPr="00BF42B7">
        <w:rPr>
          <w:rFonts w:asciiTheme="majorBidi" w:hAnsiTheme="majorBidi" w:cstheme="majorBidi"/>
          <w:bCs/>
          <w:szCs w:val="21"/>
          <w:lang w:val="en-GB"/>
        </w:rPr>
        <w:t>国际性法院和各国法院之间的区别并不总是那么明确；用在这些结论中的</w:t>
      </w:r>
      <w:r w:rsidRPr="00BF42B7">
        <w:rPr>
          <w:rFonts w:asciiTheme="majorBidi" w:hAnsiTheme="majorBidi" w:cstheme="majorBidi" w:hint="eastAsia"/>
          <w:bCs/>
          <w:szCs w:val="21"/>
          <w:lang w:val="en-GB"/>
        </w:rPr>
        <w:t>“</w:t>
      </w:r>
      <w:r w:rsidRPr="00BF42B7">
        <w:rPr>
          <w:rFonts w:asciiTheme="majorBidi" w:hAnsiTheme="majorBidi" w:cstheme="majorBidi"/>
          <w:bCs/>
          <w:szCs w:val="21"/>
          <w:lang w:val="en-GB"/>
        </w:rPr>
        <w:t>各国法院</w:t>
      </w:r>
      <w:r w:rsidRPr="00BF42B7">
        <w:rPr>
          <w:rFonts w:asciiTheme="majorBidi" w:hAnsiTheme="majorBidi" w:cstheme="majorBidi" w:hint="eastAsia"/>
          <w:bCs/>
          <w:szCs w:val="21"/>
          <w:lang w:val="en-GB"/>
        </w:rPr>
        <w:t>”</w:t>
      </w:r>
      <w:r w:rsidRPr="00BF42B7">
        <w:rPr>
          <w:rFonts w:asciiTheme="majorBidi" w:hAnsiTheme="majorBidi" w:cstheme="majorBidi"/>
          <w:bCs/>
          <w:szCs w:val="21"/>
          <w:lang w:val="en-GB"/>
        </w:rPr>
        <w:t>一词也适用于在一个或多个国内法律体系内运作的具有国际性人员构成的法院，例如具有本国和国际混合人员构成和混合管辖权的混合性法院和法庭。</w:t>
      </w:r>
    </w:p>
    <w:p w:rsidR="008D7906" w:rsidRPr="00BF42B7" w:rsidRDefault="008D7906" w:rsidP="008D7906">
      <w:pPr>
        <w:pStyle w:val="SingleTxtGC"/>
        <w:rPr>
          <w:rFonts w:asciiTheme="majorBidi" w:hAnsiTheme="majorBidi" w:cstheme="majorBidi"/>
          <w:bCs/>
          <w:szCs w:val="21"/>
          <w:lang w:val="en-GB"/>
        </w:rPr>
      </w:pPr>
      <w:r w:rsidRPr="00BF42B7">
        <w:rPr>
          <w:rFonts w:asciiTheme="majorBidi" w:hAnsiTheme="majorBidi" w:cstheme="majorBidi"/>
          <w:bCs/>
          <w:szCs w:val="21"/>
          <w:lang w:val="en-GB"/>
        </w:rPr>
        <w:t xml:space="preserve">(7)  </w:t>
      </w:r>
      <w:r w:rsidRPr="00BF42B7">
        <w:rPr>
          <w:rFonts w:asciiTheme="majorBidi" w:hAnsiTheme="majorBidi" w:cstheme="majorBidi"/>
          <w:bCs/>
          <w:szCs w:val="21"/>
          <w:lang w:val="en-GB"/>
        </w:rPr>
        <w:t>试图依据各国法院的判决作为确定习惯国际法规则的辅助手段时需要采取审慎态度。第</w:t>
      </w:r>
      <w:r w:rsidRPr="00BF42B7">
        <w:rPr>
          <w:rFonts w:asciiTheme="majorBidi" w:hAnsiTheme="majorBidi" w:cstheme="majorBidi"/>
          <w:bCs/>
          <w:szCs w:val="21"/>
          <w:lang w:val="en-GB"/>
        </w:rPr>
        <w:t>1</w:t>
      </w:r>
      <w:r w:rsidRPr="00BF42B7">
        <w:rPr>
          <w:rFonts w:asciiTheme="majorBidi" w:hAnsiTheme="majorBidi" w:cstheme="majorBidi"/>
          <w:bCs/>
          <w:szCs w:val="21"/>
          <w:lang w:val="en-GB"/>
        </w:rPr>
        <w:t>段和第</w:t>
      </w:r>
      <w:r w:rsidRPr="00BF42B7">
        <w:rPr>
          <w:rFonts w:asciiTheme="majorBidi" w:hAnsiTheme="majorBidi" w:cstheme="majorBidi"/>
          <w:bCs/>
          <w:szCs w:val="21"/>
          <w:lang w:val="en-GB"/>
        </w:rPr>
        <w:t>2</w:t>
      </w:r>
      <w:r w:rsidRPr="00BF42B7">
        <w:rPr>
          <w:rFonts w:asciiTheme="majorBidi" w:hAnsiTheme="majorBidi" w:cstheme="majorBidi"/>
          <w:bCs/>
          <w:szCs w:val="21"/>
          <w:lang w:val="en-GB"/>
        </w:rPr>
        <w:t>段的不同措辞便体现出这一点，特别是第</w:t>
      </w:r>
      <w:r w:rsidRPr="00BF42B7">
        <w:rPr>
          <w:rFonts w:asciiTheme="majorBidi" w:hAnsiTheme="majorBidi" w:cstheme="majorBidi"/>
          <w:bCs/>
          <w:szCs w:val="21"/>
          <w:lang w:val="en-GB"/>
        </w:rPr>
        <w:t>2</w:t>
      </w:r>
      <w:r w:rsidRPr="00BF42B7">
        <w:rPr>
          <w:rFonts w:asciiTheme="majorBidi" w:hAnsiTheme="majorBidi" w:cstheme="majorBidi"/>
          <w:bCs/>
          <w:szCs w:val="21"/>
          <w:lang w:val="en-GB"/>
        </w:rPr>
        <w:t>段中使用的</w:t>
      </w:r>
      <w:r w:rsidRPr="00BF42B7">
        <w:rPr>
          <w:rFonts w:asciiTheme="majorBidi" w:hAnsiTheme="majorBidi" w:cstheme="majorBidi" w:hint="eastAsia"/>
          <w:bCs/>
          <w:szCs w:val="21"/>
          <w:lang w:val="en-GB"/>
        </w:rPr>
        <w:t>“</w:t>
      </w:r>
      <w:r w:rsidRPr="00BF42B7">
        <w:rPr>
          <w:rFonts w:asciiTheme="majorBidi" w:hAnsiTheme="majorBidi" w:cstheme="majorBidi"/>
          <w:szCs w:val="21"/>
          <w:lang w:val="en-GB"/>
        </w:rPr>
        <w:t>可酌情考虑</w:t>
      </w:r>
      <w:r w:rsidRPr="00BF42B7">
        <w:rPr>
          <w:rFonts w:asciiTheme="majorBidi" w:hAnsiTheme="majorBidi" w:cstheme="majorBidi" w:hint="eastAsia"/>
          <w:bCs/>
          <w:szCs w:val="21"/>
          <w:lang w:val="en-GB"/>
        </w:rPr>
        <w:t>”</w:t>
      </w:r>
      <w:r w:rsidRPr="00BF42B7">
        <w:rPr>
          <w:rFonts w:asciiTheme="majorBidi" w:hAnsiTheme="majorBidi" w:cstheme="majorBidi"/>
          <w:bCs/>
          <w:szCs w:val="21"/>
          <w:lang w:val="en-GB"/>
        </w:rPr>
        <w:t>的说法。为当前的目的，国际性法庭的判决获得的重视通常超过各国法院判决，因为前者有可能在国际法方面具备更多专业知识，反映特定国家观点的可能性也更低。此外，还必须铭记，各国法院是在一个特定的法律体系中运作的，该体系可能仅以特殊和有限的方式反映国际法。与国际性法院不同，各国法院可能缺乏国际法方面的专业知识，并可能在作出判决时未能利用听取各国陈述的益处。</w:t>
      </w:r>
      <w:r w:rsidRPr="00BF42B7">
        <w:rPr>
          <w:rFonts w:cstheme="majorBidi"/>
          <w:bCs/>
          <w:color w:val="0000FF"/>
          <w:szCs w:val="21"/>
          <w:vertAlign w:val="superscript"/>
          <w:lang w:val="en-GB"/>
        </w:rPr>
        <w:footnoteReference w:id="350"/>
      </w:r>
    </w:p>
    <w:p w:rsidR="008D7906" w:rsidRPr="00BF42B7" w:rsidRDefault="008D7906" w:rsidP="008D7906">
      <w:pPr>
        <w:pStyle w:val="H23GC"/>
        <w:ind w:left="1565"/>
        <w:rPr>
          <w:b/>
          <w:bCs/>
          <w:lang w:val="en-GB"/>
        </w:rPr>
      </w:pPr>
      <w:r w:rsidRPr="00BF42B7">
        <w:rPr>
          <w:lang w:val="en-GB"/>
        </w:rPr>
        <w:tab/>
      </w:r>
      <w:r w:rsidRPr="00BF42B7">
        <w:rPr>
          <w:lang w:val="en-GB"/>
        </w:rPr>
        <w:tab/>
      </w:r>
      <w:r w:rsidRPr="00BF42B7">
        <w:rPr>
          <w:lang w:val="en-GB"/>
        </w:rPr>
        <w:t>结论</w:t>
      </w:r>
      <w:r w:rsidRPr="00BF42B7">
        <w:rPr>
          <w:lang w:val="en-GB"/>
        </w:rPr>
        <w:t>14</w:t>
      </w:r>
      <w:r w:rsidRPr="00BF42B7">
        <w:rPr>
          <w:lang w:val="en-GB"/>
        </w:rPr>
        <w:br/>
      </w:r>
      <w:r w:rsidRPr="00BF42B7">
        <w:rPr>
          <w:lang w:val="en-GB"/>
        </w:rPr>
        <w:t>学说</w:t>
      </w:r>
    </w:p>
    <w:p w:rsidR="008D7906" w:rsidRPr="0049004C" w:rsidRDefault="00E552D3" w:rsidP="0049004C">
      <w:pPr>
        <w:pStyle w:val="SingleTxtGC"/>
        <w:tabs>
          <w:tab w:val="clear" w:pos="1134"/>
          <w:tab w:val="clear" w:pos="1996"/>
          <w:tab w:val="left" w:pos="1904"/>
        </w:tabs>
        <w:ind w:left="1565"/>
        <w:rPr>
          <w:spacing w:val="-4"/>
          <w:lang w:val="en-GB"/>
        </w:rPr>
      </w:pPr>
      <w:r>
        <w:rPr>
          <w:rFonts w:hint="eastAsia"/>
          <w:lang w:val="en-GB"/>
        </w:rPr>
        <w:tab/>
      </w:r>
      <w:r w:rsidR="008D7906" w:rsidRPr="0049004C">
        <w:rPr>
          <w:spacing w:val="-4"/>
          <w:lang w:val="en-GB"/>
        </w:rPr>
        <w:t>各国最权威的国际法专家的学说可用作确定习惯国际法规则的辅助手段。</w:t>
      </w:r>
    </w:p>
    <w:p w:rsidR="008D7906" w:rsidRPr="00BF42B7" w:rsidRDefault="008D7906" w:rsidP="008D7906">
      <w:pPr>
        <w:pStyle w:val="H23GC"/>
        <w:rPr>
          <w:lang w:val="en-GB"/>
        </w:rPr>
      </w:pPr>
      <w:r w:rsidRPr="00BF42B7">
        <w:rPr>
          <w:lang w:val="en-GB"/>
        </w:rPr>
        <w:tab/>
      </w:r>
      <w:r w:rsidRPr="00BF42B7">
        <w:rPr>
          <w:lang w:val="en-GB"/>
        </w:rPr>
        <w:tab/>
      </w:r>
      <w:r w:rsidRPr="00BF42B7">
        <w:rPr>
          <w:lang w:val="en-GB"/>
        </w:rPr>
        <w:t>评注</w:t>
      </w:r>
    </w:p>
    <w:p w:rsidR="008D7906" w:rsidRPr="00BF42B7" w:rsidRDefault="008D7906" w:rsidP="00D522D8">
      <w:pPr>
        <w:pStyle w:val="SingleTxtGC"/>
        <w:rPr>
          <w:rFonts w:asciiTheme="majorBidi" w:hAnsiTheme="majorBidi" w:cstheme="majorBidi"/>
          <w:szCs w:val="21"/>
          <w:lang w:val="en-GB"/>
        </w:rPr>
      </w:pPr>
      <w:r w:rsidRPr="00BF42B7">
        <w:rPr>
          <w:rFonts w:asciiTheme="majorBidi" w:hAnsiTheme="majorBidi" w:cstheme="majorBidi"/>
          <w:szCs w:val="21"/>
          <w:lang w:val="en-GB"/>
        </w:rPr>
        <w:t xml:space="preserve">(1)  </w:t>
      </w:r>
      <w:r w:rsidRPr="00BF42B7">
        <w:rPr>
          <w:rFonts w:asciiTheme="majorBidi" w:hAnsiTheme="majorBidi" w:cstheme="majorBidi"/>
          <w:szCs w:val="21"/>
          <w:lang w:val="en-GB"/>
        </w:rPr>
        <w:t>结论草案</w:t>
      </w:r>
      <w:r w:rsidR="00D522D8">
        <w:rPr>
          <w:rFonts w:asciiTheme="majorBidi" w:hAnsiTheme="majorBidi" w:cstheme="majorBidi" w:hint="eastAsia"/>
          <w:szCs w:val="21"/>
          <w:lang w:val="en-GB"/>
        </w:rPr>
        <w:t>14</w:t>
      </w:r>
      <w:r w:rsidRPr="00BF42B7">
        <w:rPr>
          <w:rFonts w:asciiTheme="majorBidi" w:hAnsiTheme="majorBidi" w:cstheme="majorBidi"/>
          <w:szCs w:val="21"/>
          <w:lang w:val="en-GB"/>
        </w:rPr>
        <w:t>涉及学说</w:t>
      </w:r>
      <w:r w:rsidRPr="00BF42B7">
        <w:rPr>
          <w:rFonts w:asciiTheme="majorBidi" w:hAnsiTheme="majorBidi" w:cstheme="majorBidi"/>
          <w:szCs w:val="21"/>
          <w:lang w:val="en-GB"/>
        </w:rPr>
        <w:t>(</w:t>
      </w:r>
      <w:r w:rsidRPr="00BF42B7">
        <w:rPr>
          <w:rFonts w:asciiTheme="majorBidi" w:hAnsiTheme="majorBidi" w:cstheme="majorBidi"/>
          <w:szCs w:val="21"/>
          <w:lang w:val="en-GB"/>
        </w:rPr>
        <w:t>法语为</w:t>
      </w:r>
      <w:r w:rsidRPr="00BF42B7">
        <w:rPr>
          <w:rFonts w:asciiTheme="majorBidi" w:hAnsiTheme="majorBidi" w:cstheme="majorBidi"/>
          <w:iCs/>
          <w:szCs w:val="21"/>
          <w:lang w:val="en-GB"/>
        </w:rPr>
        <w:t>doctrine)</w:t>
      </w:r>
      <w:r w:rsidRPr="00BF42B7">
        <w:rPr>
          <w:rFonts w:asciiTheme="majorBidi" w:hAnsiTheme="majorBidi" w:cstheme="majorBidi"/>
          <w:iCs/>
          <w:szCs w:val="21"/>
          <w:lang w:val="en-GB"/>
        </w:rPr>
        <w:t>在识别习惯国际法规则方面的作用。该草案严格遵守《国际法院规约》第三十八条第一款</w:t>
      </w:r>
      <w:r w:rsidRPr="00BF42B7">
        <w:rPr>
          <w:rFonts w:asciiTheme="majorBidi" w:hAnsiTheme="majorBidi" w:cstheme="majorBidi"/>
          <w:iCs/>
          <w:szCs w:val="21"/>
          <w:lang w:val="en-GB"/>
        </w:rPr>
        <w:t>(</w:t>
      </w:r>
      <w:r w:rsidRPr="00BF42B7">
        <w:rPr>
          <w:rFonts w:asciiTheme="majorBidi" w:hAnsiTheme="majorBidi" w:cstheme="majorBidi"/>
          <w:iCs/>
          <w:szCs w:val="21"/>
          <w:lang w:val="en-GB"/>
        </w:rPr>
        <w:t>卯</w:t>
      </w:r>
      <w:r w:rsidRPr="00BF42B7">
        <w:rPr>
          <w:rFonts w:asciiTheme="majorBidi" w:hAnsiTheme="majorBidi" w:cstheme="majorBidi"/>
          <w:iCs/>
          <w:szCs w:val="21"/>
          <w:lang w:val="en-GB"/>
        </w:rPr>
        <w:t>)</w:t>
      </w:r>
      <w:r w:rsidRPr="00BF42B7">
        <w:rPr>
          <w:rFonts w:asciiTheme="majorBidi" w:hAnsiTheme="majorBidi" w:cstheme="majorBidi"/>
          <w:iCs/>
          <w:szCs w:val="21"/>
          <w:lang w:val="en-GB"/>
        </w:rPr>
        <w:t>项，规定这类著作可用作确定习惯国际法规则的辅助手段</w:t>
      </w:r>
      <w:r w:rsidRPr="00BF42B7">
        <w:rPr>
          <w:rFonts w:asciiTheme="majorBidi" w:hAnsiTheme="majorBidi" w:cstheme="majorBidi"/>
          <w:bCs/>
          <w:iCs/>
          <w:szCs w:val="21"/>
          <w:lang w:val="en-GB"/>
        </w:rPr>
        <w:t>(moyen auxiliaire)</w:t>
      </w:r>
      <w:r w:rsidRPr="00BF42B7">
        <w:rPr>
          <w:rFonts w:asciiTheme="majorBidi" w:hAnsiTheme="majorBidi" w:cstheme="majorBidi"/>
          <w:bCs/>
          <w:iCs/>
          <w:szCs w:val="21"/>
          <w:lang w:val="en-GB"/>
        </w:rPr>
        <w:t>，</w:t>
      </w:r>
      <w:r w:rsidRPr="00BF42B7">
        <w:rPr>
          <w:rFonts w:asciiTheme="majorBidi" w:hAnsiTheme="majorBidi" w:cstheme="majorBidi"/>
          <w:szCs w:val="21"/>
          <w:lang w:val="en-GB"/>
        </w:rPr>
        <w:t>也就是说用来确定是否存在被接受为法律</w:t>
      </w:r>
      <w:r w:rsidRPr="00BF42B7">
        <w:rPr>
          <w:rFonts w:asciiTheme="majorBidi" w:hAnsiTheme="majorBidi" w:cstheme="majorBidi"/>
          <w:szCs w:val="21"/>
          <w:lang w:val="en-GB"/>
        </w:rPr>
        <w:t>(</w:t>
      </w:r>
      <w:r w:rsidRPr="00BF42B7">
        <w:rPr>
          <w:rFonts w:asciiTheme="majorBidi" w:hAnsiTheme="majorBidi" w:cstheme="majorBidi"/>
          <w:szCs w:val="21"/>
          <w:lang w:val="en-GB"/>
        </w:rPr>
        <w:t>伴有法律确信</w:t>
      </w:r>
      <w:r w:rsidRPr="00BF42B7">
        <w:rPr>
          <w:rFonts w:asciiTheme="majorBidi" w:hAnsiTheme="majorBidi" w:cstheme="majorBidi"/>
          <w:szCs w:val="21"/>
          <w:lang w:val="en-GB"/>
        </w:rPr>
        <w:t>)</w:t>
      </w:r>
      <w:r w:rsidRPr="00BF42B7">
        <w:rPr>
          <w:rFonts w:asciiTheme="majorBidi" w:hAnsiTheme="majorBidi" w:cstheme="majorBidi"/>
          <w:szCs w:val="21"/>
          <w:lang w:val="en-GB"/>
        </w:rPr>
        <w:t>的一般惯例。</w:t>
      </w:r>
      <w:r w:rsidRPr="00BF42B7">
        <w:rPr>
          <w:rFonts w:asciiTheme="majorBidi" w:hAnsiTheme="majorBidi" w:cstheme="majorBidi" w:hint="eastAsia"/>
          <w:szCs w:val="21"/>
          <w:lang w:val="en-GB"/>
        </w:rPr>
        <w:t>“</w:t>
      </w:r>
      <w:r w:rsidRPr="00BF42B7">
        <w:rPr>
          <w:rFonts w:asciiTheme="majorBidi" w:hAnsiTheme="majorBidi" w:cstheme="majorBidi"/>
          <w:szCs w:val="21"/>
          <w:lang w:val="en-GB"/>
        </w:rPr>
        <w:t>学说</w:t>
      </w:r>
      <w:r w:rsidRPr="00BF42B7">
        <w:rPr>
          <w:rFonts w:asciiTheme="majorBidi" w:hAnsiTheme="majorBidi" w:cstheme="majorBidi" w:hint="eastAsia"/>
          <w:szCs w:val="21"/>
          <w:lang w:val="en-GB"/>
        </w:rPr>
        <w:t>”</w:t>
      </w:r>
      <w:r w:rsidRPr="00BF42B7">
        <w:rPr>
          <w:rFonts w:asciiTheme="majorBidi" w:hAnsiTheme="majorBidi" w:cstheme="majorBidi"/>
          <w:szCs w:val="21"/>
          <w:lang w:val="en-GB"/>
        </w:rPr>
        <w:t>一词也常常被称作</w:t>
      </w:r>
      <w:r w:rsidRPr="00BF42B7">
        <w:rPr>
          <w:rFonts w:asciiTheme="majorBidi" w:hAnsiTheme="majorBidi" w:cstheme="majorBidi" w:hint="eastAsia"/>
          <w:szCs w:val="21"/>
          <w:lang w:val="en-GB"/>
        </w:rPr>
        <w:t>“</w:t>
      </w:r>
      <w:r w:rsidRPr="00BF42B7">
        <w:rPr>
          <w:rFonts w:asciiTheme="majorBidi" w:hAnsiTheme="majorBidi" w:cstheme="majorBidi"/>
          <w:szCs w:val="21"/>
          <w:lang w:val="en-GB"/>
        </w:rPr>
        <w:t>论著</w:t>
      </w:r>
      <w:r w:rsidRPr="00BF42B7">
        <w:rPr>
          <w:rFonts w:asciiTheme="majorBidi" w:hAnsiTheme="majorBidi" w:cstheme="majorBidi" w:hint="eastAsia"/>
          <w:szCs w:val="21"/>
          <w:lang w:val="en-GB"/>
        </w:rPr>
        <w:t>”</w:t>
      </w:r>
      <w:r w:rsidRPr="00BF42B7">
        <w:rPr>
          <w:rFonts w:asciiTheme="majorBidi" w:hAnsiTheme="majorBidi" w:cstheme="majorBidi"/>
          <w:szCs w:val="21"/>
          <w:lang w:val="en-GB"/>
        </w:rPr>
        <w:t>，应予以广泛的解读；它包括非书面形式的学说，例如讲座和视听材料。</w:t>
      </w:r>
    </w:p>
    <w:p w:rsidR="008D7906" w:rsidRPr="00BF42B7" w:rsidRDefault="008D7906" w:rsidP="00D522D8">
      <w:pPr>
        <w:pStyle w:val="SingleTxtGC"/>
        <w:rPr>
          <w:lang w:val="en-GB"/>
        </w:rPr>
      </w:pPr>
      <w:r w:rsidRPr="00BF42B7">
        <w:rPr>
          <w:lang w:val="en-GB"/>
        </w:rPr>
        <w:t xml:space="preserve">(2)  </w:t>
      </w:r>
      <w:r w:rsidRPr="00BF42B7">
        <w:rPr>
          <w:lang w:val="en-GB"/>
        </w:rPr>
        <w:t>与结论草案</w:t>
      </w:r>
      <w:r w:rsidR="00D522D8">
        <w:rPr>
          <w:rFonts w:hint="eastAsia"/>
          <w:lang w:val="en-GB"/>
        </w:rPr>
        <w:t>13</w:t>
      </w:r>
      <w:r w:rsidRPr="00BF42B7">
        <w:rPr>
          <w:lang w:val="en-GB"/>
        </w:rPr>
        <w:t>提到的法院和法庭的判决一样，论著本身不是习惯国际法的渊源，但可为确定习惯国际法规则的存在及其内容提供指南。这种辅助作用认识到了它们在下列领域可能具备的价值：收集并评估国家惯例；识别国家惯例的差异和规则的可能缺失或发展；评估法律。</w:t>
      </w:r>
    </w:p>
    <w:p w:rsidR="008D7906" w:rsidRPr="00BF42B7" w:rsidRDefault="008D7906" w:rsidP="008D7906">
      <w:pPr>
        <w:pStyle w:val="SingleTxtGC"/>
        <w:rPr>
          <w:lang w:val="en-GB"/>
        </w:rPr>
      </w:pPr>
      <w:r w:rsidRPr="00BF42B7">
        <w:rPr>
          <w:lang w:val="en-GB"/>
        </w:rPr>
        <w:t xml:space="preserve">(3)  </w:t>
      </w:r>
      <w:r w:rsidRPr="00BF42B7">
        <w:rPr>
          <w:lang w:val="en-GB"/>
        </w:rPr>
        <w:t>在借鉴论著时必须保持警惕，因为它们在确定某项习惯国际法规则存在方面的价值可能有差异。</w:t>
      </w:r>
      <w:r w:rsidRPr="00BF42B7">
        <w:rPr>
          <w:rFonts w:hint="eastAsia"/>
          <w:lang w:val="en-GB"/>
        </w:rPr>
        <w:t>“</w:t>
      </w:r>
      <w:r w:rsidRPr="00BF42B7">
        <w:rPr>
          <w:lang w:val="en-GB"/>
        </w:rPr>
        <w:t>可用作</w:t>
      </w:r>
      <w:r w:rsidRPr="00BF42B7">
        <w:rPr>
          <w:rFonts w:hint="eastAsia"/>
          <w:lang w:val="en-GB"/>
        </w:rPr>
        <w:t>”</w:t>
      </w:r>
      <w:r w:rsidRPr="00BF42B7">
        <w:rPr>
          <w:lang w:val="en-GB"/>
        </w:rPr>
        <w:t>这一措辞即反映了这种提醒。首先，著述者的目的可能并不仅仅在于记录法律的现状</w:t>
      </w:r>
      <w:r w:rsidRPr="00BF42B7">
        <w:rPr>
          <w:lang w:val="en-GB"/>
        </w:rPr>
        <w:t>(</w:t>
      </w:r>
      <w:r w:rsidRPr="00BF42B7">
        <w:rPr>
          <w:lang w:val="en-GB"/>
        </w:rPr>
        <w:t>现行法</w:t>
      </w:r>
      <w:r w:rsidRPr="00BF42B7">
        <w:rPr>
          <w:lang w:val="en-GB"/>
        </w:rPr>
        <w:t>)</w:t>
      </w:r>
      <w:r w:rsidRPr="00BF42B7">
        <w:rPr>
          <w:lang w:val="en-GB"/>
        </w:rPr>
        <w:t>，还在于支持其发展</w:t>
      </w:r>
      <w:r w:rsidRPr="00BF42B7">
        <w:rPr>
          <w:lang w:val="en-GB"/>
        </w:rPr>
        <w:t>(</w:t>
      </w:r>
      <w:r w:rsidRPr="00BF42B7">
        <w:rPr>
          <w:lang w:val="en-GB"/>
        </w:rPr>
        <w:t>拟议法</w:t>
      </w:r>
      <w:r w:rsidRPr="00BF42B7">
        <w:rPr>
          <w:lang w:val="en-GB"/>
        </w:rPr>
        <w:t>)</w:t>
      </w:r>
      <w:r w:rsidRPr="00BF42B7">
        <w:rPr>
          <w:lang w:val="en-GB"/>
        </w:rPr>
        <w:t>。在这么做时，他们并不总是清楚地区分法律的现状和他们所设想的法律的状况。其次，论著可反映著述者的本国立场或其他个人立场。第三，论著的质量参差不齐。因此，评估特定著述的权威性至关重要；美国最高法院在</w:t>
      </w:r>
      <w:r w:rsidRPr="00BF42B7">
        <w:rPr>
          <w:lang w:val="en-GB"/>
        </w:rPr>
        <w:t>Paquete Habana</w:t>
      </w:r>
      <w:r w:rsidRPr="00BF42B7">
        <w:rPr>
          <w:rFonts w:eastAsia="楷体"/>
          <w:lang w:val="en-GB"/>
        </w:rPr>
        <w:t>案</w:t>
      </w:r>
      <w:r w:rsidRPr="00BF42B7">
        <w:rPr>
          <w:lang w:val="en-GB"/>
        </w:rPr>
        <w:t>中提到：</w:t>
      </w:r>
    </w:p>
    <w:p w:rsidR="008D7906" w:rsidRPr="00BF42B7" w:rsidRDefault="008D7906" w:rsidP="008D7906">
      <w:pPr>
        <w:pStyle w:val="SingleTxtGC"/>
        <w:ind w:left="1565"/>
        <w:rPr>
          <w:lang w:val="en-GB"/>
        </w:rPr>
      </w:pPr>
      <w:r w:rsidRPr="00BF42B7">
        <w:rPr>
          <w:rFonts w:hint="eastAsia"/>
          <w:lang w:val="en-GB"/>
        </w:rPr>
        <w:t>“</w:t>
      </w:r>
      <w:r w:rsidRPr="00BF42B7">
        <w:rPr>
          <w:lang w:val="en-GB"/>
        </w:rPr>
        <w:t>法学家和法律评论家的著作</w:t>
      </w:r>
      <w:r w:rsidRPr="00BF42B7">
        <w:rPr>
          <w:rStyle w:val="SingleTxtGCChar"/>
          <w:rFonts w:hint="eastAsia"/>
          <w:spacing w:val="-50"/>
        </w:rPr>
        <w:t>―</w:t>
      </w:r>
      <w:r w:rsidRPr="00BF42B7">
        <w:rPr>
          <w:rStyle w:val="SingleTxtGCChar"/>
          <w:rFonts w:hint="eastAsia"/>
        </w:rPr>
        <w:t>―</w:t>
      </w:r>
      <w:r w:rsidRPr="00BF42B7">
        <w:t>他们</w:t>
      </w:r>
      <w:r w:rsidRPr="00BF42B7">
        <w:rPr>
          <w:lang w:val="en-GB"/>
        </w:rPr>
        <w:t>通过多年的劳动、研究和经验，特别熟悉其所研究的主题。司法法庭求助于这些著作，不是为了了解其著述者关于法律应当是什么的猜测，而是为了求得关于法律实际上是什么的可靠证据。</w:t>
      </w:r>
      <w:r w:rsidRPr="00BF42B7">
        <w:rPr>
          <w:rFonts w:hint="eastAsia"/>
          <w:lang w:val="en-GB"/>
        </w:rPr>
        <w:t>”</w:t>
      </w:r>
      <w:r w:rsidRPr="00BF42B7">
        <w:rPr>
          <w:color w:val="0000FF"/>
          <w:vertAlign w:val="superscript"/>
          <w:lang w:val="en-GB"/>
        </w:rPr>
        <w:footnoteReference w:id="351"/>
      </w:r>
    </w:p>
    <w:p w:rsidR="008D7906" w:rsidRPr="00BF42B7" w:rsidRDefault="008D7906" w:rsidP="008D7906">
      <w:pPr>
        <w:pStyle w:val="SingleTxtGC"/>
        <w:rPr>
          <w:lang w:val="en-GB"/>
        </w:rPr>
      </w:pPr>
      <w:r w:rsidRPr="00BF42B7">
        <w:rPr>
          <w:lang w:val="en-GB"/>
        </w:rPr>
        <w:t xml:space="preserve">(4)  </w:t>
      </w:r>
      <w:r w:rsidRPr="00BF42B7">
        <w:rPr>
          <w:rFonts w:hint="eastAsia"/>
          <w:lang w:val="en-GB"/>
        </w:rPr>
        <w:t>“</w:t>
      </w:r>
      <w:r w:rsidRPr="00BF42B7">
        <w:rPr>
          <w:lang w:val="en-GB"/>
        </w:rPr>
        <w:t>国际法专家</w:t>
      </w:r>
      <w:r w:rsidRPr="00BF42B7">
        <w:rPr>
          <w:rFonts w:hint="eastAsia"/>
          <w:lang w:val="en-GB"/>
        </w:rPr>
        <w:t>”</w:t>
      </w:r>
      <w:r w:rsidRPr="00BF42B7">
        <w:rPr>
          <w:lang w:val="en-GB"/>
        </w:rPr>
        <w:t>一词源自《国际法院规约》，涵盖了其学术著作可阐明国际法问题的所有人。虽然其中大多数人必然是国际公法专家，但其他人也没有被排除在外。</w:t>
      </w:r>
      <w:r w:rsidRPr="00BF42B7">
        <w:rPr>
          <w:rFonts w:hint="eastAsia"/>
          <w:lang w:val="en-GB"/>
        </w:rPr>
        <w:t>“</w:t>
      </w:r>
      <w:r w:rsidRPr="00BF42B7">
        <w:rPr>
          <w:lang w:val="en-GB"/>
        </w:rPr>
        <w:t>最权威的</w:t>
      </w:r>
      <w:r w:rsidRPr="00BF42B7">
        <w:rPr>
          <w:rFonts w:hint="eastAsia"/>
          <w:lang w:val="en-GB"/>
        </w:rPr>
        <w:t>”</w:t>
      </w:r>
      <w:r w:rsidRPr="00BF42B7">
        <w:rPr>
          <w:lang w:val="en-GB"/>
        </w:rPr>
        <w:t>国际法专家的提法强调应该关注该领域知名者的论著。但是在最终的分析中，重要的是特定论著的质量，而不是著述者的声望；在这方面应该考虑的因素有，著述者在识别习惯国际法方面采取的方法，以及其文字忠于这种方法的程度。</w:t>
      </w:r>
      <w:r w:rsidRPr="00BF42B7">
        <w:rPr>
          <w:rFonts w:hint="eastAsia"/>
          <w:lang w:val="en-GB"/>
        </w:rPr>
        <w:t>“</w:t>
      </w:r>
      <w:r w:rsidRPr="00BF42B7">
        <w:rPr>
          <w:lang w:val="en-GB"/>
        </w:rPr>
        <w:t>各国</w:t>
      </w:r>
      <w:r w:rsidRPr="00BF42B7">
        <w:rPr>
          <w:rFonts w:hint="eastAsia"/>
          <w:lang w:val="en-GB"/>
        </w:rPr>
        <w:t>”</w:t>
      </w:r>
      <w:r w:rsidRPr="00BF42B7">
        <w:rPr>
          <w:lang w:val="en-GB"/>
        </w:rPr>
        <w:t>国际法专家的提法，着重指出尽可能考虑可代表各主要法律体系和全球各区域以及各种语言的论著的重要性。</w:t>
      </w:r>
    </w:p>
    <w:p w:rsidR="008D7906" w:rsidRPr="00BF42B7" w:rsidRDefault="008D7906" w:rsidP="008D7906">
      <w:pPr>
        <w:pStyle w:val="SingleTxtGC"/>
        <w:rPr>
          <w:lang w:val="en-GB"/>
        </w:rPr>
      </w:pPr>
      <w:r w:rsidRPr="00BF42B7">
        <w:rPr>
          <w:lang w:val="en-GB"/>
        </w:rPr>
        <w:t xml:space="preserve">(5)  </w:t>
      </w:r>
      <w:r w:rsidRPr="00BF42B7">
        <w:rPr>
          <w:lang w:val="en-GB"/>
        </w:rPr>
        <w:t>在这方面，参与编纂和发展国际法的国际机构的工作成果是有用的资源。这类集体机构包括国际法学会</w:t>
      </w:r>
      <w:r w:rsidRPr="00BF42B7">
        <w:rPr>
          <w:lang w:val="en-GB"/>
        </w:rPr>
        <w:t>(</w:t>
      </w:r>
      <w:r w:rsidRPr="00BF42B7">
        <w:rPr>
          <w:iCs/>
          <w:lang w:val="en-GB"/>
        </w:rPr>
        <w:t>Institut de droit international</w:t>
      </w:r>
      <w:r w:rsidRPr="00BF42B7">
        <w:rPr>
          <w:lang w:val="en-GB"/>
        </w:rPr>
        <w:t>)</w:t>
      </w:r>
      <w:r w:rsidRPr="00BF42B7">
        <w:rPr>
          <w:lang w:val="en-GB"/>
        </w:rPr>
        <w:t>和国际法协会，以及专门领域的国际专家机构。必须仔细评估每一项工作成果的价值，参照所涉机构的任务授权和专业知识、其在特定问题上所开展工作的仔细程度和客观性、特定工作成果在机构内部获得的支持以及各国的认可程度。</w:t>
      </w:r>
    </w:p>
    <w:p w:rsidR="008D7906" w:rsidRPr="00BF42B7" w:rsidRDefault="008D7906" w:rsidP="0049004C">
      <w:pPr>
        <w:pStyle w:val="H23GC"/>
        <w:spacing w:after="100"/>
        <w:ind w:left="1554"/>
        <w:rPr>
          <w:lang w:val="en-GB"/>
        </w:rPr>
      </w:pPr>
      <w:r w:rsidRPr="00BF42B7">
        <w:rPr>
          <w:lang w:val="fr-FR"/>
        </w:rPr>
        <w:tab/>
      </w:r>
      <w:r w:rsidRPr="00BF42B7">
        <w:rPr>
          <w:lang w:val="fr-FR"/>
        </w:rPr>
        <w:tab/>
      </w:r>
      <w:r w:rsidRPr="00BF42B7">
        <w:rPr>
          <w:lang w:val="fr-FR"/>
        </w:rPr>
        <w:t>第六部分</w:t>
      </w:r>
      <w:r w:rsidRPr="00BF42B7">
        <w:rPr>
          <w:lang w:val="fr-FR"/>
        </w:rPr>
        <w:br/>
      </w:r>
      <w:r w:rsidRPr="00BF42B7">
        <w:rPr>
          <w:lang w:val="fr-FR"/>
        </w:rPr>
        <w:t>一贯</w:t>
      </w:r>
      <w:r w:rsidRPr="00BF42B7">
        <w:t>反对者</w:t>
      </w:r>
    </w:p>
    <w:p w:rsidR="008D7906" w:rsidRPr="00BF42B7" w:rsidRDefault="00C64929" w:rsidP="0049004C">
      <w:pPr>
        <w:pStyle w:val="SingleTxtGC"/>
        <w:spacing w:after="100"/>
        <w:ind w:left="1764"/>
        <w:rPr>
          <w:lang w:val="en-GB"/>
        </w:rPr>
      </w:pPr>
      <w:r w:rsidRPr="00BF42B7">
        <w:rPr>
          <w:rFonts w:hint="eastAsia"/>
          <w:lang w:val="en-GB"/>
        </w:rPr>
        <w:tab/>
      </w:r>
      <w:r w:rsidR="008D7906" w:rsidRPr="00BF42B7">
        <w:rPr>
          <w:lang w:val="en-GB"/>
        </w:rPr>
        <w:t>第六部分只包含一条关于一贯反对者的结论草案。</w:t>
      </w:r>
    </w:p>
    <w:p w:rsidR="008D7906" w:rsidRPr="00BF42B7" w:rsidRDefault="008D7906" w:rsidP="0049004C">
      <w:pPr>
        <w:pStyle w:val="H23GC"/>
        <w:spacing w:after="100"/>
        <w:ind w:left="1565"/>
        <w:rPr>
          <w:lang w:val="en-GB"/>
        </w:rPr>
      </w:pPr>
      <w:r w:rsidRPr="00BF42B7">
        <w:tab/>
      </w:r>
      <w:r w:rsidRPr="00BF42B7">
        <w:tab/>
      </w:r>
      <w:r w:rsidRPr="00BF42B7">
        <w:t>结论</w:t>
      </w:r>
      <w:r w:rsidRPr="00BF42B7">
        <w:t>15</w:t>
      </w:r>
      <w:r w:rsidRPr="00BF42B7">
        <w:br/>
      </w:r>
      <w:r w:rsidRPr="00BF42B7">
        <w:t>一贯反对者</w:t>
      </w:r>
    </w:p>
    <w:p w:rsidR="008D7906" w:rsidRPr="00BF42B7" w:rsidRDefault="008D7906" w:rsidP="0049004C">
      <w:pPr>
        <w:pStyle w:val="SingleTxtGC"/>
        <w:spacing w:after="100"/>
        <w:ind w:left="1565"/>
        <w:rPr>
          <w:lang w:val="en-GB"/>
        </w:rPr>
      </w:pPr>
      <w:r w:rsidRPr="00BF42B7">
        <w:rPr>
          <w:lang w:val="en-GB"/>
        </w:rPr>
        <w:t xml:space="preserve">1.  </w:t>
      </w:r>
      <w:r w:rsidRPr="00BF42B7">
        <w:rPr>
          <w:lang w:val="fr-FR"/>
        </w:rPr>
        <w:t>如果一国在一项习惯国际法规则的形成过程中对其表示反对，只要该国坚持其反对立场，则该规则不可施用于该国。</w:t>
      </w:r>
    </w:p>
    <w:p w:rsidR="008D7906" w:rsidRPr="00BF42B7" w:rsidRDefault="008D7906" w:rsidP="0049004C">
      <w:pPr>
        <w:pStyle w:val="SingleTxtGC"/>
        <w:spacing w:after="100"/>
        <w:ind w:left="1565"/>
        <w:rPr>
          <w:lang w:val="en-GB"/>
        </w:rPr>
      </w:pPr>
      <w:r w:rsidRPr="00BF42B7">
        <w:rPr>
          <w:lang w:val="en-GB"/>
        </w:rPr>
        <w:t xml:space="preserve">2.  </w:t>
      </w:r>
      <w:r w:rsidRPr="00BF42B7">
        <w:rPr>
          <w:lang w:val="fr-FR"/>
        </w:rPr>
        <w:t>反对立场必须明确表示，向其他国家公开，并始终坚持。</w:t>
      </w:r>
    </w:p>
    <w:p w:rsidR="008D7906" w:rsidRPr="00BF42B7" w:rsidRDefault="008D7906" w:rsidP="008D7906">
      <w:pPr>
        <w:pStyle w:val="H23GC"/>
        <w:rPr>
          <w:lang w:val="en-GB"/>
        </w:rPr>
      </w:pPr>
      <w:r w:rsidRPr="00BF42B7">
        <w:rPr>
          <w:lang w:val="en-GB"/>
        </w:rPr>
        <w:tab/>
      </w:r>
      <w:r w:rsidRPr="00BF42B7">
        <w:rPr>
          <w:lang w:val="en-GB"/>
        </w:rPr>
        <w:tab/>
      </w:r>
      <w:r w:rsidRPr="00BF42B7">
        <w:rPr>
          <w:lang w:val="en-GB"/>
        </w:rPr>
        <w:t>评注</w:t>
      </w:r>
    </w:p>
    <w:p w:rsidR="008D7906" w:rsidRPr="00BF42B7" w:rsidRDefault="008D7906" w:rsidP="008D7906">
      <w:pPr>
        <w:pStyle w:val="SingleTxtGC"/>
        <w:rPr>
          <w:bCs/>
          <w:lang w:val="en-GB"/>
        </w:rPr>
      </w:pPr>
      <w:r w:rsidRPr="00BF42B7">
        <w:rPr>
          <w:lang w:val="en-GB"/>
        </w:rPr>
        <w:t xml:space="preserve">(1)  </w:t>
      </w:r>
      <w:r w:rsidRPr="00BF42B7">
        <w:rPr>
          <w:lang w:val="en-GB"/>
        </w:rPr>
        <w:t>习惯国际法的规则，</w:t>
      </w:r>
      <w:r w:rsidRPr="00BF42B7">
        <w:rPr>
          <w:rFonts w:hint="eastAsia"/>
          <w:lang w:val="en-GB"/>
        </w:rPr>
        <w:t>“</w:t>
      </w:r>
      <w:r w:rsidRPr="00BF42B7">
        <w:rPr>
          <w:lang w:val="en-GB"/>
        </w:rPr>
        <w:t>就其本质而言，必须对国际社会的全体成员具有平等效力，因而不得受制于其中任何一方出于有利于自身的目的、任意行使的任何单方面排除的权利</w:t>
      </w:r>
      <w:r w:rsidRPr="00BF42B7">
        <w:rPr>
          <w:rFonts w:hint="eastAsia"/>
          <w:lang w:val="en-GB"/>
        </w:rPr>
        <w:t>”</w:t>
      </w:r>
      <w:r w:rsidRPr="00BF42B7">
        <w:rPr>
          <w:lang w:val="en-GB"/>
        </w:rPr>
        <w:t>。</w:t>
      </w:r>
      <w:r w:rsidRPr="00BF42B7">
        <w:rPr>
          <w:color w:val="0000FF"/>
          <w:vertAlign w:val="superscript"/>
          <w:lang w:val="en-GB"/>
        </w:rPr>
        <w:footnoteReference w:id="352"/>
      </w:r>
      <w:r w:rsidRPr="00BF42B7">
        <w:rPr>
          <w:color w:val="0000FF"/>
          <w:vertAlign w:val="superscript"/>
          <w:lang w:val="en-GB"/>
        </w:rPr>
        <w:t xml:space="preserve"> </w:t>
      </w:r>
      <w:r w:rsidRPr="00BF42B7">
        <w:rPr>
          <w:lang w:val="en-GB"/>
        </w:rPr>
        <w:t>尽管如此，一国若对一条开始形成的习惯国际法规则持续表示反对并且在该规则具体化以后保持反对，</w:t>
      </w:r>
      <w:r w:rsidRPr="00BF42B7">
        <w:rPr>
          <w:lang w:val="fr-FR"/>
        </w:rPr>
        <w:t>则该规则不可施用于该国</w:t>
      </w:r>
      <w:r w:rsidRPr="00BF42B7">
        <w:rPr>
          <w:lang w:val="en-GB"/>
        </w:rPr>
        <w:t>。这通常被称为一贯反对者规则。</w:t>
      </w:r>
    </w:p>
    <w:p w:rsidR="008D7906" w:rsidRPr="00BF42B7" w:rsidRDefault="008D7906" w:rsidP="008D7906">
      <w:pPr>
        <w:pStyle w:val="SingleTxtGC"/>
        <w:rPr>
          <w:lang w:val="en-GB"/>
        </w:rPr>
      </w:pPr>
      <w:r w:rsidRPr="00BF42B7">
        <w:rPr>
          <w:lang w:val="en-GB"/>
        </w:rPr>
        <w:t xml:space="preserve">(2)  </w:t>
      </w:r>
      <w:r w:rsidRPr="00BF42B7">
        <w:rPr>
          <w:lang w:val="en-GB"/>
        </w:rPr>
        <w:t>要把一贯反对者同为数众多的国家反对制定一条习惯国际法新规则并因而</w:t>
      </w:r>
      <w:r w:rsidRPr="00BF42B7">
        <w:rPr>
          <w:spacing w:val="2"/>
          <w:lang w:val="en-GB"/>
        </w:rPr>
        <w:t>使该规则完全无法具体化</w:t>
      </w:r>
      <w:r w:rsidRPr="00BF42B7">
        <w:rPr>
          <w:spacing w:val="2"/>
          <w:lang w:val="en-GB"/>
        </w:rPr>
        <w:t>(</w:t>
      </w:r>
      <w:r w:rsidRPr="00BF42B7">
        <w:rPr>
          <w:spacing w:val="2"/>
          <w:lang w:val="en-GB"/>
        </w:rPr>
        <w:t>因不存在被接受为法律的一般惯例</w:t>
      </w:r>
      <w:r w:rsidRPr="00BF42B7">
        <w:rPr>
          <w:spacing w:val="2"/>
          <w:lang w:val="en-GB"/>
        </w:rPr>
        <w:t>)</w:t>
      </w:r>
      <w:r w:rsidRPr="00BF42B7">
        <w:rPr>
          <w:spacing w:val="2"/>
          <w:lang w:val="en-GB"/>
        </w:rPr>
        <w:t>的情况区分开来。</w:t>
      </w:r>
      <w:r w:rsidRPr="00BF42B7">
        <w:rPr>
          <w:color w:val="0000FF"/>
          <w:spacing w:val="2"/>
          <w:vertAlign w:val="superscript"/>
          <w:lang w:val="en-GB"/>
        </w:rPr>
        <w:footnoteReference w:id="353"/>
      </w:r>
      <w:r w:rsidRPr="00BF42B7">
        <w:rPr>
          <w:color w:val="0000FF"/>
          <w:vertAlign w:val="superscript"/>
          <w:lang w:val="en-GB"/>
        </w:rPr>
        <w:t xml:space="preserve"> </w:t>
      </w:r>
      <w:r w:rsidRPr="00BF42B7">
        <w:rPr>
          <w:lang w:val="en-GB"/>
        </w:rPr>
        <w:t>此项规则的适用须满足严格的条件。</w:t>
      </w:r>
    </w:p>
    <w:p w:rsidR="008D7906" w:rsidRPr="00BF42B7" w:rsidRDefault="008D7906" w:rsidP="008D7906">
      <w:pPr>
        <w:pStyle w:val="SingleTxtGC"/>
        <w:rPr>
          <w:bCs/>
          <w:lang w:val="en-GB"/>
        </w:rPr>
      </w:pPr>
      <w:r w:rsidRPr="00BF42B7">
        <w:rPr>
          <w:lang w:val="en-GB"/>
        </w:rPr>
        <w:t xml:space="preserve">(3)  </w:t>
      </w:r>
      <w:r w:rsidRPr="00BF42B7">
        <w:rPr>
          <w:lang w:val="en-GB"/>
        </w:rPr>
        <w:t>一国通过不认可一条开始形成的习惯国际法规则或采取其他做法，从而对该规则表示反对的，可能采取以下两种姿态中的一种或两种：该国可寻求阻止这条规则的产生；并</w:t>
      </w:r>
      <w:r w:rsidRPr="00BF42B7">
        <w:rPr>
          <w:lang w:val="en-GB"/>
        </w:rPr>
        <w:t>(</w:t>
      </w:r>
      <w:r w:rsidRPr="00BF42B7">
        <w:rPr>
          <w:lang w:val="en-GB"/>
        </w:rPr>
        <w:t>或</w:t>
      </w:r>
      <w:r w:rsidRPr="00BF42B7">
        <w:rPr>
          <w:lang w:val="en-GB"/>
        </w:rPr>
        <w:t>)</w:t>
      </w:r>
      <w:r w:rsidRPr="00BF42B7">
        <w:rPr>
          <w:lang w:val="en-GB"/>
        </w:rPr>
        <w:t>旨在确保</w:t>
      </w:r>
      <w:r w:rsidRPr="00BF42B7">
        <w:t>如果</w:t>
      </w:r>
      <w:r w:rsidRPr="00BF42B7">
        <w:rPr>
          <w:lang w:val="en-GB"/>
        </w:rPr>
        <w:t>这条规则产生，则不可对该国施用。一个例子是，某些国家反对开始出现的、允许划定最大</w:t>
      </w:r>
      <w:r w:rsidRPr="00BF42B7">
        <w:rPr>
          <w:lang w:val="en-GB"/>
        </w:rPr>
        <w:t>12</w:t>
      </w:r>
      <w:r w:rsidRPr="00BF42B7">
        <w:rPr>
          <w:lang w:val="en-GB"/>
        </w:rPr>
        <w:t>海里领海的规则。这些国家可能希望把三海里、四海里或六海里领海统一成一条一般规则，但无论如何不准备接受其被执行宽度更大的领海。</w:t>
      </w:r>
      <w:r w:rsidRPr="00BF42B7">
        <w:rPr>
          <w:color w:val="0000FF"/>
          <w:vertAlign w:val="superscript"/>
          <w:lang w:val="en-GB"/>
        </w:rPr>
        <w:footnoteReference w:id="354"/>
      </w:r>
      <w:r w:rsidRPr="00BF42B7">
        <w:rPr>
          <w:color w:val="0000FF"/>
          <w:vertAlign w:val="superscript"/>
          <w:lang w:val="en-GB"/>
        </w:rPr>
        <w:t xml:space="preserve"> </w:t>
      </w:r>
      <w:r w:rsidRPr="00BF42B7">
        <w:rPr>
          <w:bCs/>
          <w:lang w:val="en-GB"/>
        </w:rPr>
        <w:t>如果一条习惯国际法规则被认定已产生，确立有权从一贯反对者地位获利的责任在于反对国。</w:t>
      </w:r>
    </w:p>
    <w:p w:rsidR="008D7906" w:rsidRPr="00BF42B7" w:rsidRDefault="008D7906" w:rsidP="008D7906">
      <w:pPr>
        <w:pStyle w:val="SingleTxtGC"/>
        <w:rPr>
          <w:lang w:val="en-GB"/>
        </w:rPr>
      </w:pPr>
      <w:r w:rsidRPr="00BF42B7">
        <w:rPr>
          <w:bCs/>
          <w:lang w:val="en-GB"/>
        </w:rPr>
        <w:t xml:space="preserve">(4)  </w:t>
      </w:r>
      <w:r w:rsidRPr="00BF42B7">
        <w:rPr>
          <w:bCs/>
          <w:lang w:val="en-GB"/>
        </w:rPr>
        <w:t>一贯反对者规则在国际和国内判例法</w:t>
      </w:r>
      <w:r w:rsidRPr="00BF42B7">
        <w:rPr>
          <w:bCs/>
          <w:color w:val="0000FF"/>
          <w:vertAlign w:val="superscript"/>
          <w:lang w:val="en-GB"/>
        </w:rPr>
        <w:footnoteReference w:id="355"/>
      </w:r>
      <w:r w:rsidRPr="00BF42B7">
        <w:rPr>
          <w:bCs/>
          <w:color w:val="0000FF"/>
          <w:vertAlign w:val="superscript"/>
          <w:lang w:val="en-GB"/>
        </w:rPr>
        <w:t xml:space="preserve"> </w:t>
      </w:r>
      <w:r w:rsidRPr="00BF42B7">
        <w:rPr>
          <w:bCs/>
          <w:lang w:val="en-GB"/>
        </w:rPr>
        <w:t>以及在其他情况中</w:t>
      </w:r>
      <w:r w:rsidRPr="00BF42B7">
        <w:rPr>
          <w:bCs/>
          <w:color w:val="0000FF"/>
          <w:vertAlign w:val="superscript"/>
          <w:lang w:val="en-GB"/>
        </w:rPr>
        <w:footnoteReference w:id="356"/>
      </w:r>
      <w:r w:rsidRPr="00BF42B7">
        <w:rPr>
          <w:bCs/>
          <w:color w:val="0000FF"/>
          <w:vertAlign w:val="superscript"/>
          <w:lang w:val="en-GB"/>
        </w:rPr>
        <w:t xml:space="preserve"> </w:t>
      </w:r>
      <w:r w:rsidRPr="00BF42B7">
        <w:rPr>
          <w:lang w:val="en-GB"/>
        </w:rPr>
        <w:t>得到频繁援引和承认。虽然存在不同观点，但一贯反对者规则受到国家和著述者以及从事国际法工作的科学机构的广泛认可。</w:t>
      </w:r>
      <w:r w:rsidRPr="00BF42B7">
        <w:rPr>
          <w:color w:val="0000FF"/>
          <w:vertAlign w:val="superscript"/>
          <w:lang w:val="en-GB"/>
        </w:rPr>
        <w:footnoteReference w:id="357"/>
      </w:r>
    </w:p>
    <w:p w:rsidR="008D7906" w:rsidRPr="00BF42B7" w:rsidRDefault="008D7906" w:rsidP="008D7906">
      <w:pPr>
        <w:pStyle w:val="SingleTxtGC"/>
        <w:rPr>
          <w:rFonts w:asciiTheme="majorBidi" w:hAnsiTheme="majorBidi" w:cstheme="majorBidi"/>
          <w:szCs w:val="21"/>
          <w:lang w:val="en-GB"/>
        </w:rPr>
      </w:pPr>
      <w:r w:rsidRPr="00BF42B7">
        <w:rPr>
          <w:rFonts w:asciiTheme="majorBidi" w:hAnsiTheme="majorBidi" w:cstheme="majorBidi"/>
          <w:szCs w:val="21"/>
          <w:lang w:val="en-GB"/>
        </w:rPr>
        <w:t xml:space="preserve">(5)  </w:t>
      </w:r>
      <w:r w:rsidRPr="00BF42B7">
        <w:rPr>
          <w:rFonts w:asciiTheme="majorBidi" w:hAnsiTheme="majorBidi" w:cstheme="majorBidi"/>
          <w:szCs w:val="21"/>
          <w:lang w:val="en-GB"/>
        </w:rPr>
        <w:t>第</w:t>
      </w:r>
      <w:r w:rsidRPr="00BF42B7">
        <w:rPr>
          <w:rFonts w:asciiTheme="majorBidi" w:hAnsiTheme="majorBidi" w:cstheme="majorBidi"/>
          <w:szCs w:val="21"/>
          <w:lang w:val="en-GB"/>
        </w:rPr>
        <w:t>1</w:t>
      </w:r>
      <w:r w:rsidRPr="00BF42B7">
        <w:rPr>
          <w:rFonts w:asciiTheme="majorBidi" w:hAnsiTheme="majorBidi" w:cstheme="majorBidi"/>
          <w:szCs w:val="21"/>
          <w:lang w:val="en-GB"/>
        </w:rPr>
        <w:t>段明确表示，反对必须是在所涉规则形成过程中提出的。及时提出反对至关重要：该国必须在某一特定做法具体化、成为一条习惯国际法规则之前表示其反对；如果该国在尽可能早的时间如此行事，其立场将更有保障。虽然反对同违反的界限不常易于区分，但不存在所谓的嗣后反对者规则：一旦规则形成，反对将无助于希望免受约束的国家。</w:t>
      </w:r>
    </w:p>
    <w:p w:rsidR="008D7906" w:rsidRPr="00BF42B7" w:rsidRDefault="008D7906" w:rsidP="008D7906">
      <w:pPr>
        <w:pStyle w:val="SingleTxtGC"/>
        <w:rPr>
          <w:rFonts w:asciiTheme="majorBidi" w:hAnsiTheme="majorBidi" w:cstheme="majorBidi"/>
          <w:bCs/>
          <w:szCs w:val="21"/>
          <w:lang w:val="en-GB"/>
        </w:rPr>
      </w:pPr>
      <w:r w:rsidRPr="00BF42B7">
        <w:rPr>
          <w:rFonts w:asciiTheme="majorBidi" w:hAnsiTheme="majorBidi" w:cstheme="majorBidi"/>
          <w:bCs/>
          <w:szCs w:val="21"/>
          <w:lang w:val="en-GB"/>
        </w:rPr>
        <w:t xml:space="preserve">(6)  </w:t>
      </w:r>
      <w:r w:rsidRPr="00BF42B7">
        <w:rPr>
          <w:rFonts w:asciiTheme="majorBidi" w:hAnsiTheme="majorBidi" w:cstheme="majorBidi"/>
          <w:bCs/>
          <w:szCs w:val="21"/>
          <w:lang w:val="en-GB"/>
        </w:rPr>
        <w:t>如果一国将其确立为持续反对者，只要其坚持反对立场，则该规则对其不适用；使用</w:t>
      </w:r>
      <w:r w:rsidRPr="00BF42B7">
        <w:rPr>
          <w:rFonts w:asciiTheme="majorBidi" w:hAnsiTheme="majorBidi" w:cstheme="majorBidi" w:hint="eastAsia"/>
          <w:bCs/>
          <w:szCs w:val="21"/>
          <w:lang w:val="en-GB"/>
        </w:rPr>
        <w:t>“</w:t>
      </w:r>
      <w:r w:rsidRPr="00BF42B7">
        <w:rPr>
          <w:rFonts w:asciiTheme="majorBidi" w:hAnsiTheme="majorBidi" w:cstheme="majorBidi"/>
          <w:bCs/>
          <w:szCs w:val="21"/>
          <w:lang w:val="en-GB"/>
        </w:rPr>
        <w:t>不可施用</w:t>
      </w:r>
      <w:r w:rsidRPr="00BF42B7">
        <w:rPr>
          <w:rFonts w:asciiTheme="majorBidi" w:hAnsiTheme="majorBidi" w:cstheme="majorBidi" w:hint="eastAsia"/>
          <w:bCs/>
          <w:szCs w:val="21"/>
          <w:lang w:val="en-GB"/>
        </w:rPr>
        <w:t>”</w:t>
      </w:r>
      <w:r w:rsidRPr="00BF42B7">
        <w:rPr>
          <w:rFonts w:asciiTheme="majorBidi" w:hAnsiTheme="majorBidi" w:cstheme="majorBidi"/>
          <w:bCs/>
          <w:szCs w:val="21"/>
          <w:lang w:val="en-GB"/>
        </w:rPr>
        <w:t>这一表述是为了反映持续反对者的例外立场。本段进一步说，一旦放弃反对立场</w:t>
      </w:r>
      <w:r w:rsidRPr="00BF42B7">
        <w:rPr>
          <w:rFonts w:asciiTheme="majorBidi" w:hAnsiTheme="majorBidi" w:cstheme="majorBidi"/>
          <w:bCs/>
          <w:szCs w:val="21"/>
          <w:lang w:val="en-GB"/>
        </w:rPr>
        <w:t>(</w:t>
      </w:r>
      <w:r w:rsidRPr="00BF42B7">
        <w:rPr>
          <w:rFonts w:asciiTheme="majorBidi" w:hAnsiTheme="majorBidi" w:cstheme="majorBidi"/>
          <w:bCs/>
          <w:szCs w:val="21"/>
          <w:lang w:val="en-GB"/>
        </w:rPr>
        <w:t>反对立场可随时明确或以其他方式加以放弃</w:t>
      </w:r>
      <w:r w:rsidRPr="00BF42B7">
        <w:rPr>
          <w:rFonts w:asciiTheme="majorBidi" w:hAnsiTheme="majorBidi" w:cstheme="majorBidi"/>
          <w:bCs/>
          <w:szCs w:val="21"/>
          <w:lang w:val="en-GB"/>
        </w:rPr>
        <w:t>)</w:t>
      </w:r>
      <w:r w:rsidRPr="00BF42B7">
        <w:rPr>
          <w:rFonts w:asciiTheme="majorBidi" w:hAnsiTheme="majorBidi" w:cstheme="majorBidi"/>
          <w:bCs/>
          <w:szCs w:val="21"/>
          <w:lang w:val="en-GB"/>
        </w:rPr>
        <w:t>，当事国就受该规则的约束。</w:t>
      </w:r>
    </w:p>
    <w:p w:rsidR="008D7906" w:rsidRPr="00BF42B7" w:rsidRDefault="008D7906" w:rsidP="008D7906">
      <w:pPr>
        <w:pStyle w:val="SingleTxtGC"/>
        <w:rPr>
          <w:rFonts w:asciiTheme="majorBidi" w:hAnsiTheme="majorBidi" w:cstheme="majorBidi"/>
          <w:bCs/>
          <w:szCs w:val="21"/>
          <w:lang w:val="en-GB"/>
        </w:rPr>
      </w:pPr>
      <w:r w:rsidRPr="00BF42B7">
        <w:rPr>
          <w:rFonts w:asciiTheme="majorBidi" w:hAnsiTheme="majorBidi" w:cstheme="majorBidi"/>
          <w:szCs w:val="21"/>
          <w:lang w:val="en-GB"/>
        </w:rPr>
        <w:t xml:space="preserve">(7)  </w:t>
      </w:r>
      <w:r w:rsidRPr="00BF42B7">
        <w:rPr>
          <w:rFonts w:asciiTheme="majorBidi" w:hAnsiTheme="majorBidi" w:cstheme="majorBidi"/>
          <w:bCs/>
          <w:szCs w:val="21"/>
          <w:lang w:val="en-GB"/>
        </w:rPr>
        <w:t>第</w:t>
      </w:r>
      <w:r w:rsidRPr="00BF42B7">
        <w:rPr>
          <w:rFonts w:asciiTheme="majorBidi" w:hAnsiTheme="majorBidi" w:cstheme="majorBidi"/>
          <w:bCs/>
          <w:szCs w:val="21"/>
          <w:lang w:val="en-GB"/>
        </w:rPr>
        <w:t>2</w:t>
      </w:r>
      <w:r w:rsidRPr="00BF42B7">
        <w:rPr>
          <w:rFonts w:asciiTheme="majorBidi" w:hAnsiTheme="majorBidi" w:cstheme="majorBidi"/>
          <w:bCs/>
          <w:szCs w:val="21"/>
          <w:lang w:val="en-GB"/>
        </w:rPr>
        <w:t>段明确了一国确立并维持对一条习惯国际法规则的持续反对者地位所必须满足的严格要求。反对立场除必须在该做法具体化成为法律规则前提出外，还必须明确表示出来，这意味着不接受开始形成的规则或不受其约束的意图必须毫不含糊。</w:t>
      </w:r>
      <w:r w:rsidRPr="00BF42B7">
        <w:rPr>
          <w:rFonts w:cstheme="majorBidi"/>
          <w:bCs/>
          <w:color w:val="0000FF"/>
          <w:szCs w:val="21"/>
          <w:vertAlign w:val="superscript"/>
          <w:lang w:val="en-GB"/>
        </w:rPr>
        <w:footnoteReference w:id="358"/>
      </w:r>
      <w:r w:rsidRPr="00BF42B7">
        <w:rPr>
          <w:rFonts w:cstheme="majorBidi"/>
          <w:bCs/>
          <w:color w:val="0000FF"/>
          <w:szCs w:val="21"/>
          <w:vertAlign w:val="superscript"/>
          <w:lang w:val="en-GB"/>
        </w:rPr>
        <w:t xml:space="preserve"> </w:t>
      </w:r>
      <w:r w:rsidRPr="00BF42B7">
        <w:rPr>
          <w:rFonts w:asciiTheme="majorBidi" w:hAnsiTheme="majorBidi" w:cstheme="majorBidi"/>
          <w:bCs/>
          <w:szCs w:val="21"/>
          <w:lang w:val="en-GB"/>
        </w:rPr>
        <w:t>然而，不要求以特定形式提出反对立场。具体而言，以书面或口头形式明确提出的反对言辞</w:t>
      </w:r>
      <w:r w:rsidRPr="00BF42B7">
        <w:rPr>
          <w:rFonts w:asciiTheme="majorBidi" w:hAnsiTheme="majorBidi" w:cstheme="majorBidi"/>
          <w:bCs/>
          <w:szCs w:val="21"/>
          <w:lang w:val="en-GB"/>
        </w:rPr>
        <w:t>(</w:t>
      </w:r>
      <w:r w:rsidRPr="00BF42B7">
        <w:rPr>
          <w:rFonts w:asciiTheme="majorBidi" w:hAnsiTheme="majorBidi" w:cstheme="majorBidi"/>
          <w:bCs/>
          <w:szCs w:val="21"/>
          <w:lang w:val="en-GB"/>
        </w:rPr>
        <w:t>即相对于实际行动</w:t>
      </w:r>
      <w:r w:rsidRPr="00BF42B7">
        <w:rPr>
          <w:rFonts w:asciiTheme="majorBidi" w:hAnsiTheme="majorBidi" w:cstheme="majorBidi"/>
          <w:bCs/>
          <w:szCs w:val="21"/>
          <w:lang w:val="en-GB"/>
        </w:rPr>
        <w:t>)</w:t>
      </w:r>
      <w:r w:rsidRPr="00BF42B7">
        <w:rPr>
          <w:rFonts w:asciiTheme="majorBidi" w:hAnsiTheme="majorBidi" w:cstheme="majorBidi"/>
          <w:bCs/>
          <w:szCs w:val="21"/>
          <w:lang w:val="en-GB"/>
        </w:rPr>
        <w:t>足以维持反对国的法律立场。</w:t>
      </w:r>
    </w:p>
    <w:p w:rsidR="008D7906" w:rsidRPr="00BF42B7" w:rsidRDefault="008D7906" w:rsidP="008D7906">
      <w:pPr>
        <w:pStyle w:val="SingleTxtGC"/>
        <w:rPr>
          <w:rFonts w:asciiTheme="majorBidi" w:hAnsiTheme="majorBidi" w:cstheme="majorBidi"/>
          <w:bCs/>
          <w:szCs w:val="21"/>
          <w:lang w:val="en-GB"/>
        </w:rPr>
      </w:pPr>
      <w:r w:rsidRPr="00BF42B7">
        <w:rPr>
          <w:rFonts w:asciiTheme="majorBidi" w:hAnsiTheme="majorBidi" w:cstheme="majorBidi"/>
          <w:bCs/>
          <w:szCs w:val="21"/>
          <w:lang w:val="en-GB"/>
        </w:rPr>
        <w:t xml:space="preserve">(8)  </w:t>
      </w:r>
      <w:r w:rsidRPr="00BF42B7">
        <w:rPr>
          <w:rFonts w:asciiTheme="majorBidi" w:hAnsiTheme="majorBidi" w:cstheme="majorBidi"/>
          <w:bCs/>
          <w:szCs w:val="21"/>
          <w:lang w:val="en-GB"/>
        </w:rPr>
        <w:t>必须向其他国家公开反对立场的要求意味着这一反对立场必须向国际社会传达，不能仅在内部发出声音。反对国须负责确保该反对立场确实为其他国家所知。</w:t>
      </w:r>
    </w:p>
    <w:p w:rsidR="008D7906" w:rsidRPr="00BF42B7" w:rsidRDefault="008D7906" w:rsidP="008D7906">
      <w:pPr>
        <w:pStyle w:val="SingleTxtGC"/>
        <w:rPr>
          <w:rFonts w:asciiTheme="majorBidi" w:hAnsiTheme="majorBidi" w:cstheme="majorBidi"/>
          <w:bCs/>
          <w:szCs w:val="21"/>
          <w:lang w:val="en-GB"/>
        </w:rPr>
      </w:pPr>
      <w:r w:rsidRPr="00BF42B7">
        <w:rPr>
          <w:rFonts w:asciiTheme="majorBidi" w:hAnsiTheme="majorBidi" w:cstheme="majorBidi"/>
          <w:bCs/>
          <w:szCs w:val="21"/>
          <w:lang w:val="en-GB"/>
        </w:rPr>
        <w:t xml:space="preserve">(9)  </w:t>
      </w:r>
      <w:r w:rsidRPr="00BF42B7">
        <w:rPr>
          <w:rFonts w:asciiTheme="majorBidi" w:hAnsiTheme="majorBidi" w:cstheme="majorBidi"/>
          <w:bCs/>
          <w:szCs w:val="21"/>
          <w:lang w:val="en-GB"/>
        </w:rPr>
        <w:t>必须坚持反对立场的要求适用习惯国际法规则形成前和形成后。需要用现实的方式评估这一要求是否得到满足，并牢记每起案件的实际情况。这一要求意味着，首先，当情况要求重申反对立场时</w:t>
      </w:r>
      <w:r w:rsidRPr="00BF42B7">
        <w:rPr>
          <w:rFonts w:asciiTheme="majorBidi" w:hAnsiTheme="majorBidi" w:cstheme="majorBidi"/>
          <w:bCs/>
          <w:szCs w:val="21"/>
          <w:lang w:val="en-GB"/>
        </w:rPr>
        <w:t>(</w:t>
      </w:r>
      <w:r w:rsidRPr="00BF42B7">
        <w:rPr>
          <w:rFonts w:asciiTheme="majorBidi" w:hAnsiTheme="majorBidi" w:cstheme="majorBidi"/>
          <w:bCs/>
          <w:szCs w:val="21"/>
          <w:lang w:val="en-GB"/>
        </w:rPr>
        <w:t>也就是说，在沉默或不作为可合理得出该国已放弃其反对立场的结论的情况下</w:t>
      </w:r>
      <w:r w:rsidRPr="00BF42B7">
        <w:rPr>
          <w:rFonts w:asciiTheme="majorBidi" w:hAnsiTheme="majorBidi" w:cstheme="majorBidi"/>
          <w:bCs/>
          <w:szCs w:val="21"/>
          <w:lang w:val="en-GB"/>
        </w:rPr>
        <w:t>)</w:t>
      </w:r>
      <w:r w:rsidRPr="00BF42B7">
        <w:rPr>
          <w:rFonts w:asciiTheme="majorBidi" w:hAnsiTheme="majorBidi" w:cstheme="majorBidi"/>
          <w:bCs/>
          <w:szCs w:val="21"/>
          <w:lang w:val="en-GB"/>
        </w:rPr>
        <w:t>则应重申。例如，反对国可在出席再次肯定该规则的会议时重申其反对立场。然而，不应期待国家在每个场合作出反应，尤其是在其立场已广为知晓的情况下。第二，再次重复的反对立场必须总体一致，即无重大矛盾。</w:t>
      </w:r>
    </w:p>
    <w:p w:rsidR="008D7906" w:rsidRPr="00BF42B7" w:rsidRDefault="008D7906" w:rsidP="008D7906">
      <w:pPr>
        <w:pStyle w:val="SingleTxtGC"/>
        <w:rPr>
          <w:lang w:val="en-GB"/>
        </w:rPr>
      </w:pPr>
      <w:r w:rsidRPr="00BF42B7">
        <w:rPr>
          <w:lang w:val="en-GB"/>
        </w:rPr>
        <w:t xml:space="preserve">(10)  </w:t>
      </w:r>
      <w:r w:rsidRPr="00BF42B7">
        <w:rPr>
          <w:lang w:val="en-GB"/>
        </w:rPr>
        <w:t>把结论草案</w:t>
      </w:r>
      <w:r w:rsidRPr="00BF42B7">
        <w:rPr>
          <w:lang w:val="en-GB"/>
        </w:rPr>
        <w:t>15</w:t>
      </w:r>
      <w:r w:rsidRPr="00BF42B7">
        <w:rPr>
          <w:lang w:val="en-GB"/>
        </w:rPr>
        <w:t>纳入本结论草案不影响强行法的任何问题。</w:t>
      </w:r>
    </w:p>
    <w:p w:rsidR="008D7906" w:rsidRPr="00BF42B7" w:rsidRDefault="008D7906" w:rsidP="00C64929">
      <w:pPr>
        <w:pStyle w:val="H23GC"/>
        <w:ind w:left="1554"/>
        <w:rPr>
          <w:lang w:val="en-GB"/>
        </w:rPr>
      </w:pPr>
      <w:r w:rsidRPr="00BF42B7">
        <w:rPr>
          <w:lang w:val="en-GB"/>
        </w:rPr>
        <w:tab/>
      </w:r>
      <w:r w:rsidRPr="00BF42B7">
        <w:rPr>
          <w:lang w:val="en-GB"/>
        </w:rPr>
        <w:tab/>
      </w:r>
      <w:r w:rsidRPr="00BF42B7">
        <w:rPr>
          <w:lang w:val="en-GB"/>
        </w:rPr>
        <w:t>第七部分</w:t>
      </w:r>
      <w:r w:rsidRPr="00BF42B7">
        <w:rPr>
          <w:lang w:val="en-GB"/>
        </w:rPr>
        <w:br/>
      </w:r>
      <w:r w:rsidRPr="00BF42B7">
        <w:t>特别习惯国际法</w:t>
      </w:r>
    </w:p>
    <w:p w:rsidR="008D7906" w:rsidRPr="00BF42B7" w:rsidRDefault="00807B36" w:rsidP="00807B36">
      <w:pPr>
        <w:pStyle w:val="SingleTxtGC"/>
        <w:tabs>
          <w:tab w:val="clear" w:pos="431"/>
          <w:tab w:val="clear" w:pos="1134"/>
          <w:tab w:val="clear" w:pos="1565"/>
        </w:tabs>
        <w:ind w:left="1565"/>
        <w:rPr>
          <w:lang w:val="en-GB"/>
        </w:rPr>
      </w:pPr>
      <w:r>
        <w:rPr>
          <w:rFonts w:hint="eastAsia"/>
          <w:lang w:val="en-GB"/>
        </w:rPr>
        <w:tab/>
      </w:r>
      <w:r w:rsidR="008D7906" w:rsidRPr="00BF42B7">
        <w:rPr>
          <w:lang w:val="en-GB"/>
        </w:rPr>
        <w:t>第七部分只包含一条结论草案，处理特别习惯国际法</w:t>
      </w:r>
      <w:r w:rsidR="008D7906" w:rsidRPr="00BF42B7">
        <w:rPr>
          <w:lang w:val="en-GB"/>
        </w:rPr>
        <w:t>(</w:t>
      </w:r>
      <w:r w:rsidR="008D7906" w:rsidRPr="00BF42B7">
        <w:rPr>
          <w:lang w:val="en-GB"/>
        </w:rPr>
        <w:t>有时被称为</w:t>
      </w:r>
      <w:r w:rsidR="008D7906" w:rsidRPr="00BF42B7">
        <w:rPr>
          <w:rFonts w:hint="eastAsia"/>
          <w:lang w:val="en-GB"/>
        </w:rPr>
        <w:t>“</w:t>
      </w:r>
      <w:r w:rsidR="008D7906" w:rsidRPr="00BF42B7">
        <w:rPr>
          <w:lang w:val="en-GB"/>
        </w:rPr>
        <w:t>区域习惯</w:t>
      </w:r>
      <w:r w:rsidR="008D7906" w:rsidRPr="00BF42B7">
        <w:rPr>
          <w:rFonts w:hint="eastAsia"/>
          <w:lang w:val="en-GB"/>
        </w:rPr>
        <w:t>”</w:t>
      </w:r>
      <w:r w:rsidR="008D7906" w:rsidRPr="00BF42B7">
        <w:rPr>
          <w:lang w:val="en-GB"/>
        </w:rPr>
        <w:t>或</w:t>
      </w:r>
      <w:r w:rsidR="008D7906" w:rsidRPr="00BF42B7">
        <w:rPr>
          <w:rFonts w:hint="eastAsia"/>
          <w:lang w:val="en-GB"/>
        </w:rPr>
        <w:t>“</w:t>
      </w:r>
      <w:r w:rsidR="008D7906" w:rsidRPr="00BF42B7">
        <w:rPr>
          <w:lang w:val="en-GB"/>
        </w:rPr>
        <w:t>特殊习惯</w:t>
      </w:r>
      <w:r w:rsidR="008D7906" w:rsidRPr="00BF42B7">
        <w:rPr>
          <w:rFonts w:hint="eastAsia"/>
          <w:lang w:val="en-GB"/>
        </w:rPr>
        <w:t>”</w:t>
      </w:r>
      <w:r w:rsidR="008D7906" w:rsidRPr="00BF42B7">
        <w:rPr>
          <w:lang w:val="en-GB"/>
        </w:rPr>
        <w:t>)</w:t>
      </w:r>
      <w:r w:rsidR="008D7906" w:rsidRPr="00BF42B7">
        <w:rPr>
          <w:lang w:val="en-GB"/>
        </w:rPr>
        <w:t>的问题。一般习惯国际法规则对所有国家有约束力，而特别习惯国际法规则在数量有限的国家之间适用。特别习惯国际法规则虽然并不十分常见，但照顾到了不尽相同的、仅某些国家特有的利益和价值观，因而在国与国关系中发挥着重要作用。</w:t>
      </w:r>
      <w:r w:rsidR="008D7906" w:rsidRPr="00BF42B7">
        <w:rPr>
          <w:color w:val="0000FF"/>
          <w:vertAlign w:val="superscript"/>
          <w:lang w:val="en-GB"/>
        </w:rPr>
        <w:footnoteReference w:id="359"/>
      </w:r>
    </w:p>
    <w:p w:rsidR="008D7906" w:rsidRPr="00BF42B7" w:rsidRDefault="008D7906" w:rsidP="008D7906">
      <w:pPr>
        <w:pStyle w:val="H23GC"/>
        <w:ind w:left="1565"/>
        <w:rPr>
          <w:lang w:val="en-GB"/>
        </w:rPr>
      </w:pPr>
      <w:r w:rsidRPr="00BF42B7">
        <w:tab/>
      </w:r>
      <w:r w:rsidRPr="00BF42B7">
        <w:tab/>
      </w:r>
      <w:bookmarkStart w:id="85" w:name="DC16"/>
      <w:bookmarkEnd w:id="85"/>
      <w:r w:rsidRPr="00BF42B7">
        <w:t>结论</w:t>
      </w:r>
      <w:r w:rsidRPr="00BF42B7">
        <w:t>16</w:t>
      </w:r>
      <w:r w:rsidRPr="00BF42B7">
        <w:br/>
      </w:r>
      <w:r w:rsidRPr="00BF42B7">
        <w:t>特别习惯国际法</w:t>
      </w:r>
    </w:p>
    <w:p w:rsidR="008D7906" w:rsidRPr="00BF42B7" w:rsidRDefault="008D7906" w:rsidP="008D7906">
      <w:pPr>
        <w:pStyle w:val="SingleTxtGC"/>
        <w:ind w:left="1565"/>
        <w:rPr>
          <w:rFonts w:asciiTheme="majorBidi" w:hAnsiTheme="majorBidi" w:cstheme="majorBidi"/>
          <w:szCs w:val="21"/>
          <w:lang w:val="en-GB"/>
        </w:rPr>
      </w:pPr>
      <w:r w:rsidRPr="00BF42B7">
        <w:rPr>
          <w:rFonts w:asciiTheme="majorBidi" w:hAnsiTheme="majorBidi" w:cstheme="majorBidi"/>
          <w:szCs w:val="21"/>
          <w:lang w:val="en-GB"/>
        </w:rPr>
        <w:t xml:space="preserve">1.  </w:t>
      </w:r>
      <w:r w:rsidRPr="00BF42B7">
        <w:rPr>
          <w:rFonts w:asciiTheme="majorBidi" w:hAnsiTheme="majorBidi" w:cstheme="majorBidi"/>
          <w:szCs w:val="21"/>
        </w:rPr>
        <w:t>特别习惯国际法规则，不论是区域的、地方的还是其他层面的，都是仅在数量有限的国家之间适用的习惯国际法规则。</w:t>
      </w:r>
    </w:p>
    <w:p w:rsidR="008D7906" w:rsidRPr="00BF42B7" w:rsidRDefault="008D7906" w:rsidP="008D7906">
      <w:pPr>
        <w:pStyle w:val="SingleTxtGC"/>
        <w:ind w:left="1565"/>
        <w:rPr>
          <w:rFonts w:asciiTheme="majorBidi" w:hAnsiTheme="majorBidi" w:cstheme="majorBidi"/>
          <w:szCs w:val="21"/>
        </w:rPr>
      </w:pPr>
      <w:r w:rsidRPr="00BF42B7">
        <w:rPr>
          <w:rFonts w:asciiTheme="majorBidi" w:hAnsiTheme="majorBidi" w:cstheme="majorBidi"/>
          <w:szCs w:val="21"/>
          <w:lang w:val="en-GB"/>
        </w:rPr>
        <w:t xml:space="preserve">2.  </w:t>
      </w:r>
      <w:r w:rsidRPr="00BF42B7">
        <w:rPr>
          <w:rFonts w:asciiTheme="majorBidi" w:hAnsiTheme="majorBidi" w:cstheme="majorBidi"/>
          <w:szCs w:val="21"/>
        </w:rPr>
        <w:t>要确定一项特别习惯国际法规则的存在及内容，必须查明有关国家之间是否存在一项被接受为法律</w:t>
      </w:r>
      <w:r w:rsidRPr="00BF42B7">
        <w:rPr>
          <w:rFonts w:asciiTheme="majorBidi" w:hAnsiTheme="majorBidi" w:cstheme="majorBidi"/>
          <w:szCs w:val="21"/>
        </w:rPr>
        <w:t>(</w:t>
      </w:r>
      <w:r w:rsidRPr="00BF42B7">
        <w:rPr>
          <w:rFonts w:asciiTheme="majorBidi" w:hAnsiTheme="majorBidi" w:cstheme="majorBidi"/>
          <w:szCs w:val="21"/>
        </w:rPr>
        <w:t>法律确信</w:t>
      </w:r>
      <w:r w:rsidRPr="00BF42B7">
        <w:rPr>
          <w:rFonts w:asciiTheme="majorBidi" w:hAnsiTheme="majorBidi" w:cstheme="majorBidi"/>
          <w:szCs w:val="21"/>
        </w:rPr>
        <w:t>)</w:t>
      </w:r>
      <w:r w:rsidRPr="00BF42B7">
        <w:rPr>
          <w:rFonts w:asciiTheme="majorBidi" w:hAnsiTheme="majorBidi" w:cstheme="majorBidi"/>
          <w:szCs w:val="21"/>
        </w:rPr>
        <w:t>的一般惯例。</w:t>
      </w:r>
    </w:p>
    <w:p w:rsidR="008D7906" w:rsidRPr="00BF42B7" w:rsidRDefault="008D7906" w:rsidP="008D7906">
      <w:pPr>
        <w:pStyle w:val="H23GC"/>
        <w:rPr>
          <w:lang w:val="en-GB"/>
        </w:rPr>
      </w:pPr>
      <w:r w:rsidRPr="00BF42B7">
        <w:rPr>
          <w:lang w:val="en-GB"/>
        </w:rPr>
        <w:tab/>
      </w:r>
      <w:r w:rsidRPr="00BF42B7">
        <w:rPr>
          <w:lang w:val="en-GB"/>
        </w:rPr>
        <w:tab/>
      </w:r>
      <w:r w:rsidRPr="00BF42B7">
        <w:rPr>
          <w:lang w:val="en-GB"/>
        </w:rPr>
        <w:t>评注</w:t>
      </w:r>
    </w:p>
    <w:p w:rsidR="008D7906" w:rsidRPr="00BF42B7" w:rsidRDefault="008D7906" w:rsidP="008D7906">
      <w:pPr>
        <w:pStyle w:val="SingleTxtGC"/>
        <w:rPr>
          <w:rFonts w:asciiTheme="majorBidi" w:hAnsiTheme="majorBidi" w:cstheme="majorBidi"/>
          <w:szCs w:val="21"/>
          <w:lang w:val="en-GB"/>
        </w:rPr>
      </w:pPr>
      <w:r w:rsidRPr="00BF42B7">
        <w:rPr>
          <w:rFonts w:asciiTheme="majorBidi" w:hAnsiTheme="majorBidi" w:cstheme="majorBidi"/>
          <w:szCs w:val="21"/>
          <w:lang w:val="en-GB"/>
        </w:rPr>
        <w:t xml:space="preserve">(1)  </w:t>
      </w:r>
      <w:r w:rsidRPr="00BF42B7">
        <w:rPr>
          <w:rFonts w:asciiTheme="majorBidi" w:hAnsiTheme="majorBidi" w:cstheme="majorBidi"/>
          <w:bCs/>
          <w:szCs w:val="21"/>
          <w:lang w:val="en-GB"/>
        </w:rPr>
        <w:t>可能存在着不具一般性的习惯国际法规则，这一点毫无争议。国际法院的判例确认这一点，曾经提到</w:t>
      </w:r>
      <w:r w:rsidRPr="00BF42B7">
        <w:rPr>
          <w:rFonts w:asciiTheme="majorBidi" w:hAnsiTheme="majorBidi" w:cstheme="majorBidi" w:hint="eastAsia"/>
          <w:bCs/>
          <w:szCs w:val="21"/>
          <w:lang w:val="en-GB"/>
        </w:rPr>
        <w:t>“</w:t>
      </w:r>
      <w:r w:rsidRPr="00BF42B7">
        <w:rPr>
          <w:rFonts w:asciiTheme="majorBidi" w:hAnsiTheme="majorBidi" w:cstheme="majorBidi"/>
          <w:bCs/>
          <w:szCs w:val="21"/>
          <w:lang w:val="en-GB"/>
        </w:rPr>
        <w:t>特别适用于美洲国家法系的</w:t>
      </w:r>
      <w:r w:rsidRPr="00BF42B7">
        <w:rPr>
          <w:rFonts w:asciiTheme="majorBidi" w:hAnsiTheme="majorBidi" w:cstheme="majorBidi" w:hint="eastAsia"/>
          <w:bCs/>
          <w:szCs w:val="21"/>
          <w:lang w:val="en-GB"/>
        </w:rPr>
        <w:t>”</w:t>
      </w:r>
      <w:r w:rsidRPr="00BF42B7">
        <w:rPr>
          <w:rFonts w:cstheme="majorBidi"/>
          <w:bCs/>
          <w:color w:val="0000FF"/>
          <w:szCs w:val="21"/>
          <w:vertAlign w:val="superscript"/>
          <w:lang w:val="en-GB"/>
        </w:rPr>
        <w:footnoteReference w:id="360"/>
      </w:r>
      <w:r w:rsidRPr="00BF42B7">
        <w:rPr>
          <w:rFonts w:cstheme="majorBidi"/>
          <w:bCs/>
          <w:color w:val="0000FF"/>
          <w:szCs w:val="21"/>
          <w:vertAlign w:val="superscript"/>
          <w:lang w:val="en-GB"/>
        </w:rPr>
        <w:t xml:space="preserve"> </w:t>
      </w:r>
      <w:r w:rsidRPr="00BF42B7">
        <w:rPr>
          <w:rFonts w:asciiTheme="majorBidi" w:hAnsiTheme="majorBidi" w:cstheme="majorBidi"/>
          <w:bCs/>
          <w:szCs w:val="21"/>
          <w:lang w:val="en-GB"/>
        </w:rPr>
        <w:t>或</w:t>
      </w:r>
      <w:r w:rsidRPr="00BF42B7">
        <w:rPr>
          <w:rFonts w:asciiTheme="majorBidi" w:hAnsiTheme="majorBidi" w:cstheme="majorBidi" w:hint="eastAsia"/>
          <w:bCs/>
          <w:szCs w:val="21"/>
          <w:lang w:val="en-GB"/>
        </w:rPr>
        <w:t>“</w:t>
      </w:r>
      <w:r w:rsidRPr="00BF42B7">
        <w:rPr>
          <w:rFonts w:asciiTheme="majorBidi" w:hAnsiTheme="majorBidi" w:cstheme="majorBidi"/>
          <w:bCs/>
          <w:szCs w:val="21"/>
          <w:lang w:val="en-GB"/>
        </w:rPr>
        <w:t>影响仅限于非洲大陆，正如以前仅限于西班牙语美洲的</w:t>
      </w:r>
      <w:r w:rsidRPr="00BF42B7">
        <w:rPr>
          <w:rFonts w:asciiTheme="majorBidi" w:hAnsiTheme="majorBidi" w:cstheme="majorBidi" w:hint="eastAsia"/>
          <w:bCs/>
          <w:szCs w:val="21"/>
          <w:lang w:val="en-GB"/>
        </w:rPr>
        <w:t>”</w:t>
      </w:r>
      <w:r w:rsidRPr="00BF42B7">
        <w:rPr>
          <w:rFonts w:cstheme="majorBidi"/>
          <w:bCs/>
          <w:color w:val="0000FF"/>
          <w:szCs w:val="21"/>
          <w:vertAlign w:val="superscript"/>
          <w:lang w:val="en-GB"/>
        </w:rPr>
        <w:footnoteReference w:id="361"/>
      </w:r>
      <w:r w:rsidRPr="00BF42B7">
        <w:rPr>
          <w:rFonts w:cstheme="majorBidi"/>
          <w:bCs/>
          <w:color w:val="0000FF"/>
          <w:szCs w:val="21"/>
          <w:vertAlign w:val="superscript"/>
          <w:lang w:val="en-GB"/>
        </w:rPr>
        <w:t xml:space="preserve"> </w:t>
      </w:r>
      <w:r w:rsidRPr="00BF42B7">
        <w:rPr>
          <w:rFonts w:asciiTheme="majorBidi" w:hAnsiTheme="majorBidi" w:cstheme="majorBidi"/>
          <w:bCs/>
          <w:szCs w:val="21"/>
          <w:lang w:val="en-GB"/>
        </w:rPr>
        <w:t>习惯国际法、</w:t>
      </w:r>
      <w:r w:rsidRPr="00BF42B7">
        <w:rPr>
          <w:rFonts w:asciiTheme="majorBidi" w:hAnsiTheme="majorBidi" w:cstheme="majorBidi" w:hint="eastAsia"/>
          <w:bCs/>
          <w:szCs w:val="21"/>
          <w:lang w:val="en-GB"/>
        </w:rPr>
        <w:t>“</w:t>
      </w:r>
      <w:r w:rsidRPr="00BF42B7">
        <w:rPr>
          <w:rFonts w:asciiTheme="majorBidi" w:hAnsiTheme="majorBidi" w:cstheme="majorBidi"/>
          <w:bCs/>
          <w:szCs w:val="21"/>
          <w:lang w:val="en-GB"/>
        </w:rPr>
        <w:t>地方习惯</w:t>
      </w:r>
      <w:r w:rsidRPr="00BF42B7">
        <w:rPr>
          <w:rFonts w:asciiTheme="majorBidi" w:hAnsiTheme="majorBidi" w:cstheme="majorBidi" w:hint="eastAsia"/>
          <w:bCs/>
          <w:szCs w:val="21"/>
          <w:lang w:val="en-GB"/>
        </w:rPr>
        <w:t>”</w:t>
      </w:r>
      <w:r w:rsidRPr="00BF42B7">
        <w:rPr>
          <w:rFonts w:cstheme="majorBidi"/>
          <w:bCs/>
          <w:color w:val="0000FF"/>
          <w:szCs w:val="21"/>
          <w:vertAlign w:val="superscript"/>
          <w:lang w:val="en-GB"/>
        </w:rPr>
        <w:footnoteReference w:id="362"/>
      </w:r>
      <w:r w:rsidRPr="00BF42B7">
        <w:rPr>
          <w:rFonts w:cstheme="majorBidi"/>
          <w:bCs/>
          <w:color w:val="0000FF"/>
          <w:szCs w:val="21"/>
          <w:vertAlign w:val="superscript"/>
          <w:lang w:val="en-GB"/>
        </w:rPr>
        <w:t xml:space="preserve"> </w:t>
      </w:r>
      <w:r w:rsidRPr="00BF42B7">
        <w:rPr>
          <w:rFonts w:asciiTheme="majorBidi" w:hAnsiTheme="majorBidi" w:cstheme="majorBidi"/>
          <w:bCs/>
          <w:szCs w:val="21"/>
          <w:lang w:val="en-GB"/>
        </w:rPr>
        <w:t>以及</w:t>
      </w:r>
      <w:r w:rsidRPr="00BF42B7">
        <w:rPr>
          <w:rFonts w:asciiTheme="majorBidi" w:hAnsiTheme="majorBidi" w:cstheme="majorBidi" w:hint="eastAsia"/>
          <w:bCs/>
          <w:szCs w:val="21"/>
          <w:lang w:val="en-GB"/>
        </w:rPr>
        <w:t>“</w:t>
      </w:r>
      <w:r w:rsidRPr="00BF42B7">
        <w:rPr>
          <w:rFonts w:asciiTheme="majorBidi" w:hAnsiTheme="majorBidi" w:cstheme="majorBidi"/>
          <w:bCs/>
          <w:szCs w:val="21"/>
          <w:lang w:val="en-GB"/>
        </w:rPr>
        <w:t>区域性</w:t>
      </w:r>
      <w:r w:rsidRPr="00BF42B7">
        <w:rPr>
          <w:rFonts w:asciiTheme="majorBidi" w:hAnsiTheme="majorBidi" w:cstheme="majorBidi" w:hint="eastAsia"/>
          <w:bCs/>
          <w:szCs w:val="21"/>
          <w:lang w:val="en-GB"/>
        </w:rPr>
        <w:t>”</w:t>
      </w:r>
      <w:r w:rsidRPr="00BF42B7">
        <w:rPr>
          <w:rFonts w:asciiTheme="majorBidi" w:hAnsiTheme="majorBidi" w:cstheme="majorBidi"/>
          <w:bCs/>
          <w:szCs w:val="21"/>
          <w:lang w:val="en-GB"/>
        </w:rPr>
        <w:t>习惯国际法。</w:t>
      </w:r>
      <w:r w:rsidRPr="00BF42B7">
        <w:rPr>
          <w:rFonts w:cstheme="majorBidi"/>
          <w:bCs/>
          <w:color w:val="0000FF"/>
          <w:szCs w:val="21"/>
          <w:vertAlign w:val="superscript"/>
          <w:lang w:val="en-GB"/>
        </w:rPr>
        <w:footnoteReference w:id="363"/>
      </w:r>
      <w:r w:rsidRPr="00BF42B7">
        <w:rPr>
          <w:rFonts w:cstheme="majorBidi"/>
          <w:bCs/>
          <w:color w:val="0000FF"/>
          <w:szCs w:val="21"/>
          <w:vertAlign w:val="superscript"/>
          <w:lang w:val="en-GB"/>
        </w:rPr>
        <w:t xml:space="preserve"> </w:t>
      </w:r>
      <w:r w:rsidRPr="00BF42B7">
        <w:rPr>
          <w:rFonts w:asciiTheme="majorBidi" w:hAnsiTheme="majorBidi" w:cstheme="majorBidi"/>
          <w:bCs/>
          <w:szCs w:val="21"/>
          <w:lang w:val="en-GB"/>
        </w:rPr>
        <w:t>有的案件审理了明确此类规则的问题，包括：</w:t>
      </w:r>
      <w:r w:rsidRPr="00BF42B7">
        <w:rPr>
          <w:rFonts w:asciiTheme="majorBidi" w:eastAsia="楷体" w:hAnsiTheme="majorBidi" w:cstheme="majorBidi"/>
          <w:bCs/>
          <w:szCs w:val="21"/>
          <w:lang w:val="en-GB"/>
        </w:rPr>
        <w:t>哥伦比亚</w:t>
      </w:r>
      <w:r w:rsidRPr="00BF42B7">
        <w:rPr>
          <w:rFonts w:asciiTheme="majorBidi" w:hAnsiTheme="majorBidi" w:cstheme="majorBidi"/>
          <w:bCs/>
          <w:szCs w:val="21"/>
          <w:lang w:val="en-GB"/>
        </w:rPr>
        <w:t>－</w:t>
      </w:r>
      <w:r w:rsidRPr="00BF42B7">
        <w:rPr>
          <w:rFonts w:asciiTheme="majorBidi" w:eastAsia="楷体" w:hAnsiTheme="majorBidi" w:cstheme="majorBidi"/>
          <w:bCs/>
          <w:szCs w:val="21"/>
          <w:lang w:val="en-GB"/>
        </w:rPr>
        <w:t>秘鲁庇护权案</w:t>
      </w:r>
      <w:r w:rsidRPr="00BF42B7">
        <w:rPr>
          <w:rFonts w:cstheme="majorBidi"/>
          <w:color w:val="0000FF"/>
          <w:szCs w:val="21"/>
          <w:vertAlign w:val="superscript"/>
          <w:lang w:val="en-GB"/>
        </w:rPr>
        <w:footnoteReference w:id="364"/>
      </w:r>
      <w:r w:rsidRPr="00BF42B7">
        <w:rPr>
          <w:rFonts w:cstheme="majorBidi"/>
          <w:color w:val="0000FF"/>
          <w:szCs w:val="21"/>
          <w:vertAlign w:val="superscript"/>
          <w:lang w:val="en-GB"/>
        </w:rPr>
        <w:t xml:space="preserve"> </w:t>
      </w:r>
      <w:r w:rsidRPr="00BF42B7">
        <w:rPr>
          <w:rFonts w:asciiTheme="majorBidi" w:hAnsiTheme="majorBidi" w:cstheme="majorBidi"/>
          <w:bCs/>
          <w:szCs w:val="21"/>
          <w:lang w:val="en-GB"/>
        </w:rPr>
        <w:t>和</w:t>
      </w:r>
      <w:r w:rsidRPr="00BF42B7">
        <w:rPr>
          <w:rFonts w:asciiTheme="majorBidi" w:eastAsia="楷体" w:hAnsiTheme="majorBidi" w:cstheme="majorBidi"/>
          <w:bCs/>
          <w:szCs w:val="21"/>
          <w:lang w:val="en-GB"/>
        </w:rPr>
        <w:t>在印度领土上的通行权案</w:t>
      </w:r>
      <w:r w:rsidRPr="00BF42B7">
        <w:rPr>
          <w:rFonts w:asciiTheme="majorBidi" w:hAnsiTheme="majorBidi" w:cstheme="majorBidi"/>
          <w:bCs/>
          <w:szCs w:val="21"/>
          <w:lang w:val="en-GB"/>
        </w:rPr>
        <w:t>。</w:t>
      </w:r>
      <w:r w:rsidRPr="00BF42B7">
        <w:rPr>
          <w:rFonts w:cstheme="majorBidi"/>
          <w:color w:val="0000FF"/>
          <w:szCs w:val="21"/>
          <w:vertAlign w:val="superscript"/>
          <w:lang w:val="en-GB"/>
        </w:rPr>
        <w:footnoteReference w:id="365"/>
      </w:r>
      <w:r w:rsidRPr="00BF42B7">
        <w:rPr>
          <w:rFonts w:cstheme="majorBidi"/>
          <w:color w:val="0000FF"/>
          <w:szCs w:val="21"/>
          <w:vertAlign w:val="superscript"/>
          <w:lang w:val="en-GB"/>
        </w:rPr>
        <w:t xml:space="preserve"> </w:t>
      </w:r>
      <w:r w:rsidRPr="00BF42B7">
        <w:rPr>
          <w:rFonts w:asciiTheme="majorBidi" w:hAnsiTheme="majorBidi" w:cstheme="majorBidi" w:hint="eastAsia"/>
          <w:bCs/>
          <w:szCs w:val="21"/>
          <w:lang w:val="en-GB"/>
        </w:rPr>
        <w:t>“</w:t>
      </w:r>
      <w:r w:rsidRPr="00BF42B7">
        <w:rPr>
          <w:rFonts w:asciiTheme="majorBidi" w:hAnsiTheme="majorBidi" w:cstheme="majorBidi"/>
          <w:bCs/>
          <w:szCs w:val="21"/>
          <w:lang w:val="en-GB"/>
        </w:rPr>
        <w:t>特别习惯国际法</w:t>
      </w:r>
      <w:r w:rsidRPr="00BF42B7">
        <w:rPr>
          <w:rFonts w:asciiTheme="majorBidi" w:hAnsiTheme="majorBidi" w:cstheme="majorBidi" w:hint="eastAsia"/>
          <w:bCs/>
          <w:szCs w:val="21"/>
          <w:lang w:val="en-GB"/>
        </w:rPr>
        <w:t>”</w:t>
      </w:r>
      <w:r w:rsidRPr="00BF42B7">
        <w:rPr>
          <w:rFonts w:asciiTheme="majorBidi" w:hAnsiTheme="majorBidi" w:cstheme="majorBidi"/>
          <w:bCs/>
          <w:szCs w:val="21"/>
          <w:lang w:val="en-GB"/>
        </w:rPr>
        <w:t>这一术语指的是与一般适用的习惯国际法规则相对的规则。选用这一术语而不用</w:t>
      </w:r>
      <w:r w:rsidRPr="00BF42B7">
        <w:rPr>
          <w:rFonts w:asciiTheme="majorBidi" w:hAnsiTheme="majorBidi" w:cstheme="majorBidi" w:hint="eastAsia"/>
          <w:bCs/>
          <w:szCs w:val="21"/>
          <w:lang w:val="en-GB"/>
        </w:rPr>
        <w:t>“</w:t>
      </w:r>
      <w:r w:rsidRPr="00BF42B7">
        <w:rPr>
          <w:rFonts w:asciiTheme="majorBidi" w:hAnsiTheme="majorBidi" w:cstheme="majorBidi"/>
          <w:bCs/>
          <w:szCs w:val="21"/>
          <w:lang w:val="en-GB"/>
        </w:rPr>
        <w:t>特别习惯</w:t>
      </w:r>
      <w:r w:rsidRPr="00BF42B7">
        <w:rPr>
          <w:rFonts w:asciiTheme="majorBidi" w:hAnsiTheme="majorBidi" w:cstheme="majorBidi" w:hint="eastAsia"/>
          <w:bCs/>
          <w:szCs w:val="21"/>
          <w:lang w:val="en-GB"/>
        </w:rPr>
        <w:t>”</w:t>
      </w:r>
      <w:r w:rsidRPr="00BF42B7">
        <w:rPr>
          <w:rFonts w:asciiTheme="majorBidi" w:hAnsiTheme="majorBidi" w:cstheme="majorBidi"/>
          <w:bCs/>
          <w:szCs w:val="21"/>
          <w:lang w:val="en-GB"/>
        </w:rPr>
        <w:t>，目的</w:t>
      </w:r>
      <w:r w:rsidRPr="00BF42B7">
        <w:rPr>
          <w:rFonts w:asciiTheme="majorBidi" w:hAnsiTheme="majorBidi" w:cstheme="majorBidi"/>
          <w:bCs/>
          <w:szCs w:val="21"/>
        </w:rPr>
        <w:t>在于</w:t>
      </w:r>
      <w:r w:rsidRPr="00BF42B7">
        <w:rPr>
          <w:rFonts w:asciiTheme="majorBidi" w:hAnsiTheme="majorBidi" w:cstheme="majorBidi"/>
          <w:bCs/>
          <w:szCs w:val="21"/>
          <w:lang w:val="en-GB"/>
        </w:rPr>
        <w:t>强调本结论草案关心的是法律规则，而不单单是习惯或惯例；各国之间可能确实存在不构成国际法规则的</w:t>
      </w:r>
      <w:r w:rsidRPr="00BF42B7">
        <w:rPr>
          <w:rFonts w:asciiTheme="majorBidi" w:hAnsiTheme="majorBidi" w:cstheme="majorBidi" w:hint="eastAsia"/>
          <w:bCs/>
          <w:szCs w:val="21"/>
          <w:lang w:val="en-GB"/>
        </w:rPr>
        <w:t>“</w:t>
      </w:r>
      <w:r w:rsidRPr="00BF42B7">
        <w:rPr>
          <w:rFonts w:asciiTheme="majorBidi" w:hAnsiTheme="majorBidi" w:cstheme="majorBidi"/>
          <w:bCs/>
          <w:szCs w:val="21"/>
          <w:lang w:val="en-GB"/>
        </w:rPr>
        <w:t>地方习惯</w:t>
      </w:r>
      <w:r w:rsidRPr="00BF42B7">
        <w:rPr>
          <w:rFonts w:asciiTheme="majorBidi" w:hAnsiTheme="majorBidi" w:cstheme="majorBidi" w:hint="eastAsia"/>
          <w:bCs/>
          <w:szCs w:val="21"/>
          <w:lang w:val="en-GB"/>
        </w:rPr>
        <w:t>”</w:t>
      </w:r>
      <w:r w:rsidRPr="00BF42B7">
        <w:rPr>
          <w:rFonts w:asciiTheme="majorBidi" w:hAnsiTheme="majorBidi" w:cstheme="majorBidi"/>
          <w:bCs/>
          <w:szCs w:val="21"/>
          <w:lang w:val="en-GB"/>
        </w:rPr>
        <w:t>。</w:t>
      </w:r>
      <w:r w:rsidRPr="00BF42B7">
        <w:rPr>
          <w:rFonts w:cstheme="majorBidi"/>
          <w:bCs/>
          <w:color w:val="0000FF"/>
          <w:szCs w:val="21"/>
          <w:vertAlign w:val="superscript"/>
          <w:lang w:val="en-GB"/>
        </w:rPr>
        <w:footnoteReference w:id="366"/>
      </w:r>
    </w:p>
    <w:p w:rsidR="008D7906" w:rsidRPr="00BF42B7" w:rsidRDefault="008D7906" w:rsidP="008D7906">
      <w:pPr>
        <w:pStyle w:val="SingleTxtGC"/>
        <w:rPr>
          <w:rFonts w:asciiTheme="majorBidi" w:hAnsiTheme="majorBidi" w:cstheme="majorBidi"/>
          <w:szCs w:val="21"/>
          <w:lang w:val="en-GB"/>
        </w:rPr>
      </w:pPr>
      <w:r w:rsidRPr="00BF42B7">
        <w:rPr>
          <w:rFonts w:asciiTheme="majorBidi" w:hAnsiTheme="majorBidi" w:cstheme="majorBidi"/>
          <w:szCs w:val="21"/>
          <w:lang w:val="en-GB"/>
        </w:rPr>
        <w:t xml:space="preserve">(2)  </w:t>
      </w:r>
      <w:r w:rsidRPr="00BF42B7">
        <w:rPr>
          <w:rFonts w:asciiTheme="majorBidi" w:hAnsiTheme="majorBidi" w:cstheme="majorBidi"/>
          <w:bCs/>
          <w:szCs w:val="21"/>
          <w:lang w:val="en-GB"/>
        </w:rPr>
        <w:t>结论草案</w:t>
      </w:r>
      <w:r w:rsidRPr="00BF42B7">
        <w:rPr>
          <w:rFonts w:asciiTheme="majorBidi" w:hAnsiTheme="majorBidi" w:cstheme="majorBidi"/>
          <w:bCs/>
          <w:szCs w:val="21"/>
          <w:lang w:val="en-GB"/>
        </w:rPr>
        <w:t>16</w:t>
      </w:r>
      <w:r w:rsidRPr="00BF42B7">
        <w:rPr>
          <w:rFonts w:asciiTheme="majorBidi" w:hAnsiTheme="majorBidi" w:cstheme="majorBidi"/>
          <w:bCs/>
          <w:szCs w:val="21"/>
          <w:lang w:val="en-GB"/>
        </w:rPr>
        <w:t>被放在整套结论草案的最后，是因为前面的结论草案总体上也适用于特别习惯国际法规则的确定，除本条结论草案另作规定的地方以外。尤其是正如本评注描述的那样，两要素法是适用的。</w:t>
      </w:r>
      <w:r w:rsidRPr="00BF42B7">
        <w:rPr>
          <w:rFonts w:cstheme="majorBidi"/>
          <w:bCs/>
          <w:color w:val="0000FF"/>
          <w:szCs w:val="21"/>
          <w:vertAlign w:val="superscript"/>
          <w:lang w:val="en-GB"/>
        </w:rPr>
        <w:footnoteReference w:id="367"/>
      </w:r>
    </w:p>
    <w:p w:rsidR="008D7906" w:rsidRPr="00BF42B7" w:rsidRDefault="008D7906" w:rsidP="008D7906">
      <w:pPr>
        <w:pStyle w:val="SingleTxtGC"/>
        <w:rPr>
          <w:rFonts w:asciiTheme="majorBidi" w:hAnsiTheme="majorBidi" w:cstheme="majorBidi"/>
          <w:bCs/>
          <w:szCs w:val="21"/>
          <w:lang w:val="en-GB"/>
        </w:rPr>
      </w:pPr>
      <w:r w:rsidRPr="00BF42B7">
        <w:rPr>
          <w:rFonts w:asciiTheme="majorBidi" w:hAnsiTheme="majorBidi" w:cstheme="majorBidi"/>
          <w:szCs w:val="21"/>
          <w:lang w:val="en-GB"/>
        </w:rPr>
        <w:t xml:space="preserve">(3)  </w:t>
      </w:r>
      <w:r w:rsidRPr="00BF42B7">
        <w:rPr>
          <w:rFonts w:asciiTheme="majorBidi" w:hAnsiTheme="majorBidi" w:cstheme="majorBidi"/>
          <w:bCs/>
          <w:szCs w:val="21"/>
          <w:lang w:val="en-GB"/>
        </w:rPr>
        <w:t>第</w:t>
      </w:r>
      <w:r w:rsidRPr="00BF42B7">
        <w:rPr>
          <w:rFonts w:asciiTheme="majorBidi" w:hAnsiTheme="majorBidi" w:cstheme="majorBidi"/>
          <w:bCs/>
          <w:szCs w:val="21"/>
          <w:lang w:val="en-GB"/>
        </w:rPr>
        <w:t>1</w:t>
      </w:r>
      <w:r w:rsidRPr="00BF42B7">
        <w:rPr>
          <w:rFonts w:asciiTheme="majorBidi" w:hAnsiTheme="majorBidi" w:cstheme="majorBidi"/>
          <w:bCs/>
          <w:szCs w:val="21"/>
          <w:lang w:val="en-GB"/>
        </w:rPr>
        <w:t>段具有定义的性质，解释特别习惯国际法仅在数量有限的国家之间适用。应该把它同一般习惯国际法区分开来，也就是同原则上适用于所有国家的习惯国际法区分开来。因此，特别习惯国际法规则本身不为第三国创设义务或权利。</w:t>
      </w:r>
      <w:r w:rsidRPr="00BF42B7">
        <w:rPr>
          <w:rFonts w:cstheme="majorBidi"/>
          <w:bCs/>
          <w:color w:val="0000FF"/>
          <w:szCs w:val="21"/>
          <w:vertAlign w:val="superscript"/>
          <w:lang w:val="en-GB"/>
        </w:rPr>
        <w:footnoteReference w:id="368"/>
      </w:r>
    </w:p>
    <w:p w:rsidR="008D7906" w:rsidRPr="00BF42B7" w:rsidRDefault="008D7906" w:rsidP="008D7906">
      <w:pPr>
        <w:pStyle w:val="SingleTxtGC"/>
        <w:rPr>
          <w:rFonts w:asciiTheme="majorBidi" w:hAnsiTheme="majorBidi" w:cstheme="majorBidi"/>
          <w:bCs/>
          <w:szCs w:val="21"/>
          <w:lang w:val="en-GB"/>
        </w:rPr>
      </w:pPr>
      <w:r w:rsidRPr="00BF42B7">
        <w:rPr>
          <w:rFonts w:asciiTheme="majorBidi" w:hAnsiTheme="majorBidi" w:cstheme="majorBidi"/>
          <w:bCs/>
          <w:szCs w:val="21"/>
          <w:lang w:val="en-GB"/>
        </w:rPr>
        <w:t xml:space="preserve">(4)  </w:t>
      </w:r>
      <w:r w:rsidRPr="00BF42B7">
        <w:rPr>
          <w:rFonts w:asciiTheme="majorBidi" w:hAnsiTheme="majorBidi" w:cstheme="majorBidi"/>
          <w:bCs/>
          <w:szCs w:val="21"/>
          <w:lang w:val="en-GB"/>
        </w:rPr>
        <w:t>特别习惯国际法规则可能适用于不同类型的国家集团形式。经常提到的是区域性的习惯规则，例如</w:t>
      </w:r>
      <w:r w:rsidRPr="00BF42B7">
        <w:rPr>
          <w:rFonts w:asciiTheme="majorBidi" w:hAnsiTheme="majorBidi" w:cstheme="majorBidi" w:hint="eastAsia"/>
          <w:bCs/>
          <w:szCs w:val="21"/>
          <w:lang w:val="en-GB"/>
        </w:rPr>
        <w:t>“</w:t>
      </w:r>
      <w:r w:rsidRPr="00BF42B7">
        <w:rPr>
          <w:rFonts w:asciiTheme="majorBidi" w:hAnsiTheme="majorBidi" w:cstheme="majorBidi"/>
          <w:bCs/>
          <w:szCs w:val="21"/>
          <w:lang w:val="en-GB"/>
        </w:rPr>
        <w:t>特别适用于美洲国家法系的</w:t>
      </w:r>
      <w:r w:rsidRPr="00BF42B7">
        <w:rPr>
          <w:rFonts w:asciiTheme="majorBidi" w:hAnsiTheme="majorBidi" w:cstheme="majorBidi" w:hint="eastAsia"/>
          <w:bCs/>
          <w:szCs w:val="21"/>
          <w:lang w:val="en-GB"/>
        </w:rPr>
        <w:t>”</w:t>
      </w:r>
      <w:r w:rsidRPr="00BF42B7">
        <w:rPr>
          <w:rFonts w:asciiTheme="majorBidi" w:hAnsiTheme="majorBidi" w:cstheme="majorBidi"/>
          <w:bCs/>
          <w:szCs w:val="21"/>
          <w:lang w:val="en-GB"/>
        </w:rPr>
        <w:t>规则</w:t>
      </w:r>
      <w:r w:rsidRPr="00BF42B7">
        <w:rPr>
          <w:rFonts w:asciiTheme="majorBidi" w:hAnsiTheme="majorBidi" w:cstheme="majorBidi"/>
          <w:bCs/>
          <w:szCs w:val="21"/>
          <w:lang w:val="en-GB"/>
        </w:rPr>
        <w:t>(</w:t>
      </w:r>
      <w:r w:rsidRPr="00BF42B7">
        <w:rPr>
          <w:rFonts w:asciiTheme="majorBidi" w:hAnsiTheme="majorBidi" w:cstheme="majorBidi"/>
          <w:bCs/>
          <w:szCs w:val="21"/>
          <w:lang w:val="en-GB"/>
        </w:rPr>
        <w:t>外交庇护制度就是一个常见的例子</w:t>
      </w:r>
      <w:r w:rsidRPr="00BF42B7">
        <w:rPr>
          <w:rFonts w:asciiTheme="majorBidi" w:hAnsiTheme="majorBidi" w:cstheme="majorBidi"/>
          <w:bCs/>
          <w:szCs w:val="21"/>
          <w:lang w:val="en-GB"/>
        </w:rPr>
        <w:t>)</w:t>
      </w:r>
      <w:r w:rsidRPr="00BF42B7">
        <w:rPr>
          <w:rFonts w:asciiTheme="majorBidi" w:hAnsiTheme="majorBidi" w:cstheme="majorBidi"/>
          <w:bCs/>
          <w:szCs w:val="21"/>
          <w:lang w:val="en-GB"/>
        </w:rPr>
        <w:t>。</w:t>
      </w:r>
      <w:r w:rsidRPr="00BF42B7">
        <w:rPr>
          <w:rFonts w:cstheme="majorBidi"/>
          <w:bCs/>
          <w:color w:val="0000FF"/>
          <w:szCs w:val="21"/>
          <w:vertAlign w:val="superscript"/>
          <w:lang w:val="en-GB"/>
        </w:rPr>
        <w:footnoteReference w:id="369"/>
      </w:r>
      <w:r w:rsidRPr="00BF42B7">
        <w:rPr>
          <w:rFonts w:cstheme="majorBidi"/>
          <w:bCs/>
          <w:color w:val="0000FF"/>
          <w:szCs w:val="21"/>
          <w:vertAlign w:val="superscript"/>
          <w:lang w:val="en-GB"/>
        </w:rPr>
        <w:t xml:space="preserve"> </w:t>
      </w:r>
      <w:r w:rsidRPr="00BF42B7">
        <w:rPr>
          <w:rFonts w:asciiTheme="majorBidi" w:hAnsiTheme="majorBidi" w:cstheme="majorBidi"/>
          <w:bCs/>
          <w:szCs w:val="21"/>
          <w:lang w:val="en-GB"/>
        </w:rPr>
        <w:t>特别习惯国际法可能涵盖一个较小的地域，例如一个次区域，或者甚至约束少至两个国家。这一习惯是</w:t>
      </w:r>
      <w:r w:rsidRPr="00BF42B7">
        <w:rPr>
          <w:rFonts w:asciiTheme="majorBidi" w:eastAsia="楷体" w:hAnsiTheme="majorBidi" w:cstheme="majorBidi"/>
          <w:bCs/>
          <w:szCs w:val="21"/>
          <w:lang w:val="en-GB"/>
        </w:rPr>
        <w:t>通行权案</w:t>
      </w:r>
      <w:r w:rsidRPr="00BF42B7">
        <w:rPr>
          <w:rFonts w:asciiTheme="majorBidi" w:hAnsiTheme="majorBidi" w:cstheme="majorBidi"/>
          <w:bCs/>
          <w:szCs w:val="21"/>
          <w:lang w:val="en-GB"/>
        </w:rPr>
        <w:t>中的争议点，国际法院认定：</w:t>
      </w:r>
    </w:p>
    <w:p w:rsidR="008D7906" w:rsidRPr="00BF42B7" w:rsidRDefault="008D7906" w:rsidP="008D7906">
      <w:pPr>
        <w:pStyle w:val="SingleTxtGC"/>
        <w:ind w:left="1565"/>
        <w:rPr>
          <w:rFonts w:asciiTheme="majorBidi" w:hAnsiTheme="majorBidi" w:cstheme="majorBidi"/>
          <w:szCs w:val="21"/>
          <w:lang w:val="en-GB"/>
        </w:rPr>
      </w:pPr>
      <w:r w:rsidRPr="00BF42B7">
        <w:rPr>
          <w:rFonts w:asciiTheme="majorBidi" w:hAnsiTheme="majorBidi" w:cstheme="majorBidi" w:hint="eastAsia"/>
          <w:bCs/>
          <w:szCs w:val="21"/>
          <w:lang w:val="en-GB"/>
        </w:rPr>
        <w:t>“</w:t>
      </w:r>
      <w:r w:rsidRPr="00BF42B7">
        <w:rPr>
          <w:rFonts w:asciiTheme="majorBidi" w:hAnsiTheme="majorBidi" w:cstheme="majorBidi"/>
          <w:bCs/>
          <w:szCs w:val="21"/>
          <w:lang w:val="en-GB"/>
        </w:rPr>
        <w:t>很难理解为什么必须要在两个以上的国家之间才能根据长期实践确立地方惯例。法院认为两国之间长期持续的、被其接受用于规范相互关系的惯例没有理由不应成为这两个国家之间相互权利和义务的根据。</w:t>
      </w:r>
      <w:r w:rsidRPr="00BF42B7">
        <w:rPr>
          <w:rFonts w:asciiTheme="majorBidi" w:hAnsiTheme="majorBidi" w:cstheme="majorBidi" w:hint="eastAsia"/>
          <w:bCs/>
          <w:szCs w:val="21"/>
          <w:lang w:val="en-GB"/>
        </w:rPr>
        <w:t>”</w:t>
      </w:r>
      <w:r w:rsidRPr="00BF42B7">
        <w:rPr>
          <w:rFonts w:cstheme="majorBidi"/>
          <w:color w:val="0000FF"/>
          <w:szCs w:val="21"/>
          <w:vertAlign w:val="superscript"/>
          <w:lang w:val="en-GB"/>
        </w:rPr>
        <w:footnoteReference w:id="370"/>
      </w:r>
    </w:p>
    <w:p w:rsidR="008D7906" w:rsidRPr="00BF42B7" w:rsidRDefault="008D7906" w:rsidP="008D7906">
      <w:pPr>
        <w:pStyle w:val="SingleTxtGC"/>
        <w:rPr>
          <w:lang w:val="en-GB"/>
        </w:rPr>
      </w:pPr>
      <w:r w:rsidRPr="00BF42B7">
        <w:rPr>
          <w:lang w:val="en-GB"/>
        </w:rPr>
        <w:t>一些案件审理了对此类特别习惯国际法的主张，例如涉及以下问题：进入外国领土上飞地的权利，</w:t>
      </w:r>
      <w:r w:rsidRPr="00BF42B7">
        <w:rPr>
          <w:color w:val="0000FF"/>
          <w:vertAlign w:val="superscript"/>
          <w:lang w:val="en-GB"/>
        </w:rPr>
        <w:footnoteReference w:id="371"/>
      </w:r>
      <w:r w:rsidRPr="00BF42B7">
        <w:rPr>
          <w:color w:val="0000FF"/>
          <w:vertAlign w:val="superscript"/>
          <w:lang w:val="en-GB"/>
        </w:rPr>
        <w:t xml:space="preserve"> </w:t>
      </w:r>
      <w:r w:rsidRPr="00BF42B7">
        <w:rPr>
          <w:lang w:val="en-GB"/>
        </w:rPr>
        <w:t>由三个沿海国共有</w:t>
      </w:r>
      <w:r w:rsidRPr="00BF42B7">
        <w:rPr>
          <w:lang w:val="en-GB"/>
        </w:rPr>
        <w:t>(</w:t>
      </w:r>
      <w:r w:rsidRPr="00BF42B7">
        <w:rPr>
          <w:lang w:val="en-GB"/>
        </w:rPr>
        <w:t>共管</w:t>
      </w:r>
      <w:r w:rsidRPr="00BF42B7">
        <w:rPr>
          <w:lang w:val="en-GB"/>
        </w:rPr>
        <w:t>)</w:t>
      </w:r>
      <w:r w:rsidRPr="00BF42B7">
        <w:rPr>
          <w:lang w:val="en-GB"/>
        </w:rPr>
        <w:t>历史水域，</w:t>
      </w:r>
      <w:r w:rsidRPr="00BF42B7">
        <w:rPr>
          <w:color w:val="0000FF"/>
          <w:vertAlign w:val="superscript"/>
          <w:lang w:val="en-GB"/>
        </w:rPr>
        <w:footnoteReference w:id="372"/>
      </w:r>
      <w:r w:rsidRPr="00BF42B7">
        <w:rPr>
          <w:color w:val="0000FF"/>
          <w:vertAlign w:val="superscript"/>
          <w:lang w:val="en-GB"/>
        </w:rPr>
        <w:t xml:space="preserve"> </w:t>
      </w:r>
      <w:r w:rsidRPr="00BF42B7">
        <w:rPr>
          <w:lang w:val="en-GB"/>
        </w:rPr>
        <w:t>居住在两个沿岸国之间界河上的国民出于生计而捕鱼的权利，</w:t>
      </w:r>
      <w:r w:rsidRPr="00BF42B7">
        <w:rPr>
          <w:color w:val="0000FF"/>
          <w:vertAlign w:val="superscript"/>
          <w:lang w:val="en-GB"/>
        </w:rPr>
        <w:footnoteReference w:id="373"/>
      </w:r>
      <w:r w:rsidRPr="00BF42B7">
        <w:rPr>
          <w:color w:val="0000FF"/>
          <w:vertAlign w:val="superscript"/>
          <w:lang w:val="en-GB"/>
        </w:rPr>
        <w:t xml:space="preserve"> </w:t>
      </w:r>
      <w:r w:rsidRPr="00BF42B7">
        <w:rPr>
          <w:lang w:val="en-GB"/>
        </w:rPr>
        <w:t>跨国或国际过境免于移民手续的权利，</w:t>
      </w:r>
      <w:r w:rsidRPr="00BF42B7">
        <w:rPr>
          <w:color w:val="0000FF"/>
          <w:vertAlign w:val="superscript"/>
          <w:lang w:val="en-GB"/>
        </w:rPr>
        <w:footnoteReference w:id="374"/>
      </w:r>
      <w:r w:rsidRPr="00BF42B7">
        <w:rPr>
          <w:color w:val="0000FF"/>
          <w:vertAlign w:val="superscript"/>
          <w:lang w:val="en-GB"/>
        </w:rPr>
        <w:t xml:space="preserve"> </w:t>
      </w:r>
      <w:r w:rsidRPr="00BF42B7">
        <w:rPr>
          <w:lang w:val="en-GB"/>
        </w:rPr>
        <w:t>以及就管理两国界河上的发电问题达成协议的义务。</w:t>
      </w:r>
      <w:r w:rsidRPr="00BF42B7">
        <w:rPr>
          <w:color w:val="0000FF"/>
          <w:vertAlign w:val="superscript"/>
          <w:lang w:val="en-GB"/>
        </w:rPr>
        <w:footnoteReference w:id="375"/>
      </w:r>
    </w:p>
    <w:p w:rsidR="008D7906" w:rsidRPr="00BF42B7" w:rsidRDefault="008D7906" w:rsidP="008D7906">
      <w:pPr>
        <w:pStyle w:val="SingleTxtGC"/>
        <w:rPr>
          <w:lang w:val="en-GB"/>
        </w:rPr>
      </w:pPr>
      <w:r w:rsidRPr="00BF42B7">
        <w:rPr>
          <w:bCs/>
          <w:lang w:val="en-GB"/>
        </w:rPr>
        <w:t xml:space="preserve">(5)  </w:t>
      </w:r>
      <w:r w:rsidRPr="00BF42B7">
        <w:rPr>
          <w:lang w:val="en-GB"/>
        </w:rPr>
        <w:t>虽然适用特别习惯国际法规则的国家之间在地理上往往存在某种程度的密切关系，但这并不总是必需的。</w:t>
      </w:r>
      <w:r w:rsidRPr="00BF42B7">
        <w:rPr>
          <w:rFonts w:hint="eastAsia"/>
          <w:lang w:val="en-GB"/>
        </w:rPr>
        <w:t>“</w:t>
      </w:r>
      <w:r w:rsidRPr="00BF42B7">
        <w:t>不论是区域、地方还是其他层面的</w:t>
      </w:r>
      <w:r w:rsidRPr="00BF42B7">
        <w:rPr>
          <w:rFonts w:hint="eastAsia"/>
          <w:lang w:val="en-GB"/>
        </w:rPr>
        <w:t>”</w:t>
      </w:r>
      <w:r w:rsidRPr="00BF42B7">
        <w:rPr>
          <w:lang w:val="en-GB"/>
        </w:rPr>
        <w:t>这一表述的目的是承认虽然特别习惯国际法大多是区域、次区域或地方性的，但原则上没有理由认为由共同的事业、利益或活动</w:t>
      </w:r>
      <w:r w:rsidRPr="00BF42B7">
        <w:rPr>
          <w:lang w:val="en-GB"/>
        </w:rPr>
        <w:t>(</w:t>
      </w:r>
      <w:r w:rsidRPr="00BF42B7">
        <w:rPr>
          <w:lang w:val="en-GB"/>
        </w:rPr>
        <w:t>而非其地理位置</w:t>
      </w:r>
      <w:r w:rsidRPr="00BF42B7">
        <w:rPr>
          <w:lang w:val="en-GB"/>
        </w:rPr>
        <w:t>)</w:t>
      </w:r>
      <w:r w:rsidRPr="00BF42B7">
        <w:rPr>
          <w:lang w:val="en-GB"/>
        </w:rPr>
        <w:t>联系起来或构成一个利益共同体的国家间不应发展出一条特别习惯国际法规则，不论是通过条约还是其他方式加以确立的。</w:t>
      </w:r>
    </w:p>
    <w:p w:rsidR="008D7906" w:rsidRPr="00BF42B7" w:rsidRDefault="008D7906" w:rsidP="008D7906">
      <w:pPr>
        <w:pStyle w:val="SingleTxtGC"/>
        <w:rPr>
          <w:rFonts w:asciiTheme="majorBidi" w:hAnsiTheme="majorBidi" w:cstheme="majorBidi"/>
          <w:szCs w:val="21"/>
          <w:lang w:val="en-GB"/>
        </w:rPr>
      </w:pPr>
      <w:r w:rsidRPr="00BF42B7">
        <w:rPr>
          <w:rFonts w:asciiTheme="majorBidi" w:hAnsiTheme="majorBidi" w:cstheme="majorBidi"/>
          <w:bCs/>
          <w:szCs w:val="21"/>
          <w:lang w:val="en-GB"/>
        </w:rPr>
        <w:t xml:space="preserve">(6)  </w:t>
      </w:r>
      <w:r w:rsidRPr="00BF42B7">
        <w:rPr>
          <w:rFonts w:asciiTheme="majorBidi" w:hAnsiTheme="majorBidi" w:cstheme="majorBidi"/>
          <w:szCs w:val="21"/>
          <w:lang w:val="en-GB"/>
        </w:rPr>
        <w:t>第</w:t>
      </w:r>
      <w:r w:rsidRPr="00BF42B7">
        <w:rPr>
          <w:rFonts w:asciiTheme="majorBidi" w:hAnsiTheme="majorBidi" w:cstheme="majorBidi"/>
          <w:szCs w:val="21"/>
          <w:lang w:val="en-GB"/>
        </w:rPr>
        <w:t>2</w:t>
      </w:r>
      <w:r w:rsidRPr="00BF42B7">
        <w:rPr>
          <w:rFonts w:asciiTheme="majorBidi" w:hAnsiTheme="majorBidi" w:cstheme="majorBidi"/>
          <w:szCs w:val="21"/>
          <w:lang w:val="en-GB"/>
        </w:rPr>
        <w:t>段讨论明确特别习惯国际法规则的实质性要求。从根本上说，判断这一规则是否存在，就是要寻找一条当事国之间通行、被其接受、规范其关系的一般惯例。国际法院在</w:t>
      </w:r>
      <w:r w:rsidRPr="00BF42B7">
        <w:rPr>
          <w:rFonts w:asciiTheme="majorBidi" w:eastAsia="楷体" w:hAnsiTheme="majorBidi" w:cstheme="majorBidi"/>
          <w:szCs w:val="21"/>
          <w:lang w:val="en-GB"/>
        </w:rPr>
        <w:t>哥伦比亚－秘鲁庇护权案</w:t>
      </w:r>
      <w:r w:rsidRPr="00BF42B7">
        <w:rPr>
          <w:rFonts w:asciiTheme="majorBidi" w:hAnsiTheme="majorBidi" w:cstheme="majorBidi"/>
          <w:szCs w:val="21"/>
          <w:lang w:val="en-GB"/>
        </w:rPr>
        <w:t>中就此事提供了指导意见，对于哥伦比亚关于存在一个</w:t>
      </w:r>
      <w:r w:rsidRPr="00BF42B7">
        <w:rPr>
          <w:rFonts w:asciiTheme="majorBidi" w:hAnsiTheme="majorBidi" w:cstheme="majorBidi" w:hint="eastAsia"/>
          <w:szCs w:val="21"/>
          <w:lang w:val="en-GB"/>
        </w:rPr>
        <w:t>“</w:t>
      </w:r>
      <w:r w:rsidRPr="00BF42B7">
        <w:rPr>
          <w:rFonts w:asciiTheme="majorBidi" w:hAnsiTheme="majorBidi" w:cstheme="majorBidi"/>
          <w:szCs w:val="21"/>
          <w:lang w:val="en-GB"/>
        </w:rPr>
        <w:t>拉丁美洲国家特有的区域或地方习惯</w:t>
      </w:r>
      <w:r w:rsidRPr="00BF42B7">
        <w:rPr>
          <w:rFonts w:asciiTheme="majorBidi" w:hAnsiTheme="majorBidi" w:cstheme="majorBidi" w:hint="eastAsia"/>
          <w:szCs w:val="21"/>
          <w:lang w:val="en-GB"/>
        </w:rPr>
        <w:t>”</w:t>
      </w:r>
      <w:r w:rsidRPr="00BF42B7">
        <w:rPr>
          <w:rFonts w:asciiTheme="majorBidi" w:hAnsiTheme="majorBidi" w:cstheme="majorBidi"/>
          <w:szCs w:val="21"/>
          <w:lang w:val="en-GB"/>
        </w:rPr>
        <w:t>的主张，法院认定：</w:t>
      </w:r>
    </w:p>
    <w:p w:rsidR="008D7906" w:rsidRPr="00BF42B7" w:rsidRDefault="008D7906" w:rsidP="007735A2">
      <w:pPr>
        <w:pStyle w:val="SingleTxtGC"/>
        <w:ind w:left="1565"/>
        <w:rPr>
          <w:lang w:val="en-GB"/>
        </w:rPr>
      </w:pPr>
      <w:r w:rsidRPr="00BF42B7">
        <w:rPr>
          <w:rFonts w:hint="eastAsia"/>
          <w:lang w:val="en-GB"/>
        </w:rPr>
        <w:t>“</w:t>
      </w:r>
      <w:r w:rsidRPr="00BF42B7">
        <w:rPr>
          <w:lang w:val="en-GB"/>
        </w:rPr>
        <w:t>依据此种习惯的当事方必须证明，这一习惯建立的方式使之对另一当事方也已具有约束力。哥伦比亚政府必须证明其援引的规则符合有关国家采用的恒定、统一的惯例，并且这种惯例体现了属于给予庇护国的一项权利和领土所属国负有的一项义务。这源于《国际法院规约》第三十八条，其中称国际习惯为</w:t>
      </w:r>
      <w:r w:rsidR="00807B36">
        <w:rPr>
          <w:rFonts w:hint="eastAsia"/>
          <w:lang w:val="en-GB"/>
        </w:rPr>
        <w:t>‘</w:t>
      </w:r>
      <w:r w:rsidRPr="00BF42B7">
        <w:rPr>
          <w:lang w:val="en-GB"/>
        </w:rPr>
        <w:t>作为通例之证明而经接受为法律者</w:t>
      </w:r>
      <w:r w:rsidR="00807B36">
        <w:rPr>
          <w:rFonts w:hint="eastAsia"/>
          <w:lang w:val="en-GB"/>
        </w:rPr>
        <w:t>’</w:t>
      </w:r>
      <w:r w:rsidRPr="00BF42B7">
        <w:rPr>
          <w:lang w:val="en-GB"/>
        </w:rPr>
        <w:t>。</w:t>
      </w:r>
      <w:r w:rsidRPr="00BF42B7">
        <w:rPr>
          <w:rFonts w:hint="eastAsia"/>
          <w:lang w:val="en-GB"/>
        </w:rPr>
        <w:t>”</w:t>
      </w:r>
      <w:r w:rsidRPr="00BF42B7">
        <w:rPr>
          <w:color w:val="0000FF"/>
          <w:vertAlign w:val="superscript"/>
          <w:lang w:val="en-GB"/>
        </w:rPr>
        <w:footnoteReference w:id="376"/>
      </w:r>
    </w:p>
    <w:p w:rsidR="008D7906" w:rsidRPr="00BF42B7" w:rsidRDefault="008D7906" w:rsidP="008D7906">
      <w:pPr>
        <w:pStyle w:val="SingleTxtGC"/>
        <w:rPr>
          <w:rFonts w:asciiTheme="majorBidi" w:hAnsiTheme="majorBidi" w:cstheme="majorBidi"/>
          <w:szCs w:val="21"/>
          <w:lang w:val="en-GB"/>
        </w:rPr>
      </w:pPr>
      <w:r w:rsidRPr="00BF42B7">
        <w:rPr>
          <w:rFonts w:asciiTheme="majorBidi" w:hAnsiTheme="majorBidi" w:cstheme="majorBidi"/>
          <w:bCs/>
          <w:szCs w:val="21"/>
          <w:lang w:val="en-GB"/>
        </w:rPr>
        <w:t xml:space="preserve">(7)  </w:t>
      </w:r>
      <w:r w:rsidRPr="00BF42B7">
        <w:rPr>
          <w:rFonts w:asciiTheme="majorBidi" w:hAnsiTheme="majorBidi" w:cstheme="majorBidi"/>
          <w:szCs w:val="21"/>
          <w:lang w:val="en-GB"/>
        </w:rPr>
        <w:t>两要素法既要求有一项一般惯例，又要求其被接受为法律</w:t>
      </w:r>
      <w:r w:rsidRPr="00BF42B7">
        <w:rPr>
          <w:rFonts w:asciiTheme="majorBidi" w:hAnsiTheme="majorBidi" w:cstheme="majorBidi"/>
          <w:szCs w:val="21"/>
          <w:lang w:val="en-GB"/>
        </w:rPr>
        <w:t>(</w:t>
      </w:r>
      <w:r w:rsidRPr="00BF42B7">
        <w:rPr>
          <w:rFonts w:asciiTheme="majorBidi" w:hAnsiTheme="majorBidi" w:cstheme="majorBidi"/>
          <w:szCs w:val="21"/>
          <w:lang w:val="en-GB"/>
        </w:rPr>
        <w:t>法律确信</w:t>
      </w:r>
      <w:r w:rsidRPr="00BF42B7">
        <w:rPr>
          <w:rFonts w:asciiTheme="majorBidi" w:hAnsiTheme="majorBidi" w:cstheme="majorBidi"/>
          <w:szCs w:val="21"/>
          <w:lang w:val="en-GB"/>
        </w:rPr>
        <w:t>)</w:t>
      </w:r>
      <w:r w:rsidRPr="00BF42B7">
        <w:rPr>
          <w:rFonts w:asciiTheme="majorBidi" w:hAnsiTheme="majorBidi" w:cstheme="majorBidi"/>
          <w:szCs w:val="21"/>
          <w:lang w:val="en-GB"/>
        </w:rPr>
        <w:t>，因而也适用于识别特别习惯国际法规则的情况。然而，在特别习惯国际法的情况下，惯例必须具有一般性的意思是，它必须是</w:t>
      </w:r>
      <w:r w:rsidRPr="00BF42B7">
        <w:rPr>
          <w:rFonts w:asciiTheme="majorBidi" w:hAnsiTheme="majorBidi" w:cstheme="majorBidi" w:hint="eastAsia"/>
          <w:szCs w:val="21"/>
          <w:lang w:val="en-GB"/>
        </w:rPr>
        <w:t>“</w:t>
      </w:r>
      <w:r w:rsidRPr="00BF42B7">
        <w:rPr>
          <w:rFonts w:asciiTheme="majorBidi" w:hAnsiTheme="majorBidi" w:cstheme="majorBidi"/>
          <w:szCs w:val="21"/>
          <w:lang w:val="en-GB"/>
        </w:rPr>
        <w:t>各当事国中</w:t>
      </w:r>
      <w:r w:rsidRPr="00BF42B7">
        <w:rPr>
          <w:rFonts w:asciiTheme="majorBidi" w:hAnsiTheme="majorBidi" w:cstheme="majorBidi" w:hint="eastAsia"/>
          <w:szCs w:val="21"/>
          <w:lang w:val="en-GB"/>
        </w:rPr>
        <w:t>”</w:t>
      </w:r>
      <w:r w:rsidRPr="00BF42B7">
        <w:rPr>
          <w:rFonts w:asciiTheme="majorBidi" w:hAnsiTheme="majorBidi" w:cstheme="majorBidi"/>
          <w:szCs w:val="21"/>
          <w:lang w:val="en-GB"/>
        </w:rPr>
        <w:t>(</w:t>
      </w:r>
      <w:r w:rsidRPr="00BF42B7">
        <w:rPr>
          <w:rFonts w:asciiTheme="majorBidi" w:hAnsiTheme="majorBidi" w:cstheme="majorBidi"/>
          <w:szCs w:val="21"/>
          <w:lang w:val="en-GB"/>
        </w:rPr>
        <w:t>也就是在所涉规则适用的所有国家中</w:t>
      </w:r>
      <w:r w:rsidRPr="00BF42B7">
        <w:rPr>
          <w:rFonts w:asciiTheme="majorBidi" w:hAnsiTheme="majorBidi" w:cstheme="majorBidi"/>
          <w:szCs w:val="21"/>
          <w:lang w:val="en-GB"/>
        </w:rPr>
        <w:t>)</w:t>
      </w:r>
      <w:r w:rsidRPr="00BF42B7">
        <w:rPr>
          <w:rFonts w:asciiTheme="majorBidi" w:hAnsiTheme="majorBidi" w:cstheme="majorBidi"/>
          <w:szCs w:val="21"/>
          <w:lang w:val="en-GB"/>
        </w:rPr>
        <w:t>的一个一致惯例，每一国都必须已经接受这个惯例是它们自己之间的法律。就此而言，两要素法在特别习惯国际法规则的情况中适用得更为严格。</w:t>
      </w:r>
    </w:p>
    <w:p w:rsidR="008D7906" w:rsidRPr="00BF42B7" w:rsidRDefault="008D7906" w:rsidP="008D7906">
      <w:pPr>
        <w:pStyle w:val="HChGC"/>
      </w:pPr>
      <w:r w:rsidRPr="00BF42B7">
        <w:rPr>
          <w:lang w:val="en-GB"/>
        </w:rPr>
        <w:br w:type="page"/>
      </w:r>
      <w:r w:rsidRPr="00BF42B7">
        <w:tab/>
      </w:r>
      <w:r w:rsidRPr="00BF42B7">
        <w:tab/>
      </w:r>
      <w:r w:rsidRPr="00BF42B7">
        <w:t>第</w:t>
      </w:r>
      <w:r w:rsidRPr="00BF42B7">
        <w:rPr>
          <w:lang w:val="zh-CN"/>
        </w:rPr>
        <w:t>六</w:t>
      </w:r>
      <w:r w:rsidRPr="00BF42B7">
        <w:t>章</w:t>
      </w:r>
      <w:r w:rsidRPr="00BF42B7">
        <w:br/>
      </w:r>
      <w:r w:rsidRPr="00BF42B7">
        <w:rPr>
          <w:lang w:val="zh-CN"/>
        </w:rPr>
        <w:t>与条约解释相关的嗣后协定和嗣后惯例</w:t>
      </w:r>
    </w:p>
    <w:p w:rsidR="008D7906" w:rsidRPr="00BF42B7" w:rsidRDefault="008D7906" w:rsidP="008D7906">
      <w:pPr>
        <w:pStyle w:val="H1GC"/>
      </w:pPr>
      <w:r w:rsidRPr="00BF42B7">
        <w:rPr>
          <w:lang w:val="zh-CN"/>
        </w:rPr>
        <w:tab/>
        <w:t>A.</w:t>
      </w:r>
      <w:r w:rsidRPr="00BF42B7">
        <w:rPr>
          <w:lang w:val="zh-CN"/>
        </w:rPr>
        <w:tab/>
      </w:r>
      <w:r w:rsidRPr="00BF42B7">
        <w:rPr>
          <w:lang w:val="zh-CN"/>
        </w:rPr>
        <w:t>导言</w:t>
      </w:r>
    </w:p>
    <w:p w:rsidR="008D7906" w:rsidRPr="00BF42B7" w:rsidRDefault="008D7906" w:rsidP="004704AB">
      <w:pPr>
        <w:pStyle w:val="SingleTxtGC"/>
      </w:pPr>
      <w:r w:rsidRPr="00BF42B7">
        <w:rPr>
          <w:lang w:val="zh-CN"/>
        </w:rPr>
        <w:t xml:space="preserve">64.  </w:t>
      </w:r>
      <w:r w:rsidRPr="00BF42B7">
        <w:rPr>
          <w:lang w:val="zh-CN"/>
        </w:rPr>
        <w:t>委员会第六十届会议</w:t>
      </w:r>
      <w:r w:rsidRPr="00BF42B7">
        <w:rPr>
          <w:lang w:val="zh-CN"/>
        </w:rPr>
        <w:t>(2008</w:t>
      </w:r>
      <w:r w:rsidRPr="00BF42B7">
        <w:rPr>
          <w:lang w:val="zh-CN"/>
        </w:rPr>
        <w:t>年</w:t>
      </w:r>
      <w:r w:rsidRPr="00BF42B7">
        <w:rPr>
          <w:lang w:val="zh-CN"/>
        </w:rPr>
        <w:t>)</w:t>
      </w:r>
      <w:r w:rsidRPr="00BF42B7">
        <w:rPr>
          <w:lang w:val="zh-CN"/>
        </w:rPr>
        <w:t>决定将</w:t>
      </w:r>
      <w:r w:rsidRPr="00BF42B7">
        <w:rPr>
          <w:rFonts w:hint="eastAsia"/>
          <w:lang w:val="zh-CN"/>
        </w:rPr>
        <w:t>“</w:t>
      </w:r>
      <w:r w:rsidRPr="00BF42B7">
        <w:rPr>
          <w:lang w:val="zh-CN"/>
        </w:rPr>
        <w:t>条约随时间演变</w:t>
      </w:r>
      <w:r w:rsidRPr="00BF42B7">
        <w:rPr>
          <w:rFonts w:hint="eastAsia"/>
          <w:lang w:val="zh-CN"/>
        </w:rPr>
        <w:t>”</w:t>
      </w:r>
      <w:r w:rsidRPr="00BF42B7">
        <w:rPr>
          <w:lang w:val="zh-CN"/>
        </w:rPr>
        <w:t>专题列入其工作方案，并决定在第六十一届会议上设立一个专题研究组。</w:t>
      </w:r>
      <w:r w:rsidRPr="00BF42B7">
        <w:rPr>
          <w:rStyle w:val="a5"/>
          <w:rFonts w:cstheme="majorBidi"/>
          <w:szCs w:val="21"/>
          <w:lang w:val="zh-CN"/>
        </w:rPr>
        <w:footnoteReference w:id="377"/>
      </w:r>
      <w:r w:rsidRPr="00BF42B7">
        <w:rPr>
          <w:lang w:val="zh-CN"/>
        </w:rPr>
        <w:t xml:space="preserve"> </w:t>
      </w:r>
      <w:r w:rsidRPr="00BF42B7">
        <w:rPr>
          <w:lang w:val="zh-CN"/>
        </w:rPr>
        <w:t>委员会第六十一届会议</w:t>
      </w:r>
      <w:r w:rsidRPr="00BF42B7">
        <w:rPr>
          <w:lang w:val="zh-CN"/>
        </w:rPr>
        <w:t>(2009</w:t>
      </w:r>
      <w:r w:rsidRPr="00BF42B7">
        <w:rPr>
          <w:lang w:val="zh-CN"/>
        </w:rPr>
        <w:t>年</w:t>
      </w:r>
      <w:r w:rsidRPr="00BF42B7">
        <w:rPr>
          <w:lang w:val="zh-CN"/>
        </w:rPr>
        <w:t>)</w:t>
      </w:r>
      <w:r w:rsidRPr="00BF42B7">
        <w:rPr>
          <w:lang w:val="zh-CN"/>
        </w:rPr>
        <w:t>设立了条约随时间演变专题研究组，由格奥尔格</w:t>
      </w:r>
      <w:r w:rsidR="004704AB" w:rsidRPr="00BF42B7">
        <w:rPr>
          <w:rFonts w:hint="eastAsia"/>
          <w:lang w:val="fr-CH"/>
        </w:rPr>
        <w:t>·</w:t>
      </w:r>
      <w:r w:rsidRPr="00BF42B7">
        <w:rPr>
          <w:lang w:val="zh-CN"/>
        </w:rPr>
        <w:t>诺尔特先生担任主席。在该届会议上，研究组的讨论侧重于确定要涵盖的问题、研究组的工作方法和委员会关于该专题的工作可能产生的成果。</w:t>
      </w:r>
      <w:r w:rsidRPr="00BF42B7">
        <w:rPr>
          <w:rStyle w:val="a5"/>
          <w:rFonts w:cstheme="majorBidi"/>
          <w:szCs w:val="21"/>
          <w:lang w:val="zh-CN"/>
        </w:rPr>
        <w:footnoteReference w:id="378"/>
      </w:r>
    </w:p>
    <w:p w:rsidR="008D7906" w:rsidRPr="00BF42B7" w:rsidRDefault="008D7906" w:rsidP="004704AB">
      <w:pPr>
        <w:pStyle w:val="SingleTxtGC"/>
        <w:rPr>
          <w:rFonts w:asciiTheme="majorBidi" w:hAnsiTheme="majorBidi" w:cstheme="majorBidi"/>
          <w:szCs w:val="21"/>
        </w:rPr>
      </w:pPr>
      <w:r w:rsidRPr="00BF42B7">
        <w:rPr>
          <w:rFonts w:asciiTheme="majorBidi" w:hAnsiTheme="majorBidi" w:cstheme="majorBidi"/>
          <w:szCs w:val="21"/>
          <w:lang w:val="zh-CN"/>
        </w:rPr>
        <w:t xml:space="preserve">65.  </w:t>
      </w:r>
      <w:r w:rsidRPr="00BF42B7">
        <w:rPr>
          <w:rFonts w:asciiTheme="majorBidi" w:hAnsiTheme="majorBidi" w:cstheme="majorBidi"/>
          <w:szCs w:val="21"/>
          <w:lang w:val="zh-CN"/>
        </w:rPr>
        <w:t>从第六十二届至第六十四届会议</w:t>
      </w:r>
      <w:r w:rsidRPr="00BF42B7">
        <w:rPr>
          <w:rFonts w:asciiTheme="majorBidi" w:hAnsiTheme="majorBidi" w:cstheme="majorBidi"/>
          <w:szCs w:val="21"/>
          <w:lang w:val="zh-CN"/>
        </w:rPr>
        <w:t>(2010</w:t>
      </w:r>
      <w:r w:rsidRPr="00BF42B7">
        <w:rPr>
          <w:rFonts w:asciiTheme="majorBidi" w:hAnsiTheme="majorBidi" w:cstheme="majorBidi"/>
          <w:szCs w:val="21"/>
          <w:lang w:val="zh-CN"/>
        </w:rPr>
        <w:t>年至</w:t>
      </w:r>
      <w:r w:rsidRPr="00BF42B7">
        <w:rPr>
          <w:rFonts w:asciiTheme="majorBidi" w:hAnsiTheme="majorBidi" w:cstheme="majorBidi"/>
          <w:szCs w:val="21"/>
          <w:lang w:val="zh-CN"/>
        </w:rPr>
        <w:t>2012</w:t>
      </w:r>
      <w:r w:rsidRPr="00BF42B7">
        <w:rPr>
          <w:rFonts w:asciiTheme="majorBidi" w:hAnsiTheme="majorBidi" w:cstheme="majorBidi"/>
          <w:szCs w:val="21"/>
          <w:lang w:val="zh-CN"/>
        </w:rPr>
        <w:t>年</w:t>
      </w:r>
      <w:r w:rsidRPr="00BF42B7">
        <w:rPr>
          <w:rFonts w:asciiTheme="majorBidi" w:hAnsiTheme="majorBidi" w:cstheme="majorBidi"/>
          <w:szCs w:val="21"/>
          <w:lang w:val="zh-CN"/>
        </w:rPr>
        <w:t>)</w:t>
      </w:r>
      <w:r w:rsidRPr="00BF42B7">
        <w:rPr>
          <w:rFonts w:asciiTheme="majorBidi" w:hAnsiTheme="majorBidi" w:cstheme="majorBidi"/>
          <w:szCs w:val="21"/>
          <w:lang w:val="zh-CN"/>
        </w:rPr>
        <w:t>，委员会都重新设立了研究组，由格奥尔格</w:t>
      </w:r>
      <w:r w:rsidR="004704AB" w:rsidRPr="00BF42B7">
        <w:rPr>
          <w:rFonts w:hint="eastAsia"/>
          <w:lang w:val="fr-CH"/>
        </w:rPr>
        <w:t>·</w:t>
      </w:r>
      <w:r w:rsidRPr="00BF42B7">
        <w:rPr>
          <w:rFonts w:asciiTheme="majorBidi" w:hAnsiTheme="majorBidi" w:cstheme="majorBidi"/>
          <w:szCs w:val="21"/>
          <w:lang w:val="zh-CN"/>
        </w:rPr>
        <w:t>诺尔特先生任主席。研究组审查了主席非正式提交的三份</w:t>
      </w:r>
      <w:r w:rsidRPr="00BF42B7">
        <w:rPr>
          <w:rFonts w:asciiTheme="majorBidi" w:hAnsiTheme="majorBidi" w:cstheme="majorBidi"/>
          <w:spacing w:val="-4"/>
          <w:szCs w:val="21"/>
          <w:lang w:val="zh-CN"/>
        </w:rPr>
        <w:t>报告，这些报告分别讨论了国际法院和具有特别管辖权的仲裁法庭的相关判例；</w:t>
      </w:r>
      <w:r w:rsidRPr="00BF42B7">
        <w:rPr>
          <w:rStyle w:val="a5"/>
          <w:rFonts w:cstheme="majorBidi"/>
          <w:spacing w:val="-4"/>
          <w:szCs w:val="21"/>
          <w:lang w:val="zh-CN"/>
        </w:rPr>
        <w:footnoteReference w:id="379"/>
      </w:r>
      <w:r w:rsidRPr="00BF42B7">
        <w:rPr>
          <w:rFonts w:asciiTheme="majorBidi" w:hAnsiTheme="majorBidi" w:cstheme="majorBidi"/>
          <w:szCs w:val="21"/>
          <w:lang w:val="zh-CN"/>
        </w:rPr>
        <w:t xml:space="preserve"> </w:t>
      </w:r>
      <w:r w:rsidRPr="00BF42B7">
        <w:rPr>
          <w:rFonts w:asciiTheme="majorBidi" w:hAnsiTheme="majorBidi" w:cstheme="majorBidi"/>
          <w:szCs w:val="21"/>
          <w:lang w:val="zh-CN"/>
        </w:rPr>
        <w:t>在特殊制度下与嗣后协定和嗣后惯例有关的判例；</w:t>
      </w:r>
      <w:r w:rsidRPr="00BF42B7">
        <w:rPr>
          <w:rStyle w:val="a5"/>
          <w:rFonts w:cstheme="majorBidi"/>
          <w:szCs w:val="21"/>
          <w:lang w:val="zh-CN"/>
        </w:rPr>
        <w:footnoteReference w:id="380"/>
      </w:r>
      <w:r w:rsidRPr="00BF42B7">
        <w:rPr>
          <w:rFonts w:asciiTheme="majorBidi" w:hAnsiTheme="majorBidi" w:cstheme="majorBidi"/>
          <w:szCs w:val="21"/>
          <w:lang w:val="zh-CN"/>
        </w:rPr>
        <w:t xml:space="preserve"> </w:t>
      </w:r>
      <w:r w:rsidRPr="00BF42B7">
        <w:rPr>
          <w:rFonts w:asciiTheme="majorBidi" w:hAnsiTheme="majorBidi" w:cstheme="majorBidi"/>
          <w:szCs w:val="21"/>
          <w:lang w:val="zh-CN"/>
        </w:rPr>
        <w:t>以及在司法和准司法程序外的国家嗣后协定和嗣后惯例。</w:t>
      </w:r>
      <w:r w:rsidRPr="00BF42B7">
        <w:rPr>
          <w:rStyle w:val="a5"/>
          <w:rFonts w:cstheme="majorBidi"/>
          <w:szCs w:val="21"/>
          <w:lang w:val="zh-CN"/>
        </w:rPr>
        <w:footnoteReference w:id="381"/>
      </w:r>
    </w:p>
    <w:p w:rsidR="008D7906" w:rsidRPr="00BF42B7" w:rsidRDefault="008D7906" w:rsidP="008D7906">
      <w:pPr>
        <w:pStyle w:val="SingleTxtGC"/>
        <w:rPr>
          <w:rFonts w:asciiTheme="majorBidi" w:hAnsiTheme="majorBidi" w:cstheme="majorBidi"/>
          <w:szCs w:val="21"/>
        </w:rPr>
      </w:pPr>
      <w:r w:rsidRPr="00BF42B7">
        <w:rPr>
          <w:rFonts w:asciiTheme="majorBidi" w:hAnsiTheme="majorBidi" w:cstheme="majorBidi"/>
          <w:szCs w:val="21"/>
          <w:lang w:val="zh-CN"/>
        </w:rPr>
        <w:t xml:space="preserve">66.  </w:t>
      </w:r>
      <w:r w:rsidRPr="00BF42B7">
        <w:rPr>
          <w:rFonts w:asciiTheme="majorBidi" w:hAnsiTheme="majorBidi" w:cstheme="majorBidi"/>
          <w:szCs w:val="21"/>
          <w:lang w:val="zh-CN"/>
        </w:rPr>
        <w:t>在第六十四届会议上</w:t>
      </w:r>
      <w:r w:rsidRPr="00BF42B7">
        <w:rPr>
          <w:rFonts w:asciiTheme="majorBidi" w:hAnsiTheme="majorBidi" w:cstheme="majorBidi"/>
          <w:szCs w:val="21"/>
          <w:lang w:val="zh-CN"/>
        </w:rPr>
        <w:t>(2012</w:t>
      </w:r>
      <w:r w:rsidRPr="00BF42B7">
        <w:rPr>
          <w:rFonts w:asciiTheme="majorBidi" w:hAnsiTheme="majorBidi" w:cstheme="majorBidi"/>
          <w:szCs w:val="21"/>
          <w:lang w:val="zh-CN"/>
        </w:rPr>
        <w:t>年</w:t>
      </w:r>
      <w:r w:rsidRPr="00BF42B7">
        <w:rPr>
          <w:rFonts w:asciiTheme="majorBidi" w:hAnsiTheme="majorBidi" w:cstheme="majorBidi"/>
          <w:szCs w:val="21"/>
          <w:lang w:val="zh-CN"/>
        </w:rPr>
        <w:t>)</w:t>
      </w:r>
      <w:r w:rsidRPr="00BF42B7">
        <w:rPr>
          <w:rFonts w:asciiTheme="majorBidi" w:hAnsiTheme="majorBidi" w:cstheme="majorBidi"/>
          <w:szCs w:val="21"/>
          <w:lang w:val="zh-CN"/>
        </w:rPr>
        <w:t>，委员会根据研究组的建议</w:t>
      </w:r>
      <w:r w:rsidRPr="00BF42B7">
        <w:rPr>
          <w:rStyle w:val="a5"/>
          <w:rFonts w:cstheme="majorBidi"/>
          <w:szCs w:val="21"/>
          <w:lang w:val="zh-CN"/>
        </w:rPr>
        <w:footnoteReference w:id="382"/>
      </w:r>
      <w:r w:rsidRPr="00BF42B7">
        <w:rPr>
          <w:rFonts w:cstheme="majorBidi"/>
          <w:color w:val="0000FF"/>
          <w:szCs w:val="21"/>
          <w:vertAlign w:val="superscript"/>
          <w:lang w:val="zh-CN"/>
        </w:rPr>
        <w:t xml:space="preserve"> </w:t>
      </w:r>
      <w:r w:rsidRPr="00BF42B7">
        <w:rPr>
          <w:rFonts w:asciiTheme="majorBidi" w:hAnsiTheme="majorBidi" w:cstheme="majorBidi"/>
          <w:szCs w:val="21"/>
          <w:lang w:val="zh-CN"/>
        </w:rPr>
        <w:t>决定：</w:t>
      </w:r>
      <w:r w:rsidRPr="00BF42B7">
        <w:rPr>
          <w:rFonts w:asciiTheme="majorBidi" w:hAnsiTheme="majorBidi" w:cstheme="majorBidi"/>
          <w:szCs w:val="21"/>
          <w:lang w:val="zh-CN"/>
        </w:rPr>
        <w:t xml:space="preserve">(a) </w:t>
      </w:r>
      <w:r w:rsidRPr="00BF42B7">
        <w:rPr>
          <w:rFonts w:asciiTheme="majorBidi" w:hAnsiTheme="majorBidi" w:cstheme="majorBidi"/>
          <w:szCs w:val="21"/>
          <w:lang w:val="zh-CN"/>
        </w:rPr>
        <w:t>按照研究组的建议，自第六十五届会议</w:t>
      </w:r>
      <w:r w:rsidRPr="00BF42B7">
        <w:rPr>
          <w:rFonts w:asciiTheme="majorBidi" w:hAnsiTheme="majorBidi" w:cstheme="majorBidi"/>
          <w:szCs w:val="21"/>
          <w:lang w:val="zh-CN"/>
        </w:rPr>
        <w:t>(2013</w:t>
      </w:r>
      <w:r w:rsidRPr="00BF42B7">
        <w:rPr>
          <w:rFonts w:asciiTheme="majorBidi" w:hAnsiTheme="majorBidi" w:cstheme="majorBidi"/>
          <w:szCs w:val="21"/>
          <w:lang w:val="zh-CN"/>
        </w:rPr>
        <w:t>年</w:t>
      </w:r>
      <w:r w:rsidRPr="00BF42B7">
        <w:rPr>
          <w:rFonts w:asciiTheme="majorBidi" w:hAnsiTheme="majorBidi" w:cstheme="majorBidi"/>
          <w:szCs w:val="21"/>
          <w:lang w:val="zh-CN"/>
        </w:rPr>
        <w:t>)</w:t>
      </w:r>
      <w:r w:rsidRPr="00BF42B7">
        <w:rPr>
          <w:rFonts w:asciiTheme="majorBidi" w:hAnsiTheme="majorBidi" w:cstheme="majorBidi"/>
          <w:szCs w:val="21"/>
          <w:lang w:val="zh-CN"/>
        </w:rPr>
        <w:t>起改变此专题的工作方式；</w:t>
      </w:r>
      <w:r w:rsidRPr="00BF42B7">
        <w:rPr>
          <w:rFonts w:asciiTheme="majorBidi" w:hAnsiTheme="majorBidi" w:cstheme="majorBidi"/>
          <w:szCs w:val="21"/>
          <w:lang w:val="zh-CN"/>
        </w:rPr>
        <w:t xml:space="preserve">(b) </w:t>
      </w:r>
      <w:r w:rsidRPr="00BF42B7">
        <w:rPr>
          <w:rFonts w:asciiTheme="majorBidi" w:hAnsiTheme="majorBidi" w:cstheme="majorBidi"/>
          <w:szCs w:val="21"/>
          <w:lang w:val="zh-CN"/>
        </w:rPr>
        <w:t>任命格奥尔格</w:t>
      </w:r>
      <w:r w:rsidRPr="00BF42B7">
        <w:rPr>
          <w:rFonts w:hint="eastAsia"/>
          <w:lang w:val="fr-CH"/>
        </w:rPr>
        <w:t>·</w:t>
      </w:r>
      <w:r w:rsidRPr="00BF42B7">
        <w:rPr>
          <w:rFonts w:asciiTheme="majorBidi" w:hAnsiTheme="majorBidi" w:cstheme="majorBidi"/>
          <w:szCs w:val="21"/>
          <w:lang w:val="zh-CN"/>
        </w:rPr>
        <w:t>诺尔特先生为</w:t>
      </w:r>
      <w:r w:rsidRPr="00BF42B7">
        <w:rPr>
          <w:rFonts w:asciiTheme="majorBidi" w:hAnsiTheme="majorBidi" w:cstheme="majorBidi" w:hint="eastAsia"/>
          <w:szCs w:val="21"/>
          <w:lang w:val="zh-CN"/>
        </w:rPr>
        <w:t>“</w:t>
      </w:r>
      <w:r w:rsidRPr="00BF42B7">
        <w:rPr>
          <w:rFonts w:asciiTheme="majorBidi" w:hAnsiTheme="majorBidi" w:cstheme="majorBidi"/>
          <w:szCs w:val="21"/>
          <w:lang w:val="zh-CN"/>
        </w:rPr>
        <w:t>与条约解释相关的嗣后协定和嗣后惯例</w:t>
      </w:r>
      <w:r w:rsidRPr="00BF42B7">
        <w:rPr>
          <w:rFonts w:asciiTheme="majorBidi" w:hAnsiTheme="majorBidi" w:cstheme="majorBidi" w:hint="eastAsia"/>
          <w:szCs w:val="21"/>
          <w:lang w:val="zh-CN"/>
        </w:rPr>
        <w:t>”</w:t>
      </w:r>
      <w:r w:rsidRPr="00BF42B7">
        <w:rPr>
          <w:rFonts w:asciiTheme="majorBidi" w:hAnsiTheme="majorBidi" w:cstheme="majorBidi"/>
          <w:szCs w:val="21"/>
          <w:lang w:val="zh-CN"/>
        </w:rPr>
        <w:t>专题特别报告员。</w:t>
      </w:r>
      <w:r w:rsidRPr="00BF42B7">
        <w:rPr>
          <w:rStyle w:val="a5"/>
          <w:rFonts w:cstheme="majorBidi"/>
          <w:szCs w:val="21"/>
          <w:lang w:val="zh-CN"/>
        </w:rPr>
        <w:footnoteReference w:id="383"/>
      </w:r>
    </w:p>
    <w:p w:rsidR="008D7906" w:rsidRPr="00BF42B7" w:rsidRDefault="008D7906" w:rsidP="008D7906">
      <w:pPr>
        <w:pStyle w:val="SingleTxtGC"/>
      </w:pPr>
      <w:r w:rsidRPr="00BF42B7">
        <w:rPr>
          <w:lang w:val="zh-CN"/>
        </w:rPr>
        <w:t xml:space="preserve">67.  </w:t>
      </w:r>
      <w:r w:rsidRPr="00BF42B7">
        <w:rPr>
          <w:lang w:val="zh-CN"/>
        </w:rPr>
        <w:t>在第六十五届会议上</w:t>
      </w:r>
      <w:r w:rsidRPr="00BF42B7">
        <w:rPr>
          <w:lang w:val="zh-CN"/>
        </w:rPr>
        <w:t>(2013</w:t>
      </w:r>
      <w:r w:rsidRPr="00BF42B7">
        <w:rPr>
          <w:lang w:val="zh-CN"/>
        </w:rPr>
        <w:t>年</w:t>
      </w:r>
      <w:r w:rsidRPr="00BF42B7">
        <w:rPr>
          <w:lang w:val="zh-CN"/>
        </w:rPr>
        <w:t>)</w:t>
      </w:r>
      <w:r w:rsidRPr="00BF42B7">
        <w:rPr>
          <w:lang w:val="zh-CN"/>
        </w:rPr>
        <w:t>，委员会审议了特别报告员的第一份报告</w:t>
      </w:r>
      <w:r w:rsidRPr="00BF42B7">
        <w:rPr>
          <w:lang w:val="zh-CN"/>
        </w:rPr>
        <w:t>(</w:t>
      </w:r>
      <w:hyperlink r:id="rId81" w:history="1">
        <w:r w:rsidRPr="00BF42B7">
          <w:rPr>
            <w:rStyle w:val="af"/>
            <w:rFonts w:asciiTheme="majorBidi" w:hAnsiTheme="majorBidi" w:cstheme="majorBidi"/>
            <w:szCs w:val="21"/>
          </w:rPr>
          <w:t>A/CN.4/660</w:t>
        </w:r>
      </w:hyperlink>
      <w:r w:rsidRPr="00BF42B7">
        <w:rPr>
          <w:lang w:val="zh-CN"/>
        </w:rPr>
        <w:t>)</w:t>
      </w:r>
      <w:r w:rsidRPr="00BF42B7">
        <w:rPr>
          <w:lang w:val="zh-CN"/>
        </w:rPr>
        <w:t>并暂时通过了五条结论草案及其评注。</w:t>
      </w:r>
      <w:r w:rsidRPr="00BF42B7">
        <w:rPr>
          <w:rStyle w:val="a5"/>
          <w:rFonts w:cstheme="majorBidi"/>
          <w:szCs w:val="21"/>
          <w:lang w:val="zh-CN"/>
        </w:rPr>
        <w:footnoteReference w:id="384"/>
      </w:r>
    </w:p>
    <w:p w:rsidR="008D7906" w:rsidRPr="00BF42B7" w:rsidRDefault="008D7906" w:rsidP="008D7906">
      <w:pPr>
        <w:pStyle w:val="SingleTxtGC"/>
        <w:rPr>
          <w:rFonts w:asciiTheme="majorBidi" w:hAnsiTheme="majorBidi" w:cstheme="majorBidi"/>
          <w:szCs w:val="21"/>
        </w:rPr>
      </w:pPr>
      <w:r w:rsidRPr="00BF42B7">
        <w:rPr>
          <w:rFonts w:asciiTheme="majorBidi" w:hAnsiTheme="majorBidi" w:cstheme="majorBidi"/>
          <w:szCs w:val="21"/>
          <w:lang w:val="zh-CN"/>
        </w:rPr>
        <w:t xml:space="preserve">68.  </w:t>
      </w:r>
      <w:r w:rsidRPr="00BF42B7">
        <w:rPr>
          <w:rFonts w:asciiTheme="majorBidi" w:hAnsiTheme="majorBidi" w:cstheme="majorBidi"/>
          <w:szCs w:val="21"/>
          <w:lang w:val="zh-CN"/>
        </w:rPr>
        <w:t>在第六十六届会议上</w:t>
      </w:r>
      <w:r w:rsidRPr="00BF42B7">
        <w:rPr>
          <w:rFonts w:asciiTheme="majorBidi" w:hAnsiTheme="majorBidi" w:cstheme="majorBidi"/>
          <w:szCs w:val="21"/>
          <w:lang w:val="zh-CN"/>
        </w:rPr>
        <w:t>(2014</w:t>
      </w:r>
      <w:r w:rsidRPr="00BF42B7">
        <w:rPr>
          <w:rFonts w:asciiTheme="majorBidi" w:hAnsiTheme="majorBidi" w:cstheme="majorBidi"/>
          <w:szCs w:val="21"/>
          <w:lang w:val="zh-CN"/>
        </w:rPr>
        <w:t>年</w:t>
      </w:r>
      <w:r w:rsidRPr="00BF42B7">
        <w:rPr>
          <w:rFonts w:asciiTheme="majorBidi" w:hAnsiTheme="majorBidi" w:cstheme="majorBidi"/>
          <w:szCs w:val="21"/>
          <w:lang w:val="zh-CN"/>
        </w:rPr>
        <w:t>)</w:t>
      </w:r>
      <w:r w:rsidRPr="00BF42B7">
        <w:rPr>
          <w:rFonts w:asciiTheme="majorBidi" w:hAnsiTheme="majorBidi" w:cstheme="majorBidi"/>
          <w:szCs w:val="21"/>
          <w:lang w:val="zh-CN"/>
        </w:rPr>
        <w:t>，委员会审议了特别报告员的第二份报告</w:t>
      </w:r>
      <w:r w:rsidRPr="00BF42B7">
        <w:rPr>
          <w:rFonts w:asciiTheme="majorBidi" w:hAnsiTheme="majorBidi" w:cstheme="majorBidi"/>
          <w:szCs w:val="21"/>
          <w:lang w:val="zh-CN"/>
        </w:rPr>
        <w:t>(</w:t>
      </w:r>
      <w:hyperlink r:id="rId82" w:history="1">
        <w:r w:rsidRPr="00BF42B7">
          <w:rPr>
            <w:rStyle w:val="af"/>
            <w:rFonts w:asciiTheme="majorBidi" w:hAnsiTheme="majorBidi" w:cstheme="majorBidi"/>
            <w:szCs w:val="21"/>
          </w:rPr>
          <w:t>A/CN.4/671</w:t>
        </w:r>
      </w:hyperlink>
      <w:r w:rsidRPr="00BF42B7">
        <w:rPr>
          <w:rFonts w:asciiTheme="majorBidi" w:hAnsiTheme="majorBidi" w:cstheme="majorBidi"/>
          <w:szCs w:val="21"/>
          <w:lang w:val="zh-CN"/>
        </w:rPr>
        <w:t>)</w:t>
      </w:r>
      <w:r w:rsidRPr="00BF42B7">
        <w:rPr>
          <w:rFonts w:asciiTheme="majorBidi" w:hAnsiTheme="majorBidi" w:cstheme="majorBidi"/>
          <w:szCs w:val="21"/>
          <w:lang w:val="zh-CN"/>
        </w:rPr>
        <w:t>并暂时通过了五条结论草案及其评注。</w:t>
      </w:r>
      <w:r w:rsidRPr="00BF42B7">
        <w:rPr>
          <w:rStyle w:val="a5"/>
          <w:rFonts w:cstheme="majorBidi"/>
          <w:szCs w:val="21"/>
          <w:lang w:val="zh-CN"/>
        </w:rPr>
        <w:footnoteReference w:id="385"/>
      </w:r>
    </w:p>
    <w:p w:rsidR="008D7906" w:rsidRPr="00BF42B7" w:rsidRDefault="008D7906" w:rsidP="008D7906">
      <w:pPr>
        <w:pStyle w:val="SingleTxtGC"/>
        <w:rPr>
          <w:rFonts w:asciiTheme="majorBidi" w:hAnsiTheme="majorBidi" w:cstheme="majorBidi"/>
          <w:szCs w:val="21"/>
        </w:rPr>
      </w:pPr>
      <w:r w:rsidRPr="00BF42B7">
        <w:rPr>
          <w:rFonts w:asciiTheme="majorBidi" w:hAnsiTheme="majorBidi" w:cstheme="majorBidi"/>
          <w:szCs w:val="21"/>
          <w:lang w:val="zh-CN"/>
        </w:rPr>
        <w:t xml:space="preserve">69.  </w:t>
      </w:r>
      <w:r w:rsidRPr="00BF42B7">
        <w:rPr>
          <w:rFonts w:asciiTheme="majorBidi" w:hAnsiTheme="majorBidi" w:cstheme="majorBidi"/>
          <w:szCs w:val="21"/>
          <w:lang w:val="zh-CN"/>
        </w:rPr>
        <w:t>在第六十七届会议上</w:t>
      </w:r>
      <w:r w:rsidRPr="00BF42B7">
        <w:rPr>
          <w:rFonts w:asciiTheme="majorBidi" w:hAnsiTheme="majorBidi" w:cstheme="majorBidi"/>
          <w:szCs w:val="21"/>
          <w:lang w:val="zh-CN"/>
        </w:rPr>
        <w:t>(2015</w:t>
      </w:r>
      <w:r w:rsidRPr="00BF42B7">
        <w:rPr>
          <w:rFonts w:asciiTheme="majorBidi" w:hAnsiTheme="majorBidi" w:cstheme="majorBidi"/>
          <w:szCs w:val="21"/>
          <w:lang w:val="zh-CN"/>
        </w:rPr>
        <w:t>年</w:t>
      </w:r>
      <w:r w:rsidRPr="00BF42B7">
        <w:rPr>
          <w:rFonts w:asciiTheme="majorBidi" w:hAnsiTheme="majorBidi" w:cstheme="majorBidi"/>
          <w:szCs w:val="21"/>
          <w:lang w:val="zh-CN"/>
        </w:rPr>
        <w:t>)</w:t>
      </w:r>
      <w:r w:rsidRPr="00BF42B7">
        <w:rPr>
          <w:rFonts w:asciiTheme="majorBidi" w:hAnsiTheme="majorBidi" w:cstheme="majorBidi"/>
          <w:szCs w:val="21"/>
          <w:lang w:val="zh-CN"/>
        </w:rPr>
        <w:t>，委员会审议了特别报告员的第三份报告</w:t>
      </w:r>
      <w:r w:rsidRPr="00BF42B7">
        <w:rPr>
          <w:rFonts w:asciiTheme="majorBidi" w:hAnsiTheme="majorBidi" w:cstheme="majorBidi"/>
          <w:szCs w:val="21"/>
          <w:lang w:val="zh-CN"/>
        </w:rPr>
        <w:t>(</w:t>
      </w:r>
      <w:hyperlink r:id="rId83" w:history="1">
        <w:r w:rsidRPr="00BF42B7">
          <w:rPr>
            <w:rStyle w:val="af"/>
            <w:rFonts w:asciiTheme="majorBidi" w:hAnsiTheme="majorBidi" w:cstheme="majorBidi"/>
            <w:szCs w:val="21"/>
          </w:rPr>
          <w:t>A/CN.4/683</w:t>
        </w:r>
      </w:hyperlink>
      <w:r w:rsidRPr="00BF42B7">
        <w:rPr>
          <w:rFonts w:asciiTheme="majorBidi" w:hAnsiTheme="majorBidi" w:cstheme="majorBidi"/>
          <w:szCs w:val="21"/>
          <w:lang w:val="zh-CN"/>
        </w:rPr>
        <w:t>)</w:t>
      </w:r>
      <w:r w:rsidRPr="00BF42B7">
        <w:rPr>
          <w:rFonts w:asciiTheme="majorBidi" w:hAnsiTheme="majorBidi" w:cstheme="majorBidi"/>
          <w:szCs w:val="21"/>
          <w:lang w:val="zh-CN"/>
        </w:rPr>
        <w:t>并暂时通过了一条结论草案及其评注。</w:t>
      </w:r>
      <w:r w:rsidRPr="00BF42B7">
        <w:rPr>
          <w:rStyle w:val="a5"/>
          <w:rFonts w:cstheme="majorBidi"/>
          <w:szCs w:val="21"/>
          <w:lang w:val="zh-CN"/>
        </w:rPr>
        <w:footnoteReference w:id="386"/>
      </w:r>
    </w:p>
    <w:p w:rsidR="008D7906" w:rsidRPr="00BF42B7" w:rsidRDefault="008D7906" w:rsidP="008D7906">
      <w:pPr>
        <w:pStyle w:val="H1GC"/>
      </w:pPr>
      <w:r w:rsidRPr="00BF42B7">
        <w:rPr>
          <w:lang w:val="zh-CN"/>
        </w:rPr>
        <w:tab/>
        <w:t>B.</w:t>
      </w:r>
      <w:r w:rsidRPr="00BF42B7">
        <w:rPr>
          <w:lang w:val="zh-CN"/>
        </w:rPr>
        <w:tab/>
      </w:r>
      <w:r w:rsidRPr="00BF42B7">
        <w:rPr>
          <w:lang w:val="zh-CN"/>
        </w:rPr>
        <w:t>本届会议审议此专题的情况</w:t>
      </w:r>
    </w:p>
    <w:p w:rsidR="008D7906" w:rsidRPr="00BF42B7" w:rsidRDefault="008D7906" w:rsidP="008D7906">
      <w:pPr>
        <w:pStyle w:val="SingleTxtGC"/>
        <w:rPr>
          <w:rFonts w:asciiTheme="majorBidi" w:hAnsiTheme="majorBidi" w:cstheme="majorBidi"/>
          <w:szCs w:val="21"/>
        </w:rPr>
      </w:pPr>
      <w:r w:rsidRPr="00BF42B7">
        <w:rPr>
          <w:rFonts w:asciiTheme="majorBidi" w:hAnsiTheme="majorBidi" w:cstheme="majorBidi"/>
          <w:szCs w:val="21"/>
          <w:lang w:val="zh-CN"/>
        </w:rPr>
        <w:t xml:space="preserve">70.  </w:t>
      </w:r>
      <w:r w:rsidRPr="00BF42B7">
        <w:rPr>
          <w:rFonts w:asciiTheme="majorBidi" w:hAnsiTheme="majorBidi" w:cstheme="majorBidi"/>
          <w:szCs w:val="21"/>
          <w:lang w:val="zh-CN"/>
        </w:rPr>
        <w:t>在本届会议上，委员会收到了特别报告员的第四份报告</w:t>
      </w:r>
      <w:r w:rsidRPr="00BF42B7">
        <w:rPr>
          <w:rFonts w:asciiTheme="majorBidi" w:hAnsiTheme="majorBidi" w:cstheme="majorBidi"/>
          <w:szCs w:val="21"/>
          <w:lang w:val="zh-CN"/>
        </w:rPr>
        <w:t>(</w:t>
      </w:r>
      <w:hyperlink r:id="rId84" w:history="1">
        <w:r w:rsidRPr="00BF42B7">
          <w:rPr>
            <w:rStyle w:val="af"/>
            <w:rFonts w:asciiTheme="majorBidi" w:hAnsiTheme="majorBidi" w:cstheme="majorBidi"/>
            <w:szCs w:val="21"/>
          </w:rPr>
          <w:t>A/CN.4/694</w:t>
        </w:r>
      </w:hyperlink>
      <w:r w:rsidRPr="00BF42B7">
        <w:rPr>
          <w:rFonts w:asciiTheme="majorBidi" w:hAnsiTheme="majorBidi" w:cstheme="majorBidi"/>
          <w:szCs w:val="21"/>
          <w:lang w:val="zh-CN"/>
        </w:rPr>
        <w:t>)</w:t>
      </w:r>
      <w:r w:rsidRPr="00BF42B7">
        <w:rPr>
          <w:rFonts w:asciiTheme="majorBidi" w:hAnsiTheme="majorBidi" w:cstheme="majorBidi"/>
          <w:szCs w:val="21"/>
          <w:lang w:val="zh-CN"/>
        </w:rPr>
        <w:t>；报告探讨了出于条约解释的目的，专家条约机构的声明</w:t>
      </w:r>
      <w:r w:rsidRPr="00BF42B7">
        <w:rPr>
          <w:rFonts w:asciiTheme="majorBidi" w:hAnsiTheme="majorBidi" w:cstheme="majorBidi"/>
          <w:szCs w:val="21"/>
          <w:lang w:val="zh-CN"/>
        </w:rPr>
        <w:t>(</w:t>
      </w:r>
      <w:r w:rsidRPr="00BF42B7">
        <w:rPr>
          <w:rFonts w:asciiTheme="majorBidi" w:hAnsiTheme="majorBidi" w:cstheme="majorBidi"/>
          <w:szCs w:val="21"/>
          <w:lang w:val="zh-CN"/>
        </w:rPr>
        <w:t>第二章</w:t>
      </w:r>
      <w:r w:rsidRPr="00BF42B7">
        <w:rPr>
          <w:rFonts w:asciiTheme="majorBidi" w:hAnsiTheme="majorBidi" w:cstheme="majorBidi"/>
          <w:szCs w:val="21"/>
          <w:lang w:val="zh-CN"/>
        </w:rPr>
        <w:t>)</w:t>
      </w:r>
      <w:r w:rsidRPr="00BF42B7">
        <w:rPr>
          <w:rFonts w:asciiTheme="majorBidi" w:hAnsiTheme="majorBidi" w:cstheme="majorBidi"/>
          <w:szCs w:val="21"/>
          <w:lang w:val="zh-CN"/>
        </w:rPr>
        <w:t>和国内法院的裁决</w:t>
      </w:r>
      <w:r w:rsidRPr="00BF42B7">
        <w:rPr>
          <w:rFonts w:asciiTheme="majorBidi" w:hAnsiTheme="majorBidi" w:cstheme="majorBidi"/>
          <w:szCs w:val="21"/>
          <w:lang w:val="zh-CN"/>
        </w:rPr>
        <w:t>(</w:t>
      </w:r>
      <w:r w:rsidRPr="00BF42B7">
        <w:rPr>
          <w:rFonts w:asciiTheme="majorBidi" w:hAnsiTheme="majorBidi" w:cstheme="majorBidi"/>
          <w:szCs w:val="21"/>
          <w:lang w:val="zh-CN"/>
        </w:rPr>
        <w:t>第三章</w:t>
      </w:r>
      <w:r w:rsidRPr="00BF42B7">
        <w:rPr>
          <w:rFonts w:asciiTheme="majorBidi" w:hAnsiTheme="majorBidi" w:cstheme="majorBidi"/>
          <w:szCs w:val="21"/>
          <w:lang w:val="zh-CN"/>
        </w:rPr>
        <w:t>)</w:t>
      </w:r>
      <w:r w:rsidRPr="00BF42B7">
        <w:rPr>
          <w:rFonts w:asciiTheme="majorBidi" w:hAnsiTheme="majorBidi" w:cstheme="majorBidi"/>
          <w:szCs w:val="21"/>
          <w:lang w:val="zh-CN"/>
        </w:rPr>
        <w:t>作为条约下的惯例形式的法律意义，就这些问题分别提出了结论草案</w:t>
      </w:r>
      <w:r w:rsidRPr="00BF42B7">
        <w:rPr>
          <w:rFonts w:asciiTheme="majorBidi" w:hAnsiTheme="majorBidi" w:cstheme="majorBidi"/>
          <w:szCs w:val="21"/>
          <w:lang w:val="zh-CN"/>
        </w:rPr>
        <w:t>12</w:t>
      </w:r>
      <w:r w:rsidRPr="00BF42B7">
        <w:rPr>
          <w:rFonts w:asciiTheme="majorBidi" w:hAnsiTheme="majorBidi" w:cstheme="majorBidi"/>
          <w:szCs w:val="21"/>
          <w:lang w:val="zh-CN"/>
        </w:rPr>
        <w:t>和结论草案</w:t>
      </w:r>
      <w:r w:rsidRPr="00BF42B7">
        <w:rPr>
          <w:rFonts w:asciiTheme="majorBidi" w:hAnsiTheme="majorBidi" w:cstheme="majorBidi"/>
          <w:szCs w:val="21"/>
          <w:lang w:val="zh-CN"/>
        </w:rPr>
        <w:t>13</w:t>
      </w:r>
      <w:r w:rsidRPr="00BF42B7">
        <w:rPr>
          <w:rFonts w:asciiTheme="majorBidi" w:hAnsiTheme="majorBidi" w:cstheme="majorBidi"/>
          <w:szCs w:val="21"/>
          <w:lang w:val="zh-CN"/>
        </w:rPr>
        <w:t>。报告还讨论了结论草案的结构和范围</w:t>
      </w:r>
      <w:r w:rsidRPr="00BF42B7">
        <w:rPr>
          <w:rFonts w:asciiTheme="majorBidi" w:hAnsiTheme="majorBidi" w:cstheme="majorBidi"/>
          <w:szCs w:val="21"/>
          <w:lang w:val="zh-CN"/>
        </w:rPr>
        <w:t>(</w:t>
      </w:r>
      <w:r w:rsidRPr="00BF42B7">
        <w:rPr>
          <w:rFonts w:asciiTheme="majorBidi" w:hAnsiTheme="majorBidi" w:cstheme="majorBidi"/>
          <w:szCs w:val="21"/>
          <w:lang w:val="zh-CN"/>
        </w:rPr>
        <w:t>第四章</w:t>
      </w:r>
      <w:r w:rsidRPr="00BF42B7">
        <w:rPr>
          <w:rFonts w:asciiTheme="majorBidi" w:hAnsiTheme="majorBidi" w:cstheme="majorBidi"/>
          <w:szCs w:val="21"/>
          <w:lang w:val="zh-CN"/>
        </w:rPr>
        <w:t>)</w:t>
      </w:r>
      <w:r w:rsidRPr="00BF42B7">
        <w:rPr>
          <w:rFonts w:asciiTheme="majorBidi" w:hAnsiTheme="majorBidi" w:cstheme="majorBidi"/>
          <w:szCs w:val="21"/>
          <w:lang w:val="zh-CN"/>
        </w:rPr>
        <w:t>，提议列入一个新的结论草案</w:t>
      </w:r>
      <w:r w:rsidRPr="00BF42B7">
        <w:rPr>
          <w:rFonts w:asciiTheme="majorBidi" w:hAnsiTheme="majorBidi" w:cstheme="majorBidi"/>
          <w:szCs w:val="21"/>
          <w:lang w:val="zh-CN"/>
        </w:rPr>
        <w:t xml:space="preserve">1a, </w:t>
      </w:r>
      <w:r w:rsidRPr="00BF42B7">
        <w:rPr>
          <w:rFonts w:asciiTheme="majorBidi" w:hAnsiTheme="majorBidi" w:cstheme="majorBidi"/>
          <w:szCs w:val="21"/>
          <w:lang w:val="zh-CN"/>
        </w:rPr>
        <w:t>并建议修订结论草案</w:t>
      </w:r>
      <w:r w:rsidRPr="00BF42B7">
        <w:rPr>
          <w:rFonts w:asciiTheme="majorBidi" w:hAnsiTheme="majorBidi" w:cstheme="majorBidi"/>
          <w:szCs w:val="21"/>
          <w:lang w:val="zh-CN"/>
        </w:rPr>
        <w:t>4</w:t>
      </w:r>
      <w:r w:rsidRPr="00BF42B7">
        <w:rPr>
          <w:rFonts w:asciiTheme="majorBidi" w:hAnsiTheme="majorBidi" w:cstheme="majorBidi"/>
          <w:szCs w:val="21"/>
          <w:lang w:val="zh-CN"/>
        </w:rPr>
        <w:t>第</w:t>
      </w:r>
      <w:r w:rsidRPr="00BF42B7">
        <w:rPr>
          <w:rFonts w:asciiTheme="majorBidi" w:hAnsiTheme="majorBidi" w:cstheme="majorBidi"/>
          <w:szCs w:val="21"/>
          <w:lang w:val="zh-CN"/>
        </w:rPr>
        <w:t>3</w:t>
      </w:r>
      <w:r w:rsidRPr="00BF42B7">
        <w:rPr>
          <w:rFonts w:asciiTheme="majorBidi" w:hAnsiTheme="majorBidi" w:cstheme="majorBidi"/>
          <w:szCs w:val="21"/>
          <w:lang w:val="zh-CN"/>
        </w:rPr>
        <w:t>段</w:t>
      </w:r>
      <w:r w:rsidRPr="00BF42B7">
        <w:rPr>
          <w:rFonts w:asciiTheme="majorBidi" w:hAnsiTheme="majorBidi" w:cstheme="majorBidi"/>
          <w:szCs w:val="21"/>
          <w:lang w:val="zh-CN"/>
        </w:rPr>
        <w:t>(</w:t>
      </w:r>
      <w:r w:rsidRPr="00BF42B7">
        <w:rPr>
          <w:rFonts w:asciiTheme="majorBidi" w:hAnsiTheme="majorBidi" w:cstheme="majorBidi"/>
          <w:szCs w:val="21"/>
          <w:lang w:val="zh-CN"/>
        </w:rPr>
        <w:t>第五章</w:t>
      </w:r>
      <w:r w:rsidRPr="00BF42B7">
        <w:rPr>
          <w:rFonts w:asciiTheme="majorBidi" w:hAnsiTheme="majorBidi" w:cstheme="majorBidi"/>
          <w:szCs w:val="21"/>
          <w:lang w:val="zh-CN"/>
        </w:rPr>
        <w:t>)</w:t>
      </w:r>
      <w:r w:rsidRPr="00BF42B7">
        <w:rPr>
          <w:rFonts w:asciiTheme="majorBidi" w:hAnsiTheme="majorBidi" w:cstheme="majorBidi"/>
          <w:szCs w:val="21"/>
          <w:lang w:val="zh-CN"/>
        </w:rPr>
        <w:t>。</w:t>
      </w:r>
    </w:p>
    <w:p w:rsidR="008D7906" w:rsidRPr="00BF42B7" w:rsidRDefault="008D7906" w:rsidP="008D7906">
      <w:pPr>
        <w:pStyle w:val="SingleTxtGC"/>
        <w:rPr>
          <w:rFonts w:asciiTheme="majorBidi" w:hAnsiTheme="majorBidi" w:cstheme="majorBidi"/>
          <w:szCs w:val="21"/>
        </w:rPr>
      </w:pPr>
      <w:r w:rsidRPr="00BF42B7">
        <w:rPr>
          <w:rFonts w:asciiTheme="majorBidi" w:hAnsiTheme="majorBidi" w:cstheme="majorBidi"/>
          <w:szCs w:val="21"/>
          <w:lang w:val="zh-CN"/>
        </w:rPr>
        <w:t xml:space="preserve">71.  </w:t>
      </w:r>
      <w:r w:rsidRPr="00BF42B7">
        <w:rPr>
          <w:rFonts w:asciiTheme="majorBidi" w:hAnsiTheme="majorBidi" w:cstheme="majorBidi"/>
          <w:szCs w:val="21"/>
          <w:lang w:val="zh-CN"/>
        </w:rPr>
        <w:t>委员会在</w:t>
      </w:r>
      <w:r w:rsidRPr="00BF42B7">
        <w:rPr>
          <w:rFonts w:asciiTheme="majorBidi" w:hAnsiTheme="majorBidi" w:cstheme="majorBidi"/>
          <w:szCs w:val="21"/>
          <w:lang w:val="zh-CN"/>
        </w:rPr>
        <w:t>2016</w:t>
      </w:r>
      <w:r w:rsidRPr="00BF42B7">
        <w:rPr>
          <w:rFonts w:asciiTheme="majorBidi" w:hAnsiTheme="majorBidi" w:cstheme="majorBidi"/>
          <w:szCs w:val="21"/>
          <w:lang w:val="zh-CN"/>
        </w:rPr>
        <w:t>年</w:t>
      </w:r>
      <w:r w:rsidRPr="00BF42B7">
        <w:rPr>
          <w:rFonts w:asciiTheme="majorBidi" w:hAnsiTheme="majorBidi" w:cstheme="majorBidi"/>
          <w:szCs w:val="21"/>
          <w:lang w:val="zh-CN"/>
        </w:rPr>
        <w:t>5</w:t>
      </w:r>
      <w:r w:rsidRPr="00BF42B7">
        <w:rPr>
          <w:rFonts w:asciiTheme="majorBidi" w:hAnsiTheme="majorBidi" w:cstheme="majorBidi"/>
          <w:szCs w:val="21"/>
          <w:lang w:val="zh-CN"/>
        </w:rPr>
        <w:t>月</w:t>
      </w:r>
      <w:r w:rsidRPr="00BF42B7">
        <w:rPr>
          <w:rFonts w:asciiTheme="majorBidi" w:hAnsiTheme="majorBidi" w:cstheme="majorBidi"/>
          <w:szCs w:val="21"/>
          <w:lang w:val="zh-CN"/>
        </w:rPr>
        <w:t>24</w:t>
      </w:r>
      <w:r w:rsidRPr="00BF42B7">
        <w:rPr>
          <w:rFonts w:asciiTheme="majorBidi" w:hAnsiTheme="majorBidi" w:cstheme="majorBidi"/>
          <w:szCs w:val="21"/>
          <w:lang w:val="zh-CN"/>
        </w:rPr>
        <w:t>日至</w:t>
      </w:r>
      <w:r w:rsidRPr="00BF42B7">
        <w:rPr>
          <w:rFonts w:asciiTheme="majorBidi" w:hAnsiTheme="majorBidi" w:cstheme="majorBidi"/>
          <w:szCs w:val="21"/>
          <w:lang w:val="zh-CN"/>
        </w:rPr>
        <w:t>31</w:t>
      </w:r>
      <w:r w:rsidRPr="00BF42B7">
        <w:rPr>
          <w:rFonts w:asciiTheme="majorBidi" w:hAnsiTheme="majorBidi" w:cstheme="majorBidi"/>
          <w:szCs w:val="21"/>
          <w:lang w:val="zh-CN"/>
        </w:rPr>
        <w:t>日举行的第</w:t>
      </w:r>
      <w:r w:rsidRPr="00BF42B7">
        <w:rPr>
          <w:rFonts w:asciiTheme="majorBidi" w:hAnsiTheme="majorBidi" w:cstheme="majorBidi"/>
          <w:szCs w:val="21"/>
          <w:lang w:val="zh-CN"/>
        </w:rPr>
        <w:t>3303</w:t>
      </w:r>
      <w:r w:rsidRPr="00BF42B7">
        <w:rPr>
          <w:rFonts w:asciiTheme="majorBidi" w:hAnsiTheme="majorBidi" w:cstheme="majorBidi"/>
          <w:szCs w:val="21"/>
          <w:lang w:val="zh-CN"/>
        </w:rPr>
        <w:t>至</w:t>
      </w:r>
      <w:r w:rsidRPr="00BF42B7">
        <w:rPr>
          <w:rFonts w:asciiTheme="majorBidi" w:hAnsiTheme="majorBidi" w:cstheme="majorBidi"/>
          <w:szCs w:val="21"/>
          <w:lang w:val="zh-CN"/>
        </w:rPr>
        <w:t>3307</w:t>
      </w:r>
      <w:r w:rsidRPr="00BF42B7">
        <w:rPr>
          <w:rFonts w:asciiTheme="majorBidi" w:hAnsiTheme="majorBidi" w:cstheme="majorBidi"/>
          <w:szCs w:val="21"/>
          <w:lang w:val="zh-CN"/>
        </w:rPr>
        <w:t>次会议上审议了该报告。委员会在</w:t>
      </w:r>
      <w:r w:rsidRPr="00BF42B7">
        <w:rPr>
          <w:rFonts w:asciiTheme="majorBidi" w:hAnsiTheme="majorBidi" w:cstheme="majorBidi"/>
          <w:szCs w:val="21"/>
          <w:lang w:val="zh-CN"/>
        </w:rPr>
        <w:t>2016</w:t>
      </w:r>
      <w:r w:rsidRPr="00BF42B7">
        <w:rPr>
          <w:rFonts w:asciiTheme="majorBidi" w:hAnsiTheme="majorBidi" w:cstheme="majorBidi"/>
          <w:szCs w:val="21"/>
          <w:lang w:val="zh-CN"/>
        </w:rPr>
        <w:t>年</w:t>
      </w:r>
      <w:r w:rsidRPr="00BF42B7">
        <w:rPr>
          <w:rFonts w:asciiTheme="majorBidi" w:hAnsiTheme="majorBidi" w:cstheme="majorBidi"/>
          <w:szCs w:val="21"/>
          <w:lang w:val="zh-CN"/>
        </w:rPr>
        <w:t>5</w:t>
      </w:r>
      <w:r w:rsidRPr="00BF42B7">
        <w:rPr>
          <w:rFonts w:asciiTheme="majorBidi" w:hAnsiTheme="majorBidi" w:cstheme="majorBidi"/>
          <w:szCs w:val="21"/>
          <w:lang w:val="zh-CN"/>
        </w:rPr>
        <w:t>月</w:t>
      </w:r>
      <w:r w:rsidRPr="00BF42B7">
        <w:rPr>
          <w:rFonts w:asciiTheme="majorBidi" w:hAnsiTheme="majorBidi" w:cstheme="majorBidi"/>
          <w:szCs w:val="21"/>
          <w:lang w:val="zh-CN"/>
        </w:rPr>
        <w:t>31</w:t>
      </w:r>
      <w:r w:rsidRPr="00BF42B7">
        <w:rPr>
          <w:rFonts w:asciiTheme="majorBidi" w:hAnsiTheme="majorBidi" w:cstheme="majorBidi"/>
          <w:szCs w:val="21"/>
          <w:lang w:val="zh-CN"/>
        </w:rPr>
        <w:t>日举行的第</w:t>
      </w:r>
      <w:r w:rsidRPr="00BF42B7">
        <w:rPr>
          <w:rFonts w:asciiTheme="majorBidi" w:hAnsiTheme="majorBidi" w:cstheme="majorBidi"/>
          <w:szCs w:val="21"/>
          <w:lang w:val="zh-CN"/>
        </w:rPr>
        <w:t>3307</w:t>
      </w:r>
      <w:r w:rsidRPr="00BF42B7">
        <w:rPr>
          <w:rFonts w:asciiTheme="majorBidi" w:hAnsiTheme="majorBidi" w:cstheme="majorBidi"/>
          <w:szCs w:val="21"/>
          <w:lang w:val="zh-CN"/>
        </w:rPr>
        <w:t>次会议上决定将特别报告员提出的第</w:t>
      </w:r>
      <w:r w:rsidRPr="00BF42B7">
        <w:rPr>
          <w:rFonts w:asciiTheme="majorBidi" w:hAnsiTheme="majorBidi" w:cstheme="majorBidi"/>
          <w:szCs w:val="21"/>
          <w:lang w:val="zh-CN"/>
        </w:rPr>
        <w:t>1a</w:t>
      </w:r>
      <w:r w:rsidRPr="00BF42B7">
        <w:rPr>
          <w:rFonts w:asciiTheme="majorBidi" w:hAnsiTheme="majorBidi" w:cstheme="majorBidi"/>
          <w:szCs w:val="21"/>
          <w:lang w:val="zh-CN"/>
        </w:rPr>
        <w:t>和第</w:t>
      </w:r>
      <w:r w:rsidRPr="00BF42B7">
        <w:rPr>
          <w:rFonts w:asciiTheme="majorBidi" w:hAnsiTheme="majorBidi" w:cstheme="majorBidi"/>
          <w:szCs w:val="21"/>
          <w:lang w:val="zh-CN"/>
        </w:rPr>
        <w:t>12</w:t>
      </w:r>
      <w:r w:rsidRPr="00BF42B7">
        <w:rPr>
          <w:rFonts w:asciiTheme="majorBidi" w:hAnsiTheme="majorBidi" w:cstheme="majorBidi"/>
          <w:szCs w:val="21"/>
          <w:lang w:val="zh-CN"/>
        </w:rPr>
        <w:t>条结论草案送交起草委员会。</w:t>
      </w:r>
    </w:p>
    <w:p w:rsidR="008D7906" w:rsidRPr="00BF42B7" w:rsidRDefault="008D7906" w:rsidP="008D7906">
      <w:pPr>
        <w:pStyle w:val="SingleTxtGC"/>
        <w:rPr>
          <w:rFonts w:asciiTheme="majorBidi" w:hAnsiTheme="majorBidi" w:cstheme="majorBidi"/>
          <w:szCs w:val="21"/>
        </w:rPr>
      </w:pPr>
      <w:r w:rsidRPr="00BF42B7">
        <w:rPr>
          <w:rFonts w:asciiTheme="majorBidi" w:hAnsiTheme="majorBidi" w:cstheme="majorBidi"/>
          <w:szCs w:val="21"/>
          <w:lang w:val="zh-CN"/>
        </w:rPr>
        <w:t xml:space="preserve">72.  </w:t>
      </w:r>
      <w:r w:rsidRPr="00BF42B7">
        <w:rPr>
          <w:rFonts w:asciiTheme="majorBidi" w:hAnsiTheme="majorBidi" w:cstheme="majorBidi"/>
          <w:szCs w:val="21"/>
          <w:lang w:val="zh-CN"/>
        </w:rPr>
        <w:t>委员会在</w:t>
      </w:r>
      <w:r w:rsidRPr="00BF42B7">
        <w:rPr>
          <w:rFonts w:asciiTheme="majorBidi" w:hAnsiTheme="majorBidi" w:cstheme="majorBidi"/>
          <w:szCs w:val="21"/>
          <w:lang w:val="zh-CN"/>
        </w:rPr>
        <w:t>2016</w:t>
      </w:r>
      <w:r w:rsidRPr="00BF42B7">
        <w:rPr>
          <w:rFonts w:asciiTheme="majorBidi" w:hAnsiTheme="majorBidi" w:cstheme="majorBidi"/>
          <w:szCs w:val="21"/>
          <w:lang w:val="zh-CN"/>
        </w:rPr>
        <w:t>年</w:t>
      </w:r>
      <w:r w:rsidRPr="00BF42B7">
        <w:rPr>
          <w:rFonts w:asciiTheme="majorBidi" w:hAnsiTheme="majorBidi" w:cstheme="majorBidi"/>
          <w:szCs w:val="21"/>
          <w:lang w:val="zh-CN"/>
        </w:rPr>
        <w:t>6</w:t>
      </w:r>
      <w:r w:rsidRPr="00BF42B7">
        <w:rPr>
          <w:rFonts w:asciiTheme="majorBidi" w:hAnsiTheme="majorBidi" w:cstheme="majorBidi"/>
          <w:szCs w:val="21"/>
          <w:lang w:val="zh-CN"/>
        </w:rPr>
        <w:t>月</w:t>
      </w:r>
      <w:r w:rsidRPr="00BF42B7">
        <w:rPr>
          <w:rFonts w:asciiTheme="majorBidi" w:hAnsiTheme="majorBidi" w:cstheme="majorBidi"/>
          <w:szCs w:val="21"/>
          <w:lang w:val="zh-CN"/>
        </w:rPr>
        <w:t>10</w:t>
      </w:r>
      <w:r w:rsidRPr="00BF42B7">
        <w:rPr>
          <w:rFonts w:asciiTheme="majorBidi" w:hAnsiTheme="majorBidi" w:cstheme="majorBidi"/>
          <w:szCs w:val="21"/>
          <w:lang w:val="zh-CN"/>
        </w:rPr>
        <w:t>日举行的第</w:t>
      </w:r>
      <w:r w:rsidRPr="00BF42B7">
        <w:rPr>
          <w:rFonts w:asciiTheme="majorBidi" w:hAnsiTheme="majorBidi" w:cstheme="majorBidi"/>
          <w:szCs w:val="21"/>
          <w:lang w:val="zh-CN"/>
        </w:rPr>
        <w:t>3313</w:t>
      </w:r>
      <w:r w:rsidRPr="00BF42B7">
        <w:rPr>
          <w:rFonts w:asciiTheme="majorBidi" w:hAnsiTheme="majorBidi" w:cstheme="majorBidi"/>
          <w:szCs w:val="21"/>
          <w:lang w:val="zh-CN"/>
        </w:rPr>
        <w:t>次会议上审议了起草委员会的报告，并一读通过了一套关于与条约解释相关的嗣后协定和嗣后惯例的</w:t>
      </w:r>
      <w:r w:rsidRPr="00BF42B7">
        <w:rPr>
          <w:rFonts w:asciiTheme="majorBidi" w:hAnsiTheme="majorBidi" w:cstheme="majorBidi"/>
          <w:szCs w:val="21"/>
          <w:lang w:val="zh-CN"/>
        </w:rPr>
        <w:t>13</w:t>
      </w:r>
      <w:r w:rsidRPr="00BF42B7">
        <w:rPr>
          <w:rFonts w:asciiTheme="majorBidi" w:hAnsiTheme="majorBidi" w:cstheme="majorBidi"/>
          <w:szCs w:val="21"/>
          <w:lang w:val="zh-CN"/>
        </w:rPr>
        <w:t>条结论草案</w:t>
      </w:r>
      <w:r w:rsidRPr="00BF42B7">
        <w:rPr>
          <w:rFonts w:asciiTheme="majorBidi" w:hAnsiTheme="majorBidi" w:cstheme="majorBidi"/>
          <w:szCs w:val="21"/>
          <w:lang w:val="zh-CN"/>
        </w:rPr>
        <w:t>(</w:t>
      </w:r>
      <w:r w:rsidRPr="00BF42B7">
        <w:rPr>
          <w:rFonts w:asciiTheme="majorBidi" w:hAnsiTheme="majorBidi" w:cstheme="majorBidi"/>
          <w:szCs w:val="21"/>
          <w:lang w:val="zh-CN"/>
        </w:rPr>
        <w:t>见下文</w:t>
      </w:r>
      <w:r w:rsidRPr="00BF42B7">
        <w:rPr>
          <w:rFonts w:asciiTheme="majorBidi" w:hAnsiTheme="majorBidi" w:cstheme="majorBidi"/>
          <w:szCs w:val="21"/>
          <w:lang w:val="zh-CN"/>
        </w:rPr>
        <w:t>C.1</w:t>
      </w:r>
      <w:r w:rsidRPr="00BF42B7">
        <w:rPr>
          <w:rFonts w:asciiTheme="majorBidi" w:hAnsiTheme="majorBidi" w:cstheme="majorBidi"/>
          <w:szCs w:val="21"/>
          <w:lang w:val="zh-CN"/>
        </w:rPr>
        <w:t>节</w:t>
      </w:r>
      <w:r w:rsidRPr="00BF42B7">
        <w:rPr>
          <w:rFonts w:asciiTheme="majorBidi" w:hAnsiTheme="majorBidi" w:cstheme="majorBidi"/>
          <w:szCs w:val="21"/>
          <w:lang w:val="zh-CN"/>
        </w:rPr>
        <w:t>)</w:t>
      </w:r>
      <w:r w:rsidRPr="00BF42B7">
        <w:rPr>
          <w:rFonts w:asciiTheme="majorBidi" w:hAnsiTheme="majorBidi" w:cstheme="majorBidi"/>
          <w:szCs w:val="21"/>
          <w:lang w:val="zh-CN"/>
        </w:rPr>
        <w:t>。在</w:t>
      </w:r>
      <w:r w:rsidRPr="00BF42B7">
        <w:rPr>
          <w:rFonts w:asciiTheme="majorBidi" w:hAnsiTheme="majorBidi" w:cstheme="majorBidi"/>
          <w:szCs w:val="21"/>
          <w:lang w:val="zh-CN"/>
        </w:rPr>
        <w:t>2016</w:t>
      </w:r>
      <w:r w:rsidRPr="00BF42B7">
        <w:rPr>
          <w:rFonts w:asciiTheme="majorBidi" w:hAnsiTheme="majorBidi" w:cstheme="majorBidi"/>
          <w:szCs w:val="21"/>
          <w:lang w:val="zh-CN"/>
        </w:rPr>
        <w:t>年</w:t>
      </w:r>
      <w:r w:rsidRPr="00BF42B7">
        <w:rPr>
          <w:rFonts w:asciiTheme="majorBidi" w:hAnsiTheme="majorBidi" w:cstheme="majorBidi"/>
          <w:szCs w:val="21"/>
          <w:lang w:val="zh-CN"/>
        </w:rPr>
        <w:t>8</w:t>
      </w:r>
      <w:r w:rsidRPr="00BF42B7">
        <w:rPr>
          <w:rFonts w:asciiTheme="majorBidi" w:hAnsiTheme="majorBidi" w:cstheme="majorBidi"/>
          <w:szCs w:val="21"/>
          <w:lang w:val="zh-CN"/>
        </w:rPr>
        <w:t>月</w:t>
      </w:r>
      <w:r w:rsidRPr="00BF42B7">
        <w:rPr>
          <w:rFonts w:asciiTheme="majorBidi" w:hAnsiTheme="majorBidi" w:cstheme="majorBidi"/>
          <w:szCs w:val="21"/>
          <w:lang w:val="zh-CN"/>
        </w:rPr>
        <w:t>4</w:t>
      </w:r>
      <w:r w:rsidRPr="00BF42B7">
        <w:rPr>
          <w:rFonts w:asciiTheme="majorBidi" w:hAnsiTheme="majorBidi" w:cstheme="majorBidi"/>
          <w:szCs w:val="21"/>
          <w:lang w:val="zh-CN"/>
        </w:rPr>
        <w:t>、</w:t>
      </w:r>
      <w:r w:rsidRPr="00BF42B7">
        <w:rPr>
          <w:rFonts w:asciiTheme="majorBidi" w:hAnsiTheme="majorBidi" w:cstheme="majorBidi"/>
          <w:szCs w:val="21"/>
          <w:lang w:val="zh-CN"/>
        </w:rPr>
        <w:t>5</w:t>
      </w:r>
      <w:r w:rsidRPr="00BF42B7">
        <w:rPr>
          <w:rFonts w:asciiTheme="majorBidi" w:hAnsiTheme="majorBidi" w:cstheme="majorBidi"/>
          <w:szCs w:val="21"/>
          <w:lang w:val="zh-CN"/>
        </w:rPr>
        <w:t>、</w:t>
      </w:r>
      <w:r w:rsidRPr="00BF42B7">
        <w:rPr>
          <w:rFonts w:asciiTheme="majorBidi" w:hAnsiTheme="majorBidi" w:cstheme="majorBidi"/>
          <w:szCs w:val="21"/>
          <w:lang w:val="zh-CN"/>
        </w:rPr>
        <w:t>8</w:t>
      </w:r>
      <w:r w:rsidRPr="00BF42B7">
        <w:rPr>
          <w:rFonts w:asciiTheme="majorBidi" w:hAnsiTheme="majorBidi" w:cstheme="majorBidi"/>
          <w:szCs w:val="21"/>
          <w:lang w:val="zh-CN"/>
        </w:rPr>
        <w:t>和</w:t>
      </w:r>
      <w:r w:rsidRPr="00BF42B7">
        <w:rPr>
          <w:rFonts w:asciiTheme="majorBidi" w:hAnsiTheme="majorBidi" w:cstheme="majorBidi"/>
          <w:szCs w:val="21"/>
          <w:lang w:val="zh-CN"/>
        </w:rPr>
        <w:t>9</w:t>
      </w:r>
      <w:r w:rsidRPr="00BF42B7">
        <w:rPr>
          <w:rFonts w:asciiTheme="majorBidi" w:hAnsiTheme="majorBidi" w:cstheme="majorBidi"/>
          <w:szCs w:val="21"/>
          <w:lang w:val="zh-CN"/>
        </w:rPr>
        <w:t>日举行的第</w:t>
      </w:r>
      <w:r w:rsidRPr="00BF42B7">
        <w:rPr>
          <w:rFonts w:asciiTheme="majorBidi" w:hAnsiTheme="majorBidi" w:cstheme="majorBidi"/>
          <w:szCs w:val="21"/>
          <w:lang w:val="zh-CN"/>
        </w:rPr>
        <w:t>3335</w:t>
      </w:r>
      <w:r w:rsidRPr="00BF42B7">
        <w:rPr>
          <w:rFonts w:asciiTheme="majorBidi" w:hAnsiTheme="majorBidi" w:cstheme="majorBidi"/>
          <w:szCs w:val="21"/>
          <w:lang w:val="zh-CN"/>
        </w:rPr>
        <w:t>至</w:t>
      </w:r>
      <w:r w:rsidRPr="00BF42B7">
        <w:rPr>
          <w:rFonts w:asciiTheme="majorBidi" w:hAnsiTheme="majorBidi" w:cstheme="majorBidi"/>
          <w:szCs w:val="21"/>
          <w:lang w:val="zh-CN"/>
        </w:rPr>
        <w:t>3337</w:t>
      </w:r>
      <w:r w:rsidRPr="00BF42B7">
        <w:rPr>
          <w:rFonts w:asciiTheme="majorBidi" w:hAnsiTheme="majorBidi" w:cstheme="majorBidi"/>
          <w:szCs w:val="21"/>
          <w:lang w:val="zh-CN"/>
        </w:rPr>
        <w:t>次、</w:t>
      </w:r>
      <w:r w:rsidRPr="00BF42B7">
        <w:rPr>
          <w:rFonts w:asciiTheme="majorBidi" w:hAnsiTheme="majorBidi" w:cstheme="majorBidi"/>
          <w:szCs w:val="21"/>
          <w:lang w:val="zh-CN"/>
        </w:rPr>
        <w:t>3340</w:t>
      </w:r>
      <w:r w:rsidRPr="00BF42B7">
        <w:rPr>
          <w:rFonts w:asciiTheme="majorBidi" w:hAnsiTheme="majorBidi" w:cstheme="majorBidi"/>
          <w:szCs w:val="21"/>
          <w:lang w:val="zh-CN"/>
        </w:rPr>
        <w:t>次和</w:t>
      </w:r>
      <w:r w:rsidRPr="00BF42B7">
        <w:rPr>
          <w:rFonts w:asciiTheme="majorBidi" w:hAnsiTheme="majorBidi" w:cstheme="majorBidi"/>
          <w:szCs w:val="21"/>
          <w:lang w:val="zh-CN"/>
        </w:rPr>
        <w:t>3341</w:t>
      </w:r>
      <w:r w:rsidRPr="00BF42B7">
        <w:rPr>
          <w:rFonts w:asciiTheme="majorBidi" w:hAnsiTheme="majorBidi" w:cstheme="majorBidi"/>
          <w:szCs w:val="21"/>
          <w:lang w:val="zh-CN"/>
        </w:rPr>
        <w:t>次会议上，委员会通过了关于与条约解释相关的嗣后协定和嗣后惯例的结论草案的评注</w:t>
      </w:r>
      <w:r w:rsidRPr="00BF42B7">
        <w:rPr>
          <w:rFonts w:asciiTheme="majorBidi" w:hAnsiTheme="majorBidi" w:cstheme="majorBidi"/>
          <w:szCs w:val="21"/>
          <w:lang w:val="zh-CN"/>
        </w:rPr>
        <w:t>(</w:t>
      </w:r>
      <w:r w:rsidRPr="00BF42B7">
        <w:rPr>
          <w:rFonts w:asciiTheme="majorBidi" w:hAnsiTheme="majorBidi" w:cstheme="majorBidi"/>
          <w:szCs w:val="21"/>
          <w:lang w:val="zh-CN"/>
        </w:rPr>
        <w:t>见下文</w:t>
      </w:r>
      <w:r w:rsidRPr="00BF42B7">
        <w:rPr>
          <w:rFonts w:asciiTheme="majorBidi" w:hAnsiTheme="majorBidi" w:cstheme="majorBidi"/>
          <w:szCs w:val="21"/>
          <w:lang w:val="zh-CN"/>
        </w:rPr>
        <w:t>C.2</w:t>
      </w:r>
      <w:r w:rsidRPr="00BF42B7">
        <w:rPr>
          <w:rFonts w:asciiTheme="majorBidi" w:hAnsiTheme="majorBidi" w:cstheme="majorBidi"/>
          <w:szCs w:val="21"/>
          <w:lang w:val="zh-CN"/>
        </w:rPr>
        <w:t>节</w:t>
      </w:r>
      <w:r w:rsidRPr="00BF42B7">
        <w:rPr>
          <w:rFonts w:asciiTheme="majorBidi" w:hAnsiTheme="majorBidi" w:cstheme="majorBidi"/>
          <w:szCs w:val="21"/>
          <w:lang w:val="zh-CN"/>
        </w:rPr>
        <w:t>)</w:t>
      </w:r>
      <w:r w:rsidRPr="00BF42B7">
        <w:rPr>
          <w:rFonts w:asciiTheme="majorBidi" w:hAnsiTheme="majorBidi" w:cstheme="majorBidi"/>
          <w:szCs w:val="21"/>
          <w:lang w:val="zh-CN"/>
        </w:rPr>
        <w:t>。</w:t>
      </w:r>
    </w:p>
    <w:p w:rsidR="008D7906" w:rsidRPr="00BF42B7" w:rsidRDefault="008D7906" w:rsidP="008D7906">
      <w:pPr>
        <w:pStyle w:val="SingleTxtGC"/>
        <w:rPr>
          <w:rFonts w:asciiTheme="majorBidi" w:hAnsiTheme="majorBidi" w:cstheme="majorBidi"/>
          <w:szCs w:val="21"/>
        </w:rPr>
      </w:pPr>
      <w:r w:rsidRPr="00BF42B7">
        <w:rPr>
          <w:rFonts w:asciiTheme="majorBidi" w:hAnsiTheme="majorBidi" w:cstheme="majorBidi"/>
          <w:szCs w:val="21"/>
        </w:rPr>
        <w:t>73</w:t>
      </w:r>
      <w:r w:rsidRPr="00BF42B7">
        <w:rPr>
          <w:rFonts w:asciiTheme="majorBidi" w:hAnsiTheme="majorBidi" w:cstheme="majorBidi"/>
          <w:szCs w:val="21"/>
          <w:lang w:val="zh-CN"/>
        </w:rPr>
        <w:t xml:space="preserve">.  </w:t>
      </w:r>
      <w:r w:rsidRPr="00BF42B7">
        <w:rPr>
          <w:rFonts w:asciiTheme="majorBidi" w:hAnsiTheme="majorBidi" w:cstheme="majorBidi"/>
          <w:szCs w:val="21"/>
          <w:lang w:val="zh-CN"/>
        </w:rPr>
        <w:t>委员会在</w:t>
      </w:r>
      <w:r w:rsidRPr="00BF42B7">
        <w:rPr>
          <w:rFonts w:asciiTheme="majorBidi" w:hAnsiTheme="majorBidi" w:cstheme="majorBidi"/>
          <w:szCs w:val="21"/>
          <w:lang w:val="zh-CN"/>
        </w:rPr>
        <w:t>2016</w:t>
      </w:r>
      <w:r w:rsidRPr="00BF42B7">
        <w:rPr>
          <w:rFonts w:asciiTheme="majorBidi" w:hAnsiTheme="majorBidi" w:cstheme="majorBidi"/>
          <w:szCs w:val="21"/>
          <w:lang w:val="zh-CN"/>
        </w:rPr>
        <w:t>年</w:t>
      </w:r>
      <w:r w:rsidRPr="00BF42B7">
        <w:rPr>
          <w:rFonts w:asciiTheme="majorBidi" w:hAnsiTheme="majorBidi" w:cstheme="majorBidi"/>
          <w:szCs w:val="21"/>
          <w:lang w:val="zh-CN"/>
        </w:rPr>
        <w:t>8</w:t>
      </w:r>
      <w:r w:rsidRPr="00BF42B7">
        <w:rPr>
          <w:rFonts w:asciiTheme="majorBidi" w:hAnsiTheme="majorBidi" w:cstheme="majorBidi"/>
          <w:szCs w:val="21"/>
          <w:lang w:val="zh-CN"/>
        </w:rPr>
        <w:t>月</w:t>
      </w:r>
      <w:r w:rsidRPr="00BF42B7">
        <w:rPr>
          <w:rFonts w:asciiTheme="majorBidi" w:hAnsiTheme="majorBidi" w:cstheme="majorBidi"/>
          <w:szCs w:val="21"/>
          <w:lang w:val="zh-CN"/>
        </w:rPr>
        <w:t>9</w:t>
      </w:r>
      <w:r w:rsidRPr="00BF42B7">
        <w:rPr>
          <w:rFonts w:asciiTheme="majorBidi" w:hAnsiTheme="majorBidi" w:cstheme="majorBidi"/>
          <w:szCs w:val="21"/>
          <w:lang w:val="zh-CN"/>
        </w:rPr>
        <w:t>日举行的第</w:t>
      </w:r>
      <w:r w:rsidRPr="00BF42B7">
        <w:rPr>
          <w:rFonts w:asciiTheme="majorBidi" w:hAnsiTheme="majorBidi" w:cstheme="majorBidi"/>
          <w:szCs w:val="21"/>
          <w:lang w:val="zh-CN"/>
        </w:rPr>
        <w:t>3341</w:t>
      </w:r>
      <w:r w:rsidRPr="00BF42B7">
        <w:rPr>
          <w:rFonts w:asciiTheme="majorBidi" w:hAnsiTheme="majorBidi" w:cstheme="majorBidi"/>
          <w:szCs w:val="21"/>
          <w:lang w:val="zh-CN"/>
        </w:rPr>
        <w:t>次会议上，根据其《章程》第</w:t>
      </w:r>
      <w:r w:rsidRPr="00BF42B7">
        <w:rPr>
          <w:rFonts w:asciiTheme="majorBidi" w:hAnsiTheme="majorBidi" w:cstheme="majorBidi"/>
          <w:szCs w:val="21"/>
          <w:lang w:val="zh-CN"/>
        </w:rPr>
        <w:t>16</w:t>
      </w:r>
      <w:r w:rsidRPr="00BF42B7">
        <w:rPr>
          <w:rFonts w:asciiTheme="majorBidi" w:hAnsiTheme="majorBidi" w:cstheme="majorBidi"/>
          <w:szCs w:val="21"/>
          <w:lang w:val="zh-CN"/>
        </w:rPr>
        <w:t>至第</w:t>
      </w:r>
      <w:r w:rsidRPr="00BF42B7">
        <w:rPr>
          <w:rFonts w:asciiTheme="majorBidi" w:hAnsiTheme="majorBidi" w:cstheme="majorBidi"/>
          <w:szCs w:val="21"/>
          <w:lang w:val="zh-CN"/>
        </w:rPr>
        <w:t>21</w:t>
      </w:r>
      <w:r w:rsidRPr="00BF42B7">
        <w:rPr>
          <w:rFonts w:asciiTheme="majorBidi" w:hAnsiTheme="majorBidi" w:cstheme="majorBidi"/>
          <w:szCs w:val="21"/>
          <w:lang w:val="zh-CN"/>
        </w:rPr>
        <w:t>条，决定通过秘书长将结论草案</w:t>
      </w:r>
      <w:r w:rsidRPr="00BF42B7">
        <w:rPr>
          <w:rFonts w:asciiTheme="majorBidi" w:hAnsiTheme="majorBidi" w:cstheme="majorBidi"/>
          <w:szCs w:val="21"/>
          <w:lang w:val="zh-CN"/>
        </w:rPr>
        <w:t>(</w:t>
      </w:r>
      <w:r w:rsidRPr="00BF42B7">
        <w:rPr>
          <w:rFonts w:asciiTheme="majorBidi" w:hAnsiTheme="majorBidi" w:cstheme="majorBidi"/>
          <w:szCs w:val="21"/>
          <w:lang w:val="zh-CN"/>
        </w:rPr>
        <w:t>见下文</w:t>
      </w:r>
      <w:r w:rsidRPr="00BF42B7">
        <w:rPr>
          <w:rFonts w:asciiTheme="majorBidi" w:hAnsiTheme="majorBidi" w:cstheme="majorBidi"/>
          <w:szCs w:val="21"/>
          <w:lang w:val="zh-CN"/>
        </w:rPr>
        <w:t>C</w:t>
      </w:r>
      <w:r w:rsidRPr="00BF42B7">
        <w:rPr>
          <w:rFonts w:asciiTheme="majorBidi" w:hAnsiTheme="majorBidi" w:cstheme="majorBidi"/>
          <w:szCs w:val="21"/>
          <w:lang w:val="zh-CN"/>
        </w:rPr>
        <w:t>节</w:t>
      </w:r>
      <w:r w:rsidRPr="00BF42B7">
        <w:rPr>
          <w:rFonts w:asciiTheme="majorBidi" w:hAnsiTheme="majorBidi" w:cstheme="majorBidi"/>
          <w:szCs w:val="21"/>
          <w:lang w:val="zh-CN"/>
        </w:rPr>
        <w:t>)</w:t>
      </w:r>
      <w:r w:rsidRPr="00BF42B7">
        <w:rPr>
          <w:rFonts w:asciiTheme="majorBidi" w:hAnsiTheme="majorBidi" w:cstheme="majorBidi"/>
          <w:szCs w:val="21"/>
          <w:lang w:val="zh-CN"/>
        </w:rPr>
        <w:t>转交各国政府征求评论和意见，并请各国政府在</w:t>
      </w:r>
      <w:r w:rsidRPr="00BF42B7">
        <w:rPr>
          <w:rFonts w:asciiTheme="majorBidi" w:hAnsiTheme="majorBidi" w:cstheme="majorBidi"/>
          <w:szCs w:val="21"/>
          <w:lang w:val="zh-CN"/>
        </w:rPr>
        <w:t>2018</w:t>
      </w:r>
      <w:r w:rsidRPr="00BF42B7">
        <w:rPr>
          <w:rFonts w:asciiTheme="majorBidi" w:hAnsiTheme="majorBidi" w:cstheme="majorBidi"/>
          <w:szCs w:val="21"/>
          <w:lang w:val="zh-CN"/>
        </w:rPr>
        <w:t>年</w:t>
      </w:r>
      <w:r w:rsidRPr="00BF42B7">
        <w:rPr>
          <w:rFonts w:asciiTheme="majorBidi" w:hAnsiTheme="majorBidi" w:cstheme="majorBidi"/>
          <w:szCs w:val="21"/>
          <w:lang w:val="zh-CN"/>
        </w:rPr>
        <w:t>1</w:t>
      </w:r>
      <w:r w:rsidRPr="00BF42B7">
        <w:rPr>
          <w:rFonts w:asciiTheme="majorBidi" w:hAnsiTheme="majorBidi" w:cstheme="majorBidi"/>
          <w:szCs w:val="21"/>
          <w:lang w:val="zh-CN"/>
        </w:rPr>
        <w:t>月</w:t>
      </w:r>
      <w:r w:rsidRPr="00BF42B7">
        <w:rPr>
          <w:rFonts w:asciiTheme="majorBidi" w:hAnsiTheme="majorBidi" w:cstheme="majorBidi"/>
          <w:szCs w:val="21"/>
          <w:lang w:val="zh-CN"/>
        </w:rPr>
        <w:t>1</w:t>
      </w:r>
      <w:r w:rsidRPr="00BF42B7">
        <w:rPr>
          <w:rFonts w:asciiTheme="majorBidi" w:hAnsiTheme="majorBidi" w:cstheme="majorBidi"/>
          <w:szCs w:val="21"/>
          <w:lang w:val="zh-CN"/>
        </w:rPr>
        <w:t>日之前向秘书长提交这些评论和意见。</w:t>
      </w:r>
    </w:p>
    <w:p w:rsidR="008D7906" w:rsidRPr="00BF42B7" w:rsidRDefault="008D7906" w:rsidP="00EA60D2">
      <w:pPr>
        <w:pStyle w:val="SingleTxtGC"/>
        <w:rPr>
          <w:lang w:val="zh-CN"/>
        </w:rPr>
      </w:pPr>
      <w:r w:rsidRPr="00BF42B7">
        <w:t>74</w:t>
      </w:r>
      <w:r w:rsidRPr="00BF42B7">
        <w:rPr>
          <w:lang w:val="zh-CN"/>
        </w:rPr>
        <w:t xml:space="preserve">.  </w:t>
      </w:r>
      <w:r w:rsidRPr="00BF42B7">
        <w:rPr>
          <w:lang w:val="zh-CN"/>
        </w:rPr>
        <w:t>委员会在</w:t>
      </w:r>
      <w:r w:rsidRPr="00BF42B7">
        <w:rPr>
          <w:lang w:val="zh-CN"/>
        </w:rPr>
        <w:t>2016</w:t>
      </w:r>
      <w:r w:rsidRPr="00BF42B7">
        <w:rPr>
          <w:lang w:val="zh-CN"/>
        </w:rPr>
        <w:t>年</w:t>
      </w:r>
      <w:r w:rsidRPr="00BF42B7">
        <w:rPr>
          <w:lang w:val="zh-CN"/>
        </w:rPr>
        <w:t>8</w:t>
      </w:r>
      <w:r w:rsidRPr="00BF42B7">
        <w:rPr>
          <w:lang w:val="zh-CN"/>
        </w:rPr>
        <w:t>月</w:t>
      </w:r>
      <w:r w:rsidRPr="00BF42B7">
        <w:rPr>
          <w:lang w:val="zh-CN"/>
        </w:rPr>
        <w:t>9</w:t>
      </w:r>
      <w:r w:rsidRPr="00BF42B7">
        <w:rPr>
          <w:lang w:val="zh-CN"/>
        </w:rPr>
        <w:t>日举行的第</w:t>
      </w:r>
      <w:r w:rsidRPr="00BF42B7">
        <w:rPr>
          <w:lang w:val="zh-CN"/>
        </w:rPr>
        <w:t>3341</w:t>
      </w:r>
      <w:r w:rsidRPr="00BF42B7">
        <w:rPr>
          <w:lang w:val="zh-CN"/>
        </w:rPr>
        <w:t>次会议上，向特别报告员格奥尔格</w:t>
      </w:r>
      <w:r w:rsidR="00EA60D2">
        <w:rPr>
          <w:rFonts w:ascii="Time New Roman" w:hAnsi="Time New Roman" w:hint="eastAsia"/>
          <w:lang w:val="en-GB"/>
        </w:rPr>
        <w:t>·</w:t>
      </w:r>
      <w:r w:rsidRPr="00BF42B7">
        <w:rPr>
          <w:lang w:val="zh-CN"/>
        </w:rPr>
        <w:t>诺尔特先生表示深切感谢，由于他的杰出贡献，委员会得以圆满结束了对关于与条约解释相关的嗣后协定和嗣后惯例的结论草案的一读。</w:t>
      </w:r>
    </w:p>
    <w:p w:rsidR="008D7906" w:rsidRPr="00BF42B7" w:rsidRDefault="008D7906" w:rsidP="008D7906">
      <w:pPr>
        <w:pStyle w:val="H1GC"/>
      </w:pPr>
      <w:r w:rsidRPr="00BF42B7">
        <w:rPr>
          <w:lang w:val="zh-CN"/>
        </w:rPr>
        <w:tab/>
        <w:t>C.</w:t>
      </w:r>
      <w:r w:rsidRPr="00BF42B7">
        <w:rPr>
          <w:lang w:val="zh-CN"/>
        </w:rPr>
        <w:tab/>
      </w:r>
      <w:r w:rsidRPr="00BF42B7">
        <w:rPr>
          <w:lang w:val="zh-CN"/>
        </w:rPr>
        <w:t>委员会通过的关于与条约解释相关的嗣后协定和嗣后惯例的结论草案案文</w:t>
      </w:r>
    </w:p>
    <w:p w:rsidR="008D7906" w:rsidRPr="00BF42B7" w:rsidRDefault="008D7906" w:rsidP="008D7906">
      <w:pPr>
        <w:pStyle w:val="H23GC"/>
        <w:rPr>
          <w:rFonts w:eastAsia="Times New Roman"/>
        </w:rPr>
      </w:pPr>
      <w:r w:rsidRPr="00BF42B7">
        <w:rPr>
          <w:lang w:val="zh-CN"/>
        </w:rPr>
        <w:tab/>
        <w:t>1.</w:t>
      </w:r>
      <w:r w:rsidRPr="00BF42B7">
        <w:rPr>
          <w:lang w:val="zh-CN"/>
        </w:rPr>
        <w:tab/>
      </w:r>
      <w:r w:rsidRPr="00BF42B7">
        <w:rPr>
          <w:lang w:val="zh-CN"/>
        </w:rPr>
        <w:t>结论草案案文</w:t>
      </w:r>
    </w:p>
    <w:p w:rsidR="008D7906" w:rsidRPr="00BF42B7" w:rsidRDefault="008D7906" w:rsidP="008D7906">
      <w:pPr>
        <w:pStyle w:val="SingleTxtGC"/>
        <w:rPr>
          <w:lang w:val="zh-CN"/>
        </w:rPr>
      </w:pPr>
      <w:r w:rsidRPr="00BF42B7">
        <w:t>75</w:t>
      </w:r>
      <w:r w:rsidRPr="00BF42B7">
        <w:rPr>
          <w:lang w:val="zh-CN"/>
        </w:rPr>
        <w:t xml:space="preserve">.  </w:t>
      </w:r>
      <w:r w:rsidRPr="00BF42B7">
        <w:rPr>
          <w:lang w:val="zh-CN"/>
        </w:rPr>
        <w:t>委员会一读通过的结论草案案文载录如下。</w:t>
      </w:r>
    </w:p>
    <w:p w:rsidR="008D7906" w:rsidRPr="00BF42B7" w:rsidRDefault="008D7906" w:rsidP="00626DA9">
      <w:pPr>
        <w:pStyle w:val="H23GC"/>
        <w:ind w:left="1554"/>
      </w:pPr>
      <w:r w:rsidRPr="00BF42B7">
        <w:rPr>
          <w:rFonts w:hint="eastAsia"/>
          <w:lang w:val="zh-CN"/>
        </w:rPr>
        <w:tab/>
      </w:r>
      <w:r w:rsidRPr="00BF42B7">
        <w:rPr>
          <w:lang w:val="zh-CN"/>
        </w:rPr>
        <w:tab/>
      </w:r>
      <w:r w:rsidRPr="00BF42B7">
        <w:rPr>
          <w:lang w:val="zh-CN"/>
        </w:rPr>
        <w:t>与条约解释相关的嗣后协定和嗣后惯例</w:t>
      </w:r>
    </w:p>
    <w:p w:rsidR="008D7906" w:rsidRPr="00BF42B7" w:rsidRDefault="008D7906" w:rsidP="00EE2BC7">
      <w:pPr>
        <w:pStyle w:val="H23GC"/>
        <w:ind w:left="1554"/>
      </w:pPr>
      <w:r w:rsidRPr="00BF42B7">
        <w:rPr>
          <w:rFonts w:hint="eastAsia"/>
          <w:lang w:val="zh-CN"/>
        </w:rPr>
        <w:tab/>
      </w:r>
      <w:r w:rsidRPr="00BF42B7">
        <w:rPr>
          <w:rFonts w:hint="eastAsia"/>
          <w:lang w:val="zh-CN"/>
        </w:rPr>
        <w:tab/>
      </w:r>
      <w:r w:rsidRPr="00BF42B7">
        <w:rPr>
          <w:lang w:val="zh-CN"/>
        </w:rPr>
        <w:t>第一部分</w:t>
      </w:r>
      <w:r w:rsidRPr="00BF42B7">
        <w:rPr>
          <w:lang w:val="zh-CN"/>
        </w:rPr>
        <w:br/>
      </w:r>
      <w:r w:rsidRPr="00BF42B7">
        <w:rPr>
          <w:lang w:val="zh-CN"/>
        </w:rPr>
        <w:t>导言</w:t>
      </w:r>
    </w:p>
    <w:p w:rsidR="008D7906" w:rsidRPr="00BF42B7" w:rsidRDefault="008D7906" w:rsidP="008D7906">
      <w:pPr>
        <w:pStyle w:val="H23GC"/>
        <w:ind w:left="1565"/>
      </w:pPr>
      <w:r w:rsidRPr="00BF42B7">
        <w:rPr>
          <w:rFonts w:hint="eastAsia"/>
          <w:lang w:val="zh-CN"/>
        </w:rPr>
        <w:tab/>
      </w:r>
      <w:r w:rsidRPr="00BF42B7">
        <w:rPr>
          <w:rFonts w:hint="eastAsia"/>
          <w:lang w:val="zh-CN"/>
        </w:rPr>
        <w:tab/>
      </w:r>
      <w:r w:rsidRPr="00BF42B7">
        <w:rPr>
          <w:lang w:val="zh-CN"/>
        </w:rPr>
        <w:t>结论</w:t>
      </w:r>
      <w:r w:rsidRPr="00BF42B7">
        <w:rPr>
          <w:lang w:val="zh-CN"/>
        </w:rPr>
        <w:t>1[1a]</w:t>
      </w:r>
      <w:r w:rsidRPr="00BF42B7">
        <w:rPr>
          <w:rStyle w:val="a5"/>
          <w:rFonts w:cstheme="majorBidi"/>
          <w:szCs w:val="21"/>
          <w:lang w:val="zh-CN"/>
        </w:rPr>
        <w:footnoteReference w:id="387"/>
      </w:r>
      <w:r w:rsidRPr="00BF42B7">
        <w:rPr>
          <w:lang w:val="zh-CN"/>
        </w:rPr>
        <w:br/>
      </w:r>
      <w:r w:rsidRPr="00BF42B7">
        <w:rPr>
          <w:lang w:val="zh-CN"/>
        </w:rPr>
        <w:t>导言</w:t>
      </w:r>
    </w:p>
    <w:p w:rsidR="008D7906" w:rsidRPr="00BF42B7" w:rsidRDefault="00626DA9" w:rsidP="008D7906">
      <w:pPr>
        <w:pStyle w:val="SingleTxtGC"/>
        <w:ind w:left="1565"/>
      </w:pPr>
      <w:r>
        <w:rPr>
          <w:rFonts w:hint="eastAsia"/>
          <w:lang w:val="zh-CN"/>
        </w:rPr>
        <w:tab/>
      </w:r>
      <w:r w:rsidR="008D7906" w:rsidRPr="00BF42B7">
        <w:rPr>
          <w:lang w:val="zh-CN"/>
        </w:rPr>
        <w:t>本结论草案涉及嗣后协定和嗣后惯例在条约解释中的作用。</w:t>
      </w:r>
    </w:p>
    <w:p w:rsidR="008D7906" w:rsidRPr="00BF42B7" w:rsidRDefault="008D7906" w:rsidP="00EE2BC7">
      <w:pPr>
        <w:pStyle w:val="H23GC"/>
        <w:ind w:left="1554"/>
        <w:rPr>
          <w:lang w:val="zh-CN"/>
        </w:rPr>
      </w:pPr>
      <w:r w:rsidRPr="00BF42B7">
        <w:rPr>
          <w:rFonts w:hint="eastAsia"/>
          <w:lang w:val="zh-CN"/>
        </w:rPr>
        <w:tab/>
      </w:r>
      <w:r w:rsidRPr="00BF42B7">
        <w:rPr>
          <w:rFonts w:hint="eastAsia"/>
          <w:lang w:val="zh-CN"/>
        </w:rPr>
        <w:tab/>
      </w:r>
      <w:r w:rsidRPr="00BF42B7">
        <w:rPr>
          <w:lang w:val="zh-CN"/>
        </w:rPr>
        <w:t>第二部分</w:t>
      </w:r>
      <w:r w:rsidRPr="00BF42B7">
        <w:rPr>
          <w:lang w:val="zh-CN"/>
        </w:rPr>
        <w:br/>
      </w:r>
      <w:r w:rsidRPr="00BF42B7">
        <w:rPr>
          <w:lang w:val="zh-CN"/>
        </w:rPr>
        <w:t>基本规则和定义</w:t>
      </w:r>
    </w:p>
    <w:p w:rsidR="008D7906" w:rsidRPr="00BF42B7" w:rsidRDefault="008D7906" w:rsidP="008D7906">
      <w:pPr>
        <w:pStyle w:val="H23GC"/>
        <w:ind w:left="1565"/>
        <w:rPr>
          <w:lang w:val="zh-CN"/>
        </w:rPr>
      </w:pPr>
      <w:r w:rsidRPr="00BF42B7">
        <w:rPr>
          <w:rFonts w:hint="eastAsia"/>
          <w:lang w:val="zh-CN"/>
        </w:rPr>
        <w:tab/>
      </w:r>
      <w:r w:rsidRPr="00BF42B7">
        <w:rPr>
          <w:rFonts w:hint="eastAsia"/>
          <w:lang w:val="zh-CN"/>
        </w:rPr>
        <w:tab/>
      </w:r>
      <w:r w:rsidRPr="00BF42B7">
        <w:rPr>
          <w:lang w:val="zh-CN"/>
        </w:rPr>
        <w:t>结论</w:t>
      </w:r>
      <w:r w:rsidRPr="00BF42B7">
        <w:rPr>
          <w:lang w:val="zh-CN"/>
        </w:rPr>
        <w:t>2[1]</w:t>
      </w:r>
      <w:r w:rsidRPr="00BF42B7">
        <w:rPr>
          <w:lang w:val="zh-CN"/>
        </w:rPr>
        <w:br/>
      </w:r>
      <w:r w:rsidRPr="00BF42B7">
        <w:rPr>
          <w:lang w:val="zh-CN"/>
        </w:rPr>
        <w:t>条约解释通则和资料</w:t>
      </w:r>
    </w:p>
    <w:p w:rsidR="008D7906" w:rsidRPr="00BF42B7" w:rsidRDefault="008D7906" w:rsidP="008D7906">
      <w:pPr>
        <w:pStyle w:val="SingleTxtGC"/>
        <w:ind w:left="1565"/>
      </w:pPr>
      <w:r w:rsidRPr="00BF42B7">
        <w:rPr>
          <w:lang w:val="zh-CN"/>
        </w:rPr>
        <w:t xml:space="preserve">1.  </w:t>
      </w:r>
      <w:r w:rsidRPr="00BF42B7">
        <w:rPr>
          <w:lang w:val="zh-CN"/>
        </w:rPr>
        <w:t>《维也纳条约法公约》第三十一和第三十二条分别规定了解释条约的通则和关于解释条约的补充资料的规则。这些规则也作为习惯国际法适用。</w:t>
      </w:r>
    </w:p>
    <w:p w:rsidR="008D7906" w:rsidRPr="00BF42B7" w:rsidRDefault="008D7906" w:rsidP="008D7906">
      <w:pPr>
        <w:pStyle w:val="SingleTxtGC"/>
        <w:ind w:left="1565"/>
      </w:pPr>
      <w:r w:rsidRPr="00BF42B7">
        <w:rPr>
          <w:lang w:val="zh-CN"/>
        </w:rPr>
        <w:t xml:space="preserve">2.  </w:t>
      </w:r>
      <w:r w:rsidRPr="00BF42B7">
        <w:rPr>
          <w:lang w:val="zh-CN"/>
        </w:rPr>
        <w:t>条约应按照其用语按上下文所具有的通常含义并参照该条约的目的和宗旨善意地予以解释。</w:t>
      </w:r>
    </w:p>
    <w:p w:rsidR="008D7906" w:rsidRPr="00BF42B7" w:rsidRDefault="008D7906" w:rsidP="008D7906">
      <w:pPr>
        <w:pStyle w:val="SingleTxtGC"/>
        <w:ind w:left="1565"/>
      </w:pPr>
      <w:r w:rsidRPr="00BF42B7">
        <w:rPr>
          <w:lang w:val="zh-CN"/>
        </w:rPr>
        <w:t xml:space="preserve">3.  </w:t>
      </w:r>
      <w:r w:rsidRPr="00BF42B7">
        <w:rPr>
          <w:spacing w:val="-4"/>
          <w:lang w:val="zh-CN"/>
        </w:rPr>
        <w:t>第三十一条第三款除其他外规定，应与上下文一并考虑到的还有：</w:t>
      </w:r>
      <w:r w:rsidRPr="00BF42B7">
        <w:rPr>
          <w:spacing w:val="-4"/>
          <w:lang w:val="zh-CN"/>
        </w:rPr>
        <w:t>(a)</w:t>
      </w:r>
      <w:r w:rsidRPr="00BF42B7">
        <w:rPr>
          <w:lang w:val="zh-CN"/>
        </w:rPr>
        <w:t xml:space="preserve"> </w:t>
      </w:r>
      <w:r w:rsidRPr="00BF42B7">
        <w:rPr>
          <w:lang w:val="zh-CN"/>
        </w:rPr>
        <w:t>缔约方之间嗣后所订关于条约的解释或其规定的适用的任何协定；和</w:t>
      </w:r>
      <w:r w:rsidRPr="00BF42B7">
        <w:rPr>
          <w:lang w:val="zh-CN"/>
        </w:rPr>
        <w:t xml:space="preserve">(b) </w:t>
      </w:r>
      <w:r w:rsidRPr="00BF42B7">
        <w:rPr>
          <w:lang w:val="zh-CN"/>
        </w:rPr>
        <w:t>在条约适用方面确定各缔约方对条约的解释意思一致的任何嗣后惯例。</w:t>
      </w:r>
    </w:p>
    <w:p w:rsidR="008D7906" w:rsidRPr="00BF42B7" w:rsidRDefault="008D7906" w:rsidP="008D7906">
      <w:pPr>
        <w:pStyle w:val="SingleTxtGC"/>
        <w:ind w:left="1565"/>
      </w:pPr>
      <w:r w:rsidRPr="00BF42B7">
        <w:rPr>
          <w:lang w:val="zh-CN"/>
        </w:rPr>
        <w:t xml:space="preserve">4.  </w:t>
      </w:r>
      <w:r w:rsidRPr="00BF42B7">
        <w:rPr>
          <w:lang w:val="zh-CN"/>
        </w:rPr>
        <w:t>可将条约适用方面的其他嗣后惯例作为第三十二条所称的补充的解释资料加以使用。</w:t>
      </w:r>
    </w:p>
    <w:p w:rsidR="008D7906" w:rsidRPr="00BF42B7" w:rsidRDefault="008D7906" w:rsidP="008D7906">
      <w:pPr>
        <w:pStyle w:val="SingleTxtGC"/>
        <w:ind w:left="1565"/>
        <w:rPr>
          <w:rFonts w:asciiTheme="majorBidi" w:hAnsiTheme="majorBidi" w:cstheme="majorBidi"/>
          <w:szCs w:val="21"/>
          <w:lang w:val="zh-CN"/>
        </w:rPr>
      </w:pPr>
      <w:r w:rsidRPr="00BF42B7">
        <w:rPr>
          <w:rFonts w:asciiTheme="majorBidi" w:hAnsiTheme="majorBidi" w:cstheme="majorBidi"/>
          <w:szCs w:val="21"/>
          <w:lang w:val="zh-CN"/>
        </w:rPr>
        <w:t xml:space="preserve">5.  </w:t>
      </w:r>
      <w:r w:rsidRPr="00BF42B7">
        <w:rPr>
          <w:rFonts w:asciiTheme="majorBidi" w:hAnsiTheme="majorBidi" w:cstheme="majorBidi"/>
          <w:szCs w:val="21"/>
          <w:lang w:val="zh-CN"/>
        </w:rPr>
        <w:t>条约的解释是单一的综合行动，这一行动对第三十一和第三十二条分别载明的各种解释资料各给予适当的强调。</w:t>
      </w:r>
    </w:p>
    <w:p w:rsidR="008D7906" w:rsidRPr="00BF42B7" w:rsidRDefault="008D7906" w:rsidP="008D7906">
      <w:pPr>
        <w:pStyle w:val="H23GC"/>
        <w:ind w:left="1565"/>
        <w:rPr>
          <w:lang w:val="zh-CN"/>
        </w:rPr>
      </w:pPr>
      <w:r w:rsidRPr="00BF42B7">
        <w:rPr>
          <w:rFonts w:hint="eastAsia"/>
          <w:lang w:val="zh-CN"/>
        </w:rPr>
        <w:tab/>
      </w:r>
      <w:r w:rsidRPr="00BF42B7">
        <w:rPr>
          <w:rFonts w:hint="eastAsia"/>
          <w:lang w:val="zh-CN"/>
        </w:rPr>
        <w:tab/>
      </w:r>
      <w:r w:rsidRPr="00BF42B7">
        <w:rPr>
          <w:lang w:val="zh-CN"/>
        </w:rPr>
        <w:t>结论</w:t>
      </w:r>
      <w:r w:rsidRPr="00BF42B7">
        <w:rPr>
          <w:lang w:val="zh-CN"/>
        </w:rPr>
        <w:t>3[2]</w:t>
      </w:r>
      <w:r w:rsidRPr="00BF42B7">
        <w:rPr>
          <w:lang w:val="zh-CN"/>
        </w:rPr>
        <w:br/>
      </w:r>
      <w:r w:rsidRPr="00BF42B7">
        <w:rPr>
          <w:lang w:val="zh-CN"/>
        </w:rPr>
        <w:t>以嗣后协定和嗣后惯例作为作准的解释资料</w:t>
      </w:r>
    </w:p>
    <w:p w:rsidR="008D7906" w:rsidRPr="00BF42B7" w:rsidRDefault="00626DA9" w:rsidP="008D7906">
      <w:pPr>
        <w:pStyle w:val="SingleTxtGC"/>
        <w:ind w:left="1565"/>
      </w:pPr>
      <w:r>
        <w:rPr>
          <w:rFonts w:hint="eastAsia"/>
          <w:lang w:val="zh-CN"/>
        </w:rPr>
        <w:tab/>
      </w:r>
      <w:r w:rsidR="008D7906" w:rsidRPr="00BF42B7">
        <w:rPr>
          <w:lang w:val="zh-CN"/>
        </w:rPr>
        <w:t>第三十一条第三款</w:t>
      </w:r>
      <w:r w:rsidR="008D7906" w:rsidRPr="00BF42B7">
        <w:rPr>
          <w:lang w:val="zh-CN"/>
        </w:rPr>
        <w:t>(a)</w:t>
      </w:r>
      <w:r w:rsidR="008D7906" w:rsidRPr="00BF42B7">
        <w:rPr>
          <w:lang w:val="zh-CN"/>
        </w:rPr>
        <w:t>和</w:t>
      </w:r>
      <w:r w:rsidR="008D7906" w:rsidRPr="00BF42B7">
        <w:rPr>
          <w:lang w:val="zh-CN"/>
        </w:rPr>
        <w:t>(b)</w:t>
      </w:r>
      <w:r w:rsidR="008D7906" w:rsidRPr="00BF42B7">
        <w:rPr>
          <w:lang w:val="zh-CN"/>
        </w:rPr>
        <w:t>项所称的嗣后协定和嗣后惯例是缔约方对条约含义理解的客观证据，因而是适用第三十一条所反映的条约解释通则时的作准的解释资料。</w:t>
      </w:r>
    </w:p>
    <w:p w:rsidR="008D7906" w:rsidRPr="00BF42B7" w:rsidRDefault="008D7906" w:rsidP="008D7906">
      <w:pPr>
        <w:pStyle w:val="H23GC"/>
        <w:ind w:left="1565"/>
        <w:rPr>
          <w:lang w:val="zh-CN"/>
        </w:rPr>
      </w:pPr>
      <w:r w:rsidRPr="00BF42B7">
        <w:rPr>
          <w:rFonts w:hint="eastAsia"/>
          <w:lang w:val="zh-CN"/>
        </w:rPr>
        <w:tab/>
      </w:r>
      <w:r w:rsidRPr="00BF42B7">
        <w:rPr>
          <w:rFonts w:hint="eastAsia"/>
          <w:lang w:val="zh-CN"/>
        </w:rPr>
        <w:tab/>
      </w:r>
      <w:r w:rsidRPr="00BF42B7">
        <w:rPr>
          <w:lang w:val="zh-CN"/>
        </w:rPr>
        <w:t>结论</w:t>
      </w:r>
      <w:r w:rsidRPr="00BF42B7">
        <w:rPr>
          <w:lang w:val="zh-CN"/>
        </w:rPr>
        <w:t>4</w:t>
      </w:r>
      <w:r w:rsidRPr="00BF42B7">
        <w:rPr>
          <w:lang w:val="zh-CN"/>
        </w:rPr>
        <w:br/>
      </w:r>
      <w:r w:rsidRPr="00BF42B7">
        <w:rPr>
          <w:lang w:val="zh-CN"/>
        </w:rPr>
        <w:t>嗣后协定和嗣后惯例的定义</w:t>
      </w:r>
    </w:p>
    <w:p w:rsidR="008D7906" w:rsidRPr="00BF42B7" w:rsidRDefault="008D7906" w:rsidP="008D7906">
      <w:pPr>
        <w:pStyle w:val="SingleTxtGC"/>
        <w:ind w:left="1565"/>
      </w:pPr>
      <w:r w:rsidRPr="00BF42B7">
        <w:rPr>
          <w:lang w:val="zh-CN"/>
        </w:rPr>
        <w:t xml:space="preserve">1.  </w:t>
      </w:r>
      <w:r w:rsidRPr="00BF42B7">
        <w:rPr>
          <w:rFonts w:hint="eastAsia"/>
          <w:lang w:val="zh-CN"/>
        </w:rPr>
        <w:t>“</w:t>
      </w:r>
      <w:r w:rsidRPr="00BF42B7">
        <w:rPr>
          <w:lang w:val="zh-CN"/>
        </w:rPr>
        <w:t>嗣后协定</w:t>
      </w:r>
      <w:r w:rsidRPr="00BF42B7">
        <w:rPr>
          <w:rFonts w:hint="eastAsia"/>
          <w:lang w:val="zh-CN"/>
        </w:rPr>
        <w:t>”</w:t>
      </w:r>
      <w:r w:rsidRPr="00BF42B7">
        <w:rPr>
          <w:lang w:val="zh-CN"/>
        </w:rPr>
        <w:t>作为第三十一条第三款</w:t>
      </w:r>
      <w:r w:rsidRPr="00BF42B7">
        <w:rPr>
          <w:lang w:val="zh-CN"/>
        </w:rPr>
        <w:t>(a)</w:t>
      </w:r>
      <w:r w:rsidRPr="00BF42B7">
        <w:rPr>
          <w:lang w:val="zh-CN"/>
        </w:rPr>
        <w:t>项之下作准的解释资料是指缔约方在条约缔结后达成的关于解释条约或适用条约规定的协定。</w:t>
      </w:r>
    </w:p>
    <w:p w:rsidR="008D7906" w:rsidRPr="00BF42B7" w:rsidRDefault="008D7906" w:rsidP="008D7906">
      <w:pPr>
        <w:pStyle w:val="SingleTxtGC"/>
        <w:ind w:left="1565"/>
        <w:rPr>
          <w:rFonts w:asciiTheme="majorBidi" w:hAnsiTheme="majorBidi" w:cstheme="majorBidi"/>
          <w:szCs w:val="21"/>
        </w:rPr>
      </w:pPr>
      <w:r w:rsidRPr="00BF42B7">
        <w:rPr>
          <w:rFonts w:asciiTheme="majorBidi" w:hAnsiTheme="majorBidi" w:cstheme="majorBidi"/>
          <w:szCs w:val="21"/>
          <w:lang w:val="zh-CN"/>
        </w:rPr>
        <w:t xml:space="preserve">2.  </w:t>
      </w:r>
      <w:r w:rsidRPr="00BF42B7">
        <w:rPr>
          <w:rFonts w:asciiTheme="majorBidi" w:hAnsiTheme="majorBidi" w:cstheme="majorBidi" w:hint="eastAsia"/>
          <w:szCs w:val="21"/>
          <w:lang w:val="zh-CN"/>
        </w:rPr>
        <w:t>“</w:t>
      </w:r>
      <w:r w:rsidRPr="00BF42B7">
        <w:rPr>
          <w:rFonts w:asciiTheme="majorBidi" w:hAnsiTheme="majorBidi" w:cstheme="majorBidi"/>
          <w:szCs w:val="21"/>
          <w:lang w:val="zh-CN"/>
        </w:rPr>
        <w:t>嗣后惯例</w:t>
      </w:r>
      <w:r w:rsidRPr="00BF42B7">
        <w:rPr>
          <w:rFonts w:asciiTheme="majorBidi" w:hAnsiTheme="majorBidi" w:cstheme="majorBidi" w:hint="eastAsia"/>
          <w:szCs w:val="21"/>
          <w:lang w:val="zh-CN"/>
        </w:rPr>
        <w:t>”</w:t>
      </w:r>
      <w:r w:rsidRPr="00BF42B7">
        <w:rPr>
          <w:rFonts w:asciiTheme="majorBidi" w:hAnsiTheme="majorBidi" w:cstheme="majorBidi"/>
          <w:szCs w:val="21"/>
          <w:lang w:val="zh-CN"/>
        </w:rPr>
        <w:t>作为第三十一条第三款</w:t>
      </w:r>
      <w:r w:rsidRPr="00BF42B7">
        <w:rPr>
          <w:rFonts w:asciiTheme="majorBidi" w:hAnsiTheme="majorBidi" w:cstheme="majorBidi"/>
          <w:szCs w:val="21"/>
          <w:lang w:val="zh-CN"/>
        </w:rPr>
        <w:t>(b)</w:t>
      </w:r>
      <w:r w:rsidRPr="00BF42B7">
        <w:rPr>
          <w:rFonts w:asciiTheme="majorBidi" w:hAnsiTheme="majorBidi" w:cstheme="majorBidi"/>
          <w:szCs w:val="21"/>
          <w:lang w:val="zh-CN"/>
        </w:rPr>
        <w:t>项之下作准的解释资料是指条约缔结后确定各缔约方对条约的解释意思一致的适用条约的行为。</w:t>
      </w:r>
    </w:p>
    <w:p w:rsidR="008D7906" w:rsidRPr="00BF42B7" w:rsidRDefault="008D7906" w:rsidP="008D7906">
      <w:pPr>
        <w:pStyle w:val="SingleTxtGC"/>
        <w:ind w:left="1565"/>
        <w:rPr>
          <w:rFonts w:asciiTheme="majorBidi" w:hAnsiTheme="majorBidi" w:cstheme="majorBidi"/>
          <w:szCs w:val="21"/>
        </w:rPr>
      </w:pPr>
      <w:r w:rsidRPr="00BF42B7">
        <w:rPr>
          <w:rFonts w:asciiTheme="majorBidi" w:hAnsiTheme="majorBidi" w:cstheme="majorBidi"/>
          <w:szCs w:val="21"/>
          <w:lang w:val="zh-CN"/>
        </w:rPr>
        <w:t xml:space="preserve">3.  </w:t>
      </w:r>
      <w:r w:rsidRPr="00BF42B7">
        <w:rPr>
          <w:rFonts w:asciiTheme="majorBidi" w:hAnsiTheme="majorBidi" w:cstheme="majorBidi"/>
          <w:szCs w:val="21"/>
          <w:lang w:val="zh-CN"/>
        </w:rPr>
        <w:t>其他</w:t>
      </w:r>
      <w:r w:rsidRPr="00BF42B7">
        <w:rPr>
          <w:rFonts w:asciiTheme="majorBidi" w:hAnsiTheme="majorBidi" w:cstheme="majorBidi" w:hint="eastAsia"/>
          <w:szCs w:val="21"/>
          <w:lang w:val="zh-CN"/>
        </w:rPr>
        <w:t>“</w:t>
      </w:r>
      <w:r w:rsidRPr="00BF42B7">
        <w:rPr>
          <w:rFonts w:asciiTheme="majorBidi" w:hAnsiTheme="majorBidi" w:cstheme="majorBidi"/>
          <w:szCs w:val="21"/>
          <w:lang w:val="zh-CN"/>
        </w:rPr>
        <w:t>嗣后惯例</w:t>
      </w:r>
      <w:r w:rsidRPr="00BF42B7">
        <w:rPr>
          <w:rFonts w:asciiTheme="majorBidi" w:hAnsiTheme="majorBidi" w:cstheme="majorBidi" w:hint="eastAsia"/>
          <w:szCs w:val="21"/>
          <w:lang w:val="zh-CN"/>
        </w:rPr>
        <w:t>”</w:t>
      </w:r>
      <w:r w:rsidRPr="00BF42B7">
        <w:rPr>
          <w:rFonts w:asciiTheme="majorBidi" w:hAnsiTheme="majorBidi" w:cstheme="majorBidi"/>
          <w:szCs w:val="21"/>
          <w:lang w:val="zh-CN"/>
        </w:rPr>
        <w:t>作为第三十二条之下的补充的解释资料是指条约缔结后一个或多个缔约方适用条约的行为。</w:t>
      </w:r>
    </w:p>
    <w:p w:rsidR="008D7906" w:rsidRPr="00BF42B7" w:rsidRDefault="008D7906" w:rsidP="008D7906">
      <w:pPr>
        <w:pStyle w:val="H23GC"/>
        <w:ind w:left="1565"/>
        <w:rPr>
          <w:lang w:val="zh-CN"/>
        </w:rPr>
      </w:pPr>
      <w:r w:rsidRPr="00BF42B7">
        <w:rPr>
          <w:rFonts w:hint="eastAsia"/>
          <w:lang w:val="zh-CN"/>
        </w:rPr>
        <w:tab/>
      </w:r>
      <w:r w:rsidRPr="00BF42B7">
        <w:rPr>
          <w:rFonts w:hint="eastAsia"/>
          <w:lang w:val="zh-CN"/>
        </w:rPr>
        <w:tab/>
      </w:r>
      <w:r w:rsidRPr="00BF42B7">
        <w:rPr>
          <w:lang w:val="zh-CN"/>
        </w:rPr>
        <w:t>结论</w:t>
      </w:r>
      <w:r w:rsidRPr="00BF42B7">
        <w:rPr>
          <w:lang w:val="zh-CN"/>
        </w:rPr>
        <w:t>5</w:t>
      </w:r>
      <w:r w:rsidRPr="00BF42B7">
        <w:rPr>
          <w:lang w:val="zh-CN"/>
        </w:rPr>
        <w:br/>
      </w:r>
      <w:r w:rsidRPr="00BF42B7">
        <w:rPr>
          <w:lang w:val="zh-CN"/>
        </w:rPr>
        <w:t>嗣后惯例的归属</w:t>
      </w:r>
    </w:p>
    <w:p w:rsidR="008D7906" w:rsidRPr="00BF42B7" w:rsidRDefault="008D7906" w:rsidP="008D7906">
      <w:pPr>
        <w:pStyle w:val="SingleTxtGC"/>
        <w:ind w:left="1565"/>
      </w:pPr>
      <w:r w:rsidRPr="00BF42B7">
        <w:rPr>
          <w:lang w:val="zh-CN"/>
        </w:rPr>
        <w:t xml:space="preserve">1.  </w:t>
      </w:r>
      <w:r w:rsidRPr="00BF42B7">
        <w:rPr>
          <w:lang w:val="zh-CN"/>
        </w:rPr>
        <w:t>第三十一和第三十二条所称的嗣后惯例可包括依国际法可归属于条约某一缔约方的任何适用条约的行为。</w:t>
      </w:r>
    </w:p>
    <w:p w:rsidR="008D7906" w:rsidRPr="00BF42B7" w:rsidRDefault="008D7906" w:rsidP="008D7906">
      <w:pPr>
        <w:pStyle w:val="SingleTxtGC"/>
        <w:ind w:left="1565"/>
        <w:rPr>
          <w:spacing w:val="-2"/>
        </w:rPr>
      </w:pPr>
      <w:r w:rsidRPr="00BF42B7">
        <w:rPr>
          <w:spacing w:val="-2"/>
          <w:lang w:val="zh-CN"/>
        </w:rPr>
        <w:t xml:space="preserve">2.  </w:t>
      </w:r>
      <w:r w:rsidRPr="00BF42B7">
        <w:rPr>
          <w:spacing w:val="-2"/>
          <w:lang w:val="zh-CN"/>
        </w:rPr>
        <w:t>其他行为，包括非国家行为者的行为，不构成第三十一和第三十二条所称的嗣后惯例。然而此种行为在评估条约缔约方的嗣后惯例时可能具有意义。</w:t>
      </w:r>
    </w:p>
    <w:p w:rsidR="008D7906" w:rsidRPr="00BF42B7" w:rsidRDefault="008D7906" w:rsidP="00EE2BC7">
      <w:pPr>
        <w:pStyle w:val="H23GC"/>
        <w:ind w:left="1554"/>
        <w:rPr>
          <w:lang w:val="zh-CN"/>
        </w:rPr>
      </w:pPr>
      <w:r w:rsidRPr="00BF42B7">
        <w:rPr>
          <w:rFonts w:hint="eastAsia"/>
          <w:lang w:val="zh-CN"/>
        </w:rPr>
        <w:tab/>
      </w:r>
      <w:r w:rsidRPr="00BF42B7">
        <w:rPr>
          <w:rFonts w:hint="eastAsia"/>
          <w:lang w:val="zh-CN"/>
        </w:rPr>
        <w:tab/>
      </w:r>
      <w:r w:rsidRPr="00BF42B7">
        <w:rPr>
          <w:lang w:val="zh-CN"/>
        </w:rPr>
        <w:t>第三部分</w:t>
      </w:r>
      <w:r w:rsidRPr="00BF42B7">
        <w:rPr>
          <w:lang w:val="zh-CN"/>
        </w:rPr>
        <w:br/>
      </w:r>
      <w:r w:rsidRPr="00BF42B7">
        <w:rPr>
          <w:lang w:val="zh-CN"/>
        </w:rPr>
        <w:t>一般方面</w:t>
      </w:r>
    </w:p>
    <w:p w:rsidR="008D7906" w:rsidRPr="00BF42B7" w:rsidRDefault="008D7906" w:rsidP="008D7906">
      <w:pPr>
        <w:pStyle w:val="H23GC"/>
        <w:ind w:left="1565"/>
        <w:rPr>
          <w:lang w:val="zh-CN"/>
        </w:rPr>
      </w:pPr>
      <w:r w:rsidRPr="00BF42B7">
        <w:rPr>
          <w:rFonts w:hint="eastAsia"/>
          <w:lang w:val="zh-CN"/>
        </w:rPr>
        <w:tab/>
      </w:r>
      <w:r w:rsidRPr="00BF42B7">
        <w:rPr>
          <w:rFonts w:hint="eastAsia"/>
          <w:lang w:val="zh-CN"/>
        </w:rPr>
        <w:tab/>
      </w:r>
      <w:r w:rsidRPr="00BF42B7">
        <w:rPr>
          <w:lang w:val="zh-CN"/>
        </w:rPr>
        <w:t>结论</w:t>
      </w:r>
      <w:r w:rsidRPr="00BF42B7">
        <w:rPr>
          <w:lang w:val="zh-CN"/>
        </w:rPr>
        <w:t>6</w:t>
      </w:r>
      <w:r w:rsidRPr="00BF42B7">
        <w:rPr>
          <w:lang w:val="zh-CN"/>
        </w:rPr>
        <w:br/>
      </w:r>
      <w:r w:rsidRPr="00BF42B7">
        <w:rPr>
          <w:lang w:val="zh-CN"/>
        </w:rPr>
        <w:t>嗣后协定和嗣后惯例的识别</w:t>
      </w:r>
    </w:p>
    <w:p w:rsidR="008D7906" w:rsidRPr="00BF42B7" w:rsidRDefault="008D7906" w:rsidP="008D7906">
      <w:pPr>
        <w:pStyle w:val="SingleTxtGC"/>
        <w:ind w:left="1565"/>
      </w:pPr>
      <w:r w:rsidRPr="00BF42B7">
        <w:rPr>
          <w:lang w:val="zh-CN"/>
        </w:rPr>
        <w:t xml:space="preserve">1.  </w:t>
      </w:r>
      <w:r w:rsidRPr="00BF42B7">
        <w:rPr>
          <w:lang w:val="zh-CN"/>
        </w:rPr>
        <w:t>为识别第三十一条第三款所称的嗣后协定和嗣后惯例，尤其须确定缔约方是否通过协定或惯例就条约的解释采取了立场。通常，如果缔约方只是商定暂不适用条约，或商定确立一种实际安排</w:t>
      </w:r>
      <w:r w:rsidRPr="00BF42B7">
        <w:rPr>
          <w:lang w:val="zh-CN"/>
        </w:rPr>
        <w:t>(</w:t>
      </w:r>
      <w:r w:rsidRPr="004704AB">
        <w:rPr>
          <w:rFonts w:eastAsia="楷体"/>
          <w:lang w:val="zh-CN"/>
        </w:rPr>
        <w:t>临时协议</w:t>
      </w:r>
      <w:r w:rsidRPr="00BF42B7">
        <w:rPr>
          <w:lang w:val="zh-CN"/>
        </w:rPr>
        <w:t>)</w:t>
      </w:r>
      <w:r w:rsidRPr="00BF42B7">
        <w:rPr>
          <w:lang w:val="zh-CN"/>
        </w:rPr>
        <w:t>，便不属于这种情况。</w:t>
      </w:r>
    </w:p>
    <w:p w:rsidR="008D7906" w:rsidRPr="00BF42B7" w:rsidRDefault="008D7906" w:rsidP="008D7906">
      <w:pPr>
        <w:pStyle w:val="SingleTxtGC"/>
        <w:ind w:left="1565"/>
      </w:pPr>
      <w:r w:rsidRPr="00BF42B7">
        <w:rPr>
          <w:lang w:val="zh-CN"/>
        </w:rPr>
        <w:t xml:space="preserve">2.  </w:t>
      </w:r>
      <w:r w:rsidRPr="00BF42B7">
        <w:rPr>
          <w:lang w:val="zh-CN"/>
        </w:rPr>
        <w:t>第三十一条第三款所称的嗣后协定和嗣后惯例可能具有各种形式。</w:t>
      </w:r>
    </w:p>
    <w:p w:rsidR="008D7906" w:rsidRPr="00BF42B7" w:rsidRDefault="008D7906" w:rsidP="008D7906">
      <w:pPr>
        <w:pStyle w:val="SingleTxtGC"/>
        <w:ind w:left="1565"/>
        <w:rPr>
          <w:lang w:val="zh-CN"/>
        </w:rPr>
      </w:pPr>
      <w:r w:rsidRPr="00BF42B7">
        <w:rPr>
          <w:lang w:val="zh-CN"/>
        </w:rPr>
        <w:t xml:space="preserve">3.  </w:t>
      </w:r>
      <w:r w:rsidRPr="00BF42B7">
        <w:rPr>
          <w:lang w:val="zh-CN"/>
        </w:rPr>
        <w:t>在根据第三十二条识别嗣后惯例时，尤其须确定一个或多个缔约方的行为是否处在适用条约过程之中。</w:t>
      </w:r>
    </w:p>
    <w:p w:rsidR="008D7906" w:rsidRPr="00BF42B7" w:rsidRDefault="008D7906" w:rsidP="008D7906">
      <w:pPr>
        <w:pStyle w:val="H23GC"/>
        <w:ind w:left="1565"/>
        <w:rPr>
          <w:lang w:val="zh-CN"/>
        </w:rPr>
      </w:pPr>
      <w:r w:rsidRPr="00BF42B7">
        <w:rPr>
          <w:rFonts w:hint="eastAsia"/>
          <w:lang w:val="zh-CN"/>
        </w:rPr>
        <w:tab/>
      </w:r>
      <w:r w:rsidRPr="00BF42B7">
        <w:rPr>
          <w:rFonts w:hint="eastAsia"/>
          <w:lang w:val="zh-CN"/>
        </w:rPr>
        <w:tab/>
      </w:r>
      <w:r w:rsidRPr="00BF42B7">
        <w:rPr>
          <w:lang w:val="zh-CN"/>
        </w:rPr>
        <w:t>结论</w:t>
      </w:r>
      <w:r w:rsidRPr="00BF42B7">
        <w:rPr>
          <w:lang w:val="zh-CN"/>
        </w:rPr>
        <w:t>7</w:t>
      </w:r>
      <w:r w:rsidRPr="00BF42B7">
        <w:rPr>
          <w:lang w:val="zh-CN"/>
        </w:rPr>
        <w:br/>
      </w:r>
      <w:r w:rsidRPr="00BF42B7">
        <w:rPr>
          <w:lang w:val="zh-CN"/>
        </w:rPr>
        <w:t>嗣后协定和嗣后惯例可能对解释产生的影响</w:t>
      </w:r>
    </w:p>
    <w:p w:rsidR="008D7906" w:rsidRPr="00BF42B7" w:rsidRDefault="008D7906" w:rsidP="008D7906">
      <w:pPr>
        <w:pStyle w:val="SingleTxtGC"/>
        <w:ind w:left="1565"/>
      </w:pPr>
      <w:r w:rsidRPr="00BF42B7">
        <w:rPr>
          <w:lang w:val="zh-CN"/>
        </w:rPr>
        <w:t xml:space="preserve">1.  </w:t>
      </w:r>
      <w:r w:rsidRPr="00BF42B7">
        <w:rPr>
          <w:lang w:val="zh-CN"/>
        </w:rPr>
        <w:t>第三十一条第三款所称的嗣后协定和嗣后惯例经与其他解释资料互动，有助于澄清条约的含义。这可能导致可能的解释范围、包括条约给予缔约方行使自由裁量权的任何范围变窄、变宽或受到另外的影响。</w:t>
      </w:r>
    </w:p>
    <w:p w:rsidR="008D7906" w:rsidRPr="00BF42B7" w:rsidRDefault="008D7906" w:rsidP="008D7906">
      <w:pPr>
        <w:pStyle w:val="SingleTxtGC"/>
        <w:ind w:left="1565"/>
      </w:pPr>
      <w:r w:rsidRPr="00BF42B7">
        <w:rPr>
          <w:lang w:val="zh-CN"/>
        </w:rPr>
        <w:t xml:space="preserve">2.  </w:t>
      </w:r>
      <w:r w:rsidRPr="00BF42B7">
        <w:rPr>
          <w:lang w:val="zh-CN"/>
        </w:rPr>
        <w:t>根据第三十二条确定的嗣后惯例也能有助于澄清条约的含义。</w:t>
      </w:r>
    </w:p>
    <w:p w:rsidR="008D7906" w:rsidRPr="00BF42B7" w:rsidRDefault="008D7906" w:rsidP="008D7906">
      <w:pPr>
        <w:pStyle w:val="SingleTxtGC"/>
        <w:ind w:left="1565"/>
      </w:pPr>
      <w:r w:rsidRPr="00BF42B7">
        <w:rPr>
          <w:lang w:val="zh-CN"/>
        </w:rPr>
        <w:t xml:space="preserve">3.  </w:t>
      </w:r>
      <w:r w:rsidRPr="00BF42B7">
        <w:rPr>
          <w:lang w:val="zh-CN"/>
        </w:rPr>
        <w:t>可以推定，条约缔约方嗣后达成协定或在适用条约方面采用一种惯例，其用意是为了解释条约，而不是修正或修改条约。缔约方通过嗣后惯例修正或修改条约的可能性尚未得到普遍认可。本条结论草案不影响《维也纳条约法公约》和习惯国际法关于修正或修改条约的规则。</w:t>
      </w:r>
    </w:p>
    <w:p w:rsidR="008D7906" w:rsidRPr="00BF42B7" w:rsidRDefault="008D7906" w:rsidP="008D7906">
      <w:pPr>
        <w:pStyle w:val="H23GC"/>
        <w:ind w:left="1565"/>
        <w:rPr>
          <w:b/>
          <w:bCs/>
          <w:iCs/>
        </w:rPr>
      </w:pPr>
      <w:r w:rsidRPr="00BF42B7">
        <w:rPr>
          <w:rFonts w:hint="eastAsia"/>
          <w:lang w:val="zh-CN"/>
        </w:rPr>
        <w:tab/>
      </w:r>
      <w:r w:rsidRPr="00BF42B7">
        <w:rPr>
          <w:rFonts w:hint="eastAsia"/>
          <w:lang w:val="zh-CN"/>
        </w:rPr>
        <w:tab/>
      </w:r>
      <w:r w:rsidRPr="00BF42B7">
        <w:rPr>
          <w:lang w:val="zh-CN"/>
        </w:rPr>
        <w:t>结论</w:t>
      </w:r>
      <w:r w:rsidRPr="00BF42B7">
        <w:rPr>
          <w:lang w:val="zh-CN"/>
        </w:rPr>
        <w:t>8[3]</w:t>
      </w:r>
      <w:r w:rsidRPr="00BF42B7">
        <w:rPr>
          <w:lang w:val="zh-CN"/>
        </w:rPr>
        <w:br/>
      </w:r>
      <w:r w:rsidRPr="00BF42B7">
        <w:rPr>
          <w:lang w:val="zh-CN"/>
        </w:rPr>
        <w:t>能够随时间演变的条约用语的解释</w:t>
      </w:r>
    </w:p>
    <w:p w:rsidR="008D7906" w:rsidRPr="00BF42B7" w:rsidRDefault="00626DA9" w:rsidP="008D7906">
      <w:pPr>
        <w:pStyle w:val="SingleTxtGC"/>
        <w:ind w:left="1565"/>
      </w:pPr>
      <w:r>
        <w:rPr>
          <w:rFonts w:hint="eastAsia"/>
          <w:lang w:val="zh-CN"/>
        </w:rPr>
        <w:tab/>
      </w:r>
      <w:r w:rsidR="008D7906" w:rsidRPr="00BF42B7">
        <w:rPr>
          <w:lang w:val="zh-CN"/>
        </w:rPr>
        <w:t>第三十一和第三十二条所称的嗣后协定和嗣后惯例可协助确定缔约方在缔结条约之时的推定意图是不是赋予用语以能够随时间演变的含义。</w:t>
      </w:r>
    </w:p>
    <w:p w:rsidR="008D7906" w:rsidRPr="00BF42B7" w:rsidRDefault="008D7906" w:rsidP="008D7906">
      <w:pPr>
        <w:pStyle w:val="H23GC"/>
        <w:ind w:left="1565"/>
        <w:rPr>
          <w:lang w:val="zh-CN"/>
        </w:rPr>
      </w:pPr>
      <w:r w:rsidRPr="00BF42B7">
        <w:rPr>
          <w:rFonts w:hint="eastAsia"/>
          <w:lang w:val="zh-CN"/>
        </w:rPr>
        <w:tab/>
      </w:r>
      <w:r w:rsidRPr="00BF42B7">
        <w:rPr>
          <w:rFonts w:hint="eastAsia"/>
          <w:lang w:val="zh-CN"/>
        </w:rPr>
        <w:tab/>
      </w:r>
      <w:r w:rsidRPr="00BF42B7">
        <w:rPr>
          <w:lang w:val="zh-CN"/>
        </w:rPr>
        <w:t>结论</w:t>
      </w:r>
      <w:r w:rsidRPr="00BF42B7">
        <w:rPr>
          <w:lang w:val="zh-CN"/>
        </w:rPr>
        <w:t>9[8]</w:t>
      </w:r>
      <w:r w:rsidRPr="00BF42B7">
        <w:rPr>
          <w:lang w:val="zh-CN"/>
        </w:rPr>
        <w:br/>
      </w:r>
      <w:r w:rsidRPr="00BF42B7">
        <w:rPr>
          <w:lang w:val="zh-CN"/>
        </w:rPr>
        <w:t>嗣后协定和嗣后惯例作为解释资料的权重</w:t>
      </w:r>
    </w:p>
    <w:p w:rsidR="008D7906" w:rsidRPr="00BF42B7" w:rsidRDefault="008D7906" w:rsidP="008D7906">
      <w:pPr>
        <w:pStyle w:val="SingleTxtGC"/>
        <w:ind w:left="1565"/>
      </w:pPr>
      <w:r w:rsidRPr="00BF42B7">
        <w:rPr>
          <w:lang w:val="zh-CN"/>
        </w:rPr>
        <w:t xml:space="preserve">1.  </w:t>
      </w:r>
      <w:r w:rsidRPr="00BF42B7">
        <w:rPr>
          <w:lang w:val="zh-CN"/>
        </w:rPr>
        <w:t>嗣后协定或嗣后惯例作为第三十一条第三款所称的解释资料的权重，除其他外，取决于其清晰性和特定性。</w:t>
      </w:r>
    </w:p>
    <w:p w:rsidR="008D7906" w:rsidRPr="00BF42B7" w:rsidRDefault="008D7906" w:rsidP="008D7906">
      <w:pPr>
        <w:pStyle w:val="SingleTxtGC"/>
        <w:ind w:left="1565"/>
      </w:pPr>
      <w:r w:rsidRPr="00BF42B7">
        <w:rPr>
          <w:lang w:val="zh-CN"/>
        </w:rPr>
        <w:t xml:space="preserve">2.  </w:t>
      </w:r>
      <w:r w:rsidRPr="00BF42B7">
        <w:rPr>
          <w:lang w:val="zh-CN"/>
        </w:rPr>
        <w:t>第三十一条第三款</w:t>
      </w:r>
      <w:r w:rsidRPr="00BF42B7">
        <w:rPr>
          <w:lang w:val="zh-CN"/>
        </w:rPr>
        <w:t>(b)</w:t>
      </w:r>
      <w:r w:rsidRPr="00BF42B7">
        <w:rPr>
          <w:lang w:val="zh-CN"/>
        </w:rPr>
        <w:t>项所称的嗣后惯例的权重还取决于该惯例是否以及如何重复出现。</w:t>
      </w:r>
    </w:p>
    <w:p w:rsidR="008D7906" w:rsidRPr="00BF42B7" w:rsidRDefault="008D7906" w:rsidP="008D7906">
      <w:pPr>
        <w:pStyle w:val="SingleTxtGC"/>
        <w:ind w:left="1565"/>
      </w:pPr>
      <w:r w:rsidRPr="00BF42B7">
        <w:rPr>
          <w:lang w:val="zh-CN"/>
        </w:rPr>
        <w:t xml:space="preserve">3.  </w:t>
      </w:r>
      <w:r w:rsidRPr="00BF42B7">
        <w:rPr>
          <w:lang w:val="zh-CN"/>
        </w:rPr>
        <w:t>嗣后惯例作为第三十二条所称的补充的解释资料的权重可取决于第</w:t>
      </w:r>
      <w:r w:rsidRPr="00BF42B7">
        <w:rPr>
          <w:lang w:val="zh-CN"/>
        </w:rPr>
        <w:t>1</w:t>
      </w:r>
      <w:r w:rsidRPr="00BF42B7">
        <w:rPr>
          <w:lang w:val="zh-CN"/>
        </w:rPr>
        <w:t>和第</w:t>
      </w:r>
      <w:r w:rsidRPr="00BF42B7">
        <w:rPr>
          <w:lang w:val="zh-CN"/>
        </w:rPr>
        <w:t>2</w:t>
      </w:r>
      <w:r w:rsidRPr="00BF42B7">
        <w:rPr>
          <w:lang w:val="zh-CN"/>
        </w:rPr>
        <w:t>段所述标准。</w:t>
      </w:r>
    </w:p>
    <w:p w:rsidR="008D7906" w:rsidRPr="00BF42B7" w:rsidRDefault="008D7906" w:rsidP="008D7906">
      <w:pPr>
        <w:pStyle w:val="H23GC"/>
        <w:ind w:left="1565"/>
        <w:rPr>
          <w:lang w:val="zh-CN"/>
        </w:rPr>
      </w:pPr>
      <w:r w:rsidRPr="00BF42B7">
        <w:rPr>
          <w:rFonts w:hint="eastAsia"/>
          <w:lang w:val="zh-CN"/>
        </w:rPr>
        <w:tab/>
      </w:r>
      <w:r w:rsidRPr="00BF42B7">
        <w:rPr>
          <w:rFonts w:hint="eastAsia"/>
          <w:lang w:val="zh-CN"/>
        </w:rPr>
        <w:tab/>
      </w:r>
      <w:r w:rsidRPr="00BF42B7">
        <w:rPr>
          <w:lang w:val="zh-CN"/>
        </w:rPr>
        <w:t>结论</w:t>
      </w:r>
      <w:r w:rsidRPr="00BF42B7">
        <w:rPr>
          <w:lang w:val="zh-CN"/>
        </w:rPr>
        <w:t>10[9]</w:t>
      </w:r>
      <w:r w:rsidRPr="00BF42B7">
        <w:rPr>
          <w:lang w:val="zh-CN"/>
        </w:rPr>
        <w:br/>
      </w:r>
      <w:r w:rsidRPr="00BF42B7">
        <w:rPr>
          <w:lang w:val="zh-CN"/>
        </w:rPr>
        <w:t>与条约解释有关的缔约方协定</w:t>
      </w:r>
    </w:p>
    <w:p w:rsidR="008D7906" w:rsidRPr="00BF42B7" w:rsidRDefault="008D7906" w:rsidP="008D7906">
      <w:pPr>
        <w:pStyle w:val="SingleTxtGC"/>
        <w:ind w:left="1565"/>
      </w:pPr>
      <w:r w:rsidRPr="00BF42B7">
        <w:rPr>
          <w:lang w:val="zh-CN"/>
        </w:rPr>
        <w:t xml:space="preserve">1.  </w:t>
      </w:r>
      <w:r w:rsidRPr="00BF42B7">
        <w:rPr>
          <w:lang w:val="zh-CN"/>
        </w:rPr>
        <w:t>第三十一条第三款</w:t>
      </w:r>
      <w:r w:rsidRPr="00BF42B7">
        <w:rPr>
          <w:lang w:val="zh-CN"/>
        </w:rPr>
        <w:t>(a)</w:t>
      </w:r>
      <w:r w:rsidRPr="00BF42B7">
        <w:rPr>
          <w:lang w:val="zh-CN"/>
        </w:rPr>
        <w:t>和</w:t>
      </w:r>
      <w:r w:rsidRPr="00BF42B7">
        <w:rPr>
          <w:lang w:val="zh-CN"/>
        </w:rPr>
        <w:t>(b)</w:t>
      </w:r>
      <w:r w:rsidRPr="00BF42B7">
        <w:rPr>
          <w:lang w:val="zh-CN"/>
        </w:rPr>
        <w:t>项所称的协定必须是各缔约方知悉并接受的关于条约解释的共同理解。这种协定虽然应予以考虑，但不必具有法律约束力。</w:t>
      </w:r>
    </w:p>
    <w:p w:rsidR="008D7906" w:rsidRPr="00BF42B7" w:rsidRDefault="008D7906" w:rsidP="008D7906">
      <w:pPr>
        <w:pStyle w:val="SingleTxtGC"/>
        <w:ind w:left="1565"/>
        <w:rPr>
          <w:lang w:val="zh-CN"/>
        </w:rPr>
      </w:pPr>
      <w:r w:rsidRPr="00BF42B7">
        <w:rPr>
          <w:lang w:val="zh-CN"/>
        </w:rPr>
        <w:t xml:space="preserve">2.  </w:t>
      </w:r>
      <w:r w:rsidRPr="00BF42B7">
        <w:rPr>
          <w:lang w:val="zh-CN"/>
        </w:rPr>
        <w:t>为确立第三十一条第三款</w:t>
      </w:r>
      <w:r w:rsidRPr="00BF42B7">
        <w:rPr>
          <w:lang w:val="zh-CN"/>
        </w:rPr>
        <w:t>(b)</w:t>
      </w:r>
      <w:r w:rsidRPr="00BF42B7">
        <w:rPr>
          <w:lang w:val="zh-CN"/>
        </w:rPr>
        <w:t>项所称的协定而必须积极适用嗣后惯例的缔约方数目可能不尽相同。在有关情况要求作出某种反应时，一个或多个缔约方的沉默可构成对嗣后惯例的接受。</w:t>
      </w:r>
    </w:p>
    <w:p w:rsidR="008D7906" w:rsidRPr="00BF42B7" w:rsidRDefault="008D7906" w:rsidP="00EE2BC7">
      <w:pPr>
        <w:pStyle w:val="H23GC"/>
        <w:ind w:left="1554"/>
        <w:rPr>
          <w:lang w:val="zh-CN"/>
        </w:rPr>
      </w:pPr>
      <w:r w:rsidRPr="00BF42B7">
        <w:rPr>
          <w:rFonts w:hint="eastAsia"/>
          <w:lang w:val="zh-CN"/>
        </w:rPr>
        <w:tab/>
      </w:r>
      <w:r w:rsidRPr="00BF42B7">
        <w:rPr>
          <w:rFonts w:hint="eastAsia"/>
          <w:lang w:val="zh-CN"/>
        </w:rPr>
        <w:tab/>
      </w:r>
      <w:r w:rsidRPr="00BF42B7">
        <w:rPr>
          <w:lang w:val="zh-CN"/>
        </w:rPr>
        <w:t>第四部分</w:t>
      </w:r>
      <w:r w:rsidRPr="00BF42B7">
        <w:rPr>
          <w:lang w:val="zh-CN"/>
        </w:rPr>
        <w:br/>
      </w:r>
      <w:r w:rsidRPr="00BF42B7">
        <w:rPr>
          <w:lang w:val="zh-CN"/>
        </w:rPr>
        <w:t>具体方面</w:t>
      </w:r>
    </w:p>
    <w:p w:rsidR="008D7906" w:rsidRPr="00BF42B7" w:rsidRDefault="008D7906" w:rsidP="008D7906">
      <w:pPr>
        <w:pStyle w:val="H23GC"/>
        <w:ind w:left="1565"/>
        <w:rPr>
          <w:lang w:val="zh-CN"/>
        </w:rPr>
      </w:pPr>
      <w:r w:rsidRPr="00BF42B7">
        <w:rPr>
          <w:rFonts w:hint="eastAsia"/>
          <w:lang w:val="zh-CN"/>
        </w:rPr>
        <w:tab/>
      </w:r>
      <w:r w:rsidRPr="00BF42B7">
        <w:rPr>
          <w:rFonts w:hint="eastAsia"/>
          <w:lang w:val="zh-CN"/>
        </w:rPr>
        <w:tab/>
      </w:r>
      <w:r w:rsidRPr="00BF42B7">
        <w:rPr>
          <w:lang w:val="zh-CN"/>
        </w:rPr>
        <w:t>结论</w:t>
      </w:r>
      <w:r w:rsidRPr="00BF42B7">
        <w:rPr>
          <w:lang w:val="zh-CN"/>
        </w:rPr>
        <w:t>11[10]</w:t>
      </w:r>
      <w:r w:rsidRPr="00BF42B7">
        <w:rPr>
          <w:lang w:val="zh-CN"/>
        </w:rPr>
        <w:br/>
      </w:r>
      <w:r w:rsidRPr="00BF42B7">
        <w:rPr>
          <w:lang w:val="zh-CN"/>
        </w:rPr>
        <w:t>在缔约国大会框架内通过的决定</w:t>
      </w:r>
    </w:p>
    <w:p w:rsidR="008D7906" w:rsidRPr="00BF42B7" w:rsidRDefault="008D7906" w:rsidP="008D7906">
      <w:pPr>
        <w:pStyle w:val="SingleTxtGC"/>
        <w:ind w:left="1565"/>
      </w:pPr>
      <w:r w:rsidRPr="00BF42B7">
        <w:rPr>
          <w:lang w:val="zh-CN"/>
        </w:rPr>
        <w:t xml:space="preserve">1.  </w:t>
      </w:r>
      <w:r w:rsidRPr="00BF42B7">
        <w:rPr>
          <w:lang w:val="zh-CN"/>
        </w:rPr>
        <w:t>为本结论草案的目的，缔约国大会指缔约国根据条约为了审查或执行条约而举行的会议，但缔约国作为国际组织机关成员行事的情况不在此列。</w:t>
      </w:r>
    </w:p>
    <w:p w:rsidR="008D7906" w:rsidRPr="00BF42B7" w:rsidRDefault="008D7906" w:rsidP="008D7906">
      <w:pPr>
        <w:pStyle w:val="SingleTxtGC"/>
        <w:ind w:left="1565"/>
      </w:pPr>
      <w:r w:rsidRPr="00BF42B7">
        <w:rPr>
          <w:lang w:val="zh-CN"/>
        </w:rPr>
        <w:t xml:space="preserve">2.  </w:t>
      </w:r>
      <w:r w:rsidRPr="00BF42B7">
        <w:rPr>
          <w:lang w:val="zh-CN"/>
        </w:rPr>
        <w:t>在缔约国大会框架内通过的决定所具有的法律效力主要取决于条约和可适用的议事规则。根据情况，这种决定可明确或间接地体现第三十一条第三款</w:t>
      </w:r>
      <w:r w:rsidRPr="00BF42B7">
        <w:rPr>
          <w:lang w:val="zh-CN"/>
        </w:rPr>
        <w:t>(a)</w:t>
      </w:r>
      <w:r w:rsidRPr="00BF42B7">
        <w:rPr>
          <w:lang w:val="zh-CN"/>
        </w:rPr>
        <w:t>项所称的嗣后协定，或产生第三十一条第三款</w:t>
      </w:r>
      <w:r w:rsidRPr="00BF42B7">
        <w:rPr>
          <w:lang w:val="zh-CN"/>
        </w:rPr>
        <w:t>(b)</w:t>
      </w:r>
      <w:r w:rsidRPr="00BF42B7">
        <w:rPr>
          <w:lang w:val="zh-CN"/>
        </w:rPr>
        <w:t>项或第三十二条所称的嗣后惯例。在缔约国大会框架内通过的决定通常为执行条约提供了非排他性的一系列可行选择。</w:t>
      </w:r>
    </w:p>
    <w:p w:rsidR="008D7906" w:rsidRPr="00BF42B7" w:rsidRDefault="008D7906" w:rsidP="008D7906">
      <w:pPr>
        <w:pStyle w:val="SingleTxtGC"/>
        <w:ind w:left="1565"/>
      </w:pPr>
      <w:r w:rsidRPr="00BF42B7">
        <w:rPr>
          <w:lang w:val="zh-CN"/>
        </w:rPr>
        <w:t xml:space="preserve">3.  </w:t>
      </w:r>
      <w:r w:rsidRPr="00BF42B7">
        <w:rPr>
          <w:lang w:val="zh-CN"/>
        </w:rPr>
        <w:t>在缔约国大会框架内通过的决定只要表达了缔约国之间就条约的解释达成的实质性协议，则不论决定以何种形式和程序通过，包括经协商一致通过，均构成第三十一条第三款所称的嗣后协定或嗣后惯例。</w:t>
      </w:r>
    </w:p>
    <w:p w:rsidR="008D7906" w:rsidRPr="00BF42B7" w:rsidRDefault="008D7906" w:rsidP="008D7906">
      <w:pPr>
        <w:pStyle w:val="H23GC"/>
        <w:ind w:left="1565"/>
        <w:rPr>
          <w:lang w:val="zh-CN"/>
        </w:rPr>
      </w:pPr>
      <w:r w:rsidRPr="00BF42B7">
        <w:rPr>
          <w:rFonts w:hint="eastAsia"/>
          <w:lang w:val="zh-CN"/>
        </w:rPr>
        <w:tab/>
      </w:r>
      <w:r w:rsidRPr="00BF42B7">
        <w:rPr>
          <w:rFonts w:hint="eastAsia"/>
          <w:lang w:val="zh-CN"/>
        </w:rPr>
        <w:tab/>
      </w:r>
      <w:r w:rsidRPr="00BF42B7">
        <w:rPr>
          <w:lang w:val="zh-CN"/>
        </w:rPr>
        <w:t>结论</w:t>
      </w:r>
      <w:r w:rsidRPr="00BF42B7">
        <w:rPr>
          <w:lang w:val="zh-CN"/>
        </w:rPr>
        <w:t>12[11]</w:t>
      </w:r>
      <w:r w:rsidRPr="00BF42B7">
        <w:rPr>
          <w:lang w:val="zh-CN"/>
        </w:rPr>
        <w:br/>
      </w:r>
      <w:r w:rsidRPr="00BF42B7">
        <w:rPr>
          <w:lang w:val="zh-CN"/>
        </w:rPr>
        <w:t>国际组织的组成文书</w:t>
      </w:r>
    </w:p>
    <w:p w:rsidR="008D7906" w:rsidRPr="00BF42B7" w:rsidRDefault="008D7906" w:rsidP="008D7906">
      <w:pPr>
        <w:pStyle w:val="SingleTxtGC"/>
        <w:ind w:left="1565"/>
      </w:pPr>
      <w:r w:rsidRPr="00BF42B7">
        <w:rPr>
          <w:lang w:val="zh-CN"/>
        </w:rPr>
        <w:t xml:space="preserve">1.  </w:t>
      </w:r>
      <w:r w:rsidRPr="00BF42B7">
        <w:rPr>
          <w:lang w:val="zh-CN"/>
        </w:rPr>
        <w:t>第三十一条和第三十二条适用于作为国际组织组成文书的条约。因此，第三十一条第三款所称的嗣后协定和嗣后惯例是这类条约的解释资料，第三十二条所称的其他嗣后惯例可以作为这类条约的解释资料。</w:t>
      </w:r>
    </w:p>
    <w:p w:rsidR="008D7906" w:rsidRPr="00BF42B7" w:rsidRDefault="008D7906" w:rsidP="008D7906">
      <w:pPr>
        <w:pStyle w:val="SingleTxtGC"/>
        <w:ind w:left="1565"/>
      </w:pPr>
      <w:r w:rsidRPr="00BF42B7">
        <w:rPr>
          <w:lang w:val="zh-CN"/>
        </w:rPr>
        <w:t xml:space="preserve">2.  </w:t>
      </w:r>
      <w:r w:rsidRPr="00BF42B7">
        <w:rPr>
          <w:lang w:val="zh-CN"/>
        </w:rPr>
        <w:t>第三十一条第三款所称的嗣后协定和嗣后惯例或第三十二条所称的其他嗣后惯例可以出自国际组织适用其组成文书的惯例，或体现在这类惯例中。</w:t>
      </w:r>
    </w:p>
    <w:p w:rsidR="008D7906" w:rsidRPr="00BF42B7" w:rsidRDefault="008D7906" w:rsidP="008D7906">
      <w:pPr>
        <w:pStyle w:val="SingleTxtGC"/>
        <w:ind w:left="1565"/>
      </w:pPr>
      <w:r w:rsidRPr="00BF42B7">
        <w:rPr>
          <w:lang w:val="zh-CN"/>
        </w:rPr>
        <w:t xml:space="preserve">3.  </w:t>
      </w:r>
      <w:r w:rsidRPr="00BF42B7">
        <w:rPr>
          <w:lang w:val="zh-CN"/>
        </w:rPr>
        <w:t>在适用第三十一条第一款和第三十二条时，国际组织适用其组成文书的惯例可以有助于解释该文书。</w:t>
      </w:r>
    </w:p>
    <w:p w:rsidR="008D7906" w:rsidRPr="00BF42B7" w:rsidRDefault="008D7906" w:rsidP="008D7906">
      <w:pPr>
        <w:pStyle w:val="SingleTxtGC"/>
        <w:ind w:left="1565"/>
      </w:pPr>
      <w:r w:rsidRPr="00BF42B7">
        <w:rPr>
          <w:lang w:val="zh-CN"/>
        </w:rPr>
        <w:t xml:space="preserve">4.  </w:t>
      </w:r>
      <w:r w:rsidRPr="00BF42B7">
        <w:rPr>
          <w:lang w:val="zh-CN"/>
        </w:rPr>
        <w:t>第</w:t>
      </w:r>
      <w:r w:rsidRPr="00BF42B7">
        <w:rPr>
          <w:lang w:val="zh-CN"/>
        </w:rPr>
        <w:t>1</w:t>
      </w:r>
      <w:r w:rsidRPr="00BF42B7">
        <w:rPr>
          <w:lang w:val="zh-CN"/>
        </w:rPr>
        <w:t>至</w:t>
      </w:r>
      <w:r w:rsidRPr="00BF42B7">
        <w:rPr>
          <w:lang w:val="zh-CN"/>
        </w:rPr>
        <w:t>3</w:t>
      </w:r>
      <w:r w:rsidRPr="00BF42B7">
        <w:rPr>
          <w:lang w:val="zh-CN"/>
        </w:rPr>
        <w:t>段适用于对作为国际组织组成文书的任何条约的解释，但不妨碍该组织的任何有关规则。</w:t>
      </w:r>
    </w:p>
    <w:p w:rsidR="008D7906" w:rsidRPr="00BF42B7" w:rsidRDefault="008D7906" w:rsidP="008D7906">
      <w:pPr>
        <w:pStyle w:val="H23GC"/>
        <w:ind w:left="1565"/>
        <w:rPr>
          <w:lang w:val="zh-CN"/>
        </w:rPr>
      </w:pPr>
      <w:r w:rsidRPr="00BF42B7">
        <w:rPr>
          <w:rFonts w:hint="eastAsia"/>
          <w:lang w:val="zh-CN"/>
        </w:rPr>
        <w:tab/>
      </w:r>
      <w:r w:rsidRPr="00BF42B7">
        <w:rPr>
          <w:rFonts w:hint="eastAsia"/>
          <w:lang w:val="zh-CN"/>
        </w:rPr>
        <w:tab/>
      </w:r>
      <w:r w:rsidRPr="00BF42B7">
        <w:rPr>
          <w:lang w:val="zh-CN"/>
        </w:rPr>
        <w:t>结论</w:t>
      </w:r>
      <w:r w:rsidRPr="00BF42B7">
        <w:rPr>
          <w:lang w:val="zh-CN"/>
        </w:rPr>
        <w:t>13[12]</w:t>
      </w:r>
      <w:r w:rsidRPr="00BF42B7">
        <w:rPr>
          <w:lang w:val="zh-CN"/>
        </w:rPr>
        <w:br/>
      </w:r>
      <w:r w:rsidRPr="00BF42B7">
        <w:rPr>
          <w:lang w:val="zh-CN"/>
        </w:rPr>
        <w:t>专家条约机构的声明</w:t>
      </w:r>
    </w:p>
    <w:p w:rsidR="008D7906" w:rsidRPr="00BF42B7" w:rsidRDefault="008D7906" w:rsidP="008D7906">
      <w:pPr>
        <w:pStyle w:val="SingleTxtGC"/>
        <w:ind w:left="1565"/>
      </w:pPr>
      <w:r w:rsidRPr="00BF42B7">
        <w:rPr>
          <w:lang w:val="zh-CN"/>
        </w:rPr>
        <w:t xml:space="preserve">1.  </w:t>
      </w:r>
      <w:r w:rsidRPr="00BF42B7">
        <w:rPr>
          <w:lang w:val="zh-CN"/>
        </w:rPr>
        <w:t>为本结论草案的目的，专家条约机构指根据一项条约设立且不是国际组织机关的、由以个人身份任职的专家组成的机构。</w:t>
      </w:r>
    </w:p>
    <w:p w:rsidR="008D7906" w:rsidRPr="00BF42B7" w:rsidRDefault="008D7906" w:rsidP="008D7906">
      <w:pPr>
        <w:pStyle w:val="SingleTxtGC"/>
        <w:ind w:left="1565"/>
      </w:pPr>
      <w:r w:rsidRPr="00BF42B7">
        <w:rPr>
          <w:lang w:val="zh-CN"/>
        </w:rPr>
        <w:t xml:space="preserve">2.  </w:t>
      </w:r>
      <w:r w:rsidRPr="00BF42B7">
        <w:rPr>
          <w:lang w:val="zh-CN"/>
        </w:rPr>
        <w:t>专家条约机构的声明对条约解释的意义取决于该条约的适用规则。</w:t>
      </w:r>
    </w:p>
    <w:p w:rsidR="008D7906" w:rsidRPr="00BF42B7" w:rsidRDefault="008D7906" w:rsidP="008D7906">
      <w:pPr>
        <w:pStyle w:val="SingleTxtGC"/>
        <w:ind w:left="1565"/>
      </w:pPr>
      <w:r w:rsidRPr="00BF42B7">
        <w:rPr>
          <w:lang w:val="zh-CN"/>
        </w:rPr>
        <w:t xml:space="preserve">3.  </w:t>
      </w:r>
      <w:r w:rsidRPr="00BF42B7">
        <w:rPr>
          <w:lang w:val="zh-CN"/>
        </w:rPr>
        <w:t>专家条约机构的声明可产生或提及第三十一条第三款所称的缔约方嗣后协定或嗣后惯例，或第三十二条所称的其他嗣后惯例。缔约方的沉默不应推定为构成第三十一条第三款</w:t>
      </w:r>
      <w:r w:rsidRPr="00BF42B7">
        <w:rPr>
          <w:lang w:val="zh-CN"/>
        </w:rPr>
        <w:t>(b)</w:t>
      </w:r>
      <w:r w:rsidRPr="00BF42B7">
        <w:rPr>
          <w:lang w:val="zh-CN"/>
        </w:rPr>
        <w:t>项所称的、接受专家条约机构声明中表达的对相关条约的解释的嗣后惯例。</w:t>
      </w:r>
    </w:p>
    <w:p w:rsidR="008D7906" w:rsidRPr="00BF42B7" w:rsidRDefault="008D7906" w:rsidP="008D7906">
      <w:pPr>
        <w:pStyle w:val="SingleTxtGC"/>
        <w:ind w:left="1565"/>
        <w:rPr>
          <w:rFonts w:asciiTheme="majorBidi" w:hAnsiTheme="majorBidi" w:cstheme="majorBidi"/>
          <w:szCs w:val="21"/>
          <w:lang w:val="zh-CN"/>
        </w:rPr>
      </w:pPr>
      <w:r w:rsidRPr="00BF42B7">
        <w:rPr>
          <w:rFonts w:asciiTheme="majorBidi" w:hAnsiTheme="majorBidi" w:cstheme="majorBidi"/>
          <w:szCs w:val="21"/>
          <w:lang w:val="zh-CN"/>
        </w:rPr>
        <w:t xml:space="preserve">4.  </w:t>
      </w:r>
      <w:r w:rsidRPr="00BF42B7">
        <w:rPr>
          <w:rFonts w:asciiTheme="majorBidi" w:hAnsiTheme="majorBidi" w:cstheme="majorBidi"/>
          <w:szCs w:val="21"/>
          <w:lang w:val="zh-CN"/>
        </w:rPr>
        <w:t>本条结论草案不妨碍专家条约机构的声明可能以其他方式有助于条约的解释。</w:t>
      </w:r>
    </w:p>
    <w:p w:rsidR="008D7906" w:rsidRPr="00BF42B7" w:rsidRDefault="008D7906" w:rsidP="008D7906">
      <w:pPr>
        <w:pStyle w:val="H23GC"/>
      </w:pPr>
      <w:r w:rsidRPr="00BF42B7">
        <w:tab/>
        <w:t>2.</w:t>
      </w:r>
      <w:r w:rsidRPr="00BF42B7">
        <w:tab/>
      </w:r>
      <w:r w:rsidRPr="00BF42B7">
        <w:t>结论草案案文及评注</w:t>
      </w:r>
    </w:p>
    <w:p w:rsidR="008D7906" w:rsidRPr="00BF42B7" w:rsidRDefault="008D7906" w:rsidP="008D7906">
      <w:pPr>
        <w:pStyle w:val="SingleTxtGC"/>
        <w:rPr>
          <w:rFonts w:asciiTheme="majorBidi" w:hAnsiTheme="majorBidi" w:cstheme="majorBidi"/>
          <w:szCs w:val="21"/>
        </w:rPr>
      </w:pPr>
      <w:r w:rsidRPr="00BF42B7">
        <w:rPr>
          <w:rFonts w:asciiTheme="majorBidi" w:hAnsiTheme="majorBidi" w:cstheme="majorBidi"/>
          <w:szCs w:val="21"/>
        </w:rPr>
        <w:t xml:space="preserve">76.  </w:t>
      </w:r>
      <w:r w:rsidRPr="00BF42B7">
        <w:rPr>
          <w:rFonts w:asciiTheme="majorBidi" w:hAnsiTheme="majorBidi" w:cstheme="majorBidi"/>
          <w:szCs w:val="21"/>
        </w:rPr>
        <w:t>委员会一读通过的关于与条约解释相关的嗣后协定和嗣后惯例的结论草案案文及评注载录如下。本文综合了委员会迄今为止通过的评注，包括对先前通过的评注作出的修改和增补及委员会第六十八届会议通过的评注。</w:t>
      </w:r>
    </w:p>
    <w:p w:rsidR="008D7906" w:rsidRPr="00BF42B7" w:rsidRDefault="008D7906" w:rsidP="00626DA9">
      <w:pPr>
        <w:pStyle w:val="H23GC"/>
        <w:ind w:left="1554"/>
        <w:rPr>
          <w:lang w:val="fr-CH"/>
        </w:rPr>
      </w:pPr>
      <w:r w:rsidRPr="00BF42B7">
        <w:rPr>
          <w:lang w:val="fr-CH"/>
        </w:rPr>
        <w:tab/>
      </w:r>
      <w:r w:rsidRPr="00BF42B7">
        <w:rPr>
          <w:lang w:val="fr-CH"/>
        </w:rPr>
        <w:tab/>
      </w:r>
      <w:r w:rsidRPr="00BF42B7">
        <w:rPr>
          <w:lang w:val="fr-CH"/>
        </w:rPr>
        <w:t>与条约解释相关的嗣后协定和嗣后惯例</w:t>
      </w:r>
    </w:p>
    <w:p w:rsidR="008D7906" w:rsidRPr="00BF42B7" w:rsidRDefault="004704AB" w:rsidP="00EE2BC7">
      <w:pPr>
        <w:pStyle w:val="H23GC"/>
        <w:ind w:left="1554"/>
        <w:rPr>
          <w:rFonts w:asciiTheme="majorBidi" w:hAnsiTheme="majorBidi" w:cstheme="majorBidi"/>
          <w:szCs w:val="21"/>
          <w:lang w:val="fr-CH"/>
        </w:rPr>
      </w:pPr>
      <w:r>
        <w:rPr>
          <w:rFonts w:hint="eastAsia"/>
          <w:lang w:val="fr-CH"/>
        </w:rPr>
        <w:tab/>
      </w:r>
      <w:r w:rsidR="008D7906" w:rsidRPr="00BF42B7">
        <w:rPr>
          <w:rFonts w:hint="eastAsia"/>
          <w:lang w:val="fr-CH"/>
        </w:rPr>
        <w:tab/>
      </w:r>
      <w:r w:rsidR="008D7906" w:rsidRPr="00BF42B7">
        <w:rPr>
          <w:lang w:val="fr-CH"/>
        </w:rPr>
        <w:t>第一部分</w:t>
      </w:r>
      <w:r w:rsidR="008D7906" w:rsidRPr="00BF42B7">
        <w:rPr>
          <w:rFonts w:hint="eastAsia"/>
          <w:lang w:val="fr-CH"/>
        </w:rPr>
        <w:br/>
      </w:r>
      <w:r w:rsidR="008D7906" w:rsidRPr="00BF42B7">
        <w:rPr>
          <w:rFonts w:asciiTheme="majorBidi" w:hAnsiTheme="majorBidi" w:cstheme="majorBidi"/>
          <w:szCs w:val="21"/>
          <w:lang w:val="fr-CH"/>
        </w:rPr>
        <w:t>导言</w:t>
      </w:r>
    </w:p>
    <w:p w:rsidR="008D7906" w:rsidRPr="00BF42B7" w:rsidRDefault="008D7906" w:rsidP="008D7906">
      <w:pPr>
        <w:pStyle w:val="H23GC"/>
        <w:ind w:left="1565"/>
      </w:pPr>
      <w:r w:rsidRPr="00BF42B7">
        <w:tab/>
      </w:r>
      <w:r w:rsidRPr="00BF42B7">
        <w:tab/>
      </w:r>
      <w:r w:rsidRPr="00BF42B7">
        <w:t>结论</w:t>
      </w:r>
      <w:r w:rsidRPr="00BF42B7">
        <w:t>1 [1a]</w:t>
      </w:r>
      <w:r w:rsidRPr="00BF42B7">
        <w:br/>
      </w:r>
      <w:r w:rsidRPr="00BF42B7">
        <w:t>导言</w:t>
      </w:r>
    </w:p>
    <w:p w:rsidR="008D7906" w:rsidRPr="00BF42B7" w:rsidRDefault="00626DA9" w:rsidP="008D7906">
      <w:pPr>
        <w:pStyle w:val="SingleTxtGC"/>
        <w:ind w:left="1565"/>
        <w:rPr>
          <w:rFonts w:asciiTheme="majorBidi" w:hAnsiTheme="majorBidi" w:cstheme="majorBidi"/>
          <w:szCs w:val="21"/>
        </w:rPr>
      </w:pPr>
      <w:r>
        <w:rPr>
          <w:rFonts w:asciiTheme="majorBidi" w:hAnsiTheme="majorBidi" w:cstheme="majorBidi" w:hint="eastAsia"/>
          <w:szCs w:val="21"/>
        </w:rPr>
        <w:tab/>
      </w:r>
      <w:r w:rsidR="008D7906" w:rsidRPr="00BF42B7">
        <w:rPr>
          <w:rFonts w:asciiTheme="majorBidi" w:hAnsiTheme="majorBidi" w:cstheme="majorBidi"/>
          <w:szCs w:val="21"/>
        </w:rPr>
        <w:t>本结论草案涉及嗣后协定和嗣后惯例在条约解释中的作用。</w:t>
      </w:r>
    </w:p>
    <w:p w:rsidR="008D7906" w:rsidRPr="00BF42B7" w:rsidRDefault="008D7906" w:rsidP="008D7906">
      <w:pPr>
        <w:pStyle w:val="H23GC"/>
      </w:pPr>
      <w:r w:rsidRPr="00BF42B7">
        <w:tab/>
      </w:r>
      <w:r w:rsidRPr="00BF42B7">
        <w:tab/>
      </w:r>
      <w:r w:rsidRPr="00BF42B7">
        <w:t>评注</w:t>
      </w:r>
    </w:p>
    <w:p w:rsidR="008D7906" w:rsidRPr="00BF42B7" w:rsidRDefault="008D7906" w:rsidP="008D7906">
      <w:pPr>
        <w:pStyle w:val="SingleTxtGC"/>
        <w:rPr>
          <w:rFonts w:asciiTheme="majorBidi" w:hAnsiTheme="majorBidi" w:cstheme="majorBidi"/>
          <w:szCs w:val="21"/>
        </w:rPr>
      </w:pPr>
      <w:r w:rsidRPr="00BF42B7">
        <w:rPr>
          <w:rFonts w:asciiTheme="majorBidi" w:hAnsiTheme="majorBidi" w:cstheme="majorBidi"/>
          <w:szCs w:val="21"/>
        </w:rPr>
        <w:t xml:space="preserve">(1)  </w:t>
      </w:r>
      <w:r w:rsidRPr="00BF42B7">
        <w:rPr>
          <w:rFonts w:asciiTheme="majorBidi" w:hAnsiTheme="majorBidi" w:cstheme="majorBidi"/>
          <w:szCs w:val="21"/>
        </w:rPr>
        <w:t>本结论草案旨在说明嗣后协定和嗣后惯例在条约解释中发挥的作用，立足于</w:t>
      </w:r>
      <w:r w:rsidRPr="00BF42B7">
        <w:rPr>
          <w:rFonts w:asciiTheme="majorBidi" w:hAnsiTheme="majorBidi" w:cstheme="majorBidi"/>
          <w:szCs w:val="21"/>
        </w:rPr>
        <w:t>1969</w:t>
      </w:r>
      <w:r w:rsidRPr="00BF42B7">
        <w:rPr>
          <w:rFonts w:asciiTheme="majorBidi" w:hAnsiTheme="majorBidi" w:cstheme="majorBidi"/>
          <w:szCs w:val="21"/>
        </w:rPr>
        <w:t>年《维也纳条约法公约》</w:t>
      </w:r>
      <w:r w:rsidRPr="00BF42B7">
        <w:rPr>
          <w:rFonts w:asciiTheme="majorBidi" w:hAnsiTheme="majorBidi" w:cstheme="majorBidi"/>
          <w:szCs w:val="21"/>
        </w:rPr>
        <w:t>(</w:t>
      </w:r>
      <w:r w:rsidRPr="00BF42B7">
        <w:rPr>
          <w:rFonts w:asciiTheme="majorBidi" w:hAnsiTheme="majorBidi" w:cstheme="majorBidi"/>
          <w:szCs w:val="21"/>
        </w:rPr>
        <w:t>下称</w:t>
      </w:r>
      <w:r w:rsidRPr="00BF42B7">
        <w:rPr>
          <w:rFonts w:asciiTheme="majorBidi" w:hAnsiTheme="majorBidi" w:cstheme="majorBidi" w:hint="eastAsia"/>
          <w:szCs w:val="21"/>
        </w:rPr>
        <w:t>“</w:t>
      </w:r>
      <w:r w:rsidRPr="00BF42B7">
        <w:rPr>
          <w:rFonts w:asciiTheme="majorBidi" w:hAnsiTheme="majorBidi" w:cstheme="majorBidi"/>
          <w:szCs w:val="21"/>
        </w:rPr>
        <w:t>1969</w:t>
      </w:r>
      <w:r w:rsidRPr="00BF42B7">
        <w:rPr>
          <w:rFonts w:asciiTheme="majorBidi" w:hAnsiTheme="majorBidi" w:cstheme="majorBidi"/>
          <w:szCs w:val="21"/>
        </w:rPr>
        <w:t>年《维也纳公约》</w:t>
      </w:r>
      <w:r w:rsidRPr="00BF42B7">
        <w:rPr>
          <w:rFonts w:asciiTheme="majorBidi" w:hAnsiTheme="majorBidi" w:cstheme="majorBidi" w:hint="eastAsia"/>
          <w:szCs w:val="21"/>
        </w:rPr>
        <w:t>”</w:t>
      </w:r>
      <w:r w:rsidRPr="00BF42B7">
        <w:rPr>
          <w:rFonts w:asciiTheme="majorBidi" w:hAnsiTheme="majorBidi" w:cstheme="majorBidi"/>
          <w:szCs w:val="21"/>
        </w:rPr>
        <w:t>)</w:t>
      </w:r>
      <w:r w:rsidRPr="00BF42B7">
        <w:rPr>
          <w:rFonts w:asciiTheme="majorBidi" w:hAnsiTheme="majorBidi" w:cstheme="majorBidi"/>
          <w:szCs w:val="21"/>
        </w:rPr>
        <w:t>。</w:t>
      </w:r>
      <w:r w:rsidRPr="00BF42B7">
        <w:rPr>
          <w:rStyle w:val="a5"/>
          <w:rFonts w:cstheme="majorBidi"/>
          <w:szCs w:val="21"/>
        </w:rPr>
        <w:footnoteReference w:id="388"/>
      </w:r>
      <w:r w:rsidRPr="00BF42B7">
        <w:rPr>
          <w:rFonts w:asciiTheme="majorBidi" w:hAnsiTheme="majorBidi" w:cstheme="majorBidi"/>
          <w:szCs w:val="21"/>
        </w:rPr>
        <w:t xml:space="preserve"> </w:t>
      </w:r>
      <w:r w:rsidRPr="00BF42B7">
        <w:rPr>
          <w:rFonts w:asciiTheme="majorBidi" w:hAnsiTheme="majorBidi" w:cstheme="majorBidi"/>
          <w:szCs w:val="21"/>
        </w:rPr>
        <w:t>这些结论草案识别并阐明了有关的考虑要素和实例，讨论了在适用《维也纳公约》关于解释的各项规则的过程中可能产生的某些问题，从而将嗣后协定和嗣后惯例置于了上述规则的框架之内。</w:t>
      </w:r>
      <w:r w:rsidRPr="00BF42B7">
        <w:rPr>
          <w:rStyle w:val="a5"/>
          <w:rFonts w:cstheme="majorBidi"/>
          <w:szCs w:val="21"/>
        </w:rPr>
        <w:footnoteReference w:id="389"/>
      </w:r>
    </w:p>
    <w:p w:rsidR="008D7906" w:rsidRPr="00BF42B7" w:rsidRDefault="008D7906" w:rsidP="008D7906">
      <w:pPr>
        <w:pStyle w:val="SingleTxtGC"/>
        <w:rPr>
          <w:rFonts w:asciiTheme="majorBidi" w:hAnsiTheme="majorBidi" w:cstheme="majorBidi"/>
          <w:spacing w:val="10"/>
          <w:szCs w:val="21"/>
          <w:lang w:val="fr-CH"/>
        </w:rPr>
      </w:pPr>
      <w:r w:rsidRPr="00BF42B7">
        <w:rPr>
          <w:rFonts w:asciiTheme="majorBidi" w:hAnsiTheme="majorBidi" w:cstheme="majorBidi"/>
          <w:iCs/>
          <w:szCs w:val="21"/>
        </w:rPr>
        <w:t xml:space="preserve">(2)  </w:t>
      </w:r>
      <w:r w:rsidRPr="00BF42B7">
        <w:rPr>
          <w:rFonts w:asciiTheme="majorBidi" w:hAnsiTheme="majorBidi" w:cstheme="majorBidi"/>
          <w:iCs/>
          <w:szCs w:val="21"/>
        </w:rPr>
        <w:t>这些结论草案并未论及嗣后协定和嗣后惯例可在条约解释过程中发挥作用的所有可设想的情况。例如，以下方面就没有得到具体讨论：嗣后协定和嗣后惯例对国家与国际组织之间或国际组织与国际组织之间所缔结条约的相关性。</w:t>
      </w:r>
      <w:r w:rsidRPr="00BF42B7">
        <w:rPr>
          <w:rStyle w:val="a5"/>
          <w:rFonts w:cstheme="majorBidi"/>
          <w:iCs/>
          <w:szCs w:val="21"/>
        </w:rPr>
        <w:footnoteReference w:id="390"/>
      </w:r>
      <w:r w:rsidRPr="00BF42B7">
        <w:rPr>
          <w:rFonts w:asciiTheme="majorBidi" w:hAnsiTheme="majorBidi" w:cstheme="majorBidi" w:hint="eastAsia"/>
          <w:iCs/>
          <w:szCs w:val="21"/>
        </w:rPr>
        <w:t xml:space="preserve"> </w:t>
      </w:r>
      <w:r w:rsidRPr="00BF42B7">
        <w:rPr>
          <w:rFonts w:asciiTheme="majorBidi" w:hAnsiTheme="majorBidi" w:cstheme="majorBidi"/>
          <w:szCs w:val="21"/>
        </w:rPr>
        <w:t>这些结论草案没有处理国际组织通过的规则的解释问题、习惯国际法的识别或一般法律原则问题。这不妨碍第三十一条、包括其第三款</w:t>
      </w:r>
      <w:r w:rsidRPr="00BF42B7">
        <w:rPr>
          <w:rFonts w:asciiTheme="majorBidi" w:hAnsiTheme="majorBidi" w:cstheme="majorBidi"/>
          <w:szCs w:val="21"/>
        </w:rPr>
        <w:t>(c)</w:t>
      </w:r>
      <w:r w:rsidRPr="00BF42B7">
        <w:rPr>
          <w:rFonts w:asciiTheme="majorBidi" w:hAnsiTheme="majorBidi" w:cstheme="majorBidi"/>
          <w:szCs w:val="21"/>
        </w:rPr>
        <w:t>项所指的其他解释资料。根据第三款</w:t>
      </w:r>
      <w:r w:rsidRPr="00BF42B7">
        <w:rPr>
          <w:rFonts w:asciiTheme="majorBidi" w:hAnsiTheme="majorBidi" w:cstheme="majorBidi"/>
          <w:szCs w:val="21"/>
        </w:rPr>
        <w:t>(c)</w:t>
      </w:r>
      <w:r w:rsidRPr="00BF42B7">
        <w:rPr>
          <w:rFonts w:asciiTheme="majorBidi" w:hAnsiTheme="majorBidi" w:cstheme="majorBidi"/>
          <w:szCs w:val="21"/>
        </w:rPr>
        <w:t>项，对条约的解释应考虑到适用于当事国间关系之任何有关国际法规则。</w:t>
      </w:r>
    </w:p>
    <w:p w:rsidR="008D7906" w:rsidRPr="00BF42B7" w:rsidRDefault="008D7906" w:rsidP="008D7906">
      <w:pPr>
        <w:pStyle w:val="SingleTxtGC"/>
      </w:pPr>
      <w:r w:rsidRPr="00BF42B7">
        <w:t xml:space="preserve">(3)  </w:t>
      </w:r>
      <w:r w:rsidRPr="00BF42B7">
        <w:t>这些结论草案旨在便利受命解释条约者的工作，其提供指导的对象除国际性法院和法庭外，还有各国</w:t>
      </w:r>
      <w:r w:rsidRPr="00BF42B7">
        <w:t>(</w:t>
      </w:r>
      <w:r w:rsidRPr="00BF42B7">
        <w:t>包括各国法院</w:t>
      </w:r>
      <w:r w:rsidRPr="00BF42B7">
        <w:t>)</w:t>
      </w:r>
      <w:r w:rsidRPr="00BF42B7">
        <w:t>、国际组织，以及非国家行为方和所有受命解释条约者。</w:t>
      </w:r>
    </w:p>
    <w:p w:rsidR="008D7906" w:rsidRPr="00BF42B7" w:rsidRDefault="008D7906" w:rsidP="0049004C">
      <w:pPr>
        <w:pStyle w:val="H23GC"/>
        <w:spacing w:before="120"/>
        <w:ind w:left="1554"/>
        <w:rPr>
          <w:rFonts w:asciiTheme="majorBidi" w:hAnsiTheme="majorBidi" w:cstheme="majorBidi"/>
          <w:szCs w:val="21"/>
          <w:lang w:val="fr-CH"/>
        </w:rPr>
      </w:pPr>
      <w:r w:rsidRPr="00BF42B7">
        <w:rPr>
          <w:rFonts w:hint="eastAsia"/>
          <w:lang w:val="fr-CH"/>
        </w:rPr>
        <w:tab/>
      </w:r>
      <w:r w:rsidRPr="00BF42B7">
        <w:rPr>
          <w:rFonts w:hint="eastAsia"/>
          <w:lang w:val="fr-CH"/>
        </w:rPr>
        <w:tab/>
      </w:r>
      <w:r w:rsidRPr="00BF42B7">
        <w:rPr>
          <w:lang w:val="fr-CH"/>
        </w:rPr>
        <w:t>第二部分</w:t>
      </w:r>
      <w:r w:rsidRPr="00BF42B7">
        <w:rPr>
          <w:rFonts w:hint="eastAsia"/>
          <w:lang w:val="fr-CH"/>
        </w:rPr>
        <w:br/>
      </w:r>
      <w:r w:rsidRPr="00BF42B7">
        <w:rPr>
          <w:rFonts w:asciiTheme="majorBidi" w:hAnsiTheme="majorBidi" w:cstheme="majorBidi"/>
          <w:szCs w:val="21"/>
          <w:lang w:val="fr-CH"/>
        </w:rPr>
        <w:t>基本规则和定义</w:t>
      </w:r>
    </w:p>
    <w:p w:rsidR="008D7906" w:rsidRPr="00BF42B7" w:rsidRDefault="008D7906" w:rsidP="0049004C">
      <w:pPr>
        <w:pStyle w:val="H23GC"/>
        <w:spacing w:before="120"/>
        <w:ind w:left="1565"/>
        <w:rPr>
          <w:lang w:val="en-GB"/>
        </w:rPr>
      </w:pPr>
      <w:r w:rsidRPr="00BF42B7">
        <w:rPr>
          <w:lang w:val="fr-CH"/>
        </w:rPr>
        <w:tab/>
      </w:r>
      <w:r w:rsidRPr="00BF42B7">
        <w:rPr>
          <w:lang w:val="fr-CH"/>
        </w:rPr>
        <w:tab/>
      </w:r>
      <w:r w:rsidRPr="00BF42B7">
        <w:rPr>
          <w:lang w:val="fr-CH"/>
        </w:rPr>
        <w:t>结论</w:t>
      </w:r>
      <w:r w:rsidRPr="00BF42B7">
        <w:rPr>
          <w:lang w:val="fr-CH"/>
        </w:rPr>
        <w:t>2[1]</w:t>
      </w:r>
      <w:r w:rsidRPr="00BF42B7">
        <w:rPr>
          <w:lang w:val="fr-CH"/>
        </w:rPr>
        <w:br/>
      </w:r>
      <w:r w:rsidRPr="00BF42B7">
        <w:rPr>
          <w:lang w:val="fr-CH"/>
        </w:rPr>
        <w:t>条约解释通则和资料</w:t>
      </w:r>
    </w:p>
    <w:p w:rsidR="008D7906" w:rsidRPr="00BF42B7" w:rsidRDefault="008D7906" w:rsidP="008D7906">
      <w:pPr>
        <w:pStyle w:val="SingleTxtGC"/>
        <w:ind w:left="1565"/>
        <w:rPr>
          <w:bCs/>
          <w:lang w:val="en-GB"/>
        </w:rPr>
      </w:pPr>
      <w:r w:rsidRPr="00BF42B7">
        <w:rPr>
          <w:lang w:val="fr-CH"/>
        </w:rPr>
        <w:t>1.</w:t>
      </w:r>
      <w:r w:rsidRPr="00BF42B7">
        <w:rPr>
          <w:lang w:val="fr-CH"/>
        </w:rPr>
        <w:tab/>
      </w:r>
      <w:r w:rsidRPr="00BF42B7">
        <w:rPr>
          <w:lang w:val="fr-CH"/>
        </w:rPr>
        <w:t>《维也纳条约法公约》第三十一和第三十二条分别规定了解释条约的通则和关于解释条约的补充资料的规则。这些规则也作为习惯国际法适用。</w:t>
      </w:r>
    </w:p>
    <w:p w:rsidR="008D7906" w:rsidRPr="00BF42B7" w:rsidRDefault="008D7906" w:rsidP="008D7906">
      <w:pPr>
        <w:pStyle w:val="SingleTxtGC"/>
        <w:ind w:left="1565"/>
        <w:rPr>
          <w:bCs/>
          <w:lang w:val="en-GB"/>
        </w:rPr>
      </w:pPr>
      <w:r w:rsidRPr="00BF42B7">
        <w:rPr>
          <w:lang w:val="fr-CH"/>
        </w:rPr>
        <w:t>2.</w:t>
      </w:r>
      <w:r w:rsidRPr="00BF42B7">
        <w:rPr>
          <w:lang w:val="fr-CH"/>
        </w:rPr>
        <w:tab/>
      </w:r>
      <w:r w:rsidRPr="00BF42B7">
        <w:rPr>
          <w:lang w:val="fr-CH"/>
        </w:rPr>
        <w:t>条约应按照其用语按上下文所具有的通常含义并参照该条约的目的和宗旨善意地予以解释。</w:t>
      </w:r>
    </w:p>
    <w:p w:rsidR="008D7906" w:rsidRPr="00BF42B7" w:rsidRDefault="008D7906" w:rsidP="008D7906">
      <w:pPr>
        <w:pStyle w:val="SingleTxtGC"/>
        <w:ind w:left="1565"/>
        <w:rPr>
          <w:bCs/>
          <w:lang w:val="en-GB"/>
        </w:rPr>
      </w:pPr>
      <w:r w:rsidRPr="00BF42B7">
        <w:rPr>
          <w:lang w:val="fr-CH"/>
        </w:rPr>
        <w:t>3.</w:t>
      </w:r>
      <w:r w:rsidRPr="00BF42B7">
        <w:rPr>
          <w:lang w:val="fr-CH"/>
        </w:rPr>
        <w:tab/>
      </w:r>
      <w:r w:rsidRPr="00BF42B7">
        <w:rPr>
          <w:lang w:val="fr-CH"/>
        </w:rPr>
        <w:t>第三十一条第三款除其他外规定，应与上下文一并考虑到的还有：</w:t>
      </w:r>
      <w:r w:rsidRPr="00BF42B7">
        <w:rPr>
          <w:lang w:val="fr-CH"/>
        </w:rPr>
        <w:t xml:space="preserve">(a) </w:t>
      </w:r>
      <w:r w:rsidRPr="00BF42B7">
        <w:rPr>
          <w:lang w:val="fr-CH"/>
        </w:rPr>
        <w:t>缔约方之间嗣后所订关于条约的解释或其规定的适用的任何协定；和</w:t>
      </w:r>
      <w:r w:rsidRPr="00BF42B7">
        <w:rPr>
          <w:lang w:val="fr-CH"/>
        </w:rPr>
        <w:t xml:space="preserve">(b) </w:t>
      </w:r>
      <w:r w:rsidRPr="00BF42B7">
        <w:rPr>
          <w:lang w:val="fr-CH"/>
        </w:rPr>
        <w:t>在条约适用方面确定各缔约方对条约的解释意思一致的任何嗣后惯例。</w:t>
      </w:r>
    </w:p>
    <w:p w:rsidR="008D7906" w:rsidRPr="00BF42B7" w:rsidRDefault="008D7906" w:rsidP="008D7906">
      <w:pPr>
        <w:pStyle w:val="SingleTxtGC"/>
        <w:ind w:left="1565"/>
        <w:rPr>
          <w:bCs/>
          <w:lang w:val="en-GB"/>
        </w:rPr>
      </w:pPr>
      <w:r w:rsidRPr="00BF42B7">
        <w:rPr>
          <w:lang w:val="fr-CH"/>
        </w:rPr>
        <w:t>4.</w:t>
      </w:r>
      <w:r w:rsidRPr="00BF42B7">
        <w:rPr>
          <w:lang w:val="fr-CH"/>
        </w:rPr>
        <w:tab/>
      </w:r>
      <w:r w:rsidRPr="00BF42B7">
        <w:rPr>
          <w:lang w:val="fr-CH"/>
        </w:rPr>
        <w:t>可将条约适用方面的其他嗣后惯例作为第三十二条所称的补充的解释资料加以使用。</w:t>
      </w:r>
    </w:p>
    <w:p w:rsidR="008D7906" w:rsidRPr="00BF42B7" w:rsidRDefault="008D7906" w:rsidP="008D7906">
      <w:pPr>
        <w:pStyle w:val="SingleTxtGC"/>
        <w:ind w:left="1565"/>
        <w:rPr>
          <w:bCs/>
          <w:lang w:val="en-GB"/>
        </w:rPr>
      </w:pPr>
      <w:r w:rsidRPr="00BF42B7">
        <w:rPr>
          <w:lang w:val="fr-CH"/>
        </w:rPr>
        <w:t>5.</w:t>
      </w:r>
      <w:r w:rsidRPr="00BF42B7">
        <w:rPr>
          <w:lang w:val="fr-CH"/>
        </w:rPr>
        <w:tab/>
      </w:r>
      <w:r w:rsidRPr="00BF42B7">
        <w:rPr>
          <w:lang w:val="fr-CH"/>
        </w:rPr>
        <w:t>条约的解释是单一的综合行动，这一行动对第三十一和第三十二条分别载明的各种解释资料各给予适当的强调。</w:t>
      </w:r>
    </w:p>
    <w:p w:rsidR="008D7906" w:rsidRPr="00BF42B7" w:rsidRDefault="008D7906" w:rsidP="008D7906">
      <w:pPr>
        <w:pStyle w:val="H23GC"/>
        <w:rPr>
          <w:lang w:val="en-GB"/>
        </w:rPr>
      </w:pPr>
      <w:r w:rsidRPr="00BF42B7">
        <w:rPr>
          <w:lang w:val="fr-CH"/>
        </w:rPr>
        <w:tab/>
      </w:r>
      <w:r w:rsidRPr="00BF42B7">
        <w:rPr>
          <w:lang w:val="fr-CH"/>
        </w:rPr>
        <w:tab/>
      </w:r>
      <w:r w:rsidRPr="00BF42B7">
        <w:rPr>
          <w:lang w:val="fr-CH"/>
        </w:rPr>
        <w:t>评注</w:t>
      </w:r>
    </w:p>
    <w:p w:rsidR="008D7906" w:rsidRPr="00BF42B7" w:rsidRDefault="008D7906" w:rsidP="008D7906">
      <w:pPr>
        <w:pStyle w:val="SingleTxtGC"/>
        <w:rPr>
          <w:rFonts w:asciiTheme="majorBidi" w:hAnsiTheme="majorBidi" w:cstheme="majorBidi"/>
          <w:szCs w:val="21"/>
          <w:lang w:val="en-GB"/>
        </w:rPr>
      </w:pPr>
      <w:r w:rsidRPr="00BF42B7">
        <w:rPr>
          <w:rFonts w:asciiTheme="majorBidi" w:hAnsiTheme="majorBidi" w:cstheme="majorBidi"/>
          <w:szCs w:val="21"/>
          <w:lang w:val="fr-CH"/>
        </w:rPr>
        <w:t xml:space="preserve">(1)  </w:t>
      </w:r>
      <w:r w:rsidRPr="00BF42B7">
        <w:rPr>
          <w:rFonts w:asciiTheme="majorBidi" w:hAnsiTheme="majorBidi" w:cstheme="majorBidi"/>
          <w:szCs w:val="21"/>
          <w:lang w:val="fr-CH"/>
        </w:rPr>
        <w:t>结论草案</w:t>
      </w:r>
      <w:r w:rsidRPr="00BF42B7">
        <w:rPr>
          <w:rFonts w:asciiTheme="majorBidi" w:hAnsiTheme="majorBidi" w:cstheme="majorBidi"/>
          <w:szCs w:val="21"/>
          <w:lang w:val="fr-CH"/>
        </w:rPr>
        <w:t>2[1]</w:t>
      </w:r>
      <w:r w:rsidRPr="00BF42B7">
        <w:rPr>
          <w:rFonts w:asciiTheme="majorBidi" w:hAnsiTheme="majorBidi" w:cstheme="majorBidi"/>
          <w:szCs w:val="21"/>
          <w:lang w:val="fr-CH"/>
        </w:rPr>
        <w:t>规定，嗣后协定和嗣后惯例为在</w:t>
      </w:r>
      <w:r w:rsidRPr="00BF42B7">
        <w:rPr>
          <w:rFonts w:asciiTheme="majorBidi" w:hAnsiTheme="majorBidi" w:cstheme="majorBidi"/>
          <w:szCs w:val="21"/>
          <w:lang w:val="fr-CH"/>
        </w:rPr>
        <w:t>1969</w:t>
      </w:r>
      <w:r w:rsidRPr="00BF42B7">
        <w:rPr>
          <w:rFonts w:asciiTheme="majorBidi" w:hAnsiTheme="majorBidi" w:cstheme="majorBidi"/>
          <w:szCs w:val="21"/>
          <w:lang w:val="fr-CH"/>
        </w:rPr>
        <w:t>年《维也纳公约》第三十一和第三十二条所述解释条约规则框架范围内条约解释的资料。标题</w:t>
      </w:r>
      <w:r w:rsidRPr="00BF42B7">
        <w:rPr>
          <w:rFonts w:asciiTheme="majorBidi" w:hAnsiTheme="majorBidi" w:cstheme="majorBidi" w:hint="eastAsia"/>
          <w:szCs w:val="21"/>
          <w:lang w:val="fr-CH"/>
        </w:rPr>
        <w:t>“</w:t>
      </w:r>
      <w:r w:rsidRPr="00BF42B7">
        <w:rPr>
          <w:rFonts w:asciiTheme="majorBidi" w:hAnsiTheme="majorBidi" w:cstheme="majorBidi"/>
          <w:szCs w:val="21"/>
          <w:lang w:val="fr-CH"/>
        </w:rPr>
        <w:t>条约解释通则和资料</w:t>
      </w:r>
      <w:r w:rsidRPr="00BF42B7">
        <w:rPr>
          <w:rFonts w:asciiTheme="majorBidi" w:hAnsiTheme="majorBidi" w:cstheme="majorBidi" w:hint="eastAsia"/>
          <w:szCs w:val="21"/>
          <w:lang w:val="fr-CH"/>
        </w:rPr>
        <w:t>”</w:t>
      </w:r>
      <w:r w:rsidRPr="00BF42B7">
        <w:rPr>
          <w:rFonts w:asciiTheme="majorBidi" w:hAnsiTheme="majorBidi" w:cstheme="majorBidi"/>
          <w:szCs w:val="21"/>
          <w:lang w:val="fr-CH"/>
        </w:rPr>
        <w:t>表明两点。第一，第三十一条整体为解释条约的</w:t>
      </w:r>
      <w:r w:rsidRPr="00BF42B7">
        <w:rPr>
          <w:rFonts w:asciiTheme="majorBidi" w:hAnsiTheme="majorBidi" w:cstheme="majorBidi" w:hint="eastAsia"/>
          <w:szCs w:val="21"/>
          <w:lang w:val="fr-CH"/>
        </w:rPr>
        <w:t>“</w:t>
      </w:r>
      <w:r w:rsidRPr="00BF42B7">
        <w:rPr>
          <w:rFonts w:asciiTheme="majorBidi" w:hAnsiTheme="majorBidi" w:cstheme="majorBidi"/>
          <w:szCs w:val="21"/>
          <w:lang w:val="fr-CH"/>
        </w:rPr>
        <w:t>通则</w:t>
      </w:r>
      <w:r w:rsidRPr="00BF42B7">
        <w:rPr>
          <w:rFonts w:asciiTheme="majorBidi" w:hAnsiTheme="majorBidi" w:cstheme="majorBidi" w:hint="eastAsia"/>
          <w:szCs w:val="21"/>
          <w:lang w:val="fr-CH"/>
        </w:rPr>
        <w:t>”</w:t>
      </w:r>
      <w:r w:rsidRPr="00BF42B7">
        <w:rPr>
          <w:rFonts w:asciiTheme="majorBidi" w:hAnsiTheme="majorBidi" w:cstheme="majorBidi"/>
          <w:szCs w:val="21"/>
          <w:lang w:val="fr-CH"/>
        </w:rPr>
        <w:t>。</w:t>
      </w:r>
      <w:r w:rsidRPr="00BF42B7">
        <w:rPr>
          <w:rFonts w:cstheme="majorBidi"/>
          <w:color w:val="0000FF"/>
          <w:szCs w:val="21"/>
          <w:vertAlign w:val="superscript"/>
          <w:lang w:val="fr-CH"/>
        </w:rPr>
        <w:footnoteReference w:id="391"/>
      </w:r>
      <w:r w:rsidRPr="00BF42B7">
        <w:rPr>
          <w:rFonts w:cstheme="majorBidi"/>
          <w:color w:val="0000FF"/>
          <w:szCs w:val="21"/>
          <w:vertAlign w:val="superscript"/>
          <w:lang w:val="fr-CH"/>
        </w:rPr>
        <w:t xml:space="preserve"> </w:t>
      </w:r>
      <w:r w:rsidRPr="00BF42B7">
        <w:rPr>
          <w:rFonts w:asciiTheme="majorBidi" w:hAnsiTheme="majorBidi" w:cstheme="majorBidi"/>
          <w:szCs w:val="21"/>
          <w:lang w:val="fr-CH"/>
        </w:rPr>
        <w:t>第二，第三十一条和第三十二条共同列出了若干</w:t>
      </w:r>
      <w:r w:rsidRPr="00BF42B7">
        <w:rPr>
          <w:rFonts w:asciiTheme="majorBidi" w:hAnsiTheme="majorBidi" w:cstheme="majorBidi" w:hint="eastAsia"/>
          <w:szCs w:val="21"/>
          <w:lang w:val="fr-CH"/>
        </w:rPr>
        <w:t>“</w:t>
      </w:r>
      <w:r w:rsidRPr="00BF42B7">
        <w:rPr>
          <w:rFonts w:asciiTheme="majorBidi" w:hAnsiTheme="majorBidi" w:cstheme="majorBidi"/>
          <w:szCs w:val="21"/>
          <w:lang w:val="fr-CH"/>
        </w:rPr>
        <w:t>解释的资料</w:t>
      </w:r>
      <w:r w:rsidRPr="00BF42B7">
        <w:rPr>
          <w:rFonts w:asciiTheme="majorBidi" w:hAnsiTheme="majorBidi" w:cstheme="majorBidi" w:hint="eastAsia"/>
          <w:szCs w:val="21"/>
          <w:lang w:val="fr-CH"/>
        </w:rPr>
        <w:t>”</w:t>
      </w:r>
      <w:r w:rsidRPr="00BF42B7">
        <w:rPr>
          <w:rFonts w:asciiTheme="majorBidi" w:hAnsiTheme="majorBidi" w:cstheme="majorBidi"/>
          <w:szCs w:val="21"/>
          <w:lang w:val="fr-CH"/>
        </w:rPr>
        <w:t>，在解释条约中应</w:t>
      </w:r>
      <w:r w:rsidRPr="00BF42B7">
        <w:rPr>
          <w:rFonts w:asciiTheme="majorBidi" w:hAnsiTheme="majorBidi" w:cstheme="majorBidi"/>
          <w:szCs w:val="21"/>
          <w:lang w:val="fr-CH"/>
        </w:rPr>
        <w:t>(</w:t>
      </w:r>
      <w:r w:rsidRPr="00BF42B7">
        <w:rPr>
          <w:rFonts w:asciiTheme="majorBidi" w:hAnsiTheme="majorBidi" w:cstheme="majorBidi"/>
          <w:szCs w:val="21"/>
          <w:lang w:val="fr-CH"/>
        </w:rPr>
        <w:t>第三十一条</w:t>
      </w:r>
      <w:r w:rsidRPr="00BF42B7">
        <w:rPr>
          <w:rFonts w:asciiTheme="majorBidi" w:hAnsiTheme="majorBidi" w:cstheme="majorBidi"/>
          <w:szCs w:val="21"/>
          <w:lang w:val="fr-CH"/>
        </w:rPr>
        <w:t>)</w:t>
      </w:r>
      <w:r w:rsidRPr="00BF42B7">
        <w:rPr>
          <w:rFonts w:asciiTheme="majorBidi" w:hAnsiTheme="majorBidi" w:cstheme="majorBidi"/>
          <w:szCs w:val="21"/>
          <w:lang w:val="fr-CH"/>
        </w:rPr>
        <w:t>或可</w:t>
      </w:r>
      <w:r w:rsidRPr="00BF42B7">
        <w:rPr>
          <w:rFonts w:asciiTheme="majorBidi" w:hAnsiTheme="majorBidi" w:cstheme="majorBidi"/>
          <w:szCs w:val="21"/>
          <w:lang w:val="fr-CH"/>
        </w:rPr>
        <w:t>(</w:t>
      </w:r>
      <w:r w:rsidRPr="00BF42B7">
        <w:rPr>
          <w:rFonts w:asciiTheme="majorBidi" w:hAnsiTheme="majorBidi" w:cstheme="majorBidi"/>
          <w:szCs w:val="21"/>
          <w:lang w:val="fr-CH"/>
        </w:rPr>
        <w:t>第三十二条</w:t>
      </w:r>
      <w:r w:rsidRPr="00BF42B7">
        <w:rPr>
          <w:rFonts w:asciiTheme="majorBidi" w:hAnsiTheme="majorBidi" w:cstheme="majorBidi"/>
          <w:szCs w:val="21"/>
          <w:lang w:val="fr-CH"/>
        </w:rPr>
        <w:t>)</w:t>
      </w:r>
      <w:r w:rsidRPr="00BF42B7">
        <w:rPr>
          <w:rFonts w:asciiTheme="majorBidi" w:hAnsiTheme="majorBidi" w:cstheme="majorBidi"/>
          <w:szCs w:val="21"/>
          <w:lang w:val="fr-CH"/>
        </w:rPr>
        <w:t>予以考虑。</w:t>
      </w:r>
      <w:bookmarkStart w:id="86" w:name="_Ref461975596"/>
      <w:r w:rsidRPr="00BF42B7">
        <w:rPr>
          <w:rFonts w:cstheme="majorBidi"/>
          <w:color w:val="0000FF"/>
          <w:szCs w:val="21"/>
          <w:vertAlign w:val="superscript"/>
          <w:lang w:val="fr-CH"/>
        </w:rPr>
        <w:footnoteReference w:id="392"/>
      </w:r>
      <w:bookmarkEnd w:id="86"/>
    </w:p>
    <w:p w:rsidR="008D7906" w:rsidRPr="00BF42B7" w:rsidRDefault="008D7906" w:rsidP="008D7906">
      <w:pPr>
        <w:pStyle w:val="H4GC"/>
        <w:rPr>
          <w:rFonts w:eastAsia="楷体"/>
          <w:i/>
          <w:lang w:val="en-GB"/>
        </w:rPr>
      </w:pPr>
      <w:r w:rsidRPr="00BF42B7">
        <w:rPr>
          <w:rFonts w:eastAsia="楷体"/>
          <w:lang w:val="fr-CH"/>
        </w:rPr>
        <w:tab/>
      </w:r>
      <w:r w:rsidRPr="00BF42B7">
        <w:rPr>
          <w:rFonts w:eastAsia="楷体"/>
          <w:lang w:val="fr-CH"/>
        </w:rPr>
        <w:tab/>
      </w:r>
      <w:r w:rsidRPr="00BF42B7">
        <w:rPr>
          <w:rFonts w:eastAsia="楷体"/>
          <w:lang w:val="fr-CH"/>
        </w:rPr>
        <w:t>第</w:t>
      </w:r>
      <w:r w:rsidRPr="00BF42B7">
        <w:rPr>
          <w:rFonts w:eastAsia="楷体"/>
          <w:lang w:val="fr-CH"/>
        </w:rPr>
        <w:t>1</w:t>
      </w:r>
      <w:r w:rsidRPr="00BF42B7">
        <w:rPr>
          <w:rFonts w:eastAsia="楷体"/>
          <w:lang w:val="fr-CH"/>
        </w:rPr>
        <w:t>段第</w:t>
      </w:r>
      <w:r w:rsidRPr="00BF42B7">
        <w:rPr>
          <w:rFonts w:eastAsia="楷体"/>
          <w:lang w:val="fr-CH"/>
        </w:rPr>
        <w:t>1</w:t>
      </w:r>
      <w:r w:rsidRPr="00BF42B7">
        <w:rPr>
          <w:rFonts w:eastAsia="楷体"/>
          <w:lang w:val="fr-CH"/>
        </w:rPr>
        <w:t>句</w:t>
      </w:r>
      <w:r w:rsidRPr="00BF42B7">
        <w:rPr>
          <w:rStyle w:val="SingleTxtGCChar"/>
          <w:rFonts w:eastAsia="楷体" w:hint="eastAsia"/>
          <w:spacing w:val="-50"/>
        </w:rPr>
        <w:t>―</w:t>
      </w:r>
      <w:r w:rsidRPr="00BF42B7">
        <w:rPr>
          <w:rStyle w:val="SingleTxtGCChar"/>
          <w:rFonts w:eastAsia="楷体" w:hint="eastAsia"/>
        </w:rPr>
        <w:t>―</w:t>
      </w:r>
      <w:r w:rsidRPr="00BF42B7">
        <w:rPr>
          <w:rStyle w:val="SingleTxtGCChar"/>
          <w:rFonts w:eastAsia="楷体"/>
        </w:rPr>
        <w:t>第三十一</w:t>
      </w:r>
      <w:r w:rsidRPr="00BF42B7">
        <w:rPr>
          <w:rFonts w:eastAsia="楷体"/>
          <w:lang w:val="fr-CH"/>
        </w:rPr>
        <w:t>条和第三十二条之间的相互关系</w:t>
      </w:r>
    </w:p>
    <w:p w:rsidR="008D7906" w:rsidRPr="00BF42B7" w:rsidRDefault="008D7906" w:rsidP="008D7906">
      <w:pPr>
        <w:pStyle w:val="SingleTxtGC"/>
        <w:rPr>
          <w:rFonts w:asciiTheme="majorBidi" w:hAnsiTheme="majorBidi" w:cstheme="majorBidi"/>
          <w:szCs w:val="21"/>
          <w:lang w:val="en-GB"/>
        </w:rPr>
      </w:pPr>
      <w:r w:rsidRPr="00BF42B7">
        <w:rPr>
          <w:rFonts w:asciiTheme="majorBidi" w:hAnsiTheme="majorBidi" w:cstheme="majorBidi"/>
          <w:szCs w:val="21"/>
          <w:lang w:val="fr-CH"/>
        </w:rPr>
        <w:t xml:space="preserve">(2)  </w:t>
      </w:r>
      <w:r w:rsidRPr="00BF42B7">
        <w:rPr>
          <w:rFonts w:asciiTheme="majorBidi" w:hAnsiTheme="majorBidi" w:cstheme="majorBidi"/>
          <w:szCs w:val="21"/>
          <w:lang w:val="fr-CH"/>
        </w:rPr>
        <w:t>结论草案</w:t>
      </w:r>
      <w:r w:rsidRPr="00BF42B7">
        <w:rPr>
          <w:rFonts w:asciiTheme="majorBidi" w:hAnsiTheme="majorBidi" w:cstheme="majorBidi"/>
          <w:szCs w:val="21"/>
          <w:lang w:val="fr-CH"/>
        </w:rPr>
        <w:t>2[1]</w:t>
      </w:r>
      <w:r w:rsidRPr="00BF42B7">
        <w:rPr>
          <w:rFonts w:asciiTheme="majorBidi" w:hAnsiTheme="majorBidi" w:cstheme="majorBidi"/>
          <w:szCs w:val="21"/>
          <w:lang w:val="fr-CH"/>
        </w:rPr>
        <w:t>第</w:t>
      </w:r>
      <w:r w:rsidRPr="00BF42B7">
        <w:rPr>
          <w:rFonts w:asciiTheme="majorBidi" w:hAnsiTheme="majorBidi" w:cstheme="majorBidi"/>
          <w:szCs w:val="21"/>
          <w:lang w:val="fr-CH"/>
        </w:rPr>
        <w:t>1</w:t>
      </w:r>
      <w:r w:rsidRPr="00BF42B7">
        <w:rPr>
          <w:rFonts w:asciiTheme="majorBidi" w:hAnsiTheme="majorBidi" w:cstheme="majorBidi"/>
          <w:szCs w:val="21"/>
          <w:lang w:val="fr-CH"/>
        </w:rPr>
        <w:t>段强调第三十一和第三十二条之间的相互关系，谈到这些规定共同反映了习惯国际法。将第三十一和第三十二条一并提及，这等于从一开始就明确了结论草案处理嗣后协定和嗣后惯例的总体背景。</w:t>
      </w:r>
    </w:p>
    <w:p w:rsidR="008D7906" w:rsidRPr="00BF42B7" w:rsidRDefault="008D7906" w:rsidP="008D7906">
      <w:pPr>
        <w:pStyle w:val="SingleTxtGC"/>
        <w:rPr>
          <w:rFonts w:asciiTheme="majorBidi" w:hAnsiTheme="majorBidi" w:cstheme="majorBidi"/>
          <w:szCs w:val="21"/>
          <w:lang w:val="en-GB"/>
        </w:rPr>
      </w:pPr>
      <w:r w:rsidRPr="00BF42B7">
        <w:rPr>
          <w:rFonts w:asciiTheme="majorBidi" w:hAnsiTheme="majorBidi" w:cstheme="majorBidi"/>
          <w:szCs w:val="21"/>
          <w:lang w:val="fr-CH"/>
        </w:rPr>
        <w:t xml:space="preserve">(3)  </w:t>
      </w:r>
      <w:r w:rsidRPr="00BF42B7">
        <w:rPr>
          <w:rFonts w:asciiTheme="majorBidi" w:hAnsiTheme="majorBidi" w:cstheme="majorBidi"/>
          <w:spacing w:val="-4"/>
          <w:szCs w:val="21"/>
          <w:lang w:val="fr-CH"/>
        </w:rPr>
        <w:t>第三十一条载有通则，而第三十二条则涉及解释的补充资料，这两项规则</w:t>
      </w:r>
      <w:bookmarkStart w:id="87" w:name="_Ref461971974"/>
      <w:r w:rsidRPr="00BF42B7">
        <w:rPr>
          <w:rFonts w:cstheme="majorBidi"/>
          <w:color w:val="0000FF"/>
          <w:spacing w:val="-4"/>
          <w:szCs w:val="21"/>
          <w:vertAlign w:val="superscript"/>
          <w:lang w:val="fr-CH"/>
        </w:rPr>
        <w:footnoteReference w:id="393"/>
      </w:r>
      <w:bookmarkEnd w:id="87"/>
      <w:r w:rsidRPr="00BF42B7">
        <w:rPr>
          <w:rFonts w:cstheme="majorBidi"/>
          <w:color w:val="0000FF"/>
          <w:spacing w:val="-4"/>
          <w:szCs w:val="21"/>
          <w:vertAlign w:val="superscript"/>
          <w:lang w:val="fr-CH"/>
        </w:rPr>
        <w:t xml:space="preserve"> </w:t>
      </w:r>
      <w:r w:rsidRPr="00BF42B7">
        <w:rPr>
          <w:rFonts w:asciiTheme="majorBidi" w:hAnsiTheme="majorBidi" w:cstheme="majorBidi"/>
          <w:spacing w:val="-4"/>
          <w:szCs w:val="21"/>
          <w:lang w:val="fr-CH"/>
        </w:rPr>
        <w:t>必</w:t>
      </w:r>
      <w:r w:rsidRPr="00BF42B7">
        <w:rPr>
          <w:rFonts w:asciiTheme="majorBidi" w:hAnsiTheme="majorBidi" w:cstheme="majorBidi"/>
          <w:spacing w:val="-2"/>
          <w:szCs w:val="21"/>
          <w:lang w:val="fr-CH"/>
        </w:rPr>
        <w:t>须一并阅读，因为它们构成解释条约的整体框架。第三十二条含有一个分界点，区分出以下两者：一是在解释过程中依照第三十一条均必须考虑的主要解释资料，</w:t>
      </w:r>
      <w:bookmarkStart w:id="88" w:name="_Ref461972846"/>
      <w:r w:rsidRPr="00BF42B7">
        <w:rPr>
          <w:rFonts w:cstheme="majorBidi"/>
          <w:color w:val="0000FF"/>
          <w:spacing w:val="-2"/>
          <w:szCs w:val="21"/>
          <w:vertAlign w:val="superscript"/>
          <w:lang w:val="fr-CH"/>
        </w:rPr>
        <w:footnoteReference w:id="394"/>
      </w:r>
      <w:bookmarkEnd w:id="88"/>
      <w:r w:rsidRPr="00BF42B7">
        <w:rPr>
          <w:rFonts w:cstheme="majorBidi"/>
          <w:color w:val="0000FF"/>
          <w:spacing w:val="-4"/>
          <w:szCs w:val="21"/>
          <w:vertAlign w:val="superscript"/>
          <w:lang w:val="fr-CH"/>
        </w:rPr>
        <w:t xml:space="preserve"> </w:t>
      </w:r>
      <w:r w:rsidRPr="00BF42B7">
        <w:rPr>
          <w:rFonts w:asciiTheme="majorBidi" w:hAnsiTheme="majorBidi" w:cstheme="majorBidi"/>
          <w:szCs w:val="21"/>
          <w:lang w:val="fr-CH"/>
        </w:rPr>
        <w:t>二是用以确定因适用第三十一条而产生的意思或依照第三十一条解释而条约意义或其术语仍属不明或难解时或所获结果显属荒谬或不合理时而用以确定意思的</w:t>
      </w:r>
      <w:r w:rsidRPr="00BF42B7">
        <w:rPr>
          <w:rFonts w:asciiTheme="majorBidi" w:hAnsiTheme="majorBidi" w:cstheme="majorBidi" w:hint="eastAsia"/>
          <w:szCs w:val="21"/>
          <w:lang w:val="fr-CH"/>
        </w:rPr>
        <w:t>“</w:t>
      </w:r>
      <w:r w:rsidRPr="00BF42B7">
        <w:rPr>
          <w:rFonts w:asciiTheme="majorBidi" w:hAnsiTheme="majorBidi" w:cstheme="majorBidi"/>
          <w:szCs w:val="21"/>
          <w:lang w:val="fr-CH"/>
        </w:rPr>
        <w:t>解释之补充资料</w:t>
      </w:r>
      <w:r w:rsidRPr="00BF42B7">
        <w:rPr>
          <w:rFonts w:asciiTheme="majorBidi" w:hAnsiTheme="majorBidi" w:cstheme="majorBidi" w:hint="eastAsia"/>
          <w:szCs w:val="21"/>
          <w:lang w:val="fr-CH"/>
        </w:rPr>
        <w:t>”</w:t>
      </w:r>
      <w:r w:rsidRPr="00BF42B7">
        <w:rPr>
          <w:rFonts w:asciiTheme="majorBidi" w:hAnsiTheme="majorBidi" w:cstheme="majorBidi"/>
          <w:szCs w:val="21"/>
          <w:lang w:val="fr-CH"/>
        </w:rPr>
        <w:t>。</w:t>
      </w:r>
    </w:p>
    <w:p w:rsidR="008D7906" w:rsidRPr="00BF42B7" w:rsidRDefault="008D7906" w:rsidP="008D7906">
      <w:pPr>
        <w:pStyle w:val="H4GC"/>
        <w:rPr>
          <w:rFonts w:eastAsia="楷体"/>
          <w:i/>
          <w:lang w:val="en-GB"/>
        </w:rPr>
      </w:pPr>
      <w:r w:rsidRPr="00BF42B7">
        <w:rPr>
          <w:rFonts w:eastAsia="楷体"/>
          <w:lang w:val="fr-CH"/>
        </w:rPr>
        <w:tab/>
      </w:r>
      <w:r w:rsidRPr="00BF42B7">
        <w:rPr>
          <w:rFonts w:eastAsia="楷体"/>
          <w:lang w:val="fr-CH"/>
        </w:rPr>
        <w:tab/>
      </w:r>
      <w:r w:rsidRPr="00BF42B7">
        <w:rPr>
          <w:rFonts w:eastAsia="楷体"/>
          <w:lang w:val="fr-CH"/>
        </w:rPr>
        <w:t>第</w:t>
      </w:r>
      <w:r w:rsidRPr="00BF42B7">
        <w:rPr>
          <w:rFonts w:eastAsia="楷体"/>
          <w:lang w:val="fr-CH"/>
        </w:rPr>
        <w:t>1</w:t>
      </w:r>
      <w:r w:rsidRPr="00BF42B7">
        <w:rPr>
          <w:rFonts w:eastAsia="楷体"/>
          <w:lang w:val="fr-CH"/>
        </w:rPr>
        <w:t>段第</w:t>
      </w:r>
      <w:r w:rsidRPr="00BF42B7">
        <w:rPr>
          <w:rFonts w:eastAsia="楷体"/>
          <w:lang w:val="fr-CH"/>
        </w:rPr>
        <w:t>2</w:t>
      </w:r>
      <w:r w:rsidRPr="00BF42B7">
        <w:rPr>
          <w:rFonts w:eastAsia="楷体"/>
          <w:lang w:val="fr-CH"/>
        </w:rPr>
        <w:t>句</w:t>
      </w:r>
      <w:r w:rsidRPr="00BF42B7">
        <w:rPr>
          <w:rStyle w:val="SingleTxtGCChar"/>
          <w:rFonts w:eastAsia="楷体" w:hint="eastAsia"/>
          <w:spacing w:val="-50"/>
        </w:rPr>
        <w:t>―</w:t>
      </w:r>
      <w:r w:rsidRPr="00BF42B7">
        <w:rPr>
          <w:rStyle w:val="SingleTxtGCChar"/>
          <w:rFonts w:eastAsia="楷体" w:hint="eastAsia"/>
        </w:rPr>
        <w:t>―</w:t>
      </w:r>
      <w:r w:rsidRPr="00BF42B7">
        <w:rPr>
          <w:rStyle w:val="SingleTxtGCChar"/>
          <w:rFonts w:eastAsia="楷体"/>
        </w:rPr>
        <w:t>《维也纳公约》</w:t>
      </w:r>
      <w:r w:rsidRPr="00BF42B7">
        <w:rPr>
          <w:rFonts w:eastAsia="楷体"/>
          <w:lang w:val="fr-CH"/>
        </w:rPr>
        <w:t>解释规则与习惯国际法</w:t>
      </w:r>
    </w:p>
    <w:p w:rsidR="008D7906" w:rsidRPr="00BF42B7" w:rsidRDefault="008D7906" w:rsidP="008D7906">
      <w:pPr>
        <w:pStyle w:val="SingleTxtGC"/>
        <w:rPr>
          <w:rFonts w:asciiTheme="majorBidi" w:hAnsiTheme="majorBidi" w:cstheme="majorBidi"/>
          <w:szCs w:val="21"/>
          <w:lang w:val="en-GB"/>
        </w:rPr>
      </w:pPr>
      <w:r w:rsidRPr="00BF42B7">
        <w:rPr>
          <w:rFonts w:asciiTheme="majorBidi" w:hAnsiTheme="majorBidi" w:cstheme="majorBidi"/>
          <w:spacing w:val="2"/>
          <w:szCs w:val="21"/>
          <w:lang w:val="fr-CH"/>
        </w:rPr>
        <w:t xml:space="preserve">(4)  </w:t>
      </w:r>
      <w:r w:rsidRPr="00BF42B7">
        <w:rPr>
          <w:rFonts w:asciiTheme="majorBidi" w:hAnsiTheme="majorBidi" w:cstheme="majorBidi"/>
          <w:spacing w:val="2"/>
          <w:szCs w:val="21"/>
          <w:lang w:val="fr-CH"/>
        </w:rPr>
        <w:t>结论草案</w:t>
      </w:r>
      <w:r w:rsidRPr="00BF42B7">
        <w:rPr>
          <w:rFonts w:asciiTheme="majorBidi" w:hAnsiTheme="majorBidi" w:cstheme="majorBidi"/>
          <w:spacing w:val="2"/>
          <w:szCs w:val="21"/>
          <w:lang w:val="fr-CH"/>
        </w:rPr>
        <w:t>2[1]</w:t>
      </w:r>
      <w:r w:rsidRPr="00BF42B7">
        <w:rPr>
          <w:rFonts w:asciiTheme="majorBidi" w:hAnsiTheme="majorBidi" w:cstheme="majorBidi"/>
          <w:spacing w:val="2"/>
          <w:szCs w:val="21"/>
          <w:lang w:val="fr-CH"/>
        </w:rPr>
        <w:t>第</w:t>
      </w:r>
      <w:r w:rsidRPr="00BF42B7">
        <w:rPr>
          <w:rFonts w:asciiTheme="majorBidi" w:hAnsiTheme="majorBidi" w:cstheme="majorBidi"/>
          <w:spacing w:val="2"/>
          <w:szCs w:val="21"/>
          <w:lang w:val="fr-CH"/>
        </w:rPr>
        <w:t>1</w:t>
      </w:r>
      <w:r w:rsidRPr="00BF42B7">
        <w:rPr>
          <w:rFonts w:asciiTheme="majorBidi" w:hAnsiTheme="majorBidi" w:cstheme="majorBidi"/>
          <w:spacing w:val="2"/>
          <w:szCs w:val="21"/>
          <w:lang w:val="fr-CH"/>
        </w:rPr>
        <w:t>段第二句确认第三十一条和第三十二条所载规则反映了习惯国际法。</w:t>
      </w:r>
      <w:bookmarkStart w:id="89" w:name="_Ref461975660"/>
      <w:r w:rsidRPr="00BF42B7">
        <w:rPr>
          <w:rFonts w:cstheme="majorBidi"/>
          <w:color w:val="0000FF"/>
          <w:spacing w:val="2"/>
          <w:szCs w:val="21"/>
          <w:vertAlign w:val="superscript"/>
          <w:lang w:val="fr-CH"/>
        </w:rPr>
        <w:footnoteReference w:id="395"/>
      </w:r>
      <w:bookmarkEnd w:id="89"/>
      <w:r w:rsidRPr="00BF42B7">
        <w:rPr>
          <w:rFonts w:cstheme="majorBidi"/>
          <w:color w:val="0000FF"/>
          <w:spacing w:val="2"/>
          <w:szCs w:val="21"/>
          <w:vertAlign w:val="superscript"/>
          <w:lang w:val="fr-CH"/>
        </w:rPr>
        <w:t xml:space="preserve"> </w:t>
      </w:r>
      <w:r w:rsidRPr="00BF42B7">
        <w:rPr>
          <w:rFonts w:asciiTheme="majorBidi" w:hAnsiTheme="majorBidi" w:cstheme="majorBidi"/>
          <w:spacing w:val="2"/>
          <w:szCs w:val="21"/>
          <w:lang w:val="fr-CH"/>
        </w:rPr>
        <w:t>各种国际法院和法庭均承认这些规则的习惯性质，尤其是国际法院</w:t>
      </w:r>
      <w:bookmarkStart w:id="90" w:name="_Ref461971066"/>
      <w:r w:rsidRPr="00BF42B7">
        <w:rPr>
          <w:rFonts w:cstheme="majorBidi"/>
          <w:color w:val="0000FF"/>
          <w:szCs w:val="21"/>
          <w:vertAlign w:val="superscript"/>
          <w:lang w:val="fr-CH"/>
        </w:rPr>
        <w:footnoteReference w:id="396"/>
      </w:r>
      <w:bookmarkEnd w:id="90"/>
      <w:r w:rsidRPr="00BF42B7">
        <w:rPr>
          <w:rFonts w:cstheme="majorBidi"/>
          <w:color w:val="0000FF"/>
          <w:szCs w:val="21"/>
          <w:vertAlign w:val="superscript"/>
          <w:lang w:val="fr-CH"/>
        </w:rPr>
        <w:t xml:space="preserve"> </w:t>
      </w:r>
      <w:r w:rsidRPr="00BF42B7">
        <w:rPr>
          <w:rFonts w:asciiTheme="majorBidi" w:hAnsiTheme="majorBidi" w:cstheme="majorBidi"/>
          <w:szCs w:val="21"/>
          <w:lang w:val="fr-CH"/>
        </w:rPr>
        <w:t>、国际海洋法法庭</w:t>
      </w:r>
      <w:r w:rsidRPr="00BF42B7">
        <w:rPr>
          <w:rFonts w:asciiTheme="majorBidi" w:hAnsiTheme="majorBidi" w:cstheme="majorBidi"/>
          <w:szCs w:val="21"/>
          <w:lang w:val="fr-CH"/>
        </w:rPr>
        <w:t>(</w:t>
      </w:r>
      <w:r w:rsidRPr="00BF42B7">
        <w:rPr>
          <w:rFonts w:asciiTheme="majorBidi" w:hAnsiTheme="majorBidi" w:cstheme="majorBidi" w:hint="eastAsia"/>
          <w:szCs w:val="21"/>
          <w:lang w:val="fr-CH"/>
        </w:rPr>
        <w:t>“</w:t>
      </w:r>
      <w:r w:rsidRPr="00BF42B7">
        <w:rPr>
          <w:rFonts w:asciiTheme="majorBidi" w:hAnsiTheme="majorBidi" w:cstheme="majorBidi"/>
          <w:szCs w:val="21"/>
          <w:lang w:val="fr-CH"/>
        </w:rPr>
        <w:t>海洋法法庭</w:t>
      </w:r>
      <w:r w:rsidRPr="00BF42B7">
        <w:rPr>
          <w:rFonts w:asciiTheme="majorBidi" w:hAnsiTheme="majorBidi" w:cstheme="majorBidi" w:hint="eastAsia"/>
          <w:szCs w:val="21"/>
          <w:lang w:val="fr-CH"/>
        </w:rPr>
        <w:t>”</w:t>
      </w:r>
      <w:r w:rsidRPr="00BF42B7">
        <w:rPr>
          <w:rFonts w:asciiTheme="majorBidi" w:hAnsiTheme="majorBidi" w:cstheme="majorBidi"/>
          <w:szCs w:val="21"/>
          <w:lang w:val="fr-CH"/>
        </w:rPr>
        <w:t>)</w:t>
      </w:r>
      <w:bookmarkStart w:id="91" w:name="_Ref461976519"/>
      <w:r w:rsidRPr="00BF42B7">
        <w:rPr>
          <w:rFonts w:cstheme="majorBidi"/>
          <w:color w:val="0000FF"/>
          <w:szCs w:val="21"/>
          <w:vertAlign w:val="superscript"/>
          <w:lang w:val="fr-CH"/>
        </w:rPr>
        <w:footnoteReference w:id="397"/>
      </w:r>
      <w:bookmarkEnd w:id="91"/>
      <w:r w:rsidRPr="00BF42B7">
        <w:rPr>
          <w:rFonts w:asciiTheme="majorBidi" w:hAnsiTheme="majorBidi" w:cstheme="majorBidi"/>
          <w:szCs w:val="21"/>
          <w:lang w:val="fr-CH"/>
        </w:rPr>
        <w:t>、国家间仲裁</w:t>
      </w:r>
      <w:bookmarkStart w:id="92" w:name="_Ref461976445"/>
      <w:r w:rsidRPr="00BF42B7">
        <w:rPr>
          <w:rFonts w:cstheme="majorBidi"/>
          <w:color w:val="0000FF"/>
          <w:szCs w:val="21"/>
          <w:vertAlign w:val="superscript"/>
          <w:lang w:val="fr-CH"/>
        </w:rPr>
        <w:footnoteReference w:id="398"/>
      </w:r>
      <w:bookmarkEnd w:id="92"/>
      <w:r w:rsidRPr="00BF42B7">
        <w:rPr>
          <w:rFonts w:asciiTheme="majorBidi" w:hAnsiTheme="majorBidi" w:cstheme="majorBidi"/>
          <w:szCs w:val="21"/>
          <w:lang w:val="fr-CH"/>
        </w:rPr>
        <w:t>、世界贸易组织</w:t>
      </w:r>
      <w:r w:rsidRPr="00BF42B7">
        <w:rPr>
          <w:rFonts w:asciiTheme="majorBidi" w:hAnsiTheme="majorBidi" w:cstheme="majorBidi"/>
          <w:szCs w:val="21"/>
          <w:lang w:val="fr-CH"/>
        </w:rPr>
        <w:t>(</w:t>
      </w:r>
      <w:r w:rsidRPr="00BF42B7">
        <w:rPr>
          <w:rFonts w:asciiTheme="majorBidi" w:hAnsiTheme="majorBidi" w:cstheme="majorBidi"/>
          <w:szCs w:val="21"/>
          <w:lang w:val="fr-CH"/>
        </w:rPr>
        <w:t>世贸组织</w:t>
      </w:r>
      <w:r w:rsidRPr="00BF42B7">
        <w:rPr>
          <w:rFonts w:asciiTheme="majorBidi" w:hAnsiTheme="majorBidi" w:cstheme="majorBidi"/>
          <w:szCs w:val="21"/>
          <w:lang w:val="fr-CH"/>
        </w:rPr>
        <w:t>)</w:t>
      </w:r>
      <w:r w:rsidRPr="00BF42B7">
        <w:rPr>
          <w:rFonts w:asciiTheme="majorBidi" w:hAnsiTheme="majorBidi" w:cstheme="majorBidi"/>
          <w:szCs w:val="21"/>
          <w:lang w:val="fr-CH"/>
        </w:rPr>
        <w:t>上诉机构</w:t>
      </w:r>
      <w:bookmarkStart w:id="93" w:name="_Ref461973084"/>
      <w:r w:rsidRPr="00BF42B7">
        <w:rPr>
          <w:rFonts w:cstheme="majorBidi"/>
          <w:color w:val="0000FF"/>
          <w:szCs w:val="21"/>
          <w:vertAlign w:val="superscript"/>
          <w:lang w:val="fr-CH"/>
        </w:rPr>
        <w:footnoteReference w:id="399"/>
      </w:r>
      <w:bookmarkEnd w:id="93"/>
      <w:r w:rsidRPr="00BF42B7">
        <w:rPr>
          <w:rFonts w:asciiTheme="majorBidi" w:hAnsiTheme="majorBidi" w:cstheme="majorBidi"/>
          <w:szCs w:val="21"/>
          <w:lang w:val="fr-CH"/>
        </w:rPr>
        <w:t>、欧洲人权法院</w:t>
      </w:r>
      <w:r w:rsidRPr="00BF42B7">
        <w:rPr>
          <w:rFonts w:cstheme="majorBidi"/>
          <w:color w:val="0000FF"/>
          <w:szCs w:val="21"/>
          <w:vertAlign w:val="superscript"/>
          <w:lang w:val="fr-CH"/>
        </w:rPr>
        <w:footnoteReference w:id="400"/>
      </w:r>
      <w:r w:rsidRPr="00BF42B7">
        <w:rPr>
          <w:rFonts w:asciiTheme="majorBidi" w:hAnsiTheme="majorBidi" w:cstheme="majorBidi"/>
          <w:szCs w:val="21"/>
          <w:lang w:val="fr-CH"/>
        </w:rPr>
        <w:t>、美洲人权法院</w:t>
      </w:r>
      <w:bookmarkStart w:id="94" w:name="_Ref461973238"/>
      <w:r w:rsidRPr="00BF42B7">
        <w:rPr>
          <w:rFonts w:cstheme="majorBidi"/>
          <w:color w:val="0000FF"/>
          <w:szCs w:val="21"/>
          <w:vertAlign w:val="superscript"/>
          <w:lang w:val="fr-CH"/>
        </w:rPr>
        <w:footnoteReference w:id="401"/>
      </w:r>
      <w:bookmarkEnd w:id="94"/>
      <w:r w:rsidRPr="00BF42B7">
        <w:rPr>
          <w:rFonts w:asciiTheme="majorBidi" w:hAnsiTheme="majorBidi" w:cstheme="majorBidi"/>
          <w:szCs w:val="21"/>
          <w:lang w:val="fr-CH"/>
        </w:rPr>
        <w:t>、欧洲联盟法院</w:t>
      </w:r>
      <w:r w:rsidRPr="00BF42B7">
        <w:rPr>
          <w:rFonts w:cstheme="majorBidi"/>
          <w:color w:val="0000FF"/>
          <w:szCs w:val="21"/>
          <w:vertAlign w:val="superscript"/>
          <w:lang w:val="fr-CH"/>
        </w:rPr>
        <w:footnoteReference w:id="402"/>
      </w:r>
      <w:r w:rsidRPr="00BF42B7">
        <w:rPr>
          <w:rFonts w:cstheme="majorBidi"/>
          <w:color w:val="0000FF"/>
          <w:szCs w:val="21"/>
          <w:vertAlign w:val="superscript"/>
          <w:lang w:val="fr-CH"/>
        </w:rPr>
        <w:t xml:space="preserve"> </w:t>
      </w:r>
      <w:r w:rsidRPr="00BF42B7">
        <w:rPr>
          <w:rFonts w:asciiTheme="majorBidi" w:hAnsiTheme="majorBidi" w:cstheme="majorBidi"/>
          <w:szCs w:val="21"/>
          <w:lang w:val="fr-CH"/>
        </w:rPr>
        <w:t>和</w:t>
      </w:r>
      <w:r w:rsidRPr="00BF42B7">
        <w:rPr>
          <w:rFonts w:asciiTheme="majorBidi" w:hAnsiTheme="majorBidi" w:cstheme="majorBidi"/>
          <w:spacing w:val="2"/>
          <w:szCs w:val="21"/>
          <w:lang w:val="fr-CH"/>
        </w:rPr>
        <w:t>《关于解决国家和他国国民之间投资争端公约》</w:t>
      </w:r>
      <w:r w:rsidRPr="00BF42B7">
        <w:rPr>
          <w:rFonts w:cstheme="majorBidi"/>
          <w:color w:val="0000FF"/>
          <w:spacing w:val="2"/>
          <w:szCs w:val="21"/>
          <w:vertAlign w:val="superscript"/>
          <w:lang w:val="fr-CH"/>
        </w:rPr>
        <w:footnoteReference w:id="403"/>
      </w:r>
      <w:r w:rsidRPr="00BF42B7">
        <w:rPr>
          <w:rFonts w:cstheme="majorBidi"/>
          <w:color w:val="0000FF"/>
          <w:spacing w:val="2"/>
          <w:szCs w:val="21"/>
          <w:vertAlign w:val="superscript"/>
          <w:lang w:val="fr-CH"/>
        </w:rPr>
        <w:t xml:space="preserve"> </w:t>
      </w:r>
      <w:r w:rsidRPr="00BF42B7">
        <w:rPr>
          <w:rFonts w:asciiTheme="majorBidi" w:hAnsiTheme="majorBidi" w:cstheme="majorBidi"/>
          <w:spacing w:val="2"/>
          <w:szCs w:val="21"/>
          <w:lang w:val="fr-CH"/>
        </w:rPr>
        <w:t>之下的解决投资争端国际中心</w:t>
      </w:r>
      <w:r w:rsidRPr="00BF42B7">
        <w:rPr>
          <w:rFonts w:cstheme="majorBidi"/>
          <w:color w:val="0000FF"/>
          <w:spacing w:val="2"/>
          <w:szCs w:val="21"/>
          <w:vertAlign w:val="superscript"/>
          <w:lang w:val="fr-CH"/>
        </w:rPr>
        <w:footnoteReference w:id="404"/>
      </w:r>
      <w:r w:rsidRPr="00BF42B7">
        <w:rPr>
          <w:rFonts w:cstheme="majorBidi"/>
          <w:color w:val="0000FF"/>
          <w:spacing w:val="-2"/>
          <w:szCs w:val="21"/>
          <w:vertAlign w:val="superscript"/>
          <w:lang w:val="fr-CH"/>
        </w:rPr>
        <w:t xml:space="preserve"> </w:t>
      </w:r>
      <w:r w:rsidRPr="00BF42B7">
        <w:rPr>
          <w:rFonts w:asciiTheme="majorBidi" w:hAnsiTheme="majorBidi" w:cstheme="majorBidi"/>
          <w:szCs w:val="21"/>
          <w:lang w:val="fr-CH"/>
        </w:rPr>
        <w:t>所设各法庭。因此，第三十一和第三十二条所载规则在</w:t>
      </w:r>
      <w:r w:rsidRPr="00BF42B7">
        <w:rPr>
          <w:rFonts w:asciiTheme="majorBidi" w:hAnsiTheme="majorBidi" w:cstheme="majorBidi"/>
          <w:szCs w:val="21"/>
          <w:lang w:val="fr-CH"/>
        </w:rPr>
        <w:t>1969</w:t>
      </w:r>
      <w:r w:rsidRPr="00BF42B7">
        <w:rPr>
          <w:rFonts w:asciiTheme="majorBidi" w:hAnsiTheme="majorBidi" w:cstheme="majorBidi"/>
          <w:szCs w:val="21"/>
          <w:lang w:val="fr-CH"/>
        </w:rPr>
        <w:t>年《维也纳公约》的缔约国以及《公约》范围内各条约的缔约国之间作为条约法适用，在所有国家之间作为习惯国际法适用。</w:t>
      </w:r>
    </w:p>
    <w:p w:rsidR="008D7906" w:rsidRPr="00BF42B7" w:rsidRDefault="008D7906" w:rsidP="008D7906">
      <w:pPr>
        <w:pStyle w:val="SingleTxtGC"/>
        <w:rPr>
          <w:lang w:val="en-GB"/>
        </w:rPr>
      </w:pPr>
      <w:r w:rsidRPr="00BF42B7">
        <w:rPr>
          <w:lang w:val="fr-CH"/>
        </w:rPr>
        <w:t xml:space="preserve">(5)  </w:t>
      </w:r>
      <w:r w:rsidRPr="00BF42B7">
        <w:rPr>
          <w:lang w:val="fr-CH"/>
        </w:rPr>
        <w:t>委员会还审议了在结论草案</w:t>
      </w:r>
      <w:r w:rsidRPr="00BF42B7">
        <w:rPr>
          <w:lang w:val="fr-CH"/>
        </w:rPr>
        <w:t>2[1]</w:t>
      </w:r>
      <w:r w:rsidRPr="00BF42B7">
        <w:rPr>
          <w:lang w:val="fr-CH"/>
        </w:rPr>
        <w:t>中提到</w:t>
      </w:r>
      <w:r w:rsidRPr="00BF42B7">
        <w:rPr>
          <w:lang w:val="fr-CH"/>
        </w:rPr>
        <w:t>1969</w:t>
      </w:r>
      <w:r w:rsidRPr="00BF42B7">
        <w:rPr>
          <w:lang w:val="fr-CH"/>
        </w:rPr>
        <w:t>年《维也纳公约》第三十三条以及该条是否也反映习惯国际法的问题。第三十三条可能与</w:t>
      </w:r>
      <w:r w:rsidRPr="00BF42B7">
        <w:rPr>
          <w:rFonts w:hint="eastAsia"/>
          <w:lang w:val="fr-CH"/>
        </w:rPr>
        <w:t>“</w:t>
      </w:r>
      <w:r w:rsidRPr="00BF42B7">
        <w:rPr>
          <w:lang w:val="fr-CH"/>
        </w:rPr>
        <w:t>与条约解释相关的嗣后协定和嗣后惯例</w:t>
      </w:r>
      <w:r w:rsidRPr="00BF42B7">
        <w:rPr>
          <w:rFonts w:hint="eastAsia"/>
          <w:lang w:val="fr-CH"/>
        </w:rPr>
        <w:t>”</w:t>
      </w:r>
      <w:r w:rsidRPr="00BF42B7">
        <w:rPr>
          <w:lang w:val="fr-CH"/>
        </w:rPr>
        <w:t>专题的结论草案相关。例如，第三十一条第三款</w:t>
      </w:r>
      <w:r w:rsidRPr="00BF42B7">
        <w:rPr>
          <w:lang w:val="fr-CH"/>
        </w:rPr>
        <w:t>(a)</w:t>
      </w:r>
      <w:r w:rsidRPr="00BF42B7">
        <w:rPr>
          <w:lang w:val="fr-CH"/>
        </w:rPr>
        <w:t>项之下的</w:t>
      </w:r>
      <w:r w:rsidRPr="00BF42B7">
        <w:rPr>
          <w:rFonts w:hint="eastAsia"/>
          <w:lang w:val="fr-CH"/>
        </w:rPr>
        <w:t>“</w:t>
      </w:r>
      <w:r w:rsidRPr="00BF42B7">
        <w:rPr>
          <w:lang w:val="fr-CH"/>
        </w:rPr>
        <w:t>嗣后协定</w:t>
      </w:r>
      <w:r w:rsidRPr="00BF42B7">
        <w:rPr>
          <w:rFonts w:hint="eastAsia"/>
          <w:lang w:val="fr-CH"/>
        </w:rPr>
        <w:t>”</w:t>
      </w:r>
      <w:r w:rsidRPr="00BF42B7">
        <w:rPr>
          <w:lang w:val="fr-CH"/>
        </w:rPr>
        <w:t>，可能以两种或多种语文拟订，可能出现任何嗣后协定与条约本身不同语文文本之间关系的问题。尽管如此，委员会决定目前暂不处理这类问题。</w:t>
      </w:r>
    </w:p>
    <w:p w:rsidR="008D7906" w:rsidRPr="00BF42B7" w:rsidRDefault="008D7906" w:rsidP="008D7906">
      <w:pPr>
        <w:pStyle w:val="SingleTxtGC"/>
        <w:rPr>
          <w:lang w:val="en-GB"/>
        </w:rPr>
      </w:pPr>
      <w:r w:rsidRPr="00BF42B7">
        <w:rPr>
          <w:lang w:val="fr-CH"/>
        </w:rPr>
        <w:t xml:space="preserve">(6)  </w:t>
      </w:r>
      <w:r w:rsidRPr="00BF42B7">
        <w:rPr>
          <w:lang w:val="fr-CH"/>
        </w:rPr>
        <w:t>委员会尤其审议了第三十三条所列规则是否反映了习惯国际法的问题。一些委员认为，第三十三条的所有规则均反映了习惯国际法，而另一些委员则希望保留该条所列部分规则而非全部规则可如此定性的可能性。各国际法院和法庭的判例尚未充分处理这一问题。国际法院和世贸组织上诉机构承认，第三十三条的某些部分反映了习惯国际法规则。在</w:t>
      </w:r>
      <w:r w:rsidRPr="00BF42B7">
        <w:rPr>
          <w:rFonts w:eastAsia="楷体"/>
          <w:lang w:val="fr-CH"/>
        </w:rPr>
        <w:t>拉格朗案</w:t>
      </w:r>
      <w:r w:rsidRPr="00BF42B7">
        <w:rPr>
          <w:lang w:val="fr-CH"/>
        </w:rPr>
        <w:t>中，国际法院承认第三十三条第四款反映了习惯法。</w:t>
      </w:r>
      <w:r w:rsidRPr="00BF42B7">
        <w:rPr>
          <w:color w:val="0000FF"/>
          <w:vertAlign w:val="superscript"/>
          <w:lang w:val="fr-CH"/>
        </w:rPr>
        <w:footnoteReference w:id="405"/>
      </w:r>
      <w:r w:rsidRPr="00BF42B7">
        <w:rPr>
          <w:color w:val="0000FF"/>
          <w:vertAlign w:val="superscript"/>
          <w:lang w:val="fr-CH"/>
        </w:rPr>
        <w:t xml:space="preserve"> </w:t>
      </w:r>
      <w:r w:rsidRPr="00BF42B7">
        <w:rPr>
          <w:lang w:val="fr-CH"/>
        </w:rPr>
        <w:t>而国际法院在</w:t>
      </w:r>
      <w:r w:rsidRPr="00BF42B7">
        <w:rPr>
          <w:rFonts w:eastAsia="楷体"/>
          <w:lang w:val="fr-CH"/>
        </w:rPr>
        <w:t>卡西基里</w:t>
      </w:r>
      <w:r w:rsidRPr="00BF42B7">
        <w:rPr>
          <w:rFonts w:eastAsia="楷体"/>
          <w:lang w:val="fr-CH"/>
        </w:rPr>
        <w:t>/</w:t>
      </w:r>
      <w:r w:rsidRPr="00BF42B7">
        <w:rPr>
          <w:rFonts w:eastAsia="楷体"/>
          <w:lang w:val="fr-CH"/>
        </w:rPr>
        <w:t>塞杜杜岛案</w:t>
      </w:r>
      <w:r w:rsidRPr="00BF42B7">
        <w:rPr>
          <w:lang w:val="fr-CH"/>
        </w:rPr>
        <w:t>中是否认为第三十三条第三款反映了习惯法规则，则不甚明确。</w:t>
      </w:r>
      <w:r w:rsidRPr="00BF42B7">
        <w:rPr>
          <w:color w:val="0000FF"/>
          <w:vertAlign w:val="superscript"/>
          <w:lang w:val="fr-CH"/>
        </w:rPr>
        <w:footnoteReference w:id="406"/>
      </w:r>
      <w:r w:rsidRPr="00BF42B7">
        <w:rPr>
          <w:color w:val="0000FF"/>
          <w:vertAlign w:val="superscript"/>
          <w:lang w:val="fr-CH"/>
        </w:rPr>
        <w:t xml:space="preserve"> </w:t>
      </w:r>
      <w:r w:rsidRPr="00BF42B7">
        <w:rPr>
          <w:lang w:val="fr-CH"/>
        </w:rPr>
        <w:t>世贸组织上诉机构认为，第三和第四款的规则反映了习惯法。</w:t>
      </w:r>
      <w:r w:rsidRPr="00BF42B7">
        <w:rPr>
          <w:color w:val="0000FF"/>
          <w:vertAlign w:val="superscript"/>
          <w:lang w:val="fr-CH"/>
        </w:rPr>
        <w:footnoteReference w:id="407"/>
      </w:r>
      <w:r w:rsidRPr="00BF42B7">
        <w:rPr>
          <w:color w:val="0000FF"/>
          <w:vertAlign w:val="superscript"/>
          <w:lang w:val="fr-CH"/>
        </w:rPr>
        <w:t xml:space="preserve"> </w:t>
      </w:r>
      <w:r w:rsidRPr="00BF42B7">
        <w:rPr>
          <w:lang w:val="fr-CH"/>
        </w:rPr>
        <w:t>仲裁法庭在</w:t>
      </w:r>
      <w:r w:rsidRPr="00BF42B7">
        <w:rPr>
          <w:lang w:val="fr-CH"/>
        </w:rPr>
        <w:t>Young</w:t>
      </w:r>
      <w:r w:rsidRPr="00BF42B7">
        <w:rPr>
          <w:rFonts w:eastAsia="楷体"/>
          <w:lang w:val="fr-CH"/>
        </w:rPr>
        <w:t>贷款仲裁案</w:t>
      </w:r>
      <w:r w:rsidRPr="00BF42B7">
        <w:rPr>
          <w:lang w:val="fr-CH"/>
        </w:rPr>
        <w:t>中认定，第一款</w:t>
      </w:r>
      <w:r w:rsidRPr="00BF42B7">
        <w:rPr>
          <w:rFonts w:hint="eastAsia"/>
          <w:lang w:val="fr-CH"/>
        </w:rPr>
        <w:t>“</w:t>
      </w:r>
      <w:r w:rsidRPr="00BF42B7">
        <w:rPr>
          <w:lang w:val="fr-CH"/>
        </w:rPr>
        <w:t>纳入</w:t>
      </w:r>
      <w:r w:rsidRPr="00BF42B7">
        <w:rPr>
          <w:rFonts w:hint="eastAsia"/>
          <w:lang w:val="fr-CH"/>
        </w:rPr>
        <w:t>”</w:t>
      </w:r>
      <w:r w:rsidRPr="00BF42B7">
        <w:rPr>
          <w:lang w:val="fr-CH"/>
        </w:rPr>
        <w:t>了一项</w:t>
      </w:r>
      <w:r w:rsidRPr="00BF42B7">
        <w:rPr>
          <w:rFonts w:hint="eastAsia"/>
          <w:lang w:val="fr-CH"/>
        </w:rPr>
        <w:t>“</w:t>
      </w:r>
      <w:r w:rsidRPr="00BF42B7">
        <w:rPr>
          <w:lang w:val="fr-CH"/>
        </w:rPr>
        <w:t>原则</w:t>
      </w:r>
      <w:r w:rsidRPr="00BF42B7">
        <w:rPr>
          <w:rFonts w:hint="eastAsia"/>
          <w:lang w:val="fr-CH"/>
        </w:rPr>
        <w:t>”</w:t>
      </w:r>
      <w:r w:rsidRPr="00BF42B7">
        <w:rPr>
          <w:lang w:val="fr-CH"/>
        </w:rPr>
        <w:t>。</w:t>
      </w:r>
      <w:r w:rsidRPr="00BF42B7">
        <w:rPr>
          <w:color w:val="0000FF"/>
          <w:vertAlign w:val="superscript"/>
          <w:lang w:val="fr-CH"/>
        </w:rPr>
        <w:footnoteReference w:id="408"/>
      </w:r>
      <w:r w:rsidRPr="00BF42B7">
        <w:rPr>
          <w:color w:val="0000FF"/>
          <w:vertAlign w:val="superscript"/>
          <w:lang w:val="fr-CH"/>
        </w:rPr>
        <w:t xml:space="preserve"> </w:t>
      </w:r>
      <w:r w:rsidRPr="00BF42B7">
        <w:rPr>
          <w:lang w:val="fr-CH"/>
        </w:rPr>
        <w:t>海洋法法庭和欧洲人权法院更进一步，主张第三十三条整条反映了习惯法。</w:t>
      </w:r>
      <w:r w:rsidRPr="00BF42B7">
        <w:rPr>
          <w:color w:val="0000FF"/>
          <w:vertAlign w:val="superscript"/>
          <w:lang w:val="fr-CH"/>
        </w:rPr>
        <w:footnoteReference w:id="409"/>
      </w:r>
      <w:r w:rsidRPr="0078561F">
        <w:rPr>
          <w:color w:val="0000FF"/>
          <w:lang w:val="fr-CH"/>
        </w:rPr>
        <w:t xml:space="preserve"> </w:t>
      </w:r>
      <w:r w:rsidRPr="00BF42B7">
        <w:rPr>
          <w:lang w:val="fr-CH"/>
        </w:rPr>
        <w:t>因此，在判例法中，有大量案例表明，第三十三条确实整条都反映了习惯国际法。</w:t>
      </w:r>
    </w:p>
    <w:p w:rsidR="008D7906" w:rsidRPr="00BF42B7" w:rsidRDefault="008D7906" w:rsidP="008D7906">
      <w:pPr>
        <w:pStyle w:val="H4GC"/>
        <w:rPr>
          <w:rFonts w:eastAsia="楷体"/>
          <w:i/>
          <w:lang w:val="en-GB"/>
        </w:rPr>
      </w:pPr>
      <w:r w:rsidRPr="00BF42B7">
        <w:rPr>
          <w:rFonts w:eastAsia="楷体"/>
          <w:lang w:val="fr-CH"/>
        </w:rPr>
        <w:tab/>
      </w:r>
      <w:r w:rsidRPr="00BF42B7">
        <w:rPr>
          <w:rFonts w:eastAsia="楷体"/>
          <w:lang w:val="fr-CH"/>
        </w:rPr>
        <w:tab/>
      </w:r>
      <w:r w:rsidRPr="00BF42B7">
        <w:rPr>
          <w:rFonts w:eastAsia="楷体"/>
          <w:lang w:val="fr-CH"/>
        </w:rPr>
        <w:t>第</w:t>
      </w:r>
      <w:r w:rsidRPr="00BF42B7">
        <w:rPr>
          <w:rFonts w:eastAsia="楷体"/>
          <w:lang w:val="fr-CH"/>
        </w:rPr>
        <w:t>2</w:t>
      </w:r>
      <w:r w:rsidRPr="00BF42B7">
        <w:rPr>
          <w:rFonts w:eastAsia="楷体"/>
          <w:lang w:val="fr-CH"/>
        </w:rPr>
        <w:t>段</w:t>
      </w:r>
      <w:r w:rsidRPr="00BF42B7">
        <w:rPr>
          <w:rStyle w:val="SingleTxtGCChar"/>
          <w:rFonts w:eastAsia="楷体" w:hint="eastAsia"/>
          <w:spacing w:val="-50"/>
        </w:rPr>
        <w:t>―</w:t>
      </w:r>
      <w:r w:rsidRPr="00BF42B7">
        <w:rPr>
          <w:rStyle w:val="SingleTxtGCChar"/>
          <w:rFonts w:eastAsia="楷体" w:hint="eastAsia"/>
        </w:rPr>
        <w:t>―</w:t>
      </w:r>
      <w:r w:rsidRPr="00BF42B7">
        <w:rPr>
          <w:rStyle w:val="SingleTxtGCChar"/>
          <w:rFonts w:eastAsia="楷体"/>
        </w:rPr>
        <w:t>第</w:t>
      </w:r>
      <w:r w:rsidRPr="00BF42B7">
        <w:rPr>
          <w:rFonts w:eastAsia="楷体"/>
          <w:lang w:val="fr-CH"/>
        </w:rPr>
        <w:t>三十一条第一款</w:t>
      </w:r>
    </w:p>
    <w:p w:rsidR="008D7906" w:rsidRPr="00BF42B7" w:rsidRDefault="008D7906" w:rsidP="008D7906">
      <w:pPr>
        <w:pStyle w:val="SingleTxtGC"/>
        <w:rPr>
          <w:rFonts w:asciiTheme="majorBidi" w:hAnsiTheme="majorBidi" w:cstheme="majorBidi"/>
          <w:szCs w:val="21"/>
          <w:lang w:val="en-GB"/>
        </w:rPr>
      </w:pPr>
      <w:r w:rsidRPr="00BF42B7">
        <w:rPr>
          <w:rFonts w:asciiTheme="majorBidi" w:hAnsiTheme="majorBidi" w:cstheme="majorBidi"/>
          <w:szCs w:val="21"/>
          <w:lang w:val="fr-CH"/>
        </w:rPr>
        <w:t xml:space="preserve">(7)  </w:t>
      </w:r>
      <w:r w:rsidRPr="00BF42B7">
        <w:rPr>
          <w:rFonts w:asciiTheme="majorBidi" w:hAnsiTheme="majorBidi" w:cstheme="majorBidi"/>
          <w:szCs w:val="21"/>
          <w:lang w:val="fr-CH"/>
        </w:rPr>
        <w:t>鉴于</w:t>
      </w:r>
      <w:r w:rsidRPr="00BF42B7">
        <w:rPr>
          <w:rFonts w:asciiTheme="majorBidi" w:hAnsiTheme="majorBidi" w:cstheme="majorBidi"/>
          <w:szCs w:val="21"/>
          <w:lang w:val="fr-CH"/>
        </w:rPr>
        <w:t>1969</w:t>
      </w:r>
      <w:r w:rsidRPr="00BF42B7">
        <w:rPr>
          <w:rFonts w:asciiTheme="majorBidi" w:hAnsiTheme="majorBidi" w:cstheme="majorBidi"/>
          <w:szCs w:val="21"/>
          <w:lang w:val="fr-CH"/>
        </w:rPr>
        <w:t>年《维也纳公约》第三十一条第一款对于本专题的重要性，结论草案</w:t>
      </w:r>
      <w:r w:rsidRPr="00BF42B7">
        <w:rPr>
          <w:rFonts w:asciiTheme="majorBidi" w:hAnsiTheme="majorBidi" w:cstheme="majorBidi"/>
          <w:szCs w:val="21"/>
          <w:lang w:val="fr-CH"/>
        </w:rPr>
        <w:t>2[1]</w:t>
      </w:r>
      <w:r w:rsidRPr="00BF42B7">
        <w:rPr>
          <w:rFonts w:asciiTheme="majorBidi" w:hAnsiTheme="majorBidi" w:cstheme="majorBidi"/>
          <w:szCs w:val="21"/>
          <w:lang w:val="fr-CH"/>
        </w:rPr>
        <w:t>第</w:t>
      </w:r>
      <w:r w:rsidRPr="00BF42B7">
        <w:rPr>
          <w:rFonts w:asciiTheme="majorBidi" w:hAnsiTheme="majorBidi" w:cstheme="majorBidi"/>
          <w:szCs w:val="21"/>
          <w:lang w:val="fr-CH"/>
        </w:rPr>
        <w:t>2</w:t>
      </w:r>
      <w:r w:rsidRPr="00BF42B7">
        <w:rPr>
          <w:rFonts w:asciiTheme="majorBidi" w:hAnsiTheme="majorBidi" w:cstheme="majorBidi"/>
          <w:szCs w:val="21"/>
          <w:lang w:val="fr-CH"/>
        </w:rPr>
        <w:t>段沿用了该款的案文。按照第三十一条整条所载的通则，第三十一条第一款是任何条约解释的出发点。这确实有助于确保在解释过程中平衡以下两方面，一是根据上下文以及结合其目标和宗旨评估条约术语，二是本结论草案中关于嗣后协定和嗣后惯例的考虑。但是，将第三十一条第一款作为单独一款予以重申，并不意味着表明该款及其中所述解释资料在第三十一条本身的范围内实质上处于首位。第三十一条中的所有解释资料均为单一的综合规则的一部分。</w:t>
      </w:r>
      <w:r w:rsidRPr="00BF42B7">
        <w:rPr>
          <w:rFonts w:cstheme="majorBidi"/>
          <w:color w:val="0000FF"/>
          <w:szCs w:val="21"/>
          <w:vertAlign w:val="superscript"/>
          <w:lang w:val="fr-CH"/>
        </w:rPr>
        <w:footnoteReference w:id="410"/>
      </w:r>
    </w:p>
    <w:p w:rsidR="008D7906" w:rsidRPr="00BF42B7" w:rsidRDefault="008D7906" w:rsidP="008D7906">
      <w:pPr>
        <w:pStyle w:val="H4GC"/>
        <w:rPr>
          <w:rFonts w:eastAsia="楷体"/>
          <w:i/>
          <w:lang w:val="en-GB"/>
        </w:rPr>
      </w:pPr>
      <w:r w:rsidRPr="00BF42B7">
        <w:rPr>
          <w:rFonts w:eastAsia="楷体"/>
          <w:lang w:val="fr-CH"/>
        </w:rPr>
        <w:tab/>
      </w:r>
      <w:r w:rsidRPr="00BF42B7">
        <w:rPr>
          <w:rFonts w:eastAsia="楷体"/>
          <w:lang w:val="fr-CH"/>
        </w:rPr>
        <w:tab/>
      </w:r>
      <w:r w:rsidRPr="00BF42B7">
        <w:rPr>
          <w:rFonts w:eastAsia="楷体"/>
          <w:lang w:val="fr-CH"/>
        </w:rPr>
        <w:t>第</w:t>
      </w:r>
      <w:r w:rsidRPr="00BF42B7">
        <w:rPr>
          <w:rFonts w:eastAsia="楷体"/>
          <w:lang w:val="fr-CH"/>
        </w:rPr>
        <w:t>3</w:t>
      </w:r>
      <w:r w:rsidRPr="00BF42B7">
        <w:rPr>
          <w:rFonts w:eastAsia="楷体"/>
          <w:lang w:val="fr-CH"/>
        </w:rPr>
        <w:t>段</w:t>
      </w:r>
      <w:r w:rsidRPr="00BF42B7">
        <w:rPr>
          <w:rStyle w:val="SingleTxtGCChar"/>
          <w:rFonts w:eastAsia="楷体" w:hint="eastAsia"/>
          <w:spacing w:val="-50"/>
        </w:rPr>
        <w:t>―</w:t>
      </w:r>
      <w:r w:rsidRPr="00BF42B7">
        <w:rPr>
          <w:rStyle w:val="SingleTxtGCChar"/>
          <w:rFonts w:eastAsia="楷体" w:hint="eastAsia"/>
        </w:rPr>
        <w:t>―</w:t>
      </w:r>
      <w:r w:rsidRPr="00BF42B7">
        <w:rPr>
          <w:rStyle w:val="SingleTxtGCChar"/>
          <w:rFonts w:eastAsia="楷体"/>
        </w:rPr>
        <w:t>第</w:t>
      </w:r>
      <w:r w:rsidRPr="00BF42B7">
        <w:rPr>
          <w:rFonts w:eastAsia="楷体"/>
          <w:lang w:val="fr-CH"/>
        </w:rPr>
        <w:t>三十一条第三款</w:t>
      </w:r>
    </w:p>
    <w:p w:rsidR="008D7906" w:rsidRPr="00BF42B7" w:rsidRDefault="008D7906" w:rsidP="008D7906">
      <w:pPr>
        <w:pStyle w:val="SingleTxtGC"/>
        <w:rPr>
          <w:rFonts w:asciiTheme="majorBidi" w:hAnsiTheme="majorBidi" w:cstheme="majorBidi"/>
          <w:szCs w:val="21"/>
          <w:lang w:val="en-GB"/>
        </w:rPr>
      </w:pPr>
      <w:r w:rsidRPr="00BF42B7">
        <w:rPr>
          <w:rFonts w:asciiTheme="majorBidi" w:hAnsiTheme="majorBidi" w:cstheme="majorBidi"/>
          <w:szCs w:val="21"/>
          <w:lang w:val="fr-CH"/>
        </w:rPr>
        <w:t xml:space="preserve">(8)  </w:t>
      </w:r>
      <w:r w:rsidRPr="00BF42B7">
        <w:rPr>
          <w:rFonts w:asciiTheme="majorBidi" w:hAnsiTheme="majorBidi" w:cstheme="majorBidi"/>
          <w:szCs w:val="21"/>
          <w:lang w:val="fr-CH"/>
        </w:rPr>
        <w:t>第</w:t>
      </w:r>
      <w:r w:rsidRPr="00BF42B7">
        <w:rPr>
          <w:rFonts w:asciiTheme="majorBidi" w:hAnsiTheme="majorBidi" w:cstheme="majorBidi"/>
          <w:szCs w:val="21"/>
          <w:lang w:val="fr-CH"/>
        </w:rPr>
        <w:t>3</w:t>
      </w:r>
      <w:r w:rsidRPr="00BF42B7">
        <w:rPr>
          <w:rFonts w:asciiTheme="majorBidi" w:hAnsiTheme="majorBidi" w:cstheme="majorBidi"/>
          <w:szCs w:val="21"/>
          <w:lang w:val="fr-CH"/>
        </w:rPr>
        <w:t>段沿用了《维也纳公约》第三十一条第三款</w:t>
      </w:r>
      <w:r w:rsidRPr="00BF42B7">
        <w:rPr>
          <w:rFonts w:asciiTheme="majorBidi" w:hAnsiTheme="majorBidi" w:cstheme="majorBidi"/>
          <w:szCs w:val="21"/>
          <w:lang w:val="fr-CH"/>
        </w:rPr>
        <w:t>(a)</w:t>
      </w:r>
      <w:r w:rsidRPr="00BF42B7">
        <w:rPr>
          <w:rFonts w:asciiTheme="majorBidi" w:hAnsiTheme="majorBidi" w:cstheme="majorBidi"/>
          <w:szCs w:val="21"/>
          <w:lang w:val="fr-CH"/>
        </w:rPr>
        <w:t>项和</w:t>
      </w:r>
      <w:r w:rsidRPr="00BF42B7">
        <w:rPr>
          <w:rFonts w:asciiTheme="majorBidi" w:hAnsiTheme="majorBidi" w:cstheme="majorBidi"/>
          <w:szCs w:val="21"/>
          <w:lang w:val="fr-CH"/>
        </w:rPr>
        <w:t>(b)</w:t>
      </w:r>
      <w:r w:rsidRPr="00BF42B7">
        <w:rPr>
          <w:rFonts w:asciiTheme="majorBidi" w:hAnsiTheme="majorBidi" w:cstheme="majorBidi"/>
          <w:szCs w:val="21"/>
          <w:lang w:val="fr-CH"/>
        </w:rPr>
        <w:t>项的措辞，以便将作为本专题主要核心的嗣后协定和嗣后惯例置于条约解释的一般法律框架之内。因此，保留了第三十一条第三款起首部分</w:t>
      </w:r>
      <w:r w:rsidRPr="00BF42B7">
        <w:rPr>
          <w:rFonts w:asciiTheme="majorBidi" w:hAnsiTheme="majorBidi" w:cstheme="majorBidi" w:hint="eastAsia"/>
          <w:szCs w:val="21"/>
          <w:lang w:val="fr-CH"/>
        </w:rPr>
        <w:t>“</w:t>
      </w:r>
      <w:r w:rsidRPr="00BF42B7">
        <w:rPr>
          <w:rFonts w:asciiTheme="majorBidi" w:hAnsiTheme="majorBidi" w:cstheme="majorBidi"/>
          <w:szCs w:val="21"/>
          <w:lang w:val="fr-CH"/>
        </w:rPr>
        <w:t>应与上下文一并考虑者尚有</w:t>
      </w:r>
      <w:r w:rsidRPr="00BF42B7">
        <w:rPr>
          <w:rFonts w:asciiTheme="majorBidi" w:hAnsiTheme="majorBidi" w:cstheme="majorBidi" w:hint="eastAsia"/>
          <w:szCs w:val="21"/>
          <w:lang w:val="fr-CH"/>
        </w:rPr>
        <w:t>”</w:t>
      </w:r>
      <w:r w:rsidRPr="00BF42B7">
        <w:rPr>
          <w:rFonts w:asciiTheme="majorBidi" w:hAnsiTheme="majorBidi" w:cstheme="majorBidi"/>
          <w:szCs w:val="21"/>
          <w:lang w:val="fr-CH"/>
        </w:rPr>
        <w:t>的措辞，以突出表明，评估第三十一条第三款</w:t>
      </w:r>
      <w:r w:rsidRPr="00BF42B7">
        <w:rPr>
          <w:rFonts w:asciiTheme="majorBidi" w:hAnsiTheme="majorBidi" w:cstheme="majorBidi"/>
          <w:szCs w:val="21"/>
          <w:lang w:val="fr-CH"/>
        </w:rPr>
        <w:t>(a)</w:t>
      </w:r>
      <w:r w:rsidRPr="00BF42B7">
        <w:rPr>
          <w:rFonts w:asciiTheme="majorBidi" w:hAnsiTheme="majorBidi" w:cstheme="majorBidi"/>
          <w:szCs w:val="21"/>
          <w:lang w:val="fr-CH"/>
        </w:rPr>
        <w:t>项和</w:t>
      </w:r>
      <w:r w:rsidRPr="00BF42B7">
        <w:rPr>
          <w:rFonts w:asciiTheme="majorBidi" w:hAnsiTheme="majorBidi" w:cstheme="majorBidi"/>
          <w:szCs w:val="21"/>
          <w:lang w:val="fr-CH"/>
        </w:rPr>
        <w:t>(b)</w:t>
      </w:r>
      <w:r w:rsidRPr="00BF42B7">
        <w:rPr>
          <w:rFonts w:asciiTheme="majorBidi" w:hAnsiTheme="majorBidi" w:cstheme="majorBidi"/>
          <w:szCs w:val="21"/>
          <w:lang w:val="fr-CH"/>
        </w:rPr>
        <w:t>项所述解释资料是第三十一条所述解释通则的组成部分。</w:t>
      </w:r>
      <w:bookmarkStart w:id="95" w:name="_Ref461975626"/>
      <w:r w:rsidRPr="00BF42B7">
        <w:rPr>
          <w:rFonts w:cstheme="majorBidi"/>
          <w:color w:val="0000FF"/>
          <w:szCs w:val="21"/>
          <w:vertAlign w:val="superscript"/>
          <w:lang w:val="fr-CH"/>
        </w:rPr>
        <w:footnoteReference w:id="411"/>
      </w:r>
      <w:bookmarkEnd w:id="95"/>
    </w:p>
    <w:p w:rsidR="008D7906" w:rsidRPr="00BF42B7" w:rsidRDefault="008D7906" w:rsidP="008D7906">
      <w:pPr>
        <w:pStyle w:val="H4GC"/>
        <w:rPr>
          <w:rFonts w:eastAsia="楷体"/>
          <w:i/>
          <w:lang w:val="en-GB"/>
        </w:rPr>
      </w:pPr>
      <w:r w:rsidRPr="00BF42B7">
        <w:rPr>
          <w:rFonts w:eastAsia="楷体"/>
          <w:lang w:val="fr-CH"/>
        </w:rPr>
        <w:tab/>
      </w:r>
      <w:r w:rsidRPr="00BF42B7">
        <w:rPr>
          <w:rFonts w:eastAsia="楷体"/>
          <w:lang w:val="fr-CH"/>
        </w:rPr>
        <w:tab/>
      </w:r>
      <w:r w:rsidRPr="00BF42B7">
        <w:rPr>
          <w:rFonts w:eastAsia="楷体"/>
          <w:lang w:val="fr-CH"/>
        </w:rPr>
        <w:t>第</w:t>
      </w:r>
      <w:r w:rsidRPr="00BF42B7">
        <w:rPr>
          <w:rFonts w:eastAsia="楷体"/>
          <w:lang w:val="fr-CH"/>
        </w:rPr>
        <w:t>4</w:t>
      </w:r>
      <w:r w:rsidRPr="00BF42B7">
        <w:rPr>
          <w:rFonts w:eastAsia="楷体"/>
          <w:lang w:val="fr-CH"/>
        </w:rPr>
        <w:t>段</w:t>
      </w:r>
      <w:r w:rsidRPr="00BF42B7">
        <w:rPr>
          <w:rStyle w:val="SingleTxtGCChar"/>
          <w:rFonts w:eastAsia="楷体" w:hint="eastAsia"/>
          <w:spacing w:val="-50"/>
        </w:rPr>
        <w:t>―</w:t>
      </w:r>
      <w:r w:rsidRPr="00BF42B7">
        <w:rPr>
          <w:rStyle w:val="SingleTxtGCChar"/>
          <w:rFonts w:eastAsia="楷体" w:hint="eastAsia"/>
        </w:rPr>
        <w:t>―</w:t>
      </w:r>
      <w:r w:rsidRPr="00BF42B7">
        <w:rPr>
          <w:rStyle w:val="SingleTxtGCChar"/>
          <w:rFonts w:eastAsia="楷体"/>
        </w:rPr>
        <w:t>第</w:t>
      </w:r>
      <w:r w:rsidRPr="00BF42B7">
        <w:rPr>
          <w:rFonts w:eastAsia="楷体"/>
          <w:lang w:val="fr-CH"/>
        </w:rPr>
        <w:t>三十二条所称的其他嗣后惯例</w:t>
      </w:r>
    </w:p>
    <w:p w:rsidR="008D7906" w:rsidRPr="00BF42B7" w:rsidRDefault="008D7906" w:rsidP="008D7906">
      <w:pPr>
        <w:pStyle w:val="SingleTxtGC"/>
        <w:rPr>
          <w:rFonts w:asciiTheme="majorBidi" w:hAnsiTheme="majorBidi" w:cstheme="majorBidi"/>
          <w:szCs w:val="21"/>
          <w:lang w:val="en-GB"/>
        </w:rPr>
      </w:pPr>
      <w:r w:rsidRPr="00BF42B7">
        <w:rPr>
          <w:rFonts w:asciiTheme="majorBidi" w:hAnsiTheme="majorBidi" w:cstheme="majorBidi"/>
          <w:szCs w:val="21"/>
          <w:lang w:val="fr-CH"/>
        </w:rPr>
        <w:t xml:space="preserve">(9)  </w:t>
      </w:r>
      <w:r w:rsidRPr="00BF42B7">
        <w:rPr>
          <w:rFonts w:asciiTheme="majorBidi" w:hAnsiTheme="majorBidi" w:cstheme="majorBidi"/>
          <w:szCs w:val="21"/>
          <w:lang w:val="fr-CH"/>
        </w:rPr>
        <w:t>第</w:t>
      </w:r>
      <w:r w:rsidRPr="00BF42B7">
        <w:rPr>
          <w:rFonts w:asciiTheme="majorBidi" w:hAnsiTheme="majorBidi" w:cstheme="majorBidi"/>
          <w:szCs w:val="21"/>
          <w:lang w:val="fr-CH"/>
        </w:rPr>
        <w:t>4</w:t>
      </w:r>
      <w:r w:rsidRPr="00BF42B7">
        <w:rPr>
          <w:rFonts w:asciiTheme="majorBidi" w:hAnsiTheme="majorBidi" w:cstheme="majorBidi"/>
          <w:szCs w:val="21"/>
          <w:lang w:val="fr-CH"/>
        </w:rPr>
        <w:t>段说明了不符合第三十一条第三款</w:t>
      </w:r>
      <w:r w:rsidRPr="00BF42B7">
        <w:rPr>
          <w:rFonts w:asciiTheme="majorBidi" w:hAnsiTheme="majorBidi" w:cstheme="majorBidi"/>
          <w:szCs w:val="21"/>
          <w:lang w:val="fr-CH"/>
        </w:rPr>
        <w:t>(b)</w:t>
      </w:r>
      <w:r w:rsidRPr="00BF42B7">
        <w:rPr>
          <w:rFonts w:asciiTheme="majorBidi" w:hAnsiTheme="majorBidi" w:cstheme="majorBidi"/>
          <w:szCs w:val="21"/>
          <w:lang w:val="fr-CH"/>
        </w:rPr>
        <w:t>项的所有标准、但是在第三十二条的范围之内的条约适用方面的嗣后惯例。第三十二条列入了一个非详尽的补充解释资料清单。</w:t>
      </w:r>
      <w:r w:rsidRPr="00BF42B7">
        <w:rPr>
          <w:rFonts w:cstheme="majorBidi"/>
          <w:color w:val="0000FF"/>
          <w:szCs w:val="21"/>
          <w:vertAlign w:val="superscript"/>
          <w:lang w:val="fr-CH"/>
        </w:rPr>
        <w:footnoteReference w:id="412"/>
      </w:r>
      <w:r w:rsidRPr="00BF42B7">
        <w:rPr>
          <w:rFonts w:cstheme="majorBidi"/>
          <w:color w:val="0000FF"/>
          <w:szCs w:val="21"/>
          <w:vertAlign w:val="superscript"/>
          <w:lang w:val="fr-CH"/>
        </w:rPr>
        <w:t xml:space="preserve"> </w:t>
      </w:r>
      <w:r w:rsidRPr="00BF42B7">
        <w:rPr>
          <w:rFonts w:asciiTheme="majorBidi" w:hAnsiTheme="majorBidi" w:cstheme="majorBidi"/>
          <w:szCs w:val="21"/>
          <w:lang w:val="fr-CH"/>
        </w:rPr>
        <w:t>第</w:t>
      </w:r>
      <w:r w:rsidRPr="00BF42B7">
        <w:rPr>
          <w:rFonts w:asciiTheme="majorBidi" w:hAnsiTheme="majorBidi" w:cstheme="majorBidi"/>
          <w:szCs w:val="21"/>
          <w:lang w:val="fr-CH"/>
        </w:rPr>
        <w:t>4</w:t>
      </w:r>
      <w:r w:rsidRPr="00BF42B7">
        <w:rPr>
          <w:rFonts w:asciiTheme="majorBidi" w:hAnsiTheme="majorBidi" w:cstheme="majorBidi"/>
          <w:szCs w:val="21"/>
          <w:lang w:val="fr-CH"/>
        </w:rPr>
        <w:t>段借用了第三十二条的</w:t>
      </w:r>
      <w:r w:rsidRPr="00BF42B7">
        <w:rPr>
          <w:rFonts w:asciiTheme="majorBidi" w:hAnsiTheme="majorBidi" w:cstheme="majorBidi" w:hint="eastAsia"/>
          <w:szCs w:val="21"/>
          <w:lang w:val="fr-CH"/>
        </w:rPr>
        <w:t>“</w:t>
      </w:r>
      <w:r w:rsidRPr="00BF42B7">
        <w:rPr>
          <w:rFonts w:asciiTheme="majorBidi" w:hAnsiTheme="majorBidi" w:cstheme="majorBidi"/>
          <w:szCs w:val="21"/>
          <w:lang w:val="fr-CH"/>
        </w:rPr>
        <w:t>得使用</w:t>
      </w:r>
      <w:r w:rsidRPr="00BF42B7">
        <w:rPr>
          <w:rFonts w:asciiTheme="majorBidi" w:hAnsiTheme="majorBidi" w:cstheme="majorBidi" w:hint="eastAsia"/>
          <w:szCs w:val="21"/>
          <w:lang w:val="fr-CH"/>
        </w:rPr>
        <w:t>”</w:t>
      </w:r>
      <w:r w:rsidRPr="00BF42B7">
        <w:rPr>
          <w:rFonts w:asciiTheme="majorBidi" w:hAnsiTheme="majorBidi" w:cstheme="majorBidi"/>
          <w:szCs w:val="21"/>
          <w:lang w:val="fr-CH"/>
        </w:rPr>
        <w:t>的措辞，以维持第三十一条提到的考虑解释资料的强制性和根据第三十二条使用补充解释资料的更多的任意性之间的区分。</w:t>
      </w:r>
    </w:p>
    <w:p w:rsidR="008D7906" w:rsidRPr="00BF42B7" w:rsidRDefault="008D7906" w:rsidP="008D7906">
      <w:pPr>
        <w:pStyle w:val="SingleTxtGC"/>
        <w:rPr>
          <w:lang w:val="en-GB"/>
        </w:rPr>
      </w:pPr>
      <w:r w:rsidRPr="00BF42B7">
        <w:rPr>
          <w:lang w:val="fr-CH"/>
        </w:rPr>
        <w:t xml:space="preserve">(10)  </w:t>
      </w:r>
      <w:r w:rsidRPr="00BF42B7">
        <w:rPr>
          <w:lang w:val="fr-CH"/>
        </w:rPr>
        <w:t>特别是，条约适用方面的嗣后惯例，若并非条约所有缔约方、而仅仅是一个或数个缔约方的协定，可被用作解释的补充资料。委员会曾这样阐述，</w:t>
      </w:r>
      <w:r w:rsidRPr="00BF42B7">
        <w:rPr>
          <w:color w:val="0000FF"/>
          <w:vertAlign w:val="superscript"/>
          <w:lang w:val="fr-CH"/>
        </w:rPr>
        <w:footnoteReference w:id="413"/>
      </w:r>
      <w:r w:rsidRPr="00BF42B7">
        <w:rPr>
          <w:color w:val="0000FF"/>
          <w:vertAlign w:val="superscript"/>
          <w:lang w:val="fr-CH"/>
        </w:rPr>
        <w:t xml:space="preserve"> </w:t>
      </w:r>
      <w:r w:rsidRPr="00BF42B7">
        <w:rPr>
          <w:lang w:val="fr-CH"/>
        </w:rPr>
        <w:t>并得到各国际法院和法庭的承认，</w:t>
      </w:r>
      <w:r w:rsidRPr="00BF42B7">
        <w:rPr>
          <w:color w:val="0000FF"/>
          <w:vertAlign w:val="superscript"/>
          <w:lang w:val="fr-CH"/>
        </w:rPr>
        <w:footnoteReference w:id="414"/>
      </w:r>
      <w:r w:rsidRPr="00BF42B7">
        <w:rPr>
          <w:color w:val="0000FF"/>
          <w:vertAlign w:val="superscript"/>
          <w:lang w:val="fr-CH"/>
        </w:rPr>
        <w:t xml:space="preserve"> </w:t>
      </w:r>
      <w:r w:rsidRPr="00BF42B7">
        <w:rPr>
          <w:lang w:val="fr-CH"/>
        </w:rPr>
        <w:t>在文献中</w:t>
      </w:r>
      <w:bookmarkStart w:id="96" w:name="_Ref461972715"/>
      <w:r w:rsidRPr="00BF42B7">
        <w:rPr>
          <w:color w:val="0000FF"/>
          <w:vertAlign w:val="superscript"/>
          <w:lang w:val="fr-CH"/>
        </w:rPr>
        <w:footnoteReference w:id="415"/>
      </w:r>
      <w:bookmarkEnd w:id="96"/>
      <w:r w:rsidRPr="00BF42B7">
        <w:rPr>
          <w:color w:val="0000FF"/>
          <w:vertAlign w:val="superscript"/>
          <w:lang w:val="fr-CH"/>
        </w:rPr>
        <w:t xml:space="preserve"> </w:t>
      </w:r>
      <w:r w:rsidRPr="00BF42B7">
        <w:rPr>
          <w:lang w:val="fr-CH"/>
        </w:rPr>
        <w:t>也得到承认</w:t>
      </w:r>
      <w:r w:rsidRPr="00BF42B7">
        <w:rPr>
          <w:lang w:val="fr-CH"/>
        </w:rPr>
        <w:t>(</w:t>
      </w:r>
      <w:r w:rsidRPr="00BF42B7">
        <w:rPr>
          <w:lang w:val="fr-CH"/>
        </w:rPr>
        <w:t>详见结论草案</w:t>
      </w:r>
      <w:r w:rsidRPr="00BF42B7">
        <w:rPr>
          <w:lang w:val="fr-CH"/>
        </w:rPr>
        <w:t>4</w:t>
      </w:r>
      <w:r w:rsidRPr="00BF42B7">
        <w:rPr>
          <w:lang w:val="fr-CH"/>
        </w:rPr>
        <w:t>的评注第</w:t>
      </w:r>
      <w:r w:rsidRPr="00BF42B7">
        <w:rPr>
          <w:lang w:val="fr-CH"/>
        </w:rPr>
        <w:t>(23)</w:t>
      </w:r>
      <w:r w:rsidRPr="00BF42B7">
        <w:rPr>
          <w:lang w:val="fr-CH"/>
        </w:rPr>
        <w:t>至第</w:t>
      </w:r>
      <w:r w:rsidRPr="00BF42B7">
        <w:rPr>
          <w:lang w:val="fr-CH"/>
        </w:rPr>
        <w:t>(37)</w:t>
      </w:r>
      <w:r w:rsidRPr="00BF42B7">
        <w:rPr>
          <w:lang w:val="fr-CH"/>
        </w:rPr>
        <w:t>段</w:t>
      </w:r>
      <w:r w:rsidRPr="00BF42B7">
        <w:rPr>
          <w:lang w:val="fr-CH"/>
        </w:rPr>
        <w:t>)</w:t>
      </w:r>
      <w:r w:rsidRPr="00BF42B7">
        <w:rPr>
          <w:lang w:val="fr-CH"/>
        </w:rPr>
        <w:t>。</w:t>
      </w:r>
    </w:p>
    <w:p w:rsidR="00B44972" w:rsidRPr="00BF42B7" w:rsidRDefault="00B44972" w:rsidP="007E41AD">
      <w:pPr>
        <w:pStyle w:val="SingleTxtGC"/>
        <w:rPr>
          <w:lang w:val="en-GB"/>
        </w:rPr>
      </w:pPr>
      <w:r w:rsidRPr="00BF42B7">
        <w:rPr>
          <w:lang w:val="fr-CH"/>
        </w:rPr>
        <w:t xml:space="preserve">(11)  </w:t>
      </w:r>
      <w:r w:rsidRPr="00BF42B7">
        <w:rPr>
          <w:lang w:val="fr-CH"/>
        </w:rPr>
        <w:t>但是，委员会认为</w:t>
      </w:r>
      <w:r w:rsidRPr="00BF42B7">
        <w:rPr>
          <w:rFonts w:hint="eastAsia"/>
          <w:lang w:val="fr-CH"/>
        </w:rPr>
        <w:t>，不</w:t>
      </w:r>
      <w:r w:rsidRPr="00BF42B7">
        <w:rPr>
          <w:lang w:val="fr-CH"/>
        </w:rPr>
        <w:t>应在本结论草案中处理</w:t>
      </w:r>
      <w:r w:rsidRPr="00BF42B7">
        <w:rPr>
          <w:rFonts w:hint="eastAsia"/>
          <w:lang w:val="fr-CH"/>
        </w:rPr>
        <w:t>非“</w:t>
      </w:r>
      <w:r w:rsidRPr="00BF42B7">
        <w:rPr>
          <w:lang w:val="fr-CH"/>
        </w:rPr>
        <w:t>条约适用方面</w:t>
      </w:r>
      <w:r w:rsidRPr="00BF42B7">
        <w:rPr>
          <w:rFonts w:hint="eastAsia"/>
          <w:lang w:val="fr-CH"/>
        </w:rPr>
        <w:t>”</w:t>
      </w:r>
      <w:r w:rsidRPr="00BF42B7">
        <w:rPr>
          <w:lang w:val="fr-CH"/>
        </w:rPr>
        <w:t>的嗣后惯例</w:t>
      </w:r>
      <w:r w:rsidRPr="00BF42B7">
        <w:rPr>
          <w:rFonts w:hint="eastAsia"/>
          <w:lang w:val="fr-CH"/>
        </w:rPr>
        <w:t>作为补充解释资料的问题</w:t>
      </w:r>
      <w:r w:rsidRPr="00BF42B7">
        <w:rPr>
          <w:lang w:val="fr-CH"/>
        </w:rPr>
        <w:t>。然而，在特定情况下，这种惯例也可作为相关补充解释资料。</w:t>
      </w:r>
      <w:bookmarkStart w:id="97" w:name="_Ref461975924"/>
      <w:r w:rsidRPr="00BF42B7">
        <w:rPr>
          <w:color w:val="0000FF"/>
          <w:vertAlign w:val="superscript"/>
          <w:lang w:val="fr-CH"/>
        </w:rPr>
        <w:footnoteReference w:id="416"/>
      </w:r>
      <w:bookmarkEnd w:id="97"/>
      <w:r w:rsidRPr="00BF42B7">
        <w:rPr>
          <w:color w:val="0000FF"/>
          <w:vertAlign w:val="superscript"/>
          <w:lang w:val="fr-CH"/>
        </w:rPr>
        <w:t xml:space="preserve"> </w:t>
      </w:r>
      <w:r w:rsidRPr="00BF42B7">
        <w:rPr>
          <w:lang w:val="fr-CH"/>
        </w:rPr>
        <w:t>但除了可能有助于</w:t>
      </w:r>
      <w:r w:rsidRPr="00BF42B7">
        <w:rPr>
          <w:rFonts w:hint="eastAsia"/>
          <w:lang w:val="fr-CH"/>
        </w:rPr>
        <w:t>“</w:t>
      </w:r>
      <w:r w:rsidRPr="00BF42B7">
        <w:rPr>
          <w:lang w:val="fr-CH"/>
        </w:rPr>
        <w:t>评估</w:t>
      </w:r>
      <w:r w:rsidRPr="00BF42B7">
        <w:rPr>
          <w:rFonts w:hint="eastAsia"/>
          <w:lang w:val="fr-CH"/>
        </w:rPr>
        <w:t>”</w:t>
      </w:r>
      <w:r w:rsidRPr="00BF42B7">
        <w:rPr>
          <w:lang w:val="fr-CH"/>
        </w:rPr>
        <w:t>条约适用方面</w:t>
      </w:r>
      <w:r w:rsidRPr="00BF42B7">
        <w:rPr>
          <w:rFonts w:hint="eastAsia"/>
          <w:lang w:val="fr-CH"/>
        </w:rPr>
        <w:t>的</w:t>
      </w:r>
      <w:r w:rsidRPr="00BF42B7">
        <w:rPr>
          <w:lang w:val="fr-CH"/>
        </w:rPr>
        <w:t>相关嗣后惯例之外，此类惯例</w:t>
      </w:r>
      <w:r w:rsidRPr="00BF42B7">
        <w:rPr>
          <w:rFonts w:hint="eastAsia"/>
          <w:lang w:val="fr-CH"/>
        </w:rPr>
        <w:t>超出</w:t>
      </w:r>
      <w:r w:rsidRPr="00BF42B7">
        <w:rPr>
          <w:lang w:val="fr-CH"/>
        </w:rPr>
        <w:t>了委员会目前在本专题之下处理的范围</w:t>
      </w:r>
      <w:r w:rsidRPr="00BF42B7">
        <w:rPr>
          <w:lang w:val="fr-CH"/>
        </w:rPr>
        <w:t>(</w:t>
      </w:r>
      <w:r w:rsidRPr="00BF42B7">
        <w:rPr>
          <w:lang w:val="fr-CH"/>
        </w:rPr>
        <w:t>见结论草案</w:t>
      </w:r>
      <w:r w:rsidRPr="00BF42B7">
        <w:rPr>
          <w:lang w:val="fr-CH"/>
        </w:rPr>
        <w:t>5</w:t>
      </w:r>
      <w:r w:rsidRPr="00BF42B7">
        <w:rPr>
          <w:lang w:val="fr-CH"/>
        </w:rPr>
        <w:t>及其评注</w:t>
      </w:r>
      <w:r w:rsidRPr="00BF42B7">
        <w:rPr>
          <w:lang w:val="fr-CH"/>
        </w:rPr>
        <w:t>)</w:t>
      </w:r>
      <w:r w:rsidRPr="00BF42B7">
        <w:rPr>
          <w:lang w:val="fr-CH"/>
        </w:rPr>
        <w:t>。因此，结论草案</w:t>
      </w:r>
      <w:r w:rsidRPr="00BF42B7">
        <w:rPr>
          <w:rFonts w:hint="eastAsia"/>
          <w:lang w:val="fr-CH"/>
        </w:rPr>
        <w:t>2[1]</w:t>
      </w:r>
      <w:r w:rsidRPr="00BF42B7">
        <w:rPr>
          <w:lang w:val="fr-CH"/>
        </w:rPr>
        <w:t>第</w:t>
      </w:r>
      <w:r w:rsidRPr="00BF42B7">
        <w:rPr>
          <w:lang w:val="fr-CH"/>
        </w:rPr>
        <w:t>4</w:t>
      </w:r>
      <w:r w:rsidRPr="00BF42B7">
        <w:rPr>
          <w:lang w:val="fr-CH"/>
        </w:rPr>
        <w:t>段要求任何嗣后惯例须是</w:t>
      </w:r>
      <w:r w:rsidRPr="00BF42B7">
        <w:rPr>
          <w:rFonts w:hint="eastAsia"/>
          <w:lang w:val="fr-CH"/>
        </w:rPr>
        <w:t>“</w:t>
      </w:r>
      <w:r w:rsidRPr="00BF42B7">
        <w:rPr>
          <w:lang w:val="fr-CH"/>
        </w:rPr>
        <w:t>条约适用方面</w:t>
      </w:r>
      <w:r w:rsidRPr="00BF42B7">
        <w:rPr>
          <w:rFonts w:hint="eastAsia"/>
          <w:lang w:val="fr-CH"/>
        </w:rPr>
        <w:t>”</w:t>
      </w:r>
      <w:r w:rsidRPr="00BF42B7">
        <w:rPr>
          <w:lang w:val="fr-CH"/>
        </w:rPr>
        <w:t>的，界定</w:t>
      </w:r>
      <w:r w:rsidRPr="00BF42B7">
        <w:rPr>
          <w:rFonts w:hint="eastAsia"/>
          <w:lang w:val="fr-CH"/>
        </w:rPr>
        <w:t>“</w:t>
      </w:r>
      <w:r w:rsidRPr="00BF42B7">
        <w:rPr>
          <w:lang w:val="fr-CH"/>
        </w:rPr>
        <w:t>其他</w:t>
      </w:r>
      <w:r w:rsidR="007E41AD" w:rsidRPr="00BF42B7">
        <w:rPr>
          <w:rFonts w:hint="eastAsia"/>
          <w:lang w:val="fr-CH"/>
        </w:rPr>
        <w:t>‘</w:t>
      </w:r>
      <w:r w:rsidRPr="00BF42B7">
        <w:rPr>
          <w:lang w:val="fr-CH"/>
        </w:rPr>
        <w:t>嗣后惯例</w:t>
      </w:r>
      <w:r w:rsidR="007E41AD" w:rsidRPr="00BF42B7">
        <w:rPr>
          <w:rFonts w:hint="eastAsia"/>
          <w:lang w:val="fr-CH"/>
        </w:rPr>
        <w:t>’</w:t>
      </w:r>
      <w:r w:rsidRPr="00BF42B7">
        <w:rPr>
          <w:rFonts w:hint="eastAsia"/>
          <w:lang w:val="fr-CH"/>
        </w:rPr>
        <w:t>”</w:t>
      </w:r>
      <w:r w:rsidRPr="00BF42B7">
        <w:rPr>
          <w:lang w:val="fr-CH"/>
        </w:rPr>
        <w:t>的结论草案</w:t>
      </w:r>
      <w:r w:rsidRPr="00BF42B7">
        <w:rPr>
          <w:lang w:val="fr-CH"/>
        </w:rPr>
        <w:t>4</w:t>
      </w:r>
      <w:r w:rsidRPr="00BF42B7">
        <w:rPr>
          <w:lang w:val="fr-CH"/>
        </w:rPr>
        <w:t>第</w:t>
      </w:r>
      <w:r w:rsidRPr="00BF42B7">
        <w:rPr>
          <w:lang w:val="fr-CH"/>
        </w:rPr>
        <w:t>3</w:t>
      </w:r>
      <w:r w:rsidRPr="00BF42B7">
        <w:rPr>
          <w:lang w:val="fr-CH"/>
        </w:rPr>
        <w:t>段</w:t>
      </w:r>
      <w:r w:rsidRPr="00BF42B7">
        <w:rPr>
          <w:rFonts w:hint="eastAsia"/>
          <w:lang w:val="fr-CH"/>
        </w:rPr>
        <w:t>也是这样要求的</w:t>
      </w:r>
      <w:r w:rsidRPr="00BF42B7">
        <w:rPr>
          <w:lang w:val="fr-CH"/>
        </w:rPr>
        <w:t>。</w:t>
      </w:r>
    </w:p>
    <w:p w:rsidR="00B44972" w:rsidRPr="00BF42B7" w:rsidRDefault="00B44972" w:rsidP="00B44972">
      <w:pPr>
        <w:pStyle w:val="H4GC"/>
        <w:rPr>
          <w:rFonts w:eastAsia="楷体"/>
          <w:lang w:val="en-GB"/>
        </w:rPr>
      </w:pPr>
      <w:r w:rsidRPr="00BF42B7">
        <w:rPr>
          <w:rFonts w:eastAsia="楷体" w:hint="eastAsia"/>
          <w:lang w:val="fr-CH"/>
        </w:rPr>
        <w:tab/>
      </w:r>
      <w:r w:rsidRPr="00BF42B7">
        <w:rPr>
          <w:rFonts w:eastAsia="楷体" w:hint="eastAsia"/>
          <w:lang w:val="fr-CH"/>
        </w:rPr>
        <w:tab/>
      </w:r>
      <w:r w:rsidRPr="00BF42B7">
        <w:rPr>
          <w:rFonts w:eastAsia="楷体"/>
          <w:lang w:val="fr-CH"/>
        </w:rPr>
        <w:t>第</w:t>
      </w:r>
      <w:r w:rsidRPr="00BF42B7">
        <w:rPr>
          <w:rFonts w:eastAsia="楷体"/>
          <w:lang w:val="fr-CH"/>
        </w:rPr>
        <w:t>5</w:t>
      </w:r>
      <w:r w:rsidRPr="00BF42B7">
        <w:rPr>
          <w:rFonts w:eastAsia="楷体"/>
          <w:lang w:val="fr-CH"/>
        </w:rPr>
        <w:t>段</w:t>
      </w:r>
      <w:r w:rsidRPr="00BF42B7">
        <w:rPr>
          <w:rFonts w:eastAsia="楷体" w:hint="eastAsia"/>
          <w:spacing w:val="-50"/>
          <w:lang w:val="fr-CH"/>
        </w:rPr>
        <w:t>―</w:t>
      </w:r>
      <w:r w:rsidRPr="00BF42B7">
        <w:rPr>
          <w:rFonts w:eastAsia="楷体" w:hint="eastAsia"/>
          <w:lang w:val="fr-CH"/>
        </w:rPr>
        <w:t>―“单一的综合行动”</w:t>
      </w:r>
    </w:p>
    <w:p w:rsidR="00B44972" w:rsidRPr="00BF42B7" w:rsidRDefault="00B44972" w:rsidP="00B44972">
      <w:pPr>
        <w:pStyle w:val="SingleTxtGC"/>
        <w:rPr>
          <w:lang w:val="en-GB"/>
        </w:rPr>
      </w:pPr>
      <w:r w:rsidRPr="00BF42B7">
        <w:rPr>
          <w:lang w:val="fr-CH"/>
        </w:rPr>
        <w:t xml:space="preserve">(12)  </w:t>
      </w:r>
      <w:r w:rsidRPr="00BF42B7">
        <w:rPr>
          <w:lang w:val="fr-CH"/>
        </w:rPr>
        <w:t>委员会认为，结论草案</w:t>
      </w:r>
      <w:r w:rsidRPr="00BF42B7">
        <w:rPr>
          <w:rFonts w:hint="eastAsia"/>
          <w:lang w:val="fr-CH"/>
        </w:rPr>
        <w:t>2[1]</w:t>
      </w:r>
      <w:r w:rsidRPr="00BF42B7">
        <w:rPr>
          <w:lang w:val="fr-CH"/>
        </w:rPr>
        <w:t>若要完整，重要的是要在第</w:t>
      </w:r>
      <w:r w:rsidRPr="00BF42B7">
        <w:rPr>
          <w:lang w:val="fr-CH"/>
        </w:rPr>
        <w:t>5</w:t>
      </w:r>
      <w:r w:rsidRPr="00BF42B7">
        <w:rPr>
          <w:lang w:val="fr-CH"/>
        </w:rPr>
        <w:t>段</w:t>
      </w:r>
      <w:r w:rsidRPr="00BF42B7">
        <w:rPr>
          <w:color w:val="0000FF"/>
          <w:vertAlign w:val="superscript"/>
          <w:lang w:val="fr-CH"/>
        </w:rPr>
        <w:footnoteReference w:id="417"/>
      </w:r>
      <w:r w:rsidRPr="00BF42B7">
        <w:rPr>
          <w:color w:val="0000FF"/>
          <w:vertAlign w:val="superscript"/>
          <w:lang w:val="fr-CH"/>
        </w:rPr>
        <w:t xml:space="preserve"> </w:t>
      </w:r>
      <w:r w:rsidRPr="00BF42B7">
        <w:rPr>
          <w:lang w:val="fr-CH"/>
        </w:rPr>
        <w:t>中强调，尽管结论草案</w:t>
      </w:r>
      <w:r w:rsidRPr="00BF42B7">
        <w:rPr>
          <w:rFonts w:hint="eastAsia"/>
          <w:lang w:val="fr-CH"/>
        </w:rPr>
        <w:t>2[1]</w:t>
      </w:r>
      <w:r w:rsidRPr="00BF42B7">
        <w:rPr>
          <w:lang w:val="fr-CH"/>
        </w:rPr>
        <w:t>的结构是从一般到具体，但解释过程是一个</w:t>
      </w:r>
      <w:r w:rsidRPr="00BF42B7">
        <w:rPr>
          <w:rFonts w:hint="eastAsia"/>
          <w:lang w:val="fr-CH"/>
        </w:rPr>
        <w:t>“</w:t>
      </w:r>
      <w:r w:rsidRPr="00BF42B7">
        <w:rPr>
          <w:lang w:val="fr-CH"/>
        </w:rPr>
        <w:t>单一的综合行动</w:t>
      </w:r>
      <w:r w:rsidRPr="00BF42B7">
        <w:rPr>
          <w:rFonts w:hint="eastAsia"/>
          <w:lang w:val="fr-CH"/>
        </w:rPr>
        <w:t>”</w:t>
      </w:r>
      <w:r w:rsidRPr="00BF42B7">
        <w:rPr>
          <w:lang w:val="fr-CH"/>
        </w:rPr>
        <w:t>，要求</w:t>
      </w:r>
      <w:r w:rsidRPr="00BF42B7">
        <w:rPr>
          <w:rFonts w:hint="eastAsia"/>
          <w:lang w:val="fr-CH"/>
        </w:rPr>
        <w:t>“</w:t>
      </w:r>
      <w:r w:rsidRPr="00BF42B7">
        <w:rPr>
          <w:lang w:val="fr-CH"/>
        </w:rPr>
        <w:t>适当强调</w:t>
      </w:r>
      <w:r w:rsidRPr="00BF42B7">
        <w:rPr>
          <w:rFonts w:hint="eastAsia"/>
          <w:lang w:val="fr-CH"/>
        </w:rPr>
        <w:t>”</w:t>
      </w:r>
      <w:r w:rsidRPr="00BF42B7">
        <w:rPr>
          <w:lang w:val="fr-CH"/>
        </w:rPr>
        <w:t>各种解释资料。</w:t>
      </w:r>
      <w:r w:rsidRPr="00BF42B7">
        <w:rPr>
          <w:color w:val="0000FF"/>
          <w:vertAlign w:val="superscript"/>
          <w:lang w:val="fr-CH"/>
        </w:rPr>
        <w:footnoteReference w:id="418"/>
      </w:r>
      <w:r w:rsidRPr="00BF42B7">
        <w:rPr>
          <w:color w:val="0000FF"/>
          <w:lang w:val="fr-CH"/>
        </w:rPr>
        <w:t xml:space="preserve"> </w:t>
      </w:r>
      <w:r w:rsidRPr="00BF42B7">
        <w:rPr>
          <w:rFonts w:hint="eastAsia"/>
          <w:lang w:val="fr-CH"/>
        </w:rPr>
        <w:t>“</w:t>
      </w:r>
      <w:r w:rsidRPr="00BF42B7">
        <w:rPr>
          <w:lang w:val="fr-CH"/>
        </w:rPr>
        <w:t>单一的综合行动</w:t>
      </w:r>
      <w:r w:rsidRPr="00BF42B7">
        <w:rPr>
          <w:rFonts w:hint="eastAsia"/>
          <w:lang w:val="fr-CH"/>
        </w:rPr>
        <w:t>”</w:t>
      </w:r>
      <w:r w:rsidRPr="00BF42B7">
        <w:rPr>
          <w:lang w:val="fr-CH"/>
        </w:rPr>
        <w:t>这一表述取自委员会</w:t>
      </w:r>
      <w:r w:rsidRPr="00BF42B7">
        <w:rPr>
          <w:rFonts w:hint="eastAsia"/>
          <w:lang w:val="fr-CH"/>
        </w:rPr>
        <w:t>对</w:t>
      </w:r>
      <w:r w:rsidRPr="00BF42B7">
        <w:rPr>
          <w:lang w:val="fr-CH"/>
        </w:rPr>
        <w:t>1966</w:t>
      </w:r>
      <w:r w:rsidRPr="00BF42B7">
        <w:rPr>
          <w:lang w:val="fr-CH"/>
        </w:rPr>
        <w:t>年条约法条款</w:t>
      </w:r>
      <w:r w:rsidRPr="00BF42B7">
        <w:rPr>
          <w:rFonts w:hint="eastAsia"/>
          <w:lang w:val="fr-CH"/>
        </w:rPr>
        <w:t>草案</w:t>
      </w:r>
      <w:r w:rsidRPr="00BF42B7">
        <w:rPr>
          <w:lang w:val="fr-CH"/>
        </w:rPr>
        <w:t>的评注。</w:t>
      </w:r>
      <w:r w:rsidRPr="00BF42B7">
        <w:rPr>
          <w:color w:val="0000FF"/>
          <w:vertAlign w:val="superscript"/>
          <w:lang w:val="fr-CH"/>
        </w:rPr>
        <w:footnoteReference w:id="419"/>
      </w:r>
      <w:r w:rsidRPr="00BF42B7">
        <w:rPr>
          <w:color w:val="0000FF"/>
          <w:lang w:val="fr-CH"/>
        </w:rPr>
        <w:t xml:space="preserve"> </w:t>
      </w:r>
      <w:r w:rsidRPr="00BF42B7">
        <w:rPr>
          <w:lang w:val="fr-CH"/>
        </w:rPr>
        <w:t>委员会还</w:t>
      </w:r>
      <w:r w:rsidRPr="00BF42B7">
        <w:rPr>
          <w:rFonts w:hint="eastAsia"/>
          <w:lang w:val="fr-CH"/>
        </w:rPr>
        <w:t>在评注中</w:t>
      </w:r>
      <w:r w:rsidRPr="00BF42B7">
        <w:rPr>
          <w:lang w:val="fr-CH"/>
        </w:rPr>
        <w:t>表明，</w:t>
      </w:r>
      <w:r w:rsidRPr="00BF42B7">
        <w:rPr>
          <w:rFonts w:hint="eastAsia"/>
          <w:lang w:val="fr-CH"/>
        </w:rPr>
        <w:t>希望“</w:t>
      </w:r>
      <w:r w:rsidRPr="00BF42B7">
        <w:rPr>
          <w:lang w:val="fr-CH"/>
        </w:rPr>
        <w:t>强调解释过程是一个整体</w:t>
      </w:r>
      <w:r w:rsidRPr="00BF42B7">
        <w:rPr>
          <w:rFonts w:hint="eastAsia"/>
          <w:lang w:val="fr-CH"/>
        </w:rPr>
        <w:t>”</w:t>
      </w:r>
      <w:r w:rsidRPr="00BF42B7">
        <w:rPr>
          <w:lang w:val="fr-CH"/>
        </w:rPr>
        <w:t>。</w:t>
      </w:r>
      <w:r w:rsidRPr="00BF42B7">
        <w:rPr>
          <w:color w:val="0000FF"/>
          <w:vertAlign w:val="superscript"/>
          <w:lang w:val="fr-CH"/>
        </w:rPr>
        <w:footnoteReference w:id="420"/>
      </w:r>
      <w:r w:rsidRPr="00BF42B7">
        <w:rPr>
          <w:color w:val="0000FF"/>
          <w:vertAlign w:val="superscript"/>
          <w:lang w:val="fr-CH"/>
        </w:rPr>
        <w:t xml:space="preserve"> </w:t>
      </w:r>
    </w:p>
    <w:p w:rsidR="00B44972" w:rsidRPr="00BF42B7" w:rsidRDefault="00B44972" w:rsidP="00B44972">
      <w:pPr>
        <w:pStyle w:val="SingleTxtGC"/>
        <w:rPr>
          <w:lang w:val="en-GB"/>
        </w:rPr>
      </w:pPr>
      <w:r w:rsidRPr="00BF42B7">
        <w:rPr>
          <w:lang w:val="fr-CH"/>
        </w:rPr>
        <w:t xml:space="preserve">(13)  </w:t>
      </w:r>
      <w:r w:rsidRPr="00BF42B7">
        <w:rPr>
          <w:lang w:val="fr-CH"/>
        </w:rPr>
        <w:t>结论草案</w:t>
      </w:r>
      <w:r w:rsidRPr="00BF42B7">
        <w:rPr>
          <w:rFonts w:hint="eastAsia"/>
          <w:lang w:val="fr-CH"/>
        </w:rPr>
        <w:t>2[1]</w:t>
      </w:r>
      <w:r w:rsidRPr="00BF42B7">
        <w:rPr>
          <w:lang w:val="fr-CH"/>
        </w:rPr>
        <w:t>第</w:t>
      </w:r>
      <w:r w:rsidRPr="00BF42B7">
        <w:rPr>
          <w:lang w:val="fr-CH"/>
        </w:rPr>
        <w:t>5</w:t>
      </w:r>
      <w:r w:rsidRPr="00BF42B7">
        <w:rPr>
          <w:lang w:val="fr-CH"/>
        </w:rPr>
        <w:t>段还解释了，在</w:t>
      </w:r>
      <w:r w:rsidRPr="00BF42B7">
        <w:rPr>
          <w:lang w:val="fr-CH"/>
        </w:rPr>
        <w:t>1969</w:t>
      </w:r>
      <w:r w:rsidRPr="00BF42B7">
        <w:rPr>
          <w:lang w:val="fr-CH"/>
        </w:rPr>
        <w:t>年《维也纳公约》第三十一条和第三十二条提到的作为</w:t>
      </w:r>
      <w:r w:rsidRPr="00BF42B7">
        <w:rPr>
          <w:rFonts w:hint="eastAsia"/>
          <w:lang w:val="fr-CH"/>
        </w:rPr>
        <w:t>“</w:t>
      </w:r>
      <w:r w:rsidRPr="00BF42B7">
        <w:rPr>
          <w:lang w:val="fr-CH"/>
        </w:rPr>
        <w:t>单一的综合行动</w:t>
      </w:r>
      <w:r w:rsidRPr="00BF42B7">
        <w:rPr>
          <w:rFonts w:hint="eastAsia"/>
          <w:lang w:val="fr-CH"/>
        </w:rPr>
        <w:t>”</w:t>
      </w:r>
      <w:r w:rsidRPr="00BF42B7">
        <w:rPr>
          <w:lang w:val="fr-CH"/>
        </w:rPr>
        <w:t>的解释过程中，必须适当强调各种解释资料。但是，委员会认为，在结论草案</w:t>
      </w:r>
      <w:r w:rsidRPr="00BF42B7">
        <w:rPr>
          <w:rFonts w:hint="eastAsia"/>
          <w:lang w:val="fr-CH"/>
        </w:rPr>
        <w:t>2[1]</w:t>
      </w:r>
      <w:r w:rsidRPr="00BF42B7">
        <w:rPr>
          <w:lang w:val="fr-CH"/>
        </w:rPr>
        <w:t>第</w:t>
      </w:r>
      <w:r w:rsidRPr="00BF42B7">
        <w:rPr>
          <w:lang w:val="fr-CH"/>
        </w:rPr>
        <w:t>5</w:t>
      </w:r>
      <w:r w:rsidRPr="00BF42B7">
        <w:rPr>
          <w:lang w:val="fr-CH"/>
        </w:rPr>
        <w:t>段的案文中，没有必要作为例子提到一种或多种具体的解释资料。</w:t>
      </w:r>
      <w:r w:rsidRPr="00BF42B7">
        <w:rPr>
          <w:color w:val="0000FF"/>
          <w:vertAlign w:val="superscript"/>
          <w:lang w:val="fr-CH"/>
        </w:rPr>
        <w:footnoteReference w:id="421"/>
      </w:r>
      <w:r w:rsidRPr="00BF42B7">
        <w:rPr>
          <w:color w:val="0000FF"/>
          <w:vertAlign w:val="superscript"/>
          <w:lang w:val="fr-CH"/>
        </w:rPr>
        <w:t xml:space="preserve"> </w:t>
      </w:r>
      <w:r w:rsidRPr="00BF42B7">
        <w:rPr>
          <w:lang w:val="fr-CH"/>
        </w:rPr>
        <w:t>这</w:t>
      </w:r>
      <w:r w:rsidRPr="00BF42B7">
        <w:rPr>
          <w:rFonts w:hint="eastAsia"/>
          <w:lang w:val="fr-CH"/>
        </w:rPr>
        <w:t>就</w:t>
      </w:r>
      <w:r w:rsidRPr="00BF42B7">
        <w:rPr>
          <w:lang w:val="fr-CH"/>
        </w:rPr>
        <w:t>避免了一种可能的误解，</w:t>
      </w:r>
      <w:r w:rsidRPr="00BF42B7">
        <w:rPr>
          <w:rFonts w:hint="eastAsia"/>
          <w:lang w:val="fr-CH"/>
        </w:rPr>
        <w:t>即</w:t>
      </w:r>
      <w:r w:rsidRPr="00BF42B7">
        <w:rPr>
          <w:lang w:val="fr-CH"/>
        </w:rPr>
        <w:t>无论相关具体规定或案件情况如何</w:t>
      </w:r>
      <w:r w:rsidRPr="00BF42B7">
        <w:rPr>
          <w:rFonts w:hint="eastAsia"/>
          <w:lang w:val="fr-CH"/>
        </w:rPr>
        <w:t>，认为</w:t>
      </w:r>
      <w:r w:rsidRPr="00BF42B7">
        <w:rPr>
          <w:lang w:val="fr-CH"/>
        </w:rPr>
        <w:t>不同的解释资料中有一种优先于其他。</w:t>
      </w:r>
    </w:p>
    <w:p w:rsidR="00B44972" w:rsidRPr="00BF42B7" w:rsidRDefault="00B44972" w:rsidP="00B44972">
      <w:pPr>
        <w:pStyle w:val="SingleTxtGC"/>
        <w:rPr>
          <w:lang w:val="en-GB"/>
        </w:rPr>
      </w:pPr>
      <w:r w:rsidRPr="00BF42B7">
        <w:rPr>
          <w:lang w:val="fr-CH"/>
        </w:rPr>
        <w:t xml:space="preserve">(14)  </w:t>
      </w:r>
      <w:r w:rsidRPr="00BF42B7">
        <w:rPr>
          <w:lang w:val="fr-CH"/>
        </w:rPr>
        <w:t>第</w:t>
      </w:r>
      <w:r w:rsidRPr="00BF42B7">
        <w:rPr>
          <w:lang w:val="fr-CH"/>
        </w:rPr>
        <w:t>5</w:t>
      </w:r>
      <w:r w:rsidRPr="00BF42B7">
        <w:rPr>
          <w:lang w:val="fr-CH"/>
        </w:rPr>
        <w:t>段使用了</w:t>
      </w:r>
      <w:r w:rsidRPr="00BF42B7">
        <w:rPr>
          <w:rFonts w:hint="eastAsia"/>
          <w:lang w:val="fr-CH"/>
        </w:rPr>
        <w:t>“</w:t>
      </w:r>
      <w:r w:rsidRPr="00BF42B7">
        <w:rPr>
          <w:lang w:val="fr-CH"/>
        </w:rPr>
        <w:t>解释资料</w:t>
      </w:r>
      <w:r w:rsidRPr="00BF42B7">
        <w:rPr>
          <w:rFonts w:hint="eastAsia"/>
          <w:lang w:val="fr-CH"/>
        </w:rPr>
        <w:t>”</w:t>
      </w:r>
      <w:r w:rsidRPr="00BF42B7">
        <w:rPr>
          <w:lang w:val="fr-CH"/>
        </w:rPr>
        <w:t>一语。这一术语不仅涵盖第三十二条所提及的</w:t>
      </w:r>
      <w:r w:rsidRPr="00BF42B7">
        <w:rPr>
          <w:rFonts w:hint="eastAsia"/>
          <w:lang w:val="fr-CH"/>
        </w:rPr>
        <w:t>“</w:t>
      </w:r>
      <w:r w:rsidRPr="00BF42B7">
        <w:rPr>
          <w:lang w:val="fr-CH"/>
        </w:rPr>
        <w:t>补充解释资料</w:t>
      </w:r>
      <w:r w:rsidRPr="00BF42B7">
        <w:rPr>
          <w:rFonts w:hint="eastAsia"/>
          <w:lang w:val="fr-CH"/>
        </w:rPr>
        <w:t>”</w:t>
      </w:r>
      <w:r w:rsidRPr="00BF42B7">
        <w:rPr>
          <w:lang w:val="fr-CH"/>
        </w:rPr>
        <w:t>，而且涵盖第三十一条所提到的各个要素。</w:t>
      </w:r>
      <w:r w:rsidRPr="00BF42B7">
        <w:rPr>
          <w:color w:val="0000FF"/>
          <w:vertAlign w:val="superscript"/>
          <w:lang w:val="fr-CH"/>
        </w:rPr>
        <w:footnoteReference w:id="422"/>
      </w:r>
      <w:r w:rsidRPr="00BF42B7">
        <w:rPr>
          <w:color w:val="0000FF"/>
          <w:lang w:val="fr-CH"/>
        </w:rPr>
        <w:t xml:space="preserve"> </w:t>
      </w:r>
      <w:r w:rsidRPr="00BF42B7">
        <w:rPr>
          <w:lang w:val="fr-CH"/>
        </w:rPr>
        <w:t>在对《条约法》条款草案的评注中，委员会有时交替使用</w:t>
      </w:r>
      <w:r w:rsidRPr="00BF42B7">
        <w:rPr>
          <w:rFonts w:hint="eastAsia"/>
          <w:lang w:val="fr-CH"/>
        </w:rPr>
        <w:t>“</w:t>
      </w:r>
      <w:r w:rsidRPr="00BF42B7">
        <w:rPr>
          <w:lang w:val="fr-CH"/>
        </w:rPr>
        <w:t>解释资料</w:t>
      </w:r>
      <w:r w:rsidRPr="00BF42B7">
        <w:rPr>
          <w:rFonts w:hint="eastAsia"/>
          <w:lang w:val="fr-CH"/>
        </w:rPr>
        <w:t>”</w:t>
      </w:r>
      <w:r w:rsidRPr="00BF42B7">
        <w:rPr>
          <w:lang w:val="fr-CH"/>
        </w:rPr>
        <w:t>和</w:t>
      </w:r>
      <w:r w:rsidRPr="00BF42B7">
        <w:rPr>
          <w:rFonts w:hint="eastAsia"/>
          <w:lang w:val="fr-CH"/>
        </w:rPr>
        <w:t>“</w:t>
      </w:r>
      <w:r w:rsidRPr="00BF42B7">
        <w:rPr>
          <w:lang w:val="fr-CH"/>
        </w:rPr>
        <w:t>解释要素</w:t>
      </w:r>
      <w:r w:rsidRPr="00BF42B7">
        <w:rPr>
          <w:rFonts w:hint="eastAsia"/>
          <w:lang w:val="fr-CH"/>
        </w:rPr>
        <w:t>”</w:t>
      </w:r>
      <w:r w:rsidRPr="00BF42B7">
        <w:rPr>
          <w:lang w:val="fr-CH"/>
        </w:rPr>
        <w:t>，而为了本专题的目的，委员会保留了</w:t>
      </w:r>
      <w:r w:rsidRPr="00BF42B7">
        <w:rPr>
          <w:rFonts w:hint="eastAsia"/>
          <w:lang w:val="fr-CH"/>
        </w:rPr>
        <w:t>“</w:t>
      </w:r>
      <w:r w:rsidRPr="00BF42B7">
        <w:rPr>
          <w:lang w:val="fr-CH"/>
        </w:rPr>
        <w:t>解释资料</w:t>
      </w:r>
      <w:r w:rsidRPr="00BF42B7">
        <w:rPr>
          <w:rFonts w:hint="eastAsia"/>
          <w:lang w:val="fr-CH"/>
        </w:rPr>
        <w:t>”</w:t>
      </w:r>
      <w:r w:rsidRPr="00BF42B7">
        <w:rPr>
          <w:lang w:val="fr-CH"/>
        </w:rPr>
        <w:t>这一术语，因为它还描述了其作为工具或手段在解释过程中的作用。</w:t>
      </w:r>
      <w:r w:rsidRPr="00BF42B7">
        <w:rPr>
          <w:color w:val="0000FF"/>
          <w:vertAlign w:val="superscript"/>
          <w:lang w:val="fr-CH"/>
        </w:rPr>
        <w:footnoteReference w:id="423"/>
      </w:r>
      <w:r w:rsidRPr="00BF42B7">
        <w:rPr>
          <w:color w:val="0000FF"/>
          <w:lang w:val="fr-CH"/>
        </w:rPr>
        <w:t xml:space="preserve"> </w:t>
      </w:r>
      <w:r w:rsidRPr="00BF42B7">
        <w:rPr>
          <w:rFonts w:hint="eastAsia"/>
          <w:lang w:val="fr-CH"/>
        </w:rPr>
        <w:t>“</w:t>
      </w:r>
      <w:r w:rsidRPr="00BF42B7">
        <w:rPr>
          <w:lang w:val="fr-CH"/>
        </w:rPr>
        <w:t>资料</w:t>
      </w:r>
      <w:r w:rsidRPr="00BF42B7">
        <w:rPr>
          <w:rFonts w:hint="eastAsia"/>
          <w:lang w:val="fr-CH"/>
        </w:rPr>
        <w:t>”</w:t>
      </w:r>
      <w:r w:rsidRPr="00BF42B7">
        <w:rPr>
          <w:lang w:val="fr-CH"/>
        </w:rPr>
        <w:t>一词并没有将第三十一条和第三十二条中提到的不同要素分开，而是说明，这些资料在解释过程中各有其作用，解释过程既是</w:t>
      </w:r>
      <w:r w:rsidRPr="00BF42B7">
        <w:rPr>
          <w:rFonts w:hint="eastAsia"/>
          <w:lang w:val="fr-CH"/>
        </w:rPr>
        <w:t>“</w:t>
      </w:r>
      <w:r w:rsidRPr="00BF42B7">
        <w:rPr>
          <w:lang w:val="fr-CH"/>
        </w:rPr>
        <w:t>单一</w:t>
      </w:r>
      <w:r w:rsidRPr="00BF42B7">
        <w:rPr>
          <w:rFonts w:hint="eastAsia"/>
          <w:lang w:val="fr-CH"/>
        </w:rPr>
        <w:t>”</w:t>
      </w:r>
      <w:r w:rsidRPr="00BF42B7">
        <w:rPr>
          <w:lang w:val="fr-CH"/>
        </w:rPr>
        <w:t>的同时又是</w:t>
      </w:r>
      <w:r w:rsidRPr="00BF42B7">
        <w:rPr>
          <w:rFonts w:hint="eastAsia"/>
          <w:lang w:val="fr-CH"/>
        </w:rPr>
        <w:t>“</w:t>
      </w:r>
      <w:r w:rsidRPr="00BF42B7">
        <w:rPr>
          <w:lang w:val="fr-CH"/>
        </w:rPr>
        <w:t>综合</w:t>
      </w:r>
      <w:r w:rsidRPr="00BF42B7">
        <w:rPr>
          <w:rFonts w:hint="eastAsia"/>
          <w:lang w:val="fr-CH"/>
        </w:rPr>
        <w:t>”</w:t>
      </w:r>
      <w:r w:rsidRPr="00BF42B7">
        <w:rPr>
          <w:lang w:val="fr-CH"/>
        </w:rPr>
        <w:t>的行动。</w:t>
      </w:r>
      <w:r w:rsidRPr="00BF42B7">
        <w:rPr>
          <w:color w:val="0000FF"/>
          <w:vertAlign w:val="superscript"/>
          <w:lang w:val="fr-CH"/>
        </w:rPr>
        <w:footnoteReference w:id="424"/>
      </w:r>
      <w:r w:rsidRPr="00BF42B7">
        <w:rPr>
          <w:color w:val="0000FF"/>
          <w:vertAlign w:val="superscript"/>
          <w:lang w:val="fr-CH"/>
        </w:rPr>
        <w:t xml:space="preserve"> </w:t>
      </w:r>
      <w:r w:rsidRPr="00BF42B7">
        <w:rPr>
          <w:lang w:val="fr-CH"/>
        </w:rPr>
        <w:t>正如法院推理通常首先是看条约的术语，继而在一个互动进程中，</w:t>
      </w:r>
      <w:r w:rsidRPr="00BF42B7">
        <w:rPr>
          <w:color w:val="0000FF"/>
          <w:vertAlign w:val="superscript"/>
          <w:lang w:val="fr-CH"/>
        </w:rPr>
        <w:footnoteReference w:id="425"/>
      </w:r>
      <w:r w:rsidRPr="00BF42B7">
        <w:rPr>
          <w:color w:val="0000FF"/>
          <w:vertAlign w:val="superscript"/>
          <w:lang w:val="fr-CH"/>
        </w:rPr>
        <w:t xml:space="preserve"> </w:t>
      </w:r>
      <w:r w:rsidRPr="00BF42B7">
        <w:rPr>
          <w:lang w:val="fr-CH"/>
        </w:rPr>
        <w:t>结合上下文并根据条约的目的和宗旨，分析这些术语，</w:t>
      </w:r>
      <w:r w:rsidRPr="00BF42B7">
        <w:rPr>
          <w:color w:val="0000FF"/>
          <w:vertAlign w:val="superscript"/>
          <w:lang w:val="fr-CH"/>
        </w:rPr>
        <w:footnoteReference w:id="426"/>
      </w:r>
      <w:r w:rsidRPr="00BF42B7">
        <w:rPr>
          <w:color w:val="0000FF"/>
          <w:vertAlign w:val="superscript"/>
          <w:lang w:val="fr-CH"/>
        </w:rPr>
        <w:t xml:space="preserve"> </w:t>
      </w:r>
      <w:r w:rsidRPr="00BF42B7">
        <w:rPr>
          <w:lang w:val="fr-CH"/>
        </w:rPr>
        <w:t>在进行条约解释的任何情况下，必须首先确定不同解释资料确切的相关性，然后才能将其</w:t>
      </w:r>
      <w:r w:rsidRPr="00BF42B7">
        <w:rPr>
          <w:rFonts w:hint="eastAsia"/>
          <w:lang w:val="fr-CH"/>
        </w:rPr>
        <w:t>“</w:t>
      </w:r>
      <w:r w:rsidRPr="00BF42B7">
        <w:rPr>
          <w:lang w:val="fr-CH"/>
        </w:rPr>
        <w:t>扔进熔炉</w:t>
      </w:r>
      <w:r w:rsidRPr="00BF42B7">
        <w:rPr>
          <w:rFonts w:hint="eastAsia"/>
          <w:lang w:val="fr-CH"/>
        </w:rPr>
        <w:t>”</w:t>
      </w:r>
      <w:r w:rsidRPr="00BF42B7">
        <w:rPr>
          <w:lang w:val="fr-CH"/>
        </w:rPr>
        <w:t>，</w:t>
      </w:r>
      <w:r w:rsidRPr="00BF42B7">
        <w:rPr>
          <w:color w:val="0000FF"/>
          <w:vertAlign w:val="superscript"/>
          <w:lang w:val="fr-CH"/>
        </w:rPr>
        <w:footnoteReference w:id="427"/>
      </w:r>
      <w:r w:rsidRPr="00BF42B7">
        <w:rPr>
          <w:color w:val="0000FF"/>
          <w:vertAlign w:val="superscript"/>
          <w:lang w:val="fr-CH"/>
        </w:rPr>
        <w:t xml:space="preserve"> </w:t>
      </w:r>
      <w:r w:rsidRPr="00BF42B7">
        <w:rPr>
          <w:rFonts w:hint="eastAsia"/>
          <w:lang w:val="fr-CH"/>
        </w:rPr>
        <w:t>相应地予以</w:t>
      </w:r>
      <w:r w:rsidRPr="00BF42B7">
        <w:rPr>
          <w:lang w:val="fr-CH"/>
        </w:rPr>
        <w:t>适当权衡，以</w:t>
      </w:r>
      <w:r w:rsidRPr="00BF42B7">
        <w:rPr>
          <w:rFonts w:hint="eastAsia"/>
          <w:lang w:val="fr-CH"/>
        </w:rPr>
        <w:t>作</w:t>
      </w:r>
      <w:r w:rsidRPr="00BF42B7">
        <w:rPr>
          <w:lang w:val="fr-CH"/>
        </w:rPr>
        <w:t>出适当的解释。</w:t>
      </w:r>
    </w:p>
    <w:p w:rsidR="00B44972" w:rsidRPr="00BF42B7" w:rsidRDefault="00B44972" w:rsidP="00B44972">
      <w:pPr>
        <w:pStyle w:val="SingleTxtGC"/>
        <w:rPr>
          <w:lang w:val="en-GB"/>
        </w:rPr>
      </w:pPr>
      <w:r w:rsidRPr="00BF42B7">
        <w:rPr>
          <w:lang w:val="fr-CH"/>
        </w:rPr>
        <w:t xml:space="preserve">(15)  </w:t>
      </w:r>
      <w:r w:rsidRPr="00BF42B7">
        <w:rPr>
          <w:lang w:val="fr-CH"/>
        </w:rPr>
        <w:t>在具体</w:t>
      </w:r>
      <w:r w:rsidRPr="00BF42B7">
        <w:rPr>
          <w:rFonts w:hint="eastAsia"/>
          <w:lang w:val="fr-CH"/>
        </w:rPr>
        <w:t>案件</w:t>
      </w:r>
      <w:r w:rsidRPr="00BF42B7">
        <w:rPr>
          <w:lang w:val="fr-CH"/>
        </w:rPr>
        <w:t>的条约解释过程中，对</w:t>
      </w:r>
      <w:r w:rsidRPr="00BF42B7">
        <w:rPr>
          <w:rFonts w:hint="eastAsia"/>
          <w:lang w:val="fr-CH"/>
        </w:rPr>
        <w:t>“</w:t>
      </w:r>
      <w:r w:rsidRPr="00BF42B7">
        <w:rPr>
          <w:lang w:val="fr-CH"/>
        </w:rPr>
        <w:t>各种解释资料给予适当的强调</w:t>
      </w:r>
      <w:r w:rsidRPr="00BF42B7">
        <w:rPr>
          <w:rFonts w:hint="eastAsia"/>
          <w:lang w:val="fr-CH"/>
        </w:rPr>
        <w:t>”</w:t>
      </w:r>
      <w:r w:rsidRPr="00BF42B7">
        <w:rPr>
          <w:lang w:val="fr-CH"/>
        </w:rPr>
        <w:t>的义务，可能</w:t>
      </w:r>
      <w:r w:rsidRPr="00BF42B7">
        <w:rPr>
          <w:rFonts w:hint="eastAsia"/>
          <w:lang w:val="fr-CH"/>
        </w:rPr>
        <w:t>因</w:t>
      </w:r>
      <w:r w:rsidRPr="00BF42B7">
        <w:rPr>
          <w:lang w:val="fr-CH"/>
        </w:rPr>
        <w:t>有关条约或条约条款的具体情况</w:t>
      </w:r>
      <w:r w:rsidRPr="00BF42B7">
        <w:rPr>
          <w:rFonts w:hint="eastAsia"/>
          <w:lang w:val="fr-CH"/>
        </w:rPr>
        <w:t>，</w:t>
      </w:r>
      <w:r w:rsidRPr="00BF42B7">
        <w:rPr>
          <w:lang w:val="fr-CH"/>
        </w:rPr>
        <w:t>对各种解释资料</w:t>
      </w:r>
      <w:r w:rsidRPr="00BF42B7">
        <w:rPr>
          <w:rFonts w:hint="eastAsia"/>
          <w:lang w:val="fr-CH"/>
        </w:rPr>
        <w:t>有</w:t>
      </w:r>
      <w:r w:rsidRPr="00BF42B7">
        <w:rPr>
          <w:lang w:val="fr-CH"/>
        </w:rPr>
        <w:t>不同的强调。</w:t>
      </w:r>
      <w:r w:rsidRPr="00BF42B7">
        <w:rPr>
          <w:color w:val="0000FF"/>
          <w:vertAlign w:val="superscript"/>
          <w:lang w:val="fr-CH"/>
        </w:rPr>
        <w:footnoteReference w:id="428"/>
      </w:r>
      <w:r w:rsidRPr="00BF42B7">
        <w:rPr>
          <w:color w:val="0000FF"/>
          <w:vertAlign w:val="superscript"/>
          <w:lang w:val="fr-CH"/>
        </w:rPr>
        <w:t xml:space="preserve"> </w:t>
      </w:r>
      <w:r w:rsidRPr="00BF42B7">
        <w:rPr>
          <w:lang w:val="fr-CH"/>
        </w:rPr>
        <w:t>这并不是说，一个法院或任何其他解释者多少能够自由选择如何使用和应用不同的解释资料。指导有关解释的是解释者作出的评价，</w:t>
      </w:r>
      <w:r w:rsidRPr="00BF42B7">
        <w:rPr>
          <w:rFonts w:hint="eastAsia"/>
          <w:lang w:val="fr-CH"/>
        </w:rPr>
        <w:t>即</w:t>
      </w:r>
      <w:r w:rsidRPr="00BF42B7">
        <w:rPr>
          <w:lang w:val="fr-CH"/>
        </w:rPr>
        <w:t>确定不同解释资料在具体案件中的相关性，并通过善意地适当强调，确定这些解释资料在该案中与其他解释资料的互动关系，正如拟适用的规则所要求的那样。</w:t>
      </w:r>
      <w:r w:rsidRPr="00BF42B7">
        <w:rPr>
          <w:color w:val="0000FF"/>
          <w:vertAlign w:val="superscript"/>
          <w:lang w:val="en-GB"/>
        </w:rPr>
        <w:footnoteReference w:id="429"/>
      </w:r>
      <w:r w:rsidRPr="00BF42B7">
        <w:rPr>
          <w:color w:val="0000FF"/>
          <w:vertAlign w:val="superscript"/>
          <w:lang w:val="en-GB"/>
        </w:rPr>
        <w:t xml:space="preserve"> </w:t>
      </w:r>
      <w:r w:rsidRPr="00BF42B7">
        <w:rPr>
          <w:lang w:val="fr-CH"/>
        </w:rPr>
        <w:t>如果可能并实际可行，这一评价应当包括考虑在相同及可能在其他相关方面先前的相关评估和决定。</w:t>
      </w:r>
      <w:bookmarkStart w:id="98" w:name="_Ref461977280"/>
      <w:r w:rsidRPr="00BF42B7">
        <w:rPr>
          <w:color w:val="0000FF"/>
          <w:vertAlign w:val="superscript"/>
          <w:lang w:val="fr-CH"/>
        </w:rPr>
        <w:footnoteReference w:id="430"/>
      </w:r>
      <w:bookmarkEnd w:id="98"/>
      <w:r w:rsidRPr="00BF42B7">
        <w:rPr>
          <w:color w:val="0000FF"/>
          <w:vertAlign w:val="superscript"/>
          <w:lang w:val="fr-CH"/>
        </w:rPr>
        <w:t xml:space="preserve"> </w:t>
      </w:r>
    </w:p>
    <w:p w:rsidR="00B44972" w:rsidRPr="00BF42B7" w:rsidRDefault="00B44972" w:rsidP="00B44972">
      <w:pPr>
        <w:pStyle w:val="SingleTxtGC"/>
        <w:rPr>
          <w:lang w:val="en-GB"/>
        </w:rPr>
      </w:pPr>
      <w:r w:rsidRPr="00BF42B7">
        <w:rPr>
          <w:lang w:val="fr-CH"/>
        </w:rPr>
        <w:t xml:space="preserve">(16)  </w:t>
      </w:r>
      <w:r w:rsidRPr="00BF42B7">
        <w:rPr>
          <w:rFonts w:hint="eastAsia"/>
          <w:lang w:val="fr-CH"/>
        </w:rPr>
        <w:t>关于</w:t>
      </w:r>
      <w:r w:rsidRPr="00BF42B7">
        <w:rPr>
          <w:lang w:val="fr-CH"/>
        </w:rPr>
        <w:t>在结论草案</w:t>
      </w:r>
      <w:r w:rsidRPr="00BF42B7">
        <w:rPr>
          <w:rFonts w:hint="eastAsia"/>
          <w:lang w:val="fr-CH"/>
        </w:rPr>
        <w:t>2[1]</w:t>
      </w:r>
      <w:r w:rsidRPr="00BF42B7">
        <w:rPr>
          <w:lang w:val="fr-CH"/>
        </w:rPr>
        <w:t>中是否宜提到条约的</w:t>
      </w:r>
      <w:r w:rsidRPr="00BF42B7">
        <w:rPr>
          <w:rFonts w:hint="eastAsia"/>
          <w:lang w:val="fr-CH"/>
        </w:rPr>
        <w:t>“</w:t>
      </w:r>
      <w:r w:rsidRPr="00BF42B7">
        <w:rPr>
          <w:lang w:val="fr-CH"/>
        </w:rPr>
        <w:t>性质</w:t>
      </w:r>
      <w:r w:rsidRPr="00BF42B7">
        <w:rPr>
          <w:rFonts w:hint="eastAsia"/>
          <w:lang w:val="fr-CH"/>
        </w:rPr>
        <w:t>”</w:t>
      </w:r>
      <w:r w:rsidRPr="00BF42B7">
        <w:rPr>
          <w:lang w:val="fr-CH"/>
        </w:rPr>
        <w:t>并视之为在确定给予某些解释资料的权重时通常</w:t>
      </w:r>
      <w:r w:rsidRPr="00BF42B7">
        <w:rPr>
          <w:rFonts w:hint="eastAsia"/>
          <w:lang w:val="fr-CH"/>
        </w:rPr>
        <w:t>应考虑</w:t>
      </w:r>
      <w:r w:rsidRPr="00BF42B7">
        <w:rPr>
          <w:lang w:val="fr-CH"/>
        </w:rPr>
        <w:t>的因素，委员会进行了辩论。</w:t>
      </w:r>
      <w:r w:rsidRPr="00BF42B7">
        <w:rPr>
          <w:color w:val="0000FF"/>
          <w:vertAlign w:val="superscript"/>
          <w:lang w:val="fr-CH"/>
        </w:rPr>
        <w:footnoteReference w:id="431"/>
      </w:r>
      <w:r w:rsidRPr="00BF42B7">
        <w:rPr>
          <w:color w:val="0000FF"/>
          <w:vertAlign w:val="superscript"/>
          <w:lang w:val="fr-CH"/>
        </w:rPr>
        <w:t xml:space="preserve"> </w:t>
      </w:r>
      <w:r w:rsidRPr="00BF42B7">
        <w:rPr>
          <w:lang w:val="fr-CH"/>
        </w:rPr>
        <w:t>有些委员认为，一项条约的主题</w:t>
      </w:r>
      <w:r w:rsidRPr="00BF42B7">
        <w:rPr>
          <w:lang w:val="fr-CH"/>
        </w:rPr>
        <w:t>(</w:t>
      </w:r>
      <w:r w:rsidRPr="00BF42B7">
        <w:rPr>
          <w:lang w:val="fr-CH"/>
        </w:rPr>
        <w:t>例如，有关规定是涉及纯经济事项还是涉及个人的人权；条约规则是偏</w:t>
      </w:r>
      <w:r w:rsidRPr="00BF42B7">
        <w:rPr>
          <w:rFonts w:hint="eastAsia"/>
          <w:lang w:val="fr-CH"/>
        </w:rPr>
        <w:t>重</w:t>
      </w:r>
      <w:r w:rsidRPr="00BF42B7">
        <w:rPr>
          <w:lang w:val="fr-CH"/>
        </w:rPr>
        <w:t>技术还是偏</w:t>
      </w:r>
      <w:r w:rsidRPr="00BF42B7">
        <w:rPr>
          <w:rFonts w:hint="eastAsia"/>
          <w:lang w:val="fr-CH"/>
        </w:rPr>
        <w:t>重</w:t>
      </w:r>
      <w:r w:rsidRPr="00BF42B7">
        <w:rPr>
          <w:lang w:val="fr-CH"/>
        </w:rPr>
        <w:t>价值取向</w:t>
      </w:r>
      <w:r w:rsidRPr="00BF42B7">
        <w:rPr>
          <w:lang w:val="fr-CH"/>
        </w:rPr>
        <w:t>)</w:t>
      </w:r>
      <w:r w:rsidRPr="00BF42B7">
        <w:rPr>
          <w:lang w:val="fr-CH"/>
        </w:rPr>
        <w:t>及其基本结构和职能</w:t>
      </w:r>
      <w:r w:rsidRPr="00BF42B7">
        <w:rPr>
          <w:lang w:val="fr-CH"/>
        </w:rPr>
        <w:t>(</w:t>
      </w:r>
      <w:r w:rsidRPr="00BF42B7">
        <w:rPr>
          <w:lang w:val="fr-CH"/>
        </w:rPr>
        <w:t>例如，有关规定更多为互惠性质还是为了保护公益</w:t>
      </w:r>
      <w:r w:rsidRPr="00BF42B7">
        <w:rPr>
          <w:lang w:val="fr-CH"/>
        </w:rPr>
        <w:t>)</w:t>
      </w:r>
      <w:r w:rsidRPr="00BF42B7">
        <w:rPr>
          <w:lang w:val="fr-CH"/>
        </w:rPr>
        <w:t>可能影响</w:t>
      </w:r>
      <w:r w:rsidRPr="00BF42B7">
        <w:rPr>
          <w:rFonts w:hint="eastAsia"/>
          <w:lang w:val="fr-CH"/>
        </w:rPr>
        <w:t>对</w:t>
      </w:r>
      <w:r w:rsidRPr="00BF42B7">
        <w:rPr>
          <w:lang w:val="fr-CH"/>
        </w:rPr>
        <w:t>条约的解释。他们说，各国际法院和法庭的判例表明，情况就是如此。</w:t>
      </w:r>
      <w:bookmarkStart w:id="99" w:name="_Ref461976532"/>
      <w:r w:rsidRPr="00BF42B7">
        <w:rPr>
          <w:color w:val="0000FF"/>
          <w:vertAlign w:val="superscript"/>
          <w:lang w:val="fr-CH"/>
        </w:rPr>
        <w:footnoteReference w:id="432"/>
      </w:r>
      <w:bookmarkEnd w:id="99"/>
      <w:r w:rsidRPr="00BF42B7">
        <w:rPr>
          <w:color w:val="0000FF"/>
          <w:vertAlign w:val="superscript"/>
          <w:lang w:val="fr-CH"/>
        </w:rPr>
        <w:t xml:space="preserve"> </w:t>
      </w:r>
      <w:r w:rsidRPr="00BF42B7">
        <w:rPr>
          <w:lang w:val="fr-CH"/>
        </w:rPr>
        <w:t>有人还提到，条约</w:t>
      </w:r>
      <w:r w:rsidRPr="00BF42B7">
        <w:rPr>
          <w:rFonts w:hint="eastAsia"/>
          <w:lang w:val="fr-CH"/>
        </w:rPr>
        <w:t>“</w:t>
      </w:r>
      <w:r w:rsidRPr="00BF42B7">
        <w:rPr>
          <w:lang w:val="fr-CH"/>
        </w:rPr>
        <w:t>性质</w:t>
      </w:r>
      <w:r w:rsidRPr="00BF42B7">
        <w:rPr>
          <w:rFonts w:hint="eastAsia"/>
          <w:lang w:val="fr-CH"/>
        </w:rPr>
        <w:t>”</w:t>
      </w:r>
      <w:r w:rsidRPr="00BF42B7">
        <w:rPr>
          <w:lang w:val="fr-CH"/>
        </w:rPr>
        <w:t>的概念对</w:t>
      </w:r>
      <w:r w:rsidRPr="00BF42B7">
        <w:rPr>
          <w:lang w:val="fr-CH"/>
        </w:rPr>
        <w:t>1969</w:t>
      </w:r>
      <w:r w:rsidRPr="00BF42B7">
        <w:rPr>
          <w:lang w:val="fr-CH"/>
        </w:rPr>
        <w:t>年《维也纳公约》而言并不陌生</w:t>
      </w:r>
      <w:r w:rsidRPr="00BF42B7">
        <w:rPr>
          <w:lang w:val="fr-CH"/>
        </w:rPr>
        <w:t>(</w:t>
      </w:r>
      <w:r w:rsidRPr="00BF42B7">
        <w:rPr>
          <w:lang w:val="fr-CH"/>
        </w:rPr>
        <w:t>例如，见第五十六条第一款</w:t>
      </w:r>
      <w:r w:rsidRPr="00BF42B7">
        <w:rPr>
          <w:lang w:val="fr-CH"/>
        </w:rPr>
        <w:t>(a)</w:t>
      </w:r>
      <w:r w:rsidRPr="00BF42B7">
        <w:rPr>
          <w:lang w:val="fr-CH"/>
        </w:rPr>
        <w:t>项</w:t>
      </w:r>
      <w:r w:rsidRPr="00BF42B7">
        <w:rPr>
          <w:lang w:val="fr-CH"/>
        </w:rPr>
        <w:t>)</w:t>
      </w:r>
      <w:bookmarkStart w:id="100" w:name="_Ref461976505"/>
      <w:r w:rsidRPr="00BF42B7">
        <w:rPr>
          <w:color w:val="0000FF"/>
          <w:vertAlign w:val="superscript"/>
          <w:lang w:val="fr-CH"/>
        </w:rPr>
        <w:footnoteReference w:id="433"/>
      </w:r>
      <w:bookmarkEnd w:id="100"/>
      <w:r w:rsidRPr="00BF42B7">
        <w:rPr>
          <w:color w:val="0000FF"/>
          <w:vertAlign w:val="superscript"/>
          <w:lang w:val="fr-CH"/>
        </w:rPr>
        <w:t xml:space="preserve"> </w:t>
      </w:r>
      <w:r w:rsidRPr="00BF42B7">
        <w:rPr>
          <w:lang w:val="fr-CH"/>
        </w:rPr>
        <w:t>，条约和</w:t>
      </w:r>
      <w:r w:rsidRPr="00BF42B7">
        <w:rPr>
          <w:lang w:val="fr-CH"/>
        </w:rPr>
        <w:t>/</w:t>
      </w:r>
      <w:r w:rsidRPr="00BF42B7">
        <w:rPr>
          <w:lang w:val="fr-CH"/>
        </w:rPr>
        <w:t>或条约条款</w:t>
      </w:r>
      <w:r w:rsidRPr="00BF42B7">
        <w:rPr>
          <w:rFonts w:hint="eastAsia"/>
          <w:lang w:val="fr-CH"/>
        </w:rPr>
        <w:t>“</w:t>
      </w:r>
      <w:r w:rsidRPr="00BF42B7">
        <w:rPr>
          <w:lang w:val="fr-CH"/>
        </w:rPr>
        <w:t>性质</w:t>
      </w:r>
      <w:r w:rsidRPr="00BF42B7">
        <w:rPr>
          <w:rFonts w:hint="eastAsia"/>
          <w:lang w:val="fr-CH"/>
        </w:rPr>
        <w:t>”</w:t>
      </w:r>
      <w:r w:rsidRPr="00BF42B7">
        <w:rPr>
          <w:lang w:val="fr-CH"/>
        </w:rPr>
        <w:t>的概念被纳入了委员会的其他工作，特别是关于武装冲突对条约的影响专题。</w:t>
      </w:r>
      <w:r w:rsidRPr="00BF42B7">
        <w:rPr>
          <w:color w:val="0000FF"/>
          <w:vertAlign w:val="superscript"/>
          <w:lang w:val="fr-CH"/>
        </w:rPr>
        <w:footnoteReference w:id="434"/>
      </w:r>
      <w:r w:rsidRPr="00BF42B7">
        <w:rPr>
          <w:color w:val="0000FF"/>
          <w:vertAlign w:val="superscript"/>
          <w:lang w:val="fr-CH"/>
        </w:rPr>
        <w:t xml:space="preserve"> </w:t>
      </w:r>
      <w:r w:rsidRPr="00BF42B7">
        <w:rPr>
          <w:lang w:val="fr-CH"/>
        </w:rPr>
        <w:t>但是，另一些委员认为，结论草案不应当提到条约的</w:t>
      </w:r>
      <w:r w:rsidRPr="00BF42B7">
        <w:rPr>
          <w:rFonts w:hint="eastAsia"/>
          <w:lang w:val="fr-CH"/>
        </w:rPr>
        <w:t>“</w:t>
      </w:r>
      <w:r w:rsidRPr="00BF42B7">
        <w:rPr>
          <w:lang w:val="fr-CH"/>
        </w:rPr>
        <w:t>性质</w:t>
      </w:r>
      <w:r w:rsidRPr="00BF42B7">
        <w:rPr>
          <w:rFonts w:hint="eastAsia"/>
          <w:lang w:val="fr-CH"/>
        </w:rPr>
        <w:t>”，</w:t>
      </w:r>
      <w:r w:rsidRPr="00BF42B7">
        <w:rPr>
          <w:lang w:val="fr-CH"/>
        </w:rPr>
        <w:t>以维护解释过程的统一性，避免对条约进行任何分类。还有人提到，</w:t>
      </w:r>
      <w:r w:rsidRPr="00BF42B7">
        <w:rPr>
          <w:rFonts w:hint="eastAsia"/>
          <w:lang w:val="fr-CH"/>
        </w:rPr>
        <w:t>“</w:t>
      </w:r>
      <w:r w:rsidRPr="00BF42B7">
        <w:rPr>
          <w:lang w:val="fr-CH"/>
        </w:rPr>
        <w:t>条约的性质</w:t>
      </w:r>
      <w:r w:rsidRPr="00BF42B7">
        <w:rPr>
          <w:rFonts w:hint="eastAsia"/>
          <w:lang w:val="fr-CH"/>
        </w:rPr>
        <w:t>”</w:t>
      </w:r>
      <w:r w:rsidRPr="00BF42B7">
        <w:rPr>
          <w:lang w:val="fr-CH"/>
        </w:rPr>
        <w:t>的提法不明确，难以将其与条约的目的和宗旨区分。</w:t>
      </w:r>
      <w:r w:rsidRPr="00BF42B7">
        <w:rPr>
          <w:color w:val="0000FF"/>
          <w:vertAlign w:val="superscript"/>
          <w:lang w:val="fr-CH"/>
        </w:rPr>
        <w:footnoteReference w:id="435"/>
      </w:r>
      <w:r w:rsidRPr="00BF42B7">
        <w:rPr>
          <w:color w:val="0000FF"/>
          <w:vertAlign w:val="superscript"/>
          <w:lang w:val="fr-CH"/>
        </w:rPr>
        <w:t xml:space="preserve"> </w:t>
      </w:r>
      <w:r w:rsidRPr="00BF42B7">
        <w:rPr>
          <w:lang w:val="fr-CH"/>
        </w:rPr>
        <w:t>委员会最终决定这一问题保持开放，目前不在结论草案</w:t>
      </w:r>
      <w:r w:rsidRPr="00BF42B7">
        <w:rPr>
          <w:rFonts w:hint="eastAsia"/>
          <w:lang w:val="fr-CH"/>
        </w:rPr>
        <w:t>2[1]</w:t>
      </w:r>
      <w:r w:rsidRPr="00BF42B7">
        <w:rPr>
          <w:lang w:val="fr-CH"/>
        </w:rPr>
        <w:t>中提到条约的性质。</w:t>
      </w:r>
    </w:p>
    <w:p w:rsidR="00B44972" w:rsidRPr="00BF42B7" w:rsidRDefault="00B44972" w:rsidP="00B44972">
      <w:pPr>
        <w:pStyle w:val="H23GC"/>
        <w:ind w:left="1554"/>
        <w:rPr>
          <w:lang w:val="en-GB"/>
        </w:rPr>
      </w:pPr>
      <w:r w:rsidRPr="00BF42B7">
        <w:rPr>
          <w:rFonts w:hint="eastAsia"/>
          <w:lang w:val="fr-CH"/>
        </w:rPr>
        <w:tab/>
      </w:r>
      <w:r w:rsidRPr="00BF42B7">
        <w:rPr>
          <w:rFonts w:hint="eastAsia"/>
          <w:lang w:val="fr-CH"/>
        </w:rPr>
        <w:tab/>
      </w:r>
      <w:r w:rsidRPr="00BF42B7">
        <w:rPr>
          <w:lang w:val="fr-CH"/>
        </w:rPr>
        <w:t>结论</w:t>
      </w:r>
      <w:r w:rsidRPr="00BF42B7">
        <w:rPr>
          <w:rFonts w:hint="eastAsia"/>
          <w:lang w:val="fr-CH"/>
        </w:rPr>
        <w:t>3[2]</w:t>
      </w:r>
      <w:r w:rsidRPr="00BF42B7">
        <w:rPr>
          <w:lang w:val="fr-CH"/>
        </w:rPr>
        <w:br/>
      </w:r>
      <w:r w:rsidRPr="00BF42B7">
        <w:rPr>
          <w:lang w:val="fr-CH"/>
        </w:rPr>
        <w:t>以嗣后协定和嗣后惯例作为作准的解释资料</w:t>
      </w:r>
    </w:p>
    <w:p w:rsidR="00B44972" w:rsidRPr="00BF42B7" w:rsidRDefault="00B44972" w:rsidP="00B44972">
      <w:pPr>
        <w:pStyle w:val="SingleTxtGC"/>
        <w:ind w:left="1554"/>
        <w:rPr>
          <w:bCs/>
          <w:lang w:val="en-GB"/>
        </w:rPr>
      </w:pPr>
      <w:r w:rsidRPr="00BF42B7">
        <w:rPr>
          <w:rFonts w:hint="eastAsia"/>
          <w:lang w:val="fr-CH"/>
        </w:rPr>
        <w:tab/>
      </w:r>
      <w:r w:rsidRPr="00BF42B7">
        <w:rPr>
          <w:rFonts w:hint="eastAsia"/>
          <w:lang w:val="fr-CH"/>
        </w:rPr>
        <w:tab/>
      </w:r>
      <w:r w:rsidRPr="00BF42B7">
        <w:rPr>
          <w:lang w:val="fr-CH"/>
        </w:rPr>
        <w:t>第三十一条第三款</w:t>
      </w:r>
      <w:r w:rsidRPr="00BF42B7">
        <w:rPr>
          <w:lang w:val="fr-CH"/>
        </w:rPr>
        <w:t>(a)</w:t>
      </w:r>
      <w:r w:rsidRPr="00BF42B7">
        <w:rPr>
          <w:lang w:val="fr-CH"/>
        </w:rPr>
        <w:t>和</w:t>
      </w:r>
      <w:r w:rsidRPr="00BF42B7">
        <w:rPr>
          <w:lang w:val="fr-CH"/>
        </w:rPr>
        <w:t>(b)</w:t>
      </w:r>
      <w:r w:rsidRPr="00BF42B7">
        <w:rPr>
          <w:lang w:val="fr-CH"/>
        </w:rPr>
        <w:t>项所称的嗣后协定和嗣后惯例是缔约方对条约含义理解的客观证据，因而是适用第三十一条所反映的条约解释通则时的作准的解释资料。</w:t>
      </w:r>
    </w:p>
    <w:p w:rsidR="00B44972" w:rsidRPr="00BF42B7" w:rsidRDefault="00B44972" w:rsidP="00B44972">
      <w:pPr>
        <w:pStyle w:val="H23GC"/>
        <w:rPr>
          <w:lang w:val="en-GB"/>
        </w:rPr>
      </w:pPr>
      <w:r w:rsidRPr="00BF42B7">
        <w:rPr>
          <w:b/>
          <w:lang w:val="fr-CH"/>
        </w:rPr>
        <w:tab/>
      </w:r>
      <w:r w:rsidRPr="00BF42B7">
        <w:rPr>
          <w:rFonts w:hint="eastAsia"/>
          <w:b/>
          <w:lang w:val="fr-CH"/>
        </w:rPr>
        <w:tab/>
      </w:r>
      <w:r w:rsidRPr="00BF42B7">
        <w:rPr>
          <w:lang w:val="fr-CH"/>
        </w:rPr>
        <w:t>评注</w:t>
      </w:r>
    </w:p>
    <w:p w:rsidR="00B44972" w:rsidRPr="00BF42B7" w:rsidRDefault="00B44972" w:rsidP="00B80FD2">
      <w:pPr>
        <w:pStyle w:val="SingleTxtGC"/>
        <w:spacing w:after="140" w:line="330" w:lineRule="exact"/>
        <w:rPr>
          <w:lang w:val="en-GB"/>
        </w:rPr>
      </w:pPr>
      <w:r w:rsidRPr="00BF42B7">
        <w:rPr>
          <w:lang w:val="fr-CH"/>
        </w:rPr>
        <w:t xml:space="preserve">(1)  </w:t>
      </w:r>
      <w:r w:rsidRPr="00BF42B7">
        <w:rPr>
          <w:lang w:val="fr-CH"/>
        </w:rPr>
        <w:t>通过将</w:t>
      </w:r>
      <w:r w:rsidRPr="00BF42B7">
        <w:rPr>
          <w:lang w:val="fr-CH"/>
        </w:rPr>
        <w:t>1969</w:t>
      </w:r>
      <w:r w:rsidRPr="00BF42B7">
        <w:rPr>
          <w:lang w:val="fr-CH"/>
        </w:rPr>
        <w:t>年《维也纳公约》第三十一条第三款</w:t>
      </w:r>
      <w:r w:rsidRPr="00BF42B7">
        <w:rPr>
          <w:lang w:val="fr-CH"/>
        </w:rPr>
        <w:t>(a)</w:t>
      </w:r>
      <w:r w:rsidRPr="00BF42B7">
        <w:rPr>
          <w:lang w:val="fr-CH"/>
        </w:rPr>
        <w:t>项和</w:t>
      </w:r>
      <w:r w:rsidRPr="00BF42B7">
        <w:rPr>
          <w:lang w:val="fr-CH"/>
        </w:rPr>
        <w:t>(b)</w:t>
      </w:r>
      <w:r w:rsidRPr="00BF42B7">
        <w:rPr>
          <w:lang w:val="fr-CH"/>
        </w:rPr>
        <w:t>项之下的嗣后协定和嗣后惯例定性为</w:t>
      </w:r>
      <w:r w:rsidRPr="00BF42B7">
        <w:rPr>
          <w:rFonts w:hint="eastAsia"/>
          <w:lang w:val="fr-CH"/>
        </w:rPr>
        <w:t>“</w:t>
      </w:r>
      <w:r w:rsidRPr="00BF42B7">
        <w:rPr>
          <w:lang w:val="fr-CH"/>
        </w:rPr>
        <w:t>作准的解释资料</w:t>
      </w:r>
      <w:r w:rsidRPr="00BF42B7">
        <w:rPr>
          <w:rFonts w:hint="eastAsia"/>
          <w:lang w:val="fr-CH"/>
        </w:rPr>
        <w:t>”</w:t>
      </w:r>
      <w:r w:rsidRPr="00BF42B7">
        <w:rPr>
          <w:lang w:val="fr-CH"/>
        </w:rPr>
        <w:t>，委员会指出了为什么这些资料是条约解释的重要因素。</w:t>
      </w:r>
      <w:bookmarkStart w:id="101" w:name="_Ref461975695"/>
      <w:r w:rsidRPr="00BF42B7">
        <w:rPr>
          <w:color w:val="0000FF"/>
          <w:vertAlign w:val="superscript"/>
          <w:lang w:val="fr-CH"/>
        </w:rPr>
        <w:footnoteReference w:id="436"/>
      </w:r>
      <w:bookmarkEnd w:id="101"/>
      <w:r w:rsidRPr="00BF42B7">
        <w:rPr>
          <w:color w:val="0000FF"/>
          <w:vertAlign w:val="superscript"/>
          <w:lang w:val="fr-CH"/>
        </w:rPr>
        <w:t xml:space="preserve"> </w:t>
      </w:r>
      <w:r w:rsidRPr="00BF42B7">
        <w:rPr>
          <w:lang w:val="fr-CH"/>
        </w:rPr>
        <w:t>委员会因此遵循其</w:t>
      </w:r>
      <w:r w:rsidRPr="00BF42B7">
        <w:rPr>
          <w:lang w:val="fr-CH"/>
        </w:rPr>
        <w:t>1966</w:t>
      </w:r>
      <w:r w:rsidRPr="00BF42B7">
        <w:rPr>
          <w:lang w:val="fr-CH"/>
        </w:rPr>
        <w:t>年对条约法条款草案的评注，该评注将第三十一条第三款</w:t>
      </w:r>
      <w:r w:rsidRPr="00BF42B7">
        <w:rPr>
          <w:lang w:val="fr-CH"/>
        </w:rPr>
        <w:t>(a)</w:t>
      </w:r>
      <w:r w:rsidRPr="00BF42B7">
        <w:rPr>
          <w:lang w:val="fr-CH"/>
        </w:rPr>
        <w:t>项和</w:t>
      </w:r>
      <w:r w:rsidRPr="00BF42B7">
        <w:rPr>
          <w:lang w:val="fr-CH"/>
        </w:rPr>
        <w:t>(b)</w:t>
      </w:r>
      <w:r w:rsidRPr="00BF42B7">
        <w:rPr>
          <w:lang w:val="fr-CH"/>
        </w:rPr>
        <w:t>项之下的嗣后协定和嗣后惯例描述为</w:t>
      </w:r>
      <w:r w:rsidRPr="00BF42B7">
        <w:rPr>
          <w:rFonts w:hint="eastAsia"/>
          <w:lang w:val="fr-CH"/>
        </w:rPr>
        <w:t>“</w:t>
      </w:r>
      <w:r w:rsidRPr="00BF42B7">
        <w:rPr>
          <w:lang w:val="fr-CH"/>
        </w:rPr>
        <w:t>作准的解释资料</w:t>
      </w:r>
      <w:r w:rsidRPr="00BF42B7">
        <w:rPr>
          <w:rFonts w:hint="eastAsia"/>
          <w:lang w:val="fr-CH"/>
        </w:rPr>
        <w:t>”</w:t>
      </w:r>
      <w:r w:rsidRPr="00BF42B7">
        <w:rPr>
          <w:lang w:val="fr-CH"/>
        </w:rPr>
        <w:t>，其中强调：</w:t>
      </w:r>
    </w:p>
    <w:p w:rsidR="00B44972" w:rsidRPr="00BF42B7" w:rsidRDefault="00B44972" w:rsidP="00B80FD2">
      <w:pPr>
        <w:pStyle w:val="SingleTxtGC"/>
        <w:spacing w:after="140" w:line="330" w:lineRule="exact"/>
        <w:ind w:left="1554"/>
        <w:rPr>
          <w:lang w:val="en-GB"/>
        </w:rPr>
      </w:pPr>
      <w:r w:rsidRPr="00BF42B7">
        <w:rPr>
          <w:rFonts w:hint="eastAsia"/>
          <w:lang w:val="fr-CH"/>
        </w:rPr>
        <w:t>“</w:t>
      </w:r>
      <w:r w:rsidRPr="00BF42B7">
        <w:rPr>
          <w:lang w:val="fr-CH"/>
        </w:rPr>
        <w:t>作为解释的一个要素，此种嗣后惯例在适用条约方面的重要性十分明显；因为</w:t>
      </w:r>
      <w:r w:rsidRPr="00BF42B7">
        <w:rPr>
          <w:rFonts w:hint="eastAsia"/>
          <w:lang w:val="fr-CH"/>
        </w:rPr>
        <w:t>它</w:t>
      </w:r>
      <w:r w:rsidRPr="00BF42B7">
        <w:rPr>
          <w:lang w:val="fr-CH"/>
        </w:rPr>
        <w:t>构成有关缔约国对条约意义的理解的客观证据</w:t>
      </w:r>
      <w:r w:rsidRPr="00BF42B7">
        <w:rPr>
          <w:rFonts w:hint="eastAsia"/>
          <w:lang w:val="fr-CH"/>
        </w:rPr>
        <w:t>”</w:t>
      </w:r>
      <w:r w:rsidRPr="00BF42B7">
        <w:rPr>
          <w:lang w:val="fr-CH"/>
        </w:rPr>
        <w:t>。</w:t>
      </w:r>
      <w:r w:rsidRPr="00BF42B7">
        <w:rPr>
          <w:color w:val="0000FF"/>
          <w:vertAlign w:val="superscript"/>
          <w:lang w:val="fr-CH"/>
        </w:rPr>
        <w:footnoteReference w:id="437"/>
      </w:r>
      <w:r w:rsidRPr="00BF42B7">
        <w:rPr>
          <w:color w:val="0000FF"/>
          <w:vertAlign w:val="superscript"/>
          <w:lang w:val="fr-CH"/>
        </w:rPr>
        <w:t xml:space="preserve"> </w:t>
      </w:r>
    </w:p>
    <w:p w:rsidR="00B44972" w:rsidRPr="00BF42B7" w:rsidRDefault="00B44972" w:rsidP="00B80FD2">
      <w:pPr>
        <w:pStyle w:val="SingleTxtGC"/>
        <w:spacing w:after="140" w:line="330" w:lineRule="exact"/>
        <w:rPr>
          <w:lang w:val="en-GB"/>
        </w:rPr>
      </w:pPr>
      <w:r w:rsidRPr="00BF42B7">
        <w:rPr>
          <w:lang w:val="fr-CH"/>
        </w:rPr>
        <w:t xml:space="preserve">(2)  </w:t>
      </w:r>
      <w:r w:rsidRPr="00BF42B7">
        <w:rPr>
          <w:lang w:val="fr-CH"/>
        </w:rPr>
        <w:t>但是，第三十一条第三款</w:t>
      </w:r>
      <w:r w:rsidRPr="00BF42B7">
        <w:rPr>
          <w:lang w:val="fr-CH"/>
        </w:rPr>
        <w:t>(a)</w:t>
      </w:r>
      <w:r w:rsidRPr="00BF42B7">
        <w:rPr>
          <w:lang w:val="fr-CH"/>
        </w:rPr>
        <w:t>项和</w:t>
      </w:r>
      <w:r w:rsidRPr="00BF42B7">
        <w:rPr>
          <w:lang w:val="fr-CH"/>
        </w:rPr>
        <w:t>(b)</w:t>
      </w:r>
      <w:r w:rsidRPr="00BF42B7">
        <w:rPr>
          <w:lang w:val="fr-CH"/>
        </w:rPr>
        <w:t>项之下的嗣后协定和嗣后惯例并非唯一</w:t>
      </w:r>
      <w:r w:rsidRPr="00BF42B7">
        <w:rPr>
          <w:rFonts w:hint="eastAsia"/>
          <w:lang w:val="fr-CH"/>
        </w:rPr>
        <w:t>“</w:t>
      </w:r>
      <w:r w:rsidRPr="00BF42B7">
        <w:rPr>
          <w:lang w:val="fr-CH"/>
        </w:rPr>
        <w:t>作准的解释资料</w:t>
      </w:r>
      <w:r w:rsidRPr="00BF42B7">
        <w:rPr>
          <w:rFonts w:hint="eastAsia"/>
          <w:lang w:val="fr-CH"/>
        </w:rPr>
        <w:t>”</w:t>
      </w:r>
      <w:r w:rsidRPr="00BF42B7">
        <w:rPr>
          <w:lang w:val="fr-CH"/>
        </w:rPr>
        <w:t>。正如委员会所解释的：</w:t>
      </w:r>
    </w:p>
    <w:p w:rsidR="00B44972" w:rsidRPr="00BF42B7" w:rsidRDefault="00B44972" w:rsidP="00B80FD2">
      <w:pPr>
        <w:pStyle w:val="SingleTxtGC"/>
        <w:spacing w:after="140" w:line="330" w:lineRule="exact"/>
        <w:ind w:left="1554"/>
        <w:rPr>
          <w:lang w:val="en-GB"/>
        </w:rPr>
      </w:pPr>
      <w:r w:rsidRPr="00BF42B7">
        <w:rPr>
          <w:rFonts w:hint="eastAsia"/>
          <w:lang w:val="fr-CH"/>
        </w:rPr>
        <w:t>“</w:t>
      </w:r>
      <w:r w:rsidRPr="00BF42B7">
        <w:rPr>
          <w:rFonts w:hint="eastAsia"/>
          <w:spacing w:val="2"/>
        </w:rPr>
        <w:t>……</w:t>
      </w:r>
      <w:r w:rsidRPr="00BF42B7">
        <w:rPr>
          <w:lang w:val="fr-CH"/>
        </w:rPr>
        <w:t>委员会对条约解释的办法的基础是，条约案文必须假定为缔约国意图的权威表述，</w:t>
      </w:r>
      <w:r w:rsidRPr="00BF42B7">
        <w:rPr>
          <w:rFonts w:hint="eastAsia"/>
          <w:spacing w:val="2"/>
        </w:rPr>
        <w:t>……</w:t>
      </w:r>
      <w:r w:rsidRPr="00BF42B7">
        <w:rPr>
          <w:lang w:val="fr-CH"/>
        </w:rPr>
        <w:t>将其用语的通常</w:t>
      </w:r>
      <w:r w:rsidRPr="00BF42B7">
        <w:rPr>
          <w:rFonts w:hint="eastAsia"/>
          <w:lang w:val="fr-CH"/>
        </w:rPr>
        <w:t>含义</w:t>
      </w:r>
      <w:r w:rsidRPr="00BF42B7">
        <w:rPr>
          <w:lang w:val="fr-CH"/>
        </w:rPr>
        <w:t>、条约背景、目的和宗旨</w:t>
      </w:r>
      <w:r w:rsidRPr="00BF42B7">
        <w:rPr>
          <w:rFonts w:hint="eastAsia"/>
          <w:lang w:val="fr-CH"/>
        </w:rPr>
        <w:t>、</w:t>
      </w:r>
      <w:r w:rsidRPr="00BF42B7">
        <w:rPr>
          <w:lang w:val="fr-CH"/>
        </w:rPr>
        <w:t>及国际法一般规则，连同缔约国的作准解释，作为解释条约的主要标准</w:t>
      </w:r>
      <w:r w:rsidRPr="00BF42B7">
        <w:rPr>
          <w:rFonts w:hint="eastAsia"/>
          <w:lang w:val="fr-CH"/>
        </w:rPr>
        <w:t>”</w:t>
      </w:r>
      <w:r w:rsidRPr="00BF42B7">
        <w:rPr>
          <w:lang w:val="fr-CH"/>
        </w:rPr>
        <w:t>。</w:t>
      </w:r>
      <w:r w:rsidRPr="00BF42B7">
        <w:rPr>
          <w:color w:val="0000FF"/>
          <w:vertAlign w:val="superscript"/>
          <w:lang w:val="fr-CH"/>
        </w:rPr>
        <w:footnoteReference w:id="438"/>
      </w:r>
      <w:r w:rsidRPr="00BF42B7">
        <w:rPr>
          <w:color w:val="0000FF"/>
          <w:vertAlign w:val="superscript"/>
          <w:lang w:val="fr-CH"/>
        </w:rPr>
        <w:t xml:space="preserve"> </w:t>
      </w:r>
    </w:p>
    <w:p w:rsidR="00B44972" w:rsidRPr="00BF42B7" w:rsidRDefault="00B44972" w:rsidP="00B80FD2">
      <w:pPr>
        <w:pStyle w:val="SingleTxtGC"/>
        <w:spacing w:after="140" w:line="330" w:lineRule="exact"/>
        <w:rPr>
          <w:lang w:val="en-GB"/>
        </w:rPr>
      </w:pPr>
      <w:r w:rsidRPr="00BF42B7">
        <w:rPr>
          <w:lang w:val="fr-CH"/>
        </w:rPr>
        <w:t>因此，</w:t>
      </w:r>
      <w:r w:rsidRPr="00BF42B7">
        <w:rPr>
          <w:rFonts w:hint="eastAsia"/>
          <w:lang w:val="fr-CH"/>
        </w:rPr>
        <w:t>“</w:t>
      </w:r>
      <w:r w:rsidRPr="00BF42B7">
        <w:rPr>
          <w:lang w:val="fr-CH"/>
        </w:rPr>
        <w:t>作准</w:t>
      </w:r>
      <w:r w:rsidRPr="00BF42B7">
        <w:rPr>
          <w:rFonts w:hint="eastAsia"/>
          <w:lang w:val="fr-CH"/>
        </w:rPr>
        <w:t>”</w:t>
      </w:r>
      <w:r w:rsidRPr="00BF42B7">
        <w:rPr>
          <w:lang w:val="fr-CH"/>
        </w:rPr>
        <w:t>一词</w:t>
      </w:r>
      <w:r w:rsidRPr="00BF42B7">
        <w:rPr>
          <w:rFonts w:hint="eastAsia"/>
          <w:lang w:val="fr-CH"/>
        </w:rPr>
        <w:t>是指</w:t>
      </w:r>
      <w:r w:rsidRPr="00BF42B7">
        <w:rPr>
          <w:lang w:val="fr-CH"/>
        </w:rPr>
        <w:t>缔约国行为不同形式的</w:t>
      </w:r>
      <w:r w:rsidRPr="00BF42B7">
        <w:rPr>
          <w:rFonts w:hint="eastAsia"/>
          <w:lang w:val="fr-CH"/>
        </w:rPr>
        <w:t>“</w:t>
      </w:r>
      <w:r w:rsidRPr="00BF42B7">
        <w:rPr>
          <w:lang w:val="fr-CH"/>
        </w:rPr>
        <w:t>客观证据</w:t>
      </w:r>
      <w:r w:rsidRPr="00BF42B7">
        <w:rPr>
          <w:rFonts w:hint="eastAsia"/>
          <w:lang w:val="fr-CH"/>
        </w:rPr>
        <w:t>”</w:t>
      </w:r>
      <w:r w:rsidRPr="00BF42B7">
        <w:rPr>
          <w:lang w:val="fr-CH"/>
        </w:rPr>
        <w:t>或</w:t>
      </w:r>
      <w:r w:rsidRPr="00BF42B7">
        <w:rPr>
          <w:rFonts w:hint="eastAsia"/>
          <w:lang w:val="fr-CH"/>
        </w:rPr>
        <w:t>“</w:t>
      </w:r>
      <w:r w:rsidRPr="00BF42B7">
        <w:rPr>
          <w:lang w:val="fr-CH"/>
        </w:rPr>
        <w:t>证明</w:t>
      </w:r>
      <w:r w:rsidRPr="00BF42B7">
        <w:rPr>
          <w:rFonts w:hint="eastAsia"/>
          <w:lang w:val="fr-CH"/>
        </w:rPr>
        <w:t>”</w:t>
      </w:r>
      <w:r w:rsidRPr="00BF42B7">
        <w:rPr>
          <w:lang w:val="fr-CH"/>
        </w:rPr>
        <w:t>，反映了</w:t>
      </w:r>
      <w:r w:rsidRPr="00BF42B7">
        <w:rPr>
          <w:rFonts w:hint="eastAsia"/>
          <w:lang w:val="fr-CH"/>
        </w:rPr>
        <w:t>“</w:t>
      </w:r>
      <w:r w:rsidRPr="00BF42B7">
        <w:rPr>
          <w:lang w:val="fr-CH"/>
        </w:rPr>
        <w:t>缔约国</w:t>
      </w:r>
      <w:r w:rsidRPr="00BF42B7">
        <w:rPr>
          <w:rFonts w:hint="eastAsia"/>
          <w:lang w:val="fr-CH"/>
        </w:rPr>
        <w:t>”</w:t>
      </w:r>
      <w:r w:rsidRPr="00BF42B7">
        <w:rPr>
          <w:lang w:val="fr-CH"/>
        </w:rPr>
        <w:t>对条约意义的</w:t>
      </w:r>
      <w:r w:rsidRPr="00BF42B7">
        <w:rPr>
          <w:rFonts w:hint="eastAsia"/>
          <w:lang w:val="fr-CH"/>
        </w:rPr>
        <w:t>“</w:t>
      </w:r>
      <w:r w:rsidRPr="00BF42B7">
        <w:rPr>
          <w:lang w:val="fr-CH"/>
        </w:rPr>
        <w:t>共同理解</w:t>
      </w:r>
      <w:r w:rsidRPr="00BF42B7">
        <w:rPr>
          <w:rFonts w:hint="eastAsia"/>
          <w:lang w:val="fr-CH"/>
        </w:rPr>
        <w:t>”</w:t>
      </w:r>
      <w:r w:rsidRPr="00BF42B7">
        <w:rPr>
          <w:lang w:val="fr-CH"/>
        </w:rPr>
        <w:t>。</w:t>
      </w:r>
    </w:p>
    <w:p w:rsidR="00B44972" w:rsidRPr="00BF42B7" w:rsidRDefault="00B44972" w:rsidP="00B80FD2">
      <w:pPr>
        <w:pStyle w:val="SingleTxtGC"/>
        <w:spacing w:after="140" w:line="330" w:lineRule="exact"/>
        <w:rPr>
          <w:lang w:val="en-GB"/>
        </w:rPr>
      </w:pPr>
      <w:r w:rsidRPr="00BF42B7">
        <w:rPr>
          <w:lang w:val="fr-CH"/>
        </w:rPr>
        <w:t xml:space="preserve">(3)  </w:t>
      </w:r>
      <w:r w:rsidRPr="00BF42B7">
        <w:rPr>
          <w:lang w:val="fr-CH"/>
        </w:rPr>
        <w:t>通过将第三十一条第三款</w:t>
      </w:r>
      <w:r w:rsidRPr="00BF42B7">
        <w:rPr>
          <w:lang w:val="fr-CH"/>
        </w:rPr>
        <w:t>(a)</w:t>
      </w:r>
      <w:r w:rsidRPr="00BF42B7">
        <w:rPr>
          <w:lang w:val="fr-CH"/>
        </w:rPr>
        <w:t>项和</w:t>
      </w:r>
      <w:r w:rsidRPr="00BF42B7">
        <w:rPr>
          <w:lang w:val="fr-CH"/>
        </w:rPr>
        <w:t>(b)</w:t>
      </w:r>
      <w:r w:rsidRPr="00BF42B7">
        <w:rPr>
          <w:lang w:val="fr-CH"/>
        </w:rPr>
        <w:t>项描述为</w:t>
      </w:r>
      <w:r w:rsidRPr="00BF42B7">
        <w:rPr>
          <w:rFonts w:hint="eastAsia"/>
          <w:lang w:val="fr-CH"/>
        </w:rPr>
        <w:t>“</w:t>
      </w:r>
      <w:r w:rsidRPr="00BF42B7">
        <w:rPr>
          <w:lang w:val="fr-CH"/>
        </w:rPr>
        <w:t>作准的</w:t>
      </w:r>
      <w:r w:rsidRPr="00BF42B7">
        <w:rPr>
          <w:rFonts w:hint="eastAsia"/>
          <w:lang w:val="fr-CH"/>
        </w:rPr>
        <w:t>”</w:t>
      </w:r>
      <w:r w:rsidRPr="00BF42B7">
        <w:rPr>
          <w:lang w:val="fr-CH"/>
        </w:rPr>
        <w:t>解释资料，委员会承认缔约国的共同意愿，从这一意愿出发，任何条约结果在确定条约的意义方面都具有特定的权威性，甚至在条约缔结之后也是如此。因此，</w:t>
      </w:r>
      <w:r w:rsidRPr="00BF42B7">
        <w:rPr>
          <w:lang w:val="fr-CH"/>
        </w:rPr>
        <w:t>1969</w:t>
      </w:r>
      <w:r w:rsidRPr="00BF42B7">
        <w:rPr>
          <w:lang w:val="fr-CH"/>
        </w:rPr>
        <w:t>年《维也纳公约》</w:t>
      </w:r>
      <w:r w:rsidRPr="00BF42B7">
        <w:rPr>
          <w:rFonts w:hint="eastAsia"/>
          <w:lang w:val="fr-CH"/>
        </w:rPr>
        <w:t>赋予</w:t>
      </w:r>
      <w:r w:rsidRPr="00BF42B7">
        <w:rPr>
          <w:lang w:val="fr-CH"/>
        </w:rPr>
        <w:t>条约缔约国一种可能在某些国内法律制度中不常见的解释法律文书的作用。</w:t>
      </w:r>
    </w:p>
    <w:p w:rsidR="00B44972" w:rsidRPr="00BF42B7" w:rsidRDefault="00B44972" w:rsidP="00B80FD2">
      <w:pPr>
        <w:pStyle w:val="SingleTxtGC"/>
        <w:spacing w:line="330" w:lineRule="exact"/>
        <w:rPr>
          <w:lang w:val="en-GB"/>
        </w:rPr>
      </w:pPr>
      <w:r w:rsidRPr="00BF42B7">
        <w:rPr>
          <w:lang w:val="fr-CH"/>
        </w:rPr>
        <w:t xml:space="preserve">(4)  </w:t>
      </w:r>
      <w:r w:rsidRPr="00BF42B7">
        <w:rPr>
          <w:lang w:val="fr-CH"/>
        </w:rPr>
        <w:t>但是，第三十一条第三款</w:t>
      </w:r>
      <w:r w:rsidRPr="00BF42B7">
        <w:rPr>
          <w:lang w:val="fr-CH"/>
        </w:rPr>
        <w:t>(a)</w:t>
      </w:r>
      <w:r w:rsidRPr="00BF42B7">
        <w:rPr>
          <w:lang w:val="fr-CH"/>
        </w:rPr>
        <w:t>项和</w:t>
      </w:r>
      <w:r w:rsidRPr="00BF42B7">
        <w:rPr>
          <w:lang w:val="fr-CH"/>
        </w:rPr>
        <w:t>(b)</w:t>
      </w:r>
      <w:r w:rsidRPr="00BF42B7">
        <w:rPr>
          <w:lang w:val="fr-CH"/>
        </w:rPr>
        <w:t>项之下</w:t>
      </w:r>
      <w:r w:rsidRPr="00BF42B7">
        <w:rPr>
          <w:rFonts w:hint="eastAsia"/>
          <w:lang w:val="fr-CH"/>
        </w:rPr>
        <w:t>的</w:t>
      </w:r>
      <w:r w:rsidRPr="00BF42B7">
        <w:rPr>
          <w:lang w:val="fr-CH"/>
        </w:rPr>
        <w:t>嗣后协定和嗣后惯例作为</w:t>
      </w:r>
      <w:r w:rsidRPr="00BF42B7">
        <w:rPr>
          <w:rFonts w:hint="eastAsia"/>
          <w:lang w:val="fr-CH"/>
        </w:rPr>
        <w:t>“</w:t>
      </w:r>
      <w:r w:rsidRPr="00BF42B7">
        <w:rPr>
          <w:lang w:val="fr-CH"/>
        </w:rPr>
        <w:t>作准的解释资料</w:t>
      </w:r>
      <w:r w:rsidRPr="00BF42B7">
        <w:rPr>
          <w:rFonts w:hint="eastAsia"/>
          <w:lang w:val="fr-CH"/>
        </w:rPr>
        <w:t>”</w:t>
      </w:r>
      <w:r w:rsidRPr="00BF42B7">
        <w:rPr>
          <w:lang w:val="fr-CH"/>
        </w:rPr>
        <w:t>并不意味着这些资料必然</w:t>
      </w:r>
      <w:r w:rsidRPr="00BF42B7">
        <w:rPr>
          <w:rFonts w:hint="eastAsia"/>
          <w:lang w:val="fr-CH"/>
        </w:rPr>
        <w:t>具有</w:t>
      </w:r>
      <w:r w:rsidRPr="00BF42B7">
        <w:rPr>
          <w:lang w:val="fr-CH"/>
        </w:rPr>
        <w:t>决定性或法律约束力。按照第三十一条第三款起首部分，嗣后协定和嗣后惯例</w:t>
      </w:r>
      <w:r w:rsidRPr="00BF42B7">
        <w:rPr>
          <w:rFonts w:hint="eastAsia"/>
          <w:lang w:val="fr-CH"/>
        </w:rPr>
        <w:t>毕竟只</w:t>
      </w:r>
      <w:r w:rsidRPr="00BF42B7">
        <w:rPr>
          <w:lang w:val="fr-CH"/>
        </w:rPr>
        <w:t>应在解释条约方面纳入</w:t>
      </w:r>
      <w:r w:rsidRPr="00BF42B7">
        <w:rPr>
          <w:rFonts w:hint="eastAsia"/>
          <w:lang w:val="fr-CH"/>
        </w:rPr>
        <w:t>“</w:t>
      </w:r>
      <w:r w:rsidRPr="00BF42B7">
        <w:rPr>
          <w:lang w:val="fr-CH"/>
        </w:rPr>
        <w:t>考虑</w:t>
      </w:r>
      <w:r w:rsidRPr="00BF42B7">
        <w:rPr>
          <w:rFonts w:hint="eastAsia"/>
          <w:lang w:val="fr-CH"/>
        </w:rPr>
        <w:t>”</w:t>
      </w:r>
      <w:r w:rsidRPr="00BF42B7">
        <w:rPr>
          <w:lang w:val="fr-CH"/>
        </w:rPr>
        <w:t>，而条约的解释是一个</w:t>
      </w:r>
      <w:r w:rsidRPr="00BF42B7">
        <w:rPr>
          <w:rFonts w:hint="eastAsia"/>
          <w:lang w:val="fr-CH"/>
        </w:rPr>
        <w:t>“</w:t>
      </w:r>
      <w:r w:rsidRPr="00BF42B7">
        <w:rPr>
          <w:lang w:val="fr-CH"/>
        </w:rPr>
        <w:t>单一的综合行动</w:t>
      </w:r>
      <w:r w:rsidRPr="00BF42B7">
        <w:rPr>
          <w:rFonts w:hint="eastAsia"/>
          <w:lang w:val="fr-CH"/>
        </w:rPr>
        <w:t>”</w:t>
      </w:r>
      <w:r w:rsidRPr="00BF42B7">
        <w:rPr>
          <w:lang w:val="fr-CH"/>
        </w:rPr>
        <w:t>，在第三十一条所指的所有解释资料中，没有等级之分。</w:t>
      </w:r>
      <w:r w:rsidRPr="00BF42B7">
        <w:rPr>
          <w:color w:val="0000FF"/>
          <w:vertAlign w:val="superscript"/>
          <w:lang w:val="fr-CH"/>
        </w:rPr>
        <w:footnoteReference w:id="439"/>
      </w:r>
      <w:r w:rsidRPr="00BF42B7">
        <w:rPr>
          <w:color w:val="0000FF"/>
          <w:vertAlign w:val="superscript"/>
          <w:lang w:val="fr-CH"/>
        </w:rPr>
        <w:t xml:space="preserve"> </w:t>
      </w:r>
      <w:r w:rsidRPr="00BF42B7">
        <w:rPr>
          <w:lang w:val="fr-CH"/>
        </w:rPr>
        <w:t>因此，与某些评论者的意见相反，</w:t>
      </w:r>
      <w:bookmarkStart w:id="102" w:name="_Ref461972537"/>
      <w:r w:rsidRPr="00BF42B7">
        <w:rPr>
          <w:color w:val="0000FF"/>
          <w:vertAlign w:val="superscript"/>
          <w:lang w:val="fr-CH"/>
        </w:rPr>
        <w:footnoteReference w:id="440"/>
      </w:r>
      <w:bookmarkEnd w:id="102"/>
      <w:r w:rsidRPr="00BF42B7">
        <w:rPr>
          <w:color w:val="0000FF"/>
          <w:vertAlign w:val="superscript"/>
          <w:lang w:val="fr-CH"/>
        </w:rPr>
        <w:t xml:space="preserve"> </w:t>
      </w:r>
      <w:r w:rsidRPr="00BF42B7">
        <w:rPr>
          <w:lang w:val="fr-CH"/>
        </w:rPr>
        <w:t>确定缔约国</w:t>
      </w:r>
      <w:r w:rsidRPr="00BF42B7">
        <w:rPr>
          <w:rFonts w:hint="eastAsia"/>
          <w:lang w:val="fr-CH"/>
        </w:rPr>
        <w:t>对</w:t>
      </w:r>
      <w:r w:rsidRPr="00BF42B7">
        <w:rPr>
          <w:spacing w:val="2"/>
          <w:lang w:val="fr-CH"/>
        </w:rPr>
        <w:t>条约解释</w:t>
      </w:r>
      <w:r w:rsidRPr="00BF42B7">
        <w:rPr>
          <w:rFonts w:hint="eastAsia"/>
          <w:spacing w:val="2"/>
          <w:lang w:val="fr-CH"/>
        </w:rPr>
        <w:t>一致意思</w:t>
      </w:r>
      <w:r w:rsidRPr="00BF42B7">
        <w:rPr>
          <w:spacing w:val="2"/>
          <w:lang w:val="fr-CH"/>
        </w:rPr>
        <w:t>的嗣后协定和嗣后惯例并非必然</w:t>
      </w:r>
      <w:r w:rsidRPr="00BF42B7">
        <w:rPr>
          <w:rFonts w:hint="eastAsia"/>
          <w:spacing w:val="2"/>
          <w:lang w:val="fr-CH"/>
        </w:rPr>
        <w:t>具有</w:t>
      </w:r>
      <w:r w:rsidRPr="00BF42B7">
        <w:rPr>
          <w:spacing w:val="2"/>
          <w:lang w:val="fr-CH"/>
        </w:rPr>
        <w:t>决定性或具有法律约束力。</w:t>
      </w:r>
      <w:bookmarkStart w:id="103" w:name="_Ref461973900"/>
      <w:r w:rsidRPr="00BF42B7">
        <w:rPr>
          <w:color w:val="0000FF"/>
          <w:spacing w:val="2"/>
          <w:vertAlign w:val="superscript"/>
          <w:lang w:val="fr-CH"/>
        </w:rPr>
        <w:footnoteReference w:id="441"/>
      </w:r>
      <w:bookmarkEnd w:id="103"/>
      <w:r w:rsidRPr="00BF42B7">
        <w:rPr>
          <w:color w:val="0000FF"/>
          <w:vertAlign w:val="superscript"/>
          <w:lang w:val="fr-CH"/>
        </w:rPr>
        <w:t xml:space="preserve"> </w:t>
      </w:r>
      <w:r w:rsidRPr="00BF42B7">
        <w:rPr>
          <w:lang w:val="fr-CH"/>
        </w:rPr>
        <w:t>因此，委员会将</w:t>
      </w:r>
      <w:r w:rsidRPr="00BF42B7">
        <w:rPr>
          <w:rFonts w:hint="eastAsia"/>
          <w:lang w:val="fr-CH"/>
        </w:rPr>
        <w:t>“</w:t>
      </w:r>
      <w:r w:rsidRPr="00BF42B7">
        <w:rPr>
          <w:lang w:val="fr-CH"/>
        </w:rPr>
        <w:t>嗣后协定</w:t>
      </w:r>
      <w:r w:rsidRPr="00BF42B7">
        <w:rPr>
          <w:rFonts w:hint="eastAsia"/>
          <w:lang w:val="fr-CH"/>
        </w:rPr>
        <w:t>”</w:t>
      </w:r>
      <w:r w:rsidRPr="00BF42B7">
        <w:rPr>
          <w:lang w:val="fr-CH"/>
        </w:rPr>
        <w:t>定性为代表</w:t>
      </w:r>
      <w:r w:rsidRPr="00BF42B7">
        <w:rPr>
          <w:rFonts w:hint="eastAsia"/>
          <w:lang w:val="fr-CH"/>
        </w:rPr>
        <w:t>“解释条约时必须考虑的</w:t>
      </w:r>
      <w:r w:rsidRPr="00BF42B7">
        <w:rPr>
          <w:lang w:val="fr-CH"/>
        </w:rPr>
        <w:t>缔约国的</w:t>
      </w:r>
      <w:r w:rsidRPr="00BF42B7">
        <w:rPr>
          <w:rFonts w:hint="eastAsia"/>
          <w:lang w:val="fr-CH"/>
        </w:rPr>
        <w:t>作准解释”</w:t>
      </w:r>
      <w:r w:rsidRPr="00BF42B7">
        <w:rPr>
          <w:lang w:val="fr-CH"/>
        </w:rPr>
        <w:t>，</w:t>
      </w:r>
      <w:r w:rsidRPr="00BF42B7">
        <w:rPr>
          <w:color w:val="0000FF"/>
          <w:vertAlign w:val="superscript"/>
          <w:lang w:val="fr-CH"/>
        </w:rPr>
        <w:footnoteReference w:id="442"/>
      </w:r>
      <w:r w:rsidRPr="00BF42B7">
        <w:rPr>
          <w:color w:val="0000FF"/>
          <w:vertAlign w:val="superscript"/>
          <w:lang w:val="fr-CH"/>
        </w:rPr>
        <w:t xml:space="preserve"> </w:t>
      </w:r>
      <w:r w:rsidRPr="00BF42B7">
        <w:rPr>
          <w:lang w:val="fr-CH"/>
        </w:rPr>
        <w:t>这并</w:t>
      </w:r>
      <w:r w:rsidRPr="00BF42B7">
        <w:rPr>
          <w:rFonts w:hint="eastAsia"/>
          <w:lang w:val="fr-CH"/>
        </w:rPr>
        <w:t>不</w:t>
      </w:r>
      <w:r w:rsidRPr="00BF42B7">
        <w:rPr>
          <w:lang w:val="fr-CH"/>
        </w:rPr>
        <w:t>是说</w:t>
      </w:r>
      <w:r w:rsidRPr="00BF42B7">
        <w:rPr>
          <w:rFonts w:hint="eastAsia"/>
          <w:lang w:val="fr-CH"/>
        </w:rPr>
        <w:t>嗣后协定</w:t>
      </w:r>
      <w:r w:rsidRPr="00BF42B7">
        <w:rPr>
          <w:lang w:val="fr-CH"/>
        </w:rPr>
        <w:t>高于所有其他解释资料，必然是决定性的。</w:t>
      </w:r>
    </w:p>
    <w:p w:rsidR="00B44972" w:rsidRPr="00BF42B7" w:rsidRDefault="00B44972" w:rsidP="00B44972">
      <w:pPr>
        <w:pStyle w:val="SingleTxtGC"/>
        <w:rPr>
          <w:lang w:val="en-GB"/>
        </w:rPr>
      </w:pPr>
      <w:r w:rsidRPr="00BF42B7">
        <w:rPr>
          <w:lang w:val="en-GB"/>
        </w:rPr>
        <w:t xml:space="preserve">(5)  </w:t>
      </w:r>
      <w:r w:rsidRPr="00BF42B7">
        <w:rPr>
          <w:lang w:val="en-GB"/>
        </w:rPr>
        <w:t>这不排除条约缔约国在愿意的情况下，就条约的解释达成一项具有约束力的协定。条约法问题特别报告员汉弗雷</w:t>
      </w:r>
      <w:r w:rsidRPr="00BF42B7">
        <w:rPr>
          <w:rFonts w:hint="eastAsia"/>
          <w:lang w:val="fr-CH"/>
        </w:rPr>
        <w:t>·</w:t>
      </w:r>
      <w:r w:rsidRPr="00BF42B7">
        <w:rPr>
          <w:lang w:val="en-GB"/>
        </w:rPr>
        <w:t>沃尔多克爵士在</w:t>
      </w:r>
      <w:r w:rsidRPr="00BF42B7">
        <w:rPr>
          <w:rFonts w:hint="eastAsia"/>
          <w:lang w:val="en-GB"/>
        </w:rPr>
        <w:t>其</w:t>
      </w:r>
      <w:r w:rsidRPr="00BF42B7">
        <w:rPr>
          <w:lang w:val="en-GB"/>
        </w:rPr>
        <w:t>第三次报告中说，在解释过程中，可能难以区分构成第三十一条第三款</w:t>
      </w:r>
      <w:r w:rsidRPr="00BF42B7">
        <w:rPr>
          <w:lang w:val="en-GB"/>
        </w:rPr>
        <w:t>(a)</w:t>
      </w:r>
      <w:r w:rsidRPr="00BF42B7">
        <w:rPr>
          <w:lang w:val="en-GB"/>
        </w:rPr>
        <w:t>项和</w:t>
      </w:r>
      <w:r w:rsidRPr="00BF42B7">
        <w:rPr>
          <w:lang w:val="en-GB"/>
        </w:rPr>
        <w:t>(b)</w:t>
      </w:r>
      <w:r w:rsidRPr="00BF42B7">
        <w:rPr>
          <w:lang w:val="en-GB"/>
        </w:rPr>
        <w:t>项的缔约国嗣后</w:t>
      </w:r>
      <w:r w:rsidRPr="00BF42B7">
        <w:rPr>
          <w:rFonts w:hint="eastAsia"/>
          <w:lang w:val="en-GB"/>
        </w:rPr>
        <w:t>惯例</w:t>
      </w:r>
      <w:r w:rsidRPr="00BF42B7">
        <w:rPr>
          <w:rFonts w:hint="eastAsia"/>
          <w:spacing w:val="-50"/>
          <w:lang w:val="fr-CH"/>
        </w:rPr>
        <w:t>―</w:t>
      </w:r>
      <w:r w:rsidRPr="00BF42B7">
        <w:rPr>
          <w:rFonts w:hint="eastAsia"/>
          <w:lang w:val="fr-CH"/>
        </w:rPr>
        <w:t>―</w:t>
      </w:r>
      <w:r w:rsidRPr="00BF42B7">
        <w:rPr>
          <w:lang w:val="en-GB"/>
        </w:rPr>
        <w:t>仅应在解释过程中与其他资料一并考虑</w:t>
      </w:r>
      <w:r w:rsidRPr="00BF42B7">
        <w:rPr>
          <w:rFonts w:hint="eastAsia"/>
          <w:spacing w:val="-50"/>
          <w:lang w:val="fr-CH"/>
        </w:rPr>
        <w:t>―</w:t>
      </w:r>
      <w:r w:rsidRPr="00BF42B7">
        <w:rPr>
          <w:rFonts w:hint="eastAsia"/>
          <w:lang w:val="fr-CH"/>
        </w:rPr>
        <w:t>―</w:t>
      </w:r>
      <w:r w:rsidRPr="00BF42B7">
        <w:rPr>
          <w:lang w:val="en-GB"/>
        </w:rPr>
        <w:t>和缔约国认为具有约束力的</w:t>
      </w:r>
      <w:r w:rsidRPr="00BF42B7">
        <w:rPr>
          <w:rFonts w:hint="eastAsia"/>
          <w:lang w:val="en-GB"/>
        </w:rPr>
        <w:t>后来</w:t>
      </w:r>
      <w:r w:rsidRPr="00BF42B7">
        <w:rPr>
          <w:lang w:val="en-GB"/>
        </w:rPr>
        <w:t>的协定：</w:t>
      </w:r>
    </w:p>
    <w:p w:rsidR="00B44972" w:rsidRPr="00BF42B7" w:rsidRDefault="00B44972" w:rsidP="00B44972">
      <w:pPr>
        <w:pStyle w:val="SingleTxtGC"/>
        <w:ind w:left="1554"/>
        <w:rPr>
          <w:lang w:val="en-GB"/>
        </w:rPr>
      </w:pPr>
      <w:r w:rsidRPr="00BF42B7">
        <w:rPr>
          <w:rFonts w:hint="eastAsia"/>
          <w:lang w:val="en-GB"/>
        </w:rPr>
        <w:t>“</w:t>
      </w:r>
      <w:r w:rsidRPr="00BF42B7">
        <w:rPr>
          <w:lang w:val="en-GB"/>
        </w:rPr>
        <w:t>如果前后一致并包括所有缔约</w:t>
      </w:r>
      <w:r w:rsidRPr="00BF42B7">
        <w:rPr>
          <w:rFonts w:hint="eastAsia"/>
          <w:lang w:val="en-GB"/>
        </w:rPr>
        <w:t>国</w:t>
      </w:r>
      <w:r w:rsidRPr="00BF42B7">
        <w:rPr>
          <w:lang w:val="en-GB"/>
        </w:rPr>
        <w:t>，嗣后惯例看来在确定条约应有的意义方面具有决定性，无论如何，在其表明缔约国认为解释对其有约束力之时是如此。在这些情况下，作为条约解释的一个要素，以及作为</w:t>
      </w:r>
      <w:r w:rsidRPr="00BF42B7">
        <w:rPr>
          <w:rFonts w:hint="eastAsia"/>
          <w:lang w:val="en-GB"/>
        </w:rPr>
        <w:t>形成</w:t>
      </w:r>
      <w:r w:rsidRPr="00BF42B7">
        <w:rPr>
          <w:lang w:val="en-GB"/>
        </w:rPr>
        <w:t>默示</w:t>
      </w:r>
      <w:r w:rsidRPr="00BF42B7">
        <w:rPr>
          <w:rFonts w:hint="eastAsia"/>
          <w:lang w:val="en-GB"/>
        </w:rPr>
        <w:t>同意</w:t>
      </w:r>
      <w:r w:rsidRPr="00BF42B7">
        <w:rPr>
          <w:lang w:val="en-GB"/>
        </w:rPr>
        <w:t>重叠和源自该惯例</w:t>
      </w:r>
      <w:r w:rsidRPr="00BF42B7">
        <w:rPr>
          <w:rFonts w:hint="eastAsia"/>
          <w:lang w:val="en-GB"/>
        </w:rPr>
        <w:t>的</w:t>
      </w:r>
      <w:r w:rsidRPr="00BF42B7">
        <w:rPr>
          <w:lang w:val="en-GB"/>
        </w:rPr>
        <w:t>意义的一个要素，嗣后惯例成为一项</w:t>
      </w:r>
      <w:r w:rsidRPr="00BF42B7">
        <w:rPr>
          <w:rFonts w:hint="eastAsia"/>
          <w:lang w:val="en-GB"/>
        </w:rPr>
        <w:t>由协定</w:t>
      </w:r>
      <w:r w:rsidRPr="00BF42B7">
        <w:rPr>
          <w:lang w:val="en-GB"/>
        </w:rPr>
        <w:t>确立的</w:t>
      </w:r>
      <w:r w:rsidRPr="00BF42B7">
        <w:rPr>
          <w:rFonts w:hint="eastAsia"/>
          <w:lang w:val="en-GB"/>
        </w:rPr>
        <w:t>作准的</w:t>
      </w:r>
      <w:r w:rsidRPr="00BF42B7">
        <w:rPr>
          <w:lang w:val="en-GB"/>
        </w:rPr>
        <w:t>解释</w:t>
      </w:r>
      <w:r w:rsidRPr="00BF42B7">
        <w:rPr>
          <w:rFonts w:hint="eastAsia"/>
          <w:lang w:val="en-GB"/>
        </w:rPr>
        <w:t>”</w:t>
      </w:r>
      <w:r w:rsidRPr="00BF42B7">
        <w:rPr>
          <w:lang w:val="en-GB"/>
        </w:rPr>
        <w:t>。</w:t>
      </w:r>
      <w:r w:rsidRPr="00BF42B7">
        <w:rPr>
          <w:color w:val="0000FF"/>
          <w:vertAlign w:val="superscript"/>
          <w:lang w:val="en-GB"/>
        </w:rPr>
        <w:footnoteReference w:id="443"/>
      </w:r>
      <w:r w:rsidRPr="00BF42B7">
        <w:rPr>
          <w:color w:val="0000FF"/>
          <w:vertAlign w:val="superscript"/>
          <w:lang w:val="en-GB"/>
        </w:rPr>
        <w:t xml:space="preserve"> </w:t>
      </w:r>
      <w:r w:rsidRPr="00BF42B7">
        <w:rPr>
          <w:lang w:val="en-GB"/>
        </w:rPr>
        <w:t>(</w:t>
      </w:r>
      <w:r w:rsidRPr="00BF42B7">
        <w:rPr>
          <w:lang w:val="en-GB"/>
        </w:rPr>
        <w:t>强调系本文所加</w:t>
      </w:r>
      <w:r w:rsidRPr="00BF42B7">
        <w:rPr>
          <w:lang w:val="en-GB"/>
        </w:rPr>
        <w:t>)</w:t>
      </w:r>
    </w:p>
    <w:p w:rsidR="00B44972" w:rsidRPr="00BF42B7" w:rsidRDefault="00B44972" w:rsidP="00B44972">
      <w:pPr>
        <w:pStyle w:val="SingleTxtGC"/>
        <w:rPr>
          <w:lang w:val="en-GB"/>
        </w:rPr>
      </w:pPr>
      <w:r w:rsidRPr="00BF42B7">
        <w:rPr>
          <w:lang w:val="en-GB"/>
        </w:rPr>
        <w:t>1969</w:t>
      </w:r>
      <w:r w:rsidRPr="00BF42B7">
        <w:rPr>
          <w:lang w:val="en-GB"/>
        </w:rPr>
        <w:t>年《维也纳公约》最终没有采纳沃尔多克最初的意见</w:t>
      </w:r>
      <w:r w:rsidRPr="00BF42B7">
        <w:rPr>
          <w:rFonts w:hint="eastAsia"/>
          <w:lang w:val="en-GB"/>
        </w:rPr>
        <w:t>，</w:t>
      </w:r>
      <w:r w:rsidRPr="00BF42B7">
        <w:rPr>
          <w:lang w:val="en-GB"/>
        </w:rPr>
        <w:t>即</w:t>
      </w:r>
      <w:r w:rsidRPr="00BF42B7">
        <w:rPr>
          <w:lang w:val="en-GB"/>
        </w:rPr>
        <w:t>(</w:t>
      </w:r>
      <w:r w:rsidRPr="00BF42B7">
        <w:rPr>
          <w:lang w:val="en-GB"/>
        </w:rPr>
        <w:t>单一的</w:t>
      </w:r>
      <w:r w:rsidRPr="00BF42B7">
        <w:rPr>
          <w:lang w:val="en-GB"/>
        </w:rPr>
        <w:t>)</w:t>
      </w:r>
      <w:r w:rsidRPr="00BF42B7">
        <w:rPr>
          <w:lang w:val="en-GB"/>
        </w:rPr>
        <w:t>商定的嗣后惯例</w:t>
      </w:r>
      <w:r w:rsidRPr="00BF42B7">
        <w:rPr>
          <w:rFonts w:hint="eastAsia"/>
          <w:lang w:val="en-GB"/>
        </w:rPr>
        <w:t>“</w:t>
      </w:r>
      <w:r w:rsidRPr="00BF42B7">
        <w:rPr>
          <w:lang w:val="en-GB"/>
        </w:rPr>
        <w:t>看来在确定意义方面具有决定性</w:t>
      </w:r>
      <w:r w:rsidRPr="00BF42B7">
        <w:rPr>
          <w:rFonts w:hint="eastAsia"/>
          <w:lang w:val="en-GB"/>
        </w:rPr>
        <w:t>”</w:t>
      </w:r>
      <w:r w:rsidRPr="00BF42B7">
        <w:rPr>
          <w:lang w:val="en-GB"/>
        </w:rPr>
        <w:t>，但是，在</w:t>
      </w:r>
      <w:r w:rsidRPr="00BF42B7">
        <w:rPr>
          <w:rFonts w:hint="eastAsia"/>
          <w:lang w:val="en-GB"/>
        </w:rPr>
        <w:t>“</w:t>
      </w:r>
      <w:r w:rsidRPr="00BF42B7">
        <w:rPr>
          <w:lang w:val="en-GB"/>
        </w:rPr>
        <w:t>缔约国认为解释对其有约束力</w:t>
      </w:r>
      <w:r w:rsidRPr="00BF42B7">
        <w:rPr>
          <w:rFonts w:hint="eastAsia"/>
          <w:lang w:val="en-GB"/>
        </w:rPr>
        <w:t>”</w:t>
      </w:r>
      <w:r w:rsidRPr="00BF42B7">
        <w:rPr>
          <w:lang w:val="en-GB"/>
        </w:rPr>
        <w:t>时，确立缔约国</w:t>
      </w:r>
      <w:r w:rsidRPr="00BF42B7">
        <w:rPr>
          <w:rFonts w:hint="eastAsia"/>
          <w:lang w:val="en-GB"/>
        </w:rPr>
        <w:t>对</w:t>
      </w:r>
      <w:r w:rsidRPr="00BF42B7">
        <w:rPr>
          <w:lang w:val="en-GB"/>
        </w:rPr>
        <w:t>条约解释的</w:t>
      </w:r>
      <w:r w:rsidRPr="00BF42B7">
        <w:rPr>
          <w:rFonts w:hint="eastAsia"/>
          <w:lang w:val="en-GB"/>
        </w:rPr>
        <w:t>一致意思的</w:t>
      </w:r>
      <w:r w:rsidRPr="00BF42B7">
        <w:rPr>
          <w:lang w:val="en-GB"/>
        </w:rPr>
        <w:t>嗣后协定和嗣后惯例在此种解释方面必定</w:t>
      </w:r>
      <w:r w:rsidRPr="00BF42B7">
        <w:rPr>
          <w:rFonts w:hint="eastAsia"/>
          <w:lang w:val="en-GB"/>
        </w:rPr>
        <w:t>具有</w:t>
      </w:r>
      <w:r w:rsidRPr="00BF42B7">
        <w:rPr>
          <w:lang w:val="en-GB"/>
        </w:rPr>
        <w:t>决定性。然而总有可能的是，国内法的规定禁止一国政府在此种情况中，在没有满足宪法所规定的某些要求</w:t>
      </w:r>
      <w:r w:rsidRPr="00BF42B7">
        <w:rPr>
          <w:lang w:val="en-GB"/>
        </w:rPr>
        <w:t>(</w:t>
      </w:r>
      <w:r w:rsidRPr="00BF42B7">
        <w:rPr>
          <w:lang w:val="en-GB"/>
        </w:rPr>
        <w:t>多数为程序性要求</w:t>
      </w:r>
      <w:r w:rsidRPr="00BF42B7">
        <w:rPr>
          <w:lang w:val="en-GB"/>
        </w:rPr>
        <w:t>)</w:t>
      </w:r>
      <w:r w:rsidRPr="00BF42B7">
        <w:rPr>
          <w:lang w:val="en-GB"/>
        </w:rPr>
        <w:t>的情况下，达成有约束力的协定。</w:t>
      </w:r>
      <w:r w:rsidRPr="00BF42B7">
        <w:rPr>
          <w:color w:val="0000FF"/>
          <w:vertAlign w:val="superscript"/>
          <w:lang w:val="en-GB"/>
        </w:rPr>
        <w:footnoteReference w:id="444"/>
      </w:r>
      <w:r w:rsidRPr="00BF42B7">
        <w:rPr>
          <w:color w:val="0000FF"/>
          <w:vertAlign w:val="superscript"/>
          <w:lang w:val="en-GB"/>
        </w:rPr>
        <w:t xml:space="preserve"> </w:t>
      </w:r>
    </w:p>
    <w:p w:rsidR="00B44972" w:rsidRPr="00BF42B7" w:rsidRDefault="00B44972" w:rsidP="00B44972">
      <w:pPr>
        <w:pStyle w:val="SingleTxtGC"/>
        <w:rPr>
          <w:lang w:val="en-GB"/>
        </w:rPr>
      </w:pPr>
      <w:r w:rsidRPr="00BF42B7">
        <w:rPr>
          <w:lang w:val="en-GB"/>
        </w:rPr>
        <w:t xml:space="preserve">(6)  </w:t>
      </w:r>
      <w:r w:rsidRPr="00BF42B7">
        <w:rPr>
          <w:lang w:val="en-GB"/>
        </w:rPr>
        <w:t>在条约本身有此规定的情况下，缔约国达成有约束力的嗣后解释性协定的可能性</w:t>
      </w:r>
      <w:r w:rsidRPr="00BF42B7">
        <w:rPr>
          <w:rFonts w:hint="eastAsia"/>
          <w:lang w:val="en-GB"/>
        </w:rPr>
        <w:t>尤其</w:t>
      </w:r>
      <w:r w:rsidRPr="00BF42B7">
        <w:rPr>
          <w:lang w:val="en-GB"/>
        </w:rPr>
        <w:t>明显。例如，《北美自由贸易协定》第</w:t>
      </w:r>
      <w:r w:rsidRPr="00BF42B7">
        <w:rPr>
          <w:lang w:val="en-GB"/>
        </w:rPr>
        <w:t>1131</w:t>
      </w:r>
      <w:r w:rsidRPr="00BF42B7">
        <w:rPr>
          <w:lang w:val="en-GB"/>
        </w:rPr>
        <w:t>条第</w:t>
      </w:r>
      <w:r w:rsidRPr="00BF42B7">
        <w:rPr>
          <w:lang w:val="en-GB"/>
        </w:rPr>
        <w:t>2</w:t>
      </w:r>
      <w:r w:rsidRPr="00BF42B7">
        <w:rPr>
          <w:lang w:val="en-GB"/>
        </w:rPr>
        <w:t>款规定，</w:t>
      </w:r>
      <w:r w:rsidRPr="00BF42B7">
        <w:rPr>
          <w:rFonts w:hint="eastAsia"/>
          <w:lang w:val="en-GB"/>
        </w:rPr>
        <w:t>“</w:t>
      </w:r>
      <w:r w:rsidRPr="00BF42B7">
        <w:rPr>
          <w:lang w:val="en-GB"/>
        </w:rPr>
        <w:t>[</w:t>
      </w:r>
      <w:r w:rsidRPr="00BF42B7">
        <w:rPr>
          <w:lang w:val="en-GB"/>
        </w:rPr>
        <w:t>政府间</w:t>
      </w:r>
      <w:r w:rsidRPr="00BF42B7">
        <w:rPr>
          <w:lang w:val="en-GB"/>
        </w:rPr>
        <w:t>]</w:t>
      </w:r>
      <w:r w:rsidRPr="00BF42B7">
        <w:rPr>
          <w:lang w:val="en-GB"/>
        </w:rPr>
        <w:t>委员会对本协定条款的解释对依本条所设法庭具有约束力</w:t>
      </w:r>
      <w:r w:rsidRPr="00BF42B7">
        <w:rPr>
          <w:rFonts w:hint="eastAsia"/>
          <w:lang w:val="en-GB"/>
        </w:rPr>
        <w:t>”</w:t>
      </w:r>
      <w:r w:rsidRPr="00BF42B7">
        <w:rPr>
          <w:lang w:val="en-GB"/>
        </w:rPr>
        <w:t>。</w:t>
      </w:r>
      <w:bookmarkStart w:id="104" w:name="_Ref450652467"/>
      <w:r w:rsidRPr="00BF42B7">
        <w:rPr>
          <w:color w:val="0000FF"/>
          <w:vertAlign w:val="superscript"/>
          <w:lang w:val="en-GB"/>
        </w:rPr>
        <w:footnoteReference w:id="445"/>
      </w:r>
      <w:r w:rsidRPr="00BF42B7">
        <w:rPr>
          <w:color w:val="0000FF"/>
          <w:vertAlign w:val="superscript"/>
          <w:lang w:val="en-GB"/>
        </w:rPr>
        <w:t xml:space="preserve"> </w:t>
      </w:r>
      <w:r w:rsidRPr="00BF42B7">
        <w:rPr>
          <w:lang w:val="en-GB"/>
        </w:rPr>
        <w:t>此种缔约国认为对其有约束力的有关条约权威解释的特别程序或协定的存在，可能排除或不排除额外使用</w:t>
      </w:r>
      <w:r w:rsidRPr="00BF42B7">
        <w:rPr>
          <w:lang w:val="en-GB"/>
        </w:rPr>
        <w:t>1969</w:t>
      </w:r>
      <w:r w:rsidRPr="00BF42B7">
        <w:rPr>
          <w:lang w:val="en-GB"/>
        </w:rPr>
        <w:t>年《维也纳公约》第三十一条第三款</w:t>
      </w:r>
      <w:r w:rsidRPr="00BF42B7">
        <w:rPr>
          <w:lang w:val="en-GB"/>
        </w:rPr>
        <w:t>(a)</w:t>
      </w:r>
      <w:r w:rsidRPr="00BF42B7">
        <w:rPr>
          <w:lang w:val="en-GB"/>
        </w:rPr>
        <w:t>项和</w:t>
      </w:r>
      <w:r w:rsidRPr="00BF42B7">
        <w:rPr>
          <w:lang w:val="en-GB"/>
        </w:rPr>
        <w:t>(b)</w:t>
      </w:r>
      <w:r w:rsidRPr="00BF42B7">
        <w:rPr>
          <w:lang w:val="en-GB"/>
        </w:rPr>
        <w:t>项之下的嗣后协定和嗣后惯例。</w:t>
      </w:r>
      <w:bookmarkStart w:id="105" w:name="_Ref461972226"/>
      <w:bookmarkEnd w:id="104"/>
      <w:r w:rsidRPr="00BF42B7">
        <w:rPr>
          <w:color w:val="0000FF"/>
          <w:vertAlign w:val="superscript"/>
          <w:lang w:val="en-GB"/>
        </w:rPr>
        <w:footnoteReference w:id="446"/>
      </w:r>
      <w:bookmarkEnd w:id="105"/>
      <w:r w:rsidRPr="00BF42B7">
        <w:rPr>
          <w:color w:val="0000FF"/>
          <w:vertAlign w:val="superscript"/>
          <w:lang w:val="en-GB"/>
        </w:rPr>
        <w:t xml:space="preserve"> </w:t>
      </w:r>
    </w:p>
    <w:p w:rsidR="00B44972" w:rsidRPr="00BF42B7" w:rsidRDefault="00B44972" w:rsidP="00B44972">
      <w:pPr>
        <w:pStyle w:val="SingleTxtGC"/>
        <w:rPr>
          <w:lang w:val="en-GB"/>
        </w:rPr>
      </w:pPr>
      <w:r w:rsidRPr="00BF42B7">
        <w:rPr>
          <w:lang w:val="en-GB"/>
        </w:rPr>
        <w:t xml:space="preserve">(7)  </w:t>
      </w:r>
      <w:bookmarkStart w:id="106" w:name="_Ref364163062"/>
      <w:r w:rsidRPr="00BF42B7">
        <w:rPr>
          <w:lang w:val="en-GB"/>
        </w:rPr>
        <w:t>委员会继续</w:t>
      </w:r>
      <w:r w:rsidRPr="00BF42B7">
        <w:rPr>
          <w:rFonts w:hint="eastAsia"/>
          <w:lang w:val="en-GB"/>
        </w:rPr>
        <w:t>采用“</w:t>
      </w:r>
      <w:r w:rsidRPr="00BF42B7">
        <w:rPr>
          <w:lang w:val="en-GB"/>
        </w:rPr>
        <w:t>作准的解释资料</w:t>
      </w:r>
      <w:r w:rsidRPr="00BF42B7">
        <w:rPr>
          <w:rFonts w:hint="eastAsia"/>
          <w:lang w:val="en-GB"/>
        </w:rPr>
        <w:t>”一词</w:t>
      </w:r>
      <w:r w:rsidRPr="00BF42B7">
        <w:rPr>
          <w:lang w:val="en-GB"/>
        </w:rPr>
        <w:t>，以描述第三十一条第三款</w:t>
      </w:r>
      <w:r w:rsidRPr="00BF42B7">
        <w:rPr>
          <w:lang w:val="en-GB"/>
        </w:rPr>
        <w:t>(a)</w:t>
      </w:r>
      <w:r w:rsidRPr="00BF42B7">
        <w:rPr>
          <w:lang w:val="en-GB"/>
        </w:rPr>
        <w:t>项和</w:t>
      </w:r>
      <w:r w:rsidRPr="00BF42B7">
        <w:rPr>
          <w:lang w:val="en-GB"/>
        </w:rPr>
        <w:t>(b)</w:t>
      </w:r>
      <w:r w:rsidRPr="00BF42B7">
        <w:rPr>
          <w:lang w:val="en-GB"/>
        </w:rPr>
        <w:t>项之下嗣后协定和嗣后惯例不一定具有的决定性但或多或少具有的权威性。委员会在结论草案</w:t>
      </w:r>
      <w:r w:rsidRPr="00BF42B7">
        <w:rPr>
          <w:rFonts w:hint="eastAsia"/>
          <w:lang w:val="en-GB"/>
        </w:rPr>
        <w:t>3[2]</w:t>
      </w:r>
      <w:r w:rsidRPr="00BF42B7">
        <w:rPr>
          <w:lang w:val="en-GB"/>
        </w:rPr>
        <w:t>中没有采用</w:t>
      </w:r>
      <w:r w:rsidRPr="00BF42B7">
        <w:rPr>
          <w:rFonts w:hint="eastAsia"/>
          <w:lang w:val="en-GB"/>
        </w:rPr>
        <w:t>“作准</w:t>
      </w:r>
      <w:r w:rsidRPr="00BF42B7">
        <w:rPr>
          <w:lang w:val="en-GB"/>
        </w:rPr>
        <w:t>解释</w:t>
      </w:r>
      <w:r w:rsidRPr="00BF42B7">
        <w:rPr>
          <w:rFonts w:hint="eastAsia"/>
          <w:lang w:val="en-GB"/>
        </w:rPr>
        <w:t>”</w:t>
      </w:r>
      <w:r w:rsidRPr="00BF42B7">
        <w:rPr>
          <w:lang w:val="en-GB"/>
        </w:rPr>
        <w:t>或</w:t>
      </w:r>
      <w:r w:rsidRPr="00BF42B7">
        <w:rPr>
          <w:rFonts w:hint="eastAsia"/>
          <w:lang w:val="en-GB"/>
        </w:rPr>
        <w:t>“</w:t>
      </w:r>
      <w:r w:rsidRPr="00BF42B7">
        <w:rPr>
          <w:lang w:val="en-GB"/>
        </w:rPr>
        <w:t>权威解释</w:t>
      </w:r>
      <w:r w:rsidRPr="00BF42B7">
        <w:rPr>
          <w:rFonts w:hint="eastAsia"/>
          <w:lang w:val="en-GB"/>
        </w:rPr>
        <w:t>”的说法</w:t>
      </w:r>
      <w:r w:rsidRPr="00BF42B7">
        <w:rPr>
          <w:lang w:val="en-GB"/>
        </w:rPr>
        <w:t>，因为这些概念常常被理解为意味着必定是缔约国之间有关条约解释的结论性或有约束力的协定。</w:t>
      </w:r>
      <w:bookmarkStart w:id="107" w:name="_Ref461974127"/>
      <w:bookmarkEnd w:id="106"/>
      <w:r w:rsidRPr="00BF42B7">
        <w:rPr>
          <w:color w:val="0000FF"/>
          <w:vertAlign w:val="superscript"/>
          <w:lang w:val="en-GB"/>
        </w:rPr>
        <w:footnoteReference w:id="447"/>
      </w:r>
      <w:bookmarkEnd w:id="107"/>
      <w:r w:rsidRPr="00BF42B7">
        <w:rPr>
          <w:color w:val="0000FF"/>
          <w:vertAlign w:val="superscript"/>
          <w:lang w:val="en-GB"/>
        </w:rPr>
        <w:t xml:space="preserve"> </w:t>
      </w:r>
    </w:p>
    <w:p w:rsidR="00B44972" w:rsidRPr="00BF42B7" w:rsidRDefault="00B44972" w:rsidP="00B44972">
      <w:pPr>
        <w:pStyle w:val="SingleTxtGC"/>
        <w:rPr>
          <w:lang w:val="en-GB"/>
        </w:rPr>
      </w:pPr>
      <w:r w:rsidRPr="00BF42B7">
        <w:rPr>
          <w:lang w:val="en-GB"/>
        </w:rPr>
        <w:t xml:space="preserve">(8)  </w:t>
      </w:r>
      <w:r w:rsidRPr="00BF42B7">
        <w:rPr>
          <w:lang w:val="en-GB"/>
        </w:rPr>
        <w:t>国内法院有时明确承认，</w:t>
      </w:r>
      <w:r w:rsidRPr="00BF42B7">
        <w:rPr>
          <w:lang w:val="fr-CH"/>
        </w:rPr>
        <w:t>第三十一条第三款</w:t>
      </w:r>
      <w:r w:rsidRPr="00BF42B7">
        <w:rPr>
          <w:lang w:val="fr-CH"/>
        </w:rPr>
        <w:t>(a)</w:t>
      </w:r>
      <w:r w:rsidRPr="00BF42B7">
        <w:rPr>
          <w:lang w:val="fr-CH"/>
        </w:rPr>
        <w:t>项和</w:t>
      </w:r>
      <w:r w:rsidRPr="00BF42B7">
        <w:rPr>
          <w:lang w:val="fr-CH"/>
        </w:rPr>
        <w:t>(b)</w:t>
      </w:r>
      <w:r w:rsidRPr="00BF42B7">
        <w:rPr>
          <w:lang w:val="fr-CH"/>
        </w:rPr>
        <w:t>项之下</w:t>
      </w:r>
      <w:r w:rsidRPr="00BF42B7">
        <w:rPr>
          <w:rFonts w:hint="eastAsia"/>
          <w:lang w:val="fr-CH"/>
        </w:rPr>
        <w:t>的</w:t>
      </w:r>
      <w:r w:rsidRPr="00BF42B7">
        <w:rPr>
          <w:lang w:val="fr-CH"/>
        </w:rPr>
        <w:t>嗣后协定和嗣后惯例是</w:t>
      </w:r>
      <w:r w:rsidRPr="00BF42B7">
        <w:rPr>
          <w:rFonts w:hint="eastAsia"/>
          <w:lang w:val="fr-CH"/>
        </w:rPr>
        <w:t>“</w:t>
      </w:r>
      <w:r w:rsidRPr="00BF42B7">
        <w:rPr>
          <w:lang w:val="fr-CH"/>
        </w:rPr>
        <w:t>作准的</w:t>
      </w:r>
      <w:r w:rsidRPr="00BF42B7">
        <w:rPr>
          <w:rFonts w:hint="eastAsia"/>
          <w:lang w:val="fr-CH"/>
        </w:rPr>
        <w:t>”</w:t>
      </w:r>
      <w:r w:rsidRPr="00BF42B7">
        <w:rPr>
          <w:lang w:val="fr-CH"/>
        </w:rPr>
        <w:t>解释资料。</w:t>
      </w:r>
      <w:r w:rsidRPr="00BF42B7">
        <w:rPr>
          <w:color w:val="0000FF"/>
          <w:vertAlign w:val="superscript"/>
          <w:lang w:val="en-GB"/>
        </w:rPr>
        <w:footnoteReference w:id="448"/>
      </w:r>
      <w:r w:rsidRPr="00BF42B7">
        <w:rPr>
          <w:color w:val="0000FF"/>
          <w:vertAlign w:val="superscript"/>
          <w:lang w:val="en-GB"/>
        </w:rPr>
        <w:t xml:space="preserve"> </w:t>
      </w:r>
      <w:r w:rsidRPr="00BF42B7">
        <w:rPr>
          <w:lang w:val="en-GB"/>
        </w:rPr>
        <w:t>但是，</w:t>
      </w:r>
      <w:r w:rsidRPr="00BF42B7">
        <w:rPr>
          <w:rFonts w:hint="eastAsia"/>
          <w:lang w:val="en-GB"/>
        </w:rPr>
        <w:t>关于</w:t>
      </w:r>
      <w:r w:rsidRPr="00BF42B7">
        <w:rPr>
          <w:lang w:val="en-GB"/>
        </w:rPr>
        <w:t>这一分类所产生的法律后果，各国内法院</w:t>
      </w:r>
      <w:r w:rsidRPr="00BF42B7">
        <w:rPr>
          <w:rFonts w:hint="eastAsia"/>
          <w:lang w:val="en-GB"/>
        </w:rPr>
        <w:t>的意见</w:t>
      </w:r>
      <w:r w:rsidRPr="00BF42B7">
        <w:rPr>
          <w:lang w:val="en-GB"/>
        </w:rPr>
        <w:t>并非始终一致。一些法院认为条约</w:t>
      </w:r>
      <w:r w:rsidRPr="00BF42B7">
        <w:rPr>
          <w:rFonts w:hint="eastAsia"/>
          <w:lang w:val="en-GB"/>
        </w:rPr>
        <w:t>缔约国</w:t>
      </w:r>
      <w:r w:rsidRPr="00BF42B7">
        <w:rPr>
          <w:lang w:val="en-GB"/>
        </w:rPr>
        <w:t>的嗣后协定和</w:t>
      </w:r>
      <w:r w:rsidRPr="00BF42B7">
        <w:rPr>
          <w:rFonts w:hint="eastAsia"/>
          <w:lang w:val="en-GB"/>
        </w:rPr>
        <w:t>嗣后</w:t>
      </w:r>
      <w:r w:rsidRPr="00BF42B7">
        <w:rPr>
          <w:lang w:val="en-GB"/>
        </w:rPr>
        <w:t>惯例可产生特定的约束效果</w:t>
      </w:r>
      <w:r w:rsidRPr="00BF42B7">
        <w:rPr>
          <w:color w:val="0000FF"/>
          <w:vertAlign w:val="superscript"/>
          <w:lang w:val="en-GB"/>
        </w:rPr>
        <w:footnoteReference w:id="449"/>
      </w:r>
      <w:r w:rsidRPr="00BF42B7">
        <w:rPr>
          <w:lang w:val="en-GB"/>
        </w:rPr>
        <w:t>，</w:t>
      </w:r>
      <w:r w:rsidRPr="00BF42B7">
        <w:rPr>
          <w:rFonts w:hint="eastAsia"/>
          <w:lang w:val="en-GB"/>
        </w:rPr>
        <w:t>另一些</w:t>
      </w:r>
      <w:r w:rsidRPr="00BF42B7">
        <w:rPr>
          <w:lang w:val="en-GB"/>
        </w:rPr>
        <w:t>法院则强调，第三十一条第三款仅要求</w:t>
      </w:r>
      <w:r w:rsidRPr="00BF42B7">
        <w:rPr>
          <w:rFonts w:hint="eastAsia"/>
          <w:lang w:val="en-GB"/>
        </w:rPr>
        <w:t>“</w:t>
      </w:r>
      <w:r w:rsidRPr="00BF42B7">
        <w:rPr>
          <w:lang w:val="en-GB"/>
        </w:rPr>
        <w:t>考虑</w:t>
      </w:r>
      <w:r w:rsidRPr="00BF42B7">
        <w:rPr>
          <w:rFonts w:hint="eastAsia"/>
          <w:lang w:val="en-GB"/>
        </w:rPr>
        <w:t>”</w:t>
      </w:r>
      <w:r w:rsidRPr="00BF42B7">
        <w:rPr>
          <w:lang w:val="en-GB"/>
        </w:rPr>
        <w:t>嗣后协定和嗣后惯例</w:t>
      </w:r>
      <w:r w:rsidRPr="00BF42B7">
        <w:rPr>
          <w:rFonts w:hint="eastAsia"/>
          <w:lang w:val="en-GB"/>
        </w:rPr>
        <w:t>，事实也的确如此</w:t>
      </w:r>
      <w:r w:rsidRPr="00BF42B7">
        <w:rPr>
          <w:lang w:val="en-GB"/>
        </w:rPr>
        <w:t>。</w:t>
      </w:r>
      <w:bookmarkStart w:id="108" w:name="_Ref453159993"/>
      <w:r w:rsidRPr="00BF42B7">
        <w:rPr>
          <w:color w:val="0000FF"/>
          <w:vertAlign w:val="superscript"/>
          <w:lang w:val="en-GB"/>
        </w:rPr>
        <w:footnoteReference w:id="450"/>
      </w:r>
      <w:bookmarkEnd w:id="108"/>
      <w:r w:rsidRPr="00BF42B7">
        <w:rPr>
          <w:color w:val="0000FF"/>
          <w:vertAlign w:val="superscript"/>
          <w:lang w:val="en-GB"/>
        </w:rPr>
        <w:t xml:space="preserve"> </w:t>
      </w:r>
    </w:p>
    <w:p w:rsidR="00B44972" w:rsidRPr="00BF42B7" w:rsidRDefault="00B44972" w:rsidP="00B44972">
      <w:pPr>
        <w:pStyle w:val="SingleTxtGC"/>
        <w:rPr>
          <w:lang w:val="en-GB"/>
        </w:rPr>
      </w:pPr>
      <w:r w:rsidRPr="00BF42B7">
        <w:rPr>
          <w:lang w:val="en-GB"/>
        </w:rPr>
        <w:t>(</w:t>
      </w:r>
      <w:r w:rsidRPr="00BF42B7">
        <w:rPr>
          <w:rFonts w:hint="eastAsia"/>
          <w:lang w:val="en-GB"/>
        </w:rPr>
        <w:t>9</w:t>
      </w:r>
      <w:r w:rsidRPr="00BF42B7">
        <w:rPr>
          <w:lang w:val="en-GB"/>
        </w:rPr>
        <w:t xml:space="preserve">)  </w:t>
      </w:r>
      <w:r w:rsidRPr="00113643">
        <w:rPr>
          <w:rFonts w:hint="eastAsia"/>
          <w:spacing w:val="-2"/>
          <w:lang w:val="en-GB"/>
        </w:rPr>
        <w:t>“</w:t>
      </w:r>
      <w:r w:rsidRPr="00113643">
        <w:rPr>
          <w:spacing w:val="-2"/>
          <w:lang w:val="en-GB"/>
        </w:rPr>
        <w:t>作准的解释资料</w:t>
      </w:r>
      <w:r w:rsidRPr="00113643">
        <w:rPr>
          <w:rFonts w:hint="eastAsia"/>
          <w:spacing w:val="-2"/>
          <w:lang w:val="en-GB"/>
        </w:rPr>
        <w:t>”</w:t>
      </w:r>
      <w:r w:rsidRPr="00113643">
        <w:rPr>
          <w:spacing w:val="-2"/>
          <w:lang w:val="en-GB"/>
        </w:rPr>
        <w:t>包含事实和法律要素。事实要素</w:t>
      </w:r>
      <w:r w:rsidRPr="00113643">
        <w:rPr>
          <w:rFonts w:hint="eastAsia"/>
          <w:spacing w:val="-2"/>
          <w:lang w:val="en-GB"/>
        </w:rPr>
        <w:t>体现在“</w:t>
      </w:r>
      <w:r w:rsidRPr="00113643">
        <w:rPr>
          <w:spacing w:val="-2"/>
          <w:lang w:val="en-GB"/>
        </w:rPr>
        <w:t>客观证据</w:t>
      </w:r>
      <w:r w:rsidRPr="00113643">
        <w:rPr>
          <w:rFonts w:hint="eastAsia"/>
          <w:spacing w:val="-2"/>
          <w:lang w:val="en-GB"/>
        </w:rPr>
        <w:t>”</w:t>
      </w:r>
      <w:r w:rsidRPr="00113643">
        <w:rPr>
          <w:spacing w:val="-2"/>
          <w:lang w:val="en-GB"/>
        </w:rPr>
        <w:t>这一表述中，而法律要素则</w:t>
      </w:r>
      <w:r w:rsidRPr="00113643">
        <w:rPr>
          <w:rFonts w:hint="eastAsia"/>
          <w:spacing w:val="-2"/>
          <w:lang w:val="en-GB"/>
        </w:rPr>
        <w:t>体现在“</w:t>
      </w:r>
      <w:r w:rsidRPr="00113643">
        <w:rPr>
          <w:spacing w:val="-2"/>
          <w:lang w:val="en-GB"/>
        </w:rPr>
        <w:t>缔约国的理解</w:t>
      </w:r>
      <w:r w:rsidRPr="00113643">
        <w:rPr>
          <w:rFonts w:hint="eastAsia"/>
          <w:spacing w:val="-2"/>
          <w:lang w:val="en-GB"/>
        </w:rPr>
        <w:t>”这一</w:t>
      </w:r>
      <w:r w:rsidRPr="00113643">
        <w:rPr>
          <w:spacing w:val="-2"/>
          <w:lang w:val="en-GB"/>
        </w:rPr>
        <w:t>概念</w:t>
      </w:r>
      <w:r w:rsidRPr="00113643">
        <w:rPr>
          <w:rFonts w:hint="eastAsia"/>
          <w:spacing w:val="-2"/>
          <w:lang w:val="en-GB"/>
        </w:rPr>
        <w:t>中</w:t>
      </w:r>
      <w:r w:rsidRPr="00113643">
        <w:rPr>
          <w:spacing w:val="-2"/>
          <w:lang w:val="en-GB"/>
        </w:rPr>
        <w:t>。因此，委员会将</w:t>
      </w:r>
      <w:r w:rsidRPr="00113643">
        <w:rPr>
          <w:rFonts w:hint="eastAsia"/>
          <w:spacing w:val="-2"/>
          <w:lang w:val="en-GB"/>
        </w:rPr>
        <w:t>“</w:t>
      </w:r>
      <w:r w:rsidRPr="00113643">
        <w:rPr>
          <w:spacing w:val="-2"/>
          <w:lang w:val="en-GB"/>
        </w:rPr>
        <w:t>嗣后协定</w:t>
      </w:r>
      <w:r w:rsidRPr="00113643">
        <w:rPr>
          <w:rFonts w:hint="eastAsia"/>
          <w:spacing w:val="-2"/>
          <w:lang w:val="en-GB"/>
        </w:rPr>
        <w:t>”</w:t>
      </w:r>
      <w:r w:rsidRPr="00113643">
        <w:rPr>
          <w:spacing w:val="-2"/>
          <w:lang w:val="en-GB"/>
        </w:rPr>
        <w:t>定性为</w:t>
      </w:r>
      <w:r w:rsidRPr="00113643">
        <w:rPr>
          <w:rFonts w:hint="eastAsia"/>
          <w:spacing w:val="-2"/>
          <w:lang w:val="en-GB"/>
        </w:rPr>
        <w:t>代表“</w:t>
      </w:r>
      <w:r w:rsidRPr="00113643">
        <w:rPr>
          <w:rFonts w:hint="eastAsia"/>
          <w:spacing w:val="-2"/>
          <w:lang w:val="fr-CH"/>
        </w:rPr>
        <w:t>解释条约时必须考虑的</w:t>
      </w:r>
      <w:r w:rsidRPr="00113643">
        <w:rPr>
          <w:spacing w:val="-2"/>
          <w:lang w:val="fr-CH"/>
        </w:rPr>
        <w:t>缔约国的</w:t>
      </w:r>
      <w:r w:rsidRPr="00113643">
        <w:rPr>
          <w:rFonts w:hint="eastAsia"/>
          <w:spacing w:val="-2"/>
          <w:lang w:val="fr-CH"/>
        </w:rPr>
        <w:t>作准解释</w:t>
      </w:r>
      <w:r w:rsidRPr="00113643">
        <w:rPr>
          <w:rFonts w:hint="eastAsia"/>
          <w:spacing w:val="-2"/>
          <w:lang w:val="en-GB"/>
        </w:rPr>
        <w:t>”</w:t>
      </w:r>
      <w:r w:rsidRPr="00113643">
        <w:rPr>
          <w:spacing w:val="-2"/>
          <w:lang w:val="en-GB"/>
        </w:rPr>
        <w:t>，</w:t>
      </w:r>
      <w:r w:rsidRPr="00113643">
        <w:rPr>
          <w:color w:val="0000FF"/>
          <w:spacing w:val="-2"/>
          <w:vertAlign w:val="superscript"/>
          <w:lang w:val="en-GB"/>
        </w:rPr>
        <w:footnoteReference w:id="451"/>
      </w:r>
      <w:r w:rsidRPr="00113643">
        <w:rPr>
          <w:color w:val="0000FF"/>
          <w:spacing w:val="-2"/>
          <w:vertAlign w:val="superscript"/>
          <w:lang w:val="en-GB"/>
        </w:rPr>
        <w:t xml:space="preserve"> </w:t>
      </w:r>
      <w:r w:rsidRPr="00113643">
        <w:rPr>
          <w:spacing w:val="-2"/>
          <w:lang w:val="en-GB"/>
        </w:rPr>
        <w:t>并随后说明，嗣后惯例</w:t>
      </w:r>
      <w:r w:rsidRPr="00113643">
        <w:rPr>
          <w:rFonts w:hint="eastAsia"/>
          <w:spacing w:val="-2"/>
          <w:lang w:val="en-GB"/>
        </w:rPr>
        <w:t>“</w:t>
      </w:r>
      <w:r w:rsidRPr="00113643">
        <w:rPr>
          <w:spacing w:val="-2"/>
          <w:lang w:val="en-GB"/>
        </w:rPr>
        <w:t>同样</w:t>
      </w:r>
      <w:r w:rsidRPr="00113643">
        <w:rPr>
          <w:rFonts w:hint="eastAsia"/>
          <w:spacing w:val="-2"/>
        </w:rPr>
        <w:t>……</w:t>
      </w:r>
      <w:r w:rsidRPr="00113643">
        <w:rPr>
          <w:spacing w:val="-2"/>
          <w:lang w:val="en-GB"/>
        </w:rPr>
        <w:t>构成缔约国对条约</w:t>
      </w:r>
      <w:r w:rsidRPr="00113643">
        <w:rPr>
          <w:rFonts w:hint="eastAsia"/>
          <w:spacing w:val="-2"/>
          <w:lang w:val="en-GB"/>
        </w:rPr>
        <w:t>意思</w:t>
      </w:r>
      <w:r w:rsidRPr="00113643">
        <w:rPr>
          <w:spacing w:val="-2"/>
          <w:lang w:val="en-GB"/>
        </w:rPr>
        <w:t>的理解的客观证据</w:t>
      </w:r>
      <w:r w:rsidRPr="00113643">
        <w:rPr>
          <w:rFonts w:hint="eastAsia"/>
          <w:spacing w:val="-2"/>
          <w:lang w:val="en-GB"/>
        </w:rPr>
        <w:t>”</w:t>
      </w:r>
      <w:r w:rsidRPr="00113643">
        <w:rPr>
          <w:spacing w:val="-2"/>
          <w:lang w:val="en-GB"/>
        </w:rPr>
        <w:t>。</w:t>
      </w:r>
      <w:r w:rsidRPr="00BF42B7">
        <w:rPr>
          <w:color w:val="0000FF"/>
          <w:vertAlign w:val="superscript"/>
          <w:lang w:val="en-GB"/>
        </w:rPr>
        <w:footnoteReference w:id="452"/>
      </w:r>
      <w:r w:rsidRPr="00BF42B7">
        <w:rPr>
          <w:color w:val="0000FF"/>
          <w:vertAlign w:val="superscript"/>
          <w:lang w:val="en-GB"/>
        </w:rPr>
        <w:t xml:space="preserve"> </w:t>
      </w:r>
      <w:r w:rsidRPr="00BF42B7">
        <w:rPr>
          <w:lang w:val="en-GB"/>
        </w:rPr>
        <w:t>鉴于条约的特性是体现其缔约国的共同意愿，</w:t>
      </w:r>
      <w:r w:rsidRPr="00BF42B7">
        <w:rPr>
          <w:rFonts w:hint="eastAsia"/>
          <w:lang w:val="en-GB"/>
        </w:rPr>
        <w:t>“</w:t>
      </w:r>
      <w:r w:rsidRPr="00BF42B7">
        <w:rPr>
          <w:lang w:val="en-GB"/>
        </w:rPr>
        <w:t>缔约国的理解</w:t>
      </w:r>
      <w:r w:rsidRPr="00BF42B7">
        <w:rPr>
          <w:rFonts w:hint="eastAsia"/>
          <w:lang w:val="en-GB"/>
        </w:rPr>
        <w:t>”</w:t>
      </w:r>
      <w:r w:rsidRPr="00BF42B7">
        <w:rPr>
          <w:lang w:val="en-GB"/>
        </w:rPr>
        <w:t>的</w:t>
      </w:r>
      <w:r w:rsidRPr="00BF42B7">
        <w:rPr>
          <w:rFonts w:hint="eastAsia"/>
          <w:lang w:val="en-GB"/>
        </w:rPr>
        <w:t>“</w:t>
      </w:r>
      <w:r w:rsidRPr="00BF42B7">
        <w:rPr>
          <w:lang w:val="en-GB"/>
        </w:rPr>
        <w:t>客观证据</w:t>
      </w:r>
      <w:r w:rsidRPr="00BF42B7">
        <w:rPr>
          <w:rFonts w:hint="eastAsia"/>
          <w:lang w:val="en-GB"/>
        </w:rPr>
        <w:t>”</w:t>
      </w:r>
      <w:r w:rsidRPr="00BF42B7">
        <w:rPr>
          <w:lang w:val="en-GB"/>
        </w:rPr>
        <w:t>作为解释资料具有相当的权威性。</w:t>
      </w:r>
      <w:r w:rsidRPr="00BF42B7">
        <w:rPr>
          <w:color w:val="0000FF"/>
          <w:vertAlign w:val="superscript"/>
          <w:lang w:val="en-GB"/>
        </w:rPr>
        <w:footnoteReference w:id="453"/>
      </w:r>
      <w:r w:rsidRPr="00BF42B7">
        <w:rPr>
          <w:color w:val="0000FF"/>
          <w:vertAlign w:val="superscript"/>
          <w:lang w:val="en-GB"/>
        </w:rPr>
        <w:t xml:space="preserve"> </w:t>
      </w:r>
    </w:p>
    <w:p w:rsidR="00B44972" w:rsidRPr="00BF42B7" w:rsidRDefault="00B44972" w:rsidP="00B44972">
      <w:pPr>
        <w:pStyle w:val="SingleTxtGC"/>
        <w:rPr>
          <w:lang w:val="en-GB"/>
        </w:rPr>
      </w:pPr>
      <w:r w:rsidRPr="00BF42B7">
        <w:rPr>
          <w:lang w:val="en-GB"/>
        </w:rPr>
        <w:t>(</w:t>
      </w:r>
      <w:r w:rsidRPr="00BF42B7">
        <w:rPr>
          <w:rFonts w:hint="eastAsia"/>
          <w:lang w:val="en-GB"/>
        </w:rPr>
        <w:t>10</w:t>
      </w:r>
      <w:r w:rsidRPr="00BF42B7">
        <w:rPr>
          <w:lang w:val="en-GB"/>
        </w:rPr>
        <w:t xml:space="preserve">)  </w:t>
      </w:r>
      <w:r w:rsidRPr="00BF42B7">
        <w:rPr>
          <w:rFonts w:hint="eastAsia"/>
          <w:lang w:val="en-GB"/>
        </w:rPr>
        <w:t>“</w:t>
      </w:r>
      <w:r w:rsidRPr="00BF42B7">
        <w:rPr>
          <w:lang w:val="en-GB"/>
        </w:rPr>
        <w:t>嗣后协定</w:t>
      </w:r>
      <w:r w:rsidRPr="00BF42B7">
        <w:rPr>
          <w:rFonts w:hint="eastAsia"/>
          <w:lang w:val="en-GB"/>
        </w:rPr>
        <w:t>”</w:t>
      </w:r>
      <w:r w:rsidRPr="00BF42B7">
        <w:rPr>
          <w:lang w:val="en-GB"/>
        </w:rPr>
        <w:t>(</w:t>
      </w:r>
      <w:r w:rsidRPr="00BF42B7">
        <w:rPr>
          <w:lang w:val="en-GB"/>
        </w:rPr>
        <w:t>第三十一条第三款</w:t>
      </w:r>
      <w:r w:rsidRPr="00BF42B7">
        <w:rPr>
          <w:lang w:val="en-GB"/>
        </w:rPr>
        <w:t>(a)</w:t>
      </w:r>
      <w:r w:rsidRPr="00BF42B7">
        <w:rPr>
          <w:lang w:val="en-GB"/>
        </w:rPr>
        <w:t>项</w:t>
      </w:r>
      <w:r w:rsidRPr="00BF42B7">
        <w:rPr>
          <w:lang w:val="en-GB"/>
        </w:rPr>
        <w:t>)</w:t>
      </w:r>
      <w:r w:rsidRPr="00BF42B7">
        <w:rPr>
          <w:lang w:val="en-GB"/>
        </w:rPr>
        <w:t>与</w:t>
      </w:r>
      <w:r w:rsidRPr="00BF42B7">
        <w:rPr>
          <w:rFonts w:hint="eastAsia"/>
          <w:lang w:val="en-GB"/>
        </w:rPr>
        <w:t>“</w:t>
      </w:r>
      <w:r w:rsidRPr="00BF42B7">
        <w:rPr>
          <w:lang w:val="en-GB"/>
        </w:rPr>
        <w:t>确定各当事国对协定</w:t>
      </w:r>
      <w:r w:rsidRPr="00BF42B7">
        <w:rPr>
          <w:rFonts w:hint="eastAsia"/>
        </w:rPr>
        <w:t>……</w:t>
      </w:r>
      <w:r w:rsidRPr="00BF42B7">
        <w:rPr>
          <w:lang w:val="en-GB"/>
        </w:rPr>
        <w:t>之嗣后惯例</w:t>
      </w:r>
      <w:r w:rsidRPr="00BF42B7">
        <w:rPr>
          <w:rFonts w:hint="eastAsia"/>
          <w:lang w:val="en-GB"/>
        </w:rPr>
        <w:t>”</w:t>
      </w:r>
      <w:r w:rsidRPr="00BF42B7">
        <w:rPr>
          <w:lang w:val="en-GB"/>
        </w:rPr>
        <w:t>(</w:t>
      </w:r>
      <w:r w:rsidRPr="00BF42B7">
        <w:rPr>
          <w:lang w:val="en-GB"/>
        </w:rPr>
        <w:t>第三十一条第三款</w:t>
      </w:r>
      <w:r w:rsidRPr="00BF42B7">
        <w:rPr>
          <w:lang w:val="en-GB"/>
        </w:rPr>
        <w:t>(b)</w:t>
      </w:r>
      <w:r w:rsidRPr="00BF42B7">
        <w:rPr>
          <w:lang w:val="en-GB"/>
        </w:rPr>
        <w:t>项</w:t>
      </w:r>
      <w:r w:rsidRPr="00BF42B7">
        <w:rPr>
          <w:lang w:val="en-GB"/>
        </w:rPr>
        <w:t>)</w:t>
      </w:r>
      <w:r w:rsidRPr="00BF42B7">
        <w:rPr>
          <w:lang w:val="en-GB"/>
        </w:rPr>
        <w:t>之间的区分并不意味着</w:t>
      </w:r>
      <w:r w:rsidRPr="00BF42B7">
        <w:rPr>
          <w:rFonts w:hint="eastAsia"/>
          <w:lang w:val="en-GB"/>
        </w:rPr>
        <w:t>二者</w:t>
      </w:r>
      <w:r w:rsidRPr="00BF42B7">
        <w:rPr>
          <w:lang w:val="en-GB"/>
        </w:rPr>
        <w:t>权威性</w:t>
      </w:r>
      <w:r w:rsidRPr="00BF42B7">
        <w:rPr>
          <w:rFonts w:hint="eastAsia"/>
          <w:lang w:val="en-GB"/>
        </w:rPr>
        <w:t>的</w:t>
      </w:r>
      <w:r w:rsidRPr="00BF42B7">
        <w:rPr>
          <w:lang w:val="en-GB"/>
        </w:rPr>
        <w:t>不同。</w:t>
      </w:r>
      <w:r w:rsidRPr="00BF42B7">
        <w:rPr>
          <w:color w:val="0000FF"/>
          <w:vertAlign w:val="superscript"/>
          <w:lang w:val="en-GB"/>
        </w:rPr>
        <w:footnoteReference w:id="454"/>
      </w:r>
      <w:r w:rsidRPr="00BF42B7">
        <w:rPr>
          <w:color w:val="0000FF"/>
          <w:vertAlign w:val="superscript"/>
          <w:lang w:val="en-GB"/>
        </w:rPr>
        <w:t xml:space="preserve"> </w:t>
      </w:r>
      <w:r w:rsidRPr="00BF42B7">
        <w:rPr>
          <w:rFonts w:hint="eastAsia"/>
          <w:lang w:val="en-GB"/>
        </w:rPr>
        <w:t>不过</w:t>
      </w:r>
      <w:r w:rsidRPr="00BF42B7">
        <w:rPr>
          <w:lang w:val="en-GB"/>
        </w:rPr>
        <w:t>，委员会认为，</w:t>
      </w:r>
      <w:r w:rsidRPr="00BF42B7">
        <w:rPr>
          <w:rFonts w:hint="eastAsia"/>
          <w:lang w:val="en-GB"/>
        </w:rPr>
        <w:t>“</w:t>
      </w:r>
      <w:r w:rsidRPr="00BF42B7">
        <w:rPr>
          <w:lang w:val="en-GB"/>
        </w:rPr>
        <w:t>当事国嗣后所定关于条约之解释或其规定之适用之任何协定</w:t>
      </w:r>
      <w:r w:rsidRPr="00BF42B7">
        <w:rPr>
          <w:rFonts w:hint="eastAsia"/>
          <w:lang w:val="en-GB"/>
        </w:rPr>
        <w:t>”</w:t>
      </w:r>
      <w:r w:rsidRPr="00BF42B7">
        <w:rPr>
          <w:lang w:val="en-GB"/>
        </w:rPr>
        <w:t>当然具有构成条约</w:t>
      </w:r>
      <w:r w:rsidRPr="00BF42B7">
        <w:rPr>
          <w:rFonts w:hint="eastAsia"/>
          <w:lang w:val="en-GB"/>
        </w:rPr>
        <w:t>作准</w:t>
      </w:r>
      <w:r w:rsidRPr="00BF42B7">
        <w:rPr>
          <w:lang w:val="en-GB"/>
        </w:rPr>
        <w:t>解释的效力，而</w:t>
      </w:r>
      <w:r w:rsidRPr="00BF42B7">
        <w:rPr>
          <w:rFonts w:hint="eastAsia"/>
          <w:lang w:val="en-GB"/>
        </w:rPr>
        <w:t>“</w:t>
      </w:r>
      <w:r w:rsidRPr="00BF42B7">
        <w:rPr>
          <w:lang w:val="en-GB"/>
        </w:rPr>
        <w:t>嗣后惯例</w:t>
      </w:r>
      <w:r w:rsidRPr="00BF42B7">
        <w:rPr>
          <w:rFonts w:hint="eastAsia"/>
          <w:lang w:val="en-GB"/>
        </w:rPr>
        <w:t>”</w:t>
      </w:r>
      <w:r w:rsidRPr="00BF42B7">
        <w:rPr>
          <w:lang w:val="en-GB"/>
        </w:rPr>
        <w:t>仅在其</w:t>
      </w:r>
      <w:r w:rsidRPr="00BF42B7">
        <w:rPr>
          <w:rFonts w:hint="eastAsia"/>
          <w:lang w:val="en-GB"/>
        </w:rPr>
        <w:t>“</w:t>
      </w:r>
      <w:r w:rsidRPr="00BF42B7">
        <w:rPr>
          <w:lang w:val="en-GB"/>
        </w:rPr>
        <w:t>表明当事国对术语</w:t>
      </w:r>
      <w:r w:rsidRPr="00BF42B7">
        <w:rPr>
          <w:rFonts w:hint="eastAsia"/>
          <w:lang w:val="en-GB"/>
        </w:rPr>
        <w:t>含义</w:t>
      </w:r>
      <w:r w:rsidRPr="00BF42B7">
        <w:rPr>
          <w:lang w:val="en-GB"/>
        </w:rPr>
        <w:t>的共同理解</w:t>
      </w:r>
      <w:r w:rsidRPr="00BF42B7">
        <w:rPr>
          <w:rFonts w:hint="eastAsia"/>
          <w:lang w:val="en-GB"/>
        </w:rPr>
        <w:t>”</w:t>
      </w:r>
      <w:r w:rsidRPr="00BF42B7">
        <w:rPr>
          <w:lang w:val="en-GB"/>
        </w:rPr>
        <w:t>时才具有这一效力。</w:t>
      </w:r>
      <w:bookmarkStart w:id="109" w:name="_Ref364163375"/>
      <w:r w:rsidRPr="00BF42B7">
        <w:rPr>
          <w:color w:val="0000FF"/>
          <w:vertAlign w:val="superscript"/>
          <w:lang w:val="en-GB"/>
        </w:rPr>
        <w:footnoteReference w:id="455"/>
      </w:r>
      <w:bookmarkEnd w:id="109"/>
      <w:r w:rsidRPr="00BF42B7">
        <w:rPr>
          <w:color w:val="0000FF"/>
          <w:vertAlign w:val="superscript"/>
          <w:lang w:val="en-GB"/>
        </w:rPr>
        <w:t xml:space="preserve"> </w:t>
      </w:r>
      <w:r w:rsidRPr="00BF42B7">
        <w:rPr>
          <w:lang w:val="en-GB"/>
        </w:rPr>
        <w:t>因此，</w:t>
      </w:r>
      <w:r w:rsidRPr="00BF42B7">
        <w:rPr>
          <w:rFonts w:hint="eastAsia"/>
          <w:lang w:val="en-GB"/>
        </w:rPr>
        <w:t>“</w:t>
      </w:r>
      <w:r w:rsidRPr="00BF42B7">
        <w:rPr>
          <w:lang w:val="en-GB"/>
        </w:rPr>
        <w:t>当事国之嗣后协定</w:t>
      </w:r>
      <w:r w:rsidRPr="00BF42B7">
        <w:rPr>
          <w:rFonts w:hint="eastAsia"/>
          <w:lang w:val="en-GB"/>
        </w:rPr>
        <w:t>”</w:t>
      </w:r>
      <w:r w:rsidRPr="00BF42B7">
        <w:rPr>
          <w:lang w:val="en-GB"/>
        </w:rPr>
        <w:t>与</w:t>
      </w:r>
      <w:r w:rsidRPr="00BF42B7">
        <w:rPr>
          <w:rFonts w:hint="eastAsia"/>
          <w:lang w:val="en-GB"/>
        </w:rPr>
        <w:t>“</w:t>
      </w:r>
      <w:r w:rsidRPr="00BF42B7">
        <w:rPr>
          <w:lang w:val="en-GB"/>
        </w:rPr>
        <w:t>确定各当事国对协定</w:t>
      </w:r>
      <w:r w:rsidRPr="00BF42B7">
        <w:rPr>
          <w:rFonts w:hint="eastAsia"/>
        </w:rPr>
        <w:t>……</w:t>
      </w:r>
      <w:r w:rsidRPr="00BF42B7">
        <w:rPr>
          <w:lang w:val="en-GB"/>
        </w:rPr>
        <w:t>之嗣后惯例</w:t>
      </w:r>
      <w:r w:rsidRPr="00BF42B7">
        <w:rPr>
          <w:rFonts w:hint="eastAsia"/>
          <w:lang w:val="en-GB"/>
        </w:rPr>
        <w:t>”</w:t>
      </w:r>
      <w:r w:rsidRPr="00BF42B7">
        <w:rPr>
          <w:lang w:val="en-GB"/>
        </w:rPr>
        <w:t>之间的区别在于</w:t>
      </w:r>
      <w:r w:rsidRPr="00BF42B7">
        <w:rPr>
          <w:rFonts w:hint="eastAsia"/>
          <w:lang w:val="en-GB"/>
        </w:rPr>
        <w:t>确定</w:t>
      </w:r>
      <w:r w:rsidRPr="00BF42B7">
        <w:rPr>
          <w:lang w:val="en-GB"/>
        </w:rPr>
        <w:t>当事国对条约解释</w:t>
      </w:r>
      <w:r w:rsidRPr="00BF42B7">
        <w:rPr>
          <w:rFonts w:hint="eastAsia"/>
          <w:lang w:val="en-GB"/>
        </w:rPr>
        <w:t>的一致意思</w:t>
      </w:r>
      <w:r w:rsidRPr="00BF42B7">
        <w:rPr>
          <w:lang w:val="en-GB"/>
        </w:rPr>
        <w:t>的方式，在于</w:t>
      </w:r>
      <w:r w:rsidRPr="00BF42B7">
        <w:rPr>
          <w:rFonts w:hint="eastAsia"/>
          <w:lang w:val="en-GB"/>
        </w:rPr>
        <w:t>确定一致意思的难易程度</w:t>
      </w:r>
      <w:r w:rsidRPr="00BF42B7">
        <w:rPr>
          <w:lang w:val="en-GB"/>
        </w:rPr>
        <w:t>。</w:t>
      </w:r>
      <w:r w:rsidRPr="00BF42B7">
        <w:rPr>
          <w:color w:val="0000FF"/>
          <w:vertAlign w:val="superscript"/>
          <w:lang w:val="en-GB"/>
        </w:rPr>
        <w:footnoteReference w:id="456"/>
      </w:r>
      <w:r w:rsidRPr="00BF42B7">
        <w:rPr>
          <w:color w:val="0000FF"/>
          <w:vertAlign w:val="superscript"/>
          <w:lang w:val="en-GB"/>
        </w:rPr>
        <w:t xml:space="preserve"> </w:t>
      </w:r>
    </w:p>
    <w:p w:rsidR="00B44972" w:rsidRPr="00BF42B7" w:rsidRDefault="00B44972" w:rsidP="00B44972">
      <w:pPr>
        <w:pStyle w:val="SingleTxtGC"/>
        <w:rPr>
          <w:lang w:val="en-GB"/>
        </w:rPr>
      </w:pPr>
      <w:r w:rsidRPr="00BF42B7">
        <w:rPr>
          <w:lang w:val="en-GB"/>
        </w:rPr>
        <w:t>(1</w:t>
      </w:r>
      <w:r w:rsidRPr="00BF42B7">
        <w:rPr>
          <w:rFonts w:hint="eastAsia"/>
          <w:lang w:val="en-GB"/>
        </w:rPr>
        <w:t>1</w:t>
      </w:r>
      <w:r w:rsidRPr="00BF42B7">
        <w:rPr>
          <w:lang w:val="en-GB"/>
        </w:rPr>
        <w:t xml:space="preserve">)  </w:t>
      </w:r>
      <w:r w:rsidRPr="00BF42B7">
        <w:rPr>
          <w:lang w:val="en-GB"/>
        </w:rPr>
        <w:t>不应当将作为作准的条约解释资料的嗣后协定和嗣后惯例与各国际法院、法庭或</w:t>
      </w:r>
      <w:r w:rsidRPr="00BF42B7">
        <w:rPr>
          <w:rFonts w:hint="eastAsia"/>
          <w:lang w:val="en-GB"/>
        </w:rPr>
        <w:t>专家</w:t>
      </w:r>
      <w:r w:rsidRPr="00BF42B7">
        <w:rPr>
          <w:lang w:val="en-GB"/>
        </w:rPr>
        <w:t>条约机构在具体案件中对条约的解释相混淆。第三十一条第三款</w:t>
      </w:r>
      <w:r w:rsidRPr="00BF42B7">
        <w:rPr>
          <w:lang w:val="en-GB"/>
        </w:rPr>
        <w:t>(a)</w:t>
      </w:r>
      <w:r w:rsidRPr="00BF42B7">
        <w:rPr>
          <w:lang w:val="en-GB"/>
        </w:rPr>
        <w:t>项和</w:t>
      </w:r>
      <w:r w:rsidRPr="00BF42B7">
        <w:rPr>
          <w:lang w:val="en-GB"/>
        </w:rPr>
        <w:t>(b)</w:t>
      </w:r>
      <w:r w:rsidRPr="00BF42B7">
        <w:rPr>
          <w:lang w:val="en-GB"/>
        </w:rPr>
        <w:t>项之下的嗣后协定和嗣后惯例</w:t>
      </w:r>
      <w:r w:rsidRPr="00BF42B7">
        <w:rPr>
          <w:rFonts w:hint="eastAsia"/>
          <w:lang w:val="en-GB"/>
        </w:rPr>
        <w:t>是“</w:t>
      </w:r>
      <w:r w:rsidRPr="00BF42B7">
        <w:rPr>
          <w:lang w:val="en-GB"/>
        </w:rPr>
        <w:t>作准的</w:t>
      </w:r>
      <w:r w:rsidRPr="00BF42B7">
        <w:rPr>
          <w:rFonts w:hint="eastAsia"/>
          <w:lang w:val="en-GB"/>
        </w:rPr>
        <w:t>”</w:t>
      </w:r>
      <w:r w:rsidRPr="00BF42B7">
        <w:rPr>
          <w:lang w:val="en-GB"/>
        </w:rPr>
        <w:t>解释资料，因为它们表示当事国本身对条约的理解。而各国际法院、法庭和</w:t>
      </w:r>
      <w:r w:rsidRPr="00BF42B7">
        <w:rPr>
          <w:rFonts w:hint="eastAsia"/>
          <w:lang w:val="en-GB"/>
        </w:rPr>
        <w:t>专家</w:t>
      </w:r>
      <w:r w:rsidRPr="00BF42B7">
        <w:rPr>
          <w:lang w:val="en-GB"/>
        </w:rPr>
        <w:t>条约机构的权威</w:t>
      </w:r>
      <w:r w:rsidRPr="00BF42B7">
        <w:rPr>
          <w:rFonts w:hint="eastAsia"/>
          <w:lang w:val="en-GB"/>
        </w:rPr>
        <w:t>有其他来源</w:t>
      </w:r>
      <w:r w:rsidRPr="00BF42B7">
        <w:rPr>
          <w:lang w:val="en-GB"/>
        </w:rPr>
        <w:t>，最通常是来自所要解释的条约。但是，各国际法院、法庭和</w:t>
      </w:r>
      <w:r w:rsidRPr="00BF42B7">
        <w:rPr>
          <w:rFonts w:hint="eastAsia"/>
          <w:lang w:val="en-GB"/>
        </w:rPr>
        <w:t>专家</w:t>
      </w:r>
      <w:r w:rsidRPr="00BF42B7">
        <w:rPr>
          <w:lang w:val="en-GB"/>
        </w:rPr>
        <w:t>条约机构的判决和其他声明如果</w:t>
      </w:r>
      <w:r w:rsidRPr="00BF42B7">
        <w:rPr>
          <w:rFonts w:hint="eastAsia"/>
          <w:lang w:val="en-GB"/>
        </w:rPr>
        <w:t>提到、</w:t>
      </w:r>
      <w:r w:rsidRPr="00BF42B7">
        <w:rPr>
          <w:lang w:val="en-GB"/>
        </w:rPr>
        <w:t>反映或引起当事国本身的此种嗣后协定和惯例，则可能</w:t>
      </w:r>
      <w:r w:rsidRPr="00BF42B7">
        <w:rPr>
          <w:rFonts w:hint="eastAsia"/>
          <w:lang w:val="en-GB"/>
        </w:rPr>
        <w:t>间接地有助于识别</w:t>
      </w:r>
      <w:r w:rsidRPr="00BF42B7">
        <w:rPr>
          <w:lang w:val="en-GB"/>
        </w:rPr>
        <w:t>作为作准的解释资料的嗣后协定和嗣后惯例。</w:t>
      </w:r>
      <w:r w:rsidRPr="00BF42B7">
        <w:rPr>
          <w:color w:val="0000FF"/>
          <w:vertAlign w:val="superscript"/>
          <w:lang w:val="en-GB"/>
        </w:rPr>
        <w:footnoteReference w:id="457"/>
      </w:r>
      <w:r w:rsidRPr="00BF42B7">
        <w:rPr>
          <w:color w:val="0000FF"/>
          <w:vertAlign w:val="superscript"/>
          <w:lang w:val="en-GB"/>
        </w:rPr>
        <w:t xml:space="preserve"> </w:t>
      </w:r>
    </w:p>
    <w:p w:rsidR="00B44972" w:rsidRPr="00BF42B7" w:rsidRDefault="00B44972" w:rsidP="00B44972">
      <w:pPr>
        <w:pStyle w:val="SingleTxtGC"/>
        <w:rPr>
          <w:lang w:val="en-GB"/>
        </w:rPr>
      </w:pPr>
      <w:r w:rsidRPr="00BF42B7">
        <w:rPr>
          <w:lang w:val="en-GB"/>
        </w:rPr>
        <w:t>(1</w:t>
      </w:r>
      <w:r w:rsidRPr="00BF42B7">
        <w:rPr>
          <w:rFonts w:hint="eastAsia"/>
          <w:lang w:val="en-GB"/>
        </w:rPr>
        <w:t>2</w:t>
      </w:r>
      <w:r w:rsidRPr="00BF42B7">
        <w:rPr>
          <w:lang w:val="en-GB"/>
        </w:rPr>
        <w:t xml:space="preserve">)  </w:t>
      </w:r>
      <w:r w:rsidRPr="00BF42B7">
        <w:rPr>
          <w:lang w:val="en-GB"/>
        </w:rPr>
        <w:t>结论草案</w:t>
      </w:r>
      <w:r w:rsidRPr="00BF42B7">
        <w:rPr>
          <w:rFonts w:hint="eastAsia"/>
          <w:lang w:val="en-GB"/>
        </w:rPr>
        <w:t>2[1]</w:t>
      </w:r>
      <w:r w:rsidRPr="00BF42B7">
        <w:rPr>
          <w:lang w:val="en-GB"/>
        </w:rPr>
        <w:t>和</w:t>
      </w:r>
      <w:r w:rsidRPr="00BF42B7">
        <w:rPr>
          <w:lang w:val="en-GB"/>
        </w:rPr>
        <w:t>4</w:t>
      </w:r>
      <w:r w:rsidRPr="00BF42B7">
        <w:rPr>
          <w:lang w:val="en-GB"/>
        </w:rPr>
        <w:t>区分了</w:t>
      </w:r>
      <w:r w:rsidRPr="00BF42B7">
        <w:rPr>
          <w:lang w:val="en-GB"/>
        </w:rPr>
        <w:t>1969</w:t>
      </w:r>
      <w:r w:rsidRPr="00BF42B7">
        <w:rPr>
          <w:lang w:val="en-GB"/>
        </w:rPr>
        <w:t>年《维也纳公约》第三十一条第三款</w:t>
      </w:r>
      <w:r w:rsidRPr="00BF42B7">
        <w:rPr>
          <w:lang w:val="en-GB"/>
        </w:rPr>
        <w:t>(b)</w:t>
      </w:r>
      <w:r w:rsidRPr="00BF42B7">
        <w:rPr>
          <w:lang w:val="en-GB"/>
        </w:rPr>
        <w:t>项之下确定当事国</w:t>
      </w:r>
      <w:r w:rsidRPr="00BF42B7">
        <w:rPr>
          <w:rFonts w:hint="eastAsia"/>
          <w:lang w:val="en-GB"/>
        </w:rPr>
        <w:t>一致意思</w:t>
      </w:r>
      <w:r w:rsidRPr="00BF42B7">
        <w:rPr>
          <w:lang w:val="en-GB"/>
        </w:rPr>
        <w:t>的</w:t>
      </w:r>
      <w:r w:rsidRPr="00BF42B7">
        <w:rPr>
          <w:rFonts w:hint="eastAsia"/>
          <w:lang w:val="en-GB"/>
        </w:rPr>
        <w:t>“</w:t>
      </w:r>
      <w:r w:rsidRPr="00BF42B7">
        <w:rPr>
          <w:lang w:val="en-GB"/>
        </w:rPr>
        <w:t>嗣后惯例</w:t>
      </w:r>
      <w:r w:rsidRPr="00BF42B7">
        <w:rPr>
          <w:rFonts w:hint="eastAsia"/>
          <w:lang w:val="en-GB"/>
        </w:rPr>
        <w:t>”</w:t>
      </w:r>
      <w:r w:rsidRPr="00BF42B7">
        <w:rPr>
          <w:lang w:val="en-GB"/>
        </w:rPr>
        <w:t>，</w:t>
      </w:r>
      <w:r w:rsidRPr="00BF42B7">
        <w:rPr>
          <w:rFonts w:hint="eastAsia"/>
          <w:lang w:val="en-GB"/>
        </w:rPr>
        <w:t>以及</w:t>
      </w:r>
      <w:r w:rsidRPr="00BF42B7">
        <w:rPr>
          <w:lang w:val="en-GB"/>
        </w:rPr>
        <w:t>第三十二条之下作为补充解释资料可能相关的条约一个或多个、但并非所有当事国</w:t>
      </w:r>
      <w:r w:rsidRPr="00BF42B7">
        <w:rPr>
          <w:lang w:val="en-GB"/>
        </w:rPr>
        <w:t>(</w:t>
      </w:r>
      <w:r w:rsidRPr="00BF42B7">
        <w:rPr>
          <w:lang w:val="en-GB"/>
        </w:rPr>
        <w:t>广义的</w:t>
      </w:r>
      <w:r w:rsidRPr="00BF42B7">
        <w:rPr>
          <w:lang w:val="en-GB"/>
        </w:rPr>
        <w:t>)</w:t>
      </w:r>
      <w:r w:rsidRPr="00BF42B7">
        <w:rPr>
          <w:lang w:val="en-GB"/>
        </w:rPr>
        <w:t>其他嗣后惯例。</w:t>
      </w:r>
      <w:r w:rsidRPr="00BF42B7">
        <w:rPr>
          <w:color w:val="0000FF"/>
          <w:vertAlign w:val="superscript"/>
          <w:lang w:val="en-GB"/>
        </w:rPr>
        <w:footnoteReference w:id="458"/>
      </w:r>
      <w:r w:rsidRPr="00BF42B7">
        <w:rPr>
          <w:color w:val="0000FF"/>
          <w:vertAlign w:val="superscript"/>
          <w:lang w:val="en-GB"/>
        </w:rPr>
        <w:t xml:space="preserve"> </w:t>
      </w:r>
      <w:r w:rsidRPr="00BF42B7">
        <w:rPr>
          <w:lang w:val="en-GB"/>
        </w:rPr>
        <w:t>此种并不</w:t>
      </w:r>
      <w:r w:rsidRPr="00BF42B7">
        <w:rPr>
          <w:rFonts w:hint="eastAsia"/>
          <w:lang w:val="en-GB"/>
        </w:rPr>
        <w:t>确定</w:t>
      </w:r>
      <w:r w:rsidRPr="00BF42B7">
        <w:rPr>
          <w:lang w:val="en-GB"/>
        </w:rPr>
        <w:t>所有当事国</w:t>
      </w:r>
      <w:r w:rsidRPr="00BF42B7">
        <w:rPr>
          <w:rFonts w:hint="eastAsia"/>
          <w:lang w:val="en-GB"/>
        </w:rPr>
        <w:t>一致意思</w:t>
      </w:r>
      <w:r w:rsidRPr="00BF42B7">
        <w:rPr>
          <w:lang w:val="en-GB"/>
        </w:rPr>
        <w:t>的</w:t>
      </w:r>
      <w:r w:rsidRPr="00BF42B7">
        <w:rPr>
          <w:rFonts w:hint="eastAsia"/>
          <w:lang w:val="en-GB"/>
        </w:rPr>
        <w:t>“</w:t>
      </w:r>
      <w:r w:rsidRPr="00BF42B7">
        <w:rPr>
          <w:lang w:val="en-GB"/>
        </w:rPr>
        <w:t>其他</w:t>
      </w:r>
      <w:r w:rsidRPr="00BF42B7">
        <w:rPr>
          <w:rFonts w:hint="eastAsia"/>
          <w:lang w:val="en-GB"/>
        </w:rPr>
        <w:t>”</w:t>
      </w:r>
      <w:r w:rsidRPr="00BF42B7">
        <w:rPr>
          <w:lang w:val="en-GB"/>
        </w:rPr>
        <w:t>嗣后解释性惯例不能构成条约所有当事国对条约的</w:t>
      </w:r>
      <w:r w:rsidRPr="00BF42B7">
        <w:rPr>
          <w:rFonts w:hint="eastAsia"/>
          <w:lang w:val="en-GB"/>
        </w:rPr>
        <w:t>“作准”</w:t>
      </w:r>
      <w:r w:rsidRPr="00BF42B7">
        <w:rPr>
          <w:lang w:val="en-GB"/>
        </w:rPr>
        <w:t>解释，因此，就解释目的而言，不具有相同的权重。</w:t>
      </w:r>
      <w:r w:rsidRPr="00BF42B7">
        <w:rPr>
          <w:color w:val="0000FF"/>
          <w:vertAlign w:val="superscript"/>
          <w:lang w:val="en-GB"/>
        </w:rPr>
        <w:footnoteReference w:id="459"/>
      </w:r>
      <w:r w:rsidRPr="00BF42B7">
        <w:rPr>
          <w:color w:val="0000FF"/>
          <w:vertAlign w:val="superscript"/>
          <w:lang w:val="en-GB"/>
        </w:rPr>
        <w:t xml:space="preserve"> </w:t>
      </w:r>
    </w:p>
    <w:p w:rsidR="00B44972" w:rsidRPr="00BF42B7" w:rsidRDefault="00B44972" w:rsidP="00B44972">
      <w:pPr>
        <w:pStyle w:val="SingleTxtGC"/>
        <w:rPr>
          <w:b/>
          <w:lang w:val="en-GB"/>
        </w:rPr>
      </w:pPr>
      <w:r w:rsidRPr="00BF42B7">
        <w:rPr>
          <w:lang w:val="en-GB"/>
        </w:rPr>
        <w:t>(1</w:t>
      </w:r>
      <w:r w:rsidRPr="00BF42B7">
        <w:rPr>
          <w:rFonts w:hint="eastAsia"/>
          <w:lang w:val="en-GB"/>
        </w:rPr>
        <w:t>3</w:t>
      </w:r>
      <w:r w:rsidRPr="00BF42B7">
        <w:rPr>
          <w:lang w:val="en-GB"/>
        </w:rPr>
        <w:t xml:space="preserve">)  </w:t>
      </w:r>
      <w:r w:rsidRPr="00BF42B7">
        <w:rPr>
          <w:lang w:val="en-GB"/>
        </w:rPr>
        <w:t>结论草案</w:t>
      </w:r>
      <w:r w:rsidRPr="00BF42B7">
        <w:rPr>
          <w:rFonts w:hint="eastAsia"/>
          <w:lang w:val="en-GB"/>
        </w:rPr>
        <w:t>3[2]</w:t>
      </w:r>
      <w:r w:rsidRPr="00BF42B7">
        <w:rPr>
          <w:lang w:val="en-GB"/>
        </w:rPr>
        <w:t>最后一部分清楚地表明，以嗣后协定和嗣后惯例作为作准的解释资料应作为适用</w:t>
      </w:r>
      <w:r w:rsidRPr="00BF42B7">
        <w:rPr>
          <w:lang w:val="en-GB"/>
        </w:rPr>
        <w:t>1969</w:t>
      </w:r>
      <w:r w:rsidRPr="00BF42B7">
        <w:rPr>
          <w:lang w:val="en-GB"/>
        </w:rPr>
        <w:t>年《维也纳公约》第三十一条所反映的条约解释通则的一部分。</w:t>
      </w:r>
    </w:p>
    <w:p w:rsidR="00B44972" w:rsidRPr="00BF42B7" w:rsidRDefault="00B44972" w:rsidP="00B44972">
      <w:pPr>
        <w:pStyle w:val="H23GC"/>
        <w:ind w:left="1554"/>
      </w:pPr>
      <w:r w:rsidRPr="00BF42B7">
        <w:rPr>
          <w:rFonts w:hint="eastAsia"/>
        </w:rPr>
        <w:tab/>
      </w:r>
      <w:r w:rsidRPr="00BF42B7">
        <w:rPr>
          <w:rFonts w:hint="eastAsia"/>
        </w:rPr>
        <w:tab/>
      </w:r>
      <w:r w:rsidRPr="00BF42B7">
        <w:rPr>
          <w:rFonts w:hint="eastAsia"/>
        </w:rPr>
        <w:t>结论</w:t>
      </w:r>
      <w:r w:rsidRPr="00BF42B7">
        <w:rPr>
          <w:rFonts w:hint="eastAsia"/>
        </w:rPr>
        <w:t>4</w:t>
      </w:r>
      <w:r w:rsidRPr="00BF42B7">
        <w:br/>
      </w:r>
      <w:r w:rsidRPr="00BF42B7">
        <w:rPr>
          <w:rFonts w:hint="eastAsia"/>
        </w:rPr>
        <w:t>嗣后协定和嗣后惯例的定义</w:t>
      </w:r>
    </w:p>
    <w:p w:rsidR="00B44972" w:rsidRPr="00BF42B7" w:rsidRDefault="00B44972" w:rsidP="00B44972">
      <w:pPr>
        <w:pStyle w:val="SingleTxtGC"/>
        <w:ind w:left="1554"/>
      </w:pPr>
      <w:r w:rsidRPr="00BF42B7">
        <w:rPr>
          <w:rFonts w:hint="eastAsia"/>
        </w:rPr>
        <w:t>1.</w:t>
      </w:r>
      <w:r w:rsidRPr="00BF42B7">
        <w:rPr>
          <w:rFonts w:hint="eastAsia"/>
        </w:rPr>
        <w:tab/>
      </w:r>
      <w:r w:rsidRPr="00BF42B7">
        <w:rPr>
          <w:rFonts w:hint="eastAsia"/>
        </w:rPr>
        <w:t>“嗣后协定”作为第三十一条第三款</w:t>
      </w:r>
      <w:r w:rsidRPr="00BF42B7">
        <w:rPr>
          <w:rFonts w:hint="eastAsia"/>
        </w:rPr>
        <w:t>(a)</w:t>
      </w:r>
      <w:r w:rsidRPr="00BF42B7">
        <w:rPr>
          <w:rFonts w:hint="eastAsia"/>
        </w:rPr>
        <w:t>项之下作准的解释资料是指缔约方在条约缔结后达成的关于解释条约或适用条约规定的协定。</w:t>
      </w:r>
    </w:p>
    <w:p w:rsidR="00B44972" w:rsidRPr="00BF42B7" w:rsidRDefault="00B44972" w:rsidP="00B44972">
      <w:pPr>
        <w:pStyle w:val="SingleTxtGC"/>
        <w:ind w:left="1554"/>
      </w:pPr>
      <w:r w:rsidRPr="00BF42B7">
        <w:rPr>
          <w:rFonts w:hint="eastAsia"/>
        </w:rPr>
        <w:t>2.</w:t>
      </w:r>
      <w:r w:rsidRPr="00BF42B7">
        <w:rPr>
          <w:rFonts w:hint="eastAsia"/>
        </w:rPr>
        <w:tab/>
      </w:r>
      <w:r w:rsidRPr="00BF42B7">
        <w:rPr>
          <w:rFonts w:hint="eastAsia"/>
        </w:rPr>
        <w:t>“嗣后惯例”作为第三十一条第三款</w:t>
      </w:r>
      <w:r w:rsidRPr="00BF42B7">
        <w:rPr>
          <w:rFonts w:hint="eastAsia"/>
        </w:rPr>
        <w:t>(b)</w:t>
      </w:r>
      <w:r w:rsidRPr="00BF42B7">
        <w:rPr>
          <w:rFonts w:hint="eastAsia"/>
        </w:rPr>
        <w:t>项之下作准的解释资料是指条约缔结后确定各缔约方对条约的解释意思一致的适用条约的行为。</w:t>
      </w:r>
    </w:p>
    <w:p w:rsidR="00B44972" w:rsidRPr="00BF42B7" w:rsidRDefault="00B44972" w:rsidP="00B44972">
      <w:pPr>
        <w:pStyle w:val="SingleTxtGC"/>
        <w:ind w:left="1554"/>
      </w:pPr>
      <w:r w:rsidRPr="00BF42B7">
        <w:rPr>
          <w:rFonts w:hint="eastAsia"/>
        </w:rPr>
        <w:t>3.</w:t>
      </w:r>
      <w:r w:rsidRPr="00BF42B7">
        <w:rPr>
          <w:rFonts w:hint="eastAsia"/>
        </w:rPr>
        <w:tab/>
      </w:r>
      <w:r w:rsidRPr="00BF42B7">
        <w:rPr>
          <w:rFonts w:hint="eastAsia"/>
        </w:rPr>
        <w:t>其他“嗣后惯例”作为第三十二条之下的补充的解释资料是指条约缔结后一个或多个缔约方适用条约的行为。</w:t>
      </w:r>
    </w:p>
    <w:p w:rsidR="00B44972" w:rsidRPr="00BF42B7" w:rsidRDefault="00B44972" w:rsidP="00B44972">
      <w:pPr>
        <w:pStyle w:val="H23GC"/>
      </w:pPr>
      <w:r w:rsidRPr="00BF42B7">
        <w:rPr>
          <w:rFonts w:hint="eastAsia"/>
        </w:rPr>
        <w:tab/>
      </w:r>
      <w:r w:rsidRPr="00BF42B7">
        <w:rPr>
          <w:rFonts w:hint="eastAsia"/>
        </w:rPr>
        <w:tab/>
      </w:r>
      <w:r w:rsidRPr="00BF42B7">
        <w:rPr>
          <w:rFonts w:hint="eastAsia"/>
        </w:rPr>
        <w:t>评注</w:t>
      </w:r>
    </w:p>
    <w:p w:rsidR="00B44972" w:rsidRPr="00BF42B7" w:rsidRDefault="00B44972" w:rsidP="00B44972">
      <w:pPr>
        <w:pStyle w:val="H4GC"/>
        <w:rPr>
          <w:rFonts w:eastAsia="楷体"/>
        </w:rPr>
      </w:pPr>
      <w:r w:rsidRPr="00BF42B7">
        <w:rPr>
          <w:rFonts w:eastAsia="楷体" w:hint="eastAsia"/>
        </w:rPr>
        <w:tab/>
      </w:r>
      <w:r w:rsidRPr="00BF42B7">
        <w:rPr>
          <w:rFonts w:eastAsia="楷体" w:hint="eastAsia"/>
        </w:rPr>
        <w:tab/>
      </w:r>
      <w:r w:rsidRPr="00BF42B7">
        <w:rPr>
          <w:rFonts w:eastAsia="楷体" w:hint="eastAsia"/>
        </w:rPr>
        <w:t>一般方面</w:t>
      </w:r>
    </w:p>
    <w:p w:rsidR="00B44972" w:rsidRPr="00BF42B7" w:rsidRDefault="00B44972" w:rsidP="00B44972">
      <w:pPr>
        <w:pStyle w:val="SingleTxtGC"/>
      </w:pPr>
      <w:r w:rsidRPr="00BF42B7">
        <w:t xml:space="preserve">(1)  </w:t>
      </w:r>
      <w:r w:rsidRPr="00BF42B7">
        <w:rPr>
          <w:rFonts w:hint="eastAsia"/>
        </w:rPr>
        <w:t>结论草案</w:t>
      </w:r>
      <w:r w:rsidRPr="00BF42B7">
        <w:rPr>
          <w:rFonts w:hint="eastAsia"/>
        </w:rPr>
        <w:t>4</w:t>
      </w:r>
      <w:r w:rsidRPr="00BF42B7">
        <w:rPr>
          <w:rFonts w:hint="eastAsia"/>
        </w:rPr>
        <w:t>定义了结论草案</w:t>
      </w:r>
      <w:r w:rsidRPr="00BF42B7">
        <w:rPr>
          <w:rFonts w:hint="eastAsia"/>
        </w:rPr>
        <w:t>2[1]</w:t>
      </w:r>
      <w:r w:rsidRPr="00BF42B7">
        <w:rPr>
          <w:rFonts w:hint="eastAsia"/>
        </w:rPr>
        <w:t>第</w:t>
      </w:r>
      <w:r w:rsidRPr="00BF42B7">
        <w:rPr>
          <w:rFonts w:hint="eastAsia"/>
        </w:rPr>
        <w:t>3</w:t>
      </w:r>
      <w:r w:rsidRPr="00BF42B7">
        <w:rPr>
          <w:rFonts w:hint="eastAsia"/>
        </w:rPr>
        <w:t>和第</w:t>
      </w:r>
      <w:r w:rsidRPr="00BF42B7">
        <w:rPr>
          <w:rFonts w:hint="eastAsia"/>
        </w:rPr>
        <w:t>4</w:t>
      </w:r>
      <w:r w:rsidRPr="00BF42B7">
        <w:rPr>
          <w:rFonts w:hint="eastAsia"/>
        </w:rPr>
        <w:t>段中提到的“嗣后”对条约进行解释的三种不同方法，即第三十一条第三款</w:t>
      </w:r>
      <w:r w:rsidRPr="00BF42B7">
        <w:rPr>
          <w:rFonts w:hint="eastAsia"/>
        </w:rPr>
        <w:t>(a)</w:t>
      </w:r>
      <w:r w:rsidRPr="00BF42B7">
        <w:rPr>
          <w:rFonts w:hint="eastAsia"/>
        </w:rPr>
        <w:t>项下的“嗣后协定”、第三十一条第三款</w:t>
      </w:r>
      <w:r w:rsidRPr="00BF42B7">
        <w:rPr>
          <w:rFonts w:hint="eastAsia"/>
        </w:rPr>
        <w:t>(b)</w:t>
      </w:r>
      <w:r w:rsidRPr="00BF42B7">
        <w:rPr>
          <w:rFonts w:hint="eastAsia"/>
        </w:rPr>
        <w:t>项下的“嗣后惯例”以及第三十二条下的其他的“嗣后惯例”。</w:t>
      </w:r>
    </w:p>
    <w:p w:rsidR="00B44972" w:rsidRPr="00BF42B7" w:rsidRDefault="00B44972" w:rsidP="00B44972">
      <w:pPr>
        <w:pStyle w:val="SingleTxtGC"/>
      </w:pPr>
      <w:r w:rsidRPr="00BF42B7">
        <w:t xml:space="preserve">(2)  </w:t>
      </w:r>
      <w:r w:rsidRPr="00BF42B7">
        <w:rPr>
          <w:rFonts w:hint="eastAsia"/>
        </w:rPr>
        <w:t>在所有三种情况下，“嗣后”一词均指在“一项条约缔结后”发生的行为。</w:t>
      </w:r>
      <w:r w:rsidRPr="00BF42B7">
        <w:rPr>
          <w:color w:val="0000FF"/>
          <w:vertAlign w:val="superscript"/>
        </w:rPr>
        <w:footnoteReference w:id="460"/>
      </w:r>
      <w:r w:rsidRPr="00BF42B7">
        <w:rPr>
          <w:color w:val="0000FF"/>
          <w:vertAlign w:val="superscript"/>
        </w:rPr>
        <w:t xml:space="preserve"> </w:t>
      </w:r>
      <w:r w:rsidRPr="00BF42B7">
        <w:rPr>
          <w:rFonts w:hint="eastAsia"/>
        </w:rPr>
        <w:t>这个时间点常常早于条约生效的一刻</w:t>
      </w:r>
      <w:r w:rsidRPr="00BF42B7">
        <w:rPr>
          <w:rFonts w:hint="eastAsia"/>
        </w:rPr>
        <w:t>(</w:t>
      </w:r>
      <w:r w:rsidRPr="00BF42B7">
        <w:rPr>
          <w:rFonts w:hint="eastAsia"/>
        </w:rPr>
        <w:t>第二十四条</w:t>
      </w:r>
      <w:r w:rsidRPr="00BF42B7">
        <w:rPr>
          <w:rFonts w:hint="eastAsia"/>
        </w:rPr>
        <w:t>)</w:t>
      </w:r>
      <w:r w:rsidRPr="00BF42B7">
        <w:rPr>
          <w:rFonts w:hint="eastAsia"/>
        </w:rPr>
        <w:t>。</w:t>
      </w:r>
      <w:r w:rsidRPr="00BF42B7">
        <w:rPr>
          <w:rFonts w:hint="eastAsia"/>
        </w:rPr>
        <w:t>1969</w:t>
      </w:r>
      <w:r w:rsidRPr="00BF42B7">
        <w:rPr>
          <w:rFonts w:hint="eastAsia"/>
        </w:rPr>
        <w:t>年《维也纳公约》各项条款</w:t>
      </w:r>
      <w:r w:rsidRPr="00BF42B7">
        <w:rPr>
          <w:rFonts w:hint="eastAsia"/>
        </w:rPr>
        <w:t>(</w:t>
      </w:r>
      <w:r w:rsidRPr="00BF42B7">
        <w:rPr>
          <w:rFonts w:hint="eastAsia"/>
        </w:rPr>
        <w:t>例如第十八条</w:t>
      </w:r>
      <w:r w:rsidRPr="00BF42B7">
        <w:rPr>
          <w:rFonts w:hint="eastAsia"/>
        </w:rPr>
        <w:t>)</w:t>
      </w:r>
      <w:r w:rsidRPr="00BF42B7">
        <w:rPr>
          <w:rFonts w:hint="eastAsia"/>
        </w:rPr>
        <w:t>表明，一项条约可在它实际生效之前“缔结”。</w:t>
      </w:r>
      <w:bookmarkStart w:id="110" w:name="_Ref235607137"/>
      <w:r w:rsidRPr="00BF42B7">
        <w:rPr>
          <w:color w:val="0000FF"/>
          <w:vertAlign w:val="superscript"/>
        </w:rPr>
        <w:footnoteReference w:id="461"/>
      </w:r>
      <w:bookmarkEnd w:id="110"/>
      <w:r w:rsidRPr="00BF42B7">
        <w:rPr>
          <w:color w:val="0000FF"/>
          <w:vertAlign w:val="superscript"/>
        </w:rPr>
        <w:t xml:space="preserve"> </w:t>
      </w:r>
      <w:r w:rsidRPr="00BF42B7">
        <w:rPr>
          <w:rFonts w:hint="eastAsia"/>
        </w:rPr>
        <w:t>为本专题的目的，只要条约案文最后确定即为“缔结”。嗣后协定和嗣后惯例发生在条约缔结之后，而不仅仅发生在生效之后。的确，很难找出理由，为什么在一项条约的案文最后确定与条约生效之间达成的协议或惯例不能用于对条约的解释。</w:t>
      </w:r>
      <w:r w:rsidRPr="00BF42B7">
        <w:rPr>
          <w:color w:val="0000FF"/>
          <w:vertAlign w:val="superscript"/>
        </w:rPr>
        <w:footnoteReference w:id="462"/>
      </w:r>
      <w:r w:rsidRPr="00BF42B7">
        <w:rPr>
          <w:color w:val="0000FF"/>
          <w:vertAlign w:val="superscript"/>
        </w:rPr>
        <w:t xml:space="preserve"> </w:t>
      </w:r>
    </w:p>
    <w:p w:rsidR="00B44972" w:rsidRPr="00BF42B7" w:rsidRDefault="00B44972" w:rsidP="00B44972">
      <w:pPr>
        <w:pStyle w:val="SingleTxtGC"/>
      </w:pPr>
      <w:r w:rsidRPr="00BF42B7">
        <w:t xml:space="preserve">(3)  </w:t>
      </w:r>
      <w:r w:rsidRPr="00BF42B7">
        <w:rPr>
          <w:rFonts w:hint="eastAsia"/>
        </w:rPr>
        <w:t>1969</w:t>
      </w:r>
      <w:r w:rsidRPr="00BF42B7">
        <w:rPr>
          <w:rFonts w:hint="eastAsia"/>
        </w:rPr>
        <w:t>年《维也纳公约》第三十一条第二款规定，条约的“内容”包括若干“协定”和“文书”，</w:t>
      </w:r>
      <w:r w:rsidRPr="00BF42B7">
        <w:rPr>
          <w:color w:val="0000FF"/>
          <w:vertAlign w:val="superscript"/>
        </w:rPr>
        <w:footnoteReference w:id="463"/>
      </w:r>
      <w:r w:rsidRPr="00BF42B7">
        <w:rPr>
          <w:color w:val="0000FF"/>
          <w:vertAlign w:val="superscript"/>
        </w:rPr>
        <w:t xml:space="preserve"> </w:t>
      </w:r>
      <w:r w:rsidRPr="00BF42B7">
        <w:rPr>
          <w:rFonts w:hint="eastAsia"/>
        </w:rPr>
        <w:t>这些“协定”和“文书”的订立是与缔结条约联系在一起的。“因缔结条约”这一短语应理解为包括在与缔结条约相关的那段封闭的时间里或背景下订立的协定和文书。</w:t>
      </w:r>
      <w:r w:rsidRPr="00BF42B7">
        <w:rPr>
          <w:color w:val="0000FF"/>
          <w:vertAlign w:val="superscript"/>
        </w:rPr>
        <w:footnoteReference w:id="464"/>
      </w:r>
      <w:r w:rsidRPr="00BF42B7">
        <w:rPr>
          <w:color w:val="0000FF"/>
          <w:vertAlign w:val="superscript"/>
        </w:rPr>
        <w:t xml:space="preserve"> </w:t>
      </w:r>
      <w:r w:rsidRPr="00BF42B7">
        <w:rPr>
          <w:rFonts w:hint="eastAsia"/>
        </w:rPr>
        <w:t>如果是在这段时间之后订立的，则这种“协定”和议定的“文书”即为第三十一条第三款下的“嗣后协定”或嗣后惯例。</w:t>
      </w:r>
      <w:r w:rsidRPr="00BF42B7">
        <w:rPr>
          <w:color w:val="0000FF"/>
          <w:vertAlign w:val="superscript"/>
        </w:rPr>
        <w:footnoteReference w:id="465"/>
      </w:r>
      <w:r w:rsidRPr="00BF42B7">
        <w:rPr>
          <w:color w:val="0000FF"/>
          <w:vertAlign w:val="superscript"/>
        </w:rPr>
        <w:t xml:space="preserve"> </w:t>
      </w:r>
    </w:p>
    <w:p w:rsidR="00B44972" w:rsidRPr="00BF42B7" w:rsidRDefault="00B44972" w:rsidP="00B44972">
      <w:pPr>
        <w:pStyle w:val="H4GC"/>
        <w:rPr>
          <w:rFonts w:eastAsia="楷体"/>
        </w:rPr>
      </w:pPr>
      <w:r w:rsidRPr="00BF42B7">
        <w:rPr>
          <w:rFonts w:eastAsia="楷体" w:hint="eastAsia"/>
        </w:rPr>
        <w:tab/>
      </w:r>
      <w:r w:rsidRPr="00BF42B7">
        <w:rPr>
          <w:rFonts w:eastAsia="楷体" w:hint="eastAsia"/>
        </w:rPr>
        <w:tab/>
      </w:r>
      <w:r w:rsidRPr="00BF42B7">
        <w:rPr>
          <w:rFonts w:eastAsia="楷体" w:hint="eastAsia"/>
        </w:rPr>
        <w:t>第</w:t>
      </w:r>
      <w:r w:rsidRPr="00BF42B7">
        <w:rPr>
          <w:rFonts w:eastAsia="楷体" w:hint="eastAsia"/>
        </w:rPr>
        <w:t>1</w:t>
      </w:r>
      <w:r w:rsidRPr="00BF42B7">
        <w:rPr>
          <w:rFonts w:eastAsia="楷体" w:hint="eastAsia"/>
        </w:rPr>
        <w:t>段</w:t>
      </w:r>
      <w:r w:rsidRPr="00BF42B7">
        <w:rPr>
          <w:rFonts w:eastAsia="楷体" w:hint="eastAsia"/>
          <w:spacing w:val="-50"/>
          <w:lang w:val="fr-CH"/>
        </w:rPr>
        <w:t>―</w:t>
      </w:r>
      <w:r w:rsidRPr="00BF42B7">
        <w:rPr>
          <w:rFonts w:eastAsia="楷体" w:hint="eastAsia"/>
          <w:lang w:val="fr-CH"/>
        </w:rPr>
        <w:t>―</w:t>
      </w:r>
      <w:r w:rsidRPr="00BF42B7">
        <w:rPr>
          <w:rFonts w:eastAsia="楷体" w:hint="eastAsia"/>
        </w:rPr>
        <w:t>对第三十一条第三款</w:t>
      </w:r>
      <w:r w:rsidRPr="00BF42B7">
        <w:rPr>
          <w:rFonts w:eastAsia="楷体" w:hint="eastAsia"/>
        </w:rPr>
        <w:t>(a)</w:t>
      </w:r>
      <w:r w:rsidRPr="00BF42B7">
        <w:rPr>
          <w:rFonts w:eastAsia="楷体" w:hint="eastAsia"/>
        </w:rPr>
        <w:t>项下“嗣后协定”的定义</w:t>
      </w:r>
    </w:p>
    <w:p w:rsidR="00B44972" w:rsidRPr="00BF42B7" w:rsidRDefault="00B44972" w:rsidP="00B44972">
      <w:pPr>
        <w:pStyle w:val="SingleTxtGC"/>
      </w:pPr>
      <w:r w:rsidRPr="00BF42B7">
        <w:t xml:space="preserve">(4)  </w:t>
      </w:r>
      <w:r w:rsidRPr="00BF42B7">
        <w:rPr>
          <w:rFonts w:hint="eastAsia"/>
        </w:rPr>
        <w:t>结论草案</w:t>
      </w:r>
      <w:r w:rsidRPr="00BF42B7">
        <w:rPr>
          <w:rFonts w:hint="eastAsia"/>
        </w:rPr>
        <w:t>4</w:t>
      </w:r>
      <w:r w:rsidRPr="00BF42B7">
        <w:rPr>
          <w:rFonts w:hint="eastAsia"/>
        </w:rPr>
        <w:t>第</w:t>
      </w:r>
      <w:r w:rsidRPr="00BF42B7">
        <w:rPr>
          <w:rFonts w:hint="eastAsia"/>
        </w:rPr>
        <w:t>1</w:t>
      </w:r>
      <w:r w:rsidRPr="00BF42B7">
        <w:rPr>
          <w:rFonts w:hint="eastAsia"/>
        </w:rPr>
        <w:t>段规定了第三十一条第三款</w:t>
      </w:r>
      <w:r w:rsidRPr="00BF42B7">
        <w:rPr>
          <w:rFonts w:hint="eastAsia"/>
        </w:rPr>
        <w:t>(a)</w:t>
      </w:r>
      <w:r w:rsidRPr="00BF42B7">
        <w:rPr>
          <w:rFonts w:hint="eastAsia"/>
        </w:rPr>
        <w:t>项下“嗣后协定”的定义。</w:t>
      </w:r>
    </w:p>
    <w:p w:rsidR="00B44972" w:rsidRPr="00BF42B7" w:rsidRDefault="00B44972" w:rsidP="00B44972">
      <w:pPr>
        <w:pStyle w:val="SingleTxtGC"/>
      </w:pPr>
      <w:r w:rsidRPr="00BF42B7">
        <w:t xml:space="preserve">(5)  </w:t>
      </w:r>
      <w:r w:rsidRPr="00BF42B7">
        <w:rPr>
          <w:rFonts w:hint="eastAsia"/>
        </w:rPr>
        <w:t>第三十一条第三款</w:t>
      </w:r>
      <w:r w:rsidRPr="00BF42B7">
        <w:rPr>
          <w:rFonts w:hint="eastAsia"/>
        </w:rPr>
        <w:t>(a)</w:t>
      </w:r>
      <w:r w:rsidRPr="00BF42B7">
        <w:rPr>
          <w:rFonts w:hint="eastAsia"/>
        </w:rPr>
        <w:t>项使用了“嗣后协定”一词，而非“嗣后条约”。但“嗣后协定”不一定不如“条约”正式。虽然</w:t>
      </w:r>
      <w:r w:rsidRPr="00BF42B7">
        <w:rPr>
          <w:rFonts w:hint="eastAsia"/>
        </w:rPr>
        <w:t>1969</w:t>
      </w:r>
      <w:r w:rsidRPr="00BF42B7">
        <w:rPr>
          <w:rFonts w:hint="eastAsia"/>
        </w:rPr>
        <w:t>年《维也纳公约》意义下的条约必须是书面形式的</w:t>
      </w:r>
      <w:r w:rsidRPr="00BF42B7">
        <w:rPr>
          <w:rFonts w:hint="eastAsia"/>
        </w:rPr>
        <w:t>(</w:t>
      </w:r>
      <w:r w:rsidRPr="00BF42B7">
        <w:rPr>
          <w:rFonts w:hint="eastAsia"/>
        </w:rPr>
        <w:t>第二条第一款</w:t>
      </w:r>
      <w:r w:rsidRPr="00BF42B7">
        <w:rPr>
          <w:rFonts w:hint="eastAsia"/>
        </w:rPr>
        <w:t>(a))</w:t>
      </w:r>
      <w:r w:rsidRPr="00BF42B7">
        <w:rPr>
          <w:rFonts w:hint="eastAsia"/>
        </w:rPr>
        <w:t>，但关于条约的习惯国际法则没有这种要求。</w:t>
      </w:r>
      <w:bookmarkStart w:id="111" w:name="_Ref321219754"/>
      <w:r w:rsidRPr="00BF42B7">
        <w:rPr>
          <w:color w:val="0000FF"/>
          <w:vertAlign w:val="superscript"/>
        </w:rPr>
        <w:footnoteReference w:id="466"/>
      </w:r>
      <w:bookmarkEnd w:id="111"/>
      <w:r w:rsidRPr="00BF42B7">
        <w:rPr>
          <w:color w:val="0000FF"/>
          <w:vertAlign w:val="superscript"/>
        </w:rPr>
        <w:t xml:space="preserve"> </w:t>
      </w:r>
      <w:r w:rsidRPr="00BF42B7">
        <w:rPr>
          <w:rFonts w:hint="eastAsia"/>
        </w:rPr>
        <w:t>1969</w:t>
      </w:r>
      <w:r w:rsidRPr="00BF42B7">
        <w:rPr>
          <w:rFonts w:hint="eastAsia"/>
        </w:rPr>
        <w:t>年《维也纳公约》之下的“协定”一词</w:t>
      </w:r>
      <w:r w:rsidRPr="00BF42B7">
        <w:rPr>
          <w:color w:val="0000FF"/>
          <w:vertAlign w:val="superscript"/>
        </w:rPr>
        <w:footnoteReference w:id="467"/>
      </w:r>
      <w:r w:rsidRPr="00BF42B7">
        <w:rPr>
          <w:color w:val="0000FF"/>
          <w:vertAlign w:val="superscript"/>
        </w:rPr>
        <w:t xml:space="preserve"> </w:t>
      </w:r>
      <w:r w:rsidRPr="00BF42B7">
        <w:rPr>
          <w:rFonts w:hint="eastAsia"/>
        </w:rPr>
        <w:t>和习惯国际法下的“协定”一词并不意味着任何特定的正式程度。</w:t>
      </w:r>
      <w:r w:rsidRPr="00BF42B7">
        <w:rPr>
          <w:rFonts w:hint="eastAsia"/>
        </w:rPr>
        <w:t>1969</w:t>
      </w:r>
      <w:r w:rsidRPr="00BF42B7">
        <w:rPr>
          <w:rFonts w:hint="eastAsia"/>
        </w:rPr>
        <w:t>年《维也纳公约》第三十九条列出了一般规则：“条约得以当事国之协议修正之”，委员会对此的解释是，“修正协定可采取原条约缔约方所选择的任何形式”。</w:t>
      </w:r>
      <w:r w:rsidRPr="00BF42B7">
        <w:rPr>
          <w:color w:val="0000FF"/>
          <w:vertAlign w:val="superscript"/>
        </w:rPr>
        <w:footnoteReference w:id="468"/>
      </w:r>
      <w:r w:rsidRPr="00BF42B7">
        <w:rPr>
          <w:color w:val="0000FF"/>
          <w:vertAlign w:val="superscript"/>
        </w:rPr>
        <w:t xml:space="preserve"> </w:t>
      </w:r>
      <w:r w:rsidRPr="00BF42B7">
        <w:rPr>
          <w:rFonts w:hint="eastAsia"/>
        </w:rPr>
        <w:t>同样，《维也纳公约》并未对第三十一条第三款</w:t>
      </w:r>
      <w:r w:rsidRPr="00BF42B7">
        <w:rPr>
          <w:rFonts w:hint="eastAsia"/>
        </w:rPr>
        <w:t>(a)</w:t>
      </w:r>
      <w:r w:rsidRPr="00BF42B7">
        <w:rPr>
          <w:rFonts w:hint="eastAsia"/>
        </w:rPr>
        <w:t>和</w:t>
      </w:r>
      <w:r w:rsidRPr="00BF42B7">
        <w:rPr>
          <w:rFonts w:hint="eastAsia"/>
        </w:rPr>
        <w:t>(b)</w:t>
      </w:r>
      <w:r w:rsidRPr="00BF42B7">
        <w:rPr>
          <w:rFonts w:hint="eastAsia"/>
        </w:rPr>
        <w:t>项下的协定和惯例设定任何具体形式的要求。</w:t>
      </w:r>
      <w:bookmarkStart w:id="112" w:name="_Ref235607608"/>
      <w:r w:rsidRPr="00BF42B7">
        <w:rPr>
          <w:color w:val="0000FF"/>
          <w:vertAlign w:val="superscript"/>
        </w:rPr>
        <w:footnoteReference w:id="469"/>
      </w:r>
      <w:bookmarkEnd w:id="112"/>
      <w:r w:rsidRPr="00BF42B7">
        <w:rPr>
          <w:color w:val="0000FF"/>
          <w:vertAlign w:val="superscript"/>
        </w:rPr>
        <w:t xml:space="preserve"> </w:t>
      </w:r>
    </w:p>
    <w:p w:rsidR="00B44972" w:rsidRPr="00BF42B7" w:rsidRDefault="00B44972" w:rsidP="00B44972">
      <w:pPr>
        <w:pStyle w:val="SingleTxtGC"/>
      </w:pPr>
      <w:r w:rsidRPr="00BF42B7">
        <w:t xml:space="preserve">(6)  </w:t>
      </w:r>
      <w:r w:rsidRPr="00BF42B7">
        <w:rPr>
          <w:rFonts w:hint="eastAsia"/>
        </w:rPr>
        <w:t>虽然所有条约都是协定，但并非每项协定都是条约。实际上，第三十一条第三款</w:t>
      </w:r>
      <w:r w:rsidRPr="00BF42B7">
        <w:rPr>
          <w:rFonts w:hint="eastAsia"/>
        </w:rPr>
        <w:t>(</w:t>
      </w:r>
      <w:r w:rsidRPr="00BF42B7">
        <w:t>a</w:t>
      </w:r>
      <w:r w:rsidRPr="00BF42B7">
        <w:rPr>
          <w:rFonts w:hint="eastAsia"/>
        </w:rPr>
        <w:t>)</w:t>
      </w:r>
      <w:r w:rsidRPr="00BF42B7">
        <w:rPr>
          <w:rFonts w:hint="eastAsia"/>
        </w:rPr>
        <w:t>下的“嗣后协定”只能在条约的解释上予以考虑。因此，它不一定具有约束力。至于在什么情况下缔约方之间的嗣后协定具有约束力，又在什么情况下仅仅是若干种解释方法的一种，结论草案</w:t>
      </w:r>
      <w:r w:rsidRPr="00BF42B7">
        <w:rPr>
          <w:rFonts w:hint="eastAsia"/>
        </w:rPr>
        <w:t>10[9]</w:t>
      </w:r>
      <w:r w:rsidRPr="00BF42B7">
        <w:rPr>
          <w:rFonts w:hint="eastAsia"/>
        </w:rPr>
        <w:t>作出了说明。</w:t>
      </w:r>
    </w:p>
    <w:p w:rsidR="00B44972" w:rsidRPr="00BF42B7" w:rsidRDefault="00B44972" w:rsidP="00B44972">
      <w:pPr>
        <w:pStyle w:val="SingleTxtGC"/>
      </w:pPr>
      <w:r w:rsidRPr="00BF42B7">
        <w:t xml:space="preserve">(7)  </w:t>
      </w:r>
      <w:r w:rsidRPr="00BF42B7">
        <w:rPr>
          <w:rFonts w:hint="eastAsia"/>
        </w:rPr>
        <w:t>1969</w:t>
      </w:r>
      <w:r w:rsidRPr="00BF42B7">
        <w:rPr>
          <w:rFonts w:hint="eastAsia"/>
        </w:rPr>
        <w:t>年《维也纳公约》对第三十一条第三款</w:t>
      </w:r>
      <w:r w:rsidRPr="00BF42B7">
        <w:rPr>
          <w:rFonts w:hint="eastAsia"/>
        </w:rPr>
        <w:t>(a)</w:t>
      </w:r>
      <w:r w:rsidRPr="00BF42B7">
        <w:rPr>
          <w:rFonts w:hint="eastAsia"/>
        </w:rPr>
        <w:t>项下的“嗣后协定”与第三十一条第三款</w:t>
      </w:r>
      <w:r w:rsidRPr="00BF42B7">
        <w:rPr>
          <w:rFonts w:hint="eastAsia"/>
        </w:rPr>
        <w:t>(b)</w:t>
      </w:r>
      <w:r w:rsidRPr="00BF42B7">
        <w:rPr>
          <w:rFonts w:hint="eastAsia"/>
        </w:rPr>
        <w:t>项下“嗣后……确定各当事国对条约解释之协定之任何惯例”作了区分。这个区分并不总是十分清楚，一些国际法院和其他仲裁机构的判例法也显示出某种不愿明言的态度。在</w:t>
      </w:r>
      <w:r w:rsidRPr="00BF42B7">
        <w:rPr>
          <w:rFonts w:ascii="Time New Roman" w:eastAsia="楷体" w:hAnsi="Time New Roman" w:hint="eastAsia"/>
        </w:rPr>
        <w:t>领土争端案</w:t>
      </w:r>
      <w:r w:rsidRPr="00BF42B7">
        <w:rPr>
          <w:rFonts w:ascii="Time New Roman" w:eastAsia="楷体" w:hAnsi="Time New Roman" w:hint="eastAsia"/>
        </w:rPr>
        <w:t>(</w:t>
      </w:r>
      <w:r w:rsidRPr="00BF42B7">
        <w:rPr>
          <w:rFonts w:ascii="Time New Roman" w:eastAsia="楷体" w:hAnsi="Time New Roman" w:hint="eastAsia"/>
        </w:rPr>
        <w:t>阿拉伯利比亚民众国诉乍得</w:t>
      </w:r>
      <w:r w:rsidRPr="00BF42B7">
        <w:rPr>
          <w:rFonts w:hint="eastAsia"/>
        </w:rPr>
        <w:t>)</w:t>
      </w:r>
      <w:r w:rsidRPr="00BF42B7">
        <w:rPr>
          <w:rFonts w:hint="eastAsia"/>
        </w:rPr>
        <w:t>中，国际法院使用了“嗣后态度”的表述，表示它后来所说的“嗣后协定”和嗣后单方面“态度”这两重意义。</w:t>
      </w:r>
      <w:r w:rsidRPr="00BF42B7">
        <w:rPr>
          <w:color w:val="0000FF"/>
          <w:vertAlign w:val="superscript"/>
        </w:rPr>
        <w:footnoteReference w:id="470"/>
      </w:r>
      <w:r w:rsidRPr="00BF42B7">
        <w:rPr>
          <w:color w:val="0000FF"/>
          <w:vertAlign w:val="superscript"/>
        </w:rPr>
        <w:t xml:space="preserve"> </w:t>
      </w:r>
      <w:r w:rsidRPr="00BF42B7">
        <w:rPr>
          <w:rFonts w:hint="eastAsia"/>
        </w:rPr>
        <w:t>在利吉丹岛和西巴丹岛的主权归属案中，国际法院对使用某一份地图是否可以作为嗣后协定或嗣后惯例的问题没有下定论。</w:t>
      </w:r>
      <w:r w:rsidRPr="00BF42B7">
        <w:rPr>
          <w:color w:val="0000FF"/>
          <w:vertAlign w:val="superscript"/>
        </w:rPr>
        <w:footnoteReference w:id="471"/>
      </w:r>
      <w:r w:rsidRPr="00BF42B7">
        <w:rPr>
          <w:color w:val="0000FF"/>
          <w:vertAlign w:val="superscript"/>
        </w:rPr>
        <w:t xml:space="preserve"> </w:t>
      </w:r>
      <w:r w:rsidRPr="00BF42B7">
        <w:rPr>
          <w:rFonts w:hint="eastAsia"/>
        </w:rPr>
        <w:t>世贸组织的专家组和上诉机构也并非总是对第三十一条第三款</w:t>
      </w:r>
      <w:r w:rsidRPr="00BF42B7">
        <w:rPr>
          <w:rFonts w:hint="eastAsia"/>
        </w:rPr>
        <w:t>(a)</w:t>
      </w:r>
      <w:r w:rsidRPr="00BF42B7">
        <w:rPr>
          <w:rFonts w:hint="eastAsia"/>
        </w:rPr>
        <w:t>和</w:t>
      </w:r>
      <w:r w:rsidRPr="00BF42B7">
        <w:rPr>
          <w:rFonts w:hint="eastAsia"/>
        </w:rPr>
        <w:t>(b)</w:t>
      </w:r>
      <w:r w:rsidRPr="00BF42B7">
        <w:rPr>
          <w:rFonts w:hint="eastAsia"/>
        </w:rPr>
        <w:t>项下的嗣后协定和嗣后惯例作出区分。</w:t>
      </w:r>
      <w:r w:rsidRPr="00BF42B7">
        <w:rPr>
          <w:color w:val="0000FF"/>
          <w:vertAlign w:val="superscript"/>
        </w:rPr>
        <w:footnoteReference w:id="472"/>
      </w:r>
      <w:r w:rsidRPr="00BF42B7">
        <w:rPr>
          <w:color w:val="0000FF"/>
          <w:vertAlign w:val="superscript"/>
        </w:rPr>
        <w:t xml:space="preserve"> </w:t>
      </w:r>
    </w:p>
    <w:p w:rsidR="00B44972" w:rsidRPr="00BF42B7" w:rsidRDefault="00B44972" w:rsidP="00B44972">
      <w:pPr>
        <w:pStyle w:val="SingleTxtGC"/>
      </w:pPr>
      <w:r w:rsidRPr="00BF42B7">
        <w:t xml:space="preserve">(8)  </w:t>
      </w:r>
      <w:r w:rsidRPr="00BF42B7">
        <w:rPr>
          <w:rFonts w:hint="eastAsia"/>
        </w:rPr>
        <w:t>但《北美自由贸易协定》法庭在</w:t>
      </w:r>
      <w:r w:rsidRPr="00BF42B7">
        <w:t>CCFT</w:t>
      </w:r>
      <w:r w:rsidRPr="00BF42B7">
        <w:rPr>
          <w:rFonts w:hint="eastAsia"/>
        </w:rPr>
        <w:t>诉美国案中</w:t>
      </w:r>
      <w:r w:rsidRPr="00BF42B7">
        <w:t>，</w:t>
      </w:r>
      <w:bookmarkStart w:id="113" w:name="_Ref161906372"/>
      <w:r w:rsidRPr="00BF42B7">
        <w:rPr>
          <w:color w:val="0000FF"/>
          <w:vertAlign w:val="superscript"/>
        </w:rPr>
        <w:footnoteReference w:id="473"/>
      </w:r>
      <w:bookmarkEnd w:id="113"/>
      <w:r w:rsidRPr="00BF42B7">
        <w:rPr>
          <w:color w:val="0000FF"/>
          <w:vertAlign w:val="superscript"/>
        </w:rPr>
        <w:t xml:space="preserve"> </w:t>
      </w:r>
      <w:r w:rsidRPr="00BF42B7">
        <w:rPr>
          <w:rFonts w:hint="eastAsia"/>
        </w:rPr>
        <w:t>直截了当地作出了这一区分。在该案中，美利坚合众国声称，《北美自由贸易协定》的三个缔约国采取的一些单方面行动，如果联系起来看，可以构成嗣后协定。</w:t>
      </w:r>
      <w:r w:rsidRPr="00BF42B7">
        <w:rPr>
          <w:color w:val="0000FF"/>
          <w:vertAlign w:val="superscript"/>
        </w:rPr>
        <w:footnoteReference w:id="474"/>
      </w:r>
      <w:r w:rsidRPr="00BF42B7">
        <w:rPr>
          <w:color w:val="0000FF"/>
          <w:vertAlign w:val="superscript"/>
        </w:rPr>
        <w:t xml:space="preserve"> </w:t>
      </w:r>
      <w:r w:rsidRPr="00BF42B7">
        <w:rPr>
          <w:rFonts w:hint="eastAsia"/>
          <w:color w:val="0000FF"/>
          <w:vertAlign w:val="superscript"/>
        </w:rPr>
        <w:t xml:space="preserve"> </w:t>
      </w:r>
      <w:r w:rsidRPr="00BF42B7">
        <w:rPr>
          <w:rFonts w:hint="eastAsia"/>
        </w:rPr>
        <w:t>最初，专家组认为证据不足以确定第三十一条第三款</w:t>
      </w:r>
      <w:r w:rsidRPr="00BF42B7">
        <w:rPr>
          <w:rFonts w:hint="eastAsia"/>
        </w:rPr>
        <w:t>(a)</w:t>
      </w:r>
      <w:r w:rsidRPr="00BF42B7">
        <w:rPr>
          <w:rFonts w:hint="eastAsia"/>
        </w:rPr>
        <w:t>项之下的嗣后协定。</w:t>
      </w:r>
      <w:r w:rsidRPr="00BF42B7">
        <w:rPr>
          <w:color w:val="0000FF"/>
          <w:vertAlign w:val="superscript"/>
        </w:rPr>
        <w:footnoteReference w:id="475"/>
      </w:r>
      <w:r w:rsidRPr="00BF42B7">
        <w:rPr>
          <w:color w:val="0000FF"/>
          <w:vertAlign w:val="superscript"/>
        </w:rPr>
        <w:t xml:space="preserve"> </w:t>
      </w:r>
      <w:r w:rsidRPr="00BF42B7">
        <w:rPr>
          <w:rFonts w:hint="eastAsia"/>
        </w:rPr>
        <w:t>但进入第二阶段，法庭认为，同样这些证据构成了确定缔约方就解释达成一致的相关嗣后惯例：</w:t>
      </w:r>
    </w:p>
    <w:p w:rsidR="00B44972" w:rsidRPr="00BF42B7" w:rsidRDefault="00B44972" w:rsidP="00B44972">
      <w:pPr>
        <w:pStyle w:val="SingleTxtGC"/>
        <w:ind w:left="1554"/>
      </w:pPr>
      <w:r w:rsidRPr="00BF42B7">
        <w:rPr>
          <w:rFonts w:hint="eastAsia"/>
        </w:rPr>
        <w:t>“问题是：是否有一个“嗣后惯例”，确定《北美自由贸易协定》缔约国在这个问题上存在第三十一条第三款</w:t>
      </w:r>
      <w:r w:rsidRPr="00BF42B7">
        <w:rPr>
          <w:rFonts w:hint="eastAsia"/>
        </w:rPr>
        <w:t>(b)</w:t>
      </w:r>
      <w:r w:rsidRPr="00BF42B7">
        <w:rPr>
          <w:rFonts w:hint="eastAsia"/>
        </w:rPr>
        <w:t>项意义下的一致性？法庭认为这是肯定的。尽管法庭认为没有充分的记录在案的证据，表明存在‘缔约方之间关于条约解释或条约规定适用方面的嗣后协定’，但回答这个问题的国家所举出的现有证据向我们表明，在条约适用方面确实存在确定缔约方对条约适用的一致性的‘嗣后惯例’……”</w:t>
      </w:r>
      <w:r w:rsidRPr="00BF42B7">
        <w:rPr>
          <w:color w:val="0000FF"/>
          <w:vertAlign w:val="superscript"/>
        </w:rPr>
        <w:footnoteReference w:id="476"/>
      </w:r>
      <w:r w:rsidRPr="00BF42B7">
        <w:rPr>
          <w:color w:val="0000FF"/>
          <w:vertAlign w:val="superscript"/>
        </w:rPr>
        <w:t xml:space="preserve"> </w:t>
      </w:r>
    </w:p>
    <w:p w:rsidR="00B44972" w:rsidRPr="00BF42B7" w:rsidRDefault="00B44972" w:rsidP="00B44972">
      <w:pPr>
        <w:pStyle w:val="SingleTxtGC"/>
      </w:pPr>
      <w:r w:rsidRPr="00BF42B7">
        <w:t xml:space="preserve">(9)  </w:t>
      </w:r>
      <w:r w:rsidRPr="00BF42B7">
        <w:rPr>
          <w:rFonts w:hint="eastAsia"/>
        </w:rPr>
        <w:t>这一论证表明，第三十一条第三款之下的“嗣后协定”和“嗣后惯例”之间的一个区别，在于体现缔约方意愿的作准表述的不同形式。实际上，委员会在</w:t>
      </w:r>
      <w:r w:rsidRPr="00BF42B7">
        <w:rPr>
          <w:rFonts w:hint="eastAsia"/>
        </w:rPr>
        <w:t>1969</w:t>
      </w:r>
      <w:r w:rsidRPr="00BF42B7">
        <w:rPr>
          <w:rFonts w:hint="eastAsia"/>
        </w:rPr>
        <w:t>年《维也纳公约》第三十一条第三款</w:t>
      </w:r>
      <w:r w:rsidRPr="00BF42B7">
        <w:rPr>
          <w:rFonts w:hint="eastAsia"/>
        </w:rPr>
        <w:t>(a)</w:t>
      </w:r>
      <w:r w:rsidRPr="00BF42B7">
        <w:rPr>
          <w:rFonts w:hint="eastAsia"/>
        </w:rPr>
        <w:t>项下的“任何嗣后协定”，与第三十一条第三款</w:t>
      </w:r>
      <w:r w:rsidRPr="00BF42B7">
        <w:rPr>
          <w:rFonts w:hint="eastAsia"/>
        </w:rPr>
        <w:t>(b)</w:t>
      </w:r>
      <w:r w:rsidRPr="00BF42B7">
        <w:rPr>
          <w:rFonts w:hint="eastAsia"/>
        </w:rPr>
        <w:t>项下“确定缔约方……一致的嗣后惯例”之间作出区分，并不是想表示两者可能存在的法律效果上的区别。</w:t>
      </w:r>
      <w:r w:rsidRPr="00BF42B7">
        <w:rPr>
          <w:color w:val="0000FF"/>
          <w:vertAlign w:val="superscript"/>
        </w:rPr>
        <w:footnoteReference w:id="477"/>
      </w:r>
      <w:r w:rsidRPr="00BF42B7">
        <w:rPr>
          <w:color w:val="0000FF"/>
          <w:vertAlign w:val="superscript"/>
        </w:rPr>
        <w:t xml:space="preserve"> </w:t>
      </w:r>
      <w:r w:rsidRPr="00BF42B7">
        <w:rPr>
          <w:rFonts w:hint="eastAsia"/>
        </w:rPr>
        <w:t>这两个概念的区别在于“缔约方之间的嗣后协定”自动具有作准的解释资料的作用，而“嗣后惯例”只是在其不同内容联系在一起能够表明“缔约方对术语的意义持有共同理解”时，方才具有这种效果。</w:t>
      </w:r>
      <w:bookmarkStart w:id="114" w:name="_Ref346696908"/>
      <w:r w:rsidRPr="00BF42B7">
        <w:rPr>
          <w:color w:val="0000FF"/>
          <w:vertAlign w:val="superscript"/>
        </w:rPr>
        <w:footnoteReference w:id="478"/>
      </w:r>
      <w:bookmarkEnd w:id="114"/>
      <w:r w:rsidRPr="00BF42B7">
        <w:rPr>
          <w:color w:val="0000FF"/>
          <w:vertAlign w:val="superscript"/>
        </w:rPr>
        <w:t xml:space="preserve"> </w:t>
      </w:r>
    </w:p>
    <w:p w:rsidR="00B44972" w:rsidRPr="00BF42B7" w:rsidRDefault="00B44972" w:rsidP="00B44972">
      <w:pPr>
        <w:pStyle w:val="SingleTxtGC"/>
      </w:pPr>
      <w:r w:rsidRPr="00BF42B7">
        <w:t xml:space="preserve">(10) </w:t>
      </w:r>
      <w:r w:rsidRPr="00BF42B7">
        <w:rPr>
          <w:rFonts w:hint="eastAsia"/>
        </w:rPr>
        <w:t xml:space="preserve"> </w:t>
      </w:r>
      <w:r w:rsidRPr="00BF42B7">
        <w:rPr>
          <w:rFonts w:hint="eastAsia"/>
        </w:rPr>
        <w:t>因此，区分第三十一条第三款之下的嗣后协定与嗣后惯例的依据是，是可以找到缔约方之间在一个共同的行动中达成的一项名副其实的协定，还是必须通过若干单独的行动，综合这些行动可以表明一个共同的立场，由此确定缔约方的一致。因此，第三十一条第三款</w:t>
      </w:r>
      <w:r w:rsidRPr="00BF42B7">
        <w:rPr>
          <w:rFonts w:hint="eastAsia"/>
        </w:rPr>
        <w:t>(a)</w:t>
      </w:r>
      <w:r w:rsidRPr="00BF42B7">
        <w:rPr>
          <w:rFonts w:hint="eastAsia"/>
        </w:rPr>
        <w:t>项下的“嗣后协定”必须是由缔约方在一次共同的行动“达成”的、表明他们对条约解释或条约规定适用的共同理解。</w:t>
      </w:r>
    </w:p>
    <w:p w:rsidR="00B44972" w:rsidRPr="00BF42B7" w:rsidRDefault="00B44972" w:rsidP="00B44972">
      <w:pPr>
        <w:pStyle w:val="SingleTxtGC"/>
      </w:pPr>
      <w:r w:rsidRPr="00BF42B7">
        <w:t xml:space="preserve">(11) </w:t>
      </w:r>
      <w:r w:rsidRPr="00BF42B7">
        <w:rPr>
          <w:rFonts w:hint="eastAsia"/>
        </w:rPr>
        <w:t xml:space="preserve"> </w:t>
      </w:r>
      <w:r w:rsidRPr="00BF42B7">
        <w:rPr>
          <w:rFonts w:hint="eastAsia"/>
        </w:rPr>
        <w:t>而第三十一条第三款</w:t>
      </w:r>
      <w:r w:rsidRPr="00BF42B7">
        <w:rPr>
          <w:rFonts w:hint="eastAsia"/>
        </w:rPr>
        <w:t>(b)</w:t>
      </w:r>
      <w:r w:rsidRPr="00BF42B7">
        <w:rPr>
          <w:rFonts w:hint="eastAsia"/>
        </w:rPr>
        <w:t>项下的“嗣后惯例”则囊括了条约缔约方所有</w:t>
      </w:r>
      <w:r w:rsidRPr="00BF42B7">
        <w:rPr>
          <w:rFonts w:hint="eastAsia"/>
        </w:rPr>
        <w:t>(</w:t>
      </w:r>
      <w:r w:rsidRPr="00BF42B7">
        <w:rPr>
          <w:rFonts w:hint="eastAsia"/>
        </w:rPr>
        <w:t>其他</w:t>
      </w:r>
      <w:r w:rsidRPr="00BF42B7">
        <w:rPr>
          <w:rFonts w:hint="eastAsia"/>
        </w:rPr>
        <w:t>)</w:t>
      </w:r>
      <w:r w:rsidRPr="00BF42B7">
        <w:rPr>
          <w:rFonts w:hint="eastAsia"/>
        </w:rPr>
        <w:t>形式的相关嗣后行为，这些行为可帮助确定缔约国在条约解释方面的一致性或“谅解”。</w:t>
      </w:r>
      <w:r w:rsidRPr="00BF42B7">
        <w:rPr>
          <w:color w:val="0000FF"/>
          <w:vertAlign w:val="superscript"/>
        </w:rPr>
        <w:footnoteReference w:id="479"/>
      </w:r>
      <w:r w:rsidRPr="00BF42B7">
        <w:rPr>
          <w:color w:val="0000FF"/>
          <w:vertAlign w:val="superscript"/>
        </w:rPr>
        <w:t xml:space="preserve"> </w:t>
      </w:r>
      <w:r w:rsidRPr="00BF42B7">
        <w:rPr>
          <w:rFonts w:hint="eastAsia"/>
        </w:rPr>
        <w:t>然而，在特定情况下“惯例”和“协定”可能是一回事，无法区分。这就解释了为什么“嗣后惯例”一词有时在一般意义上使用，同时包含第三十一条第三款</w:t>
      </w:r>
      <w:r w:rsidRPr="00BF42B7">
        <w:rPr>
          <w:rFonts w:hint="eastAsia"/>
        </w:rPr>
        <w:t>(a)</w:t>
      </w:r>
      <w:r w:rsidRPr="00BF42B7">
        <w:rPr>
          <w:rFonts w:hint="eastAsia"/>
        </w:rPr>
        <w:t>和</w:t>
      </w:r>
      <w:r w:rsidRPr="00BF42B7">
        <w:rPr>
          <w:rFonts w:hint="eastAsia"/>
        </w:rPr>
        <w:t>(b)</w:t>
      </w:r>
      <w:r w:rsidRPr="00BF42B7">
        <w:rPr>
          <w:rFonts w:hint="eastAsia"/>
        </w:rPr>
        <w:t>项所指的解释资料。</w:t>
      </w:r>
      <w:r w:rsidRPr="00BF42B7">
        <w:rPr>
          <w:color w:val="0000FF"/>
          <w:vertAlign w:val="superscript"/>
        </w:rPr>
        <w:footnoteReference w:id="480"/>
      </w:r>
      <w:r w:rsidRPr="00BF42B7">
        <w:rPr>
          <w:color w:val="0000FF"/>
          <w:vertAlign w:val="superscript"/>
        </w:rPr>
        <w:t xml:space="preserve"> </w:t>
      </w:r>
    </w:p>
    <w:p w:rsidR="00B44972" w:rsidRPr="00BF42B7" w:rsidRDefault="00B44972" w:rsidP="00B44972">
      <w:pPr>
        <w:pStyle w:val="SingleTxtGC"/>
      </w:pPr>
      <w:r w:rsidRPr="00BF42B7">
        <w:t xml:space="preserve">(12) </w:t>
      </w:r>
      <w:r w:rsidRPr="00BF42B7">
        <w:rPr>
          <w:rFonts w:hint="eastAsia"/>
        </w:rPr>
        <w:t xml:space="preserve"> </w:t>
      </w:r>
      <w:r w:rsidRPr="00BF42B7">
        <w:rPr>
          <w:rFonts w:hint="eastAsia"/>
        </w:rPr>
        <w:t>一系列单独的嗣后协定，每项均在部分缔约方之间缔结，但把这些协定放在一起，便可确定条约所有缔约方对于条约解释的一致意见，这种情况通常不属于第三十一条第三款</w:t>
      </w:r>
      <w:r w:rsidRPr="00BF42B7">
        <w:rPr>
          <w:rFonts w:hint="eastAsia"/>
        </w:rPr>
        <w:t>(a)</w:t>
      </w:r>
      <w:r w:rsidRPr="00BF42B7">
        <w:rPr>
          <w:rFonts w:hint="eastAsia"/>
        </w:rPr>
        <w:t>项下的“一项”嗣后协定。第三十一条第三款</w:t>
      </w:r>
      <w:r w:rsidRPr="00BF42B7">
        <w:rPr>
          <w:rFonts w:hint="eastAsia"/>
        </w:rPr>
        <w:t>(a)</w:t>
      </w:r>
      <w:r w:rsidRPr="00BF42B7">
        <w:rPr>
          <w:rFonts w:hint="eastAsia"/>
        </w:rPr>
        <w:t>项下</w:t>
      </w:r>
      <w:r w:rsidRPr="00BF42B7">
        <w:rPr>
          <w:rFonts w:hint="eastAsia"/>
        </w:rPr>
        <w:t xml:space="preserve"> </w:t>
      </w:r>
      <w:r w:rsidRPr="00BF42B7">
        <w:rPr>
          <w:rFonts w:hint="eastAsia"/>
        </w:rPr>
        <w:t>“嗣后协定”的意思，为清楚起见，应仅限于所有缔约方之间一项单一的协定。少数缔约方之间嗣后签订的不同协定，若综合起来可确定所有缔约方对于条约解释的一致意见，则构成第三十一条第三款</w:t>
      </w:r>
      <w:r w:rsidRPr="00BF42B7">
        <w:rPr>
          <w:rFonts w:hint="eastAsia"/>
        </w:rPr>
        <w:t>(b)</w:t>
      </w:r>
      <w:r w:rsidRPr="00BF42B7">
        <w:rPr>
          <w:rFonts w:hint="eastAsia"/>
        </w:rPr>
        <w:t>项下的嗣后惯例。少数缔约方之间嗣后签订的不同协定，即使综合起来也不能确定所有缔约方对于条约解释的一致意见，则可以作为第三十二条之下的补充解释资料，具有解释上的价值</w:t>
      </w:r>
      <w:r w:rsidRPr="00BF42B7">
        <w:rPr>
          <w:rFonts w:hint="eastAsia"/>
        </w:rPr>
        <w:t>(</w:t>
      </w:r>
      <w:r w:rsidRPr="00BF42B7">
        <w:rPr>
          <w:rFonts w:hint="eastAsia"/>
        </w:rPr>
        <w:t>见下文第</w:t>
      </w:r>
      <w:r w:rsidRPr="00BF42B7">
        <w:rPr>
          <w:rFonts w:hint="eastAsia"/>
        </w:rPr>
        <w:t>(23)</w:t>
      </w:r>
      <w:r w:rsidRPr="00BF42B7">
        <w:rPr>
          <w:rFonts w:hint="eastAsia"/>
        </w:rPr>
        <w:t>段和</w:t>
      </w:r>
      <w:r w:rsidRPr="00BF42B7">
        <w:rPr>
          <w:rFonts w:hint="eastAsia"/>
        </w:rPr>
        <w:t>(24)</w:t>
      </w:r>
      <w:r w:rsidRPr="00BF42B7">
        <w:rPr>
          <w:rFonts w:hint="eastAsia"/>
        </w:rPr>
        <w:t>段</w:t>
      </w:r>
      <w:r w:rsidRPr="00BF42B7">
        <w:rPr>
          <w:rFonts w:hint="eastAsia"/>
        </w:rPr>
        <w:t>)</w:t>
      </w:r>
      <w:r w:rsidRPr="00BF42B7">
        <w:rPr>
          <w:rFonts w:hint="eastAsia"/>
        </w:rPr>
        <w:t>。因此，“嗣后协定”一词的使用，限于条约所有缔约方之间的协定，表现为一项单一的协定，或是一个共同的行动，无论形式如何，但反映所有缔约方的一致。</w:t>
      </w:r>
      <w:bookmarkStart w:id="115" w:name="_Ref235607748"/>
      <w:r w:rsidRPr="00BF42B7">
        <w:rPr>
          <w:color w:val="0000FF"/>
          <w:vertAlign w:val="superscript"/>
        </w:rPr>
        <w:footnoteReference w:id="481"/>
      </w:r>
      <w:bookmarkEnd w:id="115"/>
      <w:r w:rsidRPr="00BF42B7">
        <w:rPr>
          <w:color w:val="0000FF"/>
          <w:vertAlign w:val="superscript"/>
        </w:rPr>
        <w:t xml:space="preserve"> </w:t>
      </w:r>
    </w:p>
    <w:p w:rsidR="00B44972" w:rsidRPr="00BF42B7" w:rsidRDefault="00B44972" w:rsidP="00B44972">
      <w:pPr>
        <w:pStyle w:val="SingleTxtGC"/>
        <w:rPr>
          <w:color w:val="0000FF"/>
          <w:vertAlign w:val="superscript"/>
        </w:rPr>
      </w:pPr>
      <w:r w:rsidRPr="00BF42B7">
        <w:t xml:space="preserve">(13) </w:t>
      </w:r>
      <w:r w:rsidRPr="00BF42B7">
        <w:rPr>
          <w:rFonts w:hint="eastAsia"/>
        </w:rPr>
        <w:t xml:space="preserve"> </w:t>
      </w:r>
      <w:r w:rsidRPr="00BF42B7">
        <w:rPr>
          <w:rFonts w:hint="eastAsia"/>
        </w:rPr>
        <w:t>第三十一条第三款</w:t>
      </w:r>
      <w:r w:rsidRPr="00BF42B7">
        <w:rPr>
          <w:rFonts w:hint="eastAsia"/>
        </w:rPr>
        <w:t>(a)</w:t>
      </w:r>
      <w:r w:rsidRPr="00BF42B7">
        <w:rPr>
          <w:rFonts w:hint="eastAsia"/>
        </w:rPr>
        <w:t>项下的嗣后协定，必须是“关于”条约解释或适用条约规定的协定。因此，缔约方必须除其他可能的目的外，力求澄清一项条约的含义，或应如何适用。</w:t>
      </w:r>
      <w:bookmarkStart w:id="116" w:name="_Ref321221273"/>
      <w:r w:rsidRPr="00BF42B7">
        <w:rPr>
          <w:color w:val="0000FF"/>
          <w:vertAlign w:val="superscript"/>
        </w:rPr>
        <w:footnoteReference w:id="482"/>
      </w:r>
      <w:bookmarkEnd w:id="116"/>
      <w:r w:rsidRPr="00BF42B7">
        <w:rPr>
          <w:color w:val="0000FF"/>
          <w:vertAlign w:val="superscript"/>
        </w:rPr>
        <w:t xml:space="preserve"> </w:t>
      </w:r>
    </w:p>
    <w:p w:rsidR="00B44972" w:rsidRPr="00BF42B7" w:rsidRDefault="00B44972" w:rsidP="00B44972">
      <w:pPr>
        <w:pStyle w:val="SingleTxtGC"/>
      </w:pPr>
      <w:r w:rsidRPr="00BF42B7">
        <w:t xml:space="preserve">(14) </w:t>
      </w:r>
      <w:r w:rsidRPr="00BF42B7">
        <w:rPr>
          <w:rFonts w:hint="eastAsia"/>
        </w:rPr>
        <w:t xml:space="preserve"> </w:t>
      </w:r>
      <w:r w:rsidRPr="00BF42B7">
        <w:rPr>
          <w:rFonts w:hint="eastAsia"/>
        </w:rPr>
        <w:t>一项协定是不是“关于”条约解释或适用的协定，有时可以通过其中使用的一些将“嗣后协定”与相关条约联系起来的语句来确定。这类语句也可见于之后的条约。例如，在丹麦与挪威的</w:t>
      </w:r>
      <w:r w:rsidRPr="00BF42B7">
        <w:t>Jan Mayen</w:t>
      </w:r>
      <w:r w:rsidRPr="00BF42B7">
        <w:rPr>
          <w:rFonts w:hint="eastAsia"/>
        </w:rPr>
        <w:t>案中，国际法院似乎已认可当事国之间“在同一领域”的一项“嗣后条约”可用于解释前一项条约的目的。但在该案中，法院最终还是拒绝使用嗣后条约用于该目的，因为嗣后条约丝毫没有“提到”之前的那项条约。</w:t>
      </w:r>
      <w:r w:rsidRPr="00BF42B7">
        <w:rPr>
          <w:color w:val="0000FF"/>
          <w:vertAlign w:val="superscript"/>
        </w:rPr>
        <w:footnoteReference w:id="483"/>
      </w:r>
      <w:r w:rsidRPr="00BF42B7">
        <w:rPr>
          <w:color w:val="0000FF"/>
          <w:vertAlign w:val="superscript"/>
        </w:rPr>
        <w:t xml:space="preserve"> </w:t>
      </w:r>
      <w:r w:rsidRPr="00BF42B7">
        <w:rPr>
          <w:rFonts w:hint="eastAsia"/>
        </w:rPr>
        <w:t>在哥斯达黎加与尼加拉瓜关于航行和相关权利的争端案中，</w:t>
      </w:r>
      <w:r w:rsidRPr="00BF42B7">
        <w:t>Guillaume</w:t>
      </w:r>
      <w:r w:rsidRPr="00BF42B7">
        <w:rPr>
          <w:rFonts w:hint="eastAsia"/>
        </w:rPr>
        <w:t>专案法官提到了根据两国的一项谅解备忘录在</w:t>
      </w:r>
      <w:r w:rsidRPr="00BF42B7">
        <w:t>San Juan</w:t>
      </w:r>
      <w:r w:rsidRPr="00BF42B7">
        <w:rPr>
          <w:rFonts w:hint="eastAsia"/>
        </w:rPr>
        <w:t>河开展旅游业的实际做法。</w:t>
      </w:r>
      <w:r w:rsidRPr="00BF42B7">
        <w:rPr>
          <w:color w:val="0000FF"/>
          <w:vertAlign w:val="superscript"/>
        </w:rPr>
        <w:footnoteReference w:id="484"/>
      </w:r>
      <w:r w:rsidRPr="00BF42B7">
        <w:rPr>
          <w:color w:val="0000FF"/>
          <w:vertAlign w:val="superscript"/>
        </w:rPr>
        <w:t xml:space="preserve"> </w:t>
      </w:r>
      <w:r w:rsidRPr="00BF42B7">
        <w:rPr>
          <w:rFonts w:hint="eastAsia"/>
        </w:rPr>
        <w:t>然而并不清楚两国是否准备将这份备忘录用于解释所审议的边界条约。</w:t>
      </w:r>
    </w:p>
    <w:p w:rsidR="00B44972" w:rsidRPr="00BF42B7" w:rsidRDefault="00B44972" w:rsidP="00B44972">
      <w:pPr>
        <w:pStyle w:val="SingleTxtGC"/>
      </w:pPr>
      <w:r w:rsidRPr="00BF42B7">
        <w:rPr>
          <w:rFonts w:hint="eastAsia"/>
        </w:rPr>
        <w:t xml:space="preserve">(15)  </w:t>
      </w:r>
      <w:r w:rsidRPr="00BF42B7">
        <w:rPr>
          <w:rFonts w:hint="eastAsia"/>
        </w:rPr>
        <w:t>在吴嘉玲等人诉入境事务处处长案</w:t>
      </w:r>
      <w:r w:rsidRPr="00BF42B7">
        <w:rPr>
          <w:color w:val="0000FF"/>
          <w:vertAlign w:val="superscript"/>
        </w:rPr>
        <w:footnoteReference w:id="485"/>
      </w:r>
      <w:r w:rsidRPr="00BF42B7">
        <w:rPr>
          <w:color w:val="0000FF"/>
          <w:vertAlign w:val="superscript"/>
        </w:rPr>
        <w:t xml:space="preserve"> </w:t>
      </w:r>
      <w:r w:rsidRPr="00BF42B7">
        <w:rPr>
          <w:rFonts w:hint="eastAsia"/>
        </w:rPr>
        <w:t>中，中国香港终审法院在解释《中英联合声明》时采用了较为严格的做法。当事一方主张，《联合声明》第五条下的中英联合联络小组</w:t>
      </w:r>
      <w:r w:rsidRPr="00BF42B7">
        <w:rPr>
          <w:rFonts w:hint="eastAsia"/>
          <w:spacing w:val="-50"/>
          <w:lang w:val="fr-CH"/>
        </w:rPr>
        <w:t>―</w:t>
      </w:r>
      <w:r w:rsidRPr="00BF42B7">
        <w:rPr>
          <w:rFonts w:hint="eastAsia"/>
          <w:lang w:val="fr-CH"/>
        </w:rPr>
        <w:t>―</w:t>
      </w:r>
      <w:r w:rsidRPr="00BF42B7">
        <w:rPr>
          <w:rFonts w:hint="eastAsia"/>
        </w:rPr>
        <w:t>由中国和联合王国的代表组成</w:t>
      </w:r>
      <w:r w:rsidRPr="00BF42B7">
        <w:rPr>
          <w:rFonts w:hint="eastAsia"/>
          <w:spacing w:val="-50"/>
          <w:lang w:val="fr-CH"/>
        </w:rPr>
        <w:t>―</w:t>
      </w:r>
      <w:r w:rsidRPr="00BF42B7">
        <w:rPr>
          <w:rFonts w:hint="eastAsia"/>
          <w:lang w:val="fr-CH"/>
        </w:rPr>
        <w:t>―</w:t>
      </w:r>
      <w:r w:rsidRPr="00BF42B7">
        <w:rPr>
          <w:rFonts w:hint="eastAsia"/>
        </w:rPr>
        <w:t>就《联合声明》的解释达成了一致。该当事方提到的依据是一本声称“基于现行移民条例和实践以及</w:t>
      </w:r>
      <w:r w:rsidRPr="00BF42B7">
        <w:rPr>
          <w:rFonts w:hint="eastAsia"/>
        </w:rPr>
        <w:t>[</w:t>
      </w:r>
      <w:r w:rsidRPr="00BF42B7">
        <w:rPr>
          <w:rFonts w:hint="eastAsia"/>
        </w:rPr>
        <w:t>联合联络小组</w:t>
      </w:r>
      <w:r w:rsidRPr="00BF42B7">
        <w:rPr>
          <w:rFonts w:hint="eastAsia"/>
        </w:rPr>
        <w:t>]</w:t>
      </w:r>
      <w:r w:rsidRPr="00BF42B7">
        <w:rPr>
          <w:rFonts w:hint="eastAsia"/>
        </w:rPr>
        <w:t>中英双方的共同意见”编写的小册子。但法院不认为小册子的目的是第三十一条第三款</w:t>
      </w:r>
      <w:r w:rsidRPr="00BF42B7">
        <w:rPr>
          <w:rFonts w:hint="eastAsia"/>
        </w:rPr>
        <w:t>(a)</w:t>
      </w:r>
      <w:r w:rsidRPr="00BF42B7">
        <w:rPr>
          <w:rFonts w:hint="eastAsia"/>
        </w:rPr>
        <w:t>项意义下的“解释或适用”《联合声明》。</w:t>
      </w:r>
      <w:r w:rsidRPr="00BF42B7">
        <w:rPr>
          <w:color w:val="0000FF"/>
          <w:vertAlign w:val="superscript"/>
        </w:rPr>
        <w:footnoteReference w:id="486"/>
      </w:r>
      <w:r w:rsidRPr="00BF42B7">
        <w:rPr>
          <w:color w:val="0000FF"/>
          <w:vertAlign w:val="superscript"/>
        </w:rPr>
        <w:t xml:space="preserve"> </w:t>
      </w:r>
    </w:p>
    <w:p w:rsidR="00B44972" w:rsidRPr="00BF42B7" w:rsidRDefault="00B44972" w:rsidP="00B44972">
      <w:pPr>
        <w:pStyle w:val="H4GC"/>
        <w:rPr>
          <w:rFonts w:eastAsia="楷体"/>
        </w:rPr>
      </w:pPr>
      <w:r w:rsidRPr="00BF42B7">
        <w:rPr>
          <w:rFonts w:eastAsia="楷体" w:hint="eastAsia"/>
        </w:rPr>
        <w:tab/>
      </w:r>
      <w:r w:rsidRPr="00BF42B7">
        <w:rPr>
          <w:rFonts w:eastAsia="楷体" w:hint="eastAsia"/>
        </w:rPr>
        <w:tab/>
      </w:r>
      <w:r w:rsidRPr="00BF42B7">
        <w:rPr>
          <w:rFonts w:eastAsia="楷体" w:hint="eastAsia"/>
        </w:rPr>
        <w:t>第</w:t>
      </w:r>
      <w:r w:rsidRPr="00BF42B7">
        <w:rPr>
          <w:rFonts w:eastAsia="楷体" w:hint="eastAsia"/>
        </w:rPr>
        <w:t>2</w:t>
      </w:r>
      <w:r w:rsidRPr="00BF42B7">
        <w:rPr>
          <w:rFonts w:eastAsia="楷体" w:hint="eastAsia"/>
        </w:rPr>
        <w:t>段</w:t>
      </w:r>
      <w:r w:rsidRPr="00BF42B7">
        <w:rPr>
          <w:rFonts w:eastAsia="楷体" w:hint="eastAsia"/>
          <w:spacing w:val="-50"/>
          <w:lang w:val="fr-CH"/>
        </w:rPr>
        <w:t>―</w:t>
      </w:r>
      <w:r w:rsidRPr="00BF42B7">
        <w:rPr>
          <w:rFonts w:eastAsia="楷体" w:hint="eastAsia"/>
          <w:lang w:val="fr-CH"/>
        </w:rPr>
        <w:t>―</w:t>
      </w:r>
      <w:r w:rsidRPr="00BF42B7">
        <w:rPr>
          <w:rFonts w:eastAsia="楷体" w:hint="eastAsia"/>
        </w:rPr>
        <w:t>对第三十一条第三款</w:t>
      </w:r>
      <w:r w:rsidRPr="00BF42B7">
        <w:rPr>
          <w:rFonts w:eastAsia="楷体" w:hint="eastAsia"/>
        </w:rPr>
        <w:t>(b)</w:t>
      </w:r>
      <w:r w:rsidRPr="00BF42B7">
        <w:rPr>
          <w:rFonts w:eastAsia="楷体" w:hint="eastAsia"/>
        </w:rPr>
        <w:t>项下“嗣后惯例”的定义</w:t>
      </w:r>
    </w:p>
    <w:p w:rsidR="00B44972" w:rsidRPr="00BF42B7" w:rsidRDefault="00B44972" w:rsidP="00B44972">
      <w:pPr>
        <w:pStyle w:val="SingleTxtGC"/>
      </w:pPr>
      <w:r w:rsidRPr="00BF42B7">
        <w:t>(1</w:t>
      </w:r>
      <w:r w:rsidRPr="00BF42B7">
        <w:rPr>
          <w:rFonts w:hint="eastAsia"/>
        </w:rPr>
        <w:t>6</w:t>
      </w:r>
      <w:r w:rsidRPr="00BF42B7">
        <w:t xml:space="preserve">) </w:t>
      </w:r>
      <w:r w:rsidRPr="00BF42B7">
        <w:rPr>
          <w:rFonts w:hint="eastAsia"/>
        </w:rPr>
        <w:t xml:space="preserve"> </w:t>
      </w:r>
      <w:r w:rsidRPr="00BF42B7">
        <w:rPr>
          <w:rFonts w:hint="eastAsia"/>
        </w:rPr>
        <w:t>结论草案</w:t>
      </w:r>
      <w:r w:rsidRPr="00BF42B7">
        <w:rPr>
          <w:rFonts w:hint="eastAsia"/>
        </w:rPr>
        <w:t>4</w:t>
      </w:r>
      <w:r w:rsidRPr="00BF42B7">
        <w:rPr>
          <w:rFonts w:hint="eastAsia"/>
        </w:rPr>
        <w:t>第</w:t>
      </w:r>
      <w:r w:rsidRPr="00BF42B7">
        <w:rPr>
          <w:rFonts w:hint="eastAsia"/>
        </w:rPr>
        <w:t>2</w:t>
      </w:r>
      <w:r w:rsidRPr="00BF42B7">
        <w:rPr>
          <w:rFonts w:hint="eastAsia"/>
        </w:rPr>
        <w:t>段并不是要对可能用于条约解释目的的任何形式的嗣后惯例作出一般性定义。第</w:t>
      </w:r>
      <w:r w:rsidRPr="00BF42B7">
        <w:rPr>
          <w:rFonts w:hint="eastAsia"/>
        </w:rPr>
        <w:t>2</w:t>
      </w:r>
      <w:r w:rsidRPr="00BF42B7">
        <w:rPr>
          <w:rFonts w:hint="eastAsia"/>
        </w:rPr>
        <w:t>段只涉及作为作准解释资料的嗣后惯例，即第三十一条第三款</w:t>
      </w:r>
      <w:r w:rsidRPr="00BF42B7">
        <w:rPr>
          <w:rFonts w:hint="eastAsia"/>
        </w:rPr>
        <w:t>(b)</w:t>
      </w:r>
      <w:r w:rsidRPr="00BF42B7">
        <w:rPr>
          <w:rFonts w:hint="eastAsia"/>
        </w:rPr>
        <w:t>项所述、确定各缔约方对条约解释一致性的嗣后惯例。</w:t>
      </w:r>
      <w:r w:rsidRPr="00BF42B7">
        <w:rPr>
          <w:rFonts w:hint="eastAsia"/>
        </w:rPr>
        <w:t>(</w:t>
      </w:r>
      <w:r w:rsidRPr="00BF42B7">
        <w:rPr>
          <w:rFonts w:hint="eastAsia"/>
        </w:rPr>
        <w:t>狭义上的</w:t>
      </w:r>
      <w:r w:rsidRPr="00BF42B7">
        <w:rPr>
          <w:rFonts w:hint="eastAsia"/>
        </w:rPr>
        <w:t>)</w:t>
      </w:r>
      <w:r w:rsidRPr="00BF42B7">
        <w:rPr>
          <w:rFonts w:hint="eastAsia"/>
        </w:rPr>
        <w:t>这种嗣后惯例有别于</w:t>
      </w:r>
      <w:r w:rsidRPr="00BF42B7">
        <w:rPr>
          <w:rFonts w:hint="eastAsia"/>
        </w:rPr>
        <w:t>(</w:t>
      </w:r>
      <w:r w:rsidRPr="00BF42B7">
        <w:rPr>
          <w:rFonts w:hint="eastAsia"/>
        </w:rPr>
        <w:t>广义上的</w:t>
      </w:r>
      <w:r w:rsidRPr="00BF42B7">
        <w:rPr>
          <w:rFonts w:hint="eastAsia"/>
        </w:rPr>
        <w:t>)</w:t>
      </w:r>
      <w:r w:rsidRPr="00BF42B7">
        <w:rPr>
          <w:rFonts w:hint="eastAsia"/>
        </w:rPr>
        <w:t>一个或多个缔约方的其他“嗣后惯例”，后者并未确立缔约方的一致意见，但根据</w:t>
      </w:r>
      <w:r w:rsidRPr="00BF42B7">
        <w:rPr>
          <w:rFonts w:hint="eastAsia"/>
        </w:rPr>
        <w:t>1969</w:t>
      </w:r>
      <w:r w:rsidRPr="00BF42B7">
        <w:rPr>
          <w:rFonts w:hint="eastAsia"/>
        </w:rPr>
        <w:t>年《维也纳公约》第三十二条，可以作为解释的辅助手段。</w:t>
      </w:r>
      <w:r w:rsidRPr="00BF42B7">
        <w:rPr>
          <w:color w:val="0000FF"/>
          <w:vertAlign w:val="superscript"/>
        </w:rPr>
        <w:footnoteReference w:id="487"/>
      </w:r>
      <w:r w:rsidRPr="00BF42B7">
        <w:rPr>
          <w:color w:val="0000FF"/>
          <w:vertAlign w:val="superscript"/>
        </w:rPr>
        <w:t xml:space="preserve"> </w:t>
      </w:r>
    </w:p>
    <w:p w:rsidR="00B44972" w:rsidRPr="00BF42B7" w:rsidRDefault="00B44972" w:rsidP="00B44972">
      <w:pPr>
        <w:pStyle w:val="SingleTxtGC"/>
      </w:pPr>
      <w:r w:rsidRPr="00BF42B7">
        <w:t>(1</w:t>
      </w:r>
      <w:r w:rsidRPr="00BF42B7">
        <w:rPr>
          <w:rFonts w:hint="eastAsia"/>
        </w:rPr>
        <w:t>7</w:t>
      </w:r>
      <w:r w:rsidRPr="00BF42B7">
        <w:t xml:space="preserve">) </w:t>
      </w:r>
      <w:r w:rsidRPr="00BF42B7">
        <w:rPr>
          <w:rFonts w:hint="eastAsia"/>
        </w:rPr>
        <w:t xml:space="preserve"> </w:t>
      </w:r>
      <w:r w:rsidRPr="00BF42B7">
        <w:rPr>
          <w:rFonts w:hint="eastAsia"/>
        </w:rPr>
        <w:t>第三十一条第三款</w:t>
      </w:r>
      <w:r w:rsidRPr="00BF42B7">
        <w:rPr>
          <w:rFonts w:hint="eastAsia"/>
        </w:rPr>
        <w:t>(b)</w:t>
      </w:r>
      <w:r w:rsidRPr="00BF42B7">
        <w:rPr>
          <w:rFonts w:hint="eastAsia"/>
        </w:rPr>
        <w:t>项下的嗣后惯例可以包括任何“行为”。使用的“行为”一词，与委员会关于国家对国际不法行为的责任条款第二条同义。</w:t>
      </w:r>
      <w:r w:rsidRPr="00BF42B7">
        <w:rPr>
          <w:color w:val="0000FF"/>
          <w:vertAlign w:val="superscript"/>
        </w:rPr>
        <w:footnoteReference w:id="488"/>
      </w:r>
      <w:r w:rsidRPr="00BF42B7">
        <w:rPr>
          <w:color w:val="0000FF"/>
          <w:vertAlign w:val="superscript"/>
        </w:rPr>
        <w:t xml:space="preserve"> </w:t>
      </w:r>
      <w:r w:rsidRPr="00BF42B7">
        <w:rPr>
          <w:rFonts w:hint="eastAsia"/>
        </w:rPr>
        <w:t>因此，它不仅可以包括有助于确定一致意见的行为，也包括不作为，包括相关沉默。</w:t>
      </w:r>
      <w:bookmarkStart w:id="117" w:name="_Ref461976005"/>
      <w:r w:rsidRPr="00BF42B7">
        <w:rPr>
          <w:color w:val="0000FF"/>
          <w:vertAlign w:val="superscript"/>
        </w:rPr>
        <w:footnoteReference w:id="489"/>
      </w:r>
      <w:bookmarkEnd w:id="117"/>
      <w:r w:rsidRPr="00BF42B7">
        <w:rPr>
          <w:color w:val="0000FF"/>
          <w:vertAlign w:val="superscript"/>
        </w:rPr>
        <w:t xml:space="preserve"> </w:t>
      </w:r>
      <w:r w:rsidRPr="00BF42B7">
        <w:rPr>
          <w:rFonts w:hint="eastAsia"/>
        </w:rPr>
        <w:t>至于在什么情况下不作为或沉默可能促成所有缔约方就条约的解释达成一致，结论草案</w:t>
      </w:r>
      <w:r w:rsidRPr="00BF42B7">
        <w:rPr>
          <w:rFonts w:hint="eastAsia"/>
        </w:rPr>
        <w:t>10[9]</w:t>
      </w:r>
      <w:r w:rsidRPr="00BF42B7">
        <w:rPr>
          <w:rFonts w:hint="eastAsia"/>
        </w:rPr>
        <w:t>第</w:t>
      </w:r>
      <w:r w:rsidRPr="00BF42B7">
        <w:rPr>
          <w:rFonts w:hint="eastAsia"/>
        </w:rPr>
        <w:t>2</w:t>
      </w:r>
      <w:r w:rsidRPr="00BF42B7">
        <w:rPr>
          <w:rFonts w:hint="eastAsia"/>
        </w:rPr>
        <w:t>段作出了说明。</w:t>
      </w:r>
    </w:p>
    <w:p w:rsidR="00B44972" w:rsidRPr="00BF42B7" w:rsidRDefault="00B44972" w:rsidP="00B44972">
      <w:pPr>
        <w:pStyle w:val="SingleTxtGC"/>
      </w:pPr>
      <w:r w:rsidRPr="00BF42B7">
        <w:t>(1</w:t>
      </w:r>
      <w:r w:rsidRPr="00BF42B7">
        <w:rPr>
          <w:rFonts w:hint="eastAsia"/>
        </w:rPr>
        <w:t>8</w:t>
      </w:r>
      <w:r w:rsidRPr="00BF42B7">
        <w:t xml:space="preserve">) </w:t>
      </w:r>
      <w:r w:rsidRPr="00BF42B7">
        <w:rPr>
          <w:rFonts w:hint="eastAsia"/>
        </w:rPr>
        <w:t xml:space="preserve"> </w:t>
      </w:r>
      <w:r w:rsidRPr="00BF42B7">
        <w:rPr>
          <w:rFonts w:hint="eastAsia"/>
        </w:rPr>
        <w:t>第三十一条第三款</w:t>
      </w:r>
      <w:r w:rsidRPr="00BF42B7">
        <w:rPr>
          <w:rFonts w:hint="eastAsia"/>
        </w:rPr>
        <w:t>(b)</w:t>
      </w:r>
      <w:r w:rsidRPr="00BF42B7">
        <w:rPr>
          <w:rFonts w:hint="eastAsia"/>
        </w:rPr>
        <w:t>项下的嗣后惯例，必须是“适用条约过程中”的行为。这不仅包括在国际上或在国内为适用条约</w:t>
      </w:r>
      <w:r w:rsidRPr="00BF42B7">
        <w:rPr>
          <w:rFonts w:hint="eastAsia"/>
          <w:spacing w:val="-50"/>
          <w:lang w:val="fr-CH"/>
        </w:rPr>
        <w:t>―</w:t>
      </w:r>
      <w:r w:rsidRPr="00BF42B7">
        <w:rPr>
          <w:rFonts w:hint="eastAsia"/>
          <w:lang w:val="fr-CH"/>
        </w:rPr>
        <w:t>―</w:t>
      </w:r>
      <w:r w:rsidRPr="00BF42B7">
        <w:rPr>
          <w:rFonts w:hint="eastAsia"/>
        </w:rPr>
        <w:t>包括为遵守或确保履行条约义务</w:t>
      </w:r>
      <w:r w:rsidRPr="00BF42B7">
        <w:rPr>
          <w:rFonts w:hint="eastAsia"/>
          <w:spacing w:val="-50"/>
          <w:lang w:val="fr-CH"/>
        </w:rPr>
        <w:t>―</w:t>
      </w:r>
      <w:r w:rsidRPr="00BF42B7">
        <w:rPr>
          <w:rFonts w:hint="eastAsia"/>
          <w:lang w:val="fr-CH"/>
        </w:rPr>
        <w:t>―</w:t>
      </w:r>
      <w:r w:rsidRPr="00BF42B7">
        <w:rPr>
          <w:rFonts w:hint="eastAsia"/>
        </w:rPr>
        <w:t>采取的官方行为，除其他外，也包括有关条约解释的官方声明，如外交会议上的发言、法律争端过程中的声明，或国内法院的判决；条约产生的官方函件；或颁布国内法，或为执行条约缔结国际协定，即使是在国内或在国际上实际采取任何具体适用条约的行动之前。</w:t>
      </w:r>
    </w:p>
    <w:p w:rsidR="00B44972" w:rsidRPr="00BF42B7" w:rsidRDefault="00B44972" w:rsidP="00B44972">
      <w:pPr>
        <w:pStyle w:val="SingleTxtGC"/>
      </w:pPr>
      <w:r w:rsidRPr="00BF42B7">
        <w:t>(1</w:t>
      </w:r>
      <w:r w:rsidRPr="00BF42B7">
        <w:rPr>
          <w:rFonts w:hint="eastAsia"/>
        </w:rPr>
        <w:t>9</w:t>
      </w:r>
      <w:r w:rsidRPr="00BF42B7">
        <w:t xml:space="preserve">) </w:t>
      </w:r>
      <w:r w:rsidRPr="00BF42B7">
        <w:rPr>
          <w:rFonts w:hint="eastAsia"/>
        </w:rPr>
        <w:t xml:space="preserve"> </w:t>
      </w:r>
      <w:r w:rsidRPr="00BF42B7">
        <w:rPr>
          <w:rFonts w:hint="eastAsia"/>
        </w:rPr>
        <w:t>不妨一提的是，在一起案件中，《北美自由贸易协定》的一个专家组否定了国内法可用来帮助作出解释：</w:t>
      </w:r>
    </w:p>
    <w:p w:rsidR="00B44972" w:rsidRPr="00BF42B7" w:rsidRDefault="00B44972" w:rsidP="00B44972">
      <w:pPr>
        <w:pStyle w:val="SingleTxtGC"/>
        <w:ind w:left="1554"/>
      </w:pPr>
      <w:r w:rsidRPr="00BF42B7">
        <w:rPr>
          <w:rFonts w:hint="eastAsia"/>
        </w:rPr>
        <w:t>“最后，鉴于双方都提到他们本国有关陆路运输的法律，专家组认为应当提及《维也纳公约》第二十七条，该条规定：“</w:t>
      </w:r>
      <w:r w:rsidRPr="00BF42B7">
        <w:t>一当事国不得援引其国内法规定为理由而不履行条约。</w:t>
      </w:r>
      <w:r w:rsidRPr="00BF42B7">
        <w:rPr>
          <w:rFonts w:hint="eastAsia"/>
        </w:rPr>
        <w:t>”这项规定指示本专家组无须审议国家法律，而只需研究适用的国际法。因此，不论是美国的国内法还是墨西哥的国内法，都不能用来解释《北美自由贸易协定》。这样做无异于适用一套不相干的法律框架。”</w:t>
      </w:r>
      <w:r w:rsidRPr="00BF42B7">
        <w:rPr>
          <w:color w:val="0000FF"/>
          <w:vertAlign w:val="superscript"/>
        </w:rPr>
        <w:footnoteReference w:id="490"/>
      </w:r>
      <w:r w:rsidRPr="00BF42B7">
        <w:rPr>
          <w:color w:val="0000FF"/>
          <w:vertAlign w:val="superscript"/>
        </w:rPr>
        <w:t xml:space="preserve"> </w:t>
      </w:r>
    </w:p>
    <w:p w:rsidR="00B44972" w:rsidRPr="00BF42B7" w:rsidRDefault="00B44972" w:rsidP="00B44972">
      <w:pPr>
        <w:pStyle w:val="SingleTxtGC"/>
      </w:pPr>
      <w:r w:rsidRPr="00BF42B7">
        <w:rPr>
          <w:rFonts w:hint="eastAsia"/>
        </w:rPr>
        <w:t>虽然</w:t>
      </w:r>
      <w:r w:rsidRPr="00BF42B7">
        <w:rPr>
          <w:rFonts w:hint="eastAsia"/>
        </w:rPr>
        <w:t>1969</w:t>
      </w:r>
      <w:r w:rsidRPr="00BF42B7">
        <w:rPr>
          <w:rFonts w:hint="eastAsia"/>
        </w:rPr>
        <w:t>年《维也纳公约》第二十七条肯定是有效而且重要的，但这项规则并不意味着国内法在条约适用上不能作为嗣后国家惯例的一个要素加以考虑。援引国内法为不履行条约辩解，和为解释一项条约法律规定提及国内法，这两者之间是有区别的。因此，国际裁判机构，特别是世贸组织上诉机构和欧洲人权法院都承认违反条约义务的国内法</w:t>
      </w:r>
      <w:r w:rsidRPr="00BF42B7">
        <w:rPr>
          <w:rFonts w:hint="eastAsia"/>
        </w:rPr>
        <w:t>(</w:t>
      </w:r>
      <w:r w:rsidRPr="00BF42B7">
        <w:rPr>
          <w:rFonts w:hint="eastAsia"/>
        </w:rPr>
        <w:t>和其他国内执行措施</w:t>
      </w:r>
      <w:r w:rsidRPr="00BF42B7">
        <w:rPr>
          <w:rFonts w:hint="eastAsia"/>
        </w:rPr>
        <w:t>)</w:t>
      </w:r>
      <w:r w:rsidRPr="00BF42B7">
        <w:rPr>
          <w:rFonts w:hint="eastAsia"/>
        </w:rPr>
        <w:t>不同于可用来解释条约的国内法和其他措施，并经常对二者作出区分。</w:t>
      </w:r>
      <w:bookmarkStart w:id="118" w:name="_Ref235607895"/>
      <w:r w:rsidRPr="00BF42B7">
        <w:rPr>
          <w:color w:val="0000FF"/>
          <w:vertAlign w:val="superscript"/>
        </w:rPr>
        <w:footnoteReference w:id="491"/>
      </w:r>
      <w:bookmarkEnd w:id="118"/>
      <w:r w:rsidRPr="00BF42B7">
        <w:rPr>
          <w:color w:val="0000FF"/>
          <w:vertAlign w:val="superscript"/>
        </w:rPr>
        <w:t xml:space="preserve"> </w:t>
      </w:r>
      <w:r w:rsidRPr="00BF42B7">
        <w:rPr>
          <w:rFonts w:hint="eastAsia"/>
        </w:rPr>
        <w:t>然而，应当指出，任何“适用条约方面的嗣后惯例”都暗含了“善意”这个要素。因此，明显滥用条约而不是善意地履行条约</w:t>
      </w:r>
      <w:r w:rsidRPr="00BF42B7">
        <w:rPr>
          <w:rFonts w:hint="eastAsia"/>
        </w:rPr>
        <w:t>(</w:t>
      </w:r>
      <w:r w:rsidRPr="00BF42B7">
        <w:rPr>
          <w:rFonts w:hint="eastAsia"/>
        </w:rPr>
        <w:t>即便有失误</w:t>
      </w:r>
      <w:r w:rsidRPr="00BF42B7">
        <w:rPr>
          <w:rFonts w:hint="eastAsia"/>
        </w:rPr>
        <w:t>)</w:t>
      </w:r>
      <w:r w:rsidRPr="00BF42B7">
        <w:rPr>
          <w:rFonts w:hint="eastAsia"/>
        </w:rPr>
        <w:t>，不能视为第三十一条和第三十二条意义上的“适用条约”。</w:t>
      </w:r>
    </w:p>
    <w:p w:rsidR="00B44972" w:rsidRPr="00BF42B7" w:rsidRDefault="00B44972" w:rsidP="00B44972">
      <w:pPr>
        <w:pStyle w:val="SingleTxtGC"/>
      </w:pPr>
      <w:r w:rsidRPr="00BF42B7">
        <w:t>(</w:t>
      </w:r>
      <w:r w:rsidRPr="00BF42B7">
        <w:rPr>
          <w:rFonts w:hint="eastAsia"/>
        </w:rPr>
        <w:t>20</w:t>
      </w:r>
      <w:r w:rsidRPr="00BF42B7">
        <w:t xml:space="preserve">) </w:t>
      </w:r>
      <w:r w:rsidRPr="00BF42B7">
        <w:rPr>
          <w:rFonts w:hint="eastAsia"/>
        </w:rPr>
        <w:t xml:space="preserve"> </w:t>
      </w:r>
      <w:r w:rsidRPr="00BF42B7">
        <w:rPr>
          <w:rFonts w:hint="eastAsia"/>
        </w:rPr>
        <w:t>第三十一条第三款</w:t>
      </w:r>
      <w:r w:rsidRPr="00BF42B7">
        <w:rPr>
          <w:rFonts w:hint="eastAsia"/>
        </w:rPr>
        <w:t>(</w:t>
      </w:r>
      <w:r w:rsidRPr="00BF42B7">
        <w:t>b</w:t>
      </w:r>
      <w:r w:rsidRPr="00BF42B7">
        <w:rPr>
          <w:rFonts w:hint="eastAsia"/>
        </w:rPr>
        <w:t>)</w:t>
      </w:r>
      <w:r w:rsidRPr="00BF42B7">
        <w:rPr>
          <w:rFonts w:hint="eastAsia"/>
        </w:rPr>
        <w:t>项下适用条约方面的嗣后惯例必须是“有关条约解释的”，这一要求与第三十一条第三款</w:t>
      </w:r>
      <w:r w:rsidRPr="00BF42B7">
        <w:rPr>
          <w:rFonts w:hint="eastAsia"/>
        </w:rPr>
        <w:t>(</w:t>
      </w:r>
      <w:r w:rsidRPr="00BF42B7">
        <w:t>a</w:t>
      </w:r>
      <w:r w:rsidRPr="00BF42B7">
        <w:rPr>
          <w:rFonts w:hint="eastAsia"/>
        </w:rPr>
        <w:t>)</w:t>
      </w:r>
      <w:r w:rsidRPr="00BF42B7">
        <w:rPr>
          <w:rFonts w:hint="eastAsia"/>
        </w:rPr>
        <w:t>项下的平行要求含义相同</w:t>
      </w:r>
      <w:r w:rsidRPr="00BF42B7">
        <w:rPr>
          <w:rFonts w:hint="eastAsia"/>
        </w:rPr>
        <w:t>(</w:t>
      </w:r>
      <w:r w:rsidRPr="00BF42B7">
        <w:rPr>
          <w:rFonts w:hint="eastAsia"/>
        </w:rPr>
        <w:t>见上文第</w:t>
      </w:r>
      <w:r w:rsidRPr="00BF42B7">
        <w:rPr>
          <w:rFonts w:hint="eastAsia"/>
        </w:rPr>
        <w:t>(</w:t>
      </w:r>
      <w:r w:rsidRPr="00BF42B7">
        <w:t>13</w:t>
      </w:r>
      <w:r w:rsidRPr="00BF42B7">
        <w:rPr>
          <w:rFonts w:hint="eastAsia"/>
        </w:rPr>
        <w:t>)</w:t>
      </w:r>
      <w:r w:rsidRPr="00BF42B7">
        <w:rPr>
          <w:rFonts w:hint="eastAsia"/>
        </w:rPr>
        <w:t>和第</w:t>
      </w:r>
      <w:r w:rsidRPr="00BF42B7">
        <w:rPr>
          <w:rFonts w:hint="eastAsia"/>
        </w:rPr>
        <w:t>(</w:t>
      </w:r>
      <w:r w:rsidRPr="00BF42B7">
        <w:t>14</w:t>
      </w:r>
      <w:r w:rsidRPr="00BF42B7">
        <w:rPr>
          <w:rFonts w:hint="eastAsia"/>
        </w:rPr>
        <w:t>)</w:t>
      </w:r>
      <w:r w:rsidRPr="00BF42B7">
        <w:rPr>
          <w:rFonts w:hint="eastAsia"/>
        </w:rPr>
        <w:t>段</w:t>
      </w:r>
      <w:r w:rsidRPr="00BF42B7">
        <w:rPr>
          <w:rFonts w:hint="eastAsia"/>
        </w:rPr>
        <w:t>)</w:t>
      </w:r>
      <w:r w:rsidRPr="00BF42B7">
        <w:rPr>
          <w:rFonts w:hint="eastAsia"/>
        </w:rPr>
        <w:t>。专门针对一项条约的嗣后惯例，即“有关条约解释的”惯例，与“适用条约”方面的其他惯例之间，常常很难作出区分。然而，又必须作出区分，因为只有缔约方采取的“有关条约解释的”行为，才有助于“作准”的解释，而对于第三十二条下的其他嗣后惯例则没有这项要求。</w:t>
      </w:r>
    </w:p>
    <w:p w:rsidR="00B44972" w:rsidRPr="00BF42B7" w:rsidRDefault="00B44972" w:rsidP="00B44972">
      <w:pPr>
        <w:pStyle w:val="SingleTxtGC"/>
      </w:pPr>
      <w:r w:rsidRPr="00BF42B7">
        <w:t>(2</w:t>
      </w:r>
      <w:r w:rsidRPr="00BF42B7">
        <w:rPr>
          <w:rFonts w:hint="eastAsia"/>
        </w:rPr>
        <w:t>1</w:t>
      </w:r>
      <w:r w:rsidRPr="00BF42B7">
        <w:t xml:space="preserve">) </w:t>
      </w:r>
      <w:r w:rsidRPr="00BF42B7">
        <w:rPr>
          <w:rFonts w:hint="eastAsia"/>
        </w:rPr>
        <w:t xml:space="preserve"> </w:t>
      </w:r>
      <w:r w:rsidRPr="00BF42B7">
        <w:rPr>
          <w:rFonts w:hint="eastAsia"/>
        </w:rPr>
        <w:t>至于在什么情况下“缔约方对条约解释的一致”实际得到“确定”，结论草案</w:t>
      </w:r>
      <w:r w:rsidRPr="00BF42B7">
        <w:rPr>
          <w:rFonts w:hint="eastAsia"/>
        </w:rPr>
        <w:t>10[9]</w:t>
      </w:r>
      <w:r w:rsidRPr="00BF42B7">
        <w:rPr>
          <w:rFonts w:hint="eastAsia"/>
        </w:rPr>
        <w:t>作出了说明。</w:t>
      </w:r>
    </w:p>
    <w:p w:rsidR="00B44972" w:rsidRPr="00BF42B7" w:rsidRDefault="00B44972" w:rsidP="00B44972">
      <w:pPr>
        <w:pStyle w:val="SingleTxtGC"/>
      </w:pPr>
      <w:r w:rsidRPr="00BF42B7">
        <w:t>(2</w:t>
      </w:r>
      <w:r w:rsidRPr="00BF42B7">
        <w:rPr>
          <w:rFonts w:hint="eastAsia"/>
        </w:rPr>
        <w:t>2</w:t>
      </w:r>
      <w:r w:rsidRPr="00BF42B7">
        <w:t xml:space="preserve">) </w:t>
      </w:r>
      <w:r w:rsidRPr="00BF42B7">
        <w:rPr>
          <w:rFonts w:hint="eastAsia"/>
        </w:rPr>
        <w:t xml:space="preserve"> </w:t>
      </w:r>
      <w:r w:rsidRPr="00BF42B7">
        <w:rPr>
          <w:rFonts w:hint="eastAsia"/>
        </w:rPr>
        <w:t>第</w:t>
      </w:r>
      <w:r w:rsidRPr="00BF42B7">
        <w:t>三十一</w:t>
      </w:r>
      <w:r w:rsidRPr="00BF42B7">
        <w:rPr>
          <w:rFonts w:hint="eastAsia"/>
        </w:rPr>
        <w:t>条第三款</w:t>
      </w:r>
      <w:r w:rsidRPr="00BF42B7">
        <w:rPr>
          <w:rFonts w:hint="eastAsia"/>
        </w:rPr>
        <w:t>(</w:t>
      </w:r>
      <w:r w:rsidRPr="00BF42B7">
        <w:t>b</w:t>
      </w:r>
      <w:r w:rsidRPr="00BF42B7">
        <w:rPr>
          <w:rFonts w:hint="eastAsia"/>
        </w:rPr>
        <w:t>)</w:t>
      </w:r>
      <w:r w:rsidRPr="00BF42B7">
        <w:rPr>
          <w:rFonts w:hint="eastAsia"/>
        </w:rPr>
        <w:t>项并没有明确要求“惯例”必须是条约缔约方自己的行为。然而，首先是缔约方自己，通过他们的机构行事，</w:t>
      </w:r>
      <w:r w:rsidRPr="00BF42B7">
        <w:rPr>
          <w:color w:val="0000FF"/>
          <w:vertAlign w:val="superscript"/>
        </w:rPr>
        <w:footnoteReference w:id="492"/>
      </w:r>
      <w:r w:rsidRPr="00BF42B7">
        <w:rPr>
          <w:color w:val="0000FF"/>
          <w:vertAlign w:val="superscript"/>
        </w:rPr>
        <w:t xml:space="preserve"> </w:t>
      </w:r>
      <w:r w:rsidRPr="00BF42B7">
        <w:rPr>
          <w:rFonts w:hint="eastAsia"/>
        </w:rPr>
        <w:t>或通过可归于这些机构的行为，具体践行条约，才可能确定它们的一致。至于其他行为方是否能够产生相关的嗣后惯例，结论草案</w:t>
      </w:r>
      <w:r w:rsidRPr="00BF42B7">
        <w:rPr>
          <w:rFonts w:hint="eastAsia"/>
        </w:rPr>
        <w:t>5</w:t>
      </w:r>
      <w:r w:rsidRPr="00BF42B7">
        <w:rPr>
          <w:rFonts w:hint="eastAsia"/>
        </w:rPr>
        <w:t>作出了说明。</w:t>
      </w:r>
      <w:r w:rsidRPr="00BF42B7">
        <w:rPr>
          <w:color w:val="0000FF"/>
          <w:vertAlign w:val="superscript"/>
        </w:rPr>
        <w:footnoteReference w:id="493"/>
      </w:r>
      <w:r w:rsidRPr="00BF42B7">
        <w:rPr>
          <w:color w:val="0000FF"/>
          <w:vertAlign w:val="superscript"/>
        </w:rPr>
        <w:t xml:space="preserve"> </w:t>
      </w:r>
    </w:p>
    <w:p w:rsidR="00B44972" w:rsidRPr="00BF42B7" w:rsidRDefault="00B44972" w:rsidP="00B44972">
      <w:pPr>
        <w:pStyle w:val="H4GC"/>
        <w:rPr>
          <w:rFonts w:eastAsia="楷体"/>
        </w:rPr>
      </w:pPr>
      <w:r w:rsidRPr="00BF42B7">
        <w:rPr>
          <w:rFonts w:eastAsia="楷体" w:hint="eastAsia"/>
        </w:rPr>
        <w:tab/>
      </w:r>
      <w:r w:rsidRPr="00BF42B7">
        <w:rPr>
          <w:rFonts w:eastAsia="楷体" w:hint="eastAsia"/>
        </w:rPr>
        <w:tab/>
      </w:r>
      <w:r w:rsidRPr="00BF42B7">
        <w:rPr>
          <w:rFonts w:eastAsia="楷体" w:hint="eastAsia"/>
        </w:rPr>
        <w:t>第</w:t>
      </w:r>
      <w:r w:rsidRPr="00BF42B7">
        <w:rPr>
          <w:rFonts w:eastAsia="楷体" w:hint="eastAsia"/>
        </w:rPr>
        <w:t>3</w:t>
      </w:r>
      <w:r w:rsidRPr="00BF42B7">
        <w:rPr>
          <w:rFonts w:eastAsia="楷体" w:hint="eastAsia"/>
        </w:rPr>
        <w:t>段</w:t>
      </w:r>
      <w:r w:rsidRPr="00BF42B7">
        <w:rPr>
          <w:rFonts w:eastAsia="楷体" w:hint="eastAsia"/>
          <w:spacing w:val="-50"/>
          <w:lang w:val="fr-CH"/>
        </w:rPr>
        <w:t>―</w:t>
      </w:r>
      <w:r w:rsidRPr="00BF42B7">
        <w:rPr>
          <w:rFonts w:eastAsia="楷体" w:hint="eastAsia"/>
          <w:lang w:val="fr-CH"/>
        </w:rPr>
        <w:t>―</w:t>
      </w:r>
      <w:r w:rsidRPr="00BF42B7">
        <w:rPr>
          <w:rFonts w:eastAsia="楷体" w:hint="eastAsia"/>
        </w:rPr>
        <w:t>“其他”嗣后惯例</w:t>
      </w:r>
    </w:p>
    <w:p w:rsidR="00B44972" w:rsidRPr="00BF42B7" w:rsidRDefault="00B44972" w:rsidP="00B44972">
      <w:pPr>
        <w:pStyle w:val="SingleTxtGC"/>
      </w:pPr>
      <w:r w:rsidRPr="00BF42B7">
        <w:t>(2</w:t>
      </w:r>
      <w:r w:rsidRPr="00BF42B7">
        <w:rPr>
          <w:rFonts w:hint="eastAsia"/>
        </w:rPr>
        <w:t>3</w:t>
      </w:r>
      <w:r w:rsidRPr="00BF42B7">
        <w:t xml:space="preserve">) </w:t>
      </w:r>
      <w:r w:rsidRPr="00BF42B7">
        <w:rPr>
          <w:rFonts w:hint="eastAsia"/>
        </w:rPr>
        <w:t xml:space="preserve"> </w:t>
      </w:r>
      <w:r w:rsidRPr="00BF42B7">
        <w:rPr>
          <w:rFonts w:hint="eastAsia"/>
        </w:rPr>
        <w:t>结论草案</w:t>
      </w:r>
      <w:r w:rsidRPr="00BF42B7">
        <w:t>4</w:t>
      </w:r>
      <w:r w:rsidRPr="00BF42B7">
        <w:rPr>
          <w:rFonts w:hint="eastAsia"/>
        </w:rPr>
        <w:t>第</w:t>
      </w:r>
      <w:r w:rsidRPr="00BF42B7">
        <w:rPr>
          <w:rFonts w:hint="eastAsia"/>
        </w:rPr>
        <w:t>3</w:t>
      </w:r>
      <w:r w:rsidRPr="00BF42B7">
        <w:rPr>
          <w:rFonts w:hint="eastAsia"/>
        </w:rPr>
        <w:t>段论及“其他”嗣后惯例，即第</w:t>
      </w:r>
      <w:r w:rsidRPr="00BF42B7">
        <w:t>三十一</w:t>
      </w:r>
      <w:r w:rsidRPr="00BF42B7">
        <w:rPr>
          <w:rFonts w:hint="eastAsia"/>
        </w:rPr>
        <w:t>条第三款</w:t>
      </w:r>
      <w:r w:rsidRPr="00BF42B7">
        <w:rPr>
          <w:rFonts w:hint="eastAsia"/>
        </w:rPr>
        <w:t>(</w:t>
      </w:r>
      <w:r w:rsidRPr="00BF42B7">
        <w:t>b</w:t>
      </w:r>
      <w:r w:rsidRPr="00BF42B7">
        <w:rPr>
          <w:rFonts w:hint="eastAsia"/>
        </w:rPr>
        <w:t>)</w:t>
      </w:r>
      <w:r w:rsidRPr="00BF42B7">
        <w:rPr>
          <w:rFonts w:hint="eastAsia"/>
        </w:rPr>
        <w:t>项中没有提到的其他惯例。这一段论及结论草案</w:t>
      </w:r>
      <w:r w:rsidRPr="00BF42B7">
        <w:rPr>
          <w:rFonts w:hint="eastAsia"/>
        </w:rPr>
        <w:t>2[1]</w:t>
      </w:r>
      <w:r w:rsidRPr="00BF42B7">
        <w:rPr>
          <w:rFonts w:hint="eastAsia"/>
        </w:rPr>
        <w:t>第</w:t>
      </w:r>
      <w:r w:rsidRPr="00BF42B7">
        <w:rPr>
          <w:rFonts w:hint="eastAsia"/>
        </w:rPr>
        <w:t>4</w:t>
      </w:r>
      <w:r w:rsidRPr="00BF42B7">
        <w:rPr>
          <w:rFonts w:hint="eastAsia"/>
        </w:rPr>
        <w:t>段中提到的“条约适用方面的其他嗣后惯例，作为第三十二条所称的补充的解释资料”。这种形式的嗣后惯例不要求所有缔约方一致同意，委员会在评注中最初是这样讲的：</w:t>
      </w:r>
    </w:p>
    <w:p w:rsidR="00B44972" w:rsidRPr="00BF42B7" w:rsidRDefault="00B44972" w:rsidP="00B44972">
      <w:pPr>
        <w:pStyle w:val="SingleTxtGC"/>
        <w:ind w:left="1554"/>
      </w:pPr>
      <w:r w:rsidRPr="00BF42B7">
        <w:rPr>
          <w:rFonts w:hint="eastAsia"/>
        </w:rPr>
        <w:t>“但是一般而言，作为解释的一个要素的一个缔约方的惯例或仅仅是部分缔约方的惯例，与所有缔约方都认可、显示他们对条约含义的共同理解的共同惯例，不在同一个平面上。后一种嗣后惯例表明各缔约方对条约解释的认同，等同于一项解释性协定。因此，委员会认为，确定所有缔约方对条约解释共同理解的嗣后惯例应列入第</w:t>
      </w:r>
      <w:r w:rsidRPr="00BF42B7">
        <w:rPr>
          <w:rFonts w:hint="eastAsia"/>
        </w:rPr>
        <w:t>3</w:t>
      </w:r>
      <w:r w:rsidRPr="00BF42B7">
        <w:rPr>
          <w:rFonts w:hint="eastAsia"/>
        </w:rPr>
        <w:t>段</w:t>
      </w:r>
      <w:r w:rsidRPr="00BF42B7">
        <w:t>[</w:t>
      </w:r>
      <w:r w:rsidRPr="00BF42B7">
        <w:rPr>
          <w:rFonts w:hint="eastAsia"/>
        </w:rPr>
        <w:t>也即</w:t>
      </w:r>
      <w:r w:rsidRPr="00BF42B7">
        <w:rPr>
          <w:rFonts w:hint="eastAsia"/>
        </w:rPr>
        <w:t>1969</w:t>
      </w:r>
      <w:r w:rsidRPr="00BF42B7">
        <w:rPr>
          <w:rFonts w:hint="eastAsia"/>
        </w:rPr>
        <w:t>年《维也纳公约》第</w:t>
      </w:r>
      <w:r w:rsidRPr="00BF42B7">
        <w:t>三十一</w:t>
      </w:r>
      <w:r w:rsidRPr="00BF42B7">
        <w:rPr>
          <w:rFonts w:hint="eastAsia"/>
        </w:rPr>
        <w:t>条第三款的内容</w:t>
      </w:r>
      <w:r w:rsidRPr="00BF42B7">
        <w:t>]</w:t>
      </w:r>
      <w:r w:rsidRPr="00BF42B7">
        <w:rPr>
          <w:rFonts w:hint="eastAsia"/>
        </w:rPr>
        <w:t>，与解释性协定一并作为作准的解释资料。而单个国家在适用条约方面的惯例，只能作为第七十条中提到的“进一步的”解释资料之一加以考虑。”</w:t>
      </w:r>
      <w:r w:rsidRPr="00BF42B7">
        <w:rPr>
          <w:color w:val="0000FF"/>
          <w:vertAlign w:val="superscript"/>
        </w:rPr>
        <w:footnoteReference w:id="494"/>
      </w:r>
      <w:r w:rsidRPr="00BF42B7">
        <w:rPr>
          <w:color w:val="0000FF"/>
          <w:vertAlign w:val="superscript"/>
        </w:rPr>
        <w:t xml:space="preserve"> </w:t>
      </w:r>
    </w:p>
    <w:p w:rsidR="00B44972" w:rsidRPr="00BF42B7" w:rsidRDefault="00B44972" w:rsidP="00B44972">
      <w:pPr>
        <w:pStyle w:val="SingleTxtGC"/>
      </w:pPr>
      <w:r w:rsidRPr="00BF42B7">
        <w:t>(2</w:t>
      </w:r>
      <w:r w:rsidRPr="00BF42B7">
        <w:rPr>
          <w:rFonts w:hint="eastAsia"/>
        </w:rPr>
        <w:t>4</w:t>
      </w:r>
      <w:r w:rsidRPr="00BF42B7">
        <w:t xml:space="preserve">) </w:t>
      </w:r>
      <w:r w:rsidRPr="00BF42B7">
        <w:rPr>
          <w:rFonts w:hint="eastAsia"/>
        </w:rPr>
        <w:t xml:space="preserve"> </w:t>
      </w:r>
      <w:r w:rsidRPr="00BF42B7">
        <w:rPr>
          <w:rFonts w:hint="eastAsia"/>
        </w:rPr>
        <w:t>结论草案</w:t>
      </w:r>
      <w:r w:rsidRPr="00BF42B7">
        <w:t>4</w:t>
      </w:r>
      <w:r w:rsidRPr="00BF42B7">
        <w:rPr>
          <w:rFonts w:hint="eastAsia"/>
        </w:rPr>
        <w:t>第</w:t>
      </w:r>
      <w:r w:rsidRPr="00BF42B7">
        <w:rPr>
          <w:rFonts w:hint="eastAsia"/>
        </w:rPr>
        <w:t>3</w:t>
      </w:r>
      <w:r w:rsidRPr="00BF42B7">
        <w:rPr>
          <w:rFonts w:hint="eastAsia"/>
        </w:rPr>
        <w:t>段并没有像第</w:t>
      </w:r>
      <w:r w:rsidRPr="00BF42B7">
        <w:t>三十一</w:t>
      </w:r>
      <w:r w:rsidRPr="00BF42B7">
        <w:rPr>
          <w:rFonts w:hint="eastAsia"/>
        </w:rPr>
        <w:t>条第三款</w:t>
      </w:r>
      <w:r w:rsidRPr="00BF42B7">
        <w:rPr>
          <w:rFonts w:hint="eastAsia"/>
        </w:rPr>
        <w:t>(</w:t>
      </w:r>
      <w:r w:rsidRPr="00BF42B7">
        <w:t>b</w:t>
      </w:r>
      <w:r w:rsidRPr="00BF42B7">
        <w:rPr>
          <w:rFonts w:hint="eastAsia"/>
        </w:rPr>
        <w:t>)</w:t>
      </w:r>
      <w:r w:rsidRPr="00BF42B7">
        <w:rPr>
          <w:rFonts w:hint="eastAsia"/>
        </w:rPr>
        <w:t>项那样，阐明一项要求，即相关惯例必须是“有关条约解释的”。因此，就第</w:t>
      </w:r>
      <w:r w:rsidRPr="00BF42B7">
        <w:rPr>
          <w:rFonts w:hint="eastAsia"/>
        </w:rPr>
        <w:t>3</w:t>
      </w:r>
      <w:r w:rsidRPr="00BF42B7">
        <w:rPr>
          <w:rFonts w:hint="eastAsia"/>
        </w:rPr>
        <w:t>段而言，在适用条约方面的任何惯例，只要能够表明条约应如何解释，便可作为第</w:t>
      </w:r>
      <w:r w:rsidRPr="00BF42B7">
        <w:t>三十二</w:t>
      </w:r>
      <w:r w:rsidRPr="00BF42B7">
        <w:rPr>
          <w:rFonts w:hint="eastAsia"/>
        </w:rPr>
        <w:t>条下的相关补充解释资料。</w:t>
      </w:r>
    </w:p>
    <w:p w:rsidR="00B44972" w:rsidRPr="00BF42B7" w:rsidRDefault="00B44972" w:rsidP="00B44972">
      <w:pPr>
        <w:pStyle w:val="SingleTxtGC"/>
      </w:pPr>
      <w:r w:rsidRPr="00BF42B7">
        <w:t>(2</w:t>
      </w:r>
      <w:r w:rsidRPr="00BF42B7">
        <w:rPr>
          <w:rFonts w:hint="eastAsia"/>
        </w:rPr>
        <w:t>5</w:t>
      </w:r>
      <w:r w:rsidRPr="00BF42B7">
        <w:t xml:space="preserve">) </w:t>
      </w:r>
      <w:r w:rsidRPr="00BF42B7">
        <w:rPr>
          <w:rFonts w:hint="eastAsia"/>
        </w:rPr>
        <w:t xml:space="preserve"> </w:t>
      </w:r>
      <w:r w:rsidRPr="00BF42B7">
        <w:rPr>
          <w:rFonts w:hint="eastAsia"/>
        </w:rPr>
        <w:t>自</w:t>
      </w:r>
      <w:r w:rsidRPr="00BF42B7">
        <w:rPr>
          <w:rFonts w:hint="eastAsia"/>
        </w:rPr>
        <w:t>1969</w:t>
      </w:r>
      <w:r w:rsidRPr="00BF42B7">
        <w:rPr>
          <w:rFonts w:hint="eastAsia"/>
        </w:rPr>
        <w:t>年《维也纳公约》通过后，这种“其他”嗣后惯例已被各种国际法院和其他裁判机构作为一种解释资料予以承认并适用</w:t>
      </w:r>
      <w:r w:rsidRPr="00BF42B7">
        <w:rPr>
          <w:rFonts w:hint="eastAsia"/>
        </w:rPr>
        <w:t>(</w:t>
      </w:r>
      <w:r w:rsidRPr="00BF42B7">
        <w:rPr>
          <w:rFonts w:hint="eastAsia"/>
        </w:rPr>
        <w:t>见下文第</w:t>
      </w:r>
      <w:r w:rsidRPr="00BF42B7">
        <w:rPr>
          <w:rFonts w:hint="eastAsia"/>
        </w:rPr>
        <w:t>(</w:t>
      </w:r>
      <w:r w:rsidRPr="00BF42B7">
        <w:t>2</w:t>
      </w:r>
      <w:r w:rsidRPr="00BF42B7">
        <w:rPr>
          <w:rFonts w:hint="eastAsia"/>
        </w:rPr>
        <w:t>6)</w:t>
      </w:r>
      <w:r w:rsidRPr="00BF42B7">
        <w:rPr>
          <w:rFonts w:hint="eastAsia"/>
        </w:rPr>
        <w:t>段至</w:t>
      </w:r>
      <w:r w:rsidRPr="00BF42B7">
        <w:rPr>
          <w:rFonts w:hint="eastAsia"/>
        </w:rPr>
        <w:t>(</w:t>
      </w:r>
      <w:r w:rsidRPr="00BF42B7">
        <w:t>3</w:t>
      </w:r>
      <w:r w:rsidRPr="00BF42B7">
        <w:rPr>
          <w:rFonts w:hint="eastAsia"/>
        </w:rPr>
        <w:t>4)</w:t>
      </w:r>
      <w:r w:rsidRPr="00BF42B7">
        <w:rPr>
          <w:rFonts w:hint="eastAsia"/>
        </w:rPr>
        <w:t>段</w:t>
      </w:r>
      <w:r w:rsidRPr="00BF42B7">
        <w:rPr>
          <w:rFonts w:hint="eastAsia"/>
        </w:rPr>
        <w:t>)</w:t>
      </w:r>
      <w:r w:rsidRPr="00BF42B7">
        <w:rPr>
          <w:rFonts w:hint="eastAsia"/>
        </w:rPr>
        <w:t>。然而，应当指出，世贸组织上诉机构在</w:t>
      </w:r>
      <w:r w:rsidRPr="00BF42B7">
        <w:rPr>
          <w:rFonts w:ascii="Time New Roman" w:eastAsia="楷体" w:hAnsi="Time New Roman" w:hint="eastAsia"/>
        </w:rPr>
        <w:t>日本</w:t>
      </w:r>
      <w:r w:rsidRPr="00BF42B7">
        <w:rPr>
          <w:rFonts w:ascii="Time New Roman" w:eastAsia="楷体" w:hAnsi="Time New Roman" w:hint="eastAsia"/>
          <w:spacing w:val="-50"/>
        </w:rPr>
        <w:t>―</w:t>
      </w:r>
      <w:r w:rsidRPr="00BF42B7">
        <w:rPr>
          <w:rFonts w:ascii="Time New Roman" w:eastAsia="楷体" w:hAnsi="Time New Roman" w:hint="eastAsia"/>
        </w:rPr>
        <w:t>―酒精饮料案</w:t>
      </w:r>
      <w:r w:rsidRPr="00BF42B7">
        <w:rPr>
          <w:rFonts w:ascii="Time New Roman" w:eastAsia="楷体" w:hAnsi="Time New Roman" w:hint="eastAsia"/>
        </w:rPr>
        <w:t>(</w:t>
      </w:r>
      <w:r w:rsidRPr="00BF42B7">
        <w:rPr>
          <w:rFonts w:ascii="Time New Roman" w:eastAsia="楷体" w:hAnsi="Time New Roman" w:hint="eastAsia"/>
        </w:rPr>
        <w:t>二</w:t>
      </w:r>
      <w:r w:rsidRPr="00BF42B7">
        <w:rPr>
          <w:rFonts w:ascii="Time New Roman" w:eastAsia="楷体" w:hAnsi="Time New Roman" w:hint="eastAsia"/>
        </w:rPr>
        <w:t>)</w:t>
      </w:r>
      <w:r w:rsidRPr="00BF42B7">
        <w:rPr>
          <w:rFonts w:hint="eastAsia"/>
        </w:rPr>
        <w:t>中，</w:t>
      </w:r>
      <w:bookmarkStart w:id="119" w:name="_Ref235607943"/>
      <w:r w:rsidRPr="00BF42B7">
        <w:rPr>
          <w:color w:val="0000FF"/>
          <w:vertAlign w:val="superscript"/>
        </w:rPr>
        <w:footnoteReference w:id="495"/>
      </w:r>
      <w:bookmarkEnd w:id="119"/>
      <w:r w:rsidRPr="00BF42B7">
        <w:rPr>
          <w:color w:val="0000FF"/>
          <w:vertAlign w:val="superscript"/>
        </w:rPr>
        <w:t xml:space="preserve"> </w:t>
      </w:r>
      <w:r w:rsidRPr="00BF42B7">
        <w:rPr>
          <w:rFonts w:hint="eastAsia"/>
        </w:rPr>
        <w:t>为条约解释的目的提出了一个嗣后惯例的定义，该定义似乎认为，只有“确定了缔约方对条约解释的一致”的条约适用方面的这种嗣后惯例，才能用于条约解释的目的，而不是任何其他形式的、一个或多个缔约方的嗣后惯例：</w:t>
      </w:r>
    </w:p>
    <w:p w:rsidR="00B44972" w:rsidRPr="00BF42B7" w:rsidRDefault="00B44972" w:rsidP="00B44972">
      <w:pPr>
        <w:pStyle w:val="SingleTxtGC"/>
        <w:ind w:left="1554"/>
        <w:rPr>
          <w:spacing w:val="-4"/>
        </w:rPr>
      </w:pPr>
      <w:r w:rsidRPr="00BF42B7">
        <w:rPr>
          <w:rFonts w:hint="eastAsia"/>
          <w:spacing w:val="-4"/>
        </w:rPr>
        <w:t>“……用于解释条约的嗣后惯例，公认应当是‘协调、共同和一致的’系列行为或声明，足以确立一种明确的模式，表明缔约方对条约解释的一致。”</w:t>
      </w:r>
      <w:r w:rsidRPr="00BF42B7">
        <w:rPr>
          <w:color w:val="0000FF"/>
          <w:spacing w:val="-4"/>
          <w:vertAlign w:val="superscript"/>
        </w:rPr>
        <w:footnoteReference w:id="496"/>
      </w:r>
      <w:r w:rsidRPr="00BF42B7">
        <w:rPr>
          <w:color w:val="0000FF"/>
          <w:spacing w:val="-4"/>
          <w:vertAlign w:val="superscript"/>
        </w:rPr>
        <w:t xml:space="preserve"> </w:t>
      </w:r>
    </w:p>
    <w:p w:rsidR="00B44972" w:rsidRPr="00BF42B7" w:rsidRDefault="00B44972" w:rsidP="00B44972">
      <w:pPr>
        <w:pStyle w:val="SingleTxtGC"/>
      </w:pPr>
      <w:r w:rsidRPr="00BF42B7">
        <w:rPr>
          <w:rFonts w:hint="eastAsia"/>
        </w:rPr>
        <w:t>然而，国际法院和其他国际法院和法庭的判例法，乃至世贸组织</w:t>
      </w:r>
      <w:r w:rsidRPr="00BF42B7">
        <w:t>争端解决机构</w:t>
      </w:r>
      <w:r w:rsidRPr="00BF42B7">
        <w:rPr>
          <w:rFonts w:hint="eastAsia"/>
        </w:rPr>
        <w:t>自己的判例法</w:t>
      </w:r>
      <w:r w:rsidRPr="00BF42B7">
        <w:rPr>
          <w:rFonts w:hint="eastAsia"/>
        </w:rPr>
        <w:t>(</w:t>
      </w:r>
      <w:r w:rsidRPr="00BF42B7">
        <w:rPr>
          <w:rFonts w:hint="eastAsia"/>
        </w:rPr>
        <w:t>见下文第</w:t>
      </w:r>
      <w:r w:rsidRPr="00BF42B7">
        <w:rPr>
          <w:rFonts w:hint="eastAsia"/>
        </w:rPr>
        <w:t>(</w:t>
      </w:r>
      <w:r w:rsidRPr="00BF42B7">
        <w:t>3</w:t>
      </w:r>
      <w:r w:rsidRPr="00BF42B7">
        <w:rPr>
          <w:rFonts w:hint="eastAsia"/>
        </w:rPr>
        <w:t>3)</w:t>
      </w:r>
      <w:r w:rsidRPr="00BF42B7">
        <w:rPr>
          <w:rFonts w:hint="eastAsia"/>
        </w:rPr>
        <w:t>和</w:t>
      </w:r>
      <w:r w:rsidRPr="00BF42B7">
        <w:rPr>
          <w:rFonts w:hint="eastAsia"/>
        </w:rPr>
        <w:t>(</w:t>
      </w:r>
      <w:r w:rsidRPr="00BF42B7">
        <w:t>3</w:t>
      </w:r>
      <w:r w:rsidRPr="00BF42B7">
        <w:rPr>
          <w:rFonts w:hint="eastAsia"/>
        </w:rPr>
        <w:t>4)</w:t>
      </w:r>
      <w:r w:rsidRPr="00BF42B7">
        <w:rPr>
          <w:rFonts w:hint="eastAsia"/>
        </w:rPr>
        <w:t>段</w:t>
      </w:r>
      <w:r w:rsidRPr="00BF42B7">
        <w:rPr>
          <w:rFonts w:hint="eastAsia"/>
        </w:rPr>
        <w:t>)</w:t>
      </w:r>
      <w:r w:rsidRPr="00BF42B7">
        <w:rPr>
          <w:rFonts w:hint="eastAsia"/>
        </w:rPr>
        <w:t>都表明，符合</w:t>
      </w:r>
      <w:r w:rsidRPr="00BF42B7">
        <w:rPr>
          <w:rFonts w:hint="eastAsia"/>
        </w:rPr>
        <w:t>1969</w:t>
      </w:r>
      <w:r w:rsidRPr="00BF42B7">
        <w:rPr>
          <w:rFonts w:hint="eastAsia"/>
        </w:rPr>
        <w:t>年《维也纳公约》第</w:t>
      </w:r>
      <w:r w:rsidRPr="00BF42B7">
        <w:t>三十一</w:t>
      </w:r>
      <w:r w:rsidRPr="00BF42B7">
        <w:rPr>
          <w:rFonts w:hint="eastAsia"/>
        </w:rPr>
        <w:t>条第三款</w:t>
      </w:r>
      <w:r w:rsidRPr="00BF42B7">
        <w:rPr>
          <w:rFonts w:hint="eastAsia"/>
        </w:rPr>
        <w:t>(</w:t>
      </w:r>
      <w:r w:rsidRPr="00BF42B7">
        <w:t>b</w:t>
      </w:r>
      <w:r w:rsidRPr="00BF42B7">
        <w:rPr>
          <w:rFonts w:hint="eastAsia"/>
        </w:rPr>
        <w:t>)</w:t>
      </w:r>
      <w:r w:rsidRPr="00BF42B7">
        <w:rPr>
          <w:rFonts w:hint="eastAsia"/>
        </w:rPr>
        <w:t>项所有条件的嗣后惯例，就条约解释目的而言，并不是缔约方在适用条约方面唯一的嗣后惯例的形式。</w:t>
      </w:r>
    </w:p>
    <w:p w:rsidR="00B44972" w:rsidRPr="00BF42B7" w:rsidRDefault="00B44972" w:rsidP="00B44972">
      <w:pPr>
        <w:pStyle w:val="SingleTxtGC"/>
      </w:pPr>
      <w:r w:rsidRPr="00BF42B7">
        <w:t>(2</w:t>
      </w:r>
      <w:r w:rsidRPr="00BF42B7">
        <w:rPr>
          <w:rFonts w:hint="eastAsia"/>
        </w:rPr>
        <w:t>6</w:t>
      </w:r>
      <w:r w:rsidRPr="00BF42B7">
        <w:t xml:space="preserve">) </w:t>
      </w:r>
      <w:r w:rsidRPr="00BF42B7">
        <w:rPr>
          <w:rFonts w:hint="eastAsia"/>
        </w:rPr>
        <w:t xml:space="preserve"> </w:t>
      </w:r>
      <w:r w:rsidRPr="00BF42B7">
        <w:rPr>
          <w:rFonts w:hint="eastAsia"/>
        </w:rPr>
        <w:t>例如，在</w:t>
      </w:r>
      <w:r w:rsidRPr="00BF42B7">
        <w:rPr>
          <w:rFonts w:ascii="Time New Roman" w:eastAsia="楷体" w:hAnsi="Time New Roman" w:hint="eastAsia"/>
        </w:rPr>
        <w:t>卡西基里</w:t>
      </w:r>
      <w:r w:rsidRPr="00BF42B7">
        <w:rPr>
          <w:rFonts w:ascii="Time New Roman" w:eastAsia="楷体" w:hAnsi="Time New Roman"/>
        </w:rPr>
        <w:t>/</w:t>
      </w:r>
      <w:r w:rsidRPr="00BF42B7">
        <w:rPr>
          <w:rFonts w:ascii="Time New Roman" w:eastAsia="楷体" w:hAnsi="Time New Roman" w:hint="eastAsia"/>
        </w:rPr>
        <w:t>塞杜杜岛案</w:t>
      </w:r>
      <w:r w:rsidRPr="00BF42B7">
        <w:rPr>
          <w:rFonts w:hint="eastAsia"/>
        </w:rPr>
        <w:t>中，国际法院认为，一个缔约方委托一位技术专家编写的报告“始终是一份国内文件”，</w:t>
      </w:r>
      <w:r w:rsidRPr="00BF42B7">
        <w:rPr>
          <w:color w:val="0000FF"/>
          <w:vertAlign w:val="superscript"/>
        </w:rPr>
        <w:footnoteReference w:id="497"/>
      </w:r>
      <w:r w:rsidRPr="00BF42B7">
        <w:rPr>
          <w:color w:val="0000FF"/>
          <w:vertAlign w:val="superscript"/>
        </w:rPr>
        <w:t xml:space="preserve"> </w:t>
      </w:r>
      <w:r w:rsidRPr="00BF42B7">
        <w:rPr>
          <w:rFonts w:hint="eastAsia"/>
        </w:rPr>
        <w:t>虽然不能代表第</w:t>
      </w:r>
      <w:r w:rsidRPr="00BF42B7">
        <w:t>三十一</w:t>
      </w:r>
      <w:r w:rsidRPr="00BF42B7">
        <w:rPr>
          <w:rFonts w:hint="eastAsia"/>
        </w:rPr>
        <w:t>条第三款</w:t>
      </w:r>
      <w:r w:rsidRPr="00BF42B7">
        <w:rPr>
          <w:rFonts w:hint="eastAsia"/>
        </w:rPr>
        <w:t>(</w:t>
      </w:r>
      <w:r w:rsidRPr="00BF42B7">
        <w:t>b</w:t>
      </w:r>
      <w:r w:rsidRPr="00BF42B7">
        <w:rPr>
          <w:rFonts w:hint="eastAsia"/>
        </w:rPr>
        <w:t>)</w:t>
      </w:r>
      <w:r w:rsidRPr="00BF42B7">
        <w:rPr>
          <w:rFonts w:hint="eastAsia"/>
        </w:rPr>
        <w:t>项下确定各缔约方一致意见的嗣后惯例，但仍可为国际法院根据其他解释资料得出的结论“提供支持”。</w:t>
      </w:r>
      <w:r w:rsidRPr="00BF42B7">
        <w:rPr>
          <w:color w:val="0000FF"/>
          <w:vertAlign w:val="superscript"/>
        </w:rPr>
        <w:footnoteReference w:id="498"/>
      </w:r>
      <w:r w:rsidRPr="00BF42B7">
        <w:rPr>
          <w:color w:val="0000FF"/>
          <w:vertAlign w:val="superscript"/>
        </w:rPr>
        <w:t xml:space="preserve"> </w:t>
      </w:r>
    </w:p>
    <w:p w:rsidR="00B44972" w:rsidRPr="00BF42B7" w:rsidRDefault="00B44972" w:rsidP="00B44972">
      <w:pPr>
        <w:pStyle w:val="SingleTxtGC"/>
      </w:pPr>
      <w:r w:rsidRPr="00BF42B7">
        <w:t>(2</w:t>
      </w:r>
      <w:r w:rsidRPr="00BF42B7">
        <w:rPr>
          <w:rFonts w:hint="eastAsia"/>
        </w:rPr>
        <w:t>7</w:t>
      </w:r>
      <w:r w:rsidRPr="00BF42B7">
        <w:t xml:space="preserve">) </w:t>
      </w:r>
      <w:r w:rsidRPr="00BF42B7">
        <w:rPr>
          <w:rFonts w:hint="eastAsia"/>
        </w:rPr>
        <w:t xml:space="preserve"> </w:t>
      </w:r>
      <w:r w:rsidRPr="00BF42B7">
        <w:t>解决投资争端国际中心</w:t>
      </w:r>
      <w:r w:rsidRPr="00BF42B7">
        <w:rPr>
          <w:rFonts w:hint="eastAsia"/>
        </w:rPr>
        <w:t>的法庭也使用了国家的嗣后惯例作为广义上的解释资料。</w:t>
      </w:r>
      <w:bookmarkStart w:id="120" w:name="_Ref461976675"/>
      <w:r w:rsidRPr="00BF42B7">
        <w:rPr>
          <w:color w:val="0000FF"/>
          <w:vertAlign w:val="superscript"/>
        </w:rPr>
        <w:footnoteReference w:id="499"/>
      </w:r>
      <w:bookmarkEnd w:id="120"/>
      <w:r w:rsidRPr="00BF42B7">
        <w:rPr>
          <w:color w:val="0000FF"/>
          <w:vertAlign w:val="superscript"/>
        </w:rPr>
        <w:t xml:space="preserve"> </w:t>
      </w:r>
      <w:r w:rsidRPr="00BF42B7">
        <w:rPr>
          <w:rFonts w:hint="eastAsia"/>
        </w:rPr>
        <w:t>例如，在处理少数股权所有人是否享有投资保护条约中的权利和是否有资格进入</w:t>
      </w:r>
      <w:r w:rsidRPr="00BF42B7">
        <w:t>解决投资争端国际中心</w:t>
      </w:r>
      <w:r w:rsidRPr="00BF42B7">
        <w:rPr>
          <w:rFonts w:hint="eastAsia"/>
        </w:rPr>
        <w:t>的程序问题时，审理</w:t>
      </w:r>
      <w:r w:rsidRPr="00BF42B7">
        <w:t>CMS</w:t>
      </w:r>
      <w:r w:rsidRPr="00BF42B7">
        <w:rPr>
          <w:rFonts w:ascii="Time New Roman" w:eastAsia="楷体" w:hAnsi="Time New Roman" w:hint="eastAsia"/>
        </w:rPr>
        <w:t>燃气输送公司诉阿根廷案</w:t>
      </w:r>
      <w:r w:rsidRPr="00BF42B7">
        <w:rPr>
          <w:rFonts w:hint="eastAsia"/>
        </w:rPr>
        <w:t>的法庭认为：</w:t>
      </w:r>
      <w:r w:rsidRPr="00BF42B7">
        <w:rPr>
          <w:rFonts w:hint="eastAsia"/>
        </w:rPr>
        <w:t xml:space="preserve"> </w:t>
      </w:r>
    </w:p>
    <w:p w:rsidR="00B44972" w:rsidRPr="00BF42B7" w:rsidRDefault="00B44972" w:rsidP="00B44972">
      <w:pPr>
        <w:pStyle w:val="SingleTxtGC"/>
        <w:ind w:left="1554"/>
      </w:pPr>
      <w:r w:rsidRPr="00BF42B7">
        <w:rPr>
          <w:rFonts w:hint="eastAsia"/>
        </w:rPr>
        <w:t>“国家惯例进一步支持了这种物换星移的意义所在。……少数和非控股参与也因此被纳入受保护的范围，或被允许要求他们自身的权利。当今流行的各种一次性付清协议的做法……，还有其他例子，都证明国际索赔问题的处理日益灵活。”</w:t>
      </w:r>
      <w:r w:rsidRPr="00BF42B7">
        <w:rPr>
          <w:color w:val="0000FF"/>
          <w:vertAlign w:val="superscript"/>
        </w:rPr>
        <w:footnoteReference w:id="500"/>
      </w:r>
      <w:r w:rsidRPr="00BF42B7">
        <w:rPr>
          <w:color w:val="0000FF"/>
          <w:vertAlign w:val="superscript"/>
        </w:rPr>
        <w:t xml:space="preserve"> </w:t>
      </w:r>
    </w:p>
    <w:p w:rsidR="00B44972" w:rsidRPr="00BF42B7" w:rsidRDefault="00B44972" w:rsidP="00B44972">
      <w:pPr>
        <w:pStyle w:val="SingleTxtGC"/>
      </w:pPr>
      <w:r w:rsidRPr="00BF42B7">
        <w:t>(2</w:t>
      </w:r>
      <w:r w:rsidRPr="00BF42B7">
        <w:rPr>
          <w:rFonts w:hint="eastAsia"/>
        </w:rPr>
        <w:t>8</w:t>
      </w:r>
      <w:r w:rsidRPr="00BF42B7">
        <w:t xml:space="preserve">) </w:t>
      </w:r>
      <w:r w:rsidRPr="00BF42B7">
        <w:rPr>
          <w:rFonts w:hint="eastAsia"/>
        </w:rPr>
        <w:t xml:space="preserve"> </w:t>
      </w:r>
      <w:r w:rsidRPr="00BF42B7">
        <w:rPr>
          <w:rFonts w:hint="eastAsia"/>
        </w:rPr>
        <w:t>欧洲人权法院在</w:t>
      </w:r>
      <w:r w:rsidRPr="00BF42B7">
        <w:t>Loizidou</w:t>
      </w:r>
      <w:r w:rsidRPr="00BF42B7">
        <w:rPr>
          <w:rFonts w:ascii="Time New Roman" w:eastAsia="楷体" w:hAnsi="Time New Roman" w:hint="eastAsia"/>
        </w:rPr>
        <w:t>诉土耳其</w:t>
      </w:r>
      <w:r w:rsidRPr="00BF42B7">
        <w:rPr>
          <w:rFonts w:hint="eastAsia"/>
        </w:rPr>
        <w:t>一案中裁定，该法院的解释“得到各缔约方嗣后惯例的确认”，</w:t>
      </w:r>
      <w:bookmarkStart w:id="121" w:name="_Ref461976302"/>
      <w:r w:rsidRPr="00BF42B7">
        <w:rPr>
          <w:color w:val="0000FF"/>
          <w:vertAlign w:val="superscript"/>
        </w:rPr>
        <w:footnoteReference w:id="501"/>
      </w:r>
      <w:bookmarkEnd w:id="121"/>
      <w:r w:rsidRPr="00BF42B7">
        <w:rPr>
          <w:color w:val="0000FF"/>
          <w:vertAlign w:val="superscript"/>
        </w:rPr>
        <w:t xml:space="preserve"> </w:t>
      </w:r>
      <w:r w:rsidRPr="00BF42B7">
        <w:rPr>
          <w:rFonts w:hint="eastAsia"/>
        </w:rPr>
        <w:t>即“存在一种惯例，表明缔约方几乎普遍认为《公约》第二十五条和第四十六条……不允许作出领土或实质上的限制”。</w:t>
      </w:r>
      <w:r w:rsidRPr="00BF42B7">
        <w:rPr>
          <w:color w:val="0000FF"/>
          <w:vertAlign w:val="superscript"/>
        </w:rPr>
        <w:footnoteReference w:id="502"/>
      </w:r>
      <w:r w:rsidRPr="00BF42B7">
        <w:rPr>
          <w:color w:val="0000FF"/>
          <w:vertAlign w:val="superscript"/>
        </w:rPr>
        <w:t xml:space="preserve"> </w:t>
      </w:r>
      <w:r w:rsidRPr="00BF42B7">
        <w:rPr>
          <w:rFonts w:hint="eastAsia"/>
        </w:rPr>
        <w:t>欧洲人权法院经常借助缔约国的嗣后惯例</w:t>
      </w:r>
      <w:r w:rsidRPr="00BF42B7">
        <w:rPr>
          <w:rFonts w:hint="eastAsia"/>
          <w:spacing w:val="-50"/>
          <w:lang w:val="fr-CH"/>
        </w:rPr>
        <w:t>―</w:t>
      </w:r>
      <w:r w:rsidRPr="00BF42B7">
        <w:rPr>
          <w:rFonts w:hint="eastAsia"/>
          <w:lang w:val="fr-CH"/>
        </w:rPr>
        <w:t>―</w:t>
      </w:r>
      <w:r w:rsidRPr="00BF42B7">
        <w:rPr>
          <w:rFonts w:hint="eastAsia"/>
        </w:rPr>
        <w:t>虽然并非一成不变</w:t>
      </w:r>
      <w:r w:rsidRPr="00BF42B7">
        <w:rPr>
          <w:rFonts w:hint="eastAsia"/>
          <w:spacing w:val="-50"/>
          <w:lang w:val="fr-CH"/>
        </w:rPr>
        <w:t>―</w:t>
      </w:r>
      <w:r w:rsidRPr="00BF42B7">
        <w:rPr>
          <w:rFonts w:hint="eastAsia"/>
          <w:lang w:val="fr-CH"/>
        </w:rPr>
        <w:t>―</w:t>
      </w:r>
      <w:r w:rsidRPr="00BF42B7">
        <w:rPr>
          <w:rFonts w:hint="eastAsia"/>
        </w:rPr>
        <w:t>援引一国的法律或国内行政惯例作为解释资料。例如，在</w:t>
      </w:r>
      <w:r w:rsidRPr="00BF42B7">
        <w:t>Demir</w:t>
      </w:r>
      <w:r w:rsidRPr="00BF42B7">
        <w:rPr>
          <w:rFonts w:ascii="Time New Roman" w:eastAsia="楷体" w:hAnsi="Time New Roman" w:hint="eastAsia"/>
        </w:rPr>
        <w:t>和</w:t>
      </w:r>
      <w:r w:rsidRPr="00BF42B7">
        <w:rPr>
          <w:rFonts w:ascii="Time New Roman" w:eastAsia="楷体" w:hAnsi="Time New Roman"/>
        </w:rPr>
        <w:t>Baykara</w:t>
      </w:r>
      <w:r w:rsidRPr="00BF42B7">
        <w:rPr>
          <w:rFonts w:ascii="Time New Roman" w:eastAsia="楷体" w:hAnsi="Time New Roman" w:hint="eastAsia"/>
        </w:rPr>
        <w:t>诉土耳其</w:t>
      </w:r>
      <w:r w:rsidRPr="00BF42B7">
        <w:rPr>
          <w:rFonts w:hint="eastAsia"/>
        </w:rPr>
        <w:t>一案中，法院裁定，“关于欧洲国家的惯例，可以发现，它们中的绝大多数国家，公务员与主管机关进行集体谈判的权利是得到承认的，”</w:t>
      </w:r>
      <w:r w:rsidRPr="00BF42B7">
        <w:rPr>
          <w:color w:val="0000FF"/>
          <w:vertAlign w:val="superscript"/>
        </w:rPr>
        <w:footnoteReference w:id="503"/>
      </w:r>
      <w:r w:rsidRPr="00BF42B7">
        <w:rPr>
          <w:color w:val="0000FF"/>
          <w:vertAlign w:val="superscript"/>
        </w:rPr>
        <w:t xml:space="preserve"> </w:t>
      </w:r>
      <w:r w:rsidRPr="00BF42B7">
        <w:rPr>
          <w:rFonts w:hint="eastAsia"/>
        </w:rPr>
        <w:t>“其余的少数例外，只能根据具体情况作出解释”。</w:t>
      </w:r>
      <w:r w:rsidRPr="00BF42B7">
        <w:rPr>
          <w:color w:val="0000FF"/>
          <w:vertAlign w:val="superscript"/>
        </w:rPr>
        <w:footnoteReference w:id="504"/>
      </w:r>
      <w:r w:rsidRPr="00BF42B7">
        <w:rPr>
          <w:color w:val="0000FF"/>
          <w:vertAlign w:val="superscript"/>
        </w:rPr>
        <w:t xml:space="preserve"> </w:t>
      </w:r>
    </w:p>
    <w:p w:rsidR="00B44972" w:rsidRPr="00BF42B7" w:rsidRDefault="00B44972" w:rsidP="00B44972">
      <w:pPr>
        <w:pStyle w:val="SingleTxtGC"/>
      </w:pPr>
      <w:r w:rsidRPr="00BF42B7">
        <w:t>(2</w:t>
      </w:r>
      <w:r w:rsidRPr="00BF42B7">
        <w:rPr>
          <w:rFonts w:hint="eastAsia"/>
        </w:rPr>
        <w:t>9</w:t>
      </w:r>
      <w:r w:rsidRPr="00BF42B7">
        <w:t xml:space="preserve">) </w:t>
      </w:r>
      <w:r w:rsidRPr="00BF42B7">
        <w:rPr>
          <w:rFonts w:hint="eastAsia"/>
        </w:rPr>
        <w:t xml:space="preserve"> </w:t>
      </w:r>
      <w:r w:rsidRPr="00BF42B7">
        <w:rPr>
          <w:rFonts w:hint="eastAsia"/>
        </w:rPr>
        <w:t>美洲人权法院在考虑到缔约方的嗣后惯例时，也没有将惯例的使用限于惯例确定了缔约方一致意见的案例。例如，在</w:t>
      </w:r>
      <w:r w:rsidRPr="00BF42B7">
        <w:t>Hilaire</w:t>
      </w:r>
      <w:r w:rsidRPr="00BF42B7">
        <w:rPr>
          <w:rFonts w:hint="eastAsia"/>
        </w:rPr>
        <w:t>、</w:t>
      </w:r>
      <w:r w:rsidRPr="00BF42B7">
        <w:t>Constantine</w:t>
      </w:r>
      <w:r w:rsidRPr="00BF42B7">
        <w:rPr>
          <w:rFonts w:ascii="Time New Roman" w:eastAsia="楷体" w:hAnsi="Time New Roman" w:hint="eastAsia"/>
        </w:rPr>
        <w:t>和</w:t>
      </w:r>
      <w:r w:rsidRPr="00BF42B7">
        <w:rPr>
          <w:rFonts w:ascii="Time New Roman" w:eastAsia="楷体" w:hAnsi="Time New Roman"/>
        </w:rPr>
        <w:t>Benjamin</w:t>
      </w:r>
      <w:r w:rsidRPr="00BF42B7">
        <w:rPr>
          <w:rFonts w:ascii="Time New Roman" w:eastAsia="楷体" w:hAnsi="Time New Roman" w:hint="eastAsia"/>
        </w:rPr>
        <w:t>等人诉特里尼达和多巴哥</w:t>
      </w:r>
      <w:r w:rsidRPr="00BF42B7">
        <w:rPr>
          <w:rFonts w:hint="eastAsia"/>
        </w:rPr>
        <w:t>一案中，美洲人权法院裁定，所有造成另一人死亡的行为必须判处死刑的做法，不符合《美洲人权公约》第四条第</w:t>
      </w:r>
      <w:r w:rsidRPr="00BF42B7">
        <w:rPr>
          <w:rFonts w:hint="eastAsia"/>
        </w:rPr>
        <w:t>2</w:t>
      </w:r>
      <w:r w:rsidRPr="00BF42B7">
        <w:rPr>
          <w:rFonts w:hint="eastAsia"/>
        </w:rPr>
        <w:t>款</w:t>
      </w:r>
      <w:r w:rsidRPr="00BF42B7">
        <w:rPr>
          <w:rFonts w:hint="eastAsia"/>
        </w:rPr>
        <w:t>(</w:t>
      </w:r>
      <w:r w:rsidRPr="00BF42B7">
        <w:rPr>
          <w:rFonts w:hint="eastAsia"/>
        </w:rPr>
        <w:t>只能对最严重的犯罪判处死刑</w:t>
      </w:r>
      <w:r w:rsidRPr="00BF42B7">
        <w:rPr>
          <w:rFonts w:hint="eastAsia"/>
        </w:rPr>
        <w:t>)</w:t>
      </w:r>
      <w:r w:rsidRPr="00BF42B7">
        <w:rPr>
          <w:rFonts w:hint="eastAsia"/>
        </w:rPr>
        <w:t>。为了支持这一解释，法院认为，“在这方面，有些例子值得考虑</w:t>
      </w:r>
      <w:r w:rsidRPr="00BF42B7">
        <w:rPr>
          <w:rFonts w:hint="eastAsia"/>
          <w:spacing w:val="-50"/>
          <w:lang w:val="fr-CH"/>
        </w:rPr>
        <w:t>―</w:t>
      </w:r>
      <w:r w:rsidRPr="00BF42B7">
        <w:rPr>
          <w:rFonts w:hint="eastAsia"/>
          <w:lang w:val="fr-CH"/>
        </w:rPr>
        <w:t>―</w:t>
      </w:r>
      <w:r w:rsidRPr="00BF42B7">
        <w:rPr>
          <w:rFonts w:hint="eastAsia"/>
        </w:rPr>
        <w:t>那些仍然保留死刑的美洲国家法律中的例子”。</w:t>
      </w:r>
      <w:r w:rsidRPr="00BF42B7">
        <w:rPr>
          <w:color w:val="0000FF"/>
          <w:vertAlign w:val="superscript"/>
        </w:rPr>
        <w:footnoteReference w:id="505"/>
      </w:r>
      <w:r w:rsidRPr="00BF42B7">
        <w:rPr>
          <w:color w:val="0000FF"/>
          <w:vertAlign w:val="superscript"/>
        </w:rPr>
        <w:t xml:space="preserve"> </w:t>
      </w:r>
    </w:p>
    <w:p w:rsidR="00B44972" w:rsidRPr="00BF42B7" w:rsidRDefault="00B44972" w:rsidP="00B44972">
      <w:pPr>
        <w:pStyle w:val="SingleTxtGC"/>
      </w:pPr>
      <w:r w:rsidRPr="00BF42B7">
        <w:rPr>
          <w:spacing w:val="2"/>
        </w:rPr>
        <w:t>(</w:t>
      </w:r>
      <w:r w:rsidRPr="00BF42B7">
        <w:rPr>
          <w:rFonts w:hint="eastAsia"/>
          <w:spacing w:val="2"/>
        </w:rPr>
        <w:t>30</w:t>
      </w:r>
      <w:r w:rsidRPr="00BF42B7">
        <w:rPr>
          <w:spacing w:val="2"/>
        </w:rPr>
        <w:t xml:space="preserve">) </w:t>
      </w:r>
      <w:r w:rsidRPr="00BF42B7">
        <w:rPr>
          <w:rFonts w:hint="eastAsia"/>
          <w:spacing w:val="2"/>
        </w:rPr>
        <w:t xml:space="preserve"> </w:t>
      </w:r>
      <w:r w:rsidRPr="00BF42B7">
        <w:rPr>
          <w:rFonts w:hint="eastAsia"/>
          <w:spacing w:val="2"/>
        </w:rPr>
        <w:t>《公民权利和政治权利国际公约》下设的人权事务委员会在审议为侵犯公约规定的权利提出的辩解时，对根据广义上的嗣后惯例提出的论点持开放态度。</w:t>
      </w:r>
      <w:r w:rsidRPr="00BF42B7">
        <w:rPr>
          <w:color w:val="0000FF"/>
          <w:spacing w:val="2"/>
          <w:vertAlign w:val="superscript"/>
        </w:rPr>
        <w:footnoteReference w:id="506"/>
      </w:r>
      <w:r w:rsidRPr="00BF42B7">
        <w:rPr>
          <w:color w:val="0000FF"/>
          <w:vertAlign w:val="superscript"/>
        </w:rPr>
        <w:t xml:space="preserve"> </w:t>
      </w:r>
      <w:r w:rsidRPr="00BF42B7">
        <w:rPr>
          <w:rFonts w:hint="eastAsia"/>
        </w:rPr>
        <w:t>委员会对《公约》第十九条第</w:t>
      </w:r>
      <w:r w:rsidRPr="00BF42B7">
        <w:rPr>
          <w:rFonts w:hint="eastAsia"/>
        </w:rPr>
        <w:t>3</w:t>
      </w:r>
      <w:r w:rsidRPr="00BF42B7">
        <w:rPr>
          <w:rFonts w:hint="eastAsia"/>
        </w:rPr>
        <w:t>款中较为笼统的规定</w:t>
      </w:r>
      <w:r w:rsidRPr="00BF42B7">
        <w:rPr>
          <w:rFonts w:hint="eastAsia"/>
        </w:rPr>
        <w:t>(</w:t>
      </w:r>
      <w:r w:rsidRPr="00BF42B7">
        <w:rPr>
          <w:rFonts w:hint="eastAsia"/>
        </w:rPr>
        <w:t>可允许的对言论自由的限制</w:t>
      </w:r>
      <w:r w:rsidRPr="00BF42B7">
        <w:rPr>
          <w:rFonts w:hint="eastAsia"/>
        </w:rPr>
        <w:t>)</w:t>
      </w:r>
      <w:r w:rsidRPr="00BF42B7">
        <w:rPr>
          <w:rFonts w:hint="eastAsia"/>
        </w:rPr>
        <w:t>做了解释，认为“在很多司法制度中都可以找到类似的限制，”</w:t>
      </w:r>
      <w:r w:rsidRPr="00BF42B7">
        <w:rPr>
          <w:color w:val="0000FF"/>
          <w:vertAlign w:val="superscript"/>
        </w:rPr>
        <w:footnoteReference w:id="507"/>
      </w:r>
      <w:r w:rsidRPr="00BF42B7">
        <w:rPr>
          <w:color w:val="0000FF"/>
          <w:vertAlign w:val="superscript"/>
        </w:rPr>
        <w:t xml:space="preserve"> </w:t>
      </w:r>
      <w:r w:rsidRPr="00BF42B7">
        <w:rPr>
          <w:rFonts w:hint="eastAsia"/>
        </w:rPr>
        <w:t>委员会的结论是，存在争议的法律所追求的目的，本身并没有超出《公约》第十九条第</w:t>
      </w:r>
      <w:r w:rsidRPr="00BF42B7">
        <w:rPr>
          <w:rFonts w:hint="eastAsia"/>
        </w:rPr>
        <w:t>3</w:t>
      </w:r>
      <w:r w:rsidRPr="00BF42B7">
        <w:rPr>
          <w:rFonts w:hint="eastAsia"/>
        </w:rPr>
        <w:t>款规定的合理目的。</w:t>
      </w:r>
      <w:r w:rsidRPr="00BF42B7">
        <w:rPr>
          <w:color w:val="0000FF"/>
          <w:vertAlign w:val="superscript"/>
        </w:rPr>
        <w:footnoteReference w:id="508"/>
      </w:r>
      <w:r w:rsidRPr="00BF42B7">
        <w:rPr>
          <w:color w:val="0000FF"/>
          <w:vertAlign w:val="superscript"/>
        </w:rPr>
        <w:t xml:space="preserve"> </w:t>
      </w:r>
    </w:p>
    <w:p w:rsidR="00B44972" w:rsidRPr="00BF42B7" w:rsidRDefault="00B44972" w:rsidP="00B44972">
      <w:pPr>
        <w:pStyle w:val="SingleTxtGC"/>
      </w:pPr>
      <w:r w:rsidRPr="00BF42B7">
        <w:t>(3</w:t>
      </w:r>
      <w:r w:rsidRPr="00BF42B7">
        <w:rPr>
          <w:rFonts w:hint="eastAsia"/>
        </w:rPr>
        <w:t>1</w:t>
      </w:r>
      <w:r w:rsidRPr="00BF42B7">
        <w:t xml:space="preserve">) </w:t>
      </w:r>
      <w:r w:rsidRPr="00BF42B7">
        <w:rPr>
          <w:rFonts w:hint="eastAsia"/>
        </w:rPr>
        <w:t xml:space="preserve"> </w:t>
      </w:r>
      <w:r w:rsidRPr="00BF42B7">
        <w:rPr>
          <w:rFonts w:hint="eastAsia"/>
        </w:rPr>
        <w:t>国际海洋法法庭几次提到缔约方的嗣后惯例，但并没有核实这些惯例是否实际上确定了缔约方就条约解释的一致意思。例如，在</w:t>
      </w:r>
      <w:r w:rsidRPr="00BF42B7">
        <w:rPr>
          <w:iCs/>
        </w:rPr>
        <w:t>M/V</w:t>
      </w:r>
      <w:r w:rsidRPr="00BF42B7">
        <w:rPr>
          <w:rFonts w:hint="eastAsia"/>
        </w:rPr>
        <w:t>“</w:t>
      </w:r>
      <w:r w:rsidRPr="00BF42B7">
        <w:rPr>
          <w:iCs/>
        </w:rPr>
        <w:t>SAIGA</w:t>
      </w:r>
      <w:r w:rsidRPr="00BF42B7">
        <w:rPr>
          <w:rFonts w:hint="eastAsia"/>
        </w:rPr>
        <w:t>”</w:t>
      </w:r>
      <w:r w:rsidRPr="00BF42B7">
        <w:rPr>
          <w:iCs/>
        </w:rPr>
        <w:t>(</w:t>
      </w:r>
      <w:r w:rsidRPr="00BF42B7">
        <w:rPr>
          <w:rFonts w:hint="eastAsia"/>
          <w:iCs/>
        </w:rPr>
        <w:t>第</w:t>
      </w:r>
      <w:r w:rsidRPr="00BF42B7">
        <w:rPr>
          <w:rFonts w:hint="eastAsia"/>
          <w:iCs/>
        </w:rPr>
        <w:t>2</w:t>
      </w:r>
      <w:r w:rsidRPr="00BF42B7">
        <w:rPr>
          <w:rFonts w:hint="eastAsia"/>
          <w:iCs/>
        </w:rPr>
        <w:t>号</w:t>
      </w:r>
      <w:r w:rsidRPr="00BF42B7">
        <w:rPr>
          <w:iCs/>
        </w:rPr>
        <w:t>)</w:t>
      </w:r>
      <w:r w:rsidRPr="00BF42B7">
        <w:rPr>
          <w:rFonts w:hint="eastAsia"/>
        </w:rPr>
        <w:t>案中，</w:t>
      </w:r>
      <w:bookmarkStart w:id="122" w:name="_Ref461975866"/>
      <w:r w:rsidRPr="00BF42B7">
        <w:rPr>
          <w:color w:val="0000FF"/>
          <w:vertAlign w:val="superscript"/>
        </w:rPr>
        <w:footnoteReference w:id="509"/>
      </w:r>
      <w:bookmarkEnd w:id="122"/>
      <w:r w:rsidRPr="00BF42B7">
        <w:rPr>
          <w:color w:val="0000FF"/>
          <w:vertAlign w:val="superscript"/>
        </w:rPr>
        <w:t xml:space="preserve"> </w:t>
      </w:r>
      <w:r w:rsidRPr="00BF42B7">
        <w:rPr>
          <w:rFonts w:hint="eastAsia"/>
        </w:rPr>
        <w:t>法庭根据《</w:t>
      </w:r>
      <w:r w:rsidRPr="00BF42B7">
        <w:t>联合国海洋法公约</w:t>
      </w:r>
      <w:r w:rsidRPr="00BF42B7">
        <w:rPr>
          <w:rFonts w:hint="eastAsia"/>
        </w:rPr>
        <w:t>》</w:t>
      </w:r>
      <w:r w:rsidRPr="00BF42B7">
        <w:rPr>
          <w:color w:val="0000FF"/>
          <w:vertAlign w:val="superscript"/>
        </w:rPr>
        <w:footnoteReference w:id="510"/>
      </w:r>
      <w:r w:rsidRPr="00BF42B7">
        <w:rPr>
          <w:color w:val="0000FF"/>
          <w:vertAlign w:val="superscript"/>
        </w:rPr>
        <w:t xml:space="preserve"> </w:t>
      </w:r>
      <w:r w:rsidRPr="00BF42B7">
        <w:rPr>
          <w:rFonts w:hint="eastAsia"/>
        </w:rPr>
        <w:t>审议了使用武力迫使船只停止航行的做法。法庭依据了“停止船只航行的通常做法”，但没有具体指明相关的国家惯例，而是假定存在某种一般标准。</w:t>
      </w:r>
      <w:r w:rsidRPr="00BF42B7">
        <w:rPr>
          <w:color w:val="0000FF"/>
          <w:vertAlign w:val="superscript"/>
        </w:rPr>
        <w:footnoteReference w:id="511"/>
      </w:r>
      <w:r w:rsidRPr="00BF42B7">
        <w:rPr>
          <w:color w:val="0000FF"/>
          <w:vertAlign w:val="superscript"/>
        </w:rPr>
        <w:t xml:space="preserve"> </w:t>
      </w:r>
    </w:p>
    <w:p w:rsidR="00B44972" w:rsidRPr="00BF42B7" w:rsidRDefault="00B44972" w:rsidP="00B44972">
      <w:pPr>
        <w:pStyle w:val="SingleTxtGC"/>
      </w:pPr>
      <w:r w:rsidRPr="00BF42B7">
        <w:t>(3</w:t>
      </w:r>
      <w:r w:rsidRPr="00BF42B7">
        <w:rPr>
          <w:rFonts w:hint="eastAsia"/>
        </w:rPr>
        <w:t>2</w:t>
      </w:r>
      <w:r w:rsidRPr="00BF42B7">
        <w:t xml:space="preserve">) </w:t>
      </w:r>
      <w:r w:rsidRPr="00BF42B7">
        <w:rPr>
          <w:rFonts w:hint="eastAsia"/>
        </w:rPr>
        <w:t xml:space="preserve"> </w:t>
      </w:r>
      <w:r w:rsidRPr="00BF42B7">
        <w:t>前南斯拉夫问题国际刑事法庭</w:t>
      </w:r>
      <w:r w:rsidRPr="00BF42B7">
        <w:rPr>
          <w:rFonts w:hint="eastAsia"/>
        </w:rPr>
        <w:t>在</w:t>
      </w:r>
      <w:r w:rsidRPr="00BF42B7">
        <w:rPr>
          <w:i/>
        </w:rPr>
        <w:t>Jelisić</w:t>
      </w:r>
      <w:r w:rsidRPr="00BF42B7">
        <w:rPr>
          <w:rFonts w:hint="eastAsia"/>
        </w:rPr>
        <w:t>案判决中提到《防止及惩治灭绝种族罪公约》</w:t>
      </w:r>
      <w:r w:rsidRPr="00BF42B7">
        <w:rPr>
          <w:color w:val="0000FF"/>
          <w:vertAlign w:val="superscript"/>
        </w:rPr>
        <w:footnoteReference w:id="512"/>
      </w:r>
      <w:r w:rsidRPr="00BF42B7">
        <w:rPr>
          <w:rFonts w:hint="eastAsia"/>
        </w:rPr>
        <w:t>，指出：</w:t>
      </w:r>
    </w:p>
    <w:p w:rsidR="00B44972" w:rsidRPr="00BF42B7" w:rsidRDefault="00B44972" w:rsidP="00B44972">
      <w:pPr>
        <w:pStyle w:val="SingleTxtGC"/>
        <w:ind w:left="1554"/>
      </w:pPr>
      <w:r w:rsidRPr="00BF42B7">
        <w:rPr>
          <w:rFonts w:hint="eastAsia"/>
        </w:rPr>
        <w:t>“审判庭……根据《维也纳条约法公约》第</w:t>
      </w:r>
      <w:r w:rsidRPr="00BF42B7">
        <w:t>三十一</w:t>
      </w:r>
      <w:r w:rsidRPr="00BF42B7">
        <w:rPr>
          <w:rFonts w:hint="eastAsia"/>
        </w:rPr>
        <w:t>和第</w:t>
      </w:r>
      <w:r w:rsidRPr="00BF42B7">
        <w:t>三十二</w:t>
      </w:r>
      <w:r w:rsidRPr="00BF42B7">
        <w:rPr>
          <w:rFonts w:hint="eastAsia"/>
        </w:rPr>
        <w:t>条规定的解释条约的一般规则，解释《灭绝种族罪公约》的条款。……审判庭还考虑到有关公约的嗣后惯例。特别考虑到</w:t>
      </w:r>
      <w:r w:rsidRPr="00BF42B7">
        <w:t>卢旺达问题国际刑事法庭</w:t>
      </w:r>
      <w:r w:rsidRPr="00BF42B7">
        <w:rPr>
          <w:rFonts w:hint="eastAsia"/>
        </w:rPr>
        <w:t>做出的裁决。……各国的惯例，特别是国内法院体现的惯例，以及国际权威部门在这个领域里的工作也得到考虑。”</w:t>
      </w:r>
      <w:r w:rsidRPr="00BF42B7">
        <w:rPr>
          <w:color w:val="0000FF"/>
          <w:vertAlign w:val="superscript"/>
        </w:rPr>
        <w:footnoteReference w:id="513"/>
      </w:r>
      <w:r w:rsidRPr="00BF42B7">
        <w:rPr>
          <w:color w:val="0000FF"/>
          <w:vertAlign w:val="superscript"/>
        </w:rPr>
        <w:t xml:space="preserve"> </w:t>
      </w:r>
    </w:p>
    <w:p w:rsidR="00B44972" w:rsidRPr="00BF42B7" w:rsidRDefault="00B44972" w:rsidP="00B44972">
      <w:pPr>
        <w:pStyle w:val="SingleTxtGC"/>
      </w:pPr>
      <w:r w:rsidRPr="00BF42B7">
        <w:t>(3</w:t>
      </w:r>
      <w:r w:rsidRPr="00BF42B7">
        <w:rPr>
          <w:rFonts w:hint="eastAsia"/>
        </w:rPr>
        <w:t>3</w:t>
      </w:r>
      <w:r w:rsidRPr="00BF42B7">
        <w:t xml:space="preserve">) </w:t>
      </w:r>
      <w:r w:rsidRPr="00BF42B7">
        <w:rPr>
          <w:rFonts w:hint="eastAsia"/>
        </w:rPr>
        <w:t xml:space="preserve"> </w:t>
      </w:r>
      <w:r w:rsidRPr="00BF42B7">
        <w:rPr>
          <w:rFonts w:hint="eastAsia"/>
        </w:rPr>
        <w:t>世贸组织的解决争端机构有时也对满足所有第</w:t>
      </w:r>
      <w:r w:rsidRPr="00BF42B7">
        <w:t>三十一</w:t>
      </w:r>
      <w:r w:rsidRPr="00BF42B7">
        <w:rPr>
          <w:rFonts w:hint="eastAsia"/>
        </w:rPr>
        <w:t>条第三款</w:t>
      </w:r>
      <w:r w:rsidRPr="00BF42B7">
        <w:rPr>
          <w:rFonts w:hint="eastAsia"/>
        </w:rPr>
        <w:t>(</w:t>
      </w:r>
      <w:r w:rsidRPr="00BF42B7">
        <w:t>b</w:t>
      </w:r>
      <w:r w:rsidRPr="00BF42B7">
        <w:rPr>
          <w:rFonts w:hint="eastAsia"/>
        </w:rPr>
        <w:t>)</w:t>
      </w:r>
      <w:r w:rsidRPr="00BF42B7">
        <w:rPr>
          <w:rFonts w:hint="eastAsia"/>
        </w:rPr>
        <w:t>项条件的“嗣后惯例”，与在适用条约方面其他形式的嗣后惯例之间作出区分，他们认为</w:t>
      </w:r>
      <w:r w:rsidRPr="00BF42B7">
        <w:rPr>
          <w:rFonts w:hint="eastAsia"/>
          <w:spacing w:val="-4"/>
        </w:rPr>
        <w:t>后者对条约解释目的而言也是相关的。例如，在</w:t>
      </w:r>
      <w:r w:rsidRPr="00BF42B7">
        <w:rPr>
          <w:rFonts w:ascii="Time New Roman" w:eastAsia="楷体" w:hAnsi="Time New Roman" w:hint="eastAsia"/>
        </w:rPr>
        <w:t>美国版权法第</w:t>
      </w:r>
      <w:r w:rsidRPr="00BF42B7">
        <w:rPr>
          <w:rFonts w:ascii="Time New Roman" w:eastAsia="楷体" w:hAnsi="Time New Roman"/>
        </w:rPr>
        <w:t>110(5)</w:t>
      </w:r>
      <w:r w:rsidRPr="00BF42B7">
        <w:rPr>
          <w:rFonts w:ascii="Time New Roman" w:eastAsia="楷体" w:hAnsi="Time New Roman" w:hint="eastAsia"/>
        </w:rPr>
        <w:t>节条款案</w:t>
      </w:r>
      <w:r w:rsidRPr="00BF42B7">
        <w:rPr>
          <w:rFonts w:hint="eastAsia"/>
          <w:spacing w:val="-4"/>
        </w:rPr>
        <w:t>中</w:t>
      </w:r>
      <w:r w:rsidRPr="00BF42B7">
        <w:rPr>
          <w:color w:val="0000FF"/>
          <w:spacing w:val="-4"/>
          <w:vertAlign w:val="superscript"/>
        </w:rPr>
        <w:footnoteReference w:id="514"/>
      </w:r>
      <w:r w:rsidRPr="00BF42B7">
        <w:rPr>
          <w:color w:val="0000FF"/>
          <w:spacing w:val="-4"/>
          <w:vertAlign w:val="superscript"/>
        </w:rPr>
        <w:t xml:space="preserve"> </w:t>
      </w:r>
      <w:r w:rsidRPr="00BF42B7">
        <w:rPr>
          <w:rFonts w:hint="eastAsia"/>
        </w:rPr>
        <w:t>(</w:t>
      </w:r>
      <w:r w:rsidRPr="00BF42B7">
        <w:rPr>
          <w:rFonts w:hint="eastAsia"/>
        </w:rPr>
        <w:t>未上诉</w:t>
      </w:r>
      <w:r w:rsidRPr="00BF42B7">
        <w:rPr>
          <w:rFonts w:hint="eastAsia"/>
        </w:rPr>
        <w:t>)</w:t>
      </w:r>
      <w:r w:rsidRPr="00BF42B7">
        <w:rPr>
          <w:rFonts w:hint="eastAsia"/>
        </w:rPr>
        <w:t>，专家组必须确定有关支付版权的“轻微例外原则”是否适用。</w:t>
      </w:r>
      <w:bookmarkStart w:id="123" w:name="_Ref461977135"/>
      <w:r w:rsidRPr="00BF42B7">
        <w:rPr>
          <w:color w:val="0000FF"/>
          <w:vertAlign w:val="superscript"/>
        </w:rPr>
        <w:footnoteReference w:id="515"/>
      </w:r>
      <w:bookmarkEnd w:id="123"/>
      <w:r w:rsidRPr="00BF42B7">
        <w:rPr>
          <w:color w:val="0000FF"/>
          <w:vertAlign w:val="superscript"/>
        </w:rPr>
        <w:t xml:space="preserve"> </w:t>
      </w:r>
      <w:r w:rsidRPr="00BF42B7">
        <w:rPr>
          <w:rFonts w:hint="eastAsia"/>
        </w:rPr>
        <w:t>专家组发现有证据表明在几个成员国的国内法中确有这种原则存在，指出：</w:t>
      </w:r>
    </w:p>
    <w:p w:rsidR="00B44972" w:rsidRPr="00BF42B7" w:rsidRDefault="00B44972" w:rsidP="00B44972">
      <w:pPr>
        <w:pStyle w:val="SingleTxtGC"/>
        <w:ind w:left="1554"/>
      </w:pPr>
      <w:r w:rsidRPr="00BF42B7">
        <w:rPr>
          <w:rFonts w:hint="eastAsia"/>
        </w:rPr>
        <w:t>“……我们忆及《维也纳公约》第</w:t>
      </w:r>
      <w:r w:rsidRPr="00BF42B7">
        <w:t>三十一</w:t>
      </w:r>
      <w:r w:rsidRPr="00BF42B7">
        <w:rPr>
          <w:rFonts w:hint="eastAsia"/>
        </w:rPr>
        <w:t>条第三款规定，出于解释的目的，应联系上下文考虑</w:t>
      </w:r>
      <w:r w:rsidRPr="00BF42B7">
        <w:rPr>
          <w:rFonts w:hint="eastAsia"/>
        </w:rPr>
        <w:t>(</w:t>
      </w:r>
      <w:r w:rsidRPr="00BF42B7">
        <w:t>a</w:t>
      </w:r>
      <w:r w:rsidRPr="00BF42B7">
        <w:rPr>
          <w:rFonts w:hint="eastAsia"/>
        </w:rPr>
        <w:t xml:space="preserve">) </w:t>
      </w:r>
      <w:r w:rsidRPr="00BF42B7">
        <w:rPr>
          <w:rFonts w:hint="eastAsia"/>
        </w:rPr>
        <w:t>任何嗣后协定、</w:t>
      </w:r>
      <w:r w:rsidRPr="00BF42B7">
        <w:rPr>
          <w:rFonts w:hint="eastAsia"/>
        </w:rPr>
        <w:t>(</w:t>
      </w:r>
      <w:r w:rsidRPr="00BF42B7">
        <w:t>b</w:t>
      </w:r>
      <w:r w:rsidRPr="00BF42B7">
        <w:rPr>
          <w:rFonts w:hint="eastAsia"/>
        </w:rPr>
        <w:t xml:space="preserve">) </w:t>
      </w:r>
      <w:r w:rsidRPr="00BF42B7">
        <w:rPr>
          <w:rFonts w:hint="eastAsia"/>
        </w:rPr>
        <w:t>嗣后惯例或</w:t>
      </w:r>
      <w:r w:rsidRPr="00BF42B7">
        <w:rPr>
          <w:rFonts w:hint="eastAsia"/>
        </w:rPr>
        <w:t>(</w:t>
      </w:r>
      <w:r w:rsidRPr="00BF42B7">
        <w:t>c</w:t>
      </w:r>
      <w:r w:rsidRPr="00BF42B7">
        <w:rPr>
          <w:rFonts w:hint="eastAsia"/>
        </w:rPr>
        <w:t xml:space="preserve">) </w:t>
      </w:r>
      <w:r w:rsidRPr="00BF42B7">
        <w:rPr>
          <w:rFonts w:hint="eastAsia"/>
        </w:rPr>
        <w:t>任何对缔约方适用的相关国际法规则。我们注意到，当事方和一些第三方向我们提出了一些国家的事例，表明其国内法基于轻微例外原则的限制。我们认为，伯尔尼联盟成员国的版权法在</w:t>
      </w:r>
      <w:r w:rsidRPr="00BF42B7">
        <w:t>1948</w:t>
      </w:r>
      <w:r w:rsidRPr="00BF42B7">
        <w:rPr>
          <w:rFonts w:hint="eastAsia"/>
        </w:rPr>
        <w:t>、</w:t>
      </w:r>
      <w:r w:rsidRPr="00BF42B7">
        <w:t>19</w:t>
      </w:r>
      <w:r w:rsidRPr="00BF42B7">
        <w:rPr>
          <w:rFonts w:hint="eastAsia"/>
        </w:rPr>
        <w:t>6</w:t>
      </w:r>
      <w:r w:rsidRPr="00BF42B7">
        <w:t>7</w:t>
      </w:r>
      <w:r w:rsidRPr="00BF42B7">
        <w:rPr>
          <w:rFonts w:hint="eastAsia"/>
        </w:rPr>
        <w:t>和</w:t>
      </w:r>
      <w:r w:rsidRPr="00BF42B7">
        <w:t>1971</w:t>
      </w:r>
      <w:r w:rsidRPr="00BF42B7">
        <w:rPr>
          <w:rFonts w:hint="eastAsia"/>
        </w:rPr>
        <w:t>年之前和之后，以及世贸组织成员国的版权法在《与贸易有关的知识产权协定》对它们生效之前和之后，其中所反映的各国的做法，证实了我们对轻微例外原则所做的结论。”</w:t>
      </w:r>
      <w:r w:rsidRPr="00BF42B7">
        <w:rPr>
          <w:color w:val="0000FF"/>
          <w:vertAlign w:val="superscript"/>
        </w:rPr>
        <w:footnoteReference w:id="516"/>
      </w:r>
      <w:r w:rsidRPr="00BF42B7">
        <w:rPr>
          <w:color w:val="0000FF"/>
          <w:vertAlign w:val="superscript"/>
        </w:rPr>
        <w:t xml:space="preserve"> </w:t>
      </w:r>
    </w:p>
    <w:p w:rsidR="00B44972" w:rsidRPr="00BF42B7" w:rsidRDefault="00B44972" w:rsidP="00B44972">
      <w:pPr>
        <w:pStyle w:val="SingleTxtGC"/>
      </w:pPr>
      <w:r w:rsidRPr="00BF42B7">
        <w:rPr>
          <w:rFonts w:hint="eastAsia"/>
        </w:rPr>
        <w:t>专家组为谨慎起见又补充了以下脚注：</w:t>
      </w:r>
    </w:p>
    <w:p w:rsidR="00B44972" w:rsidRPr="00BF42B7" w:rsidRDefault="00B44972" w:rsidP="00B44972">
      <w:pPr>
        <w:pStyle w:val="SingleTxtGC"/>
        <w:ind w:left="1554"/>
      </w:pPr>
      <w:r w:rsidRPr="00BF42B7">
        <w:rPr>
          <w:rFonts w:hint="eastAsia"/>
        </w:rPr>
        <w:t>“我们阐述这些国家惯例的例子，并非想对这些例子是否足以构成《维也纳公约》第</w:t>
      </w:r>
      <w:r w:rsidRPr="00BF42B7">
        <w:t>三十一</w:t>
      </w:r>
      <w:r w:rsidRPr="00BF42B7">
        <w:rPr>
          <w:rFonts w:hint="eastAsia"/>
        </w:rPr>
        <w:t>条第三款</w:t>
      </w:r>
      <w:r w:rsidRPr="00BF42B7">
        <w:rPr>
          <w:rFonts w:hint="eastAsia"/>
        </w:rPr>
        <w:t>(</w:t>
      </w:r>
      <w:r w:rsidRPr="00BF42B7">
        <w:t>b</w:t>
      </w:r>
      <w:r w:rsidRPr="00BF42B7">
        <w:rPr>
          <w:rFonts w:hint="eastAsia"/>
        </w:rPr>
        <w:t>)</w:t>
      </w:r>
      <w:r w:rsidRPr="00BF42B7">
        <w:rPr>
          <w:rFonts w:hint="eastAsia"/>
        </w:rPr>
        <w:t>项含义内的“嗣后惯例”表达意见。</w:t>
      </w:r>
      <w:r w:rsidRPr="00BF42B7">
        <w:rPr>
          <w:color w:val="0000FF"/>
          <w:vertAlign w:val="superscript"/>
        </w:rPr>
        <w:footnoteReference w:id="517"/>
      </w:r>
      <w:r w:rsidRPr="00BF42B7">
        <w:rPr>
          <w:color w:val="0000FF"/>
          <w:vertAlign w:val="superscript"/>
        </w:rPr>
        <w:t xml:space="preserve"> </w:t>
      </w:r>
    </w:p>
    <w:p w:rsidR="00B44972" w:rsidRPr="00BF42B7" w:rsidRDefault="00B44972" w:rsidP="00B44972">
      <w:pPr>
        <w:pStyle w:val="SingleTxtGC"/>
      </w:pPr>
      <w:r w:rsidRPr="00BF42B7">
        <w:t>(3</w:t>
      </w:r>
      <w:r w:rsidRPr="00BF42B7">
        <w:rPr>
          <w:rFonts w:hint="eastAsia"/>
        </w:rPr>
        <w:t>4</w:t>
      </w:r>
      <w:r w:rsidRPr="00BF42B7">
        <w:t xml:space="preserve">) </w:t>
      </w:r>
      <w:r w:rsidRPr="00BF42B7">
        <w:rPr>
          <w:rFonts w:hint="eastAsia"/>
        </w:rPr>
        <w:t xml:space="preserve"> </w:t>
      </w:r>
      <w:r w:rsidRPr="00BF42B7">
        <w:rPr>
          <w:rFonts w:hint="eastAsia"/>
        </w:rPr>
        <w:t>在</w:t>
      </w:r>
      <w:r w:rsidRPr="00BF42B7">
        <w:rPr>
          <w:rFonts w:ascii="Time New Roman" w:eastAsia="楷体" w:hAnsi="Time New Roman" w:hint="eastAsia"/>
        </w:rPr>
        <w:t>欧洲共同体</w:t>
      </w:r>
      <w:r w:rsidRPr="00BF42B7">
        <w:rPr>
          <w:rFonts w:ascii="Time New Roman" w:hAnsi="Time New Roman" w:hint="eastAsia"/>
        </w:rPr>
        <w:t>－</w:t>
      </w:r>
      <w:r w:rsidRPr="00BF42B7">
        <w:rPr>
          <w:rFonts w:ascii="Time New Roman" w:eastAsia="楷体" w:hAnsi="Time New Roman" w:hint="eastAsia"/>
        </w:rPr>
        <w:t>某些计算机设备关税分类案</w:t>
      </w:r>
      <w:r w:rsidRPr="00BF42B7">
        <w:rPr>
          <w:rFonts w:hint="eastAsia"/>
        </w:rPr>
        <w:t>中，世贸组织上诉机构批评专家组没有作为相关的嗣后惯例，考虑世界海关组织协调制度委员会的决定：</w:t>
      </w:r>
    </w:p>
    <w:p w:rsidR="00B44972" w:rsidRPr="00BF42B7" w:rsidRDefault="00B44972" w:rsidP="00B44972">
      <w:pPr>
        <w:pStyle w:val="SingleTxtGC"/>
        <w:ind w:left="1554"/>
        <w:rPr>
          <w:spacing w:val="2"/>
        </w:rPr>
      </w:pPr>
      <w:r w:rsidRPr="00BF42B7">
        <w:rPr>
          <w:rFonts w:hint="eastAsia"/>
          <w:spacing w:val="2"/>
        </w:rPr>
        <w:t>“适当的解释还应包括研究现有的和相关的嗣后惯例。我们注意到，美国曾向专家组提出世界海关组织协调制度委员会</w:t>
      </w:r>
      <w:r w:rsidRPr="00BF42B7">
        <w:rPr>
          <w:spacing w:val="2"/>
        </w:rPr>
        <w:t>1997</w:t>
      </w:r>
      <w:r w:rsidRPr="00BF42B7">
        <w:rPr>
          <w:rFonts w:hint="eastAsia"/>
          <w:spacing w:val="2"/>
        </w:rPr>
        <w:t>年</w:t>
      </w:r>
      <w:r w:rsidRPr="00BF42B7">
        <w:rPr>
          <w:spacing w:val="2"/>
        </w:rPr>
        <w:t>4</w:t>
      </w:r>
      <w:r w:rsidRPr="00BF42B7">
        <w:rPr>
          <w:rFonts w:hint="eastAsia"/>
          <w:spacing w:val="2"/>
        </w:rPr>
        <w:t>月关于某些</w:t>
      </w:r>
      <w:r w:rsidRPr="00BF42B7">
        <w:rPr>
          <w:spacing w:val="2"/>
        </w:rPr>
        <w:t>LAN</w:t>
      </w:r>
      <w:r w:rsidRPr="00BF42B7">
        <w:rPr>
          <w:rFonts w:hint="eastAsia"/>
          <w:spacing w:val="2"/>
        </w:rPr>
        <w:t>设备按</w:t>
      </w:r>
      <w:r w:rsidRPr="00BF42B7">
        <w:rPr>
          <w:spacing w:val="2"/>
        </w:rPr>
        <w:t>ADP</w:t>
      </w:r>
      <w:r w:rsidRPr="00BF42B7">
        <w:rPr>
          <w:rFonts w:hint="eastAsia"/>
          <w:spacing w:val="2"/>
        </w:rPr>
        <w:t>机器分类的决定。新加坡作为专家组审理中的第三方，也提到这些决定。欧洲共同体指出，它曾对这些决定提出保留。……然而，我们认为，在解释关税减让税率表</w:t>
      </w:r>
      <w:r w:rsidRPr="00BF42B7">
        <w:rPr>
          <w:rFonts w:hint="eastAsia"/>
          <w:spacing w:val="2"/>
        </w:rPr>
        <w:t>LXXX</w:t>
      </w:r>
      <w:r w:rsidRPr="00BF42B7">
        <w:rPr>
          <w:rFonts w:hint="eastAsia"/>
          <w:spacing w:val="2"/>
        </w:rPr>
        <w:t>方面，海关组织的决定可能是相关的……”</w:t>
      </w:r>
      <w:r w:rsidRPr="00BF42B7">
        <w:rPr>
          <w:color w:val="0000FF"/>
          <w:spacing w:val="2"/>
          <w:vertAlign w:val="superscript"/>
        </w:rPr>
        <w:footnoteReference w:id="518"/>
      </w:r>
      <w:r w:rsidRPr="00BF42B7">
        <w:rPr>
          <w:color w:val="0000FF"/>
          <w:spacing w:val="2"/>
          <w:vertAlign w:val="superscript"/>
        </w:rPr>
        <w:t xml:space="preserve"> </w:t>
      </w:r>
    </w:p>
    <w:p w:rsidR="00B44972" w:rsidRPr="00BF42B7" w:rsidRDefault="00B44972" w:rsidP="00B44972">
      <w:pPr>
        <w:pStyle w:val="SingleTxtGC"/>
      </w:pPr>
      <w:r w:rsidRPr="00BF42B7">
        <w:rPr>
          <w:rFonts w:hint="eastAsia"/>
        </w:rPr>
        <w:t>因此，在经过认真研究之后，世贸组织的争端解决机构也承认第</w:t>
      </w:r>
      <w:r w:rsidRPr="00BF42B7">
        <w:t>三十一</w:t>
      </w:r>
      <w:r w:rsidRPr="00BF42B7">
        <w:rPr>
          <w:rFonts w:hint="eastAsia"/>
        </w:rPr>
        <w:t>条第三款</w:t>
      </w:r>
      <w:r w:rsidRPr="00BF42B7">
        <w:rPr>
          <w:rFonts w:hint="eastAsia"/>
        </w:rPr>
        <w:t>(</w:t>
      </w:r>
      <w:r w:rsidRPr="00BF42B7">
        <w:t>b</w:t>
      </w:r>
      <w:r w:rsidRPr="00BF42B7">
        <w:rPr>
          <w:rFonts w:hint="eastAsia"/>
        </w:rPr>
        <w:t>)</w:t>
      </w:r>
      <w:r w:rsidRPr="00BF42B7">
        <w:rPr>
          <w:rFonts w:hint="eastAsia"/>
        </w:rPr>
        <w:t>项下的“嗣后惯例”与更广义的嗣后惯例概念之间的区别，即后者并不要求所有条约缔约方之间的一致。</w:t>
      </w:r>
      <w:r w:rsidRPr="00BF42B7">
        <w:rPr>
          <w:color w:val="0000FF"/>
          <w:vertAlign w:val="superscript"/>
        </w:rPr>
        <w:footnoteReference w:id="519"/>
      </w:r>
      <w:r w:rsidRPr="00BF42B7">
        <w:rPr>
          <w:color w:val="0000FF"/>
          <w:vertAlign w:val="superscript"/>
        </w:rPr>
        <w:t xml:space="preserve"> </w:t>
      </w:r>
    </w:p>
    <w:p w:rsidR="00B44972" w:rsidRPr="00BF42B7" w:rsidRDefault="00B44972" w:rsidP="00B44972">
      <w:pPr>
        <w:pStyle w:val="SingleTxtGC"/>
      </w:pPr>
      <w:r w:rsidRPr="00BF42B7">
        <w:rPr>
          <w:spacing w:val="2"/>
        </w:rPr>
        <w:t>(3</w:t>
      </w:r>
      <w:r w:rsidRPr="00BF42B7">
        <w:rPr>
          <w:rFonts w:hint="eastAsia"/>
          <w:spacing w:val="2"/>
        </w:rPr>
        <w:t>5</w:t>
      </w:r>
      <w:r w:rsidRPr="00BF42B7">
        <w:rPr>
          <w:spacing w:val="2"/>
        </w:rPr>
        <w:t xml:space="preserve">) </w:t>
      </w:r>
      <w:r w:rsidRPr="00BF42B7">
        <w:rPr>
          <w:rFonts w:hint="eastAsia"/>
          <w:spacing w:val="2"/>
        </w:rPr>
        <w:t xml:space="preserve"> </w:t>
      </w:r>
      <w:r w:rsidRPr="00BF42B7">
        <w:rPr>
          <w:rFonts w:hint="eastAsia"/>
          <w:spacing w:val="2"/>
        </w:rPr>
        <w:t>在采用一个或几个缔约方，但不是所有条约缔约方的嗣后惯例作为第</w:t>
      </w:r>
      <w:r w:rsidRPr="00BF42B7">
        <w:rPr>
          <w:spacing w:val="2"/>
        </w:rPr>
        <w:t>三十二</w:t>
      </w:r>
      <w:r w:rsidRPr="00BF42B7">
        <w:rPr>
          <w:rFonts w:hint="eastAsia"/>
          <w:spacing w:val="2"/>
        </w:rPr>
        <w:t>条下解释的补充资料时，必须始终牢记，“一个国家的意见不构成国际法”。</w:t>
      </w:r>
      <w:r w:rsidRPr="00BF42B7">
        <w:rPr>
          <w:color w:val="0000FF"/>
          <w:spacing w:val="2"/>
          <w:vertAlign w:val="superscript"/>
        </w:rPr>
        <w:footnoteReference w:id="520"/>
      </w:r>
      <w:r w:rsidRPr="00BF42B7">
        <w:rPr>
          <w:color w:val="0000FF"/>
          <w:vertAlign w:val="superscript"/>
        </w:rPr>
        <w:t xml:space="preserve"> </w:t>
      </w:r>
      <w:r w:rsidRPr="00BF42B7">
        <w:rPr>
          <w:rFonts w:hint="eastAsia"/>
        </w:rPr>
        <w:t>无论如何，第</w:t>
      </w:r>
      <w:r w:rsidRPr="00BF42B7">
        <w:t>三十一</w:t>
      </w:r>
      <w:r w:rsidRPr="00BF42B7">
        <w:rPr>
          <w:rFonts w:hint="eastAsia"/>
        </w:rPr>
        <w:t>条第三款</w:t>
      </w:r>
      <w:r w:rsidRPr="00BF42B7">
        <w:rPr>
          <w:rFonts w:hint="eastAsia"/>
        </w:rPr>
        <w:t>(</w:t>
      </w:r>
      <w:r w:rsidRPr="00BF42B7">
        <w:t>b</w:t>
      </w:r>
      <w:r w:rsidRPr="00BF42B7">
        <w:rPr>
          <w:rFonts w:hint="eastAsia"/>
        </w:rPr>
        <w:t>)</w:t>
      </w:r>
      <w:r w:rsidRPr="00BF42B7">
        <w:rPr>
          <w:rFonts w:hint="eastAsia"/>
        </w:rPr>
        <w:t>项下达成一致的嗣后惯例</w:t>
      </w:r>
      <w:r w:rsidRPr="00BF42B7">
        <w:rPr>
          <w:rFonts w:hint="eastAsia"/>
          <w:spacing w:val="-50"/>
          <w:lang w:val="fr-CH"/>
        </w:rPr>
        <w:t>―</w:t>
      </w:r>
      <w:r w:rsidRPr="00BF42B7">
        <w:rPr>
          <w:rFonts w:hint="eastAsia"/>
          <w:lang w:val="fr-CH"/>
        </w:rPr>
        <w:t>―</w:t>
      </w:r>
      <w:r w:rsidRPr="00BF42B7">
        <w:rPr>
          <w:rFonts w:hint="eastAsia"/>
        </w:rPr>
        <w:t>作为作准的解释资料，与第</w:t>
      </w:r>
      <w:r w:rsidRPr="00BF42B7">
        <w:t>三十二</w:t>
      </w:r>
      <w:r w:rsidRPr="00BF42B7">
        <w:rPr>
          <w:rFonts w:hint="eastAsia"/>
        </w:rPr>
        <w:t>条之下</w:t>
      </w:r>
      <w:r w:rsidRPr="00BF42B7">
        <w:rPr>
          <w:rFonts w:hint="eastAsia"/>
        </w:rPr>
        <w:t>(</w:t>
      </w:r>
      <w:r w:rsidRPr="00BF42B7">
        <w:rPr>
          <w:rFonts w:hint="eastAsia"/>
        </w:rPr>
        <w:t>广义</w:t>
      </w:r>
      <w:r w:rsidRPr="00BF42B7">
        <w:rPr>
          <w:rFonts w:hint="eastAsia"/>
        </w:rPr>
        <w:t>)</w:t>
      </w:r>
      <w:r w:rsidRPr="00BF42B7">
        <w:rPr>
          <w:rFonts w:hint="eastAsia"/>
        </w:rPr>
        <w:t>的其他嗣后惯例，两者之间的区别意味着应给予前者更大的解释权重。国内法院有时没有明确区分第三十一条第三款下的嗣后协定和嗣后惯例与第三十二条下的其他惯例。</w:t>
      </w:r>
      <w:r w:rsidRPr="00BF42B7">
        <w:rPr>
          <w:color w:val="0000FF"/>
          <w:vertAlign w:val="superscript"/>
        </w:rPr>
        <w:footnoteReference w:id="521"/>
      </w:r>
      <w:r w:rsidRPr="00BF42B7">
        <w:rPr>
          <w:color w:val="0000FF"/>
          <w:vertAlign w:val="superscript"/>
        </w:rPr>
        <w:t xml:space="preserve"> </w:t>
      </w:r>
    </w:p>
    <w:p w:rsidR="00B44972" w:rsidRPr="00BF42B7" w:rsidRDefault="00B44972" w:rsidP="00B44972">
      <w:pPr>
        <w:pStyle w:val="SingleTxtGC"/>
      </w:pPr>
      <w:r w:rsidRPr="00BF42B7">
        <w:t>(3</w:t>
      </w:r>
      <w:r w:rsidRPr="00BF42B7">
        <w:rPr>
          <w:rFonts w:hint="eastAsia"/>
        </w:rPr>
        <w:t>6</w:t>
      </w:r>
      <w:r w:rsidRPr="00BF42B7">
        <w:t xml:space="preserve">) </w:t>
      </w:r>
      <w:r w:rsidRPr="00BF42B7">
        <w:rPr>
          <w:rFonts w:hint="eastAsia"/>
        </w:rPr>
        <w:t xml:space="preserve"> </w:t>
      </w:r>
      <w:r w:rsidRPr="00BF42B7">
        <w:rPr>
          <w:rFonts w:hint="eastAsia"/>
        </w:rPr>
        <w:t>区分第</w:t>
      </w:r>
      <w:r w:rsidRPr="00BF42B7">
        <w:t>三十一</w:t>
      </w:r>
      <w:r w:rsidRPr="00BF42B7">
        <w:rPr>
          <w:rFonts w:hint="eastAsia"/>
        </w:rPr>
        <w:t>条第三款</w:t>
      </w:r>
      <w:r w:rsidRPr="00BF42B7">
        <w:rPr>
          <w:rFonts w:hint="eastAsia"/>
        </w:rPr>
        <w:t>(</w:t>
      </w:r>
      <w:r w:rsidRPr="00BF42B7">
        <w:t>b</w:t>
      </w:r>
      <w:r w:rsidRPr="00BF42B7">
        <w:rPr>
          <w:rFonts w:hint="eastAsia"/>
        </w:rPr>
        <w:t>)</w:t>
      </w:r>
      <w:r w:rsidRPr="00BF42B7">
        <w:rPr>
          <w:rFonts w:hint="eastAsia"/>
        </w:rPr>
        <w:t>项下的嗣后惯例与第</w:t>
      </w:r>
      <w:r w:rsidRPr="00BF42B7">
        <w:t>三十二</w:t>
      </w:r>
      <w:r w:rsidRPr="00BF42B7">
        <w:rPr>
          <w:rFonts w:hint="eastAsia"/>
        </w:rPr>
        <w:t>条之下的嗣后惯例，也有助于回答这一问题，即嗣后惯例是否需要一定频率的重复行动，</w:t>
      </w:r>
      <w:r w:rsidRPr="00BF42B7">
        <w:rPr>
          <w:color w:val="0000FF"/>
          <w:vertAlign w:val="superscript"/>
        </w:rPr>
        <w:footnoteReference w:id="522"/>
      </w:r>
      <w:r w:rsidRPr="00BF42B7">
        <w:rPr>
          <w:color w:val="0000FF"/>
          <w:vertAlign w:val="superscript"/>
        </w:rPr>
        <w:t xml:space="preserve"> </w:t>
      </w:r>
      <w:r w:rsidRPr="00BF42B7">
        <w:rPr>
          <w:rFonts w:hint="eastAsia"/>
        </w:rPr>
        <w:t>或是否一次适用条约足矣。</w:t>
      </w:r>
      <w:r w:rsidRPr="00BF42B7">
        <w:rPr>
          <w:color w:val="0000FF"/>
          <w:vertAlign w:val="superscript"/>
        </w:rPr>
        <w:footnoteReference w:id="523"/>
      </w:r>
      <w:r w:rsidRPr="00BF42B7">
        <w:rPr>
          <w:color w:val="0000FF"/>
          <w:vertAlign w:val="superscript"/>
        </w:rPr>
        <w:t xml:space="preserve"> </w:t>
      </w:r>
      <w:r w:rsidRPr="00BF42B7">
        <w:rPr>
          <w:rFonts w:hint="eastAsia"/>
        </w:rPr>
        <w:t>世贸组织的上诉机构认为：</w:t>
      </w:r>
    </w:p>
    <w:p w:rsidR="00B44972" w:rsidRPr="00BF42B7" w:rsidRDefault="00B44972" w:rsidP="00B44972">
      <w:pPr>
        <w:pStyle w:val="SingleTxtGC"/>
        <w:ind w:left="1554"/>
      </w:pPr>
      <w:r w:rsidRPr="00BF42B7">
        <w:rPr>
          <w:rFonts w:hint="eastAsia"/>
        </w:rPr>
        <w:t>“一个孤立的行为一般而言不足以形成嗣后惯例，必须是确定了缔约方之间一致的一系列行动，方为有效。”</w:t>
      </w:r>
      <w:r w:rsidRPr="00BF42B7">
        <w:rPr>
          <w:color w:val="0000FF"/>
          <w:vertAlign w:val="superscript"/>
        </w:rPr>
        <w:footnoteReference w:id="524"/>
      </w:r>
      <w:r w:rsidRPr="00BF42B7">
        <w:rPr>
          <w:color w:val="0000FF"/>
          <w:vertAlign w:val="superscript"/>
        </w:rPr>
        <w:t xml:space="preserve"> </w:t>
      </w:r>
    </w:p>
    <w:p w:rsidR="00B44972" w:rsidRPr="00BF42B7" w:rsidRDefault="00B44972" w:rsidP="00B44972">
      <w:pPr>
        <w:pStyle w:val="SingleTxtGC"/>
      </w:pPr>
      <w:r w:rsidRPr="00BF42B7">
        <w:rPr>
          <w:rFonts w:hint="eastAsia"/>
        </w:rPr>
        <w:t>然而，如果要在作为条约解释资料的嗣后惯例概念与缔约方之间可能的一致之间做出区分，频率并不是定义</w:t>
      </w:r>
      <w:r w:rsidRPr="00BF42B7">
        <w:rPr>
          <w:rFonts w:hint="eastAsia"/>
        </w:rPr>
        <w:t>(</w:t>
      </w:r>
      <w:r w:rsidRPr="00BF42B7">
        <w:rPr>
          <w:rFonts w:hint="eastAsia"/>
        </w:rPr>
        <w:t>第</w:t>
      </w:r>
      <w:r w:rsidRPr="00BF42B7">
        <w:t>三十二</w:t>
      </w:r>
      <w:r w:rsidRPr="00BF42B7">
        <w:rPr>
          <w:rFonts w:hint="eastAsia"/>
        </w:rPr>
        <w:t>条下</w:t>
      </w:r>
      <w:r w:rsidRPr="00BF42B7">
        <w:rPr>
          <w:rFonts w:hint="eastAsia"/>
        </w:rPr>
        <w:t>)</w:t>
      </w:r>
      <w:r w:rsidRPr="00BF42B7">
        <w:rPr>
          <w:rFonts w:hint="eastAsia"/>
        </w:rPr>
        <w:t>广义的“嗣后惯例”概念的必需要素。</w:t>
      </w:r>
      <w:bookmarkStart w:id="124" w:name="_Ref461976589"/>
      <w:r w:rsidRPr="00BF42B7">
        <w:rPr>
          <w:color w:val="0000FF"/>
          <w:vertAlign w:val="superscript"/>
        </w:rPr>
        <w:footnoteReference w:id="525"/>
      </w:r>
      <w:bookmarkEnd w:id="124"/>
      <w:r w:rsidRPr="00BF42B7">
        <w:rPr>
          <w:color w:val="0000FF"/>
          <w:vertAlign w:val="superscript"/>
        </w:rPr>
        <w:t xml:space="preserve"> </w:t>
      </w:r>
    </w:p>
    <w:p w:rsidR="00B44972" w:rsidRPr="00BF42B7" w:rsidRDefault="00B44972" w:rsidP="00B44972">
      <w:pPr>
        <w:pStyle w:val="SingleTxtGC"/>
        <w:rPr>
          <w:spacing w:val="2"/>
        </w:rPr>
      </w:pPr>
      <w:r w:rsidRPr="00BF42B7">
        <w:t>(3</w:t>
      </w:r>
      <w:r w:rsidRPr="00BF42B7">
        <w:rPr>
          <w:rFonts w:hint="eastAsia"/>
        </w:rPr>
        <w:t>7</w:t>
      </w:r>
      <w:r w:rsidRPr="00BF42B7">
        <w:t xml:space="preserve">) </w:t>
      </w:r>
      <w:r w:rsidRPr="00BF42B7">
        <w:rPr>
          <w:rFonts w:hint="eastAsia"/>
        </w:rPr>
        <w:t xml:space="preserve"> </w:t>
      </w:r>
      <w:r w:rsidRPr="00BF42B7">
        <w:rPr>
          <w:rFonts w:hint="eastAsia"/>
        </w:rPr>
        <w:t>因此，</w:t>
      </w:r>
      <w:r w:rsidRPr="00BF42B7">
        <w:rPr>
          <w:rFonts w:hint="eastAsia"/>
        </w:rPr>
        <w:t>(</w:t>
      </w:r>
      <w:r w:rsidRPr="00BF42B7">
        <w:rPr>
          <w:rFonts w:hint="eastAsia"/>
        </w:rPr>
        <w:t>第</w:t>
      </w:r>
      <w:r w:rsidRPr="00BF42B7">
        <w:t>三十二</w:t>
      </w:r>
      <w:r w:rsidRPr="00BF42B7">
        <w:rPr>
          <w:rFonts w:hint="eastAsia"/>
        </w:rPr>
        <w:t>条下</w:t>
      </w:r>
      <w:r w:rsidRPr="00BF42B7">
        <w:rPr>
          <w:rFonts w:hint="eastAsia"/>
        </w:rPr>
        <w:t>)</w:t>
      </w:r>
      <w:r w:rsidRPr="00BF42B7">
        <w:rPr>
          <w:rFonts w:hint="eastAsia"/>
        </w:rPr>
        <w:t>广义的“嗣后惯例”，涵盖了一个或多个缔约方的任何适用条约的行为。它可采取各种形式。</w:t>
      </w:r>
      <w:bookmarkStart w:id="125" w:name="_Ref461972435"/>
      <w:r w:rsidRPr="00BF42B7">
        <w:rPr>
          <w:color w:val="0000FF"/>
          <w:vertAlign w:val="superscript"/>
        </w:rPr>
        <w:footnoteReference w:id="526"/>
      </w:r>
      <w:bookmarkEnd w:id="125"/>
      <w:r w:rsidRPr="00BF42B7">
        <w:rPr>
          <w:color w:val="0000FF"/>
          <w:vertAlign w:val="superscript"/>
        </w:rPr>
        <w:t xml:space="preserve"> </w:t>
      </w:r>
      <w:r w:rsidRPr="00BF42B7">
        <w:rPr>
          <w:rFonts w:hint="eastAsia"/>
        </w:rPr>
        <w:t>具体而言，这种“一个或多个缔约方适用条约的行为”可包括直接适用有关条约</w:t>
      </w:r>
      <w:r w:rsidRPr="00BF42B7">
        <w:rPr>
          <w:rFonts w:hint="eastAsia"/>
          <w:spacing w:val="-50"/>
          <w:lang w:val="fr-CH"/>
        </w:rPr>
        <w:t>―</w:t>
      </w:r>
      <w:r w:rsidRPr="00BF42B7">
        <w:rPr>
          <w:rFonts w:hint="eastAsia"/>
          <w:lang w:val="fr-CH"/>
        </w:rPr>
        <w:t>―</w:t>
      </w:r>
      <w:r w:rsidRPr="00BF42B7">
        <w:rPr>
          <w:rFonts w:hint="eastAsia"/>
          <w:spacing w:val="2"/>
        </w:rPr>
        <w:t>一个可归属于一缔约国适用条约的行为，或有关条约解释或适用的声明或司法宣示。这种行为可包括有关条约含义的官方声明，对不履行条约提出的抗议，或默认其他缔约方声明或行为。</w:t>
      </w:r>
      <w:r w:rsidRPr="00BF42B7">
        <w:rPr>
          <w:color w:val="0000FF"/>
          <w:spacing w:val="2"/>
          <w:vertAlign w:val="superscript"/>
        </w:rPr>
        <w:footnoteReference w:id="527"/>
      </w:r>
      <w:r w:rsidRPr="00BF42B7">
        <w:rPr>
          <w:color w:val="0000FF"/>
          <w:spacing w:val="2"/>
          <w:vertAlign w:val="superscript"/>
        </w:rPr>
        <w:t xml:space="preserve"> </w:t>
      </w:r>
    </w:p>
    <w:p w:rsidR="00B44972" w:rsidRPr="00BF42B7" w:rsidRDefault="00B44972" w:rsidP="00B44972">
      <w:pPr>
        <w:pStyle w:val="H23GC"/>
        <w:ind w:left="1554"/>
      </w:pPr>
      <w:r w:rsidRPr="00BF42B7">
        <w:rPr>
          <w:rFonts w:hint="eastAsia"/>
        </w:rPr>
        <w:tab/>
      </w:r>
      <w:r w:rsidRPr="00BF42B7">
        <w:rPr>
          <w:rFonts w:hint="eastAsia"/>
        </w:rPr>
        <w:tab/>
      </w:r>
      <w:r w:rsidRPr="00BF42B7">
        <w:rPr>
          <w:rFonts w:hint="eastAsia"/>
        </w:rPr>
        <w:t>结论</w:t>
      </w:r>
      <w:r w:rsidRPr="00BF42B7">
        <w:rPr>
          <w:rFonts w:hint="eastAsia"/>
        </w:rPr>
        <w:t>5</w:t>
      </w:r>
      <w:r w:rsidRPr="00BF42B7">
        <w:rPr>
          <w:rFonts w:hint="eastAsia"/>
        </w:rPr>
        <w:br/>
      </w:r>
      <w:r w:rsidRPr="00BF42B7">
        <w:rPr>
          <w:rFonts w:hint="eastAsia"/>
        </w:rPr>
        <w:t>嗣后惯例的归属</w:t>
      </w:r>
    </w:p>
    <w:p w:rsidR="00B44972" w:rsidRPr="00BF42B7" w:rsidRDefault="00B44972" w:rsidP="00B44972">
      <w:pPr>
        <w:pStyle w:val="SingleTxtGC"/>
        <w:ind w:left="1554"/>
      </w:pPr>
      <w:r w:rsidRPr="00BF42B7">
        <w:t>1.</w:t>
      </w:r>
      <w:r w:rsidRPr="00BF42B7">
        <w:rPr>
          <w:rFonts w:hint="eastAsia"/>
        </w:rPr>
        <w:tab/>
      </w:r>
      <w:r w:rsidRPr="00BF42B7">
        <w:rPr>
          <w:rFonts w:hint="eastAsia"/>
        </w:rPr>
        <w:t>第三十一和第三十二条所称的嗣后惯例可包括依国际法可归属于条约某一缔约方的任何适用条约的行为。</w:t>
      </w:r>
    </w:p>
    <w:p w:rsidR="00B44972" w:rsidRPr="00BF42B7" w:rsidRDefault="00B44972" w:rsidP="00B44972">
      <w:pPr>
        <w:pStyle w:val="SingleTxtGC"/>
        <w:ind w:left="1554"/>
      </w:pPr>
      <w:r w:rsidRPr="00BF42B7">
        <w:t>2.</w:t>
      </w:r>
      <w:r w:rsidRPr="00BF42B7">
        <w:rPr>
          <w:rFonts w:hint="eastAsia"/>
        </w:rPr>
        <w:tab/>
      </w:r>
      <w:r w:rsidRPr="00BF42B7">
        <w:rPr>
          <w:rFonts w:hint="eastAsia"/>
        </w:rPr>
        <w:t>其他行为，包括非国家行为者的行为，不构成第三十一和第三十二条所称的嗣后惯例。然而此种行为在评估条约缔约方的嗣后惯例时可能具有意义。</w:t>
      </w:r>
    </w:p>
    <w:p w:rsidR="00B44972" w:rsidRPr="00BF42B7" w:rsidRDefault="00B44972" w:rsidP="00B44972">
      <w:pPr>
        <w:pStyle w:val="H23GC"/>
      </w:pPr>
      <w:r w:rsidRPr="00BF42B7">
        <w:rPr>
          <w:rFonts w:hint="eastAsia"/>
        </w:rPr>
        <w:tab/>
      </w:r>
      <w:r w:rsidRPr="00BF42B7">
        <w:rPr>
          <w:rFonts w:hint="eastAsia"/>
        </w:rPr>
        <w:tab/>
      </w:r>
      <w:r w:rsidRPr="00BF42B7">
        <w:rPr>
          <w:rFonts w:hint="eastAsia"/>
        </w:rPr>
        <w:t>评注</w:t>
      </w:r>
    </w:p>
    <w:p w:rsidR="00B44972" w:rsidRPr="00BF42B7" w:rsidRDefault="00B44972" w:rsidP="00B44972">
      <w:pPr>
        <w:pStyle w:val="SingleTxtGC"/>
      </w:pPr>
      <w:r w:rsidRPr="00BF42B7">
        <w:t>(1)</w:t>
      </w:r>
      <w:r w:rsidRPr="00BF42B7">
        <w:rPr>
          <w:rFonts w:hint="eastAsia"/>
        </w:rPr>
        <w:t xml:space="preserve">  </w:t>
      </w:r>
      <w:r w:rsidRPr="00BF42B7">
        <w:rPr>
          <w:rFonts w:hint="eastAsia"/>
        </w:rPr>
        <w:t>结论草案</w:t>
      </w:r>
      <w:r w:rsidRPr="00BF42B7">
        <w:rPr>
          <w:rFonts w:hint="eastAsia"/>
        </w:rPr>
        <w:t>5</w:t>
      </w:r>
      <w:r w:rsidRPr="00BF42B7">
        <w:rPr>
          <w:rFonts w:hint="eastAsia"/>
        </w:rPr>
        <w:t>涉及第三十一条和第三十二条所称的嗣后惯例的可能主体问题。“第三十一条和第三十二条所称”说明该结论草案既适用于作为</w:t>
      </w:r>
      <w:r w:rsidRPr="00BF42B7">
        <w:rPr>
          <w:rFonts w:hint="eastAsia"/>
        </w:rPr>
        <w:t>1969</w:t>
      </w:r>
      <w:r w:rsidRPr="00BF42B7">
        <w:rPr>
          <w:rFonts w:hint="eastAsia"/>
        </w:rPr>
        <w:t>年《维也纳公约》第三十一条第三款</w:t>
      </w:r>
      <w:r w:rsidRPr="00BF42B7">
        <w:rPr>
          <w:rFonts w:hint="eastAsia"/>
        </w:rPr>
        <w:t>(b)</w:t>
      </w:r>
      <w:r w:rsidRPr="00BF42B7">
        <w:rPr>
          <w:rFonts w:hint="eastAsia"/>
        </w:rPr>
        <w:t>项所称的作准解释资料的嗣后惯例，也适用于作为第三十二条所称的补充解释资料的嗣后惯例。结论草案</w:t>
      </w:r>
      <w:r w:rsidRPr="00BF42B7">
        <w:rPr>
          <w:rFonts w:hint="eastAsia"/>
        </w:rPr>
        <w:t>5</w:t>
      </w:r>
      <w:r w:rsidRPr="00BF42B7">
        <w:rPr>
          <w:rFonts w:hint="eastAsia"/>
        </w:rPr>
        <w:t>第</w:t>
      </w:r>
      <w:r w:rsidRPr="00BF42B7">
        <w:rPr>
          <w:rFonts w:hint="eastAsia"/>
        </w:rPr>
        <w:t>1</w:t>
      </w:r>
      <w:r w:rsidRPr="00BF42B7">
        <w:rPr>
          <w:rFonts w:hint="eastAsia"/>
        </w:rPr>
        <w:t>段以肯定句式界定了条约适用中谁的行为可能构成第三十一条和第三十二条所称的嗣后惯例，而第</w:t>
      </w:r>
      <w:r w:rsidRPr="00BF42B7">
        <w:rPr>
          <w:rFonts w:hint="eastAsia"/>
        </w:rPr>
        <w:t>2</w:t>
      </w:r>
      <w:r w:rsidRPr="00BF42B7">
        <w:rPr>
          <w:rFonts w:hint="eastAsia"/>
        </w:rPr>
        <w:t>段以否定句式说明了哪些行为不构成第三十一条和第三十二条所称的嗣后惯例，但在评估条约缔约方的嗣后惯例时可能具有意义。</w:t>
      </w:r>
    </w:p>
    <w:p w:rsidR="00B44972" w:rsidRPr="00BF42B7" w:rsidRDefault="00B44972" w:rsidP="00B44972">
      <w:pPr>
        <w:pStyle w:val="H4GC"/>
        <w:rPr>
          <w:rFonts w:eastAsia="楷体"/>
        </w:rPr>
      </w:pPr>
      <w:r w:rsidRPr="00BF42B7">
        <w:rPr>
          <w:rFonts w:eastAsia="楷体" w:hint="eastAsia"/>
        </w:rPr>
        <w:tab/>
      </w:r>
      <w:r w:rsidRPr="00BF42B7">
        <w:rPr>
          <w:rFonts w:eastAsia="楷体" w:hint="eastAsia"/>
        </w:rPr>
        <w:tab/>
      </w:r>
      <w:r w:rsidRPr="00BF42B7">
        <w:rPr>
          <w:rFonts w:eastAsia="楷体" w:hint="eastAsia"/>
        </w:rPr>
        <w:t>第</w:t>
      </w:r>
      <w:r w:rsidRPr="00BF42B7">
        <w:rPr>
          <w:rFonts w:eastAsia="楷体" w:hint="eastAsia"/>
        </w:rPr>
        <w:t>1</w:t>
      </w:r>
      <w:r w:rsidRPr="00BF42B7">
        <w:rPr>
          <w:rFonts w:eastAsia="楷体" w:hint="eastAsia"/>
        </w:rPr>
        <w:t>段</w:t>
      </w:r>
      <w:r w:rsidRPr="00BF42B7">
        <w:rPr>
          <w:rFonts w:eastAsia="楷体" w:hint="eastAsia"/>
          <w:spacing w:val="-50"/>
          <w:lang w:val="fr-CH"/>
        </w:rPr>
        <w:t>―</w:t>
      </w:r>
      <w:r w:rsidRPr="00BF42B7">
        <w:rPr>
          <w:rFonts w:eastAsia="楷体" w:hint="eastAsia"/>
          <w:lang w:val="fr-CH"/>
        </w:rPr>
        <w:t>―</w:t>
      </w:r>
      <w:r w:rsidRPr="00BF42B7">
        <w:rPr>
          <w:rFonts w:eastAsia="楷体" w:hint="eastAsia"/>
        </w:rPr>
        <w:t>构成嗣后惯例的行为</w:t>
      </w:r>
    </w:p>
    <w:p w:rsidR="00B44972" w:rsidRPr="00BF42B7" w:rsidRDefault="00B44972" w:rsidP="000676F8">
      <w:pPr>
        <w:pStyle w:val="SingleTxtGC"/>
      </w:pPr>
      <w:r w:rsidRPr="00BF42B7">
        <w:rPr>
          <w:spacing w:val="-4"/>
        </w:rPr>
        <w:t>(2)</w:t>
      </w:r>
      <w:r w:rsidRPr="00BF42B7">
        <w:rPr>
          <w:rFonts w:hint="eastAsia"/>
          <w:spacing w:val="-4"/>
        </w:rPr>
        <w:t xml:space="preserve">  </w:t>
      </w:r>
      <w:r w:rsidRPr="00BF42B7">
        <w:rPr>
          <w:rFonts w:hint="eastAsia"/>
          <w:spacing w:val="-4"/>
        </w:rPr>
        <w:t>结论草案</w:t>
      </w:r>
      <w:r w:rsidRPr="00BF42B7">
        <w:rPr>
          <w:rFonts w:hint="eastAsia"/>
          <w:spacing w:val="-4"/>
        </w:rPr>
        <w:t>5</w:t>
      </w:r>
      <w:r w:rsidRPr="00BF42B7">
        <w:rPr>
          <w:rFonts w:hint="eastAsia"/>
          <w:spacing w:val="-4"/>
        </w:rPr>
        <w:t>第</w:t>
      </w:r>
      <w:r w:rsidRPr="00BF42B7">
        <w:rPr>
          <w:rFonts w:hint="eastAsia"/>
          <w:spacing w:val="-4"/>
        </w:rPr>
        <w:t>1</w:t>
      </w:r>
      <w:r w:rsidRPr="00BF42B7">
        <w:rPr>
          <w:rFonts w:hint="eastAsia"/>
          <w:spacing w:val="-4"/>
        </w:rPr>
        <w:t>段采用的说法“依国际法可归属于条约某一缔约方的任何适用条约的行为”借用了国家对国际不法行为的责任条款第</w:t>
      </w:r>
      <w:r w:rsidRPr="00BF42B7">
        <w:rPr>
          <w:rFonts w:hint="eastAsia"/>
          <w:spacing w:val="-4"/>
        </w:rPr>
        <w:t>2</w:t>
      </w:r>
      <w:r w:rsidRPr="00BF42B7">
        <w:rPr>
          <w:rFonts w:hint="eastAsia"/>
          <w:spacing w:val="-4"/>
        </w:rPr>
        <w:t>条</w:t>
      </w:r>
      <w:r w:rsidRPr="00BF42B7">
        <w:rPr>
          <w:rFonts w:hint="eastAsia"/>
          <w:spacing w:val="-4"/>
        </w:rPr>
        <w:t>(a)</w:t>
      </w:r>
      <w:r w:rsidRPr="00BF42B7">
        <w:rPr>
          <w:rFonts w:hint="eastAsia"/>
          <w:spacing w:val="-4"/>
        </w:rPr>
        <w:t>项的措词。</w:t>
      </w:r>
      <w:r w:rsidRPr="00BF42B7">
        <w:rPr>
          <w:color w:val="0000FF"/>
          <w:spacing w:val="-4"/>
          <w:vertAlign w:val="superscript"/>
        </w:rPr>
        <w:footnoteReference w:id="528"/>
      </w:r>
      <w:r w:rsidRPr="00BF42B7">
        <w:rPr>
          <w:color w:val="0000FF"/>
          <w:vertAlign w:val="superscript"/>
        </w:rPr>
        <w:t xml:space="preserve"> </w:t>
      </w:r>
      <w:r w:rsidRPr="00BF42B7">
        <w:rPr>
          <w:rFonts w:hint="eastAsia"/>
        </w:rPr>
        <w:t>相应的，“任何行为”包括行动和不行动，不限于一国国家机关的行为，还涵盖依国际法可归属于条约某一缔约方的任何行为。不</w:t>
      </w:r>
      <w:r w:rsidR="000676F8">
        <w:rPr>
          <w:rFonts w:hint="eastAsia"/>
        </w:rPr>
        <w:t>过</w:t>
      </w:r>
      <w:r w:rsidRPr="00BF42B7">
        <w:rPr>
          <w:rFonts w:hint="eastAsia"/>
        </w:rPr>
        <w:t>，提到国家对国际不法行为的责任条款并不代表相关行为应为“国际不法”行为</w:t>
      </w:r>
      <w:r w:rsidRPr="00BF42B7">
        <w:rPr>
          <w:rFonts w:hint="eastAsia"/>
        </w:rPr>
        <w:t>(</w:t>
      </w:r>
      <w:r w:rsidRPr="00BF42B7">
        <w:rPr>
          <w:rFonts w:hint="eastAsia"/>
        </w:rPr>
        <w:t>见下文第</w:t>
      </w:r>
      <w:r w:rsidRPr="00BF42B7">
        <w:rPr>
          <w:rFonts w:hint="eastAsia"/>
        </w:rPr>
        <w:t>(8)</w:t>
      </w:r>
      <w:r w:rsidRPr="00BF42B7">
        <w:rPr>
          <w:rFonts w:hint="eastAsia"/>
        </w:rPr>
        <w:t>段</w:t>
      </w:r>
      <w:r w:rsidRPr="00BF42B7">
        <w:rPr>
          <w:rFonts w:hint="eastAsia"/>
        </w:rPr>
        <w:t>)</w:t>
      </w:r>
      <w:r w:rsidRPr="00BF42B7">
        <w:rPr>
          <w:rFonts w:hint="eastAsia"/>
        </w:rPr>
        <w:t>。</w:t>
      </w:r>
    </w:p>
    <w:p w:rsidR="00B44972" w:rsidRPr="00BF42B7" w:rsidRDefault="00B44972" w:rsidP="00B44972">
      <w:pPr>
        <w:pStyle w:val="SingleTxtGC"/>
      </w:pPr>
      <w:r w:rsidRPr="00BF42B7">
        <w:t>(3)</w:t>
      </w:r>
      <w:r w:rsidRPr="00BF42B7">
        <w:rPr>
          <w:rFonts w:hint="eastAsia"/>
        </w:rPr>
        <w:t xml:space="preserve">  </w:t>
      </w:r>
      <w:r w:rsidRPr="00BF42B7">
        <w:rPr>
          <w:rFonts w:hint="eastAsia"/>
        </w:rPr>
        <w:t>国际法院在</w:t>
      </w:r>
      <w:r w:rsidRPr="00BF42B7">
        <w:rPr>
          <w:rFonts w:ascii="Time New Roman" w:eastAsia="楷体" w:hAnsi="Time New Roman"/>
        </w:rPr>
        <w:t>卡西基里</w:t>
      </w:r>
      <w:r w:rsidRPr="00BF42B7">
        <w:rPr>
          <w:rFonts w:ascii="Time New Roman" w:eastAsia="楷体" w:hAnsi="Time New Roman"/>
        </w:rPr>
        <w:t>/</w:t>
      </w:r>
      <w:r w:rsidRPr="00BF42B7">
        <w:rPr>
          <w:rFonts w:ascii="Time New Roman" w:eastAsia="楷体" w:hAnsi="Time New Roman"/>
        </w:rPr>
        <w:t>塞杜杜岛</w:t>
      </w:r>
      <w:r w:rsidRPr="00BF42B7">
        <w:rPr>
          <w:rFonts w:ascii="Time New Roman" w:eastAsia="楷体" w:hAnsi="Time New Roman" w:hint="eastAsia"/>
        </w:rPr>
        <w:t>案</w:t>
      </w:r>
      <w:r w:rsidRPr="00BF42B7">
        <w:rPr>
          <w:rFonts w:hint="eastAsia"/>
        </w:rPr>
        <w:t>中确认了这样一个实例：一种行为虽不是直接源于缔约方的行为，但仍构成国家惯例。法院在该案中认为，当地马苏比亚部落的成员对纳米比亚</w:t>
      </w:r>
      <w:r w:rsidRPr="00BF42B7">
        <w:t>(</w:t>
      </w:r>
      <w:r w:rsidRPr="00BF42B7">
        <w:rPr>
          <w:rFonts w:hint="eastAsia"/>
        </w:rPr>
        <w:t>前西南非洲</w:t>
      </w:r>
      <w:r w:rsidRPr="00BF42B7">
        <w:t>)</w:t>
      </w:r>
      <w:r w:rsidRPr="00BF42B7">
        <w:rPr>
          <w:rFonts w:hint="eastAsia"/>
        </w:rPr>
        <w:t>和博茨瓦纳</w:t>
      </w:r>
      <w:r w:rsidRPr="00BF42B7">
        <w:t>(</w:t>
      </w:r>
      <w:r w:rsidRPr="00BF42B7">
        <w:rPr>
          <w:rFonts w:hint="eastAsia"/>
        </w:rPr>
        <w:t>前贝专纳兰</w:t>
      </w:r>
      <w:r w:rsidRPr="00BF42B7">
        <w:t>)</w:t>
      </w:r>
      <w:r w:rsidRPr="00BF42B7">
        <w:rPr>
          <w:rFonts w:hint="eastAsia"/>
        </w:rPr>
        <w:t>边界上一个岛屿的经常使用可视为《维也纳公约》第三十一条第三款</w:t>
      </w:r>
      <w:r w:rsidRPr="00BF42B7">
        <w:t>(b)</w:t>
      </w:r>
      <w:r w:rsidRPr="00BF42B7">
        <w:rPr>
          <w:rFonts w:hint="eastAsia"/>
        </w:rPr>
        <w:t>项所指的嗣后惯例，条件是这种使用：</w:t>
      </w:r>
    </w:p>
    <w:p w:rsidR="00B44972" w:rsidRPr="00BF42B7" w:rsidRDefault="00B44972" w:rsidP="00B44972">
      <w:pPr>
        <w:pStyle w:val="SingleTxtGC"/>
        <w:ind w:left="1554"/>
      </w:pPr>
      <w:r w:rsidRPr="00BF42B7">
        <w:rPr>
          <w:rFonts w:hint="eastAsia"/>
        </w:rPr>
        <w:t>“……与卡普里维当局的这一观点相关：</w:t>
      </w:r>
      <w:r w:rsidRPr="00BF42B7">
        <w:t>1890</w:t>
      </w:r>
      <w:r w:rsidRPr="00BF42B7">
        <w:rPr>
          <w:rFonts w:hint="eastAsia"/>
        </w:rPr>
        <w:t>年条约规定的边界是沿乔贝河的南河道划定的；而且贝专纳兰当局完全了解这种使用并予以认可，以此作为对条约边界的确认。”</w:t>
      </w:r>
      <w:r w:rsidRPr="00BF42B7">
        <w:rPr>
          <w:color w:val="0000FF"/>
          <w:vertAlign w:val="superscript"/>
        </w:rPr>
        <w:footnoteReference w:id="529"/>
      </w:r>
      <w:r w:rsidRPr="00BF42B7">
        <w:rPr>
          <w:color w:val="0000FF"/>
          <w:vertAlign w:val="superscript"/>
        </w:rPr>
        <w:t xml:space="preserve"> </w:t>
      </w:r>
    </w:p>
    <w:p w:rsidR="00B44972" w:rsidRPr="00BF42B7" w:rsidRDefault="00B44972" w:rsidP="00B44972">
      <w:pPr>
        <w:pStyle w:val="SingleTxtGC"/>
      </w:pPr>
      <w:r w:rsidRPr="00BF42B7">
        <w:t>(4)</w:t>
      </w:r>
      <w:r w:rsidRPr="00BF42B7">
        <w:rPr>
          <w:rFonts w:hint="eastAsia"/>
        </w:rPr>
        <w:t xml:space="preserve">  </w:t>
      </w:r>
      <w:r w:rsidRPr="00BF42B7">
        <w:rPr>
          <w:rFonts w:hint="eastAsia"/>
        </w:rPr>
        <w:t>第</w:t>
      </w:r>
      <w:r w:rsidRPr="00BF42B7">
        <w:rPr>
          <w:rFonts w:hint="eastAsia"/>
        </w:rPr>
        <w:t>1</w:t>
      </w:r>
      <w:r w:rsidRPr="00BF42B7">
        <w:rPr>
          <w:rFonts w:hint="eastAsia"/>
        </w:rPr>
        <w:t>段述及可归属于条约某一缔约方的任何适用条约的行为，但这并不意味着这种行为必定在给定案件中构成条约解释意义上的嗣后惯例。使用“可包括”的措辞意在反映这一点。这一说明的重要性特别体现于国家机关的行为可能违反该国在某一事项上的官方表述立场，从而导致国家行为的模棱两可。</w:t>
      </w:r>
      <w:r w:rsidRPr="00BF42B7">
        <w:rPr>
          <w:rFonts w:hint="eastAsia"/>
        </w:rPr>
        <w:t xml:space="preserve"> </w:t>
      </w:r>
    </w:p>
    <w:p w:rsidR="00B44972" w:rsidRPr="00BF42B7" w:rsidRDefault="00B44972" w:rsidP="00B44972">
      <w:pPr>
        <w:pStyle w:val="SingleTxtGC"/>
      </w:pPr>
      <w:r w:rsidRPr="00BF42B7">
        <w:t>(5)</w:t>
      </w:r>
      <w:r w:rsidRPr="00BF42B7">
        <w:rPr>
          <w:rFonts w:hint="eastAsia"/>
        </w:rPr>
        <w:t xml:space="preserve">  </w:t>
      </w:r>
      <w:r w:rsidRPr="00BF42B7">
        <w:rPr>
          <w:rFonts w:hint="eastAsia"/>
        </w:rPr>
        <w:t>委员会讨论过结论草案</w:t>
      </w:r>
      <w:r w:rsidRPr="00BF42B7">
        <w:rPr>
          <w:rFonts w:hint="eastAsia"/>
        </w:rPr>
        <w:t>5</w:t>
      </w:r>
      <w:r w:rsidRPr="00BF42B7">
        <w:rPr>
          <w:rFonts w:hint="eastAsia"/>
        </w:rPr>
        <w:t>是否应专门述及在哪些情况下，下级国家机关的行为构成出于条约解释目的的相关嗣后惯例。在这方面，委员会一些委员指出很难区分下级和上级国家机关，特别是考虑到国家治理内部机构上的巨大差异。还有人指出，与机关在国家等级制度中的位置相比，相关标准更重视其在解释和适用特定条约中的实际作用。鉴于可料想到的情况复杂多样，委员会认为不应在结论草案</w:t>
      </w:r>
      <w:r w:rsidRPr="00BF42B7">
        <w:rPr>
          <w:rFonts w:hint="eastAsia"/>
        </w:rPr>
        <w:t>5</w:t>
      </w:r>
      <w:r w:rsidRPr="00BF42B7">
        <w:rPr>
          <w:rFonts w:hint="eastAsia"/>
        </w:rPr>
        <w:t>的案文中论述这一问题，而应在评注中予以论述。</w:t>
      </w:r>
    </w:p>
    <w:p w:rsidR="00B44972" w:rsidRPr="00BF42B7" w:rsidRDefault="00B44972" w:rsidP="00B44972">
      <w:pPr>
        <w:pStyle w:val="SingleTxtGC"/>
      </w:pPr>
      <w:r w:rsidRPr="00BF42B7">
        <w:t>(6)</w:t>
      </w:r>
      <w:r w:rsidRPr="00BF42B7">
        <w:rPr>
          <w:rFonts w:hint="eastAsia"/>
        </w:rPr>
        <w:t xml:space="preserve">  </w:t>
      </w:r>
      <w:r w:rsidRPr="00BF42B7">
        <w:rPr>
          <w:rFonts w:hint="eastAsia"/>
        </w:rPr>
        <w:t>国家在适用条约方面的嗣后惯例当然可以由</w:t>
      </w:r>
      <w:r w:rsidRPr="00BF42B7">
        <w:rPr>
          <w:rFonts w:hint="eastAsia"/>
        </w:rPr>
        <w:t>1969</w:t>
      </w:r>
      <w:r w:rsidRPr="00BF42B7">
        <w:rPr>
          <w:rFonts w:hint="eastAsia"/>
        </w:rPr>
        <w:t>年《维也纳公约》第七条所指高级政府官员实施。但是，由于大部分条约通常不是由高级政府官员适用，各国际法院和法庭认识到，低级主管机关的行为在某些情况下也可以构成适用条约方面的嗣后惯例。因此，国际法院在</w:t>
      </w:r>
      <w:r w:rsidRPr="00BF42B7">
        <w:rPr>
          <w:rFonts w:ascii="Time New Roman" w:eastAsia="楷体" w:hAnsi="Time New Roman" w:hint="eastAsia"/>
        </w:rPr>
        <w:t>摩洛哥境内美国国民权利案</w:t>
      </w:r>
      <w:r w:rsidRPr="00BF42B7">
        <w:rPr>
          <w:rFonts w:hint="eastAsia"/>
        </w:rPr>
        <w:t>中承认，应根据当地海关当局不一致的惯例灵活解释</w:t>
      </w:r>
      <w:r w:rsidRPr="00BF42B7">
        <w:rPr>
          <w:rFonts w:hint="eastAsia"/>
        </w:rPr>
        <w:t>1906</w:t>
      </w:r>
      <w:r w:rsidRPr="00BF42B7">
        <w:rPr>
          <w:rFonts w:hint="eastAsia"/>
        </w:rPr>
        <w:t>年《阿尔赫西拉斯国际会议总议定书》</w:t>
      </w:r>
      <w:r w:rsidRPr="00BF42B7">
        <w:rPr>
          <w:color w:val="0000FF"/>
          <w:vertAlign w:val="superscript"/>
        </w:rPr>
        <w:footnoteReference w:id="530"/>
      </w:r>
      <w:r w:rsidRPr="00BF42B7">
        <w:rPr>
          <w:color w:val="0000FF"/>
          <w:vertAlign w:val="superscript"/>
        </w:rPr>
        <w:t xml:space="preserve"> </w:t>
      </w:r>
      <w:r w:rsidRPr="00BF42B7">
        <w:rPr>
          <w:rFonts w:hint="eastAsia"/>
        </w:rPr>
        <w:t>第</w:t>
      </w:r>
      <w:r w:rsidRPr="00BF42B7">
        <w:t>95</w:t>
      </w:r>
      <w:r w:rsidRPr="00BF42B7">
        <w:rPr>
          <w:rFonts w:hint="eastAsia"/>
        </w:rPr>
        <w:t>条。</w:t>
      </w:r>
      <w:r w:rsidRPr="00BF42B7">
        <w:rPr>
          <w:color w:val="0000FF"/>
          <w:vertAlign w:val="superscript"/>
        </w:rPr>
        <w:footnoteReference w:id="531"/>
      </w:r>
      <w:r w:rsidRPr="00BF42B7">
        <w:rPr>
          <w:color w:val="0000FF"/>
          <w:vertAlign w:val="superscript"/>
        </w:rPr>
        <w:t xml:space="preserve"> </w:t>
      </w:r>
      <w:r w:rsidRPr="00BF42B7">
        <w:rPr>
          <w:rFonts w:hint="eastAsia"/>
        </w:rPr>
        <w:t>各仲裁法庭的判例确认，相关嗣后惯例可来自下级官员。在</w:t>
      </w:r>
      <w:r w:rsidRPr="00BF42B7">
        <w:rPr>
          <w:rFonts w:ascii="Time New Roman" w:eastAsia="楷体" w:hAnsi="Time New Roman" w:hint="eastAsia"/>
        </w:rPr>
        <w:t>德国外债案</w:t>
      </w:r>
      <w:r w:rsidRPr="00BF42B7">
        <w:rPr>
          <w:rFonts w:hint="eastAsia"/>
        </w:rPr>
        <w:t>的裁决中，仲裁法庭将英格兰银行给德国联邦债务管理局的一封信作为相关嗣后惯例。</w:t>
      </w:r>
      <w:r w:rsidRPr="00BF42B7">
        <w:rPr>
          <w:color w:val="0000FF"/>
          <w:vertAlign w:val="superscript"/>
        </w:rPr>
        <w:footnoteReference w:id="532"/>
      </w:r>
      <w:r w:rsidRPr="00BF42B7">
        <w:rPr>
          <w:color w:val="0000FF"/>
          <w:vertAlign w:val="superscript"/>
        </w:rPr>
        <w:t xml:space="preserve"> </w:t>
      </w:r>
      <w:r w:rsidRPr="00BF42B7">
        <w:rPr>
          <w:rFonts w:hint="eastAsia"/>
        </w:rPr>
        <w:t>在</w:t>
      </w:r>
      <w:r w:rsidRPr="00BF42B7">
        <w:rPr>
          <w:rFonts w:ascii="Time New Roman" w:eastAsia="楷体" w:hAnsi="Time New Roman" w:hint="eastAsia"/>
        </w:rPr>
        <w:t>关于居住在法国的教科文组织退休职员所领退休金的征税制度案</w:t>
      </w:r>
      <w:r w:rsidRPr="00BF42B7">
        <w:rPr>
          <w:rFonts w:hint="eastAsia"/>
        </w:rPr>
        <w:t>中，仲裁法庭原则上认可，法国税务部门不对教科文组织退休职员的退休金征税的惯例是相关嗣后惯例，但最终认为上级机关，即法国政府的一些相反的官方声明具有决定作用。</w:t>
      </w:r>
      <w:bookmarkStart w:id="126" w:name="_Ref461973699"/>
      <w:r w:rsidRPr="00BF42B7">
        <w:rPr>
          <w:color w:val="0000FF"/>
          <w:vertAlign w:val="superscript"/>
        </w:rPr>
        <w:footnoteReference w:id="533"/>
      </w:r>
      <w:bookmarkEnd w:id="126"/>
      <w:r w:rsidRPr="00BF42B7">
        <w:rPr>
          <w:color w:val="0000FF"/>
          <w:vertAlign w:val="superscript"/>
        </w:rPr>
        <w:t xml:space="preserve"> </w:t>
      </w:r>
    </w:p>
    <w:p w:rsidR="00B44972" w:rsidRPr="00BF42B7" w:rsidRDefault="00B44972" w:rsidP="00B44972">
      <w:pPr>
        <w:pStyle w:val="SingleTxtGC"/>
        <w:rPr>
          <w:color w:val="0000FF"/>
          <w:vertAlign w:val="superscript"/>
        </w:rPr>
      </w:pPr>
      <w:r w:rsidRPr="00BF42B7">
        <w:t>(7)</w:t>
      </w:r>
      <w:r w:rsidRPr="00BF42B7">
        <w:rPr>
          <w:rFonts w:hint="eastAsia"/>
        </w:rPr>
        <w:t xml:space="preserve">  </w:t>
      </w:r>
      <w:r w:rsidRPr="00BF42B7">
        <w:rPr>
          <w:rFonts w:hint="eastAsia"/>
        </w:rPr>
        <w:t>因此，下级和地方官员的做法可以成为“适用条约”的嗣后惯例，前提是该做法足够明确，且政府应该知道该做法且没有在合理时间内反对这种做法。</w:t>
      </w:r>
      <w:bookmarkStart w:id="127" w:name="_Ref461974313"/>
      <w:r w:rsidRPr="00BF42B7">
        <w:rPr>
          <w:color w:val="0000FF"/>
          <w:vertAlign w:val="superscript"/>
        </w:rPr>
        <w:footnoteReference w:id="534"/>
      </w:r>
      <w:bookmarkEnd w:id="127"/>
      <w:r w:rsidRPr="00BF42B7">
        <w:rPr>
          <w:color w:val="0000FF"/>
          <w:vertAlign w:val="superscript"/>
        </w:rPr>
        <w:t xml:space="preserve"> </w:t>
      </w:r>
    </w:p>
    <w:p w:rsidR="00B44972" w:rsidRPr="00BF42B7" w:rsidRDefault="00B44972" w:rsidP="00B44972">
      <w:pPr>
        <w:pStyle w:val="SingleTxtGC"/>
        <w:rPr>
          <w:color w:val="0000FF"/>
          <w:vertAlign w:val="superscript"/>
        </w:rPr>
      </w:pPr>
      <w:r w:rsidRPr="00BF42B7">
        <w:t>(8)</w:t>
      </w:r>
      <w:r w:rsidRPr="00BF42B7">
        <w:rPr>
          <w:rFonts w:hint="eastAsia"/>
        </w:rPr>
        <w:t xml:space="preserve">  </w:t>
      </w:r>
      <w:r w:rsidRPr="00BF42B7">
        <w:rPr>
          <w:rFonts w:hint="eastAsia"/>
        </w:rPr>
        <w:t>委员会认为没有必要增加“出于条约解释的目的”这一短语来限制相关行为的范围。</w:t>
      </w:r>
      <w:bookmarkStart w:id="128" w:name="_Ref236304454"/>
      <w:r w:rsidRPr="00BF42B7">
        <w:rPr>
          <w:color w:val="0000FF"/>
          <w:vertAlign w:val="superscript"/>
        </w:rPr>
        <w:footnoteReference w:id="535"/>
      </w:r>
      <w:bookmarkEnd w:id="128"/>
      <w:r w:rsidRPr="00BF42B7">
        <w:rPr>
          <w:color w:val="0000FF"/>
          <w:vertAlign w:val="superscript"/>
        </w:rPr>
        <w:t xml:space="preserve"> </w:t>
      </w:r>
      <w:r w:rsidRPr="00BF42B7">
        <w:rPr>
          <w:rFonts w:hint="eastAsia"/>
        </w:rPr>
        <w:t>特别报告员曾提出这样的建议，目的是从“嗣后惯例”一词的范围中排除可归属于一国但并未起到表达一国在解释公约方面的相关立场作用的行为。</w:t>
      </w:r>
      <w:r w:rsidRPr="00BF42B7">
        <w:rPr>
          <w:color w:val="0000FF"/>
          <w:vertAlign w:val="superscript"/>
        </w:rPr>
        <w:footnoteReference w:id="536"/>
      </w:r>
      <w:r w:rsidRPr="00BF42B7">
        <w:rPr>
          <w:color w:val="0000FF"/>
          <w:vertAlign w:val="superscript"/>
        </w:rPr>
        <w:t xml:space="preserve"> </w:t>
      </w:r>
      <w:r w:rsidRPr="00BF42B7">
        <w:rPr>
          <w:rFonts w:hint="eastAsia"/>
        </w:rPr>
        <w:t>但委员会认为，任何相关行为必须是“适用条约”的行为这一要求足以限制可能的相关行为的范围。“适用条约”这一概念要求善意的行为，因而明显的误用公约不在这一范围之内。</w:t>
      </w:r>
      <w:r w:rsidRPr="00BF42B7">
        <w:rPr>
          <w:color w:val="0000FF"/>
          <w:vertAlign w:val="superscript"/>
        </w:rPr>
        <w:footnoteReference w:id="537"/>
      </w:r>
      <w:r w:rsidRPr="00BF42B7">
        <w:rPr>
          <w:color w:val="0000FF"/>
          <w:vertAlign w:val="superscript"/>
        </w:rPr>
        <w:t xml:space="preserve"> </w:t>
      </w:r>
    </w:p>
    <w:p w:rsidR="00B44972" w:rsidRPr="00BF42B7" w:rsidRDefault="00B44972" w:rsidP="00B44972">
      <w:pPr>
        <w:pStyle w:val="H4GC"/>
        <w:rPr>
          <w:rFonts w:eastAsia="楷体"/>
        </w:rPr>
      </w:pPr>
      <w:r w:rsidRPr="00BF42B7">
        <w:rPr>
          <w:rFonts w:eastAsia="楷体" w:hint="eastAsia"/>
        </w:rPr>
        <w:tab/>
      </w:r>
      <w:r w:rsidRPr="00BF42B7">
        <w:rPr>
          <w:rFonts w:eastAsia="楷体" w:hint="eastAsia"/>
        </w:rPr>
        <w:tab/>
      </w:r>
      <w:r w:rsidRPr="00BF42B7">
        <w:rPr>
          <w:rFonts w:eastAsia="楷体" w:hint="eastAsia"/>
        </w:rPr>
        <w:t>第</w:t>
      </w:r>
      <w:r w:rsidRPr="00BF42B7">
        <w:rPr>
          <w:rFonts w:eastAsia="楷体" w:hint="eastAsia"/>
        </w:rPr>
        <w:t>2</w:t>
      </w:r>
      <w:r w:rsidRPr="00BF42B7">
        <w:rPr>
          <w:rFonts w:eastAsia="楷体" w:hint="eastAsia"/>
        </w:rPr>
        <w:t>段</w:t>
      </w:r>
      <w:r w:rsidRPr="00BF42B7">
        <w:rPr>
          <w:rFonts w:eastAsia="楷体" w:hint="eastAsia"/>
          <w:spacing w:val="-50"/>
          <w:lang w:val="fr-CH"/>
        </w:rPr>
        <w:t>―</w:t>
      </w:r>
      <w:r w:rsidRPr="00BF42B7">
        <w:rPr>
          <w:rFonts w:eastAsia="楷体" w:hint="eastAsia"/>
          <w:lang w:val="fr-CH"/>
        </w:rPr>
        <w:t>―不</w:t>
      </w:r>
      <w:r w:rsidRPr="00BF42B7">
        <w:rPr>
          <w:rFonts w:eastAsia="楷体" w:hint="eastAsia"/>
        </w:rPr>
        <w:t>构成嗣后惯例的行为</w:t>
      </w:r>
    </w:p>
    <w:p w:rsidR="00B44972" w:rsidRPr="00BF42B7" w:rsidRDefault="00B44972" w:rsidP="00B44972">
      <w:pPr>
        <w:pStyle w:val="SingleTxtGC"/>
      </w:pPr>
      <w:r w:rsidRPr="00BF42B7">
        <w:t>(9)</w:t>
      </w:r>
      <w:r w:rsidRPr="00BF42B7">
        <w:rPr>
          <w:rFonts w:hint="eastAsia"/>
        </w:rPr>
        <w:t xml:space="preserve">  </w:t>
      </w:r>
      <w:r w:rsidRPr="00BF42B7">
        <w:rPr>
          <w:rFonts w:hint="eastAsia"/>
        </w:rPr>
        <w:t>结论草案</w:t>
      </w:r>
      <w:r w:rsidRPr="00BF42B7">
        <w:rPr>
          <w:rFonts w:hint="eastAsia"/>
        </w:rPr>
        <w:t>5</w:t>
      </w:r>
      <w:r w:rsidRPr="00BF42B7">
        <w:rPr>
          <w:rFonts w:hint="eastAsia"/>
        </w:rPr>
        <w:t>第</w:t>
      </w:r>
      <w:r w:rsidRPr="00BF42B7">
        <w:rPr>
          <w:rFonts w:hint="eastAsia"/>
        </w:rPr>
        <w:t>2</w:t>
      </w:r>
      <w:r w:rsidRPr="00BF42B7">
        <w:rPr>
          <w:rFonts w:hint="eastAsia"/>
        </w:rPr>
        <w:t>段由两句话组成。第一句说明第</w:t>
      </w:r>
      <w:r w:rsidRPr="00BF42B7">
        <w:rPr>
          <w:rFonts w:hint="eastAsia"/>
        </w:rPr>
        <w:t>1</w:t>
      </w:r>
      <w:r w:rsidRPr="00BF42B7">
        <w:rPr>
          <w:rFonts w:hint="eastAsia"/>
        </w:rPr>
        <w:t>段所设想行为之外的行为，包括非国家行为者的行为，不构成第三十一和第三十二条所称的嗣后惯例。使用“其他行为”一词是为了明确规定第</w:t>
      </w:r>
      <w:r w:rsidRPr="00BF42B7">
        <w:rPr>
          <w:rFonts w:hint="eastAsia"/>
        </w:rPr>
        <w:t>2</w:t>
      </w:r>
      <w:r w:rsidRPr="00BF42B7">
        <w:rPr>
          <w:rFonts w:hint="eastAsia"/>
        </w:rPr>
        <w:t>段所考虑的行为与第</w:t>
      </w:r>
      <w:r w:rsidRPr="00BF42B7">
        <w:rPr>
          <w:rFonts w:hint="eastAsia"/>
        </w:rPr>
        <w:t>1</w:t>
      </w:r>
      <w:r w:rsidRPr="00BF42B7">
        <w:rPr>
          <w:rFonts w:hint="eastAsia"/>
        </w:rPr>
        <w:t>段所考虑的行为之间的区别。同时，委员会认为，第</w:t>
      </w:r>
      <w:r w:rsidRPr="00BF42B7">
        <w:rPr>
          <w:rFonts w:hint="eastAsia"/>
        </w:rPr>
        <w:t>1</w:t>
      </w:r>
      <w:r w:rsidRPr="00BF42B7">
        <w:rPr>
          <w:rFonts w:hint="eastAsia"/>
        </w:rPr>
        <w:t>段未涵盖的行为在“评估”条约缔约方的嗣后惯例时可能具有意义。</w:t>
      </w:r>
    </w:p>
    <w:p w:rsidR="00B44972" w:rsidRPr="00BF42B7" w:rsidRDefault="00B44972" w:rsidP="00B44972">
      <w:pPr>
        <w:pStyle w:val="SingleTxtGC"/>
      </w:pPr>
      <w:r w:rsidRPr="00BF42B7">
        <w:t>(10)</w:t>
      </w:r>
      <w:r w:rsidRPr="00BF42B7">
        <w:rPr>
          <w:rFonts w:hint="eastAsia"/>
        </w:rPr>
        <w:t xml:space="preserve"> </w:t>
      </w:r>
      <w:r w:rsidRPr="00BF42B7">
        <w:t xml:space="preserve"> </w:t>
      </w:r>
      <w:r w:rsidRPr="00BF42B7">
        <w:rPr>
          <w:rFonts w:hint="eastAsia"/>
        </w:rPr>
        <w:t>“条约适用方面的嗣后惯例”将由根据条约要求须适用条约者</w:t>
      </w:r>
      <w:r w:rsidRPr="00BF42B7">
        <w:rPr>
          <w:rFonts w:hint="eastAsia"/>
        </w:rPr>
        <w:t>(</w:t>
      </w:r>
      <w:r w:rsidRPr="00BF42B7">
        <w:rPr>
          <w:rFonts w:hint="eastAsia"/>
        </w:rPr>
        <w:t>通常是缔约国本身</w:t>
      </w:r>
      <w:r w:rsidRPr="00BF42B7">
        <w:rPr>
          <w:rFonts w:hint="eastAsia"/>
        </w:rPr>
        <w:t>)</w:t>
      </w:r>
      <w:r w:rsidRPr="00BF42B7">
        <w:rPr>
          <w:rFonts w:hint="eastAsia"/>
        </w:rPr>
        <w:t>提出。</w:t>
      </w:r>
      <w:r w:rsidRPr="00BF42B7">
        <w:t>伊朗</w:t>
      </w:r>
      <w:r w:rsidRPr="00BF42B7">
        <w:rPr>
          <w:rFonts w:hint="eastAsia"/>
          <w:lang w:val="fr-CH"/>
        </w:rPr>
        <w:t>－</w:t>
      </w:r>
      <w:r w:rsidRPr="00BF42B7">
        <w:t>美国索赔法庭</w:t>
      </w:r>
      <w:r w:rsidRPr="00BF42B7">
        <w:rPr>
          <w:rFonts w:hint="eastAsia"/>
        </w:rPr>
        <w:t>制定的一般规则如下：</w:t>
      </w:r>
    </w:p>
    <w:p w:rsidR="00B44972" w:rsidRPr="00BF42B7" w:rsidRDefault="00B44972" w:rsidP="00B44972">
      <w:pPr>
        <w:pStyle w:val="SingleTxtGC"/>
        <w:ind w:left="1554"/>
      </w:pPr>
      <w:r w:rsidRPr="00BF42B7">
        <w:rPr>
          <w:rFonts w:hint="eastAsia"/>
        </w:rPr>
        <w:t>“条约解释的一个公认原则是，要结合上下文一并考虑某项国际条约适用方面的任何嗣后惯例。不过，这种惯例必须是条约缔约国的惯例，并且确定了各缔约国关于条约解释的一致。</w:t>
      </w:r>
    </w:p>
    <w:p w:rsidR="00B44972" w:rsidRPr="00BF42B7" w:rsidRDefault="00B44972" w:rsidP="00B44972">
      <w:pPr>
        <w:pStyle w:val="SingleTxtGC"/>
        <w:ind w:left="1554"/>
      </w:pPr>
      <w:r w:rsidRPr="00BF42B7">
        <w:rPr>
          <w:rFonts w:hint="eastAsia"/>
        </w:rPr>
        <w:t>“解决方案谈判的参加者之一</w:t>
      </w:r>
      <w:r w:rsidRPr="00BF42B7">
        <w:rPr>
          <w:rFonts w:hint="eastAsia"/>
          <w:spacing w:val="-50"/>
          <w:lang w:val="fr-CH"/>
        </w:rPr>
        <w:t>―</w:t>
      </w:r>
      <w:r w:rsidRPr="00BF42B7">
        <w:rPr>
          <w:rFonts w:hint="eastAsia"/>
          <w:lang w:val="fr-CH"/>
        </w:rPr>
        <w:t>―</w:t>
      </w:r>
      <w:r w:rsidRPr="00BF42B7">
        <w:rPr>
          <w:rFonts w:hint="eastAsia"/>
        </w:rPr>
        <w:t>伊朗中央银行是伊朗的一个实体，因而其惯例可归于作为《阿尔及尔宣言》缔约国之一的伊朗，但解决方案谈判和实际解决方案的其他参加者，即几家美国银行，并非美国政府的实体，因而它们的惯例不能如此归于作为《阿尔及尔宣言》另一当事方的美国”。</w:t>
      </w:r>
      <w:bookmarkStart w:id="129" w:name="_Ref461973728"/>
      <w:r w:rsidRPr="00BF42B7">
        <w:rPr>
          <w:color w:val="0000FF"/>
          <w:vertAlign w:val="superscript"/>
        </w:rPr>
        <w:footnoteReference w:id="538"/>
      </w:r>
      <w:bookmarkEnd w:id="129"/>
      <w:r w:rsidRPr="00BF42B7">
        <w:rPr>
          <w:color w:val="0000FF"/>
          <w:vertAlign w:val="superscript"/>
        </w:rPr>
        <w:t xml:space="preserve"> </w:t>
      </w:r>
    </w:p>
    <w:p w:rsidR="00B44972" w:rsidRPr="00BF42B7" w:rsidRDefault="00B44972" w:rsidP="00B44972">
      <w:pPr>
        <w:pStyle w:val="SingleTxtGC"/>
        <w:rPr>
          <w:color w:val="0000FF"/>
          <w:vertAlign w:val="superscript"/>
        </w:rPr>
      </w:pPr>
      <w:r w:rsidRPr="00BF42B7">
        <w:t>(11)</w:t>
      </w:r>
      <w:r w:rsidRPr="00BF42B7">
        <w:rPr>
          <w:rFonts w:hint="eastAsia"/>
        </w:rPr>
        <w:t xml:space="preserve">  </w:t>
      </w:r>
      <w:r w:rsidRPr="00BF42B7">
        <w:rPr>
          <w:rFonts w:hint="eastAsia"/>
        </w:rPr>
        <w:t>结论草案</w:t>
      </w:r>
      <w:r w:rsidRPr="00BF42B7">
        <w:rPr>
          <w:rFonts w:hint="eastAsia"/>
        </w:rPr>
        <w:t>5</w:t>
      </w:r>
      <w:r w:rsidRPr="00BF42B7">
        <w:rPr>
          <w:rFonts w:hint="eastAsia"/>
        </w:rPr>
        <w:t>第</w:t>
      </w:r>
      <w:r w:rsidRPr="00BF42B7">
        <w:rPr>
          <w:rFonts w:hint="eastAsia"/>
        </w:rPr>
        <w:t>2</w:t>
      </w:r>
      <w:r w:rsidRPr="00BF42B7">
        <w:rPr>
          <w:rFonts w:hint="eastAsia"/>
        </w:rPr>
        <w:t>段的第一句旨在反映该一般规则。它强调条约缔约国的主要作用，它们是条约的主人，并最终对条约的适用负责。这并不排除一种可能，即如果非国家行为者的行为可以归属于某一缔约国，它也可能构成适用条约的一种形式。</w:t>
      </w:r>
      <w:r w:rsidRPr="00BF42B7">
        <w:rPr>
          <w:color w:val="0000FF"/>
          <w:vertAlign w:val="superscript"/>
        </w:rPr>
        <w:footnoteReference w:id="539"/>
      </w:r>
      <w:r w:rsidRPr="00BF42B7">
        <w:rPr>
          <w:color w:val="0000FF"/>
          <w:vertAlign w:val="superscript"/>
        </w:rPr>
        <w:t xml:space="preserve"> </w:t>
      </w:r>
    </w:p>
    <w:p w:rsidR="00B44972" w:rsidRPr="00BF42B7" w:rsidRDefault="00B44972" w:rsidP="00B44972">
      <w:pPr>
        <w:pStyle w:val="SingleTxtGC"/>
      </w:pPr>
      <w:r w:rsidRPr="00BF42B7">
        <w:t>(12)</w:t>
      </w:r>
      <w:r w:rsidRPr="00BF42B7">
        <w:rPr>
          <w:rFonts w:hint="eastAsia"/>
        </w:rPr>
        <w:t xml:space="preserve">  </w:t>
      </w:r>
      <w:r w:rsidRPr="00BF42B7">
        <w:rPr>
          <w:rFonts w:hint="eastAsia"/>
        </w:rPr>
        <w:t>结论草案</w:t>
      </w:r>
      <w:r w:rsidRPr="00BF42B7">
        <w:rPr>
          <w:rFonts w:hint="eastAsia"/>
        </w:rPr>
        <w:t>5</w:t>
      </w:r>
      <w:r w:rsidRPr="00BF42B7">
        <w:rPr>
          <w:rFonts w:hint="eastAsia"/>
        </w:rPr>
        <w:t>第</w:t>
      </w:r>
      <w:r w:rsidRPr="00BF42B7">
        <w:rPr>
          <w:rFonts w:hint="eastAsia"/>
        </w:rPr>
        <w:t>2</w:t>
      </w:r>
      <w:r w:rsidRPr="00BF42B7">
        <w:rPr>
          <w:rFonts w:hint="eastAsia"/>
        </w:rPr>
        <w:t>段所述的“其他行为”可能是不同行为者的其他行为。具体而言，这些行为可能包括缔约方并非“适用条约”的行为、非条约缔约方的国家关于条约解释的声明、</w:t>
      </w:r>
      <w:r w:rsidRPr="00BF42B7">
        <w:rPr>
          <w:color w:val="0000FF"/>
          <w:vertAlign w:val="superscript"/>
        </w:rPr>
        <w:footnoteReference w:id="540"/>
      </w:r>
      <w:r w:rsidRPr="00BF42B7">
        <w:rPr>
          <w:color w:val="0000FF"/>
          <w:vertAlign w:val="superscript"/>
        </w:rPr>
        <w:t xml:space="preserve"> </w:t>
      </w:r>
      <w:r w:rsidRPr="00BF42B7">
        <w:rPr>
          <w:rFonts w:hint="eastAsia"/>
        </w:rPr>
        <w:t>条约监督机构或与解释所涉条约有关的争端解决机构的声明、</w:t>
      </w:r>
      <w:bookmarkStart w:id="130" w:name="_Ref461977454"/>
      <w:r w:rsidRPr="00BF42B7">
        <w:rPr>
          <w:color w:val="0000FF"/>
          <w:vertAlign w:val="superscript"/>
        </w:rPr>
        <w:footnoteReference w:id="541"/>
      </w:r>
      <w:bookmarkEnd w:id="130"/>
      <w:r w:rsidRPr="00BF42B7">
        <w:rPr>
          <w:color w:val="0000FF"/>
          <w:vertAlign w:val="superscript"/>
        </w:rPr>
        <w:t xml:space="preserve"> </w:t>
      </w:r>
      <w:r w:rsidRPr="00BF42B7">
        <w:rPr>
          <w:rFonts w:hint="eastAsia"/>
        </w:rPr>
        <w:t>受缔约国大会委派就条约条款的落实提供咨询意见的技术机构的行为或非国家行为者不同形式的行为或声明。</w:t>
      </w:r>
    </w:p>
    <w:p w:rsidR="00B44972" w:rsidRPr="00BF42B7" w:rsidRDefault="00B44972" w:rsidP="00B44972">
      <w:pPr>
        <w:pStyle w:val="SingleTxtGC"/>
      </w:pPr>
      <w:r w:rsidRPr="00BF42B7">
        <w:t>(13)</w:t>
      </w:r>
      <w:r w:rsidRPr="00BF42B7">
        <w:rPr>
          <w:rFonts w:hint="eastAsia"/>
        </w:rPr>
        <w:t xml:space="preserve">  </w:t>
      </w:r>
      <w:r w:rsidRPr="00BF42B7">
        <w:rPr>
          <w:rFonts w:hint="eastAsia"/>
        </w:rPr>
        <w:t>第</w:t>
      </w:r>
      <w:r w:rsidRPr="00BF42B7">
        <w:rPr>
          <w:rFonts w:hint="eastAsia"/>
        </w:rPr>
        <w:t>2</w:t>
      </w:r>
      <w:r w:rsidRPr="00BF42B7">
        <w:rPr>
          <w:rFonts w:hint="eastAsia"/>
        </w:rPr>
        <w:t>段第</w:t>
      </w:r>
      <w:r w:rsidRPr="00BF42B7">
        <w:rPr>
          <w:rFonts w:hint="eastAsia"/>
        </w:rPr>
        <w:t>2</w:t>
      </w:r>
      <w:r w:rsidRPr="00BF42B7">
        <w:rPr>
          <w:rFonts w:hint="eastAsia"/>
        </w:rPr>
        <w:t>句中的“评估嗣后惯例”应从广义上理解为涵盖查明嗣后惯例的存在和确定其法律意义。国际组织或非国家行为者等其他行为者的声明或行为有可能反映缔约国的相关嗣后惯例或成为其肇始者。</w:t>
      </w:r>
      <w:r w:rsidRPr="00BF42B7">
        <w:rPr>
          <w:color w:val="0000FF"/>
          <w:vertAlign w:val="superscript"/>
        </w:rPr>
        <w:footnoteReference w:id="542"/>
      </w:r>
      <w:r w:rsidRPr="00BF42B7">
        <w:rPr>
          <w:color w:val="0000FF"/>
          <w:vertAlign w:val="superscript"/>
        </w:rPr>
        <w:t xml:space="preserve"> </w:t>
      </w:r>
      <w:r w:rsidRPr="00BF42B7">
        <w:rPr>
          <w:rFonts w:hint="eastAsia"/>
        </w:rPr>
        <w:t>但这种由其他行为者的行为反映或肇始的缔约国嗣后惯例不应并入缔约国本身的惯例，包括归属于缔约方的惯例。因而，非缔约国的行为者的活动仅有助于评估条约缔约方的嗣后惯例。</w:t>
      </w:r>
    </w:p>
    <w:p w:rsidR="00B44972" w:rsidRPr="00BF42B7" w:rsidRDefault="00B44972" w:rsidP="00B44972">
      <w:pPr>
        <w:pStyle w:val="SingleTxtGC"/>
      </w:pPr>
      <w:r w:rsidRPr="00BF42B7">
        <w:t>(14)</w:t>
      </w:r>
      <w:r w:rsidRPr="00BF42B7">
        <w:rPr>
          <w:rFonts w:hint="eastAsia"/>
        </w:rPr>
        <w:t xml:space="preserve">  </w:t>
      </w:r>
      <w:r w:rsidRPr="00BF42B7">
        <w:rPr>
          <w:rFonts w:hint="eastAsia"/>
        </w:rPr>
        <w:t>国际组织的决定、决议和其他惯例本身就可能与条约的解释相关。例如，</w:t>
      </w:r>
      <w:r w:rsidRPr="00BF42B7">
        <w:rPr>
          <w:rFonts w:hint="eastAsia"/>
        </w:rPr>
        <w:t>1986</w:t>
      </w:r>
      <w:r w:rsidRPr="00BF42B7">
        <w:rPr>
          <w:rFonts w:hint="eastAsia"/>
        </w:rPr>
        <w:t>年《维也纳公约》第</w:t>
      </w:r>
      <w:r w:rsidRPr="00BF42B7">
        <w:t>2</w:t>
      </w:r>
      <w:r w:rsidRPr="00BF42B7">
        <w:rPr>
          <w:rFonts w:hint="eastAsia"/>
        </w:rPr>
        <w:t>条</w:t>
      </w:r>
      <w:r w:rsidRPr="00BF42B7">
        <w:t>(j)</w:t>
      </w:r>
      <w:r w:rsidRPr="00BF42B7">
        <w:rPr>
          <w:rFonts w:hint="eastAsia"/>
        </w:rPr>
        <w:t>项就确认了这一点，其中提及“确立的惯例”，将其作为“组织的规则”的一种形式。</w:t>
      </w:r>
      <w:r w:rsidRPr="00BF42B7">
        <w:rPr>
          <w:color w:val="0000FF"/>
          <w:vertAlign w:val="superscript"/>
        </w:rPr>
        <w:footnoteReference w:id="543"/>
      </w:r>
      <w:r w:rsidRPr="00BF42B7">
        <w:rPr>
          <w:color w:val="0000FF"/>
        </w:rPr>
        <w:t xml:space="preserve"> </w:t>
      </w:r>
      <w:r w:rsidRPr="00BF42B7">
        <w:rPr>
          <w:rFonts w:hint="eastAsia"/>
        </w:rPr>
        <w:t>结论草案</w:t>
      </w:r>
      <w:r w:rsidRPr="00BF42B7">
        <w:rPr>
          <w:rFonts w:hint="eastAsia"/>
        </w:rPr>
        <w:t>5</w:t>
      </w:r>
      <w:r w:rsidRPr="00BF42B7">
        <w:rPr>
          <w:rFonts w:hint="eastAsia"/>
        </w:rPr>
        <w:t>仅涉及国际组织的惯例是否可以表明条约缔约国的相关惯例。</w:t>
      </w:r>
    </w:p>
    <w:p w:rsidR="00B44972" w:rsidRPr="00BF42B7" w:rsidRDefault="00B44972" w:rsidP="00B44972">
      <w:pPr>
        <w:pStyle w:val="SingleTxtGC"/>
      </w:pPr>
      <w:r w:rsidRPr="00BF42B7">
        <w:t>(15)</w:t>
      </w:r>
      <w:r w:rsidRPr="00BF42B7">
        <w:rPr>
          <w:rFonts w:hint="eastAsia"/>
        </w:rPr>
        <w:t xml:space="preserve">  </w:t>
      </w:r>
      <w:r w:rsidRPr="00BF42B7">
        <w:rPr>
          <w:rFonts w:hint="eastAsia"/>
        </w:rPr>
        <w:t>全球性国际组织根据任务为说明某一特定领域国家惯例而编写的报告具有相当的权威性。例如，</w:t>
      </w:r>
      <w:r w:rsidRPr="00BF42B7">
        <w:t>《</w:t>
      </w:r>
      <w:r w:rsidRPr="00BF42B7">
        <w:rPr>
          <w:rFonts w:hint="eastAsia"/>
        </w:rPr>
        <w:t>难民署</w:t>
      </w:r>
      <w:r w:rsidRPr="00BF42B7">
        <w:t>根据关于难民地位的</w:t>
      </w:r>
      <w:r w:rsidRPr="00BF42B7">
        <w:t>1951</w:t>
      </w:r>
      <w:r w:rsidRPr="00BF42B7">
        <w:t>年公约和</w:t>
      </w:r>
      <w:r w:rsidRPr="00BF42B7">
        <w:t>1967</w:t>
      </w:r>
      <w:r w:rsidRPr="00BF42B7">
        <w:t>年议定书确定难民身份的程序和标准手册》</w:t>
      </w:r>
      <w:r w:rsidRPr="00BF42B7">
        <w:rPr>
          <w:rFonts w:hint="eastAsia"/>
        </w:rPr>
        <w:t>(</w:t>
      </w:r>
      <w:r w:rsidRPr="00BF42B7">
        <w:rPr>
          <w:rFonts w:hint="eastAsia"/>
        </w:rPr>
        <w:t>下称《难民署手册》</w:t>
      </w:r>
      <w:r w:rsidRPr="00BF42B7">
        <w:rPr>
          <w:rFonts w:hint="eastAsia"/>
        </w:rPr>
        <w:t>)</w:t>
      </w:r>
      <w:r w:rsidRPr="00BF42B7">
        <w:rPr>
          <w:rFonts w:hint="eastAsia"/>
        </w:rPr>
        <w:t>是一部重要出版物，反映了国家惯例，因而也提供了相关指导。</w:t>
      </w:r>
      <w:r w:rsidRPr="00BF42B7">
        <w:rPr>
          <w:color w:val="0000FF"/>
          <w:vertAlign w:val="superscript"/>
        </w:rPr>
        <w:footnoteReference w:id="544"/>
      </w:r>
      <w:r w:rsidRPr="00BF42B7">
        <w:rPr>
          <w:color w:val="0000FF"/>
        </w:rPr>
        <w:t xml:space="preserve"> </w:t>
      </w:r>
      <w:r w:rsidRPr="00BF42B7">
        <w:rPr>
          <w:rFonts w:hint="eastAsia"/>
        </w:rPr>
        <w:t>同样的还有所谓的</w:t>
      </w:r>
      <w:r w:rsidRPr="00BF42B7">
        <w:rPr>
          <w:rFonts w:hint="eastAsia"/>
        </w:rPr>
        <w:t>1540</w:t>
      </w:r>
      <w:r w:rsidRPr="00BF42B7">
        <w:rPr>
          <w:rFonts w:hint="eastAsia"/>
        </w:rPr>
        <w:t>汇总表，该表是</w:t>
      </w:r>
      <w:r w:rsidRPr="00BF42B7">
        <w:t>根据</w:t>
      </w:r>
      <w:r w:rsidRPr="00BF42B7">
        <w:rPr>
          <w:rFonts w:hint="eastAsia"/>
        </w:rPr>
        <w:t>2004</w:t>
      </w:r>
      <w:r w:rsidRPr="00BF42B7">
        <w:rPr>
          <w:rFonts w:hint="eastAsia"/>
        </w:rPr>
        <w:t>年</w:t>
      </w:r>
      <w:r w:rsidRPr="00BF42B7">
        <w:rPr>
          <w:rFonts w:hint="eastAsia"/>
        </w:rPr>
        <w:t>4</w:t>
      </w:r>
      <w:r w:rsidRPr="00BF42B7">
        <w:rPr>
          <w:rFonts w:hint="eastAsia"/>
        </w:rPr>
        <w:t>月</w:t>
      </w:r>
      <w:r w:rsidRPr="00BF42B7">
        <w:rPr>
          <w:rFonts w:hint="eastAsia"/>
        </w:rPr>
        <w:t>24</w:t>
      </w:r>
      <w:r w:rsidRPr="00BF42B7">
        <w:rPr>
          <w:rFonts w:hint="eastAsia"/>
        </w:rPr>
        <w:t>日</w:t>
      </w:r>
      <w:r w:rsidRPr="00BF42B7">
        <w:t>第</w:t>
      </w:r>
      <w:hyperlink r:id="rId85" w:history="1">
        <w:r w:rsidRPr="007F0135">
          <w:rPr>
            <w:rStyle w:val="af"/>
          </w:rPr>
          <w:t>1540(2004)</w:t>
        </w:r>
      </w:hyperlink>
      <w:r w:rsidRPr="00BF42B7">
        <w:t>号决议设立的</w:t>
      </w:r>
      <w:r w:rsidRPr="00BF42B7">
        <w:rPr>
          <w:rFonts w:hint="eastAsia"/>
        </w:rPr>
        <w:t>联合国安全理事会</w:t>
      </w:r>
      <w:r w:rsidRPr="00BF42B7">
        <w:t>委员会</w:t>
      </w:r>
      <w:r w:rsidRPr="00BF42B7">
        <w:rPr>
          <w:rFonts w:hint="eastAsia"/>
        </w:rPr>
        <w:t>对会员国所采取的执行措施的系统汇编。</w:t>
      </w:r>
      <w:r w:rsidRPr="00BF42B7">
        <w:rPr>
          <w:color w:val="0000FF"/>
          <w:vertAlign w:val="superscript"/>
        </w:rPr>
        <w:footnoteReference w:id="545"/>
      </w:r>
      <w:r w:rsidRPr="00BF42B7">
        <w:rPr>
          <w:color w:val="0000FF"/>
        </w:rPr>
        <w:t xml:space="preserve"> </w:t>
      </w:r>
      <w:r w:rsidRPr="00BF42B7">
        <w:rPr>
          <w:rFonts w:hint="eastAsia"/>
        </w:rPr>
        <w:t>汇总表涉及</w:t>
      </w:r>
      <w:r w:rsidRPr="00BF42B7">
        <w:rPr>
          <w:rFonts w:hint="eastAsia"/>
        </w:rPr>
        <w:t>1972</w:t>
      </w:r>
      <w:r w:rsidRPr="00BF42B7">
        <w:rPr>
          <w:rFonts w:hint="eastAsia"/>
        </w:rPr>
        <w:t>年《</w:t>
      </w:r>
      <w:r w:rsidRPr="00BF42B7">
        <w:t>关于禁止发展、生产和储存细菌及毒素武器和销毁此种武器的公约</w:t>
      </w:r>
      <w:r w:rsidRPr="00BF42B7">
        <w:rPr>
          <w:rFonts w:hint="eastAsia"/>
        </w:rPr>
        <w:t>》</w:t>
      </w:r>
      <w:bookmarkStart w:id="131" w:name="_Ref461972361"/>
      <w:r w:rsidRPr="00BF42B7">
        <w:rPr>
          <w:color w:val="0000FF"/>
          <w:vertAlign w:val="superscript"/>
        </w:rPr>
        <w:footnoteReference w:id="546"/>
      </w:r>
      <w:bookmarkEnd w:id="131"/>
      <w:r w:rsidRPr="00BF42B7">
        <w:rPr>
          <w:color w:val="0000FF"/>
          <w:vertAlign w:val="superscript"/>
        </w:rPr>
        <w:t xml:space="preserve"> </w:t>
      </w:r>
      <w:r w:rsidRPr="00BF42B7">
        <w:rPr>
          <w:rFonts w:hint="eastAsia"/>
        </w:rPr>
        <w:t>以及</w:t>
      </w:r>
      <w:r w:rsidRPr="00BF42B7">
        <w:rPr>
          <w:rFonts w:hint="eastAsia"/>
        </w:rPr>
        <w:t>1993</w:t>
      </w:r>
      <w:r w:rsidRPr="00BF42B7">
        <w:rPr>
          <w:rFonts w:hint="eastAsia"/>
        </w:rPr>
        <w:t>年</w:t>
      </w:r>
      <w:r w:rsidRPr="00BF42B7">
        <w:t>《</w:t>
      </w:r>
      <w:r w:rsidRPr="00BF42B7">
        <w:rPr>
          <w:rFonts w:hint="eastAsia"/>
        </w:rPr>
        <w:t>关于禁止发展、生产、储存和使用化学武器及销毁此种武器的公约</w:t>
      </w:r>
      <w:r w:rsidRPr="00BF42B7">
        <w:t>》</w:t>
      </w:r>
      <w:r w:rsidRPr="00BF42B7">
        <w:rPr>
          <w:rFonts w:hint="eastAsia"/>
        </w:rPr>
        <w:t>执行的部分，</w:t>
      </w:r>
      <w:r w:rsidRPr="00BF42B7">
        <w:rPr>
          <w:color w:val="0000FF"/>
          <w:vertAlign w:val="superscript"/>
        </w:rPr>
        <w:footnoteReference w:id="547"/>
      </w:r>
      <w:r w:rsidRPr="00BF42B7">
        <w:rPr>
          <w:color w:val="0000FF"/>
          <w:vertAlign w:val="superscript"/>
        </w:rPr>
        <w:t xml:space="preserve"> </w:t>
      </w:r>
      <w:r w:rsidRPr="00BF42B7">
        <w:rPr>
          <w:rFonts w:hint="eastAsia"/>
        </w:rPr>
        <w:t>构成了这些条约嗣后国家惯例的证据，以及对这些条约嗣后国家惯例的评估。</w:t>
      </w:r>
      <w:bookmarkStart w:id="132" w:name="_Ref461977176"/>
      <w:r w:rsidRPr="00BF42B7">
        <w:rPr>
          <w:color w:val="0000FF"/>
          <w:vertAlign w:val="superscript"/>
        </w:rPr>
        <w:footnoteReference w:id="548"/>
      </w:r>
      <w:bookmarkEnd w:id="132"/>
      <w:r w:rsidRPr="00BF42B7">
        <w:rPr>
          <w:color w:val="0000FF"/>
          <w:vertAlign w:val="superscript"/>
        </w:rPr>
        <w:t xml:space="preserve"> </w:t>
      </w:r>
    </w:p>
    <w:p w:rsidR="00B44972" w:rsidRPr="00BF42B7" w:rsidRDefault="00B44972" w:rsidP="00B44972">
      <w:pPr>
        <w:pStyle w:val="SingleTxtGC"/>
      </w:pPr>
      <w:r w:rsidRPr="00BF42B7">
        <w:t>(16)</w:t>
      </w:r>
      <w:r w:rsidRPr="00BF42B7">
        <w:rPr>
          <w:rFonts w:hint="eastAsia"/>
        </w:rPr>
        <w:t xml:space="preserve">  </w:t>
      </w:r>
      <w:r w:rsidRPr="00BF42B7">
        <w:rPr>
          <w:rFonts w:hint="eastAsia"/>
        </w:rPr>
        <w:t>其他非国家行为者也可在评估缔约方适用公约方面发挥重要作用。</w:t>
      </w:r>
      <w:r w:rsidRPr="00BF42B7">
        <w:rPr>
          <w:color w:val="0000FF"/>
          <w:vertAlign w:val="superscript"/>
        </w:rPr>
        <w:footnoteReference w:id="549"/>
      </w:r>
      <w:r w:rsidRPr="00BF42B7">
        <w:rPr>
          <w:color w:val="0000FF"/>
        </w:rPr>
        <w:t xml:space="preserve"> </w:t>
      </w:r>
      <w:r w:rsidRPr="00BF42B7">
        <w:rPr>
          <w:rFonts w:hint="eastAsia"/>
        </w:rPr>
        <w:t>红十字国际委员会</w:t>
      </w:r>
      <w:r w:rsidRPr="00BF42B7">
        <w:rPr>
          <w:rFonts w:hint="eastAsia"/>
        </w:rPr>
        <w:t>(</w:t>
      </w:r>
      <w:r w:rsidRPr="00BF42B7">
        <w:rPr>
          <w:rFonts w:hint="eastAsia"/>
        </w:rPr>
        <w:t>红十字委员会</w:t>
      </w:r>
      <w:r w:rsidRPr="00BF42B7">
        <w:rPr>
          <w:rFonts w:hint="eastAsia"/>
        </w:rPr>
        <w:t>)</w:t>
      </w:r>
      <w:r w:rsidRPr="00BF42B7">
        <w:rPr>
          <w:rFonts w:hint="eastAsia"/>
        </w:rPr>
        <w:t>就是一个这样的例子。除了完成关于保护战争受难者的日内瓦四公约和《国际红十字与红新月运动章程》赋予的一般性任务，</w:t>
      </w:r>
      <w:r w:rsidRPr="00BF42B7">
        <w:rPr>
          <w:color w:val="0000FF"/>
          <w:vertAlign w:val="superscript"/>
        </w:rPr>
        <w:footnoteReference w:id="550"/>
      </w:r>
      <w:r w:rsidRPr="00BF42B7">
        <w:rPr>
          <w:color w:val="0000FF"/>
        </w:rPr>
        <w:t xml:space="preserve"> </w:t>
      </w:r>
      <w:r w:rsidRPr="00BF42B7">
        <w:rPr>
          <w:rFonts w:hint="eastAsia"/>
        </w:rPr>
        <w:t>红十字委员会还不时就</w:t>
      </w:r>
      <w:r w:rsidRPr="00BF42B7">
        <w:rPr>
          <w:rFonts w:hint="eastAsia"/>
        </w:rPr>
        <w:t>1949</w:t>
      </w:r>
      <w:r w:rsidRPr="00BF42B7">
        <w:rPr>
          <w:rFonts w:hint="eastAsia"/>
        </w:rPr>
        <w:t>年日内瓦四公约</w:t>
      </w:r>
      <w:bookmarkStart w:id="133" w:name="_Ref461973306"/>
      <w:r w:rsidRPr="00BF42B7">
        <w:rPr>
          <w:color w:val="0000FF"/>
          <w:vertAlign w:val="superscript"/>
        </w:rPr>
        <w:footnoteReference w:id="551"/>
      </w:r>
      <w:bookmarkEnd w:id="133"/>
      <w:r w:rsidRPr="00BF42B7">
        <w:rPr>
          <w:color w:val="0000FF"/>
          <w:vertAlign w:val="superscript"/>
        </w:rPr>
        <w:t xml:space="preserve"> </w:t>
      </w:r>
      <w:r w:rsidRPr="00BF42B7">
        <w:rPr>
          <w:rFonts w:hint="eastAsia"/>
        </w:rPr>
        <w:t>及各项附加议定书</w:t>
      </w:r>
      <w:bookmarkStart w:id="134" w:name="_Ref461973545"/>
      <w:r w:rsidRPr="00BF42B7">
        <w:rPr>
          <w:color w:val="0000FF"/>
          <w:vertAlign w:val="superscript"/>
        </w:rPr>
        <w:footnoteReference w:id="552"/>
      </w:r>
      <w:bookmarkEnd w:id="134"/>
      <w:r w:rsidRPr="00BF42B7">
        <w:rPr>
          <w:color w:val="0000FF"/>
          <w:vertAlign w:val="superscript"/>
        </w:rPr>
        <w:t xml:space="preserve"> </w:t>
      </w:r>
      <w:r w:rsidRPr="00BF42B7">
        <w:rPr>
          <w:rFonts w:hint="eastAsia"/>
        </w:rPr>
        <w:t>的解释提供指导，这是《</w:t>
      </w:r>
      <w:r w:rsidRPr="00BF42B7">
        <w:t>运动章程</w:t>
      </w:r>
      <w:r w:rsidRPr="00BF42B7">
        <w:rPr>
          <w:rFonts w:hint="eastAsia"/>
        </w:rPr>
        <w:t>》规定的任务。</w:t>
      </w:r>
      <w:r w:rsidRPr="00BF42B7">
        <w:rPr>
          <w:color w:val="0000FF"/>
          <w:vertAlign w:val="superscript"/>
        </w:rPr>
        <w:footnoteReference w:id="553"/>
      </w:r>
      <w:r w:rsidRPr="00BF42B7">
        <w:rPr>
          <w:color w:val="0000FF"/>
        </w:rPr>
        <w:t xml:space="preserve"> </w:t>
      </w:r>
      <w:r w:rsidRPr="00BF42B7">
        <w:rPr>
          <w:rFonts w:hint="eastAsia"/>
        </w:rPr>
        <w:t>该章程第</w:t>
      </w:r>
      <w:r w:rsidRPr="00BF42B7">
        <w:rPr>
          <w:rFonts w:hint="eastAsia"/>
        </w:rPr>
        <w:t>5</w:t>
      </w:r>
      <w:r w:rsidRPr="00BF42B7">
        <w:rPr>
          <w:rFonts w:hint="eastAsia"/>
        </w:rPr>
        <w:t>条第</w:t>
      </w:r>
      <w:r w:rsidRPr="00BF42B7">
        <w:rPr>
          <w:rFonts w:hint="eastAsia"/>
        </w:rPr>
        <w:t>2</w:t>
      </w:r>
      <w:r w:rsidRPr="00BF42B7">
        <w:rPr>
          <w:rFonts w:hint="eastAsia"/>
        </w:rPr>
        <w:t>款</w:t>
      </w:r>
      <w:r w:rsidRPr="00BF42B7">
        <w:rPr>
          <w:rFonts w:hint="eastAsia"/>
        </w:rPr>
        <w:t>(7)</w:t>
      </w:r>
      <w:r w:rsidRPr="00BF42B7">
        <w:rPr>
          <w:rFonts w:hint="eastAsia"/>
        </w:rPr>
        <w:t>项规定：</w:t>
      </w:r>
    </w:p>
    <w:p w:rsidR="00B44972" w:rsidRPr="00BF42B7" w:rsidRDefault="00B44972" w:rsidP="00B44972">
      <w:pPr>
        <w:pStyle w:val="SingleTxtGC"/>
        <w:ind w:left="1554"/>
      </w:pPr>
      <w:r w:rsidRPr="00BF42B7">
        <w:rPr>
          <w:rFonts w:hint="eastAsia"/>
        </w:rPr>
        <w:t>“根据委员会章程，该国际委员会的职责主要是：……</w:t>
      </w:r>
      <w:r w:rsidRPr="00BF42B7">
        <w:t>(</w:t>
      </w:r>
      <w:r w:rsidRPr="00BF42B7">
        <w:rPr>
          <w:rFonts w:hint="eastAsia"/>
        </w:rPr>
        <w:t>7</w:t>
      </w:r>
      <w:r w:rsidRPr="00BF42B7">
        <w:t>)</w:t>
      </w:r>
      <w:r w:rsidRPr="00BF42B7">
        <w:rPr>
          <w:rFonts w:hint="eastAsia"/>
        </w:rPr>
        <w:t>为了解和传播适用于武装冲突的国际人道法知识而努力工作，并为发展该法做好准备。”</w:t>
      </w:r>
    </w:p>
    <w:p w:rsidR="00B44972" w:rsidRPr="00BF42B7" w:rsidRDefault="00B44972" w:rsidP="00B44972">
      <w:pPr>
        <w:pStyle w:val="SingleTxtGC"/>
        <w:rPr>
          <w:lang w:val="fr-CH"/>
        </w:rPr>
      </w:pPr>
      <w:r w:rsidRPr="00BF42B7">
        <w:rPr>
          <w:rFonts w:hint="eastAsia"/>
        </w:rPr>
        <w:t>2009</w:t>
      </w:r>
      <w:r w:rsidRPr="00BF42B7">
        <w:rPr>
          <w:rFonts w:hint="eastAsia"/>
        </w:rPr>
        <w:t>年，红十字委员会根据这项任务发布了《关于根据国际人道主义法直接参与敌对行动概念的解释指南》。</w:t>
      </w:r>
      <w:r w:rsidRPr="00BF42B7">
        <w:rPr>
          <w:color w:val="0000FF"/>
          <w:vertAlign w:val="superscript"/>
        </w:rPr>
        <w:footnoteReference w:id="554"/>
      </w:r>
      <w:r w:rsidRPr="00BF42B7">
        <w:rPr>
          <w:color w:val="0000FF"/>
        </w:rPr>
        <w:t xml:space="preserve"> </w:t>
      </w:r>
      <w:r w:rsidRPr="00BF42B7">
        <w:rPr>
          <w:rFonts w:hint="eastAsia"/>
        </w:rPr>
        <w:t>该解释指南是基于有关国家条约和习惯做法的“专家进程”的成果，“反映了红十字委员会关于如何解释现行国际人道主义法的机构立场”。</w:t>
      </w:r>
      <w:r w:rsidRPr="00BF42B7">
        <w:rPr>
          <w:color w:val="0000FF"/>
          <w:vertAlign w:val="superscript"/>
        </w:rPr>
        <w:footnoteReference w:id="555"/>
      </w:r>
      <w:r w:rsidRPr="00BF42B7">
        <w:rPr>
          <w:color w:val="0000FF"/>
        </w:rPr>
        <w:t xml:space="preserve"> </w:t>
      </w:r>
      <w:r w:rsidRPr="00BF42B7">
        <w:rPr>
          <w:rFonts w:hint="eastAsia"/>
        </w:rPr>
        <w:t>但在这方面，应注意到各国已重申其在发展国际人道主义法方面的主要作用。</w:t>
      </w:r>
      <w:r w:rsidRPr="00BF42B7">
        <w:rPr>
          <w:rFonts w:hint="eastAsia"/>
        </w:rPr>
        <w:t>2011</w:t>
      </w:r>
      <w:r w:rsidRPr="00BF42B7">
        <w:rPr>
          <w:rFonts w:hint="eastAsia"/>
        </w:rPr>
        <w:t>年第</w:t>
      </w:r>
      <w:r w:rsidRPr="00BF42B7">
        <w:rPr>
          <w:rFonts w:hint="eastAsia"/>
        </w:rPr>
        <w:t>31</w:t>
      </w:r>
      <w:r w:rsidRPr="00BF42B7">
        <w:rPr>
          <w:rFonts w:hint="eastAsia"/>
        </w:rPr>
        <w:t>届红十字与红新月国际大会第</w:t>
      </w:r>
      <w:r w:rsidRPr="00BF42B7">
        <w:rPr>
          <w:rFonts w:hint="eastAsia"/>
        </w:rPr>
        <w:t>1</w:t>
      </w:r>
      <w:r w:rsidRPr="00BF42B7">
        <w:rPr>
          <w:rFonts w:hint="eastAsia"/>
        </w:rPr>
        <w:t>项决议在强调“</w:t>
      </w:r>
      <w:r w:rsidRPr="00BF42B7">
        <w:rPr>
          <w:rFonts w:hint="eastAsia"/>
        </w:rPr>
        <w:t>[</w:t>
      </w:r>
      <w:r w:rsidRPr="00BF42B7">
        <w:rPr>
          <w:rFonts w:hint="eastAsia"/>
        </w:rPr>
        <w:t>红十字委员会</w:t>
      </w:r>
      <w:r w:rsidRPr="00BF42B7">
        <w:rPr>
          <w:rFonts w:hint="eastAsia"/>
        </w:rPr>
        <w:t>]</w:t>
      </w:r>
      <w:r w:rsidRPr="00BF42B7">
        <w:rPr>
          <w:rFonts w:hint="eastAsia"/>
        </w:rPr>
        <w:t>的重要作用”的同时，“强调国家在发展国际人道主义法方面的主要作用”。</w:t>
      </w:r>
      <w:r w:rsidRPr="00BF42B7">
        <w:rPr>
          <w:color w:val="0000FF"/>
          <w:vertAlign w:val="superscript"/>
        </w:rPr>
        <w:footnoteReference w:id="556"/>
      </w:r>
    </w:p>
    <w:p w:rsidR="008D7906" w:rsidRPr="00BF42B7" w:rsidRDefault="008D7906" w:rsidP="008D7906">
      <w:pPr>
        <w:pStyle w:val="SingleTxtGC"/>
      </w:pPr>
      <w:r w:rsidRPr="00BF42B7">
        <w:t>(17)</w:t>
      </w:r>
      <w:r w:rsidRPr="00BF42B7">
        <w:rPr>
          <w:rFonts w:hint="eastAsia"/>
        </w:rPr>
        <w:t xml:space="preserve">  </w:t>
      </w:r>
      <w:r w:rsidRPr="00BF42B7">
        <w:rPr>
          <w:rFonts w:hint="eastAsia"/>
        </w:rPr>
        <w:t>在评估缔约方嗣后惯例时可能具有意义的非国家行为者行为的另一实例是国际禁止地雷运动和集束弹药联盟的一项联合举措</w:t>
      </w:r>
      <w:r w:rsidRPr="00BF42B7">
        <w:rPr>
          <w:rFonts w:hint="eastAsia"/>
          <w:spacing w:val="-50"/>
        </w:rPr>
        <w:t>―</w:t>
      </w:r>
      <w:r w:rsidRPr="00BF42B7">
        <w:rPr>
          <w:rFonts w:hint="eastAsia"/>
        </w:rPr>
        <w:t>―监测组织。监测组织</w:t>
      </w:r>
      <w:r w:rsidRPr="00BF42B7">
        <w:rPr>
          <w:color w:val="0000FF"/>
          <w:vertAlign w:val="superscript"/>
        </w:rPr>
        <w:footnoteReference w:id="557"/>
      </w:r>
      <w:r w:rsidRPr="00BF42B7">
        <w:rPr>
          <w:color w:val="0000FF"/>
          <w:vertAlign w:val="superscript"/>
        </w:rPr>
        <w:t xml:space="preserve"> </w:t>
      </w:r>
      <w:r w:rsidRPr="00BF42B7">
        <w:rPr>
          <w:rFonts w:hint="eastAsia"/>
        </w:rPr>
        <w:t>充当了</w:t>
      </w:r>
      <w:r w:rsidRPr="00BF42B7">
        <w:rPr>
          <w:rFonts w:hint="eastAsia"/>
        </w:rPr>
        <w:t>1997</w:t>
      </w:r>
      <w:r w:rsidRPr="00BF42B7">
        <w:rPr>
          <w:rFonts w:hint="eastAsia"/>
        </w:rPr>
        <w:t>年《</w:t>
      </w:r>
      <w:r w:rsidRPr="00BF42B7">
        <w:t>关于禁止使用、储存、生产和转让杀伤人员地雷及销毁此种地雷的公约</w:t>
      </w:r>
      <w:r w:rsidRPr="00BF42B7">
        <w:rPr>
          <w:rFonts w:hint="eastAsia"/>
        </w:rPr>
        <w:t>》</w:t>
      </w:r>
      <w:r w:rsidRPr="00BF42B7">
        <w:rPr>
          <w:rFonts w:hint="eastAsia"/>
        </w:rPr>
        <w:t>(</w:t>
      </w:r>
      <w:r w:rsidRPr="00BF42B7">
        <w:rPr>
          <w:rFonts w:hint="eastAsia"/>
        </w:rPr>
        <w:t>《</w:t>
      </w:r>
      <w:r w:rsidRPr="00BF42B7">
        <w:t>渥太华公约</w:t>
      </w:r>
      <w:r w:rsidRPr="00BF42B7">
        <w:rPr>
          <w:rFonts w:hint="eastAsia"/>
        </w:rPr>
        <w:t>》</w:t>
      </w:r>
      <w:r w:rsidRPr="00BF42B7">
        <w:rPr>
          <w:rFonts w:hint="eastAsia"/>
        </w:rPr>
        <w:t>)</w:t>
      </w:r>
      <w:r w:rsidRPr="00BF42B7">
        <w:rPr>
          <w:color w:val="0000FF"/>
          <w:vertAlign w:val="superscript"/>
        </w:rPr>
        <w:footnoteReference w:id="558"/>
      </w:r>
      <w:r w:rsidRPr="00BF42B7">
        <w:rPr>
          <w:color w:val="0000FF"/>
          <w:vertAlign w:val="superscript"/>
        </w:rPr>
        <w:t xml:space="preserve"> </w:t>
      </w:r>
      <w:r w:rsidRPr="00BF42B7">
        <w:rPr>
          <w:rFonts w:hint="eastAsia"/>
        </w:rPr>
        <w:t>和</w:t>
      </w:r>
      <w:r w:rsidRPr="00BF42B7">
        <w:rPr>
          <w:rFonts w:hint="eastAsia"/>
        </w:rPr>
        <w:t>2008</w:t>
      </w:r>
      <w:r w:rsidRPr="00BF42B7">
        <w:rPr>
          <w:rFonts w:hint="eastAsia"/>
        </w:rPr>
        <w:t>年《集束弹药公约》</w:t>
      </w:r>
      <w:r w:rsidRPr="00BF42B7">
        <w:rPr>
          <w:rFonts w:hint="eastAsia"/>
        </w:rPr>
        <w:t>(</w:t>
      </w:r>
      <w:r w:rsidRPr="00BF42B7">
        <w:rPr>
          <w:rFonts w:hint="eastAsia"/>
        </w:rPr>
        <w:t>《都柏林公约》</w:t>
      </w:r>
      <w:r w:rsidRPr="00BF42B7">
        <w:rPr>
          <w:rFonts w:hint="eastAsia"/>
        </w:rPr>
        <w:t>)</w:t>
      </w:r>
      <w:r w:rsidRPr="00BF42B7">
        <w:rPr>
          <w:color w:val="0000FF"/>
          <w:vertAlign w:val="superscript"/>
        </w:rPr>
        <w:footnoteReference w:id="559"/>
      </w:r>
      <w:r w:rsidRPr="00BF42B7">
        <w:rPr>
          <w:color w:val="0000FF"/>
          <w:vertAlign w:val="superscript"/>
        </w:rPr>
        <w:t xml:space="preserve"> </w:t>
      </w:r>
      <w:r w:rsidRPr="00BF42B7">
        <w:rPr>
          <w:rFonts w:hint="eastAsia"/>
        </w:rPr>
        <w:t>事实上的监测机制。监测组织列出了缔约国和签署国的相关声明和惯例，并确认了除其他外、涉及《都柏林公约》的各种解释性问题。</w:t>
      </w:r>
      <w:r w:rsidRPr="00BF42B7">
        <w:rPr>
          <w:color w:val="0000FF"/>
          <w:vertAlign w:val="superscript"/>
        </w:rPr>
        <w:footnoteReference w:id="560"/>
      </w:r>
    </w:p>
    <w:p w:rsidR="008D7906" w:rsidRPr="00BF42B7" w:rsidRDefault="008D7906" w:rsidP="008D7906">
      <w:pPr>
        <w:pStyle w:val="SingleTxtGC"/>
      </w:pPr>
      <w:r w:rsidRPr="00BF42B7">
        <w:t>(18)</w:t>
      </w:r>
      <w:r w:rsidRPr="00BF42B7">
        <w:rPr>
          <w:rFonts w:hint="eastAsia"/>
        </w:rPr>
        <w:t xml:space="preserve">  </w:t>
      </w:r>
      <w:r w:rsidRPr="00BF42B7">
        <w:rPr>
          <w:rFonts w:hint="eastAsia"/>
        </w:rPr>
        <w:t>红十字委员会和监测组织的实例说明，非国家行为者可以提供缔约方嗣后惯例的宝贵证据，促进对这种证据的评估，甚至促使证据形成。但非国家行为者也可以追求其自身目标，而这些目标可能不同于缔约国的目标。因此对它们的评估意见需要严加审查。</w:t>
      </w:r>
    </w:p>
    <w:p w:rsidR="008D7906" w:rsidRPr="00BF42B7" w:rsidRDefault="008D7906" w:rsidP="008D7906">
      <w:pPr>
        <w:pStyle w:val="SingleTxtGC"/>
      </w:pPr>
      <w:r w:rsidRPr="00BF42B7">
        <w:t>(19)</w:t>
      </w:r>
      <w:r w:rsidRPr="00BF42B7">
        <w:rPr>
          <w:rFonts w:hint="eastAsia"/>
        </w:rPr>
        <w:t xml:space="preserve">  </w:t>
      </w:r>
      <w:r w:rsidRPr="00BF42B7">
        <w:rPr>
          <w:rFonts w:hint="eastAsia"/>
        </w:rPr>
        <w:t>委员会审议了是否应在结论草案</w:t>
      </w:r>
      <w:r w:rsidRPr="00BF42B7">
        <w:rPr>
          <w:rFonts w:hint="eastAsia"/>
        </w:rPr>
        <w:t>5</w:t>
      </w:r>
      <w:r w:rsidRPr="00BF42B7">
        <w:rPr>
          <w:rFonts w:hint="eastAsia"/>
        </w:rPr>
        <w:t>的案文中提及“社会惯例”，作为“在评估条约缔约方的嗣后惯例时可能具有意义……的其他行为”的一个例子。</w:t>
      </w:r>
      <w:r w:rsidRPr="00BF42B7">
        <w:rPr>
          <w:color w:val="0000FF"/>
          <w:vertAlign w:val="superscript"/>
        </w:rPr>
        <w:footnoteReference w:id="561"/>
      </w:r>
      <w:r w:rsidRPr="00BF42B7">
        <w:rPr>
          <w:color w:val="0000FF"/>
          <w:vertAlign w:val="superscript"/>
        </w:rPr>
        <w:t xml:space="preserve"> </w:t>
      </w:r>
      <w:r w:rsidRPr="00BF42B7">
        <w:rPr>
          <w:rFonts w:hint="eastAsia"/>
        </w:rPr>
        <w:t>考虑到一些委员就这一概念的含义和相关性表示的关切，委员会认为最好在评注中论述“社会惯例”可能的相关性问题。</w:t>
      </w:r>
    </w:p>
    <w:p w:rsidR="008D7906" w:rsidRPr="00BF42B7" w:rsidRDefault="008D7906" w:rsidP="008D7906">
      <w:pPr>
        <w:pStyle w:val="SingleTxtGC"/>
      </w:pPr>
      <w:r w:rsidRPr="00BF42B7">
        <w:t>(20)</w:t>
      </w:r>
      <w:r w:rsidRPr="00BF42B7">
        <w:rPr>
          <w:rFonts w:hint="eastAsia"/>
        </w:rPr>
        <w:t xml:space="preserve">  </w:t>
      </w:r>
      <w:r w:rsidRPr="00BF42B7">
        <w:rPr>
          <w:rFonts w:hint="eastAsia"/>
        </w:rPr>
        <w:t>欧洲人权法院有时认为，“社会接受程度增加”</w:t>
      </w:r>
      <w:r w:rsidRPr="00BF42B7">
        <w:rPr>
          <w:color w:val="0000FF"/>
          <w:vertAlign w:val="superscript"/>
        </w:rPr>
        <w:footnoteReference w:id="562"/>
      </w:r>
      <w:r w:rsidRPr="00BF42B7">
        <w:rPr>
          <w:color w:val="0000FF"/>
          <w:vertAlign w:val="superscript"/>
        </w:rPr>
        <w:t xml:space="preserve"> </w:t>
      </w:r>
      <w:r w:rsidRPr="00BF42B7">
        <w:rPr>
          <w:rFonts w:hint="eastAsia"/>
        </w:rPr>
        <w:t>和“重大社会变革”</w:t>
      </w:r>
      <w:r w:rsidRPr="00BF42B7">
        <w:rPr>
          <w:color w:val="0000FF"/>
          <w:vertAlign w:val="superscript"/>
        </w:rPr>
        <w:footnoteReference w:id="563"/>
      </w:r>
      <w:r w:rsidRPr="00BF42B7">
        <w:rPr>
          <w:color w:val="0000FF"/>
          <w:vertAlign w:val="superscript"/>
        </w:rPr>
        <w:t xml:space="preserve"> </w:t>
      </w:r>
      <w:r w:rsidRPr="00BF42B7">
        <w:rPr>
          <w:rFonts w:hint="eastAsia"/>
        </w:rPr>
        <w:t>就条约解释目的而言具有相关性。但法院援引“社会变革”或“社会接受”最终仍与国家惯例有关。</w:t>
      </w:r>
      <w:bookmarkStart w:id="135" w:name="_Ref350180855"/>
      <w:r w:rsidRPr="00BF42B7">
        <w:rPr>
          <w:color w:val="0000FF"/>
          <w:vertAlign w:val="superscript"/>
        </w:rPr>
        <w:footnoteReference w:id="564"/>
      </w:r>
      <w:bookmarkEnd w:id="135"/>
      <w:r w:rsidRPr="00BF42B7">
        <w:rPr>
          <w:color w:val="0000FF"/>
          <w:vertAlign w:val="superscript"/>
        </w:rPr>
        <w:t xml:space="preserve"> </w:t>
      </w:r>
      <w:r w:rsidRPr="00BF42B7">
        <w:t>Dudgeon</w:t>
      </w:r>
      <w:r w:rsidRPr="00BF42B7">
        <w:rPr>
          <w:rFonts w:ascii="Time New Roman" w:eastAsia="楷体" w:hAnsi="Time New Roman"/>
        </w:rPr>
        <w:t>诉联合王国</w:t>
      </w:r>
      <w:bookmarkStart w:id="136" w:name="_Ref350180974"/>
      <w:r w:rsidRPr="00BF42B7">
        <w:rPr>
          <w:rFonts w:ascii="Time New Roman" w:eastAsia="楷体" w:hAnsi="Time New Roman" w:hint="eastAsia"/>
        </w:rPr>
        <w:t>案</w:t>
      </w:r>
      <w:bookmarkEnd w:id="136"/>
      <w:r w:rsidRPr="00BF42B7">
        <w:rPr>
          <w:color w:val="0000FF"/>
          <w:vertAlign w:val="superscript"/>
        </w:rPr>
        <w:footnoteReference w:id="565"/>
      </w:r>
      <w:r w:rsidRPr="00BF42B7">
        <w:rPr>
          <w:color w:val="0000FF"/>
          <w:vertAlign w:val="superscript"/>
        </w:rPr>
        <w:t xml:space="preserve"> </w:t>
      </w:r>
      <w:r w:rsidRPr="00BF42B7">
        <w:rPr>
          <w:rFonts w:hint="eastAsia"/>
        </w:rPr>
        <w:t>和</w:t>
      </w:r>
      <w:r w:rsidRPr="00BF42B7">
        <w:t>Christine Goodwin</w:t>
      </w:r>
      <w:r w:rsidRPr="00BF42B7">
        <w:t>诉</w:t>
      </w:r>
      <w:r w:rsidRPr="00BF42B7">
        <w:rPr>
          <w:rFonts w:ascii="Time New Roman" w:eastAsia="楷体" w:hAnsi="Time New Roman"/>
        </w:rPr>
        <w:t>联合王国</w:t>
      </w:r>
      <w:r w:rsidRPr="00BF42B7">
        <w:rPr>
          <w:rFonts w:ascii="Time New Roman" w:eastAsia="楷体" w:hAnsi="Time New Roman" w:hint="eastAsia"/>
        </w:rPr>
        <w:t>案</w:t>
      </w:r>
      <w:r w:rsidRPr="00BF42B7">
        <w:rPr>
          <w:color w:val="0000FF"/>
          <w:vertAlign w:val="superscript"/>
        </w:rPr>
        <w:footnoteReference w:id="566"/>
      </w:r>
      <w:r w:rsidRPr="00BF42B7">
        <w:rPr>
          <w:color w:val="0000FF"/>
          <w:vertAlign w:val="superscript"/>
        </w:rPr>
        <w:t xml:space="preserve"> </w:t>
      </w:r>
      <w:r w:rsidRPr="00BF42B7">
        <w:rPr>
          <w:rFonts w:hint="eastAsia"/>
        </w:rPr>
        <w:t>等重要案件尤为如此。在</w:t>
      </w:r>
      <w:r w:rsidRPr="00BF42B7">
        <w:t>Dudgeon</w:t>
      </w:r>
      <w:r w:rsidRPr="00BF42B7">
        <w:rPr>
          <w:rFonts w:ascii="Time New Roman" w:eastAsia="楷体" w:hAnsi="Time New Roman"/>
        </w:rPr>
        <w:t>诉联合王国</w:t>
      </w:r>
      <w:r w:rsidRPr="00BF42B7">
        <w:rPr>
          <w:rFonts w:ascii="Time New Roman" w:eastAsia="楷体" w:hAnsi="Time New Roman" w:hint="eastAsia"/>
        </w:rPr>
        <w:t>案</w:t>
      </w:r>
      <w:r w:rsidRPr="00BF42B7">
        <w:rPr>
          <w:rFonts w:hint="eastAsia"/>
        </w:rPr>
        <w:t>中，法院指出，“欧洲委员会大多数成员国认为，将当前所讨论的这种同性性行为当作一种本身应适用刑法制裁的事项来处理不再必要，也不再适当”，因此法院不能“忽视成员国国内法在这方面发生的显著变化”，从而裁定人们“更加宽容同性恋行为”。</w:t>
      </w:r>
      <w:r w:rsidRPr="00BF42B7">
        <w:rPr>
          <w:color w:val="0000FF"/>
          <w:vertAlign w:val="superscript"/>
        </w:rPr>
        <w:footnoteReference w:id="567"/>
      </w:r>
      <w:r w:rsidRPr="00BF42B7">
        <w:rPr>
          <w:color w:val="0000FF"/>
          <w:vertAlign w:val="superscript"/>
        </w:rPr>
        <w:t xml:space="preserve"> </w:t>
      </w:r>
      <w:r w:rsidRPr="00BF42B7">
        <w:rPr>
          <w:rFonts w:hint="eastAsia"/>
        </w:rPr>
        <w:t>法院还指出，“在北爱尔兰本身，当局近年来也不再执行该法”。</w:t>
      </w:r>
      <w:r w:rsidRPr="00BF42B7">
        <w:rPr>
          <w:color w:val="0000FF"/>
          <w:vertAlign w:val="superscript"/>
        </w:rPr>
        <w:footnoteReference w:id="568"/>
      </w:r>
      <w:r w:rsidRPr="00BF42B7">
        <w:rPr>
          <w:color w:val="0000FF"/>
          <w:vertAlign w:val="superscript"/>
        </w:rPr>
        <w:t xml:space="preserve"> </w:t>
      </w:r>
      <w:r w:rsidRPr="00BF42B7">
        <w:rPr>
          <w:rFonts w:hint="eastAsia"/>
        </w:rPr>
        <w:t>在</w:t>
      </w:r>
      <w:r w:rsidRPr="00BF42B7">
        <w:t>Christine Goodwin</w:t>
      </w:r>
      <w:r w:rsidRPr="00BF42B7">
        <w:rPr>
          <w:rFonts w:ascii="Time New Roman" w:eastAsia="楷体" w:hAnsi="Time New Roman"/>
        </w:rPr>
        <w:t>诉联合王国</w:t>
      </w:r>
      <w:r w:rsidRPr="00BF42B7">
        <w:rPr>
          <w:rFonts w:ascii="Time New Roman" w:eastAsia="楷体" w:hAnsi="Time New Roman" w:hint="eastAsia"/>
        </w:rPr>
        <w:t>案</w:t>
      </w:r>
      <w:r w:rsidRPr="00BF42B7">
        <w:rPr>
          <w:rFonts w:hint="eastAsia"/>
        </w:rPr>
        <w:t>中，法院重视“明确、无可争议的证据所表明的一个持续的国际趋势，这一趋势不仅支持社会更加接受变性者，而且支持从法律上承认手术后变性者的新性别身份。”</w:t>
      </w:r>
      <w:r w:rsidRPr="00BF42B7">
        <w:rPr>
          <w:color w:val="0000FF"/>
          <w:vertAlign w:val="superscript"/>
        </w:rPr>
        <w:footnoteReference w:id="569"/>
      </w:r>
    </w:p>
    <w:p w:rsidR="008D7906" w:rsidRPr="00BF42B7" w:rsidRDefault="008D7906" w:rsidP="008D7906">
      <w:pPr>
        <w:pStyle w:val="SingleTxtGC"/>
      </w:pPr>
      <w:r w:rsidRPr="00BF42B7">
        <w:t>(21)</w:t>
      </w:r>
      <w:r w:rsidRPr="00BF42B7">
        <w:rPr>
          <w:rFonts w:hint="eastAsia"/>
        </w:rPr>
        <w:t xml:space="preserve">  </w:t>
      </w:r>
      <w:r w:rsidRPr="00BF42B7">
        <w:rPr>
          <w:rFonts w:hint="eastAsia"/>
        </w:rPr>
        <w:t>欧洲人权法院因此核实社会发展是否已实际体现在国家惯例中。例如，</w:t>
      </w:r>
      <w:bookmarkStart w:id="137" w:name="_Ref287362455"/>
      <w:r w:rsidRPr="00BF42B7">
        <w:rPr>
          <w:rFonts w:hint="eastAsia"/>
        </w:rPr>
        <w:t>在涉及非婚生儿童地位问题的案件</w:t>
      </w:r>
      <w:bookmarkEnd w:id="137"/>
      <w:r w:rsidRPr="00BF42B7">
        <w:rPr>
          <w:color w:val="0000FF"/>
          <w:vertAlign w:val="superscript"/>
        </w:rPr>
        <w:footnoteReference w:id="570"/>
      </w:r>
      <w:r w:rsidRPr="00BF42B7">
        <w:rPr>
          <w:color w:val="0000FF"/>
          <w:vertAlign w:val="superscript"/>
        </w:rPr>
        <w:t xml:space="preserve"> </w:t>
      </w:r>
      <w:bookmarkStart w:id="138" w:name="_Ref287362936"/>
      <w:r w:rsidRPr="00BF42B7">
        <w:rPr>
          <w:rFonts w:hint="eastAsia"/>
        </w:rPr>
        <w:t>以及关于宣称罗姆人</w:t>
      </w:r>
      <w:r w:rsidRPr="00BF42B7">
        <w:rPr>
          <w:rFonts w:hint="eastAsia"/>
        </w:rPr>
        <w:t>(</w:t>
      </w:r>
      <w:r w:rsidRPr="00BF42B7">
        <w:rPr>
          <w:rFonts w:hint="eastAsia"/>
        </w:rPr>
        <w:t>“吉普赛人”</w:t>
      </w:r>
      <w:r w:rsidRPr="00BF42B7">
        <w:rPr>
          <w:rFonts w:hint="eastAsia"/>
        </w:rPr>
        <w:t>)</w:t>
      </w:r>
      <w:r w:rsidRPr="00BF42B7">
        <w:rPr>
          <w:rFonts w:hint="eastAsia"/>
        </w:rPr>
        <w:t>有权由市政当局指定一个临时居住地，以便保持其居无定所的生活方式的案件</w:t>
      </w:r>
      <w:bookmarkEnd w:id="138"/>
      <w:r w:rsidRPr="00BF42B7">
        <w:rPr>
          <w:color w:val="0000FF"/>
          <w:vertAlign w:val="superscript"/>
        </w:rPr>
        <w:footnoteReference w:id="571"/>
      </w:r>
      <w:r w:rsidRPr="00BF42B7">
        <w:rPr>
          <w:color w:val="0000FF"/>
          <w:vertAlign w:val="superscript"/>
        </w:rPr>
        <w:t xml:space="preserve"> </w:t>
      </w:r>
      <w:r w:rsidRPr="00BF42B7">
        <w:rPr>
          <w:rFonts w:hint="eastAsia"/>
        </w:rPr>
        <w:t>便是如此。</w:t>
      </w:r>
    </w:p>
    <w:p w:rsidR="008D7906" w:rsidRPr="00BF42B7" w:rsidRDefault="008D7906" w:rsidP="008D7906">
      <w:pPr>
        <w:pStyle w:val="SingleTxtGC"/>
      </w:pPr>
      <w:r w:rsidRPr="00BF42B7">
        <w:t>(22)</w:t>
      </w:r>
      <w:r w:rsidRPr="00BF42B7">
        <w:rPr>
          <w:rFonts w:hint="eastAsia"/>
        </w:rPr>
        <w:t xml:space="preserve">  </w:t>
      </w:r>
      <w:r w:rsidRPr="00BF42B7">
        <w:rPr>
          <w:rFonts w:hint="eastAsia"/>
        </w:rPr>
        <w:t>可以断定，仅是这样的</w:t>
      </w:r>
      <w:r w:rsidRPr="00BF42B7">
        <w:rPr>
          <w:rFonts w:hint="eastAsia"/>
        </w:rPr>
        <w:t>(</w:t>
      </w:r>
      <w:r w:rsidRPr="00BF42B7">
        <w:rPr>
          <w:rFonts w:hint="eastAsia"/>
        </w:rPr>
        <w:t>嗣后</w:t>
      </w:r>
      <w:r w:rsidRPr="00BF42B7">
        <w:rPr>
          <w:rFonts w:hint="eastAsia"/>
        </w:rPr>
        <w:t>)</w:t>
      </w:r>
      <w:r w:rsidRPr="00BF42B7">
        <w:rPr>
          <w:rFonts w:hint="eastAsia"/>
        </w:rPr>
        <w:t>社会惯例不足以构成适用条约的相关嗣后惯例。但欧洲人权法院有时承认社会惯例有助于评估国家惯例。</w:t>
      </w:r>
    </w:p>
    <w:p w:rsidR="008D7906" w:rsidRPr="00BF42B7" w:rsidRDefault="008D7906" w:rsidP="00EE2BC7">
      <w:pPr>
        <w:pStyle w:val="H23GC"/>
        <w:ind w:left="1554"/>
      </w:pPr>
      <w:r w:rsidRPr="00BF42B7">
        <w:rPr>
          <w:rFonts w:hint="eastAsia"/>
        </w:rPr>
        <w:tab/>
      </w:r>
      <w:r w:rsidRPr="00BF42B7">
        <w:rPr>
          <w:rFonts w:hint="eastAsia"/>
        </w:rPr>
        <w:tab/>
      </w:r>
      <w:r w:rsidRPr="00BF42B7">
        <w:rPr>
          <w:rFonts w:hint="eastAsia"/>
        </w:rPr>
        <w:t>第三部分</w:t>
      </w:r>
      <w:r w:rsidRPr="00BF42B7">
        <w:br/>
      </w:r>
      <w:r w:rsidRPr="00BF42B7">
        <w:rPr>
          <w:rFonts w:hint="eastAsia"/>
        </w:rPr>
        <w:t>一般</w:t>
      </w:r>
      <w:r w:rsidRPr="00EE2BC7">
        <w:rPr>
          <w:rFonts w:hint="eastAsia"/>
          <w:lang w:val="zh-CN"/>
        </w:rPr>
        <w:t>方面</w:t>
      </w:r>
    </w:p>
    <w:p w:rsidR="008D7906" w:rsidRPr="00BF42B7" w:rsidRDefault="008D7906" w:rsidP="008D7906">
      <w:pPr>
        <w:pStyle w:val="H23GC"/>
        <w:ind w:left="1554"/>
      </w:pPr>
      <w:r w:rsidRPr="00BF42B7">
        <w:rPr>
          <w:rFonts w:hint="eastAsia"/>
        </w:rPr>
        <w:tab/>
      </w:r>
      <w:r w:rsidRPr="00BF42B7">
        <w:rPr>
          <w:rFonts w:hint="eastAsia"/>
        </w:rPr>
        <w:tab/>
      </w:r>
      <w:r w:rsidRPr="00BF42B7">
        <w:rPr>
          <w:rFonts w:hint="eastAsia"/>
        </w:rPr>
        <w:t>结论</w:t>
      </w:r>
      <w:r w:rsidRPr="00BF42B7">
        <w:rPr>
          <w:rFonts w:hint="eastAsia"/>
        </w:rPr>
        <w:t>6</w:t>
      </w:r>
      <w:r w:rsidRPr="00BF42B7">
        <w:br/>
      </w:r>
      <w:r w:rsidRPr="00BF42B7">
        <w:rPr>
          <w:rFonts w:hint="eastAsia"/>
        </w:rPr>
        <w:t>嗣后协定和嗣后惯例的识别</w:t>
      </w:r>
    </w:p>
    <w:p w:rsidR="008D7906" w:rsidRPr="00BF42B7" w:rsidRDefault="008D7906" w:rsidP="00E70507">
      <w:pPr>
        <w:pStyle w:val="SingleTxtGC"/>
        <w:ind w:left="1554"/>
      </w:pPr>
      <w:r w:rsidRPr="00BF42B7">
        <w:t>1.</w:t>
      </w:r>
      <w:r w:rsidRPr="00BF42B7">
        <w:rPr>
          <w:rFonts w:hint="eastAsia"/>
        </w:rPr>
        <w:t xml:space="preserve">  </w:t>
      </w:r>
      <w:r w:rsidRPr="00BF42B7">
        <w:rPr>
          <w:rFonts w:hint="eastAsia"/>
        </w:rPr>
        <w:t>为识别第三十一条第三款所称的嗣后协定和嗣后惯例，尤其须确定缔约方是否通过协定或惯例就条约的解释采取了立场。通常，如果缔约方只是商定暂不适用条约，或商定确立一种实际安排</w:t>
      </w:r>
      <w:r w:rsidRPr="00BF42B7">
        <w:rPr>
          <w:rFonts w:hint="eastAsia"/>
        </w:rPr>
        <w:t>(</w:t>
      </w:r>
      <w:r w:rsidRPr="00BF42B7">
        <w:rPr>
          <w:rFonts w:hint="eastAsia"/>
        </w:rPr>
        <w:t>临时协议</w:t>
      </w:r>
      <w:r w:rsidRPr="00BF42B7">
        <w:rPr>
          <w:rFonts w:hint="eastAsia"/>
        </w:rPr>
        <w:t>)</w:t>
      </w:r>
      <w:r w:rsidRPr="00BF42B7">
        <w:rPr>
          <w:rFonts w:hint="eastAsia"/>
        </w:rPr>
        <w:t>，便不属于这种情况。</w:t>
      </w:r>
    </w:p>
    <w:p w:rsidR="008D7906" w:rsidRPr="00BF42B7" w:rsidRDefault="008D7906" w:rsidP="00E70507">
      <w:pPr>
        <w:pStyle w:val="SingleTxtGC"/>
        <w:ind w:left="1554"/>
      </w:pPr>
      <w:r w:rsidRPr="00BF42B7">
        <w:rPr>
          <w:rFonts w:hint="eastAsia"/>
        </w:rPr>
        <w:t xml:space="preserve">2.  </w:t>
      </w:r>
      <w:r w:rsidRPr="00BF42B7">
        <w:rPr>
          <w:rFonts w:hint="eastAsia"/>
        </w:rPr>
        <w:t>第三十一条第三款所称的嗣后协定和嗣后惯例可能具有各种形式。</w:t>
      </w:r>
    </w:p>
    <w:p w:rsidR="008D7906" w:rsidRPr="00BF42B7" w:rsidRDefault="008D7906" w:rsidP="00E70507">
      <w:pPr>
        <w:pStyle w:val="SingleTxtGC"/>
        <w:ind w:left="1554"/>
      </w:pPr>
      <w:r w:rsidRPr="00BF42B7">
        <w:rPr>
          <w:rFonts w:hint="eastAsia"/>
        </w:rPr>
        <w:t xml:space="preserve">3.  </w:t>
      </w:r>
      <w:r w:rsidRPr="00BF42B7">
        <w:rPr>
          <w:rFonts w:hint="eastAsia"/>
        </w:rPr>
        <w:t>在根据第三十二条识别嗣后惯例时，尤其须确定一个或多个缔约方的行为是否处在适用条约过程之中。</w:t>
      </w:r>
    </w:p>
    <w:p w:rsidR="008D7906" w:rsidRPr="00BF42B7" w:rsidRDefault="008D7906" w:rsidP="008D7906">
      <w:pPr>
        <w:pStyle w:val="H23GC"/>
      </w:pPr>
      <w:r w:rsidRPr="00BF42B7">
        <w:rPr>
          <w:rFonts w:hint="eastAsia"/>
        </w:rPr>
        <w:tab/>
      </w:r>
      <w:r w:rsidRPr="00BF42B7">
        <w:rPr>
          <w:rFonts w:hint="eastAsia"/>
        </w:rPr>
        <w:tab/>
      </w:r>
      <w:r w:rsidRPr="00BF42B7">
        <w:rPr>
          <w:rFonts w:hint="eastAsia"/>
        </w:rPr>
        <w:t>评注</w:t>
      </w:r>
    </w:p>
    <w:p w:rsidR="008D7906" w:rsidRPr="00BF42B7" w:rsidRDefault="008D7906" w:rsidP="008D7906">
      <w:pPr>
        <w:pStyle w:val="SingleTxtGC"/>
      </w:pPr>
      <w:r w:rsidRPr="00BF42B7">
        <w:rPr>
          <w:rFonts w:hint="eastAsia"/>
        </w:rPr>
        <w:t xml:space="preserve">(1)  </w:t>
      </w:r>
      <w:r w:rsidRPr="00BF42B7">
        <w:rPr>
          <w:rFonts w:hint="eastAsia"/>
        </w:rPr>
        <w:t>结论草案</w:t>
      </w:r>
      <w:r w:rsidRPr="00BF42B7">
        <w:rPr>
          <w:rFonts w:hint="eastAsia"/>
        </w:rPr>
        <w:t>6</w:t>
      </w:r>
      <w:r w:rsidRPr="00BF42B7">
        <w:rPr>
          <w:rFonts w:hint="eastAsia"/>
        </w:rPr>
        <w:t>的目的是要表明，嗣后协定和嗣后惯例作为解释手段必须加以识别。</w:t>
      </w:r>
    </w:p>
    <w:p w:rsidR="008D7906" w:rsidRPr="00BF42B7" w:rsidRDefault="008D7906" w:rsidP="008D7906">
      <w:pPr>
        <w:pStyle w:val="H4GC"/>
        <w:rPr>
          <w:rFonts w:eastAsia="楷体"/>
          <w:lang w:val="en-GB"/>
        </w:rPr>
      </w:pPr>
      <w:r w:rsidRPr="00BF42B7">
        <w:rPr>
          <w:rFonts w:eastAsia="楷体" w:hint="eastAsia"/>
          <w:lang w:val="en-GB"/>
        </w:rPr>
        <w:tab/>
      </w:r>
      <w:r w:rsidRPr="00BF42B7">
        <w:rPr>
          <w:rFonts w:eastAsia="楷体" w:hint="eastAsia"/>
          <w:lang w:val="en-GB"/>
        </w:rPr>
        <w:tab/>
      </w:r>
      <w:r w:rsidRPr="00BF42B7">
        <w:rPr>
          <w:rFonts w:eastAsia="楷体" w:hint="eastAsia"/>
          <w:lang w:val="en-GB"/>
        </w:rPr>
        <w:t>第</w:t>
      </w:r>
      <w:r w:rsidRPr="00BF42B7">
        <w:rPr>
          <w:rFonts w:eastAsia="楷体" w:hint="eastAsia"/>
          <w:lang w:val="en-GB"/>
        </w:rPr>
        <w:t>1</w:t>
      </w:r>
      <w:r w:rsidRPr="00BF42B7">
        <w:rPr>
          <w:rFonts w:eastAsia="楷体" w:hint="eastAsia"/>
          <w:lang w:val="en-GB"/>
        </w:rPr>
        <w:t>段第一句</w:t>
      </w:r>
      <w:r w:rsidRPr="00BF42B7">
        <w:rPr>
          <w:rFonts w:eastAsia="楷体" w:hint="eastAsia"/>
          <w:spacing w:val="-50"/>
          <w:lang w:val="fr-CH"/>
        </w:rPr>
        <w:t>―</w:t>
      </w:r>
      <w:r w:rsidRPr="00BF42B7">
        <w:rPr>
          <w:rFonts w:eastAsia="楷体" w:hint="eastAsia"/>
          <w:lang w:val="fr-CH"/>
        </w:rPr>
        <w:t>―短语</w:t>
      </w:r>
      <w:r w:rsidRPr="00BF42B7">
        <w:rPr>
          <w:rFonts w:eastAsia="楷体" w:hint="eastAsia"/>
          <w:lang w:val="en-GB"/>
        </w:rPr>
        <w:t>“就条约的解释”</w:t>
      </w:r>
    </w:p>
    <w:p w:rsidR="008D7906" w:rsidRPr="00BF42B7" w:rsidRDefault="008D7906" w:rsidP="008D7906">
      <w:pPr>
        <w:pStyle w:val="SingleTxtGC"/>
      </w:pPr>
      <w:r w:rsidRPr="00BF42B7">
        <w:rPr>
          <w:rFonts w:hint="eastAsia"/>
        </w:rPr>
        <w:t xml:space="preserve">(2)  </w:t>
      </w:r>
      <w:r w:rsidRPr="00BF42B7">
        <w:rPr>
          <w:rFonts w:hint="eastAsia"/>
        </w:rPr>
        <w:t>第</w:t>
      </w:r>
      <w:r w:rsidRPr="00BF42B7">
        <w:rPr>
          <w:rFonts w:hint="eastAsia"/>
        </w:rPr>
        <w:t>1</w:t>
      </w:r>
      <w:r w:rsidRPr="00BF42B7">
        <w:rPr>
          <w:rFonts w:hint="eastAsia"/>
        </w:rPr>
        <w:t>段第一句提到，为了第三十一条第三款</w:t>
      </w:r>
      <w:r w:rsidRPr="00BF42B7">
        <w:rPr>
          <w:rFonts w:hint="eastAsia"/>
        </w:rPr>
        <w:t>(a)</w:t>
      </w:r>
      <w:r w:rsidRPr="00BF42B7">
        <w:rPr>
          <w:rFonts w:hint="eastAsia"/>
        </w:rPr>
        <w:t>项和</w:t>
      </w:r>
      <w:r w:rsidRPr="00BF42B7">
        <w:rPr>
          <w:rFonts w:hint="eastAsia"/>
        </w:rPr>
        <w:t>(b)</w:t>
      </w:r>
      <w:r w:rsidRPr="00BF42B7">
        <w:rPr>
          <w:rFonts w:hint="eastAsia"/>
        </w:rPr>
        <w:t>项的目的而识别嗣后协定和嗣后惯例，就要求特别考虑这样的问题：有关各方是否通过协议或惯例已就条约的解释采取了立场，或者他们是否受其他考虑的驱动。</w:t>
      </w:r>
    </w:p>
    <w:p w:rsidR="008D7906" w:rsidRPr="00BF42B7" w:rsidRDefault="008D7906" w:rsidP="008D7906">
      <w:pPr>
        <w:pStyle w:val="SingleTxtGC"/>
      </w:pPr>
      <w:r w:rsidRPr="00BF42B7">
        <w:rPr>
          <w:rFonts w:hint="eastAsia"/>
        </w:rPr>
        <w:t xml:space="preserve">(3)  </w:t>
      </w:r>
      <w:r w:rsidRPr="00BF42B7">
        <w:rPr>
          <w:rFonts w:hint="eastAsia"/>
        </w:rPr>
        <w:t>第三十一条第三款</w:t>
      </w:r>
      <w:r w:rsidRPr="00BF42B7">
        <w:rPr>
          <w:rFonts w:hint="eastAsia"/>
        </w:rPr>
        <w:t>(a)</w:t>
      </w:r>
      <w:r w:rsidRPr="00BF42B7">
        <w:rPr>
          <w:rFonts w:hint="eastAsia"/>
        </w:rPr>
        <w:t>项所称的嗣后协定必须是“关于条约之解释或其规定之适用”的，第三十一条第三款</w:t>
      </w:r>
      <w:r w:rsidRPr="00BF42B7">
        <w:rPr>
          <w:rFonts w:hint="eastAsia"/>
        </w:rPr>
        <w:t>(b)</w:t>
      </w:r>
      <w:r w:rsidRPr="00BF42B7">
        <w:rPr>
          <w:rFonts w:hint="eastAsia"/>
        </w:rPr>
        <w:t>项所称的嗣后惯例必须是“在条约适用方面”的，因而“对条约的解释”确立了协定。</w:t>
      </w:r>
      <w:r w:rsidRPr="00BF42B7">
        <w:rPr>
          <w:color w:val="0000FF"/>
          <w:vertAlign w:val="superscript"/>
        </w:rPr>
        <w:footnoteReference w:id="572"/>
      </w:r>
      <w:r w:rsidRPr="00BF42B7">
        <w:rPr>
          <w:color w:val="0000FF"/>
          <w:vertAlign w:val="superscript"/>
        </w:rPr>
        <w:t xml:space="preserve"> </w:t>
      </w:r>
      <w:r w:rsidRPr="00BF42B7">
        <w:rPr>
          <w:rFonts w:hint="eastAsia"/>
        </w:rPr>
        <w:t>在第三十一条第三款中，“解释”和“适用”两个术语之间的关系并非一目了然。“解释”是澄清条约含义包括其中一项或多项条款的含义的过程。“适用”包括全部或部分地行使条约规定的权利或履行其义务的行为。“解释”是指心理过程，而“适用”侧重于实际的行为</w:t>
      </w:r>
      <w:r w:rsidRPr="00BF42B7">
        <w:rPr>
          <w:rFonts w:hint="eastAsia"/>
        </w:rPr>
        <w:t>(</w:t>
      </w:r>
      <w:r w:rsidRPr="00BF42B7">
        <w:rPr>
          <w:rFonts w:hint="eastAsia"/>
        </w:rPr>
        <w:t>作为或不作为</w:t>
      </w:r>
      <w:r w:rsidRPr="00BF42B7">
        <w:rPr>
          <w:rFonts w:hint="eastAsia"/>
        </w:rPr>
        <w:t>)</w:t>
      </w:r>
      <w:r w:rsidRPr="00BF42B7">
        <w:rPr>
          <w:rFonts w:hint="eastAsia"/>
        </w:rPr>
        <w:t>。从这个意义上说，这两个概念是有区别的，并且可以用于第三十一条第三款之下的不同用途</w:t>
      </w:r>
      <w:r w:rsidRPr="00BF42B7">
        <w:rPr>
          <w:rFonts w:hint="eastAsia"/>
        </w:rPr>
        <w:t>(</w:t>
      </w:r>
      <w:r w:rsidRPr="00BF42B7">
        <w:rPr>
          <w:rFonts w:hint="eastAsia"/>
        </w:rPr>
        <w:t>见下文第</w:t>
      </w:r>
      <w:r w:rsidRPr="00BF42B7">
        <w:rPr>
          <w:rFonts w:hint="eastAsia"/>
        </w:rPr>
        <w:t>(4)</w:t>
      </w:r>
      <w:r w:rsidRPr="00BF42B7">
        <w:rPr>
          <w:rFonts w:hint="eastAsia"/>
        </w:rPr>
        <w:t>至</w:t>
      </w:r>
      <w:r w:rsidRPr="00BF42B7">
        <w:rPr>
          <w:rFonts w:hint="eastAsia"/>
        </w:rPr>
        <w:t>(6)</w:t>
      </w:r>
      <w:r w:rsidRPr="00BF42B7">
        <w:rPr>
          <w:rFonts w:hint="eastAsia"/>
        </w:rPr>
        <w:t>段</w:t>
      </w:r>
      <w:r w:rsidRPr="00BF42B7">
        <w:rPr>
          <w:rFonts w:hint="eastAsia"/>
        </w:rPr>
        <w:t>)</w:t>
      </w:r>
      <w:r w:rsidRPr="00BF42B7">
        <w:rPr>
          <w:rFonts w:hint="eastAsia"/>
        </w:rPr>
        <w:t>，但他们也密切相关，互以对方为基础。</w:t>
      </w:r>
    </w:p>
    <w:p w:rsidR="008D7906" w:rsidRPr="00BF42B7" w:rsidRDefault="008D7906" w:rsidP="008D7906">
      <w:pPr>
        <w:pStyle w:val="SingleTxtGC"/>
      </w:pPr>
      <w:r w:rsidRPr="00BF42B7">
        <w:rPr>
          <w:rFonts w:hint="eastAsia"/>
        </w:rPr>
        <w:t xml:space="preserve">(4)  </w:t>
      </w:r>
      <w:r w:rsidRPr="00BF42B7">
        <w:rPr>
          <w:rFonts w:hint="eastAsia"/>
        </w:rPr>
        <w:t>虽然可能有一些“解释”方面会一直与条约的适用无关，</w:t>
      </w:r>
      <w:r w:rsidRPr="00BF42B7">
        <w:rPr>
          <w:color w:val="0000FF"/>
          <w:vertAlign w:val="superscript"/>
        </w:rPr>
        <w:footnoteReference w:id="573"/>
      </w:r>
      <w:r w:rsidRPr="00BF42B7">
        <w:rPr>
          <w:color w:val="0000FF"/>
          <w:vertAlign w:val="superscript"/>
        </w:rPr>
        <w:t xml:space="preserve"> </w:t>
      </w:r>
      <w:r w:rsidRPr="00BF42B7">
        <w:rPr>
          <w:rFonts w:hint="eastAsia"/>
        </w:rPr>
        <w:t>但条约的适用几乎必然涉及某种解释因素</w:t>
      </w:r>
      <w:r w:rsidRPr="00BF42B7">
        <w:rPr>
          <w:rFonts w:ascii="宋体" w:hAnsi="宋体" w:cs="宋体" w:hint="eastAsia"/>
          <w:spacing w:val="-50"/>
        </w:rPr>
        <w:t>―</w:t>
      </w:r>
      <w:r w:rsidRPr="00BF42B7">
        <w:rPr>
          <w:rFonts w:ascii="宋体" w:hAnsi="宋体" w:cs="宋体" w:hint="eastAsia"/>
        </w:rPr>
        <w:t>―</w:t>
      </w:r>
      <w:r w:rsidRPr="00BF42B7">
        <w:rPr>
          <w:rFonts w:hint="eastAsia"/>
        </w:rPr>
        <w:t>即使在有关规则从表面看来是一目了然的情况下。</w:t>
      </w:r>
      <w:bookmarkStart w:id="139" w:name="_Ref461973844"/>
      <w:r w:rsidRPr="00BF42B7">
        <w:rPr>
          <w:color w:val="0000FF"/>
          <w:vertAlign w:val="superscript"/>
        </w:rPr>
        <w:footnoteReference w:id="574"/>
      </w:r>
      <w:bookmarkEnd w:id="139"/>
      <w:r w:rsidRPr="00BF42B7">
        <w:rPr>
          <w:color w:val="0000FF"/>
          <w:vertAlign w:val="superscript"/>
        </w:rPr>
        <w:t xml:space="preserve"> </w:t>
      </w:r>
      <w:r w:rsidRPr="00BF42B7">
        <w:rPr>
          <w:rFonts w:hint="eastAsia"/>
        </w:rPr>
        <w:t>因此，“关于条约之解释”的协定或行为以及关于“条约适用方面”的协定或行为都意味着各方就条约的解释采取了立场，或者可将这种立场归于他们。</w:t>
      </w:r>
      <w:r w:rsidRPr="00BF42B7">
        <w:rPr>
          <w:color w:val="0000FF"/>
          <w:vertAlign w:val="superscript"/>
        </w:rPr>
        <w:footnoteReference w:id="575"/>
      </w:r>
      <w:r w:rsidRPr="00BF42B7">
        <w:rPr>
          <w:color w:val="0000FF"/>
          <w:vertAlign w:val="superscript"/>
        </w:rPr>
        <w:t xml:space="preserve"> </w:t>
      </w:r>
      <w:r w:rsidRPr="00BF42B7">
        <w:rPr>
          <w:rFonts w:hint="eastAsia"/>
        </w:rPr>
        <w:t>在第三十一条第三款</w:t>
      </w:r>
      <w:r w:rsidRPr="00BF42B7">
        <w:rPr>
          <w:rFonts w:hint="eastAsia"/>
        </w:rPr>
        <w:t>(a)</w:t>
      </w:r>
      <w:r w:rsidRPr="00BF42B7">
        <w:rPr>
          <w:rFonts w:hint="eastAsia"/>
        </w:rPr>
        <w:t>项</w:t>
      </w:r>
      <w:r w:rsidRPr="00BF42B7">
        <w:rPr>
          <w:rFonts w:hint="eastAsia"/>
        </w:rPr>
        <w:t>(</w:t>
      </w:r>
      <w:r w:rsidRPr="00BF42B7">
        <w:rPr>
          <w:rFonts w:hint="eastAsia"/>
        </w:rPr>
        <w:t>第一项选择</w:t>
      </w:r>
      <w:r w:rsidRPr="00BF42B7">
        <w:rPr>
          <w:rFonts w:hint="eastAsia"/>
        </w:rPr>
        <w:t>)</w:t>
      </w:r>
      <w:r w:rsidRPr="00BF42B7">
        <w:rPr>
          <w:rFonts w:hint="eastAsia"/>
        </w:rPr>
        <w:t>“关于</w:t>
      </w:r>
      <w:r w:rsidRPr="00BF42B7">
        <w:rPr>
          <w:rFonts w:hint="eastAsia"/>
          <w:spacing w:val="2"/>
        </w:rPr>
        <w:t>……</w:t>
      </w:r>
      <w:r w:rsidRPr="00BF42B7">
        <w:rPr>
          <w:rFonts w:hint="eastAsia"/>
        </w:rPr>
        <w:t>条约规定之适用的嗣后协定”的情况下，对条约解释的立场是各方具体并有目的地采取的，而在第三十一条第三款</w:t>
      </w:r>
      <w:r w:rsidRPr="00BF42B7">
        <w:rPr>
          <w:rFonts w:hint="eastAsia"/>
        </w:rPr>
        <w:t>(a)</w:t>
      </w:r>
      <w:r w:rsidRPr="00BF42B7">
        <w:rPr>
          <w:rFonts w:hint="eastAsia"/>
        </w:rPr>
        <w:t>项</w:t>
      </w:r>
      <w:r w:rsidRPr="00BF42B7">
        <w:rPr>
          <w:rFonts w:hint="eastAsia"/>
        </w:rPr>
        <w:t>(</w:t>
      </w:r>
      <w:r w:rsidRPr="00BF42B7">
        <w:rPr>
          <w:rFonts w:hint="eastAsia"/>
        </w:rPr>
        <w:t>第二项选择</w:t>
      </w:r>
      <w:r w:rsidRPr="00BF42B7">
        <w:rPr>
          <w:rFonts w:hint="eastAsia"/>
        </w:rPr>
        <w:t>)</w:t>
      </w:r>
      <w:r w:rsidRPr="00BF42B7">
        <w:rPr>
          <w:rFonts w:hint="eastAsia"/>
        </w:rPr>
        <w:t>“关于条约之适用的嗣后协定”的情况下，这一点不那么容易辨认出来。</w:t>
      </w:r>
      <w:bookmarkStart w:id="140" w:name="_Ref461974212"/>
      <w:r w:rsidRPr="00BF42B7">
        <w:rPr>
          <w:color w:val="0000FF"/>
          <w:vertAlign w:val="superscript"/>
        </w:rPr>
        <w:footnoteReference w:id="576"/>
      </w:r>
      <w:bookmarkEnd w:id="140"/>
      <w:r w:rsidRPr="00BF42B7">
        <w:rPr>
          <w:color w:val="0000FF"/>
          <w:vertAlign w:val="superscript"/>
        </w:rPr>
        <w:t xml:space="preserve"> </w:t>
      </w:r>
      <w:r w:rsidRPr="00BF42B7">
        <w:rPr>
          <w:rFonts w:hint="eastAsia"/>
        </w:rPr>
        <w:t>假设根据第三十一条第三款</w:t>
      </w:r>
      <w:r w:rsidRPr="00BF42B7">
        <w:rPr>
          <w:rFonts w:hint="eastAsia"/>
        </w:rPr>
        <w:t>(b)</w:t>
      </w:r>
      <w:r w:rsidRPr="00BF42B7">
        <w:rPr>
          <w:rFonts w:hint="eastAsia"/>
        </w:rPr>
        <w:t>项进行的一些简单的适用行为即“根据所解释的条约而采取的每一项措施”隐含着“通过适用”进行解释的立场，</w:t>
      </w:r>
      <w:r w:rsidRPr="00BF42B7">
        <w:rPr>
          <w:color w:val="0000FF"/>
          <w:vertAlign w:val="superscript"/>
        </w:rPr>
        <w:footnoteReference w:id="577"/>
      </w:r>
      <w:r w:rsidRPr="00BF42B7">
        <w:rPr>
          <w:color w:val="0000FF"/>
          <w:vertAlign w:val="superscript"/>
        </w:rPr>
        <w:t xml:space="preserve"> </w:t>
      </w:r>
      <w:r w:rsidRPr="00BF42B7">
        <w:rPr>
          <w:rFonts w:hint="eastAsia"/>
        </w:rPr>
        <w:t>那么第三十一条第三款</w:t>
      </w:r>
      <w:r w:rsidRPr="00BF42B7">
        <w:rPr>
          <w:rFonts w:hint="eastAsia"/>
        </w:rPr>
        <w:t>(a)</w:t>
      </w:r>
      <w:r w:rsidRPr="00BF42B7">
        <w:rPr>
          <w:rFonts w:hint="eastAsia"/>
        </w:rPr>
        <w:t>项中的“或”字并不是描述“解释”和“适用”之间的互相排斥关系。</w:t>
      </w:r>
    </w:p>
    <w:p w:rsidR="008D7906" w:rsidRPr="00BF42B7" w:rsidRDefault="008D7906" w:rsidP="008D7906">
      <w:pPr>
        <w:pStyle w:val="SingleTxtGC"/>
      </w:pPr>
      <w:r w:rsidRPr="00BF42B7">
        <w:rPr>
          <w:rFonts w:hint="eastAsia"/>
        </w:rPr>
        <w:t xml:space="preserve">(5)  </w:t>
      </w:r>
      <w:r w:rsidRPr="00BF42B7">
        <w:rPr>
          <w:rFonts w:hint="eastAsia"/>
        </w:rPr>
        <w:t>然而，条约的“适用”的意义，就其解释的目的而言，不限于识别有关缔约国围绕条约的解释而采取的立场。事实上，适用条约的方式不仅有助于确定条约的意义，而且有助于识别该缔约国所采取的解释在多大程度上是“有根基的”，从而或多或少是稳固确立的。</w:t>
      </w:r>
    </w:p>
    <w:p w:rsidR="008D7906" w:rsidRPr="00BF42B7" w:rsidRDefault="008D7906" w:rsidP="008D7906">
      <w:pPr>
        <w:pStyle w:val="SingleTxtGC"/>
      </w:pPr>
      <w:r w:rsidRPr="00BF42B7">
        <w:rPr>
          <w:rFonts w:hint="eastAsia"/>
        </w:rPr>
        <w:t xml:space="preserve">(6)  </w:t>
      </w:r>
      <w:r w:rsidRPr="00BF42B7">
        <w:rPr>
          <w:rFonts w:hint="eastAsia"/>
        </w:rPr>
        <w:t>应该指出的是，条约的“适用”并不一定反映缔约国有这样的立场，即这种适用是根据条约在当时情况下在法律上唯一可能的适用。</w:t>
      </w:r>
      <w:r w:rsidRPr="00BF42B7">
        <w:rPr>
          <w:color w:val="0000FF"/>
          <w:vertAlign w:val="superscript"/>
        </w:rPr>
        <w:footnoteReference w:id="578"/>
      </w:r>
      <w:r w:rsidRPr="00BF42B7">
        <w:rPr>
          <w:color w:val="0000FF"/>
          <w:vertAlign w:val="superscript"/>
        </w:rPr>
        <w:t xml:space="preserve"> </w:t>
      </w:r>
      <w:r w:rsidRPr="00BF42B7">
        <w:rPr>
          <w:rFonts w:hint="eastAsia"/>
        </w:rPr>
        <w:t>而且，“适用”的概念并不排除某些非国家行为者的行为，如果条约承认这些行为是适用的形式而且可归于缔约方的话。</w:t>
      </w:r>
      <w:r w:rsidRPr="00BF42B7">
        <w:rPr>
          <w:color w:val="0000FF"/>
          <w:vertAlign w:val="superscript"/>
        </w:rPr>
        <w:footnoteReference w:id="579"/>
      </w:r>
      <w:r w:rsidRPr="00BF42B7">
        <w:rPr>
          <w:color w:val="0000FF"/>
          <w:vertAlign w:val="superscript"/>
        </w:rPr>
        <w:t xml:space="preserve"> </w:t>
      </w:r>
      <w:r w:rsidRPr="00BF42B7">
        <w:rPr>
          <w:rFonts w:hint="eastAsia"/>
        </w:rPr>
        <w:t>这些行为因而可构成确立缔约方之间协定的惯例。最后，在适用条约时的某一特定行为的法律意义不局限于其可能根据第三十一条对解释作出的贡献，而且可能对履行举证责任</w:t>
      </w:r>
      <w:r w:rsidRPr="00BF42B7">
        <w:rPr>
          <w:color w:val="0000FF"/>
          <w:vertAlign w:val="superscript"/>
        </w:rPr>
        <w:footnoteReference w:id="580"/>
      </w:r>
      <w:r w:rsidRPr="00BF42B7">
        <w:rPr>
          <w:color w:val="0000FF"/>
          <w:vertAlign w:val="superscript"/>
        </w:rPr>
        <w:t xml:space="preserve"> </w:t>
      </w:r>
      <w:r w:rsidRPr="00BF42B7">
        <w:rPr>
          <w:rFonts w:hint="eastAsia"/>
        </w:rPr>
        <w:t>或满足其他规则的条件</w:t>
      </w:r>
      <w:r w:rsidRPr="00BF42B7">
        <w:rPr>
          <w:color w:val="0000FF"/>
          <w:vertAlign w:val="superscript"/>
        </w:rPr>
        <w:footnoteReference w:id="581"/>
      </w:r>
      <w:r w:rsidRPr="00BF42B7">
        <w:rPr>
          <w:color w:val="0000FF"/>
          <w:vertAlign w:val="superscript"/>
        </w:rPr>
        <w:t xml:space="preserve"> </w:t>
      </w:r>
      <w:r w:rsidRPr="00BF42B7">
        <w:rPr>
          <w:rFonts w:hint="eastAsia"/>
        </w:rPr>
        <w:t>作出贡献。</w:t>
      </w:r>
    </w:p>
    <w:p w:rsidR="008D7906" w:rsidRPr="00BF42B7" w:rsidRDefault="008D7906" w:rsidP="008D7906">
      <w:pPr>
        <w:pStyle w:val="SingleTxtGC"/>
      </w:pPr>
      <w:r w:rsidRPr="00BF42B7">
        <w:rPr>
          <w:rFonts w:hint="eastAsia"/>
        </w:rPr>
        <w:t xml:space="preserve">(7)  </w:t>
      </w:r>
      <w:r w:rsidRPr="00BF42B7">
        <w:rPr>
          <w:rFonts w:hint="eastAsia"/>
        </w:rPr>
        <w:t>在未受一项条约义务驱动的情况下而在嗣后发生的行为，不是“在适用条约之中”的行为，也不是第三十一条第三款意义上的“关于”条约解释的行为。例如，在关于</w:t>
      </w:r>
      <w:r w:rsidRPr="00BF42B7">
        <w:rPr>
          <w:rFonts w:ascii="Time New Roman" w:eastAsia="楷体" w:hAnsi="Time New Roman" w:hint="eastAsia"/>
        </w:rPr>
        <w:t>联合国某些费用</w:t>
      </w:r>
      <w:r w:rsidRPr="00BF42B7">
        <w:rPr>
          <w:rFonts w:hint="eastAsia"/>
        </w:rPr>
        <w:t>的咨询意见中，一些法官怀疑联合国会员国继续支付它们的会费是否等于接受该组织的某些做法。</w:t>
      </w:r>
      <w:r w:rsidRPr="00BF42B7">
        <w:rPr>
          <w:color w:val="0000FF"/>
          <w:vertAlign w:val="superscript"/>
        </w:rPr>
        <w:footnoteReference w:id="582"/>
      </w:r>
      <w:r w:rsidRPr="00BF42B7">
        <w:rPr>
          <w:color w:val="0000FF"/>
          <w:vertAlign w:val="superscript"/>
        </w:rPr>
        <w:t xml:space="preserve"> </w:t>
      </w:r>
      <w:r w:rsidRPr="00BF42B7">
        <w:rPr>
          <w:rFonts w:hint="eastAsia"/>
        </w:rPr>
        <w:t>菲茨莫里斯法官在这方面拟订了著名的警告，他说，“从实践中得出的论点，如果走得太远，则会招来问题”。</w:t>
      </w:r>
      <w:r w:rsidRPr="00BF42B7">
        <w:rPr>
          <w:color w:val="0000FF"/>
          <w:vertAlign w:val="superscript"/>
        </w:rPr>
        <w:footnoteReference w:id="583"/>
      </w:r>
      <w:r w:rsidRPr="00BF42B7">
        <w:rPr>
          <w:color w:val="0000FF"/>
          <w:vertAlign w:val="superscript"/>
        </w:rPr>
        <w:t xml:space="preserve"> </w:t>
      </w:r>
      <w:r w:rsidRPr="00BF42B7">
        <w:rPr>
          <w:rFonts w:hint="eastAsia"/>
        </w:rPr>
        <w:t>菲茨莫里斯认为，“从会员国付费这个单纯的事实推断出它们必然在所有情况下都承认存在着付费的实在法义务，这几乎是不可能的”。</w:t>
      </w:r>
      <w:r w:rsidRPr="00BF42B7">
        <w:rPr>
          <w:color w:val="0000FF"/>
          <w:vertAlign w:val="superscript"/>
        </w:rPr>
        <w:footnoteReference w:id="584"/>
      </w:r>
    </w:p>
    <w:p w:rsidR="008D7906" w:rsidRPr="00BF42B7" w:rsidRDefault="008D7906" w:rsidP="008D7906">
      <w:pPr>
        <w:pStyle w:val="SingleTxtGC"/>
      </w:pPr>
      <w:r w:rsidRPr="00BF42B7">
        <w:rPr>
          <w:rFonts w:hint="eastAsia"/>
        </w:rPr>
        <w:t xml:space="preserve">(8)  </w:t>
      </w:r>
      <w:r w:rsidRPr="00BF42B7">
        <w:rPr>
          <w:rFonts w:hint="eastAsia"/>
        </w:rPr>
        <w:t>同样，国际法院在审理</w:t>
      </w:r>
      <w:r w:rsidRPr="00BF42B7">
        <w:rPr>
          <w:rFonts w:ascii="Time New Roman" w:eastAsia="楷体" w:hAnsi="Time New Roman" w:hint="eastAsia"/>
        </w:rPr>
        <w:t>卡塔尔和巴林之间海洋划界和领土问题案</w:t>
      </w:r>
      <w:r w:rsidRPr="00BF42B7">
        <w:rPr>
          <w:rFonts w:hint="eastAsia"/>
        </w:rPr>
        <w:t>时认为，</w:t>
      </w:r>
      <w:r w:rsidRPr="00BF42B7">
        <w:rPr>
          <w:rFonts w:hint="eastAsia"/>
        </w:rPr>
        <w:t>1987</w:t>
      </w:r>
      <w:r w:rsidRPr="00BF42B7">
        <w:rPr>
          <w:rFonts w:hint="eastAsia"/>
        </w:rPr>
        <w:t>年协议</w:t>
      </w:r>
      <w:r w:rsidRPr="00BF42B7">
        <w:rPr>
          <w:rFonts w:hint="eastAsia"/>
        </w:rPr>
        <w:t>(</w:t>
      </w:r>
      <w:r w:rsidRPr="00BF42B7">
        <w:rPr>
          <w:rFonts w:hint="eastAsia"/>
        </w:rPr>
        <w:t>关于将争端提交法院管辖的协议</w:t>
      </w:r>
      <w:r w:rsidRPr="00BF42B7">
        <w:rPr>
          <w:rFonts w:hint="eastAsia"/>
        </w:rPr>
        <w:t>)</w:t>
      </w:r>
      <w:r w:rsidRPr="00BF42B7">
        <w:rPr>
          <w:rFonts w:hint="eastAsia"/>
        </w:rPr>
        <w:t>的当事方努力缔结一项附加的特别协定</w:t>
      </w:r>
      <w:r w:rsidRPr="00BF42B7">
        <w:rPr>
          <w:rFonts w:hint="eastAsia"/>
        </w:rPr>
        <w:t>(</w:t>
      </w:r>
      <w:r w:rsidRPr="00BF42B7">
        <w:rPr>
          <w:rFonts w:hint="eastAsia"/>
        </w:rPr>
        <w:t>该协定将说明争端所涉的事项</w:t>
      </w:r>
      <w:r w:rsidRPr="00BF42B7">
        <w:rPr>
          <w:rFonts w:hint="eastAsia"/>
        </w:rPr>
        <w:t>)</w:t>
      </w:r>
      <w:r w:rsidRPr="00BF42B7">
        <w:rPr>
          <w:rFonts w:hint="eastAsia"/>
        </w:rPr>
        <w:t>并不意味着这样的附加协定的缔结实际上被当事方认为是确立法院管辖权的必要条件。</w:t>
      </w:r>
      <w:r w:rsidRPr="00BF42B7">
        <w:rPr>
          <w:color w:val="0000FF"/>
          <w:vertAlign w:val="superscript"/>
        </w:rPr>
        <w:footnoteReference w:id="585"/>
      </w:r>
    </w:p>
    <w:p w:rsidR="008D7906" w:rsidRPr="00BF42B7" w:rsidRDefault="008D7906" w:rsidP="008D7906">
      <w:pPr>
        <w:pStyle w:val="SingleTxtGC"/>
      </w:pPr>
      <w:r w:rsidRPr="00BF42B7">
        <w:rPr>
          <w:rFonts w:hint="eastAsia"/>
        </w:rPr>
        <w:t xml:space="preserve">(9)  </w:t>
      </w:r>
      <w:r w:rsidRPr="00BF42B7">
        <w:rPr>
          <w:rFonts w:hint="eastAsia"/>
        </w:rPr>
        <w:t>另有一个自愿性惯例的例子，其本意不是“在适用条约”或“关于解释条约”，它涉及难民法方面的“补充保护”问题。依据《关于难民地位的公约》而被剥夺难民地位的人仍然常常获得“补充保护”，这相当于该公约之下的那种保护。然而给予补充保护的国家不认为自己是在“适用”该公约或就公约“解释”而行事。</w:t>
      </w:r>
      <w:r w:rsidRPr="00BF42B7">
        <w:rPr>
          <w:color w:val="0000FF"/>
          <w:vertAlign w:val="superscript"/>
        </w:rPr>
        <w:footnoteReference w:id="586"/>
      </w:r>
    </w:p>
    <w:p w:rsidR="008D7906" w:rsidRPr="00BF42B7" w:rsidRDefault="008D7906" w:rsidP="008D7906">
      <w:pPr>
        <w:pStyle w:val="SingleTxtGC"/>
      </w:pPr>
      <w:r w:rsidRPr="00BF42B7">
        <w:rPr>
          <w:rFonts w:hint="eastAsia"/>
        </w:rPr>
        <w:t xml:space="preserve">(10)  </w:t>
      </w:r>
      <w:r w:rsidRPr="00BF42B7">
        <w:rPr>
          <w:rFonts w:hint="eastAsia"/>
        </w:rPr>
        <w:t>有时很难将第三十一条第三款</w:t>
      </w:r>
      <w:r w:rsidRPr="00BF42B7">
        <w:rPr>
          <w:rFonts w:hint="eastAsia"/>
        </w:rPr>
        <w:t>(a)</w:t>
      </w:r>
      <w:r w:rsidRPr="00BF42B7">
        <w:rPr>
          <w:rFonts w:hint="eastAsia"/>
        </w:rPr>
        <w:t>项和</w:t>
      </w:r>
      <w:r w:rsidRPr="00BF42B7">
        <w:rPr>
          <w:rFonts w:hint="eastAsia"/>
        </w:rPr>
        <w:t>(b)</w:t>
      </w:r>
      <w:r w:rsidRPr="00BF42B7">
        <w:rPr>
          <w:rFonts w:hint="eastAsia"/>
        </w:rPr>
        <w:t>项涉及条约的解释或适用的有关嗣后协定或惯例与条约更大背景下的其他行为或发展，其中包括在条约主题事项领域的“同时代发展”加以区分。然而这样的区分是重要的，因为唯有缔约方就解释作出的行为才能将其特定的权威引入到解释的过程中。一般的规则似乎是，协定或惯例越是具体关系到一个条约的解释，它就能根据第三十一条第三款</w:t>
      </w:r>
      <w:r w:rsidRPr="00BF42B7">
        <w:rPr>
          <w:rFonts w:hint="eastAsia"/>
        </w:rPr>
        <w:t>(a)</w:t>
      </w:r>
      <w:r w:rsidRPr="00BF42B7">
        <w:rPr>
          <w:rFonts w:hint="eastAsia"/>
        </w:rPr>
        <w:t>项和</w:t>
      </w:r>
      <w:r w:rsidRPr="00BF42B7">
        <w:rPr>
          <w:rFonts w:hint="eastAsia"/>
        </w:rPr>
        <w:t>(b)</w:t>
      </w:r>
      <w:r w:rsidRPr="00BF42B7">
        <w:rPr>
          <w:rFonts w:hint="eastAsia"/>
        </w:rPr>
        <w:t>项获得越多的解释性权重。</w:t>
      </w:r>
      <w:r w:rsidRPr="00BF42B7">
        <w:rPr>
          <w:color w:val="0000FF"/>
          <w:vertAlign w:val="superscript"/>
        </w:rPr>
        <w:footnoteReference w:id="587"/>
      </w:r>
    </w:p>
    <w:p w:rsidR="008D7906" w:rsidRPr="00BF42B7" w:rsidRDefault="008D7906" w:rsidP="008D7906">
      <w:pPr>
        <w:pStyle w:val="SingleTxtGC"/>
      </w:pPr>
      <w:r w:rsidRPr="00BF42B7">
        <w:rPr>
          <w:rFonts w:hint="eastAsia"/>
        </w:rPr>
        <w:t xml:space="preserve">(11)  </w:t>
      </w:r>
      <w:r w:rsidRPr="00BF42B7">
        <w:rPr>
          <w:rFonts w:hint="eastAsia"/>
        </w:rPr>
        <w:t>根据第三十一条第三款</w:t>
      </w:r>
      <w:r w:rsidRPr="00BF42B7">
        <w:rPr>
          <w:rFonts w:hint="eastAsia"/>
        </w:rPr>
        <w:t>(a)</w:t>
      </w:r>
      <w:r w:rsidRPr="00BF42B7">
        <w:rPr>
          <w:rFonts w:hint="eastAsia"/>
        </w:rPr>
        <w:t>项和</w:t>
      </w:r>
      <w:r w:rsidRPr="00BF42B7">
        <w:rPr>
          <w:rFonts w:hint="eastAsia"/>
        </w:rPr>
        <w:t>(b)</w:t>
      </w:r>
      <w:r w:rsidRPr="00BF42B7">
        <w:rPr>
          <w:rFonts w:hint="eastAsia"/>
        </w:rPr>
        <w:t>项将嗣后协定或嗣后惯例加以定性，视其就条约的解释采取了立场，往往需要仔细的事实分析和法律分析。从司法实践和国家实践中摘取的例子可以说明这一点。</w:t>
      </w:r>
    </w:p>
    <w:p w:rsidR="008D7906" w:rsidRPr="00BF42B7" w:rsidRDefault="008D7906" w:rsidP="008D7906">
      <w:pPr>
        <w:pStyle w:val="SingleTxtGC"/>
      </w:pPr>
      <w:r w:rsidRPr="00BF42B7">
        <w:rPr>
          <w:rFonts w:hint="eastAsia"/>
        </w:rPr>
        <w:t xml:space="preserve">(12)  </w:t>
      </w:r>
      <w:r w:rsidRPr="00BF42B7">
        <w:rPr>
          <w:rFonts w:hint="eastAsia"/>
        </w:rPr>
        <w:t>国际法院的审判实践提供了若干例子。一方面，法院不认为两国“部长级联合公报”包括在“自由航行权传统的基础”之内，因为“他们设立的合作模式很可能得到修改以适合双方。”</w:t>
      </w:r>
      <w:r w:rsidRPr="00BF42B7">
        <w:rPr>
          <w:color w:val="0000FF"/>
          <w:vertAlign w:val="superscript"/>
        </w:rPr>
        <w:footnoteReference w:id="588"/>
      </w:r>
      <w:r w:rsidRPr="00BF42B7">
        <w:rPr>
          <w:color w:val="0000FF"/>
          <w:vertAlign w:val="superscript"/>
        </w:rPr>
        <w:t xml:space="preserve"> </w:t>
      </w:r>
      <w:r w:rsidRPr="00BF42B7">
        <w:rPr>
          <w:rFonts w:hint="eastAsia"/>
        </w:rPr>
        <w:t>但是法院还认为，由于就条约的解释缺乏某些主张，或者在适用方面缺乏某些形式，这就构成一种惯例，表明了缔约方的一种法律立场，根据这种立场，根据关于有毒武器的各项条约，核武器是不受禁止的。</w:t>
      </w:r>
      <w:r w:rsidRPr="00BF42B7">
        <w:rPr>
          <w:color w:val="0000FF"/>
          <w:vertAlign w:val="superscript"/>
        </w:rPr>
        <w:footnoteReference w:id="589"/>
      </w:r>
      <w:r w:rsidRPr="00BF42B7">
        <w:rPr>
          <w:color w:val="0000FF"/>
          <w:vertAlign w:val="superscript"/>
        </w:rPr>
        <w:t xml:space="preserve"> </w:t>
      </w:r>
      <w:r w:rsidRPr="00BF42B7">
        <w:rPr>
          <w:rFonts w:hint="eastAsia"/>
        </w:rPr>
        <w:t>在任何情况下，缔约方意见的集体表达的确切意义，只能通过仔细考虑才能查明以下问题：这种表达是否以及在何种程度上是有意“关于条约的解释”的。因此，法院在</w:t>
      </w:r>
      <w:r w:rsidRPr="00BF42B7">
        <w:rPr>
          <w:rFonts w:ascii="Time New Roman" w:eastAsia="楷体" w:hAnsi="Time New Roman" w:hint="eastAsia"/>
        </w:rPr>
        <w:t>南极捕鲸案</w:t>
      </w:r>
      <w:r w:rsidRPr="00BF42B7">
        <w:rPr>
          <w:rFonts w:hint="eastAsia"/>
        </w:rPr>
        <w:t>中认为，缔约国以协商一致方式认可的</w:t>
      </w:r>
      <w:r w:rsidRPr="00BF42B7">
        <w:rPr>
          <w:rFonts w:hint="eastAsia"/>
        </w:rPr>
        <w:t>[</w:t>
      </w:r>
      <w:r w:rsidRPr="00BF42B7">
        <w:rPr>
          <w:rFonts w:hint="eastAsia"/>
        </w:rPr>
        <w:t>国际捕鲸委员会</w:t>
      </w:r>
      <w:r w:rsidRPr="00BF42B7">
        <w:rPr>
          <w:rFonts w:hint="eastAsia"/>
        </w:rPr>
        <w:t>]</w:t>
      </w:r>
      <w:r w:rsidRPr="00BF42B7">
        <w:rPr>
          <w:rFonts w:hint="eastAsia"/>
        </w:rPr>
        <w:t>的有关决议和准则要求缔约国考虑到是否能实际上利用非致命性的研究方法科学地实现研究目标，但它们并不是确立一项要求，即只有当其他方法不可用时才能使用致命的方法。</w:t>
      </w:r>
      <w:r w:rsidRPr="00BF42B7">
        <w:rPr>
          <w:color w:val="0000FF"/>
          <w:vertAlign w:val="superscript"/>
        </w:rPr>
        <w:footnoteReference w:id="590"/>
      </w:r>
      <w:r w:rsidRPr="00BF42B7">
        <w:rPr>
          <w:color w:val="0000FF"/>
          <w:vertAlign w:val="superscript"/>
        </w:rPr>
        <w:t xml:space="preserve"> </w:t>
      </w:r>
    </w:p>
    <w:p w:rsidR="008D7906" w:rsidRPr="00BF42B7" w:rsidRDefault="008D7906" w:rsidP="008D7906">
      <w:pPr>
        <w:pStyle w:val="SingleTxtGC"/>
      </w:pPr>
      <w:r w:rsidRPr="00BF42B7">
        <w:rPr>
          <w:rFonts w:hint="eastAsia"/>
        </w:rPr>
        <w:t xml:space="preserve">(13)  </w:t>
      </w:r>
      <w:r w:rsidRPr="00BF42B7">
        <w:rPr>
          <w:rFonts w:hint="eastAsia"/>
        </w:rPr>
        <w:t>伊朗－美国索赔法庭曾面对过这样的问题：《索赔解决声明》是否迫使美国将军事财产归还伊朗。法庭提及缔约方的惯例，认定这一条约隐含着在不归还时存在着赔偿义务：</w:t>
      </w:r>
      <w:r w:rsidRPr="00BF42B7">
        <w:rPr>
          <w:color w:val="0000FF"/>
          <w:vertAlign w:val="superscript"/>
        </w:rPr>
        <w:footnoteReference w:id="591"/>
      </w:r>
    </w:p>
    <w:p w:rsidR="008D7906" w:rsidRPr="00BF42B7" w:rsidRDefault="008D7906" w:rsidP="008D7906">
      <w:pPr>
        <w:pStyle w:val="SingleTxtGC"/>
        <w:ind w:left="1565"/>
      </w:pPr>
      <w:r w:rsidRPr="00BF42B7">
        <w:rPr>
          <w:rFonts w:hint="eastAsia"/>
        </w:rPr>
        <w:t>“</w:t>
      </w:r>
      <w:r w:rsidRPr="00BF42B7">
        <w:rPr>
          <w:rFonts w:hint="eastAsia"/>
        </w:rPr>
        <w:t xml:space="preserve">66.  </w:t>
      </w:r>
      <w:r w:rsidRPr="00BF42B7">
        <w:rPr>
          <w:rFonts w:hint="eastAsia"/>
        </w:rPr>
        <w:t>……虽然总声明的第</w:t>
      </w:r>
      <w:r w:rsidRPr="00BF42B7">
        <w:rPr>
          <w:rFonts w:hint="eastAsia"/>
        </w:rPr>
        <w:t>9</w:t>
      </w:r>
      <w:r w:rsidRPr="00BF42B7">
        <w:rPr>
          <w:rFonts w:hint="eastAsia"/>
        </w:rPr>
        <w:t>段并没有明确说一旦因</w:t>
      </w:r>
      <w:r w:rsidRPr="00BF42B7">
        <w:rPr>
          <w:rFonts w:hint="eastAsia"/>
        </w:rPr>
        <w:t>1979</w:t>
      </w:r>
      <w:r w:rsidRPr="00BF42B7">
        <w:rPr>
          <w:rFonts w:hint="eastAsia"/>
        </w:rPr>
        <w:t>年</w:t>
      </w:r>
      <w:r w:rsidRPr="00BF42B7">
        <w:rPr>
          <w:rFonts w:hint="eastAsia"/>
        </w:rPr>
        <w:t>11</w:t>
      </w:r>
      <w:r w:rsidRPr="00BF42B7">
        <w:rPr>
          <w:rFonts w:hint="eastAsia"/>
        </w:rPr>
        <w:t>月</w:t>
      </w:r>
      <w:r w:rsidRPr="00BF42B7">
        <w:rPr>
          <w:rFonts w:hint="eastAsia"/>
        </w:rPr>
        <w:t>14</w:t>
      </w:r>
      <w:r w:rsidRPr="00BF42B7">
        <w:rPr>
          <w:rFonts w:hint="eastAsia"/>
        </w:rPr>
        <w:t>日之前适用的美国法律规定而某些物品不能归还时则有补偿伊朗的任何义务，但法庭认为，这样的义务隐含在该段里。</w:t>
      </w:r>
    </w:p>
    <w:p w:rsidR="008D7906" w:rsidRPr="00BF42B7" w:rsidRDefault="008D7906" w:rsidP="008D7906">
      <w:pPr>
        <w:pStyle w:val="SingleTxtGC"/>
        <w:ind w:left="1565"/>
      </w:pPr>
      <w:r w:rsidRPr="00BF42B7">
        <w:rPr>
          <w:rFonts w:hint="eastAsia"/>
        </w:rPr>
        <w:t>……</w:t>
      </w:r>
    </w:p>
    <w:p w:rsidR="008D7906" w:rsidRPr="00BF42B7" w:rsidRDefault="008D7906" w:rsidP="008D7906">
      <w:pPr>
        <w:pStyle w:val="SingleTxtGC"/>
        <w:ind w:left="1565"/>
      </w:pPr>
      <w:r w:rsidRPr="00BF42B7">
        <w:rPr>
          <w:rFonts w:hint="eastAsia"/>
        </w:rPr>
        <w:t>“</w:t>
      </w:r>
      <w:r w:rsidRPr="00BF42B7">
        <w:rPr>
          <w:rFonts w:hint="eastAsia"/>
        </w:rPr>
        <w:t xml:space="preserve">68.  </w:t>
      </w:r>
      <w:r w:rsidRPr="00BF42B7">
        <w:rPr>
          <w:rFonts w:hint="eastAsia"/>
        </w:rPr>
        <w:t>此外，法庭指出，载于上文第</w:t>
      </w:r>
      <w:r w:rsidRPr="00BF42B7">
        <w:rPr>
          <w:rFonts w:hint="eastAsia"/>
        </w:rPr>
        <w:t>66</w:t>
      </w:r>
      <w:r w:rsidRPr="00BF42B7">
        <w:rPr>
          <w:rFonts w:hint="eastAsia"/>
        </w:rPr>
        <w:t>段的解释是与缔约方适用阿尔及尔协定的嗣后惯例，特别是与美国的行为是一致的。这样的惯例，根据《维也纳公约》第三十一条第三款</w:t>
      </w:r>
      <w:r w:rsidRPr="00BF42B7">
        <w:rPr>
          <w:rFonts w:hint="eastAsia"/>
        </w:rPr>
        <w:t>(b)</w:t>
      </w:r>
      <w:r w:rsidRPr="00BF42B7">
        <w:rPr>
          <w:rFonts w:hint="eastAsia"/>
        </w:rPr>
        <w:t>项，在解释条约时也应考虑到。美国在</w:t>
      </w:r>
      <w:r w:rsidRPr="00BF42B7">
        <w:rPr>
          <w:rFonts w:hint="eastAsia"/>
        </w:rPr>
        <w:t>1981</w:t>
      </w:r>
      <w:r w:rsidRPr="00BF42B7">
        <w:rPr>
          <w:rFonts w:hint="eastAsia"/>
        </w:rPr>
        <w:t>年</w:t>
      </w:r>
      <w:r w:rsidRPr="00BF42B7">
        <w:rPr>
          <w:rFonts w:hint="eastAsia"/>
        </w:rPr>
        <w:t>3</w:t>
      </w:r>
      <w:r w:rsidRPr="00BF42B7">
        <w:rPr>
          <w:rFonts w:hint="eastAsia"/>
        </w:rPr>
        <w:t>月</w:t>
      </w:r>
      <w:r w:rsidRPr="00BF42B7">
        <w:rPr>
          <w:rFonts w:hint="eastAsia"/>
        </w:rPr>
        <w:t>26</w:t>
      </w:r>
      <w:r w:rsidRPr="00BF42B7">
        <w:rPr>
          <w:rFonts w:hint="eastAsia"/>
        </w:rPr>
        <w:t>日致函伊朗，告知它国防物品的出口将不能获批准时，明确表示，“伊朗在设备方面的成本将尽可能报销。”</w:t>
      </w:r>
    </w:p>
    <w:p w:rsidR="008D7906" w:rsidRPr="00BF42B7" w:rsidRDefault="008D7906" w:rsidP="008D7906">
      <w:pPr>
        <w:pStyle w:val="SingleTxtGC"/>
      </w:pPr>
      <w:r w:rsidRPr="00BF42B7">
        <w:rPr>
          <w:rFonts w:hint="eastAsia"/>
        </w:rPr>
        <w:t>霍尔茨曼法官在反对意见中批评了这一立场：</w:t>
      </w:r>
    </w:p>
    <w:p w:rsidR="008D7906" w:rsidRPr="00BF42B7" w:rsidRDefault="008D7906" w:rsidP="008D7906">
      <w:pPr>
        <w:pStyle w:val="SingleTxtGC"/>
        <w:ind w:left="1565"/>
      </w:pPr>
      <w:r w:rsidRPr="00BF42B7">
        <w:rPr>
          <w:rFonts w:hint="eastAsia"/>
        </w:rPr>
        <w:t>“一缔约国的嗣后行为，只有当它似乎是由条约引发时，才是解释条约的一个适当基础。在这里，没有任何证据说明，甚至没有可能主张，美国为伊朗的财产予以赔偿的意愿是对人们感知到的第</w:t>
      </w:r>
      <w:r w:rsidRPr="00BF42B7">
        <w:rPr>
          <w:rFonts w:hint="eastAsia"/>
        </w:rPr>
        <w:t>9</w:t>
      </w:r>
      <w:r w:rsidRPr="00BF42B7">
        <w:rPr>
          <w:rFonts w:hint="eastAsia"/>
        </w:rPr>
        <w:t>段规定的义务的回应。这种行为同样与承认关于付款的合同义务一致。在没有任何迹象表明行为是由条约引发的情况下，使用该行为解释条约是不正确的。”</w:t>
      </w:r>
      <w:r w:rsidRPr="00BF42B7">
        <w:rPr>
          <w:color w:val="0000FF"/>
          <w:vertAlign w:val="superscript"/>
        </w:rPr>
        <w:footnoteReference w:id="592"/>
      </w:r>
    </w:p>
    <w:p w:rsidR="008D7906" w:rsidRPr="00BF42B7" w:rsidRDefault="008D7906" w:rsidP="008D7906">
      <w:pPr>
        <w:pStyle w:val="SingleTxtGC"/>
      </w:pPr>
      <w:r w:rsidRPr="00BF42B7">
        <w:rPr>
          <w:rFonts w:hint="eastAsia"/>
        </w:rPr>
        <w:t>多数人意见和反对意见一起表明，必须认真分析缔约方是否通过协定或行为就“关于条约的解释”采取了立场。</w:t>
      </w:r>
    </w:p>
    <w:p w:rsidR="008D7906" w:rsidRPr="00BF42B7" w:rsidRDefault="008D7906" w:rsidP="008D7906">
      <w:pPr>
        <w:pStyle w:val="SingleTxtGC"/>
      </w:pPr>
      <w:r w:rsidRPr="00BF42B7">
        <w:rPr>
          <w:rFonts w:hint="eastAsia"/>
        </w:rPr>
        <w:t xml:space="preserve">(14)  </w:t>
      </w:r>
      <w:r w:rsidRPr="00BF42B7">
        <w:rPr>
          <w:rFonts w:hint="eastAsia"/>
        </w:rPr>
        <w:t>有时也可从条约的具体规定的特性推断出缔约国就条约的解释采取了立场这一事实。</w:t>
      </w:r>
      <w:r w:rsidRPr="00BF42B7">
        <w:rPr>
          <w:color w:val="0000FF"/>
          <w:vertAlign w:val="superscript"/>
        </w:rPr>
        <w:footnoteReference w:id="593"/>
      </w:r>
      <w:r w:rsidRPr="00BF42B7">
        <w:rPr>
          <w:color w:val="0000FF"/>
          <w:vertAlign w:val="superscript"/>
        </w:rPr>
        <w:t xml:space="preserve"> </w:t>
      </w:r>
      <w:r w:rsidRPr="00BF42B7">
        <w:rPr>
          <w:rFonts w:hint="eastAsia"/>
        </w:rPr>
        <w:t>适用条约方面的嗣后惯例往往包括国家不同机关</w:t>
      </w:r>
      <w:r w:rsidRPr="00BF42B7">
        <w:rPr>
          <w:rFonts w:hint="eastAsia"/>
        </w:rPr>
        <w:t>(</w:t>
      </w:r>
      <w:r w:rsidRPr="00BF42B7">
        <w:rPr>
          <w:rFonts w:hint="eastAsia"/>
        </w:rPr>
        <w:t>行政、立法、司法或其他机关</w:t>
      </w:r>
      <w:r w:rsidRPr="00BF42B7">
        <w:rPr>
          <w:rFonts w:hint="eastAsia"/>
        </w:rPr>
        <w:t>)</w:t>
      </w:r>
      <w:r w:rsidRPr="00BF42B7">
        <w:rPr>
          <w:rFonts w:hint="eastAsia"/>
        </w:rPr>
        <w:t>在不同级别</w:t>
      </w:r>
      <w:r w:rsidRPr="00BF42B7">
        <w:rPr>
          <w:rFonts w:hint="eastAsia"/>
        </w:rPr>
        <w:t>(</w:t>
      </w:r>
      <w:r w:rsidRPr="00BF42B7">
        <w:rPr>
          <w:rFonts w:hint="eastAsia"/>
        </w:rPr>
        <w:t>国内和国际</w:t>
      </w:r>
      <w:r w:rsidRPr="00BF42B7">
        <w:rPr>
          <w:rFonts w:hint="eastAsia"/>
        </w:rPr>
        <w:t>)</w:t>
      </w:r>
      <w:r w:rsidRPr="00BF42B7">
        <w:rPr>
          <w:rFonts w:hint="eastAsia"/>
        </w:rPr>
        <w:t>有意识地适用条约的行为，而欧洲人权法院，举例来说，在大多数情况下不明确处理特定惯例的实施是否涉及“解释”公约这一问题。</w:t>
      </w:r>
      <w:bookmarkStart w:id="141" w:name="_Ref461975952"/>
      <w:r w:rsidRPr="00BF42B7">
        <w:rPr>
          <w:color w:val="0000FF"/>
          <w:vertAlign w:val="superscript"/>
        </w:rPr>
        <w:footnoteReference w:id="594"/>
      </w:r>
      <w:bookmarkEnd w:id="141"/>
      <w:r w:rsidRPr="00BF42B7">
        <w:rPr>
          <w:color w:val="0000FF"/>
          <w:vertAlign w:val="superscript"/>
        </w:rPr>
        <w:t xml:space="preserve"> </w:t>
      </w:r>
      <w:r w:rsidRPr="00BF42B7">
        <w:rPr>
          <w:rFonts w:hint="eastAsia"/>
        </w:rPr>
        <w:t>因此，描述在成员国国内法律的情况时，法院很少问某一种特定的法律形势是否是对公约的可能要求进行了讨论的立法程序的结果。法院实际上假定，成员国在进行立法或以其他特定方式行事时意识到其在公约下的义务，而且它们的行事方式反映出它们对自己义务的理解。</w:t>
      </w:r>
      <w:r w:rsidRPr="00BF42B7">
        <w:rPr>
          <w:color w:val="0000FF"/>
          <w:vertAlign w:val="superscript"/>
        </w:rPr>
        <w:footnoteReference w:id="595"/>
      </w:r>
      <w:r w:rsidRPr="00BF42B7">
        <w:rPr>
          <w:color w:val="0000FF"/>
          <w:vertAlign w:val="superscript"/>
        </w:rPr>
        <w:t xml:space="preserve"> </w:t>
      </w:r>
      <w:r w:rsidRPr="00BF42B7">
        <w:rPr>
          <w:rFonts w:hint="eastAsia"/>
        </w:rPr>
        <w:t>美洲人权法院有时也使用立法实践作为一种解释手段。</w:t>
      </w:r>
      <w:r w:rsidRPr="00BF42B7">
        <w:rPr>
          <w:color w:val="0000FF"/>
          <w:vertAlign w:val="superscript"/>
        </w:rPr>
        <w:footnoteReference w:id="596"/>
      </w:r>
      <w:r w:rsidRPr="00BF42B7">
        <w:rPr>
          <w:color w:val="0000FF"/>
          <w:vertAlign w:val="superscript"/>
        </w:rPr>
        <w:t xml:space="preserve"> </w:t>
      </w:r>
      <w:r w:rsidRPr="00BF42B7">
        <w:rPr>
          <w:rFonts w:hint="eastAsia"/>
        </w:rPr>
        <w:t>与国际法院一样，欧洲人权法院甚至偶尔认为，缔约方对公约的某一特定解释“缺乏任何理解”可能表示它们就条约的解释采取了一种立场。</w:t>
      </w:r>
      <w:r w:rsidRPr="00BF42B7">
        <w:rPr>
          <w:color w:val="0000FF"/>
          <w:vertAlign w:val="superscript"/>
        </w:rPr>
        <w:footnoteReference w:id="597"/>
      </w:r>
    </w:p>
    <w:p w:rsidR="008D7906" w:rsidRPr="00BF42B7" w:rsidRDefault="008D7906" w:rsidP="008D7906">
      <w:pPr>
        <w:pStyle w:val="SingleTxtGC"/>
      </w:pPr>
      <w:r w:rsidRPr="00BF42B7">
        <w:rPr>
          <w:rFonts w:hint="eastAsia"/>
        </w:rPr>
        <w:t xml:space="preserve">(15)  </w:t>
      </w:r>
      <w:r w:rsidRPr="00BF42B7">
        <w:rPr>
          <w:rFonts w:hint="eastAsia"/>
        </w:rPr>
        <w:t>《关于战俘待遇的日内瓦公约》</w:t>
      </w:r>
      <w:r w:rsidRPr="00BF42B7">
        <w:rPr>
          <w:color w:val="0000FF"/>
          <w:vertAlign w:val="superscript"/>
        </w:rPr>
        <w:footnoteReference w:id="598"/>
      </w:r>
      <w:r w:rsidRPr="00BF42B7">
        <w:rPr>
          <w:color w:val="0000FF"/>
          <w:vertAlign w:val="superscript"/>
        </w:rPr>
        <w:t xml:space="preserve"> </w:t>
      </w:r>
      <w:r w:rsidRPr="00BF42B7">
        <w:rPr>
          <w:rFonts w:hint="eastAsia"/>
        </w:rPr>
        <w:t>第</w:t>
      </w:r>
      <w:r w:rsidRPr="00BF42B7">
        <w:rPr>
          <w:rFonts w:hint="eastAsia"/>
        </w:rPr>
        <w:t>118</w:t>
      </w:r>
      <w:r w:rsidRPr="00BF42B7">
        <w:rPr>
          <w:rFonts w:hint="eastAsia"/>
        </w:rPr>
        <w:t>条规定：“战事停止后，应立即释放或遣返战俘，不得迟延。”缔约国故意没有宣布战俘不愿被遣返的意愿是相关的，以防止各国胡乱援引战俘的意愿以延缓遣返战俘。</w:t>
      </w:r>
      <w:bookmarkStart w:id="142" w:name="_Ref461973357"/>
      <w:r w:rsidRPr="00BF42B7">
        <w:rPr>
          <w:color w:val="0000FF"/>
          <w:vertAlign w:val="superscript"/>
        </w:rPr>
        <w:footnoteReference w:id="599"/>
      </w:r>
      <w:bookmarkEnd w:id="142"/>
      <w:r w:rsidRPr="00BF42B7">
        <w:rPr>
          <w:color w:val="0000FF"/>
          <w:vertAlign w:val="superscript"/>
        </w:rPr>
        <w:t xml:space="preserve"> </w:t>
      </w:r>
      <w:r w:rsidRPr="00BF42B7">
        <w:rPr>
          <w:rFonts w:hint="eastAsia"/>
        </w:rPr>
        <w:t>然而红十字会始终坚持将战俘不被遣返的意愿得到尊重作为其参与的条件。</w:t>
      </w:r>
      <w:r w:rsidRPr="00BF42B7">
        <w:rPr>
          <w:color w:val="0000FF"/>
          <w:vertAlign w:val="superscript"/>
        </w:rPr>
        <w:footnoteReference w:id="600"/>
      </w:r>
      <w:r w:rsidRPr="00BF42B7">
        <w:rPr>
          <w:color w:val="0000FF"/>
          <w:vertAlign w:val="superscript"/>
        </w:rPr>
        <w:t xml:space="preserve"> </w:t>
      </w:r>
      <w:r w:rsidRPr="00BF42B7">
        <w:rPr>
          <w:rFonts w:hint="eastAsia"/>
        </w:rPr>
        <w:t>这种做法已经反映在缔约国的惯例之中，然而这并不一定意味着第</w:t>
      </w:r>
      <w:r w:rsidRPr="00BF42B7">
        <w:rPr>
          <w:rFonts w:hint="eastAsia"/>
        </w:rPr>
        <w:t>118</w:t>
      </w:r>
      <w:r w:rsidRPr="00BF42B7">
        <w:rPr>
          <w:rFonts w:hint="eastAsia"/>
        </w:rPr>
        <w:t>条应解释为是要求在进行遣返时不得违反战俘的意愿。红十字会在对习惯国际人道主义法所作的研究中在对第</w:t>
      </w:r>
      <w:r w:rsidRPr="00BF42B7">
        <w:rPr>
          <w:rFonts w:hint="eastAsia"/>
        </w:rPr>
        <w:t>128 A</w:t>
      </w:r>
      <w:r w:rsidRPr="00BF42B7">
        <w:rPr>
          <w:rFonts w:hint="eastAsia"/>
        </w:rPr>
        <w:t>条规则的评注里仔细地指出：</w:t>
      </w:r>
    </w:p>
    <w:p w:rsidR="008D7906" w:rsidRPr="00BF42B7" w:rsidRDefault="008D7906" w:rsidP="008D7906">
      <w:pPr>
        <w:pStyle w:val="SingleTxtGC"/>
        <w:ind w:left="1565"/>
      </w:pPr>
      <w:r w:rsidRPr="00BF42B7">
        <w:rPr>
          <w:rFonts w:hint="eastAsia"/>
        </w:rPr>
        <w:t>“根据《日内瓦第四公约》，不得将任何被保护人移送至‘因其政治意见或宗教信仰有恐惧迫害之理由’的国家</w:t>
      </w:r>
      <w:r w:rsidRPr="00BF42B7">
        <w:rPr>
          <w:rFonts w:hint="eastAsia"/>
        </w:rPr>
        <w:t>[</w:t>
      </w:r>
      <w:r w:rsidRPr="00BF42B7">
        <w:rPr>
          <w:rFonts w:hint="eastAsia"/>
        </w:rPr>
        <w:t>《关于战时保护平民之日内瓦公约》第四十五条第四款</w:t>
      </w:r>
      <w:r w:rsidRPr="00BF42B7">
        <w:rPr>
          <w:rFonts w:hint="eastAsia"/>
        </w:rPr>
        <w:t>]</w:t>
      </w:r>
      <w:r w:rsidRPr="00BF42B7">
        <w:rPr>
          <w:rFonts w:hint="eastAsia"/>
        </w:rPr>
        <w:t>。《日内瓦第三公约》不包含类似的条款，但自</w:t>
      </w:r>
      <w:r w:rsidRPr="00BF42B7">
        <w:rPr>
          <w:rFonts w:hint="eastAsia"/>
        </w:rPr>
        <w:t>1949</w:t>
      </w:r>
      <w:r w:rsidRPr="00BF42B7">
        <w:rPr>
          <w:rFonts w:hint="eastAsia"/>
        </w:rPr>
        <w:t>年以来的惯例已发展到这样的程度，即在红十字会发挥中立调解者角色的每一次遣返行动中，无论是国际还是非国际冲突，冲突各方接受了红十字会的参与条件，这包括红十字会能够在遣返</w:t>
      </w:r>
      <w:r w:rsidRPr="00BF42B7">
        <w:rPr>
          <w:rFonts w:hint="eastAsia"/>
        </w:rPr>
        <w:t>(</w:t>
      </w:r>
      <w:r w:rsidRPr="00BF42B7">
        <w:rPr>
          <w:rFonts w:hint="eastAsia"/>
        </w:rPr>
        <w:t>或非国际性武装冲突时则为释放</w:t>
      </w:r>
      <w:r w:rsidRPr="00BF42B7">
        <w:rPr>
          <w:rFonts w:hint="eastAsia"/>
        </w:rPr>
        <w:t>)</w:t>
      </w:r>
      <w:r w:rsidRPr="00BF42B7">
        <w:rPr>
          <w:rFonts w:hint="eastAsia"/>
        </w:rPr>
        <w:t>之前，通过私下与有关人员面谈，检查他们是否希望被遣返</w:t>
      </w:r>
      <w:r w:rsidRPr="00BF42B7">
        <w:rPr>
          <w:rFonts w:hint="eastAsia"/>
        </w:rPr>
        <w:t>(</w:t>
      </w:r>
      <w:r w:rsidRPr="00BF42B7">
        <w:rPr>
          <w:rFonts w:hint="eastAsia"/>
        </w:rPr>
        <w:t>或释放</w:t>
      </w:r>
      <w:r w:rsidRPr="00BF42B7">
        <w:rPr>
          <w:rFonts w:hint="eastAsia"/>
        </w:rPr>
        <w:t>)</w:t>
      </w:r>
      <w:r w:rsidRPr="00BF42B7">
        <w:rPr>
          <w:rFonts w:hint="eastAsia"/>
        </w:rPr>
        <w:t>。”</w:t>
      </w:r>
      <w:r w:rsidRPr="00BF42B7">
        <w:rPr>
          <w:color w:val="0000FF"/>
          <w:vertAlign w:val="superscript"/>
        </w:rPr>
        <w:footnoteReference w:id="601"/>
      </w:r>
    </w:p>
    <w:p w:rsidR="008D7906" w:rsidRPr="00BF42B7" w:rsidRDefault="008D7906" w:rsidP="008D7906">
      <w:pPr>
        <w:pStyle w:val="SingleTxtGC"/>
      </w:pPr>
      <w:r w:rsidRPr="00BF42B7">
        <w:rPr>
          <w:rFonts w:hint="eastAsia"/>
        </w:rPr>
        <w:t xml:space="preserve">(16)  </w:t>
      </w:r>
      <w:r w:rsidRPr="00BF42B7">
        <w:rPr>
          <w:rFonts w:hint="eastAsia"/>
        </w:rPr>
        <w:t>这一措辞表明，尊重战俘意愿这一国家惯例仅存在于红十字会参与且提出了尊重战俘意愿这一条件的案件中。各国从这一惯例中得出了不同结论。</w:t>
      </w:r>
      <w:bookmarkStart w:id="143" w:name="_Ref461973404"/>
      <w:r w:rsidRPr="00BF42B7">
        <w:rPr>
          <w:color w:val="0000FF"/>
          <w:vertAlign w:val="superscript"/>
        </w:rPr>
        <w:footnoteReference w:id="602"/>
      </w:r>
      <w:bookmarkEnd w:id="143"/>
      <w:r w:rsidRPr="00BF42B7">
        <w:rPr>
          <w:color w:val="0000FF"/>
          <w:vertAlign w:val="superscript"/>
        </w:rPr>
        <w:t xml:space="preserve"> </w:t>
      </w:r>
      <w:r w:rsidRPr="00BF42B7">
        <w:rPr>
          <w:rFonts w:hint="eastAsia"/>
        </w:rPr>
        <w:t>2004</w:t>
      </w:r>
      <w:r w:rsidRPr="00BF42B7">
        <w:rPr>
          <w:rFonts w:hint="eastAsia"/>
        </w:rPr>
        <w:t>年《联合王国手册》规定：</w:t>
      </w:r>
    </w:p>
    <w:p w:rsidR="008D7906" w:rsidRPr="00BF42B7" w:rsidRDefault="008D7906" w:rsidP="008D7906">
      <w:pPr>
        <w:pStyle w:val="SingleTxtGC"/>
        <w:ind w:left="1565"/>
      </w:pPr>
      <w:r w:rsidRPr="00BF42B7">
        <w:rPr>
          <w:rFonts w:hint="eastAsia"/>
        </w:rPr>
        <w:t>“较有争议的问题是，是否即便违背战俘本人的意愿，也必须将其遣送回国。最近的国家惯例表明，不应这么做。联合王国的政策是，不应违背战俘意愿将其遣送回国。”</w:t>
      </w:r>
      <w:r w:rsidRPr="00BF42B7">
        <w:rPr>
          <w:color w:val="0000FF"/>
          <w:vertAlign w:val="superscript"/>
        </w:rPr>
        <w:footnoteReference w:id="603"/>
      </w:r>
    </w:p>
    <w:p w:rsidR="008D7906" w:rsidRPr="00BF42B7" w:rsidRDefault="008D7906" w:rsidP="008D7906">
      <w:pPr>
        <w:pStyle w:val="SingleTxtGC"/>
      </w:pPr>
      <w:r w:rsidRPr="00BF42B7">
        <w:rPr>
          <w:rFonts w:hint="eastAsia"/>
        </w:rPr>
        <w:t xml:space="preserve">(17)  </w:t>
      </w:r>
      <w:r w:rsidRPr="00BF42B7">
        <w:rPr>
          <w:rFonts w:hint="eastAsia"/>
        </w:rPr>
        <w:t>专门将“必须”和“应”二词同时使用，说明联合王国同其他国家一样，并不认为嗣后惯例反映了必须始终尊重战俘公开宣称的意愿这种条约解释。</w:t>
      </w:r>
      <w:r w:rsidRPr="00BF42B7">
        <w:rPr>
          <w:color w:val="0000FF"/>
          <w:vertAlign w:val="superscript"/>
        </w:rPr>
        <w:footnoteReference w:id="604"/>
      </w:r>
      <w:r w:rsidRPr="00BF42B7">
        <w:rPr>
          <w:color w:val="0000FF"/>
          <w:vertAlign w:val="superscript"/>
        </w:rPr>
        <w:t xml:space="preserve"> </w:t>
      </w:r>
    </w:p>
    <w:p w:rsidR="008D7906" w:rsidRPr="00BF42B7" w:rsidRDefault="008D7906" w:rsidP="008D7906">
      <w:pPr>
        <w:pStyle w:val="SingleTxtGC"/>
      </w:pPr>
      <w:r w:rsidRPr="00BF42B7">
        <w:rPr>
          <w:rFonts w:hint="eastAsia"/>
        </w:rPr>
        <w:t xml:space="preserve">(18)  </w:t>
      </w:r>
      <w:r w:rsidRPr="00BF42B7">
        <w:rPr>
          <w:rFonts w:hint="eastAsia"/>
        </w:rPr>
        <w:t>源自判例法和国家惯例的上述例子证明，有必要仔细识别和解释嗣后协定与嗣后惯例，特别是要问清，缔约方是否通过协定或惯例就条约的解释采取了立场，或者是否有其他考虑。</w:t>
      </w:r>
      <w:bookmarkStart w:id="144" w:name="_Ref461976079"/>
      <w:r w:rsidRPr="00BF42B7">
        <w:rPr>
          <w:color w:val="0000FF"/>
          <w:vertAlign w:val="superscript"/>
        </w:rPr>
        <w:footnoteReference w:id="605"/>
      </w:r>
      <w:bookmarkEnd w:id="144"/>
    </w:p>
    <w:p w:rsidR="008D7906" w:rsidRPr="00BF42B7" w:rsidRDefault="008D7906" w:rsidP="008D7906">
      <w:pPr>
        <w:pStyle w:val="H4GC"/>
        <w:rPr>
          <w:rFonts w:eastAsia="楷体"/>
          <w:lang w:val="en-GB"/>
        </w:rPr>
      </w:pPr>
      <w:r w:rsidRPr="00BF42B7">
        <w:rPr>
          <w:rFonts w:eastAsia="楷体" w:hint="eastAsia"/>
          <w:lang w:val="en-GB"/>
        </w:rPr>
        <w:tab/>
      </w:r>
      <w:r w:rsidRPr="00BF42B7">
        <w:rPr>
          <w:rFonts w:eastAsia="楷体" w:hint="eastAsia"/>
          <w:lang w:val="en-GB"/>
        </w:rPr>
        <w:tab/>
      </w:r>
      <w:r w:rsidRPr="00BF42B7">
        <w:rPr>
          <w:rFonts w:eastAsia="楷体" w:hint="eastAsia"/>
          <w:lang w:val="en-GB"/>
        </w:rPr>
        <w:t>第</w:t>
      </w:r>
      <w:r w:rsidRPr="00BF42B7">
        <w:rPr>
          <w:rFonts w:eastAsia="楷体" w:hint="eastAsia"/>
          <w:lang w:val="en-GB"/>
        </w:rPr>
        <w:t>1</w:t>
      </w:r>
      <w:r w:rsidRPr="00BF42B7">
        <w:rPr>
          <w:rFonts w:eastAsia="楷体" w:hint="eastAsia"/>
          <w:lang w:val="en-GB"/>
        </w:rPr>
        <w:t>段第</w:t>
      </w:r>
      <w:r w:rsidRPr="00BF42B7">
        <w:rPr>
          <w:rFonts w:eastAsia="楷体" w:hint="eastAsia"/>
          <w:lang w:val="en-GB"/>
        </w:rPr>
        <w:t>2</w:t>
      </w:r>
      <w:r w:rsidRPr="00BF42B7">
        <w:rPr>
          <w:rFonts w:eastAsia="楷体" w:hint="eastAsia"/>
          <w:lang w:val="en-GB"/>
        </w:rPr>
        <w:t>句</w:t>
      </w:r>
      <w:r w:rsidRPr="00BF42B7">
        <w:rPr>
          <w:rFonts w:eastAsia="楷体" w:hint="eastAsia"/>
          <w:spacing w:val="-50"/>
          <w:lang w:val="fr-CH"/>
        </w:rPr>
        <w:t>―</w:t>
      </w:r>
      <w:r w:rsidRPr="00BF42B7">
        <w:rPr>
          <w:rFonts w:eastAsia="楷体" w:hint="eastAsia"/>
          <w:lang w:val="fr-CH"/>
        </w:rPr>
        <w:t>―</w:t>
      </w:r>
      <w:r w:rsidRPr="00BF42B7">
        <w:rPr>
          <w:rFonts w:eastAsia="楷体" w:hint="eastAsia"/>
          <w:lang w:val="en-GB"/>
        </w:rPr>
        <w:t>暂不适用条约或临时协议</w:t>
      </w:r>
    </w:p>
    <w:p w:rsidR="008D7906" w:rsidRPr="00BF42B7" w:rsidRDefault="008D7906" w:rsidP="008D7906">
      <w:pPr>
        <w:pStyle w:val="SingleTxtGC"/>
      </w:pPr>
      <w:r w:rsidRPr="00BF42B7">
        <w:rPr>
          <w:rFonts w:hint="eastAsia"/>
        </w:rPr>
        <w:t xml:space="preserve">(19)  </w:t>
      </w:r>
      <w:r w:rsidRPr="00BF42B7">
        <w:rPr>
          <w:rFonts w:hint="eastAsia"/>
        </w:rPr>
        <w:t>第</w:t>
      </w:r>
      <w:r w:rsidRPr="00BF42B7">
        <w:rPr>
          <w:rFonts w:hint="eastAsia"/>
        </w:rPr>
        <w:t>1</w:t>
      </w:r>
      <w:r w:rsidRPr="00BF42B7">
        <w:rPr>
          <w:rFonts w:hint="eastAsia"/>
        </w:rPr>
        <w:t>段第二句只起说明作用。该句是指两类需要与关于条约解释的惯例作出区分的情况。</w:t>
      </w:r>
    </w:p>
    <w:p w:rsidR="008D7906" w:rsidRPr="00BF42B7" w:rsidRDefault="008D7906" w:rsidP="008D7906">
      <w:pPr>
        <w:pStyle w:val="SingleTxtGC"/>
        <w:rPr>
          <w:spacing w:val="2"/>
        </w:rPr>
      </w:pPr>
      <w:r w:rsidRPr="00BF42B7">
        <w:rPr>
          <w:rFonts w:hint="eastAsia"/>
          <w:spacing w:val="2"/>
        </w:rPr>
        <w:t xml:space="preserve">(20)  </w:t>
      </w:r>
      <w:r w:rsidRPr="00BF42B7">
        <w:rPr>
          <w:rFonts w:hint="eastAsia"/>
          <w:spacing w:val="2"/>
        </w:rPr>
        <w:t>缔约方拥有共同嗣后惯例不一定表明缔约方就条约的解释达成了协议，也可能意味着缔约方商定暂不适用条约，</w:t>
      </w:r>
      <w:r w:rsidRPr="00BF42B7">
        <w:rPr>
          <w:color w:val="0000FF"/>
          <w:spacing w:val="2"/>
          <w:vertAlign w:val="superscript"/>
        </w:rPr>
        <w:footnoteReference w:id="606"/>
      </w:r>
      <w:r w:rsidRPr="00BF42B7">
        <w:rPr>
          <w:color w:val="0000FF"/>
          <w:spacing w:val="2"/>
          <w:vertAlign w:val="superscript"/>
        </w:rPr>
        <w:t xml:space="preserve"> </w:t>
      </w:r>
      <w:r w:rsidRPr="00BF42B7">
        <w:rPr>
          <w:rFonts w:hint="eastAsia"/>
          <w:spacing w:val="2"/>
        </w:rPr>
        <w:t>或商定确立一种实际安排</w:t>
      </w:r>
      <w:r w:rsidRPr="00BF42B7">
        <w:rPr>
          <w:rFonts w:hint="eastAsia"/>
          <w:spacing w:val="2"/>
        </w:rPr>
        <w:t>(</w:t>
      </w:r>
      <w:r w:rsidRPr="00BF42B7">
        <w:rPr>
          <w:rFonts w:hint="eastAsia"/>
          <w:spacing w:val="2"/>
        </w:rPr>
        <w:t>临时协议</w:t>
      </w:r>
      <w:r w:rsidRPr="00BF42B7">
        <w:rPr>
          <w:rFonts w:hint="eastAsia"/>
          <w:spacing w:val="2"/>
        </w:rPr>
        <w:t>)</w:t>
      </w:r>
      <w:r w:rsidRPr="00BF42B7">
        <w:rPr>
          <w:rFonts w:hint="eastAsia"/>
          <w:spacing w:val="2"/>
        </w:rPr>
        <w:t>。</w:t>
      </w:r>
      <w:bookmarkStart w:id="145" w:name="_Ref461973791"/>
      <w:r w:rsidRPr="00BF42B7">
        <w:rPr>
          <w:color w:val="0000FF"/>
          <w:spacing w:val="2"/>
          <w:vertAlign w:val="superscript"/>
        </w:rPr>
        <w:footnoteReference w:id="607"/>
      </w:r>
      <w:bookmarkEnd w:id="145"/>
      <w:r w:rsidRPr="00BF42B7">
        <w:rPr>
          <w:color w:val="0000FF"/>
          <w:spacing w:val="2"/>
          <w:vertAlign w:val="superscript"/>
        </w:rPr>
        <w:t xml:space="preserve"> </w:t>
      </w:r>
      <w:r w:rsidRPr="00BF42B7">
        <w:rPr>
          <w:rFonts w:hint="eastAsia"/>
          <w:spacing w:val="2"/>
        </w:rPr>
        <w:t>以下例子起说明作用：</w:t>
      </w:r>
    </w:p>
    <w:p w:rsidR="008D7906" w:rsidRPr="00BF42B7" w:rsidRDefault="008D7906" w:rsidP="008D7906">
      <w:pPr>
        <w:pStyle w:val="SingleTxtGC"/>
      </w:pPr>
      <w:r w:rsidRPr="00BF42B7">
        <w:rPr>
          <w:rFonts w:hint="eastAsia"/>
        </w:rPr>
        <w:t>(21)  1864</w:t>
      </w:r>
      <w:r w:rsidRPr="00BF42B7">
        <w:rPr>
          <w:rFonts w:hint="eastAsia"/>
        </w:rPr>
        <w:t>年《改善战地武装部队伤员境遇日内瓦公约》第七条规定，“医院、救护车和疏散队应采用特殊的统一旗帜。……</w:t>
      </w:r>
      <w:r w:rsidRPr="00BF42B7">
        <w:rPr>
          <w:rFonts w:hint="eastAsia"/>
        </w:rPr>
        <w:t>[</w:t>
      </w:r>
      <w:r w:rsidRPr="00BF42B7">
        <w:rPr>
          <w:rFonts w:hint="eastAsia"/>
        </w:rPr>
        <w:t>这一</w:t>
      </w:r>
      <w:r w:rsidRPr="00BF42B7">
        <w:rPr>
          <w:rFonts w:hint="eastAsia"/>
        </w:rPr>
        <w:t>]</w:t>
      </w:r>
      <w:r w:rsidRPr="00BF42B7">
        <w:rPr>
          <w:rFonts w:hint="eastAsia"/>
        </w:rPr>
        <w:t>……旗帜应绘以白底红十字。”</w:t>
      </w:r>
      <w:r w:rsidRPr="00BF42B7">
        <w:rPr>
          <w:color w:val="0000FF"/>
          <w:vertAlign w:val="superscript"/>
        </w:rPr>
        <w:footnoteReference w:id="608"/>
      </w:r>
      <w:r w:rsidRPr="00BF42B7">
        <w:rPr>
          <w:color w:val="0000FF"/>
          <w:vertAlign w:val="superscript"/>
        </w:rPr>
        <w:t xml:space="preserve"> </w:t>
      </w:r>
      <w:r w:rsidRPr="00BF42B7">
        <w:rPr>
          <w:rFonts w:hint="eastAsia"/>
        </w:rPr>
        <w:t>1877-1878</w:t>
      </w:r>
      <w:r w:rsidRPr="00BF42B7">
        <w:rPr>
          <w:rFonts w:hint="eastAsia"/>
        </w:rPr>
        <w:t>年俄土战争期间，奥斯曼帝国宣布，未来将以白底红新月作为救护车标志，同时尊重保护敌方救护车的红十字标志，并表示《公约》的特殊标志“‘迄今一直让土耳其无法行使《公约》规定的权利，因为这一标志冒犯了穆斯林士兵’”。</w:t>
      </w:r>
      <w:bookmarkStart w:id="146" w:name="_Ref461971920"/>
      <w:r w:rsidRPr="00BF42B7">
        <w:rPr>
          <w:color w:val="0000FF"/>
          <w:vertAlign w:val="superscript"/>
        </w:rPr>
        <w:footnoteReference w:id="609"/>
      </w:r>
      <w:bookmarkEnd w:id="146"/>
      <w:r w:rsidRPr="00BF42B7">
        <w:rPr>
          <w:color w:val="0000FF"/>
          <w:vertAlign w:val="superscript"/>
        </w:rPr>
        <w:t xml:space="preserve"> </w:t>
      </w:r>
      <w:r w:rsidRPr="00BF42B7">
        <w:rPr>
          <w:rFonts w:hint="eastAsia"/>
        </w:rPr>
        <w:t>因为这一声明，奥斯曼帝国、瑞士</w:t>
      </w:r>
      <w:r w:rsidRPr="00BF42B7">
        <w:rPr>
          <w:rFonts w:hint="eastAsia"/>
        </w:rPr>
        <w:t>(</w:t>
      </w:r>
      <w:r w:rsidRPr="00BF42B7">
        <w:rPr>
          <w:rFonts w:hint="eastAsia"/>
        </w:rPr>
        <w:t>作为保存国</w:t>
      </w:r>
      <w:r w:rsidRPr="00BF42B7">
        <w:rPr>
          <w:rFonts w:hint="eastAsia"/>
        </w:rPr>
        <w:t>)</w:t>
      </w:r>
      <w:r w:rsidRPr="00BF42B7">
        <w:rPr>
          <w:rFonts w:hint="eastAsia"/>
        </w:rPr>
        <w:t>和其他缔约方经通信商定，接受红新月标志，但仅限冲突期间。</w:t>
      </w:r>
      <w:r w:rsidRPr="00BF42B7">
        <w:rPr>
          <w:color w:val="0000FF"/>
          <w:vertAlign w:val="superscript"/>
        </w:rPr>
        <w:footnoteReference w:id="610"/>
      </w:r>
      <w:r w:rsidRPr="00BF42B7">
        <w:rPr>
          <w:color w:val="0000FF"/>
          <w:vertAlign w:val="superscript"/>
        </w:rPr>
        <w:t xml:space="preserve"> </w:t>
      </w:r>
      <w:r w:rsidRPr="00BF42B7">
        <w:rPr>
          <w:rFonts w:hint="eastAsia"/>
        </w:rPr>
        <w:t>在</w:t>
      </w:r>
      <w:r w:rsidRPr="00BF42B7">
        <w:rPr>
          <w:rFonts w:hint="eastAsia"/>
        </w:rPr>
        <w:t>1899</w:t>
      </w:r>
      <w:r w:rsidRPr="00BF42B7">
        <w:rPr>
          <w:rFonts w:hint="eastAsia"/>
        </w:rPr>
        <w:t>年和</w:t>
      </w:r>
      <w:r w:rsidRPr="00BF42B7">
        <w:rPr>
          <w:rFonts w:hint="eastAsia"/>
        </w:rPr>
        <w:t>1907</w:t>
      </w:r>
      <w:r w:rsidRPr="00BF42B7">
        <w:rPr>
          <w:rFonts w:hint="eastAsia"/>
        </w:rPr>
        <w:t>年海牙和平会议上以及</w:t>
      </w:r>
      <w:r w:rsidRPr="00BF42B7">
        <w:rPr>
          <w:rFonts w:hint="eastAsia"/>
        </w:rPr>
        <w:t>1906</w:t>
      </w:r>
      <w:r w:rsidRPr="00BF42B7">
        <w:rPr>
          <w:rFonts w:hint="eastAsia"/>
        </w:rPr>
        <w:t>年举行的</w:t>
      </w:r>
      <w:r w:rsidRPr="00BF42B7">
        <w:rPr>
          <w:rFonts w:hint="eastAsia"/>
        </w:rPr>
        <w:t>1984</w:t>
      </w:r>
      <w:r w:rsidRPr="00BF42B7">
        <w:rPr>
          <w:rFonts w:hint="eastAsia"/>
        </w:rPr>
        <w:t>年《日内瓦公约》修约会议期间，奥斯曼帝国、波斯和暹罗要求将红新月、红狮与日以及红焰标志加入《公约》未果。</w:t>
      </w:r>
      <w:r w:rsidRPr="00BF42B7">
        <w:rPr>
          <w:color w:val="0000FF"/>
          <w:vertAlign w:val="superscript"/>
        </w:rPr>
        <w:footnoteReference w:id="611"/>
      </w:r>
      <w:r w:rsidRPr="00BF42B7">
        <w:rPr>
          <w:color w:val="0000FF"/>
          <w:vertAlign w:val="superscript"/>
        </w:rPr>
        <w:t xml:space="preserve"> </w:t>
      </w:r>
      <w:r w:rsidRPr="00BF42B7">
        <w:rPr>
          <w:rFonts w:hint="eastAsia"/>
        </w:rPr>
        <w:t>不过在</w:t>
      </w:r>
      <w:r w:rsidRPr="00BF42B7">
        <w:rPr>
          <w:rFonts w:hint="eastAsia"/>
        </w:rPr>
        <w:t>1906</w:t>
      </w:r>
      <w:r w:rsidRPr="00BF42B7">
        <w:rPr>
          <w:rFonts w:hint="eastAsia"/>
        </w:rPr>
        <w:t>年，奥斯曼帝国和波斯至少让两国为此提出的“保留”得到了接受。</w:t>
      </w:r>
      <w:r w:rsidRPr="00BF42B7">
        <w:rPr>
          <w:color w:val="0000FF"/>
          <w:vertAlign w:val="superscript"/>
        </w:rPr>
        <w:footnoteReference w:id="612"/>
      </w:r>
      <w:r w:rsidRPr="00BF42B7">
        <w:rPr>
          <w:color w:val="0000FF"/>
          <w:vertAlign w:val="superscript"/>
        </w:rPr>
        <w:t xml:space="preserve"> </w:t>
      </w:r>
      <w:r w:rsidRPr="00BF42B7">
        <w:rPr>
          <w:rFonts w:hint="eastAsia"/>
        </w:rPr>
        <w:t>但是，</w:t>
      </w:r>
      <w:r w:rsidRPr="00BF42B7">
        <w:rPr>
          <w:rFonts w:hint="eastAsia"/>
        </w:rPr>
        <w:t>1906</w:t>
      </w:r>
      <w:r w:rsidRPr="00BF42B7">
        <w:rPr>
          <w:rFonts w:hint="eastAsia"/>
        </w:rPr>
        <w:t>年奥斯曼帝国和波斯的保留获得接受，并不意味着各缔约方认可，在</w:t>
      </w:r>
      <w:r w:rsidRPr="00BF42B7">
        <w:rPr>
          <w:rFonts w:hint="eastAsia"/>
        </w:rPr>
        <w:t>1906</w:t>
      </w:r>
      <w:r w:rsidRPr="00BF42B7">
        <w:rPr>
          <w:rFonts w:hint="eastAsia"/>
        </w:rPr>
        <w:t>年之前未受异议的嗣后惯例就已经以特定方式解释了</w:t>
      </w:r>
      <w:r w:rsidRPr="00BF42B7">
        <w:rPr>
          <w:rFonts w:hint="eastAsia"/>
        </w:rPr>
        <w:t>1864</w:t>
      </w:r>
      <w:r w:rsidRPr="00BF42B7">
        <w:rPr>
          <w:rFonts w:hint="eastAsia"/>
        </w:rPr>
        <w:t>年《日内瓦公约》。至少到</w:t>
      </w:r>
      <w:r w:rsidRPr="00BF42B7">
        <w:rPr>
          <w:rFonts w:hint="eastAsia"/>
        </w:rPr>
        <w:t>1906</w:t>
      </w:r>
      <w:r w:rsidRPr="00BF42B7">
        <w:rPr>
          <w:rFonts w:hint="eastAsia"/>
        </w:rPr>
        <w:t>年，奥斯曼帝国和波斯的惯例都不被视为</w:t>
      </w:r>
      <w:r w:rsidRPr="00BF42B7">
        <w:rPr>
          <w:rFonts w:hint="eastAsia"/>
        </w:rPr>
        <w:t>1864</w:t>
      </w:r>
      <w:r w:rsidRPr="00BF42B7">
        <w:rPr>
          <w:rFonts w:hint="eastAsia"/>
        </w:rPr>
        <w:t>年《日内瓦公约》的内容，只是将其作为不改变一般条约义务的暂行特例措施予以接受。</w:t>
      </w:r>
    </w:p>
    <w:p w:rsidR="008D7906" w:rsidRPr="00BF42B7" w:rsidRDefault="008D7906" w:rsidP="008D7906">
      <w:pPr>
        <w:pStyle w:val="H4GC"/>
        <w:rPr>
          <w:rFonts w:eastAsia="楷体"/>
          <w:lang w:val="en-GB"/>
        </w:rPr>
      </w:pPr>
      <w:r w:rsidRPr="00BF42B7">
        <w:rPr>
          <w:rFonts w:eastAsia="楷体" w:hint="eastAsia"/>
          <w:lang w:val="en-GB"/>
        </w:rPr>
        <w:tab/>
      </w:r>
      <w:r w:rsidRPr="00BF42B7">
        <w:rPr>
          <w:rFonts w:eastAsia="楷体" w:hint="eastAsia"/>
          <w:lang w:val="en-GB"/>
        </w:rPr>
        <w:tab/>
      </w:r>
      <w:r w:rsidRPr="00BF42B7">
        <w:rPr>
          <w:rFonts w:eastAsia="楷体" w:hint="eastAsia"/>
          <w:lang w:val="en-GB"/>
        </w:rPr>
        <w:t>第</w:t>
      </w:r>
      <w:r w:rsidRPr="00BF42B7">
        <w:rPr>
          <w:rFonts w:eastAsia="楷体" w:hint="eastAsia"/>
          <w:lang w:val="en-GB"/>
        </w:rPr>
        <w:t>2</w:t>
      </w:r>
      <w:r w:rsidRPr="00BF42B7">
        <w:rPr>
          <w:rFonts w:eastAsia="楷体" w:hint="eastAsia"/>
          <w:lang w:val="en-GB"/>
        </w:rPr>
        <w:t>段</w:t>
      </w:r>
      <w:r w:rsidRPr="00BF42B7">
        <w:rPr>
          <w:rFonts w:eastAsia="楷体" w:hint="eastAsia"/>
          <w:spacing w:val="-50"/>
          <w:lang w:val="fr-CH"/>
        </w:rPr>
        <w:t>―</w:t>
      </w:r>
      <w:r w:rsidRPr="00BF42B7">
        <w:rPr>
          <w:rFonts w:eastAsia="楷体" w:hint="eastAsia"/>
          <w:lang w:val="fr-CH"/>
        </w:rPr>
        <w:t>―</w:t>
      </w:r>
      <w:r w:rsidRPr="00BF42B7">
        <w:rPr>
          <w:rFonts w:eastAsia="楷体" w:hint="eastAsia"/>
          <w:lang w:val="en-GB"/>
        </w:rPr>
        <w:t>各种形式</w:t>
      </w:r>
    </w:p>
    <w:p w:rsidR="008D7906" w:rsidRPr="00BF42B7" w:rsidRDefault="008D7906" w:rsidP="008D7906">
      <w:pPr>
        <w:pStyle w:val="SingleTxtGC"/>
      </w:pPr>
      <w:r w:rsidRPr="00BF42B7">
        <w:rPr>
          <w:rFonts w:hint="eastAsia"/>
        </w:rPr>
        <w:t xml:space="preserve">(22)  </w:t>
      </w:r>
      <w:r w:rsidRPr="00BF42B7">
        <w:rPr>
          <w:rFonts w:hint="eastAsia"/>
        </w:rPr>
        <w:t>结论草案</w:t>
      </w:r>
      <w:r w:rsidRPr="00BF42B7">
        <w:rPr>
          <w:rFonts w:hint="eastAsia"/>
        </w:rPr>
        <w:t>6</w:t>
      </w:r>
      <w:r w:rsidRPr="00BF42B7">
        <w:rPr>
          <w:rFonts w:hint="eastAsia"/>
        </w:rPr>
        <w:t>第</w:t>
      </w:r>
      <w:r w:rsidRPr="00BF42B7">
        <w:rPr>
          <w:rFonts w:hint="eastAsia"/>
        </w:rPr>
        <w:t>2</w:t>
      </w:r>
      <w:r w:rsidRPr="00BF42B7">
        <w:rPr>
          <w:rFonts w:hint="eastAsia"/>
        </w:rPr>
        <w:t>段的目的在于，承认第三十一条第三款</w:t>
      </w:r>
      <w:r w:rsidRPr="00BF42B7">
        <w:rPr>
          <w:rFonts w:hint="eastAsia"/>
        </w:rPr>
        <w:t>(a)</w:t>
      </w:r>
      <w:r w:rsidRPr="00BF42B7">
        <w:rPr>
          <w:rFonts w:hint="eastAsia"/>
        </w:rPr>
        <w:t>项和</w:t>
      </w:r>
      <w:r w:rsidRPr="00BF42B7">
        <w:rPr>
          <w:rFonts w:hint="eastAsia"/>
        </w:rPr>
        <w:t>(b)</w:t>
      </w:r>
      <w:r w:rsidRPr="00BF42B7">
        <w:rPr>
          <w:rFonts w:hint="eastAsia"/>
        </w:rPr>
        <w:t>项所称的嗣后协定和嗣后惯例可能具有各种形式。委员会已承认第三十一条第三款</w:t>
      </w:r>
      <w:r w:rsidRPr="00BF42B7">
        <w:rPr>
          <w:rFonts w:hint="eastAsia"/>
        </w:rPr>
        <w:t>(b)</w:t>
      </w:r>
      <w:r w:rsidRPr="00BF42B7">
        <w:rPr>
          <w:rFonts w:hint="eastAsia"/>
        </w:rPr>
        <w:t>项所称的嗣后惯例包括适用条约过程中任何可能有助于商定对该条约的解释的“行为”，包括某些情况下的不行为。</w:t>
      </w:r>
      <w:r w:rsidRPr="00BF42B7">
        <w:rPr>
          <w:color w:val="0000FF"/>
          <w:vertAlign w:val="superscript"/>
        </w:rPr>
        <w:footnoteReference w:id="613"/>
      </w:r>
      <w:r w:rsidRPr="00BF42B7">
        <w:rPr>
          <w:color w:val="0000FF"/>
          <w:vertAlign w:val="superscript"/>
        </w:rPr>
        <w:t xml:space="preserve"> </w:t>
      </w:r>
      <w:r w:rsidRPr="00BF42B7">
        <w:rPr>
          <w:rFonts w:hint="eastAsia"/>
        </w:rPr>
        <w:t>根据所涉条约的情况，这不仅包括对外行为，例如国际一级的正式行动、声明和投票，还包括国内的立法、行政和司法行为，甚至可能包括可归属于一个或多个缔约方并在该条约认为属于其适用形式范围内的非国家行为者的行为。</w:t>
      </w:r>
      <w:bookmarkStart w:id="147" w:name="_Ref461976041"/>
      <w:r w:rsidRPr="00BF42B7">
        <w:rPr>
          <w:color w:val="0000FF"/>
          <w:vertAlign w:val="superscript"/>
        </w:rPr>
        <w:footnoteReference w:id="614"/>
      </w:r>
      <w:bookmarkEnd w:id="147"/>
      <w:r w:rsidRPr="00BF42B7">
        <w:rPr>
          <w:color w:val="0000FF"/>
          <w:vertAlign w:val="superscript"/>
        </w:rPr>
        <w:t xml:space="preserve"> </w:t>
      </w:r>
      <w:r w:rsidRPr="00BF42B7">
        <w:rPr>
          <w:rFonts w:hint="eastAsia"/>
        </w:rPr>
        <w:t>因此，可能催生第三十一条第三款</w:t>
      </w:r>
      <w:r w:rsidRPr="00BF42B7">
        <w:rPr>
          <w:rFonts w:hint="eastAsia"/>
        </w:rPr>
        <w:t>(b)</w:t>
      </w:r>
      <w:r w:rsidRPr="00BF42B7">
        <w:rPr>
          <w:rFonts w:hint="eastAsia"/>
        </w:rPr>
        <w:t>项所称的嗣后惯例的个人行为无需满足任何特定正式标准。</w:t>
      </w:r>
      <w:r w:rsidRPr="00BF42B7">
        <w:rPr>
          <w:color w:val="0000FF"/>
          <w:vertAlign w:val="superscript"/>
        </w:rPr>
        <w:footnoteReference w:id="615"/>
      </w:r>
    </w:p>
    <w:p w:rsidR="008D7906" w:rsidRPr="00BF42B7" w:rsidRDefault="008D7906" w:rsidP="008D7906">
      <w:pPr>
        <w:pStyle w:val="SingleTxtGC"/>
      </w:pPr>
      <w:r w:rsidRPr="00BF42B7">
        <w:rPr>
          <w:rFonts w:hint="eastAsia"/>
        </w:rPr>
        <w:t xml:space="preserve">(23)  </w:t>
      </w:r>
      <w:r w:rsidRPr="00BF42B7">
        <w:rPr>
          <w:rFonts w:hint="eastAsia"/>
        </w:rPr>
        <w:t>国际一级的嗣后惯例不一定是联合行为。</w:t>
      </w:r>
      <w:r w:rsidRPr="00BF42B7">
        <w:rPr>
          <w:color w:val="0000FF"/>
          <w:vertAlign w:val="superscript"/>
        </w:rPr>
        <w:footnoteReference w:id="616"/>
      </w:r>
      <w:r w:rsidRPr="00BF42B7">
        <w:rPr>
          <w:color w:val="0000FF"/>
          <w:vertAlign w:val="superscript"/>
        </w:rPr>
        <w:t xml:space="preserve"> </w:t>
      </w:r>
      <w:r w:rsidRPr="00BF42B7">
        <w:rPr>
          <w:rFonts w:hint="eastAsia"/>
        </w:rPr>
        <w:t>各方有平行的行为即可。至于并行活动是否在实际上表达了某特定案件中对某项条约解释的共同理解</w:t>
      </w:r>
      <w:r w:rsidRPr="00BF42B7">
        <w:rPr>
          <w:rFonts w:hint="eastAsia"/>
        </w:rPr>
        <w:t>(</w:t>
      </w:r>
      <w:r w:rsidRPr="00BF42B7">
        <w:rPr>
          <w:rFonts w:hint="eastAsia"/>
        </w:rPr>
        <w:t>协定</w:t>
      </w:r>
      <w:r w:rsidRPr="00BF42B7">
        <w:rPr>
          <w:rFonts w:hint="eastAsia"/>
        </w:rPr>
        <w:t>)</w:t>
      </w:r>
      <w:r w:rsidRPr="00BF42B7">
        <w:rPr>
          <w:rFonts w:hint="eastAsia"/>
        </w:rPr>
        <w:t>，则是另一项单独的问题</w:t>
      </w:r>
      <w:r w:rsidRPr="00BF42B7">
        <w:rPr>
          <w:rFonts w:hint="eastAsia"/>
        </w:rPr>
        <w:t>(</w:t>
      </w:r>
      <w:r w:rsidRPr="00BF42B7">
        <w:rPr>
          <w:rFonts w:hint="eastAsia"/>
        </w:rPr>
        <w:t>见下文结论草案</w:t>
      </w:r>
      <w:r w:rsidRPr="00BF42B7">
        <w:rPr>
          <w:rFonts w:hint="eastAsia"/>
        </w:rPr>
        <w:t>10[9]</w:t>
      </w:r>
      <w:r w:rsidRPr="00BF42B7">
        <w:rPr>
          <w:rFonts w:hint="eastAsia"/>
        </w:rPr>
        <w:t>第</w:t>
      </w:r>
      <w:r w:rsidRPr="00BF42B7">
        <w:rPr>
          <w:rFonts w:hint="eastAsia"/>
        </w:rPr>
        <w:t>1</w:t>
      </w:r>
      <w:r w:rsidRPr="00BF42B7">
        <w:rPr>
          <w:rFonts w:hint="eastAsia"/>
        </w:rPr>
        <w:t>段</w:t>
      </w:r>
      <w:r w:rsidRPr="00BF42B7">
        <w:rPr>
          <w:rFonts w:hint="eastAsia"/>
        </w:rPr>
        <w:t>)</w:t>
      </w:r>
      <w:r w:rsidRPr="00BF42B7">
        <w:rPr>
          <w:rFonts w:hint="eastAsia"/>
        </w:rPr>
        <w:t>。</w:t>
      </w:r>
      <w:r w:rsidRPr="00BF42B7">
        <w:rPr>
          <w:color w:val="0000FF"/>
          <w:vertAlign w:val="superscript"/>
        </w:rPr>
        <w:footnoteReference w:id="617"/>
      </w:r>
      <w:r w:rsidRPr="00BF42B7">
        <w:rPr>
          <w:color w:val="0000FF"/>
          <w:vertAlign w:val="superscript"/>
        </w:rPr>
        <w:t xml:space="preserve"> </w:t>
      </w:r>
      <w:r w:rsidRPr="00BF42B7">
        <w:rPr>
          <w:rFonts w:hint="eastAsia"/>
        </w:rPr>
        <w:t>嗣后协定既见于有法律约束力的条约，亦见于谅解备忘录等没有约束力的文书。</w:t>
      </w:r>
      <w:r w:rsidRPr="00BF42B7">
        <w:rPr>
          <w:color w:val="0000FF"/>
          <w:vertAlign w:val="superscript"/>
        </w:rPr>
        <w:footnoteReference w:id="618"/>
      </w:r>
      <w:r w:rsidRPr="00BF42B7">
        <w:rPr>
          <w:color w:val="0000FF"/>
          <w:vertAlign w:val="superscript"/>
        </w:rPr>
        <w:t xml:space="preserve"> </w:t>
      </w:r>
      <w:r w:rsidRPr="00BF42B7">
        <w:rPr>
          <w:rFonts w:hint="eastAsia"/>
        </w:rPr>
        <w:t>嗣后协定还见于缔约国大会的某些决定</w:t>
      </w:r>
      <w:r w:rsidRPr="00BF42B7">
        <w:rPr>
          <w:rFonts w:hint="eastAsia"/>
        </w:rPr>
        <w:t>(</w:t>
      </w:r>
      <w:r w:rsidRPr="00BF42B7">
        <w:rPr>
          <w:rFonts w:hint="eastAsia"/>
        </w:rPr>
        <w:t>见下文结论草案</w:t>
      </w:r>
      <w:r w:rsidRPr="00BF42B7">
        <w:rPr>
          <w:rFonts w:hint="eastAsia"/>
        </w:rPr>
        <w:t>11[10]</w:t>
      </w:r>
      <w:r w:rsidRPr="00BF42B7">
        <w:rPr>
          <w:rFonts w:hint="eastAsia"/>
        </w:rPr>
        <w:t>，第</w:t>
      </w:r>
      <w:r w:rsidRPr="00BF42B7">
        <w:rPr>
          <w:rFonts w:hint="eastAsia"/>
        </w:rPr>
        <w:t>1</w:t>
      </w:r>
      <w:r w:rsidRPr="00BF42B7">
        <w:rPr>
          <w:rFonts w:hint="eastAsia"/>
        </w:rPr>
        <w:t>、第</w:t>
      </w:r>
      <w:r w:rsidRPr="00BF42B7">
        <w:rPr>
          <w:rFonts w:hint="eastAsia"/>
        </w:rPr>
        <w:t>2</w:t>
      </w:r>
      <w:r w:rsidRPr="00BF42B7">
        <w:rPr>
          <w:rFonts w:hint="eastAsia"/>
        </w:rPr>
        <w:t>和第</w:t>
      </w:r>
      <w:r w:rsidRPr="00BF42B7">
        <w:rPr>
          <w:rFonts w:hint="eastAsia"/>
        </w:rPr>
        <w:t>3</w:t>
      </w:r>
      <w:r w:rsidRPr="00BF42B7">
        <w:rPr>
          <w:rFonts w:hint="eastAsia"/>
        </w:rPr>
        <w:t>段</w:t>
      </w:r>
      <w:r w:rsidRPr="00BF42B7">
        <w:rPr>
          <w:rFonts w:hint="eastAsia"/>
        </w:rPr>
        <w:t>)</w:t>
      </w:r>
      <w:r w:rsidRPr="00BF42B7">
        <w:rPr>
          <w:rFonts w:hint="eastAsia"/>
        </w:rPr>
        <w:t>。</w:t>
      </w:r>
    </w:p>
    <w:p w:rsidR="008D7906" w:rsidRPr="00BF42B7" w:rsidRDefault="008D7906" w:rsidP="008D7906">
      <w:pPr>
        <w:pStyle w:val="H4GC"/>
        <w:rPr>
          <w:rFonts w:eastAsia="楷体"/>
          <w:lang w:val="en-GB"/>
        </w:rPr>
      </w:pPr>
      <w:r w:rsidRPr="00BF42B7">
        <w:rPr>
          <w:rFonts w:eastAsia="楷体" w:hint="eastAsia"/>
          <w:lang w:val="en-GB"/>
        </w:rPr>
        <w:tab/>
      </w:r>
      <w:r w:rsidRPr="00BF42B7">
        <w:rPr>
          <w:rFonts w:eastAsia="楷体" w:hint="eastAsia"/>
          <w:lang w:val="en-GB"/>
        </w:rPr>
        <w:tab/>
      </w:r>
      <w:r w:rsidRPr="00BF42B7">
        <w:rPr>
          <w:rFonts w:eastAsia="楷体" w:hint="eastAsia"/>
          <w:lang w:val="en-GB"/>
        </w:rPr>
        <w:t>第</w:t>
      </w:r>
      <w:r w:rsidRPr="00BF42B7">
        <w:rPr>
          <w:rFonts w:eastAsia="楷体" w:hint="eastAsia"/>
          <w:lang w:val="en-GB"/>
        </w:rPr>
        <w:t>3</w:t>
      </w:r>
      <w:r w:rsidRPr="00BF42B7">
        <w:rPr>
          <w:rFonts w:eastAsia="楷体" w:hint="eastAsia"/>
          <w:lang w:val="en-GB"/>
        </w:rPr>
        <w:t>段</w:t>
      </w:r>
      <w:r w:rsidRPr="00BF42B7">
        <w:rPr>
          <w:rFonts w:eastAsia="楷体" w:hint="eastAsia"/>
          <w:spacing w:val="-50"/>
          <w:lang w:val="fr-CH"/>
        </w:rPr>
        <w:t>―</w:t>
      </w:r>
      <w:r w:rsidRPr="00BF42B7">
        <w:rPr>
          <w:rFonts w:eastAsia="楷体" w:hint="eastAsia"/>
          <w:lang w:val="fr-CH"/>
        </w:rPr>
        <w:t>―</w:t>
      </w:r>
      <w:r w:rsidRPr="00BF42B7">
        <w:rPr>
          <w:rFonts w:eastAsia="楷体" w:hint="eastAsia"/>
          <w:lang w:val="en-GB"/>
        </w:rPr>
        <w:t>根据第三十二条识别嗣后惯例</w:t>
      </w:r>
    </w:p>
    <w:p w:rsidR="008D7906" w:rsidRPr="00BF42B7" w:rsidRDefault="008D7906" w:rsidP="008D7906">
      <w:pPr>
        <w:pStyle w:val="SingleTxtGC"/>
      </w:pPr>
      <w:r w:rsidRPr="00BF42B7">
        <w:rPr>
          <w:rFonts w:hint="eastAsia"/>
        </w:rPr>
        <w:t xml:space="preserve">(24)  </w:t>
      </w:r>
      <w:r w:rsidRPr="00BF42B7">
        <w:rPr>
          <w:rFonts w:hint="eastAsia"/>
        </w:rPr>
        <w:t>本结论草案第</w:t>
      </w:r>
      <w:r w:rsidRPr="00BF42B7">
        <w:rPr>
          <w:rFonts w:hint="eastAsia"/>
        </w:rPr>
        <w:t>3</w:t>
      </w:r>
      <w:r w:rsidRPr="00BF42B7">
        <w:rPr>
          <w:rFonts w:hint="eastAsia"/>
        </w:rPr>
        <w:t>段规定，根据第三十二条识别嗣后惯例时，解释者尤其须确定一个或多个缔约方的行为是否处在适用条约过程之中。</w:t>
      </w:r>
      <w:r w:rsidRPr="00BF42B7">
        <w:rPr>
          <w:color w:val="0000FF"/>
          <w:vertAlign w:val="superscript"/>
        </w:rPr>
        <w:footnoteReference w:id="619"/>
      </w:r>
      <w:r w:rsidRPr="00BF42B7">
        <w:rPr>
          <w:color w:val="0000FF"/>
          <w:vertAlign w:val="superscript"/>
        </w:rPr>
        <w:t xml:space="preserve"> </w:t>
      </w:r>
      <w:r w:rsidRPr="00BF42B7">
        <w:rPr>
          <w:rFonts w:hint="eastAsia"/>
        </w:rPr>
        <w:t>委员会决定在</w:t>
      </w:r>
      <w:r w:rsidRPr="00BF42B7">
        <w:rPr>
          <w:rFonts w:hint="eastAsia"/>
          <w:spacing w:val="-2"/>
        </w:rPr>
        <w:t>单独的一段中论述第三十二条之下的“其他嗣后惯例”</w:t>
      </w:r>
      <w:r w:rsidRPr="00BF42B7">
        <w:rPr>
          <w:rFonts w:hint="eastAsia"/>
          <w:spacing w:val="-2"/>
        </w:rPr>
        <w:t>(</w:t>
      </w:r>
      <w:r w:rsidRPr="00BF42B7">
        <w:rPr>
          <w:rFonts w:hint="eastAsia"/>
          <w:spacing w:val="-2"/>
        </w:rPr>
        <w:t>见结论草案</w:t>
      </w:r>
      <w:r w:rsidRPr="00BF42B7">
        <w:rPr>
          <w:rFonts w:hint="eastAsia"/>
          <w:spacing w:val="-2"/>
        </w:rPr>
        <w:t xml:space="preserve">4, </w:t>
      </w:r>
      <w:r w:rsidRPr="00BF42B7">
        <w:rPr>
          <w:rFonts w:hint="eastAsia"/>
          <w:spacing w:val="-2"/>
        </w:rPr>
        <w:t>第</w:t>
      </w:r>
      <w:r w:rsidRPr="00BF42B7">
        <w:rPr>
          <w:rFonts w:hint="eastAsia"/>
          <w:spacing w:val="-2"/>
        </w:rPr>
        <w:t>3</w:t>
      </w:r>
      <w:r w:rsidRPr="00BF42B7">
        <w:rPr>
          <w:rFonts w:hint="eastAsia"/>
          <w:spacing w:val="-2"/>
        </w:rPr>
        <w:t>段</w:t>
      </w:r>
      <w:r w:rsidRPr="00BF42B7">
        <w:rPr>
          <w:color w:val="0000FF"/>
          <w:spacing w:val="-2"/>
          <w:vertAlign w:val="superscript"/>
        </w:rPr>
        <w:footnoteReference w:id="620"/>
      </w:r>
      <w:r w:rsidRPr="00BF42B7">
        <w:rPr>
          <w:rFonts w:hint="eastAsia"/>
          <w:spacing w:val="-2"/>
        </w:rPr>
        <w:t>)</w:t>
      </w:r>
      <w:r w:rsidRPr="00BF42B7">
        <w:rPr>
          <w:rFonts w:hint="eastAsia"/>
          <w:spacing w:val="-2"/>
        </w:rPr>
        <w:t>，</w:t>
      </w:r>
      <w:r w:rsidRPr="00BF42B7">
        <w:rPr>
          <w:rFonts w:hint="eastAsia"/>
        </w:rPr>
        <w:t>是为了分析上清晰起见</w:t>
      </w:r>
      <w:r w:rsidRPr="00BF42B7">
        <w:rPr>
          <w:rFonts w:hint="eastAsia"/>
        </w:rPr>
        <w:t>(</w:t>
      </w:r>
      <w:r w:rsidRPr="00BF42B7">
        <w:rPr>
          <w:rFonts w:hint="eastAsia"/>
        </w:rPr>
        <w:t>见下文结论草案</w:t>
      </w:r>
      <w:r w:rsidRPr="00BF42B7">
        <w:rPr>
          <w:rFonts w:hint="eastAsia"/>
        </w:rPr>
        <w:t>7</w:t>
      </w:r>
      <w:r w:rsidRPr="00BF42B7">
        <w:rPr>
          <w:rFonts w:hint="eastAsia"/>
        </w:rPr>
        <w:t>第</w:t>
      </w:r>
      <w:r w:rsidRPr="00BF42B7">
        <w:rPr>
          <w:rFonts w:hint="eastAsia"/>
        </w:rPr>
        <w:t>2</w:t>
      </w:r>
      <w:r w:rsidRPr="00BF42B7">
        <w:rPr>
          <w:rFonts w:hint="eastAsia"/>
        </w:rPr>
        <w:t>段和结论草案</w:t>
      </w:r>
      <w:r w:rsidRPr="00BF42B7">
        <w:t>9</w:t>
      </w:r>
      <w:r w:rsidRPr="00BF42B7">
        <w:rPr>
          <w:rFonts w:hint="eastAsia"/>
        </w:rPr>
        <w:t>[8]</w:t>
      </w:r>
      <w:r w:rsidRPr="00BF42B7">
        <w:rPr>
          <w:rFonts w:hint="eastAsia"/>
        </w:rPr>
        <w:t>第</w:t>
      </w:r>
      <w:r w:rsidRPr="00BF42B7">
        <w:rPr>
          <w:rFonts w:hint="eastAsia"/>
        </w:rPr>
        <w:t>3</w:t>
      </w:r>
      <w:r w:rsidRPr="00BF42B7">
        <w:rPr>
          <w:rFonts w:hint="eastAsia"/>
        </w:rPr>
        <w:t>段</w:t>
      </w:r>
      <w:r w:rsidRPr="00BF42B7">
        <w:rPr>
          <w:rFonts w:hint="eastAsia"/>
        </w:rPr>
        <w:t>)</w:t>
      </w:r>
      <w:r w:rsidRPr="00BF42B7">
        <w:rPr>
          <w:rFonts w:hint="eastAsia"/>
        </w:rPr>
        <w:t>，但并不因此对解释过程的整体性提出质疑。识别第三十一条第三款</w:t>
      </w:r>
      <w:r w:rsidRPr="00BF42B7">
        <w:rPr>
          <w:rFonts w:hint="eastAsia"/>
        </w:rPr>
        <w:t>(a)</w:t>
      </w:r>
      <w:r w:rsidRPr="00BF42B7">
        <w:rPr>
          <w:rFonts w:hint="eastAsia"/>
        </w:rPr>
        <w:t>项和</w:t>
      </w:r>
      <w:r w:rsidRPr="00BF42B7">
        <w:rPr>
          <w:rFonts w:hint="eastAsia"/>
        </w:rPr>
        <w:t>(b)</w:t>
      </w:r>
      <w:r w:rsidRPr="00BF42B7">
        <w:rPr>
          <w:rFonts w:hint="eastAsia"/>
        </w:rPr>
        <w:t>项所称的嗣后协定和嗣后惯例的有关考虑因素亦比照适用于识别第三十二条之下的“其他嗣后惯例”。因此，某条约非全体缔约方之间就该条约的解释或适用达成的协定是第三十二条之下的嗣后惯例的一种形式。</w:t>
      </w:r>
    </w:p>
    <w:p w:rsidR="008D7906" w:rsidRPr="00BF42B7" w:rsidRDefault="008D7906" w:rsidP="008D7906">
      <w:pPr>
        <w:pStyle w:val="SingleTxtGC"/>
      </w:pPr>
      <w:r w:rsidRPr="00BF42B7">
        <w:t xml:space="preserve">(25) </w:t>
      </w:r>
      <w:r w:rsidRPr="00BF42B7">
        <w:rPr>
          <w:rFonts w:hint="eastAsia"/>
        </w:rPr>
        <w:t xml:space="preserve"> </w:t>
      </w:r>
      <w:r w:rsidRPr="00BF42B7">
        <w:rPr>
          <w:rFonts w:hint="eastAsia"/>
        </w:rPr>
        <w:t>一个实际安排的例子是美利坚合众国运输部与墨西哥合众国通信和运输部</w:t>
      </w:r>
      <w:r w:rsidRPr="00BF42B7">
        <w:rPr>
          <w:rFonts w:hint="eastAsia"/>
        </w:rPr>
        <w:t>2011</w:t>
      </w:r>
      <w:r w:rsidRPr="00BF42B7">
        <w:rPr>
          <w:rFonts w:hint="eastAsia"/>
        </w:rPr>
        <w:t>年</w:t>
      </w:r>
      <w:r w:rsidRPr="00BF42B7">
        <w:rPr>
          <w:rFonts w:hint="eastAsia"/>
        </w:rPr>
        <w:t>7</w:t>
      </w:r>
      <w:r w:rsidRPr="00BF42B7">
        <w:rPr>
          <w:rFonts w:hint="eastAsia"/>
        </w:rPr>
        <w:t>月</w:t>
      </w:r>
      <w:r w:rsidRPr="00BF42B7">
        <w:rPr>
          <w:rFonts w:hint="eastAsia"/>
        </w:rPr>
        <w:t>6</w:t>
      </w:r>
      <w:r w:rsidRPr="00BF42B7">
        <w:rPr>
          <w:rFonts w:hint="eastAsia"/>
        </w:rPr>
        <w:t>日签订的关于国际跨境卡车货运服务的谅解备忘录。</w:t>
      </w:r>
      <w:r w:rsidRPr="00BF42B7">
        <w:rPr>
          <w:color w:val="0000FF"/>
          <w:vertAlign w:val="superscript"/>
        </w:rPr>
        <w:footnoteReference w:id="621"/>
      </w:r>
      <w:r w:rsidRPr="00BF42B7">
        <w:rPr>
          <w:color w:val="0000FF"/>
          <w:vertAlign w:val="superscript"/>
        </w:rPr>
        <w:t xml:space="preserve"> </w:t>
      </w:r>
      <w:r w:rsidRPr="00BF42B7">
        <w:rPr>
          <w:rFonts w:hint="eastAsia"/>
        </w:rPr>
        <w:t>谅解备忘录并未提及《北美自由贸易协定》</w:t>
      </w:r>
      <w:r w:rsidRPr="00BF42B7">
        <w:rPr>
          <w:rFonts w:hint="eastAsia"/>
        </w:rPr>
        <w:t>(</w:t>
      </w:r>
      <w:r w:rsidRPr="00BF42B7">
        <w:rPr>
          <w:rFonts w:hint="eastAsia"/>
        </w:rPr>
        <w:t>《北美自贸协定》</w:t>
      </w:r>
      <w:r w:rsidRPr="00BF42B7">
        <w:rPr>
          <w:rFonts w:hint="eastAsia"/>
        </w:rPr>
        <w:t>)</w:t>
      </w:r>
      <w:r w:rsidRPr="00BF42B7">
        <w:rPr>
          <w:rFonts w:hint="eastAsia"/>
        </w:rPr>
        <w:t>的第三方加拿大，而是指出，备忘录“不损害美国和墨西哥在《北美自贸协定》下的权利和义务”。这些情况表明，该谅解备忘录不声称构成对《北美自贸协定》的第</w:t>
      </w:r>
      <w:r w:rsidRPr="00BF42B7">
        <w:rPr>
          <w:rFonts w:hint="eastAsia"/>
        </w:rPr>
        <w:t>31</w:t>
      </w:r>
      <w:r w:rsidRPr="00BF42B7">
        <w:rPr>
          <w:rFonts w:hint="eastAsia"/>
        </w:rPr>
        <w:t>条第</w:t>
      </w:r>
      <w:r w:rsidRPr="00BF42B7">
        <w:rPr>
          <w:rFonts w:hint="eastAsia"/>
        </w:rPr>
        <w:t>3</w:t>
      </w:r>
      <w:r w:rsidRPr="00BF42B7">
        <w:rPr>
          <w:rFonts w:hint="eastAsia"/>
        </w:rPr>
        <w:t>款</w:t>
      </w:r>
      <w:r w:rsidRPr="00BF42B7">
        <w:rPr>
          <w:rFonts w:hint="eastAsia"/>
        </w:rPr>
        <w:t>(a)</w:t>
      </w:r>
      <w:r w:rsidRPr="00BF42B7">
        <w:rPr>
          <w:rFonts w:hint="eastAsia"/>
        </w:rPr>
        <w:t>或</w:t>
      </w:r>
      <w:r w:rsidRPr="00BF42B7">
        <w:rPr>
          <w:rFonts w:hint="eastAsia"/>
        </w:rPr>
        <w:t>(b)</w:t>
      </w:r>
      <w:r w:rsidRPr="00BF42B7">
        <w:rPr>
          <w:rFonts w:hint="eastAsia"/>
        </w:rPr>
        <w:t>项意义上的解释协议，而是仅限于作为有限数目的当事方之间的实际安排，其他当事方或司法及准司法机构是可以对这一安排提出质疑的。</w:t>
      </w:r>
    </w:p>
    <w:p w:rsidR="008D7906" w:rsidRPr="00BF42B7" w:rsidRDefault="008D7906" w:rsidP="008D7906">
      <w:pPr>
        <w:pStyle w:val="H23GC"/>
        <w:ind w:left="1554"/>
      </w:pPr>
      <w:r w:rsidRPr="00BF42B7">
        <w:rPr>
          <w:rFonts w:hint="eastAsia"/>
        </w:rPr>
        <w:tab/>
      </w:r>
      <w:r w:rsidRPr="00BF42B7">
        <w:rPr>
          <w:rFonts w:hint="eastAsia"/>
        </w:rPr>
        <w:tab/>
      </w:r>
      <w:r w:rsidRPr="00BF42B7">
        <w:rPr>
          <w:rFonts w:hint="eastAsia"/>
        </w:rPr>
        <w:t>结论</w:t>
      </w:r>
      <w:r w:rsidRPr="00BF42B7">
        <w:rPr>
          <w:rFonts w:hint="eastAsia"/>
        </w:rPr>
        <w:t>7</w:t>
      </w:r>
      <w:r w:rsidRPr="00BF42B7">
        <w:br/>
      </w:r>
      <w:r w:rsidRPr="00BF42B7">
        <w:rPr>
          <w:rFonts w:hint="eastAsia"/>
        </w:rPr>
        <w:t>嗣后协定和嗣后惯例可能对解释产生的影响</w:t>
      </w:r>
    </w:p>
    <w:p w:rsidR="008D7906" w:rsidRPr="00BF42B7" w:rsidRDefault="008D7906" w:rsidP="008D7906">
      <w:pPr>
        <w:pStyle w:val="SingleTxtGC"/>
        <w:ind w:left="1554"/>
      </w:pPr>
      <w:r w:rsidRPr="00BF42B7">
        <w:t>1.</w:t>
      </w:r>
      <w:r w:rsidRPr="00BF42B7">
        <w:rPr>
          <w:rFonts w:hint="eastAsia"/>
        </w:rPr>
        <w:t xml:space="preserve">  </w:t>
      </w:r>
      <w:r w:rsidRPr="00BF42B7">
        <w:t>第三十一条第三款所称的嗣后协定和嗣后惯例经与其他解释资料互动，有助于澄清条约的含义。这可能导致可能的解释范围、包括条约给予缔约方行使自由裁量权的任何范围变窄、变宽或受到另外的影响。</w:t>
      </w:r>
    </w:p>
    <w:p w:rsidR="008D7906" w:rsidRPr="00BF42B7" w:rsidRDefault="008D7906" w:rsidP="008D7906">
      <w:pPr>
        <w:pStyle w:val="SingleTxtGC"/>
        <w:ind w:left="1554"/>
      </w:pPr>
      <w:r w:rsidRPr="00BF42B7">
        <w:t>2.</w:t>
      </w:r>
      <w:r w:rsidRPr="00BF42B7">
        <w:rPr>
          <w:rFonts w:hint="eastAsia"/>
        </w:rPr>
        <w:t xml:space="preserve">  </w:t>
      </w:r>
      <w:r w:rsidRPr="00BF42B7">
        <w:t>根据第三十二条确定的嗣后惯例也能有助于澄清条约的含义。</w:t>
      </w:r>
    </w:p>
    <w:p w:rsidR="008D7906" w:rsidRPr="00BF42B7" w:rsidRDefault="008D7906" w:rsidP="008D7906">
      <w:pPr>
        <w:pStyle w:val="SingleTxtGC"/>
        <w:ind w:left="1554"/>
      </w:pPr>
      <w:r w:rsidRPr="00BF42B7">
        <w:t>3.</w:t>
      </w:r>
      <w:r w:rsidRPr="00BF42B7">
        <w:rPr>
          <w:rFonts w:hint="eastAsia"/>
        </w:rPr>
        <w:t xml:space="preserve">  </w:t>
      </w:r>
      <w:r w:rsidRPr="00BF42B7">
        <w:rPr>
          <w:rFonts w:hint="eastAsia"/>
        </w:rPr>
        <w:t>可以推定，条约缔约方嗣后达成协定或在适用条约方面采用一种惯例，其用意是为了解释条约，而不是修正或修改条约。缔约方通过嗣后惯例修正或修改条约的可能性尚未得到普遍认可。本条结论草案不影响《维也纳条约法公约》和习惯国际法关于修正或修改条约的规则</w:t>
      </w:r>
      <w:r w:rsidRPr="00BF42B7">
        <w:t>。</w:t>
      </w:r>
    </w:p>
    <w:p w:rsidR="008D7906" w:rsidRPr="00BF42B7" w:rsidRDefault="008D7906" w:rsidP="008D7906">
      <w:pPr>
        <w:pStyle w:val="H23GC"/>
      </w:pPr>
      <w:r w:rsidRPr="00BF42B7">
        <w:rPr>
          <w:rFonts w:hint="eastAsia"/>
        </w:rPr>
        <w:tab/>
      </w:r>
      <w:r w:rsidRPr="00BF42B7">
        <w:rPr>
          <w:rFonts w:hint="eastAsia"/>
        </w:rPr>
        <w:tab/>
      </w:r>
      <w:r w:rsidRPr="00BF42B7">
        <w:t>评注</w:t>
      </w:r>
    </w:p>
    <w:p w:rsidR="008D7906" w:rsidRPr="00BF42B7" w:rsidRDefault="008D7906" w:rsidP="008D7906">
      <w:pPr>
        <w:pStyle w:val="H4GC"/>
        <w:rPr>
          <w:rFonts w:eastAsia="楷体"/>
          <w:lang w:val="en-GB"/>
        </w:rPr>
      </w:pPr>
      <w:r w:rsidRPr="00BF42B7">
        <w:rPr>
          <w:rFonts w:eastAsia="楷体" w:hint="eastAsia"/>
          <w:lang w:val="en-GB"/>
        </w:rPr>
        <w:tab/>
      </w:r>
      <w:r w:rsidRPr="00BF42B7">
        <w:rPr>
          <w:rFonts w:eastAsia="楷体" w:hint="eastAsia"/>
          <w:lang w:val="en-GB"/>
        </w:rPr>
        <w:tab/>
      </w:r>
      <w:r w:rsidRPr="00BF42B7">
        <w:rPr>
          <w:rFonts w:eastAsia="楷体" w:hint="eastAsia"/>
          <w:lang w:val="en-GB"/>
        </w:rPr>
        <w:t>第</w:t>
      </w:r>
      <w:r w:rsidRPr="00BF42B7">
        <w:rPr>
          <w:rFonts w:eastAsia="楷体" w:hint="eastAsia"/>
          <w:lang w:val="en-GB"/>
        </w:rPr>
        <w:t>1</w:t>
      </w:r>
      <w:r w:rsidRPr="00BF42B7">
        <w:rPr>
          <w:rFonts w:eastAsia="楷体" w:hint="eastAsia"/>
          <w:lang w:val="en-GB"/>
        </w:rPr>
        <w:t>段第一句</w:t>
      </w:r>
      <w:r w:rsidRPr="00BF42B7">
        <w:rPr>
          <w:rFonts w:eastAsia="楷体" w:hint="eastAsia"/>
          <w:spacing w:val="-50"/>
          <w:lang w:val="fr-CH"/>
        </w:rPr>
        <w:t>―</w:t>
      </w:r>
      <w:r w:rsidRPr="00BF42B7">
        <w:rPr>
          <w:rFonts w:eastAsia="楷体" w:hint="eastAsia"/>
          <w:lang w:val="fr-CH"/>
        </w:rPr>
        <w:t>―</w:t>
      </w:r>
      <w:r w:rsidRPr="00BF42B7">
        <w:rPr>
          <w:rFonts w:eastAsia="楷体" w:hint="eastAsia"/>
          <w:lang w:val="en-GB"/>
        </w:rPr>
        <w:t>澄清条约的含义</w:t>
      </w:r>
    </w:p>
    <w:p w:rsidR="008D7906" w:rsidRPr="00BF42B7" w:rsidRDefault="008D7906" w:rsidP="008D7906">
      <w:pPr>
        <w:pStyle w:val="SingleTxtGC"/>
      </w:pPr>
      <w:r w:rsidRPr="00BF42B7">
        <w:t xml:space="preserve">(1)  </w:t>
      </w:r>
      <w:r w:rsidRPr="00BF42B7">
        <w:t>结论草案</w:t>
      </w:r>
      <w:r w:rsidRPr="00BF42B7">
        <w:t>7</w:t>
      </w:r>
      <w:r w:rsidRPr="00BF42B7">
        <w:t>涉及嗣后协定和嗣后惯例可能对条约解释产生的影响。旨在说明嗣后协定和嗣后惯例可以如何有助于澄清条约的含义。第</w:t>
      </w:r>
      <w:r w:rsidRPr="00BF42B7">
        <w:t>1</w:t>
      </w:r>
      <w:r w:rsidRPr="00BF42B7">
        <w:t>段强调嗣后协定和嗣后惯例必须与其他解释资料互动</w:t>
      </w:r>
      <w:r w:rsidRPr="00BF42B7">
        <w:t>(</w:t>
      </w:r>
      <w:r w:rsidRPr="00BF42B7">
        <w:t>见结论草案</w:t>
      </w:r>
      <w:r w:rsidRPr="00BF42B7">
        <w:t>2[1]</w:t>
      </w:r>
      <w:r w:rsidRPr="00BF42B7">
        <w:rPr>
          <w:rFonts w:hint="eastAsia"/>
        </w:rPr>
        <w:t>，</w:t>
      </w:r>
      <w:r w:rsidRPr="00BF42B7">
        <w:t>第</w:t>
      </w:r>
      <w:r w:rsidRPr="00BF42B7">
        <w:t>5</w:t>
      </w:r>
      <w:r w:rsidRPr="00BF42B7">
        <w:t>段</w:t>
      </w:r>
      <w:r w:rsidRPr="00BF42B7">
        <w:t>)</w:t>
      </w:r>
      <w:r w:rsidRPr="00BF42B7">
        <w:t>。</w:t>
      </w:r>
      <w:r w:rsidRPr="00BF42B7">
        <w:rPr>
          <w:color w:val="0000FF"/>
          <w:vertAlign w:val="superscript"/>
        </w:rPr>
        <w:footnoteReference w:id="622"/>
      </w:r>
      <w:r w:rsidRPr="00BF42B7">
        <w:rPr>
          <w:color w:val="0000FF"/>
          <w:vertAlign w:val="superscript"/>
        </w:rPr>
        <w:t xml:space="preserve"> </w:t>
      </w:r>
      <w:r w:rsidRPr="00BF42B7">
        <w:t>因此，它们本身未必具有决定性。</w:t>
      </w:r>
    </w:p>
    <w:p w:rsidR="008D7906" w:rsidRPr="00BF42B7" w:rsidRDefault="008D7906" w:rsidP="008D7906">
      <w:pPr>
        <w:pStyle w:val="SingleTxtGC"/>
      </w:pPr>
      <w:r w:rsidRPr="00BF42B7">
        <w:t xml:space="preserve">(2)  </w:t>
      </w:r>
      <w:r w:rsidRPr="00BF42B7">
        <w:t>嗣后协定和嗣后惯例与所有解释资料一样，可能对条约解释这一互动过程产生各种影响，这一过程包括在任何具体案件中，适当强调</w:t>
      </w:r>
      <w:r w:rsidRPr="00BF42B7">
        <w:rPr>
          <w:rFonts w:hint="eastAsia"/>
        </w:rPr>
        <w:t>“</w:t>
      </w:r>
      <w:r w:rsidRPr="00BF42B7">
        <w:t>单一的综合行动</w:t>
      </w:r>
      <w:r w:rsidRPr="00BF42B7">
        <w:rPr>
          <w:rFonts w:hint="eastAsia"/>
        </w:rPr>
        <w:t>”</w:t>
      </w:r>
      <w:r w:rsidRPr="00BF42B7">
        <w:t>中的各种解释资料。</w:t>
      </w:r>
      <w:r w:rsidRPr="00BF42B7">
        <w:rPr>
          <w:color w:val="0000FF"/>
          <w:vertAlign w:val="superscript"/>
        </w:rPr>
        <w:footnoteReference w:id="623"/>
      </w:r>
      <w:r w:rsidRPr="00BF42B7">
        <w:rPr>
          <w:color w:val="0000FF"/>
          <w:vertAlign w:val="superscript"/>
        </w:rPr>
        <w:t xml:space="preserve"> </w:t>
      </w:r>
      <w:r w:rsidRPr="00BF42B7">
        <w:t>因此，考虑第三十一条第三款和第三十二条所指的嗣后协定和嗣后惯例可以通过缩小</w:t>
      </w:r>
      <w:r w:rsidRPr="00BF42B7">
        <w:t>(</w:t>
      </w:r>
      <w:r w:rsidRPr="00BF42B7">
        <w:t>具体说明</w:t>
      </w:r>
      <w:r w:rsidRPr="00BF42B7">
        <w:t>)</w:t>
      </w:r>
      <w:r w:rsidRPr="00BF42B7">
        <w:t>某个术语或条款的可能含义，或整个条约的范围</w:t>
      </w:r>
      <w:r w:rsidRPr="00BF42B7">
        <w:t>(</w:t>
      </w:r>
      <w:r w:rsidRPr="00BF42B7">
        <w:t>见下文第</w:t>
      </w:r>
      <w:r w:rsidRPr="00BF42B7">
        <w:rPr>
          <w:rFonts w:hint="eastAsia"/>
        </w:rPr>
        <w:t>(</w:t>
      </w:r>
      <w:r w:rsidRPr="00BF42B7">
        <w:t>4</w:t>
      </w:r>
      <w:r w:rsidRPr="00BF42B7">
        <w:rPr>
          <w:rFonts w:hint="eastAsia"/>
        </w:rPr>
        <w:t>)</w:t>
      </w:r>
      <w:r w:rsidRPr="00BF42B7">
        <w:t>、</w:t>
      </w:r>
      <w:r w:rsidRPr="00BF42B7">
        <w:rPr>
          <w:rFonts w:hint="eastAsia"/>
        </w:rPr>
        <w:t>第</w:t>
      </w:r>
      <w:r w:rsidRPr="00BF42B7">
        <w:rPr>
          <w:rFonts w:hint="eastAsia"/>
        </w:rPr>
        <w:t>(</w:t>
      </w:r>
      <w:r w:rsidRPr="00BF42B7">
        <w:t>6</w:t>
      </w:r>
      <w:r w:rsidRPr="00BF42B7">
        <w:rPr>
          <w:rFonts w:hint="eastAsia"/>
        </w:rPr>
        <w:t>)</w:t>
      </w:r>
      <w:r w:rsidRPr="00BF42B7">
        <w:rPr>
          <w:rFonts w:hint="eastAsia"/>
        </w:rPr>
        <w:t>、第</w:t>
      </w:r>
      <w:r w:rsidRPr="00BF42B7">
        <w:rPr>
          <w:rFonts w:hint="eastAsia"/>
        </w:rPr>
        <w:t>(</w:t>
      </w:r>
      <w:r w:rsidRPr="00BF42B7">
        <w:t>7)</w:t>
      </w:r>
      <w:r w:rsidRPr="00BF42B7">
        <w:t>、</w:t>
      </w:r>
      <w:r w:rsidRPr="00BF42B7">
        <w:rPr>
          <w:rFonts w:hint="eastAsia"/>
        </w:rPr>
        <w:t>第</w:t>
      </w:r>
      <w:r w:rsidRPr="00BF42B7">
        <w:rPr>
          <w:rFonts w:hint="eastAsia"/>
        </w:rPr>
        <w:t>(</w:t>
      </w:r>
      <w:r w:rsidRPr="00BF42B7">
        <w:t>10</w:t>
      </w:r>
      <w:r w:rsidRPr="00BF42B7">
        <w:rPr>
          <w:rFonts w:hint="eastAsia"/>
        </w:rPr>
        <w:t>)</w:t>
      </w:r>
      <w:r w:rsidRPr="00BF42B7">
        <w:t>和</w:t>
      </w:r>
      <w:r w:rsidRPr="00BF42B7">
        <w:rPr>
          <w:rFonts w:hint="eastAsia"/>
        </w:rPr>
        <w:t>第</w:t>
      </w:r>
      <w:r w:rsidRPr="00BF42B7">
        <w:rPr>
          <w:rFonts w:hint="eastAsia"/>
        </w:rPr>
        <w:t>(</w:t>
      </w:r>
      <w:r w:rsidRPr="00BF42B7">
        <w:t>11</w:t>
      </w:r>
      <w:r w:rsidRPr="00BF42B7">
        <w:rPr>
          <w:rFonts w:hint="eastAsia"/>
        </w:rPr>
        <w:t>)</w:t>
      </w:r>
      <w:r w:rsidRPr="00BF42B7">
        <w:t>段</w:t>
      </w:r>
      <w:r w:rsidRPr="00BF42B7">
        <w:rPr>
          <w:rFonts w:hint="eastAsia"/>
        </w:rPr>
        <w:t>)</w:t>
      </w:r>
      <w:r w:rsidRPr="00BF42B7">
        <w:t>，帮助澄清条约的含义。</w:t>
      </w:r>
      <w:r w:rsidRPr="00BF42B7">
        <w:rPr>
          <w:color w:val="0000FF"/>
          <w:vertAlign w:val="superscript"/>
        </w:rPr>
        <w:footnoteReference w:id="624"/>
      </w:r>
      <w:r w:rsidRPr="00BF42B7">
        <w:rPr>
          <w:color w:val="0000FF"/>
          <w:vertAlign w:val="superscript"/>
        </w:rPr>
        <w:t xml:space="preserve"> </w:t>
      </w:r>
      <w:r w:rsidRPr="00BF42B7">
        <w:t>另一方面，嗣后协定和嗣后惯例也可以通过证实更广义的解释，帮助澄清条约的含义。最后，它们有助于理解缔约方可作出的可能解释的范围，包括缔约方根据条约行使酌处权的范围</w:t>
      </w:r>
      <w:r w:rsidRPr="00BF42B7">
        <w:t>(</w:t>
      </w:r>
      <w:r w:rsidRPr="00BF42B7">
        <w:t>见下文第</w:t>
      </w:r>
      <w:r w:rsidRPr="00BF42B7">
        <w:rPr>
          <w:rFonts w:hint="eastAsia"/>
        </w:rPr>
        <w:t>(</w:t>
      </w:r>
      <w:r w:rsidRPr="00BF42B7">
        <w:t>12</w:t>
      </w:r>
      <w:r w:rsidRPr="00BF42B7">
        <w:rPr>
          <w:rFonts w:hint="eastAsia"/>
        </w:rPr>
        <w:t>)</w:t>
      </w:r>
      <w:r w:rsidRPr="00BF42B7">
        <w:rPr>
          <w:rFonts w:hint="eastAsia"/>
        </w:rPr>
        <w:t>至</w:t>
      </w:r>
      <w:r w:rsidRPr="00BF42B7">
        <w:rPr>
          <w:rFonts w:hint="eastAsia"/>
        </w:rPr>
        <w:t>(</w:t>
      </w:r>
      <w:r w:rsidRPr="00BF42B7">
        <w:t>15</w:t>
      </w:r>
      <w:r w:rsidRPr="00BF42B7">
        <w:rPr>
          <w:rFonts w:hint="eastAsia"/>
        </w:rPr>
        <w:t>)</w:t>
      </w:r>
      <w:r w:rsidRPr="00BF42B7">
        <w:t>段</w:t>
      </w:r>
      <w:r w:rsidRPr="00BF42B7">
        <w:t>)</w:t>
      </w:r>
      <w:r w:rsidRPr="00BF42B7">
        <w:t>。</w:t>
      </w:r>
    </w:p>
    <w:p w:rsidR="008D7906" w:rsidRPr="00BF42B7" w:rsidRDefault="008D7906" w:rsidP="008D7906">
      <w:pPr>
        <w:pStyle w:val="SingleTxtGC"/>
      </w:pPr>
      <w:r w:rsidRPr="00BF42B7">
        <w:t xml:space="preserve">(3)  </w:t>
      </w:r>
      <w:r w:rsidRPr="00BF42B7">
        <w:t>国际法院和仲裁法庭在具体案件中，首先要确定条约术语的</w:t>
      </w:r>
      <w:r w:rsidRPr="00BF42B7">
        <w:rPr>
          <w:rFonts w:hint="eastAsia"/>
        </w:rPr>
        <w:t>“</w:t>
      </w:r>
      <w:r w:rsidRPr="00BF42B7">
        <w:t>通常含义</w:t>
      </w:r>
      <w:r w:rsidRPr="00BF42B7">
        <w:rPr>
          <w:rFonts w:hint="eastAsia"/>
        </w:rPr>
        <w:t>”</w:t>
      </w:r>
      <w:r w:rsidRPr="00BF42B7">
        <w:t>。</w:t>
      </w:r>
      <w:r w:rsidRPr="00BF42B7">
        <w:rPr>
          <w:color w:val="0000FF"/>
          <w:vertAlign w:val="superscript"/>
        </w:rPr>
        <w:footnoteReference w:id="625"/>
      </w:r>
      <w:r w:rsidRPr="00BF42B7">
        <w:rPr>
          <w:color w:val="0000FF"/>
          <w:vertAlign w:val="superscript"/>
        </w:rPr>
        <w:t xml:space="preserve"> </w:t>
      </w:r>
      <w:r w:rsidRPr="00BF42B7">
        <w:t>法院大多在审理的稍后阶段，即考虑某项行为是否证实或修改了最初对通常含义的解释</w:t>
      </w:r>
      <w:r w:rsidRPr="00BF42B7">
        <w:t>(</w:t>
      </w:r>
      <w:r w:rsidRPr="00BF42B7">
        <w:t>或通过其他解释资料</w:t>
      </w:r>
      <w:r w:rsidRPr="00BF42B7">
        <w:t>)</w:t>
      </w:r>
      <w:r w:rsidRPr="00BF42B7">
        <w:t>得出的结果时，才考虑嗣后协定和嗣后惯例。</w:t>
      </w:r>
      <w:r w:rsidRPr="00BF42B7">
        <w:rPr>
          <w:color w:val="0000FF"/>
          <w:vertAlign w:val="superscript"/>
        </w:rPr>
        <w:footnoteReference w:id="626"/>
      </w:r>
      <w:r w:rsidRPr="00BF42B7">
        <w:rPr>
          <w:color w:val="0000FF"/>
          <w:vertAlign w:val="superscript"/>
        </w:rPr>
        <w:t xml:space="preserve"> </w:t>
      </w:r>
      <w:r w:rsidRPr="00BF42B7">
        <w:t>如果缔约方不想表达术语的通常含义，而想表达第三十一条第四款意义下的特殊含义，那么嗣后协定和嗣后惯例可能</w:t>
      </w:r>
      <w:r w:rsidRPr="00BF42B7">
        <w:rPr>
          <w:rFonts w:hint="eastAsia"/>
        </w:rPr>
        <w:t>说明</w:t>
      </w:r>
      <w:r w:rsidRPr="00BF42B7">
        <w:t>该特殊含义。以下案例</w:t>
      </w:r>
      <w:r w:rsidRPr="00BF42B7">
        <w:rPr>
          <w:color w:val="0000FF"/>
          <w:vertAlign w:val="superscript"/>
        </w:rPr>
        <w:footnoteReference w:id="627"/>
      </w:r>
      <w:r w:rsidRPr="00BF42B7">
        <w:rPr>
          <w:color w:val="0000FF"/>
          <w:vertAlign w:val="superscript"/>
        </w:rPr>
        <w:t xml:space="preserve"> </w:t>
      </w:r>
      <w:r w:rsidRPr="00BF42B7">
        <w:t>显示了嗣后协定和嗣后惯例作为解释资料，可能如何在解释过程中通过与其他资料的互动，有助于澄清条约的含义。</w:t>
      </w:r>
    </w:p>
    <w:p w:rsidR="008D7906" w:rsidRPr="00BF42B7" w:rsidRDefault="008D7906" w:rsidP="008D7906">
      <w:pPr>
        <w:pStyle w:val="SingleTxtGC"/>
      </w:pPr>
      <w:r w:rsidRPr="00BF42B7">
        <w:t xml:space="preserve">(4)  </w:t>
      </w:r>
      <w:r w:rsidRPr="00BF42B7">
        <w:t>嗣后协定和嗣后惯例可以通过从某个术语的多重含义中确认一个狭义的解释，从而帮助确定该术语的</w:t>
      </w:r>
      <w:r w:rsidRPr="00BF42B7">
        <w:rPr>
          <w:rFonts w:hint="eastAsia"/>
        </w:rPr>
        <w:t>“</w:t>
      </w:r>
      <w:r w:rsidRPr="00BF42B7">
        <w:t>通常含义</w:t>
      </w:r>
      <w:r w:rsidRPr="00BF42B7">
        <w:rPr>
          <w:rFonts w:hint="eastAsia"/>
        </w:rPr>
        <w:t>”</w:t>
      </w:r>
      <w:r w:rsidRPr="00BF42B7">
        <w:t>。例如，</w:t>
      </w:r>
      <w:r w:rsidRPr="00BF42B7">
        <w:rPr>
          <w:color w:val="0000FF"/>
          <w:vertAlign w:val="superscript"/>
        </w:rPr>
        <w:footnoteReference w:id="628"/>
      </w:r>
      <w:r w:rsidRPr="00BF42B7">
        <w:rPr>
          <w:color w:val="0000FF"/>
          <w:vertAlign w:val="superscript"/>
        </w:rPr>
        <w:t xml:space="preserve"> </w:t>
      </w:r>
      <w:r w:rsidRPr="00BF42B7">
        <w:t>国际法院在关于核武器的咨询意见中确认，</w:t>
      </w:r>
      <w:r w:rsidRPr="00BF42B7">
        <w:rPr>
          <w:rFonts w:hint="eastAsia"/>
        </w:rPr>
        <w:t>短语“</w:t>
      </w:r>
      <w:r w:rsidRPr="00BF42B7">
        <w:t>毒药或有毒武器</w:t>
      </w:r>
      <w:r w:rsidRPr="00BF42B7">
        <w:rPr>
          <w:rFonts w:hint="eastAsia"/>
        </w:rPr>
        <w:t>”：</w:t>
      </w:r>
    </w:p>
    <w:p w:rsidR="008D7906" w:rsidRPr="00B80FD2" w:rsidRDefault="008D7906" w:rsidP="008D7906">
      <w:pPr>
        <w:pStyle w:val="SingleTxtGC"/>
        <w:ind w:left="1565"/>
        <w:rPr>
          <w:spacing w:val="-4"/>
        </w:rPr>
      </w:pPr>
      <w:r w:rsidRPr="00B80FD2">
        <w:rPr>
          <w:rFonts w:hint="eastAsia"/>
          <w:spacing w:val="-4"/>
        </w:rPr>
        <w:t>“……</w:t>
      </w:r>
      <w:r w:rsidRPr="00B80FD2">
        <w:rPr>
          <w:spacing w:val="-4"/>
        </w:rPr>
        <w:t>在国家实践中通常被理解为主要、甚至唯一作用是使人中毒或窒息的武器。国家实践十分明确，相关文书的缔约方没有将该词理解为指核武器。</w:t>
      </w:r>
      <w:r w:rsidRPr="00B80FD2">
        <w:rPr>
          <w:rFonts w:hint="eastAsia"/>
          <w:spacing w:val="-4"/>
        </w:rPr>
        <w:t>”</w:t>
      </w:r>
      <w:r w:rsidRPr="00B80FD2">
        <w:rPr>
          <w:color w:val="0000FF"/>
          <w:spacing w:val="-4"/>
          <w:vertAlign w:val="superscript"/>
        </w:rPr>
        <w:footnoteReference w:id="629"/>
      </w:r>
    </w:p>
    <w:p w:rsidR="008D7906" w:rsidRPr="00BF42B7" w:rsidRDefault="008D7906" w:rsidP="00B80FD2">
      <w:pPr>
        <w:pStyle w:val="SingleTxtGC"/>
        <w:spacing w:after="140" w:line="330" w:lineRule="exact"/>
      </w:pPr>
      <w:r w:rsidRPr="00BF42B7">
        <w:t xml:space="preserve">(5)  </w:t>
      </w:r>
      <w:r w:rsidRPr="00BF42B7">
        <w:t>另一方面，嗣后惯例也可以防止将一般用语限定为只有某个特定含义，而否认其他可能的含义。</w:t>
      </w:r>
      <w:r w:rsidRPr="00BF42B7">
        <w:rPr>
          <w:color w:val="0000FF"/>
          <w:vertAlign w:val="superscript"/>
        </w:rPr>
        <w:footnoteReference w:id="630"/>
      </w:r>
      <w:r w:rsidRPr="00BF42B7">
        <w:rPr>
          <w:color w:val="0000FF"/>
          <w:vertAlign w:val="superscript"/>
        </w:rPr>
        <w:t xml:space="preserve"> </w:t>
      </w:r>
      <w:r w:rsidRPr="00BF42B7">
        <w:t>例如，法院在</w:t>
      </w:r>
      <w:r w:rsidRPr="00BF42B7">
        <w:rPr>
          <w:rFonts w:ascii="Time New Roman" w:eastAsia="楷体" w:hAnsi="Time New Roman"/>
        </w:rPr>
        <w:t>摩洛哥境内的</w:t>
      </w:r>
      <w:r w:rsidRPr="00BF42B7">
        <w:rPr>
          <w:rFonts w:ascii="Time New Roman" w:eastAsia="楷体" w:hAnsi="Time New Roman" w:hint="eastAsia"/>
        </w:rPr>
        <w:t>美利坚合众国</w:t>
      </w:r>
      <w:r w:rsidRPr="00BF42B7">
        <w:rPr>
          <w:rFonts w:ascii="Time New Roman" w:eastAsia="楷体" w:hAnsi="Time New Roman"/>
        </w:rPr>
        <w:t>公民权利案</w:t>
      </w:r>
      <w:r w:rsidRPr="00BF42B7">
        <w:t>中称：</w:t>
      </w:r>
    </w:p>
    <w:p w:rsidR="008D7906" w:rsidRPr="00BF42B7" w:rsidRDefault="008D7906" w:rsidP="00B80FD2">
      <w:pPr>
        <w:pStyle w:val="SingleTxtGC"/>
        <w:tabs>
          <w:tab w:val="clear" w:pos="431"/>
          <w:tab w:val="clear" w:pos="1134"/>
          <w:tab w:val="clear" w:pos="1565"/>
          <w:tab w:val="clear" w:pos="1996"/>
          <w:tab w:val="clear" w:pos="2427"/>
        </w:tabs>
        <w:spacing w:after="140" w:line="330" w:lineRule="exact"/>
        <w:ind w:left="1565"/>
      </w:pPr>
      <w:r w:rsidRPr="00BF42B7">
        <w:rPr>
          <w:rFonts w:hint="eastAsia"/>
        </w:rPr>
        <w:t>“</w:t>
      </w:r>
      <w:r w:rsidRPr="00BF42B7">
        <w:t>检查相关材料给人的一般印象是，海关工作人员</w:t>
      </w:r>
      <w:r w:rsidRPr="00BF42B7">
        <w:rPr>
          <w:rFonts w:hint="eastAsia"/>
        </w:rPr>
        <w:t>……</w:t>
      </w:r>
      <w:r w:rsidRPr="00BF42B7">
        <w:t>已利用他们能够获得的一切评估材料，虽然利用方式可能不尽一致。</w:t>
      </w:r>
    </w:p>
    <w:p w:rsidR="008D7906" w:rsidRPr="00BF42B7" w:rsidRDefault="008D7906" w:rsidP="00B80FD2">
      <w:pPr>
        <w:pStyle w:val="SingleTxtGC"/>
        <w:tabs>
          <w:tab w:val="clear" w:pos="431"/>
          <w:tab w:val="clear" w:pos="1134"/>
          <w:tab w:val="clear" w:pos="1565"/>
          <w:tab w:val="clear" w:pos="1996"/>
          <w:tab w:val="clear" w:pos="2427"/>
        </w:tabs>
        <w:spacing w:after="140" w:line="330" w:lineRule="exact"/>
        <w:ind w:left="1565"/>
      </w:pPr>
      <w:r w:rsidRPr="00BF42B7">
        <w:rPr>
          <w:rFonts w:hint="eastAsia"/>
        </w:rPr>
        <w:t>“</w:t>
      </w:r>
      <w:r w:rsidRPr="00BF42B7">
        <w:t>在这种情况下，法院认为第</w:t>
      </w:r>
      <w:r w:rsidRPr="00BF42B7">
        <w:t>95</w:t>
      </w:r>
      <w:r w:rsidRPr="00BF42B7">
        <w:t>条没有就争论点作出严格规定。法院要求比当事各方主张的方式更加灵活地解释第</w:t>
      </w:r>
      <w:r w:rsidRPr="00BF42B7">
        <w:t>95</w:t>
      </w:r>
      <w:r w:rsidRPr="00BF42B7">
        <w:t>条。</w:t>
      </w:r>
      <w:r w:rsidR="00F70E1D" w:rsidRPr="00BF42B7">
        <w:rPr>
          <w:rFonts w:hint="eastAsia"/>
        </w:rPr>
        <w:t>”</w:t>
      </w:r>
      <w:r w:rsidRPr="00BF42B7">
        <w:rPr>
          <w:color w:val="0000FF"/>
          <w:vertAlign w:val="superscript"/>
        </w:rPr>
        <w:footnoteReference w:id="631"/>
      </w:r>
    </w:p>
    <w:p w:rsidR="008D7906" w:rsidRPr="00BF42B7" w:rsidRDefault="008D7906" w:rsidP="00B80FD2">
      <w:pPr>
        <w:pStyle w:val="SingleTxtGC"/>
        <w:spacing w:after="140" w:line="330" w:lineRule="exact"/>
      </w:pPr>
      <w:r w:rsidRPr="00BF42B7">
        <w:t xml:space="preserve">(6)  </w:t>
      </w:r>
      <w:r w:rsidRPr="00BF42B7">
        <w:t>不同形式的惯例可能导致对同一条约中的某些术语作出狭义的解释，而对另一些术语作出宽泛的解释。</w:t>
      </w:r>
      <w:r w:rsidRPr="00BF42B7">
        <w:rPr>
          <w:color w:val="0000FF"/>
          <w:vertAlign w:val="superscript"/>
        </w:rPr>
        <w:footnoteReference w:id="632"/>
      </w:r>
    </w:p>
    <w:p w:rsidR="008D7906" w:rsidRPr="00BF42B7" w:rsidRDefault="008D7906" w:rsidP="00B80FD2">
      <w:pPr>
        <w:pStyle w:val="SingleTxtGC"/>
        <w:spacing w:after="140" w:line="330" w:lineRule="exact"/>
      </w:pPr>
      <w:r w:rsidRPr="00BF42B7">
        <w:t xml:space="preserve">(7)  </w:t>
      </w:r>
      <w:r w:rsidRPr="00BF42B7">
        <w:t>条约应依其用语在</w:t>
      </w:r>
      <w:r w:rsidRPr="00BF42B7">
        <w:rPr>
          <w:rFonts w:hint="eastAsia"/>
        </w:rPr>
        <w:t>“</w:t>
      </w:r>
      <w:r w:rsidRPr="00BF42B7">
        <w:t>上下文</w:t>
      </w:r>
      <w:r w:rsidRPr="00BF42B7">
        <w:rPr>
          <w:rFonts w:hint="eastAsia"/>
        </w:rPr>
        <w:t>”</w:t>
      </w:r>
      <w:r w:rsidRPr="00BF42B7">
        <w:t>(</w:t>
      </w:r>
      <w:r w:rsidRPr="00BF42B7">
        <w:t>第三十一条第一款</w:t>
      </w:r>
      <w:r w:rsidRPr="00BF42B7">
        <w:t>)</w:t>
      </w:r>
      <w:r w:rsidRPr="00BF42B7">
        <w:t>中具有的通常含义加以解释。嗣后协定和嗣后惯例通过与这一具体解释资料的互动，也可以有助于对条约中的术语作出较狭义或较广义的解释。</w:t>
      </w:r>
      <w:r w:rsidRPr="00BF42B7">
        <w:rPr>
          <w:color w:val="0000FF"/>
          <w:vertAlign w:val="superscript"/>
        </w:rPr>
        <w:footnoteReference w:id="633"/>
      </w:r>
      <w:r w:rsidRPr="00BF42B7">
        <w:rPr>
          <w:color w:val="0000FF"/>
          <w:vertAlign w:val="superscript"/>
        </w:rPr>
        <w:t xml:space="preserve"> </w:t>
      </w:r>
      <w:r w:rsidRPr="00BF42B7">
        <w:t>例如，在关于政府间海事协商组织的咨询意见中，国际法院必须确定《国际海事组织</w:t>
      </w:r>
      <w:r w:rsidRPr="00BF42B7">
        <w:rPr>
          <w:rFonts w:hint="eastAsia"/>
        </w:rPr>
        <w:t>(</w:t>
      </w:r>
      <w:r w:rsidRPr="00BF42B7">
        <w:rPr>
          <w:rFonts w:hint="eastAsia"/>
        </w:rPr>
        <w:t>海事组织</w:t>
      </w:r>
      <w:r w:rsidRPr="00BF42B7">
        <w:rPr>
          <w:rFonts w:hint="eastAsia"/>
        </w:rPr>
        <w:t>)</w:t>
      </w:r>
      <w:r w:rsidRPr="00BF42B7">
        <w:t>公约》</w:t>
      </w:r>
      <w:r w:rsidRPr="00BF42B7">
        <w:rPr>
          <w:color w:val="0000FF"/>
          <w:vertAlign w:val="superscript"/>
        </w:rPr>
        <w:footnoteReference w:id="634"/>
      </w:r>
      <w:r w:rsidRPr="00BF42B7">
        <w:rPr>
          <w:color w:val="0000FF"/>
          <w:vertAlign w:val="superscript"/>
        </w:rPr>
        <w:t xml:space="preserve"> </w:t>
      </w:r>
      <w:r w:rsidRPr="00BF42B7">
        <w:t>第</w:t>
      </w:r>
      <w:r w:rsidRPr="00BF42B7">
        <w:t>28(a)</w:t>
      </w:r>
      <w:r w:rsidRPr="00BF42B7">
        <w:t>条下</w:t>
      </w:r>
      <w:r w:rsidRPr="00BF42B7">
        <w:rPr>
          <w:rFonts w:hint="eastAsia"/>
        </w:rPr>
        <w:t>“</w:t>
      </w:r>
      <w:r w:rsidRPr="00BF42B7">
        <w:t>八个</w:t>
      </w:r>
      <w:r w:rsidRPr="00BF42B7">
        <w:rPr>
          <w:rFonts w:hint="eastAsia"/>
        </w:rPr>
        <w:t>……</w:t>
      </w:r>
      <w:r w:rsidRPr="00BF42B7">
        <w:t>最大船主国</w:t>
      </w:r>
      <w:r w:rsidRPr="00BF42B7">
        <w:rPr>
          <w:rFonts w:hint="eastAsia"/>
        </w:rPr>
        <w:t>”</w:t>
      </w:r>
      <w:r w:rsidRPr="00BF42B7">
        <w:t>一词的含义。鉴于</w:t>
      </w:r>
      <w:r w:rsidRPr="00BF42B7">
        <w:rPr>
          <w:rFonts w:hint="eastAsia"/>
        </w:rPr>
        <w:t>“</w:t>
      </w:r>
      <w:r w:rsidRPr="00BF42B7">
        <w:t>最大船主国</w:t>
      </w:r>
      <w:r w:rsidRPr="00BF42B7">
        <w:rPr>
          <w:rFonts w:hint="eastAsia"/>
        </w:rPr>
        <w:t>”</w:t>
      </w:r>
      <w:r w:rsidRPr="00BF42B7">
        <w:t>的概念可以有不同解释</w:t>
      </w:r>
      <w:r w:rsidRPr="00BF42B7">
        <w:t>(</w:t>
      </w:r>
      <w:r w:rsidRPr="00BF42B7">
        <w:t>例如按</w:t>
      </w:r>
      <w:r w:rsidRPr="00BF42B7">
        <w:rPr>
          <w:rFonts w:hint="eastAsia"/>
        </w:rPr>
        <w:t>“</w:t>
      </w:r>
      <w:r w:rsidRPr="00BF42B7">
        <w:t>登记吨位</w:t>
      </w:r>
      <w:r w:rsidRPr="00BF42B7">
        <w:rPr>
          <w:rFonts w:hint="eastAsia"/>
        </w:rPr>
        <w:t>”</w:t>
      </w:r>
      <w:r w:rsidRPr="00BF42B7">
        <w:t>或</w:t>
      </w:r>
      <w:r w:rsidRPr="00BF42B7">
        <w:rPr>
          <w:rFonts w:hint="eastAsia"/>
        </w:rPr>
        <w:t>“</w:t>
      </w:r>
      <w:r w:rsidRPr="00BF42B7">
        <w:t>国民财产</w:t>
      </w:r>
      <w:r w:rsidRPr="00BF42B7">
        <w:rPr>
          <w:rFonts w:hint="eastAsia"/>
        </w:rPr>
        <w:t>”</w:t>
      </w:r>
      <w:r w:rsidRPr="00BF42B7">
        <w:t>计算</w:t>
      </w:r>
      <w:r w:rsidRPr="00BF42B7">
        <w:t>)</w:t>
      </w:r>
      <w:r w:rsidRPr="00BF42B7">
        <w:t>，且该组织及其成员没有第</w:t>
      </w:r>
      <w:r w:rsidRPr="00BF42B7">
        <w:t>28(a)</w:t>
      </w:r>
      <w:r w:rsidRPr="00BF42B7">
        <w:t>条下的相关实践，法院转而参照公约其他条款下的实践，提出：</w:t>
      </w:r>
    </w:p>
    <w:p w:rsidR="008D7906" w:rsidRPr="00BF42B7" w:rsidRDefault="008D7906" w:rsidP="00B80FD2">
      <w:pPr>
        <w:pStyle w:val="SingleTxtGC"/>
        <w:tabs>
          <w:tab w:val="clear" w:pos="431"/>
          <w:tab w:val="clear" w:pos="1134"/>
          <w:tab w:val="clear" w:pos="1565"/>
          <w:tab w:val="clear" w:pos="1996"/>
          <w:tab w:val="clear" w:pos="2427"/>
        </w:tabs>
        <w:spacing w:after="140" w:line="330" w:lineRule="exact"/>
        <w:ind w:left="1565"/>
      </w:pPr>
      <w:r w:rsidRPr="00BF42B7">
        <w:rPr>
          <w:rFonts w:hint="eastAsia"/>
        </w:rPr>
        <w:t>“</w:t>
      </w:r>
      <w:r w:rsidRPr="00BF42B7">
        <w:t>鉴于执行《公约》的各项条款都是基于登记吨位</w:t>
      </w:r>
      <w:r w:rsidRPr="00BF42B7">
        <w:rPr>
          <w:rFonts w:hint="eastAsia"/>
        </w:rPr>
        <w:t>……</w:t>
      </w:r>
      <w:r w:rsidRPr="00BF42B7">
        <w:t>委员会因此认为，在起草</w:t>
      </w:r>
      <w:r w:rsidRPr="00BF42B7">
        <w:t>[</w:t>
      </w:r>
      <w:r w:rsidRPr="00BF42B7">
        <w:t>第</w:t>
      </w:r>
      <w:r w:rsidRPr="00BF42B7">
        <w:t>28(a)</w:t>
      </w:r>
      <w:r w:rsidRPr="00BF42B7">
        <w:t>条</w:t>
      </w:r>
      <w:r w:rsidRPr="00BF42B7">
        <w:t>]</w:t>
      </w:r>
      <w:r w:rsidRPr="00BF42B7">
        <w:t>并纳入《公约》时，不太可能考虑以登记吨位以外的其他标准来确定最大船主国。</w:t>
      </w:r>
      <w:r w:rsidRPr="00BF42B7">
        <w:rPr>
          <w:rFonts w:hint="eastAsia"/>
        </w:rPr>
        <w:t>”</w:t>
      </w:r>
      <w:r w:rsidRPr="00BF42B7">
        <w:rPr>
          <w:color w:val="0000FF"/>
          <w:vertAlign w:val="superscript"/>
        </w:rPr>
        <w:footnoteReference w:id="635"/>
      </w:r>
    </w:p>
    <w:p w:rsidR="008D7906" w:rsidRPr="00BF42B7" w:rsidRDefault="008D7906" w:rsidP="00B80FD2">
      <w:pPr>
        <w:pStyle w:val="SingleTxtGC"/>
        <w:spacing w:after="140" w:line="330" w:lineRule="exact"/>
      </w:pPr>
      <w:r w:rsidRPr="00BF42B7">
        <w:t xml:space="preserve">(8)  </w:t>
      </w:r>
      <w:r w:rsidRPr="00BF42B7">
        <w:t>除用语和上下文外，第三十一条第一款还强调</w:t>
      </w:r>
      <w:r w:rsidRPr="00BF42B7">
        <w:rPr>
          <w:rFonts w:hint="eastAsia"/>
        </w:rPr>
        <w:t>“</w:t>
      </w:r>
      <w:r w:rsidRPr="00BF42B7">
        <w:t>目的及宗旨</w:t>
      </w:r>
      <w:r w:rsidRPr="00BF42B7">
        <w:rPr>
          <w:rFonts w:hint="eastAsia"/>
        </w:rPr>
        <w:t>”</w:t>
      </w:r>
      <w:r w:rsidRPr="00BF42B7">
        <w:t>对条约解释的重要性。</w:t>
      </w:r>
      <w:r w:rsidRPr="00BF42B7">
        <w:rPr>
          <w:color w:val="0000FF"/>
          <w:vertAlign w:val="superscript"/>
        </w:rPr>
        <w:footnoteReference w:id="636"/>
      </w:r>
      <w:r w:rsidRPr="00BF42B7">
        <w:rPr>
          <w:color w:val="0000FF"/>
          <w:vertAlign w:val="superscript"/>
        </w:rPr>
        <w:t xml:space="preserve"> </w:t>
      </w:r>
      <w:r w:rsidRPr="00BF42B7">
        <w:t>嗣后协定和嗣后惯例也可有助于澄清条约的目的及宗旨，</w:t>
      </w:r>
      <w:bookmarkStart w:id="148" w:name="_Ref461976325"/>
      <w:r w:rsidRPr="00BF42B7">
        <w:rPr>
          <w:color w:val="0000FF"/>
          <w:vertAlign w:val="superscript"/>
        </w:rPr>
        <w:footnoteReference w:id="637"/>
      </w:r>
      <w:bookmarkEnd w:id="148"/>
      <w:r w:rsidRPr="00BF42B7">
        <w:rPr>
          <w:color w:val="0000FF"/>
          <w:vertAlign w:val="superscript"/>
        </w:rPr>
        <w:t xml:space="preserve"> </w:t>
      </w:r>
      <w:r w:rsidRPr="00BF42B7">
        <w:t>或协调条约的</w:t>
      </w:r>
      <w:r w:rsidRPr="00BF42B7">
        <w:rPr>
          <w:rFonts w:hint="eastAsia"/>
        </w:rPr>
        <w:t>“</w:t>
      </w:r>
      <w:r w:rsidRPr="00BF42B7">
        <w:t>目的及宗旨</w:t>
      </w:r>
      <w:r w:rsidRPr="00BF42B7">
        <w:rPr>
          <w:rFonts w:hint="eastAsia"/>
        </w:rPr>
        <w:t>”</w:t>
      </w:r>
      <w:r w:rsidRPr="00BF42B7">
        <w:t>与其他解释资料的运用</w:t>
      </w:r>
      <w:r w:rsidRPr="00BF42B7">
        <w:rPr>
          <w:rFonts w:hint="eastAsia"/>
        </w:rPr>
        <w:t>。</w:t>
      </w:r>
    </w:p>
    <w:p w:rsidR="008D7906" w:rsidRPr="00BF42B7" w:rsidRDefault="008D7906" w:rsidP="008D7906">
      <w:pPr>
        <w:pStyle w:val="SingleTxtGC"/>
      </w:pPr>
      <w:r w:rsidRPr="00BF42B7">
        <w:t xml:space="preserve">(9)  </w:t>
      </w:r>
      <w:r w:rsidRPr="00BF42B7">
        <w:t>例如，在</w:t>
      </w:r>
      <w:r w:rsidRPr="00BF42B7">
        <w:rPr>
          <w:rFonts w:ascii="Time New Roman" w:eastAsia="楷体" w:hAnsi="Time New Roman"/>
        </w:rPr>
        <w:t>格陵兰和扬马延间区域海洋划界案</w:t>
      </w:r>
      <w:r w:rsidRPr="00BF42B7">
        <w:rPr>
          <w:color w:val="0000FF"/>
          <w:vertAlign w:val="superscript"/>
        </w:rPr>
        <w:footnoteReference w:id="638"/>
      </w:r>
      <w:r w:rsidRPr="00BF42B7">
        <w:rPr>
          <w:color w:val="0000FF"/>
          <w:vertAlign w:val="superscript"/>
        </w:rPr>
        <w:t xml:space="preserve"> </w:t>
      </w:r>
      <w:r w:rsidRPr="00BF42B7">
        <w:t>和石油平台案</w:t>
      </w:r>
      <w:r w:rsidRPr="00BF42B7">
        <w:rPr>
          <w:color w:val="0000FF"/>
          <w:vertAlign w:val="superscript"/>
        </w:rPr>
        <w:footnoteReference w:id="639"/>
      </w:r>
      <w:r w:rsidRPr="00BF42B7">
        <w:rPr>
          <w:color w:val="0000FF"/>
          <w:vertAlign w:val="superscript"/>
        </w:rPr>
        <w:t xml:space="preserve"> </w:t>
      </w:r>
      <w:r w:rsidRPr="00BF42B7">
        <w:t>中，国际法院通过提到缔约方的嗣后惯例，澄清了双边条约的目的及宗旨。在喀麦隆和尼日利亚间陆地和海洋疆界案中，法院主张：</w:t>
      </w:r>
    </w:p>
    <w:p w:rsidR="008D7906" w:rsidRPr="00BF42B7" w:rsidRDefault="008D7906" w:rsidP="008D7906">
      <w:pPr>
        <w:pStyle w:val="SingleTxtGC"/>
        <w:ind w:left="1565"/>
      </w:pPr>
      <w:r w:rsidRPr="00BF42B7">
        <w:rPr>
          <w:rFonts w:hint="eastAsia"/>
        </w:rPr>
        <w:t>“</w:t>
      </w:r>
      <w:r w:rsidRPr="00BF42B7">
        <w:t>从条约案文和上文第</w:t>
      </w:r>
      <w:r w:rsidRPr="00BF42B7">
        <w:t>64</w:t>
      </w:r>
      <w:r w:rsidRPr="00BF42B7">
        <w:t>和</w:t>
      </w:r>
      <w:r w:rsidRPr="00BF42B7">
        <w:t>65</w:t>
      </w:r>
      <w:r w:rsidRPr="00BF42B7">
        <w:t>段分析的实践来看，乍得湖流域委员会是一个在特定地理区域内行使职权的国际组织；但是其宗旨不是在区域一级处理与维持国际和平及安全有关的事务，因此不属于《宪章》第八章规定的情况。</w:t>
      </w:r>
      <w:r w:rsidRPr="00BF42B7">
        <w:rPr>
          <w:rFonts w:hint="eastAsia"/>
        </w:rPr>
        <w:t>”</w:t>
      </w:r>
      <w:r w:rsidRPr="00BF42B7">
        <w:rPr>
          <w:color w:val="0000FF"/>
          <w:vertAlign w:val="superscript"/>
        </w:rPr>
        <w:footnoteReference w:id="640"/>
      </w:r>
    </w:p>
    <w:p w:rsidR="008D7906" w:rsidRPr="00BF42B7" w:rsidRDefault="008D7906" w:rsidP="008D7906">
      <w:pPr>
        <w:pStyle w:val="H4GC"/>
        <w:rPr>
          <w:rFonts w:eastAsia="楷体"/>
          <w:lang w:val="en-GB"/>
        </w:rPr>
      </w:pPr>
      <w:r w:rsidRPr="00BF42B7">
        <w:rPr>
          <w:rFonts w:eastAsia="楷体" w:hint="eastAsia"/>
          <w:lang w:val="en-GB"/>
        </w:rPr>
        <w:tab/>
      </w:r>
      <w:r w:rsidRPr="00BF42B7">
        <w:rPr>
          <w:rFonts w:eastAsia="楷体" w:hint="eastAsia"/>
          <w:lang w:val="en-GB"/>
        </w:rPr>
        <w:tab/>
      </w:r>
      <w:r w:rsidRPr="00BF42B7">
        <w:rPr>
          <w:rFonts w:eastAsia="楷体" w:hint="eastAsia"/>
          <w:lang w:val="en-GB"/>
        </w:rPr>
        <w:t>第</w:t>
      </w:r>
      <w:r w:rsidRPr="00BF42B7">
        <w:rPr>
          <w:rFonts w:eastAsia="楷体" w:hint="eastAsia"/>
          <w:lang w:val="en-GB"/>
        </w:rPr>
        <w:t>1</w:t>
      </w:r>
      <w:r w:rsidRPr="00BF42B7">
        <w:rPr>
          <w:rFonts w:eastAsia="楷体" w:hint="eastAsia"/>
          <w:lang w:val="en-GB"/>
        </w:rPr>
        <w:t>段第二句</w:t>
      </w:r>
      <w:r w:rsidRPr="00BF42B7">
        <w:rPr>
          <w:rFonts w:eastAsia="楷体" w:hint="eastAsia"/>
          <w:spacing w:val="-50"/>
          <w:lang w:val="fr-CH"/>
        </w:rPr>
        <w:t>―</w:t>
      </w:r>
      <w:r w:rsidRPr="00BF42B7">
        <w:rPr>
          <w:rFonts w:eastAsia="楷体" w:hint="eastAsia"/>
          <w:lang w:val="fr-CH"/>
        </w:rPr>
        <w:t>―</w:t>
      </w:r>
      <w:r w:rsidRPr="00BF42B7">
        <w:rPr>
          <w:rFonts w:eastAsia="楷体" w:hint="eastAsia"/>
          <w:lang w:val="en-GB"/>
        </w:rPr>
        <w:t>缩小或扩大或确定可能的解释范围</w:t>
      </w:r>
    </w:p>
    <w:p w:rsidR="008D7906" w:rsidRPr="00BF42B7" w:rsidRDefault="008D7906" w:rsidP="008D7906">
      <w:pPr>
        <w:pStyle w:val="SingleTxtGC"/>
      </w:pPr>
      <w:r w:rsidRPr="00BF42B7">
        <w:t xml:space="preserve">(10)  </w:t>
      </w:r>
      <w:r w:rsidRPr="00BF42B7">
        <w:t>司法环境或准司法环境</w:t>
      </w:r>
      <w:r w:rsidRPr="00BF42B7">
        <w:rPr>
          <w:rFonts w:hint="eastAsia"/>
        </w:rPr>
        <w:t>以外</w:t>
      </w:r>
      <w:r w:rsidRPr="00BF42B7">
        <w:t>的国</w:t>
      </w:r>
      <w:r w:rsidRPr="00BF42B7">
        <w:rPr>
          <w:rFonts w:hint="eastAsia"/>
        </w:rPr>
        <w:t>家</w:t>
      </w:r>
      <w:r w:rsidRPr="00BF42B7">
        <w:t>实践</w:t>
      </w:r>
      <w:r w:rsidRPr="00BF42B7">
        <w:rPr>
          <w:rFonts w:hint="eastAsia"/>
        </w:rPr>
        <w:t>证明</w:t>
      </w:r>
      <w:r w:rsidRPr="00BF42B7">
        <w:t>，嗣后协定和嗣后惯例</w:t>
      </w:r>
      <w:r w:rsidRPr="00BF42B7">
        <w:rPr>
          <w:rFonts w:hint="eastAsia"/>
        </w:rPr>
        <w:t>只是有助于</w:t>
      </w:r>
      <w:r w:rsidRPr="00BF42B7">
        <w:t>通过缩小</w:t>
      </w:r>
      <w:r w:rsidRPr="00BF42B7">
        <w:rPr>
          <w:rFonts w:hint="eastAsia"/>
        </w:rPr>
        <w:t>条约下权利和义务的</w:t>
      </w:r>
      <w:r w:rsidRPr="00BF42B7">
        <w:t>可能</w:t>
      </w:r>
      <w:r w:rsidRPr="00BF42B7">
        <w:rPr>
          <w:rFonts w:hint="eastAsia"/>
        </w:rPr>
        <w:t>含义</w:t>
      </w:r>
      <w:r w:rsidRPr="00BF42B7">
        <w:t>范围</w:t>
      </w:r>
      <w:r w:rsidRPr="00BF42B7">
        <w:rPr>
          <w:rFonts w:hint="eastAsia"/>
        </w:rPr>
        <w:t>，具体说明一个术语的含义</w:t>
      </w:r>
      <w:r w:rsidRPr="00BF42B7">
        <w:t>，</w:t>
      </w:r>
      <w:r w:rsidRPr="00BF42B7">
        <w:rPr>
          <w:rFonts w:hint="eastAsia"/>
        </w:rPr>
        <w:t>但也可</w:t>
      </w:r>
      <w:r w:rsidRPr="00BF42B7">
        <w:t>表明</w:t>
      </w:r>
      <w:r w:rsidRPr="00BF42B7">
        <w:rPr>
          <w:rFonts w:hint="eastAsia"/>
        </w:rPr>
        <w:t>一个更大的可接受的解释范围，或表明</w:t>
      </w:r>
      <w:r w:rsidRPr="00BF42B7">
        <w:t>条约赋予国家的酌处权</w:t>
      </w:r>
      <w:r w:rsidRPr="00BF42B7">
        <w:rPr>
          <w:rFonts w:hint="eastAsia"/>
        </w:rPr>
        <w:t>的某种行使范围。</w:t>
      </w:r>
      <w:r w:rsidRPr="00BF42B7">
        <w:rPr>
          <w:color w:val="0000FF"/>
          <w:vertAlign w:val="superscript"/>
        </w:rPr>
        <w:footnoteReference w:id="641"/>
      </w:r>
    </w:p>
    <w:p w:rsidR="008D7906" w:rsidRPr="00BF42B7" w:rsidRDefault="008D7906" w:rsidP="008D7906">
      <w:pPr>
        <w:pStyle w:val="SingleTxtGC"/>
      </w:pPr>
      <w:r w:rsidRPr="00BF42B7">
        <w:t xml:space="preserve">(11)  </w:t>
      </w:r>
      <w:r w:rsidRPr="00BF42B7">
        <w:t>例如，虽然</w:t>
      </w:r>
      <w:r w:rsidRPr="00BF42B7">
        <w:rPr>
          <w:rFonts w:hint="eastAsia"/>
        </w:rPr>
        <w:t>按照</w:t>
      </w:r>
      <w:r w:rsidRPr="00BF42B7">
        <w:t>1944</w:t>
      </w:r>
      <w:r w:rsidRPr="00BF42B7">
        <w:t>年《</w:t>
      </w:r>
      <w:r w:rsidRPr="00BF42B7">
        <w:rPr>
          <w:rFonts w:hint="eastAsia"/>
        </w:rPr>
        <w:t>国际民用航空公约</w:t>
      </w:r>
      <w:r w:rsidRPr="00BF42B7">
        <w:t>》</w:t>
      </w:r>
      <w:r w:rsidRPr="00BF42B7">
        <w:rPr>
          <w:color w:val="0000FF"/>
          <w:vertAlign w:val="superscript"/>
        </w:rPr>
        <w:footnoteReference w:id="642"/>
      </w:r>
      <w:r w:rsidRPr="00BF42B7">
        <w:rPr>
          <w:color w:val="0000FF"/>
          <w:vertAlign w:val="superscript"/>
        </w:rPr>
        <w:t xml:space="preserve"> </w:t>
      </w:r>
      <w:r w:rsidRPr="00BF42B7">
        <w:t>第</w:t>
      </w:r>
      <w:r w:rsidRPr="00BF42B7">
        <w:t>5</w:t>
      </w:r>
      <w:r w:rsidRPr="00BF42B7">
        <w:t>条</w:t>
      </w:r>
      <w:r w:rsidRPr="00BF42B7">
        <w:rPr>
          <w:rFonts w:hint="eastAsia"/>
        </w:rPr>
        <w:t>用语的通常含义，</w:t>
      </w:r>
      <w:r w:rsidRPr="00BF42B7">
        <w:t>似乎没有要求包机在飞行途中获得降落许可，但是长期的国家实践都要求这类许可，</w:t>
      </w:r>
      <w:r w:rsidRPr="00BF42B7">
        <w:rPr>
          <w:rFonts w:hint="eastAsia"/>
        </w:rPr>
        <w:t>以至于</w:t>
      </w:r>
      <w:r w:rsidRPr="00BF42B7">
        <w:t>该条被普遍理解为需要许可。</w:t>
      </w:r>
      <w:bookmarkStart w:id="149" w:name="_Ref461973633"/>
      <w:r w:rsidRPr="00BF42B7">
        <w:rPr>
          <w:color w:val="0000FF"/>
          <w:vertAlign w:val="superscript"/>
        </w:rPr>
        <w:footnoteReference w:id="643"/>
      </w:r>
      <w:bookmarkEnd w:id="149"/>
      <w:r w:rsidRPr="00BF42B7">
        <w:rPr>
          <w:color w:val="0000FF"/>
          <w:vertAlign w:val="superscript"/>
        </w:rPr>
        <w:t xml:space="preserve"> </w:t>
      </w:r>
      <w:r w:rsidRPr="00BF42B7">
        <w:t>另一个案例是</w:t>
      </w:r>
      <w:r w:rsidRPr="00BF42B7">
        <w:rPr>
          <w:rFonts w:hint="eastAsia"/>
        </w:rPr>
        <w:t>1961</w:t>
      </w:r>
      <w:r w:rsidRPr="00BF42B7">
        <w:rPr>
          <w:rFonts w:hint="eastAsia"/>
        </w:rPr>
        <w:t>年</w:t>
      </w:r>
      <w:r w:rsidRPr="00BF42B7">
        <w:t>《维也纳外交关系公约》第二十二条第三款，</w:t>
      </w:r>
      <w:r w:rsidRPr="00BF42B7">
        <w:rPr>
          <w:color w:val="0000FF"/>
          <w:vertAlign w:val="superscript"/>
        </w:rPr>
        <w:footnoteReference w:id="644"/>
      </w:r>
      <w:r w:rsidRPr="00BF42B7">
        <w:rPr>
          <w:color w:val="0000FF"/>
          <w:vertAlign w:val="superscript"/>
        </w:rPr>
        <w:t xml:space="preserve"> </w:t>
      </w:r>
      <w:r w:rsidRPr="00BF42B7">
        <w:t>其中规定使馆交通工具免受搜查、征用、扣押或强制执行。虽然警方对外交财产采取的强制行为通常会遭到国家的抗议，</w:t>
      </w:r>
      <w:bookmarkStart w:id="150" w:name="_Ref461973489"/>
      <w:r w:rsidRPr="00BF42B7">
        <w:rPr>
          <w:color w:val="0000FF"/>
          <w:vertAlign w:val="superscript"/>
        </w:rPr>
        <w:footnoteReference w:id="645"/>
      </w:r>
      <w:bookmarkEnd w:id="150"/>
      <w:r w:rsidRPr="00BF42B7">
        <w:rPr>
          <w:color w:val="0000FF"/>
          <w:vertAlign w:val="superscript"/>
        </w:rPr>
        <w:t xml:space="preserve"> </w:t>
      </w:r>
      <w:r w:rsidRPr="00BF42B7">
        <w:t>但是将违反当地交通和停车法规的外交车辆拖走这一做法，在实践中基本上被认为是允许的。</w:t>
      </w:r>
      <w:r w:rsidRPr="00BF42B7">
        <w:rPr>
          <w:color w:val="0000FF"/>
          <w:vertAlign w:val="superscript"/>
        </w:rPr>
        <w:footnoteReference w:id="646"/>
      </w:r>
      <w:r w:rsidRPr="00BF42B7">
        <w:rPr>
          <w:color w:val="0000FF"/>
          <w:vertAlign w:val="superscript"/>
        </w:rPr>
        <w:t xml:space="preserve"> </w:t>
      </w:r>
      <w:r w:rsidRPr="00BF42B7">
        <w:t>这种惯例显示，虽然禁止对外交车辆采取处罚措施，但是如果发现外交车辆对交通和</w:t>
      </w:r>
      <w:r w:rsidRPr="00BF42B7">
        <w:t>/</w:t>
      </w:r>
      <w:r w:rsidRPr="00BF42B7">
        <w:t>或公共安全构成直接危险或障碍，则可以拦下或拖走。</w:t>
      </w:r>
      <w:bookmarkStart w:id="151" w:name="_Ref461973582"/>
      <w:r w:rsidRPr="00BF42B7">
        <w:rPr>
          <w:color w:val="0000FF"/>
          <w:vertAlign w:val="superscript"/>
        </w:rPr>
        <w:footnoteReference w:id="647"/>
      </w:r>
      <w:bookmarkEnd w:id="151"/>
      <w:r w:rsidRPr="00BF42B7">
        <w:rPr>
          <w:color w:val="0000FF"/>
          <w:vertAlign w:val="superscript"/>
        </w:rPr>
        <w:t xml:space="preserve"> </w:t>
      </w:r>
      <w:r w:rsidRPr="00BF42B7">
        <w:t>从这个意义上来看，缔约方的嗣后惯例明确说明了</w:t>
      </w:r>
      <w:r w:rsidRPr="00BF42B7">
        <w:rPr>
          <w:rFonts w:hint="eastAsia"/>
        </w:rPr>
        <w:t>“</w:t>
      </w:r>
      <w:r w:rsidRPr="00BF42B7">
        <w:t>强制执行</w:t>
      </w:r>
      <w:r w:rsidRPr="00BF42B7">
        <w:rPr>
          <w:rFonts w:hint="eastAsia"/>
        </w:rPr>
        <w:t>”</w:t>
      </w:r>
      <w:r w:rsidRPr="00BF42B7">
        <w:t>一词的含义，并进而明确了交通工具受保护的范围。</w:t>
      </w:r>
    </w:p>
    <w:p w:rsidR="008D7906" w:rsidRPr="00BF42B7" w:rsidRDefault="008D7906" w:rsidP="008D7906">
      <w:pPr>
        <w:pStyle w:val="SingleTxtGC"/>
      </w:pPr>
      <w:r w:rsidRPr="00BF42B7">
        <w:rPr>
          <w:rFonts w:hint="eastAsia"/>
        </w:rPr>
        <w:t xml:space="preserve">(12)  </w:t>
      </w:r>
      <w:r w:rsidRPr="00BF42B7">
        <w:rPr>
          <w:rFonts w:hint="eastAsia"/>
        </w:rPr>
        <w:t>例如，另一个可能的例子是《一九四九年日内瓦四公约第二议定书》</w:t>
      </w:r>
      <w:r w:rsidRPr="00BF42B7">
        <w:rPr>
          <w:color w:val="0000FF"/>
          <w:vertAlign w:val="superscript"/>
        </w:rPr>
        <w:footnoteReference w:id="648"/>
      </w:r>
      <w:r w:rsidRPr="00BF42B7">
        <w:rPr>
          <w:color w:val="0000FF"/>
          <w:vertAlign w:val="superscript"/>
        </w:rPr>
        <w:t xml:space="preserve"> </w:t>
      </w:r>
      <w:r w:rsidRPr="00BF42B7">
        <w:rPr>
          <w:rFonts w:hint="eastAsia"/>
        </w:rPr>
        <w:t>第十二条规定：</w:t>
      </w:r>
    </w:p>
    <w:p w:rsidR="008D7906" w:rsidRPr="00BF42B7" w:rsidRDefault="008D7906" w:rsidP="008D7906">
      <w:pPr>
        <w:pStyle w:val="SingleTxtGC"/>
        <w:ind w:left="1565"/>
      </w:pPr>
      <w:r w:rsidRPr="00BF42B7">
        <w:rPr>
          <w:rFonts w:hint="eastAsia"/>
        </w:rPr>
        <w:t>“在有关主管当局指导下，医务和宗教人员以及医疗队和医务运输工具应展示白底红十字、红新月或红狮与太阳的特殊标志。在任何情形下，该特殊标志均应受尊重。该特殊标志不应用于不正当的用途。”</w:t>
      </w:r>
    </w:p>
    <w:p w:rsidR="008D7906" w:rsidRPr="00BF42B7" w:rsidRDefault="008D7906" w:rsidP="008D7906">
      <w:pPr>
        <w:pStyle w:val="SingleTxtGC"/>
      </w:pPr>
      <w:r w:rsidRPr="00BF42B7">
        <w:rPr>
          <w:rFonts w:hint="eastAsia"/>
        </w:rPr>
        <w:t>虽然“应”一词表示国家有义务使用特殊标志，在任何情况下都标明医务人员和医务运输工具，但嗣后惯例显示国家在适用该条时可拥有一定的酌处权。</w:t>
      </w:r>
      <w:bookmarkStart w:id="152" w:name="_Ref461973446"/>
      <w:r w:rsidRPr="00BF42B7">
        <w:rPr>
          <w:color w:val="0000FF"/>
          <w:vertAlign w:val="superscript"/>
        </w:rPr>
        <w:footnoteReference w:id="649"/>
      </w:r>
      <w:bookmarkEnd w:id="152"/>
      <w:r w:rsidRPr="00BF42B7">
        <w:rPr>
          <w:color w:val="0000FF"/>
          <w:vertAlign w:val="superscript"/>
        </w:rPr>
        <w:t xml:space="preserve"> </w:t>
      </w:r>
      <w:r w:rsidRPr="00BF42B7">
        <w:rPr>
          <w:rFonts w:hint="eastAsia"/>
        </w:rPr>
        <w:t>鉴于武装团体近年来专门袭击医疗车队，它们因为有保护标志而特别容易辨认，国家在某些情况下不再让这类车队露出特殊标志。德国政府在回答议会关于其在阿富汗的做法的提问时指出：</w:t>
      </w:r>
    </w:p>
    <w:p w:rsidR="008D7906" w:rsidRPr="00BF42B7" w:rsidRDefault="008D7906" w:rsidP="008D7906">
      <w:pPr>
        <w:pStyle w:val="SingleTxtGC"/>
        <w:ind w:left="1565"/>
      </w:pPr>
      <w:r w:rsidRPr="00BF42B7">
        <w:rPr>
          <w:rFonts w:hint="eastAsia"/>
        </w:rPr>
        <w:t>“与国际安全援助部队的其他分队一样，德国联邦国防军也经历过医疗车队遭到袭击的情况。这些医疗单位和车队因其保护标志而容易辨认，甚至成为特定的袭击对象。因此，德国联邦国防军在国际安全援助部队内部与比利时、法国、联合王国、加拿大及美国共同决定遮住医疗车队上的保护标志。”</w:t>
      </w:r>
      <w:r w:rsidRPr="00BF42B7">
        <w:rPr>
          <w:color w:val="0000FF"/>
          <w:vertAlign w:val="superscript"/>
        </w:rPr>
        <w:footnoteReference w:id="650"/>
      </w:r>
    </w:p>
    <w:p w:rsidR="008D7906" w:rsidRPr="00BF42B7" w:rsidRDefault="008D7906" w:rsidP="008D7906">
      <w:pPr>
        <w:pStyle w:val="SingleTxtGC"/>
      </w:pPr>
      <w:r w:rsidRPr="00BF42B7">
        <w:rPr>
          <w:rFonts w:hint="eastAsia"/>
          <w:spacing w:val="-2"/>
        </w:rPr>
        <w:t xml:space="preserve">(13)  </w:t>
      </w:r>
      <w:r w:rsidRPr="00BF42B7">
        <w:rPr>
          <w:rFonts w:hint="eastAsia"/>
          <w:spacing w:val="-2"/>
        </w:rPr>
        <w:t>这种国家实践确认了对第十二条的解释，可以看出，使用保护标志的义务</w:t>
      </w:r>
      <w:r w:rsidRPr="00BF42B7">
        <w:rPr>
          <w:color w:val="0000FF"/>
          <w:spacing w:val="-2"/>
          <w:vertAlign w:val="superscript"/>
        </w:rPr>
        <w:footnoteReference w:id="651"/>
      </w:r>
      <w:r w:rsidRPr="00BF42B7">
        <w:rPr>
          <w:color w:val="0000FF"/>
          <w:vertAlign w:val="superscript"/>
        </w:rPr>
        <w:t xml:space="preserve"> </w:t>
      </w:r>
      <w:r w:rsidRPr="00BF42B7">
        <w:rPr>
          <w:rFonts w:hint="eastAsia"/>
        </w:rPr>
        <w:t>在例外情况下容许缔约方有一定的酌处权。</w:t>
      </w:r>
    </w:p>
    <w:p w:rsidR="008D7906" w:rsidRPr="00BF42B7" w:rsidRDefault="008D7906" w:rsidP="008D7906">
      <w:pPr>
        <w:pStyle w:val="SingleTxtGC"/>
      </w:pPr>
      <w:r w:rsidRPr="00BF42B7">
        <w:rPr>
          <w:rFonts w:hint="eastAsia"/>
        </w:rPr>
        <w:t xml:space="preserve">(14)  </w:t>
      </w:r>
      <w:r w:rsidRPr="00BF42B7">
        <w:rPr>
          <w:rFonts w:hint="eastAsia"/>
        </w:rPr>
        <w:t>赋予国家明显不带条件的权利的条约规定可能涉及该酌处权是否受到条约目的限制的问题。例如，根据《维也纳外交关系公约》第九条，接受国可不具解释通知派遣国某使馆人员为不受欢迎人员。国家一般在发现或怀疑使馆人员参与间谍活动，严重违反接受国法律或造成严重政治骚乱的情况下发出这类通知。</w:t>
      </w:r>
      <w:r w:rsidRPr="00BF42B7">
        <w:rPr>
          <w:color w:val="0000FF"/>
          <w:vertAlign w:val="superscript"/>
        </w:rPr>
        <w:footnoteReference w:id="652"/>
      </w:r>
      <w:r w:rsidRPr="00BF42B7">
        <w:rPr>
          <w:color w:val="0000FF"/>
          <w:vertAlign w:val="superscript"/>
        </w:rPr>
        <w:t xml:space="preserve"> </w:t>
      </w:r>
      <w:r w:rsidRPr="00BF42B7">
        <w:rPr>
          <w:rFonts w:hint="eastAsia"/>
        </w:rPr>
        <w:t>不过，各国也在其他情况下发出过这类通知，例如外交人员对第三方造成严重伤害，</w:t>
      </w:r>
      <w:r w:rsidRPr="00BF42B7">
        <w:rPr>
          <w:color w:val="0000FF"/>
          <w:vertAlign w:val="superscript"/>
        </w:rPr>
        <w:footnoteReference w:id="653"/>
      </w:r>
      <w:r w:rsidRPr="00BF42B7">
        <w:rPr>
          <w:color w:val="0000FF"/>
          <w:vertAlign w:val="superscript"/>
        </w:rPr>
        <w:t xml:space="preserve"> </w:t>
      </w:r>
      <w:r w:rsidRPr="00BF42B7">
        <w:rPr>
          <w:rFonts w:hint="eastAsia"/>
        </w:rPr>
        <w:t>或是屡次违法，</w:t>
      </w:r>
      <w:r w:rsidRPr="00BF42B7">
        <w:rPr>
          <w:color w:val="0000FF"/>
          <w:vertAlign w:val="superscript"/>
        </w:rPr>
        <w:footnoteReference w:id="654"/>
      </w:r>
      <w:r w:rsidRPr="00BF42B7">
        <w:rPr>
          <w:color w:val="0000FF"/>
          <w:vertAlign w:val="superscript"/>
        </w:rPr>
        <w:t xml:space="preserve"> </w:t>
      </w:r>
      <w:r w:rsidRPr="00BF42B7">
        <w:rPr>
          <w:rFonts w:hint="eastAsia"/>
        </w:rPr>
        <w:t>甚至为了执行关于酒后驾车的法律发出这类通知。</w:t>
      </w:r>
      <w:r w:rsidRPr="00BF42B7">
        <w:rPr>
          <w:color w:val="0000FF"/>
          <w:vertAlign w:val="superscript"/>
        </w:rPr>
        <w:footnoteReference w:id="655"/>
      </w:r>
      <w:r w:rsidRPr="00BF42B7">
        <w:rPr>
          <w:color w:val="0000FF"/>
          <w:vertAlign w:val="superscript"/>
        </w:rPr>
        <w:t xml:space="preserve"> </w:t>
      </w:r>
      <w:r w:rsidRPr="00BF42B7">
        <w:rPr>
          <w:rFonts w:hint="eastAsia"/>
        </w:rPr>
        <w:t>有些国家甚至没有给出明确理由，纯粹出于政治动机而发出这类通知。其他国家似乎不认为这种做法构成对宣布使馆人员为不受欢迎人员的权力的滥用。因此，这类惯例表明，第九条规定了无条件的权利。</w:t>
      </w:r>
      <w:bookmarkStart w:id="153" w:name="_Ref461976124"/>
      <w:r w:rsidRPr="00BF42B7">
        <w:rPr>
          <w:color w:val="0000FF"/>
          <w:vertAlign w:val="superscript"/>
        </w:rPr>
        <w:footnoteReference w:id="656"/>
      </w:r>
      <w:bookmarkEnd w:id="153"/>
    </w:p>
    <w:p w:rsidR="008D7906" w:rsidRPr="00BF42B7" w:rsidRDefault="008D7906" w:rsidP="008D7906">
      <w:pPr>
        <w:pStyle w:val="H4GC"/>
        <w:rPr>
          <w:rFonts w:eastAsia="楷体"/>
          <w:lang w:val="en-GB"/>
        </w:rPr>
      </w:pPr>
      <w:r w:rsidRPr="00BF42B7">
        <w:rPr>
          <w:rFonts w:eastAsia="楷体" w:hint="eastAsia"/>
          <w:lang w:val="en-GB"/>
        </w:rPr>
        <w:tab/>
      </w:r>
      <w:r w:rsidRPr="00BF42B7">
        <w:rPr>
          <w:rFonts w:eastAsia="楷体" w:hint="eastAsia"/>
          <w:lang w:val="en-GB"/>
        </w:rPr>
        <w:tab/>
      </w:r>
      <w:r w:rsidRPr="00BF42B7">
        <w:rPr>
          <w:rFonts w:eastAsia="楷体" w:hint="eastAsia"/>
          <w:lang w:val="en-GB"/>
        </w:rPr>
        <w:t>第</w:t>
      </w:r>
      <w:r w:rsidRPr="00BF42B7">
        <w:rPr>
          <w:rFonts w:eastAsia="楷体" w:hint="eastAsia"/>
          <w:lang w:val="en-GB"/>
        </w:rPr>
        <w:t>2</w:t>
      </w:r>
      <w:r w:rsidRPr="00BF42B7">
        <w:rPr>
          <w:rFonts w:eastAsia="楷体" w:hint="eastAsia"/>
          <w:lang w:val="en-GB"/>
        </w:rPr>
        <w:t>段</w:t>
      </w:r>
      <w:r w:rsidRPr="00BF42B7">
        <w:rPr>
          <w:rFonts w:eastAsia="楷体" w:hint="eastAsia"/>
          <w:spacing w:val="-50"/>
          <w:lang w:val="fr-CH"/>
        </w:rPr>
        <w:t>―</w:t>
      </w:r>
      <w:r w:rsidRPr="00BF42B7">
        <w:rPr>
          <w:rFonts w:eastAsia="楷体" w:hint="eastAsia"/>
          <w:lang w:val="fr-CH"/>
        </w:rPr>
        <w:t>―</w:t>
      </w:r>
      <w:r w:rsidRPr="00BF42B7">
        <w:rPr>
          <w:rFonts w:eastAsia="楷体" w:hint="eastAsia"/>
          <w:lang w:val="en-GB"/>
        </w:rPr>
        <w:t>第三十二条之下其他嗣后惯例</w:t>
      </w:r>
    </w:p>
    <w:p w:rsidR="008D7906" w:rsidRPr="00BF42B7" w:rsidRDefault="008D7906" w:rsidP="008D7906">
      <w:pPr>
        <w:pStyle w:val="SingleTxtGC"/>
      </w:pPr>
      <w:r w:rsidRPr="00BF42B7">
        <w:rPr>
          <w:rFonts w:hint="eastAsia"/>
        </w:rPr>
        <w:t xml:space="preserve">(15)  </w:t>
      </w:r>
      <w:r w:rsidRPr="00BF42B7">
        <w:rPr>
          <w:rFonts w:hint="eastAsia"/>
        </w:rPr>
        <w:t>结论草案</w:t>
      </w:r>
      <w:r w:rsidRPr="00BF42B7">
        <w:rPr>
          <w:rFonts w:hint="eastAsia"/>
        </w:rPr>
        <w:t>7</w:t>
      </w:r>
      <w:r w:rsidRPr="00BF42B7">
        <w:rPr>
          <w:rFonts w:hint="eastAsia"/>
        </w:rPr>
        <w:t>第</w:t>
      </w:r>
      <w:r w:rsidRPr="00BF42B7">
        <w:rPr>
          <w:rFonts w:hint="eastAsia"/>
        </w:rPr>
        <w:t>2</w:t>
      </w:r>
      <w:r w:rsidRPr="00BF42B7">
        <w:rPr>
          <w:rFonts w:hint="eastAsia"/>
        </w:rPr>
        <w:t>段涉及第三十二条之下的“其他嗣后惯例”的影响</w:t>
      </w:r>
      <w:r w:rsidRPr="00BF42B7">
        <w:rPr>
          <w:rFonts w:hint="eastAsia"/>
        </w:rPr>
        <w:t>(</w:t>
      </w:r>
      <w:r w:rsidRPr="00BF42B7">
        <w:rPr>
          <w:rFonts w:hint="eastAsia"/>
        </w:rPr>
        <w:t>见结论草案</w:t>
      </w:r>
      <w:r w:rsidRPr="00BF42B7">
        <w:rPr>
          <w:rFonts w:hint="eastAsia"/>
        </w:rPr>
        <w:t xml:space="preserve">4, </w:t>
      </w:r>
      <w:r w:rsidRPr="00BF42B7">
        <w:rPr>
          <w:rFonts w:hint="eastAsia"/>
        </w:rPr>
        <w:t>第</w:t>
      </w:r>
      <w:r w:rsidRPr="00BF42B7">
        <w:rPr>
          <w:rFonts w:hint="eastAsia"/>
        </w:rPr>
        <w:t>3</w:t>
      </w:r>
      <w:r w:rsidRPr="00BF42B7">
        <w:rPr>
          <w:rFonts w:hint="eastAsia"/>
        </w:rPr>
        <w:t>段</w:t>
      </w:r>
      <w:r w:rsidRPr="00BF42B7">
        <w:rPr>
          <w:rFonts w:hint="eastAsia"/>
        </w:rPr>
        <w:t>)</w:t>
      </w:r>
      <w:r w:rsidRPr="00BF42B7">
        <w:rPr>
          <w:rFonts w:hint="eastAsia"/>
        </w:rPr>
        <w:t>，这类嗣后惯例不反映所有缔约方就条约解释达成的协定。这类惯例，作为解释的补充资料，可证实适用第三十一条所作之解释，或依第三十一条所作解释意义不明或难解，或所获结果显然荒谬或不合理时，确定其含义。因此，第三十二条区分了利用准备工作或“其他嗣后惯例”证实根据第三十一条得出的含义与利用它们“确定”含义这两种情况。因此，可诉诸第三十二条之下的“其他嗣后惯例”，这不仅是为了确定某些情况下条约的含义，而且也用来</w:t>
      </w:r>
      <w:r w:rsidRPr="00BF42B7">
        <w:rPr>
          <w:rFonts w:hint="eastAsia"/>
          <w:spacing w:val="-50"/>
          <w:lang w:val="fr-CH"/>
        </w:rPr>
        <w:t>―</w:t>
      </w:r>
      <w:r w:rsidRPr="00BF42B7">
        <w:rPr>
          <w:rFonts w:hint="eastAsia"/>
          <w:lang w:val="fr-CH"/>
        </w:rPr>
        <w:t>―</w:t>
      </w:r>
      <w:r w:rsidRPr="00BF42B7">
        <w:rPr>
          <w:rFonts w:hint="eastAsia"/>
        </w:rPr>
        <w:t>并且总是可以用来</w:t>
      </w:r>
      <w:r w:rsidRPr="00BF42B7">
        <w:rPr>
          <w:rFonts w:hint="eastAsia"/>
          <w:spacing w:val="-50"/>
          <w:lang w:val="fr-CH"/>
        </w:rPr>
        <w:t>―</w:t>
      </w:r>
      <w:r w:rsidRPr="00BF42B7">
        <w:rPr>
          <w:rFonts w:hint="eastAsia"/>
          <w:lang w:val="fr-CH"/>
        </w:rPr>
        <w:t>―</w:t>
      </w:r>
      <w:r w:rsidRPr="00BF42B7">
        <w:rPr>
          <w:rFonts w:hint="eastAsia"/>
        </w:rPr>
        <w:t>证实适用第三十一条得出的含义。</w:t>
      </w:r>
      <w:r w:rsidRPr="00BF42B7">
        <w:rPr>
          <w:color w:val="0000FF"/>
          <w:vertAlign w:val="superscript"/>
        </w:rPr>
        <w:footnoteReference w:id="657"/>
      </w:r>
    </w:p>
    <w:p w:rsidR="008D7906" w:rsidRPr="00BF42B7" w:rsidRDefault="008D7906" w:rsidP="008D7906">
      <w:pPr>
        <w:pStyle w:val="SingleTxtGC"/>
      </w:pPr>
      <w:r w:rsidRPr="00BF42B7">
        <w:rPr>
          <w:rFonts w:hint="eastAsia"/>
        </w:rPr>
        <w:t xml:space="preserve">(16)  </w:t>
      </w:r>
      <w:r w:rsidRPr="00BF42B7">
        <w:rPr>
          <w:rFonts w:hint="eastAsia"/>
        </w:rPr>
        <w:t>当条约的“目的和宗旨”似乎与其某些规定的具体宗旨不符时，第三十二条所指的嗣后惯例有助于减少可能的冲突。</w:t>
      </w:r>
      <w:r w:rsidRPr="00BF42B7">
        <w:rPr>
          <w:color w:val="0000FF"/>
          <w:vertAlign w:val="superscript"/>
        </w:rPr>
        <w:footnoteReference w:id="658"/>
      </w:r>
      <w:r w:rsidRPr="00BF42B7">
        <w:rPr>
          <w:color w:val="0000FF"/>
          <w:vertAlign w:val="superscript"/>
        </w:rPr>
        <w:t xml:space="preserve"> </w:t>
      </w:r>
      <w:r w:rsidRPr="00BF42B7">
        <w:rPr>
          <w:rFonts w:hint="eastAsia"/>
        </w:rPr>
        <w:t>例如，在卡西基里</w:t>
      </w:r>
      <w:r w:rsidRPr="00BF42B7">
        <w:rPr>
          <w:rFonts w:hint="eastAsia"/>
        </w:rPr>
        <w:t>/</w:t>
      </w:r>
      <w:r w:rsidRPr="00BF42B7">
        <w:rPr>
          <w:rFonts w:hint="eastAsia"/>
        </w:rPr>
        <w:t>塞杜杜岛案中，国际法院强调，“缔约方既努力确保各自在河上的通航自由，又尽可能精确地划定各自的势力范围。”</w:t>
      </w:r>
      <w:r w:rsidRPr="00BF42B7">
        <w:rPr>
          <w:color w:val="0000FF"/>
          <w:vertAlign w:val="superscript"/>
        </w:rPr>
        <w:footnoteReference w:id="659"/>
      </w:r>
      <w:r w:rsidRPr="00BF42B7">
        <w:rPr>
          <w:color w:val="0000FF"/>
          <w:vertAlign w:val="superscript"/>
        </w:rPr>
        <w:t xml:space="preserve"> </w:t>
      </w:r>
      <w:r w:rsidRPr="00BF42B7">
        <w:rPr>
          <w:rFonts w:hint="eastAsia"/>
        </w:rPr>
        <w:t>缔约方通过适用仅其中一方的某项嗣后惯例作为</w:t>
      </w:r>
      <w:r w:rsidRPr="00BF42B7">
        <w:rPr>
          <w:rFonts w:hint="eastAsia"/>
        </w:rPr>
        <w:t>(</w:t>
      </w:r>
      <w:r w:rsidRPr="00BF42B7">
        <w:rPr>
          <w:rFonts w:hint="eastAsia"/>
        </w:rPr>
        <w:t>第三十二条所指的</w:t>
      </w:r>
      <w:r w:rsidRPr="00BF42B7">
        <w:rPr>
          <w:rFonts w:hint="eastAsia"/>
        </w:rPr>
        <w:t>)</w:t>
      </w:r>
      <w:r w:rsidRPr="00BF42B7">
        <w:rPr>
          <w:rFonts w:hint="eastAsia"/>
        </w:rPr>
        <w:t>解释条约的补充资料，从而化解了可能的紧张局势。</w:t>
      </w:r>
      <w:r w:rsidRPr="00BF42B7">
        <w:rPr>
          <w:color w:val="0000FF"/>
          <w:vertAlign w:val="superscript"/>
        </w:rPr>
        <w:footnoteReference w:id="660"/>
      </w:r>
    </w:p>
    <w:p w:rsidR="008D7906" w:rsidRPr="00BF42B7" w:rsidRDefault="008D7906" w:rsidP="008D7906">
      <w:pPr>
        <w:pStyle w:val="SingleTxtGC"/>
      </w:pPr>
      <w:r w:rsidRPr="00BF42B7">
        <w:rPr>
          <w:rFonts w:hint="eastAsia"/>
        </w:rPr>
        <w:t xml:space="preserve">(17)  </w:t>
      </w:r>
      <w:r w:rsidRPr="00BF42B7">
        <w:rPr>
          <w:rFonts w:hint="eastAsia"/>
        </w:rPr>
        <w:t>第三十二条所指的“其他嗣后惯例”的另一个例子涉及《一九四九年日内瓦四公约第一议定书》</w:t>
      </w:r>
      <w:r w:rsidRPr="00BF42B7">
        <w:rPr>
          <w:color w:val="0000FF"/>
          <w:vertAlign w:val="superscript"/>
        </w:rPr>
        <w:footnoteReference w:id="661"/>
      </w:r>
      <w:r w:rsidRPr="00BF42B7">
        <w:rPr>
          <w:color w:val="0000FF"/>
          <w:vertAlign w:val="superscript"/>
        </w:rPr>
        <w:t xml:space="preserve"> </w:t>
      </w:r>
      <w:r w:rsidRPr="00BF42B7">
        <w:rPr>
          <w:rFonts w:hint="eastAsia"/>
        </w:rPr>
        <w:t>第</w:t>
      </w:r>
      <w:r w:rsidRPr="00BF42B7">
        <w:rPr>
          <w:rFonts w:hint="eastAsia"/>
        </w:rPr>
        <w:t>57</w:t>
      </w:r>
      <w:r w:rsidRPr="00BF42B7">
        <w:rPr>
          <w:rFonts w:hint="eastAsia"/>
        </w:rPr>
        <w:t>条第</w:t>
      </w:r>
      <w:r w:rsidRPr="00BF42B7">
        <w:rPr>
          <w:rFonts w:hint="eastAsia"/>
        </w:rPr>
        <w:t>2</w:t>
      </w:r>
      <w:r w:rsidRPr="00BF42B7">
        <w:rPr>
          <w:rFonts w:hint="eastAsia"/>
        </w:rPr>
        <w:t>款</w:t>
      </w:r>
      <w:r w:rsidRPr="00BF42B7">
        <w:rPr>
          <w:rFonts w:hint="eastAsia"/>
        </w:rPr>
        <w:t>(</w:t>
      </w:r>
      <w:r w:rsidRPr="00BF42B7">
        <w:rPr>
          <w:rFonts w:hint="eastAsia"/>
        </w:rPr>
        <w:t>二</w:t>
      </w:r>
      <w:r w:rsidRPr="00BF42B7">
        <w:rPr>
          <w:rFonts w:hint="eastAsia"/>
        </w:rPr>
        <w:t>)</w:t>
      </w:r>
      <w:r w:rsidRPr="00BF42B7">
        <w:rPr>
          <w:rFonts w:hint="eastAsia"/>
        </w:rPr>
        <w:t>项下的“可行的预防措施”一词。</w:t>
      </w:r>
      <w:r w:rsidRPr="00BF42B7">
        <w:rPr>
          <w:rFonts w:hint="eastAsia"/>
        </w:rPr>
        <w:t>1980</w:t>
      </w:r>
      <w:r w:rsidRPr="00BF42B7">
        <w:rPr>
          <w:rFonts w:hint="eastAsia"/>
        </w:rPr>
        <w:t>年</w:t>
      </w:r>
      <w:r w:rsidRPr="00BF42B7">
        <w:rPr>
          <w:rFonts w:hint="eastAsia"/>
        </w:rPr>
        <w:t>10</w:t>
      </w:r>
      <w:r w:rsidRPr="00BF42B7">
        <w:rPr>
          <w:rFonts w:hint="eastAsia"/>
        </w:rPr>
        <w:t>月</w:t>
      </w:r>
      <w:r w:rsidRPr="00BF42B7">
        <w:rPr>
          <w:rFonts w:hint="eastAsia"/>
        </w:rPr>
        <w:t>10</w:t>
      </w:r>
      <w:r w:rsidRPr="00BF42B7">
        <w:rPr>
          <w:rFonts w:hint="eastAsia"/>
        </w:rPr>
        <w:t>日《禁止或限制使用地雷、诱杀装置和其他装置的议定书》</w:t>
      </w:r>
      <w:r w:rsidRPr="00BF42B7">
        <w:rPr>
          <w:rFonts w:hint="eastAsia"/>
        </w:rPr>
        <w:t>(</w:t>
      </w:r>
      <w:r w:rsidRPr="00BF42B7">
        <w:rPr>
          <w:rFonts w:hint="eastAsia"/>
        </w:rPr>
        <w:t>第二议定书</w:t>
      </w:r>
      <w:r w:rsidRPr="00BF42B7">
        <w:rPr>
          <w:rFonts w:hint="eastAsia"/>
        </w:rPr>
        <w:t>)</w:t>
      </w:r>
      <w:r w:rsidRPr="00BF42B7">
        <w:rPr>
          <w:rFonts w:hint="eastAsia"/>
        </w:rPr>
        <w:t>第</w:t>
      </w:r>
      <w:r w:rsidRPr="00BF42B7">
        <w:rPr>
          <w:rFonts w:hint="eastAsia"/>
        </w:rPr>
        <w:t>3</w:t>
      </w:r>
      <w:r w:rsidRPr="00BF42B7">
        <w:rPr>
          <w:rFonts w:hint="eastAsia"/>
        </w:rPr>
        <w:t>条第</w:t>
      </w:r>
      <w:r w:rsidRPr="00BF42B7">
        <w:rPr>
          <w:rFonts w:hint="eastAsia"/>
        </w:rPr>
        <w:t>4</w:t>
      </w:r>
      <w:r w:rsidRPr="00BF42B7">
        <w:rPr>
          <w:rFonts w:hint="eastAsia"/>
        </w:rPr>
        <w:t>款使用了该术语的含义，</w:t>
      </w:r>
      <w:r w:rsidRPr="00BF42B7">
        <w:rPr>
          <w:color w:val="0000FF"/>
          <w:vertAlign w:val="superscript"/>
        </w:rPr>
        <w:footnoteReference w:id="662"/>
      </w:r>
      <w:r w:rsidRPr="00BF42B7">
        <w:rPr>
          <w:color w:val="0000FF"/>
          <w:vertAlign w:val="superscript"/>
        </w:rPr>
        <w:t xml:space="preserve"> </w:t>
      </w:r>
      <w:r w:rsidRPr="00BF42B7">
        <w:rPr>
          <w:rFonts w:hint="eastAsia"/>
        </w:rPr>
        <w:t>其中规定：“可行的预防措施是指顾及当时存在的一切情况，包括人道和军事考虑以后所采取的实际可行或实际可能的预防措施。”这一定义逐渐通过嗣后惯例被接受，作为《一九四九年日内瓦四公约第一议定书》第</w:t>
      </w:r>
      <w:r w:rsidRPr="00BF42B7">
        <w:rPr>
          <w:rFonts w:hint="eastAsia"/>
        </w:rPr>
        <w:t>57</w:t>
      </w:r>
      <w:r w:rsidRPr="00BF42B7">
        <w:rPr>
          <w:rFonts w:hint="eastAsia"/>
        </w:rPr>
        <w:t>条第</w:t>
      </w:r>
      <w:r w:rsidRPr="00BF42B7">
        <w:rPr>
          <w:rFonts w:hint="eastAsia"/>
        </w:rPr>
        <w:t>2</w:t>
      </w:r>
      <w:r w:rsidRPr="00BF42B7">
        <w:rPr>
          <w:rFonts w:hint="eastAsia"/>
        </w:rPr>
        <w:t>款</w:t>
      </w:r>
      <w:r w:rsidRPr="00BF42B7">
        <w:rPr>
          <w:rFonts w:hint="eastAsia"/>
        </w:rPr>
        <w:t>(</w:t>
      </w:r>
      <w:r w:rsidRPr="00BF42B7">
        <w:rPr>
          <w:rFonts w:hint="eastAsia"/>
        </w:rPr>
        <w:t>二</w:t>
      </w:r>
      <w:r w:rsidRPr="00BF42B7">
        <w:rPr>
          <w:rFonts w:hint="eastAsia"/>
        </w:rPr>
        <w:t>)</w:t>
      </w:r>
      <w:r w:rsidRPr="00BF42B7">
        <w:rPr>
          <w:rFonts w:hint="eastAsia"/>
        </w:rPr>
        <w:t>项下“可行的预防措施”的一般定义出现在许多军事手册中。</w:t>
      </w:r>
      <w:r w:rsidRPr="00BF42B7">
        <w:rPr>
          <w:color w:val="0000FF"/>
          <w:vertAlign w:val="superscript"/>
        </w:rPr>
        <w:footnoteReference w:id="663"/>
      </w:r>
    </w:p>
    <w:p w:rsidR="008D7906" w:rsidRPr="00BF42B7" w:rsidRDefault="008D7906" w:rsidP="008D7906">
      <w:pPr>
        <w:pStyle w:val="SingleTxtGC"/>
        <w:rPr>
          <w:lang w:val="en-GB"/>
        </w:rPr>
      </w:pPr>
      <w:r w:rsidRPr="00BF42B7">
        <w:t>(18)</w:t>
      </w:r>
      <w:r w:rsidRPr="00BF42B7">
        <w:rPr>
          <w:rFonts w:hint="eastAsia"/>
        </w:rPr>
        <w:t xml:space="preserve">  </w:t>
      </w:r>
      <w:r w:rsidRPr="00BF42B7">
        <w:rPr>
          <w:rFonts w:hint="eastAsia"/>
        </w:rPr>
        <w:t>对第三十</w:t>
      </w:r>
      <w:r w:rsidRPr="00BF42B7">
        <w:rPr>
          <w:rFonts w:hint="eastAsia"/>
          <w:lang w:val="en-GB"/>
        </w:rPr>
        <w:t>一</w:t>
      </w:r>
      <w:r w:rsidRPr="00BF42B7">
        <w:rPr>
          <w:rFonts w:hint="eastAsia"/>
        </w:rPr>
        <w:t>条第三款</w:t>
      </w:r>
      <w:r w:rsidRPr="00BF42B7">
        <w:rPr>
          <w:rFonts w:hint="eastAsia"/>
        </w:rPr>
        <w:t>(b)</w:t>
      </w:r>
      <w:r w:rsidRPr="00BF42B7">
        <w:rPr>
          <w:rFonts w:hint="eastAsia"/>
        </w:rPr>
        <w:t>项和第三十二条之下的嗣后惯例进行识别，</w:t>
      </w:r>
      <w:r w:rsidRPr="00BF42B7">
        <w:rPr>
          <w:rFonts w:hint="eastAsia"/>
          <w:lang w:val="en-GB"/>
        </w:rPr>
        <w:t>使国内法院有时作出广和狭义的解释。例如，联合王国上议院援引缔约方嗣后行为，将《华沙公约》第二十六条第</w:t>
      </w:r>
      <w:r w:rsidRPr="00BF42B7">
        <w:rPr>
          <w:lang w:val="en-GB"/>
        </w:rPr>
        <w:t>(2)</w:t>
      </w:r>
      <w:r w:rsidRPr="00BF42B7">
        <w:rPr>
          <w:rFonts w:hint="eastAsia"/>
          <w:lang w:val="en-GB"/>
        </w:rPr>
        <w:t>款所述“损害”一词解释为亦包含“损失”。</w:t>
      </w:r>
      <w:r w:rsidRPr="00BF42B7">
        <w:rPr>
          <w:color w:val="0000FF"/>
          <w:vertAlign w:val="superscript"/>
        </w:rPr>
        <w:footnoteReference w:id="664"/>
      </w:r>
      <w:r w:rsidRPr="00BF42B7">
        <w:rPr>
          <w:color w:val="0000FF"/>
          <w:vertAlign w:val="superscript"/>
        </w:rPr>
        <w:t xml:space="preserve"> </w:t>
      </w:r>
      <w:r w:rsidRPr="00BF42B7">
        <w:rPr>
          <w:rFonts w:hint="eastAsia"/>
          <w:lang w:val="en-GB"/>
        </w:rPr>
        <w:t>另一方面，美国最高法院考虑到缔约方的嗣后惯例，决定对</w:t>
      </w:r>
      <w:r w:rsidRPr="00BF42B7">
        <w:t>1929</w:t>
      </w:r>
      <w:r w:rsidRPr="00BF42B7">
        <w:rPr>
          <w:rFonts w:hint="eastAsia"/>
        </w:rPr>
        <w:t>年</w:t>
      </w:r>
      <w:r w:rsidRPr="00BF42B7">
        <w:rPr>
          <w:rFonts w:hint="eastAsia"/>
          <w:lang w:val="en-GB"/>
        </w:rPr>
        <w:t>《华沙公约》第十七条所述“事故”一词进行狭义解释，即不包括非由意外或异常事件造成的事件。</w:t>
      </w:r>
      <w:r w:rsidRPr="00BF42B7">
        <w:rPr>
          <w:color w:val="0000FF"/>
          <w:vertAlign w:val="superscript"/>
        </w:rPr>
        <w:footnoteReference w:id="665"/>
      </w:r>
      <w:r w:rsidRPr="00BF42B7">
        <w:rPr>
          <w:color w:val="0000FF"/>
          <w:vertAlign w:val="superscript"/>
        </w:rPr>
        <w:t xml:space="preserve"> </w:t>
      </w:r>
      <w:r w:rsidRPr="00BF42B7">
        <w:rPr>
          <w:rFonts w:hint="eastAsia"/>
          <w:lang w:val="en-GB"/>
        </w:rPr>
        <w:t>另一个限制性解释的例子是澳大利亚联邦法院在裁决中将《维也纳外交关系公约》第二十二条所述“损害尊严”一词解释为仅要求接受国提供保护，防止破坏和平或扰乱使馆基本职能的行为，而不涉及任何形式的骚扰或侮辱。</w:t>
      </w:r>
      <w:r w:rsidRPr="00BF42B7">
        <w:rPr>
          <w:color w:val="0000FF"/>
          <w:vertAlign w:val="superscript"/>
        </w:rPr>
        <w:footnoteReference w:id="666"/>
      </w:r>
    </w:p>
    <w:p w:rsidR="008D7906" w:rsidRPr="00BF42B7" w:rsidRDefault="008D7906" w:rsidP="008D7906">
      <w:pPr>
        <w:pStyle w:val="SingleTxtGC"/>
        <w:rPr>
          <w:lang w:val="en-GB"/>
        </w:rPr>
      </w:pPr>
      <w:r w:rsidRPr="00BF42B7">
        <w:rPr>
          <w:lang w:val="en-GB"/>
        </w:rPr>
        <w:t>(19)</w:t>
      </w:r>
      <w:r w:rsidRPr="00BF42B7">
        <w:rPr>
          <w:rFonts w:hint="eastAsia"/>
          <w:lang w:val="en-GB"/>
        </w:rPr>
        <w:t xml:space="preserve">  </w:t>
      </w:r>
      <w:r w:rsidRPr="00BF42B7">
        <w:rPr>
          <w:rFonts w:hint="eastAsia"/>
          <w:lang w:val="en-GB"/>
        </w:rPr>
        <w:t>特别是国内法院，有时会参考其他国内法域的裁决，并从而开展“司法对话”，即使无法由此构成缔约方共识。</w:t>
      </w:r>
      <w:r w:rsidRPr="00BF42B7">
        <w:rPr>
          <w:color w:val="0000FF"/>
          <w:vertAlign w:val="superscript"/>
          <w:lang w:val="en-GB"/>
        </w:rPr>
        <w:footnoteReference w:id="667"/>
      </w:r>
      <w:r w:rsidRPr="00BF42B7">
        <w:rPr>
          <w:color w:val="0000FF"/>
          <w:vertAlign w:val="superscript"/>
          <w:lang w:val="en-GB"/>
        </w:rPr>
        <w:t xml:space="preserve"> </w:t>
      </w:r>
      <w:r w:rsidRPr="00BF42B7">
        <w:rPr>
          <w:rFonts w:hint="eastAsia"/>
          <w:lang w:val="en-GB"/>
        </w:rPr>
        <w:t>这种参考除了可根据第三十二条确认解释外，还有助于同其他国内法院一起制定嗣后惯例。</w:t>
      </w:r>
      <w:r w:rsidRPr="00BF42B7">
        <w:rPr>
          <w:color w:val="0000FF"/>
          <w:vertAlign w:val="superscript"/>
          <w:lang w:val="en-GB"/>
        </w:rPr>
        <w:footnoteReference w:id="668"/>
      </w:r>
      <w:r w:rsidRPr="00BF42B7">
        <w:rPr>
          <w:color w:val="0000FF"/>
          <w:vertAlign w:val="superscript"/>
          <w:lang w:val="en-GB"/>
        </w:rPr>
        <w:t xml:space="preserve"> </w:t>
      </w:r>
      <w:r w:rsidRPr="00BF42B7">
        <w:rPr>
          <w:rFonts w:hint="eastAsia"/>
          <w:lang w:val="en-GB"/>
        </w:rPr>
        <w:t>然而，适当使用与选择性援引其他国内法院的裁决之间的界限可能比较模糊。</w:t>
      </w:r>
      <w:r w:rsidRPr="00BF42B7">
        <w:rPr>
          <w:color w:val="0000FF"/>
          <w:vertAlign w:val="superscript"/>
          <w:lang w:val="en-GB"/>
        </w:rPr>
        <w:footnoteReference w:id="669"/>
      </w:r>
      <w:r w:rsidRPr="00BF42B7">
        <w:rPr>
          <w:color w:val="0000FF"/>
          <w:vertAlign w:val="superscript"/>
          <w:lang w:val="en-GB"/>
        </w:rPr>
        <w:t xml:space="preserve"> </w:t>
      </w:r>
      <w:r w:rsidRPr="00BF42B7">
        <w:rPr>
          <w:rFonts w:hint="eastAsia"/>
          <w:lang w:val="en-GB"/>
        </w:rPr>
        <w:t>上议院</w:t>
      </w:r>
      <w:r w:rsidRPr="00BF42B7">
        <w:rPr>
          <w:lang w:val="en-GB"/>
        </w:rPr>
        <w:t>Hope</w:t>
      </w:r>
      <w:r w:rsidRPr="00BF42B7">
        <w:rPr>
          <w:rFonts w:hint="eastAsia"/>
          <w:lang w:val="en-GB"/>
        </w:rPr>
        <w:t>勋爵援引维也纳解释规则而提供了一个总方向，他说：</w:t>
      </w:r>
    </w:p>
    <w:p w:rsidR="008D7906" w:rsidRPr="00BF42B7" w:rsidRDefault="008D7906" w:rsidP="008D7906">
      <w:pPr>
        <w:pStyle w:val="SingleTxtGC"/>
        <w:ind w:left="1565"/>
        <w:rPr>
          <w:lang w:val="en-GB"/>
        </w:rPr>
      </w:pPr>
      <w:r w:rsidRPr="00BF42B7">
        <w:rPr>
          <w:rFonts w:hint="eastAsia"/>
          <w:lang w:val="en-GB"/>
        </w:rPr>
        <w:t>“在理想的世界中，该《公约》的所有缔约方应赋予公约相同的含义。所以判例法提供了进一步的可能证据来源。需要认真考虑被要求处理所涉问题的其他法域法院的推理，特别是高级别法院。获得其他法域普遍接受的解释应获得很大的权重。另一方面，如果裁决相互矛盾，或裁决之间没有达成明确一致，则须采取区别对待的方法。”</w:t>
      </w:r>
      <w:r w:rsidRPr="00BF42B7">
        <w:rPr>
          <w:color w:val="0000FF"/>
          <w:vertAlign w:val="superscript"/>
          <w:lang w:val="en-GB"/>
        </w:rPr>
        <w:footnoteReference w:id="670"/>
      </w:r>
    </w:p>
    <w:p w:rsidR="008D7906" w:rsidRPr="00BF42B7" w:rsidRDefault="008D7906" w:rsidP="008D7906">
      <w:pPr>
        <w:pStyle w:val="SingleTxtGC"/>
        <w:rPr>
          <w:lang w:val="en-GB"/>
        </w:rPr>
      </w:pPr>
      <w:r w:rsidRPr="00BF42B7">
        <w:rPr>
          <w:lang w:val="en-GB"/>
        </w:rPr>
        <w:t>(20)</w:t>
      </w:r>
      <w:r w:rsidRPr="00BF42B7">
        <w:rPr>
          <w:rFonts w:hint="eastAsia"/>
          <w:lang w:val="en-GB"/>
        </w:rPr>
        <w:t xml:space="preserve">  </w:t>
      </w:r>
      <w:r w:rsidRPr="00BF42B7">
        <w:rPr>
          <w:rFonts w:hint="eastAsia"/>
        </w:rPr>
        <w:t>上述总方向的适用方式具很大的决定性。例如，应避免选择性援引某个特定国家法域的裁决或某个特定国家集团的惯例。</w:t>
      </w:r>
      <w:r w:rsidRPr="00BF42B7">
        <w:rPr>
          <w:color w:val="0000FF"/>
          <w:vertAlign w:val="superscript"/>
          <w:lang w:val="en-GB"/>
        </w:rPr>
        <w:footnoteReference w:id="671"/>
      </w:r>
      <w:r w:rsidRPr="00BF42B7">
        <w:rPr>
          <w:color w:val="0000FF"/>
          <w:vertAlign w:val="superscript"/>
          <w:lang w:val="en-GB"/>
        </w:rPr>
        <w:t xml:space="preserve"> </w:t>
      </w:r>
      <w:r w:rsidRPr="00BF42B7">
        <w:rPr>
          <w:rFonts w:hint="eastAsia"/>
        </w:rPr>
        <w:t>另一方面，当不同国内法域的惯例存在差异时，应着重于更具代表性的法域集团的惯例，</w:t>
      </w:r>
      <w:r w:rsidRPr="00BF42B7">
        <w:rPr>
          <w:color w:val="0000FF"/>
          <w:vertAlign w:val="superscript"/>
          <w:lang w:val="en-GB"/>
        </w:rPr>
        <w:footnoteReference w:id="672"/>
      </w:r>
      <w:r w:rsidRPr="00BF42B7">
        <w:rPr>
          <w:color w:val="0000FF"/>
          <w:vertAlign w:val="superscript"/>
          <w:lang w:val="en-GB"/>
        </w:rPr>
        <w:t xml:space="preserve"> </w:t>
      </w:r>
      <w:r w:rsidRPr="00BF42B7">
        <w:rPr>
          <w:rFonts w:hint="eastAsia"/>
        </w:rPr>
        <w:t>并将更大权重赋予更高级法院的裁决。</w:t>
      </w:r>
      <w:r w:rsidRPr="00BF42B7">
        <w:rPr>
          <w:color w:val="0000FF"/>
          <w:vertAlign w:val="superscript"/>
          <w:lang w:val="en-GB"/>
        </w:rPr>
        <w:footnoteReference w:id="673"/>
      </w:r>
    </w:p>
    <w:p w:rsidR="008D7906" w:rsidRPr="00BF42B7" w:rsidRDefault="008D7906" w:rsidP="008D7906">
      <w:pPr>
        <w:pStyle w:val="H4GC"/>
        <w:rPr>
          <w:rFonts w:eastAsia="楷体"/>
          <w:lang w:val="en-GB"/>
        </w:rPr>
      </w:pPr>
      <w:r w:rsidRPr="00BF42B7">
        <w:rPr>
          <w:rFonts w:eastAsia="楷体" w:hint="eastAsia"/>
          <w:lang w:val="en-GB"/>
        </w:rPr>
        <w:tab/>
      </w:r>
      <w:r w:rsidRPr="00BF42B7">
        <w:rPr>
          <w:rFonts w:eastAsia="楷体" w:hint="eastAsia"/>
          <w:lang w:val="en-GB"/>
        </w:rPr>
        <w:tab/>
      </w:r>
      <w:r w:rsidRPr="00BF42B7">
        <w:rPr>
          <w:rFonts w:eastAsia="楷体" w:hint="eastAsia"/>
          <w:lang w:val="en-GB"/>
        </w:rPr>
        <w:t>第</w:t>
      </w:r>
      <w:r w:rsidRPr="00BF42B7">
        <w:rPr>
          <w:rFonts w:eastAsia="楷体" w:hint="eastAsia"/>
          <w:lang w:val="en-GB"/>
        </w:rPr>
        <w:t>3</w:t>
      </w:r>
      <w:r w:rsidRPr="00BF42B7">
        <w:rPr>
          <w:rFonts w:eastAsia="楷体" w:hint="eastAsia"/>
          <w:lang w:val="en-GB"/>
        </w:rPr>
        <w:t>段</w:t>
      </w:r>
      <w:r w:rsidRPr="00BF42B7">
        <w:rPr>
          <w:rFonts w:eastAsia="楷体" w:hint="eastAsia"/>
          <w:spacing w:val="-50"/>
          <w:lang w:val="fr-CH"/>
        </w:rPr>
        <w:t>―</w:t>
      </w:r>
      <w:r w:rsidRPr="00BF42B7">
        <w:rPr>
          <w:rFonts w:eastAsia="楷体" w:hint="eastAsia"/>
          <w:lang w:val="fr-CH"/>
        </w:rPr>
        <w:t>―</w:t>
      </w:r>
      <w:r w:rsidRPr="00BF42B7">
        <w:rPr>
          <w:rFonts w:eastAsia="楷体" w:hint="eastAsia"/>
          <w:lang w:val="en-GB"/>
        </w:rPr>
        <w:t>解释与修改或修正</w:t>
      </w:r>
    </w:p>
    <w:p w:rsidR="008D7906" w:rsidRPr="00BF42B7" w:rsidRDefault="008D7906" w:rsidP="008D7906">
      <w:pPr>
        <w:pStyle w:val="SingleTxtGC"/>
        <w:rPr>
          <w:spacing w:val="4"/>
        </w:rPr>
      </w:pPr>
      <w:r w:rsidRPr="00BF42B7">
        <w:rPr>
          <w:rFonts w:hint="eastAsia"/>
        </w:rPr>
        <w:t xml:space="preserve">(21)  </w:t>
      </w:r>
      <w:r w:rsidRPr="00BF42B7">
        <w:rPr>
          <w:rFonts w:hint="eastAsia"/>
        </w:rPr>
        <w:t>结论草案</w:t>
      </w:r>
      <w:r w:rsidRPr="00BF42B7">
        <w:rPr>
          <w:rFonts w:hint="eastAsia"/>
        </w:rPr>
        <w:t>7</w:t>
      </w:r>
      <w:r w:rsidRPr="00BF42B7">
        <w:rPr>
          <w:rFonts w:hint="eastAsia"/>
        </w:rPr>
        <w:t>第</w:t>
      </w:r>
      <w:r w:rsidRPr="00BF42B7">
        <w:rPr>
          <w:rFonts w:hint="eastAsia"/>
        </w:rPr>
        <w:t>3</w:t>
      </w:r>
      <w:r w:rsidRPr="00BF42B7">
        <w:rPr>
          <w:rFonts w:hint="eastAsia"/>
        </w:rPr>
        <w:t>段讨论了嗣后协定和嗣后惯例可以在多大程度上影响条约解释，但又不超出</w:t>
      </w:r>
      <w:r w:rsidRPr="00BF42B7">
        <w:rPr>
          <w:rFonts w:hint="eastAsia"/>
          <w:spacing w:val="4"/>
        </w:rPr>
        <w:t>第三十一条第三款</w:t>
      </w:r>
      <w:r w:rsidRPr="00BF42B7">
        <w:rPr>
          <w:rFonts w:hint="eastAsia"/>
          <w:spacing w:val="4"/>
        </w:rPr>
        <w:t>(a)</w:t>
      </w:r>
      <w:r w:rsidRPr="00BF42B7">
        <w:rPr>
          <w:rFonts w:hint="eastAsia"/>
          <w:spacing w:val="4"/>
        </w:rPr>
        <w:t>项和</w:t>
      </w:r>
      <w:r w:rsidRPr="00BF42B7">
        <w:rPr>
          <w:rFonts w:hint="eastAsia"/>
          <w:spacing w:val="4"/>
        </w:rPr>
        <w:t>(b)</w:t>
      </w:r>
      <w:r w:rsidRPr="00BF42B7">
        <w:rPr>
          <w:rFonts w:hint="eastAsia"/>
          <w:spacing w:val="4"/>
        </w:rPr>
        <w:t>项意义下的解释范围。第</w:t>
      </w:r>
      <w:r w:rsidRPr="00BF42B7">
        <w:rPr>
          <w:rFonts w:hint="eastAsia"/>
          <w:spacing w:val="4"/>
        </w:rPr>
        <w:t>3</w:t>
      </w:r>
      <w:r w:rsidRPr="00BF42B7">
        <w:rPr>
          <w:rFonts w:hint="eastAsia"/>
          <w:spacing w:val="4"/>
        </w:rPr>
        <w:t>段提醒解释方，嗣后达成</w:t>
      </w:r>
      <w:r w:rsidRPr="00BF42B7">
        <w:rPr>
          <w:rFonts w:hint="eastAsia"/>
        </w:rPr>
        <w:t>的协定可能可以修正或修改条约，但是这类嗣后协定是</w:t>
      </w:r>
      <w:r w:rsidRPr="00BF42B7">
        <w:rPr>
          <w:rFonts w:hint="eastAsia"/>
        </w:rPr>
        <w:t>1969</w:t>
      </w:r>
      <w:r w:rsidRPr="00BF42B7">
        <w:rPr>
          <w:rFonts w:hint="eastAsia"/>
        </w:rPr>
        <w:t>年</w:t>
      </w:r>
      <w:r w:rsidRPr="00BF42B7">
        <w:rPr>
          <w:rFonts w:hint="eastAsia"/>
          <w:spacing w:val="4"/>
        </w:rPr>
        <w:t>《维也纳公约》第三十九条所指协定，应当与第三十一条第三款</w:t>
      </w:r>
      <w:r w:rsidRPr="00BF42B7">
        <w:rPr>
          <w:rFonts w:hint="eastAsia"/>
          <w:spacing w:val="4"/>
        </w:rPr>
        <w:t>(a)</w:t>
      </w:r>
      <w:r w:rsidRPr="00BF42B7">
        <w:rPr>
          <w:rFonts w:hint="eastAsia"/>
          <w:spacing w:val="4"/>
        </w:rPr>
        <w:t>项所指嗣后协定加以区分。第二句承认判例法中可能存在反例，文献中可能有不同意见，但是指出缔约方通过嗣后惯例修正或修改</w:t>
      </w:r>
      <w:r w:rsidRPr="00BF42B7">
        <w:rPr>
          <w:rFonts w:hint="eastAsia"/>
        </w:rPr>
        <w:t>条约的可能性尚未得到普</w:t>
      </w:r>
      <w:r w:rsidRPr="00BF42B7">
        <w:rPr>
          <w:rFonts w:hint="eastAsia"/>
          <w:spacing w:val="4"/>
        </w:rPr>
        <w:t>遍认可。</w:t>
      </w:r>
    </w:p>
    <w:p w:rsidR="008D7906" w:rsidRPr="00BF42B7" w:rsidRDefault="008D7906" w:rsidP="008D7906">
      <w:pPr>
        <w:pStyle w:val="SingleTxtGC"/>
      </w:pPr>
      <w:r w:rsidRPr="00BF42B7">
        <w:rPr>
          <w:rFonts w:hint="eastAsia"/>
        </w:rPr>
        <w:t>(22)  1969</w:t>
      </w:r>
      <w:r w:rsidRPr="00BF42B7">
        <w:rPr>
          <w:rFonts w:hint="eastAsia"/>
        </w:rPr>
        <w:t>年《维也纳公约》第三十九条规定：“条约得以当事国之协议修正之”。另一方面，第三十一条第三款</w:t>
      </w:r>
      <w:r w:rsidRPr="00BF42B7">
        <w:rPr>
          <w:rFonts w:hint="eastAsia"/>
        </w:rPr>
        <w:t>(a)</w:t>
      </w:r>
      <w:r w:rsidRPr="00BF42B7">
        <w:rPr>
          <w:rFonts w:hint="eastAsia"/>
        </w:rPr>
        <w:t>项提到“当事国嗣后所订关于条约之解释或其规定之适用之任何协定”，似乎不涉及修订或修改条约的问题。正如世贸组织上诉机构所称：</w:t>
      </w:r>
    </w:p>
    <w:p w:rsidR="008D7906" w:rsidRPr="00BF42B7" w:rsidRDefault="008D7906" w:rsidP="008D7906">
      <w:pPr>
        <w:pStyle w:val="SingleTxtGC"/>
        <w:ind w:left="1565"/>
      </w:pPr>
      <w:r w:rsidRPr="00BF42B7">
        <w:rPr>
          <w:rFonts w:hint="eastAsia"/>
        </w:rPr>
        <w:t>“……第三十一条第三款</w:t>
      </w:r>
      <w:r w:rsidRPr="00BF42B7">
        <w:rPr>
          <w:rFonts w:hint="eastAsia"/>
        </w:rPr>
        <w:t>(a)</w:t>
      </w:r>
      <w:r w:rsidRPr="00BF42B7">
        <w:rPr>
          <w:rFonts w:hint="eastAsia"/>
        </w:rPr>
        <w:t>项下的“适用”一词涉及协定具体规定如何‘适用’当前规则或义务的情况；该词不包含创造新义务或是延长受时间限制的当前义务的意思……”。</w:t>
      </w:r>
      <w:r w:rsidRPr="00BF42B7">
        <w:rPr>
          <w:color w:val="0000FF"/>
          <w:vertAlign w:val="superscript"/>
        </w:rPr>
        <w:footnoteReference w:id="674"/>
      </w:r>
    </w:p>
    <w:p w:rsidR="008D7906" w:rsidRPr="00BF42B7" w:rsidRDefault="008D7906" w:rsidP="008D7906">
      <w:pPr>
        <w:pStyle w:val="SingleTxtGC"/>
      </w:pPr>
      <w:r w:rsidRPr="00BF42B7">
        <w:rPr>
          <w:rFonts w:hint="eastAsia"/>
        </w:rPr>
        <w:t xml:space="preserve">(23)  </w:t>
      </w:r>
      <w:r w:rsidRPr="00BF42B7">
        <w:rPr>
          <w:rFonts w:hint="eastAsia"/>
        </w:rPr>
        <w:t>第三十一条第三款</w:t>
      </w:r>
      <w:r w:rsidRPr="00BF42B7">
        <w:rPr>
          <w:rFonts w:hint="eastAsia"/>
        </w:rPr>
        <w:t>(a)</w:t>
      </w:r>
      <w:r w:rsidRPr="00BF42B7">
        <w:rPr>
          <w:rFonts w:hint="eastAsia"/>
        </w:rPr>
        <w:t>项和第三十九条一并解读显示，缔约方在条约缔结后达成的协定可解释、修正或修改条约。</w:t>
      </w:r>
      <w:r w:rsidRPr="00BF42B7">
        <w:rPr>
          <w:color w:val="0000FF"/>
          <w:vertAlign w:val="superscript"/>
        </w:rPr>
        <w:footnoteReference w:id="675"/>
      </w:r>
      <w:r w:rsidRPr="00BF42B7">
        <w:rPr>
          <w:color w:val="0000FF"/>
          <w:vertAlign w:val="superscript"/>
        </w:rPr>
        <w:t xml:space="preserve"> </w:t>
      </w:r>
      <w:r w:rsidRPr="00BF42B7">
        <w:rPr>
          <w:rFonts w:hint="eastAsia"/>
        </w:rPr>
        <w:t>第三十九条所指协定不必采取与其修正的条约同样的形式。</w:t>
      </w:r>
      <w:bookmarkStart w:id="154" w:name="_Ref461974512"/>
      <w:r w:rsidRPr="00BF42B7">
        <w:rPr>
          <w:color w:val="0000FF"/>
          <w:vertAlign w:val="superscript"/>
        </w:rPr>
        <w:footnoteReference w:id="676"/>
      </w:r>
      <w:bookmarkEnd w:id="154"/>
      <w:r w:rsidRPr="00BF42B7">
        <w:rPr>
          <w:color w:val="0000FF"/>
          <w:vertAlign w:val="superscript"/>
        </w:rPr>
        <w:t xml:space="preserve"> </w:t>
      </w:r>
      <w:r w:rsidRPr="00BF42B7">
        <w:rPr>
          <w:rFonts w:hint="eastAsia"/>
        </w:rPr>
        <w:t>正如国际法院在</w:t>
      </w:r>
      <w:r w:rsidRPr="00BF42B7">
        <w:rPr>
          <w:rFonts w:ascii="Time New Roman" w:eastAsia="楷体" w:hAnsi="Time New Roman" w:hint="eastAsia"/>
        </w:rPr>
        <w:t>乌拉圭河沿岸纸浆案</w:t>
      </w:r>
      <w:r w:rsidRPr="00BF42B7">
        <w:rPr>
          <w:rFonts w:hint="eastAsia"/>
        </w:rPr>
        <w:t>中指出的：</w:t>
      </w:r>
    </w:p>
    <w:p w:rsidR="008D7906" w:rsidRPr="00BF42B7" w:rsidRDefault="008D7906" w:rsidP="008D7906">
      <w:pPr>
        <w:pStyle w:val="SingleTxtGC"/>
        <w:ind w:left="1565"/>
      </w:pPr>
      <w:r w:rsidRPr="00BF42B7">
        <w:rPr>
          <w:rFonts w:hint="eastAsia"/>
        </w:rPr>
        <w:t>“不论具体名称是什么，也不论记录在什么文书中</w:t>
      </w:r>
      <w:r w:rsidRPr="00BF42B7">
        <w:rPr>
          <w:rFonts w:hint="eastAsia"/>
        </w:rPr>
        <w:t>([</w:t>
      </w:r>
      <w:r w:rsidRPr="00BF42B7">
        <w:rPr>
          <w:rFonts w:hint="eastAsia"/>
        </w:rPr>
        <w:t>乌拉圭河行政委员会会议</w:t>
      </w:r>
      <w:r w:rsidRPr="00BF42B7">
        <w:rPr>
          <w:rFonts w:hint="eastAsia"/>
        </w:rPr>
        <w:t>]</w:t>
      </w:r>
      <w:r w:rsidRPr="00BF42B7">
        <w:rPr>
          <w:rFonts w:hint="eastAsia"/>
        </w:rPr>
        <w:t>记录</w:t>
      </w:r>
      <w:r w:rsidRPr="00BF42B7">
        <w:rPr>
          <w:rFonts w:hint="eastAsia"/>
        </w:rPr>
        <w:t>)</w:t>
      </w:r>
      <w:r w:rsidRPr="00BF42B7">
        <w:rPr>
          <w:rFonts w:hint="eastAsia"/>
        </w:rPr>
        <w:t>，这种‘谅解’只要是双方同意的，即对缔约方具有约束力，缔约方必须本着诚信遵守。就适当的双方协定确定的具体项目，它们有权不遵守</w:t>
      </w:r>
      <w:r w:rsidRPr="00BF42B7">
        <w:rPr>
          <w:rFonts w:hint="eastAsia"/>
        </w:rPr>
        <w:t>1975</w:t>
      </w:r>
      <w:r w:rsidRPr="00BF42B7">
        <w:rPr>
          <w:rFonts w:hint="eastAsia"/>
        </w:rPr>
        <w:t>年规约规定的程序。”</w:t>
      </w:r>
      <w:r w:rsidRPr="00BF42B7">
        <w:rPr>
          <w:color w:val="0000FF"/>
          <w:vertAlign w:val="superscript"/>
        </w:rPr>
        <w:footnoteReference w:id="677"/>
      </w:r>
    </w:p>
    <w:p w:rsidR="008D7906" w:rsidRPr="00BF42B7" w:rsidRDefault="008D7906" w:rsidP="008D7906">
      <w:pPr>
        <w:pStyle w:val="SingleTxtGC"/>
      </w:pPr>
      <w:r w:rsidRPr="00BF42B7">
        <w:rPr>
          <w:rFonts w:hint="eastAsia"/>
        </w:rPr>
        <w:t xml:space="preserve">(24)  </w:t>
      </w:r>
      <w:r w:rsidRPr="00BF42B7">
        <w:rPr>
          <w:rFonts w:hint="eastAsia"/>
        </w:rPr>
        <w:t>通常很难区分缔约方根据条约具体规定达成的赋予嗣后协定约束力的协定、第三十一条第三款</w:t>
      </w:r>
      <w:r w:rsidRPr="00BF42B7">
        <w:rPr>
          <w:rFonts w:hint="eastAsia"/>
        </w:rPr>
        <w:t>(a)</w:t>
      </w:r>
      <w:r w:rsidRPr="00BF42B7">
        <w:rPr>
          <w:rFonts w:hint="eastAsia"/>
        </w:rPr>
        <w:t>项所指不具有约束力的嗣后协定以及第三十九至四十一条所指修正或修改条约的协定。</w:t>
      </w:r>
      <w:r w:rsidRPr="00BF42B7">
        <w:rPr>
          <w:color w:val="0000FF"/>
          <w:vertAlign w:val="superscript"/>
        </w:rPr>
        <w:footnoteReference w:id="678"/>
      </w:r>
      <w:r w:rsidRPr="00BF42B7">
        <w:rPr>
          <w:color w:val="0000FF"/>
          <w:vertAlign w:val="superscript"/>
        </w:rPr>
        <w:t xml:space="preserve"> </w:t>
      </w:r>
      <w:r w:rsidRPr="00BF42B7">
        <w:rPr>
          <w:rFonts w:hint="eastAsia"/>
        </w:rPr>
        <w:t>国际判例法和国家实践表明，</w:t>
      </w:r>
      <w:r w:rsidRPr="00BF42B7">
        <w:rPr>
          <w:color w:val="0000FF"/>
          <w:vertAlign w:val="superscript"/>
        </w:rPr>
        <w:footnoteReference w:id="679"/>
      </w:r>
      <w:r w:rsidRPr="00BF42B7">
        <w:rPr>
          <w:color w:val="0000FF"/>
          <w:vertAlign w:val="superscript"/>
        </w:rPr>
        <w:t xml:space="preserve"> </w:t>
      </w:r>
      <w:r w:rsidRPr="00BF42B7">
        <w:rPr>
          <w:rFonts w:hint="eastAsia"/>
        </w:rPr>
        <w:t>对克减条约义务的非正式协定应当作出狭义的解释。除适用条约本身可能作出的规定外，似乎没有第三十九条</w:t>
      </w:r>
      <w:r w:rsidRPr="00BF42B7">
        <w:rPr>
          <w:rFonts w:hint="eastAsia"/>
        </w:rPr>
        <w:t>(</w:t>
      </w:r>
      <w:r w:rsidRPr="00BF42B7">
        <w:rPr>
          <w:rFonts w:hint="eastAsia"/>
        </w:rPr>
        <w:t>如果适用的话</w:t>
      </w:r>
      <w:r w:rsidRPr="00BF42B7">
        <w:rPr>
          <w:rFonts w:hint="eastAsia"/>
        </w:rPr>
        <w:t>)</w:t>
      </w:r>
      <w:r w:rsidRPr="00BF42B7">
        <w:rPr>
          <w:rFonts w:hint="eastAsia"/>
        </w:rPr>
        <w:t>以外的任何区分不同形式嗣后协定的正式标准。不过，很明显，国家和国际法庭基本都愿意给予缔约国相当大的通过嗣后协定解释条约的空间。这种空间甚至可以超出条约术语的通常含义。国家和法院认可条约的解释空间，却不太愿意认可协定实际具有修正或修改条约的效果。</w:t>
      </w:r>
      <w:r w:rsidRPr="00BF42B7">
        <w:rPr>
          <w:color w:val="0000FF"/>
          <w:vertAlign w:val="superscript"/>
        </w:rPr>
        <w:footnoteReference w:id="680"/>
      </w:r>
      <w:r w:rsidRPr="00BF42B7">
        <w:rPr>
          <w:color w:val="0000FF"/>
          <w:vertAlign w:val="superscript"/>
        </w:rPr>
        <w:t xml:space="preserve"> </w:t>
      </w:r>
      <w:r w:rsidRPr="00BF42B7">
        <w:rPr>
          <w:rFonts w:hint="eastAsia"/>
        </w:rPr>
        <w:t>因此，不排除协定对条约的修改，但也不假定具有这种效果。</w:t>
      </w:r>
      <w:r w:rsidRPr="00BF42B7">
        <w:rPr>
          <w:color w:val="0000FF"/>
          <w:vertAlign w:val="superscript"/>
        </w:rPr>
        <w:footnoteReference w:id="681"/>
      </w:r>
    </w:p>
    <w:p w:rsidR="008D7906" w:rsidRPr="00BF42B7" w:rsidRDefault="008D7906" w:rsidP="008D7906">
      <w:pPr>
        <w:pStyle w:val="SingleTxtGC"/>
      </w:pPr>
      <w:r w:rsidRPr="00BF42B7">
        <w:rPr>
          <w:rFonts w:hint="eastAsia"/>
        </w:rPr>
        <w:t xml:space="preserve">(25)  </w:t>
      </w:r>
      <w:r w:rsidRPr="00BF42B7">
        <w:rPr>
          <w:rFonts w:hint="eastAsia"/>
        </w:rPr>
        <w:t>关于缔约方是否可以通过共同的嗣后惯例修正或修改条约，委员会最初在条约法条款草案中提议将以下条款纳入</w:t>
      </w:r>
      <w:r w:rsidRPr="00BF42B7">
        <w:rPr>
          <w:rFonts w:hint="eastAsia"/>
        </w:rPr>
        <w:t>1969</w:t>
      </w:r>
      <w:r w:rsidRPr="00BF42B7">
        <w:rPr>
          <w:rFonts w:hint="eastAsia"/>
        </w:rPr>
        <w:t>年《维也纳公约》，这将明确认可通过嗣后惯例修改条约的可能性：</w:t>
      </w:r>
    </w:p>
    <w:p w:rsidR="008D7906" w:rsidRPr="00BF42B7" w:rsidRDefault="008D7906" w:rsidP="008D7906">
      <w:pPr>
        <w:pStyle w:val="SingleTxtGC"/>
        <w:ind w:left="1565"/>
      </w:pPr>
      <w:r w:rsidRPr="00BF42B7">
        <w:rPr>
          <w:rFonts w:hint="eastAsia"/>
        </w:rPr>
        <w:t>“第三十八条通过嗣后惯例修改条约</w:t>
      </w:r>
    </w:p>
    <w:p w:rsidR="008D7906" w:rsidRPr="00BF42B7" w:rsidRDefault="008D7906" w:rsidP="008D7906">
      <w:pPr>
        <w:pStyle w:val="SingleTxtGC"/>
        <w:ind w:left="1565"/>
      </w:pPr>
      <w:r w:rsidRPr="00BF42B7">
        <w:rPr>
          <w:rFonts w:hint="eastAsia"/>
        </w:rPr>
        <w:t>在条约适用方面确定缔约方对修改其规定达成一致的嗣后惯例可修改条约。”</w:t>
      </w:r>
      <w:r w:rsidRPr="00BF42B7">
        <w:rPr>
          <w:color w:val="0000FF"/>
          <w:vertAlign w:val="superscript"/>
        </w:rPr>
        <w:footnoteReference w:id="682"/>
      </w:r>
    </w:p>
    <w:p w:rsidR="008D7906" w:rsidRPr="00BF42B7" w:rsidRDefault="008D7906" w:rsidP="008D7906">
      <w:pPr>
        <w:pStyle w:val="SingleTxtGC"/>
      </w:pPr>
      <w:r w:rsidRPr="00BF42B7">
        <w:rPr>
          <w:rFonts w:hint="eastAsia"/>
        </w:rPr>
        <w:t xml:space="preserve">(26)  </w:t>
      </w:r>
      <w:r w:rsidRPr="00BF42B7">
        <w:rPr>
          <w:rFonts w:hint="eastAsia"/>
        </w:rPr>
        <w:t>该条款草案在维也纳会议上引起了激烈争论。</w:t>
      </w:r>
      <w:r w:rsidRPr="00BF42B7">
        <w:rPr>
          <w:color w:val="0000FF"/>
          <w:vertAlign w:val="superscript"/>
        </w:rPr>
        <w:footnoteReference w:id="683"/>
      </w:r>
      <w:r w:rsidRPr="00BF42B7">
        <w:rPr>
          <w:color w:val="0000FF"/>
          <w:vertAlign w:val="superscript"/>
        </w:rPr>
        <w:t xml:space="preserve"> </w:t>
      </w:r>
      <w:r w:rsidRPr="00BF42B7">
        <w:rPr>
          <w:rFonts w:hint="eastAsia"/>
        </w:rPr>
        <w:t>删除第三十八条草案的修正案付诸表决，以</w:t>
      </w:r>
      <w:r w:rsidRPr="00BF42B7">
        <w:rPr>
          <w:rFonts w:hint="eastAsia"/>
        </w:rPr>
        <w:t>53</w:t>
      </w:r>
      <w:r w:rsidRPr="00BF42B7">
        <w:rPr>
          <w:rFonts w:hint="eastAsia"/>
        </w:rPr>
        <w:t>票赞成、</w:t>
      </w:r>
      <w:r w:rsidRPr="00BF42B7">
        <w:rPr>
          <w:rFonts w:hint="eastAsia"/>
        </w:rPr>
        <w:t>15</w:t>
      </w:r>
      <w:r w:rsidRPr="00BF42B7">
        <w:rPr>
          <w:rFonts w:hint="eastAsia"/>
        </w:rPr>
        <w:t>票反对、</w:t>
      </w:r>
      <w:r w:rsidRPr="00BF42B7">
        <w:rPr>
          <w:rFonts w:hint="eastAsia"/>
        </w:rPr>
        <w:t>26</w:t>
      </w:r>
      <w:r w:rsidRPr="00BF42B7">
        <w:rPr>
          <w:rFonts w:hint="eastAsia"/>
        </w:rPr>
        <w:t>票弃权通过。维也纳会议后，讨论了这一问题：否决第三十八条草案是否意味着排除了缔约方通过嗣后惯例修改条约的可能性。许多著述者得出结论称，谈判国只是不想在</w:t>
      </w:r>
      <w:r w:rsidRPr="00BF42B7">
        <w:rPr>
          <w:rFonts w:hint="eastAsia"/>
        </w:rPr>
        <w:t>1969</w:t>
      </w:r>
      <w:r w:rsidRPr="00BF42B7">
        <w:rPr>
          <w:rFonts w:hint="eastAsia"/>
        </w:rPr>
        <w:t>年《公约》中讨论该问题，而按照习惯法的一般规则，确定缔约方对修改条约达成一致的嗣后惯例的确可以修改条约。</w:t>
      </w:r>
      <w:bookmarkStart w:id="155" w:name="_Ref461976188"/>
      <w:r w:rsidRPr="00BF42B7">
        <w:rPr>
          <w:color w:val="0000FF"/>
          <w:vertAlign w:val="superscript"/>
        </w:rPr>
        <w:footnoteReference w:id="684"/>
      </w:r>
      <w:bookmarkEnd w:id="155"/>
      <w:r w:rsidRPr="00BF42B7">
        <w:rPr>
          <w:color w:val="0000FF"/>
          <w:vertAlign w:val="superscript"/>
        </w:rPr>
        <w:t xml:space="preserve"> </w:t>
      </w:r>
      <w:r w:rsidRPr="00BF42B7">
        <w:rPr>
          <w:rFonts w:hint="eastAsia"/>
        </w:rPr>
        <w:t>不过，自</w:t>
      </w:r>
      <w:r w:rsidRPr="00BF42B7">
        <w:rPr>
          <w:rFonts w:hint="eastAsia"/>
        </w:rPr>
        <w:t>1969</w:t>
      </w:r>
      <w:r w:rsidRPr="00BF42B7">
        <w:rPr>
          <w:rFonts w:hint="eastAsia"/>
        </w:rPr>
        <w:t>年《维也纳公约》通过以来，国际法院和仲裁法庭通常避免承认这种可能性。</w:t>
      </w:r>
    </w:p>
    <w:p w:rsidR="008D7906" w:rsidRPr="00BF42B7" w:rsidRDefault="008D7906" w:rsidP="008D7906">
      <w:pPr>
        <w:pStyle w:val="SingleTxtGC"/>
        <w:rPr>
          <w:lang w:val="fr-FR"/>
        </w:rPr>
      </w:pPr>
      <w:r w:rsidRPr="00BF42B7">
        <w:rPr>
          <w:rFonts w:hint="eastAsia"/>
          <w:lang w:val="fr-FR"/>
        </w:rPr>
        <w:t xml:space="preserve">(27)  </w:t>
      </w:r>
      <w:r w:rsidRPr="00BF42B7">
        <w:rPr>
          <w:rFonts w:hint="eastAsia"/>
          <w:lang w:val="fr-FR"/>
        </w:rPr>
        <w:t>在</w:t>
      </w:r>
      <w:r w:rsidRPr="00BF42B7">
        <w:rPr>
          <w:rFonts w:ascii="Time New Roman" w:eastAsia="楷体" w:hAnsi="Time New Roman" w:hint="eastAsia"/>
          <w:lang w:val="fr-FR"/>
        </w:rPr>
        <w:t>关于航行权和相关权利的争端案</w:t>
      </w:r>
      <w:r w:rsidRPr="00BF42B7">
        <w:rPr>
          <w:rFonts w:hint="eastAsia"/>
          <w:lang w:val="fr-FR"/>
        </w:rPr>
        <w:t>中，国际法院主张：“《维也纳公约》第三十一条第三款</w:t>
      </w:r>
      <w:r w:rsidRPr="00BF42B7">
        <w:rPr>
          <w:rFonts w:hint="eastAsia"/>
          <w:lang w:val="fr-FR"/>
        </w:rPr>
        <w:t>(b)</w:t>
      </w:r>
      <w:r w:rsidRPr="00BF42B7">
        <w:rPr>
          <w:rFonts w:hint="eastAsia"/>
          <w:lang w:val="fr-FR"/>
        </w:rPr>
        <w:t>项意义下的缔约国的嗣后惯例可能导致违背基于默认同意的初始意图”。</w:t>
      </w:r>
      <w:r w:rsidRPr="00BF42B7">
        <w:rPr>
          <w:color w:val="0000FF"/>
          <w:vertAlign w:val="superscript"/>
          <w:lang w:val="fr-FR"/>
        </w:rPr>
        <w:footnoteReference w:id="685"/>
      </w:r>
      <w:r w:rsidRPr="00BF42B7">
        <w:rPr>
          <w:color w:val="0000FF"/>
          <w:vertAlign w:val="superscript"/>
          <w:lang w:val="fr-FR"/>
        </w:rPr>
        <w:t xml:space="preserve"> </w:t>
      </w:r>
      <w:r w:rsidRPr="00BF42B7">
        <w:rPr>
          <w:rFonts w:hint="eastAsia"/>
          <w:lang w:val="fr-FR"/>
        </w:rPr>
        <w:t>不是很清楚法院这样说是想承认第三十一条第三款</w:t>
      </w:r>
      <w:r w:rsidRPr="00BF42B7">
        <w:rPr>
          <w:rFonts w:hint="eastAsia"/>
          <w:lang w:val="fr-FR"/>
        </w:rPr>
        <w:t>(b)</w:t>
      </w:r>
      <w:r w:rsidRPr="00BF42B7">
        <w:rPr>
          <w:rFonts w:hint="eastAsia"/>
          <w:lang w:val="fr-FR"/>
        </w:rPr>
        <w:t>项所指的嗣后协定也可以具有修正或修改条约的效果，还是只是就条约解释发表意见，因为缔约方的“初始”意图未必就条约解释下了定论。事实上，委员会在暂时</w:t>
      </w:r>
      <w:r w:rsidRPr="00BF42B7">
        <w:rPr>
          <w:rFonts w:hint="eastAsia"/>
          <w:spacing w:val="-2"/>
          <w:lang w:val="fr-FR"/>
        </w:rPr>
        <w:t>结论草案</w:t>
      </w:r>
      <w:r w:rsidRPr="00BF42B7">
        <w:rPr>
          <w:rFonts w:hint="eastAsia"/>
          <w:spacing w:val="-2"/>
          <w:lang w:val="fr-FR"/>
        </w:rPr>
        <w:t>8</w:t>
      </w:r>
      <w:r w:rsidRPr="00BF42B7">
        <w:rPr>
          <w:spacing w:val="-2"/>
        </w:rPr>
        <w:t>[</w:t>
      </w:r>
      <w:r w:rsidRPr="00BF42B7">
        <w:rPr>
          <w:rFonts w:hint="eastAsia"/>
          <w:spacing w:val="-2"/>
        </w:rPr>
        <w:t>3</w:t>
      </w:r>
      <w:r w:rsidRPr="00BF42B7">
        <w:rPr>
          <w:spacing w:val="-2"/>
        </w:rPr>
        <w:t>]</w:t>
      </w:r>
      <w:r w:rsidRPr="00BF42B7">
        <w:rPr>
          <w:rFonts w:hint="eastAsia"/>
          <w:spacing w:val="-2"/>
          <w:lang w:val="fr-FR"/>
        </w:rPr>
        <w:t>中确认，嗣后协定和嗣后惯例与其他解释资料一样，“</w:t>
      </w:r>
      <w:r w:rsidRPr="00BF42B7">
        <w:rPr>
          <w:rFonts w:hint="eastAsia"/>
          <w:spacing w:val="-2"/>
        </w:rPr>
        <w:t>可协助确定缔约方在缔结条约之时的推定意图是不是赋予用语以能够随时间演变的含义</w:t>
      </w:r>
      <w:r w:rsidRPr="00BF42B7">
        <w:rPr>
          <w:rFonts w:hint="eastAsia"/>
          <w:spacing w:val="-2"/>
          <w:lang w:val="fr-FR"/>
        </w:rPr>
        <w:t>”。</w:t>
      </w:r>
      <w:r w:rsidRPr="00BF42B7">
        <w:rPr>
          <w:color w:val="0000FF"/>
          <w:spacing w:val="-2"/>
          <w:vertAlign w:val="superscript"/>
          <w:lang w:val="fr-FR"/>
        </w:rPr>
        <w:footnoteReference w:id="686"/>
      </w:r>
      <w:r w:rsidRPr="00BF42B7">
        <w:rPr>
          <w:color w:val="0000FF"/>
          <w:vertAlign w:val="superscript"/>
          <w:lang w:val="fr-FR"/>
        </w:rPr>
        <w:t xml:space="preserve"> </w:t>
      </w:r>
      <w:r w:rsidRPr="00BF42B7">
        <w:rPr>
          <w:rFonts w:hint="eastAsia"/>
          <w:lang w:val="fr-FR"/>
        </w:rPr>
        <w:t>因此，“解释”的余地未必由固定的“初始意图”确定，而必须考虑到广泛的因素，包括某些后来的发展。国际法院这一较含糊的判词提出了第三十一条第三款</w:t>
      </w:r>
      <w:r w:rsidRPr="00BF42B7">
        <w:rPr>
          <w:rFonts w:hint="eastAsia"/>
          <w:lang w:val="fr-FR"/>
        </w:rPr>
        <w:t>(b)</w:t>
      </w:r>
      <w:r w:rsidRPr="00BF42B7">
        <w:rPr>
          <w:rFonts w:hint="eastAsia"/>
          <w:lang w:val="fr-FR"/>
        </w:rPr>
        <w:t>项所指的嗣后惯例可以在多大程度上有助于“解释”的问题，以及嗣后惯例可否具有修正或修改条约的效果的问题。事实上，在实践中，条约的解释与条约的修正或修改之间的界线有时“很难确定，即便有可能确定”。</w:t>
      </w:r>
      <w:bookmarkStart w:id="156" w:name="_Ref461976352"/>
      <w:r w:rsidRPr="00BF42B7">
        <w:rPr>
          <w:color w:val="0000FF"/>
          <w:vertAlign w:val="superscript"/>
          <w:lang w:val="fr-FR"/>
        </w:rPr>
        <w:footnoteReference w:id="687"/>
      </w:r>
      <w:bookmarkEnd w:id="156"/>
    </w:p>
    <w:p w:rsidR="008D7906" w:rsidRPr="00BF42B7" w:rsidRDefault="008D7906" w:rsidP="008D7906">
      <w:pPr>
        <w:pStyle w:val="SingleTxtGC"/>
        <w:rPr>
          <w:lang w:val="fr-FR"/>
        </w:rPr>
      </w:pPr>
      <w:r w:rsidRPr="00BF42B7">
        <w:rPr>
          <w:rFonts w:hint="eastAsia"/>
          <w:lang w:val="fr-FR"/>
        </w:rPr>
        <w:t xml:space="preserve">(28)  </w:t>
      </w:r>
      <w:r w:rsidRPr="00BF42B7">
        <w:rPr>
          <w:rFonts w:hint="eastAsia"/>
          <w:lang w:val="fr-FR"/>
        </w:rPr>
        <w:t>除了在</w:t>
      </w:r>
      <w:r w:rsidRPr="00BF42B7">
        <w:rPr>
          <w:rFonts w:ascii="Time New Roman" w:eastAsia="楷体" w:hAnsi="Time New Roman" w:hint="eastAsia"/>
          <w:lang w:val="fr-FR"/>
        </w:rPr>
        <w:t>关于航行权和相关权利的争端案</w:t>
      </w:r>
      <w:r w:rsidRPr="00BF42B7">
        <w:rPr>
          <w:rFonts w:hint="eastAsia"/>
          <w:lang w:val="fr-FR"/>
        </w:rPr>
        <w:t>中的判词外，</w:t>
      </w:r>
      <w:r w:rsidRPr="00BF42B7">
        <w:rPr>
          <w:color w:val="0000FF"/>
          <w:vertAlign w:val="superscript"/>
          <w:lang w:val="fr-FR"/>
        </w:rPr>
        <w:footnoteReference w:id="688"/>
      </w:r>
      <w:r w:rsidRPr="00BF42B7">
        <w:rPr>
          <w:color w:val="0000FF"/>
          <w:vertAlign w:val="superscript"/>
          <w:lang w:val="fr-FR"/>
        </w:rPr>
        <w:t xml:space="preserve"> </w:t>
      </w:r>
      <w:r w:rsidRPr="00BF42B7">
        <w:rPr>
          <w:rFonts w:hint="eastAsia"/>
          <w:lang w:val="fr-FR"/>
        </w:rPr>
        <w:t>国际法院再没有明确确认某项嗣后惯例具有修改条约的效果。在关于</w:t>
      </w:r>
      <w:r w:rsidRPr="00BF42B7">
        <w:rPr>
          <w:rFonts w:ascii="Time New Roman" w:eastAsia="楷体" w:hAnsi="Time New Roman" w:hint="eastAsia"/>
          <w:lang w:val="fr-FR"/>
        </w:rPr>
        <w:t>纳米比亚的咨询意见</w:t>
      </w:r>
      <w:r w:rsidRPr="00BF42B7">
        <w:rPr>
          <w:rFonts w:hint="eastAsia"/>
          <w:lang w:val="fr-FR"/>
        </w:rPr>
        <w:t>和关于</w:t>
      </w:r>
      <w:r w:rsidRPr="00BF42B7">
        <w:rPr>
          <w:rFonts w:ascii="Time New Roman" w:eastAsia="楷体" w:hAnsi="Time New Roman" w:hint="eastAsia"/>
          <w:lang w:val="fr-FR"/>
        </w:rPr>
        <w:t>隔离墙的咨询意见</w:t>
      </w:r>
      <w:r w:rsidRPr="00BF42B7">
        <w:rPr>
          <w:rFonts w:hint="eastAsia"/>
          <w:lang w:val="fr-FR"/>
        </w:rPr>
        <w:t>中尤为如此，法院在意见中承认嗣后惯例对确定条约的含义有重要影响，但是没有明确承认这类惯例导致了对条约的修正或修改。</w:t>
      </w:r>
      <w:r w:rsidRPr="00BF42B7">
        <w:rPr>
          <w:color w:val="0000FF"/>
          <w:vertAlign w:val="superscript"/>
          <w:lang w:val="fr-FR"/>
        </w:rPr>
        <w:footnoteReference w:id="689"/>
      </w:r>
      <w:r w:rsidRPr="00BF42B7">
        <w:rPr>
          <w:color w:val="0000FF"/>
          <w:vertAlign w:val="superscript"/>
          <w:lang w:val="fr-FR"/>
        </w:rPr>
        <w:t xml:space="preserve"> </w:t>
      </w:r>
      <w:r w:rsidRPr="00BF42B7">
        <w:rPr>
          <w:rFonts w:hint="eastAsia"/>
          <w:lang w:val="fr-FR"/>
        </w:rPr>
        <w:t>鉴于这些意见涉及设立国际组织的条约，似乎很难从中得出条约法的一般规则。与国际组织组成文书有关的嗣后协定和嗣后惯例问题在结论草案</w:t>
      </w:r>
      <w:r w:rsidRPr="00BF42B7">
        <w:rPr>
          <w:rFonts w:hint="eastAsia"/>
          <w:lang w:val="fr-FR"/>
        </w:rPr>
        <w:t>12[11]</w:t>
      </w:r>
      <w:r w:rsidRPr="00BF42B7">
        <w:rPr>
          <w:rFonts w:hint="eastAsia"/>
          <w:lang w:val="fr-FR"/>
        </w:rPr>
        <w:t>中阐述。</w:t>
      </w:r>
      <w:r w:rsidRPr="00BF42B7">
        <w:rPr>
          <w:color w:val="0000FF"/>
          <w:vertAlign w:val="superscript"/>
          <w:lang w:val="fr-FR"/>
        </w:rPr>
        <w:footnoteReference w:id="690"/>
      </w:r>
    </w:p>
    <w:p w:rsidR="008D7906" w:rsidRPr="00BF42B7" w:rsidRDefault="008D7906" w:rsidP="008D7906">
      <w:pPr>
        <w:pStyle w:val="SingleTxtGC"/>
        <w:rPr>
          <w:lang w:val="fr-FR"/>
        </w:rPr>
      </w:pPr>
      <w:r w:rsidRPr="00BF42B7">
        <w:rPr>
          <w:rFonts w:hint="eastAsia"/>
          <w:lang w:val="fr-FR"/>
        </w:rPr>
        <w:t xml:space="preserve">(29)  </w:t>
      </w:r>
      <w:r w:rsidRPr="00BF42B7">
        <w:rPr>
          <w:rFonts w:hint="eastAsia"/>
          <w:lang w:val="fr-FR"/>
        </w:rPr>
        <w:t>国际法院遇到缔约方可能通过嗣后惯例修改条约问题的其他重要案件涉及边界条约。正如法院在</w:t>
      </w:r>
      <w:r w:rsidRPr="00BF42B7">
        <w:rPr>
          <w:rFonts w:ascii="Time New Roman" w:eastAsia="楷体" w:hAnsi="Time New Roman" w:hint="eastAsia"/>
          <w:lang w:val="fr-FR"/>
        </w:rPr>
        <w:t>喀麦隆和尼日利亚间陆地和海洋疆界案</w:t>
      </w:r>
      <w:r w:rsidRPr="00BF42B7">
        <w:rPr>
          <w:rFonts w:hint="eastAsia"/>
          <w:lang w:val="fr-FR"/>
        </w:rPr>
        <w:t>中指出的：</w:t>
      </w:r>
    </w:p>
    <w:p w:rsidR="008D7906" w:rsidRPr="00BF42B7" w:rsidRDefault="008D7906" w:rsidP="008D7906">
      <w:pPr>
        <w:pStyle w:val="SingleTxtGC"/>
        <w:ind w:left="1565"/>
        <w:rPr>
          <w:lang w:val="fr-FR"/>
        </w:rPr>
      </w:pPr>
      <w:r w:rsidRPr="00BF42B7">
        <w:rPr>
          <w:rFonts w:hint="eastAsia"/>
          <w:lang w:val="fr-FR"/>
        </w:rPr>
        <w:t>“喀麦隆在该领土内的行为只牵涉到它是否默认对条约的修改的问题，法律上不能完全排除修改条约的可能性</w:t>
      </w:r>
      <w:r w:rsidRPr="00BF42B7">
        <w:rPr>
          <w:rFonts w:hint="eastAsia"/>
          <w:spacing w:val="2"/>
        </w:rPr>
        <w:t>……</w:t>
      </w:r>
      <w:r w:rsidRPr="00BF42B7">
        <w:rPr>
          <w:rFonts w:hint="eastAsia"/>
          <w:lang w:val="fr-FR"/>
        </w:rPr>
        <w:t>”</w:t>
      </w:r>
      <w:r w:rsidRPr="00BF42B7">
        <w:rPr>
          <w:color w:val="0000FF"/>
          <w:vertAlign w:val="superscript"/>
          <w:lang w:val="fr-FR"/>
        </w:rPr>
        <w:footnoteReference w:id="691"/>
      </w:r>
    </w:p>
    <w:p w:rsidR="008D7906" w:rsidRPr="00BF42B7" w:rsidRDefault="008D7906" w:rsidP="008D7906">
      <w:pPr>
        <w:pStyle w:val="SingleTxtGC"/>
        <w:rPr>
          <w:lang w:val="fr-FR"/>
        </w:rPr>
      </w:pPr>
      <w:r w:rsidRPr="00BF42B7">
        <w:rPr>
          <w:rFonts w:hint="eastAsia"/>
          <w:lang w:val="fr-FR"/>
        </w:rPr>
        <w:t>(30)</w:t>
      </w:r>
      <w:r w:rsidRPr="00BF42B7">
        <w:rPr>
          <w:rFonts w:hint="eastAsia"/>
        </w:rPr>
        <w:t xml:space="preserve">  </w:t>
      </w:r>
      <w:r w:rsidRPr="00BF42B7">
        <w:rPr>
          <w:rFonts w:hint="eastAsia"/>
        </w:rPr>
        <w:t>法院在</w:t>
      </w:r>
      <w:r w:rsidRPr="00BF42B7">
        <w:rPr>
          <w:rFonts w:ascii="Time New Roman" w:eastAsia="楷体" w:hAnsi="Time New Roman" w:hint="eastAsia"/>
          <w:lang w:val="fr-FR"/>
        </w:rPr>
        <w:t>柏威夏寺案</w:t>
      </w:r>
      <w:r w:rsidRPr="00BF42B7">
        <w:rPr>
          <w:rFonts w:hint="eastAsia"/>
        </w:rPr>
        <w:t>中认定存在这种默认，法院强调，一方</w:t>
      </w:r>
      <w:r w:rsidRPr="00BF42B7">
        <w:t>(</w:t>
      </w:r>
      <w:r w:rsidRPr="00BF42B7">
        <w:rPr>
          <w:rFonts w:hint="eastAsia"/>
        </w:rPr>
        <w:t>法国</w:t>
      </w:r>
      <w:r w:rsidRPr="00BF42B7">
        <w:t>)</w:t>
      </w:r>
      <w:r w:rsidRPr="00BF42B7">
        <w:rPr>
          <w:rFonts w:hint="eastAsia"/>
        </w:rPr>
        <w:t>明确声称主权，因此认为另一方</w:t>
      </w:r>
      <w:r w:rsidRPr="00BF42B7">
        <w:t>(</w:t>
      </w:r>
      <w:r w:rsidRPr="00BF42B7">
        <w:rPr>
          <w:rFonts w:hint="eastAsia"/>
        </w:rPr>
        <w:t>泰国</w:t>
      </w:r>
      <w:r w:rsidRPr="00BF42B7">
        <w:t>)</w:t>
      </w:r>
      <w:r w:rsidRPr="00BF42B7">
        <w:rPr>
          <w:rFonts w:hint="eastAsia"/>
        </w:rPr>
        <w:t>需要作出反应。</w:t>
      </w:r>
      <w:r w:rsidRPr="00BF42B7">
        <w:rPr>
          <w:color w:val="0000FF"/>
          <w:vertAlign w:val="superscript"/>
          <w:lang w:val="fr-FR"/>
        </w:rPr>
        <w:footnoteReference w:id="692"/>
      </w:r>
      <w:r w:rsidRPr="00BF42B7">
        <w:rPr>
          <w:color w:val="0000FF"/>
          <w:vertAlign w:val="superscript"/>
          <w:lang w:val="fr-FR"/>
        </w:rPr>
        <w:t xml:space="preserve"> </w:t>
      </w:r>
      <w:r w:rsidRPr="00BF42B7">
        <w:rPr>
          <w:rFonts w:hint="eastAsia"/>
        </w:rPr>
        <w:t>不过，该判决是在《维也纳公约》通过前作出的，因此至少可以推测维也纳会议的辩论上考虑过该判决。</w:t>
      </w:r>
      <w:bookmarkStart w:id="157" w:name="_Ref461976383"/>
      <w:r w:rsidRPr="00BF42B7">
        <w:rPr>
          <w:color w:val="0000FF"/>
          <w:vertAlign w:val="superscript"/>
          <w:lang w:val="fr-FR"/>
        </w:rPr>
        <w:footnoteReference w:id="693"/>
      </w:r>
      <w:bookmarkEnd w:id="157"/>
      <w:r w:rsidRPr="00BF42B7">
        <w:rPr>
          <w:color w:val="0000FF"/>
          <w:vertAlign w:val="superscript"/>
          <w:lang w:val="fr-FR"/>
        </w:rPr>
        <w:t xml:space="preserve"> </w:t>
      </w:r>
      <w:r w:rsidRPr="00BF42B7">
        <w:rPr>
          <w:rFonts w:hint="eastAsia"/>
          <w:lang w:val="fr-FR"/>
        </w:rPr>
        <w:t>该</w:t>
      </w:r>
      <w:r w:rsidRPr="00BF42B7">
        <w:rPr>
          <w:rFonts w:hint="eastAsia"/>
        </w:rPr>
        <w:t>判决也没有明确承认嗣后惯例对条约的修改，关于法国人地图上的分界线与两国最初的边界条约商定的分水岭是否一致这个问题，虽然通常假定不一致，但是法院没有下定论。</w:t>
      </w:r>
      <w:r w:rsidRPr="00BF42B7">
        <w:rPr>
          <w:color w:val="0000FF"/>
          <w:vertAlign w:val="superscript"/>
          <w:lang w:val="fr-FR"/>
        </w:rPr>
        <w:footnoteReference w:id="694"/>
      </w:r>
    </w:p>
    <w:p w:rsidR="008D7906" w:rsidRPr="00BF42B7" w:rsidRDefault="008D7906" w:rsidP="008D7906">
      <w:pPr>
        <w:pStyle w:val="SingleTxtGC"/>
        <w:rPr>
          <w:lang w:val="fr-FR"/>
        </w:rPr>
      </w:pPr>
      <w:r w:rsidRPr="00BF42B7">
        <w:rPr>
          <w:rFonts w:hint="eastAsia"/>
          <w:lang w:val="fr-FR"/>
        </w:rPr>
        <w:t xml:space="preserve">(31)  </w:t>
      </w:r>
      <w:r w:rsidRPr="00BF42B7">
        <w:rPr>
          <w:rFonts w:hint="eastAsia"/>
          <w:lang w:val="fr-FR"/>
        </w:rPr>
        <w:t>因此，虽然国际法院留下了缔约方通过嗣后惯例修改条约的可能性，但是迄今没有明确确认在具体案例中实际产生过这种效果。确切地说，法院得出了与条约案文的通常含义不太一致，但是与确认的缔约方惯例一致的解释。</w:t>
      </w:r>
      <w:r w:rsidRPr="00BF42B7">
        <w:rPr>
          <w:color w:val="0000FF"/>
          <w:vertAlign w:val="superscript"/>
          <w:lang w:val="fr-FR"/>
        </w:rPr>
        <w:footnoteReference w:id="695"/>
      </w:r>
      <w:r w:rsidRPr="00BF42B7">
        <w:rPr>
          <w:color w:val="0000FF"/>
          <w:vertAlign w:val="superscript"/>
          <w:lang w:val="fr-FR"/>
        </w:rPr>
        <w:t xml:space="preserve"> </w:t>
      </w:r>
      <w:r w:rsidRPr="00BF42B7">
        <w:rPr>
          <w:rFonts w:hint="eastAsia"/>
          <w:lang w:val="fr-FR"/>
        </w:rPr>
        <w:t>仲裁法庭相反的裁决或是被视为“个别特例”</w:t>
      </w:r>
      <w:bookmarkStart w:id="158" w:name="_Ref461976729"/>
      <w:r w:rsidRPr="00BF42B7">
        <w:rPr>
          <w:color w:val="0000FF"/>
          <w:vertAlign w:val="superscript"/>
          <w:lang w:val="fr-FR"/>
        </w:rPr>
        <w:footnoteReference w:id="696"/>
      </w:r>
      <w:bookmarkEnd w:id="158"/>
      <w:r w:rsidRPr="00BF42B7">
        <w:rPr>
          <w:color w:val="0000FF"/>
          <w:vertAlign w:val="superscript"/>
          <w:lang w:val="fr-FR"/>
        </w:rPr>
        <w:t xml:space="preserve"> </w:t>
      </w:r>
      <w:r w:rsidRPr="00BF42B7">
        <w:rPr>
          <w:rFonts w:hint="eastAsia"/>
          <w:lang w:val="fr-FR"/>
        </w:rPr>
        <w:t>，或是在《维也纳公约》之前作出，已作为重要参考。</w:t>
      </w:r>
      <w:r w:rsidRPr="00BF42B7">
        <w:rPr>
          <w:color w:val="0000FF"/>
          <w:vertAlign w:val="superscript"/>
          <w:lang w:val="fr-FR"/>
        </w:rPr>
        <w:footnoteReference w:id="697"/>
      </w:r>
    </w:p>
    <w:p w:rsidR="008D7906" w:rsidRPr="00BF42B7" w:rsidRDefault="008D7906" w:rsidP="008D7906">
      <w:pPr>
        <w:pStyle w:val="SingleTxtGC"/>
        <w:rPr>
          <w:lang w:val="fr-FR"/>
        </w:rPr>
      </w:pPr>
      <w:r w:rsidRPr="00BF42B7">
        <w:rPr>
          <w:rFonts w:hint="eastAsia"/>
          <w:lang w:val="fr-FR"/>
        </w:rPr>
        <w:t xml:space="preserve">(32)  </w:t>
      </w:r>
      <w:r w:rsidRPr="00BF42B7">
        <w:rPr>
          <w:rFonts w:hint="eastAsia"/>
          <w:lang w:val="fr-FR"/>
        </w:rPr>
        <w:t>世贸组织上诉机构明确表示，不接受导致修改条约义务的解释，因为这不是“适用”现有的条约规定。</w:t>
      </w:r>
      <w:r w:rsidRPr="00BF42B7">
        <w:rPr>
          <w:color w:val="0000FF"/>
          <w:vertAlign w:val="superscript"/>
          <w:lang w:val="fr-FR"/>
        </w:rPr>
        <w:footnoteReference w:id="698"/>
      </w:r>
      <w:r w:rsidRPr="00BF42B7">
        <w:rPr>
          <w:color w:val="0000FF"/>
          <w:vertAlign w:val="superscript"/>
          <w:lang w:val="fr-FR"/>
        </w:rPr>
        <w:t xml:space="preserve"> </w:t>
      </w:r>
      <w:r w:rsidRPr="00BF42B7">
        <w:rPr>
          <w:rFonts w:hint="eastAsia"/>
          <w:lang w:val="fr-FR"/>
        </w:rPr>
        <w:t>上诉机构的立场可能受到《</w:t>
      </w:r>
      <w:r w:rsidRPr="00BF42B7">
        <w:t>关于争端解决规则与程序的谅解</w:t>
      </w:r>
      <w:r w:rsidRPr="00BF42B7">
        <w:rPr>
          <w:rFonts w:hint="eastAsia"/>
          <w:lang w:val="fr-FR"/>
        </w:rPr>
        <w:t>》第</w:t>
      </w:r>
      <w:r w:rsidRPr="00BF42B7">
        <w:rPr>
          <w:rFonts w:hint="eastAsia"/>
          <w:lang w:val="fr-FR"/>
        </w:rPr>
        <w:t>3</w:t>
      </w:r>
      <w:r w:rsidRPr="00BF42B7">
        <w:rPr>
          <w:rFonts w:hint="eastAsia"/>
          <w:lang w:val="fr-FR"/>
        </w:rPr>
        <w:t>条第</w:t>
      </w:r>
      <w:r w:rsidRPr="00BF42B7">
        <w:rPr>
          <w:rFonts w:hint="eastAsia"/>
          <w:lang w:val="fr-FR"/>
        </w:rPr>
        <w:t>2</w:t>
      </w:r>
      <w:r w:rsidRPr="00BF42B7">
        <w:rPr>
          <w:rFonts w:hint="eastAsia"/>
          <w:lang w:val="fr-FR"/>
        </w:rPr>
        <w:t>款的影响，其中规定“</w:t>
      </w:r>
      <w:r w:rsidRPr="00BF42B7">
        <w:rPr>
          <w:rFonts w:hint="eastAsia"/>
          <w:lang w:val="fr-FR"/>
        </w:rPr>
        <w:t>[</w:t>
      </w:r>
      <w:r w:rsidRPr="00BF42B7">
        <w:rPr>
          <w:rFonts w:hint="eastAsia"/>
          <w:lang w:val="fr-FR"/>
        </w:rPr>
        <w:t>争端解决机构</w:t>
      </w:r>
      <w:r w:rsidRPr="00BF42B7">
        <w:rPr>
          <w:rFonts w:hint="eastAsia"/>
          <w:lang w:val="fr-FR"/>
        </w:rPr>
        <w:t>]</w:t>
      </w:r>
      <w:r w:rsidRPr="00BF42B7">
        <w:rPr>
          <w:rFonts w:hint="eastAsia"/>
          <w:lang w:val="fr-FR"/>
        </w:rPr>
        <w:t>的建议和裁决不得增加或减少所涉协定规定的权利和义务”。</w:t>
      </w:r>
      <w:r w:rsidRPr="00BF42B7">
        <w:rPr>
          <w:color w:val="0000FF"/>
          <w:vertAlign w:val="superscript"/>
        </w:rPr>
        <w:footnoteReference w:id="699"/>
      </w:r>
    </w:p>
    <w:p w:rsidR="008D7906" w:rsidRPr="00BF42B7" w:rsidRDefault="008D7906" w:rsidP="008D7906">
      <w:pPr>
        <w:pStyle w:val="SingleTxtGC"/>
      </w:pPr>
      <w:r w:rsidRPr="00BF42B7">
        <w:rPr>
          <w:rFonts w:hint="eastAsia"/>
          <w:lang w:val="fr-FR"/>
        </w:rPr>
        <w:t>(33)</w:t>
      </w:r>
      <w:r w:rsidRPr="00BF42B7">
        <w:rPr>
          <w:rFonts w:hint="eastAsia"/>
        </w:rPr>
        <w:t xml:space="preserve">  </w:t>
      </w:r>
      <w:r w:rsidRPr="00BF42B7">
        <w:rPr>
          <w:rFonts w:hint="eastAsia"/>
          <w:lang w:val="fr-FR"/>
        </w:rPr>
        <w:t>欧洲人权法院偶尔承认缔约方的嗣后惯例是修改公约的可能来源。在</w:t>
      </w:r>
      <w:r w:rsidRPr="00BF42B7">
        <w:rPr>
          <w:rFonts w:hint="eastAsia"/>
          <w:lang w:val="fr-FR"/>
        </w:rPr>
        <w:t>1989</w:t>
      </w:r>
      <w:r w:rsidRPr="00BF42B7">
        <w:rPr>
          <w:rFonts w:hint="eastAsia"/>
          <w:lang w:val="fr-FR"/>
        </w:rPr>
        <w:t>年</w:t>
      </w:r>
      <w:r w:rsidRPr="00BF42B7">
        <w:rPr>
          <w:rFonts w:hint="eastAsia"/>
        </w:rPr>
        <w:t>Soering</w:t>
      </w:r>
      <w:r w:rsidRPr="00BF42B7">
        <w:rPr>
          <w:rFonts w:ascii="Time New Roman" w:eastAsia="楷体" w:hAnsi="Time New Roman" w:hint="eastAsia"/>
          <w:lang w:val="fr-FR"/>
        </w:rPr>
        <w:t>诉联合王国案</w:t>
      </w:r>
      <w:r w:rsidRPr="00BF42B7">
        <w:rPr>
          <w:rFonts w:hint="eastAsia"/>
        </w:rPr>
        <w:t>的附带意见中，法院主张：</w:t>
      </w:r>
    </w:p>
    <w:p w:rsidR="008D7906" w:rsidRPr="00BF42B7" w:rsidRDefault="008D7906" w:rsidP="008D7906">
      <w:pPr>
        <w:pStyle w:val="SingleTxtGC"/>
        <w:ind w:left="1565"/>
      </w:pPr>
      <w:r w:rsidRPr="00BF42B7">
        <w:rPr>
          <w:rFonts w:hint="eastAsia"/>
        </w:rPr>
        <w:t>“</w:t>
      </w:r>
      <w:r w:rsidRPr="00BF42B7">
        <w:rPr>
          <w:rFonts w:hint="eastAsia"/>
          <w:spacing w:val="2"/>
        </w:rPr>
        <w:t>……</w:t>
      </w:r>
      <w:r w:rsidRPr="00BF42B7">
        <w:rPr>
          <w:rFonts w:hint="eastAsia"/>
          <w:lang w:val="fr-FR"/>
        </w:rPr>
        <w:t>成员国</w:t>
      </w:r>
      <w:r w:rsidRPr="00BF42B7">
        <w:rPr>
          <w:rFonts w:hint="eastAsia"/>
        </w:rPr>
        <w:t>既定的</w:t>
      </w:r>
      <w:r w:rsidRPr="00BF42B7">
        <w:rPr>
          <w:rFonts w:hint="eastAsia"/>
          <w:lang w:val="fr-FR"/>
        </w:rPr>
        <w:t>惯例</w:t>
      </w:r>
      <w:r w:rsidRPr="00BF42B7">
        <w:rPr>
          <w:rFonts w:hint="eastAsia"/>
        </w:rPr>
        <w:t>可能导致修正《公约》。在该案中，法院认为，国家刑法政策中普遍废除死刑的嗣后惯例可以视为确认缔约国就废除第</w:t>
      </w:r>
      <w:r w:rsidRPr="00BF42B7">
        <w:rPr>
          <w:rFonts w:hint="eastAsia"/>
        </w:rPr>
        <w:t>2</w:t>
      </w:r>
      <w:r w:rsidRPr="00BF42B7">
        <w:rPr>
          <w:rFonts w:hint="eastAsia"/>
        </w:rPr>
        <w:t>条第</w:t>
      </w:r>
      <w:r w:rsidRPr="00BF42B7">
        <w:rPr>
          <w:rFonts w:hint="eastAsia"/>
        </w:rPr>
        <w:t>1</w:t>
      </w:r>
      <w:r w:rsidRPr="00BF42B7">
        <w:rPr>
          <w:rFonts w:hint="eastAsia"/>
        </w:rPr>
        <w:t>款规定的例外情况达成了一致，因此取消了案文对第</w:t>
      </w:r>
      <w:r w:rsidRPr="00BF42B7">
        <w:rPr>
          <w:rFonts w:hint="eastAsia"/>
        </w:rPr>
        <w:t>3</w:t>
      </w:r>
      <w:r w:rsidRPr="00BF42B7">
        <w:rPr>
          <w:rFonts w:hint="eastAsia"/>
        </w:rPr>
        <w:t>条的演进式解释的范围限制</w:t>
      </w:r>
      <w:r w:rsidRPr="00BF42B7">
        <w:rPr>
          <w:rFonts w:hint="eastAsia"/>
        </w:rPr>
        <w:t>(</w:t>
      </w:r>
      <w:r w:rsidRPr="00BF42B7">
        <w:rPr>
          <w:rFonts w:hint="eastAsia"/>
        </w:rPr>
        <w:t>同上，第</w:t>
      </w:r>
      <w:r w:rsidRPr="00BF42B7">
        <w:rPr>
          <w:rFonts w:hint="eastAsia"/>
        </w:rPr>
        <w:t>40-41</w:t>
      </w:r>
      <w:r w:rsidRPr="00BF42B7">
        <w:rPr>
          <w:rFonts w:hint="eastAsia"/>
        </w:rPr>
        <w:t>页，第</w:t>
      </w:r>
      <w:r w:rsidRPr="00BF42B7">
        <w:rPr>
          <w:rFonts w:hint="eastAsia"/>
        </w:rPr>
        <w:t>103</w:t>
      </w:r>
      <w:r w:rsidRPr="00BF42B7">
        <w:rPr>
          <w:rFonts w:hint="eastAsia"/>
        </w:rPr>
        <w:t>段</w:t>
      </w:r>
      <w:r w:rsidRPr="00BF42B7">
        <w:rPr>
          <w:rFonts w:hint="eastAsia"/>
        </w:rPr>
        <w:t>)</w:t>
      </w:r>
      <w:r w:rsidRPr="00BF42B7">
        <w:rPr>
          <w:rFonts w:hint="eastAsia"/>
        </w:rPr>
        <w:t>。”</w:t>
      </w:r>
      <w:r w:rsidRPr="00BF42B7">
        <w:rPr>
          <w:color w:val="0000FF"/>
          <w:vertAlign w:val="superscript"/>
        </w:rPr>
        <w:footnoteReference w:id="700"/>
      </w:r>
    </w:p>
    <w:p w:rsidR="008D7906" w:rsidRPr="00BF42B7" w:rsidRDefault="008D7906" w:rsidP="008D7906">
      <w:pPr>
        <w:pStyle w:val="SingleTxtGC"/>
      </w:pPr>
      <w:r w:rsidRPr="00BF42B7">
        <w:rPr>
          <w:rFonts w:hint="eastAsia"/>
        </w:rPr>
        <w:t xml:space="preserve">(34)  </w:t>
      </w:r>
      <w:r w:rsidRPr="00BF42B7">
        <w:rPr>
          <w:rFonts w:hint="eastAsia"/>
        </w:rPr>
        <w:t>运用这种推理，法院在</w:t>
      </w:r>
      <w:r w:rsidRPr="00BF42B7">
        <w:rPr>
          <w:rFonts w:hint="eastAsia"/>
        </w:rPr>
        <w:t>Al-Saadoon</w:t>
      </w:r>
      <w:r w:rsidRPr="00BF42B7">
        <w:rPr>
          <w:rFonts w:ascii="Time New Roman" w:eastAsia="楷体" w:hAnsi="Time New Roman" w:hint="eastAsia"/>
          <w:lang w:val="fr-FR"/>
        </w:rPr>
        <w:t>和</w:t>
      </w:r>
      <w:r w:rsidRPr="00BF42B7">
        <w:rPr>
          <w:rFonts w:hint="eastAsia"/>
        </w:rPr>
        <w:t>Mufdhi</w:t>
      </w:r>
      <w:r w:rsidRPr="00BF42B7">
        <w:rPr>
          <w:rFonts w:ascii="Time New Roman" w:eastAsia="楷体" w:hAnsi="Time New Roman" w:hint="eastAsia"/>
          <w:lang w:val="fr-FR"/>
        </w:rPr>
        <w:t>诉联合王国案</w:t>
      </w:r>
      <w:r w:rsidRPr="00BF42B7">
        <w:rPr>
          <w:rFonts w:hint="eastAsia"/>
        </w:rPr>
        <w:t>中得出以下结论：</w:t>
      </w:r>
    </w:p>
    <w:p w:rsidR="008D7906" w:rsidRPr="00BF42B7" w:rsidRDefault="008D7906" w:rsidP="008D7906">
      <w:pPr>
        <w:pStyle w:val="SingleTxtGC"/>
        <w:ind w:left="1565"/>
        <w:rPr>
          <w:spacing w:val="-4"/>
        </w:rPr>
      </w:pPr>
      <w:r w:rsidRPr="00BF42B7">
        <w:rPr>
          <w:rFonts w:hint="eastAsia"/>
        </w:rPr>
        <w:t>“只有两个</w:t>
      </w:r>
      <w:r w:rsidRPr="00BF42B7">
        <w:rPr>
          <w:rFonts w:hint="eastAsia"/>
          <w:lang w:val="fr-FR"/>
        </w:rPr>
        <w:t>成员国</w:t>
      </w:r>
      <w:r w:rsidRPr="00BF42B7">
        <w:rPr>
          <w:rFonts w:hint="eastAsia"/>
        </w:rPr>
        <w:t>尚未签署第</w:t>
      </w:r>
      <w:r w:rsidRPr="00BF42B7">
        <w:rPr>
          <w:rFonts w:hint="eastAsia"/>
        </w:rPr>
        <w:t>13</w:t>
      </w:r>
      <w:r w:rsidRPr="00BF42B7">
        <w:rPr>
          <w:rFonts w:hint="eastAsia"/>
        </w:rPr>
        <w:t>号议定书，所有签署国中只有三个国家尚未批准。这些数字，再加上一贯的暂停执行死刑的国家实践，明确显示第</w:t>
      </w:r>
      <w:r w:rsidRPr="00BF42B7">
        <w:rPr>
          <w:rFonts w:hint="eastAsia"/>
        </w:rPr>
        <w:t>2</w:t>
      </w:r>
      <w:r w:rsidRPr="00BF42B7">
        <w:rPr>
          <w:rFonts w:hint="eastAsia"/>
        </w:rPr>
        <w:t>条已被修正，以禁止在任何情况下执行死刑。在这种背景下，法院认为第</w:t>
      </w:r>
      <w:r w:rsidRPr="00BF42B7">
        <w:rPr>
          <w:rFonts w:hint="eastAsia"/>
        </w:rPr>
        <w:t>2</w:t>
      </w:r>
      <w:r w:rsidRPr="00BF42B7">
        <w:rPr>
          <w:rFonts w:hint="eastAsia"/>
          <w:spacing w:val="-4"/>
        </w:rPr>
        <w:t>条第</w:t>
      </w:r>
      <w:r w:rsidRPr="00BF42B7">
        <w:rPr>
          <w:rFonts w:hint="eastAsia"/>
          <w:spacing w:val="-4"/>
        </w:rPr>
        <w:t>1</w:t>
      </w:r>
      <w:r w:rsidRPr="00BF42B7">
        <w:rPr>
          <w:rFonts w:hint="eastAsia"/>
          <w:spacing w:val="-4"/>
        </w:rPr>
        <w:t>款第二句的措词不再阻碍其将第</w:t>
      </w:r>
      <w:r w:rsidRPr="00BF42B7">
        <w:rPr>
          <w:rFonts w:hint="eastAsia"/>
          <w:spacing w:val="-4"/>
        </w:rPr>
        <w:t>3</w:t>
      </w:r>
      <w:r w:rsidRPr="00BF42B7">
        <w:rPr>
          <w:rFonts w:hint="eastAsia"/>
          <w:spacing w:val="-4"/>
        </w:rPr>
        <w:t>条下的“不人道或有辱人格的待遇或处罚”一词解释为包括死刑</w:t>
      </w:r>
      <w:r w:rsidRPr="00BF42B7">
        <w:rPr>
          <w:rFonts w:hint="eastAsia"/>
          <w:spacing w:val="-4"/>
        </w:rPr>
        <w:t>(</w:t>
      </w:r>
      <w:r w:rsidRPr="00BF42B7">
        <w:rPr>
          <w:rFonts w:hint="eastAsia"/>
          <w:spacing w:val="-4"/>
        </w:rPr>
        <w:t>比照</w:t>
      </w:r>
      <w:r w:rsidRPr="00BF42B7">
        <w:rPr>
          <w:spacing w:val="-4"/>
        </w:rPr>
        <w:t xml:space="preserve">Soering, </w:t>
      </w:r>
      <w:r w:rsidRPr="00BF42B7">
        <w:rPr>
          <w:rFonts w:hint="eastAsia"/>
          <w:spacing w:val="-4"/>
        </w:rPr>
        <w:t>上文引用，第</w:t>
      </w:r>
      <w:r w:rsidRPr="00BF42B7">
        <w:rPr>
          <w:rFonts w:hint="eastAsia"/>
          <w:spacing w:val="-4"/>
        </w:rPr>
        <w:t>102-104</w:t>
      </w:r>
      <w:r w:rsidRPr="00BF42B7">
        <w:rPr>
          <w:rFonts w:hint="eastAsia"/>
          <w:spacing w:val="-4"/>
        </w:rPr>
        <w:t>段</w:t>
      </w:r>
      <w:r w:rsidRPr="00BF42B7">
        <w:rPr>
          <w:rFonts w:hint="eastAsia"/>
          <w:spacing w:val="-4"/>
        </w:rPr>
        <w:t>)</w:t>
      </w:r>
      <w:r w:rsidRPr="00BF42B7">
        <w:rPr>
          <w:rFonts w:hint="eastAsia"/>
          <w:spacing w:val="-4"/>
        </w:rPr>
        <w:t>。”</w:t>
      </w:r>
      <w:r w:rsidRPr="00BF42B7">
        <w:rPr>
          <w:color w:val="0000FF"/>
          <w:spacing w:val="-4"/>
          <w:vertAlign w:val="superscript"/>
        </w:rPr>
        <w:footnoteReference w:id="701"/>
      </w:r>
    </w:p>
    <w:p w:rsidR="008D7906" w:rsidRPr="00BF42B7" w:rsidRDefault="008D7906" w:rsidP="008D7906">
      <w:pPr>
        <w:pStyle w:val="SingleTxtGC"/>
      </w:pPr>
      <w:r w:rsidRPr="00BF42B7">
        <w:rPr>
          <w:rFonts w:hint="eastAsia"/>
        </w:rPr>
        <w:t xml:space="preserve">(35)  </w:t>
      </w:r>
      <w:r w:rsidRPr="00BF42B7">
        <w:rPr>
          <w:rFonts w:hint="eastAsia"/>
        </w:rPr>
        <w:t>从国际法院和法庭的判例法中可以得出以下结论：世贸组织的情况显示，条约本身可阻止缔约方的嗣后惯例具有修改作用。因此，条约一开始就可以控制这一问题。相反，欧洲人权法院的案件显示，条约可以允许缔约方的嗣后惯例具有修改作用。因此，最终主要还是取决于条约或相关条约规定。</w:t>
      </w:r>
      <w:r w:rsidRPr="00BF42B7">
        <w:rPr>
          <w:color w:val="0000FF"/>
          <w:vertAlign w:val="superscript"/>
        </w:rPr>
        <w:footnoteReference w:id="702"/>
      </w:r>
    </w:p>
    <w:p w:rsidR="008D7906" w:rsidRPr="00BF42B7" w:rsidRDefault="008D7906" w:rsidP="008D7906">
      <w:pPr>
        <w:pStyle w:val="SingleTxtGC"/>
      </w:pPr>
      <w:r w:rsidRPr="00BF42B7">
        <w:rPr>
          <w:rFonts w:hint="eastAsia"/>
        </w:rPr>
        <w:t xml:space="preserve">(36)  </w:t>
      </w:r>
      <w:r w:rsidRPr="00BF42B7">
        <w:rPr>
          <w:rFonts w:hint="eastAsia"/>
        </w:rPr>
        <w:t>如果条约中没有这类表示，则情况更加复杂。国际法院的判例中不太能找到针对这种情况的明确的补充规则。不过，可以得出这一结论：法院虽然认定“法律中不得完全排除”缔约方通过嗣后惯例修改条约的可能性，</w:t>
      </w:r>
      <w:r w:rsidRPr="00BF42B7">
        <w:rPr>
          <w:color w:val="0000FF"/>
          <w:vertAlign w:val="superscript"/>
        </w:rPr>
        <w:footnoteReference w:id="703"/>
      </w:r>
      <w:r w:rsidRPr="00BF42B7">
        <w:rPr>
          <w:color w:val="0000FF"/>
          <w:vertAlign w:val="superscript"/>
        </w:rPr>
        <w:t xml:space="preserve"> </w:t>
      </w:r>
      <w:r w:rsidRPr="00BF42B7">
        <w:rPr>
          <w:rFonts w:hint="eastAsia"/>
        </w:rPr>
        <w:t>但是认为只要有可能，就应避免这类修改。相反，法院倾向于接受可能扩大条约用语的通常含义的宽泛解释。</w:t>
      </w:r>
    </w:p>
    <w:p w:rsidR="008D7906" w:rsidRPr="00BF42B7" w:rsidRDefault="008D7906" w:rsidP="008D7906">
      <w:pPr>
        <w:pStyle w:val="SingleTxtGC"/>
      </w:pPr>
      <w:r w:rsidRPr="00BF42B7">
        <w:rPr>
          <w:rFonts w:hint="eastAsia"/>
        </w:rPr>
        <w:t xml:space="preserve">(37)  </w:t>
      </w:r>
      <w:r w:rsidRPr="00BF42B7">
        <w:rPr>
          <w:rFonts w:hint="eastAsia"/>
        </w:rPr>
        <w:t>从国际法院的判例中得出的这一结论符合各国在关于</w:t>
      </w:r>
      <w:r w:rsidRPr="00BF42B7">
        <w:rPr>
          <w:rFonts w:hint="eastAsia"/>
        </w:rPr>
        <w:t>1969</w:t>
      </w:r>
      <w:r w:rsidRPr="00BF42B7">
        <w:rPr>
          <w:rFonts w:hint="eastAsia"/>
        </w:rPr>
        <w:t>年《维也纳公约》第三十八条草案的辩论中提出的一些考虑因素。</w:t>
      </w:r>
      <w:r w:rsidRPr="00BF42B7">
        <w:rPr>
          <w:color w:val="0000FF"/>
          <w:vertAlign w:val="superscript"/>
        </w:rPr>
        <w:footnoteReference w:id="704"/>
      </w:r>
      <w:r w:rsidRPr="00BF42B7">
        <w:rPr>
          <w:color w:val="0000FF"/>
          <w:vertAlign w:val="superscript"/>
        </w:rPr>
        <w:t xml:space="preserve"> </w:t>
      </w:r>
      <w:r w:rsidRPr="00BF42B7">
        <w:rPr>
          <w:rFonts w:hint="eastAsia"/>
        </w:rPr>
        <w:t>如今，虽然普遍认为国际法不像国内法那样死板</w:t>
      </w:r>
      <w:r w:rsidRPr="00BF42B7">
        <w:rPr>
          <w:rFonts w:hint="eastAsia"/>
        </w:rPr>
        <w:t>(</w:t>
      </w:r>
      <w:r w:rsidRPr="00BF42B7">
        <w:rPr>
          <w:rFonts w:hint="eastAsia"/>
        </w:rPr>
        <w:t>的确如此</w:t>
      </w:r>
      <w:r w:rsidRPr="00BF42B7">
        <w:rPr>
          <w:rFonts w:hint="eastAsia"/>
        </w:rPr>
        <w:t>)</w:t>
      </w:r>
      <w:r w:rsidRPr="00BF42B7">
        <w:rPr>
          <w:rFonts w:hint="eastAsia"/>
        </w:rPr>
        <w:t>，但是不应以非正式途径规避条约中规定的修正程序这种观点似乎越来越得到认同。</w:t>
      </w:r>
      <w:r w:rsidRPr="00BF42B7">
        <w:rPr>
          <w:color w:val="0000FF"/>
          <w:vertAlign w:val="superscript"/>
        </w:rPr>
        <w:footnoteReference w:id="705"/>
      </w:r>
      <w:r w:rsidRPr="00BF42B7">
        <w:rPr>
          <w:color w:val="0000FF"/>
          <w:vertAlign w:val="superscript"/>
        </w:rPr>
        <w:t xml:space="preserve"> </w:t>
      </w:r>
      <w:r w:rsidRPr="00BF42B7">
        <w:rPr>
          <w:rFonts w:hint="eastAsia"/>
        </w:rPr>
        <w:t>许多国家在维也纳会议上提出的关切，即嗣后惯例修改条约的可能性可能给国内宪法造成问题，也越来越受到重视。</w:t>
      </w:r>
      <w:r w:rsidRPr="00BF42B7">
        <w:rPr>
          <w:color w:val="0000FF"/>
          <w:vertAlign w:val="superscript"/>
        </w:rPr>
        <w:footnoteReference w:id="706"/>
      </w:r>
      <w:r w:rsidRPr="00BF42B7">
        <w:rPr>
          <w:color w:val="0000FF"/>
          <w:vertAlign w:val="superscript"/>
        </w:rPr>
        <w:t xml:space="preserve"> </w:t>
      </w:r>
      <w:r w:rsidRPr="00BF42B7">
        <w:rPr>
          <w:rFonts w:hint="eastAsia"/>
        </w:rPr>
        <w:t>虽然条约必须遵守原则并没有因确立了所有缔约方协定的嗣后惯例对条约的修正或修改而正式受到质疑，但是如果像嗣后惯例这样的非正式方式能够轻易修改一项条约，那么的确可能对条约关系的稳定性造成问题。</w:t>
      </w:r>
      <w:r w:rsidRPr="00BF42B7">
        <w:rPr>
          <w:color w:val="0000FF"/>
          <w:vertAlign w:val="superscript"/>
        </w:rPr>
        <w:footnoteReference w:id="707"/>
      </w:r>
    </w:p>
    <w:p w:rsidR="00DF5565" w:rsidRPr="00BF42B7" w:rsidRDefault="00DF5565" w:rsidP="00DF5565">
      <w:pPr>
        <w:pStyle w:val="SingleTxtGC"/>
      </w:pPr>
      <w:r w:rsidRPr="00BF42B7">
        <w:rPr>
          <w:rFonts w:hint="eastAsia"/>
        </w:rPr>
        <w:t xml:space="preserve">(38)  </w:t>
      </w:r>
      <w:r w:rsidRPr="00BF42B7">
        <w:rPr>
          <w:rFonts w:hint="eastAsia"/>
        </w:rPr>
        <w:t>总之，虽然国际判例法中有人认为只要条约中没有相反的表示，则理论上缔约方达成一致的嗣后惯例就可以修改条约，但是不应假定实际出现这种效果。相反，国家和法院倾向于尽量将缔约方达成一致的嗣后惯例视为以特定方式解释条约的努力。通过嗣后惯例对条约作出宽泛的解释是有可能的，因为</w:t>
      </w:r>
      <w:r w:rsidRPr="00BF42B7">
        <w:rPr>
          <w:rFonts w:hint="eastAsia"/>
        </w:rPr>
        <w:t>1969</w:t>
      </w:r>
      <w:r w:rsidRPr="00BF42B7">
        <w:rPr>
          <w:rFonts w:hint="eastAsia"/>
        </w:rPr>
        <w:t>年《维也纳公约》第三十一条并没有赋予特定的解释资料优先地位，而是要求解释方酌情考虑所有解释资料。</w:t>
      </w:r>
      <w:r w:rsidRPr="00BF42B7">
        <w:rPr>
          <w:color w:val="0000FF"/>
          <w:vertAlign w:val="superscript"/>
        </w:rPr>
        <w:footnoteReference w:id="708"/>
      </w:r>
      <w:r w:rsidRPr="00BF42B7">
        <w:rPr>
          <w:color w:val="0000FF"/>
          <w:vertAlign w:val="superscript"/>
        </w:rPr>
        <w:t xml:space="preserve"> </w:t>
      </w:r>
      <w:r w:rsidRPr="00BF42B7">
        <w:rPr>
          <w:rFonts w:hint="eastAsia"/>
        </w:rPr>
        <w:t>有鉴于此，一个重要问题就是可以在多大程度上对所涉条约规定作出演进式解释。</w:t>
      </w:r>
      <w:r w:rsidRPr="00BF42B7">
        <w:rPr>
          <w:color w:val="0000FF"/>
          <w:vertAlign w:val="superscript"/>
        </w:rPr>
        <w:footnoteReference w:id="709"/>
      </w:r>
      <w:r w:rsidRPr="00BF42B7">
        <w:rPr>
          <w:color w:val="0000FF"/>
          <w:vertAlign w:val="superscript"/>
        </w:rPr>
        <w:t xml:space="preserve"> </w:t>
      </w:r>
    </w:p>
    <w:p w:rsidR="00DF5565" w:rsidRPr="00BF42B7" w:rsidRDefault="00DF5565" w:rsidP="00DF5565">
      <w:pPr>
        <w:pStyle w:val="H23GC"/>
        <w:ind w:left="1554"/>
        <w:rPr>
          <w:lang w:val="en-GB"/>
        </w:rPr>
      </w:pPr>
      <w:r w:rsidRPr="00BF42B7">
        <w:rPr>
          <w:rFonts w:hint="eastAsia"/>
          <w:lang w:val="en-GB"/>
        </w:rPr>
        <w:tab/>
      </w:r>
      <w:r w:rsidRPr="00BF42B7">
        <w:rPr>
          <w:rFonts w:hint="eastAsia"/>
          <w:lang w:val="en-GB"/>
        </w:rPr>
        <w:tab/>
      </w:r>
      <w:r w:rsidRPr="00BF42B7">
        <w:rPr>
          <w:lang w:val="en-GB"/>
        </w:rPr>
        <w:t>结论</w:t>
      </w:r>
      <w:r w:rsidRPr="00BF42B7">
        <w:rPr>
          <w:rFonts w:hint="eastAsia"/>
          <w:lang w:val="en-GB"/>
        </w:rPr>
        <w:t>8[3]</w:t>
      </w:r>
      <w:r w:rsidRPr="00BF42B7">
        <w:rPr>
          <w:lang w:val="en-GB"/>
        </w:rPr>
        <w:br/>
      </w:r>
      <w:r w:rsidRPr="00BF42B7">
        <w:rPr>
          <w:lang w:val="en-GB"/>
        </w:rPr>
        <w:t>能够随时间演变的条约用语的解释</w:t>
      </w:r>
    </w:p>
    <w:p w:rsidR="00DF5565" w:rsidRPr="00BF42B7" w:rsidRDefault="00DF5565" w:rsidP="00DF5565">
      <w:pPr>
        <w:pStyle w:val="SingleTxtGC"/>
        <w:ind w:left="1554" w:firstLine="431"/>
        <w:rPr>
          <w:bCs/>
          <w:lang w:val="en-GB"/>
        </w:rPr>
      </w:pPr>
      <w:r w:rsidRPr="00BF42B7">
        <w:rPr>
          <w:bCs/>
          <w:lang w:val="en-GB"/>
        </w:rPr>
        <w:t>第三十一和第三十二条所称的嗣后协定和嗣后惯例可协助确定缔约方在缔结条约之时的推定意图是不是赋予用语以能够随时间演变的含义。</w:t>
      </w:r>
    </w:p>
    <w:p w:rsidR="00DF5565" w:rsidRPr="00BF42B7" w:rsidRDefault="00DF5565" w:rsidP="00DF5565">
      <w:pPr>
        <w:pStyle w:val="H23GC"/>
        <w:rPr>
          <w:lang w:val="en-GB"/>
        </w:rPr>
      </w:pPr>
      <w:r w:rsidRPr="00BF42B7">
        <w:rPr>
          <w:b/>
          <w:lang w:val="en-GB"/>
        </w:rPr>
        <w:tab/>
      </w:r>
      <w:r w:rsidRPr="00BF42B7">
        <w:rPr>
          <w:rFonts w:hint="eastAsia"/>
          <w:b/>
          <w:lang w:val="en-GB"/>
        </w:rPr>
        <w:tab/>
      </w:r>
      <w:r w:rsidRPr="00BF42B7">
        <w:rPr>
          <w:bCs/>
          <w:lang w:val="en-GB"/>
        </w:rPr>
        <w:t>评注</w:t>
      </w:r>
    </w:p>
    <w:p w:rsidR="00DF5565" w:rsidRPr="00BF42B7" w:rsidRDefault="00DF5565" w:rsidP="00DF5565">
      <w:pPr>
        <w:pStyle w:val="SingleTxtGC"/>
        <w:rPr>
          <w:lang w:val="en-GB"/>
        </w:rPr>
      </w:pPr>
      <w:r w:rsidRPr="00BF42B7">
        <w:rPr>
          <w:lang w:val="en-GB"/>
        </w:rPr>
        <w:t xml:space="preserve">(1)  </w:t>
      </w:r>
      <w:r w:rsidRPr="00BF42B7">
        <w:rPr>
          <w:lang w:val="en-GB"/>
        </w:rPr>
        <w:t>结论草案</w:t>
      </w:r>
      <w:r w:rsidRPr="00BF42B7">
        <w:rPr>
          <w:lang w:val="en-GB"/>
        </w:rPr>
        <w:t>8[3]</w:t>
      </w:r>
      <w:r w:rsidRPr="00BF42B7">
        <w:rPr>
          <w:lang w:val="en-GB"/>
        </w:rPr>
        <w:t>涉及在条约术语的含义是否能够随时间演变</w:t>
      </w:r>
      <w:r w:rsidRPr="00BF42B7">
        <w:rPr>
          <w:rFonts w:hint="eastAsia"/>
          <w:lang w:val="en-GB"/>
        </w:rPr>
        <w:t>这个</w:t>
      </w:r>
      <w:r w:rsidRPr="00BF42B7">
        <w:rPr>
          <w:lang w:val="en-GB"/>
        </w:rPr>
        <w:t>更一般性问题的背景下，嗣后协定和嗣后惯例可以发挥的作用。</w:t>
      </w:r>
    </w:p>
    <w:p w:rsidR="00DF5565" w:rsidRPr="00BF42B7" w:rsidRDefault="00DF5565" w:rsidP="00DF5565">
      <w:pPr>
        <w:pStyle w:val="SingleTxtGC"/>
        <w:rPr>
          <w:lang w:val="en-GB"/>
        </w:rPr>
      </w:pPr>
      <w:r w:rsidRPr="00BF42B7">
        <w:rPr>
          <w:lang w:val="en-GB"/>
        </w:rPr>
        <w:t xml:space="preserve">(2)  </w:t>
      </w:r>
      <w:r w:rsidRPr="00BF42B7">
        <w:rPr>
          <w:lang w:val="en-GB"/>
        </w:rPr>
        <w:t>在涉及条约时，所谓时际法</w:t>
      </w:r>
      <w:bookmarkStart w:id="159" w:name="_Ref364163724"/>
      <w:r w:rsidRPr="00BF42B7">
        <w:rPr>
          <w:color w:val="0000FF"/>
          <w:vertAlign w:val="superscript"/>
          <w:lang w:val="en-GB"/>
        </w:rPr>
        <w:footnoteReference w:id="710"/>
      </w:r>
      <w:bookmarkEnd w:id="159"/>
      <w:r w:rsidRPr="00BF42B7">
        <w:rPr>
          <w:color w:val="0000FF"/>
          <w:vertAlign w:val="superscript"/>
          <w:lang w:val="en-GB"/>
        </w:rPr>
        <w:t xml:space="preserve"> </w:t>
      </w:r>
      <w:r w:rsidRPr="00BF42B7">
        <w:rPr>
          <w:lang w:val="en-GB"/>
        </w:rPr>
        <w:t>的一般问题历来是这样提出的：条约是应当根据其缔结时的情况和法律来解释</w:t>
      </w:r>
      <w:r w:rsidRPr="00BF42B7">
        <w:rPr>
          <w:lang w:val="en-GB"/>
        </w:rPr>
        <w:t>(</w:t>
      </w:r>
      <w:r w:rsidRPr="00BF42B7">
        <w:rPr>
          <w:rFonts w:hint="eastAsia"/>
          <w:lang w:val="en-GB"/>
        </w:rPr>
        <w:t>“</w:t>
      </w:r>
      <w:r w:rsidRPr="00BF42B7">
        <w:rPr>
          <w:lang w:val="en-GB"/>
        </w:rPr>
        <w:t>当时意义</w:t>
      </w:r>
      <w:r w:rsidRPr="00BF42B7">
        <w:rPr>
          <w:rFonts w:hint="eastAsia"/>
          <w:lang w:val="en-GB"/>
        </w:rPr>
        <w:t>”</w:t>
      </w:r>
      <w:r w:rsidRPr="00BF42B7">
        <w:rPr>
          <w:lang w:val="en-GB"/>
        </w:rPr>
        <w:t>或</w:t>
      </w:r>
      <w:r w:rsidRPr="00BF42B7">
        <w:rPr>
          <w:rFonts w:hint="eastAsia"/>
          <w:lang w:val="en-GB"/>
        </w:rPr>
        <w:t>“</w:t>
      </w:r>
      <w:r w:rsidRPr="00BF42B7">
        <w:rPr>
          <w:lang w:val="en-GB"/>
        </w:rPr>
        <w:t>静态</w:t>
      </w:r>
      <w:r w:rsidRPr="00BF42B7">
        <w:rPr>
          <w:rFonts w:hint="eastAsia"/>
          <w:lang w:val="en-GB"/>
        </w:rPr>
        <w:t>”</w:t>
      </w:r>
      <w:r w:rsidRPr="00BF42B7">
        <w:rPr>
          <w:lang w:val="en-GB"/>
        </w:rPr>
        <w:t>解释</w:t>
      </w:r>
      <w:r w:rsidRPr="00BF42B7">
        <w:rPr>
          <w:lang w:val="en-GB"/>
        </w:rPr>
        <w:t>)</w:t>
      </w:r>
      <w:r w:rsidRPr="00BF42B7">
        <w:rPr>
          <w:lang w:val="en-GB"/>
        </w:rPr>
        <w:t>，还是应当</w:t>
      </w:r>
      <w:r w:rsidRPr="00BF42B7">
        <w:rPr>
          <w:spacing w:val="2"/>
          <w:lang w:val="en-GB"/>
        </w:rPr>
        <w:t>根据</w:t>
      </w:r>
      <w:r w:rsidRPr="00BF42B7">
        <w:rPr>
          <w:rFonts w:hint="eastAsia"/>
          <w:spacing w:val="2"/>
          <w:lang w:val="en-GB"/>
        </w:rPr>
        <w:t>适用</w:t>
      </w:r>
      <w:r w:rsidRPr="00BF42B7">
        <w:rPr>
          <w:spacing w:val="2"/>
          <w:lang w:val="en-GB"/>
        </w:rPr>
        <w:t>之时的情况和法律来解释</w:t>
      </w:r>
      <w:r w:rsidRPr="00BF42B7">
        <w:rPr>
          <w:spacing w:val="2"/>
          <w:lang w:val="en-GB"/>
        </w:rPr>
        <w:t>(</w:t>
      </w:r>
      <w:r w:rsidRPr="00BF42B7">
        <w:rPr>
          <w:rFonts w:hint="eastAsia"/>
          <w:spacing w:val="2"/>
          <w:lang w:val="en-GB"/>
        </w:rPr>
        <w:t>“</w:t>
      </w:r>
      <w:r w:rsidRPr="00BF42B7">
        <w:rPr>
          <w:spacing w:val="2"/>
          <w:lang w:val="en-GB"/>
        </w:rPr>
        <w:t>演进</w:t>
      </w:r>
      <w:r w:rsidRPr="00BF42B7">
        <w:rPr>
          <w:rFonts w:hint="eastAsia"/>
          <w:spacing w:val="2"/>
          <w:lang w:val="en-GB"/>
        </w:rPr>
        <w:t>性”</w:t>
      </w:r>
      <w:r w:rsidRPr="00BF42B7">
        <w:rPr>
          <w:spacing w:val="2"/>
          <w:lang w:val="en-GB"/>
        </w:rPr>
        <w:t>、</w:t>
      </w:r>
      <w:r w:rsidRPr="00BF42B7">
        <w:rPr>
          <w:rFonts w:hint="eastAsia"/>
          <w:spacing w:val="2"/>
          <w:lang w:val="en-GB"/>
        </w:rPr>
        <w:t>“演变性”</w:t>
      </w:r>
      <w:r w:rsidRPr="00BF42B7">
        <w:rPr>
          <w:spacing w:val="2"/>
          <w:lang w:val="en-GB"/>
        </w:rPr>
        <w:t>或</w:t>
      </w:r>
      <w:r w:rsidRPr="00BF42B7">
        <w:rPr>
          <w:rFonts w:hint="eastAsia"/>
          <w:spacing w:val="2"/>
          <w:lang w:val="en-GB"/>
        </w:rPr>
        <w:t>“</w:t>
      </w:r>
      <w:r w:rsidRPr="00BF42B7">
        <w:rPr>
          <w:spacing w:val="2"/>
          <w:lang w:val="en-GB"/>
        </w:rPr>
        <w:t>动态</w:t>
      </w:r>
      <w:r w:rsidRPr="00BF42B7">
        <w:rPr>
          <w:rFonts w:hint="eastAsia"/>
          <w:spacing w:val="2"/>
          <w:lang w:val="en-GB"/>
        </w:rPr>
        <w:t>性”</w:t>
      </w:r>
      <w:r w:rsidRPr="00BF42B7">
        <w:rPr>
          <w:spacing w:val="2"/>
          <w:lang w:val="en-GB"/>
        </w:rPr>
        <w:t>解释</w:t>
      </w:r>
      <w:r w:rsidRPr="00BF42B7">
        <w:rPr>
          <w:spacing w:val="2"/>
          <w:lang w:val="en-GB"/>
        </w:rPr>
        <w:t>)</w:t>
      </w:r>
      <w:r w:rsidRPr="00BF42B7">
        <w:rPr>
          <w:spacing w:val="2"/>
          <w:lang w:val="en-GB"/>
        </w:rPr>
        <w:t>。</w:t>
      </w:r>
      <w:r w:rsidRPr="00BF42B7">
        <w:rPr>
          <w:color w:val="0000FF"/>
          <w:spacing w:val="2"/>
          <w:vertAlign w:val="superscript"/>
          <w:lang w:val="en-GB"/>
        </w:rPr>
        <w:footnoteReference w:id="711"/>
      </w:r>
      <w:r w:rsidRPr="00BF42B7">
        <w:rPr>
          <w:color w:val="0000FF"/>
          <w:vertAlign w:val="superscript"/>
          <w:lang w:val="en-GB"/>
        </w:rPr>
        <w:t xml:space="preserve"> </w:t>
      </w:r>
      <w:r w:rsidRPr="00BF42B7">
        <w:rPr>
          <w:lang w:val="en-GB"/>
        </w:rPr>
        <w:t>当初，仲裁官</w:t>
      </w:r>
      <w:r w:rsidRPr="00BF42B7">
        <w:rPr>
          <w:lang w:val="en-GB"/>
        </w:rPr>
        <w:t>Max</w:t>
      </w:r>
      <w:r w:rsidRPr="00BF42B7">
        <w:rPr>
          <w:rFonts w:hint="eastAsia"/>
          <w:lang w:val="en-GB"/>
        </w:rPr>
        <w:t xml:space="preserve"> </w:t>
      </w:r>
      <w:r w:rsidRPr="00BF42B7">
        <w:rPr>
          <w:lang w:val="en-GB"/>
        </w:rPr>
        <w:t>Hubert</w:t>
      </w:r>
      <w:r w:rsidRPr="00BF42B7">
        <w:rPr>
          <w:lang w:val="en-GB"/>
        </w:rPr>
        <w:t>在</w:t>
      </w:r>
      <w:r w:rsidRPr="00BF42B7">
        <w:rPr>
          <w:rFonts w:ascii="Time New Roman" w:eastAsia="楷体" w:hAnsi="Time New Roman"/>
          <w:lang w:val="fr-FR"/>
        </w:rPr>
        <w:t>帕尔马斯岛案</w:t>
      </w:r>
      <w:r w:rsidRPr="00BF42B7">
        <w:rPr>
          <w:lang w:val="en-GB"/>
        </w:rPr>
        <w:t>中判词是</w:t>
      </w:r>
      <w:r w:rsidRPr="00BF42B7">
        <w:rPr>
          <w:rFonts w:hint="eastAsia"/>
          <w:lang w:val="en-GB"/>
        </w:rPr>
        <w:t>“</w:t>
      </w:r>
      <w:r w:rsidRPr="00BF42B7">
        <w:rPr>
          <w:lang w:val="en-GB"/>
        </w:rPr>
        <w:t>必须根据当时的法律来审视案件事实</w:t>
      </w:r>
      <w:r w:rsidRPr="00BF42B7">
        <w:rPr>
          <w:rFonts w:hint="eastAsia"/>
          <w:lang w:val="en-GB"/>
        </w:rPr>
        <w:t>”</w:t>
      </w:r>
      <w:r w:rsidRPr="00BF42B7">
        <w:rPr>
          <w:lang w:val="en-GB"/>
        </w:rPr>
        <w:t>，</w:t>
      </w:r>
      <w:r w:rsidRPr="00BF42B7">
        <w:rPr>
          <w:color w:val="0000FF"/>
          <w:vertAlign w:val="superscript"/>
          <w:lang w:val="en-GB"/>
        </w:rPr>
        <w:footnoteReference w:id="712"/>
      </w:r>
      <w:r w:rsidRPr="00BF42B7">
        <w:rPr>
          <w:color w:val="0000FF"/>
          <w:vertAlign w:val="superscript"/>
          <w:lang w:val="en-GB"/>
        </w:rPr>
        <w:t xml:space="preserve"> </w:t>
      </w:r>
      <w:r w:rsidRPr="00BF42B7">
        <w:rPr>
          <w:lang w:val="en-GB"/>
        </w:rPr>
        <w:t>导致许多国际法院和法庭以及许多法学家普遍赞成</w:t>
      </w:r>
      <w:r w:rsidRPr="00BF42B7">
        <w:rPr>
          <w:rFonts w:hint="eastAsia"/>
          <w:lang w:val="en-GB"/>
        </w:rPr>
        <w:t>“</w:t>
      </w:r>
      <w:r w:rsidRPr="00BF42B7">
        <w:rPr>
          <w:lang w:val="en-GB"/>
        </w:rPr>
        <w:t>注重当时意义的解释</w:t>
      </w:r>
      <w:r w:rsidRPr="00BF42B7">
        <w:rPr>
          <w:rFonts w:hint="eastAsia"/>
          <w:lang w:val="en-GB"/>
        </w:rPr>
        <w:t>”</w:t>
      </w:r>
      <w:r w:rsidRPr="00BF42B7">
        <w:rPr>
          <w:lang w:val="en-GB"/>
        </w:rPr>
        <w:t>方法。</w:t>
      </w:r>
      <w:r w:rsidRPr="00BF42B7">
        <w:rPr>
          <w:color w:val="0000FF"/>
          <w:vertAlign w:val="superscript"/>
          <w:lang w:val="en-GB"/>
        </w:rPr>
        <w:footnoteReference w:id="713"/>
      </w:r>
      <w:r w:rsidRPr="00BF42B7">
        <w:rPr>
          <w:color w:val="0000FF"/>
          <w:vertAlign w:val="superscript"/>
          <w:lang w:val="en-GB"/>
        </w:rPr>
        <w:t xml:space="preserve"> </w:t>
      </w:r>
      <w:r w:rsidRPr="00BF42B7">
        <w:rPr>
          <w:lang w:val="en-GB"/>
        </w:rPr>
        <w:t>与此同时，仲裁法庭在</w:t>
      </w:r>
      <w:r w:rsidRPr="00BF42B7">
        <w:rPr>
          <w:rFonts w:ascii="Time New Roman" w:eastAsia="楷体" w:hAnsi="Time New Roman"/>
          <w:lang w:val="fr-FR"/>
        </w:rPr>
        <w:t>莱茵铁路公司案</w:t>
      </w:r>
      <w:r w:rsidRPr="00BF42B7">
        <w:rPr>
          <w:lang w:val="en-GB"/>
        </w:rPr>
        <w:t>中</w:t>
      </w:r>
      <w:r w:rsidRPr="00BF42B7">
        <w:rPr>
          <w:rFonts w:hint="eastAsia"/>
          <w:lang w:val="en-GB"/>
        </w:rPr>
        <w:t>声称</w:t>
      </w:r>
      <w:r w:rsidRPr="00BF42B7">
        <w:rPr>
          <w:lang w:val="en-GB"/>
        </w:rPr>
        <w:t>，</w:t>
      </w:r>
      <w:r w:rsidRPr="00BF42B7">
        <w:rPr>
          <w:rFonts w:hint="eastAsia"/>
          <w:lang w:val="en-GB"/>
        </w:rPr>
        <w:t>“</w:t>
      </w:r>
      <w:r w:rsidRPr="00BF42B7">
        <w:rPr>
          <w:lang w:val="en-GB"/>
        </w:rPr>
        <w:t>今天，主流法学家普遍支持对条约的</w:t>
      </w:r>
      <w:r w:rsidRPr="00BF42B7">
        <w:rPr>
          <w:rFonts w:hint="eastAsia"/>
          <w:lang w:val="en-GB"/>
        </w:rPr>
        <w:t>演变性</w:t>
      </w:r>
      <w:r w:rsidRPr="00BF42B7">
        <w:rPr>
          <w:lang w:val="en-GB"/>
        </w:rPr>
        <w:t>解释</w:t>
      </w:r>
      <w:r w:rsidRPr="00BF42B7">
        <w:rPr>
          <w:rFonts w:hint="eastAsia"/>
          <w:lang w:val="en-GB"/>
        </w:rPr>
        <w:t>”</w:t>
      </w:r>
      <w:r w:rsidRPr="00BF42B7">
        <w:rPr>
          <w:lang w:val="en-GB"/>
        </w:rPr>
        <w:t>。</w:t>
      </w:r>
      <w:bookmarkStart w:id="160" w:name="_Ref451506872"/>
      <w:r w:rsidRPr="00BF42B7">
        <w:rPr>
          <w:color w:val="0000FF"/>
          <w:vertAlign w:val="superscript"/>
          <w:lang w:val="en-GB"/>
        </w:rPr>
        <w:footnoteReference w:id="714"/>
      </w:r>
      <w:bookmarkEnd w:id="160"/>
      <w:r w:rsidRPr="00BF42B7">
        <w:rPr>
          <w:color w:val="0000FF"/>
          <w:vertAlign w:val="superscript"/>
          <w:lang w:val="en-GB"/>
        </w:rPr>
        <w:t xml:space="preserve"> </w:t>
      </w:r>
    </w:p>
    <w:p w:rsidR="00DF5565" w:rsidRPr="00BF42B7" w:rsidRDefault="00DF5565" w:rsidP="00DF5565">
      <w:pPr>
        <w:pStyle w:val="SingleTxtGC"/>
        <w:rPr>
          <w:lang w:val="en-GB"/>
        </w:rPr>
      </w:pPr>
      <w:r w:rsidRPr="00BF42B7">
        <w:rPr>
          <w:lang w:val="en-GB"/>
        </w:rPr>
        <w:t>(3)  1966</w:t>
      </w:r>
      <w:r w:rsidRPr="00BF42B7">
        <w:rPr>
          <w:lang w:val="en-GB"/>
        </w:rPr>
        <w:t>年，委员会在条约法草案的评注中认为，</w:t>
      </w:r>
      <w:r w:rsidRPr="00BF42B7">
        <w:rPr>
          <w:rFonts w:hint="eastAsia"/>
          <w:lang w:val="en-GB"/>
        </w:rPr>
        <w:t>“</w:t>
      </w:r>
      <w:r w:rsidRPr="00BF42B7">
        <w:rPr>
          <w:lang w:val="en-GB"/>
        </w:rPr>
        <w:t>试图制定一项全面涵盖时间因素的通则会产生难题</w:t>
      </w:r>
      <w:r w:rsidRPr="00BF42B7">
        <w:rPr>
          <w:rFonts w:hint="eastAsia"/>
          <w:lang w:val="en-GB"/>
        </w:rPr>
        <w:t>”</w:t>
      </w:r>
      <w:r w:rsidRPr="00BF42B7">
        <w:rPr>
          <w:lang w:val="en-GB"/>
        </w:rPr>
        <w:t>，因此，委员会</w:t>
      </w:r>
      <w:r w:rsidRPr="00BF42B7">
        <w:rPr>
          <w:rFonts w:hint="eastAsia"/>
          <w:lang w:val="en-GB"/>
        </w:rPr>
        <w:t>“</w:t>
      </w:r>
      <w:r w:rsidRPr="00BF42B7">
        <w:rPr>
          <w:lang w:val="en-GB"/>
        </w:rPr>
        <w:t>得出结论认为，应忽略时间因素。</w:t>
      </w:r>
      <w:r w:rsidRPr="00BF42B7">
        <w:rPr>
          <w:rFonts w:hint="eastAsia"/>
          <w:lang w:val="en-GB"/>
        </w:rPr>
        <w:t>”</w:t>
      </w:r>
      <w:r w:rsidRPr="00BF42B7">
        <w:rPr>
          <w:color w:val="0000FF"/>
          <w:vertAlign w:val="superscript"/>
          <w:lang w:val="en-GB"/>
        </w:rPr>
        <w:footnoteReference w:id="715"/>
      </w:r>
      <w:r w:rsidRPr="00BF42B7">
        <w:rPr>
          <w:color w:val="0000FF"/>
          <w:vertAlign w:val="superscript"/>
          <w:lang w:val="en-GB"/>
        </w:rPr>
        <w:t xml:space="preserve"> </w:t>
      </w:r>
      <w:r w:rsidRPr="00BF42B7">
        <w:rPr>
          <w:lang w:val="en-GB"/>
        </w:rPr>
        <w:t>同样，通过委员会不成体系问题研究组内的辩论，委员会在</w:t>
      </w:r>
      <w:r w:rsidRPr="00BF42B7">
        <w:rPr>
          <w:lang w:val="en-GB"/>
        </w:rPr>
        <w:t>2006</w:t>
      </w:r>
      <w:r w:rsidRPr="00BF42B7">
        <w:rPr>
          <w:lang w:val="en-GB"/>
        </w:rPr>
        <w:t>年得出结论认为，难以制定并商定一条通则，从而要么偏向于</w:t>
      </w:r>
      <w:r w:rsidRPr="00BF42B7">
        <w:rPr>
          <w:rFonts w:hint="eastAsia"/>
          <w:lang w:val="en-GB"/>
        </w:rPr>
        <w:t>“</w:t>
      </w:r>
      <w:r w:rsidRPr="00BF42B7">
        <w:rPr>
          <w:lang w:val="en-GB"/>
        </w:rPr>
        <w:t>当时意义解释原则</w:t>
      </w:r>
      <w:r w:rsidRPr="00BF42B7">
        <w:rPr>
          <w:rFonts w:hint="eastAsia"/>
          <w:lang w:val="en-GB"/>
        </w:rPr>
        <w:t>”</w:t>
      </w:r>
      <w:r w:rsidRPr="00BF42B7">
        <w:rPr>
          <w:lang w:val="en-GB"/>
        </w:rPr>
        <w:t>，要么偏向于</w:t>
      </w:r>
      <w:r w:rsidRPr="00BF42B7">
        <w:rPr>
          <w:rFonts w:hint="eastAsia"/>
          <w:lang w:val="en-GB"/>
        </w:rPr>
        <w:t>大体上承认有必要考虑条约“</w:t>
      </w:r>
      <w:r w:rsidRPr="00BF42B7">
        <w:rPr>
          <w:lang w:val="en-GB"/>
        </w:rPr>
        <w:t>不断演变的含义</w:t>
      </w:r>
      <w:r w:rsidRPr="00BF42B7">
        <w:rPr>
          <w:rFonts w:hint="eastAsia"/>
          <w:lang w:val="en-GB"/>
        </w:rPr>
        <w:t>”的原则。</w:t>
      </w:r>
      <w:r w:rsidRPr="00BF42B7">
        <w:rPr>
          <w:color w:val="0000FF"/>
          <w:vertAlign w:val="superscript"/>
          <w:lang w:val="en-GB"/>
        </w:rPr>
        <w:footnoteReference w:id="716"/>
      </w:r>
      <w:r w:rsidRPr="00BF42B7">
        <w:rPr>
          <w:color w:val="0000FF"/>
          <w:vertAlign w:val="superscript"/>
          <w:lang w:val="en-GB"/>
        </w:rPr>
        <w:t xml:space="preserve"> </w:t>
      </w:r>
    </w:p>
    <w:p w:rsidR="00DF5565" w:rsidRPr="00BF42B7" w:rsidRDefault="00DF5565" w:rsidP="00DF5565">
      <w:pPr>
        <w:pStyle w:val="SingleTxtGC"/>
        <w:rPr>
          <w:lang w:val="en-GB"/>
        </w:rPr>
      </w:pPr>
      <w:r w:rsidRPr="00BF42B7">
        <w:rPr>
          <w:lang w:val="en-GB"/>
        </w:rPr>
        <w:t xml:space="preserve">(4)  </w:t>
      </w:r>
      <w:r w:rsidRPr="00BF42B7">
        <w:rPr>
          <w:lang w:val="en-GB"/>
        </w:rPr>
        <w:t>结论草案</w:t>
      </w:r>
      <w:r w:rsidRPr="00BF42B7">
        <w:rPr>
          <w:lang w:val="en-GB"/>
        </w:rPr>
        <w:t>8[3]</w:t>
      </w:r>
      <w:r w:rsidRPr="00BF42B7">
        <w:rPr>
          <w:lang w:val="en-GB"/>
        </w:rPr>
        <w:t>不应</w:t>
      </w:r>
      <w:r w:rsidRPr="00BF42B7">
        <w:rPr>
          <w:rFonts w:hint="eastAsia"/>
          <w:lang w:val="en-GB"/>
        </w:rPr>
        <w:t>视</w:t>
      </w:r>
      <w:r w:rsidRPr="00BF42B7">
        <w:rPr>
          <w:lang w:val="en-GB"/>
        </w:rPr>
        <w:t>为</w:t>
      </w:r>
      <w:r w:rsidRPr="00BF42B7">
        <w:rPr>
          <w:rFonts w:hint="eastAsia"/>
          <w:lang w:val="en-GB"/>
        </w:rPr>
        <w:t>就</w:t>
      </w:r>
      <w:r w:rsidRPr="00BF42B7">
        <w:rPr>
          <w:lang w:val="en-GB"/>
        </w:rPr>
        <w:t>一般条约解释</w:t>
      </w:r>
      <w:r w:rsidRPr="00BF42B7">
        <w:rPr>
          <w:rFonts w:hint="eastAsia"/>
          <w:lang w:val="en-GB"/>
        </w:rPr>
        <w:t>宜</w:t>
      </w:r>
      <w:r w:rsidRPr="00BF42B7">
        <w:rPr>
          <w:lang w:val="en-GB"/>
        </w:rPr>
        <w:t>采取当时意义办法还是演进办法这一问题采取了任何立场。结论草案</w:t>
      </w:r>
      <w:r w:rsidRPr="00BF42B7">
        <w:rPr>
          <w:lang w:val="en-GB"/>
        </w:rPr>
        <w:t>8[3]</w:t>
      </w:r>
      <w:r w:rsidRPr="00BF42B7">
        <w:rPr>
          <w:lang w:val="en-GB"/>
        </w:rPr>
        <w:t>强调的是，与任何其他条约解释资料一样，嗣后协定和嗣后惯例在适当情况下</w:t>
      </w:r>
      <w:r w:rsidRPr="00BF42B7">
        <w:rPr>
          <w:rFonts w:hint="eastAsia"/>
          <w:lang w:val="en-GB"/>
        </w:rPr>
        <w:t>，既可</w:t>
      </w:r>
      <w:r w:rsidRPr="00BF42B7">
        <w:rPr>
          <w:lang w:val="en-GB"/>
        </w:rPr>
        <w:t>支持当时意义解释</w:t>
      </w:r>
      <w:r w:rsidRPr="00BF42B7">
        <w:rPr>
          <w:rFonts w:hint="eastAsia"/>
          <w:lang w:val="en-GB"/>
        </w:rPr>
        <w:t>，也可支持</w:t>
      </w:r>
      <w:r w:rsidRPr="00BF42B7">
        <w:rPr>
          <w:lang w:val="en-GB"/>
        </w:rPr>
        <w:t>演进</w:t>
      </w:r>
      <w:r w:rsidRPr="00BF42B7">
        <w:rPr>
          <w:rFonts w:hint="eastAsia"/>
          <w:lang w:val="en-GB"/>
        </w:rPr>
        <w:t>性</w:t>
      </w:r>
      <w:r w:rsidRPr="00BF42B7">
        <w:rPr>
          <w:lang w:val="en-GB"/>
        </w:rPr>
        <w:t>解释</w:t>
      </w:r>
      <w:r w:rsidRPr="00BF42B7">
        <w:rPr>
          <w:lang w:val="en-GB"/>
        </w:rPr>
        <w:t>(</w:t>
      </w:r>
      <w:r w:rsidRPr="00BF42B7">
        <w:rPr>
          <w:lang w:val="en-GB"/>
        </w:rPr>
        <w:t>或通常所称的</w:t>
      </w:r>
      <w:r w:rsidRPr="00BF42B7">
        <w:rPr>
          <w:rFonts w:hint="eastAsia"/>
          <w:lang w:val="en-GB"/>
        </w:rPr>
        <w:t>演变性</w:t>
      </w:r>
      <w:r w:rsidRPr="00BF42B7">
        <w:rPr>
          <w:lang w:val="en-GB"/>
        </w:rPr>
        <w:t>解释</w:t>
      </w:r>
      <w:r w:rsidRPr="00BF42B7">
        <w:rPr>
          <w:lang w:val="en-GB"/>
        </w:rPr>
        <w:t>)</w:t>
      </w:r>
      <w:r w:rsidRPr="00BF42B7">
        <w:rPr>
          <w:lang w:val="en-GB"/>
        </w:rPr>
        <w:t>。因此，委员会的结论是，这些条约解释资料</w:t>
      </w:r>
      <w:r w:rsidRPr="00BF42B7">
        <w:rPr>
          <w:rFonts w:hint="eastAsia"/>
          <w:lang w:val="en-GB"/>
        </w:rPr>
        <w:t>“</w:t>
      </w:r>
      <w:r w:rsidRPr="00BF42B7">
        <w:rPr>
          <w:lang w:val="en-GB"/>
        </w:rPr>
        <w:t>可协助确定</w:t>
      </w:r>
      <w:r w:rsidRPr="00BF42B7">
        <w:rPr>
          <w:rFonts w:hint="eastAsia"/>
          <w:lang w:val="en-GB"/>
        </w:rPr>
        <w:t>”演进性解释</w:t>
      </w:r>
      <w:r w:rsidRPr="00BF42B7">
        <w:rPr>
          <w:lang w:val="en-GB"/>
        </w:rPr>
        <w:t>对</w:t>
      </w:r>
      <w:r w:rsidRPr="00BF42B7">
        <w:rPr>
          <w:rFonts w:hint="eastAsia"/>
          <w:lang w:val="en-GB"/>
        </w:rPr>
        <w:t>某</w:t>
      </w:r>
      <w:r w:rsidRPr="00BF42B7">
        <w:rPr>
          <w:lang w:val="en-GB"/>
        </w:rPr>
        <w:t>特定条约术语是否适合。</w:t>
      </w:r>
    </w:p>
    <w:p w:rsidR="00DF5565" w:rsidRPr="00BF42B7" w:rsidRDefault="00DF5565" w:rsidP="00DF5565">
      <w:pPr>
        <w:pStyle w:val="SingleTxtGC"/>
        <w:rPr>
          <w:lang w:val="en-GB"/>
        </w:rPr>
      </w:pPr>
      <w:r w:rsidRPr="00BF42B7">
        <w:rPr>
          <w:lang w:val="en-GB"/>
        </w:rPr>
        <w:t xml:space="preserve">(5)  </w:t>
      </w:r>
      <w:r w:rsidRPr="00BF42B7">
        <w:rPr>
          <w:lang w:val="en-GB"/>
        </w:rPr>
        <w:t>各国际法院和法庭的判例确认了这一办法。采用演进</w:t>
      </w:r>
      <w:r w:rsidRPr="00BF42B7">
        <w:rPr>
          <w:rFonts w:hint="eastAsia"/>
          <w:lang w:val="en-GB"/>
        </w:rPr>
        <w:t>性</w:t>
      </w:r>
      <w:r w:rsidRPr="00BF42B7">
        <w:rPr>
          <w:lang w:val="en-GB"/>
        </w:rPr>
        <w:t>解释办法</w:t>
      </w:r>
      <w:r w:rsidRPr="00BF42B7">
        <w:rPr>
          <w:rFonts w:hint="eastAsia"/>
          <w:spacing w:val="-50"/>
          <w:lang w:val="fr-CH"/>
        </w:rPr>
        <w:t>―</w:t>
      </w:r>
      <w:r w:rsidRPr="00BF42B7">
        <w:rPr>
          <w:rFonts w:hint="eastAsia"/>
          <w:lang w:val="fr-CH"/>
        </w:rPr>
        <w:t>―</w:t>
      </w:r>
      <w:r w:rsidRPr="00BF42B7">
        <w:rPr>
          <w:lang w:val="en-GB"/>
        </w:rPr>
        <w:t>尽管程度不同</w:t>
      </w:r>
      <w:r w:rsidRPr="00BF42B7">
        <w:rPr>
          <w:rFonts w:hint="eastAsia"/>
          <w:spacing w:val="-50"/>
          <w:lang w:val="fr-CH"/>
        </w:rPr>
        <w:t>―</w:t>
      </w:r>
      <w:r w:rsidRPr="00BF42B7">
        <w:rPr>
          <w:rFonts w:hint="eastAsia"/>
          <w:lang w:val="fr-CH"/>
        </w:rPr>
        <w:t>―</w:t>
      </w:r>
      <w:r w:rsidRPr="00BF42B7">
        <w:rPr>
          <w:lang w:val="en-GB"/>
        </w:rPr>
        <w:t>的各国际法院和法庭，看来都采用逐案处理的办法，通过第三十一条和第三十二条提到的各种条约解释资料，确定是否应当赋予条约术语以能够随时间演变的含义。</w:t>
      </w:r>
    </w:p>
    <w:p w:rsidR="00DF5565" w:rsidRPr="00BF42B7" w:rsidRDefault="00DF5565" w:rsidP="00DF5565">
      <w:pPr>
        <w:pStyle w:val="SingleTxtGC"/>
        <w:rPr>
          <w:lang w:val="en-GB"/>
        </w:rPr>
      </w:pPr>
      <w:r w:rsidRPr="00BF42B7">
        <w:rPr>
          <w:lang w:val="en-GB"/>
        </w:rPr>
        <w:t xml:space="preserve">(6)  </w:t>
      </w:r>
      <w:r w:rsidRPr="00BF42B7">
        <w:rPr>
          <w:lang w:val="en-GB"/>
        </w:rPr>
        <w:t>特别是，国际法院被视为</w:t>
      </w:r>
      <w:r w:rsidRPr="00BF42B7">
        <w:rPr>
          <w:rFonts w:hint="eastAsia"/>
          <w:lang w:val="en-GB"/>
        </w:rPr>
        <w:t>发展</w:t>
      </w:r>
      <w:r w:rsidRPr="00BF42B7">
        <w:rPr>
          <w:lang w:val="en-GB"/>
        </w:rPr>
        <w:t>出了两</w:t>
      </w:r>
      <w:r w:rsidRPr="00BF42B7">
        <w:rPr>
          <w:rFonts w:hint="eastAsia"/>
          <w:lang w:val="en-GB"/>
        </w:rPr>
        <w:t>套</w:t>
      </w:r>
      <w:r w:rsidRPr="00BF42B7">
        <w:rPr>
          <w:lang w:val="en-GB"/>
        </w:rPr>
        <w:t>判例，一</w:t>
      </w:r>
      <w:r w:rsidRPr="00BF42B7">
        <w:rPr>
          <w:rFonts w:hint="eastAsia"/>
          <w:lang w:val="en-GB"/>
        </w:rPr>
        <w:t>套</w:t>
      </w:r>
      <w:r w:rsidRPr="00BF42B7">
        <w:rPr>
          <w:lang w:val="en-GB"/>
        </w:rPr>
        <w:t>偏向于</w:t>
      </w:r>
      <w:r w:rsidRPr="00BF42B7">
        <w:rPr>
          <w:rFonts w:hint="eastAsia"/>
          <w:lang w:val="en-GB"/>
        </w:rPr>
        <w:t>“</w:t>
      </w:r>
      <w:r w:rsidRPr="00BF42B7">
        <w:rPr>
          <w:lang w:val="en-GB"/>
        </w:rPr>
        <w:t>当时意义</w:t>
      </w:r>
      <w:r w:rsidRPr="00BF42B7">
        <w:rPr>
          <w:rFonts w:hint="eastAsia"/>
          <w:lang w:val="en-GB"/>
        </w:rPr>
        <w:t>”</w:t>
      </w:r>
      <w:r w:rsidRPr="00BF42B7">
        <w:rPr>
          <w:lang w:val="en-GB"/>
        </w:rPr>
        <w:t>解释，一</w:t>
      </w:r>
      <w:r w:rsidRPr="00BF42B7">
        <w:rPr>
          <w:rFonts w:hint="eastAsia"/>
          <w:lang w:val="en-GB"/>
        </w:rPr>
        <w:t>套</w:t>
      </w:r>
      <w:r w:rsidRPr="00BF42B7">
        <w:rPr>
          <w:lang w:val="en-GB"/>
        </w:rPr>
        <w:t>偏向于</w:t>
      </w:r>
      <w:r w:rsidRPr="00BF42B7">
        <w:rPr>
          <w:rFonts w:hint="eastAsia"/>
          <w:lang w:val="en-GB"/>
        </w:rPr>
        <w:t>“</w:t>
      </w:r>
      <w:r w:rsidRPr="00BF42B7">
        <w:rPr>
          <w:lang w:val="en-GB"/>
        </w:rPr>
        <w:t>演变性</w:t>
      </w:r>
      <w:r w:rsidRPr="00BF42B7">
        <w:rPr>
          <w:rFonts w:hint="eastAsia"/>
          <w:lang w:val="en-GB"/>
        </w:rPr>
        <w:t>”</w:t>
      </w:r>
      <w:r w:rsidRPr="00BF42B7">
        <w:rPr>
          <w:lang w:val="en-GB"/>
        </w:rPr>
        <w:t>解释，正如纪尧姆专案法官在其</w:t>
      </w:r>
      <w:r w:rsidRPr="00BF42B7">
        <w:rPr>
          <w:rFonts w:ascii="Time New Roman" w:eastAsia="楷体" w:hAnsi="Time New Roman"/>
          <w:lang w:val="fr-FR"/>
        </w:rPr>
        <w:t>关于航行权和相关权利的争端案</w:t>
      </w:r>
      <w:r w:rsidRPr="00BF42B7">
        <w:rPr>
          <w:lang w:val="en-GB"/>
        </w:rPr>
        <w:t>的声明中所指出的。</w:t>
      </w:r>
      <w:r w:rsidRPr="00BF42B7">
        <w:rPr>
          <w:color w:val="0000FF"/>
          <w:vertAlign w:val="superscript"/>
          <w:lang w:val="en-GB"/>
        </w:rPr>
        <w:footnoteReference w:id="717"/>
      </w:r>
      <w:r w:rsidRPr="00BF42B7">
        <w:rPr>
          <w:color w:val="0000FF"/>
          <w:vertAlign w:val="superscript"/>
          <w:lang w:val="en-GB"/>
        </w:rPr>
        <w:t xml:space="preserve"> </w:t>
      </w:r>
      <w:r w:rsidRPr="00BF42B7">
        <w:rPr>
          <w:lang w:val="en-GB"/>
        </w:rPr>
        <w:t>他认为，倾向于当时意义办法的法院裁决大多涉及具体的条约术语</w:t>
      </w:r>
      <w:r w:rsidRPr="00BF42B7">
        <w:rPr>
          <w:lang w:val="en-GB"/>
        </w:rPr>
        <w:t>(</w:t>
      </w:r>
      <w:r w:rsidRPr="00BF42B7">
        <w:rPr>
          <w:rFonts w:hint="eastAsia"/>
          <w:lang w:val="en-GB"/>
        </w:rPr>
        <w:t>“</w:t>
      </w:r>
      <w:r w:rsidRPr="00BF42B7">
        <w:rPr>
          <w:lang w:val="en-GB"/>
        </w:rPr>
        <w:t>分水岭</w:t>
      </w:r>
      <w:r w:rsidRPr="00BF42B7">
        <w:rPr>
          <w:rFonts w:hint="eastAsia"/>
          <w:lang w:val="en-GB"/>
        </w:rPr>
        <w:t>”</w:t>
      </w:r>
      <w:bookmarkStart w:id="161" w:name="_Ref450661314"/>
      <w:r w:rsidRPr="00BF42B7">
        <w:rPr>
          <w:rFonts w:hint="eastAsia"/>
          <w:lang w:val="en-GB"/>
        </w:rPr>
        <w:t>、</w:t>
      </w:r>
      <w:r w:rsidRPr="00BF42B7">
        <w:rPr>
          <w:color w:val="0000FF"/>
          <w:vertAlign w:val="superscript"/>
          <w:lang w:val="en-GB"/>
        </w:rPr>
        <w:footnoteReference w:id="718"/>
      </w:r>
      <w:r w:rsidRPr="00BF42B7">
        <w:rPr>
          <w:color w:val="0000FF"/>
          <w:vertAlign w:val="superscript"/>
          <w:lang w:val="en-GB"/>
        </w:rPr>
        <w:t xml:space="preserve"> </w:t>
      </w:r>
      <w:bookmarkEnd w:id="161"/>
      <w:r w:rsidRPr="00BF42B7">
        <w:rPr>
          <w:rFonts w:hint="eastAsia"/>
          <w:lang w:val="en-GB"/>
        </w:rPr>
        <w:t>“</w:t>
      </w:r>
      <w:r w:rsidRPr="00BF42B7">
        <w:rPr>
          <w:lang w:val="en-GB"/>
        </w:rPr>
        <w:t>主航道或河流最深线</w:t>
      </w:r>
      <w:r w:rsidRPr="00BF42B7">
        <w:rPr>
          <w:rFonts w:hint="eastAsia"/>
          <w:lang w:val="en-GB"/>
        </w:rPr>
        <w:t>”、</w:t>
      </w:r>
      <w:r w:rsidRPr="00BF42B7">
        <w:rPr>
          <w:color w:val="0000FF"/>
          <w:vertAlign w:val="superscript"/>
          <w:lang w:val="en-GB"/>
        </w:rPr>
        <w:footnoteReference w:id="719"/>
      </w:r>
      <w:r w:rsidRPr="00BF42B7">
        <w:rPr>
          <w:color w:val="0000FF"/>
          <w:vertAlign w:val="superscript"/>
          <w:lang w:val="en-GB"/>
        </w:rPr>
        <w:t xml:space="preserve"> </w:t>
      </w:r>
      <w:r w:rsidRPr="00BF42B7">
        <w:rPr>
          <w:lang w:val="en-GB"/>
        </w:rPr>
        <w:t>地名</w:t>
      </w:r>
      <w:r w:rsidRPr="00BF42B7">
        <w:rPr>
          <w:rFonts w:hint="eastAsia"/>
          <w:lang w:val="en-GB"/>
        </w:rPr>
        <w:t>、</w:t>
      </w:r>
      <w:r w:rsidRPr="00BF42B7">
        <w:rPr>
          <w:color w:val="0000FF"/>
          <w:vertAlign w:val="superscript"/>
          <w:lang w:val="en-GB"/>
        </w:rPr>
        <w:footnoteReference w:id="720"/>
      </w:r>
      <w:r w:rsidRPr="00BF42B7">
        <w:rPr>
          <w:color w:val="0000FF"/>
          <w:vertAlign w:val="superscript"/>
          <w:lang w:val="en-GB"/>
        </w:rPr>
        <w:t xml:space="preserve"> </w:t>
      </w:r>
      <w:r w:rsidRPr="00BF42B7">
        <w:rPr>
          <w:rFonts w:hint="eastAsia"/>
          <w:lang w:val="en-GB"/>
        </w:rPr>
        <w:t>“</w:t>
      </w:r>
      <w:r w:rsidRPr="00BF42B7">
        <w:rPr>
          <w:lang w:val="en-GB"/>
        </w:rPr>
        <w:t>河口</w:t>
      </w:r>
      <w:r w:rsidRPr="00BF42B7">
        <w:rPr>
          <w:rFonts w:hint="eastAsia"/>
          <w:lang w:val="en-GB"/>
        </w:rPr>
        <w:t>”</w:t>
      </w:r>
      <w:r w:rsidRPr="00BF42B7">
        <w:rPr>
          <w:color w:val="0000FF"/>
          <w:vertAlign w:val="superscript"/>
          <w:lang w:val="en-GB"/>
        </w:rPr>
        <w:footnoteReference w:id="721"/>
      </w:r>
      <w:r w:rsidRPr="00BF42B7">
        <w:rPr>
          <w:lang w:val="en-GB"/>
        </w:rPr>
        <w:t>)</w:t>
      </w:r>
      <w:r w:rsidRPr="00BF42B7">
        <w:rPr>
          <w:lang w:val="en-GB"/>
        </w:rPr>
        <w:t>。另一方面，</w:t>
      </w:r>
      <w:r w:rsidRPr="00BF42B7">
        <w:rPr>
          <w:rFonts w:hint="eastAsia"/>
          <w:lang w:val="en-GB"/>
        </w:rPr>
        <w:t>支持演进</w:t>
      </w:r>
      <w:r w:rsidRPr="00BF42B7">
        <w:rPr>
          <w:lang w:val="en-GB"/>
        </w:rPr>
        <w:t>性解释的案件</w:t>
      </w:r>
      <w:r w:rsidRPr="00BF42B7">
        <w:rPr>
          <w:rFonts w:hint="eastAsia"/>
          <w:lang w:val="en-GB"/>
        </w:rPr>
        <w:t>似乎</w:t>
      </w:r>
      <w:r w:rsidRPr="00BF42B7">
        <w:rPr>
          <w:lang w:val="en-GB"/>
        </w:rPr>
        <w:t>涉及更一般的术语。</w:t>
      </w:r>
      <w:r w:rsidRPr="00BF42B7">
        <w:rPr>
          <w:rFonts w:hint="eastAsia"/>
          <w:lang w:val="en-GB"/>
        </w:rPr>
        <w:t>对从</w:t>
      </w:r>
      <w:r w:rsidRPr="00BF42B7">
        <w:rPr>
          <w:lang w:val="en-GB"/>
        </w:rPr>
        <w:t>定义</w:t>
      </w:r>
      <w:r w:rsidRPr="00BF42B7">
        <w:rPr>
          <w:rFonts w:hint="eastAsia"/>
          <w:lang w:val="en-GB"/>
        </w:rPr>
        <w:t>上就具备</w:t>
      </w:r>
      <w:r w:rsidRPr="00BF42B7">
        <w:rPr>
          <w:lang w:val="en-GB"/>
        </w:rPr>
        <w:t>演变性的用语</w:t>
      </w:r>
      <w:r w:rsidRPr="00BF42B7">
        <w:rPr>
          <w:rFonts w:hint="eastAsia"/>
          <w:lang w:val="en-GB"/>
        </w:rPr>
        <w:t>而言尤为如此，例如</w:t>
      </w:r>
      <w:r w:rsidRPr="00BF42B7">
        <w:rPr>
          <w:lang w:val="en-GB"/>
        </w:rPr>
        <w:t>《国际联盟盟约》第二十二条</w:t>
      </w:r>
      <w:r w:rsidRPr="00BF42B7">
        <w:rPr>
          <w:rFonts w:hint="eastAsia"/>
          <w:lang w:val="en-GB"/>
        </w:rPr>
        <w:t>中“</w:t>
      </w:r>
      <w:r w:rsidRPr="00BF42B7">
        <w:rPr>
          <w:lang w:val="en-GB"/>
        </w:rPr>
        <w:t>现代世界的艰难条件</w:t>
      </w:r>
      <w:r w:rsidRPr="00BF42B7">
        <w:rPr>
          <w:rFonts w:hint="eastAsia"/>
          <w:lang w:val="en-GB"/>
        </w:rPr>
        <w:t>”</w:t>
      </w:r>
      <w:r w:rsidRPr="00BF42B7">
        <w:rPr>
          <w:lang w:val="en-GB"/>
        </w:rPr>
        <w:t>或</w:t>
      </w:r>
      <w:r w:rsidRPr="00BF42B7">
        <w:rPr>
          <w:rFonts w:hint="eastAsia"/>
          <w:lang w:val="en-GB"/>
        </w:rPr>
        <w:t>“</w:t>
      </w:r>
      <w:r w:rsidRPr="00BF42B7">
        <w:rPr>
          <w:lang w:val="en-GB"/>
        </w:rPr>
        <w:t>这些人民的福祉和发展</w:t>
      </w:r>
      <w:r w:rsidRPr="00BF42B7">
        <w:rPr>
          <w:rFonts w:hint="eastAsia"/>
          <w:lang w:val="en-GB"/>
        </w:rPr>
        <w:t>”</w:t>
      </w:r>
      <w:r w:rsidRPr="00BF42B7">
        <w:rPr>
          <w:lang w:val="en-GB"/>
        </w:rPr>
        <w:t>。</w:t>
      </w:r>
      <w:r w:rsidRPr="00BF42B7">
        <w:rPr>
          <w:rFonts w:hint="eastAsia"/>
          <w:lang w:val="en-GB"/>
        </w:rPr>
        <w:t>国际法院在其</w:t>
      </w:r>
      <w:r w:rsidRPr="00BF42B7">
        <w:rPr>
          <w:rFonts w:ascii="Time New Roman" w:eastAsia="楷体" w:hAnsi="Time New Roman" w:hint="eastAsia"/>
          <w:lang w:val="fr-FR"/>
        </w:rPr>
        <w:t>纳米比亚咨询意见</w:t>
      </w:r>
      <w:r w:rsidRPr="00BF42B7">
        <w:rPr>
          <w:rFonts w:hint="eastAsia"/>
          <w:lang w:val="en-GB"/>
        </w:rPr>
        <w:t>中，援引第二次世界大战之后人民自决权的演变，对这些用语赋予了不断演变的含义。</w:t>
      </w:r>
      <w:r w:rsidRPr="00BF42B7">
        <w:rPr>
          <w:color w:val="0000FF"/>
          <w:vertAlign w:val="superscript"/>
          <w:lang w:val="en-GB"/>
        </w:rPr>
        <w:footnoteReference w:id="722"/>
      </w:r>
      <w:r w:rsidRPr="00BF42B7">
        <w:rPr>
          <w:color w:val="0000FF"/>
          <w:lang w:val="en-GB"/>
        </w:rPr>
        <w:t xml:space="preserve"> </w:t>
      </w:r>
      <w:r w:rsidRPr="00BF42B7">
        <w:rPr>
          <w:lang w:val="en-GB"/>
        </w:rPr>
        <w:t>条约</w:t>
      </w:r>
      <w:r w:rsidRPr="00BF42B7">
        <w:rPr>
          <w:rFonts w:hint="eastAsia"/>
          <w:lang w:val="en-GB"/>
        </w:rPr>
        <w:t>某个</w:t>
      </w:r>
      <w:r w:rsidRPr="00BF42B7">
        <w:rPr>
          <w:lang w:val="en-GB"/>
        </w:rPr>
        <w:t>用语</w:t>
      </w:r>
      <w:r w:rsidRPr="00BF42B7">
        <w:rPr>
          <w:rFonts w:hint="eastAsia"/>
          <w:lang w:val="en-GB"/>
        </w:rPr>
        <w:t>具有“非特定”</w:t>
      </w:r>
      <w:r w:rsidRPr="00BF42B7">
        <w:rPr>
          <w:lang w:val="en-GB"/>
        </w:rPr>
        <w:t>性质</w:t>
      </w:r>
      <w:bookmarkStart w:id="162" w:name="_Ref450638523"/>
      <w:r w:rsidRPr="00BF42B7">
        <w:rPr>
          <w:color w:val="0000FF"/>
          <w:vertAlign w:val="superscript"/>
          <w:lang w:val="en-GB"/>
        </w:rPr>
        <w:footnoteReference w:id="723"/>
      </w:r>
      <w:bookmarkEnd w:id="162"/>
      <w:r w:rsidRPr="00BF42B7">
        <w:rPr>
          <w:lang w:val="en-GB"/>
        </w:rPr>
        <w:t>，以及条约旨在</w:t>
      </w:r>
      <w:r w:rsidRPr="00BF42B7">
        <w:rPr>
          <w:rFonts w:hint="eastAsia"/>
          <w:lang w:val="en-GB"/>
        </w:rPr>
        <w:t>“</w:t>
      </w:r>
      <w:r w:rsidRPr="00BF42B7">
        <w:rPr>
          <w:lang w:val="en-GB"/>
        </w:rPr>
        <w:t>长期有效</w:t>
      </w:r>
      <w:r w:rsidRPr="00BF42B7">
        <w:rPr>
          <w:rFonts w:hint="eastAsia"/>
          <w:lang w:val="en-GB"/>
        </w:rPr>
        <w:t>”</w:t>
      </w:r>
      <w:r w:rsidRPr="00BF42B7">
        <w:rPr>
          <w:lang w:val="en-GB"/>
        </w:rPr>
        <w:t>，</w:t>
      </w:r>
      <w:r w:rsidRPr="00BF42B7">
        <w:rPr>
          <w:color w:val="0000FF"/>
          <w:vertAlign w:val="superscript"/>
          <w:lang w:val="en-GB"/>
        </w:rPr>
        <w:footnoteReference w:id="724"/>
      </w:r>
      <w:r w:rsidRPr="00BF42B7">
        <w:rPr>
          <w:color w:val="0000FF"/>
          <w:lang w:val="en-GB"/>
        </w:rPr>
        <w:t xml:space="preserve"> </w:t>
      </w:r>
      <w:r w:rsidRPr="00BF42B7">
        <w:rPr>
          <w:lang w:val="en-GB"/>
        </w:rPr>
        <w:t>也可</w:t>
      </w:r>
      <w:r w:rsidRPr="00BF42B7">
        <w:rPr>
          <w:rFonts w:hint="eastAsia"/>
          <w:lang w:val="en-GB"/>
        </w:rPr>
        <w:t>催生不断演变的</w:t>
      </w:r>
      <w:r w:rsidRPr="00BF42B7">
        <w:rPr>
          <w:lang w:val="en-GB"/>
        </w:rPr>
        <w:t>含义。</w:t>
      </w:r>
    </w:p>
    <w:p w:rsidR="00DF5565" w:rsidRPr="00BF42B7" w:rsidRDefault="00DF5565" w:rsidP="00DF5565">
      <w:pPr>
        <w:pStyle w:val="SingleTxtGC"/>
        <w:rPr>
          <w:lang w:val="en-GB"/>
        </w:rPr>
      </w:pPr>
      <w:r w:rsidRPr="00BF42B7">
        <w:rPr>
          <w:lang w:val="en-GB"/>
        </w:rPr>
        <w:t xml:space="preserve">(7)  </w:t>
      </w:r>
      <w:r w:rsidRPr="00BF42B7">
        <w:rPr>
          <w:lang w:val="en-GB"/>
        </w:rPr>
        <w:t>其他国际司法机构有时也采用演进</w:t>
      </w:r>
      <w:r w:rsidRPr="00BF42B7">
        <w:rPr>
          <w:rFonts w:hint="eastAsia"/>
          <w:lang w:val="en-GB"/>
        </w:rPr>
        <w:t>性</w:t>
      </w:r>
      <w:r w:rsidRPr="00BF42B7">
        <w:rPr>
          <w:lang w:val="en-GB"/>
        </w:rPr>
        <w:t>解释办法，尽管对此种解释表现出不同的开放程度。世贸组织上诉机构偶尔采用演进</w:t>
      </w:r>
      <w:r w:rsidRPr="00BF42B7">
        <w:rPr>
          <w:rFonts w:hint="eastAsia"/>
          <w:lang w:val="en-GB"/>
        </w:rPr>
        <w:t>性</w:t>
      </w:r>
      <w:r w:rsidRPr="00BF42B7">
        <w:rPr>
          <w:lang w:val="en-GB"/>
        </w:rPr>
        <w:t>解释。但是，在一桩众所周知的案件中，上诉机构裁定，</w:t>
      </w:r>
      <w:r w:rsidRPr="00BF42B7">
        <w:rPr>
          <w:rFonts w:hint="eastAsia"/>
          <w:lang w:val="en-GB"/>
        </w:rPr>
        <w:t>“</w:t>
      </w:r>
      <w:r w:rsidRPr="00BF42B7">
        <w:rPr>
          <w:lang w:val="en-GB"/>
        </w:rPr>
        <w:t>第</w:t>
      </w:r>
      <w:r w:rsidRPr="00BF42B7">
        <w:rPr>
          <w:lang w:val="en-GB"/>
        </w:rPr>
        <w:t>20</w:t>
      </w:r>
      <w:r w:rsidRPr="00BF42B7">
        <w:rPr>
          <w:lang w:val="en-GB"/>
        </w:rPr>
        <w:t>条</w:t>
      </w:r>
      <w:r w:rsidRPr="00BF42B7">
        <w:rPr>
          <w:lang w:val="en-GB"/>
        </w:rPr>
        <w:t>(g)</w:t>
      </w:r>
      <w:r w:rsidRPr="00BF42B7">
        <w:rPr>
          <w:lang w:val="en-GB"/>
        </w:rPr>
        <w:t>项中</w:t>
      </w:r>
      <w:r w:rsidRPr="00BF42B7">
        <w:rPr>
          <w:lang w:val="en-GB"/>
        </w:rPr>
        <w:t>‘</w:t>
      </w:r>
      <w:r w:rsidRPr="00BF42B7">
        <w:rPr>
          <w:lang w:val="en-GB"/>
        </w:rPr>
        <w:t>自然资源</w:t>
      </w:r>
      <w:r w:rsidRPr="00BF42B7">
        <w:rPr>
          <w:lang w:val="en-GB"/>
        </w:rPr>
        <w:t>’</w:t>
      </w:r>
      <w:r w:rsidRPr="00BF42B7">
        <w:rPr>
          <w:lang w:val="en-GB"/>
        </w:rPr>
        <w:t>这一</w:t>
      </w:r>
      <w:r w:rsidRPr="00BF42B7">
        <w:rPr>
          <w:rFonts w:hint="eastAsia"/>
          <w:lang w:val="en-GB"/>
        </w:rPr>
        <w:t>普通用语</w:t>
      </w:r>
      <w:r w:rsidRPr="00BF42B7">
        <w:rPr>
          <w:lang w:val="en-GB"/>
        </w:rPr>
        <w:t>在内容和指代范围上并不是</w:t>
      </w:r>
      <w:r w:rsidRPr="00BF42B7">
        <w:rPr>
          <w:rFonts w:hint="eastAsia"/>
          <w:lang w:val="en-GB"/>
        </w:rPr>
        <w:t>‘</w:t>
      </w:r>
      <w:r w:rsidRPr="00BF42B7">
        <w:rPr>
          <w:lang w:val="en-GB"/>
        </w:rPr>
        <w:t>静止</w:t>
      </w:r>
      <w:r w:rsidRPr="00BF42B7">
        <w:rPr>
          <w:rFonts w:hint="eastAsia"/>
          <w:lang w:val="en-GB"/>
        </w:rPr>
        <w:t>’</w:t>
      </w:r>
      <w:r w:rsidRPr="00BF42B7">
        <w:rPr>
          <w:lang w:val="en-GB"/>
        </w:rPr>
        <w:t>的，而</w:t>
      </w:r>
      <w:r w:rsidRPr="00BF42B7">
        <w:rPr>
          <w:rFonts w:hint="eastAsia"/>
          <w:lang w:val="en-GB"/>
        </w:rPr>
        <w:t>是‘</w:t>
      </w:r>
      <w:r w:rsidRPr="00BF42B7">
        <w:rPr>
          <w:lang w:val="en-GB"/>
        </w:rPr>
        <w:t>从定义上就具备演变性</w:t>
      </w:r>
      <w:r w:rsidRPr="00BF42B7">
        <w:rPr>
          <w:rFonts w:hint="eastAsia"/>
          <w:lang w:val="en-GB"/>
        </w:rPr>
        <w:t>’”</w:t>
      </w:r>
      <w:r w:rsidRPr="00BF42B7">
        <w:rPr>
          <w:lang w:val="en-GB"/>
        </w:rPr>
        <w:t>。</w:t>
      </w:r>
      <w:r w:rsidRPr="00BF42B7">
        <w:rPr>
          <w:color w:val="0000FF"/>
          <w:vertAlign w:val="superscript"/>
          <w:lang w:val="en-GB"/>
        </w:rPr>
        <w:footnoteReference w:id="725"/>
      </w:r>
      <w:r w:rsidRPr="00BF42B7">
        <w:rPr>
          <w:color w:val="0000FF"/>
          <w:vertAlign w:val="superscript"/>
          <w:lang w:val="en-GB"/>
        </w:rPr>
        <w:t xml:space="preserve"> </w:t>
      </w:r>
      <w:r w:rsidRPr="00BF42B7">
        <w:rPr>
          <w:lang w:val="en-GB"/>
        </w:rPr>
        <w:t>海洋法法庭</w:t>
      </w:r>
      <w:r w:rsidRPr="00BF42B7">
        <w:rPr>
          <w:spacing w:val="-2"/>
          <w:lang w:val="en-GB"/>
        </w:rPr>
        <w:t>海底争端分庭认为，某些</w:t>
      </w:r>
      <w:r w:rsidRPr="00BF42B7">
        <w:rPr>
          <w:rFonts w:hint="eastAsia"/>
          <w:spacing w:val="-2"/>
          <w:lang w:val="en-GB"/>
        </w:rPr>
        <w:t>“</w:t>
      </w:r>
      <w:r w:rsidRPr="00BF42B7">
        <w:rPr>
          <w:spacing w:val="-2"/>
          <w:lang w:val="en-GB"/>
        </w:rPr>
        <w:t>确保</w:t>
      </w:r>
      <w:r w:rsidRPr="00BF42B7">
        <w:rPr>
          <w:rFonts w:hint="eastAsia"/>
          <w:spacing w:val="-2"/>
        </w:rPr>
        <w:t>……</w:t>
      </w:r>
      <w:r w:rsidRPr="00BF42B7">
        <w:rPr>
          <w:spacing w:val="-2"/>
          <w:lang w:val="en-GB"/>
        </w:rPr>
        <w:t>的义务</w:t>
      </w:r>
      <w:r w:rsidRPr="00BF42B7">
        <w:rPr>
          <w:rFonts w:hint="eastAsia"/>
          <w:spacing w:val="-2"/>
          <w:lang w:val="en-GB"/>
        </w:rPr>
        <w:t>”</w:t>
      </w:r>
      <w:r w:rsidRPr="00BF42B7">
        <w:rPr>
          <w:spacing w:val="-2"/>
          <w:lang w:val="en-GB"/>
        </w:rPr>
        <w:t>的含义</w:t>
      </w:r>
      <w:r w:rsidRPr="00BF42B7">
        <w:rPr>
          <w:color w:val="0000FF"/>
          <w:spacing w:val="-2"/>
          <w:vertAlign w:val="superscript"/>
          <w:lang w:val="en-GB"/>
        </w:rPr>
        <w:footnoteReference w:id="726"/>
      </w:r>
      <w:r w:rsidRPr="00BF42B7">
        <w:rPr>
          <w:color w:val="0000FF"/>
          <w:spacing w:val="-2"/>
          <w:vertAlign w:val="superscript"/>
          <w:lang w:val="en-GB"/>
        </w:rPr>
        <w:t xml:space="preserve"> </w:t>
      </w:r>
      <w:r w:rsidRPr="00BF42B7">
        <w:rPr>
          <w:rFonts w:hint="eastAsia"/>
          <w:spacing w:val="-2"/>
          <w:lang w:val="en-GB"/>
        </w:rPr>
        <w:t>“</w:t>
      </w:r>
      <w:r w:rsidRPr="00BF42B7">
        <w:rPr>
          <w:spacing w:val="-2"/>
          <w:lang w:val="en-GB"/>
        </w:rPr>
        <w:t>会随着时间而变化</w:t>
      </w:r>
      <w:r w:rsidRPr="00BF42B7">
        <w:rPr>
          <w:rFonts w:hint="eastAsia"/>
          <w:spacing w:val="-2"/>
          <w:lang w:val="en-GB"/>
        </w:rPr>
        <w:t>”</w:t>
      </w:r>
      <w:r w:rsidRPr="00BF42B7">
        <w:rPr>
          <w:spacing w:val="-2"/>
          <w:lang w:val="en-GB"/>
        </w:rPr>
        <w:t>，</w:t>
      </w:r>
      <w:r w:rsidRPr="00BF42B7">
        <w:rPr>
          <w:color w:val="0000FF"/>
          <w:spacing w:val="-2"/>
          <w:vertAlign w:val="superscript"/>
          <w:lang w:val="en-GB"/>
        </w:rPr>
        <w:footnoteReference w:id="727"/>
      </w:r>
      <w:r w:rsidRPr="00BF42B7">
        <w:rPr>
          <w:color w:val="0000FF"/>
          <w:vertAlign w:val="superscript"/>
          <w:lang w:val="en-GB"/>
        </w:rPr>
        <w:t xml:space="preserve"> </w:t>
      </w:r>
      <w:r w:rsidRPr="00BF42B7">
        <w:rPr>
          <w:lang w:val="de-DE"/>
        </w:rPr>
        <w:t>并强调，《联合国海洋法公约》中关于国家责任的条款会随着法律的发展而发展，而</w:t>
      </w:r>
      <w:r w:rsidRPr="00BF42B7">
        <w:rPr>
          <w:rFonts w:hint="eastAsia"/>
          <w:lang w:val="de-DE"/>
        </w:rPr>
        <w:t>“</w:t>
      </w:r>
      <w:r w:rsidRPr="00BF42B7">
        <w:rPr>
          <w:lang w:val="de-DE"/>
        </w:rPr>
        <w:t>不会被认为是静止的</w:t>
      </w:r>
      <w:r w:rsidRPr="00BF42B7">
        <w:rPr>
          <w:rFonts w:hint="eastAsia"/>
          <w:lang w:val="de-DE"/>
        </w:rPr>
        <w:t>”</w:t>
      </w:r>
      <w:r w:rsidRPr="00BF42B7">
        <w:rPr>
          <w:lang w:val="de-DE"/>
        </w:rPr>
        <w:t>。</w:t>
      </w:r>
      <w:r w:rsidRPr="00BF42B7">
        <w:rPr>
          <w:color w:val="0000FF"/>
          <w:vertAlign w:val="superscript"/>
          <w:lang w:val="en-GB"/>
        </w:rPr>
        <w:footnoteReference w:id="728"/>
      </w:r>
      <w:r w:rsidRPr="00BF42B7">
        <w:rPr>
          <w:color w:val="0000FF"/>
          <w:vertAlign w:val="superscript"/>
          <w:lang w:val="en-GB"/>
        </w:rPr>
        <w:t xml:space="preserve"> </w:t>
      </w:r>
      <w:bookmarkStart w:id="163" w:name="_Ref451933090"/>
      <w:r w:rsidRPr="00BF42B7">
        <w:rPr>
          <w:lang w:val="en-GB"/>
        </w:rPr>
        <w:t>欧洲人权法院更</w:t>
      </w:r>
      <w:r w:rsidRPr="00BF42B7">
        <w:rPr>
          <w:rFonts w:hint="eastAsia"/>
          <w:lang w:val="en-GB"/>
        </w:rPr>
        <w:t>笼统地指出</w:t>
      </w:r>
      <w:r w:rsidRPr="00BF42B7">
        <w:rPr>
          <w:lang w:val="de-DE"/>
        </w:rPr>
        <w:t>，</w:t>
      </w:r>
      <w:r w:rsidRPr="00BF42B7">
        <w:rPr>
          <w:rFonts w:hint="eastAsia"/>
          <w:lang w:val="de-DE"/>
        </w:rPr>
        <w:t>“</w:t>
      </w:r>
      <w:r w:rsidRPr="00BF42B7">
        <w:rPr>
          <w:lang w:val="en-GB"/>
        </w:rPr>
        <w:t>《公约》是一项活的文书</w:t>
      </w:r>
      <w:r w:rsidRPr="00BF42B7">
        <w:rPr>
          <w:rFonts w:hint="eastAsia"/>
          <w:spacing w:val="2"/>
        </w:rPr>
        <w:t>……</w:t>
      </w:r>
      <w:r w:rsidRPr="00BF42B7">
        <w:rPr>
          <w:lang w:val="en-GB"/>
        </w:rPr>
        <w:t>必须依照当今的情况来解释</w:t>
      </w:r>
      <w:r w:rsidRPr="00BF42B7">
        <w:rPr>
          <w:rFonts w:hint="eastAsia"/>
          <w:lang w:val="de-DE"/>
        </w:rPr>
        <w:t>”</w:t>
      </w:r>
      <w:r w:rsidRPr="00BF42B7">
        <w:rPr>
          <w:lang w:val="en-GB"/>
        </w:rPr>
        <w:t>。</w:t>
      </w:r>
      <w:r w:rsidRPr="00BF42B7">
        <w:rPr>
          <w:color w:val="0000FF"/>
          <w:vertAlign w:val="superscript"/>
          <w:lang w:val="en-GB"/>
        </w:rPr>
        <w:footnoteReference w:id="729"/>
      </w:r>
      <w:r w:rsidRPr="00BF42B7">
        <w:rPr>
          <w:color w:val="0000FF"/>
          <w:vertAlign w:val="superscript"/>
          <w:lang w:val="en-GB"/>
        </w:rPr>
        <w:t xml:space="preserve"> </w:t>
      </w:r>
      <w:bookmarkEnd w:id="163"/>
      <w:r w:rsidRPr="00BF42B7">
        <w:rPr>
          <w:lang w:val="de-DE"/>
        </w:rPr>
        <w:t>美洲人权法院也更</w:t>
      </w:r>
      <w:r w:rsidRPr="00BF42B7">
        <w:rPr>
          <w:rFonts w:hint="eastAsia"/>
          <w:lang w:val="de-DE"/>
        </w:rPr>
        <w:t>常</w:t>
      </w:r>
      <w:r w:rsidRPr="00BF42B7">
        <w:rPr>
          <w:lang w:val="de-DE"/>
        </w:rPr>
        <w:t>采用演进</w:t>
      </w:r>
      <w:r w:rsidRPr="00BF42B7">
        <w:rPr>
          <w:rFonts w:hint="eastAsia"/>
          <w:lang w:val="de-DE"/>
        </w:rPr>
        <w:t>性</w:t>
      </w:r>
      <w:r w:rsidRPr="00BF42B7">
        <w:rPr>
          <w:lang w:val="de-DE"/>
        </w:rPr>
        <w:t>解释办法，特别是</w:t>
      </w:r>
      <w:r w:rsidRPr="00BF42B7">
        <w:rPr>
          <w:rFonts w:hint="eastAsia"/>
          <w:lang w:val="de-DE"/>
        </w:rPr>
        <w:t>结合</w:t>
      </w:r>
      <w:r w:rsidRPr="00BF42B7">
        <w:rPr>
          <w:lang w:val="de-DE"/>
        </w:rPr>
        <w:t>其所谓人道的办法。</w:t>
      </w:r>
      <w:r w:rsidRPr="00BF42B7">
        <w:rPr>
          <w:color w:val="0000FF"/>
          <w:vertAlign w:val="superscript"/>
          <w:lang w:val="en-GB"/>
        </w:rPr>
        <w:footnoteReference w:id="730"/>
      </w:r>
      <w:r w:rsidRPr="00BF42B7">
        <w:rPr>
          <w:color w:val="0000FF"/>
          <w:vertAlign w:val="superscript"/>
          <w:lang w:val="en-GB"/>
        </w:rPr>
        <w:t xml:space="preserve"> </w:t>
      </w:r>
      <w:bookmarkStart w:id="164" w:name="_Ref450639533"/>
      <w:r w:rsidRPr="00BF42B7">
        <w:rPr>
          <w:lang w:val="en-GB"/>
        </w:rPr>
        <w:t>在</w:t>
      </w:r>
      <w:r w:rsidRPr="00BF42B7">
        <w:rPr>
          <w:rFonts w:ascii="Time New Roman" w:eastAsia="楷体" w:hAnsi="Time New Roman"/>
          <w:lang w:val="fr-FR"/>
        </w:rPr>
        <w:t>莱茵铁路公司案</w:t>
      </w:r>
      <w:r w:rsidRPr="00BF42B7">
        <w:rPr>
          <w:lang w:val="en-GB"/>
        </w:rPr>
        <w:t>中，多方面</w:t>
      </w:r>
      <w:r w:rsidRPr="00BF42B7">
        <w:rPr>
          <w:rFonts w:hint="eastAsia"/>
          <w:lang w:val="en-GB"/>
        </w:rPr>
        <w:t>跨境</w:t>
      </w:r>
      <w:r w:rsidRPr="00BF42B7">
        <w:rPr>
          <w:lang w:val="en-GB"/>
        </w:rPr>
        <w:t>铁路安排的持续存在和效力是一个重要理由，促使仲裁法庭同意，即使对</w:t>
      </w:r>
      <w:r w:rsidRPr="00BF42B7">
        <w:rPr>
          <w:rFonts w:hint="eastAsia"/>
          <w:lang w:val="en-GB"/>
        </w:rPr>
        <w:t>相当</w:t>
      </w:r>
      <w:r w:rsidRPr="00BF42B7">
        <w:rPr>
          <w:lang w:val="en-GB"/>
        </w:rPr>
        <w:t>技术性的规则，也可以</w:t>
      </w:r>
      <w:r w:rsidRPr="00BF42B7">
        <w:rPr>
          <w:rFonts w:hint="eastAsia"/>
          <w:lang w:val="en-GB"/>
        </w:rPr>
        <w:t>予以演进性的</w:t>
      </w:r>
      <w:r w:rsidRPr="00BF42B7">
        <w:rPr>
          <w:lang w:val="en-GB"/>
        </w:rPr>
        <w:t>解释。</w:t>
      </w:r>
      <w:bookmarkStart w:id="165" w:name="_Ref461974370"/>
      <w:r w:rsidRPr="00BF42B7">
        <w:rPr>
          <w:color w:val="0000FF"/>
          <w:vertAlign w:val="superscript"/>
          <w:lang w:val="en-GB"/>
        </w:rPr>
        <w:footnoteReference w:id="731"/>
      </w:r>
      <w:bookmarkEnd w:id="165"/>
      <w:r w:rsidRPr="00BF42B7">
        <w:rPr>
          <w:color w:val="0000FF"/>
          <w:vertAlign w:val="superscript"/>
          <w:lang w:val="en-GB"/>
        </w:rPr>
        <w:t xml:space="preserve"> </w:t>
      </w:r>
      <w:bookmarkEnd w:id="164"/>
    </w:p>
    <w:p w:rsidR="00DF5565" w:rsidRPr="00BF42B7" w:rsidRDefault="00DF5565" w:rsidP="00DF5565">
      <w:pPr>
        <w:pStyle w:val="SingleTxtGC"/>
        <w:rPr>
          <w:lang w:val="en-GB"/>
        </w:rPr>
      </w:pPr>
      <w:r w:rsidRPr="00BF42B7">
        <w:rPr>
          <w:lang w:val="en-GB"/>
        </w:rPr>
        <w:t xml:space="preserve">(8)  </w:t>
      </w:r>
      <w:bookmarkStart w:id="166" w:name="_Ref447804934"/>
      <w:r w:rsidRPr="00BF42B7">
        <w:rPr>
          <w:rFonts w:hint="eastAsia"/>
          <w:lang w:val="en-GB"/>
        </w:rPr>
        <w:t>归根到底，大多数国际法院和法庭并未将演进性解释作为一种单独的解释形式，而是通过在个案的基础上考虑某些标准</w:t>
      </w:r>
      <w:r w:rsidRPr="00BF42B7">
        <w:rPr>
          <w:lang w:val="en-GB"/>
        </w:rPr>
        <w:t>(</w:t>
      </w:r>
      <w:r w:rsidRPr="00BF42B7">
        <w:rPr>
          <w:rFonts w:hint="eastAsia"/>
          <w:lang w:val="en-GB"/>
        </w:rPr>
        <w:t>特别是以上第</w:t>
      </w:r>
      <w:r w:rsidRPr="00BF42B7">
        <w:rPr>
          <w:lang w:val="en-GB"/>
        </w:rPr>
        <w:t>(6)</w:t>
      </w:r>
      <w:r w:rsidRPr="00BF42B7">
        <w:rPr>
          <w:rFonts w:hint="eastAsia"/>
          <w:lang w:val="en-GB"/>
        </w:rPr>
        <w:t>段提到的标准</w:t>
      </w:r>
      <w:r w:rsidRPr="00BF42B7">
        <w:rPr>
          <w:lang w:val="en-GB"/>
        </w:rPr>
        <w:t>)</w:t>
      </w:r>
      <w:r w:rsidRPr="00BF42B7">
        <w:rPr>
          <w:rFonts w:hint="eastAsia"/>
          <w:lang w:val="en-GB"/>
        </w:rPr>
        <w:t>，在使用</w:t>
      </w:r>
      <w:r w:rsidRPr="00BF42B7">
        <w:rPr>
          <w:rFonts w:hint="eastAsia"/>
          <w:lang w:val="en-GB"/>
        </w:rPr>
        <w:t>1969</w:t>
      </w:r>
      <w:r w:rsidRPr="00BF42B7">
        <w:rPr>
          <w:rFonts w:hint="eastAsia"/>
          <w:lang w:val="en-GB"/>
        </w:rPr>
        <w:t>年《维也纳公约》第三十一条和第三十二条中所提到的各种解释资料中作出此种演进性解释。因此，对术语随时间变化的意义的任何演进性解释，必须产生于正常的条约解释过程。</w:t>
      </w:r>
      <w:r w:rsidRPr="00BF42B7">
        <w:rPr>
          <w:color w:val="0000FF"/>
          <w:vertAlign w:val="superscript"/>
          <w:lang w:val="en-GB"/>
        </w:rPr>
        <w:footnoteReference w:id="732"/>
      </w:r>
      <w:r w:rsidRPr="00BF42B7">
        <w:rPr>
          <w:color w:val="0000FF"/>
          <w:vertAlign w:val="superscript"/>
          <w:lang w:val="en-GB"/>
        </w:rPr>
        <w:t xml:space="preserve"> </w:t>
      </w:r>
      <w:bookmarkEnd w:id="166"/>
    </w:p>
    <w:p w:rsidR="00DF5565" w:rsidRPr="00BF42B7" w:rsidRDefault="00DF5565" w:rsidP="00DF5565">
      <w:pPr>
        <w:pStyle w:val="SingleTxtGC"/>
        <w:rPr>
          <w:lang w:val="en-GB"/>
        </w:rPr>
      </w:pPr>
      <w:r w:rsidRPr="00BF42B7">
        <w:rPr>
          <w:lang w:val="en-GB"/>
        </w:rPr>
        <w:t xml:space="preserve">(9)  </w:t>
      </w:r>
      <w:r w:rsidRPr="00BF42B7">
        <w:rPr>
          <w:rFonts w:hint="eastAsia"/>
          <w:lang w:val="en-GB"/>
        </w:rPr>
        <w:t>委员会认为，这种情况确认了其最初对条约解释的办法：</w:t>
      </w:r>
    </w:p>
    <w:p w:rsidR="00DF5565" w:rsidRPr="00BF42B7" w:rsidRDefault="00DF5565" w:rsidP="00DF5565">
      <w:pPr>
        <w:pStyle w:val="SingleTxtGC"/>
        <w:ind w:left="1554"/>
        <w:rPr>
          <w:lang w:val="en-GB"/>
        </w:rPr>
      </w:pPr>
      <w:r w:rsidRPr="00BF42B7">
        <w:rPr>
          <w:rFonts w:hint="eastAsia"/>
          <w:lang w:val="en-GB"/>
        </w:rPr>
        <w:t>“</w:t>
      </w:r>
      <w:r w:rsidRPr="00BF42B7">
        <w:rPr>
          <w:rFonts w:hint="eastAsia"/>
          <w:spacing w:val="2"/>
        </w:rPr>
        <w:t>……</w:t>
      </w:r>
      <w:r w:rsidRPr="00BF42B7">
        <w:rPr>
          <w:lang w:val="en-GB"/>
        </w:rPr>
        <w:t>委员会对条约解释的办法的基础是，条约案文必须假定为当事国意图的权威表述，案文意义的阐释</w:t>
      </w:r>
      <w:r w:rsidRPr="00BF42B7">
        <w:rPr>
          <w:rFonts w:hint="eastAsia"/>
          <w:spacing w:val="-50"/>
          <w:lang w:val="fr-CH"/>
        </w:rPr>
        <w:t>―</w:t>
      </w:r>
      <w:r w:rsidRPr="00BF42B7">
        <w:rPr>
          <w:rFonts w:hint="eastAsia"/>
          <w:lang w:val="fr-CH"/>
        </w:rPr>
        <w:t>―</w:t>
      </w:r>
      <w:r w:rsidRPr="00BF42B7">
        <w:rPr>
          <w:lang w:val="en-GB"/>
        </w:rPr>
        <w:t>而非从头开始调查所谓当事国的意图</w:t>
      </w:r>
      <w:r w:rsidRPr="00BF42B7">
        <w:rPr>
          <w:rFonts w:hint="eastAsia"/>
          <w:spacing w:val="-50"/>
          <w:lang w:val="fr-CH"/>
        </w:rPr>
        <w:t>―</w:t>
      </w:r>
      <w:r w:rsidRPr="00BF42B7">
        <w:rPr>
          <w:rFonts w:hint="eastAsia"/>
          <w:lang w:val="fr-CH"/>
        </w:rPr>
        <w:t>―</w:t>
      </w:r>
      <w:r w:rsidRPr="00BF42B7">
        <w:rPr>
          <w:lang w:val="en-GB"/>
        </w:rPr>
        <w:t>构成解释的目的</w:t>
      </w:r>
      <w:r w:rsidRPr="00BF42B7">
        <w:rPr>
          <w:rFonts w:hint="eastAsia"/>
          <w:spacing w:val="2"/>
        </w:rPr>
        <w:t>……</w:t>
      </w:r>
      <w:r w:rsidRPr="00BF42B7">
        <w:rPr>
          <w:lang w:val="en-GB"/>
        </w:rPr>
        <w:t>将用语的通常含义、上下文、其目的和宗旨、国际法一般规则，以及当事国的权威解释作为条约解释的首要标准</w:t>
      </w:r>
      <w:r w:rsidRPr="00BF42B7">
        <w:rPr>
          <w:rFonts w:hint="eastAsia"/>
          <w:lang w:val="en-GB"/>
        </w:rPr>
        <w:t>”</w:t>
      </w:r>
      <w:r w:rsidRPr="00BF42B7">
        <w:rPr>
          <w:lang w:val="en-GB"/>
        </w:rPr>
        <w:t>。</w:t>
      </w:r>
      <w:r w:rsidRPr="00BF42B7">
        <w:rPr>
          <w:color w:val="0000FF"/>
          <w:vertAlign w:val="superscript"/>
          <w:lang w:val="en-GB"/>
        </w:rPr>
        <w:footnoteReference w:id="733"/>
      </w:r>
      <w:r w:rsidRPr="00BF42B7">
        <w:rPr>
          <w:color w:val="0000FF"/>
          <w:vertAlign w:val="superscript"/>
          <w:lang w:val="en-GB"/>
        </w:rPr>
        <w:t xml:space="preserve"> </w:t>
      </w:r>
    </w:p>
    <w:p w:rsidR="00DF5565" w:rsidRPr="00BF42B7" w:rsidRDefault="00DF5565" w:rsidP="00DF5565">
      <w:pPr>
        <w:pStyle w:val="SingleTxtGC"/>
        <w:rPr>
          <w:lang w:val="en-GB"/>
        </w:rPr>
      </w:pPr>
      <w:r w:rsidRPr="00BF42B7">
        <w:rPr>
          <w:lang w:val="en-GB"/>
        </w:rPr>
        <w:t>因此，结论草案</w:t>
      </w:r>
      <w:r w:rsidRPr="00BF42B7">
        <w:rPr>
          <w:lang w:val="en-GB"/>
        </w:rPr>
        <w:t>8[3]</w:t>
      </w:r>
      <w:r w:rsidRPr="00BF42B7">
        <w:rPr>
          <w:lang w:val="en-GB"/>
        </w:rPr>
        <w:t>通过使用</w:t>
      </w:r>
      <w:r w:rsidRPr="00BF42B7">
        <w:rPr>
          <w:rFonts w:hint="eastAsia"/>
          <w:lang w:val="en-GB"/>
        </w:rPr>
        <w:t>“</w:t>
      </w:r>
      <w:r w:rsidRPr="00BF42B7">
        <w:rPr>
          <w:lang w:val="en-GB"/>
        </w:rPr>
        <w:t>推定意图</w:t>
      </w:r>
      <w:r w:rsidRPr="00BF42B7">
        <w:rPr>
          <w:rFonts w:hint="eastAsia"/>
          <w:lang w:val="en-GB"/>
        </w:rPr>
        <w:t>”</w:t>
      </w:r>
      <w:r w:rsidRPr="00BF42B7">
        <w:rPr>
          <w:lang w:val="en-GB"/>
        </w:rPr>
        <w:t>一语，提到通过应用第三十一条和第三十二条承认的各种解释资料所确定的当事国的意图。因此，</w:t>
      </w:r>
      <w:r w:rsidRPr="00BF42B7">
        <w:rPr>
          <w:rFonts w:hint="eastAsia"/>
          <w:lang w:val="en-GB"/>
        </w:rPr>
        <w:t>“</w:t>
      </w:r>
      <w:r w:rsidRPr="00BF42B7">
        <w:rPr>
          <w:lang w:val="en-GB"/>
        </w:rPr>
        <w:t>推定意图</w:t>
      </w:r>
      <w:r w:rsidRPr="00BF42B7">
        <w:rPr>
          <w:rFonts w:hint="eastAsia"/>
          <w:lang w:val="en-GB"/>
        </w:rPr>
        <w:t>”</w:t>
      </w:r>
      <w:r w:rsidRPr="00BF42B7">
        <w:rPr>
          <w:lang w:val="en-GB"/>
        </w:rPr>
        <w:t>并非一个可单独确定的最初意愿，准备工作并非确定当事国推定意图的主要基础，而是如第三十二条所示，仅仅是补充解释资料。虽然解释必须设法确定当事国的意图，但解释者必须根据进行解释之时现有的解释资料予以确定，其中包括条约当事国的嗣后协定和嗣后惯例。因而解释者须回答这样的问题：是否可推定当事国在签订条约时有意使所用的术语具有可随时间演变的含义。</w:t>
      </w:r>
    </w:p>
    <w:p w:rsidR="00DF5565" w:rsidRPr="00BF42B7" w:rsidRDefault="00DF5565" w:rsidP="00DF5565">
      <w:pPr>
        <w:pStyle w:val="SingleTxtGC"/>
        <w:rPr>
          <w:lang w:val="en-GB"/>
        </w:rPr>
      </w:pPr>
      <w:r w:rsidRPr="00BF42B7">
        <w:rPr>
          <w:lang w:val="en-GB"/>
        </w:rPr>
        <w:t xml:space="preserve">(10)  </w:t>
      </w:r>
      <w:bookmarkStart w:id="167" w:name="_Ref364166433"/>
      <w:r w:rsidRPr="00BF42B7">
        <w:rPr>
          <w:rFonts w:hint="eastAsia"/>
          <w:lang w:val="en-GB"/>
        </w:rPr>
        <w:t>结论草案</w:t>
      </w:r>
      <w:r w:rsidRPr="00BF42B7">
        <w:rPr>
          <w:rFonts w:hint="eastAsia"/>
          <w:lang w:val="en-GB"/>
        </w:rPr>
        <w:t>8[3]</w:t>
      </w:r>
      <w:r w:rsidRPr="00BF42B7">
        <w:rPr>
          <w:rFonts w:hint="eastAsia"/>
          <w:lang w:val="en-GB"/>
        </w:rPr>
        <w:t>没有就</w:t>
      </w:r>
      <w:r w:rsidRPr="00BF42B7">
        <w:rPr>
          <w:lang w:val="en-GB"/>
        </w:rPr>
        <w:t>一般条约解释</w:t>
      </w:r>
      <w:r w:rsidRPr="00BF42B7">
        <w:rPr>
          <w:rFonts w:hint="eastAsia"/>
          <w:lang w:val="en-GB"/>
        </w:rPr>
        <w:t>宜</w:t>
      </w:r>
      <w:r w:rsidRPr="00BF42B7">
        <w:rPr>
          <w:lang w:val="en-GB"/>
        </w:rPr>
        <w:t>采取当时意义办法还是演进</w:t>
      </w:r>
      <w:r w:rsidRPr="00BF42B7">
        <w:rPr>
          <w:rFonts w:hint="eastAsia"/>
          <w:lang w:val="en-GB"/>
        </w:rPr>
        <w:t>性</w:t>
      </w:r>
      <w:r w:rsidRPr="00BF42B7">
        <w:rPr>
          <w:lang w:val="en-GB"/>
        </w:rPr>
        <w:t>办法这一问题采取任何立场</w:t>
      </w:r>
      <w:r w:rsidRPr="00BF42B7">
        <w:rPr>
          <w:lang w:val="en-GB"/>
        </w:rPr>
        <w:t>(</w:t>
      </w:r>
      <w:r w:rsidRPr="00BF42B7">
        <w:rPr>
          <w:rFonts w:hint="eastAsia"/>
          <w:lang w:val="en-GB"/>
        </w:rPr>
        <w:t>见上文评注，第</w:t>
      </w:r>
      <w:r w:rsidRPr="00BF42B7">
        <w:rPr>
          <w:lang w:val="en-GB"/>
        </w:rPr>
        <w:t>(4)</w:t>
      </w:r>
      <w:r w:rsidRPr="00BF42B7">
        <w:rPr>
          <w:rFonts w:hint="eastAsia"/>
          <w:lang w:val="en-GB"/>
        </w:rPr>
        <w:t>段</w:t>
      </w:r>
      <w:r w:rsidRPr="00BF42B7">
        <w:rPr>
          <w:lang w:val="en-GB"/>
        </w:rPr>
        <w:t>)</w:t>
      </w:r>
      <w:r w:rsidRPr="00BF42B7">
        <w:rPr>
          <w:rFonts w:hint="eastAsia"/>
          <w:lang w:val="en-GB"/>
        </w:rPr>
        <w:t>。但是，该结论应当被理解为表明，在是否对具体案件采取演进办法得出结论时，需要慎重一些。为此目的，结论草案</w:t>
      </w:r>
      <w:r w:rsidRPr="00BF42B7">
        <w:rPr>
          <w:rFonts w:hint="eastAsia"/>
          <w:lang w:val="en-GB"/>
        </w:rPr>
        <w:t>8[3]</w:t>
      </w:r>
      <w:r w:rsidRPr="00BF42B7">
        <w:rPr>
          <w:rFonts w:hint="eastAsia"/>
          <w:lang w:val="en-GB"/>
        </w:rPr>
        <w:t>提到嗣后协定和嗣后惯例，认为其作为解释资料，可有助于解释者在条约解释的正常过程中，评估术语的含义是否能够随时间演变。</w:t>
      </w:r>
      <w:r w:rsidRPr="00BF42B7">
        <w:rPr>
          <w:color w:val="0000FF"/>
          <w:vertAlign w:val="superscript"/>
          <w:lang w:val="en-GB"/>
        </w:rPr>
        <w:footnoteReference w:id="734"/>
      </w:r>
      <w:r w:rsidRPr="00BF42B7">
        <w:rPr>
          <w:color w:val="0000FF"/>
          <w:vertAlign w:val="superscript"/>
          <w:lang w:val="en-GB"/>
        </w:rPr>
        <w:t xml:space="preserve"> </w:t>
      </w:r>
      <w:bookmarkEnd w:id="167"/>
    </w:p>
    <w:p w:rsidR="00DF5565" w:rsidRPr="00BF42B7" w:rsidRDefault="00DF5565" w:rsidP="00DF5565">
      <w:pPr>
        <w:pStyle w:val="SingleTxtGC"/>
        <w:rPr>
          <w:lang w:val="en-GB"/>
        </w:rPr>
      </w:pPr>
      <w:r w:rsidRPr="00BF42B7">
        <w:rPr>
          <w:lang w:val="en-GB"/>
        </w:rPr>
        <w:t xml:space="preserve">(11)  </w:t>
      </w:r>
      <w:r w:rsidRPr="00BF42B7">
        <w:rPr>
          <w:lang w:val="en-GB"/>
        </w:rPr>
        <w:t>这一办法以国际法院</w:t>
      </w:r>
      <w:r w:rsidRPr="00BF42B7">
        <w:rPr>
          <w:rFonts w:hint="eastAsia"/>
          <w:lang w:val="en-GB"/>
        </w:rPr>
        <w:t>及</w:t>
      </w:r>
      <w:r w:rsidRPr="00BF42B7">
        <w:rPr>
          <w:lang w:val="en-GB"/>
        </w:rPr>
        <w:t>其他国际法院和法庭的判例为基础并为其所确认。在</w:t>
      </w:r>
      <w:r w:rsidRPr="00BF42B7">
        <w:rPr>
          <w:rFonts w:ascii="Time New Roman" w:eastAsia="楷体" w:hAnsi="Time New Roman"/>
          <w:lang w:val="fr-FR"/>
        </w:rPr>
        <w:t>纳米比亚</w:t>
      </w:r>
      <w:r w:rsidRPr="00BF42B7">
        <w:rPr>
          <w:rFonts w:ascii="Time New Roman" w:eastAsia="楷体" w:hAnsi="Time New Roman" w:hint="eastAsia"/>
          <w:lang w:val="fr-FR"/>
        </w:rPr>
        <w:t>咨询意见</w:t>
      </w:r>
      <w:r w:rsidRPr="00BF42B7">
        <w:rPr>
          <w:lang w:val="en-GB"/>
        </w:rPr>
        <w:t>中，国际法院援引了联合国机构和一些国家的惯例，以具体说明其从自决权固有的演变性质中得出的结论。</w:t>
      </w:r>
      <w:r w:rsidRPr="00BF42B7">
        <w:rPr>
          <w:color w:val="0000FF"/>
          <w:vertAlign w:val="superscript"/>
          <w:lang w:val="en-GB"/>
        </w:rPr>
        <w:footnoteReference w:id="735"/>
      </w:r>
      <w:r w:rsidRPr="00BF42B7">
        <w:rPr>
          <w:color w:val="0000FF"/>
          <w:vertAlign w:val="superscript"/>
          <w:lang w:val="en-GB"/>
        </w:rPr>
        <w:t xml:space="preserve"> </w:t>
      </w:r>
      <w:r w:rsidRPr="00BF42B7">
        <w:rPr>
          <w:lang w:val="en-GB"/>
        </w:rPr>
        <w:t>在</w:t>
      </w:r>
      <w:r w:rsidRPr="00BF42B7">
        <w:rPr>
          <w:rFonts w:ascii="Time New Roman" w:eastAsia="楷体" w:hAnsi="Time New Roman"/>
          <w:lang w:val="fr-FR"/>
        </w:rPr>
        <w:t>爱琴海案</w:t>
      </w:r>
      <w:r w:rsidRPr="00BF42B7">
        <w:rPr>
          <w:lang w:val="en-GB"/>
        </w:rPr>
        <w:t>中，国际法院认为</w:t>
      </w:r>
      <w:r w:rsidRPr="00BF42B7">
        <w:rPr>
          <w:rFonts w:hint="eastAsia"/>
          <w:lang w:val="en-GB"/>
        </w:rPr>
        <w:t>“</w:t>
      </w:r>
      <w:r w:rsidRPr="00BF42B7">
        <w:rPr>
          <w:lang w:val="en-GB"/>
        </w:rPr>
        <w:t>重要</w:t>
      </w:r>
      <w:r w:rsidRPr="00BF42B7">
        <w:rPr>
          <w:rFonts w:hint="eastAsia"/>
          <w:lang w:val="en-GB"/>
        </w:rPr>
        <w:t>”</w:t>
      </w:r>
      <w:r w:rsidRPr="00BF42B7">
        <w:rPr>
          <w:lang w:val="en-GB"/>
        </w:rPr>
        <w:t>的是，联合国的行政惯例和当事国的行为确认了它认定的</w:t>
      </w:r>
      <w:r w:rsidRPr="00BF42B7">
        <w:rPr>
          <w:rFonts w:hint="eastAsia"/>
          <w:lang w:val="en-GB"/>
        </w:rPr>
        <w:t>“</w:t>
      </w:r>
      <w:r w:rsidRPr="00BF42B7">
        <w:rPr>
          <w:lang w:val="en-GB"/>
        </w:rPr>
        <w:t>领土地位</w:t>
      </w:r>
      <w:r w:rsidRPr="00BF42B7">
        <w:rPr>
          <w:rFonts w:hint="eastAsia"/>
          <w:lang w:val="en-GB"/>
        </w:rPr>
        <w:t>”</w:t>
      </w:r>
      <w:r w:rsidRPr="00BF42B7">
        <w:rPr>
          <w:lang w:val="en-GB"/>
        </w:rPr>
        <w:t>这一用语的</w:t>
      </w:r>
      <w:r w:rsidRPr="00BF42B7">
        <w:rPr>
          <w:rFonts w:hint="eastAsia"/>
          <w:lang w:val="en-GB"/>
        </w:rPr>
        <w:t>“</w:t>
      </w:r>
      <w:r w:rsidRPr="00BF42B7">
        <w:rPr>
          <w:lang w:val="en-GB"/>
        </w:rPr>
        <w:t>一般和</w:t>
      </w:r>
      <w:r w:rsidRPr="00BF42B7">
        <w:rPr>
          <w:rFonts w:hint="eastAsia"/>
          <w:lang w:val="en-GB"/>
        </w:rPr>
        <w:t>通常</w:t>
      </w:r>
      <w:r w:rsidRPr="00BF42B7">
        <w:rPr>
          <w:lang w:val="en-GB"/>
        </w:rPr>
        <w:t>意义</w:t>
      </w:r>
      <w:r w:rsidRPr="00BF42B7">
        <w:rPr>
          <w:rFonts w:hint="eastAsia"/>
          <w:lang w:val="en-GB"/>
        </w:rPr>
        <w:t>”</w:t>
      </w:r>
      <w:r w:rsidRPr="00BF42B7">
        <w:rPr>
          <w:lang w:val="en-GB"/>
        </w:rPr>
        <w:t>，尽管当事国在另一处上下文中援用了限制性的解释。</w:t>
      </w:r>
      <w:r w:rsidRPr="00BF42B7">
        <w:rPr>
          <w:color w:val="0000FF"/>
          <w:vertAlign w:val="superscript"/>
          <w:lang w:val="en-GB"/>
        </w:rPr>
        <w:footnoteReference w:id="736"/>
      </w:r>
      <w:r w:rsidRPr="00BF42B7">
        <w:rPr>
          <w:color w:val="0000FF"/>
          <w:vertAlign w:val="superscript"/>
          <w:lang w:val="en-GB"/>
        </w:rPr>
        <w:t xml:space="preserve"> </w:t>
      </w:r>
      <w:r w:rsidRPr="00BF42B7">
        <w:rPr>
          <w:lang w:val="en-GB"/>
        </w:rPr>
        <w:t>无论如何，国际法院采取演进</w:t>
      </w:r>
      <w:r w:rsidRPr="00BF42B7">
        <w:rPr>
          <w:rFonts w:hint="eastAsia"/>
          <w:lang w:val="en-GB"/>
        </w:rPr>
        <w:t>性</w:t>
      </w:r>
      <w:r w:rsidRPr="00BF42B7">
        <w:rPr>
          <w:lang w:val="en-GB"/>
        </w:rPr>
        <w:t>办法的裁定并未偏离案文可能具有的含义，并未偏离</w:t>
      </w:r>
      <w:r w:rsidRPr="00BF42B7">
        <w:rPr>
          <w:rFonts w:hint="eastAsia"/>
          <w:spacing w:val="-50"/>
          <w:lang w:val="fr-CH"/>
        </w:rPr>
        <w:t>―</w:t>
      </w:r>
      <w:r w:rsidRPr="00BF42B7">
        <w:rPr>
          <w:rFonts w:hint="eastAsia"/>
          <w:lang w:val="fr-CH"/>
        </w:rPr>
        <w:t>―</w:t>
      </w:r>
      <w:r w:rsidRPr="00BF42B7">
        <w:rPr>
          <w:lang w:val="en-GB"/>
        </w:rPr>
        <w:t>如</w:t>
      </w:r>
      <w:r w:rsidRPr="00BF42B7">
        <w:rPr>
          <w:rFonts w:hint="eastAsia"/>
          <w:lang w:val="en-GB"/>
        </w:rPr>
        <w:t>其</w:t>
      </w:r>
      <w:r w:rsidRPr="00BF42B7">
        <w:rPr>
          <w:lang w:val="en-GB"/>
        </w:rPr>
        <w:t>嗣后协定和嗣后惯例中也表示的</w:t>
      </w:r>
      <w:r w:rsidRPr="00BF42B7">
        <w:rPr>
          <w:rFonts w:hint="eastAsia"/>
          <w:spacing w:val="-50"/>
          <w:lang w:val="fr-CH"/>
        </w:rPr>
        <w:t>―</w:t>
      </w:r>
      <w:r w:rsidRPr="00BF42B7">
        <w:rPr>
          <w:rFonts w:hint="eastAsia"/>
          <w:lang w:val="fr-CH"/>
        </w:rPr>
        <w:t>―</w:t>
      </w:r>
      <w:r w:rsidRPr="00BF42B7">
        <w:rPr>
          <w:lang w:val="en-GB"/>
        </w:rPr>
        <w:t>条约当事国的推定意图。</w:t>
      </w:r>
      <w:r w:rsidRPr="00BF42B7">
        <w:rPr>
          <w:color w:val="0000FF"/>
          <w:vertAlign w:val="superscript"/>
          <w:lang w:val="en-GB"/>
        </w:rPr>
        <w:footnoteReference w:id="737"/>
      </w:r>
      <w:r w:rsidRPr="00BF42B7">
        <w:rPr>
          <w:color w:val="0000FF"/>
          <w:vertAlign w:val="superscript"/>
          <w:lang w:val="en-GB"/>
        </w:rPr>
        <w:t xml:space="preserve"> </w:t>
      </w:r>
    </w:p>
    <w:p w:rsidR="00DF5565" w:rsidRPr="00BF42B7" w:rsidRDefault="00DF5565" w:rsidP="00DF5565">
      <w:pPr>
        <w:pStyle w:val="SingleTxtGC"/>
        <w:rPr>
          <w:lang w:val="en-GB"/>
        </w:rPr>
      </w:pPr>
      <w:r w:rsidRPr="00BF42B7">
        <w:rPr>
          <w:lang w:val="en-GB"/>
        </w:rPr>
        <w:t xml:space="preserve">(12)  </w:t>
      </w:r>
      <w:r w:rsidRPr="00BF42B7">
        <w:rPr>
          <w:rFonts w:ascii="Time New Roman" w:eastAsia="楷体" w:hAnsi="Time New Roman"/>
          <w:lang w:val="en-GB"/>
        </w:rPr>
        <w:t>关于航行权和相关权利的争端案</w:t>
      </w:r>
      <w:r w:rsidRPr="00BF42B7">
        <w:rPr>
          <w:rFonts w:hint="eastAsia"/>
          <w:lang w:val="en-GB"/>
        </w:rPr>
        <w:t>的</w:t>
      </w:r>
      <w:r w:rsidRPr="00BF42B7">
        <w:rPr>
          <w:lang w:val="en-GB"/>
        </w:rPr>
        <w:t>国际法院判决也</w:t>
      </w:r>
      <w:r w:rsidRPr="00BF42B7">
        <w:rPr>
          <w:rFonts w:hint="eastAsia"/>
          <w:lang w:val="en-GB"/>
        </w:rPr>
        <w:t>显示了</w:t>
      </w:r>
      <w:r w:rsidRPr="00BF42B7">
        <w:rPr>
          <w:lang w:val="en-GB"/>
        </w:rPr>
        <w:t>缔约国的嗣后协定和嗣后惯例如何能够帮助确定某一术语是否具有能够随时间演变的含义。在解释</w:t>
      </w:r>
      <w:r w:rsidRPr="00BF42B7">
        <w:rPr>
          <w:lang w:val="en-GB"/>
        </w:rPr>
        <w:t>1858</w:t>
      </w:r>
      <w:r w:rsidRPr="00BF42B7">
        <w:rPr>
          <w:lang w:val="en-GB"/>
        </w:rPr>
        <w:t>年一项条约中的</w:t>
      </w:r>
      <w:r w:rsidRPr="00BF42B7">
        <w:rPr>
          <w:rFonts w:hint="eastAsia"/>
          <w:lang w:val="en-GB"/>
        </w:rPr>
        <w:t>“</w:t>
      </w:r>
      <w:r w:rsidRPr="00BF42B7">
        <w:rPr>
          <w:lang w:val="en-GB"/>
        </w:rPr>
        <w:t>comercio</w:t>
      </w:r>
      <w:r w:rsidRPr="00BF42B7">
        <w:rPr>
          <w:rFonts w:hint="eastAsia"/>
          <w:lang w:val="en-GB"/>
        </w:rPr>
        <w:t>”一词</w:t>
      </w:r>
      <w:r w:rsidRPr="00BF42B7">
        <w:rPr>
          <w:lang w:val="en-GB"/>
        </w:rPr>
        <w:t>时，法院认为：</w:t>
      </w:r>
    </w:p>
    <w:p w:rsidR="00DF5565" w:rsidRPr="00BF42B7" w:rsidRDefault="00DF5565" w:rsidP="00DF5565">
      <w:pPr>
        <w:pStyle w:val="SingleTxtGC"/>
        <w:ind w:left="1554"/>
        <w:rPr>
          <w:lang w:val="en-GB"/>
        </w:rPr>
      </w:pPr>
      <w:r w:rsidRPr="00BF42B7">
        <w:rPr>
          <w:rFonts w:hint="eastAsia"/>
          <w:lang w:val="en-GB"/>
        </w:rPr>
        <w:t>“</w:t>
      </w:r>
      <w:r w:rsidRPr="00BF42B7">
        <w:rPr>
          <w:lang w:val="en-GB"/>
        </w:rPr>
        <w:t>一方面，《维也纳公约》第三十一条第三款</w:t>
      </w:r>
      <w:r w:rsidRPr="00BF42B7">
        <w:rPr>
          <w:lang w:val="en-GB"/>
        </w:rPr>
        <w:t>(b)</w:t>
      </w:r>
      <w:r w:rsidRPr="00BF42B7">
        <w:rPr>
          <w:lang w:val="en-GB"/>
        </w:rPr>
        <w:t>项的意义</w:t>
      </w:r>
      <w:r w:rsidRPr="00BF42B7">
        <w:rPr>
          <w:rFonts w:hint="eastAsia"/>
          <w:lang w:val="en-GB"/>
        </w:rPr>
        <w:t>下的</w:t>
      </w:r>
      <w:r w:rsidRPr="00BF42B7">
        <w:rPr>
          <w:lang w:val="en-GB"/>
        </w:rPr>
        <w:t>当事国的嗣后惯例可能导致偏离缔约方默认的原有意图。另一方面，在有些情况中，当事国缔结条约</w:t>
      </w:r>
      <w:r w:rsidRPr="00BF42B7">
        <w:rPr>
          <w:rFonts w:hint="eastAsia"/>
          <w:lang w:val="en-GB"/>
        </w:rPr>
        <w:t>时</w:t>
      </w:r>
      <w:r w:rsidRPr="00BF42B7">
        <w:rPr>
          <w:lang w:val="en-GB"/>
        </w:rPr>
        <w:t>的意图是</w:t>
      </w:r>
      <w:r w:rsidRPr="00BF42B7">
        <w:rPr>
          <w:rFonts w:hint="eastAsia"/>
          <w:spacing w:val="2"/>
        </w:rPr>
        <w:t>……</w:t>
      </w:r>
      <w:r w:rsidRPr="00BF42B7">
        <w:rPr>
          <w:lang w:val="en-GB"/>
        </w:rPr>
        <w:t>赋予所用术语</w:t>
      </w:r>
      <w:r w:rsidRPr="00BF42B7">
        <w:rPr>
          <w:rFonts w:hint="eastAsia"/>
          <w:spacing w:val="2"/>
        </w:rPr>
        <w:t>……</w:t>
      </w:r>
      <w:r w:rsidRPr="00BF42B7">
        <w:rPr>
          <w:lang w:val="en-GB"/>
        </w:rPr>
        <w:t>一种能够演变的含义或内容，而不是一种一旦确定即永不改变的含义或内容，以便除其他外</w:t>
      </w:r>
      <w:r w:rsidRPr="00BF42B7">
        <w:rPr>
          <w:rFonts w:hint="eastAsia"/>
          <w:lang w:val="en-GB"/>
        </w:rPr>
        <w:t>，</w:t>
      </w:r>
      <w:r w:rsidRPr="00BF42B7">
        <w:rPr>
          <w:lang w:val="en-GB"/>
        </w:rPr>
        <w:t>为国际法的发展留出余地。</w:t>
      </w:r>
      <w:r w:rsidRPr="00BF42B7">
        <w:rPr>
          <w:rFonts w:hint="eastAsia"/>
          <w:lang w:val="en-GB"/>
        </w:rPr>
        <w:t>”</w:t>
      </w:r>
      <w:r w:rsidRPr="00BF42B7">
        <w:rPr>
          <w:color w:val="0000FF"/>
          <w:vertAlign w:val="superscript"/>
          <w:lang w:val="en-GB"/>
        </w:rPr>
        <w:footnoteReference w:id="738"/>
      </w:r>
      <w:r w:rsidRPr="00BF42B7">
        <w:rPr>
          <w:color w:val="0000FF"/>
          <w:vertAlign w:val="superscript"/>
          <w:lang w:val="en-GB"/>
        </w:rPr>
        <w:t xml:space="preserve"> </w:t>
      </w:r>
    </w:p>
    <w:p w:rsidR="00DF5565" w:rsidRPr="00BF42B7" w:rsidRDefault="00DF5565" w:rsidP="000D50E8">
      <w:pPr>
        <w:pStyle w:val="SingleTxtGC"/>
        <w:rPr>
          <w:lang w:val="en-GB"/>
        </w:rPr>
      </w:pPr>
      <w:r w:rsidRPr="003F2ED5">
        <w:rPr>
          <w:spacing w:val="-2"/>
          <w:lang w:val="en-GB"/>
        </w:rPr>
        <w:t>法院随后认定，</w:t>
      </w:r>
      <w:r w:rsidRPr="003F2ED5">
        <w:rPr>
          <w:rFonts w:hint="eastAsia"/>
          <w:spacing w:val="-2"/>
          <w:lang w:val="en-GB"/>
        </w:rPr>
        <w:t>“</w:t>
      </w:r>
      <w:r w:rsidRPr="003F2ED5">
        <w:rPr>
          <w:spacing w:val="-2"/>
          <w:lang w:val="en-GB"/>
        </w:rPr>
        <w:t>comercio</w:t>
      </w:r>
      <w:r w:rsidRPr="003F2ED5">
        <w:rPr>
          <w:rFonts w:hint="eastAsia"/>
          <w:spacing w:val="-2"/>
          <w:lang w:val="en-GB"/>
        </w:rPr>
        <w:t>”一词</w:t>
      </w:r>
      <w:r w:rsidRPr="003F2ED5">
        <w:rPr>
          <w:spacing w:val="-2"/>
          <w:lang w:val="en-GB"/>
        </w:rPr>
        <w:t>是一个</w:t>
      </w:r>
      <w:r w:rsidRPr="003F2ED5">
        <w:rPr>
          <w:rFonts w:hint="eastAsia"/>
          <w:spacing w:val="-2"/>
          <w:lang w:val="en-GB"/>
        </w:rPr>
        <w:t>“普通用语”</w:t>
      </w:r>
      <w:r w:rsidRPr="003F2ED5">
        <w:rPr>
          <w:spacing w:val="-2"/>
          <w:lang w:val="en-GB"/>
        </w:rPr>
        <w:t>，其</w:t>
      </w:r>
      <w:r w:rsidRPr="003F2ED5">
        <w:rPr>
          <w:rFonts w:hint="eastAsia"/>
          <w:spacing w:val="-2"/>
          <w:lang w:val="en-GB"/>
        </w:rPr>
        <w:t>“</w:t>
      </w:r>
      <w:r w:rsidRPr="003F2ED5">
        <w:rPr>
          <w:spacing w:val="-2"/>
          <w:lang w:val="en-GB"/>
        </w:rPr>
        <w:t>当事国必然意识到其含义</w:t>
      </w:r>
      <w:r w:rsidR="000D50E8" w:rsidRPr="003F2ED5">
        <w:rPr>
          <w:rFonts w:hint="eastAsia"/>
          <w:spacing w:val="-2"/>
        </w:rPr>
        <w:t>……</w:t>
      </w:r>
      <w:r w:rsidRPr="003F2ED5">
        <w:rPr>
          <w:spacing w:val="-2"/>
          <w:lang w:val="en-GB"/>
        </w:rPr>
        <w:t>很可能随时间演变</w:t>
      </w:r>
      <w:r w:rsidRPr="003F2ED5">
        <w:rPr>
          <w:rFonts w:hint="eastAsia"/>
          <w:spacing w:val="-2"/>
          <w:lang w:val="en-GB"/>
        </w:rPr>
        <w:t>”</w:t>
      </w:r>
      <w:r w:rsidRPr="003F2ED5">
        <w:rPr>
          <w:spacing w:val="-2"/>
          <w:lang w:val="en-GB"/>
        </w:rPr>
        <w:t>，意识到</w:t>
      </w:r>
      <w:r w:rsidRPr="003F2ED5">
        <w:rPr>
          <w:rFonts w:hint="eastAsia"/>
          <w:spacing w:val="-2"/>
          <w:lang w:val="en-GB"/>
        </w:rPr>
        <w:t>“</w:t>
      </w:r>
      <w:r w:rsidRPr="003F2ED5">
        <w:rPr>
          <w:spacing w:val="-2"/>
          <w:lang w:val="en-GB"/>
        </w:rPr>
        <w:t>缔结的条约要持续很长时间</w:t>
      </w:r>
      <w:r w:rsidRPr="003F2ED5">
        <w:rPr>
          <w:rFonts w:hint="eastAsia"/>
          <w:spacing w:val="-2"/>
          <w:lang w:val="en-GB"/>
        </w:rPr>
        <w:t>”</w:t>
      </w:r>
      <w:r w:rsidRPr="003F2ED5">
        <w:rPr>
          <w:spacing w:val="-2"/>
          <w:lang w:val="en-GB"/>
        </w:rPr>
        <w:t>，并得出结论认为</w:t>
      </w:r>
      <w:r w:rsidRPr="003F2ED5">
        <w:rPr>
          <w:rFonts w:hint="eastAsia"/>
          <w:spacing w:val="-2"/>
          <w:lang w:val="en-GB"/>
        </w:rPr>
        <w:t>“</w:t>
      </w:r>
      <w:r w:rsidRPr="003F2ED5">
        <w:rPr>
          <w:spacing w:val="-2"/>
          <w:lang w:val="en-GB"/>
        </w:rPr>
        <w:t>必须推定当事国</w:t>
      </w:r>
      <w:r w:rsidR="000D50E8" w:rsidRPr="003F2ED5">
        <w:rPr>
          <w:rFonts w:hint="eastAsia"/>
          <w:spacing w:val="-2"/>
        </w:rPr>
        <w:t>……</w:t>
      </w:r>
      <w:r w:rsidRPr="003F2ED5">
        <w:rPr>
          <w:spacing w:val="-2"/>
          <w:lang w:val="en-GB"/>
        </w:rPr>
        <w:t>意图使</w:t>
      </w:r>
      <w:r w:rsidRPr="003F2ED5">
        <w:rPr>
          <w:rFonts w:hint="eastAsia"/>
          <w:spacing w:val="-2"/>
          <w:lang w:val="en-GB"/>
        </w:rPr>
        <w:t>”</w:t>
      </w:r>
      <w:r w:rsidRPr="003F2ED5">
        <w:rPr>
          <w:spacing w:val="-2"/>
          <w:lang w:val="en-GB"/>
        </w:rPr>
        <w:t>这一</w:t>
      </w:r>
      <w:r w:rsidRPr="003F2ED5">
        <w:rPr>
          <w:rFonts w:hint="eastAsia"/>
          <w:spacing w:val="-2"/>
          <w:lang w:val="en-GB"/>
        </w:rPr>
        <w:t>用</w:t>
      </w:r>
      <w:r w:rsidRPr="003F2ED5">
        <w:rPr>
          <w:spacing w:val="-2"/>
          <w:lang w:val="en-GB"/>
        </w:rPr>
        <w:t>语</w:t>
      </w:r>
      <w:r w:rsidRPr="003F2ED5">
        <w:rPr>
          <w:rFonts w:hint="eastAsia"/>
          <w:spacing w:val="-2"/>
          <w:lang w:val="en-GB"/>
        </w:rPr>
        <w:t>“具有不断演变的含义”</w:t>
      </w:r>
      <w:r w:rsidRPr="003F2ED5">
        <w:rPr>
          <w:spacing w:val="-2"/>
          <w:lang w:val="en-GB"/>
        </w:rPr>
        <w:t>。</w:t>
      </w:r>
      <w:r w:rsidRPr="003F2ED5">
        <w:rPr>
          <w:color w:val="0000FF"/>
          <w:spacing w:val="-2"/>
          <w:vertAlign w:val="superscript"/>
          <w:lang w:val="en-GB"/>
        </w:rPr>
        <w:footnoteReference w:id="739"/>
      </w:r>
      <w:r w:rsidRPr="00BF42B7">
        <w:rPr>
          <w:color w:val="0000FF"/>
          <w:vertAlign w:val="superscript"/>
          <w:lang w:val="en-GB"/>
        </w:rPr>
        <w:t xml:space="preserve"> </w:t>
      </w:r>
      <w:r w:rsidRPr="00BF42B7">
        <w:rPr>
          <w:lang w:val="en-GB"/>
        </w:rPr>
        <w:t>在个别意见中，斯科特尼科夫法官尽管不同意这一推理，最后也得出了同样的结果，他接受，对于哥斯达黎加最近</w:t>
      </w:r>
      <w:r w:rsidRPr="00BF42B7">
        <w:rPr>
          <w:rFonts w:hint="eastAsia"/>
          <w:lang w:val="en-GB"/>
        </w:rPr>
        <w:t>“</w:t>
      </w:r>
      <w:r w:rsidRPr="00BF42B7">
        <w:rPr>
          <w:lang w:val="en-GB"/>
        </w:rPr>
        <w:t>至少十年</w:t>
      </w:r>
      <w:r w:rsidRPr="00BF42B7">
        <w:rPr>
          <w:rFonts w:hint="eastAsia"/>
          <w:lang w:val="en-GB"/>
        </w:rPr>
        <w:t>”</w:t>
      </w:r>
      <w:r w:rsidRPr="00BF42B7">
        <w:rPr>
          <w:lang w:val="en-GB"/>
        </w:rPr>
        <w:t>有关圣胡安河旅游的嗣后惯例，尼加拉瓜</w:t>
      </w:r>
      <w:r w:rsidRPr="00BF42B7">
        <w:rPr>
          <w:rFonts w:hint="eastAsia"/>
          <w:lang w:val="en-GB"/>
        </w:rPr>
        <w:t>“</w:t>
      </w:r>
      <w:r w:rsidRPr="00BF42B7">
        <w:rPr>
          <w:lang w:val="en-GB"/>
        </w:rPr>
        <w:t>从未抗议</w:t>
      </w:r>
      <w:r w:rsidRPr="00BF42B7">
        <w:rPr>
          <w:rFonts w:hint="eastAsia"/>
          <w:lang w:val="en-GB"/>
        </w:rPr>
        <w:t>”</w:t>
      </w:r>
      <w:r w:rsidRPr="00BF42B7">
        <w:rPr>
          <w:lang w:val="en-GB"/>
        </w:rPr>
        <w:t>，而是</w:t>
      </w:r>
      <w:r w:rsidRPr="00BF42B7">
        <w:rPr>
          <w:rFonts w:hint="eastAsia"/>
          <w:lang w:val="en-GB"/>
        </w:rPr>
        <w:t>“</w:t>
      </w:r>
      <w:r w:rsidRPr="00BF42B7">
        <w:rPr>
          <w:lang w:val="en-GB"/>
        </w:rPr>
        <w:t>采取允许旅游航行的一贯做法</w:t>
      </w:r>
      <w:r w:rsidRPr="00BF42B7">
        <w:rPr>
          <w:rFonts w:hint="eastAsia"/>
          <w:lang w:val="en-GB"/>
        </w:rPr>
        <w:t>”</w:t>
      </w:r>
      <w:r w:rsidRPr="00BF42B7">
        <w:rPr>
          <w:lang w:val="en-GB"/>
        </w:rPr>
        <w:t>，并得出结论认为，这</w:t>
      </w:r>
      <w:r w:rsidRPr="00BF42B7">
        <w:rPr>
          <w:rFonts w:hint="eastAsia"/>
          <w:lang w:val="en-GB"/>
        </w:rPr>
        <w:t>“</w:t>
      </w:r>
      <w:r w:rsidRPr="00BF42B7">
        <w:rPr>
          <w:lang w:val="en-GB"/>
        </w:rPr>
        <w:t>表明当事国就其解释达成了一致</w:t>
      </w:r>
      <w:r w:rsidRPr="00BF42B7">
        <w:rPr>
          <w:rFonts w:hint="eastAsia"/>
          <w:lang w:val="en-GB"/>
        </w:rPr>
        <w:t>”</w:t>
      </w:r>
      <w:r w:rsidRPr="00BF42B7">
        <w:rPr>
          <w:lang w:val="en-GB"/>
        </w:rPr>
        <w:t>。</w:t>
      </w:r>
      <w:r w:rsidRPr="00BF42B7">
        <w:rPr>
          <w:color w:val="0000FF"/>
          <w:vertAlign w:val="superscript"/>
          <w:lang w:val="en-GB"/>
        </w:rPr>
        <w:footnoteReference w:id="740"/>
      </w:r>
      <w:r w:rsidRPr="00BF42B7">
        <w:rPr>
          <w:color w:val="0000FF"/>
          <w:vertAlign w:val="superscript"/>
          <w:lang w:val="en-GB"/>
        </w:rPr>
        <w:t xml:space="preserve"> </w:t>
      </w:r>
    </w:p>
    <w:p w:rsidR="00DF5565" w:rsidRPr="00BF42B7" w:rsidRDefault="00DF5565" w:rsidP="00DF5565">
      <w:pPr>
        <w:pStyle w:val="SingleTxtGC"/>
        <w:rPr>
          <w:lang w:val="en-GB"/>
        </w:rPr>
      </w:pPr>
      <w:r w:rsidRPr="00BF42B7">
        <w:rPr>
          <w:lang w:val="en-GB"/>
        </w:rPr>
        <w:t xml:space="preserve">(13)  </w:t>
      </w:r>
      <w:bookmarkStart w:id="168" w:name="_Ref451760512"/>
      <w:r w:rsidRPr="00BF42B7">
        <w:rPr>
          <w:rFonts w:hint="eastAsia"/>
          <w:lang w:val="en-GB"/>
        </w:rPr>
        <w:t>前南斯拉夫问题国际刑事法庭有时考虑到更普遍的国家惯例形式，包括国家立法趋势，这反过来又可能改变对犯罪范围或犯罪要件的解释。例如，在</w:t>
      </w:r>
      <w:r w:rsidRPr="00BF42B7">
        <w:rPr>
          <w:rFonts w:ascii="Time New Roman" w:eastAsia="楷体" w:hAnsi="Time New Roman" w:hint="eastAsia"/>
          <w:lang w:val="en-GB"/>
        </w:rPr>
        <w:t>检察官诉</w:t>
      </w:r>
      <w:r w:rsidRPr="00BF42B7">
        <w:rPr>
          <w:rFonts w:ascii="Time New Roman" w:eastAsia="楷体" w:hAnsi="Time New Roman"/>
          <w:lang w:val="en-GB"/>
        </w:rPr>
        <w:t>Furundžija</w:t>
      </w:r>
      <w:r w:rsidRPr="00BF42B7">
        <w:rPr>
          <w:rFonts w:ascii="Time New Roman" w:eastAsia="楷体" w:hAnsi="Time New Roman" w:hint="eastAsia"/>
          <w:lang w:val="en-GB"/>
        </w:rPr>
        <w:t>案</w:t>
      </w:r>
      <w:r w:rsidRPr="00BF42B7">
        <w:rPr>
          <w:rFonts w:hint="eastAsia"/>
          <w:lang w:val="en-GB"/>
        </w:rPr>
        <w:t>中，</w:t>
      </w:r>
      <w:bookmarkStart w:id="169" w:name="_Ref461976631"/>
      <w:r w:rsidRPr="00BF42B7">
        <w:rPr>
          <w:color w:val="0000FF"/>
          <w:vertAlign w:val="superscript"/>
          <w:lang w:val="en-GB"/>
        </w:rPr>
        <w:footnoteReference w:id="741"/>
      </w:r>
      <w:bookmarkEnd w:id="169"/>
      <w:r w:rsidRPr="00BF42B7">
        <w:rPr>
          <w:color w:val="0000FF"/>
          <w:vertAlign w:val="superscript"/>
          <w:lang w:val="en-GB"/>
        </w:rPr>
        <w:t xml:space="preserve"> </w:t>
      </w:r>
      <w:bookmarkEnd w:id="168"/>
      <w:r w:rsidRPr="00BF42B7">
        <w:rPr>
          <w:rFonts w:hint="eastAsia"/>
          <w:lang w:val="en-GB"/>
        </w:rPr>
        <w:t>前南斯拉夫问题国际刑事法庭的审判分庭为界定《关于战时保护平民之日内瓦公约》第二十七条</w:t>
      </w:r>
      <w:r w:rsidRPr="00BF42B7">
        <w:rPr>
          <w:color w:val="0000FF"/>
          <w:vertAlign w:val="superscript"/>
          <w:lang w:val="en-GB"/>
        </w:rPr>
        <w:footnoteReference w:id="742"/>
      </w:r>
      <w:r w:rsidRPr="00BF42B7">
        <w:rPr>
          <w:color w:val="0000FF"/>
          <w:vertAlign w:val="superscript"/>
          <w:lang w:val="en-GB"/>
        </w:rPr>
        <w:t xml:space="preserve"> </w:t>
      </w:r>
      <w:r w:rsidRPr="00BF42B7">
        <w:rPr>
          <w:rFonts w:hint="eastAsia"/>
          <w:lang w:val="en-GB"/>
        </w:rPr>
        <w:t>、《第一附加议定书》</w:t>
      </w:r>
      <w:r w:rsidRPr="00BF42B7">
        <w:rPr>
          <w:rFonts w:hint="eastAsia"/>
          <w:lang w:val="en-GB"/>
        </w:rPr>
        <w:t>(</w:t>
      </w:r>
      <w:r w:rsidRPr="00BF42B7">
        <w:rPr>
          <w:rFonts w:hint="eastAsia"/>
          <w:lang w:val="en-GB"/>
        </w:rPr>
        <w:t>《第一议定书》</w:t>
      </w:r>
      <w:r w:rsidRPr="00BF42B7">
        <w:rPr>
          <w:rFonts w:hint="eastAsia"/>
          <w:lang w:val="en-GB"/>
        </w:rPr>
        <w:t>)</w:t>
      </w:r>
      <w:r w:rsidRPr="00BF42B7">
        <w:rPr>
          <w:rFonts w:hint="eastAsia"/>
          <w:lang w:val="en-GB"/>
        </w:rPr>
        <w:t>第七十六条第一款</w:t>
      </w:r>
      <w:bookmarkStart w:id="170" w:name="_Ref451331016"/>
      <w:r w:rsidRPr="00BF42B7">
        <w:rPr>
          <w:color w:val="0000FF"/>
          <w:vertAlign w:val="superscript"/>
          <w:lang w:val="en-GB"/>
        </w:rPr>
        <w:footnoteReference w:id="743"/>
      </w:r>
      <w:bookmarkEnd w:id="170"/>
      <w:r w:rsidRPr="00BF42B7">
        <w:rPr>
          <w:color w:val="0000FF"/>
          <w:vertAlign w:val="superscript"/>
          <w:lang w:val="en-GB"/>
        </w:rPr>
        <w:t xml:space="preserve"> </w:t>
      </w:r>
      <w:r w:rsidRPr="00BF42B7">
        <w:rPr>
          <w:rFonts w:hint="eastAsia"/>
          <w:lang w:val="en-GB"/>
        </w:rPr>
        <w:t>和《第二附加议定书》</w:t>
      </w:r>
      <w:r w:rsidRPr="00BF42B7">
        <w:rPr>
          <w:rFonts w:hint="eastAsia"/>
          <w:lang w:val="en-GB"/>
        </w:rPr>
        <w:t>(</w:t>
      </w:r>
      <w:r w:rsidRPr="00BF42B7">
        <w:rPr>
          <w:rFonts w:hint="eastAsia"/>
          <w:lang w:val="en-GB"/>
        </w:rPr>
        <w:t>《第二议定书》</w:t>
      </w:r>
      <w:r w:rsidRPr="00BF42B7">
        <w:rPr>
          <w:rFonts w:hint="eastAsia"/>
          <w:lang w:val="en-GB"/>
        </w:rPr>
        <w:t>)</w:t>
      </w:r>
      <w:r w:rsidRPr="00BF42B7">
        <w:rPr>
          <w:rFonts w:hint="eastAsia"/>
          <w:lang w:val="en-GB"/>
        </w:rPr>
        <w:t>第四条第二款</w:t>
      </w:r>
      <w:r w:rsidRPr="00BF42B7">
        <w:rPr>
          <w:lang w:val="en-GB"/>
        </w:rPr>
        <w:t>(</w:t>
      </w:r>
      <w:r w:rsidRPr="00BF42B7">
        <w:rPr>
          <w:rFonts w:hint="eastAsia"/>
          <w:lang w:val="en-GB"/>
        </w:rPr>
        <w:t>五</w:t>
      </w:r>
      <w:r w:rsidRPr="00BF42B7">
        <w:rPr>
          <w:lang w:val="en-GB"/>
        </w:rPr>
        <w:t>)</w:t>
      </w:r>
      <w:r w:rsidRPr="00BF42B7">
        <w:rPr>
          <w:rFonts w:hint="eastAsia"/>
          <w:lang w:val="en-GB"/>
        </w:rPr>
        <w:t>项</w:t>
      </w:r>
      <w:bookmarkStart w:id="171" w:name="_Ref451329206"/>
      <w:r w:rsidRPr="00BF42B7">
        <w:rPr>
          <w:color w:val="0000FF"/>
          <w:vertAlign w:val="superscript"/>
          <w:lang w:val="en-GB"/>
        </w:rPr>
        <w:footnoteReference w:id="744"/>
      </w:r>
      <w:bookmarkEnd w:id="171"/>
      <w:r w:rsidRPr="00BF42B7">
        <w:rPr>
          <w:color w:val="0000FF"/>
          <w:vertAlign w:val="superscript"/>
          <w:lang w:val="en-GB"/>
        </w:rPr>
        <w:t xml:space="preserve"> </w:t>
      </w:r>
      <w:r w:rsidRPr="00BF42B7">
        <w:rPr>
          <w:rFonts w:hint="eastAsia"/>
          <w:lang w:val="en-GB"/>
        </w:rPr>
        <w:t>所禁止的强奸罪，检查了世界各主要法律制度通用的刑法原则，认为：</w:t>
      </w:r>
    </w:p>
    <w:p w:rsidR="00DF5565" w:rsidRPr="00BF42B7" w:rsidRDefault="00DF5565" w:rsidP="00DF5565">
      <w:pPr>
        <w:pStyle w:val="SingleTxtGC"/>
        <w:ind w:left="1554"/>
        <w:rPr>
          <w:lang w:val="en-GB"/>
        </w:rPr>
      </w:pPr>
      <w:r w:rsidRPr="00BF42B7">
        <w:rPr>
          <w:rFonts w:hint="eastAsia"/>
          <w:lang w:val="en-GB"/>
        </w:rPr>
        <w:t>“</w:t>
      </w:r>
      <w:r w:rsidRPr="00BF42B7">
        <w:rPr>
          <w:rFonts w:hint="eastAsia"/>
          <w:spacing w:val="2"/>
        </w:rPr>
        <w:t>……</w:t>
      </w:r>
      <w:r w:rsidRPr="00BF42B7">
        <w:rPr>
          <w:lang w:val="en-GB"/>
        </w:rPr>
        <w:t>可以看出，一些</w:t>
      </w:r>
      <w:r w:rsidRPr="00BF42B7">
        <w:rPr>
          <w:rFonts w:hint="eastAsia"/>
          <w:lang w:val="en-GB"/>
        </w:rPr>
        <w:t>国家的</w:t>
      </w:r>
      <w:r w:rsidRPr="00BF42B7">
        <w:rPr>
          <w:lang w:val="en-GB"/>
        </w:rPr>
        <w:t>立法</w:t>
      </w:r>
      <w:r w:rsidRPr="00BF42B7">
        <w:rPr>
          <w:rFonts w:hint="eastAsia"/>
          <w:lang w:val="en-GB"/>
        </w:rPr>
        <w:t>工作存在这样一个</w:t>
      </w:r>
      <w:r w:rsidRPr="00BF42B7">
        <w:rPr>
          <w:lang w:val="en-GB"/>
        </w:rPr>
        <w:t>趋势，</w:t>
      </w:r>
      <w:r w:rsidRPr="00BF42B7">
        <w:rPr>
          <w:rFonts w:hint="eastAsia"/>
          <w:lang w:val="en-GB"/>
        </w:rPr>
        <w:t>即</w:t>
      </w:r>
      <w:r w:rsidRPr="00BF42B7">
        <w:rPr>
          <w:lang w:val="en-GB"/>
        </w:rPr>
        <w:t>扩大强奸罪定义的范围，把先前定为较轻犯罪的行为也纳入进来，包括性侵犯或非礼行为。这种趋势表明，在国家一级，各国倾向于更严格地对待严重的性侵犯形式</w:t>
      </w:r>
      <w:r w:rsidRPr="00BF42B7">
        <w:rPr>
          <w:rFonts w:hint="eastAsia"/>
          <w:spacing w:val="2"/>
        </w:rPr>
        <w:t>……</w:t>
      </w:r>
      <w:r w:rsidRPr="00BF42B7">
        <w:rPr>
          <w:rFonts w:hint="eastAsia"/>
          <w:lang w:val="en-GB"/>
        </w:rPr>
        <w:t>”</w:t>
      </w:r>
      <w:r w:rsidRPr="00BF42B7">
        <w:rPr>
          <w:color w:val="0000FF"/>
          <w:vertAlign w:val="superscript"/>
          <w:lang w:val="en-GB"/>
        </w:rPr>
        <w:footnoteReference w:id="745"/>
      </w:r>
      <w:r w:rsidRPr="00BF42B7">
        <w:rPr>
          <w:color w:val="0000FF"/>
          <w:vertAlign w:val="superscript"/>
          <w:lang w:val="en-GB"/>
        </w:rPr>
        <w:t xml:space="preserve"> </w:t>
      </w:r>
    </w:p>
    <w:p w:rsidR="00DF5565" w:rsidRPr="00BF42B7" w:rsidRDefault="00DF5565" w:rsidP="00DF5565">
      <w:pPr>
        <w:pStyle w:val="SingleTxtGC"/>
        <w:rPr>
          <w:lang w:val="en-GB"/>
        </w:rPr>
      </w:pPr>
      <w:r w:rsidRPr="00BF42B7">
        <w:rPr>
          <w:lang w:val="en-GB"/>
        </w:rPr>
        <w:t xml:space="preserve">(14)  </w:t>
      </w:r>
      <w:r w:rsidRPr="00BF42B7">
        <w:rPr>
          <w:lang w:val="en-GB"/>
        </w:rPr>
        <w:t>欧洲人权法院的</w:t>
      </w:r>
      <w:r w:rsidRPr="00BF42B7">
        <w:rPr>
          <w:rFonts w:hint="eastAsia"/>
          <w:lang w:val="en-GB"/>
        </w:rPr>
        <w:t>“</w:t>
      </w:r>
      <w:r w:rsidRPr="00BF42B7">
        <w:rPr>
          <w:lang w:val="en-GB"/>
        </w:rPr>
        <w:t>活的文书</w:t>
      </w:r>
      <w:r w:rsidRPr="00BF42B7">
        <w:rPr>
          <w:rFonts w:hint="eastAsia"/>
          <w:lang w:val="en-GB"/>
        </w:rPr>
        <w:t>”</w:t>
      </w:r>
      <w:r w:rsidRPr="00BF42B7">
        <w:rPr>
          <w:lang w:val="en-GB"/>
        </w:rPr>
        <w:t>的办法除其他外</w:t>
      </w:r>
      <w:r w:rsidRPr="00BF42B7">
        <w:rPr>
          <w:rFonts w:hint="eastAsia"/>
          <w:lang w:val="en-GB"/>
        </w:rPr>
        <w:t>，</w:t>
      </w:r>
      <w:r w:rsidRPr="00BF42B7">
        <w:rPr>
          <w:lang w:val="en-GB"/>
        </w:rPr>
        <w:t>也是基于不同形式</w:t>
      </w:r>
      <w:r w:rsidRPr="00BF42B7">
        <w:rPr>
          <w:rFonts w:hint="eastAsia"/>
          <w:lang w:val="en-GB"/>
        </w:rPr>
        <w:t>的</w:t>
      </w:r>
      <w:r w:rsidRPr="00BF42B7">
        <w:rPr>
          <w:lang w:val="en-GB"/>
        </w:rPr>
        <w:t>嗣后惯例。</w:t>
      </w:r>
      <w:r w:rsidRPr="00BF42B7">
        <w:rPr>
          <w:color w:val="0000FF"/>
          <w:vertAlign w:val="superscript"/>
          <w:lang w:val="en-GB"/>
        </w:rPr>
        <w:footnoteReference w:id="746"/>
      </w:r>
      <w:r w:rsidRPr="00BF42B7">
        <w:rPr>
          <w:color w:val="0000FF"/>
          <w:vertAlign w:val="superscript"/>
          <w:lang w:val="en-GB"/>
        </w:rPr>
        <w:t xml:space="preserve"> </w:t>
      </w:r>
      <w:bookmarkStart w:id="172" w:name="_Ref447810545"/>
      <w:r w:rsidRPr="00BF42B7">
        <w:rPr>
          <w:lang w:val="en-GB"/>
        </w:rPr>
        <w:t>尽管该法院并不一般要求第三十一条第三款</w:t>
      </w:r>
      <w:r w:rsidRPr="00BF42B7">
        <w:rPr>
          <w:lang w:val="en-GB"/>
        </w:rPr>
        <w:t>(b)</w:t>
      </w:r>
      <w:r w:rsidRPr="00BF42B7">
        <w:rPr>
          <w:lang w:val="en-GB"/>
        </w:rPr>
        <w:t>项意义</w:t>
      </w:r>
      <w:r w:rsidRPr="00BF42B7">
        <w:rPr>
          <w:rFonts w:hint="eastAsia"/>
          <w:lang w:val="en-GB"/>
        </w:rPr>
        <w:t>上</w:t>
      </w:r>
      <w:r w:rsidRPr="00BF42B7">
        <w:rPr>
          <w:lang w:val="en-GB"/>
        </w:rPr>
        <w:t>的</w:t>
      </w:r>
      <w:r w:rsidRPr="00BF42B7">
        <w:rPr>
          <w:rFonts w:hint="eastAsia"/>
          <w:lang w:val="en-GB"/>
        </w:rPr>
        <w:t>“</w:t>
      </w:r>
      <w:r w:rsidRPr="00BF42B7">
        <w:rPr>
          <w:lang w:val="en-GB"/>
        </w:rPr>
        <w:t>当事国</w:t>
      </w:r>
      <w:r w:rsidRPr="00BF42B7">
        <w:rPr>
          <w:rFonts w:hint="eastAsia"/>
          <w:lang w:val="en-GB"/>
        </w:rPr>
        <w:t>对其解释的一致意思</w:t>
      </w:r>
      <w:r w:rsidRPr="00BF42B7">
        <w:rPr>
          <w:rFonts w:hint="eastAsia"/>
          <w:spacing w:val="2"/>
        </w:rPr>
        <w:t>……</w:t>
      </w:r>
      <w:r w:rsidRPr="00BF42B7">
        <w:rPr>
          <w:rFonts w:hint="eastAsia"/>
          <w:lang w:val="en-GB"/>
        </w:rPr>
        <w:t>”</w:t>
      </w:r>
      <w:r w:rsidRPr="00BF42B7">
        <w:rPr>
          <w:lang w:val="en-GB"/>
        </w:rPr>
        <w:t>，但其采取演进办法的裁定往往辅之以</w:t>
      </w:r>
      <w:r w:rsidRPr="00BF42B7">
        <w:rPr>
          <w:rFonts w:hint="eastAsia"/>
          <w:lang w:val="en-GB"/>
        </w:rPr>
        <w:t>对</w:t>
      </w:r>
      <w:r w:rsidRPr="00BF42B7">
        <w:rPr>
          <w:lang w:val="en-GB"/>
        </w:rPr>
        <w:t>嗣后</w:t>
      </w:r>
      <w:r w:rsidRPr="00BF42B7">
        <w:rPr>
          <w:lang w:val="en-GB"/>
        </w:rPr>
        <w:t>(</w:t>
      </w:r>
      <w:r w:rsidRPr="00BF42B7">
        <w:rPr>
          <w:lang w:val="en-GB"/>
        </w:rPr>
        <w:t>国家、社会和国际法律</w:t>
      </w:r>
      <w:r w:rsidRPr="00BF42B7">
        <w:rPr>
          <w:lang w:val="en-GB"/>
        </w:rPr>
        <w:t>)</w:t>
      </w:r>
      <w:r w:rsidRPr="00BF42B7">
        <w:rPr>
          <w:lang w:val="en-GB"/>
        </w:rPr>
        <w:t>惯例</w:t>
      </w:r>
      <w:r w:rsidRPr="00BF42B7">
        <w:rPr>
          <w:rFonts w:hint="eastAsia"/>
          <w:lang w:val="en-GB"/>
        </w:rPr>
        <w:t>的</w:t>
      </w:r>
      <w:r w:rsidRPr="00BF42B7">
        <w:rPr>
          <w:lang w:val="en-GB"/>
        </w:rPr>
        <w:t>详细叙述。</w:t>
      </w:r>
      <w:r w:rsidRPr="00BF42B7">
        <w:rPr>
          <w:color w:val="0000FF"/>
          <w:vertAlign w:val="superscript"/>
          <w:lang w:val="en-GB"/>
        </w:rPr>
        <w:footnoteReference w:id="747"/>
      </w:r>
      <w:r w:rsidRPr="00BF42B7">
        <w:rPr>
          <w:color w:val="0000FF"/>
          <w:vertAlign w:val="superscript"/>
          <w:lang w:val="en-GB"/>
        </w:rPr>
        <w:t xml:space="preserve"> </w:t>
      </w:r>
      <w:bookmarkEnd w:id="172"/>
    </w:p>
    <w:p w:rsidR="00DF5565" w:rsidRPr="00BF42B7" w:rsidRDefault="00DF5565" w:rsidP="00DF5565">
      <w:pPr>
        <w:pStyle w:val="SingleTxtGC"/>
        <w:rPr>
          <w:lang w:val="en-GB"/>
        </w:rPr>
      </w:pPr>
      <w:r w:rsidRPr="00BF42B7">
        <w:rPr>
          <w:lang w:val="en-GB"/>
        </w:rPr>
        <w:t xml:space="preserve">(15)  </w:t>
      </w:r>
      <w:r w:rsidRPr="00BF42B7">
        <w:rPr>
          <w:rFonts w:hint="eastAsia"/>
          <w:lang w:val="en-GB"/>
        </w:rPr>
        <w:t>美洲人权法院尽管相对而言很少提到嗣后惯例，但该法院常常提到更广泛的国际发展，这一办法介于嗣后惯例和第三十一条第三款</w:t>
      </w:r>
      <w:r w:rsidRPr="00BF42B7">
        <w:rPr>
          <w:lang w:val="en-GB"/>
        </w:rPr>
        <w:t>(c)</w:t>
      </w:r>
      <w:r w:rsidRPr="00BF42B7">
        <w:rPr>
          <w:rFonts w:hint="eastAsia"/>
          <w:lang w:val="en-GB"/>
        </w:rPr>
        <w:t>项之下其他“相关规则”之间。</w:t>
      </w:r>
      <w:r w:rsidRPr="00BF42B7">
        <w:rPr>
          <w:color w:val="0000FF"/>
          <w:vertAlign w:val="superscript"/>
          <w:lang w:val="en-GB"/>
        </w:rPr>
        <w:footnoteReference w:id="748"/>
      </w:r>
      <w:r w:rsidRPr="00BF42B7">
        <w:rPr>
          <w:color w:val="0000FF"/>
          <w:vertAlign w:val="superscript"/>
          <w:lang w:val="en-GB"/>
        </w:rPr>
        <w:t xml:space="preserve"> </w:t>
      </w:r>
      <w:r w:rsidRPr="00BF42B7">
        <w:rPr>
          <w:rFonts w:hint="eastAsia"/>
          <w:lang w:val="en-GB"/>
        </w:rPr>
        <w:t>例如，在</w:t>
      </w:r>
      <w:r w:rsidRPr="00BF42B7">
        <w:rPr>
          <w:rFonts w:ascii="Time New Roman" w:eastAsia="楷体" w:hAnsi="Time New Roman"/>
          <w:lang w:val="en-GB"/>
        </w:rPr>
        <w:t>Mayagna (Sumo) Awas Tingni</w:t>
      </w:r>
      <w:r w:rsidRPr="00BF42B7">
        <w:rPr>
          <w:rFonts w:ascii="Time New Roman" w:eastAsia="楷体" w:hAnsi="Time New Roman" w:hint="eastAsia"/>
          <w:lang w:val="en-GB"/>
        </w:rPr>
        <w:t>社区诉尼加拉瓜案</w:t>
      </w:r>
      <w:r w:rsidRPr="00BF42B7">
        <w:rPr>
          <w:rFonts w:hint="eastAsia"/>
          <w:lang w:val="en-GB"/>
        </w:rPr>
        <w:t>中，美洲人权法院指出：</w:t>
      </w:r>
    </w:p>
    <w:p w:rsidR="00DF5565" w:rsidRPr="00BF42B7" w:rsidRDefault="00DF5565" w:rsidP="00DF5565">
      <w:pPr>
        <w:pStyle w:val="SingleTxtGC"/>
        <w:ind w:left="1554"/>
        <w:rPr>
          <w:lang w:val="en-GB"/>
        </w:rPr>
      </w:pPr>
      <w:r w:rsidRPr="00BF42B7">
        <w:rPr>
          <w:rFonts w:hint="eastAsia"/>
          <w:lang w:val="en-GB"/>
        </w:rPr>
        <w:t>“</w:t>
      </w:r>
      <w:r w:rsidRPr="00BF42B7">
        <w:rPr>
          <w:rFonts w:hint="eastAsia"/>
          <w:spacing w:val="2"/>
        </w:rPr>
        <w:t>……</w:t>
      </w:r>
      <w:r w:rsidRPr="00BF42B7">
        <w:rPr>
          <w:lang w:val="en-GB"/>
        </w:rPr>
        <w:t>人权条约是活</w:t>
      </w:r>
      <w:r w:rsidRPr="00BF42B7">
        <w:rPr>
          <w:rFonts w:hint="eastAsia"/>
          <w:lang w:val="en-GB"/>
        </w:rPr>
        <w:t>的</w:t>
      </w:r>
      <w:r w:rsidRPr="00BF42B7">
        <w:rPr>
          <w:lang w:val="en-GB"/>
        </w:rPr>
        <w:t>文书</w:t>
      </w:r>
      <w:r w:rsidRPr="00BF42B7">
        <w:rPr>
          <w:lang w:val="en-GB"/>
        </w:rPr>
        <w:t>[</w:t>
      </w:r>
      <w:r w:rsidRPr="00BF42B7">
        <w:rPr>
          <w:rFonts w:hint="eastAsia"/>
          <w:lang w:val="en-GB"/>
        </w:rPr>
        <w:t>“</w:t>
      </w:r>
      <w:r w:rsidRPr="00BF42B7">
        <w:rPr>
          <w:lang w:val="en-GB"/>
        </w:rPr>
        <w:t>instrumentos vivo</w:t>
      </w:r>
      <w:r w:rsidRPr="00BF42B7">
        <w:rPr>
          <w:rFonts w:hint="eastAsia"/>
          <w:lang w:val="en-GB"/>
        </w:rPr>
        <w:t>”</w:t>
      </w:r>
      <w:r w:rsidRPr="00BF42B7">
        <w:rPr>
          <w:lang w:val="en-GB"/>
        </w:rPr>
        <w:t>]</w:t>
      </w:r>
      <w:r w:rsidRPr="00BF42B7">
        <w:rPr>
          <w:lang w:val="en-GB"/>
        </w:rPr>
        <w:t>，其解释必须适应时代的演变，具体而言，适应目前的生活条件。</w:t>
      </w:r>
      <w:r w:rsidRPr="00BF42B7">
        <w:rPr>
          <w:rFonts w:hint="eastAsia"/>
          <w:lang w:val="en-GB"/>
        </w:rPr>
        <w:t>”</w:t>
      </w:r>
      <w:r w:rsidRPr="00BF42B7">
        <w:rPr>
          <w:color w:val="0000FF"/>
          <w:vertAlign w:val="superscript"/>
          <w:lang w:val="en-GB"/>
        </w:rPr>
        <w:footnoteReference w:id="749"/>
      </w:r>
      <w:r w:rsidRPr="00BF42B7">
        <w:rPr>
          <w:color w:val="0000FF"/>
          <w:vertAlign w:val="superscript"/>
          <w:lang w:val="en-GB"/>
        </w:rPr>
        <w:t xml:space="preserve"> </w:t>
      </w:r>
    </w:p>
    <w:p w:rsidR="00DF5565" w:rsidRPr="00BF42B7" w:rsidRDefault="00DF5565" w:rsidP="00DF5565">
      <w:pPr>
        <w:pStyle w:val="SingleTxtGC"/>
        <w:rPr>
          <w:lang w:val="en-GB"/>
        </w:rPr>
      </w:pPr>
      <w:r w:rsidRPr="00BF42B7">
        <w:rPr>
          <w:lang w:val="en-GB"/>
        </w:rPr>
        <w:t xml:space="preserve">(16)  </w:t>
      </w:r>
      <w:r w:rsidRPr="00BF42B7">
        <w:rPr>
          <w:rFonts w:hint="eastAsia"/>
          <w:lang w:val="en-GB"/>
        </w:rPr>
        <w:t>人权事务委员会偶尔也采用基于国家惯例的发展的演进性办法。因此，在</w:t>
      </w:r>
      <w:r w:rsidRPr="00BF42B7">
        <w:rPr>
          <w:rFonts w:ascii="Time New Roman" w:eastAsia="楷体" w:hAnsi="Time New Roman" w:hint="eastAsia"/>
          <w:lang w:val="en-GB"/>
        </w:rPr>
        <w:t>法官诉加拿大案</w:t>
      </w:r>
      <w:r w:rsidRPr="00BF42B7">
        <w:rPr>
          <w:rFonts w:hint="eastAsia"/>
          <w:lang w:val="en-GB"/>
        </w:rPr>
        <w:t>中，人权事务委员会放弃了其在</w:t>
      </w:r>
      <w:r w:rsidRPr="00BF42B7">
        <w:rPr>
          <w:lang w:val="en-GB"/>
        </w:rPr>
        <w:t>Kindler</w:t>
      </w:r>
      <w:r w:rsidRPr="00BF42B7">
        <w:rPr>
          <w:rFonts w:ascii="Time New Roman" w:eastAsia="楷体" w:hAnsi="Time New Roman" w:hint="eastAsia"/>
          <w:lang w:val="en-GB"/>
        </w:rPr>
        <w:t>案</w:t>
      </w:r>
      <w:r w:rsidRPr="00BF42B7">
        <w:rPr>
          <w:color w:val="0000FF"/>
          <w:vertAlign w:val="superscript"/>
          <w:lang w:val="en-GB"/>
        </w:rPr>
        <w:footnoteReference w:id="750"/>
      </w:r>
      <w:r w:rsidRPr="00BF42B7">
        <w:rPr>
          <w:color w:val="0000FF"/>
          <w:vertAlign w:val="superscript"/>
          <w:lang w:val="en-GB"/>
        </w:rPr>
        <w:t xml:space="preserve"> </w:t>
      </w:r>
      <w:r w:rsidRPr="00BF42B7">
        <w:rPr>
          <w:rFonts w:hint="eastAsia"/>
          <w:lang w:val="en-GB"/>
        </w:rPr>
        <w:t>中的判例，阐述说：</w:t>
      </w:r>
    </w:p>
    <w:p w:rsidR="00DF5565" w:rsidRPr="00BF42B7" w:rsidRDefault="00DF5565" w:rsidP="00DF5565">
      <w:pPr>
        <w:pStyle w:val="SingleTxtGC"/>
        <w:ind w:left="1554"/>
        <w:rPr>
          <w:lang w:val="en-GB"/>
        </w:rPr>
      </w:pPr>
      <w:r w:rsidRPr="00BF42B7">
        <w:rPr>
          <w:rFonts w:hint="eastAsia"/>
          <w:lang w:val="en-GB"/>
        </w:rPr>
        <w:t>“</w:t>
      </w:r>
      <w:r w:rsidRPr="00BF42B7">
        <w:rPr>
          <w:lang w:val="en-GB"/>
        </w:rPr>
        <w:t>委员会意识到，上述判例是大约</w:t>
      </w:r>
      <w:r w:rsidRPr="00BF42B7">
        <w:rPr>
          <w:lang w:val="en-GB"/>
        </w:rPr>
        <w:t>10</w:t>
      </w:r>
      <w:r w:rsidRPr="00BF42B7">
        <w:rPr>
          <w:lang w:val="en-GB"/>
        </w:rPr>
        <w:t>年以前做出的，自那时</w:t>
      </w:r>
      <w:r w:rsidRPr="00BF42B7">
        <w:rPr>
          <w:rFonts w:hint="eastAsia"/>
          <w:lang w:val="en-GB"/>
        </w:rPr>
        <w:t>起</w:t>
      </w:r>
      <w:r w:rsidRPr="00BF42B7">
        <w:rPr>
          <w:lang w:val="en-GB"/>
        </w:rPr>
        <w:t>，国际</w:t>
      </w:r>
      <w:r w:rsidRPr="00BF42B7">
        <w:rPr>
          <w:rFonts w:hint="eastAsia"/>
          <w:lang w:val="en-GB"/>
        </w:rPr>
        <w:t>上就</w:t>
      </w:r>
      <w:r w:rsidRPr="00BF42B7">
        <w:rPr>
          <w:lang w:val="en-GB"/>
        </w:rPr>
        <w:t>废除死刑</w:t>
      </w:r>
      <w:r w:rsidRPr="00BF42B7">
        <w:rPr>
          <w:rFonts w:hint="eastAsia"/>
          <w:lang w:val="en-GB"/>
        </w:rPr>
        <w:t>达成了更广泛的共识</w:t>
      </w:r>
      <w:r w:rsidRPr="00BF42B7">
        <w:rPr>
          <w:lang w:val="en-GB"/>
        </w:rPr>
        <w:t>，而在保留死刑的国家中，更广泛的</w:t>
      </w:r>
      <w:r w:rsidRPr="00BF42B7">
        <w:rPr>
          <w:rFonts w:hint="eastAsia"/>
          <w:lang w:val="en-GB"/>
        </w:rPr>
        <w:t>共识</w:t>
      </w:r>
      <w:r w:rsidRPr="00BF42B7">
        <w:rPr>
          <w:lang w:val="en-GB"/>
        </w:rPr>
        <w:t>是不执行死刑。</w:t>
      </w:r>
      <w:r w:rsidRPr="00BF42B7">
        <w:rPr>
          <w:rFonts w:hint="eastAsia"/>
          <w:lang w:val="en-GB"/>
        </w:rPr>
        <w:t>”</w:t>
      </w:r>
      <w:r w:rsidRPr="00BF42B7">
        <w:rPr>
          <w:color w:val="0000FF"/>
          <w:vertAlign w:val="superscript"/>
          <w:lang w:val="en-GB"/>
        </w:rPr>
        <w:footnoteReference w:id="751"/>
      </w:r>
      <w:r w:rsidRPr="00BF42B7">
        <w:rPr>
          <w:color w:val="0000FF"/>
          <w:vertAlign w:val="superscript"/>
          <w:lang w:val="en-GB"/>
        </w:rPr>
        <w:t xml:space="preserve"> </w:t>
      </w:r>
    </w:p>
    <w:p w:rsidR="00DF5565" w:rsidRPr="00BF42B7" w:rsidRDefault="00DF5565" w:rsidP="00DF5565">
      <w:pPr>
        <w:pStyle w:val="SingleTxtGC"/>
        <w:rPr>
          <w:lang w:val="en-GB"/>
        </w:rPr>
      </w:pPr>
      <w:r w:rsidRPr="00BF42B7">
        <w:rPr>
          <w:rFonts w:hint="eastAsia"/>
          <w:lang w:val="en-GB"/>
        </w:rPr>
        <w:t>在</w:t>
      </w:r>
      <w:r w:rsidRPr="00BF42B7">
        <w:rPr>
          <w:lang w:val="en-GB"/>
        </w:rPr>
        <w:t>Yoon</w:t>
      </w:r>
      <w:r w:rsidRPr="00BF42B7">
        <w:rPr>
          <w:rFonts w:ascii="Time New Roman" w:eastAsia="楷体" w:hAnsi="Time New Roman" w:hint="eastAsia"/>
          <w:lang w:val="en-GB"/>
        </w:rPr>
        <w:t>和</w:t>
      </w:r>
      <w:r w:rsidRPr="00BF42B7">
        <w:rPr>
          <w:rFonts w:ascii="Time New Roman" w:eastAsia="楷体" w:hAnsi="Time New Roman"/>
          <w:lang w:val="en-GB"/>
        </w:rPr>
        <w:t>Choi</w:t>
      </w:r>
      <w:r w:rsidRPr="00BF42B7">
        <w:rPr>
          <w:rFonts w:ascii="Time New Roman" w:eastAsia="楷体" w:hAnsi="Time New Roman" w:hint="eastAsia"/>
          <w:lang w:val="en-GB"/>
        </w:rPr>
        <w:t>案</w:t>
      </w:r>
      <w:r w:rsidRPr="00BF42B7">
        <w:rPr>
          <w:rFonts w:hint="eastAsia"/>
          <w:lang w:val="en-GB"/>
        </w:rPr>
        <w:t>中，委员会强调，《公民权利和政治权利国际公约》</w:t>
      </w:r>
      <w:r w:rsidRPr="00BF42B7">
        <w:rPr>
          <w:color w:val="0000FF"/>
          <w:vertAlign w:val="superscript"/>
          <w:lang w:val="en-GB"/>
        </w:rPr>
        <w:footnoteReference w:id="752"/>
      </w:r>
      <w:r w:rsidRPr="00BF42B7">
        <w:rPr>
          <w:color w:val="0000FF"/>
          <w:vertAlign w:val="superscript"/>
          <w:lang w:val="en-GB"/>
        </w:rPr>
        <w:t xml:space="preserve"> </w:t>
      </w:r>
      <w:r w:rsidRPr="00BF42B7">
        <w:rPr>
          <w:rFonts w:hint="eastAsia"/>
          <w:lang w:val="en-GB"/>
        </w:rPr>
        <w:t>所载任何权利的含义都随时间演变，并得出结论认为，《公约》第十八条第</w:t>
      </w:r>
      <w:r w:rsidRPr="00BF42B7">
        <w:rPr>
          <w:lang w:val="en-GB"/>
        </w:rPr>
        <w:t>3</w:t>
      </w:r>
      <w:r w:rsidRPr="00BF42B7">
        <w:rPr>
          <w:rFonts w:hint="eastAsia"/>
          <w:lang w:val="en-GB"/>
        </w:rPr>
        <w:t>款现在至少提供了某种保护，使人不致被迫违背自己真心持有的宗教信仰而行动。委员会得出这一结论是因为，“越来越多保持义务兵役制度的缔约国实行了义务兵役的替代办法”。</w:t>
      </w:r>
      <w:bookmarkStart w:id="173" w:name="_Ref450666860"/>
      <w:r w:rsidRPr="00BF42B7">
        <w:rPr>
          <w:color w:val="0000FF"/>
          <w:vertAlign w:val="superscript"/>
          <w:lang w:val="en-GB"/>
        </w:rPr>
        <w:footnoteReference w:id="753"/>
      </w:r>
      <w:bookmarkEnd w:id="173"/>
      <w:r w:rsidRPr="00BF42B7">
        <w:rPr>
          <w:color w:val="0000FF"/>
          <w:vertAlign w:val="superscript"/>
          <w:lang w:val="en-GB"/>
        </w:rPr>
        <w:t xml:space="preserve"> </w:t>
      </w:r>
    </w:p>
    <w:p w:rsidR="00DF5565" w:rsidRPr="00BF42B7" w:rsidRDefault="00DF5565" w:rsidP="00DF5565">
      <w:pPr>
        <w:pStyle w:val="SingleTxtGC"/>
        <w:rPr>
          <w:lang w:val="en-GB"/>
        </w:rPr>
      </w:pPr>
      <w:r w:rsidRPr="00BF42B7">
        <w:rPr>
          <w:lang w:val="en-GB"/>
        </w:rPr>
        <w:t xml:space="preserve">(17)  </w:t>
      </w:r>
      <w:r w:rsidRPr="00BF42B7">
        <w:rPr>
          <w:rFonts w:hint="eastAsia"/>
          <w:lang w:val="en-GB"/>
        </w:rPr>
        <w:t>最后，解决投资争端国际中心下设的法庭着重指出，对于条约当事国意图根据其嗣后条约惯例而演变的这种条款，嗣后惯例可能是特别重要的解释资料。例如，在</w:t>
      </w:r>
      <w:r w:rsidRPr="00BF42B7">
        <w:rPr>
          <w:rFonts w:ascii="Time New Roman" w:eastAsia="楷体" w:hAnsi="Time New Roman" w:hint="eastAsia"/>
          <w:lang w:val="en-GB"/>
        </w:rPr>
        <w:t>米海利国际公司诉斯里兰卡民主社会主义共和国案</w:t>
      </w:r>
      <w:r w:rsidRPr="00BF42B7">
        <w:rPr>
          <w:rFonts w:hint="eastAsia"/>
          <w:lang w:val="en-GB"/>
        </w:rPr>
        <w:t>中，法庭认为：</w:t>
      </w:r>
    </w:p>
    <w:p w:rsidR="00DF5565" w:rsidRPr="00BF42B7" w:rsidRDefault="00DF5565" w:rsidP="00DF5565">
      <w:pPr>
        <w:pStyle w:val="SingleTxtGC"/>
        <w:ind w:left="1554"/>
        <w:rPr>
          <w:spacing w:val="-4"/>
          <w:lang w:val="en-GB"/>
        </w:rPr>
      </w:pPr>
      <w:r w:rsidRPr="00BF42B7">
        <w:rPr>
          <w:rFonts w:hint="eastAsia"/>
          <w:spacing w:val="-4"/>
          <w:lang w:val="en-GB"/>
        </w:rPr>
        <w:t>“</w:t>
      </w:r>
      <w:r w:rsidRPr="00BF42B7">
        <w:rPr>
          <w:spacing w:val="-4"/>
          <w:lang w:val="en-GB"/>
        </w:rPr>
        <w:t>当事双方均没有主张，《投资争端解决中心公约》载有任何先验的</w:t>
      </w:r>
      <w:r w:rsidRPr="00BF42B7">
        <w:rPr>
          <w:rFonts w:hint="eastAsia"/>
          <w:spacing w:val="-4"/>
        </w:rPr>
        <w:t>‘</w:t>
      </w:r>
      <w:r w:rsidRPr="00BF42B7">
        <w:rPr>
          <w:spacing w:val="-4"/>
          <w:lang w:val="en-GB"/>
        </w:rPr>
        <w:t>投资</w:t>
      </w:r>
      <w:r w:rsidRPr="00BF42B7">
        <w:rPr>
          <w:rFonts w:hint="eastAsia"/>
          <w:spacing w:val="-4"/>
        </w:rPr>
        <w:t>’</w:t>
      </w:r>
      <w:r w:rsidRPr="00BF42B7">
        <w:rPr>
          <w:spacing w:val="-4"/>
          <w:lang w:val="en-GB"/>
        </w:rPr>
        <w:t>的确切定义</w:t>
      </w:r>
      <w:r w:rsidRPr="00BF42B7">
        <w:rPr>
          <w:rFonts w:hint="eastAsia"/>
          <w:spacing w:val="-4"/>
          <w:lang w:val="en-GB"/>
        </w:rPr>
        <w:t>，</w:t>
      </w:r>
      <w:r w:rsidRPr="00BF42B7">
        <w:rPr>
          <w:spacing w:val="-4"/>
          <w:lang w:val="en-GB"/>
        </w:rPr>
        <w:t>而是将此种定义留待</w:t>
      </w:r>
      <w:r w:rsidRPr="00BF42B7">
        <w:rPr>
          <w:rFonts w:hint="eastAsia"/>
          <w:spacing w:val="-4"/>
          <w:lang w:val="en-GB"/>
        </w:rPr>
        <w:t>国家的</w:t>
      </w:r>
      <w:r w:rsidRPr="00BF42B7">
        <w:rPr>
          <w:spacing w:val="-4"/>
          <w:lang w:val="en-GB"/>
        </w:rPr>
        <w:t>嗣后</w:t>
      </w:r>
      <w:r w:rsidRPr="00BF42B7">
        <w:rPr>
          <w:rFonts w:hint="eastAsia"/>
          <w:spacing w:val="-4"/>
          <w:lang w:val="en-GB"/>
        </w:rPr>
        <w:t>惯例</w:t>
      </w:r>
      <w:r w:rsidRPr="00BF42B7">
        <w:rPr>
          <w:spacing w:val="-4"/>
          <w:lang w:val="en-GB"/>
        </w:rPr>
        <w:t>确定，从而保留了其完整性和灵活性，并为投资专题方面国际法未来的逐渐发展留出了余地。</w:t>
      </w:r>
      <w:r w:rsidRPr="00BF42B7">
        <w:rPr>
          <w:rFonts w:hint="eastAsia"/>
          <w:spacing w:val="-4"/>
          <w:lang w:val="en-GB"/>
        </w:rPr>
        <w:t>”</w:t>
      </w:r>
      <w:r w:rsidRPr="00BF42B7">
        <w:rPr>
          <w:color w:val="0000FF"/>
          <w:spacing w:val="-4"/>
          <w:vertAlign w:val="superscript"/>
          <w:lang w:val="en-GB"/>
        </w:rPr>
        <w:footnoteReference w:id="754"/>
      </w:r>
      <w:r w:rsidRPr="00BF42B7">
        <w:rPr>
          <w:color w:val="0000FF"/>
          <w:spacing w:val="-4"/>
          <w:vertAlign w:val="superscript"/>
          <w:lang w:val="en-GB"/>
        </w:rPr>
        <w:t xml:space="preserve"> </w:t>
      </w:r>
    </w:p>
    <w:p w:rsidR="00DF5565" w:rsidRPr="00BF42B7" w:rsidRDefault="00DF5565" w:rsidP="00DF5565">
      <w:pPr>
        <w:pStyle w:val="SingleTxtGC"/>
        <w:rPr>
          <w:lang w:val="en-GB"/>
        </w:rPr>
      </w:pPr>
      <w:r w:rsidRPr="00BF42B7">
        <w:rPr>
          <w:lang w:val="en-GB"/>
        </w:rPr>
        <w:t xml:space="preserve">(18)  </w:t>
      </w:r>
      <w:r w:rsidRPr="00BF42B7">
        <w:rPr>
          <w:lang w:val="en-GB"/>
        </w:rPr>
        <w:t>因此，各国际法院</w:t>
      </w:r>
      <w:r w:rsidRPr="00BF42B7">
        <w:rPr>
          <w:rFonts w:hint="eastAsia"/>
          <w:lang w:val="en-GB"/>
        </w:rPr>
        <w:t>和</w:t>
      </w:r>
      <w:r w:rsidRPr="00BF42B7">
        <w:rPr>
          <w:lang w:val="en-GB"/>
        </w:rPr>
        <w:t>法庭</w:t>
      </w:r>
      <w:r w:rsidRPr="00BF42B7">
        <w:rPr>
          <w:rFonts w:hint="eastAsia"/>
          <w:lang w:val="en-GB"/>
        </w:rPr>
        <w:t>的判例以及专家</w:t>
      </w:r>
      <w:r w:rsidRPr="00BF42B7">
        <w:rPr>
          <w:lang w:val="en-GB"/>
        </w:rPr>
        <w:t>条约机构的</w:t>
      </w:r>
      <w:r w:rsidRPr="00BF42B7">
        <w:rPr>
          <w:rFonts w:hint="eastAsia"/>
          <w:lang w:val="en-GB"/>
        </w:rPr>
        <w:t>声明</w:t>
      </w:r>
      <w:r w:rsidRPr="00BF42B7">
        <w:rPr>
          <w:lang w:val="en-GB"/>
        </w:rPr>
        <w:t>确认，第三十一和第三十二条所称的嗣后协定和嗣后惯例</w:t>
      </w:r>
      <w:r w:rsidRPr="00BF42B7">
        <w:rPr>
          <w:rFonts w:hint="eastAsia"/>
          <w:lang w:val="en-GB"/>
        </w:rPr>
        <w:t>“</w:t>
      </w:r>
      <w:r w:rsidRPr="00BF42B7">
        <w:rPr>
          <w:lang w:val="en-GB"/>
        </w:rPr>
        <w:t>可协助确定</w:t>
      </w:r>
      <w:r w:rsidRPr="00BF42B7">
        <w:rPr>
          <w:rFonts w:hint="eastAsia"/>
          <w:lang w:val="en-GB"/>
        </w:rPr>
        <w:t>”</w:t>
      </w:r>
      <w:r w:rsidRPr="00BF42B7">
        <w:rPr>
          <w:lang w:val="en-GB"/>
        </w:rPr>
        <w:t>缔约方在缔结条约之时的推定意图是不是赋予</w:t>
      </w:r>
      <w:r w:rsidRPr="00BF42B7">
        <w:rPr>
          <w:rFonts w:hint="eastAsia"/>
          <w:lang w:val="en-GB"/>
        </w:rPr>
        <w:t>“</w:t>
      </w:r>
      <w:r w:rsidRPr="00BF42B7">
        <w:rPr>
          <w:lang w:val="en-GB"/>
        </w:rPr>
        <w:t>用语</w:t>
      </w:r>
      <w:r w:rsidRPr="00BF42B7">
        <w:rPr>
          <w:rFonts w:hint="eastAsia"/>
          <w:lang w:val="en-GB"/>
        </w:rPr>
        <w:t>”</w:t>
      </w:r>
      <w:r w:rsidRPr="00BF42B7">
        <w:rPr>
          <w:lang w:val="en-GB"/>
        </w:rPr>
        <w:t>以</w:t>
      </w:r>
      <w:r w:rsidRPr="00BF42B7">
        <w:rPr>
          <w:rFonts w:hint="eastAsia"/>
          <w:lang w:val="en-GB"/>
        </w:rPr>
        <w:t>“</w:t>
      </w:r>
      <w:r w:rsidRPr="00BF42B7">
        <w:rPr>
          <w:lang w:val="en-GB"/>
        </w:rPr>
        <w:t>能够随时间演变的含义</w:t>
      </w:r>
      <w:r w:rsidRPr="00BF42B7">
        <w:rPr>
          <w:rFonts w:hint="eastAsia"/>
          <w:lang w:val="en-GB"/>
        </w:rPr>
        <w:t>”</w:t>
      </w:r>
      <w:r w:rsidRPr="00BF42B7">
        <w:rPr>
          <w:lang w:val="en-GB"/>
        </w:rPr>
        <w:t>。</w:t>
      </w:r>
      <w:r w:rsidRPr="00BF42B7">
        <w:rPr>
          <w:rFonts w:hint="eastAsia"/>
          <w:lang w:val="en-GB"/>
        </w:rPr>
        <w:t>“</w:t>
      </w:r>
      <w:r w:rsidRPr="00BF42B7">
        <w:rPr>
          <w:lang w:val="en-GB"/>
        </w:rPr>
        <w:t>用语</w:t>
      </w:r>
      <w:r w:rsidRPr="00BF42B7">
        <w:rPr>
          <w:rFonts w:hint="eastAsia"/>
          <w:lang w:val="en-GB"/>
        </w:rPr>
        <w:t>”</w:t>
      </w:r>
      <w:r w:rsidRPr="00BF42B7">
        <w:rPr>
          <w:lang w:val="en-GB"/>
        </w:rPr>
        <w:t>一语并不限于具体措辞</w:t>
      </w:r>
      <w:r w:rsidRPr="00BF42B7">
        <w:rPr>
          <w:lang w:val="en-GB"/>
        </w:rPr>
        <w:t>(</w:t>
      </w:r>
      <w:r w:rsidRPr="00BF42B7">
        <w:rPr>
          <w:lang w:val="en-GB"/>
        </w:rPr>
        <w:t>如</w:t>
      </w:r>
      <w:r w:rsidRPr="00BF42B7">
        <w:rPr>
          <w:rFonts w:hint="eastAsia"/>
          <w:lang w:val="en-GB"/>
        </w:rPr>
        <w:t>“</w:t>
      </w:r>
      <w:r w:rsidRPr="00BF42B7">
        <w:rPr>
          <w:lang w:val="en-GB"/>
        </w:rPr>
        <w:t>商业</w:t>
      </w:r>
      <w:r w:rsidRPr="00BF42B7">
        <w:rPr>
          <w:rFonts w:hint="eastAsia"/>
          <w:lang w:val="en-GB"/>
        </w:rPr>
        <w:t>”</w:t>
      </w:r>
      <w:r w:rsidRPr="00BF42B7">
        <w:rPr>
          <w:lang w:val="en-GB"/>
        </w:rPr>
        <w:t>、</w:t>
      </w:r>
      <w:r w:rsidRPr="00BF42B7">
        <w:rPr>
          <w:rFonts w:hint="eastAsia"/>
          <w:lang w:val="en-GB"/>
        </w:rPr>
        <w:t>“</w:t>
      </w:r>
      <w:r w:rsidRPr="00BF42B7">
        <w:rPr>
          <w:lang w:val="en-GB"/>
        </w:rPr>
        <w:t>领土地位</w:t>
      </w:r>
      <w:r w:rsidRPr="00BF42B7">
        <w:rPr>
          <w:rFonts w:hint="eastAsia"/>
          <w:lang w:val="en-GB"/>
        </w:rPr>
        <w:t>”</w:t>
      </w:r>
      <w:r w:rsidRPr="00BF42B7">
        <w:rPr>
          <w:lang w:val="en-GB"/>
        </w:rPr>
        <w:t>、</w:t>
      </w:r>
      <w:r w:rsidRPr="00BF42B7">
        <w:rPr>
          <w:rFonts w:hint="eastAsia"/>
          <w:lang w:val="en-GB"/>
        </w:rPr>
        <w:t>“</w:t>
      </w:r>
      <w:r w:rsidRPr="00BF42B7">
        <w:rPr>
          <w:lang w:val="en-GB"/>
        </w:rPr>
        <w:t>强奸</w:t>
      </w:r>
      <w:r w:rsidRPr="00BF42B7">
        <w:rPr>
          <w:rFonts w:hint="eastAsia"/>
          <w:lang w:val="en-GB"/>
        </w:rPr>
        <w:t>”</w:t>
      </w:r>
      <w:r w:rsidRPr="00BF42B7">
        <w:rPr>
          <w:lang w:val="en-GB"/>
        </w:rPr>
        <w:t>或</w:t>
      </w:r>
      <w:r w:rsidRPr="00BF42B7">
        <w:rPr>
          <w:rFonts w:hint="eastAsia"/>
          <w:lang w:val="en-GB"/>
        </w:rPr>
        <w:t>“</w:t>
      </w:r>
      <w:r w:rsidRPr="00BF42B7">
        <w:rPr>
          <w:lang w:val="en-GB"/>
        </w:rPr>
        <w:t>投资</w:t>
      </w:r>
      <w:r w:rsidRPr="00BF42B7">
        <w:rPr>
          <w:rFonts w:hint="eastAsia"/>
          <w:lang w:val="en-GB"/>
        </w:rPr>
        <w:t>”</w:t>
      </w:r>
      <w:r w:rsidRPr="00BF42B7">
        <w:rPr>
          <w:lang w:val="en-GB"/>
        </w:rPr>
        <w:t>)</w:t>
      </w:r>
      <w:r w:rsidRPr="00BF42B7">
        <w:rPr>
          <w:lang w:val="en-GB"/>
        </w:rPr>
        <w:t>，而是还可能包含更为相互关联和相互交叉的概念</w:t>
      </w:r>
      <w:r w:rsidRPr="00BF42B7">
        <w:rPr>
          <w:lang w:val="en-GB"/>
        </w:rPr>
        <w:t>(</w:t>
      </w:r>
      <w:r w:rsidRPr="00BF42B7">
        <w:rPr>
          <w:lang w:val="en-GB"/>
        </w:rPr>
        <w:t>如</w:t>
      </w:r>
      <w:r w:rsidRPr="00BF42B7">
        <w:rPr>
          <w:rFonts w:hint="eastAsia"/>
          <w:lang w:val="en-GB"/>
        </w:rPr>
        <w:t>“</w:t>
      </w:r>
      <w:r w:rsidRPr="00BF42B7">
        <w:rPr>
          <w:lang w:val="en-GB"/>
        </w:rPr>
        <w:t>依法</w:t>
      </w:r>
      <w:r w:rsidRPr="00BF42B7">
        <w:rPr>
          <w:rFonts w:hint="eastAsia"/>
          <w:lang w:val="en-GB"/>
        </w:rPr>
        <w:t>”</w:t>
      </w:r>
      <w:r w:rsidRPr="00BF42B7">
        <w:rPr>
          <w:lang w:val="en-GB"/>
        </w:rPr>
        <w:t>(</w:t>
      </w:r>
      <w:r w:rsidRPr="00BF42B7">
        <w:rPr>
          <w:lang w:val="en-GB"/>
        </w:rPr>
        <w:t>《公民权利和政治权利国际公约》第九条</w:t>
      </w:r>
      <w:r w:rsidRPr="00BF42B7">
        <w:rPr>
          <w:lang w:val="en-GB"/>
        </w:rPr>
        <w:t>)</w:t>
      </w:r>
      <w:r w:rsidRPr="00BF42B7">
        <w:rPr>
          <w:lang w:val="en-GB"/>
        </w:rPr>
        <w:t>或</w:t>
      </w:r>
      <w:r w:rsidRPr="00BF42B7">
        <w:rPr>
          <w:rFonts w:hint="eastAsia"/>
          <w:lang w:val="en-GB"/>
        </w:rPr>
        <w:t>“</w:t>
      </w:r>
      <w:r w:rsidRPr="00BF42B7">
        <w:rPr>
          <w:lang w:val="en-GB"/>
        </w:rPr>
        <w:t>必须</w:t>
      </w:r>
      <w:r w:rsidRPr="00BF42B7">
        <w:rPr>
          <w:rFonts w:hint="eastAsia"/>
          <w:lang w:val="en-GB"/>
        </w:rPr>
        <w:t>”</w:t>
      </w:r>
      <w:r w:rsidRPr="00BF42B7">
        <w:rPr>
          <w:lang w:val="en-GB"/>
        </w:rPr>
        <w:t>(</w:t>
      </w:r>
      <w:r w:rsidRPr="00BF42B7">
        <w:rPr>
          <w:lang w:val="en-GB"/>
        </w:rPr>
        <w:t>《公约》第十八条</w:t>
      </w:r>
      <w:r w:rsidRPr="00BF42B7">
        <w:rPr>
          <w:lang w:val="en-GB"/>
        </w:rPr>
        <w:t>)</w:t>
      </w:r>
      <w:r w:rsidRPr="00BF42B7">
        <w:rPr>
          <w:lang w:val="en-GB"/>
        </w:rPr>
        <w:t>，这些概念在各项人权条约中存在</w:t>
      </w:r>
      <w:r w:rsidRPr="00BF42B7">
        <w:rPr>
          <w:lang w:val="en-GB"/>
        </w:rPr>
        <w:t>)</w:t>
      </w:r>
      <w:r w:rsidRPr="00BF42B7">
        <w:rPr>
          <w:lang w:val="en-GB"/>
        </w:rPr>
        <w:t>。由于条约的</w:t>
      </w:r>
      <w:r w:rsidRPr="00BF42B7">
        <w:rPr>
          <w:rFonts w:hint="eastAsia"/>
          <w:lang w:val="en-GB"/>
        </w:rPr>
        <w:t>“</w:t>
      </w:r>
      <w:r w:rsidRPr="00BF42B7">
        <w:rPr>
          <w:lang w:val="en-GB"/>
        </w:rPr>
        <w:t>用语</w:t>
      </w:r>
      <w:r w:rsidRPr="00BF42B7">
        <w:rPr>
          <w:rFonts w:hint="eastAsia"/>
          <w:lang w:val="en-GB"/>
        </w:rPr>
        <w:t>”</w:t>
      </w:r>
      <w:r w:rsidRPr="00BF42B7">
        <w:rPr>
          <w:lang w:val="en-GB"/>
        </w:rPr>
        <w:t>是</w:t>
      </w:r>
      <w:r w:rsidRPr="00BF42B7">
        <w:rPr>
          <w:rFonts w:hint="eastAsia"/>
          <w:lang w:val="en-GB"/>
        </w:rPr>
        <w:t>条约</w:t>
      </w:r>
      <w:r w:rsidRPr="00BF42B7">
        <w:rPr>
          <w:lang w:val="en-GB"/>
        </w:rPr>
        <w:t>所载规则的要素，因此涵盖相关规则。</w:t>
      </w:r>
    </w:p>
    <w:p w:rsidR="00DF5565" w:rsidRPr="00BF42B7" w:rsidRDefault="00DF5565" w:rsidP="00DF5565">
      <w:pPr>
        <w:pStyle w:val="SingleTxtGC"/>
      </w:pPr>
      <w:r w:rsidRPr="00BF42B7">
        <w:t xml:space="preserve">(19)  </w:t>
      </w:r>
      <w:r w:rsidRPr="00BF42B7">
        <w:rPr>
          <w:rFonts w:hint="eastAsia"/>
        </w:rPr>
        <w:t>同样</w:t>
      </w:r>
      <w:r w:rsidRPr="00BF42B7">
        <w:t>，第三十一条第三款</w:t>
      </w:r>
      <w:r w:rsidRPr="00BF42B7">
        <w:t>(b)</w:t>
      </w:r>
      <w:r w:rsidRPr="00BF42B7">
        <w:t>项和第三十二条所称的嗣后惯例</w:t>
      </w:r>
      <w:r w:rsidRPr="00BF42B7">
        <w:rPr>
          <w:rFonts w:hint="eastAsia"/>
        </w:rPr>
        <w:t>也</w:t>
      </w:r>
      <w:r w:rsidRPr="00BF42B7">
        <w:t>对国内法院</w:t>
      </w:r>
      <w:r w:rsidRPr="00BF42B7">
        <w:rPr>
          <w:rFonts w:hint="eastAsia"/>
        </w:rPr>
        <w:t>决定</w:t>
      </w:r>
      <w:r w:rsidRPr="00BF42B7">
        <w:t>采取演进性办法还是当时意义办法解释条约作出了贡献。举例而言，在一宗涉及《国际儿童拐骗事件的民事问题公约》</w:t>
      </w:r>
      <w:r w:rsidRPr="00BF42B7">
        <w:rPr>
          <w:color w:val="0000FF"/>
          <w:vertAlign w:val="superscript"/>
        </w:rPr>
        <w:footnoteReference w:id="755"/>
      </w:r>
      <w:r w:rsidRPr="00BF42B7">
        <w:rPr>
          <w:color w:val="0000FF"/>
          <w:vertAlign w:val="superscript"/>
        </w:rPr>
        <w:t xml:space="preserve"> </w:t>
      </w:r>
      <w:r w:rsidRPr="00BF42B7">
        <w:t>的案件中，新西兰上诉法院将</w:t>
      </w:r>
      <w:r w:rsidRPr="00BF42B7">
        <w:rPr>
          <w:rFonts w:hint="eastAsia"/>
        </w:rPr>
        <w:t>“</w:t>
      </w:r>
      <w:r w:rsidRPr="00BF42B7">
        <w:t>监护权</w:t>
      </w:r>
      <w:r w:rsidRPr="00BF42B7">
        <w:rPr>
          <w:rFonts w:hint="eastAsia"/>
        </w:rPr>
        <w:t>”</w:t>
      </w:r>
      <w:r w:rsidRPr="00BF42B7">
        <w:t>解释为不仅包括法定权利，也包括</w:t>
      </w:r>
      <w:r w:rsidRPr="00BF42B7">
        <w:rPr>
          <w:rFonts w:hint="eastAsia"/>
        </w:rPr>
        <w:t>“</w:t>
      </w:r>
      <w:r w:rsidRPr="00BF42B7">
        <w:t>事实权利</w:t>
      </w:r>
      <w:r w:rsidRPr="00BF42B7">
        <w:rPr>
          <w:rFonts w:hint="eastAsia"/>
        </w:rPr>
        <w:t>”</w:t>
      </w:r>
      <w:r w:rsidRPr="00BF42B7">
        <w:t>。法院</w:t>
      </w:r>
      <w:r w:rsidRPr="00BF42B7">
        <w:rPr>
          <w:rFonts w:hint="eastAsia"/>
        </w:rPr>
        <w:t>回顾</w:t>
      </w:r>
      <w:r w:rsidRPr="00BF42B7">
        <w:t>不同国家</w:t>
      </w:r>
      <w:r w:rsidRPr="00BF42B7">
        <w:rPr>
          <w:rFonts w:hint="eastAsia"/>
        </w:rPr>
        <w:t>的</w:t>
      </w:r>
      <w:r w:rsidRPr="00BF42B7">
        <w:t>立法和司法惯例，</w:t>
      </w:r>
      <w:r w:rsidRPr="00BF42B7">
        <w:rPr>
          <w:rFonts w:hint="eastAsia"/>
        </w:rPr>
        <w:t>并</w:t>
      </w:r>
      <w:r w:rsidRPr="00BF42B7">
        <w:t>提到第三十一条第三款</w:t>
      </w:r>
      <w:r w:rsidRPr="00BF42B7">
        <w:t>(b)</w:t>
      </w:r>
      <w:r w:rsidRPr="00BF42B7">
        <w:t>项，分析指出这一惯例</w:t>
      </w:r>
      <w:r w:rsidRPr="00BF42B7">
        <w:rPr>
          <w:rFonts w:hint="eastAsia"/>
        </w:rPr>
        <w:t>“</w:t>
      </w:r>
      <w:r w:rsidRPr="00BF42B7">
        <w:t>证明态度上发生了根本性改变</w:t>
      </w:r>
      <w:r w:rsidRPr="00BF42B7">
        <w:rPr>
          <w:rFonts w:hint="eastAsia"/>
        </w:rPr>
        <w:t>”</w:t>
      </w:r>
      <w:r w:rsidRPr="00BF42B7">
        <w:t>，并因此随后对</w:t>
      </w:r>
      <w:r w:rsidRPr="00BF42B7">
        <w:rPr>
          <w:rFonts w:hint="eastAsia"/>
        </w:rPr>
        <w:t>“</w:t>
      </w:r>
      <w:r w:rsidRPr="00BF42B7">
        <w:t>监护权</w:t>
      </w:r>
      <w:r w:rsidRPr="00BF42B7">
        <w:rPr>
          <w:rFonts w:hint="eastAsia"/>
        </w:rPr>
        <w:t>”</w:t>
      </w:r>
      <w:r w:rsidRPr="00BF42B7">
        <w:t>采取了现代理解，而非</w:t>
      </w:r>
      <w:r w:rsidRPr="00BF42B7">
        <w:rPr>
          <w:rFonts w:hint="eastAsia"/>
        </w:rPr>
        <w:t>“</w:t>
      </w:r>
      <w:r w:rsidRPr="00BF42B7">
        <w:t>1980</w:t>
      </w:r>
      <w:r w:rsidRPr="00BF42B7">
        <w:t>年的理解</w:t>
      </w:r>
      <w:r w:rsidRPr="00BF42B7">
        <w:rPr>
          <w:rFonts w:hint="eastAsia"/>
        </w:rPr>
        <w:t>”</w:t>
      </w:r>
      <w:r w:rsidRPr="00BF42B7">
        <w:t>。</w:t>
      </w:r>
      <w:r w:rsidRPr="00BF42B7">
        <w:rPr>
          <w:color w:val="0000FF"/>
          <w:vertAlign w:val="superscript"/>
        </w:rPr>
        <w:footnoteReference w:id="756"/>
      </w:r>
      <w:r w:rsidRPr="00BF42B7">
        <w:rPr>
          <w:color w:val="0000FF"/>
          <w:vertAlign w:val="superscript"/>
        </w:rPr>
        <w:t xml:space="preserve"> </w:t>
      </w:r>
      <w:r w:rsidRPr="00BF42B7">
        <w:t>德国联邦宪法法院在一系列涉及</w:t>
      </w:r>
      <w:r w:rsidRPr="00BF42B7">
        <w:rPr>
          <w:rFonts w:hint="eastAsia"/>
        </w:rPr>
        <w:t>在</w:t>
      </w:r>
      <w:r w:rsidRPr="00BF42B7">
        <w:t>冷战结束后</w:t>
      </w:r>
      <w:r w:rsidRPr="00BF42B7">
        <w:rPr>
          <w:rFonts w:hint="eastAsia"/>
        </w:rPr>
        <w:t>已改变</w:t>
      </w:r>
      <w:r w:rsidRPr="00BF42B7">
        <w:t>的安全局势下解释《北大西洋公约》</w:t>
      </w:r>
      <w:r w:rsidRPr="00BF42B7">
        <w:rPr>
          <w:color w:val="0000FF"/>
          <w:vertAlign w:val="superscript"/>
        </w:rPr>
        <w:footnoteReference w:id="757"/>
      </w:r>
      <w:r w:rsidRPr="00BF42B7">
        <w:rPr>
          <w:color w:val="0000FF"/>
          <w:vertAlign w:val="superscript"/>
        </w:rPr>
        <w:t xml:space="preserve"> </w:t>
      </w:r>
      <w:r w:rsidRPr="00BF42B7">
        <w:t>的案件中，也认定第三十一条第三款</w:t>
      </w:r>
      <w:r w:rsidRPr="00BF42B7">
        <w:t>(b)</w:t>
      </w:r>
      <w:r w:rsidRPr="00BF42B7">
        <w:t>项所称的嗣后协定和嗣后惯例</w:t>
      </w:r>
      <w:r w:rsidRPr="00BF42B7">
        <w:rPr>
          <w:rFonts w:hint="eastAsia"/>
        </w:rPr>
        <w:t>“</w:t>
      </w:r>
      <w:r w:rsidRPr="00BF42B7">
        <w:t>可对条约的含义产生重大意义</w:t>
      </w:r>
      <w:r w:rsidRPr="00BF42B7">
        <w:rPr>
          <w:rFonts w:hint="eastAsia"/>
        </w:rPr>
        <w:t>”</w:t>
      </w:r>
      <w:r w:rsidRPr="00BF42B7">
        <w:t>，并最终裁定，嗣后协定和嗣后惯例在所涉案件中确实对条约含义产生了重大意义。</w:t>
      </w:r>
      <w:r w:rsidRPr="00BF42B7">
        <w:rPr>
          <w:color w:val="0000FF"/>
          <w:vertAlign w:val="superscript"/>
        </w:rPr>
        <w:footnoteReference w:id="758"/>
      </w:r>
      <w:r w:rsidRPr="00BF42B7">
        <w:rPr>
          <w:color w:val="0000FF"/>
          <w:vertAlign w:val="superscript"/>
        </w:rPr>
        <w:t xml:space="preserve"> </w:t>
      </w:r>
    </w:p>
    <w:p w:rsidR="00DF5565" w:rsidRPr="00BF42B7" w:rsidRDefault="00DF5565" w:rsidP="00DF5565">
      <w:pPr>
        <w:pStyle w:val="SingleTxtGC"/>
        <w:rPr>
          <w:color w:val="0000FF"/>
        </w:rPr>
      </w:pPr>
      <w:r w:rsidRPr="00BF42B7">
        <w:t xml:space="preserve">(20)  </w:t>
      </w:r>
      <w:r w:rsidRPr="00BF42B7">
        <w:rPr>
          <w:rFonts w:hint="eastAsia"/>
        </w:rPr>
        <w:t>国内法院的其他决定证实，第三十一条第三款和第三十二条所称的嗣后协定和嗣后惯例不一定支持对条约的演进性解释。例如，在</w:t>
      </w:r>
      <w:r w:rsidRPr="00BF42B7">
        <w:rPr>
          <w:rFonts w:ascii="Time New Roman" w:eastAsia="楷体" w:hAnsi="Time New Roman" w:hint="eastAsia"/>
          <w:lang w:val="en-GB"/>
        </w:rPr>
        <w:t>美国东方航空公司诉</w:t>
      </w:r>
      <w:r w:rsidRPr="00BF42B7">
        <w:rPr>
          <w:rFonts w:ascii="Time New Roman" w:eastAsia="楷体" w:hAnsi="Time New Roman"/>
          <w:lang w:val="en-GB"/>
        </w:rPr>
        <w:t>Floyd</w:t>
      </w:r>
      <w:r w:rsidRPr="00BF42B7">
        <w:rPr>
          <w:rFonts w:ascii="Time New Roman" w:eastAsia="楷体" w:hAnsi="Time New Roman" w:hint="eastAsia"/>
          <w:lang w:val="en-GB"/>
        </w:rPr>
        <w:t>等人案</w:t>
      </w:r>
      <w:r w:rsidRPr="00BF42B7">
        <w:rPr>
          <w:rFonts w:hint="eastAsia"/>
        </w:rPr>
        <w:t>中，美国最高法院面临的问题是，</w:t>
      </w:r>
      <w:r w:rsidRPr="00BF42B7">
        <w:rPr>
          <w:rFonts w:hint="eastAsia"/>
        </w:rPr>
        <w:t>1929</w:t>
      </w:r>
      <w:r w:rsidRPr="00BF42B7">
        <w:rPr>
          <w:rFonts w:hint="eastAsia"/>
        </w:rPr>
        <w:t>年《华沙公约》</w:t>
      </w:r>
      <w:r w:rsidRPr="00BF42B7">
        <w:rPr>
          <w:color w:val="0000FF"/>
          <w:vertAlign w:val="superscript"/>
        </w:rPr>
        <w:footnoteReference w:id="759"/>
      </w:r>
      <w:r w:rsidRPr="00BF42B7">
        <w:rPr>
          <w:color w:val="0000FF"/>
          <w:vertAlign w:val="superscript"/>
        </w:rPr>
        <w:t xml:space="preserve"> </w:t>
      </w:r>
      <w:r w:rsidRPr="00BF42B7">
        <w:rPr>
          <w:rFonts w:hint="eastAsia"/>
        </w:rPr>
        <w:t>第</w:t>
      </w:r>
      <w:r w:rsidRPr="00BF42B7">
        <w:rPr>
          <w:rFonts w:hint="eastAsia"/>
        </w:rPr>
        <w:t>17</w:t>
      </w:r>
      <w:r w:rsidRPr="00BF42B7">
        <w:rPr>
          <w:rFonts w:hint="eastAsia"/>
        </w:rPr>
        <w:t>条中“人身伤害”这一术语是否不仅包括身体伤害，也包括纯心理伤害。该法院考虑到“</w:t>
      </w:r>
      <w:r w:rsidRPr="00BF42B7">
        <w:rPr>
          <w:rFonts w:hint="eastAsia"/>
        </w:rPr>
        <w:t>1929</w:t>
      </w:r>
      <w:r w:rsidRPr="00BF42B7">
        <w:rPr>
          <w:rFonts w:hint="eastAsia"/>
        </w:rPr>
        <w:t>年后做法”和“签字国的解释”，强调尽管有些举措反其道而行之，但大部分缔约国一直将这一术语理解为只包括身体伤害。</w:t>
      </w:r>
      <w:r w:rsidRPr="00BF42B7">
        <w:rPr>
          <w:color w:val="0000FF"/>
          <w:vertAlign w:val="superscript"/>
        </w:rPr>
        <w:footnoteReference w:id="760"/>
      </w:r>
      <w:r w:rsidRPr="00BF42B7">
        <w:rPr>
          <w:color w:val="0000FF"/>
          <w:vertAlign w:val="superscript"/>
        </w:rPr>
        <w:t xml:space="preserve"> </w:t>
      </w:r>
    </w:p>
    <w:p w:rsidR="00DF5565" w:rsidRPr="00BF42B7" w:rsidRDefault="00DF5565" w:rsidP="00DF5565">
      <w:pPr>
        <w:pStyle w:val="H23GC"/>
        <w:ind w:left="1554"/>
        <w:rPr>
          <w:lang w:val="en-GB"/>
        </w:rPr>
      </w:pPr>
      <w:r w:rsidRPr="00BF42B7">
        <w:rPr>
          <w:rFonts w:hint="eastAsia"/>
          <w:lang w:val="en-GB"/>
        </w:rPr>
        <w:tab/>
      </w:r>
      <w:r w:rsidRPr="00BF42B7">
        <w:rPr>
          <w:rFonts w:hint="eastAsia"/>
          <w:lang w:val="en-GB"/>
        </w:rPr>
        <w:tab/>
      </w:r>
      <w:r w:rsidRPr="00BF42B7">
        <w:rPr>
          <w:lang w:val="en-GB"/>
        </w:rPr>
        <w:t>结论</w:t>
      </w:r>
      <w:r w:rsidRPr="00BF42B7">
        <w:rPr>
          <w:rFonts w:hint="eastAsia"/>
          <w:lang w:val="en-GB"/>
        </w:rPr>
        <w:t>9[8]</w:t>
      </w:r>
      <w:r w:rsidRPr="00BF42B7">
        <w:rPr>
          <w:rFonts w:hint="eastAsia"/>
          <w:lang w:val="en-GB"/>
        </w:rPr>
        <w:br/>
      </w:r>
      <w:r w:rsidRPr="00BF42B7">
        <w:t>嗣后协定和嗣后惯例作为解释资料的权重</w:t>
      </w:r>
    </w:p>
    <w:p w:rsidR="00DF5565" w:rsidRPr="00BF42B7" w:rsidRDefault="00DF5565" w:rsidP="00DF5565">
      <w:pPr>
        <w:pStyle w:val="SingleTxtGC"/>
        <w:ind w:left="1554"/>
        <w:rPr>
          <w:bCs/>
          <w:lang w:val="en-GB"/>
        </w:rPr>
      </w:pPr>
      <w:r w:rsidRPr="00BF42B7">
        <w:rPr>
          <w:bCs/>
          <w:lang w:val="en-GB"/>
        </w:rPr>
        <w:t>1.</w:t>
      </w:r>
      <w:r w:rsidRPr="00BF42B7">
        <w:rPr>
          <w:rFonts w:hint="eastAsia"/>
          <w:bCs/>
          <w:lang w:val="en-GB"/>
        </w:rPr>
        <w:t xml:space="preserve">  </w:t>
      </w:r>
      <w:r w:rsidRPr="00BF42B7">
        <w:t>嗣后协定或嗣后惯例作为第三十一条第三款所称的解释资料的权重，除其他外，取决于其清晰性和特定性。</w:t>
      </w:r>
    </w:p>
    <w:p w:rsidR="00DF5565" w:rsidRPr="00BF42B7" w:rsidRDefault="00DF5565" w:rsidP="00DF5565">
      <w:pPr>
        <w:pStyle w:val="SingleTxtGC"/>
        <w:ind w:left="1554"/>
        <w:rPr>
          <w:bCs/>
          <w:lang w:val="en-GB"/>
        </w:rPr>
      </w:pPr>
      <w:r w:rsidRPr="00BF42B7">
        <w:rPr>
          <w:bCs/>
          <w:lang w:val="en-GB"/>
        </w:rPr>
        <w:t>2.</w:t>
      </w:r>
      <w:r w:rsidRPr="00BF42B7">
        <w:rPr>
          <w:rFonts w:hint="eastAsia"/>
          <w:bCs/>
          <w:lang w:val="en-GB"/>
        </w:rPr>
        <w:t xml:space="preserve">  </w:t>
      </w:r>
      <w:r w:rsidRPr="00BF42B7">
        <w:t>第三十一条第三款</w:t>
      </w:r>
      <w:r w:rsidRPr="00BF42B7">
        <w:t>(b)</w:t>
      </w:r>
      <w:r w:rsidRPr="00BF42B7">
        <w:t>项所称的嗣后惯例的权重还取决于该惯例是否以及如何重复出现。</w:t>
      </w:r>
    </w:p>
    <w:p w:rsidR="00DF5565" w:rsidRPr="00BF42B7" w:rsidRDefault="00DF5565" w:rsidP="00DF5565">
      <w:pPr>
        <w:pStyle w:val="SingleTxtGC"/>
        <w:ind w:left="1554"/>
        <w:rPr>
          <w:bCs/>
          <w:lang w:val="en-GB"/>
        </w:rPr>
      </w:pPr>
      <w:r w:rsidRPr="00BF42B7">
        <w:rPr>
          <w:bCs/>
          <w:lang w:val="en-GB"/>
        </w:rPr>
        <w:t>3.</w:t>
      </w:r>
      <w:r w:rsidRPr="00BF42B7">
        <w:rPr>
          <w:rFonts w:hint="eastAsia"/>
          <w:bCs/>
          <w:lang w:val="en-GB"/>
        </w:rPr>
        <w:t xml:space="preserve">  </w:t>
      </w:r>
      <w:r w:rsidRPr="00BF42B7">
        <w:t>嗣后惯例作为第三十二条所称的补充的解释资料的权重可取决于第</w:t>
      </w:r>
      <w:r w:rsidRPr="00BF42B7">
        <w:t>1</w:t>
      </w:r>
      <w:r w:rsidRPr="00BF42B7">
        <w:t>和第</w:t>
      </w:r>
      <w:r w:rsidRPr="00BF42B7">
        <w:t>2</w:t>
      </w:r>
      <w:r w:rsidRPr="00BF42B7">
        <w:t>段所述标准。</w:t>
      </w:r>
    </w:p>
    <w:p w:rsidR="00DF5565" w:rsidRPr="00BF42B7" w:rsidRDefault="00DF5565" w:rsidP="00DF5565">
      <w:pPr>
        <w:pStyle w:val="H23GC"/>
        <w:rPr>
          <w:lang w:val="en-GB"/>
        </w:rPr>
      </w:pPr>
      <w:r w:rsidRPr="00BF42B7">
        <w:rPr>
          <w:rFonts w:hint="eastAsia"/>
          <w:lang w:val="en-GB"/>
        </w:rPr>
        <w:tab/>
      </w:r>
      <w:r w:rsidRPr="00BF42B7">
        <w:rPr>
          <w:rFonts w:hint="eastAsia"/>
          <w:lang w:val="en-GB"/>
        </w:rPr>
        <w:tab/>
      </w:r>
      <w:r w:rsidRPr="00BF42B7">
        <w:rPr>
          <w:lang w:val="en-GB"/>
        </w:rPr>
        <w:t>评注</w:t>
      </w:r>
    </w:p>
    <w:p w:rsidR="00DF5565" w:rsidRPr="00BF42B7" w:rsidRDefault="00DF5565" w:rsidP="00DF5565">
      <w:pPr>
        <w:pStyle w:val="SingleTxtGC"/>
      </w:pPr>
      <w:r w:rsidRPr="00BF42B7">
        <w:t>(1)</w:t>
      </w:r>
      <w:r w:rsidRPr="00BF42B7">
        <w:rPr>
          <w:rFonts w:hint="eastAsia"/>
        </w:rPr>
        <w:t xml:space="preserve">  </w:t>
      </w:r>
      <w:r w:rsidRPr="00BF42B7">
        <w:t>结论草案</w:t>
      </w:r>
      <w:r w:rsidRPr="00BF42B7">
        <w:t>9</w:t>
      </w:r>
      <w:r w:rsidRPr="00BF42B7">
        <w:rPr>
          <w:rFonts w:hint="eastAsia"/>
        </w:rPr>
        <w:t>[</w:t>
      </w:r>
      <w:r w:rsidRPr="00BF42B7">
        <w:t>8]</w:t>
      </w:r>
      <w:r w:rsidRPr="00BF42B7">
        <w:t>列出了一些标准，可能有助于</w:t>
      </w:r>
      <w:r w:rsidRPr="00BF42B7">
        <w:rPr>
          <w:rFonts w:hint="eastAsia"/>
        </w:rPr>
        <w:t>确定</w:t>
      </w:r>
      <w:r w:rsidRPr="00BF42B7">
        <w:t>在具体情况下进行解释时对某一特定嗣后协定或嗣后惯例作为解释资料给予多少权重。当然，对嗣后协定或嗣后惯例给予的权重也必须取决于其他解释资料</w:t>
      </w:r>
      <w:r w:rsidRPr="00BF42B7">
        <w:t>(</w:t>
      </w:r>
      <w:r w:rsidRPr="00BF42B7">
        <w:t>见结论草案</w:t>
      </w:r>
      <w:r w:rsidRPr="00BF42B7">
        <w:rPr>
          <w:rFonts w:hint="eastAsia"/>
        </w:rPr>
        <w:t>2[1]</w:t>
      </w:r>
      <w:r w:rsidRPr="00BF42B7">
        <w:t>，第</w:t>
      </w:r>
      <w:r w:rsidRPr="00BF42B7">
        <w:t>5</w:t>
      </w:r>
      <w:r w:rsidRPr="00BF42B7">
        <w:t>段</w:t>
      </w:r>
      <w:r w:rsidRPr="00BF42B7">
        <w:t>)</w:t>
      </w:r>
      <w:r w:rsidRPr="00BF42B7">
        <w:t>。</w:t>
      </w:r>
    </w:p>
    <w:p w:rsidR="00DF5565" w:rsidRPr="00BF42B7" w:rsidRDefault="00DF5565" w:rsidP="00DF5565">
      <w:pPr>
        <w:pStyle w:val="H4GC"/>
        <w:rPr>
          <w:rFonts w:eastAsia="楷体"/>
          <w:lang w:val="en-GB"/>
        </w:rPr>
      </w:pPr>
      <w:r w:rsidRPr="00BF42B7">
        <w:rPr>
          <w:rFonts w:eastAsia="楷体" w:hint="eastAsia"/>
          <w:lang w:val="en-GB"/>
        </w:rPr>
        <w:tab/>
      </w:r>
      <w:r w:rsidRPr="00BF42B7">
        <w:rPr>
          <w:rFonts w:eastAsia="楷体" w:hint="eastAsia"/>
          <w:lang w:val="en-GB"/>
        </w:rPr>
        <w:tab/>
      </w:r>
      <w:r w:rsidRPr="00BF42B7">
        <w:rPr>
          <w:rFonts w:eastAsia="楷体" w:hint="eastAsia"/>
          <w:lang w:val="en-GB"/>
        </w:rPr>
        <w:t>第</w:t>
      </w:r>
      <w:r w:rsidRPr="00BF42B7">
        <w:rPr>
          <w:rFonts w:eastAsia="楷体" w:hint="eastAsia"/>
          <w:lang w:val="en-GB"/>
        </w:rPr>
        <w:t>1</w:t>
      </w:r>
      <w:r w:rsidRPr="00BF42B7">
        <w:rPr>
          <w:rFonts w:eastAsia="楷体" w:hint="eastAsia"/>
          <w:lang w:val="en-GB"/>
        </w:rPr>
        <w:t>段</w:t>
      </w:r>
      <w:r w:rsidRPr="00BF42B7">
        <w:rPr>
          <w:rFonts w:eastAsia="楷体" w:hint="eastAsia"/>
          <w:spacing w:val="-50"/>
        </w:rPr>
        <w:t>―</w:t>
      </w:r>
      <w:r w:rsidRPr="00BF42B7">
        <w:rPr>
          <w:rFonts w:eastAsia="楷体" w:hint="eastAsia"/>
        </w:rPr>
        <w:t>―权重：</w:t>
      </w:r>
      <w:r w:rsidRPr="00BF42B7">
        <w:rPr>
          <w:rFonts w:eastAsia="楷体" w:hint="eastAsia"/>
          <w:lang w:val="en-GB"/>
        </w:rPr>
        <w:t>清晰性、特定性和其他因素</w:t>
      </w:r>
    </w:p>
    <w:p w:rsidR="00DF5565" w:rsidRPr="00BF42B7" w:rsidRDefault="00DF5565" w:rsidP="00DF5565">
      <w:pPr>
        <w:pStyle w:val="SingleTxtGC"/>
      </w:pPr>
      <w:r w:rsidRPr="00BF42B7">
        <w:t>(2)</w:t>
      </w:r>
      <w:r w:rsidRPr="00BF42B7">
        <w:rPr>
          <w:rFonts w:hint="eastAsia"/>
        </w:rPr>
        <w:t xml:space="preserve">  </w:t>
      </w:r>
      <w:r w:rsidRPr="00BF42B7">
        <w:t>第</w:t>
      </w:r>
      <w:r w:rsidRPr="00BF42B7">
        <w:t>1</w:t>
      </w:r>
      <w:r w:rsidRPr="00BF42B7">
        <w:t>段讨论第三十一条第三款下的嗣后协定或嗣后惯例的权重，因此是从总体上同时涉及</w:t>
      </w:r>
      <w:r w:rsidRPr="00BF42B7">
        <w:t>(a)</w:t>
      </w:r>
      <w:r w:rsidRPr="00BF42B7">
        <w:t>项和</w:t>
      </w:r>
      <w:r w:rsidRPr="00BF42B7">
        <w:t>(b)</w:t>
      </w:r>
      <w:r w:rsidRPr="00BF42B7">
        <w:t>项。第</w:t>
      </w:r>
      <w:r w:rsidRPr="00BF42B7">
        <w:t>1</w:t>
      </w:r>
      <w:r w:rsidRPr="00BF42B7">
        <w:t>段明确指出，嗣后协定或嗣后惯例作为解释资料的权重，除其他外，取决于其清晰性和特定性。</w:t>
      </w:r>
      <w:r w:rsidRPr="00BF42B7">
        <w:rPr>
          <w:spacing w:val="-4"/>
        </w:rPr>
        <w:t>使用</w:t>
      </w:r>
      <w:r w:rsidRPr="00BF42B7">
        <w:rPr>
          <w:rFonts w:hint="eastAsia"/>
          <w:spacing w:val="-4"/>
        </w:rPr>
        <w:t>“</w:t>
      </w:r>
      <w:r w:rsidRPr="00BF42B7">
        <w:rPr>
          <w:spacing w:val="-4"/>
        </w:rPr>
        <w:t>除其他外</w:t>
      </w:r>
      <w:r w:rsidRPr="00BF42B7">
        <w:rPr>
          <w:rFonts w:hint="eastAsia"/>
          <w:spacing w:val="-4"/>
        </w:rPr>
        <w:t>”</w:t>
      </w:r>
      <w:r w:rsidRPr="00BF42B7">
        <w:rPr>
          <w:spacing w:val="-4"/>
        </w:rPr>
        <w:t>一语，就表明不应将这些标准视为唯一的。其他标准可能涉及到协定或惯例发生的时间、</w:t>
      </w:r>
      <w:r w:rsidRPr="00BF42B7">
        <w:rPr>
          <w:color w:val="0000FF"/>
          <w:spacing w:val="-4"/>
          <w:vertAlign w:val="superscript"/>
        </w:rPr>
        <w:footnoteReference w:id="761"/>
      </w:r>
      <w:r w:rsidRPr="00BF42B7">
        <w:rPr>
          <w:color w:val="0000FF"/>
          <w:spacing w:val="-4"/>
          <w:vertAlign w:val="superscript"/>
        </w:rPr>
        <w:t xml:space="preserve"> </w:t>
      </w:r>
      <w:r w:rsidRPr="00BF42B7">
        <w:rPr>
          <w:spacing w:val="-4"/>
        </w:rPr>
        <w:t>缔约方对特定协定或惯例的重视或者适用的举证责任。</w:t>
      </w:r>
    </w:p>
    <w:p w:rsidR="00DF5565" w:rsidRPr="00BF42B7" w:rsidRDefault="00DF5565" w:rsidP="00DF5565">
      <w:pPr>
        <w:pStyle w:val="SingleTxtGC"/>
      </w:pPr>
      <w:r w:rsidRPr="00BF42B7">
        <w:t>(3)</w:t>
      </w:r>
      <w:r w:rsidRPr="00BF42B7">
        <w:rPr>
          <w:rFonts w:hint="eastAsia"/>
        </w:rPr>
        <w:t xml:space="preserve">  </w:t>
      </w:r>
      <w:r w:rsidRPr="00BF42B7">
        <w:t>相对于其他解释资料而言，嗣后协定或惯例作为解释资料</w:t>
      </w:r>
      <w:r w:rsidRPr="00BF42B7">
        <w:rPr>
          <w:rFonts w:hint="eastAsia"/>
        </w:rPr>
        <w:t>的</w:t>
      </w:r>
      <w:r w:rsidRPr="00BF42B7">
        <w:t>权重常常取决于其</w:t>
      </w:r>
      <w:r w:rsidRPr="00BF42B7">
        <w:rPr>
          <w:rFonts w:hint="eastAsia"/>
        </w:rPr>
        <w:t>清晰性以及</w:t>
      </w:r>
      <w:r w:rsidRPr="00BF42B7">
        <w:t>对于有关条约的特定性。</w:t>
      </w:r>
      <w:r w:rsidRPr="00BF42B7">
        <w:rPr>
          <w:color w:val="0000FF"/>
          <w:vertAlign w:val="superscript"/>
        </w:rPr>
        <w:footnoteReference w:id="762"/>
      </w:r>
      <w:r w:rsidRPr="00BF42B7">
        <w:rPr>
          <w:color w:val="0000FF"/>
          <w:vertAlign w:val="superscript"/>
        </w:rPr>
        <w:t xml:space="preserve"> </w:t>
      </w:r>
      <w:r w:rsidRPr="00BF42B7">
        <w:t>例如，国际法院的裁决、世贸组织专题小组及其上诉机构的仲裁裁决和报告都表明了这一点</w:t>
      </w:r>
      <w:r w:rsidRPr="00BF42B7">
        <w:rPr>
          <w:color w:val="0000FF"/>
          <w:vertAlign w:val="superscript"/>
        </w:rPr>
        <w:footnoteReference w:id="763"/>
      </w:r>
      <w:r w:rsidRPr="00BF42B7">
        <w:t>。国际投资争端解决中心法庭对</w:t>
      </w:r>
      <w:r w:rsidRPr="00BF42B7">
        <w:t>Plama</w:t>
      </w:r>
      <w:r w:rsidRPr="00BF42B7">
        <w:rPr>
          <w:rFonts w:ascii="Time New Roman" w:eastAsia="楷体" w:hAnsi="Time New Roman" w:hint="eastAsia"/>
        </w:rPr>
        <w:t>联合有限公司</w:t>
      </w:r>
      <w:r w:rsidRPr="00BF42B7">
        <w:rPr>
          <w:rFonts w:ascii="Time New Roman" w:eastAsia="楷体" w:hAnsi="Time New Roman"/>
        </w:rPr>
        <w:t>诉保加利亚</w:t>
      </w:r>
      <w:r w:rsidRPr="00BF42B7">
        <w:rPr>
          <w:rFonts w:ascii="Time New Roman" w:eastAsia="楷体" w:hAnsi="Time New Roman" w:hint="eastAsia"/>
        </w:rPr>
        <w:t>共和国</w:t>
      </w:r>
      <w:r w:rsidRPr="00BF42B7">
        <w:t>一案的裁决具有启示意义：</w:t>
      </w:r>
    </w:p>
    <w:p w:rsidR="00DF5565" w:rsidRPr="00BF42B7" w:rsidRDefault="00DF5565" w:rsidP="00DF5565">
      <w:pPr>
        <w:pStyle w:val="SingleTxtGC"/>
        <w:ind w:left="1554"/>
      </w:pPr>
      <w:r w:rsidRPr="00BF42B7">
        <w:rPr>
          <w:rFonts w:hint="eastAsia"/>
        </w:rPr>
        <w:t>“</w:t>
      </w:r>
      <w:r w:rsidRPr="00BF42B7">
        <w:t>确实，为了澄清条约文本生效时的含义，可以考虑一个缔约国与第三国之间的条约。原告对于保加利亚在</w:t>
      </w:r>
      <w:r w:rsidRPr="00BF42B7">
        <w:t>1987</w:t>
      </w:r>
      <w:r w:rsidRPr="00BF42B7">
        <w:t>年缔结保加利亚</w:t>
      </w:r>
      <w:r w:rsidRPr="00BF42B7">
        <w:rPr>
          <w:rFonts w:hint="eastAsia"/>
          <w:spacing w:val="-50"/>
        </w:rPr>
        <w:t>―</w:t>
      </w:r>
      <w:r w:rsidRPr="00BF42B7">
        <w:rPr>
          <w:rFonts w:hint="eastAsia"/>
        </w:rPr>
        <w:t>―</w:t>
      </w:r>
      <w:r w:rsidRPr="00BF42B7">
        <w:t>塞浦路斯双边投资条约之后缔结投资条约的实践做了非常清楚和深入的介绍。在</w:t>
      </w:r>
      <w:r w:rsidRPr="00BF42B7">
        <w:t>1990</w:t>
      </w:r>
      <w:r w:rsidRPr="00BF42B7">
        <w:t>年代保加利亚改变了社会主义制度之后，该国缔结的双边投资条约采用了大为开放的争端解决条款，包括诉诸国际投资争端解决中心进行仲裁。但是，这一惯例对本案并没有很大的关联，因为保加利亚和塞浦路斯嗣后的谈判表明，缔约国并不想要最惠国待遇条款具有可通过保加利亚嗣后条约实践而引申出来的含义。保加利亚和塞浦路斯于</w:t>
      </w:r>
      <w:r w:rsidRPr="00BF42B7">
        <w:t>1998</w:t>
      </w:r>
      <w:r w:rsidRPr="00BF42B7">
        <w:t>年谈判修订双边投资条约。谈判没有成功，但专门考虑到了修订争端解决条款</w:t>
      </w:r>
      <w:r w:rsidRPr="00BF42B7">
        <w:rPr>
          <w:rFonts w:hint="eastAsia"/>
        </w:rPr>
        <w:t>……</w:t>
      </w:r>
      <w:r w:rsidRPr="00BF42B7">
        <w:t>从这些谈判中也可以得出结论，即双边投资条约的缔约国本身并未考虑将最惠国待遇条款扩大至其他双边投资条约中的争端解决条款。</w:t>
      </w:r>
      <w:r w:rsidRPr="00BF42B7">
        <w:rPr>
          <w:rFonts w:hint="eastAsia"/>
        </w:rPr>
        <w:t>”</w:t>
      </w:r>
      <w:r w:rsidRPr="00BF42B7">
        <w:rPr>
          <w:color w:val="0000FF"/>
          <w:vertAlign w:val="superscript"/>
        </w:rPr>
        <w:footnoteReference w:id="764"/>
      </w:r>
      <w:r w:rsidRPr="00BF42B7">
        <w:rPr>
          <w:color w:val="0000FF"/>
          <w:vertAlign w:val="superscript"/>
        </w:rPr>
        <w:t xml:space="preserve"> </w:t>
      </w:r>
    </w:p>
    <w:p w:rsidR="00DF5565" w:rsidRPr="00BF42B7" w:rsidRDefault="00DF5565" w:rsidP="00DF5565">
      <w:pPr>
        <w:pStyle w:val="SingleTxtGC"/>
      </w:pPr>
      <w:r w:rsidRPr="00BF42B7">
        <w:t>(4)</w:t>
      </w:r>
      <w:r w:rsidRPr="00BF42B7">
        <w:rPr>
          <w:rFonts w:hint="eastAsia"/>
        </w:rPr>
        <w:t xml:space="preserve">  </w:t>
      </w:r>
      <w:r w:rsidRPr="00BF42B7">
        <w:t>尽管国际法院和各个仲裁法庭倾向于对更具有特定性的国家嗣后实践</w:t>
      </w:r>
      <w:r w:rsidRPr="00BF42B7">
        <w:rPr>
          <w:rFonts w:hint="eastAsia"/>
        </w:rPr>
        <w:t>作为</w:t>
      </w:r>
      <w:r w:rsidRPr="00BF42B7">
        <w:t>解释资料给予更多权重，但欧洲人权法院常常依靠对于国内法律或国家采取的国际立场作出</w:t>
      </w:r>
      <w:r w:rsidRPr="00BF42B7">
        <w:rPr>
          <w:rFonts w:hint="eastAsia"/>
        </w:rPr>
        <w:t>广泛有时是</w:t>
      </w:r>
      <w:r w:rsidRPr="00BF42B7">
        <w:t>粗略的比较性评估。</w:t>
      </w:r>
      <w:r w:rsidRPr="00BF42B7">
        <w:rPr>
          <w:color w:val="0000FF"/>
          <w:vertAlign w:val="superscript"/>
        </w:rPr>
        <w:footnoteReference w:id="765"/>
      </w:r>
      <w:r w:rsidRPr="00BF42B7">
        <w:rPr>
          <w:color w:val="0000FF"/>
          <w:vertAlign w:val="superscript"/>
        </w:rPr>
        <w:t xml:space="preserve"> </w:t>
      </w:r>
      <w:r w:rsidRPr="00BF42B7">
        <w:t>在后一种情况下，应当铭记，人权</w:t>
      </w:r>
      <w:r w:rsidRPr="00BF42B7">
        <w:rPr>
          <w:rFonts w:hint="eastAsia"/>
        </w:rPr>
        <w:t>条约</w:t>
      </w:r>
      <w:r w:rsidRPr="00BF42B7">
        <w:t>下规定的权利和义务必须在留出一定判断余地的前提下，正确地转化为有关国家的法律、行政机构实践和国际安排。为此，缔约国国内法律之间较强的共性可有助于确定一项人权的范围或予以限制的必要性。此外，鉴于某些权利或义务的特点，有时更宜考虑特定性不那么强的实践。例如，在</w:t>
      </w:r>
      <w:r w:rsidRPr="00BF42B7">
        <w:t>Rantsev</w:t>
      </w:r>
      <w:r w:rsidRPr="00BF42B7">
        <w:rPr>
          <w:rFonts w:ascii="Time New Roman" w:eastAsia="楷体" w:hAnsi="Time New Roman"/>
          <w:lang w:val="en-GB"/>
        </w:rPr>
        <w:t>诉塞浦路斯案</w:t>
      </w:r>
      <w:r w:rsidRPr="00BF42B7">
        <w:t>中，法庭认为：</w:t>
      </w:r>
    </w:p>
    <w:p w:rsidR="00DF5565" w:rsidRPr="00BF42B7" w:rsidRDefault="00DF5565" w:rsidP="00DF5565">
      <w:pPr>
        <w:pStyle w:val="SingleTxtGC"/>
        <w:ind w:left="1554"/>
      </w:pPr>
      <w:r w:rsidRPr="00BF42B7">
        <w:rPr>
          <w:rFonts w:hint="eastAsia"/>
        </w:rPr>
        <w:t>“</w:t>
      </w:r>
      <w:r w:rsidRPr="00BF42B7">
        <w:t>这两份</w:t>
      </w:r>
      <w:r w:rsidRPr="00BF42B7">
        <w:rPr>
          <w:rFonts w:hint="eastAsia"/>
        </w:rPr>
        <w:t>[</w:t>
      </w:r>
      <w:r w:rsidRPr="00BF42B7">
        <w:t>国际</w:t>
      </w:r>
      <w:r w:rsidRPr="00BF42B7">
        <w:rPr>
          <w:rFonts w:hint="eastAsia"/>
        </w:rPr>
        <w:t>]</w:t>
      </w:r>
      <w:r w:rsidRPr="00BF42B7">
        <w:t>文书的条款清楚表明，缔约国</w:t>
      </w:r>
      <w:r w:rsidRPr="00BF42B7">
        <w:rPr>
          <w:rFonts w:hint="eastAsia"/>
        </w:rPr>
        <w:t>……</w:t>
      </w:r>
      <w:r w:rsidRPr="00BF42B7">
        <w:t>形成的观点是，只有将涉及所有三个方面的举措结合起来，才能有效打击贩运人口活动</w:t>
      </w:r>
      <w:r w:rsidRPr="00BF42B7">
        <w:rPr>
          <w:rFonts w:hint="eastAsia"/>
        </w:rPr>
        <w:t>……</w:t>
      </w:r>
      <w:r w:rsidRPr="00BF42B7">
        <w:t>因此，惩罚和起诉贩运人口活动只是成员国打击贩运人口活动总体事业的一个方面。对第</w:t>
      </w:r>
      <w:r w:rsidRPr="00BF42B7">
        <w:t>4</w:t>
      </w:r>
      <w:r w:rsidRPr="00BF42B7">
        <w:t>条</w:t>
      </w:r>
      <w:r w:rsidRPr="00BF42B7">
        <w:rPr>
          <w:rFonts w:hint="eastAsia"/>
        </w:rPr>
        <w:t>[</w:t>
      </w:r>
      <w:r w:rsidRPr="00BF42B7">
        <w:t>关于禁止强迫劳动</w:t>
      </w:r>
      <w:r w:rsidRPr="00BF42B7">
        <w:rPr>
          <w:rFonts w:hint="eastAsia"/>
        </w:rPr>
        <w:t>]</w:t>
      </w:r>
      <w:r w:rsidRPr="00BF42B7">
        <w:t>下产生的积极义务的范围必须放到这个广义的背景下加以考虑。</w:t>
      </w:r>
      <w:r w:rsidRPr="00BF42B7">
        <w:rPr>
          <w:rFonts w:hint="eastAsia"/>
        </w:rPr>
        <w:t>”</w:t>
      </w:r>
      <w:r w:rsidRPr="00BF42B7">
        <w:rPr>
          <w:color w:val="0000FF"/>
          <w:vertAlign w:val="superscript"/>
        </w:rPr>
        <w:footnoteReference w:id="766"/>
      </w:r>
      <w:r w:rsidRPr="00BF42B7">
        <w:rPr>
          <w:color w:val="0000FF"/>
          <w:vertAlign w:val="superscript"/>
        </w:rPr>
        <w:t xml:space="preserve"> </w:t>
      </w:r>
    </w:p>
    <w:p w:rsidR="00DF5565" w:rsidRPr="00BF42B7" w:rsidRDefault="00DF5565" w:rsidP="00DF5565">
      <w:pPr>
        <w:pStyle w:val="SingleTxtGC"/>
      </w:pPr>
      <w:r w:rsidRPr="00BF42B7">
        <w:t>(5)</w:t>
      </w:r>
      <w:r w:rsidRPr="00BF42B7">
        <w:rPr>
          <w:rFonts w:hint="eastAsia"/>
        </w:rPr>
        <w:t xml:space="preserve">  </w:t>
      </w:r>
      <w:r w:rsidRPr="00BF42B7">
        <w:t>另一方面，在</w:t>
      </w:r>
      <w:r w:rsidRPr="00BF42B7">
        <w:t>Chapman</w:t>
      </w:r>
      <w:r w:rsidRPr="00BF42B7">
        <w:rPr>
          <w:rFonts w:ascii="Time New Roman" w:eastAsia="楷体" w:hAnsi="Time New Roman"/>
          <w:lang w:val="en-GB"/>
        </w:rPr>
        <w:t>诉联合王国案</w:t>
      </w:r>
      <w:r w:rsidRPr="00BF42B7">
        <w:t>中，法庭指出，</w:t>
      </w:r>
      <w:r w:rsidRPr="00BF42B7">
        <w:rPr>
          <w:rFonts w:hint="eastAsia"/>
        </w:rPr>
        <w:t>“</w:t>
      </w:r>
      <w:r w:rsidRPr="00BF42B7">
        <w:t>或许可以说，欧洲委员会缔约国之间正在形成国际共识，承认少数群体的特殊需要和保护其安全、特性和生活方式的义务</w:t>
      </w:r>
      <w:r w:rsidRPr="00BF42B7">
        <w:rPr>
          <w:rFonts w:hint="eastAsia"/>
        </w:rPr>
        <w:t>”</w:t>
      </w:r>
      <w:r w:rsidRPr="00BF42B7">
        <w:t>，</w:t>
      </w:r>
      <w:r w:rsidRPr="00BF42B7">
        <w:rPr>
          <w:color w:val="0000FF"/>
          <w:vertAlign w:val="superscript"/>
        </w:rPr>
        <w:footnoteReference w:id="767"/>
      </w:r>
      <w:r w:rsidRPr="00BF42B7">
        <w:rPr>
          <w:color w:val="0000FF"/>
          <w:vertAlign w:val="superscript"/>
        </w:rPr>
        <w:t xml:space="preserve"> </w:t>
      </w:r>
      <w:r w:rsidRPr="00BF42B7">
        <w:t>但最后又指出</w:t>
      </w:r>
      <w:r w:rsidRPr="00BF42B7">
        <w:rPr>
          <w:rFonts w:hint="eastAsia"/>
        </w:rPr>
        <w:t>“</w:t>
      </w:r>
      <w:r w:rsidRPr="00BF42B7">
        <w:t>法庭不能够信服地认为，有足够具体的共识，使法庭可就任何特定情况下缔约国视为可取的行为或标准作出任何指导</w:t>
      </w:r>
      <w:r w:rsidRPr="00BF42B7">
        <w:rPr>
          <w:rFonts w:hint="eastAsia"/>
        </w:rPr>
        <w:t>”</w:t>
      </w:r>
      <w:r w:rsidRPr="00BF42B7">
        <w:t>。</w:t>
      </w:r>
      <w:r w:rsidRPr="00BF42B7">
        <w:rPr>
          <w:color w:val="0000FF"/>
          <w:vertAlign w:val="superscript"/>
        </w:rPr>
        <w:footnoteReference w:id="768"/>
      </w:r>
      <w:r w:rsidRPr="00BF42B7">
        <w:rPr>
          <w:color w:val="0000FF"/>
          <w:vertAlign w:val="superscript"/>
        </w:rPr>
        <w:t xml:space="preserve"> </w:t>
      </w:r>
    </w:p>
    <w:p w:rsidR="00DF5565" w:rsidRPr="00BF42B7" w:rsidRDefault="00DF5565" w:rsidP="00DF5565">
      <w:pPr>
        <w:pStyle w:val="H4GC"/>
        <w:rPr>
          <w:rFonts w:eastAsia="楷体"/>
          <w:lang w:val="en-GB"/>
        </w:rPr>
      </w:pPr>
      <w:r w:rsidRPr="00BF42B7">
        <w:rPr>
          <w:rFonts w:eastAsia="楷体" w:hint="eastAsia"/>
          <w:lang w:val="en-GB"/>
        </w:rPr>
        <w:tab/>
      </w:r>
      <w:r w:rsidRPr="00BF42B7">
        <w:rPr>
          <w:rFonts w:eastAsia="楷体" w:hint="eastAsia"/>
          <w:lang w:val="en-GB"/>
        </w:rPr>
        <w:tab/>
      </w:r>
      <w:r w:rsidRPr="00BF42B7">
        <w:rPr>
          <w:rFonts w:eastAsia="楷体" w:hint="eastAsia"/>
          <w:lang w:val="en-GB"/>
        </w:rPr>
        <w:t>第</w:t>
      </w:r>
      <w:r w:rsidRPr="00BF42B7">
        <w:rPr>
          <w:rFonts w:eastAsia="楷体" w:hint="eastAsia"/>
          <w:lang w:val="en-GB"/>
        </w:rPr>
        <w:t>2</w:t>
      </w:r>
      <w:r w:rsidRPr="00BF42B7">
        <w:rPr>
          <w:rFonts w:eastAsia="楷体" w:hint="eastAsia"/>
          <w:lang w:val="en-GB"/>
        </w:rPr>
        <w:t>段</w:t>
      </w:r>
      <w:r w:rsidRPr="00BF42B7">
        <w:rPr>
          <w:rFonts w:eastAsia="楷体" w:hint="eastAsia"/>
          <w:spacing w:val="-50"/>
          <w:lang w:val="fr-CH"/>
        </w:rPr>
        <w:t>―</w:t>
      </w:r>
      <w:r w:rsidRPr="00BF42B7">
        <w:rPr>
          <w:rFonts w:eastAsia="楷体" w:hint="eastAsia"/>
          <w:lang w:val="fr-CH"/>
        </w:rPr>
        <w:t>―权重：</w:t>
      </w:r>
      <w:r w:rsidRPr="00BF42B7">
        <w:rPr>
          <w:rFonts w:eastAsia="楷体" w:hint="eastAsia"/>
          <w:lang w:val="en-GB"/>
        </w:rPr>
        <w:t>惯例的重复出现</w:t>
      </w:r>
    </w:p>
    <w:p w:rsidR="00DF5565" w:rsidRPr="00BF42B7" w:rsidRDefault="00DF5565" w:rsidP="00DF5565">
      <w:pPr>
        <w:pStyle w:val="SingleTxtGC"/>
      </w:pPr>
      <w:r w:rsidRPr="00BF42B7">
        <w:t>(6)</w:t>
      </w:r>
      <w:r w:rsidRPr="00BF42B7">
        <w:rPr>
          <w:rFonts w:hint="eastAsia"/>
        </w:rPr>
        <w:t xml:space="preserve">  </w:t>
      </w:r>
      <w:r w:rsidRPr="00BF42B7">
        <w:t>结论草案</w:t>
      </w:r>
      <w:r w:rsidRPr="00BF42B7">
        <w:rPr>
          <w:rFonts w:hint="eastAsia"/>
        </w:rPr>
        <w:t>9[8]</w:t>
      </w:r>
      <w:r w:rsidRPr="00BF42B7">
        <w:t>第</w:t>
      </w:r>
      <w:r w:rsidRPr="00BF42B7">
        <w:t>2</w:t>
      </w:r>
      <w:r w:rsidRPr="00BF42B7">
        <w:t>段仅涉及第三十一条第三款</w:t>
      </w:r>
      <w:r w:rsidRPr="00BF42B7">
        <w:t>(b)</w:t>
      </w:r>
      <w:r w:rsidRPr="00BF42B7">
        <w:t>项称的嗣后惯例，并明确规定，嗣后惯例的权重还取决于该惯例是否以及如何重复出现。</w:t>
      </w:r>
      <w:r w:rsidRPr="00BF42B7">
        <w:rPr>
          <w:rFonts w:hint="eastAsia"/>
        </w:rPr>
        <w:t>“</w:t>
      </w:r>
      <w:r w:rsidRPr="00BF42B7">
        <w:t>是否以及如何重复出现</w:t>
      </w:r>
      <w:r w:rsidRPr="00BF42B7">
        <w:rPr>
          <w:rFonts w:hint="eastAsia"/>
        </w:rPr>
        <w:t>”</w:t>
      </w:r>
      <w:r w:rsidRPr="00BF42B7">
        <w:t>这一表述引入了时间和重复的性质这两个因素。它表明，举例来说，视条约而定，不仅仅是技术性或无意的做法的重复可增加其在第三十一条第三款</w:t>
      </w:r>
      <w:r w:rsidRPr="00BF42B7">
        <w:t>(b)</w:t>
      </w:r>
      <w:r w:rsidRPr="00BF42B7">
        <w:t>项范围下的解释性价值。时间因素和重复的性质也有助于表明缔约国对条约解释所持特定立场的</w:t>
      </w:r>
      <w:r w:rsidRPr="00BF42B7">
        <w:rPr>
          <w:rFonts w:hint="eastAsia"/>
        </w:rPr>
        <w:t>“</w:t>
      </w:r>
      <w:r w:rsidRPr="00BF42B7">
        <w:t>根据</w:t>
      </w:r>
      <w:r w:rsidRPr="00BF42B7">
        <w:rPr>
          <w:rFonts w:hint="eastAsia"/>
        </w:rPr>
        <w:t>”</w:t>
      </w:r>
      <w:r w:rsidRPr="00BF42B7">
        <w:t>。此外，嗣后协定未得到执行也可能说明其不具备作为第三十一条第三款</w:t>
      </w:r>
      <w:r w:rsidRPr="00BF42B7">
        <w:t>(a)</w:t>
      </w:r>
      <w:r w:rsidRPr="00BF42B7">
        <w:t>项下解释资料的权重。</w:t>
      </w:r>
      <w:r w:rsidRPr="00BF42B7">
        <w:rPr>
          <w:color w:val="0000FF"/>
          <w:vertAlign w:val="superscript"/>
        </w:rPr>
        <w:footnoteReference w:id="769"/>
      </w:r>
      <w:r w:rsidRPr="00BF42B7">
        <w:rPr>
          <w:color w:val="0000FF"/>
          <w:vertAlign w:val="superscript"/>
        </w:rPr>
        <w:t xml:space="preserve"> </w:t>
      </w:r>
    </w:p>
    <w:p w:rsidR="00DF5565" w:rsidRPr="00BF42B7" w:rsidRDefault="00DF5565" w:rsidP="00DF5565">
      <w:pPr>
        <w:pStyle w:val="SingleTxtGC"/>
      </w:pPr>
      <w:r w:rsidRPr="00BF42B7">
        <w:t>(7)</w:t>
      </w:r>
      <w:r w:rsidRPr="00BF42B7">
        <w:rPr>
          <w:rFonts w:hint="eastAsia"/>
        </w:rPr>
        <w:t xml:space="preserve">  </w:t>
      </w:r>
      <w:r w:rsidRPr="00BF42B7">
        <w:t>关于第三十一条第三款</w:t>
      </w:r>
      <w:r w:rsidRPr="00BF42B7">
        <w:t>(b)</w:t>
      </w:r>
      <w:r w:rsidRPr="00BF42B7">
        <w:t>项中</w:t>
      </w:r>
      <w:r w:rsidRPr="00BF42B7">
        <w:rPr>
          <w:rFonts w:hint="eastAsia"/>
        </w:rPr>
        <w:t>“</w:t>
      </w:r>
      <w:r w:rsidRPr="00BF42B7">
        <w:t>嗣后惯例</w:t>
      </w:r>
      <w:r w:rsidRPr="00BF42B7">
        <w:rPr>
          <w:rFonts w:hint="eastAsia"/>
        </w:rPr>
        <w:t>”</w:t>
      </w:r>
      <w:r w:rsidRPr="00BF42B7">
        <w:rPr>
          <w:color w:val="0000FF"/>
          <w:vertAlign w:val="superscript"/>
        </w:rPr>
        <w:footnoteReference w:id="770"/>
      </w:r>
      <w:r w:rsidRPr="00BF42B7">
        <w:rPr>
          <w:color w:val="0000FF"/>
          <w:vertAlign w:val="superscript"/>
        </w:rPr>
        <w:t xml:space="preserve"> </w:t>
      </w:r>
      <w:r w:rsidRPr="00BF42B7">
        <w:t>是否要求条约不仅限于一次性适用的问题在世贸组织上诉机构</w:t>
      </w:r>
      <w:r w:rsidRPr="00BF42B7">
        <w:rPr>
          <w:rFonts w:ascii="Time New Roman" w:eastAsia="楷体" w:hAnsi="Time New Roman"/>
          <w:lang w:val="en-GB"/>
        </w:rPr>
        <w:t>关于日本</w:t>
      </w:r>
      <w:r w:rsidRPr="00BF42B7">
        <w:rPr>
          <w:rFonts w:ascii="Time New Roman" w:eastAsia="楷体" w:hAnsi="Time New Roman" w:hint="eastAsia"/>
          <w:lang w:val="en-GB"/>
        </w:rPr>
        <w:t>－</w:t>
      </w:r>
      <w:r w:rsidRPr="00BF42B7">
        <w:rPr>
          <w:rFonts w:ascii="Time New Roman" w:eastAsia="楷体" w:hAnsi="Time New Roman"/>
          <w:lang w:val="en-GB"/>
        </w:rPr>
        <w:t>酒精饮料案</w:t>
      </w:r>
      <w:r w:rsidRPr="00BF42B7">
        <w:rPr>
          <w:rFonts w:ascii="Time New Roman" w:eastAsia="楷体" w:hAnsi="Time New Roman"/>
          <w:lang w:val="en-GB"/>
        </w:rPr>
        <w:t>(</w:t>
      </w:r>
      <w:r w:rsidRPr="00BF42B7">
        <w:rPr>
          <w:rFonts w:ascii="Time New Roman" w:eastAsia="楷体" w:hAnsi="Time New Roman"/>
          <w:lang w:val="en-GB"/>
        </w:rPr>
        <w:t>二</w:t>
      </w:r>
      <w:r w:rsidRPr="00BF42B7">
        <w:rPr>
          <w:rFonts w:ascii="Time New Roman" w:eastAsia="楷体" w:hAnsi="Time New Roman"/>
          <w:lang w:val="en-GB"/>
        </w:rPr>
        <w:t>)</w:t>
      </w:r>
      <w:r w:rsidRPr="00BF42B7">
        <w:rPr>
          <w:rFonts w:ascii="Time New Roman" w:eastAsia="楷体" w:hAnsi="Time New Roman"/>
          <w:lang w:val="en-GB"/>
        </w:rPr>
        <w:t>案</w:t>
      </w:r>
      <w:r w:rsidRPr="00BF42B7">
        <w:t>中进行了讨论：</w:t>
      </w:r>
    </w:p>
    <w:p w:rsidR="00DF5565" w:rsidRPr="00BF42B7" w:rsidRDefault="00DF5565" w:rsidP="00DF5565">
      <w:pPr>
        <w:pStyle w:val="SingleTxtGC"/>
        <w:ind w:left="1554"/>
      </w:pPr>
      <w:r w:rsidRPr="00BF42B7">
        <w:rPr>
          <w:rFonts w:hint="eastAsia"/>
        </w:rPr>
        <w:t>“……</w:t>
      </w:r>
      <w:r w:rsidRPr="00BF42B7">
        <w:t>用于解释条约的</w:t>
      </w:r>
      <w:r w:rsidRPr="00BF42B7">
        <w:rPr>
          <w:lang w:val="fr-FR"/>
        </w:rPr>
        <w:t>嗣后</w:t>
      </w:r>
      <w:r w:rsidRPr="00BF42B7">
        <w:t>惯例，公认应当是</w:t>
      </w:r>
      <w:r w:rsidRPr="00BF42B7">
        <w:rPr>
          <w:rFonts w:hint="eastAsia"/>
        </w:rPr>
        <w:t>‘</w:t>
      </w:r>
      <w:r w:rsidRPr="00BF42B7">
        <w:t>协调的、共同的和一致的</w:t>
      </w:r>
      <w:r w:rsidRPr="00BF42B7">
        <w:rPr>
          <w:rFonts w:hint="eastAsia"/>
        </w:rPr>
        <w:t>’</w:t>
      </w:r>
      <w:r w:rsidRPr="00BF42B7">
        <w:t>系列行为或声明，足以确立一种明确的模式，表明缔约方对条约解释的一致</w:t>
      </w:r>
      <w:r w:rsidRPr="00BF42B7">
        <w:rPr>
          <w:rFonts w:hint="eastAsia"/>
        </w:rPr>
        <w:t>”</w:t>
      </w:r>
      <w:r w:rsidRPr="00BF42B7">
        <w:t>。</w:t>
      </w:r>
      <w:r w:rsidRPr="00BF42B7">
        <w:rPr>
          <w:color w:val="0000FF"/>
          <w:vertAlign w:val="superscript"/>
        </w:rPr>
        <w:footnoteReference w:id="771"/>
      </w:r>
      <w:r w:rsidRPr="00BF42B7">
        <w:rPr>
          <w:color w:val="0000FF"/>
          <w:vertAlign w:val="superscript"/>
        </w:rPr>
        <w:t xml:space="preserve"> </w:t>
      </w:r>
    </w:p>
    <w:p w:rsidR="00DF5565" w:rsidRPr="00BF42B7" w:rsidRDefault="00DF5565" w:rsidP="00DF5565">
      <w:pPr>
        <w:pStyle w:val="SingleTxtGC"/>
      </w:pPr>
      <w:r w:rsidRPr="00BF42B7">
        <w:t>(8)</w:t>
      </w:r>
      <w:r w:rsidRPr="00BF42B7">
        <w:rPr>
          <w:rFonts w:hint="eastAsia"/>
        </w:rPr>
        <w:t xml:space="preserve">  </w:t>
      </w:r>
      <w:r w:rsidRPr="00BF42B7">
        <w:t>这一定义表明，第三十一条第三款</w:t>
      </w:r>
      <w:r w:rsidRPr="00BF42B7">
        <w:t>(b)</w:t>
      </w:r>
      <w:r w:rsidRPr="00BF42B7">
        <w:t>项下的嗣后惯例要求不仅是就解释条约的一次</w:t>
      </w:r>
      <w:r w:rsidRPr="00BF42B7">
        <w:rPr>
          <w:rFonts w:hint="eastAsia"/>
        </w:rPr>
        <w:t>“</w:t>
      </w:r>
      <w:r w:rsidRPr="00BF42B7">
        <w:t>行为或声明</w:t>
      </w:r>
      <w:r w:rsidRPr="00BF42B7">
        <w:rPr>
          <w:rFonts w:hint="eastAsia"/>
        </w:rPr>
        <w:t>”</w:t>
      </w:r>
      <w:r w:rsidRPr="00BF42B7">
        <w:t>，而是此种行动的次数和统一性使人可以得出结论，即缔约国已就条约的解释达成了稳定的一致。这一门槛就意味着，第三十一条第三款</w:t>
      </w:r>
      <w:r w:rsidRPr="00BF42B7">
        <w:t>(b)</w:t>
      </w:r>
      <w:r w:rsidRPr="00BF42B7">
        <w:t>项下的嗣后惯例要求存在基础广泛、稳定和合格的集体惯例模式，才能确认缔约国就解释达成了一致。</w:t>
      </w:r>
    </w:p>
    <w:p w:rsidR="00DF5565" w:rsidRPr="00BF42B7" w:rsidRDefault="00DF5565" w:rsidP="00DF5565">
      <w:pPr>
        <w:pStyle w:val="SingleTxtGC"/>
      </w:pPr>
      <w:r w:rsidRPr="00BF42B7">
        <w:t>(9)</w:t>
      </w:r>
      <w:r w:rsidRPr="00BF42B7">
        <w:rPr>
          <w:rFonts w:hint="eastAsia"/>
        </w:rPr>
        <w:t xml:space="preserve">  </w:t>
      </w:r>
      <w:r w:rsidRPr="00BF42B7">
        <w:t>另一方面，国际法院也较为灵活地采用第三十一条第三款</w:t>
      </w:r>
      <w:r w:rsidRPr="00BF42B7">
        <w:t>(b)</w:t>
      </w:r>
      <w:r w:rsidRPr="00BF42B7">
        <w:t>项，而没有增加进一步条件，特别是在</w:t>
      </w:r>
      <w:r w:rsidRPr="00BF42B7">
        <w:rPr>
          <w:rFonts w:ascii="Time New Roman" w:eastAsia="楷体" w:hAnsi="Time New Roman"/>
        </w:rPr>
        <w:t>卡西基里</w:t>
      </w:r>
      <w:r w:rsidRPr="00BF42B7">
        <w:rPr>
          <w:rFonts w:ascii="Time New Roman" w:eastAsia="楷体" w:hAnsi="Time New Roman"/>
        </w:rPr>
        <w:t>/</w:t>
      </w:r>
      <w:r w:rsidRPr="00BF42B7">
        <w:rPr>
          <w:rFonts w:ascii="Time New Roman" w:eastAsia="楷体" w:hAnsi="Time New Roman"/>
        </w:rPr>
        <w:t>塞杜杜岛案</w:t>
      </w:r>
      <w:r w:rsidRPr="00BF42B7">
        <w:t>的判决中。</w:t>
      </w:r>
      <w:r w:rsidRPr="00BF42B7">
        <w:rPr>
          <w:color w:val="0000FF"/>
          <w:vertAlign w:val="superscript"/>
        </w:rPr>
        <w:footnoteReference w:id="772"/>
      </w:r>
      <w:r w:rsidRPr="00BF42B7">
        <w:rPr>
          <w:color w:val="0000FF"/>
          <w:vertAlign w:val="superscript"/>
        </w:rPr>
        <w:t xml:space="preserve"> </w:t>
      </w:r>
      <w:r w:rsidRPr="00BF42B7">
        <w:t>其他国际性法院大多遵循国际法院的办法。</w:t>
      </w:r>
      <w:r w:rsidRPr="00BF42B7">
        <w:rPr>
          <w:rFonts w:ascii="Time New Roman" w:eastAsia="楷体" w:hAnsi="Time New Roman"/>
          <w:lang w:val="en-GB"/>
        </w:rPr>
        <w:t>伊朗</w:t>
      </w:r>
      <w:r w:rsidRPr="00BF42B7">
        <w:rPr>
          <w:rFonts w:ascii="Time New Roman" w:eastAsia="楷体" w:hAnsi="Time New Roman" w:hint="eastAsia"/>
          <w:lang w:val="en-GB"/>
        </w:rPr>
        <w:t>－</w:t>
      </w:r>
      <w:r w:rsidRPr="00BF42B7">
        <w:rPr>
          <w:rFonts w:ascii="Time New Roman" w:eastAsia="楷体" w:hAnsi="Time New Roman"/>
          <w:lang w:val="en-GB"/>
        </w:rPr>
        <w:t>美国索赔法庭</w:t>
      </w:r>
      <w:r w:rsidRPr="00BF42B7">
        <w:rPr>
          <w:color w:val="0000FF"/>
          <w:vertAlign w:val="superscript"/>
        </w:rPr>
        <w:footnoteReference w:id="773"/>
      </w:r>
      <w:r w:rsidRPr="00BF42B7">
        <w:rPr>
          <w:color w:val="0000FF"/>
        </w:rPr>
        <w:t xml:space="preserve"> </w:t>
      </w:r>
      <w:r w:rsidRPr="00BF42B7">
        <w:t>和欧洲人权法院</w:t>
      </w:r>
      <w:r w:rsidRPr="00BF42B7">
        <w:rPr>
          <w:color w:val="0000FF"/>
          <w:vertAlign w:val="superscript"/>
        </w:rPr>
        <w:footnoteReference w:id="774"/>
      </w:r>
      <w:r w:rsidRPr="00BF42B7">
        <w:rPr>
          <w:color w:val="0000FF"/>
        </w:rPr>
        <w:t xml:space="preserve"> </w:t>
      </w:r>
      <w:r w:rsidRPr="00BF42B7">
        <w:t>都是如此。</w:t>
      </w:r>
    </w:p>
    <w:p w:rsidR="00DF5565" w:rsidRPr="00BF42B7" w:rsidRDefault="00DF5565" w:rsidP="00DF5565">
      <w:pPr>
        <w:pStyle w:val="SingleTxtGC"/>
      </w:pPr>
      <w:r w:rsidRPr="00BF42B7">
        <w:t>(10)</w:t>
      </w:r>
      <w:r w:rsidRPr="00BF42B7">
        <w:rPr>
          <w:rFonts w:hint="eastAsia"/>
        </w:rPr>
        <w:t xml:space="preserve">  </w:t>
      </w:r>
      <w:r w:rsidRPr="00BF42B7">
        <w:t>但实际上，世贸组织上诉机构制订的标准与国际法院采取的办法之间的区别并没有表面看起来那么大。世贸组织上诉机构似乎采用了一份出版物中的</w:t>
      </w:r>
      <w:r w:rsidRPr="00BF42B7">
        <w:rPr>
          <w:rFonts w:hint="eastAsia"/>
        </w:rPr>
        <w:t>“</w:t>
      </w:r>
      <w:r w:rsidRPr="00BF42B7">
        <w:t>协调、共同和一致</w:t>
      </w:r>
      <w:r w:rsidRPr="00BF42B7">
        <w:rPr>
          <w:rFonts w:hint="eastAsia"/>
        </w:rPr>
        <w:t>”</w:t>
      </w:r>
      <w:r w:rsidRPr="00BF42B7">
        <w:t>的表述</w:t>
      </w:r>
      <w:r w:rsidRPr="00BF42B7">
        <w:rPr>
          <w:color w:val="0000FF"/>
          <w:vertAlign w:val="superscript"/>
        </w:rPr>
        <w:footnoteReference w:id="775"/>
      </w:r>
      <w:r w:rsidRPr="00BF42B7">
        <w:t>，这本书称，</w:t>
      </w:r>
      <w:r w:rsidRPr="00BF42B7">
        <w:rPr>
          <w:rFonts w:hint="eastAsia"/>
        </w:rPr>
        <w:t>“</w:t>
      </w:r>
      <w:r w:rsidRPr="00BF42B7">
        <w:t>嗣后惯例的价值自然取决于它协调、共同和一致的程度</w:t>
      </w:r>
      <w:r w:rsidRPr="00BF42B7">
        <w:rPr>
          <w:rFonts w:hint="eastAsia"/>
        </w:rPr>
        <w:t>”</w:t>
      </w:r>
      <w:r w:rsidRPr="00BF42B7">
        <w:t>。</w:t>
      </w:r>
      <w:r w:rsidRPr="00BF42B7">
        <w:rPr>
          <w:color w:val="0000FF"/>
          <w:vertAlign w:val="superscript"/>
        </w:rPr>
        <w:footnoteReference w:id="776"/>
      </w:r>
      <w:r w:rsidRPr="00BF42B7">
        <w:rPr>
          <w:color w:val="0000FF"/>
          <w:vertAlign w:val="superscript"/>
        </w:rPr>
        <w:t xml:space="preserve"> </w:t>
      </w:r>
      <w:r w:rsidRPr="00BF42B7">
        <w:t>因此，</w:t>
      </w:r>
      <w:r w:rsidRPr="00BF42B7">
        <w:rPr>
          <w:rFonts w:hint="eastAsia"/>
        </w:rPr>
        <w:t>“</w:t>
      </w:r>
      <w:r w:rsidRPr="00BF42B7">
        <w:t>协调、共同和一致</w:t>
      </w:r>
      <w:r w:rsidRPr="00BF42B7">
        <w:rPr>
          <w:rFonts w:hint="eastAsia"/>
        </w:rPr>
        <w:t>”</w:t>
      </w:r>
      <w:r w:rsidRPr="00BF42B7">
        <w:t>的表述是指出在哪些情况下，第三十一条第三款</w:t>
      </w:r>
      <w:r w:rsidRPr="00BF42B7">
        <w:t>(b)</w:t>
      </w:r>
      <w:r w:rsidRPr="00BF42B7">
        <w:t>项所称的嗣后惯例在解释过程中作为解释资料具有较多或较少的权重，而不是提出实践中具体的次数要求。</w:t>
      </w:r>
      <w:bookmarkStart w:id="174" w:name="_Ref461976695"/>
      <w:r w:rsidRPr="00BF42B7">
        <w:rPr>
          <w:color w:val="0000FF"/>
          <w:vertAlign w:val="superscript"/>
        </w:rPr>
        <w:footnoteReference w:id="777"/>
      </w:r>
      <w:bookmarkEnd w:id="174"/>
      <w:r w:rsidRPr="00BF42B7">
        <w:rPr>
          <w:color w:val="0000FF"/>
          <w:vertAlign w:val="superscript"/>
        </w:rPr>
        <w:t xml:space="preserve"> </w:t>
      </w:r>
      <w:r w:rsidRPr="00BF42B7">
        <w:t>世贸组织上诉机构自己也曾采取这一有略微差别的态度。</w:t>
      </w:r>
      <w:r w:rsidRPr="00BF42B7">
        <w:rPr>
          <w:color w:val="0000FF"/>
          <w:vertAlign w:val="superscript"/>
        </w:rPr>
        <w:footnoteReference w:id="778"/>
      </w:r>
      <w:r w:rsidRPr="00BF42B7">
        <w:rPr>
          <w:color w:val="0000FF"/>
          <w:vertAlign w:val="superscript"/>
        </w:rPr>
        <w:t xml:space="preserve"> </w:t>
      </w:r>
    </w:p>
    <w:p w:rsidR="00DF5565" w:rsidRPr="00BF42B7" w:rsidRDefault="00DF5565" w:rsidP="00DF5565">
      <w:pPr>
        <w:pStyle w:val="SingleTxtGC"/>
      </w:pPr>
      <w:r w:rsidRPr="00BF42B7">
        <w:t>(11)</w:t>
      </w:r>
      <w:r w:rsidRPr="00BF42B7">
        <w:rPr>
          <w:rFonts w:hint="eastAsia"/>
        </w:rPr>
        <w:t xml:space="preserve">  </w:t>
      </w:r>
      <w:r w:rsidRPr="00BF42B7">
        <w:t>委员会认为</w:t>
      </w:r>
      <w:r w:rsidRPr="00BF42B7">
        <w:rPr>
          <w:rFonts w:hint="eastAsia"/>
        </w:rPr>
        <w:t>“</w:t>
      </w:r>
      <w:r w:rsidRPr="00BF42B7">
        <w:t>协调、共同和一致</w:t>
      </w:r>
      <w:r w:rsidRPr="00BF42B7">
        <w:rPr>
          <w:rFonts w:hint="eastAsia"/>
        </w:rPr>
        <w:t>”</w:t>
      </w:r>
      <w:r w:rsidRPr="00BF42B7">
        <w:t>的表述可能有助于确定嗣后惯例在某一具体情况下的权重，同时也认为这一规定并没有充分完善地得到确立，不足以构成适用第三十一条第三款</w:t>
      </w:r>
      <w:r w:rsidRPr="00BF42B7">
        <w:t>(b)</w:t>
      </w:r>
      <w:r w:rsidRPr="00BF42B7">
        <w:t>项的一个最低门槛，并有可能被错误地认为规定过细。最终，委员会仍然认为，</w:t>
      </w:r>
      <w:r w:rsidRPr="00BF42B7">
        <w:rPr>
          <w:rFonts w:hint="eastAsia"/>
        </w:rPr>
        <w:t>“</w:t>
      </w:r>
      <w:r w:rsidRPr="00BF42B7">
        <w:t>嗣后惯例的价值不同，既取决于其是否体现缔约国的共同理解，也取决于术语的意义。</w:t>
      </w:r>
      <w:r w:rsidRPr="00BF42B7">
        <w:rPr>
          <w:rFonts w:hint="eastAsia"/>
        </w:rPr>
        <w:t>”</w:t>
      </w:r>
      <w:r w:rsidRPr="00BF42B7">
        <w:rPr>
          <w:color w:val="0000FF"/>
          <w:vertAlign w:val="superscript"/>
        </w:rPr>
        <w:footnoteReference w:id="779"/>
      </w:r>
      <w:r w:rsidRPr="00BF42B7">
        <w:rPr>
          <w:color w:val="0000FF"/>
          <w:vertAlign w:val="superscript"/>
        </w:rPr>
        <w:t xml:space="preserve"> </w:t>
      </w:r>
      <w:r w:rsidRPr="00BF42B7">
        <w:t>这就意味着，缔约国就解释达成一致的一次性实践也需要在第三十一条第三款</w:t>
      </w:r>
      <w:r w:rsidRPr="00BF42B7">
        <w:t>(b)</w:t>
      </w:r>
      <w:r w:rsidRPr="00BF42B7">
        <w:t>项下考虑进来。</w:t>
      </w:r>
      <w:bookmarkStart w:id="175" w:name="_Ref461977405"/>
      <w:r w:rsidRPr="00BF42B7">
        <w:rPr>
          <w:color w:val="0000FF"/>
          <w:vertAlign w:val="superscript"/>
        </w:rPr>
        <w:footnoteReference w:id="780"/>
      </w:r>
      <w:bookmarkEnd w:id="175"/>
      <w:r w:rsidRPr="00BF42B7">
        <w:rPr>
          <w:color w:val="0000FF"/>
          <w:vertAlign w:val="superscript"/>
        </w:rPr>
        <w:t xml:space="preserve"> </w:t>
      </w:r>
    </w:p>
    <w:p w:rsidR="00DF5565" w:rsidRPr="00BF42B7" w:rsidRDefault="00DF5565" w:rsidP="00DF5565">
      <w:pPr>
        <w:pStyle w:val="H4GC"/>
        <w:rPr>
          <w:rFonts w:eastAsia="楷体"/>
          <w:lang w:val="en-GB"/>
        </w:rPr>
      </w:pPr>
      <w:r w:rsidRPr="00BF42B7">
        <w:rPr>
          <w:rFonts w:eastAsia="楷体" w:hint="eastAsia"/>
          <w:lang w:val="en-GB"/>
        </w:rPr>
        <w:tab/>
      </w:r>
      <w:r w:rsidRPr="00BF42B7">
        <w:rPr>
          <w:rFonts w:eastAsia="楷体" w:hint="eastAsia"/>
          <w:lang w:val="en-GB"/>
        </w:rPr>
        <w:tab/>
      </w:r>
      <w:r w:rsidRPr="00BF42B7">
        <w:rPr>
          <w:rFonts w:eastAsia="楷体" w:hint="eastAsia"/>
          <w:lang w:val="en-GB"/>
        </w:rPr>
        <w:t>第</w:t>
      </w:r>
      <w:r w:rsidRPr="00BF42B7">
        <w:rPr>
          <w:rFonts w:eastAsia="楷体" w:hint="eastAsia"/>
          <w:lang w:val="en-GB"/>
        </w:rPr>
        <w:t>3</w:t>
      </w:r>
      <w:r w:rsidRPr="00BF42B7">
        <w:rPr>
          <w:rFonts w:eastAsia="楷体" w:hint="eastAsia"/>
          <w:lang w:val="en-GB"/>
        </w:rPr>
        <w:t>段</w:t>
      </w:r>
      <w:r w:rsidRPr="00BF42B7">
        <w:rPr>
          <w:rFonts w:eastAsia="楷体" w:hint="eastAsia"/>
          <w:spacing w:val="-50"/>
          <w:lang w:val="fr-CH"/>
        </w:rPr>
        <w:t>―</w:t>
      </w:r>
      <w:r w:rsidRPr="00BF42B7">
        <w:rPr>
          <w:rFonts w:eastAsia="楷体" w:hint="eastAsia"/>
          <w:lang w:val="fr-CH"/>
        </w:rPr>
        <w:t>―</w:t>
      </w:r>
      <w:r w:rsidRPr="00BF42B7">
        <w:rPr>
          <w:rFonts w:eastAsia="楷体" w:hint="eastAsia"/>
          <w:lang w:val="en-GB"/>
        </w:rPr>
        <w:t>第三十二条所称其他嗣后惯例的权重</w:t>
      </w:r>
    </w:p>
    <w:p w:rsidR="00DF5565" w:rsidRPr="00BF42B7" w:rsidRDefault="00DF5565" w:rsidP="00DF5565">
      <w:pPr>
        <w:pStyle w:val="SingleTxtGC"/>
      </w:pPr>
      <w:r w:rsidRPr="00BF42B7">
        <w:t xml:space="preserve">(12) </w:t>
      </w:r>
      <w:r w:rsidRPr="00BF42B7">
        <w:rPr>
          <w:rFonts w:hint="eastAsia"/>
        </w:rPr>
        <w:t xml:space="preserve"> </w:t>
      </w:r>
      <w:r w:rsidRPr="00BF42B7">
        <w:t>结论草案</w:t>
      </w:r>
      <w:r w:rsidRPr="00BF42B7">
        <w:rPr>
          <w:rFonts w:hint="eastAsia"/>
        </w:rPr>
        <w:t>9[8]</w:t>
      </w:r>
      <w:r w:rsidRPr="00BF42B7">
        <w:t>第</w:t>
      </w:r>
      <w:r w:rsidRPr="00BF42B7">
        <w:t>3</w:t>
      </w:r>
      <w:r w:rsidRPr="00BF42B7">
        <w:t>段针对第三十二条所称的</w:t>
      </w:r>
      <w:r w:rsidRPr="00BF42B7">
        <w:rPr>
          <w:rFonts w:hint="eastAsia"/>
        </w:rPr>
        <w:t>“</w:t>
      </w:r>
      <w:r w:rsidRPr="00BF42B7">
        <w:t>其他嗣后惯例</w:t>
      </w:r>
      <w:r w:rsidRPr="00BF42B7">
        <w:rPr>
          <w:rFonts w:hint="eastAsia"/>
        </w:rPr>
        <w:t>”</w:t>
      </w:r>
      <w:r w:rsidRPr="00BF42B7">
        <w:t>的权重</w:t>
      </w:r>
      <w:r w:rsidRPr="00BF42B7">
        <w:t>(</w:t>
      </w:r>
      <w:r w:rsidRPr="00BF42B7">
        <w:t>见结论草案</w:t>
      </w:r>
      <w:r w:rsidRPr="00BF42B7">
        <w:rPr>
          <w:rFonts w:hint="eastAsia"/>
        </w:rPr>
        <w:t>4</w:t>
      </w:r>
      <w:r w:rsidRPr="00BF42B7">
        <w:t>第</w:t>
      </w:r>
      <w:r w:rsidRPr="00BF42B7">
        <w:t>3</w:t>
      </w:r>
      <w:r w:rsidRPr="00BF42B7">
        <w:t>段</w:t>
      </w:r>
      <w:r w:rsidRPr="00BF42B7">
        <w:t>)</w:t>
      </w:r>
      <w:r w:rsidRPr="00BF42B7">
        <w:t>。它不涉及在什么时候和哪些情况下可考虑这种惯例的问题。世贸组织上诉机构在一次与此相似的情况下强调说，对这两个问题必须加以区别：</w:t>
      </w:r>
    </w:p>
    <w:p w:rsidR="00DF5565" w:rsidRPr="00BF42B7" w:rsidRDefault="00DF5565" w:rsidP="00DF5565">
      <w:pPr>
        <w:pStyle w:val="SingleTxtGC"/>
        <w:ind w:left="1554"/>
      </w:pPr>
      <w:r w:rsidRPr="00BF42B7">
        <w:rPr>
          <w:rFonts w:hint="eastAsia"/>
        </w:rPr>
        <w:t>“……</w:t>
      </w:r>
      <w:r w:rsidRPr="00BF42B7">
        <w:t>我们认为，就第三十二条的解释而言，欧洲共同体将什么可界定为缔结条约的</w:t>
      </w:r>
      <w:r w:rsidRPr="00BF42B7">
        <w:rPr>
          <w:rFonts w:hint="eastAsia"/>
        </w:rPr>
        <w:t>“</w:t>
      </w:r>
      <w:r w:rsidRPr="00BF42B7">
        <w:t>背景</w:t>
      </w:r>
      <w:r w:rsidRPr="00BF42B7">
        <w:rPr>
          <w:rFonts w:hint="eastAsia"/>
        </w:rPr>
        <w:t>”</w:t>
      </w:r>
      <w:r w:rsidRPr="00BF42B7">
        <w:t>这一初步问题与确定特定情况的相关性这一另外的问题混为一谈。</w:t>
      </w:r>
      <w:r w:rsidRPr="00BF42B7">
        <w:rPr>
          <w:rFonts w:hint="eastAsia"/>
        </w:rPr>
        <w:t>”</w:t>
      </w:r>
      <w:bookmarkStart w:id="176" w:name="_Ref461976709"/>
      <w:r w:rsidRPr="00BF42B7">
        <w:rPr>
          <w:color w:val="0000FF"/>
          <w:vertAlign w:val="superscript"/>
        </w:rPr>
        <w:footnoteReference w:id="781"/>
      </w:r>
      <w:bookmarkEnd w:id="176"/>
      <w:r w:rsidRPr="00BF42B7">
        <w:rPr>
          <w:color w:val="0000FF"/>
          <w:vertAlign w:val="superscript"/>
        </w:rPr>
        <w:t xml:space="preserve"> </w:t>
      </w:r>
    </w:p>
    <w:p w:rsidR="00DF5565" w:rsidRPr="00BF42B7" w:rsidRDefault="00DF5565" w:rsidP="00DF5565">
      <w:pPr>
        <w:pStyle w:val="SingleTxtGC"/>
      </w:pPr>
      <w:r w:rsidRPr="00BF42B7">
        <w:rPr>
          <w:lang w:val="fr-FR"/>
        </w:rPr>
        <w:t>上诉</w:t>
      </w:r>
      <w:r w:rsidRPr="00BF42B7">
        <w:t>机构还认为，</w:t>
      </w:r>
    </w:p>
    <w:p w:rsidR="00DF5565" w:rsidRPr="00BF42B7" w:rsidRDefault="00DF5565" w:rsidP="00DF5565">
      <w:pPr>
        <w:pStyle w:val="SingleTxtGC"/>
        <w:ind w:left="1554"/>
      </w:pPr>
      <w:r w:rsidRPr="00BF42B7">
        <w:rPr>
          <w:rFonts w:hint="eastAsia"/>
        </w:rPr>
        <w:t>“……</w:t>
      </w:r>
      <w:r w:rsidRPr="00BF42B7">
        <w:t>首先，专题小组并未审查欧洲共同体在乌拉圭回合谈判期间的分类实践</w:t>
      </w:r>
      <w:r w:rsidRPr="00BF42B7">
        <w:rPr>
          <w:rFonts w:ascii="Time New Roman" w:eastAsia="楷体" w:hAnsi="Time New Roman"/>
        </w:rPr>
        <w:t>作为《维也纳公约》</w:t>
      </w:r>
      <w:r w:rsidRPr="00BF42B7">
        <w:rPr>
          <w:rFonts w:ascii="Time New Roman" w:hAnsi="Time New Roman"/>
        </w:rPr>
        <w:t>第三十二条意义内的</w:t>
      </w:r>
      <w:r w:rsidRPr="00BF42B7">
        <w:rPr>
          <w:rFonts w:ascii="Time New Roman" w:eastAsia="楷体" w:hAnsi="Time New Roman"/>
        </w:rPr>
        <w:t>补充解释材料</w:t>
      </w:r>
      <w:r w:rsidRPr="00BF42B7">
        <w:t>这一问题；分类做法作为补充解释材料的价值</w:t>
      </w:r>
      <w:r w:rsidRPr="00BF42B7">
        <w:rPr>
          <w:rFonts w:hint="eastAsia"/>
        </w:rPr>
        <w:t>……”。</w:t>
      </w:r>
      <w:bookmarkStart w:id="177" w:name="_Ref461974413"/>
      <w:r w:rsidRPr="00BF42B7">
        <w:rPr>
          <w:color w:val="0000FF"/>
          <w:vertAlign w:val="superscript"/>
        </w:rPr>
        <w:footnoteReference w:id="782"/>
      </w:r>
      <w:bookmarkEnd w:id="177"/>
      <w:r w:rsidRPr="00BF42B7">
        <w:rPr>
          <w:color w:val="0000FF"/>
          <w:vertAlign w:val="superscript"/>
        </w:rPr>
        <w:t xml:space="preserve"> </w:t>
      </w:r>
    </w:p>
    <w:p w:rsidR="00DF5565" w:rsidRPr="00BF42B7" w:rsidRDefault="00DF5565" w:rsidP="00DF5565">
      <w:pPr>
        <w:pStyle w:val="SingleTxtGC"/>
      </w:pPr>
      <w:r w:rsidRPr="00BF42B7">
        <w:t>为了</w:t>
      </w:r>
      <w:r w:rsidRPr="00BF42B7">
        <w:rPr>
          <w:lang w:val="fr-FR"/>
        </w:rPr>
        <w:t>确定</w:t>
      </w:r>
      <w:r w:rsidRPr="00BF42B7">
        <w:t>这类嗣后惯例的</w:t>
      </w:r>
      <w:r w:rsidRPr="00BF42B7">
        <w:rPr>
          <w:rFonts w:hint="eastAsia"/>
        </w:rPr>
        <w:t>“</w:t>
      </w:r>
      <w:r w:rsidRPr="00BF42B7">
        <w:t>相关性</w:t>
      </w:r>
      <w:r w:rsidRPr="00BF42B7">
        <w:rPr>
          <w:rFonts w:hint="eastAsia"/>
        </w:rPr>
        <w:t>”</w:t>
      </w:r>
      <w:r w:rsidRPr="00BF42B7">
        <w:t>，上诉机构援引</w:t>
      </w:r>
      <w:r w:rsidRPr="00BF42B7">
        <w:rPr>
          <w:rFonts w:hint="eastAsia"/>
        </w:rPr>
        <w:t>“</w:t>
      </w:r>
      <w:r w:rsidRPr="00BF42B7">
        <w:t>客观因素</w:t>
      </w:r>
      <w:r w:rsidRPr="00BF42B7">
        <w:rPr>
          <w:rFonts w:hint="eastAsia"/>
        </w:rPr>
        <w:t>”</w:t>
      </w:r>
      <w:r w:rsidRPr="00BF42B7">
        <w:t>：</w:t>
      </w:r>
    </w:p>
    <w:p w:rsidR="00DF5565" w:rsidRPr="00BF42B7" w:rsidRDefault="00DF5565" w:rsidP="00DF5565">
      <w:pPr>
        <w:pStyle w:val="SingleTxtGC"/>
        <w:ind w:left="1554"/>
      </w:pPr>
      <w:r w:rsidRPr="00BF42B7">
        <w:rPr>
          <w:rFonts w:hint="eastAsia"/>
        </w:rPr>
        <w:t>“</w:t>
      </w:r>
      <w:r w:rsidRPr="00BF42B7">
        <w:t>这些包括会议、文件或文书的类型及其法律性质；背景与缔结条约的时间联系；确实了解还是只是能够查阅出版的法案或文书；涉及需解释条约条款的文件、文书或会议的主题；是否在条约谈判过程中得到使用或施加了影响</w:t>
      </w:r>
      <w:r w:rsidRPr="00BF42B7">
        <w:rPr>
          <w:rFonts w:hint="eastAsia"/>
        </w:rPr>
        <w:t>。”</w:t>
      </w:r>
      <w:r w:rsidRPr="00BF42B7">
        <w:rPr>
          <w:color w:val="0000FF"/>
          <w:vertAlign w:val="superscript"/>
        </w:rPr>
        <w:footnoteReference w:id="783"/>
      </w:r>
      <w:r w:rsidRPr="00BF42B7">
        <w:rPr>
          <w:color w:val="0000FF"/>
          <w:vertAlign w:val="superscript"/>
        </w:rPr>
        <w:t xml:space="preserve"> </w:t>
      </w:r>
    </w:p>
    <w:p w:rsidR="00DF5565" w:rsidRPr="00BF42B7" w:rsidRDefault="00DF5565" w:rsidP="00DF5565">
      <w:pPr>
        <w:pStyle w:val="SingleTxtGC"/>
      </w:pPr>
      <w:r w:rsidRPr="00BF42B7">
        <w:t>(13)</w:t>
      </w:r>
      <w:r w:rsidRPr="00BF42B7">
        <w:rPr>
          <w:rFonts w:hint="eastAsia"/>
        </w:rPr>
        <w:t xml:space="preserve">  </w:t>
      </w:r>
      <w:r w:rsidRPr="00BF42B7">
        <w:t>尽管上诉机构并未使用</w:t>
      </w:r>
      <w:r w:rsidRPr="00BF42B7">
        <w:rPr>
          <w:rFonts w:hint="eastAsia"/>
        </w:rPr>
        <w:t>“</w:t>
      </w:r>
      <w:r w:rsidRPr="00BF42B7">
        <w:t>特定性</w:t>
      </w:r>
      <w:r w:rsidRPr="00BF42B7">
        <w:rPr>
          <w:rFonts w:hint="eastAsia"/>
        </w:rPr>
        <w:t>”</w:t>
      </w:r>
      <w:r w:rsidRPr="00BF42B7">
        <w:t>一词，但它提到上文所述的标准。上诉机构没有使用</w:t>
      </w:r>
      <w:r w:rsidRPr="00BF42B7">
        <w:rPr>
          <w:rFonts w:hint="eastAsia"/>
        </w:rPr>
        <w:t>“</w:t>
      </w:r>
      <w:r w:rsidRPr="00BF42B7">
        <w:t>明确性</w:t>
      </w:r>
      <w:r w:rsidRPr="00BF42B7">
        <w:rPr>
          <w:rFonts w:hint="eastAsia"/>
        </w:rPr>
        <w:t>”</w:t>
      </w:r>
      <w:r w:rsidRPr="00BF42B7">
        <w:t>，而是使用</w:t>
      </w:r>
      <w:r w:rsidRPr="00BF42B7">
        <w:rPr>
          <w:rFonts w:hint="eastAsia"/>
        </w:rPr>
        <w:t>“</w:t>
      </w:r>
      <w:r w:rsidRPr="00BF42B7">
        <w:t>一致性</w:t>
      </w:r>
      <w:r w:rsidRPr="00BF42B7">
        <w:rPr>
          <w:rFonts w:hint="eastAsia"/>
        </w:rPr>
        <w:t>”</w:t>
      </w:r>
      <w:r w:rsidRPr="00BF42B7">
        <w:t>的说法，并称，一致性不应作为基准，而只是确定相关的程度。</w:t>
      </w:r>
      <w:r w:rsidRPr="00BF42B7">
        <w:rPr>
          <w:rFonts w:hint="eastAsia"/>
        </w:rPr>
        <w:t>“</w:t>
      </w:r>
      <w:r w:rsidRPr="00BF42B7">
        <w:t>在解释关税减让的含义时</w:t>
      </w:r>
      <w:r w:rsidRPr="00BF42B7">
        <w:rPr>
          <w:rFonts w:hint="eastAsia"/>
        </w:rPr>
        <w:t>，</w:t>
      </w:r>
      <w:r w:rsidRPr="00BF42B7">
        <w:t>以前一致的分类实践可能比较重要。但是，不一致的分类实践就</w:t>
      </w:r>
      <w:r w:rsidRPr="00BF42B7">
        <w:rPr>
          <w:rFonts w:ascii="Time New Roman" w:eastAsia="楷体" w:hAnsi="Time New Roman"/>
        </w:rPr>
        <w:t>不能</w:t>
      </w:r>
      <w:r w:rsidRPr="00BF42B7">
        <w:t>作为参考</w:t>
      </w:r>
      <w:r w:rsidRPr="00BF42B7">
        <w:rPr>
          <w:rFonts w:hint="eastAsia"/>
        </w:rPr>
        <w:t>”。</w:t>
      </w:r>
      <w:r w:rsidRPr="00BF42B7">
        <w:rPr>
          <w:color w:val="0000FF"/>
          <w:vertAlign w:val="superscript"/>
        </w:rPr>
        <w:footnoteReference w:id="784"/>
      </w:r>
      <w:r w:rsidRPr="00BF42B7">
        <w:rPr>
          <w:color w:val="0000FF"/>
          <w:vertAlign w:val="superscript"/>
        </w:rPr>
        <w:t xml:space="preserve"> </w:t>
      </w:r>
    </w:p>
    <w:p w:rsidR="00DF5565" w:rsidRPr="00BF42B7" w:rsidRDefault="00DF5565" w:rsidP="00DF5565">
      <w:pPr>
        <w:pStyle w:val="SingleTxtGC"/>
      </w:pPr>
      <w:r w:rsidRPr="00BF42B7">
        <w:t xml:space="preserve">(14) </w:t>
      </w:r>
      <w:r w:rsidRPr="00BF42B7">
        <w:rPr>
          <w:rFonts w:hint="eastAsia"/>
        </w:rPr>
        <w:t xml:space="preserve"> </w:t>
      </w:r>
      <w:r w:rsidRPr="00BF42B7">
        <w:t>另一个有助于确定第三十二条下相关性的因素或许是参与这一惯例的受影响国家的数目。上诉机构指出：</w:t>
      </w:r>
    </w:p>
    <w:p w:rsidR="00DF5565" w:rsidRPr="00BF42B7" w:rsidRDefault="00DF5565" w:rsidP="00DF5565">
      <w:pPr>
        <w:pStyle w:val="SingleTxtGC"/>
        <w:ind w:left="1554"/>
      </w:pPr>
      <w:r w:rsidRPr="00BF42B7">
        <w:rPr>
          <w:rFonts w:hint="eastAsia"/>
        </w:rPr>
        <w:t>“</w:t>
      </w:r>
      <w:r w:rsidRPr="00BF42B7">
        <w:t>为确立这种</w:t>
      </w:r>
      <w:r w:rsidRPr="00BF42B7">
        <w:rPr>
          <w:lang w:val="fr-FR"/>
        </w:rPr>
        <w:t>意向</w:t>
      </w:r>
      <w:r w:rsidRPr="00BF42B7">
        <w:t>，只有</w:t>
      </w:r>
      <w:r w:rsidRPr="00BF42B7">
        <w:rPr>
          <w:rFonts w:ascii="Time New Roman" w:eastAsia="楷体" w:hAnsi="Time New Roman"/>
        </w:rPr>
        <w:t>一个</w:t>
      </w:r>
      <w:r w:rsidRPr="00BF42B7">
        <w:t>缔约国以前的惯例可能也适用，但相对于全体缔约国的惯例而言，其价值显然大打折扣。具体到申根关税减让的解释，事实上，进口成员国的分类实践较为重要。</w:t>
      </w:r>
      <w:r w:rsidRPr="00BF42B7">
        <w:rPr>
          <w:rFonts w:hint="eastAsia"/>
        </w:rPr>
        <w:t>”</w:t>
      </w:r>
      <w:r w:rsidRPr="00BF42B7">
        <w:rPr>
          <w:color w:val="0000FF"/>
          <w:vertAlign w:val="superscript"/>
        </w:rPr>
        <w:footnoteReference w:id="785"/>
      </w:r>
      <w:r w:rsidRPr="00BF42B7">
        <w:rPr>
          <w:color w:val="0000FF"/>
          <w:vertAlign w:val="superscript"/>
        </w:rPr>
        <w:t xml:space="preserve"> </w:t>
      </w:r>
    </w:p>
    <w:p w:rsidR="00DF5565" w:rsidRPr="00BF42B7" w:rsidRDefault="00DF5565" w:rsidP="00DF5565">
      <w:pPr>
        <w:pStyle w:val="H23GC"/>
        <w:ind w:left="1554"/>
      </w:pPr>
      <w:r w:rsidRPr="00BF42B7">
        <w:rPr>
          <w:rFonts w:hint="eastAsia"/>
          <w:lang w:val="en-GB"/>
        </w:rPr>
        <w:tab/>
      </w:r>
      <w:r w:rsidRPr="00BF42B7">
        <w:rPr>
          <w:rFonts w:hint="eastAsia"/>
          <w:lang w:val="en-GB"/>
        </w:rPr>
        <w:tab/>
      </w:r>
      <w:r w:rsidRPr="00BF42B7">
        <w:rPr>
          <w:rFonts w:hint="eastAsia"/>
          <w:lang w:val="en-GB"/>
        </w:rPr>
        <w:t>结论</w:t>
      </w:r>
      <w:r w:rsidRPr="00BF42B7">
        <w:rPr>
          <w:rFonts w:hint="eastAsia"/>
          <w:lang w:val="en-GB"/>
        </w:rPr>
        <w:t>10[9]</w:t>
      </w:r>
      <w:r w:rsidRPr="00BF42B7">
        <w:rPr>
          <w:rFonts w:hint="eastAsia"/>
          <w:lang w:val="en-GB"/>
        </w:rPr>
        <w:br/>
      </w:r>
      <w:r w:rsidRPr="00BF42B7">
        <w:rPr>
          <w:rFonts w:hint="eastAsia"/>
        </w:rPr>
        <w:t>与条约解释有关的缔约方协定</w:t>
      </w:r>
    </w:p>
    <w:p w:rsidR="00DF5565" w:rsidRPr="00BF42B7" w:rsidRDefault="00DF5565" w:rsidP="00CE1485">
      <w:pPr>
        <w:pStyle w:val="SingleTxtGC"/>
        <w:ind w:left="1554"/>
      </w:pPr>
      <w:r w:rsidRPr="00BF42B7">
        <w:t>1.</w:t>
      </w:r>
      <w:r w:rsidRPr="00BF42B7">
        <w:rPr>
          <w:rFonts w:hint="eastAsia"/>
        </w:rPr>
        <w:t xml:space="preserve">  </w:t>
      </w:r>
      <w:r w:rsidRPr="00BF42B7">
        <w:rPr>
          <w:rFonts w:hint="eastAsia"/>
        </w:rPr>
        <w:t>第三十一条第三款</w:t>
      </w:r>
      <w:r w:rsidRPr="00BF42B7">
        <w:t>(a)</w:t>
      </w:r>
      <w:r w:rsidRPr="00BF42B7">
        <w:rPr>
          <w:rFonts w:hint="eastAsia"/>
        </w:rPr>
        <w:t>和</w:t>
      </w:r>
      <w:r w:rsidRPr="00BF42B7">
        <w:t>(b)</w:t>
      </w:r>
      <w:r w:rsidRPr="00BF42B7">
        <w:t>项</w:t>
      </w:r>
      <w:r w:rsidRPr="00BF42B7">
        <w:rPr>
          <w:rFonts w:hint="eastAsia"/>
        </w:rPr>
        <w:t>所称的协定必须是各缔约方知悉并接受的关于条约解释的共同理解。这种协定虽然应予以考虑，但不必具有法律约束力。</w:t>
      </w:r>
    </w:p>
    <w:p w:rsidR="00DF5565" w:rsidRPr="00BF42B7" w:rsidRDefault="00DF5565" w:rsidP="00CE1485">
      <w:pPr>
        <w:pStyle w:val="SingleTxtGC"/>
        <w:ind w:left="1554"/>
      </w:pPr>
      <w:r w:rsidRPr="00BF42B7">
        <w:t>2.</w:t>
      </w:r>
      <w:r w:rsidRPr="00BF42B7">
        <w:rPr>
          <w:rFonts w:hint="eastAsia"/>
        </w:rPr>
        <w:t xml:space="preserve">  </w:t>
      </w:r>
      <w:r w:rsidRPr="00BF42B7">
        <w:rPr>
          <w:lang w:val="zh-CN"/>
        </w:rPr>
        <w:t>为确立第三十一条第三款</w:t>
      </w:r>
      <w:r w:rsidRPr="00BF42B7">
        <w:rPr>
          <w:lang w:val="zh-CN"/>
        </w:rPr>
        <w:t>(b)</w:t>
      </w:r>
      <w:r w:rsidRPr="00BF42B7">
        <w:rPr>
          <w:lang w:val="zh-CN"/>
        </w:rPr>
        <w:t>项所称的协定而必须积极适用嗣后惯例的缔约方数目可能不尽相同。在有关情况要求作出某种反应时，一个或多个缔约方的沉默可构成对嗣后惯例的接受</w:t>
      </w:r>
      <w:r w:rsidRPr="00BF42B7">
        <w:rPr>
          <w:rFonts w:hint="eastAsia"/>
        </w:rPr>
        <w:t>。</w:t>
      </w:r>
    </w:p>
    <w:p w:rsidR="00DF5565" w:rsidRPr="00BF42B7" w:rsidRDefault="00DF5565" w:rsidP="00DF5565">
      <w:pPr>
        <w:pStyle w:val="H23GC"/>
      </w:pPr>
      <w:r w:rsidRPr="00BF42B7">
        <w:rPr>
          <w:rFonts w:hint="eastAsia"/>
        </w:rPr>
        <w:tab/>
      </w:r>
      <w:r w:rsidRPr="00BF42B7">
        <w:rPr>
          <w:rFonts w:hint="eastAsia"/>
        </w:rPr>
        <w:tab/>
      </w:r>
      <w:r w:rsidRPr="00BF42B7">
        <w:rPr>
          <w:rFonts w:hint="eastAsia"/>
        </w:rPr>
        <w:t>评注</w:t>
      </w:r>
    </w:p>
    <w:p w:rsidR="00DF5565" w:rsidRPr="00BF42B7" w:rsidRDefault="00DF5565" w:rsidP="00DF5565">
      <w:pPr>
        <w:pStyle w:val="H4GC"/>
        <w:rPr>
          <w:rFonts w:eastAsia="楷体"/>
          <w:spacing w:val="-4"/>
          <w:lang w:val="en-GB"/>
        </w:rPr>
      </w:pPr>
      <w:r w:rsidRPr="00BF42B7">
        <w:rPr>
          <w:rFonts w:eastAsia="楷体" w:hint="eastAsia"/>
          <w:lang w:val="en-GB"/>
        </w:rPr>
        <w:tab/>
      </w:r>
      <w:r w:rsidRPr="00BF42B7">
        <w:rPr>
          <w:rFonts w:eastAsia="楷体" w:hint="eastAsia"/>
          <w:lang w:val="en-GB"/>
        </w:rPr>
        <w:tab/>
      </w:r>
      <w:r w:rsidRPr="00BF42B7">
        <w:rPr>
          <w:rFonts w:eastAsia="楷体" w:hint="eastAsia"/>
          <w:lang w:val="en-GB"/>
        </w:rPr>
        <w:t>第</w:t>
      </w:r>
      <w:r w:rsidRPr="00BF42B7">
        <w:rPr>
          <w:rFonts w:eastAsia="楷体" w:hint="eastAsia"/>
          <w:lang w:val="en-GB"/>
        </w:rPr>
        <w:t>1</w:t>
      </w:r>
      <w:r w:rsidRPr="00BF42B7">
        <w:rPr>
          <w:rFonts w:eastAsia="楷体" w:hint="eastAsia"/>
          <w:lang w:val="en-GB"/>
        </w:rPr>
        <w:t>段第一句</w:t>
      </w:r>
      <w:r w:rsidRPr="00BF42B7">
        <w:rPr>
          <w:rFonts w:eastAsia="楷体" w:hint="eastAsia"/>
          <w:spacing w:val="-50"/>
        </w:rPr>
        <w:t>―</w:t>
      </w:r>
      <w:r w:rsidRPr="00BF42B7">
        <w:rPr>
          <w:rFonts w:eastAsia="楷体" w:hint="eastAsia"/>
        </w:rPr>
        <w:t>―</w:t>
      </w:r>
      <w:r w:rsidRPr="00BF42B7">
        <w:rPr>
          <w:rFonts w:eastAsia="楷体" w:hint="eastAsia"/>
          <w:spacing w:val="-4"/>
          <w:lang w:val="en-GB"/>
        </w:rPr>
        <w:t>“共同理解”</w:t>
      </w:r>
    </w:p>
    <w:p w:rsidR="00DF5565" w:rsidRPr="00BF42B7" w:rsidRDefault="00DF5565" w:rsidP="00DF5565">
      <w:pPr>
        <w:pStyle w:val="SingleTxtGC"/>
      </w:pPr>
      <w:r w:rsidRPr="00BF42B7">
        <w:t>(1)</w:t>
      </w:r>
      <w:r w:rsidRPr="00BF42B7">
        <w:rPr>
          <w:rFonts w:hint="eastAsia"/>
        </w:rPr>
        <w:t xml:space="preserve">  </w:t>
      </w:r>
      <w:r w:rsidRPr="00BF42B7">
        <w:rPr>
          <w:rFonts w:hint="eastAsia"/>
        </w:rPr>
        <w:t>第</w:t>
      </w:r>
      <w:r w:rsidRPr="00BF42B7">
        <w:t>1</w:t>
      </w:r>
      <w:r w:rsidRPr="00BF42B7">
        <w:rPr>
          <w:rFonts w:hint="eastAsia"/>
        </w:rPr>
        <w:t>段第一句提出了一项原则，即第三十一条第三款</w:t>
      </w:r>
      <w:r w:rsidRPr="00BF42B7">
        <w:t>(a)</w:t>
      </w:r>
      <w:r w:rsidRPr="00BF42B7">
        <w:t>项</w:t>
      </w:r>
      <w:r w:rsidRPr="00BF42B7">
        <w:rPr>
          <w:rFonts w:hint="eastAsia"/>
        </w:rPr>
        <w:t>和</w:t>
      </w:r>
      <w:r w:rsidRPr="00BF42B7">
        <w:t>(b)</w:t>
      </w:r>
      <w:r w:rsidRPr="00BF42B7">
        <w:t>项</w:t>
      </w:r>
      <w:r w:rsidRPr="00BF42B7">
        <w:rPr>
          <w:rFonts w:hint="eastAsia"/>
        </w:rPr>
        <w:t>所称的协定必须是缔约方关于条约解释的共同理解。要使共同理解具有第三十一条第三款规定的效力，缔约国必须知悉并接受其中包含的解释。在结论草案</w:t>
      </w:r>
      <w:r w:rsidRPr="00BF42B7">
        <w:rPr>
          <w:rFonts w:hint="eastAsia"/>
        </w:rPr>
        <w:t>4</w:t>
      </w:r>
      <w:r w:rsidRPr="00BF42B7">
        <w:rPr>
          <w:rFonts w:hint="eastAsia"/>
        </w:rPr>
        <w:t>及其评注</w:t>
      </w:r>
      <w:r w:rsidRPr="00BF42B7">
        <w:rPr>
          <w:color w:val="0000FF"/>
          <w:vertAlign w:val="superscript"/>
        </w:rPr>
        <w:footnoteReference w:id="786"/>
      </w:r>
      <w:r w:rsidRPr="00BF42B7">
        <w:rPr>
          <w:color w:val="0000FF"/>
          <w:vertAlign w:val="superscript"/>
        </w:rPr>
        <w:t xml:space="preserve"> </w:t>
      </w:r>
      <w:r w:rsidRPr="00BF42B7">
        <w:rPr>
          <w:rFonts w:hint="eastAsia"/>
        </w:rPr>
        <w:t>中已经说明了</w:t>
      </w:r>
      <w:r w:rsidRPr="00BF42B7">
        <w:t>(a)</w:t>
      </w:r>
      <w:r w:rsidRPr="00BF42B7">
        <w:t>项</w:t>
      </w:r>
      <w:r w:rsidRPr="00BF42B7">
        <w:rPr>
          <w:rFonts w:hint="eastAsia"/>
        </w:rPr>
        <w:t>和</w:t>
      </w:r>
      <w:r w:rsidRPr="00BF42B7">
        <w:t>(b)</w:t>
      </w:r>
      <w:r w:rsidRPr="00BF42B7">
        <w:t>项</w:t>
      </w:r>
      <w:r w:rsidRPr="00BF42B7">
        <w:rPr>
          <w:rFonts w:hint="eastAsia"/>
        </w:rPr>
        <w:t>所述“协定”形式的不同，而结论草案</w:t>
      </w:r>
      <w:r w:rsidRPr="00BF42B7">
        <w:rPr>
          <w:rFonts w:hint="eastAsia"/>
        </w:rPr>
        <w:t>10[9]</w:t>
      </w:r>
      <w:r w:rsidRPr="00BF42B7">
        <w:rPr>
          <w:rFonts w:hint="eastAsia"/>
        </w:rPr>
        <w:t>第</w:t>
      </w:r>
      <w:r w:rsidRPr="00BF42B7">
        <w:t>1</w:t>
      </w:r>
      <w:r w:rsidRPr="00BF42B7">
        <w:rPr>
          <w:rFonts w:hint="eastAsia"/>
        </w:rPr>
        <w:t>段旨在找出这两项的共同之处，即缔约方就条约解释在实质上达成的协定。</w:t>
      </w:r>
    </w:p>
    <w:p w:rsidR="00DF5565" w:rsidRPr="00BF42B7" w:rsidRDefault="00DF5565" w:rsidP="00DF5565">
      <w:pPr>
        <w:pStyle w:val="SingleTxtGC"/>
        <w:rPr>
          <w:spacing w:val="-4"/>
        </w:rPr>
      </w:pPr>
      <w:r w:rsidRPr="00BF42B7">
        <w:rPr>
          <w:spacing w:val="-4"/>
        </w:rPr>
        <w:t xml:space="preserve">(2)  </w:t>
      </w:r>
      <w:r w:rsidRPr="00BF42B7">
        <w:rPr>
          <w:rFonts w:hint="eastAsia"/>
          <w:spacing w:val="-4"/>
        </w:rPr>
        <w:t>区分作为第三十一条第三款</w:t>
      </w:r>
      <w:r w:rsidRPr="00BF42B7">
        <w:rPr>
          <w:spacing w:val="-4"/>
        </w:rPr>
        <w:t>(a)</w:t>
      </w:r>
      <w:r w:rsidRPr="00BF42B7">
        <w:rPr>
          <w:spacing w:val="-4"/>
        </w:rPr>
        <w:t>项</w:t>
      </w:r>
      <w:r w:rsidRPr="00BF42B7">
        <w:rPr>
          <w:rFonts w:hint="eastAsia"/>
          <w:spacing w:val="-4"/>
        </w:rPr>
        <w:t>和</w:t>
      </w:r>
      <w:r w:rsidRPr="00BF42B7">
        <w:rPr>
          <w:spacing w:val="-4"/>
        </w:rPr>
        <w:t>(b)</w:t>
      </w:r>
      <w:r w:rsidRPr="00BF42B7">
        <w:rPr>
          <w:spacing w:val="-4"/>
        </w:rPr>
        <w:t>项</w:t>
      </w:r>
      <w:r w:rsidRPr="00BF42B7">
        <w:rPr>
          <w:rFonts w:hint="eastAsia"/>
          <w:spacing w:val="-4"/>
        </w:rPr>
        <w:t>所述作准解释资料的嗣后协定和嗣后惯例与第三十二条所述作为补充解释资料的嗣后惯例</w:t>
      </w:r>
      <w:r w:rsidRPr="00BF42B7">
        <w:rPr>
          <w:color w:val="0000FF"/>
          <w:spacing w:val="-4"/>
          <w:vertAlign w:val="superscript"/>
        </w:rPr>
        <w:footnoteReference w:id="787"/>
      </w:r>
      <w:r w:rsidRPr="00BF42B7">
        <w:rPr>
          <w:color w:val="0000FF"/>
          <w:spacing w:val="-4"/>
          <w:vertAlign w:val="superscript"/>
        </w:rPr>
        <w:t xml:space="preserve"> </w:t>
      </w:r>
      <w:r w:rsidRPr="00BF42B7">
        <w:rPr>
          <w:rFonts w:hint="eastAsia"/>
          <w:spacing w:val="-4"/>
        </w:rPr>
        <w:t>的一个要素是所有缔约方就条约解释达成的“协定”。正是缔约方的这种协定使第三十一条第三款所述的解释资料</w:t>
      </w:r>
      <w:r w:rsidRPr="00BF42B7">
        <w:rPr>
          <w:color w:val="0000FF"/>
          <w:spacing w:val="-4"/>
          <w:vertAlign w:val="superscript"/>
        </w:rPr>
        <w:footnoteReference w:id="788"/>
      </w:r>
      <w:r w:rsidRPr="00BF42B7">
        <w:rPr>
          <w:color w:val="0000FF"/>
          <w:spacing w:val="-4"/>
          <w:vertAlign w:val="superscript"/>
        </w:rPr>
        <w:t xml:space="preserve"> </w:t>
      </w:r>
      <w:r w:rsidRPr="00BF42B7">
        <w:rPr>
          <w:rFonts w:hint="eastAsia"/>
          <w:spacing w:val="-4"/>
        </w:rPr>
        <w:t>对于第三十一条下解释通则的互动解释进程具备了特定的功能和权重。</w:t>
      </w:r>
      <w:r w:rsidRPr="00BF42B7">
        <w:rPr>
          <w:color w:val="0000FF"/>
          <w:spacing w:val="-4"/>
          <w:vertAlign w:val="superscript"/>
        </w:rPr>
        <w:footnoteReference w:id="789"/>
      </w:r>
      <w:r w:rsidRPr="00BF42B7">
        <w:rPr>
          <w:color w:val="0000FF"/>
          <w:spacing w:val="-4"/>
          <w:vertAlign w:val="superscript"/>
        </w:rPr>
        <w:t xml:space="preserve"> </w:t>
      </w:r>
    </w:p>
    <w:p w:rsidR="00DF5565" w:rsidRPr="00BF42B7" w:rsidRDefault="00DF5565" w:rsidP="00DF5565">
      <w:pPr>
        <w:pStyle w:val="SingleTxtGC"/>
      </w:pPr>
      <w:r w:rsidRPr="00BF42B7">
        <w:t xml:space="preserve">(3)  </w:t>
      </w:r>
      <w:r w:rsidRPr="00BF42B7">
        <w:rPr>
          <w:rFonts w:hint="eastAsia"/>
        </w:rPr>
        <w:t>不同缔约方就条约表达的相互冲突的立场就排除了协定的存在。包括仲裁法庭在</w:t>
      </w:r>
      <w:r w:rsidRPr="00BF42B7">
        <w:rPr>
          <w:rFonts w:ascii="Time New Roman" w:eastAsia="楷体" w:hAnsi="Time New Roman" w:hint="eastAsia"/>
        </w:rPr>
        <w:t>德国外债案</w:t>
      </w:r>
      <w:r w:rsidRPr="00BF42B7">
        <w:rPr>
          <w:rFonts w:hint="eastAsia"/>
        </w:rPr>
        <w:t>中的裁决等都确认了这一点，该裁决称，通过管理机构的一系列函件，无法得出“嗣后默认的理解”，因为其中一家机构即英格兰银行表达了不一样的立场。</w:t>
      </w:r>
      <w:r w:rsidRPr="00BF42B7">
        <w:rPr>
          <w:color w:val="0000FF"/>
          <w:vertAlign w:val="superscript"/>
        </w:rPr>
        <w:footnoteReference w:id="790"/>
      </w:r>
      <w:r w:rsidRPr="00BF42B7">
        <w:rPr>
          <w:color w:val="0000FF"/>
          <w:vertAlign w:val="superscript"/>
        </w:rPr>
        <w:t xml:space="preserve"> </w:t>
      </w:r>
    </w:p>
    <w:p w:rsidR="00DF5565" w:rsidRPr="00BF42B7" w:rsidRDefault="00DF5565" w:rsidP="00DF5565">
      <w:pPr>
        <w:pStyle w:val="SingleTxtGC"/>
      </w:pPr>
      <w:r w:rsidRPr="00BF42B7">
        <w:t xml:space="preserve">(4)  </w:t>
      </w:r>
      <w:r w:rsidRPr="00BF42B7">
        <w:rPr>
          <w:rFonts w:hint="eastAsia"/>
        </w:rPr>
        <w:t>但是，只有在缔约方的立场相冲突的范围内并就缔约方的立场冲突持续的这一时期而言，才不存在协定。缔约方以不同的方式适用条约这一事实本身并不能够使人得出结论，认为就条约解释方面存在相互冲突的立场。这种不同可能说明对一个正确的解释存在不同意见，但也可能仅仅反映出一种共同理解，即条约允许在适用时行使一定范围的自由裁量权</w:t>
      </w:r>
      <w:r w:rsidRPr="00BF42B7">
        <w:rPr>
          <w:color w:val="0000FF"/>
          <w:vertAlign w:val="superscript"/>
        </w:rPr>
        <w:footnoteReference w:id="791"/>
      </w:r>
      <w:r w:rsidRPr="00BF42B7">
        <w:rPr>
          <w:rFonts w:hint="eastAsia"/>
        </w:rPr>
        <w:t>。以全人类的考虑或</w:t>
      </w:r>
      <w:r w:rsidRPr="00BF42B7">
        <w:t>其他</w:t>
      </w:r>
      <w:r w:rsidRPr="00BF42B7">
        <w:rPr>
          <w:rFonts w:hint="eastAsia"/>
        </w:rPr>
        <w:t>总体人群利益为特点的条约，如关于人权或难民的条约往往意在有一个统一的解释，但也会为各国行使自由裁量权留出一定的斟酌空间。</w:t>
      </w:r>
    </w:p>
    <w:p w:rsidR="00DF5565" w:rsidRPr="00BF42B7" w:rsidRDefault="00DF5565" w:rsidP="00DF5565">
      <w:pPr>
        <w:pStyle w:val="SingleTxtGC"/>
        <w:rPr>
          <w:spacing w:val="-4"/>
        </w:rPr>
      </w:pPr>
      <w:r w:rsidRPr="00BF42B7">
        <w:rPr>
          <w:spacing w:val="-4"/>
        </w:rPr>
        <w:t xml:space="preserve">(5)  </w:t>
      </w:r>
      <w:r w:rsidRPr="00BF42B7">
        <w:rPr>
          <w:rFonts w:hint="eastAsia"/>
          <w:spacing w:val="-4"/>
        </w:rPr>
        <w:t>一个或多个缔约方模棱两可的行为通常使人无法确认存在协定</w:t>
      </w:r>
      <w:r w:rsidRPr="00BF42B7">
        <w:rPr>
          <w:color w:val="0000FF"/>
          <w:spacing w:val="-4"/>
          <w:vertAlign w:val="superscript"/>
        </w:rPr>
        <w:footnoteReference w:id="792"/>
      </w:r>
      <w:r w:rsidRPr="00BF42B7">
        <w:rPr>
          <w:color w:val="0000FF"/>
          <w:spacing w:val="-4"/>
          <w:vertAlign w:val="superscript"/>
        </w:rPr>
        <w:t xml:space="preserve"> </w:t>
      </w:r>
      <w:r w:rsidRPr="00BF42B7">
        <w:rPr>
          <w:rFonts w:hint="eastAsia"/>
          <w:spacing w:val="-4"/>
        </w:rPr>
        <w:t>，但是，并不是一国行为中不符合总体情况的每个要素都必然导致该国行为具有模糊性。例如，仲裁法庭在比格尔海峡案中认为，尽管缔约方在有一点上就条约解释存在不同意见，但这一事实并不必然说明无协定是永久性的</w:t>
      </w:r>
      <w:r w:rsidRPr="00BF42B7">
        <w:rPr>
          <w:spacing w:val="-4"/>
        </w:rPr>
        <w:t>：</w:t>
      </w:r>
    </w:p>
    <w:p w:rsidR="00DF5565" w:rsidRPr="00BF42B7" w:rsidRDefault="00DF5565" w:rsidP="00DF5565">
      <w:pPr>
        <w:pStyle w:val="SingleTxtGC"/>
        <w:ind w:left="1554"/>
      </w:pPr>
      <w:r w:rsidRPr="00BF42B7">
        <w:rPr>
          <w:rFonts w:hint="eastAsia"/>
        </w:rPr>
        <w:t>“同样，关于</w:t>
      </w:r>
      <w:r w:rsidRPr="00BF42B7">
        <w:rPr>
          <w:rFonts w:hint="eastAsia"/>
          <w:lang w:val="fr-FR"/>
        </w:rPr>
        <w:t>解决</w:t>
      </w:r>
      <w:r w:rsidRPr="00BF42B7">
        <w:rPr>
          <w:rFonts w:hint="eastAsia"/>
        </w:rPr>
        <w:t>办法的谈判没有取得一个</w:t>
      </w:r>
      <w:r w:rsidRPr="00BF42B7">
        <w:rPr>
          <w:rFonts w:hint="eastAsia"/>
        </w:rPr>
        <w:t>[</w:t>
      </w:r>
      <w:r w:rsidRPr="00BF42B7">
        <w:rPr>
          <w:rFonts w:hint="eastAsia"/>
        </w:rPr>
        <w:t>解决办法</w:t>
      </w:r>
      <w:r w:rsidRPr="00BF42B7">
        <w:rPr>
          <w:rFonts w:hint="eastAsia"/>
        </w:rPr>
        <w:t>]</w:t>
      </w:r>
      <w:r w:rsidRPr="00BF42B7">
        <w:rPr>
          <w:rFonts w:hint="eastAsia"/>
        </w:rPr>
        <w:t>也很难说就有永久性的效力。就谈判过程中发生的行为而言，最多也可能只是临时性地使缔约方的行为失去了支持其对条约各自解释的实证价值。最多也就是这样了。”</w:t>
      </w:r>
      <w:r w:rsidRPr="00BF42B7">
        <w:rPr>
          <w:color w:val="0000FF"/>
          <w:vertAlign w:val="superscript"/>
        </w:rPr>
        <w:footnoteReference w:id="793"/>
      </w:r>
      <w:r w:rsidRPr="00BF42B7">
        <w:rPr>
          <w:color w:val="0000FF"/>
          <w:vertAlign w:val="superscript"/>
        </w:rPr>
        <w:t xml:space="preserve"> </w:t>
      </w:r>
    </w:p>
    <w:p w:rsidR="00DF5565" w:rsidRPr="00BF42B7" w:rsidRDefault="00DF5565" w:rsidP="00DF5565">
      <w:pPr>
        <w:pStyle w:val="SingleTxtGC"/>
      </w:pPr>
      <w:r w:rsidRPr="00BF42B7">
        <w:t xml:space="preserve">(6)  </w:t>
      </w:r>
      <w:r w:rsidRPr="00BF42B7">
        <w:rPr>
          <w:rFonts w:hint="eastAsia"/>
        </w:rPr>
        <w:t>与此相似，在</w:t>
      </w:r>
      <w:r w:rsidRPr="00BF42B7">
        <w:t>Loizidou</w:t>
      </w:r>
      <w:r w:rsidRPr="00BF42B7">
        <w:rPr>
          <w:rFonts w:ascii="Time New Roman" w:eastAsia="楷体" w:hAnsi="Time New Roman" w:hint="eastAsia"/>
        </w:rPr>
        <w:t>诉土耳其案</w:t>
      </w:r>
      <w:r w:rsidRPr="00BF42B7">
        <w:rPr>
          <w:rFonts w:hint="eastAsia"/>
        </w:rPr>
        <w:t>中，欧洲人权法院认为，缔约方对于其接受委员会和法院职能所规定限制的范围“通过缔约方的嗣后实践得到确认”，即“有证据显示一种惯例，表明缔约方基本普遍同意《公约》第</w:t>
      </w:r>
      <w:r w:rsidRPr="00BF42B7">
        <w:t>25</w:t>
      </w:r>
      <w:r w:rsidRPr="00BF42B7">
        <w:rPr>
          <w:rFonts w:hint="eastAsia"/>
        </w:rPr>
        <w:t>和第</w:t>
      </w:r>
      <w:r w:rsidRPr="00BF42B7">
        <w:t>46</w:t>
      </w:r>
      <w:r w:rsidRPr="00BF42B7">
        <w:rPr>
          <w:rFonts w:hint="eastAsia"/>
        </w:rPr>
        <w:t>条不允许作出领土或实质性的限制。”</w:t>
      </w:r>
      <w:r w:rsidRPr="00BF42B7">
        <w:rPr>
          <w:color w:val="0000FF"/>
          <w:vertAlign w:val="superscript"/>
        </w:rPr>
        <w:footnoteReference w:id="794"/>
      </w:r>
      <w:r w:rsidRPr="00BF42B7">
        <w:rPr>
          <w:color w:val="0000FF"/>
          <w:vertAlign w:val="superscript"/>
        </w:rPr>
        <w:t xml:space="preserve"> </w:t>
      </w:r>
      <w:r w:rsidRPr="00BF42B7">
        <w:rPr>
          <w:rFonts w:hint="eastAsia"/>
        </w:rPr>
        <w:t>法院在适用第三十一条第三款</w:t>
      </w:r>
      <w:r w:rsidRPr="00BF42B7">
        <w:t>(b)</w:t>
      </w:r>
      <w:r w:rsidRPr="00BF42B7">
        <w:t>项</w:t>
      </w:r>
      <w:r w:rsidRPr="00BF42B7">
        <w:rPr>
          <w:rFonts w:hint="eastAsia"/>
        </w:rPr>
        <w:t>时将“这种国家实践”称为“统一和一贯的”，虽然它同时也承认两个国家即有可能构成例外。</w:t>
      </w:r>
      <w:r w:rsidRPr="00BF42B7">
        <w:rPr>
          <w:color w:val="0000FF"/>
          <w:vertAlign w:val="superscript"/>
        </w:rPr>
        <w:footnoteReference w:id="795"/>
      </w:r>
      <w:r w:rsidRPr="00BF42B7">
        <w:rPr>
          <w:color w:val="0000FF"/>
          <w:vertAlign w:val="superscript"/>
        </w:rPr>
        <w:t xml:space="preserve"> </w:t>
      </w:r>
      <w:r w:rsidRPr="00BF42B7">
        <w:rPr>
          <w:rFonts w:hint="eastAsia"/>
        </w:rPr>
        <w:t>这一裁决表明，解释者</w:t>
      </w:r>
      <w:r w:rsidRPr="00BF42B7">
        <w:rPr>
          <w:rFonts w:hint="eastAsia"/>
        </w:rPr>
        <w:t>(</w:t>
      </w:r>
      <w:r w:rsidRPr="00BF42B7">
        <w:rPr>
          <w:rFonts w:hint="eastAsia"/>
        </w:rPr>
        <w:t>至少在《欧洲公约》下</w:t>
      </w:r>
      <w:r w:rsidRPr="00BF42B7">
        <w:rPr>
          <w:rFonts w:hint="eastAsia"/>
        </w:rPr>
        <w:t>)</w:t>
      </w:r>
      <w:r w:rsidRPr="00BF42B7">
        <w:rPr>
          <w:rFonts w:hint="eastAsia"/>
        </w:rPr>
        <w:t>在评估缔约方就一特定解释是否达成一致时有一定的斟酌余地。</w:t>
      </w:r>
      <w:r w:rsidRPr="00BF42B7">
        <w:rPr>
          <w:color w:val="0000FF"/>
          <w:vertAlign w:val="superscript"/>
        </w:rPr>
        <w:footnoteReference w:id="796"/>
      </w:r>
      <w:r w:rsidRPr="00BF42B7">
        <w:rPr>
          <w:color w:val="0000FF"/>
          <w:vertAlign w:val="superscript"/>
        </w:rPr>
        <w:t xml:space="preserve"> </w:t>
      </w:r>
    </w:p>
    <w:p w:rsidR="00DF5565" w:rsidRPr="00BF42B7" w:rsidRDefault="00DF5565" w:rsidP="00DF5565">
      <w:pPr>
        <w:pStyle w:val="SingleTxtGC"/>
      </w:pPr>
      <w:r w:rsidRPr="00BF42B7">
        <w:t xml:space="preserve">(7)  </w:t>
      </w:r>
      <w:r w:rsidRPr="00BF42B7">
        <w:rPr>
          <w:rFonts w:hint="eastAsia"/>
        </w:rPr>
        <w:t>1969</w:t>
      </w:r>
      <w:r w:rsidRPr="00BF42B7">
        <w:rPr>
          <w:rFonts w:hint="eastAsia"/>
        </w:rPr>
        <w:t>年《维也纳公约》中的“协定”一词</w:t>
      </w:r>
      <w:r w:rsidRPr="00BF42B7">
        <w:rPr>
          <w:color w:val="0000FF"/>
          <w:vertAlign w:val="superscript"/>
        </w:rPr>
        <w:footnoteReference w:id="797"/>
      </w:r>
      <w:r w:rsidRPr="00BF42B7">
        <w:rPr>
          <w:color w:val="0000FF"/>
          <w:vertAlign w:val="superscript"/>
        </w:rPr>
        <w:t xml:space="preserve"> </w:t>
      </w:r>
      <w:r w:rsidRPr="00BF42B7">
        <w:rPr>
          <w:rFonts w:hint="eastAsia"/>
        </w:rPr>
        <w:t>并不意味着任何具体的形式要求，</w:t>
      </w:r>
      <w:r w:rsidRPr="00BF42B7">
        <w:rPr>
          <w:color w:val="0000FF"/>
          <w:vertAlign w:val="superscript"/>
        </w:rPr>
        <w:footnoteReference w:id="798"/>
      </w:r>
      <w:r w:rsidRPr="00BF42B7">
        <w:rPr>
          <w:color w:val="0000FF"/>
          <w:vertAlign w:val="superscript"/>
        </w:rPr>
        <w:t xml:space="preserve"> </w:t>
      </w:r>
      <w:r w:rsidRPr="00BF42B7">
        <w:rPr>
          <w:rFonts w:hint="eastAsia"/>
        </w:rPr>
        <w:t>包括第三十一条第三款</w:t>
      </w:r>
      <w:r w:rsidRPr="00BF42B7">
        <w:t>(a)</w:t>
      </w:r>
      <w:r w:rsidRPr="00BF42B7">
        <w:t>项</w:t>
      </w:r>
      <w:r w:rsidRPr="00BF42B7">
        <w:rPr>
          <w:rFonts w:hint="eastAsia"/>
        </w:rPr>
        <w:t>和</w:t>
      </w:r>
      <w:r w:rsidRPr="00BF42B7">
        <w:t>(b)</w:t>
      </w:r>
      <w:r w:rsidRPr="00BF42B7">
        <w:t>项</w:t>
      </w:r>
      <w:r w:rsidRPr="00BF42B7">
        <w:rPr>
          <w:rFonts w:hint="eastAsia"/>
        </w:rPr>
        <w:t>所述的“协定”</w:t>
      </w:r>
      <w:bookmarkStart w:id="178" w:name="_Ref461976990"/>
      <w:r w:rsidRPr="00BF42B7">
        <w:rPr>
          <w:color w:val="0000FF"/>
          <w:vertAlign w:val="superscript"/>
        </w:rPr>
        <w:footnoteReference w:id="799"/>
      </w:r>
      <w:bookmarkEnd w:id="178"/>
      <w:r w:rsidRPr="00BF42B7">
        <w:rPr>
          <w:color w:val="0000FF"/>
          <w:vertAlign w:val="superscript"/>
        </w:rPr>
        <w:t xml:space="preserve"> </w:t>
      </w:r>
      <w:r w:rsidRPr="00BF42B7">
        <w:rPr>
          <w:rFonts w:hint="eastAsia"/>
        </w:rPr>
        <w:t>但是，委员会注意到，为了区分第三十一条第三款</w:t>
      </w:r>
      <w:r w:rsidRPr="00BF42B7">
        <w:t>(a)</w:t>
      </w:r>
      <w:r w:rsidRPr="00BF42B7">
        <w:t>项</w:t>
      </w:r>
      <w:r w:rsidRPr="00BF42B7">
        <w:rPr>
          <w:rFonts w:hint="eastAsia"/>
        </w:rPr>
        <w:t>所述嗣后协定和第三十一条第三款</w:t>
      </w:r>
      <w:r w:rsidRPr="00BF42B7">
        <w:t>(b)</w:t>
      </w:r>
      <w:r w:rsidRPr="00BF42B7">
        <w:t>项</w:t>
      </w:r>
      <w:r w:rsidRPr="00BF42B7">
        <w:rPr>
          <w:rFonts w:hint="eastAsia"/>
        </w:rPr>
        <w:t>所述“确定协定”的嗣后惯例，前者预先假定有“一次共同的行动”。</w:t>
      </w:r>
      <w:r w:rsidRPr="00BF42B7">
        <w:rPr>
          <w:color w:val="0000FF"/>
          <w:vertAlign w:val="superscript"/>
        </w:rPr>
        <w:footnoteReference w:id="800"/>
      </w:r>
      <w:r w:rsidRPr="00BF42B7">
        <w:rPr>
          <w:color w:val="0000FF"/>
          <w:vertAlign w:val="superscript"/>
        </w:rPr>
        <w:t xml:space="preserve"> </w:t>
      </w:r>
      <w:r w:rsidRPr="00BF42B7">
        <w:rPr>
          <w:rFonts w:hint="eastAsia"/>
        </w:rPr>
        <w:t>没有要求说第三十一条第三款</w:t>
      </w:r>
      <w:r w:rsidRPr="00BF42B7">
        <w:t>(a)</w:t>
      </w:r>
      <w:r w:rsidRPr="00BF42B7">
        <w:t>项</w:t>
      </w:r>
      <w:r w:rsidRPr="00BF42B7">
        <w:rPr>
          <w:rFonts w:hint="eastAsia"/>
        </w:rPr>
        <w:t>所述协定要公布或按《联合国宪章》第一百零二条的规定进行登记。</w:t>
      </w:r>
      <w:r w:rsidRPr="00BF42B7">
        <w:rPr>
          <w:color w:val="0000FF"/>
          <w:vertAlign w:val="superscript"/>
        </w:rPr>
        <w:footnoteReference w:id="801"/>
      </w:r>
      <w:r w:rsidRPr="00BF42B7">
        <w:rPr>
          <w:color w:val="0000FF"/>
          <w:vertAlign w:val="superscript"/>
        </w:rPr>
        <w:t xml:space="preserve"> </w:t>
      </w:r>
    </w:p>
    <w:p w:rsidR="00DF5565" w:rsidRPr="00BF42B7" w:rsidRDefault="00DF5565" w:rsidP="00DF5565">
      <w:pPr>
        <w:pStyle w:val="SingleTxtGC"/>
      </w:pPr>
      <w:r w:rsidRPr="00BF42B7">
        <w:t xml:space="preserve">(8)  </w:t>
      </w:r>
      <w:r w:rsidRPr="00BF42B7">
        <w:rPr>
          <w:rFonts w:hint="eastAsia"/>
        </w:rPr>
        <w:t>就第三十一条第三款所述协定而言，缔约方就条约解释的立场恰好重合还不够，缔约方必须知悉并接受这些立场是共同的。因此，国际法院在</w:t>
      </w:r>
      <w:r w:rsidRPr="00BF42B7">
        <w:rPr>
          <w:rFonts w:ascii="Time New Roman" w:eastAsia="楷体" w:hAnsi="Time New Roman" w:hint="eastAsia"/>
        </w:rPr>
        <w:t>卡西基里</w:t>
      </w:r>
      <w:r w:rsidRPr="00BF42B7">
        <w:rPr>
          <w:rFonts w:ascii="Time New Roman" w:eastAsia="楷体" w:hAnsi="Time New Roman"/>
        </w:rPr>
        <w:t>/</w:t>
      </w:r>
      <w:r w:rsidRPr="00BF42B7">
        <w:rPr>
          <w:rFonts w:ascii="Time New Roman" w:eastAsia="楷体" w:hAnsi="Time New Roman" w:hint="eastAsia"/>
        </w:rPr>
        <w:t>塞杜杜岛案</w:t>
      </w:r>
      <w:r w:rsidRPr="00BF42B7">
        <w:rPr>
          <w:rFonts w:hint="eastAsia"/>
        </w:rPr>
        <w:t>中要求，要使惯例属于第三十一条第三款</w:t>
      </w:r>
      <w:r w:rsidRPr="00BF42B7">
        <w:t>(b)</w:t>
      </w:r>
      <w:r w:rsidRPr="00BF42B7">
        <w:t>项</w:t>
      </w:r>
      <w:r w:rsidRPr="00BF42B7">
        <w:rPr>
          <w:rFonts w:hint="eastAsia"/>
        </w:rPr>
        <w:t>所规定的范围，“当局充分意识并接受它，作为对条约边界的认可。”</w:t>
      </w:r>
      <w:r w:rsidRPr="00BF42B7">
        <w:rPr>
          <w:color w:val="0000FF"/>
          <w:vertAlign w:val="superscript"/>
        </w:rPr>
        <w:footnoteReference w:id="802"/>
      </w:r>
      <w:r w:rsidRPr="00BF42B7">
        <w:rPr>
          <w:color w:val="0000FF"/>
          <w:vertAlign w:val="superscript"/>
        </w:rPr>
        <w:t xml:space="preserve"> </w:t>
      </w:r>
      <w:r w:rsidRPr="00BF42B7">
        <w:rPr>
          <w:rFonts w:hint="eastAsia"/>
        </w:rPr>
        <w:t>事实上，只有对</w:t>
      </w:r>
      <w:r w:rsidRPr="00BF42B7">
        <w:t>其他</w:t>
      </w:r>
      <w:r w:rsidRPr="00BF42B7">
        <w:rPr>
          <w:rFonts w:hint="eastAsia"/>
        </w:rPr>
        <w:t>缔约方关于条约解释立场的知悉和接受才能作为依据将第三十一条第三款</w:t>
      </w:r>
      <w:r w:rsidRPr="00BF42B7">
        <w:t>(a)</w:t>
      </w:r>
      <w:r w:rsidRPr="00BF42B7">
        <w:t>项</w:t>
      </w:r>
      <w:r w:rsidRPr="00BF42B7">
        <w:rPr>
          <w:rFonts w:hint="eastAsia"/>
        </w:rPr>
        <w:t>或</w:t>
      </w:r>
      <w:r w:rsidRPr="00BF42B7">
        <w:t>(b)</w:t>
      </w:r>
      <w:r w:rsidRPr="00BF42B7">
        <w:t>项</w:t>
      </w:r>
      <w:r w:rsidRPr="00BF42B7">
        <w:rPr>
          <w:rFonts w:hint="eastAsia"/>
        </w:rPr>
        <w:t>所述的协定定义为“作准的”解释资料。</w:t>
      </w:r>
      <w:r w:rsidRPr="00BF42B7">
        <w:rPr>
          <w:color w:val="0000FF"/>
          <w:vertAlign w:val="superscript"/>
        </w:rPr>
        <w:footnoteReference w:id="803"/>
      </w:r>
      <w:r w:rsidRPr="00BF42B7">
        <w:rPr>
          <w:color w:val="0000FF"/>
          <w:vertAlign w:val="superscript"/>
        </w:rPr>
        <w:t xml:space="preserve"> </w:t>
      </w:r>
      <w:r w:rsidRPr="00BF42B7">
        <w:rPr>
          <w:rFonts w:hint="eastAsia"/>
        </w:rPr>
        <w:t>在有些情况下，可以推定对</w:t>
      </w:r>
      <w:r w:rsidRPr="00BF42B7">
        <w:t>其他</w:t>
      </w:r>
      <w:r w:rsidRPr="00BF42B7">
        <w:rPr>
          <w:rFonts w:hint="eastAsia"/>
        </w:rPr>
        <w:t>缔约方立场的意识和接受，特别是对在国家层面上实施的条约而言。</w:t>
      </w:r>
    </w:p>
    <w:p w:rsidR="00DF5565" w:rsidRPr="00BF42B7" w:rsidRDefault="00DF5565" w:rsidP="00DF5565">
      <w:pPr>
        <w:pStyle w:val="H4GC"/>
        <w:rPr>
          <w:rFonts w:eastAsia="楷体"/>
          <w:lang w:val="en-GB"/>
        </w:rPr>
      </w:pPr>
      <w:r w:rsidRPr="00BF42B7">
        <w:rPr>
          <w:rFonts w:eastAsia="楷体" w:hint="eastAsia"/>
          <w:lang w:val="en-GB"/>
        </w:rPr>
        <w:tab/>
      </w:r>
      <w:r w:rsidRPr="00BF42B7">
        <w:rPr>
          <w:rFonts w:eastAsia="楷体" w:hint="eastAsia"/>
          <w:lang w:val="en-GB"/>
        </w:rPr>
        <w:tab/>
      </w:r>
      <w:r w:rsidRPr="00BF42B7">
        <w:rPr>
          <w:rFonts w:eastAsia="楷体" w:hint="eastAsia"/>
          <w:lang w:val="en-GB"/>
        </w:rPr>
        <w:t>第</w:t>
      </w:r>
      <w:r w:rsidRPr="00BF42B7">
        <w:rPr>
          <w:rFonts w:eastAsia="楷体" w:hint="eastAsia"/>
          <w:lang w:val="en-GB"/>
        </w:rPr>
        <w:t>1</w:t>
      </w:r>
      <w:r w:rsidRPr="00BF42B7">
        <w:rPr>
          <w:rFonts w:eastAsia="楷体" w:hint="eastAsia"/>
          <w:lang w:val="en-GB"/>
        </w:rPr>
        <w:t>段第二句</w:t>
      </w:r>
      <w:r w:rsidRPr="00BF42B7">
        <w:rPr>
          <w:rFonts w:eastAsia="楷体" w:hint="eastAsia"/>
          <w:spacing w:val="-50"/>
          <w:lang w:val="fr-CH"/>
        </w:rPr>
        <w:t>―</w:t>
      </w:r>
      <w:r w:rsidRPr="00BF42B7">
        <w:rPr>
          <w:rFonts w:eastAsia="楷体" w:hint="eastAsia"/>
          <w:lang w:val="fr-CH"/>
        </w:rPr>
        <w:t>―</w:t>
      </w:r>
      <w:r w:rsidRPr="00BF42B7">
        <w:rPr>
          <w:rFonts w:eastAsia="楷体" w:hint="eastAsia"/>
          <w:lang w:val="en-GB"/>
        </w:rPr>
        <w:t>第三十一条第三款</w:t>
      </w:r>
      <w:r w:rsidRPr="00BF42B7">
        <w:rPr>
          <w:rFonts w:eastAsia="楷体" w:hint="eastAsia"/>
          <w:lang w:val="en-GB"/>
        </w:rPr>
        <w:t>(a)</w:t>
      </w:r>
      <w:r w:rsidRPr="00BF42B7">
        <w:rPr>
          <w:rFonts w:eastAsia="楷体" w:hint="eastAsia"/>
          <w:lang w:val="en-GB"/>
        </w:rPr>
        <w:t>项和</w:t>
      </w:r>
      <w:r w:rsidRPr="00BF42B7">
        <w:rPr>
          <w:rFonts w:eastAsia="楷体"/>
          <w:lang w:val="en-GB"/>
        </w:rPr>
        <w:t>(b)</w:t>
      </w:r>
      <w:r w:rsidRPr="00BF42B7">
        <w:rPr>
          <w:rFonts w:eastAsia="楷体"/>
          <w:lang w:val="en-GB"/>
        </w:rPr>
        <w:t>项</w:t>
      </w:r>
      <w:r w:rsidRPr="00BF42B7">
        <w:rPr>
          <w:rFonts w:eastAsia="楷体" w:hint="eastAsia"/>
          <w:lang w:val="en-GB"/>
        </w:rPr>
        <w:t>所称协定可能的法律效力</w:t>
      </w:r>
    </w:p>
    <w:p w:rsidR="00DF5565" w:rsidRPr="00BF42B7" w:rsidRDefault="00DF5565" w:rsidP="00DF5565">
      <w:pPr>
        <w:pStyle w:val="SingleTxtGC"/>
      </w:pPr>
      <w:r w:rsidRPr="00BF42B7">
        <w:t xml:space="preserve">(9)  </w:t>
      </w:r>
      <w:r w:rsidRPr="00BF42B7">
        <w:rPr>
          <w:rFonts w:hint="eastAsia"/>
        </w:rPr>
        <w:t>第</w:t>
      </w:r>
      <w:r w:rsidRPr="00BF42B7">
        <w:t>1</w:t>
      </w:r>
      <w:r w:rsidRPr="00BF42B7">
        <w:rPr>
          <w:rFonts w:hint="eastAsia"/>
        </w:rPr>
        <w:t>段第二句的目的是重申就第三十一条第三款而言，“协定”本身无需是具有法律约束力的，</w:t>
      </w:r>
      <w:bookmarkStart w:id="179" w:name="_Ref461976809"/>
      <w:r w:rsidRPr="00BF42B7">
        <w:rPr>
          <w:color w:val="0000FF"/>
          <w:vertAlign w:val="superscript"/>
        </w:rPr>
        <w:footnoteReference w:id="804"/>
      </w:r>
      <w:bookmarkEnd w:id="179"/>
      <w:r w:rsidRPr="00BF42B7">
        <w:rPr>
          <w:color w:val="0000FF"/>
          <w:vertAlign w:val="superscript"/>
        </w:rPr>
        <w:t xml:space="preserve"> </w:t>
      </w:r>
      <w:r w:rsidRPr="00BF42B7">
        <w:rPr>
          <w:rFonts w:hint="eastAsia"/>
        </w:rPr>
        <w:t>这与</w:t>
      </w:r>
      <w:r w:rsidRPr="00BF42B7">
        <w:rPr>
          <w:rFonts w:hint="eastAsia"/>
        </w:rPr>
        <w:t>1969</w:t>
      </w:r>
      <w:r w:rsidRPr="00BF42B7">
        <w:rPr>
          <w:rFonts w:hint="eastAsia"/>
        </w:rPr>
        <w:t>年《维也纳公约》</w:t>
      </w:r>
      <w:r w:rsidRPr="00BF42B7">
        <w:t>其他</w:t>
      </w:r>
      <w:r w:rsidRPr="00BF42B7">
        <w:rPr>
          <w:rFonts w:hint="eastAsia"/>
        </w:rPr>
        <w:t>条款相反，</w:t>
      </w:r>
      <w:r w:rsidRPr="00BF42B7">
        <w:t>其他</w:t>
      </w:r>
      <w:r w:rsidRPr="00BF42B7">
        <w:rPr>
          <w:rFonts w:hint="eastAsia"/>
        </w:rPr>
        <w:t>条款是在有法律约束力的文书的意义上使用“协定”一语。</w:t>
      </w:r>
      <w:r w:rsidRPr="00BF42B7">
        <w:rPr>
          <w:color w:val="0000FF"/>
          <w:vertAlign w:val="superscript"/>
        </w:rPr>
        <w:footnoteReference w:id="805"/>
      </w:r>
      <w:r w:rsidRPr="00BF42B7">
        <w:rPr>
          <w:color w:val="0000FF"/>
          <w:vertAlign w:val="superscript"/>
        </w:rPr>
        <w:t xml:space="preserve"> </w:t>
      </w:r>
    </w:p>
    <w:p w:rsidR="00DF5565" w:rsidRPr="00BF42B7" w:rsidRDefault="00DF5565" w:rsidP="00DF5565">
      <w:pPr>
        <w:pStyle w:val="SingleTxtGC"/>
        <w:rPr>
          <w:spacing w:val="-2"/>
        </w:rPr>
      </w:pPr>
      <w:r w:rsidRPr="00BF42B7">
        <w:t xml:space="preserve">(10)  </w:t>
      </w:r>
      <w:r w:rsidRPr="00BF42B7">
        <w:rPr>
          <w:rFonts w:hint="eastAsia"/>
        </w:rPr>
        <w:t>这一点也得到委员会的确认，委员会在条约法条款的最后草案中使用了“确立缔约方谅解</w:t>
      </w:r>
      <w:r w:rsidRPr="00BF42B7">
        <w:rPr>
          <w:rFonts w:hint="eastAsia"/>
        </w:rPr>
        <w:t>[</w:t>
      </w:r>
      <w:r w:rsidRPr="00BF42B7">
        <w:rPr>
          <w:rFonts w:hint="eastAsia"/>
        </w:rPr>
        <w:t>着重号</w:t>
      </w:r>
      <w:r w:rsidRPr="00BF42B7">
        <w:rPr>
          <w:rFonts w:hint="eastAsia"/>
        </w:rPr>
        <w:t>]</w:t>
      </w:r>
      <w:r w:rsidRPr="00BF42B7">
        <w:rPr>
          <w:rFonts w:hint="eastAsia"/>
        </w:rPr>
        <w:t>的任何嗣后惯例”这一说法。</w:t>
      </w:r>
      <w:r w:rsidRPr="00BF42B7">
        <w:rPr>
          <w:color w:val="0000FF"/>
          <w:vertAlign w:val="superscript"/>
        </w:rPr>
        <w:footnoteReference w:id="806"/>
      </w:r>
      <w:r w:rsidRPr="00BF42B7">
        <w:rPr>
          <w:color w:val="0000FF"/>
          <w:vertAlign w:val="superscript"/>
        </w:rPr>
        <w:t xml:space="preserve"> </w:t>
      </w:r>
      <w:r w:rsidRPr="00BF42B7">
        <w:rPr>
          <w:rFonts w:hint="eastAsia"/>
        </w:rPr>
        <w:t>“谅解”一词是说，第三十一条第三款所述“协定”并不要求缔约方由此承担或创造任何在条约之上或独立于条约之外的法律义务。</w:t>
      </w:r>
      <w:r w:rsidRPr="00BF42B7">
        <w:rPr>
          <w:color w:val="0000FF"/>
          <w:vertAlign w:val="superscript"/>
        </w:rPr>
        <w:footnoteReference w:id="807"/>
      </w:r>
      <w:r w:rsidRPr="00BF42B7">
        <w:rPr>
          <w:color w:val="0000FF"/>
          <w:vertAlign w:val="superscript"/>
        </w:rPr>
        <w:t xml:space="preserve"> </w:t>
      </w:r>
      <w:r w:rsidRPr="00BF42B7">
        <w:rPr>
          <w:rFonts w:hint="eastAsia"/>
        </w:rPr>
        <w:t>维也纳会议以“协定”一词取代“谅解”，并没有实质性的原因，而“仅仅涉及措辞问题”，用以强调缔约方的谅解是他们的“共同”理解。</w:t>
      </w:r>
      <w:bookmarkStart w:id="180" w:name="_Ref461976825"/>
      <w:r w:rsidRPr="00BF42B7">
        <w:rPr>
          <w:color w:val="0000FF"/>
          <w:vertAlign w:val="superscript"/>
        </w:rPr>
        <w:footnoteReference w:id="808"/>
      </w:r>
      <w:bookmarkEnd w:id="180"/>
      <w:r w:rsidRPr="00BF42B7">
        <w:rPr>
          <w:color w:val="0000FF"/>
          <w:vertAlign w:val="superscript"/>
        </w:rPr>
        <w:t xml:space="preserve"> </w:t>
      </w:r>
      <w:r w:rsidRPr="00BF42B7">
        <w:rPr>
          <w:rFonts w:hint="eastAsia"/>
          <w:spacing w:val="-2"/>
        </w:rPr>
        <w:t>第三十一条第三款</w:t>
      </w:r>
      <w:r w:rsidRPr="00BF42B7">
        <w:rPr>
          <w:spacing w:val="-2"/>
        </w:rPr>
        <w:t>(a)</w:t>
      </w:r>
      <w:r w:rsidRPr="00BF42B7">
        <w:rPr>
          <w:spacing w:val="-2"/>
        </w:rPr>
        <w:t>项</w:t>
      </w:r>
      <w:r w:rsidRPr="00BF42B7">
        <w:rPr>
          <w:rFonts w:hint="eastAsia"/>
          <w:spacing w:val="-2"/>
        </w:rPr>
        <w:t>所述“协定”与第三十一条第三款</w:t>
      </w:r>
      <w:r w:rsidRPr="00BF42B7">
        <w:rPr>
          <w:spacing w:val="-2"/>
        </w:rPr>
        <w:t>(b)</w:t>
      </w:r>
      <w:r w:rsidRPr="00BF42B7">
        <w:rPr>
          <w:spacing w:val="-2"/>
        </w:rPr>
        <w:t>项</w:t>
      </w:r>
      <w:r w:rsidRPr="00BF42B7">
        <w:rPr>
          <w:rFonts w:hint="eastAsia"/>
          <w:spacing w:val="-2"/>
        </w:rPr>
        <w:t>所述协定的区别仅仅在于形式而不是内容，同样不需要具有法律约束力。</w:t>
      </w:r>
      <w:r w:rsidRPr="00BF42B7">
        <w:rPr>
          <w:color w:val="0000FF"/>
          <w:spacing w:val="-2"/>
          <w:vertAlign w:val="superscript"/>
        </w:rPr>
        <w:footnoteReference w:id="809"/>
      </w:r>
      <w:r w:rsidRPr="00BF42B7">
        <w:rPr>
          <w:color w:val="0000FF"/>
          <w:spacing w:val="-2"/>
          <w:vertAlign w:val="superscript"/>
        </w:rPr>
        <w:t xml:space="preserve"> </w:t>
      </w:r>
    </w:p>
    <w:p w:rsidR="00DF5565" w:rsidRPr="00BF42B7" w:rsidRDefault="00DF5565" w:rsidP="00DF5565">
      <w:pPr>
        <w:pStyle w:val="SingleTxtGC"/>
        <w:rPr>
          <w:color w:val="0000FF"/>
          <w:vertAlign w:val="superscript"/>
        </w:rPr>
      </w:pPr>
      <w:r w:rsidRPr="00BF42B7">
        <w:t xml:space="preserve">(11)  </w:t>
      </w:r>
      <w:r w:rsidRPr="00BF42B7">
        <w:rPr>
          <w:rFonts w:hint="eastAsia"/>
        </w:rPr>
        <w:t>因此，缔约国通过嗣后协定或第三十一条第三款所述嗣后惯例对条约赋予一定含义</w:t>
      </w:r>
      <w:r w:rsidRPr="00BF42B7">
        <w:rPr>
          <w:color w:val="0000FF"/>
          <w:vertAlign w:val="superscript"/>
        </w:rPr>
        <w:footnoteReference w:id="810"/>
      </w:r>
      <w:r w:rsidRPr="00BF42B7">
        <w:rPr>
          <w:color w:val="0000FF"/>
          <w:vertAlign w:val="superscript"/>
        </w:rPr>
        <w:t xml:space="preserve"> </w:t>
      </w:r>
      <w:r w:rsidRPr="00BF42B7">
        <w:rPr>
          <w:rFonts w:hint="eastAsia"/>
        </w:rPr>
        <w:t>，或者换句话说，对条约采取一种特定的“谅解”</w:t>
      </w:r>
      <w:r w:rsidRPr="00BF42B7">
        <w:rPr>
          <w:color w:val="0000FF"/>
          <w:vertAlign w:val="superscript"/>
        </w:rPr>
        <w:footnoteReference w:id="811"/>
      </w:r>
      <w:r w:rsidRPr="00BF42B7">
        <w:rPr>
          <w:color w:val="0000FF"/>
          <w:vertAlign w:val="superscript"/>
        </w:rPr>
        <w:t xml:space="preserve"> </w:t>
      </w:r>
      <w:r w:rsidRPr="00BF42B7">
        <w:rPr>
          <w:rFonts w:hint="eastAsia"/>
        </w:rPr>
        <w:t>就足够了。第三十一条第三款</w:t>
      </w:r>
      <w:r w:rsidRPr="00BF42B7">
        <w:t>(a)</w:t>
      </w:r>
      <w:r w:rsidRPr="00BF42B7">
        <w:t>项</w:t>
      </w:r>
      <w:r w:rsidRPr="00BF42B7">
        <w:rPr>
          <w:rFonts w:hint="eastAsia"/>
        </w:rPr>
        <w:t>和</w:t>
      </w:r>
      <w:r w:rsidRPr="00BF42B7">
        <w:t>(b)</w:t>
      </w:r>
      <w:r w:rsidRPr="00BF42B7">
        <w:t>项</w:t>
      </w:r>
      <w:r w:rsidRPr="00BF42B7">
        <w:rPr>
          <w:rFonts w:hint="eastAsia"/>
        </w:rPr>
        <w:t>所述嗣后协定和嗣后惯例即使本身不具有法律约束力，但作为解释资料，它们仍然可以根据第三十一条的规定，作为解释过程的组成部分，产生法律影响。</w:t>
      </w:r>
      <w:bookmarkStart w:id="181" w:name="_Ref461976860"/>
      <w:r w:rsidRPr="00BF42B7">
        <w:rPr>
          <w:color w:val="0000FF"/>
          <w:vertAlign w:val="superscript"/>
        </w:rPr>
        <w:footnoteReference w:id="812"/>
      </w:r>
      <w:bookmarkEnd w:id="181"/>
      <w:r w:rsidRPr="00BF42B7">
        <w:rPr>
          <w:color w:val="0000FF"/>
          <w:vertAlign w:val="superscript"/>
        </w:rPr>
        <w:t xml:space="preserve"> </w:t>
      </w:r>
      <w:r w:rsidRPr="00BF42B7">
        <w:rPr>
          <w:rFonts w:hint="eastAsia"/>
          <w:spacing w:val="-2"/>
        </w:rPr>
        <w:t>据此，国际性的法院和法庭不要求第三十一条第三款所述“协定”反映缔约方有创立新的或另外的具有法律约束力的承诺的意向。</w:t>
      </w:r>
      <w:r w:rsidRPr="00BF42B7">
        <w:rPr>
          <w:color w:val="0000FF"/>
          <w:spacing w:val="-2"/>
          <w:vertAlign w:val="superscript"/>
        </w:rPr>
        <w:footnoteReference w:id="813"/>
      </w:r>
      <w:r w:rsidRPr="00BF42B7">
        <w:rPr>
          <w:color w:val="0000FF"/>
          <w:spacing w:val="-2"/>
          <w:vertAlign w:val="superscript"/>
        </w:rPr>
        <w:t xml:space="preserve"> </w:t>
      </w:r>
      <w:r w:rsidRPr="00BF42B7">
        <w:rPr>
          <w:rFonts w:hint="eastAsia"/>
        </w:rPr>
        <w:t>与此相似，有时谅解备忘录被承认为“有可能非常有助于解释”，但“不是独立的法律权利和义务的来源”。</w:t>
      </w:r>
      <w:r w:rsidRPr="00BF42B7">
        <w:rPr>
          <w:color w:val="0000FF"/>
          <w:vertAlign w:val="superscript"/>
        </w:rPr>
        <w:footnoteReference w:id="814"/>
      </w:r>
      <w:r w:rsidRPr="00BF42B7">
        <w:rPr>
          <w:color w:val="0000FF"/>
          <w:vertAlign w:val="superscript"/>
        </w:rPr>
        <w:t xml:space="preserve"> </w:t>
      </w:r>
    </w:p>
    <w:p w:rsidR="00DF5565" w:rsidRPr="00BF42B7" w:rsidRDefault="00DF5565" w:rsidP="00DF5565">
      <w:pPr>
        <w:pStyle w:val="SingleTxtGC"/>
      </w:pPr>
      <w:r w:rsidRPr="00BF42B7">
        <w:t>(12)</w:t>
      </w:r>
      <w:r w:rsidRPr="00BF42B7">
        <w:rPr>
          <w:rFonts w:hint="eastAsia"/>
        </w:rPr>
        <w:t xml:space="preserve">  </w:t>
      </w:r>
      <w:r w:rsidRPr="00BF42B7">
        <w:rPr>
          <w:rFonts w:hint="eastAsia"/>
        </w:rPr>
        <w:t>另一方面，一些委员认为术语“协定”在</w:t>
      </w:r>
      <w:r w:rsidRPr="00BF42B7">
        <w:rPr>
          <w:rFonts w:hint="eastAsia"/>
        </w:rPr>
        <w:t>1969</w:t>
      </w:r>
      <w:r w:rsidRPr="00BF42B7">
        <w:rPr>
          <w:rFonts w:hint="eastAsia"/>
        </w:rPr>
        <w:t>年《维也纳公约》所有条款中具有相同的含义。根据这些成员的意见，这个词表示有关国家之间具有法律效力的任何谅解，本评注所提到的判例法与这个定义不矛盾。这样的定义并不妨碍为了解释的目的而根据第三十二条考虑到不具法律约束力的谅解。</w:t>
      </w:r>
    </w:p>
    <w:p w:rsidR="00DF5565" w:rsidRPr="00BF42B7" w:rsidRDefault="00DF5565" w:rsidP="00DF5565">
      <w:pPr>
        <w:pStyle w:val="H4GC"/>
        <w:rPr>
          <w:rFonts w:eastAsia="楷体"/>
          <w:lang w:val="en-GB"/>
        </w:rPr>
      </w:pPr>
      <w:r w:rsidRPr="00BF42B7">
        <w:rPr>
          <w:rFonts w:eastAsia="楷体" w:hint="eastAsia"/>
          <w:lang w:val="en-GB"/>
        </w:rPr>
        <w:tab/>
      </w:r>
      <w:r w:rsidRPr="00BF42B7">
        <w:rPr>
          <w:rFonts w:eastAsia="楷体" w:hint="eastAsia"/>
          <w:lang w:val="en-GB"/>
        </w:rPr>
        <w:tab/>
      </w:r>
      <w:r w:rsidRPr="00BF42B7">
        <w:rPr>
          <w:rFonts w:eastAsia="楷体" w:hint="eastAsia"/>
          <w:lang w:val="en-GB"/>
        </w:rPr>
        <w:t>第</w:t>
      </w:r>
      <w:r w:rsidRPr="00BF42B7">
        <w:rPr>
          <w:rFonts w:eastAsia="楷体" w:hint="eastAsia"/>
          <w:lang w:val="en-GB"/>
        </w:rPr>
        <w:t>2</w:t>
      </w:r>
      <w:r w:rsidRPr="00BF42B7">
        <w:rPr>
          <w:rFonts w:eastAsia="楷体" w:hint="eastAsia"/>
          <w:lang w:val="en-GB"/>
        </w:rPr>
        <w:t>段</w:t>
      </w:r>
      <w:r w:rsidRPr="00BF42B7">
        <w:rPr>
          <w:rFonts w:eastAsia="楷体" w:hint="eastAsia"/>
          <w:spacing w:val="-50"/>
          <w:lang w:val="fr-CH"/>
        </w:rPr>
        <w:t>―</w:t>
      </w:r>
      <w:r w:rsidRPr="00BF42B7">
        <w:rPr>
          <w:rFonts w:eastAsia="楷体" w:hint="eastAsia"/>
          <w:lang w:val="fr-CH"/>
        </w:rPr>
        <w:t>―</w:t>
      </w:r>
      <w:r w:rsidRPr="00BF42B7">
        <w:rPr>
          <w:rFonts w:eastAsia="楷体" w:hint="eastAsia"/>
          <w:lang w:val="en-GB"/>
        </w:rPr>
        <w:t>参与嗣后惯例的形式</w:t>
      </w:r>
    </w:p>
    <w:p w:rsidR="00DF5565" w:rsidRPr="00BF42B7" w:rsidRDefault="00DF5565" w:rsidP="00DF5565">
      <w:pPr>
        <w:pStyle w:val="SingleTxtGC"/>
      </w:pPr>
      <w:r w:rsidRPr="00BF42B7">
        <w:t>(1</w:t>
      </w:r>
      <w:r w:rsidRPr="00BF42B7">
        <w:rPr>
          <w:rFonts w:hint="eastAsia"/>
        </w:rPr>
        <w:t>3</w:t>
      </w:r>
      <w:r w:rsidRPr="00BF42B7">
        <w:t xml:space="preserve">)  </w:t>
      </w:r>
      <w:r w:rsidRPr="00BF42B7">
        <w:rPr>
          <w:rFonts w:hint="eastAsia"/>
        </w:rPr>
        <w:t>第</w:t>
      </w:r>
      <w:r w:rsidRPr="00BF42B7">
        <w:t>2</w:t>
      </w:r>
      <w:r w:rsidRPr="00BF42B7">
        <w:rPr>
          <w:rFonts w:hint="eastAsia"/>
        </w:rPr>
        <w:t>段第一句申明了一个原则，即并非所有缔约方都必须参与某一特定惯例，以此构成第三十一条第三款</w:t>
      </w:r>
      <w:r w:rsidRPr="00BF42B7">
        <w:t>(b)</w:t>
      </w:r>
      <w:r w:rsidRPr="00BF42B7">
        <w:t>项</w:t>
      </w:r>
      <w:r w:rsidRPr="00BF42B7">
        <w:rPr>
          <w:rFonts w:hint="eastAsia"/>
        </w:rPr>
        <w:t>所述协定。第二句澄清说明，在特定情况下，未参与这一惯例的缔约方对这一惯例的接受可能经由沉默或不作为来构成。</w:t>
      </w:r>
    </w:p>
    <w:p w:rsidR="00DF5565" w:rsidRPr="00BF42B7" w:rsidRDefault="00DF5565" w:rsidP="00DF5565">
      <w:pPr>
        <w:pStyle w:val="SingleTxtGC"/>
      </w:pPr>
      <w:r w:rsidRPr="00BF42B7">
        <w:t>(1</w:t>
      </w:r>
      <w:r w:rsidRPr="00BF42B7">
        <w:rPr>
          <w:rFonts w:hint="eastAsia"/>
        </w:rPr>
        <w:t>4</w:t>
      </w:r>
      <w:r w:rsidRPr="00BF42B7">
        <w:t xml:space="preserve">)  </w:t>
      </w:r>
      <w:r w:rsidRPr="00BF42B7">
        <w:rPr>
          <w:rFonts w:hint="eastAsia"/>
        </w:rPr>
        <w:t>从一开始，委员会就承认，通过第三十一条第三款</w:t>
      </w:r>
      <w:r w:rsidRPr="00BF42B7">
        <w:t>(b)</w:t>
      </w:r>
      <w:r w:rsidRPr="00BF42B7">
        <w:t>项</w:t>
      </w:r>
      <w:r w:rsidRPr="00BF42B7">
        <w:rPr>
          <w:rFonts w:hint="eastAsia"/>
        </w:rPr>
        <w:t>所述嗣后惯例形成的“协定”可部分地源于一个或多个缔约方的沉默或不作为。委员会为了解释为何在第二十七条第三款</w:t>
      </w:r>
      <w:r w:rsidRPr="00BF42B7">
        <w:t>(b)</w:t>
      </w:r>
      <w:r w:rsidRPr="00BF42B7">
        <w:t>项</w:t>
      </w:r>
      <w:r w:rsidRPr="00BF42B7">
        <w:rPr>
          <w:rFonts w:hint="eastAsia"/>
        </w:rPr>
        <w:t>中使用“缔约方的谅解”一语</w:t>
      </w:r>
      <w:r w:rsidRPr="00BF42B7">
        <w:t>(</w:t>
      </w:r>
      <w:r w:rsidRPr="00BF42B7">
        <w:rPr>
          <w:rFonts w:hint="eastAsia"/>
        </w:rPr>
        <w:t>后来成为第三十一条第三款</w:t>
      </w:r>
      <w:r w:rsidRPr="00BF42B7">
        <w:t>(b)</w:t>
      </w:r>
      <w:r w:rsidRPr="00BF42B7">
        <w:t>项</w:t>
      </w:r>
      <w:r w:rsidRPr="00BF42B7">
        <w:rPr>
          <w:rFonts w:hint="eastAsia"/>
        </w:rPr>
        <w:t>中的“协定”</w:t>
      </w:r>
      <w:r w:rsidRPr="00BF42B7">
        <w:t>)(</w:t>
      </w:r>
      <w:r w:rsidRPr="00BF42B7">
        <w:rPr>
          <w:rFonts w:hint="eastAsia"/>
        </w:rPr>
        <w:t>见上文第</w:t>
      </w:r>
      <w:r w:rsidRPr="00BF42B7">
        <w:rPr>
          <w:rFonts w:hint="eastAsia"/>
        </w:rPr>
        <w:t>(</w:t>
      </w:r>
      <w:r w:rsidRPr="00BF42B7">
        <w:t>10</w:t>
      </w:r>
      <w:r w:rsidRPr="00BF42B7">
        <w:rPr>
          <w:rFonts w:hint="eastAsia"/>
        </w:rPr>
        <w:t>)</w:t>
      </w:r>
      <w:r w:rsidRPr="00BF42B7">
        <w:rPr>
          <w:rFonts w:hint="eastAsia"/>
        </w:rPr>
        <w:t>段</w:t>
      </w:r>
      <w:r w:rsidRPr="00BF42B7">
        <w:t>)</w:t>
      </w:r>
      <w:r w:rsidRPr="00BF42B7">
        <w:rPr>
          <w:rFonts w:hint="eastAsia"/>
        </w:rPr>
        <w:t>而没有使用“全体缔约方的谅解”的说法时指出：</w:t>
      </w:r>
    </w:p>
    <w:p w:rsidR="00DF5565" w:rsidRPr="00BF42B7" w:rsidRDefault="00DF5565" w:rsidP="00DF5565">
      <w:pPr>
        <w:pStyle w:val="SingleTxtGC"/>
        <w:ind w:left="1554"/>
      </w:pPr>
      <w:r w:rsidRPr="00BF42B7">
        <w:rPr>
          <w:rFonts w:hint="eastAsia"/>
        </w:rPr>
        <w:t>“它认为，</w:t>
      </w:r>
      <w:r w:rsidRPr="00BF42B7">
        <w:rPr>
          <w:rFonts w:hint="eastAsia"/>
          <w:lang w:val="fr-FR"/>
        </w:rPr>
        <w:t>‘缔约方的谅解’</w:t>
      </w:r>
      <w:r w:rsidRPr="00BF42B7">
        <w:rPr>
          <w:rFonts w:hint="eastAsia"/>
        </w:rPr>
        <w:t>一语自然是指‘全体缔约方’。避免使用‘全体’一词只是为了防止出现可能的误解，即每个缔约方必须作为个体介入这种实践，但只要它接受这一惯例就足够了。”</w:t>
      </w:r>
      <w:r w:rsidRPr="00BF42B7">
        <w:rPr>
          <w:color w:val="0000FF"/>
          <w:vertAlign w:val="superscript"/>
        </w:rPr>
        <w:footnoteReference w:id="815"/>
      </w:r>
      <w:r w:rsidRPr="00BF42B7">
        <w:rPr>
          <w:color w:val="0000FF"/>
          <w:vertAlign w:val="superscript"/>
        </w:rPr>
        <w:t xml:space="preserve"> </w:t>
      </w:r>
    </w:p>
    <w:p w:rsidR="00DF5565" w:rsidRPr="00BF42B7" w:rsidRDefault="00DF5565" w:rsidP="003F2ED5">
      <w:pPr>
        <w:pStyle w:val="SingleTxtGC"/>
        <w:widowControl w:val="0"/>
      </w:pPr>
      <w:r w:rsidRPr="00BF42B7">
        <w:t>(1</w:t>
      </w:r>
      <w:r w:rsidRPr="00BF42B7">
        <w:rPr>
          <w:rFonts w:hint="eastAsia"/>
        </w:rPr>
        <w:t>5</w:t>
      </w:r>
      <w:r w:rsidRPr="00BF42B7">
        <w:t xml:space="preserve">)  </w:t>
      </w:r>
      <w:r w:rsidRPr="00BF42B7">
        <w:rPr>
          <w:rFonts w:hint="eastAsia"/>
        </w:rPr>
        <w:t>国际法院也承认有可能经由沉默或不作为表示对解释的同意，法院在</w:t>
      </w:r>
      <w:r w:rsidRPr="00BF42B7">
        <w:rPr>
          <w:rFonts w:ascii="Time New Roman" w:eastAsia="楷体" w:hAnsi="Time New Roman" w:hint="eastAsia"/>
        </w:rPr>
        <w:t>柏威夏寺案</w:t>
      </w:r>
      <w:r w:rsidRPr="00BF42B7">
        <w:rPr>
          <w:rFonts w:hint="eastAsia"/>
        </w:rPr>
        <w:t>中称，一国在面对另一方某种嗣后行为的情况下，“如果显然当时情况要求在合理期限内作出某种反应”，则“必须认定该国已经默认了”。</w:t>
      </w:r>
      <w:r w:rsidRPr="00BF42B7">
        <w:rPr>
          <w:color w:val="0000FF"/>
          <w:vertAlign w:val="superscript"/>
        </w:rPr>
        <w:footnoteReference w:id="816"/>
      </w:r>
      <w:r w:rsidRPr="00BF42B7">
        <w:rPr>
          <w:color w:val="0000FF"/>
          <w:vertAlign w:val="superscript"/>
        </w:rPr>
        <w:t xml:space="preserve"> </w:t>
      </w:r>
      <w:r w:rsidRPr="00BF42B7">
        <w:rPr>
          <w:rFonts w:hint="eastAsia"/>
        </w:rPr>
        <w:t>法院对于就通过嗣后惯例解释条约确立协定的目的而言沉默作用的这一总体立场在后来的裁决中也得到了确认</w:t>
      </w:r>
      <w:r w:rsidRPr="00BF42B7">
        <w:rPr>
          <w:color w:val="0000FF"/>
          <w:vertAlign w:val="superscript"/>
        </w:rPr>
        <w:footnoteReference w:id="817"/>
      </w:r>
      <w:r w:rsidRPr="00BF42B7">
        <w:rPr>
          <w:color w:val="0000FF"/>
          <w:vertAlign w:val="superscript"/>
        </w:rPr>
        <w:t xml:space="preserve"> </w:t>
      </w:r>
      <w:r w:rsidRPr="00BF42B7">
        <w:rPr>
          <w:rFonts w:hint="eastAsia"/>
        </w:rPr>
        <w:t>，并得到大多数法学著作的支持。</w:t>
      </w:r>
      <w:r w:rsidRPr="00BF42B7">
        <w:rPr>
          <w:color w:val="0000FF"/>
          <w:vertAlign w:val="superscript"/>
        </w:rPr>
        <w:footnoteReference w:id="818"/>
      </w:r>
      <w:r w:rsidRPr="00BF42B7">
        <w:rPr>
          <w:color w:val="0000FF"/>
          <w:vertAlign w:val="superscript"/>
        </w:rPr>
        <w:t xml:space="preserve"> </w:t>
      </w:r>
      <w:r w:rsidRPr="00BF42B7">
        <w:rPr>
          <w:rFonts w:hint="eastAsia"/>
        </w:rPr>
        <w:t>“要求作出某种反应”的“情况”包括缔约方就条约进行互动的具体背景。</w:t>
      </w:r>
      <w:r w:rsidRPr="00BF42B7">
        <w:rPr>
          <w:color w:val="0000FF"/>
          <w:vertAlign w:val="superscript"/>
        </w:rPr>
        <w:footnoteReference w:id="819"/>
      </w:r>
      <w:r w:rsidRPr="00BF42B7">
        <w:rPr>
          <w:color w:val="0000FF"/>
          <w:vertAlign w:val="superscript"/>
        </w:rPr>
        <w:t xml:space="preserve"> </w:t>
      </w:r>
    </w:p>
    <w:p w:rsidR="00DF5565" w:rsidRPr="00BF42B7" w:rsidRDefault="00DF5565" w:rsidP="00DF5565">
      <w:pPr>
        <w:pStyle w:val="SingleTxtGC"/>
      </w:pPr>
      <w:r w:rsidRPr="00BF42B7">
        <w:t>(1</w:t>
      </w:r>
      <w:r w:rsidRPr="00BF42B7">
        <w:rPr>
          <w:rFonts w:hint="eastAsia"/>
        </w:rPr>
        <w:t>6</w:t>
      </w:r>
      <w:r w:rsidRPr="00BF42B7">
        <w:t xml:space="preserve">)  </w:t>
      </w:r>
      <w:r w:rsidRPr="00BF42B7">
        <w:rPr>
          <w:rFonts w:hint="eastAsia"/>
        </w:rPr>
        <w:t>仲裁法院在</w:t>
      </w:r>
      <w:r w:rsidRPr="00BF42B7">
        <w:rPr>
          <w:rFonts w:ascii="Time New Roman" w:eastAsia="楷体" w:hAnsi="Time New Roman" w:hint="eastAsia"/>
        </w:rPr>
        <w:t>比格尔海峡案</w:t>
      </w:r>
      <w:r w:rsidRPr="00BF42B7">
        <w:rPr>
          <w:color w:val="0000FF"/>
          <w:vertAlign w:val="superscript"/>
        </w:rPr>
        <w:footnoteReference w:id="820"/>
      </w:r>
      <w:r w:rsidRPr="00BF42B7">
        <w:rPr>
          <w:color w:val="0000FF"/>
          <w:vertAlign w:val="superscript"/>
        </w:rPr>
        <w:t xml:space="preserve"> </w:t>
      </w:r>
      <w:r w:rsidRPr="00BF42B7">
        <w:rPr>
          <w:rFonts w:hint="eastAsia"/>
        </w:rPr>
        <w:t>中讨论了阿根廷的主张，即智利对某些岛屿的管辖行为不能作为相关的嗣后行为，因为阿根廷未对这些行为作出反应。但法院认为：</w:t>
      </w:r>
    </w:p>
    <w:p w:rsidR="00DF5565" w:rsidRPr="00BF42B7" w:rsidRDefault="00DF5565" w:rsidP="00DF5565">
      <w:pPr>
        <w:pStyle w:val="SingleTxtGC"/>
        <w:ind w:left="1554"/>
      </w:pPr>
      <w:r w:rsidRPr="00BF42B7">
        <w:rPr>
          <w:rFonts w:hint="eastAsia"/>
        </w:rPr>
        <w:t>“《维也纳公约》中并未明确‘协定’可以采取的表现形式。在本案中，管辖的行为不是为了确立独立于条约规定之外的所有权来源；也不能象智利的理解，认为其违反了这些规定。证据支持的观点是，这些行为是公开的，为阿根廷所熟知，它们只能来自于条约。在这种情况下，阿根廷的沉默就允许得出结论，认为这些行为旨在确认独立于管辖行为本身之外的对条约含义的解释。”</w:t>
      </w:r>
      <w:r w:rsidRPr="00BF42B7">
        <w:rPr>
          <w:color w:val="0000FF"/>
          <w:vertAlign w:val="superscript"/>
        </w:rPr>
        <w:footnoteReference w:id="821"/>
      </w:r>
      <w:r w:rsidRPr="00BF42B7">
        <w:rPr>
          <w:color w:val="0000FF"/>
          <w:vertAlign w:val="superscript"/>
        </w:rPr>
        <w:t xml:space="preserve"> </w:t>
      </w:r>
    </w:p>
    <w:p w:rsidR="00DF5565" w:rsidRPr="00BF42B7" w:rsidRDefault="00DF5565" w:rsidP="00DF5565">
      <w:pPr>
        <w:pStyle w:val="SingleTxtGC"/>
      </w:pPr>
      <w:r w:rsidRPr="00BF42B7">
        <w:rPr>
          <w:rFonts w:hint="eastAsia"/>
        </w:rPr>
        <w:t>在同一案件中，仲裁法院认为</w:t>
      </w:r>
      <w:r w:rsidRPr="00BF42B7">
        <w:t>：</w:t>
      </w:r>
    </w:p>
    <w:p w:rsidR="00DF5565" w:rsidRPr="00BF42B7" w:rsidRDefault="00DF5565" w:rsidP="00DF5565">
      <w:pPr>
        <w:pStyle w:val="SingleTxtGC"/>
        <w:ind w:left="1554"/>
      </w:pPr>
      <w:r w:rsidRPr="00BF42B7">
        <w:rPr>
          <w:rFonts w:hint="eastAsia"/>
        </w:rPr>
        <w:t>“</w:t>
      </w:r>
      <w:r w:rsidRPr="00BF42B7">
        <w:t>(</w:t>
      </w:r>
      <w:r w:rsidRPr="00BF42B7">
        <w:rPr>
          <w:rFonts w:hint="eastAsia"/>
        </w:rPr>
        <w:t>如法院业已</w:t>
      </w:r>
      <w:r w:rsidRPr="00BF42B7">
        <w:rPr>
          <w:rFonts w:hint="eastAsia"/>
          <w:lang w:val="fr-FR"/>
        </w:rPr>
        <w:t>表明</w:t>
      </w:r>
      <w:r w:rsidRPr="00BF42B7">
        <w:rPr>
          <w:rFonts w:hint="eastAsia"/>
        </w:rPr>
        <w:t>的那样</w:t>
      </w:r>
      <w:r w:rsidRPr="00BF42B7">
        <w:t>)</w:t>
      </w:r>
      <w:r w:rsidRPr="00BF42B7">
        <w:rPr>
          <w:rFonts w:hint="eastAsia"/>
        </w:rPr>
        <w:t>，仅仅是印制一些地位和价值极其令人怀疑的地图</w:t>
      </w:r>
      <w:r w:rsidRPr="00BF42B7">
        <w:t>(</w:t>
      </w:r>
      <w:r w:rsidRPr="00BF42B7">
        <w:rPr>
          <w:rFonts w:hint="eastAsia"/>
        </w:rPr>
        <w:t>尽管其确实代表阿根廷的官方观点</w:t>
      </w:r>
      <w:r w:rsidRPr="00BF42B7">
        <w:t>)</w:t>
      </w:r>
      <w:r w:rsidRPr="00BF42B7">
        <w:rPr>
          <w:rFonts w:hint="eastAsia"/>
        </w:rPr>
        <w:t>不能够排除或阻止智利采取一些行动，显示该国对自身根据</w:t>
      </w:r>
      <w:r w:rsidRPr="00BF42B7">
        <w:t>1881</w:t>
      </w:r>
      <w:r w:rsidRPr="00BF42B7">
        <w:rPr>
          <w:rFonts w:hint="eastAsia"/>
        </w:rPr>
        <w:t>年条约所具有权利的观点</w:t>
      </w:r>
      <w:r w:rsidRPr="00BF42B7">
        <w:rPr>
          <w:rFonts w:hint="eastAsia"/>
          <w:spacing w:val="-50"/>
          <w:lang w:val="fr-CH"/>
        </w:rPr>
        <w:t>―</w:t>
      </w:r>
      <w:r w:rsidRPr="00BF42B7">
        <w:rPr>
          <w:rFonts w:hint="eastAsia"/>
          <w:lang w:val="fr-CH"/>
        </w:rPr>
        <w:t>―</w:t>
      </w:r>
      <w:r w:rsidRPr="00BF42B7">
        <w:rPr>
          <w:rFonts w:hint="eastAsia"/>
        </w:rPr>
        <w:t>如果阿根廷认为这些行动违反条约的话，仅靠出版地图本身也不能免除阿根廷就智利的行动作出反应的必要性。”</w:t>
      </w:r>
      <w:r w:rsidRPr="00BF42B7">
        <w:rPr>
          <w:color w:val="0000FF"/>
          <w:vertAlign w:val="superscript"/>
        </w:rPr>
        <w:footnoteReference w:id="822"/>
      </w:r>
      <w:r w:rsidRPr="00BF42B7">
        <w:rPr>
          <w:color w:val="0000FF"/>
          <w:vertAlign w:val="superscript"/>
        </w:rPr>
        <w:t xml:space="preserve"> </w:t>
      </w:r>
    </w:p>
    <w:p w:rsidR="00DF5565" w:rsidRPr="00BF42B7" w:rsidRDefault="00DF5565" w:rsidP="00DF5565">
      <w:pPr>
        <w:pStyle w:val="SingleTxtGC"/>
      </w:pPr>
      <w:r w:rsidRPr="00BF42B7">
        <w:t>(1</w:t>
      </w:r>
      <w:r w:rsidRPr="00BF42B7">
        <w:rPr>
          <w:rFonts w:hint="eastAsia"/>
        </w:rPr>
        <w:t>7</w:t>
      </w:r>
      <w:r w:rsidRPr="00BF42B7">
        <w:t xml:space="preserve">)  </w:t>
      </w:r>
      <w:r w:rsidRPr="00BF42B7">
        <w:rPr>
          <w:rFonts w:hint="eastAsia"/>
        </w:rPr>
        <w:t>沉默的意义取决于另一方的嗣后惯例所涉及的法律情形以及由此表达的主张。因此，在</w:t>
      </w:r>
      <w:r w:rsidRPr="00BF42B7">
        <w:rPr>
          <w:rFonts w:ascii="Time New Roman" w:eastAsia="楷体" w:hAnsi="Time New Roman" w:hint="eastAsia"/>
        </w:rPr>
        <w:t>喀麦隆和尼日利亚间陆地和海洋疆界案</w:t>
      </w:r>
      <w:r w:rsidRPr="00BF42B7">
        <w:rPr>
          <w:rFonts w:hint="eastAsia"/>
        </w:rPr>
        <w:t>中，国际法院认为</w:t>
      </w:r>
      <w:r w:rsidRPr="00BF42B7">
        <w:t>：</w:t>
      </w:r>
    </w:p>
    <w:p w:rsidR="00DF5565" w:rsidRPr="00BF42B7" w:rsidRDefault="00DF5565" w:rsidP="00DF5565">
      <w:pPr>
        <w:pStyle w:val="SingleTxtGC"/>
        <w:ind w:left="1554"/>
      </w:pPr>
      <w:r w:rsidRPr="00BF42B7">
        <w:rPr>
          <w:rFonts w:hint="eastAsia"/>
        </w:rPr>
        <w:t>“其中有些活动</w:t>
      </w:r>
      <w:r w:rsidRPr="00BF42B7">
        <w:rPr>
          <w:rFonts w:hint="eastAsia"/>
          <w:spacing w:val="-50"/>
        </w:rPr>
        <w:t>―</w:t>
      </w:r>
      <w:r w:rsidRPr="00BF42B7">
        <w:rPr>
          <w:rFonts w:hint="eastAsia"/>
        </w:rPr>
        <w:t>―开展公共保健和教育、治安、司法</w:t>
      </w:r>
      <w:r w:rsidRPr="00BF42B7">
        <w:rPr>
          <w:rFonts w:hint="eastAsia"/>
          <w:spacing w:val="-50"/>
        </w:rPr>
        <w:t>―</w:t>
      </w:r>
      <w:r w:rsidRPr="00BF42B7">
        <w:rPr>
          <w:rFonts w:hint="eastAsia"/>
        </w:rPr>
        <w:t>―通常可视为“主权”行为。但是，法院注意到，因喀麦隆在本地区有事先存在的所有权，法律上要作的相关考查是是否有证据显示喀麦隆默认将所有权移交给尼日利亚。”</w:t>
      </w:r>
      <w:r w:rsidRPr="00BF42B7">
        <w:rPr>
          <w:color w:val="0000FF"/>
          <w:vertAlign w:val="superscript"/>
        </w:rPr>
        <w:footnoteReference w:id="823"/>
      </w:r>
      <w:r w:rsidRPr="00BF42B7">
        <w:rPr>
          <w:color w:val="0000FF"/>
          <w:vertAlign w:val="superscript"/>
        </w:rPr>
        <w:t xml:space="preserve"> </w:t>
      </w:r>
    </w:p>
    <w:p w:rsidR="00DF5565" w:rsidRPr="00BF42B7" w:rsidRDefault="00DF5565" w:rsidP="00DF5565">
      <w:pPr>
        <w:pStyle w:val="SingleTxtGC"/>
      </w:pPr>
      <w:r w:rsidRPr="00BF42B7">
        <w:t>(1</w:t>
      </w:r>
      <w:r w:rsidRPr="00BF42B7">
        <w:rPr>
          <w:rFonts w:hint="eastAsia"/>
        </w:rPr>
        <w:t>8</w:t>
      </w:r>
      <w:r w:rsidRPr="00BF42B7">
        <w:t xml:space="preserve">)  </w:t>
      </w:r>
      <w:r w:rsidRPr="00BF42B7">
        <w:rPr>
          <w:rFonts w:hint="eastAsia"/>
        </w:rPr>
        <w:t>这一判决表明，在涉及确立划定边界的条约案中，只有在非常特殊的情况下才要求针对违反条约的行为作出反应。在这种情况下，似乎有一种强有力的推定，即沉默或不作为不构成对惯例的接受。</w:t>
      </w:r>
      <w:r w:rsidRPr="00BF42B7">
        <w:rPr>
          <w:color w:val="0000FF"/>
          <w:vertAlign w:val="superscript"/>
        </w:rPr>
        <w:footnoteReference w:id="824"/>
      </w:r>
      <w:r w:rsidRPr="00BF42B7">
        <w:rPr>
          <w:color w:val="0000FF"/>
          <w:vertAlign w:val="superscript"/>
        </w:rPr>
        <w:t xml:space="preserve"> </w:t>
      </w:r>
    </w:p>
    <w:p w:rsidR="00DF5565" w:rsidRPr="00BF42B7" w:rsidRDefault="00DF5565" w:rsidP="00DF5565">
      <w:pPr>
        <w:pStyle w:val="SingleTxtGC"/>
      </w:pPr>
      <w:r w:rsidRPr="00BF42B7">
        <w:t>(1</w:t>
      </w:r>
      <w:r w:rsidRPr="00BF42B7">
        <w:rPr>
          <w:rFonts w:hint="eastAsia"/>
        </w:rPr>
        <w:t>9</w:t>
      </w:r>
      <w:r w:rsidRPr="00BF42B7">
        <w:t xml:space="preserve">)  </w:t>
      </w:r>
      <w:r w:rsidRPr="00BF42B7">
        <w:rPr>
          <w:rFonts w:hint="eastAsia"/>
        </w:rPr>
        <w:t>沉默或不作为对于确立关于解释协定的相关性在很大程度上取决于具体案件的具体情况。国际性法院和法庭的裁决显示，通过沉默或不作为来接受一方或多方的惯例并不能很容易地得到确立。</w:t>
      </w:r>
    </w:p>
    <w:p w:rsidR="00DF5565" w:rsidRPr="00BF42B7" w:rsidRDefault="00DF5565" w:rsidP="00DF5565">
      <w:pPr>
        <w:pStyle w:val="SingleTxtGC"/>
      </w:pPr>
      <w:r w:rsidRPr="00BF42B7">
        <w:t>(</w:t>
      </w:r>
      <w:r w:rsidRPr="00BF42B7">
        <w:rPr>
          <w:rFonts w:hint="eastAsia"/>
        </w:rPr>
        <w:t>20</w:t>
      </w:r>
      <w:r w:rsidRPr="00BF42B7">
        <w:t xml:space="preserve">)  </w:t>
      </w:r>
      <w:r w:rsidRPr="00BF42B7">
        <w:rPr>
          <w:rFonts w:hint="eastAsia"/>
        </w:rPr>
        <w:t>例如，国际性的法院和法庭不太愿意接受以下观点，即议会程序或国内法庭判决可视为第三十一条第三款</w:t>
      </w:r>
      <w:r w:rsidRPr="00BF42B7">
        <w:t>(b)</w:t>
      </w:r>
      <w:r w:rsidRPr="00BF42B7">
        <w:t>项</w:t>
      </w:r>
      <w:r w:rsidRPr="00BF42B7">
        <w:rPr>
          <w:rFonts w:hint="eastAsia"/>
        </w:rPr>
        <w:t>所述的嗣后惯例，对此条约</w:t>
      </w:r>
      <w:r w:rsidRPr="00BF42B7">
        <w:t>其他</w:t>
      </w:r>
      <w:r w:rsidRPr="00BF42B7">
        <w:rPr>
          <w:rFonts w:hint="eastAsia"/>
        </w:rPr>
        <w:t>缔约方需要作出反应，即使是此类程序或判决是经由</w:t>
      </w:r>
      <w:r w:rsidRPr="00BF42B7">
        <w:t>其他</w:t>
      </w:r>
      <w:r w:rsidRPr="00BF42B7">
        <w:rPr>
          <w:rFonts w:hint="eastAsia"/>
        </w:rPr>
        <w:t>渠道包括通过本国的外交部门引起其注意的情况。</w:t>
      </w:r>
      <w:bookmarkStart w:id="182" w:name="_Ref461976926"/>
      <w:r w:rsidRPr="00BF42B7">
        <w:rPr>
          <w:color w:val="0000FF"/>
          <w:vertAlign w:val="superscript"/>
        </w:rPr>
        <w:footnoteReference w:id="825"/>
      </w:r>
      <w:bookmarkEnd w:id="182"/>
      <w:r w:rsidRPr="00BF42B7">
        <w:rPr>
          <w:color w:val="0000FF"/>
          <w:vertAlign w:val="superscript"/>
        </w:rPr>
        <w:t xml:space="preserve"> </w:t>
      </w:r>
    </w:p>
    <w:p w:rsidR="00DF5565" w:rsidRPr="00BF42B7" w:rsidRDefault="00DF5565" w:rsidP="00DF5565">
      <w:pPr>
        <w:pStyle w:val="SingleTxtGC"/>
      </w:pPr>
      <w:r w:rsidRPr="00BF42B7">
        <w:t>(2</w:t>
      </w:r>
      <w:r w:rsidRPr="00BF42B7">
        <w:rPr>
          <w:rFonts w:hint="eastAsia"/>
        </w:rPr>
        <w:t>1</w:t>
      </w:r>
      <w:r w:rsidRPr="00BF42B7">
        <w:t xml:space="preserve">)  </w:t>
      </w:r>
      <w:r w:rsidRPr="00BF42B7">
        <w:rPr>
          <w:rFonts w:hint="eastAsia"/>
        </w:rPr>
        <w:t>此外，即使当一方通过行动就条约解释对另一方</w:t>
      </w:r>
      <w:r w:rsidRPr="00BF42B7">
        <w:t>(</w:t>
      </w:r>
      <w:r w:rsidRPr="00BF42B7">
        <w:rPr>
          <w:rFonts w:hint="eastAsia"/>
        </w:rPr>
        <w:t>或几方</w:t>
      </w:r>
      <w:r w:rsidRPr="00BF42B7">
        <w:t>)</w:t>
      </w:r>
      <w:r w:rsidRPr="00BF42B7">
        <w:rPr>
          <w:rFonts w:hint="eastAsia"/>
        </w:rPr>
        <w:t>表达特定立场时，这也不一定要求另外一方或几方作出反应。在</w:t>
      </w:r>
      <w:r w:rsidRPr="00BF42B7">
        <w:rPr>
          <w:rFonts w:ascii="Time New Roman" w:eastAsia="楷体" w:hAnsi="Time New Roman" w:hint="eastAsia"/>
        </w:rPr>
        <w:t>卡西基里</w:t>
      </w:r>
      <w:r w:rsidRPr="00BF42B7">
        <w:rPr>
          <w:rFonts w:ascii="Time New Roman" w:eastAsia="楷体" w:hAnsi="Time New Roman" w:hint="eastAsia"/>
        </w:rPr>
        <w:t>/</w:t>
      </w:r>
      <w:r w:rsidRPr="00BF42B7">
        <w:rPr>
          <w:rFonts w:ascii="Time New Roman" w:eastAsia="楷体" w:hAnsi="Time New Roman" w:hint="eastAsia"/>
        </w:rPr>
        <w:t>塞杜杜岛案</w:t>
      </w:r>
      <w:r w:rsidRPr="00BF42B7">
        <w:rPr>
          <w:rFonts w:hint="eastAsia"/>
        </w:rPr>
        <w:t>中，国际法院认为，对于接受各方委任就某一争端事项确定特定事实情况的联合专家委员会的结论，如果一国没有对其作出反应，并不能由此作为依据，得出结论认为有关方面已就争端达成协定。</w:t>
      </w:r>
      <w:r w:rsidRPr="00BF42B7">
        <w:rPr>
          <w:color w:val="0000FF"/>
          <w:vertAlign w:val="superscript"/>
        </w:rPr>
        <w:footnoteReference w:id="826"/>
      </w:r>
      <w:r w:rsidRPr="00BF42B7">
        <w:rPr>
          <w:color w:val="0000FF"/>
          <w:vertAlign w:val="superscript"/>
        </w:rPr>
        <w:t xml:space="preserve"> </w:t>
      </w:r>
      <w:r w:rsidRPr="00BF42B7">
        <w:rPr>
          <w:rFonts w:hint="eastAsia"/>
        </w:rPr>
        <w:t>法院认为，当事方认为专家的工作仅仅是一个准备阶段，以便今后在政治层面上作出另外的决定。就更一般的情况而言，世贸组织上诉机构认为</w:t>
      </w:r>
      <w:r w:rsidRPr="00BF42B7">
        <w:t>：</w:t>
      </w:r>
    </w:p>
    <w:p w:rsidR="00DF5565" w:rsidRPr="00BF42B7" w:rsidRDefault="00DF5565" w:rsidP="00DF5565">
      <w:pPr>
        <w:pStyle w:val="SingleTxtGC"/>
        <w:ind w:left="1554"/>
        <w:rPr>
          <w:spacing w:val="-2"/>
        </w:rPr>
      </w:pPr>
      <w:r w:rsidRPr="00BF42B7">
        <w:rPr>
          <w:rFonts w:hint="eastAsia"/>
          <w:spacing w:val="-2"/>
        </w:rPr>
        <w:t>“……在特定情况下，</w:t>
      </w:r>
      <w:r w:rsidRPr="00BF42B7">
        <w:rPr>
          <w:rFonts w:hint="eastAsia"/>
          <w:spacing w:val="-2"/>
          <w:lang w:val="fr-FR"/>
        </w:rPr>
        <w:t>根据</w:t>
      </w:r>
      <w:r w:rsidRPr="00BF42B7">
        <w:rPr>
          <w:rFonts w:hint="eastAsia"/>
          <w:spacing w:val="-2"/>
        </w:rPr>
        <w:t>当时的具体情形，对条约特定缔约方的‘没有反应’或沉默可以理解为接受了条约</w:t>
      </w:r>
      <w:r w:rsidRPr="00BF42B7">
        <w:rPr>
          <w:spacing w:val="-2"/>
        </w:rPr>
        <w:t>其他</w:t>
      </w:r>
      <w:r w:rsidRPr="00BF42B7">
        <w:rPr>
          <w:rFonts w:hint="eastAsia"/>
          <w:spacing w:val="-2"/>
        </w:rPr>
        <w:t>缔约方的惯例。当没有参与一项惯例的缔约方主动或被动地知悉</w:t>
      </w:r>
      <w:r w:rsidRPr="00BF42B7">
        <w:rPr>
          <w:spacing w:val="-2"/>
        </w:rPr>
        <w:t>其他</w:t>
      </w:r>
      <w:r w:rsidRPr="00BF42B7">
        <w:rPr>
          <w:rFonts w:hint="eastAsia"/>
          <w:spacing w:val="-2"/>
        </w:rPr>
        <w:t>缔约方的惯例</w:t>
      </w:r>
      <w:r w:rsidRPr="00BF42B7">
        <w:rPr>
          <w:spacing w:val="-2"/>
        </w:rPr>
        <w:t>(</w:t>
      </w:r>
      <w:r w:rsidRPr="00BF42B7">
        <w:rPr>
          <w:rFonts w:hint="eastAsia"/>
          <w:spacing w:val="-2"/>
        </w:rPr>
        <w:t>如经过通知或参加讨论惯例的一个论坛</w:t>
      </w:r>
      <w:r w:rsidRPr="00BF42B7">
        <w:rPr>
          <w:spacing w:val="-2"/>
        </w:rPr>
        <w:t>)</w:t>
      </w:r>
      <w:r w:rsidRPr="00BF42B7">
        <w:rPr>
          <w:rFonts w:hint="eastAsia"/>
          <w:spacing w:val="-2"/>
        </w:rPr>
        <w:t>而没有对此作出反应时，就可以视为上述的一种情况。”</w:t>
      </w:r>
      <w:r w:rsidRPr="00BF42B7">
        <w:rPr>
          <w:color w:val="0000FF"/>
          <w:spacing w:val="-2"/>
          <w:vertAlign w:val="superscript"/>
        </w:rPr>
        <w:footnoteReference w:id="827"/>
      </w:r>
      <w:r w:rsidRPr="00BF42B7">
        <w:rPr>
          <w:color w:val="0000FF"/>
          <w:spacing w:val="-2"/>
          <w:vertAlign w:val="superscript"/>
        </w:rPr>
        <w:t xml:space="preserve"> </w:t>
      </w:r>
    </w:p>
    <w:p w:rsidR="00DF5565" w:rsidRPr="00BF42B7" w:rsidRDefault="00DF5565" w:rsidP="00DF5565">
      <w:pPr>
        <w:pStyle w:val="SingleTxtGC"/>
      </w:pPr>
      <w:r w:rsidRPr="00BF42B7">
        <w:rPr>
          <w:rFonts w:hint="eastAsia"/>
        </w:rPr>
        <w:t>海洋法国际法庭确认了上述办法。法庭考虑到各国在解释《联合国海洋法公约》第五十六、五十八和七十三条的惯例，称</w:t>
      </w:r>
      <w:r w:rsidRPr="00BF42B7">
        <w:t>：</w:t>
      </w:r>
    </w:p>
    <w:p w:rsidR="00DF5565" w:rsidRPr="00BF42B7" w:rsidRDefault="00DF5565" w:rsidP="00DF5565">
      <w:pPr>
        <w:pStyle w:val="SingleTxtGC"/>
        <w:ind w:left="1554"/>
        <w:rPr>
          <w:color w:val="0000FF"/>
          <w:vertAlign w:val="superscript"/>
        </w:rPr>
      </w:pPr>
      <w:r w:rsidRPr="00BF42B7">
        <w:rPr>
          <w:rFonts w:hint="eastAsia"/>
        </w:rPr>
        <w:t>“法庭承认，不仅是西非地区，也包括世界</w:t>
      </w:r>
      <w:r w:rsidRPr="00BF42B7">
        <w:t>其他</w:t>
      </w:r>
      <w:r w:rsidRPr="00BF42B7">
        <w:rPr>
          <w:rFonts w:hint="eastAsia"/>
        </w:rPr>
        <w:t>一些地区，有些国家的国内法对在本国专属经济区捕鱼的外国船只的装载量作出了规定，与几内亚比绍相似。法庭进一步注意到，对于此类法律并没有明示的反对意见，而且这些法律一般上都得到遵守。”</w:t>
      </w:r>
      <w:r w:rsidRPr="00BF42B7">
        <w:rPr>
          <w:color w:val="0000FF"/>
          <w:vertAlign w:val="superscript"/>
        </w:rPr>
        <w:footnoteReference w:id="828"/>
      </w:r>
      <w:r w:rsidRPr="00BF42B7">
        <w:rPr>
          <w:color w:val="0000FF"/>
          <w:vertAlign w:val="superscript"/>
        </w:rPr>
        <w:t xml:space="preserve"> </w:t>
      </w:r>
    </w:p>
    <w:p w:rsidR="00DF5565" w:rsidRPr="00BF42B7" w:rsidRDefault="00DF5565" w:rsidP="00DF5565">
      <w:pPr>
        <w:pStyle w:val="SingleTxtGC"/>
      </w:pPr>
      <w:r w:rsidRPr="00BF42B7">
        <w:rPr>
          <w:rFonts w:hint="eastAsia"/>
        </w:rPr>
        <w:t xml:space="preserve">(22)  </w:t>
      </w:r>
      <w:r w:rsidRPr="00BF42B7">
        <w:rPr>
          <w:rFonts w:hint="eastAsia"/>
        </w:rPr>
        <w:t>国内法院的裁决还确认，只有在“相关情况要求做出某些反应”时，方可将缔约方的沉默理解为接受。</w:t>
      </w:r>
      <w:r w:rsidRPr="00BF42B7">
        <w:rPr>
          <w:color w:val="0000FF"/>
          <w:vertAlign w:val="superscript"/>
        </w:rPr>
        <w:footnoteReference w:id="829"/>
      </w:r>
      <w:r w:rsidRPr="00BF42B7">
        <w:rPr>
          <w:color w:val="0000FF"/>
          <w:vertAlign w:val="superscript"/>
        </w:rPr>
        <w:t xml:space="preserve"> </w:t>
      </w:r>
      <w:r w:rsidRPr="00BF42B7">
        <w:rPr>
          <w:rFonts w:hint="eastAsia"/>
        </w:rPr>
        <w:t>这种情况有时体现在特定的合作环境中，如规定了特别密切的合作形式的双边条约。</w:t>
      </w:r>
      <w:r w:rsidRPr="00BF42B7">
        <w:rPr>
          <w:color w:val="0000FF"/>
          <w:vertAlign w:val="superscript"/>
        </w:rPr>
        <w:footnoteReference w:id="830"/>
      </w:r>
      <w:r w:rsidRPr="00BF42B7">
        <w:rPr>
          <w:color w:val="0000FF"/>
          <w:vertAlign w:val="superscript"/>
        </w:rPr>
        <w:t xml:space="preserve"> </w:t>
      </w:r>
      <w:r w:rsidRPr="00BF42B7">
        <w:rPr>
          <w:rFonts w:hint="eastAsia"/>
        </w:rPr>
        <w:t>如果条约设想的合作形式属于国际组织范围之内，而该组织规定为了解释的目的不得使用缔约方的惯例及其沉默，情况则有所不同。</w:t>
      </w:r>
      <w:r w:rsidRPr="00BF42B7">
        <w:rPr>
          <w:color w:val="0000FF"/>
          <w:vertAlign w:val="superscript"/>
        </w:rPr>
        <w:footnoteReference w:id="831"/>
      </w:r>
      <w:r w:rsidRPr="00BF42B7">
        <w:rPr>
          <w:color w:val="0000FF"/>
          <w:vertAlign w:val="superscript"/>
        </w:rPr>
        <w:t xml:space="preserve"> </w:t>
      </w:r>
    </w:p>
    <w:p w:rsidR="00DF5565" w:rsidRPr="00BF42B7" w:rsidRDefault="00DF5565" w:rsidP="00DF5565">
      <w:pPr>
        <w:pStyle w:val="SingleTxtGC"/>
      </w:pPr>
      <w:r w:rsidRPr="00BF42B7">
        <w:t>(2</w:t>
      </w:r>
      <w:r w:rsidRPr="00BF42B7">
        <w:rPr>
          <w:rFonts w:hint="eastAsia"/>
        </w:rPr>
        <w:t>3</w:t>
      </w:r>
      <w:r w:rsidRPr="00BF42B7">
        <w:t xml:space="preserve">)  </w:t>
      </w:r>
      <w:r w:rsidRPr="00BF42B7">
        <w:rPr>
          <w:rFonts w:hint="eastAsia"/>
        </w:rPr>
        <w:t>面对条约某一缔约方的嗣后惯例，沉默或不作为在法律上的重要性并不限于构成可能的基本共同协定，也可能有助于非基于同意规则的适用，如禁止反言、排除或指示。</w:t>
      </w:r>
      <w:r w:rsidRPr="00BF42B7">
        <w:rPr>
          <w:color w:val="0000FF"/>
          <w:vertAlign w:val="superscript"/>
        </w:rPr>
        <w:footnoteReference w:id="832"/>
      </w:r>
      <w:r w:rsidRPr="00BF42B7">
        <w:rPr>
          <w:color w:val="0000FF"/>
          <w:vertAlign w:val="superscript"/>
        </w:rPr>
        <w:t xml:space="preserve"> </w:t>
      </w:r>
    </w:p>
    <w:p w:rsidR="00DF5565" w:rsidRPr="00BF42B7" w:rsidRDefault="00DF5565" w:rsidP="00DF5565">
      <w:pPr>
        <w:pStyle w:val="SingleTxtGC"/>
      </w:pPr>
      <w:r w:rsidRPr="00BF42B7">
        <w:t>(2</w:t>
      </w:r>
      <w:r w:rsidRPr="00BF42B7">
        <w:rPr>
          <w:rFonts w:hint="eastAsia"/>
        </w:rPr>
        <w:t>4</w:t>
      </w:r>
      <w:r w:rsidRPr="00BF42B7">
        <w:t xml:space="preserve">)  </w:t>
      </w:r>
      <w:r w:rsidRPr="00BF42B7">
        <w:rPr>
          <w:rFonts w:hint="eastAsia"/>
        </w:rPr>
        <w:t>第三十一条第三款</w:t>
      </w:r>
      <w:r w:rsidRPr="00BF42B7">
        <w:t>(a)</w:t>
      </w:r>
      <w:r w:rsidRPr="00BF42B7">
        <w:t>项</w:t>
      </w:r>
      <w:r w:rsidRPr="00BF42B7">
        <w:rPr>
          <w:rFonts w:hint="eastAsia"/>
        </w:rPr>
        <w:t>和</w:t>
      </w:r>
      <w:r w:rsidRPr="00BF42B7">
        <w:t>(b)</w:t>
      </w:r>
      <w:r w:rsidRPr="00BF42B7">
        <w:t>项</w:t>
      </w:r>
      <w:r w:rsidRPr="00BF42B7">
        <w:rPr>
          <w:rFonts w:hint="eastAsia"/>
        </w:rPr>
        <w:t>所述缔约方之间的协定在确立后，将来也可能终止。缔约方可以第三十一条第三款下具有不同范围或内容的另外一个协定加以取代。在这种情况下，新的协定取代以前的协定，成为从生效之日起作准的解释资料，至少效力持续到将来。</w:t>
      </w:r>
      <w:r w:rsidRPr="00BF42B7">
        <w:rPr>
          <w:color w:val="0000FF"/>
          <w:vertAlign w:val="superscript"/>
        </w:rPr>
        <w:footnoteReference w:id="833"/>
      </w:r>
      <w:r w:rsidRPr="00BF42B7">
        <w:rPr>
          <w:color w:val="0000FF"/>
          <w:vertAlign w:val="superscript"/>
        </w:rPr>
        <w:t xml:space="preserve"> </w:t>
      </w:r>
      <w:r w:rsidRPr="00BF42B7">
        <w:rPr>
          <w:rFonts w:hint="eastAsia"/>
        </w:rPr>
        <w:t>但是，对于这种情况，不能轻易地推定国家通常不会根据短期考虑改变其对条约的解释。</w:t>
      </w:r>
    </w:p>
    <w:p w:rsidR="00DF5565" w:rsidRPr="00BF42B7" w:rsidRDefault="00DF5565" w:rsidP="00DF5565">
      <w:pPr>
        <w:pStyle w:val="SingleTxtGC"/>
        <w:rPr>
          <w:color w:val="0000FF"/>
          <w:vertAlign w:val="superscript"/>
        </w:rPr>
      </w:pPr>
      <w:r w:rsidRPr="00BF42B7">
        <w:t>(2</w:t>
      </w:r>
      <w:r w:rsidRPr="00BF42B7">
        <w:rPr>
          <w:rFonts w:hint="eastAsia"/>
        </w:rPr>
        <w:t>5</w:t>
      </w:r>
      <w:r w:rsidRPr="00BF42B7">
        <w:t xml:space="preserve">)  </w:t>
      </w:r>
      <w:r w:rsidRPr="00BF42B7">
        <w:rPr>
          <w:rFonts w:hint="eastAsia"/>
        </w:rPr>
        <w:t>缔约国就条约解释达成嗣后协定后，也有可能出现不同意见。但是，这种不同意见通常不能取代前述嗣后协定，因为诚意原则使缔约方不能简单地抵赖通过共同解释所产生的合法预期。</w:t>
      </w:r>
      <w:r w:rsidRPr="00BF42B7">
        <w:rPr>
          <w:color w:val="0000FF"/>
          <w:vertAlign w:val="superscript"/>
        </w:rPr>
        <w:footnoteReference w:id="834"/>
      </w:r>
      <w:r w:rsidRPr="00BF42B7">
        <w:rPr>
          <w:color w:val="0000FF"/>
          <w:vertAlign w:val="superscript"/>
        </w:rPr>
        <w:t xml:space="preserve"> </w:t>
      </w:r>
      <w:r w:rsidRPr="00BF42B7">
        <w:rPr>
          <w:rFonts w:hint="eastAsia"/>
        </w:rPr>
        <w:t>另一方面，一个缔约方对以前通过共同惯例产生的谅解明确拒绝</w:t>
      </w:r>
      <w:r w:rsidRPr="00BF42B7">
        <w:t xml:space="preserve"> </w:t>
      </w:r>
      <w:r w:rsidRPr="00BF42B7">
        <w:rPr>
          <w:rFonts w:hint="eastAsia"/>
        </w:rPr>
        <w:t>“确实在很大程度上削弱了惯例此后的重要性”，但没有削弱以前的共同惯例的重要性。</w:t>
      </w:r>
      <w:r w:rsidRPr="00BF42B7">
        <w:rPr>
          <w:color w:val="0000FF"/>
          <w:vertAlign w:val="superscript"/>
        </w:rPr>
        <w:footnoteReference w:id="835"/>
      </w:r>
      <w:r w:rsidRPr="00BF42B7">
        <w:rPr>
          <w:color w:val="0000FF"/>
          <w:vertAlign w:val="superscript"/>
        </w:rPr>
        <w:t xml:space="preserve"> </w:t>
      </w:r>
    </w:p>
    <w:p w:rsidR="00DF5565" w:rsidRPr="00BF42B7" w:rsidRDefault="00DF5565" w:rsidP="00EE2BC7">
      <w:pPr>
        <w:pStyle w:val="H23GC"/>
        <w:ind w:left="1554"/>
      </w:pPr>
      <w:r w:rsidRPr="00BF42B7">
        <w:tab/>
      </w:r>
      <w:r w:rsidRPr="00BF42B7">
        <w:tab/>
      </w:r>
      <w:r w:rsidRPr="00BF42B7">
        <w:rPr>
          <w:rFonts w:hint="eastAsia"/>
        </w:rPr>
        <w:t>第四部分</w:t>
      </w:r>
      <w:r w:rsidRPr="00BF42B7">
        <w:br/>
      </w:r>
      <w:r w:rsidRPr="00BF42B7">
        <w:rPr>
          <w:rFonts w:hint="eastAsia"/>
        </w:rPr>
        <w:t>具体</w:t>
      </w:r>
      <w:r w:rsidRPr="00EE2BC7">
        <w:rPr>
          <w:rFonts w:hint="eastAsia"/>
          <w:lang w:val="zh-CN"/>
        </w:rPr>
        <w:t>方面</w:t>
      </w:r>
    </w:p>
    <w:p w:rsidR="00DF5565" w:rsidRPr="00BF42B7" w:rsidRDefault="00DF5565" w:rsidP="00DF5565">
      <w:pPr>
        <w:pStyle w:val="H23GC"/>
        <w:ind w:left="1554"/>
      </w:pPr>
      <w:r w:rsidRPr="00BF42B7">
        <w:rPr>
          <w:rFonts w:hint="eastAsia"/>
        </w:rPr>
        <w:tab/>
      </w:r>
      <w:r w:rsidRPr="00BF42B7">
        <w:rPr>
          <w:rFonts w:hint="eastAsia"/>
        </w:rPr>
        <w:tab/>
      </w:r>
      <w:r w:rsidRPr="00BF42B7">
        <w:rPr>
          <w:rFonts w:hint="eastAsia"/>
        </w:rPr>
        <w:t>结论</w:t>
      </w:r>
      <w:r w:rsidRPr="00BF42B7">
        <w:rPr>
          <w:rFonts w:hint="eastAsia"/>
        </w:rPr>
        <w:t>11[10]</w:t>
      </w:r>
      <w:r w:rsidRPr="00BF42B7">
        <w:br/>
      </w:r>
      <w:r w:rsidRPr="00BF42B7">
        <w:rPr>
          <w:rFonts w:hint="eastAsia"/>
        </w:rPr>
        <w:t>在缔约国大会框架内通过的决定</w:t>
      </w:r>
    </w:p>
    <w:p w:rsidR="00DF5565" w:rsidRPr="00BF42B7" w:rsidRDefault="00DF5565" w:rsidP="00DF5565">
      <w:pPr>
        <w:pStyle w:val="SingleTxtGC"/>
        <w:ind w:left="1554"/>
        <w:rPr>
          <w:bCs/>
        </w:rPr>
      </w:pPr>
      <w:r w:rsidRPr="00BF42B7">
        <w:rPr>
          <w:bCs/>
        </w:rPr>
        <w:t>1.</w:t>
      </w:r>
      <w:r w:rsidRPr="00BF42B7">
        <w:rPr>
          <w:rFonts w:hint="eastAsia"/>
          <w:bCs/>
        </w:rPr>
        <w:t xml:space="preserve">  </w:t>
      </w:r>
      <w:r w:rsidRPr="00BF42B7">
        <w:rPr>
          <w:rFonts w:hint="eastAsia"/>
          <w:lang w:val="zh-CN"/>
        </w:rPr>
        <w:t>为本</w:t>
      </w:r>
      <w:r w:rsidRPr="00BF42B7">
        <w:rPr>
          <w:lang w:val="zh-CN"/>
        </w:rPr>
        <w:t>结论草案</w:t>
      </w:r>
      <w:r w:rsidRPr="00BF42B7">
        <w:rPr>
          <w:rFonts w:hint="eastAsia"/>
          <w:lang w:val="zh-CN"/>
        </w:rPr>
        <w:t>的目的</w:t>
      </w:r>
      <w:r w:rsidRPr="00BF42B7">
        <w:rPr>
          <w:lang w:val="zh-CN"/>
        </w:rPr>
        <w:t>，缔约国大会</w:t>
      </w:r>
      <w:r w:rsidRPr="00BF42B7">
        <w:rPr>
          <w:rFonts w:hint="eastAsia"/>
          <w:lang w:val="zh-CN"/>
        </w:rPr>
        <w:t>指</w:t>
      </w:r>
      <w:r w:rsidRPr="00BF42B7">
        <w:rPr>
          <w:lang w:val="zh-CN"/>
        </w:rPr>
        <w:t>缔约国根据条约为</w:t>
      </w:r>
      <w:r w:rsidRPr="00BF42B7">
        <w:rPr>
          <w:rFonts w:hint="eastAsia"/>
          <w:lang w:val="zh-CN"/>
        </w:rPr>
        <w:t>了</w:t>
      </w:r>
      <w:r w:rsidRPr="00BF42B7">
        <w:rPr>
          <w:lang w:val="zh-CN"/>
        </w:rPr>
        <w:t>审查或执行条约</w:t>
      </w:r>
      <w:r w:rsidRPr="00BF42B7">
        <w:rPr>
          <w:rFonts w:hint="eastAsia"/>
          <w:lang w:val="zh-CN"/>
        </w:rPr>
        <w:t>而</w:t>
      </w:r>
      <w:r w:rsidRPr="00BF42B7">
        <w:rPr>
          <w:lang w:val="zh-CN"/>
        </w:rPr>
        <w:t>举行的会议，但缔约国作为国际组织</w:t>
      </w:r>
      <w:r w:rsidRPr="00BF42B7">
        <w:rPr>
          <w:rFonts w:hint="eastAsia"/>
          <w:lang w:val="zh-CN"/>
        </w:rPr>
        <w:t>机关</w:t>
      </w:r>
      <w:r w:rsidRPr="00BF42B7">
        <w:rPr>
          <w:lang w:val="zh-CN"/>
        </w:rPr>
        <w:t>成员行事的情况不在此列</w:t>
      </w:r>
      <w:r w:rsidRPr="00BF42B7">
        <w:rPr>
          <w:rFonts w:hint="eastAsia"/>
        </w:rPr>
        <w:t>。</w:t>
      </w:r>
    </w:p>
    <w:p w:rsidR="00DF5565" w:rsidRPr="00BF42B7" w:rsidRDefault="00DF5565" w:rsidP="00DF5565">
      <w:pPr>
        <w:pStyle w:val="SingleTxtGC"/>
        <w:ind w:left="1554"/>
        <w:rPr>
          <w:bCs/>
        </w:rPr>
      </w:pPr>
      <w:r w:rsidRPr="00BF42B7">
        <w:rPr>
          <w:bCs/>
        </w:rPr>
        <w:t>2.</w:t>
      </w:r>
      <w:r w:rsidRPr="00BF42B7">
        <w:rPr>
          <w:rFonts w:hint="eastAsia"/>
          <w:bCs/>
        </w:rPr>
        <w:t xml:space="preserve">  </w:t>
      </w:r>
      <w:r w:rsidRPr="00BF42B7">
        <w:rPr>
          <w:rFonts w:hint="eastAsia"/>
        </w:rPr>
        <w:t>在缔约国大会框架内通过的决定所具有的法律效力主要取决于条约和可适用的议事规则。根据情况，这种决定可明确或间接地体现第三十一条第三款</w:t>
      </w:r>
      <w:r w:rsidRPr="00BF42B7">
        <w:t>(a)</w:t>
      </w:r>
      <w:r w:rsidRPr="00BF42B7">
        <w:t>项</w:t>
      </w:r>
      <w:r w:rsidRPr="00BF42B7">
        <w:rPr>
          <w:rFonts w:hint="eastAsia"/>
        </w:rPr>
        <w:t>所称的嗣后协定，或产生第三十一条第三款</w:t>
      </w:r>
      <w:r w:rsidRPr="00BF42B7">
        <w:t>(b)</w:t>
      </w:r>
      <w:r w:rsidRPr="00BF42B7">
        <w:t>项</w:t>
      </w:r>
      <w:r w:rsidRPr="00BF42B7">
        <w:rPr>
          <w:rFonts w:hint="eastAsia"/>
        </w:rPr>
        <w:t>或第三十二条所称的嗣后惯例。在缔约国大会框架内通过的决定通常为执行条约提供了非排他性的一系列可行选择。</w:t>
      </w:r>
    </w:p>
    <w:p w:rsidR="00DF5565" w:rsidRPr="00BF42B7" w:rsidRDefault="00DF5565" w:rsidP="00DF5565">
      <w:pPr>
        <w:pStyle w:val="SingleTxtGC"/>
        <w:ind w:left="1554"/>
        <w:rPr>
          <w:bCs/>
        </w:rPr>
      </w:pPr>
      <w:r w:rsidRPr="00BF42B7">
        <w:rPr>
          <w:bCs/>
        </w:rPr>
        <w:t>3.</w:t>
      </w:r>
      <w:r w:rsidRPr="00BF42B7">
        <w:rPr>
          <w:rFonts w:hint="eastAsia"/>
          <w:bCs/>
        </w:rPr>
        <w:t xml:space="preserve">  </w:t>
      </w:r>
      <w:r w:rsidRPr="00BF42B7">
        <w:rPr>
          <w:lang w:val="zh-CN"/>
        </w:rPr>
        <w:t>在缔约国大会框架内通过的决定只要表达了缔约国之间就条约</w:t>
      </w:r>
      <w:r w:rsidRPr="00BF42B7">
        <w:rPr>
          <w:rFonts w:hint="eastAsia"/>
          <w:lang w:val="zh-CN"/>
        </w:rPr>
        <w:t>的</w:t>
      </w:r>
      <w:r w:rsidRPr="00BF42B7">
        <w:rPr>
          <w:lang w:val="zh-CN"/>
        </w:rPr>
        <w:t>解释达成的实质性协议，则不论决定以何种形式和程序通过，包括经协商一致通过，均</w:t>
      </w:r>
      <w:r w:rsidRPr="00BF42B7">
        <w:rPr>
          <w:rFonts w:hint="eastAsia"/>
          <w:lang w:val="zh-CN"/>
        </w:rPr>
        <w:t>构成</w:t>
      </w:r>
      <w:r w:rsidRPr="00BF42B7">
        <w:rPr>
          <w:lang w:val="zh-CN"/>
        </w:rPr>
        <w:t>第三十一条第三款所称的嗣后协定或嗣后惯例</w:t>
      </w:r>
      <w:r w:rsidRPr="00BF42B7">
        <w:rPr>
          <w:rFonts w:hint="eastAsia"/>
        </w:rPr>
        <w:t>。</w:t>
      </w:r>
    </w:p>
    <w:p w:rsidR="00DF5565" w:rsidRPr="00BF42B7" w:rsidRDefault="00DF5565" w:rsidP="00DF5565">
      <w:pPr>
        <w:pStyle w:val="H23GC"/>
      </w:pPr>
      <w:r w:rsidRPr="00BF42B7">
        <w:rPr>
          <w:bCs/>
        </w:rPr>
        <w:tab/>
      </w:r>
      <w:r w:rsidRPr="00BF42B7">
        <w:rPr>
          <w:rFonts w:hint="eastAsia"/>
          <w:bCs/>
        </w:rPr>
        <w:tab/>
      </w:r>
      <w:r w:rsidRPr="00BF42B7">
        <w:rPr>
          <w:rFonts w:hint="eastAsia"/>
        </w:rPr>
        <w:t>评注</w:t>
      </w:r>
    </w:p>
    <w:p w:rsidR="00DF5565" w:rsidRPr="00BF42B7" w:rsidRDefault="00DF5565" w:rsidP="00DF5565">
      <w:pPr>
        <w:pStyle w:val="SingleTxtGC"/>
        <w:rPr>
          <w:color w:val="0000FF"/>
          <w:vertAlign w:val="superscript"/>
        </w:rPr>
      </w:pPr>
      <w:r w:rsidRPr="00BF42B7">
        <w:t xml:space="preserve">(1)  </w:t>
      </w:r>
      <w:r w:rsidRPr="00BF42B7">
        <w:rPr>
          <w:rFonts w:hint="eastAsia"/>
        </w:rPr>
        <w:t>结论草案</w:t>
      </w:r>
      <w:r w:rsidRPr="00BF42B7">
        <w:rPr>
          <w:rFonts w:hint="eastAsia"/>
        </w:rPr>
        <w:t>11[10]</w:t>
      </w:r>
      <w:r w:rsidRPr="00BF42B7">
        <w:rPr>
          <w:rFonts w:hint="eastAsia"/>
        </w:rPr>
        <w:t>涉及国家达成第三十一条第三款所述嗣后协定或嗣后惯例或第三十二条所述嗣后惯例的一个具体的行动形式，即在缔约国大会框架下作出的决定。</w:t>
      </w:r>
      <w:r w:rsidRPr="00BF42B7">
        <w:rPr>
          <w:color w:val="0000FF"/>
          <w:vertAlign w:val="superscript"/>
        </w:rPr>
        <w:footnoteReference w:id="836"/>
      </w:r>
      <w:r w:rsidRPr="00BF42B7">
        <w:rPr>
          <w:color w:val="0000FF"/>
          <w:vertAlign w:val="superscript"/>
        </w:rPr>
        <w:t xml:space="preserve"> </w:t>
      </w:r>
    </w:p>
    <w:p w:rsidR="00DF5565" w:rsidRPr="00BF42B7" w:rsidRDefault="00DF5565" w:rsidP="00DF5565">
      <w:pPr>
        <w:pStyle w:val="H4GC"/>
        <w:rPr>
          <w:rFonts w:eastAsia="楷体"/>
          <w:lang w:val="en-GB"/>
        </w:rPr>
      </w:pPr>
      <w:r w:rsidRPr="00BF42B7">
        <w:rPr>
          <w:rFonts w:eastAsia="楷体" w:hint="eastAsia"/>
          <w:lang w:val="en-GB"/>
        </w:rPr>
        <w:tab/>
      </w:r>
      <w:r w:rsidRPr="00BF42B7">
        <w:rPr>
          <w:rFonts w:eastAsia="楷体" w:hint="eastAsia"/>
          <w:lang w:val="en-GB"/>
        </w:rPr>
        <w:tab/>
      </w:r>
      <w:r w:rsidRPr="00BF42B7">
        <w:rPr>
          <w:rFonts w:eastAsia="楷体" w:hint="eastAsia"/>
          <w:lang w:val="en-GB"/>
        </w:rPr>
        <w:t>第</w:t>
      </w:r>
      <w:r w:rsidRPr="00BF42B7">
        <w:rPr>
          <w:rFonts w:eastAsia="楷体" w:hint="eastAsia"/>
          <w:lang w:val="en-GB"/>
        </w:rPr>
        <w:t>1</w:t>
      </w:r>
      <w:r w:rsidRPr="00BF42B7">
        <w:rPr>
          <w:rFonts w:eastAsia="楷体" w:hint="eastAsia"/>
          <w:lang w:val="en-GB"/>
        </w:rPr>
        <w:t>段</w:t>
      </w:r>
      <w:r w:rsidRPr="00BF42B7">
        <w:rPr>
          <w:rFonts w:eastAsia="楷体" w:hint="eastAsia"/>
          <w:spacing w:val="-50"/>
          <w:lang w:val="fr-CH"/>
        </w:rPr>
        <w:t>―</w:t>
      </w:r>
      <w:r w:rsidRPr="00BF42B7">
        <w:rPr>
          <w:rFonts w:eastAsia="楷体" w:hint="eastAsia"/>
          <w:lang w:val="fr-CH"/>
        </w:rPr>
        <w:t>―</w:t>
      </w:r>
      <w:r w:rsidRPr="00BF42B7">
        <w:rPr>
          <w:rFonts w:eastAsia="楷体" w:hint="eastAsia"/>
        </w:rPr>
        <w:t>缔约国大会的定义</w:t>
      </w:r>
    </w:p>
    <w:p w:rsidR="00DF5565" w:rsidRPr="00BF42B7" w:rsidRDefault="00DF5565" w:rsidP="00DF5565">
      <w:pPr>
        <w:pStyle w:val="SingleTxtGC"/>
      </w:pPr>
      <w:r w:rsidRPr="00BF42B7">
        <w:t xml:space="preserve">(2)  </w:t>
      </w:r>
      <w:r w:rsidRPr="00BF42B7">
        <w:rPr>
          <w:rFonts w:hint="eastAsia"/>
        </w:rPr>
        <w:t>各国通常利用缔约国大会作为多边条约的审查和实施持续进程的一种行动方式。</w:t>
      </w:r>
      <w:bookmarkStart w:id="183" w:name="_Ref461976973"/>
      <w:r w:rsidRPr="00BF42B7">
        <w:rPr>
          <w:color w:val="0000FF"/>
          <w:vertAlign w:val="superscript"/>
        </w:rPr>
        <w:footnoteReference w:id="837"/>
      </w:r>
      <w:bookmarkEnd w:id="183"/>
      <w:r w:rsidRPr="00BF42B7">
        <w:rPr>
          <w:color w:val="0000FF"/>
          <w:vertAlign w:val="superscript"/>
        </w:rPr>
        <w:t xml:space="preserve"> </w:t>
      </w:r>
      <w:r w:rsidRPr="00BF42B7">
        <w:rPr>
          <w:rFonts w:hint="eastAsia"/>
        </w:rPr>
        <w:t>这种大会可粗略地分为两个基本类别。第一，此类大会事实上是国际组织的一个机关，缔约国在大会中以机关成员的身份采取行动</w:t>
      </w:r>
      <w:r w:rsidRPr="00BF42B7">
        <w:t>(</w:t>
      </w:r>
      <w:r w:rsidRPr="00BF42B7">
        <w:rPr>
          <w:rFonts w:hint="eastAsia"/>
        </w:rPr>
        <w:t>如世界贸易组织、禁止化学武器组织或国际民用航空组织缔约方会议</w:t>
      </w:r>
      <w:r w:rsidRPr="00BF42B7">
        <w:t>)</w:t>
      </w:r>
      <w:r w:rsidRPr="00BF42B7">
        <w:rPr>
          <w:rFonts w:hint="eastAsia"/>
        </w:rPr>
        <w:t>。</w:t>
      </w:r>
      <w:bookmarkStart w:id="184" w:name="_Ref461972678"/>
      <w:r w:rsidRPr="00BF42B7">
        <w:rPr>
          <w:color w:val="0000FF"/>
          <w:vertAlign w:val="superscript"/>
        </w:rPr>
        <w:footnoteReference w:id="838"/>
      </w:r>
      <w:bookmarkEnd w:id="184"/>
      <w:r w:rsidRPr="00BF42B7">
        <w:rPr>
          <w:color w:val="0000FF"/>
          <w:vertAlign w:val="superscript"/>
        </w:rPr>
        <w:t xml:space="preserve"> </w:t>
      </w:r>
      <w:r w:rsidRPr="00BF42B7">
        <w:rPr>
          <w:rFonts w:hint="eastAsia"/>
        </w:rPr>
        <w:t>此类缔约方大会不</w:t>
      </w:r>
      <w:r w:rsidRPr="00BF42B7">
        <w:rPr>
          <w:rFonts w:hint="eastAsia"/>
          <w:spacing w:val="2"/>
        </w:rPr>
        <w:t>属于结论草案</w:t>
      </w:r>
      <w:r w:rsidRPr="00BF42B7">
        <w:rPr>
          <w:spacing w:val="2"/>
        </w:rPr>
        <w:t>1</w:t>
      </w:r>
      <w:r w:rsidRPr="00BF42B7">
        <w:rPr>
          <w:rFonts w:hint="eastAsia"/>
          <w:spacing w:val="2"/>
        </w:rPr>
        <w:t>1[10]</w:t>
      </w:r>
      <w:r w:rsidRPr="00BF42B7">
        <w:rPr>
          <w:rFonts w:hint="eastAsia"/>
          <w:spacing w:val="2"/>
        </w:rPr>
        <w:t>的范畴，结论</w:t>
      </w:r>
      <w:r w:rsidRPr="00BF42B7">
        <w:rPr>
          <w:spacing w:val="2"/>
        </w:rPr>
        <w:t>1</w:t>
      </w:r>
      <w:r w:rsidRPr="00BF42B7">
        <w:rPr>
          <w:rFonts w:hint="eastAsia"/>
          <w:spacing w:val="2"/>
        </w:rPr>
        <w:t>1[10]</w:t>
      </w:r>
      <w:r w:rsidRPr="00BF42B7">
        <w:rPr>
          <w:rFonts w:hint="eastAsia"/>
          <w:spacing w:val="2"/>
        </w:rPr>
        <w:t>不涉及国际组织及其之中的嗣后惯例。</w:t>
      </w:r>
      <w:r w:rsidRPr="00BF42B7">
        <w:rPr>
          <w:color w:val="0000FF"/>
          <w:spacing w:val="2"/>
          <w:vertAlign w:val="superscript"/>
        </w:rPr>
        <w:footnoteReference w:id="839"/>
      </w:r>
      <w:r w:rsidRPr="00BF42B7">
        <w:rPr>
          <w:color w:val="0000FF"/>
          <w:vertAlign w:val="superscript"/>
        </w:rPr>
        <w:t xml:space="preserve"> </w:t>
      </w:r>
      <w:r w:rsidRPr="00BF42B7">
        <w:rPr>
          <w:rFonts w:hint="eastAsia"/>
        </w:rPr>
        <w:t>第二，</w:t>
      </w:r>
      <w:r w:rsidRPr="00BF42B7">
        <w:t>其他</w:t>
      </w:r>
      <w:r w:rsidRPr="00BF42B7">
        <w:rPr>
          <w:rFonts w:hint="eastAsia"/>
        </w:rPr>
        <w:t>缔约国大会依照条约召集，条约并未规定设立国际组织；仅规定缔约国举行定期或不定期的会议，以审查和实施条约。此类审查会议是缔约国就条约进行合作和开展嗣后行动的框架。这两种缔约国大会都有可能具备有关</w:t>
      </w:r>
      <w:r w:rsidRPr="00BF42B7">
        <w:rPr>
          <w:rFonts w:hint="eastAsia"/>
          <w:spacing w:val="2"/>
        </w:rPr>
        <w:t>修正和</w:t>
      </w:r>
      <w:r w:rsidRPr="00BF42B7">
        <w:rPr>
          <w:spacing w:val="2"/>
        </w:rPr>
        <w:t>/</w:t>
      </w:r>
      <w:r w:rsidRPr="00BF42B7">
        <w:rPr>
          <w:rFonts w:hint="eastAsia"/>
          <w:spacing w:val="2"/>
        </w:rPr>
        <w:t>或调整条约的特定权力。例如，</w:t>
      </w:r>
      <w:r w:rsidRPr="00BF42B7">
        <w:rPr>
          <w:spacing w:val="2"/>
        </w:rPr>
        <w:t>1972</w:t>
      </w:r>
      <w:r w:rsidRPr="00BF42B7">
        <w:rPr>
          <w:rFonts w:hint="eastAsia"/>
          <w:spacing w:val="2"/>
        </w:rPr>
        <w:t>年《生物武器公约》审查会议进程</w:t>
      </w:r>
      <w:r w:rsidRPr="00BF42B7">
        <w:rPr>
          <w:spacing w:val="2"/>
        </w:rPr>
        <w:t>，</w:t>
      </w:r>
      <w:r w:rsidRPr="00BF42B7">
        <w:rPr>
          <w:color w:val="0000FF"/>
          <w:spacing w:val="2"/>
          <w:vertAlign w:val="superscript"/>
        </w:rPr>
        <w:footnoteReference w:id="840"/>
      </w:r>
      <w:r w:rsidRPr="00BF42B7">
        <w:rPr>
          <w:color w:val="0000FF"/>
          <w:vertAlign w:val="superscript"/>
        </w:rPr>
        <w:t xml:space="preserve"> </w:t>
      </w:r>
      <w:r w:rsidRPr="00BF42B7">
        <w:t>1968</w:t>
      </w:r>
      <w:r w:rsidRPr="00BF42B7">
        <w:rPr>
          <w:rFonts w:hint="eastAsia"/>
        </w:rPr>
        <w:t>年《不扩散条约》第八条第</w:t>
      </w:r>
      <w:r w:rsidRPr="00BF42B7">
        <w:t>3</w:t>
      </w:r>
      <w:r w:rsidRPr="00BF42B7">
        <w:rPr>
          <w:rFonts w:hint="eastAsia"/>
        </w:rPr>
        <w:t>款规定的审查会议，</w:t>
      </w:r>
      <w:r w:rsidRPr="00BF42B7">
        <w:rPr>
          <w:color w:val="0000FF"/>
          <w:vertAlign w:val="superscript"/>
        </w:rPr>
        <w:footnoteReference w:id="841"/>
      </w:r>
      <w:r w:rsidRPr="00BF42B7">
        <w:rPr>
          <w:color w:val="0000FF"/>
          <w:vertAlign w:val="superscript"/>
        </w:rPr>
        <w:t xml:space="preserve"> </w:t>
      </w:r>
      <w:r w:rsidRPr="00BF42B7">
        <w:rPr>
          <w:rFonts w:hint="eastAsia"/>
        </w:rPr>
        <w:t>和国际环境条约所设立的缔约方大会。</w:t>
      </w:r>
      <w:r w:rsidRPr="00BF42B7">
        <w:rPr>
          <w:color w:val="0000FF"/>
          <w:vertAlign w:val="superscript"/>
        </w:rPr>
        <w:footnoteReference w:id="842"/>
      </w:r>
      <w:r w:rsidRPr="00BF42B7">
        <w:rPr>
          <w:color w:val="0000FF"/>
          <w:vertAlign w:val="superscript"/>
        </w:rPr>
        <w:t xml:space="preserve"> </w:t>
      </w:r>
      <w:r w:rsidRPr="00BF42B7">
        <w:rPr>
          <w:rFonts w:hint="eastAsia"/>
          <w:spacing w:val="4"/>
        </w:rPr>
        <w:t>依照《国际捕鲸管制公约》成立的国际捕鲸委员会</w:t>
      </w:r>
      <w:r w:rsidRPr="00BF42B7">
        <w:rPr>
          <w:color w:val="0000FF"/>
          <w:spacing w:val="4"/>
          <w:vertAlign w:val="superscript"/>
        </w:rPr>
        <w:footnoteReference w:id="843"/>
      </w:r>
      <w:r w:rsidRPr="00BF42B7">
        <w:rPr>
          <w:color w:val="0000FF"/>
          <w:spacing w:val="4"/>
          <w:vertAlign w:val="superscript"/>
        </w:rPr>
        <w:t xml:space="preserve"> </w:t>
      </w:r>
      <w:r w:rsidRPr="00BF42B7">
        <w:rPr>
          <w:rFonts w:hint="eastAsia"/>
          <w:spacing w:val="2"/>
        </w:rPr>
        <w:t>是界于这两类缔约方会议</w:t>
      </w:r>
      <w:r w:rsidRPr="00BF42B7">
        <w:rPr>
          <w:rFonts w:hint="eastAsia"/>
        </w:rPr>
        <w:t>之间的一个例子，国际法院在</w:t>
      </w:r>
      <w:r w:rsidRPr="00BF42B7">
        <w:rPr>
          <w:rFonts w:ascii="Time New Roman" w:eastAsia="楷体" w:hAnsi="Time New Roman" w:hint="eastAsia"/>
        </w:rPr>
        <w:t>南极捕鲸案</w:t>
      </w:r>
      <w:r w:rsidRPr="00BF42B7">
        <w:rPr>
          <w:rFonts w:hint="eastAsia"/>
        </w:rPr>
        <w:t>的判决中考虑了它的嗣后惯例。</w:t>
      </w:r>
      <w:r w:rsidRPr="00BF42B7">
        <w:rPr>
          <w:color w:val="0000FF"/>
          <w:vertAlign w:val="superscript"/>
        </w:rPr>
        <w:footnoteReference w:id="844"/>
      </w:r>
      <w:r w:rsidRPr="00BF42B7">
        <w:rPr>
          <w:color w:val="0000FF"/>
          <w:vertAlign w:val="superscript"/>
        </w:rPr>
        <w:t xml:space="preserve"> </w:t>
      </w:r>
    </w:p>
    <w:p w:rsidR="00DF5565" w:rsidRPr="00BF42B7" w:rsidRDefault="00DF5565" w:rsidP="00DF5565">
      <w:pPr>
        <w:pStyle w:val="SingleTxtGC"/>
      </w:pPr>
      <w:r w:rsidRPr="00BF42B7">
        <w:t xml:space="preserve">(3)  </w:t>
      </w:r>
      <w:r w:rsidRPr="00BF42B7">
        <w:rPr>
          <w:rFonts w:hint="eastAsia"/>
        </w:rPr>
        <w:t>由于缔约国大会通常由条约规定设立，因此缔约国大会在一定意义上是“条约机构”。但是，不能将其与由独立专家组成的机构或成员人数有限的机构混为一谈。缔约国大会是定期或不那么定期的会议，向条约全体缔约方开放。</w:t>
      </w:r>
    </w:p>
    <w:p w:rsidR="00DF5565" w:rsidRPr="00BF42B7" w:rsidRDefault="00DF5565" w:rsidP="00DF5565">
      <w:pPr>
        <w:pStyle w:val="SingleTxtGC"/>
      </w:pPr>
      <w:r w:rsidRPr="00BF42B7">
        <w:t xml:space="preserve">(4)  </w:t>
      </w:r>
      <w:r w:rsidRPr="00BF42B7">
        <w:rPr>
          <w:rFonts w:hint="eastAsia"/>
        </w:rPr>
        <w:t>为承认缔约国会议及其运作规则的广泛多样性，第</w:t>
      </w:r>
      <w:r w:rsidRPr="00BF42B7">
        <w:t>1</w:t>
      </w:r>
      <w:r w:rsidRPr="00BF42B7">
        <w:rPr>
          <w:rFonts w:hint="eastAsia"/>
        </w:rPr>
        <w:t>段为就本结论草案而言的“缔约国大会”一语提供了一个宽泛的定义，只是排除了作为国际组织机构成员的缔约国的行动</w:t>
      </w:r>
      <w:r w:rsidRPr="00BF42B7">
        <w:t>(</w:t>
      </w:r>
      <w:r w:rsidRPr="00BF42B7">
        <w:rPr>
          <w:rFonts w:hint="eastAsia"/>
        </w:rPr>
        <w:t>这是今后另一条结论草案的主题</w:t>
      </w:r>
      <w:r w:rsidRPr="00BF42B7">
        <w:t>)</w:t>
      </w:r>
      <w:r w:rsidRPr="00BF42B7">
        <w:rPr>
          <w:rFonts w:hint="eastAsia"/>
        </w:rPr>
        <w:t>。</w:t>
      </w:r>
    </w:p>
    <w:p w:rsidR="00DF5565" w:rsidRPr="00BF42B7" w:rsidRDefault="00DF5565" w:rsidP="00DF5565">
      <w:pPr>
        <w:pStyle w:val="H4GC"/>
        <w:rPr>
          <w:rFonts w:eastAsia="楷体"/>
          <w:lang w:val="en-GB"/>
        </w:rPr>
      </w:pPr>
      <w:r w:rsidRPr="00BF42B7">
        <w:rPr>
          <w:rFonts w:eastAsia="楷体" w:hint="eastAsia"/>
          <w:lang w:val="en-GB"/>
        </w:rPr>
        <w:tab/>
      </w:r>
      <w:r w:rsidRPr="00BF42B7">
        <w:rPr>
          <w:rFonts w:eastAsia="楷体" w:hint="eastAsia"/>
          <w:lang w:val="en-GB"/>
        </w:rPr>
        <w:tab/>
      </w:r>
      <w:r w:rsidRPr="00BF42B7">
        <w:rPr>
          <w:rFonts w:eastAsia="楷体" w:hint="eastAsia"/>
          <w:lang w:val="en-GB"/>
        </w:rPr>
        <w:t>第</w:t>
      </w:r>
      <w:r w:rsidRPr="00BF42B7">
        <w:rPr>
          <w:rFonts w:eastAsia="楷体"/>
          <w:lang w:val="en-GB"/>
        </w:rPr>
        <w:t>2</w:t>
      </w:r>
      <w:r w:rsidRPr="00BF42B7">
        <w:rPr>
          <w:rFonts w:eastAsia="楷体" w:hint="eastAsia"/>
          <w:lang w:val="en-GB"/>
        </w:rPr>
        <w:t>段第一句</w:t>
      </w:r>
      <w:r w:rsidRPr="00BF42B7">
        <w:rPr>
          <w:rFonts w:eastAsia="楷体" w:hint="eastAsia"/>
          <w:spacing w:val="-50"/>
          <w:lang w:val="fr-CH"/>
        </w:rPr>
        <w:t>―</w:t>
      </w:r>
      <w:r w:rsidRPr="00BF42B7">
        <w:rPr>
          <w:rFonts w:eastAsia="楷体" w:hint="eastAsia"/>
          <w:lang w:val="fr-CH"/>
        </w:rPr>
        <w:t>―</w:t>
      </w:r>
      <w:r w:rsidRPr="00BF42B7">
        <w:rPr>
          <w:rFonts w:eastAsia="楷体" w:hint="eastAsia"/>
          <w:lang w:val="en-GB"/>
        </w:rPr>
        <w:t>决定所具有的法律效力</w:t>
      </w:r>
    </w:p>
    <w:p w:rsidR="00DF5565" w:rsidRPr="00BF42B7" w:rsidRDefault="00DF5565" w:rsidP="00DF5565">
      <w:pPr>
        <w:pStyle w:val="SingleTxtGC"/>
      </w:pPr>
      <w:r w:rsidRPr="00BF42B7">
        <w:t xml:space="preserve">(5)  </w:t>
      </w:r>
      <w:r w:rsidRPr="00BF42B7">
        <w:rPr>
          <w:rFonts w:hint="eastAsia"/>
        </w:rPr>
        <w:t>第</w:t>
      </w:r>
      <w:r w:rsidRPr="00BF42B7">
        <w:t>2</w:t>
      </w:r>
      <w:r w:rsidRPr="00BF42B7">
        <w:rPr>
          <w:rFonts w:hint="eastAsia"/>
        </w:rPr>
        <w:t>段第一句承认，缔约国大会采取的任何行动的法律意义首先取决于规范缔约国大会的规则，最主要的是组织条约和任何适用的程序规则。缔约国大会开展各种行动，包括审查条约实施情况，审查条约本身，并通过修正程序作出决定。</w:t>
      </w:r>
      <w:r w:rsidRPr="00BF42B7">
        <w:rPr>
          <w:color w:val="0000FF"/>
          <w:vertAlign w:val="superscript"/>
        </w:rPr>
        <w:footnoteReference w:id="845"/>
      </w:r>
      <w:r w:rsidRPr="00BF42B7">
        <w:rPr>
          <w:color w:val="0000FF"/>
          <w:vertAlign w:val="superscript"/>
        </w:rPr>
        <w:t xml:space="preserve"> </w:t>
      </w:r>
    </w:p>
    <w:p w:rsidR="00DF5565" w:rsidRPr="00BF42B7" w:rsidRDefault="00DF5565" w:rsidP="00DF5565">
      <w:pPr>
        <w:pStyle w:val="SingleTxtGC"/>
      </w:pPr>
      <w:r w:rsidRPr="00BF42B7">
        <w:t xml:space="preserve">(6)  </w:t>
      </w:r>
      <w:r w:rsidRPr="00BF42B7">
        <w:rPr>
          <w:rFonts w:hint="eastAsia"/>
        </w:rPr>
        <w:t>缔约国大会的权力可以载于通则或具体条款中或两者兼有。例如，《联合国气候变化框架公约》第七条第</w:t>
      </w:r>
      <w:r w:rsidRPr="00BF42B7">
        <w:t>2</w:t>
      </w:r>
      <w:r w:rsidRPr="00BF42B7">
        <w:rPr>
          <w:rFonts w:hint="eastAsia"/>
        </w:rPr>
        <w:t>款首先做了下面的总体论述，然后阐述会议的十三项具体任务，其中一条涉及审查缔约国在条约下的义务：</w:t>
      </w:r>
    </w:p>
    <w:p w:rsidR="00DF5565" w:rsidRPr="00BF42B7" w:rsidRDefault="00DF5565" w:rsidP="00DF5565">
      <w:pPr>
        <w:pStyle w:val="SingleTxtGC"/>
        <w:ind w:left="1554"/>
      </w:pPr>
      <w:r w:rsidRPr="00BF42B7">
        <w:rPr>
          <w:rFonts w:hint="eastAsia"/>
        </w:rPr>
        <w:t>“缔约方会议作为本公约的最高机构，应定期审评本公约和缔约方会议可能通过的任何相关法律文书的改造情况，并应在其职权范围内作出为促进本公约的有效履行所必要的决定。”</w:t>
      </w:r>
    </w:p>
    <w:p w:rsidR="00DF5565" w:rsidRPr="00BF42B7" w:rsidRDefault="00DF5565" w:rsidP="00DF5565">
      <w:pPr>
        <w:pStyle w:val="SingleTxtGC"/>
      </w:pPr>
      <w:r w:rsidRPr="00BF42B7">
        <w:t xml:space="preserve">(7)  </w:t>
      </w:r>
      <w:r w:rsidRPr="00BF42B7">
        <w:rPr>
          <w:rFonts w:hint="eastAsia"/>
          <w:spacing w:val="-4"/>
        </w:rPr>
        <w:t>不同条约中所载具体条款请缔约方会议提议实施条约具体条款的“准则”</w:t>
      </w:r>
      <w:r w:rsidRPr="00BF42B7">
        <w:rPr>
          <w:color w:val="0000FF"/>
          <w:spacing w:val="-4"/>
          <w:vertAlign w:val="superscript"/>
        </w:rPr>
        <w:footnoteReference w:id="846"/>
      </w:r>
      <w:r w:rsidRPr="00BF42B7">
        <w:rPr>
          <w:color w:val="0000FF"/>
          <w:spacing w:val="-4"/>
          <w:vertAlign w:val="superscript"/>
        </w:rPr>
        <w:t xml:space="preserve"> </w:t>
      </w:r>
      <w:r w:rsidRPr="00BF42B7">
        <w:rPr>
          <w:rFonts w:hint="eastAsia"/>
        </w:rPr>
        <w:t>或定义条约机制的“相关的原则、方式、规则和指南”。</w:t>
      </w:r>
      <w:bookmarkStart w:id="185" w:name="_Ref461977049"/>
      <w:r w:rsidRPr="00BF42B7">
        <w:rPr>
          <w:color w:val="0000FF"/>
          <w:vertAlign w:val="superscript"/>
        </w:rPr>
        <w:footnoteReference w:id="847"/>
      </w:r>
      <w:bookmarkEnd w:id="185"/>
      <w:r w:rsidRPr="00BF42B7">
        <w:rPr>
          <w:color w:val="0000FF"/>
          <w:vertAlign w:val="superscript"/>
        </w:rPr>
        <w:t xml:space="preserve"> </w:t>
      </w:r>
    </w:p>
    <w:p w:rsidR="00DF5565" w:rsidRPr="00BF42B7" w:rsidRDefault="00DF5565" w:rsidP="00DF5565">
      <w:pPr>
        <w:pStyle w:val="SingleTxtGC"/>
      </w:pPr>
      <w:r w:rsidRPr="00BF42B7">
        <w:t>(8)  (</w:t>
      </w:r>
      <w:r w:rsidRPr="00BF42B7">
        <w:rPr>
          <w:rFonts w:hint="eastAsia"/>
        </w:rPr>
        <w:t>广义的</w:t>
      </w:r>
      <w:r w:rsidRPr="00BF42B7">
        <w:t>)</w:t>
      </w:r>
      <w:r w:rsidRPr="00BF42B7">
        <w:rPr>
          <w:rFonts w:hint="eastAsia"/>
        </w:rPr>
        <w:t>修正程序包括条约主要案文的修正程序</w:t>
      </w:r>
      <w:r w:rsidRPr="00BF42B7">
        <w:t>(</w:t>
      </w:r>
      <w:r w:rsidRPr="00BF42B7">
        <w:rPr>
          <w:rFonts w:hint="eastAsia"/>
        </w:rPr>
        <w:t>修正结果大多要求缔约国按照组织程序加以批准</w:t>
      </w:r>
      <w:r w:rsidRPr="00BF42B7">
        <w:t>)</w:t>
      </w:r>
      <w:r w:rsidRPr="00BF42B7">
        <w:rPr>
          <w:rFonts w:hint="eastAsia"/>
        </w:rPr>
        <w:t>以及默认接受和选择退出程序</w:t>
      </w:r>
      <w:r w:rsidRPr="00BF42B7">
        <w:rPr>
          <w:color w:val="0000FF"/>
          <w:vertAlign w:val="superscript"/>
        </w:rPr>
        <w:footnoteReference w:id="848"/>
      </w:r>
      <w:r w:rsidRPr="00BF42B7">
        <w:rPr>
          <w:color w:val="0000FF"/>
          <w:vertAlign w:val="superscript"/>
        </w:rPr>
        <w:t xml:space="preserve"> </w:t>
      </w:r>
      <w:r w:rsidRPr="00BF42B7">
        <w:rPr>
          <w:rFonts w:hint="eastAsia"/>
        </w:rPr>
        <w:t>，后者通常适用于附件，其中载有需定期更新的物质、物种或</w:t>
      </w:r>
      <w:r w:rsidRPr="00BF42B7">
        <w:t>其他</w:t>
      </w:r>
      <w:r w:rsidRPr="00BF42B7">
        <w:rPr>
          <w:rFonts w:hint="eastAsia"/>
        </w:rPr>
        <w:t>要素清单。</w:t>
      </w:r>
      <w:r w:rsidRPr="00BF42B7">
        <w:rPr>
          <w:color w:val="0000FF"/>
          <w:vertAlign w:val="superscript"/>
        </w:rPr>
        <w:footnoteReference w:id="849"/>
      </w:r>
      <w:r w:rsidRPr="00BF42B7">
        <w:rPr>
          <w:color w:val="0000FF"/>
          <w:vertAlign w:val="superscript"/>
        </w:rPr>
        <w:t xml:space="preserve"> </w:t>
      </w:r>
    </w:p>
    <w:p w:rsidR="00DF5565" w:rsidRPr="00BF42B7" w:rsidRDefault="00DF5565" w:rsidP="00DF5565">
      <w:pPr>
        <w:pStyle w:val="SingleTxtGC"/>
        <w:rPr>
          <w:color w:val="0000FF"/>
          <w:vertAlign w:val="superscript"/>
        </w:rPr>
      </w:pPr>
      <w:r w:rsidRPr="00BF42B7">
        <w:t xml:space="preserve">(9)  </w:t>
      </w:r>
      <w:r w:rsidRPr="00BF42B7">
        <w:rPr>
          <w:rFonts w:hint="eastAsia"/>
        </w:rPr>
        <w:t>首先，第</w:t>
      </w:r>
      <w:r w:rsidRPr="00BF42B7">
        <w:t>2</w:t>
      </w:r>
      <w:r w:rsidRPr="00BF42B7">
        <w:rPr>
          <w:rFonts w:hint="eastAsia"/>
        </w:rPr>
        <w:t>段规定，在缔约国大会框架内通过的决定所具有的法律效力主要取决于有关条约和可适用的议事规则。“主要”一词为辅助规则“除条约另有规定外”</w:t>
      </w:r>
      <w:r w:rsidRPr="00BF42B7">
        <w:t>(</w:t>
      </w:r>
      <w:r w:rsidRPr="00BF42B7">
        <w:rPr>
          <w:rFonts w:hint="eastAsia"/>
        </w:rPr>
        <w:t>例见</w:t>
      </w:r>
      <w:r w:rsidRPr="00BF42B7">
        <w:rPr>
          <w:rFonts w:hint="eastAsia"/>
        </w:rPr>
        <w:t>1969</w:t>
      </w:r>
      <w:r w:rsidRPr="00BF42B7">
        <w:rPr>
          <w:rFonts w:hint="eastAsia"/>
        </w:rPr>
        <w:t>年《维也纳公约》第十六条、第二十条、第二十二条第一款、第二十四条、第七十条第一款和第七十二条第一款</w:t>
      </w:r>
      <w:r w:rsidRPr="00BF42B7">
        <w:t>)</w:t>
      </w:r>
      <w:r w:rsidRPr="00BF42B7">
        <w:rPr>
          <w:rFonts w:hint="eastAsia"/>
        </w:rPr>
        <w:t>留出了余地。“任何”一词是澄清说明，缔约国大会如有议事规则的话也将适用，因为也有一些情况，即缔约国大会在没有专门通过的议事规则的情况下运作。</w:t>
      </w:r>
      <w:r w:rsidRPr="00BF42B7">
        <w:rPr>
          <w:color w:val="0000FF"/>
          <w:vertAlign w:val="superscript"/>
        </w:rPr>
        <w:footnoteReference w:id="850"/>
      </w:r>
      <w:r w:rsidRPr="00BF42B7">
        <w:rPr>
          <w:color w:val="0000FF"/>
          <w:vertAlign w:val="superscript"/>
        </w:rPr>
        <w:t xml:space="preserve"> </w:t>
      </w:r>
    </w:p>
    <w:p w:rsidR="00DF5565" w:rsidRPr="00BF42B7" w:rsidRDefault="00DF5565" w:rsidP="00DF5565">
      <w:pPr>
        <w:pStyle w:val="H4GC"/>
        <w:rPr>
          <w:rFonts w:eastAsia="楷体"/>
          <w:lang w:val="en-GB"/>
        </w:rPr>
      </w:pPr>
      <w:r w:rsidRPr="00BF42B7">
        <w:rPr>
          <w:rFonts w:eastAsia="楷体" w:hint="eastAsia"/>
          <w:lang w:val="en-GB"/>
        </w:rPr>
        <w:tab/>
      </w:r>
      <w:r w:rsidRPr="00BF42B7">
        <w:rPr>
          <w:rFonts w:eastAsia="楷体" w:hint="eastAsia"/>
          <w:lang w:val="en-GB"/>
        </w:rPr>
        <w:tab/>
      </w:r>
      <w:r w:rsidRPr="00BF42B7">
        <w:rPr>
          <w:rFonts w:eastAsia="楷体" w:hint="eastAsia"/>
          <w:lang w:val="en-GB"/>
        </w:rPr>
        <w:t>第</w:t>
      </w:r>
      <w:r w:rsidRPr="00BF42B7">
        <w:rPr>
          <w:rFonts w:eastAsia="楷体" w:hint="eastAsia"/>
          <w:lang w:val="en-GB"/>
        </w:rPr>
        <w:t>2</w:t>
      </w:r>
      <w:r w:rsidRPr="00BF42B7">
        <w:rPr>
          <w:rFonts w:eastAsia="楷体" w:hint="eastAsia"/>
          <w:lang w:val="en-GB"/>
        </w:rPr>
        <w:t>段第二句</w:t>
      </w:r>
      <w:r w:rsidRPr="00BF42B7">
        <w:rPr>
          <w:rFonts w:eastAsia="楷体" w:hint="eastAsia"/>
          <w:spacing w:val="-50"/>
          <w:lang w:val="fr-CH"/>
        </w:rPr>
        <w:t>―</w:t>
      </w:r>
      <w:r w:rsidRPr="00BF42B7">
        <w:rPr>
          <w:rFonts w:eastAsia="楷体" w:hint="eastAsia"/>
          <w:lang w:val="fr-CH"/>
        </w:rPr>
        <w:t>―</w:t>
      </w:r>
      <w:r w:rsidRPr="00BF42B7">
        <w:rPr>
          <w:rFonts w:eastAsia="楷体" w:hint="eastAsia"/>
          <w:lang w:val="en-GB"/>
        </w:rPr>
        <w:t>决定可能体现嗣后协定或嗣后惯例</w:t>
      </w:r>
    </w:p>
    <w:p w:rsidR="00DF5565" w:rsidRPr="00BF42B7" w:rsidRDefault="00DF5565" w:rsidP="00DF5565">
      <w:pPr>
        <w:pStyle w:val="SingleTxtGC"/>
      </w:pPr>
      <w:r w:rsidRPr="00BF42B7">
        <w:t xml:space="preserve">(10)  </w:t>
      </w:r>
      <w:r w:rsidRPr="00BF42B7">
        <w:rPr>
          <w:rFonts w:hint="eastAsia"/>
        </w:rPr>
        <w:t>第</w:t>
      </w:r>
      <w:r w:rsidRPr="00BF42B7">
        <w:t>2</w:t>
      </w:r>
      <w:r w:rsidRPr="00BF42B7">
        <w:rPr>
          <w:rFonts w:hint="eastAsia"/>
        </w:rPr>
        <w:t>段第二句承认，缔约国大会的决定可构成</w:t>
      </w:r>
      <w:r w:rsidRPr="00BF42B7">
        <w:rPr>
          <w:rFonts w:hint="eastAsia"/>
        </w:rPr>
        <w:t>1969</w:t>
      </w:r>
      <w:r w:rsidRPr="00BF42B7">
        <w:rPr>
          <w:rFonts w:hint="eastAsia"/>
        </w:rPr>
        <w:t>年《维也纳公约》第三十一条和第三十二条所述用于条约解释的嗣后协定或嗣后惯例。在缔约国大会框架内通过的决定可履行一个重要职能，即确定缔约国对于条约含义的共同理解。</w:t>
      </w:r>
    </w:p>
    <w:p w:rsidR="00DF5565" w:rsidRPr="00BF42B7" w:rsidRDefault="00DF5565" w:rsidP="00DF5565">
      <w:pPr>
        <w:pStyle w:val="SingleTxtGC"/>
      </w:pPr>
      <w:r w:rsidRPr="00BF42B7">
        <w:t xml:space="preserve">(11)  </w:t>
      </w:r>
      <w:r w:rsidRPr="00BF42B7">
        <w:rPr>
          <w:rFonts w:hint="eastAsia"/>
        </w:rPr>
        <w:t>缔约国大会的决定除</w:t>
      </w:r>
      <w:r w:rsidRPr="00BF42B7">
        <w:t>其他</w:t>
      </w:r>
      <w:r w:rsidRPr="00BF42B7">
        <w:rPr>
          <w:rFonts w:hint="eastAsia"/>
        </w:rPr>
        <w:t>外，可构成或体现第三十一条第三款</w:t>
      </w:r>
      <w:r w:rsidRPr="00BF42B7">
        <w:t>(a)</w:t>
      </w:r>
      <w:r w:rsidRPr="00BF42B7">
        <w:t>项</w:t>
      </w:r>
      <w:r w:rsidRPr="00BF42B7">
        <w:rPr>
          <w:rFonts w:hint="eastAsia"/>
        </w:rPr>
        <w:t>所述的嗣后协定，缔约国通过这些协定来解释基本的条约。例如，《生物武器公约》审查会议就公约条款的解释定期通过了“谅解和补充协定”。这些协定由缔约国在审查会议框架内通过协商一致获得通过，协定“从条约的所有条款发展出来，解决可能出现的具体问题”。</w:t>
      </w:r>
      <w:r w:rsidRPr="00BF42B7">
        <w:rPr>
          <w:color w:val="0000FF"/>
          <w:vertAlign w:val="superscript"/>
        </w:rPr>
        <w:footnoteReference w:id="851"/>
      </w:r>
      <w:r w:rsidRPr="00BF42B7">
        <w:rPr>
          <w:color w:val="0000FF"/>
          <w:vertAlign w:val="superscript"/>
        </w:rPr>
        <w:t xml:space="preserve"> </w:t>
      </w:r>
      <w:r w:rsidRPr="00BF42B7">
        <w:rPr>
          <w:rFonts w:hint="eastAsia"/>
        </w:rPr>
        <w:t>通过这些谅解，缔约国通过界定、明确或阐述条款的含义和范围并通过条款实施指南来解释条约的条款。《生物武器公约》履约和支助股</w:t>
      </w:r>
      <w:r w:rsidRPr="00BF42B7">
        <w:rPr>
          <w:color w:val="0000FF"/>
          <w:vertAlign w:val="superscript"/>
        </w:rPr>
        <w:footnoteReference w:id="852"/>
      </w:r>
      <w:r w:rsidRPr="00BF42B7">
        <w:rPr>
          <w:color w:val="0000FF"/>
          <w:vertAlign w:val="superscript"/>
        </w:rPr>
        <w:t xml:space="preserve"> </w:t>
      </w:r>
      <w:r w:rsidRPr="00BF42B7">
        <w:rPr>
          <w:rFonts w:hint="eastAsia"/>
        </w:rPr>
        <w:t>将“补充协定”定义为</w:t>
      </w:r>
      <w:r w:rsidRPr="00BF42B7">
        <w:t>：</w:t>
      </w:r>
    </w:p>
    <w:p w:rsidR="00DF5565" w:rsidRPr="00BF42B7" w:rsidRDefault="00DF5565" w:rsidP="00DF5565">
      <w:pPr>
        <w:pStyle w:val="SingleTxtGC"/>
        <w:ind w:left="1554"/>
      </w:pPr>
      <w:r w:rsidRPr="00BF42B7">
        <w:t>(</w:t>
      </w:r>
      <w:r w:rsidRPr="00BF42B7">
        <w:rPr>
          <w:rFonts w:hint="eastAsia"/>
        </w:rPr>
        <w:t>一</w:t>
      </w:r>
      <w:r w:rsidRPr="00BF42B7">
        <w:t xml:space="preserve">)  </w:t>
      </w:r>
      <w:r w:rsidRPr="00BF42B7">
        <w:rPr>
          <w:rFonts w:hint="eastAsia"/>
        </w:rPr>
        <w:t>解释、定义或阐述公约某一条款的含义或范围；或</w:t>
      </w:r>
    </w:p>
    <w:p w:rsidR="00DF5565" w:rsidRPr="00BF42B7" w:rsidRDefault="00DF5565" w:rsidP="00DF5565">
      <w:pPr>
        <w:pStyle w:val="SingleTxtGC"/>
        <w:ind w:left="1554"/>
      </w:pPr>
      <w:r w:rsidRPr="00BF42B7">
        <w:t>(</w:t>
      </w:r>
      <w:r w:rsidRPr="00BF42B7">
        <w:rPr>
          <w:rFonts w:hint="eastAsia"/>
        </w:rPr>
        <w:t>二</w:t>
      </w:r>
      <w:r w:rsidRPr="00BF42B7">
        <w:t xml:space="preserve">)  </w:t>
      </w:r>
      <w:r w:rsidRPr="00BF42B7">
        <w:rPr>
          <w:rFonts w:hint="eastAsia"/>
        </w:rPr>
        <w:t>就某一条款</w:t>
      </w:r>
      <w:r w:rsidRPr="00BF42B7">
        <w:rPr>
          <w:rFonts w:hint="eastAsia"/>
          <w:lang w:val="fr-FR"/>
        </w:rPr>
        <w:t>如何</w:t>
      </w:r>
      <w:r w:rsidRPr="00BF42B7">
        <w:rPr>
          <w:rFonts w:hint="eastAsia"/>
        </w:rPr>
        <w:t>实施提供指导、准则或建议。</w:t>
      </w:r>
      <w:r w:rsidRPr="00BF42B7">
        <w:rPr>
          <w:color w:val="0000FF"/>
          <w:vertAlign w:val="superscript"/>
        </w:rPr>
        <w:footnoteReference w:id="853"/>
      </w:r>
      <w:r w:rsidRPr="00BF42B7">
        <w:rPr>
          <w:color w:val="0000FF"/>
          <w:vertAlign w:val="superscript"/>
        </w:rPr>
        <w:t xml:space="preserve"> </w:t>
      </w:r>
    </w:p>
    <w:p w:rsidR="00DF5565" w:rsidRPr="00BF42B7" w:rsidRDefault="00DF5565" w:rsidP="00DF5565">
      <w:pPr>
        <w:pStyle w:val="SingleTxtGC"/>
      </w:pPr>
      <w:r w:rsidRPr="00BF42B7">
        <w:t xml:space="preserve">(12)  </w:t>
      </w:r>
      <w:r w:rsidRPr="00BF42B7">
        <w:rPr>
          <w:rFonts w:hint="eastAsia"/>
        </w:rPr>
        <w:t>与此相似，《</w:t>
      </w:r>
      <w:r w:rsidRPr="00BF42B7">
        <w:t>防止倾倒废物及其他物质污染海洋的公约</w:t>
      </w:r>
      <w:r w:rsidRPr="00BF42B7">
        <w:rPr>
          <w:rFonts w:hint="eastAsia"/>
        </w:rPr>
        <w:t>》</w:t>
      </w:r>
      <w:r w:rsidRPr="00BF42B7">
        <w:rPr>
          <w:rFonts w:hint="eastAsia"/>
        </w:rPr>
        <w:t>(</w:t>
      </w:r>
      <w:r w:rsidRPr="00BF42B7">
        <w:rPr>
          <w:rFonts w:hint="eastAsia"/>
        </w:rPr>
        <w:t>《伦敦倾倒公约》</w:t>
      </w:r>
      <w:r w:rsidRPr="00BF42B7">
        <w:rPr>
          <w:rFonts w:hint="eastAsia"/>
        </w:rPr>
        <w:t>)</w:t>
      </w:r>
      <w:r w:rsidRPr="00BF42B7">
        <w:rPr>
          <w:color w:val="0000FF"/>
          <w:vertAlign w:val="superscript"/>
        </w:rPr>
        <w:t xml:space="preserve"> </w:t>
      </w:r>
      <w:r w:rsidRPr="00BF42B7">
        <w:rPr>
          <w:color w:val="0000FF"/>
          <w:vertAlign w:val="superscript"/>
        </w:rPr>
        <w:footnoteReference w:id="854"/>
      </w:r>
      <w:r w:rsidRPr="00BF42B7">
        <w:rPr>
          <w:color w:val="0000FF"/>
          <w:vertAlign w:val="superscript"/>
        </w:rPr>
        <w:t xml:space="preserve"> </w:t>
      </w:r>
      <w:r w:rsidRPr="00BF42B7">
        <w:rPr>
          <w:rFonts w:hint="eastAsia"/>
        </w:rPr>
        <w:t>缔约国会议通过了解释《公约》的决议。海事组织法律事务处应管理机构的请求，就《伦敦倾倒公约》下缔约国会议的“解释性决议”提出了以下意见</w:t>
      </w:r>
      <w:r w:rsidRPr="00BF42B7">
        <w:t>：</w:t>
      </w:r>
    </w:p>
    <w:p w:rsidR="00DF5565" w:rsidRPr="00BF42B7" w:rsidRDefault="00DF5565" w:rsidP="00852022">
      <w:pPr>
        <w:pStyle w:val="SingleTxtGC"/>
        <w:tabs>
          <w:tab w:val="clear" w:pos="431"/>
          <w:tab w:val="clear" w:pos="1134"/>
          <w:tab w:val="clear" w:pos="1565"/>
        </w:tabs>
        <w:ind w:left="1554"/>
      </w:pPr>
      <w:r w:rsidRPr="00BF42B7">
        <w:rPr>
          <w:rFonts w:hint="eastAsia"/>
        </w:rPr>
        <w:t>根据</w:t>
      </w:r>
      <w:r w:rsidRPr="00BF42B7">
        <w:rPr>
          <w:rFonts w:hint="eastAsia"/>
          <w:lang w:val="fr-FR"/>
        </w:rPr>
        <w:t>《维也纳条约法公约》</w:t>
      </w:r>
      <w:r w:rsidRPr="00BF42B7">
        <w:rPr>
          <w:rFonts w:hint="eastAsia"/>
        </w:rPr>
        <w:t>第三十一条第三款</w:t>
      </w:r>
      <w:r w:rsidRPr="00BF42B7">
        <w:t>(a)</w:t>
      </w:r>
      <w:r w:rsidRPr="00BF42B7">
        <w:t>项</w:t>
      </w:r>
      <w:r w:rsidRPr="00BF42B7">
        <w:rPr>
          <w:rFonts w:hint="eastAsia"/>
        </w:rPr>
        <w:t>，……缔约方之间的嗣后协定可以在解释条约时加以考虑。这一条没有规定载有这种解释的嗣后协定的特定形式。这似乎是说，只要意向是明确的，解释可采取各种形式，包括在缔约方会议上通过的决议，甚至是在缔约方会议简要记录中记录下来的一项决定。</w:t>
      </w:r>
      <w:bookmarkStart w:id="186" w:name="_Ref461977076"/>
      <w:r w:rsidRPr="00BF42B7">
        <w:rPr>
          <w:color w:val="0000FF"/>
          <w:vertAlign w:val="superscript"/>
        </w:rPr>
        <w:footnoteReference w:id="855"/>
      </w:r>
      <w:bookmarkEnd w:id="186"/>
      <w:r w:rsidRPr="00BF42B7">
        <w:rPr>
          <w:color w:val="0000FF"/>
          <w:vertAlign w:val="superscript"/>
        </w:rPr>
        <w:t xml:space="preserve"> </w:t>
      </w:r>
    </w:p>
    <w:p w:rsidR="00DF5565" w:rsidRPr="00BF42B7" w:rsidRDefault="00DF5565" w:rsidP="00DF5565">
      <w:pPr>
        <w:pStyle w:val="SingleTxtGC"/>
      </w:pPr>
      <w:r w:rsidRPr="00BF42B7">
        <w:t xml:space="preserve">(13)  </w:t>
      </w:r>
      <w:r w:rsidRPr="00BF42B7">
        <w:rPr>
          <w:rFonts w:hint="eastAsia"/>
        </w:rPr>
        <w:t>同样，世界卫生组织</w:t>
      </w:r>
      <w:r w:rsidRPr="00BF42B7">
        <w:t>(</w:t>
      </w:r>
      <w:r w:rsidRPr="00BF42B7">
        <w:rPr>
          <w:rFonts w:hint="eastAsia"/>
        </w:rPr>
        <w:t>卫生组织</w:t>
      </w:r>
      <w:r w:rsidRPr="00BF42B7">
        <w:t>)</w:t>
      </w:r>
      <w:r w:rsidRPr="00BF42B7">
        <w:rPr>
          <w:rFonts w:hint="eastAsia"/>
        </w:rPr>
        <w:t>法律顾问在更一般的意义上指出：</w:t>
      </w:r>
    </w:p>
    <w:p w:rsidR="00DF5565" w:rsidRPr="00BF42B7" w:rsidRDefault="00DF5565" w:rsidP="00DF5565">
      <w:pPr>
        <w:pStyle w:val="SingleTxtGC"/>
        <w:ind w:left="1554"/>
      </w:pPr>
      <w:r w:rsidRPr="00BF42B7">
        <w:rPr>
          <w:rFonts w:hint="eastAsia"/>
        </w:rPr>
        <w:t>“作为由</w:t>
      </w:r>
      <w:r w:rsidRPr="00BF42B7">
        <w:rPr>
          <w:rFonts w:hint="eastAsia"/>
          <w:lang w:val="fr-FR"/>
        </w:rPr>
        <w:t>《烟草控制框架公约》</w:t>
      </w:r>
      <w:r w:rsidRPr="00BF42B7">
        <w:rPr>
          <w:rFonts w:hint="eastAsia"/>
        </w:rPr>
        <w:t>全体缔约方组成的最高机构，缔约方会议无疑代表《维也纳公约》第三十一条中所述的‘缔约方就解释条约达成的嗣后协定’。”</w:t>
      </w:r>
      <w:r w:rsidRPr="00BF42B7">
        <w:rPr>
          <w:color w:val="0000FF"/>
          <w:vertAlign w:val="superscript"/>
        </w:rPr>
        <w:footnoteReference w:id="856"/>
      </w:r>
      <w:r w:rsidRPr="00BF42B7">
        <w:rPr>
          <w:color w:val="0000FF"/>
          <w:vertAlign w:val="superscript"/>
        </w:rPr>
        <w:t xml:space="preserve"> </w:t>
      </w:r>
    </w:p>
    <w:p w:rsidR="00DF5565" w:rsidRPr="00BF42B7" w:rsidRDefault="00DF5565" w:rsidP="00DF5565">
      <w:pPr>
        <w:pStyle w:val="SingleTxtGC"/>
        <w:rPr>
          <w:lang w:val="fr-CH"/>
        </w:rPr>
      </w:pPr>
      <w:r w:rsidRPr="00BF42B7">
        <w:t xml:space="preserve">(14)  </w:t>
      </w:r>
      <w:r w:rsidRPr="00BF42B7">
        <w:rPr>
          <w:rFonts w:hint="eastAsia"/>
        </w:rPr>
        <w:t>评论者也认为缔约国大会的决定可能体现嗣后协定</w:t>
      </w:r>
      <w:r w:rsidRPr="00BF42B7">
        <w:rPr>
          <w:color w:val="0000FF"/>
          <w:vertAlign w:val="superscript"/>
        </w:rPr>
        <w:footnoteReference w:id="857"/>
      </w:r>
      <w:r w:rsidRPr="00BF42B7">
        <w:rPr>
          <w:rFonts w:hint="eastAsia"/>
        </w:rPr>
        <w:t>，并指出</w:t>
      </w:r>
      <w:r w:rsidRPr="00BF42B7">
        <w:t>：</w:t>
      </w:r>
    </w:p>
    <w:p w:rsidR="00B75685" w:rsidRPr="00BF42B7" w:rsidRDefault="00B75685" w:rsidP="00B75685">
      <w:pPr>
        <w:pStyle w:val="SingleTxtGC"/>
        <w:ind w:left="1565"/>
      </w:pPr>
      <w:r w:rsidRPr="00BF42B7">
        <w:rPr>
          <w:rFonts w:hint="eastAsia"/>
        </w:rPr>
        <w:t>“此类声明本身不具有法律约束力，但可以具有法律上的重要意义，特别是作为条约的作准解释资料。”</w:t>
      </w:r>
      <w:r w:rsidRPr="00BF42B7">
        <w:rPr>
          <w:color w:val="0000FF"/>
          <w:vertAlign w:val="superscript"/>
        </w:rPr>
        <w:footnoteReference w:id="858"/>
      </w:r>
      <w:r w:rsidRPr="00BF42B7">
        <w:rPr>
          <w:color w:val="0000FF"/>
          <w:vertAlign w:val="superscript"/>
        </w:rPr>
        <w:t xml:space="preserve"> </w:t>
      </w:r>
    </w:p>
    <w:p w:rsidR="00B75685" w:rsidRPr="00BF42B7" w:rsidRDefault="00B75685" w:rsidP="00B75685">
      <w:pPr>
        <w:pStyle w:val="SingleTxtGC"/>
        <w:rPr>
          <w:szCs w:val="21"/>
        </w:rPr>
      </w:pPr>
      <w:r w:rsidRPr="00BF42B7">
        <w:rPr>
          <w:szCs w:val="21"/>
        </w:rPr>
        <w:t xml:space="preserve">(15)  </w:t>
      </w:r>
      <w:r w:rsidRPr="00BF42B7">
        <w:rPr>
          <w:rFonts w:hint="eastAsia"/>
          <w:szCs w:val="21"/>
        </w:rPr>
        <w:t>国际法院就《国际捕鲸管制公约》设立的国际捕鲸委员会的作用指出</w:t>
      </w:r>
      <w:r w:rsidRPr="00BF42B7">
        <w:rPr>
          <w:szCs w:val="21"/>
        </w:rPr>
        <w:t>：</w:t>
      </w:r>
    </w:p>
    <w:p w:rsidR="00B75685" w:rsidRPr="00BF42B7" w:rsidRDefault="00B75685" w:rsidP="00B75685">
      <w:pPr>
        <w:pStyle w:val="SingleTxtGC"/>
        <w:ind w:left="1565"/>
        <w:rPr>
          <w:szCs w:val="21"/>
        </w:rPr>
      </w:pPr>
      <w:r w:rsidRPr="00BF42B7">
        <w:rPr>
          <w:rFonts w:hint="eastAsia"/>
          <w:szCs w:val="21"/>
        </w:rPr>
        <w:t>“《公约》第六条称，“委员会可不定期地就涉及鲸或捕鲸以及本公约目标和宗旨的任何事项向任何或全体缔约国政府提出建议”。这些建议可采取决议的形式，没有约束力。但是，如果它们经由协商一致或一致投票而获得通过，则对于解释公约或其时间表具有意义。”</w:t>
      </w:r>
      <w:r w:rsidRPr="00BF42B7">
        <w:rPr>
          <w:color w:val="0000FF"/>
          <w:szCs w:val="21"/>
          <w:vertAlign w:val="superscript"/>
        </w:rPr>
        <w:footnoteReference w:id="859"/>
      </w:r>
      <w:r w:rsidRPr="00BF42B7">
        <w:rPr>
          <w:color w:val="0000FF"/>
          <w:szCs w:val="21"/>
          <w:vertAlign w:val="superscript"/>
        </w:rPr>
        <w:t xml:space="preserve"> </w:t>
      </w:r>
    </w:p>
    <w:p w:rsidR="00B75685" w:rsidRPr="00BF42B7" w:rsidRDefault="00B75685" w:rsidP="00B75685">
      <w:pPr>
        <w:pStyle w:val="SingleTxtGC"/>
        <w:rPr>
          <w:szCs w:val="21"/>
        </w:rPr>
      </w:pPr>
      <w:r w:rsidRPr="00BF42B7">
        <w:rPr>
          <w:szCs w:val="21"/>
        </w:rPr>
        <w:t xml:space="preserve">(16)  </w:t>
      </w:r>
      <w:r w:rsidRPr="00BF42B7">
        <w:rPr>
          <w:rFonts w:hint="eastAsia"/>
          <w:szCs w:val="21"/>
        </w:rPr>
        <w:t>来自缔约国大会实践的以下例子支持如下主张，即此类会议的决定可以体现第三十一条第三款</w:t>
      </w:r>
      <w:r w:rsidRPr="00BF42B7">
        <w:rPr>
          <w:szCs w:val="21"/>
        </w:rPr>
        <w:t>(a)</w:t>
      </w:r>
      <w:r w:rsidRPr="00BF42B7">
        <w:rPr>
          <w:szCs w:val="21"/>
        </w:rPr>
        <w:t>项</w:t>
      </w:r>
      <w:r w:rsidRPr="00BF42B7">
        <w:rPr>
          <w:rFonts w:hint="eastAsia"/>
          <w:szCs w:val="21"/>
        </w:rPr>
        <w:t>所述嗣后协定</w:t>
      </w:r>
      <w:r w:rsidRPr="00BF42B7">
        <w:rPr>
          <w:szCs w:val="21"/>
        </w:rPr>
        <w:t>：</w:t>
      </w:r>
    </w:p>
    <w:p w:rsidR="00B75685" w:rsidRPr="00BF42B7" w:rsidRDefault="00B75685" w:rsidP="00B75685">
      <w:pPr>
        <w:pStyle w:val="SingleTxtGC"/>
        <w:rPr>
          <w:szCs w:val="21"/>
        </w:rPr>
      </w:pPr>
      <w:r w:rsidRPr="00BF42B7">
        <w:rPr>
          <w:szCs w:val="21"/>
        </w:rPr>
        <w:t xml:space="preserve">(17)  </w:t>
      </w:r>
      <w:r w:rsidRPr="00BF42B7">
        <w:rPr>
          <w:rFonts w:hint="eastAsia"/>
          <w:szCs w:val="21"/>
        </w:rPr>
        <w:t>“《生物武器公约》第一条第一款规定，缔约国承诺在任何情况下决不发展、生产、储存或以其他方法取得或保有：</w:t>
      </w:r>
    </w:p>
    <w:p w:rsidR="00B75685" w:rsidRPr="00BF42B7" w:rsidRDefault="00B75685" w:rsidP="00B75685">
      <w:pPr>
        <w:pStyle w:val="SingleTxtGC"/>
        <w:ind w:left="1565"/>
        <w:rPr>
          <w:szCs w:val="21"/>
        </w:rPr>
      </w:pPr>
      <w:r w:rsidRPr="00BF42B7">
        <w:rPr>
          <w:rFonts w:hint="eastAsia"/>
          <w:szCs w:val="21"/>
        </w:rPr>
        <w:t>“凡类型和数量不</w:t>
      </w:r>
      <w:r w:rsidRPr="00BF42B7">
        <w:rPr>
          <w:rFonts w:hint="eastAsia"/>
          <w:szCs w:val="21"/>
          <w:lang w:val="fr-FR"/>
        </w:rPr>
        <w:t>属于</w:t>
      </w:r>
      <w:r w:rsidRPr="00BF42B7">
        <w:rPr>
          <w:rFonts w:hint="eastAsia"/>
          <w:szCs w:val="21"/>
        </w:rPr>
        <w:t>预防、保护或其他和平用途所正当需要的微生物剂或其他生物剂或毒素，不论其来源或生产方法如何”。</w:t>
      </w:r>
    </w:p>
    <w:p w:rsidR="00B75685" w:rsidRPr="00BF42B7" w:rsidRDefault="00B75685" w:rsidP="009A146A">
      <w:pPr>
        <w:pStyle w:val="SingleTxtGC"/>
      </w:pPr>
      <w:r w:rsidRPr="00BF42B7">
        <w:rPr>
          <w:szCs w:val="21"/>
        </w:rPr>
        <w:t xml:space="preserve">(18)  </w:t>
      </w:r>
      <w:r w:rsidRPr="00BF42B7">
        <w:rPr>
          <w:rFonts w:hint="eastAsia"/>
          <w:szCs w:val="21"/>
        </w:rPr>
        <w:t>在第三次审查会议</w:t>
      </w:r>
      <w:r w:rsidRPr="00BF42B7">
        <w:rPr>
          <w:szCs w:val="21"/>
        </w:rPr>
        <w:t>(1991</w:t>
      </w:r>
      <w:r w:rsidRPr="00BF42B7">
        <w:rPr>
          <w:rFonts w:hint="eastAsia"/>
          <w:szCs w:val="21"/>
        </w:rPr>
        <w:t>年</w:t>
      </w:r>
      <w:r w:rsidRPr="00BF42B7">
        <w:rPr>
          <w:szCs w:val="21"/>
        </w:rPr>
        <w:t>)</w:t>
      </w:r>
      <w:r w:rsidRPr="00BF42B7">
        <w:rPr>
          <w:rFonts w:hint="eastAsia"/>
          <w:szCs w:val="21"/>
        </w:rPr>
        <w:t>上，缔约国明确规定：</w:t>
      </w:r>
      <w:r w:rsidRPr="00BF42B7">
        <w:rPr>
          <w:rFonts w:hint="eastAsia"/>
        </w:rPr>
        <w:t>“本条规定的禁止涉及“对植物和动物以及人有害的</w:t>
      </w:r>
      <w:r w:rsidRPr="00BF42B7">
        <w:t>(</w:t>
      </w:r>
      <w:r w:rsidRPr="00BF42B7">
        <w:rPr>
          <w:rFonts w:hint="eastAsia"/>
        </w:rPr>
        <w:t>……</w:t>
      </w:r>
      <w:r w:rsidRPr="00BF42B7">
        <w:t>)</w:t>
      </w:r>
      <w:r w:rsidRPr="00BF42B7">
        <w:rPr>
          <w:rFonts w:hint="eastAsia"/>
        </w:rPr>
        <w:t>”微生物剂或其他生物剂或毒素”；</w:t>
      </w:r>
      <w:r w:rsidRPr="00BF42B7">
        <w:rPr>
          <w:color w:val="0000FF"/>
          <w:vertAlign w:val="superscript"/>
        </w:rPr>
        <w:footnoteReference w:id="860"/>
      </w:r>
      <w:r w:rsidRPr="00BF42B7">
        <w:rPr>
          <w:color w:val="0000FF"/>
          <w:vertAlign w:val="superscript"/>
        </w:rPr>
        <w:t xml:space="preserve"> </w:t>
      </w:r>
    </w:p>
    <w:p w:rsidR="00B75685" w:rsidRPr="00BF42B7" w:rsidRDefault="00B75685" w:rsidP="00B75685">
      <w:pPr>
        <w:pStyle w:val="SingleTxtGC"/>
        <w:rPr>
          <w:szCs w:val="21"/>
        </w:rPr>
      </w:pPr>
      <w:r w:rsidRPr="00BF42B7">
        <w:rPr>
          <w:szCs w:val="21"/>
        </w:rPr>
        <w:t xml:space="preserve">(19)  </w:t>
      </w:r>
      <w:r w:rsidRPr="00BF42B7">
        <w:rPr>
          <w:rFonts w:hint="eastAsia"/>
          <w:szCs w:val="21"/>
        </w:rPr>
        <w:t>《</w:t>
      </w:r>
      <w:r w:rsidRPr="00BF42B7">
        <w:rPr>
          <w:szCs w:val="21"/>
        </w:rPr>
        <w:t>关于消耗臭氧层物质的蒙特利尔议定书</w:t>
      </w:r>
      <w:r w:rsidRPr="00BF42B7">
        <w:rPr>
          <w:rFonts w:hint="eastAsia"/>
          <w:szCs w:val="21"/>
        </w:rPr>
        <w:t>》</w:t>
      </w:r>
      <w:r w:rsidRPr="00BF42B7">
        <w:rPr>
          <w:color w:val="0000FF"/>
          <w:szCs w:val="21"/>
          <w:vertAlign w:val="superscript"/>
        </w:rPr>
        <w:footnoteReference w:id="861"/>
      </w:r>
      <w:r w:rsidRPr="00BF42B7">
        <w:rPr>
          <w:color w:val="0000FF"/>
          <w:szCs w:val="21"/>
          <w:vertAlign w:val="superscript"/>
        </w:rPr>
        <w:t xml:space="preserve"> </w:t>
      </w:r>
      <w:r w:rsidRPr="00BF42B7">
        <w:rPr>
          <w:rFonts w:hint="eastAsia"/>
          <w:szCs w:val="21"/>
        </w:rPr>
        <w:t>第四条第</w:t>
      </w:r>
      <w:r w:rsidRPr="00BF42B7">
        <w:rPr>
          <w:szCs w:val="21"/>
        </w:rPr>
        <w:t>9</w:t>
      </w:r>
      <w:r w:rsidRPr="00BF42B7">
        <w:rPr>
          <w:rFonts w:hint="eastAsia"/>
          <w:szCs w:val="21"/>
        </w:rPr>
        <w:t>款引发了关于“非本议定书缔约国的国家”定义的一场辩论。根据第四条第</w:t>
      </w:r>
      <w:r w:rsidRPr="00BF42B7">
        <w:rPr>
          <w:szCs w:val="21"/>
        </w:rPr>
        <w:t>9</w:t>
      </w:r>
      <w:r w:rsidRPr="00BF42B7">
        <w:rPr>
          <w:rFonts w:hint="eastAsia"/>
          <w:szCs w:val="21"/>
        </w:rPr>
        <w:t>款：</w:t>
      </w:r>
    </w:p>
    <w:p w:rsidR="00B75685" w:rsidRPr="00BF42B7" w:rsidRDefault="00B75685" w:rsidP="00B75685">
      <w:pPr>
        <w:pStyle w:val="SingleTxtGC"/>
        <w:ind w:left="1565"/>
        <w:rPr>
          <w:szCs w:val="21"/>
        </w:rPr>
      </w:pPr>
      <w:r w:rsidRPr="00BF42B7">
        <w:rPr>
          <w:rFonts w:hint="eastAsia"/>
          <w:szCs w:val="21"/>
        </w:rPr>
        <w:t>“为本条的目的</w:t>
      </w:r>
      <w:r w:rsidRPr="00BF42B7">
        <w:rPr>
          <w:szCs w:val="21"/>
        </w:rPr>
        <w:t>，</w:t>
      </w:r>
      <w:r w:rsidRPr="00BF42B7">
        <w:rPr>
          <w:rFonts w:hint="eastAsia"/>
          <w:szCs w:val="21"/>
        </w:rPr>
        <w:t>“非本</w:t>
      </w:r>
      <w:r w:rsidRPr="00BF42B7">
        <w:rPr>
          <w:rFonts w:hint="eastAsia"/>
        </w:rPr>
        <w:t>议定书</w:t>
      </w:r>
      <w:r w:rsidRPr="00BF42B7">
        <w:rPr>
          <w:rFonts w:hint="eastAsia"/>
          <w:szCs w:val="21"/>
        </w:rPr>
        <w:t>缔约国的国家”一词，以任何特定的控制物质而言，应包括尚未同意受当时对该物质生效的控制措施约束的每一国家或区域经济一体化组织。”</w:t>
      </w:r>
    </w:p>
    <w:p w:rsidR="00B75685" w:rsidRPr="00BF42B7" w:rsidRDefault="00B75685" w:rsidP="00B75685">
      <w:pPr>
        <w:pStyle w:val="SingleTxtGC"/>
        <w:rPr>
          <w:szCs w:val="21"/>
        </w:rPr>
      </w:pPr>
      <w:r w:rsidRPr="00BF42B7">
        <w:rPr>
          <w:szCs w:val="21"/>
        </w:rPr>
        <w:t xml:space="preserve">(20)  </w:t>
      </w:r>
      <w:r w:rsidRPr="00BF42B7">
        <w:rPr>
          <w:rFonts w:hint="eastAsia"/>
          <w:szCs w:val="21"/>
        </w:rPr>
        <w:t>关于氢氟碳化合物，《</w:t>
      </w:r>
      <w:r w:rsidRPr="00BF42B7">
        <w:rPr>
          <w:szCs w:val="21"/>
        </w:rPr>
        <w:t>蒙特利尔议定书</w:t>
      </w:r>
      <w:r w:rsidRPr="00BF42B7">
        <w:rPr>
          <w:rFonts w:hint="eastAsia"/>
          <w:szCs w:val="21"/>
        </w:rPr>
        <w:t>》两项相关的修正案</w:t>
      </w:r>
      <w:r w:rsidRPr="00BF42B7">
        <w:rPr>
          <w:color w:val="0000FF"/>
          <w:szCs w:val="21"/>
          <w:vertAlign w:val="superscript"/>
        </w:rPr>
        <w:footnoteReference w:id="862"/>
      </w:r>
      <w:r w:rsidRPr="00BF42B7">
        <w:rPr>
          <w:color w:val="0000FF"/>
          <w:szCs w:val="21"/>
          <w:vertAlign w:val="superscript"/>
        </w:rPr>
        <w:t xml:space="preserve"> </w:t>
      </w:r>
      <w:r w:rsidRPr="00BF42B7">
        <w:rPr>
          <w:rFonts w:hint="eastAsia"/>
          <w:szCs w:val="21"/>
        </w:rPr>
        <w:t>规定了义务，从而引发对一国为成为“非本议定书缔约国的国家”是否必须没有加入这两项修正案的问题。缔约国会议决定：</w:t>
      </w:r>
    </w:p>
    <w:p w:rsidR="00B75685" w:rsidRPr="00BF42B7" w:rsidRDefault="00B75685" w:rsidP="00B75685">
      <w:pPr>
        <w:pStyle w:val="SingleTxtGC"/>
        <w:ind w:left="1565"/>
        <w:rPr>
          <w:szCs w:val="21"/>
        </w:rPr>
      </w:pPr>
      <w:r w:rsidRPr="00BF42B7">
        <w:rPr>
          <w:rFonts w:hint="eastAsia"/>
          <w:szCs w:val="21"/>
        </w:rPr>
        <w:t>“非本议定书缔约国的国家”包括所有尚未同意受《哥本哈根修正案》和《北京修正案》约束的其他国家和区域经济一体化组织。”</w:t>
      </w:r>
      <w:r w:rsidRPr="00BF42B7">
        <w:rPr>
          <w:color w:val="0000FF"/>
          <w:szCs w:val="21"/>
          <w:vertAlign w:val="superscript"/>
        </w:rPr>
        <w:footnoteReference w:id="863"/>
      </w:r>
      <w:r w:rsidRPr="00BF42B7">
        <w:rPr>
          <w:color w:val="0000FF"/>
          <w:szCs w:val="21"/>
          <w:vertAlign w:val="superscript"/>
        </w:rPr>
        <w:t xml:space="preserve"> </w:t>
      </w:r>
    </w:p>
    <w:p w:rsidR="00B75685" w:rsidRPr="00BF42B7" w:rsidRDefault="00B75685" w:rsidP="00B75685">
      <w:pPr>
        <w:pStyle w:val="SingleTxtGC"/>
        <w:rPr>
          <w:szCs w:val="21"/>
        </w:rPr>
      </w:pPr>
      <w:r w:rsidRPr="00BF42B7">
        <w:rPr>
          <w:szCs w:val="21"/>
        </w:rPr>
        <w:t xml:space="preserve">(21)  </w:t>
      </w:r>
      <w:r w:rsidRPr="00BF42B7">
        <w:rPr>
          <w:rFonts w:hint="eastAsia"/>
          <w:szCs w:val="21"/>
        </w:rPr>
        <w:t>默认接受程序导致的行为</w:t>
      </w:r>
      <w:r w:rsidRPr="00BF42B7">
        <w:rPr>
          <w:color w:val="0000FF"/>
          <w:szCs w:val="21"/>
          <w:vertAlign w:val="superscript"/>
        </w:rPr>
        <w:footnoteReference w:id="864"/>
      </w:r>
      <w:r w:rsidRPr="00BF42B7">
        <w:rPr>
          <w:color w:val="0000FF"/>
          <w:szCs w:val="21"/>
          <w:vertAlign w:val="superscript"/>
        </w:rPr>
        <w:t xml:space="preserve"> </w:t>
      </w:r>
      <w:r w:rsidRPr="00BF42B7">
        <w:rPr>
          <w:rFonts w:hint="eastAsia"/>
          <w:szCs w:val="21"/>
        </w:rPr>
        <w:t>本身虽然不是第三十一条第三款</w:t>
      </w:r>
      <w:r w:rsidRPr="00BF42B7">
        <w:rPr>
          <w:szCs w:val="21"/>
        </w:rPr>
        <w:t>(a)</w:t>
      </w:r>
      <w:r w:rsidRPr="00BF42B7">
        <w:rPr>
          <w:szCs w:val="21"/>
        </w:rPr>
        <w:t>项</w:t>
      </w:r>
      <w:r w:rsidRPr="00BF42B7">
        <w:rPr>
          <w:rFonts w:hint="eastAsia"/>
          <w:szCs w:val="21"/>
        </w:rPr>
        <w:t>所述缔约方的嗣后协定，但它们除了条约规定的主要效力外，在有些情况下可以暗示存在这样一种嗣后协定。有一个例子涉及《伦敦倾倒公约》缔约方会议的某些决定。在</w:t>
      </w:r>
      <w:r w:rsidRPr="00BF42B7">
        <w:rPr>
          <w:szCs w:val="21"/>
        </w:rPr>
        <w:t>1993</w:t>
      </w:r>
      <w:r w:rsidRPr="00BF42B7">
        <w:rPr>
          <w:rFonts w:hint="eastAsia"/>
          <w:szCs w:val="21"/>
        </w:rPr>
        <w:t>年举行的第十六次会议上，缔约方磋商会议以《公约》规定的默认接受程序通过了对附件一的三项修正。</w:t>
      </w:r>
      <w:r w:rsidRPr="00BF42B7">
        <w:rPr>
          <w:color w:val="0000FF"/>
          <w:szCs w:val="21"/>
          <w:vertAlign w:val="superscript"/>
        </w:rPr>
        <w:footnoteReference w:id="865"/>
      </w:r>
      <w:r w:rsidRPr="00BF42B7">
        <w:rPr>
          <w:color w:val="0000FF"/>
          <w:szCs w:val="21"/>
          <w:vertAlign w:val="superscript"/>
        </w:rPr>
        <w:t xml:space="preserve"> </w:t>
      </w:r>
      <w:r w:rsidRPr="00BF42B7">
        <w:rPr>
          <w:rFonts w:hint="eastAsia"/>
          <w:szCs w:val="21"/>
        </w:rPr>
        <w:t>这样的话，这些修正并非嗣后协定。但是，它们确实暗示对基本条约本身的广泛的解释。</w:t>
      </w:r>
      <w:r w:rsidRPr="00BF42B7">
        <w:rPr>
          <w:color w:val="0000FF"/>
          <w:szCs w:val="21"/>
          <w:vertAlign w:val="superscript"/>
        </w:rPr>
        <w:footnoteReference w:id="866"/>
      </w:r>
      <w:r w:rsidRPr="00BF42B7">
        <w:rPr>
          <w:color w:val="0000FF"/>
          <w:szCs w:val="21"/>
          <w:vertAlign w:val="superscript"/>
        </w:rPr>
        <w:t xml:space="preserve"> </w:t>
      </w:r>
      <w:r w:rsidRPr="00BF42B7">
        <w:rPr>
          <w:rFonts w:hint="eastAsia"/>
          <w:szCs w:val="21"/>
        </w:rPr>
        <w:t>这些修正所指及其依据是三年前举行的磋商会议通过的一项决议，其中确立了缔约方的协定，即“《伦敦倾倒公约》是处理向通过海洋进入的海床下处置库倾倒低放射性废物问题的适当机构。”</w:t>
      </w:r>
      <w:r w:rsidRPr="00BF42B7">
        <w:rPr>
          <w:color w:val="0000FF"/>
          <w:szCs w:val="21"/>
          <w:vertAlign w:val="superscript"/>
        </w:rPr>
        <w:footnoteReference w:id="867"/>
      </w:r>
      <w:r w:rsidRPr="00BF42B7">
        <w:rPr>
          <w:color w:val="0000FF"/>
          <w:szCs w:val="21"/>
          <w:vertAlign w:val="superscript"/>
        </w:rPr>
        <w:t xml:space="preserve"> </w:t>
      </w:r>
      <w:r w:rsidRPr="00BF42B7">
        <w:rPr>
          <w:rFonts w:hint="eastAsia"/>
          <w:spacing w:val="-2"/>
          <w:szCs w:val="21"/>
        </w:rPr>
        <w:t>该决议被称为“实际扩展了《公约》下‘倾倒’的定义，决定该词包括从海上向海床中或海床下而不仅是通过管道从陆地上倾倒废物的作法”。</w:t>
      </w:r>
      <w:r w:rsidRPr="00BF42B7">
        <w:rPr>
          <w:color w:val="0000FF"/>
          <w:spacing w:val="-2"/>
          <w:szCs w:val="21"/>
          <w:vertAlign w:val="superscript"/>
        </w:rPr>
        <w:footnoteReference w:id="868"/>
      </w:r>
      <w:r w:rsidRPr="00BF42B7">
        <w:rPr>
          <w:color w:val="0000FF"/>
          <w:spacing w:val="-2"/>
          <w:szCs w:val="21"/>
          <w:vertAlign w:val="superscript"/>
        </w:rPr>
        <w:t xml:space="preserve"> </w:t>
      </w:r>
      <w:r w:rsidRPr="00BF42B7">
        <w:rPr>
          <w:rFonts w:hint="eastAsia"/>
          <w:szCs w:val="21"/>
        </w:rPr>
        <w:t>这样一来，修正案确认，解释性声明包括了有关条约解释的一个嗣后协定。</w:t>
      </w:r>
    </w:p>
    <w:p w:rsidR="00B75685" w:rsidRPr="00BF42B7" w:rsidRDefault="00B75685" w:rsidP="00B75685">
      <w:pPr>
        <w:pStyle w:val="SingleTxtGC"/>
        <w:rPr>
          <w:szCs w:val="21"/>
        </w:rPr>
      </w:pPr>
      <w:r w:rsidRPr="00BF42B7">
        <w:rPr>
          <w:szCs w:val="21"/>
        </w:rPr>
        <w:t xml:space="preserve">(22)  </w:t>
      </w:r>
      <w:r w:rsidRPr="00BF42B7">
        <w:rPr>
          <w:rFonts w:hint="eastAsia"/>
          <w:szCs w:val="21"/>
        </w:rPr>
        <w:t>《控制危险废物越境转移及其处置的巴塞尔公约》</w:t>
      </w:r>
      <w:r w:rsidRPr="00BF42B7">
        <w:rPr>
          <w:color w:val="0000FF"/>
          <w:szCs w:val="21"/>
          <w:vertAlign w:val="superscript"/>
        </w:rPr>
        <w:footnoteReference w:id="869"/>
      </w:r>
      <w:r w:rsidRPr="00BF42B7">
        <w:rPr>
          <w:color w:val="0000FF"/>
          <w:szCs w:val="21"/>
          <w:vertAlign w:val="superscript"/>
        </w:rPr>
        <w:t xml:space="preserve"> </w:t>
      </w:r>
      <w:r w:rsidRPr="00BF42B7">
        <w:rPr>
          <w:rFonts w:hint="eastAsia"/>
          <w:szCs w:val="21"/>
        </w:rPr>
        <w:t>第</w:t>
      </w:r>
      <w:r w:rsidRPr="00BF42B7">
        <w:rPr>
          <w:szCs w:val="21"/>
        </w:rPr>
        <w:t>17</w:t>
      </w:r>
      <w:r w:rsidRPr="00BF42B7">
        <w:rPr>
          <w:rFonts w:hint="eastAsia"/>
          <w:szCs w:val="21"/>
        </w:rPr>
        <w:t>条第</w:t>
      </w:r>
      <w:r w:rsidRPr="00BF42B7">
        <w:rPr>
          <w:szCs w:val="21"/>
        </w:rPr>
        <w:t>5</w:t>
      </w:r>
      <w:r w:rsidRPr="00BF42B7">
        <w:rPr>
          <w:rFonts w:hint="eastAsia"/>
          <w:szCs w:val="21"/>
        </w:rPr>
        <w:t>款规定，“修正案……将自保存人收到至少四分之三的接受</w:t>
      </w:r>
      <w:r w:rsidRPr="00BF42B7">
        <w:rPr>
          <w:rFonts w:hint="eastAsia"/>
          <w:szCs w:val="21"/>
        </w:rPr>
        <w:t>[</w:t>
      </w:r>
      <w:r w:rsidRPr="00BF42B7">
        <w:rPr>
          <w:rFonts w:hint="eastAsia"/>
          <w:szCs w:val="21"/>
        </w:rPr>
        <w:t>修正案</w:t>
      </w:r>
      <w:r w:rsidRPr="00BF42B7">
        <w:rPr>
          <w:rFonts w:hint="eastAsia"/>
          <w:szCs w:val="21"/>
        </w:rPr>
        <w:t>]</w:t>
      </w:r>
      <w:r w:rsidRPr="00BF42B7">
        <w:rPr>
          <w:rFonts w:hint="eastAsia"/>
          <w:szCs w:val="21"/>
        </w:rPr>
        <w:t>的缔约方的批准、核准、正式确认或接受文书之日后第九十天起生效……”。按照印度尼西亚－瑞士牵头的一项提议，缔约方会议决定澄清关于四分之三的缔约方接受的规定，同意：</w:t>
      </w:r>
    </w:p>
    <w:p w:rsidR="00B75685" w:rsidRPr="00BF42B7" w:rsidRDefault="00B75685" w:rsidP="00B75685">
      <w:pPr>
        <w:pStyle w:val="SingleTxtGC"/>
        <w:ind w:left="1565"/>
        <w:rPr>
          <w:szCs w:val="21"/>
        </w:rPr>
      </w:pPr>
      <w:r w:rsidRPr="00BF42B7">
        <w:rPr>
          <w:rFonts w:hint="eastAsia"/>
          <w:szCs w:val="21"/>
        </w:rPr>
        <w:t>“……在不影响任何多边</w:t>
      </w:r>
      <w:r w:rsidRPr="00BF42B7">
        <w:rPr>
          <w:rFonts w:hint="eastAsia"/>
        </w:rPr>
        <w:t>环境</w:t>
      </w:r>
      <w:r w:rsidRPr="00BF42B7">
        <w:rPr>
          <w:rFonts w:hint="eastAsia"/>
          <w:szCs w:val="21"/>
        </w:rPr>
        <w:t>协定的前提下，《巴塞尔公约》第</w:t>
      </w:r>
      <w:r w:rsidRPr="00BF42B7">
        <w:rPr>
          <w:szCs w:val="21"/>
        </w:rPr>
        <w:t>17</w:t>
      </w:r>
      <w:r w:rsidRPr="00BF42B7">
        <w:rPr>
          <w:rFonts w:hint="eastAsia"/>
          <w:szCs w:val="21"/>
        </w:rPr>
        <w:t>条第</w:t>
      </w:r>
      <w:r w:rsidRPr="00BF42B7">
        <w:rPr>
          <w:szCs w:val="21"/>
        </w:rPr>
        <w:t>5</w:t>
      </w:r>
      <w:r w:rsidRPr="00BF42B7">
        <w:rPr>
          <w:rFonts w:hint="eastAsia"/>
          <w:szCs w:val="21"/>
        </w:rPr>
        <w:t>款的含义应解释为意指该修正案生效所要求的是得到在通过修正案之时缔约方总数的四分之三国家的接受，同时指出对第</w:t>
      </w:r>
      <w:r w:rsidRPr="00BF42B7">
        <w:rPr>
          <w:szCs w:val="21"/>
        </w:rPr>
        <w:t>17</w:t>
      </w:r>
      <w:r w:rsidRPr="00BF42B7">
        <w:rPr>
          <w:rFonts w:hint="eastAsia"/>
          <w:szCs w:val="21"/>
        </w:rPr>
        <w:t>条第</w:t>
      </w:r>
      <w:r w:rsidRPr="00BF42B7">
        <w:rPr>
          <w:szCs w:val="21"/>
        </w:rPr>
        <w:t>5</w:t>
      </w:r>
      <w:r w:rsidRPr="00BF42B7">
        <w:rPr>
          <w:rFonts w:hint="eastAsia"/>
          <w:szCs w:val="21"/>
        </w:rPr>
        <w:t>款的这一解释不要求任何缔约方批准《禁止议定书》。”</w:t>
      </w:r>
      <w:bookmarkStart w:id="187" w:name="_Ref461977065"/>
      <w:r w:rsidRPr="00BF42B7">
        <w:rPr>
          <w:color w:val="0000FF"/>
          <w:szCs w:val="21"/>
          <w:vertAlign w:val="superscript"/>
        </w:rPr>
        <w:footnoteReference w:id="870"/>
      </w:r>
      <w:bookmarkEnd w:id="187"/>
      <w:r w:rsidRPr="00BF42B7">
        <w:rPr>
          <w:color w:val="0000FF"/>
          <w:szCs w:val="21"/>
          <w:vertAlign w:val="superscript"/>
        </w:rPr>
        <w:t xml:space="preserve"> </w:t>
      </w:r>
    </w:p>
    <w:p w:rsidR="00B75685" w:rsidRPr="00BF42B7" w:rsidRDefault="00B75685" w:rsidP="00B75685">
      <w:pPr>
        <w:pStyle w:val="SingleTxtGC"/>
        <w:rPr>
          <w:spacing w:val="2"/>
          <w:szCs w:val="21"/>
        </w:rPr>
      </w:pPr>
      <w:r w:rsidRPr="00BF42B7">
        <w:rPr>
          <w:rFonts w:hint="eastAsia"/>
          <w:szCs w:val="21"/>
        </w:rPr>
        <w:t>缔约方以协商一致方式通过了关于第</w:t>
      </w:r>
      <w:r w:rsidRPr="00BF42B7">
        <w:rPr>
          <w:szCs w:val="21"/>
        </w:rPr>
        <w:t>17</w:t>
      </w:r>
      <w:r w:rsidRPr="00BF42B7">
        <w:rPr>
          <w:rFonts w:hint="eastAsia"/>
          <w:szCs w:val="21"/>
        </w:rPr>
        <w:t>条第</w:t>
      </w:r>
      <w:r w:rsidRPr="00BF42B7">
        <w:rPr>
          <w:szCs w:val="21"/>
        </w:rPr>
        <w:t>5</w:t>
      </w:r>
      <w:r w:rsidRPr="00BF42B7">
        <w:rPr>
          <w:rFonts w:hint="eastAsia"/>
          <w:szCs w:val="21"/>
        </w:rPr>
        <w:t>款解释的这个决定，当时许多缔约国强调指出，任何公约的缔约方会议是“关于公约解释的最高机构”。</w:t>
      </w:r>
      <w:r w:rsidRPr="00BF42B7">
        <w:rPr>
          <w:color w:val="0000FF"/>
          <w:szCs w:val="21"/>
          <w:vertAlign w:val="superscript"/>
        </w:rPr>
        <w:footnoteReference w:id="871"/>
      </w:r>
      <w:r w:rsidRPr="00BF42B7">
        <w:rPr>
          <w:color w:val="0000FF"/>
          <w:szCs w:val="21"/>
          <w:vertAlign w:val="superscript"/>
        </w:rPr>
        <w:t xml:space="preserve"> </w:t>
      </w:r>
      <w:r w:rsidRPr="00BF42B7">
        <w:rPr>
          <w:rFonts w:hint="eastAsia"/>
          <w:szCs w:val="21"/>
        </w:rPr>
        <w:t>虽然这样说是意味着，决定体现第三十一条第三款</w:t>
      </w:r>
      <w:r w:rsidRPr="00BF42B7">
        <w:rPr>
          <w:szCs w:val="21"/>
        </w:rPr>
        <w:t>(a)</w:t>
      </w:r>
      <w:r w:rsidRPr="00BF42B7">
        <w:rPr>
          <w:szCs w:val="21"/>
        </w:rPr>
        <w:t>项</w:t>
      </w:r>
      <w:r w:rsidRPr="00BF42B7">
        <w:rPr>
          <w:rFonts w:hint="eastAsia"/>
          <w:szCs w:val="21"/>
        </w:rPr>
        <w:t>所述的缔约方的一个嗣后协定，但在作出这一决定前也进行了辩论，即是否必须对公约作出正式修正案才能达成这一结果。</w:t>
      </w:r>
      <w:bookmarkStart w:id="188" w:name="_Ref321401488"/>
      <w:r w:rsidRPr="00BF42B7">
        <w:rPr>
          <w:color w:val="0000FF"/>
          <w:szCs w:val="21"/>
          <w:vertAlign w:val="superscript"/>
        </w:rPr>
        <w:footnoteReference w:id="872"/>
      </w:r>
      <w:bookmarkEnd w:id="188"/>
      <w:r w:rsidRPr="00BF42B7">
        <w:rPr>
          <w:color w:val="0000FF"/>
          <w:szCs w:val="21"/>
          <w:vertAlign w:val="superscript"/>
        </w:rPr>
        <w:t xml:space="preserve"> </w:t>
      </w:r>
      <w:r w:rsidRPr="00BF42B7">
        <w:rPr>
          <w:rFonts w:hint="eastAsia"/>
          <w:szCs w:val="21"/>
        </w:rPr>
        <w:t>还应当指出，日本代表团要求在会议报告中写入本国立场，称其“支持对于解释条约有关修正案生效条款的当前时段的办法，也就是联合国法律事务厅作为保存人提供的咨询意见中叙述的办法</w:t>
      </w:r>
      <w:r w:rsidRPr="00BF42B7">
        <w:rPr>
          <w:color w:val="0000FF"/>
          <w:szCs w:val="21"/>
          <w:vertAlign w:val="superscript"/>
        </w:rPr>
        <w:footnoteReference w:id="873"/>
      </w:r>
      <w:r w:rsidRPr="00BF42B7">
        <w:rPr>
          <w:color w:val="0000FF"/>
          <w:szCs w:val="21"/>
          <w:vertAlign w:val="superscript"/>
        </w:rPr>
        <w:t xml:space="preserve"> </w:t>
      </w:r>
      <w:r w:rsidRPr="00BF42B7">
        <w:rPr>
          <w:rFonts w:hint="eastAsia"/>
          <w:szCs w:val="21"/>
        </w:rPr>
        <w:t>，</w:t>
      </w:r>
      <w:r w:rsidRPr="00BF42B7">
        <w:rPr>
          <w:rFonts w:hint="eastAsia"/>
          <w:spacing w:val="2"/>
          <w:szCs w:val="21"/>
        </w:rPr>
        <w:t>并且</w:t>
      </w:r>
      <w:r w:rsidRPr="00BF42B7">
        <w:rPr>
          <w:rFonts w:ascii="Time New Roman" w:eastAsia="楷体" w:hAnsi="Time New Roman" w:hint="eastAsia"/>
          <w:szCs w:val="21"/>
        </w:rPr>
        <w:t>只是在这一具体情况下</w:t>
      </w:r>
      <w:r w:rsidRPr="00BF42B7">
        <w:rPr>
          <w:rFonts w:hint="eastAsia"/>
          <w:spacing w:val="2"/>
          <w:szCs w:val="21"/>
        </w:rPr>
        <w:t>接受印度尼西亚－瑞士牵头倡议的决定中阐述的固定时段的办法。”</w:t>
      </w:r>
      <w:r w:rsidRPr="00BF42B7">
        <w:rPr>
          <w:color w:val="0000FF"/>
          <w:spacing w:val="2"/>
          <w:szCs w:val="21"/>
          <w:vertAlign w:val="superscript"/>
        </w:rPr>
        <w:footnoteReference w:id="874"/>
      </w:r>
      <w:r w:rsidRPr="00BF42B7">
        <w:rPr>
          <w:color w:val="0000FF"/>
          <w:spacing w:val="2"/>
          <w:szCs w:val="21"/>
          <w:vertAlign w:val="superscript"/>
        </w:rPr>
        <w:t xml:space="preserve"> </w:t>
      </w:r>
    </w:p>
    <w:p w:rsidR="00B75685" w:rsidRPr="00BF42B7" w:rsidRDefault="00B75685" w:rsidP="00B75685">
      <w:pPr>
        <w:pStyle w:val="SingleTxtGC"/>
        <w:rPr>
          <w:szCs w:val="21"/>
        </w:rPr>
      </w:pPr>
      <w:r w:rsidRPr="00BF42B7">
        <w:rPr>
          <w:szCs w:val="21"/>
        </w:rPr>
        <w:t xml:space="preserve">(23)  </w:t>
      </w:r>
      <w:r w:rsidRPr="00BF42B7">
        <w:rPr>
          <w:rFonts w:hint="eastAsia"/>
          <w:szCs w:val="21"/>
        </w:rPr>
        <w:t>前述例子表明，缔约国大会的决定可能在特定情形下体现第三十一条第三款</w:t>
      </w:r>
      <w:r w:rsidRPr="00BF42B7">
        <w:rPr>
          <w:szCs w:val="21"/>
        </w:rPr>
        <w:t>(a)</w:t>
      </w:r>
      <w:r w:rsidRPr="00BF42B7">
        <w:rPr>
          <w:szCs w:val="21"/>
        </w:rPr>
        <w:t>项</w:t>
      </w:r>
      <w:r w:rsidRPr="00BF42B7">
        <w:rPr>
          <w:rFonts w:hint="eastAsia"/>
          <w:szCs w:val="21"/>
        </w:rPr>
        <w:t>所述的嗣后协定，也可能引起第三十一条第三款</w:t>
      </w:r>
      <w:r w:rsidRPr="00BF42B7">
        <w:rPr>
          <w:szCs w:val="21"/>
        </w:rPr>
        <w:t>(b)</w:t>
      </w:r>
      <w:r w:rsidRPr="00BF42B7">
        <w:rPr>
          <w:szCs w:val="21"/>
        </w:rPr>
        <w:t>项</w:t>
      </w:r>
      <w:r w:rsidRPr="00BF42B7">
        <w:rPr>
          <w:rFonts w:hint="eastAsia"/>
          <w:szCs w:val="21"/>
        </w:rPr>
        <w:t>下所述的嗣后惯例，如果不反映缔约方的协定，也可能引起第三十二条所述</w:t>
      </w:r>
      <w:r w:rsidRPr="00BF42B7">
        <w:rPr>
          <w:szCs w:val="21"/>
        </w:rPr>
        <w:t>其他</w:t>
      </w:r>
      <w:r w:rsidRPr="00BF42B7">
        <w:rPr>
          <w:rFonts w:hint="eastAsia"/>
          <w:szCs w:val="21"/>
        </w:rPr>
        <w:t>的嗣后惯例。但是，对缔约国大会一项决定的特点必须始终仔细地加以确定。为此目的，应结合缔约国大会决定的总体文字、其目的和宗旨以及适用的方式对所选择术语的特定性和明确性予以考虑。缔约方通常不希望此类决定具有任何特定的法律意义。</w:t>
      </w:r>
    </w:p>
    <w:p w:rsidR="00B75685" w:rsidRPr="00BF42B7" w:rsidRDefault="00B75685" w:rsidP="00E83B81">
      <w:pPr>
        <w:pStyle w:val="H4GC"/>
        <w:rPr>
          <w:lang w:val="en-GB"/>
        </w:rPr>
      </w:pPr>
      <w:r w:rsidRPr="00BF42B7">
        <w:rPr>
          <w:rFonts w:hint="eastAsia"/>
          <w:lang w:val="en-GB"/>
        </w:rPr>
        <w:tab/>
      </w:r>
      <w:r w:rsidRPr="00BF42B7">
        <w:rPr>
          <w:rFonts w:hint="eastAsia"/>
          <w:lang w:val="en-GB"/>
        </w:rPr>
        <w:tab/>
      </w:r>
      <w:r w:rsidRPr="00BF42B7">
        <w:rPr>
          <w:rFonts w:hint="eastAsia"/>
          <w:lang w:val="en-GB"/>
        </w:rPr>
        <w:t>第</w:t>
      </w:r>
      <w:r w:rsidRPr="00BF42B7">
        <w:rPr>
          <w:rFonts w:hint="eastAsia"/>
          <w:lang w:val="en-GB"/>
        </w:rPr>
        <w:t>2</w:t>
      </w:r>
      <w:r w:rsidRPr="00BF42B7">
        <w:rPr>
          <w:rFonts w:hint="eastAsia"/>
          <w:lang w:val="en-GB"/>
        </w:rPr>
        <w:t>段第三句</w:t>
      </w:r>
      <w:r w:rsidR="00E83B81" w:rsidRPr="00E83B81">
        <w:rPr>
          <w:rFonts w:hint="eastAsia"/>
          <w:snapToGrid/>
          <w:spacing w:val="-50"/>
          <w:lang w:val="fr-CH"/>
        </w:rPr>
        <w:t>―</w:t>
      </w:r>
      <w:r w:rsidR="00E83B81" w:rsidRPr="00E83B81">
        <w:rPr>
          <w:rFonts w:hint="eastAsia"/>
          <w:snapToGrid/>
          <w:lang w:val="fr-CH"/>
        </w:rPr>
        <w:t>―</w:t>
      </w:r>
      <w:r w:rsidRPr="00BF42B7">
        <w:rPr>
          <w:rFonts w:hint="eastAsia"/>
          <w:lang w:val="en-GB"/>
        </w:rPr>
        <w:t>决定可能提供一系列可行的选择</w:t>
      </w:r>
    </w:p>
    <w:p w:rsidR="00B75685" w:rsidRPr="00BF42B7" w:rsidRDefault="00B75685" w:rsidP="00B75685">
      <w:pPr>
        <w:pStyle w:val="SingleTxtGC"/>
        <w:rPr>
          <w:szCs w:val="21"/>
        </w:rPr>
      </w:pPr>
      <w:r w:rsidRPr="00BF42B7">
        <w:rPr>
          <w:szCs w:val="21"/>
        </w:rPr>
        <w:t xml:space="preserve">(24)  </w:t>
      </w:r>
      <w:r w:rsidRPr="00BF42B7">
        <w:rPr>
          <w:rFonts w:hint="eastAsia"/>
          <w:szCs w:val="21"/>
        </w:rPr>
        <w:t>结论草案</w:t>
      </w:r>
      <w:r w:rsidRPr="00BF42B7">
        <w:rPr>
          <w:rFonts w:hint="eastAsia"/>
          <w:szCs w:val="21"/>
        </w:rPr>
        <w:t>11[10]</w:t>
      </w:r>
      <w:r w:rsidRPr="00BF42B7">
        <w:rPr>
          <w:rFonts w:hint="eastAsia"/>
          <w:szCs w:val="21"/>
        </w:rPr>
        <w:t>第</w:t>
      </w:r>
      <w:r w:rsidRPr="00BF42B7">
        <w:rPr>
          <w:szCs w:val="21"/>
        </w:rPr>
        <w:t>2</w:t>
      </w:r>
      <w:r w:rsidRPr="00BF42B7">
        <w:rPr>
          <w:rFonts w:hint="eastAsia"/>
          <w:szCs w:val="21"/>
        </w:rPr>
        <w:t>段最后一句提醒解释者，缔约国大会通过的决定通常为执行条约提供一系列可行的选择。这些决定不一定体现为满足条约解释目的的嗣后协定和嗣后惯例，即使决定是协商一致作出的。事实上，缔约国大会常常不是明确地以解决或处理条约解释问题为目的。</w:t>
      </w:r>
    </w:p>
    <w:p w:rsidR="00B75685" w:rsidRPr="00BF42B7" w:rsidRDefault="00B75685" w:rsidP="00B75685">
      <w:pPr>
        <w:pStyle w:val="SingleTxtGC"/>
      </w:pPr>
      <w:r w:rsidRPr="00BF42B7">
        <w:t xml:space="preserve">(25)  </w:t>
      </w:r>
      <w:r w:rsidRPr="00BF42B7">
        <w:rPr>
          <w:rFonts w:hint="eastAsia"/>
        </w:rPr>
        <w:t>卫生组织《烟草管制框架公约》缔约方会议的决定提供了一个例子。该公约第</w:t>
      </w:r>
      <w:r w:rsidRPr="00BF42B7">
        <w:t>9</w:t>
      </w:r>
      <w:r w:rsidRPr="00BF42B7">
        <w:rPr>
          <w:rFonts w:hint="eastAsia"/>
        </w:rPr>
        <w:t>条和第</w:t>
      </w:r>
      <w:r w:rsidRPr="00BF42B7">
        <w:t>10</w:t>
      </w:r>
      <w:r w:rsidRPr="00BF42B7">
        <w:rPr>
          <w:rFonts w:hint="eastAsia"/>
        </w:rPr>
        <w:t>条分别涉及烟草制品成分的管制和对于披露此类制品成分信息的管制。缔约国承认此类措施需要分配大量的财政资源，故而在实施第</w:t>
      </w:r>
      <w:r w:rsidRPr="00BF42B7">
        <w:t>9</w:t>
      </w:r>
      <w:r w:rsidRPr="00BF42B7">
        <w:rPr>
          <w:rFonts w:hint="eastAsia"/>
        </w:rPr>
        <w:t>条和第</w:t>
      </w:r>
      <w:r w:rsidRPr="00BF42B7">
        <w:t>10</w:t>
      </w:r>
      <w:r w:rsidRPr="00BF42B7">
        <w:rPr>
          <w:rFonts w:hint="eastAsia"/>
        </w:rPr>
        <w:t>条的“实际考虑”的标题下商定了“缔约国可考虑使用的一些选择”，如：</w:t>
      </w:r>
    </w:p>
    <w:p w:rsidR="00B75685" w:rsidRPr="00BF42B7" w:rsidRDefault="00B75685" w:rsidP="00EF1045">
      <w:pPr>
        <w:pStyle w:val="SingleTxtGC"/>
        <w:tabs>
          <w:tab w:val="clear" w:pos="1565"/>
          <w:tab w:val="clear" w:pos="2427"/>
          <w:tab w:val="left" w:pos="2268"/>
        </w:tabs>
        <w:ind w:left="1372"/>
        <w:rPr>
          <w:szCs w:val="21"/>
        </w:rPr>
      </w:pPr>
      <w:r w:rsidRPr="00BF42B7">
        <w:rPr>
          <w:rFonts w:hint="eastAsia"/>
          <w:szCs w:val="21"/>
        </w:rPr>
        <w:t>“</w:t>
      </w:r>
      <w:r w:rsidRPr="00BF42B7">
        <w:rPr>
          <w:szCs w:val="21"/>
        </w:rPr>
        <w:t>(a)</w:t>
      </w:r>
      <w:r w:rsidRPr="00BF42B7">
        <w:rPr>
          <w:szCs w:val="21"/>
        </w:rPr>
        <w:tab/>
      </w:r>
      <w:r w:rsidRPr="00BF42B7">
        <w:rPr>
          <w:rFonts w:hint="eastAsia"/>
          <w:szCs w:val="21"/>
        </w:rPr>
        <w:t>指定的烟草税</w:t>
      </w:r>
      <w:r w:rsidRPr="00BF42B7">
        <w:rPr>
          <w:szCs w:val="21"/>
        </w:rPr>
        <w:t>；</w:t>
      </w:r>
    </w:p>
    <w:p w:rsidR="00B75685" w:rsidRPr="00BF42B7" w:rsidRDefault="00B75685" w:rsidP="00B75685">
      <w:pPr>
        <w:pStyle w:val="SingleTxtGC"/>
        <w:ind w:left="1565"/>
        <w:rPr>
          <w:szCs w:val="21"/>
        </w:rPr>
      </w:pPr>
      <w:r w:rsidRPr="00BF42B7">
        <w:rPr>
          <w:szCs w:val="21"/>
        </w:rPr>
        <w:t>(b)</w:t>
      </w:r>
      <w:r w:rsidRPr="00BF42B7">
        <w:rPr>
          <w:szCs w:val="21"/>
        </w:rPr>
        <w:tab/>
      </w:r>
      <w:r w:rsidRPr="00BF42B7">
        <w:rPr>
          <w:rFonts w:hint="eastAsia"/>
          <w:szCs w:val="21"/>
        </w:rPr>
        <w:t>烟草生产和</w:t>
      </w:r>
      <w:r w:rsidRPr="00BF42B7">
        <w:rPr>
          <w:szCs w:val="21"/>
        </w:rPr>
        <w:t>/</w:t>
      </w:r>
      <w:r w:rsidRPr="00BF42B7">
        <w:rPr>
          <w:rFonts w:hint="eastAsia"/>
          <w:szCs w:val="21"/>
        </w:rPr>
        <w:t>或进口许可费</w:t>
      </w:r>
      <w:r w:rsidRPr="00BF42B7">
        <w:rPr>
          <w:szCs w:val="21"/>
        </w:rPr>
        <w:t>；</w:t>
      </w:r>
    </w:p>
    <w:p w:rsidR="00B75685" w:rsidRPr="00BF42B7" w:rsidRDefault="00B75685" w:rsidP="00B75685">
      <w:pPr>
        <w:pStyle w:val="SingleTxtGC"/>
        <w:ind w:left="1565"/>
        <w:rPr>
          <w:szCs w:val="21"/>
        </w:rPr>
      </w:pPr>
      <w:r w:rsidRPr="00BF42B7">
        <w:rPr>
          <w:szCs w:val="21"/>
        </w:rPr>
        <w:t>(c)</w:t>
      </w:r>
      <w:r w:rsidRPr="00BF42B7">
        <w:rPr>
          <w:szCs w:val="21"/>
        </w:rPr>
        <w:tab/>
      </w:r>
      <w:r w:rsidRPr="00BF42B7">
        <w:rPr>
          <w:rFonts w:hint="eastAsia"/>
          <w:szCs w:val="21"/>
        </w:rPr>
        <w:t>烟草产品登记费</w:t>
      </w:r>
      <w:r w:rsidRPr="00BF42B7">
        <w:rPr>
          <w:szCs w:val="21"/>
        </w:rPr>
        <w:t>；</w:t>
      </w:r>
    </w:p>
    <w:p w:rsidR="00B75685" w:rsidRPr="00BF42B7" w:rsidRDefault="00B75685" w:rsidP="00B75685">
      <w:pPr>
        <w:pStyle w:val="SingleTxtGC"/>
        <w:ind w:left="1565"/>
        <w:rPr>
          <w:szCs w:val="21"/>
        </w:rPr>
      </w:pPr>
      <w:r w:rsidRPr="00BF42B7">
        <w:rPr>
          <w:szCs w:val="21"/>
        </w:rPr>
        <w:t>(d)</w:t>
      </w:r>
      <w:r w:rsidRPr="00BF42B7">
        <w:rPr>
          <w:szCs w:val="21"/>
        </w:rPr>
        <w:tab/>
      </w:r>
      <w:r w:rsidRPr="00BF42B7">
        <w:rPr>
          <w:rFonts w:hint="eastAsia"/>
          <w:szCs w:val="21"/>
        </w:rPr>
        <w:t>烟草批发商和</w:t>
      </w:r>
      <w:r w:rsidRPr="00BF42B7">
        <w:rPr>
          <w:szCs w:val="21"/>
        </w:rPr>
        <w:t>/</w:t>
      </w:r>
      <w:r w:rsidRPr="00BF42B7">
        <w:rPr>
          <w:rFonts w:hint="eastAsia"/>
          <w:szCs w:val="21"/>
        </w:rPr>
        <w:t>或零售商许可证制度</w:t>
      </w:r>
      <w:r w:rsidRPr="00BF42B7">
        <w:rPr>
          <w:szCs w:val="21"/>
        </w:rPr>
        <w:t>；</w:t>
      </w:r>
    </w:p>
    <w:p w:rsidR="00B75685" w:rsidRPr="00BF42B7" w:rsidRDefault="00B75685" w:rsidP="00B75685">
      <w:pPr>
        <w:pStyle w:val="SingleTxtGC"/>
        <w:ind w:left="1565"/>
        <w:rPr>
          <w:szCs w:val="21"/>
        </w:rPr>
      </w:pPr>
      <w:r w:rsidRPr="00BF42B7">
        <w:rPr>
          <w:szCs w:val="21"/>
        </w:rPr>
        <w:t>(e)</w:t>
      </w:r>
      <w:r w:rsidRPr="00BF42B7">
        <w:rPr>
          <w:szCs w:val="21"/>
        </w:rPr>
        <w:tab/>
      </w:r>
      <w:r w:rsidRPr="00BF42B7">
        <w:rPr>
          <w:rFonts w:hint="eastAsia"/>
          <w:szCs w:val="21"/>
        </w:rPr>
        <w:t>对烟草行业和零售商征收的违规罚款；和</w:t>
      </w:r>
    </w:p>
    <w:p w:rsidR="00B75685" w:rsidRPr="00BF42B7" w:rsidRDefault="00B75685" w:rsidP="00B75685">
      <w:pPr>
        <w:pStyle w:val="SingleTxtGC"/>
        <w:ind w:left="1565"/>
        <w:rPr>
          <w:szCs w:val="21"/>
        </w:rPr>
      </w:pPr>
      <w:r w:rsidRPr="00BF42B7">
        <w:rPr>
          <w:szCs w:val="21"/>
        </w:rPr>
        <w:t>(f)</w:t>
      </w:r>
      <w:r w:rsidRPr="00BF42B7">
        <w:rPr>
          <w:szCs w:val="21"/>
        </w:rPr>
        <w:tab/>
      </w:r>
      <w:r w:rsidRPr="00BF42B7">
        <w:rPr>
          <w:rFonts w:hint="eastAsia"/>
          <w:szCs w:val="21"/>
        </w:rPr>
        <w:t>每年的烟草业管理费</w:t>
      </w:r>
      <w:r w:rsidRPr="00BF42B7">
        <w:rPr>
          <w:szCs w:val="21"/>
        </w:rPr>
        <w:t>(</w:t>
      </w:r>
      <w:r w:rsidRPr="00BF42B7">
        <w:rPr>
          <w:rFonts w:hint="eastAsia"/>
          <w:szCs w:val="21"/>
        </w:rPr>
        <w:t>烟草业和零售商</w:t>
      </w:r>
      <w:r w:rsidRPr="00BF42B7">
        <w:rPr>
          <w:szCs w:val="21"/>
        </w:rPr>
        <w:t>)</w:t>
      </w:r>
      <w:r w:rsidRPr="00BF42B7">
        <w:rPr>
          <w:rFonts w:hint="eastAsia"/>
          <w:szCs w:val="21"/>
        </w:rPr>
        <w:t>。”</w:t>
      </w:r>
      <w:r w:rsidRPr="00BF42B7">
        <w:rPr>
          <w:color w:val="0000FF"/>
          <w:szCs w:val="21"/>
          <w:vertAlign w:val="superscript"/>
        </w:rPr>
        <w:footnoteReference w:id="875"/>
      </w:r>
      <w:r w:rsidRPr="00BF42B7">
        <w:rPr>
          <w:color w:val="0000FF"/>
          <w:szCs w:val="21"/>
          <w:vertAlign w:val="superscript"/>
        </w:rPr>
        <w:t xml:space="preserve"> </w:t>
      </w:r>
    </w:p>
    <w:p w:rsidR="00B75685" w:rsidRPr="00BF42B7" w:rsidRDefault="00B75685" w:rsidP="00B75685">
      <w:pPr>
        <w:pStyle w:val="SingleTxtGC"/>
        <w:rPr>
          <w:szCs w:val="21"/>
        </w:rPr>
      </w:pPr>
      <w:r w:rsidRPr="00BF42B7">
        <w:rPr>
          <w:rFonts w:hint="eastAsia"/>
          <w:szCs w:val="21"/>
        </w:rPr>
        <w:t>该决定提供了执行《公约》第</w:t>
      </w:r>
      <w:r w:rsidRPr="00BF42B7">
        <w:rPr>
          <w:szCs w:val="21"/>
        </w:rPr>
        <w:t>9</w:t>
      </w:r>
      <w:r w:rsidRPr="00BF42B7">
        <w:rPr>
          <w:rFonts w:hint="eastAsia"/>
          <w:szCs w:val="21"/>
        </w:rPr>
        <w:t>条和第</w:t>
      </w:r>
      <w:r w:rsidRPr="00BF42B7">
        <w:rPr>
          <w:szCs w:val="21"/>
        </w:rPr>
        <w:t>10</w:t>
      </w:r>
      <w:r w:rsidRPr="00BF42B7">
        <w:rPr>
          <w:rFonts w:hint="eastAsia"/>
          <w:szCs w:val="21"/>
        </w:rPr>
        <w:t>条的一系列可行选择，但并非详尽无遗。但是，缔约方据此默示商定，所述的“选择”与《公约》是相称的。</w:t>
      </w:r>
    </w:p>
    <w:p w:rsidR="00B75685" w:rsidRPr="00BF42B7" w:rsidRDefault="00B75685" w:rsidP="00B75685">
      <w:pPr>
        <w:pStyle w:val="H4GC"/>
        <w:rPr>
          <w:lang w:val="en-GB"/>
        </w:rPr>
      </w:pPr>
      <w:r w:rsidRPr="00BF42B7">
        <w:rPr>
          <w:rFonts w:hint="eastAsia"/>
          <w:lang w:val="en-GB"/>
        </w:rPr>
        <w:tab/>
      </w:r>
      <w:r w:rsidRPr="00BF42B7">
        <w:rPr>
          <w:rFonts w:hint="eastAsia"/>
          <w:lang w:val="en-GB"/>
        </w:rPr>
        <w:tab/>
      </w:r>
      <w:r w:rsidRPr="00BF42B7">
        <w:rPr>
          <w:rFonts w:hint="eastAsia"/>
          <w:lang w:val="en-GB"/>
        </w:rPr>
        <w:t>整个第</w:t>
      </w:r>
      <w:r w:rsidRPr="00BF42B7">
        <w:rPr>
          <w:rFonts w:hint="eastAsia"/>
          <w:lang w:val="en-GB"/>
        </w:rPr>
        <w:t>2</w:t>
      </w:r>
      <w:r w:rsidRPr="00BF42B7">
        <w:rPr>
          <w:rFonts w:hint="eastAsia"/>
          <w:lang w:val="en-GB"/>
        </w:rPr>
        <w:t>段</w:t>
      </w:r>
    </w:p>
    <w:p w:rsidR="00B75685" w:rsidRPr="00BF42B7" w:rsidRDefault="00B75685" w:rsidP="00B75685">
      <w:pPr>
        <w:pStyle w:val="SingleTxtGC"/>
        <w:rPr>
          <w:szCs w:val="21"/>
        </w:rPr>
      </w:pPr>
      <w:r w:rsidRPr="00BF42B7">
        <w:rPr>
          <w:szCs w:val="21"/>
        </w:rPr>
        <w:t xml:space="preserve">(26)  </w:t>
      </w:r>
      <w:r w:rsidRPr="00BF42B7">
        <w:rPr>
          <w:rFonts w:hint="eastAsia"/>
          <w:szCs w:val="21"/>
        </w:rPr>
        <w:t>这样一来，缔约国大会的决定可以具有不同的法律效力。此类决定往往并不是为了本身体现第三十一条第三款</w:t>
      </w:r>
      <w:r w:rsidRPr="00BF42B7">
        <w:rPr>
          <w:szCs w:val="21"/>
        </w:rPr>
        <w:t>(a)</w:t>
      </w:r>
      <w:r w:rsidRPr="00BF42B7">
        <w:rPr>
          <w:szCs w:val="21"/>
        </w:rPr>
        <w:t>项</w:t>
      </w:r>
      <w:r w:rsidRPr="00BF42B7">
        <w:rPr>
          <w:rFonts w:hint="eastAsia"/>
          <w:szCs w:val="21"/>
        </w:rPr>
        <w:t>所述的嗣后协定，因为它们不是作为关于解释条约的一种陈述。在另外一些案例中，缔约方充分明确地指出，缔约国大会的决定体现缔约方就解释条约达成的协定。此类决定可能产生一种法律效力，与在条约下合作的一般性义务结合到一起，“因而缔约方有义务”对此类决定“给予应有的注意”。</w:t>
      </w:r>
      <w:r w:rsidRPr="00BF42B7">
        <w:rPr>
          <w:color w:val="0000FF"/>
          <w:szCs w:val="21"/>
          <w:vertAlign w:val="superscript"/>
        </w:rPr>
        <w:footnoteReference w:id="876"/>
      </w:r>
      <w:r w:rsidRPr="00BF42B7">
        <w:rPr>
          <w:color w:val="0000FF"/>
          <w:szCs w:val="21"/>
          <w:vertAlign w:val="superscript"/>
        </w:rPr>
        <w:t xml:space="preserve"> </w:t>
      </w:r>
      <w:r w:rsidRPr="00BF42B7">
        <w:rPr>
          <w:rFonts w:hint="eastAsia"/>
          <w:szCs w:val="21"/>
        </w:rPr>
        <w:t>在任何情况下，都不能简单地说，由于条约没有赋予缔约国大会作出有法律约束力决定的职能，因此它们的决定必须在法律上没有什么意义，只能构成政治承诺。</w:t>
      </w:r>
      <w:r w:rsidRPr="00BF42B7">
        <w:rPr>
          <w:color w:val="0000FF"/>
          <w:szCs w:val="21"/>
          <w:vertAlign w:val="superscript"/>
        </w:rPr>
        <w:footnoteReference w:id="877"/>
      </w:r>
      <w:r w:rsidRPr="00BF42B7">
        <w:rPr>
          <w:color w:val="0000FF"/>
          <w:szCs w:val="21"/>
          <w:vertAlign w:val="superscript"/>
        </w:rPr>
        <w:t xml:space="preserve"> </w:t>
      </w:r>
    </w:p>
    <w:p w:rsidR="00B75685" w:rsidRPr="00BF42B7" w:rsidRDefault="00B75685" w:rsidP="00B75685">
      <w:pPr>
        <w:pStyle w:val="SingleTxtGC"/>
        <w:rPr>
          <w:color w:val="0000FF"/>
          <w:szCs w:val="21"/>
          <w:vertAlign w:val="superscript"/>
        </w:rPr>
      </w:pPr>
      <w:r w:rsidRPr="00BF42B7">
        <w:rPr>
          <w:szCs w:val="21"/>
        </w:rPr>
        <w:t xml:space="preserve">(27)  </w:t>
      </w:r>
      <w:r w:rsidRPr="00BF42B7">
        <w:rPr>
          <w:rFonts w:hint="eastAsia"/>
          <w:szCs w:val="21"/>
        </w:rPr>
        <w:t>归根结底，缔约国大会决定的效力取决于每个具体案件的具体情况，对这些决定也需要加以正确的解释。一个适用的考虑可能是，缔约国是一致或在没有质疑的情况下适用缔约国大会决定所解释的条约。在缔约国大会后出现不一致的惯例可能就表明各国并没有推定这一决定系第三十一条第三款</w:t>
      </w:r>
      <w:r w:rsidRPr="00BF42B7">
        <w:rPr>
          <w:szCs w:val="21"/>
        </w:rPr>
        <w:t>(a)</w:t>
      </w:r>
      <w:r w:rsidRPr="00BF42B7">
        <w:rPr>
          <w:szCs w:val="21"/>
        </w:rPr>
        <w:t>项</w:t>
      </w:r>
      <w:r w:rsidRPr="00BF42B7">
        <w:rPr>
          <w:rFonts w:hint="eastAsia"/>
          <w:szCs w:val="21"/>
        </w:rPr>
        <w:t>所述的嗣后协定。</w:t>
      </w:r>
      <w:r w:rsidRPr="00BF42B7">
        <w:rPr>
          <w:color w:val="0000FF"/>
          <w:szCs w:val="21"/>
          <w:vertAlign w:val="superscript"/>
        </w:rPr>
        <w:footnoteReference w:id="878"/>
      </w:r>
      <w:r w:rsidRPr="00BF42B7">
        <w:rPr>
          <w:color w:val="0000FF"/>
          <w:szCs w:val="21"/>
          <w:vertAlign w:val="superscript"/>
        </w:rPr>
        <w:t xml:space="preserve"> </w:t>
      </w:r>
      <w:r w:rsidRPr="00BF42B7">
        <w:rPr>
          <w:rFonts w:hint="eastAsia"/>
          <w:szCs w:val="21"/>
        </w:rPr>
        <w:t>但是，不能作为第三十一条第三款</w:t>
      </w:r>
      <w:r w:rsidRPr="00BF42B7">
        <w:rPr>
          <w:szCs w:val="21"/>
        </w:rPr>
        <w:t>(a)</w:t>
      </w:r>
      <w:r w:rsidRPr="00BF42B7">
        <w:rPr>
          <w:szCs w:val="21"/>
        </w:rPr>
        <w:t>项</w:t>
      </w:r>
      <w:r w:rsidRPr="00BF42B7">
        <w:rPr>
          <w:rFonts w:hint="eastAsia"/>
          <w:szCs w:val="21"/>
        </w:rPr>
        <w:t>所述嗣后协定或第三十一条第三款</w:t>
      </w:r>
      <w:r w:rsidRPr="00BF42B7">
        <w:rPr>
          <w:szCs w:val="21"/>
        </w:rPr>
        <w:t>(b)</w:t>
      </w:r>
      <w:r w:rsidRPr="00BF42B7">
        <w:rPr>
          <w:szCs w:val="21"/>
        </w:rPr>
        <w:t>项</w:t>
      </w:r>
      <w:r w:rsidRPr="00BF42B7">
        <w:rPr>
          <w:rFonts w:hint="eastAsia"/>
          <w:szCs w:val="21"/>
        </w:rPr>
        <w:t>所述嗣后惯例的那些缔约国大会的决定仍有可能构成第三十二条所述补充的解释资料。</w:t>
      </w:r>
      <w:r w:rsidRPr="00BF42B7">
        <w:rPr>
          <w:color w:val="0000FF"/>
          <w:szCs w:val="21"/>
          <w:vertAlign w:val="superscript"/>
        </w:rPr>
        <w:footnoteReference w:id="879"/>
      </w:r>
      <w:r w:rsidRPr="00BF42B7">
        <w:rPr>
          <w:color w:val="0000FF"/>
          <w:szCs w:val="21"/>
          <w:vertAlign w:val="superscript"/>
        </w:rPr>
        <w:t xml:space="preserve"> </w:t>
      </w:r>
    </w:p>
    <w:p w:rsidR="00B75685" w:rsidRPr="00BF42B7" w:rsidRDefault="00B75685" w:rsidP="00E83B81">
      <w:pPr>
        <w:pStyle w:val="H4GC"/>
        <w:rPr>
          <w:lang w:val="en-GB"/>
        </w:rPr>
      </w:pPr>
      <w:r w:rsidRPr="00BF42B7">
        <w:rPr>
          <w:rFonts w:hint="eastAsia"/>
          <w:lang w:val="en-GB"/>
        </w:rPr>
        <w:tab/>
      </w:r>
      <w:r w:rsidRPr="00BF42B7">
        <w:rPr>
          <w:rFonts w:hint="eastAsia"/>
          <w:lang w:val="en-GB"/>
        </w:rPr>
        <w:tab/>
      </w:r>
      <w:r w:rsidRPr="00BF42B7">
        <w:rPr>
          <w:rFonts w:hint="eastAsia"/>
          <w:lang w:val="en-GB"/>
        </w:rPr>
        <w:t>第</w:t>
      </w:r>
      <w:r w:rsidRPr="00BF42B7">
        <w:rPr>
          <w:rFonts w:hint="eastAsia"/>
          <w:lang w:val="en-GB"/>
        </w:rPr>
        <w:t>3</w:t>
      </w:r>
      <w:r w:rsidRPr="00BF42B7">
        <w:rPr>
          <w:rFonts w:hint="eastAsia"/>
          <w:lang w:val="en-GB"/>
        </w:rPr>
        <w:t>段</w:t>
      </w:r>
      <w:r w:rsidR="00E83B81" w:rsidRPr="00E83B81">
        <w:rPr>
          <w:rFonts w:hint="eastAsia"/>
          <w:snapToGrid/>
          <w:spacing w:val="-50"/>
          <w:lang w:val="fr-CH"/>
        </w:rPr>
        <w:t>―</w:t>
      </w:r>
      <w:r w:rsidR="00E83B81" w:rsidRPr="00E83B81">
        <w:rPr>
          <w:rFonts w:hint="eastAsia"/>
          <w:snapToGrid/>
          <w:lang w:val="fr-CH"/>
        </w:rPr>
        <w:t>―</w:t>
      </w:r>
      <w:r w:rsidRPr="00BF42B7">
        <w:rPr>
          <w:rFonts w:hint="eastAsia"/>
          <w:lang w:val="en-GB"/>
        </w:rPr>
        <w:t>关于条约解释的协定</w:t>
      </w:r>
    </w:p>
    <w:p w:rsidR="00B75685" w:rsidRPr="00BF42B7" w:rsidRDefault="00B75685" w:rsidP="00B75685">
      <w:pPr>
        <w:pStyle w:val="SingleTxtGC"/>
        <w:rPr>
          <w:szCs w:val="21"/>
        </w:rPr>
      </w:pPr>
      <w:r w:rsidRPr="00BF42B7">
        <w:rPr>
          <w:szCs w:val="21"/>
        </w:rPr>
        <w:t xml:space="preserve">(28)  </w:t>
      </w:r>
      <w:r w:rsidRPr="00BF42B7">
        <w:rPr>
          <w:rFonts w:hint="eastAsia"/>
          <w:szCs w:val="21"/>
        </w:rPr>
        <w:t>第</w:t>
      </w:r>
      <w:r w:rsidRPr="00BF42B7">
        <w:rPr>
          <w:szCs w:val="21"/>
        </w:rPr>
        <w:t>3</w:t>
      </w:r>
      <w:r w:rsidRPr="00BF42B7">
        <w:rPr>
          <w:rFonts w:hint="eastAsia"/>
          <w:szCs w:val="21"/>
        </w:rPr>
        <w:t>段列出了以下原则，即第三十一条第三款所述关于条约解释的协定必须涉及到条约的内容。因此，重要的是缔约国大会决定所体现的协定的内容，而不是达成这一决定的形式或程序。缔约国大会的行为可能具有不同的形式和特点，并可能是源于不同的程序。缔约国大会有可能甚至在没有正式通过的议事规则的情况下举行。</w:t>
      </w:r>
      <w:r w:rsidRPr="00BF42B7">
        <w:rPr>
          <w:color w:val="0000FF"/>
          <w:szCs w:val="21"/>
          <w:vertAlign w:val="superscript"/>
        </w:rPr>
        <w:footnoteReference w:id="880"/>
      </w:r>
      <w:r w:rsidRPr="00BF42B7">
        <w:rPr>
          <w:color w:val="0000FF"/>
          <w:szCs w:val="21"/>
          <w:vertAlign w:val="superscript"/>
        </w:rPr>
        <w:t xml:space="preserve"> </w:t>
      </w:r>
      <w:r w:rsidRPr="00BF42B7">
        <w:rPr>
          <w:rFonts w:hint="eastAsia"/>
          <w:szCs w:val="21"/>
        </w:rPr>
        <w:t>如果缔约国大会的决定是基于全体缔约方都参加的一致投票，则其有可能明确体现第三十一条第三款</w:t>
      </w:r>
      <w:r w:rsidRPr="00BF42B7">
        <w:rPr>
          <w:szCs w:val="21"/>
        </w:rPr>
        <w:t>(a)</w:t>
      </w:r>
      <w:r w:rsidRPr="00BF42B7">
        <w:rPr>
          <w:szCs w:val="21"/>
        </w:rPr>
        <w:t>项</w:t>
      </w:r>
      <w:r w:rsidRPr="00BF42B7">
        <w:rPr>
          <w:rFonts w:hint="eastAsia"/>
          <w:szCs w:val="21"/>
        </w:rPr>
        <w:t>所述的“嗣后协定”，只要该协定是“关于条约之解释”的。</w:t>
      </w:r>
    </w:p>
    <w:p w:rsidR="00B75685" w:rsidRPr="00BF42B7" w:rsidRDefault="00B75685" w:rsidP="00B75685">
      <w:pPr>
        <w:pStyle w:val="SingleTxtGC"/>
      </w:pPr>
      <w:r w:rsidRPr="00BF42B7">
        <w:t xml:space="preserve">(29) </w:t>
      </w:r>
      <w:r w:rsidRPr="00BF42B7">
        <w:rPr>
          <w:rFonts w:hint="eastAsia"/>
        </w:rPr>
        <w:t xml:space="preserve"> </w:t>
      </w:r>
      <w:r w:rsidRPr="00BF42B7">
        <w:rPr>
          <w:rFonts w:hint="eastAsia"/>
        </w:rPr>
        <w:t>但是，缔约国大会有关审查和实施职能的决定通常以协商一致的方式通过。这种做法源于通常要求缔约国尽一切努力就实质性事项达成协商一致的议事规则。早期的一个例子见《生物武器公约》缔约方会议审查会议的议事规则。按照规则</w:t>
      </w:r>
      <w:r w:rsidRPr="00BF42B7">
        <w:t>28</w:t>
      </w:r>
      <w:r w:rsidRPr="00BF42B7">
        <w:rPr>
          <w:rFonts w:hint="eastAsia"/>
        </w:rPr>
        <w:t>的第</w:t>
      </w:r>
      <w:r w:rsidRPr="00BF42B7">
        <w:t>2</w:t>
      </w:r>
      <w:r w:rsidRPr="00BF42B7">
        <w:rPr>
          <w:rFonts w:hint="eastAsia"/>
        </w:rPr>
        <w:t>段：</w:t>
      </w:r>
    </w:p>
    <w:p w:rsidR="00B75685" w:rsidRPr="00BF42B7" w:rsidRDefault="00B75685" w:rsidP="00B75685">
      <w:pPr>
        <w:pStyle w:val="SingleTxtGC"/>
        <w:ind w:left="1565"/>
        <w:rPr>
          <w:szCs w:val="21"/>
        </w:rPr>
      </w:pPr>
      <w:r w:rsidRPr="00BF42B7">
        <w:rPr>
          <w:rFonts w:hint="eastAsia"/>
          <w:szCs w:val="21"/>
        </w:rPr>
        <w:t>“审查会议的</w:t>
      </w:r>
      <w:r w:rsidRPr="00BF42B7">
        <w:rPr>
          <w:rFonts w:hint="eastAsia"/>
          <w:szCs w:val="21"/>
          <w:lang w:val="fr-FR"/>
        </w:rPr>
        <w:t>任务</w:t>
      </w:r>
      <w:r w:rsidRPr="00BF42B7">
        <w:rPr>
          <w:rFonts w:hint="eastAsia"/>
          <w:szCs w:val="21"/>
        </w:rPr>
        <w:t>是审查公约实施情况，以期确保公约序言和条款的宗旨得到实现。因此，为加强公约的效力，应当尽一切努力以协商一致的办法就实质性事项达成一致意见。除非为取得协商一致已经用尽一切努力，否则不应在这种事项上采取投票的办法。”</w:t>
      </w:r>
      <w:r w:rsidRPr="00BF42B7">
        <w:rPr>
          <w:color w:val="0000FF"/>
          <w:szCs w:val="21"/>
          <w:vertAlign w:val="superscript"/>
        </w:rPr>
        <w:footnoteReference w:id="881"/>
      </w:r>
      <w:r w:rsidRPr="00BF42B7">
        <w:rPr>
          <w:color w:val="0000FF"/>
          <w:szCs w:val="21"/>
          <w:vertAlign w:val="superscript"/>
        </w:rPr>
        <w:t xml:space="preserve"> </w:t>
      </w:r>
    </w:p>
    <w:p w:rsidR="00B75685" w:rsidRPr="00BF42B7" w:rsidRDefault="00B75685" w:rsidP="00B75685">
      <w:pPr>
        <w:pStyle w:val="SingleTxtGC"/>
        <w:rPr>
          <w:szCs w:val="21"/>
        </w:rPr>
      </w:pPr>
      <w:r w:rsidRPr="00BF42B7">
        <w:rPr>
          <w:rFonts w:hint="eastAsia"/>
          <w:szCs w:val="21"/>
        </w:rPr>
        <w:t>这种表述业已成为关于缔约国大会实质性决策程序的标准表述，只有细微的差异。</w:t>
      </w:r>
    </w:p>
    <w:p w:rsidR="00B75685" w:rsidRPr="00BF42B7" w:rsidRDefault="00B75685" w:rsidP="00B75685">
      <w:pPr>
        <w:pStyle w:val="SingleTxtGC"/>
        <w:rPr>
          <w:szCs w:val="21"/>
        </w:rPr>
      </w:pPr>
      <w:r w:rsidRPr="00BF42B7">
        <w:rPr>
          <w:szCs w:val="21"/>
        </w:rPr>
        <w:t xml:space="preserve">(30)  </w:t>
      </w:r>
      <w:r w:rsidRPr="00BF42B7">
        <w:rPr>
          <w:rFonts w:hint="eastAsia"/>
          <w:szCs w:val="21"/>
        </w:rPr>
        <w:t>为解决对于以协商一致方式通过决定的关切，在第</w:t>
      </w:r>
      <w:r w:rsidRPr="00BF42B7">
        <w:rPr>
          <w:szCs w:val="21"/>
        </w:rPr>
        <w:t>3</w:t>
      </w:r>
      <w:r w:rsidRPr="00BF42B7">
        <w:rPr>
          <w:rFonts w:hint="eastAsia"/>
          <w:szCs w:val="21"/>
        </w:rPr>
        <w:t>段的中间包括了“包括经协商一致通过”一语，以消除一种观念，即通过协商一致作出的决定必然等同于实质性的一致意见。事实上，协商一致这一概念并不必然表明就实质事项达成任何程度上的协定。按照联合国秘书处法律事务厅依照联合国大会</w:t>
      </w:r>
      <w:r w:rsidRPr="00BF42B7">
        <w:rPr>
          <w:rFonts w:hint="eastAsia"/>
          <w:szCs w:val="21"/>
        </w:rPr>
        <w:t>2006</w:t>
      </w:r>
      <w:r w:rsidRPr="00BF42B7">
        <w:rPr>
          <w:rFonts w:hint="eastAsia"/>
          <w:szCs w:val="21"/>
        </w:rPr>
        <w:t>年</w:t>
      </w:r>
      <w:r w:rsidRPr="00BF42B7">
        <w:rPr>
          <w:rFonts w:hint="eastAsia"/>
          <w:szCs w:val="21"/>
        </w:rPr>
        <w:t>9</w:t>
      </w:r>
      <w:r w:rsidRPr="00BF42B7">
        <w:rPr>
          <w:rFonts w:hint="eastAsia"/>
          <w:szCs w:val="21"/>
        </w:rPr>
        <w:t>月</w:t>
      </w:r>
      <w:r w:rsidRPr="00BF42B7">
        <w:rPr>
          <w:rFonts w:hint="eastAsia"/>
          <w:szCs w:val="21"/>
        </w:rPr>
        <w:t>8</w:t>
      </w:r>
      <w:r w:rsidRPr="00BF42B7">
        <w:rPr>
          <w:rFonts w:hint="eastAsia"/>
          <w:szCs w:val="21"/>
        </w:rPr>
        <w:t>日第</w:t>
      </w:r>
      <w:hyperlink r:id="rId86" w:history="1">
        <w:r w:rsidRPr="007F0135">
          <w:rPr>
            <w:rStyle w:val="af"/>
            <w:szCs w:val="21"/>
          </w:rPr>
          <w:t>60/286</w:t>
        </w:r>
      </w:hyperlink>
      <w:r w:rsidRPr="00BF42B7">
        <w:rPr>
          <w:rFonts w:hint="eastAsia"/>
          <w:szCs w:val="21"/>
        </w:rPr>
        <w:t>号决议发布的“</w:t>
      </w:r>
      <w:r w:rsidRPr="00BF42B7">
        <w:rPr>
          <w:rFonts w:ascii="Time New Roman" w:eastAsia="楷体" w:hAnsi="Time New Roman" w:hint="eastAsia"/>
          <w:szCs w:val="21"/>
        </w:rPr>
        <w:t>关于某些程序性问题的评论</w:t>
      </w:r>
      <w:r w:rsidRPr="00BF42B7">
        <w:rPr>
          <w:rFonts w:hint="eastAsia"/>
          <w:szCs w:val="21"/>
        </w:rPr>
        <w:t>”</w:t>
      </w:r>
      <w:r w:rsidRPr="00BF42B7">
        <w:rPr>
          <w:szCs w:val="21"/>
        </w:rPr>
        <w:t>：</w:t>
      </w:r>
      <w:r w:rsidRPr="00BF42B7">
        <w:rPr>
          <w:color w:val="0000FF"/>
          <w:szCs w:val="21"/>
          <w:vertAlign w:val="superscript"/>
        </w:rPr>
        <w:footnoteReference w:id="882"/>
      </w:r>
      <w:r w:rsidRPr="00BF42B7">
        <w:rPr>
          <w:color w:val="0000FF"/>
          <w:szCs w:val="21"/>
          <w:vertAlign w:val="superscript"/>
        </w:rPr>
        <w:t xml:space="preserve"> </w:t>
      </w:r>
    </w:p>
    <w:p w:rsidR="00B75685" w:rsidRPr="00BF42B7" w:rsidRDefault="00B75685" w:rsidP="00B75685">
      <w:pPr>
        <w:pStyle w:val="SingleTxtGC"/>
        <w:ind w:left="1565"/>
        <w:rPr>
          <w:szCs w:val="21"/>
        </w:rPr>
      </w:pPr>
      <w:r w:rsidRPr="00BF42B7">
        <w:rPr>
          <w:rFonts w:hint="eastAsia"/>
          <w:szCs w:val="21"/>
        </w:rPr>
        <w:t>“协商</w:t>
      </w:r>
      <w:r w:rsidRPr="00BF42B7">
        <w:rPr>
          <w:rFonts w:hint="eastAsia"/>
          <w:szCs w:val="21"/>
          <w:lang w:val="fr-FR"/>
        </w:rPr>
        <w:t>一致</w:t>
      </w:r>
      <w:r w:rsidRPr="00BF42B7">
        <w:rPr>
          <w:rFonts w:hint="eastAsia"/>
          <w:szCs w:val="21"/>
        </w:rPr>
        <w:t>通常被解释为一个作出决定的进程，以没有正式反对意见也不通过正式投票的方式作出决定。但是，协商一致并不一定体现说，在实质性事项上意见“完全统一”。协商一致是用来说明一种做法，即为取得总体一致意见而尽一切努力，没有代表团明确反对所记录下来的协商一致意见。”</w:t>
      </w:r>
      <w:r w:rsidRPr="00BF42B7">
        <w:rPr>
          <w:color w:val="0000FF"/>
          <w:szCs w:val="21"/>
          <w:vertAlign w:val="superscript"/>
        </w:rPr>
        <w:footnoteReference w:id="883"/>
      </w:r>
      <w:r w:rsidRPr="00BF42B7">
        <w:rPr>
          <w:color w:val="0000FF"/>
          <w:szCs w:val="21"/>
          <w:vertAlign w:val="superscript"/>
        </w:rPr>
        <w:t xml:space="preserve"> </w:t>
      </w:r>
    </w:p>
    <w:p w:rsidR="00B75685" w:rsidRPr="00BF42B7" w:rsidRDefault="00B75685" w:rsidP="00B75685">
      <w:pPr>
        <w:pStyle w:val="SingleTxtGC"/>
        <w:rPr>
          <w:szCs w:val="21"/>
        </w:rPr>
      </w:pPr>
      <w:r w:rsidRPr="00BF42B7">
        <w:rPr>
          <w:szCs w:val="21"/>
        </w:rPr>
        <w:t xml:space="preserve">(31)  </w:t>
      </w:r>
      <w:r w:rsidRPr="00BF42B7">
        <w:rPr>
          <w:rFonts w:hint="eastAsia"/>
          <w:szCs w:val="21"/>
        </w:rPr>
        <w:t>这样一来，以协商一致通过并非第三十一条第三款</w:t>
      </w:r>
      <w:r w:rsidRPr="00BF42B7">
        <w:rPr>
          <w:szCs w:val="21"/>
        </w:rPr>
        <w:t>(b)</w:t>
      </w:r>
      <w:r w:rsidRPr="00BF42B7">
        <w:rPr>
          <w:szCs w:val="21"/>
        </w:rPr>
        <w:t>项</w:t>
      </w:r>
      <w:r w:rsidRPr="00BF42B7">
        <w:rPr>
          <w:rFonts w:hint="eastAsia"/>
          <w:szCs w:val="21"/>
        </w:rPr>
        <w:t>所述协定的充分条件。缔约国大会议事规则通常并不表明决议作为第三十一条第三款</w:t>
      </w:r>
      <w:r w:rsidRPr="00BF42B7">
        <w:rPr>
          <w:szCs w:val="21"/>
        </w:rPr>
        <w:t>(a)</w:t>
      </w:r>
      <w:r w:rsidRPr="00BF42B7">
        <w:rPr>
          <w:szCs w:val="21"/>
        </w:rPr>
        <w:t>项</w:t>
      </w:r>
      <w:r w:rsidRPr="00BF42B7">
        <w:rPr>
          <w:rFonts w:hint="eastAsia"/>
          <w:szCs w:val="21"/>
        </w:rPr>
        <w:t>所述嗣后协定或第三十一条第三款</w:t>
      </w:r>
      <w:r w:rsidRPr="00BF42B7">
        <w:rPr>
          <w:szCs w:val="21"/>
        </w:rPr>
        <w:t>(b)</w:t>
      </w:r>
      <w:r w:rsidRPr="00BF42B7">
        <w:rPr>
          <w:szCs w:val="21"/>
        </w:rPr>
        <w:t>项</w:t>
      </w:r>
      <w:r w:rsidRPr="00BF42B7">
        <w:rPr>
          <w:rFonts w:hint="eastAsia"/>
          <w:szCs w:val="21"/>
        </w:rPr>
        <w:t>所述嗣后惯例的可能的法律效力。这种议事规则只能决定缔约国大会如何通过其决定，而不能确定其作为第三十一条第三款所述嗣后协定的可能的法律效力。尽管第三十一条第三款</w:t>
      </w:r>
      <w:r w:rsidRPr="00BF42B7">
        <w:rPr>
          <w:szCs w:val="21"/>
        </w:rPr>
        <w:t>(a)</w:t>
      </w:r>
      <w:r w:rsidRPr="00BF42B7">
        <w:rPr>
          <w:szCs w:val="21"/>
        </w:rPr>
        <w:t>项</w:t>
      </w:r>
      <w:r w:rsidRPr="00BF42B7">
        <w:rPr>
          <w:rFonts w:hint="eastAsia"/>
          <w:szCs w:val="21"/>
        </w:rPr>
        <w:t>所述嗣后协定不必有这样的约束力，</w:t>
      </w:r>
      <w:r w:rsidRPr="00BF42B7">
        <w:rPr>
          <w:rFonts w:hint="eastAsia"/>
          <w:szCs w:val="21"/>
        </w:rPr>
        <w:t>1969</w:t>
      </w:r>
      <w:r w:rsidRPr="00BF42B7">
        <w:rPr>
          <w:rFonts w:hint="eastAsia"/>
          <w:szCs w:val="21"/>
        </w:rPr>
        <w:t>年《维也纳公约》只在缔约方就条约解释存在实质性协定的情况下才赋予这种协商一致以第三十一条下的法律效力。国际法院已经确认，在这种情况下，集体性决定的形式与对于实质的一致意见之间的区别是有关系的。</w:t>
      </w:r>
      <w:r w:rsidRPr="00BF42B7">
        <w:rPr>
          <w:color w:val="0000FF"/>
          <w:szCs w:val="21"/>
          <w:vertAlign w:val="superscript"/>
        </w:rPr>
        <w:footnoteReference w:id="884"/>
      </w:r>
      <w:r w:rsidRPr="00BF42B7">
        <w:rPr>
          <w:color w:val="0000FF"/>
          <w:szCs w:val="21"/>
          <w:vertAlign w:val="superscript"/>
        </w:rPr>
        <w:t xml:space="preserve"> </w:t>
      </w:r>
    </w:p>
    <w:p w:rsidR="00B75685" w:rsidRPr="00BF42B7" w:rsidRDefault="00B75685" w:rsidP="00B75685">
      <w:pPr>
        <w:pStyle w:val="SingleTxtGC"/>
        <w:rPr>
          <w:szCs w:val="21"/>
        </w:rPr>
      </w:pPr>
      <w:r w:rsidRPr="00BF42B7">
        <w:rPr>
          <w:szCs w:val="21"/>
        </w:rPr>
        <w:t xml:space="preserve">(32)  </w:t>
      </w:r>
      <w:r w:rsidRPr="00BF42B7">
        <w:rPr>
          <w:rFonts w:hint="eastAsia"/>
          <w:szCs w:val="21"/>
        </w:rPr>
        <w:t>有些决定尽管被宣布为经协商一致通过，也不能作为第三十一条第三款</w:t>
      </w:r>
      <w:r w:rsidRPr="00BF42B7">
        <w:rPr>
          <w:szCs w:val="21"/>
        </w:rPr>
        <w:t>(a)</w:t>
      </w:r>
      <w:r w:rsidRPr="00BF42B7">
        <w:rPr>
          <w:szCs w:val="21"/>
        </w:rPr>
        <w:t>项</w:t>
      </w:r>
      <w:r w:rsidRPr="00BF42B7">
        <w:rPr>
          <w:rFonts w:hint="eastAsia"/>
          <w:szCs w:val="21"/>
        </w:rPr>
        <w:t>所述嗣后协定，在有一个或多个缔约方反对这种协商一致的情况下尤其如此。</w:t>
      </w:r>
    </w:p>
    <w:p w:rsidR="00B75685" w:rsidRPr="00BF42B7" w:rsidRDefault="00B75685" w:rsidP="00B75685">
      <w:pPr>
        <w:pStyle w:val="SingleTxtGC"/>
        <w:rPr>
          <w:szCs w:val="21"/>
        </w:rPr>
      </w:pPr>
      <w:r w:rsidRPr="00BF42B7">
        <w:rPr>
          <w:szCs w:val="21"/>
        </w:rPr>
        <w:t xml:space="preserve">(33)  </w:t>
      </w:r>
      <w:r w:rsidRPr="00BF42B7">
        <w:rPr>
          <w:rFonts w:hint="eastAsia"/>
          <w:szCs w:val="21"/>
        </w:rPr>
        <w:t>例如，在</w:t>
      </w:r>
      <w:r w:rsidRPr="00BF42B7">
        <w:rPr>
          <w:szCs w:val="21"/>
        </w:rPr>
        <w:t>2002</w:t>
      </w:r>
      <w:r w:rsidRPr="00BF42B7">
        <w:rPr>
          <w:rFonts w:hint="eastAsia"/>
          <w:szCs w:val="21"/>
        </w:rPr>
        <w:t>年举行的《生物多样性公约》缔约方会议第六次会议上，缔约方会议着手拟订防止、引入和减轻威胁生态系统、栖息地和物种的侵入性物种的指导原则。</w:t>
      </w:r>
      <w:r w:rsidRPr="00BF42B7">
        <w:rPr>
          <w:color w:val="0000FF"/>
          <w:szCs w:val="21"/>
          <w:vertAlign w:val="superscript"/>
        </w:rPr>
        <w:footnoteReference w:id="885"/>
      </w:r>
      <w:r w:rsidRPr="00BF42B7">
        <w:rPr>
          <w:color w:val="0000FF"/>
          <w:szCs w:val="21"/>
          <w:vertAlign w:val="superscript"/>
        </w:rPr>
        <w:t xml:space="preserve"> </w:t>
      </w:r>
      <w:r w:rsidRPr="00BF42B7">
        <w:rPr>
          <w:rFonts w:hint="eastAsia"/>
          <w:szCs w:val="21"/>
        </w:rPr>
        <w:t>在几次争取达成一致意见的努力失败后，缔约方会议主席建议通过决定，在会议最后报告中记录澳大利亚提出的保留。但是，澳大利亚的代表重申，不能接受指导原则，“因此他的正式反对意见仍然存在”。</w:t>
      </w:r>
      <w:r w:rsidRPr="00BF42B7">
        <w:rPr>
          <w:color w:val="0000FF"/>
          <w:szCs w:val="21"/>
          <w:vertAlign w:val="superscript"/>
        </w:rPr>
        <w:footnoteReference w:id="886"/>
      </w:r>
      <w:r w:rsidRPr="00BF42B7">
        <w:rPr>
          <w:color w:val="0000FF"/>
          <w:szCs w:val="21"/>
          <w:vertAlign w:val="superscript"/>
        </w:rPr>
        <w:t xml:space="preserve"> </w:t>
      </w:r>
      <w:r w:rsidRPr="00BF42B7">
        <w:rPr>
          <w:rFonts w:hint="eastAsia"/>
          <w:szCs w:val="21"/>
        </w:rPr>
        <w:t>主席宣布结束辩论，并“遵照已有惯例”，宣布决定未经投票获得通过，并澄清说反对国家的反对意见将反映在会议最后报告中。在通过决定之后，澳大利亚重申其观点，即协商一致是指在没有正式反对意见的情况下获得通过，并对决定草案通过的合法性表示关切。因此，第</w:t>
      </w:r>
      <w:r w:rsidRPr="00BF42B7">
        <w:rPr>
          <w:szCs w:val="21"/>
        </w:rPr>
        <w:t>VI/23</w:t>
      </w:r>
      <w:r w:rsidRPr="00BF42B7">
        <w:rPr>
          <w:rFonts w:hint="eastAsia"/>
          <w:szCs w:val="21"/>
        </w:rPr>
        <w:t>号决定的一个脚注指出“有一名代表在本决定通过过程中提出了正式反对意见，并强调指出，他不认为缔约方会议可在有正式反对意见的情况下合法地通过一项动议或案文”。</w:t>
      </w:r>
      <w:r w:rsidRPr="00BF42B7">
        <w:rPr>
          <w:color w:val="0000FF"/>
          <w:szCs w:val="21"/>
          <w:vertAlign w:val="superscript"/>
        </w:rPr>
        <w:footnoteReference w:id="887"/>
      </w:r>
      <w:r w:rsidRPr="00BF42B7">
        <w:rPr>
          <w:color w:val="0000FF"/>
          <w:szCs w:val="21"/>
          <w:vertAlign w:val="superscript"/>
        </w:rPr>
        <w:t xml:space="preserve"> </w:t>
      </w:r>
    </w:p>
    <w:p w:rsidR="00B75685" w:rsidRPr="00BF42B7" w:rsidRDefault="00B75685" w:rsidP="00B75685">
      <w:pPr>
        <w:pStyle w:val="SingleTxtGC"/>
        <w:rPr>
          <w:szCs w:val="21"/>
        </w:rPr>
      </w:pPr>
      <w:r w:rsidRPr="00BF42B7">
        <w:rPr>
          <w:szCs w:val="21"/>
        </w:rPr>
        <w:t xml:space="preserve">(34)  </w:t>
      </w:r>
      <w:r w:rsidRPr="00BF42B7">
        <w:rPr>
          <w:rFonts w:hint="eastAsia"/>
          <w:szCs w:val="21"/>
        </w:rPr>
        <w:t>在这种情况下，《生物多样性公约》执行秘书请联合国法律顾问提供法律意见。</w:t>
      </w:r>
      <w:r w:rsidRPr="00BF42B7">
        <w:rPr>
          <w:color w:val="0000FF"/>
          <w:szCs w:val="21"/>
          <w:vertAlign w:val="superscript"/>
        </w:rPr>
        <w:footnoteReference w:id="888"/>
      </w:r>
      <w:r w:rsidRPr="00BF42B7">
        <w:rPr>
          <w:color w:val="0000FF"/>
          <w:szCs w:val="21"/>
          <w:vertAlign w:val="superscript"/>
        </w:rPr>
        <w:t xml:space="preserve"> </w:t>
      </w:r>
      <w:r w:rsidRPr="00BF42B7">
        <w:rPr>
          <w:rFonts w:hint="eastAsia"/>
          <w:szCs w:val="21"/>
        </w:rPr>
        <w:t>法律顾问的意见</w:t>
      </w:r>
      <w:r w:rsidRPr="00BF42B7">
        <w:rPr>
          <w:color w:val="0000FF"/>
          <w:szCs w:val="21"/>
          <w:vertAlign w:val="superscript"/>
        </w:rPr>
        <w:footnoteReference w:id="889"/>
      </w:r>
      <w:r w:rsidRPr="00BF42B7">
        <w:rPr>
          <w:color w:val="0000FF"/>
          <w:szCs w:val="21"/>
          <w:vertAlign w:val="superscript"/>
        </w:rPr>
        <w:t xml:space="preserve"> </w:t>
      </w:r>
      <w:r w:rsidRPr="00BF42B7">
        <w:rPr>
          <w:rFonts w:hint="eastAsia"/>
          <w:szCs w:val="21"/>
        </w:rPr>
        <w:t>表达了这样一种观点，即一个缔约方可以“不参与文件的实质或案文</w:t>
      </w:r>
      <w:r w:rsidRPr="00BF42B7">
        <w:rPr>
          <w:rFonts w:hint="eastAsia"/>
          <w:szCs w:val="21"/>
        </w:rPr>
        <w:t>[</w:t>
      </w:r>
      <w:r w:rsidRPr="00BF42B7">
        <w:rPr>
          <w:rFonts w:hint="eastAsia"/>
          <w:szCs w:val="21"/>
        </w:rPr>
        <w:t>，</w:t>
      </w:r>
      <w:r w:rsidRPr="00BF42B7">
        <w:rPr>
          <w:rFonts w:hint="eastAsia"/>
          <w:szCs w:val="21"/>
        </w:rPr>
        <w:t>]</w:t>
      </w:r>
      <w:r w:rsidRPr="00BF42B7">
        <w:rPr>
          <w:rFonts w:hint="eastAsia"/>
          <w:szCs w:val="21"/>
        </w:rPr>
        <w:t>表示加入协商一致并不构成对文件实质或案文或其中一部分的接受</w:t>
      </w:r>
      <w:r w:rsidRPr="00BF42B7">
        <w:rPr>
          <w:rFonts w:hint="eastAsia"/>
          <w:szCs w:val="21"/>
        </w:rPr>
        <w:t>[</w:t>
      </w:r>
      <w:r w:rsidRPr="00BF42B7">
        <w:rPr>
          <w:rFonts w:hint="eastAsia"/>
          <w:szCs w:val="21"/>
        </w:rPr>
        <w:t>，</w:t>
      </w:r>
      <w:r w:rsidRPr="00BF42B7">
        <w:rPr>
          <w:rFonts w:hint="eastAsia"/>
          <w:szCs w:val="21"/>
        </w:rPr>
        <w:t>]</w:t>
      </w:r>
      <w:r w:rsidRPr="00BF42B7">
        <w:rPr>
          <w:rFonts w:hint="eastAsia"/>
          <w:szCs w:val="21"/>
        </w:rPr>
        <w:t>并且</w:t>
      </w:r>
      <w:r w:rsidRPr="00BF42B7">
        <w:rPr>
          <w:szCs w:val="21"/>
        </w:rPr>
        <w:t>/</w:t>
      </w:r>
      <w:r w:rsidRPr="00BF42B7">
        <w:rPr>
          <w:rFonts w:hint="eastAsia"/>
          <w:szCs w:val="21"/>
        </w:rPr>
        <w:t>或者就本国政府对于文件……实质或案文的立场提出任何</w:t>
      </w:r>
      <w:r w:rsidRPr="00BF42B7">
        <w:rPr>
          <w:szCs w:val="21"/>
        </w:rPr>
        <w:t>其他</w:t>
      </w:r>
      <w:r w:rsidRPr="00BF42B7">
        <w:rPr>
          <w:rFonts w:hint="eastAsia"/>
          <w:szCs w:val="21"/>
        </w:rPr>
        <w:t>的限制”。</w:t>
      </w:r>
      <w:r w:rsidRPr="00BF42B7">
        <w:rPr>
          <w:color w:val="0000FF"/>
          <w:szCs w:val="21"/>
          <w:vertAlign w:val="superscript"/>
        </w:rPr>
        <w:footnoteReference w:id="890"/>
      </w:r>
      <w:r w:rsidRPr="00BF42B7">
        <w:rPr>
          <w:color w:val="0000FF"/>
          <w:szCs w:val="21"/>
          <w:vertAlign w:val="superscript"/>
        </w:rPr>
        <w:t xml:space="preserve"> </w:t>
      </w:r>
      <w:r w:rsidRPr="00BF42B7">
        <w:rPr>
          <w:rFonts w:hint="eastAsia"/>
          <w:szCs w:val="21"/>
        </w:rPr>
        <w:t>因此，显然通过协商一致取得决定可以在一个或多个缔约方反对决定实质内容的情况下发生。</w:t>
      </w:r>
    </w:p>
    <w:p w:rsidR="00B75685" w:rsidRPr="00BF42B7" w:rsidRDefault="00B75685" w:rsidP="00B75685">
      <w:pPr>
        <w:pStyle w:val="SingleTxtGC"/>
        <w:rPr>
          <w:szCs w:val="21"/>
        </w:rPr>
      </w:pPr>
      <w:r w:rsidRPr="00BF42B7">
        <w:rPr>
          <w:szCs w:val="21"/>
        </w:rPr>
        <w:t xml:space="preserve">(35)  </w:t>
      </w:r>
      <w:r w:rsidRPr="00BF42B7">
        <w:rPr>
          <w:rFonts w:hint="eastAsia"/>
          <w:szCs w:val="21"/>
        </w:rPr>
        <w:t>在《生物多样性公约》下作出的决定和</w:t>
      </w:r>
      <w:r w:rsidRPr="00BF42B7">
        <w:rPr>
          <w:szCs w:val="21"/>
        </w:rPr>
        <w:t>2010</w:t>
      </w:r>
      <w:r w:rsidRPr="00BF42B7">
        <w:rPr>
          <w:rFonts w:hint="eastAsia"/>
          <w:szCs w:val="21"/>
        </w:rPr>
        <w:t>年《气候变化公约京都议定书》缔约方会议在坎昆达成的一项类似决定</w:t>
      </w:r>
      <w:r w:rsidRPr="00BF42B7">
        <w:rPr>
          <w:szCs w:val="21"/>
        </w:rPr>
        <w:t>(</w:t>
      </w:r>
      <w:r w:rsidRPr="00BF42B7">
        <w:rPr>
          <w:rFonts w:hint="eastAsia"/>
          <w:szCs w:val="21"/>
        </w:rPr>
        <w:t>尽管有玻利维亚的反对意见</w:t>
      </w:r>
      <w:r w:rsidRPr="00BF42B7">
        <w:rPr>
          <w:szCs w:val="21"/>
        </w:rPr>
        <w:t>)</w:t>
      </w:r>
      <w:r w:rsidRPr="00BF42B7">
        <w:rPr>
          <w:rFonts w:hint="eastAsia"/>
          <w:szCs w:val="21"/>
        </w:rPr>
        <w:t>，</w:t>
      </w:r>
      <w:r w:rsidRPr="00BF42B7">
        <w:rPr>
          <w:color w:val="0000FF"/>
          <w:szCs w:val="21"/>
          <w:vertAlign w:val="superscript"/>
        </w:rPr>
        <w:footnoteReference w:id="891"/>
      </w:r>
      <w:r w:rsidRPr="00BF42B7">
        <w:rPr>
          <w:color w:val="0000FF"/>
          <w:szCs w:val="21"/>
          <w:vertAlign w:val="superscript"/>
        </w:rPr>
        <w:t xml:space="preserve"> </w:t>
      </w:r>
      <w:r w:rsidRPr="00BF42B7">
        <w:rPr>
          <w:rFonts w:hint="eastAsia"/>
          <w:szCs w:val="21"/>
        </w:rPr>
        <w:t>提出了“协商一致”是指什么的重要问题。</w:t>
      </w:r>
      <w:r w:rsidRPr="00BF42B7">
        <w:rPr>
          <w:color w:val="0000FF"/>
          <w:szCs w:val="21"/>
          <w:vertAlign w:val="superscript"/>
        </w:rPr>
        <w:footnoteReference w:id="892"/>
      </w:r>
      <w:r w:rsidRPr="00BF42B7">
        <w:rPr>
          <w:color w:val="0000FF"/>
          <w:szCs w:val="21"/>
          <w:vertAlign w:val="superscript"/>
        </w:rPr>
        <w:t xml:space="preserve"> </w:t>
      </w:r>
      <w:r w:rsidRPr="00BF42B7">
        <w:rPr>
          <w:rFonts w:hint="eastAsia"/>
          <w:szCs w:val="21"/>
        </w:rPr>
        <w:t>但是，对于不属于本专题讨论范围的这个问题，必须与是否条约全体缔约方就第三十一条第三款</w:t>
      </w:r>
      <w:r w:rsidRPr="00BF42B7">
        <w:rPr>
          <w:szCs w:val="21"/>
        </w:rPr>
        <w:t>(a)</w:t>
      </w:r>
      <w:r w:rsidRPr="00BF42B7">
        <w:rPr>
          <w:szCs w:val="21"/>
        </w:rPr>
        <w:t>项</w:t>
      </w:r>
      <w:r w:rsidRPr="00BF42B7">
        <w:rPr>
          <w:rFonts w:hint="eastAsia"/>
          <w:szCs w:val="21"/>
        </w:rPr>
        <w:t>和</w:t>
      </w:r>
      <w:r w:rsidRPr="00BF42B7">
        <w:rPr>
          <w:szCs w:val="21"/>
        </w:rPr>
        <w:t>(b)</w:t>
      </w:r>
      <w:r w:rsidRPr="00BF42B7">
        <w:rPr>
          <w:szCs w:val="21"/>
        </w:rPr>
        <w:t>项</w:t>
      </w:r>
      <w:r w:rsidRPr="00BF42B7">
        <w:rPr>
          <w:rFonts w:hint="eastAsia"/>
          <w:szCs w:val="21"/>
        </w:rPr>
        <w:t>所述条约解释的事项达成实质性一致意见的问题区分。缔约方大会不能体现全体缔约方就实质问题达成一致意见的决定不能作为第三十一条第三款所述的协定，尽管可能作为第三十二条所述“</w:t>
      </w:r>
      <w:r w:rsidRPr="00BF42B7">
        <w:rPr>
          <w:szCs w:val="21"/>
        </w:rPr>
        <w:t>其他</w:t>
      </w:r>
      <w:r w:rsidRPr="00BF42B7">
        <w:rPr>
          <w:rFonts w:hint="eastAsia"/>
          <w:szCs w:val="21"/>
        </w:rPr>
        <w:t>嗣后惯例”的一种形式</w:t>
      </w:r>
      <w:r w:rsidRPr="00BF42B7">
        <w:rPr>
          <w:szCs w:val="21"/>
        </w:rPr>
        <w:t>(</w:t>
      </w:r>
      <w:r w:rsidRPr="00BF42B7">
        <w:rPr>
          <w:rFonts w:hint="eastAsia"/>
          <w:szCs w:val="21"/>
        </w:rPr>
        <w:t>见结论草案</w:t>
      </w:r>
      <w:r w:rsidRPr="00BF42B7">
        <w:rPr>
          <w:szCs w:val="21"/>
        </w:rPr>
        <w:t>4</w:t>
      </w:r>
      <w:r w:rsidRPr="00BF42B7">
        <w:rPr>
          <w:rFonts w:hint="eastAsia"/>
          <w:szCs w:val="21"/>
        </w:rPr>
        <w:t>第</w:t>
      </w:r>
      <w:r w:rsidRPr="00BF42B7">
        <w:rPr>
          <w:szCs w:val="21"/>
        </w:rPr>
        <w:t>3</w:t>
      </w:r>
      <w:r w:rsidRPr="00BF42B7">
        <w:rPr>
          <w:rFonts w:hint="eastAsia"/>
          <w:szCs w:val="21"/>
        </w:rPr>
        <w:t>段</w:t>
      </w:r>
      <w:r w:rsidRPr="00BF42B7">
        <w:rPr>
          <w:szCs w:val="21"/>
        </w:rPr>
        <w:t>)</w:t>
      </w:r>
      <w:r w:rsidRPr="00BF42B7">
        <w:rPr>
          <w:rFonts w:hint="eastAsia"/>
          <w:szCs w:val="21"/>
        </w:rPr>
        <w:t>。</w:t>
      </w:r>
    </w:p>
    <w:p w:rsidR="00B75685" w:rsidRPr="00BF42B7" w:rsidRDefault="00B75685" w:rsidP="00B75685">
      <w:pPr>
        <w:pStyle w:val="SingleTxtGC"/>
        <w:rPr>
          <w:szCs w:val="21"/>
        </w:rPr>
      </w:pPr>
      <w:r w:rsidRPr="00BF42B7">
        <w:rPr>
          <w:szCs w:val="21"/>
        </w:rPr>
        <w:t xml:space="preserve">(36)  </w:t>
      </w:r>
      <w:r w:rsidRPr="00BF42B7">
        <w:rPr>
          <w:rFonts w:hint="eastAsia"/>
          <w:szCs w:val="21"/>
        </w:rPr>
        <w:t>另一个问题涉及当缔约国大会的决定符合第三十一条第三款下所述协定的情况时其法律效力的问题。</w:t>
      </w:r>
      <w:r w:rsidRPr="00BF42B7">
        <w:rPr>
          <w:szCs w:val="21"/>
        </w:rPr>
        <w:t>2011</w:t>
      </w:r>
      <w:r w:rsidRPr="00BF42B7">
        <w:rPr>
          <w:rFonts w:hint="eastAsia"/>
          <w:szCs w:val="21"/>
        </w:rPr>
        <w:t>年，海事组织法律事务处收到要求，要“向理事机构</w:t>
      </w:r>
      <w:r w:rsidRPr="00BF42B7">
        <w:rPr>
          <w:szCs w:val="21"/>
        </w:rPr>
        <w:t>[</w:t>
      </w:r>
      <w:r w:rsidRPr="00BF42B7">
        <w:rPr>
          <w:rFonts w:hint="eastAsia"/>
          <w:szCs w:val="21"/>
        </w:rPr>
        <w:t>……</w:t>
      </w:r>
      <w:r w:rsidRPr="00BF42B7">
        <w:rPr>
          <w:szCs w:val="21"/>
        </w:rPr>
        <w:t>]</w:t>
      </w:r>
      <w:r w:rsidRPr="00BF42B7">
        <w:rPr>
          <w:rFonts w:hint="eastAsia"/>
          <w:szCs w:val="21"/>
        </w:rPr>
        <w:t>就关于解释性决议作出决定的程序性要求提供咨询意见，具体说来，此类决定是否需要协商一致。”</w:t>
      </w:r>
      <w:r w:rsidRPr="00BF42B7">
        <w:rPr>
          <w:color w:val="0000FF"/>
          <w:szCs w:val="21"/>
          <w:vertAlign w:val="superscript"/>
        </w:rPr>
        <w:footnoteReference w:id="893"/>
      </w:r>
      <w:r w:rsidRPr="00BF42B7">
        <w:rPr>
          <w:color w:val="0000FF"/>
          <w:szCs w:val="21"/>
          <w:vertAlign w:val="superscript"/>
        </w:rPr>
        <w:t xml:space="preserve"> </w:t>
      </w:r>
      <w:r w:rsidRPr="00BF42B7">
        <w:rPr>
          <w:rFonts w:hint="eastAsia"/>
          <w:szCs w:val="21"/>
        </w:rPr>
        <w:t>法律处在答复中申明，缔约方会议的决议原则上可以构成第三十一条第三款</w:t>
      </w:r>
      <w:r w:rsidRPr="00BF42B7">
        <w:rPr>
          <w:szCs w:val="21"/>
        </w:rPr>
        <w:t>(a)</w:t>
      </w:r>
      <w:r w:rsidRPr="00BF42B7">
        <w:rPr>
          <w:szCs w:val="21"/>
        </w:rPr>
        <w:t>项</w:t>
      </w:r>
      <w:r w:rsidRPr="00BF42B7">
        <w:rPr>
          <w:rFonts w:hint="eastAsia"/>
          <w:szCs w:val="21"/>
        </w:rPr>
        <w:t>所述的嗣后协定，同时向理事机构建议，即使会议基于协商一致通过一项决定，这也不能意味着这一决定对全体缔约方有约束力。</w:t>
      </w:r>
      <w:r w:rsidRPr="00BF42B7">
        <w:rPr>
          <w:color w:val="0000FF"/>
          <w:szCs w:val="21"/>
          <w:vertAlign w:val="superscript"/>
        </w:rPr>
        <w:footnoteReference w:id="894"/>
      </w:r>
    </w:p>
    <w:p w:rsidR="00B75685" w:rsidRPr="00BF42B7" w:rsidRDefault="00B75685" w:rsidP="00B75685">
      <w:pPr>
        <w:pStyle w:val="SingleTxtGC"/>
        <w:rPr>
          <w:szCs w:val="21"/>
        </w:rPr>
      </w:pPr>
      <w:r w:rsidRPr="00BF42B7">
        <w:rPr>
          <w:szCs w:val="21"/>
        </w:rPr>
        <w:t xml:space="preserve">(37)  </w:t>
      </w:r>
      <w:r w:rsidRPr="00BF42B7">
        <w:rPr>
          <w:rFonts w:hint="eastAsia"/>
          <w:szCs w:val="21"/>
        </w:rPr>
        <w:t>尽管海事组织法律处的意见是来自一个错误的假定，即第三十一条第三款</w:t>
      </w:r>
      <w:r w:rsidRPr="00BF42B7">
        <w:rPr>
          <w:szCs w:val="21"/>
        </w:rPr>
        <w:t>(a)</w:t>
      </w:r>
      <w:r w:rsidRPr="00BF42B7">
        <w:rPr>
          <w:szCs w:val="21"/>
        </w:rPr>
        <w:t>项</w:t>
      </w:r>
      <w:r w:rsidRPr="00BF42B7">
        <w:rPr>
          <w:rFonts w:hint="eastAsia"/>
          <w:szCs w:val="21"/>
        </w:rPr>
        <w:t>所述“嗣后协定”只能“作为一项条约或其修正案”有约束力</w:t>
      </w:r>
      <w:r w:rsidRPr="00BF42B7">
        <w:rPr>
          <w:color w:val="0000FF"/>
          <w:szCs w:val="21"/>
          <w:vertAlign w:val="superscript"/>
        </w:rPr>
        <w:footnoteReference w:id="895"/>
      </w:r>
      <w:r w:rsidRPr="00BF42B7">
        <w:rPr>
          <w:color w:val="0000FF"/>
          <w:szCs w:val="21"/>
          <w:vertAlign w:val="superscript"/>
        </w:rPr>
        <w:t xml:space="preserve"> </w:t>
      </w:r>
      <w:r w:rsidRPr="00BF42B7">
        <w:rPr>
          <w:rFonts w:hint="eastAsia"/>
          <w:szCs w:val="21"/>
        </w:rPr>
        <w:t>，但它得出的是一个正确的结论，即即使缔约国大会的协商一致决定体现关于解释的一项协定，但在实质上，它并不</w:t>
      </w:r>
      <w:r w:rsidRPr="00BF42B7">
        <w:rPr>
          <w:szCs w:val="21"/>
        </w:rPr>
        <w:t>(</w:t>
      </w:r>
      <w:r w:rsidRPr="00BF42B7">
        <w:rPr>
          <w:rFonts w:hint="eastAsia"/>
          <w:szCs w:val="21"/>
        </w:rPr>
        <w:t>必然</w:t>
      </w:r>
      <w:r w:rsidRPr="00BF42B7">
        <w:rPr>
          <w:szCs w:val="21"/>
        </w:rPr>
        <w:t>)</w:t>
      </w:r>
      <w:r w:rsidRPr="00BF42B7">
        <w:rPr>
          <w:rFonts w:hint="eastAsia"/>
          <w:szCs w:val="21"/>
        </w:rPr>
        <w:t>对全体缔约方有约束力。</w:t>
      </w:r>
      <w:r w:rsidRPr="00BF42B7">
        <w:rPr>
          <w:color w:val="0000FF"/>
          <w:szCs w:val="21"/>
          <w:vertAlign w:val="superscript"/>
        </w:rPr>
        <w:footnoteReference w:id="896"/>
      </w:r>
      <w:r w:rsidRPr="00BF42B7">
        <w:rPr>
          <w:color w:val="0000FF"/>
          <w:szCs w:val="21"/>
          <w:vertAlign w:val="superscript"/>
        </w:rPr>
        <w:t xml:space="preserve"> </w:t>
      </w:r>
      <w:r w:rsidRPr="00BF42B7">
        <w:rPr>
          <w:rFonts w:hint="eastAsia"/>
          <w:szCs w:val="21"/>
        </w:rPr>
        <w:t>相反，正如委员会指出的那样，第三十一条第三款</w:t>
      </w:r>
      <w:r w:rsidRPr="00BF42B7">
        <w:rPr>
          <w:szCs w:val="21"/>
        </w:rPr>
        <w:t>(a)</w:t>
      </w:r>
      <w:r w:rsidRPr="00BF42B7">
        <w:rPr>
          <w:szCs w:val="21"/>
        </w:rPr>
        <w:t>项</w:t>
      </w:r>
      <w:r w:rsidRPr="00BF42B7">
        <w:rPr>
          <w:rFonts w:hint="eastAsia"/>
          <w:szCs w:val="21"/>
        </w:rPr>
        <w:t>所述的嗣后协定只是在解释过程中予以考虑的不同的解释资料中的一项。</w:t>
      </w:r>
      <w:r w:rsidRPr="00BF42B7">
        <w:rPr>
          <w:color w:val="0000FF"/>
          <w:szCs w:val="21"/>
          <w:vertAlign w:val="superscript"/>
        </w:rPr>
        <w:footnoteReference w:id="897"/>
      </w:r>
    </w:p>
    <w:p w:rsidR="00B75685" w:rsidRPr="00BF42B7" w:rsidRDefault="00B75685" w:rsidP="00B75685">
      <w:pPr>
        <w:pStyle w:val="SingleTxtGC"/>
        <w:rPr>
          <w:szCs w:val="21"/>
        </w:rPr>
      </w:pPr>
      <w:r w:rsidRPr="00BF42B7">
        <w:rPr>
          <w:szCs w:val="21"/>
        </w:rPr>
        <w:t xml:space="preserve">(38) </w:t>
      </w:r>
      <w:r w:rsidRPr="00BF42B7">
        <w:rPr>
          <w:rFonts w:hint="eastAsia"/>
          <w:szCs w:val="21"/>
        </w:rPr>
        <w:t xml:space="preserve"> </w:t>
      </w:r>
      <w:r w:rsidRPr="00BF42B7">
        <w:rPr>
          <w:rFonts w:hint="eastAsia"/>
          <w:szCs w:val="21"/>
        </w:rPr>
        <w:t>因此，缔约国大会以协商一致方式通过的解释性决议即使本身不具有约束力，也仍然可以成为第三十一条第三款</w:t>
      </w:r>
      <w:r w:rsidRPr="00BF42B7">
        <w:rPr>
          <w:szCs w:val="21"/>
        </w:rPr>
        <w:t>(a)</w:t>
      </w:r>
      <w:r w:rsidRPr="00BF42B7">
        <w:rPr>
          <w:szCs w:val="21"/>
        </w:rPr>
        <w:t>项</w:t>
      </w:r>
      <w:r w:rsidRPr="00BF42B7">
        <w:rPr>
          <w:rFonts w:hint="eastAsia"/>
          <w:szCs w:val="21"/>
        </w:rPr>
        <w:t>所述的嗣后协定或第三十一条第三款</w:t>
      </w:r>
      <w:r w:rsidRPr="00BF42B7">
        <w:rPr>
          <w:szCs w:val="21"/>
        </w:rPr>
        <w:t>(b)</w:t>
      </w:r>
      <w:r w:rsidRPr="00BF42B7">
        <w:rPr>
          <w:szCs w:val="21"/>
        </w:rPr>
        <w:t>项</w:t>
      </w:r>
      <w:r w:rsidRPr="00BF42B7">
        <w:rPr>
          <w:rFonts w:hint="eastAsia"/>
          <w:szCs w:val="21"/>
        </w:rPr>
        <w:t>所述的嗣后惯例，条件是有充分的情况表明这是缔约方在通过决定时的意向，或缔约方的嗣后惯例确立了对于解释条约的一个协定。</w:t>
      </w:r>
      <w:r w:rsidRPr="00BF42B7">
        <w:rPr>
          <w:color w:val="0000FF"/>
          <w:szCs w:val="21"/>
          <w:vertAlign w:val="superscript"/>
        </w:rPr>
        <w:footnoteReference w:id="898"/>
      </w:r>
      <w:r w:rsidRPr="00BF42B7">
        <w:rPr>
          <w:color w:val="0000FF"/>
          <w:szCs w:val="21"/>
          <w:vertAlign w:val="superscript"/>
        </w:rPr>
        <w:t xml:space="preserve"> </w:t>
      </w:r>
      <w:r w:rsidRPr="00BF42B7">
        <w:rPr>
          <w:rFonts w:hint="eastAsia"/>
          <w:szCs w:val="21"/>
        </w:rPr>
        <w:t>解释者在第三十一条第三款</w:t>
      </w:r>
      <w:r w:rsidRPr="00BF42B7">
        <w:rPr>
          <w:szCs w:val="21"/>
        </w:rPr>
        <w:t>(a)</w:t>
      </w:r>
      <w:r w:rsidRPr="00BF42B7">
        <w:rPr>
          <w:szCs w:val="21"/>
        </w:rPr>
        <w:t>项</w:t>
      </w:r>
      <w:r w:rsidRPr="00BF42B7">
        <w:rPr>
          <w:rFonts w:hint="eastAsia"/>
          <w:szCs w:val="21"/>
        </w:rPr>
        <w:t>下对这种解释性决议给予应有的权重，但不一定视其为有法律约束力。</w:t>
      </w:r>
      <w:r w:rsidRPr="00BF42B7">
        <w:rPr>
          <w:color w:val="0000FF"/>
          <w:szCs w:val="21"/>
          <w:vertAlign w:val="superscript"/>
        </w:rPr>
        <w:footnoteReference w:id="899"/>
      </w:r>
      <w:r w:rsidRPr="00BF42B7">
        <w:rPr>
          <w:color w:val="0000FF"/>
          <w:szCs w:val="21"/>
          <w:vertAlign w:val="superscript"/>
        </w:rPr>
        <w:t xml:space="preserve"> </w:t>
      </w:r>
    </w:p>
    <w:p w:rsidR="00B75685" w:rsidRPr="00BF42B7" w:rsidRDefault="00B75685" w:rsidP="00B75685">
      <w:pPr>
        <w:pStyle w:val="H23GC"/>
        <w:ind w:left="1554"/>
      </w:pPr>
      <w:r w:rsidRPr="00BF42B7">
        <w:rPr>
          <w:rFonts w:hint="eastAsia"/>
          <w:lang w:val="fr-CH"/>
        </w:rPr>
        <w:tab/>
      </w:r>
      <w:r w:rsidRPr="00BF42B7">
        <w:rPr>
          <w:rFonts w:hint="eastAsia"/>
          <w:lang w:val="fr-CH"/>
        </w:rPr>
        <w:tab/>
      </w:r>
      <w:r w:rsidRPr="00BF42B7">
        <w:rPr>
          <w:lang w:val="fr-CH"/>
        </w:rPr>
        <w:t>结论</w:t>
      </w:r>
      <w:r w:rsidRPr="00BF42B7">
        <w:rPr>
          <w:lang w:val="fr-CH"/>
        </w:rPr>
        <w:t>12[11]</w:t>
      </w:r>
      <w:r w:rsidRPr="00BF42B7">
        <w:rPr>
          <w:lang w:val="fr-CH"/>
        </w:rPr>
        <w:br/>
      </w:r>
      <w:r w:rsidRPr="00BF42B7">
        <w:rPr>
          <w:lang w:val="fr-CH"/>
        </w:rPr>
        <w:t>国际组织的组成文书</w:t>
      </w:r>
    </w:p>
    <w:p w:rsidR="00B75685" w:rsidRPr="00BF42B7" w:rsidRDefault="00B75685" w:rsidP="00B75685">
      <w:pPr>
        <w:pStyle w:val="SingleTxtGC"/>
        <w:ind w:left="1554"/>
        <w:rPr>
          <w:szCs w:val="21"/>
        </w:rPr>
      </w:pPr>
      <w:r w:rsidRPr="00BF42B7">
        <w:rPr>
          <w:szCs w:val="21"/>
          <w:lang w:val="fr-CH"/>
        </w:rPr>
        <w:t>1.</w:t>
      </w:r>
      <w:r w:rsidRPr="00BF42B7">
        <w:rPr>
          <w:rFonts w:hint="eastAsia"/>
          <w:szCs w:val="21"/>
          <w:lang w:val="fr-CH"/>
        </w:rPr>
        <w:t xml:space="preserve">  </w:t>
      </w:r>
      <w:r w:rsidRPr="00BF42B7">
        <w:rPr>
          <w:szCs w:val="21"/>
          <w:lang w:val="fr-CH"/>
        </w:rPr>
        <w:t>第三十一条和第三十二条适用于作为国际组织组成文书的条约。因此，第三十一条第三款所称的嗣后协定和嗣后惯例是这类条约的解释资料，第三十二条所称的其他嗣后惯例可以作为这类条约的解释资料。</w:t>
      </w:r>
    </w:p>
    <w:p w:rsidR="00B75685" w:rsidRPr="00BF42B7" w:rsidRDefault="00B75685" w:rsidP="00B75685">
      <w:pPr>
        <w:pStyle w:val="SingleTxtGC"/>
        <w:ind w:left="1554"/>
        <w:rPr>
          <w:szCs w:val="21"/>
        </w:rPr>
      </w:pPr>
      <w:r w:rsidRPr="00BF42B7">
        <w:rPr>
          <w:szCs w:val="21"/>
          <w:lang w:val="fr-CH"/>
        </w:rPr>
        <w:t>2.</w:t>
      </w:r>
      <w:r w:rsidRPr="00BF42B7">
        <w:rPr>
          <w:rFonts w:hint="eastAsia"/>
          <w:szCs w:val="21"/>
          <w:lang w:val="fr-CH"/>
        </w:rPr>
        <w:t xml:space="preserve">  </w:t>
      </w:r>
      <w:r w:rsidRPr="00BF42B7">
        <w:rPr>
          <w:szCs w:val="21"/>
          <w:lang w:val="fr-CH"/>
        </w:rPr>
        <w:t>第三十一条第三款所称的嗣后协定和嗣后惯例或第三十二条所称的其他嗣后惯例可以出自国际组织适用其组成文书的惯例，或体现在这类惯例中。</w:t>
      </w:r>
    </w:p>
    <w:p w:rsidR="00B75685" w:rsidRPr="00BF42B7" w:rsidRDefault="00B75685" w:rsidP="00B75685">
      <w:pPr>
        <w:pStyle w:val="SingleTxtGC"/>
        <w:ind w:left="1554"/>
        <w:rPr>
          <w:szCs w:val="21"/>
        </w:rPr>
      </w:pPr>
      <w:r w:rsidRPr="00BF42B7">
        <w:rPr>
          <w:szCs w:val="21"/>
          <w:lang w:val="fr-CH"/>
        </w:rPr>
        <w:t>3.</w:t>
      </w:r>
      <w:r w:rsidRPr="00BF42B7">
        <w:rPr>
          <w:rFonts w:hint="eastAsia"/>
          <w:szCs w:val="21"/>
          <w:lang w:val="fr-CH"/>
        </w:rPr>
        <w:t xml:space="preserve">  </w:t>
      </w:r>
      <w:r w:rsidRPr="00BF42B7">
        <w:rPr>
          <w:szCs w:val="21"/>
          <w:lang w:val="fr-CH"/>
        </w:rPr>
        <w:t>在适用第三十一条第一款和第三十二条时，国际组织适用其组成文书的惯例可以有助于解释该文书。</w:t>
      </w:r>
    </w:p>
    <w:p w:rsidR="00B75685" w:rsidRPr="00BF42B7" w:rsidRDefault="00B75685" w:rsidP="00B75685">
      <w:pPr>
        <w:pStyle w:val="SingleTxtGC"/>
        <w:ind w:left="1554"/>
        <w:rPr>
          <w:szCs w:val="21"/>
        </w:rPr>
      </w:pPr>
      <w:r w:rsidRPr="00BF42B7">
        <w:rPr>
          <w:szCs w:val="21"/>
          <w:lang w:val="fr-CH"/>
        </w:rPr>
        <w:t>4.</w:t>
      </w:r>
      <w:r w:rsidRPr="00BF42B7">
        <w:rPr>
          <w:rFonts w:hint="eastAsia"/>
          <w:szCs w:val="21"/>
          <w:lang w:val="fr-CH"/>
        </w:rPr>
        <w:t xml:space="preserve">  </w:t>
      </w:r>
      <w:r w:rsidRPr="00BF42B7">
        <w:rPr>
          <w:szCs w:val="21"/>
          <w:lang w:val="fr-CH"/>
        </w:rPr>
        <w:t>第</w:t>
      </w:r>
      <w:r w:rsidRPr="00BF42B7">
        <w:rPr>
          <w:szCs w:val="21"/>
          <w:lang w:val="fr-CH"/>
        </w:rPr>
        <w:t>1</w:t>
      </w:r>
      <w:r w:rsidRPr="00BF42B7">
        <w:rPr>
          <w:szCs w:val="21"/>
          <w:lang w:val="fr-CH"/>
        </w:rPr>
        <w:t>至</w:t>
      </w:r>
      <w:r w:rsidRPr="00BF42B7">
        <w:rPr>
          <w:szCs w:val="21"/>
          <w:lang w:val="fr-CH"/>
        </w:rPr>
        <w:t>3</w:t>
      </w:r>
      <w:r w:rsidRPr="00BF42B7">
        <w:rPr>
          <w:szCs w:val="21"/>
          <w:lang w:val="fr-CH"/>
        </w:rPr>
        <w:t>段适用于对作为国际组织组成文书的任何条约的解释，但不妨碍该组织的任何有关规则。</w:t>
      </w:r>
    </w:p>
    <w:p w:rsidR="00B75685" w:rsidRPr="00BF42B7" w:rsidRDefault="00B75685" w:rsidP="00B75685">
      <w:pPr>
        <w:pStyle w:val="H23GC"/>
        <w:rPr>
          <w:lang w:val="en-GB"/>
        </w:rPr>
      </w:pPr>
      <w:bookmarkStart w:id="189" w:name="_Toc427938117"/>
      <w:bookmarkEnd w:id="189"/>
      <w:r w:rsidRPr="00BF42B7">
        <w:rPr>
          <w:rFonts w:hint="eastAsia"/>
          <w:lang w:val="fr-CH"/>
        </w:rPr>
        <w:tab/>
      </w:r>
      <w:r w:rsidRPr="00BF42B7">
        <w:rPr>
          <w:rFonts w:hint="eastAsia"/>
          <w:lang w:val="fr-CH"/>
        </w:rPr>
        <w:tab/>
      </w:r>
      <w:r w:rsidRPr="00BF42B7">
        <w:rPr>
          <w:lang w:val="fr-CH"/>
        </w:rPr>
        <w:t>评注</w:t>
      </w:r>
    </w:p>
    <w:p w:rsidR="00B75685" w:rsidRPr="00BF42B7" w:rsidRDefault="00B75685" w:rsidP="00B75685">
      <w:pPr>
        <w:pStyle w:val="H4GC"/>
      </w:pPr>
      <w:r w:rsidRPr="00BF42B7">
        <w:rPr>
          <w:rFonts w:hint="eastAsia"/>
          <w:lang w:val="fr-CH"/>
        </w:rPr>
        <w:tab/>
      </w:r>
      <w:r w:rsidRPr="00BF42B7">
        <w:rPr>
          <w:rFonts w:hint="eastAsia"/>
          <w:lang w:val="fr-CH"/>
        </w:rPr>
        <w:tab/>
      </w:r>
      <w:r w:rsidRPr="00BF42B7">
        <w:rPr>
          <w:lang w:val="fr-CH"/>
        </w:rPr>
        <w:t>一般方面</w:t>
      </w:r>
    </w:p>
    <w:p w:rsidR="00B75685" w:rsidRPr="00BF42B7" w:rsidRDefault="00B75685" w:rsidP="00B75685">
      <w:pPr>
        <w:pStyle w:val="SingleTxtGC"/>
        <w:rPr>
          <w:szCs w:val="21"/>
        </w:rPr>
      </w:pPr>
      <w:r w:rsidRPr="00BF42B7">
        <w:rPr>
          <w:szCs w:val="21"/>
          <w:lang w:val="fr-CH"/>
        </w:rPr>
        <w:t xml:space="preserve">(1)  </w:t>
      </w:r>
      <w:r w:rsidRPr="00BF42B7">
        <w:rPr>
          <w:szCs w:val="21"/>
          <w:lang w:val="fr-CH"/>
        </w:rPr>
        <w:t>结论草案</w:t>
      </w:r>
      <w:r w:rsidRPr="00BF42B7">
        <w:rPr>
          <w:szCs w:val="21"/>
          <w:lang w:val="fr-CH"/>
        </w:rPr>
        <w:t>12[11]</w:t>
      </w:r>
      <w:r w:rsidRPr="00BF42B7">
        <w:rPr>
          <w:szCs w:val="21"/>
          <w:lang w:val="fr-CH"/>
        </w:rPr>
        <w:t>涉及一种特定的条约，即国际组织的组成文书，以及根据</w:t>
      </w:r>
      <w:r w:rsidRPr="00BF42B7">
        <w:rPr>
          <w:szCs w:val="21"/>
          <w:lang w:val="fr-CH"/>
        </w:rPr>
        <w:t>1969</w:t>
      </w:r>
      <w:r w:rsidRPr="00BF42B7">
        <w:rPr>
          <w:szCs w:val="21"/>
          <w:lang w:val="fr-CH"/>
        </w:rPr>
        <w:t>年《维也纳公约》第三十一条和第三十二条解释此类条约时应该或可以考虑嗣后协定和嗣后惯例的方式。</w:t>
      </w:r>
    </w:p>
    <w:p w:rsidR="00B75685" w:rsidRPr="00BF42B7" w:rsidRDefault="00B75685" w:rsidP="00B75685">
      <w:pPr>
        <w:pStyle w:val="SingleTxtGC"/>
        <w:rPr>
          <w:szCs w:val="21"/>
        </w:rPr>
      </w:pPr>
      <w:r w:rsidRPr="00BF42B7">
        <w:rPr>
          <w:szCs w:val="21"/>
          <w:lang w:val="fr-CH"/>
        </w:rPr>
        <w:t>(2)  1969</w:t>
      </w:r>
      <w:r w:rsidRPr="00BF42B7">
        <w:rPr>
          <w:szCs w:val="21"/>
          <w:lang w:val="fr-CH"/>
        </w:rPr>
        <w:t>年《维也纳公约》第五条专门针对国际组织的组成文书，该条规定：</w:t>
      </w:r>
    </w:p>
    <w:p w:rsidR="00B75685" w:rsidRPr="00BF42B7" w:rsidRDefault="00B75685" w:rsidP="00B75685">
      <w:pPr>
        <w:pStyle w:val="SingleTxtGC"/>
        <w:ind w:left="1565"/>
        <w:rPr>
          <w:szCs w:val="21"/>
        </w:rPr>
      </w:pPr>
      <w:r w:rsidRPr="00BF42B7">
        <w:rPr>
          <w:rFonts w:hint="eastAsia"/>
          <w:szCs w:val="21"/>
          <w:lang w:val="fr-CH"/>
        </w:rPr>
        <w:t>“</w:t>
      </w:r>
      <w:r w:rsidRPr="00BF42B7">
        <w:rPr>
          <w:szCs w:val="21"/>
          <w:lang w:val="fr-CH"/>
        </w:rPr>
        <w:t>本公约适用于为一国际组织组织约章之任何条约及在一国际组织内议定之任何条约，但对该组织任何有关规则并无妨碍。</w:t>
      </w:r>
      <w:r w:rsidRPr="00BF42B7">
        <w:rPr>
          <w:rFonts w:hint="eastAsia"/>
          <w:szCs w:val="21"/>
          <w:lang w:val="fr-CH"/>
        </w:rPr>
        <w:t>”</w:t>
      </w:r>
      <w:r w:rsidRPr="00BF42B7">
        <w:rPr>
          <w:color w:val="0000FF"/>
          <w:szCs w:val="21"/>
          <w:vertAlign w:val="superscript"/>
          <w:lang w:val="fr-CH"/>
        </w:rPr>
        <w:footnoteReference w:id="900"/>
      </w:r>
      <w:r w:rsidRPr="00BF42B7">
        <w:rPr>
          <w:color w:val="0000FF"/>
          <w:szCs w:val="21"/>
          <w:vertAlign w:val="superscript"/>
          <w:lang w:val="fr-CH"/>
        </w:rPr>
        <w:t xml:space="preserve"> </w:t>
      </w:r>
    </w:p>
    <w:p w:rsidR="00B75685" w:rsidRPr="00BF42B7" w:rsidRDefault="00B75685" w:rsidP="00B75685">
      <w:pPr>
        <w:pStyle w:val="SingleTxtGC"/>
        <w:rPr>
          <w:szCs w:val="21"/>
        </w:rPr>
      </w:pPr>
      <w:r w:rsidRPr="00BF42B7">
        <w:rPr>
          <w:szCs w:val="21"/>
          <w:lang w:val="fr-CH"/>
        </w:rPr>
        <w:t xml:space="preserve">(3)  </w:t>
      </w:r>
      <w:r w:rsidRPr="00BF42B7">
        <w:rPr>
          <w:szCs w:val="21"/>
          <w:lang w:val="fr-CH"/>
        </w:rPr>
        <w:t>第五条所述国际组织的组成文书和其他条约一样，是</w:t>
      </w:r>
      <w:r w:rsidRPr="00BF42B7">
        <w:rPr>
          <w:rFonts w:hint="eastAsia"/>
          <w:szCs w:val="21"/>
          <w:lang w:val="fr-CH"/>
        </w:rPr>
        <w:t>“</w:t>
      </w:r>
      <w:r w:rsidRPr="00BF42B7">
        <w:rPr>
          <w:szCs w:val="21"/>
          <w:lang w:val="fr-CH"/>
        </w:rPr>
        <w:t>载于一项单独文书或两项以上相互有关之文书内</w:t>
      </w:r>
      <w:r w:rsidRPr="00BF42B7">
        <w:rPr>
          <w:rFonts w:hint="eastAsia"/>
          <w:szCs w:val="21"/>
          <w:lang w:val="fr-CH"/>
        </w:rPr>
        <w:t>”</w:t>
      </w:r>
      <w:r w:rsidRPr="00BF42B7">
        <w:rPr>
          <w:szCs w:val="21"/>
          <w:lang w:val="fr-CH"/>
        </w:rPr>
        <w:t>(</w:t>
      </w:r>
      <w:r w:rsidRPr="00BF42B7">
        <w:rPr>
          <w:szCs w:val="21"/>
          <w:lang w:val="fr-CH"/>
        </w:rPr>
        <w:t>第二条第一款</w:t>
      </w:r>
      <w:r w:rsidRPr="00BF42B7">
        <w:rPr>
          <w:szCs w:val="21"/>
          <w:lang w:val="fr-CH"/>
        </w:rPr>
        <w:t>(a)</w:t>
      </w:r>
      <w:r w:rsidRPr="00BF42B7">
        <w:rPr>
          <w:szCs w:val="21"/>
          <w:lang w:val="fr-CH"/>
        </w:rPr>
        <w:t>项</w:t>
      </w:r>
      <w:r w:rsidRPr="00BF42B7">
        <w:rPr>
          <w:szCs w:val="21"/>
          <w:lang w:val="fr-CH"/>
        </w:rPr>
        <w:t>)</w:t>
      </w:r>
      <w:r w:rsidRPr="00BF42B7">
        <w:rPr>
          <w:szCs w:val="21"/>
          <w:lang w:val="fr-CH"/>
        </w:rPr>
        <w:t>的国际协定。此类条约所包含的规定是组成文书的一部分。</w:t>
      </w:r>
      <w:bookmarkStart w:id="190" w:name="_Ref424551049"/>
      <w:bookmarkEnd w:id="190"/>
      <w:r w:rsidRPr="00BF42B7">
        <w:rPr>
          <w:color w:val="0000FF"/>
          <w:szCs w:val="21"/>
          <w:vertAlign w:val="superscript"/>
          <w:lang w:val="fr-CH"/>
        </w:rPr>
        <w:footnoteReference w:id="901"/>
      </w:r>
      <w:r w:rsidRPr="00BF42B7">
        <w:rPr>
          <w:color w:val="0000FF"/>
          <w:szCs w:val="21"/>
          <w:vertAlign w:val="superscript"/>
          <w:lang w:val="fr-CH"/>
        </w:rPr>
        <w:t xml:space="preserve"> </w:t>
      </w:r>
    </w:p>
    <w:p w:rsidR="00B75685" w:rsidRPr="00BF42B7" w:rsidRDefault="00B75685" w:rsidP="00B75685">
      <w:pPr>
        <w:pStyle w:val="SingleTxtGC"/>
        <w:rPr>
          <w:szCs w:val="21"/>
        </w:rPr>
      </w:pPr>
      <w:r w:rsidRPr="00BF42B7">
        <w:rPr>
          <w:szCs w:val="21"/>
          <w:lang w:val="fr-CH"/>
        </w:rPr>
        <w:t xml:space="preserve">(4)  </w:t>
      </w:r>
      <w:r w:rsidRPr="00BF42B7">
        <w:rPr>
          <w:szCs w:val="21"/>
          <w:lang w:val="fr-CH"/>
        </w:rPr>
        <w:t>一般来说，第五条通过规定</w:t>
      </w:r>
      <w:r w:rsidRPr="00BF42B7">
        <w:rPr>
          <w:szCs w:val="21"/>
          <w:lang w:val="fr-CH"/>
        </w:rPr>
        <w:t>1969</w:t>
      </w:r>
      <w:r w:rsidRPr="00BF42B7">
        <w:rPr>
          <w:szCs w:val="21"/>
          <w:lang w:val="fr-CH"/>
        </w:rPr>
        <w:t>年《维也纳公约》适用于国际组织组成文书而不妨碍该组织相关规则，</w:t>
      </w:r>
      <w:bookmarkStart w:id="191" w:name="_Ref461977294"/>
      <w:r w:rsidRPr="00BF42B7">
        <w:rPr>
          <w:color w:val="0000FF"/>
          <w:szCs w:val="21"/>
          <w:vertAlign w:val="superscript"/>
          <w:lang w:val="fr-CH"/>
        </w:rPr>
        <w:footnoteReference w:id="902"/>
      </w:r>
      <w:bookmarkEnd w:id="191"/>
      <w:r w:rsidRPr="00BF42B7">
        <w:rPr>
          <w:color w:val="0000FF"/>
          <w:szCs w:val="21"/>
          <w:vertAlign w:val="superscript"/>
          <w:lang w:val="fr-CH"/>
        </w:rPr>
        <w:t xml:space="preserve"> </w:t>
      </w:r>
      <w:r w:rsidRPr="00BF42B7">
        <w:rPr>
          <w:szCs w:val="21"/>
          <w:lang w:val="fr-CH"/>
        </w:rPr>
        <w:t>遵循了《公约》的一般原则，即</w:t>
      </w:r>
      <w:r w:rsidRPr="00BF42B7">
        <w:rPr>
          <w:rFonts w:hint="eastAsia"/>
          <w:szCs w:val="21"/>
          <w:lang w:val="fr-CH"/>
        </w:rPr>
        <w:t>“</w:t>
      </w:r>
      <w:r w:rsidRPr="00BF42B7">
        <w:rPr>
          <w:szCs w:val="21"/>
          <w:lang w:val="fr-CH"/>
        </w:rPr>
        <w:t>除条约另有规定外</w:t>
      </w:r>
      <w:r w:rsidRPr="00BF42B7">
        <w:rPr>
          <w:rFonts w:hint="eastAsia"/>
          <w:szCs w:val="21"/>
          <w:lang w:val="fr-CH"/>
        </w:rPr>
        <w:t>”</w:t>
      </w:r>
      <w:r w:rsidRPr="00BF42B7">
        <w:rPr>
          <w:szCs w:val="21"/>
          <w:lang w:val="fr-CH"/>
        </w:rPr>
        <w:t>，缔约国间的条约应遵循《公约》所载的规则。</w:t>
      </w:r>
      <w:bookmarkStart w:id="192" w:name="_Ref447813288"/>
      <w:bookmarkEnd w:id="192"/>
      <w:r w:rsidRPr="00BF42B7">
        <w:rPr>
          <w:color w:val="0000FF"/>
          <w:szCs w:val="21"/>
          <w:vertAlign w:val="superscript"/>
          <w:lang w:val="fr-CH"/>
        </w:rPr>
        <w:footnoteReference w:id="903"/>
      </w:r>
      <w:r w:rsidRPr="00BF42B7">
        <w:rPr>
          <w:color w:val="0000FF"/>
          <w:szCs w:val="21"/>
          <w:vertAlign w:val="superscript"/>
          <w:lang w:val="fr-CH"/>
        </w:rPr>
        <w:t xml:space="preserve"> </w:t>
      </w:r>
    </w:p>
    <w:p w:rsidR="00B75685" w:rsidRPr="00BF42B7" w:rsidRDefault="00B75685" w:rsidP="00B75685">
      <w:pPr>
        <w:pStyle w:val="SingleTxtGC"/>
        <w:rPr>
          <w:szCs w:val="21"/>
        </w:rPr>
      </w:pPr>
      <w:r w:rsidRPr="00BF42B7">
        <w:rPr>
          <w:szCs w:val="21"/>
          <w:lang w:val="fr-CH"/>
        </w:rPr>
        <w:t xml:space="preserve">(5)  </w:t>
      </w:r>
      <w:r w:rsidRPr="00BF42B7">
        <w:rPr>
          <w:szCs w:val="21"/>
          <w:lang w:val="fr-CH"/>
        </w:rPr>
        <w:t>结论草案</w:t>
      </w:r>
      <w:r w:rsidRPr="00BF42B7">
        <w:rPr>
          <w:szCs w:val="21"/>
          <w:lang w:val="fr-CH"/>
        </w:rPr>
        <w:t>12[11]</w:t>
      </w:r>
      <w:r w:rsidRPr="00BF42B7">
        <w:rPr>
          <w:szCs w:val="21"/>
          <w:lang w:val="fr-CH"/>
        </w:rPr>
        <w:t>仅涉及国际组织组成文书的解释。因此该草案不完全涵盖嗣后协定和嗣后惯例对国际组织条约解释作用的所有方面。特别是，该草案不适用于解释国际组织内部通过的条约或国际组织缔结的非组成文书类条约。</w:t>
      </w:r>
      <w:r w:rsidRPr="00BF42B7">
        <w:rPr>
          <w:color w:val="0000FF"/>
          <w:szCs w:val="21"/>
          <w:vertAlign w:val="superscript"/>
          <w:lang w:val="fr-CH"/>
        </w:rPr>
        <w:footnoteReference w:id="904"/>
      </w:r>
      <w:r w:rsidRPr="00BF42B7">
        <w:rPr>
          <w:color w:val="0000FF"/>
          <w:szCs w:val="21"/>
          <w:vertAlign w:val="superscript"/>
          <w:lang w:val="fr-CH"/>
        </w:rPr>
        <w:t xml:space="preserve"> </w:t>
      </w:r>
      <w:r w:rsidRPr="00BF42B7">
        <w:rPr>
          <w:szCs w:val="21"/>
          <w:lang w:val="fr-CH"/>
        </w:rPr>
        <w:t>此外，结论草案</w:t>
      </w:r>
      <w:r w:rsidRPr="00BF42B7">
        <w:rPr>
          <w:szCs w:val="21"/>
          <w:lang w:val="fr-CH"/>
        </w:rPr>
        <w:t>12[11]</w:t>
      </w:r>
      <w:r w:rsidRPr="00BF42B7">
        <w:rPr>
          <w:szCs w:val="21"/>
          <w:lang w:val="fr-CH"/>
        </w:rPr>
        <w:t>不适用于解释国际组织机关的决定本身，</w:t>
      </w:r>
      <w:r w:rsidRPr="00BF42B7">
        <w:rPr>
          <w:color w:val="0000FF"/>
          <w:szCs w:val="21"/>
          <w:vertAlign w:val="superscript"/>
          <w:lang w:val="fr-CH"/>
        </w:rPr>
        <w:footnoteReference w:id="905"/>
      </w:r>
      <w:r w:rsidRPr="00BF42B7">
        <w:rPr>
          <w:color w:val="0000FF"/>
          <w:szCs w:val="21"/>
          <w:vertAlign w:val="superscript"/>
          <w:lang w:val="fr-CH"/>
        </w:rPr>
        <w:t xml:space="preserve"> </w:t>
      </w:r>
      <w:r w:rsidRPr="00BF42B7">
        <w:rPr>
          <w:szCs w:val="21"/>
          <w:lang w:val="fr-CH"/>
        </w:rPr>
        <w:t>包括不适用于解释各国际法院的裁决，</w:t>
      </w:r>
      <w:r w:rsidRPr="00BF42B7">
        <w:rPr>
          <w:color w:val="0000FF"/>
          <w:szCs w:val="21"/>
          <w:vertAlign w:val="superscript"/>
          <w:lang w:val="fr-CH"/>
        </w:rPr>
        <w:footnoteReference w:id="906"/>
      </w:r>
      <w:r w:rsidRPr="00BF42B7">
        <w:rPr>
          <w:color w:val="0000FF"/>
          <w:szCs w:val="21"/>
          <w:vertAlign w:val="superscript"/>
          <w:lang w:val="fr-CH"/>
        </w:rPr>
        <w:t xml:space="preserve"> </w:t>
      </w:r>
      <w:r w:rsidRPr="00BF42B7">
        <w:rPr>
          <w:szCs w:val="21"/>
          <w:lang w:val="fr-CH"/>
        </w:rPr>
        <w:t>或解释法院或法庭</w:t>
      </w:r>
      <w:r w:rsidRPr="00BF42B7">
        <w:rPr>
          <w:rFonts w:hint="eastAsia"/>
          <w:szCs w:val="21"/>
          <w:lang w:val="fr-CH"/>
        </w:rPr>
        <w:t>“</w:t>
      </w:r>
      <w:r w:rsidRPr="00BF42B7">
        <w:rPr>
          <w:szCs w:val="21"/>
          <w:lang w:val="fr-CH"/>
        </w:rPr>
        <w:t>明确一贯的判例</w:t>
      </w:r>
      <w:r w:rsidRPr="00BF42B7">
        <w:rPr>
          <w:rFonts w:hint="eastAsia"/>
          <w:szCs w:val="21"/>
          <w:lang w:val="fr-CH"/>
        </w:rPr>
        <w:t>”</w:t>
      </w:r>
      <w:r w:rsidRPr="00BF42B7">
        <w:rPr>
          <w:color w:val="0000FF"/>
          <w:szCs w:val="21"/>
          <w:vertAlign w:val="superscript"/>
          <w:lang w:val="fr-CH"/>
        </w:rPr>
        <w:footnoteReference w:id="907"/>
      </w:r>
      <w:r w:rsidRPr="00BF42B7">
        <w:rPr>
          <w:color w:val="0000FF"/>
          <w:szCs w:val="21"/>
          <w:vertAlign w:val="superscript"/>
          <w:lang w:val="fr-CH"/>
        </w:rPr>
        <w:t xml:space="preserve"> </w:t>
      </w:r>
      <w:r w:rsidRPr="00BF42B7">
        <w:rPr>
          <w:szCs w:val="21"/>
          <w:lang w:val="fr-CH"/>
        </w:rPr>
        <w:t>(</w:t>
      </w:r>
      <w:r w:rsidRPr="00BF42B7">
        <w:rPr>
          <w:rFonts w:hint="eastAsia"/>
          <w:szCs w:val="21"/>
          <w:lang w:val="fr-CH"/>
        </w:rPr>
        <w:t>“</w:t>
      </w:r>
      <w:r w:rsidRPr="00BF42B7">
        <w:rPr>
          <w:szCs w:val="21"/>
          <w:lang w:val="fr-CH"/>
        </w:rPr>
        <w:t>一贯判例</w:t>
      </w:r>
      <w:r w:rsidRPr="00BF42B7">
        <w:rPr>
          <w:rFonts w:hint="eastAsia"/>
          <w:szCs w:val="21"/>
          <w:lang w:val="fr-CH"/>
        </w:rPr>
        <w:t>”</w:t>
      </w:r>
      <w:r w:rsidRPr="00BF42B7">
        <w:rPr>
          <w:szCs w:val="21"/>
          <w:lang w:val="fr-CH"/>
        </w:rPr>
        <w:t>)</w:t>
      </w:r>
      <w:r w:rsidRPr="00BF42B7">
        <w:rPr>
          <w:szCs w:val="21"/>
          <w:lang w:val="fr-CH"/>
        </w:rPr>
        <w:t>的效果。</w:t>
      </w:r>
      <w:r w:rsidRPr="00BF42B7">
        <w:rPr>
          <w:color w:val="0000FF"/>
          <w:szCs w:val="21"/>
          <w:vertAlign w:val="superscript"/>
          <w:lang w:val="fr-CH"/>
        </w:rPr>
        <w:footnoteReference w:id="908"/>
      </w:r>
      <w:r w:rsidRPr="00BF42B7">
        <w:rPr>
          <w:color w:val="0000FF"/>
          <w:szCs w:val="21"/>
          <w:vertAlign w:val="superscript"/>
          <w:lang w:val="fr-CH"/>
        </w:rPr>
        <w:t xml:space="preserve"> </w:t>
      </w:r>
      <w:r w:rsidRPr="00BF42B7">
        <w:rPr>
          <w:szCs w:val="21"/>
          <w:lang w:val="fr-CH"/>
        </w:rPr>
        <w:t>最后，该结论并非特别针对由独立专家组成的条约监测机构的声明涉及的问题，也非特别针对更一般意义上特定形式惯例的权重问题，这些问题可在后期阶段解决。</w:t>
      </w:r>
      <w:bookmarkStart w:id="193" w:name="_Ref423338220"/>
      <w:bookmarkEnd w:id="193"/>
    </w:p>
    <w:p w:rsidR="00B75685" w:rsidRPr="00BF42B7" w:rsidRDefault="00B75685" w:rsidP="00E83B81">
      <w:pPr>
        <w:pStyle w:val="H4GC"/>
      </w:pPr>
      <w:r w:rsidRPr="00BF42B7">
        <w:rPr>
          <w:rFonts w:hint="eastAsia"/>
          <w:lang w:val="fr-CH"/>
        </w:rPr>
        <w:tab/>
      </w:r>
      <w:r w:rsidRPr="00BF42B7">
        <w:rPr>
          <w:rFonts w:hint="eastAsia"/>
          <w:lang w:val="fr-CH"/>
        </w:rPr>
        <w:tab/>
      </w:r>
      <w:r w:rsidRPr="00BF42B7">
        <w:rPr>
          <w:lang w:val="fr-CH"/>
        </w:rPr>
        <w:t>第</w:t>
      </w:r>
      <w:r w:rsidRPr="00BF42B7">
        <w:rPr>
          <w:lang w:val="fr-CH"/>
        </w:rPr>
        <w:t>1</w:t>
      </w:r>
      <w:r w:rsidRPr="00BF42B7">
        <w:rPr>
          <w:lang w:val="fr-CH"/>
        </w:rPr>
        <w:t>段</w:t>
      </w:r>
      <w:r w:rsidR="00E83B81" w:rsidRPr="00E83B81">
        <w:rPr>
          <w:rFonts w:hint="eastAsia"/>
          <w:snapToGrid/>
          <w:spacing w:val="-50"/>
          <w:lang w:val="fr-CH"/>
        </w:rPr>
        <w:t>―</w:t>
      </w:r>
      <w:r w:rsidR="00E83B81" w:rsidRPr="00E83B81">
        <w:rPr>
          <w:rFonts w:hint="eastAsia"/>
          <w:snapToGrid/>
          <w:lang w:val="fr-CH"/>
        </w:rPr>
        <w:t>―</w:t>
      </w:r>
      <w:r w:rsidRPr="00E83B81">
        <w:rPr>
          <w:snapToGrid/>
          <w:lang w:val="fr-CH"/>
        </w:rPr>
        <w:t>第</w:t>
      </w:r>
      <w:r w:rsidRPr="00E83B81">
        <w:rPr>
          <w:rFonts w:hint="eastAsia"/>
          <w:snapToGrid/>
          <w:lang w:val="fr-CH"/>
        </w:rPr>
        <w:t>三十一</w:t>
      </w:r>
      <w:r w:rsidRPr="00BF42B7">
        <w:rPr>
          <w:lang w:val="fr-CH"/>
        </w:rPr>
        <w:t>条和第</w:t>
      </w:r>
      <w:r w:rsidRPr="00BF42B7">
        <w:rPr>
          <w:rFonts w:hint="eastAsia"/>
          <w:lang w:val="fr-CH"/>
        </w:rPr>
        <w:t>三十二</w:t>
      </w:r>
      <w:r w:rsidRPr="00BF42B7">
        <w:rPr>
          <w:lang w:val="fr-CH"/>
        </w:rPr>
        <w:t>条的适用性</w:t>
      </w:r>
    </w:p>
    <w:p w:rsidR="00B75685" w:rsidRPr="00BF42B7" w:rsidRDefault="00B75685" w:rsidP="00B75685">
      <w:pPr>
        <w:pStyle w:val="SingleTxtGC"/>
        <w:rPr>
          <w:szCs w:val="21"/>
        </w:rPr>
      </w:pPr>
      <w:r w:rsidRPr="00BF42B7">
        <w:rPr>
          <w:szCs w:val="21"/>
          <w:lang w:val="fr-CH"/>
        </w:rPr>
        <w:t>(6)</w:t>
      </w:r>
      <w:r w:rsidRPr="00BF42B7">
        <w:rPr>
          <w:rFonts w:hint="eastAsia"/>
          <w:szCs w:val="21"/>
          <w:lang w:val="fr-CH"/>
        </w:rPr>
        <w:t xml:space="preserve">  </w:t>
      </w:r>
      <w:r w:rsidRPr="00BF42B7">
        <w:rPr>
          <w:szCs w:val="21"/>
          <w:lang w:val="fr-CH"/>
        </w:rPr>
        <w:t>结论草案</w:t>
      </w:r>
      <w:r w:rsidRPr="00BF42B7">
        <w:rPr>
          <w:szCs w:val="21"/>
          <w:lang w:val="fr-CH"/>
        </w:rPr>
        <w:t>12[11]</w:t>
      </w:r>
      <w:r w:rsidRPr="00BF42B7">
        <w:rPr>
          <w:szCs w:val="21"/>
          <w:lang w:val="fr-CH"/>
        </w:rPr>
        <w:t>第</w:t>
      </w:r>
      <w:r w:rsidRPr="00BF42B7">
        <w:rPr>
          <w:szCs w:val="21"/>
          <w:lang w:val="fr-CH"/>
        </w:rPr>
        <w:t>1</w:t>
      </w:r>
      <w:r w:rsidRPr="00BF42B7">
        <w:rPr>
          <w:szCs w:val="21"/>
          <w:lang w:val="fr-CH"/>
        </w:rPr>
        <w:t>段第</w:t>
      </w:r>
      <w:r w:rsidRPr="00BF42B7">
        <w:rPr>
          <w:szCs w:val="21"/>
          <w:lang w:val="fr-CH"/>
        </w:rPr>
        <w:t>1</w:t>
      </w:r>
      <w:r w:rsidRPr="00BF42B7">
        <w:rPr>
          <w:szCs w:val="21"/>
          <w:lang w:val="fr-CH"/>
        </w:rPr>
        <w:t>句确认</w:t>
      </w:r>
      <w:r w:rsidRPr="00BF42B7">
        <w:rPr>
          <w:rFonts w:hint="eastAsia"/>
          <w:szCs w:val="21"/>
          <w:lang w:val="fr-CH"/>
        </w:rPr>
        <w:t>1969</w:t>
      </w:r>
      <w:r w:rsidRPr="00BF42B7">
        <w:rPr>
          <w:rFonts w:hint="eastAsia"/>
          <w:szCs w:val="21"/>
          <w:lang w:val="fr-CH"/>
        </w:rPr>
        <w:t>年</w:t>
      </w:r>
      <w:r w:rsidRPr="00BF42B7">
        <w:rPr>
          <w:szCs w:val="21"/>
          <w:lang w:val="fr-CH"/>
        </w:rPr>
        <w:t>《维也纳公约》第三十一条和第三十二条适用于作为国际组织组成文书的条约。</w:t>
      </w:r>
      <w:r w:rsidRPr="00BF42B7">
        <w:rPr>
          <w:color w:val="0000FF"/>
          <w:szCs w:val="21"/>
          <w:vertAlign w:val="superscript"/>
          <w:lang w:val="fr-CH"/>
        </w:rPr>
        <w:footnoteReference w:id="909"/>
      </w:r>
      <w:r w:rsidRPr="00BF42B7">
        <w:rPr>
          <w:color w:val="0000FF"/>
          <w:szCs w:val="21"/>
          <w:vertAlign w:val="superscript"/>
          <w:lang w:val="fr-CH"/>
        </w:rPr>
        <w:t xml:space="preserve"> </w:t>
      </w:r>
      <w:r w:rsidRPr="00BF42B7">
        <w:rPr>
          <w:szCs w:val="21"/>
          <w:lang w:val="fr-CH"/>
        </w:rPr>
        <w:t>国际法院在其关于</w:t>
      </w:r>
      <w:r w:rsidRPr="00BF42B7">
        <w:rPr>
          <w:rFonts w:hint="eastAsia"/>
          <w:szCs w:val="21"/>
          <w:lang w:val="fr-CH"/>
        </w:rPr>
        <w:t>“</w:t>
      </w:r>
      <w:r w:rsidRPr="00BF42B7">
        <w:rPr>
          <w:rFonts w:ascii="Time New Roman" w:eastAsia="楷体" w:hAnsi="Time New Roman"/>
          <w:szCs w:val="21"/>
          <w:lang w:val="fr-CH"/>
        </w:rPr>
        <w:t>国家在武装冲突中使用核武器的合法性</w:t>
      </w:r>
      <w:r w:rsidRPr="00BF42B7">
        <w:rPr>
          <w:rFonts w:hint="eastAsia"/>
          <w:szCs w:val="21"/>
          <w:lang w:val="fr-CH"/>
        </w:rPr>
        <w:t>”</w:t>
      </w:r>
      <w:r w:rsidRPr="00BF42B7">
        <w:rPr>
          <w:szCs w:val="21"/>
          <w:lang w:val="fr-CH"/>
        </w:rPr>
        <w:t>的咨询意见中已确认这一点：</w:t>
      </w:r>
    </w:p>
    <w:p w:rsidR="00B75685" w:rsidRPr="00BF42B7" w:rsidRDefault="00B75685" w:rsidP="00B75685">
      <w:pPr>
        <w:pStyle w:val="SingleTxtGC"/>
        <w:ind w:left="1565"/>
        <w:rPr>
          <w:szCs w:val="21"/>
        </w:rPr>
      </w:pPr>
      <w:r w:rsidRPr="00BF42B7">
        <w:rPr>
          <w:rFonts w:hint="eastAsia"/>
          <w:szCs w:val="21"/>
          <w:lang w:val="fr-CH"/>
        </w:rPr>
        <w:t>“</w:t>
      </w:r>
      <w:r w:rsidRPr="00BF42B7">
        <w:rPr>
          <w:szCs w:val="21"/>
          <w:lang w:val="fr-CH"/>
        </w:rPr>
        <w:t>从形式上看，国际组织组成文书是多边条约，而公认的条约解释规则适用于多边条约。</w:t>
      </w:r>
      <w:r w:rsidRPr="00BF42B7">
        <w:rPr>
          <w:rFonts w:hint="eastAsia"/>
          <w:szCs w:val="21"/>
          <w:lang w:val="fr-CH"/>
        </w:rPr>
        <w:t>”</w:t>
      </w:r>
      <w:r w:rsidRPr="00BF42B7">
        <w:rPr>
          <w:color w:val="0000FF"/>
          <w:szCs w:val="21"/>
          <w:vertAlign w:val="superscript"/>
          <w:lang w:val="fr-CH"/>
        </w:rPr>
        <w:footnoteReference w:id="910"/>
      </w:r>
      <w:r w:rsidRPr="00BF42B7">
        <w:rPr>
          <w:color w:val="0000FF"/>
          <w:szCs w:val="21"/>
          <w:vertAlign w:val="superscript"/>
          <w:lang w:val="fr-CH"/>
        </w:rPr>
        <w:t xml:space="preserve"> </w:t>
      </w:r>
    </w:p>
    <w:p w:rsidR="00B75685" w:rsidRPr="00BF42B7" w:rsidRDefault="00B75685" w:rsidP="00B75685">
      <w:pPr>
        <w:pStyle w:val="SingleTxtGC"/>
        <w:rPr>
          <w:szCs w:val="21"/>
        </w:rPr>
      </w:pPr>
      <w:r w:rsidRPr="00BF42B7">
        <w:rPr>
          <w:szCs w:val="21"/>
          <w:lang w:val="fr-CH"/>
        </w:rPr>
        <w:t xml:space="preserve">(7)  </w:t>
      </w:r>
      <w:r w:rsidRPr="00BF42B7">
        <w:rPr>
          <w:szCs w:val="21"/>
          <w:lang w:val="fr-CH"/>
        </w:rPr>
        <w:t>关于《联合国宪章》，法院认为：</w:t>
      </w:r>
    </w:p>
    <w:p w:rsidR="00B75685" w:rsidRPr="00BF42B7" w:rsidRDefault="00B75685" w:rsidP="00B75685">
      <w:pPr>
        <w:pStyle w:val="SingleTxtGC"/>
        <w:ind w:left="1565"/>
        <w:rPr>
          <w:szCs w:val="21"/>
        </w:rPr>
      </w:pPr>
      <w:r w:rsidRPr="00BF42B7">
        <w:rPr>
          <w:rFonts w:hint="eastAsia"/>
          <w:szCs w:val="21"/>
          <w:lang w:val="fr-CH"/>
        </w:rPr>
        <w:t>“</w:t>
      </w:r>
      <w:r w:rsidRPr="00BF42B7">
        <w:rPr>
          <w:szCs w:val="21"/>
          <w:lang w:val="fr-CH"/>
        </w:rPr>
        <w:t>法院曾多次不得不解释</w:t>
      </w:r>
      <w:r w:rsidRPr="00BF42B7">
        <w:rPr>
          <w:szCs w:val="21"/>
        </w:rPr>
        <w:t>《联合国宪章》</w:t>
      </w:r>
      <w:r w:rsidRPr="00BF42B7">
        <w:rPr>
          <w:szCs w:val="21"/>
          <w:lang w:val="fr-CH"/>
        </w:rPr>
        <w:t>，这时法院一直遵循一般适用于条约解释的原则和规则，因为法院确认《宪章》是一项多边条约，尽管是一项具有某些特殊特征的条约。</w:t>
      </w:r>
      <w:r w:rsidRPr="00BF42B7">
        <w:rPr>
          <w:rFonts w:hint="eastAsia"/>
          <w:szCs w:val="21"/>
          <w:lang w:val="fr-CH"/>
        </w:rPr>
        <w:t>”</w:t>
      </w:r>
      <w:r w:rsidRPr="00BF42B7">
        <w:rPr>
          <w:color w:val="0000FF"/>
          <w:szCs w:val="21"/>
          <w:vertAlign w:val="superscript"/>
          <w:lang w:val="fr-CH"/>
        </w:rPr>
        <w:footnoteReference w:id="911"/>
      </w:r>
      <w:r w:rsidRPr="00BF42B7">
        <w:rPr>
          <w:color w:val="0000FF"/>
          <w:szCs w:val="21"/>
          <w:vertAlign w:val="superscript"/>
          <w:lang w:val="fr-CH"/>
        </w:rPr>
        <w:t xml:space="preserve"> </w:t>
      </w:r>
    </w:p>
    <w:p w:rsidR="00B75685" w:rsidRPr="00BF42B7" w:rsidRDefault="00B75685" w:rsidP="00B75685">
      <w:pPr>
        <w:pStyle w:val="SingleTxtGC"/>
        <w:rPr>
          <w:szCs w:val="21"/>
        </w:rPr>
      </w:pPr>
      <w:r w:rsidRPr="00BF42B7">
        <w:rPr>
          <w:szCs w:val="21"/>
          <w:lang w:val="fr-CH"/>
        </w:rPr>
        <w:t xml:space="preserve">(8)  </w:t>
      </w:r>
      <w:r w:rsidRPr="00BF42B7">
        <w:rPr>
          <w:szCs w:val="21"/>
          <w:lang w:val="fr-CH"/>
        </w:rPr>
        <w:t>同时，第五条表明，国际法院判决也确认，国际组织组成文书也是一种特别类型的条约，可能需要以特别的方式加以解释。因此，国际法院表示：</w:t>
      </w:r>
    </w:p>
    <w:p w:rsidR="00B75685" w:rsidRPr="00BF42B7" w:rsidRDefault="00B75685" w:rsidP="00B75685">
      <w:pPr>
        <w:pStyle w:val="SingleTxtGC"/>
        <w:ind w:left="1565"/>
        <w:rPr>
          <w:spacing w:val="2"/>
          <w:szCs w:val="21"/>
        </w:rPr>
      </w:pPr>
      <w:r w:rsidRPr="00BF42B7">
        <w:rPr>
          <w:rFonts w:hint="eastAsia"/>
          <w:szCs w:val="21"/>
          <w:lang w:val="fr-CH"/>
        </w:rPr>
        <w:t>“</w:t>
      </w:r>
      <w:r w:rsidRPr="00BF42B7">
        <w:rPr>
          <w:szCs w:val="21"/>
          <w:lang w:val="fr-CH"/>
        </w:rPr>
        <w:t>但国际组织的组成文书也是特定类型的条约；其目的是组建具有一定自主权的新的法律主体，该法律主体受各缔约方的委托负责实现共同的目标。此类条约由于除其他外同时具有公约性和创设性特征，会引起具体的解释</w:t>
      </w:r>
      <w:r w:rsidRPr="00BF42B7">
        <w:rPr>
          <w:spacing w:val="2"/>
          <w:szCs w:val="21"/>
          <w:lang w:val="fr-CH"/>
        </w:rPr>
        <w:t>问题；所设组织的性质、创设者赋予的目标、与有效行使其职能相关的规则、以及其自身惯例，这些都是在需要解释组成条约时值得特别重视的要素。</w:t>
      </w:r>
      <w:r w:rsidRPr="00BF42B7">
        <w:rPr>
          <w:rFonts w:hint="eastAsia"/>
          <w:spacing w:val="2"/>
          <w:szCs w:val="21"/>
          <w:lang w:val="fr-CH"/>
        </w:rPr>
        <w:t>”</w:t>
      </w:r>
      <w:bookmarkStart w:id="194" w:name="_Ref414478666"/>
      <w:bookmarkEnd w:id="194"/>
      <w:r w:rsidRPr="00BF42B7">
        <w:rPr>
          <w:color w:val="0000FF"/>
          <w:spacing w:val="2"/>
          <w:szCs w:val="21"/>
          <w:vertAlign w:val="superscript"/>
          <w:lang w:val="fr-CH"/>
        </w:rPr>
        <w:footnoteReference w:id="912"/>
      </w:r>
      <w:r w:rsidRPr="00BF42B7">
        <w:rPr>
          <w:color w:val="0000FF"/>
          <w:spacing w:val="2"/>
          <w:szCs w:val="21"/>
          <w:vertAlign w:val="superscript"/>
          <w:lang w:val="fr-CH"/>
        </w:rPr>
        <w:t xml:space="preserve"> </w:t>
      </w:r>
    </w:p>
    <w:p w:rsidR="00B75685" w:rsidRPr="00BF42B7" w:rsidRDefault="00B75685" w:rsidP="00B75685">
      <w:pPr>
        <w:pStyle w:val="SingleTxtGC"/>
        <w:rPr>
          <w:szCs w:val="21"/>
        </w:rPr>
      </w:pPr>
      <w:r w:rsidRPr="00BF42B7">
        <w:rPr>
          <w:szCs w:val="21"/>
          <w:lang w:val="fr-CH"/>
        </w:rPr>
        <w:t xml:space="preserve">(9)  </w:t>
      </w:r>
      <w:r w:rsidRPr="00BF42B7">
        <w:rPr>
          <w:szCs w:val="21"/>
          <w:lang w:val="fr-CH"/>
        </w:rPr>
        <w:t>结论草案</w:t>
      </w:r>
      <w:r w:rsidRPr="00BF42B7">
        <w:rPr>
          <w:szCs w:val="21"/>
          <w:lang w:val="fr-CH"/>
        </w:rPr>
        <w:t>12[11]</w:t>
      </w:r>
      <w:r w:rsidRPr="00BF42B7">
        <w:rPr>
          <w:szCs w:val="21"/>
          <w:lang w:val="fr-CH"/>
        </w:rPr>
        <w:t>第</w:t>
      </w:r>
      <w:r w:rsidRPr="00BF42B7">
        <w:rPr>
          <w:szCs w:val="21"/>
          <w:lang w:val="fr-CH"/>
        </w:rPr>
        <w:t>1</w:t>
      </w:r>
      <w:r w:rsidRPr="00BF42B7">
        <w:rPr>
          <w:szCs w:val="21"/>
          <w:lang w:val="fr-CH"/>
        </w:rPr>
        <w:t>段第</w:t>
      </w:r>
      <w:r w:rsidRPr="00BF42B7">
        <w:rPr>
          <w:szCs w:val="21"/>
          <w:lang w:val="fr-CH"/>
        </w:rPr>
        <w:t>2</w:t>
      </w:r>
      <w:r w:rsidRPr="00BF42B7">
        <w:rPr>
          <w:szCs w:val="21"/>
          <w:lang w:val="fr-CH"/>
        </w:rPr>
        <w:t>句更具体地说明了第三十一条和第三十二条涉及用嗣后协定和嗣后惯例作为解释手段的一些要素，并确认第三十一条第三款规定的嗣后协定和嗣后惯例属于</w:t>
      </w:r>
      <w:r w:rsidR="00E83B81">
        <w:rPr>
          <w:rFonts w:hint="eastAsia"/>
          <w:szCs w:val="21"/>
          <w:lang w:val="fr-CH"/>
        </w:rPr>
        <w:t>国</w:t>
      </w:r>
      <w:r w:rsidRPr="00BF42B7">
        <w:rPr>
          <w:szCs w:val="21"/>
          <w:lang w:val="fr-CH"/>
        </w:rPr>
        <w:t>际组织组成文书的解释手段，第三十二条规定的其他嗣后惯例可以作为国际组织组成文书的解释手段。</w:t>
      </w:r>
    </w:p>
    <w:p w:rsidR="00B75685" w:rsidRPr="00BF42B7" w:rsidRDefault="00B75685" w:rsidP="00B75685">
      <w:pPr>
        <w:pStyle w:val="SingleTxtGC"/>
        <w:rPr>
          <w:szCs w:val="21"/>
        </w:rPr>
      </w:pPr>
      <w:r w:rsidRPr="00BF42B7">
        <w:rPr>
          <w:szCs w:val="21"/>
          <w:lang w:val="fr-CH"/>
        </w:rPr>
        <w:t xml:space="preserve">(10)  </w:t>
      </w:r>
      <w:r w:rsidRPr="00BF42B7">
        <w:rPr>
          <w:szCs w:val="21"/>
          <w:lang w:val="fr-CH"/>
        </w:rPr>
        <w:t>国际法院确认第三十一条第三款</w:t>
      </w:r>
      <w:r w:rsidRPr="00BF42B7">
        <w:rPr>
          <w:szCs w:val="21"/>
          <w:lang w:val="fr-CH"/>
        </w:rPr>
        <w:t>(b)</w:t>
      </w:r>
      <w:r w:rsidRPr="00BF42B7">
        <w:rPr>
          <w:szCs w:val="21"/>
          <w:lang w:val="fr-CH"/>
        </w:rPr>
        <w:t>项适用于国际组织组成文书。法院在关于</w:t>
      </w:r>
      <w:r w:rsidRPr="00BF42B7">
        <w:rPr>
          <w:rFonts w:hint="eastAsia"/>
          <w:szCs w:val="21"/>
          <w:lang w:val="fr-CH"/>
        </w:rPr>
        <w:t>“</w:t>
      </w:r>
      <w:r w:rsidRPr="00BF42B7">
        <w:rPr>
          <w:rFonts w:ascii="Time New Roman" w:eastAsia="楷体" w:hAnsi="Time New Roman"/>
          <w:szCs w:val="21"/>
          <w:lang w:val="fr-CH"/>
        </w:rPr>
        <w:t>国家在武装冲突中使用核武器的合法性</w:t>
      </w:r>
      <w:r w:rsidRPr="00BF42B7">
        <w:rPr>
          <w:rFonts w:hint="eastAsia"/>
          <w:szCs w:val="21"/>
          <w:lang w:val="fr-CH"/>
        </w:rPr>
        <w:t>”</w:t>
      </w:r>
      <w:r w:rsidRPr="00BF42B7">
        <w:rPr>
          <w:szCs w:val="21"/>
          <w:lang w:val="fr-CH"/>
        </w:rPr>
        <w:t>的咨询意见中，首先表示国际组织组成文书是一类特殊的条约，然后谈到对世卫组织《组织法》的解释：</w:t>
      </w:r>
    </w:p>
    <w:p w:rsidR="00B75685" w:rsidRPr="00BF42B7" w:rsidRDefault="00B75685" w:rsidP="00B75685">
      <w:pPr>
        <w:pStyle w:val="SingleTxtGC"/>
        <w:ind w:left="1565"/>
        <w:rPr>
          <w:szCs w:val="21"/>
        </w:rPr>
      </w:pPr>
      <w:r w:rsidRPr="00BF42B7">
        <w:rPr>
          <w:rFonts w:hint="eastAsia"/>
          <w:szCs w:val="21"/>
          <w:lang w:val="fr-CH"/>
        </w:rPr>
        <w:t>“</w:t>
      </w:r>
      <w:r w:rsidRPr="00BF42B7">
        <w:rPr>
          <w:szCs w:val="21"/>
          <w:lang w:val="fr-CH"/>
        </w:rPr>
        <w:t>按照</w:t>
      </w:r>
      <w:r w:rsidRPr="00BF42B7">
        <w:rPr>
          <w:szCs w:val="21"/>
          <w:lang w:val="fr-CH"/>
        </w:rPr>
        <w:t>1969</w:t>
      </w:r>
      <w:r w:rsidRPr="00BF42B7">
        <w:rPr>
          <w:szCs w:val="21"/>
          <w:lang w:val="fr-CH"/>
        </w:rPr>
        <w:t>年</w:t>
      </w:r>
      <w:r w:rsidRPr="00BF42B7">
        <w:rPr>
          <w:szCs w:val="21"/>
        </w:rPr>
        <w:t>《维也纳条约法公约》</w:t>
      </w:r>
      <w:r w:rsidRPr="00BF42B7">
        <w:rPr>
          <w:szCs w:val="21"/>
          <w:lang w:val="fr-CH"/>
        </w:rPr>
        <w:t>第三十一条表述的习惯解释规则，条约的条款必须</w:t>
      </w:r>
      <w:r w:rsidRPr="00BF42B7">
        <w:rPr>
          <w:rFonts w:hint="eastAsia"/>
          <w:szCs w:val="21"/>
          <w:lang w:val="fr-CH"/>
        </w:rPr>
        <w:t>‘</w:t>
      </w:r>
      <w:r w:rsidRPr="00BF42B7">
        <w:rPr>
          <w:szCs w:val="21"/>
          <w:lang w:val="fr-CH"/>
        </w:rPr>
        <w:t>按其上下文并参照条约之目的及宗旨</w:t>
      </w:r>
      <w:r w:rsidRPr="00BF42B7">
        <w:rPr>
          <w:rFonts w:hint="eastAsia"/>
          <w:szCs w:val="21"/>
          <w:lang w:val="fr-CH"/>
        </w:rPr>
        <w:t>’</w:t>
      </w:r>
      <w:r w:rsidRPr="00BF42B7">
        <w:rPr>
          <w:szCs w:val="21"/>
          <w:lang w:val="fr-CH"/>
        </w:rPr>
        <w:t>来解释，而且应</w:t>
      </w:r>
      <w:r w:rsidRPr="00BF42B7">
        <w:rPr>
          <w:rFonts w:hint="eastAsia"/>
          <w:szCs w:val="21"/>
          <w:lang w:val="fr-CH"/>
        </w:rPr>
        <w:t>‘</w:t>
      </w:r>
      <w:r w:rsidRPr="00BF42B7">
        <w:rPr>
          <w:szCs w:val="21"/>
          <w:lang w:val="fr-CH"/>
        </w:rPr>
        <w:t>与上下文一并考虑者尚有：</w:t>
      </w:r>
    </w:p>
    <w:p w:rsidR="00B75685" w:rsidRPr="00BF42B7" w:rsidRDefault="00B75685" w:rsidP="00B75685">
      <w:pPr>
        <w:pStyle w:val="SingleTxtGC"/>
        <w:rPr>
          <w:szCs w:val="21"/>
        </w:rPr>
      </w:pPr>
      <w:r w:rsidRPr="00BF42B7">
        <w:rPr>
          <w:szCs w:val="21"/>
          <w:lang w:val="fr-CH"/>
        </w:rPr>
        <w:tab/>
      </w:r>
      <w:r w:rsidRPr="00BF42B7">
        <w:rPr>
          <w:rFonts w:hint="eastAsia"/>
          <w:szCs w:val="21"/>
          <w:lang w:val="fr-CH"/>
        </w:rPr>
        <w:t>……</w:t>
      </w:r>
    </w:p>
    <w:p w:rsidR="00B75685" w:rsidRPr="00BF42B7" w:rsidRDefault="00E83B81" w:rsidP="00B75685">
      <w:pPr>
        <w:pStyle w:val="SingleTxtGC"/>
        <w:ind w:left="1565"/>
        <w:rPr>
          <w:szCs w:val="21"/>
        </w:rPr>
      </w:pPr>
      <w:r>
        <w:rPr>
          <w:rFonts w:hint="eastAsia"/>
          <w:szCs w:val="21"/>
          <w:lang w:val="fr-CH"/>
        </w:rPr>
        <w:tab/>
      </w:r>
      <w:r w:rsidR="00B75685" w:rsidRPr="00BF42B7">
        <w:rPr>
          <w:rFonts w:hint="eastAsia"/>
          <w:szCs w:val="21"/>
          <w:lang w:val="fr-CH"/>
        </w:rPr>
        <w:t>“</w:t>
      </w:r>
      <w:r w:rsidR="00B75685" w:rsidRPr="00BF42B7">
        <w:rPr>
          <w:rFonts w:hint="eastAsia"/>
          <w:szCs w:val="21"/>
        </w:rPr>
        <w:t>‘</w:t>
      </w:r>
      <w:r w:rsidR="00B75685" w:rsidRPr="00BF42B7">
        <w:rPr>
          <w:szCs w:val="21"/>
        </w:rPr>
        <w:t>(b)</w:t>
      </w:r>
      <w:r w:rsidR="00B75685" w:rsidRPr="00BF42B7">
        <w:rPr>
          <w:szCs w:val="21"/>
        </w:rPr>
        <w:t>嗣后在条约适用方面确定各当事国对条约解释之协定之任何惯例</w:t>
      </w:r>
      <w:r w:rsidR="00B75685" w:rsidRPr="00BF42B7">
        <w:rPr>
          <w:rFonts w:hint="eastAsia"/>
          <w:szCs w:val="21"/>
        </w:rPr>
        <w:t>’</w:t>
      </w:r>
      <w:r w:rsidR="00B75685" w:rsidRPr="00BF42B7">
        <w:rPr>
          <w:szCs w:val="21"/>
          <w:lang w:val="fr-CH"/>
        </w:rPr>
        <w:t>。</w:t>
      </w:r>
      <w:r w:rsidR="00B75685" w:rsidRPr="00BF42B7">
        <w:rPr>
          <w:rFonts w:hint="eastAsia"/>
          <w:szCs w:val="21"/>
          <w:lang w:val="fr-CH"/>
        </w:rPr>
        <w:t>”</w:t>
      </w:r>
      <w:r w:rsidR="00B75685" w:rsidRPr="00BF42B7">
        <w:rPr>
          <w:color w:val="0000FF"/>
          <w:szCs w:val="21"/>
          <w:vertAlign w:val="superscript"/>
          <w:lang w:val="fr-CH"/>
        </w:rPr>
        <w:footnoteReference w:id="913"/>
      </w:r>
      <w:r w:rsidR="00B75685" w:rsidRPr="00BF42B7">
        <w:rPr>
          <w:color w:val="0000FF"/>
          <w:szCs w:val="21"/>
          <w:vertAlign w:val="superscript"/>
          <w:lang w:val="fr-CH"/>
        </w:rPr>
        <w:t xml:space="preserve"> </w:t>
      </w:r>
    </w:p>
    <w:p w:rsidR="00B75685" w:rsidRPr="00BF42B7" w:rsidRDefault="00B75685" w:rsidP="00B75685">
      <w:pPr>
        <w:pStyle w:val="SingleTxtGC"/>
        <w:rPr>
          <w:szCs w:val="21"/>
        </w:rPr>
      </w:pPr>
      <w:r w:rsidRPr="00BF42B7">
        <w:rPr>
          <w:szCs w:val="21"/>
          <w:lang w:val="fr-CH"/>
        </w:rPr>
        <w:t>法院援引其自身判例法中把第三十一条第三款</w:t>
      </w:r>
      <w:r w:rsidRPr="00BF42B7">
        <w:rPr>
          <w:szCs w:val="21"/>
          <w:lang w:val="fr-CH"/>
        </w:rPr>
        <w:t>(b)</w:t>
      </w:r>
      <w:r w:rsidRPr="00BF42B7">
        <w:rPr>
          <w:szCs w:val="21"/>
          <w:lang w:val="fr-CH"/>
        </w:rPr>
        <w:t>项所述嗣后惯例作为解释资料的各种先例，然后宣布第三十一条第三款</w:t>
      </w:r>
      <w:r w:rsidRPr="00BF42B7">
        <w:rPr>
          <w:szCs w:val="21"/>
          <w:lang w:val="fr-CH"/>
        </w:rPr>
        <w:t>(b)</w:t>
      </w:r>
      <w:r w:rsidRPr="00BF42B7">
        <w:rPr>
          <w:szCs w:val="21"/>
          <w:lang w:val="fr-CH"/>
        </w:rPr>
        <w:t>项：</w:t>
      </w:r>
    </w:p>
    <w:p w:rsidR="00B75685" w:rsidRPr="00BF42B7" w:rsidRDefault="00B75685" w:rsidP="00B75685">
      <w:pPr>
        <w:pStyle w:val="SingleTxtGC"/>
        <w:ind w:left="1565"/>
        <w:rPr>
          <w:szCs w:val="21"/>
        </w:rPr>
      </w:pPr>
      <w:r w:rsidRPr="00BF42B7">
        <w:rPr>
          <w:rFonts w:hint="eastAsia"/>
          <w:szCs w:val="21"/>
          <w:lang w:val="fr-CH"/>
        </w:rPr>
        <w:t>“……</w:t>
      </w:r>
      <w:r w:rsidRPr="00BF42B7">
        <w:rPr>
          <w:szCs w:val="21"/>
          <w:lang w:val="fr-CH"/>
        </w:rPr>
        <w:t>将在本案中同样适用，以便法院裁定根据世卫组织《组织法》，法院要作出答复的问题是否该组织</w:t>
      </w:r>
      <w:r w:rsidRPr="00BF42B7">
        <w:rPr>
          <w:rFonts w:hint="eastAsia"/>
          <w:szCs w:val="21"/>
          <w:lang w:val="fr-CH"/>
        </w:rPr>
        <w:t>‘</w:t>
      </w:r>
      <w:r w:rsidRPr="00BF42B7">
        <w:rPr>
          <w:szCs w:val="21"/>
          <w:lang w:val="fr-CH"/>
        </w:rPr>
        <w:t>活动范畴内</w:t>
      </w:r>
      <w:r w:rsidRPr="00BF42B7">
        <w:rPr>
          <w:rFonts w:hint="eastAsia"/>
          <w:szCs w:val="21"/>
          <w:lang w:val="fr-CH"/>
        </w:rPr>
        <w:t>’</w:t>
      </w:r>
      <w:r w:rsidRPr="00BF42B7">
        <w:rPr>
          <w:szCs w:val="21"/>
          <w:lang w:val="fr-CH"/>
        </w:rPr>
        <w:t>产生的问题。</w:t>
      </w:r>
      <w:r w:rsidRPr="00BF42B7">
        <w:rPr>
          <w:rFonts w:hint="eastAsia"/>
          <w:szCs w:val="21"/>
          <w:lang w:val="fr-CH"/>
        </w:rPr>
        <w:t>”</w:t>
      </w:r>
      <w:r w:rsidRPr="00BF42B7">
        <w:rPr>
          <w:color w:val="0000FF"/>
          <w:szCs w:val="21"/>
          <w:vertAlign w:val="superscript"/>
          <w:lang w:val="fr-CH"/>
        </w:rPr>
        <w:footnoteReference w:id="914"/>
      </w:r>
      <w:r w:rsidRPr="00BF42B7">
        <w:rPr>
          <w:color w:val="0000FF"/>
          <w:szCs w:val="21"/>
          <w:vertAlign w:val="superscript"/>
          <w:lang w:val="fr-CH"/>
        </w:rPr>
        <w:t xml:space="preserve"> </w:t>
      </w:r>
    </w:p>
    <w:p w:rsidR="00B75685" w:rsidRPr="00BF42B7" w:rsidRDefault="00B75685" w:rsidP="00B75685">
      <w:pPr>
        <w:pStyle w:val="SingleTxtGC"/>
        <w:rPr>
          <w:szCs w:val="21"/>
        </w:rPr>
      </w:pPr>
      <w:r w:rsidRPr="00BF42B7">
        <w:rPr>
          <w:szCs w:val="21"/>
          <w:lang w:val="fr-CH"/>
        </w:rPr>
        <w:t xml:space="preserve">(11)  </w:t>
      </w:r>
      <w:r w:rsidRPr="00BF42B7">
        <w:rPr>
          <w:rFonts w:ascii="Time New Roman" w:eastAsia="楷体" w:hAnsi="Time New Roman"/>
          <w:szCs w:val="21"/>
          <w:lang w:val="fr-CH"/>
        </w:rPr>
        <w:t>喀麦隆和尼日利亚间陆地和海洋疆界</w:t>
      </w:r>
      <w:r w:rsidRPr="00BF42B7">
        <w:rPr>
          <w:szCs w:val="21"/>
          <w:lang w:val="fr-CH"/>
        </w:rPr>
        <w:t>案作为一个涉及国际组织组成文书解释的案件，法院在对该案的裁决中再次强调缔约方的嗣后惯例。</w:t>
      </w:r>
      <w:r w:rsidRPr="00BF42B7">
        <w:rPr>
          <w:color w:val="0000FF"/>
          <w:szCs w:val="21"/>
          <w:vertAlign w:val="superscript"/>
          <w:lang w:val="fr-CH"/>
        </w:rPr>
        <w:footnoteReference w:id="915"/>
      </w:r>
      <w:r w:rsidRPr="00BF42B7">
        <w:rPr>
          <w:color w:val="0000FF"/>
          <w:szCs w:val="21"/>
          <w:vertAlign w:val="superscript"/>
          <w:lang w:val="fr-CH"/>
        </w:rPr>
        <w:t xml:space="preserve"> </w:t>
      </w:r>
      <w:r w:rsidRPr="00BF42B7">
        <w:rPr>
          <w:szCs w:val="21"/>
          <w:lang w:val="fr-CH"/>
        </w:rPr>
        <w:t>法院</w:t>
      </w:r>
      <w:r w:rsidRPr="00BF42B7">
        <w:rPr>
          <w:spacing w:val="2"/>
          <w:szCs w:val="21"/>
          <w:lang w:val="fr-CH"/>
        </w:rPr>
        <w:t>基于</w:t>
      </w:r>
      <w:r w:rsidRPr="00BF42B7">
        <w:rPr>
          <w:rFonts w:hint="eastAsia"/>
          <w:szCs w:val="21"/>
          <w:lang w:val="fr-CH"/>
        </w:rPr>
        <w:t>“</w:t>
      </w:r>
      <w:r w:rsidRPr="00BF42B7">
        <w:rPr>
          <w:szCs w:val="21"/>
          <w:lang w:val="fr-CH"/>
        </w:rPr>
        <w:t>成员国还将条约原始文本中没有规定的某些任务委托给该委员会</w:t>
      </w:r>
      <w:r w:rsidRPr="00BF42B7">
        <w:rPr>
          <w:rFonts w:hint="eastAsia"/>
          <w:szCs w:val="21"/>
          <w:lang w:val="fr-CH"/>
        </w:rPr>
        <w:t>”</w:t>
      </w:r>
      <w:r w:rsidRPr="00BF42B7">
        <w:rPr>
          <w:szCs w:val="21"/>
          <w:lang w:val="fr-CH"/>
        </w:rPr>
        <w:t>的观察，</w:t>
      </w:r>
      <w:r w:rsidRPr="00BF42B7">
        <w:rPr>
          <w:color w:val="0000FF"/>
          <w:szCs w:val="21"/>
          <w:vertAlign w:val="superscript"/>
          <w:lang w:val="fr-CH"/>
        </w:rPr>
        <w:footnoteReference w:id="916"/>
      </w:r>
      <w:r w:rsidRPr="00BF42B7">
        <w:rPr>
          <w:color w:val="0000FF"/>
          <w:szCs w:val="21"/>
          <w:vertAlign w:val="superscript"/>
          <w:lang w:val="fr-CH"/>
        </w:rPr>
        <w:t xml:space="preserve"> </w:t>
      </w:r>
      <w:r w:rsidRPr="00BF42B7">
        <w:rPr>
          <w:szCs w:val="21"/>
          <w:lang w:val="fr-CH"/>
        </w:rPr>
        <w:t>得出结论认为：</w:t>
      </w:r>
    </w:p>
    <w:p w:rsidR="00B75685" w:rsidRPr="00BF42B7" w:rsidRDefault="00B75685" w:rsidP="00B75685">
      <w:pPr>
        <w:pStyle w:val="SingleTxtGC"/>
        <w:ind w:left="1565"/>
        <w:rPr>
          <w:szCs w:val="21"/>
        </w:rPr>
      </w:pPr>
      <w:r w:rsidRPr="00BF42B7">
        <w:rPr>
          <w:rFonts w:hint="eastAsia"/>
          <w:szCs w:val="21"/>
          <w:lang w:val="fr-CH"/>
        </w:rPr>
        <w:t>“</w:t>
      </w:r>
      <w:r w:rsidRPr="00BF42B7">
        <w:rPr>
          <w:szCs w:val="21"/>
          <w:lang w:val="fr-CH"/>
        </w:rPr>
        <w:t>从上文第</w:t>
      </w:r>
      <w:r w:rsidRPr="00BF42B7">
        <w:rPr>
          <w:szCs w:val="21"/>
          <w:lang w:val="fr-CH"/>
        </w:rPr>
        <w:t>64</w:t>
      </w:r>
      <w:r w:rsidRPr="00BF42B7">
        <w:rPr>
          <w:szCs w:val="21"/>
          <w:lang w:val="fr-CH"/>
        </w:rPr>
        <w:t>段和第</w:t>
      </w:r>
      <w:r w:rsidRPr="00BF42B7">
        <w:rPr>
          <w:szCs w:val="21"/>
          <w:lang w:val="fr-CH"/>
        </w:rPr>
        <w:t>65</w:t>
      </w:r>
      <w:r w:rsidRPr="00BF42B7">
        <w:rPr>
          <w:szCs w:val="21"/>
          <w:lang w:val="fr-CH"/>
        </w:rPr>
        <w:t>段所分析的条约文本和</w:t>
      </w:r>
      <w:r w:rsidRPr="00BF42B7">
        <w:rPr>
          <w:szCs w:val="21"/>
          <w:lang w:val="fr-CH"/>
        </w:rPr>
        <w:t>[</w:t>
      </w:r>
      <w:r w:rsidRPr="00BF42B7">
        <w:rPr>
          <w:szCs w:val="21"/>
          <w:lang w:val="fr-CH"/>
        </w:rPr>
        <w:t>缔约方</w:t>
      </w:r>
      <w:r w:rsidRPr="00BF42B7">
        <w:rPr>
          <w:szCs w:val="21"/>
          <w:lang w:val="fr-CH"/>
        </w:rPr>
        <w:t>]</w:t>
      </w:r>
      <w:r w:rsidRPr="00BF42B7">
        <w:rPr>
          <w:szCs w:val="21"/>
          <w:lang w:val="fr-CH"/>
        </w:rPr>
        <w:t>惯例看，乍得湖盆地委员会是一个在特定地域范围内行使权力的国际组织；然而，该委员会的宗旨不包括在区域一级解决维护国际和平与安全方面的问题，因此不属于《宪章》第八章适用的范畴。</w:t>
      </w:r>
      <w:r w:rsidRPr="00BF42B7">
        <w:rPr>
          <w:rFonts w:hint="eastAsia"/>
          <w:szCs w:val="21"/>
          <w:lang w:val="fr-CH"/>
        </w:rPr>
        <w:t>”</w:t>
      </w:r>
      <w:r w:rsidRPr="00BF42B7">
        <w:rPr>
          <w:color w:val="0000FF"/>
          <w:szCs w:val="21"/>
          <w:vertAlign w:val="superscript"/>
          <w:lang w:val="fr-CH"/>
        </w:rPr>
        <w:footnoteReference w:id="917"/>
      </w:r>
      <w:r w:rsidRPr="00BF42B7">
        <w:rPr>
          <w:color w:val="0000FF"/>
          <w:szCs w:val="21"/>
          <w:vertAlign w:val="superscript"/>
          <w:lang w:val="fr-CH"/>
        </w:rPr>
        <w:t xml:space="preserve"> </w:t>
      </w:r>
    </w:p>
    <w:p w:rsidR="00B75685" w:rsidRPr="00BF42B7" w:rsidRDefault="00B75685" w:rsidP="00B75685">
      <w:pPr>
        <w:pStyle w:val="SingleTxtGC"/>
        <w:rPr>
          <w:szCs w:val="21"/>
        </w:rPr>
      </w:pPr>
      <w:r w:rsidRPr="00BF42B7">
        <w:rPr>
          <w:szCs w:val="21"/>
          <w:lang w:val="fr-CH"/>
        </w:rPr>
        <w:t xml:space="preserve">(12)  </w:t>
      </w:r>
      <w:r w:rsidRPr="00BF42B7">
        <w:rPr>
          <w:szCs w:val="21"/>
          <w:lang w:val="fr-CH"/>
        </w:rPr>
        <w:t>第三十一条第三款</w:t>
      </w:r>
      <w:r w:rsidRPr="00BF42B7">
        <w:rPr>
          <w:szCs w:val="21"/>
          <w:lang w:val="fr-CH"/>
        </w:rPr>
        <w:t>(a)</w:t>
      </w:r>
      <w:r w:rsidRPr="00BF42B7">
        <w:rPr>
          <w:szCs w:val="21"/>
          <w:lang w:val="fr-CH"/>
        </w:rPr>
        <w:t>项也适用于国际组织组成条约。</w:t>
      </w:r>
      <w:r w:rsidRPr="00BF42B7">
        <w:rPr>
          <w:color w:val="0000FF"/>
          <w:szCs w:val="21"/>
          <w:vertAlign w:val="superscript"/>
          <w:lang w:val="fr-CH"/>
        </w:rPr>
        <w:footnoteReference w:id="918"/>
      </w:r>
      <w:r w:rsidRPr="00BF42B7">
        <w:rPr>
          <w:color w:val="0000FF"/>
          <w:szCs w:val="21"/>
          <w:vertAlign w:val="superscript"/>
          <w:lang w:val="fr-CH"/>
        </w:rPr>
        <w:t xml:space="preserve"> </w:t>
      </w:r>
      <w:r w:rsidRPr="00BF42B7">
        <w:rPr>
          <w:szCs w:val="21"/>
          <w:lang w:val="fr-CH"/>
        </w:rPr>
        <w:t>但是，成员国之间关于国际组织组成文书解释问题的单独嗣后协定很少见。此类文书产生解释问题时，缔约方通常在该组织的全体机关框架内以成员身份行事。如果需要对条约进行修改、修订或补充，成员国或者使用条约中规定的修订程序进行修订，或者另外订立一个条约，通常是议定书。</w:t>
      </w:r>
      <w:r w:rsidRPr="00BF42B7">
        <w:rPr>
          <w:color w:val="0000FF"/>
          <w:szCs w:val="21"/>
          <w:vertAlign w:val="superscript"/>
          <w:lang w:val="fr-CH"/>
        </w:rPr>
        <w:footnoteReference w:id="919"/>
      </w:r>
      <w:r w:rsidRPr="00BF42B7">
        <w:rPr>
          <w:color w:val="0000FF"/>
          <w:szCs w:val="21"/>
          <w:vertAlign w:val="superscript"/>
          <w:lang w:val="fr-CH"/>
        </w:rPr>
        <w:t xml:space="preserve"> </w:t>
      </w:r>
      <w:r w:rsidRPr="00BF42B7">
        <w:rPr>
          <w:szCs w:val="21"/>
          <w:lang w:val="fr-CH"/>
        </w:rPr>
        <w:t>但是，缔约方在相关组织的全体机关内开会时也有可能以缔约方身份行事。</w:t>
      </w:r>
      <w:r w:rsidRPr="00BF42B7">
        <w:rPr>
          <w:szCs w:val="21"/>
          <w:lang w:val="fr-CH"/>
        </w:rPr>
        <w:t>1995</w:t>
      </w:r>
      <w:r w:rsidRPr="00BF42B7">
        <w:rPr>
          <w:szCs w:val="21"/>
          <w:lang w:val="fr-CH"/>
        </w:rPr>
        <w:t>年：</w:t>
      </w:r>
    </w:p>
    <w:p w:rsidR="00B75685" w:rsidRPr="00BF42B7" w:rsidRDefault="00B75685" w:rsidP="00B75685">
      <w:pPr>
        <w:pStyle w:val="SingleTxtGC"/>
        <w:ind w:left="1565"/>
        <w:rPr>
          <w:szCs w:val="21"/>
        </w:rPr>
      </w:pPr>
      <w:r w:rsidRPr="00BF42B7">
        <w:rPr>
          <w:rFonts w:hint="eastAsia"/>
          <w:szCs w:val="21"/>
          <w:lang w:val="fr-CH"/>
        </w:rPr>
        <w:t>“</w:t>
      </w:r>
      <w:r w:rsidRPr="00BF42B7">
        <w:rPr>
          <w:szCs w:val="21"/>
          <w:lang w:val="fr-CH"/>
        </w:rPr>
        <w:t>15</w:t>
      </w:r>
      <w:r w:rsidRPr="00BF42B7">
        <w:rPr>
          <w:szCs w:val="21"/>
          <w:lang w:val="fr-CH"/>
        </w:rPr>
        <w:t>个成员国的政府已经达成共同协定，</w:t>
      </w:r>
      <w:r w:rsidRPr="00BF42B7">
        <w:rPr>
          <w:szCs w:val="21"/>
        </w:rPr>
        <w:t>认为</w:t>
      </w:r>
      <w:r w:rsidRPr="00BF42B7">
        <w:rPr>
          <w:szCs w:val="21"/>
          <w:lang w:val="fr-CH"/>
        </w:rPr>
        <w:t>这项决定是对《条约》有关条款一致认同的最终解释。</w:t>
      </w:r>
      <w:r w:rsidRPr="00BF42B7">
        <w:rPr>
          <w:rFonts w:hint="eastAsia"/>
          <w:szCs w:val="21"/>
          <w:lang w:val="fr-CH"/>
        </w:rPr>
        <w:t>”</w:t>
      </w:r>
      <w:r w:rsidRPr="00BF42B7">
        <w:rPr>
          <w:color w:val="0000FF"/>
          <w:szCs w:val="21"/>
          <w:vertAlign w:val="superscript"/>
          <w:lang w:val="fr-CH"/>
        </w:rPr>
        <w:footnoteReference w:id="920"/>
      </w:r>
      <w:r w:rsidRPr="00BF42B7">
        <w:rPr>
          <w:color w:val="0000FF"/>
          <w:szCs w:val="21"/>
          <w:vertAlign w:val="superscript"/>
          <w:lang w:val="fr-CH"/>
        </w:rPr>
        <w:t xml:space="preserve"> </w:t>
      </w:r>
    </w:p>
    <w:p w:rsidR="00B75685" w:rsidRPr="00BF42B7" w:rsidRDefault="00B75685" w:rsidP="00B75685">
      <w:pPr>
        <w:pStyle w:val="SingleTxtGC"/>
        <w:rPr>
          <w:szCs w:val="21"/>
        </w:rPr>
      </w:pPr>
      <w:r w:rsidRPr="00BF42B7">
        <w:rPr>
          <w:szCs w:val="21"/>
          <w:lang w:val="fr-CH"/>
        </w:rPr>
        <w:t>也就是说：</w:t>
      </w:r>
    </w:p>
    <w:p w:rsidR="00B75685" w:rsidRPr="00BF42B7" w:rsidRDefault="00B75685" w:rsidP="00B75685">
      <w:pPr>
        <w:pStyle w:val="SingleTxtGC"/>
        <w:ind w:left="1565"/>
        <w:rPr>
          <w:szCs w:val="21"/>
        </w:rPr>
      </w:pPr>
      <w:r w:rsidRPr="00BF42B7">
        <w:rPr>
          <w:rFonts w:hint="eastAsia"/>
          <w:szCs w:val="21"/>
          <w:lang w:val="fr-CH"/>
        </w:rPr>
        <w:t>“……</w:t>
      </w:r>
      <w:r w:rsidRPr="00BF42B7">
        <w:rPr>
          <w:szCs w:val="21"/>
          <w:lang w:val="fr-CH"/>
        </w:rPr>
        <w:t>欧洲货币的名称定为欧元。</w:t>
      </w:r>
      <w:r w:rsidRPr="00BF42B7">
        <w:rPr>
          <w:rFonts w:hint="eastAsia"/>
          <w:szCs w:val="21"/>
          <w:lang w:val="fr-CH"/>
        </w:rPr>
        <w:t>……</w:t>
      </w:r>
      <w:r w:rsidRPr="00BF42B7">
        <w:rPr>
          <w:szCs w:val="21"/>
          <w:lang w:val="fr-CH"/>
        </w:rPr>
        <w:t>将使用欧元这个具体名称，而不是《条约》中用来指称欧洲货币单位的通用术语</w:t>
      </w:r>
      <w:r w:rsidRPr="00BF42B7">
        <w:rPr>
          <w:rFonts w:hint="eastAsia"/>
          <w:szCs w:val="21"/>
          <w:lang w:val="fr-CH"/>
        </w:rPr>
        <w:t>‘</w:t>
      </w:r>
      <w:r w:rsidRPr="00BF42B7">
        <w:rPr>
          <w:szCs w:val="21"/>
          <w:lang w:val="fr-CH"/>
        </w:rPr>
        <w:t>ecu</w:t>
      </w:r>
      <w:r w:rsidRPr="00BF42B7">
        <w:rPr>
          <w:rFonts w:hint="eastAsia"/>
          <w:szCs w:val="21"/>
          <w:lang w:val="fr-CH"/>
        </w:rPr>
        <w:t>’</w:t>
      </w:r>
      <w:r w:rsidRPr="00BF42B7">
        <w:rPr>
          <w:szCs w:val="21"/>
          <w:lang w:val="fr-CH"/>
        </w:rPr>
        <w:t>。</w:t>
      </w:r>
      <w:r w:rsidRPr="00BF42B7">
        <w:rPr>
          <w:rFonts w:hint="eastAsia"/>
          <w:szCs w:val="21"/>
          <w:lang w:val="fr-CH"/>
        </w:rPr>
        <w:t>”</w:t>
      </w:r>
      <w:r w:rsidRPr="00BF42B7">
        <w:rPr>
          <w:color w:val="0000FF"/>
          <w:szCs w:val="21"/>
          <w:vertAlign w:val="superscript"/>
          <w:lang w:val="fr-CH"/>
        </w:rPr>
        <w:footnoteReference w:id="921"/>
      </w:r>
      <w:r w:rsidRPr="00BF42B7">
        <w:rPr>
          <w:color w:val="0000FF"/>
          <w:szCs w:val="21"/>
          <w:vertAlign w:val="superscript"/>
          <w:lang w:val="fr-CH"/>
        </w:rPr>
        <w:t xml:space="preserve"> </w:t>
      </w:r>
    </w:p>
    <w:p w:rsidR="00B75685" w:rsidRPr="00BF42B7" w:rsidRDefault="00B75685" w:rsidP="00B75685">
      <w:pPr>
        <w:pStyle w:val="SingleTxtGC"/>
        <w:rPr>
          <w:szCs w:val="21"/>
        </w:rPr>
      </w:pPr>
      <w:r w:rsidRPr="00BF42B7">
        <w:rPr>
          <w:szCs w:val="21"/>
          <w:lang w:val="fr-CH"/>
        </w:rPr>
        <w:t>欧洲联盟</w:t>
      </w:r>
      <w:r w:rsidRPr="00BF42B7">
        <w:rPr>
          <w:rFonts w:hint="eastAsia"/>
          <w:szCs w:val="21"/>
          <w:lang w:val="fr-CH"/>
        </w:rPr>
        <w:t>“</w:t>
      </w:r>
      <w:r w:rsidRPr="00BF42B7">
        <w:rPr>
          <w:szCs w:val="21"/>
          <w:lang w:val="fr-CH"/>
        </w:rPr>
        <w:t>在联盟内开会的成员国</w:t>
      </w:r>
      <w:r w:rsidRPr="00BF42B7">
        <w:rPr>
          <w:rFonts w:hint="eastAsia"/>
          <w:szCs w:val="21"/>
          <w:lang w:val="fr-CH"/>
        </w:rPr>
        <w:t>”</w:t>
      </w:r>
      <w:r w:rsidRPr="00BF42B7">
        <w:rPr>
          <w:szCs w:val="21"/>
          <w:lang w:val="fr-CH"/>
        </w:rPr>
        <w:t>作出的决定在文献里被视为第三十一条第三款</w:t>
      </w:r>
      <w:r w:rsidRPr="00BF42B7">
        <w:rPr>
          <w:szCs w:val="21"/>
          <w:lang w:val="fr-CH"/>
        </w:rPr>
        <w:t>(a)</w:t>
      </w:r>
      <w:r w:rsidRPr="00BF42B7">
        <w:rPr>
          <w:szCs w:val="21"/>
          <w:lang w:val="fr-CH"/>
        </w:rPr>
        <w:t>项</w:t>
      </w:r>
      <w:r w:rsidRPr="00BF42B7">
        <w:rPr>
          <w:rFonts w:hint="eastAsia"/>
          <w:szCs w:val="21"/>
          <w:lang w:val="fr-CH"/>
        </w:rPr>
        <w:t>所述</w:t>
      </w:r>
      <w:r w:rsidRPr="00BF42B7">
        <w:rPr>
          <w:szCs w:val="21"/>
          <w:lang w:val="fr-CH"/>
        </w:rPr>
        <w:t>的嗣后协定。</w:t>
      </w:r>
      <w:bookmarkStart w:id="195" w:name="_Ref423341817"/>
      <w:bookmarkEnd w:id="195"/>
      <w:r w:rsidRPr="00BF42B7">
        <w:rPr>
          <w:color w:val="0000FF"/>
          <w:szCs w:val="21"/>
          <w:vertAlign w:val="superscript"/>
          <w:lang w:val="fr-CH"/>
        </w:rPr>
        <w:footnoteReference w:id="922"/>
      </w:r>
      <w:r w:rsidRPr="00BF42B7">
        <w:rPr>
          <w:color w:val="0000FF"/>
          <w:szCs w:val="21"/>
          <w:vertAlign w:val="superscript"/>
          <w:lang w:val="fr-CH"/>
        </w:rPr>
        <w:t xml:space="preserve"> </w:t>
      </w:r>
    </w:p>
    <w:p w:rsidR="00B75685" w:rsidRPr="00BF42B7" w:rsidRDefault="00B75685" w:rsidP="00B75685">
      <w:pPr>
        <w:pStyle w:val="SingleTxtGC"/>
        <w:rPr>
          <w:szCs w:val="21"/>
        </w:rPr>
      </w:pPr>
      <w:r w:rsidRPr="00BF42B7">
        <w:rPr>
          <w:szCs w:val="21"/>
          <w:lang w:val="fr-CH"/>
        </w:rPr>
        <w:t xml:space="preserve">(13)  </w:t>
      </w:r>
      <w:r w:rsidRPr="00BF42B7">
        <w:rPr>
          <w:szCs w:val="21"/>
          <w:lang w:val="fr-CH"/>
        </w:rPr>
        <w:t>有时很难确定在国际组织全体机关</w:t>
      </w:r>
      <w:r w:rsidRPr="00BF42B7">
        <w:rPr>
          <w:rFonts w:hint="eastAsia"/>
          <w:szCs w:val="21"/>
          <w:lang w:val="fr-CH"/>
        </w:rPr>
        <w:t>“</w:t>
      </w:r>
      <w:r w:rsidRPr="00BF42B7">
        <w:rPr>
          <w:szCs w:val="21"/>
          <w:lang w:val="fr-CH"/>
        </w:rPr>
        <w:t>内开会的成员国</w:t>
      </w:r>
      <w:r w:rsidRPr="00BF42B7">
        <w:rPr>
          <w:rFonts w:hint="eastAsia"/>
          <w:szCs w:val="21"/>
          <w:lang w:val="fr-CH"/>
        </w:rPr>
        <w:t>”</w:t>
      </w:r>
      <w:r w:rsidRPr="00BF42B7">
        <w:rPr>
          <w:szCs w:val="21"/>
          <w:lang w:val="fr-CH"/>
        </w:rPr>
        <w:t>是打算像通常那样以该机关成员的身份行事，还是以该组织组成文书缔约国的身份行事。</w:t>
      </w:r>
      <w:r w:rsidRPr="00BF42B7">
        <w:rPr>
          <w:color w:val="0000FF"/>
          <w:szCs w:val="21"/>
          <w:vertAlign w:val="superscript"/>
          <w:lang w:val="fr-CH"/>
        </w:rPr>
        <w:footnoteReference w:id="923"/>
      </w:r>
      <w:r w:rsidRPr="00BF42B7">
        <w:rPr>
          <w:color w:val="0000FF"/>
          <w:szCs w:val="21"/>
          <w:vertAlign w:val="superscript"/>
          <w:lang w:val="fr-CH"/>
        </w:rPr>
        <w:t xml:space="preserve"> </w:t>
      </w:r>
      <w:r w:rsidRPr="00BF42B7">
        <w:rPr>
          <w:szCs w:val="21"/>
          <w:lang w:val="fr-CH"/>
        </w:rPr>
        <w:t>欧洲联盟法院在面对这个问题时首先从考虑对所涉行动的语言描述：</w:t>
      </w:r>
    </w:p>
    <w:p w:rsidR="00B75685" w:rsidRPr="00BF42B7" w:rsidRDefault="00B75685" w:rsidP="00B75685">
      <w:pPr>
        <w:pStyle w:val="SingleTxtGC"/>
        <w:ind w:left="1565"/>
        <w:rPr>
          <w:szCs w:val="21"/>
        </w:rPr>
      </w:pPr>
      <w:r w:rsidRPr="00BF42B7">
        <w:rPr>
          <w:rFonts w:hint="eastAsia"/>
          <w:szCs w:val="21"/>
          <w:lang w:val="fr-CH"/>
        </w:rPr>
        <w:t>“</w:t>
      </w:r>
      <w:r w:rsidRPr="00BF42B7">
        <w:rPr>
          <w:szCs w:val="21"/>
          <w:lang w:val="fr-CH"/>
        </w:rPr>
        <w:t>该条款的措辞明确规定，如果成员国的代表不是以理事会成员的身份而是以其政府代表的身份行事，以此方式集体行使成员国的权力，则此等行动不受法院的司法审查。</w:t>
      </w:r>
      <w:r w:rsidRPr="00BF42B7">
        <w:rPr>
          <w:rFonts w:hint="eastAsia"/>
          <w:szCs w:val="21"/>
          <w:lang w:val="fr-CH"/>
        </w:rPr>
        <w:t>”</w:t>
      </w:r>
      <w:r w:rsidRPr="00BF42B7">
        <w:rPr>
          <w:color w:val="0000FF"/>
          <w:szCs w:val="21"/>
          <w:vertAlign w:val="superscript"/>
          <w:lang w:val="fr-CH"/>
        </w:rPr>
        <w:footnoteReference w:id="924"/>
      </w:r>
      <w:r w:rsidRPr="00BF42B7">
        <w:rPr>
          <w:color w:val="0000FF"/>
          <w:szCs w:val="21"/>
          <w:vertAlign w:val="superscript"/>
          <w:lang w:val="fr-CH"/>
        </w:rPr>
        <w:t xml:space="preserve"> </w:t>
      </w:r>
    </w:p>
    <w:p w:rsidR="00B75685" w:rsidRPr="00BF42B7" w:rsidRDefault="00B75685" w:rsidP="00B75685">
      <w:pPr>
        <w:pStyle w:val="SingleTxtGC"/>
        <w:rPr>
          <w:szCs w:val="21"/>
        </w:rPr>
      </w:pPr>
      <w:r w:rsidRPr="00BF42B7">
        <w:rPr>
          <w:szCs w:val="21"/>
          <w:lang w:val="fr-CH"/>
        </w:rPr>
        <w:t>但是，法院后来还是认为</w:t>
      </w:r>
      <w:r w:rsidRPr="00BF42B7">
        <w:rPr>
          <w:rFonts w:hint="eastAsia"/>
          <w:szCs w:val="21"/>
          <w:lang w:val="fr-CH"/>
        </w:rPr>
        <w:t>“</w:t>
      </w:r>
      <w:r w:rsidRPr="00BF42B7">
        <w:rPr>
          <w:szCs w:val="21"/>
          <w:lang w:val="fr-CH"/>
        </w:rPr>
        <w:t>[</w:t>
      </w:r>
      <w:r w:rsidRPr="00BF42B7">
        <w:rPr>
          <w:szCs w:val="21"/>
          <w:lang w:val="fr-CH"/>
        </w:rPr>
        <w:t>决定</w:t>
      </w:r>
      <w:r w:rsidRPr="00BF42B7">
        <w:rPr>
          <w:szCs w:val="21"/>
          <w:lang w:val="fr-CH"/>
        </w:rPr>
        <w:t>]</w:t>
      </w:r>
      <w:r w:rsidRPr="00BF42B7">
        <w:rPr>
          <w:szCs w:val="21"/>
          <w:lang w:val="fr-CH"/>
        </w:rPr>
        <w:t>的内容及其通过时的全部情形</w:t>
      </w:r>
      <w:r w:rsidRPr="00BF42B7">
        <w:rPr>
          <w:rFonts w:hint="eastAsia"/>
          <w:szCs w:val="21"/>
          <w:lang w:val="fr-CH"/>
        </w:rPr>
        <w:t>”</w:t>
      </w:r>
      <w:r w:rsidRPr="00BF42B7">
        <w:rPr>
          <w:szCs w:val="21"/>
          <w:lang w:val="fr-CH"/>
        </w:rPr>
        <w:t>，在确定该决定是机关的决定还是缔约国自己的决定方面具有决定性意义：</w:t>
      </w:r>
    </w:p>
    <w:p w:rsidR="00B75685" w:rsidRPr="00BF42B7" w:rsidRDefault="00B75685" w:rsidP="00B75685">
      <w:pPr>
        <w:pStyle w:val="SingleTxtGC"/>
        <w:ind w:left="1565"/>
        <w:rPr>
          <w:szCs w:val="21"/>
        </w:rPr>
      </w:pPr>
      <w:r w:rsidRPr="00BF42B7">
        <w:rPr>
          <w:rFonts w:hint="eastAsia"/>
          <w:szCs w:val="21"/>
          <w:lang w:val="fr-CH"/>
        </w:rPr>
        <w:t>“</w:t>
      </w:r>
      <w:r w:rsidRPr="00BF42B7">
        <w:rPr>
          <w:szCs w:val="21"/>
          <w:lang w:val="fr-CH"/>
        </w:rPr>
        <w:t>因此，将一项行动说成是</w:t>
      </w:r>
      <w:r w:rsidRPr="00BF42B7">
        <w:rPr>
          <w:rFonts w:hint="eastAsia"/>
          <w:szCs w:val="21"/>
          <w:lang w:val="fr-CH"/>
        </w:rPr>
        <w:t>‘</w:t>
      </w:r>
      <w:r w:rsidRPr="00BF42B7">
        <w:rPr>
          <w:szCs w:val="21"/>
          <w:lang w:val="fr-CH"/>
        </w:rPr>
        <w:t>成员国的决定</w:t>
      </w:r>
      <w:r w:rsidRPr="00BF42B7">
        <w:rPr>
          <w:rFonts w:hint="eastAsia"/>
          <w:szCs w:val="21"/>
          <w:lang w:val="fr-CH"/>
        </w:rPr>
        <w:t>’</w:t>
      </w:r>
      <w:r w:rsidRPr="00BF42B7">
        <w:rPr>
          <w:szCs w:val="21"/>
          <w:lang w:val="fr-CH"/>
        </w:rPr>
        <w:t>，不足以将其排除在《条约》第</w:t>
      </w:r>
      <w:r w:rsidRPr="00BF42B7">
        <w:rPr>
          <w:szCs w:val="21"/>
          <w:lang w:val="fr-CH"/>
        </w:rPr>
        <w:t>173</w:t>
      </w:r>
      <w:r w:rsidRPr="00BF42B7">
        <w:rPr>
          <w:szCs w:val="21"/>
          <w:lang w:val="fr-CH"/>
        </w:rPr>
        <w:t>条所规定的审查之外。为将一项决定排除在审查范围外，必须从该决定的内容及其通过时的全部情形来确定所涉行动实际上不是理事会的决定。</w:t>
      </w:r>
      <w:r w:rsidRPr="00BF42B7">
        <w:rPr>
          <w:rFonts w:hint="eastAsia"/>
          <w:szCs w:val="21"/>
          <w:lang w:val="fr-CH"/>
        </w:rPr>
        <w:t>”</w:t>
      </w:r>
      <w:r w:rsidRPr="00BF42B7">
        <w:rPr>
          <w:color w:val="0000FF"/>
          <w:szCs w:val="21"/>
          <w:vertAlign w:val="superscript"/>
          <w:lang w:val="fr-CH"/>
        </w:rPr>
        <w:footnoteReference w:id="925"/>
      </w:r>
      <w:r w:rsidRPr="00BF42B7">
        <w:rPr>
          <w:color w:val="0000FF"/>
          <w:szCs w:val="21"/>
          <w:vertAlign w:val="superscript"/>
          <w:lang w:val="fr-CH"/>
        </w:rPr>
        <w:t xml:space="preserve"> </w:t>
      </w:r>
    </w:p>
    <w:p w:rsidR="00B75685" w:rsidRPr="00BF42B7" w:rsidRDefault="00B75685" w:rsidP="00B75685">
      <w:pPr>
        <w:pStyle w:val="SingleTxtGC"/>
        <w:rPr>
          <w:szCs w:val="21"/>
        </w:rPr>
      </w:pPr>
      <w:r w:rsidRPr="00BF42B7">
        <w:rPr>
          <w:szCs w:val="21"/>
          <w:lang w:val="fr-CH"/>
        </w:rPr>
        <w:t xml:space="preserve">(14)  </w:t>
      </w:r>
      <w:r w:rsidRPr="00BF42B7">
        <w:rPr>
          <w:szCs w:val="21"/>
          <w:lang w:val="fr-CH"/>
        </w:rPr>
        <w:t>除了确立第三十一条第三款</w:t>
      </w:r>
      <w:r w:rsidRPr="00BF42B7">
        <w:rPr>
          <w:szCs w:val="21"/>
          <w:lang w:val="fr-CH"/>
        </w:rPr>
        <w:t>(a)</w:t>
      </w:r>
      <w:r w:rsidRPr="00BF42B7">
        <w:rPr>
          <w:szCs w:val="21"/>
          <w:lang w:val="fr-CH"/>
        </w:rPr>
        <w:t>项和</w:t>
      </w:r>
      <w:r w:rsidRPr="00BF42B7">
        <w:rPr>
          <w:szCs w:val="21"/>
          <w:lang w:val="fr-CH"/>
        </w:rPr>
        <w:t>(b)</w:t>
      </w:r>
      <w:r w:rsidRPr="00BF42B7">
        <w:rPr>
          <w:szCs w:val="21"/>
          <w:lang w:val="fr-CH"/>
        </w:rPr>
        <w:t>项所述所有缔约方协定的嗣后协定和嗣后惯例以外，一个或多个缔约方在适用国际组织组成文书时的其他嗣后惯例也可能对条约的解释具有意义。</w:t>
      </w:r>
      <w:r w:rsidRPr="00BF42B7">
        <w:rPr>
          <w:color w:val="0000FF"/>
          <w:szCs w:val="21"/>
          <w:vertAlign w:val="superscript"/>
          <w:lang w:val="fr-CH"/>
        </w:rPr>
        <w:footnoteReference w:id="926"/>
      </w:r>
      <w:r w:rsidRPr="00BF42B7">
        <w:rPr>
          <w:color w:val="0000FF"/>
          <w:szCs w:val="21"/>
          <w:vertAlign w:val="superscript"/>
          <w:lang w:val="fr-CH"/>
        </w:rPr>
        <w:t xml:space="preserve"> </w:t>
      </w:r>
      <w:r w:rsidRPr="00BF42B7">
        <w:rPr>
          <w:szCs w:val="21"/>
          <w:lang w:val="fr-CH"/>
        </w:rPr>
        <w:t>例如，国际组织组成文书有时像其他多边条约一样，是通过嗣后双边或区域协定或惯例实施的。</w:t>
      </w:r>
      <w:r w:rsidRPr="00BF42B7">
        <w:rPr>
          <w:color w:val="0000FF"/>
          <w:szCs w:val="21"/>
          <w:vertAlign w:val="superscript"/>
          <w:lang w:val="fr-CH"/>
        </w:rPr>
        <w:footnoteReference w:id="927"/>
      </w:r>
      <w:r w:rsidRPr="00BF42B7">
        <w:rPr>
          <w:color w:val="0000FF"/>
          <w:szCs w:val="21"/>
          <w:vertAlign w:val="superscript"/>
          <w:lang w:val="fr-CH"/>
        </w:rPr>
        <w:t xml:space="preserve"> </w:t>
      </w:r>
      <w:r w:rsidRPr="00BF42B7">
        <w:rPr>
          <w:szCs w:val="21"/>
          <w:lang w:val="fr-CH"/>
        </w:rPr>
        <w:t>此类双边条约本身不是第三十一条第三款</w:t>
      </w:r>
      <w:r w:rsidRPr="00BF42B7">
        <w:rPr>
          <w:szCs w:val="21"/>
          <w:lang w:val="fr-CH"/>
        </w:rPr>
        <w:t>(a)</w:t>
      </w:r>
      <w:r w:rsidRPr="00BF42B7">
        <w:rPr>
          <w:szCs w:val="21"/>
          <w:lang w:val="fr-CH"/>
        </w:rPr>
        <w:t>项所述的嗣后协定，至少是因为条约是在多边组织文书缔约方中数量有限的国家间缔结的。但是，这些条约可能暗示人们可以据此提出关于恰当解释组成文书本身的主张，可能作为第三十二条所指的补充解释资料。</w:t>
      </w:r>
    </w:p>
    <w:p w:rsidR="00B75685" w:rsidRPr="00BF42B7" w:rsidRDefault="00B75685" w:rsidP="00E83B81">
      <w:pPr>
        <w:pStyle w:val="H4GC"/>
      </w:pPr>
      <w:r w:rsidRPr="00BF42B7">
        <w:rPr>
          <w:rFonts w:hint="eastAsia"/>
          <w:lang w:val="fr-CH"/>
        </w:rPr>
        <w:tab/>
      </w:r>
      <w:r w:rsidRPr="00BF42B7">
        <w:rPr>
          <w:rFonts w:hint="eastAsia"/>
          <w:lang w:val="fr-CH"/>
        </w:rPr>
        <w:tab/>
      </w:r>
      <w:r w:rsidRPr="00BF42B7">
        <w:rPr>
          <w:lang w:val="fr-CH"/>
        </w:rPr>
        <w:t>第</w:t>
      </w:r>
      <w:r w:rsidRPr="00BF42B7">
        <w:rPr>
          <w:lang w:val="fr-CH"/>
        </w:rPr>
        <w:t>2</w:t>
      </w:r>
      <w:r w:rsidRPr="00BF42B7">
        <w:rPr>
          <w:lang w:val="fr-CH"/>
        </w:rPr>
        <w:t>段</w:t>
      </w:r>
      <w:r w:rsidR="00E83B81" w:rsidRPr="00E83B81">
        <w:rPr>
          <w:rFonts w:hint="eastAsia"/>
          <w:snapToGrid/>
          <w:spacing w:val="-50"/>
          <w:lang w:val="fr-CH"/>
        </w:rPr>
        <w:t>―</w:t>
      </w:r>
      <w:r w:rsidR="00E83B81" w:rsidRPr="00E83B81">
        <w:rPr>
          <w:rFonts w:hint="eastAsia"/>
          <w:snapToGrid/>
          <w:lang w:val="fr-CH"/>
        </w:rPr>
        <w:t>―</w:t>
      </w:r>
      <w:r w:rsidRPr="00BF42B7">
        <w:rPr>
          <w:lang w:val="fr-CH"/>
        </w:rPr>
        <w:t>嗣后协定和嗣后惯例</w:t>
      </w:r>
      <w:r w:rsidRPr="00BF42B7">
        <w:rPr>
          <w:rFonts w:hint="eastAsia"/>
          <w:lang w:val="fr-CH"/>
        </w:rPr>
        <w:t>“</w:t>
      </w:r>
      <w:r w:rsidRPr="00BF42B7">
        <w:rPr>
          <w:lang w:val="fr-CH"/>
        </w:rPr>
        <w:t>出自</w:t>
      </w:r>
      <w:r w:rsidRPr="00BF42B7">
        <w:rPr>
          <w:rFonts w:hint="eastAsia"/>
          <w:lang w:val="fr-CH"/>
        </w:rPr>
        <w:t>”</w:t>
      </w:r>
      <w:r w:rsidRPr="00BF42B7">
        <w:rPr>
          <w:lang w:val="fr-CH"/>
        </w:rPr>
        <w:t>或</w:t>
      </w:r>
      <w:r w:rsidRPr="00BF42B7">
        <w:rPr>
          <w:rFonts w:hint="eastAsia"/>
          <w:lang w:val="fr-CH"/>
        </w:rPr>
        <w:t>“</w:t>
      </w:r>
      <w:r w:rsidRPr="00BF42B7">
        <w:rPr>
          <w:lang w:val="fr-CH"/>
        </w:rPr>
        <w:t>体现在</w:t>
      </w:r>
      <w:r w:rsidRPr="00BF42B7">
        <w:rPr>
          <w:rFonts w:hint="eastAsia"/>
          <w:lang w:val="fr-CH"/>
        </w:rPr>
        <w:t>”</w:t>
      </w:r>
      <w:r w:rsidRPr="00BF42B7">
        <w:rPr>
          <w:lang w:val="fr-CH"/>
        </w:rPr>
        <w:t>会员国的反应中</w:t>
      </w:r>
    </w:p>
    <w:p w:rsidR="00B75685" w:rsidRPr="00BF42B7" w:rsidRDefault="00B75685" w:rsidP="002D0371">
      <w:pPr>
        <w:pStyle w:val="SingleTxtGC"/>
        <w:rPr>
          <w:szCs w:val="21"/>
        </w:rPr>
      </w:pPr>
      <w:r w:rsidRPr="00BF42B7">
        <w:rPr>
          <w:szCs w:val="21"/>
          <w:lang w:val="fr-CH"/>
        </w:rPr>
        <w:t xml:space="preserve">(15)  </w:t>
      </w:r>
      <w:r w:rsidRPr="00BF42B7">
        <w:rPr>
          <w:szCs w:val="21"/>
          <w:lang w:val="fr-CH"/>
        </w:rPr>
        <w:t>结论草案</w:t>
      </w:r>
      <w:r w:rsidRPr="00BF42B7">
        <w:rPr>
          <w:szCs w:val="21"/>
          <w:lang w:val="fr-CH"/>
        </w:rPr>
        <w:t>12[11]</w:t>
      </w:r>
      <w:r w:rsidRPr="00BF42B7">
        <w:rPr>
          <w:szCs w:val="21"/>
          <w:lang w:val="fr-CH"/>
        </w:rPr>
        <w:t>第</w:t>
      </w:r>
      <w:r w:rsidRPr="00BF42B7">
        <w:rPr>
          <w:szCs w:val="21"/>
          <w:lang w:val="fr-CH"/>
        </w:rPr>
        <w:t>2</w:t>
      </w:r>
      <w:r w:rsidRPr="00BF42B7">
        <w:rPr>
          <w:szCs w:val="21"/>
          <w:lang w:val="fr-CH"/>
        </w:rPr>
        <w:t>段强调第三十一条第三款和第三十二条所述嗣后协定和嗣后惯例可能产生或被体现的具体方式。缔约国的嗣后协定和嗣后惯例可</w:t>
      </w:r>
      <w:r w:rsidRPr="00BF42B7">
        <w:rPr>
          <w:rFonts w:hint="eastAsia"/>
          <w:szCs w:val="21"/>
          <w:lang w:val="fr-CH"/>
        </w:rPr>
        <w:t>“</w:t>
      </w:r>
      <w:r w:rsidRPr="00BF42B7">
        <w:rPr>
          <w:szCs w:val="21"/>
          <w:lang w:val="fr-CH"/>
        </w:rPr>
        <w:t>出自</w:t>
      </w:r>
      <w:r w:rsidRPr="00BF42B7">
        <w:rPr>
          <w:rFonts w:hint="eastAsia"/>
          <w:szCs w:val="21"/>
          <w:lang w:val="fr-CH"/>
        </w:rPr>
        <w:t>”</w:t>
      </w:r>
      <w:r w:rsidRPr="00BF42B7">
        <w:rPr>
          <w:szCs w:val="21"/>
          <w:lang w:val="fr-CH"/>
        </w:rPr>
        <w:t>其对国际组织适用组成文书惯例的反应。或者，缔约国对组成协定的嗣后协定和嗣后惯例可被</w:t>
      </w:r>
      <w:r w:rsidRPr="00BF42B7">
        <w:rPr>
          <w:rFonts w:hint="eastAsia"/>
          <w:szCs w:val="21"/>
          <w:lang w:val="fr-CH"/>
        </w:rPr>
        <w:t>“</w:t>
      </w:r>
      <w:r w:rsidRPr="00BF42B7">
        <w:rPr>
          <w:szCs w:val="21"/>
          <w:lang w:val="fr-CH"/>
        </w:rPr>
        <w:t>体现在</w:t>
      </w:r>
      <w:r w:rsidRPr="00BF42B7">
        <w:rPr>
          <w:rFonts w:hint="eastAsia"/>
          <w:szCs w:val="21"/>
          <w:lang w:val="fr-CH"/>
        </w:rPr>
        <w:t>”</w:t>
      </w:r>
      <w:r w:rsidRPr="00BF42B7">
        <w:rPr>
          <w:szCs w:val="21"/>
          <w:lang w:val="fr-CH"/>
        </w:rPr>
        <w:t>国际组织适用组成文书的惯例中。</w:t>
      </w:r>
      <w:r w:rsidRPr="00BF42B7">
        <w:rPr>
          <w:rFonts w:hint="eastAsia"/>
          <w:szCs w:val="21"/>
          <w:lang w:val="fr-CH"/>
        </w:rPr>
        <w:t>“</w:t>
      </w:r>
      <w:r w:rsidRPr="00BF42B7">
        <w:rPr>
          <w:szCs w:val="21"/>
          <w:lang w:val="fr-CH"/>
        </w:rPr>
        <w:t>出自</w:t>
      </w:r>
      <w:r w:rsidRPr="00BF42B7">
        <w:rPr>
          <w:rFonts w:hint="eastAsia"/>
          <w:szCs w:val="21"/>
          <w:lang w:val="fr-CH"/>
        </w:rPr>
        <w:t>”</w:t>
      </w:r>
      <w:r w:rsidRPr="00BF42B7">
        <w:rPr>
          <w:szCs w:val="21"/>
          <w:lang w:val="fr-CH"/>
        </w:rPr>
        <w:t>用意是包括嗣后协定和嗣后惯例的产生和发展，而</w:t>
      </w:r>
      <w:r w:rsidRPr="00BF42B7">
        <w:rPr>
          <w:rFonts w:hint="eastAsia"/>
          <w:szCs w:val="21"/>
          <w:lang w:val="fr-CH"/>
        </w:rPr>
        <w:t>“</w:t>
      </w:r>
      <w:r w:rsidRPr="00BF42B7">
        <w:rPr>
          <w:szCs w:val="21"/>
          <w:lang w:val="fr-CH"/>
        </w:rPr>
        <w:t>体现在</w:t>
      </w:r>
      <w:r w:rsidRPr="00BF42B7">
        <w:rPr>
          <w:rFonts w:hint="eastAsia"/>
          <w:szCs w:val="21"/>
          <w:lang w:val="fr-CH"/>
        </w:rPr>
        <w:t>”</w:t>
      </w:r>
      <w:r w:rsidRPr="00BF42B7">
        <w:rPr>
          <w:szCs w:val="21"/>
          <w:lang w:val="fr-CH"/>
        </w:rPr>
        <w:t>是为了反映和表达这</w:t>
      </w:r>
      <w:r w:rsidR="00720D87">
        <w:rPr>
          <w:rFonts w:hint="eastAsia"/>
          <w:szCs w:val="21"/>
          <w:lang w:val="fr-CH"/>
        </w:rPr>
        <w:t>种</w:t>
      </w:r>
      <w:r w:rsidRPr="00BF42B7">
        <w:rPr>
          <w:szCs w:val="21"/>
          <w:lang w:val="fr-CH"/>
        </w:rPr>
        <w:t>协定和惯例。国际组织这两种惯例都反映该组织组成文书的缔约国的嗣后协定或嗣后惯例</w:t>
      </w:r>
      <w:r w:rsidRPr="00BF42B7">
        <w:rPr>
          <w:szCs w:val="21"/>
          <w:lang w:val="fr-CH"/>
        </w:rPr>
        <w:t>(</w:t>
      </w:r>
      <w:r w:rsidRPr="00BF42B7">
        <w:rPr>
          <w:szCs w:val="21"/>
          <w:lang w:val="fr-CH"/>
        </w:rPr>
        <w:t>见结论草案</w:t>
      </w:r>
      <w:r w:rsidRPr="00BF42B7">
        <w:rPr>
          <w:szCs w:val="21"/>
          <w:lang w:val="fr-CH"/>
        </w:rPr>
        <w:t>4)</w:t>
      </w:r>
      <w:r w:rsidRPr="00BF42B7">
        <w:rPr>
          <w:szCs w:val="21"/>
          <w:lang w:val="fr-CH"/>
        </w:rPr>
        <w:t>。</w:t>
      </w:r>
      <w:bookmarkStart w:id="196" w:name="_Ref415779670"/>
      <w:bookmarkStart w:id="197" w:name="_Ref423362192"/>
      <w:bookmarkStart w:id="198" w:name="_Ref461977350"/>
      <w:bookmarkEnd w:id="196"/>
      <w:bookmarkEnd w:id="197"/>
      <w:r w:rsidRPr="00BF42B7">
        <w:rPr>
          <w:color w:val="0000FF"/>
          <w:szCs w:val="21"/>
          <w:vertAlign w:val="superscript"/>
          <w:lang w:val="fr-CH"/>
        </w:rPr>
        <w:footnoteReference w:id="928"/>
      </w:r>
      <w:bookmarkEnd w:id="198"/>
      <w:r w:rsidRPr="00BF42B7">
        <w:rPr>
          <w:color w:val="0000FF"/>
          <w:szCs w:val="21"/>
          <w:vertAlign w:val="superscript"/>
          <w:lang w:val="fr-CH"/>
        </w:rPr>
        <w:t xml:space="preserve"> </w:t>
      </w:r>
    </w:p>
    <w:p w:rsidR="00B75685" w:rsidRPr="00BF42B7" w:rsidRDefault="00B75685" w:rsidP="00B75685">
      <w:pPr>
        <w:pStyle w:val="SingleTxtGC"/>
        <w:rPr>
          <w:szCs w:val="21"/>
        </w:rPr>
      </w:pPr>
      <w:r w:rsidRPr="00BF42B7">
        <w:rPr>
          <w:szCs w:val="21"/>
          <w:lang w:val="fr-CH"/>
        </w:rPr>
        <w:t xml:space="preserve">(16)  </w:t>
      </w:r>
      <w:r w:rsidRPr="00BF42B7">
        <w:rPr>
          <w:szCs w:val="21"/>
          <w:lang w:val="fr-CH"/>
        </w:rPr>
        <w:t>国际法院在其关于</w:t>
      </w:r>
      <w:r w:rsidRPr="00BF42B7">
        <w:rPr>
          <w:rFonts w:hint="eastAsia"/>
          <w:szCs w:val="21"/>
          <w:lang w:val="fr-CH"/>
        </w:rPr>
        <w:t>“</w:t>
      </w:r>
      <w:r w:rsidRPr="00BF42B7">
        <w:rPr>
          <w:szCs w:val="21"/>
          <w:lang w:val="fr-CH"/>
        </w:rPr>
        <w:t>国家在武装冲突中使用核武器的合法性</w:t>
      </w:r>
      <w:r w:rsidRPr="00BF42B7">
        <w:rPr>
          <w:rFonts w:hint="eastAsia"/>
          <w:szCs w:val="21"/>
          <w:lang w:val="fr-CH"/>
        </w:rPr>
        <w:t>”</w:t>
      </w:r>
      <w:r w:rsidRPr="00BF42B7">
        <w:rPr>
          <w:szCs w:val="21"/>
          <w:lang w:val="fr-CH"/>
        </w:rPr>
        <w:t>的咨询意见中确认，国际组织的惯例有可能反映成员国作为条约缔约国本身的共识或惯例，但认为该案中的惯例并不</w:t>
      </w:r>
      <w:r w:rsidRPr="00BF42B7">
        <w:rPr>
          <w:rFonts w:hint="eastAsia"/>
          <w:szCs w:val="21"/>
          <w:lang w:val="fr-CH"/>
        </w:rPr>
        <w:t>“</w:t>
      </w:r>
      <w:r w:rsidRPr="00BF42B7">
        <w:rPr>
          <w:szCs w:val="21"/>
          <w:lang w:val="fr-CH"/>
        </w:rPr>
        <w:t>体现或等同于</w:t>
      </w:r>
      <w:r w:rsidRPr="00BF42B7">
        <w:rPr>
          <w:rFonts w:hint="eastAsia"/>
          <w:szCs w:val="21"/>
          <w:lang w:val="fr-CH"/>
        </w:rPr>
        <w:t>”</w:t>
      </w:r>
      <w:r w:rsidRPr="00BF42B7">
        <w:rPr>
          <w:szCs w:val="21"/>
          <w:lang w:val="fr-CH"/>
        </w:rPr>
        <w:t>第三十一条第三款</w:t>
      </w:r>
      <w:r w:rsidRPr="00BF42B7">
        <w:rPr>
          <w:szCs w:val="21"/>
          <w:lang w:val="fr-CH"/>
        </w:rPr>
        <w:t>(b)</w:t>
      </w:r>
      <w:r w:rsidRPr="00BF42B7">
        <w:rPr>
          <w:szCs w:val="21"/>
          <w:lang w:val="fr-CH"/>
        </w:rPr>
        <w:t>项所述嗣后惯例：</w:t>
      </w:r>
    </w:p>
    <w:p w:rsidR="00B75685" w:rsidRPr="00BF42B7" w:rsidRDefault="00B75685" w:rsidP="00B75685">
      <w:pPr>
        <w:pStyle w:val="SingleTxtGC"/>
        <w:ind w:left="1565"/>
        <w:rPr>
          <w:szCs w:val="21"/>
        </w:rPr>
      </w:pPr>
      <w:r w:rsidRPr="00BF42B7">
        <w:rPr>
          <w:rFonts w:hint="eastAsia"/>
          <w:szCs w:val="21"/>
          <w:lang w:val="fr-CH"/>
        </w:rPr>
        <w:t>“</w:t>
      </w:r>
      <w:r w:rsidRPr="00BF42B7">
        <w:rPr>
          <w:szCs w:val="21"/>
          <w:lang w:val="fr-CH"/>
        </w:rPr>
        <w:t>使用核武器的合法性问题在世卫组织一被提出来，就在不无反对的情况下通过了第</w:t>
      </w:r>
      <w:r w:rsidRPr="00BF42B7">
        <w:rPr>
          <w:szCs w:val="21"/>
          <w:lang w:val="fr-CH"/>
        </w:rPr>
        <w:t>WHA46.40</w:t>
      </w:r>
      <w:r w:rsidRPr="00BF42B7">
        <w:rPr>
          <w:szCs w:val="21"/>
          <w:lang w:val="fr-CH"/>
        </w:rPr>
        <w:t>号决议。该决议独立来看，不能被认为体现或等同于下述惯例</w:t>
      </w:r>
      <w:r w:rsidRPr="00BF42B7">
        <w:rPr>
          <w:rFonts w:ascii="宋体" w:hAnsi="宋体" w:cs="宋体" w:hint="eastAsia"/>
          <w:spacing w:val="-50"/>
          <w:szCs w:val="21"/>
        </w:rPr>
        <w:t>―</w:t>
      </w:r>
      <w:r w:rsidRPr="00BF42B7">
        <w:rPr>
          <w:rFonts w:ascii="宋体" w:hAnsi="宋体" w:cs="宋体" w:hint="eastAsia"/>
          <w:szCs w:val="21"/>
        </w:rPr>
        <w:t>―</w:t>
      </w:r>
      <w:r w:rsidRPr="00BF42B7">
        <w:rPr>
          <w:szCs w:val="21"/>
          <w:lang w:val="fr-CH"/>
        </w:rPr>
        <w:t>该惯例在该组织各成员之间确立了解释《组织法》的协定，即赋予该组织处理使用核武器合法性问题的权力。</w:t>
      </w:r>
      <w:r w:rsidRPr="00BF42B7">
        <w:rPr>
          <w:rFonts w:hint="eastAsia"/>
          <w:szCs w:val="21"/>
          <w:lang w:val="fr-CH"/>
        </w:rPr>
        <w:t>”</w:t>
      </w:r>
      <w:r w:rsidRPr="00BF42B7">
        <w:rPr>
          <w:color w:val="0000FF"/>
          <w:szCs w:val="21"/>
          <w:vertAlign w:val="superscript"/>
          <w:lang w:val="fr-CH"/>
        </w:rPr>
        <w:footnoteReference w:id="929"/>
      </w:r>
      <w:r w:rsidRPr="00BF42B7">
        <w:rPr>
          <w:color w:val="0000FF"/>
          <w:szCs w:val="21"/>
          <w:vertAlign w:val="superscript"/>
          <w:lang w:val="fr-CH"/>
        </w:rPr>
        <w:t xml:space="preserve"> </w:t>
      </w:r>
    </w:p>
    <w:p w:rsidR="00B75685" w:rsidRPr="00BF42B7" w:rsidRDefault="00B75685" w:rsidP="00B75685">
      <w:pPr>
        <w:pStyle w:val="SingleTxtGC"/>
        <w:rPr>
          <w:szCs w:val="21"/>
        </w:rPr>
      </w:pPr>
      <w:r w:rsidRPr="00BF42B7">
        <w:rPr>
          <w:szCs w:val="21"/>
          <w:lang w:val="fr-CH"/>
        </w:rPr>
        <w:t xml:space="preserve">(17)  </w:t>
      </w:r>
      <w:r w:rsidRPr="00BF42B7">
        <w:rPr>
          <w:szCs w:val="21"/>
          <w:lang w:val="fr-CH"/>
        </w:rPr>
        <w:t>在本案中，法院在考虑国际组织决议对解释其组成文书的意义时，首先考虑该决议是否体现或等同于第三十一条第三款</w:t>
      </w:r>
      <w:r w:rsidRPr="00BF42B7">
        <w:rPr>
          <w:szCs w:val="21"/>
          <w:lang w:val="fr-CH"/>
        </w:rPr>
        <w:t>(b)</w:t>
      </w:r>
      <w:r w:rsidRPr="00BF42B7">
        <w:rPr>
          <w:szCs w:val="21"/>
          <w:lang w:val="fr-CH"/>
        </w:rPr>
        <w:t>项所述</w:t>
      </w:r>
      <w:r w:rsidRPr="00BF42B7">
        <w:rPr>
          <w:rFonts w:hint="eastAsia"/>
          <w:szCs w:val="21"/>
          <w:lang w:val="fr-CH"/>
        </w:rPr>
        <w:t>“</w:t>
      </w:r>
      <w:r w:rsidRPr="00BF42B7">
        <w:rPr>
          <w:szCs w:val="21"/>
          <w:lang w:val="fr-CH"/>
        </w:rPr>
        <w:t>确立该组织成员间协定的惯例</w:t>
      </w:r>
      <w:r w:rsidRPr="00BF42B7">
        <w:rPr>
          <w:rFonts w:hint="eastAsia"/>
          <w:szCs w:val="21"/>
          <w:lang w:val="fr-CH"/>
        </w:rPr>
        <w:t>”</w:t>
      </w:r>
      <w:r w:rsidRPr="00BF42B7">
        <w:rPr>
          <w:szCs w:val="21"/>
          <w:lang w:val="fr-CH"/>
        </w:rPr>
        <w:t>。</w:t>
      </w:r>
      <w:r w:rsidRPr="00BF42B7">
        <w:rPr>
          <w:color w:val="0000FF"/>
          <w:szCs w:val="21"/>
          <w:vertAlign w:val="superscript"/>
          <w:lang w:val="fr-CH"/>
        </w:rPr>
        <w:footnoteReference w:id="930"/>
      </w:r>
      <w:r w:rsidRPr="00BF42B7">
        <w:rPr>
          <w:color w:val="0000FF"/>
          <w:szCs w:val="21"/>
          <w:vertAlign w:val="superscript"/>
          <w:lang w:val="fr-CH"/>
        </w:rPr>
        <w:t xml:space="preserve"> </w:t>
      </w:r>
    </w:p>
    <w:p w:rsidR="00B75685" w:rsidRPr="00BF42B7" w:rsidRDefault="00B75685" w:rsidP="00B75685">
      <w:pPr>
        <w:pStyle w:val="SingleTxtGC"/>
        <w:rPr>
          <w:szCs w:val="21"/>
        </w:rPr>
      </w:pPr>
      <w:r w:rsidRPr="00BF42B7">
        <w:rPr>
          <w:szCs w:val="21"/>
          <w:lang w:val="fr-CH"/>
        </w:rPr>
        <w:t xml:space="preserve">(18)  </w:t>
      </w:r>
      <w:r w:rsidRPr="00BF42B7">
        <w:rPr>
          <w:szCs w:val="21"/>
          <w:lang w:val="fr-CH"/>
        </w:rPr>
        <w:t>同样，世贸组织上诉机构也概括指出：</w:t>
      </w:r>
    </w:p>
    <w:p w:rsidR="00B75685" w:rsidRPr="00BF42B7" w:rsidRDefault="00B75685" w:rsidP="00B75685">
      <w:pPr>
        <w:pStyle w:val="SingleTxtGC"/>
        <w:ind w:left="1565"/>
        <w:rPr>
          <w:szCs w:val="21"/>
        </w:rPr>
      </w:pPr>
      <w:r w:rsidRPr="00BF42B7">
        <w:rPr>
          <w:rFonts w:hint="eastAsia"/>
          <w:szCs w:val="21"/>
          <w:lang w:val="fr-CH"/>
        </w:rPr>
        <w:t>“</w:t>
      </w:r>
      <w:r w:rsidRPr="00BF42B7">
        <w:rPr>
          <w:szCs w:val="21"/>
          <w:lang w:val="fr-CH"/>
        </w:rPr>
        <w:t>根据《维也纳公约》第三十一条第三款</w:t>
      </w:r>
      <w:r w:rsidRPr="00BF42B7">
        <w:rPr>
          <w:szCs w:val="21"/>
          <w:lang w:val="fr-CH"/>
        </w:rPr>
        <w:t>(a)</w:t>
      </w:r>
      <w:r w:rsidRPr="00BF42B7">
        <w:rPr>
          <w:szCs w:val="21"/>
          <w:lang w:val="fr-CH"/>
        </w:rPr>
        <w:t>项文本，我们认为，成员国通过的决定可能有资格成为用于解释相关协定或适用协定条款的</w:t>
      </w:r>
      <w:r w:rsidRPr="00BF42B7">
        <w:rPr>
          <w:rFonts w:hint="eastAsia"/>
          <w:szCs w:val="21"/>
          <w:lang w:val="fr-CH"/>
        </w:rPr>
        <w:t>‘</w:t>
      </w:r>
      <w:r w:rsidRPr="00BF42B7">
        <w:rPr>
          <w:szCs w:val="21"/>
          <w:lang w:val="fr-CH"/>
        </w:rPr>
        <w:t>当事国之间的嗣后协定</w:t>
      </w:r>
      <w:r w:rsidRPr="00BF42B7">
        <w:rPr>
          <w:rFonts w:hint="eastAsia"/>
          <w:szCs w:val="21"/>
          <w:lang w:val="fr-CH"/>
        </w:rPr>
        <w:t>’</w:t>
      </w:r>
      <w:r w:rsidRPr="00BF42B7">
        <w:rPr>
          <w:szCs w:val="21"/>
          <w:lang w:val="fr-CH"/>
        </w:rPr>
        <w:t>，条件是：</w:t>
      </w:r>
      <w:r w:rsidRPr="00BF42B7">
        <w:rPr>
          <w:rFonts w:hint="eastAsia"/>
          <w:szCs w:val="21"/>
          <w:lang w:val="fr-CH"/>
        </w:rPr>
        <w:t>(</w:t>
      </w:r>
      <w:r w:rsidRPr="00BF42B7">
        <w:rPr>
          <w:rFonts w:hint="eastAsia"/>
          <w:szCs w:val="21"/>
          <w:lang w:val="fr-CH"/>
        </w:rPr>
        <w:t>一</w:t>
      </w:r>
      <w:r w:rsidRPr="00BF42B7">
        <w:rPr>
          <w:rFonts w:hint="eastAsia"/>
          <w:szCs w:val="21"/>
          <w:lang w:val="fr-CH"/>
        </w:rPr>
        <w:t xml:space="preserve">) </w:t>
      </w:r>
      <w:r w:rsidRPr="00BF42B7">
        <w:rPr>
          <w:szCs w:val="21"/>
          <w:lang w:val="fr-CH"/>
        </w:rPr>
        <w:t>在时间上，该决定是在相关协定之后通过的；和</w:t>
      </w:r>
      <w:r w:rsidRPr="00BF42B7">
        <w:rPr>
          <w:rFonts w:hint="eastAsia"/>
          <w:szCs w:val="21"/>
          <w:lang w:val="fr-CH"/>
        </w:rPr>
        <w:t>(</w:t>
      </w:r>
      <w:r w:rsidRPr="00BF42B7">
        <w:rPr>
          <w:rFonts w:hint="eastAsia"/>
          <w:szCs w:val="21"/>
          <w:lang w:val="fr-CH"/>
        </w:rPr>
        <w:t>二</w:t>
      </w:r>
      <w:r w:rsidRPr="00BF42B7">
        <w:rPr>
          <w:rFonts w:hint="eastAsia"/>
          <w:szCs w:val="21"/>
          <w:lang w:val="fr-CH"/>
        </w:rPr>
        <w:t xml:space="preserve">) </w:t>
      </w:r>
      <w:r w:rsidRPr="00BF42B7">
        <w:rPr>
          <w:szCs w:val="21"/>
          <w:lang w:val="fr-CH"/>
        </w:rPr>
        <w:t>该决定的规定和内容体现了成员国之间对</w:t>
      </w:r>
      <w:r w:rsidRPr="00BF42B7">
        <w:rPr>
          <w:rFonts w:ascii="Time New Roman" w:eastAsia="楷体" w:hAnsi="Time New Roman"/>
          <w:szCs w:val="21"/>
          <w:lang w:val="fr-CH"/>
        </w:rPr>
        <w:t>解释</w:t>
      </w:r>
      <w:r w:rsidRPr="00BF42B7">
        <w:rPr>
          <w:rFonts w:ascii="Time New Roman" w:hAnsi="Time New Roman"/>
          <w:szCs w:val="21"/>
          <w:lang w:val="fr-CH"/>
        </w:rPr>
        <w:t>或</w:t>
      </w:r>
      <w:r w:rsidRPr="00BF42B7">
        <w:rPr>
          <w:rFonts w:ascii="Time New Roman" w:eastAsia="楷体" w:hAnsi="Time New Roman"/>
          <w:szCs w:val="21"/>
          <w:lang w:val="fr-CH"/>
        </w:rPr>
        <w:t>适用</w:t>
      </w:r>
      <w:r w:rsidRPr="00BF42B7">
        <w:rPr>
          <w:szCs w:val="21"/>
          <w:lang w:val="fr-CH"/>
        </w:rPr>
        <w:t>世贸组织法律条款达成的协定。</w:t>
      </w:r>
      <w:r w:rsidRPr="00BF42B7">
        <w:rPr>
          <w:rFonts w:hint="eastAsia"/>
          <w:szCs w:val="21"/>
          <w:lang w:val="fr-CH"/>
        </w:rPr>
        <w:t>”</w:t>
      </w:r>
      <w:bookmarkStart w:id="199" w:name="_Ref423449811"/>
      <w:bookmarkEnd w:id="199"/>
      <w:r w:rsidRPr="00BF42B7">
        <w:rPr>
          <w:color w:val="0000FF"/>
          <w:szCs w:val="21"/>
          <w:vertAlign w:val="superscript"/>
          <w:lang w:val="fr-CH"/>
        </w:rPr>
        <w:footnoteReference w:id="931"/>
      </w:r>
      <w:r w:rsidRPr="00BF42B7">
        <w:rPr>
          <w:color w:val="0000FF"/>
          <w:szCs w:val="21"/>
          <w:vertAlign w:val="superscript"/>
          <w:lang w:val="fr-CH"/>
        </w:rPr>
        <w:t xml:space="preserve"> </w:t>
      </w:r>
    </w:p>
    <w:p w:rsidR="00B75685" w:rsidRPr="00BF42B7" w:rsidRDefault="00B75685" w:rsidP="00B75685">
      <w:pPr>
        <w:pStyle w:val="SingleTxtGC"/>
        <w:rPr>
          <w:szCs w:val="21"/>
        </w:rPr>
      </w:pPr>
      <w:r w:rsidRPr="00BF42B7">
        <w:rPr>
          <w:szCs w:val="21"/>
          <w:lang w:val="fr-CH"/>
        </w:rPr>
        <w:t xml:space="preserve">(19)  </w:t>
      </w:r>
      <w:r w:rsidRPr="00BF42B7">
        <w:rPr>
          <w:szCs w:val="21"/>
          <w:lang w:val="fr-CH"/>
        </w:rPr>
        <w:t>关于在什么条件下全体机关的决定才可被视为第三十一条第三款</w:t>
      </w:r>
      <w:r w:rsidRPr="00BF42B7">
        <w:rPr>
          <w:szCs w:val="21"/>
          <w:lang w:val="fr-CH"/>
        </w:rPr>
        <w:t>(a)</w:t>
      </w:r>
      <w:r w:rsidRPr="00BF42B7">
        <w:rPr>
          <w:szCs w:val="21"/>
          <w:lang w:val="fr-CH"/>
        </w:rPr>
        <w:t>项所指的嗣后协定，世贸组织上诉机构认为：</w:t>
      </w:r>
    </w:p>
    <w:p w:rsidR="00B75685" w:rsidRPr="00BF42B7" w:rsidRDefault="00B75685" w:rsidP="00B75685">
      <w:pPr>
        <w:pStyle w:val="SingleTxtGC"/>
        <w:ind w:left="1565"/>
        <w:rPr>
          <w:szCs w:val="21"/>
        </w:rPr>
      </w:pPr>
      <w:r w:rsidRPr="00BF42B7">
        <w:rPr>
          <w:rFonts w:hint="eastAsia"/>
          <w:szCs w:val="21"/>
          <w:lang w:val="fr-CH"/>
        </w:rPr>
        <w:t>“</w:t>
      </w:r>
      <w:r w:rsidRPr="00BF42B7">
        <w:rPr>
          <w:szCs w:val="21"/>
          <w:lang w:val="fr-CH"/>
        </w:rPr>
        <w:t>263.</w:t>
      </w:r>
      <w:r w:rsidRPr="00BF42B7">
        <w:rPr>
          <w:rFonts w:hint="eastAsia"/>
          <w:szCs w:val="21"/>
          <w:lang w:val="fr-CH"/>
        </w:rPr>
        <w:t xml:space="preserve">  </w:t>
      </w:r>
      <w:r w:rsidRPr="00BF42B7">
        <w:rPr>
          <w:szCs w:val="21"/>
          <w:lang w:val="fr-CH"/>
        </w:rPr>
        <w:t>关于第一项要素，我们注意到</w:t>
      </w:r>
      <w:r w:rsidRPr="00BF42B7">
        <w:rPr>
          <w:rFonts w:hint="eastAsia"/>
          <w:szCs w:val="21"/>
          <w:lang w:val="fr-CH"/>
        </w:rPr>
        <w:t>《多哈部长级会议决定》</w:t>
      </w:r>
      <w:r w:rsidRPr="00BF42B7">
        <w:rPr>
          <w:szCs w:val="21"/>
          <w:lang w:val="fr-CH"/>
        </w:rPr>
        <w:t>是</w:t>
      </w:r>
      <w:r w:rsidRPr="00BF42B7">
        <w:rPr>
          <w:szCs w:val="21"/>
          <w:lang w:val="fr-CH"/>
        </w:rPr>
        <w:t>2001</w:t>
      </w:r>
      <w:r w:rsidRPr="00BF42B7">
        <w:rPr>
          <w:szCs w:val="21"/>
          <w:lang w:val="fr-CH"/>
        </w:rPr>
        <w:t>年</w:t>
      </w:r>
      <w:r w:rsidRPr="00BF42B7">
        <w:rPr>
          <w:szCs w:val="21"/>
          <w:lang w:val="fr-CH"/>
        </w:rPr>
        <w:t>11</w:t>
      </w:r>
      <w:r w:rsidRPr="00BF42B7">
        <w:rPr>
          <w:szCs w:val="21"/>
          <w:lang w:val="fr-CH"/>
        </w:rPr>
        <w:t>月</w:t>
      </w:r>
      <w:r w:rsidRPr="00BF42B7">
        <w:rPr>
          <w:szCs w:val="21"/>
          <w:lang w:val="fr-CH"/>
        </w:rPr>
        <w:t>14</w:t>
      </w:r>
      <w:r w:rsidRPr="00BF42B7">
        <w:rPr>
          <w:szCs w:val="21"/>
          <w:lang w:val="fr-CH"/>
        </w:rPr>
        <w:t>日在世贸组织第四次部长级会议上以协商一致方式通过的。</w:t>
      </w:r>
      <w:r w:rsidRPr="00BF42B7">
        <w:rPr>
          <w:rFonts w:hint="eastAsia"/>
          <w:szCs w:val="21"/>
          <w:lang w:val="fr-CH"/>
        </w:rPr>
        <w:t>……</w:t>
      </w:r>
      <w:r w:rsidRPr="00BF42B7">
        <w:rPr>
          <w:szCs w:val="21"/>
          <w:lang w:val="fr-CH"/>
        </w:rPr>
        <w:t>关于第二项要素，所须回答的关键问题是：</w:t>
      </w:r>
      <w:r w:rsidRPr="00BF42B7">
        <w:rPr>
          <w:rFonts w:hint="eastAsia"/>
          <w:szCs w:val="21"/>
          <w:lang w:val="fr-CH"/>
        </w:rPr>
        <w:t>《多哈部长级会议决定》</w:t>
      </w:r>
      <w:r w:rsidRPr="00BF42B7">
        <w:rPr>
          <w:szCs w:val="21"/>
          <w:lang w:val="fr-CH"/>
        </w:rPr>
        <w:t>第</w:t>
      </w:r>
      <w:r w:rsidRPr="00BF42B7">
        <w:rPr>
          <w:szCs w:val="21"/>
          <w:lang w:val="fr-CH"/>
        </w:rPr>
        <w:t>5.2</w:t>
      </w:r>
      <w:r w:rsidRPr="00BF42B7">
        <w:rPr>
          <w:szCs w:val="21"/>
          <w:lang w:val="fr-CH"/>
        </w:rPr>
        <w:t>段是否表明成员国之间对</w:t>
      </w:r>
      <w:r w:rsidRPr="00BF42B7">
        <w:rPr>
          <w:rFonts w:ascii="Time New Roman" w:eastAsia="楷体" w:hAnsi="Time New Roman"/>
          <w:szCs w:val="21"/>
          <w:lang w:val="fr-CH"/>
        </w:rPr>
        <w:t>解释</w:t>
      </w:r>
      <w:r w:rsidRPr="00BF42B7">
        <w:rPr>
          <w:rFonts w:ascii="Time New Roman" w:hAnsi="Time New Roman"/>
          <w:szCs w:val="21"/>
          <w:lang w:val="fr-CH"/>
        </w:rPr>
        <w:t>或</w:t>
      </w:r>
      <w:r w:rsidRPr="00BF42B7">
        <w:rPr>
          <w:rFonts w:ascii="Time New Roman" w:eastAsia="楷体" w:hAnsi="Time New Roman"/>
          <w:szCs w:val="21"/>
          <w:lang w:val="fr-CH"/>
        </w:rPr>
        <w:t>适用</w:t>
      </w:r>
      <w:r w:rsidRPr="00BF42B7">
        <w:rPr>
          <w:szCs w:val="21"/>
          <w:lang w:val="fr-CH"/>
        </w:rPr>
        <w:t>《技术性贸易壁垒协议》第</w:t>
      </w:r>
      <w:r w:rsidRPr="00BF42B7">
        <w:rPr>
          <w:szCs w:val="21"/>
          <w:lang w:val="fr-CH"/>
        </w:rPr>
        <w:t>2.12</w:t>
      </w:r>
      <w:r w:rsidRPr="00BF42B7">
        <w:rPr>
          <w:szCs w:val="21"/>
          <w:lang w:val="fr-CH"/>
        </w:rPr>
        <w:t>条中的</w:t>
      </w:r>
      <w:r w:rsidRPr="00BF42B7">
        <w:rPr>
          <w:rFonts w:hint="eastAsia"/>
          <w:szCs w:val="21"/>
          <w:lang w:val="fr-CH"/>
        </w:rPr>
        <w:t>‘</w:t>
      </w:r>
      <w:r w:rsidRPr="00BF42B7">
        <w:rPr>
          <w:szCs w:val="21"/>
          <w:lang w:val="fr-CH"/>
        </w:rPr>
        <w:t>合理间隔</w:t>
      </w:r>
      <w:r w:rsidRPr="00BF42B7">
        <w:rPr>
          <w:rFonts w:hint="eastAsia"/>
          <w:szCs w:val="21"/>
          <w:lang w:val="fr-CH"/>
        </w:rPr>
        <w:t>’</w:t>
      </w:r>
      <w:r w:rsidRPr="00BF42B7">
        <w:rPr>
          <w:szCs w:val="21"/>
          <w:lang w:val="fr-CH"/>
        </w:rPr>
        <w:t>达成了协定？</w:t>
      </w:r>
    </w:p>
    <w:p w:rsidR="00B75685" w:rsidRPr="00BF42B7" w:rsidRDefault="00B75685" w:rsidP="00B75685">
      <w:pPr>
        <w:pStyle w:val="SingleTxtGC"/>
        <w:ind w:left="1565"/>
        <w:rPr>
          <w:szCs w:val="21"/>
        </w:rPr>
      </w:pPr>
      <w:r w:rsidRPr="00BF42B7">
        <w:rPr>
          <w:rFonts w:hint="eastAsia"/>
          <w:szCs w:val="21"/>
          <w:lang w:val="fr-CH"/>
        </w:rPr>
        <w:t>“</w:t>
      </w:r>
      <w:r w:rsidRPr="00BF42B7">
        <w:rPr>
          <w:szCs w:val="21"/>
          <w:lang w:val="fr-CH"/>
        </w:rPr>
        <w:t xml:space="preserve">264.  </w:t>
      </w:r>
      <w:r w:rsidRPr="00BF42B7">
        <w:rPr>
          <w:szCs w:val="21"/>
          <w:lang w:val="fr-CH"/>
        </w:rPr>
        <w:t>我们回顾</w:t>
      </w:r>
      <w:r w:rsidRPr="00BF42B7">
        <w:rPr>
          <w:rFonts w:hint="eastAsia"/>
          <w:szCs w:val="21"/>
        </w:rPr>
        <w:t>《多哈部长级会议决定》</w:t>
      </w:r>
      <w:r w:rsidRPr="00BF42B7">
        <w:rPr>
          <w:szCs w:val="21"/>
          <w:lang w:val="fr-CH"/>
        </w:rPr>
        <w:t>第</w:t>
      </w:r>
      <w:r w:rsidRPr="00BF42B7">
        <w:rPr>
          <w:szCs w:val="21"/>
          <w:lang w:val="fr-CH"/>
        </w:rPr>
        <w:t>5.2</w:t>
      </w:r>
      <w:r w:rsidRPr="00BF42B7">
        <w:rPr>
          <w:szCs w:val="21"/>
          <w:lang w:val="fr-CH"/>
        </w:rPr>
        <w:t>段规定：</w:t>
      </w:r>
    </w:p>
    <w:p w:rsidR="00B75685" w:rsidRPr="00BF42B7" w:rsidRDefault="00B75685" w:rsidP="007873D0">
      <w:pPr>
        <w:pStyle w:val="SingleTxtGC"/>
        <w:ind w:left="2184"/>
      </w:pPr>
      <w:r w:rsidRPr="00BF42B7">
        <w:rPr>
          <w:lang w:val="fr-CH"/>
        </w:rPr>
        <w:t>在符合</w:t>
      </w:r>
      <w:r w:rsidRPr="00BF42B7">
        <w:t>《技术性贸易壁垒协议》</w:t>
      </w:r>
      <w:r w:rsidRPr="00BF42B7">
        <w:rPr>
          <w:lang w:val="fr-CH"/>
        </w:rPr>
        <w:t>第</w:t>
      </w:r>
      <w:r w:rsidRPr="00BF42B7">
        <w:rPr>
          <w:lang w:val="fr-CH"/>
        </w:rPr>
        <w:t>2</w:t>
      </w:r>
      <w:r w:rsidRPr="00BF42B7">
        <w:rPr>
          <w:lang w:val="fr-CH"/>
        </w:rPr>
        <w:t>条第</w:t>
      </w:r>
      <w:r w:rsidRPr="00BF42B7">
        <w:rPr>
          <w:lang w:val="fr-CH"/>
        </w:rPr>
        <w:t>12</w:t>
      </w:r>
      <w:r w:rsidRPr="00BF42B7">
        <w:rPr>
          <w:lang w:val="fr-CH"/>
        </w:rPr>
        <w:t>款所述条件的前提下，</w:t>
      </w:r>
      <w:r w:rsidRPr="00BF42B7">
        <w:rPr>
          <w:rFonts w:hint="eastAsia"/>
          <w:lang w:val="fr-CH"/>
        </w:rPr>
        <w:t>‘</w:t>
      </w:r>
      <w:r w:rsidRPr="00BF42B7">
        <w:rPr>
          <w:lang w:val="fr-CH"/>
        </w:rPr>
        <w:t>合理间隔</w:t>
      </w:r>
      <w:r w:rsidRPr="00BF42B7">
        <w:rPr>
          <w:rFonts w:hint="eastAsia"/>
          <w:lang w:val="fr-CH"/>
        </w:rPr>
        <w:t>’</w:t>
      </w:r>
      <w:r w:rsidRPr="00BF42B7">
        <w:rPr>
          <w:lang w:val="fr-CH"/>
        </w:rPr>
        <w:t>一词应当理解为通常不少于</w:t>
      </w:r>
      <w:r w:rsidRPr="00BF42B7">
        <w:rPr>
          <w:lang w:val="fr-CH"/>
        </w:rPr>
        <w:t>6</w:t>
      </w:r>
      <w:r w:rsidRPr="00BF42B7">
        <w:rPr>
          <w:lang w:val="fr-CH"/>
        </w:rPr>
        <w:t>个月的期间，但不能有效实现所争取之合法目标的情形除外。</w:t>
      </w:r>
    </w:p>
    <w:p w:rsidR="00B75685" w:rsidRPr="00BF42B7" w:rsidRDefault="00B75685" w:rsidP="00B75685">
      <w:pPr>
        <w:pStyle w:val="SingleTxtGC"/>
        <w:ind w:left="1565"/>
        <w:rPr>
          <w:szCs w:val="21"/>
        </w:rPr>
      </w:pPr>
      <w:r w:rsidRPr="00BF42B7">
        <w:rPr>
          <w:rFonts w:hint="eastAsia"/>
          <w:szCs w:val="21"/>
          <w:lang w:val="fr-CH"/>
        </w:rPr>
        <w:t>“</w:t>
      </w:r>
      <w:r w:rsidRPr="00BF42B7">
        <w:rPr>
          <w:szCs w:val="21"/>
          <w:lang w:val="fr-CH"/>
        </w:rPr>
        <w:t xml:space="preserve">265.  </w:t>
      </w:r>
      <w:r w:rsidRPr="00BF42B7">
        <w:rPr>
          <w:szCs w:val="21"/>
          <w:lang w:val="fr-CH"/>
        </w:rPr>
        <w:t>至于</w:t>
      </w:r>
      <w:r w:rsidRPr="00BF42B7">
        <w:rPr>
          <w:rFonts w:hint="eastAsia"/>
          <w:szCs w:val="21"/>
        </w:rPr>
        <w:t>《多哈部长级会议决定》</w:t>
      </w:r>
      <w:r w:rsidRPr="00BF42B7">
        <w:rPr>
          <w:szCs w:val="21"/>
          <w:lang w:val="fr-CH"/>
        </w:rPr>
        <w:t>第</w:t>
      </w:r>
      <w:r w:rsidRPr="00BF42B7">
        <w:rPr>
          <w:szCs w:val="21"/>
          <w:lang w:val="fr-CH"/>
        </w:rPr>
        <w:t>5.2</w:t>
      </w:r>
      <w:r w:rsidRPr="00BF42B7">
        <w:rPr>
          <w:szCs w:val="21"/>
          <w:lang w:val="fr-CH"/>
        </w:rPr>
        <w:t>段是否体现了成员国之间对解释和适用《技术性贸易壁垒协议》第</w:t>
      </w:r>
      <w:r w:rsidRPr="00BF42B7">
        <w:rPr>
          <w:szCs w:val="21"/>
          <w:lang w:val="fr-CH"/>
        </w:rPr>
        <w:t>2.12</w:t>
      </w:r>
      <w:r w:rsidRPr="00BF42B7">
        <w:rPr>
          <w:szCs w:val="21"/>
          <w:lang w:val="fr-CH"/>
        </w:rPr>
        <w:t>条的</w:t>
      </w:r>
      <w:r w:rsidRPr="00BF42B7">
        <w:rPr>
          <w:rFonts w:hint="eastAsia"/>
          <w:szCs w:val="21"/>
          <w:lang w:val="fr-CH"/>
        </w:rPr>
        <w:t>‘</w:t>
      </w:r>
      <w:r w:rsidRPr="00BF42B7">
        <w:rPr>
          <w:szCs w:val="21"/>
          <w:lang w:val="fr-CH"/>
        </w:rPr>
        <w:t>合理间隔</w:t>
      </w:r>
      <w:r w:rsidRPr="00BF42B7">
        <w:rPr>
          <w:rFonts w:hint="eastAsia"/>
          <w:szCs w:val="21"/>
          <w:lang w:val="fr-CH"/>
        </w:rPr>
        <w:t>’</w:t>
      </w:r>
      <w:r w:rsidRPr="00BF42B7">
        <w:rPr>
          <w:szCs w:val="21"/>
          <w:lang w:val="fr-CH"/>
        </w:rPr>
        <w:t>达成的协定，我们在上诉机构关于</w:t>
      </w:r>
      <w:r w:rsidRPr="00BF42B7">
        <w:rPr>
          <w:rFonts w:hint="eastAsia"/>
          <w:szCs w:val="21"/>
          <w:lang w:val="fr-CH"/>
        </w:rPr>
        <w:t>‘</w:t>
      </w:r>
      <w:r w:rsidRPr="00BF42B7">
        <w:rPr>
          <w:rFonts w:ascii="Time New Roman" w:eastAsia="楷体" w:hAnsi="Time New Roman"/>
          <w:szCs w:val="21"/>
          <w:lang w:val="fr-CH"/>
        </w:rPr>
        <w:t>欧共体－香蕉</w:t>
      </w:r>
      <w:r w:rsidRPr="00BF42B7">
        <w:rPr>
          <w:rFonts w:ascii="Time New Roman" w:eastAsia="楷体" w:hAnsi="Time New Roman"/>
          <w:szCs w:val="21"/>
          <w:lang w:val="fr-CH"/>
        </w:rPr>
        <w:t>(</w:t>
      </w:r>
      <w:r w:rsidRPr="00BF42B7">
        <w:rPr>
          <w:rFonts w:ascii="Time New Roman" w:eastAsia="楷体" w:hAnsi="Time New Roman"/>
          <w:szCs w:val="21"/>
          <w:lang w:val="fr-CH"/>
        </w:rPr>
        <w:t>三</w:t>
      </w:r>
      <w:r w:rsidRPr="00BF42B7">
        <w:rPr>
          <w:rFonts w:ascii="Time New Roman" w:eastAsia="楷体" w:hAnsi="Time New Roman"/>
          <w:szCs w:val="21"/>
          <w:lang w:val="fr-CH"/>
        </w:rPr>
        <w:t>)(</w:t>
      </w:r>
      <w:r w:rsidRPr="00BF42B7">
        <w:rPr>
          <w:rFonts w:ascii="Time New Roman" w:eastAsia="楷体" w:hAnsi="Time New Roman"/>
          <w:szCs w:val="21"/>
          <w:lang w:val="fr-CH"/>
        </w:rPr>
        <w:t>第</w:t>
      </w:r>
      <w:r w:rsidRPr="00BF42B7">
        <w:rPr>
          <w:rFonts w:ascii="Time New Roman" w:eastAsia="楷体" w:hAnsi="Time New Roman"/>
          <w:szCs w:val="21"/>
          <w:lang w:val="fr-CH"/>
        </w:rPr>
        <w:t>21.5</w:t>
      </w:r>
      <w:r w:rsidRPr="00BF42B7">
        <w:rPr>
          <w:rFonts w:ascii="Time New Roman" w:eastAsia="楷体" w:hAnsi="Time New Roman"/>
          <w:szCs w:val="21"/>
          <w:lang w:val="fr-CH"/>
        </w:rPr>
        <w:t>条－厄瓜多尔</w:t>
      </w:r>
      <w:r w:rsidRPr="00BF42B7">
        <w:rPr>
          <w:rFonts w:ascii="Time New Roman" w:eastAsia="楷体" w:hAnsi="Time New Roman"/>
          <w:szCs w:val="21"/>
          <w:lang w:val="fr-CH"/>
        </w:rPr>
        <w:t>(</w:t>
      </w:r>
      <w:r w:rsidRPr="00BF42B7">
        <w:rPr>
          <w:rFonts w:ascii="Time New Roman" w:eastAsia="楷体" w:hAnsi="Time New Roman"/>
          <w:szCs w:val="21"/>
          <w:lang w:val="fr-CH"/>
        </w:rPr>
        <w:t>二</w:t>
      </w:r>
      <w:r w:rsidRPr="00BF42B7">
        <w:rPr>
          <w:rFonts w:ascii="Time New Roman" w:eastAsia="楷体" w:hAnsi="Time New Roman"/>
          <w:szCs w:val="21"/>
          <w:lang w:val="fr-CH"/>
        </w:rPr>
        <w:t>))/</w:t>
      </w:r>
      <w:r w:rsidRPr="00BF42B7">
        <w:rPr>
          <w:rFonts w:ascii="Time New Roman" w:eastAsia="楷体" w:hAnsi="Time New Roman"/>
          <w:szCs w:val="21"/>
          <w:lang w:val="fr-CH"/>
        </w:rPr>
        <w:t>欧共体－香蕉</w:t>
      </w:r>
      <w:r w:rsidRPr="00BF42B7">
        <w:rPr>
          <w:rFonts w:ascii="Time New Roman" w:eastAsia="楷体" w:hAnsi="Time New Roman"/>
          <w:szCs w:val="21"/>
          <w:lang w:val="fr-CH"/>
        </w:rPr>
        <w:t>(</w:t>
      </w:r>
      <w:r w:rsidRPr="00BF42B7">
        <w:rPr>
          <w:rFonts w:ascii="Time New Roman" w:eastAsia="楷体" w:hAnsi="Time New Roman"/>
          <w:szCs w:val="21"/>
          <w:lang w:val="fr-CH"/>
        </w:rPr>
        <w:t>三</w:t>
      </w:r>
      <w:r w:rsidRPr="00BF42B7">
        <w:rPr>
          <w:rFonts w:ascii="Time New Roman" w:eastAsia="楷体" w:hAnsi="Time New Roman"/>
          <w:szCs w:val="21"/>
          <w:lang w:val="fr-CH"/>
        </w:rPr>
        <w:t>)(</w:t>
      </w:r>
      <w:r w:rsidRPr="00BF42B7">
        <w:rPr>
          <w:rFonts w:ascii="Time New Roman" w:eastAsia="楷体" w:hAnsi="Time New Roman"/>
          <w:szCs w:val="21"/>
          <w:lang w:val="fr-CH"/>
        </w:rPr>
        <w:t>第</w:t>
      </w:r>
      <w:r w:rsidRPr="00BF42B7">
        <w:rPr>
          <w:rFonts w:ascii="Time New Roman" w:eastAsia="楷体" w:hAnsi="Time New Roman"/>
          <w:szCs w:val="21"/>
          <w:lang w:val="fr-CH"/>
        </w:rPr>
        <w:t>21.5</w:t>
      </w:r>
      <w:r w:rsidRPr="00BF42B7">
        <w:rPr>
          <w:rFonts w:ascii="Time New Roman" w:eastAsia="楷体" w:hAnsi="Time New Roman"/>
          <w:szCs w:val="21"/>
          <w:lang w:val="fr-CH"/>
        </w:rPr>
        <w:t>条－美国</w:t>
      </w:r>
      <w:r w:rsidRPr="00BF42B7">
        <w:rPr>
          <w:rFonts w:ascii="Time New Roman" w:eastAsia="楷体" w:hAnsi="Time New Roman"/>
          <w:szCs w:val="21"/>
          <w:lang w:val="fr-CH"/>
        </w:rPr>
        <w:t>)</w:t>
      </w:r>
      <w:r w:rsidRPr="00BF42B7">
        <w:rPr>
          <w:rFonts w:ascii="Time New Roman" w:eastAsia="楷体" w:hAnsi="Time New Roman" w:hint="eastAsia"/>
          <w:szCs w:val="21"/>
          <w:lang w:val="fr-CH"/>
        </w:rPr>
        <w:t>’</w:t>
      </w:r>
      <w:r w:rsidRPr="00BF42B7">
        <w:rPr>
          <w:rFonts w:ascii="Time New Roman" w:eastAsia="楷体" w:hAnsi="Time New Roman"/>
          <w:szCs w:val="21"/>
          <w:lang w:val="fr-CH"/>
        </w:rPr>
        <w:t>等</w:t>
      </w:r>
      <w:r w:rsidRPr="00BF42B7">
        <w:rPr>
          <w:szCs w:val="21"/>
          <w:lang w:val="fr-CH"/>
        </w:rPr>
        <w:t>案的报告中找到了有益的指引。上诉机构指出，国际法委员会把《维也纳公约》第三十一条第三款</w:t>
      </w:r>
      <w:r w:rsidRPr="00BF42B7">
        <w:rPr>
          <w:szCs w:val="21"/>
          <w:lang w:val="fr-CH"/>
        </w:rPr>
        <w:t>(a)</w:t>
      </w:r>
      <w:r w:rsidRPr="00BF42B7">
        <w:rPr>
          <w:szCs w:val="21"/>
          <w:lang w:val="fr-CH"/>
        </w:rPr>
        <w:t>项所述嗣后协定称为</w:t>
      </w:r>
      <w:r w:rsidRPr="00BF42B7">
        <w:rPr>
          <w:rFonts w:hint="eastAsia"/>
          <w:szCs w:val="21"/>
          <w:lang w:val="fr-CH"/>
        </w:rPr>
        <w:t>‘</w:t>
      </w:r>
      <w:r w:rsidRPr="00BF42B7">
        <w:rPr>
          <w:szCs w:val="21"/>
          <w:lang w:val="fr-CH"/>
        </w:rPr>
        <w:t>需要与上下文一并考虑的另一项权威解释要素</w:t>
      </w:r>
      <w:r w:rsidRPr="00BF42B7">
        <w:rPr>
          <w:rFonts w:hint="eastAsia"/>
          <w:szCs w:val="21"/>
          <w:lang w:val="fr-CH"/>
        </w:rPr>
        <w:t>’</w:t>
      </w:r>
      <w:r w:rsidRPr="00BF42B7">
        <w:rPr>
          <w:szCs w:val="21"/>
          <w:lang w:val="fr-CH"/>
        </w:rPr>
        <w:t>。上诉机构指出，</w:t>
      </w:r>
      <w:r w:rsidRPr="00BF42B7">
        <w:rPr>
          <w:rFonts w:hint="eastAsia"/>
          <w:szCs w:val="21"/>
          <w:lang w:val="fr-CH"/>
        </w:rPr>
        <w:t>‘</w:t>
      </w:r>
      <w:r w:rsidRPr="00BF42B7">
        <w:rPr>
          <w:szCs w:val="21"/>
          <w:lang w:val="fr-CH"/>
        </w:rPr>
        <w:t>国际法委员会通过使用</w:t>
      </w:r>
      <w:r w:rsidRPr="00BF42B7">
        <w:rPr>
          <w:rFonts w:hint="eastAsia"/>
          <w:szCs w:val="21"/>
          <w:lang w:val="fr-CH"/>
        </w:rPr>
        <w:t>“</w:t>
      </w:r>
      <w:r w:rsidRPr="00BF42B7">
        <w:rPr>
          <w:szCs w:val="21"/>
          <w:lang w:val="fr-CH"/>
        </w:rPr>
        <w:t>权威解释</w:t>
      </w:r>
      <w:r w:rsidRPr="00BF42B7">
        <w:rPr>
          <w:rFonts w:hint="eastAsia"/>
          <w:szCs w:val="21"/>
          <w:lang w:val="fr-CH"/>
        </w:rPr>
        <w:t>”</w:t>
      </w:r>
      <w:r w:rsidRPr="00BF42B7">
        <w:rPr>
          <w:szCs w:val="21"/>
          <w:lang w:val="fr-CH"/>
        </w:rPr>
        <w:t>一词，把第三十一条第三款</w:t>
      </w:r>
      <w:r w:rsidRPr="00BF42B7">
        <w:rPr>
          <w:szCs w:val="21"/>
          <w:lang w:val="fr-CH"/>
        </w:rPr>
        <w:t>(a)</w:t>
      </w:r>
      <w:r w:rsidRPr="00BF42B7">
        <w:rPr>
          <w:szCs w:val="21"/>
          <w:lang w:val="fr-CH"/>
        </w:rPr>
        <w:t>项解读为是指</w:t>
      </w:r>
      <w:r w:rsidRPr="00BF42B7">
        <w:rPr>
          <w:rFonts w:ascii="Time New Roman" w:eastAsia="楷体" w:hAnsi="Time New Roman"/>
          <w:szCs w:val="21"/>
          <w:lang w:val="fr-CH"/>
        </w:rPr>
        <w:t>对条约解释产生具体影响的各项协定</w:t>
      </w:r>
      <w:r w:rsidRPr="00BF42B7">
        <w:rPr>
          <w:szCs w:val="21"/>
          <w:lang w:val="fr-CH"/>
        </w:rPr>
        <w:t>。</w:t>
      </w:r>
      <w:r w:rsidRPr="00BF42B7">
        <w:rPr>
          <w:rFonts w:hint="eastAsia"/>
          <w:szCs w:val="21"/>
          <w:lang w:val="fr-CH"/>
        </w:rPr>
        <w:t>’</w:t>
      </w:r>
      <w:r w:rsidRPr="00BF42B7">
        <w:rPr>
          <w:szCs w:val="21"/>
          <w:lang w:val="fr-CH"/>
        </w:rPr>
        <w:t>因此，我们将考虑第</w:t>
      </w:r>
      <w:r w:rsidRPr="00BF42B7">
        <w:rPr>
          <w:szCs w:val="21"/>
          <w:lang w:val="fr-CH"/>
        </w:rPr>
        <w:t>5.2</w:t>
      </w:r>
      <w:r w:rsidRPr="00BF42B7">
        <w:rPr>
          <w:szCs w:val="21"/>
          <w:lang w:val="fr-CH"/>
        </w:rPr>
        <w:t>段是否对《技术性贸易壁垒协议》第</w:t>
      </w:r>
      <w:r w:rsidRPr="00BF42B7">
        <w:rPr>
          <w:szCs w:val="21"/>
          <w:lang w:val="fr-CH"/>
        </w:rPr>
        <w:t>2.12</w:t>
      </w:r>
      <w:r w:rsidRPr="00BF42B7">
        <w:rPr>
          <w:szCs w:val="21"/>
          <w:lang w:val="fr-CH"/>
        </w:rPr>
        <w:t>条的解释产生具体影响。</w:t>
      </w:r>
    </w:p>
    <w:p w:rsidR="00B75685" w:rsidRPr="00BF42B7" w:rsidRDefault="00B75685" w:rsidP="00B75685">
      <w:pPr>
        <w:pStyle w:val="SingleTxtGC"/>
        <w:rPr>
          <w:szCs w:val="21"/>
        </w:rPr>
      </w:pPr>
      <w:r w:rsidRPr="00BF42B7">
        <w:rPr>
          <w:szCs w:val="21"/>
          <w:lang w:val="fr-CH"/>
        </w:rPr>
        <w:tab/>
      </w:r>
      <w:r w:rsidRPr="00BF42B7">
        <w:rPr>
          <w:rFonts w:hint="eastAsia"/>
          <w:szCs w:val="21"/>
          <w:lang w:val="fr-CH"/>
        </w:rPr>
        <w:t>……</w:t>
      </w:r>
    </w:p>
    <w:p w:rsidR="00B75685" w:rsidRPr="00BF42B7" w:rsidRDefault="00B75685" w:rsidP="00B75685">
      <w:pPr>
        <w:pStyle w:val="SingleTxtGC"/>
        <w:ind w:left="1565"/>
        <w:rPr>
          <w:szCs w:val="21"/>
        </w:rPr>
      </w:pPr>
      <w:r w:rsidRPr="00BF42B7">
        <w:rPr>
          <w:rFonts w:hint="eastAsia"/>
          <w:szCs w:val="21"/>
          <w:lang w:val="fr-CH"/>
        </w:rPr>
        <w:t>“</w:t>
      </w:r>
      <w:r w:rsidRPr="00BF42B7">
        <w:rPr>
          <w:szCs w:val="21"/>
          <w:lang w:val="fr-CH"/>
        </w:rPr>
        <w:t xml:space="preserve">268.  </w:t>
      </w:r>
      <w:r w:rsidRPr="00BF42B7">
        <w:rPr>
          <w:szCs w:val="21"/>
          <w:lang w:val="fr-CH"/>
        </w:rPr>
        <w:t>综上所述，我们</w:t>
      </w:r>
      <w:r w:rsidRPr="00BF42B7">
        <w:rPr>
          <w:rFonts w:ascii="Time New Roman" w:eastAsia="楷体" w:hAnsi="Time New Roman"/>
          <w:szCs w:val="21"/>
          <w:lang w:val="fr-CH"/>
        </w:rPr>
        <w:t>支持</w:t>
      </w:r>
      <w:r w:rsidRPr="00BF42B7">
        <w:rPr>
          <w:szCs w:val="21"/>
          <w:lang w:val="fr-CH"/>
        </w:rPr>
        <w:t>小组的结论</w:t>
      </w:r>
      <w:r w:rsidRPr="00BF42B7">
        <w:rPr>
          <w:rFonts w:hint="eastAsia"/>
          <w:szCs w:val="21"/>
          <w:lang w:val="fr-CH"/>
        </w:rPr>
        <w:t>……</w:t>
      </w:r>
      <w:r w:rsidRPr="00BF42B7">
        <w:rPr>
          <w:szCs w:val="21"/>
          <w:lang w:val="fr-CH"/>
        </w:rPr>
        <w:t>即：</w:t>
      </w:r>
      <w:r w:rsidRPr="00BF42B7">
        <w:rPr>
          <w:rFonts w:hint="eastAsia"/>
          <w:szCs w:val="21"/>
          <w:lang w:val="fr-CH"/>
        </w:rPr>
        <w:t>《多哈部长级会议决定》</w:t>
      </w:r>
      <w:r w:rsidRPr="00BF42B7">
        <w:rPr>
          <w:szCs w:val="21"/>
          <w:lang w:val="fr-CH"/>
        </w:rPr>
        <w:t>第</w:t>
      </w:r>
      <w:r w:rsidRPr="00BF42B7">
        <w:rPr>
          <w:szCs w:val="21"/>
          <w:lang w:val="fr-CH"/>
        </w:rPr>
        <w:t>5.2</w:t>
      </w:r>
      <w:r w:rsidRPr="00BF42B7">
        <w:rPr>
          <w:szCs w:val="21"/>
          <w:lang w:val="fr-CH"/>
        </w:rPr>
        <w:t>段表明，在《维也纳公约》第三十一条第三款</w:t>
      </w:r>
      <w:r w:rsidRPr="00BF42B7">
        <w:rPr>
          <w:szCs w:val="21"/>
          <w:lang w:val="fr-CH"/>
        </w:rPr>
        <w:t>(a)</w:t>
      </w:r>
      <w:r w:rsidRPr="00BF42B7">
        <w:rPr>
          <w:szCs w:val="21"/>
          <w:lang w:val="fr-CH"/>
        </w:rPr>
        <w:t>项含义范畴内，缔约方之间就《技术性贸易壁垒协议》第</w:t>
      </w:r>
      <w:r w:rsidRPr="00BF42B7">
        <w:rPr>
          <w:szCs w:val="21"/>
          <w:lang w:val="fr-CH"/>
        </w:rPr>
        <w:t>2.12</w:t>
      </w:r>
      <w:r w:rsidRPr="00BF42B7">
        <w:rPr>
          <w:szCs w:val="21"/>
          <w:lang w:val="fr-CH"/>
        </w:rPr>
        <w:t>条</w:t>
      </w:r>
      <w:r w:rsidRPr="00BF42B7">
        <w:rPr>
          <w:rFonts w:hint="eastAsia"/>
          <w:szCs w:val="21"/>
          <w:lang w:val="fr-CH"/>
        </w:rPr>
        <w:t>‘</w:t>
      </w:r>
      <w:r w:rsidRPr="00BF42B7">
        <w:rPr>
          <w:szCs w:val="21"/>
          <w:lang w:val="fr-CH"/>
        </w:rPr>
        <w:t>合理间隔</w:t>
      </w:r>
      <w:r w:rsidRPr="00BF42B7">
        <w:rPr>
          <w:rFonts w:hint="eastAsia"/>
          <w:szCs w:val="21"/>
          <w:lang w:val="fr-CH"/>
        </w:rPr>
        <w:t>’</w:t>
      </w:r>
      <w:r w:rsidRPr="00BF42B7">
        <w:rPr>
          <w:szCs w:val="21"/>
          <w:lang w:val="fr-CH"/>
        </w:rPr>
        <w:t>一词的解释嗣后达成了协定。</w:t>
      </w:r>
      <w:r w:rsidRPr="00BF42B7">
        <w:rPr>
          <w:rFonts w:hint="eastAsia"/>
          <w:szCs w:val="21"/>
          <w:lang w:val="fr-CH"/>
        </w:rPr>
        <w:t>”</w:t>
      </w:r>
      <w:r w:rsidRPr="00BF42B7">
        <w:rPr>
          <w:color w:val="0000FF"/>
          <w:szCs w:val="21"/>
          <w:vertAlign w:val="superscript"/>
          <w:lang w:val="fr-CH"/>
        </w:rPr>
        <w:footnoteReference w:id="932"/>
      </w:r>
      <w:r w:rsidRPr="00BF42B7">
        <w:rPr>
          <w:color w:val="0000FF"/>
          <w:szCs w:val="21"/>
          <w:vertAlign w:val="superscript"/>
          <w:lang w:val="fr-CH"/>
        </w:rPr>
        <w:t xml:space="preserve"> </w:t>
      </w:r>
    </w:p>
    <w:p w:rsidR="00B75685" w:rsidRPr="00BF42B7" w:rsidRDefault="00B75685" w:rsidP="00B75685">
      <w:pPr>
        <w:pStyle w:val="SingleTxtGC"/>
        <w:rPr>
          <w:lang w:val="fr-CH"/>
        </w:rPr>
      </w:pPr>
      <w:r w:rsidRPr="00BF42B7">
        <w:rPr>
          <w:lang w:val="fr-CH"/>
        </w:rPr>
        <w:t xml:space="preserve">(20)  </w:t>
      </w:r>
      <w:r w:rsidRPr="00BF42B7">
        <w:rPr>
          <w:lang w:val="fr-CH"/>
        </w:rPr>
        <w:t>国际法院在依据大会关于各国友好关系的宣言来解释《宪章》第二条第四款时虽然未明确提及第三十一条第三款</w:t>
      </w:r>
      <w:r w:rsidRPr="00BF42B7">
        <w:rPr>
          <w:lang w:val="fr-CH"/>
        </w:rPr>
        <w:t>(a)</w:t>
      </w:r>
      <w:r w:rsidRPr="00BF42B7">
        <w:rPr>
          <w:lang w:val="fr-CH"/>
        </w:rPr>
        <w:t>项，但强调了</w:t>
      </w:r>
      <w:r w:rsidRPr="00BF42B7">
        <w:rPr>
          <w:rFonts w:hint="eastAsia"/>
          <w:lang w:val="fr-CH"/>
        </w:rPr>
        <w:t>“</w:t>
      </w:r>
      <w:r w:rsidRPr="00BF42B7">
        <w:rPr>
          <w:lang w:val="fr-CH"/>
        </w:rPr>
        <w:t>各方及各国对大会某些决议的态度</w:t>
      </w:r>
      <w:r w:rsidRPr="00BF42B7">
        <w:rPr>
          <w:rFonts w:hint="eastAsia"/>
          <w:lang w:val="fr-CH"/>
        </w:rPr>
        <w:t>”</w:t>
      </w:r>
      <w:r w:rsidRPr="00BF42B7">
        <w:rPr>
          <w:lang w:val="fr-CH"/>
        </w:rPr>
        <w:t>及对这些决议表示的同意。</w:t>
      </w:r>
      <w:r w:rsidRPr="00BF42B7">
        <w:rPr>
          <w:color w:val="0000FF"/>
          <w:vertAlign w:val="superscript"/>
          <w:lang w:val="fr-CH"/>
        </w:rPr>
        <w:footnoteReference w:id="933"/>
      </w:r>
      <w:r w:rsidRPr="00BF42B7">
        <w:rPr>
          <w:color w:val="0000FF"/>
          <w:vertAlign w:val="superscript"/>
          <w:lang w:val="fr-CH"/>
        </w:rPr>
        <w:t xml:space="preserve"> </w:t>
      </w:r>
      <w:r w:rsidRPr="00BF42B7">
        <w:rPr>
          <w:lang w:val="fr-CH"/>
        </w:rPr>
        <w:t>在这方面，若干著述者得出的结论是，在某些情形下，第三十一条第三款</w:t>
      </w:r>
      <w:r w:rsidRPr="00BF42B7">
        <w:rPr>
          <w:lang w:val="fr-CH"/>
        </w:rPr>
        <w:t>(a)</w:t>
      </w:r>
      <w:r w:rsidRPr="00BF42B7">
        <w:rPr>
          <w:lang w:val="fr-CH"/>
        </w:rPr>
        <w:t>项所指的嗣后协定可出自或体现在国际组织全体机关的行动中，</w:t>
      </w:r>
      <w:bookmarkStart w:id="200" w:name="_Ref461977235"/>
      <w:r w:rsidRPr="00BF42B7">
        <w:rPr>
          <w:color w:val="0000FF"/>
          <w:vertAlign w:val="superscript"/>
          <w:lang w:val="fr-CH"/>
        </w:rPr>
        <w:footnoteReference w:id="934"/>
      </w:r>
      <w:bookmarkEnd w:id="200"/>
      <w:r w:rsidRPr="00BF42B7">
        <w:rPr>
          <w:color w:val="0000FF"/>
          <w:vertAlign w:val="superscript"/>
          <w:lang w:val="fr-CH"/>
        </w:rPr>
        <w:t xml:space="preserve"> </w:t>
      </w:r>
      <w:r w:rsidRPr="00BF42B7">
        <w:rPr>
          <w:lang w:val="fr-CH"/>
        </w:rPr>
        <w:t>例如联合国大会的行动。</w:t>
      </w:r>
      <w:r w:rsidRPr="00BF42B7">
        <w:rPr>
          <w:color w:val="0000FF"/>
          <w:vertAlign w:val="superscript"/>
          <w:lang w:val="fr-CH"/>
        </w:rPr>
        <w:footnoteReference w:id="935"/>
      </w:r>
      <w:r w:rsidRPr="00BF42B7">
        <w:rPr>
          <w:color w:val="0000FF"/>
          <w:vertAlign w:val="superscript"/>
          <w:lang w:val="fr-CH"/>
        </w:rPr>
        <w:t xml:space="preserve"> </w:t>
      </w:r>
      <w:r w:rsidRPr="00BF42B7">
        <w:rPr>
          <w:lang w:val="fr-CH"/>
        </w:rPr>
        <w:t>事实上，正如世贸组织上诉机构针对国际法委员会所表示的，</w:t>
      </w:r>
      <w:r w:rsidRPr="00BF42B7">
        <w:rPr>
          <w:color w:val="0000FF"/>
          <w:vertAlign w:val="superscript"/>
          <w:lang w:val="fr-CH"/>
        </w:rPr>
        <w:footnoteReference w:id="936"/>
      </w:r>
      <w:r w:rsidRPr="00BF42B7">
        <w:rPr>
          <w:color w:val="0000FF"/>
          <w:vertAlign w:val="superscript"/>
          <w:lang w:val="fr-CH"/>
        </w:rPr>
        <w:t xml:space="preserve"> </w:t>
      </w:r>
      <w:r w:rsidRPr="00BF42B7">
        <w:rPr>
          <w:lang w:val="fr-CH"/>
        </w:rPr>
        <w:t>只有在国际组织组成文书缔约方以缔约方身份行事，而非像通常那样在体制上仅以各全体机关成员的身份行事时，才可根据第三十一条第三款</w:t>
      </w:r>
      <w:r w:rsidRPr="00BF42B7">
        <w:rPr>
          <w:lang w:val="fr-CH"/>
        </w:rPr>
        <w:t>(a)</w:t>
      </w:r>
      <w:r w:rsidRPr="00BF42B7">
        <w:rPr>
          <w:lang w:val="fr-CH"/>
        </w:rPr>
        <w:t>项将集体决定定为</w:t>
      </w:r>
      <w:r w:rsidRPr="00BF42B7">
        <w:rPr>
          <w:rFonts w:hint="eastAsia"/>
          <w:lang w:val="fr-CH"/>
        </w:rPr>
        <w:t>“</w:t>
      </w:r>
      <w:r w:rsidRPr="00BF42B7">
        <w:rPr>
          <w:lang w:val="fr-CH"/>
        </w:rPr>
        <w:t>权威解释要素</w:t>
      </w:r>
      <w:r w:rsidRPr="00BF42B7">
        <w:rPr>
          <w:rFonts w:hint="eastAsia"/>
          <w:lang w:val="fr-CH"/>
        </w:rPr>
        <w:t>”</w:t>
      </w:r>
      <w:r w:rsidRPr="00BF42B7">
        <w:rPr>
          <w:lang w:val="fr-CH"/>
        </w:rPr>
        <w:t>。</w:t>
      </w:r>
      <w:bookmarkStart w:id="201" w:name="_Ref424551138"/>
      <w:bookmarkEnd w:id="201"/>
      <w:r w:rsidRPr="00BF42B7">
        <w:rPr>
          <w:color w:val="0000FF"/>
          <w:vertAlign w:val="superscript"/>
          <w:lang w:val="fr-CH"/>
        </w:rPr>
        <w:footnoteReference w:id="937"/>
      </w:r>
      <w:r w:rsidRPr="00BF42B7">
        <w:rPr>
          <w:color w:val="0000FF"/>
          <w:vertAlign w:val="superscript"/>
          <w:lang w:val="fr-CH"/>
        </w:rPr>
        <w:t xml:space="preserve"> </w:t>
      </w:r>
    </w:p>
    <w:p w:rsidR="00B75685" w:rsidRPr="00BF42B7" w:rsidRDefault="00B75685" w:rsidP="00B75685">
      <w:pPr>
        <w:pStyle w:val="SingleTxtGC"/>
        <w:rPr>
          <w:szCs w:val="21"/>
        </w:rPr>
      </w:pPr>
      <w:bookmarkStart w:id="202" w:name="_Ref424117811"/>
      <w:r w:rsidRPr="00BF42B7">
        <w:rPr>
          <w:szCs w:val="21"/>
          <w:lang w:val="fr-CH"/>
        </w:rPr>
        <w:t xml:space="preserve">(21)  </w:t>
      </w:r>
      <w:r w:rsidRPr="00BF42B7">
        <w:rPr>
          <w:szCs w:val="21"/>
          <w:lang w:val="fr-CH"/>
        </w:rPr>
        <w:t>第</w:t>
      </w:r>
      <w:r w:rsidRPr="00BF42B7">
        <w:rPr>
          <w:szCs w:val="21"/>
          <w:lang w:val="fr-CH"/>
        </w:rPr>
        <w:t>2</w:t>
      </w:r>
      <w:r w:rsidRPr="00BF42B7">
        <w:rPr>
          <w:szCs w:val="21"/>
          <w:lang w:val="fr-CH"/>
        </w:rPr>
        <w:t>段针对国际组织的惯例，而非国际组织某</w:t>
      </w:r>
      <w:r w:rsidRPr="00BF42B7">
        <w:rPr>
          <w:rFonts w:hint="eastAsia"/>
          <w:szCs w:val="21"/>
          <w:lang w:val="fr-CH"/>
        </w:rPr>
        <w:t>一</w:t>
      </w:r>
      <w:r w:rsidRPr="00BF42B7">
        <w:rPr>
          <w:szCs w:val="21"/>
          <w:lang w:val="fr-CH"/>
        </w:rPr>
        <w:t>机关的惯例。虽然国际组织的惯例可出自某一机关的惯例，但也可能产生于两个或多个机关的行为。</w:t>
      </w:r>
      <w:bookmarkEnd w:id="202"/>
    </w:p>
    <w:p w:rsidR="00B75685" w:rsidRPr="00BF42B7" w:rsidRDefault="00B75685" w:rsidP="00B75685">
      <w:pPr>
        <w:pStyle w:val="SingleTxtGC"/>
        <w:rPr>
          <w:szCs w:val="21"/>
        </w:rPr>
      </w:pPr>
      <w:r w:rsidRPr="00BF42B7">
        <w:rPr>
          <w:szCs w:val="21"/>
          <w:lang w:val="fr-CH"/>
        </w:rPr>
        <w:t xml:space="preserve">(22)  </w:t>
      </w:r>
      <w:r w:rsidRPr="00BF42B7">
        <w:rPr>
          <w:szCs w:val="21"/>
          <w:lang w:val="fr-CH"/>
        </w:rPr>
        <w:t>缔约方的嗣后协定和嗣后惯例可能</w:t>
      </w:r>
      <w:r w:rsidRPr="00BF42B7">
        <w:rPr>
          <w:rFonts w:hint="eastAsia"/>
          <w:szCs w:val="21"/>
          <w:lang w:val="fr-CH"/>
        </w:rPr>
        <w:t>“</w:t>
      </w:r>
      <w:r w:rsidRPr="00BF42B7">
        <w:rPr>
          <w:szCs w:val="21"/>
          <w:lang w:val="fr-CH"/>
        </w:rPr>
        <w:t>出自或体现在</w:t>
      </w:r>
      <w:r w:rsidRPr="00BF42B7">
        <w:rPr>
          <w:rFonts w:hint="eastAsia"/>
          <w:szCs w:val="21"/>
          <w:lang w:val="fr-CH"/>
        </w:rPr>
        <w:t>”</w:t>
      </w:r>
      <w:r w:rsidRPr="00BF42B7">
        <w:rPr>
          <w:szCs w:val="21"/>
          <w:lang w:val="fr-CH"/>
        </w:rPr>
        <w:t>国际组织的惯例中，有时可能与该组织的此类惯例存在密切联系。例如，在</w:t>
      </w:r>
      <w:r w:rsidRPr="00BF42B7">
        <w:rPr>
          <w:rFonts w:hint="eastAsia"/>
          <w:szCs w:val="21"/>
          <w:lang w:val="fr-CH"/>
        </w:rPr>
        <w:t>“</w:t>
      </w:r>
      <w:r w:rsidRPr="00BF42B7">
        <w:rPr>
          <w:rFonts w:ascii="Time New Roman" w:eastAsia="楷体" w:hAnsi="Time New Roman"/>
          <w:szCs w:val="21"/>
          <w:lang w:val="fr-CH"/>
        </w:rPr>
        <w:t>纳米比亚</w:t>
      </w:r>
      <w:r w:rsidRPr="00BF42B7">
        <w:rPr>
          <w:rFonts w:ascii="Time New Roman" w:eastAsia="楷体" w:hAnsi="Time New Roman" w:hint="eastAsia"/>
          <w:szCs w:val="21"/>
          <w:lang w:val="fr-CH"/>
        </w:rPr>
        <w:t>案</w:t>
      </w:r>
      <w:r w:rsidRPr="00BF42B7">
        <w:rPr>
          <w:rFonts w:hint="eastAsia"/>
          <w:szCs w:val="21"/>
          <w:lang w:val="fr-CH"/>
        </w:rPr>
        <w:t>”的</w:t>
      </w:r>
      <w:r w:rsidRPr="00BF42B7">
        <w:rPr>
          <w:szCs w:val="21"/>
          <w:lang w:val="fr-CH"/>
        </w:rPr>
        <w:t>咨询意见中，国际法院对《联合国宪章》第二十七条第三项中</w:t>
      </w:r>
      <w:r w:rsidRPr="00BF42B7">
        <w:rPr>
          <w:rFonts w:hint="eastAsia"/>
          <w:szCs w:val="21"/>
          <w:lang w:val="fr-CH"/>
        </w:rPr>
        <w:t>“</w:t>
      </w:r>
      <w:r w:rsidRPr="00BF42B7">
        <w:rPr>
          <w:szCs w:val="21"/>
          <w:lang w:val="fr-CH"/>
        </w:rPr>
        <w:t>同意票</w:t>
      </w:r>
      <w:r w:rsidRPr="00BF42B7">
        <w:rPr>
          <w:rFonts w:hint="eastAsia"/>
          <w:szCs w:val="21"/>
          <w:lang w:val="fr-CH"/>
        </w:rPr>
        <w:t>”</w:t>
      </w:r>
      <w:r w:rsidRPr="00BF42B7">
        <w:rPr>
          <w:szCs w:val="21"/>
          <w:lang w:val="fr-CH"/>
        </w:rPr>
        <w:t>用语所作的解释包括弃权，这主要是依据了该组织有关机关的惯例，同时考虑到当时该惯例被会员国</w:t>
      </w:r>
      <w:r w:rsidRPr="00BF42B7">
        <w:rPr>
          <w:rFonts w:hint="eastAsia"/>
          <w:szCs w:val="21"/>
          <w:lang w:val="fr-CH"/>
        </w:rPr>
        <w:t>“</w:t>
      </w:r>
      <w:r w:rsidRPr="00BF42B7">
        <w:rPr>
          <w:szCs w:val="21"/>
          <w:lang w:val="fr-CH"/>
        </w:rPr>
        <w:t>普遍接受</w:t>
      </w:r>
      <w:r w:rsidRPr="00BF42B7">
        <w:rPr>
          <w:rFonts w:hint="eastAsia"/>
          <w:szCs w:val="21"/>
          <w:lang w:val="fr-CH"/>
        </w:rPr>
        <w:t>”</w:t>
      </w:r>
      <w:r w:rsidRPr="00BF42B7">
        <w:rPr>
          <w:szCs w:val="21"/>
          <w:lang w:val="fr-CH"/>
        </w:rPr>
        <w:t>：</w:t>
      </w:r>
    </w:p>
    <w:p w:rsidR="00B75685" w:rsidRPr="00BF42B7" w:rsidRDefault="00B75685" w:rsidP="00B75685">
      <w:pPr>
        <w:pStyle w:val="SingleTxtGC"/>
        <w:ind w:left="1565"/>
        <w:rPr>
          <w:szCs w:val="21"/>
        </w:rPr>
      </w:pPr>
      <w:r w:rsidRPr="00BF42B7">
        <w:rPr>
          <w:rFonts w:hint="eastAsia"/>
          <w:szCs w:val="21"/>
          <w:lang w:val="fr-CH"/>
        </w:rPr>
        <w:t>“……</w:t>
      </w:r>
      <w:r w:rsidRPr="00BF42B7">
        <w:rPr>
          <w:szCs w:val="21"/>
          <w:lang w:val="fr-CH"/>
        </w:rPr>
        <w:t>安全理事会长期以来的议事录提供了大量证据，表明主席的裁决以及安理会理事国、特别是常任理事国采取的立场，已经连贯一致地将一个常任理事国采取的自愿弃权做法解释为并不阻碍决议的通过。安全理事会采用的这一程序自</w:t>
      </w:r>
      <w:r w:rsidRPr="00BF42B7">
        <w:rPr>
          <w:szCs w:val="21"/>
          <w:lang w:val="fr-CH"/>
        </w:rPr>
        <w:t>1965</w:t>
      </w:r>
      <w:r w:rsidRPr="00BF42B7">
        <w:rPr>
          <w:szCs w:val="21"/>
          <w:lang w:val="fr-CH"/>
        </w:rPr>
        <w:t>年修订《宪章》第二十七条以来一直未变，已为联合国会员国普遍接受，并表明了该组织的一种一般惯例。</w:t>
      </w:r>
      <w:r w:rsidRPr="00BF42B7">
        <w:rPr>
          <w:color w:val="0000FF"/>
          <w:szCs w:val="21"/>
          <w:vertAlign w:val="superscript"/>
          <w:lang w:val="fr-CH"/>
        </w:rPr>
        <w:footnoteReference w:id="938"/>
      </w:r>
      <w:r w:rsidRPr="00BF42B7">
        <w:rPr>
          <w:color w:val="0000FF"/>
          <w:szCs w:val="21"/>
          <w:vertAlign w:val="superscript"/>
          <w:lang w:val="fr-CH"/>
        </w:rPr>
        <w:t xml:space="preserve"> </w:t>
      </w:r>
    </w:p>
    <w:p w:rsidR="00B75685" w:rsidRPr="00BF42B7" w:rsidRDefault="00B75685" w:rsidP="00B75685">
      <w:pPr>
        <w:pStyle w:val="SingleTxtGC"/>
        <w:rPr>
          <w:szCs w:val="21"/>
        </w:rPr>
      </w:pPr>
      <w:r w:rsidRPr="00BF42B7">
        <w:rPr>
          <w:szCs w:val="21"/>
          <w:lang w:val="fr-CH"/>
        </w:rPr>
        <w:t>法院在该案中既强调了国际组织一个或多个机关的惯例，又强调了会员国对该惯例的</w:t>
      </w:r>
      <w:r w:rsidRPr="00BF42B7">
        <w:rPr>
          <w:rFonts w:hint="eastAsia"/>
          <w:szCs w:val="21"/>
          <w:lang w:val="fr-CH"/>
        </w:rPr>
        <w:t>“</w:t>
      </w:r>
      <w:r w:rsidRPr="00BF42B7">
        <w:rPr>
          <w:szCs w:val="21"/>
          <w:lang w:val="fr-CH"/>
        </w:rPr>
        <w:t>普遍接受</w:t>
      </w:r>
      <w:r w:rsidRPr="00BF42B7">
        <w:rPr>
          <w:rFonts w:hint="eastAsia"/>
          <w:szCs w:val="21"/>
          <w:lang w:val="fr-CH"/>
        </w:rPr>
        <w:t>”</w:t>
      </w:r>
      <w:r w:rsidRPr="00BF42B7">
        <w:rPr>
          <w:szCs w:val="21"/>
          <w:lang w:val="fr-CH"/>
        </w:rPr>
        <w:t>，并将这两种因素的结合称为</w:t>
      </w:r>
      <w:r w:rsidRPr="00BF42B7">
        <w:rPr>
          <w:rFonts w:hint="eastAsia"/>
          <w:szCs w:val="21"/>
          <w:lang w:val="fr-CH"/>
        </w:rPr>
        <w:t>“</w:t>
      </w:r>
      <w:r w:rsidRPr="00BF42B7">
        <w:rPr>
          <w:szCs w:val="21"/>
          <w:lang w:val="fr-CH"/>
        </w:rPr>
        <w:t>该组织的一般惯例</w:t>
      </w:r>
      <w:r w:rsidRPr="00BF42B7">
        <w:rPr>
          <w:rFonts w:hint="eastAsia"/>
          <w:szCs w:val="21"/>
          <w:lang w:val="fr-CH"/>
        </w:rPr>
        <w:t>”</w:t>
      </w:r>
      <w:r w:rsidRPr="00BF42B7">
        <w:rPr>
          <w:szCs w:val="21"/>
          <w:lang w:val="fr-CH"/>
        </w:rPr>
        <w:t>。</w:t>
      </w:r>
      <w:r w:rsidRPr="00BF42B7">
        <w:rPr>
          <w:color w:val="0000FF"/>
          <w:szCs w:val="21"/>
          <w:vertAlign w:val="superscript"/>
          <w:lang w:val="fr-CH"/>
        </w:rPr>
        <w:footnoteReference w:id="939"/>
      </w:r>
      <w:r w:rsidRPr="00BF42B7">
        <w:rPr>
          <w:color w:val="0000FF"/>
          <w:szCs w:val="21"/>
          <w:vertAlign w:val="superscript"/>
          <w:lang w:val="fr-CH"/>
        </w:rPr>
        <w:t xml:space="preserve"> </w:t>
      </w:r>
      <w:r w:rsidRPr="00BF42B7">
        <w:rPr>
          <w:szCs w:val="21"/>
          <w:lang w:val="fr-CH"/>
        </w:rPr>
        <w:t>法院在</w:t>
      </w:r>
      <w:r w:rsidRPr="00BF42B7">
        <w:rPr>
          <w:rFonts w:hint="eastAsia"/>
          <w:szCs w:val="21"/>
          <w:lang w:val="fr-CH"/>
        </w:rPr>
        <w:t>关于“</w:t>
      </w:r>
      <w:r w:rsidRPr="00BF42B7">
        <w:rPr>
          <w:rFonts w:ascii="Time New Roman" w:eastAsia="楷体" w:hAnsi="Time New Roman"/>
          <w:szCs w:val="21"/>
          <w:lang w:val="fr-CH"/>
        </w:rPr>
        <w:t>在被占领巴勒斯坦领土修建隔离墙的法律后果</w:t>
      </w:r>
      <w:r w:rsidRPr="00BF42B7">
        <w:rPr>
          <w:rFonts w:hint="eastAsia"/>
          <w:szCs w:val="21"/>
          <w:lang w:val="fr-CH"/>
        </w:rPr>
        <w:t>”的</w:t>
      </w:r>
      <w:r w:rsidRPr="00BF42B7">
        <w:rPr>
          <w:szCs w:val="21"/>
          <w:lang w:val="fr-CH"/>
        </w:rPr>
        <w:t>咨询意见中沿用了这种做法，指出：</w:t>
      </w:r>
    </w:p>
    <w:p w:rsidR="00B75685" w:rsidRPr="00BF42B7" w:rsidRDefault="00B75685" w:rsidP="00B75685">
      <w:pPr>
        <w:pStyle w:val="SingleTxtGC"/>
        <w:ind w:left="1565"/>
        <w:rPr>
          <w:szCs w:val="21"/>
        </w:rPr>
      </w:pPr>
      <w:r w:rsidRPr="00BF42B7">
        <w:rPr>
          <w:rFonts w:hint="eastAsia"/>
          <w:szCs w:val="21"/>
          <w:lang w:val="fr-CH"/>
        </w:rPr>
        <w:t>“</w:t>
      </w:r>
      <w:r w:rsidRPr="00BF42B7">
        <w:rPr>
          <w:szCs w:val="21"/>
          <w:lang w:val="fr-CH"/>
        </w:rPr>
        <w:t>法院认为大会被接受的惯例</w:t>
      </w:r>
      <w:r w:rsidRPr="00BF42B7">
        <w:rPr>
          <w:szCs w:val="21"/>
          <w:lang w:val="fr-CH"/>
        </w:rPr>
        <w:t>(</w:t>
      </w:r>
      <w:r w:rsidRPr="00BF42B7">
        <w:rPr>
          <w:szCs w:val="21"/>
          <w:lang w:val="fr-CH"/>
        </w:rPr>
        <w:t>有发展</w:t>
      </w:r>
      <w:r w:rsidRPr="00BF42B7">
        <w:rPr>
          <w:szCs w:val="21"/>
          <w:lang w:val="fr-CH"/>
        </w:rPr>
        <w:t>)</w:t>
      </w:r>
      <w:r w:rsidRPr="00BF42B7">
        <w:rPr>
          <w:szCs w:val="21"/>
          <w:lang w:val="fr-CH"/>
        </w:rPr>
        <w:t>符合《宪章》第十二条第一项。</w:t>
      </w:r>
      <w:r w:rsidRPr="00BF42B7">
        <w:rPr>
          <w:rFonts w:hint="eastAsia"/>
          <w:szCs w:val="21"/>
          <w:lang w:val="fr-CH"/>
        </w:rPr>
        <w:t>”</w:t>
      </w:r>
      <w:r w:rsidRPr="00BF42B7">
        <w:rPr>
          <w:color w:val="0000FF"/>
          <w:szCs w:val="21"/>
          <w:vertAlign w:val="superscript"/>
          <w:lang w:val="fr-CH"/>
        </w:rPr>
        <w:footnoteReference w:id="940"/>
      </w:r>
      <w:r w:rsidRPr="00BF42B7">
        <w:rPr>
          <w:color w:val="0000FF"/>
          <w:szCs w:val="21"/>
          <w:vertAlign w:val="superscript"/>
          <w:lang w:val="fr-CH"/>
        </w:rPr>
        <w:t xml:space="preserve"> </w:t>
      </w:r>
    </w:p>
    <w:p w:rsidR="00B75685" w:rsidRPr="00BF42B7" w:rsidRDefault="00B75685" w:rsidP="00B75685">
      <w:pPr>
        <w:pStyle w:val="SingleTxtGC"/>
        <w:rPr>
          <w:szCs w:val="21"/>
        </w:rPr>
      </w:pPr>
      <w:r w:rsidRPr="00BF42B7">
        <w:rPr>
          <w:szCs w:val="21"/>
          <w:lang w:val="fr-CH"/>
        </w:rPr>
        <w:t>通过使用</w:t>
      </w:r>
      <w:r w:rsidRPr="00BF42B7">
        <w:rPr>
          <w:rFonts w:hint="eastAsia"/>
          <w:szCs w:val="21"/>
          <w:lang w:val="fr-CH"/>
        </w:rPr>
        <w:t>“</w:t>
      </w:r>
      <w:r w:rsidRPr="00BF42B7">
        <w:rPr>
          <w:szCs w:val="21"/>
          <w:lang w:val="fr-CH"/>
        </w:rPr>
        <w:t>大会被接受的惯例</w:t>
      </w:r>
      <w:r w:rsidRPr="00BF42B7">
        <w:rPr>
          <w:rFonts w:hint="eastAsia"/>
          <w:szCs w:val="21"/>
          <w:lang w:val="fr-CH"/>
        </w:rPr>
        <w:t>”</w:t>
      </w:r>
      <w:r w:rsidRPr="00BF42B7">
        <w:rPr>
          <w:szCs w:val="21"/>
          <w:lang w:val="fr-CH"/>
        </w:rPr>
        <w:t>这一说法，</w:t>
      </w:r>
      <w:r w:rsidRPr="00BF42B7">
        <w:rPr>
          <w:color w:val="0000FF"/>
          <w:szCs w:val="21"/>
          <w:vertAlign w:val="superscript"/>
          <w:lang w:val="fr-CH"/>
        </w:rPr>
        <w:footnoteReference w:id="941"/>
      </w:r>
      <w:r w:rsidRPr="00BF42B7">
        <w:rPr>
          <w:color w:val="0000FF"/>
          <w:szCs w:val="21"/>
          <w:vertAlign w:val="superscript"/>
          <w:lang w:val="fr-CH"/>
        </w:rPr>
        <w:t xml:space="preserve"> </w:t>
      </w:r>
      <w:r w:rsidRPr="00BF42B7">
        <w:rPr>
          <w:szCs w:val="21"/>
          <w:lang w:val="fr-CH"/>
        </w:rPr>
        <w:t>法院即默示确认，代表成员国对一个组织在适用条约时遵循的惯例作出默许，也就是允许确立就相关条约规定的解释达成的协定。</w:t>
      </w:r>
      <w:bookmarkStart w:id="203" w:name="_Ref424123007"/>
      <w:bookmarkEnd w:id="203"/>
      <w:r w:rsidRPr="00BF42B7">
        <w:rPr>
          <w:color w:val="0000FF"/>
          <w:szCs w:val="21"/>
          <w:vertAlign w:val="superscript"/>
          <w:lang w:val="fr-CH"/>
        </w:rPr>
        <w:footnoteReference w:id="942"/>
      </w:r>
      <w:r w:rsidRPr="00BF42B7">
        <w:rPr>
          <w:color w:val="0000FF"/>
          <w:szCs w:val="21"/>
          <w:vertAlign w:val="superscript"/>
          <w:lang w:val="fr-CH"/>
        </w:rPr>
        <w:t xml:space="preserve"> </w:t>
      </w:r>
    </w:p>
    <w:p w:rsidR="00B75685" w:rsidRPr="00BF42B7" w:rsidRDefault="00B75685" w:rsidP="00B75685">
      <w:pPr>
        <w:pStyle w:val="SingleTxtGC"/>
        <w:rPr>
          <w:szCs w:val="21"/>
        </w:rPr>
      </w:pPr>
      <w:r w:rsidRPr="00BF42B7">
        <w:rPr>
          <w:szCs w:val="21"/>
          <w:lang w:val="fr-CH"/>
        </w:rPr>
        <w:t xml:space="preserve">(23)  </w:t>
      </w:r>
      <w:r w:rsidRPr="00BF42B7">
        <w:rPr>
          <w:szCs w:val="21"/>
          <w:lang w:val="fr-CH"/>
        </w:rPr>
        <w:t>因此，可以合理地认为，</w:t>
      </w:r>
      <w:r w:rsidRPr="00BF42B7">
        <w:rPr>
          <w:rFonts w:hint="eastAsia"/>
          <w:szCs w:val="21"/>
          <w:lang w:val="fr-CH"/>
        </w:rPr>
        <w:t>“</w:t>
      </w:r>
      <w:r w:rsidRPr="00BF42B7">
        <w:rPr>
          <w:szCs w:val="21"/>
          <w:lang w:val="fr-CH"/>
        </w:rPr>
        <w:t>相关惯例通常是指承担执行义务的那一方的惯例</w:t>
      </w:r>
      <w:r w:rsidRPr="00BF42B7">
        <w:rPr>
          <w:rFonts w:hint="eastAsia"/>
          <w:szCs w:val="21"/>
          <w:lang w:val="fr-CH"/>
        </w:rPr>
        <w:t>”</w:t>
      </w:r>
      <w:r w:rsidRPr="00BF42B7">
        <w:rPr>
          <w:szCs w:val="21"/>
          <w:lang w:val="fr-CH"/>
        </w:rPr>
        <w:t>，</w:t>
      </w:r>
      <w:r w:rsidRPr="00BF42B7">
        <w:rPr>
          <w:color w:val="0000FF"/>
          <w:szCs w:val="21"/>
          <w:vertAlign w:val="superscript"/>
          <w:lang w:val="fr-CH"/>
        </w:rPr>
        <w:footnoteReference w:id="943"/>
      </w:r>
      <w:r w:rsidRPr="00BF42B7">
        <w:rPr>
          <w:color w:val="0000FF"/>
          <w:szCs w:val="21"/>
          <w:vertAlign w:val="superscript"/>
          <w:lang w:val="fr-CH"/>
        </w:rPr>
        <w:t xml:space="preserve"> </w:t>
      </w:r>
      <w:r w:rsidRPr="00BF42B7">
        <w:rPr>
          <w:szCs w:val="21"/>
          <w:lang w:val="fr-CH"/>
        </w:rPr>
        <w:t>这意味着</w:t>
      </w:r>
      <w:r w:rsidRPr="00BF42B7">
        <w:rPr>
          <w:rFonts w:hint="eastAsia"/>
          <w:szCs w:val="21"/>
          <w:lang w:val="fr-CH"/>
        </w:rPr>
        <w:t>“</w:t>
      </w:r>
      <w:r w:rsidRPr="00BF42B7">
        <w:rPr>
          <w:szCs w:val="21"/>
          <w:lang w:val="fr-CH"/>
        </w:rPr>
        <w:t>如果国家依照条约规定委托一个组织执行某些活动，则执行这些活动的方式可以构成条约所称的惯例；但这种惯例是否确立了缔约方关于条约解释的协定，可能需要考虑到其他因素</w:t>
      </w:r>
      <w:r w:rsidRPr="00BF42B7">
        <w:rPr>
          <w:rFonts w:hint="eastAsia"/>
          <w:szCs w:val="21"/>
          <w:lang w:val="fr-CH"/>
        </w:rPr>
        <w:t>”</w:t>
      </w:r>
      <w:r w:rsidRPr="00BF42B7">
        <w:rPr>
          <w:szCs w:val="21"/>
          <w:lang w:val="fr-CH"/>
        </w:rPr>
        <w:t>。</w:t>
      </w:r>
      <w:r w:rsidRPr="00BF42B7">
        <w:rPr>
          <w:color w:val="0000FF"/>
          <w:szCs w:val="21"/>
          <w:vertAlign w:val="superscript"/>
          <w:lang w:val="fr-CH"/>
        </w:rPr>
        <w:footnoteReference w:id="944"/>
      </w:r>
      <w:r w:rsidRPr="00BF42B7">
        <w:rPr>
          <w:color w:val="0000FF"/>
          <w:szCs w:val="21"/>
          <w:vertAlign w:val="superscript"/>
          <w:lang w:val="fr-CH"/>
        </w:rPr>
        <w:t xml:space="preserve"> </w:t>
      </w:r>
    </w:p>
    <w:p w:rsidR="00B75685" w:rsidRPr="00BF42B7" w:rsidRDefault="00B75685" w:rsidP="00B75685">
      <w:pPr>
        <w:pStyle w:val="SingleTxtGC"/>
        <w:rPr>
          <w:szCs w:val="21"/>
        </w:rPr>
      </w:pPr>
      <w:r w:rsidRPr="00BF42B7">
        <w:rPr>
          <w:szCs w:val="21"/>
          <w:lang w:val="fr-CH"/>
        </w:rPr>
        <w:t xml:space="preserve">(24)  </w:t>
      </w:r>
      <w:r w:rsidRPr="00BF42B7">
        <w:rPr>
          <w:szCs w:val="21"/>
          <w:lang w:val="fr-CH"/>
        </w:rPr>
        <w:t>同样，在</w:t>
      </w:r>
      <w:r w:rsidRPr="00BF42B7">
        <w:rPr>
          <w:rFonts w:hint="eastAsia"/>
          <w:szCs w:val="21"/>
          <w:lang w:val="fr-CH"/>
        </w:rPr>
        <w:t>“</w:t>
      </w:r>
      <w:r w:rsidRPr="00BF42B7">
        <w:rPr>
          <w:rFonts w:ascii="Time New Roman" w:eastAsia="楷体" w:hAnsi="Time New Roman"/>
          <w:szCs w:val="21"/>
          <w:lang w:val="fr-CH"/>
        </w:rPr>
        <w:t>南极捕鲸案</w:t>
      </w:r>
      <w:r w:rsidRPr="00BF42B7">
        <w:rPr>
          <w:rFonts w:hint="eastAsia"/>
          <w:szCs w:val="21"/>
          <w:lang w:val="fr-CH"/>
        </w:rPr>
        <w:t>”</w:t>
      </w:r>
      <w:r w:rsidRPr="00BF42B7">
        <w:rPr>
          <w:szCs w:val="21"/>
          <w:lang w:val="fr-CH"/>
        </w:rPr>
        <w:t>中，国际法院提到国际捕鲸委员会</w:t>
      </w:r>
      <w:r w:rsidRPr="00BF42B7">
        <w:rPr>
          <w:szCs w:val="21"/>
          <w:lang w:val="fr-CH"/>
        </w:rPr>
        <w:t>(</w:t>
      </w:r>
      <w:r w:rsidRPr="00BF42B7">
        <w:rPr>
          <w:szCs w:val="21"/>
          <w:lang w:val="fr-CH"/>
        </w:rPr>
        <w:t>既是《国际捕鲸管制公约》设立的国际组织名称</w:t>
      </w:r>
      <w:r w:rsidRPr="00BF42B7">
        <w:rPr>
          <w:color w:val="0000FF"/>
          <w:szCs w:val="21"/>
          <w:vertAlign w:val="superscript"/>
          <w:lang w:val="fr-CH"/>
        </w:rPr>
        <w:footnoteReference w:id="945"/>
      </w:r>
      <w:r w:rsidRPr="00BF42B7">
        <w:rPr>
          <w:color w:val="0000FF"/>
          <w:szCs w:val="21"/>
          <w:vertAlign w:val="superscript"/>
          <w:lang w:val="fr-CH"/>
        </w:rPr>
        <w:t xml:space="preserve"> </w:t>
      </w:r>
      <w:r w:rsidRPr="00BF42B7">
        <w:rPr>
          <w:rFonts w:hint="eastAsia"/>
          <w:szCs w:val="21"/>
          <w:lang w:val="fr-CH"/>
        </w:rPr>
        <w:t>，</w:t>
      </w:r>
      <w:r w:rsidRPr="00BF42B7">
        <w:rPr>
          <w:szCs w:val="21"/>
          <w:lang w:val="fr-CH"/>
        </w:rPr>
        <w:t>也是该组织一个机关的名称</w:t>
      </w:r>
      <w:r w:rsidRPr="00BF42B7">
        <w:rPr>
          <w:szCs w:val="21"/>
          <w:lang w:val="fr-CH"/>
        </w:rPr>
        <w:t>)</w:t>
      </w:r>
      <w:r w:rsidRPr="00BF42B7">
        <w:rPr>
          <w:rFonts w:hint="eastAsia"/>
          <w:szCs w:val="21"/>
          <w:lang w:val="fr-CH"/>
        </w:rPr>
        <w:t>(</w:t>
      </w:r>
      <w:r w:rsidRPr="00BF42B7">
        <w:rPr>
          <w:szCs w:val="21"/>
          <w:lang w:val="fr-CH"/>
        </w:rPr>
        <w:t>无约束力</w:t>
      </w:r>
      <w:r w:rsidRPr="00BF42B7">
        <w:rPr>
          <w:rFonts w:hint="eastAsia"/>
          <w:szCs w:val="21"/>
          <w:lang w:val="fr-CH"/>
        </w:rPr>
        <w:t>)</w:t>
      </w:r>
      <w:r w:rsidRPr="00BF42B7">
        <w:rPr>
          <w:szCs w:val="21"/>
          <w:lang w:val="fr-CH"/>
        </w:rPr>
        <w:t>的建议，澄清说这些建议如果经</w:t>
      </w:r>
      <w:r w:rsidRPr="00BF42B7">
        <w:rPr>
          <w:rFonts w:hint="eastAsia"/>
          <w:szCs w:val="21"/>
          <w:lang w:val="fr-CH"/>
        </w:rPr>
        <w:t>“</w:t>
      </w:r>
      <w:r w:rsidRPr="00BF42B7">
        <w:rPr>
          <w:szCs w:val="21"/>
          <w:lang w:val="fr-CH"/>
        </w:rPr>
        <w:t>协商一致或一致表决获得通过，则可能对《公约》或其附表的解释有意义</w:t>
      </w:r>
      <w:r w:rsidRPr="00BF42B7">
        <w:rPr>
          <w:rFonts w:hint="eastAsia"/>
          <w:szCs w:val="21"/>
          <w:lang w:val="fr-CH"/>
        </w:rPr>
        <w:t>”</w:t>
      </w:r>
      <w:r w:rsidRPr="00BF42B7">
        <w:rPr>
          <w:szCs w:val="21"/>
          <w:lang w:val="fr-CH"/>
        </w:rPr>
        <w:t>。</w:t>
      </w:r>
      <w:r w:rsidRPr="00BF42B7">
        <w:rPr>
          <w:color w:val="0000FF"/>
          <w:szCs w:val="21"/>
          <w:vertAlign w:val="superscript"/>
          <w:lang w:val="fr-CH"/>
        </w:rPr>
        <w:footnoteReference w:id="946"/>
      </w:r>
      <w:r w:rsidRPr="00BF42B7">
        <w:rPr>
          <w:color w:val="0000FF"/>
          <w:szCs w:val="21"/>
          <w:vertAlign w:val="superscript"/>
          <w:lang w:val="fr-CH"/>
        </w:rPr>
        <w:t xml:space="preserve"> </w:t>
      </w:r>
      <w:r w:rsidRPr="00BF42B7">
        <w:rPr>
          <w:szCs w:val="21"/>
          <w:lang w:val="fr-CH"/>
        </w:rPr>
        <w:t>然而，法院同时也作出了谨慎的表示：</w:t>
      </w:r>
      <w:bookmarkStart w:id="204" w:name="_Ref424057905"/>
      <w:bookmarkEnd w:id="204"/>
    </w:p>
    <w:p w:rsidR="00B75685" w:rsidRPr="00BF42B7" w:rsidRDefault="00B75685" w:rsidP="00B75685">
      <w:pPr>
        <w:pStyle w:val="SingleTxtGC"/>
        <w:ind w:left="1565"/>
        <w:rPr>
          <w:szCs w:val="21"/>
        </w:rPr>
      </w:pPr>
      <w:r w:rsidRPr="00BF42B7">
        <w:rPr>
          <w:rFonts w:hint="eastAsia"/>
          <w:szCs w:val="21"/>
          <w:lang w:val="fr-CH"/>
        </w:rPr>
        <w:t>“……</w:t>
      </w:r>
      <w:r w:rsidRPr="00BF42B7">
        <w:rPr>
          <w:szCs w:val="21"/>
          <w:lang w:val="fr-CH"/>
        </w:rPr>
        <w:t>澳大利亚和新西兰夸大了其所依据的建议性决议和导则的法律意义。首先，国际捕鲸委员会的许多决议都是在未得到《公约》全体缔约国支持，尤其是未得到日本同意的情况下通过的。因此，这些文书既不能被视为第八条解释方面的嗣后协定，也不构成《维也纳条约法公约》第三十一条第三款</w:t>
      </w:r>
      <w:r w:rsidRPr="00BF42B7">
        <w:rPr>
          <w:szCs w:val="21"/>
          <w:lang w:val="fr-CH"/>
        </w:rPr>
        <w:t>(a)</w:t>
      </w:r>
      <w:r w:rsidRPr="00BF42B7">
        <w:rPr>
          <w:szCs w:val="21"/>
          <w:lang w:val="fr-CH"/>
        </w:rPr>
        <w:t>项和</w:t>
      </w:r>
      <w:r w:rsidRPr="00BF42B7">
        <w:rPr>
          <w:szCs w:val="21"/>
          <w:lang w:val="fr-CH"/>
        </w:rPr>
        <w:t>(b)</w:t>
      </w:r>
      <w:r w:rsidRPr="00BF42B7">
        <w:rPr>
          <w:szCs w:val="21"/>
          <w:lang w:val="fr-CH"/>
        </w:rPr>
        <w:t>项分别所指的确定缔约方关于条约解释的协定的嗣后惯例。</w:t>
      </w:r>
      <w:r w:rsidRPr="00BF42B7">
        <w:rPr>
          <w:rFonts w:hint="eastAsia"/>
          <w:szCs w:val="21"/>
          <w:lang w:val="fr-CH"/>
        </w:rPr>
        <w:t>”</w:t>
      </w:r>
      <w:r w:rsidRPr="00BF42B7">
        <w:rPr>
          <w:color w:val="0000FF"/>
          <w:szCs w:val="21"/>
          <w:vertAlign w:val="superscript"/>
          <w:lang w:val="fr-CH"/>
        </w:rPr>
        <w:footnoteReference w:id="947"/>
      </w:r>
      <w:r w:rsidRPr="00BF42B7">
        <w:rPr>
          <w:color w:val="0000FF"/>
          <w:szCs w:val="21"/>
          <w:vertAlign w:val="superscript"/>
          <w:lang w:val="fr-CH"/>
        </w:rPr>
        <w:t xml:space="preserve"> </w:t>
      </w:r>
    </w:p>
    <w:p w:rsidR="00B75685" w:rsidRPr="00BF42B7" w:rsidRDefault="00B75685" w:rsidP="00B75685">
      <w:pPr>
        <w:pStyle w:val="SingleTxtGC"/>
        <w:rPr>
          <w:szCs w:val="21"/>
        </w:rPr>
      </w:pPr>
      <w:bookmarkStart w:id="205" w:name="_Ref423958724"/>
      <w:r w:rsidRPr="00BF42B7">
        <w:rPr>
          <w:szCs w:val="21"/>
          <w:lang w:val="fr-CH"/>
        </w:rPr>
        <w:t xml:space="preserve">(25)  </w:t>
      </w:r>
      <w:r w:rsidRPr="00BF42B7">
        <w:rPr>
          <w:szCs w:val="21"/>
          <w:lang w:val="fr-CH"/>
        </w:rPr>
        <w:t>然而，这一谨慎表示并不排除一个未获全体一致通过的决议可能会产生或表明单个成员国在解释条约时的立场或惯例，而这一立场或惯例可依据第三十二条予以考虑。</w:t>
      </w:r>
      <w:bookmarkStart w:id="206" w:name="_Ref424132194"/>
      <w:bookmarkEnd w:id="206"/>
      <w:r w:rsidRPr="00BF42B7">
        <w:rPr>
          <w:color w:val="0000FF"/>
          <w:szCs w:val="21"/>
          <w:vertAlign w:val="superscript"/>
          <w:lang w:val="fr-CH"/>
        </w:rPr>
        <w:footnoteReference w:id="948"/>
      </w:r>
      <w:r w:rsidRPr="00BF42B7">
        <w:rPr>
          <w:color w:val="0000FF"/>
          <w:szCs w:val="21"/>
          <w:vertAlign w:val="superscript"/>
          <w:lang w:val="fr-CH"/>
        </w:rPr>
        <w:t xml:space="preserve"> </w:t>
      </w:r>
    </w:p>
    <w:p w:rsidR="00B75685" w:rsidRPr="00BF42B7" w:rsidRDefault="00B75685" w:rsidP="00B75685">
      <w:pPr>
        <w:pStyle w:val="H4GC"/>
      </w:pPr>
      <w:r w:rsidRPr="00BF42B7">
        <w:rPr>
          <w:rFonts w:hint="eastAsia"/>
          <w:lang w:val="fr-CH"/>
        </w:rPr>
        <w:tab/>
      </w:r>
      <w:r w:rsidRPr="00BF42B7">
        <w:rPr>
          <w:rFonts w:hint="eastAsia"/>
          <w:lang w:val="fr-CH"/>
        </w:rPr>
        <w:tab/>
      </w:r>
      <w:r w:rsidRPr="00BF42B7">
        <w:rPr>
          <w:lang w:val="fr-CH"/>
        </w:rPr>
        <w:t>国际组织</w:t>
      </w:r>
      <w:r w:rsidRPr="00BF42B7">
        <w:rPr>
          <w:rFonts w:hint="eastAsia"/>
          <w:lang w:val="fr-CH"/>
        </w:rPr>
        <w:t>自身</w:t>
      </w:r>
      <w:r w:rsidRPr="00BF42B7">
        <w:rPr>
          <w:lang w:val="fr-CH"/>
        </w:rPr>
        <w:t>惯例</w:t>
      </w:r>
    </w:p>
    <w:p w:rsidR="00B75685" w:rsidRPr="00BF42B7" w:rsidRDefault="00B75685" w:rsidP="00B75685">
      <w:pPr>
        <w:pStyle w:val="SingleTxtGC"/>
        <w:rPr>
          <w:szCs w:val="21"/>
        </w:rPr>
      </w:pPr>
      <w:r w:rsidRPr="00BF42B7">
        <w:rPr>
          <w:szCs w:val="21"/>
          <w:lang w:val="fr-CH"/>
        </w:rPr>
        <w:t xml:space="preserve">(26)  </w:t>
      </w:r>
      <w:r w:rsidRPr="00BF42B7">
        <w:rPr>
          <w:szCs w:val="21"/>
          <w:lang w:val="fr-CH"/>
        </w:rPr>
        <w:t>结论草案</w:t>
      </w:r>
      <w:r w:rsidRPr="00BF42B7">
        <w:rPr>
          <w:szCs w:val="21"/>
          <w:lang w:val="fr-CH"/>
        </w:rPr>
        <w:t>12[11]</w:t>
      </w:r>
      <w:r w:rsidRPr="00BF42B7">
        <w:rPr>
          <w:szCs w:val="21"/>
          <w:lang w:val="fr-CH"/>
        </w:rPr>
        <w:t>第</w:t>
      </w:r>
      <w:r w:rsidRPr="00BF42B7">
        <w:rPr>
          <w:szCs w:val="21"/>
          <w:lang w:val="fr-CH"/>
        </w:rPr>
        <w:t>3</w:t>
      </w:r>
      <w:r w:rsidRPr="00BF42B7">
        <w:rPr>
          <w:szCs w:val="21"/>
          <w:lang w:val="fr-CH"/>
        </w:rPr>
        <w:t>段提及可能对解释国际组织的组成文书有意义的另一个惯例形式：组织自身形成的惯例，即</w:t>
      </w:r>
      <w:r w:rsidRPr="00BF42B7">
        <w:rPr>
          <w:rFonts w:hint="eastAsia"/>
          <w:szCs w:val="21"/>
          <w:lang w:val="fr-CH"/>
        </w:rPr>
        <w:t>“</w:t>
      </w:r>
      <w:r w:rsidRPr="00BF42B7">
        <w:rPr>
          <w:szCs w:val="21"/>
          <w:lang w:val="fr-CH"/>
        </w:rPr>
        <w:t>自身惯例</w:t>
      </w:r>
      <w:r w:rsidRPr="00BF42B7">
        <w:rPr>
          <w:rFonts w:hint="eastAsia"/>
          <w:szCs w:val="21"/>
          <w:lang w:val="fr-CH"/>
        </w:rPr>
        <w:t>”</w:t>
      </w:r>
      <w:r w:rsidRPr="00BF42B7">
        <w:rPr>
          <w:szCs w:val="21"/>
          <w:lang w:val="fr-CH"/>
        </w:rPr>
        <w:t>，有别于成员国的惯例。在一些案例中，国际法院在解释国际组织的组成文书时就考虑了其自身惯例，而没有提及该组织成员国的惯例或成员国是否接受。法院特别指出该国际组织</w:t>
      </w:r>
      <w:r w:rsidRPr="00BF42B7">
        <w:rPr>
          <w:rFonts w:hint="eastAsia"/>
          <w:szCs w:val="21"/>
          <w:lang w:val="fr-CH"/>
        </w:rPr>
        <w:t>“</w:t>
      </w:r>
      <w:r w:rsidRPr="00BF42B7">
        <w:rPr>
          <w:szCs w:val="21"/>
          <w:lang w:val="fr-CH"/>
        </w:rPr>
        <w:t>自己的惯例</w:t>
      </w:r>
      <w:r w:rsidRPr="00BF42B7">
        <w:rPr>
          <w:rFonts w:hint="eastAsia"/>
          <w:szCs w:val="21"/>
          <w:lang w:val="fr-CH"/>
        </w:rPr>
        <w:t>”……</w:t>
      </w:r>
      <w:r w:rsidRPr="00BF42B7">
        <w:rPr>
          <w:szCs w:val="21"/>
          <w:lang w:val="fr-CH"/>
        </w:rPr>
        <w:t>在解释过程中</w:t>
      </w:r>
      <w:r w:rsidRPr="00BF42B7">
        <w:rPr>
          <w:rFonts w:hint="eastAsia"/>
          <w:szCs w:val="21"/>
          <w:lang w:val="fr-CH"/>
        </w:rPr>
        <w:t>“</w:t>
      </w:r>
      <w:r w:rsidRPr="00BF42B7">
        <w:rPr>
          <w:szCs w:val="21"/>
          <w:lang w:val="fr-CH"/>
        </w:rPr>
        <w:t>可能值得特别关注</w:t>
      </w:r>
      <w:r w:rsidRPr="00BF42B7">
        <w:rPr>
          <w:rFonts w:hint="eastAsia"/>
          <w:szCs w:val="21"/>
          <w:lang w:val="fr-CH"/>
        </w:rPr>
        <w:t>”</w:t>
      </w:r>
      <w:r w:rsidRPr="00BF42B7">
        <w:rPr>
          <w:szCs w:val="21"/>
          <w:lang w:val="fr-CH"/>
        </w:rPr>
        <w:t>。</w:t>
      </w:r>
      <w:bookmarkEnd w:id="205"/>
      <w:r w:rsidRPr="00BF42B7">
        <w:rPr>
          <w:color w:val="0000FF"/>
          <w:szCs w:val="21"/>
          <w:vertAlign w:val="superscript"/>
          <w:lang w:val="fr-CH"/>
        </w:rPr>
        <w:footnoteReference w:id="949"/>
      </w:r>
      <w:r w:rsidRPr="00BF42B7">
        <w:rPr>
          <w:color w:val="0000FF"/>
          <w:szCs w:val="21"/>
          <w:vertAlign w:val="superscript"/>
          <w:lang w:val="fr-CH"/>
        </w:rPr>
        <w:t xml:space="preserve"> </w:t>
      </w:r>
    </w:p>
    <w:p w:rsidR="00B75685" w:rsidRPr="00BF42B7" w:rsidRDefault="00B75685" w:rsidP="00B75685">
      <w:pPr>
        <w:pStyle w:val="SingleTxtGC"/>
        <w:rPr>
          <w:szCs w:val="21"/>
        </w:rPr>
      </w:pPr>
      <w:r w:rsidRPr="00BF42B7">
        <w:rPr>
          <w:szCs w:val="21"/>
          <w:lang w:val="fr-CH"/>
        </w:rPr>
        <w:t xml:space="preserve">(27)  </w:t>
      </w:r>
      <w:r w:rsidRPr="00BF42B7">
        <w:rPr>
          <w:szCs w:val="21"/>
          <w:lang w:val="fr-CH"/>
        </w:rPr>
        <w:t>例如，国际法院在关于</w:t>
      </w:r>
      <w:r w:rsidRPr="00BF42B7">
        <w:rPr>
          <w:rFonts w:hint="eastAsia"/>
          <w:szCs w:val="21"/>
        </w:rPr>
        <w:t>“</w:t>
      </w:r>
      <w:r w:rsidRPr="00BF42B7">
        <w:rPr>
          <w:rFonts w:ascii="Time New Roman" w:eastAsia="楷体" w:hAnsi="Time New Roman"/>
          <w:szCs w:val="21"/>
          <w:lang w:val="fr-CH"/>
        </w:rPr>
        <w:t>联合国大会接纳国家加入联合国的权限</w:t>
      </w:r>
      <w:r w:rsidRPr="00BF42B7">
        <w:rPr>
          <w:rFonts w:hint="eastAsia"/>
          <w:szCs w:val="21"/>
          <w:lang w:val="fr-CH"/>
        </w:rPr>
        <w:t>”</w:t>
      </w:r>
      <w:r w:rsidRPr="00BF42B7">
        <w:rPr>
          <w:szCs w:val="21"/>
          <w:lang w:val="fr-CH"/>
        </w:rPr>
        <w:t>的咨询意见中指出：</w:t>
      </w:r>
    </w:p>
    <w:p w:rsidR="00B75685" w:rsidRPr="00BF42B7" w:rsidRDefault="00B75685" w:rsidP="00B75685">
      <w:pPr>
        <w:pStyle w:val="SingleTxtGC"/>
        <w:ind w:left="1565"/>
        <w:rPr>
          <w:szCs w:val="21"/>
        </w:rPr>
      </w:pPr>
      <w:r w:rsidRPr="00BF42B7">
        <w:rPr>
          <w:rFonts w:hint="eastAsia"/>
          <w:szCs w:val="21"/>
          <w:lang w:val="fr-CH"/>
        </w:rPr>
        <w:t>“</w:t>
      </w:r>
      <w:r w:rsidRPr="00BF42B7">
        <w:rPr>
          <w:szCs w:val="21"/>
          <w:lang w:val="fr-CH"/>
        </w:rPr>
        <w:t>根据第四条的委托负责决定本组织准入事项的各机关对该文本的一贯解释是，大会只有根据安全理事会的建议才能决定接纳。</w:t>
      </w:r>
      <w:r w:rsidRPr="00BF42B7">
        <w:rPr>
          <w:rFonts w:hint="eastAsia"/>
          <w:szCs w:val="21"/>
          <w:lang w:val="fr-CH"/>
        </w:rPr>
        <w:t>”</w:t>
      </w:r>
      <w:r w:rsidRPr="00BF42B7">
        <w:rPr>
          <w:color w:val="0000FF"/>
          <w:szCs w:val="21"/>
          <w:vertAlign w:val="superscript"/>
          <w:lang w:val="fr-CH"/>
        </w:rPr>
        <w:footnoteReference w:id="950"/>
      </w:r>
      <w:r w:rsidRPr="00BF42B7">
        <w:rPr>
          <w:color w:val="0000FF"/>
          <w:szCs w:val="21"/>
          <w:vertAlign w:val="superscript"/>
          <w:lang w:val="fr-CH"/>
        </w:rPr>
        <w:t xml:space="preserve"> </w:t>
      </w:r>
    </w:p>
    <w:p w:rsidR="003E31C7" w:rsidRPr="00BF42B7" w:rsidRDefault="003E31C7" w:rsidP="003E31C7">
      <w:pPr>
        <w:pStyle w:val="SingleTxtGC"/>
      </w:pPr>
      <w:r w:rsidRPr="00BF42B7">
        <w:rPr>
          <w:lang w:val="fr-CH"/>
        </w:rPr>
        <w:t xml:space="preserve">(28)  </w:t>
      </w:r>
      <w:r w:rsidRPr="00BF42B7">
        <w:rPr>
          <w:lang w:val="fr-CH"/>
        </w:rPr>
        <w:t>同样，在</w:t>
      </w:r>
      <w:r w:rsidRPr="00BF42B7">
        <w:rPr>
          <w:rFonts w:hint="eastAsia"/>
          <w:lang w:val="fr-CH"/>
        </w:rPr>
        <w:t>“</w:t>
      </w:r>
      <w:r w:rsidRPr="00BF42B7">
        <w:rPr>
          <w:rFonts w:ascii="Time New Roman" w:eastAsia="楷体" w:hAnsi="Time New Roman"/>
          <w:lang w:val="fr-CH"/>
        </w:rPr>
        <w:t>《联合国特权和豁免公约》第六条第二十二节的适用</w:t>
      </w:r>
      <w:r w:rsidRPr="00BF42B7">
        <w:rPr>
          <w:rFonts w:hint="eastAsia"/>
          <w:lang w:val="fr-CH"/>
        </w:rPr>
        <w:t>”</w:t>
      </w:r>
      <w:r w:rsidRPr="00BF42B7">
        <w:rPr>
          <w:lang w:val="fr-CH"/>
        </w:rPr>
        <w:t>案中，法院在提到</w:t>
      </w:r>
      <w:r w:rsidRPr="00BF42B7">
        <w:rPr>
          <w:rFonts w:hint="eastAsia"/>
          <w:lang w:val="fr-CH"/>
        </w:rPr>
        <w:t>“</w:t>
      </w:r>
      <w:r w:rsidRPr="00BF42B7">
        <w:rPr>
          <w:lang w:val="fr-CH"/>
        </w:rPr>
        <w:t>联合国</w:t>
      </w:r>
      <w:r w:rsidRPr="00BF42B7">
        <w:rPr>
          <w:rFonts w:hint="eastAsia"/>
          <w:lang w:val="fr-CH"/>
        </w:rPr>
        <w:t>”</w:t>
      </w:r>
      <w:r w:rsidRPr="00BF42B7">
        <w:rPr>
          <w:lang w:val="fr-CH"/>
        </w:rPr>
        <w:t>的惯例时，是在指该组织各机关的行动：</w:t>
      </w:r>
    </w:p>
    <w:p w:rsidR="003E31C7" w:rsidRPr="00BF42B7" w:rsidRDefault="003E31C7" w:rsidP="003E31C7">
      <w:pPr>
        <w:pStyle w:val="SingleTxtGC"/>
        <w:ind w:left="1554"/>
      </w:pPr>
      <w:r w:rsidRPr="00BF42B7">
        <w:rPr>
          <w:rFonts w:hint="eastAsia"/>
          <w:lang w:val="fr-CH"/>
        </w:rPr>
        <w:t>“</w:t>
      </w:r>
      <w:r w:rsidRPr="00BF42B7">
        <w:rPr>
          <w:lang w:val="fr-CH"/>
        </w:rPr>
        <w:t>实践中，根据秘书长提供的信息，联合国确曾在特定情况下把性质越来越多样化的特派任务托付给不具备联合国官员身份的个人。</w:t>
      </w:r>
      <w:r w:rsidRPr="00BF42B7">
        <w:rPr>
          <w:rFonts w:hint="eastAsia"/>
          <w:lang w:val="fr-CH"/>
        </w:rPr>
        <w:t>……</w:t>
      </w:r>
      <w:r w:rsidRPr="00BF42B7">
        <w:rPr>
          <w:lang w:val="fr-CH"/>
        </w:rPr>
        <w:t>在所有这些情况下，联合国的惯例表明，得到此类任命的人，尤其是此类委员会的成员，都被视第二十二节所指的特派专家。</w:t>
      </w:r>
      <w:r w:rsidRPr="00BF42B7">
        <w:rPr>
          <w:rFonts w:hint="eastAsia"/>
          <w:lang w:val="fr-CH"/>
        </w:rPr>
        <w:t>”</w:t>
      </w:r>
      <w:r w:rsidRPr="00BF42B7">
        <w:rPr>
          <w:color w:val="0000FF"/>
          <w:vertAlign w:val="superscript"/>
          <w:lang w:val="fr-CH"/>
        </w:rPr>
        <w:footnoteReference w:id="951"/>
      </w:r>
      <w:r w:rsidRPr="00BF42B7">
        <w:rPr>
          <w:color w:val="0000FF"/>
          <w:vertAlign w:val="superscript"/>
          <w:lang w:val="fr-CH"/>
        </w:rPr>
        <w:t xml:space="preserve"> </w:t>
      </w:r>
    </w:p>
    <w:p w:rsidR="003E31C7" w:rsidRPr="00BF42B7" w:rsidRDefault="003E31C7" w:rsidP="003E31C7">
      <w:pPr>
        <w:pStyle w:val="SingleTxtGC"/>
      </w:pPr>
      <w:r w:rsidRPr="00BF42B7">
        <w:rPr>
          <w:lang w:val="fr-CH"/>
        </w:rPr>
        <w:t xml:space="preserve">(29)  </w:t>
      </w:r>
      <w:r w:rsidRPr="00BF42B7">
        <w:rPr>
          <w:lang w:val="fr-CH"/>
        </w:rPr>
        <w:t>在关于</w:t>
      </w:r>
      <w:r w:rsidRPr="00BF42B7">
        <w:rPr>
          <w:rFonts w:hint="eastAsia"/>
          <w:lang w:val="fr-CH"/>
        </w:rPr>
        <w:t>“</w:t>
      </w:r>
      <w:r w:rsidRPr="00BF42B7">
        <w:rPr>
          <w:rFonts w:ascii="Time New Roman" w:eastAsia="楷体" w:hAnsi="Time New Roman"/>
          <w:lang w:val="fr-CH"/>
        </w:rPr>
        <w:t>政府间海事协商组织</w:t>
      </w:r>
      <w:r w:rsidRPr="00BF42B7">
        <w:rPr>
          <w:rFonts w:hint="eastAsia"/>
          <w:lang w:val="fr-CH"/>
        </w:rPr>
        <w:t>”</w:t>
      </w:r>
      <w:r w:rsidRPr="00BF42B7">
        <w:rPr>
          <w:lang w:val="fr-CH"/>
        </w:rPr>
        <w:t>的咨询意见中，国际法院提到</w:t>
      </w:r>
      <w:r w:rsidRPr="00BF42B7">
        <w:rPr>
          <w:rFonts w:hint="eastAsia"/>
          <w:lang w:val="fr-CH"/>
        </w:rPr>
        <w:t>“</w:t>
      </w:r>
      <w:r w:rsidRPr="00BF42B7">
        <w:rPr>
          <w:lang w:val="fr-CH"/>
        </w:rPr>
        <w:t>该组织本身在履行《公约》过程中遵循的惯例</w:t>
      </w:r>
      <w:r w:rsidRPr="00BF42B7">
        <w:rPr>
          <w:rFonts w:hint="eastAsia"/>
          <w:lang w:val="fr-CH"/>
        </w:rPr>
        <w:t>”</w:t>
      </w:r>
      <w:r w:rsidRPr="00BF42B7">
        <w:rPr>
          <w:lang w:val="fr-CH"/>
        </w:rPr>
        <w:t>可以作为解释资料。</w:t>
      </w:r>
      <w:r w:rsidRPr="00BF42B7">
        <w:rPr>
          <w:color w:val="0000FF"/>
          <w:vertAlign w:val="superscript"/>
          <w:lang w:val="fr-CH"/>
        </w:rPr>
        <w:footnoteReference w:id="952"/>
      </w:r>
      <w:r w:rsidRPr="00BF42B7">
        <w:rPr>
          <w:color w:val="0000FF"/>
          <w:vertAlign w:val="superscript"/>
          <w:lang w:val="fr-CH"/>
        </w:rPr>
        <w:t xml:space="preserve"> </w:t>
      </w:r>
    </w:p>
    <w:p w:rsidR="003E31C7" w:rsidRPr="00BF42B7" w:rsidRDefault="003E31C7" w:rsidP="003E31C7">
      <w:pPr>
        <w:pStyle w:val="SingleTxtGC"/>
      </w:pPr>
      <w:r w:rsidRPr="00BF42B7">
        <w:rPr>
          <w:lang w:val="fr-CH"/>
        </w:rPr>
        <w:t xml:space="preserve">(30)  </w:t>
      </w:r>
      <w:r w:rsidRPr="00BF42B7">
        <w:rPr>
          <w:lang w:val="fr-CH"/>
        </w:rPr>
        <w:t>在关于</w:t>
      </w:r>
      <w:r w:rsidRPr="00BF42B7">
        <w:rPr>
          <w:rFonts w:hint="eastAsia"/>
          <w:lang w:val="fr-CH"/>
        </w:rPr>
        <w:t>“</w:t>
      </w:r>
      <w:r w:rsidRPr="00BF42B7">
        <w:rPr>
          <w:rFonts w:ascii="Time New Roman" w:eastAsia="楷体" w:hAnsi="Time New Roman"/>
          <w:lang w:val="fr-CH"/>
        </w:rPr>
        <w:t>联合国的某些经费</w:t>
      </w:r>
      <w:r w:rsidRPr="00BF42B7">
        <w:rPr>
          <w:rFonts w:hint="eastAsia"/>
          <w:lang w:val="fr-CH"/>
        </w:rPr>
        <w:t>”</w:t>
      </w:r>
      <w:r w:rsidRPr="00BF42B7">
        <w:rPr>
          <w:lang w:val="fr-CH"/>
        </w:rPr>
        <w:t>的咨询意见中，法院解释了为什么国际机构包括其下属机关的惯例本身，对国际组织组成文书的解释可能有意义：</w:t>
      </w:r>
    </w:p>
    <w:p w:rsidR="003E31C7" w:rsidRPr="00BF42B7" w:rsidRDefault="003E31C7" w:rsidP="003E31C7">
      <w:pPr>
        <w:pStyle w:val="SingleTxtGC"/>
        <w:ind w:left="1554"/>
      </w:pPr>
      <w:r w:rsidRPr="00BF42B7">
        <w:rPr>
          <w:rFonts w:hint="eastAsia"/>
        </w:rPr>
        <w:t>“</w:t>
      </w:r>
      <w:r w:rsidRPr="00BF42B7">
        <w:rPr>
          <w:lang w:val="fr-CH"/>
        </w:rPr>
        <w:t>在起草《宪章》过程中提出的将《宪章》的最终解释权授予国际法院的建议未被接受；因此法院现在提供的意见是咨询意见。于是，正如</w:t>
      </w:r>
      <w:r w:rsidRPr="00BF42B7">
        <w:rPr>
          <w:lang w:val="fr-CH"/>
        </w:rPr>
        <w:t>1945</w:t>
      </w:r>
      <w:r w:rsidRPr="00BF42B7">
        <w:rPr>
          <w:lang w:val="fr-CH"/>
        </w:rPr>
        <w:t>年预见的那样，各机关必须至少先行确定自身的管辖范围。例如，如果安全理事会通过一项旨在维护国际和平与安全的决议，而根据该决议规定的任务或授权，秘书长发生了债务，则必须推定这些债务构成</w:t>
      </w:r>
      <w:r w:rsidRPr="00BF42B7">
        <w:rPr>
          <w:rFonts w:hint="eastAsia"/>
          <w:lang w:val="fr-CH"/>
        </w:rPr>
        <w:t>‘</w:t>
      </w:r>
      <w:r w:rsidRPr="00BF42B7">
        <w:rPr>
          <w:lang w:val="fr-CH"/>
        </w:rPr>
        <w:t>本组织的开支</w:t>
      </w:r>
      <w:r w:rsidRPr="00BF42B7">
        <w:rPr>
          <w:rFonts w:hint="eastAsia"/>
          <w:lang w:val="fr-CH"/>
        </w:rPr>
        <w:t>’”</w:t>
      </w:r>
      <w:r w:rsidRPr="00BF42B7">
        <w:rPr>
          <w:lang w:val="fr-CH"/>
        </w:rPr>
        <w:t>。</w:t>
      </w:r>
      <w:bookmarkStart w:id="207" w:name="_Ref423449798"/>
      <w:r w:rsidRPr="00BF42B7">
        <w:rPr>
          <w:color w:val="0000FF"/>
          <w:vertAlign w:val="superscript"/>
          <w:lang w:val="fr-CH"/>
        </w:rPr>
        <w:footnoteReference w:id="953"/>
      </w:r>
      <w:r w:rsidRPr="00BF42B7">
        <w:rPr>
          <w:color w:val="0000FF"/>
          <w:vertAlign w:val="superscript"/>
          <w:lang w:val="fr-CH"/>
        </w:rPr>
        <w:t xml:space="preserve"> </w:t>
      </w:r>
    </w:p>
    <w:bookmarkEnd w:id="207"/>
    <w:p w:rsidR="003E31C7" w:rsidRPr="00BF42B7" w:rsidRDefault="003E31C7" w:rsidP="003E31C7">
      <w:pPr>
        <w:pStyle w:val="SingleTxtGC"/>
      </w:pPr>
      <w:r w:rsidRPr="00BF42B7">
        <w:rPr>
          <w:lang w:val="fr-CH"/>
        </w:rPr>
        <w:t xml:space="preserve">(31)  </w:t>
      </w:r>
      <w:r w:rsidRPr="00BF42B7">
        <w:rPr>
          <w:lang w:val="fr-CH"/>
        </w:rPr>
        <w:t>许多国际组织都有相同的特点，即没有规定由一个</w:t>
      </w:r>
      <w:r w:rsidRPr="00BF42B7">
        <w:rPr>
          <w:rFonts w:hint="eastAsia"/>
          <w:lang w:val="fr-CH"/>
        </w:rPr>
        <w:t>“</w:t>
      </w:r>
      <w:r w:rsidRPr="00BF42B7">
        <w:rPr>
          <w:lang w:val="fr-CH"/>
        </w:rPr>
        <w:t>最终权威来解释</w:t>
      </w:r>
      <w:r w:rsidRPr="00BF42B7">
        <w:rPr>
          <w:rFonts w:hint="eastAsia"/>
          <w:lang w:val="fr-CH"/>
        </w:rPr>
        <w:t>”</w:t>
      </w:r>
      <w:r w:rsidRPr="00BF42B7">
        <w:rPr>
          <w:lang w:val="fr-CH"/>
        </w:rPr>
        <w:t>其</w:t>
      </w:r>
      <w:r w:rsidRPr="00BF42B7">
        <w:rPr>
          <w:spacing w:val="2"/>
          <w:lang w:val="fr-CH"/>
        </w:rPr>
        <w:t>组成文书。因此，法院由这一情况得出的结论目前一般被认为适用于国际组织。</w:t>
      </w:r>
      <w:bookmarkStart w:id="208" w:name="_Ref461977252"/>
      <w:r w:rsidRPr="00BF42B7">
        <w:rPr>
          <w:color w:val="0000FF"/>
          <w:spacing w:val="2"/>
          <w:vertAlign w:val="superscript"/>
          <w:lang w:val="fr-CH"/>
        </w:rPr>
        <w:footnoteReference w:id="954"/>
      </w:r>
      <w:bookmarkEnd w:id="208"/>
      <w:r w:rsidRPr="00BF42B7">
        <w:rPr>
          <w:color w:val="0000FF"/>
          <w:vertAlign w:val="superscript"/>
          <w:lang w:val="fr-CH"/>
        </w:rPr>
        <w:t xml:space="preserve"> </w:t>
      </w:r>
      <w:r w:rsidRPr="00BF42B7">
        <w:rPr>
          <w:lang w:val="fr-CH"/>
        </w:rPr>
        <w:t>在</w:t>
      </w:r>
      <w:r w:rsidRPr="00BF42B7">
        <w:rPr>
          <w:rFonts w:hint="eastAsia"/>
          <w:lang w:val="fr-CH"/>
        </w:rPr>
        <w:t>“</w:t>
      </w:r>
      <w:r w:rsidRPr="00BF42B7">
        <w:rPr>
          <w:rFonts w:ascii="Time New Roman" w:eastAsia="楷体" w:hAnsi="Time New Roman"/>
          <w:lang w:val="fr-CH"/>
        </w:rPr>
        <w:t>某些经费</w:t>
      </w:r>
      <w:r w:rsidRPr="00BF42B7">
        <w:rPr>
          <w:rFonts w:hint="eastAsia"/>
          <w:lang w:val="fr-CH"/>
        </w:rPr>
        <w:t>”</w:t>
      </w:r>
      <w:r w:rsidRPr="00BF42B7">
        <w:rPr>
          <w:lang w:val="fr-CH"/>
        </w:rPr>
        <w:t>咨询意见中，基于国际组织包括其一个或多个机关的某项惯例发现一种前提假定，是确认这种惯例可作为解释手段的方法之一。</w:t>
      </w:r>
      <w:bookmarkStart w:id="209" w:name="_Ref424552219"/>
      <w:bookmarkStart w:id="210" w:name="_Ref424552297"/>
      <w:bookmarkStart w:id="211" w:name="_Ref461977393"/>
      <w:bookmarkEnd w:id="209"/>
      <w:bookmarkEnd w:id="210"/>
      <w:r w:rsidRPr="00BF42B7">
        <w:rPr>
          <w:color w:val="0000FF"/>
          <w:vertAlign w:val="superscript"/>
          <w:lang w:val="fr-CH"/>
        </w:rPr>
        <w:footnoteReference w:id="955"/>
      </w:r>
      <w:bookmarkEnd w:id="211"/>
      <w:r w:rsidRPr="00BF42B7">
        <w:rPr>
          <w:color w:val="0000FF"/>
          <w:vertAlign w:val="superscript"/>
          <w:lang w:val="fr-CH"/>
        </w:rPr>
        <w:t xml:space="preserve"> </w:t>
      </w:r>
    </w:p>
    <w:p w:rsidR="003E31C7" w:rsidRPr="00BF42B7" w:rsidRDefault="003E31C7" w:rsidP="003E31C7">
      <w:pPr>
        <w:pStyle w:val="SingleTxtGC"/>
      </w:pPr>
      <w:r w:rsidRPr="00BF42B7">
        <w:rPr>
          <w:lang w:val="fr-CH"/>
        </w:rPr>
        <w:t xml:space="preserve">(32)  </w:t>
      </w:r>
      <w:r w:rsidRPr="00BF42B7">
        <w:rPr>
          <w:lang w:val="fr-CH"/>
        </w:rPr>
        <w:t>虽然目前公认，按照国际组织机关的惯例来解释该组织的组成文书是有意义的解释方式，</w:t>
      </w:r>
      <w:bookmarkStart w:id="212" w:name="_Ref461977339"/>
      <w:r w:rsidRPr="00BF42B7">
        <w:rPr>
          <w:color w:val="0000FF"/>
          <w:vertAlign w:val="superscript"/>
          <w:lang w:val="fr-CH"/>
        </w:rPr>
        <w:footnoteReference w:id="956"/>
      </w:r>
      <w:bookmarkEnd w:id="212"/>
      <w:r w:rsidRPr="00BF42B7">
        <w:rPr>
          <w:color w:val="0000FF"/>
          <w:vertAlign w:val="superscript"/>
          <w:lang w:val="fr-CH"/>
        </w:rPr>
        <w:t xml:space="preserve"> </w:t>
      </w:r>
      <w:r w:rsidRPr="00BF42B7">
        <w:rPr>
          <w:lang w:val="fr-CH"/>
        </w:rPr>
        <w:t>但许多著述者对于如何按维也纳解释规则来说明国际组织</w:t>
      </w:r>
      <w:r w:rsidRPr="00BF42B7">
        <w:rPr>
          <w:rFonts w:hint="eastAsia"/>
          <w:lang w:val="fr-CH"/>
        </w:rPr>
        <w:t>“</w:t>
      </w:r>
      <w:r w:rsidRPr="00BF42B7">
        <w:rPr>
          <w:lang w:val="fr-CH"/>
        </w:rPr>
        <w:t>自身惯例</w:t>
      </w:r>
      <w:r w:rsidRPr="00BF42B7">
        <w:rPr>
          <w:rFonts w:hint="eastAsia"/>
          <w:lang w:val="fr-CH"/>
        </w:rPr>
        <w:t>”</w:t>
      </w:r>
      <w:r w:rsidRPr="00BF42B7">
        <w:rPr>
          <w:lang w:val="fr-CH"/>
        </w:rPr>
        <w:t>对解释的意义，有不同的理解。</w:t>
      </w:r>
      <w:r w:rsidRPr="00BF42B7">
        <w:rPr>
          <w:color w:val="0000FF"/>
          <w:vertAlign w:val="superscript"/>
          <w:lang w:val="fr-CH"/>
        </w:rPr>
        <w:footnoteReference w:id="957"/>
      </w:r>
      <w:r w:rsidRPr="00BF42B7">
        <w:rPr>
          <w:color w:val="0000FF"/>
          <w:vertAlign w:val="superscript"/>
          <w:lang w:val="fr-CH"/>
        </w:rPr>
        <w:t xml:space="preserve"> </w:t>
      </w:r>
      <w:r w:rsidRPr="00BF42B7">
        <w:rPr>
          <w:lang w:val="fr-CH"/>
        </w:rPr>
        <w:t>这种惯例至少可以被理解为第三十二条规定的补充解释方式。</w:t>
      </w:r>
      <w:bookmarkStart w:id="213" w:name="_Ref461977304"/>
      <w:r w:rsidRPr="00BF42B7">
        <w:rPr>
          <w:color w:val="0000FF"/>
          <w:vertAlign w:val="superscript"/>
          <w:lang w:val="fr-CH"/>
        </w:rPr>
        <w:footnoteReference w:id="958"/>
      </w:r>
      <w:bookmarkEnd w:id="213"/>
      <w:r w:rsidRPr="00BF42B7">
        <w:rPr>
          <w:color w:val="0000FF"/>
          <w:vertAlign w:val="superscript"/>
          <w:lang w:val="fr-CH"/>
        </w:rPr>
        <w:t xml:space="preserve"> </w:t>
      </w:r>
      <w:r w:rsidRPr="00BF42B7">
        <w:rPr>
          <w:lang w:val="fr-CH"/>
        </w:rPr>
        <w:t>法院通过援引国际组织在一些成员国反对的情况下通过的一些行动，确认这类行动可能构成以解释为目的的惯例，但通常不构成各方就解释达成协定且属于第三十一条第三款规定的</w:t>
      </w:r>
      <w:r w:rsidRPr="00BF42B7">
        <w:rPr>
          <w:lang w:val="fr-CH"/>
        </w:rPr>
        <w:t>(</w:t>
      </w:r>
      <w:r w:rsidRPr="00BF42B7">
        <w:rPr>
          <w:lang w:val="fr-CH"/>
        </w:rPr>
        <w:t>更有份量的</w:t>
      </w:r>
      <w:r w:rsidRPr="00BF42B7">
        <w:rPr>
          <w:lang w:val="fr-CH"/>
        </w:rPr>
        <w:t>)</w:t>
      </w:r>
      <w:r w:rsidRPr="00BF42B7">
        <w:rPr>
          <w:lang w:val="fr-CH"/>
        </w:rPr>
        <w:t>惯例。</w:t>
      </w:r>
      <w:r w:rsidRPr="00BF42B7">
        <w:rPr>
          <w:color w:val="0000FF"/>
          <w:vertAlign w:val="superscript"/>
          <w:lang w:val="fr-CH"/>
        </w:rPr>
        <w:footnoteReference w:id="959"/>
      </w:r>
      <w:r w:rsidRPr="00BF42B7">
        <w:rPr>
          <w:color w:val="0000FF"/>
          <w:vertAlign w:val="superscript"/>
          <w:lang w:val="fr-CH"/>
        </w:rPr>
        <w:t xml:space="preserve"> </w:t>
      </w:r>
      <w:r w:rsidRPr="00BF42B7">
        <w:rPr>
          <w:lang w:val="fr-CH"/>
        </w:rPr>
        <w:t>然而，各著述者基本认可国际组织自身形成的惯例也有助于依上下文并参照条约的目标和宗旨澄清条约术语中的一般含义。</w:t>
      </w:r>
      <w:bookmarkStart w:id="214" w:name="_Ref423356804"/>
      <w:bookmarkStart w:id="215" w:name="_Ref424014315"/>
      <w:bookmarkEnd w:id="214"/>
      <w:bookmarkEnd w:id="215"/>
      <w:r w:rsidRPr="00BF42B7">
        <w:rPr>
          <w:color w:val="0000FF"/>
          <w:vertAlign w:val="superscript"/>
          <w:lang w:val="fr-CH"/>
        </w:rPr>
        <w:footnoteReference w:id="960"/>
      </w:r>
      <w:r w:rsidRPr="00BF42B7">
        <w:rPr>
          <w:color w:val="0000FF"/>
          <w:vertAlign w:val="superscript"/>
          <w:lang w:val="fr-CH"/>
        </w:rPr>
        <w:t xml:space="preserve"> </w:t>
      </w:r>
    </w:p>
    <w:p w:rsidR="003E31C7" w:rsidRPr="00BF42B7" w:rsidRDefault="003E31C7" w:rsidP="003E31C7">
      <w:pPr>
        <w:pStyle w:val="SingleTxtGC"/>
      </w:pPr>
      <w:r w:rsidRPr="00BF42B7">
        <w:rPr>
          <w:lang w:val="fr-CH"/>
        </w:rPr>
        <w:t>(33)</w:t>
      </w:r>
      <w:r w:rsidRPr="00BF42B7">
        <w:rPr>
          <w:rFonts w:hint="eastAsia"/>
          <w:lang w:val="fr-CH"/>
        </w:rPr>
        <w:t xml:space="preserve">  </w:t>
      </w:r>
      <w:r w:rsidRPr="00BF42B7">
        <w:rPr>
          <w:lang w:val="fr-CH"/>
        </w:rPr>
        <w:t>委员会在对结论草案</w:t>
      </w:r>
      <w:r w:rsidRPr="00BF42B7">
        <w:rPr>
          <w:lang w:val="fr-CH"/>
        </w:rPr>
        <w:t>2[1]</w:t>
      </w:r>
      <w:r w:rsidRPr="00BF42B7">
        <w:rPr>
          <w:lang w:val="fr-CH"/>
        </w:rPr>
        <w:t>的评注中确认，</w:t>
      </w:r>
      <w:r w:rsidRPr="00BF42B7">
        <w:rPr>
          <w:rFonts w:hint="eastAsia"/>
          <w:lang w:val="fr-CH"/>
        </w:rPr>
        <w:t>“</w:t>
      </w:r>
      <w:r w:rsidRPr="00BF42B7">
        <w:rPr>
          <w:lang w:val="fr-CH"/>
        </w:rPr>
        <w:t>具体的嗣后惯例和嗣后协定有的能够，有的则不能够帮助确定有关术语在其上下文中以及根据条约的目标和宗旨而具有的通常含义</w:t>
      </w:r>
      <w:r w:rsidRPr="00BF42B7">
        <w:rPr>
          <w:rFonts w:hint="eastAsia"/>
          <w:lang w:val="fr-CH"/>
        </w:rPr>
        <w:t>”</w:t>
      </w:r>
      <w:r w:rsidRPr="00BF42B7">
        <w:rPr>
          <w:lang w:val="fr-CH"/>
        </w:rPr>
        <w:t>。</w:t>
      </w:r>
      <w:r w:rsidRPr="00BF42B7">
        <w:rPr>
          <w:color w:val="0000FF"/>
          <w:vertAlign w:val="superscript"/>
          <w:lang w:val="fr-CH"/>
        </w:rPr>
        <w:footnoteReference w:id="961"/>
      </w:r>
      <w:r w:rsidRPr="00BF42B7">
        <w:rPr>
          <w:color w:val="0000FF"/>
          <w:vertAlign w:val="superscript"/>
          <w:lang w:val="fr-CH"/>
        </w:rPr>
        <w:t xml:space="preserve"> </w:t>
      </w:r>
      <w:r w:rsidRPr="00BF42B7">
        <w:rPr>
          <w:lang w:val="fr-CH"/>
        </w:rPr>
        <w:t>就国际组织本身的惯例而言，这些考虑也是相关的。</w:t>
      </w:r>
    </w:p>
    <w:p w:rsidR="003E31C7" w:rsidRPr="00BF42B7" w:rsidRDefault="003E31C7" w:rsidP="003E31C7">
      <w:pPr>
        <w:pStyle w:val="SingleTxtGC"/>
      </w:pPr>
      <w:r w:rsidRPr="00BF42B7">
        <w:rPr>
          <w:lang w:val="fr-CH"/>
        </w:rPr>
        <w:t xml:space="preserve">(34)  </w:t>
      </w:r>
      <w:r w:rsidRPr="00BF42B7">
        <w:rPr>
          <w:lang w:val="fr-CH"/>
        </w:rPr>
        <w:t>因此，国际组织</w:t>
      </w:r>
      <w:r w:rsidRPr="00BF42B7">
        <w:rPr>
          <w:rFonts w:hint="eastAsia"/>
          <w:lang w:val="fr-CH"/>
        </w:rPr>
        <w:t>“</w:t>
      </w:r>
      <w:r w:rsidRPr="00BF42B7">
        <w:rPr>
          <w:lang w:val="fr-CH"/>
        </w:rPr>
        <w:t>自身惯例</w:t>
      </w:r>
      <w:r w:rsidRPr="00BF42B7">
        <w:rPr>
          <w:rFonts w:hint="eastAsia"/>
          <w:lang w:val="fr-CH"/>
        </w:rPr>
        <w:t>”</w:t>
      </w:r>
      <w:r w:rsidRPr="00BF42B7">
        <w:rPr>
          <w:lang w:val="fr-CH"/>
        </w:rPr>
        <w:t>可能具有的意义可以出自</w:t>
      </w:r>
      <w:r w:rsidRPr="00BF42B7">
        <w:rPr>
          <w:lang w:val="fr-CH"/>
        </w:rPr>
        <w:t>1969</w:t>
      </w:r>
      <w:r w:rsidRPr="00BF42B7">
        <w:rPr>
          <w:lang w:val="fr-CH"/>
        </w:rPr>
        <w:t>年《维也纳公约》第三条第一款和第三十二条。根据这些规定，尤其可以考虑到一个组织本身的惯例包括一个或多个机关的惯例对于按照第三十一条第一款适当确定条约的目的和宗旨</w:t>
      </w:r>
      <w:r w:rsidRPr="00BF42B7">
        <w:rPr>
          <w:lang w:val="fr-CH"/>
        </w:rPr>
        <w:t>(</w:t>
      </w:r>
      <w:r w:rsidRPr="00BF42B7">
        <w:rPr>
          <w:lang w:val="fr-CH"/>
        </w:rPr>
        <w:t>包括有关国际组织的职能</w:t>
      </w:r>
      <w:r w:rsidRPr="00BF42B7">
        <w:rPr>
          <w:lang w:val="fr-CH"/>
        </w:rPr>
        <w:t>)</w:t>
      </w:r>
      <w:r w:rsidRPr="00BF42B7">
        <w:rPr>
          <w:lang w:val="fr-CH"/>
        </w:rPr>
        <w:t>而言具有的意义。</w:t>
      </w:r>
      <w:r w:rsidRPr="00BF42B7">
        <w:rPr>
          <w:color w:val="0000FF"/>
          <w:vertAlign w:val="superscript"/>
          <w:lang w:val="fr-CH"/>
        </w:rPr>
        <w:footnoteReference w:id="962"/>
      </w:r>
      <w:r w:rsidRPr="00BF42B7">
        <w:rPr>
          <w:color w:val="0000FF"/>
          <w:vertAlign w:val="superscript"/>
          <w:lang w:val="fr-CH"/>
        </w:rPr>
        <w:t xml:space="preserve"> </w:t>
      </w:r>
    </w:p>
    <w:p w:rsidR="003E31C7" w:rsidRPr="00BF42B7" w:rsidRDefault="003E31C7" w:rsidP="003E31C7">
      <w:pPr>
        <w:pStyle w:val="SingleTxtGC"/>
      </w:pPr>
      <w:r w:rsidRPr="00BF42B7">
        <w:rPr>
          <w:lang w:val="fr-CH"/>
        </w:rPr>
        <w:t xml:space="preserve">(35)  </w:t>
      </w:r>
      <w:r w:rsidRPr="00BF42B7">
        <w:rPr>
          <w:lang w:val="fr-CH"/>
        </w:rPr>
        <w:t>因此，根据</w:t>
      </w:r>
      <w:r w:rsidRPr="00BF42B7">
        <w:rPr>
          <w:lang w:val="fr-CH"/>
        </w:rPr>
        <w:t>1969</w:t>
      </w:r>
      <w:r w:rsidRPr="00BF42B7">
        <w:rPr>
          <w:lang w:val="fr-CH"/>
        </w:rPr>
        <w:t>年《维也纳公约》第五条，可以在适用第三十一和第三十二条解释规则解释国际组织组成文书时考虑到该组织的惯例，包括考虑到其组成特性。</w:t>
      </w:r>
      <w:r w:rsidRPr="00BF42B7">
        <w:rPr>
          <w:color w:val="0000FF"/>
          <w:vertAlign w:val="superscript"/>
          <w:lang w:val="fr-CH"/>
        </w:rPr>
        <w:footnoteReference w:id="963"/>
      </w:r>
      <w:r w:rsidRPr="00756819">
        <w:rPr>
          <w:color w:val="0000FF"/>
          <w:lang w:val="fr-CH"/>
        </w:rPr>
        <w:t xml:space="preserve"> </w:t>
      </w:r>
      <w:r w:rsidRPr="00BF42B7">
        <w:rPr>
          <w:lang w:val="fr-CH"/>
        </w:rPr>
        <w:t>因此此类要素有助于查明：国际组织组成文书某一项规定的含义能否与时俱进？若能，又是如何与时俱进的？</w:t>
      </w:r>
      <w:bookmarkStart w:id="216" w:name="_Ref423356862"/>
      <w:bookmarkEnd w:id="216"/>
      <w:r w:rsidRPr="00BF42B7">
        <w:rPr>
          <w:color w:val="0000FF"/>
          <w:vertAlign w:val="superscript"/>
          <w:lang w:val="fr-CH"/>
        </w:rPr>
        <w:footnoteReference w:id="964"/>
      </w:r>
      <w:r w:rsidRPr="00BF42B7">
        <w:rPr>
          <w:color w:val="0000FF"/>
          <w:vertAlign w:val="superscript"/>
          <w:lang w:val="fr-CH"/>
        </w:rPr>
        <w:t xml:space="preserve"> </w:t>
      </w:r>
    </w:p>
    <w:p w:rsidR="003E31C7" w:rsidRPr="00BF42B7" w:rsidRDefault="003E31C7" w:rsidP="003E31C7">
      <w:pPr>
        <w:pStyle w:val="SingleTxtGC"/>
      </w:pPr>
      <w:bookmarkStart w:id="217" w:name="_Ref423958755"/>
      <w:r w:rsidRPr="00BF42B7">
        <w:rPr>
          <w:lang w:val="fr-CH"/>
        </w:rPr>
        <w:t xml:space="preserve">(36)  </w:t>
      </w:r>
      <w:r w:rsidRPr="00BF42B7">
        <w:rPr>
          <w:lang w:val="fr-CH"/>
        </w:rPr>
        <w:t>像第</w:t>
      </w:r>
      <w:r w:rsidRPr="00BF42B7">
        <w:rPr>
          <w:lang w:val="fr-CH"/>
        </w:rPr>
        <w:t>2</w:t>
      </w:r>
      <w:r w:rsidRPr="00BF42B7">
        <w:rPr>
          <w:lang w:val="fr-CH"/>
        </w:rPr>
        <w:t>段一样，第</w:t>
      </w:r>
      <w:r w:rsidRPr="00BF42B7">
        <w:rPr>
          <w:lang w:val="fr-CH"/>
        </w:rPr>
        <w:t>3</w:t>
      </w:r>
      <w:r w:rsidRPr="00BF42B7">
        <w:rPr>
          <w:lang w:val="fr-CH"/>
        </w:rPr>
        <w:t>段针对国际组织作为一个整体的惯例，而非国际组织内某一机关的惯例。国际组织的有关惯例可出自一个机关的行为，但也可能产生于两个或多个机关的行为。</w:t>
      </w:r>
      <w:r w:rsidRPr="00BF42B7">
        <w:rPr>
          <w:color w:val="0000FF"/>
          <w:vertAlign w:val="superscript"/>
          <w:lang w:val="fr-CH"/>
        </w:rPr>
        <w:footnoteReference w:id="965"/>
      </w:r>
      <w:r w:rsidRPr="00BF42B7">
        <w:rPr>
          <w:color w:val="0000FF"/>
          <w:vertAlign w:val="superscript"/>
          <w:lang w:val="fr-CH"/>
        </w:rPr>
        <w:t xml:space="preserve"> </w:t>
      </w:r>
      <w:r w:rsidRPr="00BF42B7">
        <w:rPr>
          <w:lang w:val="fr-CH"/>
        </w:rPr>
        <w:t>由于目前普遍要求国际组织不得越权，有一种理解是只有在国际组织具备职权的情况下，其惯例才对组成文书的解释有意义。</w:t>
      </w:r>
      <w:r w:rsidRPr="00BF42B7">
        <w:rPr>
          <w:color w:val="0000FF"/>
          <w:vertAlign w:val="superscript"/>
          <w:lang w:val="fr-CH"/>
        </w:rPr>
        <w:footnoteReference w:id="966"/>
      </w:r>
      <w:r w:rsidRPr="00BF42B7">
        <w:rPr>
          <w:color w:val="0000FF"/>
          <w:vertAlign w:val="superscript"/>
          <w:lang w:val="fr-CH"/>
        </w:rPr>
        <w:t xml:space="preserve"> </w:t>
      </w:r>
    </w:p>
    <w:p w:rsidR="003E31C7" w:rsidRPr="00BF42B7" w:rsidRDefault="003E31C7" w:rsidP="003E31C7">
      <w:pPr>
        <w:pStyle w:val="SingleTxtGC"/>
      </w:pPr>
      <w:r w:rsidRPr="00BF42B7">
        <w:rPr>
          <w:lang w:val="fr-CH"/>
        </w:rPr>
        <w:t xml:space="preserve">(37)  </w:t>
      </w:r>
      <w:r w:rsidRPr="00BF42B7">
        <w:rPr>
          <w:lang w:val="fr-CH"/>
        </w:rPr>
        <w:t>结论草案</w:t>
      </w:r>
      <w:r w:rsidRPr="00BF42B7">
        <w:rPr>
          <w:lang w:val="fr-CH"/>
        </w:rPr>
        <w:t>12[11]</w:t>
      </w:r>
      <w:r w:rsidRPr="00BF42B7">
        <w:rPr>
          <w:lang w:val="fr-CH"/>
        </w:rPr>
        <w:t>第</w:t>
      </w:r>
      <w:r w:rsidRPr="00BF42B7">
        <w:rPr>
          <w:lang w:val="fr-CH"/>
        </w:rPr>
        <w:t>3</w:t>
      </w:r>
      <w:r w:rsidRPr="00BF42B7">
        <w:rPr>
          <w:lang w:val="fr-CH"/>
        </w:rPr>
        <w:t>段基于结论草案</w:t>
      </w:r>
      <w:r w:rsidRPr="00BF42B7">
        <w:rPr>
          <w:lang w:val="fr-CH"/>
        </w:rPr>
        <w:t xml:space="preserve">5, </w:t>
      </w:r>
      <w:r w:rsidRPr="00BF42B7">
        <w:rPr>
          <w:lang w:val="fr-CH"/>
        </w:rPr>
        <w:t>其中论及结论草案</w:t>
      </w:r>
      <w:r w:rsidRPr="00BF42B7">
        <w:rPr>
          <w:lang w:val="fr-CH"/>
        </w:rPr>
        <w:t>4</w:t>
      </w:r>
      <w:r w:rsidRPr="00BF42B7">
        <w:rPr>
          <w:lang w:val="fr-CH"/>
        </w:rPr>
        <w:t>中定义的条约缔约方适用条约时的</w:t>
      </w:r>
      <w:r w:rsidRPr="00BF42B7">
        <w:rPr>
          <w:rFonts w:hint="eastAsia"/>
          <w:lang w:val="fr-CH"/>
        </w:rPr>
        <w:t>“</w:t>
      </w:r>
      <w:r w:rsidRPr="00BF42B7">
        <w:rPr>
          <w:lang w:val="fr-CH"/>
        </w:rPr>
        <w:t>嗣后惯例</w:t>
      </w:r>
      <w:r w:rsidRPr="00BF42B7">
        <w:rPr>
          <w:rFonts w:hint="eastAsia"/>
          <w:lang w:val="fr-CH"/>
        </w:rPr>
        <w:t>”</w:t>
      </w:r>
      <w:r w:rsidRPr="00BF42B7">
        <w:rPr>
          <w:lang w:val="fr-CH"/>
        </w:rPr>
        <w:t>。结论草案</w:t>
      </w:r>
      <w:r w:rsidRPr="00BF42B7">
        <w:rPr>
          <w:lang w:val="fr-CH"/>
        </w:rPr>
        <w:t>5</w:t>
      </w:r>
      <w:r w:rsidRPr="00BF42B7">
        <w:rPr>
          <w:lang w:val="fr-CH"/>
        </w:rPr>
        <w:t>并不意味着国际组织的自身惯例不能基于第三十一和第三十二条对条约的适用产生意义。</w:t>
      </w:r>
      <w:bookmarkEnd w:id="217"/>
      <w:r w:rsidRPr="00BF42B7">
        <w:rPr>
          <w:color w:val="0000FF"/>
          <w:vertAlign w:val="superscript"/>
          <w:lang w:val="fr-CH"/>
        </w:rPr>
        <w:footnoteReference w:id="967"/>
      </w:r>
      <w:r w:rsidRPr="00BF42B7">
        <w:rPr>
          <w:color w:val="0000FF"/>
          <w:vertAlign w:val="superscript"/>
          <w:lang w:val="fr-CH"/>
        </w:rPr>
        <w:t xml:space="preserve"> </w:t>
      </w:r>
    </w:p>
    <w:p w:rsidR="003E31C7" w:rsidRPr="00BF42B7" w:rsidRDefault="003E31C7" w:rsidP="00E83B81">
      <w:pPr>
        <w:pStyle w:val="H4GC"/>
      </w:pPr>
      <w:r w:rsidRPr="00BF42B7">
        <w:rPr>
          <w:rFonts w:hint="eastAsia"/>
          <w:lang w:val="fr-CH"/>
        </w:rPr>
        <w:tab/>
      </w:r>
      <w:r w:rsidRPr="00BF42B7">
        <w:rPr>
          <w:rFonts w:hint="eastAsia"/>
          <w:lang w:val="fr-CH"/>
        </w:rPr>
        <w:tab/>
      </w:r>
      <w:r w:rsidRPr="00BF42B7">
        <w:rPr>
          <w:lang w:val="fr-CH"/>
        </w:rPr>
        <w:t>第</w:t>
      </w:r>
      <w:r w:rsidRPr="00BF42B7">
        <w:rPr>
          <w:lang w:val="fr-CH"/>
        </w:rPr>
        <w:t>4</w:t>
      </w:r>
      <w:r w:rsidRPr="00BF42B7">
        <w:rPr>
          <w:lang w:val="fr-CH"/>
        </w:rPr>
        <w:t>段</w:t>
      </w:r>
      <w:r w:rsidR="00E83B81" w:rsidRPr="00E83B81">
        <w:rPr>
          <w:rFonts w:hint="eastAsia"/>
          <w:snapToGrid/>
          <w:spacing w:val="-50"/>
          <w:lang w:val="fr-CH"/>
        </w:rPr>
        <w:t>―</w:t>
      </w:r>
      <w:r w:rsidR="00E83B81" w:rsidRPr="00E83B81">
        <w:rPr>
          <w:rFonts w:hint="eastAsia"/>
          <w:snapToGrid/>
          <w:lang w:val="fr-CH"/>
        </w:rPr>
        <w:t>―</w:t>
      </w:r>
      <w:r w:rsidRPr="00BF42B7">
        <w:rPr>
          <w:lang w:val="fr-CH"/>
        </w:rPr>
        <w:t>不妨碍</w:t>
      </w:r>
      <w:r w:rsidRPr="00BF42B7">
        <w:rPr>
          <w:rFonts w:hint="eastAsia"/>
          <w:lang w:val="fr-CH"/>
        </w:rPr>
        <w:t>“</w:t>
      </w:r>
      <w:r w:rsidRPr="00BF42B7">
        <w:rPr>
          <w:lang w:val="fr-CH"/>
        </w:rPr>
        <w:t>组织规则</w:t>
      </w:r>
      <w:r w:rsidRPr="00BF42B7">
        <w:rPr>
          <w:rFonts w:hint="eastAsia"/>
          <w:lang w:val="fr-CH"/>
        </w:rPr>
        <w:t>”</w:t>
      </w:r>
    </w:p>
    <w:p w:rsidR="003E31C7" w:rsidRPr="00BF42B7" w:rsidRDefault="003E31C7" w:rsidP="003E31C7">
      <w:pPr>
        <w:pStyle w:val="SingleTxtGC"/>
      </w:pPr>
      <w:r w:rsidRPr="00BF42B7">
        <w:rPr>
          <w:lang w:val="fr-CH"/>
        </w:rPr>
        <w:t xml:space="preserve">(38)  </w:t>
      </w:r>
      <w:r w:rsidRPr="00BF42B7">
        <w:rPr>
          <w:lang w:val="fr-CH"/>
        </w:rPr>
        <w:t>结论草案</w:t>
      </w:r>
      <w:r w:rsidRPr="00BF42B7">
        <w:rPr>
          <w:lang w:val="fr-CH"/>
        </w:rPr>
        <w:t>12[11]</w:t>
      </w:r>
      <w:r w:rsidRPr="00BF42B7">
        <w:rPr>
          <w:lang w:val="fr-CH"/>
        </w:rPr>
        <w:t>第</w:t>
      </w:r>
      <w:r w:rsidRPr="00BF42B7">
        <w:rPr>
          <w:lang w:val="fr-CH"/>
        </w:rPr>
        <w:t>4</w:t>
      </w:r>
      <w:r w:rsidRPr="00BF42B7">
        <w:rPr>
          <w:lang w:val="fr-CH"/>
        </w:rPr>
        <w:t>段体现了《维也纳公约》第五条且在拟定过程中借鉴了该条。该段适用于第</w:t>
      </w:r>
      <w:r w:rsidRPr="00BF42B7">
        <w:rPr>
          <w:lang w:val="fr-CH"/>
        </w:rPr>
        <w:t>1</w:t>
      </w:r>
      <w:r w:rsidRPr="00BF42B7">
        <w:rPr>
          <w:lang w:val="fr-CH"/>
        </w:rPr>
        <w:t>至</w:t>
      </w:r>
      <w:r w:rsidRPr="00BF42B7">
        <w:rPr>
          <w:lang w:val="fr-CH"/>
        </w:rPr>
        <w:t>3</w:t>
      </w:r>
      <w:r w:rsidRPr="00BF42B7">
        <w:rPr>
          <w:lang w:val="fr-CH"/>
        </w:rPr>
        <w:t>段所述情形并确保第</w:t>
      </w:r>
      <w:r w:rsidRPr="00BF42B7">
        <w:rPr>
          <w:lang w:val="fr-CH"/>
        </w:rPr>
        <w:t>1</w:t>
      </w:r>
      <w:r w:rsidRPr="00BF42B7">
        <w:rPr>
          <w:lang w:val="fr-CH"/>
        </w:rPr>
        <w:t>至</w:t>
      </w:r>
      <w:r w:rsidRPr="00BF42B7">
        <w:rPr>
          <w:lang w:val="fr-CH"/>
        </w:rPr>
        <w:t>3</w:t>
      </w:r>
      <w:r w:rsidRPr="00BF42B7">
        <w:rPr>
          <w:lang w:val="fr-CH"/>
        </w:rPr>
        <w:t>段的规则可以适用而且进行解释和适用时</w:t>
      </w:r>
      <w:r w:rsidRPr="00BF42B7">
        <w:rPr>
          <w:rFonts w:hint="eastAsia"/>
          <w:lang w:val="fr-CH"/>
        </w:rPr>
        <w:t>“</w:t>
      </w:r>
      <w:r w:rsidRPr="00BF42B7">
        <w:rPr>
          <w:lang w:val="fr-CH"/>
        </w:rPr>
        <w:t>对该组织任何有关规则并无妨碍</w:t>
      </w:r>
      <w:r w:rsidRPr="00BF42B7">
        <w:rPr>
          <w:rFonts w:hint="eastAsia"/>
          <w:lang w:val="fr-CH"/>
        </w:rPr>
        <w:t>”</w:t>
      </w:r>
      <w:r w:rsidRPr="00BF42B7">
        <w:rPr>
          <w:lang w:val="fr-CH"/>
        </w:rPr>
        <w:t>。</w:t>
      </w:r>
      <w:r w:rsidRPr="00BF42B7">
        <w:rPr>
          <w:rFonts w:hint="eastAsia"/>
          <w:lang w:val="fr-CH"/>
        </w:rPr>
        <w:t>“</w:t>
      </w:r>
      <w:r w:rsidRPr="00BF42B7">
        <w:rPr>
          <w:lang w:val="fr-CH"/>
        </w:rPr>
        <w:t>该组织的规则</w:t>
      </w:r>
      <w:r w:rsidRPr="00BF42B7">
        <w:rPr>
          <w:rFonts w:hint="eastAsia"/>
          <w:lang w:val="fr-CH"/>
        </w:rPr>
        <w:t>”</w:t>
      </w:r>
      <w:r w:rsidRPr="00BF42B7">
        <w:rPr>
          <w:lang w:val="fr-CH"/>
        </w:rPr>
        <w:t>一词应按照</w:t>
      </w:r>
      <w:r w:rsidRPr="00BF42B7">
        <w:rPr>
          <w:lang w:val="fr-CH"/>
        </w:rPr>
        <w:t>1986</w:t>
      </w:r>
      <w:r w:rsidRPr="00BF42B7">
        <w:rPr>
          <w:lang w:val="fr-CH"/>
        </w:rPr>
        <w:t>年《维也纳公约》第二条第一款</w:t>
      </w:r>
      <w:r w:rsidRPr="00BF42B7">
        <w:rPr>
          <w:lang w:val="fr-CH"/>
        </w:rPr>
        <w:t>(j)</w:t>
      </w:r>
      <w:r w:rsidRPr="00BF42B7">
        <w:rPr>
          <w:lang w:val="fr-CH"/>
        </w:rPr>
        <w:t>项和</w:t>
      </w:r>
      <w:r w:rsidRPr="00BF42B7">
        <w:rPr>
          <w:lang w:val="fr-CH"/>
        </w:rPr>
        <w:t>2011</w:t>
      </w:r>
      <w:r w:rsidRPr="00BF42B7">
        <w:rPr>
          <w:lang w:val="fr-CH"/>
        </w:rPr>
        <w:t>年《关于国际组织的责任条款》第二条</w:t>
      </w:r>
      <w:r w:rsidRPr="00BF42B7">
        <w:rPr>
          <w:lang w:val="fr-CH"/>
        </w:rPr>
        <w:t>(b)</w:t>
      </w:r>
      <w:r w:rsidRPr="00BF42B7">
        <w:rPr>
          <w:lang w:val="fr-CH"/>
        </w:rPr>
        <w:t>项作相同理解。</w:t>
      </w:r>
    </w:p>
    <w:p w:rsidR="003E31C7" w:rsidRPr="00BF42B7" w:rsidRDefault="003E31C7" w:rsidP="003E31C7">
      <w:pPr>
        <w:pStyle w:val="SingleTxtGC"/>
      </w:pPr>
      <w:r w:rsidRPr="00BF42B7">
        <w:rPr>
          <w:lang w:val="fr-CH"/>
        </w:rPr>
        <w:t xml:space="preserve">(39)  </w:t>
      </w:r>
      <w:r w:rsidRPr="00BF42B7">
        <w:rPr>
          <w:lang w:val="fr-CH"/>
        </w:rPr>
        <w:t>委员会在其</w:t>
      </w:r>
      <w:r w:rsidRPr="00BF42B7">
        <w:rPr>
          <w:lang w:val="fr-CH"/>
        </w:rPr>
        <w:t>2011</w:t>
      </w:r>
      <w:r w:rsidRPr="00BF42B7">
        <w:rPr>
          <w:lang w:val="fr-CH"/>
        </w:rPr>
        <w:t>年关于国际组织的责任</w:t>
      </w:r>
      <w:r w:rsidRPr="00BF42B7">
        <w:rPr>
          <w:rFonts w:hint="eastAsia"/>
          <w:lang w:val="fr-CH"/>
        </w:rPr>
        <w:t>的</w:t>
      </w:r>
      <w:r w:rsidRPr="00BF42B7">
        <w:rPr>
          <w:lang w:val="fr-CH"/>
        </w:rPr>
        <w:t>条款</w:t>
      </w:r>
      <w:r w:rsidRPr="00BF42B7">
        <w:rPr>
          <w:rFonts w:hint="eastAsia"/>
          <w:lang w:val="fr-CH"/>
        </w:rPr>
        <w:t>草案</w:t>
      </w:r>
      <w:r w:rsidRPr="00BF42B7">
        <w:rPr>
          <w:lang w:val="fr-CH"/>
        </w:rPr>
        <w:t>总评注中表示：</w:t>
      </w:r>
    </w:p>
    <w:p w:rsidR="003E31C7" w:rsidRPr="00BF42B7" w:rsidRDefault="003E31C7" w:rsidP="003E31C7">
      <w:pPr>
        <w:pStyle w:val="SingleTxtGC"/>
        <w:ind w:left="1554"/>
      </w:pPr>
      <w:r w:rsidRPr="00BF42B7">
        <w:rPr>
          <w:rFonts w:hint="eastAsia"/>
          <w:lang w:val="fr-CH"/>
        </w:rPr>
        <w:t>“</w:t>
      </w:r>
      <w:r w:rsidRPr="00BF42B7">
        <w:rPr>
          <w:lang w:val="fr-CH"/>
        </w:rPr>
        <w:t>各国际组织之间在以下方面有很大的不同：权力和职能、成员国数目、组织与成员的关系、辩论程序、结构和设施以及约束国际组织的主要规则包括条约义务。</w:t>
      </w:r>
      <w:r w:rsidRPr="00BF42B7">
        <w:rPr>
          <w:rFonts w:hint="eastAsia"/>
          <w:lang w:val="fr-CH"/>
        </w:rPr>
        <w:t>”</w:t>
      </w:r>
      <w:r w:rsidRPr="00BF42B7">
        <w:rPr>
          <w:color w:val="0000FF"/>
          <w:vertAlign w:val="superscript"/>
          <w:lang w:val="fr-CH"/>
        </w:rPr>
        <w:footnoteReference w:id="968"/>
      </w:r>
      <w:r w:rsidRPr="00BF42B7">
        <w:rPr>
          <w:color w:val="0000FF"/>
          <w:vertAlign w:val="superscript"/>
          <w:lang w:val="fr-CH"/>
        </w:rPr>
        <w:t xml:space="preserve"> </w:t>
      </w:r>
    </w:p>
    <w:p w:rsidR="003E31C7" w:rsidRPr="00BF42B7" w:rsidRDefault="003E31C7" w:rsidP="003E31C7">
      <w:pPr>
        <w:pStyle w:val="SingleTxtGC"/>
      </w:pPr>
      <w:r w:rsidRPr="00BF42B7">
        <w:rPr>
          <w:lang w:val="fr-CH"/>
        </w:rPr>
        <w:t xml:space="preserve">(40)  </w:t>
      </w:r>
      <w:r w:rsidRPr="00BF42B7">
        <w:rPr>
          <w:lang w:val="fr-CH"/>
        </w:rPr>
        <w:t>第</w:t>
      </w:r>
      <w:r w:rsidRPr="00BF42B7">
        <w:rPr>
          <w:lang w:val="fr-CH"/>
        </w:rPr>
        <w:t>4</w:t>
      </w:r>
      <w:r w:rsidRPr="00BF42B7">
        <w:rPr>
          <w:lang w:val="fr-CH"/>
        </w:rPr>
        <w:t>段暗示，除其他外，国际组织组成文书或更具体的</w:t>
      </w:r>
      <w:r w:rsidRPr="00BF42B7">
        <w:rPr>
          <w:rFonts w:hint="eastAsia"/>
          <w:lang w:val="fr-CH"/>
        </w:rPr>
        <w:t>“</w:t>
      </w:r>
      <w:r w:rsidRPr="00BF42B7">
        <w:rPr>
          <w:lang w:val="fr-CH"/>
        </w:rPr>
        <w:t>有关</w:t>
      </w:r>
      <w:r w:rsidRPr="00BF42B7">
        <w:rPr>
          <w:lang w:val="fr-CH"/>
        </w:rPr>
        <w:t>(</w:t>
      </w:r>
      <w:r w:rsidRPr="00BF42B7">
        <w:rPr>
          <w:lang w:val="fr-CH"/>
        </w:rPr>
        <w:t>解释</w:t>
      </w:r>
      <w:r w:rsidRPr="00BF42B7">
        <w:rPr>
          <w:lang w:val="fr-CH"/>
        </w:rPr>
        <w:t>)</w:t>
      </w:r>
      <w:r w:rsidRPr="00BF42B7">
        <w:rPr>
          <w:lang w:val="fr-CH"/>
        </w:rPr>
        <w:t>规则</w:t>
      </w:r>
      <w:r w:rsidRPr="00BF42B7">
        <w:rPr>
          <w:rFonts w:hint="eastAsia"/>
          <w:lang w:val="fr-CH"/>
        </w:rPr>
        <w:t>”</w:t>
      </w:r>
      <w:r w:rsidRPr="00BF42B7">
        <w:rPr>
          <w:lang w:val="fr-CH"/>
        </w:rPr>
        <w:t>可能优先于</w:t>
      </w:r>
      <w:r w:rsidRPr="00BF42B7">
        <w:rPr>
          <w:lang w:val="fr-CH"/>
        </w:rPr>
        <w:t>1969</w:t>
      </w:r>
      <w:r w:rsidRPr="00BF42B7">
        <w:rPr>
          <w:lang w:val="fr-CH"/>
        </w:rPr>
        <w:t>年《维也纳公约》所规定的一般解释规则。</w:t>
      </w:r>
      <w:r w:rsidRPr="00BF42B7">
        <w:rPr>
          <w:color w:val="0000FF"/>
          <w:vertAlign w:val="superscript"/>
          <w:lang w:val="fr-CH"/>
        </w:rPr>
        <w:footnoteReference w:id="969"/>
      </w:r>
      <w:r w:rsidRPr="00BF42B7">
        <w:rPr>
          <w:color w:val="0000FF"/>
          <w:vertAlign w:val="superscript"/>
          <w:lang w:val="fr-CH"/>
        </w:rPr>
        <w:t xml:space="preserve"> </w:t>
      </w:r>
      <w:r w:rsidRPr="00BF42B7">
        <w:rPr>
          <w:lang w:val="fr-CH"/>
        </w:rPr>
        <w:t>例如，如果组成文件所含条款规定组成文书的解释需要遵循特别程序，则应推定缔约方在订立条约之后达成第三十一条第三款</w:t>
      </w:r>
      <w:r w:rsidRPr="00BF42B7">
        <w:rPr>
          <w:lang w:val="fr-CH"/>
        </w:rPr>
        <w:t>(a)</w:t>
      </w:r>
      <w:r w:rsidRPr="00BF42B7">
        <w:rPr>
          <w:lang w:val="fr-CH"/>
        </w:rPr>
        <w:t>项所述嗣后协定无意规避该程序。但是，如果条约规定的特别程序和第三十一条第三款</w:t>
      </w:r>
      <w:r w:rsidRPr="00BF42B7">
        <w:rPr>
          <w:lang w:val="fr-CH"/>
        </w:rPr>
        <w:t>(a)</w:t>
      </w:r>
      <w:r w:rsidRPr="00BF42B7">
        <w:rPr>
          <w:lang w:val="fr-CH"/>
        </w:rPr>
        <w:t>项所述的嗣后协定</w:t>
      </w:r>
      <w:r w:rsidRPr="00BF42B7">
        <w:rPr>
          <w:rFonts w:hint="eastAsia"/>
          <w:lang w:val="fr-CH"/>
        </w:rPr>
        <w:t>“</w:t>
      </w:r>
      <w:r w:rsidRPr="00BF42B7">
        <w:rPr>
          <w:lang w:val="fr-CH"/>
        </w:rPr>
        <w:t>服务于不同的功能且具有不同的法律效力</w:t>
      </w:r>
      <w:r w:rsidRPr="00BF42B7">
        <w:rPr>
          <w:rFonts w:hint="eastAsia"/>
          <w:lang w:val="fr-CH"/>
        </w:rPr>
        <w:t>”</w:t>
      </w:r>
      <w:r w:rsidRPr="00BF42B7">
        <w:rPr>
          <w:lang w:val="fr-CH"/>
        </w:rPr>
        <w:t>，它们则可能相互兼容。</w:t>
      </w:r>
      <w:r w:rsidRPr="00BF42B7">
        <w:rPr>
          <w:color w:val="0000FF"/>
          <w:vertAlign w:val="superscript"/>
          <w:lang w:val="fr-CH"/>
        </w:rPr>
        <w:footnoteReference w:id="970"/>
      </w:r>
      <w:r w:rsidRPr="00BF42B7">
        <w:rPr>
          <w:color w:val="0000FF"/>
          <w:vertAlign w:val="superscript"/>
          <w:lang w:val="fr-CH"/>
        </w:rPr>
        <w:t xml:space="preserve"> </w:t>
      </w:r>
      <w:r w:rsidRPr="00BF42B7">
        <w:rPr>
          <w:lang w:val="fr-CH"/>
        </w:rPr>
        <w:t>组成文书很少含有关于其解释的明确程序性或实体性规则。</w:t>
      </w:r>
      <w:r w:rsidRPr="00BF42B7">
        <w:rPr>
          <w:color w:val="0000FF"/>
          <w:vertAlign w:val="superscript"/>
          <w:lang w:val="fr-CH"/>
        </w:rPr>
        <w:footnoteReference w:id="971"/>
      </w:r>
      <w:r w:rsidRPr="00BF42B7">
        <w:rPr>
          <w:color w:val="0000FF"/>
          <w:vertAlign w:val="superscript"/>
          <w:lang w:val="fr-CH"/>
        </w:rPr>
        <w:t xml:space="preserve"> </w:t>
      </w:r>
      <w:r w:rsidRPr="00BF42B7">
        <w:rPr>
          <w:lang w:val="fr-CH"/>
        </w:rPr>
        <w:t>具体的</w:t>
      </w:r>
      <w:r w:rsidRPr="00BF42B7">
        <w:rPr>
          <w:rFonts w:hint="eastAsia"/>
          <w:lang w:val="fr-CH"/>
        </w:rPr>
        <w:t>“</w:t>
      </w:r>
      <w:r w:rsidRPr="00BF42B7">
        <w:rPr>
          <w:lang w:val="fr-CH"/>
        </w:rPr>
        <w:t>有关</w:t>
      </w:r>
      <w:r w:rsidRPr="00BF42B7">
        <w:rPr>
          <w:lang w:val="fr-CH"/>
        </w:rPr>
        <w:t>(</w:t>
      </w:r>
      <w:r w:rsidRPr="00BF42B7">
        <w:rPr>
          <w:lang w:val="fr-CH"/>
        </w:rPr>
        <w:t>解释</w:t>
      </w:r>
      <w:r w:rsidRPr="00BF42B7">
        <w:rPr>
          <w:lang w:val="fr-CH"/>
        </w:rPr>
        <w:t>)</w:t>
      </w:r>
      <w:r w:rsidRPr="00BF42B7">
        <w:rPr>
          <w:lang w:val="fr-CH"/>
        </w:rPr>
        <w:t>规则</w:t>
      </w:r>
      <w:r w:rsidRPr="00BF42B7">
        <w:rPr>
          <w:rFonts w:hint="eastAsia"/>
          <w:lang w:val="fr-CH"/>
        </w:rPr>
        <w:t>”</w:t>
      </w:r>
      <w:r w:rsidRPr="00BF42B7">
        <w:rPr>
          <w:lang w:val="fr-CH"/>
        </w:rPr>
        <w:t>无需在组成文书中写明；这些规则也可以隐含在组成文书中，或出自</w:t>
      </w:r>
      <w:r w:rsidRPr="00BF42B7">
        <w:rPr>
          <w:rFonts w:hint="eastAsia"/>
          <w:lang w:val="fr-CH"/>
        </w:rPr>
        <w:t>“</w:t>
      </w:r>
      <w:r w:rsidRPr="00BF42B7">
        <w:rPr>
          <w:lang w:val="fr-CH"/>
        </w:rPr>
        <w:t>该组织既定惯例</w:t>
      </w:r>
      <w:r w:rsidRPr="00BF42B7">
        <w:rPr>
          <w:rFonts w:hint="eastAsia"/>
          <w:lang w:val="fr-CH"/>
        </w:rPr>
        <w:t>”</w:t>
      </w:r>
      <w:r w:rsidRPr="00BF42B7">
        <w:rPr>
          <w:lang w:val="fr-CH"/>
        </w:rPr>
        <w:t>。</w:t>
      </w:r>
      <w:bookmarkStart w:id="218" w:name="_Ref461977369"/>
      <w:r w:rsidRPr="00BF42B7">
        <w:rPr>
          <w:color w:val="0000FF"/>
          <w:vertAlign w:val="superscript"/>
          <w:lang w:val="fr-CH"/>
        </w:rPr>
        <w:footnoteReference w:id="972"/>
      </w:r>
      <w:bookmarkEnd w:id="218"/>
      <w:r w:rsidRPr="00BF42B7">
        <w:rPr>
          <w:color w:val="0000FF"/>
          <w:vertAlign w:val="superscript"/>
          <w:lang w:val="fr-CH"/>
        </w:rPr>
        <w:t xml:space="preserve"> </w:t>
      </w:r>
      <w:r w:rsidRPr="00BF42B7">
        <w:rPr>
          <w:rFonts w:hint="eastAsia"/>
          <w:lang w:val="fr-CH"/>
        </w:rPr>
        <w:t>“</w:t>
      </w:r>
      <w:r w:rsidRPr="00BF42B7">
        <w:rPr>
          <w:lang w:val="fr-CH"/>
        </w:rPr>
        <w:t>该组织既定惯例</w:t>
      </w:r>
      <w:r w:rsidRPr="00BF42B7">
        <w:rPr>
          <w:rFonts w:hint="eastAsia"/>
          <w:lang w:val="fr-CH"/>
        </w:rPr>
        <w:t>”</w:t>
      </w:r>
      <w:r w:rsidRPr="00BF42B7">
        <w:rPr>
          <w:lang w:val="fr-CH"/>
        </w:rPr>
        <w:t>从含义范围上说比</w:t>
      </w:r>
      <w:r w:rsidRPr="00BF42B7">
        <w:rPr>
          <w:rFonts w:hint="eastAsia"/>
          <w:lang w:val="fr-CH"/>
        </w:rPr>
        <w:t>“</w:t>
      </w:r>
      <w:r w:rsidRPr="00BF42B7">
        <w:rPr>
          <w:lang w:val="fr-CH"/>
        </w:rPr>
        <w:t>该组织的惯例</w:t>
      </w:r>
      <w:r w:rsidRPr="00BF42B7">
        <w:rPr>
          <w:rFonts w:hint="eastAsia"/>
          <w:lang w:val="fr-CH"/>
        </w:rPr>
        <w:t>”</w:t>
      </w:r>
      <w:r w:rsidRPr="00BF42B7">
        <w:rPr>
          <w:lang w:val="fr-CH"/>
        </w:rPr>
        <w:t>要窄。</w:t>
      </w:r>
      <w:bookmarkStart w:id="219" w:name="_Ref415047371"/>
      <w:bookmarkStart w:id="220" w:name="_Ref415779726"/>
      <w:bookmarkEnd w:id="219"/>
      <w:bookmarkEnd w:id="220"/>
    </w:p>
    <w:p w:rsidR="003E31C7" w:rsidRPr="00BF42B7" w:rsidRDefault="003E31C7" w:rsidP="003E31C7">
      <w:pPr>
        <w:pStyle w:val="SingleTxtGC"/>
      </w:pPr>
      <w:r w:rsidRPr="00BF42B7">
        <w:rPr>
          <w:lang w:val="fr-CH"/>
        </w:rPr>
        <w:t xml:space="preserve">(41)  </w:t>
      </w:r>
      <w:r w:rsidRPr="00BF42B7">
        <w:rPr>
          <w:lang w:val="fr-CH"/>
        </w:rPr>
        <w:t>委员会在对《关于国家和国际组织间或国际组织相互间条约法的维也纳公约》第二条</w:t>
      </w:r>
      <w:r w:rsidRPr="00BF42B7">
        <w:rPr>
          <w:lang w:val="fr-CH"/>
        </w:rPr>
        <w:t>(j)</w:t>
      </w:r>
      <w:r w:rsidRPr="00BF42B7">
        <w:rPr>
          <w:lang w:val="fr-CH"/>
        </w:rPr>
        <w:t>项的评注中指出，一个组织的某项惯例的重要性可能取决于相关组织组成文书所表述的该组织的特定规则和特征：</w:t>
      </w:r>
    </w:p>
    <w:p w:rsidR="003E31C7" w:rsidRPr="00BF42B7" w:rsidRDefault="003E31C7" w:rsidP="003E31C7">
      <w:pPr>
        <w:pStyle w:val="SingleTxtGC"/>
        <w:ind w:left="1554"/>
      </w:pPr>
      <w:r w:rsidRPr="00BF42B7">
        <w:rPr>
          <w:rFonts w:hint="eastAsia"/>
          <w:lang w:val="fr-CH"/>
        </w:rPr>
        <w:t>“</w:t>
      </w:r>
      <w:r w:rsidRPr="00BF42B7">
        <w:rPr>
          <w:lang w:val="fr-CH"/>
        </w:rPr>
        <w:t>确实，大多数国际组织若干年后会形成一套惯例，作为其规则的组成部分。但是，这里提到惯例，绝不表示惯例在所有组织中享有相同的地位；相反，每个组织在这方面各有其特点。</w:t>
      </w:r>
      <w:r w:rsidRPr="00BF42B7">
        <w:rPr>
          <w:rFonts w:hint="eastAsia"/>
          <w:lang w:val="fr-CH"/>
        </w:rPr>
        <w:t>”</w:t>
      </w:r>
      <w:r w:rsidRPr="00BF42B7">
        <w:rPr>
          <w:color w:val="0000FF"/>
          <w:vertAlign w:val="superscript"/>
          <w:lang w:val="fr-CH"/>
        </w:rPr>
        <w:footnoteReference w:id="973"/>
      </w:r>
      <w:r w:rsidRPr="00BF42B7">
        <w:rPr>
          <w:color w:val="0000FF"/>
          <w:vertAlign w:val="superscript"/>
          <w:lang w:val="fr-CH"/>
        </w:rPr>
        <w:t xml:space="preserve"> </w:t>
      </w:r>
    </w:p>
    <w:p w:rsidR="003E31C7" w:rsidRPr="00BF42B7" w:rsidRDefault="003E31C7" w:rsidP="003E31C7">
      <w:pPr>
        <w:pStyle w:val="SingleTxtGC"/>
        <w:rPr>
          <w:lang w:val="fr-CH"/>
        </w:rPr>
      </w:pPr>
      <w:r w:rsidRPr="00BF42B7">
        <w:rPr>
          <w:lang w:val="fr-CH"/>
        </w:rPr>
        <w:t xml:space="preserve">(42)  </w:t>
      </w:r>
      <w:r w:rsidRPr="00BF42B7">
        <w:rPr>
          <w:lang w:val="fr-CH"/>
        </w:rPr>
        <w:t>在此意义上，</w:t>
      </w:r>
      <w:r w:rsidRPr="00BF42B7">
        <w:rPr>
          <w:rFonts w:hint="eastAsia"/>
          <w:lang w:val="fr-CH"/>
        </w:rPr>
        <w:t>“</w:t>
      </w:r>
      <w:r w:rsidRPr="00BF42B7">
        <w:rPr>
          <w:lang w:val="fr-CH"/>
        </w:rPr>
        <w:t>组织的既定惯例</w:t>
      </w:r>
      <w:r w:rsidRPr="00BF42B7">
        <w:rPr>
          <w:rFonts w:hint="eastAsia"/>
          <w:lang w:val="fr-CH"/>
        </w:rPr>
        <w:t>”</w:t>
      </w:r>
      <w:r w:rsidRPr="00BF42B7">
        <w:rPr>
          <w:lang w:val="fr-CH"/>
        </w:rPr>
        <w:t>也可能成为国际组织组成文书的一种解释手段。</w:t>
      </w:r>
      <w:r w:rsidRPr="00BF42B7">
        <w:rPr>
          <w:lang w:val="fr-CH"/>
        </w:rPr>
        <w:t>1986</w:t>
      </w:r>
      <w:r w:rsidRPr="00BF42B7">
        <w:rPr>
          <w:lang w:val="fr-CH"/>
        </w:rPr>
        <w:t>年《维也纳公约》第二条第一款</w:t>
      </w:r>
      <w:r w:rsidRPr="00BF42B7">
        <w:rPr>
          <w:lang w:val="fr-CH"/>
        </w:rPr>
        <w:t>(j)</w:t>
      </w:r>
      <w:r w:rsidRPr="00BF42B7">
        <w:rPr>
          <w:lang w:val="fr-CH"/>
        </w:rPr>
        <w:t>项和关于国际组织的责任</w:t>
      </w:r>
      <w:r w:rsidRPr="00BF42B7">
        <w:rPr>
          <w:rFonts w:hint="eastAsia"/>
          <w:lang w:val="fr-CH"/>
        </w:rPr>
        <w:t>的</w:t>
      </w:r>
      <w:r w:rsidRPr="00BF42B7">
        <w:rPr>
          <w:lang w:val="fr-CH"/>
        </w:rPr>
        <w:t>条款草案第二条</w:t>
      </w:r>
      <w:r w:rsidRPr="00BF42B7">
        <w:rPr>
          <w:lang w:val="fr-CH"/>
        </w:rPr>
        <w:t>(b)</w:t>
      </w:r>
      <w:r w:rsidRPr="00BF42B7">
        <w:rPr>
          <w:lang w:val="fr-CH"/>
        </w:rPr>
        <w:t>项，都将</w:t>
      </w:r>
      <w:r w:rsidRPr="00BF42B7">
        <w:rPr>
          <w:rFonts w:hint="eastAsia"/>
          <w:lang w:val="fr-CH"/>
        </w:rPr>
        <w:t>“</w:t>
      </w:r>
      <w:r w:rsidRPr="00BF42B7">
        <w:rPr>
          <w:lang w:val="fr-CH"/>
        </w:rPr>
        <w:t>组织的既定惯例</w:t>
      </w:r>
      <w:r w:rsidRPr="00BF42B7">
        <w:rPr>
          <w:rFonts w:hint="eastAsia"/>
          <w:lang w:val="fr-CH"/>
        </w:rPr>
        <w:t>”</w:t>
      </w:r>
      <w:r w:rsidRPr="00BF42B7">
        <w:rPr>
          <w:lang w:val="fr-CH"/>
        </w:rPr>
        <w:t>认定为</w:t>
      </w:r>
      <w:r w:rsidRPr="00BF42B7">
        <w:rPr>
          <w:rFonts w:hint="eastAsia"/>
          <w:lang w:val="fr-CH"/>
        </w:rPr>
        <w:t>“</w:t>
      </w:r>
      <w:r w:rsidRPr="00BF42B7">
        <w:rPr>
          <w:lang w:val="fr-CH"/>
        </w:rPr>
        <w:t>该组织的规则</w:t>
      </w:r>
      <w:r w:rsidRPr="00BF42B7">
        <w:rPr>
          <w:rFonts w:hint="eastAsia"/>
          <w:lang w:val="fr-CH"/>
        </w:rPr>
        <w:t>”</w:t>
      </w:r>
      <w:r w:rsidRPr="00BF42B7">
        <w:rPr>
          <w:lang w:val="fr-CH"/>
        </w:rPr>
        <w:t>。</w:t>
      </w:r>
      <w:r w:rsidRPr="00BF42B7">
        <w:rPr>
          <w:color w:val="0000FF"/>
          <w:vertAlign w:val="superscript"/>
          <w:lang w:val="fr-CH"/>
        </w:rPr>
        <w:footnoteReference w:id="974"/>
      </w:r>
      <w:r w:rsidRPr="00BF42B7">
        <w:rPr>
          <w:color w:val="0000FF"/>
          <w:vertAlign w:val="superscript"/>
          <w:lang w:val="fr-CH"/>
        </w:rPr>
        <w:t xml:space="preserve"> </w:t>
      </w:r>
      <w:r w:rsidRPr="00BF42B7">
        <w:rPr>
          <w:lang w:val="fr-CH"/>
        </w:rPr>
        <w:t>这种做法会在不同组织中产生不同的法律效力。主要应该按国际法传统渊源</w:t>
      </w:r>
      <w:r w:rsidRPr="00BF42B7">
        <w:rPr>
          <w:lang w:val="fr-CH"/>
        </w:rPr>
        <w:t>(</w:t>
      </w:r>
      <w:r w:rsidRPr="00BF42B7">
        <w:rPr>
          <w:lang w:val="fr-CH"/>
        </w:rPr>
        <w:t>条约或习惯</w:t>
      </w:r>
      <w:r w:rsidRPr="00BF42B7">
        <w:rPr>
          <w:lang w:val="fr-CH"/>
        </w:rPr>
        <w:t>)</w:t>
      </w:r>
      <w:r w:rsidRPr="00BF42B7">
        <w:rPr>
          <w:lang w:val="fr-CH"/>
        </w:rPr>
        <w:t>还是组织法的渊源来解释这种效力，这一点并不总是很清楚。</w:t>
      </w:r>
      <w:r w:rsidRPr="00BF42B7">
        <w:rPr>
          <w:color w:val="0000FF"/>
          <w:vertAlign w:val="superscript"/>
          <w:lang w:val="fr-CH"/>
        </w:rPr>
        <w:footnoteReference w:id="975"/>
      </w:r>
      <w:r w:rsidRPr="00BF42B7">
        <w:rPr>
          <w:color w:val="0000FF"/>
          <w:vertAlign w:val="superscript"/>
          <w:lang w:val="fr-CH"/>
        </w:rPr>
        <w:t xml:space="preserve"> </w:t>
      </w:r>
      <w:r w:rsidRPr="00BF42B7">
        <w:rPr>
          <w:lang w:val="fr-CH"/>
        </w:rPr>
        <w:t>虽然很难作出概括，但</w:t>
      </w:r>
      <w:r w:rsidRPr="00BF42B7">
        <w:rPr>
          <w:rFonts w:hint="eastAsia"/>
          <w:lang w:val="fr-CH"/>
        </w:rPr>
        <w:t>“</w:t>
      </w:r>
      <w:r w:rsidRPr="00BF42B7">
        <w:rPr>
          <w:lang w:val="fr-CH"/>
        </w:rPr>
        <w:t>组织的既定惯例</w:t>
      </w:r>
      <w:r w:rsidRPr="00BF42B7">
        <w:rPr>
          <w:rFonts w:hint="eastAsia"/>
          <w:lang w:val="fr-CH"/>
        </w:rPr>
        <w:t>”</w:t>
      </w:r>
      <w:r w:rsidRPr="00BF42B7">
        <w:rPr>
          <w:lang w:val="fr-CH"/>
        </w:rPr>
        <w:t>通常包含一种具体形式的惯例，</w:t>
      </w:r>
      <w:r w:rsidRPr="00BF42B7">
        <w:rPr>
          <w:color w:val="0000FF"/>
          <w:vertAlign w:val="superscript"/>
          <w:lang w:val="fr-CH"/>
        </w:rPr>
        <w:footnoteReference w:id="976"/>
      </w:r>
      <w:r w:rsidRPr="00BF42B7">
        <w:rPr>
          <w:color w:val="0000FF"/>
          <w:vertAlign w:val="superscript"/>
          <w:lang w:val="fr-CH"/>
        </w:rPr>
        <w:t xml:space="preserve"> </w:t>
      </w:r>
      <w:r w:rsidRPr="00BF42B7">
        <w:rPr>
          <w:lang w:val="fr-CH"/>
        </w:rPr>
        <w:t>这种做法得到该组织成员的普遍接受，尽管有时是默示接受。</w:t>
      </w:r>
      <w:bookmarkStart w:id="221" w:name="_Ref415780201"/>
      <w:bookmarkEnd w:id="221"/>
      <w:r w:rsidRPr="00BF42B7">
        <w:rPr>
          <w:color w:val="0000FF"/>
          <w:vertAlign w:val="superscript"/>
          <w:lang w:val="fr-CH"/>
        </w:rPr>
        <w:footnoteReference w:id="977"/>
      </w:r>
      <w:r w:rsidRPr="00BF42B7">
        <w:rPr>
          <w:color w:val="0000FF"/>
          <w:vertAlign w:val="superscript"/>
          <w:lang w:val="fr-CH"/>
        </w:rPr>
        <w:t xml:space="preserve"> </w:t>
      </w:r>
    </w:p>
    <w:p w:rsidR="003E31C7" w:rsidRPr="00BF42B7" w:rsidRDefault="003E31C7" w:rsidP="003E31C7">
      <w:pPr>
        <w:pStyle w:val="H23GC"/>
        <w:ind w:left="1554"/>
      </w:pPr>
      <w:r w:rsidRPr="00BF42B7">
        <w:rPr>
          <w:rFonts w:hint="eastAsia"/>
        </w:rPr>
        <w:tab/>
      </w:r>
      <w:r w:rsidRPr="00BF42B7">
        <w:rPr>
          <w:rFonts w:hint="eastAsia"/>
        </w:rPr>
        <w:tab/>
      </w:r>
      <w:r w:rsidRPr="00BF42B7">
        <w:rPr>
          <w:rFonts w:hint="eastAsia"/>
          <w:lang w:val="zh-CN"/>
        </w:rPr>
        <w:t>结论</w:t>
      </w:r>
      <w:r w:rsidRPr="00BF42B7">
        <w:rPr>
          <w:lang w:val="zh-CN"/>
        </w:rPr>
        <w:t>13 [</w:t>
      </w:r>
      <w:r w:rsidRPr="00BF42B7">
        <w:rPr>
          <w:rFonts w:hint="eastAsia"/>
          <w:lang w:val="zh-CN"/>
        </w:rPr>
        <w:t>1</w:t>
      </w:r>
      <w:r w:rsidRPr="00BF42B7">
        <w:rPr>
          <w:lang w:val="zh-CN"/>
        </w:rPr>
        <w:t>2]</w:t>
      </w:r>
      <w:r w:rsidRPr="00BF42B7">
        <w:rPr>
          <w:rFonts w:hint="eastAsia"/>
        </w:rPr>
        <w:br/>
      </w:r>
      <w:r w:rsidRPr="00BF42B7">
        <w:rPr>
          <w:rFonts w:hAnsi="宋体" w:cs="宋体" w:hint="eastAsia"/>
        </w:rPr>
        <w:t>专家条约机构的声明</w:t>
      </w:r>
    </w:p>
    <w:p w:rsidR="003E31C7" w:rsidRPr="00BF42B7" w:rsidRDefault="003E31C7" w:rsidP="003E31C7">
      <w:pPr>
        <w:pStyle w:val="SingleTxtGC"/>
        <w:ind w:left="1554"/>
      </w:pPr>
      <w:r w:rsidRPr="00BF42B7">
        <w:t xml:space="preserve">1. </w:t>
      </w:r>
      <w:r w:rsidRPr="00BF42B7">
        <w:rPr>
          <w:rFonts w:hint="eastAsia"/>
        </w:rPr>
        <w:t xml:space="preserve"> </w:t>
      </w:r>
      <w:r w:rsidRPr="00BF42B7">
        <w:rPr>
          <w:rFonts w:hint="eastAsia"/>
        </w:rPr>
        <w:t>为本结论草案的目的，专家条约机构指根据一项条约设立且不是国际组织机关的、由以个人身份任职的专家组成的机构。</w:t>
      </w:r>
    </w:p>
    <w:p w:rsidR="003E31C7" w:rsidRPr="00BF42B7" w:rsidRDefault="003E31C7" w:rsidP="003E31C7">
      <w:pPr>
        <w:pStyle w:val="SingleTxtGC"/>
        <w:ind w:left="1554"/>
      </w:pPr>
      <w:r w:rsidRPr="00BF42B7">
        <w:t>2.</w:t>
      </w:r>
      <w:r w:rsidRPr="00BF42B7">
        <w:rPr>
          <w:rFonts w:hint="eastAsia"/>
        </w:rPr>
        <w:t xml:space="preserve">  </w:t>
      </w:r>
      <w:r w:rsidRPr="00BF42B7">
        <w:rPr>
          <w:rFonts w:hint="eastAsia"/>
        </w:rPr>
        <w:t>专家条约机构的声明对条约解释的意义取决于该条约的适用规则。</w:t>
      </w:r>
    </w:p>
    <w:p w:rsidR="003E31C7" w:rsidRPr="00BF42B7" w:rsidRDefault="003E31C7" w:rsidP="003E31C7">
      <w:pPr>
        <w:pStyle w:val="SingleTxtGC"/>
        <w:ind w:left="1554"/>
      </w:pPr>
      <w:r w:rsidRPr="00BF42B7">
        <w:t xml:space="preserve">3. </w:t>
      </w:r>
      <w:r w:rsidRPr="00BF42B7">
        <w:rPr>
          <w:rFonts w:hint="eastAsia"/>
        </w:rPr>
        <w:t xml:space="preserve"> </w:t>
      </w:r>
      <w:r w:rsidRPr="00BF42B7">
        <w:rPr>
          <w:rFonts w:hint="eastAsia"/>
        </w:rPr>
        <w:t>专家条约机构的声明可产生或提及第三十一条第三款所称的缔约方嗣后协定或嗣后惯例，或第三十二条所称的其他嗣后惯例。缔约方的沉默不应推定为构成第三十一条第三款</w:t>
      </w:r>
      <w:r w:rsidRPr="00BF42B7">
        <w:t>(b)</w:t>
      </w:r>
      <w:r w:rsidRPr="00BF42B7">
        <w:rPr>
          <w:rFonts w:hint="eastAsia"/>
        </w:rPr>
        <w:t>项所称的、接受专家条约机构声明中表达的对相关条约的解释的嗣后惯例。</w:t>
      </w:r>
    </w:p>
    <w:p w:rsidR="003E31C7" w:rsidRPr="00BF42B7" w:rsidRDefault="003E31C7" w:rsidP="003E31C7">
      <w:pPr>
        <w:pStyle w:val="SingleTxtGC"/>
        <w:ind w:left="1554"/>
      </w:pPr>
      <w:r w:rsidRPr="00BF42B7">
        <w:t>4.</w:t>
      </w:r>
      <w:r w:rsidRPr="00BF42B7">
        <w:rPr>
          <w:rFonts w:hint="eastAsia"/>
        </w:rPr>
        <w:t xml:space="preserve">  </w:t>
      </w:r>
      <w:r w:rsidRPr="00BF42B7">
        <w:rPr>
          <w:rFonts w:hint="eastAsia"/>
        </w:rPr>
        <w:t>本条结论草案不妨碍专家条约机构的声明可能以其他方式有助于条约的解释。</w:t>
      </w:r>
    </w:p>
    <w:p w:rsidR="003E31C7" w:rsidRPr="00BF42B7" w:rsidRDefault="003E31C7" w:rsidP="003E31C7">
      <w:pPr>
        <w:pStyle w:val="H23GC"/>
      </w:pPr>
      <w:r w:rsidRPr="00BF42B7">
        <w:rPr>
          <w:rFonts w:hint="eastAsia"/>
        </w:rPr>
        <w:tab/>
      </w:r>
      <w:r w:rsidRPr="00BF42B7">
        <w:rPr>
          <w:rFonts w:hint="eastAsia"/>
        </w:rPr>
        <w:tab/>
      </w:r>
      <w:r w:rsidRPr="00BF42B7">
        <w:rPr>
          <w:rFonts w:hint="eastAsia"/>
        </w:rPr>
        <w:t>评注</w:t>
      </w:r>
    </w:p>
    <w:p w:rsidR="003E31C7" w:rsidRPr="00BF42B7" w:rsidRDefault="003E31C7" w:rsidP="003E31C7">
      <w:pPr>
        <w:pStyle w:val="H4GC"/>
      </w:pPr>
      <w:r w:rsidRPr="00BF42B7">
        <w:rPr>
          <w:rFonts w:hint="eastAsia"/>
        </w:rPr>
        <w:tab/>
      </w:r>
      <w:r w:rsidRPr="00BF42B7">
        <w:rPr>
          <w:rFonts w:hint="eastAsia"/>
        </w:rPr>
        <w:tab/>
      </w:r>
      <w:r w:rsidRPr="00BF42B7">
        <w:rPr>
          <w:rFonts w:hint="eastAsia"/>
        </w:rPr>
        <w:t>第</w:t>
      </w:r>
      <w:r w:rsidRPr="00BF42B7">
        <w:rPr>
          <w:rFonts w:hint="eastAsia"/>
        </w:rPr>
        <w:t>1</w:t>
      </w:r>
      <w:r w:rsidRPr="00BF42B7">
        <w:rPr>
          <w:rFonts w:hint="eastAsia"/>
        </w:rPr>
        <w:t>段</w:t>
      </w:r>
      <w:r w:rsidRPr="00BF42B7">
        <w:rPr>
          <w:rFonts w:hint="eastAsia"/>
          <w:spacing w:val="-50"/>
        </w:rPr>
        <w:t>―</w:t>
      </w:r>
      <w:r w:rsidRPr="00BF42B7">
        <w:rPr>
          <w:rFonts w:hint="eastAsia"/>
        </w:rPr>
        <w:t>―“专家条约机构”这一术语的定义</w:t>
      </w:r>
    </w:p>
    <w:p w:rsidR="003E31C7" w:rsidRPr="00BF42B7" w:rsidRDefault="003E31C7" w:rsidP="00BA6448">
      <w:pPr>
        <w:pStyle w:val="SingleTxtGC"/>
      </w:pPr>
      <w:r w:rsidRPr="00BF42B7">
        <w:t>(1)</w:t>
      </w:r>
      <w:r w:rsidRPr="00BF42B7">
        <w:rPr>
          <w:rFonts w:hint="eastAsia"/>
        </w:rPr>
        <w:t xml:space="preserve">  </w:t>
      </w:r>
      <w:r w:rsidRPr="00BF42B7">
        <w:rPr>
          <w:rFonts w:hint="eastAsia"/>
        </w:rPr>
        <w:t>一些条约会设立机构，由以个人身份任职的专家组成，负责监测这些条约的适用情况，或以其它方式为适用这些条约作出贡献。在各项全球性人权条约</w:t>
      </w:r>
      <w:r w:rsidRPr="00BF42B7">
        <w:rPr>
          <w:rFonts w:hint="eastAsia"/>
          <w:spacing w:val="-4"/>
        </w:rPr>
        <w:t>之下设立的委员会就是这种专家条约机构的例子，</w:t>
      </w:r>
      <w:bookmarkStart w:id="222" w:name="_Ref461984204"/>
      <w:r w:rsidRPr="00BF42B7">
        <w:rPr>
          <w:color w:val="0000FF"/>
          <w:vertAlign w:val="superscript"/>
        </w:rPr>
        <w:footnoteReference w:id="978"/>
      </w:r>
      <w:bookmarkEnd w:id="222"/>
      <w:r w:rsidR="00BA6448">
        <w:rPr>
          <w:rFonts w:hint="eastAsia"/>
          <w:spacing w:val="-4"/>
        </w:rPr>
        <w:t xml:space="preserve"> </w:t>
      </w:r>
      <w:r w:rsidRPr="00BF42B7">
        <w:rPr>
          <w:rFonts w:hint="eastAsia"/>
          <w:spacing w:val="-4"/>
        </w:rPr>
        <w:t>例如消除种族歧视委员会</w:t>
      </w:r>
      <w:r w:rsidRPr="00BF42B7">
        <w:rPr>
          <w:color w:val="0000FF"/>
          <w:vertAlign w:val="superscript"/>
          <w:lang w:eastAsia="en-GB"/>
        </w:rPr>
        <w:footnoteReference w:id="979"/>
      </w:r>
      <w:r w:rsidRPr="00BF42B7">
        <w:rPr>
          <w:rFonts w:hint="eastAsia"/>
        </w:rPr>
        <w:t>、人权事务委员会</w:t>
      </w:r>
      <w:r w:rsidRPr="00BF42B7">
        <w:rPr>
          <w:color w:val="0000FF"/>
          <w:vertAlign w:val="superscript"/>
          <w:lang w:eastAsia="en-GB"/>
        </w:rPr>
        <w:footnoteReference w:id="980"/>
      </w:r>
      <w:r w:rsidRPr="00BF42B7">
        <w:rPr>
          <w:rFonts w:hint="eastAsia"/>
        </w:rPr>
        <w:t>、消除对妇女歧视委员会</w:t>
      </w:r>
      <w:r w:rsidR="00BA6448" w:rsidRPr="00BF42B7">
        <w:rPr>
          <w:color w:val="0000FF"/>
          <w:vertAlign w:val="superscript"/>
          <w:lang w:eastAsia="en-GB"/>
        </w:rPr>
        <w:footnoteReference w:id="981"/>
      </w:r>
      <w:r w:rsidRPr="00BF42B7">
        <w:rPr>
          <w:rFonts w:hint="eastAsia"/>
        </w:rPr>
        <w:t>、</w:t>
      </w:r>
      <w:bookmarkStart w:id="223" w:name="_Ref442778808"/>
      <w:r w:rsidRPr="00BF42B7">
        <w:rPr>
          <w:rFonts w:hint="eastAsia"/>
        </w:rPr>
        <w:t>残疾人权利委员会</w:t>
      </w:r>
      <w:r w:rsidR="00BA6448" w:rsidRPr="00BF42B7">
        <w:rPr>
          <w:color w:val="0000FF"/>
          <w:vertAlign w:val="superscript"/>
        </w:rPr>
        <w:footnoteReference w:id="982"/>
      </w:r>
      <w:r w:rsidRPr="00BF42B7">
        <w:rPr>
          <w:rFonts w:hint="eastAsia"/>
        </w:rPr>
        <w:t>、儿童权利委员会</w:t>
      </w:r>
      <w:r w:rsidRPr="00BF42B7">
        <w:rPr>
          <w:color w:val="0000FF"/>
          <w:vertAlign w:val="superscript"/>
        </w:rPr>
        <w:footnoteReference w:id="983"/>
      </w:r>
      <w:r w:rsidR="00E83B81" w:rsidRPr="00E83B81">
        <w:rPr>
          <w:rFonts w:hint="eastAsia"/>
          <w:vertAlign w:val="superscript"/>
        </w:rPr>
        <w:t xml:space="preserve"> </w:t>
      </w:r>
      <w:r w:rsidRPr="00BF42B7">
        <w:rPr>
          <w:rFonts w:hint="eastAsia"/>
        </w:rPr>
        <w:t>和禁止酷刑委员会</w:t>
      </w:r>
      <w:r w:rsidR="00BA6448" w:rsidRPr="00BF42B7">
        <w:rPr>
          <w:color w:val="0000FF"/>
          <w:vertAlign w:val="superscript"/>
          <w:lang w:eastAsia="en-GB"/>
        </w:rPr>
        <w:footnoteReference w:id="984"/>
      </w:r>
      <w:r w:rsidRPr="00BF42B7">
        <w:rPr>
          <w:rFonts w:hint="eastAsia"/>
        </w:rPr>
        <w:t>。</w:t>
      </w:r>
      <w:bookmarkEnd w:id="223"/>
      <w:r w:rsidRPr="00BF42B7">
        <w:rPr>
          <w:rFonts w:hint="eastAsia"/>
        </w:rPr>
        <w:t>其他专家条约机构包括：《联合国海洋法公约》之下的大陆架界限委员会</w:t>
      </w:r>
      <w:r w:rsidRPr="00BF42B7">
        <w:rPr>
          <w:color w:val="0000FF"/>
          <w:vertAlign w:val="superscript"/>
        </w:rPr>
        <w:footnoteReference w:id="985"/>
      </w:r>
      <w:r w:rsidRPr="00BF42B7">
        <w:rPr>
          <w:rFonts w:hint="eastAsia"/>
        </w:rPr>
        <w:t>、《</w:t>
      </w:r>
      <w:r w:rsidRPr="00BF42B7">
        <w:rPr>
          <w:rFonts w:ascii="宋体" w:hAnsi="宋体" w:cs="宋体" w:hint="eastAsia"/>
        </w:rPr>
        <w:t>在环境问题上获得信息、公众参与决策和诉诸法律的公约</w:t>
      </w:r>
      <w:r w:rsidRPr="00BF42B7">
        <w:rPr>
          <w:rFonts w:hint="eastAsia"/>
        </w:rPr>
        <w:t>》</w:t>
      </w:r>
      <w:r w:rsidRPr="00BF42B7">
        <w:rPr>
          <w:rFonts w:hint="eastAsia"/>
        </w:rPr>
        <w:t>(</w:t>
      </w:r>
      <w:r w:rsidRPr="00BF42B7">
        <w:rPr>
          <w:rFonts w:hint="eastAsia"/>
        </w:rPr>
        <w:t>《奥胡斯公约》</w:t>
      </w:r>
      <w:r w:rsidRPr="00BF42B7">
        <w:rPr>
          <w:rFonts w:hint="eastAsia"/>
        </w:rPr>
        <w:t>)</w:t>
      </w:r>
      <w:r w:rsidRPr="00BF42B7">
        <w:rPr>
          <w:rFonts w:hint="eastAsia"/>
        </w:rPr>
        <w:t>遵约委员会</w:t>
      </w:r>
      <w:bookmarkStart w:id="224" w:name="_Ref444758618"/>
      <w:r w:rsidRPr="00BF42B7">
        <w:rPr>
          <w:color w:val="0000FF"/>
          <w:vertAlign w:val="superscript"/>
        </w:rPr>
        <w:footnoteReference w:id="986"/>
      </w:r>
      <w:bookmarkEnd w:id="224"/>
      <w:r w:rsidRPr="00BA6448">
        <w:rPr>
          <w:rFonts w:hint="eastAsia"/>
          <w:vertAlign w:val="superscript"/>
        </w:rPr>
        <w:t xml:space="preserve"> </w:t>
      </w:r>
      <w:r w:rsidRPr="00BF42B7">
        <w:rPr>
          <w:rFonts w:hint="eastAsia"/>
        </w:rPr>
        <w:t>和《麻醉品单一公约》之下的国际麻醉品管制局</w:t>
      </w:r>
      <w:bookmarkStart w:id="225" w:name="_Ref443716805"/>
      <w:r w:rsidRPr="00BF42B7">
        <w:rPr>
          <w:color w:val="0000FF"/>
          <w:vertAlign w:val="superscript"/>
          <w:lang w:eastAsia="en-GB"/>
        </w:rPr>
        <w:footnoteReference w:id="987"/>
      </w:r>
      <w:bookmarkEnd w:id="225"/>
      <w:r w:rsidRPr="00BF42B7">
        <w:rPr>
          <w:rFonts w:hint="eastAsia"/>
        </w:rPr>
        <w:t>。</w:t>
      </w:r>
    </w:p>
    <w:p w:rsidR="003E31C7" w:rsidRPr="00BF42B7" w:rsidRDefault="003E31C7" w:rsidP="003E31C7">
      <w:pPr>
        <w:pStyle w:val="SingleTxtGC"/>
      </w:pPr>
      <w:r w:rsidRPr="00BF42B7">
        <w:t>(2)</w:t>
      </w:r>
      <w:r w:rsidRPr="00BF42B7">
        <w:rPr>
          <w:rFonts w:hint="eastAsia"/>
        </w:rPr>
        <w:t xml:space="preserve">  </w:t>
      </w:r>
      <w:r w:rsidRPr="00BF42B7">
        <w:rPr>
          <w:rFonts w:hint="eastAsia"/>
        </w:rPr>
        <w:t>第</w:t>
      </w:r>
      <w:r w:rsidRPr="00BF42B7">
        <w:rPr>
          <w:rFonts w:hint="eastAsia"/>
        </w:rPr>
        <w:t>1</w:t>
      </w:r>
      <w:r w:rsidRPr="00BF42B7">
        <w:rPr>
          <w:rFonts w:hint="eastAsia"/>
        </w:rPr>
        <w:t>段对“专家条约机构”这一术语的定义仅仅是“</w:t>
      </w:r>
      <w:r w:rsidRPr="00BF42B7">
        <w:rPr>
          <w:rFonts w:ascii="宋体" w:hAnsi="宋体" w:cs="宋体" w:hint="eastAsia"/>
        </w:rPr>
        <w:t>为本结论草案的目的</w:t>
      </w:r>
      <w:r w:rsidRPr="00BF42B7">
        <w:rPr>
          <w:rFonts w:hint="eastAsia"/>
        </w:rPr>
        <w:t>”。本条结论草案并未以其他方式声称本条为其他目的对这种机构的地位及其行动可能产生的法律效果作出了声明。</w:t>
      </w:r>
    </w:p>
    <w:p w:rsidR="003E31C7" w:rsidRPr="00BF42B7" w:rsidRDefault="003E31C7" w:rsidP="003E31C7">
      <w:pPr>
        <w:pStyle w:val="SingleTxtGC"/>
      </w:pPr>
      <w:r w:rsidRPr="00BF42B7">
        <w:t>(3</w:t>
      </w:r>
      <w:bookmarkStart w:id="226" w:name="_Ref453186312"/>
      <w:r w:rsidRPr="00BF42B7">
        <w:t>)</w:t>
      </w:r>
      <w:r w:rsidRPr="00BF42B7">
        <w:rPr>
          <w:rFonts w:hint="eastAsia"/>
        </w:rPr>
        <w:t xml:space="preserve">  </w:t>
      </w:r>
      <w:r w:rsidRPr="00BF42B7">
        <w:rPr>
          <w:rFonts w:hint="eastAsia"/>
          <w:w w:val="104"/>
        </w:rPr>
        <w:t>“以个人身份任职”这一术语意味着专家条约机构的成员履职行事时不接受政府指示。</w:t>
      </w:r>
      <w:bookmarkStart w:id="227" w:name="_Ref461787101"/>
      <w:bookmarkEnd w:id="226"/>
      <w:r w:rsidRPr="00BF42B7">
        <w:rPr>
          <w:color w:val="0000FF"/>
          <w:vertAlign w:val="superscript"/>
          <w:lang w:eastAsia="en-GB"/>
        </w:rPr>
        <w:footnoteReference w:id="988"/>
      </w:r>
      <w:bookmarkEnd w:id="227"/>
      <w:r w:rsidRPr="00BF42B7">
        <w:t xml:space="preserve"> </w:t>
      </w:r>
      <w:r w:rsidRPr="00BF42B7">
        <w:rPr>
          <w:rFonts w:hint="eastAsia"/>
        </w:rPr>
        <w:t>结论草案</w:t>
      </w:r>
      <w:r w:rsidRPr="00BF42B7">
        <w:rPr>
          <w:rFonts w:hint="eastAsia"/>
        </w:rPr>
        <w:t>13</w:t>
      </w:r>
      <w:r w:rsidRPr="00BF42B7">
        <w:t xml:space="preserve"> [12]</w:t>
      </w:r>
      <w:r w:rsidRPr="00BF42B7">
        <w:rPr>
          <w:rFonts w:hint="eastAsia"/>
        </w:rPr>
        <w:t>不涉及由政府代表组成的机构。</w:t>
      </w:r>
      <w:bookmarkStart w:id="228" w:name="_Ref443061307"/>
      <w:r w:rsidRPr="00BF42B7">
        <w:rPr>
          <w:rFonts w:hint="eastAsia"/>
        </w:rPr>
        <w:t>由各国代表组成、不属于国际组织机关的机构的产出，是由此在其框架内集体行动的这些国家的一种形式的惯例。</w:t>
      </w:r>
      <w:r w:rsidRPr="00BF42B7">
        <w:rPr>
          <w:color w:val="0000FF"/>
          <w:vertAlign w:val="superscript"/>
          <w:lang w:eastAsia="en-GB"/>
        </w:rPr>
        <w:footnoteReference w:id="989"/>
      </w:r>
    </w:p>
    <w:p w:rsidR="003E31C7" w:rsidRPr="00BF42B7" w:rsidRDefault="003E31C7" w:rsidP="003E31C7">
      <w:pPr>
        <w:pStyle w:val="SingleTxtGC"/>
      </w:pPr>
      <w:r w:rsidRPr="00BF42B7">
        <w:t>(4)</w:t>
      </w:r>
      <w:r w:rsidRPr="00BF42B7">
        <w:rPr>
          <w:rFonts w:hint="eastAsia"/>
        </w:rPr>
        <w:t xml:space="preserve">  </w:t>
      </w:r>
      <w:r w:rsidRPr="00BF42B7">
        <w:rPr>
          <w:rFonts w:hint="eastAsia"/>
        </w:rPr>
        <w:t>结论草案</w:t>
      </w:r>
      <w:r w:rsidRPr="00BF42B7">
        <w:t>13 [12]</w:t>
      </w:r>
      <w:r w:rsidRPr="00BF42B7">
        <w:rPr>
          <w:rFonts w:hint="eastAsia"/>
        </w:rPr>
        <w:t>也不适用于属于国际组织机关的机构。</w:t>
      </w:r>
      <w:r w:rsidRPr="00BF42B7">
        <w:rPr>
          <w:color w:val="0000FF"/>
          <w:vertAlign w:val="superscript"/>
          <w:lang w:eastAsia="en-GB"/>
        </w:rPr>
        <w:footnoteReference w:id="990"/>
      </w:r>
      <w:r w:rsidRPr="00BF42B7">
        <w:rPr>
          <w:rFonts w:hint="eastAsia"/>
        </w:rPr>
        <w:t xml:space="preserve"> </w:t>
      </w:r>
      <w:r w:rsidRPr="00BF42B7">
        <w:rPr>
          <w:rFonts w:hint="eastAsia"/>
        </w:rPr>
        <w:t>属于国际组织机关的机构的产出首先归于该组织</w:t>
      </w:r>
      <w:bookmarkStart w:id="229" w:name="_Ref453187098"/>
      <w:r w:rsidRPr="00BF42B7">
        <w:rPr>
          <w:rFonts w:hint="eastAsia"/>
        </w:rPr>
        <w:t>。</w:t>
      </w:r>
      <w:bookmarkEnd w:id="228"/>
      <w:bookmarkEnd w:id="229"/>
      <w:r w:rsidRPr="00BF42B7">
        <w:rPr>
          <w:color w:val="0000FF"/>
          <w:vertAlign w:val="superscript"/>
          <w:lang w:eastAsia="en-GB"/>
        </w:rPr>
        <w:footnoteReference w:id="991"/>
      </w:r>
      <w:r w:rsidRPr="00BF42B7">
        <w:rPr>
          <w:rFonts w:hint="eastAsia"/>
        </w:rPr>
        <w:t xml:space="preserve"> </w:t>
      </w:r>
      <w:r w:rsidRPr="00BF42B7">
        <w:rPr>
          <w:rFonts w:hint="eastAsia"/>
        </w:rPr>
        <w:t>将属于国际组织机关的机构排除在结论草案</w:t>
      </w:r>
      <w:r w:rsidRPr="00BF42B7">
        <w:t>13 [12]</w:t>
      </w:r>
      <w:r w:rsidRPr="00BF42B7">
        <w:rPr>
          <w:rFonts w:hint="eastAsia"/>
        </w:rPr>
        <w:t>的范围之外是出于形式上的考虑，因为本结论草案不是侧重于阐明《维也纳公约》的解释规则的相关性。这不排除本结论草案的实质性内容比照适用于属于国际组织机关的独立专家机构的声明。</w:t>
      </w:r>
    </w:p>
    <w:p w:rsidR="003E31C7" w:rsidRPr="00BF42B7" w:rsidRDefault="003E31C7" w:rsidP="003E31C7">
      <w:pPr>
        <w:pStyle w:val="SingleTxtGC"/>
      </w:pPr>
      <w:r w:rsidRPr="00BF42B7">
        <w:t>(5)</w:t>
      </w:r>
      <w:r w:rsidRPr="00BF42B7">
        <w:rPr>
          <w:rFonts w:hint="eastAsia"/>
        </w:rPr>
        <w:t xml:space="preserve">  </w:t>
      </w:r>
      <w:r w:rsidRPr="00BF42B7">
        <w:rPr>
          <w:rFonts w:hint="eastAsia"/>
        </w:rPr>
        <w:t>“</w:t>
      </w:r>
      <w:r w:rsidRPr="00BF42B7">
        <w:rPr>
          <w:rFonts w:ascii="宋体" w:hAnsi="宋体" w:cs="宋体" w:hint="eastAsia"/>
        </w:rPr>
        <w:t>根据一项条约设立</w:t>
      </w:r>
      <w:r w:rsidRPr="00BF42B7">
        <w:rPr>
          <w:rFonts w:hint="eastAsia"/>
        </w:rPr>
        <w:t>”这一表述指某具体的条约专家机构的设立或职权是由一项条约规定的。大多数情况下，可以清楚地看出这些条件是否满足，但也可能存在模棱两可的情况。例如，经济、社会及文化委员会是由国际组织决议设立的机构，</w:t>
      </w:r>
      <w:r w:rsidRPr="00BF42B7">
        <w:rPr>
          <w:color w:val="0000FF"/>
          <w:vertAlign w:val="superscript"/>
          <w:lang w:eastAsia="en-GB"/>
        </w:rPr>
        <w:footnoteReference w:id="992"/>
      </w:r>
      <w:r w:rsidRPr="00BF42B7">
        <w:rPr>
          <w:rFonts w:hint="eastAsia"/>
        </w:rPr>
        <w:t xml:space="preserve"> </w:t>
      </w:r>
      <w:r w:rsidRPr="00BF42B7">
        <w:rPr>
          <w:rFonts w:hint="eastAsia"/>
        </w:rPr>
        <w:t>但随后被《经济、社会及文化权利国际公约任择议定书》赋予了“审议”某些“来文”的职权。</w:t>
      </w:r>
      <w:r w:rsidRPr="00BF42B7">
        <w:rPr>
          <w:color w:val="0000FF"/>
          <w:vertAlign w:val="superscript"/>
          <w:lang w:eastAsia="en-GB"/>
        </w:rPr>
        <w:footnoteReference w:id="993"/>
      </w:r>
      <w:r w:rsidRPr="00BF42B7">
        <w:rPr>
          <w:rFonts w:hint="eastAsia"/>
        </w:rPr>
        <w:t xml:space="preserve"> </w:t>
      </w:r>
      <w:r w:rsidRPr="00BF42B7">
        <w:rPr>
          <w:rFonts w:hint="eastAsia"/>
        </w:rPr>
        <w:t>这一机构属于结论草案</w:t>
      </w:r>
      <w:r w:rsidRPr="00BF42B7">
        <w:t>13 [12]</w:t>
      </w:r>
      <w:r w:rsidRPr="00BF42B7">
        <w:rPr>
          <w:rFonts w:hint="eastAsia"/>
        </w:rPr>
        <w:t>意义内的专家条约机构，因为该委员会行使某些职权是依照一项条约的规定。《联合国气候变化框架公约京都议定书》遵约委员会是另一个模棱两可的例子。该机构是由缔约方会议的一项决定设立的，但《议定书》第十八条也暗示了要设立该机构。</w:t>
      </w:r>
      <w:bookmarkStart w:id="230" w:name="_Ref444758571"/>
      <w:r w:rsidRPr="00BF42B7">
        <w:rPr>
          <w:color w:val="0000FF"/>
          <w:vertAlign w:val="superscript"/>
          <w:lang w:eastAsia="en-GB"/>
        </w:rPr>
        <w:footnoteReference w:id="994"/>
      </w:r>
      <w:bookmarkEnd w:id="230"/>
    </w:p>
    <w:p w:rsidR="003E31C7" w:rsidRPr="00BF42B7" w:rsidRDefault="003E31C7" w:rsidP="003E31C7">
      <w:pPr>
        <w:pStyle w:val="H4GC"/>
      </w:pPr>
      <w:r w:rsidRPr="00BF42B7">
        <w:rPr>
          <w:rFonts w:hint="eastAsia"/>
        </w:rPr>
        <w:tab/>
      </w:r>
      <w:r w:rsidRPr="00BF42B7">
        <w:rPr>
          <w:rFonts w:hint="eastAsia"/>
        </w:rPr>
        <w:tab/>
      </w:r>
      <w:r w:rsidRPr="00BF42B7">
        <w:rPr>
          <w:rFonts w:hint="eastAsia"/>
        </w:rPr>
        <w:t>第</w:t>
      </w:r>
      <w:r w:rsidRPr="00BF42B7">
        <w:t>2</w:t>
      </w:r>
      <w:r w:rsidRPr="00BF42B7">
        <w:rPr>
          <w:rFonts w:hint="eastAsia"/>
        </w:rPr>
        <w:t>段</w:t>
      </w:r>
      <w:r w:rsidRPr="00BF42B7">
        <w:rPr>
          <w:rFonts w:hint="eastAsia"/>
          <w:spacing w:val="-50"/>
        </w:rPr>
        <w:t>―</w:t>
      </w:r>
      <w:r w:rsidRPr="00BF42B7">
        <w:rPr>
          <w:rFonts w:hint="eastAsia"/>
        </w:rPr>
        <w:t>―条约规则的优先地位</w:t>
      </w:r>
    </w:p>
    <w:p w:rsidR="003E31C7" w:rsidRPr="00BF42B7" w:rsidRDefault="003E31C7" w:rsidP="003E31C7">
      <w:pPr>
        <w:pStyle w:val="SingleTxtGC"/>
      </w:pPr>
      <w:r w:rsidRPr="00BF42B7">
        <w:t>(6)</w:t>
      </w:r>
      <w:r w:rsidRPr="00BF42B7">
        <w:rPr>
          <w:rFonts w:hint="eastAsia"/>
        </w:rPr>
        <w:t xml:space="preserve">  </w:t>
      </w:r>
      <w:r w:rsidRPr="00BF42B7">
        <w:rPr>
          <w:rFonts w:hint="eastAsia"/>
        </w:rPr>
        <w:t>各项条约采用不同的术语来指称专家条约机构不同形式的行动，例如，“意见”</w:t>
      </w:r>
      <w:r w:rsidRPr="00BF42B7">
        <w:rPr>
          <w:color w:val="0000FF"/>
          <w:vertAlign w:val="superscript"/>
          <w:lang w:eastAsia="en-GB"/>
        </w:rPr>
        <w:footnoteReference w:id="995"/>
      </w:r>
      <w:r w:rsidRPr="00BF42B7">
        <w:rPr>
          <w:rFonts w:hint="eastAsia"/>
        </w:rPr>
        <w:t>、“建议”</w:t>
      </w:r>
      <w:r w:rsidRPr="00BF42B7">
        <w:rPr>
          <w:color w:val="0000FF"/>
          <w:vertAlign w:val="superscript"/>
          <w:lang w:eastAsia="en-GB"/>
        </w:rPr>
        <w:footnoteReference w:id="996"/>
      </w:r>
      <w:r w:rsidRPr="00BF42B7">
        <w:rPr>
          <w:rFonts w:hint="eastAsia"/>
        </w:rPr>
        <w:t>、“评论”</w:t>
      </w:r>
      <w:r w:rsidRPr="00BF42B7">
        <w:rPr>
          <w:color w:val="0000FF"/>
          <w:vertAlign w:val="superscript"/>
          <w:lang w:eastAsia="en-GB"/>
        </w:rPr>
        <w:footnoteReference w:id="997"/>
      </w:r>
      <w:r w:rsidRPr="00BF42B7">
        <w:rPr>
          <w:rFonts w:hint="eastAsia"/>
        </w:rPr>
        <w:t>、“措施”</w:t>
      </w:r>
      <w:r w:rsidRPr="00BF42B7">
        <w:rPr>
          <w:color w:val="0000FF"/>
          <w:vertAlign w:val="superscript"/>
          <w:lang w:eastAsia="en-GB"/>
        </w:rPr>
        <w:footnoteReference w:id="998"/>
      </w:r>
      <w:r w:rsidR="00BA6448" w:rsidRPr="00BA6448">
        <w:rPr>
          <w:rFonts w:hint="eastAsia"/>
          <w:vertAlign w:val="superscript"/>
        </w:rPr>
        <w:t xml:space="preserve"> </w:t>
      </w:r>
      <w:r w:rsidRPr="00BF42B7">
        <w:rPr>
          <w:rFonts w:hint="eastAsia"/>
        </w:rPr>
        <w:t>和“后果”</w:t>
      </w:r>
      <w:r w:rsidRPr="00BF42B7">
        <w:rPr>
          <w:color w:val="0000FF"/>
          <w:vertAlign w:val="superscript"/>
          <w:lang w:eastAsia="en-GB"/>
        </w:rPr>
        <w:footnoteReference w:id="999"/>
      </w:r>
      <w:r w:rsidRPr="00BF42B7">
        <w:rPr>
          <w:rFonts w:hint="eastAsia"/>
        </w:rPr>
        <w:t>。为本结论草案的目的，结论草案</w:t>
      </w:r>
      <w:r w:rsidRPr="00BF42B7">
        <w:t xml:space="preserve">13 [12] </w:t>
      </w:r>
      <w:r w:rsidRPr="00BF42B7">
        <w:rPr>
          <w:rFonts w:hint="eastAsia"/>
        </w:rPr>
        <w:t>采用了“声明”</w:t>
      </w:r>
      <w:bookmarkStart w:id="231" w:name="_Ref442779515"/>
      <w:r w:rsidRPr="00BF42B7">
        <w:rPr>
          <w:rFonts w:hint="eastAsia"/>
        </w:rPr>
        <w:t>这一一般性术语。</w:t>
      </w:r>
      <w:bookmarkStart w:id="232" w:name="_Ref457308341"/>
      <w:bookmarkEnd w:id="231"/>
      <w:r w:rsidRPr="00BF42B7">
        <w:rPr>
          <w:color w:val="0000FF"/>
          <w:vertAlign w:val="superscript"/>
          <w:lang w:eastAsia="en-GB"/>
        </w:rPr>
        <w:footnoteReference w:id="1000"/>
      </w:r>
      <w:bookmarkEnd w:id="232"/>
      <w:r w:rsidRPr="00BF42B7">
        <w:rPr>
          <w:rFonts w:hint="eastAsia"/>
        </w:rPr>
        <w:t xml:space="preserve"> </w:t>
      </w:r>
      <w:r w:rsidRPr="00BF42B7">
        <w:rPr>
          <w:rFonts w:hint="eastAsia"/>
        </w:rPr>
        <w:t>该术语涵盖了专家条约机构所有有关的行动形式。</w:t>
      </w:r>
      <w:bookmarkStart w:id="233" w:name="_Ref442779550"/>
      <w:r w:rsidRPr="00BF42B7">
        <w:rPr>
          <w:rFonts w:hint="eastAsia"/>
        </w:rPr>
        <w:t>对某些机构使用的其他一般性术语包括“判例”</w:t>
      </w:r>
      <w:bookmarkStart w:id="234" w:name="_Ref442206785"/>
      <w:r w:rsidRPr="00BF42B7">
        <w:rPr>
          <w:color w:val="0000FF"/>
          <w:vertAlign w:val="superscript"/>
          <w:lang w:eastAsia="en-GB"/>
        </w:rPr>
        <w:footnoteReference w:id="1001"/>
      </w:r>
      <w:bookmarkEnd w:id="234"/>
      <w:r w:rsidR="00BA6448" w:rsidRPr="00BA6448">
        <w:rPr>
          <w:rFonts w:hint="eastAsia"/>
          <w:vertAlign w:val="superscript"/>
        </w:rPr>
        <w:t xml:space="preserve"> </w:t>
      </w:r>
      <w:r w:rsidRPr="00BF42B7">
        <w:rPr>
          <w:rFonts w:hint="eastAsia"/>
        </w:rPr>
        <w:t>和“产出”</w:t>
      </w:r>
      <w:bookmarkStart w:id="235" w:name="_Ref457308354"/>
      <w:bookmarkEnd w:id="233"/>
      <w:r w:rsidRPr="00BF42B7">
        <w:rPr>
          <w:color w:val="0000FF"/>
          <w:vertAlign w:val="superscript"/>
          <w:lang w:eastAsia="en-GB"/>
        </w:rPr>
        <w:footnoteReference w:id="1002"/>
      </w:r>
      <w:bookmarkEnd w:id="235"/>
      <w:r w:rsidRPr="00BF42B7">
        <w:rPr>
          <w:rFonts w:hint="eastAsia"/>
        </w:rPr>
        <w:t>。</w:t>
      </w:r>
    </w:p>
    <w:p w:rsidR="003E31C7" w:rsidRPr="00BF42B7" w:rsidRDefault="003E31C7" w:rsidP="003E31C7">
      <w:pPr>
        <w:pStyle w:val="SingleTxtGC"/>
      </w:pPr>
      <w:r w:rsidRPr="00BF42B7">
        <w:t>(7)</w:t>
      </w:r>
      <w:r w:rsidRPr="00BF42B7">
        <w:rPr>
          <w:rFonts w:hint="eastAsia"/>
        </w:rPr>
        <w:t xml:space="preserve">  </w:t>
      </w:r>
      <w:r w:rsidRPr="00BF42B7">
        <w:rPr>
          <w:rFonts w:hint="eastAsia"/>
        </w:rPr>
        <w:t>第</w:t>
      </w:r>
      <w:r w:rsidRPr="00BF42B7">
        <w:rPr>
          <w:rFonts w:hint="eastAsia"/>
        </w:rPr>
        <w:t>2</w:t>
      </w:r>
      <w:r w:rsidRPr="00BF42B7">
        <w:rPr>
          <w:rFonts w:hint="eastAsia"/>
        </w:rPr>
        <w:t>段强调，凡是专家条约机构的声明，其所具备的任何可能的法律效果均首先取决于适用的条约本身的具体规则。因此，这种可能的法律效果可能非常不同。必须通过适用《维也纳公约》所载的条约解释规则来确定法律效果。</w:t>
      </w:r>
      <w:bookmarkStart w:id="236" w:name="_Ref442885197"/>
      <w:r w:rsidRPr="00BF42B7">
        <w:rPr>
          <w:rFonts w:hint="eastAsia"/>
        </w:rPr>
        <w:t>一项条约用来指称某具体形式的声明的术语的一般意义或其上下文通常会明确显示，这种声明并不具备法律约束力。</w:t>
      </w:r>
      <w:bookmarkStart w:id="237" w:name="_Ref457308387"/>
      <w:bookmarkEnd w:id="236"/>
      <w:r w:rsidRPr="00BF42B7">
        <w:rPr>
          <w:color w:val="0000FF"/>
          <w:vertAlign w:val="superscript"/>
          <w:lang w:eastAsia="en-GB"/>
        </w:rPr>
        <w:footnoteReference w:id="1003"/>
      </w:r>
      <w:bookmarkEnd w:id="237"/>
      <w:r w:rsidRPr="00BF42B7">
        <w:t xml:space="preserve"> </w:t>
      </w:r>
      <w:r w:rsidRPr="00BF42B7">
        <w:rPr>
          <w:rFonts w:hint="eastAsia"/>
        </w:rPr>
        <w:t>例如，“意见”</w:t>
      </w:r>
      <w:r w:rsidRPr="00BF42B7">
        <w:t>(</w:t>
      </w:r>
      <w:r w:rsidRPr="00BF42B7">
        <w:rPr>
          <w:rFonts w:ascii="宋体" w:hAnsi="宋体" w:cs="宋体" w:hint="eastAsia"/>
        </w:rPr>
        <w:t>《公民权利和政治权利国际公约任择议定书》</w:t>
      </w:r>
      <w:r w:rsidRPr="00BF42B7">
        <w:t>第五条第</w:t>
      </w:r>
      <w:r w:rsidRPr="00BF42B7">
        <w:t>4</w:t>
      </w:r>
      <w:r w:rsidRPr="00BF42B7">
        <w:t>款</w:t>
      </w:r>
      <w:r w:rsidRPr="00BF42B7">
        <w:t>)</w:t>
      </w:r>
      <w:r w:rsidRPr="00BF42B7">
        <w:rPr>
          <w:rFonts w:hint="eastAsia"/>
        </w:rPr>
        <w:t>、“意见与建议”</w:t>
      </w:r>
      <w:r w:rsidRPr="00BF42B7">
        <w:t>(</w:t>
      </w:r>
      <w:r w:rsidRPr="00BF42B7">
        <w:rPr>
          <w:rFonts w:ascii="宋体" w:hAnsi="宋体" w:cs="宋体" w:hint="eastAsia"/>
        </w:rPr>
        <w:t>《消除一切形式种族歧视国际公约》第十四条第八款</w:t>
      </w:r>
      <w:r w:rsidR="00BA6448">
        <w:t>)</w:t>
      </w:r>
      <w:r w:rsidRPr="00BF42B7">
        <w:rPr>
          <w:rFonts w:hint="eastAsia"/>
        </w:rPr>
        <w:t>和“建议”</w:t>
      </w:r>
      <w:r w:rsidRPr="00BF42B7">
        <w:t>(</w:t>
      </w:r>
      <w:r w:rsidRPr="00BF42B7">
        <w:rPr>
          <w:rFonts w:hint="eastAsia"/>
        </w:rPr>
        <w:t>《联合国海洋法公约》第七十六条第</w:t>
      </w:r>
      <w:r w:rsidRPr="00BF42B7">
        <w:rPr>
          <w:rFonts w:hint="eastAsia"/>
        </w:rPr>
        <w:t>8</w:t>
      </w:r>
      <w:r w:rsidRPr="00BF42B7">
        <w:rPr>
          <w:rFonts w:hint="eastAsia"/>
        </w:rPr>
        <w:t>款</w:t>
      </w:r>
      <w:r w:rsidRPr="00BF42B7">
        <w:t>)</w:t>
      </w:r>
      <w:r w:rsidRPr="00BF42B7">
        <w:rPr>
          <w:rFonts w:hint="eastAsia"/>
        </w:rPr>
        <w:t>等术语就属于这种情况。</w:t>
      </w:r>
    </w:p>
    <w:p w:rsidR="003E31C7" w:rsidRPr="00BF42B7" w:rsidRDefault="003E31C7" w:rsidP="003E31C7">
      <w:pPr>
        <w:pStyle w:val="SingleTxtGC"/>
      </w:pPr>
      <w:r w:rsidRPr="00BF42B7">
        <w:t>(8)</w:t>
      </w:r>
      <w:r w:rsidRPr="00BF42B7">
        <w:rPr>
          <w:rFonts w:hint="eastAsia"/>
        </w:rPr>
        <w:t xml:space="preserve">  </w:t>
      </w:r>
      <w:r w:rsidRPr="00BF42B7">
        <w:rPr>
          <w:rFonts w:hint="eastAsia"/>
        </w:rPr>
        <w:t>为当前目的，没有必要对不同专家条约机构的职权作出详细描述。例如，各人权条约之下的专家条约机构的声明往往是针对国家报告通过的</w:t>
      </w:r>
      <w:r w:rsidRPr="00BF42B7">
        <w:rPr>
          <w:rFonts w:hint="eastAsia"/>
        </w:rPr>
        <w:t>(</w:t>
      </w:r>
      <w:r w:rsidRPr="00BF42B7">
        <w:rPr>
          <w:rFonts w:hint="eastAsia"/>
        </w:rPr>
        <w:t>例如“结论性意见”</w:t>
      </w:r>
      <w:r w:rsidRPr="00BF42B7">
        <w:rPr>
          <w:rFonts w:hint="eastAsia"/>
        </w:rPr>
        <w:t>)</w:t>
      </w:r>
      <w:r w:rsidRPr="00BF42B7">
        <w:rPr>
          <w:rFonts w:hint="eastAsia"/>
        </w:rPr>
        <w:t>，或针对个人来文通过的</w:t>
      </w:r>
      <w:r w:rsidRPr="00BF42B7">
        <w:rPr>
          <w:rFonts w:hint="eastAsia"/>
        </w:rPr>
        <w:t>(</w:t>
      </w:r>
      <w:r w:rsidRPr="00BF42B7">
        <w:rPr>
          <w:rFonts w:hint="eastAsia"/>
        </w:rPr>
        <w:t>例如，“意见”</w:t>
      </w:r>
      <w:r w:rsidRPr="00BF42B7">
        <w:rPr>
          <w:rFonts w:hint="eastAsia"/>
        </w:rPr>
        <w:t>)</w:t>
      </w:r>
      <w:r w:rsidRPr="00BF42B7">
        <w:rPr>
          <w:rFonts w:hint="eastAsia"/>
        </w:rPr>
        <w:t>，或者涉及各自条约的一般性执行或解释</w:t>
      </w:r>
      <w:r w:rsidRPr="00BF42B7">
        <w:rPr>
          <w:rFonts w:hint="eastAsia"/>
        </w:rPr>
        <w:t>(</w:t>
      </w:r>
      <w:r w:rsidRPr="00BF42B7">
        <w:rPr>
          <w:rFonts w:hint="eastAsia"/>
        </w:rPr>
        <w:t>例如，“一般性意见”</w:t>
      </w:r>
      <w:r w:rsidRPr="00BF42B7">
        <w:rPr>
          <w:rFonts w:hint="eastAsia"/>
        </w:rPr>
        <w:t>)</w:t>
      </w:r>
      <w:bookmarkStart w:id="238" w:name="_Ref442883953"/>
      <w:r w:rsidRPr="00BF42B7">
        <w:rPr>
          <w:rFonts w:hint="eastAsia"/>
        </w:rPr>
        <w:t>。</w:t>
      </w:r>
      <w:bookmarkEnd w:id="238"/>
      <w:r w:rsidRPr="00BF42B7">
        <w:rPr>
          <w:color w:val="0000FF"/>
          <w:vertAlign w:val="superscript"/>
          <w:lang w:eastAsia="en-GB"/>
        </w:rPr>
        <w:footnoteReference w:id="1004"/>
      </w:r>
      <w:r w:rsidRPr="00BF42B7">
        <w:t xml:space="preserve"> </w:t>
      </w:r>
      <w:bookmarkStart w:id="239" w:name="_Ref443509592"/>
      <w:r w:rsidRPr="00BF42B7">
        <w:rPr>
          <w:rFonts w:hint="eastAsia"/>
        </w:rPr>
        <w:t>条约的不同具体条款对这种声明予以规范，主要是确定其法律效果，但这种声明也往往会明确或隐晦地对条约进行解释，提出一些一般性问题，而这些问题是结论草案</w:t>
      </w:r>
      <w:r w:rsidRPr="00BF42B7">
        <w:t>13 [12]</w:t>
      </w:r>
      <w:r w:rsidRPr="00BF42B7">
        <w:rPr>
          <w:rFonts w:hint="eastAsia"/>
        </w:rPr>
        <w:t>试图解决的。</w:t>
      </w:r>
      <w:bookmarkEnd w:id="239"/>
      <w:r w:rsidRPr="00BF42B7">
        <w:rPr>
          <w:color w:val="0000FF"/>
          <w:vertAlign w:val="superscript"/>
          <w:lang w:eastAsia="en-GB"/>
        </w:rPr>
        <w:footnoteReference w:id="1005"/>
      </w:r>
    </w:p>
    <w:p w:rsidR="003E31C7" w:rsidRPr="00BF42B7" w:rsidRDefault="003E31C7" w:rsidP="003E31C7">
      <w:pPr>
        <w:pStyle w:val="H4GC"/>
      </w:pPr>
      <w:r w:rsidRPr="00BF42B7">
        <w:rPr>
          <w:rFonts w:hint="eastAsia"/>
        </w:rPr>
        <w:tab/>
      </w:r>
      <w:r w:rsidRPr="00BF42B7">
        <w:rPr>
          <w:rFonts w:hint="eastAsia"/>
        </w:rPr>
        <w:tab/>
      </w:r>
      <w:r w:rsidRPr="00BF42B7">
        <w:rPr>
          <w:rFonts w:hint="eastAsia"/>
        </w:rPr>
        <w:t>第</w:t>
      </w:r>
      <w:r w:rsidRPr="00BF42B7">
        <w:t>3</w:t>
      </w:r>
      <w:r w:rsidRPr="00BF42B7">
        <w:rPr>
          <w:rFonts w:hint="eastAsia"/>
        </w:rPr>
        <w:t>段第一句</w:t>
      </w:r>
      <w:r w:rsidRPr="00BF42B7">
        <w:rPr>
          <w:rFonts w:hint="eastAsia"/>
          <w:spacing w:val="-50"/>
        </w:rPr>
        <w:t>―</w:t>
      </w:r>
      <w:r w:rsidRPr="00BF42B7">
        <w:rPr>
          <w:rFonts w:hint="eastAsia"/>
        </w:rPr>
        <w:t>―“可产生或提及……嗣后协定或嗣后惯例”</w:t>
      </w:r>
    </w:p>
    <w:p w:rsidR="003E31C7" w:rsidRPr="00BF42B7" w:rsidRDefault="003E31C7" w:rsidP="003E31C7">
      <w:pPr>
        <w:pStyle w:val="SingleTxtGC"/>
      </w:pPr>
      <w:r w:rsidRPr="00BF42B7">
        <w:t xml:space="preserve">(9)  </w:t>
      </w:r>
      <w:r w:rsidRPr="00BF42B7">
        <w:rPr>
          <w:rFonts w:hint="eastAsia"/>
        </w:rPr>
        <w:t>专家条约机构的声明本身不能构成第三十一条第三款</w:t>
      </w:r>
      <w:r w:rsidRPr="00BF42B7">
        <w:rPr>
          <w:rFonts w:hint="eastAsia"/>
        </w:rPr>
        <w:t>(b)</w:t>
      </w:r>
      <w:r w:rsidRPr="00BF42B7">
        <w:rPr>
          <w:rFonts w:hint="eastAsia"/>
        </w:rPr>
        <w:t>项所称的嗣后惯例，因为该条款规定，必须有一项确定各缔约方对条约解释之协定的嗣后惯例。这一点已得到证实，人权事务委员会一项提案草稿引发的反响就是一例佐证。人权事务委员会在提案中表示，其自身的“全体判例”或各国对这些判例的默认，可构成第三十一条第三款</w:t>
      </w:r>
      <w:r w:rsidRPr="00BF42B7">
        <w:rPr>
          <w:rFonts w:hint="eastAsia"/>
        </w:rPr>
        <w:t>(b)</w:t>
      </w:r>
      <w:r w:rsidRPr="00BF42B7">
        <w:rPr>
          <w:rFonts w:hint="eastAsia"/>
        </w:rPr>
        <w:t>项所称的嗣后惯例。人权事务委员会的提案内容是：</w:t>
      </w:r>
    </w:p>
    <w:p w:rsidR="003E31C7" w:rsidRPr="00BF42B7" w:rsidRDefault="003E31C7" w:rsidP="003E31C7">
      <w:pPr>
        <w:pStyle w:val="SingleTxtGC"/>
        <w:ind w:left="1554"/>
      </w:pPr>
      <w:r w:rsidRPr="00BF42B7">
        <w:rPr>
          <w:rFonts w:ascii="宋体" w:hAnsi="宋体" w:cs="宋体" w:hint="eastAsia"/>
        </w:rPr>
        <w:t>“就本委员会产生的全体判例而言，可认为这些判例构成在《维也纳条约法公约》第三十一条第三款</w:t>
      </w:r>
      <w:r w:rsidRPr="00BF42B7">
        <w:t>(b)</w:t>
      </w:r>
      <w:r w:rsidRPr="00BF42B7">
        <w:rPr>
          <w:rFonts w:ascii="宋体" w:hAnsi="宋体" w:cs="宋体" w:hint="eastAsia"/>
        </w:rPr>
        <w:t>项意义内的‘嗣后在条约适用方面确定各缔约方对条约解释之协定之惯例’，或可认为缔约国对这些裁定的默认亦构成这种惯例。”</w:t>
      </w:r>
      <w:r w:rsidRPr="00BF42B7">
        <w:rPr>
          <w:color w:val="0000FF"/>
          <w:vertAlign w:val="superscript"/>
          <w:lang w:eastAsia="en-GB"/>
        </w:rPr>
        <w:footnoteReference w:id="1006"/>
      </w:r>
    </w:p>
    <w:p w:rsidR="003E31C7" w:rsidRPr="00BF42B7" w:rsidRDefault="003E31C7" w:rsidP="003E31C7">
      <w:pPr>
        <w:pStyle w:val="SingleTxtGC"/>
        <w:rPr>
          <w:spacing w:val="2"/>
        </w:rPr>
      </w:pPr>
      <w:r w:rsidRPr="00BF42B7">
        <w:rPr>
          <w:spacing w:val="2"/>
        </w:rPr>
        <w:t>(10)</w:t>
      </w:r>
      <w:r w:rsidRPr="00BF42B7">
        <w:rPr>
          <w:rFonts w:hint="eastAsia"/>
          <w:spacing w:val="2"/>
        </w:rPr>
        <w:t xml:space="preserve">  </w:t>
      </w:r>
      <w:r w:rsidRPr="00BF42B7">
        <w:rPr>
          <w:rFonts w:hint="eastAsia"/>
        </w:rPr>
        <w:t>这一提法受到了一些国家的批评，</w:t>
      </w:r>
      <w:r w:rsidRPr="00BF42B7">
        <w:rPr>
          <w:color w:val="0000FF"/>
          <w:vertAlign w:val="superscript"/>
        </w:rPr>
        <w:footnoteReference w:id="1007"/>
      </w:r>
      <w:r w:rsidRPr="00BF42B7">
        <w:rPr>
          <w:rFonts w:hint="eastAsia"/>
        </w:rPr>
        <w:t xml:space="preserve"> </w:t>
      </w:r>
      <w:r w:rsidRPr="00BF42B7">
        <w:rPr>
          <w:rFonts w:hint="eastAsia"/>
        </w:rPr>
        <w:t>委员会便没有继续推动这一提议，通过的第</w:t>
      </w:r>
      <w:r w:rsidRPr="00BF42B7">
        <w:rPr>
          <w:rFonts w:hint="eastAsia"/>
        </w:rPr>
        <w:t>33</w:t>
      </w:r>
      <w:r w:rsidRPr="00BF42B7">
        <w:rPr>
          <w:rFonts w:hint="eastAsia"/>
        </w:rPr>
        <w:t>号一般性意见没有提及第三十一条第三款</w:t>
      </w:r>
      <w:r w:rsidRPr="00BF42B7">
        <w:rPr>
          <w:rFonts w:hint="eastAsia"/>
        </w:rPr>
        <w:t>(b)</w:t>
      </w:r>
      <w:r w:rsidRPr="00BF42B7">
        <w:rPr>
          <w:rFonts w:hint="eastAsia"/>
        </w:rPr>
        <w:t>项。</w:t>
      </w:r>
      <w:r w:rsidRPr="00BF42B7">
        <w:rPr>
          <w:color w:val="0000FF"/>
          <w:vertAlign w:val="superscript"/>
        </w:rPr>
        <w:footnoteReference w:id="1008"/>
      </w:r>
      <w:r w:rsidRPr="00BF42B7">
        <w:rPr>
          <w:rFonts w:hint="eastAsia"/>
        </w:rPr>
        <w:t xml:space="preserve"> </w:t>
      </w:r>
      <w:r w:rsidRPr="00BF42B7">
        <w:rPr>
          <w:rFonts w:hint="eastAsia"/>
        </w:rPr>
        <w:t>这件事证明，专家条约机构的声明本身并不能构成第三十一条第三款</w:t>
      </w:r>
      <w:r w:rsidRPr="00BF42B7">
        <w:rPr>
          <w:rFonts w:hint="eastAsia"/>
        </w:rPr>
        <w:t>(b)</w:t>
      </w:r>
      <w:r w:rsidRPr="00BF42B7">
        <w:rPr>
          <w:rFonts w:hint="eastAsia"/>
        </w:rPr>
        <w:t>项所称的嗣后惯例。</w:t>
      </w:r>
    </w:p>
    <w:p w:rsidR="003E31C7" w:rsidRPr="00BF42B7" w:rsidRDefault="003E31C7" w:rsidP="003E31C7">
      <w:pPr>
        <w:pStyle w:val="SingleTxtGC"/>
        <w:rPr>
          <w:lang w:val="en-GB"/>
        </w:rPr>
      </w:pPr>
      <w:r w:rsidRPr="00BF42B7">
        <w:rPr>
          <w:lang w:val="en-GB"/>
        </w:rPr>
        <w:t>(1</w:t>
      </w:r>
      <w:r w:rsidRPr="00BF42B7">
        <w:rPr>
          <w:rFonts w:hint="eastAsia"/>
          <w:lang w:val="en-GB"/>
        </w:rPr>
        <w:t>1</w:t>
      </w:r>
      <w:r w:rsidRPr="00BF42B7">
        <w:rPr>
          <w:lang w:val="en-GB"/>
        </w:rPr>
        <w:t>)</w:t>
      </w:r>
      <w:r w:rsidRPr="00BF42B7">
        <w:rPr>
          <w:rFonts w:hint="eastAsia"/>
          <w:lang w:val="en-GB"/>
        </w:rPr>
        <w:t xml:space="preserve">  </w:t>
      </w:r>
      <w:r w:rsidRPr="00BF42B7">
        <w:rPr>
          <w:rFonts w:hint="eastAsia"/>
          <w:lang w:val="en-GB"/>
        </w:rPr>
        <w:t>但是，专家条约机构的声明可能会引起或提及缔约国某项嗣后协定或依第三十一条第三款</w:t>
      </w:r>
      <w:r w:rsidRPr="00BF42B7">
        <w:rPr>
          <w:rFonts w:hint="eastAsia"/>
          <w:lang w:val="en-GB"/>
        </w:rPr>
        <w:t>(</w:t>
      </w:r>
      <w:r w:rsidRPr="00BF42B7">
        <w:t>a</w:t>
      </w:r>
      <w:r w:rsidRPr="00BF42B7">
        <w:rPr>
          <w:rFonts w:hint="eastAsia"/>
          <w:lang w:val="en-GB"/>
        </w:rPr>
        <w:t>)</w:t>
      </w:r>
      <w:r w:rsidRPr="00BF42B7">
        <w:rPr>
          <w:rFonts w:hint="eastAsia"/>
          <w:lang w:val="en-GB"/>
        </w:rPr>
        <w:t>项或</w:t>
      </w:r>
      <w:r w:rsidRPr="00BF42B7">
        <w:rPr>
          <w:rFonts w:hint="eastAsia"/>
          <w:lang w:val="en-GB"/>
        </w:rPr>
        <w:t>(</w:t>
      </w:r>
      <w:r w:rsidRPr="00BF42B7">
        <w:t>b</w:t>
      </w:r>
      <w:r w:rsidRPr="00BF42B7">
        <w:rPr>
          <w:rFonts w:hint="eastAsia"/>
          <w:lang w:val="en-GB"/>
        </w:rPr>
        <w:t>)</w:t>
      </w:r>
      <w:r w:rsidRPr="00BF42B7">
        <w:rPr>
          <w:rFonts w:hint="eastAsia"/>
          <w:lang w:val="en-GB"/>
        </w:rPr>
        <w:t>项就条约的解释确立协定的某项实践。</w:t>
      </w:r>
      <w:r w:rsidRPr="00BF42B7">
        <w:rPr>
          <w:rFonts w:hint="eastAsia"/>
          <w:spacing w:val="2"/>
          <w:lang w:val="en-GB"/>
        </w:rPr>
        <w:t>各国</w:t>
      </w:r>
      <w:r w:rsidRPr="00BF42B7">
        <w:rPr>
          <w:color w:val="0000FF"/>
          <w:spacing w:val="2"/>
          <w:vertAlign w:val="superscript"/>
          <w:lang w:val="en-GB"/>
        </w:rPr>
        <w:footnoteReference w:id="1009"/>
      </w:r>
      <w:r w:rsidRPr="00BF42B7">
        <w:rPr>
          <w:rFonts w:hint="eastAsia"/>
          <w:spacing w:val="2"/>
          <w:lang w:val="en-GB"/>
        </w:rPr>
        <w:t>、</w:t>
      </w:r>
      <w:r w:rsidRPr="00BF42B7">
        <w:rPr>
          <w:rFonts w:hint="eastAsia"/>
          <w:lang w:val="en-GB"/>
        </w:rPr>
        <w:t>委员会</w:t>
      </w:r>
      <w:bookmarkStart w:id="240" w:name="_Ref453231474"/>
      <w:r w:rsidRPr="00BF42B7">
        <w:rPr>
          <w:color w:val="0000FF"/>
          <w:vertAlign w:val="superscript"/>
          <w:lang w:val="en-GB"/>
        </w:rPr>
        <w:footnoteReference w:id="1010"/>
      </w:r>
      <w:bookmarkEnd w:id="240"/>
      <w:r w:rsidRPr="00BF42B7">
        <w:rPr>
          <w:rFonts w:hint="eastAsia"/>
          <w:lang w:val="en-GB"/>
        </w:rPr>
        <w:t>、国际法协会</w:t>
      </w:r>
      <w:r w:rsidRPr="00BF42B7">
        <w:rPr>
          <w:color w:val="0000FF"/>
          <w:vertAlign w:val="superscript"/>
          <w:lang w:val="en-GB"/>
        </w:rPr>
        <w:footnoteReference w:id="1011"/>
      </w:r>
      <w:r w:rsidRPr="00BF42B7">
        <w:rPr>
          <w:rFonts w:hint="eastAsia"/>
          <w:vertAlign w:val="superscript"/>
          <w:lang w:val="en-GB"/>
        </w:rPr>
        <w:t xml:space="preserve"> </w:t>
      </w:r>
      <w:r w:rsidRPr="00BF42B7">
        <w:rPr>
          <w:rFonts w:hint="eastAsia"/>
          <w:lang w:val="en-GB"/>
        </w:rPr>
        <w:t>和许多著述者</w:t>
      </w:r>
      <w:bookmarkStart w:id="241" w:name="_Ref453186776"/>
      <w:r w:rsidRPr="00BF42B7">
        <w:rPr>
          <w:color w:val="0000FF"/>
          <w:vertAlign w:val="superscript"/>
          <w:lang w:val="en-GB"/>
        </w:rPr>
        <w:footnoteReference w:id="1012"/>
      </w:r>
      <w:bookmarkEnd w:id="241"/>
      <w:r w:rsidRPr="00BF42B7">
        <w:rPr>
          <w:rFonts w:hint="eastAsia"/>
          <w:vertAlign w:val="superscript"/>
          <w:lang w:val="en-GB"/>
        </w:rPr>
        <w:t xml:space="preserve"> </w:t>
      </w:r>
      <w:r w:rsidRPr="00BF42B7">
        <w:rPr>
          <w:rFonts w:hint="eastAsia"/>
          <w:lang w:val="en-GB"/>
        </w:rPr>
        <w:t>都承认了这种可能性。的确，一个专家条约机构的声明不能引起或提及缔约国之间嗣后的某项协定或缔约国嗣后就条约解释确立的协定的某项实践，是没有理由的。</w:t>
      </w:r>
    </w:p>
    <w:p w:rsidR="003E31C7" w:rsidRPr="00BF42B7" w:rsidRDefault="003E31C7" w:rsidP="003E31C7">
      <w:pPr>
        <w:pStyle w:val="SingleTxtGC"/>
        <w:rPr>
          <w:lang w:val="en-GB"/>
        </w:rPr>
      </w:pPr>
      <w:r w:rsidRPr="00BF42B7">
        <w:rPr>
          <w:lang w:val="en-GB"/>
        </w:rPr>
        <w:t>(1</w:t>
      </w:r>
      <w:r w:rsidRPr="00BF42B7">
        <w:rPr>
          <w:rFonts w:hint="eastAsia"/>
          <w:lang w:val="en-GB"/>
        </w:rPr>
        <w:t>2</w:t>
      </w:r>
      <w:r w:rsidRPr="00BF42B7">
        <w:rPr>
          <w:lang w:val="en-GB"/>
        </w:rPr>
        <w:t>)</w:t>
      </w:r>
      <w:r w:rsidRPr="00BF42B7">
        <w:rPr>
          <w:rFonts w:hint="eastAsia"/>
          <w:lang w:val="en-GB"/>
        </w:rPr>
        <w:t xml:space="preserve"> </w:t>
      </w:r>
      <w:r w:rsidRPr="00BF42B7">
        <w:rPr>
          <w:lang w:val="en-GB"/>
        </w:rPr>
        <w:t xml:space="preserve"> </w:t>
      </w:r>
      <w:r w:rsidRPr="00BF42B7">
        <w:rPr>
          <w:rFonts w:hint="eastAsia"/>
          <w:lang w:val="en-GB"/>
        </w:rPr>
        <w:t>虽然一个专家条约机构的声明在原则上可引起嗣后的某项协定或缔约国本身嗣后在第三十一条第三款</w:t>
      </w:r>
      <w:r w:rsidRPr="00BF42B7">
        <w:rPr>
          <w:rFonts w:hint="eastAsia"/>
          <w:lang w:val="en-GB"/>
        </w:rPr>
        <w:t>(</w:t>
      </w:r>
      <w:r w:rsidRPr="00BF42B7">
        <w:t>a</w:t>
      </w:r>
      <w:r w:rsidRPr="00BF42B7">
        <w:rPr>
          <w:rFonts w:hint="eastAsia"/>
          <w:lang w:val="en-GB"/>
        </w:rPr>
        <w:t>)</w:t>
      </w:r>
      <w:r w:rsidRPr="00BF42B7">
        <w:rPr>
          <w:rFonts w:hint="eastAsia"/>
          <w:lang w:val="en-GB"/>
        </w:rPr>
        <w:t>项或</w:t>
      </w:r>
      <w:r w:rsidRPr="00BF42B7">
        <w:rPr>
          <w:rFonts w:hint="eastAsia"/>
          <w:lang w:val="en-GB"/>
        </w:rPr>
        <w:t>(</w:t>
      </w:r>
      <w:r w:rsidRPr="00BF42B7">
        <w:t>b</w:t>
      </w:r>
      <w:r w:rsidRPr="00BF42B7">
        <w:rPr>
          <w:rFonts w:hint="eastAsia"/>
          <w:lang w:val="en-GB"/>
        </w:rPr>
        <w:t>)</w:t>
      </w:r>
      <w:r w:rsidRPr="00BF42B7">
        <w:rPr>
          <w:rFonts w:hint="eastAsia"/>
          <w:lang w:val="en-GB"/>
        </w:rPr>
        <w:t>项下的某种实践，但在实际中这种结果的取得并不容易。在国际层面设立了专家条约机构的大多数条约具有很多缔约方。要想确定所有缔约方是否都明确或含蓄接受一个专家条约机构的某项特定声明表示对条约的一种特定解释，经常是困难的。</w:t>
      </w:r>
    </w:p>
    <w:p w:rsidR="003E31C7" w:rsidRPr="00BF42B7" w:rsidRDefault="003E31C7" w:rsidP="003E31C7">
      <w:pPr>
        <w:pStyle w:val="SingleTxtGC"/>
        <w:rPr>
          <w:lang w:val="en-GB"/>
        </w:rPr>
      </w:pPr>
      <w:bookmarkStart w:id="242" w:name="_Ref443061501"/>
      <w:bookmarkStart w:id="243" w:name="_Ref444849350"/>
      <w:r w:rsidRPr="00BF42B7">
        <w:rPr>
          <w:lang w:val="en-GB"/>
        </w:rPr>
        <w:t>(1</w:t>
      </w:r>
      <w:r w:rsidRPr="00BF42B7">
        <w:rPr>
          <w:rFonts w:hint="eastAsia"/>
          <w:lang w:val="en-GB"/>
        </w:rPr>
        <w:t>3</w:t>
      </w:r>
      <w:r w:rsidRPr="00BF42B7">
        <w:rPr>
          <w:lang w:val="en-GB"/>
        </w:rPr>
        <w:t>)</w:t>
      </w:r>
      <w:r w:rsidRPr="00BF42B7">
        <w:rPr>
          <w:rFonts w:hint="eastAsia"/>
          <w:lang w:val="en-GB"/>
        </w:rPr>
        <w:t xml:space="preserve"> </w:t>
      </w:r>
      <w:r w:rsidRPr="00BF42B7">
        <w:rPr>
          <w:lang w:val="en-GB"/>
        </w:rPr>
        <w:t xml:space="preserve"> </w:t>
      </w:r>
      <w:r w:rsidRPr="00BF42B7">
        <w:rPr>
          <w:rFonts w:hint="eastAsia"/>
          <w:lang w:val="en-GB"/>
        </w:rPr>
        <w:t>辨认反映在专家条约机构的声明中的缔约方之间就条约解释达成的协议的一种可能办法是，审视国际组织以及缔约方大会的决议。特别是联合国大会决议，可能明确或含蓄地提到专家条约机构的声明。例如，联大关于“反恐活动中保护人权和基本自由”的两项决议</w:t>
      </w:r>
      <w:r w:rsidRPr="00BF42B7">
        <w:rPr>
          <w:color w:val="0000FF"/>
          <w:vertAlign w:val="superscript"/>
          <w:lang w:val="en-GB"/>
        </w:rPr>
        <w:footnoteReference w:id="1013"/>
      </w:r>
      <w:r w:rsidRPr="00BF42B7">
        <w:rPr>
          <w:rFonts w:hint="eastAsia"/>
          <w:vertAlign w:val="superscript"/>
          <w:lang w:val="en-GB"/>
        </w:rPr>
        <w:t xml:space="preserve"> </w:t>
      </w:r>
      <w:r w:rsidRPr="00BF42B7">
        <w:rPr>
          <w:rFonts w:hint="eastAsia"/>
          <w:lang w:val="en-GB"/>
        </w:rPr>
        <w:t>就是这种情况，其中明确提到了人权事务委员会关于紧急状态期间《公约》条款减损的第</w:t>
      </w:r>
      <w:r w:rsidRPr="00BF42B7">
        <w:rPr>
          <w:lang w:val="en-GB"/>
        </w:rPr>
        <w:t>29(2001)</w:t>
      </w:r>
      <w:r w:rsidRPr="00BF42B7">
        <w:rPr>
          <w:rFonts w:hint="eastAsia"/>
          <w:lang w:val="en-GB"/>
        </w:rPr>
        <w:t>号一般性意见。</w:t>
      </w:r>
      <w:r w:rsidRPr="00BF42B7">
        <w:rPr>
          <w:color w:val="0000FF"/>
          <w:vertAlign w:val="superscript"/>
          <w:lang w:val="en-GB"/>
        </w:rPr>
        <w:footnoteReference w:id="1014"/>
      </w:r>
      <w:r w:rsidRPr="00BF42B7">
        <w:rPr>
          <w:lang w:val="en-GB"/>
        </w:rPr>
        <w:t xml:space="preserve"> </w:t>
      </w:r>
      <w:r w:rsidRPr="00BF42B7">
        <w:rPr>
          <w:rFonts w:hint="eastAsia"/>
          <w:lang w:val="en-GB"/>
        </w:rPr>
        <w:t>的两项决议都重申各国有义务在任何情况下尊重《公民权利和政治权利国际公约》下的某些权利，不得减损，并以第</w:t>
      </w:r>
      <w:r w:rsidRPr="00BF42B7">
        <w:rPr>
          <w:lang w:val="en-GB"/>
        </w:rPr>
        <w:t>29</w:t>
      </w:r>
      <w:r w:rsidRPr="00BF42B7">
        <w:rPr>
          <w:rFonts w:hint="eastAsia"/>
          <w:lang w:val="en-GB"/>
        </w:rPr>
        <w:t>号一般性意见解释和具体说明缔约国</w:t>
      </w:r>
      <w:r w:rsidRPr="00BF42B7">
        <w:rPr>
          <w:rFonts w:hint="eastAsia"/>
          <w:spacing w:val="-4"/>
          <w:lang w:val="en-GB"/>
        </w:rPr>
        <w:t>在《公约》第四条之下的义务时使用的措辞强调了减损的“例外和临时性质”。</w:t>
      </w:r>
      <w:r w:rsidRPr="00BF42B7">
        <w:rPr>
          <w:color w:val="0000FF"/>
          <w:vertAlign w:val="superscript"/>
          <w:lang w:val="en-GB"/>
        </w:rPr>
        <w:footnoteReference w:id="1015"/>
      </w:r>
      <w:r w:rsidRPr="00BF42B7">
        <w:rPr>
          <w:rFonts w:hint="eastAsia"/>
          <w:spacing w:val="-4"/>
          <w:lang w:val="en-GB"/>
        </w:rPr>
        <w:t xml:space="preserve"> </w:t>
      </w:r>
      <w:r w:rsidRPr="00BF42B7">
        <w:rPr>
          <w:rFonts w:hint="eastAsia"/>
          <w:lang w:val="en-GB"/>
        </w:rPr>
        <w:t>这两项决议未经表决获得通过；如果协商一致意见体现出所有缔约国接受上述声明所载的解释，则这些决议反映了第三十一条第三款</w:t>
      </w:r>
      <w:r w:rsidRPr="00BF42B7">
        <w:rPr>
          <w:rFonts w:hint="eastAsia"/>
          <w:lang w:val="en-GB"/>
        </w:rPr>
        <w:t>(</w:t>
      </w:r>
      <w:r w:rsidRPr="00BF42B7">
        <w:t>a</w:t>
      </w:r>
      <w:r w:rsidRPr="00BF42B7">
        <w:rPr>
          <w:rFonts w:hint="eastAsia"/>
          <w:lang w:val="en-GB"/>
        </w:rPr>
        <w:t>)</w:t>
      </w:r>
      <w:r w:rsidRPr="00BF42B7">
        <w:rPr>
          <w:rFonts w:hint="eastAsia"/>
          <w:lang w:val="en-GB"/>
        </w:rPr>
        <w:t>项或</w:t>
      </w:r>
      <w:r w:rsidRPr="00BF42B7">
        <w:rPr>
          <w:rFonts w:hint="eastAsia"/>
          <w:lang w:val="en-GB"/>
        </w:rPr>
        <w:t>(</w:t>
      </w:r>
      <w:r w:rsidRPr="00BF42B7">
        <w:t>b</w:t>
      </w:r>
      <w:r w:rsidRPr="00BF42B7">
        <w:rPr>
          <w:rFonts w:hint="eastAsia"/>
          <w:lang w:val="en-GB"/>
        </w:rPr>
        <w:t>)</w:t>
      </w:r>
      <w:r w:rsidRPr="00BF42B7">
        <w:rPr>
          <w:rFonts w:hint="eastAsia"/>
          <w:lang w:val="en-GB"/>
        </w:rPr>
        <w:t>项所称的嗣后协定。</w:t>
      </w:r>
      <w:r w:rsidRPr="00BF42B7">
        <w:rPr>
          <w:color w:val="0000FF"/>
          <w:vertAlign w:val="superscript"/>
          <w:lang w:val="en-GB"/>
        </w:rPr>
        <w:footnoteReference w:id="1016"/>
      </w:r>
    </w:p>
    <w:p w:rsidR="003E31C7" w:rsidRPr="00BF42B7" w:rsidRDefault="003E31C7" w:rsidP="003E31C7">
      <w:pPr>
        <w:pStyle w:val="SingleTxtGC"/>
        <w:rPr>
          <w:lang w:val="en-GB"/>
        </w:rPr>
      </w:pPr>
      <w:r w:rsidRPr="00BF42B7">
        <w:rPr>
          <w:lang w:val="en-GB"/>
        </w:rPr>
        <w:t>(1</w:t>
      </w:r>
      <w:r w:rsidRPr="00BF42B7">
        <w:rPr>
          <w:rFonts w:hint="eastAsia"/>
          <w:lang w:val="en-GB"/>
        </w:rPr>
        <w:t>4</w:t>
      </w:r>
      <w:r w:rsidRPr="00BF42B7">
        <w:rPr>
          <w:lang w:val="en-GB"/>
        </w:rPr>
        <w:t>)</w:t>
      </w:r>
      <w:r w:rsidRPr="00BF42B7">
        <w:rPr>
          <w:rFonts w:hint="eastAsia"/>
          <w:lang w:val="en-GB"/>
        </w:rPr>
        <w:t xml:space="preserve"> </w:t>
      </w:r>
      <w:r w:rsidRPr="00BF42B7">
        <w:rPr>
          <w:lang w:val="en-GB"/>
        </w:rPr>
        <w:t xml:space="preserve"> </w:t>
      </w:r>
      <w:r w:rsidRPr="00BF42B7">
        <w:rPr>
          <w:rFonts w:hint="eastAsia"/>
          <w:lang w:val="en-GB"/>
        </w:rPr>
        <w:t>经济、社会、文化权利委员会第</w:t>
      </w:r>
      <w:r w:rsidRPr="00BF42B7">
        <w:rPr>
          <w:lang w:val="en-GB"/>
        </w:rPr>
        <w:t>15(2002)</w:t>
      </w:r>
      <w:r w:rsidRPr="00BF42B7">
        <w:rPr>
          <w:rFonts w:hint="eastAsia"/>
          <w:lang w:val="en-GB"/>
        </w:rPr>
        <w:t>号一般性意见中的声明指出，《公约》第十一条和第十二条隐指与水有关的人权，</w:t>
      </w:r>
      <w:bookmarkStart w:id="244" w:name="_Ref455906554"/>
      <w:r w:rsidRPr="00BF42B7">
        <w:rPr>
          <w:color w:val="0000FF"/>
          <w:vertAlign w:val="superscript"/>
          <w:lang w:val="en-GB"/>
        </w:rPr>
        <w:footnoteReference w:id="1017"/>
      </w:r>
      <w:bookmarkEnd w:id="244"/>
      <w:r w:rsidRPr="00BF42B7">
        <w:rPr>
          <w:lang w:val="en-GB"/>
        </w:rPr>
        <w:t xml:space="preserve"> </w:t>
      </w:r>
      <w:r w:rsidRPr="00BF42B7">
        <w:rPr>
          <w:rFonts w:hint="eastAsia"/>
          <w:lang w:val="en-GB"/>
        </w:rPr>
        <w:t>这是反映缔约方可能借以达成协议的方式的另一个例子。在经过数年辩论之后，联大</w:t>
      </w:r>
      <w:r w:rsidRPr="00BF42B7">
        <w:rPr>
          <w:lang w:val="en-GB"/>
        </w:rPr>
        <w:t>2015</w:t>
      </w:r>
      <w:r w:rsidRPr="00BF42B7">
        <w:rPr>
          <w:rFonts w:hint="eastAsia"/>
          <w:lang w:val="en-GB"/>
        </w:rPr>
        <w:t>年</w:t>
      </w:r>
      <w:r w:rsidRPr="00BF42B7">
        <w:rPr>
          <w:lang w:val="en-GB"/>
        </w:rPr>
        <w:t>12</w:t>
      </w:r>
      <w:r w:rsidRPr="00BF42B7">
        <w:rPr>
          <w:rFonts w:hint="eastAsia"/>
          <w:lang w:val="en-GB"/>
        </w:rPr>
        <w:t>月</w:t>
      </w:r>
      <w:r w:rsidRPr="00BF42B7">
        <w:rPr>
          <w:lang w:val="en-GB"/>
        </w:rPr>
        <w:t>17</w:t>
      </w:r>
      <w:r w:rsidRPr="00BF42B7">
        <w:rPr>
          <w:rFonts w:hint="eastAsia"/>
          <w:lang w:val="en-GB"/>
        </w:rPr>
        <w:t>日未经表决通过了一项决议，使用经济、社会、文化权利委员会第</w:t>
      </w:r>
      <w:r w:rsidRPr="00BF42B7">
        <w:rPr>
          <w:lang w:val="en-GB"/>
        </w:rPr>
        <w:t>15</w:t>
      </w:r>
      <w:r w:rsidRPr="00BF42B7">
        <w:rPr>
          <w:rFonts w:hint="eastAsia"/>
          <w:lang w:val="en-GB"/>
        </w:rPr>
        <w:t>号一般性意见中为了解释获得安全饮用水的人权而采用的措辞界定了这项权利。</w:t>
      </w:r>
      <w:bookmarkStart w:id="245" w:name="_Ref455906684"/>
      <w:r w:rsidRPr="00BF42B7">
        <w:rPr>
          <w:color w:val="0000FF"/>
          <w:vertAlign w:val="superscript"/>
          <w:lang w:val="en-GB"/>
        </w:rPr>
        <w:footnoteReference w:id="1018"/>
      </w:r>
      <w:bookmarkEnd w:id="245"/>
      <w:r w:rsidRPr="00BF42B7">
        <w:rPr>
          <w:lang w:val="en-GB"/>
        </w:rPr>
        <w:t xml:space="preserve"> </w:t>
      </w:r>
      <w:r w:rsidRPr="00BF42B7">
        <w:rPr>
          <w:rFonts w:hint="eastAsia"/>
          <w:lang w:val="en-GB"/>
        </w:rPr>
        <w:t>该项决议可能指向第三十一条第三款</w:t>
      </w:r>
      <w:r w:rsidRPr="00BF42B7">
        <w:rPr>
          <w:rFonts w:hint="eastAsia"/>
          <w:lang w:val="en-GB"/>
        </w:rPr>
        <w:t>(</w:t>
      </w:r>
      <w:r w:rsidRPr="00BF42B7">
        <w:t>a</w:t>
      </w:r>
      <w:r w:rsidRPr="00BF42B7">
        <w:rPr>
          <w:rFonts w:hint="eastAsia"/>
          <w:lang w:val="en-GB"/>
        </w:rPr>
        <w:t>)</w:t>
      </w:r>
      <w:r w:rsidRPr="00BF42B7">
        <w:rPr>
          <w:rFonts w:hint="eastAsia"/>
          <w:lang w:val="en-GB"/>
        </w:rPr>
        <w:t>项或</w:t>
      </w:r>
      <w:r w:rsidRPr="00BF42B7">
        <w:rPr>
          <w:rFonts w:hint="eastAsia"/>
          <w:lang w:val="en-GB"/>
        </w:rPr>
        <w:t>(</w:t>
      </w:r>
      <w:r w:rsidRPr="00BF42B7">
        <w:t>b</w:t>
      </w:r>
      <w:r w:rsidRPr="00BF42B7">
        <w:rPr>
          <w:rFonts w:hint="eastAsia"/>
          <w:lang w:val="en-GB"/>
        </w:rPr>
        <w:t>)</w:t>
      </w:r>
      <w:r w:rsidRPr="00BF42B7">
        <w:rPr>
          <w:rFonts w:hint="eastAsia"/>
          <w:lang w:val="en-GB"/>
        </w:rPr>
        <w:t>项所称的协定，取决于协商一致意见是否体现出所有缔约方都接受该项声明中的解释。</w:t>
      </w:r>
      <w:bookmarkStart w:id="246" w:name="_Ref442894789"/>
      <w:bookmarkEnd w:id="242"/>
      <w:bookmarkEnd w:id="243"/>
      <w:r w:rsidRPr="00BF42B7">
        <w:rPr>
          <w:color w:val="0000FF"/>
          <w:vertAlign w:val="superscript"/>
          <w:lang w:val="en-GB"/>
        </w:rPr>
        <w:footnoteReference w:id="1019"/>
      </w:r>
      <w:bookmarkEnd w:id="246"/>
    </w:p>
    <w:p w:rsidR="003E31C7" w:rsidRPr="00BF42B7" w:rsidRDefault="003E31C7" w:rsidP="003E31C7">
      <w:pPr>
        <w:pStyle w:val="SingleTxtGC"/>
        <w:rPr>
          <w:lang w:val="fr-CH"/>
        </w:rPr>
      </w:pPr>
      <w:r w:rsidRPr="00BF42B7">
        <w:rPr>
          <w:rFonts w:hint="eastAsia"/>
          <w:lang w:val="fr-CH"/>
        </w:rPr>
        <w:t xml:space="preserve">(15)  </w:t>
      </w:r>
      <w:r w:rsidRPr="00BF42B7">
        <w:rPr>
          <w:rFonts w:hint="eastAsia"/>
          <w:lang w:val="fr-CH"/>
        </w:rPr>
        <w:t>大会其他决议明文提及专家条约机构的声明</w:t>
      </w:r>
      <w:r w:rsidRPr="00BF42B7">
        <w:rPr>
          <w:color w:val="0000FF"/>
          <w:vertAlign w:val="superscript"/>
          <w:lang w:val="fr-CH"/>
        </w:rPr>
        <w:footnoteReference w:id="1020"/>
      </w:r>
      <w:r w:rsidRPr="00BF42B7">
        <w:rPr>
          <w:rFonts w:hint="eastAsia"/>
          <w:lang w:val="fr-CH"/>
        </w:rPr>
        <w:t xml:space="preserve"> </w:t>
      </w:r>
      <w:r w:rsidRPr="00BF42B7">
        <w:rPr>
          <w:rFonts w:hint="eastAsia"/>
          <w:lang w:val="fr-CH"/>
        </w:rPr>
        <w:t>或呼吁国家考虑有关条约机构对相关条约执行情况的建议、评论和一般性意见。</w:t>
      </w:r>
      <w:r w:rsidRPr="00BF42B7">
        <w:rPr>
          <w:color w:val="0000FF"/>
          <w:vertAlign w:val="superscript"/>
          <w:lang w:val="zh-CN" w:eastAsia="en-GB"/>
        </w:rPr>
        <w:footnoteReference w:id="1021"/>
      </w:r>
      <w:r w:rsidRPr="00BF42B7">
        <w:rPr>
          <w:rFonts w:hint="eastAsia"/>
          <w:lang w:val="fr-CH"/>
        </w:rPr>
        <w:t xml:space="preserve"> </w:t>
      </w:r>
      <w:r w:rsidRPr="00BF42B7">
        <w:rPr>
          <w:rFonts w:hint="eastAsia"/>
          <w:lang w:val="fr-CH"/>
        </w:rPr>
        <w:t>缔约国会议的决议，以及《奥胡斯公约》遵约委员会的建议也可以这样做。</w:t>
      </w:r>
      <w:r w:rsidRPr="00BF42B7">
        <w:rPr>
          <w:color w:val="0000FF"/>
          <w:vertAlign w:val="superscript"/>
          <w:lang w:val="zh-CN" w:eastAsia="en-GB"/>
        </w:rPr>
        <w:footnoteReference w:id="1022"/>
      </w:r>
      <w:r w:rsidRPr="00BF42B7">
        <w:rPr>
          <w:rFonts w:hint="eastAsia"/>
          <w:lang w:val="fr-CH"/>
        </w:rPr>
        <w:t xml:space="preserve"> </w:t>
      </w:r>
      <w:r w:rsidRPr="00BF42B7">
        <w:rPr>
          <w:rFonts w:hint="eastAsia"/>
          <w:lang w:val="fr-CH"/>
        </w:rPr>
        <w:t>不过，在断定这类决议是否意味着第三十一条第三款</w:t>
      </w:r>
      <w:r w:rsidRPr="00BF42B7">
        <w:rPr>
          <w:rFonts w:hint="eastAsia"/>
          <w:lang w:val="fr-CH"/>
        </w:rPr>
        <w:t>(a)</w:t>
      </w:r>
      <w:r w:rsidRPr="00BF42B7">
        <w:rPr>
          <w:rFonts w:hint="eastAsia"/>
          <w:lang w:val="fr-CH"/>
        </w:rPr>
        <w:t>项或</w:t>
      </w:r>
      <w:r w:rsidRPr="00BF42B7">
        <w:rPr>
          <w:rFonts w:hint="eastAsia"/>
          <w:lang w:val="fr-CH"/>
        </w:rPr>
        <w:t>(b)</w:t>
      </w:r>
      <w:r w:rsidRPr="00BF42B7">
        <w:rPr>
          <w:rFonts w:hint="eastAsia"/>
          <w:lang w:val="fr-CH"/>
        </w:rPr>
        <w:t>项下的嗣后协定或嗣后惯例之前，必须谨慎对待这类决议。</w:t>
      </w:r>
    </w:p>
    <w:p w:rsidR="003E31C7" w:rsidRPr="00BF42B7" w:rsidRDefault="003E31C7" w:rsidP="003E31C7">
      <w:pPr>
        <w:pStyle w:val="SingleTxtGC"/>
        <w:rPr>
          <w:lang w:val="fr-CH"/>
        </w:rPr>
      </w:pPr>
      <w:r w:rsidRPr="00BF42B7">
        <w:rPr>
          <w:rFonts w:hint="eastAsia"/>
          <w:lang w:val="fr-CH"/>
        </w:rPr>
        <w:t xml:space="preserve">(16)  </w:t>
      </w:r>
      <w:r w:rsidRPr="00BF42B7">
        <w:rPr>
          <w:rFonts w:hint="eastAsia"/>
          <w:lang w:val="fr-CH"/>
        </w:rPr>
        <w:t>即使专家条约机构的声明不产生或提及确立条约所有缔约方一致意思的嗣后协定或嗣后惯例，也可以有助于识别第三十二条意义下、不确立这类一致意思的其他嗣后惯例。例如，人权理事会的一些决议提到了人权事务委员会或经济、社会及文化权利委员会的一般性意见。</w:t>
      </w:r>
      <w:r w:rsidRPr="00BF42B7">
        <w:rPr>
          <w:color w:val="0000FF"/>
          <w:vertAlign w:val="superscript"/>
          <w:lang w:val="zh-CN" w:eastAsia="en-GB"/>
        </w:rPr>
        <w:footnoteReference w:id="1023"/>
      </w:r>
      <w:r w:rsidRPr="00BF42B7">
        <w:rPr>
          <w:rFonts w:hint="eastAsia"/>
          <w:lang w:val="fr-CH"/>
        </w:rPr>
        <w:t xml:space="preserve"> </w:t>
      </w:r>
      <w:r w:rsidRPr="00BF42B7">
        <w:rPr>
          <w:rFonts w:hint="eastAsia"/>
          <w:lang w:val="fr-CH"/>
        </w:rPr>
        <w:t>即使人权理事会成员数目有限，这些决议也可以通过表明第三十二条意义下的其他嗣后惯例，有助于条约的解释。另一个例子涉及国际麻醉品管制局。</w:t>
      </w:r>
      <w:r w:rsidRPr="00BF42B7">
        <w:rPr>
          <w:rFonts w:eastAsia="Calibri"/>
          <w:color w:val="0000FF"/>
          <w:spacing w:val="5"/>
          <w:vertAlign w:val="superscript"/>
          <w:lang w:val="zh-CN"/>
        </w:rPr>
        <w:footnoteReference w:id="1024"/>
      </w:r>
      <w:r w:rsidRPr="00BF42B7">
        <w:rPr>
          <w:rFonts w:hint="eastAsia"/>
          <w:lang w:val="fr-CH"/>
        </w:rPr>
        <w:t xml:space="preserve"> </w:t>
      </w:r>
      <w:r w:rsidRPr="00BF42B7">
        <w:rPr>
          <w:rFonts w:hint="eastAsia"/>
          <w:lang w:val="fr-CH"/>
        </w:rPr>
        <w:t>一些国家通过反对麻管局关于设立所谓安全注射室以及其他减少危害措施的建议，</w:t>
      </w:r>
      <w:r w:rsidRPr="00BF42B7">
        <w:rPr>
          <w:rFonts w:eastAsia="Calibri"/>
          <w:color w:val="0000FF"/>
          <w:spacing w:val="5"/>
          <w:vertAlign w:val="superscript"/>
          <w:lang w:val="zh-CN"/>
        </w:rPr>
        <w:footnoteReference w:id="1025"/>
      </w:r>
      <w:r w:rsidRPr="00BF42B7">
        <w:rPr>
          <w:rFonts w:hint="eastAsia"/>
          <w:lang w:val="fr-CH"/>
        </w:rPr>
        <w:t xml:space="preserve"> </w:t>
      </w:r>
      <w:r w:rsidRPr="00BF42B7">
        <w:rPr>
          <w:rFonts w:hint="eastAsia"/>
          <w:lang w:val="fr-CH"/>
        </w:rPr>
        <w:t>批评麻管局过于死板地解释禁毒公约并越权行事，</w:t>
      </w:r>
      <w:r w:rsidRPr="00BF42B7">
        <w:rPr>
          <w:rFonts w:eastAsia="Calibri"/>
          <w:color w:val="0000FF"/>
          <w:spacing w:val="5"/>
          <w:vertAlign w:val="superscript"/>
          <w:lang w:val="zh-CN"/>
        </w:rPr>
        <w:footnoteReference w:id="1026"/>
      </w:r>
      <w:r w:rsidRPr="00BF42B7">
        <w:rPr>
          <w:rFonts w:hint="eastAsia"/>
          <w:lang w:val="fr-CH"/>
        </w:rPr>
        <w:t xml:space="preserve"> </w:t>
      </w:r>
      <w:r w:rsidRPr="00BF42B7">
        <w:rPr>
          <w:rFonts w:hint="eastAsia"/>
          <w:lang w:val="fr-CH"/>
        </w:rPr>
        <w:t>参与了第三十二条意义下的嗣后惯例。</w:t>
      </w:r>
    </w:p>
    <w:p w:rsidR="003E31C7" w:rsidRPr="00BF42B7" w:rsidRDefault="003E31C7" w:rsidP="003E31C7">
      <w:pPr>
        <w:pStyle w:val="SingleTxtGC"/>
        <w:rPr>
          <w:lang w:val="fr-CH"/>
        </w:rPr>
      </w:pPr>
      <w:r w:rsidRPr="00BF42B7">
        <w:rPr>
          <w:rFonts w:hint="eastAsia"/>
          <w:lang w:val="fr-CH"/>
        </w:rPr>
        <w:t xml:space="preserve">(17)  </w:t>
      </w:r>
      <w:r w:rsidRPr="00BF42B7">
        <w:rPr>
          <w:rFonts w:hint="eastAsia"/>
          <w:lang w:val="fr-CH"/>
        </w:rPr>
        <w:t>第</w:t>
      </w:r>
      <w:r w:rsidRPr="00BF42B7">
        <w:rPr>
          <w:rFonts w:hint="eastAsia"/>
          <w:lang w:val="fr-CH"/>
        </w:rPr>
        <w:t>3</w:t>
      </w:r>
      <w:r w:rsidRPr="00BF42B7">
        <w:rPr>
          <w:rFonts w:hint="eastAsia"/>
          <w:lang w:val="fr-CH"/>
        </w:rPr>
        <w:t>段第</w:t>
      </w:r>
      <w:r w:rsidRPr="00BF42B7">
        <w:rPr>
          <w:rFonts w:hint="eastAsia"/>
          <w:lang w:val="fr-CH"/>
        </w:rPr>
        <w:t>1</w:t>
      </w:r>
      <w:r w:rsidRPr="00BF42B7">
        <w:rPr>
          <w:rFonts w:hint="eastAsia"/>
          <w:lang w:val="fr-CH"/>
        </w:rPr>
        <w:t>句通过“可产生”和“或提及”这两个词限定了专家条约机构的声明可以如何与条约缔约方的嗣后协定和嗣后惯例相关。“可产生”这一表述涉及先有声明、而后出现惯例和可能的协定的情况。在这种情况下，声明可以作为缔约国嗣后惯例的催化剂。“提及”一词则涵盖先有缔约方的嗣后惯例和可能的嗣后协定、后有声明的情况，在这种情况下，声明只是指向这类协议或惯例。第</w:t>
      </w:r>
      <w:r w:rsidRPr="00BF42B7">
        <w:rPr>
          <w:rFonts w:hint="eastAsia"/>
          <w:lang w:val="fr-CH"/>
        </w:rPr>
        <w:t>3</w:t>
      </w:r>
      <w:r w:rsidRPr="00BF42B7">
        <w:rPr>
          <w:rFonts w:hint="eastAsia"/>
          <w:lang w:val="fr-CH"/>
        </w:rPr>
        <w:t>段用了“提及”而不是“反映”，是为了明确表示缔约方的任何嗣后惯例或协定并非包含于声明本身之中。不过，“提及”一词并不要求声明明文提及这类嗣后惯例或协定。</w:t>
      </w:r>
      <w:r w:rsidRPr="00BF42B7">
        <w:rPr>
          <w:color w:val="0000FF"/>
          <w:vertAlign w:val="superscript"/>
          <w:lang w:val="zh-CN"/>
        </w:rPr>
        <w:footnoteReference w:id="1027"/>
      </w:r>
    </w:p>
    <w:p w:rsidR="003E31C7" w:rsidRPr="00BF42B7" w:rsidRDefault="003E31C7" w:rsidP="003E31C7">
      <w:pPr>
        <w:pStyle w:val="H4GC"/>
        <w:rPr>
          <w:lang w:val="fr-CH"/>
        </w:rPr>
      </w:pPr>
      <w:r w:rsidRPr="00BF42B7">
        <w:rPr>
          <w:rFonts w:hint="eastAsia"/>
          <w:lang w:val="fr-CH"/>
        </w:rPr>
        <w:tab/>
      </w:r>
      <w:r w:rsidRPr="00BF42B7">
        <w:rPr>
          <w:rFonts w:hint="eastAsia"/>
          <w:lang w:val="fr-CH"/>
        </w:rPr>
        <w:tab/>
      </w:r>
      <w:r w:rsidRPr="00BF42B7">
        <w:rPr>
          <w:rFonts w:hint="eastAsia"/>
          <w:lang w:val="fr-CH"/>
        </w:rPr>
        <w:t>第</w:t>
      </w:r>
      <w:r w:rsidRPr="00BF42B7">
        <w:rPr>
          <w:rFonts w:hint="eastAsia"/>
          <w:lang w:val="fr-CH"/>
        </w:rPr>
        <w:t>3</w:t>
      </w:r>
      <w:r w:rsidRPr="00BF42B7">
        <w:rPr>
          <w:rFonts w:hint="eastAsia"/>
          <w:lang w:val="fr-CH"/>
        </w:rPr>
        <w:t>段第二句</w:t>
      </w:r>
      <w:r w:rsidRPr="00BF42B7">
        <w:rPr>
          <w:rFonts w:hint="eastAsia"/>
          <w:spacing w:val="-50"/>
        </w:rPr>
        <w:t>―</w:t>
      </w:r>
      <w:r w:rsidRPr="00BF42B7">
        <w:rPr>
          <w:rFonts w:hint="eastAsia"/>
        </w:rPr>
        <w:t>―</w:t>
      </w:r>
      <w:r w:rsidRPr="00BF42B7">
        <w:rPr>
          <w:rFonts w:hint="eastAsia"/>
          <w:lang w:val="fr-CH"/>
        </w:rPr>
        <w:t>沉默不应推定为接受</w:t>
      </w:r>
    </w:p>
    <w:p w:rsidR="003E31C7" w:rsidRPr="00BF42B7" w:rsidRDefault="003E31C7" w:rsidP="003E31C7">
      <w:pPr>
        <w:pStyle w:val="SingleTxtGC"/>
        <w:rPr>
          <w:lang w:val="fr-CH"/>
        </w:rPr>
      </w:pPr>
      <w:r w:rsidRPr="00BF42B7">
        <w:rPr>
          <w:rFonts w:hint="eastAsia"/>
          <w:lang w:val="fr-CH"/>
        </w:rPr>
        <w:t xml:space="preserve">(18)  </w:t>
      </w:r>
      <w:r w:rsidRPr="00BF42B7">
        <w:rPr>
          <w:rFonts w:hint="eastAsia"/>
          <w:lang w:val="fr-CH"/>
        </w:rPr>
        <w:t>通常，只有当没有异议可以视为保持沉默的缔约国的同意时，才能认为条约所有缔约方，甚至只是大部分缔约方对声明中表述的解释达成一致意见。结论草案</w:t>
      </w:r>
      <w:r w:rsidRPr="00BF42B7">
        <w:rPr>
          <w:rFonts w:hint="eastAsia"/>
          <w:lang w:val="fr-CH"/>
        </w:rPr>
        <w:t>10 [9]</w:t>
      </w:r>
      <w:r w:rsidRPr="00BF42B7">
        <w:rPr>
          <w:rFonts w:hint="eastAsia"/>
          <w:lang w:val="fr-CH"/>
        </w:rPr>
        <w:t>第</w:t>
      </w:r>
      <w:r w:rsidRPr="00BF42B7">
        <w:rPr>
          <w:rFonts w:hint="eastAsia"/>
          <w:lang w:val="fr-CH"/>
        </w:rPr>
        <w:t>2</w:t>
      </w:r>
      <w:r w:rsidRPr="00BF42B7">
        <w:rPr>
          <w:rFonts w:hint="eastAsia"/>
          <w:lang w:val="fr-CH"/>
        </w:rPr>
        <w:t>段作为一般规则规定：“在有关情况要求作出某种反应时，一个或多个缔约方的沉默可构成对嗣后惯例的接受。”</w:t>
      </w:r>
      <w:r w:rsidRPr="00BF42B7">
        <w:rPr>
          <w:color w:val="0000FF"/>
          <w:vertAlign w:val="superscript"/>
          <w:lang w:val="zh-CN"/>
        </w:rPr>
        <w:footnoteReference w:id="1028"/>
      </w:r>
      <w:r w:rsidRPr="00BF42B7">
        <w:rPr>
          <w:rFonts w:hint="eastAsia"/>
          <w:lang w:val="fr-CH"/>
        </w:rPr>
        <w:t xml:space="preserve"> </w:t>
      </w:r>
      <w:r w:rsidRPr="00BF42B7">
        <w:rPr>
          <w:rFonts w:hint="eastAsia"/>
          <w:lang w:val="fr-CH"/>
        </w:rPr>
        <w:t>第</w:t>
      </w:r>
      <w:r w:rsidRPr="00BF42B7">
        <w:rPr>
          <w:rFonts w:hint="eastAsia"/>
          <w:lang w:val="fr-CH"/>
        </w:rPr>
        <w:t>3</w:t>
      </w:r>
      <w:r w:rsidRPr="00BF42B7">
        <w:rPr>
          <w:rFonts w:hint="eastAsia"/>
          <w:lang w:val="fr-CH"/>
        </w:rPr>
        <w:t>段第</w:t>
      </w:r>
      <w:r w:rsidRPr="00BF42B7">
        <w:rPr>
          <w:rFonts w:hint="eastAsia"/>
          <w:lang w:val="fr-CH"/>
        </w:rPr>
        <w:t>2</w:t>
      </w:r>
      <w:r w:rsidRPr="00BF42B7">
        <w:rPr>
          <w:rFonts w:hint="eastAsia"/>
          <w:lang w:val="fr-CH"/>
        </w:rPr>
        <w:t>句不是要确认上述一般规则的例外情况，而是为了对典型的专家机构声明阐明和适用该一般规则。</w:t>
      </w:r>
    </w:p>
    <w:p w:rsidR="003E31C7" w:rsidRPr="00BF42B7" w:rsidRDefault="003E31C7" w:rsidP="003E31C7">
      <w:pPr>
        <w:pStyle w:val="SingleTxtGC"/>
        <w:rPr>
          <w:lang w:val="fr-CH"/>
        </w:rPr>
      </w:pPr>
      <w:r w:rsidRPr="00BF42B7">
        <w:rPr>
          <w:rFonts w:hint="eastAsia"/>
          <w:lang w:val="fr-CH"/>
        </w:rPr>
        <w:t xml:space="preserve">(19)  </w:t>
      </w:r>
      <w:r w:rsidRPr="00BF42B7">
        <w:rPr>
          <w:rFonts w:hint="eastAsia"/>
          <w:lang w:val="fr-CH"/>
        </w:rPr>
        <w:t>这尤其意味着，通常不能指望缔约国就专家条约机构的每一项声明表明立场，不论是针对另一个国家的声明，还是针对所有国家的普遍声明。</w:t>
      </w:r>
      <w:r w:rsidRPr="00BF42B7">
        <w:rPr>
          <w:color w:val="0000FF"/>
          <w:vertAlign w:val="superscript"/>
          <w:lang w:val="zh-CN" w:eastAsia="en-GB"/>
        </w:rPr>
        <w:footnoteReference w:id="1029"/>
      </w:r>
      <w:r w:rsidRPr="00BF42B7">
        <w:rPr>
          <w:rFonts w:hint="eastAsia"/>
          <w:lang w:val="fr-CH"/>
        </w:rPr>
        <w:t xml:space="preserve"> </w:t>
      </w:r>
      <w:r w:rsidRPr="00BF42B7">
        <w:rPr>
          <w:rFonts w:hint="eastAsia"/>
          <w:lang w:val="fr-CH"/>
        </w:rPr>
        <w:t>另一方面，根据某些条约规定的合作义务，缔约国可能有义务对专家条约机构专门针对它们的声明</w:t>
      </w:r>
      <w:r w:rsidRPr="00BF42B7">
        <w:rPr>
          <w:color w:val="0000FF"/>
          <w:vertAlign w:val="superscript"/>
          <w:lang w:val="zh-CN" w:eastAsia="en-GB"/>
        </w:rPr>
        <w:footnoteReference w:id="1030"/>
      </w:r>
      <w:r w:rsidRPr="00BF42B7">
        <w:rPr>
          <w:rFonts w:hint="eastAsia"/>
          <w:lang w:val="fr-CH"/>
        </w:rPr>
        <w:t xml:space="preserve"> </w:t>
      </w:r>
      <w:r w:rsidRPr="00BF42B7">
        <w:rPr>
          <w:rFonts w:hint="eastAsia"/>
          <w:lang w:val="fr-CH"/>
        </w:rPr>
        <w:t>或关于其行为的单独来文加以考虑并作出反应。</w:t>
      </w:r>
      <w:r w:rsidRPr="00BF42B7">
        <w:rPr>
          <w:color w:val="0000FF"/>
          <w:vertAlign w:val="superscript"/>
          <w:lang w:val="zh-CN" w:eastAsia="en-GB"/>
        </w:rPr>
        <w:footnoteReference w:id="1031"/>
      </w:r>
    </w:p>
    <w:p w:rsidR="003E31C7" w:rsidRPr="00BF42B7" w:rsidRDefault="003E31C7" w:rsidP="003E31C7">
      <w:pPr>
        <w:pStyle w:val="H4GC"/>
      </w:pPr>
      <w:r w:rsidRPr="00BF42B7">
        <w:rPr>
          <w:rFonts w:hint="eastAsia"/>
        </w:rPr>
        <w:tab/>
      </w:r>
      <w:r w:rsidRPr="00BF42B7">
        <w:rPr>
          <w:rFonts w:hint="eastAsia"/>
        </w:rPr>
        <w:tab/>
      </w:r>
      <w:r w:rsidRPr="00BF42B7">
        <w:rPr>
          <w:rFonts w:hint="eastAsia"/>
        </w:rPr>
        <w:t>第</w:t>
      </w:r>
      <w:r w:rsidRPr="00BF42B7">
        <w:rPr>
          <w:rFonts w:hint="eastAsia"/>
        </w:rPr>
        <w:t>4</w:t>
      </w:r>
      <w:r w:rsidRPr="00BF42B7">
        <w:rPr>
          <w:rFonts w:hint="eastAsia"/>
        </w:rPr>
        <w:t>段</w:t>
      </w:r>
      <w:r w:rsidRPr="00BF42B7">
        <w:rPr>
          <w:rFonts w:hint="eastAsia"/>
          <w:spacing w:val="-50"/>
        </w:rPr>
        <w:t>―</w:t>
      </w:r>
      <w:r w:rsidRPr="00BF42B7">
        <w:rPr>
          <w:rFonts w:hint="eastAsia"/>
        </w:rPr>
        <w:t>―不妨碍其他贡献</w:t>
      </w:r>
    </w:p>
    <w:p w:rsidR="003E31C7" w:rsidRPr="00BF42B7" w:rsidRDefault="003E31C7" w:rsidP="003E31C7">
      <w:pPr>
        <w:pStyle w:val="SingleTxtGC"/>
      </w:pPr>
      <w:r w:rsidRPr="00BF42B7">
        <w:t>(2</w:t>
      </w:r>
      <w:r w:rsidRPr="00BF42B7">
        <w:rPr>
          <w:rFonts w:hint="eastAsia"/>
        </w:rPr>
        <w:t>0</w:t>
      </w:r>
      <w:r w:rsidRPr="00BF42B7">
        <w:t>)</w:t>
      </w:r>
      <w:r w:rsidRPr="00BF42B7">
        <w:rPr>
          <w:rFonts w:hint="eastAsia"/>
        </w:rPr>
        <w:t xml:space="preserve">  </w:t>
      </w:r>
      <w:r w:rsidRPr="00BF42B7">
        <w:t>除了可能产生或提及第三十一条第三款</w:t>
      </w:r>
      <w:r w:rsidRPr="00BF42B7">
        <w:t>(a)</w:t>
      </w:r>
      <w:r w:rsidRPr="00BF42B7">
        <w:t>项和</w:t>
      </w:r>
      <w:r w:rsidRPr="00BF42B7">
        <w:t>(b)</w:t>
      </w:r>
      <w:r w:rsidRPr="00BF42B7">
        <w:t>项及第三十二条所称的缔约方本身的嗣后协定或嗣后惯例，专家条约机构的声明还可能以其他方式有助于条约的解释，从而对条约的解释具有意义。第</w:t>
      </w:r>
      <w:r w:rsidRPr="00BF42B7">
        <w:t>4</w:t>
      </w:r>
      <w:r w:rsidRPr="00BF42B7">
        <w:t>段以</w:t>
      </w:r>
      <w:r w:rsidRPr="00BF42B7">
        <w:rPr>
          <w:rFonts w:hint="eastAsia"/>
        </w:rPr>
        <w:t>“</w:t>
      </w:r>
      <w:r w:rsidRPr="00BF42B7">
        <w:t>不妨碍</w:t>
      </w:r>
      <w:r w:rsidRPr="00BF42B7">
        <w:rPr>
          <w:rFonts w:hint="eastAsia"/>
        </w:rPr>
        <w:t>”</w:t>
      </w:r>
      <w:r w:rsidRPr="00BF42B7">
        <w:t>条款处理了这种可能。然而，使用</w:t>
      </w:r>
      <w:r w:rsidRPr="00BF42B7">
        <w:rPr>
          <w:rFonts w:hint="eastAsia"/>
        </w:rPr>
        <w:t>“</w:t>
      </w:r>
      <w:r w:rsidRPr="00BF42B7">
        <w:t>以其他方式</w:t>
      </w:r>
      <w:r w:rsidRPr="00BF42B7">
        <w:rPr>
          <w:rFonts w:hint="eastAsia"/>
        </w:rPr>
        <w:t>”</w:t>
      </w:r>
      <w:r w:rsidRPr="00BF42B7">
        <w:t>一词，并不是因为委员会认为专家条约机构对条约解释的帮助不及第</w:t>
      </w:r>
      <w:r w:rsidRPr="00BF42B7">
        <w:t>3</w:t>
      </w:r>
      <w:r w:rsidRPr="00BF42B7">
        <w:t>段所述其他资料重要。</w:t>
      </w:r>
    </w:p>
    <w:p w:rsidR="003E31C7" w:rsidRPr="00BF42B7" w:rsidRDefault="003E31C7" w:rsidP="003E31C7">
      <w:pPr>
        <w:pStyle w:val="SingleTxtGC"/>
      </w:pPr>
      <w:r w:rsidRPr="00BF42B7">
        <w:rPr>
          <w:rFonts w:hint="eastAsia"/>
        </w:rPr>
        <w:t xml:space="preserve">(21)  </w:t>
      </w:r>
      <w:r w:rsidRPr="00BF42B7">
        <w:t>国际法院已经确认，尤其是在艾哈迈杜</w:t>
      </w:r>
      <w:r w:rsidRPr="00BF42B7">
        <w:rPr>
          <w:rFonts w:hint="eastAsia"/>
        </w:rPr>
        <w:t>·</w:t>
      </w:r>
      <w:r w:rsidRPr="00BF42B7">
        <w:t>萨迪奥</w:t>
      </w:r>
      <w:r w:rsidRPr="00BF42B7">
        <w:rPr>
          <w:rFonts w:hint="eastAsia"/>
        </w:rPr>
        <w:t>·</w:t>
      </w:r>
      <w:r w:rsidRPr="00BF42B7">
        <w:t>迪亚洛案中确认，人权事务委员会的声明对于解释《公民权利和政治权利国际公约》具有意义，无论此类声明是否产生或提及第三十一条第三款所称的缔约方协定：</w:t>
      </w:r>
    </w:p>
    <w:p w:rsidR="003E31C7" w:rsidRPr="00BF42B7" w:rsidRDefault="003E31C7" w:rsidP="003E31C7">
      <w:pPr>
        <w:pStyle w:val="SingleTxtGC"/>
        <w:ind w:left="1554"/>
      </w:pPr>
      <w:r w:rsidRPr="00BF42B7">
        <w:rPr>
          <w:rFonts w:hint="eastAsia"/>
        </w:rPr>
        <w:t>“</w:t>
      </w:r>
      <w:r w:rsidRPr="00BF42B7">
        <w:t>自设立以来，人权事务委员会已积累了大量解释性案例法，主要是就其收到的针对《第一任择议定书》缔约国的个人来文做出的调查结果，以及以</w:t>
      </w:r>
      <w:r w:rsidRPr="00BF42B7">
        <w:rPr>
          <w:rFonts w:hint="eastAsia"/>
        </w:rPr>
        <w:t>“</w:t>
      </w:r>
      <w:r w:rsidRPr="00BF42B7">
        <w:t>一般性意见</w:t>
      </w:r>
      <w:r w:rsidRPr="00BF42B7">
        <w:rPr>
          <w:rFonts w:hint="eastAsia"/>
        </w:rPr>
        <w:t>”</w:t>
      </w:r>
      <w:r w:rsidRPr="00BF42B7">
        <w:t>的形式。</w:t>
      </w:r>
    </w:p>
    <w:p w:rsidR="003E31C7" w:rsidRPr="00BF42B7" w:rsidRDefault="003E31C7" w:rsidP="003E31C7">
      <w:pPr>
        <w:pStyle w:val="SingleTxtGC"/>
        <w:ind w:left="1554"/>
      </w:pPr>
      <w:r w:rsidRPr="00BF42B7">
        <w:rPr>
          <w:rFonts w:hint="eastAsia"/>
        </w:rPr>
        <w:t>“</w:t>
      </w:r>
      <w:r w:rsidRPr="00BF42B7">
        <w:t>虽然本院在行使其司法职能时绝无义务以委员会的解释作为自己对《公约》的解释的模式，但本院认为，应极为重视为监督该条约的适用而专门设立的这一独立机构所做的解释。</w:t>
      </w:r>
      <w:r w:rsidRPr="00BF42B7">
        <w:rPr>
          <w:rFonts w:hint="eastAsia"/>
        </w:rPr>
        <w:t>”</w:t>
      </w:r>
      <w:r w:rsidRPr="00BF42B7">
        <w:rPr>
          <w:color w:val="0000FF"/>
          <w:vertAlign w:val="superscript"/>
          <w:lang w:eastAsia="en-GB"/>
        </w:rPr>
        <w:footnoteReference w:id="1032"/>
      </w:r>
    </w:p>
    <w:p w:rsidR="00756819" w:rsidRDefault="00756819">
      <w:pPr>
        <w:tabs>
          <w:tab w:val="clear" w:pos="431"/>
        </w:tabs>
        <w:overflowPunct/>
        <w:adjustRightInd/>
        <w:snapToGrid/>
        <w:spacing w:line="240" w:lineRule="auto"/>
        <w:jc w:val="left"/>
      </w:pPr>
      <w:r>
        <w:br w:type="page"/>
      </w:r>
    </w:p>
    <w:p w:rsidR="003E31C7" w:rsidRPr="00BF42B7" w:rsidRDefault="003E31C7" w:rsidP="003E31C7">
      <w:pPr>
        <w:pStyle w:val="SingleTxtGC"/>
      </w:pPr>
      <w:r w:rsidRPr="00BF42B7">
        <w:rPr>
          <w:rFonts w:hint="eastAsia"/>
        </w:rPr>
        <w:t xml:space="preserve">(22)  </w:t>
      </w:r>
      <w:r w:rsidRPr="00BF42B7">
        <w:t>区域人权法院也曾使用专家条约机构的声明，帮助解释其被要求适用的条约。</w:t>
      </w:r>
      <w:bookmarkStart w:id="247" w:name="_Ref453230705"/>
      <w:r w:rsidRPr="00BF42B7">
        <w:rPr>
          <w:color w:val="0000FF"/>
          <w:vertAlign w:val="superscript"/>
        </w:rPr>
        <w:footnoteReference w:id="1033"/>
      </w:r>
      <w:bookmarkEnd w:id="247"/>
      <w:r w:rsidRPr="00BF42B7">
        <w:t xml:space="preserve"> </w:t>
      </w:r>
      <w:r w:rsidRPr="00BF42B7">
        <w:t>许多国内法院认为，人权条约所设专家条约机构的声明，虽然本身不具法律约束力</w:t>
      </w:r>
      <w:bookmarkStart w:id="248" w:name="_Ref453230622"/>
      <w:r w:rsidRPr="00BF42B7">
        <w:t>，</w:t>
      </w:r>
      <w:bookmarkEnd w:id="248"/>
      <w:r w:rsidRPr="00BF42B7">
        <w:rPr>
          <w:color w:val="0000FF"/>
          <w:vertAlign w:val="superscript"/>
          <w:lang w:eastAsia="en-GB"/>
        </w:rPr>
        <w:footnoteReference w:id="1034"/>
      </w:r>
      <w:r w:rsidRPr="00BF42B7">
        <w:t xml:space="preserve"> </w:t>
      </w:r>
      <w:r w:rsidRPr="00BF42B7">
        <w:t>但是</w:t>
      </w:r>
      <w:r w:rsidRPr="00BF42B7">
        <w:rPr>
          <w:rFonts w:hint="eastAsia"/>
        </w:rPr>
        <w:t>“</w:t>
      </w:r>
      <w:r w:rsidRPr="00BF42B7">
        <w:t>在确定相关权利的含义和确定违约行为时，值得给予相当的重视</w:t>
      </w:r>
      <w:r w:rsidRPr="00BF42B7">
        <w:rPr>
          <w:rFonts w:hint="eastAsia"/>
        </w:rPr>
        <w:t>”</w:t>
      </w:r>
      <w:bookmarkStart w:id="249" w:name="_Ref453230997"/>
      <w:r w:rsidRPr="00BF42B7">
        <w:t>。</w:t>
      </w:r>
      <w:bookmarkStart w:id="250" w:name="_Ref461977616"/>
      <w:bookmarkEnd w:id="249"/>
      <w:r w:rsidRPr="00BF42B7">
        <w:rPr>
          <w:color w:val="0000FF"/>
          <w:vertAlign w:val="superscript"/>
        </w:rPr>
        <w:footnoteReference w:id="1035"/>
      </w:r>
      <w:bookmarkEnd w:id="250"/>
      <w:r w:rsidRPr="00BF42B7">
        <w:t xml:space="preserve"> </w:t>
      </w:r>
    </w:p>
    <w:p w:rsidR="003E31C7" w:rsidRPr="00BF42B7" w:rsidRDefault="003E31C7" w:rsidP="003E31C7">
      <w:pPr>
        <w:pStyle w:val="SingleTxtGC"/>
      </w:pPr>
      <w:r w:rsidRPr="00BF42B7">
        <w:rPr>
          <w:rFonts w:hint="eastAsia"/>
        </w:rPr>
        <w:t xml:space="preserve">(23)  </w:t>
      </w:r>
      <w:r w:rsidRPr="00BF42B7">
        <w:t>国际法委员会本身在《对条约的保留实践指南》</w:t>
      </w:r>
      <w:bookmarkStart w:id="251" w:name="_Ref453230720"/>
      <w:r w:rsidRPr="00BF42B7">
        <w:rPr>
          <w:color w:val="0000FF"/>
          <w:vertAlign w:val="superscript"/>
          <w:lang w:eastAsia="en-GB"/>
        </w:rPr>
        <w:footnoteReference w:id="1036"/>
      </w:r>
      <w:bookmarkEnd w:id="251"/>
      <w:r w:rsidRPr="00BF42B7">
        <w:rPr>
          <w:rFonts w:hint="eastAsia"/>
        </w:rPr>
        <w:t xml:space="preserve"> </w:t>
      </w:r>
      <w:r w:rsidRPr="00BF42B7">
        <w:rPr>
          <w:rFonts w:hint="eastAsia"/>
        </w:rPr>
        <w:t>的评注</w:t>
      </w:r>
      <w:r w:rsidRPr="00BF42B7">
        <w:t>中论述了人权条约所设专家条约机构的声明</w:t>
      </w:r>
      <w:r w:rsidRPr="00BF42B7">
        <w:rPr>
          <w:rFonts w:hint="eastAsia"/>
        </w:rPr>
        <w:t>对于保留所具有的</w:t>
      </w:r>
      <w:r w:rsidRPr="00BF42B7">
        <w:t>意义问题。</w:t>
      </w:r>
      <w:r w:rsidRPr="00BF42B7">
        <w:rPr>
          <w:color w:val="0000FF"/>
          <w:vertAlign w:val="superscript"/>
        </w:rPr>
        <w:footnoteReference w:id="1037"/>
      </w:r>
    </w:p>
    <w:p w:rsidR="003E31C7" w:rsidRPr="00BF42B7" w:rsidRDefault="003E31C7" w:rsidP="003E31C7">
      <w:pPr>
        <w:pStyle w:val="SingleTxtGC"/>
      </w:pPr>
      <w:r w:rsidRPr="00BF42B7">
        <w:rPr>
          <w:rFonts w:hint="eastAsia"/>
        </w:rPr>
        <w:t xml:space="preserve">(24)  </w:t>
      </w:r>
      <w:r w:rsidRPr="00BF42B7">
        <w:rPr>
          <w:rFonts w:hint="eastAsia"/>
        </w:rPr>
        <w:t>各个法院的判决并没有总是充分解释</w:t>
      </w:r>
      <w:r w:rsidRPr="00BF42B7">
        <w:t>专家条约机构的声明对于条约解释的意义，无论是按照《维也纳公约》的解释规则，还是以其他方式解释。</w:t>
      </w:r>
      <w:bookmarkStart w:id="252" w:name="_Ref453231032"/>
      <w:r w:rsidRPr="00BF42B7">
        <w:rPr>
          <w:color w:val="0000FF"/>
          <w:vertAlign w:val="superscript"/>
          <w:lang w:eastAsia="en-GB"/>
        </w:rPr>
        <w:footnoteReference w:id="1038"/>
      </w:r>
      <w:bookmarkEnd w:id="252"/>
      <w:r w:rsidRPr="00BF42B7">
        <w:t xml:space="preserve"> </w:t>
      </w:r>
      <w:r w:rsidRPr="00BF42B7">
        <w:t>委员会考虑了以下备选办法</w:t>
      </w:r>
      <w:r w:rsidRPr="00BF42B7">
        <w:rPr>
          <w:rFonts w:hint="eastAsia"/>
        </w:rPr>
        <w:t>(</w:t>
      </w:r>
      <w:r w:rsidRPr="00BF42B7">
        <w:rPr>
          <w:rFonts w:hint="eastAsia"/>
        </w:rPr>
        <w:t>下文第</w:t>
      </w:r>
      <w:r w:rsidRPr="00BF42B7">
        <w:rPr>
          <w:rFonts w:hint="eastAsia"/>
        </w:rPr>
        <w:t>(25)</w:t>
      </w:r>
      <w:r w:rsidRPr="00BF42B7">
        <w:rPr>
          <w:rFonts w:hint="eastAsia"/>
        </w:rPr>
        <w:t>和第</w:t>
      </w:r>
      <w:r w:rsidRPr="00BF42B7">
        <w:rPr>
          <w:rFonts w:hint="eastAsia"/>
        </w:rPr>
        <w:t>(26)</w:t>
      </w:r>
      <w:r w:rsidRPr="00BF42B7">
        <w:rPr>
          <w:rFonts w:hint="eastAsia"/>
        </w:rPr>
        <w:t>段</w:t>
      </w:r>
      <w:r w:rsidRPr="00BF42B7">
        <w:rPr>
          <w:rFonts w:hint="eastAsia"/>
        </w:rPr>
        <w:t>)</w:t>
      </w:r>
      <w:r w:rsidRPr="00BF42B7">
        <w:t>。</w:t>
      </w:r>
    </w:p>
    <w:p w:rsidR="003E31C7" w:rsidRPr="00BF42B7" w:rsidRDefault="003E31C7" w:rsidP="003E31C7">
      <w:pPr>
        <w:pStyle w:val="SingleTxtGC"/>
      </w:pPr>
      <w:r w:rsidRPr="00BF42B7">
        <w:rPr>
          <w:rFonts w:hint="eastAsia"/>
        </w:rPr>
        <w:t xml:space="preserve">(25)  </w:t>
      </w:r>
      <w:r w:rsidRPr="00BF42B7">
        <w:t>一些委员认为，专家条约机构的声明是一种可能有助于条约解释的惯例，他们依据的是，除其他外，关于</w:t>
      </w:r>
      <w:r w:rsidRPr="00BF42B7">
        <w:rPr>
          <w:rFonts w:hint="eastAsia"/>
        </w:rPr>
        <w:t>“</w:t>
      </w:r>
      <w:r w:rsidRPr="00BF42B7">
        <w:t>在巴勒斯坦被占领土修建隔离墙的法律后果</w:t>
      </w:r>
      <w:r w:rsidRPr="00BF42B7">
        <w:rPr>
          <w:rFonts w:hint="eastAsia"/>
        </w:rPr>
        <w:t>”</w:t>
      </w:r>
      <w:r w:rsidRPr="00BF42B7">
        <w:t>的咨询意见。国际法院在这份咨询意见中提及</w:t>
      </w:r>
      <w:r w:rsidRPr="00BF42B7">
        <w:rPr>
          <w:rFonts w:hint="eastAsia"/>
        </w:rPr>
        <w:t>“</w:t>
      </w:r>
      <w:r w:rsidRPr="00BF42B7">
        <w:t>人权事务委员会的一贯做法</w:t>
      </w:r>
      <w:r w:rsidRPr="00BF42B7">
        <w:rPr>
          <w:rFonts w:hint="eastAsia"/>
        </w:rPr>
        <w:t>”</w:t>
      </w:r>
      <w:r w:rsidRPr="00BF42B7">
        <w:t>，以支持法院对《公民权利和政治权利国际公约》一项条款的解释。</w:t>
      </w:r>
      <w:r w:rsidRPr="00BF42B7">
        <w:rPr>
          <w:color w:val="0000FF"/>
          <w:vertAlign w:val="superscript"/>
          <w:lang w:eastAsia="en-GB"/>
        </w:rPr>
        <w:footnoteReference w:id="1039"/>
      </w:r>
      <w:r w:rsidRPr="00BF42B7">
        <w:t xml:space="preserve"> </w:t>
      </w:r>
      <w:r w:rsidRPr="00BF42B7">
        <w:t>这些委员认为，国际法院和国内法院使用专家条约机构的声明，主要是以第三十二条在描述补充的解释资料时所采取的酌情处理的方式。</w:t>
      </w:r>
      <w:r w:rsidRPr="00BF42B7">
        <w:rPr>
          <w:color w:val="0000FF"/>
          <w:vertAlign w:val="superscript"/>
        </w:rPr>
        <w:footnoteReference w:id="1040"/>
      </w:r>
      <w:r w:rsidRPr="00BF42B7">
        <w:t xml:space="preserve"> </w:t>
      </w:r>
      <w:r w:rsidRPr="00BF42B7">
        <w:t>此外，专家条约机构的声明作为条约下的惯例，还能</w:t>
      </w:r>
      <w:r w:rsidRPr="00BF42B7">
        <w:rPr>
          <w:rFonts w:hint="eastAsia"/>
        </w:rPr>
        <w:t>“</w:t>
      </w:r>
      <w:r w:rsidRPr="00BF42B7">
        <w:t>有助于确定术语在其上下文并参照条约目的和宗旨的一般含义</w:t>
      </w:r>
      <w:r w:rsidRPr="00BF42B7">
        <w:rPr>
          <w:rFonts w:hint="eastAsia"/>
        </w:rPr>
        <w:t>”</w:t>
      </w:r>
      <w:r w:rsidRPr="00BF42B7">
        <w:t>。</w:t>
      </w:r>
      <w:r w:rsidRPr="00BF42B7">
        <w:rPr>
          <w:color w:val="0000FF"/>
          <w:vertAlign w:val="superscript"/>
        </w:rPr>
        <w:footnoteReference w:id="1041"/>
      </w:r>
      <w:r w:rsidRPr="00BF42B7">
        <w:rPr>
          <w:rFonts w:hint="eastAsia"/>
        </w:rPr>
        <w:t xml:space="preserve"> </w:t>
      </w:r>
      <w:r w:rsidRPr="00BF42B7">
        <w:rPr>
          <w:rFonts w:hint="eastAsia"/>
        </w:rPr>
        <w:t>这些委员还认为，结论草案</w:t>
      </w:r>
      <w:r w:rsidRPr="00BF42B7">
        <w:t>12 [11]</w:t>
      </w:r>
      <w:r w:rsidRPr="00BF42B7">
        <w:rPr>
          <w:rFonts w:hint="eastAsia"/>
        </w:rPr>
        <w:t>第</w:t>
      </w:r>
      <w:r w:rsidRPr="00BF42B7">
        <w:t>3</w:t>
      </w:r>
      <w:r w:rsidRPr="00BF42B7">
        <w:rPr>
          <w:rFonts w:hint="eastAsia"/>
        </w:rPr>
        <w:t>段可有助于解决这一问题，</w:t>
      </w:r>
      <w:r w:rsidRPr="00BF42B7">
        <w:rPr>
          <w:color w:val="0000FF"/>
          <w:vertAlign w:val="superscript"/>
        </w:rPr>
        <w:footnoteReference w:id="1042"/>
      </w:r>
      <w:r w:rsidRPr="00BF42B7">
        <w:t xml:space="preserve"> </w:t>
      </w:r>
      <w:r w:rsidRPr="00BF42B7">
        <w:rPr>
          <w:rFonts w:hint="eastAsia"/>
        </w:rPr>
        <w:t>因为</w:t>
      </w:r>
      <w:r w:rsidRPr="00BF42B7">
        <w:t>国际组织适用其组成文书的惯例和专家条约机构的声明具有以下共同点：虽然它们都不是条约缔约方的实践，但它们是由条约授权的行为，其目的在于促进对条约的正确适用</w:t>
      </w:r>
      <w:r w:rsidRPr="00BF42B7">
        <w:rPr>
          <w:rFonts w:hint="eastAsia"/>
        </w:rPr>
        <w:t>。</w:t>
      </w:r>
    </w:p>
    <w:p w:rsidR="003E31C7" w:rsidRPr="00BF42B7" w:rsidRDefault="003E31C7" w:rsidP="003E31C7">
      <w:pPr>
        <w:pStyle w:val="SingleTxtGC"/>
      </w:pPr>
      <w:r w:rsidRPr="00BF42B7">
        <w:rPr>
          <w:rFonts w:hint="eastAsia"/>
        </w:rPr>
        <w:t xml:space="preserve">(26)  </w:t>
      </w:r>
      <w:r w:rsidRPr="00BF42B7">
        <w:t>其他委员认为，就本专题的含义而言，专家条约机构的声明本身不属于一种形式的惯例。他们指出，结论草案</w:t>
      </w:r>
      <w:r w:rsidRPr="00BF42B7">
        <w:t>4</w:t>
      </w:r>
      <w:r w:rsidRPr="00BF42B7">
        <w:t>第</w:t>
      </w:r>
      <w:r w:rsidRPr="00BF42B7">
        <w:t>3</w:t>
      </w:r>
      <w:r w:rsidRPr="00BF42B7">
        <w:t>段规定，</w:t>
      </w:r>
      <w:r w:rsidRPr="00BF42B7">
        <w:rPr>
          <w:rFonts w:hint="eastAsia"/>
        </w:rPr>
        <w:t>“</w:t>
      </w:r>
      <w:r w:rsidRPr="00BF42B7">
        <w:t>其他嗣后惯例是指条约缔结后一个或多个缔约方适用条约的行为</w:t>
      </w:r>
      <w:r w:rsidRPr="00BF42B7">
        <w:rPr>
          <w:rFonts w:hint="eastAsia"/>
        </w:rPr>
        <w:t>”</w:t>
      </w:r>
      <w:r w:rsidRPr="00BF42B7">
        <w:t>，</w:t>
      </w:r>
      <w:r w:rsidRPr="00BF42B7">
        <w:rPr>
          <w:color w:val="0000FF"/>
          <w:vertAlign w:val="superscript"/>
        </w:rPr>
        <w:footnoteReference w:id="1043"/>
      </w:r>
      <w:r w:rsidRPr="00BF42B7">
        <w:t xml:space="preserve"> </w:t>
      </w:r>
      <w:r w:rsidRPr="00BF42B7">
        <w:t>因此，本专题仅限于缔约方本身的实践。他们还提出，专家条约机构的声明不可能同时既作为适用条约的形式，又行使监测职能。这些委员认为，国际法院对迪亚洛案的判决表明，专家条约机构的任务和职能类似于法院，是监督条约的适用，而不是本身作为一种解释条约的手段。</w:t>
      </w:r>
      <w:bookmarkStart w:id="253" w:name="_Ref457312133"/>
      <w:r w:rsidRPr="00BF42B7">
        <w:rPr>
          <w:color w:val="0000FF"/>
          <w:vertAlign w:val="superscript"/>
          <w:lang w:eastAsia="en-GB"/>
        </w:rPr>
        <w:footnoteReference w:id="1044"/>
      </w:r>
      <w:bookmarkEnd w:id="253"/>
    </w:p>
    <w:p w:rsidR="003E31C7" w:rsidRPr="00BF42B7" w:rsidRDefault="003E31C7" w:rsidP="003E31C7">
      <w:pPr>
        <w:pStyle w:val="SingleTxtGC"/>
      </w:pPr>
      <w:r w:rsidRPr="00BF42B7">
        <w:rPr>
          <w:rFonts w:hint="eastAsia"/>
        </w:rPr>
        <w:t xml:space="preserve">(27)  </w:t>
      </w:r>
      <w:r w:rsidRPr="00BF42B7">
        <w:t>委员会最终决定，目前仅在结论草案</w:t>
      </w:r>
      <w:r w:rsidRPr="00BF42B7">
        <w:t>13[12]</w:t>
      </w:r>
      <w:r w:rsidRPr="00BF42B7">
        <w:t>第</w:t>
      </w:r>
      <w:r w:rsidRPr="00BF42B7">
        <w:t>4</w:t>
      </w:r>
      <w:r w:rsidRPr="00BF42B7">
        <w:t>段中制订一项</w:t>
      </w:r>
      <w:r w:rsidRPr="00BF42B7">
        <w:rPr>
          <w:rFonts w:hint="eastAsia"/>
        </w:rPr>
        <w:t>“</w:t>
      </w:r>
      <w:r w:rsidRPr="00BF42B7">
        <w:t>不妨碍</w:t>
      </w:r>
      <w:r w:rsidRPr="00BF42B7">
        <w:rPr>
          <w:rFonts w:hint="eastAsia"/>
        </w:rPr>
        <w:t>”</w:t>
      </w:r>
      <w:r w:rsidRPr="00BF42B7">
        <w:t>条款。二读时可以参考各国表达的意见，再次讨论这一事项。</w:t>
      </w:r>
      <w:bookmarkStart w:id="254" w:name="_Ref457312351"/>
      <w:r w:rsidRPr="00BF42B7">
        <w:rPr>
          <w:color w:val="0000FF"/>
          <w:vertAlign w:val="superscript"/>
        </w:rPr>
        <w:footnoteReference w:id="1045"/>
      </w:r>
      <w:bookmarkEnd w:id="254"/>
    </w:p>
    <w:p w:rsidR="00CD5A8C" w:rsidRPr="00BF42B7" w:rsidRDefault="00CD5A8C">
      <w:pPr>
        <w:tabs>
          <w:tab w:val="clear" w:pos="431"/>
        </w:tabs>
        <w:overflowPunct/>
        <w:adjustRightInd/>
        <w:snapToGrid/>
        <w:spacing w:line="240" w:lineRule="auto"/>
        <w:jc w:val="left"/>
        <w:rPr>
          <w:rFonts w:eastAsia="黑体"/>
          <w:sz w:val="28"/>
        </w:rPr>
      </w:pPr>
      <w:r w:rsidRPr="00BF42B7">
        <w:rPr>
          <w:rFonts w:eastAsia="黑体"/>
          <w:sz w:val="28"/>
        </w:rPr>
        <w:br w:type="page"/>
      </w:r>
    </w:p>
    <w:p w:rsidR="00CD5A8C" w:rsidRPr="00BF42B7" w:rsidRDefault="00CD5A8C" w:rsidP="00586EF6">
      <w:pPr>
        <w:pStyle w:val="HChGC"/>
      </w:pPr>
      <w:r w:rsidRPr="00BF42B7">
        <w:tab/>
      </w:r>
      <w:r w:rsidRPr="00BF42B7">
        <w:tab/>
      </w:r>
      <w:r w:rsidRPr="00BF42B7">
        <w:rPr>
          <w:rFonts w:hint="eastAsia"/>
        </w:rPr>
        <w:t>第七章</w:t>
      </w:r>
      <w:r w:rsidRPr="00BF42B7">
        <w:br/>
      </w:r>
      <w:r w:rsidRPr="00BF42B7">
        <w:rPr>
          <w:rFonts w:hint="eastAsia"/>
          <w:bCs/>
          <w:lang w:val="en-GB"/>
        </w:rPr>
        <w:t>危害人类罪</w:t>
      </w:r>
    </w:p>
    <w:p w:rsidR="00CD5A8C" w:rsidRPr="00BF42B7" w:rsidRDefault="00CD5A8C" w:rsidP="00586EF6">
      <w:pPr>
        <w:pStyle w:val="H1GC"/>
        <w:rPr>
          <w:lang w:val="en-GB"/>
        </w:rPr>
      </w:pPr>
      <w:r w:rsidRPr="00BF42B7">
        <w:rPr>
          <w:lang w:val="en-GB"/>
        </w:rPr>
        <w:tab/>
        <w:t>A.</w:t>
      </w:r>
      <w:r w:rsidRPr="00BF42B7">
        <w:rPr>
          <w:rFonts w:hint="eastAsia"/>
          <w:lang w:val="en-GB"/>
        </w:rPr>
        <w:tab/>
      </w:r>
      <w:r w:rsidRPr="00BF42B7">
        <w:rPr>
          <w:rFonts w:hint="eastAsia"/>
          <w:lang w:val="en-GB"/>
        </w:rPr>
        <w:t>导言</w:t>
      </w:r>
    </w:p>
    <w:p w:rsidR="00CD5A8C" w:rsidRPr="00BF42B7" w:rsidRDefault="00CD5A8C" w:rsidP="00CD5A8C">
      <w:pPr>
        <w:tabs>
          <w:tab w:val="clear" w:pos="431"/>
          <w:tab w:val="left" w:pos="1134"/>
          <w:tab w:val="left" w:pos="1565"/>
          <w:tab w:val="left" w:pos="1996"/>
          <w:tab w:val="left" w:pos="2427"/>
        </w:tabs>
        <w:spacing w:after="120"/>
        <w:ind w:left="1134" w:right="1134"/>
        <w:rPr>
          <w:lang w:val="en-GB"/>
        </w:rPr>
      </w:pPr>
      <w:r w:rsidRPr="00BF42B7">
        <w:rPr>
          <w:lang w:val="en-GB"/>
        </w:rPr>
        <w:t xml:space="preserve">77.  </w:t>
      </w:r>
      <w:r w:rsidRPr="00BF42B7">
        <w:rPr>
          <w:rFonts w:hint="eastAsia"/>
          <w:lang w:val="en-GB"/>
        </w:rPr>
        <w:t>委员会第六十六届会议</w:t>
      </w:r>
      <w:r w:rsidRPr="00BF42B7">
        <w:rPr>
          <w:lang w:val="en-GB"/>
        </w:rPr>
        <w:t>(2014</w:t>
      </w:r>
      <w:r w:rsidRPr="00BF42B7">
        <w:rPr>
          <w:rFonts w:hint="eastAsia"/>
          <w:lang w:val="en-GB"/>
        </w:rPr>
        <w:t>年</w:t>
      </w:r>
      <w:r w:rsidRPr="00BF42B7">
        <w:rPr>
          <w:lang w:val="en-GB"/>
        </w:rPr>
        <w:t>)</w:t>
      </w:r>
      <w:r w:rsidRPr="00BF42B7">
        <w:rPr>
          <w:rFonts w:hint="eastAsia"/>
          <w:lang w:val="en-GB"/>
        </w:rPr>
        <w:t>决定将“危害人类罪”专题列入工作方案，并任命肖恩·墨菲先生为该专题特别报告员。</w:t>
      </w:r>
      <w:r w:rsidRPr="00BF42B7">
        <w:rPr>
          <w:color w:val="0000FF"/>
          <w:vertAlign w:val="superscript"/>
        </w:rPr>
        <w:footnoteReference w:id="1046"/>
      </w:r>
      <w:r w:rsidRPr="00BF42B7">
        <w:rPr>
          <w:color w:val="0000FF"/>
          <w:vertAlign w:val="superscript"/>
          <w:lang w:val="en-GB"/>
        </w:rPr>
        <w:t xml:space="preserve"> </w:t>
      </w:r>
      <w:r w:rsidRPr="00BF42B7">
        <w:rPr>
          <w:rFonts w:hint="eastAsia"/>
          <w:lang w:val="en-GB"/>
        </w:rPr>
        <w:t>大会随后在</w:t>
      </w:r>
      <w:r w:rsidRPr="00BF42B7">
        <w:rPr>
          <w:rFonts w:hint="eastAsia"/>
          <w:lang w:val="en-GB"/>
        </w:rPr>
        <w:t>2014</w:t>
      </w:r>
      <w:r w:rsidRPr="00BF42B7">
        <w:rPr>
          <w:rFonts w:hint="eastAsia"/>
          <w:lang w:val="en-GB"/>
        </w:rPr>
        <w:t>年</w:t>
      </w:r>
      <w:r w:rsidRPr="00BF42B7">
        <w:rPr>
          <w:rFonts w:hint="eastAsia"/>
          <w:lang w:val="en-GB"/>
        </w:rPr>
        <w:t>12</w:t>
      </w:r>
      <w:r w:rsidRPr="00BF42B7">
        <w:rPr>
          <w:rFonts w:hint="eastAsia"/>
          <w:lang w:val="en-GB"/>
        </w:rPr>
        <w:t>月</w:t>
      </w:r>
      <w:r w:rsidRPr="00BF42B7">
        <w:rPr>
          <w:rFonts w:hint="eastAsia"/>
          <w:lang w:val="en-GB"/>
        </w:rPr>
        <w:t>10</w:t>
      </w:r>
      <w:r w:rsidRPr="00BF42B7">
        <w:rPr>
          <w:rFonts w:hint="eastAsia"/>
          <w:lang w:val="en-GB"/>
        </w:rPr>
        <w:t>日第</w:t>
      </w:r>
      <w:hyperlink r:id="rId87" w:history="1">
        <w:r w:rsidRPr="007F0135">
          <w:rPr>
            <w:rStyle w:val="af"/>
            <w:lang w:val="en-GB"/>
          </w:rPr>
          <w:t>69/118</w:t>
        </w:r>
      </w:hyperlink>
      <w:r w:rsidRPr="00BF42B7">
        <w:rPr>
          <w:rFonts w:hint="eastAsia"/>
          <w:lang w:val="en-GB"/>
        </w:rPr>
        <w:t>号决议第</w:t>
      </w:r>
      <w:r w:rsidRPr="00BF42B7">
        <w:rPr>
          <w:rFonts w:hint="eastAsia"/>
          <w:lang w:val="en-GB"/>
        </w:rPr>
        <w:t>7</w:t>
      </w:r>
      <w:r w:rsidRPr="00BF42B7">
        <w:rPr>
          <w:rFonts w:hint="eastAsia"/>
          <w:lang w:val="en-GB"/>
        </w:rPr>
        <w:t>段中注意到，委员会决定将此专题列入</w:t>
      </w:r>
      <w:r w:rsidRPr="00BF42B7">
        <w:rPr>
          <w:rFonts w:hint="eastAsia"/>
          <w:color w:val="000000" w:themeColor="text1"/>
          <w:lang w:val="en-GB"/>
        </w:rPr>
        <w:t>其</w:t>
      </w:r>
      <w:r w:rsidRPr="00BF42B7">
        <w:rPr>
          <w:rFonts w:hint="eastAsia"/>
          <w:lang w:val="en-GB"/>
        </w:rPr>
        <w:t>工作方案。</w:t>
      </w:r>
    </w:p>
    <w:p w:rsidR="00CD5A8C" w:rsidRPr="00BF42B7" w:rsidRDefault="00CD5A8C" w:rsidP="007F0135">
      <w:pPr>
        <w:tabs>
          <w:tab w:val="clear" w:pos="431"/>
          <w:tab w:val="left" w:pos="1134"/>
          <w:tab w:val="left" w:pos="1565"/>
          <w:tab w:val="left" w:pos="1996"/>
          <w:tab w:val="left" w:pos="2427"/>
        </w:tabs>
        <w:spacing w:after="120"/>
        <w:ind w:left="1134" w:right="1134"/>
        <w:rPr>
          <w:spacing w:val="4"/>
          <w:lang w:val="en-GB"/>
        </w:rPr>
      </w:pPr>
      <w:r w:rsidRPr="00BF42B7">
        <w:rPr>
          <w:lang w:val="en-GB"/>
        </w:rPr>
        <w:t xml:space="preserve">78.  </w:t>
      </w:r>
      <w:r w:rsidRPr="00BF42B7">
        <w:rPr>
          <w:rFonts w:hint="eastAsia"/>
          <w:spacing w:val="4"/>
          <w:lang w:val="en-GB"/>
        </w:rPr>
        <w:t>在第六十七届会议</w:t>
      </w:r>
      <w:r w:rsidRPr="00BF42B7">
        <w:rPr>
          <w:spacing w:val="4"/>
          <w:lang w:val="en-GB"/>
        </w:rPr>
        <w:t>(201</w:t>
      </w:r>
      <w:r w:rsidRPr="00BF42B7">
        <w:rPr>
          <w:rFonts w:hint="eastAsia"/>
          <w:spacing w:val="4"/>
          <w:lang w:val="en-GB"/>
        </w:rPr>
        <w:t>5</w:t>
      </w:r>
      <w:r w:rsidRPr="00BF42B7">
        <w:rPr>
          <w:rFonts w:hint="eastAsia"/>
          <w:spacing w:val="4"/>
          <w:lang w:val="en-GB"/>
        </w:rPr>
        <w:t>年</w:t>
      </w:r>
      <w:r w:rsidRPr="00BF42B7">
        <w:rPr>
          <w:spacing w:val="4"/>
          <w:lang w:val="en-GB"/>
        </w:rPr>
        <w:t>)</w:t>
      </w:r>
      <w:r w:rsidRPr="00BF42B7">
        <w:rPr>
          <w:rFonts w:hint="eastAsia"/>
          <w:spacing w:val="4"/>
          <w:lang w:val="en-GB"/>
        </w:rPr>
        <w:t>上，委员会审议了特别报告员的第一次报告</w:t>
      </w:r>
      <w:hyperlink r:id="rId88" w:history="1">
        <w:r w:rsidRPr="00BF42B7">
          <w:rPr>
            <w:color w:val="0000FF"/>
            <w:spacing w:val="4"/>
            <w:lang w:val="en-GB"/>
          </w:rPr>
          <w:t>(A/CN.4/680)</w:t>
        </w:r>
      </w:hyperlink>
      <w:r w:rsidRPr="00BF42B7">
        <w:rPr>
          <w:rFonts w:hint="eastAsia"/>
          <w:spacing w:val="4"/>
          <w:lang w:val="en-GB"/>
        </w:rPr>
        <w:t>，</w:t>
      </w:r>
      <w:r w:rsidR="007F0135">
        <w:rPr>
          <w:rFonts w:hint="eastAsia"/>
          <w:spacing w:val="4"/>
          <w:lang w:val="en-GB"/>
        </w:rPr>
        <w:t>并</w:t>
      </w:r>
      <w:r w:rsidRPr="00BF42B7">
        <w:rPr>
          <w:rFonts w:hint="eastAsia"/>
          <w:spacing w:val="4"/>
          <w:lang w:val="en-GB"/>
        </w:rPr>
        <w:t>暂时通过了四条条款草案及其评注。</w:t>
      </w:r>
      <w:r w:rsidRPr="00BF42B7">
        <w:rPr>
          <w:color w:val="0000FF"/>
          <w:spacing w:val="4"/>
          <w:vertAlign w:val="superscript"/>
          <w:lang w:val="en-GB"/>
        </w:rPr>
        <w:footnoteReference w:id="1047"/>
      </w:r>
      <w:r w:rsidRPr="00BF42B7">
        <w:rPr>
          <w:rFonts w:hint="eastAsia"/>
          <w:spacing w:val="4"/>
          <w:lang w:val="en-GB"/>
        </w:rPr>
        <w:t xml:space="preserve"> </w:t>
      </w:r>
      <w:r w:rsidRPr="00BF42B7">
        <w:rPr>
          <w:rFonts w:hint="eastAsia"/>
          <w:spacing w:val="4"/>
          <w:lang w:val="en-GB"/>
        </w:rPr>
        <w:t>委员会还请秘书处编写一份备忘录，提供可能与此专题今后工作有关的现有条约监督机制的资料。</w:t>
      </w:r>
      <w:r w:rsidRPr="00BF42B7">
        <w:rPr>
          <w:color w:val="0000FF"/>
          <w:spacing w:val="4"/>
          <w:vertAlign w:val="superscript"/>
          <w:lang w:val="en-GB"/>
        </w:rPr>
        <w:footnoteReference w:id="1048"/>
      </w:r>
    </w:p>
    <w:p w:rsidR="00CD5A8C" w:rsidRPr="00BF42B7" w:rsidRDefault="00CD5A8C" w:rsidP="00586EF6">
      <w:pPr>
        <w:pStyle w:val="H1GC"/>
      </w:pPr>
      <w:r w:rsidRPr="00BF42B7">
        <w:rPr>
          <w:rFonts w:hint="eastAsia"/>
          <w:lang w:val="en-GB"/>
        </w:rPr>
        <w:tab/>
      </w:r>
      <w:r w:rsidRPr="00BF42B7">
        <w:rPr>
          <w:lang w:val="en-GB"/>
        </w:rPr>
        <w:t>B.</w:t>
      </w:r>
      <w:r w:rsidRPr="00BF42B7">
        <w:rPr>
          <w:lang w:val="en-GB"/>
        </w:rPr>
        <w:tab/>
      </w:r>
      <w:r w:rsidRPr="00BF42B7">
        <w:rPr>
          <w:rFonts w:hint="eastAsia"/>
          <w:lang w:val="en-GB"/>
        </w:rPr>
        <w:t>本届会议审议此专题的情况</w:t>
      </w:r>
    </w:p>
    <w:p w:rsidR="00CD5A8C" w:rsidRPr="00BF42B7" w:rsidRDefault="00CD5A8C" w:rsidP="007F0135">
      <w:pPr>
        <w:tabs>
          <w:tab w:val="clear" w:pos="431"/>
          <w:tab w:val="left" w:pos="1134"/>
          <w:tab w:val="left" w:pos="1565"/>
          <w:tab w:val="left" w:pos="1996"/>
          <w:tab w:val="left" w:pos="2427"/>
        </w:tabs>
        <w:spacing w:after="120"/>
        <w:ind w:left="1134" w:right="1134"/>
      </w:pPr>
      <w:r w:rsidRPr="00BF42B7">
        <w:t xml:space="preserve">79.  </w:t>
      </w:r>
      <w:r w:rsidRPr="00BF42B7">
        <w:rPr>
          <w:rFonts w:hint="eastAsia"/>
        </w:rPr>
        <w:t>在本届会议上，委员会收到特别报告员的第二次报告</w:t>
      </w:r>
      <w:r w:rsidRPr="00BF42B7">
        <w:t>(</w:t>
      </w:r>
      <w:hyperlink r:id="rId89" w:history="1">
        <w:r w:rsidRPr="00BF42B7">
          <w:rPr>
            <w:color w:val="0000FF"/>
          </w:rPr>
          <w:t>A/CN.4/690</w:t>
        </w:r>
      </w:hyperlink>
      <w:r w:rsidRPr="00BF42B7">
        <w:t>)</w:t>
      </w:r>
      <w:r w:rsidRPr="00BF42B7">
        <w:rPr>
          <w:rFonts w:hint="eastAsia"/>
        </w:rPr>
        <w:t>以及提供可能与国际法委员会今后工作有关的现有条约监督机制方面资料的秘书处备忘录</w:t>
      </w:r>
      <w:hyperlink r:id="rId90" w:history="1">
        <w:r w:rsidRPr="00BF42B7">
          <w:rPr>
            <w:color w:val="0000FF"/>
          </w:rPr>
          <w:t>(A/CN.4/698)</w:t>
        </w:r>
      </w:hyperlink>
      <w:r w:rsidRPr="00BF42B7">
        <w:rPr>
          <w:rFonts w:hint="eastAsia"/>
        </w:rPr>
        <w:t>，</w:t>
      </w:r>
      <w:r w:rsidR="007F0135">
        <w:rPr>
          <w:rFonts w:hint="eastAsia"/>
        </w:rPr>
        <w:t>在</w:t>
      </w:r>
      <w:r w:rsidRPr="00BF42B7">
        <w:rPr>
          <w:rFonts w:hint="eastAsia"/>
        </w:rPr>
        <w:t>2016</w:t>
      </w:r>
      <w:r w:rsidRPr="00BF42B7">
        <w:rPr>
          <w:rFonts w:hint="eastAsia"/>
        </w:rPr>
        <w:t>年</w:t>
      </w:r>
      <w:r w:rsidRPr="00BF42B7">
        <w:rPr>
          <w:rFonts w:hint="eastAsia"/>
        </w:rPr>
        <w:t>5</w:t>
      </w:r>
      <w:r w:rsidRPr="00BF42B7">
        <w:rPr>
          <w:rFonts w:hint="eastAsia"/>
        </w:rPr>
        <w:t>月</w:t>
      </w:r>
      <w:r w:rsidRPr="00BF42B7">
        <w:rPr>
          <w:rFonts w:hint="eastAsia"/>
        </w:rPr>
        <w:t>11</w:t>
      </w:r>
      <w:r w:rsidRPr="00BF42B7">
        <w:rPr>
          <w:rFonts w:hint="eastAsia"/>
        </w:rPr>
        <w:t>日至</w:t>
      </w:r>
      <w:r w:rsidRPr="00BF42B7">
        <w:rPr>
          <w:rFonts w:hint="eastAsia"/>
        </w:rPr>
        <w:t>19</w:t>
      </w:r>
      <w:r w:rsidRPr="00BF42B7">
        <w:rPr>
          <w:rFonts w:hint="eastAsia"/>
        </w:rPr>
        <w:t>日举行的第</w:t>
      </w:r>
      <w:r w:rsidRPr="00BF42B7">
        <w:t>3296</w:t>
      </w:r>
      <w:r w:rsidRPr="00BF42B7">
        <w:rPr>
          <w:rFonts w:hint="eastAsia"/>
        </w:rPr>
        <w:t>至第</w:t>
      </w:r>
      <w:r w:rsidRPr="00BF42B7">
        <w:t>3301</w:t>
      </w:r>
      <w:r w:rsidRPr="00BF42B7">
        <w:rPr>
          <w:rFonts w:hint="eastAsia"/>
        </w:rPr>
        <w:t>次会议上审议了该报告和备忘录。</w:t>
      </w:r>
      <w:r w:rsidRPr="00BF42B7">
        <w:rPr>
          <w:color w:val="0000FF"/>
          <w:vertAlign w:val="superscript"/>
          <w:lang w:val="en-GB"/>
        </w:rPr>
        <w:footnoteReference w:id="1049"/>
      </w:r>
    </w:p>
    <w:p w:rsidR="00CD5A8C" w:rsidRPr="00BF42B7" w:rsidRDefault="00CD5A8C" w:rsidP="00CD5A8C">
      <w:pPr>
        <w:tabs>
          <w:tab w:val="clear" w:pos="431"/>
          <w:tab w:val="left" w:pos="1134"/>
          <w:tab w:val="left" w:pos="1565"/>
          <w:tab w:val="left" w:pos="1996"/>
          <w:tab w:val="left" w:pos="2427"/>
        </w:tabs>
        <w:spacing w:after="120"/>
        <w:ind w:left="1134" w:right="1134"/>
        <w:rPr>
          <w:color w:val="0000FF"/>
          <w:vertAlign w:val="superscript"/>
          <w:lang w:val="en-GB"/>
        </w:rPr>
      </w:pPr>
      <w:r w:rsidRPr="00BF42B7">
        <w:t xml:space="preserve">80.  </w:t>
      </w:r>
      <w:r w:rsidRPr="00BF42B7">
        <w:rPr>
          <w:rFonts w:hint="eastAsia"/>
        </w:rPr>
        <w:t>特别报告员在第二次报告中阐述了：在国内法中定为犯罪</w:t>
      </w:r>
      <w:r w:rsidRPr="00BF42B7">
        <w:rPr>
          <w:rFonts w:hint="eastAsia"/>
        </w:rPr>
        <w:t>(</w:t>
      </w:r>
      <w:r w:rsidRPr="00BF42B7">
        <w:rPr>
          <w:rFonts w:hint="eastAsia"/>
        </w:rPr>
        <w:t>第一章</w:t>
      </w:r>
      <w:r w:rsidRPr="00BF42B7">
        <w:rPr>
          <w:rFonts w:hint="eastAsia"/>
        </w:rPr>
        <w:t>)</w:t>
      </w:r>
      <w:r w:rsidRPr="00BF42B7">
        <w:rPr>
          <w:rFonts w:hint="eastAsia"/>
        </w:rPr>
        <w:t>；确定国家管辖权</w:t>
      </w:r>
      <w:r w:rsidRPr="00BF42B7">
        <w:rPr>
          <w:rFonts w:hint="eastAsia"/>
        </w:rPr>
        <w:t>(</w:t>
      </w:r>
      <w:r w:rsidRPr="00BF42B7">
        <w:rPr>
          <w:rFonts w:hint="eastAsia"/>
        </w:rPr>
        <w:t>第二章</w:t>
      </w:r>
      <w:r w:rsidRPr="00BF42B7">
        <w:rPr>
          <w:rFonts w:hint="eastAsia"/>
        </w:rPr>
        <w:t>)</w:t>
      </w:r>
      <w:r w:rsidRPr="00BF42B7">
        <w:rPr>
          <w:rFonts w:hint="eastAsia"/>
        </w:rPr>
        <w:t>；开展一般性调查与合作以查明被指控罪犯</w:t>
      </w:r>
      <w:r w:rsidRPr="00BF42B7">
        <w:rPr>
          <w:rFonts w:hint="eastAsia"/>
        </w:rPr>
        <w:t>(</w:t>
      </w:r>
      <w:r w:rsidRPr="00BF42B7">
        <w:rPr>
          <w:rFonts w:hint="eastAsia"/>
        </w:rPr>
        <w:t>第三章</w:t>
      </w:r>
      <w:r w:rsidRPr="00BF42B7">
        <w:rPr>
          <w:rFonts w:hint="eastAsia"/>
        </w:rPr>
        <w:t>)</w:t>
      </w:r>
      <w:r w:rsidRPr="00BF42B7">
        <w:rPr>
          <w:rFonts w:hint="eastAsia"/>
        </w:rPr>
        <w:t>；被指控罪犯所在地行使国家管辖权</w:t>
      </w:r>
      <w:r w:rsidRPr="00BF42B7">
        <w:rPr>
          <w:rFonts w:hint="eastAsia"/>
        </w:rPr>
        <w:t>(</w:t>
      </w:r>
      <w:r w:rsidRPr="00BF42B7">
        <w:rPr>
          <w:rFonts w:hint="eastAsia"/>
        </w:rPr>
        <w:t>第四章</w:t>
      </w:r>
      <w:r w:rsidRPr="00BF42B7">
        <w:rPr>
          <w:rFonts w:hint="eastAsia"/>
        </w:rPr>
        <w:t>)</w:t>
      </w:r>
      <w:r w:rsidRPr="00BF42B7">
        <w:rPr>
          <w:rFonts w:hint="eastAsia"/>
        </w:rPr>
        <w:t>；引渡或审判</w:t>
      </w:r>
      <w:r w:rsidRPr="00BF42B7">
        <w:rPr>
          <w:rFonts w:hint="eastAsia"/>
        </w:rPr>
        <w:t>(</w:t>
      </w:r>
      <w:r w:rsidRPr="00BF42B7">
        <w:rPr>
          <w:rFonts w:hint="eastAsia"/>
        </w:rPr>
        <w:t>第五章</w:t>
      </w:r>
      <w:r w:rsidRPr="00BF42B7">
        <w:rPr>
          <w:rFonts w:hint="eastAsia"/>
        </w:rPr>
        <w:t>)</w:t>
      </w:r>
      <w:r w:rsidRPr="00BF42B7">
        <w:rPr>
          <w:rFonts w:hint="eastAsia"/>
        </w:rPr>
        <w:t>；公平对待被指控罪犯</w:t>
      </w:r>
      <w:r w:rsidRPr="00BF42B7">
        <w:rPr>
          <w:rFonts w:hint="eastAsia"/>
        </w:rPr>
        <w:t>(</w:t>
      </w:r>
      <w:r w:rsidRPr="00BF42B7">
        <w:rPr>
          <w:rFonts w:hint="eastAsia"/>
        </w:rPr>
        <w:t>第六章</w:t>
      </w:r>
      <w:r w:rsidRPr="00BF42B7">
        <w:rPr>
          <w:rFonts w:hint="eastAsia"/>
        </w:rPr>
        <w:t>)</w:t>
      </w:r>
      <w:r w:rsidRPr="00BF42B7">
        <w:rPr>
          <w:rFonts w:hint="eastAsia"/>
        </w:rPr>
        <w:t>；今后工作方案</w:t>
      </w:r>
      <w:r w:rsidRPr="00BF42B7">
        <w:rPr>
          <w:rFonts w:hint="eastAsia"/>
        </w:rPr>
        <w:t>(</w:t>
      </w:r>
      <w:r w:rsidRPr="00BF42B7">
        <w:rPr>
          <w:rFonts w:hint="eastAsia"/>
        </w:rPr>
        <w:t>第七章</w:t>
      </w:r>
      <w:r w:rsidRPr="00BF42B7">
        <w:rPr>
          <w:rFonts w:hint="eastAsia"/>
        </w:rPr>
        <w:t>)</w:t>
      </w:r>
      <w:r w:rsidRPr="00BF42B7">
        <w:rPr>
          <w:rFonts w:hint="eastAsia"/>
        </w:rPr>
        <w:t>。特别报告员分别针对第一章至第六章所述问题，相应地提出了六项条款草案。</w:t>
      </w:r>
      <w:r w:rsidRPr="00BF42B7">
        <w:rPr>
          <w:color w:val="0000FF"/>
          <w:vertAlign w:val="superscript"/>
          <w:lang w:val="en-GB"/>
        </w:rPr>
        <w:footnoteReference w:id="1050"/>
      </w:r>
    </w:p>
    <w:p w:rsidR="00CD5A8C" w:rsidRPr="00BF42B7" w:rsidRDefault="00CD5A8C" w:rsidP="00CD5A8C">
      <w:pPr>
        <w:tabs>
          <w:tab w:val="clear" w:pos="431"/>
          <w:tab w:val="left" w:pos="1134"/>
          <w:tab w:val="left" w:pos="1565"/>
          <w:tab w:val="left" w:pos="1996"/>
          <w:tab w:val="left" w:pos="2427"/>
        </w:tabs>
        <w:spacing w:after="120"/>
        <w:ind w:left="1134" w:right="1134"/>
      </w:pPr>
      <w:r w:rsidRPr="00BF42B7">
        <w:t xml:space="preserve">81.  </w:t>
      </w:r>
      <w:r w:rsidRPr="00BF42B7">
        <w:rPr>
          <w:rFonts w:hint="eastAsia"/>
        </w:rPr>
        <w:t>委员会在</w:t>
      </w:r>
      <w:r w:rsidRPr="00BF42B7">
        <w:rPr>
          <w:rFonts w:hint="eastAsia"/>
        </w:rPr>
        <w:t>2016</w:t>
      </w:r>
      <w:r w:rsidRPr="00BF42B7">
        <w:rPr>
          <w:rFonts w:hint="eastAsia"/>
        </w:rPr>
        <w:t>年</w:t>
      </w:r>
      <w:r w:rsidRPr="00BF42B7">
        <w:rPr>
          <w:rFonts w:hint="eastAsia"/>
        </w:rPr>
        <w:t>5</w:t>
      </w:r>
      <w:r w:rsidRPr="00BF42B7">
        <w:rPr>
          <w:rFonts w:hint="eastAsia"/>
        </w:rPr>
        <w:t>月</w:t>
      </w:r>
      <w:r w:rsidRPr="00BF42B7">
        <w:rPr>
          <w:rFonts w:hint="eastAsia"/>
        </w:rPr>
        <w:t>19</w:t>
      </w:r>
      <w:r w:rsidRPr="00BF42B7">
        <w:rPr>
          <w:rFonts w:hint="eastAsia"/>
        </w:rPr>
        <w:t>日举行的第</w:t>
      </w:r>
      <w:r w:rsidRPr="00BF42B7">
        <w:t>3301</w:t>
      </w:r>
      <w:r w:rsidRPr="00BF42B7">
        <w:rPr>
          <w:rFonts w:hint="eastAsia"/>
        </w:rPr>
        <w:t>次会议上，将特别报告员第二次报告所载第</w:t>
      </w:r>
      <w:r w:rsidRPr="00BF42B7">
        <w:rPr>
          <w:rFonts w:hint="eastAsia"/>
        </w:rPr>
        <w:t>5</w:t>
      </w:r>
      <w:r w:rsidRPr="00BF42B7">
        <w:rPr>
          <w:rFonts w:hint="eastAsia"/>
        </w:rPr>
        <w:t>、第</w:t>
      </w:r>
      <w:r w:rsidRPr="00BF42B7">
        <w:rPr>
          <w:rFonts w:hint="eastAsia"/>
        </w:rPr>
        <w:t>6</w:t>
      </w:r>
      <w:r w:rsidRPr="00BF42B7">
        <w:rPr>
          <w:rFonts w:hint="eastAsia"/>
        </w:rPr>
        <w:t>、第</w:t>
      </w:r>
      <w:r w:rsidRPr="00BF42B7">
        <w:rPr>
          <w:rFonts w:hint="eastAsia"/>
        </w:rPr>
        <w:t>7</w:t>
      </w:r>
      <w:r w:rsidRPr="00BF42B7">
        <w:rPr>
          <w:rFonts w:hint="eastAsia"/>
        </w:rPr>
        <w:t>、第</w:t>
      </w:r>
      <w:r w:rsidRPr="00BF42B7">
        <w:rPr>
          <w:rFonts w:hint="eastAsia"/>
        </w:rPr>
        <w:t>8</w:t>
      </w:r>
      <w:r w:rsidRPr="00BF42B7">
        <w:rPr>
          <w:rFonts w:hint="eastAsia"/>
        </w:rPr>
        <w:t>、第</w:t>
      </w:r>
      <w:r w:rsidRPr="00BF42B7">
        <w:rPr>
          <w:rFonts w:hint="eastAsia"/>
        </w:rPr>
        <w:t>9</w:t>
      </w:r>
      <w:r w:rsidRPr="00BF42B7">
        <w:rPr>
          <w:rFonts w:hint="eastAsia"/>
        </w:rPr>
        <w:t>和第</w:t>
      </w:r>
      <w:r w:rsidRPr="00BF42B7">
        <w:rPr>
          <w:rFonts w:hint="eastAsia"/>
        </w:rPr>
        <w:t>10</w:t>
      </w:r>
      <w:r w:rsidRPr="00BF42B7">
        <w:rPr>
          <w:rFonts w:hint="eastAsia"/>
        </w:rPr>
        <w:t>条草案转交起草委员会。委员会还请起草委员会根据特别报告员将编写的概念文件审议法人刑事责任问题。</w:t>
      </w:r>
    </w:p>
    <w:p w:rsidR="00CD5A8C" w:rsidRPr="00BF42B7" w:rsidRDefault="00CD5A8C" w:rsidP="00CD5A8C">
      <w:pPr>
        <w:tabs>
          <w:tab w:val="clear" w:pos="431"/>
          <w:tab w:val="left" w:pos="1134"/>
          <w:tab w:val="left" w:pos="1565"/>
          <w:tab w:val="left" w:pos="1996"/>
          <w:tab w:val="left" w:pos="2427"/>
        </w:tabs>
        <w:spacing w:after="120"/>
        <w:ind w:left="1134" w:right="1134"/>
      </w:pPr>
      <w:r w:rsidRPr="00BF42B7">
        <w:t xml:space="preserve">82.  </w:t>
      </w:r>
      <w:r w:rsidRPr="00BF42B7">
        <w:rPr>
          <w:rFonts w:hint="eastAsia"/>
        </w:rPr>
        <w:t>委员会在分别于</w:t>
      </w:r>
      <w:r w:rsidRPr="00BF42B7">
        <w:t>201</w:t>
      </w:r>
      <w:r w:rsidRPr="00BF42B7">
        <w:rPr>
          <w:rFonts w:hint="eastAsia"/>
        </w:rPr>
        <w:t>6</w:t>
      </w:r>
      <w:r w:rsidRPr="00BF42B7">
        <w:rPr>
          <w:rFonts w:hint="eastAsia"/>
        </w:rPr>
        <w:t>年</w:t>
      </w:r>
      <w:r w:rsidRPr="00BF42B7">
        <w:t>6</w:t>
      </w:r>
      <w:r w:rsidRPr="00BF42B7">
        <w:rPr>
          <w:rFonts w:hint="eastAsia"/>
        </w:rPr>
        <w:t>月</w:t>
      </w:r>
      <w:r w:rsidRPr="00BF42B7">
        <w:rPr>
          <w:rFonts w:hint="eastAsia"/>
        </w:rPr>
        <w:t>9</w:t>
      </w:r>
      <w:r w:rsidRPr="00BF42B7">
        <w:rPr>
          <w:rFonts w:hint="eastAsia"/>
        </w:rPr>
        <w:t>日和</w:t>
      </w:r>
      <w:r w:rsidRPr="00BF42B7">
        <w:rPr>
          <w:rFonts w:hint="eastAsia"/>
        </w:rPr>
        <w:t>7</w:t>
      </w:r>
      <w:r w:rsidRPr="00BF42B7">
        <w:rPr>
          <w:rFonts w:hint="eastAsia"/>
        </w:rPr>
        <w:t>月</w:t>
      </w:r>
      <w:r w:rsidRPr="00BF42B7">
        <w:rPr>
          <w:rFonts w:hint="eastAsia"/>
        </w:rPr>
        <w:t>21</w:t>
      </w:r>
      <w:r w:rsidRPr="00BF42B7">
        <w:rPr>
          <w:rFonts w:hint="eastAsia"/>
        </w:rPr>
        <w:t>日举行的第</w:t>
      </w:r>
      <w:r w:rsidRPr="00BF42B7">
        <w:t>3312</w:t>
      </w:r>
      <w:r w:rsidRPr="00BF42B7">
        <w:rPr>
          <w:rFonts w:hint="eastAsia"/>
        </w:rPr>
        <w:t>次和第</w:t>
      </w:r>
      <w:r w:rsidRPr="00BF42B7">
        <w:rPr>
          <w:rFonts w:hint="eastAsia"/>
        </w:rPr>
        <w:t>3325</w:t>
      </w:r>
      <w:r w:rsidRPr="00BF42B7">
        <w:rPr>
          <w:rFonts w:hint="eastAsia"/>
        </w:rPr>
        <w:t>次会议上，审议了起草委员会的两份报告，并暂时通过了第</w:t>
      </w:r>
      <w:r w:rsidRPr="00BF42B7">
        <w:rPr>
          <w:rFonts w:hint="eastAsia"/>
        </w:rPr>
        <w:t>5</w:t>
      </w:r>
      <w:r w:rsidRPr="00BF42B7">
        <w:rPr>
          <w:rFonts w:hint="eastAsia"/>
        </w:rPr>
        <w:t>至第</w:t>
      </w:r>
      <w:r w:rsidRPr="00BF42B7">
        <w:rPr>
          <w:rFonts w:hint="eastAsia"/>
        </w:rPr>
        <w:t>10</w:t>
      </w:r>
      <w:r w:rsidRPr="00BF42B7">
        <w:rPr>
          <w:rFonts w:hint="eastAsia"/>
        </w:rPr>
        <w:t>条草案</w:t>
      </w:r>
      <w:r w:rsidRPr="00BF42B7">
        <w:t>(</w:t>
      </w:r>
      <w:r w:rsidRPr="00BF42B7">
        <w:rPr>
          <w:rFonts w:hint="eastAsia"/>
        </w:rPr>
        <w:t>见下文</w:t>
      </w:r>
      <w:r w:rsidRPr="00BF42B7">
        <w:t>C.1</w:t>
      </w:r>
      <w:r w:rsidRPr="00BF42B7">
        <w:rPr>
          <w:rFonts w:hint="eastAsia"/>
        </w:rPr>
        <w:t>节</w:t>
      </w:r>
      <w:r w:rsidRPr="00BF42B7">
        <w:t>)</w:t>
      </w:r>
      <w:r w:rsidRPr="00BF42B7">
        <w:rPr>
          <w:rFonts w:hint="eastAsia"/>
        </w:rPr>
        <w:t>。</w:t>
      </w:r>
    </w:p>
    <w:p w:rsidR="00CD5A8C" w:rsidRPr="00BF42B7" w:rsidRDefault="00CD5A8C" w:rsidP="00CD5A8C">
      <w:pPr>
        <w:tabs>
          <w:tab w:val="clear" w:pos="431"/>
          <w:tab w:val="left" w:pos="1134"/>
          <w:tab w:val="left" w:pos="1565"/>
          <w:tab w:val="left" w:pos="1996"/>
          <w:tab w:val="left" w:pos="2427"/>
        </w:tabs>
        <w:spacing w:after="120"/>
        <w:ind w:left="1134" w:right="1134"/>
      </w:pPr>
      <w:r w:rsidRPr="00BF42B7">
        <w:t xml:space="preserve">83.  </w:t>
      </w:r>
      <w:r w:rsidRPr="00BF42B7">
        <w:rPr>
          <w:rFonts w:hint="eastAsia"/>
        </w:rPr>
        <w:t>委员会在</w:t>
      </w:r>
      <w:r w:rsidRPr="00BF42B7">
        <w:rPr>
          <w:rFonts w:hint="eastAsia"/>
        </w:rPr>
        <w:t>2016</w:t>
      </w:r>
      <w:r w:rsidRPr="00BF42B7">
        <w:rPr>
          <w:rFonts w:hint="eastAsia"/>
        </w:rPr>
        <w:t>年</w:t>
      </w:r>
      <w:r w:rsidRPr="00BF42B7">
        <w:rPr>
          <w:rFonts w:hint="eastAsia"/>
        </w:rPr>
        <w:t>8</w:t>
      </w:r>
      <w:r w:rsidRPr="00BF42B7">
        <w:rPr>
          <w:rFonts w:hint="eastAsia"/>
        </w:rPr>
        <w:t>月</w:t>
      </w:r>
      <w:r w:rsidRPr="00BF42B7">
        <w:rPr>
          <w:rFonts w:hint="eastAsia"/>
        </w:rPr>
        <w:t>9</w:t>
      </w:r>
      <w:r w:rsidRPr="00BF42B7">
        <w:rPr>
          <w:rFonts w:hint="eastAsia"/>
        </w:rPr>
        <w:t>日举行的第</w:t>
      </w:r>
      <w:r w:rsidRPr="00BF42B7">
        <w:rPr>
          <w:rFonts w:hint="eastAsia"/>
        </w:rPr>
        <w:t>3341</w:t>
      </w:r>
      <w:r w:rsidRPr="00BF42B7">
        <w:rPr>
          <w:rFonts w:hint="eastAsia"/>
        </w:rPr>
        <w:t>次会议上，通过了本届会议暂时通过的条款草案的评注</w:t>
      </w:r>
      <w:r w:rsidRPr="00BF42B7">
        <w:t>(</w:t>
      </w:r>
      <w:r w:rsidRPr="00BF42B7">
        <w:rPr>
          <w:rFonts w:hint="eastAsia"/>
        </w:rPr>
        <w:t>见下文</w:t>
      </w:r>
      <w:r w:rsidRPr="00BF42B7">
        <w:t>C.2</w:t>
      </w:r>
      <w:r w:rsidRPr="00BF42B7">
        <w:rPr>
          <w:rFonts w:hint="eastAsia"/>
        </w:rPr>
        <w:t>节</w:t>
      </w:r>
      <w:r w:rsidRPr="00BF42B7">
        <w:t>)</w:t>
      </w:r>
      <w:r w:rsidRPr="00BF42B7">
        <w:rPr>
          <w:rFonts w:hint="eastAsia"/>
        </w:rPr>
        <w:t>。</w:t>
      </w:r>
    </w:p>
    <w:p w:rsidR="00CD5A8C" w:rsidRPr="00BF42B7" w:rsidRDefault="00CD5A8C" w:rsidP="00586EF6">
      <w:pPr>
        <w:pStyle w:val="H1GC"/>
        <w:rPr>
          <w:lang w:val="en-GB"/>
        </w:rPr>
      </w:pPr>
      <w:r w:rsidRPr="00BF42B7">
        <w:rPr>
          <w:rFonts w:hint="eastAsia"/>
        </w:rPr>
        <w:tab/>
      </w:r>
      <w:r w:rsidRPr="00BF42B7">
        <w:rPr>
          <w:rFonts w:eastAsia="Calibri"/>
          <w:lang w:val="en-GB"/>
        </w:rPr>
        <w:t>C.</w:t>
      </w:r>
      <w:r w:rsidRPr="00BF42B7">
        <w:rPr>
          <w:rFonts w:eastAsia="Calibri"/>
          <w:lang w:val="en-GB"/>
        </w:rPr>
        <w:tab/>
      </w:r>
      <w:r w:rsidRPr="00BF42B7">
        <w:rPr>
          <w:rFonts w:hint="eastAsia"/>
          <w:lang w:val="en-GB"/>
        </w:rPr>
        <w:t>委员会迄今为止暂时通过的关于危害人类罪的条款草案案文</w:t>
      </w:r>
    </w:p>
    <w:p w:rsidR="00CD5A8C" w:rsidRPr="00BF42B7" w:rsidRDefault="00CD5A8C" w:rsidP="00586EF6">
      <w:pPr>
        <w:pStyle w:val="H23GC"/>
        <w:rPr>
          <w:rFonts w:eastAsia="Calibri"/>
          <w:lang w:val="en-GB"/>
        </w:rPr>
      </w:pPr>
      <w:r w:rsidRPr="00BF42B7">
        <w:rPr>
          <w:rFonts w:hint="eastAsia"/>
          <w:lang w:val="en-GB"/>
        </w:rPr>
        <w:tab/>
      </w:r>
      <w:r w:rsidRPr="00BF42B7">
        <w:rPr>
          <w:rFonts w:eastAsia="Calibri"/>
          <w:lang w:val="en-GB"/>
        </w:rPr>
        <w:t>1.</w:t>
      </w:r>
      <w:r w:rsidRPr="00BF42B7">
        <w:rPr>
          <w:rFonts w:eastAsia="Calibri"/>
          <w:lang w:val="en-GB"/>
        </w:rPr>
        <w:tab/>
      </w:r>
      <w:r w:rsidRPr="00BF42B7">
        <w:rPr>
          <w:rFonts w:hint="eastAsia"/>
          <w:lang w:val="en-GB"/>
        </w:rPr>
        <w:t>条款草案案文</w:t>
      </w:r>
    </w:p>
    <w:p w:rsidR="00CD5A8C" w:rsidRPr="00BF42B7" w:rsidRDefault="00CD5A8C" w:rsidP="00CD5A8C">
      <w:pPr>
        <w:tabs>
          <w:tab w:val="clear" w:pos="431"/>
          <w:tab w:val="left" w:pos="1134"/>
          <w:tab w:val="left" w:pos="1565"/>
          <w:tab w:val="left" w:pos="1996"/>
          <w:tab w:val="left" w:pos="2427"/>
        </w:tabs>
        <w:spacing w:after="120"/>
        <w:ind w:left="1134" w:right="1134"/>
        <w:rPr>
          <w:rFonts w:eastAsia="Calibri"/>
        </w:rPr>
      </w:pPr>
      <w:r w:rsidRPr="00BF42B7">
        <w:rPr>
          <w:rFonts w:eastAsia="Calibri"/>
        </w:rPr>
        <w:t xml:space="preserve">84.  </w:t>
      </w:r>
      <w:r w:rsidRPr="00BF42B7">
        <w:rPr>
          <w:rFonts w:ascii="宋体" w:hAnsi="宋体" w:cs="宋体" w:hint="eastAsia"/>
        </w:rPr>
        <w:t>委员会迄今为止暂时通过的条款草案案文载录如下。</w:t>
      </w:r>
    </w:p>
    <w:p w:rsidR="00CD5A8C" w:rsidRPr="00BF42B7" w:rsidRDefault="00CD5A8C" w:rsidP="00CD5A8C">
      <w:pPr>
        <w:pStyle w:val="H23GC"/>
        <w:ind w:left="1554"/>
        <w:rPr>
          <w:i/>
          <w:iCs/>
        </w:rPr>
      </w:pPr>
      <w:r w:rsidRPr="00BF42B7">
        <w:rPr>
          <w:rFonts w:hint="eastAsia"/>
        </w:rPr>
        <w:tab/>
      </w:r>
      <w:r w:rsidRPr="00BF42B7">
        <w:rPr>
          <w:rFonts w:hint="eastAsia"/>
        </w:rPr>
        <w:tab/>
      </w:r>
      <w:r w:rsidRPr="00BF42B7">
        <w:rPr>
          <w:rFonts w:hint="eastAsia"/>
        </w:rPr>
        <w:t>第</w:t>
      </w:r>
      <w:r w:rsidRPr="00BF42B7">
        <w:t>1</w:t>
      </w:r>
      <w:r w:rsidRPr="00BF42B7">
        <w:rPr>
          <w:rFonts w:hint="eastAsia"/>
        </w:rPr>
        <w:t>条</w:t>
      </w:r>
      <w:r w:rsidRPr="00BF42B7">
        <w:br/>
      </w:r>
      <w:r w:rsidRPr="00BF42B7">
        <w:rPr>
          <w:rFonts w:hint="eastAsia"/>
        </w:rPr>
        <w:t>范围</w:t>
      </w:r>
    </w:p>
    <w:p w:rsidR="00CD5A8C" w:rsidRPr="00BF42B7" w:rsidRDefault="007873D0" w:rsidP="007873D0">
      <w:pPr>
        <w:tabs>
          <w:tab w:val="clear" w:pos="431"/>
          <w:tab w:val="left" w:pos="1996"/>
          <w:tab w:val="left" w:pos="2427"/>
        </w:tabs>
        <w:spacing w:after="120"/>
        <w:ind w:left="1554" w:right="1134"/>
      </w:pPr>
      <w:r>
        <w:rPr>
          <w:rFonts w:ascii="宋体" w:hAnsi="宋体" w:cs="宋体" w:hint="eastAsia"/>
        </w:rPr>
        <w:tab/>
      </w:r>
      <w:r w:rsidR="00CD5A8C" w:rsidRPr="00BF42B7">
        <w:rPr>
          <w:rFonts w:ascii="宋体" w:hAnsi="宋体" w:cs="宋体" w:hint="eastAsia"/>
        </w:rPr>
        <w:t>本条款草案适用于防止和惩治危害人类罪。</w:t>
      </w:r>
    </w:p>
    <w:p w:rsidR="00CD5A8C" w:rsidRPr="00BF42B7" w:rsidRDefault="00CD5A8C" w:rsidP="00CD5A8C">
      <w:pPr>
        <w:pStyle w:val="H23GC"/>
        <w:ind w:left="1554"/>
        <w:rPr>
          <w:rFonts w:ascii="华文楷体" w:eastAsia="华文楷体" w:hAnsi="华文楷体"/>
        </w:rPr>
      </w:pPr>
      <w:r w:rsidRPr="00BF42B7">
        <w:rPr>
          <w:rFonts w:ascii="Time New Roman" w:hAnsi="Time New Roman" w:cs="宋体" w:hint="eastAsia"/>
        </w:rPr>
        <w:tab/>
      </w:r>
      <w:r w:rsidRPr="00BF42B7">
        <w:rPr>
          <w:rFonts w:ascii="Time New Roman" w:hAnsi="Time New Roman" w:cs="宋体" w:hint="eastAsia"/>
        </w:rPr>
        <w:tab/>
      </w:r>
      <w:r w:rsidRPr="00BF42B7">
        <w:rPr>
          <w:rFonts w:ascii="Time New Roman" w:hAnsi="Time New Roman" w:cs="宋体" w:hint="eastAsia"/>
        </w:rPr>
        <w:t>第</w:t>
      </w:r>
      <w:r w:rsidRPr="00BF42B7">
        <w:rPr>
          <w:rFonts w:ascii="Time New Roman" w:hAnsi="Time New Roman"/>
        </w:rPr>
        <w:t>2</w:t>
      </w:r>
      <w:r w:rsidRPr="00BF42B7">
        <w:rPr>
          <w:rFonts w:ascii="Time New Roman" w:hAnsi="Time New Roman" w:cs="宋体" w:hint="eastAsia"/>
        </w:rPr>
        <w:t>条</w:t>
      </w:r>
      <w:r w:rsidRPr="00BF42B7">
        <w:rPr>
          <w:rFonts w:ascii="宋体" w:hAnsi="宋体" w:cs="宋体"/>
        </w:rPr>
        <w:br/>
      </w:r>
      <w:r w:rsidRPr="00BF42B7">
        <w:rPr>
          <w:rFonts w:ascii="宋体" w:hAnsi="宋体" w:cs="宋体" w:hint="eastAsia"/>
        </w:rPr>
        <w:t>一般义务</w:t>
      </w:r>
    </w:p>
    <w:p w:rsidR="00CD5A8C" w:rsidRPr="00BF42B7" w:rsidRDefault="007873D0" w:rsidP="007873D0">
      <w:pPr>
        <w:tabs>
          <w:tab w:val="clear" w:pos="431"/>
          <w:tab w:val="left" w:pos="1996"/>
          <w:tab w:val="left" w:pos="2427"/>
        </w:tabs>
        <w:spacing w:after="120"/>
        <w:ind w:left="1554" w:right="1134"/>
      </w:pPr>
      <w:r>
        <w:rPr>
          <w:rFonts w:ascii="宋体" w:hAnsi="宋体" w:cs="宋体" w:hint="eastAsia"/>
        </w:rPr>
        <w:tab/>
      </w:r>
      <w:r w:rsidR="00CD5A8C" w:rsidRPr="00BF42B7">
        <w:rPr>
          <w:rFonts w:ascii="宋体" w:hAnsi="宋体" w:cs="宋体" w:hint="eastAsia"/>
        </w:rPr>
        <w:t>危害人类罪，不论是否发生于武装冲突之时，均系国际法上的罪行，各国承允防止并惩治之。</w:t>
      </w:r>
    </w:p>
    <w:p w:rsidR="00CD5A8C" w:rsidRPr="00BF42B7" w:rsidRDefault="00CD5A8C" w:rsidP="00CD5A8C">
      <w:pPr>
        <w:pStyle w:val="H23GC"/>
        <w:ind w:left="1554"/>
        <w:rPr>
          <w:rFonts w:eastAsia="楷体"/>
        </w:rPr>
      </w:pPr>
      <w:r w:rsidRPr="00BF42B7">
        <w:rPr>
          <w:rFonts w:ascii="宋体" w:hAnsi="宋体" w:cs="宋体" w:hint="eastAsia"/>
        </w:rPr>
        <w:tab/>
      </w:r>
      <w:r w:rsidRPr="00BF42B7">
        <w:rPr>
          <w:rFonts w:ascii="宋体" w:hAnsi="宋体" w:cs="宋体" w:hint="eastAsia"/>
        </w:rPr>
        <w:tab/>
      </w:r>
      <w:r w:rsidRPr="00BF42B7">
        <w:rPr>
          <w:rFonts w:ascii="宋体" w:hAnsi="宋体" w:cs="宋体" w:hint="eastAsia"/>
        </w:rPr>
        <w:t>第</w:t>
      </w:r>
      <w:r w:rsidRPr="00BF42B7">
        <w:t>3</w:t>
      </w:r>
      <w:r w:rsidRPr="00BF42B7">
        <w:rPr>
          <w:rFonts w:ascii="宋体" w:hAnsi="宋体" w:cs="宋体" w:hint="eastAsia"/>
        </w:rPr>
        <w:t>条</w:t>
      </w:r>
      <w:r w:rsidRPr="00BF42B7">
        <w:br/>
      </w:r>
      <w:r w:rsidRPr="00BF42B7">
        <w:rPr>
          <w:rFonts w:ascii="宋体" w:hAnsi="宋体" w:cs="宋体" w:hint="eastAsia"/>
        </w:rPr>
        <w:t>危害人类罪的定义</w:t>
      </w:r>
    </w:p>
    <w:p w:rsidR="00CD5A8C" w:rsidRPr="00BF42B7" w:rsidRDefault="00CD5A8C" w:rsidP="00CD5A8C">
      <w:pPr>
        <w:tabs>
          <w:tab w:val="clear" w:pos="431"/>
          <w:tab w:val="left" w:pos="1134"/>
          <w:tab w:val="left" w:pos="1565"/>
          <w:tab w:val="left" w:pos="1996"/>
          <w:tab w:val="left" w:pos="2427"/>
        </w:tabs>
        <w:spacing w:after="120"/>
        <w:ind w:left="1554" w:right="1134"/>
      </w:pPr>
      <w:r w:rsidRPr="00BF42B7">
        <w:t xml:space="preserve">1.  </w:t>
      </w:r>
      <w:r w:rsidRPr="00BF42B7">
        <w:t>为了本条款草案的目的，</w:t>
      </w:r>
      <w:r w:rsidRPr="00BF42B7">
        <w:rPr>
          <w:rFonts w:hint="eastAsia"/>
        </w:rPr>
        <w:t>“</w:t>
      </w:r>
      <w:r w:rsidRPr="00BF42B7">
        <w:t>危害人类罪</w:t>
      </w:r>
      <w:r w:rsidRPr="00BF42B7">
        <w:rPr>
          <w:rFonts w:hint="eastAsia"/>
        </w:rPr>
        <w:t>”</w:t>
      </w:r>
      <w:r w:rsidRPr="00BF42B7">
        <w:t>是指在广泛或有系统地针对任何平民人口进行的攻击中，在明知这一攻击的情况下，作为攻击的一部分而实施的下列任何一种行为：</w:t>
      </w:r>
    </w:p>
    <w:p w:rsidR="00CD5A8C" w:rsidRPr="00BF42B7" w:rsidRDefault="00CD5A8C" w:rsidP="00396D56">
      <w:pPr>
        <w:numPr>
          <w:ilvl w:val="0"/>
          <w:numId w:val="16"/>
        </w:numPr>
        <w:tabs>
          <w:tab w:val="clear" w:pos="431"/>
          <w:tab w:val="left" w:pos="1134"/>
          <w:tab w:val="left" w:pos="1565"/>
          <w:tab w:val="left" w:pos="1996"/>
          <w:tab w:val="left" w:pos="2427"/>
        </w:tabs>
        <w:overflowPunct/>
        <w:adjustRightInd/>
        <w:snapToGrid/>
        <w:spacing w:after="120"/>
        <w:ind w:right="1134"/>
        <w:jc w:val="left"/>
      </w:pPr>
      <w:r w:rsidRPr="00BF42B7">
        <w:rPr>
          <w:rFonts w:ascii="宋体" w:hAnsi="宋体" w:cs="宋体" w:hint="eastAsia"/>
        </w:rPr>
        <w:t>谋杀；</w:t>
      </w:r>
    </w:p>
    <w:p w:rsidR="00CD5A8C" w:rsidRPr="00BF42B7" w:rsidRDefault="00CD5A8C" w:rsidP="00396D56">
      <w:pPr>
        <w:numPr>
          <w:ilvl w:val="0"/>
          <w:numId w:val="16"/>
        </w:numPr>
        <w:tabs>
          <w:tab w:val="clear" w:pos="431"/>
          <w:tab w:val="left" w:pos="1134"/>
          <w:tab w:val="left" w:pos="1565"/>
          <w:tab w:val="left" w:pos="1996"/>
          <w:tab w:val="left" w:pos="2427"/>
        </w:tabs>
        <w:overflowPunct/>
        <w:adjustRightInd/>
        <w:snapToGrid/>
        <w:spacing w:after="120"/>
        <w:ind w:right="1134"/>
        <w:jc w:val="left"/>
      </w:pPr>
      <w:r w:rsidRPr="00BF42B7">
        <w:rPr>
          <w:rFonts w:ascii="宋体" w:hAnsi="宋体" w:cs="宋体" w:hint="eastAsia"/>
        </w:rPr>
        <w:t>灭绝；</w:t>
      </w:r>
    </w:p>
    <w:p w:rsidR="00CD5A8C" w:rsidRPr="00BF42B7" w:rsidRDefault="00CD5A8C" w:rsidP="00396D56">
      <w:pPr>
        <w:numPr>
          <w:ilvl w:val="0"/>
          <w:numId w:val="16"/>
        </w:numPr>
        <w:tabs>
          <w:tab w:val="clear" w:pos="431"/>
          <w:tab w:val="left" w:pos="1134"/>
          <w:tab w:val="left" w:pos="1565"/>
          <w:tab w:val="left" w:pos="1996"/>
          <w:tab w:val="left" w:pos="2427"/>
        </w:tabs>
        <w:overflowPunct/>
        <w:adjustRightInd/>
        <w:snapToGrid/>
        <w:spacing w:after="120"/>
        <w:ind w:right="1134"/>
        <w:jc w:val="left"/>
      </w:pPr>
      <w:r w:rsidRPr="00BF42B7">
        <w:rPr>
          <w:rFonts w:ascii="宋体" w:hAnsi="宋体" w:cs="宋体" w:hint="eastAsia"/>
        </w:rPr>
        <w:t>奴役；</w:t>
      </w:r>
    </w:p>
    <w:p w:rsidR="00CD5A8C" w:rsidRPr="00BF42B7" w:rsidRDefault="00CD5A8C" w:rsidP="00396D56">
      <w:pPr>
        <w:numPr>
          <w:ilvl w:val="0"/>
          <w:numId w:val="16"/>
        </w:numPr>
        <w:tabs>
          <w:tab w:val="clear" w:pos="431"/>
          <w:tab w:val="left" w:pos="1134"/>
          <w:tab w:val="left" w:pos="1565"/>
          <w:tab w:val="left" w:pos="1996"/>
          <w:tab w:val="left" w:pos="2427"/>
        </w:tabs>
        <w:overflowPunct/>
        <w:adjustRightInd/>
        <w:snapToGrid/>
        <w:spacing w:after="120"/>
        <w:ind w:right="1134"/>
        <w:jc w:val="left"/>
      </w:pPr>
      <w:r w:rsidRPr="00BF42B7">
        <w:rPr>
          <w:rFonts w:ascii="宋体" w:hAnsi="宋体" w:cs="宋体" w:hint="eastAsia"/>
        </w:rPr>
        <w:t>驱逐出境或强行迁移人口；</w:t>
      </w:r>
    </w:p>
    <w:p w:rsidR="00CD5A8C" w:rsidRPr="00BF42B7" w:rsidRDefault="00CD5A8C" w:rsidP="00396D56">
      <w:pPr>
        <w:numPr>
          <w:ilvl w:val="0"/>
          <w:numId w:val="16"/>
        </w:numPr>
        <w:tabs>
          <w:tab w:val="clear" w:pos="431"/>
          <w:tab w:val="left" w:pos="1134"/>
          <w:tab w:val="left" w:pos="1565"/>
          <w:tab w:val="left" w:pos="1996"/>
          <w:tab w:val="left" w:pos="2427"/>
        </w:tabs>
        <w:overflowPunct/>
        <w:adjustRightInd/>
        <w:snapToGrid/>
        <w:spacing w:after="120"/>
        <w:ind w:right="1134"/>
      </w:pPr>
      <w:r w:rsidRPr="00BF42B7">
        <w:rPr>
          <w:rFonts w:ascii="宋体" w:hAnsi="宋体" w:cs="宋体" w:hint="eastAsia"/>
        </w:rPr>
        <w:t>违反国际法基本规则，监禁或以其他方式严重剥夺人身自由；</w:t>
      </w:r>
    </w:p>
    <w:p w:rsidR="00CD5A8C" w:rsidRPr="00BF42B7" w:rsidRDefault="00CD5A8C" w:rsidP="00396D56">
      <w:pPr>
        <w:numPr>
          <w:ilvl w:val="0"/>
          <w:numId w:val="16"/>
        </w:numPr>
        <w:tabs>
          <w:tab w:val="clear" w:pos="431"/>
          <w:tab w:val="left" w:pos="1134"/>
          <w:tab w:val="left" w:pos="1565"/>
          <w:tab w:val="left" w:pos="1996"/>
          <w:tab w:val="left" w:pos="2427"/>
        </w:tabs>
        <w:overflowPunct/>
        <w:adjustRightInd/>
        <w:snapToGrid/>
        <w:spacing w:after="120"/>
        <w:ind w:right="1134"/>
      </w:pPr>
      <w:r w:rsidRPr="00BF42B7">
        <w:rPr>
          <w:rFonts w:ascii="宋体" w:hAnsi="宋体" w:cs="宋体" w:hint="eastAsia"/>
        </w:rPr>
        <w:t>酷刑；</w:t>
      </w:r>
    </w:p>
    <w:p w:rsidR="00CD5A8C" w:rsidRPr="00BF42B7" w:rsidRDefault="00CD5A8C" w:rsidP="00396D56">
      <w:pPr>
        <w:numPr>
          <w:ilvl w:val="0"/>
          <w:numId w:val="16"/>
        </w:numPr>
        <w:tabs>
          <w:tab w:val="clear" w:pos="431"/>
          <w:tab w:val="left" w:pos="1134"/>
          <w:tab w:val="left" w:pos="1565"/>
          <w:tab w:val="left" w:pos="1996"/>
          <w:tab w:val="left" w:pos="2427"/>
        </w:tabs>
        <w:overflowPunct/>
        <w:adjustRightInd/>
        <w:snapToGrid/>
        <w:spacing w:after="120"/>
        <w:ind w:right="1134"/>
      </w:pPr>
      <w:r w:rsidRPr="00BF42B7">
        <w:rPr>
          <w:rFonts w:ascii="宋体" w:hAnsi="宋体" w:cs="宋体" w:hint="eastAsia"/>
        </w:rPr>
        <w:t>强奸、性奴役、强迫卖淫、强迫怀孕、强迫绝育或严重程度相当的任何其他形式的性暴力；</w:t>
      </w:r>
    </w:p>
    <w:p w:rsidR="00CD5A8C" w:rsidRPr="00BF42B7" w:rsidRDefault="00CD5A8C" w:rsidP="00396D56">
      <w:pPr>
        <w:numPr>
          <w:ilvl w:val="0"/>
          <w:numId w:val="16"/>
        </w:numPr>
        <w:tabs>
          <w:tab w:val="clear" w:pos="431"/>
          <w:tab w:val="left" w:pos="1134"/>
          <w:tab w:val="left" w:pos="1565"/>
          <w:tab w:val="left" w:pos="1996"/>
          <w:tab w:val="left" w:pos="2427"/>
        </w:tabs>
        <w:overflowPunct/>
        <w:adjustRightInd/>
        <w:snapToGrid/>
        <w:spacing w:after="120"/>
        <w:ind w:right="1134"/>
      </w:pPr>
      <w:r w:rsidRPr="00BF42B7">
        <w:t>基于政治、种族、民族、族裔、文化、宗教、第</w:t>
      </w:r>
      <w:r w:rsidRPr="00BF42B7">
        <w:rPr>
          <w:rFonts w:hint="eastAsia"/>
        </w:rPr>
        <w:t>3</w:t>
      </w:r>
      <w:r w:rsidRPr="00BF42B7">
        <w:t>款所界定的性别或公认为国际法不容的其他理由，对任何可以识别的群体或集体进行的迫害，且与本款提及的任何一种行为有关，或与灭绝种族</w:t>
      </w:r>
      <w:r w:rsidRPr="00BF42B7">
        <w:rPr>
          <w:rFonts w:hint="eastAsia"/>
        </w:rPr>
        <w:t>罪行</w:t>
      </w:r>
      <w:r w:rsidRPr="00BF42B7">
        <w:t>或战争罪行有关；</w:t>
      </w:r>
    </w:p>
    <w:p w:rsidR="00CD5A8C" w:rsidRPr="00BF42B7" w:rsidRDefault="00CD5A8C" w:rsidP="00396D56">
      <w:pPr>
        <w:numPr>
          <w:ilvl w:val="0"/>
          <w:numId w:val="16"/>
        </w:numPr>
        <w:tabs>
          <w:tab w:val="clear" w:pos="431"/>
          <w:tab w:val="left" w:pos="1134"/>
          <w:tab w:val="left" w:pos="1565"/>
          <w:tab w:val="left" w:pos="1996"/>
          <w:tab w:val="left" w:pos="2427"/>
        </w:tabs>
        <w:overflowPunct/>
        <w:adjustRightInd/>
        <w:snapToGrid/>
        <w:spacing w:after="120"/>
        <w:ind w:right="1134"/>
      </w:pPr>
      <w:r w:rsidRPr="00BF42B7">
        <w:rPr>
          <w:rFonts w:ascii="宋体" w:hAnsi="宋体" w:cs="宋体" w:hint="eastAsia"/>
        </w:rPr>
        <w:t>强迫人员失踪；</w:t>
      </w:r>
    </w:p>
    <w:p w:rsidR="00CD5A8C" w:rsidRPr="00BF42B7" w:rsidRDefault="00CD5A8C" w:rsidP="00396D56">
      <w:pPr>
        <w:numPr>
          <w:ilvl w:val="0"/>
          <w:numId w:val="16"/>
        </w:numPr>
        <w:tabs>
          <w:tab w:val="clear" w:pos="431"/>
          <w:tab w:val="left" w:pos="1134"/>
          <w:tab w:val="left" w:pos="1565"/>
          <w:tab w:val="left" w:pos="1996"/>
          <w:tab w:val="left" w:pos="2427"/>
        </w:tabs>
        <w:overflowPunct/>
        <w:adjustRightInd/>
        <w:snapToGrid/>
        <w:spacing w:after="120"/>
        <w:ind w:right="1134"/>
      </w:pPr>
      <w:r w:rsidRPr="00BF42B7">
        <w:rPr>
          <w:rFonts w:ascii="宋体" w:hAnsi="宋体" w:cs="宋体" w:hint="eastAsia"/>
        </w:rPr>
        <w:t>种族隔离罪；</w:t>
      </w:r>
    </w:p>
    <w:p w:rsidR="00CD5A8C" w:rsidRPr="00BF42B7" w:rsidRDefault="00CD5A8C" w:rsidP="00396D56">
      <w:pPr>
        <w:numPr>
          <w:ilvl w:val="0"/>
          <w:numId w:val="16"/>
        </w:numPr>
        <w:tabs>
          <w:tab w:val="clear" w:pos="431"/>
          <w:tab w:val="left" w:pos="1134"/>
          <w:tab w:val="left" w:pos="1565"/>
          <w:tab w:val="left" w:pos="1996"/>
          <w:tab w:val="left" w:pos="2427"/>
        </w:tabs>
        <w:overflowPunct/>
        <w:adjustRightInd/>
        <w:snapToGrid/>
        <w:spacing w:after="120"/>
        <w:ind w:right="1134"/>
      </w:pPr>
      <w:r w:rsidRPr="00BF42B7">
        <w:t>故意造成重大痛苦，或对人体或身心健康造成严重伤害的其他性质相同的不人道行为。</w:t>
      </w:r>
    </w:p>
    <w:p w:rsidR="00CD5A8C" w:rsidRPr="00BF42B7" w:rsidRDefault="00CD5A8C" w:rsidP="00CD5A8C">
      <w:pPr>
        <w:tabs>
          <w:tab w:val="clear" w:pos="431"/>
          <w:tab w:val="left" w:pos="1134"/>
          <w:tab w:val="left" w:pos="1565"/>
          <w:tab w:val="left" w:pos="1996"/>
          <w:tab w:val="left" w:pos="2427"/>
        </w:tabs>
        <w:spacing w:after="120"/>
        <w:ind w:left="1554" w:right="1134"/>
      </w:pPr>
      <w:r w:rsidRPr="00BF42B7">
        <w:t xml:space="preserve">2.  </w:t>
      </w:r>
      <w:r w:rsidRPr="00BF42B7">
        <w:rPr>
          <w:rFonts w:ascii="宋体" w:hAnsi="宋体" w:cs="宋体" w:hint="eastAsia"/>
        </w:rPr>
        <w:t>为了第</w:t>
      </w:r>
      <w:r w:rsidRPr="00BF42B7">
        <w:t>1</w:t>
      </w:r>
      <w:r w:rsidRPr="00BF42B7">
        <w:rPr>
          <w:rFonts w:ascii="宋体" w:hAnsi="宋体" w:cs="宋体" w:hint="eastAsia"/>
        </w:rPr>
        <w:t>款的目的：</w:t>
      </w:r>
    </w:p>
    <w:p w:rsidR="00CD5A8C" w:rsidRPr="00BF42B7" w:rsidRDefault="00CD5A8C" w:rsidP="00396D56">
      <w:pPr>
        <w:numPr>
          <w:ilvl w:val="0"/>
          <w:numId w:val="17"/>
        </w:numPr>
        <w:tabs>
          <w:tab w:val="clear" w:pos="431"/>
          <w:tab w:val="left" w:pos="1134"/>
          <w:tab w:val="left" w:pos="1565"/>
          <w:tab w:val="left" w:pos="1996"/>
          <w:tab w:val="left" w:pos="2427"/>
        </w:tabs>
        <w:overflowPunct/>
        <w:adjustRightInd/>
        <w:snapToGrid/>
        <w:spacing w:after="120"/>
        <w:ind w:right="1134"/>
      </w:pPr>
      <w:r w:rsidRPr="00BF42B7">
        <w:rPr>
          <w:rFonts w:ascii="宋体" w:hAnsi="宋体" w:cs="宋体" w:hint="eastAsia"/>
        </w:rPr>
        <w:t>“针对任何平民人口进行的攻击”是指根据国家或组织攻击平民人口的政策，或为了推行这种政策，针对任何平民人口多次实施第1款所述行为的行为过程；</w:t>
      </w:r>
    </w:p>
    <w:p w:rsidR="00CD5A8C" w:rsidRPr="00BF42B7" w:rsidRDefault="00CD5A8C" w:rsidP="00396D56">
      <w:pPr>
        <w:numPr>
          <w:ilvl w:val="0"/>
          <w:numId w:val="17"/>
        </w:numPr>
        <w:tabs>
          <w:tab w:val="clear" w:pos="431"/>
          <w:tab w:val="left" w:pos="1134"/>
          <w:tab w:val="left" w:pos="1565"/>
          <w:tab w:val="left" w:pos="1996"/>
          <w:tab w:val="left" w:pos="2427"/>
        </w:tabs>
        <w:overflowPunct/>
        <w:adjustRightInd/>
        <w:snapToGrid/>
        <w:spacing w:after="120"/>
        <w:ind w:right="1134"/>
      </w:pPr>
      <w:r w:rsidRPr="00BF42B7">
        <w:rPr>
          <w:rFonts w:hint="eastAsia"/>
        </w:rPr>
        <w:t>“</w:t>
      </w:r>
      <w:r w:rsidRPr="00BF42B7">
        <w:rPr>
          <w:rFonts w:ascii="宋体" w:hAnsi="宋体" w:cs="宋体" w:hint="eastAsia"/>
        </w:rPr>
        <w:t>灭绝</w:t>
      </w:r>
      <w:r w:rsidRPr="00BF42B7">
        <w:rPr>
          <w:rFonts w:hint="eastAsia"/>
        </w:rPr>
        <w:t>”</w:t>
      </w:r>
      <w:r w:rsidRPr="00BF42B7">
        <w:rPr>
          <w:rFonts w:ascii="宋体" w:hAnsi="宋体" w:cs="宋体" w:hint="eastAsia"/>
        </w:rPr>
        <w:t>包括故意施加某种生活状况，如断绝粮食和药品来源，目的是毁灭部分的人口；</w:t>
      </w:r>
    </w:p>
    <w:p w:rsidR="00CD5A8C" w:rsidRPr="00BF42B7" w:rsidRDefault="00CD5A8C" w:rsidP="00396D56">
      <w:pPr>
        <w:numPr>
          <w:ilvl w:val="0"/>
          <w:numId w:val="17"/>
        </w:numPr>
        <w:tabs>
          <w:tab w:val="clear" w:pos="431"/>
          <w:tab w:val="left" w:pos="1134"/>
          <w:tab w:val="left" w:pos="1565"/>
          <w:tab w:val="left" w:pos="1996"/>
          <w:tab w:val="left" w:pos="2427"/>
        </w:tabs>
        <w:overflowPunct/>
        <w:adjustRightInd/>
        <w:snapToGrid/>
        <w:spacing w:after="120"/>
        <w:ind w:right="1134"/>
      </w:pPr>
      <w:r w:rsidRPr="00BF42B7">
        <w:rPr>
          <w:rFonts w:hint="eastAsia"/>
        </w:rPr>
        <w:t>“</w:t>
      </w:r>
      <w:r w:rsidRPr="00BF42B7">
        <w:rPr>
          <w:rFonts w:ascii="宋体" w:hAnsi="宋体" w:cs="宋体" w:hint="eastAsia"/>
        </w:rPr>
        <w:t>奴役</w:t>
      </w:r>
      <w:r w:rsidRPr="00BF42B7">
        <w:rPr>
          <w:rFonts w:hint="eastAsia"/>
        </w:rPr>
        <w:t>”</w:t>
      </w:r>
      <w:r w:rsidRPr="00BF42B7">
        <w:rPr>
          <w:rFonts w:ascii="宋体" w:hAnsi="宋体" w:cs="宋体" w:hint="eastAsia"/>
        </w:rPr>
        <w:t>是指对人行使附属于所有权的任何或一切权力，包括在贩卖人口，特别是贩卖妇女和儿童的过程中行使这种权力；</w:t>
      </w:r>
    </w:p>
    <w:p w:rsidR="00CD5A8C" w:rsidRPr="00BF42B7" w:rsidRDefault="00CD5A8C" w:rsidP="00396D56">
      <w:pPr>
        <w:numPr>
          <w:ilvl w:val="0"/>
          <w:numId w:val="17"/>
        </w:numPr>
        <w:tabs>
          <w:tab w:val="clear" w:pos="431"/>
          <w:tab w:val="left" w:pos="1134"/>
          <w:tab w:val="left" w:pos="1565"/>
          <w:tab w:val="left" w:pos="1996"/>
          <w:tab w:val="left" w:pos="2427"/>
        </w:tabs>
        <w:overflowPunct/>
        <w:adjustRightInd/>
        <w:snapToGrid/>
        <w:spacing w:after="120"/>
        <w:ind w:right="1134"/>
      </w:pPr>
      <w:r w:rsidRPr="00BF42B7">
        <w:rPr>
          <w:rFonts w:hint="eastAsia"/>
        </w:rPr>
        <w:t>“</w:t>
      </w:r>
      <w:r w:rsidRPr="00BF42B7">
        <w:rPr>
          <w:rFonts w:ascii="宋体" w:hAnsi="宋体" w:cs="宋体" w:hint="eastAsia"/>
        </w:rPr>
        <w:t>驱逐出境或强行迁移人口</w:t>
      </w:r>
      <w:r w:rsidRPr="00BF42B7">
        <w:rPr>
          <w:rFonts w:hint="eastAsia"/>
        </w:rPr>
        <w:t>”</w:t>
      </w:r>
      <w:r w:rsidRPr="00BF42B7">
        <w:rPr>
          <w:rFonts w:ascii="宋体" w:hAnsi="宋体" w:cs="宋体" w:hint="eastAsia"/>
        </w:rPr>
        <w:t>是指在缺乏国际法容许的理由的情况下，以驱逐或其他胁迫行为，强迫有关的人迁离其合法留在的地区；</w:t>
      </w:r>
    </w:p>
    <w:p w:rsidR="00CD5A8C" w:rsidRPr="00BF42B7" w:rsidRDefault="00CD5A8C" w:rsidP="00396D56">
      <w:pPr>
        <w:numPr>
          <w:ilvl w:val="0"/>
          <w:numId w:val="17"/>
        </w:numPr>
        <w:tabs>
          <w:tab w:val="clear" w:pos="431"/>
          <w:tab w:val="left" w:pos="1134"/>
          <w:tab w:val="left" w:pos="1565"/>
          <w:tab w:val="left" w:pos="1996"/>
          <w:tab w:val="left" w:pos="2427"/>
        </w:tabs>
        <w:overflowPunct/>
        <w:adjustRightInd/>
        <w:snapToGrid/>
        <w:spacing w:after="120"/>
        <w:ind w:right="1134"/>
      </w:pPr>
      <w:r w:rsidRPr="00BF42B7">
        <w:rPr>
          <w:rFonts w:hint="eastAsia"/>
        </w:rPr>
        <w:t>“</w:t>
      </w:r>
      <w:r w:rsidRPr="00BF42B7">
        <w:rPr>
          <w:rFonts w:ascii="宋体" w:hAnsi="宋体" w:cs="宋体" w:hint="eastAsia"/>
        </w:rPr>
        <w:t>酷刑</w:t>
      </w:r>
      <w:r w:rsidRPr="00BF42B7">
        <w:rPr>
          <w:rFonts w:hint="eastAsia"/>
        </w:rPr>
        <w:t>”</w:t>
      </w:r>
      <w:r w:rsidRPr="00BF42B7">
        <w:rPr>
          <w:rFonts w:ascii="宋体" w:hAnsi="宋体" w:cs="宋体" w:hint="eastAsia"/>
        </w:rPr>
        <w:t>是指故意致使在被告人羁押或控制下的人的身体或精神遭受重大痛苦；但酷刑不应包括纯因合法制裁而引起的，或这种制裁所固有或附带的痛苦；</w:t>
      </w:r>
    </w:p>
    <w:p w:rsidR="00CD5A8C" w:rsidRPr="00BF42B7" w:rsidRDefault="00CD5A8C" w:rsidP="00396D56">
      <w:pPr>
        <w:numPr>
          <w:ilvl w:val="0"/>
          <w:numId w:val="17"/>
        </w:numPr>
        <w:tabs>
          <w:tab w:val="clear" w:pos="431"/>
          <w:tab w:val="left" w:pos="1134"/>
          <w:tab w:val="left" w:pos="1565"/>
          <w:tab w:val="left" w:pos="1996"/>
          <w:tab w:val="left" w:pos="2427"/>
        </w:tabs>
        <w:overflowPunct/>
        <w:adjustRightInd/>
        <w:snapToGrid/>
        <w:spacing w:after="120"/>
        <w:ind w:right="1134"/>
      </w:pPr>
      <w:r w:rsidRPr="00BF42B7">
        <w:rPr>
          <w:rFonts w:hint="eastAsia"/>
        </w:rPr>
        <w:t>“</w:t>
      </w:r>
      <w:r w:rsidRPr="00BF42B7">
        <w:t>强迫怀孕</w:t>
      </w:r>
      <w:r w:rsidRPr="00BF42B7">
        <w:rPr>
          <w:rFonts w:hint="eastAsia"/>
        </w:rPr>
        <w:t>”</w:t>
      </w:r>
      <w:r w:rsidRPr="00BF42B7">
        <w:t>是指以影响任何人口的族裔构成的目的，或以进行其他严重违反国际法的行为的目的，非法禁闭被强迫怀孕的妇女。本定义不得以任何方式解释为影响国内关于妊娠的法律；</w:t>
      </w:r>
    </w:p>
    <w:p w:rsidR="00CD5A8C" w:rsidRPr="00BF42B7" w:rsidRDefault="00CD5A8C" w:rsidP="00396D56">
      <w:pPr>
        <w:numPr>
          <w:ilvl w:val="0"/>
          <w:numId w:val="17"/>
        </w:numPr>
        <w:tabs>
          <w:tab w:val="clear" w:pos="431"/>
          <w:tab w:val="left" w:pos="1134"/>
          <w:tab w:val="left" w:pos="1565"/>
          <w:tab w:val="left" w:pos="1996"/>
          <w:tab w:val="left" w:pos="2427"/>
        </w:tabs>
        <w:overflowPunct/>
        <w:adjustRightInd/>
        <w:snapToGrid/>
        <w:spacing w:after="120"/>
        <w:ind w:right="1134"/>
      </w:pPr>
      <w:r w:rsidRPr="00BF42B7">
        <w:rPr>
          <w:rFonts w:hint="eastAsia"/>
        </w:rPr>
        <w:t>“</w:t>
      </w:r>
      <w:r w:rsidRPr="00BF42B7">
        <w:t>迫害</w:t>
      </w:r>
      <w:r w:rsidRPr="00BF42B7">
        <w:rPr>
          <w:rFonts w:hint="eastAsia"/>
        </w:rPr>
        <w:t>”</w:t>
      </w:r>
      <w:r w:rsidRPr="00BF42B7">
        <w:t>是指违反</w:t>
      </w:r>
      <w:r w:rsidRPr="00BF42B7">
        <w:rPr>
          <w:rFonts w:ascii="宋体" w:hAnsi="宋体" w:cs="宋体"/>
        </w:rPr>
        <w:t>国际法</w:t>
      </w:r>
      <w:r w:rsidRPr="00BF42B7">
        <w:t>规定，针对某一群体或集体的特性，故意和严重地剥夺基本权利；</w:t>
      </w:r>
    </w:p>
    <w:p w:rsidR="00CD5A8C" w:rsidRPr="00BF42B7" w:rsidRDefault="00CD5A8C" w:rsidP="00396D56">
      <w:pPr>
        <w:numPr>
          <w:ilvl w:val="0"/>
          <w:numId w:val="17"/>
        </w:numPr>
        <w:tabs>
          <w:tab w:val="clear" w:pos="431"/>
          <w:tab w:val="left" w:pos="1134"/>
          <w:tab w:val="left" w:pos="1565"/>
          <w:tab w:val="left" w:pos="1996"/>
          <w:tab w:val="left" w:pos="2427"/>
        </w:tabs>
        <w:overflowPunct/>
        <w:adjustRightInd/>
        <w:snapToGrid/>
        <w:spacing w:after="120"/>
        <w:ind w:right="1134"/>
      </w:pPr>
      <w:r w:rsidRPr="00BF42B7">
        <w:rPr>
          <w:rFonts w:hint="eastAsia"/>
        </w:rPr>
        <w:t>“</w:t>
      </w:r>
      <w:r w:rsidRPr="00BF42B7">
        <w:t>种族隔离罪</w:t>
      </w:r>
      <w:r w:rsidRPr="00BF42B7">
        <w:rPr>
          <w:rFonts w:hint="eastAsia"/>
        </w:rPr>
        <w:t>”</w:t>
      </w:r>
      <w:r w:rsidRPr="00BF42B7">
        <w:t>是指一个种族群体对任何其他一个或多个种族群体，在一个有计划地实行压迫和统治的体制化制度下，实施性质与第</w:t>
      </w:r>
      <w:r w:rsidRPr="00BF42B7">
        <w:rPr>
          <w:rFonts w:hint="eastAsia"/>
        </w:rPr>
        <w:t>1</w:t>
      </w:r>
      <w:r w:rsidRPr="00BF42B7">
        <w:t>款所述行为相同的不人道行为，目的是维持该制度的存在；</w:t>
      </w:r>
    </w:p>
    <w:p w:rsidR="00CD5A8C" w:rsidRPr="00BF42B7" w:rsidRDefault="00CD5A8C" w:rsidP="00396D56">
      <w:pPr>
        <w:numPr>
          <w:ilvl w:val="0"/>
          <w:numId w:val="17"/>
        </w:numPr>
        <w:tabs>
          <w:tab w:val="clear" w:pos="431"/>
          <w:tab w:val="left" w:pos="1134"/>
          <w:tab w:val="left" w:pos="1565"/>
          <w:tab w:val="left" w:pos="1996"/>
          <w:tab w:val="left" w:pos="2427"/>
        </w:tabs>
        <w:overflowPunct/>
        <w:adjustRightInd/>
        <w:snapToGrid/>
        <w:spacing w:after="120"/>
        <w:ind w:right="1134"/>
      </w:pPr>
      <w:r w:rsidRPr="00BF42B7">
        <w:rPr>
          <w:rFonts w:hint="eastAsia"/>
        </w:rPr>
        <w:t>“</w:t>
      </w:r>
      <w:r w:rsidRPr="00BF42B7">
        <w:t>强迫人员失踪</w:t>
      </w:r>
      <w:r w:rsidRPr="00BF42B7">
        <w:rPr>
          <w:rFonts w:hint="eastAsia"/>
        </w:rPr>
        <w:t>”</w:t>
      </w:r>
      <w:r w:rsidRPr="00BF42B7">
        <w:t>是指国家或政治组织直接地，或在其同意、支持或默许下，逮捕、羁押或绑架人员，继而拒绝承认这种剥夺自由的行为，或拒绝透露有关人员的命运或下落，目的是将其长期置于法律保护之外。</w:t>
      </w:r>
    </w:p>
    <w:p w:rsidR="00CD5A8C" w:rsidRPr="00BF42B7" w:rsidRDefault="00CD5A8C" w:rsidP="00CD5A8C">
      <w:pPr>
        <w:tabs>
          <w:tab w:val="clear" w:pos="431"/>
          <w:tab w:val="left" w:pos="1134"/>
          <w:tab w:val="left" w:pos="1565"/>
          <w:tab w:val="left" w:pos="1996"/>
          <w:tab w:val="left" w:pos="2427"/>
        </w:tabs>
        <w:spacing w:after="120"/>
        <w:ind w:left="1554" w:right="1134"/>
      </w:pPr>
      <w:r w:rsidRPr="00BF42B7">
        <w:t xml:space="preserve">3.  </w:t>
      </w:r>
      <w:r w:rsidRPr="00BF42B7">
        <w:rPr>
          <w:rFonts w:ascii="宋体" w:hAnsi="宋体" w:cs="宋体" w:hint="eastAsia"/>
        </w:rPr>
        <w:t>为了本条款草案目的，</w:t>
      </w:r>
      <w:r w:rsidRPr="00BF42B7">
        <w:rPr>
          <w:rFonts w:hint="eastAsia"/>
        </w:rPr>
        <w:t>“</w:t>
      </w:r>
      <w:r w:rsidRPr="00BF42B7">
        <w:rPr>
          <w:rFonts w:ascii="宋体" w:hAnsi="宋体" w:cs="宋体" w:hint="eastAsia"/>
        </w:rPr>
        <w:t>性别</w:t>
      </w:r>
      <w:r w:rsidRPr="00BF42B7">
        <w:rPr>
          <w:rFonts w:hint="eastAsia"/>
        </w:rPr>
        <w:t>”</w:t>
      </w:r>
      <w:r w:rsidRPr="00BF42B7">
        <w:rPr>
          <w:rFonts w:ascii="宋体" w:hAnsi="宋体" w:cs="宋体" w:hint="eastAsia"/>
        </w:rPr>
        <w:t>一词应被理解为是指社会上的男女两性。</w:t>
      </w:r>
      <w:r w:rsidRPr="00BF42B7">
        <w:rPr>
          <w:rFonts w:hint="eastAsia"/>
        </w:rPr>
        <w:t>“</w:t>
      </w:r>
      <w:r w:rsidRPr="00BF42B7">
        <w:rPr>
          <w:rFonts w:ascii="宋体" w:hAnsi="宋体" w:cs="宋体" w:hint="eastAsia"/>
        </w:rPr>
        <w:t>性别</w:t>
      </w:r>
      <w:r w:rsidRPr="00BF42B7">
        <w:rPr>
          <w:rFonts w:hint="eastAsia"/>
        </w:rPr>
        <w:t>”</w:t>
      </w:r>
      <w:r w:rsidRPr="00BF42B7">
        <w:rPr>
          <w:rFonts w:ascii="宋体" w:hAnsi="宋体" w:cs="宋体" w:hint="eastAsia"/>
        </w:rPr>
        <w:t>一词仅反映上述意思。</w:t>
      </w:r>
    </w:p>
    <w:p w:rsidR="00CD5A8C" w:rsidRPr="00BF42B7" w:rsidRDefault="00CD5A8C" w:rsidP="00CD5A8C">
      <w:pPr>
        <w:tabs>
          <w:tab w:val="clear" w:pos="431"/>
          <w:tab w:val="left" w:pos="1134"/>
          <w:tab w:val="left" w:pos="1565"/>
          <w:tab w:val="left" w:pos="1996"/>
          <w:tab w:val="left" w:pos="2427"/>
        </w:tabs>
        <w:spacing w:after="120"/>
        <w:ind w:left="1554" w:right="1134"/>
      </w:pPr>
      <w:r w:rsidRPr="00BF42B7">
        <w:t xml:space="preserve">4.  </w:t>
      </w:r>
      <w:r w:rsidRPr="00BF42B7">
        <w:rPr>
          <w:rFonts w:ascii="宋体" w:hAnsi="宋体" w:cs="宋体" w:hint="eastAsia"/>
        </w:rPr>
        <w:t>本条草案不妨碍任何国际文书或国内法规定的任何更为宽泛的定义。</w:t>
      </w:r>
    </w:p>
    <w:p w:rsidR="00CD5A8C" w:rsidRPr="00BF42B7" w:rsidRDefault="00CD5A8C" w:rsidP="00CD5A8C">
      <w:pPr>
        <w:pStyle w:val="H23GC"/>
        <w:ind w:left="1554"/>
      </w:pPr>
      <w:r w:rsidRPr="00BF42B7">
        <w:rPr>
          <w:rFonts w:ascii="宋体" w:hAnsi="宋体" w:cs="宋体" w:hint="eastAsia"/>
        </w:rPr>
        <w:tab/>
      </w:r>
      <w:r w:rsidRPr="00BF42B7">
        <w:rPr>
          <w:rFonts w:ascii="宋体" w:hAnsi="宋体" w:cs="宋体" w:hint="eastAsia"/>
        </w:rPr>
        <w:tab/>
      </w:r>
      <w:r w:rsidRPr="00BF42B7">
        <w:rPr>
          <w:rFonts w:ascii="宋体" w:hAnsi="宋体" w:cs="宋体" w:hint="eastAsia"/>
        </w:rPr>
        <w:t>第</w:t>
      </w:r>
      <w:r w:rsidRPr="00BF42B7">
        <w:t>4</w:t>
      </w:r>
      <w:r w:rsidRPr="00BF42B7">
        <w:rPr>
          <w:rFonts w:ascii="宋体" w:hAnsi="宋体" w:cs="宋体" w:hint="eastAsia"/>
        </w:rPr>
        <w:t>条</w:t>
      </w:r>
      <w:r w:rsidRPr="00BF42B7">
        <w:br/>
      </w:r>
      <w:r w:rsidRPr="00BF42B7">
        <w:rPr>
          <w:rFonts w:ascii="宋体" w:hAnsi="宋体" w:cs="宋体" w:hint="eastAsia"/>
        </w:rPr>
        <w:t>预防义务</w:t>
      </w:r>
    </w:p>
    <w:p w:rsidR="00CD5A8C" w:rsidRPr="00BF42B7" w:rsidRDefault="00CD5A8C" w:rsidP="00CD5A8C">
      <w:pPr>
        <w:tabs>
          <w:tab w:val="clear" w:pos="431"/>
          <w:tab w:val="left" w:pos="1134"/>
          <w:tab w:val="left" w:pos="1565"/>
          <w:tab w:val="left" w:pos="1996"/>
          <w:tab w:val="left" w:pos="2427"/>
        </w:tabs>
        <w:spacing w:after="120"/>
        <w:ind w:left="1554" w:right="1134"/>
      </w:pPr>
      <w:r w:rsidRPr="00BF42B7">
        <w:t xml:space="preserve">1.  </w:t>
      </w:r>
      <w:r w:rsidRPr="00BF42B7">
        <w:rPr>
          <w:rFonts w:ascii="宋体" w:hAnsi="宋体" w:cs="宋体" w:hint="eastAsia"/>
        </w:rPr>
        <w:t>每一国家承诺按照国际法防止危害人类罪，办法包括：</w:t>
      </w:r>
    </w:p>
    <w:p w:rsidR="00CD5A8C" w:rsidRPr="00BF42B7" w:rsidRDefault="00CD5A8C" w:rsidP="00396D56">
      <w:pPr>
        <w:numPr>
          <w:ilvl w:val="0"/>
          <w:numId w:val="18"/>
        </w:numPr>
        <w:tabs>
          <w:tab w:val="clear" w:pos="431"/>
          <w:tab w:val="left" w:pos="1134"/>
          <w:tab w:val="left" w:pos="1565"/>
          <w:tab w:val="left" w:pos="1996"/>
          <w:tab w:val="left" w:pos="2427"/>
        </w:tabs>
        <w:overflowPunct/>
        <w:adjustRightInd/>
        <w:snapToGrid/>
        <w:spacing w:after="120"/>
        <w:ind w:right="1134"/>
        <w:jc w:val="left"/>
      </w:pPr>
      <w:r w:rsidRPr="00BF42B7">
        <w:rPr>
          <w:rFonts w:ascii="宋体" w:hAnsi="宋体" w:cs="宋体" w:hint="eastAsia"/>
        </w:rPr>
        <w:t>在其管辖或控制的任何领土内采取有效的立法、行政、司法或其他预防措施；</w:t>
      </w:r>
    </w:p>
    <w:p w:rsidR="00CD5A8C" w:rsidRPr="00BF42B7" w:rsidRDefault="00CD5A8C" w:rsidP="00396D56">
      <w:pPr>
        <w:numPr>
          <w:ilvl w:val="0"/>
          <w:numId w:val="18"/>
        </w:numPr>
        <w:tabs>
          <w:tab w:val="clear" w:pos="431"/>
          <w:tab w:val="left" w:pos="1134"/>
          <w:tab w:val="left" w:pos="1565"/>
          <w:tab w:val="left" w:pos="1996"/>
          <w:tab w:val="left" w:pos="2427"/>
        </w:tabs>
        <w:overflowPunct/>
        <w:adjustRightInd/>
        <w:snapToGrid/>
        <w:spacing w:after="120"/>
        <w:ind w:right="1134"/>
        <w:jc w:val="left"/>
      </w:pPr>
      <w:r w:rsidRPr="00BF42B7">
        <w:rPr>
          <w:rFonts w:ascii="宋体" w:hAnsi="宋体" w:cs="宋体" w:hint="eastAsia"/>
        </w:rPr>
        <w:t>与其他国家和有关政府间组织合作，并酌情与其他组织合作。</w:t>
      </w:r>
    </w:p>
    <w:p w:rsidR="00CD5A8C" w:rsidRPr="00BF42B7" w:rsidRDefault="00CD5A8C" w:rsidP="00CD5A8C">
      <w:pPr>
        <w:tabs>
          <w:tab w:val="clear" w:pos="431"/>
          <w:tab w:val="left" w:pos="1134"/>
          <w:tab w:val="left" w:pos="1565"/>
          <w:tab w:val="left" w:pos="1996"/>
          <w:tab w:val="left" w:pos="2427"/>
        </w:tabs>
        <w:spacing w:after="120"/>
        <w:ind w:left="1554" w:right="1134"/>
        <w:jc w:val="left"/>
      </w:pPr>
      <w:r w:rsidRPr="00BF42B7">
        <w:t xml:space="preserve">2.  </w:t>
      </w:r>
      <w:r w:rsidRPr="00BF42B7">
        <w:rPr>
          <w:rFonts w:ascii="宋体" w:hAnsi="宋体" w:cs="宋体" w:hint="eastAsia"/>
        </w:rPr>
        <w:t>任何特殊情况，诸如武装冲突、国内政局动荡、任何其他公共紧急状态等，均不得援引为施行危害人类罪的理由。</w:t>
      </w:r>
      <w:r w:rsidRPr="00BF42B7">
        <w:rPr>
          <w:color w:val="0000FF"/>
          <w:vertAlign w:val="superscript"/>
          <w:lang w:val="en-GB"/>
        </w:rPr>
        <w:footnoteReference w:id="1051"/>
      </w:r>
    </w:p>
    <w:p w:rsidR="00CD5A8C" w:rsidRPr="00BF42B7" w:rsidRDefault="00CD5A8C" w:rsidP="00CD5A8C">
      <w:pPr>
        <w:pStyle w:val="H23GC"/>
        <w:ind w:left="1554"/>
        <w:rPr>
          <w:color w:val="FF0000"/>
          <w:lang w:val="en-GB"/>
        </w:rPr>
      </w:pPr>
      <w:r w:rsidRPr="00BF42B7">
        <w:rPr>
          <w:rFonts w:hint="eastAsia"/>
          <w:lang w:val="en-GB"/>
        </w:rPr>
        <w:tab/>
      </w:r>
      <w:r w:rsidRPr="00BF42B7">
        <w:rPr>
          <w:rFonts w:hint="eastAsia"/>
          <w:lang w:val="en-GB"/>
        </w:rPr>
        <w:tab/>
      </w:r>
      <w:r w:rsidRPr="00BF42B7">
        <w:rPr>
          <w:rFonts w:hint="eastAsia"/>
          <w:lang w:val="en-GB"/>
        </w:rPr>
        <w:t>第</w:t>
      </w:r>
      <w:r w:rsidRPr="00BF42B7">
        <w:rPr>
          <w:lang w:val="en-GB"/>
        </w:rPr>
        <w:t>5</w:t>
      </w:r>
      <w:r w:rsidRPr="00BF42B7">
        <w:rPr>
          <w:rFonts w:hint="eastAsia"/>
          <w:lang w:val="en-GB"/>
        </w:rPr>
        <w:t>条</w:t>
      </w:r>
      <w:r w:rsidRPr="00BF42B7">
        <w:rPr>
          <w:lang w:val="en-GB"/>
        </w:rPr>
        <w:br/>
      </w:r>
      <w:r w:rsidRPr="00BF42B7">
        <w:rPr>
          <w:rFonts w:ascii="宋体" w:hAnsi="宋体" w:cs="宋体" w:hint="eastAsia"/>
        </w:rPr>
        <w:t>在国内法中定为刑事犯罪</w:t>
      </w:r>
    </w:p>
    <w:p w:rsidR="00CD5A8C" w:rsidRPr="00BF42B7" w:rsidRDefault="00CD5A8C" w:rsidP="00CD5A8C">
      <w:pPr>
        <w:tabs>
          <w:tab w:val="clear" w:pos="431"/>
          <w:tab w:val="left" w:pos="1134"/>
          <w:tab w:val="left" w:pos="1565"/>
          <w:tab w:val="left" w:pos="1996"/>
          <w:tab w:val="left" w:pos="2427"/>
        </w:tabs>
        <w:spacing w:after="120"/>
        <w:ind w:left="1554" w:right="1134"/>
      </w:pPr>
      <w:r w:rsidRPr="00BF42B7">
        <w:t xml:space="preserve">1.  </w:t>
      </w:r>
      <w:r w:rsidRPr="00BF42B7">
        <w:rPr>
          <w:rFonts w:hint="eastAsia"/>
        </w:rPr>
        <w:t>各国应采取必要措施，确保国家刑法规定危害人类罪构成犯罪。</w:t>
      </w:r>
    </w:p>
    <w:p w:rsidR="00CD5A8C" w:rsidRPr="00BF42B7" w:rsidRDefault="00CD5A8C" w:rsidP="00CD5A8C">
      <w:pPr>
        <w:tabs>
          <w:tab w:val="clear" w:pos="431"/>
          <w:tab w:val="left" w:pos="1134"/>
          <w:tab w:val="left" w:pos="1565"/>
          <w:tab w:val="left" w:pos="1996"/>
          <w:tab w:val="left" w:pos="2427"/>
        </w:tabs>
        <w:spacing w:after="120"/>
        <w:ind w:left="1554" w:right="1134"/>
      </w:pPr>
      <w:r w:rsidRPr="00BF42B7">
        <w:t xml:space="preserve">2.  </w:t>
      </w:r>
      <w:r w:rsidRPr="00BF42B7">
        <w:rPr>
          <w:rFonts w:hint="eastAsia"/>
        </w:rPr>
        <w:t>各国应采取必要措施，确保国家刑法把下列行为定为犯罪：</w:t>
      </w:r>
    </w:p>
    <w:p w:rsidR="00CD5A8C" w:rsidRPr="00BF42B7" w:rsidRDefault="00CD5A8C" w:rsidP="00396D56">
      <w:pPr>
        <w:numPr>
          <w:ilvl w:val="0"/>
          <w:numId w:val="19"/>
        </w:numPr>
        <w:tabs>
          <w:tab w:val="clear" w:pos="431"/>
          <w:tab w:val="left" w:pos="1134"/>
          <w:tab w:val="left" w:pos="1565"/>
          <w:tab w:val="left" w:pos="1996"/>
          <w:tab w:val="left" w:pos="2427"/>
        </w:tabs>
        <w:overflowPunct/>
        <w:adjustRightInd/>
        <w:snapToGrid/>
        <w:spacing w:after="120"/>
        <w:ind w:right="1134"/>
        <w:jc w:val="left"/>
      </w:pPr>
      <w:r w:rsidRPr="00BF42B7">
        <w:rPr>
          <w:rFonts w:hint="eastAsia"/>
        </w:rPr>
        <w:t>实施危害人类罪行；</w:t>
      </w:r>
    </w:p>
    <w:p w:rsidR="00CD5A8C" w:rsidRPr="00BF42B7" w:rsidRDefault="00CD5A8C" w:rsidP="00396D56">
      <w:pPr>
        <w:numPr>
          <w:ilvl w:val="0"/>
          <w:numId w:val="19"/>
        </w:numPr>
        <w:tabs>
          <w:tab w:val="clear" w:pos="431"/>
          <w:tab w:val="left" w:pos="1134"/>
          <w:tab w:val="left" w:pos="1565"/>
          <w:tab w:val="left" w:pos="1996"/>
          <w:tab w:val="left" w:pos="2427"/>
        </w:tabs>
        <w:overflowPunct/>
        <w:adjustRightInd/>
        <w:snapToGrid/>
        <w:spacing w:after="120"/>
        <w:ind w:right="1134"/>
        <w:jc w:val="left"/>
      </w:pPr>
      <w:r w:rsidRPr="00BF42B7">
        <w:rPr>
          <w:rFonts w:hint="eastAsia"/>
        </w:rPr>
        <w:t>企图实施这种罪行；</w:t>
      </w:r>
    </w:p>
    <w:p w:rsidR="00CD5A8C" w:rsidRPr="00BF42B7" w:rsidRDefault="00CD5A8C" w:rsidP="00396D56">
      <w:pPr>
        <w:numPr>
          <w:ilvl w:val="0"/>
          <w:numId w:val="19"/>
        </w:numPr>
        <w:tabs>
          <w:tab w:val="clear" w:pos="431"/>
          <w:tab w:val="left" w:pos="1134"/>
          <w:tab w:val="left" w:pos="1565"/>
          <w:tab w:val="left" w:pos="1996"/>
          <w:tab w:val="left" w:pos="2427"/>
        </w:tabs>
        <w:overflowPunct/>
        <w:adjustRightInd/>
        <w:snapToGrid/>
        <w:spacing w:after="120"/>
        <w:ind w:right="1134"/>
        <w:jc w:val="left"/>
      </w:pPr>
      <w:r w:rsidRPr="00BF42B7">
        <w:rPr>
          <w:rFonts w:hint="eastAsia"/>
        </w:rPr>
        <w:t>命令、怂恿、引诱、协助、教唆或以其他方式帮助或促成实施或企图实施这种罪行。</w:t>
      </w:r>
    </w:p>
    <w:p w:rsidR="00CD5A8C" w:rsidRPr="00BF42B7" w:rsidRDefault="00CD5A8C" w:rsidP="00CD5A8C">
      <w:pPr>
        <w:tabs>
          <w:tab w:val="clear" w:pos="431"/>
          <w:tab w:val="left" w:pos="1134"/>
          <w:tab w:val="left" w:pos="1565"/>
          <w:tab w:val="left" w:pos="1996"/>
          <w:tab w:val="left" w:pos="2427"/>
        </w:tabs>
        <w:spacing w:after="120"/>
        <w:ind w:left="1554" w:right="1134"/>
      </w:pPr>
      <w:r w:rsidRPr="00BF42B7">
        <w:t xml:space="preserve">3.  </w:t>
      </w:r>
      <w:r w:rsidRPr="00BF42B7">
        <w:rPr>
          <w:rFonts w:hint="eastAsia"/>
        </w:rPr>
        <w:t>各国还应采取必要措施，确保国家刑法将下列行为定为犯罪：</w:t>
      </w:r>
    </w:p>
    <w:p w:rsidR="00CD5A8C" w:rsidRPr="00BF42B7" w:rsidRDefault="00CD5A8C" w:rsidP="00396D56">
      <w:pPr>
        <w:numPr>
          <w:ilvl w:val="0"/>
          <w:numId w:val="20"/>
        </w:numPr>
        <w:tabs>
          <w:tab w:val="clear" w:pos="431"/>
          <w:tab w:val="left" w:pos="1134"/>
          <w:tab w:val="left" w:pos="1560"/>
          <w:tab w:val="left" w:pos="1996"/>
          <w:tab w:val="left" w:pos="2427"/>
        </w:tabs>
        <w:overflowPunct/>
        <w:adjustRightInd/>
        <w:snapToGrid/>
        <w:spacing w:after="120"/>
        <w:ind w:right="1134"/>
      </w:pPr>
      <w:r w:rsidRPr="00BF42B7">
        <w:rPr>
          <w:rFonts w:hint="eastAsia"/>
        </w:rPr>
        <w:t>军事指挥官或实际上以军事指挥官身份行事的人，如果未对在其实际上指挥和控制下的部队，或在其实际上管辖和控制下的部队适当行使控制，在下列情况下，应对这些部队实施的危害人类罪行负刑事责任：</w:t>
      </w:r>
    </w:p>
    <w:p w:rsidR="00CD5A8C" w:rsidRPr="00BF42B7" w:rsidRDefault="00CD5A8C" w:rsidP="00CD5A8C">
      <w:pPr>
        <w:tabs>
          <w:tab w:val="clear" w:pos="431"/>
          <w:tab w:val="left" w:pos="1134"/>
          <w:tab w:val="left" w:pos="1565"/>
          <w:tab w:val="left" w:pos="1996"/>
          <w:tab w:val="left" w:pos="2427"/>
        </w:tabs>
        <w:spacing w:after="120"/>
        <w:ind w:left="1974" w:right="1134"/>
      </w:pPr>
      <w:r w:rsidRPr="00BF42B7">
        <w:t>(</w:t>
      </w:r>
      <w:r w:rsidRPr="00BF42B7">
        <w:rPr>
          <w:rFonts w:hint="eastAsia"/>
        </w:rPr>
        <w:t>一</w:t>
      </w:r>
      <w:r w:rsidRPr="00BF42B7">
        <w:t>)</w:t>
      </w:r>
      <w:r w:rsidRPr="00BF42B7">
        <w:tab/>
      </w:r>
      <w:r w:rsidRPr="00BF42B7">
        <w:rPr>
          <w:rFonts w:hint="eastAsia"/>
        </w:rPr>
        <w:t>该军事指挥官或该人知道，或者由于当时的情况理应知道，部队正在实施或即将实施这些犯罪；</w:t>
      </w:r>
    </w:p>
    <w:p w:rsidR="00CD5A8C" w:rsidRPr="00BF42B7" w:rsidRDefault="00CD5A8C" w:rsidP="00CD5A8C">
      <w:pPr>
        <w:tabs>
          <w:tab w:val="clear" w:pos="431"/>
          <w:tab w:val="left" w:pos="1134"/>
          <w:tab w:val="left" w:pos="1565"/>
          <w:tab w:val="left" w:pos="1996"/>
          <w:tab w:val="left" w:pos="2427"/>
        </w:tabs>
        <w:spacing w:after="120"/>
        <w:ind w:left="1974" w:right="1134"/>
      </w:pPr>
      <w:r w:rsidRPr="00BF42B7">
        <w:t>(</w:t>
      </w:r>
      <w:r w:rsidRPr="00BF42B7">
        <w:rPr>
          <w:rFonts w:hint="eastAsia"/>
        </w:rPr>
        <w:t>二</w:t>
      </w:r>
      <w:r w:rsidRPr="00BF42B7">
        <w:t>)</w:t>
      </w:r>
      <w:r w:rsidRPr="00BF42B7">
        <w:tab/>
      </w:r>
      <w:r w:rsidRPr="00BF42B7">
        <w:rPr>
          <w:rFonts w:hint="eastAsia"/>
        </w:rPr>
        <w:t>该军事指挥官或该人未采取在其权力范围内的一切必要而合理的措施，防止或制止这些犯罪的实施，或报请主管当局就此事进行调查和起诉。</w:t>
      </w:r>
    </w:p>
    <w:p w:rsidR="00CD5A8C" w:rsidRPr="00BF42B7" w:rsidRDefault="00CD5A8C" w:rsidP="00396D56">
      <w:pPr>
        <w:numPr>
          <w:ilvl w:val="0"/>
          <w:numId w:val="20"/>
        </w:numPr>
        <w:tabs>
          <w:tab w:val="clear" w:pos="431"/>
          <w:tab w:val="left" w:pos="1134"/>
          <w:tab w:val="left" w:pos="1565"/>
          <w:tab w:val="left" w:pos="1996"/>
          <w:tab w:val="left" w:pos="2427"/>
        </w:tabs>
        <w:overflowPunct/>
        <w:adjustRightInd/>
        <w:snapToGrid/>
        <w:spacing w:after="120"/>
        <w:ind w:right="1134"/>
      </w:pPr>
      <w:r w:rsidRPr="00BF42B7">
        <w:rPr>
          <w:rFonts w:hint="eastAsia"/>
        </w:rPr>
        <w:t>对于</w:t>
      </w:r>
      <w:r w:rsidRPr="00BF42B7">
        <w:t>(a)</w:t>
      </w:r>
      <w:r w:rsidRPr="00BF42B7">
        <w:rPr>
          <w:rFonts w:hint="eastAsia"/>
        </w:rPr>
        <w:t>项未述及的上下级关系，上级人员如果未对在其实际上管辖或控制下的下级人员适当行使控制，在下列情况下，应对这些下级人员实施的危害人类罪负刑事责任：</w:t>
      </w:r>
    </w:p>
    <w:p w:rsidR="00CD5A8C" w:rsidRPr="00BF42B7" w:rsidRDefault="00CD5A8C" w:rsidP="00CD5A8C">
      <w:pPr>
        <w:tabs>
          <w:tab w:val="clear" w:pos="431"/>
          <w:tab w:val="left" w:pos="1134"/>
          <w:tab w:val="left" w:pos="1565"/>
          <w:tab w:val="left" w:pos="1996"/>
          <w:tab w:val="left" w:pos="2427"/>
        </w:tabs>
        <w:spacing w:after="120"/>
        <w:ind w:left="1974" w:right="1134"/>
      </w:pPr>
      <w:r w:rsidRPr="00BF42B7">
        <w:t>(</w:t>
      </w:r>
      <w:r w:rsidRPr="00BF42B7">
        <w:rPr>
          <w:rFonts w:hint="eastAsia"/>
        </w:rPr>
        <w:t>一</w:t>
      </w:r>
      <w:r w:rsidRPr="00BF42B7">
        <w:t>)</w:t>
      </w:r>
      <w:r w:rsidRPr="00BF42B7">
        <w:tab/>
      </w:r>
      <w:r w:rsidRPr="00BF42B7">
        <w:rPr>
          <w:rFonts w:hint="eastAsia"/>
        </w:rPr>
        <w:t>该上级人员知道下级人员正在实施或即将实施这些犯罪，或故意不理会明确反映这一情况的情报；</w:t>
      </w:r>
    </w:p>
    <w:p w:rsidR="00CD5A8C" w:rsidRPr="00BF42B7" w:rsidRDefault="00CD5A8C" w:rsidP="00CD5A8C">
      <w:pPr>
        <w:tabs>
          <w:tab w:val="clear" w:pos="431"/>
          <w:tab w:val="left" w:pos="1134"/>
          <w:tab w:val="left" w:pos="1565"/>
          <w:tab w:val="left" w:pos="1996"/>
          <w:tab w:val="left" w:pos="2427"/>
        </w:tabs>
        <w:spacing w:after="120"/>
        <w:ind w:left="1974" w:right="1134"/>
      </w:pPr>
      <w:r w:rsidRPr="00BF42B7">
        <w:t>(</w:t>
      </w:r>
      <w:r w:rsidRPr="00BF42B7">
        <w:rPr>
          <w:rFonts w:hint="eastAsia"/>
        </w:rPr>
        <w:t>二</w:t>
      </w:r>
      <w:r w:rsidRPr="00BF42B7">
        <w:t>)</w:t>
      </w:r>
      <w:r w:rsidRPr="00BF42B7">
        <w:tab/>
      </w:r>
      <w:r w:rsidRPr="00BF42B7">
        <w:rPr>
          <w:rFonts w:hint="eastAsia"/>
        </w:rPr>
        <w:t>犯罪涉及该上级人员实际上负责和控制的活动；</w:t>
      </w:r>
    </w:p>
    <w:p w:rsidR="00CD5A8C" w:rsidRPr="00BF42B7" w:rsidRDefault="00CD5A8C" w:rsidP="00CD5A8C">
      <w:pPr>
        <w:tabs>
          <w:tab w:val="clear" w:pos="431"/>
          <w:tab w:val="left" w:pos="1134"/>
          <w:tab w:val="left" w:pos="1565"/>
          <w:tab w:val="left" w:pos="1996"/>
          <w:tab w:val="left" w:pos="2427"/>
        </w:tabs>
        <w:spacing w:after="120"/>
        <w:ind w:left="1974" w:right="1134"/>
      </w:pPr>
      <w:r w:rsidRPr="00BF42B7">
        <w:t>(</w:t>
      </w:r>
      <w:r w:rsidRPr="00BF42B7">
        <w:rPr>
          <w:rFonts w:hint="eastAsia"/>
        </w:rPr>
        <w:t>三</w:t>
      </w:r>
      <w:r w:rsidRPr="00BF42B7">
        <w:t>)</w:t>
      </w:r>
      <w:r w:rsidRPr="00BF42B7">
        <w:tab/>
      </w:r>
      <w:r w:rsidRPr="00BF42B7">
        <w:rPr>
          <w:rFonts w:hint="eastAsia"/>
        </w:rPr>
        <w:t>该上级人员未采取在其权力范围内的一切必要而合理的措施，防止或制止这些犯罪的实施，或报请主管当局就此事进行调查和起诉。</w:t>
      </w:r>
    </w:p>
    <w:p w:rsidR="00CD5A8C" w:rsidRPr="00BF42B7" w:rsidRDefault="00CD5A8C" w:rsidP="00CD5A8C">
      <w:pPr>
        <w:tabs>
          <w:tab w:val="clear" w:pos="431"/>
          <w:tab w:val="left" w:pos="1134"/>
          <w:tab w:val="left" w:pos="1565"/>
          <w:tab w:val="left" w:pos="1996"/>
          <w:tab w:val="left" w:pos="2427"/>
        </w:tabs>
        <w:spacing w:after="120"/>
        <w:ind w:left="1554" w:right="1134"/>
      </w:pPr>
      <w:r w:rsidRPr="00BF42B7">
        <w:t xml:space="preserve">4.  </w:t>
      </w:r>
      <w:r w:rsidRPr="00BF42B7">
        <w:rPr>
          <w:rFonts w:hint="eastAsia"/>
        </w:rPr>
        <w:t>各国应采取必要措施确保国家刑法规定，依照政府或者军事或文职上级的命令实施本条款草案所述罪行的事实不成为免除下级刑事责任的理由。</w:t>
      </w:r>
    </w:p>
    <w:p w:rsidR="00CD5A8C" w:rsidRPr="00BF42B7" w:rsidRDefault="00CD5A8C" w:rsidP="00CD5A8C">
      <w:pPr>
        <w:tabs>
          <w:tab w:val="clear" w:pos="431"/>
          <w:tab w:val="left" w:pos="1134"/>
          <w:tab w:val="left" w:pos="1565"/>
          <w:tab w:val="left" w:pos="1996"/>
          <w:tab w:val="left" w:pos="2427"/>
        </w:tabs>
        <w:spacing w:after="120"/>
        <w:ind w:left="1554" w:right="1134"/>
      </w:pPr>
      <w:r w:rsidRPr="00BF42B7">
        <w:t xml:space="preserve">5.  </w:t>
      </w:r>
      <w:r w:rsidRPr="00BF42B7">
        <w:rPr>
          <w:rFonts w:hint="eastAsia"/>
        </w:rPr>
        <w:t>各国应采取必要措施确保国家刑法规定，本条款草案所述罪行不应受到任何时效限制。</w:t>
      </w:r>
    </w:p>
    <w:p w:rsidR="00CD5A8C" w:rsidRPr="00BF42B7" w:rsidRDefault="00CD5A8C" w:rsidP="00CD5A8C">
      <w:pPr>
        <w:tabs>
          <w:tab w:val="clear" w:pos="431"/>
          <w:tab w:val="left" w:pos="1134"/>
          <w:tab w:val="left" w:pos="1565"/>
          <w:tab w:val="left" w:pos="1996"/>
          <w:tab w:val="left" w:pos="2427"/>
        </w:tabs>
        <w:spacing w:after="120"/>
        <w:ind w:left="1554" w:right="1134"/>
      </w:pPr>
      <w:r w:rsidRPr="00BF42B7">
        <w:t xml:space="preserve">6.  </w:t>
      </w:r>
      <w:r w:rsidRPr="00BF42B7">
        <w:rPr>
          <w:rFonts w:hint="eastAsia"/>
        </w:rPr>
        <w:t>各国应采取必要措施确保国家刑法规定，对本条款草案所述罪行，应考虑到罪行的严重性，处以适当的惩罚。</w:t>
      </w:r>
    </w:p>
    <w:p w:rsidR="00CD5A8C" w:rsidRPr="00BF42B7" w:rsidRDefault="00CD5A8C" w:rsidP="00CD5A8C">
      <w:pPr>
        <w:tabs>
          <w:tab w:val="clear" w:pos="431"/>
          <w:tab w:val="left" w:pos="1996"/>
          <w:tab w:val="left" w:pos="2427"/>
        </w:tabs>
        <w:spacing w:after="120"/>
        <w:ind w:left="1582" w:right="1134" w:hanging="17"/>
      </w:pPr>
      <w:r w:rsidRPr="00BF42B7">
        <w:rPr>
          <w:rFonts w:hint="eastAsia"/>
        </w:rPr>
        <w:t xml:space="preserve">7.  </w:t>
      </w:r>
      <w:r w:rsidRPr="00BF42B7">
        <w:t>在不违反本国法律规定的情况下，每</w:t>
      </w:r>
      <w:r w:rsidRPr="00BF42B7">
        <w:rPr>
          <w:rFonts w:hint="eastAsia"/>
        </w:rPr>
        <w:t>个国家</w:t>
      </w:r>
      <w:r w:rsidRPr="00BF42B7">
        <w:t>应酌情采取适当措施确定法人对本条</w:t>
      </w:r>
      <w:r w:rsidRPr="00BF42B7">
        <w:rPr>
          <w:rFonts w:hint="eastAsia"/>
        </w:rPr>
        <w:t>草案所指</w:t>
      </w:r>
      <w:r w:rsidRPr="00BF42B7">
        <w:t>罪行的责任。在不违反</w:t>
      </w:r>
      <w:r w:rsidRPr="00BF42B7">
        <w:rPr>
          <w:rFonts w:hint="eastAsia"/>
        </w:rPr>
        <w:t>本国</w:t>
      </w:r>
      <w:r w:rsidRPr="00BF42B7">
        <w:t>法律原则的情况下，可将法人的这一责任定为刑事、民事或行政责任。</w:t>
      </w:r>
    </w:p>
    <w:p w:rsidR="00CD5A8C" w:rsidRPr="00BF42B7" w:rsidRDefault="00CD5A8C" w:rsidP="00CD5A8C">
      <w:pPr>
        <w:pStyle w:val="H23GC"/>
        <w:ind w:left="1554"/>
        <w:rPr>
          <w:rFonts w:eastAsia="楷体"/>
        </w:rPr>
      </w:pPr>
      <w:r w:rsidRPr="00BF42B7">
        <w:rPr>
          <w:rFonts w:ascii="Time New Roman" w:hAnsi="Time New Roman" w:hint="eastAsia"/>
        </w:rPr>
        <w:tab/>
      </w:r>
      <w:r w:rsidRPr="00BF42B7">
        <w:rPr>
          <w:rFonts w:ascii="Time New Roman" w:hAnsi="Time New Roman" w:hint="eastAsia"/>
        </w:rPr>
        <w:tab/>
      </w:r>
      <w:r w:rsidRPr="00BF42B7">
        <w:rPr>
          <w:rFonts w:ascii="Time New Roman" w:hAnsi="Time New Roman" w:hint="eastAsia"/>
        </w:rPr>
        <w:t>第</w:t>
      </w:r>
      <w:r w:rsidRPr="00BF42B7">
        <w:rPr>
          <w:rFonts w:ascii="Time New Roman" w:hAnsi="Time New Roman"/>
        </w:rPr>
        <w:t>6</w:t>
      </w:r>
      <w:r w:rsidRPr="00BF42B7">
        <w:rPr>
          <w:rFonts w:ascii="Time New Roman" w:hAnsi="Time New Roman" w:hint="eastAsia"/>
        </w:rPr>
        <w:t>条</w:t>
      </w:r>
      <w:r w:rsidRPr="00BF42B7">
        <w:br/>
      </w:r>
      <w:r w:rsidRPr="00BF42B7">
        <w:rPr>
          <w:rFonts w:ascii="宋体" w:hAnsi="宋体" w:cs="宋体" w:hint="eastAsia"/>
        </w:rPr>
        <w:t>确立国家管辖权</w:t>
      </w:r>
    </w:p>
    <w:p w:rsidR="00CD5A8C" w:rsidRPr="00BF42B7" w:rsidRDefault="00CD5A8C" w:rsidP="00CD5A8C">
      <w:pPr>
        <w:tabs>
          <w:tab w:val="clear" w:pos="431"/>
          <w:tab w:val="left" w:pos="1134"/>
          <w:tab w:val="left" w:pos="1565"/>
          <w:tab w:val="left" w:pos="1996"/>
          <w:tab w:val="left" w:pos="2427"/>
        </w:tabs>
        <w:spacing w:after="120"/>
        <w:ind w:left="1554" w:right="1134"/>
      </w:pPr>
      <w:r w:rsidRPr="00BF42B7">
        <w:t xml:space="preserve">1.  </w:t>
      </w:r>
      <w:r w:rsidRPr="00BF42B7">
        <w:rPr>
          <w:rFonts w:hint="eastAsia"/>
        </w:rPr>
        <w:t>各国应采取必要措施，确立在下列情况下对第</w:t>
      </w:r>
      <w:r w:rsidRPr="00BF42B7">
        <w:t>5</w:t>
      </w:r>
      <w:r w:rsidRPr="00BF42B7">
        <w:rPr>
          <w:rFonts w:hint="eastAsia"/>
        </w:rPr>
        <w:t>条草案所述罪行的管辖权：</w:t>
      </w:r>
    </w:p>
    <w:p w:rsidR="00CD5A8C" w:rsidRPr="00BF42B7" w:rsidRDefault="00CD5A8C" w:rsidP="00396D56">
      <w:pPr>
        <w:numPr>
          <w:ilvl w:val="0"/>
          <w:numId w:val="21"/>
        </w:numPr>
        <w:tabs>
          <w:tab w:val="clear" w:pos="431"/>
          <w:tab w:val="left" w:pos="1134"/>
          <w:tab w:val="left" w:pos="1565"/>
          <w:tab w:val="left" w:pos="1996"/>
          <w:tab w:val="left" w:pos="2427"/>
        </w:tabs>
        <w:overflowPunct/>
        <w:adjustRightInd/>
        <w:snapToGrid/>
        <w:spacing w:after="120"/>
        <w:ind w:right="1134"/>
      </w:pPr>
      <w:r w:rsidRPr="00BF42B7">
        <w:rPr>
          <w:rFonts w:hint="eastAsia"/>
        </w:rPr>
        <w:t>罪行发生在该国管辖的任何领土内，或发生在该国注册的船只或飞机上；</w:t>
      </w:r>
    </w:p>
    <w:p w:rsidR="00CD5A8C" w:rsidRPr="00BF42B7" w:rsidRDefault="00CD5A8C" w:rsidP="00396D56">
      <w:pPr>
        <w:numPr>
          <w:ilvl w:val="0"/>
          <w:numId w:val="21"/>
        </w:numPr>
        <w:tabs>
          <w:tab w:val="clear" w:pos="431"/>
          <w:tab w:val="left" w:pos="1134"/>
          <w:tab w:val="left" w:pos="1565"/>
          <w:tab w:val="left" w:pos="1996"/>
          <w:tab w:val="left" w:pos="2427"/>
        </w:tabs>
        <w:overflowPunct/>
        <w:adjustRightInd/>
        <w:snapToGrid/>
        <w:spacing w:after="120"/>
        <w:ind w:right="1134"/>
      </w:pPr>
      <w:r w:rsidRPr="00BF42B7">
        <w:rPr>
          <w:rFonts w:hint="eastAsia"/>
        </w:rPr>
        <w:t>被控罪犯为该国国民，或该国认为应予管辖的、惯常在该国领土内居住的无国籍人；</w:t>
      </w:r>
    </w:p>
    <w:p w:rsidR="00CD5A8C" w:rsidRPr="00BF42B7" w:rsidRDefault="00CD5A8C" w:rsidP="00396D56">
      <w:pPr>
        <w:numPr>
          <w:ilvl w:val="0"/>
          <w:numId w:val="21"/>
        </w:numPr>
        <w:tabs>
          <w:tab w:val="clear" w:pos="431"/>
          <w:tab w:val="left" w:pos="1134"/>
          <w:tab w:val="left" w:pos="1565"/>
          <w:tab w:val="left" w:pos="1996"/>
          <w:tab w:val="left" w:pos="2427"/>
        </w:tabs>
        <w:overflowPunct/>
        <w:adjustRightInd/>
        <w:snapToGrid/>
        <w:spacing w:after="120"/>
        <w:ind w:right="1134"/>
      </w:pPr>
      <w:r w:rsidRPr="00BF42B7">
        <w:rPr>
          <w:rFonts w:hint="eastAsia"/>
        </w:rPr>
        <w:t>受害人为该国国民，而该国认为应予管辖。</w:t>
      </w:r>
    </w:p>
    <w:p w:rsidR="00CD5A8C" w:rsidRPr="00BF42B7" w:rsidRDefault="00CD5A8C" w:rsidP="00CD5A8C">
      <w:pPr>
        <w:tabs>
          <w:tab w:val="clear" w:pos="431"/>
          <w:tab w:val="left" w:pos="1134"/>
          <w:tab w:val="left" w:pos="1565"/>
          <w:tab w:val="left" w:pos="1996"/>
          <w:tab w:val="left" w:pos="2427"/>
        </w:tabs>
        <w:spacing w:after="120"/>
        <w:ind w:left="1554" w:right="1134"/>
        <w:rPr>
          <w:lang w:val="en-GB"/>
        </w:rPr>
      </w:pPr>
      <w:r w:rsidRPr="00BF42B7">
        <w:t xml:space="preserve">2.  </w:t>
      </w:r>
      <w:r w:rsidRPr="00BF42B7">
        <w:rPr>
          <w:rFonts w:hint="eastAsia"/>
          <w:spacing w:val="-3"/>
          <w:lang w:val="en-GB"/>
        </w:rPr>
        <w:t>各国还应采取必要措施，在被指控罪犯处于其管辖的任何领土内，而且本国不按照本条款草案予以引渡或移交的情况下，</w:t>
      </w:r>
      <w:r w:rsidRPr="00BF42B7">
        <w:rPr>
          <w:rFonts w:hint="eastAsia"/>
        </w:rPr>
        <w:t>确立对第</w:t>
      </w:r>
      <w:r w:rsidRPr="00BF42B7">
        <w:t>5</w:t>
      </w:r>
      <w:r w:rsidRPr="00BF42B7">
        <w:rPr>
          <w:rFonts w:hint="eastAsia"/>
        </w:rPr>
        <w:t>条草案所述罪行的管辖权。</w:t>
      </w:r>
    </w:p>
    <w:p w:rsidR="00CD5A8C" w:rsidRPr="00BF42B7" w:rsidRDefault="00CD5A8C" w:rsidP="00CD5A8C">
      <w:pPr>
        <w:tabs>
          <w:tab w:val="clear" w:pos="431"/>
          <w:tab w:val="left" w:pos="1134"/>
          <w:tab w:val="left" w:pos="1565"/>
          <w:tab w:val="left" w:pos="1996"/>
          <w:tab w:val="left" w:pos="2427"/>
        </w:tabs>
        <w:spacing w:after="120"/>
        <w:ind w:left="1554" w:right="1134"/>
      </w:pPr>
      <w:r w:rsidRPr="00BF42B7">
        <w:t xml:space="preserve">3.  </w:t>
      </w:r>
      <w:r w:rsidRPr="00BF42B7">
        <w:rPr>
          <w:rFonts w:hint="eastAsia"/>
        </w:rPr>
        <w:t>本条款草案不排除一国行使根据其国内法确立的任何刑事管辖权。</w:t>
      </w:r>
    </w:p>
    <w:p w:rsidR="00CD5A8C" w:rsidRPr="00BF42B7" w:rsidRDefault="00CD5A8C" w:rsidP="00CD5A8C">
      <w:pPr>
        <w:pStyle w:val="H23GC"/>
        <w:ind w:left="1554"/>
        <w:rPr>
          <w:rFonts w:ascii="Time New Roman" w:hAnsi="Time New Roman" w:hint="eastAsia"/>
        </w:rPr>
      </w:pPr>
      <w:r w:rsidRPr="00BF42B7">
        <w:rPr>
          <w:rFonts w:ascii="Time New Roman" w:hAnsi="Time New Roman" w:hint="eastAsia"/>
        </w:rPr>
        <w:tab/>
      </w:r>
      <w:r w:rsidRPr="00BF42B7">
        <w:rPr>
          <w:rFonts w:ascii="Time New Roman" w:hAnsi="Time New Roman" w:hint="eastAsia"/>
        </w:rPr>
        <w:tab/>
      </w:r>
      <w:r w:rsidRPr="00BF42B7">
        <w:rPr>
          <w:rFonts w:ascii="Time New Roman" w:hAnsi="Time New Roman" w:hint="eastAsia"/>
        </w:rPr>
        <w:t>第</w:t>
      </w:r>
      <w:r w:rsidRPr="00BF42B7">
        <w:rPr>
          <w:rFonts w:ascii="Time New Roman" w:hAnsi="Time New Roman"/>
        </w:rPr>
        <w:t>7</w:t>
      </w:r>
      <w:r w:rsidRPr="00BF42B7">
        <w:rPr>
          <w:rFonts w:ascii="Time New Roman" w:hAnsi="Time New Roman" w:hint="eastAsia"/>
        </w:rPr>
        <w:t>条</w:t>
      </w:r>
      <w:r w:rsidRPr="00BF42B7">
        <w:rPr>
          <w:rFonts w:ascii="Time New Roman" w:hAnsi="Time New Roman"/>
        </w:rPr>
        <w:br/>
      </w:r>
      <w:r w:rsidRPr="00BF42B7">
        <w:rPr>
          <w:rFonts w:ascii="Time New Roman" w:hAnsi="Time New Roman" w:hint="eastAsia"/>
        </w:rPr>
        <w:t>调查</w:t>
      </w:r>
    </w:p>
    <w:p w:rsidR="00CD5A8C" w:rsidRPr="00BF42B7" w:rsidRDefault="00CD5A8C" w:rsidP="00CD5A8C">
      <w:pPr>
        <w:tabs>
          <w:tab w:val="clear" w:pos="431"/>
          <w:tab w:val="left" w:pos="1134"/>
          <w:tab w:val="left" w:pos="1565"/>
          <w:tab w:val="left" w:pos="1996"/>
          <w:tab w:val="left" w:pos="2427"/>
        </w:tabs>
        <w:spacing w:after="120"/>
        <w:ind w:left="1554" w:right="1134"/>
      </w:pPr>
      <w:r w:rsidRPr="00BF42B7">
        <w:rPr>
          <w:rFonts w:hint="eastAsia"/>
        </w:rPr>
        <w:t>各国应确保在有合理依据认为在其管辖的任何领土内已经或正在发生构成危害人类罪行的行为时，其主管当局立即进行公正的调查。</w:t>
      </w:r>
    </w:p>
    <w:p w:rsidR="00CD5A8C" w:rsidRPr="00BF42B7" w:rsidRDefault="00CD5A8C" w:rsidP="00CD5A8C">
      <w:pPr>
        <w:pStyle w:val="H23GC"/>
        <w:ind w:left="1554"/>
        <w:rPr>
          <w:lang w:val="en-GB"/>
        </w:rPr>
      </w:pPr>
      <w:r w:rsidRPr="00BF42B7">
        <w:rPr>
          <w:rFonts w:ascii="Time New Roman" w:hAnsi="Time New Roman" w:hint="eastAsia"/>
        </w:rPr>
        <w:tab/>
      </w:r>
      <w:r w:rsidRPr="00BF42B7">
        <w:rPr>
          <w:rFonts w:ascii="Time New Roman" w:hAnsi="Time New Roman" w:hint="eastAsia"/>
        </w:rPr>
        <w:tab/>
      </w:r>
      <w:r w:rsidRPr="00BF42B7">
        <w:rPr>
          <w:rFonts w:ascii="Time New Roman" w:hAnsi="Time New Roman" w:hint="eastAsia"/>
        </w:rPr>
        <w:t>第</w:t>
      </w:r>
      <w:r w:rsidRPr="00BF42B7">
        <w:rPr>
          <w:rFonts w:ascii="Time New Roman" w:hAnsi="Time New Roman"/>
        </w:rPr>
        <w:t>8</w:t>
      </w:r>
      <w:r w:rsidRPr="00BF42B7">
        <w:rPr>
          <w:rFonts w:ascii="Time New Roman" w:hAnsi="Time New Roman" w:hint="eastAsia"/>
        </w:rPr>
        <w:t>条</w:t>
      </w:r>
      <w:r w:rsidRPr="00BF42B7">
        <w:rPr>
          <w:rFonts w:ascii="Time New Roman" w:hAnsi="Time New Roman"/>
        </w:rPr>
        <w:br/>
      </w:r>
      <w:r w:rsidRPr="00BF42B7">
        <w:rPr>
          <w:rFonts w:ascii="Time New Roman" w:hAnsi="Time New Roman" w:hint="eastAsia"/>
        </w:rPr>
        <w:t>当被</w:t>
      </w:r>
      <w:r w:rsidRPr="00BF42B7">
        <w:rPr>
          <w:rFonts w:hint="eastAsia"/>
        </w:rPr>
        <w:t>指控</w:t>
      </w:r>
      <w:r w:rsidRPr="00BF42B7">
        <w:rPr>
          <w:rFonts w:ascii="Time New Roman" w:hAnsi="Time New Roman" w:hint="eastAsia"/>
        </w:rPr>
        <w:t>罪犯在境内时的初步措施</w:t>
      </w:r>
    </w:p>
    <w:p w:rsidR="00CD5A8C" w:rsidRPr="00BF42B7" w:rsidRDefault="00CD5A8C" w:rsidP="00CD5A8C">
      <w:pPr>
        <w:tabs>
          <w:tab w:val="clear" w:pos="431"/>
          <w:tab w:val="left" w:pos="1134"/>
          <w:tab w:val="left" w:pos="1565"/>
          <w:tab w:val="left" w:pos="1996"/>
          <w:tab w:val="left" w:pos="2427"/>
        </w:tabs>
        <w:spacing w:after="120"/>
        <w:ind w:left="1560" w:right="1134"/>
        <w:rPr>
          <w:lang w:val="en-GB"/>
        </w:rPr>
      </w:pPr>
      <w:r w:rsidRPr="00BF42B7">
        <w:rPr>
          <w:lang w:val="en-GB"/>
        </w:rPr>
        <w:t xml:space="preserve">1.  </w:t>
      </w:r>
      <w:r w:rsidRPr="00BF42B7">
        <w:rPr>
          <w:rFonts w:hint="eastAsia"/>
          <w:lang w:val="en-GB"/>
        </w:rPr>
        <w:t>任何国家，如果被指控犯有第</w:t>
      </w:r>
      <w:r w:rsidRPr="00BF42B7">
        <w:rPr>
          <w:rFonts w:hint="eastAsia"/>
          <w:lang w:val="en-GB"/>
        </w:rPr>
        <w:t>5</w:t>
      </w:r>
      <w:r w:rsidRPr="00BF42B7">
        <w:rPr>
          <w:rFonts w:hint="eastAsia"/>
          <w:lang w:val="en-GB"/>
        </w:rPr>
        <w:t>条草案所述任何罪行的人在其管辖下的领土之内，经审查所获情报后认为根据情况有此必要，应将该人拘押或采取其他法律措施确保该人留在境内。拘押和其他法律措施应符合该国法律的规定，但延续时间只限于提起任何刑事、引渡或移交程序所需的时间。</w:t>
      </w:r>
    </w:p>
    <w:p w:rsidR="00CD5A8C" w:rsidRPr="00BF42B7" w:rsidRDefault="00CD5A8C" w:rsidP="00CD5A8C">
      <w:pPr>
        <w:tabs>
          <w:tab w:val="clear" w:pos="431"/>
          <w:tab w:val="left" w:pos="1134"/>
          <w:tab w:val="left" w:pos="1565"/>
          <w:tab w:val="left" w:pos="1996"/>
          <w:tab w:val="left" w:pos="2427"/>
        </w:tabs>
        <w:spacing w:after="120"/>
        <w:ind w:left="1560" w:right="1134"/>
        <w:rPr>
          <w:lang w:val="en-GB"/>
        </w:rPr>
      </w:pPr>
      <w:r w:rsidRPr="00BF42B7">
        <w:rPr>
          <w:lang w:val="en-GB"/>
        </w:rPr>
        <w:t xml:space="preserve">2.  </w:t>
      </w:r>
      <w:r w:rsidRPr="00BF42B7">
        <w:rPr>
          <w:rFonts w:hint="eastAsia"/>
          <w:lang w:val="en-GB"/>
        </w:rPr>
        <w:t>该国应立即对事实进行初步调查。</w:t>
      </w:r>
    </w:p>
    <w:p w:rsidR="00CD5A8C" w:rsidRPr="00BF42B7" w:rsidRDefault="00CD5A8C" w:rsidP="00CD5A8C">
      <w:pPr>
        <w:tabs>
          <w:tab w:val="clear" w:pos="431"/>
          <w:tab w:val="left" w:pos="1134"/>
          <w:tab w:val="left" w:pos="1565"/>
          <w:tab w:val="left" w:pos="1996"/>
          <w:tab w:val="left" w:pos="2427"/>
        </w:tabs>
        <w:spacing w:after="120"/>
        <w:ind w:left="1560" w:right="1134"/>
        <w:rPr>
          <w:lang w:val="en-GB"/>
        </w:rPr>
      </w:pPr>
      <w:r w:rsidRPr="00BF42B7">
        <w:rPr>
          <w:lang w:val="en-GB"/>
        </w:rPr>
        <w:t xml:space="preserve">3.  </w:t>
      </w:r>
      <w:r w:rsidRPr="00BF42B7">
        <w:rPr>
          <w:rFonts w:hint="eastAsia"/>
          <w:lang w:val="en-GB"/>
        </w:rPr>
        <w:t>如一国根据本条草案将某人拘押，则应立即向第</w:t>
      </w:r>
      <w:r w:rsidRPr="00BF42B7">
        <w:rPr>
          <w:rFonts w:hint="eastAsia"/>
          <w:lang w:val="en-GB"/>
        </w:rPr>
        <w:t>6</w:t>
      </w:r>
      <w:r w:rsidRPr="00BF42B7">
        <w:rPr>
          <w:rFonts w:hint="eastAsia"/>
          <w:lang w:val="en-GB"/>
        </w:rPr>
        <w:t>条草案第</w:t>
      </w:r>
      <w:r w:rsidRPr="00BF42B7">
        <w:rPr>
          <w:rFonts w:hint="eastAsia"/>
          <w:lang w:val="en-GB"/>
        </w:rPr>
        <w:t>1</w:t>
      </w:r>
      <w:r w:rsidRPr="00BF42B7">
        <w:rPr>
          <w:rFonts w:hint="eastAsia"/>
          <w:lang w:val="en-GB"/>
        </w:rPr>
        <w:t>款所述各国通知该人受到拘押的事实和拘留该人之所以必要的情况。本条草案第</w:t>
      </w:r>
      <w:r w:rsidRPr="00BF42B7">
        <w:rPr>
          <w:rFonts w:hint="eastAsia"/>
          <w:lang w:val="en-GB"/>
        </w:rPr>
        <w:t>2</w:t>
      </w:r>
      <w:r w:rsidRPr="00BF42B7">
        <w:rPr>
          <w:rFonts w:hint="eastAsia"/>
          <w:lang w:val="en-GB"/>
        </w:rPr>
        <w:t>款所述进行初步调查的国家应立即向所述有关各国通报调查结果，并表明是否有意行使管辖权。</w:t>
      </w:r>
    </w:p>
    <w:p w:rsidR="00CD5A8C" w:rsidRPr="00BF42B7" w:rsidRDefault="00CD5A8C" w:rsidP="00CD5A8C">
      <w:pPr>
        <w:pStyle w:val="H23GC"/>
        <w:ind w:left="1554"/>
        <w:rPr>
          <w:iCs/>
        </w:rPr>
      </w:pPr>
      <w:r w:rsidRPr="00BF42B7">
        <w:rPr>
          <w:rFonts w:ascii="Time New Roman" w:hAnsi="Time New Roman" w:hint="eastAsia"/>
        </w:rPr>
        <w:tab/>
      </w:r>
      <w:r w:rsidRPr="00BF42B7">
        <w:rPr>
          <w:rFonts w:ascii="Time New Roman" w:hAnsi="Time New Roman" w:hint="eastAsia"/>
        </w:rPr>
        <w:tab/>
      </w:r>
      <w:r w:rsidRPr="00BF42B7">
        <w:rPr>
          <w:rFonts w:ascii="Time New Roman" w:hAnsi="Time New Roman" w:hint="eastAsia"/>
        </w:rPr>
        <w:t>第</w:t>
      </w:r>
      <w:r w:rsidRPr="00BF42B7">
        <w:rPr>
          <w:rFonts w:ascii="Time New Roman" w:hAnsi="Time New Roman"/>
        </w:rPr>
        <w:t>9</w:t>
      </w:r>
      <w:r w:rsidRPr="00BF42B7">
        <w:rPr>
          <w:rFonts w:ascii="Time New Roman" w:hAnsi="Time New Roman" w:hint="eastAsia"/>
        </w:rPr>
        <w:t>条</w:t>
      </w:r>
      <w:r w:rsidRPr="00BF42B7">
        <w:rPr>
          <w:i/>
        </w:rPr>
        <w:br/>
      </w:r>
      <w:r w:rsidRPr="00BF42B7">
        <w:rPr>
          <w:rFonts w:ascii="宋体" w:hAnsi="宋体" w:cs="宋体" w:hint="eastAsia"/>
        </w:rPr>
        <w:t>引渡或</w:t>
      </w:r>
      <w:r w:rsidRPr="00BF42B7">
        <w:rPr>
          <w:rFonts w:hint="eastAsia"/>
        </w:rPr>
        <w:t>审判</w:t>
      </w:r>
    </w:p>
    <w:p w:rsidR="00CD5A8C" w:rsidRPr="00BF42B7" w:rsidRDefault="00CD5A8C" w:rsidP="00CD5A8C">
      <w:pPr>
        <w:tabs>
          <w:tab w:val="clear" w:pos="431"/>
          <w:tab w:val="left" w:pos="1134"/>
          <w:tab w:val="left" w:pos="1565"/>
          <w:tab w:val="left" w:pos="1996"/>
          <w:tab w:val="left" w:pos="2427"/>
        </w:tabs>
        <w:spacing w:after="120"/>
        <w:ind w:left="1554" w:right="1134"/>
        <w:rPr>
          <w:lang w:val="en-GB"/>
        </w:rPr>
      </w:pPr>
      <w:r w:rsidRPr="00BF42B7">
        <w:rPr>
          <w:rFonts w:hint="eastAsia"/>
          <w:lang w:val="en-GB"/>
        </w:rPr>
        <w:t>被指控罪犯在其管辖下的领土之内的国家，应将该案提交主管当局以便起诉，除非该国将犯罪人引渡或移交另一国家或主管国际刑事法庭。这些当局应以处理该国法律定为性质严重的任何其他罪行的相同方式作出决定。</w:t>
      </w:r>
    </w:p>
    <w:p w:rsidR="00CD5A8C" w:rsidRPr="00BF42B7" w:rsidRDefault="00CD5A8C" w:rsidP="00CD5A8C">
      <w:pPr>
        <w:pStyle w:val="H23GC"/>
        <w:ind w:left="1554"/>
      </w:pPr>
      <w:r w:rsidRPr="00BF42B7">
        <w:rPr>
          <w:rFonts w:hint="eastAsia"/>
        </w:rPr>
        <w:tab/>
      </w:r>
      <w:r w:rsidRPr="00BF42B7">
        <w:rPr>
          <w:rFonts w:hint="eastAsia"/>
        </w:rPr>
        <w:tab/>
      </w:r>
      <w:r w:rsidRPr="00BF42B7">
        <w:rPr>
          <w:rFonts w:hint="eastAsia"/>
        </w:rPr>
        <w:t>第</w:t>
      </w:r>
      <w:r w:rsidRPr="00BF42B7">
        <w:t>10</w:t>
      </w:r>
      <w:r w:rsidRPr="00BF42B7">
        <w:rPr>
          <w:rFonts w:hint="eastAsia"/>
        </w:rPr>
        <w:t>条</w:t>
      </w:r>
      <w:r w:rsidRPr="00BF42B7">
        <w:br/>
      </w:r>
      <w:r w:rsidRPr="00BF42B7">
        <w:rPr>
          <w:rFonts w:hint="eastAsia"/>
        </w:rPr>
        <w:t>公平对待被指控罪犯</w:t>
      </w:r>
    </w:p>
    <w:p w:rsidR="00CD5A8C" w:rsidRPr="00BF42B7" w:rsidRDefault="00CD5A8C" w:rsidP="00CD5A8C">
      <w:pPr>
        <w:tabs>
          <w:tab w:val="clear" w:pos="431"/>
          <w:tab w:val="left" w:pos="1134"/>
          <w:tab w:val="left" w:pos="1565"/>
          <w:tab w:val="left" w:pos="1996"/>
          <w:tab w:val="left" w:pos="2427"/>
        </w:tabs>
        <w:spacing w:after="120"/>
        <w:ind w:left="1554" w:right="1134"/>
        <w:rPr>
          <w:lang w:val="en-GB"/>
        </w:rPr>
      </w:pPr>
      <w:r w:rsidRPr="00BF42B7">
        <w:rPr>
          <w:lang w:val="en-GB"/>
        </w:rPr>
        <w:t xml:space="preserve">1.  </w:t>
      </w:r>
      <w:r w:rsidRPr="00BF42B7">
        <w:rPr>
          <w:rFonts w:hint="eastAsia"/>
          <w:lang w:val="en-GB"/>
        </w:rPr>
        <w:t>任何因第</w:t>
      </w:r>
      <w:r w:rsidRPr="00BF42B7">
        <w:rPr>
          <w:lang w:val="en-GB"/>
        </w:rPr>
        <w:t>5</w:t>
      </w:r>
      <w:r w:rsidRPr="00BF42B7">
        <w:rPr>
          <w:rFonts w:hint="eastAsia"/>
          <w:lang w:val="en-GB"/>
        </w:rPr>
        <w:t>条草案所述罪行而被采取法律措施的人，在诉讼的所有阶段应保障其公平待遇，包括公平审判，并应充分保护该人按照适用的国内法和国际法、包括人权法所具有的各项权利。</w:t>
      </w:r>
    </w:p>
    <w:p w:rsidR="00CD5A8C" w:rsidRPr="00BF42B7" w:rsidRDefault="00CD5A8C" w:rsidP="00CD5A8C">
      <w:pPr>
        <w:tabs>
          <w:tab w:val="clear" w:pos="431"/>
          <w:tab w:val="left" w:pos="1134"/>
          <w:tab w:val="left" w:pos="1565"/>
          <w:tab w:val="left" w:pos="1996"/>
          <w:tab w:val="left" w:pos="2427"/>
        </w:tabs>
        <w:spacing w:after="120"/>
        <w:ind w:left="1554" w:right="1134"/>
        <w:rPr>
          <w:lang w:val="en-GB"/>
        </w:rPr>
      </w:pPr>
      <w:r w:rsidRPr="00BF42B7">
        <w:rPr>
          <w:lang w:val="en-GB"/>
        </w:rPr>
        <w:t xml:space="preserve">2.  </w:t>
      </w:r>
      <w:r w:rsidRPr="00BF42B7">
        <w:rPr>
          <w:rFonts w:hint="eastAsia"/>
          <w:lang w:val="en-GB"/>
        </w:rPr>
        <w:t>在非本人国籍国的监狱、扣押或拘留中的任何此类人员应有权：</w:t>
      </w:r>
    </w:p>
    <w:p w:rsidR="00CD5A8C" w:rsidRPr="00BF42B7" w:rsidRDefault="00CD5A8C" w:rsidP="00396D56">
      <w:pPr>
        <w:numPr>
          <w:ilvl w:val="0"/>
          <w:numId w:val="22"/>
        </w:numPr>
        <w:tabs>
          <w:tab w:val="clear" w:pos="431"/>
          <w:tab w:val="left" w:pos="1134"/>
          <w:tab w:val="left" w:pos="1565"/>
          <w:tab w:val="left" w:pos="1996"/>
          <w:tab w:val="left" w:pos="2427"/>
        </w:tabs>
        <w:overflowPunct/>
        <w:adjustRightInd/>
        <w:snapToGrid/>
        <w:spacing w:after="120"/>
        <w:ind w:right="1134"/>
      </w:pPr>
      <w:r w:rsidRPr="00BF42B7">
        <w:rPr>
          <w:rFonts w:hint="eastAsia"/>
        </w:rPr>
        <w:t>立即联络下述国家的距离最近的适当代表：其国籍国或有权保护其权利的其他国家，如此人为无国籍人员，则为经其请求而愿意保护其权利的国家；</w:t>
      </w:r>
    </w:p>
    <w:p w:rsidR="00CD5A8C" w:rsidRPr="00BF42B7" w:rsidRDefault="00CD5A8C" w:rsidP="00396D56">
      <w:pPr>
        <w:numPr>
          <w:ilvl w:val="0"/>
          <w:numId w:val="22"/>
        </w:numPr>
        <w:tabs>
          <w:tab w:val="clear" w:pos="431"/>
          <w:tab w:val="left" w:pos="1134"/>
          <w:tab w:val="left" w:pos="1565"/>
          <w:tab w:val="left" w:pos="1996"/>
          <w:tab w:val="left" w:pos="2427"/>
        </w:tabs>
        <w:overflowPunct/>
        <w:adjustRightInd/>
        <w:snapToGrid/>
        <w:spacing w:after="120"/>
        <w:ind w:right="1134"/>
      </w:pPr>
      <w:r w:rsidRPr="00BF42B7">
        <w:rPr>
          <w:rFonts w:hint="eastAsia"/>
        </w:rPr>
        <w:t>接受此类国家代表的探视；</w:t>
      </w:r>
    </w:p>
    <w:p w:rsidR="00CD5A8C" w:rsidRPr="00BF42B7" w:rsidRDefault="00CD5A8C" w:rsidP="00396D56">
      <w:pPr>
        <w:numPr>
          <w:ilvl w:val="0"/>
          <w:numId w:val="22"/>
        </w:numPr>
        <w:tabs>
          <w:tab w:val="clear" w:pos="431"/>
          <w:tab w:val="left" w:pos="1134"/>
          <w:tab w:val="left" w:pos="1565"/>
          <w:tab w:val="left" w:pos="1996"/>
          <w:tab w:val="left" w:pos="2427"/>
        </w:tabs>
        <w:overflowPunct/>
        <w:adjustRightInd/>
        <w:snapToGrid/>
        <w:spacing w:after="120"/>
        <w:ind w:right="1134"/>
      </w:pPr>
      <w:r w:rsidRPr="00BF42B7">
        <w:rPr>
          <w:rFonts w:hint="eastAsia"/>
        </w:rPr>
        <w:t>立即被告知其根据本款所享有的权利。</w:t>
      </w:r>
    </w:p>
    <w:p w:rsidR="00CD5A8C" w:rsidRPr="00BF42B7" w:rsidRDefault="00CD5A8C" w:rsidP="00CD5A8C">
      <w:pPr>
        <w:tabs>
          <w:tab w:val="clear" w:pos="431"/>
          <w:tab w:val="left" w:pos="1134"/>
          <w:tab w:val="left" w:pos="1565"/>
          <w:tab w:val="left" w:pos="1996"/>
          <w:tab w:val="left" w:pos="2427"/>
        </w:tabs>
        <w:spacing w:after="120"/>
        <w:ind w:left="1554" w:right="1134"/>
        <w:rPr>
          <w:lang w:val="en-GB"/>
        </w:rPr>
      </w:pPr>
      <w:r w:rsidRPr="00BF42B7">
        <w:rPr>
          <w:lang w:val="en-GB"/>
        </w:rPr>
        <w:t xml:space="preserve">3.  </w:t>
      </w:r>
      <w:r w:rsidRPr="00BF42B7">
        <w:rPr>
          <w:rFonts w:hint="eastAsia"/>
          <w:lang w:val="en-GB"/>
        </w:rPr>
        <w:t>第</w:t>
      </w:r>
      <w:r w:rsidRPr="00BF42B7">
        <w:rPr>
          <w:lang w:val="en-GB"/>
        </w:rPr>
        <w:t>2</w:t>
      </w:r>
      <w:r w:rsidRPr="00BF42B7">
        <w:rPr>
          <w:rFonts w:hint="eastAsia"/>
          <w:lang w:val="en-GB"/>
        </w:rPr>
        <w:t>款所述各项权利的行使应符合该人所在领土管辖国的法律和规章，但所述法律和规章必须能使第</w:t>
      </w:r>
      <w:r w:rsidRPr="00BF42B7">
        <w:rPr>
          <w:lang w:val="en-GB"/>
        </w:rPr>
        <w:t>2</w:t>
      </w:r>
      <w:r w:rsidRPr="00BF42B7">
        <w:rPr>
          <w:rFonts w:hint="eastAsia"/>
          <w:lang w:val="en-GB"/>
        </w:rPr>
        <w:t>款所规定权利的预期目的得到充分落实。</w:t>
      </w:r>
    </w:p>
    <w:p w:rsidR="00CD5A8C" w:rsidRPr="00BF42B7" w:rsidRDefault="00CD5A8C" w:rsidP="00586EF6">
      <w:pPr>
        <w:pStyle w:val="H23GC"/>
        <w:rPr>
          <w:lang w:val="en-GB"/>
        </w:rPr>
      </w:pPr>
      <w:r w:rsidRPr="00BF42B7">
        <w:tab/>
      </w:r>
      <w:r w:rsidRPr="00BF42B7">
        <w:rPr>
          <w:rFonts w:eastAsia="MS PMincho"/>
          <w:lang w:val="en-GB"/>
        </w:rPr>
        <w:t>2.</w:t>
      </w:r>
      <w:r w:rsidRPr="00BF42B7">
        <w:rPr>
          <w:rFonts w:eastAsia="MS PMincho"/>
          <w:lang w:val="en-GB"/>
        </w:rPr>
        <w:tab/>
      </w:r>
      <w:r w:rsidRPr="00BF42B7">
        <w:rPr>
          <w:rFonts w:hint="eastAsia"/>
        </w:rPr>
        <w:t>委</w:t>
      </w:r>
      <w:r w:rsidRPr="00BF42B7">
        <w:rPr>
          <w:rFonts w:ascii="宋体" w:hAnsi="宋体" w:cs="宋体" w:hint="eastAsia"/>
        </w:rPr>
        <w:t>员</w:t>
      </w:r>
      <w:r w:rsidRPr="00BF42B7">
        <w:rPr>
          <w:rFonts w:hint="eastAsia"/>
        </w:rPr>
        <w:t>会第六十八届会</w:t>
      </w:r>
      <w:r w:rsidRPr="00BF42B7">
        <w:rPr>
          <w:rFonts w:ascii="宋体" w:hAnsi="宋体" w:cs="宋体" w:hint="eastAsia"/>
        </w:rPr>
        <w:t>议暂时</w:t>
      </w:r>
      <w:r w:rsidRPr="00BF42B7">
        <w:rPr>
          <w:rFonts w:hint="eastAsia"/>
        </w:rPr>
        <w:t>通</w:t>
      </w:r>
      <w:r w:rsidRPr="00BF42B7">
        <w:rPr>
          <w:rFonts w:ascii="宋体" w:hAnsi="宋体" w:cs="宋体" w:hint="eastAsia"/>
        </w:rPr>
        <w:t>过</w:t>
      </w:r>
      <w:r w:rsidRPr="00BF42B7">
        <w:rPr>
          <w:rFonts w:hint="eastAsia"/>
        </w:rPr>
        <w:t>的条款草案案文及其</w:t>
      </w:r>
      <w:r w:rsidRPr="00BF42B7">
        <w:rPr>
          <w:rFonts w:ascii="宋体" w:hAnsi="宋体" w:cs="宋体" w:hint="eastAsia"/>
        </w:rPr>
        <w:t>评</w:t>
      </w:r>
      <w:r w:rsidRPr="00BF42B7">
        <w:rPr>
          <w:rFonts w:hint="eastAsia"/>
        </w:rPr>
        <w:t>注</w:t>
      </w:r>
    </w:p>
    <w:p w:rsidR="00CD5A8C" w:rsidRPr="00BF42B7" w:rsidRDefault="00CD5A8C" w:rsidP="00CD5A8C">
      <w:pPr>
        <w:tabs>
          <w:tab w:val="clear" w:pos="431"/>
          <w:tab w:val="left" w:pos="1134"/>
          <w:tab w:val="left" w:pos="1565"/>
          <w:tab w:val="left" w:pos="1996"/>
          <w:tab w:val="left" w:pos="2427"/>
        </w:tabs>
        <w:spacing w:after="120"/>
        <w:ind w:left="1134" w:right="1134"/>
        <w:rPr>
          <w:lang w:val="en-GB"/>
        </w:rPr>
      </w:pPr>
      <w:r w:rsidRPr="00BF42B7">
        <w:rPr>
          <w:rFonts w:hint="eastAsia"/>
        </w:rPr>
        <w:t xml:space="preserve">85.  </w:t>
      </w:r>
      <w:r w:rsidRPr="00BF42B7">
        <w:rPr>
          <w:rFonts w:hint="eastAsia"/>
        </w:rPr>
        <w:t>委员会第六十八届会议暂时通过的条款草案案文及其评注载录如下。</w:t>
      </w:r>
    </w:p>
    <w:p w:rsidR="00CD5A8C" w:rsidRPr="00BF42B7" w:rsidRDefault="00CD5A8C" w:rsidP="007873D0">
      <w:pPr>
        <w:pStyle w:val="H23GC"/>
        <w:ind w:left="1554"/>
        <w:rPr>
          <w:lang w:val="en-GB"/>
        </w:rPr>
      </w:pPr>
      <w:r w:rsidRPr="00BF42B7">
        <w:rPr>
          <w:rFonts w:hint="eastAsia"/>
        </w:rPr>
        <w:tab/>
      </w:r>
      <w:r w:rsidRPr="00BF42B7">
        <w:rPr>
          <w:rFonts w:hint="eastAsia"/>
        </w:rPr>
        <w:tab/>
      </w:r>
      <w:r w:rsidRPr="00BF42B7">
        <w:rPr>
          <w:rFonts w:hint="eastAsia"/>
        </w:rPr>
        <w:t>危害人类罪</w:t>
      </w:r>
    </w:p>
    <w:p w:rsidR="00CD5A8C" w:rsidRPr="00BF42B7" w:rsidRDefault="00CD5A8C" w:rsidP="00586EF6">
      <w:pPr>
        <w:pStyle w:val="H23GC"/>
        <w:ind w:left="1554"/>
        <w:rPr>
          <w:color w:val="FF0000"/>
          <w:lang w:val="en-GB"/>
        </w:rPr>
      </w:pPr>
      <w:r w:rsidRPr="00BF42B7">
        <w:rPr>
          <w:rFonts w:hint="eastAsia"/>
        </w:rPr>
        <w:tab/>
      </w:r>
      <w:r w:rsidRPr="00BF42B7">
        <w:rPr>
          <w:rFonts w:hint="eastAsia"/>
        </w:rPr>
        <w:tab/>
      </w:r>
      <w:r w:rsidRPr="00BF42B7">
        <w:rPr>
          <w:rFonts w:hint="eastAsia"/>
          <w:lang w:val="en-GB"/>
        </w:rPr>
        <w:t>第</w:t>
      </w:r>
      <w:r w:rsidRPr="00BF42B7">
        <w:rPr>
          <w:lang w:val="en-GB"/>
        </w:rPr>
        <w:t>5</w:t>
      </w:r>
      <w:r w:rsidRPr="00BF42B7">
        <w:rPr>
          <w:rFonts w:hint="eastAsia"/>
          <w:lang w:val="en-GB"/>
        </w:rPr>
        <w:t>条</w:t>
      </w:r>
      <w:r w:rsidRPr="00BF42B7">
        <w:rPr>
          <w:lang w:val="en-GB"/>
        </w:rPr>
        <w:br/>
      </w:r>
      <w:r w:rsidRPr="00BF42B7">
        <w:rPr>
          <w:rFonts w:hint="eastAsia"/>
        </w:rPr>
        <w:t>在国内法中定为刑事犯罪</w:t>
      </w:r>
    </w:p>
    <w:p w:rsidR="00CD5A8C" w:rsidRPr="00BF42B7" w:rsidRDefault="00CD5A8C" w:rsidP="00CD5A8C">
      <w:pPr>
        <w:tabs>
          <w:tab w:val="clear" w:pos="431"/>
          <w:tab w:val="left" w:pos="1134"/>
          <w:tab w:val="left" w:pos="1565"/>
          <w:tab w:val="left" w:pos="1996"/>
          <w:tab w:val="left" w:pos="2427"/>
        </w:tabs>
        <w:spacing w:after="120"/>
        <w:ind w:left="1554" w:right="1134"/>
      </w:pPr>
      <w:r w:rsidRPr="00BF42B7">
        <w:t xml:space="preserve">1.  </w:t>
      </w:r>
      <w:r w:rsidRPr="00BF42B7">
        <w:rPr>
          <w:rFonts w:hint="eastAsia"/>
        </w:rPr>
        <w:t>各国应采取必要措施，确保国家刑法规定危害人类罪构成犯罪。</w:t>
      </w:r>
    </w:p>
    <w:p w:rsidR="00CD5A8C" w:rsidRPr="00BF42B7" w:rsidRDefault="00CD5A8C" w:rsidP="00CD5A8C">
      <w:pPr>
        <w:tabs>
          <w:tab w:val="clear" w:pos="431"/>
          <w:tab w:val="left" w:pos="1134"/>
          <w:tab w:val="left" w:pos="1565"/>
          <w:tab w:val="left" w:pos="1996"/>
          <w:tab w:val="left" w:pos="2427"/>
        </w:tabs>
        <w:spacing w:after="120"/>
        <w:ind w:left="1554" w:right="1134"/>
      </w:pPr>
      <w:r w:rsidRPr="00BF42B7">
        <w:t xml:space="preserve">2.  </w:t>
      </w:r>
      <w:r w:rsidRPr="00BF42B7">
        <w:rPr>
          <w:rFonts w:hint="eastAsia"/>
        </w:rPr>
        <w:t>各国应采取必要措施，确保国家刑法把下列行为定为犯罪：</w:t>
      </w:r>
    </w:p>
    <w:p w:rsidR="00CD5A8C" w:rsidRPr="00BF42B7" w:rsidRDefault="00CD5A8C" w:rsidP="00396D56">
      <w:pPr>
        <w:pStyle w:val="SingleTxtGC"/>
        <w:numPr>
          <w:ilvl w:val="0"/>
          <w:numId w:val="23"/>
        </w:numPr>
      </w:pPr>
      <w:r w:rsidRPr="00BF42B7">
        <w:rPr>
          <w:rFonts w:hint="eastAsia"/>
        </w:rPr>
        <w:t>实施危害人类罪行；</w:t>
      </w:r>
    </w:p>
    <w:p w:rsidR="00CD5A8C" w:rsidRPr="00BF42B7" w:rsidRDefault="00CD5A8C" w:rsidP="00396D56">
      <w:pPr>
        <w:pStyle w:val="SingleTxtGC"/>
        <w:numPr>
          <w:ilvl w:val="0"/>
          <w:numId w:val="23"/>
        </w:numPr>
      </w:pPr>
      <w:r w:rsidRPr="00BF42B7">
        <w:rPr>
          <w:rFonts w:hint="eastAsia"/>
        </w:rPr>
        <w:t>企图实施这种罪行；</w:t>
      </w:r>
    </w:p>
    <w:p w:rsidR="00CD5A8C" w:rsidRPr="00BF42B7" w:rsidRDefault="00CD5A8C" w:rsidP="00396D56">
      <w:pPr>
        <w:pStyle w:val="SingleTxtGC"/>
        <w:numPr>
          <w:ilvl w:val="0"/>
          <w:numId w:val="23"/>
        </w:numPr>
      </w:pPr>
      <w:r w:rsidRPr="00BF42B7">
        <w:rPr>
          <w:rFonts w:hint="eastAsia"/>
        </w:rPr>
        <w:t>命令、怂恿、引诱、协助、教唆或以其他方式帮助或促成实施或企图实施这种罪行。</w:t>
      </w:r>
    </w:p>
    <w:p w:rsidR="00CD5A8C" w:rsidRPr="00BF42B7" w:rsidRDefault="00CD5A8C" w:rsidP="00CD5A8C">
      <w:pPr>
        <w:tabs>
          <w:tab w:val="clear" w:pos="431"/>
          <w:tab w:val="left" w:pos="1134"/>
          <w:tab w:val="left" w:pos="1565"/>
          <w:tab w:val="left" w:pos="1996"/>
          <w:tab w:val="left" w:pos="2427"/>
        </w:tabs>
        <w:spacing w:after="120"/>
        <w:ind w:left="1554" w:right="1134"/>
      </w:pPr>
      <w:r w:rsidRPr="00BF42B7">
        <w:t xml:space="preserve">3.  </w:t>
      </w:r>
      <w:r w:rsidRPr="00BF42B7">
        <w:rPr>
          <w:rFonts w:hint="eastAsia"/>
        </w:rPr>
        <w:t>各国还应采取必要措施，确保国家刑法将下列行为定为犯罪：</w:t>
      </w:r>
    </w:p>
    <w:p w:rsidR="00CD5A8C" w:rsidRPr="00BF42B7" w:rsidRDefault="00CD5A8C" w:rsidP="00396D56">
      <w:pPr>
        <w:pStyle w:val="SingleTxtGC"/>
        <w:numPr>
          <w:ilvl w:val="0"/>
          <w:numId w:val="24"/>
        </w:numPr>
      </w:pPr>
      <w:r w:rsidRPr="00BF42B7">
        <w:rPr>
          <w:rFonts w:hint="eastAsia"/>
        </w:rPr>
        <w:t>军事指挥官或实际上以军事指挥官身份行事的人，如果未对在其实际上指挥和控制下的部队，或在其实际上管辖和控制下的部队适当行使控制，在下列情况下，应对这些部队实施的危害人类罪行负刑事责任：</w:t>
      </w:r>
    </w:p>
    <w:p w:rsidR="00CD5A8C" w:rsidRPr="00BF42B7" w:rsidRDefault="00CD5A8C" w:rsidP="00CD5A8C">
      <w:pPr>
        <w:tabs>
          <w:tab w:val="clear" w:pos="431"/>
          <w:tab w:val="left" w:pos="1134"/>
          <w:tab w:val="left" w:pos="1565"/>
          <w:tab w:val="left" w:pos="1996"/>
          <w:tab w:val="left" w:pos="2427"/>
        </w:tabs>
        <w:spacing w:after="120"/>
        <w:ind w:left="1974" w:right="1134"/>
      </w:pPr>
      <w:r w:rsidRPr="00BF42B7">
        <w:t>(</w:t>
      </w:r>
      <w:r w:rsidRPr="00BF42B7">
        <w:rPr>
          <w:rFonts w:hint="eastAsia"/>
        </w:rPr>
        <w:t>一</w:t>
      </w:r>
      <w:r w:rsidRPr="00BF42B7">
        <w:t>)</w:t>
      </w:r>
      <w:r w:rsidRPr="00BF42B7">
        <w:tab/>
      </w:r>
      <w:r w:rsidRPr="00BF42B7">
        <w:rPr>
          <w:rFonts w:hint="eastAsia"/>
        </w:rPr>
        <w:t>该军事指挥官或该人知道，或者由于当时的情况理应知道，部队正在实施或即将实施这些犯罪；</w:t>
      </w:r>
    </w:p>
    <w:p w:rsidR="00CD5A8C" w:rsidRPr="00BF42B7" w:rsidRDefault="00CD5A8C" w:rsidP="00CD5A8C">
      <w:pPr>
        <w:tabs>
          <w:tab w:val="clear" w:pos="431"/>
          <w:tab w:val="left" w:pos="1134"/>
          <w:tab w:val="left" w:pos="1565"/>
          <w:tab w:val="left" w:pos="1996"/>
          <w:tab w:val="left" w:pos="2427"/>
        </w:tabs>
        <w:spacing w:after="120"/>
        <w:ind w:left="1974" w:right="1134"/>
      </w:pPr>
      <w:r w:rsidRPr="00BF42B7">
        <w:t>(</w:t>
      </w:r>
      <w:r w:rsidRPr="00BF42B7">
        <w:rPr>
          <w:rFonts w:hint="eastAsia"/>
        </w:rPr>
        <w:t>二</w:t>
      </w:r>
      <w:r w:rsidRPr="00BF42B7">
        <w:t>)</w:t>
      </w:r>
      <w:r w:rsidRPr="00BF42B7">
        <w:tab/>
      </w:r>
      <w:r w:rsidRPr="00BF42B7">
        <w:rPr>
          <w:rFonts w:hint="eastAsia"/>
        </w:rPr>
        <w:t>该军事指挥官或该人未采取在其权力范围内的一切必要而合理的措施，防止或制止这些犯罪的实施，或报请主管当局就此事进行调查和起诉。</w:t>
      </w:r>
    </w:p>
    <w:p w:rsidR="00CD5A8C" w:rsidRPr="00BF42B7" w:rsidRDefault="00CD5A8C" w:rsidP="00396D56">
      <w:pPr>
        <w:pStyle w:val="SingleTxtGC"/>
        <w:numPr>
          <w:ilvl w:val="0"/>
          <w:numId w:val="24"/>
        </w:numPr>
      </w:pPr>
      <w:r w:rsidRPr="00BF42B7">
        <w:rPr>
          <w:rFonts w:hint="eastAsia"/>
        </w:rPr>
        <w:t>对于</w:t>
      </w:r>
      <w:r w:rsidRPr="00BF42B7">
        <w:t>(a)</w:t>
      </w:r>
      <w:r w:rsidRPr="00BF42B7">
        <w:rPr>
          <w:rFonts w:hint="eastAsia"/>
        </w:rPr>
        <w:t>项未述及的上下级关系，上级人员如果未对在其实际上管辖或控制下的下级人员适当行使控制，在下列情况下，应对这些下级人员实施的危害人类罪负刑事责任：</w:t>
      </w:r>
    </w:p>
    <w:p w:rsidR="00CD5A8C" w:rsidRPr="00BF42B7" w:rsidRDefault="00CD5A8C" w:rsidP="00CD5A8C">
      <w:pPr>
        <w:tabs>
          <w:tab w:val="clear" w:pos="431"/>
          <w:tab w:val="left" w:pos="1134"/>
          <w:tab w:val="left" w:pos="1565"/>
          <w:tab w:val="left" w:pos="1996"/>
          <w:tab w:val="left" w:pos="2427"/>
        </w:tabs>
        <w:spacing w:after="120"/>
        <w:ind w:left="1974" w:right="1134"/>
      </w:pPr>
      <w:r w:rsidRPr="00BF42B7">
        <w:t>(</w:t>
      </w:r>
      <w:r w:rsidRPr="00BF42B7">
        <w:rPr>
          <w:rFonts w:hint="eastAsia"/>
        </w:rPr>
        <w:t>一</w:t>
      </w:r>
      <w:r w:rsidRPr="00BF42B7">
        <w:t>)</w:t>
      </w:r>
      <w:r w:rsidRPr="00BF42B7">
        <w:tab/>
      </w:r>
      <w:r w:rsidRPr="00BF42B7">
        <w:rPr>
          <w:rFonts w:hint="eastAsia"/>
        </w:rPr>
        <w:t>该上级人员知道下级人员正在实施或即将实施这些犯罪，或故意不理会明确反映这一情况的情报；</w:t>
      </w:r>
    </w:p>
    <w:p w:rsidR="00CD5A8C" w:rsidRPr="00BF42B7" w:rsidRDefault="00CD5A8C" w:rsidP="00CD5A8C">
      <w:pPr>
        <w:tabs>
          <w:tab w:val="clear" w:pos="431"/>
          <w:tab w:val="left" w:pos="1134"/>
          <w:tab w:val="left" w:pos="1565"/>
          <w:tab w:val="left" w:pos="1996"/>
          <w:tab w:val="left" w:pos="2427"/>
        </w:tabs>
        <w:spacing w:after="120"/>
        <w:ind w:left="1974" w:right="1134"/>
      </w:pPr>
      <w:r w:rsidRPr="00BF42B7">
        <w:t>(</w:t>
      </w:r>
      <w:r w:rsidRPr="00BF42B7">
        <w:rPr>
          <w:rFonts w:hint="eastAsia"/>
        </w:rPr>
        <w:t>二</w:t>
      </w:r>
      <w:r w:rsidRPr="00BF42B7">
        <w:t>)</w:t>
      </w:r>
      <w:r w:rsidRPr="00BF42B7">
        <w:tab/>
      </w:r>
      <w:r w:rsidRPr="00BF42B7">
        <w:rPr>
          <w:rFonts w:hint="eastAsia"/>
        </w:rPr>
        <w:t>犯罪涉及该上级人员实际上负责和控制的活动；</w:t>
      </w:r>
    </w:p>
    <w:p w:rsidR="00CD5A8C" w:rsidRPr="00BF42B7" w:rsidRDefault="00CD5A8C" w:rsidP="00CD5A8C">
      <w:pPr>
        <w:tabs>
          <w:tab w:val="clear" w:pos="431"/>
          <w:tab w:val="left" w:pos="1134"/>
          <w:tab w:val="left" w:pos="1565"/>
          <w:tab w:val="left" w:pos="1996"/>
          <w:tab w:val="left" w:pos="2427"/>
        </w:tabs>
        <w:spacing w:after="120"/>
        <w:ind w:left="1974" w:right="1134"/>
      </w:pPr>
      <w:r w:rsidRPr="00BF42B7">
        <w:t>(</w:t>
      </w:r>
      <w:r w:rsidRPr="00BF42B7">
        <w:rPr>
          <w:rFonts w:hint="eastAsia"/>
        </w:rPr>
        <w:t>三</w:t>
      </w:r>
      <w:r w:rsidRPr="00BF42B7">
        <w:t>)</w:t>
      </w:r>
      <w:r w:rsidRPr="00BF42B7">
        <w:tab/>
      </w:r>
      <w:r w:rsidRPr="00BF42B7">
        <w:rPr>
          <w:rFonts w:hint="eastAsia"/>
        </w:rPr>
        <w:t>该上级人员未采取在其权力范围内的一切必要而合理的措施，防止或制止这些犯罪的实施，或报请主管当局就此事进行调查和起诉。</w:t>
      </w:r>
    </w:p>
    <w:p w:rsidR="00CD5A8C" w:rsidRPr="00BF42B7" w:rsidRDefault="00CD5A8C" w:rsidP="00CD5A8C">
      <w:pPr>
        <w:tabs>
          <w:tab w:val="clear" w:pos="431"/>
          <w:tab w:val="left" w:pos="1134"/>
          <w:tab w:val="left" w:pos="1565"/>
          <w:tab w:val="left" w:pos="1996"/>
          <w:tab w:val="left" w:pos="2427"/>
        </w:tabs>
        <w:spacing w:after="120"/>
        <w:ind w:left="1554" w:right="1134"/>
      </w:pPr>
      <w:r w:rsidRPr="00BF42B7">
        <w:t xml:space="preserve">4.  </w:t>
      </w:r>
      <w:r w:rsidRPr="00BF42B7">
        <w:rPr>
          <w:rFonts w:hint="eastAsia"/>
        </w:rPr>
        <w:t>各国应采取必要措施确保国家刑法规定，依照政府或者军事或文职上级的命令实施本条款草案所述罪行的事实不成为免除下级刑事责任的理由。</w:t>
      </w:r>
    </w:p>
    <w:p w:rsidR="00CD5A8C" w:rsidRPr="00BF42B7" w:rsidRDefault="00CD5A8C" w:rsidP="00CD5A8C">
      <w:pPr>
        <w:tabs>
          <w:tab w:val="clear" w:pos="431"/>
          <w:tab w:val="left" w:pos="1134"/>
          <w:tab w:val="left" w:pos="1565"/>
          <w:tab w:val="left" w:pos="1996"/>
          <w:tab w:val="left" w:pos="2427"/>
        </w:tabs>
        <w:spacing w:after="120"/>
        <w:ind w:left="1554" w:right="1134"/>
      </w:pPr>
      <w:r w:rsidRPr="00BF42B7">
        <w:t xml:space="preserve">5.  </w:t>
      </w:r>
      <w:r w:rsidRPr="00BF42B7">
        <w:rPr>
          <w:rFonts w:hint="eastAsia"/>
        </w:rPr>
        <w:t>各国应采取必要措施确保国家刑法规定，本条款草案所述罪行不应受到任何时效限制。</w:t>
      </w:r>
    </w:p>
    <w:p w:rsidR="00CD5A8C" w:rsidRPr="00BF42B7" w:rsidRDefault="00CD5A8C" w:rsidP="00CD5A8C">
      <w:pPr>
        <w:tabs>
          <w:tab w:val="clear" w:pos="431"/>
          <w:tab w:val="left" w:pos="1134"/>
          <w:tab w:val="left" w:pos="1565"/>
          <w:tab w:val="left" w:pos="1996"/>
          <w:tab w:val="left" w:pos="2427"/>
        </w:tabs>
        <w:spacing w:after="120"/>
        <w:ind w:left="1554" w:right="1134"/>
      </w:pPr>
      <w:r w:rsidRPr="00BF42B7">
        <w:t xml:space="preserve">6.  </w:t>
      </w:r>
      <w:r w:rsidRPr="00BF42B7">
        <w:rPr>
          <w:rFonts w:hint="eastAsia"/>
        </w:rPr>
        <w:t>各国应采取必要措施确保国家刑法规定，对本条款草案所述罪行，应考虑到罪行的严重性，处以适当的惩罚。</w:t>
      </w:r>
    </w:p>
    <w:p w:rsidR="00CD5A8C" w:rsidRPr="00BF42B7" w:rsidRDefault="00CD5A8C" w:rsidP="00CD5A8C">
      <w:pPr>
        <w:tabs>
          <w:tab w:val="clear" w:pos="431"/>
          <w:tab w:val="left" w:pos="1996"/>
          <w:tab w:val="left" w:pos="2427"/>
        </w:tabs>
        <w:spacing w:after="120"/>
        <w:ind w:left="1582" w:right="1134" w:hanging="17"/>
      </w:pPr>
      <w:r w:rsidRPr="00BF42B7">
        <w:rPr>
          <w:rFonts w:hint="eastAsia"/>
        </w:rPr>
        <w:t xml:space="preserve">7.  </w:t>
      </w:r>
      <w:r w:rsidRPr="00BF42B7">
        <w:t>在不违反本国法律规定的情况下，每</w:t>
      </w:r>
      <w:r w:rsidRPr="00BF42B7">
        <w:rPr>
          <w:rFonts w:hint="eastAsia"/>
        </w:rPr>
        <w:t>个国家</w:t>
      </w:r>
      <w:r w:rsidRPr="00BF42B7">
        <w:t>应酌情采取适当措施确定法人对本条</w:t>
      </w:r>
      <w:r w:rsidRPr="00BF42B7">
        <w:rPr>
          <w:rFonts w:hint="eastAsia"/>
        </w:rPr>
        <w:t>草案所指</w:t>
      </w:r>
      <w:r w:rsidRPr="00BF42B7">
        <w:t>罪行的责任。在不违反</w:t>
      </w:r>
      <w:r w:rsidRPr="00BF42B7">
        <w:rPr>
          <w:rFonts w:hint="eastAsia"/>
        </w:rPr>
        <w:t>本国</w:t>
      </w:r>
      <w:r w:rsidRPr="00BF42B7">
        <w:t>法律原则的情况下，可将法人的这一责任定为刑事、民事或行政责任。</w:t>
      </w:r>
    </w:p>
    <w:p w:rsidR="00CD5A8C" w:rsidRPr="00BF42B7" w:rsidRDefault="00CD5A8C" w:rsidP="00586EF6">
      <w:pPr>
        <w:pStyle w:val="H23GC"/>
      </w:pPr>
      <w:r w:rsidRPr="00BF42B7">
        <w:rPr>
          <w:rFonts w:hint="eastAsia"/>
        </w:rPr>
        <w:tab/>
      </w:r>
      <w:r w:rsidRPr="00BF42B7">
        <w:rPr>
          <w:rFonts w:hint="eastAsia"/>
        </w:rPr>
        <w:tab/>
      </w:r>
      <w:r w:rsidRPr="00BF42B7">
        <w:rPr>
          <w:rFonts w:hint="eastAsia"/>
        </w:rPr>
        <w:t>评注</w:t>
      </w:r>
    </w:p>
    <w:p w:rsidR="00CD5A8C" w:rsidRPr="00BF42B7" w:rsidRDefault="00CD5A8C" w:rsidP="00CD5A8C">
      <w:pPr>
        <w:tabs>
          <w:tab w:val="clear" w:pos="431"/>
          <w:tab w:val="left" w:pos="1134"/>
          <w:tab w:val="left" w:pos="1565"/>
          <w:tab w:val="left" w:pos="2156"/>
          <w:tab w:val="left" w:pos="2427"/>
        </w:tabs>
        <w:spacing w:after="120"/>
        <w:ind w:left="1134" w:right="1134"/>
      </w:pPr>
      <w:r w:rsidRPr="00BF42B7">
        <w:t>(1)</w:t>
      </w:r>
      <w:r w:rsidRPr="00BF42B7">
        <w:rPr>
          <w:rFonts w:hint="eastAsia"/>
        </w:rPr>
        <w:t xml:space="preserve">  </w:t>
      </w:r>
      <w:r w:rsidRPr="00BF42B7">
        <w:rPr>
          <w:rFonts w:hint="eastAsia"/>
        </w:rPr>
        <w:t>第</w:t>
      </w:r>
      <w:r w:rsidRPr="00BF42B7">
        <w:t>5</w:t>
      </w:r>
      <w:r w:rsidRPr="00BF42B7">
        <w:rPr>
          <w:rFonts w:hint="eastAsia"/>
        </w:rPr>
        <w:t>条草案规定了各国为确保危害人类罪构成犯罪，排除以任何上级命令为借口或任何法定时效，实行与此类罪行严重性质相称的惩治而必须在国家刑法之下采取的各种措施。对以下就被指控罪犯建立和行使管辖的相关条款草案的妥善运作而言，这类措施是至关重要的。</w:t>
      </w:r>
    </w:p>
    <w:p w:rsidR="00CD5A8C" w:rsidRPr="00BF42B7" w:rsidRDefault="00CD5A8C" w:rsidP="00CD5A8C">
      <w:pPr>
        <w:keepNext/>
        <w:keepLines/>
        <w:tabs>
          <w:tab w:val="clear" w:pos="431"/>
          <w:tab w:val="right" w:pos="851"/>
        </w:tabs>
        <w:spacing w:before="240" w:after="120"/>
        <w:ind w:left="1134" w:right="1134" w:hanging="1134"/>
        <w:jc w:val="left"/>
        <w:outlineLvl w:val="4"/>
        <w:rPr>
          <w:rFonts w:eastAsia="楷体_GB2312"/>
          <w:sz w:val="23"/>
        </w:rPr>
      </w:pPr>
      <w:r w:rsidRPr="00BF42B7">
        <w:rPr>
          <w:rFonts w:eastAsia="楷体_GB2312" w:hint="eastAsia"/>
          <w:sz w:val="23"/>
        </w:rPr>
        <w:tab/>
      </w:r>
      <w:r w:rsidRPr="00BF42B7">
        <w:rPr>
          <w:rFonts w:eastAsia="楷体_GB2312" w:hint="eastAsia"/>
          <w:sz w:val="23"/>
        </w:rPr>
        <w:tab/>
      </w:r>
      <w:r w:rsidRPr="00BF42B7">
        <w:rPr>
          <w:rFonts w:eastAsia="楷体_GB2312" w:hint="eastAsia"/>
          <w:sz w:val="23"/>
        </w:rPr>
        <w:t>确保国家刑法规定“危害人类罪”构成犯罪</w:t>
      </w:r>
    </w:p>
    <w:p w:rsidR="00CD5A8C" w:rsidRPr="00BF42B7" w:rsidRDefault="00CD5A8C" w:rsidP="00CD5A8C">
      <w:pPr>
        <w:tabs>
          <w:tab w:val="clear" w:pos="431"/>
          <w:tab w:val="left" w:pos="1134"/>
          <w:tab w:val="left" w:pos="1565"/>
          <w:tab w:val="left" w:pos="2156"/>
          <w:tab w:val="left" w:pos="2427"/>
        </w:tabs>
        <w:spacing w:after="120"/>
        <w:ind w:left="1134" w:right="1134"/>
      </w:pPr>
      <w:r w:rsidRPr="00BF42B7">
        <w:t>(2)</w:t>
      </w:r>
      <w:r w:rsidRPr="00BF42B7">
        <w:rPr>
          <w:rFonts w:hint="eastAsia"/>
        </w:rPr>
        <w:t xml:space="preserve">  </w:t>
      </w:r>
      <w:r w:rsidRPr="00BF42B7">
        <w:rPr>
          <w:rFonts w:hint="eastAsia"/>
        </w:rPr>
        <w:t>纽伦堡国际军事法庭确认必须惩治犯有危害人类罪等罪行的个人，宣布：“犯下违反国际法罪行的是人，而不是抽象的实体，只有通过惩治犯有此种罪行的人才能够执行国际法的规定”。</w:t>
      </w:r>
      <w:bookmarkStart w:id="255" w:name="_Ref426983427"/>
      <w:r w:rsidRPr="00BF42B7">
        <w:rPr>
          <w:color w:val="0000FF"/>
          <w:vertAlign w:val="superscript"/>
        </w:rPr>
        <w:footnoteReference w:id="1052"/>
      </w:r>
      <w:bookmarkEnd w:id="255"/>
      <w:r w:rsidRPr="00BF42B7">
        <w:t xml:space="preserve"> </w:t>
      </w:r>
      <w:r w:rsidRPr="00BF42B7">
        <w:rPr>
          <w:rFonts w:hint="eastAsia"/>
        </w:rPr>
        <w:t>委员会</w:t>
      </w:r>
      <w:r w:rsidRPr="00BF42B7">
        <w:t>1950</w:t>
      </w:r>
      <w:r w:rsidRPr="00BF42B7">
        <w:rPr>
          <w:rFonts w:hint="eastAsia"/>
        </w:rPr>
        <w:t>年“纽伦堡法庭宪章及法庭判决中所确认之原则”规定：“任何人所犯行为如构成国际法规定之罪行，则须为其承担责任并受到处罚”。</w:t>
      </w:r>
      <w:bookmarkStart w:id="256" w:name="_Ref426532537"/>
      <w:r w:rsidRPr="00BF42B7">
        <w:rPr>
          <w:color w:val="0000FF"/>
          <w:vertAlign w:val="superscript"/>
        </w:rPr>
        <w:footnoteReference w:id="1053"/>
      </w:r>
      <w:bookmarkEnd w:id="256"/>
      <w:r w:rsidRPr="00BF42B7">
        <w:t xml:space="preserve"> 1968</w:t>
      </w:r>
      <w:r w:rsidRPr="00BF42B7">
        <w:rPr>
          <w:rFonts w:hint="eastAsia"/>
        </w:rPr>
        <w:t>年《战争罪及危害人类罪不适用法定时效公约》序言部分宣布，“有效惩治……危害人类罪为防止此种罪行、保障人权与基本自由、鼓励信心、促进民族间合作、及增进国际和平与安全的一个重要因素”。</w:t>
      </w:r>
      <w:bookmarkStart w:id="257" w:name="_Ref426533210"/>
      <w:bookmarkStart w:id="258" w:name="_Ref453231319"/>
      <w:r w:rsidRPr="00BF42B7">
        <w:rPr>
          <w:color w:val="0000FF"/>
          <w:vertAlign w:val="superscript"/>
        </w:rPr>
        <w:footnoteReference w:id="1054"/>
      </w:r>
      <w:bookmarkEnd w:id="257"/>
      <w:bookmarkEnd w:id="258"/>
      <w:r w:rsidRPr="00BF42B7">
        <w:t xml:space="preserve"> </w:t>
      </w:r>
      <w:r w:rsidRPr="00BF42B7">
        <w:rPr>
          <w:rFonts w:hint="eastAsia"/>
        </w:rPr>
        <w:t>《罗马规约》的序言申明，“对整个国际社会关注的最严重犯罪，绝不能听之任之不予处罚，为有效惩治罪犯，必须通过国家一级采取措施并加强国际合作”。</w:t>
      </w:r>
      <w:bookmarkStart w:id="259" w:name="_Ref426474525"/>
      <w:bookmarkStart w:id="260" w:name="_Ref453165229"/>
      <w:r w:rsidRPr="00BF42B7">
        <w:rPr>
          <w:color w:val="0000FF"/>
          <w:vertAlign w:val="superscript"/>
        </w:rPr>
        <w:footnoteReference w:id="1055"/>
      </w:r>
      <w:bookmarkEnd w:id="259"/>
      <w:bookmarkEnd w:id="260"/>
    </w:p>
    <w:p w:rsidR="00CD5A8C" w:rsidRPr="00BF42B7" w:rsidRDefault="00CD5A8C" w:rsidP="00CD5A8C">
      <w:pPr>
        <w:tabs>
          <w:tab w:val="clear" w:pos="431"/>
          <w:tab w:val="left" w:pos="1134"/>
          <w:tab w:val="left" w:pos="1565"/>
          <w:tab w:val="left" w:pos="2156"/>
          <w:tab w:val="left" w:pos="2427"/>
        </w:tabs>
        <w:spacing w:after="120"/>
        <w:ind w:left="1134" w:right="1134"/>
      </w:pPr>
      <w:r w:rsidRPr="00BF42B7">
        <w:t>(3)</w:t>
      </w:r>
      <w:r w:rsidRPr="00BF42B7">
        <w:rPr>
          <w:rFonts w:hint="eastAsia"/>
        </w:rPr>
        <w:t xml:space="preserve">  </w:t>
      </w:r>
      <w:r w:rsidRPr="00BF42B7">
        <w:rPr>
          <w:rFonts w:hint="eastAsia"/>
        </w:rPr>
        <w:t>很多国家通过了关于危害人类罪的法律，规定了国家制度中对此类罪行的惩治。特别是在《罗马规约》的影响下，一些国家颁布或修订了关于危害人类罪的国家法律，以与《规约》第七条所述相同或非常相似的措辞界定了此种罪行。同时，也有很多国家通过了与《规约》第七条不同的本国法律，有些还有重大差异。另外，还有一些国家尚未就危害人类罪通过本国法律。这些国家的刑法一般都对谋杀、酷刑、强奸等多种行为确实有某种形式的惩治规定，而此类行为在某些情况下可能构成危害人类罪。</w:t>
      </w:r>
      <w:r w:rsidRPr="00BF42B7">
        <w:rPr>
          <w:color w:val="0000FF"/>
          <w:vertAlign w:val="superscript"/>
        </w:rPr>
        <w:footnoteReference w:id="1056"/>
      </w:r>
      <w:r w:rsidRPr="00BF42B7">
        <w:t xml:space="preserve"> </w:t>
      </w:r>
      <w:r w:rsidRPr="00BF42B7">
        <w:rPr>
          <w:rFonts w:hint="eastAsia"/>
        </w:rPr>
        <w:t>然而，由于这些国家尚未将危害人类罪本身定为犯罪，这种空白可能会妨碍对犯罪行为进行起诉和惩治，包括与其严重性相称的起诉和惩治。</w:t>
      </w:r>
    </w:p>
    <w:p w:rsidR="00CD5A8C" w:rsidRPr="00BF42B7" w:rsidRDefault="00CD5A8C" w:rsidP="00ED18FA">
      <w:pPr>
        <w:tabs>
          <w:tab w:val="clear" w:pos="431"/>
          <w:tab w:val="left" w:pos="1134"/>
          <w:tab w:val="left" w:pos="1565"/>
          <w:tab w:val="left" w:pos="2156"/>
          <w:tab w:val="left" w:pos="2427"/>
        </w:tabs>
        <w:spacing w:after="140" w:line="330" w:lineRule="exact"/>
        <w:ind w:left="1134" w:right="1134"/>
      </w:pPr>
      <w:r w:rsidRPr="00BF42B7">
        <w:t>(4)</w:t>
      </w:r>
      <w:r w:rsidRPr="00BF42B7">
        <w:rPr>
          <w:rFonts w:hint="eastAsia"/>
        </w:rPr>
        <w:t xml:space="preserve">  </w:t>
      </w:r>
      <w:r w:rsidRPr="00BF42B7">
        <w:t>1984</w:t>
      </w:r>
      <w:r w:rsidRPr="00BF42B7">
        <w:rPr>
          <w:rFonts w:hint="eastAsia"/>
        </w:rPr>
        <w:t>年《禁止酷刑和其他残忍、不人道或有辱人格的待遇或处罚公约》</w:t>
      </w:r>
      <w:r w:rsidRPr="00BF42B7">
        <w:rPr>
          <w:rFonts w:hint="eastAsia"/>
        </w:rPr>
        <w:t>(</w:t>
      </w:r>
      <w:r w:rsidRPr="00BF42B7">
        <w:rPr>
          <w:rFonts w:hint="eastAsia"/>
        </w:rPr>
        <w:t>《禁止酷刑公约》</w:t>
      </w:r>
      <w:r w:rsidRPr="00BF42B7">
        <w:rPr>
          <w:rFonts w:hint="eastAsia"/>
        </w:rPr>
        <w:t>)</w:t>
      </w:r>
      <w:r w:rsidRPr="00BF42B7">
        <w:rPr>
          <w:rFonts w:hint="eastAsia"/>
        </w:rPr>
        <w:t>第</w:t>
      </w:r>
      <w:r w:rsidRPr="00BF42B7">
        <w:t>4</w:t>
      </w:r>
      <w:r w:rsidRPr="00BF42B7">
        <w:rPr>
          <w:rFonts w:hint="eastAsia"/>
        </w:rPr>
        <w:t>条第</w:t>
      </w:r>
      <w:r w:rsidRPr="00BF42B7">
        <w:t>1</w:t>
      </w:r>
      <w:r w:rsidRPr="00BF42B7">
        <w:rPr>
          <w:rFonts w:hint="eastAsia"/>
        </w:rPr>
        <w:t>款规定：“每一缔约国应保证将一切酷刑行为定为刑事罪行”。</w:t>
      </w:r>
      <w:bookmarkStart w:id="261" w:name="_Ref440121835"/>
      <w:r w:rsidRPr="00BF42B7">
        <w:rPr>
          <w:color w:val="0000FF"/>
          <w:vertAlign w:val="superscript"/>
        </w:rPr>
        <w:footnoteReference w:id="1057"/>
      </w:r>
      <w:bookmarkEnd w:id="261"/>
      <w:r w:rsidRPr="00BF42B7">
        <w:t xml:space="preserve"> </w:t>
      </w:r>
      <w:r w:rsidRPr="00BF42B7">
        <w:rPr>
          <w:rFonts w:hint="eastAsia"/>
        </w:rPr>
        <w:t>禁止酷刑委员会强调必须履行此项义务以避免《公约》中的定义与国内法中纳入的定义有重大差距：</w:t>
      </w:r>
    </w:p>
    <w:p w:rsidR="00CD5A8C" w:rsidRPr="00BF42B7" w:rsidRDefault="00CD5A8C" w:rsidP="00ED18FA">
      <w:pPr>
        <w:tabs>
          <w:tab w:val="clear" w:pos="431"/>
          <w:tab w:val="left" w:pos="1134"/>
          <w:tab w:val="left" w:pos="1565"/>
          <w:tab w:val="left" w:pos="1996"/>
          <w:tab w:val="left" w:pos="2427"/>
          <w:tab w:val="left" w:pos="2786"/>
        </w:tabs>
        <w:spacing w:after="140" w:line="330" w:lineRule="exact"/>
        <w:ind w:left="1565" w:right="1134"/>
      </w:pPr>
      <w:r w:rsidRPr="00BF42B7">
        <w:rPr>
          <w:rFonts w:hint="eastAsia"/>
        </w:rPr>
        <w:t>“《公约》中的定义如与国内法中纳入的定义有重大差距，就会出现实际或可能的漏洞，从而导致有罪不罚现象。在某些情况下，尽管用语也许相近，但国内法或司法解释可能对其含义做了限定，因此委员会要求每一缔约国确保政府所有部门都根据《公约》中的定义来界定国家义务”。</w:t>
      </w:r>
      <w:bookmarkStart w:id="262" w:name="_Ref426467698"/>
      <w:r w:rsidRPr="00BF42B7">
        <w:rPr>
          <w:color w:val="0000FF"/>
          <w:vertAlign w:val="superscript"/>
        </w:rPr>
        <w:footnoteReference w:id="1058"/>
      </w:r>
      <w:bookmarkEnd w:id="262"/>
    </w:p>
    <w:p w:rsidR="00CD5A8C" w:rsidRPr="00BF42B7" w:rsidRDefault="00CD5A8C" w:rsidP="00ED18FA">
      <w:pPr>
        <w:tabs>
          <w:tab w:val="clear" w:pos="431"/>
          <w:tab w:val="left" w:pos="1134"/>
          <w:tab w:val="left" w:pos="1565"/>
          <w:tab w:val="left" w:pos="2156"/>
          <w:tab w:val="left" w:pos="2427"/>
        </w:tabs>
        <w:spacing w:after="140" w:line="330" w:lineRule="exact"/>
        <w:ind w:left="1134" w:right="1134"/>
      </w:pPr>
      <w:r w:rsidRPr="00BF42B7">
        <w:t>(5)</w:t>
      </w:r>
      <w:r w:rsidRPr="00BF42B7">
        <w:rPr>
          <w:rFonts w:hint="eastAsia"/>
        </w:rPr>
        <w:t xml:space="preserve">  </w:t>
      </w:r>
      <w:r w:rsidRPr="00BF42B7">
        <w:rPr>
          <w:rFonts w:hint="eastAsia"/>
        </w:rPr>
        <w:t>为了帮助避免在危害人类罪问题上出现此类漏洞，第</w:t>
      </w:r>
      <w:r w:rsidRPr="00BF42B7">
        <w:t>5</w:t>
      </w:r>
      <w:r w:rsidRPr="00BF42B7">
        <w:rPr>
          <w:rFonts w:hint="eastAsia"/>
        </w:rPr>
        <w:t>条草案第</w:t>
      </w:r>
      <w:r w:rsidRPr="00BF42B7">
        <w:t>1</w:t>
      </w:r>
      <w:r w:rsidRPr="00BF42B7">
        <w:rPr>
          <w:rFonts w:hint="eastAsia"/>
        </w:rPr>
        <w:t>款规定各国应采取必要措施确保国家刑法规定危害人类罪本身构成犯罪。第</w:t>
      </w:r>
      <w:r w:rsidRPr="00BF42B7">
        <w:t>5</w:t>
      </w:r>
      <w:r w:rsidRPr="00BF42B7">
        <w:rPr>
          <w:rFonts w:hint="eastAsia"/>
        </w:rPr>
        <w:t>条草案第</w:t>
      </w:r>
      <w:r w:rsidRPr="00BF42B7">
        <w:t>2</w:t>
      </w:r>
      <w:r w:rsidRPr="00BF42B7">
        <w:rPr>
          <w:rFonts w:hint="eastAsia"/>
        </w:rPr>
        <w:t>和</w:t>
      </w:r>
      <w:r w:rsidRPr="00BF42B7">
        <w:t>3</w:t>
      </w:r>
      <w:r w:rsidRPr="00BF42B7">
        <w:rPr>
          <w:rFonts w:hint="eastAsia"/>
        </w:rPr>
        <w:t>款</w:t>
      </w:r>
      <w:r w:rsidRPr="00BF42B7">
        <w:rPr>
          <w:rFonts w:hint="eastAsia"/>
        </w:rPr>
        <w:t>(</w:t>
      </w:r>
      <w:r w:rsidRPr="00BF42B7">
        <w:rPr>
          <w:rFonts w:hint="eastAsia"/>
        </w:rPr>
        <w:t>讨论如下</w:t>
      </w:r>
      <w:r w:rsidRPr="00BF42B7">
        <w:rPr>
          <w:rFonts w:hint="eastAsia"/>
        </w:rPr>
        <w:t>)</w:t>
      </w:r>
      <w:r w:rsidRPr="00BF42B7">
        <w:rPr>
          <w:rFonts w:hint="eastAsia"/>
        </w:rPr>
        <w:t>则进一步规定了国家在此类罪行为自然人以某些方式实施时将这些方式定为犯罪的义务。</w:t>
      </w:r>
    </w:p>
    <w:p w:rsidR="00CD5A8C" w:rsidRPr="00BF42B7" w:rsidRDefault="00CD5A8C" w:rsidP="00ED18FA">
      <w:pPr>
        <w:tabs>
          <w:tab w:val="clear" w:pos="431"/>
          <w:tab w:val="left" w:pos="1134"/>
          <w:tab w:val="left" w:pos="1565"/>
          <w:tab w:val="left" w:pos="2156"/>
          <w:tab w:val="left" w:pos="2427"/>
        </w:tabs>
        <w:spacing w:after="140" w:line="330" w:lineRule="exact"/>
        <w:ind w:left="1134" w:right="1134"/>
      </w:pPr>
      <w:r w:rsidRPr="00BF42B7">
        <w:t>(6)</w:t>
      </w:r>
      <w:r w:rsidRPr="00BF42B7">
        <w:rPr>
          <w:rFonts w:hint="eastAsia"/>
        </w:rPr>
        <w:t xml:space="preserve">  </w:t>
      </w:r>
      <w:r w:rsidRPr="00BF42B7">
        <w:rPr>
          <w:rFonts w:hint="eastAsia"/>
        </w:rPr>
        <w:t>由于第</w:t>
      </w:r>
      <w:r w:rsidRPr="00BF42B7">
        <w:t>3</w:t>
      </w:r>
      <w:r w:rsidRPr="00BF42B7">
        <w:rPr>
          <w:rFonts w:hint="eastAsia"/>
        </w:rPr>
        <w:t>条草案第</w:t>
      </w:r>
      <w:r w:rsidRPr="00BF42B7">
        <w:t>1</w:t>
      </w:r>
      <w:r w:rsidRPr="00BF42B7">
        <w:rPr>
          <w:rFonts w:hint="eastAsia"/>
        </w:rPr>
        <w:t>至第</w:t>
      </w:r>
      <w:r w:rsidRPr="00BF42B7">
        <w:t>3</w:t>
      </w:r>
      <w:r w:rsidRPr="00BF42B7">
        <w:rPr>
          <w:rFonts w:hint="eastAsia"/>
        </w:rPr>
        <w:t>款界定了“危害人类罪”一词，第</w:t>
      </w:r>
      <w:r w:rsidRPr="00BF42B7">
        <w:t>5</w:t>
      </w:r>
      <w:r w:rsidRPr="00BF42B7">
        <w:rPr>
          <w:rFonts w:hint="eastAsia"/>
        </w:rPr>
        <w:t>条草案第</w:t>
      </w:r>
      <w:r w:rsidRPr="00BF42B7">
        <w:t>1</w:t>
      </w:r>
      <w:r w:rsidRPr="00BF42B7">
        <w:rPr>
          <w:rFonts w:hint="eastAsia"/>
        </w:rPr>
        <w:t>款规定的义务要求符合此种定义的罪行在国家的国内法中被定为犯罪。虽然为了照顾任何具体国家可能有特定的术语或其他问题，措辞上可能与第</w:t>
      </w:r>
      <w:r w:rsidRPr="00BF42B7">
        <w:t>3</w:t>
      </w:r>
      <w:r w:rsidRPr="00BF42B7">
        <w:rPr>
          <w:rFonts w:hint="eastAsia"/>
        </w:rPr>
        <w:t>条草案第</w:t>
      </w:r>
      <w:r w:rsidRPr="00BF42B7">
        <w:t>1</w:t>
      </w:r>
      <w:r w:rsidRPr="00BF42B7">
        <w:rPr>
          <w:rFonts w:hint="eastAsia"/>
        </w:rPr>
        <w:t>至第</w:t>
      </w:r>
      <w:r w:rsidRPr="00BF42B7">
        <w:t>3</w:t>
      </w:r>
      <w:r w:rsidRPr="00BF42B7">
        <w:rPr>
          <w:rFonts w:hint="eastAsia"/>
        </w:rPr>
        <w:t>款的确切用语有所偏离，但这种偏离不应当造成严重脱离第</w:t>
      </w:r>
      <w:r w:rsidRPr="00BF42B7">
        <w:t>3</w:t>
      </w:r>
      <w:r w:rsidRPr="00BF42B7">
        <w:rPr>
          <w:rFonts w:hint="eastAsia"/>
        </w:rPr>
        <w:t>条草案第</w:t>
      </w:r>
      <w:r w:rsidRPr="00BF42B7">
        <w:t>1</w:t>
      </w:r>
      <w:r w:rsidRPr="00BF42B7">
        <w:rPr>
          <w:rFonts w:hint="eastAsia"/>
        </w:rPr>
        <w:t>至第</w:t>
      </w:r>
      <w:r w:rsidRPr="00BF42B7">
        <w:t>3</w:t>
      </w:r>
      <w:r w:rsidRPr="00BF42B7">
        <w:rPr>
          <w:rFonts w:hint="eastAsia"/>
        </w:rPr>
        <w:t>款所界定的危害人类罪含义的限定或改变。但是，第</w:t>
      </w:r>
      <w:r w:rsidRPr="00BF42B7">
        <w:t>5</w:t>
      </w:r>
      <w:r w:rsidRPr="00BF42B7">
        <w:rPr>
          <w:rFonts w:hint="eastAsia"/>
        </w:rPr>
        <w:t>条草案</w:t>
      </w:r>
      <w:r w:rsidRPr="00BF42B7">
        <w:rPr>
          <w:rFonts w:hint="eastAsia"/>
        </w:rPr>
        <w:t>(</w:t>
      </w:r>
      <w:r w:rsidRPr="00BF42B7">
        <w:rPr>
          <w:rFonts w:hint="eastAsia"/>
        </w:rPr>
        <w:t>及随后的各条款草案</w:t>
      </w:r>
      <w:r w:rsidRPr="00BF42B7">
        <w:rPr>
          <w:rFonts w:hint="eastAsia"/>
        </w:rPr>
        <w:t>)</w:t>
      </w:r>
      <w:r w:rsidRPr="00BF42B7">
        <w:rPr>
          <w:rFonts w:hint="eastAsia"/>
        </w:rPr>
        <w:t>中使用的“危害人类罪”一词并不包括第</w:t>
      </w:r>
      <w:r w:rsidRPr="00BF42B7">
        <w:t>3</w:t>
      </w:r>
      <w:r w:rsidRPr="00BF42B7">
        <w:rPr>
          <w:rFonts w:hint="eastAsia"/>
        </w:rPr>
        <w:t>条草案第</w:t>
      </w:r>
      <w:r w:rsidRPr="00BF42B7">
        <w:t>4</w:t>
      </w:r>
      <w:r w:rsidRPr="00BF42B7">
        <w:rPr>
          <w:rFonts w:hint="eastAsia"/>
        </w:rPr>
        <w:t>款具有的“不妨碍”条款。该款承认在任何国际文书或国内法中“危害人类罪”可能具有更广泛的定义，但就本条款草案而言，“危害人类罪”的定义限于第</w:t>
      </w:r>
      <w:r w:rsidRPr="00BF42B7">
        <w:t>3</w:t>
      </w:r>
      <w:r w:rsidRPr="00BF42B7">
        <w:rPr>
          <w:rFonts w:hint="eastAsia"/>
        </w:rPr>
        <w:t>条草案第</w:t>
      </w:r>
      <w:r w:rsidRPr="00BF42B7">
        <w:t>1</w:t>
      </w:r>
      <w:r w:rsidRPr="00BF42B7">
        <w:rPr>
          <w:rFonts w:hint="eastAsia"/>
        </w:rPr>
        <w:t>至第</w:t>
      </w:r>
      <w:r w:rsidRPr="00BF42B7">
        <w:t>3</w:t>
      </w:r>
      <w:r w:rsidRPr="00BF42B7">
        <w:rPr>
          <w:rFonts w:hint="eastAsia"/>
        </w:rPr>
        <w:t>款的范围。</w:t>
      </w:r>
    </w:p>
    <w:p w:rsidR="00CD5A8C" w:rsidRPr="00BF42B7" w:rsidRDefault="00CD5A8C" w:rsidP="00ED18FA">
      <w:pPr>
        <w:tabs>
          <w:tab w:val="clear" w:pos="431"/>
          <w:tab w:val="left" w:pos="1134"/>
          <w:tab w:val="left" w:pos="1565"/>
          <w:tab w:val="left" w:pos="2156"/>
          <w:tab w:val="left" w:pos="2427"/>
        </w:tabs>
        <w:spacing w:after="140" w:line="330" w:lineRule="exact"/>
        <w:ind w:left="1134" w:right="1134"/>
      </w:pPr>
      <w:r w:rsidRPr="00BF42B7">
        <w:t>(7)</w:t>
      </w:r>
      <w:r w:rsidRPr="00BF42B7">
        <w:rPr>
          <w:rFonts w:hint="eastAsia"/>
        </w:rPr>
        <w:t xml:space="preserve">  </w:t>
      </w:r>
      <w:r w:rsidRPr="00BF42B7">
        <w:rPr>
          <w:rFonts w:hint="eastAsia"/>
        </w:rPr>
        <w:t>与《禁止酷刑公约》一样，国际人道主义法、人权和国际刑法领域中的很多条约都要求缔约各国确保被禁止的行为在国内法中被定为“犯罪”或“处以惩罚”的行为，尽管关于这方面义务的措辞有所不同。</w:t>
      </w:r>
      <w:bookmarkStart w:id="263" w:name="_Ref453232663"/>
      <w:r w:rsidRPr="00BF42B7">
        <w:rPr>
          <w:color w:val="0000FF"/>
          <w:vertAlign w:val="superscript"/>
        </w:rPr>
        <w:footnoteReference w:id="1059"/>
      </w:r>
      <w:bookmarkEnd w:id="263"/>
      <w:r w:rsidRPr="00BF42B7">
        <w:t xml:space="preserve"> </w:t>
      </w:r>
      <w:r w:rsidRPr="00BF42B7">
        <w:rPr>
          <w:rFonts w:hint="eastAsia"/>
        </w:rPr>
        <w:t>有些条约，如</w:t>
      </w:r>
      <w:r w:rsidRPr="00BF42B7">
        <w:t>1948</w:t>
      </w:r>
      <w:r w:rsidRPr="00BF42B7">
        <w:rPr>
          <w:rFonts w:hint="eastAsia"/>
        </w:rPr>
        <w:t>年《防止及惩治灭绝种族罪公约》</w:t>
      </w:r>
      <w:bookmarkStart w:id="264" w:name="_Ref426474673"/>
      <w:r w:rsidRPr="00BF42B7">
        <w:rPr>
          <w:color w:val="0000FF"/>
          <w:vertAlign w:val="superscript"/>
        </w:rPr>
        <w:footnoteReference w:id="1060"/>
      </w:r>
      <w:bookmarkEnd w:id="264"/>
      <w:r w:rsidRPr="00BF42B7">
        <w:t xml:space="preserve"> </w:t>
      </w:r>
      <w:r w:rsidRPr="00BF42B7">
        <w:rPr>
          <w:rFonts w:hint="eastAsia"/>
        </w:rPr>
        <w:t>和</w:t>
      </w:r>
      <w:r w:rsidRPr="00BF42B7">
        <w:t>1949</w:t>
      </w:r>
      <w:r w:rsidRPr="00BF42B7">
        <w:rPr>
          <w:rFonts w:hint="eastAsia"/>
        </w:rPr>
        <w:t>年《日内瓦四公约》</w:t>
      </w:r>
      <w:bookmarkStart w:id="265" w:name="_Ref426541692"/>
      <w:r w:rsidRPr="00BF42B7">
        <w:rPr>
          <w:color w:val="0000FF"/>
          <w:vertAlign w:val="superscript"/>
        </w:rPr>
        <w:footnoteReference w:id="1061"/>
      </w:r>
      <w:bookmarkEnd w:id="265"/>
      <w:r w:rsidRPr="00BF42B7">
        <w:t xml:space="preserve"> </w:t>
      </w:r>
      <w:r w:rsidRPr="00BF42B7">
        <w:rPr>
          <w:rFonts w:hint="eastAsia"/>
        </w:rPr>
        <w:t>载有颁布“立法”的义务，但委员会认为，以较为近期的条约如《禁止酷刑公约》作为第</w:t>
      </w:r>
      <w:r w:rsidRPr="00BF42B7">
        <w:t>5</w:t>
      </w:r>
      <w:r w:rsidRPr="00BF42B7">
        <w:rPr>
          <w:rFonts w:hint="eastAsia"/>
        </w:rPr>
        <w:t>条草案第</w:t>
      </w:r>
      <w:r w:rsidRPr="00BF42B7">
        <w:t>1</w:t>
      </w:r>
      <w:r w:rsidRPr="00BF42B7">
        <w:rPr>
          <w:rFonts w:hint="eastAsia"/>
        </w:rPr>
        <w:t>款的模板是恰当的。</w:t>
      </w:r>
    </w:p>
    <w:p w:rsidR="00CD5A8C" w:rsidRPr="00BF42B7" w:rsidRDefault="00CD5A8C" w:rsidP="00CD5A8C">
      <w:pPr>
        <w:pStyle w:val="H4GC"/>
      </w:pPr>
      <w:r w:rsidRPr="00BF42B7">
        <w:rPr>
          <w:rFonts w:hint="eastAsia"/>
        </w:rPr>
        <w:tab/>
      </w:r>
      <w:r w:rsidRPr="00BF42B7">
        <w:rPr>
          <w:rFonts w:hint="eastAsia"/>
        </w:rPr>
        <w:tab/>
      </w:r>
      <w:r w:rsidRPr="00BF42B7">
        <w:rPr>
          <w:rFonts w:hint="eastAsia"/>
        </w:rPr>
        <w:t>实施、企图实施、协助或促成危害人类罪</w:t>
      </w:r>
    </w:p>
    <w:p w:rsidR="00CD5A8C" w:rsidRPr="00BF42B7" w:rsidRDefault="00CD5A8C" w:rsidP="00CD5A8C">
      <w:pPr>
        <w:tabs>
          <w:tab w:val="clear" w:pos="431"/>
          <w:tab w:val="left" w:pos="1134"/>
          <w:tab w:val="left" w:pos="1565"/>
          <w:tab w:val="left" w:pos="2156"/>
          <w:tab w:val="left" w:pos="2427"/>
        </w:tabs>
        <w:spacing w:after="120"/>
        <w:ind w:left="1134" w:right="1134"/>
      </w:pPr>
      <w:r w:rsidRPr="00BF42B7">
        <w:t>(8)</w:t>
      </w:r>
      <w:r w:rsidRPr="00BF42B7">
        <w:rPr>
          <w:rFonts w:hint="eastAsia"/>
        </w:rPr>
        <w:t xml:space="preserve">  </w:t>
      </w:r>
      <w:r w:rsidRPr="00BF42B7">
        <w:rPr>
          <w:rFonts w:hint="eastAsia"/>
        </w:rPr>
        <w:t>第</w:t>
      </w:r>
      <w:r w:rsidRPr="00BF42B7">
        <w:t>5</w:t>
      </w:r>
      <w:r w:rsidRPr="00BF42B7">
        <w:rPr>
          <w:rFonts w:hint="eastAsia"/>
        </w:rPr>
        <w:t>条草案第</w:t>
      </w:r>
      <w:r w:rsidRPr="00BF42B7">
        <w:t>2</w:t>
      </w:r>
      <w:r w:rsidRPr="00BF42B7">
        <w:rPr>
          <w:rFonts w:hint="eastAsia"/>
        </w:rPr>
        <w:t>款规定，各国应采取必要措施确保自然人借以犯下危害人类罪的某些方式在国家法律中被定为犯罪，具体为：实施危害人类罪行，企图实施这种罪行，命令、怂恿、引诱、协助、教唆或以其他方式帮助或促成实施或企图实施这种罪行。</w:t>
      </w:r>
    </w:p>
    <w:p w:rsidR="00CD5A8C" w:rsidRPr="00BF42B7" w:rsidRDefault="00CD5A8C" w:rsidP="00CD5A8C">
      <w:pPr>
        <w:tabs>
          <w:tab w:val="clear" w:pos="431"/>
          <w:tab w:val="left" w:pos="1134"/>
          <w:tab w:val="left" w:pos="1565"/>
          <w:tab w:val="left" w:pos="2156"/>
          <w:tab w:val="left" w:pos="2427"/>
        </w:tabs>
        <w:spacing w:after="120"/>
        <w:ind w:left="1134" w:right="1134"/>
        <w:rPr>
          <w:rFonts w:ascii="宋体"/>
          <w:spacing w:val="-8"/>
          <w:w w:val="80"/>
        </w:rPr>
      </w:pPr>
      <w:r w:rsidRPr="00BF42B7">
        <w:t>(9)</w:t>
      </w:r>
      <w:r w:rsidRPr="00BF42B7">
        <w:rPr>
          <w:rFonts w:hint="eastAsia"/>
        </w:rPr>
        <w:t xml:space="preserve">  </w:t>
      </w:r>
      <w:r w:rsidRPr="00BF42B7">
        <w:rPr>
          <w:rFonts w:hint="eastAsia"/>
        </w:rPr>
        <w:t>考察表明，国际文书和国内法均就危害人类罪的各类</w:t>
      </w:r>
      <w:r w:rsidRPr="00BF42B7">
        <w:rPr>
          <w:rFonts w:hint="eastAsia"/>
        </w:rPr>
        <w:t>(</w:t>
      </w:r>
      <w:r w:rsidRPr="00BF42B7">
        <w:rPr>
          <w:rFonts w:hint="eastAsia"/>
        </w:rPr>
        <w:t>或各种形式</w:t>
      </w:r>
      <w:r w:rsidRPr="00BF42B7">
        <w:rPr>
          <w:rFonts w:hint="eastAsia"/>
        </w:rPr>
        <w:t>)</w:t>
      </w:r>
      <w:r w:rsidRPr="00BF42B7">
        <w:rPr>
          <w:rFonts w:hint="eastAsia"/>
        </w:rPr>
        <w:t>个人刑事责任作出了规定。首先，将“危害人类罪”定为犯罪的所有辖域，都规定“实施”罪行者</w:t>
      </w:r>
      <w:r w:rsidRPr="00BF42B7">
        <w:rPr>
          <w:rFonts w:hint="eastAsia"/>
        </w:rPr>
        <w:t>(</w:t>
      </w:r>
      <w:r w:rsidRPr="00BF42B7">
        <w:rPr>
          <w:rFonts w:hint="eastAsia"/>
        </w:rPr>
        <w:t>有的国内法称之为“直接”实施罪行者，有的称之为“犯下”罪行者，有的称之为实施罪行的“主犯”</w:t>
      </w:r>
      <w:r w:rsidRPr="00BF42B7">
        <w:rPr>
          <w:rFonts w:hint="eastAsia"/>
        </w:rPr>
        <w:t>)</w:t>
      </w:r>
      <w:r w:rsidRPr="00BF42B7">
        <w:rPr>
          <w:rFonts w:hint="eastAsia"/>
        </w:rPr>
        <w:t>。例如，《纽伦堡宪章》规定，国际军事法庭对“无论作为个人还是组织成员、为欧洲轴心国之利益行事而犯有任何下列罪行之人”具有管辖权。</w:t>
      </w:r>
      <w:bookmarkStart w:id="266" w:name="_Ref426474770"/>
      <w:r w:rsidRPr="00BF42B7">
        <w:rPr>
          <w:color w:val="0000FF"/>
          <w:vertAlign w:val="superscript"/>
        </w:rPr>
        <w:footnoteReference w:id="1062"/>
      </w:r>
      <w:bookmarkEnd w:id="266"/>
      <w:r w:rsidRPr="00BF42B7">
        <w:t xml:space="preserve"> </w:t>
      </w:r>
      <w:r w:rsidRPr="00BF42B7">
        <w:rPr>
          <w:rFonts w:hint="eastAsia"/>
        </w:rPr>
        <w:t>同样，《前南斯拉夫问题国际刑事法庭规约》</w:t>
      </w:r>
      <w:bookmarkStart w:id="267" w:name="_Ref456626288"/>
      <w:r w:rsidRPr="00BF42B7">
        <w:rPr>
          <w:color w:val="0000FF"/>
          <w:vertAlign w:val="superscript"/>
        </w:rPr>
        <w:footnoteReference w:id="1063"/>
      </w:r>
      <w:bookmarkEnd w:id="267"/>
      <w:r w:rsidRPr="00BF42B7">
        <w:t xml:space="preserve"> </w:t>
      </w:r>
      <w:r w:rsidRPr="00BF42B7">
        <w:rPr>
          <w:rFonts w:hint="eastAsia"/>
        </w:rPr>
        <w:t>和《卢旺达问题国际刑事法庭规约》</w:t>
      </w:r>
      <w:bookmarkStart w:id="268" w:name="_Ref456626318"/>
      <w:r w:rsidRPr="00BF42B7">
        <w:rPr>
          <w:color w:val="0000FF"/>
          <w:vertAlign w:val="superscript"/>
        </w:rPr>
        <w:footnoteReference w:id="1064"/>
      </w:r>
      <w:bookmarkEnd w:id="268"/>
      <w:r w:rsidRPr="00BF42B7">
        <w:t xml:space="preserve"> </w:t>
      </w:r>
      <w:r w:rsidRPr="00BF42B7">
        <w:rPr>
          <w:rFonts w:hint="eastAsia"/>
        </w:rPr>
        <w:t>也规定，凡“实施”危害人类罪的人“应当为该项犯罪负个人责任”。《罗马规</w:t>
      </w:r>
      <w:r w:rsidRPr="00BF42B7">
        <w:rPr>
          <w:rFonts w:hint="eastAsia"/>
          <w:spacing w:val="-2"/>
        </w:rPr>
        <w:t>约》规定，“实施本法院管辖权内的犯罪的人，应依照本规约的规定负个人责任，并受到处罚”，而且“有下列情形之一的人，应依照本规约的规定，对一项本法院管辖权内的犯罪负刑事责任，并受到处罚：</w:t>
      </w:r>
      <w:r w:rsidRPr="00BF42B7">
        <w:rPr>
          <w:rFonts w:hint="eastAsia"/>
          <w:spacing w:val="-2"/>
        </w:rPr>
        <w:t>(</w:t>
      </w:r>
      <w:r w:rsidRPr="00BF42B7">
        <w:rPr>
          <w:spacing w:val="-2"/>
        </w:rPr>
        <w:t>a</w:t>
      </w:r>
      <w:r w:rsidRPr="00BF42B7">
        <w:rPr>
          <w:rFonts w:hint="eastAsia"/>
          <w:spacing w:val="-2"/>
        </w:rPr>
        <w:t>)</w:t>
      </w:r>
      <w:r w:rsidR="00255402">
        <w:rPr>
          <w:rFonts w:hint="eastAsia"/>
          <w:spacing w:val="-2"/>
        </w:rPr>
        <w:t xml:space="preserve"> </w:t>
      </w:r>
      <w:r w:rsidRPr="00BF42B7">
        <w:rPr>
          <w:rFonts w:hint="eastAsia"/>
          <w:spacing w:val="-2"/>
        </w:rPr>
        <w:t>单独</w:t>
      </w:r>
      <w:r w:rsidRPr="00BF42B7">
        <w:rPr>
          <w:spacing w:val="-2"/>
        </w:rPr>
        <w:t>[</w:t>
      </w:r>
      <w:r w:rsidRPr="00BF42B7">
        <w:rPr>
          <w:rFonts w:hint="eastAsia"/>
          <w:spacing w:val="-2"/>
        </w:rPr>
        <w:t>或</w:t>
      </w:r>
      <w:r w:rsidRPr="00BF42B7">
        <w:rPr>
          <w:spacing w:val="-2"/>
        </w:rPr>
        <w:t>]</w:t>
      </w:r>
      <w:r w:rsidRPr="00BF42B7">
        <w:rPr>
          <w:rFonts w:hint="eastAsia"/>
          <w:spacing w:val="-2"/>
        </w:rPr>
        <w:t>伙同他人，实施这一犯罪。</w:t>
      </w:r>
      <w:r w:rsidRPr="00BF42B7">
        <w:rPr>
          <w:color w:val="0000FF"/>
          <w:vertAlign w:val="superscript"/>
        </w:rPr>
        <w:footnoteReference w:id="1065"/>
      </w:r>
      <w:r w:rsidRPr="00BF42B7">
        <w:rPr>
          <w:spacing w:val="-2"/>
        </w:rPr>
        <w:t xml:space="preserve"> </w:t>
      </w:r>
      <w:r w:rsidRPr="00BF42B7">
        <w:rPr>
          <w:rFonts w:hint="eastAsia"/>
          <w:spacing w:val="-2"/>
        </w:rPr>
        <w:t>同样，塞拉利昂问题特别法庭、</w:t>
      </w:r>
      <w:bookmarkStart w:id="269" w:name="_Ref456777187"/>
      <w:r w:rsidRPr="00BF42B7">
        <w:rPr>
          <w:color w:val="0000FF"/>
          <w:spacing w:val="-2"/>
          <w:vertAlign w:val="superscript"/>
        </w:rPr>
        <w:footnoteReference w:id="1066"/>
      </w:r>
      <w:bookmarkEnd w:id="269"/>
      <w:r w:rsidRPr="00BF42B7">
        <w:rPr>
          <w:spacing w:val="-2"/>
        </w:rPr>
        <w:t xml:space="preserve"> </w:t>
      </w:r>
      <w:r w:rsidRPr="00BF42B7">
        <w:rPr>
          <w:rFonts w:hint="eastAsia"/>
          <w:spacing w:val="-2"/>
        </w:rPr>
        <w:t>东帝汶重罪特别审判分庭、</w:t>
      </w:r>
      <w:bookmarkStart w:id="270" w:name="_Ref456777214"/>
      <w:r w:rsidRPr="00BF42B7">
        <w:rPr>
          <w:color w:val="0000FF"/>
          <w:spacing w:val="-2"/>
          <w:vertAlign w:val="superscript"/>
        </w:rPr>
        <w:footnoteReference w:id="1067"/>
      </w:r>
      <w:bookmarkEnd w:id="270"/>
      <w:r w:rsidRPr="00BF42B7">
        <w:rPr>
          <w:spacing w:val="-2"/>
        </w:rPr>
        <w:t xml:space="preserve"> </w:t>
      </w:r>
      <w:r w:rsidRPr="00BF42B7">
        <w:rPr>
          <w:rFonts w:hint="eastAsia"/>
          <w:spacing w:val="-2"/>
        </w:rPr>
        <w:t>柬埔寨法院特别法庭、</w:t>
      </w:r>
      <w:bookmarkStart w:id="271" w:name="_Ref456777235"/>
      <w:r w:rsidRPr="00BF42B7">
        <w:rPr>
          <w:color w:val="0000FF"/>
          <w:spacing w:val="-2"/>
          <w:vertAlign w:val="superscript"/>
        </w:rPr>
        <w:footnoteReference w:id="1068"/>
      </w:r>
      <w:bookmarkEnd w:id="271"/>
      <w:r w:rsidRPr="00BF42B7">
        <w:rPr>
          <w:spacing w:val="-2"/>
        </w:rPr>
        <w:t xml:space="preserve"> </w:t>
      </w:r>
      <w:r w:rsidRPr="00BF42B7">
        <w:rPr>
          <w:rFonts w:hint="eastAsia"/>
          <w:spacing w:val="-2"/>
        </w:rPr>
        <w:t>伊拉克最高刑事法庭、</w:t>
      </w:r>
      <w:bookmarkStart w:id="272" w:name="_Ref456777251"/>
      <w:r w:rsidRPr="00BF42B7">
        <w:rPr>
          <w:color w:val="0000FF"/>
          <w:spacing w:val="-2"/>
          <w:vertAlign w:val="superscript"/>
        </w:rPr>
        <w:footnoteReference w:id="1069"/>
      </w:r>
      <w:bookmarkEnd w:id="272"/>
      <w:r w:rsidRPr="00BF42B7">
        <w:rPr>
          <w:spacing w:val="-2"/>
        </w:rPr>
        <w:t xml:space="preserve"> </w:t>
      </w:r>
      <w:r w:rsidRPr="00BF42B7">
        <w:rPr>
          <w:rFonts w:hint="eastAsia"/>
          <w:spacing w:val="-2"/>
        </w:rPr>
        <w:t>塞内加尔司法系统内的非洲特别法庭</w:t>
      </w:r>
      <w:bookmarkStart w:id="273" w:name="_Ref456777269"/>
      <w:r w:rsidRPr="00BF42B7">
        <w:rPr>
          <w:color w:val="0000FF"/>
          <w:spacing w:val="-2"/>
          <w:vertAlign w:val="superscript"/>
        </w:rPr>
        <w:footnoteReference w:id="1070"/>
      </w:r>
      <w:bookmarkEnd w:id="273"/>
      <w:r w:rsidRPr="00BF42B7">
        <w:rPr>
          <w:spacing w:val="-2"/>
        </w:rPr>
        <w:t xml:space="preserve"> </w:t>
      </w:r>
      <w:r w:rsidRPr="00BF42B7">
        <w:rPr>
          <w:rFonts w:hint="eastAsia"/>
          <w:spacing w:val="-2"/>
        </w:rPr>
        <w:t>的规约文书均规定，“实施”危害人类罪的人负有刑事责任。</w:t>
      </w:r>
      <w:r w:rsidRPr="00BF42B7">
        <w:rPr>
          <w:rFonts w:hint="eastAsia"/>
        </w:rPr>
        <w:t>针对其他类型罪行的条约也一概要求缔约国通过禁止直接犯下相关罪行的国内法。例如，</w:t>
      </w:r>
      <w:r w:rsidRPr="00BF42B7">
        <w:t>1948</w:t>
      </w:r>
      <w:r w:rsidRPr="00BF42B7">
        <w:rPr>
          <w:rFonts w:hint="eastAsia"/>
        </w:rPr>
        <w:t>年《防止及惩治灭绝种族罪公约》规定“实施”灭绝种族罪的须负个人刑事责任。</w:t>
      </w:r>
      <w:r w:rsidRPr="00BF42B7">
        <w:rPr>
          <w:color w:val="0000FF"/>
          <w:vertAlign w:val="superscript"/>
        </w:rPr>
        <w:footnoteReference w:id="1071"/>
      </w:r>
    </w:p>
    <w:p w:rsidR="00CD5A8C" w:rsidRPr="00BF42B7" w:rsidRDefault="00CD5A8C" w:rsidP="00CD5A8C">
      <w:pPr>
        <w:tabs>
          <w:tab w:val="clear" w:pos="431"/>
          <w:tab w:val="left" w:pos="1134"/>
          <w:tab w:val="left" w:pos="1701"/>
          <w:tab w:val="left" w:pos="2226"/>
          <w:tab w:val="left" w:pos="2427"/>
        </w:tabs>
        <w:spacing w:after="120"/>
        <w:ind w:left="1134" w:right="1134"/>
      </w:pPr>
      <w:r w:rsidRPr="00BF42B7">
        <w:t>(10)</w:t>
      </w:r>
      <w:r w:rsidRPr="00BF42B7">
        <w:rPr>
          <w:rFonts w:hint="eastAsia"/>
        </w:rPr>
        <w:t xml:space="preserve">  </w:t>
      </w:r>
      <w:r w:rsidRPr="00BF42B7">
        <w:rPr>
          <w:rFonts w:hint="eastAsia"/>
          <w:lang w:val="zh-CN"/>
        </w:rPr>
        <w:t>第二，所有这些国内或国际</w:t>
      </w:r>
      <w:r w:rsidRPr="00BF42B7">
        <w:rPr>
          <w:rFonts w:hint="eastAsia"/>
          <w:bCs/>
          <w:lang w:val="zh-CN"/>
        </w:rPr>
        <w:t>司法管辖机构</w:t>
      </w:r>
      <w:r w:rsidRPr="00BF42B7">
        <w:rPr>
          <w:rFonts w:hint="eastAsia"/>
          <w:lang w:val="zh-CN"/>
        </w:rPr>
        <w:t>在某种程度上也规定以“实施”罪行以外的方式参与罪行的人承担刑事责任。这种行为可能采取“企图”实施犯罪的形式，或作为犯罪行为或未遂犯罪行为的“从犯”或“共犯”。关于“企图”实施犯罪，前南斯拉夫问题国际刑事法庭、卢旺达问题国际刑事法庭和塞拉利昂问题特别法庭规约均没有对这类责任做出规定。相比之下，《国际刑事法院罗马规约》规定了企图实施犯罪者的刑事责任，除非此人放弃实施犯罪或以其他方式防止完成犯罪。</w:t>
      </w:r>
      <w:r w:rsidRPr="00BF42B7">
        <w:rPr>
          <w:color w:val="0000FF"/>
          <w:vertAlign w:val="superscript"/>
          <w:lang w:val="zh-CN"/>
        </w:rPr>
        <w:footnoteReference w:id="1072"/>
      </w:r>
      <w:r w:rsidRPr="00BF42B7">
        <w:t xml:space="preserve"> </w:t>
      </w:r>
      <w:r w:rsidRPr="00BF42B7">
        <w:rPr>
          <w:rFonts w:hint="eastAsia"/>
          <w:lang w:val="zh-CN"/>
        </w:rPr>
        <w:t>在</w:t>
      </w:r>
      <w:r w:rsidRPr="00BF42B7">
        <w:rPr>
          <w:rFonts w:eastAsia="楷体" w:hint="eastAsia"/>
          <w:lang w:val="zh-CN"/>
        </w:rPr>
        <w:t>班达和杰宝案</w:t>
      </w:r>
      <w:r w:rsidRPr="00BF42B7">
        <w:rPr>
          <w:rFonts w:hint="eastAsia"/>
          <w:lang w:val="zh-CN"/>
        </w:rPr>
        <w:t>中，预审分庭指出，对未遂罪承担刑事责任“的前提是：若非不受犯罪人控制的外部环境干预，则犯罪人的行为在正常情况下本来会导致完成犯罪。</w:t>
      </w:r>
      <w:r w:rsidRPr="00BF42B7">
        <w:rPr>
          <w:rFonts w:hint="eastAsia"/>
        </w:rPr>
        <w:t>”</w:t>
      </w:r>
      <w:r w:rsidRPr="00BF42B7">
        <w:rPr>
          <w:color w:val="0000FF"/>
          <w:vertAlign w:val="superscript"/>
        </w:rPr>
        <w:footnoteReference w:id="1073"/>
      </w:r>
    </w:p>
    <w:p w:rsidR="00CD5A8C" w:rsidRPr="00BF42B7" w:rsidRDefault="00CD5A8C" w:rsidP="00CD5A8C">
      <w:pPr>
        <w:tabs>
          <w:tab w:val="clear" w:pos="431"/>
          <w:tab w:val="left" w:pos="1134"/>
          <w:tab w:val="left" w:pos="1701"/>
          <w:tab w:val="left" w:pos="2226"/>
          <w:tab w:val="left" w:pos="2427"/>
        </w:tabs>
        <w:spacing w:after="120"/>
        <w:ind w:left="1134" w:right="1134"/>
        <w:rPr>
          <w:lang w:val="en-GB"/>
        </w:rPr>
      </w:pPr>
      <w:r w:rsidRPr="00BF42B7">
        <w:rPr>
          <w:lang w:val="en-GB"/>
        </w:rPr>
        <w:t>(11)</w:t>
      </w:r>
      <w:r w:rsidRPr="00BF42B7">
        <w:rPr>
          <w:rFonts w:hint="eastAsia"/>
          <w:lang w:val="en-GB"/>
        </w:rPr>
        <w:t xml:space="preserve">  </w:t>
      </w:r>
      <w:r w:rsidRPr="00BF42B7">
        <w:rPr>
          <w:rFonts w:hint="eastAsia"/>
          <w:lang w:val="zh-CN"/>
        </w:rPr>
        <w:t>第三</w:t>
      </w:r>
      <w:r w:rsidRPr="00BF42B7">
        <w:rPr>
          <w:rFonts w:hint="eastAsia"/>
          <w:lang w:val="en-GB"/>
        </w:rPr>
        <w:t>，</w:t>
      </w:r>
      <w:r w:rsidRPr="00BF42B7">
        <w:rPr>
          <w:rFonts w:hint="eastAsia"/>
          <w:lang w:val="zh-CN"/>
        </w:rPr>
        <w:t>关于</w:t>
      </w:r>
      <w:r w:rsidRPr="00BF42B7">
        <w:rPr>
          <w:rFonts w:hint="eastAsia"/>
        </w:rPr>
        <w:t>“从犯”的责任，国际文书通过各种不同的术语界定这一概念，如“命令”、“唆使”、“引诱”、“煽动”、“鼓动”、“伙同作案”、“进行共谋”、“作为共犯”、“参与”或“共同犯罪活动”。因此，《前南斯拉夫问题国际刑事法庭规约》规定，“凡计划、教唆、命令、犯下或协助或煽动他人计划、准备或进行本规约第</w:t>
      </w:r>
      <w:r w:rsidRPr="00BF42B7">
        <w:t>2</w:t>
      </w:r>
      <w:r w:rsidRPr="00BF42B7">
        <w:rPr>
          <w:rFonts w:hint="eastAsia"/>
        </w:rPr>
        <w:t>至</w:t>
      </w:r>
      <w:r w:rsidRPr="00BF42B7">
        <w:t>5</w:t>
      </w:r>
      <w:r w:rsidRPr="00BF42B7">
        <w:rPr>
          <w:rFonts w:hint="eastAsia"/>
        </w:rPr>
        <w:t>条所指罪行的人应当为该项犯罪负个人责任”，</w:t>
      </w:r>
      <w:bookmarkStart w:id="274" w:name="_Ref426533700"/>
      <w:r w:rsidRPr="00BF42B7">
        <w:rPr>
          <w:color w:val="0000FF"/>
          <w:vertAlign w:val="superscript"/>
          <w:lang w:val="en-GB"/>
        </w:rPr>
        <w:footnoteReference w:id="1074"/>
      </w:r>
      <w:bookmarkEnd w:id="274"/>
      <w:r w:rsidRPr="00BF42B7">
        <w:rPr>
          <w:rFonts w:hint="eastAsia"/>
        </w:rPr>
        <w:t>《卢旺达问题国际刑事法庭规约》使用的措词几乎如出一辙。</w:t>
      </w:r>
      <w:r w:rsidRPr="00BF42B7">
        <w:rPr>
          <w:color w:val="0000FF"/>
          <w:vertAlign w:val="superscript"/>
          <w:lang w:val="en-GB"/>
        </w:rPr>
        <w:footnoteReference w:id="1075"/>
      </w:r>
      <w:r w:rsidRPr="00BF42B7">
        <w:t xml:space="preserve"> </w:t>
      </w:r>
      <w:r w:rsidRPr="00BF42B7">
        <w:rPr>
          <w:rFonts w:hint="eastAsia"/>
        </w:rPr>
        <w:t>两个法庭均已就被告参与其各自管辖范围内的罪行将被告定罪。</w:t>
      </w:r>
      <w:r w:rsidRPr="00BF42B7">
        <w:rPr>
          <w:color w:val="0000FF"/>
          <w:vertAlign w:val="superscript"/>
          <w:lang w:val="en-GB"/>
        </w:rPr>
        <w:footnoteReference w:id="1076"/>
      </w:r>
      <w:r w:rsidRPr="00BF42B7">
        <w:t xml:space="preserve"> </w:t>
      </w:r>
      <w:r w:rsidRPr="00BF42B7">
        <w:rPr>
          <w:rFonts w:hint="eastAsia"/>
        </w:rPr>
        <w:t>同样，塞拉利昂问题特别法庭、</w:t>
      </w:r>
      <w:bookmarkStart w:id="275" w:name="_Ref453655040"/>
      <w:r w:rsidRPr="00BF42B7">
        <w:rPr>
          <w:color w:val="0000FF"/>
          <w:vertAlign w:val="superscript"/>
          <w:lang w:val="en-GB"/>
        </w:rPr>
        <w:footnoteReference w:id="1077"/>
      </w:r>
      <w:bookmarkEnd w:id="275"/>
      <w:r w:rsidRPr="00BF42B7">
        <w:t xml:space="preserve"> </w:t>
      </w:r>
      <w:r w:rsidRPr="00BF42B7">
        <w:rPr>
          <w:rFonts w:hint="eastAsia"/>
          <w:spacing w:val="-2"/>
        </w:rPr>
        <w:t>东帝汶重罪特别审判分庭</w:t>
      </w:r>
      <w:r w:rsidRPr="00BF42B7">
        <w:rPr>
          <w:rFonts w:hint="eastAsia"/>
        </w:rPr>
        <w:t>、</w:t>
      </w:r>
      <w:r w:rsidRPr="00BF42B7">
        <w:rPr>
          <w:color w:val="0000FF"/>
          <w:vertAlign w:val="superscript"/>
          <w:lang w:val="en-GB"/>
        </w:rPr>
        <w:footnoteReference w:id="1078"/>
      </w:r>
      <w:r w:rsidRPr="00BF42B7">
        <w:t xml:space="preserve"> </w:t>
      </w:r>
      <w:r w:rsidRPr="00BF42B7">
        <w:rPr>
          <w:rFonts w:hint="eastAsia"/>
        </w:rPr>
        <w:t>柬埔寨法院特别法庭、</w:t>
      </w:r>
      <w:r w:rsidRPr="00BF42B7">
        <w:rPr>
          <w:color w:val="0000FF"/>
          <w:vertAlign w:val="superscript"/>
          <w:lang w:val="en-GB"/>
        </w:rPr>
        <w:footnoteReference w:id="1079"/>
      </w:r>
      <w:r w:rsidRPr="00BF42B7">
        <w:t xml:space="preserve"> </w:t>
      </w:r>
      <w:r w:rsidRPr="00BF42B7">
        <w:rPr>
          <w:rFonts w:hint="eastAsia"/>
        </w:rPr>
        <w:t>伊拉克最高刑事法庭</w:t>
      </w:r>
      <w:r w:rsidRPr="00BF42B7">
        <w:rPr>
          <w:color w:val="0000FF"/>
          <w:vertAlign w:val="superscript"/>
          <w:lang w:val="en-GB"/>
        </w:rPr>
        <w:footnoteReference w:id="1080"/>
      </w:r>
      <w:r w:rsidRPr="00BF42B7">
        <w:rPr>
          <w:lang w:val="en-GB"/>
        </w:rPr>
        <w:t xml:space="preserve"> </w:t>
      </w:r>
      <w:r w:rsidRPr="00BF42B7">
        <w:rPr>
          <w:rFonts w:hint="eastAsia"/>
        </w:rPr>
        <w:t>和</w:t>
      </w:r>
      <w:r w:rsidRPr="00BF42B7">
        <w:rPr>
          <w:rFonts w:hint="eastAsia"/>
          <w:spacing w:val="-2"/>
        </w:rPr>
        <w:t>塞内加尔司法系统内的非洲特别法庭</w:t>
      </w:r>
      <w:r w:rsidRPr="00BF42B7">
        <w:rPr>
          <w:color w:val="0000FF"/>
          <w:vertAlign w:val="superscript"/>
          <w:lang w:val="en-GB"/>
        </w:rPr>
        <w:footnoteReference w:id="1081"/>
      </w:r>
      <w:r w:rsidRPr="00BF42B7">
        <w:rPr>
          <w:lang w:val="en-GB"/>
        </w:rPr>
        <w:t xml:space="preserve"> </w:t>
      </w:r>
      <w:r w:rsidRPr="00BF42B7">
        <w:rPr>
          <w:rFonts w:hint="eastAsia"/>
        </w:rPr>
        <w:t>的文书均规定，以任何形式参与实施危害人类罪的人负有刑事责任。</w:t>
      </w:r>
    </w:p>
    <w:p w:rsidR="00CD5A8C" w:rsidRPr="00BF42B7" w:rsidRDefault="00CD5A8C" w:rsidP="00CD5A8C">
      <w:pPr>
        <w:tabs>
          <w:tab w:val="clear" w:pos="431"/>
          <w:tab w:val="left" w:pos="1134"/>
          <w:tab w:val="left" w:pos="1701"/>
          <w:tab w:val="left" w:pos="2226"/>
          <w:tab w:val="left" w:pos="2427"/>
        </w:tabs>
        <w:spacing w:after="120"/>
        <w:ind w:left="1134" w:right="1134"/>
        <w:rPr>
          <w:lang w:val="en-GB"/>
        </w:rPr>
      </w:pPr>
      <w:r w:rsidRPr="00BF42B7">
        <w:rPr>
          <w:lang w:val="en-GB"/>
        </w:rPr>
        <w:t>(12)</w:t>
      </w:r>
      <w:r w:rsidRPr="00BF42B7">
        <w:rPr>
          <w:rFonts w:hint="eastAsia"/>
          <w:lang w:val="en-GB"/>
        </w:rPr>
        <w:t xml:space="preserve">  </w:t>
      </w:r>
      <w:r w:rsidRPr="00BF42B7">
        <w:rPr>
          <w:rFonts w:hint="eastAsia"/>
          <w:lang w:val="zh-CN"/>
        </w:rPr>
        <w:t>《国际刑事法院罗马规约》</w:t>
      </w:r>
      <w:r w:rsidRPr="00BF42B7">
        <w:rPr>
          <w:rFonts w:hint="eastAsia"/>
        </w:rPr>
        <w:t>规定，如果某人“通过</w:t>
      </w:r>
      <w:r w:rsidRPr="00BF42B7">
        <w:rPr>
          <w:rFonts w:cs="Arial Unicode MS" w:hint="eastAsia"/>
          <w:u w:color="000000"/>
          <w:bdr w:val="nil"/>
          <w:lang w:val="en-GB"/>
        </w:rPr>
        <w:t>……</w:t>
      </w:r>
      <w:r w:rsidRPr="00BF42B7">
        <w:rPr>
          <w:rFonts w:hint="eastAsia"/>
        </w:rPr>
        <w:t>另一人实施这一犯罪”，如果此人“命令、唆使、引诱实施这一犯罪，而该犯罪事实上是既遂或未遂的”，如果此人“为了便利实施这一犯罪，帮助、教唆或以其他方式协助实施或企图实施这一犯罪，包括提供犯罪手段”，或如果此人在符合某些条件的情况下“以任何其他方式支助以共同目的行事的团伙实施或企图实施这一犯罪”，则应负刑事责任。</w:t>
      </w:r>
      <w:r w:rsidRPr="00BF42B7">
        <w:rPr>
          <w:color w:val="0000FF"/>
          <w:vertAlign w:val="superscript"/>
          <w:lang w:val="en-GB"/>
        </w:rPr>
        <w:footnoteReference w:id="1082"/>
      </w:r>
      <w:r w:rsidRPr="00BF42B7">
        <w:t xml:space="preserve"> </w:t>
      </w:r>
      <w:r w:rsidRPr="00BF42B7">
        <w:rPr>
          <w:rFonts w:hint="eastAsia"/>
        </w:rPr>
        <w:t>委员会决定采用《罗马规约》中的各条措辞作为第</w:t>
      </w:r>
      <w:r w:rsidRPr="00BF42B7">
        <w:t>5</w:t>
      </w:r>
      <w:r w:rsidRPr="00BF42B7">
        <w:rPr>
          <w:rFonts w:hint="eastAsia"/>
        </w:rPr>
        <w:t>条草案第</w:t>
      </w:r>
      <w:r w:rsidRPr="00BF42B7">
        <w:t>2</w:t>
      </w:r>
      <w:r w:rsidRPr="00BF42B7">
        <w:rPr>
          <w:rFonts w:hint="eastAsia"/>
        </w:rPr>
        <w:t>款的基础。</w:t>
      </w:r>
    </w:p>
    <w:p w:rsidR="00CD5A8C" w:rsidRPr="00BF42B7" w:rsidRDefault="00CD5A8C" w:rsidP="00A649A8">
      <w:pPr>
        <w:tabs>
          <w:tab w:val="clear" w:pos="431"/>
          <w:tab w:val="left" w:pos="1134"/>
          <w:tab w:val="left" w:pos="1701"/>
          <w:tab w:val="left" w:pos="2226"/>
          <w:tab w:val="left" w:pos="2427"/>
        </w:tabs>
        <w:spacing w:after="120"/>
        <w:ind w:left="1134" w:right="1134"/>
        <w:rPr>
          <w:rFonts w:eastAsia="MS Mincho"/>
          <w:lang w:val="en-GB"/>
        </w:rPr>
      </w:pPr>
      <w:r w:rsidRPr="00BF42B7">
        <w:rPr>
          <w:lang w:val="en-GB"/>
        </w:rPr>
        <w:t>(13)</w:t>
      </w:r>
      <w:r w:rsidRPr="00BF42B7">
        <w:rPr>
          <w:rFonts w:hint="eastAsia"/>
          <w:lang w:val="en-GB"/>
        </w:rPr>
        <w:t xml:space="preserve">  </w:t>
      </w:r>
      <w:r w:rsidRPr="00BF42B7">
        <w:rPr>
          <w:rFonts w:hint="eastAsia"/>
        </w:rPr>
        <w:t>在这些</w:t>
      </w:r>
      <w:r w:rsidRPr="00BF42B7">
        <w:rPr>
          <w:rFonts w:hint="eastAsia"/>
          <w:lang w:val="zh-CN"/>
        </w:rPr>
        <w:t>不同</w:t>
      </w:r>
      <w:r w:rsidRPr="00BF42B7">
        <w:rPr>
          <w:rFonts w:hint="eastAsia"/>
        </w:rPr>
        <w:t>的国际文书中，“唆使”、“引诱”、“协助和教唆”犯罪的相关概念一般被视为包括策划、怂恿、图谋和重要的是直接煽动他人从事构成犯罪的行为。事实上，《防止及惩治灭绝种族罪公约》不仅处理了灭绝种族罪的实施，而且还有“预谋灭绝种族”、“直接公然煽动灭绝种族”、“意图灭绝种族”和“共谋灭绝种族”。</w:t>
      </w:r>
      <w:r w:rsidRPr="00BF42B7">
        <w:rPr>
          <w:color w:val="0000FF"/>
          <w:vertAlign w:val="superscript"/>
          <w:lang w:val="en-GB"/>
        </w:rPr>
        <w:footnoteReference w:id="1083"/>
      </w:r>
      <w:r w:rsidRPr="00BF42B7">
        <w:rPr>
          <w:rFonts w:hint="eastAsia"/>
        </w:rPr>
        <w:t>《</w:t>
      </w:r>
      <w:r w:rsidRPr="00BF42B7">
        <w:rPr>
          <w:rFonts w:ascii="宋体" w:hAnsi="宋体" w:cs="宋体" w:hint="eastAsia"/>
        </w:rPr>
        <w:t>战</w:t>
      </w:r>
      <w:r w:rsidRPr="00BF42B7">
        <w:rPr>
          <w:rFonts w:ascii="MS Mincho" w:hAnsi="MS Mincho" w:cs="MS Mincho" w:hint="eastAsia"/>
        </w:rPr>
        <w:t>争罪及危害人</w:t>
      </w:r>
      <w:r w:rsidRPr="00BF42B7">
        <w:rPr>
          <w:rFonts w:ascii="宋体" w:hAnsi="宋体" w:cs="宋体" w:hint="eastAsia"/>
        </w:rPr>
        <w:t>类</w:t>
      </w:r>
      <w:r w:rsidRPr="00BF42B7">
        <w:rPr>
          <w:rFonts w:ascii="MS Mincho" w:hAnsi="MS Mincho" w:cs="MS Mincho" w:hint="eastAsia"/>
        </w:rPr>
        <w:t>罪不适用法定</w:t>
      </w:r>
      <w:r w:rsidRPr="00BF42B7">
        <w:rPr>
          <w:rFonts w:ascii="宋体" w:hAnsi="宋体" w:cs="宋体" w:hint="eastAsia"/>
        </w:rPr>
        <w:t>时</w:t>
      </w:r>
      <w:r w:rsidRPr="00BF42B7">
        <w:rPr>
          <w:rFonts w:ascii="MS Mincho" w:hAnsi="MS Mincho" w:cs="MS Mincho" w:hint="eastAsia"/>
        </w:rPr>
        <w:t>效公</w:t>
      </w:r>
      <w:r w:rsidRPr="00BF42B7">
        <w:rPr>
          <w:rFonts w:ascii="宋体" w:hAnsi="宋体" w:cs="宋体" w:hint="eastAsia"/>
        </w:rPr>
        <w:t>约</w:t>
      </w:r>
      <w:r w:rsidRPr="00BF42B7">
        <w:rPr>
          <w:rFonts w:ascii="MS Mincho" w:hAnsi="MS Mincho" w:cs="MS Mincho" w:hint="eastAsia"/>
        </w:rPr>
        <w:t>》的概括规定是：“遇犯有第一条所称各罪情事，本公约的规定适用于以正犯或从犯身份参加或直接煽动他人犯各该罪，或阴谋伙党犯各该罪的国家当局代表及私人，不问既遂的程度如何，并适用于容许犯此种罪的国家当局代表”。</w:t>
      </w:r>
      <w:r w:rsidRPr="00BF42B7">
        <w:rPr>
          <w:rFonts w:eastAsia="MS Mincho"/>
          <w:color w:val="0000FF"/>
          <w:vertAlign w:val="superscript"/>
          <w:lang w:val="en-GB"/>
        </w:rPr>
        <w:footnoteReference w:id="1084"/>
      </w:r>
    </w:p>
    <w:p w:rsidR="00CD5A8C" w:rsidRPr="00BF42B7" w:rsidRDefault="00CD5A8C" w:rsidP="00CD5A8C">
      <w:pPr>
        <w:tabs>
          <w:tab w:val="clear" w:pos="431"/>
          <w:tab w:val="left" w:pos="1134"/>
          <w:tab w:val="left" w:pos="1701"/>
          <w:tab w:val="left" w:pos="2226"/>
          <w:tab w:val="left" w:pos="2427"/>
        </w:tabs>
        <w:spacing w:after="120"/>
        <w:ind w:left="1134" w:right="1134"/>
        <w:rPr>
          <w:lang w:val="en-GB"/>
        </w:rPr>
      </w:pPr>
      <w:r w:rsidRPr="00BF42B7">
        <w:rPr>
          <w:lang w:val="en-GB"/>
        </w:rPr>
        <w:t>(14)</w:t>
      </w:r>
      <w:r w:rsidRPr="00BF42B7">
        <w:rPr>
          <w:rFonts w:hint="eastAsia"/>
          <w:lang w:val="en-GB"/>
        </w:rPr>
        <w:t xml:space="preserve">  </w:t>
      </w:r>
      <w:r w:rsidRPr="00BF42B7">
        <w:rPr>
          <w:rFonts w:hint="eastAsia"/>
          <w:lang w:val="zh-CN"/>
        </w:rPr>
        <w:t>另外</w:t>
      </w:r>
      <w:r w:rsidRPr="00BF42B7">
        <w:rPr>
          <w:rFonts w:hint="eastAsia"/>
          <w:lang w:val="en-GB"/>
        </w:rPr>
        <w:t>，</w:t>
      </w:r>
      <w:r w:rsidRPr="00BF42B7">
        <w:rPr>
          <w:rFonts w:hint="eastAsia"/>
        </w:rPr>
        <w:t>这些不同文书中的“命令”犯罪这一概念不同于“指挥”或其他上级责任的概念，并补充了后者。在这里，“命令”涉及上级明确指示实施构成犯罪的行为的刑事责任。相比之下，指挥或其他上级责任涉及上级未采取行动的刑事责任；具体而言，是上级知道或应当知道部下将有这种犯罪行为或者已经犯罪而上级没有采取合理的必要措施予以阻止或处罚犯罪者的情况。</w:t>
      </w:r>
    </w:p>
    <w:p w:rsidR="00CD5A8C" w:rsidRPr="00BF42B7" w:rsidRDefault="00CD5A8C" w:rsidP="00CD5A8C">
      <w:pPr>
        <w:tabs>
          <w:tab w:val="clear" w:pos="431"/>
          <w:tab w:val="left" w:pos="1134"/>
          <w:tab w:val="left" w:pos="1701"/>
          <w:tab w:val="left" w:pos="2226"/>
          <w:tab w:val="left" w:pos="2427"/>
        </w:tabs>
        <w:spacing w:after="120"/>
        <w:ind w:left="1134" w:right="1134"/>
        <w:rPr>
          <w:lang w:val="en-GB"/>
        </w:rPr>
      </w:pPr>
      <w:r w:rsidRPr="00BF42B7">
        <w:rPr>
          <w:lang w:val="en-GB"/>
        </w:rPr>
        <w:t>(15)</w:t>
      </w:r>
      <w:r w:rsidRPr="00BF42B7">
        <w:rPr>
          <w:rFonts w:hint="eastAsia"/>
          <w:lang w:val="en-GB"/>
        </w:rPr>
        <w:t xml:space="preserve">  </w:t>
      </w:r>
      <w:r w:rsidRPr="00BF42B7">
        <w:rPr>
          <w:rFonts w:hint="eastAsia"/>
        </w:rPr>
        <w:t>针对危害人类罪以外罪行的条约通常规定参与实施罪行者承担刑事责任，其使用的宽泛术语并不试图要求各国改变国内法中已牢固确立的首选术语或方式。换言之，这些条约使用通用术语而不是具体用语，使各国能够通过现有国家法规、判例或法律传统规定刑事责任的确切详情。例如，</w:t>
      </w:r>
      <w:r w:rsidRPr="00BF42B7">
        <w:t>2006</w:t>
      </w:r>
      <w:r w:rsidRPr="00BF42B7">
        <w:rPr>
          <w:rFonts w:hint="eastAsia"/>
        </w:rPr>
        <w:t>年《保护所有人免遭强迫失踪国际公约》一般性地规定：“各缔约国应采取必要措施，至少追究下列人员的刑事责任：</w:t>
      </w:r>
      <w:r w:rsidRPr="00BF42B7">
        <w:rPr>
          <w:rFonts w:cs="Arial Unicode MS" w:hint="eastAsia"/>
          <w:u w:color="000000"/>
          <w:bdr w:val="nil"/>
          <w:lang w:val="en-GB"/>
        </w:rPr>
        <w:t>……</w:t>
      </w:r>
      <w:r w:rsidRPr="00BF42B7">
        <w:rPr>
          <w:rFonts w:hint="eastAsia"/>
        </w:rPr>
        <w:t>所有制造、指令、唆使或诱导制造或企图制造强迫失踪的人，以及同谋或参与制造强迫失踪的人”。</w:t>
      </w:r>
      <w:r w:rsidRPr="00BF42B7">
        <w:rPr>
          <w:color w:val="0000FF"/>
          <w:vertAlign w:val="superscript"/>
          <w:lang w:val="en-GB"/>
        </w:rPr>
        <w:footnoteReference w:id="1085"/>
      </w:r>
      <w:r w:rsidRPr="00BF42B7">
        <w:rPr>
          <w:lang w:val="en-GB"/>
        </w:rPr>
        <w:t xml:space="preserve"> </w:t>
      </w:r>
      <w:r w:rsidRPr="00BF42B7">
        <w:rPr>
          <w:rFonts w:hint="eastAsia"/>
          <w:lang w:val="en-GB"/>
        </w:rPr>
        <w:t>第</w:t>
      </w:r>
      <w:r w:rsidRPr="00BF42B7">
        <w:rPr>
          <w:lang w:val="en-GB"/>
        </w:rPr>
        <w:t>5</w:t>
      </w:r>
      <w:r w:rsidRPr="00BF42B7">
        <w:rPr>
          <w:rFonts w:hint="eastAsia"/>
          <w:lang w:val="en-GB"/>
        </w:rPr>
        <w:t>条草案第</w:t>
      </w:r>
      <w:r w:rsidRPr="00BF42B7">
        <w:rPr>
          <w:lang w:val="en-GB"/>
        </w:rPr>
        <w:t>2</w:t>
      </w:r>
      <w:r w:rsidRPr="00BF42B7">
        <w:rPr>
          <w:rFonts w:hint="eastAsia"/>
          <w:lang w:val="en-GB"/>
        </w:rPr>
        <w:t>款采取了同样的办法。</w:t>
      </w:r>
    </w:p>
    <w:p w:rsidR="00CD5A8C" w:rsidRPr="00BF42B7" w:rsidRDefault="00CD5A8C" w:rsidP="00CD5A8C">
      <w:pPr>
        <w:pStyle w:val="H4GC"/>
        <w:rPr>
          <w:lang w:val="en-GB"/>
        </w:rPr>
      </w:pPr>
      <w:r w:rsidRPr="00BF42B7">
        <w:rPr>
          <w:rFonts w:hint="eastAsia"/>
          <w:lang w:val="en-GB"/>
        </w:rPr>
        <w:tab/>
      </w:r>
      <w:r w:rsidRPr="00BF42B7">
        <w:rPr>
          <w:rFonts w:hint="eastAsia"/>
          <w:lang w:val="en-GB"/>
        </w:rPr>
        <w:tab/>
      </w:r>
      <w:r w:rsidRPr="00BF42B7">
        <w:rPr>
          <w:rFonts w:hint="eastAsia"/>
          <w:lang w:val="en-GB"/>
        </w:rPr>
        <w:t>指挥责任或其他上级责任</w:t>
      </w:r>
    </w:p>
    <w:p w:rsidR="00CD5A8C" w:rsidRPr="00BF42B7" w:rsidRDefault="00CD5A8C" w:rsidP="00CD5A8C">
      <w:pPr>
        <w:tabs>
          <w:tab w:val="clear" w:pos="431"/>
          <w:tab w:val="left" w:pos="1134"/>
          <w:tab w:val="left" w:pos="1701"/>
          <w:tab w:val="left" w:pos="2226"/>
          <w:tab w:val="left" w:pos="2427"/>
        </w:tabs>
        <w:spacing w:after="120"/>
        <w:ind w:left="1134" w:right="1134"/>
        <w:rPr>
          <w:lang w:val="en-GB"/>
        </w:rPr>
      </w:pPr>
      <w:r w:rsidRPr="00BF42B7">
        <w:rPr>
          <w:lang w:val="en-GB"/>
        </w:rPr>
        <w:t>(16)</w:t>
      </w:r>
      <w:r w:rsidRPr="00BF42B7">
        <w:rPr>
          <w:rFonts w:hint="eastAsia"/>
          <w:lang w:val="en-GB"/>
        </w:rPr>
        <w:t xml:space="preserve">  </w:t>
      </w:r>
      <w:r w:rsidRPr="00BF42B7">
        <w:rPr>
          <w:rFonts w:hint="eastAsia"/>
          <w:lang w:val="en-GB"/>
        </w:rPr>
        <w:t>第</w:t>
      </w:r>
      <w:r w:rsidRPr="00BF42B7">
        <w:rPr>
          <w:lang w:val="en-GB"/>
        </w:rPr>
        <w:t>5</w:t>
      </w:r>
      <w:r w:rsidRPr="00BF42B7">
        <w:rPr>
          <w:rFonts w:hint="eastAsia"/>
          <w:lang w:val="en-GB"/>
        </w:rPr>
        <w:t>条</w:t>
      </w:r>
      <w:r w:rsidRPr="00BF42B7">
        <w:rPr>
          <w:rFonts w:hint="eastAsia"/>
          <w:lang w:val="zh-CN"/>
        </w:rPr>
        <w:t>草案</w:t>
      </w:r>
      <w:r w:rsidRPr="00BF42B7">
        <w:rPr>
          <w:rFonts w:hint="eastAsia"/>
          <w:lang w:val="en-GB"/>
        </w:rPr>
        <w:t>第</w:t>
      </w:r>
      <w:r w:rsidRPr="00BF42B7">
        <w:rPr>
          <w:lang w:val="en-GB"/>
        </w:rPr>
        <w:t>3</w:t>
      </w:r>
      <w:r w:rsidRPr="00BF42B7">
        <w:rPr>
          <w:rFonts w:hint="eastAsia"/>
          <w:lang w:val="en-GB"/>
        </w:rPr>
        <w:t>款处理的是指挥官或其他上级人员的责任问题。该款一般性地规定，如果上级人员对下属的行为失职，则应对下属实施的危害人类罪负刑事责任。</w:t>
      </w:r>
    </w:p>
    <w:p w:rsidR="00CD5A8C" w:rsidRPr="00BF42B7" w:rsidRDefault="00CD5A8C" w:rsidP="00CD5A8C">
      <w:pPr>
        <w:tabs>
          <w:tab w:val="clear" w:pos="431"/>
          <w:tab w:val="left" w:pos="1134"/>
          <w:tab w:val="left" w:pos="1701"/>
          <w:tab w:val="left" w:pos="2226"/>
          <w:tab w:val="left" w:pos="2427"/>
        </w:tabs>
        <w:spacing w:after="120"/>
        <w:ind w:left="1134" w:right="1134"/>
        <w:rPr>
          <w:lang w:val="en-GB"/>
        </w:rPr>
      </w:pPr>
      <w:r w:rsidRPr="00BF42B7">
        <w:rPr>
          <w:lang w:val="en-GB"/>
        </w:rPr>
        <w:t>(17)</w:t>
      </w:r>
      <w:r w:rsidRPr="00BF42B7">
        <w:rPr>
          <w:rFonts w:hint="eastAsia"/>
          <w:lang w:val="en-GB"/>
        </w:rPr>
        <w:t xml:space="preserve">  </w:t>
      </w:r>
      <w:r w:rsidRPr="00BF42B7">
        <w:rPr>
          <w:rFonts w:hint="eastAsia"/>
          <w:spacing w:val="-2"/>
          <w:lang w:val="en-GB"/>
        </w:rPr>
        <w:t>处理了危害人类罪的国际司法管辖机构</w:t>
      </w:r>
      <w:r w:rsidRPr="00BF42B7">
        <w:rPr>
          <w:rFonts w:hint="eastAsia"/>
          <w:spacing w:val="-2"/>
        </w:rPr>
        <w:t>将下级在某些情况下实施罪行的</w:t>
      </w:r>
      <w:r w:rsidRPr="00BF42B7">
        <w:rPr>
          <w:rFonts w:hint="eastAsia"/>
          <w:spacing w:val="-2"/>
          <w:lang w:val="en-GB"/>
        </w:rPr>
        <w:t>刑事责任</w:t>
      </w:r>
      <w:r w:rsidRPr="00BF42B7">
        <w:rPr>
          <w:rFonts w:hint="eastAsia"/>
          <w:spacing w:val="-2"/>
        </w:rPr>
        <w:t>归咎于其军事指挥官或其他上级。</w:t>
      </w:r>
      <w:r w:rsidRPr="00BF42B7">
        <w:rPr>
          <w:color w:val="0000FF"/>
          <w:spacing w:val="-2"/>
          <w:vertAlign w:val="superscript"/>
          <w:lang w:val="en-GB"/>
        </w:rPr>
        <w:footnoteReference w:id="1086"/>
      </w:r>
      <w:r w:rsidRPr="00BF42B7">
        <w:rPr>
          <w:rFonts w:hint="eastAsia"/>
          <w:spacing w:val="-2"/>
        </w:rPr>
        <w:t xml:space="preserve"> </w:t>
      </w:r>
      <w:r w:rsidRPr="00BF42B7">
        <w:rPr>
          <w:rFonts w:hint="eastAsia"/>
          <w:spacing w:val="-2"/>
        </w:rPr>
        <w:t>值得注意的是，纽伦堡和东京法庭针对军事和</w:t>
      </w:r>
      <w:r w:rsidRPr="00BF42B7">
        <w:rPr>
          <w:rFonts w:hint="eastAsia"/>
          <w:spacing w:val="-2"/>
          <w:lang w:val="zh-CN"/>
        </w:rPr>
        <w:t>文职</w:t>
      </w:r>
      <w:r w:rsidRPr="00BF42B7">
        <w:rPr>
          <w:rFonts w:hint="eastAsia"/>
          <w:spacing w:val="-2"/>
        </w:rPr>
        <w:t>指挥官均运用了指挥责任概念，这一做法影响到后来的法庭。</w:t>
      </w:r>
      <w:r w:rsidRPr="00BF42B7">
        <w:rPr>
          <w:color w:val="0000FF"/>
          <w:spacing w:val="-2"/>
          <w:vertAlign w:val="superscript"/>
        </w:rPr>
        <w:footnoteReference w:id="1087"/>
      </w:r>
      <w:r w:rsidRPr="00BF42B7">
        <w:rPr>
          <w:rFonts w:hint="eastAsia"/>
        </w:rPr>
        <w:t xml:space="preserve"> </w:t>
      </w:r>
      <w:r w:rsidRPr="00BF42B7">
        <w:rPr>
          <w:rFonts w:hint="eastAsia"/>
        </w:rPr>
        <w:t>正如卢旺达问题国际刑事法庭审判分庭在</w:t>
      </w:r>
      <w:r w:rsidRPr="00BF42B7">
        <w:rPr>
          <w:rFonts w:eastAsia="楷体" w:hint="eastAsia"/>
        </w:rPr>
        <w:t>检察官诉</w:t>
      </w:r>
      <w:r w:rsidRPr="00BF42B7">
        <w:rPr>
          <w:rFonts w:eastAsia="楷体"/>
          <w:i/>
          <w:lang w:val="en-GB"/>
        </w:rPr>
        <w:t>Alfred Musema</w:t>
      </w:r>
      <w:r w:rsidRPr="00BF42B7">
        <w:rPr>
          <w:rFonts w:eastAsia="楷体" w:hint="eastAsia"/>
        </w:rPr>
        <w:t>案</w:t>
      </w:r>
      <w:r w:rsidRPr="00BF42B7">
        <w:rPr>
          <w:rFonts w:hint="eastAsia"/>
        </w:rPr>
        <w:t>中所述，“对于《</w:t>
      </w:r>
      <w:r w:rsidRPr="00BF42B7">
        <w:t>[</w:t>
      </w:r>
      <w:r w:rsidRPr="00BF42B7">
        <w:rPr>
          <w:rFonts w:hint="eastAsia"/>
        </w:rPr>
        <w:t>卢旺达问题国际刑事法庭</w:t>
      </w:r>
      <w:r w:rsidRPr="00BF42B7">
        <w:t>]</w:t>
      </w:r>
      <w:r w:rsidRPr="00BF42B7">
        <w:rPr>
          <w:rFonts w:hint="eastAsia"/>
        </w:rPr>
        <w:t>规约》第</w:t>
      </w:r>
      <w:r w:rsidRPr="00BF42B7">
        <w:t>6(3)</w:t>
      </w:r>
      <w:r w:rsidRPr="00BF42B7">
        <w:rPr>
          <w:rFonts w:hint="eastAsia"/>
        </w:rPr>
        <w:t>条中所述个人刑事责任的形式是否也适用于军事和文职当局人员，必须注意的是，在东京审判期间，根据这项原则宣判民政当局犯有战争罪行”。</w:t>
      </w:r>
      <w:r w:rsidRPr="00BF42B7">
        <w:rPr>
          <w:color w:val="0000FF"/>
          <w:vertAlign w:val="superscript"/>
          <w:lang w:val="en-GB"/>
        </w:rPr>
        <w:footnoteReference w:id="1088"/>
      </w:r>
    </w:p>
    <w:p w:rsidR="00CD5A8C" w:rsidRPr="00BF42B7" w:rsidRDefault="00CD5A8C" w:rsidP="00CD5A8C">
      <w:pPr>
        <w:tabs>
          <w:tab w:val="clear" w:pos="431"/>
          <w:tab w:val="left" w:pos="1134"/>
          <w:tab w:val="left" w:pos="1701"/>
          <w:tab w:val="left" w:pos="2226"/>
          <w:tab w:val="left" w:pos="2427"/>
        </w:tabs>
        <w:spacing w:after="120"/>
        <w:ind w:left="1134" w:right="1134"/>
        <w:rPr>
          <w:lang w:val="en-GB"/>
        </w:rPr>
      </w:pPr>
      <w:r w:rsidRPr="00BF42B7">
        <w:rPr>
          <w:lang w:val="en-GB"/>
        </w:rPr>
        <w:t>(18)</w:t>
      </w:r>
      <w:r w:rsidRPr="00BF42B7">
        <w:rPr>
          <w:rFonts w:hint="eastAsia"/>
          <w:lang w:val="en-GB"/>
        </w:rPr>
        <w:t xml:space="preserve">  </w:t>
      </w:r>
      <w:r w:rsidRPr="00BF42B7">
        <w:rPr>
          <w:rFonts w:hint="eastAsia"/>
          <w:lang w:val="zh-CN"/>
        </w:rPr>
        <w:t>《前南斯拉夫问题国际刑事法庭规约》</w:t>
      </w:r>
      <w:r w:rsidRPr="00BF42B7">
        <w:rPr>
          <w:rFonts w:hint="eastAsia"/>
        </w:rPr>
        <w:t>规定：“如果一个部下犯下本《规约》第</w:t>
      </w:r>
      <w:r w:rsidRPr="00BF42B7">
        <w:t>2</w:t>
      </w:r>
      <w:r w:rsidRPr="00BF42B7">
        <w:rPr>
          <w:rFonts w:hint="eastAsia"/>
        </w:rPr>
        <w:t>至</w:t>
      </w:r>
      <w:r w:rsidRPr="00BF42B7">
        <w:t>5</w:t>
      </w:r>
      <w:r w:rsidRPr="00BF42B7">
        <w:rPr>
          <w:rFonts w:hint="eastAsia"/>
        </w:rPr>
        <w:t>条所指的任何行为，而他的上级知道或应当知道部下将有这种犯罪行为或者已经犯罪而上级没有采取合理的必要措施予以阻止或处罚犯罪者，则不能免除该上级的刑事责任”。</w:t>
      </w:r>
      <w:r w:rsidRPr="00BF42B7">
        <w:rPr>
          <w:color w:val="0000FF"/>
          <w:vertAlign w:val="superscript"/>
          <w:lang w:val="en-GB"/>
        </w:rPr>
        <w:footnoteReference w:id="1089"/>
      </w:r>
      <w:r w:rsidRPr="00BF42B7">
        <w:rPr>
          <w:lang w:val="en-GB"/>
        </w:rPr>
        <w:t xml:space="preserve"> </w:t>
      </w:r>
      <w:r w:rsidRPr="00BF42B7">
        <w:rPr>
          <w:rFonts w:hint="eastAsia"/>
        </w:rPr>
        <w:t>前南斯拉夫问题国际刑事法庭以此为依据将若干名被告定罪。</w:t>
      </w:r>
      <w:r w:rsidRPr="00BF42B7">
        <w:rPr>
          <w:color w:val="0000FF"/>
          <w:vertAlign w:val="superscript"/>
          <w:lang w:val="en-GB"/>
        </w:rPr>
        <w:footnoteReference w:id="1090"/>
      </w:r>
      <w:r w:rsidRPr="00BF42B7">
        <w:rPr>
          <w:lang w:val="en-GB"/>
        </w:rPr>
        <w:t xml:space="preserve"> </w:t>
      </w:r>
      <w:r w:rsidRPr="00BF42B7">
        <w:rPr>
          <w:rFonts w:hint="eastAsia"/>
        </w:rPr>
        <w:t>同样的措辞出现在卢旺达问题国际刑事法庭规约中，</w:t>
      </w:r>
      <w:r w:rsidRPr="00BF42B7">
        <w:rPr>
          <w:color w:val="0000FF"/>
          <w:vertAlign w:val="superscript"/>
          <w:lang w:val="en-GB"/>
        </w:rPr>
        <w:footnoteReference w:id="1091"/>
      </w:r>
      <w:r w:rsidRPr="00BF42B7">
        <w:rPr>
          <w:rFonts w:hint="eastAsia"/>
        </w:rPr>
        <w:t xml:space="preserve"> </w:t>
      </w:r>
      <w:r w:rsidRPr="00BF42B7">
        <w:rPr>
          <w:rFonts w:hint="eastAsia"/>
        </w:rPr>
        <w:t>该法庭也以同样依据将几名被告定罪。</w:t>
      </w:r>
      <w:r w:rsidRPr="00BF42B7">
        <w:rPr>
          <w:color w:val="0000FF"/>
          <w:vertAlign w:val="superscript"/>
          <w:lang w:val="en-GB"/>
        </w:rPr>
        <w:footnoteReference w:id="1092"/>
      </w:r>
      <w:r w:rsidRPr="00BF42B7">
        <w:rPr>
          <w:rFonts w:hint="eastAsia"/>
          <w:lang w:val="en-GB"/>
        </w:rPr>
        <w:t xml:space="preserve"> </w:t>
      </w:r>
      <w:r w:rsidRPr="00BF42B7">
        <w:rPr>
          <w:rFonts w:hint="eastAsia"/>
        </w:rPr>
        <w:t>类似的措词出现在塞拉利昂问题特别法庭</w:t>
      </w:r>
      <w:r w:rsidRPr="00BF42B7">
        <w:t xml:space="preserve"> </w:t>
      </w:r>
      <w:r w:rsidRPr="00BF42B7">
        <w:rPr>
          <w:color w:val="0000FF"/>
          <w:vertAlign w:val="superscript"/>
          <w:lang w:val="en-GB"/>
        </w:rPr>
        <w:footnoteReference w:id="1093"/>
      </w:r>
      <w:r w:rsidRPr="00BF42B7">
        <w:rPr>
          <w:rFonts w:hint="eastAsia"/>
        </w:rPr>
        <w:t>、黎巴嫩问题特别法庭</w:t>
      </w:r>
      <w:bookmarkStart w:id="276" w:name="_Ref430377539"/>
      <w:bookmarkStart w:id="277" w:name="_Ref456792904"/>
      <w:r w:rsidRPr="00BF42B7">
        <w:rPr>
          <w:color w:val="0000FF"/>
          <w:vertAlign w:val="superscript"/>
          <w:lang w:val="en-GB"/>
        </w:rPr>
        <w:footnoteReference w:id="1094"/>
      </w:r>
      <w:bookmarkEnd w:id="276"/>
      <w:bookmarkEnd w:id="277"/>
      <w:r w:rsidRPr="00BF42B7">
        <w:rPr>
          <w:rFonts w:hint="eastAsia"/>
        </w:rPr>
        <w:t>、东帝汶重罪特别审判分庭</w:t>
      </w:r>
      <w:r w:rsidRPr="00BF42B7">
        <w:rPr>
          <w:color w:val="0000FF"/>
          <w:vertAlign w:val="superscript"/>
          <w:lang w:val="en-GB"/>
        </w:rPr>
        <w:footnoteReference w:id="1095"/>
      </w:r>
      <w:r w:rsidRPr="00BF42B7">
        <w:rPr>
          <w:rFonts w:hint="eastAsia"/>
        </w:rPr>
        <w:t>、柬埔寨法院特别法庭</w:t>
      </w:r>
      <w:r w:rsidRPr="00BF42B7">
        <w:t xml:space="preserve"> </w:t>
      </w:r>
      <w:r w:rsidRPr="00BF42B7">
        <w:rPr>
          <w:color w:val="0000FF"/>
          <w:vertAlign w:val="superscript"/>
          <w:lang w:val="en-GB"/>
        </w:rPr>
        <w:footnoteReference w:id="1096"/>
      </w:r>
      <w:r w:rsidRPr="00BF42B7">
        <w:rPr>
          <w:rFonts w:hint="eastAsia"/>
        </w:rPr>
        <w:t>、伊拉克最高刑事法庭</w:t>
      </w:r>
      <w:r w:rsidRPr="00BF42B7">
        <w:rPr>
          <w:color w:val="0000FF"/>
          <w:vertAlign w:val="superscript"/>
          <w:lang w:val="en-GB"/>
        </w:rPr>
        <w:footnoteReference w:id="1097"/>
      </w:r>
      <w:r w:rsidRPr="00BF42B7">
        <w:rPr>
          <w:rFonts w:hint="eastAsia"/>
        </w:rPr>
        <w:t xml:space="preserve"> </w:t>
      </w:r>
      <w:r w:rsidRPr="00BF42B7">
        <w:rPr>
          <w:rFonts w:hint="eastAsia"/>
        </w:rPr>
        <w:t>和塞内加尔司法系统内的非洲特别法庭</w:t>
      </w:r>
      <w:r w:rsidRPr="00BF42B7">
        <w:rPr>
          <w:color w:val="0000FF"/>
          <w:vertAlign w:val="superscript"/>
          <w:lang w:val="en-GB"/>
        </w:rPr>
        <w:footnoteReference w:id="1098"/>
      </w:r>
      <w:r w:rsidRPr="00BF42B7">
        <w:rPr>
          <w:rFonts w:hint="eastAsia"/>
          <w:lang w:val="en-GB"/>
        </w:rPr>
        <w:t xml:space="preserve"> </w:t>
      </w:r>
      <w:r w:rsidRPr="00BF42B7">
        <w:rPr>
          <w:rFonts w:hint="eastAsia"/>
        </w:rPr>
        <w:t>的规范文书中。</w:t>
      </w:r>
    </w:p>
    <w:p w:rsidR="00CD5A8C" w:rsidRPr="00BF42B7" w:rsidRDefault="00CD5A8C" w:rsidP="00CD5A8C">
      <w:pPr>
        <w:tabs>
          <w:tab w:val="clear" w:pos="431"/>
          <w:tab w:val="left" w:pos="1134"/>
          <w:tab w:val="left" w:pos="1701"/>
          <w:tab w:val="left" w:pos="2226"/>
          <w:tab w:val="left" w:pos="2427"/>
        </w:tabs>
        <w:spacing w:after="120"/>
        <w:ind w:left="1134" w:right="1134"/>
      </w:pPr>
      <w:r w:rsidRPr="00BF42B7">
        <w:rPr>
          <w:lang w:val="en-GB"/>
        </w:rPr>
        <w:t>(19)</w:t>
      </w:r>
      <w:r w:rsidRPr="00BF42B7">
        <w:rPr>
          <w:rFonts w:hint="eastAsia"/>
          <w:lang w:val="en-GB"/>
        </w:rPr>
        <w:t xml:space="preserve">  </w:t>
      </w:r>
      <w:r w:rsidRPr="00BF42B7">
        <w:rPr>
          <w:rFonts w:hint="eastAsia"/>
          <w:lang w:val="zh-CN"/>
        </w:rPr>
        <w:t>《罗马规约》</w:t>
      </w:r>
      <w:r w:rsidRPr="00BF42B7">
        <w:rPr>
          <w:rFonts w:hint="eastAsia"/>
        </w:rPr>
        <w:t>第二十八条载有将对他人行为的刑事责任适用于军事指挥官或以军事指挥官身份有效行事的人的详细标准。</w:t>
      </w:r>
      <w:r w:rsidRPr="00BF42B7">
        <w:rPr>
          <w:color w:val="0000FF"/>
          <w:vertAlign w:val="superscript"/>
          <w:lang w:val="en-GB"/>
        </w:rPr>
        <w:footnoteReference w:id="1099"/>
      </w:r>
      <w:r w:rsidRPr="00BF42B7">
        <w:rPr>
          <w:lang w:val="en-GB"/>
        </w:rPr>
        <w:t xml:space="preserve"> </w:t>
      </w:r>
      <w:r w:rsidRPr="00BF42B7">
        <w:rPr>
          <w:rFonts w:hint="eastAsia"/>
        </w:rPr>
        <w:t>一般而言，在下列情况下会发生</w:t>
      </w:r>
      <w:r w:rsidRPr="00BF42B7">
        <w:rPr>
          <w:rFonts w:hint="eastAsia"/>
          <w:lang w:val="en-GB"/>
        </w:rPr>
        <w:t>刑事责任</w:t>
      </w:r>
      <w:r w:rsidRPr="00BF42B7">
        <w:rPr>
          <w:rFonts w:hint="eastAsia"/>
        </w:rPr>
        <w:t>：</w:t>
      </w:r>
      <w:r w:rsidRPr="00BF42B7">
        <w:t xml:space="preserve">(a) </w:t>
      </w:r>
      <w:r w:rsidRPr="00BF42B7">
        <w:rPr>
          <w:rFonts w:hint="eastAsia"/>
        </w:rPr>
        <w:t>有从属关系；</w:t>
      </w:r>
      <w:r w:rsidRPr="00BF42B7">
        <w:t xml:space="preserve">(b) </w:t>
      </w:r>
      <w:r w:rsidRPr="00BF42B7">
        <w:rPr>
          <w:rFonts w:hint="eastAsia"/>
        </w:rPr>
        <w:t>指挥官知道或本应知道他的部下正在实施或即将实施罪行；</w:t>
      </w:r>
      <w:r w:rsidRPr="00BF42B7">
        <w:t xml:space="preserve">(c) </w:t>
      </w:r>
      <w:r w:rsidRPr="00BF42B7">
        <w:rPr>
          <w:rFonts w:hint="eastAsia"/>
        </w:rPr>
        <w:t>指挥官未采取在其权力范围内的一切必要而合理的措施，防止或制止这些犯罪的实施，或报请就此事进行调查和起诉。这一标准已经开始在刑事和民事两方面对“指挥责任”在国内法律体系中的发展产生影响。第二十八条还论及非军事或文职方面出现的“上下级关系”问题。这种上级包括“担任领导”但不“参与”军事活动的文官。在这里，在下列情况下会发生刑事责任：</w:t>
      </w:r>
      <w:r w:rsidRPr="00BF42B7">
        <w:t xml:space="preserve">(a) </w:t>
      </w:r>
      <w:r w:rsidRPr="00BF42B7">
        <w:rPr>
          <w:rFonts w:hint="eastAsia"/>
        </w:rPr>
        <w:t>有从属关系；</w:t>
      </w:r>
      <w:r w:rsidRPr="00BF42B7">
        <w:t xml:space="preserve">(b) </w:t>
      </w:r>
      <w:r w:rsidRPr="00BF42B7">
        <w:rPr>
          <w:rFonts w:hint="eastAsia"/>
        </w:rPr>
        <w:t>文职上级知道或有意忽视关于罪行的信息；</w:t>
      </w:r>
      <w:r w:rsidRPr="00BF42B7">
        <w:t xml:space="preserve">(c) </w:t>
      </w:r>
      <w:r w:rsidRPr="00BF42B7">
        <w:rPr>
          <w:rFonts w:hint="eastAsia"/>
        </w:rPr>
        <w:t>罪行涉及该上级人员有效负责和控制的活动；</w:t>
      </w:r>
      <w:r w:rsidRPr="00BF42B7">
        <w:t xml:space="preserve">(d) </w:t>
      </w:r>
      <w:r w:rsidRPr="00BF42B7">
        <w:rPr>
          <w:rFonts w:hint="eastAsia"/>
        </w:rPr>
        <w:t>上级未采取在其权力范围内的一切必要而合理的措施，防止或制止所有这些罪行的实施，或报请就此事进行调查和起诉。</w:t>
      </w:r>
    </w:p>
    <w:p w:rsidR="00CD5A8C" w:rsidRPr="00BF42B7" w:rsidRDefault="00CD5A8C" w:rsidP="00CD5A8C">
      <w:pPr>
        <w:tabs>
          <w:tab w:val="clear" w:pos="431"/>
          <w:tab w:val="left" w:pos="1134"/>
          <w:tab w:val="left" w:pos="1701"/>
          <w:tab w:val="left" w:pos="2226"/>
          <w:tab w:val="left" w:pos="2427"/>
        </w:tabs>
        <w:spacing w:after="120"/>
        <w:ind w:left="1134" w:right="1134"/>
        <w:rPr>
          <w:lang w:val="en-GB"/>
        </w:rPr>
      </w:pPr>
      <w:r w:rsidRPr="00BF42B7">
        <w:rPr>
          <w:lang w:val="en-GB"/>
        </w:rPr>
        <w:t>(20)</w:t>
      </w:r>
      <w:r w:rsidRPr="00BF42B7">
        <w:rPr>
          <w:rFonts w:hint="eastAsia"/>
          <w:lang w:val="en-GB"/>
        </w:rPr>
        <w:t xml:space="preserve">  </w:t>
      </w:r>
      <w:r w:rsidRPr="00BF42B7">
        <w:rPr>
          <w:rFonts w:hint="eastAsia"/>
          <w:lang w:val="en-GB"/>
        </w:rPr>
        <w:t>国际</w:t>
      </w:r>
      <w:r w:rsidRPr="00BF42B7">
        <w:rPr>
          <w:rFonts w:hint="eastAsia"/>
          <w:lang w:val="zh-CN"/>
        </w:rPr>
        <w:t>刑事</w:t>
      </w:r>
      <w:r w:rsidRPr="00BF42B7">
        <w:rPr>
          <w:rFonts w:hint="eastAsia"/>
          <w:lang w:val="en-GB"/>
        </w:rPr>
        <w:t>法院的一个审判庭于</w:t>
      </w:r>
      <w:r w:rsidRPr="00BF42B7">
        <w:rPr>
          <w:lang w:val="en-GB"/>
        </w:rPr>
        <w:t>2016</w:t>
      </w:r>
      <w:r w:rsidRPr="00BF42B7">
        <w:rPr>
          <w:rFonts w:hint="eastAsia"/>
          <w:lang w:val="en-GB"/>
        </w:rPr>
        <w:t>年</w:t>
      </w:r>
      <w:r w:rsidRPr="00BF42B7">
        <w:rPr>
          <w:lang w:val="en-GB"/>
        </w:rPr>
        <w:t>3</w:t>
      </w:r>
      <w:r w:rsidRPr="00BF42B7">
        <w:rPr>
          <w:rFonts w:hint="eastAsia"/>
          <w:lang w:val="en-GB"/>
        </w:rPr>
        <w:t>月判定</w:t>
      </w:r>
      <w:r w:rsidRPr="00BF42B7">
        <w:rPr>
          <w:i/>
        </w:rPr>
        <w:t>Jean-Pierre Bemba Gombo</w:t>
      </w:r>
      <w:r w:rsidRPr="00BF42B7">
        <w:rPr>
          <w:rFonts w:hint="eastAsia"/>
          <w:lang w:val="en-GB"/>
        </w:rPr>
        <w:t>有罪时适用了这一标准。除其他外，审判庭认定，</w:t>
      </w:r>
      <w:r w:rsidRPr="00BF42B7">
        <w:rPr>
          <w:i/>
        </w:rPr>
        <w:t>Bemba</w:t>
      </w:r>
      <w:r w:rsidRPr="00BF42B7">
        <w:rPr>
          <w:rFonts w:hint="eastAsia"/>
          <w:lang w:val="en-GB"/>
        </w:rPr>
        <w:t>先生实际上是以军事指挥官身份行事的人，他当时知道在他有效领导和控制之下的刚果解放运动武装正在或将要实施所控告的罪行。另外，审判庭认定，</w:t>
      </w:r>
      <w:r w:rsidRPr="00BF42B7">
        <w:rPr>
          <w:i/>
        </w:rPr>
        <w:t>Bemba</w:t>
      </w:r>
      <w:r w:rsidRPr="00BF42B7">
        <w:rPr>
          <w:rFonts w:hint="eastAsia"/>
          <w:lang w:val="en-GB"/>
        </w:rPr>
        <w:t>先生未采取一切必要和合理的措施防止或压制部下</w:t>
      </w:r>
      <w:r w:rsidRPr="00BF42B7">
        <w:rPr>
          <w:lang w:val="en-GB"/>
        </w:rPr>
        <w:t>2002</w:t>
      </w:r>
      <w:r w:rsidRPr="00BF42B7">
        <w:rPr>
          <w:rFonts w:hint="eastAsia"/>
          <w:lang w:val="en-GB"/>
        </w:rPr>
        <w:t>和</w:t>
      </w:r>
      <w:r w:rsidRPr="00BF42B7">
        <w:rPr>
          <w:lang w:val="en-GB"/>
        </w:rPr>
        <w:t>2003</w:t>
      </w:r>
      <w:r w:rsidRPr="00BF42B7">
        <w:rPr>
          <w:rFonts w:hint="eastAsia"/>
          <w:lang w:val="en-GB"/>
        </w:rPr>
        <w:t>年在中非共和国的军事行动中实施犯罪，或在罪行实施之后将此事报告主管当局。</w:t>
      </w:r>
      <w:r w:rsidRPr="00BF42B7">
        <w:rPr>
          <w:color w:val="0000FF"/>
          <w:vertAlign w:val="superscript"/>
          <w:lang w:val="en-GB"/>
        </w:rPr>
        <w:footnoteReference w:id="1100"/>
      </w:r>
    </w:p>
    <w:p w:rsidR="00CD5A8C" w:rsidRPr="00BF42B7" w:rsidRDefault="00CD5A8C" w:rsidP="00CD5A8C">
      <w:pPr>
        <w:tabs>
          <w:tab w:val="clear" w:pos="431"/>
          <w:tab w:val="left" w:pos="1134"/>
          <w:tab w:val="left" w:pos="1701"/>
          <w:tab w:val="left" w:pos="2226"/>
          <w:tab w:val="left" w:pos="2427"/>
        </w:tabs>
        <w:spacing w:after="120"/>
        <w:ind w:left="1134" w:right="1134"/>
        <w:rPr>
          <w:lang w:val="en-GB"/>
        </w:rPr>
      </w:pPr>
      <w:r w:rsidRPr="00BF42B7">
        <w:rPr>
          <w:lang w:val="en-GB"/>
        </w:rPr>
        <w:t>(21)</w:t>
      </w:r>
      <w:r w:rsidRPr="00BF42B7">
        <w:rPr>
          <w:rFonts w:hint="eastAsia"/>
          <w:lang w:val="en-GB"/>
        </w:rPr>
        <w:t xml:space="preserve">  </w:t>
      </w:r>
      <w:r w:rsidRPr="00BF42B7">
        <w:rPr>
          <w:rFonts w:hint="eastAsia"/>
          <w:lang w:val="en-GB"/>
        </w:rPr>
        <w:t>国内法也</w:t>
      </w:r>
      <w:r w:rsidRPr="00BF42B7">
        <w:rPr>
          <w:rFonts w:hint="eastAsia"/>
          <w:lang w:val="zh-CN"/>
        </w:rPr>
        <w:t>经常</w:t>
      </w:r>
      <w:r w:rsidRPr="00BF42B7">
        <w:rPr>
          <w:rFonts w:hint="eastAsia"/>
          <w:lang w:val="en-GB"/>
        </w:rPr>
        <w:t>载有关于战争罪、灭绝种族罪和危害人类罪的这类刑事责任规定，但使用的标准有所不同。另外，有些国家没有就危害人类罪制订出此种标准。出于这些原因，委员会认为，为了鼓励有关这一问题的国内法取得一致，拟订一条清楚的标准是恰当的。</w:t>
      </w:r>
      <w:bookmarkStart w:id="278" w:name="_Ref454443574"/>
      <w:r w:rsidRPr="00BF42B7">
        <w:rPr>
          <w:color w:val="0000FF"/>
          <w:vertAlign w:val="superscript"/>
          <w:lang w:val="en-GB"/>
        </w:rPr>
        <w:footnoteReference w:id="1101"/>
      </w:r>
      <w:bookmarkEnd w:id="278"/>
      <w:r w:rsidRPr="00BF42B7">
        <w:rPr>
          <w:lang w:val="en-GB"/>
        </w:rPr>
        <w:t xml:space="preserve"> </w:t>
      </w:r>
      <w:r w:rsidRPr="00BF42B7">
        <w:rPr>
          <w:rFonts w:hint="eastAsia"/>
          <w:lang w:val="en-GB"/>
        </w:rPr>
        <w:t>为此目的，第</w:t>
      </w:r>
      <w:r w:rsidRPr="00BF42B7">
        <w:rPr>
          <w:lang w:val="en-GB"/>
        </w:rPr>
        <w:t>5</w:t>
      </w:r>
      <w:r w:rsidRPr="00BF42B7">
        <w:rPr>
          <w:rFonts w:hint="eastAsia"/>
          <w:lang w:val="en-GB"/>
        </w:rPr>
        <w:t>条草案第</w:t>
      </w:r>
      <w:r w:rsidRPr="00BF42B7">
        <w:rPr>
          <w:lang w:val="en-GB"/>
        </w:rPr>
        <w:t>3</w:t>
      </w:r>
      <w:r w:rsidRPr="00BF42B7">
        <w:rPr>
          <w:rFonts w:hint="eastAsia"/>
          <w:lang w:val="en-GB"/>
        </w:rPr>
        <w:t>款是以《罗马规约》规定的标准为模板起草的。</w:t>
      </w:r>
    </w:p>
    <w:p w:rsidR="00CD5A8C" w:rsidRPr="00BF42B7" w:rsidRDefault="00CD5A8C" w:rsidP="00CD5A8C">
      <w:pPr>
        <w:tabs>
          <w:tab w:val="clear" w:pos="431"/>
          <w:tab w:val="left" w:pos="1134"/>
          <w:tab w:val="left" w:pos="1701"/>
          <w:tab w:val="left" w:pos="2226"/>
          <w:tab w:val="left" w:pos="2427"/>
        </w:tabs>
        <w:spacing w:after="120"/>
        <w:ind w:left="1134" w:right="1134"/>
        <w:rPr>
          <w:lang w:val="en-GB"/>
        </w:rPr>
      </w:pPr>
      <w:r w:rsidRPr="00BF42B7">
        <w:rPr>
          <w:lang w:val="en-GB"/>
        </w:rPr>
        <w:t>(22)</w:t>
      </w:r>
      <w:r w:rsidRPr="00BF42B7">
        <w:rPr>
          <w:rFonts w:hint="eastAsia"/>
          <w:lang w:val="en-GB"/>
        </w:rPr>
        <w:t xml:space="preserve">  </w:t>
      </w:r>
      <w:r w:rsidRPr="00BF42B7">
        <w:rPr>
          <w:rFonts w:hint="eastAsia"/>
        </w:rPr>
        <w:t>针对</w:t>
      </w:r>
      <w:r w:rsidRPr="00BF42B7">
        <w:rPr>
          <w:rFonts w:hint="eastAsia"/>
          <w:lang w:val="zh-CN"/>
        </w:rPr>
        <w:t>危害</w:t>
      </w:r>
      <w:r w:rsidRPr="00BF42B7">
        <w:rPr>
          <w:rFonts w:hint="eastAsia"/>
        </w:rPr>
        <w:t>人类罪之外的其他罪行的条约也经常确认以指挥官或其他上级人员责任为形式的犯罪。</w:t>
      </w:r>
      <w:bookmarkStart w:id="279" w:name="_Ref426619615"/>
      <w:r w:rsidRPr="00BF42B7">
        <w:rPr>
          <w:color w:val="0000FF"/>
          <w:vertAlign w:val="superscript"/>
          <w:lang w:val="en-GB"/>
        </w:rPr>
        <w:footnoteReference w:id="1102"/>
      </w:r>
      <w:bookmarkEnd w:id="279"/>
    </w:p>
    <w:p w:rsidR="00CD5A8C" w:rsidRPr="00BF42B7" w:rsidRDefault="00CD5A8C" w:rsidP="00CD5A8C">
      <w:pPr>
        <w:pStyle w:val="H4GC"/>
        <w:rPr>
          <w:lang w:val="en-GB"/>
        </w:rPr>
      </w:pPr>
      <w:r w:rsidRPr="00BF42B7">
        <w:rPr>
          <w:rFonts w:hint="eastAsia"/>
          <w:lang w:val="en-GB"/>
        </w:rPr>
        <w:tab/>
      </w:r>
      <w:r w:rsidRPr="00BF42B7">
        <w:rPr>
          <w:rFonts w:hint="eastAsia"/>
          <w:lang w:val="en-GB"/>
        </w:rPr>
        <w:tab/>
      </w:r>
      <w:r w:rsidRPr="00BF42B7">
        <w:rPr>
          <w:rFonts w:hint="eastAsia"/>
          <w:lang w:val="en-GB"/>
        </w:rPr>
        <w:t>上级命令</w:t>
      </w:r>
    </w:p>
    <w:p w:rsidR="00CD5A8C" w:rsidRPr="00BF42B7" w:rsidRDefault="00CD5A8C" w:rsidP="00CD5A8C">
      <w:pPr>
        <w:tabs>
          <w:tab w:val="clear" w:pos="431"/>
          <w:tab w:val="left" w:pos="1134"/>
          <w:tab w:val="left" w:pos="1701"/>
          <w:tab w:val="left" w:pos="2226"/>
          <w:tab w:val="left" w:pos="2427"/>
        </w:tabs>
        <w:spacing w:after="120"/>
        <w:ind w:left="1134" w:right="1134"/>
        <w:rPr>
          <w:lang w:val="en-GB"/>
        </w:rPr>
      </w:pPr>
      <w:r w:rsidRPr="00BF42B7">
        <w:rPr>
          <w:lang w:val="en-GB"/>
        </w:rPr>
        <w:t>(23)</w:t>
      </w:r>
      <w:r w:rsidRPr="00BF42B7">
        <w:rPr>
          <w:rFonts w:hint="eastAsia"/>
          <w:lang w:val="en-GB"/>
        </w:rPr>
        <w:t xml:space="preserve">  </w:t>
      </w:r>
      <w:r w:rsidRPr="00BF42B7">
        <w:rPr>
          <w:rFonts w:hint="eastAsia"/>
          <w:lang w:val="en-GB"/>
        </w:rPr>
        <w:t>第</w:t>
      </w:r>
      <w:r w:rsidRPr="00BF42B7">
        <w:rPr>
          <w:lang w:val="en-GB"/>
        </w:rPr>
        <w:t>5</w:t>
      </w:r>
      <w:r w:rsidRPr="00BF42B7">
        <w:rPr>
          <w:rFonts w:hint="eastAsia"/>
          <w:lang w:val="en-GB"/>
        </w:rPr>
        <w:t>条草案</w:t>
      </w:r>
      <w:r w:rsidRPr="00BF42B7">
        <w:rPr>
          <w:rFonts w:hint="eastAsia"/>
          <w:lang w:val="zh-CN"/>
        </w:rPr>
        <w:t>第</w:t>
      </w:r>
      <w:r w:rsidRPr="00BF42B7">
        <w:rPr>
          <w:lang w:val="zh-CN"/>
        </w:rPr>
        <w:t>4</w:t>
      </w:r>
      <w:r w:rsidRPr="00BF42B7">
        <w:rPr>
          <w:rFonts w:hint="eastAsia"/>
          <w:lang w:val="en-GB"/>
        </w:rPr>
        <w:t>款规定，各国应采取必要措施确保</w:t>
      </w:r>
      <w:r w:rsidRPr="00BF42B7">
        <w:rPr>
          <w:rFonts w:hint="eastAsia"/>
        </w:rPr>
        <w:t>国家刑法规定，</w:t>
      </w:r>
      <w:r w:rsidRPr="00BF42B7">
        <w:rPr>
          <w:rFonts w:hint="eastAsia"/>
          <w:lang w:val="en-GB"/>
        </w:rPr>
        <w:t>依照政府或者军事或文职上级的命令实施本条所述罪行的事实不成为免除下级刑事责任的理由。</w:t>
      </w:r>
    </w:p>
    <w:p w:rsidR="00CD5A8C" w:rsidRPr="00BF42B7" w:rsidRDefault="00CD5A8C" w:rsidP="00CD5A8C">
      <w:pPr>
        <w:tabs>
          <w:tab w:val="clear" w:pos="431"/>
          <w:tab w:val="left" w:pos="1134"/>
          <w:tab w:val="left" w:pos="1701"/>
          <w:tab w:val="left" w:pos="2226"/>
          <w:tab w:val="left" w:pos="2427"/>
        </w:tabs>
        <w:spacing w:after="120"/>
        <w:ind w:left="1134" w:right="1134"/>
      </w:pPr>
      <w:r w:rsidRPr="00BF42B7">
        <w:rPr>
          <w:lang w:val="en-GB"/>
        </w:rPr>
        <w:t>(24)</w:t>
      </w:r>
      <w:r w:rsidRPr="00BF42B7">
        <w:rPr>
          <w:rFonts w:hint="eastAsia"/>
          <w:lang w:val="en-GB"/>
        </w:rPr>
        <w:t xml:space="preserve">  </w:t>
      </w:r>
      <w:r w:rsidRPr="00BF42B7">
        <w:rPr>
          <w:rFonts w:hint="eastAsia"/>
          <w:lang w:val="zh-CN"/>
        </w:rPr>
        <w:t>所有处理危害人类罪的司法管辖机构均在一定程度上允许依据某些理由免除刑事责任。例如，如果被指控施害者患有精神疾病，无法认识到其行为是非法的，则大多数司法管辖机构会免除其刑事责任。有些司法管辖机构规定，至少在某些情况下，也免除处于醉酒或药物麻醉状态者的刑事责任。为自卫采取的行动以及因直接伤害或死亡的威胁带来的胁迫所采取的行动也可以免负责任。在有些情况下，当事人必须达到一定的年龄，才须负刑事责任。各司法管辖机构允许提出的确切理由各不相同。就国内制度而言，这些理由通常适用于该司法管辖机构处理刑事责任的一般做法，而并不单单针对危害人类罪。</w:t>
      </w:r>
    </w:p>
    <w:p w:rsidR="00CD5A8C" w:rsidRPr="00BF42B7" w:rsidRDefault="00CD5A8C" w:rsidP="00CD5A8C">
      <w:pPr>
        <w:tabs>
          <w:tab w:val="clear" w:pos="431"/>
          <w:tab w:val="left" w:pos="1134"/>
          <w:tab w:val="left" w:pos="1701"/>
          <w:tab w:val="left" w:pos="2226"/>
          <w:tab w:val="left" w:pos="2427"/>
        </w:tabs>
        <w:spacing w:after="120"/>
        <w:ind w:left="1134" w:right="1134"/>
        <w:rPr>
          <w:lang w:val="en-GB"/>
        </w:rPr>
      </w:pPr>
      <w:r w:rsidRPr="00BF42B7">
        <w:rPr>
          <w:lang w:val="en-GB"/>
        </w:rPr>
        <w:t>(25)</w:t>
      </w:r>
      <w:r w:rsidRPr="00BF42B7">
        <w:rPr>
          <w:rFonts w:hint="eastAsia"/>
          <w:lang w:val="en-GB"/>
        </w:rPr>
        <w:t xml:space="preserve">  </w:t>
      </w:r>
      <w:r w:rsidRPr="00BF42B7">
        <w:rPr>
          <w:rFonts w:hint="eastAsia"/>
        </w:rPr>
        <w:t>与此同时，大多数</w:t>
      </w:r>
      <w:r w:rsidRPr="00BF42B7">
        <w:rPr>
          <w:rFonts w:hint="eastAsia"/>
          <w:lang w:val="zh-CN"/>
        </w:rPr>
        <w:t>处理</w:t>
      </w:r>
      <w:r w:rsidRPr="00BF42B7">
        <w:rPr>
          <w:rFonts w:hint="eastAsia"/>
        </w:rPr>
        <w:t>危害人类罪的司法管辖机构规定，犯下这类罪行的人不能以上级命令他们犯下该罪行作为辩护理由。</w:t>
      </w:r>
      <w:r w:rsidRPr="00BF42B7">
        <w:rPr>
          <w:color w:val="0000FF"/>
          <w:vertAlign w:val="superscript"/>
          <w:lang w:val="en-GB"/>
        </w:rPr>
        <w:footnoteReference w:id="1103"/>
      </w:r>
      <w:r w:rsidRPr="00BF42B7">
        <w:rPr>
          <w:rFonts w:hint="eastAsia"/>
        </w:rPr>
        <w:t>《纽伦堡宪章》第八条规定：“被告</w:t>
      </w:r>
      <w:r w:rsidRPr="00BF42B7">
        <w:rPr>
          <w:rFonts w:hint="eastAsia"/>
          <w:lang w:val="zh-CN"/>
        </w:rPr>
        <w:t>不得</w:t>
      </w:r>
      <w:r w:rsidRPr="00BF42B7">
        <w:rPr>
          <w:rFonts w:hint="eastAsia"/>
        </w:rPr>
        <w:t>因按照政府或上级命令犯罪而免除刑事责任，但如法庭认为符合公正审判之需要时，此种情况于刑罚之减轻上得加以考虑”。因此，国际军事法庭按照第八条认定：“士兵按照命令违反国际战争法而杀人或实施酷刑，从未被承认是实施此种暴行的理由”。</w:t>
      </w:r>
      <w:r w:rsidRPr="00BF42B7">
        <w:rPr>
          <w:color w:val="0000FF"/>
          <w:vertAlign w:val="superscript"/>
          <w:lang w:val="en-GB"/>
        </w:rPr>
        <w:footnoteReference w:id="1104"/>
      </w:r>
      <w:r w:rsidRPr="00BF42B7">
        <w:rPr>
          <w:lang w:val="en-GB"/>
        </w:rPr>
        <w:t xml:space="preserve"> </w:t>
      </w:r>
      <w:r w:rsidRPr="00BF42B7">
        <w:rPr>
          <w:rFonts w:hint="eastAsia"/>
          <w:lang w:val="en-GB"/>
        </w:rPr>
        <w:t>与此相似，《东京法庭宪章》</w:t>
      </w:r>
      <w:r w:rsidRPr="00BF42B7">
        <w:rPr>
          <w:rFonts w:hint="eastAsia"/>
        </w:rPr>
        <w:t>第六条规定：“被告在任何时期所曾任之官职，以及被告系遵从其政府或上级长官之命令而行动之事实，均不足以免除其被控所犯任何罪行之责任。但如法庭认为符合公正审判之需要时，此种情况于刑罚之减轻上得加以考虑”。</w:t>
      </w:r>
      <w:bookmarkStart w:id="280" w:name="_Ref430378578"/>
      <w:r w:rsidRPr="00BF42B7">
        <w:rPr>
          <w:color w:val="0000FF"/>
          <w:vertAlign w:val="superscript"/>
          <w:lang w:val="en-GB"/>
        </w:rPr>
        <w:footnoteReference w:id="1105"/>
      </w:r>
      <w:bookmarkEnd w:id="280"/>
    </w:p>
    <w:p w:rsidR="00CD5A8C" w:rsidRPr="00BF42B7" w:rsidRDefault="00CD5A8C" w:rsidP="00CD5A8C">
      <w:pPr>
        <w:tabs>
          <w:tab w:val="clear" w:pos="431"/>
          <w:tab w:val="left" w:pos="1134"/>
          <w:tab w:val="left" w:pos="1701"/>
          <w:tab w:val="left" w:pos="2226"/>
          <w:tab w:val="left" w:pos="2427"/>
        </w:tabs>
        <w:spacing w:after="120"/>
        <w:ind w:left="1134" w:right="1134"/>
        <w:rPr>
          <w:lang w:val="en-GB"/>
        </w:rPr>
      </w:pPr>
      <w:r w:rsidRPr="00BF42B7">
        <w:rPr>
          <w:lang w:val="en-GB"/>
        </w:rPr>
        <w:t>(26)</w:t>
      </w:r>
      <w:r w:rsidRPr="00BF42B7">
        <w:rPr>
          <w:rFonts w:hint="eastAsia"/>
          <w:lang w:val="en-GB"/>
        </w:rPr>
        <w:t xml:space="preserve">  </w:t>
      </w:r>
      <w:r w:rsidRPr="00BF42B7">
        <w:t>虽然《罗马规约》</w:t>
      </w:r>
      <w:r w:rsidRPr="00BF42B7">
        <w:rPr>
          <w:lang w:val="zh-CN"/>
        </w:rPr>
        <w:t>第三十三</w:t>
      </w:r>
      <w:r w:rsidRPr="00BF42B7">
        <w:t>条允许以上级命令为由作出有限辩护，但仅针对战争罪；实施种族灭绝行为或危害人类罪的命令不属于该</w:t>
      </w:r>
      <w:r w:rsidRPr="00BF42B7">
        <w:rPr>
          <w:rFonts w:hint="eastAsia"/>
        </w:rPr>
        <w:t>辩护</w:t>
      </w:r>
      <w:r w:rsidRPr="00BF42B7">
        <w:t>规定的范围。规范前南斯拉夫问题国际刑事法庭</w:t>
      </w:r>
      <w:r w:rsidRPr="00BF42B7">
        <w:rPr>
          <w:color w:val="0000FF"/>
          <w:vertAlign w:val="superscript"/>
          <w:lang w:val="en-GB"/>
        </w:rPr>
        <w:footnoteReference w:id="1106"/>
      </w:r>
      <w:r w:rsidRPr="00BF42B7">
        <w:t>、卢旺达问题国际刑事法庭</w:t>
      </w:r>
      <w:r w:rsidRPr="00BF42B7">
        <w:rPr>
          <w:color w:val="0000FF"/>
          <w:vertAlign w:val="superscript"/>
          <w:lang w:val="en-GB"/>
        </w:rPr>
        <w:footnoteReference w:id="1107"/>
      </w:r>
      <w:r w:rsidRPr="00BF42B7">
        <w:t>、塞拉利昂问题特别法庭</w:t>
      </w:r>
      <w:r w:rsidRPr="00BF42B7">
        <w:rPr>
          <w:color w:val="0000FF"/>
          <w:vertAlign w:val="superscript"/>
          <w:lang w:val="en-GB"/>
        </w:rPr>
        <w:footnoteReference w:id="1108"/>
      </w:r>
      <w:r w:rsidRPr="00BF42B7">
        <w:t>、黎巴嫩问题特别法庭</w:t>
      </w:r>
      <w:r w:rsidRPr="00BF42B7">
        <w:rPr>
          <w:color w:val="0000FF"/>
          <w:vertAlign w:val="superscript"/>
          <w:lang w:val="en-GB"/>
        </w:rPr>
        <w:footnoteReference w:id="1109"/>
      </w:r>
      <w:r w:rsidRPr="00BF42B7">
        <w:t>、东帝汶重罪特别审判分庭</w:t>
      </w:r>
      <w:r w:rsidRPr="00BF42B7">
        <w:rPr>
          <w:color w:val="0000FF"/>
          <w:vertAlign w:val="superscript"/>
          <w:lang w:val="en-GB"/>
        </w:rPr>
        <w:footnoteReference w:id="1110"/>
      </w:r>
      <w:r w:rsidRPr="00BF42B7">
        <w:t>、柬埔寨法院特别法庭</w:t>
      </w:r>
      <w:r w:rsidRPr="00BF42B7">
        <w:rPr>
          <w:color w:val="0000FF"/>
          <w:vertAlign w:val="superscript"/>
          <w:lang w:val="en-GB"/>
        </w:rPr>
        <w:footnoteReference w:id="1111"/>
      </w:r>
      <w:r w:rsidRPr="00BF42B7">
        <w:t>、伊拉克最高刑事法庭</w:t>
      </w:r>
      <w:r w:rsidRPr="00BF42B7">
        <w:rPr>
          <w:color w:val="0000FF"/>
          <w:vertAlign w:val="superscript"/>
          <w:lang w:val="en-GB"/>
        </w:rPr>
        <w:footnoteReference w:id="1112"/>
      </w:r>
      <w:r w:rsidRPr="00BF42B7">
        <w:t xml:space="preserve"> </w:t>
      </w:r>
      <w:r w:rsidRPr="00BF42B7">
        <w:t>和塞内加尔司法系统内的非洲特别法庭</w:t>
      </w:r>
      <w:r w:rsidRPr="00BF42B7">
        <w:rPr>
          <w:color w:val="0000FF"/>
          <w:vertAlign w:val="superscript"/>
          <w:lang w:val="en-GB"/>
        </w:rPr>
        <w:footnoteReference w:id="1113"/>
      </w:r>
      <w:r w:rsidRPr="00BF42B7">
        <w:rPr>
          <w:lang w:val="en-GB"/>
        </w:rPr>
        <w:t xml:space="preserve"> </w:t>
      </w:r>
      <w:r w:rsidRPr="00BF42B7">
        <w:t>的文书中均同样不允许将上级命令作为辩护理由。虽然不允许将上级命令作为犯罪诉讼的辩护理由，但上述一些国际和国家司法</w:t>
      </w:r>
      <w:r w:rsidRPr="00BF42B7">
        <w:rPr>
          <w:rFonts w:hint="eastAsia"/>
        </w:rPr>
        <w:t>管辖机构</w:t>
      </w:r>
      <w:r w:rsidRPr="00BF42B7">
        <w:t>允许在量刑阶段将上级命令作为一种减刑因素。</w:t>
      </w:r>
      <w:r w:rsidRPr="00BF42B7">
        <w:rPr>
          <w:color w:val="0000FF"/>
          <w:vertAlign w:val="superscript"/>
          <w:lang w:val="en-GB"/>
        </w:rPr>
        <w:footnoteReference w:id="1114"/>
      </w:r>
    </w:p>
    <w:p w:rsidR="00CD5A8C" w:rsidRPr="00BF42B7" w:rsidRDefault="00CD5A8C" w:rsidP="00CD5A8C">
      <w:pPr>
        <w:tabs>
          <w:tab w:val="clear" w:pos="431"/>
          <w:tab w:val="left" w:pos="1134"/>
          <w:tab w:val="left" w:pos="1701"/>
          <w:tab w:val="left" w:pos="2226"/>
          <w:tab w:val="left" w:pos="2427"/>
        </w:tabs>
        <w:spacing w:after="120"/>
        <w:ind w:left="1134" w:right="1134"/>
        <w:rPr>
          <w:lang w:val="en-GB"/>
        </w:rPr>
      </w:pPr>
      <w:r w:rsidRPr="00BF42B7">
        <w:t>(27)</w:t>
      </w:r>
      <w:r w:rsidRPr="00BF42B7">
        <w:rPr>
          <w:rFonts w:hint="eastAsia"/>
        </w:rPr>
        <w:t xml:space="preserve">  </w:t>
      </w:r>
      <w:r w:rsidRPr="00BF42B7">
        <w:t>一系列针对犯罪的条约中均做出了此类不允许将上级命令作为辩护理由的规定，</w:t>
      </w:r>
      <w:r w:rsidRPr="00BF42B7">
        <w:rPr>
          <w:lang w:val="en-GB"/>
        </w:rPr>
        <w:t>例如</w:t>
      </w:r>
      <w:r w:rsidRPr="00BF42B7">
        <w:t>：</w:t>
      </w:r>
      <w:r w:rsidRPr="00BF42B7">
        <w:t>1984</w:t>
      </w:r>
      <w:r w:rsidRPr="00BF42B7">
        <w:rPr>
          <w:rFonts w:hint="eastAsia"/>
        </w:rPr>
        <w:t>年</w:t>
      </w:r>
      <w:r w:rsidRPr="00BF42B7">
        <w:t>《禁止酷刑公约》</w:t>
      </w:r>
      <w:r w:rsidRPr="00BF42B7">
        <w:rPr>
          <w:color w:val="0000FF"/>
          <w:vertAlign w:val="superscript"/>
          <w:lang w:val="en-GB"/>
        </w:rPr>
        <w:footnoteReference w:id="1115"/>
      </w:r>
      <w:r w:rsidRPr="00BF42B7">
        <w:t>、</w:t>
      </w:r>
      <w:r w:rsidRPr="00BF42B7">
        <w:rPr>
          <w:rFonts w:hint="eastAsia"/>
        </w:rPr>
        <w:t>1985</w:t>
      </w:r>
      <w:r w:rsidRPr="00BF42B7">
        <w:rPr>
          <w:rFonts w:hint="eastAsia"/>
        </w:rPr>
        <w:t>年</w:t>
      </w:r>
      <w:r w:rsidRPr="00BF42B7">
        <w:t>《美洲防止和惩处酷刑公约》</w:t>
      </w:r>
      <w:r w:rsidRPr="00BF42B7">
        <w:rPr>
          <w:color w:val="0000FF"/>
          <w:vertAlign w:val="superscript"/>
          <w:lang w:val="en-GB"/>
        </w:rPr>
        <w:footnoteReference w:id="1116"/>
      </w:r>
      <w:r w:rsidRPr="00BF42B7">
        <w:t>、</w:t>
      </w:r>
      <w:r w:rsidRPr="00BF42B7">
        <w:rPr>
          <w:rFonts w:hint="eastAsia"/>
        </w:rPr>
        <w:t>1994</w:t>
      </w:r>
      <w:r w:rsidRPr="00BF42B7">
        <w:rPr>
          <w:rFonts w:hint="eastAsia"/>
        </w:rPr>
        <w:t>年</w:t>
      </w:r>
      <w:r w:rsidRPr="00BF42B7">
        <w:t>《美洲被迫失踪人士公约》</w:t>
      </w:r>
      <w:r w:rsidRPr="00BF42B7">
        <w:rPr>
          <w:color w:val="0000FF"/>
          <w:vertAlign w:val="superscript"/>
          <w:lang w:val="en-GB"/>
        </w:rPr>
        <w:footnoteReference w:id="1117"/>
      </w:r>
      <w:r w:rsidRPr="00BF42B7">
        <w:rPr>
          <w:rFonts w:hint="eastAsia"/>
        </w:rPr>
        <w:t xml:space="preserve"> </w:t>
      </w:r>
      <w:r w:rsidRPr="00BF42B7">
        <w:rPr>
          <w:rFonts w:hint="eastAsia"/>
        </w:rPr>
        <w:t>和</w:t>
      </w:r>
      <w:r w:rsidRPr="00BF42B7">
        <w:rPr>
          <w:rFonts w:hint="eastAsia"/>
        </w:rPr>
        <w:t>2006</w:t>
      </w:r>
      <w:r w:rsidRPr="00BF42B7">
        <w:rPr>
          <w:rFonts w:hint="eastAsia"/>
        </w:rPr>
        <w:t>年</w:t>
      </w:r>
      <w:r w:rsidRPr="00BF42B7">
        <w:t>《保护所有人免遭强迫失踪国际公约》</w:t>
      </w:r>
      <w:bookmarkStart w:id="281" w:name="_Ref426554190"/>
      <w:r w:rsidRPr="00BF42B7">
        <w:rPr>
          <w:color w:val="0000FF"/>
          <w:vertAlign w:val="superscript"/>
          <w:lang w:val="en-GB"/>
        </w:rPr>
        <w:footnoteReference w:id="1118"/>
      </w:r>
      <w:bookmarkEnd w:id="281"/>
      <w:r w:rsidRPr="00BF42B7">
        <w:t>。</w:t>
      </w:r>
      <w:r w:rsidRPr="00BF42B7">
        <w:rPr>
          <w:rFonts w:hint="eastAsia"/>
        </w:rPr>
        <w:t>关于</w:t>
      </w:r>
      <w:r w:rsidRPr="00BF42B7">
        <w:t>《禁止酷刑公约》，禁止酷刑委员会批评了允许以此作为辩护理由的国家立法</w:t>
      </w:r>
      <w:r w:rsidRPr="00BF42B7">
        <w:rPr>
          <w:rFonts w:hint="eastAsia"/>
        </w:rPr>
        <w:t>或</w:t>
      </w:r>
      <w:r w:rsidRPr="00BF42B7">
        <w:t>在此问题上暧昧不清的国家立法</w:t>
      </w:r>
      <w:r w:rsidRPr="00BF42B7">
        <w:rPr>
          <w:rFonts w:hint="eastAsia"/>
        </w:rPr>
        <w:t>。</w:t>
      </w:r>
      <w:r w:rsidRPr="00BF42B7">
        <w:rPr>
          <w:color w:val="0000FF"/>
          <w:vertAlign w:val="superscript"/>
          <w:lang w:val="en-GB"/>
        </w:rPr>
        <w:footnoteReference w:id="1119"/>
      </w:r>
      <w:r w:rsidRPr="00BF42B7">
        <w:rPr>
          <w:lang w:val="en-GB"/>
        </w:rPr>
        <w:t xml:space="preserve"> </w:t>
      </w:r>
      <w:r w:rsidRPr="00BF42B7">
        <w:t>在某些情况下，问题源于</w:t>
      </w:r>
      <w:r w:rsidRPr="00BF42B7">
        <w:rPr>
          <w:rFonts w:hint="eastAsia"/>
        </w:rPr>
        <w:t>一</w:t>
      </w:r>
      <w:r w:rsidRPr="00BF42B7">
        <w:t>国的国内法允许以所谓</w:t>
      </w:r>
      <w:r w:rsidRPr="00BF42B7">
        <w:rPr>
          <w:rFonts w:hint="eastAsia"/>
        </w:rPr>
        <w:t>“</w:t>
      </w:r>
      <w:r w:rsidRPr="00BF42B7">
        <w:t>正当服从</w:t>
      </w:r>
      <w:r w:rsidRPr="00BF42B7">
        <w:rPr>
          <w:rFonts w:hint="eastAsia"/>
        </w:rPr>
        <w:t>”</w:t>
      </w:r>
      <w:r w:rsidRPr="00BF42B7">
        <w:t>作为辩护理由。</w:t>
      </w:r>
      <w:r w:rsidRPr="00BF42B7">
        <w:rPr>
          <w:color w:val="0000FF"/>
          <w:vertAlign w:val="superscript"/>
          <w:lang w:val="en-GB"/>
        </w:rPr>
        <w:footnoteReference w:id="1120"/>
      </w:r>
    </w:p>
    <w:p w:rsidR="00CD5A8C" w:rsidRPr="00BF42B7" w:rsidRDefault="00CD5A8C" w:rsidP="00CD5A8C">
      <w:pPr>
        <w:pStyle w:val="H4GC"/>
        <w:rPr>
          <w:lang w:val="en-GB"/>
        </w:rPr>
      </w:pPr>
      <w:r w:rsidRPr="00BF42B7">
        <w:rPr>
          <w:lang w:val="en-GB"/>
        </w:rPr>
        <w:tab/>
      </w:r>
      <w:r w:rsidRPr="00BF42B7">
        <w:rPr>
          <w:lang w:val="en-GB"/>
        </w:rPr>
        <w:tab/>
      </w:r>
      <w:r w:rsidRPr="00BF42B7">
        <w:rPr>
          <w:rFonts w:hint="eastAsia"/>
          <w:lang w:val="en-GB"/>
        </w:rPr>
        <w:t>时效</w:t>
      </w:r>
    </w:p>
    <w:p w:rsidR="00CD5A8C" w:rsidRPr="00BF42B7" w:rsidRDefault="00CD5A8C" w:rsidP="00CD5A8C">
      <w:pPr>
        <w:tabs>
          <w:tab w:val="clear" w:pos="431"/>
          <w:tab w:val="left" w:pos="1134"/>
          <w:tab w:val="left" w:pos="1701"/>
          <w:tab w:val="left" w:pos="2226"/>
          <w:tab w:val="left" w:pos="2427"/>
        </w:tabs>
        <w:spacing w:after="120"/>
        <w:ind w:left="1134" w:right="1134"/>
        <w:rPr>
          <w:lang w:val="en-GB"/>
        </w:rPr>
      </w:pPr>
      <w:r w:rsidRPr="00BF42B7">
        <w:rPr>
          <w:lang w:val="en-GB"/>
        </w:rPr>
        <w:t xml:space="preserve">(28)  </w:t>
      </w:r>
      <w:r w:rsidRPr="00BF42B7">
        <w:rPr>
          <w:rFonts w:hint="eastAsia"/>
          <w:lang w:val="en-GB"/>
        </w:rPr>
        <w:t>国内法中</w:t>
      </w:r>
      <w:r w:rsidRPr="00BF42B7">
        <w:t>就危害人类罪起诉个人可能受到的一种限制是适用</w:t>
      </w:r>
      <w:r w:rsidRPr="00BF42B7">
        <w:rPr>
          <w:rFonts w:hint="eastAsia"/>
        </w:rPr>
        <w:t>“</w:t>
      </w:r>
      <w:r w:rsidRPr="00BF42B7">
        <w:t>时效</w:t>
      </w:r>
      <w:r w:rsidRPr="00BF42B7">
        <w:rPr>
          <w:rFonts w:hint="eastAsia"/>
        </w:rPr>
        <w:t>”</w:t>
      </w:r>
      <w:r w:rsidRPr="00BF42B7">
        <w:t>(</w:t>
      </w:r>
      <w:r w:rsidRPr="00BF42B7">
        <w:rPr>
          <w:rFonts w:hint="eastAsia"/>
        </w:rPr>
        <w:t>“</w:t>
      </w:r>
      <w:r w:rsidRPr="00BF42B7">
        <w:t>时效期限</w:t>
      </w:r>
      <w:r w:rsidRPr="00BF42B7">
        <w:rPr>
          <w:rFonts w:hint="eastAsia"/>
        </w:rPr>
        <w:t>”</w:t>
      </w:r>
      <w:r w:rsidRPr="00BF42B7">
        <w:t>)</w:t>
      </w:r>
      <w:r w:rsidRPr="00BF42B7">
        <w:t>，即禁止就早于开始起诉前特定年数的犯罪对被指控罪犯提出起诉。</w:t>
      </w:r>
      <w:r w:rsidRPr="00BF42B7">
        <w:rPr>
          <w:rFonts w:hint="eastAsia"/>
        </w:rPr>
        <w:t>第</w:t>
      </w:r>
      <w:r w:rsidRPr="00BF42B7">
        <w:rPr>
          <w:rFonts w:hint="eastAsia"/>
        </w:rPr>
        <w:t>5</w:t>
      </w:r>
      <w:r w:rsidRPr="00BF42B7">
        <w:rPr>
          <w:rFonts w:hint="eastAsia"/>
        </w:rPr>
        <w:t>条草案第</w:t>
      </w:r>
      <w:r w:rsidRPr="00BF42B7">
        <w:rPr>
          <w:rFonts w:hint="eastAsia"/>
        </w:rPr>
        <w:t>5</w:t>
      </w:r>
      <w:r w:rsidRPr="00BF42B7">
        <w:rPr>
          <w:rFonts w:hint="eastAsia"/>
        </w:rPr>
        <w:t>款规定，各国应采取必要措施确保该条草案所述罪行不应受到任何时效限制。</w:t>
      </w:r>
    </w:p>
    <w:p w:rsidR="00CD5A8C" w:rsidRPr="00BF42B7" w:rsidRDefault="00CD5A8C" w:rsidP="00CD5A8C">
      <w:pPr>
        <w:tabs>
          <w:tab w:val="clear" w:pos="431"/>
          <w:tab w:val="left" w:pos="1134"/>
          <w:tab w:val="left" w:pos="1701"/>
          <w:tab w:val="left" w:pos="2226"/>
          <w:tab w:val="left" w:pos="2427"/>
        </w:tabs>
        <w:spacing w:after="120"/>
        <w:ind w:left="1134" w:right="1134"/>
        <w:rPr>
          <w:lang w:val="en-GB"/>
        </w:rPr>
      </w:pPr>
      <w:r w:rsidRPr="00BF42B7">
        <w:rPr>
          <w:lang w:val="en-GB"/>
        </w:rPr>
        <w:t xml:space="preserve">(29)  </w:t>
      </w:r>
      <w:r w:rsidRPr="00BF42B7">
        <w:t>《纽伦堡宪章》或</w:t>
      </w:r>
      <w:r w:rsidRPr="00BF42B7">
        <w:rPr>
          <w:lang w:val="zh-CN"/>
        </w:rPr>
        <w:t>《</w:t>
      </w:r>
      <w:r w:rsidRPr="00BF42B7">
        <w:rPr>
          <w:rFonts w:hint="eastAsia"/>
          <w:lang w:val="zh-CN"/>
        </w:rPr>
        <w:t>东京</w:t>
      </w:r>
      <w:r w:rsidRPr="00BF42B7">
        <w:rPr>
          <w:lang w:val="zh-CN"/>
        </w:rPr>
        <w:t>宪章》</w:t>
      </w:r>
      <w:r w:rsidRPr="00BF42B7">
        <w:t>或前南斯拉夫问题国际刑事法庭、卢旺达问题国际</w:t>
      </w:r>
      <w:r w:rsidRPr="00BF42B7">
        <w:rPr>
          <w:rFonts w:hint="eastAsia"/>
        </w:rPr>
        <w:t>刑事</w:t>
      </w:r>
      <w:r w:rsidRPr="00BF42B7">
        <w:t>法庭或塞拉利昂问题特别法庭的组成文书都没有就国际罪行</w:t>
      </w:r>
      <w:r w:rsidRPr="00BF42B7">
        <w:t>(</w:t>
      </w:r>
      <w:r w:rsidRPr="00BF42B7">
        <w:t>包括危害人类罪</w:t>
      </w:r>
      <w:r w:rsidRPr="00BF42B7">
        <w:t>)</w:t>
      </w:r>
      <w:r w:rsidRPr="00BF42B7">
        <w:t>规定时效规则。相</w:t>
      </w:r>
      <w:r w:rsidRPr="00BF42B7">
        <w:rPr>
          <w:rFonts w:hint="eastAsia"/>
        </w:rPr>
        <w:t>形</w:t>
      </w:r>
      <w:r w:rsidRPr="00BF42B7">
        <w:t>之下，占领德国的盟国在</w:t>
      </w:r>
      <w:r w:rsidRPr="00BF42B7">
        <w:t>1945</w:t>
      </w:r>
      <w:r w:rsidRPr="00BF42B7">
        <w:t>年</w:t>
      </w:r>
      <w:r w:rsidRPr="00BF42B7">
        <w:rPr>
          <w:rFonts w:hint="eastAsia"/>
        </w:rPr>
        <w:t>12</w:t>
      </w:r>
      <w:r w:rsidRPr="00BF42B7">
        <w:rPr>
          <w:rFonts w:hint="eastAsia"/>
        </w:rPr>
        <w:t>月</w:t>
      </w:r>
      <w:r w:rsidRPr="00BF42B7">
        <w:t>为确保继续起诉被</w:t>
      </w:r>
      <w:r w:rsidRPr="00BF42B7">
        <w:rPr>
          <w:lang w:val="en-GB"/>
        </w:rPr>
        <w:t>指控</w:t>
      </w:r>
      <w:r w:rsidRPr="00BF42B7">
        <w:t>罪犯通过了管制委员会第</w:t>
      </w:r>
      <w:r w:rsidRPr="00BF42B7">
        <w:t>10</w:t>
      </w:r>
      <w:r w:rsidRPr="00BF42B7">
        <w:t>号法令，规定在任何关于危害人类罪</w:t>
      </w:r>
      <w:r w:rsidRPr="00BF42B7">
        <w:t>(</w:t>
      </w:r>
      <w:r w:rsidRPr="00BF42B7">
        <w:t>以及战争罪和危害和平罪</w:t>
      </w:r>
      <w:r w:rsidRPr="00BF42B7">
        <w:t>)</w:t>
      </w:r>
      <w:r w:rsidRPr="00BF42B7">
        <w:t>的审判或起诉中，</w:t>
      </w:r>
      <w:r w:rsidRPr="00BF42B7">
        <w:rPr>
          <w:rFonts w:hint="eastAsia"/>
        </w:rPr>
        <w:t>“</w:t>
      </w:r>
      <w:r w:rsidRPr="00BF42B7">
        <w:t>被告无权获益于任何有关</w:t>
      </w:r>
      <w:r w:rsidRPr="00BF42B7">
        <w:t>1933</w:t>
      </w:r>
      <w:r w:rsidRPr="00BF42B7">
        <w:t>年</w:t>
      </w:r>
      <w:r w:rsidRPr="00BF42B7">
        <w:t>1</w:t>
      </w:r>
      <w:r w:rsidRPr="00BF42B7">
        <w:t>月</w:t>
      </w:r>
      <w:r w:rsidRPr="00BF42B7">
        <w:t>30</w:t>
      </w:r>
      <w:r w:rsidRPr="00BF42B7">
        <w:t>日至</w:t>
      </w:r>
      <w:r w:rsidRPr="00BF42B7">
        <w:t>1945</w:t>
      </w:r>
      <w:r w:rsidRPr="00BF42B7">
        <w:t>年</w:t>
      </w:r>
      <w:r w:rsidRPr="00BF42B7">
        <w:t>7</w:t>
      </w:r>
      <w:r w:rsidRPr="00BF42B7">
        <w:t>月</w:t>
      </w:r>
      <w:r w:rsidRPr="00BF42B7">
        <w:t>1</w:t>
      </w:r>
      <w:r w:rsidRPr="00BF42B7">
        <w:t>日期间的时效限制</w:t>
      </w:r>
      <w:r w:rsidRPr="00BF42B7">
        <w:rPr>
          <w:rFonts w:hint="eastAsia"/>
        </w:rPr>
        <w:t>”</w:t>
      </w:r>
      <w:r w:rsidRPr="00BF42B7">
        <w:t>。</w:t>
      </w:r>
      <w:r w:rsidRPr="00BF42B7">
        <w:rPr>
          <w:rFonts w:eastAsia="MS PGothic"/>
          <w:color w:val="0000FF"/>
          <w:vertAlign w:val="superscript"/>
          <w:lang w:val="en-GB"/>
        </w:rPr>
        <w:footnoteReference w:id="1121"/>
      </w:r>
      <w:r w:rsidRPr="00BF42B7">
        <w:t xml:space="preserve"> </w:t>
      </w:r>
      <w:r w:rsidRPr="00BF42B7">
        <w:rPr>
          <w:rFonts w:hint="eastAsia"/>
        </w:rPr>
        <w:t>与此相似</w:t>
      </w:r>
      <w:r w:rsidRPr="00BF42B7">
        <w:t>，</w:t>
      </w:r>
      <w:r w:rsidRPr="00BF42B7">
        <w:rPr>
          <w:spacing w:val="-4"/>
        </w:rPr>
        <w:t>《罗马规约》明确处理</w:t>
      </w:r>
      <w:r w:rsidRPr="00BF42B7">
        <w:rPr>
          <w:rFonts w:hint="eastAsia"/>
          <w:spacing w:val="-4"/>
        </w:rPr>
        <w:t>了</w:t>
      </w:r>
      <w:r w:rsidRPr="00BF42B7">
        <w:rPr>
          <w:spacing w:val="-4"/>
        </w:rPr>
        <w:t>这一问题，规定</w:t>
      </w:r>
      <w:r w:rsidRPr="00BF42B7">
        <w:rPr>
          <w:rFonts w:hint="eastAsia"/>
          <w:spacing w:val="-4"/>
        </w:rPr>
        <w:t>“</w:t>
      </w:r>
      <w:r w:rsidRPr="00BF42B7">
        <w:rPr>
          <w:spacing w:val="-4"/>
        </w:rPr>
        <w:t>本法院管辖权内的犯罪不适用任何时效</w:t>
      </w:r>
      <w:r w:rsidRPr="00BF42B7">
        <w:rPr>
          <w:rFonts w:hint="eastAsia"/>
          <w:spacing w:val="-4"/>
        </w:rPr>
        <w:t>”。</w:t>
      </w:r>
      <w:r w:rsidRPr="00BF42B7">
        <w:rPr>
          <w:color w:val="0000FF"/>
          <w:spacing w:val="-4"/>
          <w:vertAlign w:val="superscript"/>
          <w:lang w:val="en-GB"/>
        </w:rPr>
        <w:footnoteReference w:id="1122"/>
      </w:r>
      <w:r w:rsidRPr="00BF42B7">
        <w:rPr>
          <w:rFonts w:hint="eastAsia"/>
          <w:lang w:val="en-GB"/>
        </w:rPr>
        <w:t>《罗马规约》的起草人坚决支持对危害人类罪适用这一规定。</w:t>
      </w:r>
      <w:r w:rsidRPr="00BF42B7">
        <w:rPr>
          <w:color w:val="0000FF"/>
          <w:vertAlign w:val="superscript"/>
          <w:lang w:val="en-GB"/>
        </w:rPr>
        <w:footnoteReference w:id="1123"/>
      </w:r>
      <w:r w:rsidRPr="00BF42B7">
        <w:rPr>
          <w:lang w:val="en-GB"/>
        </w:rPr>
        <w:t xml:space="preserve"> </w:t>
      </w:r>
      <w:r w:rsidRPr="00BF42B7">
        <w:rPr>
          <w:rFonts w:hint="eastAsia"/>
          <w:lang w:val="en-GB"/>
        </w:rPr>
        <w:t>同样，</w:t>
      </w:r>
      <w:r w:rsidRPr="00BF42B7">
        <w:t>《设立柬埔寨法院特别法庭法》以及伊拉克最高刑事法庭和东帝汶重罪特别审判分庭的规范文书都明确界定危害人类罪是不适用时效的罪行。</w:t>
      </w:r>
      <w:r w:rsidRPr="00BF42B7">
        <w:rPr>
          <w:color w:val="0000FF"/>
          <w:vertAlign w:val="superscript"/>
          <w:lang w:val="en-GB"/>
        </w:rPr>
        <w:footnoteReference w:id="1124"/>
      </w:r>
    </w:p>
    <w:p w:rsidR="00CD5A8C" w:rsidRPr="00BF42B7" w:rsidRDefault="00CD5A8C" w:rsidP="00CD5A8C">
      <w:pPr>
        <w:tabs>
          <w:tab w:val="clear" w:pos="431"/>
          <w:tab w:val="left" w:pos="1134"/>
          <w:tab w:val="left" w:pos="1701"/>
          <w:tab w:val="left" w:pos="2226"/>
          <w:tab w:val="left" w:pos="2427"/>
        </w:tabs>
        <w:spacing w:after="120"/>
        <w:ind w:left="1134" w:right="1134"/>
        <w:rPr>
          <w:lang w:val="en-GB"/>
        </w:rPr>
      </w:pPr>
      <w:r w:rsidRPr="00BF42B7">
        <w:rPr>
          <w:lang w:val="en-GB"/>
        </w:rPr>
        <w:t xml:space="preserve">(30)  </w:t>
      </w:r>
      <w:r w:rsidRPr="00BF42B7">
        <w:t>关于时效是否可在国内法院</w:t>
      </w:r>
      <w:r w:rsidRPr="00BF42B7">
        <w:rPr>
          <w:lang w:val="zh-CN"/>
        </w:rPr>
        <w:t>适用于</w:t>
      </w:r>
      <w:r w:rsidRPr="00BF42B7">
        <w:t>对被指控罪犯的起诉，联合国大会</w:t>
      </w:r>
      <w:r w:rsidRPr="00BF42B7">
        <w:t>1967</w:t>
      </w:r>
      <w:r w:rsidRPr="00BF42B7">
        <w:t>年</w:t>
      </w:r>
      <w:r w:rsidRPr="00BF42B7">
        <w:rPr>
          <w:rFonts w:hint="eastAsia"/>
          <w:lang w:val="en-GB"/>
        </w:rPr>
        <w:t>指出</w:t>
      </w:r>
      <w:r w:rsidRPr="00BF42B7">
        <w:rPr>
          <w:rFonts w:hint="eastAsia"/>
        </w:rPr>
        <w:t>，“</w:t>
      </w:r>
      <w:r w:rsidRPr="00BF42B7">
        <w:t>国内法关于普通罪行之时效规则适用于战争罪及危害人类罪，为世界舆论极感忧虑之事，因其足以防止诉究与惩治犯该罪之人</w:t>
      </w:r>
      <w:r w:rsidRPr="00BF42B7">
        <w:rPr>
          <w:rFonts w:hint="eastAsia"/>
        </w:rPr>
        <w:t>”</w:t>
      </w:r>
      <w:r w:rsidRPr="00BF42B7">
        <w:t>。</w:t>
      </w:r>
      <w:r w:rsidRPr="00BF42B7">
        <w:rPr>
          <w:color w:val="0000FF"/>
          <w:vertAlign w:val="superscript"/>
          <w:lang w:val="en-GB"/>
        </w:rPr>
        <w:footnoteReference w:id="1125"/>
      </w:r>
      <w:r w:rsidRPr="00BF42B7">
        <w:rPr>
          <w:lang w:val="en-GB"/>
        </w:rPr>
        <w:t xml:space="preserve"> </w:t>
      </w:r>
      <w:r w:rsidRPr="00BF42B7">
        <w:rPr>
          <w:rFonts w:hint="eastAsia"/>
          <w:lang w:val="en-GB"/>
        </w:rPr>
        <w:t>次年</w:t>
      </w:r>
      <w:r w:rsidRPr="00BF42B7">
        <w:t>，各国通过了《战争罪及危害人类罪不适用法定时效公约》，规定缔约方采取</w:t>
      </w:r>
      <w:r w:rsidRPr="00BF42B7">
        <w:rPr>
          <w:rFonts w:hint="eastAsia"/>
        </w:rPr>
        <w:t>“</w:t>
      </w:r>
      <w:r w:rsidRPr="00BF42B7">
        <w:t>必要立法或其他措施，以确保法定或他种时效不适用于</w:t>
      </w:r>
      <w:r w:rsidRPr="00BF42B7">
        <w:t>(</w:t>
      </w:r>
      <w:r w:rsidRPr="00BF42B7">
        <w:t>这两类罪行</w:t>
      </w:r>
      <w:r w:rsidRPr="00BF42B7">
        <w:t>)</w:t>
      </w:r>
      <w:r w:rsidRPr="00BF42B7">
        <w:t>之追诉权及行刑权</w:t>
      </w:r>
      <w:r w:rsidRPr="00BF42B7">
        <w:rPr>
          <w:rFonts w:hint="eastAsia"/>
        </w:rPr>
        <w:t>”</w:t>
      </w:r>
      <w:r w:rsidRPr="00BF42B7">
        <w:t>(</w:t>
      </w:r>
      <w:r w:rsidRPr="00BF42B7">
        <w:t>第四条</w:t>
      </w:r>
      <w:r w:rsidRPr="00BF42B7">
        <w:t>)</w:t>
      </w:r>
      <w:r w:rsidRPr="00BF42B7">
        <w:t>。</w:t>
      </w:r>
      <w:r w:rsidRPr="00BF42B7">
        <w:rPr>
          <w:color w:val="0000FF"/>
          <w:vertAlign w:val="superscript"/>
          <w:lang w:val="en-GB"/>
        </w:rPr>
        <w:footnoteReference w:id="1126"/>
      </w:r>
      <w:r w:rsidRPr="00BF42B7">
        <w:rPr>
          <w:lang w:val="en-GB"/>
        </w:rPr>
        <w:t xml:space="preserve"> </w:t>
      </w:r>
      <w:r w:rsidRPr="00BF42B7">
        <w:t>同样，欧洲委员会</w:t>
      </w:r>
      <w:r w:rsidRPr="00BF42B7">
        <w:t>1974</w:t>
      </w:r>
      <w:r w:rsidRPr="00BF42B7">
        <w:t>年通过了《危害人类罪和战争罪不适用法定时效欧洲公约》，采用的措辞大体相同。</w:t>
      </w:r>
      <w:r w:rsidRPr="00BF42B7">
        <w:rPr>
          <w:color w:val="0000FF"/>
          <w:vertAlign w:val="superscript"/>
          <w:lang w:val="en-GB"/>
        </w:rPr>
        <w:footnoteReference w:id="1127"/>
      </w:r>
      <w:r w:rsidRPr="00BF42B7">
        <w:rPr>
          <w:lang w:val="en-GB"/>
        </w:rPr>
        <w:t xml:space="preserve"> </w:t>
      </w:r>
      <w:r w:rsidRPr="00BF42B7">
        <w:rPr>
          <w:rFonts w:hint="eastAsia"/>
          <w:lang w:val="en-GB"/>
        </w:rPr>
        <w:t>目前看来，</w:t>
      </w:r>
      <w:r w:rsidRPr="00BF42B7">
        <w:t>没有一个国家</w:t>
      </w:r>
      <w:r w:rsidRPr="00BF42B7">
        <w:rPr>
          <w:rFonts w:hint="eastAsia"/>
        </w:rPr>
        <w:t>有</w:t>
      </w:r>
      <w:r w:rsidRPr="00BF42B7">
        <w:t>禁止在一段时间后提出起诉的危害人类罪</w:t>
      </w:r>
      <w:r w:rsidRPr="00BF42B7">
        <w:rPr>
          <w:rFonts w:hint="eastAsia"/>
        </w:rPr>
        <w:t>相关</w:t>
      </w:r>
      <w:r w:rsidRPr="00BF42B7">
        <w:t>法律。相反，众多国家</w:t>
      </w:r>
      <w:r w:rsidRPr="00BF42B7">
        <w:rPr>
          <w:rFonts w:hint="eastAsia"/>
        </w:rPr>
        <w:t>还</w:t>
      </w:r>
      <w:r w:rsidRPr="00BF42B7">
        <w:t>专门立法反对此类限制</w:t>
      </w:r>
      <w:r w:rsidRPr="00BF42B7">
        <w:rPr>
          <w:rFonts w:hint="eastAsia"/>
        </w:rPr>
        <w:t>。</w:t>
      </w:r>
    </w:p>
    <w:p w:rsidR="00CD5A8C" w:rsidRPr="00BF42B7" w:rsidRDefault="00CD5A8C" w:rsidP="00CD5A8C">
      <w:pPr>
        <w:tabs>
          <w:tab w:val="clear" w:pos="431"/>
          <w:tab w:val="left" w:pos="1134"/>
          <w:tab w:val="left" w:pos="1701"/>
          <w:tab w:val="left" w:pos="2226"/>
          <w:tab w:val="left" w:pos="2427"/>
        </w:tabs>
        <w:spacing w:after="120"/>
        <w:ind w:left="1134" w:right="1134"/>
        <w:rPr>
          <w:lang w:val="en-GB"/>
        </w:rPr>
      </w:pPr>
      <w:r w:rsidRPr="00BF42B7">
        <w:rPr>
          <w:lang w:val="en-GB"/>
        </w:rPr>
        <w:t xml:space="preserve">(31)  </w:t>
      </w:r>
      <w:r w:rsidRPr="007F0135">
        <w:rPr>
          <w:spacing w:val="-2"/>
        </w:rPr>
        <w:t>许多处理国内法其他罪行的</w:t>
      </w:r>
      <w:r w:rsidRPr="007F0135">
        <w:rPr>
          <w:spacing w:val="-2"/>
          <w:lang w:val="zh-CN"/>
        </w:rPr>
        <w:t>条约</w:t>
      </w:r>
      <w:r w:rsidRPr="007F0135">
        <w:rPr>
          <w:spacing w:val="-2"/>
        </w:rPr>
        <w:t>没有载列禁止时效的规定。</w:t>
      </w:r>
      <w:r w:rsidRPr="007F0135">
        <w:rPr>
          <w:rFonts w:hint="eastAsia"/>
          <w:spacing w:val="-2"/>
        </w:rPr>
        <w:t>例如，</w:t>
      </w:r>
      <w:r w:rsidRPr="007F0135">
        <w:rPr>
          <w:spacing w:val="-2"/>
          <w:lang w:val="en-GB"/>
        </w:rPr>
        <w:t>《禁止酷刑公约》</w:t>
      </w:r>
      <w:r w:rsidRPr="007F0135">
        <w:rPr>
          <w:rFonts w:hint="eastAsia"/>
          <w:spacing w:val="-2"/>
        </w:rPr>
        <w:t>就</w:t>
      </w:r>
      <w:r w:rsidRPr="007F0135">
        <w:rPr>
          <w:spacing w:val="-2"/>
        </w:rPr>
        <w:t>没有载列禁止对酷刑相关罪行适用时效的规定</w:t>
      </w:r>
      <w:r w:rsidRPr="007F0135">
        <w:rPr>
          <w:rFonts w:hint="eastAsia"/>
          <w:spacing w:val="-2"/>
        </w:rPr>
        <w:t>。即使如此</w:t>
      </w:r>
      <w:r w:rsidRPr="007F0135">
        <w:rPr>
          <w:spacing w:val="-2"/>
        </w:rPr>
        <w:t>，禁止酷刑委员会</w:t>
      </w:r>
      <w:r w:rsidRPr="007F0135">
        <w:rPr>
          <w:rFonts w:hint="eastAsia"/>
          <w:spacing w:val="-2"/>
        </w:rPr>
        <w:t>声明</w:t>
      </w:r>
      <w:r w:rsidRPr="007F0135">
        <w:rPr>
          <w:spacing w:val="-2"/>
        </w:rPr>
        <w:t>，考虑到此类罪行的严重性质，这些罪行不应受到任何时效限制。</w:t>
      </w:r>
      <w:r w:rsidRPr="007F0135">
        <w:rPr>
          <w:rFonts w:eastAsia="MS PGothic"/>
          <w:color w:val="0000FF"/>
          <w:spacing w:val="-2"/>
          <w:vertAlign w:val="superscript"/>
          <w:lang w:val="en-GB"/>
        </w:rPr>
        <w:footnoteReference w:id="1128"/>
      </w:r>
      <w:r w:rsidRPr="007F0135">
        <w:rPr>
          <w:spacing w:val="-2"/>
          <w:lang w:val="en-GB"/>
        </w:rPr>
        <w:t xml:space="preserve"> </w:t>
      </w:r>
      <w:r w:rsidRPr="00BF42B7">
        <w:rPr>
          <w:rFonts w:hint="eastAsia"/>
          <w:lang w:val="en-GB"/>
        </w:rPr>
        <w:t>与此相似，</w:t>
      </w:r>
      <w:r w:rsidRPr="00BF42B7">
        <w:t>虽然《公民权利和政治权利国际公约》</w:t>
      </w:r>
      <w:r w:rsidRPr="00BF42B7">
        <w:rPr>
          <w:color w:val="0000FF"/>
          <w:vertAlign w:val="superscript"/>
        </w:rPr>
        <w:footnoteReference w:id="1129"/>
      </w:r>
      <w:r w:rsidRPr="00BF42B7">
        <w:t xml:space="preserve"> </w:t>
      </w:r>
      <w:r w:rsidRPr="00BF42B7">
        <w:t>没有直接论及这一问题，但人权事务委员会呼吁对严重违反该《公约》的罪行取消时效限制。</w:t>
      </w:r>
      <w:r w:rsidRPr="00BF42B7">
        <w:rPr>
          <w:rFonts w:eastAsia="MS PGothic"/>
          <w:color w:val="0000FF"/>
          <w:vertAlign w:val="superscript"/>
          <w:lang w:val="en-GB"/>
        </w:rPr>
        <w:footnoteReference w:id="1130"/>
      </w:r>
      <w:r w:rsidRPr="00BF42B7">
        <w:rPr>
          <w:lang w:val="en-GB"/>
        </w:rPr>
        <w:t xml:space="preserve"> </w:t>
      </w:r>
      <w:r w:rsidRPr="00BF42B7">
        <w:rPr>
          <w:rFonts w:hint="eastAsia"/>
          <w:lang w:val="en-GB"/>
        </w:rPr>
        <w:t>与此不同的是，</w:t>
      </w:r>
      <w:r w:rsidRPr="00BF42B7">
        <w:t>《保护所有人免遭强迫失踪国际公约》确实谈到时效问题，规定</w:t>
      </w:r>
      <w:r w:rsidRPr="00BF42B7">
        <w:rPr>
          <w:rFonts w:hint="eastAsia"/>
        </w:rPr>
        <w:t>：“</w:t>
      </w:r>
      <w:r w:rsidRPr="00BF42B7">
        <w:t>对强迫失踪案件实行诉讼时效的缔约国，应采取必要措施，确保对刑事诉讼的时效</w:t>
      </w:r>
      <w:r w:rsidRPr="00BF42B7">
        <w:rPr>
          <w:rFonts w:hint="eastAsia"/>
        </w:rPr>
        <w:t>……</w:t>
      </w:r>
      <w:r w:rsidRPr="00BF42B7">
        <w:t>有较长的时段，并与此种犯罪的极端严重性相称</w:t>
      </w:r>
      <w:r w:rsidRPr="00BF42B7">
        <w:rPr>
          <w:rFonts w:hint="eastAsia"/>
        </w:rPr>
        <w:t>”。</w:t>
      </w:r>
      <w:r w:rsidRPr="00BF42B7">
        <w:rPr>
          <w:color w:val="0000FF"/>
          <w:vertAlign w:val="superscript"/>
          <w:lang w:val="en-GB"/>
        </w:rPr>
        <w:footnoteReference w:id="1131"/>
      </w:r>
      <w:r w:rsidRPr="00BF42B7">
        <w:rPr>
          <w:lang w:val="en-GB"/>
        </w:rPr>
        <w:t xml:space="preserve"> </w:t>
      </w:r>
      <w:r w:rsidRPr="00BF42B7">
        <w:t>《公约》的准备工作材料表明，这一条款旨在区分两类罪行，一是可能构成危害人类罪的罪行，此类罪行不应有时效限制，二是《公约》规定的所有其他罪行。</w:t>
      </w:r>
      <w:r w:rsidRPr="00BF42B7">
        <w:rPr>
          <w:color w:val="0000FF"/>
          <w:vertAlign w:val="superscript"/>
          <w:lang w:val="en-GB"/>
        </w:rPr>
        <w:footnoteReference w:id="1132"/>
      </w:r>
    </w:p>
    <w:p w:rsidR="00CD5A8C" w:rsidRPr="00BF42B7" w:rsidRDefault="00CD5A8C" w:rsidP="00CD5A8C">
      <w:pPr>
        <w:pStyle w:val="H4GC"/>
        <w:rPr>
          <w:lang w:val="en-GB"/>
        </w:rPr>
      </w:pPr>
      <w:r w:rsidRPr="00BF42B7">
        <w:rPr>
          <w:lang w:val="en-GB"/>
        </w:rPr>
        <w:tab/>
      </w:r>
      <w:r w:rsidRPr="00BF42B7">
        <w:rPr>
          <w:lang w:val="en-GB"/>
        </w:rPr>
        <w:tab/>
      </w:r>
      <w:r w:rsidRPr="00BF42B7">
        <w:rPr>
          <w:rFonts w:hint="eastAsia"/>
          <w:lang w:val="en-GB"/>
        </w:rPr>
        <w:t>适当惩罚</w:t>
      </w:r>
    </w:p>
    <w:p w:rsidR="00CD5A8C" w:rsidRPr="00BF42B7" w:rsidRDefault="00CD5A8C" w:rsidP="00CD5A8C">
      <w:pPr>
        <w:tabs>
          <w:tab w:val="clear" w:pos="431"/>
          <w:tab w:val="left" w:pos="1134"/>
          <w:tab w:val="left" w:pos="1701"/>
          <w:tab w:val="left" w:pos="2226"/>
          <w:tab w:val="left" w:pos="2427"/>
        </w:tabs>
        <w:spacing w:after="120"/>
        <w:ind w:left="1134" w:right="1134"/>
        <w:rPr>
          <w:lang w:val="en-GB"/>
        </w:rPr>
      </w:pPr>
      <w:r w:rsidRPr="00BF42B7">
        <w:rPr>
          <w:lang w:val="en-GB"/>
        </w:rPr>
        <w:t xml:space="preserve">(32)  </w:t>
      </w:r>
      <w:r w:rsidRPr="00BF42B7">
        <w:rPr>
          <w:rFonts w:hint="eastAsia"/>
          <w:lang w:val="en-GB"/>
        </w:rPr>
        <w:t>第</w:t>
      </w:r>
      <w:r w:rsidRPr="00BF42B7">
        <w:rPr>
          <w:rFonts w:hint="eastAsia"/>
          <w:lang w:val="en-GB"/>
        </w:rPr>
        <w:t>5</w:t>
      </w:r>
      <w:r w:rsidRPr="00BF42B7">
        <w:rPr>
          <w:rFonts w:hint="eastAsia"/>
          <w:lang w:val="en-GB"/>
        </w:rPr>
        <w:t>条草案第</w:t>
      </w:r>
      <w:r w:rsidRPr="00BF42B7">
        <w:rPr>
          <w:rFonts w:hint="eastAsia"/>
          <w:lang w:val="en-GB"/>
        </w:rPr>
        <w:t>6</w:t>
      </w:r>
      <w:r w:rsidRPr="00BF42B7">
        <w:rPr>
          <w:rFonts w:hint="eastAsia"/>
          <w:lang w:val="en-GB"/>
        </w:rPr>
        <w:t>款规定，各国应</w:t>
      </w:r>
      <w:r w:rsidRPr="00BF42B7">
        <w:rPr>
          <w:rFonts w:hint="eastAsia"/>
          <w:lang w:val="zh-CN"/>
        </w:rPr>
        <w:t>确保</w:t>
      </w:r>
      <w:r w:rsidRPr="00BF42B7">
        <w:rPr>
          <w:rFonts w:hint="eastAsia"/>
          <w:lang w:val="en-GB"/>
        </w:rPr>
        <w:t>对该条草案所述罪行应考虑到罪行的严重性处以适当的惩罚。</w:t>
      </w:r>
    </w:p>
    <w:p w:rsidR="00CD5A8C" w:rsidRPr="00BF42B7" w:rsidRDefault="00CD5A8C" w:rsidP="00CD5A8C">
      <w:pPr>
        <w:tabs>
          <w:tab w:val="clear" w:pos="431"/>
          <w:tab w:val="left" w:pos="1134"/>
          <w:tab w:val="left" w:pos="1701"/>
          <w:tab w:val="left" w:pos="2226"/>
          <w:tab w:val="left" w:pos="2427"/>
        </w:tabs>
        <w:spacing w:after="120"/>
        <w:ind w:left="1134" w:right="1134"/>
        <w:rPr>
          <w:lang w:val="en-GB"/>
        </w:rPr>
      </w:pPr>
      <w:r w:rsidRPr="00BF42B7">
        <w:rPr>
          <w:lang w:val="en-GB"/>
        </w:rPr>
        <w:t xml:space="preserve">(33)  </w:t>
      </w:r>
      <w:r w:rsidRPr="00BF42B7">
        <w:t>国际法委员会在</w:t>
      </w:r>
      <w:r w:rsidRPr="00BF42B7">
        <w:t>1996</w:t>
      </w:r>
      <w:r w:rsidRPr="00BF42B7">
        <w:t>年《危害人类和平</w:t>
      </w:r>
      <w:r w:rsidRPr="00BF42B7">
        <w:rPr>
          <w:lang w:val="zh-CN"/>
        </w:rPr>
        <w:t>及</w:t>
      </w:r>
      <w:r w:rsidRPr="00BF42B7">
        <w:t>安全治罪法草案》中规定，</w:t>
      </w:r>
      <w:r w:rsidRPr="00BF42B7">
        <w:rPr>
          <w:rFonts w:hint="eastAsia"/>
        </w:rPr>
        <w:t>“</w:t>
      </w:r>
      <w:r w:rsidRPr="00BF42B7">
        <w:t>应对危害人类和平及安全罪行负责的个人应该受到与该罪行的性质和严重性相称的</w:t>
      </w:r>
      <w:r w:rsidRPr="00BF42B7">
        <w:rPr>
          <w:lang w:val="en-GB"/>
        </w:rPr>
        <w:t>惩罚</w:t>
      </w:r>
      <w:r w:rsidRPr="00BF42B7">
        <w:rPr>
          <w:rFonts w:hint="eastAsia"/>
        </w:rPr>
        <w:t>”</w:t>
      </w:r>
      <w:r w:rsidRPr="00BF42B7">
        <w:t>。</w:t>
      </w:r>
      <w:r w:rsidRPr="00BF42B7">
        <w:rPr>
          <w:rFonts w:eastAsia="MS PGothic"/>
          <w:color w:val="0000FF"/>
          <w:vertAlign w:val="superscript"/>
          <w:lang w:val="en-GB"/>
        </w:rPr>
        <w:footnoteReference w:id="1133"/>
      </w:r>
      <w:r w:rsidRPr="00BF42B7">
        <w:t xml:space="preserve"> </w:t>
      </w:r>
      <w:r w:rsidRPr="00BF42B7">
        <w:t>评注进一步解释说，</w:t>
      </w:r>
      <w:r w:rsidRPr="00BF42B7">
        <w:rPr>
          <w:rFonts w:hint="eastAsia"/>
        </w:rPr>
        <w:t>“</w:t>
      </w:r>
      <w:r w:rsidRPr="00BF42B7">
        <w:t>某一罪行的特性是它有别于另一罪行的性质</w:t>
      </w:r>
      <w:r w:rsidRPr="00BF42B7">
        <w:rPr>
          <w:rFonts w:hint="eastAsia"/>
        </w:rPr>
        <w:t>……</w:t>
      </w:r>
      <w:r w:rsidRPr="00BF42B7">
        <w:t>，某一罪行的严重性是从实行该罪行的情况和促使案犯犯罪的意图加以推论的。</w:t>
      </w:r>
      <w:r w:rsidRPr="00BF42B7">
        <w:rPr>
          <w:rFonts w:hint="eastAsia"/>
        </w:rPr>
        <w:t>”</w:t>
      </w:r>
      <w:r w:rsidRPr="00BF42B7">
        <w:rPr>
          <w:color w:val="0000FF"/>
          <w:vertAlign w:val="superscript"/>
          <w:lang w:val="en-GB"/>
        </w:rPr>
        <w:footnoteReference w:id="1134"/>
      </w:r>
      <w:r w:rsidRPr="00BF42B7">
        <w:rPr>
          <w:lang w:val="en-GB"/>
        </w:rPr>
        <w:t xml:space="preserve"> </w:t>
      </w:r>
      <w:r w:rsidRPr="00BF42B7">
        <w:t>因此，</w:t>
      </w:r>
      <w:r w:rsidRPr="00BF42B7">
        <w:rPr>
          <w:rFonts w:hint="eastAsia"/>
        </w:rPr>
        <w:t>“</w:t>
      </w:r>
      <w:r w:rsidRPr="00BF42B7">
        <w:t>虽然从法律上说同样是罪行，所使用的手段和方法却因堕落和残忍的程度不同而有所不同。</w:t>
      </w:r>
      <w:r w:rsidRPr="00BF42B7">
        <w:rPr>
          <w:rFonts w:hint="eastAsia"/>
        </w:rPr>
        <w:t>”</w:t>
      </w:r>
      <w:r w:rsidRPr="00BF42B7">
        <w:rPr>
          <w:rFonts w:eastAsia="MS PGothic"/>
          <w:color w:val="0000FF"/>
          <w:vertAlign w:val="superscript"/>
          <w:lang w:val="en-GB"/>
        </w:rPr>
        <w:footnoteReference w:id="1135"/>
      </w:r>
    </w:p>
    <w:p w:rsidR="00CD5A8C" w:rsidRPr="00BF42B7" w:rsidRDefault="00CD5A8C" w:rsidP="00CD5A8C">
      <w:pPr>
        <w:tabs>
          <w:tab w:val="clear" w:pos="431"/>
          <w:tab w:val="left" w:pos="1134"/>
          <w:tab w:val="left" w:pos="1701"/>
          <w:tab w:val="left" w:pos="2226"/>
          <w:tab w:val="left" w:pos="2427"/>
        </w:tabs>
        <w:spacing w:after="120"/>
        <w:ind w:left="1134" w:right="1134"/>
        <w:rPr>
          <w:lang w:val="en-GB"/>
        </w:rPr>
      </w:pPr>
      <w:r w:rsidRPr="00BF42B7">
        <w:rPr>
          <w:lang w:val="en-GB"/>
        </w:rPr>
        <w:t xml:space="preserve">(34)  </w:t>
      </w:r>
      <w:r w:rsidRPr="00BF42B7">
        <w:t>在国际法院或法庭对</w:t>
      </w:r>
      <w:r w:rsidRPr="00BF42B7">
        <w:rPr>
          <w:lang w:val="en-GB"/>
        </w:rPr>
        <w:t>危害</w:t>
      </w:r>
      <w:r w:rsidRPr="00BF42B7">
        <w:t>人类罪有管辖权的情形下，对此类罪行适用的惩罚可能是不同的，但要求其与罪行的严重性相称。《前</w:t>
      </w:r>
      <w:r w:rsidRPr="00BF42B7">
        <w:rPr>
          <w:rFonts w:hint="eastAsia"/>
        </w:rPr>
        <w:t>南斯拉夫</w:t>
      </w:r>
      <w:r w:rsidRPr="00BF42B7">
        <w:t>问题国际刑事法庭规约》规定，</w:t>
      </w:r>
      <w:r w:rsidRPr="00BF42B7">
        <w:rPr>
          <w:rFonts w:hint="eastAsia"/>
        </w:rPr>
        <w:t>“</w:t>
      </w:r>
      <w:r w:rsidRPr="00BF42B7">
        <w:t>审判分庭判处的刑罚只限于监禁。审判分庭在决定监禁期限时应诉诸前南斯拉夫法庭适用的徒刑惯例</w:t>
      </w:r>
      <w:r w:rsidRPr="00BF42B7">
        <w:rPr>
          <w:rFonts w:hint="eastAsia"/>
        </w:rPr>
        <w:t>”。</w:t>
      </w:r>
      <w:r w:rsidRPr="00BF42B7">
        <w:rPr>
          <w:color w:val="0000FF"/>
          <w:vertAlign w:val="superscript"/>
          <w:lang w:val="en-GB"/>
        </w:rPr>
        <w:footnoteReference w:id="1136"/>
      </w:r>
      <w:r w:rsidRPr="00BF42B7">
        <w:t xml:space="preserve"> </w:t>
      </w:r>
      <w:r w:rsidRPr="00BF42B7">
        <w:t>此外，前南斯拉夫</w:t>
      </w:r>
      <w:r w:rsidRPr="00BF42B7">
        <w:rPr>
          <w:rFonts w:hint="eastAsia"/>
        </w:rPr>
        <w:t>问题国际刑事</w:t>
      </w:r>
      <w:r w:rsidRPr="00BF42B7">
        <w:t>法庭应</w:t>
      </w:r>
      <w:r w:rsidRPr="00BF42B7">
        <w:rPr>
          <w:rFonts w:hint="eastAsia"/>
        </w:rPr>
        <w:t>“</w:t>
      </w:r>
      <w:r w:rsidRPr="00BF42B7">
        <w:t>考虑到像罪行的严重性和被定罪者的个人情况这样的因素</w:t>
      </w:r>
      <w:r w:rsidRPr="00BF42B7">
        <w:rPr>
          <w:rFonts w:hint="eastAsia"/>
        </w:rPr>
        <w:t>”。</w:t>
      </w:r>
      <w:r w:rsidRPr="00BF42B7">
        <w:rPr>
          <w:rFonts w:eastAsia="MS PGothic"/>
          <w:color w:val="0000FF"/>
          <w:vertAlign w:val="superscript"/>
          <w:lang w:val="en-GB"/>
        </w:rPr>
        <w:footnoteReference w:id="1137"/>
      </w:r>
      <w:r w:rsidRPr="00BF42B7">
        <w:rPr>
          <w:lang w:val="en-GB"/>
        </w:rPr>
        <w:t xml:space="preserve"> </w:t>
      </w:r>
      <w:r w:rsidRPr="00BF42B7">
        <w:t>《卢旺达问题国际</w:t>
      </w:r>
      <w:r w:rsidRPr="00BF42B7">
        <w:rPr>
          <w:rFonts w:hint="eastAsia"/>
        </w:rPr>
        <w:t>刑事</w:t>
      </w:r>
      <w:r w:rsidRPr="00BF42B7">
        <w:t>法庭规约》有相同的措辞，区别是应诉诸</w:t>
      </w:r>
      <w:r w:rsidRPr="00BF42B7">
        <w:rPr>
          <w:rFonts w:hint="eastAsia"/>
        </w:rPr>
        <w:t>“</w:t>
      </w:r>
      <w:r w:rsidRPr="00BF42B7">
        <w:t>卢旺达问题法庭适用的徒刑惯例</w:t>
      </w:r>
      <w:r w:rsidRPr="00BF42B7">
        <w:rPr>
          <w:rFonts w:hint="eastAsia"/>
        </w:rPr>
        <w:t>”</w:t>
      </w:r>
      <w:r w:rsidRPr="00BF42B7">
        <w:t>。</w:t>
      </w:r>
      <w:r w:rsidRPr="00BF42B7">
        <w:rPr>
          <w:color w:val="0000FF"/>
          <w:vertAlign w:val="superscript"/>
          <w:lang w:val="en-GB"/>
        </w:rPr>
        <w:footnoteReference w:id="1138"/>
      </w:r>
      <w:r w:rsidRPr="00BF42B7">
        <w:rPr>
          <w:lang w:val="en-GB"/>
        </w:rPr>
        <w:t xml:space="preserve"> </w:t>
      </w:r>
      <w:r w:rsidRPr="00BF42B7">
        <w:t>即便</w:t>
      </w:r>
      <w:r w:rsidRPr="00BF42B7">
        <w:rPr>
          <w:rFonts w:hint="eastAsia"/>
        </w:rPr>
        <w:t>是</w:t>
      </w:r>
      <w:r w:rsidRPr="00BF42B7">
        <w:t>对国际社会关注的最严重国际罪行的定罪，这也可能导致各种量刑结果</w:t>
      </w:r>
      <w:r w:rsidRPr="00BF42B7">
        <w:rPr>
          <w:rFonts w:hint="eastAsia"/>
        </w:rPr>
        <w:t>。</w:t>
      </w:r>
      <w:r w:rsidRPr="00BF42B7">
        <w:t>《罗马规约》第七十七条也考虑到这种灵活性，规定最高不超过三十年的有期徒刑或无期徒刑，</w:t>
      </w:r>
      <w:r w:rsidRPr="00BF42B7">
        <w:rPr>
          <w:rFonts w:hint="eastAsia"/>
        </w:rPr>
        <w:t>“</w:t>
      </w:r>
      <w:r w:rsidRPr="00BF42B7">
        <w:t>以犯罪极为严重和被定罪人的个人情况而证明有此必要的情形为限</w:t>
      </w:r>
      <w:r w:rsidRPr="00BF42B7">
        <w:rPr>
          <w:rFonts w:hint="eastAsia"/>
        </w:rPr>
        <w:t>”</w:t>
      </w:r>
      <w:r w:rsidRPr="00BF42B7">
        <w:t>。</w:t>
      </w:r>
      <w:r w:rsidRPr="00BF42B7">
        <w:rPr>
          <w:color w:val="0000FF"/>
          <w:vertAlign w:val="superscript"/>
          <w:lang w:val="en-GB"/>
        </w:rPr>
        <w:footnoteReference w:id="1139"/>
      </w:r>
      <w:r w:rsidRPr="00BF42B7">
        <w:rPr>
          <w:lang w:val="en-GB"/>
        </w:rPr>
        <w:t xml:space="preserve"> </w:t>
      </w:r>
      <w:r w:rsidRPr="00BF42B7">
        <w:t>在塞拉利昂问题特别法庭</w:t>
      </w:r>
      <w:r w:rsidRPr="00BF42B7">
        <w:rPr>
          <w:rFonts w:eastAsia="MS PGothic"/>
          <w:color w:val="0000FF"/>
          <w:vertAlign w:val="superscript"/>
          <w:lang w:val="en-GB"/>
        </w:rPr>
        <w:footnoteReference w:id="1140"/>
      </w:r>
      <w:r w:rsidRPr="00BF42B7">
        <w:t>、黎巴嫩问题特别法庭</w:t>
      </w:r>
      <w:r w:rsidRPr="00BF42B7">
        <w:rPr>
          <w:rFonts w:eastAsia="MS PGothic"/>
          <w:color w:val="0000FF"/>
          <w:vertAlign w:val="superscript"/>
          <w:lang w:val="en-GB"/>
        </w:rPr>
        <w:footnoteReference w:id="1141"/>
      </w:r>
      <w:r w:rsidRPr="00BF42B7">
        <w:t>、东帝汶重罪特别审判分庭</w:t>
      </w:r>
      <w:r w:rsidRPr="00BF42B7">
        <w:rPr>
          <w:rFonts w:eastAsia="MS PGothic"/>
          <w:color w:val="0000FF"/>
          <w:vertAlign w:val="superscript"/>
          <w:lang w:val="en-GB"/>
        </w:rPr>
        <w:footnoteReference w:id="1142"/>
      </w:r>
      <w:r w:rsidRPr="00BF42B7">
        <w:t>、柬埔寨法院特别法庭</w:t>
      </w:r>
      <w:r w:rsidRPr="00BF42B7">
        <w:rPr>
          <w:rFonts w:eastAsia="MS PGothic"/>
          <w:color w:val="0000FF"/>
          <w:vertAlign w:val="superscript"/>
          <w:lang w:val="en-GB"/>
        </w:rPr>
        <w:footnoteReference w:id="1143"/>
      </w:r>
      <w:r w:rsidRPr="00BF42B7">
        <w:t>、伊拉克</w:t>
      </w:r>
      <w:r w:rsidRPr="00BF42B7">
        <w:rPr>
          <w:rFonts w:hint="eastAsia"/>
        </w:rPr>
        <w:t>最</w:t>
      </w:r>
      <w:r w:rsidRPr="00BF42B7">
        <w:t>高刑事法庭</w:t>
      </w:r>
      <w:r w:rsidRPr="00BF42B7">
        <w:rPr>
          <w:rFonts w:eastAsia="MS PGothic"/>
          <w:color w:val="0000FF"/>
          <w:vertAlign w:val="superscript"/>
          <w:lang w:val="en-GB"/>
        </w:rPr>
        <w:footnoteReference w:id="1144"/>
      </w:r>
      <w:r w:rsidRPr="00BF42B7">
        <w:t xml:space="preserve"> </w:t>
      </w:r>
      <w:r w:rsidRPr="00BF42B7">
        <w:t>和塞内加尔司法系统内的非洲特别法庭</w:t>
      </w:r>
      <w:r w:rsidRPr="00BF42B7">
        <w:rPr>
          <w:rFonts w:eastAsia="MS PGothic"/>
          <w:color w:val="0000FF"/>
          <w:vertAlign w:val="superscript"/>
          <w:lang w:val="en-GB"/>
        </w:rPr>
        <w:footnoteReference w:id="1145"/>
      </w:r>
      <w:r w:rsidRPr="00BF42B7">
        <w:rPr>
          <w:rFonts w:hint="eastAsia"/>
        </w:rPr>
        <w:t xml:space="preserve"> </w:t>
      </w:r>
      <w:r w:rsidRPr="00BF42B7">
        <w:t>的规范文书中，都可发现类似的表述。</w:t>
      </w:r>
      <w:r w:rsidRPr="00BF42B7">
        <w:rPr>
          <w:rFonts w:hint="eastAsia"/>
        </w:rPr>
        <w:t>同样，</w:t>
      </w:r>
      <w:r w:rsidRPr="00BF42B7">
        <w:t>在国家司法管辖机构把危害人类罪定为刑事犯罪的情形下，对此类罪行适用的惩罚也可能是不同的，但要求其与罪行的严重性相称。</w:t>
      </w:r>
    </w:p>
    <w:p w:rsidR="00CD5A8C" w:rsidRPr="00BF42B7" w:rsidRDefault="00CD5A8C" w:rsidP="00CD5A8C">
      <w:pPr>
        <w:tabs>
          <w:tab w:val="clear" w:pos="431"/>
          <w:tab w:val="left" w:pos="1134"/>
          <w:tab w:val="left" w:pos="1701"/>
          <w:tab w:val="left" w:pos="2226"/>
          <w:tab w:val="left" w:pos="2427"/>
        </w:tabs>
        <w:spacing w:after="120"/>
        <w:ind w:left="1134" w:right="1134"/>
      </w:pPr>
      <w:r w:rsidRPr="00BF42B7">
        <w:rPr>
          <w:lang w:val="en-GB"/>
        </w:rPr>
        <w:t xml:space="preserve">(35)  </w:t>
      </w:r>
      <w:r w:rsidRPr="00BF42B7">
        <w:t>针对犯罪的国际条约没有规定缔约国应施加</w:t>
      </w:r>
      <w:r w:rsidRPr="00BF42B7">
        <w:t>(</w:t>
      </w:r>
      <w:r w:rsidRPr="00BF42B7">
        <w:t>或不施加</w:t>
      </w:r>
      <w:r w:rsidRPr="00BF42B7">
        <w:t>)</w:t>
      </w:r>
      <w:r w:rsidRPr="00BF42B7">
        <w:t>什么惩罚，而是由缔约国自由裁量，依据特定犯罪者和罪行的情况，决定施加的惩罚。</w:t>
      </w:r>
      <w:bookmarkStart w:id="282" w:name="_Ref426551386"/>
      <w:r w:rsidRPr="00BF42B7">
        <w:rPr>
          <w:color w:val="0000FF"/>
          <w:vertAlign w:val="superscript"/>
          <w:lang w:val="en-GB"/>
        </w:rPr>
        <w:footnoteReference w:id="1146"/>
      </w:r>
      <w:bookmarkEnd w:id="282"/>
      <w:r w:rsidRPr="00BF42B7">
        <w:t>《防止及惩治灭绝种族罪公约》仅规定，</w:t>
      </w:r>
      <w:r w:rsidRPr="00BF42B7">
        <w:rPr>
          <w:rFonts w:hint="eastAsia"/>
        </w:rPr>
        <w:t>“</w:t>
      </w:r>
      <w:r w:rsidRPr="00BF42B7">
        <w:t>对于犯灭绝种族罪或有</w:t>
      </w:r>
      <w:r w:rsidRPr="00BF42B7">
        <w:t>[</w:t>
      </w:r>
      <w:r w:rsidRPr="00BF42B7">
        <w:rPr>
          <w:rFonts w:cs="Arial Unicode MS" w:hint="eastAsia"/>
          <w:u w:color="000000"/>
          <w:bdr w:val="nil"/>
          <w:lang w:val="en-GB"/>
        </w:rPr>
        <w:t>……</w:t>
      </w:r>
      <w:r w:rsidRPr="00BF42B7">
        <w:t>]</w:t>
      </w:r>
      <w:r w:rsidRPr="00BF42B7">
        <w:t>所列其他行为之一者尤应规定有效的惩治</w:t>
      </w:r>
      <w:r w:rsidRPr="00BF42B7">
        <w:rPr>
          <w:rFonts w:hint="eastAsia"/>
        </w:rPr>
        <w:t>”</w:t>
      </w:r>
      <w:r w:rsidRPr="00BF42B7">
        <w:t>。</w:t>
      </w:r>
      <w:r w:rsidRPr="00BF42B7">
        <w:rPr>
          <w:color w:val="0000FF"/>
          <w:vertAlign w:val="superscript"/>
          <w:lang w:val="en-GB"/>
        </w:rPr>
        <w:footnoteReference w:id="1147"/>
      </w:r>
      <w:r w:rsidRPr="00BF42B7">
        <w:rPr>
          <w:lang w:val="en-GB"/>
        </w:rPr>
        <w:t xml:space="preserve"> </w:t>
      </w:r>
      <w:r w:rsidRPr="00BF42B7">
        <w:rPr>
          <w:rFonts w:hint="eastAsia"/>
          <w:lang w:val="en-GB"/>
        </w:rPr>
        <w:t>1949</w:t>
      </w:r>
      <w:r w:rsidRPr="00BF42B7">
        <w:rPr>
          <w:rFonts w:hint="eastAsia"/>
          <w:lang w:val="en-GB"/>
        </w:rPr>
        <w:t>年</w:t>
      </w:r>
      <w:r w:rsidRPr="00BF42B7">
        <w:t>日内瓦四公约也规定了一条普遍性标准，但赋予各国制订恰当处罚的自由裁量权，仅规定</w:t>
      </w:r>
      <w:r w:rsidRPr="00BF42B7">
        <w:rPr>
          <w:rFonts w:hint="eastAsia"/>
        </w:rPr>
        <w:t>“</w:t>
      </w:r>
      <w:r w:rsidRPr="00BF42B7">
        <w:t>各缔约国担任制定必要之立法，俾对于</w:t>
      </w:r>
      <w:r w:rsidRPr="00BF42B7">
        <w:t>[</w:t>
      </w:r>
      <w:r w:rsidRPr="00BF42B7">
        <w:t>本身犯有或令人犯有下条所列之</w:t>
      </w:r>
      <w:r w:rsidRPr="00BF42B7">
        <w:t>]</w:t>
      </w:r>
      <w:r w:rsidRPr="00BF42B7">
        <w:t>严重破坏本公约之行为之人，处以有效之刑事制裁</w:t>
      </w:r>
      <w:r w:rsidRPr="00BF42B7">
        <w:rPr>
          <w:rFonts w:hint="eastAsia"/>
        </w:rPr>
        <w:t>”</w:t>
      </w:r>
      <w:r w:rsidRPr="00BF42B7">
        <w:t>。</w:t>
      </w:r>
      <w:r w:rsidRPr="00BF42B7">
        <w:rPr>
          <w:color w:val="0000FF"/>
          <w:vertAlign w:val="superscript"/>
          <w:lang w:val="en-GB"/>
        </w:rPr>
        <w:footnoteReference w:id="1148"/>
      </w:r>
      <w:r w:rsidRPr="00BF42B7">
        <w:rPr>
          <w:lang w:val="en-GB"/>
        </w:rPr>
        <w:t xml:space="preserve"> </w:t>
      </w:r>
      <w:r w:rsidRPr="00BF42B7">
        <w:rPr>
          <w:rFonts w:hint="eastAsia"/>
          <w:lang w:val="en-GB"/>
        </w:rPr>
        <w:t>较近期的</w:t>
      </w:r>
      <w:r w:rsidRPr="00BF42B7">
        <w:t>有关国家法律制度所定罪行的条约通常规定，惩罚应是</w:t>
      </w:r>
      <w:r w:rsidRPr="00BF42B7">
        <w:rPr>
          <w:rFonts w:hint="eastAsia"/>
        </w:rPr>
        <w:t>“</w:t>
      </w:r>
      <w:r w:rsidRPr="00BF42B7">
        <w:t>适当的</w:t>
      </w:r>
      <w:r w:rsidRPr="00BF42B7">
        <w:rPr>
          <w:rFonts w:hint="eastAsia"/>
        </w:rPr>
        <w:t>”</w:t>
      </w:r>
      <w:r w:rsidRPr="00BF42B7">
        <w:t>。虽然委员会最初提议在其关于外交代表和其他应受保护人员的条款草案中使用</w:t>
      </w:r>
      <w:r w:rsidRPr="00BF42B7">
        <w:rPr>
          <w:rFonts w:hint="eastAsia"/>
        </w:rPr>
        <w:t>“</w:t>
      </w:r>
      <w:r w:rsidRPr="00BF42B7">
        <w:t>严厉惩罚</w:t>
      </w:r>
      <w:r w:rsidRPr="00BF42B7">
        <w:rPr>
          <w:rFonts w:hint="eastAsia"/>
        </w:rPr>
        <w:t>”</w:t>
      </w:r>
      <w:r w:rsidRPr="00BF42B7">
        <w:t>一词，但实际上各国在</w:t>
      </w:r>
      <w:r w:rsidRPr="00BF42B7">
        <w:rPr>
          <w:rFonts w:hint="eastAsia"/>
        </w:rPr>
        <w:t>1973</w:t>
      </w:r>
      <w:r w:rsidRPr="00BF42B7">
        <w:rPr>
          <w:rFonts w:hint="eastAsia"/>
        </w:rPr>
        <w:t>年</w:t>
      </w:r>
      <w:r w:rsidRPr="00BF42B7">
        <w:t>《关于防止和惩处侵害应受国际保护人员包括外交代表的罪行的公约》中使用了</w:t>
      </w:r>
      <w:r w:rsidRPr="00BF42B7">
        <w:rPr>
          <w:rFonts w:hint="eastAsia"/>
        </w:rPr>
        <w:t>“</w:t>
      </w:r>
      <w:r w:rsidRPr="00BF42B7">
        <w:t>适当的惩罚</w:t>
      </w:r>
      <w:r w:rsidRPr="00BF42B7">
        <w:rPr>
          <w:rFonts w:hint="eastAsia"/>
        </w:rPr>
        <w:t>”</w:t>
      </w:r>
      <w:r w:rsidRPr="00BF42B7">
        <w:t>。</w:t>
      </w:r>
      <w:r w:rsidRPr="00BF42B7">
        <w:rPr>
          <w:rFonts w:eastAsia="MS PGothic"/>
          <w:color w:val="0000FF"/>
          <w:vertAlign w:val="superscript"/>
          <w:lang w:val="en-GB"/>
        </w:rPr>
        <w:footnoteReference w:id="1149"/>
      </w:r>
      <w:r w:rsidRPr="00BF42B7">
        <w:t xml:space="preserve"> </w:t>
      </w:r>
      <w:r w:rsidRPr="00BF42B7">
        <w:t>这一术语成为后续各项条约的模板。同时，在</w:t>
      </w:r>
      <w:r w:rsidRPr="00BF42B7">
        <w:t>1973</w:t>
      </w:r>
      <w:r w:rsidRPr="00BF42B7">
        <w:t>年《公约》中，除规定</w:t>
      </w:r>
      <w:r w:rsidRPr="00BF42B7">
        <w:rPr>
          <w:rFonts w:hint="eastAsia"/>
        </w:rPr>
        <w:t>“</w:t>
      </w:r>
      <w:r w:rsidRPr="00BF42B7">
        <w:t>适当的惩罚</w:t>
      </w:r>
      <w:r w:rsidRPr="00BF42B7">
        <w:rPr>
          <w:rFonts w:hint="eastAsia"/>
        </w:rPr>
        <w:t>”</w:t>
      </w:r>
      <w:r w:rsidRPr="00BF42B7">
        <w:t>外，还呼吁在确定如何惩罚时考虑到罪行的</w:t>
      </w:r>
      <w:r w:rsidRPr="00BF42B7">
        <w:rPr>
          <w:rFonts w:hint="eastAsia"/>
        </w:rPr>
        <w:t>“</w:t>
      </w:r>
      <w:r w:rsidRPr="00BF42B7">
        <w:t>严重性</w:t>
      </w:r>
      <w:r w:rsidRPr="00BF42B7">
        <w:rPr>
          <w:rFonts w:hint="eastAsia"/>
        </w:rPr>
        <w:t>”</w:t>
      </w:r>
      <w:r w:rsidRPr="00BF42B7">
        <w:t>。委员会评论说，这样的提法意在强调在惩治此类犯罪时，处罚措施应考虑到其中所涉的重要</w:t>
      </w:r>
      <w:r w:rsidRPr="00BF42B7">
        <w:rPr>
          <w:rFonts w:hint="eastAsia"/>
        </w:rPr>
        <w:t>“</w:t>
      </w:r>
      <w:r w:rsidRPr="00BF42B7">
        <w:t>全球利益</w:t>
      </w:r>
      <w:r w:rsidRPr="00BF42B7">
        <w:rPr>
          <w:rFonts w:hint="eastAsia"/>
        </w:rPr>
        <w:t>”</w:t>
      </w:r>
      <w:r w:rsidRPr="00BF42B7">
        <w:t>。</w:t>
      </w:r>
      <w:bookmarkStart w:id="283" w:name="_Ref427003114"/>
      <w:r w:rsidRPr="00BF42B7">
        <w:rPr>
          <w:color w:val="0000FF"/>
          <w:vertAlign w:val="superscript"/>
          <w:lang w:val="en-GB"/>
        </w:rPr>
        <w:footnoteReference w:id="1150"/>
      </w:r>
      <w:bookmarkEnd w:id="283"/>
      <w:r w:rsidRPr="00BF42B7">
        <w:t xml:space="preserve"> </w:t>
      </w:r>
      <w:r w:rsidRPr="00BF42B7">
        <w:t>自</w:t>
      </w:r>
      <w:r w:rsidRPr="00BF42B7">
        <w:t>1973</w:t>
      </w:r>
      <w:r w:rsidRPr="00BF42B7">
        <w:t>年以来，每一</w:t>
      </w:r>
      <w:r w:rsidRPr="00BF42B7">
        <w:rPr>
          <w:rFonts w:hint="eastAsia"/>
        </w:rPr>
        <w:t>“</w:t>
      </w:r>
      <w:r w:rsidRPr="00BF42B7">
        <w:t>缔约国应按照这类罪行的严重性处以适当的惩罚</w:t>
      </w:r>
      <w:r w:rsidRPr="00BF42B7">
        <w:rPr>
          <w:rFonts w:hint="eastAsia"/>
        </w:rPr>
        <w:t>”</w:t>
      </w:r>
      <w:r w:rsidRPr="00BF42B7">
        <w:t>这一办法已被众多条约采纳，其中包括《禁止酷刑公约》。</w:t>
      </w:r>
      <w:r w:rsidRPr="00BF42B7">
        <w:rPr>
          <w:color w:val="0000FF"/>
          <w:vertAlign w:val="superscript"/>
          <w:lang w:val="en-GB"/>
        </w:rPr>
        <w:footnoteReference w:id="1151"/>
      </w:r>
      <w:r w:rsidRPr="00BF42B7">
        <w:rPr>
          <w:lang w:val="en-GB"/>
        </w:rPr>
        <w:t xml:space="preserve"> </w:t>
      </w:r>
      <w:r w:rsidRPr="00BF42B7">
        <w:t>一些条约使用罪行的</w:t>
      </w:r>
      <w:r w:rsidRPr="00BF42B7">
        <w:rPr>
          <w:rFonts w:hint="eastAsia"/>
        </w:rPr>
        <w:t>“</w:t>
      </w:r>
      <w:r w:rsidRPr="00BF42B7">
        <w:t>极端严峻性</w:t>
      </w:r>
      <w:r w:rsidRPr="00BF42B7">
        <w:rPr>
          <w:rFonts w:hint="eastAsia"/>
        </w:rPr>
        <w:t>”</w:t>
      </w:r>
      <w:r w:rsidRPr="00BF42B7">
        <w:t>、</w:t>
      </w:r>
      <w:r w:rsidRPr="00BF42B7">
        <w:rPr>
          <w:rFonts w:hint="eastAsia"/>
        </w:rPr>
        <w:t>“</w:t>
      </w:r>
      <w:r w:rsidRPr="00BF42B7">
        <w:t>严重性</w:t>
      </w:r>
      <w:r w:rsidRPr="00BF42B7">
        <w:rPr>
          <w:rFonts w:hint="eastAsia"/>
        </w:rPr>
        <w:t>”</w:t>
      </w:r>
      <w:r w:rsidRPr="00BF42B7">
        <w:t>或</w:t>
      </w:r>
      <w:r w:rsidRPr="00BF42B7">
        <w:rPr>
          <w:rFonts w:hint="eastAsia"/>
        </w:rPr>
        <w:t>“</w:t>
      </w:r>
      <w:r w:rsidRPr="00BF42B7">
        <w:t>极端严重性</w:t>
      </w:r>
      <w:r w:rsidRPr="00BF42B7">
        <w:rPr>
          <w:rFonts w:hint="eastAsia"/>
        </w:rPr>
        <w:t>”</w:t>
      </w:r>
      <w:r w:rsidRPr="00BF42B7">
        <w:t>等词语来表述严重性问题。</w:t>
      </w:r>
      <w:r w:rsidRPr="00BF42B7">
        <w:rPr>
          <w:color w:val="0000FF"/>
          <w:vertAlign w:val="superscript"/>
          <w:lang w:val="en-GB"/>
        </w:rPr>
        <w:footnoteReference w:id="1152"/>
      </w:r>
    </w:p>
    <w:p w:rsidR="00CD5A8C" w:rsidRPr="00BF42B7" w:rsidRDefault="00CD5A8C" w:rsidP="00CD5A8C">
      <w:pPr>
        <w:keepNext/>
        <w:keepLines/>
        <w:tabs>
          <w:tab w:val="clear" w:pos="431"/>
          <w:tab w:val="right" w:pos="851"/>
        </w:tabs>
        <w:spacing w:before="240" w:after="120"/>
        <w:ind w:left="1134" w:right="1134" w:hanging="1134"/>
        <w:jc w:val="left"/>
        <w:outlineLvl w:val="4"/>
        <w:rPr>
          <w:rFonts w:eastAsia="楷体_GB2312"/>
          <w:i/>
          <w:sz w:val="20"/>
        </w:rPr>
      </w:pPr>
      <w:r w:rsidRPr="00BF42B7">
        <w:rPr>
          <w:rFonts w:eastAsia="楷体_GB2312" w:hint="eastAsia"/>
          <w:sz w:val="23"/>
          <w:lang w:val="zh-CN"/>
        </w:rPr>
        <w:tab/>
      </w:r>
      <w:r w:rsidRPr="00BF42B7">
        <w:rPr>
          <w:rFonts w:eastAsia="楷体_GB2312" w:hint="eastAsia"/>
          <w:sz w:val="23"/>
          <w:lang w:val="zh-CN"/>
        </w:rPr>
        <w:tab/>
      </w:r>
      <w:r w:rsidRPr="00BF42B7">
        <w:rPr>
          <w:rFonts w:eastAsia="楷体_GB2312"/>
          <w:sz w:val="23"/>
          <w:lang w:val="zh-CN"/>
        </w:rPr>
        <w:t>法人</w:t>
      </w:r>
    </w:p>
    <w:p w:rsidR="00CD5A8C" w:rsidRPr="00BF42B7" w:rsidRDefault="00CD5A8C" w:rsidP="00CD5A8C">
      <w:pPr>
        <w:tabs>
          <w:tab w:val="clear" w:pos="431"/>
          <w:tab w:val="left" w:pos="1134"/>
          <w:tab w:val="left" w:pos="1565"/>
          <w:tab w:val="left" w:pos="1996"/>
          <w:tab w:val="left" w:pos="2427"/>
        </w:tabs>
        <w:spacing w:after="120"/>
        <w:ind w:left="1134" w:right="1134"/>
      </w:pPr>
      <w:r w:rsidRPr="00BF42B7">
        <w:rPr>
          <w:lang w:val="zh-CN"/>
        </w:rPr>
        <w:t>(36)</w:t>
      </w:r>
      <w:r w:rsidRPr="00BF42B7">
        <w:rPr>
          <w:rFonts w:hint="eastAsia"/>
          <w:lang w:val="zh-CN"/>
        </w:rPr>
        <w:t xml:space="preserve">  </w:t>
      </w:r>
      <w:r w:rsidRPr="00BF42B7">
        <w:rPr>
          <w:lang w:val="zh-CN"/>
        </w:rPr>
        <w:t>第</w:t>
      </w:r>
      <w:r w:rsidRPr="00BF42B7">
        <w:rPr>
          <w:lang w:val="zh-CN"/>
        </w:rPr>
        <w:t>5</w:t>
      </w:r>
      <w:r w:rsidRPr="00BF42B7">
        <w:rPr>
          <w:lang w:val="zh-CN"/>
        </w:rPr>
        <w:t>条草案</w:t>
      </w:r>
      <w:r w:rsidRPr="00BF42B7">
        <w:rPr>
          <w:lang w:val="zh-CN"/>
        </w:rPr>
        <w:t>1</w:t>
      </w:r>
      <w:r w:rsidRPr="00BF42B7">
        <w:rPr>
          <w:lang w:val="zh-CN"/>
        </w:rPr>
        <w:t>至</w:t>
      </w:r>
      <w:r w:rsidRPr="00BF42B7">
        <w:rPr>
          <w:lang w:val="zh-CN"/>
        </w:rPr>
        <w:t>6</w:t>
      </w:r>
      <w:r w:rsidRPr="00BF42B7">
        <w:rPr>
          <w:rFonts w:hint="eastAsia"/>
          <w:lang w:val="zh-CN"/>
        </w:rPr>
        <w:t>款</w:t>
      </w:r>
      <w:r w:rsidRPr="00BF42B7">
        <w:rPr>
          <w:lang w:val="zh-CN"/>
        </w:rPr>
        <w:t>涉及自然人的刑事责任，虽然按照关于罪行的条约的一贯做法，没有使用</w:t>
      </w:r>
      <w:r w:rsidRPr="00BF42B7">
        <w:rPr>
          <w:rFonts w:hint="eastAsia"/>
          <w:lang w:val="zh-CN"/>
        </w:rPr>
        <w:t>“</w:t>
      </w:r>
      <w:r w:rsidRPr="00BF42B7">
        <w:rPr>
          <w:lang w:val="zh-CN"/>
        </w:rPr>
        <w:t>自然人</w:t>
      </w:r>
      <w:r w:rsidRPr="00BF42B7">
        <w:rPr>
          <w:rFonts w:hint="eastAsia"/>
          <w:lang w:val="zh-CN"/>
        </w:rPr>
        <w:t>”</w:t>
      </w:r>
      <w:r w:rsidRPr="00BF42B7">
        <w:rPr>
          <w:lang w:val="zh-CN"/>
        </w:rPr>
        <w:t>一词。第</w:t>
      </w:r>
      <w:r w:rsidRPr="00BF42B7">
        <w:rPr>
          <w:lang w:val="zh-CN"/>
        </w:rPr>
        <w:t>7</w:t>
      </w:r>
      <w:r w:rsidRPr="00BF42B7">
        <w:rPr>
          <w:lang w:val="zh-CN"/>
        </w:rPr>
        <w:t>段则涉及</w:t>
      </w:r>
      <w:r w:rsidRPr="00BF42B7">
        <w:rPr>
          <w:rFonts w:hint="eastAsia"/>
          <w:lang w:val="zh-CN"/>
        </w:rPr>
        <w:t>“</w:t>
      </w:r>
      <w:r w:rsidRPr="00BF42B7">
        <w:rPr>
          <w:lang w:val="zh-CN"/>
        </w:rPr>
        <w:t>法人</w:t>
      </w:r>
      <w:r w:rsidRPr="00BF42B7">
        <w:rPr>
          <w:rFonts w:hint="eastAsia"/>
          <w:lang w:val="zh-CN"/>
        </w:rPr>
        <w:t>”</w:t>
      </w:r>
      <w:r w:rsidRPr="00BF42B7">
        <w:rPr>
          <w:lang w:val="zh-CN"/>
        </w:rPr>
        <w:t>对第</w:t>
      </w:r>
      <w:r w:rsidRPr="00BF42B7">
        <w:rPr>
          <w:lang w:val="zh-CN"/>
        </w:rPr>
        <w:t>5</w:t>
      </w:r>
      <w:r w:rsidRPr="00BF42B7">
        <w:rPr>
          <w:lang w:val="zh-CN"/>
        </w:rPr>
        <w:t>条草案所指罪行的责任。</w:t>
      </w:r>
    </w:p>
    <w:p w:rsidR="00CD5A8C" w:rsidRPr="00BF42B7" w:rsidRDefault="00CD5A8C" w:rsidP="00CD5A8C">
      <w:pPr>
        <w:tabs>
          <w:tab w:val="clear" w:pos="431"/>
          <w:tab w:val="left" w:pos="1134"/>
          <w:tab w:val="left" w:pos="1565"/>
          <w:tab w:val="left" w:pos="1996"/>
          <w:tab w:val="left" w:pos="2427"/>
        </w:tabs>
        <w:spacing w:after="120"/>
        <w:ind w:left="1134" w:right="1134"/>
        <w:rPr>
          <w:lang w:val="zh-CN"/>
        </w:rPr>
      </w:pPr>
      <w:r w:rsidRPr="00BF42B7">
        <w:rPr>
          <w:lang w:val="zh-CN"/>
        </w:rPr>
        <w:t>(37)</w:t>
      </w:r>
      <w:r w:rsidRPr="00BF42B7">
        <w:rPr>
          <w:rFonts w:hint="eastAsia"/>
          <w:lang w:val="zh-CN"/>
        </w:rPr>
        <w:t xml:space="preserve">  </w:t>
      </w:r>
      <w:r w:rsidRPr="00BF42B7">
        <w:rPr>
          <w:spacing w:val="4"/>
          <w:lang w:val="zh-CN"/>
        </w:rPr>
        <w:t>近年来，法人的刑事责任</w:t>
      </w:r>
      <w:r w:rsidRPr="00BF42B7">
        <w:rPr>
          <w:rFonts w:hint="eastAsia"/>
          <w:spacing w:val="4"/>
          <w:lang w:val="zh-CN"/>
        </w:rPr>
        <w:t>已成为许多国家国内法的一个重点</w:t>
      </w:r>
      <w:r w:rsidRPr="00BF42B7">
        <w:rPr>
          <w:spacing w:val="4"/>
          <w:lang w:val="zh-CN"/>
        </w:rPr>
        <w:t>，但在许多其他国家仍然很陌生。</w:t>
      </w:r>
      <w:bookmarkStart w:id="284" w:name="_Ref461977863"/>
      <w:r w:rsidRPr="00BF42B7">
        <w:rPr>
          <w:color w:val="0000FF"/>
          <w:spacing w:val="4"/>
          <w:vertAlign w:val="superscript"/>
          <w:lang w:val="zh-CN"/>
        </w:rPr>
        <w:footnoteReference w:id="1153"/>
      </w:r>
      <w:bookmarkEnd w:id="284"/>
      <w:r w:rsidRPr="00BF42B7">
        <w:rPr>
          <w:spacing w:val="4"/>
          <w:lang w:val="zh-CN"/>
        </w:rPr>
        <w:t xml:space="preserve"> </w:t>
      </w:r>
      <w:r w:rsidRPr="00BF42B7">
        <w:rPr>
          <w:spacing w:val="4"/>
          <w:lang w:val="zh-CN"/>
        </w:rPr>
        <w:t>存在这一概念的国家</w:t>
      </w:r>
      <w:r w:rsidRPr="00BF42B7">
        <w:rPr>
          <w:rFonts w:hint="eastAsia"/>
          <w:spacing w:val="4"/>
          <w:lang w:val="zh-CN"/>
        </w:rPr>
        <w:t>中</w:t>
      </w:r>
      <w:r w:rsidRPr="00BF42B7">
        <w:rPr>
          <w:spacing w:val="4"/>
          <w:lang w:val="zh-CN"/>
        </w:rPr>
        <w:t>，在国际罪行方面有时存在这</w:t>
      </w:r>
      <w:r w:rsidRPr="00BF42B7">
        <w:rPr>
          <w:rFonts w:hint="eastAsia"/>
          <w:spacing w:val="4"/>
          <w:lang w:val="zh-CN"/>
        </w:rPr>
        <w:t>种</w:t>
      </w:r>
      <w:r w:rsidRPr="00BF42B7">
        <w:rPr>
          <w:spacing w:val="4"/>
          <w:lang w:val="zh-CN"/>
        </w:rPr>
        <w:t>责任。</w:t>
      </w:r>
      <w:r w:rsidRPr="00BF42B7">
        <w:rPr>
          <w:color w:val="0000FF"/>
          <w:spacing w:val="4"/>
          <w:vertAlign w:val="superscript"/>
          <w:lang w:val="zh-CN"/>
        </w:rPr>
        <w:footnoteReference w:id="1154"/>
      </w:r>
      <w:r w:rsidRPr="00BF42B7">
        <w:rPr>
          <w:spacing w:val="4"/>
          <w:lang w:val="zh-CN"/>
        </w:rPr>
        <w:t xml:space="preserve"> </w:t>
      </w:r>
      <w:r w:rsidRPr="00BF42B7">
        <w:rPr>
          <w:spacing w:val="4"/>
          <w:lang w:val="zh-CN"/>
        </w:rPr>
        <w:t>可导致这种责任的行为当然是自然人以</w:t>
      </w:r>
      <w:r w:rsidRPr="00BF42B7">
        <w:rPr>
          <w:rFonts w:hint="eastAsia"/>
          <w:spacing w:val="4"/>
          <w:lang w:val="zh-CN"/>
        </w:rPr>
        <w:t>公务员</w:t>
      </w:r>
      <w:r w:rsidRPr="00BF42B7">
        <w:rPr>
          <w:spacing w:val="4"/>
          <w:lang w:val="zh-CN"/>
        </w:rPr>
        <w:t>、</w:t>
      </w:r>
      <w:r w:rsidRPr="00BF42B7">
        <w:rPr>
          <w:rFonts w:hint="eastAsia"/>
          <w:spacing w:val="4"/>
          <w:lang w:val="zh-CN"/>
        </w:rPr>
        <w:t>指挥官</w:t>
      </w:r>
      <w:r w:rsidRPr="00BF42B7">
        <w:rPr>
          <w:spacing w:val="4"/>
          <w:lang w:val="zh-CN"/>
        </w:rPr>
        <w:t>、</w:t>
      </w:r>
      <w:r w:rsidRPr="00BF42B7">
        <w:rPr>
          <w:rFonts w:hint="eastAsia"/>
          <w:spacing w:val="4"/>
          <w:lang w:val="zh-CN"/>
        </w:rPr>
        <w:t>军官</w:t>
      </w:r>
      <w:r w:rsidRPr="00BF42B7">
        <w:rPr>
          <w:spacing w:val="4"/>
          <w:lang w:val="zh-CN"/>
        </w:rPr>
        <w:t>身份</w:t>
      </w:r>
      <w:r w:rsidRPr="00BF42B7">
        <w:rPr>
          <w:rFonts w:hint="eastAsia"/>
          <w:spacing w:val="4"/>
          <w:lang w:val="zh-CN"/>
        </w:rPr>
        <w:t>所为</w:t>
      </w:r>
      <w:r w:rsidRPr="00BF42B7">
        <w:rPr>
          <w:spacing w:val="4"/>
          <w:lang w:val="zh-CN"/>
        </w:rPr>
        <w:t>，或通过其他一些法人职位或机构犯下的。存在这一概念的国家</w:t>
      </w:r>
      <w:r w:rsidRPr="00BF42B7">
        <w:rPr>
          <w:rFonts w:hint="eastAsia"/>
          <w:spacing w:val="4"/>
          <w:lang w:val="zh-CN"/>
        </w:rPr>
        <w:t>中</w:t>
      </w:r>
      <w:r w:rsidRPr="00BF42B7">
        <w:rPr>
          <w:spacing w:val="4"/>
          <w:lang w:val="zh-CN"/>
        </w:rPr>
        <w:t>，通常是在自然人代表法人或为了法人的利益犯下相关罪行时，</w:t>
      </w:r>
      <w:r w:rsidRPr="00BF42B7">
        <w:rPr>
          <w:lang w:val="zh-CN"/>
        </w:rPr>
        <w:t>加诸此种责任。</w:t>
      </w:r>
      <w:bookmarkStart w:id="285" w:name="_Ref455741516"/>
      <w:bookmarkEnd w:id="285"/>
    </w:p>
    <w:p w:rsidR="00CD5A8C" w:rsidRPr="00BF42B7" w:rsidRDefault="00CD5A8C" w:rsidP="00CD5A8C">
      <w:pPr>
        <w:tabs>
          <w:tab w:val="clear" w:pos="431"/>
          <w:tab w:val="left" w:pos="1134"/>
          <w:tab w:val="left" w:pos="1565"/>
          <w:tab w:val="left" w:pos="1996"/>
          <w:tab w:val="left" w:pos="2427"/>
        </w:tabs>
        <w:spacing w:after="120"/>
        <w:ind w:left="1134" w:right="1134"/>
      </w:pPr>
      <w:r w:rsidRPr="00BF42B7">
        <w:rPr>
          <w:lang w:val="zh-CN"/>
        </w:rPr>
        <w:t>(38)</w:t>
      </w:r>
      <w:r w:rsidRPr="00BF42B7">
        <w:rPr>
          <w:rFonts w:hint="eastAsia"/>
          <w:lang w:val="zh-CN"/>
        </w:rPr>
        <w:t xml:space="preserve">  </w:t>
      </w:r>
      <w:r w:rsidRPr="00BF42B7">
        <w:rPr>
          <w:lang w:val="zh-CN"/>
        </w:rPr>
        <w:t>迄今为止，国际刑事法院或法庭尚未太多地</w:t>
      </w:r>
      <w:r w:rsidRPr="00BF42B7">
        <w:rPr>
          <w:rFonts w:hint="eastAsia"/>
          <w:lang w:val="zh-CN"/>
        </w:rPr>
        <w:t>涉及</w:t>
      </w:r>
      <w:r w:rsidRPr="00BF42B7">
        <w:rPr>
          <w:lang w:val="zh-CN"/>
        </w:rPr>
        <w:t>法人的刑事责任。《纽伦堡宪章》第</w:t>
      </w:r>
      <w:r w:rsidRPr="00BF42B7">
        <w:rPr>
          <w:lang w:val="zh-CN"/>
        </w:rPr>
        <w:t>9</w:t>
      </w:r>
      <w:r w:rsidRPr="00BF42B7">
        <w:rPr>
          <w:lang w:val="zh-CN"/>
        </w:rPr>
        <w:t>条和第</w:t>
      </w:r>
      <w:r w:rsidRPr="00BF42B7">
        <w:rPr>
          <w:lang w:val="zh-CN"/>
        </w:rPr>
        <w:t>10</w:t>
      </w:r>
      <w:r w:rsidRPr="00BF42B7">
        <w:rPr>
          <w:lang w:val="zh-CN"/>
        </w:rPr>
        <w:t>条授权国际军事法庭在审判个人期间宣布任何团体或组织为犯罪组织，这可能导致</w:t>
      </w:r>
      <w:r w:rsidRPr="00BF42B7">
        <w:rPr>
          <w:rFonts w:hint="eastAsia"/>
          <w:lang w:val="zh-CN"/>
        </w:rPr>
        <w:t>对作为</w:t>
      </w:r>
      <w:r w:rsidRPr="00BF42B7">
        <w:rPr>
          <w:lang w:val="zh-CN"/>
        </w:rPr>
        <w:t>该组织成员的其他个人</w:t>
      </w:r>
      <w:r w:rsidRPr="00BF42B7">
        <w:rPr>
          <w:rFonts w:hint="eastAsia"/>
          <w:lang w:val="zh-CN"/>
        </w:rPr>
        <w:t>的审判</w:t>
      </w:r>
      <w:r w:rsidRPr="00BF42B7">
        <w:rPr>
          <w:lang w:val="zh-CN"/>
        </w:rPr>
        <w:t>。在</w:t>
      </w:r>
      <w:r w:rsidRPr="00BF42B7">
        <w:rPr>
          <w:rFonts w:hint="eastAsia"/>
          <w:lang w:val="zh-CN"/>
        </w:rPr>
        <w:t>纽伦堡军事</w:t>
      </w:r>
      <w:r w:rsidRPr="00BF42B7">
        <w:rPr>
          <w:lang w:val="zh-CN"/>
        </w:rPr>
        <w:t>法庭的诉讼中，以及</w:t>
      </w:r>
      <w:r w:rsidRPr="00BF42B7">
        <w:rPr>
          <w:rFonts w:hint="eastAsia"/>
          <w:lang w:val="zh-CN"/>
        </w:rPr>
        <w:t>根据</w:t>
      </w:r>
      <w:r w:rsidRPr="00BF42B7">
        <w:rPr>
          <w:lang w:val="zh-CN"/>
        </w:rPr>
        <w:t>管制</w:t>
      </w:r>
      <w:r w:rsidRPr="00BF42B7">
        <w:rPr>
          <w:rFonts w:hint="eastAsia"/>
          <w:lang w:val="zh-CN"/>
        </w:rPr>
        <w:t>委员会第</w:t>
      </w:r>
      <w:r w:rsidRPr="00BF42B7">
        <w:rPr>
          <w:rFonts w:hint="eastAsia"/>
          <w:lang w:val="zh-CN"/>
        </w:rPr>
        <w:t>10</w:t>
      </w:r>
      <w:r w:rsidRPr="00BF42B7">
        <w:rPr>
          <w:rFonts w:hint="eastAsia"/>
          <w:lang w:val="zh-CN"/>
        </w:rPr>
        <w:t>号法令</w:t>
      </w:r>
      <w:r w:rsidRPr="00BF42B7">
        <w:rPr>
          <w:lang w:val="zh-CN"/>
        </w:rPr>
        <w:t>进行的</w:t>
      </w:r>
      <w:r w:rsidRPr="00BF42B7">
        <w:rPr>
          <w:rFonts w:hint="eastAsia"/>
          <w:lang w:val="zh-CN"/>
        </w:rPr>
        <w:t>后续</w:t>
      </w:r>
      <w:r w:rsidRPr="00BF42B7">
        <w:rPr>
          <w:lang w:val="zh-CN"/>
        </w:rPr>
        <w:t>诉讼中，认定了许多这类组织，但只有自然人受到审判和惩罚。</w:t>
      </w:r>
      <w:r w:rsidRPr="00BF42B7">
        <w:rPr>
          <w:color w:val="0000FF"/>
          <w:vertAlign w:val="superscript"/>
          <w:lang w:val="zh-CN"/>
        </w:rPr>
        <w:footnoteReference w:id="1155"/>
      </w:r>
      <w:r w:rsidRPr="00BF42B7">
        <w:rPr>
          <w:lang w:val="zh-CN"/>
        </w:rPr>
        <w:t xml:space="preserve"> </w:t>
      </w:r>
      <w:r w:rsidRPr="00BF42B7">
        <w:rPr>
          <w:lang w:val="zh-CN"/>
        </w:rPr>
        <w:t>前南斯拉夫问题国际刑事法庭和卢旺达问题国际刑事法庭对法人没有刑事管辖权，塞拉利昂问题特别法庭、东帝汶重罪特别审判分庭</w:t>
      </w:r>
      <w:r w:rsidRPr="00BF42B7">
        <w:rPr>
          <w:spacing w:val="4"/>
          <w:lang w:val="zh-CN"/>
        </w:rPr>
        <w:t>、柬埔寨法院特别法庭、伊拉克最高刑事法庭</w:t>
      </w:r>
      <w:r w:rsidRPr="00BF42B7">
        <w:rPr>
          <w:rFonts w:hint="eastAsia"/>
          <w:spacing w:val="4"/>
          <w:lang w:val="zh-CN"/>
        </w:rPr>
        <w:t>以及</w:t>
      </w:r>
      <w:r w:rsidRPr="00BF42B7">
        <w:rPr>
          <w:spacing w:val="4"/>
          <w:lang w:val="zh-CN"/>
        </w:rPr>
        <w:t>塞内加尔司法系统内的非洲特别法庭对法人也没有刑事管辖权。《罗马规约》的</w:t>
      </w:r>
      <w:r w:rsidRPr="00BF42B7">
        <w:rPr>
          <w:lang w:val="zh-CN"/>
        </w:rPr>
        <w:t>起草者指出，</w:t>
      </w:r>
      <w:r w:rsidRPr="00BF42B7">
        <w:rPr>
          <w:rFonts w:hint="eastAsia"/>
          <w:lang w:val="zh-CN"/>
        </w:rPr>
        <w:t>“</w:t>
      </w:r>
      <w:r w:rsidRPr="00BF42B7">
        <w:rPr>
          <w:lang w:val="zh-CN"/>
        </w:rPr>
        <w:t>对于规约是否应包括法人刑事责任的问题存在重大分歧</w:t>
      </w:r>
      <w:r w:rsidRPr="00BF42B7">
        <w:rPr>
          <w:rFonts w:hint="eastAsia"/>
          <w:lang w:val="zh-CN"/>
        </w:rPr>
        <w:t>”</w:t>
      </w:r>
      <w:r w:rsidRPr="00BF42B7">
        <w:rPr>
          <w:lang w:val="zh-CN"/>
        </w:rPr>
        <w:t>，</w:t>
      </w:r>
      <w:r w:rsidRPr="00BF42B7">
        <w:rPr>
          <w:color w:val="0000FF"/>
          <w:vertAlign w:val="superscript"/>
        </w:rPr>
        <w:footnoteReference w:id="1156"/>
      </w:r>
      <w:r w:rsidRPr="00BF42B7">
        <w:rPr>
          <w:lang w:val="zh-CN"/>
        </w:rPr>
        <w:t xml:space="preserve"> </w:t>
      </w:r>
      <w:r w:rsidRPr="00BF42B7">
        <w:rPr>
          <w:lang w:val="zh-CN"/>
        </w:rPr>
        <w:t>虽然有人提议列入一项关于法人刑事责任的规定，但《规约》最终并未载入此类规定。</w:t>
      </w:r>
    </w:p>
    <w:p w:rsidR="00CD5A8C" w:rsidRPr="00BF42B7" w:rsidRDefault="00CD5A8C" w:rsidP="00CD5A8C">
      <w:pPr>
        <w:tabs>
          <w:tab w:val="clear" w:pos="431"/>
          <w:tab w:val="left" w:pos="1134"/>
          <w:tab w:val="left" w:pos="1565"/>
          <w:tab w:val="left" w:pos="1996"/>
          <w:tab w:val="left" w:pos="2427"/>
        </w:tabs>
        <w:spacing w:after="120"/>
        <w:ind w:left="1134" w:right="1134"/>
      </w:pPr>
      <w:r w:rsidRPr="00BF42B7">
        <w:rPr>
          <w:lang w:val="zh-CN"/>
        </w:rPr>
        <w:t>(39)</w:t>
      </w:r>
      <w:r w:rsidRPr="00BF42B7">
        <w:rPr>
          <w:rFonts w:hint="eastAsia"/>
          <w:lang w:val="zh-CN"/>
        </w:rPr>
        <w:t xml:space="preserve">  </w:t>
      </w:r>
      <w:r w:rsidRPr="00BF42B7">
        <w:t>许多</w:t>
      </w:r>
      <w:r w:rsidRPr="00BF42B7">
        <w:rPr>
          <w:rFonts w:hint="eastAsia"/>
        </w:rPr>
        <w:t>关于</w:t>
      </w:r>
      <w:r w:rsidRPr="00BF42B7">
        <w:t>国家</w:t>
      </w:r>
      <w:r w:rsidRPr="00BF42B7">
        <w:rPr>
          <w:rFonts w:hint="eastAsia"/>
        </w:rPr>
        <w:t>一级罪行</w:t>
      </w:r>
      <w:r w:rsidRPr="00BF42B7">
        <w:t>的条约也没有列入法人的责任，包括：</w:t>
      </w:r>
      <w:r w:rsidRPr="00BF42B7">
        <w:t>1948</w:t>
      </w:r>
      <w:r w:rsidRPr="00BF42B7">
        <w:t>年《防止及惩治灭绝种族罪公约》</w:t>
      </w:r>
      <w:r w:rsidRPr="00BF42B7">
        <w:rPr>
          <w:rFonts w:hint="eastAsia"/>
        </w:rPr>
        <w:t>、</w:t>
      </w:r>
      <w:r w:rsidRPr="00BF42B7">
        <w:t>1949</w:t>
      </w:r>
      <w:r w:rsidRPr="00BF42B7">
        <w:t>年日内瓦四公约</w:t>
      </w:r>
      <w:r w:rsidRPr="00BF42B7">
        <w:rPr>
          <w:rFonts w:hint="eastAsia"/>
        </w:rPr>
        <w:t>、</w:t>
      </w:r>
      <w:r w:rsidRPr="00BF42B7">
        <w:t>1970</w:t>
      </w:r>
      <w:r w:rsidRPr="00BF42B7">
        <w:t>年《关于制止非法劫持航空器的公约》</w:t>
      </w:r>
      <w:r w:rsidRPr="00BF42B7">
        <w:rPr>
          <w:rFonts w:hint="eastAsia"/>
        </w:rPr>
        <w:t>、</w:t>
      </w:r>
      <w:r w:rsidRPr="00BF42B7">
        <w:t>1973</w:t>
      </w:r>
      <w:r w:rsidRPr="00BF42B7">
        <w:t>年《关于防止和惩处侵害应受国际保护人员包括外交代表的罪行的公约》</w:t>
      </w:r>
      <w:r w:rsidRPr="00BF42B7">
        <w:rPr>
          <w:rFonts w:hint="eastAsia"/>
        </w:rPr>
        <w:t>、</w:t>
      </w:r>
      <w:r w:rsidRPr="00BF42B7">
        <w:t>1984</w:t>
      </w:r>
      <w:r w:rsidRPr="00BF42B7">
        <w:t>年《禁止酷刑公约》</w:t>
      </w:r>
      <w:r w:rsidRPr="00BF42B7">
        <w:rPr>
          <w:rFonts w:hint="eastAsia"/>
        </w:rPr>
        <w:t>、</w:t>
      </w:r>
      <w:r w:rsidRPr="00BF42B7">
        <w:t>1997</w:t>
      </w:r>
      <w:r w:rsidRPr="00BF42B7">
        <w:t>年《制止恐怖主义爆炸的国际公约》</w:t>
      </w:r>
      <w:r w:rsidRPr="00BF42B7">
        <w:rPr>
          <w:rFonts w:hint="eastAsia"/>
        </w:rPr>
        <w:t>、</w:t>
      </w:r>
      <w:r w:rsidRPr="00BF42B7">
        <w:t>2006</w:t>
      </w:r>
      <w:r w:rsidRPr="00BF42B7">
        <w:t>年《保护所有人免遭强迫失踪国际公约》。委员会</w:t>
      </w:r>
      <w:r w:rsidRPr="00BF42B7">
        <w:t>1996</w:t>
      </w:r>
      <w:r w:rsidRPr="00BF42B7">
        <w:t>年的治罪法草案仅涉及</w:t>
      </w:r>
      <w:r w:rsidRPr="00BF42B7">
        <w:rPr>
          <w:rFonts w:hint="eastAsia"/>
        </w:rPr>
        <w:t>“</w:t>
      </w:r>
      <w:r w:rsidRPr="00BF42B7">
        <w:t>个人</w:t>
      </w:r>
      <w:r w:rsidRPr="00BF42B7">
        <w:rPr>
          <w:rFonts w:hint="eastAsia"/>
        </w:rPr>
        <w:t>”</w:t>
      </w:r>
      <w:r w:rsidRPr="00BF42B7">
        <w:t>的刑事责任</w:t>
      </w:r>
      <w:r w:rsidRPr="00BF42B7">
        <w:rPr>
          <w:lang w:val="zh-CN"/>
        </w:rPr>
        <w:t>。</w:t>
      </w:r>
      <w:r w:rsidRPr="00BF42B7">
        <w:rPr>
          <w:color w:val="0000FF"/>
          <w:vertAlign w:val="superscript"/>
          <w:lang w:val="zh-CN"/>
        </w:rPr>
        <w:footnoteReference w:id="1157"/>
      </w:r>
    </w:p>
    <w:p w:rsidR="00CD5A8C" w:rsidRPr="00BF42B7" w:rsidRDefault="00CD5A8C" w:rsidP="00CD5A8C">
      <w:pPr>
        <w:tabs>
          <w:tab w:val="clear" w:pos="431"/>
          <w:tab w:val="left" w:pos="1134"/>
          <w:tab w:val="left" w:pos="1565"/>
          <w:tab w:val="left" w:pos="1996"/>
          <w:tab w:val="left" w:pos="2427"/>
        </w:tabs>
        <w:spacing w:after="120"/>
        <w:ind w:left="1134" w:right="1134"/>
      </w:pPr>
      <w:r w:rsidRPr="00BF42B7">
        <w:rPr>
          <w:lang w:val="zh-CN"/>
        </w:rPr>
        <w:t>(40)</w:t>
      </w:r>
      <w:r w:rsidRPr="00BF42B7">
        <w:rPr>
          <w:rFonts w:hint="eastAsia"/>
          <w:lang w:val="zh-CN"/>
        </w:rPr>
        <w:t xml:space="preserve">  </w:t>
      </w:r>
      <w:r w:rsidRPr="00BF42B7">
        <w:rPr>
          <w:lang w:val="zh-CN"/>
        </w:rPr>
        <w:t>另一方面，修正《非洲司法和人权法院章程》的</w:t>
      </w:r>
      <w:r w:rsidRPr="00BF42B7">
        <w:rPr>
          <w:lang w:val="zh-CN"/>
        </w:rPr>
        <w:t>2014</w:t>
      </w:r>
      <w:r w:rsidRPr="00BF42B7">
        <w:rPr>
          <w:lang w:val="zh-CN"/>
        </w:rPr>
        <w:t>年非洲联盟议定书虽然尚未生效，但是授予了新设立的非洲法院对法人的国际罪行、包括危害人类罪的管辖权。</w:t>
      </w:r>
      <w:r w:rsidRPr="00BF42B7">
        <w:rPr>
          <w:color w:val="0000FF"/>
          <w:vertAlign w:val="superscript"/>
          <w:lang w:val="zh-CN"/>
        </w:rPr>
        <w:footnoteReference w:id="1158"/>
      </w:r>
      <w:r w:rsidRPr="00BF42B7">
        <w:rPr>
          <w:lang w:val="zh-CN"/>
        </w:rPr>
        <w:t xml:space="preserve"> </w:t>
      </w:r>
      <w:r w:rsidRPr="00BF42B7">
        <w:rPr>
          <w:lang w:val="zh-CN"/>
        </w:rPr>
        <w:t>此外，</w:t>
      </w:r>
      <w:r w:rsidRPr="00BF42B7">
        <w:rPr>
          <w:rFonts w:hint="eastAsia"/>
          <w:lang w:val="zh-CN"/>
        </w:rPr>
        <w:t>《</w:t>
      </w:r>
      <w:r w:rsidRPr="00BF42B7">
        <w:rPr>
          <w:lang w:val="zh-CN"/>
        </w:rPr>
        <w:t>黎巴嫩问题特别法庭规约</w:t>
      </w:r>
      <w:r w:rsidRPr="00BF42B7">
        <w:rPr>
          <w:rFonts w:hint="eastAsia"/>
          <w:lang w:val="zh-CN"/>
        </w:rPr>
        <w:t>》</w:t>
      </w:r>
      <w:r w:rsidRPr="00BF42B7">
        <w:rPr>
          <w:lang w:val="zh-CN"/>
        </w:rPr>
        <w:t>虽然没有</w:t>
      </w:r>
      <w:r w:rsidRPr="00BF42B7">
        <w:rPr>
          <w:rFonts w:hint="eastAsia"/>
          <w:lang w:val="zh-CN"/>
        </w:rPr>
        <w:t>明文</w:t>
      </w:r>
      <w:r w:rsidRPr="00BF42B7">
        <w:rPr>
          <w:lang w:val="zh-CN"/>
        </w:rPr>
        <w:t>规定对法人</w:t>
      </w:r>
      <w:r w:rsidRPr="00BF42B7">
        <w:rPr>
          <w:rFonts w:hint="eastAsia"/>
          <w:lang w:val="zh-CN"/>
        </w:rPr>
        <w:t>(</w:t>
      </w:r>
      <w:r w:rsidRPr="00BF42B7">
        <w:rPr>
          <w:lang w:val="zh-CN"/>
        </w:rPr>
        <w:t>以及对危害人类罪</w:t>
      </w:r>
      <w:r w:rsidRPr="00BF42B7">
        <w:rPr>
          <w:rFonts w:hint="eastAsia"/>
          <w:lang w:val="zh-CN"/>
        </w:rPr>
        <w:t>)</w:t>
      </w:r>
      <w:r w:rsidRPr="00BF42B7">
        <w:rPr>
          <w:lang w:val="zh-CN"/>
        </w:rPr>
        <w:t>的刑事管辖权，但是该法庭的上诉分庭</w:t>
      </w:r>
      <w:r w:rsidRPr="00BF42B7">
        <w:rPr>
          <w:lang w:val="zh-CN"/>
        </w:rPr>
        <w:t>2014</w:t>
      </w:r>
      <w:r w:rsidRPr="00BF42B7">
        <w:rPr>
          <w:lang w:val="zh-CN"/>
        </w:rPr>
        <w:t>年断定，</w:t>
      </w:r>
      <w:r w:rsidRPr="00BF42B7">
        <w:rPr>
          <w:rFonts w:hint="eastAsia"/>
          <w:lang w:val="zh-CN"/>
        </w:rPr>
        <w:t>该</w:t>
      </w:r>
      <w:r w:rsidRPr="00BF42B7">
        <w:rPr>
          <w:lang w:val="zh-CN"/>
        </w:rPr>
        <w:t>法庭有权以藐视法庭罪名起诉法人。</w:t>
      </w:r>
      <w:r w:rsidRPr="00BF42B7">
        <w:rPr>
          <w:color w:val="0000FF"/>
          <w:vertAlign w:val="superscript"/>
          <w:lang w:val="zh-CN"/>
        </w:rPr>
        <w:footnoteReference w:id="1159"/>
      </w:r>
      <w:bookmarkStart w:id="286" w:name="_Ref453927631"/>
      <w:bookmarkStart w:id="287" w:name="_Ref455743898"/>
      <w:bookmarkEnd w:id="286"/>
      <w:bookmarkEnd w:id="287"/>
    </w:p>
    <w:p w:rsidR="00CD5A8C" w:rsidRPr="00BF42B7" w:rsidRDefault="00CD5A8C" w:rsidP="00CD5A8C">
      <w:pPr>
        <w:tabs>
          <w:tab w:val="clear" w:pos="431"/>
          <w:tab w:val="left" w:pos="1134"/>
          <w:tab w:val="left" w:pos="1565"/>
          <w:tab w:val="left" w:pos="1996"/>
          <w:tab w:val="left" w:pos="2427"/>
        </w:tabs>
        <w:spacing w:after="120"/>
        <w:ind w:left="1134" w:right="1134"/>
      </w:pPr>
      <w:r w:rsidRPr="00BF42B7">
        <w:rPr>
          <w:lang w:val="zh-CN"/>
        </w:rPr>
        <w:t>(41)</w:t>
      </w:r>
      <w:r w:rsidRPr="00BF42B7">
        <w:rPr>
          <w:rFonts w:hint="eastAsia"/>
          <w:lang w:val="zh-CN"/>
        </w:rPr>
        <w:t xml:space="preserve">  </w:t>
      </w:r>
      <w:r w:rsidRPr="00BF42B7">
        <w:rPr>
          <w:lang w:val="zh-CN"/>
        </w:rPr>
        <w:t>此外，有一些条约涉及法人对刑事犯罪的责任，特别是：</w:t>
      </w:r>
      <w:r w:rsidRPr="00BF42B7">
        <w:rPr>
          <w:lang w:val="zh-CN"/>
        </w:rPr>
        <w:t>1973</w:t>
      </w:r>
      <w:r w:rsidRPr="00BF42B7">
        <w:rPr>
          <w:lang w:val="zh-CN"/>
        </w:rPr>
        <w:t>年《禁止并惩治种族隔离罪行国际公约》</w:t>
      </w:r>
      <w:r w:rsidRPr="00BF42B7">
        <w:rPr>
          <w:color w:val="0000FF"/>
          <w:vertAlign w:val="superscript"/>
          <w:lang w:val="zh-CN"/>
        </w:rPr>
        <w:footnoteReference w:id="1160"/>
      </w:r>
      <w:r w:rsidRPr="00BF42B7">
        <w:rPr>
          <w:rFonts w:hint="eastAsia"/>
          <w:lang w:val="zh-CN"/>
        </w:rPr>
        <w:t>、</w:t>
      </w:r>
      <w:r w:rsidRPr="00BF42B7">
        <w:rPr>
          <w:lang w:val="zh-CN"/>
        </w:rPr>
        <w:t>1989</w:t>
      </w:r>
      <w:r w:rsidRPr="00BF42B7">
        <w:rPr>
          <w:lang w:val="zh-CN"/>
        </w:rPr>
        <w:t>年《控制危险废物越境转移及其处置巴塞尔公约》</w:t>
      </w:r>
      <w:r w:rsidRPr="00BF42B7">
        <w:rPr>
          <w:color w:val="0000FF"/>
          <w:vertAlign w:val="superscript"/>
          <w:lang w:val="zh-CN"/>
        </w:rPr>
        <w:footnoteReference w:id="1161"/>
      </w:r>
      <w:r w:rsidRPr="00BF42B7">
        <w:rPr>
          <w:rFonts w:hint="eastAsia"/>
          <w:lang w:val="zh-CN"/>
        </w:rPr>
        <w:t>、</w:t>
      </w:r>
      <w:r w:rsidRPr="00BF42B7">
        <w:rPr>
          <w:lang w:val="zh-CN"/>
        </w:rPr>
        <w:t>1999</w:t>
      </w:r>
      <w:r w:rsidRPr="00BF42B7">
        <w:rPr>
          <w:lang w:val="zh-CN"/>
        </w:rPr>
        <w:t>年《制止向恐怖主义提供资助的国际公约》</w:t>
      </w:r>
      <w:r w:rsidRPr="00BF42B7">
        <w:rPr>
          <w:iCs/>
          <w:color w:val="0000FF"/>
          <w:vertAlign w:val="superscript"/>
          <w:lang w:val="zh-CN"/>
        </w:rPr>
        <w:footnoteReference w:id="1162"/>
      </w:r>
      <w:r w:rsidRPr="00BF42B7">
        <w:rPr>
          <w:rFonts w:hint="eastAsia"/>
          <w:lang w:val="zh-CN"/>
        </w:rPr>
        <w:t>、</w:t>
      </w:r>
      <w:r w:rsidRPr="00BF42B7">
        <w:rPr>
          <w:lang w:val="zh-CN"/>
        </w:rPr>
        <w:t>2000</w:t>
      </w:r>
      <w:r w:rsidRPr="00BF42B7">
        <w:rPr>
          <w:lang w:val="zh-CN"/>
        </w:rPr>
        <w:t>年《联合国打击跨国有组织犯罪公约》</w:t>
      </w:r>
      <w:r w:rsidRPr="00BF42B7">
        <w:rPr>
          <w:color w:val="0000FF"/>
          <w:vertAlign w:val="superscript"/>
          <w:lang w:val="zh-CN"/>
        </w:rPr>
        <w:footnoteReference w:id="1163"/>
      </w:r>
      <w:r w:rsidRPr="00BF42B7">
        <w:rPr>
          <w:rFonts w:hint="eastAsia"/>
          <w:lang w:val="zh-CN"/>
        </w:rPr>
        <w:t>、</w:t>
      </w:r>
      <w:r w:rsidRPr="00BF42B7">
        <w:rPr>
          <w:lang w:val="zh-CN"/>
        </w:rPr>
        <w:t>2000</w:t>
      </w:r>
      <w:r w:rsidRPr="00BF42B7">
        <w:rPr>
          <w:lang w:val="zh-CN"/>
        </w:rPr>
        <w:t>年《儿童权利公约关于买卖儿童、儿童卖淫和儿童色情制品问题的任择议定书》</w:t>
      </w:r>
      <w:r w:rsidRPr="00BF42B7">
        <w:rPr>
          <w:color w:val="0000FF"/>
          <w:vertAlign w:val="superscript"/>
          <w:lang w:val="zh-CN"/>
        </w:rPr>
        <w:footnoteReference w:id="1164"/>
      </w:r>
      <w:r w:rsidRPr="00BF42B7">
        <w:rPr>
          <w:rFonts w:hint="eastAsia"/>
          <w:lang w:val="zh-CN"/>
        </w:rPr>
        <w:t>、</w:t>
      </w:r>
      <w:r w:rsidRPr="00BF42B7">
        <w:rPr>
          <w:spacing w:val="-4"/>
          <w:lang w:val="zh-CN"/>
        </w:rPr>
        <w:t>2003</w:t>
      </w:r>
      <w:r w:rsidRPr="00BF42B7">
        <w:rPr>
          <w:spacing w:val="-4"/>
          <w:lang w:val="zh-CN"/>
        </w:rPr>
        <w:t>年</w:t>
      </w:r>
      <w:r w:rsidRPr="00BF42B7">
        <w:rPr>
          <w:spacing w:val="2"/>
          <w:lang w:val="zh-CN"/>
        </w:rPr>
        <w:t>《联合国反腐败公约》</w:t>
      </w:r>
      <w:r w:rsidRPr="00BF42B7">
        <w:rPr>
          <w:color w:val="0000FF"/>
          <w:spacing w:val="2"/>
          <w:vertAlign w:val="superscript"/>
          <w:lang w:val="zh-CN"/>
        </w:rPr>
        <w:footnoteReference w:id="1165"/>
      </w:r>
      <w:r w:rsidRPr="00BF42B7">
        <w:rPr>
          <w:rFonts w:hint="eastAsia"/>
          <w:spacing w:val="2"/>
          <w:lang w:val="zh-CN"/>
        </w:rPr>
        <w:t>、</w:t>
      </w:r>
      <w:r w:rsidRPr="00BF42B7">
        <w:rPr>
          <w:spacing w:val="2"/>
          <w:lang w:val="zh-CN"/>
        </w:rPr>
        <w:t>《制止危及大陆架固定平台安全非法行为议定书的</w:t>
      </w:r>
      <w:r w:rsidRPr="00BF42B7">
        <w:rPr>
          <w:spacing w:val="2"/>
          <w:lang w:val="zh-CN"/>
        </w:rPr>
        <w:t>2005</w:t>
      </w:r>
      <w:r w:rsidRPr="00BF42B7">
        <w:rPr>
          <w:spacing w:val="2"/>
          <w:lang w:val="zh-CN"/>
        </w:rPr>
        <w:t>年议定书》</w:t>
      </w:r>
      <w:r w:rsidRPr="00BF42B7">
        <w:rPr>
          <w:color w:val="0000FF"/>
          <w:spacing w:val="2"/>
          <w:vertAlign w:val="superscript"/>
          <w:lang w:val="zh-CN"/>
        </w:rPr>
        <w:footnoteReference w:id="1166"/>
      </w:r>
      <w:r w:rsidRPr="00BF42B7">
        <w:rPr>
          <w:rFonts w:hint="eastAsia"/>
          <w:spacing w:val="2"/>
          <w:lang w:val="zh-CN"/>
        </w:rPr>
        <w:t>，</w:t>
      </w:r>
      <w:r w:rsidRPr="00BF42B7">
        <w:rPr>
          <w:lang w:val="zh-CN"/>
        </w:rPr>
        <w:t>以及欧洲委员会内缔结的一系列条约。</w:t>
      </w:r>
      <w:r w:rsidRPr="00BF42B7">
        <w:rPr>
          <w:color w:val="0000FF"/>
          <w:vertAlign w:val="superscript"/>
          <w:lang w:val="zh-CN"/>
        </w:rPr>
        <w:footnoteReference w:id="1167"/>
      </w:r>
      <w:r w:rsidRPr="00BF42B7">
        <w:rPr>
          <w:lang w:val="zh-CN"/>
        </w:rPr>
        <w:t xml:space="preserve"> </w:t>
      </w:r>
      <w:r w:rsidRPr="00BF42B7">
        <w:rPr>
          <w:lang w:val="zh-CN"/>
        </w:rPr>
        <w:t>还有一些区域文书也涉及法人的刑事责任，主要是在腐败方面。</w:t>
      </w:r>
      <w:r w:rsidRPr="00BF42B7">
        <w:rPr>
          <w:color w:val="0000FF"/>
          <w:vertAlign w:val="superscript"/>
          <w:lang w:val="zh-CN"/>
        </w:rPr>
        <w:footnoteReference w:id="1168"/>
      </w:r>
      <w:r w:rsidRPr="00BF42B7">
        <w:rPr>
          <w:lang w:val="zh-CN"/>
        </w:rPr>
        <w:t xml:space="preserve"> </w:t>
      </w:r>
      <w:r w:rsidRPr="00BF42B7">
        <w:rPr>
          <w:lang w:val="zh-CN"/>
        </w:rPr>
        <w:t>这些条约通常不对</w:t>
      </w:r>
      <w:r w:rsidRPr="00BF42B7">
        <w:rPr>
          <w:rFonts w:hint="eastAsia"/>
          <w:lang w:val="zh-CN"/>
        </w:rPr>
        <w:t>“</w:t>
      </w:r>
      <w:r w:rsidRPr="00BF42B7">
        <w:rPr>
          <w:lang w:val="zh-CN"/>
        </w:rPr>
        <w:t>法人</w:t>
      </w:r>
      <w:r w:rsidRPr="00BF42B7">
        <w:rPr>
          <w:rFonts w:hint="eastAsia"/>
          <w:lang w:val="zh-CN"/>
        </w:rPr>
        <w:t>”</w:t>
      </w:r>
      <w:r w:rsidRPr="00BF42B7">
        <w:rPr>
          <w:lang w:val="zh-CN"/>
        </w:rPr>
        <w:t>一词下定义，留给国内法律体系适用国内通常适用的定义。</w:t>
      </w:r>
      <w:bookmarkStart w:id="288" w:name="_Ref455694523"/>
      <w:bookmarkStart w:id="289" w:name="_Ref453925729"/>
      <w:bookmarkEnd w:id="288"/>
      <w:bookmarkEnd w:id="289"/>
    </w:p>
    <w:p w:rsidR="00CD5A8C" w:rsidRPr="00BF42B7" w:rsidRDefault="00CD5A8C" w:rsidP="00CD5A8C">
      <w:pPr>
        <w:keepNext/>
        <w:keepLines/>
        <w:tabs>
          <w:tab w:val="clear" w:pos="431"/>
          <w:tab w:val="left" w:pos="1134"/>
          <w:tab w:val="left" w:pos="1565"/>
          <w:tab w:val="left" w:pos="1996"/>
          <w:tab w:val="left" w:pos="2427"/>
        </w:tabs>
        <w:spacing w:after="120"/>
        <w:ind w:left="1134" w:right="1134"/>
      </w:pPr>
      <w:r w:rsidRPr="00BF42B7">
        <w:rPr>
          <w:lang w:val="zh-CN"/>
        </w:rPr>
        <w:t>(42)</w:t>
      </w:r>
      <w:r w:rsidRPr="00BF42B7">
        <w:rPr>
          <w:rFonts w:hint="eastAsia"/>
          <w:lang w:val="zh-CN"/>
        </w:rPr>
        <w:t xml:space="preserve">  </w:t>
      </w:r>
      <w:r w:rsidRPr="00BF42B7">
        <w:rPr>
          <w:lang w:val="zh-CN"/>
        </w:rPr>
        <w:t>委员会考虑到法人可能卷入在广泛或系统地针对平民人口的攻击中实施的行为，决定加上一项关于法人对危害人类罪的责任的条款。委员会特别</w:t>
      </w:r>
      <w:r w:rsidRPr="00BF42B7">
        <w:rPr>
          <w:rFonts w:hint="eastAsia"/>
          <w:lang w:val="zh-CN"/>
        </w:rPr>
        <w:t>采用</w:t>
      </w:r>
      <w:r w:rsidRPr="00BF42B7">
        <w:rPr>
          <w:lang w:val="zh-CN"/>
        </w:rPr>
        <w:t>了</w:t>
      </w:r>
      <w:r w:rsidRPr="00BF42B7">
        <w:rPr>
          <w:rFonts w:hint="eastAsia"/>
          <w:lang w:val="zh-CN"/>
        </w:rPr>
        <w:t>在</w:t>
      </w:r>
      <w:r w:rsidRPr="00BF42B7">
        <w:rPr>
          <w:lang w:val="zh-CN"/>
        </w:rPr>
        <w:t>其他罪行背景下已被各国广泛接受、并且让各国在履行义务方面有</w:t>
      </w:r>
      <w:r w:rsidRPr="00BF42B7">
        <w:rPr>
          <w:rFonts w:hint="eastAsia"/>
          <w:lang w:val="zh-CN"/>
        </w:rPr>
        <w:t>较</w:t>
      </w:r>
      <w:r w:rsidRPr="00BF42B7">
        <w:rPr>
          <w:lang w:val="zh-CN"/>
        </w:rPr>
        <w:t>大灵活性的措辞。</w:t>
      </w:r>
    </w:p>
    <w:p w:rsidR="00CD5A8C" w:rsidRPr="00BF42B7" w:rsidRDefault="00CD5A8C" w:rsidP="00CD5A8C">
      <w:pPr>
        <w:tabs>
          <w:tab w:val="clear" w:pos="431"/>
          <w:tab w:val="left" w:pos="1134"/>
          <w:tab w:val="left" w:pos="1565"/>
          <w:tab w:val="left" w:pos="1996"/>
          <w:tab w:val="left" w:pos="2427"/>
        </w:tabs>
        <w:spacing w:after="120"/>
        <w:ind w:left="1134" w:right="1134"/>
      </w:pPr>
      <w:r w:rsidRPr="00BF42B7">
        <w:rPr>
          <w:lang w:val="zh-CN"/>
        </w:rPr>
        <w:t>(43)</w:t>
      </w:r>
      <w:r w:rsidRPr="00BF42B7">
        <w:rPr>
          <w:rFonts w:hint="eastAsia"/>
          <w:lang w:val="zh-CN"/>
        </w:rPr>
        <w:t xml:space="preserve">  </w:t>
      </w:r>
      <w:r w:rsidRPr="00BF42B7">
        <w:rPr>
          <w:lang w:val="zh-CN"/>
        </w:rPr>
        <w:t>第</w:t>
      </w:r>
      <w:r w:rsidRPr="00BF42B7">
        <w:rPr>
          <w:lang w:val="zh-CN"/>
        </w:rPr>
        <w:t>5</w:t>
      </w:r>
      <w:r w:rsidRPr="00BF42B7">
        <w:rPr>
          <w:lang w:val="zh-CN"/>
        </w:rPr>
        <w:t>条草案第</w:t>
      </w:r>
      <w:r w:rsidRPr="00BF42B7">
        <w:rPr>
          <w:lang w:val="zh-CN"/>
        </w:rPr>
        <w:t>7</w:t>
      </w:r>
      <w:r w:rsidRPr="00BF42B7">
        <w:rPr>
          <w:lang w:val="zh-CN"/>
        </w:rPr>
        <w:t>款以</w:t>
      </w:r>
      <w:r w:rsidRPr="00BF42B7">
        <w:rPr>
          <w:lang w:val="zh-CN"/>
        </w:rPr>
        <w:t>2000</w:t>
      </w:r>
      <w:r w:rsidRPr="00BF42B7">
        <w:rPr>
          <w:lang w:val="zh-CN"/>
        </w:rPr>
        <w:t>年《儿童权利公约关于买卖儿童、儿童卖淫和儿童色情制品问题的任择议定书》为范本。《任择议定书》于</w:t>
      </w:r>
      <w:r w:rsidRPr="00BF42B7">
        <w:rPr>
          <w:lang w:val="zh-CN"/>
        </w:rPr>
        <w:t>2000</w:t>
      </w:r>
      <w:r w:rsidRPr="00BF42B7">
        <w:rPr>
          <w:lang w:val="zh-CN"/>
        </w:rPr>
        <w:t>年经大会通过，</w:t>
      </w:r>
      <w:r w:rsidRPr="00BF42B7">
        <w:rPr>
          <w:rFonts w:hint="eastAsia"/>
          <w:lang w:val="zh-CN"/>
        </w:rPr>
        <w:t>自</w:t>
      </w:r>
      <w:r w:rsidRPr="00BF42B7">
        <w:rPr>
          <w:lang w:val="zh-CN"/>
        </w:rPr>
        <w:t>2002</w:t>
      </w:r>
      <w:r w:rsidRPr="00BF42B7">
        <w:rPr>
          <w:lang w:val="zh-CN"/>
        </w:rPr>
        <w:t>年</w:t>
      </w:r>
      <w:r w:rsidRPr="00BF42B7">
        <w:rPr>
          <w:rFonts w:hint="eastAsia"/>
          <w:lang w:val="zh-CN"/>
        </w:rPr>
        <w:t>起</w:t>
      </w:r>
      <w:r w:rsidRPr="00BF42B7">
        <w:rPr>
          <w:spacing w:val="4"/>
          <w:lang w:val="zh-CN"/>
        </w:rPr>
        <w:t>生效。截至</w:t>
      </w:r>
      <w:r w:rsidRPr="00BF42B7">
        <w:rPr>
          <w:spacing w:val="4"/>
          <w:lang w:val="zh-CN"/>
        </w:rPr>
        <w:t>2016</w:t>
      </w:r>
      <w:r w:rsidRPr="00BF42B7">
        <w:rPr>
          <w:spacing w:val="4"/>
          <w:lang w:val="zh-CN"/>
        </w:rPr>
        <w:t>年</w:t>
      </w:r>
      <w:r w:rsidRPr="00BF42B7">
        <w:rPr>
          <w:rFonts w:hint="eastAsia"/>
          <w:spacing w:val="4"/>
          <w:lang w:val="zh-CN"/>
        </w:rPr>
        <w:t>8</w:t>
      </w:r>
      <w:r w:rsidRPr="00BF42B7">
        <w:rPr>
          <w:spacing w:val="4"/>
          <w:lang w:val="zh-CN"/>
        </w:rPr>
        <w:t>月，</w:t>
      </w:r>
      <w:r w:rsidRPr="00BF42B7">
        <w:rPr>
          <w:rFonts w:hint="eastAsia"/>
          <w:spacing w:val="4"/>
          <w:lang w:val="zh-CN"/>
        </w:rPr>
        <w:t>有</w:t>
      </w:r>
      <w:r w:rsidRPr="00BF42B7">
        <w:rPr>
          <w:spacing w:val="4"/>
          <w:lang w:val="zh-CN"/>
        </w:rPr>
        <w:t>173</w:t>
      </w:r>
      <w:r w:rsidRPr="00BF42B7">
        <w:rPr>
          <w:spacing w:val="4"/>
          <w:lang w:val="zh-CN"/>
        </w:rPr>
        <w:t>个国家加入了《任择议定书》，另有</w:t>
      </w:r>
      <w:r w:rsidRPr="00BF42B7">
        <w:rPr>
          <w:spacing w:val="4"/>
          <w:lang w:val="zh-CN"/>
        </w:rPr>
        <w:t>9</w:t>
      </w:r>
      <w:r w:rsidRPr="00BF42B7">
        <w:rPr>
          <w:spacing w:val="4"/>
          <w:lang w:val="zh-CN"/>
        </w:rPr>
        <w:t>个国家已签署但尚未批准该议定书。《任择议定书》第</w:t>
      </w:r>
      <w:r w:rsidRPr="00BF42B7">
        <w:rPr>
          <w:spacing w:val="4"/>
          <w:lang w:val="zh-CN"/>
        </w:rPr>
        <w:t>3</w:t>
      </w:r>
      <w:r w:rsidRPr="00BF42B7">
        <w:rPr>
          <w:spacing w:val="4"/>
          <w:lang w:val="zh-CN"/>
        </w:rPr>
        <w:t>条第</w:t>
      </w:r>
      <w:r w:rsidRPr="00BF42B7">
        <w:rPr>
          <w:spacing w:val="4"/>
          <w:lang w:val="zh-CN"/>
        </w:rPr>
        <w:t>1</w:t>
      </w:r>
      <w:r w:rsidRPr="00BF42B7">
        <w:rPr>
          <w:spacing w:val="4"/>
          <w:lang w:val="zh-CN"/>
        </w:rPr>
        <w:t>款要求每一缔约国确保本国刑法涵盖</w:t>
      </w:r>
      <w:r w:rsidRPr="00BF42B7">
        <w:rPr>
          <w:rFonts w:hint="eastAsia"/>
          <w:spacing w:val="4"/>
          <w:lang w:val="zh-CN"/>
        </w:rPr>
        <w:t>特定</w:t>
      </w:r>
      <w:r w:rsidRPr="00BF42B7">
        <w:rPr>
          <w:spacing w:val="4"/>
          <w:lang w:val="zh-CN"/>
        </w:rPr>
        <w:t>行为，例如出于性剥削目的出售儿童或提供儿童卖淫。第</w:t>
      </w:r>
      <w:r w:rsidRPr="00BF42B7">
        <w:rPr>
          <w:spacing w:val="4"/>
          <w:lang w:val="zh-CN"/>
        </w:rPr>
        <w:t>3</w:t>
      </w:r>
      <w:r w:rsidRPr="00BF42B7">
        <w:rPr>
          <w:spacing w:val="4"/>
          <w:lang w:val="zh-CN"/>
        </w:rPr>
        <w:t>条第</w:t>
      </w:r>
      <w:r w:rsidRPr="00BF42B7">
        <w:rPr>
          <w:spacing w:val="4"/>
          <w:lang w:val="zh-CN"/>
        </w:rPr>
        <w:t>4</w:t>
      </w:r>
      <w:r w:rsidRPr="00BF42B7">
        <w:rPr>
          <w:spacing w:val="4"/>
          <w:lang w:val="zh-CN"/>
        </w:rPr>
        <w:t>款规定：</w:t>
      </w:r>
      <w:r w:rsidRPr="00BF42B7">
        <w:rPr>
          <w:rFonts w:hint="eastAsia"/>
          <w:spacing w:val="4"/>
          <w:lang w:val="zh-CN"/>
        </w:rPr>
        <w:t>“</w:t>
      </w:r>
      <w:r w:rsidRPr="00BF42B7">
        <w:rPr>
          <w:spacing w:val="4"/>
          <w:lang w:val="zh-CN"/>
        </w:rPr>
        <w:t>在不违反本国法律规定的情况下，每一缔约国应酌情采取适当措施确定法人对本条第</w:t>
      </w:r>
      <w:r w:rsidRPr="00BF42B7">
        <w:rPr>
          <w:spacing w:val="4"/>
          <w:lang w:val="zh-CN"/>
        </w:rPr>
        <w:t>1</w:t>
      </w:r>
      <w:r w:rsidRPr="00BF42B7">
        <w:rPr>
          <w:lang w:val="zh-CN"/>
        </w:rPr>
        <w:t>款规定的罪行的责任。在不违反缔约国的法律原则的情况下，可将法人的这一责任定为刑事、民事或行政责任</w:t>
      </w:r>
      <w:r w:rsidRPr="00BF42B7">
        <w:rPr>
          <w:rFonts w:hint="eastAsia"/>
          <w:lang w:val="zh-CN"/>
        </w:rPr>
        <w:t>”</w:t>
      </w:r>
      <w:r w:rsidRPr="00BF42B7">
        <w:rPr>
          <w:lang w:val="zh-CN"/>
        </w:rPr>
        <w:t>。</w:t>
      </w:r>
    </w:p>
    <w:p w:rsidR="00CD5A8C" w:rsidRPr="00BF42B7" w:rsidRDefault="00CD5A8C" w:rsidP="00CD5A8C">
      <w:pPr>
        <w:tabs>
          <w:tab w:val="clear" w:pos="431"/>
          <w:tab w:val="left" w:pos="1134"/>
          <w:tab w:val="left" w:pos="1565"/>
          <w:tab w:val="left" w:pos="1996"/>
          <w:tab w:val="left" w:pos="2427"/>
        </w:tabs>
        <w:spacing w:after="120"/>
        <w:ind w:left="1134" w:right="1134"/>
      </w:pPr>
      <w:r w:rsidRPr="00BF42B7">
        <w:rPr>
          <w:lang w:val="zh-CN"/>
        </w:rPr>
        <w:t>(44)</w:t>
      </w:r>
      <w:r w:rsidRPr="00BF42B7">
        <w:rPr>
          <w:rFonts w:hint="eastAsia"/>
          <w:lang w:val="zh-CN"/>
        </w:rPr>
        <w:t xml:space="preserve">  </w:t>
      </w:r>
      <w:r w:rsidRPr="00BF42B7">
        <w:rPr>
          <w:lang w:val="zh-CN"/>
        </w:rPr>
        <w:t>第</w:t>
      </w:r>
      <w:r w:rsidRPr="00BF42B7">
        <w:rPr>
          <w:lang w:val="zh-CN"/>
        </w:rPr>
        <w:t>5</w:t>
      </w:r>
      <w:r w:rsidRPr="00BF42B7">
        <w:rPr>
          <w:lang w:val="zh-CN"/>
        </w:rPr>
        <w:t>条草案第</w:t>
      </w:r>
      <w:r w:rsidRPr="00BF42B7">
        <w:rPr>
          <w:lang w:val="zh-CN"/>
        </w:rPr>
        <w:t>7</w:t>
      </w:r>
      <w:r w:rsidRPr="00BF42B7">
        <w:rPr>
          <w:lang w:val="zh-CN"/>
        </w:rPr>
        <w:t>款使用同样的措辞，但是将</w:t>
      </w:r>
      <w:r w:rsidRPr="00BF42B7">
        <w:rPr>
          <w:rFonts w:hint="eastAsia"/>
          <w:lang w:val="zh-CN"/>
        </w:rPr>
        <w:t>“</w:t>
      </w:r>
      <w:r w:rsidRPr="00BF42B7">
        <w:rPr>
          <w:lang w:val="zh-CN"/>
        </w:rPr>
        <w:t>缔约国</w:t>
      </w:r>
      <w:r w:rsidRPr="00BF42B7">
        <w:rPr>
          <w:rFonts w:hint="eastAsia"/>
          <w:lang w:val="zh-CN"/>
        </w:rPr>
        <w:t>”</w:t>
      </w:r>
      <w:r w:rsidRPr="00BF42B7">
        <w:rPr>
          <w:lang w:val="zh-CN"/>
        </w:rPr>
        <w:t>改为</w:t>
      </w:r>
      <w:r w:rsidRPr="00BF42B7">
        <w:rPr>
          <w:rFonts w:hint="eastAsia"/>
          <w:lang w:val="zh-CN"/>
        </w:rPr>
        <w:t>“</w:t>
      </w:r>
      <w:r w:rsidRPr="00BF42B7">
        <w:rPr>
          <w:lang w:val="zh-CN"/>
        </w:rPr>
        <w:t>国家</w:t>
      </w:r>
      <w:r w:rsidRPr="00BF42B7">
        <w:rPr>
          <w:rFonts w:hint="eastAsia"/>
          <w:lang w:val="zh-CN"/>
        </w:rPr>
        <w:t>”</w:t>
      </w:r>
      <w:r w:rsidRPr="00BF42B7">
        <w:rPr>
          <w:lang w:val="zh-CN"/>
        </w:rPr>
        <w:t>，将</w:t>
      </w:r>
      <w:r w:rsidRPr="00BF42B7">
        <w:rPr>
          <w:rFonts w:hint="eastAsia"/>
          <w:lang w:val="zh-CN"/>
        </w:rPr>
        <w:t>“</w:t>
      </w:r>
      <w:r w:rsidRPr="00BF42B7">
        <w:rPr>
          <w:lang w:val="zh-CN"/>
        </w:rPr>
        <w:t>本条第</w:t>
      </w:r>
      <w:r w:rsidRPr="00BF42B7">
        <w:rPr>
          <w:lang w:val="zh-CN"/>
        </w:rPr>
        <w:t>1</w:t>
      </w:r>
      <w:r w:rsidRPr="00BF42B7">
        <w:rPr>
          <w:lang w:val="zh-CN"/>
        </w:rPr>
        <w:t>款规定的罪行</w:t>
      </w:r>
      <w:r w:rsidRPr="00BF42B7">
        <w:rPr>
          <w:rFonts w:hint="eastAsia"/>
          <w:lang w:val="zh-CN"/>
        </w:rPr>
        <w:t>”</w:t>
      </w:r>
      <w:r w:rsidRPr="00BF42B7">
        <w:rPr>
          <w:lang w:val="zh-CN"/>
        </w:rPr>
        <w:t>改为</w:t>
      </w:r>
      <w:r w:rsidRPr="00BF42B7">
        <w:rPr>
          <w:rFonts w:hint="eastAsia"/>
          <w:lang w:val="zh-CN"/>
        </w:rPr>
        <w:t>“</w:t>
      </w:r>
      <w:r w:rsidRPr="00BF42B7">
        <w:rPr>
          <w:lang w:val="zh-CN"/>
        </w:rPr>
        <w:t>本条草案所指罪行</w:t>
      </w:r>
      <w:r w:rsidRPr="00BF42B7">
        <w:rPr>
          <w:rFonts w:hint="eastAsia"/>
          <w:lang w:val="zh-CN"/>
        </w:rPr>
        <w:t>”。</w:t>
      </w:r>
      <w:r w:rsidRPr="00BF42B7">
        <w:rPr>
          <w:lang w:val="zh-CN"/>
        </w:rPr>
        <w:t>第</w:t>
      </w:r>
      <w:r w:rsidRPr="00BF42B7">
        <w:rPr>
          <w:lang w:val="zh-CN"/>
        </w:rPr>
        <w:t>7</w:t>
      </w:r>
      <w:r w:rsidRPr="00BF42B7">
        <w:rPr>
          <w:rFonts w:hint="eastAsia"/>
          <w:lang w:val="zh-CN"/>
        </w:rPr>
        <w:t>款从而</w:t>
      </w:r>
      <w:r w:rsidRPr="00BF42B7">
        <w:rPr>
          <w:lang w:val="zh-CN"/>
        </w:rPr>
        <w:t>规定了国家</w:t>
      </w:r>
      <w:r w:rsidRPr="00BF42B7">
        <w:rPr>
          <w:rFonts w:hint="eastAsia"/>
          <w:lang w:val="zh-CN"/>
        </w:rPr>
        <w:t>“</w:t>
      </w:r>
      <w:r w:rsidRPr="00BF42B7">
        <w:rPr>
          <w:lang w:val="zh-CN"/>
        </w:rPr>
        <w:t>应采取措施</w:t>
      </w:r>
      <w:r w:rsidRPr="00BF42B7">
        <w:rPr>
          <w:rFonts w:hint="eastAsia"/>
          <w:lang w:val="zh-CN"/>
        </w:rPr>
        <w:t>”</w:t>
      </w:r>
      <w:r w:rsidRPr="00BF42B7">
        <w:rPr>
          <w:lang w:val="zh-CN"/>
        </w:rPr>
        <w:t>的义务，意味着</w:t>
      </w:r>
      <w:r w:rsidRPr="00BF42B7">
        <w:rPr>
          <w:rFonts w:hint="eastAsia"/>
          <w:lang w:val="zh-CN"/>
        </w:rPr>
        <w:t>国家</w:t>
      </w:r>
      <w:r w:rsidRPr="00BF42B7">
        <w:rPr>
          <w:lang w:val="zh-CN"/>
        </w:rPr>
        <w:t>必须本着诚意采取这类措施。与此同时，第</w:t>
      </w:r>
      <w:r w:rsidRPr="00BF42B7">
        <w:rPr>
          <w:lang w:val="zh-CN"/>
        </w:rPr>
        <w:t>7</w:t>
      </w:r>
      <w:r w:rsidRPr="00BF42B7">
        <w:rPr>
          <w:rFonts w:hint="eastAsia"/>
          <w:lang w:val="zh-CN"/>
        </w:rPr>
        <w:t>款</w:t>
      </w:r>
      <w:r w:rsidRPr="00BF42B7">
        <w:rPr>
          <w:lang w:val="zh-CN"/>
        </w:rPr>
        <w:t>在根据国内法来</w:t>
      </w:r>
      <w:r w:rsidRPr="00BF42B7">
        <w:rPr>
          <w:rFonts w:hint="eastAsia"/>
          <w:lang w:val="zh-CN"/>
        </w:rPr>
        <w:t>确定</w:t>
      </w:r>
      <w:r w:rsidRPr="00BF42B7">
        <w:rPr>
          <w:lang w:val="zh-CN"/>
        </w:rPr>
        <w:t>这些措施方面，赋予了国家</w:t>
      </w:r>
      <w:r w:rsidRPr="00BF42B7">
        <w:rPr>
          <w:rFonts w:hint="eastAsia"/>
          <w:lang w:val="zh-CN"/>
        </w:rPr>
        <w:t>相当大</w:t>
      </w:r>
      <w:r w:rsidRPr="00BF42B7">
        <w:rPr>
          <w:lang w:val="zh-CN"/>
        </w:rPr>
        <w:t>的灵活性。首先，</w:t>
      </w:r>
      <w:r w:rsidRPr="00BF42B7">
        <w:rPr>
          <w:rFonts w:hint="eastAsia"/>
          <w:lang w:val="zh-CN"/>
        </w:rPr>
        <w:t>“</w:t>
      </w:r>
      <w:r w:rsidRPr="00BF42B7">
        <w:rPr>
          <w:lang w:val="zh-CN"/>
        </w:rPr>
        <w:t>在不违反本国法律规定的情况下</w:t>
      </w:r>
      <w:r w:rsidRPr="00BF42B7">
        <w:rPr>
          <w:rFonts w:hint="eastAsia"/>
          <w:lang w:val="zh-CN"/>
        </w:rPr>
        <w:t>”</w:t>
      </w:r>
      <w:r w:rsidRPr="00BF42B7">
        <w:rPr>
          <w:lang w:val="zh-CN"/>
        </w:rPr>
        <w:t>应理解为</w:t>
      </w:r>
      <w:r w:rsidRPr="00BF42B7">
        <w:rPr>
          <w:rFonts w:hint="eastAsia"/>
          <w:lang w:val="zh-CN"/>
        </w:rPr>
        <w:t>在将</w:t>
      </w:r>
      <w:r w:rsidRPr="00BF42B7">
        <w:rPr>
          <w:lang w:val="zh-CN"/>
        </w:rPr>
        <w:t>采取的措施</w:t>
      </w:r>
      <w:r w:rsidRPr="00BF42B7">
        <w:rPr>
          <w:rFonts w:hint="eastAsia"/>
          <w:lang w:val="zh-CN"/>
        </w:rPr>
        <w:t>方面，赋予国家</w:t>
      </w:r>
      <w:r w:rsidRPr="00BF42B7">
        <w:rPr>
          <w:lang w:val="zh-CN"/>
        </w:rPr>
        <w:t>相当大的酌处权；这一义务</w:t>
      </w:r>
      <w:r w:rsidRPr="00BF42B7">
        <w:rPr>
          <w:rFonts w:hint="eastAsia"/>
          <w:lang w:val="zh-CN"/>
        </w:rPr>
        <w:t>“</w:t>
      </w:r>
      <w:r w:rsidRPr="00BF42B7">
        <w:rPr>
          <w:lang w:val="zh-CN"/>
        </w:rPr>
        <w:t>不违反</w:t>
      </w:r>
      <w:r w:rsidRPr="00BF42B7">
        <w:rPr>
          <w:rFonts w:hint="eastAsia"/>
          <w:lang w:val="zh-CN"/>
        </w:rPr>
        <w:t>”</w:t>
      </w:r>
      <w:r w:rsidRPr="00BF42B7">
        <w:rPr>
          <w:lang w:val="zh-CN"/>
        </w:rPr>
        <w:t>国内法</w:t>
      </w:r>
      <w:r w:rsidRPr="00BF42B7">
        <w:rPr>
          <w:rFonts w:hint="eastAsia"/>
          <w:lang w:val="zh-CN"/>
        </w:rPr>
        <w:t>规定的</w:t>
      </w:r>
      <w:r w:rsidRPr="00BF42B7">
        <w:rPr>
          <w:lang w:val="zh-CN"/>
        </w:rPr>
        <w:t>国家关于法人刑事责任的现有做法。例如，在大多数国家，法人对刑事</w:t>
      </w:r>
      <w:r w:rsidRPr="00BF42B7">
        <w:rPr>
          <w:rFonts w:hint="eastAsia"/>
          <w:lang w:val="zh-CN"/>
        </w:rPr>
        <w:t>犯罪的</w:t>
      </w:r>
      <w:r w:rsidRPr="00BF42B7">
        <w:rPr>
          <w:lang w:val="zh-CN"/>
        </w:rPr>
        <w:t>责任</w:t>
      </w:r>
      <w:r w:rsidRPr="00BF42B7">
        <w:rPr>
          <w:rFonts w:hint="eastAsia"/>
          <w:lang w:val="zh-CN"/>
        </w:rPr>
        <w:t>只根据</w:t>
      </w:r>
      <w:r w:rsidRPr="00BF42B7">
        <w:rPr>
          <w:lang w:val="zh-CN"/>
        </w:rPr>
        <w:t>国内法</w:t>
      </w:r>
      <w:r w:rsidRPr="00BF42B7">
        <w:rPr>
          <w:rFonts w:hint="eastAsia"/>
          <w:lang w:val="zh-CN"/>
        </w:rPr>
        <w:t>对</w:t>
      </w:r>
      <w:r w:rsidRPr="00BF42B7">
        <w:rPr>
          <w:lang w:val="zh-CN"/>
        </w:rPr>
        <w:t>特定类型的法人适用。实际上，</w:t>
      </w:r>
      <w:r w:rsidRPr="00BF42B7">
        <w:rPr>
          <w:rFonts w:hint="eastAsia"/>
          <w:lang w:val="zh-CN"/>
        </w:rPr>
        <w:t>按照</w:t>
      </w:r>
      <w:r w:rsidRPr="00BF42B7">
        <w:rPr>
          <w:lang w:val="zh-CN"/>
        </w:rPr>
        <w:t>大多数国家的法律，这种情况下的</w:t>
      </w:r>
      <w:r w:rsidRPr="00BF42B7">
        <w:rPr>
          <w:rFonts w:hint="eastAsia"/>
          <w:lang w:val="zh-CN"/>
        </w:rPr>
        <w:t>“</w:t>
      </w:r>
      <w:r w:rsidRPr="00BF42B7">
        <w:rPr>
          <w:lang w:val="zh-CN"/>
        </w:rPr>
        <w:t>法人</w:t>
      </w:r>
      <w:r w:rsidRPr="00BF42B7">
        <w:rPr>
          <w:rFonts w:hint="eastAsia"/>
          <w:lang w:val="zh-CN"/>
        </w:rPr>
        <w:t>”</w:t>
      </w:r>
      <w:r w:rsidRPr="00BF42B7">
        <w:rPr>
          <w:lang w:val="zh-CN"/>
        </w:rPr>
        <w:t>可能排除了国家、政府、行使国家权力的其他公共机构，以及公共国际组织。</w:t>
      </w:r>
      <w:r w:rsidRPr="00BF42B7">
        <w:rPr>
          <w:iCs/>
          <w:color w:val="0000FF"/>
          <w:vertAlign w:val="superscript"/>
          <w:lang w:val="zh-CN"/>
        </w:rPr>
        <w:footnoteReference w:id="1169"/>
      </w:r>
      <w:r w:rsidRPr="00BF42B7">
        <w:rPr>
          <w:lang w:val="zh-CN"/>
        </w:rPr>
        <w:t xml:space="preserve"> </w:t>
      </w:r>
      <w:r w:rsidRPr="00BF42B7">
        <w:rPr>
          <w:lang w:val="zh-CN"/>
        </w:rPr>
        <w:t>同样，国内法</w:t>
      </w:r>
      <w:r w:rsidRPr="00BF42B7">
        <w:rPr>
          <w:rFonts w:hint="eastAsia"/>
          <w:lang w:val="zh-CN"/>
        </w:rPr>
        <w:t>规定的</w:t>
      </w:r>
      <w:r w:rsidRPr="00BF42B7">
        <w:rPr>
          <w:lang w:val="zh-CN"/>
        </w:rPr>
        <w:t>法人责任可能</w:t>
      </w:r>
      <w:r w:rsidRPr="00BF42B7">
        <w:rPr>
          <w:rFonts w:hint="eastAsia"/>
          <w:lang w:val="zh-CN"/>
        </w:rPr>
        <w:t>存在差异，</w:t>
      </w:r>
      <w:r w:rsidRPr="00BF42B7">
        <w:rPr>
          <w:lang w:val="zh-CN"/>
        </w:rPr>
        <w:t>取决于：其行为可归咎于法人的自然人的范围；自然人哪些形式的责任可导致法人责任；</w:t>
      </w:r>
      <w:r w:rsidRPr="00BF42B7">
        <w:rPr>
          <w:rFonts w:hint="eastAsia"/>
          <w:lang w:val="zh-CN"/>
        </w:rPr>
        <w:t>确定</w:t>
      </w:r>
      <w:r w:rsidRPr="00BF42B7">
        <w:rPr>
          <w:lang w:val="zh-CN"/>
        </w:rPr>
        <w:t>法人责任是否需要证明自然人的犯罪意图；或是否需要证明某个自然人犯下了</w:t>
      </w:r>
      <w:r w:rsidRPr="00BF42B7">
        <w:rPr>
          <w:rFonts w:hint="eastAsia"/>
          <w:lang w:val="zh-CN"/>
        </w:rPr>
        <w:t>有关</w:t>
      </w:r>
      <w:r w:rsidRPr="00BF42B7">
        <w:rPr>
          <w:lang w:val="zh-CN"/>
        </w:rPr>
        <w:t>罪行。</w:t>
      </w:r>
      <w:r w:rsidRPr="00BF42B7">
        <w:rPr>
          <w:iCs/>
          <w:color w:val="0000FF"/>
          <w:vertAlign w:val="superscript"/>
          <w:lang w:val="zh-CN"/>
        </w:rPr>
        <w:footnoteReference w:id="1170"/>
      </w:r>
    </w:p>
    <w:p w:rsidR="00CD5A8C" w:rsidRPr="00BF42B7" w:rsidRDefault="00CD5A8C" w:rsidP="00CD5A8C">
      <w:pPr>
        <w:tabs>
          <w:tab w:val="clear" w:pos="431"/>
          <w:tab w:val="left" w:pos="1134"/>
          <w:tab w:val="left" w:pos="1565"/>
          <w:tab w:val="left" w:pos="1996"/>
          <w:tab w:val="left" w:pos="2427"/>
        </w:tabs>
        <w:spacing w:after="120"/>
        <w:ind w:left="1134" w:right="1134"/>
      </w:pPr>
      <w:r w:rsidRPr="00BF42B7">
        <w:rPr>
          <w:lang w:val="zh-CN"/>
        </w:rPr>
        <w:t>(45)</w:t>
      </w:r>
      <w:r w:rsidRPr="00BF42B7">
        <w:rPr>
          <w:rFonts w:hint="eastAsia"/>
          <w:lang w:val="zh-CN"/>
        </w:rPr>
        <w:t xml:space="preserve">  </w:t>
      </w:r>
      <w:r w:rsidRPr="00BF42B7">
        <w:rPr>
          <w:lang w:val="zh-CN"/>
        </w:rPr>
        <w:t>第二，每个国家有</w:t>
      </w:r>
      <w:r w:rsidRPr="00BF42B7">
        <w:rPr>
          <w:rFonts w:hint="eastAsia"/>
          <w:lang w:val="zh-CN"/>
        </w:rPr>
        <w:t>“</w:t>
      </w:r>
      <w:r w:rsidRPr="00BF42B7">
        <w:rPr>
          <w:lang w:val="zh-CN"/>
        </w:rPr>
        <w:t>酌情</w:t>
      </w:r>
      <w:r w:rsidRPr="00BF42B7">
        <w:rPr>
          <w:rFonts w:hint="eastAsia"/>
          <w:lang w:val="zh-CN"/>
        </w:rPr>
        <w:t>”</w:t>
      </w:r>
      <w:r w:rsidRPr="00BF42B7">
        <w:rPr>
          <w:lang w:val="zh-CN"/>
        </w:rPr>
        <w:t>采取措施</w:t>
      </w:r>
      <w:r w:rsidRPr="00BF42B7">
        <w:rPr>
          <w:rFonts w:hint="eastAsia"/>
          <w:lang w:val="zh-CN"/>
        </w:rPr>
        <w:t>确定</w:t>
      </w:r>
      <w:r w:rsidRPr="00BF42B7">
        <w:rPr>
          <w:lang w:val="zh-CN"/>
        </w:rPr>
        <w:t>法人</w:t>
      </w:r>
      <w:r w:rsidRPr="00BF42B7">
        <w:rPr>
          <w:rFonts w:hint="eastAsia"/>
          <w:lang w:val="zh-CN"/>
        </w:rPr>
        <w:t>法律</w:t>
      </w:r>
      <w:r w:rsidRPr="00BF42B7">
        <w:rPr>
          <w:lang w:val="zh-CN"/>
        </w:rPr>
        <w:t>责任的义务</w:t>
      </w:r>
      <w:r w:rsidRPr="00BF42B7">
        <w:rPr>
          <w:rFonts w:hint="eastAsia"/>
          <w:lang w:val="zh-CN"/>
        </w:rPr>
        <w:t>。</w:t>
      </w:r>
      <w:r w:rsidRPr="00BF42B7">
        <w:rPr>
          <w:lang w:val="zh-CN"/>
        </w:rPr>
        <w:t>即使国家</w:t>
      </w:r>
      <w:r w:rsidRPr="00BF42B7">
        <w:rPr>
          <w:rFonts w:hint="eastAsia"/>
          <w:lang w:val="zh-CN"/>
        </w:rPr>
        <w:t>依据</w:t>
      </w:r>
      <w:r w:rsidRPr="00BF42B7">
        <w:rPr>
          <w:lang w:val="zh-CN"/>
        </w:rPr>
        <w:t>其国内法，</w:t>
      </w:r>
      <w:r w:rsidRPr="00BF42B7">
        <w:rPr>
          <w:rFonts w:hint="eastAsia"/>
          <w:lang w:val="zh-CN"/>
        </w:rPr>
        <w:t>一般</w:t>
      </w:r>
      <w:r w:rsidRPr="00BF42B7">
        <w:rPr>
          <w:lang w:val="zh-CN"/>
        </w:rPr>
        <w:t>能够要求法人</w:t>
      </w:r>
      <w:r w:rsidRPr="00BF42B7">
        <w:rPr>
          <w:rFonts w:hint="eastAsia"/>
          <w:lang w:val="zh-CN"/>
        </w:rPr>
        <w:t>对</w:t>
      </w:r>
      <w:r w:rsidRPr="00BF42B7">
        <w:rPr>
          <w:lang w:val="zh-CN"/>
        </w:rPr>
        <w:t>刑事犯罪承担责任，国家也可以</w:t>
      </w:r>
      <w:r w:rsidRPr="00BF42B7">
        <w:rPr>
          <w:rFonts w:hint="eastAsia"/>
          <w:lang w:val="zh-CN"/>
        </w:rPr>
        <w:t>得出结论称，</w:t>
      </w:r>
      <w:r w:rsidRPr="00BF42B7">
        <w:rPr>
          <w:lang w:val="zh-CN"/>
        </w:rPr>
        <w:t>在危害人类罪的具体背景下，这一措施</w:t>
      </w:r>
      <w:r w:rsidRPr="00BF42B7">
        <w:rPr>
          <w:rFonts w:hint="eastAsia"/>
          <w:lang w:val="zh-CN"/>
        </w:rPr>
        <w:t>是不适当的</w:t>
      </w:r>
      <w:r w:rsidRPr="00BF42B7">
        <w:rPr>
          <w:lang w:val="zh-CN"/>
        </w:rPr>
        <w:t>。</w:t>
      </w:r>
    </w:p>
    <w:p w:rsidR="00CD5A8C" w:rsidRPr="00BF42B7" w:rsidRDefault="00CD5A8C" w:rsidP="00CD5A8C">
      <w:pPr>
        <w:keepNext/>
        <w:keepLines/>
        <w:tabs>
          <w:tab w:val="clear" w:pos="431"/>
          <w:tab w:val="left" w:pos="1134"/>
          <w:tab w:val="left" w:pos="1565"/>
          <w:tab w:val="left" w:pos="1996"/>
          <w:tab w:val="left" w:pos="2427"/>
        </w:tabs>
        <w:spacing w:after="120"/>
        <w:ind w:left="1134" w:right="1134"/>
        <w:rPr>
          <w:lang w:val="zh-CN"/>
        </w:rPr>
      </w:pPr>
      <w:r w:rsidRPr="00BF42B7">
        <w:rPr>
          <w:lang w:val="zh-CN"/>
        </w:rPr>
        <w:t>(46)</w:t>
      </w:r>
      <w:r w:rsidRPr="00BF42B7">
        <w:rPr>
          <w:rFonts w:hint="eastAsia"/>
          <w:lang w:val="zh-CN"/>
        </w:rPr>
        <w:t xml:space="preserve">  </w:t>
      </w:r>
      <w:r w:rsidRPr="00BF42B7">
        <w:rPr>
          <w:lang w:val="zh-CN"/>
        </w:rPr>
        <w:t>对于已采取的措施，第</w:t>
      </w:r>
      <w:r w:rsidRPr="00BF42B7">
        <w:rPr>
          <w:lang w:val="zh-CN"/>
        </w:rPr>
        <w:t>7</w:t>
      </w:r>
      <w:r w:rsidRPr="00BF42B7">
        <w:rPr>
          <w:lang w:val="zh-CN"/>
        </w:rPr>
        <w:t>款第二句规定：</w:t>
      </w:r>
      <w:r w:rsidRPr="00BF42B7">
        <w:rPr>
          <w:rFonts w:hint="eastAsia"/>
          <w:lang w:val="zh-CN"/>
        </w:rPr>
        <w:t>“</w:t>
      </w:r>
      <w:r w:rsidRPr="00BF42B7">
        <w:rPr>
          <w:lang w:val="zh-CN"/>
        </w:rPr>
        <w:t>在不违反</w:t>
      </w:r>
      <w:r w:rsidRPr="00BF42B7">
        <w:rPr>
          <w:rFonts w:hint="eastAsia"/>
          <w:lang w:val="zh-CN"/>
        </w:rPr>
        <w:t>本</w:t>
      </w:r>
      <w:r w:rsidRPr="00BF42B7">
        <w:rPr>
          <w:lang w:val="zh-CN"/>
        </w:rPr>
        <w:t>国法律原则的情况下，可将法人的这一责任定为刑事、民事或行政责任</w:t>
      </w:r>
      <w:r w:rsidRPr="00BF42B7">
        <w:rPr>
          <w:rFonts w:hint="eastAsia"/>
          <w:lang w:val="zh-CN"/>
        </w:rPr>
        <w:t>”</w:t>
      </w:r>
      <w:r w:rsidRPr="00BF42B7">
        <w:rPr>
          <w:lang w:val="zh-CN"/>
        </w:rPr>
        <w:t>。</w:t>
      </w:r>
      <w:r w:rsidRPr="00BF42B7">
        <w:rPr>
          <w:rFonts w:hint="eastAsia"/>
          <w:lang w:val="zh-CN"/>
        </w:rPr>
        <w:t>这样的句子</w:t>
      </w:r>
      <w:r w:rsidRPr="00BF42B7">
        <w:rPr>
          <w:lang w:val="zh-CN"/>
        </w:rPr>
        <w:t>似乎不仅见于上文讨论过的</w:t>
      </w:r>
      <w:r w:rsidRPr="00BF42B7">
        <w:rPr>
          <w:lang w:val="zh-CN"/>
        </w:rPr>
        <w:t>2000</w:t>
      </w:r>
      <w:r w:rsidRPr="00BF42B7">
        <w:rPr>
          <w:lang w:val="zh-CN"/>
        </w:rPr>
        <w:t>年《任择议定书》，而且出现在其他广泛遵行的条约中，如</w:t>
      </w:r>
      <w:r w:rsidRPr="00BF42B7">
        <w:rPr>
          <w:lang w:val="zh-CN"/>
        </w:rPr>
        <w:t>2000</w:t>
      </w:r>
      <w:r w:rsidRPr="00BF42B7">
        <w:rPr>
          <w:lang w:val="zh-CN"/>
        </w:rPr>
        <w:t>年《联合国打击跨国有组织犯罪公约》</w:t>
      </w:r>
      <w:r w:rsidRPr="00BF42B7">
        <w:rPr>
          <w:color w:val="0000FF"/>
          <w:vertAlign w:val="superscript"/>
          <w:lang w:val="zh-CN"/>
        </w:rPr>
        <w:footnoteReference w:id="1171"/>
      </w:r>
      <w:r w:rsidRPr="00BF42B7">
        <w:rPr>
          <w:rFonts w:hint="eastAsia"/>
          <w:lang w:val="zh-CN"/>
        </w:rPr>
        <w:t xml:space="preserve"> </w:t>
      </w:r>
      <w:r w:rsidRPr="00BF42B7">
        <w:rPr>
          <w:lang w:val="zh-CN"/>
        </w:rPr>
        <w:t>和</w:t>
      </w:r>
      <w:r w:rsidRPr="00BF42B7">
        <w:rPr>
          <w:lang w:val="zh-CN"/>
        </w:rPr>
        <w:t>2003</w:t>
      </w:r>
      <w:r w:rsidRPr="00BF42B7">
        <w:rPr>
          <w:lang w:val="zh-CN"/>
        </w:rPr>
        <w:t>年《联合国反腐败公约》。</w:t>
      </w:r>
      <w:r w:rsidRPr="00BF42B7">
        <w:rPr>
          <w:color w:val="0000FF"/>
          <w:vertAlign w:val="superscript"/>
          <w:lang w:val="zh-CN"/>
        </w:rPr>
        <w:footnoteReference w:id="1172"/>
      </w:r>
      <w:r w:rsidRPr="00BF42B7">
        <w:rPr>
          <w:lang w:val="zh-CN"/>
        </w:rPr>
        <w:t xml:space="preserve"> </w:t>
      </w:r>
      <w:r w:rsidRPr="00BF42B7">
        <w:rPr>
          <w:lang w:val="zh-CN"/>
        </w:rPr>
        <w:t>这种措辞</w:t>
      </w:r>
      <w:r w:rsidRPr="00BF42B7">
        <w:rPr>
          <w:rFonts w:hint="eastAsia"/>
          <w:lang w:val="zh-CN"/>
        </w:rPr>
        <w:t>体现</w:t>
      </w:r>
      <w:r w:rsidRPr="00BF42B7">
        <w:rPr>
          <w:lang w:val="zh-CN"/>
        </w:rPr>
        <w:t>的灵活性再次确认并顾及不同国家的法律体系</w:t>
      </w:r>
      <w:r w:rsidRPr="00BF42B7">
        <w:rPr>
          <w:rFonts w:hint="eastAsia"/>
          <w:lang w:val="zh-CN"/>
        </w:rPr>
        <w:t>做法的多样性</w:t>
      </w:r>
      <w:r w:rsidRPr="00BF42B7">
        <w:rPr>
          <w:lang w:val="zh-CN"/>
        </w:rPr>
        <w:t>。因此，如果</w:t>
      </w:r>
      <w:r w:rsidRPr="00BF42B7">
        <w:rPr>
          <w:rFonts w:hint="eastAsia"/>
          <w:lang w:val="zh-CN"/>
        </w:rPr>
        <w:t>确立</w:t>
      </w:r>
      <w:r w:rsidRPr="00BF42B7">
        <w:rPr>
          <w:lang w:val="zh-CN"/>
        </w:rPr>
        <w:t>法人刑事责任不符合</w:t>
      </w:r>
      <w:r w:rsidRPr="00BF42B7">
        <w:rPr>
          <w:rFonts w:hint="eastAsia"/>
          <w:lang w:val="zh-CN"/>
        </w:rPr>
        <w:t>本</w:t>
      </w:r>
      <w:r w:rsidRPr="00BF42B7">
        <w:rPr>
          <w:lang w:val="zh-CN"/>
        </w:rPr>
        <w:t>国的法律原则，国家就没有义务那样做；</w:t>
      </w:r>
      <w:r w:rsidRPr="00BF42B7">
        <w:rPr>
          <w:rFonts w:hint="eastAsia"/>
          <w:lang w:val="zh-CN"/>
        </w:rPr>
        <w:t>而是</w:t>
      </w:r>
      <w:r w:rsidRPr="00BF42B7">
        <w:rPr>
          <w:lang w:val="zh-CN"/>
        </w:rPr>
        <w:t>可以取而代之</w:t>
      </w:r>
      <w:r w:rsidRPr="00BF42B7">
        <w:rPr>
          <w:rFonts w:hint="eastAsia"/>
          <w:lang w:val="zh-CN"/>
        </w:rPr>
        <w:t>以</w:t>
      </w:r>
      <w:r w:rsidRPr="00BF42B7">
        <w:rPr>
          <w:lang w:val="zh-CN"/>
        </w:rPr>
        <w:t>民事或行政责任。无论如何，不论定为刑事、民事还是行政责任，</w:t>
      </w:r>
      <w:r w:rsidRPr="00BF42B7">
        <w:rPr>
          <w:rFonts w:hint="eastAsia"/>
          <w:lang w:val="zh-CN"/>
        </w:rPr>
        <w:t>该</w:t>
      </w:r>
      <w:r w:rsidRPr="00BF42B7">
        <w:rPr>
          <w:lang w:val="zh-CN"/>
        </w:rPr>
        <w:t>责任</w:t>
      </w:r>
      <w:r w:rsidRPr="00BF42B7">
        <w:rPr>
          <w:rFonts w:hint="eastAsia"/>
          <w:lang w:val="zh-CN"/>
        </w:rPr>
        <w:t>都</w:t>
      </w:r>
      <w:r w:rsidRPr="00BF42B7">
        <w:rPr>
          <w:lang w:val="zh-CN"/>
        </w:rPr>
        <w:t>不影响第</w:t>
      </w:r>
      <w:r w:rsidRPr="00BF42B7">
        <w:rPr>
          <w:lang w:val="zh-CN"/>
        </w:rPr>
        <w:t>5</w:t>
      </w:r>
      <w:r w:rsidRPr="00BF42B7">
        <w:rPr>
          <w:lang w:val="zh-CN"/>
        </w:rPr>
        <w:t>条草案规定的自然人的刑事责任。</w:t>
      </w:r>
    </w:p>
    <w:p w:rsidR="00CD5A8C" w:rsidRPr="00BF42B7" w:rsidRDefault="00CD5A8C" w:rsidP="00CD5A8C">
      <w:pPr>
        <w:pStyle w:val="H23GC"/>
        <w:ind w:left="1554"/>
        <w:rPr>
          <w:lang w:val="en-GB"/>
        </w:rPr>
      </w:pPr>
      <w:r w:rsidRPr="00BF42B7">
        <w:rPr>
          <w:sz w:val="24"/>
          <w:lang w:val="en-GB"/>
        </w:rPr>
        <w:tab/>
      </w:r>
      <w:r w:rsidRPr="00BF42B7">
        <w:rPr>
          <w:sz w:val="24"/>
          <w:lang w:val="en-GB"/>
        </w:rPr>
        <w:tab/>
      </w:r>
      <w:r w:rsidRPr="00BF42B7">
        <w:rPr>
          <w:rFonts w:hint="eastAsia"/>
        </w:rPr>
        <w:t>第</w:t>
      </w:r>
      <w:r w:rsidRPr="00BF42B7">
        <w:t>6</w:t>
      </w:r>
      <w:r w:rsidRPr="00BF42B7">
        <w:rPr>
          <w:rFonts w:hint="eastAsia"/>
        </w:rPr>
        <w:t>条</w:t>
      </w:r>
      <w:r w:rsidRPr="00BF42B7">
        <w:br/>
      </w:r>
      <w:r w:rsidRPr="00BF42B7">
        <w:rPr>
          <w:rFonts w:hint="eastAsia"/>
          <w:lang w:val="en-GB"/>
        </w:rPr>
        <w:t>确立国家管辖权</w:t>
      </w:r>
    </w:p>
    <w:p w:rsidR="00CD5A8C" w:rsidRPr="00BF42B7" w:rsidRDefault="00CD5A8C" w:rsidP="00CD5A8C">
      <w:pPr>
        <w:tabs>
          <w:tab w:val="clear" w:pos="431"/>
          <w:tab w:val="left" w:pos="1134"/>
          <w:tab w:val="left" w:pos="1565"/>
          <w:tab w:val="left" w:pos="1996"/>
          <w:tab w:val="left" w:pos="2427"/>
        </w:tabs>
        <w:spacing w:after="120"/>
        <w:ind w:left="1554" w:right="1134"/>
      </w:pPr>
      <w:r w:rsidRPr="00BF42B7">
        <w:t xml:space="preserve">1.  </w:t>
      </w:r>
      <w:r w:rsidRPr="00BF42B7">
        <w:rPr>
          <w:rFonts w:hint="eastAsia"/>
        </w:rPr>
        <w:t>各国应采取必要措施，确立在下列情况下对第</w:t>
      </w:r>
      <w:r w:rsidRPr="00BF42B7">
        <w:t>5</w:t>
      </w:r>
      <w:r w:rsidRPr="00BF42B7">
        <w:rPr>
          <w:rFonts w:hint="eastAsia"/>
        </w:rPr>
        <w:t>条草案所述罪行的管辖权：</w:t>
      </w:r>
    </w:p>
    <w:p w:rsidR="00CD5A8C" w:rsidRPr="00BF42B7" w:rsidRDefault="00CD5A8C" w:rsidP="00396D56">
      <w:pPr>
        <w:pStyle w:val="SingleTxtGC"/>
        <w:numPr>
          <w:ilvl w:val="0"/>
          <w:numId w:val="25"/>
        </w:numPr>
      </w:pPr>
      <w:r w:rsidRPr="00BF42B7">
        <w:rPr>
          <w:rFonts w:hint="eastAsia"/>
        </w:rPr>
        <w:t>罪行发生在该国管辖的任何领土内，或发生在该国注册的船只或飞机上；</w:t>
      </w:r>
    </w:p>
    <w:p w:rsidR="00CD5A8C" w:rsidRPr="00BF42B7" w:rsidRDefault="00CD5A8C" w:rsidP="00396D56">
      <w:pPr>
        <w:pStyle w:val="SingleTxtGC"/>
        <w:numPr>
          <w:ilvl w:val="0"/>
          <w:numId w:val="25"/>
        </w:numPr>
      </w:pPr>
      <w:r w:rsidRPr="00BF42B7">
        <w:rPr>
          <w:rFonts w:hint="eastAsia"/>
        </w:rPr>
        <w:t>被控罪犯为该国国民，或该国认为应予管辖的、惯常在该国领土内居住的无国籍人；</w:t>
      </w:r>
    </w:p>
    <w:p w:rsidR="00CD5A8C" w:rsidRPr="00BF42B7" w:rsidRDefault="00CD5A8C" w:rsidP="00396D56">
      <w:pPr>
        <w:pStyle w:val="SingleTxtGC"/>
        <w:numPr>
          <w:ilvl w:val="0"/>
          <w:numId w:val="25"/>
        </w:numPr>
      </w:pPr>
      <w:r w:rsidRPr="00BF42B7">
        <w:rPr>
          <w:rFonts w:hint="eastAsia"/>
        </w:rPr>
        <w:t>受害人为该国国民，而该国认为应予管辖。</w:t>
      </w:r>
    </w:p>
    <w:p w:rsidR="00CD5A8C" w:rsidRPr="00BF42B7" w:rsidRDefault="00CD5A8C" w:rsidP="00CD5A8C">
      <w:pPr>
        <w:tabs>
          <w:tab w:val="clear" w:pos="431"/>
          <w:tab w:val="left" w:pos="1134"/>
          <w:tab w:val="left" w:pos="1565"/>
          <w:tab w:val="left" w:pos="1996"/>
          <w:tab w:val="left" w:pos="2427"/>
        </w:tabs>
        <w:spacing w:after="120"/>
        <w:ind w:left="1554" w:right="1134"/>
        <w:rPr>
          <w:lang w:val="en-GB"/>
        </w:rPr>
      </w:pPr>
      <w:r w:rsidRPr="00BF42B7">
        <w:t xml:space="preserve">2.  </w:t>
      </w:r>
      <w:r w:rsidRPr="00BF42B7">
        <w:rPr>
          <w:rFonts w:hint="eastAsia"/>
          <w:spacing w:val="-3"/>
          <w:lang w:val="en-GB"/>
        </w:rPr>
        <w:t>各国还应采取必要措施，在被指控罪犯处于其管辖的任何领土内，而且本国不按照本条款草案予以引渡或移交的情况下，</w:t>
      </w:r>
      <w:r w:rsidRPr="00BF42B7">
        <w:rPr>
          <w:rFonts w:hint="eastAsia"/>
        </w:rPr>
        <w:t>确立对第</w:t>
      </w:r>
      <w:r w:rsidRPr="00BF42B7">
        <w:t>5</w:t>
      </w:r>
      <w:r w:rsidRPr="00BF42B7">
        <w:rPr>
          <w:rFonts w:hint="eastAsia"/>
        </w:rPr>
        <w:t>条草案所述罪行的管辖权。</w:t>
      </w:r>
    </w:p>
    <w:p w:rsidR="00CD5A8C" w:rsidRPr="00BF42B7" w:rsidRDefault="00CD5A8C" w:rsidP="00CD5A8C">
      <w:pPr>
        <w:tabs>
          <w:tab w:val="clear" w:pos="431"/>
          <w:tab w:val="left" w:pos="1134"/>
          <w:tab w:val="left" w:pos="1565"/>
          <w:tab w:val="left" w:pos="1996"/>
          <w:tab w:val="left" w:pos="2427"/>
        </w:tabs>
        <w:spacing w:after="120"/>
        <w:ind w:left="1554" w:right="1134"/>
      </w:pPr>
      <w:r w:rsidRPr="00BF42B7">
        <w:t xml:space="preserve">3.  </w:t>
      </w:r>
      <w:r w:rsidRPr="00BF42B7">
        <w:rPr>
          <w:rFonts w:hint="eastAsia"/>
        </w:rPr>
        <w:t>本条款草案不排除一国行使根据其国内法确立的任何刑事管辖权。</w:t>
      </w:r>
    </w:p>
    <w:p w:rsidR="00CD5A8C" w:rsidRPr="00BF42B7" w:rsidRDefault="00CD5A8C" w:rsidP="00586EF6">
      <w:pPr>
        <w:pStyle w:val="H23GC"/>
        <w:rPr>
          <w:lang w:val="en-GB"/>
        </w:rPr>
      </w:pPr>
      <w:r w:rsidRPr="00BF42B7">
        <w:rPr>
          <w:lang w:val="en-GB"/>
        </w:rPr>
        <w:tab/>
      </w:r>
      <w:r w:rsidRPr="00BF42B7">
        <w:rPr>
          <w:lang w:val="en-GB"/>
        </w:rPr>
        <w:tab/>
      </w:r>
      <w:r w:rsidRPr="00BF42B7">
        <w:rPr>
          <w:rFonts w:hint="eastAsia"/>
          <w:lang w:val="en-GB"/>
        </w:rPr>
        <w:t>评注</w:t>
      </w:r>
    </w:p>
    <w:p w:rsidR="00CD5A8C" w:rsidRPr="00BF42B7" w:rsidRDefault="00CD5A8C" w:rsidP="00CD5A8C">
      <w:pPr>
        <w:tabs>
          <w:tab w:val="clear" w:pos="431"/>
          <w:tab w:val="left" w:pos="1134"/>
          <w:tab w:val="left" w:pos="1565"/>
          <w:tab w:val="left" w:pos="2114"/>
          <w:tab w:val="left" w:pos="2427"/>
        </w:tabs>
        <w:spacing w:after="120"/>
        <w:ind w:left="1134" w:right="1134"/>
        <w:rPr>
          <w:lang w:val="en-GB"/>
        </w:rPr>
      </w:pPr>
      <w:r w:rsidRPr="00BF42B7">
        <w:rPr>
          <w:lang w:val="en-GB"/>
        </w:rPr>
        <w:t xml:space="preserve">(1)  </w:t>
      </w:r>
      <w:r w:rsidRPr="00BF42B7">
        <w:rPr>
          <w:lang w:val="en-GB"/>
        </w:rPr>
        <w:t>第</w:t>
      </w:r>
      <w:r w:rsidRPr="00BF42B7">
        <w:rPr>
          <w:lang w:val="en-GB"/>
        </w:rPr>
        <w:t>6</w:t>
      </w:r>
      <w:r w:rsidRPr="00BF42B7">
        <w:rPr>
          <w:lang w:val="en-GB"/>
        </w:rPr>
        <w:t>条草案</w:t>
      </w:r>
      <w:r w:rsidRPr="00BF42B7">
        <w:rPr>
          <w:rFonts w:hint="eastAsia"/>
          <w:lang w:val="en-GB"/>
        </w:rPr>
        <w:t>规定，各国必须确立在某些情况下，如罪行发生在其管辖的领土内、由其国民实施、或罪犯处于其管辖的领土内时，对第</w:t>
      </w:r>
      <w:r w:rsidRPr="00BF42B7">
        <w:rPr>
          <w:rFonts w:hint="eastAsia"/>
          <w:lang w:val="en-GB"/>
        </w:rPr>
        <w:t>5</w:t>
      </w:r>
      <w:r w:rsidRPr="00BF42B7">
        <w:rPr>
          <w:rFonts w:hint="eastAsia"/>
          <w:lang w:val="en-GB"/>
        </w:rPr>
        <w:t>条草案所述罪行的管辖权。</w:t>
      </w:r>
    </w:p>
    <w:p w:rsidR="00CD5A8C" w:rsidRPr="00BF42B7" w:rsidRDefault="00CD5A8C" w:rsidP="00CD5A8C">
      <w:pPr>
        <w:tabs>
          <w:tab w:val="clear" w:pos="431"/>
          <w:tab w:val="left" w:pos="1134"/>
          <w:tab w:val="left" w:pos="1565"/>
          <w:tab w:val="left" w:pos="2114"/>
          <w:tab w:val="left" w:pos="2427"/>
        </w:tabs>
        <w:spacing w:after="120"/>
        <w:ind w:left="1134" w:right="1134"/>
        <w:rPr>
          <w:lang w:val="en-GB"/>
        </w:rPr>
      </w:pPr>
      <w:r w:rsidRPr="00BF42B7">
        <w:rPr>
          <w:lang w:val="en-GB"/>
        </w:rPr>
        <w:t xml:space="preserve">(2)  </w:t>
      </w:r>
      <w:r w:rsidRPr="00BF42B7">
        <w:rPr>
          <w:rFonts w:hint="eastAsia"/>
          <w:lang w:val="en-GB"/>
        </w:rPr>
        <w:t>一般说来，国际文书力求鼓励各国根据国内法确立相对广泛的各种管辖权依据，以处理国际社会关注的最严重犯罪，使实施犯罪者没有庇护所。因此，依照委员会</w:t>
      </w:r>
      <w:r w:rsidRPr="00BF42B7">
        <w:rPr>
          <w:rFonts w:hint="eastAsia"/>
          <w:lang w:val="en-GB"/>
        </w:rPr>
        <w:t>1996</w:t>
      </w:r>
      <w:r w:rsidRPr="00BF42B7">
        <w:rPr>
          <w:rFonts w:hint="eastAsia"/>
          <w:lang w:val="en-GB"/>
        </w:rPr>
        <w:t>年《危害人类和平及安全治罪法草案》，“每一缔约国应采取必要措施确定其对</w:t>
      </w:r>
      <w:r w:rsidRPr="00BF42B7">
        <w:rPr>
          <w:rFonts w:hint="eastAsia"/>
          <w:lang w:val="en-GB"/>
        </w:rPr>
        <w:t>(</w:t>
      </w:r>
      <w:r w:rsidRPr="00BF42B7">
        <w:rPr>
          <w:rFonts w:hint="eastAsia"/>
          <w:lang w:val="en-GB"/>
        </w:rPr>
        <w:t>治罪法草案</w:t>
      </w:r>
      <w:r w:rsidRPr="00BF42B7">
        <w:rPr>
          <w:rFonts w:hint="eastAsia"/>
          <w:lang w:val="en-GB"/>
        </w:rPr>
        <w:t>)</w:t>
      </w:r>
      <w:r w:rsidRPr="00BF42B7">
        <w:rPr>
          <w:rFonts w:hint="eastAsia"/>
          <w:lang w:val="en-GB"/>
        </w:rPr>
        <w:t>所载罪行</w:t>
      </w:r>
      <w:r w:rsidRPr="00BF42B7">
        <w:rPr>
          <w:rFonts w:hint="eastAsia"/>
          <w:lang w:val="en-GB"/>
        </w:rPr>
        <w:t>(</w:t>
      </w:r>
      <w:r w:rsidRPr="00BF42B7">
        <w:rPr>
          <w:rFonts w:hint="eastAsia"/>
          <w:lang w:val="en-GB"/>
        </w:rPr>
        <w:t>侵略罪除外</w:t>
      </w:r>
      <w:r w:rsidRPr="00BF42B7">
        <w:rPr>
          <w:rFonts w:hint="eastAsia"/>
          <w:lang w:val="en-GB"/>
        </w:rPr>
        <w:t>)</w:t>
      </w:r>
      <w:r w:rsidRPr="00BF42B7">
        <w:rPr>
          <w:rFonts w:hint="eastAsia"/>
          <w:lang w:val="en-GB"/>
        </w:rPr>
        <w:t>的管辖权”，“而不论这些罪行的实施地点或实施者为何”。</w:t>
      </w:r>
      <w:r w:rsidRPr="00BF42B7">
        <w:rPr>
          <w:rFonts w:eastAsia="MS PGothic"/>
          <w:color w:val="0000FF"/>
          <w:vertAlign w:val="superscript"/>
          <w:lang w:val="en-GB"/>
        </w:rPr>
        <w:footnoteReference w:id="1173"/>
      </w:r>
      <w:r w:rsidRPr="00BF42B7">
        <w:rPr>
          <w:lang w:val="en-GB"/>
        </w:rPr>
        <w:t xml:space="preserve"> </w:t>
      </w:r>
      <w:r w:rsidRPr="00BF42B7">
        <w:rPr>
          <w:rFonts w:hint="eastAsia"/>
          <w:lang w:val="en-GB"/>
        </w:rPr>
        <w:t>这样的管辖权范围是必要的，因为“委员会认为，为了有效实施本治罪法，应以尽量宽广的国家法院管辖权加上可能的国际刑事法院管辖权为基础综合处理管辖权问题”。</w:t>
      </w:r>
      <w:r w:rsidRPr="00BF42B7">
        <w:rPr>
          <w:rFonts w:eastAsia="MS PGothic"/>
          <w:color w:val="0000FF"/>
          <w:vertAlign w:val="superscript"/>
          <w:lang w:val="en-GB"/>
        </w:rPr>
        <w:footnoteReference w:id="1174"/>
      </w:r>
      <w:r w:rsidRPr="00BF42B7">
        <w:rPr>
          <w:rFonts w:hint="eastAsia"/>
          <w:lang w:val="en-GB"/>
        </w:rPr>
        <w:t>《罗马规约》序言规定，“对于整个国际社会关注的最严重犯罪，绝不能听之任之不予处罚，为有效惩治罪犯，必须通过国家一级采取措施”，以及“各国有义务对犯有国际罪行的人行使刑事管辖权”。</w:t>
      </w:r>
    </w:p>
    <w:p w:rsidR="00CD5A8C" w:rsidRPr="00BF42B7" w:rsidRDefault="00CD5A8C" w:rsidP="00CD5A8C">
      <w:pPr>
        <w:tabs>
          <w:tab w:val="clear" w:pos="431"/>
          <w:tab w:val="left" w:pos="1134"/>
          <w:tab w:val="left" w:pos="1565"/>
          <w:tab w:val="left" w:pos="2114"/>
          <w:tab w:val="left" w:pos="2427"/>
        </w:tabs>
        <w:spacing w:after="120"/>
        <w:ind w:left="1134" w:right="1134"/>
      </w:pPr>
      <w:r w:rsidRPr="00BF42B7">
        <w:rPr>
          <w:lang w:val="en-GB"/>
        </w:rPr>
        <w:t xml:space="preserve">(3)  </w:t>
      </w:r>
      <w:r w:rsidRPr="00BF42B7">
        <w:rPr>
          <w:rFonts w:hint="eastAsia"/>
          <w:lang w:val="en-GB"/>
        </w:rPr>
        <w:t>因此，涉及犯罪行为的条约在处理国内法实施的问题时，通常会纳入一项确立国家管辖权的条款。例如，人权委员会起草强迫失踪问题国际文书工作组的讨论决定，“为了使今后文书行之有效，看来必须为国内刑事法庭确立强迫失踪方面尽可能广泛的管辖权。”。</w:t>
      </w:r>
      <w:r w:rsidRPr="00BF42B7">
        <w:rPr>
          <w:rFonts w:eastAsia="MS PGothic"/>
          <w:color w:val="0000FF"/>
          <w:vertAlign w:val="superscript"/>
          <w:lang w:val="en-GB"/>
        </w:rPr>
        <w:footnoteReference w:id="1175"/>
      </w:r>
      <w:r w:rsidRPr="00BF42B7">
        <w:rPr>
          <w:lang w:val="en-GB"/>
        </w:rPr>
        <w:t xml:space="preserve"> </w:t>
      </w:r>
      <w:r w:rsidRPr="00BF42B7">
        <w:rPr>
          <w:rFonts w:hint="eastAsia"/>
          <w:lang w:val="en-GB"/>
        </w:rPr>
        <w:t>与此同时，此类条约通常只规定缔约国必须在被指控罪犯处于其境内时行使管辖权</w:t>
      </w:r>
      <w:r w:rsidRPr="00BF42B7">
        <w:rPr>
          <w:rFonts w:hint="eastAsia"/>
          <w:lang w:val="en-GB"/>
        </w:rPr>
        <w:t>(</w:t>
      </w:r>
      <w:r w:rsidRPr="00BF42B7">
        <w:rPr>
          <w:rFonts w:hint="eastAsia"/>
          <w:lang w:val="en-GB"/>
        </w:rPr>
        <w:t>见下文第</w:t>
      </w:r>
      <w:r w:rsidRPr="00BF42B7">
        <w:rPr>
          <w:rFonts w:hint="eastAsia"/>
          <w:lang w:val="en-GB"/>
        </w:rPr>
        <w:t>8</w:t>
      </w:r>
      <w:r w:rsidRPr="00BF42B7">
        <w:rPr>
          <w:rFonts w:hint="eastAsia"/>
          <w:lang w:val="en-GB"/>
        </w:rPr>
        <w:t>条草案</w:t>
      </w:r>
      <w:r w:rsidRPr="00BF42B7">
        <w:rPr>
          <w:rFonts w:hint="eastAsia"/>
          <w:lang w:val="en-GB"/>
        </w:rPr>
        <w:t>)</w:t>
      </w:r>
      <w:r w:rsidRPr="00BF42B7">
        <w:rPr>
          <w:rFonts w:hint="eastAsia"/>
          <w:lang w:val="en-GB"/>
        </w:rPr>
        <w:t>，结果可能是把事项提交该缔约国的起诉机关，或者是把被指控罪犯引渡或移交给另一缔约国或主管国际法庭</w:t>
      </w:r>
      <w:r w:rsidRPr="00BF42B7">
        <w:rPr>
          <w:rFonts w:hint="eastAsia"/>
          <w:lang w:val="en-GB"/>
        </w:rPr>
        <w:t>(</w:t>
      </w:r>
      <w:r w:rsidRPr="00BF42B7">
        <w:rPr>
          <w:rFonts w:hint="eastAsia"/>
          <w:lang w:val="en-GB"/>
        </w:rPr>
        <w:t>见下文第</w:t>
      </w:r>
      <w:r w:rsidRPr="00BF42B7">
        <w:rPr>
          <w:rFonts w:hint="eastAsia"/>
          <w:lang w:val="en-GB"/>
        </w:rPr>
        <w:t>9</w:t>
      </w:r>
      <w:r w:rsidRPr="00BF42B7">
        <w:rPr>
          <w:rFonts w:hint="eastAsia"/>
          <w:lang w:val="en-GB"/>
        </w:rPr>
        <w:t>条草案</w:t>
      </w:r>
      <w:r w:rsidRPr="00BF42B7">
        <w:rPr>
          <w:rFonts w:hint="eastAsia"/>
          <w:lang w:val="en-GB"/>
        </w:rPr>
        <w:t>)</w:t>
      </w:r>
      <w:r w:rsidRPr="00BF42B7">
        <w:rPr>
          <w:rFonts w:hint="eastAsia"/>
          <w:lang w:val="en-GB"/>
        </w:rPr>
        <w:t>。</w:t>
      </w:r>
    </w:p>
    <w:p w:rsidR="00CD5A8C" w:rsidRPr="00BF42B7" w:rsidRDefault="00CD5A8C" w:rsidP="00CD5A8C">
      <w:pPr>
        <w:tabs>
          <w:tab w:val="clear" w:pos="431"/>
          <w:tab w:val="left" w:pos="1134"/>
          <w:tab w:val="left" w:pos="1565"/>
          <w:tab w:val="left" w:pos="2114"/>
          <w:tab w:val="left" w:pos="2427"/>
        </w:tabs>
        <w:spacing w:after="120"/>
        <w:ind w:left="1134" w:right="1134"/>
        <w:rPr>
          <w:lang w:val="en-GB"/>
        </w:rPr>
      </w:pPr>
      <w:r w:rsidRPr="00BF42B7">
        <w:rPr>
          <w:lang w:val="en-GB"/>
        </w:rPr>
        <w:t xml:space="preserve">(4)  </w:t>
      </w:r>
      <w:r w:rsidRPr="00BF42B7">
        <w:rPr>
          <w:rFonts w:hint="eastAsia"/>
          <w:lang w:val="en-GB"/>
        </w:rPr>
        <w:t>考虑到各种条约、特别是《禁止酷刑公约》均接受此类义务，国际法院在</w:t>
      </w:r>
      <w:r w:rsidRPr="00BF42B7">
        <w:rPr>
          <w:rFonts w:eastAsia="楷体" w:hint="eastAsia"/>
          <w:lang w:val="en-GB"/>
        </w:rPr>
        <w:t>与起诉或引渡义务有关的问题案</w:t>
      </w:r>
      <w:r w:rsidRPr="00BF42B7">
        <w:rPr>
          <w:rFonts w:eastAsia="楷体" w:hint="eastAsia"/>
          <w:lang w:val="en-GB"/>
        </w:rPr>
        <w:t>(</w:t>
      </w:r>
      <w:r w:rsidRPr="00BF42B7">
        <w:rPr>
          <w:rFonts w:eastAsia="楷体" w:hint="eastAsia"/>
          <w:lang w:val="en-GB"/>
        </w:rPr>
        <w:t>比利时诉塞内加尔</w:t>
      </w:r>
      <w:r w:rsidRPr="00BF42B7">
        <w:rPr>
          <w:rFonts w:eastAsia="楷体" w:hint="eastAsia"/>
          <w:lang w:val="en-GB"/>
        </w:rPr>
        <w:t>)</w:t>
      </w:r>
      <w:r w:rsidRPr="00BF42B7">
        <w:rPr>
          <w:rFonts w:hint="eastAsia"/>
          <w:lang w:val="en-GB"/>
        </w:rPr>
        <w:t>中指出：</w:t>
      </w:r>
    </w:p>
    <w:p w:rsidR="00CD5A8C" w:rsidRPr="00BF42B7" w:rsidRDefault="00CD5A8C" w:rsidP="00CD5A8C">
      <w:pPr>
        <w:tabs>
          <w:tab w:val="clear" w:pos="431"/>
          <w:tab w:val="left" w:pos="1134"/>
          <w:tab w:val="left" w:pos="1565"/>
          <w:tab w:val="left" w:pos="1996"/>
          <w:tab w:val="left" w:pos="2427"/>
          <w:tab w:val="left" w:pos="2786"/>
        </w:tabs>
        <w:spacing w:after="120"/>
        <w:ind w:left="1565" w:right="1134"/>
        <w:rPr>
          <w:lang w:val="en-GB"/>
        </w:rPr>
      </w:pPr>
      <w:r w:rsidRPr="00BF42B7">
        <w:rPr>
          <w:rFonts w:hint="eastAsia"/>
          <w:lang w:val="en-GB"/>
        </w:rPr>
        <w:t>“许多旨在打击国际犯罪的国际公约均规定，国家有义务将酷刑定为刑事罪，并有义务确定国家有权管辖此类罪行。有关国家在接受该《公约》的约束后，必须立即履行此义务，而该义务尤其具有预防和威慑性质，因为缔约国一旦为起诉这类罪行确立必要的法律工具，便确保其法律制度可为此开展活动，而且也承诺协同消除任何发生有罪不罚现象的风险。随着缔约国数目不断增加，这种预防性质也日益明显。”</w:t>
      </w:r>
      <w:bookmarkStart w:id="290" w:name="_Ref453660069"/>
      <w:r w:rsidRPr="00BF42B7">
        <w:rPr>
          <w:rFonts w:eastAsia="MS PGothic"/>
          <w:color w:val="0000FF"/>
          <w:vertAlign w:val="superscript"/>
          <w:lang w:val="en-GB"/>
        </w:rPr>
        <w:footnoteReference w:id="1176"/>
      </w:r>
      <w:bookmarkEnd w:id="290"/>
    </w:p>
    <w:p w:rsidR="00CD5A8C" w:rsidRPr="00BF42B7" w:rsidRDefault="00CD5A8C" w:rsidP="00CD5A8C">
      <w:pPr>
        <w:tabs>
          <w:tab w:val="clear" w:pos="431"/>
          <w:tab w:val="left" w:pos="1134"/>
          <w:tab w:val="left" w:pos="1565"/>
          <w:tab w:val="left" w:pos="2114"/>
          <w:tab w:val="left" w:pos="2427"/>
        </w:tabs>
        <w:spacing w:after="120"/>
        <w:ind w:left="1134" w:right="1134"/>
        <w:rPr>
          <w:lang w:val="en-GB"/>
        </w:rPr>
      </w:pPr>
      <w:r w:rsidRPr="00BF42B7">
        <w:rPr>
          <w:lang w:val="en-GB"/>
        </w:rPr>
        <w:t>(</w:t>
      </w:r>
      <w:r w:rsidRPr="00BF42B7">
        <w:rPr>
          <w:rFonts w:hint="eastAsia"/>
          <w:lang w:val="en-GB"/>
        </w:rPr>
        <w:t>5</w:t>
      </w:r>
      <w:r w:rsidRPr="00BF42B7">
        <w:rPr>
          <w:lang w:val="en-GB"/>
        </w:rPr>
        <w:t xml:space="preserve">)  </w:t>
      </w:r>
      <w:r w:rsidRPr="00BF42B7">
        <w:rPr>
          <w:rFonts w:hint="eastAsia"/>
          <w:spacing w:val="-2"/>
          <w:lang w:val="en-GB"/>
        </w:rPr>
        <w:t>许多处理犯罪问题的条约中都有与</w:t>
      </w:r>
      <w:r w:rsidRPr="00BF42B7">
        <w:rPr>
          <w:spacing w:val="-2"/>
          <w:lang w:val="en-GB"/>
        </w:rPr>
        <w:t>第</w:t>
      </w:r>
      <w:r w:rsidRPr="00BF42B7">
        <w:rPr>
          <w:spacing w:val="-2"/>
          <w:lang w:val="en-GB"/>
        </w:rPr>
        <w:t>6</w:t>
      </w:r>
      <w:r w:rsidRPr="00BF42B7">
        <w:rPr>
          <w:spacing w:val="-2"/>
          <w:lang w:val="en-GB"/>
        </w:rPr>
        <w:t>条草案</w:t>
      </w:r>
      <w:r w:rsidRPr="00BF42B7">
        <w:rPr>
          <w:rFonts w:hint="eastAsia"/>
          <w:spacing w:val="-2"/>
          <w:lang w:val="en-GB"/>
        </w:rPr>
        <w:t>中出现的条款类似的规定。</w:t>
      </w:r>
      <w:bookmarkStart w:id="291" w:name="_Ref426986446"/>
      <w:bookmarkStart w:id="292" w:name="_Ref453737820"/>
      <w:r w:rsidRPr="00BF42B7">
        <w:rPr>
          <w:color w:val="0000FF"/>
          <w:spacing w:val="-2"/>
          <w:vertAlign w:val="superscript"/>
          <w:lang w:val="en-GB"/>
        </w:rPr>
        <w:footnoteReference w:id="1177"/>
      </w:r>
      <w:bookmarkEnd w:id="291"/>
      <w:bookmarkEnd w:id="292"/>
      <w:r w:rsidRPr="00BF42B7">
        <w:rPr>
          <w:spacing w:val="-2"/>
          <w:lang w:val="en-GB"/>
        </w:rPr>
        <w:t xml:space="preserve"> </w:t>
      </w:r>
      <w:r w:rsidRPr="00BF42B7">
        <w:rPr>
          <w:rFonts w:hint="eastAsia"/>
          <w:lang w:val="en-GB"/>
        </w:rPr>
        <w:t>虽然还没有关于危害人类罪的条约，但希金斯、科艾曼斯和比尔根塔尔法官在其个别意见中指出：</w:t>
      </w:r>
    </w:p>
    <w:p w:rsidR="00CD5A8C" w:rsidRPr="00BF42B7" w:rsidRDefault="00CD5A8C" w:rsidP="00CD5A8C">
      <w:pPr>
        <w:tabs>
          <w:tab w:val="clear" w:pos="431"/>
          <w:tab w:val="left" w:pos="1134"/>
          <w:tab w:val="left" w:pos="1565"/>
          <w:tab w:val="left" w:pos="1996"/>
          <w:tab w:val="left" w:pos="2427"/>
          <w:tab w:val="left" w:pos="2786"/>
        </w:tabs>
        <w:spacing w:after="120"/>
        <w:ind w:left="1565" w:right="1134"/>
        <w:rPr>
          <w:spacing w:val="-2"/>
          <w:lang w:val="en-GB"/>
        </w:rPr>
      </w:pPr>
      <w:r w:rsidRPr="00BF42B7">
        <w:rPr>
          <w:rFonts w:hint="eastAsia"/>
          <w:spacing w:val="-2"/>
          <w:lang w:val="en-GB"/>
        </w:rPr>
        <w:t>“一系列带有特别管辖权条款的多边条约反映了国际社会的决心，即实施战争罪、劫持、劫持人质</w:t>
      </w:r>
      <w:r w:rsidRPr="00BF42B7">
        <w:rPr>
          <w:rFonts w:hint="eastAsia"/>
          <w:spacing w:val="-2"/>
          <w:lang w:val="en-GB"/>
        </w:rPr>
        <w:t>[</w:t>
      </w:r>
      <w:r w:rsidRPr="00BF42B7">
        <w:rPr>
          <w:rFonts w:hint="eastAsia"/>
          <w:spacing w:val="-2"/>
          <w:lang w:val="en-GB"/>
        </w:rPr>
        <w:t>和</w:t>
      </w:r>
      <w:r w:rsidRPr="00BF42B7">
        <w:rPr>
          <w:rFonts w:hint="eastAsia"/>
          <w:spacing w:val="-2"/>
          <w:lang w:val="en-GB"/>
        </w:rPr>
        <w:t>]</w:t>
      </w:r>
      <w:r w:rsidRPr="00BF42B7">
        <w:rPr>
          <w:rFonts w:hint="eastAsia"/>
          <w:spacing w:val="-2"/>
          <w:lang w:val="en-GB"/>
        </w:rPr>
        <w:t>酷刑者不能逍遥法外。虽然危害人类罪尚不是一项明确的公约的客体，但国际社会对此类行为同样愤慨是不容置疑的。”</w:t>
      </w:r>
      <w:bookmarkStart w:id="293" w:name="_Ref426554685"/>
      <w:r w:rsidRPr="00BF42B7">
        <w:rPr>
          <w:color w:val="0000FF"/>
          <w:spacing w:val="-2"/>
          <w:vertAlign w:val="superscript"/>
          <w:lang w:val="en-GB"/>
        </w:rPr>
        <w:footnoteReference w:id="1178"/>
      </w:r>
      <w:bookmarkEnd w:id="293"/>
    </w:p>
    <w:p w:rsidR="00CD5A8C" w:rsidRPr="00BF42B7" w:rsidRDefault="00CD5A8C" w:rsidP="00CD5A8C">
      <w:pPr>
        <w:tabs>
          <w:tab w:val="clear" w:pos="431"/>
          <w:tab w:val="left" w:pos="1134"/>
          <w:tab w:val="left" w:pos="1565"/>
          <w:tab w:val="left" w:pos="2114"/>
          <w:tab w:val="left" w:pos="2427"/>
        </w:tabs>
        <w:spacing w:after="120"/>
        <w:ind w:left="1134" w:right="1134"/>
        <w:rPr>
          <w:lang w:val="en-GB"/>
        </w:rPr>
      </w:pPr>
      <w:r w:rsidRPr="00BF42B7">
        <w:rPr>
          <w:lang w:val="en-GB"/>
        </w:rPr>
        <w:t>(</w:t>
      </w:r>
      <w:r w:rsidRPr="00BF42B7">
        <w:rPr>
          <w:rFonts w:hint="eastAsia"/>
          <w:lang w:val="en-GB"/>
        </w:rPr>
        <w:t>6</w:t>
      </w:r>
      <w:r w:rsidRPr="00BF42B7">
        <w:rPr>
          <w:lang w:val="en-GB"/>
        </w:rPr>
        <w:t xml:space="preserve">)  </w:t>
      </w:r>
      <w:r w:rsidRPr="00BF42B7">
        <w:rPr>
          <w:lang w:val="en-GB"/>
        </w:rPr>
        <w:t>第</w:t>
      </w:r>
      <w:r w:rsidRPr="00BF42B7">
        <w:rPr>
          <w:lang w:val="en-GB"/>
        </w:rPr>
        <w:t>6</w:t>
      </w:r>
      <w:r w:rsidRPr="00BF42B7">
        <w:rPr>
          <w:lang w:val="en-GB"/>
        </w:rPr>
        <w:t>条草案</w:t>
      </w:r>
      <w:r w:rsidRPr="00BF42B7">
        <w:rPr>
          <w:rFonts w:hint="eastAsia"/>
          <w:lang w:val="en-GB"/>
        </w:rPr>
        <w:t>第</w:t>
      </w:r>
      <w:r w:rsidRPr="00BF42B7">
        <w:rPr>
          <w:rFonts w:hint="eastAsia"/>
          <w:lang w:val="en-GB"/>
        </w:rPr>
        <w:t>1</w:t>
      </w:r>
      <w:r w:rsidRPr="00BF42B7">
        <w:rPr>
          <w:rFonts w:hint="eastAsia"/>
          <w:lang w:val="en-GB"/>
        </w:rPr>
        <w:t>款</w:t>
      </w:r>
      <w:r w:rsidRPr="00BF42B7">
        <w:rPr>
          <w:lang w:val="en-GB"/>
        </w:rPr>
        <w:t>(a)</w:t>
      </w:r>
      <w:r w:rsidRPr="00BF42B7">
        <w:rPr>
          <w:rFonts w:hint="eastAsia"/>
          <w:lang w:val="en-GB"/>
        </w:rPr>
        <w:t>项规定在罪行发生在一国领土内的情况下应确立管辖权，此类管辖权通常称为“属地管辖权”。相对于一国的“领土”，委员会认为宜表述为“</w:t>
      </w:r>
      <w:r w:rsidRPr="00BF42B7">
        <w:rPr>
          <w:lang w:val="en-GB"/>
        </w:rPr>
        <w:t>[</w:t>
      </w:r>
      <w:r w:rsidRPr="00BF42B7">
        <w:rPr>
          <w:rFonts w:hint="eastAsia"/>
          <w:lang w:val="en-GB"/>
        </w:rPr>
        <w:t>该国</w:t>
      </w:r>
      <w:r w:rsidRPr="00BF42B7">
        <w:rPr>
          <w:lang w:val="en-GB"/>
        </w:rPr>
        <w:t>]</w:t>
      </w:r>
      <w:r w:rsidRPr="00BF42B7">
        <w:rPr>
          <w:rFonts w:hint="eastAsia"/>
          <w:lang w:val="en-GB"/>
        </w:rPr>
        <w:t>管辖的领土”，以便涵盖该国的合法领土及其管辖或实际控制</w:t>
      </w:r>
      <w:r w:rsidRPr="00BF42B7">
        <w:rPr>
          <w:rFonts w:hint="eastAsia"/>
          <w:iCs/>
          <w:lang w:val="en-GB"/>
        </w:rPr>
        <w:t>的领土。这一术语符合本领域相关条约中采用的表述方式。今后需要重新讨论第</w:t>
      </w:r>
      <w:r w:rsidRPr="00BF42B7">
        <w:rPr>
          <w:rFonts w:hint="eastAsia"/>
          <w:iCs/>
          <w:lang w:val="en-GB"/>
        </w:rPr>
        <w:t>4</w:t>
      </w:r>
      <w:r w:rsidRPr="00BF42B7">
        <w:rPr>
          <w:rFonts w:hint="eastAsia"/>
          <w:iCs/>
          <w:lang w:val="en-GB"/>
        </w:rPr>
        <w:t>条草案案文</w:t>
      </w:r>
      <w:r w:rsidRPr="00BF42B7">
        <w:rPr>
          <w:rFonts w:hint="eastAsia"/>
          <w:lang w:val="en-GB"/>
        </w:rPr>
        <w:t>，以确保术语一致。</w:t>
      </w:r>
      <w:r w:rsidRPr="00BF42B7">
        <w:rPr>
          <w:color w:val="0000FF"/>
          <w:vertAlign w:val="superscript"/>
          <w:lang w:val="en-GB"/>
        </w:rPr>
        <w:footnoteReference w:id="1179"/>
      </w:r>
      <w:r w:rsidRPr="00BF42B7">
        <w:rPr>
          <w:lang w:val="en-GB"/>
        </w:rPr>
        <w:t xml:space="preserve"> </w:t>
      </w:r>
      <w:r w:rsidRPr="00BF42B7">
        <w:rPr>
          <w:rFonts w:hint="eastAsia"/>
          <w:lang w:val="en-GB"/>
        </w:rPr>
        <w:t>此外，属地管辖权往往包含对发生在某国注册的船只或飞机上的罪行的管辖权；事实上，已通过关于危害人类罪的国内法律的国家通常确立对发生在此类船只或飞机上的行为的管辖权。</w:t>
      </w:r>
    </w:p>
    <w:p w:rsidR="00CD5A8C" w:rsidRPr="00BF42B7" w:rsidRDefault="00CD5A8C" w:rsidP="00CD5A8C">
      <w:pPr>
        <w:tabs>
          <w:tab w:val="clear" w:pos="431"/>
          <w:tab w:val="left" w:pos="1134"/>
          <w:tab w:val="left" w:pos="1565"/>
          <w:tab w:val="left" w:pos="2114"/>
          <w:tab w:val="left" w:pos="2427"/>
        </w:tabs>
        <w:spacing w:after="120"/>
        <w:ind w:left="1134" w:right="1134"/>
        <w:rPr>
          <w:lang w:val="en-GB"/>
        </w:rPr>
      </w:pPr>
      <w:r w:rsidRPr="00BF42B7">
        <w:rPr>
          <w:lang w:val="en-GB"/>
        </w:rPr>
        <w:t>(</w:t>
      </w:r>
      <w:r w:rsidRPr="00BF42B7">
        <w:rPr>
          <w:rFonts w:hint="eastAsia"/>
          <w:lang w:val="en-GB"/>
        </w:rPr>
        <w:t>7</w:t>
      </w:r>
      <w:r w:rsidRPr="00BF42B7">
        <w:rPr>
          <w:lang w:val="en-GB"/>
        </w:rPr>
        <w:t xml:space="preserve">)  </w:t>
      </w:r>
      <w:r w:rsidRPr="00BF42B7">
        <w:rPr>
          <w:lang w:val="en-GB"/>
        </w:rPr>
        <w:t>第</w:t>
      </w:r>
      <w:r w:rsidRPr="00BF42B7">
        <w:rPr>
          <w:lang w:val="en-GB"/>
        </w:rPr>
        <w:t>6</w:t>
      </w:r>
      <w:r w:rsidRPr="00BF42B7">
        <w:rPr>
          <w:lang w:val="en-GB"/>
        </w:rPr>
        <w:t>条草案第</w:t>
      </w:r>
      <w:r w:rsidRPr="00BF42B7">
        <w:rPr>
          <w:lang w:val="en-GB"/>
        </w:rPr>
        <w:t>1</w:t>
      </w:r>
      <w:r w:rsidRPr="00BF42B7">
        <w:rPr>
          <w:lang w:val="en-GB"/>
        </w:rPr>
        <w:t>款</w:t>
      </w:r>
      <w:r w:rsidRPr="00BF42B7">
        <w:rPr>
          <w:lang w:val="en-GB"/>
        </w:rPr>
        <w:t>(b)</w:t>
      </w:r>
      <w:r w:rsidRPr="00BF42B7">
        <w:rPr>
          <w:lang w:val="en-GB"/>
        </w:rPr>
        <w:t>项</w:t>
      </w:r>
      <w:r w:rsidRPr="00BF42B7">
        <w:rPr>
          <w:rFonts w:hint="eastAsia"/>
          <w:lang w:val="en-GB"/>
        </w:rPr>
        <w:t>要求在被指控罪犯为该国国民时应确立管辖权，此类管辖权有时称为“国籍管辖权”或“主动属人管辖权”。</w:t>
      </w:r>
      <w:r w:rsidRPr="00BF42B7">
        <w:rPr>
          <w:lang w:val="en-GB"/>
        </w:rPr>
        <w:t>第</w:t>
      </w:r>
      <w:r w:rsidRPr="00BF42B7">
        <w:rPr>
          <w:lang w:val="en-GB"/>
        </w:rPr>
        <w:t>1</w:t>
      </w:r>
      <w:r w:rsidRPr="00BF42B7">
        <w:rPr>
          <w:lang w:val="en-GB"/>
        </w:rPr>
        <w:t>款</w:t>
      </w:r>
      <w:r w:rsidRPr="00BF42B7">
        <w:rPr>
          <w:lang w:val="en-GB"/>
        </w:rPr>
        <w:t>(b)</w:t>
      </w:r>
      <w:r w:rsidRPr="00BF42B7">
        <w:rPr>
          <w:lang w:val="en-GB"/>
        </w:rPr>
        <w:t>项</w:t>
      </w:r>
      <w:r w:rsidRPr="00BF42B7">
        <w:rPr>
          <w:rFonts w:hint="eastAsia"/>
          <w:lang w:val="en-GB"/>
        </w:rPr>
        <w:t>还指出，若罪犯为“惯常在该国领土内居住的无国籍人”，该国可以有选择地确立管辖权。这种表述是基于一些现行公约的用语，例如《反对劫持人质国际公约》第</w:t>
      </w:r>
      <w:r w:rsidRPr="00BF42B7">
        <w:rPr>
          <w:lang w:val="en-GB"/>
        </w:rPr>
        <w:t>5</w:t>
      </w:r>
      <w:r w:rsidRPr="00BF42B7">
        <w:rPr>
          <w:rFonts w:hint="eastAsia"/>
          <w:lang w:val="en-GB"/>
        </w:rPr>
        <w:t>条</w:t>
      </w:r>
      <w:r w:rsidRPr="00BF42B7">
        <w:rPr>
          <w:lang w:val="en-GB"/>
        </w:rPr>
        <w:t>第</w:t>
      </w:r>
      <w:r w:rsidRPr="00BF42B7">
        <w:rPr>
          <w:lang w:val="en-GB"/>
        </w:rPr>
        <w:t>1</w:t>
      </w:r>
      <w:r w:rsidRPr="00BF42B7">
        <w:rPr>
          <w:lang w:val="en-GB"/>
        </w:rPr>
        <w:t>款</w:t>
      </w:r>
      <w:r w:rsidRPr="00BF42B7">
        <w:rPr>
          <w:lang w:val="en-GB"/>
        </w:rPr>
        <w:t>(b)</w:t>
      </w:r>
      <w:r w:rsidRPr="00BF42B7">
        <w:rPr>
          <w:lang w:val="en-GB"/>
        </w:rPr>
        <w:t>项</w:t>
      </w:r>
      <w:r w:rsidRPr="00BF42B7">
        <w:rPr>
          <w:rFonts w:hint="eastAsia"/>
          <w:lang w:val="en-GB"/>
        </w:rPr>
        <w:t>。</w:t>
      </w:r>
    </w:p>
    <w:p w:rsidR="00CD5A8C" w:rsidRPr="00BF42B7" w:rsidRDefault="00CD5A8C" w:rsidP="00CD5A8C">
      <w:pPr>
        <w:tabs>
          <w:tab w:val="clear" w:pos="431"/>
          <w:tab w:val="left" w:pos="1134"/>
          <w:tab w:val="left" w:pos="1565"/>
          <w:tab w:val="left" w:pos="2114"/>
          <w:tab w:val="left" w:pos="2427"/>
        </w:tabs>
        <w:spacing w:after="120"/>
        <w:ind w:left="1134" w:right="1134"/>
        <w:rPr>
          <w:lang w:val="en-GB"/>
        </w:rPr>
      </w:pPr>
      <w:r w:rsidRPr="00BF42B7">
        <w:rPr>
          <w:lang w:val="en-GB"/>
        </w:rPr>
        <w:t>(</w:t>
      </w:r>
      <w:r w:rsidRPr="00BF42B7">
        <w:rPr>
          <w:rFonts w:hint="eastAsia"/>
          <w:lang w:val="en-GB"/>
        </w:rPr>
        <w:t>8</w:t>
      </w:r>
      <w:r w:rsidRPr="00BF42B7">
        <w:rPr>
          <w:lang w:val="en-GB"/>
        </w:rPr>
        <w:t xml:space="preserve">)  </w:t>
      </w:r>
      <w:r w:rsidRPr="00BF42B7">
        <w:rPr>
          <w:lang w:val="en-GB"/>
        </w:rPr>
        <w:t>第</w:t>
      </w:r>
      <w:r w:rsidRPr="00BF42B7">
        <w:rPr>
          <w:lang w:val="en-GB"/>
        </w:rPr>
        <w:t>6</w:t>
      </w:r>
      <w:r w:rsidRPr="00BF42B7">
        <w:rPr>
          <w:lang w:val="en-GB"/>
        </w:rPr>
        <w:t>条草案</w:t>
      </w:r>
      <w:r w:rsidRPr="00BF42B7">
        <w:rPr>
          <w:rFonts w:hint="eastAsia"/>
          <w:lang w:val="en-GB"/>
        </w:rPr>
        <w:t>第</w:t>
      </w:r>
      <w:r w:rsidRPr="00BF42B7">
        <w:rPr>
          <w:rFonts w:hint="eastAsia"/>
          <w:lang w:val="en-GB"/>
        </w:rPr>
        <w:t>1</w:t>
      </w:r>
      <w:r w:rsidRPr="00BF42B7">
        <w:rPr>
          <w:rFonts w:hint="eastAsia"/>
          <w:lang w:val="en-GB"/>
        </w:rPr>
        <w:t>款</w:t>
      </w:r>
      <w:r w:rsidRPr="00BF42B7">
        <w:rPr>
          <w:rFonts w:hint="eastAsia"/>
          <w:lang w:val="en-GB"/>
        </w:rPr>
        <w:t>(c)</w:t>
      </w:r>
      <w:r w:rsidRPr="00BF42B7">
        <w:rPr>
          <w:rFonts w:hint="eastAsia"/>
          <w:lang w:val="en-GB"/>
        </w:rPr>
        <w:t>项涉及犯罪受害人为该国国民时的管辖权，此类管辖权有时称为“被动属人管辖权”。鉴于许多国家更倾向于不行使此类管辖权，这种管辖权是选择性的；“若一国认为应予管辖”便可以确立管辖权，但该国没有义务这样做。这种表述也是基于大量现行公约的用语。</w:t>
      </w:r>
    </w:p>
    <w:p w:rsidR="00CD5A8C" w:rsidRPr="00BF42B7" w:rsidRDefault="00CD5A8C" w:rsidP="00CD5A8C">
      <w:pPr>
        <w:tabs>
          <w:tab w:val="clear" w:pos="431"/>
          <w:tab w:val="left" w:pos="1134"/>
          <w:tab w:val="left" w:pos="1565"/>
          <w:tab w:val="left" w:pos="2114"/>
          <w:tab w:val="left" w:pos="2427"/>
        </w:tabs>
        <w:spacing w:after="120"/>
        <w:ind w:left="1134" w:right="1134"/>
        <w:rPr>
          <w:lang w:val="en-GB"/>
        </w:rPr>
      </w:pPr>
      <w:r w:rsidRPr="00BF42B7">
        <w:rPr>
          <w:lang w:val="en-GB"/>
        </w:rPr>
        <w:t>(</w:t>
      </w:r>
      <w:r w:rsidRPr="00BF42B7">
        <w:rPr>
          <w:rFonts w:hint="eastAsia"/>
          <w:lang w:val="en-GB"/>
        </w:rPr>
        <w:t>9</w:t>
      </w:r>
      <w:r w:rsidRPr="00BF42B7">
        <w:rPr>
          <w:lang w:val="en-GB"/>
        </w:rPr>
        <w:t xml:space="preserve">)  </w:t>
      </w:r>
      <w:r w:rsidRPr="00BF42B7">
        <w:rPr>
          <w:lang w:val="en-GB"/>
        </w:rPr>
        <w:t>第</w:t>
      </w:r>
      <w:r w:rsidRPr="00BF42B7">
        <w:rPr>
          <w:lang w:val="en-GB"/>
        </w:rPr>
        <w:t>6</w:t>
      </w:r>
      <w:r w:rsidRPr="00BF42B7">
        <w:rPr>
          <w:lang w:val="en-GB"/>
        </w:rPr>
        <w:t>条草案</w:t>
      </w:r>
      <w:r w:rsidRPr="00BF42B7">
        <w:rPr>
          <w:rFonts w:hint="eastAsia"/>
          <w:lang w:val="en-GB"/>
        </w:rPr>
        <w:t>第</w:t>
      </w:r>
      <w:r w:rsidRPr="00BF42B7">
        <w:rPr>
          <w:lang w:val="en-GB"/>
        </w:rPr>
        <w:t>2</w:t>
      </w:r>
      <w:r w:rsidRPr="00BF42B7">
        <w:rPr>
          <w:rFonts w:hint="eastAsia"/>
          <w:lang w:val="en-GB"/>
        </w:rPr>
        <w:t>款处理可能不存在其他类型的管辖权，但被指控罪犯“处于”一国管辖的领土内，而且该国不按照本条款草案予以引渡或移交的情况。此类情况下，即使罪行不是在该国领土内发生，被指控罪犯不是其国民，犯罪受害人也不是其国民，但鉴于被指控罪犯处于该国管辖的领土内，因此该国仍有义务确立管辖权。此项义务有助于防止被指控罪犯在本来与罪行没有任何关联的国家寻求庇护。</w:t>
      </w:r>
    </w:p>
    <w:p w:rsidR="00CD5A8C" w:rsidRPr="00BF42B7" w:rsidRDefault="00CD5A8C" w:rsidP="00CD5A8C">
      <w:pPr>
        <w:tabs>
          <w:tab w:val="clear" w:pos="431"/>
          <w:tab w:val="left" w:pos="1134"/>
          <w:tab w:val="left" w:pos="1565"/>
          <w:tab w:val="left" w:pos="2114"/>
          <w:tab w:val="left" w:pos="2427"/>
        </w:tabs>
        <w:spacing w:after="120"/>
        <w:ind w:left="1134" w:right="1134"/>
        <w:rPr>
          <w:lang w:val="en-GB"/>
        </w:rPr>
      </w:pPr>
      <w:r w:rsidRPr="00BF42B7">
        <w:rPr>
          <w:lang w:val="en-GB"/>
        </w:rPr>
        <w:t>(</w:t>
      </w:r>
      <w:r w:rsidRPr="00BF42B7">
        <w:rPr>
          <w:rFonts w:hint="eastAsia"/>
          <w:lang w:val="en-GB"/>
        </w:rPr>
        <w:t>10</w:t>
      </w:r>
      <w:r w:rsidRPr="00BF42B7">
        <w:rPr>
          <w:lang w:val="en-GB"/>
        </w:rPr>
        <w:t xml:space="preserve">)  </w:t>
      </w:r>
      <w:r w:rsidRPr="00BF42B7">
        <w:rPr>
          <w:lang w:val="en-GB"/>
        </w:rPr>
        <w:t>第</w:t>
      </w:r>
      <w:r w:rsidRPr="00BF42B7">
        <w:rPr>
          <w:lang w:val="en-GB"/>
        </w:rPr>
        <w:t>6</w:t>
      </w:r>
      <w:r w:rsidRPr="00BF42B7">
        <w:rPr>
          <w:lang w:val="en-GB"/>
        </w:rPr>
        <w:t>条草案</w:t>
      </w:r>
      <w:r w:rsidRPr="00BF42B7">
        <w:rPr>
          <w:rFonts w:hint="eastAsia"/>
          <w:lang w:val="en-GB"/>
        </w:rPr>
        <w:t>第</w:t>
      </w:r>
      <w:r w:rsidRPr="00BF42B7">
        <w:rPr>
          <w:lang w:val="en-GB"/>
        </w:rPr>
        <w:t>3</w:t>
      </w:r>
      <w:r w:rsidRPr="00BF42B7">
        <w:rPr>
          <w:rFonts w:hint="eastAsia"/>
          <w:lang w:val="en-GB"/>
        </w:rPr>
        <w:t>款明确指出，虽然各国有义务行使以上类型的管辖权，但不排除根据该国国内法可以确立的任何其他管辖权。事实上，为维护缔约国在条约范围之外确立国家管辖权的权利，同时不妨碍任何适用的国际法规则，处理犯罪行为的条约通常留有余地，让缔约国可以确立其他管辖权依据，据以追究被指控罪犯的责任。</w:t>
      </w:r>
      <w:r w:rsidRPr="00BF42B7">
        <w:rPr>
          <w:color w:val="0000FF"/>
          <w:vertAlign w:val="superscript"/>
          <w:lang w:val="en-GB"/>
        </w:rPr>
        <w:footnoteReference w:id="1180"/>
      </w:r>
      <w:r w:rsidRPr="00BF42B7">
        <w:rPr>
          <w:lang w:val="en-GB"/>
        </w:rPr>
        <w:t xml:space="preserve"> </w:t>
      </w:r>
      <w:r w:rsidRPr="00BF42B7">
        <w:rPr>
          <w:rFonts w:hint="eastAsia"/>
          <w:lang w:val="en-GB"/>
        </w:rPr>
        <w:t>希金斯、科艾曼斯和比尔根塔尔法官在</w:t>
      </w:r>
      <w:r w:rsidRPr="00BF42B7">
        <w:rPr>
          <w:rFonts w:eastAsia="楷体" w:hint="eastAsia"/>
          <w:lang w:val="en-GB"/>
        </w:rPr>
        <w:t>逮捕令案</w:t>
      </w:r>
      <w:r w:rsidRPr="00BF42B7">
        <w:rPr>
          <w:rFonts w:hint="eastAsia"/>
          <w:lang w:val="en-GB"/>
        </w:rPr>
        <w:t>的联合个别意见中特别引用了《禁止酷刑公约》的这一条款，指出：</w:t>
      </w:r>
    </w:p>
    <w:p w:rsidR="00CD5A8C" w:rsidRPr="00BF42B7" w:rsidRDefault="00CD5A8C" w:rsidP="00CD5A8C">
      <w:pPr>
        <w:tabs>
          <w:tab w:val="clear" w:pos="431"/>
          <w:tab w:val="left" w:pos="1134"/>
          <w:tab w:val="left" w:pos="1565"/>
          <w:tab w:val="left" w:pos="1996"/>
          <w:tab w:val="left" w:pos="2427"/>
          <w:tab w:val="left" w:pos="2786"/>
        </w:tabs>
        <w:spacing w:after="120"/>
        <w:ind w:left="1565" w:right="1134"/>
        <w:rPr>
          <w:spacing w:val="-4"/>
          <w:lang w:val="en-GB"/>
        </w:rPr>
      </w:pPr>
      <w:r w:rsidRPr="00BF42B7">
        <w:rPr>
          <w:rFonts w:hint="eastAsia"/>
          <w:spacing w:val="-4"/>
          <w:lang w:val="en-GB"/>
        </w:rPr>
        <w:t>“我们反对这一建议，即打击有罪不罚现象的斗争已“移交”给国际条约和法庭，而国家法院在此类事项上没有权限。在制定相关条约规定时开展了极为细致的工作，力求不排除其他可以在自愿的基础上行使管辖权的理由。”</w:t>
      </w:r>
      <w:bookmarkStart w:id="294" w:name="_Ref453667020"/>
      <w:r w:rsidRPr="00BF42B7">
        <w:rPr>
          <w:color w:val="0000FF"/>
          <w:spacing w:val="-4"/>
          <w:vertAlign w:val="superscript"/>
          <w:lang w:val="en-GB"/>
        </w:rPr>
        <w:footnoteReference w:id="1181"/>
      </w:r>
      <w:bookmarkEnd w:id="294"/>
    </w:p>
    <w:p w:rsidR="00CD5A8C" w:rsidRPr="00BF42B7" w:rsidRDefault="00CD5A8C" w:rsidP="00CD5A8C">
      <w:pPr>
        <w:tabs>
          <w:tab w:val="clear" w:pos="431"/>
          <w:tab w:val="left" w:pos="1134"/>
          <w:tab w:val="left" w:pos="1565"/>
          <w:tab w:val="left" w:pos="2114"/>
          <w:tab w:val="left" w:pos="2427"/>
        </w:tabs>
        <w:spacing w:after="120"/>
        <w:ind w:left="1134" w:right="1134"/>
        <w:rPr>
          <w:lang w:val="en-GB"/>
        </w:rPr>
      </w:pPr>
      <w:r w:rsidRPr="00BF42B7">
        <w:rPr>
          <w:lang w:val="en-GB"/>
        </w:rPr>
        <w:t>(1</w:t>
      </w:r>
      <w:r w:rsidRPr="00BF42B7">
        <w:rPr>
          <w:rFonts w:hint="eastAsia"/>
          <w:lang w:val="en-GB"/>
        </w:rPr>
        <w:t>1</w:t>
      </w:r>
      <w:r w:rsidRPr="00BF42B7">
        <w:rPr>
          <w:lang w:val="en-GB"/>
        </w:rPr>
        <w:t xml:space="preserve">)  </w:t>
      </w:r>
      <w:r w:rsidRPr="00BF42B7">
        <w:rPr>
          <w:rFonts w:hint="eastAsia"/>
          <w:lang w:val="en-GB"/>
        </w:rPr>
        <w:t>确立</w:t>
      </w:r>
      <w:r w:rsidRPr="00BF42B7">
        <w:rPr>
          <w:lang w:val="en-GB"/>
        </w:rPr>
        <w:t>第</w:t>
      </w:r>
      <w:r w:rsidRPr="00BF42B7">
        <w:rPr>
          <w:lang w:val="en-GB"/>
        </w:rPr>
        <w:t>6</w:t>
      </w:r>
      <w:r w:rsidRPr="00BF42B7">
        <w:rPr>
          <w:lang w:val="en-GB"/>
        </w:rPr>
        <w:t>条草案</w:t>
      </w:r>
      <w:r w:rsidRPr="00BF42B7">
        <w:rPr>
          <w:rFonts w:hint="eastAsia"/>
          <w:lang w:val="en-GB"/>
        </w:rPr>
        <w:t>所列的各类国家管辖权，对于支持下文第</w:t>
      </w:r>
      <w:r w:rsidRPr="00BF42B7">
        <w:rPr>
          <w:rFonts w:hint="eastAsia"/>
          <w:lang w:val="en-GB"/>
        </w:rPr>
        <w:t>9</w:t>
      </w:r>
      <w:r w:rsidRPr="00BF42B7">
        <w:rPr>
          <w:rFonts w:hint="eastAsia"/>
          <w:lang w:val="en-GB"/>
        </w:rPr>
        <w:t>条草案所述“引渡或审判”义务也十分重要。纪尧姆法官在</w:t>
      </w:r>
      <w:r w:rsidRPr="00BF42B7">
        <w:rPr>
          <w:rFonts w:eastAsia="楷体" w:hint="eastAsia"/>
          <w:lang w:val="en-GB"/>
        </w:rPr>
        <w:t>逮捕令案</w:t>
      </w:r>
      <w:r w:rsidRPr="00BF42B7">
        <w:rPr>
          <w:rFonts w:hint="eastAsia"/>
          <w:lang w:val="en-GB"/>
        </w:rPr>
        <w:t>的个别意见中谈及这类条约建立的“制度”：</w:t>
      </w:r>
    </w:p>
    <w:p w:rsidR="00CD5A8C" w:rsidRPr="00BF42B7" w:rsidRDefault="00CD5A8C" w:rsidP="00CD5A8C">
      <w:pPr>
        <w:tabs>
          <w:tab w:val="clear" w:pos="431"/>
          <w:tab w:val="left" w:pos="1134"/>
          <w:tab w:val="left" w:pos="1565"/>
          <w:tab w:val="left" w:pos="1996"/>
          <w:tab w:val="left" w:pos="2427"/>
          <w:tab w:val="left" w:pos="2786"/>
        </w:tabs>
        <w:spacing w:after="120"/>
        <w:ind w:left="1565" w:right="1134"/>
        <w:rPr>
          <w:lang w:val="en-GB"/>
        </w:rPr>
      </w:pPr>
      <w:r w:rsidRPr="00BF42B7">
        <w:rPr>
          <w:rFonts w:hint="eastAsia"/>
          <w:lang w:val="en-GB"/>
        </w:rPr>
        <w:t>“一经</w:t>
      </w:r>
      <w:r w:rsidRPr="00BF42B7">
        <w:rPr>
          <w:rFonts w:hint="eastAsia"/>
          <w:u w:color="000000"/>
          <w:bdr w:val="nil"/>
          <w:lang w:val="en-GB"/>
        </w:rPr>
        <w:t>发现</w:t>
      </w:r>
      <w:r w:rsidRPr="00BF42B7">
        <w:rPr>
          <w:rFonts w:hint="eastAsia"/>
          <w:lang w:val="en-GB"/>
        </w:rPr>
        <w:t>这些公约所述罪行的犯罪人在一国领土内，该国就有义务将其逮捕，然后引渡或起诉。</w:t>
      </w:r>
      <w:r w:rsidRPr="00BF42B7">
        <w:rPr>
          <w:rFonts w:eastAsia="楷体" w:hint="eastAsia"/>
          <w:lang w:val="en-GB"/>
        </w:rPr>
        <w:t>该国首先必定已授予法院管辖权，若不引渡就对其进行审判</w:t>
      </w:r>
      <w:r w:rsidRPr="00BF42B7">
        <w:rPr>
          <w:rFonts w:hint="eastAsia"/>
          <w:lang w:val="en-GB"/>
        </w:rPr>
        <w:t>。这样便可保证所有相关罪行均受到惩罚，因为所有国家都拒绝庇护犯罪人。</w:t>
      </w:r>
      <w:bookmarkStart w:id="295" w:name="_Ref426620250"/>
      <w:r w:rsidRPr="00BF42B7">
        <w:rPr>
          <w:rFonts w:hint="eastAsia"/>
          <w:lang w:val="en-GB"/>
        </w:rPr>
        <w:t>”</w:t>
      </w:r>
      <w:r w:rsidRPr="00BF42B7">
        <w:rPr>
          <w:color w:val="0000FF"/>
          <w:vertAlign w:val="superscript"/>
          <w:lang w:val="en-GB"/>
        </w:rPr>
        <w:footnoteReference w:id="1182"/>
      </w:r>
      <w:bookmarkEnd w:id="295"/>
    </w:p>
    <w:p w:rsidR="00CD5A8C" w:rsidRPr="00BF42B7" w:rsidRDefault="00CD5A8C" w:rsidP="00CD5A8C">
      <w:pPr>
        <w:pStyle w:val="H23GC"/>
        <w:ind w:left="1554"/>
        <w:rPr>
          <w:lang w:val="en-GB"/>
        </w:rPr>
      </w:pPr>
      <w:r w:rsidRPr="00BF42B7">
        <w:rPr>
          <w:sz w:val="24"/>
          <w:lang w:val="en-GB"/>
        </w:rPr>
        <w:tab/>
      </w:r>
      <w:r w:rsidRPr="00BF42B7">
        <w:rPr>
          <w:sz w:val="24"/>
          <w:lang w:val="en-GB"/>
        </w:rPr>
        <w:tab/>
      </w:r>
      <w:r w:rsidRPr="00BF42B7">
        <w:rPr>
          <w:rFonts w:hint="eastAsia"/>
          <w:lang w:val="en-GB"/>
        </w:rPr>
        <w:t>第</w:t>
      </w:r>
      <w:r w:rsidRPr="00BF42B7">
        <w:rPr>
          <w:lang w:val="en-GB"/>
        </w:rPr>
        <w:t>7</w:t>
      </w:r>
      <w:r w:rsidRPr="00BF42B7">
        <w:rPr>
          <w:rFonts w:hint="eastAsia"/>
          <w:lang w:val="en-GB"/>
        </w:rPr>
        <w:t>条</w:t>
      </w:r>
      <w:r w:rsidRPr="00BF42B7">
        <w:rPr>
          <w:lang w:val="en-GB"/>
        </w:rPr>
        <w:br/>
      </w:r>
      <w:r w:rsidRPr="00BF42B7">
        <w:rPr>
          <w:rFonts w:hint="eastAsia"/>
          <w:lang w:val="en-GB"/>
        </w:rPr>
        <w:t>调查</w:t>
      </w:r>
    </w:p>
    <w:p w:rsidR="00CD5A8C" w:rsidRPr="00BF42B7" w:rsidRDefault="00CD5A8C" w:rsidP="00CD5A8C">
      <w:pPr>
        <w:tabs>
          <w:tab w:val="clear" w:pos="431"/>
          <w:tab w:val="left" w:pos="1134"/>
          <w:tab w:val="left" w:pos="1565"/>
          <w:tab w:val="left" w:pos="1996"/>
          <w:tab w:val="left" w:pos="2427"/>
        </w:tabs>
        <w:spacing w:after="120"/>
        <w:ind w:left="1554" w:right="1134"/>
        <w:rPr>
          <w:lang w:val="en-GB"/>
        </w:rPr>
      </w:pPr>
      <w:r w:rsidRPr="00BF42B7">
        <w:rPr>
          <w:rFonts w:hint="eastAsia"/>
          <w:lang w:val="en-GB"/>
        </w:rPr>
        <w:t>各国应确保在有合理依据认为在其管辖的任何领土内已经或正在发生构成危害人类罪行的行为时，其主管当局立即进行公正的调查。</w:t>
      </w:r>
    </w:p>
    <w:p w:rsidR="00CD5A8C" w:rsidRPr="00BF42B7" w:rsidRDefault="00CD5A8C" w:rsidP="00586EF6">
      <w:pPr>
        <w:pStyle w:val="H23GC"/>
        <w:rPr>
          <w:lang w:val="en-GB"/>
        </w:rPr>
      </w:pPr>
      <w:r w:rsidRPr="00BF42B7">
        <w:rPr>
          <w:lang w:val="en-GB"/>
        </w:rPr>
        <w:tab/>
      </w:r>
      <w:r w:rsidRPr="00BF42B7">
        <w:rPr>
          <w:lang w:val="en-GB"/>
        </w:rPr>
        <w:tab/>
      </w:r>
      <w:r w:rsidRPr="00BF42B7">
        <w:rPr>
          <w:rFonts w:hint="eastAsia"/>
          <w:lang w:val="en-GB"/>
        </w:rPr>
        <w:t>评注</w:t>
      </w:r>
    </w:p>
    <w:p w:rsidR="00CD5A8C" w:rsidRPr="00BF42B7" w:rsidRDefault="00CD5A8C" w:rsidP="00CD5A8C">
      <w:pPr>
        <w:tabs>
          <w:tab w:val="clear" w:pos="431"/>
          <w:tab w:val="left" w:pos="1134"/>
          <w:tab w:val="left" w:pos="1565"/>
          <w:tab w:val="left" w:pos="2128"/>
          <w:tab w:val="left" w:pos="2427"/>
        </w:tabs>
        <w:spacing w:after="120"/>
        <w:ind w:left="1134" w:right="1134"/>
        <w:rPr>
          <w:lang w:val="en-GB"/>
        </w:rPr>
      </w:pPr>
      <w:r w:rsidRPr="00BF42B7">
        <w:rPr>
          <w:lang w:val="en-GB"/>
        </w:rPr>
        <w:t xml:space="preserve">(1)  </w:t>
      </w:r>
      <w:r w:rsidRPr="00BF42B7">
        <w:rPr>
          <w:rFonts w:hint="eastAsia"/>
          <w:lang w:val="en-GB"/>
        </w:rPr>
        <w:t>第</w:t>
      </w:r>
      <w:r w:rsidRPr="00BF42B7">
        <w:rPr>
          <w:lang w:val="en-GB"/>
        </w:rPr>
        <w:t>7</w:t>
      </w:r>
      <w:r w:rsidRPr="00BF42B7">
        <w:rPr>
          <w:rFonts w:hint="eastAsia"/>
          <w:lang w:val="en-GB"/>
        </w:rPr>
        <w:t>条草案处理有合理依据认为在一国管辖的任何领土内已经或正在发生构成危害人类罪行的行为的情况。该国最适合开展这一调查，以便确定罪行是否确已发生或正在发生，如果是，则确定犯罪者是该国控制的政府军队、另一国控制的军队还是非国家组织。这样的调查不仅可以为查明被指控罪犯及其方位奠定基础，还有助于追本溯源以防止罪行延续或再度发生。应将这一调查与下文第</w:t>
      </w:r>
      <w:r w:rsidRPr="00BF42B7">
        <w:rPr>
          <w:rFonts w:hint="eastAsia"/>
          <w:lang w:val="en-GB"/>
        </w:rPr>
        <w:t>8</w:t>
      </w:r>
      <w:r w:rsidRPr="00BF42B7">
        <w:rPr>
          <w:rFonts w:hint="eastAsia"/>
          <w:lang w:val="en-GB"/>
        </w:rPr>
        <w:t>条草案第</w:t>
      </w:r>
      <w:r w:rsidRPr="00BF42B7">
        <w:rPr>
          <w:rFonts w:hint="eastAsia"/>
          <w:lang w:val="en-GB"/>
        </w:rPr>
        <w:t>2</w:t>
      </w:r>
      <w:r w:rsidRPr="00BF42B7">
        <w:rPr>
          <w:rFonts w:hint="eastAsia"/>
          <w:lang w:val="en-GB"/>
        </w:rPr>
        <w:t>款所述对一国境内被指控罪犯的相关事实开展的初步调查加以对照。</w:t>
      </w:r>
    </w:p>
    <w:p w:rsidR="00CD5A8C" w:rsidRPr="00BF42B7" w:rsidRDefault="00CD5A8C" w:rsidP="00CD5A8C">
      <w:pPr>
        <w:tabs>
          <w:tab w:val="clear" w:pos="431"/>
          <w:tab w:val="left" w:pos="1134"/>
          <w:tab w:val="left" w:pos="1565"/>
          <w:tab w:val="left" w:pos="2128"/>
          <w:tab w:val="left" w:pos="2427"/>
        </w:tabs>
        <w:spacing w:after="120"/>
        <w:ind w:left="1134" w:right="1134"/>
        <w:rPr>
          <w:lang w:val="en-GB"/>
        </w:rPr>
      </w:pPr>
      <w:r w:rsidRPr="00BF42B7">
        <w:rPr>
          <w:lang w:val="en-GB"/>
        </w:rPr>
        <w:t xml:space="preserve">(2)  </w:t>
      </w:r>
      <w:r w:rsidRPr="00BF42B7">
        <w:rPr>
          <w:rFonts w:hint="eastAsia"/>
          <w:lang w:val="en-GB"/>
        </w:rPr>
        <w:t>处理其他罪行的一些条约也载有类似义务。</w:t>
      </w:r>
      <w:r w:rsidRPr="00BF42B7">
        <w:rPr>
          <w:rFonts w:eastAsia="Times New Roman"/>
          <w:color w:val="0000FF"/>
          <w:vertAlign w:val="superscript"/>
          <w:lang w:val="en-GB"/>
        </w:rPr>
        <w:footnoteReference w:id="1183"/>
      </w:r>
      <w:r w:rsidRPr="00BF42B7">
        <w:rPr>
          <w:rFonts w:eastAsia="Times New Roman"/>
          <w:lang w:val="en-GB"/>
        </w:rPr>
        <w:t xml:space="preserve"> </w:t>
      </w:r>
      <w:r w:rsidRPr="00BF42B7">
        <w:rPr>
          <w:rFonts w:hint="eastAsia"/>
          <w:lang w:val="en-GB"/>
        </w:rPr>
        <w:t>例如，《禁止酷刑公约》第</w:t>
      </w:r>
      <w:r w:rsidRPr="00BF42B7">
        <w:rPr>
          <w:lang w:val="en-GB"/>
        </w:rPr>
        <w:t>12</w:t>
      </w:r>
      <w:r w:rsidRPr="00BF42B7">
        <w:rPr>
          <w:rFonts w:hint="eastAsia"/>
          <w:lang w:val="en-GB"/>
        </w:rPr>
        <w:t>条规定：“每一缔约国应确保在有适当理由认为在其管辖的任何领土内已发生酷刑行为时，其主管当局立即进行公正的调查。”此项义务有别于缔约国根据《禁止酷刑公约》第</w:t>
      </w:r>
      <w:r w:rsidRPr="00BF42B7">
        <w:rPr>
          <w:rFonts w:hint="eastAsia"/>
          <w:lang w:val="en-GB"/>
        </w:rPr>
        <w:t>6</w:t>
      </w:r>
      <w:r w:rsidRPr="00BF42B7">
        <w:rPr>
          <w:rFonts w:hint="eastAsia"/>
          <w:lang w:val="en-GB"/>
        </w:rPr>
        <w:t>条第</w:t>
      </w:r>
      <w:r w:rsidRPr="00BF42B7">
        <w:rPr>
          <w:rFonts w:hint="eastAsia"/>
          <w:lang w:val="en-GB"/>
        </w:rPr>
        <w:t>2</w:t>
      </w:r>
      <w:r w:rsidRPr="00BF42B7">
        <w:rPr>
          <w:rFonts w:hint="eastAsia"/>
          <w:lang w:val="en-GB"/>
        </w:rPr>
        <w:t>款承担的对某被指控罪犯的有关事实进行调查的义务。《禁止酷刑公约》第</w:t>
      </w:r>
      <w:r w:rsidRPr="00BF42B7">
        <w:rPr>
          <w:rFonts w:eastAsia="Times New Roman"/>
          <w:lang w:val="en-GB"/>
        </w:rPr>
        <w:t>12</w:t>
      </w:r>
      <w:r w:rsidRPr="00BF42B7">
        <w:rPr>
          <w:rFonts w:hint="eastAsia"/>
          <w:lang w:val="en-GB"/>
        </w:rPr>
        <w:t>条要求在有“适当理由认为”已发生犯罪行为时开展调查，无论受害人是否已向该国主管当局正式提出申诉。</w:t>
      </w:r>
      <w:bookmarkStart w:id="296" w:name="_Ref426707772"/>
      <w:r w:rsidRPr="00BF42B7">
        <w:rPr>
          <w:rFonts w:eastAsia="MS PGothic"/>
          <w:color w:val="0000FF"/>
          <w:vertAlign w:val="superscript"/>
          <w:lang w:val="en-GB"/>
        </w:rPr>
        <w:footnoteReference w:id="1184"/>
      </w:r>
      <w:bookmarkEnd w:id="296"/>
      <w:r w:rsidRPr="00BF42B7">
        <w:rPr>
          <w:rFonts w:hint="eastAsia"/>
          <w:lang w:val="en-GB"/>
        </w:rPr>
        <w:t xml:space="preserve"> </w:t>
      </w:r>
      <w:r w:rsidRPr="00BF42B7">
        <w:rPr>
          <w:rFonts w:hint="eastAsia"/>
          <w:lang w:val="en-GB"/>
        </w:rPr>
        <w:t>事实上，由于酷刑做法越普遍的国家，正式提出酷刑申诉的数目很可能越少，所以即使一国没有接到任何申诉，也可能发生违反《禁止酷刑公约》第</w:t>
      </w:r>
      <w:r w:rsidRPr="00BF42B7">
        <w:rPr>
          <w:rFonts w:hint="eastAsia"/>
          <w:lang w:val="en-GB"/>
        </w:rPr>
        <w:t>12</w:t>
      </w:r>
      <w:r w:rsidRPr="00BF42B7">
        <w:rPr>
          <w:rFonts w:hint="eastAsia"/>
          <w:lang w:val="en-GB"/>
        </w:rPr>
        <w:t>条的行为。禁止酷刑委员会已经指出，凡有适当理由认为发生了酷刑或虐待，国家当局就必须“自动进行”调查，而“无需特别注重怀疑的依据”。</w:t>
      </w:r>
      <w:r w:rsidRPr="00BF42B7">
        <w:rPr>
          <w:color w:val="0000FF"/>
          <w:vertAlign w:val="superscript"/>
          <w:lang w:val="en-GB"/>
        </w:rPr>
        <w:footnoteReference w:id="1185"/>
      </w:r>
    </w:p>
    <w:p w:rsidR="00CD5A8C" w:rsidRPr="00BF42B7" w:rsidRDefault="00CD5A8C" w:rsidP="00CD5A8C">
      <w:pPr>
        <w:tabs>
          <w:tab w:val="clear" w:pos="431"/>
          <w:tab w:val="left" w:pos="1134"/>
          <w:tab w:val="left" w:pos="1565"/>
          <w:tab w:val="left" w:pos="2128"/>
          <w:tab w:val="left" w:pos="2427"/>
        </w:tabs>
        <w:spacing w:after="120"/>
        <w:ind w:left="1134" w:right="1134"/>
        <w:rPr>
          <w:lang w:val="en-GB"/>
        </w:rPr>
      </w:pPr>
      <w:r w:rsidRPr="00BF42B7">
        <w:rPr>
          <w:lang w:val="en-GB"/>
        </w:rPr>
        <w:t xml:space="preserve">(3)  </w:t>
      </w:r>
      <w:r w:rsidRPr="00BF42B7">
        <w:rPr>
          <w:rFonts w:hint="eastAsia"/>
          <w:lang w:val="en-GB"/>
        </w:rPr>
        <w:t>禁止酷刑委员会还认为，如果国家调查做不到“及时而公正”，就违反了第</w:t>
      </w:r>
      <w:r w:rsidRPr="00BF42B7">
        <w:rPr>
          <w:rFonts w:hint="eastAsia"/>
          <w:lang w:val="en-GB"/>
        </w:rPr>
        <w:t>12</w:t>
      </w:r>
      <w:r w:rsidRPr="00BF42B7">
        <w:rPr>
          <w:rFonts w:hint="eastAsia"/>
          <w:lang w:val="en-GB"/>
        </w:rPr>
        <w:t>条。</w:t>
      </w:r>
      <w:r w:rsidRPr="00BF42B7">
        <w:rPr>
          <w:color w:val="0000FF"/>
          <w:vertAlign w:val="superscript"/>
          <w:lang w:val="en-GB"/>
        </w:rPr>
        <w:footnoteReference w:id="1186"/>
      </w:r>
      <w:r w:rsidRPr="00BF42B7">
        <w:rPr>
          <w:lang w:val="en-GB"/>
        </w:rPr>
        <w:t xml:space="preserve"> </w:t>
      </w:r>
      <w:r w:rsidRPr="00BF42B7">
        <w:rPr>
          <w:rFonts w:hint="eastAsia"/>
          <w:lang w:val="en-GB"/>
        </w:rPr>
        <w:t>要求及时调查意味着一旦怀疑发生了犯罪行为，就应立即或毫不</w:t>
      </w:r>
      <w:r w:rsidRPr="00BF42B7">
        <w:rPr>
          <w:rFonts w:hint="eastAsia"/>
          <w:spacing w:val="2"/>
          <w:lang w:val="en-GB"/>
        </w:rPr>
        <w:t>拖延地启动调查。在委员会认为调查不够及时的大多数案件中，或是根本没有进行任何调查，或是过了很长时间才开始调查。例如，委员会认为“对酷刑指控的调查如耽搁</w:t>
      </w:r>
      <w:r w:rsidRPr="00BF42B7">
        <w:rPr>
          <w:rFonts w:hint="eastAsia"/>
          <w:spacing w:val="2"/>
          <w:lang w:val="en-GB"/>
        </w:rPr>
        <w:t>15</w:t>
      </w:r>
      <w:r w:rsidRPr="00BF42B7">
        <w:rPr>
          <w:rFonts w:hint="eastAsia"/>
          <w:spacing w:val="2"/>
          <w:lang w:val="en-GB"/>
        </w:rPr>
        <w:t>个月才启动，属于时间过长，违反了《公约》第</w:t>
      </w:r>
      <w:r w:rsidRPr="00BF42B7">
        <w:rPr>
          <w:rFonts w:hint="eastAsia"/>
          <w:spacing w:val="2"/>
          <w:lang w:val="en-GB"/>
        </w:rPr>
        <w:t>12</w:t>
      </w:r>
      <w:r w:rsidRPr="00BF42B7">
        <w:rPr>
          <w:rFonts w:hint="eastAsia"/>
          <w:spacing w:val="2"/>
          <w:lang w:val="en-GB"/>
        </w:rPr>
        <w:t>条的规定。”</w:t>
      </w:r>
      <w:r w:rsidRPr="00BF42B7">
        <w:rPr>
          <w:color w:val="0000FF"/>
          <w:spacing w:val="2"/>
          <w:vertAlign w:val="superscript"/>
          <w:lang w:val="en-GB"/>
        </w:rPr>
        <w:footnoteReference w:id="1187"/>
      </w:r>
      <w:r w:rsidRPr="00BF42B7">
        <w:rPr>
          <w:rFonts w:hint="eastAsia"/>
          <w:lang w:val="en-GB"/>
        </w:rPr>
        <w:t xml:space="preserve"> </w:t>
      </w:r>
      <w:r w:rsidRPr="00BF42B7">
        <w:rPr>
          <w:rFonts w:hint="eastAsia"/>
          <w:lang w:val="en-GB"/>
        </w:rPr>
        <w:t>要求及时调查所依据的理由是，可证明酷刑的物质痕迹可能会很快消失，提出申诉的受害人也有再次遭受酷刑的危险，而及时调查有可能防止这些情况。</w:t>
      </w:r>
      <w:r w:rsidRPr="00BF42B7">
        <w:rPr>
          <w:color w:val="0000FF"/>
          <w:vertAlign w:val="superscript"/>
          <w:lang w:val="en-GB"/>
        </w:rPr>
        <w:footnoteReference w:id="1188"/>
      </w:r>
    </w:p>
    <w:p w:rsidR="00CD5A8C" w:rsidRPr="00BF42B7" w:rsidRDefault="00CD5A8C" w:rsidP="00CD5A8C">
      <w:pPr>
        <w:tabs>
          <w:tab w:val="clear" w:pos="431"/>
          <w:tab w:val="left" w:pos="1134"/>
          <w:tab w:val="left" w:pos="1565"/>
          <w:tab w:val="left" w:pos="2128"/>
          <w:tab w:val="left" w:pos="2427"/>
        </w:tabs>
        <w:spacing w:after="120"/>
        <w:ind w:left="1134" w:right="1134"/>
        <w:rPr>
          <w:lang w:val="en-GB"/>
        </w:rPr>
      </w:pPr>
      <w:r w:rsidRPr="00BF42B7">
        <w:rPr>
          <w:lang w:val="en-GB"/>
        </w:rPr>
        <w:t xml:space="preserve">(4)  </w:t>
      </w:r>
      <w:r w:rsidRPr="00BF42B7">
        <w:rPr>
          <w:rFonts w:hint="eastAsia"/>
          <w:lang w:val="en-GB"/>
        </w:rPr>
        <w:t>要求公正调查意味着各国必须以严肃、有效和不偏不倚的方式进行调查。禁止酷刑委员会曾在一些情况下建议，对犯罪行为的调查应“处于司法机构独立成员的直接监督之下”。</w:t>
      </w:r>
      <w:r w:rsidRPr="00BF42B7">
        <w:rPr>
          <w:rFonts w:eastAsia="MS PGothic"/>
          <w:color w:val="0000FF"/>
          <w:vertAlign w:val="superscript"/>
          <w:lang w:val="en-GB"/>
        </w:rPr>
        <w:footnoteReference w:id="1189"/>
      </w:r>
      <w:r w:rsidRPr="00BF42B7">
        <w:rPr>
          <w:lang w:val="en-GB"/>
        </w:rPr>
        <w:t xml:space="preserve"> </w:t>
      </w:r>
      <w:r w:rsidRPr="00BF42B7">
        <w:rPr>
          <w:rFonts w:hint="eastAsia"/>
          <w:lang w:val="en-GB"/>
        </w:rPr>
        <w:t>委员会曾在其他情况下表示，“应严格禁止所有无权进行刑事案件调查的政府机构进行此种调查。”</w:t>
      </w:r>
      <w:r w:rsidRPr="00BF42B7">
        <w:rPr>
          <w:rFonts w:eastAsia="MS PGothic"/>
          <w:color w:val="0000FF"/>
          <w:vertAlign w:val="superscript"/>
          <w:lang w:val="en-GB"/>
        </w:rPr>
        <w:footnoteReference w:id="1190"/>
      </w:r>
      <w:r w:rsidRPr="00BF42B7">
        <w:rPr>
          <w:rFonts w:hint="eastAsia"/>
          <w:lang w:val="en-GB"/>
        </w:rPr>
        <w:t xml:space="preserve"> </w:t>
      </w:r>
      <w:r w:rsidRPr="00BF42B7">
        <w:rPr>
          <w:rFonts w:hint="eastAsia"/>
          <w:lang w:val="en-GB"/>
        </w:rPr>
        <w:t>委员会指出，公正的调查对犯罪行为发生或未发生的说法给予同等重视，然后通过适当的调查渠道追查，例如检查现有的政府记录、审查相关政府官员、或下令挖尸检验。</w:t>
      </w:r>
      <w:r w:rsidRPr="00BF42B7">
        <w:rPr>
          <w:color w:val="0000FF"/>
          <w:vertAlign w:val="superscript"/>
          <w:lang w:val="en-GB"/>
        </w:rPr>
        <w:footnoteReference w:id="1191"/>
      </w:r>
    </w:p>
    <w:p w:rsidR="00CD5A8C" w:rsidRPr="00BF42B7" w:rsidRDefault="00CD5A8C" w:rsidP="00CD5A8C">
      <w:pPr>
        <w:tabs>
          <w:tab w:val="clear" w:pos="431"/>
          <w:tab w:val="left" w:pos="1134"/>
          <w:tab w:val="left" w:pos="1565"/>
          <w:tab w:val="left" w:pos="2128"/>
          <w:tab w:val="left" w:pos="2427"/>
        </w:tabs>
        <w:spacing w:after="120"/>
        <w:ind w:left="1134" w:right="1134"/>
        <w:rPr>
          <w:lang w:val="en-GB"/>
        </w:rPr>
      </w:pPr>
      <w:r w:rsidRPr="00BF42B7">
        <w:rPr>
          <w:lang w:val="en-GB"/>
        </w:rPr>
        <w:t xml:space="preserve">(5)  </w:t>
      </w:r>
      <w:r w:rsidRPr="00BF42B7">
        <w:rPr>
          <w:rFonts w:hint="eastAsia"/>
          <w:lang w:val="en-GB"/>
        </w:rPr>
        <w:t>一些条约没有明确载列这种调查义务，但被理解为其行文暗含这一义务。例如，《公民权利和政治权利国际公约》没有明确载列这样的义务，但人权事务委员会一再申明各国必须秉持诚意调查违反《公约》的情况。</w:t>
      </w:r>
      <w:r w:rsidRPr="00BF42B7">
        <w:rPr>
          <w:rFonts w:eastAsia="MS PGothic"/>
          <w:color w:val="0000FF"/>
          <w:vertAlign w:val="superscript"/>
          <w:lang w:val="en-GB"/>
        </w:rPr>
        <w:footnoteReference w:id="1192"/>
      </w:r>
      <w:r w:rsidRPr="00BF42B7">
        <w:rPr>
          <w:rFonts w:hint="eastAsia"/>
          <w:lang w:val="en-GB"/>
        </w:rPr>
        <w:t xml:space="preserve"> </w:t>
      </w:r>
      <w:r w:rsidRPr="00BF42B7">
        <w:rPr>
          <w:rFonts w:hint="eastAsia"/>
          <w:lang w:val="en-GB"/>
        </w:rPr>
        <w:t>区域人权机构也将其法律文书解释为隐含着进行调查的义务。</w:t>
      </w:r>
      <w:r w:rsidRPr="00BF42B7">
        <w:rPr>
          <w:color w:val="0000FF"/>
          <w:vertAlign w:val="superscript"/>
          <w:lang w:val="en-GB"/>
        </w:rPr>
        <w:footnoteReference w:id="1193"/>
      </w:r>
    </w:p>
    <w:p w:rsidR="00CD5A8C" w:rsidRPr="00BF42B7" w:rsidRDefault="00CD5A8C" w:rsidP="00403CEF">
      <w:pPr>
        <w:pStyle w:val="H23GC"/>
        <w:spacing w:after="140" w:line="330" w:lineRule="exact"/>
        <w:ind w:left="1554"/>
        <w:rPr>
          <w:lang w:val="en-GB"/>
        </w:rPr>
      </w:pPr>
      <w:r w:rsidRPr="00BF42B7">
        <w:rPr>
          <w:rFonts w:ascii="Time New Roman" w:hAnsi="Time New Roman" w:hint="eastAsia"/>
        </w:rPr>
        <w:tab/>
      </w:r>
      <w:r w:rsidRPr="00BF42B7">
        <w:rPr>
          <w:rFonts w:ascii="Time New Roman" w:hAnsi="Time New Roman" w:hint="eastAsia"/>
        </w:rPr>
        <w:tab/>
      </w:r>
      <w:r w:rsidRPr="00BF42B7">
        <w:rPr>
          <w:rFonts w:ascii="Time New Roman" w:hAnsi="Time New Roman" w:hint="eastAsia"/>
        </w:rPr>
        <w:t>第</w:t>
      </w:r>
      <w:r w:rsidRPr="00BF42B7">
        <w:rPr>
          <w:rFonts w:ascii="Time New Roman" w:hAnsi="Time New Roman"/>
        </w:rPr>
        <w:t>8</w:t>
      </w:r>
      <w:r w:rsidRPr="00BF42B7">
        <w:rPr>
          <w:rFonts w:ascii="Time New Roman" w:hAnsi="Time New Roman" w:hint="eastAsia"/>
        </w:rPr>
        <w:t>条</w:t>
      </w:r>
      <w:r w:rsidRPr="00BF42B7">
        <w:rPr>
          <w:rFonts w:ascii="Time New Roman" w:hAnsi="Time New Roman"/>
        </w:rPr>
        <w:br/>
      </w:r>
      <w:r w:rsidRPr="00BF42B7">
        <w:rPr>
          <w:rFonts w:ascii="Time New Roman" w:hAnsi="Time New Roman" w:hint="eastAsia"/>
        </w:rPr>
        <w:t>当被</w:t>
      </w:r>
      <w:r w:rsidRPr="00586EF6">
        <w:rPr>
          <w:rFonts w:hint="eastAsia"/>
          <w:lang w:val="en-GB"/>
        </w:rPr>
        <w:t>指控</w:t>
      </w:r>
      <w:r w:rsidRPr="00BF42B7">
        <w:rPr>
          <w:rFonts w:ascii="Time New Roman" w:hAnsi="Time New Roman" w:hint="eastAsia"/>
        </w:rPr>
        <w:t>罪犯在境内时的初步措施</w:t>
      </w:r>
    </w:p>
    <w:p w:rsidR="00CD5A8C" w:rsidRPr="00BF42B7" w:rsidRDefault="00CD5A8C" w:rsidP="00403CEF">
      <w:pPr>
        <w:tabs>
          <w:tab w:val="clear" w:pos="431"/>
          <w:tab w:val="left" w:pos="1134"/>
          <w:tab w:val="left" w:pos="1565"/>
          <w:tab w:val="left" w:pos="1996"/>
          <w:tab w:val="left" w:pos="2427"/>
        </w:tabs>
        <w:spacing w:after="140" w:line="330" w:lineRule="exact"/>
        <w:ind w:left="1560" w:right="1134"/>
        <w:rPr>
          <w:lang w:val="en-GB"/>
        </w:rPr>
      </w:pPr>
      <w:r w:rsidRPr="00BF42B7">
        <w:rPr>
          <w:lang w:val="en-GB"/>
        </w:rPr>
        <w:t xml:space="preserve">1.  </w:t>
      </w:r>
      <w:r w:rsidRPr="00BF42B7">
        <w:rPr>
          <w:rFonts w:hint="eastAsia"/>
          <w:lang w:val="en-GB"/>
        </w:rPr>
        <w:t>任何国家，如果被指控犯有第</w:t>
      </w:r>
      <w:r w:rsidRPr="00BF42B7">
        <w:rPr>
          <w:rFonts w:hint="eastAsia"/>
          <w:lang w:val="en-GB"/>
        </w:rPr>
        <w:t>5</w:t>
      </w:r>
      <w:r w:rsidRPr="00BF42B7">
        <w:rPr>
          <w:rFonts w:hint="eastAsia"/>
          <w:lang w:val="en-GB"/>
        </w:rPr>
        <w:t>条草案所述任何罪行的人在其管辖下的领土之内，经审查所获情报后认为根据情况有此必要，应将该人拘押或采取其他法律措施确保该人留在境内。拘押和其他法律措施应符合该国法律的规定，但延续时间只限于提起任何刑事、引渡或移交程序所需的时间。</w:t>
      </w:r>
    </w:p>
    <w:p w:rsidR="00CD5A8C" w:rsidRPr="00BF42B7" w:rsidRDefault="00CD5A8C" w:rsidP="00403CEF">
      <w:pPr>
        <w:tabs>
          <w:tab w:val="clear" w:pos="431"/>
          <w:tab w:val="left" w:pos="1134"/>
          <w:tab w:val="left" w:pos="1565"/>
          <w:tab w:val="left" w:pos="1996"/>
          <w:tab w:val="left" w:pos="2427"/>
        </w:tabs>
        <w:spacing w:after="140" w:line="330" w:lineRule="exact"/>
        <w:ind w:left="1560" w:right="1134"/>
        <w:rPr>
          <w:lang w:val="en-GB"/>
        </w:rPr>
      </w:pPr>
      <w:r w:rsidRPr="00BF42B7">
        <w:rPr>
          <w:lang w:val="en-GB"/>
        </w:rPr>
        <w:t xml:space="preserve">2.  </w:t>
      </w:r>
      <w:r w:rsidRPr="00BF42B7">
        <w:rPr>
          <w:rFonts w:hint="eastAsia"/>
          <w:lang w:val="en-GB"/>
        </w:rPr>
        <w:t>该国应立即对事实进行初步调查。</w:t>
      </w:r>
    </w:p>
    <w:p w:rsidR="00CD5A8C" w:rsidRPr="00BF42B7" w:rsidRDefault="00CD5A8C" w:rsidP="00403CEF">
      <w:pPr>
        <w:tabs>
          <w:tab w:val="clear" w:pos="431"/>
          <w:tab w:val="left" w:pos="1134"/>
          <w:tab w:val="left" w:pos="1565"/>
          <w:tab w:val="left" w:pos="1996"/>
          <w:tab w:val="left" w:pos="2427"/>
        </w:tabs>
        <w:spacing w:after="140" w:line="330" w:lineRule="exact"/>
        <w:ind w:left="1560" w:right="1134"/>
        <w:rPr>
          <w:lang w:val="en-GB"/>
        </w:rPr>
      </w:pPr>
      <w:r w:rsidRPr="00BF42B7">
        <w:rPr>
          <w:lang w:val="en-GB"/>
        </w:rPr>
        <w:t xml:space="preserve">3.  </w:t>
      </w:r>
      <w:r w:rsidRPr="00BF42B7">
        <w:rPr>
          <w:rFonts w:hint="eastAsia"/>
          <w:lang w:val="en-GB"/>
        </w:rPr>
        <w:t>如一国根据本条草案将某人拘押，则应立即向第</w:t>
      </w:r>
      <w:r w:rsidRPr="00BF42B7">
        <w:rPr>
          <w:rFonts w:hint="eastAsia"/>
          <w:lang w:val="en-GB"/>
        </w:rPr>
        <w:t>6</w:t>
      </w:r>
      <w:r w:rsidRPr="00BF42B7">
        <w:rPr>
          <w:rFonts w:hint="eastAsia"/>
          <w:lang w:val="en-GB"/>
        </w:rPr>
        <w:t>条草案第</w:t>
      </w:r>
      <w:r w:rsidRPr="00BF42B7">
        <w:rPr>
          <w:rFonts w:hint="eastAsia"/>
          <w:lang w:val="en-GB"/>
        </w:rPr>
        <w:t>1</w:t>
      </w:r>
      <w:r w:rsidRPr="00BF42B7">
        <w:rPr>
          <w:rFonts w:hint="eastAsia"/>
          <w:lang w:val="en-GB"/>
        </w:rPr>
        <w:t>款所述各国通知该人受到拘押的事实和拘留该人之所以必要的情况。本条草案第</w:t>
      </w:r>
      <w:r w:rsidRPr="00BF42B7">
        <w:rPr>
          <w:rFonts w:hint="eastAsia"/>
          <w:lang w:val="en-GB"/>
        </w:rPr>
        <w:t>2</w:t>
      </w:r>
      <w:r w:rsidRPr="00BF42B7">
        <w:rPr>
          <w:rFonts w:hint="eastAsia"/>
          <w:lang w:val="en-GB"/>
        </w:rPr>
        <w:t>款所述进行初步调查的国家应立即向所述有关各国通报调查结果，并表明是否有意行使管辖权。</w:t>
      </w:r>
    </w:p>
    <w:p w:rsidR="00CD5A8C" w:rsidRPr="00BF42B7" w:rsidRDefault="00CD5A8C" w:rsidP="00403CEF">
      <w:pPr>
        <w:pStyle w:val="H23GC"/>
        <w:spacing w:after="140" w:line="330" w:lineRule="exact"/>
        <w:rPr>
          <w:lang w:val="en-GB"/>
        </w:rPr>
      </w:pPr>
      <w:r w:rsidRPr="00BF42B7">
        <w:rPr>
          <w:rFonts w:hint="eastAsia"/>
          <w:lang w:val="en-GB"/>
        </w:rPr>
        <w:tab/>
      </w:r>
      <w:r w:rsidRPr="00BF42B7">
        <w:rPr>
          <w:rFonts w:hint="eastAsia"/>
          <w:lang w:val="en-GB"/>
        </w:rPr>
        <w:tab/>
      </w:r>
      <w:r w:rsidRPr="00BF42B7">
        <w:rPr>
          <w:rFonts w:hint="eastAsia"/>
          <w:lang w:val="en-GB"/>
        </w:rPr>
        <w:t>评注</w:t>
      </w:r>
    </w:p>
    <w:p w:rsidR="00CD5A8C" w:rsidRPr="00BF42B7" w:rsidRDefault="00CD5A8C" w:rsidP="00403CEF">
      <w:pPr>
        <w:tabs>
          <w:tab w:val="clear" w:pos="431"/>
          <w:tab w:val="left" w:pos="1134"/>
          <w:tab w:val="left" w:pos="1565"/>
          <w:tab w:val="left" w:pos="2086"/>
          <w:tab w:val="left" w:pos="2427"/>
        </w:tabs>
        <w:spacing w:after="140" w:line="330" w:lineRule="exact"/>
        <w:ind w:left="1134" w:right="1134"/>
        <w:rPr>
          <w:lang w:val="en-GB"/>
        </w:rPr>
      </w:pPr>
      <w:r w:rsidRPr="00BF42B7">
        <w:rPr>
          <w:lang w:val="en-GB"/>
        </w:rPr>
        <w:t>(1)</w:t>
      </w:r>
      <w:r w:rsidRPr="00BF42B7">
        <w:rPr>
          <w:rFonts w:hint="eastAsia"/>
          <w:lang w:val="en-GB"/>
        </w:rPr>
        <w:t xml:space="preserve">  </w:t>
      </w:r>
      <w:r w:rsidRPr="00BF42B7">
        <w:rPr>
          <w:rFonts w:hint="eastAsia"/>
          <w:lang w:val="en-GB"/>
        </w:rPr>
        <w:t>第</w:t>
      </w:r>
      <w:r w:rsidRPr="00BF42B7">
        <w:rPr>
          <w:lang w:val="en-GB"/>
        </w:rPr>
        <w:t>8</w:t>
      </w:r>
      <w:r w:rsidRPr="00BF42B7">
        <w:rPr>
          <w:rFonts w:hint="eastAsia"/>
          <w:lang w:val="en-GB"/>
        </w:rPr>
        <w:t>条草案规定了被指控罪犯在其管辖下的领土之内时，一国应采取的某些初步措施。第</w:t>
      </w:r>
      <w:r w:rsidRPr="00BF42B7">
        <w:rPr>
          <w:rFonts w:hint="eastAsia"/>
          <w:lang w:val="en-GB"/>
        </w:rPr>
        <w:t>1</w:t>
      </w:r>
      <w:r w:rsidRPr="00BF42B7">
        <w:rPr>
          <w:rFonts w:hint="eastAsia"/>
          <w:lang w:val="en-GB"/>
        </w:rPr>
        <w:t>款促请该国依照本国法律将该人拘押或采取其他法律措施确保该人留在境内，但只限于提起任何刑事、引渡或移交程序所需的时间。此类措施是国家刑事诉讼程序中的惯常步骤，特别是为了避免进一步的犯罪行为和被指控罪犯逃跑的风险。</w:t>
      </w:r>
    </w:p>
    <w:p w:rsidR="00CD5A8C" w:rsidRPr="00BF42B7" w:rsidRDefault="00CD5A8C" w:rsidP="00403CEF">
      <w:pPr>
        <w:tabs>
          <w:tab w:val="clear" w:pos="431"/>
          <w:tab w:val="left" w:pos="1134"/>
          <w:tab w:val="left" w:pos="1565"/>
          <w:tab w:val="left" w:pos="2086"/>
          <w:tab w:val="left" w:pos="2427"/>
        </w:tabs>
        <w:spacing w:after="140" w:line="330" w:lineRule="exact"/>
        <w:ind w:left="1134" w:right="1134"/>
        <w:rPr>
          <w:lang w:val="en-GB"/>
        </w:rPr>
      </w:pPr>
      <w:r w:rsidRPr="00BF42B7">
        <w:rPr>
          <w:lang w:val="en-GB"/>
        </w:rPr>
        <w:t>(2)</w:t>
      </w:r>
      <w:r w:rsidRPr="00BF42B7">
        <w:rPr>
          <w:rFonts w:hint="eastAsia"/>
          <w:lang w:val="en-GB"/>
        </w:rPr>
        <w:t xml:space="preserve">  </w:t>
      </w:r>
      <w:r w:rsidRPr="00BF42B7">
        <w:rPr>
          <w:rFonts w:hint="eastAsia"/>
          <w:lang w:val="en-GB"/>
        </w:rPr>
        <w:t>第</w:t>
      </w:r>
      <w:r w:rsidRPr="00BF42B7">
        <w:rPr>
          <w:lang w:val="en-GB"/>
        </w:rPr>
        <w:t>2</w:t>
      </w:r>
      <w:r w:rsidRPr="00BF42B7">
        <w:rPr>
          <w:rFonts w:hint="eastAsia"/>
          <w:lang w:val="en-GB"/>
        </w:rPr>
        <w:t>款规定该国应立即对事实真相进行初步调查。各国刑法通常规定进行这种初步调查，以确定是否存在可起诉的罪行。</w:t>
      </w:r>
    </w:p>
    <w:p w:rsidR="00CD5A8C" w:rsidRPr="00BF42B7" w:rsidRDefault="00CD5A8C" w:rsidP="00403CEF">
      <w:pPr>
        <w:tabs>
          <w:tab w:val="clear" w:pos="431"/>
          <w:tab w:val="left" w:pos="1134"/>
          <w:tab w:val="left" w:pos="1565"/>
          <w:tab w:val="left" w:pos="2086"/>
          <w:tab w:val="left" w:pos="2427"/>
        </w:tabs>
        <w:spacing w:after="140" w:line="330" w:lineRule="exact"/>
        <w:ind w:left="1134" w:right="1134"/>
        <w:rPr>
          <w:lang w:val="en-GB"/>
        </w:rPr>
      </w:pPr>
      <w:r w:rsidRPr="00BF42B7">
        <w:rPr>
          <w:lang w:val="en-GB"/>
        </w:rPr>
        <w:t>(3)</w:t>
      </w:r>
      <w:r w:rsidRPr="00BF42B7">
        <w:rPr>
          <w:rFonts w:hint="eastAsia"/>
          <w:lang w:val="en-GB"/>
        </w:rPr>
        <w:t xml:space="preserve">  </w:t>
      </w:r>
      <w:r w:rsidRPr="00BF42B7">
        <w:rPr>
          <w:rFonts w:hint="eastAsia"/>
          <w:lang w:val="en-GB"/>
        </w:rPr>
        <w:t>第</w:t>
      </w:r>
      <w:r w:rsidRPr="00BF42B7">
        <w:rPr>
          <w:lang w:val="en-GB"/>
        </w:rPr>
        <w:t>3</w:t>
      </w:r>
      <w:r w:rsidRPr="00BF42B7">
        <w:rPr>
          <w:rFonts w:hint="eastAsia"/>
          <w:lang w:val="en-GB"/>
        </w:rPr>
        <w:t>款规定，该国应立即向第</w:t>
      </w:r>
      <w:r w:rsidRPr="00BF42B7">
        <w:rPr>
          <w:lang w:val="en-GB"/>
        </w:rPr>
        <w:t>6</w:t>
      </w:r>
      <w:r w:rsidRPr="00BF42B7">
        <w:rPr>
          <w:lang w:val="en-GB"/>
        </w:rPr>
        <w:t>条草案</w:t>
      </w:r>
      <w:r w:rsidRPr="00BF42B7">
        <w:rPr>
          <w:rFonts w:hint="eastAsia"/>
          <w:lang w:val="en-GB"/>
        </w:rPr>
        <w:t>第</w:t>
      </w:r>
      <w:r w:rsidRPr="00BF42B7">
        <w:rPr>
          <w:rFonts w:hint="eastAsia"/>
          <w:lang w:val="en-GB"/>
        </w:rPr>
        <w:t>1</w:t>
      </w:r>
      <w:r w:rsidRPr="00BF42B7">
        <w:rPr>
          <w:rFonts w:hint="eastAsia"/>
          <w:lang w:val="en-GB"/>
        </w:rPr>
        <w:t>款所述各国通报其行动，及该国是否有意行使管辖权。这种做法使其他国家得以考虑是否希望行使管辖权；如果是，它们有可能要求引渡。有些情况下，该国也许并不充分了解哪些其他国家已经确立了管辖权</w:t>
      </w:r>
      <w:r w:rsidRPr="00BF42B7">
        <w:rPr>
          <w:rFonts w:hint="eastAsia"/>
          <w:lang w:val="en-GB"/>
        </w:rPr>
        <w:t>(</w:t>
      </w:r>
      <w:r w:rsidRPr="00BF42B7">
        <w:rPr>
          <w:rFonts w:hint="eastAsia"/>
          <w:lang w:val="en-GB"/>
        </w:rPr>
        <w:t>例如一国有选择地确立对惯常在该国领土内居住的一名无国籍人的管辖权</w:t>
      </w:r>
      <w:r w:rsidRPr="00BF42B7">
        <w:rPr>
          <w:rFonts w:hint="eastAsia"/>
          <w:lang w:val="en-GB"/>
        </w:rPr>
        <w:t>)</w:t>
      </w:r>
      <w:r w:rsidRPr="00BF42B7">
        <w:rPr>
          <w:rFonts w:hint="eastAsia"/>
          <w:lang w:val="en-GB"/>
        </w:rPr>
        <w:t>；此种情况下，履行此项义务的可行性也许要视具体情况而定。</w:t>
      </w:r>
    </w:p>
    <w:p w:rsidR="00CD5A8C" w:rsidRPr="00BF42B7" w:rsidRDefault="00CD5A8C" w:rsidP="00403CEF">
      <w:pPr>
        <w:tabs>
          <w:tab w:val="clear" w:pos="431"/>
          <w:tab w:val="left" w:pos="1134"/>
          <w:tab w:val="left" w:pos="1565"/>
          <w:tab w:val="left" w:pos="2086"/>
          <w:tab w:val="left" w:pos="2427"/>
        </w:tabs>
        <w:spacing w:after="140" w:line="330" w:lineRule="exact"/>
        <w:ind w:left="1134" w:right="1134"/>
        <w:rPr>
          <w:lang w:val="en-GB"/>
        </w:rPr>
      </w:pPr>
      <w:r w:rsidRPr="00BF42B7">
        <w:rPr>
          <w:lang w:val="en-GB"/>
        </w:rPr>
        <w:t>(4)</w:t>
      </w:r>
      <w:r w:rsidRPr="00BF42B7">
        <w:rPr>
          <w:rFonts w:hint="eastAsia"/>
          <w:lang w:val="en-GB"/>
        </w:rPr>
        <w:t xml:space="preserve">  </w:t>
      </w:r>
      <w:r w:rsidRPr="00BF42B7">
        <w:rPr>
          <w:rFonts w:hint="eastAsia"/>
          <w:lang w:val="en-GB"/>
        </w:rPr>
        <w:t>联合国大会和安全理事会均认识到在危害人类罪方面采取此种措施的重要性。因此，大会促请“一切有关国家采取必要措施，以彻底调查……危害人类罪……并对所有尚未交付审判或惩治之……危害人类罪犯施行侦查、逮捕、引渡及惩治”。</w:t>
      </w:r>
      <w:r w:rsidRPr="00BF42B7">
        <w:rPr>
          <w:rFonts w:eastAsia="MS PGothic"/>
          <w:color w:val="0000FF"/>
          <w:vertAlign w:val="superscript"/>
          <w:lang w:val="en-GB"/>
        </w:rPr>
        <w:footnoteReference w:id="1194"/>
      </w:r>
      <w:r w:rsidRPr="00BF42B7">
        <w:rPr>
          <w:lang w:val="en-GB"/>
        </w:rPr>
        <w:t xml:space="preserve"> </w:t>
      </w:r>
      <w:r w:rsidRPr="00BF42B7">
        <w:rPr>
          <w:rFonts w:hint="eastAsia"/>
          <w:lang w:val="en-GB"/>
        </w:rPr>
        <w:t>同样，大会还申明，“各国拒绝合作，不肯逮捕、引渡、审判和惩治……危害人类罪犯，便是违反联合国宪章的宗旨和原则以及国际法的公认规律”。</w:t>
      </w:r>
      <w:r w:rsidRPr="00BF42B7">
        <w:rPr>
          <w:color w:val="0000FF"/>
          <w:vertAlign w:val="superscript"/>
          <w:lang w:val="en-GB"/>
        </w:rPr>
        <w:footnoteReference w:id="1195"/>
      </w:r>
      <w:r w:rsidRPr="00BF42B7">
        <w:rPr>
          <w:lang w:val="en-GB"/>
        </w:rPr>
        <w:t xml:space="preserve"> </w:t>
      </w:r>
      <w:r w:rsidRPr="00BF42B7">
        <w:rPr>
          <w:rFonts w:hint="eastAsia"/>
          <w:lang w:val="en-GB"/>
        </w:rPr>
        <w:t>安全理事会强调，“各国有责任遵守相关义务，终止有罪不罚的现象，彻底调查并起诉应对……危害人类罪或其他严重违反国际人道主义法行为负责的人，以防止违犯行为，避免这类行为重演，寻求持久和平、正义、真相与和解”。</w:t>
      </w:r>
      <w:r w:rsidRPr="00BF42B7">
        <w:rPr>
          <w:rFonts w:eastAsia="MS PGothic"/>
          <w:color w:val="0000FF"/>
          <w:vertAlign w:val="superscript"/>
          <w:lang w:val="en-GB"/>
        </w:rPr>
        <w:footnoteReference w:id="1196"/>
      </w:r>
      <w:r w:rsidRPr="00BF42B7">
        <w:rPr>
          <w:lang w:val="en-GB"/>
        </w:rPr>
        <w:t xml:space="preserve"> </w:t>
      </w:r>
    </w:p>
    <w:p w:rsidR="00CD5A8C" w:rsidRPr="00BF42B7" w:rsidRDefault="00CD5A8C" w:rsidP="00CD5A8C">
      <w:pPr>
        <w:tabs>
          <w:tab w:val="clear" w:pos="431"/>
          <w:tab w:val="left" w:pos="1134"/>
          <w:tab w:val="left" w:pos="1565"/>
          <w:tab w:val="left" w:pos="2086"/>
          <w:tab w:val="left" w:pos="2427"/>
        </w:tabs>
        <w:spacing w:after="120"/>
        <w:ind w:left="1134" w:right="1134"/>
        <w:rPr>
          <w:sz w:val="20"/>
          <w:lang w:val="en-GB"/>
        </w:rPr>
      </w:pPr>
      <w:r w:rsidRPr="00BF42B7">
        <w:rPr>
          <w:lang w:val="en-GB"/>
        </w:rPr>
        <w:t>(5)</w:t>
      </w:r>
      <w:r w:rsidRPr="00BF42B7">
        <w:rPr>
          <w:rFonts w:hint="eastAsia"/>
          <w:lang w:val="en-GB"/>
        </w:rPr>
        <w:t xml:space="preserve">  </w:t>
      </w:r>
      <w:r w:rsidRPr="00BF42B7">
        <w:rPr>
          <w:rFonts w:hint="eastAsia"/>
          <w:lang w:val="en-GB"/>
        </w:rPr>
        <w:t>处理犯罪问题的条约通常会规定此类初步措施，</w:t>
      </w:r>
      <w:r w:rsidRPr="00BF42B7">
        <w:rPr>
          <w:color w:val="0000FF"/>
          <w:vertAlign w:val="superscript"/>
          <w:lang w:val="en-GB"/>
        </w:rPr>
        <w:footnoteReference w:id="1197"/>
      </w:r>
      <w:r w:rsidRPr="00BF42B7">
        <w:rPr>
          <w:rFonts w:hint="eastAsia"/>
          <w:lang w:val="en-GB"/>
        </w:rPr>
        <w:t>《禁止酷刑公约》第</w:t>
      </w:r>
      <w:r w:rsidRPr="00BF42B7">
        <w:rPr>
          <w:rFonts w:hint="eastAsia"/>
          <w:lang w:val="en-GB"/>
        </w:rPr>
        <w:t>6</w:t>
      </w:r>
      <w:r w:rsidRPr="00BF42B7">
        <w:rPr>
          <w:rFonts w:hint="eastAsia"/>
          <w:lang w:val="en-GB"/>
        </w:rPr>
        <w:t>条便是如此。</w:t>
      </w:r>
      <w:r w:rsidRPr="00BF42B7">
        <w:rPr>
          <w:color w:val="0000FF"/>
          <w:vertAlign w:val="superscript"/>
          <w:lang w:val="en-GB"/>
        </w:rPr>
        <w:footnoteReference w:id="1198"/>
      </w:r>
      <w:r w:rsidRPr="00BF42B7">
        <w:rPr>
          <w:lang w:val="en-GB"/>
        </w:rPr>
        <w:t xml:space="preserve"> </w:t>
      </w:r>
      <w:r w:rsidRPr="00BF42B7">
        <w:rPr>
          <w:rFonts w:hint="eastAsia"/>
          <w:lang w:val="en-GB"/>
        </w:rPr>
        <w:t>国际法院除其他外回顾第</w:t>
      </w:r>
      <w:r w:rsidRPr="00BF42B7">
        <w:rPr>
          <w:rFonts w:hint="eastAsia"/>
          <w:lang w:val="en-GB"/>
        </w:rPr>
        <w:t>6</w:t>
      </w:r>
      <w:r w:rsidRPr="00BF42B7">
        <w:rPr>
          <w:rFonts w:hint="eastAsia"/>
          <w:lang w:val="en-GB"/>
        </w:rPr>
        <w:t>条所载规定时解释说</w:t>
      </w:r>
      <w:r w:rsidRPr="00BF42B7">
        <w:rPr>
          <w:rFonts w:hint="eastAsia"/>
          <w:iCs/>
          <w:lang w:val="en-GB"/>
        </w:rPr>
        <w:t>，“</w:t>
      </w:r>
      <w:r w:rsidRPr="00BF42B7">
        <w:rPr>
          <w:rFonts w:hint="eastAsia"/>
          <w:lang w:val="en-GB"/>
        </w:rPr>
        <w:t>将适当立法纳入国内法……可使嫌疑人所在国家立即对事实真相进行初步调查……这是使该国在了解事实后将案件提交其主管当局以便起诉的必要步骤……”。</w:t>
      </w:r>
      <w:r w:rsidRPr="00BF42B7">
        <w:rPr>
          <w:color w:val="0000FF"/>
          <w:vertAlign w:val="superscript"/>
          <w:lang w:val="en-GB"/>
        </w:rPr>
        <w:footnoteReference w:id="1199"/>
      </w:r>
      <w:r w:rsidRPr="00BF42B7">
        <w:rPr>
          <w:lang w:val="en-GB"/>
        </w:rPr>
        <w:t xml:space="preserve"> </w:t>
      </w:r>
      <w:r w:rsidRPr="00BF42B7">
        <w:rPr>
          <w:rFonts w:hint="eastAsia"/>
          <w:lang w:val="en-GB"/>
        </w:rPr>
        <w:t>法院认为初步调查与主管当局进行的任何调查一样，是为了证明对所涉人员的怀疑是否属实。开展调查的机关负责起草案卷，其中载有相关事实和证据；“这可能包括与所讨论的事件和与嫌疑人在相关事件中可能的参与情况有关的文件或目击者证词”。</w:t>
      </w:r>
      <w:r w:rsidRPr="00BF42B7">
        <w:rPr>
          <w:color w:val="0000FF"/>
          <w:vertAlign w:val="superscript"/>
          <w:lang w:val="en-GB"/>
        </w:rPr>
        <w:footnoteReference w:id="1200"/>
      </w:r>
      <w:r w:rsidRPr="00BF42B7">
        <w:rPr>
          <w:lang w:val="en-GB"/>
        </w:rPr>
        <w:t xml:space="preserve"> </w:t>
      </w:r>
      <w:r w:rsidRPr="00BF42B7">
        <w:rPr>
          <w:rFonts w:hint="eastAsia"/>
          <w:lang w:val="en-GB"/>
        </w:rPr>
        <w:t>法院还指出，“选择什么方式进行调查仍然取决于缔约国”，但“确定嫌疑人在该国境内之后，应立即采取步骤对该案件进行调查。”</w:t>
      </w:r>
      <w:r w:rsidRPr="00BF42B7">
        <w:rPr>
          <w:color w:val="0000FF"/>
          <w:vertAlign w:val="superscript"/>
          <w:lang w:val="en-GB"/>
        </w:rPr>
        <w:footnoteReference w:id="1201"/>
      </w:r>
      <w:r w:rsidRPr="00BF42B7">
        <w:rPr>
          <w:lang w:val="en-GB"/>
        </w:rPr>
        <w:t xml:space="preserve"> </w:t>
      </w:r>
      <w:r w:rsidRPr="00BF42B7">
        <w:rPr>
          <w:rFonts w:hint="eastAsia"/>
          <w:lang w:val="en-GB"/>
        </w:rPr>
        <w:t>此外，这种初步措施的目的是“在嫌疑人未被引渡的情况下对其展开司法程序，实现《公约》的宗旨和目标，即通过避免这类行为实施者有罪不罚的现象提高打击酷刑斗争的成效”。</w:t>
      </w:r>
      <w:r w:rsidRPr="00BF42B7">
        <w:rPr>
          <w:color w:val="0000FF"/>
          <w:vertAlign w:val="superscript"/>
          <w:lang w:val="en-GB"/>
        </w:rPr>
        <w:footnoteReference w:id="1202"/>
      </w:r>
      <w:r w:rsidRPr="00BF42B7">
        <w:rPr>
          <w:color w:val="0000FF"/>
          <w:vertAlign w:val="superscript"/>
          <w:lang w:val="en-GB"/>
        </w:rPr>
        <w:t xml:space="preserve"> </w:t>
      </w:r>
    </w:p>
    <w:p w:rsidR="00CD5A8C" w:rsidRPr="00BF42B7" w:rsidRDefault="00CD5A8C" w:rsidP="00CD5A8C">
      <w:pPr>
        <w:pStyle w:val="H23GC"/>
        <w:ind w:left="1554"/>
        <w:rPr>
          <w:iCs/>
        </w:rPr>
      </w:pPr>
      <w:r w:rsidRPr="00BF42B7">
        <w:rPr>
          <w:sz w:val="24"/>
        </w:rPr>
        <w:tab/>
      </w:r>
      <w:r w:rsidRPr="00BF42B7">
        <w:rPr>
          <w:sz w:val="24"/>
        </w:rPr>
        <w:tab/>
      </w:r>
      <w:r w:rsidRPr="00BF42B7">
        <w:rPr>
          <w:rFonts w:ascii="Time New Roman" w:hAnsi="Time New Roman" w:hint="eastAsia"/>
        </w:rPr>
        <w:t>第</w:t>
      </w:r>
      <w:r w:rsidRPr="00BF42B7">
        <w:rPr>
          <w:rFonts w:ascii="Time New Roman" w:hAnsi="Time New Roman"/>
        </w:rPr>
        <w:t>9</w:t>
      </w:r>
      <w:r w:rsidRPr="00BF42B7">
        <w:rPr>
          <w:rFonts w:ascii="Time New Roman" w:hAnsi="Time New Roman" w:hint="eastAsia"/>
        </w:rPr>
        <w:t>条</w:t>
      </w:r>
      <w:r w:rsidRPr="00BF42B7">
        <w:rPr>
          <w:i/>
        </w:rPr>
        <w:br/>
      </w:r>
      <w:r w:rsidRPr="00BF42B7">
        <w:rPr>
          <w:rFonts w:ascii="宋体" w:hAnsi="宋体" w:cs="宋体" w:hint="eastAsia"/>
        </w:rPr>
        <w:t>引渡或审判</w:t>
      </w:r>
    </w:p>
    <w:p w:rsidR="00CD5A8C" w:rsidRPr="00BF42B7" w:rsidRDefault="00CD5A8C" w:rsidP="00CD5A8C">
      <w:pPr>
        <w:tabs>
          <w:tab w:val="clear" w:pos="431"/>
          <w:tab w:val="left" w:pos="1134"/>
          <w:tab w:val="left" w:pos="1565"/>
          <w:tab w:val="left" w:pos="1996"/>
          <w:tab w:val="left" w:pos="2427"/>
        </w:tabs>
        <w:spacing w:after="120"/>
        <w:ind w:left="1554" w:right="1134"/>
        <w:rPr>
          <w:lang w:val="en-GB"/>
        </w:rPr>
      </w:pPr>
      <w:r w:rsidRPr="00BF42B7">
        <w:rPr>
          <w:rFonts w:hint="eastAsia"/>
          <w:lang w:val="en-GB"/>
        </w:rPr>
        <w:t>被指控罪犯在其管辖下的领土之内的国家，应将该案提交主管当局以便起诉，除非该国将犯罪人引渡或移交另一国家或主管国际刑事法庭。这些当局应以处理该国法律定为性质严重的任何其他罪行的相同方式作出决定。</w:t>
      </w:r>
    </w:p>
    <w:p w:rsidR="00CD5A8C" w:rsidRPr="00BF42B7" w:rsidRDefault="00CD5A8C" w:rsidP="00586EF6">
      <w:pPr>
        <w:pStyle w:val="H23GC"/>
        <w:rPr>
          <w:bCs/>
          <w:lang w:val="en-GB"/>
        </w:rPr>
      </w:pPr>
      <w:r w:rsidRPr="00BF42B7">
        <w:rPr>
          <w:lang w:val="en-GB"/>
        </w:rPr>
        <w:tab/>
      </w:r>
      <w:r w:rsidRPr="00BF42B7">
        <w:rPr>
          <w:lang w:val="en-GB"/>
        </w:rPr>
        <w:tab/>
      </w:r>
      <w:r w:rsidRPr="00BF42B7">
        <w:rPr>
          <w:rFonts w:hint="eastAsia"/>
          <w:lang w:val="en-GB"/>
        </w:rPr>
        <w:t>评注</w:t>
      </w:r>
    </w:p>
    <w:p w:rsidR="00CD5A8C" w:rsidRPr="00BF42B7" w:rsidRDefault="00CD5A8C" w:rsidP="00CD5A8C">
      <w:pPr>
        <w:tabs>
          <w:tab w:val="clear" w:pos="431"/>
          <w:tab w:val="left" w:pos="1134"/>
          <w:tab w:val="left" w:pos="1565"/>
          <w:tab w:val="left" w:pos="2127"/>
          <w:tab w:val="left" w:pos="2427"/>
        </w:tabs>
        <w:spacing w:after="120"/>
        <w:ind w:left="1134" w:right="1134"/>
      </w:pPr>
      <w:r w:rsidRPr="00BF42B7">
        <w:rPr>
          <w:lang w:val="en-GB"/>
        </w:rPr>
        <w:t xml:space="preserve">(1)  </w:t>
      </w:r>
      <w:r w:rsidRPr="00BF42B7">
        <w:rPr>
          <w:rFonts w:hint="eastAsia"/>
        </w:rPr>
        <w:t>第</w:t>
      </w:r>
      <w:r w:rsidRPr="00BF42B7">
        <w:rPr>
          <w:rFonts w:hint="eastAsia"/>
        </w:rPr>
        <w:t>9</w:t>
      </w:r>
      <w:r w:rsidRPr="00BF42B7">
        <w:rPr>
          <w:rFonts w:hint="eastAsia"/>
        </w:rPr>
        <w:t>条草案规定，被指控罪犯在其管辖下的领土之内的国家，有义务在该国的国内系统将被指控罪犯提交起诉。履行这项义务的唯一替代手段是该国将被指控罪犯引渡或移交愿意且有能力自行将该事项提交起诉的另一国家或主管国际刑事法庭。这项义务通常称为引渡或审判原则，这是</w:t>
      </w:r>
      <w:r w:rsidRPr="00BF42B7">
        <w:t>委员会最近研究的一项原则，</w:t>
      </w:r>
      <w:bookmarkStart w:id="297" w:name="_Ref453701183"/>
      <w:bookmarkStart w:id="298" w:name="_Ref453701030"/>
      <w:r w:rsidRPr="00BF42B7">
        <w:rPr>
          <w:color w:val="0000FF"/>
          <w:vertAlign w:val="superscript"/>
          <w:lang w:val="en-GB"/>
        </w:rPr>
        <w:footnoteReference w:id="1203"/>
      </w:r>
      <w:bookmarkEnd w:id="297"/>
      <w:bookmarkEnd w:id="298"/>
      <w:r w:rsidRPr="00BF42B7">
        <w:rPr>
          <w:lang w:val="en-GB"/>
        </w:rPr>
        <w:t xml:space="preserve"> </w:t>
      </w:r>
      <w:r w:rsidRPr="00BF42B7">
        <w:rPr>
          <w:rFonts w:hint="eastAsia"/>
        </w:rPr>
        <w:t>许多有关罪行的多边条约也载有该</w:t>
      </w:r>
      <w:r w:rsidRPr="00BF42B7">
        <w:t>原则</w:t>
      </w:r>
      <w:r w:rsidRPr="00BF42B7">
        <w:rPr>
          <w:rFonts w:hint="eastAsia"/>
        </w:rPr>
        <w:t>。</w:t>
      </w:r>
      <w:bookmarkStart w:id="299" w:name="_Ref456800325"/>
      <w:r w:rsidRPr="00BF42B7">
        <w:rPr>
          <w:color w:val="0000FF"/>
          <w:vertAlign w:val="superscript"/>
          <w:lang w:val="en-GB"/>
        </w:rPr>
        <w:footnoteReference w:id="1204"/>
      </w:r>
      <w:bookmarkEnd w:id="299"/>
      <w:r w:rsidRPr="00BF42B7">
        <w:t xml:space="preserve"> </w:t>
      </w:r>
      <w:r w:rsidRPr="00BF42B7">
        <w:rPr>
          <w:rFonts w:hint="eastAsia"/>
        </w:rPr>
        <w:t>虽然</w:t>
      </w:r>
      <w:r w:rsidRPr="00BF42B7">
        <w:t>aut dedere aut judicare</w:t>
      </w:r>
      <w:r w:rsidRPr="00BF42B7">
        <w:rPr>
          <w:rFonts w:hint="eastAsia"/>
        </w:rPr>
        <w:t>的直译可能无法充分体现该义务的含义，但委员会决定应该在标题中保留这一术语，在提及此种义务时普遍使用。</w:t>
      </w:r>
    </w:p>
    <w:p w:rsidR="00CD5A8C" w:rsidRPr="00BF42B7" w:rsidRDefault="00CD5A8C" w:rsidP="00CD5A8C">
      <w:pPr>
        <w:tabs>
          <w:tab w:val="clear" w:pos="431"/>
          <w:tab w:val="left" w:pos="1134"/>
          <w:tab w:val="left" w:pos="1565"/>
          <w:tab w:val="left" w:pos="2127"/>
          <w:tab w:val="left" w:pos="2427"/>
        </w:tabs>
        <w:spacing w:after="120"/>
        <w:ind w:left="1134" w:right="1134"/>
        <w:rPr>
          <w:u w:color="000000"/>
        </w:rPr>
      </w:pPr>
      <w:r w:rsidRPr="00BF42B7">
        <w:rPr>
          <w:rFonts w:eastAsia="Arial Unicode MS" w:cs="Arial Unicode MS"/>
          <w:u w:color="000000"/>
          <w:bdr w:val="nil"/>
          <w:lang w:val="en-GB"/>
        </w:rPr>
        <w:t xml:space="preserve">(2)  </w:t>
      </w:r>
      <w:r w:rsidRPr="00BF42B7">
        <w:rPr>
          <w:rFonts w:hint="eastAsia"/>
        </w:rPr>
        <w:t>委员会</w:t>
      </w:r>
      <w:r w:rsidRPr="00BF42B7">
        <w:rPr>
          <w:rFonts w:hint="eastAsia"/>
          <w:u w:color="000000"/>
        </w:rPr>
        <w:t>1996</w:t>
      </w:r>
      <w:r w:rsidRPr="00BF42B7">
        <w:rPr>
          <w:rFonts w:hint="eastAsia"/>
          <w:u w:color="000000"/>
        </w:rPr>
        <w:t>年《危害人类和平及安全治罪法草案》第</w:t>
      </w:r>
      <w:r w:rsidRPr="00BF42B7">
        <w:rPr>
          <w:rFonts w:hint="eastAsia"/>
          <w:u w:color="000000"/>
        </w:rPr>
        <w:t>18</w:t>
      </w:r>
      <w:r w:rsidRPr="00BF42B7">
        <w:rPr>
          <w:rFonts w:hint="eastAsia"/>
          <w:u w:color="000000"/>
        </w:rPr>
        <w:t>条为“危害人类罪”作了定义，并在第</w:t>
      </w:r>
      <w:r w:rsidRPr="00BF42B7">
        <w:rPr>
          <w:rFonts w:hint="eastAsia"/>
          <w:u w:color="000000"/>
        </w:rPr>
        <w:t>9</w:t>
      </w:r>
      <w:r w:rsidRPr="00BF42B7">
        <w:rPr>
          <w:rFonts w:hint="eastAsia"/>
          <w:u w:color="000000"/>
        </w:rPr>
        <w:t>条中进一步规定，“在不妨害国际刑事法院的管辖权的情形下，在其领土上发现据指控有第</w:t>
      </w:r>
      <w:r w:rsidRPr="00BF42B7">
        <w:rPr>
          <w:rFonts w:hint="eastAsia"/>
          <w:u w:color="000000"/>
        </w:rPr>
        <w:t>17</w:t>
      </w:r>
      <w:r w:rsidRPr="00BF42B7">
        <w:rPr>
          <w:rFonts w:hint="eastAsia"/>
          <w:u w:color="000000"/>
        </w:rPr>
        <w:t>、第</w:t>
      </w:r>
      <w:r w:rsidRPr="00BF42B7">
        <w:rPr>
          <w:rFonts w:hint="eastAsia"/>
          <w:u w:color="000000"/>
        </w:rPr>
        <w:t>18</w:t>
      </w:r>
      <w:r w:rsidRPr="00BF42B7">
        <w:rPr>
          <w:rFonts w:hint="eastAsia"/>
          <w:u w:color="000000"/>
        </w:rPr>
        <w:t>、第</w:t>
      </w:r>
      <w:r w:rsidRPr="00BF42B7">
        <w:rPr>
          <w:rFonts w:hint="eastAsia"/>
          <w:u w:color="000000"/>
        </w:rPr>
        <w:t>19</w:t>
      </w:r>
      <w:r w:rsidRPr="00BF42B7">
        <w:rPr>
          <w:rFonts w:hint="eastAsia"/>
          <w:u w:color="000000"/>
        </w:rPr>
        <w:t>或第</w:t>
      </w:r>
      <w:r w:rsidRPr="00BF42B7">
        <w:rPr>
          <w:rFonts w:hint="eastAsia"/>
          <w:u w:color="000000"/>
        </w:rPr>
        <w:t>20</w:t>
      </w:r>
      <w:r w:rsidRPr="00BF42B7">
        <w:rPr>
          <w:rFonts w:hint="eastAsia"/>
          <w:u w:color="000000"/>
        </w:rPr>
        <w:t>条所述罪行之个人的缔约国应引渡或起诉该个人”。</w:t>
      </w:r>
      <w:r w:rsidRPr="00BF42B7">
        <w:rPr>
          <w:rFonts w:eastAsia="Arial Unicode MS" w:cs="Arial Unicode MS"/>
          <w:color w:val="0000FF"/>
          <w:u w:color="000000"/>
          <w:bdr w:val="nil"/>
          <w:vertAlign w:val="superscript"/>
          <w:lang w:val="en-GB"/>
        </w:rPr>
        <w:footnoteReference w:id="1205"/>
      </w:r>
    </w:p>
    <w:p w:rsidR="00CD5A8C" w:rsidRPr="00BF42B7" w:rsidRDefault="00CD5A8C" w:rsidP="00CD5A8C">
      <w:pPr>
        <w:tabs>
          <w:tab w:val="clear" w:pos="431"/>
          <w:tab w:val="left" w:pos="1134"/>
          <w:tab w:val="left" w:pos="1565"/>
          <w:tab w:val="left" w:pos="2127"/>
          <w:tab w:val="left" w:pos="2427"/>
        </w:tabs>
        <w:spacing w:after="120"/>
        <w:ind w:left="1134" w:right="1134"/>
        <w:rPr>
          <w:rFonts w:cs="Arial Unicode MS"/>
          <w:u w:color="000000"/>
          <w:bdr w:val="nil"/>
          <w:lang w:val="en-GB"/>
        </w:rPr>
      </w:pPr>
      <w:r w:rsidRPr="00BF42B7">
        <w:rPr>
          <w:rFonts w:eastAsia="Arial Unicode MS" w:cs="Arial Unicode MS"/>
          <w:u w:color="000000"/>
          <w:bdr w:val="nil"/>
          <w:lang w:val="en-GB"/>
        </w:rPr>
        <w:t xml:space="preserve">(3)  </w:t>
      </w:r>
      <w:r w:rsidRPr="00BF42B7">
        <w:rPr>
          <w:rFonts w:cs="Arial Unicode MS" w:hint="eastAsia"/>
          <w:u w:color="000000"/>
          <w:bdr w:val="nil"/>
          <w:lang w:val="en-GB"/>
        </w:rPr>
        <w:t>载有这种义务</w:t>
      </w:r>
      <w:r w:rsidRPr="00BF42B7">
        <w:rPr>
          <w:rFonts w:eastAsia="Arial Unicode MS" w:cs="Arial Unicode MS"/>
          <w:color w:val="0000FF"/>
          <w:u w:color="000000"/>
          <w:bdr w:val="nil"/>
          <w:vertAlign w:val="superscript"/>
          <w:lang w:val="en-GB"/>
        </w:rPr>
        <w:footnoteReference w:id="1206"/>
      </w:r>
      <w:r w:rsidRPr="00BF42B7">
        <w:rPr>
          <w:rFonts w:cs="Arial Unicode MS"/>
          <w:u w:color="000000"/>
          <w:bdr w:val="nil"/>
          <w:lang w:val="en-GB"/>
        </w:rPr>
        <w:t xml:space="preserve"> </w:t>
      </w:r>
      <w:r w:rsidRPr="00BF42B7">
        <w:rPr>
          <w:rFonts w:cs="Arial Unicode MS" w:hint="eastAsia"/>
          <w:u w:color="000000"/>
          <w:bdr w:val="nil"/>
          <w:lang w:val="en-GB"/>
        </w:rPr>
        <w:t>的大多数多边条约使用得名于</w:t>
      </w:r>
      <w:r w:rsidRPr="00BF42B7">
        <w:rPr>
          <w:rFonts w:cs="Arial Unicode MS" w:hint="eastAsia"/>
          <w:u w:color="000000"/>
          <w:bdr w:val="nil"/>
          <w:lang w:val="en-GB"/>
        </w:rPr>
        <w:t>1970</w:t>
      </w:r>
      <w:r w:rsidRPr="00BF42B7">
        <w:rPr>
          <w:rFonts w:cs="Arial Unicode MS" w:hint="eastAsia"/>
          <w:u w:color="000000"/>
          <w:bdr w:val="nil"/>
          <w:lang w:val="en-GB"/>
        </w:rPr>
        <w:t>年《关于制止非法劫持航空器的公约》的所谓的“海牙套语”。</w:t>
      </w:r>
      <w:r w:rsidRPr="00BF42B7">
        <w:rPr>
          <w:rFonts w:eastAsia="Arial Unicode MS" w:cs="Arial Unicode MS"/>
          <w:color w:val="0000FF"/>
          <w:u w:color="000000"/>
          <w:bdr w:val="nil"/>
          <w:vertAlign w:val="superscript"/>
          <w:lang w:val="en-GB"/>
        </w:rPr>
        <w:footnoteReference w:id="1207"/>
      </w:r>
      <w:r w:rsidRPr="00BF42B7">
        <w:rPr>
          <w:rFonts w:eastAsia="Arial Unicode MS" w:cs="Arial Unicode MS"/>
          <w:u w:color="000000"/>
          <w:bdr w:val="nil"/>
          <w:lang w:val="en-GB"/>
        </w:rPr>
        <w:t xml:space="preserve"> </w:t>
      </w:r>
      <w:r w:rsidRPr="00BF42B7">
        <w:rPr>
          <w:rFonts w:cs="Arial Unicode MS" w:hint="eastAsia"/>
          <w:u w:color="000000"/>
          <w:bdr w:val="nil"/>
          <w:lang w:val="en-GB"/>
        </w:rPr>
        <w:t>该套语规定，只要被指控罪犯在缔约国领土上，不管其他缔约国是否要求引渡，都会产生此种义务。虽然经常被称为引渡或“起诉”义务，但所要求的义务是“将该案提交主管当局以便起诉”，这意味着将案件提交检察机关，该机关可决定是否起诉。具体而言，如果主管当局确定没有足够证据定罪，则不需要起诉被指控罪犯，也不需要对其进行审判或惩处。</w:t>
      </w:r>
      <w:r w:rsidRPr="00BF42B7">
        <w:rPr>
          <w:rFonts w:eastAsia="Arial Unicode MS" w:cs="Arial Unicode MS"/>
          <w:color w:val="0000FF"/>
          <w:u w:color="000000"/>
          <w:bdr w:val="nil"/>
          <w:vertAlign w:val="superscript"/>
          <w:lang w:val="en-GB"/>
        </w:rPr>
        <w:footnoteReference w:id="1208"/>
      </w:r>
      <w:r w:rsidRPr="00BF42B7">
        <w:rPr>
          <w:rFonts w:eastAsia="Arial Unicode MS" w:cs="Arial Unicode MS"/>
          <w:u w:color="000000"/>
          <w:bdr w:val="nil"/>
          <w:lang w:val="en-GB"/>
        </w:rPr>
        <w:t xml:space="preserve"> </w:t>
      </w:r>
      <w:r w:rsidRPr="00BF42B7">
        <w:rPr>
          <w:rFonts w:cs="Arial Unicode MS" w:hint="eastAsia"/>
          <w:u w:color="000000"/>
          <w:bdr w:val="nil"/>
          <w:lang w:val="en-GB"/>
        </w:rPr>
        <w:t>《关于制止非法劫持航空器的公约》的准备工作文件说明，该套语规定“有义务逮捕被指控罪犯，有可能引渡，有义务提交主管当局，并有可能进行起诉。”</w:t>
      </w:r>
      <w:r w:rsidRPr="00BF42B7">
        <w:rPr>
          <w:rFonts w:eastAsia="Arial Unicode MS" w:cs="Arial Unicode MS"/>
          <w:color w:val="0000FF"/>
          <w:u w:color="000000"/>
          <w:bdr w:val="nil"/>
          <w:vertAlign w:val="superscript"/>
          <w:lang w:val="en-GB"/>
        </w:rPr>
        <w:footnoteReference w:id="1209"/>
      </w:r>
      <w:r w:rsidRPr="00BF42B7">
        <w:rPr>
          <w:rFonts w:cs="Arial Unicode MS" w:hint="eastAsia"/>
          <w:u w:color="000000"/>
          <w:bdr w:val="nil"/>
          <w:lang w:val="en-GB"/>
        </w:rPr>
        <w:t xml:space="preserve"> </w:t>
      </w:r>
    </w:p>
    <w:p w:rsidR="00CD5A8C" w:rsidRPr="00BF42B7" w:rsidRDefault="00CD5A8C" w:rsidP="00CD5A8C">
      <w:pPr>
        <w:tabs>
          <w:tab w:val="clear" w:pos="431"/>
          <w:tab w:val="left" w:pos="1134"/>
          <w:tab w:val="left" w:pos="1565"/>
          <w:tab w:val="left" w:pos="1996"/>
          <w:tab w:val="left" w:pos="2427"/>
        </w:tabs>
        <w:spacing w:after="120"/>
        <w:ind w:left="1134" w:right="1134"/>
        <w:rPr>
          <w:rFonts w:cs="Arial Unicode MS"/>
          <w:u w:color="000000"/>
          <w:bdr w:val="nil"/>
          <w:lang w:val="en-GB"/>
        </w:rPr>
      </w:pPr>
      <w:r w:rsidRPr="00BF42B7">
        <w:rPr>
          <w:rFonts w:eastAsia="Arial Unicode MS" w:cs="Arial Unicode MS"/>
          <w:u w:color="000000"/>
          <w:bdr w:val="nil"/>
          <w:lang w:val="en-GB"/>
        </w:rPr>
        <w:t xml:space="preserve">(4)  </w:t>
      </w:r>
      <w:r w:rsidRPr="00BF42B7">
        <w:rPr>
          <w:rFonts w:cs="Arial Unicode MS" w:hint="eastAsia"/>
          <w:u w:color="000000"/>
          <w:bdr w:val="nil"/>
          <w:lang w:val="en-GB"/>
        </w:rPr>
        <w:t>在</w:t>
      </w:r>
      <w:r w:rsidRPr="00BF42B7">
        <w:rPr>
          <w:rFonts w:eastAsia="楷体" w:cs="Arial Unicode MS" w:hint="eastAsia"/>
          <w:u w:color="000000"/>
          <w:bdr w:val="nil"/>
          <w:lang w:val="en-GB"/>
        </w:rPr>
        <w:t>与起诉或引渡义务有关的问题案</w:t>
      </w:r>
      <w:r w:rsidRPr="00BF42B7">
        <w:rPr>
          <w:rFonts w:eastAsia="楷体" w:cs="Arial Unicode MS" w:hint="eastAsia"/>
          <w:u w:color="000000"/>
          <w:bdr w:val="nil"/>
          <w:lang w:val="en-GB"/>
        </w:rPr>
        <w:t>(</w:t>
      </w:r>
      <w:r w:rsidRPr="00BF42B7">
        <w:rPr>
          <w:rFonts w:eastAsia="楷体" w:cs="Arial Unicode MS" w:hint="eastAsia"/>
          <w:u w:color="000000"/>
          <w:bdr w:val="nil"/>
          <w:lang w:val="en-GB"/>
        </w:rPr>
        <w:t>比利时诉塞内加尔</w:t>
      </w:r>
      <w:r w:rsidRPr="00BF42B7">
        <w:rPr>
          <w:rFonts w:eastAsia="楷体" w:cs="Arial Unicode MS" w:hint="eastAsia"/>
          <w:u w:color="000000"/>
          <w:bdr w:val="nil"/>
          <w:lang w:val="en-GB"/>
        </w:rPr>
        <w:t>)</w:t>
      </w:r>
      <w:r w:rsidRPr="00BF42B7">
        <w:rPr>
          <w:rFonts w:cs="Arial Unicode MS" w:hint="eastAsia"/>
          <w:u w:color="000000"/>
          <w:bdr w:val="nil"/>
          <w:lang w:val="en-GB"/>
        </w:rPr>
        <w:t>中，国际法院分析了《禁止酷刑公约》第</w:t>
      </w:r>
      <w:r w:rsidRPr="00BF42B7">
        <w:rPr>
          <w:rFonts w:cs="Arial Unicode MS" w:hint="eastAsia"/>
          <w:u w:color="000000"/>
          <w:bdr w:val="nil"/>
          <w:lang w:val="en-GB"/>
        </w:rPr>
        <w:t>7</w:t>
      </w:r>
      <w:r w:rsidRPr="00BF42B7">
        <w:rPr>
          <w:rFonts w:cs="Arial Unicode MS" w:hint="eastAsia"/>
          <w:u w:color="000000"/>
          <w:bdr w:val="nil"/>
          <w:lang w:val="en-GB"/>
        </w:rPr>
        <w:t>条中的海牙套语：</w:t>
      </w:r>
    </w:p>
    <w:p w:rsidR="00CD5A8C" w:rsidRPr="00BF42B7" w:rsidRDefault="00CD5A8C" w:rsidP="00CD5A8C">
      <w:pPr>
        <w:tabs>
          <w:tab w:val="clear" w:pos="431"/>
          <w:tab w:val="left" w:pos="1134"/>
          <w:tab w:val="left" w:pos="1565"/>
          <w:tab w:val="left" w:pos="1996"/>
          <w:tab w:val="left" w:pos="2427"/>
          <w:tab w:val="left" w:pos="2786"/>
        </w:tabs>
        <w:spacing w:after="120"/>
        <w:ind w:left="1565" w:right="1134"/>
        <w:rPr>
          <w:rFonts w:cs="Arial Unicode MS"/>
          <w:u w:color="000000"/>
          <w:bdr w:val="nil"/>
          <w:lang w:val="en-GB"/>
        </w:rPr>
      </w:pPr>
      <w:r w:rsidRPr="00BF42B7">
        <w:rPr>
          <w:rFonts w:hint="eastAsia"/>
        </w:rPr>
        <w:t>“</w:t>
      </w:r>
      <w:r w:rsidRPr="00BF42B7">
        <w:t xml:space="preserve">90.  </w:t>
      </w:r>
      <w:r w:rsidRPr="00BF42B7">
        <w:rPr>
          <w:rFonts w:hint="eastAsia"/>
        </w:rPr>
        <w:t>从《公约》的准备工作文件中可以明显看出，第</w:t>
      </w:r>
      <w:r w:rsidRPr="00BF42B7">
        <w:rPr>
          <w:rFonts w:hint="eastAsia"/>
        </w:rPr>
        <w:t>7</w:t>
      </w:r>
      <w:r w:rsidRPr="00BF42B7">
        <w:rPr>
          <w:rFonts w:hint="eastAsia"/>
        </w:rPr>
        <w:t>条第</w:t>
      </w:r>
      <w:r w:rsidRPr="00BF42B7">
        <w:rPr>
          <w:rFonts w:hint="eastAsia"/>
        </w:rPr>
        <w:t>1</w:t>
      </w:r>
      <w:r w:rsidRPr="00BF42B7">
        <w:rPr>
          <w:rFonts w:hint="eastAsia"/>
        </w:rPr>
        <w:t>款是基于</w:t>
      </w:r>
      <w:r w:rsidRPr="00BF42B7">
        <w:rPr>
          <w:rFonts w:hint="eastAsia"/>
        </w:rPr>
        <w:t>1970</w:t>
      </w:r>
      <w:r w:rsidRPr="00BF42B7">
        <w:rPr>
          <w:rFonts w:hint="eastAsia"/>
        </w:rPr>
        <w:t>年</w:t>
      </w:r>
      <w:r w:rsidRPr="00BF42B7">
        <w:rPr>
          <w:rFonts w:hint="eastAsia"/>
        </w:rPr>
        <w:t>12</w:t>
      </w:r>
      <w:r w:rsidRPr="00BF42B7">
        <w:rPr>
          <w:rFonts w:hint="eastAsia"/>
        </w:rPr>
        <w:t>月</w:t>
      </w:r>
      <w:r w:rsidRPr="00BF42B7">
        <w:rPr>
          <w:rFonts w:hint="eastAsia"/>
        </w:rPr>
        <w:t>16</w:t>
      </w:r>
      <w:r w:rsidRPr="00BF42B7">
        <w:rPr>
          <w:rFonts w:hint="eastAsia"/>
        </w:rPr>
        <w:t>日在海牙签署的《关于制止非法劫持航空器的公约》中载有的一个类似规定。有关将</w:t>
      </w:r>
      <w:r w:rsidRPr="00BF42B7">
        <w:rPr>
          <w:rFonts w:cs="Arial Unicode MS" w:hint="eastAsia"/>
          <w:u w:color="000000"/>
          <w:bdr w:val="nil"/>
          <w:lang w:val="en-GB"/>
        </w:rPr>
        <w:t>该案提交主管当局以便起诉的义务</w:t>
      </w:r>
      <w:r w:rsidRPr="00BF42B7">
        <w:rPr>
          <w:rFonts w:cs="Arial Unicode MS" w:hint="eastAsia"/>
          <w:u w:color="000000"/>
          <w:bdr w:val="nil"/>
          <w:lang w:val="en-GB"/>
        </w:rPr>
        <w:t>(</w:t>
      </w:r>
      <w:r w:rsidRPr="00BF42B7">
        <w:rPr>
          <w:rFonts w:cs="Arial Unicode MS" w:hint="eastAsia"/>
          <w:u w:color="000000"/>
          <w:bdr w:val="nil"/>
          <w:lang w:val="en-GB"/>
        </w:rPr>
        <w:t>以下称“起诉义务”</w:t>
      </w:r>
      <w:r w:rsidRPr="00BF42B7">
        <w:rPr>
          <w:rFonts w:cs="Arial Unicode MS" w:hint="eastAsia"/>
          <w:u w:color="000000"/>
          <w:bdr w:val="nil"/>
          <w:lang w:val="en-GB"/>
        </w:rPr>
        <w:t>)</w:t>
      </w:r>
      <w:r w:rsidRPr="00BF42B7">
        <w:rPr>
          <w:rFonts w:cs="Arial Unicode MS" w:hint="eastAsia"/>
          <w:u w:color="000000"/>
          <w:bdr w:val="nil"/>
          <w:lang w:val="en-GB"/>
        </w:rPr>
        <w:t>的规定是以交由</w:t>
      </w:r>
      <w:r w:rsidRPr="00BF42B7">
        <w:rPr>
          <w:rFonts w:hint="eastAsia"/>
          <w:u w:color="000000"/>
          <w:bdr w:val="nil"/>
          <w:lang w:val="en-GB"/>
        </w:rPr>
        <w:t>主管当局</w:t>
      </w:r>
      <w:r w:rsidRPr="00BF42B7">
        <w:rPr>
          <w:rFonts w:cs="Arial Unicode MS" w:hint="eastAsia"/>
          <w:u w:color="000000"/>
          <w:bdr w:val="nil"/>
          <w:lang w:val="en-GB"/>
        </w:rPr>
        <w:t>决定是否要开始诉讼程序的方式作出的，从而显示对缔约国司法系统的独立性的尊重。此外，这两项公约都强调主管当局应根据该国法律，以对待情节严重的任何普通犯罪案件的同样方式作出决定</w:t>
      </w:r>
      <w:r w:rsidRPr="00BF42B7">
        <w:rPr>
          <w:rFonts w:cs="Arial Unicode MS" w:hint="eastAsia"/>
          <w:u w:color="000000"/>
          <w:bdr w:val="nil"/>
          <w:lang w:val="en-GB"/>
        </w:rPr>
        <w:t>(</w:t>
      </w:r>
      <w:r w:rsidRPr="00BF42B7">
        <w:rPr>
          <w:rFonts w:cs="Arial Unicode MS" w:hint="eastAsia"/>
          <w:u w:color="000000"/>
          <w:bdr w:val="nil"/>
          <w:lang w:val="en-GB"/>
        </w:rPr>
        <w:t>《禁止酷刑公约》第</w:t>
      </w:r>
      <w:r w:rsidRPr="00BF42B7">
        <w:rPr>
          <w:rFonts w:cs="Arial Unicode MS" w:hint="eastAsia"/>
          <w:u w:color="000000"/>
          <w:bdr w:val="nil"/>
          <w:lang w:val="en-GB"/>
        </w:rPr>
        <w:t>7</w:t>
      </w:r>
      <w:r w:rsidRPr="00BF42B7">
        <w:rPr>
          <w:rFonts w:cs="Arial Unicode MS" w:hint="eastAsia"/>
          <w:u w:color="000000"/>
          <w:bdr w:val="nil"/>
          <w:lang w:val="en-GB"/>
        </w:rPr>
        <w:t>条第</w:t>
      </w:r>
      <w:r w:rsidRPr="00BF42B7">
        <w:rPr>
          <w:rFonts w:cs="Arial Unicode MS" w:hint="eastAsia"/>
          <w:u w:color="000000"/>
          <w:bdr w:val="nil"/>
          <w:lang w:val="en-GB"/>
        </w:rPr>
        <w:t>2</w:t>
      </w:r>
      <w:r w:rsidRPr="00BF42B7">
        <w:rPr>
          <w:rFonts w:cs="Arial Unicode MS" w:hint="eastAsia"/>
          <w:u w:color="000000"/>
          <w:bdr w:val="nil"/>
          <w:lang w:val="en-GB"/>
        </w:rPr>
        <w:t>款和</w:t>
      </w:r>
      <w:r w:rsidRPr="00BF42B7">
        <w:rPr>
          <w:rFonts w:cs="Arial Unicode MS" w:hint="eastAsia"/>
          <w:u w:color="000000"/>
          <w:bdr w:val="nil"/>
          <w:lang w:val="en-GB"/>
        </w:rPr>
        <w:t>1970</w:t>
      </w:r>
      <w:r w:rsidRPr="00BF42B7">
        <w:rPr>
          <w:rFonts w:cs="Arial Unicode MS" w:hint="eastAsia"/>
          <w:u w:color="000000"/>
          <w:bdr w:val="nil"/>
          <w:lang w:val="en-GB"/>
        </w:rPr>
        <w:t>《海牙公约》第</w:t>
      </w:r>
      <w:r w:rsidRPr="00BF42B7">
        <w:rPr>
          <w:rFonts w:cs="Arial Unicode MS" w:hint="eastAsia"/>
          <w:u w:color="000000"/>
          <w:bdr w:val="nil"/>
          <w:lang w:val="en-GB"/>
        </w:rPr>
        <w:t>7</w:t>
      </w:r>
      <w:r w:rsidRPr="00BF42B7">
        <w:rPr>
          <w:rFonts w:cs="Arial Unicode MS" w:hint="eastAsia"/>
          <w:u w:color="000000"/>
          <w:bdr w:val="nil"/>
          <w:lang w:val="en-GB"/>
        </w:rPr>
        <w:t>条</w:t>
      </w:r>
      <w:r w:rsidRPr="00BF42B7">
        <w:rPr>
          <w:rFonts w:cs="Arial Unicode MS" w:hint="eastAsia"/>
          <w:u w:color="000000"/>
          <w:bdr w:val="nil"/>
          <w:lang w:val="en-GB"/>
        </w:rPr>
        <w:t>)</w:t>
      </w:r>
      <w:r w:rsidRPr="00BF42B7">
        <w:rPr>
          <w:rFonts w:cs="Arial Unicode MS" w:hint="eastAsia"/>
          <w:u w:color="000000"/>
          <w:bdr w:val="nil"/>
          <w:lang w:val="en-GB"/>
        </w:rPr>
        <w:t>。因此，有关国家当局仍有责任决定是否根据已经掌握的证据和有关的刑事诉讼规则提起诉讼。</w:t>
      </w:r>
    </w:p>
    <w:p w:rsidR="00CD5A8C" w:rsidRPr="00BF42B7" w:rsidRDefault="00CD5A8C" w:rsidP="00CD5A8C">
      <w:pPr>
        <w:tabs>
          <w:tab w:val="clear" w:pos="431"/>
          <w:tab w:val="left" w:pos="1134"/>
          <w:tab w:val="left" w:pos="1565"/>
          <w:tab w:val="left" w:pos="1996"/>
          <w:tab w:val="left" w:pos="2427"/>
          <w:tab w:val="left" w:pos="2786"/>
        </w:tabs>
        <w:spacing w:after="120"/>
        <w:ind w:left="1565" w:right="1134"/>
        <w:rPr>
          <w:rFonts w:eastAsia="Arial Unicode MS" w:cs="Arial Unicode MS"/>
          <w:u w:color="000000"/>
          <w:bdr w:val="nil"/>
          <w:lang w:val="en-GB"/>
        </w:rPr>
      </w:pPr>
      <w:r w:rsidRPr="00BF42B7">
        <w:rPr>
          <w:rFonts w:hint="eastAsia"/>
        </w:rPr>
        <w:t>“</w:t>
      </w:r>
      <w:r w:rsidRPr="00BF42B7">
        <w:t xml:space="preserve">91.  </w:t>
      </w:r>
      <w:r w:rsidRPr="00BF42B7">
        <w:rPr>
          <w:rFonts w:hint="eastAsia"/>
        </w:rPr>
        <w:t>第</w:t>
      </w:r>
      <w:r w:rsidRPr="00BF42B7">
        <w:rPr>
          <w:rFonts w:hint="eastAsia"/>
        </w:rPr>
        <w:t>7</w:t>
      </w:r>
      <w:r w:rsidRPr="00BF42B7">
        <w:rPr>
          <w:rFonts w:hint="eastAsia"/>
        </w:rPr>
        <w:t>条第</w:t>
      </w:r>
      <w:r w:rsidRPr="00BF42B7">
        <w:rPr>
          <w:rFonts w:hint="eastAsia"/>
        </w:rPr>
        <w:t>1</w:t>
      </w:r>
      <w:r w:rsidRPr="00BF42B7">
        <w:rPr>
          <w:rFonts w:hint="eastAsia"/>
        </w:rPr>
        <w:t>款中规定的起诉义务通常是在该国已履行《禁止酷刑公约》该条款之前条款中规定的其他义务后履行的，其中要求该国通过适当立法，使其可以将酷刑定</w:t>
      </w:r>
      <w:r w:rsidRPr="00BF42B7">
        <w:rPr>
          <w:rFonts w:cs="Arial Unicode MS" w:hint="eastAsia"/>
          <w:u w:color="000000"/>
          <w:bdr w:val="nil"/>
          <w:lang w:val="en-GB"/>
        </w:rPr>
        <w:t>为刑事罪、</w:t>
      </w:r>
      <w:r w:rsidRPr="00BF42B7">
        <w:rPr>
          <w:rFonts w:hint="eastAsia"/>
          <w:u w:color="000000"/>
          <w:bdr w:val="nil"/>
          <w:lang w:val="en-GB"/>
        </w:rPr>
        <w:t>赋予</w:t>
      </w:r>
      <w:r w:rsidRPr="00BF42B7">
        <w:rPr>
          <w:rFonts w:cs="Arial Unicode MS" w:hint="eastAsia"/>
          <w:u w:color="000000"/>
          <w:bdr w:val="nil"/>
          <w:lang w:val="en-GB"/>
        </w:rPr>
        <w:t>其法院对该问题的普遍管辖权，并对事实展开调查。这些义务作为一个整体可视为一个单一的公约机制的要素，这一公约机制的目的是防止嫌疑人逃脱其经证实的刑事责任的后果……</w:t>
      </w:r>
    </w:p>
    <w:p w:rsidR="00CD5A8C" w:rsidRPr="00BF42B7" w:rsidRDefault="00CD5A8C" w:rsidP="00CD5A8C">
      <w:pPr>
        <w:tabs>
          <w:tab w:val="clear" w:pos="431"/>
          <w:tab w:val="left" w:pos="1134"/>
          <w:tab w:val="left" w:pos="1565"/>
          <w:tab w:val="left" w:pos="1996"/>
          <w:tab w:val="left" w:pos="2427"/>
          <w:tab w:val="left" w:pos="2786"/>
        </w:tabs>
        <w:spacing w:after="120"/>
        <w:ind w:left="1565" w:right="1134"/>
        <w:rPr>
          <w:u w:color="000000"/>
          <w:bdr w:val="nil"/>
          <w:lang w:val="en-GB"/>
        </w:rPr>
      </w:pPr>
      <w:r w:rsidRPr="00BF42B7">
        <w:rPr>
          <w:rFonts w:cs="Arial Unicode MS" w:hint="eastAsia"/>
          <w:u w:color="000000"/>
          <w:bdr w:val="nil"/>
          <w:lang w:val="en-GB"/>
        </w:rPr>
        <w:t>……</w:t>
      </w:r>
    </w:p>
    <w:p w:rsidR="00CD5A8C" w:rsidRPr="00BF42B7" w:rsidRDefault="00CD5A8C" w:rsidP="00CD5A8C">
      <w:pPr>
        <w:tabs>
          <w:tab w:val="clear" w:pos="431"/>
          <w:tab w:val="left" w:pos="1134"/>
          <w:tab w:val="left" w:pos="1565"/>
          <w:tab w:val="left" w:pos="1996"/>
          <w:tab w:val="left" w:pos="2427"/>
          <w:tab w:val="left" w:pos="2786"/>
        </w:tabs>
        <w:spacing w:after="120"/>
        <w:ind w:left="1565" w:right="1134"/>
        <w:rPr>
          <w:u w:color="000000"/>
          <w:bdr w:val="nil"/>
          <w:lang w:val="en-GB"/>
        </w:rPr>
      </w:pPr>
      <w:r w:rsidRPr="00BF42B7">
        <w:rPr>
          <w:rFonts w:hint="eastAsia"/>
        </w:rPr>
        <w:t>“</w:t>
      </w:r>
      <w:r w:rsidRPr="00BF42B7">
        <w:rPr>
          <w:rFonts w:eastAsia="Arial Unicode MS"/>
          <w:u w:color="000000"/>
          <w:bdr w:val="nil"/>
          <w:lang w:val="en-GB"/>
        </w:rPr>
        <w:t xml:space="preserve">94.  </w:t>
      </w:r>
      <w:r w:rsidRPr="00BF42B7">
        <w:rPr>
          <w:rFonts w:hint="eastAsia"/>
          <w:u w:color="000000"/>
          <w:bdr w:val="nil"/>
          <w:lang w:val="en-GB"/>
        </w:rPr>
        <w:t>法院认为，第</w:t>
      </w:r>
      <w:r w:rsidRPr="00BF42B7">
        <w:rPr>
          <w:rFonts w:hint="eastAsia"/>
          <w:u w:color="000000"/>
          <w:bdr w:val="nil"/>
          <w:lang w:val="en-GB"/>
        </w:rPr>
        <w:t>7</w:t>
      </w:r>
      <w:r w:rsidRPr="00BF42B7">
        <w:rPr>
          <w:rFonts w:hint="eastAsia"/>
          <w:u w:color="000000"/>
          <w:bdr w:val="nil"/>
          <w:lang w:val="en-GB"/>
        </w:rPr>
        <w:t>条第</w:t>
      </w:r>
      <w:r w:rsidRPr="00BF42B7">
        <w:rPr>
          <w:rFonts w:hint="eastAsia"/>
          <w:u w:color="000000"/>
          <w:bdr w:val="nil"/>
          <w:lang w:val="en-GB"/>
        </w:rPr>
        <w:t>1</w:t>
      </w:r>
      <w:r w:rsidRPr="00BF42B7">
        <w:rPr>
          <w:rFonts w:hint="eastAsia"/>
          <w:u w:color="000000"/>
          <w:bdr w:val="nil"/>
          <w:lang w:val="en-GB"/>
        </w:rPr>
        <w:t>款要求有关国家将案件提交其主管当局以便起诉，无论此前有无引渡嫌疑人的请求。这就是为何第</w:t>
      </w:r>
      <w:r w:rsidRPr="00BF42B7">
        <w:rPr>
          <w:rFonts w:hint="eastAsia"/>
          <w:u w:color="000000"/>
          <w:bdr w:val="nil"/>
          <w:lang w:val="en-GB"/>
        </w:rPr>
        <w:t>6</w:t>
      </w:r>
      <w:r w:rsidRPr="00BF42B7">
        <w:rPr>
          <w:rFonts w:hint="eastAsia"/>
          <w:u w:color="000000"/>
          <w:bdr w:val="nil"/>
          <w:lang w:val="en-GB"/>
        </w:rPr>
        <w:t>条第</w:t>
      </w:r>
      <w:r w:rsidRPr="00BF42B7">
        <w:rPr>
          <w:rFonts w:hint="eastAsia"/>
          <w:u w:color="000000"/>
          <w:bdr w:val="nil"/>
          <w:lang w:val="en-GB"/>
        </w:rPr>
        <w:t>2</w:t>
      </w:r>
      <w:r w:rsidRPr="00BF42B7">
        <w:rPr>
          <w:rFonts w:hint="eastAsia"/>
          <w:u w:color="000000"/>
          <w:bdr w:val="nil"/>
          <w:lang w:val="en-GB"/>
        </w:rPr>
        <w:t>款规定，自嫌疑人入境之时起，该国必须立即进行初步调查。第</w:t>
      </w:r>
      <w:r w:rsidRPr="00BF42B7">
        <w:rPr>
          <w:rFonts w:hint="eastAsia"/>
          <w:u w:color="000000"/>
          <w:bdr w:val="nil"/>
          <w:lang w:val="en-GB"/>
        </w:rPr>
        <w:t>7</w:t>
      </w:r>
      <w:r w:rsidRPr="00BF42B7">
        <w:rPr>
          <w:rFonts w:hint="eastAsia"/>
          <w:u w:color="000000"/>
          <w:bdr w:val="nil"/>
          <w:lang w:val="en-GB"/>
        </w:rPr>
        <w:t>条第</w:t>
      </w:r>
      <w:r w:rsidRPr="00BF42B7">
        <w:rPr>
          <w:rFonts w:hint="eastAsia"/>
          <w:u w:color="000000"/>
          <w:bdr w:val="nil"/>
          <w:lang w:val="en-GB"/>
        </w:rPr>
        <w:t>1</w:t>
      </w:r>
      <w:r w:rsidRPr="00BF42B7">
        <w:rPr>
          <w:rFonts w:hint="eastAsia"/>
          <w:u w:color="000000"/>
          <w:bdr w:val="nil"/>
          <w:lang w:val="en-GB"/>
        </w:rPr>
        <w:t>款规定的将案件提交主管当局的义务，可能会，也可能不会导致提起诉讼，这要看当局关于嫌疑人所受指控得到的证据。</w:t>
      </w:r>
    </w:p>
    <w:p w:rsidR="00CD5A8C" w:rsidRPr="00BF42B7" w:rsidRDefault="00CD5A8C" w:rsidP="00CD5A8C">
      <w:pPr>
        <w:tabs>
          <w:tab w:val="clear" w:pos="431"/>
          <w:tab w:val="left" w:pos="1134"/>
          <w:tab w:val="left" w:pos="1565"/>
          <w:tab w:val="left" w:pos="1996"/>
          <w:tab w:val="left" w:pos="2427"/>
          <w:tab w:val="left" w:pos="2786"/>
        </w:tabs>
        <w:spacing w:after="120"/>
        <w:ind w:left="1565" w:right="1134"/>
        <w:rPr>
          <w:u w:color="000000"/>
          <w:bdr w:val="nil"/>
          <w:lang w:val="en-GB"/>
        </w:rPr>
      </w:pPr>
      <w:r w:rsidRPr="00BF42B7">
        <w:rPr>
          <w:rFonts w:hint="eastAsia"/>
        </w:rPr>
        <w:t>“</w:t>
      </w:r>
      <w:r w:rsidRPr="00BF42B7">
        <w:rPr>
          <w:rFonts w:eastAsia="Arial Unicode MS"/>
          <w:u w:color="000000"/>
          <w:bdr w:val="nil"/>
          <w:lang w:val="en-GB"/>
        </w:rPr>
        <w:t xml:space="preserve">95.  </w:t>
      </w:r>
      <w:r w:rsidRPr="00BF42B7">
        <w:rPr>
          <w:rFonts w:hint="eastAsia"/>
          <w:u w:color="000000"/>
          <w:bdr w:val="nil"/>
          <w:lang w:val="en-GB"/>
        </w:rPr>
        <w:t>然而，如果嫌疑人所在国已经在《公约》条款中设想的任一情况下收到了引渡请求，该国可以通过接受此请求免除起诉的义务。由此可见，《公约》虽然规定可以选择引渡或选择交付起诉，但不意味着两种选择分量相当。引渡是《公约》提供给国家的一个备选办法，而起诉是《公约》规定的一项国际义务，违反这项义务属于不法行为，国家为此要承担责任。</w:t>
      </w:r>
    </w:p>
    <w:p w:rsidR="00CD5A8C" w:rsidRPr="00BF42B7" w:rsidRDefault="00CD5A8C" w:rsidP="00CD5A8C">
      <w:pPr>
        <w:tabs>
          <w:tab w:val="clear" w:pos="431"/>
          <w:tab w:val="left" w:pos="1134"/>
          <w:tab w:val="left" w:pos="1565"/>
          <w:tab w:val="left" w:pos="1996"/>
          <w:tab w:val="left" w:pos="2427"/>
          <w:tab w:val="left" w:pos="2786"/>
        </w:tabs>
        <w:spacing w:after="120"/>
        <w:ind w:left="1565" w:right="1134"/>
        <w:rPr>
          <w:u w:color="000000"/>
          <w:bdr w:val="nil"/>
          <w:lang w:val="en-GB"/>
        </w:rPr>
      </w:pPr>
      <w:r w:rsidRPr="00BF42B7">
        <w:rPr>
          <w:rFonts w:cs="Arial Unicode MS" w:hint="eastAsia"/>
          <w:u w:color="000000"/>
          <w:bdr w:val="nil"/>
          <w:lang w:val="en-GB"/>
        </w:rPr>
        <w:t>……</w:t>
      </w:r>
    </w:p>
    <w:p w:rsidR="00CD5A8C" w:rsidRPr="00BF42B7" w:rsidRDefault="00CD5A8C" w:rsidP="00CD5A8C">
      <w:pPr>
        <w:tabs>
          <w:tab w:val="clear" w:pos="431"/>
          <w:tab w:val="left" w:pos="1134"/>
          <w:tab w:val="left" w:pos="1565"/>
          <w:tab w:val="left" w:pos="1996"/>
          <w:tab w:val="left" w:pos="2427"/>
          <w:tab w:val="left" w:pos="2786"/>
        </w:tabs>
        <w:spacing w:after="120"/>
        <w:ind w:left="1565" w:right="1134"/>
        <w:rPr>
          <w:u w:color="000000"/>
          <w:bdr w:val="nil"/>
          <w:lang w:val="en-GB"/>
        </w:rPr>
      </w:pPr>
      <w:r w:rsidRPr="00BF42B7">
        <w:rPr>
          <w:rFonts w:hint="eastAsia"/>
        </w:rPr>
        <w:t>“</w:t>
      </w:r>
      <w:r w:rsidRPr="00BF42B7">
        <w:rPr>
          <w:rFonts w:eastAsia="Arial Unicode MS"/>
          <w:u w:color="000000"/>
          <w:bdr w:val="nil"/>
          <w:lang w:val="en-GB"/>
        </w:rPr>
        <w:t xml:space="preserve">114.  </w:t>
      </w:r>
      <w:r w:rsidRPr="00BF42B7">
        <w:rPr>
          <w:rFonts w:hint="eastAsia"/>
          <w:u w:color="000000"/>
          <w:bdr w:val="nil"/>
          <w:lang w:val="en-GB"/>
        </w:rPr>
        <w:t>尽管《公约》第</w:t>
      </w:r>
      <w:r w:rsidRPr="00BF42B7">
        <w:rPr>
          <w:rFonts w:hint="eastAsia"/>
          <w:u w:color="000000"/>
          <w:bdr w:val="nil"/>
          <w:lang w:val="en-GB"/>
        </w:rPr>
        <w:t>7</w:t>
      </w:r>
      <w:r w:rsidRPr="00BF42B7">
        <w:rPr>
          <w:rFonts w:hint="eastAsia"/>
          <w:u w:color="000000"/>
          <w:bdr w:val="nil"/>
          <w:lang w:val="en-GB"/>
        </w:rPr>
        <w:t>条第</w:t>
      </w:r>
      <w:r w:rsidRPr="00BF42B7">
        <w:rPr>
          <w:rFonts w:hint="eastAsia"/>
          <w:u w:color="000000"/>
          <w:bdr w:val="nil"/>
          <w:lang w:val="en-GB"/>
        </w:rPr>
        <w:t>1</w:t>
      </w:r>
      <w:r w:rsidRPr="00BF42B7">
        <w:rPr>
          <w:rFonts w:hint="eastAsia"/>
          <w:u w:color="000000"/>
          <w:bdr w:val="nil"/>
          <w:lang w:val="en-GB"/>
        </w:rPr>
        <w:t>款没有关于履行其规定义务的时间框架的规定，在案文中必定暗示此种义务须在合理的时间内以符合《公约》的宗旨和目的的方式履行。</w:t>
      </w:r>
    </w:p>
    <w:p w:rsidR="00CD5A8C" w:rsidRPr="00BF42B7" w:rsidRDefault="00CD5A8C" w:rsidP="00CD5A8C">
      <w:pPr>
        <w:tabs>
          <w:tab w:val="clear" w:pos="431"/>
          <w:tab w:val="left" w:pos="1134"/>
          <w:tab w:val="left" w:pos="1565"/>
          <w:tab w:val="left" w:pos="1996"/>
          <w:tab w:val="left" w:pos="2427"/>
          <w:tab w:val="left" w:pos="2786"/>
        </w:tabs>
        <w:spacing w:after="120"/>
        <w:ind w:left="1565" w:right="1134"/>
        <w:rPr>
          <w:rFonts w:eastAsia="Arial Unicode MS"/>
          <w:u w:color="000000"/>
          <w:bdr w:val="nil"/>
          <w:lang w:val="en-GB"/>
        </w:rPr>
      </w:pPr>
      <w:r w:rsidRPr="00BF42B7">
        <w:rPr>
          <w:rFonts w:hint="eastAsia"/>
        </w:rPr>
        <w:t>“</w:t>
      </w:r>
      <w:r w:rsidRPr="00BF42B7">
        <w:rPr>
          <w:rFonts w:eastAsia="Arial Unicode MS"/>
          <w:u w:color="000000"/>
          <w:bdr w:val="nil"/>
          <w:lang w:val="en-GB"/>
        </w:rPr>
        <w:t xml:space="preserve">115.  </w:t>
      </w:r>
      <w:r w:rsidRPr="00BF42B7">
        <w:rPr>
          <w:rFonts w:hint="eastAsia"/>
          <w:u w:color="000000"/>
          <w:bdr w:val="nil"/>
          <w:lang w:val="en-GB"/>
        </w:rPr>
        <w:t>法院认为，《公约》第</w:t>
      </w:r>
      <w:r w:rsidRPr="00BF42B7">
        <w:rPr>
          <w:rFonts w:hint="eastAsia"/>
          <w:u w:color="000000"/>
          <w:bdr w:val="nil"/>
          <w:lang w:val="en-GB"/>
        </w:rPr>
        <w:t>7</w:t>
      </w:r>
      <w:r w:rsidRPr="00BF42B7">
        <w:rPr>
          <w:rFonts w:hint="eastAsia"/>
          <w:u w:color="000000"/>
          <w:bdr w:val="nil"/>
          <w:lang w:val="en-GB"/>
        </w:rPr>
        <w:t>条第</w:t>
      </w:r>
      <w:r w:rsidRPr="00BF42B7">
        <w:rPr>
          <w:rFonts w:hint="eastAsia"/>
          <w:u w:color="000000"/>
          <w:bdr w:val="nil"/>
          <w:lang w:val="en-GB"/>
        </w:rPr>
        <w:t>1</w:t>
      </w:r>
      <w:r w:rsidRPr="00BF42B7">
        <w:rPr>
          <w:rFonts w:hint="eastAsia"/>
          <w:u w:color="000000"/>
          <w:bdr w:val="nil"/>
          <w:lang w:val="en-GB"/>
        </w:rPr>
        <w:t>款中规定国家有起诉义务，其意图是实现《公约》的宗旨和目的，即“在全世界更有效地开展反对酷刑的斗争”</w:t>
      </w:r>
      <w:r w:rsidRPr="00BF42B7">
        <w:rPr>
          <w:rFonts w:hint="eastAsia"/>
          <w:u w:color="000000"/>
          <w:bdr w:val="nil"/>
          <w:lang w:val="en-GB"/>
        </w:rPr>
        <w:t>(</w:t>
      </w:r>
      <w:r w:rsidRPr="00BF42B7">
        <w:rPr>
          <w:rFonts w:hint="eastAsia"/>
          <w:u w:color="000000"/>
          <w:bdr w:val="nil"/>
          <w:lang w:val="en-GB"/>
        </w:rPr>
        <w:t>《公约》序言</w:t>
      </w:r>
      <w:r w:rsidRPr="00BF42B7">
        <w:rPr>
          <w:rFonts w:hint="eastAsia"/>
          <w:u w:color="000000"/>
          <w:bdr w:val="nil"/>
          <w:lang w:val="en-GB"/>
        </w:rPr>
        <w:t>)</w:t>
      </w:r>
      <w:r w:rsidRPr="00BF42B7">
        <w:rPr>
          <w:rFonts w:hint="eastAsia"/>
          <w:u w:color="000000"/>
          <w:bdr w:val="nil"/>
          <w:lang w:val="en-GB"/>
        </w:rPr>
        <w:t>。为此，应毫不拖延地开展诉讼程序。</w:t>
      </w:r>
    </w:p>
    <w:p w:rsidR="00CD5A8C" w:rsidRPr="00BF42B7" w:rsidRDefault="00CD5A8C" w:rsidP="00CD5A8C">
      <w:pPr>
        <w:tabs>
          <w:tab w:val="clear" w:pos="431"/>
          <w:tab w:val="left" w:pos="1134"/>
          <w:tab w:val="left" w:pos="1565"/>
          <w:tab w:val="left" w:pos="1996"/>
          <w:tab w:val="left" w:pos="2427"/>
          <w:tab w:val="left" w:pos="2786"/>
        </w:tabs>
        <w:spacing w:after="120"/>
        <w:ind w:left="1565" w:right="1134"/>
        <w:rPr>
          <w:u w:color="000000"/>
          <w:bdr w:val="nil"/>
          <w:lang w:val="en-GB"/>
        </w:rPr>
      </w:pPr>
      <w:r w:rsidRPr="00BF42B7">
        <w:rPr>
          <w:rFonts w:cs="Arial Unicode MS" w:hint="eastAsia"/>
          <w:u w:color="000000"/>
          <w:bdr w:val="nil"/>
          <w:lang w:val="en-GB"/>
        </w:rPr>
        <w:t>……</w:t>
      </w:r>
    </w:p>
    <w:p w:rsidR="00CD5A8C" w:rsidRPr="00BF42B7" w:rsidRDefault="00CD5A8C" w:rsidP="00CD5A8C">
      <w:pPr>
        <w:tabs>
          <w:tab w:val="clear" w:pos="431"/>
          <w:tab w:val="left" w:pos="1134"/>
          <w:tab w:val="left" w:pos="1565"/>
          <w:tab w:val="left" w:pos="1996"/>
          <w:tab w:val="left" w:pos="2427"/>
          <w:tab w:val="left" w:pos="2786"/>
        </w:tabs>
        <w:spacing w:after="120"/>
        <w:ind w:left="1565" w:right="1134"/>
        <w:rPr>
          <w:rFonts w:eastAsia="Arial Unicode MS" w:cs="Arial Unicode MS"/>
          <w:u w:color="000000"/>
          <w:bdr w:val="nil"/>
          <w:lang w:val="en-GB"/>
        </w:rPr>
      </w:pPr>
      <w:r w:rsidRPr="00BF42B7">
        <w:rPr>
          <w:rFonts w:hint="eastAsia"/>
        </w:rPr>
        <w:t>“</w:t>
      </w:r>
      <w:r w:rsidRPr="00BF42B7">
        <w:rPr>
          <w:rFonts w:eastAsia="Arial Unicode MS"/>
          <w:u w:color="000000"/>
          <w:bdr w:val="nil"/>
          <w:lang w:val="en-GB"/>
        </w:rPr>
        <w:t xml:space="preserve">120.  </w:t>
      </w:r>
      <w:r w:rsidRPr="00BF42B7">
        <w:rPr>
          <w:u w:color="000000"/>
          <w:bdr w:val="nil"/>
          <w:lang w:val="en-GB"/>
        </w:rPr>
        <w:t>这些条约规定的目的是防止被指控的酷刑行为犯罪人免受处罚，方法是确保他们</w:t>
      </w:r>
      <w:r w:rsidRPr="00BF42B7">
        <w:rPr>
          <w:rFonts w:cs="Arial Unicode MS" w:hint="eastAsia"/>
          <w:u w:color="000000"/>
          <w:bdr w:val="nil"/>
          <w:lang w:val="en-GB"/>
        </w:rPr>
        <w:t>无法在任何缔约国避难。嫌疑人所在国家确实可选择将其引渡到提出此种要求的国家，但根据《公约》第</w:t>
      </w:r>
      <w:r w:rsidRPr="00BF42B7">
        <w:rPr>
          <w:rFonts w:cs="Arial Unicode MS" w:hint="eastAsia"/>
          <w:u w:color="000000"/>
          <w:bdr w:val="nil"/>
          <w:lang w:val="en-GB"/>
        </w:rPr>
        <w:t>5</w:t>
      </w:r>
      <w:r w:rsidRPr="00BF42B7">
        <w:rPr>
          <w:rFonts w:cs="Arial Unicode MS" w:hint="eastAsia"/>
          <w:u w:color="000000"/>
          <w:bdr w:val="nil"/>
          <w:lang w:val="en-GB"/>
        </w:rPr>
        <w:t>条，这样做的条件是引渡的目的地国具有起诉和审判嫌疑人方面的管辖权。”</w:t>
      </w:r>
      <w:r w:rsidRPr="00BF42B7">
        <w:rPr>
          <w:rFonts w:eastAsia="Arial Unicode MS" w:cs="Arial Unicode MS"/>
          <w:color w:val="0000FF"/>
          <w:u w:color="000000"/>
          <w:bdr w:val="nil"/>
          <w:vertAlign w:val="superscript"/>
          <w:lang w:val="en-GB"/>
        </w:rPr>
        <w:footnoteReference w:id="1210"/>
      </w:r>
    </w:p>
    <w:p w:rsidR="00CD5A8C" w:rsidRPr="00BF42B7" w:rsidRDefault="00CD5A8C" w:rsidP="00CD5A8C">
      <w:pPr>
        <w:tabs>
          <w:tab w:val="clear" w:pos="431"/>
          <w:tab w:val="left" w:pos="1134"/>
          <w:tab w:val="left" w:pos="1565"/>
          <w:tab w:val="left" w:pos="2198"/>
          <w:tab w:val="left" w:pos="2427"/>
        </w:tabs>
        <w:spacing w:after="120"/>
        <w:ind w:left="1134" w:right="1134"/>
        <w:rPr>
          <w:rFonts w:cs="Arial Unicode MS"/>
          <w:u w:color="000000"/>
          <w:bdr w:val="nil"/>
          <w:lang w:val="en-GB"/>
        </w:rPr>
      </w:pPr>
      <w:r w:rsidRPr="00BF42B7">
        <w:rPr>
          <w:rFonts w:eastAsia="Arial Unicode MS" w:cs="Arial Unicode MS"/>
          <w:u w:color="000000"/>
          <w:bdr w:val="nil"/>
          <w:lang w:val="en-GB"/>
        </w:rPr>
        <w:t xml:space="preserve">(5)  </w:t>
      </w:r>
      <w:r w:rsidRPr="00BF42B7">
        <w:rPr>
          <w:rFonts w:cs="Arial Unicode MS" w:hint="eastAsia"/>
          <w:spacing w:val="-2"/>
          <w:u w:color="000000"/>
          <w:bdr w:val="nil"/>
          <w:lang w:val="en-GB"/>
        </w:rPr>
        <w:t>法院还认定，下述多种因素无法成为不履行这些义务的理由：国家财</w:t>
      </w:r>
      <w:r w:rsidRPr="00BF42B7">
        <w:rPr>
          <w:rFonts w:cs="Arial Unicode MS" w:hint="eastAsia"/>
          <w:spacing w:val="-4"/>
          <w:u w:color="000000"/>
          <w:bdr w:val="nil"/>
          <w:lang w:val="en-GB"/>
        </w:rPr>
        <w:t>政困难；</w:t>
      </w:r>
      <w:r w:rsidRPr="00BF42B7">
        <w:rPr>
          <w:rFonts w:eastAsia="Arial Unicode MS" w:cs="Arial Unicode MS"/>
          <w:color w:val="0000FF"/>
          <w:spacing w:val="-4"/>
          <w:u w:color="000000"/>
          <w:bdr w:val="nil"/>
          <w:vertAlign w:val="superscript"/>
          <w:lang w:val="en-GB"/>
        </w:rPr>
        <w:footnoteReference w:id="1211"/>
      </w:r>
      <w:r w:rsidRPr="00BF42B7">
        <w:rPr>
          <w:rFonts w:cs="Arial Unicode MS" w:hint="eastAsia"/>
          <w:spacing w:val="-4"/>
          <w:u w:color="000000"/>
          <w:bdr w:val="nil"/>
          <w:lang w:val="en-GB"/>
        </w:rPr>
        <w:t xml:space="preserve"> </w:t>
      </w:r>
      <w:r w:rsidRPr="00BF42B7">
        <w:rPr>
          <w:rFonts w:cs="Arial Unicode MS" w:hint="eastAsia"/>
          <w:spacing w:val="-4"/>
          <w:u w:color="000000"/>
          <w:bdr w:val="nil"/>
          <w:lang w:val="en-GB"/>
        </w:rPr>
        <w:t>将问题提交区域组织；</w:t>
      </w:r>
      <w:r w:rsidRPr="00BF42B7">
        <w:rPr>
          <w:rFonts w:eastAsia="Arial Unicode MS" w:cs="Arial Unicode MS"/>
          <w:color w:val="0000FF"/>
          <w:spacing w:val="-4"/>
          <w:u w:color="000000"/>
          <w:bdr w:val="nil"/>
          <w:vertAlign w:val="superscript"/>
          <w:lang w:val="en-GB"/>
        </w:rPr>
        <w:footnoteReference w:id="1212"/>
      </w:r>
      <w:r w:rsidRPr="00BF42B7">
        <w:rPr>
          <w:rFonts w:cs="Arial Unicode MS" w:hint="eastAsia"/>
          <w:color w:val="0000FF"/>
          <w:spacing w:val="-4"/>
          <w:u w:color="000000"/>
          <w:bdr w:val="nil"/>
          <w:vertAlign w:val="superscript"/>
          <w:lang w:val="en-GB"/>
        </w:rPr>
        <w:t xml:space="preserve"> </w:t>
      </w:r>
      <w:r w:rsidRPr="00BF42B7">
        <w:rPr>
          <w:rFonts w:cs="Arial Unicode MS" w:hint="eastAsia"/>
          <w:spacing w:val="-4"/>
          <w:u w:color="000000"/>
          <w:bdr w:val="nil"/>
          <w:lang w:val="en-GB"/>
        </w:rPr>
        <w:t>或根据国家的国内法难以履行此种义务。</w:t>
      </w:r>
      <w:r w:rsidRPr="00BF42B7">
        <w:rPr>
          <w:rFonts w:eastAsia="Arial Unicode MS" w:cs="Arial Unicode MS"/>
          <w:color w:val="0000FF"/>
          <w:spacing w:val="-2"/>
          <w:u w:color="000000"/>
          <w:bdr w:val="nil"/>
          <w:vertAlign w:val="superscript"/>
          <w:lang w:val="en-GB"/>
        </w:rPr>
        <w:footnoteReference w:id="1213"/>
      </w:r>
    </w:p>
    <w:p w:rsidR="00CD5A8C" w:rsidRPr="00BF42B7" w:rsidRDefault="00CD5A8C" w:rsidP="00CD5A8C">
      <w:pPr>
        <w:tabs>
          <w:tab w:val="clear" w:pos="431"/>
          <w:tab w:val="left" w:pos="1134"/>
          <w:tab w:val="left" w:pos="1565"/>
          <w:tab w:val="left" w:pos="2198"/>
          <w:tab w:val="left" w:pos="2427"/>
        </w:tabs>
        <w:spacing w:after="120"/>
        <w:ind w:left="1134" w:right="1134"/>
        <w:rPr>
          <w:rFonts w:cs="Arial Unicode MS"/>
          <w:color w:val="0000FF"/>
          <w:u w:color="000000"/>
          <w:bdr w:val="nil"/>
          <w:vertAlign w:val="superscript"/>
        </w:rPr>
      </w:pPr>
      <w:r w:rsidRPr="00BF42B7">
        <w:rPr>
          <w:rFonts w:eastAsia="Arial Unicode MS" w:cs="Arial Unicode MS"/>
          <w:u w:color="000000"/>
          <w:bdr w:val="nil"/>
          <w:lang w:val="en-GB"/>
        </w:rPr>
        <w:t xml:space="preserve">(6)  </w:t>
      </w:r>
      <w:r w:rsidRPr="00BF42B7">
        <w:rPr>
          <w:rFonts w:cs="Arial Unicode MS" w:hint="eastAsia"/>
          <w:u w:color="000000"/>
          <w:bdr w:val="nil"/>
          <w:lang w:val="en-GB"/>
        </w:rPr>
        <w:t>第</w:t>
      </w:r>
      <w:r w:rsidRPr="00BF42B7">
        <w:rPr>
          <w:rFonts w:cs="Arial Unicode MS" w:hint="eastAsia"/>
          <w:u w:color="000000"/>
          <w:bdr w:val="nil"/>
          <w:lang w:val="en-GB"/>
        </w:rPr>
        <w:t>9</w:t>
      </w:r>
      <w:r w:rsidRPr="00BF42B7">
        <w:rPr>
          <w:rFonts w:cs="Arial Unicode MS" w:hint="eastAsia"/>
          <w:u w:color="000000"/>
          <w:bdr w:val="nil"/>
        </w:rPr>
        <w:t>条草案第一句话确认，履行国家义务可通过将被指控罪犯引渡或移交另一</w:t>
      </w:r>
      <w:r w:rsidRPr="00BF42B7">
        <w:rPr>
          <w:rFonts w:cs="Arial Unicode MS" w:hint="eastAsia"/>
          <w:u w:color="000000"/>
          <w:bdr w:val="nil"/>
          <w:lang w:val="en-GB"/>
        </w:rPr>
        <w:t>国家</w:t>
      </w:r>
      <w:r w:rsidRPr="00BF42B7">
        <w:rPr>
          <w:rFonts w:cs="Arial Unicode MS" w:hint="eastAsia"/>
          <w:u w:color="000000"/>
          <w:bdr w:val="nil"/>
        </w:rPr>
        <w:t>，还可引渡或移交有权起诉罪犯的国际刑事法庭。随着国际刑事法院和其他国际刑事法庭的设立，出现了这第三种选择。</w:t>
      </w:r>
      <w:r w:rsidRPr="00BF42B7">
        <w:rPr>
          <w:rFonts w:eastAsia="Arial Unicode MS" w:cs="Arial Unicode MS"/>
          <w:color w:val="0000FF"/>
          <w:u w:color="000000"/>
          <w:bdr w:val="nil"/>
          <w:vertAlign w:val="superscript"/>
          <w:lang w:val="en-GB"/>
        </w:rPr>
        <w:footnoteReference w:id="1214"/>
      </w:r>
      <w:r w:rsidRPr="00BF42B7">
        <w:rPr>
          <w:rFonts w:cs="Arial Unicode MS"/>
          <w:u w:color="000000"/>
          <w:bdr w:val="nil"/>
        </w:rPr>
        <w:t xml:space="preserve"> </w:t>
      </w:r>
      <w:r w:rsidRPr="00BF42B7">
        <w:rPr>
          <w:rFonts w:cs="Arial Unicode MS" w:hint="eastAsia"/>
          <w:u w:color="000000"/>
          <w:bdr w:val="nil"/>
        </w:rPr>
        <w:t>“引渡”一词往往涉及将某人送往一国，但“移交”一词通常用于将某人送往主管国际刑事法庭，第</w:t>
      </w:r>
      <w:r w:rsidRPr="00BF42B7">
        <w:rPr>
          <w:rFonts w:cs="Arial Unicode MS" w:hint="eastAsia"/>
          <w:u w:color="000000"/>
          <w:bdr w:val="nil"/>
        </w:rPr>
        <w:t>9</w:t>
      </w:r>
      <w:r w:rsidRPr="00BF42B7">
        <w:rPr>
          <w:rFonts w:cs="Arial Unicode MS" w:hint="eastAsia"/>
          <w:u w:color="000000"/>
          <w:bdr w:val="nil"/>
        </w:rPr>
        <w:t>条草案如此编写是为了不以这种方式限制术语的使用。国家刑事系统和国际关系中使用的术语可能各不相同，</w:t>
      </w:r>
      <w:r w:rsidRPr="00BF42B7">
        <w:rPr>
          <w:rFonts w:eastAsia="Arial Unicode MS" w:cs="Arial Unicode MS"/>
          <w:color w:val="0000FF"/>
          <w:u w:color="000000"/>
          <w:bdr w:val="nil"/>
          <w:vertAlign w:val="superscript"/>
          <w:lang w:val="en-GB"/>
        </w:rPr>
        <w:footnoteReference w:id="1215"/>
      </w:r>
      <w:r w:rsidRPr="00BF42B7">
        <w:rPr>
          <w:rFonts w:cs="Arial Unicode MS" w:hint="eastAsia"/>
          <w:u w:color="000000"/>
          <w:bdr w:val="nil"/>
        </w:rPr>
        <w:t xml:space="preserve"> </w:t>
      </w:r>
      <w:r w:rsidRPr="00BF42B7">
        <w:rPr>
          <w:rFonts w:cs="Arial Unicode MS" w:hint="eastAsia"/>
          <w:u w:color="000000"/>
          <w:bdr w:val="nil"/>
        </w:rPr>
        <w:t>因此，委员会认为更笼统的措辞是可取的。此外，虽然第</w:t>
      </w:r>
      <w:r w:rsidRPr="00BF42B7">
        <w:rPr>
          <w:rFonts w:cs="Arial Unicode MS" w:hint="eastAsia"/>
          <w:u w:color="000000"/>
          <w:bdr w:val="nil"/>
        </w:rPr>
        <w:t>9</w:t>
      </w:r>
      <w:r w:rsidRPr="00BF42B7">
        <w:rPr>
          <w:rFonts w:cs="Arial Unicode MS" w:hint="eastAsia"/>
          <w:u w:color="000000"/>
          <w:bdr w:val="nil"/>
        </w:rPr>
        <w:t>条草案将提法的范围限制为国际刑事法庭以便表示必须是送出国承认其司法权的法庭，</w:t>
      </w:r>
      <w:r w:rsidRPr="00BF42B7">
        <w:rPr>
          <w:rFonts w:eastAsia="Arial Unicode MS" w:cs="Arial Unicode MS"/>
          <w:color w:val="0000FF"/>
          <w:u w:color="000000"/>
          <w:bdr w:val="nil"/>
          <w:vertAlign w:val="superscript"/>
          <w:lang w:val="en-GB"/>
        </w:rPr>
        <w:footnoteReference w:id="1216"/>
      </w:r>
      <w:r w:rsidRPr="00BF42B7">
        <w:rPr>
          <w:rFonts w:cs="Arial Unicode MS" w:hint="eastAsia"/>
          <w:u w:color="000000"/>
          <w:bdr w:val="nil"/>
        </w:rPr>
        <w:t xml:space="preserve"> </w:t>
      </w:r>
      <w:r w:rsidRPr="00BF42B7">
        <w:rPr>
          <w:rFonts w:cs="Arial Unicode MS" w:hint="eastAsia"/>
          <w:u w:color="000000"/>
          <w:bdr w:val="nil"/>
        </w:rPr>
        <w:t>但这种限制被视为没有必要。</w:t>
      </w:r>
    </w:p>
    <w:p w:rsidR="00CD5A8C" w:rsidRPr="00BF42B7" w:rsidRDefault="00CD5A8C" w:rsidP="00CD5A8C">
      <w:pPr>
        <w:tabs>
          <w:tab w:val="clear" w:pos="431"/>
          <w:tab w:val="left" w:pos="1134"/>
          <w:tab w:val="left" w:pos="1565"/>
          <w:tab w:val="left" w:pos="2198"/>
          <w:tab w:val="left" w:pos="2410"/>
        </w:tabs>
        <w:spacing w:after="120"/>
        <w:ind w:left="1134" w:right="1134"/>
        <w:rPr>
          <w:rFonts w:cs="Arial Unicode MS"/>
          <w:u w:color="000000"/>
          <w:bdr w:val="nil"/>
          <w:lang w:val="en-GB"/>
        </w:rPr>
      </w:pPr>
      <w:r w:rsidRPr="00BF42B7">
        <w:rPr>
          <w:rFonts w:eastAsia="Arial Unicode MS" w:cs="Arial Unicode MS"/>
          <w:u w:color="000000"/>
          <w:bdr w:val="nil"/>
          <w:lang w:val="en-GB"/>
        </w:rPr>
        <w:t xml:space="preserve">(7)  </w:t>
      </w:r>
      <w:r w:rsidRPr="00BF42B7">
        <w:rPr>
          <w:rFonts w:cs="Arial Unicode MS" w:hint="eastAsia"/>
          <w:u w:color="000000"/>
          <w:bdr w:val="nil"/>
          <w:lang w:val="en-GB"/>
        </w:rPr>
        <w:t>第</w:t>
      </w:r>
      <w:r w:rsidRPr="00BF42B7">
        <w:rPr>
          <w:rFonts w:cs="Arial Unicode MS" w:hint="eastAsia"/>
          <w:u w:color="000000"/>
          <w:bdr w:val="nil"/>
          <w:lang w:val="en-GB"/>
        </w:rPr>
        <w:t>9</w:t>
      </w:r>
      <w:r w:rsidRPr="00BF42B7">
        <w:rPr>
          <w:rFonts w:cs="Arial Unicode MS" w:hint="eastAsia"/>
          <w:u w:color="000000"/>
          <w:bdr w:val="nil"/>
          <w:lang w:val="en-GB"/>
        </w:rPr>
        <w:t>条草案第</w:t>
      </w:r>
      <w:r w:rsidRPr="00BF42B7">
        <w:rPr>
          <w:rFonts w:cs="Arial Unicode MS" w:hint="eastAsia"/>
          <w:u w:color="000000"/>
          <w:bdr w:val="nil"/>
          <w:lang w:val="en-GB"/>
        </w:rPr>
        <w:t>2</w:t>
      </w:r>
      <w:r w:rsidRPr="00BF42B7">
        <w:rPr>
          <w:rFonts w:cs="Arial Unicode MS" w:hint="eastAsia"/>
          <w:u w:color="000000"/>
          <w:bdr w:val="nil"/>
          <w:lang w:val="en-GB"/>
        </w:rPr>
        <w:t>句规定，当一国将案件提交起诉或引渡或移交人员时，其“当局应以处理该国法律定为性质严重的任何其他罪行的相同方式作出决定”。载有海牙套语的大部分条约都包括这样一个条款，其目的是帮助确保与严重罪行有关的正规程序和证据标准得到适用。</w:t>
      </w:r>
    </w:p>
    <w:p w:rsidR="00CD5A8C" w:rsidRPr="00BF42B7" w:rsidRDefault="00CD5A8C" w:rsidP="00CD5A8C">
      <w:pPr>
        <w:pStyle w:val="H23GC"/>
        <w:ind w:left="1554"/>
        <w:rPr>
          <w:rFonts w:eastAsia="楷体"/>
          <w:b/>
          <w:bCs/>
        </w:rPr>
      </w:pPr>
      <w:r w:rsidRPr="00BF42B7">
        <w:rPr>
          <w:rFonts w:ascii="Time New Roman" w:hAnsi="Time New Roman" w:hint="eastAsia"/>
        </w:rPr>
        <w:tab/>
      </w:r>
      <w:r w:rsidRPr="00BF42B7">
        <w:rPr>
          <w:rFonts w:ascii="Time New Roman" w:hAnsi="Time New Roman" w:hint="eastAsia"/>
        </w:rPr>
        <w:tab/>
      </w:r>
      <w:r w:rsidRPr="00BF42B7">
        <w:rPr>
          <w:rFonts w:ascii="Time New Roman" w:hAnsi="Time New Roman" w:hint="eastAsia"/>
        </w:rPr>
        <w:t>第</w:t>
      </w:r>
      <w:r w:rsidRPr="00BF42B7">
        <w:rPr>
          <w:rFonts w:ascii="Time New Roman" w:hAnsi="Time New Roman"/>
        </w:rPr>
        <w:t>10</w:t>
      </w:r>
      <w:r w:rsidRPr="00BF42B7">
        <w:rPr>
          <w:rFonts w:ascii="Time New Roman" w:hAnsi="Time New Roman" w:hint="eastAsia"/>
        </w:rPr>
        <w:t>条</w:t>
      </w:r>
      <w:r w:rsidRPr="00BF42B7">
        <w:br/>
      </w:r>
      <w:r w:rsidRPr="00BF42B7">
        <w:rPr>
          <w:rFonts w:ascii="宋体" w:hAnsi="宋体" w:cs="宋体" w:hint="eastAsia"/>
        </w:rPr>
        <w:t>公平对待被指控罪犯</w:t>
      </w:r>
    </w:p>
    <w:p w:rsidR="00CD5A8C" w:rsidRPr="00BF42B7" w:rsidRDefault="00CD5A8C" w:rsidP="00CD5A8C">
      <w:pPr>
        <w:tabs>
          <w:tab w:val="clear" w:pos="431"/>
          <w:tab w:val="left" w:pos="1134"/>
          <w:tab w:val="left" w:pos="1565"/>
          <w:tab w:val="left" w:pos="1996"/>
          <w:tab w:val="left" w:pos="2427"/>
        </w:tabs>
        <w:spacing w:after="120"/>
        <w:ind w:left="1554" w:right="1134"/>
        <w:rPr>
          <w:lang w:val="en-GB"/>
        </w:rPr>
      </w:pPr>
      <w:r w:rsidRPr="00BF42B7">
        <w:rPr>
          <w:lang w:val="en-GB"/>
        </w:rPr>
        <w:t xml:space="preserve">1.  </w:t>
      </w:r>
      <w:r w:rsidRPr="00BF42B7">
        <w:rPr>
          <w:rFonts w:hint="eastAsia"/>
          <w:lang w:val="en-GB"/>
        </w:rPr>
        <w:t>任何因第</w:t>
      </w:r>
      <w:r w:rsidRPr="00BF42B7">
        <w:rPr>
          <w:lang w:val="en-GB"/>
        </w:rPr>
        <w:t>5</w:t>
      </w:r>
      <w:r w:rsidRPr="00BF42B7">
        <w:rPr>
          <w:rFonts w:hint="eastAsia"/>
          <w:lang w:val="en-GB"/>
        </w:rPr>
        <w:t>条草案所述罪行而被采取法律措施的人，在诉讼的所有阶段应保障其公平待遇，包括公平审判，并应充分保护该人按照适用的国内法和国际法、包括人权法所具有的各项权利。</w:t>
      </w:r>
    </w:p>
    <w:p w:rsidR="00CD5A8C" w:rsidRPr="00BF42B7" w:rsidRDefault="00CD5A8C" w:rsidP="00CD5A8C">
      <w:pPr>
        <w:tabs>
          <w:tab w:val="clear" w:pos="431"/>
          <w:tab w:val="left" w:pos="1134"/>
          <w:tab w:val="left" w:pos="1565"/>
          <w:tab w:val="left" w:pos="1996"/>
          <w:tab w:val="left" w:pos="2427"/>
        </w:tabs>
        <w:spacing w:after="120"/>
        <w:ind w:left="1554" w:right="1134"/>
        <w:rPr>
          <w:lang w:val="en-GB"/>
        </w:rPr>
      </w:pPr>
      <w:r w:rsidRPr="00BF42B7">
        <w:rPr>
          <w:lang w:val="en-GB"/>
        </w:rPr>
        <w:t xml:space="preserve">2.  </w:t>
      </w:r>
      <w:r w:rsidRPr="00BF42B7">
        <w:rPr>
          <w:rFonts w:hint="eastAsia"/>
          <w:lang w:val="en-GB"/>
        </w:rPr>
        <w:t>在非本人国籍国的监狱、扣押或拘留中的任何此类人员应有权：</w:t>
      </w:r>
    </w:p>
    <w:p w:rsidR="00CD5A8C" w:rsidRPr="00BF42B7" w:rsidRDefault="00CD5A8C" w:rsidP="00396D56">
      <w:pPr>
        <w:pStyle w:val="SingleTxtGC"/>
        <w:numPr>
          <w:ilvl w:val="0"/>
          <w:numId w:val="26"/>
        </w:numPr>
      </w:pPr>
      <w:r w:rsidRPr="00BF42B7">
        <w:rPr>
          <w:rFonts w:hint="eastAsia"/>
        </w:rPr>
        <w:t>立即联络下述国家的距离最近的适当代表：其国籍国或有权保护其权利的其他国家，如此人为无国籍人员，则为经其请求而愿意保护其权利的国家；</w:t>
      </w:r>
    </w:p>
    <w:p w:rsidR="00CD5A8C" w:rsidRPr="00BF42B7" w:rsidRDefault="00CD5A8C" w:rsidP="00396D56">
      <w:pPr>
        <w:pStyle w:val="SingleTxtGC"/>
        <w:numPr>
          <w:ilvl w:val="0"/>
          <w:numId w:val="26"/>
        </w:numPr>
      </w:pPr>
      <w:r w:rsidRPr="00BF42B7">
        <w:rPr>
          <w:rFonts w:hint="eastAsia"/>
        </w:rPr>
        <w:t>接受此类国家代表的探视；</w:t>
      </w:r>
    </w:p>
    <w:p w:rsidR="00CD5A8C" w:rsidRPr="00BF42B7" w:rsidRDefault="00CD5A8C" w:rsidP="00396D56">
      <w:pPr>
        <w:pStyle w:val="SingleTxtGC"/>
        <w:numPr>
          <w:ilvl w:val="0"/>
          <w:numId w:val="26"/>
        </w:numPr>
      </w:pPr>
      <w:r w:rsidRPr="00BF42B7">
        <w:rPr>
          <w:rFonts w:hint="eastAsia"/>
        </w:rPr>
        <w:t>立即被告知其根据本款所享有的权利。</w:t>
      </w:r>
    </w:p>
    <w:p w:rsidR="00CD5A8C" w:rsidRPr="00BF42B7" w:rsidRDefault="00CD5A8C" w:rsidP="00CD5A8C">
      <w:pPr>
        <w:tabs>
          <w:tab w:val="clear" w:pos="431"/>
          <w:tab w:val="left" w:pos="1134"/>
          <w:tab w:val="left" w:pos="1565"/>
          <w:tab w:val="left" w:pos="1996"/>
          <w:tab w:val="left" w:pos="2427"/>
        </w:tabs>
        <w:spacing w:after="120"/>
        <w:ind w:left="1554" w:right="1134"/>
        <w:rPr>
          <w:lang w:val="en-GB"/>
        </w:rPr>
      </w:pPr>
      <w:r w:rsidRPr="00BF42B7">
        <w:rPr>
          <w:lang w:val="en-GB"/>
        </w:rPr>
        <w:t xml:space="preserve">3.  </w:t>
      </w:r>
      <w:r w:rsidRPr="00BF42B7">
        <w:rPr>
          <w:rFonts w:hint="eastAsia"/>
          <w:lang w:val="en-GB"/>
        </w:rPr>
        <w:t>第</w:t>
      </w:r>
      <w:r w:rsidRPr="00BF42B7">
        <w:rPr>
          <w:lang w:val="en-GB"/>
        </w:rPr>
        <w:t>2</w:t>
      </w:r>
      <w:r w:rsidRPr="00BF42B7">
        <w:rPr>
          <w:rFonts w:hint="eastAsia"/>
          <w:lang w:val="en-GB"/>
        </w:rPr>
        <w:t>款所述各项权利的行使应符合该人所在领土管辖国的法律和规章，但所述法律和规章必须能使第</w:t>
      </w:r>
      <w:r w:rsidRPr="00BF42B7">
        <w:rPr>
          <w:lang w:val="en-GB"/>
        </w:rPr>
        <w:t>2</w:t>
      </w:r>
      <w:r w:rsidRPr="00BF42B7">
        <w:rPr>
          <w:rFonts w:hint="eastAsia"/>
          <w:lang w:val="en-GB"/>
        </w:rPr>
        <w:t>款所规定权利的预期目的得到充分落实。</w:t>
      </w:r>
    </w:p>
    <w:p w:rsidR="00CD5A8C" w:rsidRPr="00BF42B7" w:rsidRDefault="00CD5A8C" w:rsidP="00586EF6">
      <w:pPr>
        <w:pStyle w:val="H23GC"/>
        <w:rPr>
          <w:bCs/>
          <w:lang w:val="en-GB"/>
        </w:rPr>
      </w:pPr>
      <w:r w:rsidRPr="00BF42B7">
        <w:rPr>
          <w:lang w:val="en-GB"/>
        </w:rPr>
        <w:tab/>
      </w:r>
      <w:r w:rsidRPr="00BF42B7">
        <w:rPr>
          <w:lang w:val="en-GB"/>
        </w:rPr>
        <w:tab/>
      </w:r>
      <w:r w:rsidRPr="00BF42B7">
        <w:rPr>
          <w:rFonts w:hint="eastAsia"/>
          <w:lang w:val="en-GB"/>
        </w:rPr>
        <w:t>评注</w:t>
      </w:r>
    </w:p>
    <w:p w:rsidR="00CD5A8C" w:rsidRPr="00BF42B7" w:rsidRDefault="00CD5A8C" w:rsidP="00CD5A8C">
      <w:pPr>
        <w:tabs>
          <w:tab w:val="clear" w:pos="431"/>
          <w:tab w:val="left" w:pos="1134"/>
          <w:tab w:val="left" w:pos="1565"/>
          <w:tab w:val="left" w:pos="1996"/>
          <w:tab w:val="left" w:pos="2427"/>
        </w:tabs>
        <w:spacing w:after="120"/>
        <w:ind w:left="1134" w:right="1134"/>
        <w:rPr>
          <w:lang w:val="en-GB"/>
        </w:rPr>
      </w:pPr>
      <w:r w:rsidRPr="00BF42B7">
        <w:rPr>
          <w:lang w:val="en-GB"/>
        </w:rPr>
        <w:t xml:space="preserve">(1)  </w:t>
      </w:r>
      <w:r w:rsidRPr="00BF42B7">
        <w:rPr>
          <w:rFonts w:hint="eastAsia"/>
          <w:lang w:val="en-GB"/>
        </w:rPr>
        <w:t>第</w:t>
      </w:r>
      <w:r w:rsidRPr="00BF42B7">
        <w:rPr>
          <w:rFonts w:hint="eastAsia"/>
          <w:lang w:val="en-GB"/>
        </w:rPr>
        <w:t>10</w:t>
      </w:r>
      <w:r w:rsidRPr="00BF42B7">
        <w:rPr>
          <w:rFonts w:hint="eastAsia"/>
          <w:lang w:val="en-GB"/>
        </w:rPr>
        <w:t>条草案侧重于国家给予在该国管辖下的领土之内的被指控罪犯公平待遇，包括公平审判和充分保护其权利。此外，第</w:t>
      </w:r>
      <w:r w:rsidRPr="00BF42B7">
        <w:rPr>
          <w:rFonts w:hint="eastAsia"/>
          <w:lang w:val="en-GB"/>
        </w:rPr>
        <w:t>10</w:t>
      </w:r>
      <w:r w:rsidRPr="00BF42B7">
        <w:rPr>
          <w:rFonts w:hint="eastAsia"/>
          <w:lang w:val="en-GB"/>
        </w:rPr>
        <w:t>条草案承认在非本人国籍国的监狱、扣押或拘留中的被指控罪犯接触其国籍国代表的权利。</w:t>
      </w:r>
    </w:p>
    <w:p w:rsidR="00CD5A8C" w:rsidRPr="00BF42B7" w:rsidRDefault="00CD5A8C" w:rsidP="00CD5A8C">
      <w:pPr>
        <w:tabs>
          <w:tab w:val="clear" w:pos="431"/>
          <w:tab w:val="left" w:pos="1134"/>
          <w:tab w:val="left" w:pos="1565"/>
          <w:tab w:val="left" w:pos="1996"/>
          <w:tab w:val="left" w:pos="2427"/>
        </w:tabs>
        <w:spacing w:after="120"/>
        <w:ind w:left="1134" w:right="1134"/>
        <w:rPr>
          <w:lang w:val="en-GB"/>
        </w:rPr>
      </w:pPr>
      <w:r w:rsidRPr="00BF42B7">
        <w:rPr>
          <w:lang w:val="en-GB"/>
        </w:rPr>
        <w:t xml:space="preserve">(2)  </w:t>
      </w:r>
      <w:r w:rsidRPr="00BF42B7">
        <w:rPr>
          <w:rFonts w:hint="eastAsia"/>
          <w:lang w:val="en-GB"/>
        </w:rPr>
        <w:t>所有国家的国内法均规定在不同程度上保护该国因刑事犯罪而受到调查、拘留、审判或惩罚的人。这种保护可能是在宪法、法规、行政规章或司法先例中作出的明确规定。此外，还可能会编纂详细规则，或确立大略标准，提及“公平待遇”、“正当程序”、“司法保障”、或“平等保护”。这种保护极为重要，因为它能避免国家刑事司法机构将其超常权力不当地施加于嫌疑人，其效果包括使该个人能够向独立法庭充分质疑该国的指控</w:t>
      </w:r>
      <w:r w:rsidRPr="00BF42B7">
        <w:rPr>
          <w:rFonts w:hint="eastAsia"/>
          <w:lang w:val="en-GB"/>
        </w:rPr>
        <w:t>(</w:t>
      </w:r>
      <w:r w:rsidRPr="00BF42B7">
        <w:rPr>
          <w:rFonts w:hint="eastAsia"/>
          <w:lang w:val="en-GB"/>
        </w:rPr>
        <w:t>因而保障“权利平等”</w:t>
      </w:r>
      <w:r w:rsidRPr="00BF42B7">
        <w:rPr>
          <w:rFonts w:hint="eastAsia"/>
          <w:lang w:val="en-GB"/>
        </w:rPr>
        <w:t>)</w:t>
      </w:r>
      <w:r w:rsidRPr="00BF42B7">
        <w:rPr>
          <w:rFonts w:hint="eastAsia"/>
          <w:lang w:val="en-GB"/>
        </w:rPr>
        <w:t>。</w:t>
      </w:r>
    </w:p>
    <w:p w:rsidR="00403CEF" w:rsidRDefault="00403CEF">
      <w:pPr>
        <w:tabs>
          <w:tab w:val="clear" w:pos="431"/>
        </w:tabs>
        <w:overflowPunct/>
        <w:adjustRightInd/>
        <w:snapToGrid/>
        <w:spacing w:line="240" w:lineRule="auto"/>
        <w:jc w:val="left"/>
        <w:rPr>
          <w:rFonts w:eastAsia="Arial Unicode MS" w:cs="Arial Unicode MS"/>
          <w:u w:color="000000"/>
          <w:bdr w:val="nil"/>
          <w:lang w:val="en-GB"/>
        </w:rPr>
      </w:pPr>
      <w:r>
        <w:rPr>
          <w:rFonts w:eastAsia="Arial Unicode MS" w:cs="Arial Unicode MS"/>
          <w:u w:color="000000"/>
          <w:bdr w:val="nil"/>
          <w:lang w:val="en-GB"/>
        </w:rPr>
        <w:br w:type="page"/>
      </w:r>
    </w:p>
    <w:p w:rsidR="00CD5A8C" w:rsidRPr="00BF42B7" w:rsidRDefault="00CD5A8C" w:rsidP="00CD5A8C">
      <w:pPr>
        <w:tabs>
          <w:tab w:val="clear" w:pos="431"/>
          <w:tab w:val="left" w:pos="1134"/>
          <w:tab w:val="left" w:pos="1565"/>
          <w:tab w:val="left" w:pos="1996"/>
          <w:tab w:val="left" w:pos="2427"/>
        </w:tabs>
        <w:spacing w:after="120"/>
        <w:ind w:left="1134" w:right="1134"/>
        <w:rPr>
          <w:rFonts w:cs="Arial Unicode MS"/>
          <w:u w:color="000000"/>
          <w:bdr w:val="nil"/>
          <w:lang w:val="en-GB"/>
        </w:rPr>
      </w:pPr>
      <w:r w:rsidRPr="00BF42B7">
        <w:rPr>
          <w:rFonts w:eastAsia="Arial Unicode MS" w:cs="Arial Unicode MS"/>
          <w:u w:color="000000"/>
          <w:bdr w:val="nil"/>
          <w:lang w:val="en-GB"/>
        </w:rPr>
        <w:t xml:space="preserve">(3)  </w:t>
      </w:r>
      <w:r w:rsidRPr="00BF42B7">
        <w:rPr>
          <w:rFonts w:cs="Arial Unicode MS" w:hint="eastAsia"/>
          <w:u w:color="000000"/>
          <w:bdr w:val="nil"/>
          <w:lang w:val="en-GB"/>
        </w:rPr>
        <w:t>现在，此种重要保护在国际刑法和人权法中也已得到明确承认。在最普遍的层面上，</w:t>
      </w:r>
      <w:r w:rsidRPr="00BF42B7">
        <w:rPr>
          <w:rFonts w:cs="Arial Unicode MS" w:hint="eastAsia"/>
          <w:u w:color="000000"/>
          <w:bdr w:val="nil"/>
          <w:lang w:val="en-GB"/>
        </w:rPr>
        <w:t>1948</w:t>
      </w:r>
      <w:r w:rsidRPr="00BF42B7">
        <w:rPr>
          <w:rFonts w:cs="Arial Unicode MS" w:hint="eastAsia"/>
          <w:u w:color="000000"/>
          <w:bdr w:val="nil"/>
          <w:lang w:val="en-GB"/>
        </w:rPr>
        <w:t>年《世界人权宣言》第十和第十一条确认了此类保护，</w:t>
      </w:r>
      <w:bookmarkStart w:id="300" w:name="_Ref453701683"/>
      <w:r w:rsidRPr="00BF42B7">
        <w:rPr>
          <w:rFonts w:eastAsia="Arial Unicode MS" w:cs="Arial Unicode MS"/>
          <w:color w:val="0000FF"/>
          <w:u w:color="000000"/>
          <w:bdr w:val="nil"/>
          <w:vertAlign w:val="superscript"/>
          <w:lang w:val="en-GB"/>
        </w:rPr>
        <w:footnoteReference w:id="1217"/>
      </w:r>
      <w:bookmarkEnd w:id="300"/>
      <w:r w:rsidRPr="00BF42B7">
        <w:rPr>
          <w:rFonts w:eastAsia="Arial Unicode MS" w:cs="Arial Unicode MS"/>
          <w:u w:color="000000"/>
          <w:bdr w:val="nil"/>
          <w:lang w:val="en-GB"/>
        </w:rPr>
        <w:t xml:space="preserve"> </w:t>
      </w:r>
      <w:r w:rsidRPr="00BF42B7">
        <w:rPr>
          <w:rFonts w:cs="Arial Unicode MS" w:hint="eastAsia"/>
          <w:u w:color="000000"/>
          <w:bdr w:val="nil"/>
          <w:lang w:val="en-GB"/>
        </w:rPr>
        <w:t>而《公民权利和政治权利国际公约》第十四条提出了对国家具有约束力的更具体的标准。普遍而言，为国际法院或法庭规定标准的文书一般均致力于具体叙述《公民权利和政治权利国际公约》第十四条中规定的标准，而关于国内法的文书则采用大略的标准，意图是在涉及被指控罪犯的国内诉讼的“所有阶段”确认和体现第十四条以及其他有关文书的具体标准。</w:t>
      </w:r>
      <w:r w:rsidRPr="00BF42B7">
        <w:rPr>
          <w:rFonts w:eastAsia="Arial Unicode MS" w:cs="Arial Unicode MS"/>
          <w:color w:val="0000FF"/>
          <w:u w:color="000000"/>
          <w:bdr w:val="nil"/>
          <w:vertAlign w:val="superscript"/>
          <w:lang w:val="en-GB"/>
        </w:rPr>
        <w:footnoteReference w:id="1218"/>
      </w:r>
    </w:p>
    <w:p w:rsidR="00CD5A8C" w:rsidRPr="00BF42B7" w:rsidRDefault="00CD5A8C" w:rsidP="00CD5A8C">
      <w:pPr>
        <w:tabs>
          <w:tab w:val="clear" w:pos="431"/>
          <w:tab w:val="left" w:pos="1134"/>
          <w:tab w:val="left" w:pos="1565"/>
          <w:tab w:val="left" w:pos="1996"/>
          <w:tab w:val="left" w:pos="2427"/>
        </w:tabs>
        <w:spacing w:after="120"/>
        <w:ind w:left="1134" w:right="1134"/>
        <w:rPr>
          <w:rFonts w:cs="Arial Unicode MS"/>
          <w:u w:color="000000"/>
          <w:bdr w:val="nil"/>
        </w:rPr>
      </w:pPr>
      <w:r w:rsidRPr="00BF42B7">
        <w:rPr>
          <w:rFonts w:eastAsia="Arial Unicode MS" w:cs="Arial Unicode MS"/>
          <w:u w:color="000000"/>
          <w:bdr w:val="nil"/>
          <w:lang w:val="en-GB"/>
        </w:rPr>
        <w:t xml:space="preserve">(4)  </w:t>
      </w:r>
      <w:r w:rsidRPr="00BF42B7">
        <w:rPr>
          <w:rFonts w:cs="Arial Unicode MS" w:hint="eastAsia"/>
          <w:u w:color="000000"/>
          <w:bdr w:val="nil"/>
        </w:rPr>
        <w:t>关于国内法的这些条约没有定义“公平待遇”一词，但该词被视为包括被指控罪犯拥有的具体权利，如《公民权利和政治权利国际公约》第十四条规定的权利。因此，委员会在起草关于防止和惩处侵害外交代表和其他应受国际保护人员的罪行的条款草案第</w:t>
      </w:r>
      <w:r w:rsidRPr="00BF42B7">
        <w:rPr>
          <w:rFonts w:cs="Arial Unicode MS" w:hint="eastAsia"/>
          <w:u w:color="000000"/>
          <w:bdr w:val="nil"/>
        </w:rPr>
        <w:t>8</w:t>
      </w:r>
      <w:r w:rsidRPr="00BF42B7">
        <w:rPr>
          <w:rFonts w:cs="Arial Unicode MS" w:hint="eastAsia"/>
          <w:u w:color="000000"/>
          <w:bdr w:val="nil"/>
        </w:rPr>
        <w:t>条时指出，“在诉讼的所有阶段受到公平待遇”的表述“旨在涵盖被拘留者或被告的所有公认保障规定”，并指出“这类保障的一个例子见《公民权利和政治权利国际公约》第十四条”。</w:t>
      </w:r>
      <w:r w:rsidRPr="00BF42B7">
        <w:rPr>
          <w:rFonts w:eastAsia="Arial Unicode MS" w:cs="Arial Unicode MS"/>
          <w:color w:val="0000FF"/>
          <w:u w:color="000000"/>
          <w:bdr w:val="nil"/>
          <w:vertAlign w:val="superscript"/>
          <w:lang w:val="en-GB"/>
        </w:rPr>
        <w:footnoteReference w:id="1219"/>
      </w:r>
      <w:r w:rsidRPr="00BF42B7">
        <w:rPr>
          <w:rFonts w:cs="Arial Unicode MS"/>
          <w:u w:color="000000"/>
          <w:bdr w:val="nil"/>
        </w:rPr>
        <w:t xml:space="preserve"> </w:t>
      </w:r>
      <w:r w:rsidRPr="00BF42B7">
        <w:rPr>
          <w:rFonts w:cs="Arial Unicode MS" w:hint="eastAsia"/>
          <w:u w:color="000000"/>
          <w:bdr w:val="nil"/>
        </w:rPr>
        <w:t>此外委员会还指出“‘适当程序’、‘公平审理’或‘公平审判’等较常见的表述可能被人从狭义的技术意义上加以解释。与之相比，‘公平待遇’的表述比较广义，因此更可取”。</w:t>
      </w:r>
      <w:r w:rsidRPr="00BF42B7">
        <w:rPr>
          <w:rFonts w:eastAsia="Arial Unicode MS" w:cs="Arial Unicode MS"/>
          <w:color w:val="0000FF"/>
          <w:u w:color="000000"/>
          <w:bdr w:val="nil"/>
          <w:vertAlign w:val="superscript"/>
          <w:lang w:val="en-GB"/>
        </w:rPr>
        <w:footnoteReference w:id="1220"/>
      </w:r>
      <w:r w:rsidRPr="00BF42B7">
        <w:rPr>
          <w:rFonts w:cs="Arial Unicode MS"/>
          <w:u w:color="000000"/>
          <w:bdr w:val="nil"/>
        </w:rPr>
        <w:t xml:space="preserve"> </w:t>
      </w:r>
      <w:r w:rsidRPr="00BF42B7">
        <w:rPr>
          <w:rFonts w:cs="Arial Unicode MS" w:hint="eastAsia"/>
          <w:u w:color="000000"/>
          <w:bdr w:val="nil"/>
        </w:rPr>
        <w:t>最后，委员会还解释说，“诉讼的各个阶段”的表述“旨在于被指控罪犯被发现和采取措施使其留在境内的时刻起直至就案件作出最后裁决期间保障其权利”。</w:t>
      </w:r>
      <w:r w:rsidRPr="00BF42B7">
        <w:rPr>
          <w:rFonts w:eastAsia="Arial Unicode MS" w:cs="Arial Unicode MS"/>
          <w:color w:val="0000FF"/>
          <w:u w:color="000000"/>
          <w:bdr w:val="nil"/>
          <w:vertAlign w:val="superscript"/>
          <w:lang w:val="en-GB"/>
        </w:rPr>
        <w:footnoteReference w:id="1221"/>
      </w:r>
    </w:p>
    <w:p w:rsidR="00403CEF" w:rsidRDefault="00403CEF">
      <w:pPr>
        <w:tabs>
          <w:tab w:val="clear" w:pos="431"/>
        </w:tabs>
        <w:overflowPunct/>
        <w:adjustRightInd/>
        <w:snapToGrid/>
        <w:spacing w:line="240" w:lineRule="auto"/>
        <w:jc w:val="left"/>
        <w:rPr>
          <w:lang w:val="en-GB"/>
        </w:rPr>
      </w:pPr>
      <w:r>
        <w:rPr>
          <w:lang w:val="en-GB"/>
        </w:rPr>
        <w:br w:type="page"/>
      </w:r>
    </w:p>
    <w:p w:rsidR="00CD5A8C" w:rsidRPr="00BF42B7" w:rsidRDefault="00CD5A8C" w:rsidP="00403CEF">
      <w:pPr>
        <w:tabs>
          <w:tab w:val="clear" w:pos="431"/>
          <w:tab w:val="left" w:pos="1134"/>
          <w:tab w:val="left" w:pos="1565"/>
          <w:tab w:val="left" w:pos="1996"/>
          <w:tab w:val="left" w:pos="2427"/>
        </w:tabs>
        <w:spacing w:after="140" w:line="330" w:lineRule="exact"/>
        <w:ind w:left="1134" w:right="1134"/>
        <w:rPr>
          <w:lang w:val="en-GB"/>
        </w:rPr>
      </w:pPr>
      <w:r w:rsidRPr="00BF42B7">
        <w:rPr>
          <w:lang w:val="en-GB"/>
        </w:rPr>
        <w:t xml:space="preserve">(5)  </w:t>
      </w:r>
      <w:r w:rsidRPr="00BF42B7">
        <w:rPr>
          <w:rFonts w:hint="eastAsia"/>
          <w:lang w:val="en-GB"/>
        </w:rPr>
        <w:t>虽然“公平待遇”一词包含“公平审判”概念，但许多条约明确提及公平审判，以强调其特别重要性。事实上，人权事务委员会认为，获得公平审判的权利是“人权保护的一项关键内容”，也是“保障法治的一项程序手段”。</w:t>
      </w:r>
      <w:r w:rsidRPr="00BF42B7">
        <w:rPr>
          <w:color w:val="0000FF"/>
          <w:vertAlign w:val="superscript"/>
          <w:lang w:val="en-GB"/>
        </w:rPr>
        <w:footnoteReference w:id="1222"/>
      </w:r>
      <w:r w:rsidR="00AC70E2">
        <w:rPr>
          <w:rFonts w:hint="eastAsia"/>
          <w:lang w:val="en-GB"/>
        </w:rPr>
        <w:t xml:space="preserve"> </w:t>
      </w:r>
      <w:r w:rsidRPr="00BF42B7">
        <w:rPr>
          <w:rFonts w:hint="eastAsia"/>
          <w:lang w:val="en-GB"/>
        </w:rPr>
        <w:t>因此，第</w:t>
      </w:r>
      <w:r w:rsidRPr="00BF42B7">
        <w:rPr>
          <w:lang w:val="en-GB"/>
        </w:rPr>
        <w:t>10</w:t>
      </w:r>
      <w:r w:rsidRPr="00BF42B7">
        <w:rPr>
          <w:rFonts w:hint="eastAsia"/>
          <w:lang w:val="en-GB"/>
        </w:rPr>
        <w:t>条草案第</w:t>
      </w:r>
      <w:r w:rsidRPr="00BF42B7">
        <w:rPr>
          <w:rFonts w:hint="eastAsia"/>
          <w:lang w:val="en-GB"/>
        </w:rPr>
        <w:t>1</w:t>
      </w:r>
      <w:r w:rsidRPr="00BF42B7">
        <w:rPr>
          <w:rFonts w:hint="eastAsia"/>
          <w:lang w:val="en-GB"/>
        </w:rPr>
        <w:t>款中称公平待遇“包括公平审判”。</w:t>
      </w:r>
    </w:p>
    <w:p w:rsidR="00CD5A8C" w:rsidRPr="00BF42B7" w:rsidRDefault="00CD5A8C" w:rsidP="00403CEF">
      <w:pPr>
        <w:tabs>
          <w:tab w:val="clear" w:pos="431"/>
          <w:tab w:val="left" w:pos="1134"/>
          <w:tab w:val="left" w:pos="1565"/>
          <w:tab w:val="left" w:pos="1996"/>
          <w:tab w:val="left" w:pos="2427"/>
        </w:tabs>
        <w:spacing w:after="140" w:line="330" w:lineRule="exact"/>
        <w:ind w:left="1134" w:right="1134"/>
        <w:rPr>
          <w:rFonts w:eastAsia="Arial Unicode MS" w:cs="Arial Unicode MS"/>
          <w:u w:color="000000"/>
          <w:bdr w:val="nil"/>
          <w:lang w:val="en-GB"/>
        </w:rPr>
      </w:pPr>
      <w:r w:rsidRPr="00BF42B7">
        <w:rPr>
          <w:rFonts w:eastAsia="Arial Unicode MS" w:cs="Arial Unicode MS"/>
          <w:u w:color="000000"/>
          <w:bdr w:val="nil"/>
          <w:lang w:val="en-GB"/>
        </w:rPr>
        <w:t xml:space="preserve">(6)  </w:t>
      </w:r>
      <w:r w:rsidRPr="00BF42B7">
        <w:rPr>
          <w:rFonts w:cs="Arial Unicode MS" w:hint="eastAsia"/>
          <w:u w:color="000000"/>
          <w:bdr w:val="nil"/>
          <w:lang w:val="en-GB"/>
        </w:rPr>
        <w:t>除了公平待遇，被指控罪犯还有权得到对其权利的最高保护，无论这种权利产生于适用的国内法还是国际法，包括国际人权法。这些权利载于宪法、法规或各国的国内法律制度内</w:t>
      </w:r>
      <w:r w:rsidRPr="00BF42B7">
        <w:rPr>
          <w:rFonts w:cs="Arial Unicode MS"/>
          <w:u w:color="000000"/>
          <w:bdr w:val="nil"/>
          <w:lang w:val="en-GB"/>
        </w:rPr>
        <w:t>的</w:t>
      </w:r>
      <w:r w:rsidRPr="00BF42B7">
        <w:rPr>
          <w:rFonts w:cs="Arial Unicode MS" w:hint="eastAsia"/>
          <w:u w:color="000000"/>
          <w:bdr w:val="nil"/>
          <w:lang w:val="en-GB"/>
        </w:rPr>
        <w:t>其他</w:t>
      </w:r>
      <w:r w:rsidRPr="00BF42B7">
        <w:rPr>
          <w:rFonts w:cs="Arial Unicode MS"/>
          <w:u w:color="000000"/>
          <w:bdr w:val="nil"/>
          <w:lang w:val="en-GB"/>
        </w:rPr>
        <w:t>规则</w:t>
      </w:r>
      <w:r w:rsidRPr="00BF42B7">
        <w:rPr>
          <w:rFonts w:cs="Arial Unicode MS" w:hint="eastAsia"/>
          <w:u w:color="000000"/>
          <w:bdr w:val="nil"/>
          <w:lang w:val="en-GB"/>
        </w:rPr>
        <w:t>，在国际层面，则载于全球人权条约、区域人权条约</w:t>
      </w:r>
      <w:r w:rsidRPr="00BF42B7">
        <w:rPr>
          <w:rFonts w:eastAsia="Arial Unicode MS" w:cs="Arial Unicode MS"/>
          <w:color w:val="0000FF"/>
          <w:u w:color="000000"/>
          <w:vertAlign w:val="superscript"/>
          <w:lang w:val="en-GB"/>
        </w:rPr>
        <w:footnoteReference w:id="1223"/>
      </w:r>
      <w:r w:rsidRPr="00BF42B7">
        <w:rPr>
          <w:rFonts w:cs="Arial Unicode MS"/>
          <w:u w:color="000000"/>
          <w:bdr w:val="nil"/>
          <w:lang w:val="en-GB"/>
        </w:rPr>
        <w:t xml:space="preserve"> </w:t>
      </w:r>
      <w:r w:rsidRPr="00BF42B7">
        <w:rPr>
          <w:rFonts w:cs="Arial Unicode MS" w:hint="eastAsia"/>
          <w:u w:color="000000"/>
          <w:bdr w:val="nil"/>
          <w:lang w:val="en-GB"/>
        </w:rPr>
        <w:t>或其他适用文书。</w:t>
      </w:r>
      <w:r w:rsidRPr="00BF42B7">
        <w:rPr>
          <w:rFonts w:eastAsia="Arial Unicode MS" w:cs="Arial Unicode MS"/>
          <w:color w:val="0000FF"/>
          <w:u w:color="000000"/>
          <w:bdr w:val="nil"/>
          <w:vertAlign w:val="superscript"/>
          <w:lang w:val="en-GB"/>
        </w:rPr>
        <w:footnoteReference w:id="1224"/>
      </w:r>
      <w:r w:rsidRPr="00BF42B7">
        <w:rPr>
          <w:rFonts w:eastAsia="Arial Unicode MS" w:cs="Arial Unicode MS"/>
          <w:u w:color="000000"/>
          <w:bdr w:val="nil"/>
          <w:lang w:val="en-GB"/>
        </w:rPr>
        <w:t xml:space="preserve"> </w:t>
      </w:r>
      <w:r w:rsidRPr="00BF42B7">
        <w:rPr>
          <w:rFonts w:cs="Arial Unicode MS" w:hint="eastAsia"/>
          <w:u w:color="000000"/>
          <w:bdr w:val="nil"/>
          <w:lang w:val="en-GB"/>
        </w:rPr>
        <w:t>因此，第</w:t>
      </w:r>
      <w:r w:rsidRPr="00BF42B7">
        <w:rPr>
          <w:rFonts w:cs="Arial Unicode MS"/>
          <w:u w:color="000000"/>
          <w:bdr w:val="nil"/>
          <w:lang w:val="en-GB"/>
        </w:rPr>
        <w:t>10</w:t>
      </w:r>
      <w:r w:rsidRPr="00BF42B7">
        <w:rPr>
          <w:rFonts w:cs="Arial Unicode MS" w:hint="eastAsia"/>
          <w:u w:color="000000"/>
          <w:bdr w:val="nil"/>
          <w:lang w:val="en-GB"/>
        </w:rPr>
        <w:t>条草案第</w:t>
      </w:r>
      <w:r w:rsidRPr="00BF42B7">
        <w:rPr>
          <w:rFonts w:cs="Arial Unicode MS" w:hint="eastAsia"/>
          <w:u w:color="000000"/>
          <w:bdr w:val="nil"/>
          <w:lang w:val="en-GB"/>
        </w:rPr>
        <w:t>1</w:t>
      </w:r>
      <w:r w:rsidRPr="00BF42B7">
        <w:rPr>
          <w:rFonts w:cs="Arial Unicode MS" w:hint="eastAsia"/>
          <w:u w:color="000000"/>
          <w:bdr w:val="nil"/>
          <w:lang w:val="en-GB"/>
        </w:rPr>
        <w:t>款还承认，各国必须充分保护罪犯“按照适用的国内法和国际法、包括人权法所具有的各项权利”。</w:t>
      </w:r>
    </w:p>
    <w:p w:rsidR="00CD5A8C" w:rsidRPr="00BF42B7" w:rsidRDefault="00CD5A8C" w:rsidP="00403CEF">
      <w:pPr>
        <w:tabs>
          <w:tab w:val="clear" w:pos="431"/>
          <w:tab w:val="left" w:pos="1134"/>
          <w:tab w:val="left" w:pos="1565"/>
          <w:tab w:val="left" w:pos="1996"/>
          <w:tab w:val="left" w:pos="2427"/>
        </w:tabs>
        <w:spacing w:after="140" w:line="330" w:lineRule="exact"/>
        <w:ind w:left="1134" w:right="1134"/>
        <w:rPr>
          <w:u w:color="000000"/>
          <w:bdr w:val="nil"/>
          <w:lang w:val="en-GB"/>
        </w:rPr>
      </w:pPr>
      <w:r w:rsidRPr="00BF42B7">
        <w:rPr>
          <w:rFonts w:eastAsia="Arial Unicode MS"/>
          <w:u w:color="000000"/>
          <w:bdr w:val="nil"/>
          <w:lang w:val="en-GB"/>
        </w:rPr>
        <w:t xml:space="preserve">(7)  </w:t>
      </w:r>
      <w:r w:rsidRPr="00BF42B7">
        <w:rPr>
          <w:u w:color="000000"/>
          <w:bdr w:val="nil"/>
          <w:lang w:val="en-GB"/>
        </w:rPr>
        <w:t>第</w:t>
      </w:r>
      <w:r w:rsidRPr="00BF42B7">
        <w:rPr>
          <w:u w:color="000000"/>
          <w:bdr w:val="nil"/>
          <w:lang w:val="en-GB"/>
        </w:rPr>
        <w:t>10</w:t>
      </w:r>
      <w:r w:rsidRPr="00BF42B7">
        <w:rPr>
          <w:u w:color="000000"/>
          <w:bdr w:val="nil"/>
          <w:lang w:val="en-GB"/>
        </w:rPr>
        <w:t>条草案第</w:t>
      </w:r>
      <w:r w:rsidRPr="00BF42B7">
        <w:rPr>
          <w:u w:color="000000"/>
          <w:bdr w:val="nil"/>
          <w:lang w:val="en-GB"/>
        </w:rPr>
        <w:t>2</w:t>
      </w:r>
      <w:r w:rsidRPr="00BF42B7">
        <w:rPr>
          <w:u w:color="000000"/>
          <w:bdr w:val="nil"/>
          <w:lang w:val="en-GB"/>
        </w:rPr>
        <w:t>款阐述国家对在非本人国籍国和</w:t>
      </w:r>
      <w:r w:rsidRPr="00BF42B7">
        <w:rPr>
          <w:rFonts w:hint="eastAsia"/>
        </w:rPr>
        <w:t>“</w:t>
      </w:r>
      <w:r w:rsidRPr="00BF42B7">
        <w:rPr>
          <w:u w:color="000000"/>
          <w:bdr w:val="nil"/>
          <w:lang w:val="en-GB"/>
        </w:rPr>
        <w:t>在监狱、扣押或拘留中</w:t>
      </w:r>
      <w:r w:rsidRPr="00BF42B7">
        <w:rPr>
          <w:rFonts w:hint="eastAsia"/>
        </w:rPr>
        <w:t>”</w:t>
      </w:r>
      <w:r w:rsidRPr="00BF42B7">
        <w:rPr>
          <w:u w:color="000000"/>
          <w:bdr w:val="nil"/>
          <w:lang w:val="en-GB"/>
        </w:rPr>
        <w:t>的被指控罪犯的</w:t>
      </w:r>
      <w:r w:rsidRPr="00BF42B7">
        <w:rPr>
          <w:rFonts w:hint="eastAsia"/>
          <w:u w:color="000000"/>
          <w:bdr w:val="nil"/>
          <w:lang w:val="en-GB"/>
        </w:rPr>
        <w:t>义务。这一表述应被理解为包括国家限制人员与其国籍国代表自由联络和接受这些代表探视的所有情况。在这些情况下，要求被指控罪犯在其管辖下的领土之内的国家立即联络下述国家的距离最近的适当代表：其国籍国或有权保护其权利的其他国家或经其请求而愿意保护其权利的国家。此外，被指控罪犯有权接受此类国家代表的探视。最后，被指控罪犯有权立即被告知这些权利。此外，第</w:t>
      </w:r>
      <w:r w:rsidRPr="00BF42B7">
        <w:rPr>
          <w:rFonts w:hint="eastAsia"/>
          <w:u w:color="000000"/>
          <w:bdr w:val="nil"/>
          <w:lang w:val="en-GB"/>
        </w:rPr>
        <w:t>2</w:t>
      </w:r>
      <w:r w:rsidRPr="00BF42B7">
        <w:rPr>
          <w:rFonts w:hint="eastAsia"/>
          <w:u w:color="000000"/>
          <w:bdr w:val="nil"/>
          <w:lang w:val="en-GB"/>
        </w:rPr>
        <w:t>款对无国籍人也适用这些权利，要求这些人有权立即联络经其请求而愿意保护其权利的国家的距离最近的适当代表，并接受该代表的探视。</w:t>
      </w:r>
    </w:p>
    <w:p w:rsidR="00CD5A8C" w:rsidRPr="00BF42B7" w:rsidRDefault="00CD5A8C" w:rsidP="00403CEF">
      <w:pPr>
        <w:widowControl w:val="0"/>
        <w:tabs>
          <w:tab w:val="clear" w:pos="431"/>
          <w:tab w:val="left" w:pos="1134"/>
          <w:tab w:val="left" w:pos="1565"/>
          <w:tab w:val="left" w:pos="1996"/>
          <w:tab w:val="left" w:pos="2427"/>
        </w:tabs>
        <w:spacing w:after="120"/>
        <w:ind w:left="1134" w:right="1134"/>
        <w:rPr>
          <w:rFonts w:eastAsia="Arial Unicode MS"/>
          <w:u w:color="000000"/>
          <w:bdr w:val="nil"/>
          <w:lang w:val="en-GB"/>
        </w:rPr>
      </w:pPr>
      <w:r w:rsidRPr="00BF42B7">
        <w:rPr>
          <w:rFonts w:eastAsia="Arial Unicode MS"/>
          <w:u w:color="000000"/>
          <w:bdr w:val="nil"/>
          <w:lang w:val="en-GB"/>
        </w:rPr>
        <w:t xml:space="preserve">(8)  </w:t>
      </w:r>
      <w:r w:rsidRPr="00BF42B7">
        <w:rPr>
          <w:rFonts w:hint="eastAsia"/>
          <w:u w:color="000000"/>
          <w:bdr w:val="nil"/>
          <w:lang w:val="en-GB"/>
        </w:rPr>
        <w:t>1963</w:t>
      </w:r>
      <w:r w:rsidRPr="00BF42B7">
        <w:rPr>
          <w:rFonts w:hint="eastAsia"/>
          <w:u w:color="000000"/>
          <w:bdr w:val="nil"/>
          <w:lang w:val="en-GB"/>
        </w:rPr>
        <w:t>年《维也纳领事关系公约》第三十六条第一款</w:t>
      </w:r>
      <w:bookmarkStart w:id="301" w:name="_Ref453699952"/>
      <w:r w:rsidRPr="00BF42B7">
        <w:rPr>
          <w:rFonts w:eastAsia="Arial Unicode MS"/>
          <w:color w:val="0000FF"/>
          <w:u w:color="000000"/>
          <w:bdr w:val="nil"/>
          <w:vertAlign w:val="superscript"/>
          <w:lang w:val="en-GB"/>
        </w:rPr>
        <w:footnoteReference w:id="1225"/>
      </w:r>
      <w:bookmarkEnd w:id="301"/>
      <w:r w:rsidRPr="00BF42B7">
        <w:rPr>
          <w:u w:color="000000"/>
          <w:bdr w:val="nil"/>
          <w:lang w:val="en-GB"/>
        </w:rPr>
        <w:t xml:space="preserve"> </w:t>
      </w:r>
      <w:r w:rsidRPr="00BF42B7">
        <w:rPr>
          <w:rFonts w:hint="eastAsia"/>
          <w:u w:color="000000"/>
          <w:bdr w:val="nil"/>
          <w:lang w:val="en-GB"/>
        </w:rPr>
        <w:t>(</w:t>
      </w:r>
      <w:r w:rsidRPr="00BF42B7">
        <w:rPr>
          <w:rFonts w:hint="eastAsia"/>
          <w:u w:color="000000"/>
          <w:bdr w:val="nil"/>
          <w:lang w:val="en-GB"/>
        </w:rPr>
        <w:t>将权利赋予被拘留者和国籍国</w:t>
      </w:r>
      <w:bookmarkStart w:id="302" w:name="_Ref453701877"/>
      <w:r w:rsidRPr="00BF42B7">
        <w:rPr>
          <w:rFonts w:eastAsia="Arial Unicode MS"/>
          <w:color w:val="0000FF"/>
          <w:u w:color="000000"/>
          <w:bdr w:val="nil"/>
          <w:vertAlign w:val="superscript"/>
          <w:lang w:val="en-GB"/>
        </w:rPr>
        <w:footnoteReference w:id="1226"/>
      </w:r>
      <w:bookmarkEnd w:id="302"/>
      <w:r w:rsidRPr="00BF42B7">
        <w:rPr>
          <w:u w:color="000000"/>
          <w:bdr w:val="nil"/>
          <w:lang w:val="en-GB"/>
        </w:rPr>
        <w:t xml:space="preserve"> </w:t>
      </w:r>
      <w:r w:rsidRPr="00BF42B7">
        <w:rPr>
          <w:rFonts w:hint="eastAsia"/>
          <w:u w:color="000000"/>
          <w:bdr w:val="nil"/>
          <w:lang w:val="en-GB"/>
        </w:rPr>
        <w:t>)</w:t>
      </w:r>
      <w:r w:rsidRPr="00BF42B7">
        <w:rPr>
          <w:rFonts w:hint="eastAsia"/>
          <w:u w:color="000000"/>
          <w:bdr w:val="nil"/>
          <w:lang w:val="en-GB"/>
        </w:rPr>
        <w:t>和习惯国际法更为详细地阐述了这些权利。最近的针对罪行的条约通常不会如此详细，而是与第</w:t>
      </w:r>
      <w:r w:rsidRPr="00BF42B7">
        <w:rPr>
          <w:u w:color="000000"/>
          <w:bdr w:val="nil"/>
          <w:lang w:val="en-GB"/>
        </w:rPr>
        <w:t>10</w:t>
      </w:r>
      <w:r w:rsidRPr="00BF42B7">
        <w:rPr>
          <w:rFonts w:hint="eastAsia"/>
          <w:u w:color="000000"/>
          <w:bdr w:val="nil"/>
          <w:lang w:val="en-GB"/>
        </w:rPr>
        <w:t>条草案第</w:t>
      </w:r>
      <w:r w:rsidRPr="00BF42B7">
        <w:rPr>
          <w:rFonts w:hint="eastAsia"/>
          <w:u w:color="000000"/>
          <w:bdr w:val="nil"/>
          <w:lang w:val="en-GB"/>
        </w:rPr>
        <w:t>2</w:t>
      </w:r>
      <w:r w:rsidRPr="00BF42B7">
        <w:rPr>
          <w:rFonts w:hint="eastAsia"/>
          <w:u w:color="000000"/>
          <w:bdr w:val="nil"/>
          <w:lang w:val="en-GB"/>
        </w:rPr>
        <w:t>款一样，仅重申被指控罪犯有权联络其国籍国并接受其探视</w:t>
      </w:r>
      <w:r w:rsidRPr="00BF42B7">
        <w:rPr>
          <w:rFonts w:hint="eastAsia"/>
          <w:u w:color="000000"/>
          <w:bdr w:val="nil"/>
          <w:lang w:val="en-GB"/>
        </w:rPr>
        <w:t>(</w:t>
      </w:r>
      <w:r w:rsidRPr="00BF42B7">
        <w:rPr>
          <w:rFonts w:hint="eastAsia"/>
          <w:u w:color="000000"/>
          <w:bdr w:val="nil"/>
          <w:lang w:val="en-GB"/>
        </w:rPr>
        <w:t>对无国籍者而言，则有权联络其通常居住的国家或其他愿意保护此人权利的国家</w:t>
      </w:r>
      <w:r w:rsidRPr="00BF42B7">
        <w:rPr>
          <w:rFonts w:hint="eastAsia"/>
          <w:u w:color="000000"/>
          <w:bdr w:val="nil"/>
          <w:lang w:val="en-GB"/>
        </w:rPr>
        <w:t>)</w:t>
      </w:r>
      <w:r w:rsidRPr="00BF42B7">
        <w:rPr>
          <w:rFonts w:hint="eastAsia"/>
          <w:u w:color="000000"/>
          <w:bdr w:val="nil"/>
          <w:lang w:val="en-GB"/>
        </w:rPr>
        <w:t>。</w:t>
      </w:r>
      <w:r w:rsidRPr="00BF42B7">
        <w:rPr>
          <w:rFonts w:eastAsia="Arial Unicode MS"/>
          <w:color w:val="0000FF"/>
          <w:u w:color="000000"/>
          <w:bdr w:val="nil"/>
          <w:vertAlign w:val="superscript"/>
          <w:lang w:val="en-GB"/>
        </w:rPr>
        <w:footnoteReference w:id="1227"/>
      </w:r>
    </w:p>
    <w:p w:rsidR="00CD5A8C" w:rsidRPr="00BF42B7" w:rsidRDefault="00CD5A8C" w:rsidP="00CD5A8C">
      <w:pPr>
        <w:tabs>
          <w:tab w:val="clear" w:pos="431"/>
          <w:tab w:val="left" w:pos="1134"/>
          <w:tab w:val="left" w:pos="1565"/>
          <w:tab w:val="left" w:pos="1996"/>
          <w:tab w:val="left" w:pos="2427"/>
        </w:tabs>
        <w:spacing w:after="120"/>
        <w:ind w:left="1134" w:right="1134"/>
        <w:rPr>
          <w:rFonts w:eastAsia="Arial Unicode MS"/>
          <w:u w:color="000000"/>
          <w:bdr w:val="nil"/>
          <w:lang w:val="en-GB"/>
        </w:rPr>
      </w:pPr>
      <w:r w:rsidRPr="00BF42B7">
        <w:rPr>
          <w:rFonts w:eastAsia="Arial Unicode MS"/>
          <w:u w:color="000000"/>
          <w:bdr w:val="nil"/>
          <w:lang w:val="en-GB"/>
        </w:rPr>
        <w:t xml:space="preserve">(9)  </w:t>
      </w:r>
      <w:r w:rsidRPr="00BF42B7">
        <w:rPr>
          <w:rFonts w:hint="eastAsia"/>
          <w:u w:color="000000"/>
          <w:bdr w:val="nil"/>
          <w:lang w:val="en-GB"/>
        </w:rPr>
        <w:t>第</w:t>
      </w:r>
      <w:r w:rsidRPr="00BF42B7">
        <w:rPr>
          <w:u w:color="000000"/>
          <w:bdr w:val="nil"/>
          <w:lang w:val="en-GB"/>
        </w:rPr>
        <w:t>10</w:t>
      </w:r>
      <w:r w:rsidRPr="00BF42B7">
        <w:rPr>
          <w:rFonts w:hint="eastAsia"/>
          <w:u w:color="000000"/>
          <w:bdr w:val="nil"/>
          <w:lang w:val="en-GB"/>
        </w:rPr>
        <w:t>条草案第</w:t>
      </w:r>
      <w:r w:rsidRPr="00BF42B7">
        <w:rPr>
          <w:rFonts w:hint="eastAsia"/>
          <w:u w:color="000000"/>
          <w:bdr w:val="nil"/>
          <w:lang w:val="en-GB"/>
        </w:rPr>
        <w:t>3</w:t>
      </w:r>
      <w:r w:rsidRPr="00BF42B7">
        <w:rPr>
          <w:rFonts w:hint="eastAsia"/>
          <w:u w:color="000000"/>
          <w:bdr w:val="nil"/>
          <w:lang w:val="en-GB"/>
        </w:rPr>
        <w:t>款规定，第</w:t>
      </w:r>
      <w:r w:rsidRPr="00BF42B7">
        <w:rPr>
          <w:rFonts w:hint="eastAsia"/>
          <w:u w:color="000000"/>
          <w:bdr w:val="nil"/>
          <w:lang w:val="en-GB"/>
        </w:rPr>
        <w:t>2</w:t>
      </w:r>
      <w:r w:rsidRPr="00BF42B7">
        <w:rPr>
          <w:rFonts w:hint="eastAsia"/>
          <w:u w:color="000000"/>
          <w:bdr w:val="nil"/>
          <w:lang w:val="en-GB"/>
        </w:rPr>
        <w:t>款所述各项权利的行使应符合该人所在领土管辖国的法律和规章，但这些法律和规章不得妨碍这些权利的预期目的得到充分落实。这些国内法律和规章可涉及调查法官为保护受害者和证人而对联络施加限制的能力以及探视被关押在拘留设施的人的标准条件等问题。《维也纳领事关系公约》第三十六条第二款</w:t>
      </w:r>
      <w:r w:rsidRPr="00BF42B7">
        <w:rPr>
          <w:rFonts w:eastAsia="Arial Unicode MS"/>
          <w:color w:val="0000FF"/>
          <w:u w:color="000000"/>
          <w:bdr w:val="nil"/>
          <w:vertAlign w:val="superscript"/>
          <w:lang w:val="en-GB"/>
        </w:rPr>
        <w:footnoteReference w:id="1228"/>
      </w:r>
      <w:r w:rsidRPr="00BF42B7">
        <w:rPr>
          <w:u w:color="000000"/>
          <w:bdr w:val="nil"/>
          <w:lang w:val="en-GB"/>
        </w:rPr>
        <w:t xml:space="preserve"> </w:t>
      </w:r>
      <w:r w:rsidRPr="00BF42B7">
        <w:rPr>
          <w:rFonts w:hint="eastAsia"/>
          <w:u w:color="000000"/>
          <w:bdr w:val="nil"/>
          <w:lang w:val="en-GB"/>
        </w:rPr>
        <w:t>中存在一个类似条款，该条款还被列入了许多关于犯罪的条约。</w:t>
      </w:r>
      <w:r w:rsidRPr="00BF42B7">
        <w:rPr>
          <w:rFonts w:eastAsia="Arial Unicode MS"/>
          <w:color w:val="0000FF"/>
          <w:u w:color="000000"/>
          <w:bdr w:val="nil"/>
          <w:vertAlign w:val="superscript"/>
          <w:lang w:val="en-GB"/>
        </w:rPr>
        <w:footnoteReference w:id="1229"/>
      </w:r>
      <w:r w:rsidRPr="00BF42B7">
        <w:rPr>
          <w:u w:color="000000"/>
          <w:bdr w:val="nil"/>
          <w:lang w:val="en-GB"/>
        </w:rPr>
        <w:t xml:space="preserve"> </w:t>
      </w:r>
      <w:r w:rsidRPr="00BF42B7">
        <w:rPr>
          <w:rFonts w:hint="eastAsia"/>
          <w:u w:color="000000"/>
          <w:bdr w:val="nil"/>
          <w:lang w:val="en-GB"/>
        </w:rPr>
        <w:t>委员会在后来成为《维也纳公约》的条款草案的评注中对该条款作了如下解释：</w:t>
      </w:r>
    </w:p>
    <w:p w:rsidR="00CD5A8C" w:rsidRPr="00BF42B7" w:rsidRDefault="00CD5A8C" w:rsidP="00CD5A8C">
      <w:pPr>
        <w:tabs>
          <w:tab w:val="clear" w:pos="431"/>
          <w:tab w:val="left" w:pos="1134"/>
          <w:tab w:val="left" w:pos="1565"/>
          <w:tab w:val="left" w:pos="1996"/>
          <w:tab w:val="left" w:pos="2427"/>
          <w:tab w:val="left" w:pos="2694"/>
        </w:tabs>
        <w:spacing w:after="120"/>
        <w:ind w:left="1565" w:right="1134"/>
        <w:rPr>
          <w:u w:color="000000"/>
          <w:bdr w:val="nil"/>
          <w:lang w:val="en-GB"/>
        </w:rPr>
      </w:pPr>
      <w:r w:rsidRPr="00BF42B7">
        <w:rPr>
          <w:rFonts w:hint="eastAsia"/>
        </w:rPr>
        <w:t>“</w:t>
      </w:r>
      <w:r w:rsidRPr="00BF42B7">
        <w:rPr>
          <w:rFonts w:eastAsia="Arial Unicode MS"/>
          <w:u w:color="000000"/>
          <w:bdr w:val="nil"/>
          <w:lang w:val="en-GB"/>
        </w:rPr>
        <w:t>(5)</w:t>
      </w:r>
      <w:r w:rsidRPr="00BF42B7">
        <w:rPr>
          <w:rFonts w:eastAsia="Arial Unicode MS"/>
          <w:u w:color="000000"/>
          <w:bdr w:val="nil"/>
          <w:lang w:val="en-GB"/>
        </w:rPr>
        <w:tab/>
      </w:r>
      <w:r w:rsidRPr="00BF42B7">
        <w:rPr>
          <w:rFonts w:hint="eastAsia"/>
          <w:u w:color="000000"/>
          <w:bdr w:val="nil"/>
          <w:lang w:val="en-GB"/>
        </w:rPr>
        <w:t>上述各项权利依照</w:t>
      </w:r>
      <w:r w:rsidRPr="00BF42B7">
        <w:rPr>
          <w:u w:color="000000"/>
          <w:bdr w:val="nil"/>
          <w:lang w:val="en-GB"/>
        </w:rPr>
        <w:t>接</w:t>
      </w:r>
      <w:r w:rsidRPr="00BF42B7">
        <w:rPr>
          <w:rFonts w:hint="eastAsia"/>
          <w:u w:color="000000"/>
          <w:bdr w:val="nil"/>
          <w:lang w:val="en-GB"/>
        </w:rPr>
        <w:t>收</w:t>
      </w:r>
      <w:r w:rsidRPr="00BF42B7">
        <w:rPr>
          <w:u w:color="000000"/>
          <w:bdr w:val="nil"/>
          <w:lang w:val="en-GB"/>
        </w:rPr>
        <w:t>国的法律和</w:t>
      </w:r>
      <w:r w:rsidRPr="00BF42B7">
        <w:rPr>
          <w:rFonts w:hint="eastAsia"/>
          <w:u w:color="000000"/>
          <w:bdr w:val="nil"/>
          <w:lang w:val="en-GB"/>
        </w:rPr>
        <w:t>规章</w:t>
      </w:r>
      <w:r w:rsidRPr="00BF42B7">
        <w:rPr>
          <w:u w:color="000000"/>
          <w:bdr w:val="nil"/>
          <w:lang w:val="en-GB"/>
        </w:rPr>
        <w:t>行使。</w:t>
      </w:r>
      <w:r w:rsidRPr="00BF42B7">
        <w:rPr>
          <w:rFonts w:hint="eastAsia"/>
          <w:u w:color="000000"/>
          <w:bdr w:val="nil"/>
          <w:lang w:val="en-GB"/>
        </w:rPr>
        <w:t>因此</w:t>
      </w:r>
      <w:r w:rsidRPr="00BF42B7">
        <w:rPr>
          <w:u w:color="000000"/>
          <w:bdr w:val="nil"/>
          <w:lang w:val="en-GB"/>
        </w:rPr>
        <w:t>，</w:t>
      </w:r>
      <w:r w:rsidRPr="00BF42B7">
        <w:rPr>
          <w:rFonts w:hint="eastAsia"/>
          <w:u w:color="000000"/>
          <w:bdr w:val="nil"/>
          <w:lang w:val="en-GB"/>
        </w:rPr>
        <w:t>依照</w:t>
      </w:r>
      <w:r w:rsidRPr="00BF42B7">
        <w:rPr>
          <w:u w:color="000000"/>
          <w:bdr w:val="nil"/>
          <w:lang w:val="en-GB"/>
        </w:rPr>
        <w:t>刑事诉讼</w:t>
      </w:r>
      <w:r w:rsidRPr="00BF42B7">
        <w:rPr>
          <w:rFonts w:hint="eastAsia"/>
          <w:u w:color="000000"/>
          <w:bdr w:val="nil"/>
          <w:lang w:val="en-GB"/>
        </w:rPr>
        <w:t>法和</w:t>
      </w:r>
      <w:r w:rsidRPr="00BF42B7">
        <w:rPr>
          <w:u w:color="000000"/>
          <w:bdr w:val="nil"/>
          <w:lang w:val="en-GB"/>
        </w:rPr>
        <w:t>监狱规章的</w:t>
      </w:r>
      <w:r w:rsidRPr="00BF42B7">
        <w:rPr>
          <w:rFonts w:hint="eastAsia"/>
          <w:u w:color="000000"/>
          <w:bdr w:val="nil"/>
          <w:lang w:val="en-GB"/>
        </w:rPr>
        <w:t>规定</w:t>
      </w:r>
      <w:r w:rsidRPr="00BF42B7">
        <w:rPr>
          <w:u w:color="000000"/>
          <w:bdr w:val="nil"/>
          <w:lang w:val="en-GB"/>
        </w:rPr>
        <w:t>，探视被</w:t>
      </w:r>
      <w:r w:rsidRPr="00BF42B7">
        <w:rPr>
          <w:rFonts w:hint="eastAsia"/>
          <w:u w:color="000000"/>
          <w:bdr w:val="nil"/>
          <w:lang w:val="en-GB"/>
        </w:rPr>
        <w:t>羁押</w:t>
      </w:r>
      <w:r w:rsidRPr="00BF42B7">
        <w:rPr>
          <w:u w:color="000000"/>
          <w:bdr w:val="nil"/>
          <w:lang w:val="en-GB"/>
        </w:rPr>
        <w:t>和</w:t>
      </w:r>
      <w:r w:rsidRPr="00BF42B7">
        <w:rPr>
          <w:rFonts w:hint="eastAsia"/>
          <w:u w:color="000000"/>
          <w:bdr w:val="nil"/>
          <w:lang w:val="en-GB"/>
        </w:rPr>
        <w:t>监禁</w:t>
      </w:r>
      <w:r w:rsidRPr="00BF42B7">
        <w:rPr>
          <w:u w:color="000000"/>
          <w:bdr w:val="nil"/>
          <w:lang w:val="en-GB"/>
        </w:rPr>
        <w:t>者是</w:t>
      </w:r>
      <w:r w:rsidRPr="00BF42B7">
        <w:rPr>
          <w:rFonts w:hint="eastAsia"/>
          <w:u w:color="000000"/>
          <w:bdr w:val="nil"/>
          <w:lang w:val="en-GB"/>
        </w:rPr>
        <w:t>可允许</w:t>
      </w:r>
      <w:r w:rsidRPr="00BF42B7">
        <w:rPr>
          <w:u w:color="000000"/>
          <w:bdr w:val="nil"/>
          <w:lang w:val="en-GB"/>
        </w:rPr>
        <w:t>的。作为一项</w:t>
      </w:r>
      <w:r w:rsidRPr="00BF42B7">
        <w:rPr>
          <w:rFonts w:hint="eastAsia"/>
          <w:u w:color="000000"/>
          <w:bdr w:val="nil"/>
          <w:lang w:val="en-GB"/>
        </w:rPr>
        <w:t>一般规则</w:t>
      </w:r>
      <w:r w:rsidRPr="00BF42B7">
        <w:rPr>
          <w:u w:color="000000"/>
          <w:bdr w:val="nil"/>
          <w:lang w:val="en-GB"/>
        </w:rPr>
        <w:t>，</w:t>
      </w:r>
      <w:r w:rsidRPr="00BF42B7">
        <w:rPr>
          <w:rFonts w:hint="eastAsia"/>
          <w:u w:color="000000"/>
          <w:bdr w:val="nil"/>
          <w:lang w:val="en-GB"/>
        </w:rPr>
        <w:t>为了</w:t>
      </w:r>
      <w:r w:rsidRPr="00BF42B7">
        <w:rPr>
          <w:u w:color="000000"/>
          <w:bdr w:val="nil"/>
          <w:lang w:val="en-GB"/>
        </w:rPr>
        <w:t>探视</w:t>
      </w:r>
      <w:r w:rsidRPr="00BF42B7">
        <w:rPr>
          <w:rFonts w:hint="eastAsia"/>
          <w:u w:color="000000"/>
          <w:bdr w:val="nil"/>
          <w:lang w:val="en-GB"/>
        </w:rPr>
        <w:t>正在</w:t>
      </w:r>
      <w:r w:rsidRPr="00BF42B7">
        <w:rPr>
          <w:u w:color="000000"/>
          <w:bdr w:val="nil"/>
          <w:lang w:val="en-GB"/>
        </w:rPr>
        <w:t>受到刑事调查或刑事</w:t>
      </w:r>
      <w:r w:rsidRPr="00BF42B7">
        <w:rPr>
          <w:rFonts w:hint="eastAsia"/>
          <w:u w:color="000000"/>
          <w:bdr w:val="nil"/>
          <w:lang w:val="en-GB"/>
        </w:rPr>
        <w:t>审判</w:t>
      </w:r>
      <w:r w:rsidRPr="00BF42B7">
        <w:rPr>
          <w:u w:color="000000"/>
          <w:bdr w:val="nil"/>
          <w:lang w:val="en-GB"/>
        </w:rPr>
        <w:t>的</w:t>
      </w:r>
      <w:r w:rsidRPr="00BF42B7">
        <w:rPr>
          <w:rFonts w:hint="eastAsia"/>
          <w:u w:color="000000"/>
          <w:bdr w:val="nil"/>
          <w:lang w:val="en-GB"/>
        </w:rPr>
        <w:t>被</w:t>
      </w:r>
      <w:r w:rsidRPr="00BF42B7">
        <w:rPr>
          <w:u w:color="000000"/>
          <w:bdr w:val="nil"/>
          <w:lang w:val="en-GB"/>
        </w:rPr>
        <w:t>羁押者，刑事诉讼法要求得到</w:t>
      </w:r>
      <w:r w:rsidRPr="00BF42B7">
        <w:rPr>
          <w:rFonts w:hint="eastAsia"/>
          <w:u w:color="000000"/>
          <w:bdr w:val="nil"/>
          <w:lang w:val="en-GB"/>
        </w:rPr>
        <w:t>预审</w:t>
      </w:r>
      <w:r w:rsidRPr="00BF42B7">
        <w:rPr>
          <w:u w:color="000000"/>
          <w:bdr w:val="nil"/>
          <w:lang w:val="en-GB"/>
        </w:rPr>
        <w:t>法官</w:t>
      </w:r>
      <w:r w:rsidRPr="00BF42B7">
        <w:rPr>
          <w:rFonts w:hint="eastAsia"/>
          <w:u w:color="000000"/>
          <w:bdr w:val="nil"/>
          <w:lang w:val="en-GB"/>
        </w:rPr>
        <w:t>的</w:t>
      </w:r>
      <w:r w:rsidRPr="00BF42B7">
        <w:rPr>
          <w:u w:color="000000"/>
          <w:bdr w:val="nil"/>
          <w:lang w:val="en-GB"/>
        </w:rPr>
        <w:t>许可，</w:t>
      </w:r>
      <w:r w:rsidRPr="00BF42B7">
        <w:rPr>
          <w:rFonts w:hint="eastAsia"/>
          <w:u w:color="000000"/>
          <w:bdr w:val="nil"/>
          <w:lang w:val="en-GB"/>
        </w:rPr>
        <w:t>预审</w:t>
      </w:r>
      <w:r w:rsidRPr="00BF42B7">
        <w:rPr>
          <w:u w:color="000000"/>
          <w:bdr w:val="nil"/>
          <w:lang w:val="en-GB"/>
        </w:rPr>
        <w:t>法官将</w:t>
      </w:r>
      <w:r w:rsidRPr="00BF42B7">
        <w:rPr>
          <w:rFonts w:hint="eastAsia"/>
          <w:u w:color="000000"/>
          <w:bdr w:val="nil"/>
          <w:lang w:val="en-GB"/>
        </w:rPr>
        <w:t>根据</w:t>
      </w:r>
      <w:r w:rsidRPr="00BF42B7">
        <w:rPr>
          <w:u w:color="000000"/>
          <w:bdr w:val="nil"/>
          <w:lang w:val="en-GB"/>
        </w:rPr>
        <w:t>调查要求作出决定。在</w:t>
      </w:r>
      <w:r w:rsidRPr="00BF42B7">
        <w:rPr>
          <w:rFonts w:hint="eastAsia"/>
          <w:u w:color="000000"/>
          <w:bdr w:val="nil"/>
          <w:lang w:val="en-GB"/>
        </w:rPr>
        <w:t>这样</w:t>
      </w:r>
      <w:r w:rsidRPr="00BF42B7">
        <w:rPr>
          <w:u w:color="000000"/>
          <w:bdr w:val="nil"/>
          <w:lang w:val="en-GB"/>
        </w:rPr>
        <w:t>的案件中，</w:t>
      </w:r>
      <w:r w:rsidRPr="00BF42B7">
        <w:rPr>
          <w:rFonts w:hint="eastAsia"/>
          <w:u w:color="000000"/>
          <w:bdr w:val="nil"/>
          <w:lang w:val="en-GB"/>
        </w:rPr>
        <w:t>领事官员</w:t>
      </w:r>
      <w:r w:rsidRPr="00BF42B7">
        <w:rPr>
          <w:u w:color="000000"/>
          <w:bdr w:val="nil"/>
          <w:lang w:val="en-GB"/>
        </w:rPr>
        <w:t>必须向预审法官申请许可。在</w:t>
      </w:r>
      <w:r w:rsidRPr="00BF42B7">
        <w:rPr>
          <w:rFonts w:hint="eastAsia"/>
          <w:u w:color="000000"/>
          <w:bdr w:val="nil"/>
          <w:lang w:val="en-GB"/>
        </w:rPr>
        <w:t>一人根据</w:t>
      </w:r>
      <w:r w:rsidRPr="00BF42B7">
        <w:rPr>
          <w:u w:color="000000"/>
          <w:bdr w:val="nil"/>
          <w:lang w:val="en-GB"/>
        </w:rPr>
        <w:t>一项判决而被监禁的情况下，</w:t>
      </w:r>
      <w:r w:rsidRPr="00BF42B7">
        <w:rPr>
          <w:rFonts w:hint="eastAsia"/>
          <w:u w:color="000000"/>
          <w:bdr w:val="nil"/>
          <w:lang w:val="en-GB"/>
        </w:rPr>
        <w:t>关于</w:t>
      </w:r>
      <w:r w:rsidRPr="00BF42B7">
        <w:rPr>
          <w:u w:color="000000"/>
          <w:bdr w:val="nil"/>
          <w:lang w:val="en-GB"/>
        </w:rPr>
        <w:t>探视</w:t>
      </w:r>
      <w:r w:rsidRPr="00BF42B7">
        <w:rPr>
          <w:rFonts w:hint="eastAsia"/>
          <w:u w:color="000000"/>
          <w:bdr w:val="nil"/>
          <w:lang w:val="en-GB"/>
        </w:rPr>
        <w:t>囚犯</w:t>
      </w:r>
      <w:r w:rsidRPr="00BF42B7">
        <w:rPr>
          <w:u w:color="000000"/>
          <w:bdr w:val="nil"/>
          <w:lang w:val="en-GB"/>
        </w:rPr>
        <w:t>的监狱规章</w:t>
      </w:r>
      <w:r w:rsidRPr="00BF42B7">
        <w:rPr>
          <w:rFonts w:hint="eastAsia"/>
          <w:u w:color="000000"/>
          <w:bdr w:val="nil"/>
          <w:lang w:val="en-GB"/>
        </w:rPr>
        <w:t>也</w:t>
      </w:r>
      <w:r w:rsidRPr="00BF42B7">
        <w:rPr>
          <w:u w:color="000000"/>
          <w:bdr w:val="nil"/>
          <w:lang w:val="en-GB"/>
        </w:rPr>
        <w:t>适用于领事官员对</w:t>
      </w:r>
      <w:r w:rsidRPr="00BF42B7">
        <w:rPr>
          <w:rFonts w:hint="eastAsia"/>
          <w:u w:color="000000"/>
          <w:bdr w:val="nil"/>
          <w:lang w:val="en-GB"/>
        </w:rPr>
        <w:t>身为</w:t>
      </w:r>
      <w:r w:rsidRPr="00BF42B7">
        <w:rPr>
          <w:u w:color="000000"/>
          <w:bdr w:val="nil"/>
          <w:lang w:val="en-GB"/>
        </w:rPr>
        <w:t>派遣国国民的</w:t>
      </w:r>
      <w:r w:rsidRPr="00BF42B7">
        <w:rPr>
          <w:rFonts w:hint="eastAsia"/>
          <w:u w:color="000000"/>
          <w:bdr w:val="nil"/>
          <w:lang w:val="en-GB"/>
        </w:rPr>
        <w:t>犯人</w:t>
      </w:r>
      <w:r w:rsidRPr="00BF42B7">
        <w:rPr>
          <w:u w:color="000000"/>
          <w:bdr w:val="nil"/>
          <w:lang w:val="en-GB"/>
        </w:rPr>
        <w:t>的探视</w:t>
      </w:r>
      <w:r w:rsidRPr="00BF42B7">
        <w:rPr>
          <w:rFonts w:hint="eastAsia"/>
          <w:u w:color="000000"/>
          <w:bdr w:val="nil"/>
          <w:lang w:val="en-GB"/>
        </w:rPr>
        <w:t>。</w:t>
      </w:r>
    </w:p>
    <w:p w:rsidR="00CD5A8C" w:rsidRPr="00BF42B7" w:rsidRDefault="00CD5A8C" w:rsidP="00CD5A8C">
      <w:pPr>
        <w:tabs>
          <w:tab w:val="clear" w:pos="431"/>
          <w:tab w:val="left" w:pos="1134"/>
          <w:tab w:val="left" w:pos="1565"/>
          <w:tab w:val="left" w:pos="1996"/>
          <w:tab w:val="left" w:pos="2427"/>
          <w:tab w:val="left" w:pos="2786"/>
        </w:tabs>
        <w:spacing w:after="120"/>
        <w:ind w:left="1565" w:right="1134"/>
        <w:rPr>
          <w:u w:color="000000"/>
          <w:bdr w:val="nil"/>
          <w:lang w:val="en-GB"/>
        </w:rPr>
      </w:pPr>
      <w:r w:rsidRPr="00BF42B7">
        <w:rPr>
          <w:rFonts w:cs="Arial Unicode MS" w:hint="eastAsia"/>
          <w:u w:color="000000"/>
          <w:bdr w:val="nil"/>
          <w:lang w:val="en-GB"/>
        </w:rPr>
        <w:t>……</w:t>
      </w:r>
    </w:p>
    <w:p w:rsidR="00CD5A8C" w:rsidRPr="00BF42B7" w:rsidRDefault="00CD5A8C" w:rsidP="00CD5A8C">
      <w:pPr>
        <w:tabs>
          <w:tab w:val="clear" w:pos="431"/>
          <w:tab w:val="left" w:pos="1134"/>
          <w:tab w:val="left" w:pos="1565"/>
          <w:tab w:val="left" w:pos="1996"/>
          <w:tab w:val="left" w:pos="2427"/>
          <w:tab w:val="left" w:pos="2694"/>
        </w:tabs>
        <w:spacing w:after="120"/>
        <w:ind w:left="1565" w:right="1134"/>
        <w:rPr>
          <w:rFonts w:eastAsia="Arial Unicode MS"/>
          <w:u w:color="000000"/>
          <w:bdr w:val="nil"/>
          <w:lang w:val="en-GB"/>
        </w:rPr>
      </w:pPr>
      <w:r w:rsidRPr="00BF42B7">
        <w:rPr>
          <w:rFonts w:hint="eastAsia"/>
        </w:rPr>
        <w:t>“</w:t>
      </w:r>
      <w:r w:rsidRPr="00BF42B7">
        <w:rPr>
          <w:rFonts w:eastAsia="Arial Unicode MS"/>
          <w:u w:color="000000"/>
          <w:bdr w:val="nil"/>
          <w:lang w:val="en-GB"/>
        </w:rPr>
        <w:t>(7)</w:t>
      </w:r>
      <w:r w:rsidRPr="00BF42B7">
        <w:rPr>
          <w:rFonts w:eastAsia="Arial Unicode MS"/>
          <w:u w:color="000000"/>
          <w:bdr w:val="nil"/>
          <w:lang w:val="en-GB"/>
        </w:rPr>
        <w:tab/>
      </w:r>
      <w:r w:rsidRPr="00BF42B7">
        <w:rPr>
          <w:rFonts w:hint="eastAsia"/>
          <w:u w:color="000000"/>
          <w:bdr w:val="nil"/>
          <w:lang w:val="en-GB"/>
        </w:rPr>
        <w:t>虽然</w:t>
      </w:r>
      <w:r w:rsidRPr="00BF42B7">
        <w:rPr>
          <w:u w:color="000000"/>
          <w:bdr w:val="nil"/>
          <w:lang w:val="en-GB"/>
        </w:rPr>
        <w:t>本条规定的权利</w:t>
      </w:r>
      <w:r w:rsidRPr="00BF42B7">
        <w:rPr>
          <w:rFonts w:hint="eastAsia"/>
          <w:u w:color="000000"/>
          <w:bdr w:val="nil"/>
          <w:lang w:val="en-GB"/>
        </w:rPr>
        <w:t>的</w:t>
      </w:r>
      <w:r w:rsidRPr="00BF42B7">
        <w:rPr>
          <w:u w:color="000000"/>
          <w:bdr w:val="nil"/>
          <w:lang w:val="en-GB"/>
        </w:rPr>
        <w:t>行使必须符合接收</w:t>
      </w:r>
      <w:r w:rsidRPr="00BF42B7">
        <w:rPr>
          <w:rFonts w:hint="eastAsia"/>
          <w:u w:color="000000"/>
          <w:bdr w:val="nil"/>
          <w:lang w:val="en-GB"/>
        </w:rPr>
        <w:t>国</w:t>
      </w:r>
      <w:r w:rsidRPr="00BF42B7">
        <w:rPr>
          <w:u w:color="000000"/>
          <w:bdr w:val="nil"/>
          <w:lang w:val="en-GB"/>
        </w:rPr>
        <w:t>的法律和</w:t>
      </w:r>
      <w:r w:rsidRPr="00BF42B7">
        <w:rPr>
          <w:rFonts w:hint="eastAsia"/>
          <w:u w:color="000000"/>
          <w:bdr w:val="nil"/>
          <w:lang w:val="en-GB"/>
        </w:rPr>
        <w:t>规章，</w:t>
      </w:r>
      <w:r w:rsidRPr="00BF42B7">
        <w:rPr>
          <w:u w:color="000000"/>
          <w:bdr w:val="nil"/>
          <w:lang w:val="en-GB"/>
        </w:rPr>
        <w:t>但这不意味着这些法律和规章可以</w:t>
      </w:r>
      <w:r w:rsidRPr="00BF42B7">
        <w:rPr>
          <w:rFonts w:hint="eastAsia"/>
          <w:u w:color="000000"/>
          <w:bdr w:val="nil"/>
          <w:lang w:val="en-GB"/>
        </w:rPr>
        <w:t>宣布</w:t>
      </w:r>
      <w:r w:rsidRPr="00BF42B7">
        <w:rPr>
          <w:u w:color="000000"/>
          <w:bdr w:val="nil"/>
          <w:lang w:val="en-GB"/>
        </w:rPr>
        <w:t>有关权利无效</w:t>
      </w:r>
      <w:r w:rsidRPr="00BF42B7">
        <w:rPr>
          <w:rFonts w:hint="eastAsia"/>
          <w:u w:color="000000"/>
          <w:bdr w:val="nil"/>
          <w:lang w:val="en-GB"/>
        </w:rPr>
        <w:t>”。</w:t>
      </w:r>
      <w:r w:rsidRPr="00BF42B7">
        <w:rPr>
          <w:rFonts w:eastAsia="Arial Unicode MS"/>
          <w:color w:val="0000FF"/>
          <w:u w:color="000000"/>
          <w:bdr w:val="nil"/>
          <w:vertAlign w:val="superscript"/>
          <w:lang w:val="en-GB"/>
        </w:rPr>
        <w:footnoteReference w:id="1230"/>
      </w:r>
    </w:p>
    <w:p w:rsidR="00CD5A8C" w:rsidRPr="00BF42B7" w:rsidRDefault="00CD5A8C" w:rsidP="0036511D">
      <w:pPr>
        <w:tabs>
          <w:tab w:val="clear" w:pos="431"/>
          <w:tab w:val="left" w:pos="1134"/>
          <w:tab w:val="left" w:pos="1565"/>
          <w:tab w:val="left" w:pos="2127"/>
          <w:tab w:val="left" w:pos="2694"/>
          <w:tab w:val="left" w:pos="2786"/>
        </w:tabs>
        <w:spacing w:after="120"/>
        <w:ind w:left="1145" w:right="1134"/>
        <w:rPr>
          <w:lang w:val="fr-CH"/>
        </w:rPr>
      </w:pPr>
      <w:r w:rsidRPr="00BF42B7">
        <w:rPr>
          <w:rFonts w:eastAsia="Arial Unicode MS"/>
          <w:u w:color="000000"/>
          <w:bdr w:val="nil"/>
          <w:lang w:val="en-GB"/>
        </w:rPr>
        <w:t xml:space="preserve">(10)  </w:t>
      </w:r>
      <w:r w:rsidRPr="00BF42B7">
        <w:rPr>
          <w:rFonts w:ascii="Calibri" w:hAnsi="Calibri" w:cs="Arial" w:hint="eastAsia"/>
          <w:snapToGrid/>
          <w:u w:color="000000"/>
          <w:bdr w:val="nil"/>
          <w:lang w:val="en-GB"/>
        </w:rPr>
        <w:t>在</w:t>
      </w:r>
      <w:r w:rsidRPr="00BF42B7">
        <w:rPr>
          <w:rFonts w:ascii="Calibri" w:eastAsia="楷体" w:hAnsi="Calibri" w:cs="Arial" w:hint="eastAsia"/>
          <w:snapToGrid/>
          <w:u w:color="000000"/>
          <w:bdr w:val="nil"/>
          <w:lang w:val="en-GB"/>
        </w:rPr>
        <w:t>拉格朗案</w:t>
      </w:r>
      <w:r w:rsidRPr="00BF42B7">
        <w:rPr>
          <w:rFonts w:ascii="Calibri" w:hAnsi="Calibri" w:cs="Arial" w:hint="eastAsia"/>
          <w:snapToGrid/>
          <w:u w:color="000000"/>
          <w:bdr w:val="nil"/>
          <w:lang w:val="en-GB"/>
        </w:rPr>
        <w:t>中</w:t>
      </w:r>
      <w:r w:rsidRPr="00BF42B7">
        <w:rPr>
          <w:rFonts w:ascii="Calibri" w:hAnsi="Calibri" w:cs="Arial"/>
          <w:snapToGrid/>
          <w:u w:color="000000"/>
          <w:bdr w:val="nil"/>
          <w:lang w:val="en-GB"/>
        </w:rPr>
        <w:t>，</w:t>
      </w:r>
      <w:r w:rsidRPr="00BF42B7">
        <w:rPr>
          <w:rFonts w:ascii="Calibri" w:hAnsi="Calibri" w:cs="Arial" w:hint="eastAsia"/>
          <w:snapToGrid/>
          <w:u w:color="000000"/>
          <w:bdr w:val="nil"/>
          <w:lang w:val="en-GB"/>
        </w:rPr>
        <w:t>国际法院</w:t>
      </w:r>
      <w:r w:rsidRPr="00BF42B7">
        <w:rPr>
          <w:rFonts w:ascii="Calibri" w:hAnsi="Calibri" w:cs="Arial"/>
          <w:snapToGrid/>
          <w:u w:color="000000"/>
          <w:bdr w:val="nil"/>
          <w:lang w:val="en-GB"/>
        </w:rPr>
        <w:t>裁定，</w:t>
      </w:r>
      <w:r w:rsidRPr="00BF42B7">
        <w:rPr>
          <w:rFonts w:ascii="Calibri" w:hAnsi="Calibri" w:cs="Arial" w:hint="eastAsia"/>
          <w:snapToGrid/>
          <w:u w:color="000000"/>
          <w:bdr w:val="nil"/>
          <w:lang w:val="en-GB"/>
        </w:rPr>
        <w:t>《</w:t>
      </w:r>
      <w:r w:rsidRPr="00BF42B7">
        <w:rPr>
          <w:rFonts w:ascii="Calibri" w:hAnsi="Calibri" w:cs="Arial"/>
          <w:snapToGrid/>
          <w:u w:color="000000"/>
          <w:bdr w:val="nil"/>
          <w:lang w:val="en-GB"/>
        </w:rPr>
        <w:t>维也纳</w:t>
      </w:r>
      <w:r w:rsidRPr="00BF42B7">
        <w:rPr>
          <w:rFonts w:ascii="Calibri" w:hAnsi="Calibri" w:cs="Arial" w:hint="eastAsia"/>
          <w:snapToGrid/>
          <w:u w:color="000000"/>
          <w:bdr w:val="nil"/>
          <w:lang w:val="en-GB"/>
        </w:rPr>
        <w:t>公约</w:t>
      </w:r>
      <w:r w:rsidRPr="00BF42B7">
        <w:rPr>
          <w:rFonts w:ascii="Calibri" w:hAnsi="Calibri" w:cs="Arial"/>
          <w:snapToGrid/>
          <w:u w:color="000000"/>
          <w:bdr w:val="nil"/>
          <w:lang w:val="en-GB"/>
        </w:rPr>
        <w:t>》第三十六</w:t>
      </w:r>
      <w:r w:rsidRPr="00BF42B7">
        <w:rPr>
          <w:rFonts w:ascii="Calibri" w:hAnsi="Calibri" w:cs="Arial" w:hint="eastAsia"/>
          <w:snapToGrid/>
          <w:u w:color="000000"/>
          <w:bdr w:val="nil"/>
          <w:lang w:val="en-GB"/>
        </w:rPr>
        <w:t>条</w:t>
      </w:r>
      <w:r w:rsidRPr="00BF42B7">
        <w:rPr>
          <w:rFonts w:ascii="Calibri" w:hAnsi="Calibri" w:cs="Arial"/>
          <w:snapToGrid/>
          <w:u w:color="000000"/>
          <w:bdr w:val="nil"/>
          <w:lang w:val="en-GB"/>
        </w:rPr>
        <w:t>第二款中所述</w:t>
      </w:r>
      <w:r w:rsidRPr="00BF42B7">
        <w:rPr>
          <w:rFonts w:ascii="Calibri" w:hAnsi="Calibri" w:cs="Arial" w:hint="eastAsia"/>
          <w:snapToGrid/>
          <w:u w:color="000000"/>
          <w:bdr w:val="nil"/>
          <w:lang w:val="en-GB"/>
        </w:rPr>
        <w:t>“</w:t>
      </w:r>
      <w:r w:rsidRPr="00BF42B7">
        <w:rPr>
          <w:rFonts w:ascii="Calibri" w:hAnsi="Calibri" w:cs="Arial"/>
          <w:snapToGrid/>
          <w:u w:color="000000"/>
          <w:bdr w:val="nil"/>
          <w:lang w:val="en-GB"/>
        </w:rPr>
        <w:t>权利</w:t>
      </w:r>
      <w:r w:rsidRPr="00BF42B7">
        <w:rPr>
          <w:rFonts w:ascii="Calibri" w:hAnsi="Calibri" w:cs="Arial" w:hint="eastAsia"/>
          <w:snapToGrid/>
          <w:u w:color="000000"/>
          <w:bdr w:val="nil"/>
          <w:lang w:val="en-GB"/>
        </w:rPr>
        <w:t>”“</w:t>
      </w:r>
      <w:r w:rsidRPr="00BF42B7">
        <w:rPr>
          <w:rFonts w:ascii="Calibri" w:hAnsi="Calibri" w:cs="Arial"/>
          <w:snapToGrid/>
          <w:u w:color="000000"/>
          <w:bdr w:val="nil"/>
          <w:lang w:val="en-GB"/>
        </w:rPr>
        <w:t>必须被解读为</w:t>
      </w:r>
      <w:r w:rsidRPr="00BF42B7">
        <w:rPr>
          <w:rFonts w:ascii="Calibri" w:hAnsi="Calibri" w:cs="Arial" w:hint="eastAsia"/>
          <w:snapToGrid/>
          <w:u w:color="000000"/>
          <w:bdr w:val="nil"/>
          <w:lang w:val="en-GB"/>
        </w:rPr>
        <w:t>不仅适用于派遣国的权利，而且也适用于被拘禁的</w:t>
      </w:r>
      <w:r w:rsidRPr="00BF42B7">
        <w:rPr>
          <w:rFonts w:ascii="Calibri" w:hAnsi="Calibri" w:cs="Arial"/>
          <w:snapToGrid/>
          <w:u w:color="000000"/>
          <w:bdr w:val="nil"/>
          <w:lang w:val="en-GB"/>
        </w:rPr>
        <w:t>个人</w:t>
      </w:r>
      <w:r w:rsidRPr="00BF42B7">
        <w:rPr>
          <w:rFonts w:ascii="Calibri" w:hAnsi="Calibri" w:cs="Arial" w:hint="eastAsia"/>
          <w:snapToGrid/>
          <w:u w:color="000000"/>
          <w:bdr w:val="nil"/>
          <w:lang w:val="en-GB"/>
        </w:rPr>
        <w:t>的权利”。</w:t>
      </w:r>
      <w:r w:rsidRPr="00BF42B7">
        <w:rPr>
          <w:rFonts w:eastAsia="Arial Unicode MS"/>
          <w:snapToGrid/>
          <w:color w:val="0000FF"/>
          <w:u w:color="000000"/>
          <w:bdr w:val="nil"/>
          <w:vertAlign w:val="superscript"/>
          <w:lang w:val="en-GB"/>
        </w:rPr>
        <w:footnoteReference w:id="1231"/>
      </w:r>
    </w:p>
    <w:p w:rsidR="00403CEF" w:rsidRDefault="00403CEF">
      <w:pPr>
        <w:tabs>
          <w:tab w:val="clear" w:pos="431"/>
        </w:tabs>
        <w:overflowPunct/>
        <w:adjustRightInd/>
        <w:snapToGrid/>
        <w:spacing w:line="240" w:lineRule="auto"/>
        <w:jc w:val="left"/>
        <w:rPr>
          <w:rFonts w:eastAsia="黑体"/>
          <w:sz w:val="28"/>
        </w:rPr>
      </w:pPr>
      <w:r>
        <w:br w:type="page"/>
      </w:r>
    </w:p>
    <w:p w:rsidR="006735D4" w:rsidRPr="00BF42B7" w:rsidRDefault="006735D4" w:rsidP="006735D4">
      <w:pPr>
        <w:pStyle w:val="HChGC"/>
      </w:pPr>
      <w:r w:rsidRPr="00BF42B7">
        <w:tab/>
      </w:r>
      <w:r w:rsidRPr="00BF42B7">
        <w:tab/>
      </w:r>
      <w:r w:rsidRPr="00BF42B7">
        <w:rPr>
          <w:lang w:val="zh-CN"/>
        </w:rPr>
        <w:t>第八章</w:t>
      </w:r>
      <w:r w:rsidRPr="00BF42B7">
        <w:br/>
      </w:r>
      <w:r w:rsidRPr="00BF42B7">
        <w:rPr>
          <w:lang w:val="zh-CN"/>
        </w:rPr>
        <w:t>保护大气层</w:t>
      </w:r>
    </w:p>
    <w:p w:rsidR="006735D4" w:rsidRPr="00BF42B7" w:rsidRDefault="006735D4" w:rsidP="006735D4">
      <w:pPr>
        <w:pStyle w:val="H1GC"/>
      </w:pPr>
      <w:bookmarkStart w:id="303" w:name="_Toc398107300"/>
      <w:r w:rsidRPr="00BF42B7">
        <w:tab/>
      </w:r>
      <w:r w:rsidRPr="00BF42B7">
        <w:rPr>
          <w:lang w:val="zh-CN"/>
        </w:rPr>
        <w:t>A.</w:t>
      </w:r>
      <w:r w:rsidRPr="00BF42B7">
        <w:rPr>
          <w:lang w:val="zh-CN"/>
        </w:rPr>
        <w:tab/>
      </w:r>
      <w:r w:rsidRPr="00BF42B7">
        <w:rPr>
          <w:lang w:val="zh-CN"/>
        </w:rPr>
        <w:t>导言</w:t>
      </w:r>
      <w:bookmarkEnd w:id="303"/>
    </w:p>
    <w:p w:rsidR="006735D4" w:rsidRPr="00BF42B7" w:rsidRDefault="006735D4" w:rsidP="006735D4">
      <w:pPr>
        <w:pStyle w:val="SingleTxtGC"/>
      </w:pPr>
      <w:r w:rsidRPr="00BF42B7">
        <w:rPr>
          <w:rFonts w:hint="eastAsia"/>
          <w:lang w:val="zh-CN"/>
        </w:rPr>
        <w:t>86</w:t>
      </w:r>
      <w:r w:rsidRPr="00BF42B7">
        <w:rPr>
          <w:lang w:val="zh-CN"/>
        </w:rPr>
        <w:t xml:space="preserve">.  </w:t>
      </w:r>
      <w:r w:rsidRPr="00BF42B7">
        <w:rPr>
          <w:lang w:val="zh-CN"/>
        </w:rPr>
        <w:t>委员会第六十五届会议</w:t>
      </w:r>
      <w:r w:rsidRPr="00BF42B7">
        <w:rPr>
          <w:lang w:val="zh-CN"/>
        </w:rPr>
        <w:t>(2013</w:t>
      </w:r>
      <w:r w:rsidRPr="00BF42B7">
        <w:rPr>
          <w:lang w:val="zh-CN"/>
        </w:rPr>
        <w:t>年</w:t>
      </w:r>
      <w:r w:rsidRPr="00BF42B7">
        <w:rPr>
          <w:lang w:val="zh-CN"/>
        </w:rPr>
        <w:t>)</w:t>
      </w:r>
      <w:r w:rsidRPr="00BF42B7">
        <w:rPr>
          <w:lang w:val="zh-CN"/>
        </w:rPr>
        <w:t>决定根据一项谅解将</w:t>
      </w:r>
      <w:r w:rsidRPr="00BF42B7">
        <w:rPr>
          <w:rFonts w:hint="eastAsia"/>
          <w:lang w:val="zh-CN"/>
        </w:rPr>
        <w:t>“</w:t>
      </w:r>
      <w:r w:rsidRPr="00BF42B7">
        <w:rPr>
          <w:lang w:val="zh-CN"/>
        </w:rPr>
        <w:t>保护大气层</w:t>
      </w:r>
      <w:r w:rsidRPr="00BF42B7">
        <w:rPr>
          <w:rFonts w:hint="eastAsia"/>
          <w:lang w:val="zh-CN"/>
        </w:rPr>
        <w:t>”</w:t>
      </w:r>
      <w:r w:rsidRPr="00BF42B7">
        <w:rPr>
          <w:lang w:val="zh-CN"/>
        </w:rPr>
        <w:t>专题列入工作方案，并任命村濑信也先生为特别报告员。</w:t>
      </w:r>
      <w:r w:rsidRPr="00BF42B7">
        <w:rPr>
          <w:color w:val="0000FF"/>
          <w:vertAlign w:val="superscript"/>
          <w:lang w:val="zh-CN"/>
        </w:rPr>
        <w:footnoteReference w:id="1232"/>
      </w:r>
    </w:p>
    <w:p w:rsidR="006735D4" w:rsidRPr="00BF42B7" w:rsidRDefault="006735D4" w:rsidP="006735D4">
      <w:pPr>
        <w:pStyle w:val="SingleTxtGC"/>
      </w:pPr>
      <w:r w:rsidRPr="00BF42B7">
        <w:rPr>
          <w:rFonts w:hint="eastAsia"/>
          <w:lang w:val="zh-CN"/>
        </w:rPr>
        <w:t>87</w:t>
      </w:r>
      <w:r w:rsidRPr="00BF42B7">
        <w:rPr>
          <w:lang w:val="zh-CN"/>
        </w:rPr>
        <w:t xml:space="preserve">.  </w:t>
      </w:r>
      <w:r w:rsidRPr="00BF42B7">
        <w:rPr>
          <w:lang w:val="zh-CN"/>
        </w:rPr>
        <w:t>委员会第六十六届会议</w:t>
      </w:r>
      <w:r w:rsidRPr="00BF42B7">
        <w:rPr>
          <w:lang w:val="zh-CN"/>
        </w:rPr>
        <w:t>(2014</w:t>
      </w:r>
      <w:r w:rsidRPr="00BF42B7">
        <w:rPr>
          <w:lang w:val="zh-CN"/>
        </w:rPr>
        <w:t>年</w:t>
      </w:r>
      <w:r w:rsidRPr="00BF42B7">
        <w:rPr>
          <w:lang w:val="zh-CN"/>
        </w:rPr>
        <w:t>)</w:t>
      </w:r>
      <w:r w:rsidRPr="00BF42B7">
        <w:rPr>
          <w:lang w:val="zh-CN"/>
        </w:rPr>
        <w:t>收到并审议了特别报告员提交的</w:t>
      </w:r>
      <w:r w:rsidRPr="00BF42B7">
        <w:rPr>
          <w:rFonts w:hint="eastAsia"/>
          <w:lang w:val="zh-CN"/>
        </w:rPr>
        <w:t>第一次</w:t>
      </w:r>
      <w:r w:rsidRPr="00BF42B7">
        <w:rPr>
          <w:lang w:val="zh-CN"/>
        </w:rPr>
        <w:t>报告，</w:t>
      </w:r>
      <w:r w:rsidRPr="00BF42B7">
        <w:rPr>
          <w:color w:val="0000FF"/>
          <w:vertAlign w:val="superscript"/>
          <w:lang w:val="zh-CN"/>
        </w:rPr>
        <w:footnoteReference w:id="1233"/>
      </w:r>
      <w:r w:rsidRPr="00BF42B7">
        <w:rPr>
          <w:rFonts w:hint="eastAsia"/>
          <w:lang w:val="zh-CN"/>
        </w:rPr>
        <w:t xml:space="preserve"> </w:t>
      </w:r>
      <w:r w:rsidRPr="00BF42B7">
        <w:rPr>
          <w:lang w:val="zh-CN"/>
        </w:rPr>
        <w:t>第六十七届会议</w:t>
      </w:r>
      <w:r w:rsidRPr="00BF42B7">
        <w:rPr>
          <w:lang w:val="zh-CN"/>
        </w:rPr>
        <w:t>(2015</w:t>
      </w:r>
      <w:r w:rsidRPr="00BF42B7">
        <w:rPr>
          <w:lang w:val="zh-CN"/>
        </w:rPr>
        <w:t>年</w:t>
      </w:r>
      <w:r w:rsidRPr="00BF42B7">
        <w:rPr>
          <w:lang w:val="zh-CN"/>
        </w:rPr>
        <w:t>)</w:t>
      </w:r>
      <w:r w:rsidRPr="00BF42B7">
        <w:rPr>
          <w:lang w:val="zh-CN"/>
        </w:rPr>
        <w:t>收到并审议了第二次报告。</w:t>
      </w:r>
      <w:r w:rsidRPr="00BF42B7">
        <w:rPr>
          <w:color w:val="0000FF"/>
          <w:vertAlign w:val="superscript"/>
          <w:lang w:val="zh-CN"/>
        </w:rPr>
        <w:footnoteReference w:id="1234"/>
      </w:r>
      <w:r w:rsidRPr="00BF42B7">
        <w:rPr>
          <w:lang w:val="zh-CN"/>
        </w:rPr>
        <w:t xml:space="preserve"> </w:t>
      </w:r>
      <w:r w:rsidRPr="00BF42B7">
        <w:rPr>
          <w:lang w:val="zh-CN"/>
        </w:rPr>
        <w:t>委员会在特别报告员第二次报告提出的指南草案的基础上，暂时通过了三条指南草案和四个序言段落及其评注。</w:t>
      </w:r>
      <w:r w:rsidRPr="00BF42B7">
        <w:rPr>
          <w:color w:val="0000FF"/>
          <w:vertAlign w:val="superscript"/>
          <w:lang w:val="zh-CN"/>
        </w:rPr>
        <w:footnoteReference w:id="1235"/>
      </w:r>
    </w:p>
    <w:p w:rsidR="006735D4" w:rsidRPr="00BF42B7" w:rsidRDefault="006735D4" w:rsidP="006735D4">
      <w:pPr>
        <w:pStyle w:val="H1GC"/>
      </w:pPr>
      <w:r w:rsidRPr="00BF42B7">
        <w:tab/>
      </w:r>
      <w:r w:rsidRPr="00BF42B7">
        <w:rPr>
          <w:lang w:val="zh-CN"/>
        </w:rPr>
        <w:t>B.</w:t>
      </w:r>
      <w:r w:rsidRPr="00BF42B7">
        <w:rPr>
          <w:lang w:val="zh-CN"/>
        </w:rPr>
        <w:tab/>
      </w:r>
      <w:r w:rsidRPr="00BF42B7">
        <w:rPr>
          <w:lang w:val="zh-CN"/>
        </w:rPr>
        <w:t>本届会议审议此专题的情况</w:t>
      </w:r>
    </w:p>
    <w:p w:rsidR="006735D4" w:rsidRPr="00BF42B7" w:rsidRDefault="006735D4" w:rsidP="006735D4">
      <w:pPr>
        <w:pStyle w:val="SingleTxtGC"/>
      </w:pPr>
      <w:r w:rsidRPr="00BF42B7">
        <w:rPr>
          <w:rFonts w:hint="eastAsia"/>
          <w:lang w:val="zh-CN"/>
        </w:rPr>
        <w:t>88</w:t>
      </w:r>
      <w:r w:rsidRPr="00BF42B7">
        <w:rPr>
          <w:lang w:val="zh-CN"/>
        </w:rPr>
        <w:t xml:space="preserve">.  </w:t>
      </w:r>
      <w:r w:rsidRPr="00BF42B7">
        <w:rPr>
          <w:lang w:val="zh-CN"/>
        </w:rPr>
        <w:t>在本届会议上，委员会收到了特别报告员的第三次报告</w:t>
      </w:r>
      <w:r w:rsidRPr="00BF42B7">
        <w:rPr>
          <w:lang w:val="zh-CN"/>
        </w:rPr>
        <w:t>(</w:t>
      </w:r>
      <w:hyperlink r:id="rId91" w:history="1">
        <w:r w:rsidRPr="007F0135">
          <w:rPr>
            <w:rStyle w:val="af"/>
            <w:lang w:val="zh-CN"/>
          </w:rPr>
          <w:t>A/CN.4/692</w:t>
        </w:r>
      </w:hyperlink>
      <w:r w:rsidRPr="00BF42B7">
        <w:rPr>
          <w:lang w:val="zh-CN"/>
        </w:rPr>
        <w:t>)</w:t>
      </w:r>
      <w:r w:rsidRPr="00BF42B7">
        <w:rPr>
          <w:lang w:val="zh-CN"/>
        </w:rPr>
        <w:t>。特别报告员在前两次报告的基础上，分析了与此专题有关的一些重要问题，即国家防止大气污染和减缓全球大气层退化的义务和尽职要求以及环境影响评估。报告员还探讨了</w:t>
      </w:r>
      <w:r w:rsidRPr="00BF42B7">
        <w:rPr>
          <w:rFonts w:hint="eastAsia"/>
          <w:lang w:val="zh-CN"/>
        </w:rPr>
        <w:t>与</w:t>
      </w:r>
      <w:r w:rsidRPr="00BF42B7">
        <w:rPr>
          <w:lang w:val="zh-CN"/>
        </w:rPr>
        <w:t>可持续和公平利用大气层</w:t>
      </w:r>
      <w:r w:rsidRPr="00BF42B7">
        <w:rPr>
          <w:rFonts w:hint="eastAsia"/>
          <w:lang w:val="zh-CN"/>
        </w:rPr>
        <w:t>有关</w:t>
      </w:r>
      <w:r w:rsidRPr="00BF42B7">
        <w:rPr>
          <w:lang w:val="zh-CN"/>
        </w:rPr>
        <w:t>的问题以及对某些有意改变大气层的活动的法律限制。相应地，特别报告员提出了以下指南草案：国家保护大气层的义务、环境影响评估、可持续利用大气层、公平利用大气层、地球工程。他还建议在序言部分增加一段，作为第四段，并</w:t>
      </w:r>
      <w:r w:rsidRPr="00BF42B7">
        <w:rPr>
          <w:rFonts w:hint="eastAsia"/>
          <w:lang w:val="zh-CN"/>
        </w:rPr>
        <w:t>对</w:t>
      </w:r>
      <w:r w:rsidRPr="00BF42B7">
        <w:rPr>
          <w:lang w:val="zh-CN"/>
        </w:rPr>
        <w:t>委员会</w:t>
      </w:r>
      <w:r w:rsidRPr="00BF42B7">
        <w:rPr>
          <w:lang w:val="zh-CN"/>
        </w:rPr>
        <w:t>2015</w:t>
      </w:r>
      <w:r w:rsidRPr="00BF42B7">
        <w:rPr>
          <w:lang w:val="zh-CN"/>
        </w:rPr>
        <w:t>年暂时通过的关于国际合作的指南草案重新编号。</w:t>
      </w:r>
    </w:p>
    <w:p w:rsidR="006735D4" w:rsidRPr="00BF42B7" w:rsidRDefault="006735D4" w:rsidP="006735D4">
      <w:pPr>
        <w:tabs>
          <w:tab w:val="clear" w:pos="431"/>
          <w:tab w:val="left" w:pos="1134"/>
          <w:tab w:val="left" w:pos="1565"/>
          <w:tab w:val="left" w:pos="1996"/>
          <w:tab w:val="left" w:pos="2427"/>
        </w:tabs>
        <w:spacing w:after="120"/>
        <w:ind w:left="1134" w:right="1134"/>
      </w:pPr>
      <w:r w:rsidRPr="00BF42B7">
        <w:rPr>
          <w:rFonts w:hint="eastAsia"/>
          <w:lang w:val="zh-CN"/>
        </w:rPr>
        <w:t>89</w:t>
      </w:r>
      <w:r w:rsidRPr="00BF42B7">
        <w:rPr>
          <w:lang w:val="zh-CN"/>
        </w:rPr>
        <w:t xml:space="preserve">.  </w:t>
      </w:r>
      <w:r w:rsidRPr="00BF42B7">
        <w:rPr>
          <w:lang w:val="zh-CN"/>
        </w:rPr>
        <w:t>特别报告员表示，委员会可以在</w:t>
      </w:r>
      <w:r w:rsidRPr="00BF42B7">
        <w:rPr>
          <w:lang w:val="zh-CN"/>
        </w:rPr>
        <w:t>2017</w:t>
      </w:r>
      <w:r w:rsidRPr="00BF42B7">
        <w:rPr>
          <w:lang w:val="zh-CN"/>
        </w:rPr>
        <w:t>年处理大气层法律与其他领域的国际法</w:t>
      </w:r>
      <w:r w:rsidRPr="00BF42B7">
        <w:rPr>
          <w:lang w:val="zh-CN"/>
        </w:rPr>
        <w:t>(</w:t>
      </w:r>
      <w:r w:rsidRPr="00BF42B7">
        <w:rPr>
          <w:lang w:val="zh-CN"/>
        </w:rPr>
        <w:t>如海洋法、国际贸易和投资法及国际人权法</w:t>
      </w:r>
      <w:r w:rsidRPr="00BF42B7">
        <w:rPr>
          <w:lang w:val="zh-CN"/>
        </w:rPr>
        <w:t>)</w:t>
      </w:r>
      <w:r w:rsidRPr="00BF42B7">
        <w:rPr>
          <w:lang w:val="zh-CN"/>
        </w:rPr>
        <w:t>之间相互关系的问题，在</w:t>
      </w:r>
      <w:r w:rsidRPr="00BF42B7">
        <w:rPr>
          <w:lang w:val="zh-CN"/>
        </w:rPr>
        <w:t>2018</w:t>
      </w:r>
      <w:r w:rsidRPr="00BF42B7">
        <w:rPr>
          <w:lang w:val="zh-CN"/>
        </w:rPr>
        <w:t>年处理</w:t>
      </w:r>
      <w:r w:rsidRPr="00BF42B7">
        <w:rPr>
          <w:rFonts w:hint="eastAsia"/>
          <w:lang w:val="zh-CN"/>
        </w:rPr>
        <w:t>与保护</w:t>
      </w:r>
      <w:r w:rsidRPr="00BF42B7">
        <w:rPr>
          <w:lang w:val="zh-CN"/>
        </w:rPr>
        <w:t>大气层</w:t>
      </w:r>
      <w:r w:rsidRPr="00BF42B7">
        <w:rPr>
          <w:rFonts w:hint="eastAsia"/>
          <w:lang w:val="zh-CN"/>
        </w:rPr>
        <w:t>有关的</w:t>
      </w:r>
      <w:r w:rsidRPr="00BF42B7">
        <w:rPr>
          <w:lang w:val="zh-CN"/>
        </w:rPr>
        <w:t>执行、遵守和争端解决问题，希望在当年完成此专题的一读。</w:t>
      </w:r>
    </w:p>
    <w:p w:rsidR="006735D4" w:rsidRPr="00BF42B7" w:rsidRDefault="006735D4" w:rsidP="006735D4">
      <w:pPr>
        <w:tabs>
          <w:tab w:val="clear" w:pos="431"/>
          <w:tab w:val="left" w:pos="1134"/>
          <w:tab w:val="left" w:pos="1565"/>
          <w:tab w:val="left" w:pos="1996"/>
          <w:tab w:val="left" w:pos="2427"/>
        </w:tabs>
        <w:spacing w:after="120"/>
        <w:ind w:left="1134" w:right="1134"/>
        <w:rPr>
          <w:lang w:val="zh-CN"/>
        </w:rPr>
      </w:pPr>
      <w:r w:rsidRPr="00BF42B7">
        <w:rPr>
          <w:rFonts w:hint="eastAsia"/>
          <w:lang w:val="zh-CN"/>
        </w:rPr>
        <w:t>90</w:t>
      </w:r>
      <w:r w:rsidRPr="00BF42B7">
        <w:rPr>
          <w:lang w:val="zh-CN"/>
        </w:rPr>
        <w:t xml:space="preserve">.  </w:t>
      </w:r>
      <w:r w:rsidRPr="00BF42B7">
        <w:rPr>
          <w:lang w:val="zh-CN"/>
        </w:rPr>
        <w:t>委员会在</w:t>
      </w:r>
      <w:r w:rsidRPr="00BF42B7">
        <w:rPr>
          <w:lang w:val="zh-CN"/>
        </w:rPr>
        <w:t>2016</w:t>
      </w:r>
      <w:r w:rsidRPr="00BF42B7">
        <w:rPr>
          <w:lang w:val="zh-CN"/>
        </w:rPr>
        <w:t>年</w:t>
      </w:r>
      <w:r w:rsidRPr="00BF42B7">
        <w:rPr>
          <w:lang w:val="zh-CN"/>
        </w:rPr>
        <w:t>5</w:t>
      </w:r>
      <w:r w:rsidRPr="00BF42B7">
        <w:rPr>
          <w:lang w:val="zh-CN"/>
        </w:rPr>
        <w:t>月</w:t>
      </w:r>
      <w:r w:rsidRPr="00BF42B7">
        <w:rPr>
          <w:lang w:val="zh-CN"/>
        </w:rPr>
        <w:t>27</w:t>
      </w:r>
      <w:r w:rsidRPr="00BF42B7">
        <w:rPr>
          <w:lang w:val="zh-CN"/>
        </w:rPr>
        <w:t>日和</w:t>
      </w:r>
      <w:r w:rsidRPr="00BF42B7">
        <w:rPr>
          <w:lang w:val="zh-CN"/>
        </w:rPr>
        <w:t>31</w:t>
      </w:r>
      <w:r w:rsidRPr="00BF42B7">
        <w:rPr>
          <w:lang w:val="zh-CN"/>
        </w:rPr>
        <w:t>日、</w:t>
      </w:r>
      <w:r w:rsidRPr="00BF42B7">
        <w:rPr>
          <w:lang w:val="zh-CN"/>
        </w:rPr>
        <w:t>6</w:t>
      </w:r>
      <w:r w:rsidRPr="00BF42B7">
        <w:rPr>
          <w:lang w:val="zh-CN"/>
        </w:rPr>
        <w:t>月</w:t>
      </w:r>
      <w:r w:rsidRPr="00BF42B7">
        <w:rPr>
          <w:lang w:val="zh-CN"/>
        </w:rPr>
        <w:t>1</w:t>
      </w:r>
      <w:r w:rsidRPr="00BF42B7">
        <w:rPr>
          <w:lang w:val="zh-CN"/>
        </w:rPr>
        <w:t>日和</w:t>
      </w:r>
      <w:r w:rsidRPr="00BF42B7">
        <w:rPr>
          <w:lang w:val="zh-CN"/>
        </w:rPr>
        <w:t>7</w:t>
      </w:r>
      <w:r w:rsidRPr="00BF42B7">
        <w:rPr>
          <w:lang w:val="zh-CN"/>
        </w:rPr>
        <w:t>日举行的第</w:t>
      </w:r>
      <w:r w:rsidRPr="00BF42B7">
        <w:rPr>
          <w:lang w:val="zh-CN"/>
        </w:rPr>
        <w:t>3306</w:t>
      </w:r>
      <w:r w:rsidRPr="00BF42B7">
        <w:rPr>
          <w:lang w:val="zh-CN"/>
        </w:rPr>
        <w:t>、</w:t>
      </w:r>
      <w:r w:rsidRPr="00BF42B7">
        <w:rPr>
          <w:lang w:val="zh-CN"/>
        </w:rPr>
        <w:t>3307</w:t>
      </w:r>
      <w:r w:rsidRPr="00BF42B7">
        <w:rPr>
          <w:lang w:val="zh-CN"/>
        </w:rPr>
        <w:t>、</w:t>
      </w:r>
      <w:r w:rsidRPr="00BF42B7">
        <w:rPr>
          <w:lang w:val="zh-CN"/>
        </w:rPr>
        <w:t>3308</w:t>
      </w:r>
      <w:r w:rsidRPr="00BF42B7">
        <w:rPr>
          <w:lang w:val="zh-CN"/>
        </w:rPr>
        <w:t>、</w:t>
      </w:r>
      <w:r w:rsidRPr="00BF42B7">
        <w:rPr>
          <w:lang w:val="zh-CN"/>
        </w:rPr>
        <w:t>3311</w:t>
      </w:r>
      <w:r w:rsidRPr="00BF42B7">
        <w:rPr>
          <w:lang w:val="zh-CN"/>
        </w:rPr>
        <w:t>次会议上审议了特别报告员的第三次报告。</w:t>
      </w:r>
    </w:p>
    <w:p w:rsidR="006735D4" w:rsidRPr="00BF42B7" w:rsidRDefault="006735D4" w:rsidP="006735D4">
      <w:pPr>
        <w:tabs>
          <w:tab w:val="clear" w:pos="431"/>
          <w:tab w:val="left" w:pos="1134"/>
          <w:tab w:val="left" w:pos="1565"/>
          <w:tab w:val="left" w:pos="1996"/>
          <w:tab w:val="left" w:pos="2427"/>
        </w:tabs>
        <w:spacing w:after="120"/>
        <w:ind w:left="1134" w:right="1134"/>
      </w:pPr>
      <w:r w:rsidRPr="00BF42B7">
        <w:rPr>
          <w:rFonts w:hint="eastAsia"/>
          <w:lang w:val="zh-CN"/>
        </w:rPr>
        <w:t>91</w:t>
      </w:r>
      <w:r w:rsidRPr="00BF42B7">
        <w:rPr>
          <w:lang w:val="zh-CN"/>
        </w:rPr>
        <w:t xml:space="preserve">.  </w:t>
      </w:r>
      <w:r w:rsidRPr="00BF42B7">
        <w:rPr>
          <w:lang w:val="zh-CN"/>
        </w:rPr>
        <w:t>在委员会进行辩论之前，特别报告员于</w:t>
      </w:r>
      <w:r w:rsidRPr="00BF42B7">
        <w:rPr>
          <w:lang w:val="zh-CN"/>
        </w:rPr>
        <w:t>2016</w:t>
      </w:r>
      <w:r w:rsidRPr="00BF42B7">
        <w:rPr>
          <w:lang w:val="zh-CN"/>
        </w:rPr>
        <w:t>年</w:t>
      </w:r>
      <w:r w:rsidRPr="00BF42B7">
        <w:rPr>
          <w:lang w:val="zh-CN"/>
        </w:rPr>
        <w:t>5</w:t>
      </w:r>
      <w:r w:rsidRPr="00BF42B7">
        <w:rPr>
          <w:lang w:val="zh-CN"/>
        </w:rPr>
        <w:t>月</w:t>
      </w:r>
      <w:r w:rsidRPr="00BF42B7">
        <w:rPr>
          <w:lang w:val="zh-CN"/>
        </w:rPr>
        <w:t>4</w:t>
      </w:r>
      <w:r w:rsidRPr="00BF42B7">
        <w:rPr>
          <w:lang w:val="zh-CN"/>
        </w:rPr>
        <w:t>日组织了与科学家的对话。</w:t>
      </w:r>
      <w:r w:rsidRPr="00BF42B7">
        <w:rPr>
          <w:color w:val="0000FF"/>
          <w:vertAlign w:val="superscript"/>
          <w:lang w:val="zh-CN"/>
        </w:rPr>
        <w:footnoteReference w:id="1236"/>
      </w:r>
      <w:r w:rsidRPr="00BF42B7">
        <w:rPr>
          <w:lang w:val="zh-CN"/>
        </w:rPr>
        <w:t xml:space="preserve"> </w:t>
      </w:r>
      <w:r w:rsidRPr="00BF42B7">
        <w:rPr>
          <w:lang w:val="zh-CN"/>
        </w:rPr>
        <w:t>委员会委员认为对话和</w:t>
      </w:r>
      <w:r w:rsidRPr="00BF42B7">
        <w:rPr>
          <w:rFonts w:hint="eastAsia"/>
          <w:lang w:val="zh-CN"/>
        </w:rPr>
        <w:t>发言十分</w:t>
      </w:r>
      <w:r w:rsidRPr="00BF42B7">
        <w:rPr>
          <w:lang w:val="zh-CN"/>
        </w:rPr>
        <w:t>有用。</w:t>
      </w:r>
    </w:p>
    <w:p w:rsidR="006735D4" w:rsidRPr="00BF42B7" w:rsidRDefault="006735D4" w:rsidP="006735D4">
      <w:pPr>
        <w:tabs>
          <w:tab w:val="clear" w:pos="431"/>
          <w:tab w:val="left" w:pos="1134"/>
          <w:tab w:val="left" w:pos="1565"/>
          <w:tab w:val="left" w:pos="1996"/>
          <w:tab w:val="left" w:pos="2427"/>
        </w:tabs>
        <w:spacing w:after="120"/>
        <w:ind w:left="1134" w:right="1134"/>
      </w:pPr>
      <w:r w:rsidRPr="00BF42B7">
        <w:rPr>
          <w:rFonts w:hint="eastAsia"/>
          <w:lang w:val="zh-CN"/>
        </w:rPr>
        <w:t>92</w:t>
      </w:r>
      <w:r w:rsidRPr="00BF42B7">
        <w:rPr>
          <w:lang w:val="zh-CN"/>
        </w:rPr>
        <w:t xml:space="preserve">.  </w:t>
      </w:r>
      <w:r w:rsidRPr="00BF42B7">
        <w:rPr>
          <w:lang w:val="zh-CN"/>
        </w:rPr>
        <w:t>委员会在</w:t>
      </w:r>
      <w:r w:rsidRPr="00BF42B7">
        <w:rPr>
          <w:lang w:val="zh-CN"/>
        </w:rPr>
        <w:t>2016</w:t>
      </w:r>
      <w:r w:rsidRPr="00BF42B7">
        <w:rPr>
          <w:lang w:val="zh-CN"/>
        </w:rPr>
        <w:t>年</w:t>
      </w:r>
      <w:r w:rsidRPr="00BF42B7">
        <w:rPr>
          <w:lang w:val="zh-CN"/>
        </w:rPr>
        <w:t>6</w:t>
      </w:r>
      <w:r w:rsidRPr="00BF42B7">
        <w:rPr>
          <w:lang w:val="zh-CN"/>
        </w:rPr>
        <w:t>月</w:t>
      </w:r>
      <w:r w:rsidRPr="00BF42B7">
        <w:rPr>
          <w:lang w:val="zh-CN"/>
        </w:rPr>
        <w:t>7</w:t>
      </w:r>
      <w:r w:rsidRPr="00BF42B7">
        <w:rPr>
          <w:lang w:val="zh-CN"/>
        </w:rPr>
        <w:t>日举行的第</w:t>
      </w:r>
      <w:r w:rsidRPr="00BF42B7">
        <w:rPr>
          <w:lang w:val="zh-CN"/>
        </w:rPr>
        <w:t>3311</w:t>
      </w:r>
      <w:r w:rsidRPr="00BF42B7">
        <w:rPr>
          <w:lang w:val="zh-CN"/>
        </w:rPr>
        <w:t>次会议上就报告进行辩论后，决定将指南草案</w:t>
      </w:r>
      <w:r w:rsidRPr="00BF42B7">
        <w:rPr>
          <w:lang w:val="zh-CN"/>
        </w:rPr>
        <w:t>3</w:t>
      </w:r>
      <w:r w:rsidRPr="00BF42B7">
        <w:rPr>
          <w:lang w:val="zh-CN"/>
        </w:rPr>
        <w:t>、</w:t>
      </w:r>
      <w:r w:rsidRPr="00BF42B7">
        <w:rPr>
          <w:lang w:val="zh-CN"/>
        </w:rPr>
        <w:t>4</w:t>
      </w:r>
      <w:r w:rsidRPr="00BF42B7">
        <w:rPr>
          <w:lang w:val="zh-CN"/>
        </w:rPr>
        <w:t>、</w:t>
      </w:r>
      <w:r w:rsidRPr="00BF42B7">
        <w:rPr>
          <w:lang w:val="zh-CN"/>
        </w:rPr>
        <w:t>5</w:t>
      </w:r>
      <w:r w:rsidRPr="00BF42B7">
        <w:rPr>
          <w:lang w:val="zh-CN"/>
        </w:rPr>
        <w:t>、</w:t>
      </w:r>
      <w:r w:rsidRPr="00BF42B7">
        <w:rPr>
          <w:lang w:val="zh-CN"/>
        </w:rPr>
        <w:t>6</w:t>
      </w:r>
      <w:r w:rsidRPr="00BF42B7">
        <w:rPr>
          <w:lang w:val="zh-CN"/>
        </w:rPr>
        <w:t>、</w:t>
      </w:r>
      <w:r w:rsidRPr="00BF42B7">
        <w:rPr>
          <w:lang w:val="zh-CN"/>
        </w:rPr>
        <w:t>7</w:t>
      </w:r>
      <w:r w:rsidRPr="00BF42B7">
        <w:rPr>
          <w:rFonts w:hint="eastAsia"/>
          <w:lang w:val="zh-CN"/>
        </w:rPr>
        <w:t>，</w:t>
      </w:r>
      <w:r w:rsidRPr="00BF42B7">
        <w:rPr>
          <w:lang w:val="zh-CN"/>
        </w:rPr>
        <w:t>连同特别报告员第三次报告所载序言部分第四段，一并提交起草委员会。</w:t>
      </w:r>
    </w:p>
    <w:p w:rsidR="006735D4" w:rsidRPr="00BF42B7" w:rsidRDefault="006735D4" w:rsidP="006735D4">
      <w:pPr>
        <w:tabs>
          <w:tab w:val="clear" w:pos="431"/>
          <w:tab w:val="left" w:pos="1134"/>
          <w:tab w:val="left" w:pos="1565"/>
          <w:tab w:val="left" w:pos="1996"/>
          <w:tab w:val="left" w:pos="2427"/>
        </w:tabs>
        <w:spacing w:after="120"/>
        <w:ind w:left="1134" w:right="1134"/>
      </w:pPr>
      <w:r w:rsidRPr="00BF42B7">
        <w:rPr>
          <w:rFonts w:hint="eastAsia"/>
          <w:lang w:val="zh-CN"/>
        </w:rPr>
        <w:t>93</w:t>
      </w:r>
      <w:r w:rsidRPr="00BF42B7">
        <w:rPr>
          <w:lang w:val="zh-CN"/>
        </w:rPr>
        <w:t xml:space="preserve">.  </w:t>
      </w:r>
      <w:r w:rsidRPr="00BF42B7">
        <w:rPr>
          <w:lang w:val="zh-CN"/>
        </w:rPr>
        <w:t>委员会在</w:t>
      </w:r>
      <w:r w:rsidRPr="00BF42B7">
        <w:rPr>
          <w:lang w:val="zh-CN"/>
        </w:rPr>
        <w:t>2016</w:t>
      </w:r>
      <w:r w:rsidRPr="00BF42B7">
        <w:rPr>
          <w:lang w:val="zh-CN"/>
        </w:rPr>
        <w:t>年</w:t>
      </w:r>
      <w:r w:rsidRPr="00BF42B7">
        <w:rPr>
          <w:lang w:val="zh-CN"/>
        </w:rPr>
        <w:t>7</w:t>
      </w:r>
      <w:r w:rsidRPr="00BF42B7">
        <w:rPr>
          <w:lang w:val="zh-CN"/>
        </w:rPr>
        <w:t>月</w:t>
      </w:r>
      <w:r w:rsidRPr="00BF42B7">
        <w:rPr>
          <w:lang w:val="zh-CN"/>
        </w:rPr>
        <w:t>4</w:t>
      </w:r>
      <w:r w:rsidRPr="00BF42B7">
        <w:rPr>
          <w:lang w:val="zh-CN"/>
        </w:rPr>
        <w:t>日举行的第</w:t>
      </w:r>
      <w:r w:rsidRPr="00BF42B7">
        <w:rPr>
          <w:lang w:val="zh-CN"/>
        </w:rPr>
        <w:t>3314</w:t>
      </w:r>
      <w:r w:rsidRPr="00BF42B7">
        <w:rPr>
          <w:lang w:val="zh-CN"/>
        </w:rPr>
        <w:t>次会议上收到了起草委员会的报告。委员会在</w:t>
      </w:r>
      <w:r w:rsidRPr="00BF42B7">
        <w:rPr>
          <w:lang w:val="zh-CN"/>
        </w:rPr>
        <w:t>2016</w:t>
      </w:r>
      <w:r w:rsidRPr="00BF42B7">
        <w:rPr>
          <w:lang w:val="zh-CN"/>
        </w:rPr>
        <w:t>年</w:t>
      </w:r>
      <w:r w:rsidRPr="00BF42B7">
        <w:rPr>
          <w:lang w:val="zh-CN"/>
        </w:rPr>
        <w:t>7</w:t>
      </w:r>
      <w:r w:rsidRPr="00BF42B7">
        <w:rPr>
          <w:lang w:val="zh-CN"/>
        </w:rPr>
        <w:t>月</w:t>
      </w:r>
      <w:r w:rsidRPr="00BF42B7">
        <w:rPr>
          <w:lang w:val="zh-CN"/>
        </w:rPr>
        <w:t>5</w:t>
      </w:r>
      <w:r w:rsidRPr="00BF42B7">
        <w:rPr>
          <w:lang w:val="zh-CN"/>
        </w:rPr>
        <w:t>日举行的第</w:t>
      </w:r>
      <w:r w:rsidRPr="00BF42B7">
        <w:rPr>
          <w:lang w:val="zh-CN"/>
        </w:rPr>
        <w:t>3315</w:t>
      </w:r>
      <w:r w:rsidRPr="00BF42B7">
        <w:rPr>
          <w:lang w:val="zh-CN"/>
        </w:rPr>
        <w:t>次会议上审议并暂时通过了五条指南草案以及一个序言部分段落</w:t>
      </w:r>
      <w:r w:rsidRPr="00BF42B7">
        <w:rPr>
          <w:lang w:val="zh-CN"/>
        </w:rPr>
        <w:t>(</w:t>
      </w:r>
      <w:r w:rsidRPr="00BF42B7">
        <w:rPr>
          <w:lang w:val="zh-CN"/>
        </w:rPr>
        <w:t>见下文第</w:t>
      </w:r>
      <w:r w:rsidRPr="00BF42B7">
        <w:rPr>
          <w:lang w:val="zh-CN"/>
        </w:rPr>
        <w:t>C.1</w:t>
      </w:r>
      <w:r w:rsidRPr="00BF42B7">
        <w:rPr>
          <w:lang w:val="zh-CN"/>
        </w:rPr>
        <w:t>节</w:t>
      </w:r>
      <w:r w:rsidRPr="00BF42B7">
        <w:rPr>
          <w:lang w:val="zh-CN"/>
        </w:rPr>
        <w:t>)</w:t>
      </w:r>
      <w:r w:rsidRPr="00BF42B7">
        <w:rPr>
          <w:lang w:val="zh-CN"/>
        </w:rPr>
        <w:t>。</w:t>
      </w:r>
    </w:p>
    <w:p w:rsidR="006735D4" w:rsidRPr="00BF42B7" w:rsidRDefault="006735D4" w:rsidP="006735D4">
      <w:pPr>
        <w:tabs>
          <w:tab w:val="clear" w:pos="431"/>
          <w:tab w:val="left" w:pos="1134"/>
          <w:tab w:val="left" w:pos="1565"/>
          <w:tab w:val="left" w:pos="1996"/>
          <w:tab w:val="left" w:pos="2427"/>
        </w:tabs>
        <w:spacing w:after="120"/>
        <w:ind w:left="1134" w:right="1134"/>
      </w:pPr>
      <w:r w:rsidRPr="00BF42B7">
        <w:rPr>
          <w:rFonts w:hint="eastAsia"/>
          <w:lang w:val="zh-CN"/>
        </w:rPr>
        <w:t>94</w:t>
      </w:r>
      <w:r w:rsidRPr="00BF42B7">
        <w:rPr>
          <w:lang w:val="zh-CN"/>
        </w:rPr>
        <w:t xml:space="preserve">.  </w:t>
      </w:r>
      <w:r w:rsidRPr="00BF42B7">
        <w:rPr>
          <w:lang w:val="zh-CN"/>
        </w:rPr>
        <w:t>在</w:t>
      </w:r>
      <w:r w:rsidRPr="00BF42B7">
        <w:rPr>
          <w:lang w:val="zh-CN"/>
        </w:rPr>
        <w:t>2016</w:t>
      </w:r>
      <w:r w:rsidRPr="00BF42B7">
        <w:rPr>
          <w:lang w:val="zh-CN"/>
        </w:rPr>
        <w:t>年</w:t>
      </w:r>
      <w:r w:rsidRPr="00BF42B7">
        <w:rPr>
          <w:lang w:val="zh-CN"/>
        </w:rPr>
        <w:t>8</w:t>
      </w:r>
      <w:r w:rsidRPr="00BF42B7">
        <w:rPr>
          <w:lang w:val="zh-CN"/>
        </w:rPr>
        <w:t>月</w:t>
      </w:r>
      <w:r w:rsidRPr="00BF42B7">
        <w:rPr>
          <w:rFonts w:hint="eastAsia"/>
          <w:lang w:val="zh-CN"/>
        </w:rPr>
        <w:t>9</w:t>
      </w:r>
      <w:r w:rsidRPr="00BF42B7">
        <w:rPr>
          <w:lang w:val="zh-CN"/>
        </w:rPr>
        <w:t>日和</w:t>
      </w:r>
      <w:r w:rsidRPr="00BF42B7">
        <w:rPr>
          <w:rFonts w:hint="eastAsia"/>
          <w:lang w:val="zh-CN"/>
        </w:rPr>
        <w:t>10</w:t>
      </w:r>
      <w:r w:rsidRPr="00BF42B7">
        <w:rPr>
          <w:lang w:val="zh-CN"/>
        </w:rPr>
        <w:t>日举行的第</w:t>
      </w:r>
      <w:r w:rsidRPr="00BF42B7">
        <w:rPr>
          <w:rFonts w:hint="eastAsia"/>
          <w:lang w:val="zh-CN"/>
        </w:rPr>
        <w:t>3341</w:t>
      </w:r>
      <w:r w:rsidRPr="00BF42B7">
        <w:rPr>
          <w:lang w:val="zh-CN"/>
        </w:rPr>
        <w:t>至</w:t>
      </w:r>
      <w:r w:rsidRPr="00BF42B7">
        <w:rPr>
          <w:rFonts w:hint="eastAsia"/>
          <w:lang w:val="zh-CN"/>
        </w:rPr>
        <w:t>3343</w:t>
      </w:r>
      <w:r w:rsidRPr="00BF42B7">
        <w:rPr>
          <w:lang w:val="zh-CN"/>
        </w:rPr>
        <w:t>次会议上，委员会通过了本届会议暂时通过的指南草案的评注</w:t>
      </w:r>
      <w:r w:rsidRPr="00BF42B7">
        <w:rPr>
          <w:lang w:val="zh-CN"/>
        </w:rPr>
        <w:t>(</w:t>
      </w:r>
      <w:r w:rsidRPr="00BF42B7">
        <w:rPr>
          <w:lang w:val="zh-CN"/>
        </w:rPr>
        <w:t>见下文第</w:t>
      </w:r>
      <w:r w:rsidRPr="00BF42B7">
        <w:rPr>
          <w:lang w:val="zh-CN"/>
        </w:rPr>
        <w:t>C.2</w:t>
      </w:r>
      <w:r w:rsidRPr="00BF42B7">
        <w:rPr>
          <w:lang w:val="zh-CN"/>
        </w:rPr>
        <w:t>节</w:t>
      </w:r>
      <w:r w:rsidRPr="00BF42B7">
        <w:rPr>
          <w:lang w:val="zh-CN"/>
        </w:rPr>
        <w:t>)</w:t>
      </w:r>
      <w:r w:rsidRPr="00BF42B7">
        <w:rPr>
          <w:lang w:val="zh-CN"/>
        </w:rPr>
        <w:t>。</w:t>
      </w:r>
    </w:p>
    <w:p w:rsidR="006735D4" w:rsidRPr="00BF42B7" w:rsidRDefault="006735D4" w:rsidP="006735D4">
      <w:pPr>
        <w:pStyle w:val="H1GC"/>
      </w:pPr>
      <w:r w:rsidRPr="00BF42B7">
        <w:tab/>
      </w:r>
      <w:r w:rsidRPr="00BF42B7">
        <w:rPr>
          <w:lang w:val="zh-CN"/>
        </w:rPr>
        <w:t>C.</w:t>
      </w:r>
      <w:r w:rsidRPr="00BF42B7">
        <w:tab/>
      </w:r>
      <w:r w:rsidRPr="00BF42B7">
        <w:rPr>
          <w:lang w:val="zh-CN"/>
        </w:rPr>
        <w:t>委员会迄今为止暂时通过的关于保护大气层的指南草案案文及序言部分段落</w:t>
      </w:r>
    </w:p>
    <w:p w:rsidR="006735D4" w:rsidRPr="00BF42B7" w:rsidRDefault="006735D4" w:rsidP="006735D4">
      <w:pPr>
        <w:pStyle w:val="H23GC"/>
      </w:pPr>
      <w:r w:rsidRPr="00BF42B7">
        <w:rPr>
          <w:lang w:val="en-GB"/>
        </w:rPr>
        <w:tab/>
        <w:t>1.</w:t>
      </w:r>
      <w:r w:rsidRPr="00BF42B7">
        <w:rPr>
          <w:rFonts w:hint="eastAsia"/>
          <w:lang w:val="en-GB"/>
        </w:rPr>
        <w:tab/>
      </w:r>
      <w:r w:rsidRPr="00BF42B7">
        <w:rPr>
          <w:lang w:val="zh-CN"/>
        </w:rPr>
        <w:t>指南草案案文及序言部分段落</w:t>
      </w:r>
    </w:p>
    <w:p w:rsidR="006735D4" w:rsidRPr="00BF42B7" w:rsidRDefault="006735D4" w:rsidP="006735D4">
      <w:pPr>
        <w:tabs>
          <w:tab w:val="clear" w:pos="431"/>
          <w:tab w:val="left" w:pos="1134"/>
          <w:tab w:val="left" w:pos="1565"/>
          <w:tab w:val="left" w:pos="1996"/>
          <w:tab w:val="left" w:pos="2427"/>
        </w:tabs>
        <w:spacing w:after="120"/>
        <w:ind w:left="1134" w:right="1134"/>
      </w:pPr>
      <w:r w:rsidRPr="00BF42B7">
        <w:rPr>
          <w:rFonts w:hint="eastAsia"/>
          <w:lang w:val="zh-CN"/>
        </w:rPr>
        <w:t>95</w:t>
      </w:r>
      <w:r w:rsidRPr="00BF42B7">
        <w:rPr>
          <w:lang w:val="zh-CN"/>
        </w:rPr>
        <w:t xml:space="preserve">.  </w:t>
      </w:r>
      <w:r w:rsidRPr="00BF42B7">
        <w:rPr>
          <w:lang w:val="zh-CN"/>
        </w:rPr>
        <w:t>委员会迄今为止暂时通过的关于保护大气层的指南草案案文及序言部分段落载录如下。</w:t>
      </w:r>
    </w:p>
    <w:p w:rsidR="006735D4" w:rsidRPr="00BF42B7" w:rsidRDefault="006735D4" w:rsidP="006735D4">
      <w:pPr>
        <w:tabs>
          <w:tab w:val="clear" w:pos="431"/>
          <w:tab w:val="left" w:pos="1134"/>
          <w:tab w:val="left" w:pos="1565"/>
          <w:tab w:val="left" w:pos="1996"/>
          <w:tab w:val="left" w:pos="2427"/>
        </w:tabs>
        <w:spacing w:after="120"/>
        <w:ind w:left="1554" w:right="1134"/>
        <w:rPr>
          <w:rFonts w:ascii="Time New Roman" w:eastAsia="黑体" w:hAnsi="Time New Roman" w:hint="eastAsia"/>
          <w:b/>
          <w:bCs/>
        </w:rPr>
      </w:pPr>
      <w:r w:rsidRPr="00BF42B7">
        <w:rPr>
          <w:rFonts w:ascii="Time New Roman" w:eastAsia="黑体" w:hAnsi="Time New Roman"/>
          <w:lang w:val="zh-CN"/>
        </w:rPr>
        <w:t>序言</w:t>
      </w:r>
    </w:p>
    <w:p w:rsidR="006735D4" w:rsidRPr="00BF42B7" w:rsidRDefault="006735D4" w:rsidP="0036511D">
      <w:pPr>
        <w:tabs>
          <w:tab w:val="clear" w:pos="431"/>
          <w:tab w:val="left" w:pos="1134"/>
          <w:tab w:val="left" w:pos="1565"/>
          <w:tab w:val="left" w:pos="1996"/>
          <w:tab w:val="left" w:pos="2427"/>
        </w:tabs>
        <w:spacing w:after="120"/>
        <w:ind w:left="1554" w:right="1134"/>
      </w:pPr>
      <w:r w:rsidRPr="00BF42B7">
        <w:rPr>
          <w:rFonts w:hint="eastAsia"/>
        </w:rPr>
        <w:t>……</w:t>
      </w:r>
    </w:p>
    <w:p w:rsidR="006735D4" w:rsidRPr="00BF42B7" w:rsidRDefault="006735D4" w:rsidP="0036511D">
      <w:pPr>
        <w:tabs>
          <w:tab w:val="clear" w:pos="431"/>
          <w:tab w:val="left" w:pos="1996"/>
          <w:tab w:val="left" w:pos="2427"/>
        </w:tabs>
        <w:spacing w:after="120"/>
        <w:ind w:left="1554" w:right="1134"/>
      </w:pPr>
      <w:r w:rsidRPr="00BF42B7">
        <w:rPr>
          <w:lang w:val="zh-CN"/>
        </w:rPr>
        <w:tab/>
      </w:r>
      <w:r w:rsidRPr="00BF42B7">
        <w:rPr>
          <w:rFonts w:eastAsia="楷体"/>
          <w:lang w:val="zh-CN"/>
        </w:rPr>
        <w:t>承认</w:t>
      </w:r>
      <w:r w:rsidRPr="00BF42B7">
        <w:rPr>
          <w:lang w:val="zh-CN"/>
        </w:rPr>
        <w:t>大气层是维持地球上的生命、人类健康和福祉以及水生和陆地生态系统所不可缺少的，</w:t>
      </w:r>
    </w:p>
    <w:p w:rsidR="006735D4" w:rsidRPr="00BF42B7" w:rsidRDefault="006735D4" w:rsidP="0036511D">
      <w:pPr>
        <w:tabs>
          <w:tab w:val="clear" w:pos="431"/>
          <w:tab w:val="left" w:pos="1996"/>
          <w:tab w:val="left" w:pos="2427"/>
        </w:tabs>
        <w:spacing w:after="120"/>
        <w:ind w:left="1554" w:right="1134"/>
      </w:pPr>
      <w:r w:rsidRPr="00BF42B7">
        <w:rPr>
          <w:lang w:val="zh-CN"/>
        </w:rPr>
        <w:tab/>
      </w:r>
      <w:r w:rsidRPr="00BF42B7">
        <w:rPr>
          <w:rFonts w:eastAsia="楷体"/>
          <w:lang w:val="zh-CN"/>
        </w:rPr>
        <w:t>铭记</w:t>
      </w:r>
      <w:r w:rsidRPr="00BF42B7">
        <w:rPr>
          <w:lang w:val="zh-CN"/>
        </w:rPr>
        <w:t>大气层中存在污染物质和降解物质的输送和扩散，</w:t>
      </w:r>
    </w:p>
    <w:p w:rsidR="006735D4" w:rsidRPr="00BF42B7" w:rsidRDefault="006735D4" w:rsidP="0036511D">
      <w:pPr>
        <w:tabs>
          <w:tab w:val="clear" w:pos="431"/>
          <w:tab w:val="left" w:pos="1996"/>
          <w:tab w:val="left" w:pos="2427"/>
        </w:tabs>
        <w:spacing w:after="120"/>
        <w:ind w:left="1554" w:right="1134"/>
      </w:pPr>
      <w:r w:rsidRPr="00BF42B7">
        <w:rPr>
          <w:lang w:val="zh-CN"/>
        </w:rPr>
        <w:tab/>
      </w:r>
      <w:r w:rsidRPr="00BF42B7">
        <w:rPr>
          <w:rFonts w:eastAsia="楷体"/>
          <w:lang w:val="zh-CN"/>
        </w:rPr>
        <w:t>因此认识到</w:t>
      </w:r>
      <w:r w:rsidRPr="00BF42B7">
        <w:rPr>
          <w:lang w:val="zh-CN"/>
        </w:rPr>
        <w:t>保护大气层免遭大气污染和大气层退化是整个国际社会面临的紧迫关切问题，</w:t>
      </w:r>
    </w:p>
    <w:p w:rsidR="006735D4" w:rsidRPr="00BF42B7" w:rsidRDefault="006735D4" w:rsidP="0036511D">
      <w:pPr>
        <w:tabs>
          <w:tab w:val="clear" w:pos="431"/>
          <w:tab w:val="left" w:pos="1996"/>
          <w:tab w:val="left" w:pos="2427"/>
        </w:tabs>
        <w:spacing w:after="120"/>
        <w:ind w:left="1554" w:right="1134"/>
        <w:rPr>
          <w:vertAlign w:val="superscript"/>
          <w:lang w:val="zh-CN"/>
        </w:rPr>
      </w:pPr>
      <w:r w:rsidRPr="00BF42B7">
        <w:tab/>
      </w:r>
      <w:r w:rsidRPr="00BF42B7">
        <w:rPr>
          <w:rFonts w:eastAsia="楷体"/>
          <w:lang w:val="zh-CN"/>
        </w:rPr>
        <w:t>认识到</w:t>
      </w:r>
      <w:r w:rsidRPr="00BF42B7">
        <w:t>发展中国家的特殊情况和需要</w:t>
      </w:r>
      <w:r w:rsidRPr="00BF42B7">
        <w:rPr>
          <w:lang w:val="zh-CN"/>
        </w:rPr>
        <w:t>，</w:t>
      </w:r>
    </w:p>
    <w:p w:rsidR="006735D4" w:rsidRPr="00BF42B7" w:rsidRDefault="006735D4" w:rsidP="0036511D">
      <w:pPr>
        <w:tabs>
          <w:tab w:val="clear" w:pos="431"/>
          <w:tab w:val="left" w:pos="1996"/>
          <w:tab w:val="left" w:pos="2427"/>
        </w:tabs>
        <w:spacing w:after="120"/>
        <w:ind w:left="1554" w:right="1134"/>
      </w:pPr>
      <w:r w:rsidRPr="00BF42B7">
        <w:rPr>
          <w:lang w:val="zh-CN"/>
        </w:rPr>
        <w:tab/>
      </w:r>
      <w:r w:rsidRPr="00BF42B7">
        <w:rPr>
          <w:rFonts w:eastAsia="楷体"/>
          <w:lang w:val="zh-CN"/>
        </w:rPr>
        <w:t>忆及</w:t>
      </w:r>
      <w:r w:rsidRPr="00BF42B7">
        <w:rPr>
          <w:lang w:val="zh-CN"/>
        </w:rPr>
        <w:t>本指南草案不会影响有关的政治谈判，包括关于气候变化、臭氧层消耗、远距离跨界空气污染的政治谈判，也不会试图</w:t>
      </w:r>
      <w:r w:rsidRPr="00BF42B7">
        <w:rPr>
          <w:rFonts w:hint="eastAsia"/>
          <w:lang w:val="zh-CN"/>
        </w:rPr>
        <w:t>“</w:t>
      </w:r>
      <w:r w:rsidRPr="00BF42B7">
        <w:rPr>
          <w:lang w:val="zh-CN"/>
        </w:rPr>
        <w:t>弥补</w:t>
      </w:r>
      <w:r w:rsidRPr="00BF42B7">
        <w:rPr>
          <w:rFonts w:hint="eastAsia"/>
          <w:lang w:val="zh-CN"/>
        </w:rPr>
        <w:t>”</w:t>
      </w:r>
      <w:r w:rsidRPr="00BF42B7">
        <w:rPr>
          <w:lang w:val="zh-CN"/>
        </w:rPr>
        <w:t>条约制度中存在的缺陷，或是给现行条约制度强加条约制度尚不具有的法律规则或法律原则，</w:t>
      </w:r>
    </w:p>
    <w:p w:rsidR="006735D4" w:rsidRPr="00BF42B7" w:rsidRDefault="006735D4" w:rsidP="0036511D">
      <w:pPr>
        <w:tabs>
          <w:tab w:val="clear" w:pos="431"/>
          <w:tab w:val="left" w:pos="1996"/>
          <w:tab w:val="left" w:pos="2427"/>
        </w:tabs>
        <w:spacing w:after="120"/>
        <w:ind w:left="1554" w:right="1134"/>
      </w:pPr>
      <w:r w:rsidRPr="00BF42B7">
        <w:rPr>
          <w:lang w:val="zh-CN"/>
        </w:rPr>
        <w:t>[</w:t>
      </w:r>
      <w:r w:rsidRPr="00BF42B7">
        <w:rPr>
          <w:lang w:val="zh-CN"/>
        </w:rPr>
        <w:t>之后可增加其他段落或调整段落顺序。</w:t>
      </w:r>
      <w:r w:rsidRPr="00BF42B7">
        <w:rPr>
          <w:lang w:val="zh-CN"/>
        </w:rPr>
        <w:t>]</w:t>
      </w:r>
    </w:p>
    <w:p w:rsidR="006735D4" w:rsidRPr="00BF42B7" w:rsidRDefault="006735D4" w:rsidP="0036511D">
      <w:pPr>
        <w:tabs>
          <w:tab w:val="clear" w:pos="431"/>
          <w:tab w:val="left" w:pos="1996"/>
          <w:tab w:val="left" w:pos="2427"/>
        </w:tabs>
        <w:spacing w:after="120"/>
        <w:ind w:left="1554" w:right="1134"/>
      </w:pPr>
      <w:r w:rsidRPr="00BF42B7">
        <w:rPr>
          <w:rFonts w:hint="eastAsia"/>
        </w:rPr>
        <w:t>……</w:t>
      </w:r>
    </w:p>
    <w:p w:rsidR="006735D4" w:rsidRPr="00BF42B7" w:rsidRDefault="006735D4" w:rsidP="0036511D">
      <w:pPr>
        <w:pStyle w:val="H23GC"/>
        <w:ind w:left="1554"/>
        <w:rPr>
          <w:lang w:val="zh-CN"/>
        </w:rPr>
      </w:pPr>
      <w:r w:rsidRPr="00BF42B7">
        <w:tab/>
      </w:r>
      <w:r w:rsidRPr="00BF42B7">
        <w:tab/>
      </w:r>
      <w:r w:rsidRPr="00BF42B7">
        <w:rPr>
          <w:lang w:val="zh-CN"/>
        </w:rPr>
        <w:t>指南</w:t>
      </w:r>
      <w:r w:rsidRPr="00BF42B7">
        <w:rPr>
          <w:lang w:val="zh-CN"/>
        </w:rPr>
        <w:t>1</w:t>
      </w:r>
      <w:r w:rsidRPr="00BF42B7">
        <w:br/>
      </w:r>
      <w:r w:rsidRPr="00BF42B7">
        <w:rPr>
          <w:lang w:val="zh-CN"/>
        </w:rPr>
        <w:t>用语</w:t>
      </w:r>
    </w:p>
    <w:p w:rsidR="006735D4" w:rsidRPr="00BF42B7" w:rsidRDefault="006735D4" w:rsidP="0036511D">
      <w:pPr>
        <w:tabs>
          <w:tab w:val="clear" w:pos="431"/>
          <w:tab w:val="left" w:pos="1996"/>
          <w:tab w:val="left" w:pos="2427"/>
        </w:tabs>
        <w:spacing w:after="120"/>
        <w:ind w:left="1554" w:right="1134"/>
        <w:rPr>
          <w:lang w:val="en-GB"/>
        </w:rPr>
      </w:pPr>
      <w:r w:rsidRPr="00BF42B7">
        <w:rPr>
          <w:lang w:val="en-GB"/>
        </w:rPr>
        <w:tab/>
      </w:r>
      <w:r w:rsidRPr="00BF42B7">
        <w:rPr>
          <w:rFonts w:hint="eastAsia"/>
        </w:rPr>
        <w:t>为了本指南</w:t>
      </w:r>
      <w:r w:rsidRPr="0036511D">
        <w:rPr>
          <w:rFonts w:hint="eastAsia"/>
          <w:lang w:val="zh-CN"/>
        </w:rPr>
        <w:t>草案</w:t>
      </w:r>
      <w:r w:rsidRPr="00BF42B7">
        <w:rPr>
          <w:rFonts w:hint="eastAsia"/>
        </w:rPr>
        <w:t>的目的，</w:t>
      </w:r>
    </w:p>
    <w:p w:rsidR="006735D4" w:rsidRPr="00BF42B7" w:rsidRDefault="006735D4" w:rsidP="0036511D">
      <w:pPr>
        <w:pStyle w:val="SingleTxtGC"/>
        <w:numPr>
          <w:ilvl w:val="0"/>
          <w:numId w:val="47"/>
        </w:numPr>
        <w:rPr>
          <w:lang w:val="en-GB"/>
        </w:rPr>
      </w:pPr>
      <w:r w:rsidRPr="00BF42B7">
        <w:rPr>
          <w:rFonts w:hint="eastAsia"/>
        </w:rPr>
        <w:t>“大气层”指环绕地球的气体圈层；</w:t>
      </w:r>
    </w:p>
    <w:p w:rsidR="006735D4" w:rsidRPr="00BF42B7" w:rsidRDefault="006735D4" w:rsidP="0036511D">
      <w:pPr>
        <w:pStyle w:val="SingleTxtGC"/>
        <w:numPr>
          <w:ilvl w:val="0"/>
          <w:numId w:val="47"/>
        </w:numPr>
        <w:rPr>
          <w:lang w:val="en-GB"/>
        </w:rPr>
      </w:pPr>
      <w:r w:rsidRPr="00BF42B7">
        <w:rPr>
          <w:rFonts w:hint="eastAsia"/>
        </w:rPr>
        <w:t>“大气污染”指人类直接或间接向大气层引入或释放某些物质，产生的有害影响超出来源国，危及人类生命和健康以及地球自然环境的现象；</w:t>
      </w:r>
    </w:p>
    <w:p w:rsidR="006735D4" w:rsidRPr="00BF42B7" w:rsidRDefault="006735D4" w:rsidP="0036511D">
      <w:pPr>
        <w:pStyle w:val="SingleTxtGC"/>
        <w:numPr>
          <w:ilvl w:val="0"/>
          <w:numId w:val="47"/>
        </w:numPr>
      </w:pPr>
      <w:r w:rsidRPr="00BF42B7">
        <w:rPr>
          <w:rFonts w:hint="eastAsia"/>
        </w:rPr>
        <w:t>“大气层退化”指人类直接或间接改变大气状况，产生重大有害影响，危及人类生命和健康以及地球自然环境的现象。</w:t>
      </w:r>
    </w:p>
    <w:p w:rsidR="006735D4" w:rsidRPr="00BF42B7" w:rsidRDefault="006735D4" w:rsidP="0036511D">
      <w:pPr>
        <w:pStyle w:val="H23GC"/>
        <w:ind w:left="1554"/>
        <w:rPr>
          <w:lang w:val="zh-CN"/>
        </w:rPr>
      </w:pPr>
      <w:r w:rsidRPr="00BF42B7">
        <w:tab/>
      </w:r>
      <w:r w:rsidRPr="00BF42B7">
        <w:tab/>
      </w:r>
      <w:r w:rsidRPr="00BF42B7">
        <w:rPr>
          <w:rFonts w:hint="eastAsia"/>
          <w:lang w:val="zh-CN"/>
        </w:rPr>
        <w:t>指南</w:t>
      </w:r>
      <w:r w:rsidRPr="00BF42B7">
        <w:rPr>
          <w:rFonts w:hint="eastAsia"/>
          <w:lang w:val="zh-CN"/>
        </w:rPr>
        <w:t>2</w:t>
      </w:r>
      <w:r w:rsidRPr="00BF42B7">
        <w:rPr>
          <w:color w:val="0000FF"/>
          <w:sz w:val="21"/>
          <w:vertAlign w:val="superscript"/>
        </w:rPr>
        <w:footnoteReference w:id="1237"/>
      </w:r>
      <w:r w:rsidRPr="00BF42B7">
        <w:br/>
      </w:r>
      <w:r w:rsidRPr="00BF42B7">
        <w:rPr>
          <w:rFonts w:hint="eastAsia"/>
          <w:lang w:val="zh-CN"/>
        </w:rPr>
        <w:t>指南的</w:t>
      </w:r>
      <w:r w:rsidRPr="00BF42B7">
        <w:rPr>
          <w:rFonts w:hint="eastAsia"/>
          <w:lang w:val="en-GB"/>
        </w:rPr>
        <w:t>范围</w:t>
      </w:r>
    </w:p>
    <w:p w:rsidR="006735D4" w:rsidRPr="00BF42B7" w:rsidRDefault="006735D4" w:rsidP="0036511D">
      <w:pPr>
        <w:tabs>
          <w:tab w:val="clear" w:pos="431"/>
          <w:tab w:val="left" w:pos="1996"/>
          <w:tab w:val="left" w:pos="2427"/>
        </w:tabs>
        <w:spacing w:after="120"/>
        <w:ind w:left="1554" w:right="1134"/>
      </w:pPr>
      <w:r w:rsidRPr="00BF42B7">
        <w:t xml:space="preserve">1.  </w:t>
      </w:r>
      <w:r w:rsidRPr="00BF42B7">
        <w:rPr>
          <w:rFonts w:hint="eastAsia"/>
        </w:rPr>
        <w:t>本指南草案</w:t>
      </w:r>
      <w:r w:rsidRPr="00BF42B7">
        <w:rPr>
          <w:rFonts w:hint="eastAsia"/>
        </w:rPr>
        <w:t>[</w:t>
      </w:r>
      <w:r w:rsidRPr="00BF42B7">
        <w:rPr>
          <w:rFonts w:hint="eastAsia"/>
        </w:rPr>
        <w:t>所载</w:t>
      </w:r>
      <w:r w:rsidRPr="0036511D">
        <w:rPr>
          <w:rFonts w:hint="eastAsia"/>
          <w:lang w:val="zh-CN"/>
        </w:rPr>
        <w:t>指导</w:t>
      </w:r>
      <w:r w:rsidRPr="00BF42B7">
        <w:rPr>
          <w:rFonts w:hint="eastAsia"/>
        </w:rPr>
        <w:t>原则涉及</w:t>
      </w:r>
      <w:r w:rsidRPr="00BF42B7">
        <w:rPr>
          <w:rFonts w:hint="eastAsia"/>
        </w:rPr>
        <w:t>][</w:t>
      </w:r>
      <w:r w:rsidRPr="00BF42B7">
        <w:rPr>
          <w:rFonts w:hint="eastAsia"/>
        </w:rPr>
        <w:t>涉及</w:t>
      </w:r>
      <w:r w:rsidRPr="00BF42B7">
        <w:rPr>
          <w:rFonts w:hint="eastAsia"/>
        </w:rPr>
        <w:t>]</w:t>
      </w:r>
      <w:r w:rsidRPr="00BF42B7">
        <w:rPr>
          <w:rFonts w:hint="eastAsia"/>
        </w:rPr>
        <w:t>保护大气层免遭大气污染和大气层退化</w:t>
      </w:r>
      <w:r w:rsidRPr="00BF42B7">
        <w:rPr>
          <w:rFonts w:hint="eastAsia"/>
          <w:lang w:val="fr-CH"/>
        </w:rPr>
        <w:t>。</w:t>
      </w:r>
    </w:p>
    <w:p w:rsidR="006735D4" w:rsidRPr="00BF42B7" w:rsidRDefault="006735D4" w:rsidP="0036511D">
      <w:pPr>
        <w:pStyle w:val="SingleTxtGC"/>
        <w:ind w:left="1554"/>
      </w:pPr>
      <w:r w:rsidRPr="00BF42B7">
        <w:t xml:space="preserve">2.  </w:t>
      </w:r>
      <w:r w:rsidRPr="00BF42B7">
        <w:rPr>
          <w:rFonts w:hint="eastAsia"/>
        </w:rPr>
        <w:t>本指南草案不处理、但也不妨碍以下问题：污染者付费原则、谨慎原则、共同但有区别的责任、国家及其国民的赔偿责任，以及向发展中国家转让资金，包括知识产权</w:t>
      </w:r>
      <w:r w:rsidRPr="00BF42B7">
        <w:rPr>
          <w:rFonts w:hint="eastAsia"/>
          <w:lang w:val="fr-CH"/>
        </w:rPr>
        <w:t>。</w:t>
      </w:r>
    </w:p>
    <w:p w:rsidR="006735D4" w:rsidRPr="00BF42B7" w:rsidRDefault="006735D4" w:rsidP="0036511D">
      <w:pPr>
        <w:pStyle w:val="SingleTxtGC"/>
        <w:ind w:left="1554"/>
      </w:pPr>
      <w:r w:rsidRPr="00BF42B7">
        <w:t xml:space="preserve">3.  </w:t>
      </w:r>
      <w:r w:rsidRPr="00BF42B7">
        <w:rPr>
          <w:rFonts w:hint="eastAsia"/>
        </w:rPr>
        <w:t>本指南草案不涉及具体物质，例如国家之间正在谈判的黑碳、对流层臭氧以及其他双重影响物质</w:t>
      </w:r>
      <w:r w:rsidRPr="00BF42B7">
        <w:rPr>
          <w:rFonts w:hint="eastAsia"/>
          <w:lang w:val="fr-CH"/>
        </w:rPr>
        <w:t>。</w:t>
      </w:r>
    </w:p>
    <w:p w:rsidR="006735D4" w:rsidRPr="00BF42B7" w:rsidRDefault="006735D4" w:rsidP="0036511D">
      <w:pPr>
        <w:pStyle w:val="SingleTxtGC"/>
        <w:ind w:left="1554"/>
      </w:pPr>
      <w:r w:rsidRPr="00BF42B7">
        <w:t xml:space="preserve">4.  </w:t>
      </w:r>
      <w:r w:rsidRPr="00BF42B7">
        <w:rPr>
          <w:rFonts w:hint="eastAsia"/>
        </w:rPr>
        <w:t>本指南草案中的任何内容都不影响国际法规定的空气空间的地位，也不影响与外层空间，包括外层空间划界有关的问题。</w:t>
      </w:r>
    </w:p>
    <w:p w:rsidR="006735D4" w:rsidRPr="00BF42B7" w:rsidRDefault="006735D4" w:rsidP="0036511D">
      <w:pPr>
        <w:pStyle w:val="H23GC"/>
        <w:ind w:left="1554"/>
        <w:rPr>
          <w:b/>
          <w:bCs/>
          <w:lang w:val="en-GB"/>
        </w:rPr>
      </w:pPr>
      <w:r w:rsidRPr="00BF42B7">
        <w:tab/>
      </w:r>
      <w:r w:rsidRPr="00BF42B7">
        <w:tab/>
      </w:r>
      <w:r w:rsidRPr="00BF42B7">
        <w:rPr>
          <w:rFonts w:hint="eastAsia"/>
          <w:lang w:val="zh-CN"/>
        </w:rPr>
        <w:t>指南</w:t>
      </w:r>
      <w:r w:rsidRPr="00BF42B7">
        <w:rPr>
          <w:lang w:val="zh-CN"/>
        </w:rPr>
        <w:t>3</w:t>
      </w:r>
      <w:r w:rsidRPr="00BF42B7">
        <w:br/>
      </w:r>
      <w:r w:rsidRPr="00BF42B7">
        <w:rPr>
          <w:rFonts w:hint="eastAsia"/>
          <w:lang w:val="zh-CN"/>
        </w:rPr>
        <w:t>保护</w:t>
      </w:r>
      <w:r w:rsidRPr="00BF42B7">
        <w:rPr>
          <w:rFonts w:hint="eastAsia"/>
          <w:lang w:val="en-GB"/>
        </w:rPr>
        <w:t>大气层</w:t>
      </w:r>
      <w:r w:rsidRPr="00BF42B7">
        <w:rPr>
          <w:rFonts w:hint="eastAsia"/>
          <w:lang w:val="zh-CN"/>
        </w:rPr>
        <w:t>的义务</w:t>
      </w:r>
    </w:p>
    <w:p w:rsidR="006735D4" w:rsidRPr="00BF42B7" w:rsidRDefault="006735D4" w:rsidP="0036511D">
      <w:pPr>
        <w:tabs>
          <w:tab w:val="clear" w:pos="431"/>
          <w:tab w:val="left" w:pos="1996"/>
          <w:tab w:val="left" w:pos="2427"/>
        </w:tabs>
        <w:spacing w:after="120"/>
        <w:ind w:left="1554" w:right="1134"/>
        <w:rPr>
          <w:lang w:val="en-GB"/>
        </w:rPr>
      </w:pPr>
      <w:r w:rsidRPr="00BF42B7">
        <w:rPr>
          <w:rFonts w:hint="eastAsia"/>
          <w:lang w:val="en-GB"/>
        </w:rPr>
        <w:tab/>
      </w:r>
      <w:r w:rsidRPr="00BF42B7">
        <w:rPr>
          <w:rFonts w:hint="eastAsia"/>
          <w:lang w:val="en-GB"/>
        </w:rPr>
        <w:t>各国有义务保护大气层，履行应尽义务，按照适用的国际法规则采取适当措施，防止、减少或控制</w:t>
      </w:r>
      <w:r w:rsidRPr="0036511D">
        <w:rPr>
          <w:rFonts w:hint="eastAsia"/>
          <w:lang w:val="zh-CN"/>
        </w:rPr>
        <w:t>大气污染</w:t>
      </w:r>
      <w:r w:rsidRPr="00BF42B7">
        <w:rPr>
          <w:rFonts w:hint="eastAsia"/>
          <w:lang w:val="en-GB"/>
        </w:rPr>
        <w:t>和大气层退化。</w:t>
      </w:r>
    </w:p>
    <w:p w:rsidR="006735D4" w:rsidRPr="00BF42B7" w:rsidRDefault="006735D4" w:rsidP="0036511D">
      <w:pPr>
        <w:pStyle w:val="H23GC"/>
        <w:ind w:left="1554"/>
        <w:rPr>
          <w:lang w:val="en-GB"/>
        </w:rPr>
      </w:pPr>
      <w:r w:rsidRPr="00BF42B7">
        <w:rPr>
          <w:lang w:val="en-GB"/>
        </w:rPr>
        <w:tab/>
      </w:r>
      <w:r w:rsidRPr="00BF42B7">
        <w:rPr>
          <w:lang w:val="en-GB"/>
        </w:rPr>
        <w:tab/>
      </w:r>
      <w:r w:rsidRPr="0036511D">
        <w:rPr>
          <w:rFonts w:hint="eastAsia"/>
          <w:lang w:val="zh-CN"/>
        </w:rPr>
        <w:t>指南</w:t>
      </w:r>
      <w:r w:rsidRPr="00BF42B7">
        <w:rPr>
          <w:lang w:val="en-GB"/>
        </w:rPr>
        <w:t>4</w:t>
      </w:r>
      <w:r w:rsidRPr="00BF42B7">
        <w:rPr>
          <w:lang w:val="en-GB"/>
        </w:rPr>
        <w:br/>
      </w:r>
      <w:r w:rsidRPr="00BF42B7">
        <w:rPr>
          <w:rFonts w:hint="eastAsia"/>
          <w:lang w:val="en-GB"/>
        </w:rPr>
        <w:t>环境影响评估</w:t>
      </w:r>
    </w:p>
    <w:p w:rsidR="006735D4" w:rsidRPr="00BF42B7" w:rsidRDefault="006735D4" w:rsidP="0036511D">
      <w:pPr>
        <w:tabs>
          <w:tab w:val="clear" w:pos="431"/>
          <w:tab w:val="left" w:pos="1996"/>
          <w:tab w:val="left" w:pos="2427"/>
        </w:tabs>
        <w:spacing w:after="120"/>
        <w:ind w:left="1554" w:right="1134"/>
        <w:rPr>
          <w:lang w:val="en-GB"/>
        </w:rPr>
      </w:pPr>
      <w:r w:rsidRPr="00BF42B7">
        <w:rPr>
          <w:rFonts w:hint="eastAsia"/>
          <w:lang w:val="en-GB"/>
        </w:rPr>
        <w:tab/>
      </w:r>
      <w:r w:rsidRPr="00BF42B7">
        <w:rPr>
          <w:rFonts w:hint="eastAsia"/>
          <w:lang w:val="en-GB"/>
        </w:rPr>
        <w:t>对于在本国管辖或控制下拟议开展的活动，凡可能对大气层造成大气污染或大气层退化等重大不利影响的，各国有义务确保进行环境影响评估。</w:t>
      </w:r>
    </w:p>
    <w:p w:rsidR="006735D4" w:rsidRPr="00BF42B7" w:rsidRDefault="006735D4" w:rsidP="0036511D">
      <w:pPr>
        <w:pStyle w:val="H23GC"/>
        <w:ind w:left="1554"/>
        <w:rPr>
          <w:lang w:val="en-GB"/>
        </w:rPr>
      </w:pPr>
      <w:r w:rsidRPr="00BF42B7">
        <w:rPr>
          <w:lang w:val="en-GB"/>
        </w:rPr>
        <w:tab/>
      </w:r>
      <w:r w:rsidRPr="00BF42B7">
        <w:rPr>
          <w:lang w:val="en-GB"/>
        </w:rPr>
        <w:tab/>
      </w:r>
      <w:r w:rsidRPr="0036511D">
        <w:rPr>
          <w:rFonts w:hint="eastAsia"/>
          <w:lang w:val="zh-CN"/>
        </w:rPr>
        <w:t>指南</w:t>
      </w:r>
      <w:r w:rsidRPr="00BF42B7">
        <w:rPr>
          <w:lang w:val="en-GB"/>
        </w:rPr>
        <w:t>5</w:t>
      </w:r>
      <w:r w:rsidRPr="00BF42B7">
        <w:rPr>
          <w:lang w:val="en-GB"/>
        </w:rPr>
        <w:br/>
      </w:r>
      <w:r w:rsidRPr="00BF42B7">
        <w:rPr>
          <w:rFonts w:hint="eastAsia"/>
          <w:lang w:val="en-GB"/>
        </w:rPr>
        <w:t>可持续利用大气层</w:t>
      </w:r>
    </w:p>
    <w:p w:rsidR="006735D4" w:rsidRPr="00BF42B7" w:rsidRDefault="006735D4" w:rsidP="0036511D">
      <w:pPr>
        <w:tabs>
          <w:tab w:val="clear" w:pos="431"/>
          <w:tab w:val="left" w:pos="1996"/>
          <w:tab w:val="left" w:pos="2427"/>
        </w:tabs>
        <w:spacing w:after="120"/>
        <w:ind w:left="1554" w:right="1134"/>
        <w:rPr>
          <w:bCs/>
        </w:rPr>
      </w:pPr>
      <w:r w:rsidRPr="00BF42B7">
        <w:t xml:space="preserve">1.  </w:t>
      </w:r>
      <w:r w:rsidRPr="00BF42B7">
        <w:rPr>
          <w:rFonts w:hint="eastAsia"/>
        </w:rPr>
        <w:t>考虑到大气层是一种</w:t>
      </w:r>
      <w:r w:rsidRPr="0036511D">
        <w:rPr>
          <w:rFonts w:hint="eastAsia"/>
          <w:lang w:val="zh-CN"/>
        </w:rPr>
        <w:t>吸收</w:t>
      </w:r>
      <w:r w:rsidRPr="00BF42B7">
        <w:rPr>
          <w:rFonts w:hint="eastAsia"/>
        </w:rPr>
        <w:t>能力有限的自然资源，应以可持续的方式加以利用。</w:t>
      </w:r>
    </w:p>
    <w:p w:rsidR="006735D4" w:rsidRPr="00BF42B7" w:rsidRDefault="006735D4" w:rsidP="0036511D">
      <w:pPr>
        <w:tabs>
          <w:tab w:val="clear" w:pos="431"/>
          <w:tab w:val="left" w:pos="1996"/>
          <w:tab w:val="left" w:pos="2427"/>
        </w:tabs>
        <w:spacing w:after="120"/>
        <w:ind w:left="1554" w:right="1134"/>
        <w:rPr>
          <w:bCs/>
        </w:rPr>
      </w:pPr>
      <w:r w:rsidRPr="00BF42B7">
        <w:t xml:space="preserve">2.  </w:t>
      </w:r>
      <w:r w:rsidRPr="00BF42B7">
        <w:rPr>
          <w:lang w:val="zh-CN"/>
        </w:rPr>
        <w:t>可持</w:t>
      </w:r>
      <w:r w:rsidRPr="00BF42B7">
        <w:rPr>
          <w:rFonts w:ascii="宋体" w:hAnsi="宋体" w:cs="宋体" w:hint="eastAsia"/>
          <w:lang w:val="zh-CN"/>
        </w:rPr>
        <w:t>续</w:t>
      </w:r>
      <w:r w:rsidRPr="00BF42B7">
        <w:rPr>
          <w:rFonts w:hint="eastAsia"/>
          <w:lang w:val="zh-CN"/>
        </w:rPr>
        <w:t>利用大气</w:t>
      </w:r>
      <w:r w:rsidRPr="00BF42B7">
        <w:rPr>
          <w:rFonts w:ascii="宋体" w:hAnsi="宋体" w:cs="宋体" w:hint="eastAsia"/>
          <w:lang w:val="zh-CN"/>
        </w:rPr>
        <w:t>层</w:t>
      </w:r>
      <w:r w:rsidRPr="00BF42B7">
        <w:rPr>
          <w:rFonts w:hint="eastAsia"/>
          <w:lang w:val="zh-CN"/>
        </w:rPr>
        <w:t>包括需要兼</w:t>
      </w:r>
      <w:r w:rsidRPr="00BF42B7">
        <w:rPr>
          <w:rFonts w:ascii="宋体" w:hAnsi="宋体" w:cs="宋体" w:hint="eastAsia"/>
          <w:lang w:val="zh-CN"/>
        </w:rPr>
        <w:t>顾经济发</w:t>
      </w:r>
      <w:r w:rsidRPr="00BF42B7">
        <w:rPr>
          <w:rFonts w:hint="eastAsia"/>
          <w:lang w:val="zh-CN"/>
        </w:rPr>
        <w:t>展和大气</w:t>
      </w:r>
      <w:r w:rsidRPr="00BF42B7">
        <w:rPr>
          <w:rFonts w:ascii="宋体" w:hAnsi="宋体" w:cs="宋体" w:hint="eastAsia"/>
          <w:lang w:val="zh-CN"/>
        </w:rPr>
        <w:t>层</w:t>
      </w:r>
      <w:r w:rsidRPr="00BF42B7">
        <w:rPr>
          <w:rFonts w:hint="eastAsia"/>
          <w:lang w:val="zh-CN"/>
        </w:rPr>
        <w:t>保</w:t>
      </w:r>
      <w:r w:rsidRPr="00BF42B7">
        <w:rPr>
          <w:rFonts w:ascii="宋体" w:hAnsi="宋体" w:cs="宋体" w:hint="eastAsia"/>
          <w:lang w:val="zh-CN"/>
        </w:rPr>
        <w:t>护</w:t>
      </w:r>
      <w:r w:rsidRPr="00BF42B7">
        <w:rPr>
          <w:rFonts w:hint="eastAsia"/>
          <w:lang w:val="zh-CN"/>
        </w:rPr>
        <w:t>。</w:t>
      </w:r>
    </w:p>
    <w:p w:rsidR="006735D4" w:rsidRPr="00BF42B7" w:rsidRDefault="006735D4" w:rsidP="0036511D">
      <w:pPr>
        <w:pStyle w:val="H23GC"/>
        <w:ind w:left="1554"/>
        <w:rPr>
          <w:lang w:val="en-GB"/>
        </w:rPr>
      </w:pPr>
      <w:r w:rsidRPr="00BF42B7">
        <w:rPr>
          <w:lang w:val="en-GB"/>
        </w:rPr>
        <w:tab/>
      </w:r>
      <w:r w:rsidRPr="00BF42B7">
        <w:rPr>
          <w:lang w:val="en-GB"/>
        </w:rPr>
        <w:tab/>
      </w:r>
      <w:r w:rsidRPr="00BF42B7">
        <w:rPr>
          <w:rFonts w:hint="eastAsia"/>
          <w:lang w:val="en-GB"/>
        </w:rPr>
        <w:t>指南</w:t>
      </w:r>
      <w:r w:rsidRPr="00BF42B7">
        <w:rPr>
          <w:lang w:val="en-GB"/>
        </w:rPr>
        <w:t>6</w:t>
      </w:r>
      <w:r w:rsidRPr="00BF42B7">
        <w:rPr>
          <w:lang w:val="en-GB"/>
        </w:rPr>
        <w:br/>
      </w:r>
      <w:r w:rsidRPr="00BF42B7">
        <w:rPr>
          <w:rFonts w:hint="eastAsia"/>
          <w:lang w:val="en-GB"/>
        </w:rPr>
        <w:t>公平合理利用大气层</w:t>
      </w:r>
    </w:p>
    <w:p w:rsidR="006735D4" w:rsidRPr="00BF42B7" w:rsidRDefault="006735D4" w:rsidP="0036511D">
      <w:pPr>
        <w:tabs>
          <w:tab w:val="clear" w:pos="431"/>
          <w:tab w:val="left" w:pos="1996"/>
          <w:tab w:val="left" w:pos="2427"/>
        </w:tabs>
        <w:spacing w:after="120"/>
        <w:ind w:left="1554" w:right="1134"/>
      </w:pPr>
      <w:r w:rsidRPr="00BF42B7">
        <w:rPr>
          <w:rFonts w:hint="eastAsia"/>
          <w:lang w:val="en-GB"/>
        </w:rPr>
        <w:tab/>
      </w:r>
      <w:r w:rsidRPr="00BF42B7">
        <w:rPr>
          <w:rFonts w:hint="eastAsia"/>
          <w:lang w:val="en-GB"/>
        </w:rPr>
        <w:t>应考虑到今世后代的利益，以公平合理的方式利用大气层。</w:t>
      </w:r>
    </w:p>
    <w:p w:rsidR="006735D4" w:rsidRPr="00BF42B7" w:rsidRDefault="006735D4" w:rsidP="0036511D">
      <w:pPr>
        <w:pStyle w:val="H23GC"/>
        <w:ind w:left="1554"/>
        <w:rPr>
          <w:lang w:val="en-GB"/>
        </w:rPr>
      </w:pPr>
      <w:r w:rsidRPr="00BF42B7">
        <w:rPr>
          <w:lang w:val="en-GB"/>
        </w:rPr>
        <w:tab/>
      </w:r>
      <w:r w:rsidRPr="00BF42B7">
        <w:rPr>
          <w:lang w:val="en-GB"/>
        </w:rPr>
        <w:tab/>
      </w:r>
      <w:r w:rsidRPr="00BF42B7">
        <w:rPr>
          <w:rFonts w:hint="eastAsia"/>
          <w:lang w:val="en-GB"/>
        </w:rPr>
        <w:t>指南</w:t>
      </w:r>
      <w:r w:rsidRPr="003D448F">
        <w:rPr>
          <w:lang w:val="en-GB"/>
        </w:rPr>
        <w:t>7</w:t>
      </w:r>
      <w:r w:rsidRPr="003D448F">
        <w:rPr>
          <w:lang w:val="en-GB"/>
        </w:rPr>
        <w:br/>
      </w:r>
      <w:r w:rsidRPr="00BF42B7">
        <w:rPr>
          <w:rFonts w:hint="eastAsia"/>
          <w:lang w:val="en-GB"/>
        </w:rPr>
        <w:t>有意大规模改变大气层</w:t>
      </w:r>
    </w:p>
    <w:p w:rsidR="006735D4" w:rsidRPr="00BF42B7" w:rsidRDefault="006735D4" w:rsidP="0036511D">
      <w:pPr>
        <w:tabs>
          <w:tab w:val="clear" w:pos="431"/>
          <w:tab w:val="left" w:pos="1996"/>
          <w:tab w:val="left" w:pos="2427"/>
        </w:tabs>
        <w:spacing w:after="120"/>
        <w:ind w:left="1554" w:right="1134"/>
        <w:rPr>
          <w:bCs/>
          <w:lang w:val="en-GB"/>
        </w:rPr>
      </w:pPr>
      <w:r w:rsidRPr="00BF42B7">
        <w:rPr>
          <w:rFonts w:hint="eastAsia"/>
          <w:lang w:val="zh-CN"/>
        </w:rPr>
        <w:tab/>
      </w:r>
      <w:r w:rsidRPr="00BF42B7">
        <w:rPr>
          <w:lang w:val="zh-CN"/>
        </w:rPr>
        <w:t>应遵守任何适用的国际法规则</w:t>
      </w:r>
      <w:r w:rsidRPr="00BF42B7">
        <w:rPr>
          <w:rFonts w:hint="eastAsia"/>
          <w:lang w:val="zh-CN"/>
        </w:rPr>
        <w:t>，</w:t>
      </w:r>
      <w:r w:rsidRPr="00BF42B7">
        <w:rPr>
          <w:lang w:val="zh-CN"/>
        </w:rPr>
        <w:t>审慎和谨慎地开展旨在有意大规模改变大气层的活动。</w:t>
      </w:r>
    </w:p>
    <w:p w:rsidR="006735D4" w:rsidRPr="00BF42B7" w:rsidRDefault="006735D4" w:rsidP="0036511D">
      <w:pPr>
        <w:pStyle w:val="H23GC"/>
        <w:ind w:left="1554"/>
        <w:rPr>
          <w:lang w:val="en-GB"/>
        </w:rPr>
      </w:pPr>
      <w:r w:rsidRPr="00BF42B7">
        <w:rPr>
          <w:lang w:val="en-GB"/>
        </w:rPr>
        <w:tab/>
      </w:r>
      <w:r w:rsidRPr="00BF42B7">
        <w:rPr>
          <w:lang w:val="en-GB"/>
        </w:rPr>
        <w:tab/>
      </w:r>
      <w:r w:rsidRPr="00BF42B7">
        <w:rPr>
          <w:rFonts w:hint="eastAsia"/>
          <w:lang w:val="en-GB"/>
        </w:rPr>
        <w:t>指南</w:t>
      </w:r>
      <w:r w:rsidRPr="004D02E7">
        <w:rPr>
          <w:lang w:val="en-GB"/>
        </w:rPr>
        <w:t>8[5]</w:t>
      </w:r>
      <w:r w:rsidRPr="00BF42B7">
        <w:rPr>
          <w:color w:val="0000FF"/>
          <w:sz w:val="21"/>
          <w:vertAlign w:val="superscript"/>
        </w:rPr>
        <w:footnoteReference w:id="1238"/>
      </w:r>
      <w:r w:rsidRPr="00BF42B7">
        <w:rPr>
          <w:vertAlign w:val="superscript"/>
          <w:lang w:val="en-GB"/>
        </w:rPr>
        <w:br/>
      </w:r>
      <w:r w:rsidRPr="00BF42B7">
        <w:rPr>
          <w:rFonts w:hint="eastAsia"/>
          <w:lang w:val="en-GB"/>
        </w:rPr>
        <w:t>国际合作</w:t>
      </w:r>
    </w:p>
    <w:p w:rsidR="006735D4" w:rsidRPr="00BF42B7" w:rsidRDefault="006735D4" w:rsidP="0036511D">
      <w:pPr>
        <w:pStyle w:val="SingleTxtGC"/>
        <w:ind w:left="1554"/>
      </w:pPr>
      <w:r w:rsidRPr="00BF42B7">
        <w:t xml:space="preserve">1.  </w:t>
      </w:r>
      <w:r w:rsidRPr="00BF42B7">
        <w:rPr>
          <w:rFonts w:hint="eastAsia"/>
        </w:rPr>
        <w:t>各</w:t>
      </w:r>
      <w:r w:rsidRPr="00BF42B7">
        <w:rPr>
          <w:rFonts w:hint="eastAsia"/>
          <w:lang w:val="fr-CH"/>
        </w:rPr>
        <w:t>国有义务就保护大气层免遭大气污染和大气层退化</w:t>
      </w:r>
      <w:r w:rsidRPr="00BF42B7">
        <w:rPr>
          <w:rFonts w:hint="eastAsia"/>
          <w:lang w:val="en-GB"/>
        </w:rPr>
        <w:t>，</w:t>
      </w:r>
      <w:r w:rsidRPr="00BF42B7">
        <w:rPr>
          <w:rFonts w:hint="eastAsia"/>
          <w:lang w:val="fr-CH"/>
        </w:rPr>
        <w:t>酌情与其他国家或有关国际组织合作。</w:t>
      </w:r>
    </w:p>
    <w:p w:rsidR="006735D4" w:rsidRPr="00BF42B7" w:rsidRDefault="006735D4" w:rsidP="0036511D">
      <w:pPr>
        <w:pStyle w:val="SingleTxtGC"/>
        <w:ind w:left="1554"/>
      </w:pPr>
      <w:r w:rsidRPr="00BF42B7">
        <w:t xml:space="preserve">2.  </w:t>
      </w:r>
      <w:r w:rsidRPr="00BF42B7">
        <w:rPr>
          <w:rFonts w:hint="eastAsia"/>
        </w:rPr>
        <w:t>各</w:t>
      </w:r>
      <w:r w:rsidRPr="00BF42B7">
        <w:rPr>
          <w:rFonts w:hint="eastAsia"/>
          <w:lang w:val="fr-CH"/>
        </w:rPr>
        <w:t>国应就进一步增进关于大气污染和大气层退化的原因与影响的科学知识开展合作。合作可包括信息交流和联合监测。</w:t>
      </w:r>
    </w:p>
    <w:p w:rsidR="00B3723A" w:rsidRDefault="00B3723A">
      <w:pPr>
        <w:tabs>
          <w:tab w:val="clear" w:pos="431"/>
        </w:tabs>
        <w:overflowPunct/>
        <w:adjustRightInd/>
        <w:snapToGrid/>
        <w:spacing w:line="240" w:lineRule="auto"/>
        <w:jc w:val="left"/>
        <w:rPr>
          <w:rFonts w:eastAsia="黑体"/>
          <w:b/>
          <w:bCs/>
          <w:sz w:val="22"/>
        </w:rPr>
      </w:pPr>
      <w:r>
        <w:rPr>
          <w:b/>
          <w:bCs/>
        </w:rPr>
        <w:br w:type="page"/>
      </w:r>
    </w:p>
    <w:p w:rsidR="006735D4" w:rsidRPr="00BF42B7" w:rsidRDefault="006735D4" w:rsidP="0036511D">
      <w:pPr>
        <w:pStyle w:val="H23GC"/>
      </w:pPr>
      <w:r w:rsidRPr="00BF42B7">
        <w:rPr>
          <w:b/>
          <w:bCs/>
        </w:rPr>
        <w:tab/>
      </w:r>
      <w:r w:rsidRPr="004D02E7">
        <w:t>2.</w:t>
      </w:r>
      <w:r w:rsidRPr="004D02E7">
        <w:rPr>
          <w:rFonts w:hint="eastAsia"/>
        </w:rPr>
        <w:tab/>
      </w:r>
      <w:r w:rsidRPr="00BF42B7">
        <w:rPr>
          <w:rFonts w:hint="eastAsia"/>
        </w:rPr>
        <w:t>委员会第六十八届会议暂时通过的指南草案案文与序言部分段落及其评注</w:t>
      </w:r>
    </w:p>
    <w:p w:rsidR="006735D4" w:rsidRPr="00BF42B7" w:rsidRDefault="006735D4" w:rsidP="006735D4">
      <w:pPr>
        <w:tabs>
          <w:tab w:val="clear" w:pos="431"/>
          <w:tab w:val="left" w:pos="1134"/>
          <w:tab w:val="left" w:pos="1565"/>
          <w:tab w:val="left" w:pos="1996"/>
          <w:tab w:val="left" w:pos="2427"/>
        </w:tabs>
        <w:spacing w:after="120"/>
        <w:ind w:left="1134" w:right="1134"/>
      </w:pPr>
      <w:r w:rsidRPr="00BF42B7">
        <w:rPr>
          <w:rFonts w:hint="eastAsia"/>
        </w:rPr>
        <w:t>96</w:t>
      </w:r>
      <w:r w:rsidRPr="00BF42B7">
        <w:t xml:space="preserve">.  </w:t>
      </w:r>
      <w:r w:rsidRPr="00BF42B7">
        <w:rPr>
          <w:rFonts w:hint="eastAsia"/>
        </w:rPr>
        <w:t>委员会第六十八届会议暂时通过的指南草案案文与序言部分段落及其评注载录如下。</w:t>
      </w:r>
    </w:p>
    <w:p w:rsidR="006735D4" w:rsidRPr="00BF42B7" w:rsidRDefault="006735D4" w:rsidP="006735D4">
      <w:pPr>
        <w:pStyle w:val="H23GC"/>
        <w:ind w:left="1554"/>
      </w:pPr>
      <w:r w:rsidRPr="00BF42B7">
        <w:tab/>
      </w:r>
      <w:r w:rsidRPr="00BF42B7">
        <w:tab/>
      </w:r>
      <w:r w:rsidRPr="00BF42B7">
        <w:rPr>
          <w:rFonts w:hint="eastAsia"/>
        </w:rPr>
        <w:t>序言</w:t>
      </w:r>
    </w:p>
    <w:p w:rsidR="006735D4" w:rsidRPr="00BF42B7" w:rsidRDefault="006735D4" w:rsidP="006735D4">
      <w:pPr>
        <w:tabs>
          <w:tab w:val="clear" w:pos="431"/>
          <w:tab w:val="left" w:pos="1134"/>
          <w:tab w:val="left" w:pos="1565"/>
          <w:tab w:val="left" w:pos="1996"/>
          <w:tab w:val="left" w:pos="2427"/>
        </w:tabs>
        <w:spacing w:after="120"/>
        <w:ind w:left="1554" w:right="1134" w:firstLine="431"/>
      </w:pPr>
      <w:r w:rsidRPr="00BF42B7">
        <w:rPr>
          <w:rFonts w:ascii="Time New Roman" w:eastAsia="楷体" w:hAnsi="Time New Roman" w:hint="eastAsia"/>
        </w:rPr>
        <w:t>认识到</w:t>
      </w:r>
      <w:r w:rsidRPr="00BF42B7">
        <w:rPr>
          <w:rFonts w:hint="eastAsia"/>
        </w:rPr>
        <w:t>发展中国家的特殊情况和需要，</w:t>
      </w:r>
    </w:p>
    <w:p w:rsidR="006735D4" w:rsidRPr="00BF42B7" w:rsidRDefault="006735D4" w:rsidP="006735D4">
      <w:pPr>
        <w:pStyle w:val="H23GC"/>
      </w:pPr>
      <w:r w:rsidRPr="00BF42B7">
        <w:rPr>
          <w:rFonts w:hint="eastAsia"/>
        </w:rPr>
        <w:tab/>
      </w:r>
      <w:r w:rsidRPr="00BF42B7">
        <w:rPr>
          <w:rFonts w:hint="eastAsia"/>
        </w:rPr>
        <w:tab/>
      </w:r>
      <w:r w:rsidRPr="00BF42B7">
        <w:rPr>
          <w:rFonts w:hint="eastAsia"/>
        </w:rPr>
        <w:t>评注</w:t>
      </w:r>
    </w:p>
    <w:p w:rsidR="006735D4" w:rsidRPr="00BF42B7" w:rsidRDefault="006735D4" w:rsidP="006735D4">
      <w:pPr>
        <w:tabs>
          <w:tab w:val="clear" w:pos="431"/>
          <w:tab w:val="left" w:pos="1134"/>
          <w:tab w:val="left" w:pos="1565"/>
          <w:tab w:val="left" w:pos="1996"/>
          <w:tab w:val="left" w:pos="2427"/>
        </w:tabs>
        <w:spacing w:after="120"/>
        <w:ind w:left="1134" w:right="1134"/>
      </w:pPr>
      <w:r w:rsidRPr="00BF42B7">
        <w:rPr>
          <w:rFonts w:hint="eastAsia"/>
        </w:rPr>
        <w:t xml:space="preserve">(1)  </w:t>
      </w:r>
      <w:r w:rsidRPr="00BF42B7">
        <w:rPr>
          <w:rFonts w:hint="eastAsia"/>
        </w:rPr>
        <w:t>序言部分插入第四段是顾及公平问题，并考虑到发展中国家的特殊情况和需要。纳入公平原则的</w:t>
      </w:r>
      <w:r w:rsidRPr="00BF42B7">
        <w:rPr>
          <w:lang w:val="fr-CH"/>
        </w:rPr>
        <w:t>首次尝试是亚洲和非洲代表团在</w:t>
      </w:r>
      <w:r w:rsidRPr="00BF42B7">
        <w:rPr>
          <w:lang w:val="fr-CH"/>
        </w:rPr>
        <w:t>1919</w:t>
      </w:r>
      <w:r w:rsidRPr="00BF42B7">
        <w:rPr>
          <w:lang w:val="fr-CH"/>
        </w:rPr>
        <w:t>年国际劳工组织华盛顿会议上成功</w:t>
      </w:r>
      <w:r w:rsidRPr="00BF42B7">
        <w:rPr>
          <w:rFonts w:hint="eastAsia"/>
          <w:lang w:val="fr-CH"/>
        </w:rPr>
        <w:t>促使会议</w:t>
      </w:r>
      <w:r w:rsidRPr="00BF42B7">
        <w:rPr>
          <w:lang w:val="fr-CH"/>
        </w:rPr>
        <w:t>通过了</w:t>
      </w:r>
      <w:r w:rsidRPr="00BF42B7">
        <w:rPr>
          <w:rFonts w:hint="eastAsia"/>
          <w:lang w:val="fr-CH"/>
        </w:rPr>
        <w:t>差异性</w:t>
      </w:r>
      <w:r w:rsidRPr="00BF42B7">
        <w:rPr>
          <w:lang w:val="fr-CH"/>
        </w:rPr>
        <w:t>劳工标准。</w:t>
      </w:r>
      <w:r w:rsidRPr="00BF42B7">
        <w:rPr>
          <w:color w:val="0000FF"/>
          <w:vertAlign w:val="superscript"/>
          <w:lang w:val="fr-CH"/>
        </w:rPr>
        <w:footnoteReference w:id="1239"/>
      </w:r>
      <w:r w:rsidRPr="00BF42B7">
        <w:rPr>
          <w:color w:val="0000FF"/>
          <w:vertAlign w:val="superscript"/>
          <w:lang w:val="fr-CH"/>
        </w:rPr>
        <w:t xml:space="preserve"> </w:t>
      </w:r>
      <w:r w:rsidRPr="00BF42B7">
        <w:rPr>
          <w:lang w:val="fr-CH"/>
        </w:rPr>
        <w:t>另一个例子是</w:t>
      </w:r>
      <w:r w:rsidRPr="00BF42B7">
        <w:rPr>
          <w:lang w:val="fr-CH"/>
        </w:rPr>
        <w:t>1970</w:t>
      </w:r>
      <w:r w:rsidRPr="00BF42B7">
        <w:rPr>
          <w:lang w:val="fr-CH"/>
        </w:rPr>
        <w:t>年代联合国贸易和发展会议拟订的</w:t>
      </w:r>
      <w:r w:rsidRPr="00BF42B7">
        <w:t>普遍</w:t>
      </w:r>
      <w:r w:rsidRPr="00BF42B7">
        <w:rPr>
          <w:lang w:val="fr-CH"/>
        </w:rPr>
        <w:t>优惠制</w:t>
      </w:r>
      <w:r w:rsidRPr="00BF42B7">
        <w:rPr>
          <w:rFonts w:hint="eastAsia"/>
          <w:lang w:val="fr-CH"/>
        </w:rPr>
        <w:t>，如委员会</w:t>
      </w:r>
      <w:r w:rsidRPr="00BF42B7">
        <w:rPr>
          <w:rFonts w:hint="eastAsia"/>
          <w:lang w:val="fr-CH"/>
        </w:rPr>
        <w:t>1978</w:t>
      </w:r>
      <w:r w:rsidRPr="00BF42B7">
        <w:rPr>
          <w:rFonts w:hint="eastAsia"/>
          <w:lang w:val="fr-CH"/>
        </w:rPr>
        <w:t>年最惠国条款草案第</w:t>
      </w:r>
      <w:r w:rsidRPr="00BF42B7">
        <w:rPr>
          <w:rFonts w:hint="eastAsia"/>
          <w:lang w:val="fr-CH"/>
        </w:rPr>
        <w:t>23</w:t>
      </w:r>
      <w:r w:rsidRPr="00BF42B7">
        <w:rPr>
          <w:rFonts w:hint="eastAsia"/>
          <w:lang w:val="fr-CH"/>
        </w:rPr>
        <w:t>条草案所反映的那样</w:t>
      </w:r>
      <w:r w:rsidRPr="00BF42B7">
        <w:rPr>
          <w:lang w:val="fr-CH"/>
        </w:rPr>
        <w:t>。</w:t>
      </w:r>
      <w:r w:rsidRPr="00BF42B7">
        <w:rPr>
          <w:color w:val="0000FF"/>
          <w:vertAlign w:val="superscript"/>
          <w:lang w:val="fr-CH"/>
        </w:rPr>
        <w:footnoteReference w:id="1240"/>
      </w:r>
      <w:r w:rsidRPr="00BF42B7">
        <w:rPr>
          <w:color w:val="0000FF"/>
          <w:vertAlign w:val="superscript"/>
          <w:lang w:val="fr-CH"/>
        </w:rPr>
        <w:t xml:space="preserve"> </w:t>
      </w:r>
    </w:p>
    <w:p w:rsidR="006735D4" w:rsidRPr="00BF42B7" w:rsidRDefault="006735D4" w:rsidP="006735D4">
      <w:pPr>
        <w:tabs>
          <w:tab w:val="clear" w:pos="431"/>
          <w:tab w:val="left" w:pos="1134"/>
          <w:tab w:val="left" w:pos="1565"/>
          <w:tab w:val="left" w:pos="1996"/>
          <w:tab w:val="left" w:pos="2427"/>
        </w:tabs>
        <w:spacing w:after="120"/>
        <w:ind w:left="1134" w:right="1134"/>
      </w:pPr>
      <w:r w:rsidRPr="00BF42B7">
        <w:rPr>
          <w:rFonts w:hint="eastAsia"/>
        </w:rPr>
        <w:t xml:space="preserve">(2)  </w:t>
      </w:r>
      <w:r w:rsidRPr="00BF42B7">
        <w:rPr>
          <w:rFonts w:hint="eastAsia"/>
        </w:rPr>
        <w:t>在</w:t>
      </w:r>
      <w:r w:rsidRPr="00BF42B7">
        <w:t>环境保护</w:t>
      </w:r>
      <w:r w:rsidRPr="00BF42B7">
        <w:rPr>
          <w:rFonts w:hint="eastAsia"/>
        </w:rPr>
        <w:t>中</w:t>
      </w:r>
      <w:r w:rsidRPr="00BF42B7">
        <w:t>需要特别</w:t>
      </w:r>
      <w:r w:rsidRPr="00BF42B7">
        <w:rPr>
          <w:rFonts w:hint="eastAsia"/>
        </w:rPr>
        <w:t>考虑</w:t>
      </w:r>
      <w:r w:rsidRPr="00BF42B7">
        <w:t>发展中国家</w:t>
      </w:r>
      <w:r w:rsidRPr="00BF42B7">
        <w:rPr>
          <w:rFonts w:hint="eastAsia"/>
        </w:rPr>
        <w:t>已得到一</w:t>
      </w:r>
      <w:r w:rsidRPr="00BF42B7">
        <w:t>些国际文书</w:t>
      </w:r>
      <w:r w:rsidRPr="00BF42B7">
        <w:rPr>
          <w:rFonts w:hint="eastAsia"/>
        </w:rPr>
        <w:t>的</w:t>
      </w:r>
      <w:r w:rsidRPr="00BF42B7">
        <w:t>认可，如</w:t>
      </w:r>
      <w:r w:rsidRPr="00BF42B7">
        <w:rPr>
          <w:rFonts w:hint="eastAsia"/>
        </w:rPr>
        <w:t>1972</w:t>
      </w:r>
      <w:r w:rsidRPr="00BF42B7">
        <w:rPr>
          <w:rFonts w:hint="eastAsia"/>
        </w:rPr>
        <w:t>年《联合国人类环境会议</w:t>
      </w:r>
      <w:r w:rsidRPr="00BF42B7">
        <w:t>斯德哥尔摩</w:t>
      </w:r>
      <w:r w:rsidRPr="00BF42B7">
        <w:rPr>
          <w:rFonts w:hint="eastAsia"/>
        </w:rPr>
        <w:t>宣言》</w:t>
      </w:r>
      <w:r w:rsidRPr="00BF42B7">
        <w:rPr>
          <w:rFonts w:hint="eastAsia"/>
        </w:rPr>
        <w:t>(</w:t>
      </w:r>
      <w:r w:rsidRPr="00BF42B7">
        <w:rPr>
          <w:rFonts w:hint="eastAsia"/>
        </w:rPr>
        <w:t>下称“</w:t>
      </w:r>
      <w:r w:rsidRPr="00BF42B7">
        <w:t>《斯德哥尔摩宣言》</w:t>
      </w:r>
      <w:r w:rsidRPr="00BF42B7">
        <w:rPr>
          <w:rFonts w:hint="eastAsia"/>
        </w:rPr>
        <w:t>”</w:t>
      </w:r>
      <w:r w:rsidRPr="00BF42B7">
        <w:rPr>
          <w:rFonts w:hint="eastAsia"/>
        </w:rPr>
        <w:t>)</w:t>
      </w:r>
      <w:bookmarkStart w:id="304" w:name="_Ref454890483"/>
      <w:r w:rsidRPr="00BF42B7">
        <w:rPr>
          <w:color w:val="0000FF"/>
          <w:vertAlign w:val="superscript"/>
        </w:rPr>
        <w:footnoteReference w:id="1241"/>
      </w:r>
      <w:bookmarkEnd w:id="304"/>
      <w:r w:rsidRPr="00BF42B7">
        <w:rPr>
          <w:color w:val="0000FF"/>
          <w:vertAlign w:val="superscript"/>
        </w:rPr>
        <w:t xml:space="preserve"> </w:t>
      </w:r>
      <w:r w:rsidRPr="00BF42B7">
        <w:t>和</w:t>
      </w:r>
      <w:r w:rsidRPr="00BF42B7">
        <w:rPr>
          <w:rFonts w:hint="eastAsia"/>
        </w:rPr>
        <w:t>1992</w:t>
      </w:r>
      <w:r w:rsidRPr="00BF42B7">
        <w:rPr>
          <w:rFonts w:hint="eastAsia"/>
        </w:rPr>
        <w:t>年《关于环境与发展的里约宣言》</w:t>
      </w:r>
      <w:r w:rsidRPr="00BF42B7">
        <w:rPr>
          <w:rFonts w:hint="eastAsia"/>
        </w:rPr>
        <w:t>(</w:t>
      </w:r>
      <w:r w:rsidRPr="00BF42B7">
        <w:rPr>
          <w:rFonts w:hint="eastAsia"/>
        </w:rPr>
        <w:t>下称“</w:t>
      </w:r>
      <w:r w:rsidRPr="00BF42B7">
        <w:t>《里约宣言》</w:t>
      </w:r>
      <w:r w:rsidRPr="00BF42B7">
        <w:rPr>
          <w:rFonts w:hint="eastAsia"/>
        </w:rPr>
        <w:t>”</w:t>
      </w:r>
      <w:r w:rsidRPr="00BF42B7">
        <w:rPr>
          <w:rFonts w:hint="eastAsia"/>
        </w:rPr>
        <w:t>)</w:t>
      </w:r>
      <w:bookmarkStart w:id="305" w:name="_Ref454894631"/>
      <w:r w:rsidRPr="00BF42B7">
        <w:rPr>
          <w:color w:val="0000FF"/>
          <w:vertAlign w:val="superscript"/>
        </w:rPr>
        <w:footnoteReference w:id="1242"/>
      </w:r>
      <w:bookmarkEnd w:id="305"/>
      <w:r w:rsidRPr="00BF42B7">
        <w:rPr>
          <w:rFonts w:hint="eastAsia"/>
        </w:rPr>
        <w:t>。《</w:t>
      </w:r>
      <w:r w:rsidRPr="00BF42B7">
        <w:t>斯德哥尔摩宣言》原则</w:t>
      </w:r>
      <w:r w:rsidRPr="00BF42B7">
        <w:rPr>
          <w:rFonts w:hint="eastAsia"/>
        </w:rPr>
        <w:t>十二</w:t>
      </w:r>
      <w:r w:rsidRPr="00BF42B7">
        <w:t>强调应</w:t>
      </w:r>
      <w:r w:rsidRPr="00BF42B7">
        <w:rPr>
          <w:rFonts w:hint="eastAsia"/>
        </w:rPr>
        <w:t>“</w:t>
      </w:r>
      <w:r w:rsidRPr="00BF42B7">
        <w:t>考虑发展中国家的国情和具体需求</w:t>
      </w:r>
      <w:r w:rsidRPr="00BF42B7">
        <w:rPr>
          <w:rFonts w:hint="eastAsia"/>
        </w:rPr>
        <w:t>”</w:t>
      </w:r>
      <w:r w:rsidRPr="00BF42B7">
        <w:t>。《里约宣言》原则</w:t>
      </w:r>
      <w:r w:rsidRPr="00BF42B7">
        <w:rPr>
          <w:rFonts w:hint="eastAsia"/>
        </w:rPr>
        <w:t>六</w:t>
      </w:r>
      <w:r w:rsidRPr="00BF42B7">
        <w:t>重点指出</w:t>
      </w:r>
      <w:r w:rsidRPr="00BF42B7">
        <w:rPr>
          <w:rFonts w:hint="eastAsia"/>
        </w:rPr>
        <w:t>“</w:t>
      </w:r>
      <w:r w:rsidRPr="00BF42B7">
        <w:t>发展中国家</w:t>
      </w:r>
      <w:r w:rsidRPr="00BF42B7">
        <w:rPr>
          <w:rFonts w:hint="eastAsia"/>
        </w:rPr>
        <w:t>，</w:t>
      </w:r>
      <w:r w:rsidRPr="00BF42B7">
        <w:t>特别是最不发达国家和最易受环境影响国家的特殊需要</w:t>
      </w:r>
      <w:r w:rsidRPr="00BF42B7">
        <w:rPr>
          <w:rFonts w:hint="eastAsia"/>
        </w:rPr>
        <w:t>”。</w:t>
      </w:r>
      <w:r w:rsidRPr="00BF42B7">
        <w:rPr>
          <w:rFonts w:hint="eastAsia"/>
        </w:rPr>
        <w:t>1992</w:t>
      </w:r>
      <w:r w:rsidRPr="00BF42B7">
        <w:rPr>
          <w:rFonts w:hint="eastAsia"/>
        </w:rPr>
        <w:t>年《联合国气候变化框架公约》第三条</w:t>
      </w:r>
      <w:r w:rsidRPr="00BF42B7">
        <w:rPr>
          <w:color w:val="0000FF"/>
          <w:vertAlign w:val="superscript"/>
        </w:rPr>
        <w:footnoteReference w:id="1243"/>
      </w:r>
      <w:r w:rsidRPr="00BF42B7">
        <w:rPr>
          <w:rFonts w:hint="eastAsia"/>
        </w:rPr>
        <w:t xml:space="preserve"> </w:t>
      </w:r>
      <w:r w:rsidRPr="00BF42B7">
        <w:rPr>
          <w:rFonts w:hint="eastAsia"/>
        </w:rPr>
        <w:t>和</w:t>
      </w:r>
      <w:r w:rsidRPr="00BF42B7">
        <w:rPr>
          <w:rFonts w:hint="eastAsia"/>
        </w:rPr>
        <w:t>2015</w:t>
      </w:r>
      <w:r w:rsidRPr="00BF42B7">
        <w:rPr>
          <w:rFonts w:hint="eastAsia"/>
        </w:rPr>
        <w:t>年《巴黎协定》第二条</w:t>
      </w:r>
      <w:r w:rsidRPr="00BF42B7">
        <w:rPr>
          <w:color w:val="0000FF"/>
          <w:vertAlign w:val="superscript"/>
        </w:rPr>
        <w:footnoteReference w:id="1244"/>
      </w:r>
      <w:r w:rsidRPr="00BF42B7">
        <w:rPr>
          <w:rFonts w:hint="eastAsia"/>
        </w:rPr>
        <w:t xml:space="preserve"> </w:t>
      </w:r>
      <w:r w:rsidRPr="00BF42B7">
        <w:rPr>
          <w:rFonts w:hint="eastAsia"/>
        </w:rPr>
        <w:t>也反映了这一原则。</w:t>
      </w:r>
    </w:p>
    <w:p w:rsidR="006735D4" w:rsidRPr="00BF42B7" w:rsidRDefault="006735D4" w:rsidP="006735D4">
      <w:pPr>
        <w:tabs>
          <w:tab w:val="clear" w:pos="431"/>
          <w:tab w:val="left" w:pos="1134"/>
          <w:tab w:val="left" w:pos="1565"/>
          <w:tab w:val="left" w:pos="1996"/>
          <w:tab w:val="left" w:pos="2427"/>
        </w:tabs>
        <w:spacing w:after="120"/>
        <w:ind w:left="1134" w:right="1134"/>
      </w:pPr>
      <w:r w:rsidRPr="00BF42B7">
        <w:rPr>
          <w:rFonts w:hint="eastAsia"/>
        </w:rPr>
        <w:t xml:space="preserve">(3)  </w:t>
      </w:r>
      <w:r w:rsidRPr="00BF42B7">
        <w:rPr>
          <w:rFonts w:hint="eastAsia"/>
        </w:rPr>
        <w:t>本序言段落的行文是参照</w:t>
      </w:r>
      <w:r w:rsidRPr="00BF42B7">
        <w:rPr>
          <w:rFonts w:hint="eastAsia"/>
        </w:rPr>
        <w:t>1997</w:t>
      </w:r>
      <w:r w:rsidRPr="00BF42B7">
        <w:rPr>
          <w:rFonts w:hint="eastAsia"/>
        </w:rPr>
        <w:t>年《国际水道非航行使用法公约》</w:t>
      </w:r>
      <w:r w:rsidRPr="00BF42B7">
        <w:rPr>
          <w:color w:val="0000FF"/>
          <w:vertAlign w:val="superscript"/>
        </w:rPr>
        <w:footnoteReference w:id="1245"/>
      </w:r>
      <w:r w:rsidRPr="00BF42B7">
        <w:rPr>
          <w:rFonts w:hint="eastAsia"/>
        </w:rPr>
        <w:t xml:space="preserve"> </w:t>
      </w:r>
      <w:r w:rsidRPr="00BF42B7">
        <w:rPr>
          <w:rFonts w:hint="eastAsia"/>
        </w:rPr>
        <w:t>序言部分第七段拟订的。</w:t>
      </w:r>
    </w:p>
    <w:p w:rsidR="006735D4" w:rsidRPr="00BF42B7" w:rsidRDefault="006735D4" w:rsidP="004D02E7">
      <w:pPr>
        <w:pStyle w:val="H23GC"/>
        <w:ind w:left="1554"/>
        <w:rPr>
          <w:lang w:val="fr-CH"/>
        </w:rPr>
      </w:pPr>
      <w:r w:rsidRPr="00BF42B7">
        <w:rPr>
          <w:rFonts w:hint="eastAsia"/>
          <w:lang w:val="fr-CH"/>
        </w:rPr>
        <w:tab/>
      </w:r>
      <w:r w:rsidRPr="00BF42B7">
        <w:rPr>
          <w:rFonts w:hint="eastAsia"/>
          <w:lang w:val="fr-CH"/>
        </w:rPr>
        <w:tab/>
      </w:r>
      <w:r w:rsidRPr="00BF42B7">
        <w:rPr>
          <w:lang w:val="fr-CH"/>
        </w:rPr>
        <w:t>指南</w:t>
      </w:r>
      <w:r w:rsidRPr="00BF42B7">
        <w:rPr>
          <w:lang w:val="fr-CH"/>
        </w:rPr>
        <w:t>3</w:t>
      </w:r>
      <w:r w:rsidRPr="00BF42B7">
        <w:rPr>
          <w:rFonts w:hint="eastAsia"/>
          <w:lang w:val="fr-CH"/>
        </w:rPr>
        <w:br/>
      </w:r>
      <w:r w:rsidRPr="00BF42B7">
        <w:rPr>
          <w:rFonts w:hint="eastAsia"/>
          <w:lang w:val="fr-CH"/>
        </w:rPr>
        <w:t>保护大气层的义务</w:t>
      </w:r>
    </w:p>
    <w:p w:rsidR="006735D4" w:rsidRPr="00BF42B7" w:rsidRDefault="006735D4" w:rsidP="006735D4">
      <w:pPr>
        <w:tabs>
          <w:tab w:val="clear" w:pos="431"/>
          <w:tab w:val="left" w:pos="1134"/>
          <w:tab w:val="left" w:pos="1565"/>
          <w:tab w:val="left" w:pos="1996"/>
          <w:tab w:val="left" w:pos="2427"/>
        </w:tabs>
        <w:spacing w:after="120"/>
        <w:ind w:left="1554" w:right="1134" w:firstLine="431"/>
      </w:pPr>
      <w:r w:rsidRPr="00BF42B7">
        <w:rPr>
          <w:lang w:val="fr-CH"/>
        </w:rPr>
        <w:t>各国有义务保护大气层，履行应尽义务，按照适用的国际法规则采取适当措施，防止、减少或控制大气污染和大气层退化</w:t>
      </w:r>
      <w:r w:rsidRPr="00BF42B7">
        <w:rPr>
          <w:rFonts w:hint="eastAsia"/>
          <w:lang w:val="fr-CH"/>
        </w:rPr>
        <w:t>。</w:t>
      </w:r>
    </w:p>
    <w:p w:rsidR="006735D4" w:rsidRPr="00BF42B7" w:rsidRDefault="006735D4" w:rsidP="004D02E7">
      <w:pPr>
        <w:pStyle w:val="H23GC"/>
      </w:pPr>
      <w:r w:rsidRPr="00BF42B7">
        <w:rPr>
          <w:rFonts w:hint="eastAsia"/>
        </w:rPr>
        <w:tab/>
      </w:r>
      <w:r w:rsidRPr="00BF42B7">
        <w:rPr>
          <w:rFonts w:hint="eastAsia"/>
        </w:rPr>
        <w:tab/>
      </w:r>
      <w:r w:rsidRPr="00BF42B7">
        <w:rPr>
          <w:rFonts w:hint="eastAsia"/>
        </w:rPr>
        <w:t>评注</w:t>
      </w:r>
    </w:p>
    <w:p w:rsidR="006735D4" w:rsidRPr="00BF42B7" w:rsidRDefault="006735D4" w:rsidP="006735D4">
      <w:pPr>
        <w:tabs>
          <w:tab w:val="clear" w:pos="431"/>
          <w:tab w:val="left" w:pos="1134"/>
          <w:tab w:val="left" w:pos="1565"/>
          <w:tab w:val="left" w:pos="1996"/>
          <w:tab w:val="left" w:pos="2427"/>
        </w:tabs>
        <w:spacing w:after="120"/>
        <w:ind w:left="1134" w:right="1134"/>
      </w:pPr>
      <w:r w:rsidRPr="00BF42B7">
        <w:rPr>
          <w:rFonts w:hint="eastAsia"/>
        </w:rPr>
        <w:t xml:space="preserve">(1)  </w:t>
      </w:r>
      <w:r w:rsidRPr="00BF42B7">
        <w:rPr>
          <w:rFonts w:hint="eastAsia"/>
        </w:rPr>
        <w:t>指南草案</w:t>
      </w:r>
      <w:r w:rsidRPr="00BF42B7">
        <w:rPr>
          <w:rFonts w:hint="eastAsia"/>
        </w:rPr>
        <w:t>3</w:t>
      </w:r>
      <w:r w:rsidRPr="00BF42B7">
        <w:rPr>
          <w:rFonts w:hint="eastAsia"/>
        </w:rPr>
        <w:t>是本指南草案的核心。特别是，下文的指南草案</w:t>
      </w:r>
      <w:r w:rsidRPr="00BF42B7">
        <w:rPr>
          <w:rFonts w:hint="eastAsia"/>
        </w:rPr>
        <w:t>4</w:t>
      </w:r>
      <w:r w:rsidRPr="00BF42B7">
        <w:rPr>
          <w:rFonts w:hint="eastAsia"/>
        </w:rPr>
        <w:t>、</w:t>
      </w:r>
      <w:r w:rsidRPr="00BF42B7">
        <w:rPr>
          <w:rFonts w:hint="eastAsia"/>
        </w:rPr>
        <w:t>5</w:t>
      </w:r>
      <w:r w:rsidRPr="00BF42B7">
        <w:rPr>
          <w:rFonts w:hint="eastAsia"/>
        </w:rPr>
        <w:t>和</w:t>
      </w:r>
      <w:r w:rsidRPr="00BF42B7">
        <w:rPr>
          <w:rFonts w:hint="eastAsia"/>
        </w:rPr>
        <w:t>6</w:t>
      </w:r>
      <w:r w:rsidRPr="00BF42B7">
        <w:rPr>
          <w:rFonts w:hint="eastAsia"/>
        </w:rPr>
        <w:t>都是从这条指南中派生出来的。这三条指南草案试图将各种国际环境法原则适用于保护大气层的具体情况。</w:t>
      </w:r>
    </w:p>
    <w:p w:rsidR="006735D4" w:rsidRPr="00BF42B7" w:rsidRDefault="006735D4" w:rsidP="006735D4">
      <w:pPr>
        <w:tabs>
          <w:tab w:val="clear" w:pos="431"/>
          <w:tab w:val="left" w:pos="1134"/>
          <w:tab w:val="left" w:pos="1565"/>
          <w:tab w:val="left" w:pos="1996"/>
          <w:tab w:val="left" w:pos="2427"/>
        </w:tabs>
        <w:spacing w:after="120"/>
        <w:ind w:left="1134" w:right="1134"/>
      </w:pPr>
      <w:r w:rsidRPr="00BF42B7">
        <w:rPr>
          <w:rFonts w:hint="eastAsia"/>
        </w:rPr>
        <w:t xml:space="preserve">(2)  </w:t>
      </w:r>
      <w:r w:rsidRPr="00BF42B7">
        <w:rPr>
          <w:rFonts w:hint="eastAsia"/>
        </w:rPr>
        <w:t>本条指南草案试图将保护大气层的义务界定为防止、减少和控制大气污染和大气层退化，从而对与之相关的各类义务进行区分。指南草案的行文来自《斯德哥尔摩宣言》原则二十一，其中反映了“</w:t>
      </w:r>
      <w:r w:rsidRPr="00BF42B7">
        <w:rPr>
          <w:rFonts w:ascii="Time New Roman" w:eastAsia="楷体" w:hAnsi="Time New Roman"/>
        </w:rPr>
        <w:t>特莱尔冶炼厂仲裁案</w:t>
      </w:r>
      <w:r w:rsidRPr="00BF42B7">
        <w:rPr>
          <w:rFonts w:hint="eastAsia"/>
        </w:rPr>
        <w:t>”的裁决。</w:t>
      </w:r>
      <w:r w:rsidRPr="00BF42B7">
        <w:rPr>
          <w:bCs/>
          <w:color w:val="0000FF"/>
          <w:vertAlign w:val="superscript"/>
        </w:rPr>
        <w:footnoteReference w:id="1246"/>
      </w:r>
      <w:r w:rsidRPr="00BF42B7">
        <w:rPr>
          <w:bCs/>
          <w:color w:val="0000FF"/>
          <w:vertAlign w:val="superscript"/>
        </w:rPr>
        <w:t xml:space="preserve"> </w:t>
      </w:r>
      <w:r w:rsidRPr="00BF42B7">
        <w:rPr>
          <w:rFonts w:hint="eastAsia"/>
        </w:rPr>
        <w:t>此外，也可在</w:t>
      </w:r>
      <w:r w:rsidRPr="00BF42B7">
        <w:rPr>
          <w:rFonts w:hint="eastAsia"/>
        </w:rPr>
        <w:t>1992</w:t>
      </w:r>
      <w:r w:rsidRPr="00BF42B7">
        <w:rPr>
          <w:rFonts w:hint="eastAsia"/>
        </w:rPr>
        <w:t>年《里约宣言》原则二中找到相关论述。</w:t>
      </w:r>
    </w:p>
    <w:p w:rsidR="006735D4" w:rsidRPr="00BF42B7" w:rsidRDefault="006735D4" w:rsidP="006735D4">
      <w:pPr>
        <w:tabs>
          <w:tab w:val="clear" w:pos="431"/>
          <w:tab w:val="left" w:pos="1134"/>
          <w:tab w:val="left" w:pos="1565"/>
          <w:tab w:val="left" w:pos="1996"/>
          <w:tab w:val="left" w:pos="2427"/>
        </w:tabs>
        <w:spacing w:after="120"/>
        <w:ind w:left="1134" w:right="1134"/>
      </w:pPr>
      <w:r w:rsidRPr="00BF42B7">
        <w:rPr>
          <w:rFonts w:hint="eastAsia"/>
        </w:rPr>
        <w:t xml:space="preserve">(3)  </w:t>
      </w:r>
      <w:r w:rsidRPr="00BF42B7">
        <w:rPr>
          <w:rFonts w:hint="eastAsia"/>
        </w:rPr>
        <w:t>为了本条指南草案的目的，提及“各国”是表明国家“单独”行动和“联合”行动的可能性。指南草案提到了越境和全球背景。可以回顾，</w:t>
      </w:r>
      <w:r w:rsidRPr="00BF42B7">
        <w:rPr>
          <w:rFonts w:hint="eastAsia"/>
        </w:rPr>
        <w:t>2015</w:t>
      </w:r>
      <w:r w:rsidRPr="00BF42B7">
        <w:rPr>
          <w:rFonts w:hint="eastAsia"/>
        </w:rPr>
        <w:t>年暂时通过的指南草案</w:t>
      </w:r>
      <w:r w:rsidRPr="00BF42B7">
        <w:rPr>
          <w:rFonts w:hint="eastAsia"/>
        </w:rPr>
        <w:t>1</w:t>
      </w:r>
      <w:r w:rsidRPr="00BF42B7">
        <w:rPr>
          <w:rFonts w:hint="eastAsia"/>
        </w:rPr>
        <w:t>包含用以界定“大气污染”的“越境”要素</w:t>
      </w:r>
      <w:r w:rsidRPr="00BF42B7">
        <w:rPr>
          <w:rFonts w:hint="eastAsia"/>
        </w:rPr>
        <w:t>(</w:t>
      </w:r>
      <w:r w:rsidRPr="00BF42B7">
        <w:rPr>
          <w:rFonts w:hint="eastAsia"/>
        </w:rPr>
        <w:t>“</w:t>
      </w:r>
      <w:r w:rsidRPr="00BF42B7">
        <w:t>大气污染</w:t>
      </w:r>
      <w:r w:rsidRPr="00BF42B7">
        <w:rPr>
          <w:rFonts w:hint="eastAsia"/>
        </w:rPr>
        <w:t>”</w:t>
      </w:r>
      <w:r w:rsidRPr="00BF42B7">
        <w:t>指人类直接或间接向大气层引入或释放某些物质，产生的有害影响超出来源国，危及人类生命和健康以及地球自然环境的现象</w:t>
      </w:r>
      <w:r w:rsidRPr="00BF42B7">
        <w:rPr>
          <w:rFonts w:hint="eastAsia"/>
        </w:rPr>
        <w:t>)</w:t>
      </w:r>
      <w:r w:rsidRPr="00BF42B7">
        <w:rPr>
          <w:rFonts w:hint="eastAsia"/>
        </w:rPr>
        <w:t>和用以界定</w:t>
      </w:r>
      <w:r w:rsidRPr="00BF42B7">
        <w:t>大气层退化</w:t>
      </w:r>
      <w:r w:rsidRPr="00BF42B7">
        <w:rPr>
          <w:rFonts w:hint="eastAsia"/>
        </w:rPr>
        <w:t>的“全球”要素</w:t>
      </w:r>
      <w:r w:rsidRPr="00BF42B7">
        <w:rPr>
          <w:rFonts w:hint="eastAsia"/>
        </w:rPr>
        <w:t>(</w:t>
      </w:r>
      <w:r w:rsidRPr="00BF42B7">
        <w:rPr>
          <w:rFonts w:hint="eastAsia"/>
        </w:rPr>
        <w:t>“</w:t>
      </w:r>
      <w:r w:rsidRPr="00BF42B7">
        <w:t>指人类直接或间接改变大气状况，产生重大有害影响，危及人类生命和健康以及地球自然环境的现象</w:t>
      </w:r>
      <w:r w:rsidRPr="00BF42B7">
        <w:rPr>
          <w:rFonts w:hint="eastAsia"/>
        </w:rPr>
        <w:t>”</w:t>
      </w:r>
      <w:r w:rsidRPr="00BF42B7">
        <w:rPr>
          <w:rFonts w:hint="eastAsia"/>
        </w:rPr>
        <w:t>)</w:t>
      </w:r>
      <w:r w:rsidRPr="00BF42B7">
        <w:t>。</w:t>
      </w:r>
    </w:p>
    <w:p w:rsidR="006735D4" w:rsidRPr="00BF42B7" w:rsidRDefault="006735D4" w:rsidP="006735D4">
      <w:pPr>
        <w:tabs>
          <w:tab w:val="clear" w:pos="431"/>
          <w:tab w:val="left" w:pos="1134"/>
          <w:tab w:val="left" w:pos="1565"/>
          <w:tab w:val="left" w:pos="1996"/>
          <w:tab w:val="left" w:pos="2427"/>
        </w:tabs>
        <w:spacing w:after="120"/>
        <w:ind w:left="1134" w:right="1134"/>
      </w:pPr>
      <w:r w:rsidRPr="00BF42B7">
        <w:rPr>
          <w:rFonts w:hint="eastAsia"/>
        </w:rPr>
        <w:t xml:space="preserve">(4)  </w:t>
      </w:r>
      <w:r w:rsidRPr="00BF42B7">
        <w:rPr>
          <w:rFonts w:hint="eastAsia"/>
        </w:rPr>
        <w:t>按目前行文，本条指南草案不妨碍保护大气层义务是否属于“国家对国际不法行为的责任”条款第</w:t>
      </w:r>
      <w:r w:rsidRPr="00BF42B7">
        <w:rPr>
          <w:rFonts w:hint="eastAsia"/>
        </w:rPr>
        <w:t>48</w:t>
      </w:r>
      <w:r w:rsidRPr="00BF42B7">
        <w:rPr>
          <w:rFonts w:hint="eastAsia"/>
        </w:rPr>
        <w:t>条</w:t>
      </w:r>
      <w:r w:rsidRPr="00BF42B7">
        <w:rPr>
          <w:bCs/>
          <w:color w:val="0000FF"/>
          <w:vertAlign w:val="superscript"/>
        </w:rPr>
        <w:footnoteReference w:id="1247"/>
      </w:r>
      <w:r w:rsidRPr="00BF42B7">
        <w:rPr>
          <w:rFonts w:hint="eastAsia"/>
        </w:rPr>
        <w:t xml:space="preserve"> </w:t>
      </w:r>
      <w:r w:rsidRPr="00BF42B7">
        <w:rPr>
          <w:rFonts w:hint="eastAsia"/>
        </w:rPr>
        <w:t>意义上的普遍义务问题，对于这一问题有不同的看法。有人支持保护大气层不受全球性越境污染和全球性大气层退化影响的义务属于普遍义务，但也有人支持这种承认的法律后果在本专题下还不完全明确的观点。</w:t>
      </w:r>
    </w:p>
    <w:p w:rsidR="006735D4" w:rsidRPr="00BF42B7" w:rsidRDefault="006735D4" w:rsidP="006735D4">
      <w:pPr>
        <w:tabs>
          <w:tab w:val="clear" w:pos="431"/>
          <w:tab w:val="left" w:pos="1134"/>
          <w:tab w:val="left" w:pos="1565"/>
          <w:tab w:val="left" w:pos="1996"/>
          <w:tab w:val="left" w:pos="2427"/>
        </w:tabs>
        <w:spacing w:after="120"/>
        <w:ind w:left="1134" w:right="1134"/>
      </w:pPr>
      <w:r w:rsidRPr="00BF42B7">
        <w:rPr>
          <w:rFonts w:hint="eastAsia"/>
        </w:rPr>
        <w:t xml:space="preserve">(5)  </w:t>
      </w:r>
      <w:r w:rsidRPr="00BF42B7">
        <w:t>对大气层造成重大不利影响的主要是个人和私营工业的活动，</w:t>
      </w:r>
      <w:r w:rsidRPr="00BF42B7">
        <w:rPr>
          <w:rFonts w:hint="eastAsia"/>
        </w:rPr>
        <w:t>但</w:t>
      </w:r>
      <w:r w:rsidRPr="00BF42B7">
        <w:t>这</w:t>
      </w:r>
      <w:r w:rsidRPr="00BF42B7">
        <w:rPr>
          <w:rFonts w:hint="eastAsia"/>
        </w:rPr>
        <w:t>些</w:t>
      </w:r>
      <w:r w:rsidRPr="00BF42B7">
        <w:t>活动通常可以归咎于国家</w:t>
      </w:r>
      <w:r w:rsidRPr="00BF42B7">
        <w:rPr>
          <w:rFonts w:hint="eastAsia"/>
        </w:rPr>
        <w:t>。</w:t>
      </w:r>
      <w:r w:rsidRPr="00BF42B7">
        <w:t>在这方面，</w:t>
      </w:r>
      <w:r w:rsidRPr="00BF42B7">
        <w:rPr>
          <w:rFonts w:hint="eastAsia"/>
        </w:rPr>
        <w:t>尽职</w:t>
      </w:r>
      <w:r w:rsidRPr="00BF42B7">
        <w:t>要求国家</w:t>
      </w:r>
      <w:r w:rsidRPr="00BF42B7">
        <w:rPr>
          <w:rFonts w:hint="eastAsia"/>
        </w:rPr>
        <w:t>“</w:t>
      </w:r>
      <w:r w:rsidRPr="00BF42B7">
        <w:t>确保</w:t>
      </w:r>
      <w:r w:rsidRPr="00BF42B7">
        <w:rPr>
          <w:rFonts w:hint="eastAsia"/>
        </w:rPr>
        <w:t>”</w:t>
      </w:r>
      <w:r w:rsidRPr="00BF42B7">
        <w:t>其管辖或控制</w:t>
      </w:r>
      <w:r w:rsidRPr="00BF42B7">
        <w:rPr>
          <w:rFonts w:hint="eastAsia"/>
        </w:rPr>
        <w:t>下的</w:t>
      </w:r>
      <w:r w:rsidRPr="00BF42B7">
        <w:t>这</w:t>
      </w:r>
      <w:r w:rsidRPr="00BF42B7">
        <w:rPr>
          <w:rFonts w:hint="eastAsia"/>
        </w:rPr>
        <w:t>些</w:t>
      </w:r>
      <w:r w:rsidRPr="00BF42B7">
        <w:t>活动不造成重大不利影响。这并不意味着</w:t>
      </w:r>
      <w:r w:rsidRPr="00BF42B7">
        <w:rPr>
          <w:rFonts w:hint="eastAsia"/>
        </w:rPr>
        <w:t>尽职</w:t>
      </w:r>
      <w:r w:rsidRPr="00BF42B7">
        <w:t>仅仅适用于私营活动</w:t>
      </w:r>
      <w:r w:rsidRPr="00BF42B7">
        <w:rPr>
          <w:rFonts w:hint="eastAsia"/>
        </w:rPr>
        <w:t>，因为</w:t>
      </w:r>
      <w:r w:rsidRPr="00BF42B7">
        <w:t>国家</w:t>
      </w:r>
      <w:r w:rsidRPr="00BF42B7">
        <w:rPr>
          <w:rFonts w:hint="eastAsia"/>
        </w:rPr>
        <w:t>自己</w:t>
      </w:r>
      <w:r w:rsidRPr="00BF42B7">
        <w:t>的活动也受制于尽职规则</w:t>
      </w:r>
      <w:r w:rsidRPr="00BF42B7">
        <w:rPr>
          <w:rFonts w:hint="eastAsia"/>
        </w:rPr>
        <w:t>。</w:t>
      </w:r>
      <w:bookmarkStart w:id="306" w:name="_Ref455049568"/>
      <w:r w:rsidRPr="00BF42B7">
        <w:rPr>
          <w:color w:val="0000FF"/>
          <w:vertAlign w:val="superscript"/>
        </w:rPr>
        <w:footnoteReference w:id="1248"/>
      </w:r>
      <w:bookmarkEnd w:id="306"/>
      <w:r w:rsidRPr="00BF42B7">
        <w:rPr>
          <w:color w:val="0000FF"/>
          <w:vertAlign w:val="superscript"/>
        </w:rPr>
        <w:t xml:space="preserve"> </w:t>
      </w:r>
      <w:r w:rsidRPr="00BF42B7">
        <w:t>尽职是控制</w:t>
      </w:r>
      <w:r w:rsidRPr="00BF42B7">
        <w:rPr>
          <w:rFonts w:hint="eastAsia"/>
        </w:rPr>
        <w:t>这些</w:t>
      </w:r>
      <w:r w:rsidRPr="00BF42B7">
        <w:t>活动的国家根据能力作出最大努力的义务。因此，即使造成了</w:t>
      </w:r>
      <w:r w:rsidRPr="00BF42B7">
        <w:rPr>
          <w:rFonts w:hint="eastAsia"/>
        </w:rPr>
        <w:t>重大</w:t>
      </w:r>
      <w:r w:rsidRPr="00BF42B7">
        <w:t>不利影响，并不自动构成没有尽职</w:t>
      </w:r>
      <w:r w:rsidRPr="00BF42B7">
        <w:rPr>
          <w:rFonts w:hint="eastAsia"/>
        </w:rPr>
        <w:t>。</w:t>
      </w:r>
      <w:r w:rsidRPr="00BF42B7">
        <w:t>没有尽职限于国家在履行义务方面的疏忽</w:t>
      </w:r>
      <w:r w:rsidRPr="00BF42B7">
        <w:rPr>
          <w:rFonts w:hint="eastAsia"/>
        </w:rPr>
        <w:t>，也就是没有</w:t>
      </w:r>
      <w:r w:rsidRPr="00BF42B7">
        <w:t>采取一切适当措施</w:t>
      </w:r>
      <w:r w:rsidRPr="00BF42B7">
        <w:rPr>
          <w:rFonts w:hint="eastAsia"/>
        </w:rPr>
        <w:t>防止</w:t>
      </w:r>
      <w:r w:rsidRPr="00BF42B7">
        <w:t>、减少或</w:t>
      </w:r>
      <w:r w:rsidRPr="00BF42B7">
        <w:rPr>
          <w:rFonts w:hint="eastAsia"/>
        </w:rPr>
        <w:t>控制</w:t>
      </w:r>
      <w:r w:rsidRPr="00BF42B7">
        <w:t>人类活动，</w:t>
      </w:r>
      <w:r w:rsidRPr="00BF42B7">
        <w:rPr>
          <w:rFonts w:hint="eastAsia"/>
        </w:rPr>
        <w:t>而</w:t>
      </w:r>
      <w:r w:rsidRPr="00BF42B7">
        <w:t>这</w:t>
      </w:r>
      <w:r w:rsidRPr="00BF42B7">
        <w:rPr>
          <w:rFonts w:hint="eastAsia"/>
        </w:rPr>
        <w:t>些</w:t>
      </w:r>
      <w:r w:rsidRPr="00BF42B7">
        <w:t>活动已经或可能造成重大不利影响。国家的</w:t>
      </w:r>
      <w:r w:rsidRPr="00BF42B7">
        <w:rPr>
          <w:rFonts w:hint="eastAsia"/>
        </w:rPr>
        <w:t>“</w:t>
      </w:r>
      <w:r w:rsidRPr="00BF42B7">
        <w:t>确保</w:t>
      </w:r>
      <w:r w:rsidRPr="00BF42B7">
        <w:rPr>
          <w:rFonts w:hint="eastAsia"/>
        </w:rPr>
        <w:t>”</w:t>
      </w:r>
      <w:r w:rsidRPr="00BF42B7">
        <w:t>义务不要求取得某个结果</w:t>
      </w:r>
      <w:r w:rsidRPr="00BF42B7">
        <w:t>(</w:t>
      </w:r>
      <w:r w:rsidRPr="00BF42B7">
        <w:t>结果义务</w:t>
      </w:r>
      <w:r w:rsidRPr="00BF42B7">
        <w:t>)</w:t>
      </w:r>
      <w:r w:rsidRPr="00BF42B7">
        <w:t>，而是仅仅要求其作出做大努力避免造成</w:t>
      </w:r>
      <w:r w:rsidRPr="00BF42B7">
        <w:rPr>
          <w:rFonts w:hint="eastAsia"/>
        </w:rPr>
        <w:t>重大</w:t>
      </w:r>
      <w:r w:rsidRPr="00BF42B7">
        <w:t>不利影响</w:t>
      </w:r>
      <w:r w:rsidRPr="00BF42B7">
        <w:t>(</w:t>
      </w:r>
      <w:r w:rsidRPr="00BF42B7">
        <w:t>行为义务</w:t>
      </w:r>
      <w:r w:rsidRPr="00BF42B7">
        <w:t>)</w:t>
      </w:r>
      <w:r w:rsidRPr="00BF42B7">
        <w:rPr>
          <w:rFonts w:hint="eastAsia"/>
        </w:rPr>
        <w:t>。它要求各国采取适当措施控制公共和私人行为。尽职义务意味着警惕和预防的义务。还要求考虑到监管和技术的背景及不断发展的标准。</w:t>
      </w:r>
    </w:p>
    <w:p w:rsidR="006735D4" w:rsidRPr="00BF42B7" w:rsidRDefault="006735D4" w:rsidP="006735D4">
      <w:pPr>
        <w:tabs>
          <w:tab w:val="clear" w:pos="431"/>
          <w:tab w:val="left" w:pos="1134"/>
          <w:tab w:val="left" w:pos="1565"/>
          <w:tab w:val="left" w:pos="1996"/>
          <w:tab w:val="left" w:pos="2427"/>
        </w:tabs>
        <w:spacing w:after="120"/>
        <w:ind w:left="1134" w:right="1134"/>
      </w:pPr>
      <w:r w:rsidRPr="00BF42B7">
        <w:rPr>
          <w:rFonts w:hint="eastAsia"/>
        </w:rPr>
        <w:t xml:space="preserve">(6)  </w:t>
      </w:r>
      <w:r w:rsidRPr="00BF42B7">
        <w:rPr>
          <w:rFonts w:hint="eastAsia"/>
        </w:rPr>
        <w:t>“防止、减少或控制”的提法表示国家应按照一方面与大气污染另一方面与大气层退化相关的适用规则，单独或联合采取各种措施。“</w:t>
      </w:r>
      <w:r w:rsidRPr="00BF42B7">
        <w:rPr>
          <w:lang w:val="fr-CH"/>
        </w:rPr>
        <w:t>防止、减少</w:t>
      </w:r>
      <w:r w:rsidRPr="00BF42B7">
        <w:rPr>
          <w:spacing w:val="-2"/>
          <w:lang w:val="fr-CH"/>
        </w:rPr>
        <w:t>或控制</w:t>
      </w:r>
      <w:r w:rsidRPr="00BF42B7">
        <w:rPr>
          <w:rFonts w:hint="eastAsia"/>
          <w:spacing w:val="-2"/>
          <w:lang w:val="fr-CH"/>
        </w:rPr>
        <w:t>”一</w:t>
      </w:r>
      <w:r w:rsidRPr="00BF42B7">
        <w:rPr>
          <w:rFonts w:hint="eastAsia"/>
          <w:spacing w:val="-2"/>
        </w:rPr>
        <w:t>语借鉴于《联合国海洋法公约》</w:t>
      </w:r>
      <w:r w:rsidRPr="00BF42B7">
        <w:rPr>
          <w:bCs/>
          <w:color w:val="0000FF"/>
          <w:spacing w:val="-2"/>
          <w:vertAlign w:val="superscript"/>
        </w:rPr>
        <w:footnoteReference w:id="1249"/>
      </w:r>
      <w:r w:rsidRPr="00BF42B7">
        <w:rPr>
          <w:bCs/>
          <w:color w:val="0000FF"/>
          <w:spacing w:val="-2"/>
          <w:vertAlign w:val="superscript"/>
        </w:rPr>
        <w:t xml:space="preserve"> </w:t>
      </w:r>
      <w:r w:rsidRPr="00BF42B7">
        <w:rPr>
          <w:rFonts w:hint="eastAsia"/>
          <w:spacing w:val="-2"/>
        </w:rPr>
        <w:t>和《联合国气候变化框架公约》。</w:t>
      </w:r>
      <w:r w:rsidRPr="00BF42B7">
        <w:rPr>
          <w:bCs/>
          <w:color w:val="0000FF"/>
          <w:spacing w:val="-2"/>
          <w:vertAlign w:val="superscript"/>
        </w:rPr>
        <w:footnoteReference w:id="1250"/>
      </w:r>
    </w:p>
    <w:p w:rsidR="006735D4" w:rsidRPr="00BF42B7" w:rsidRDefault="006735D4" w:rsidP="006735D4">
      <w:pPr>
        <w:tabs>
          <w:tab w:val="clear" w:pos="431"/>
          <w:tab w:val="left" w:pos="1134"/>
          <w:tab w:val="left" w:pos="1565"/>
          <w:tab w:val="left" w:pos="1996"/>
          <w:tab w:val="left" w:pos="2427"/>
        </w:tabs>
        <w:spacing w:after="120"/>
        <w:ind w:left="1134" w:right="1134"/>
      </w:pPr>
      <w:r w:rsidRPr="00BF42B7">
        <w:rPr>
          <w:rFonts w:hint="eastAsia"/>
        </w:rPr>
        <w:t xml:space="preserve">(7)  </w:t>
      </w:r>
      <w:r w:rsidRPr="00BF42B7">
        <w:rPr>
          <w:rFonts w:hint="eastAsia"/>
        </w:rPr>
        <w:t>即使“防止、减少或控制”的适当措施同时适用于大气污染和大气层退化，但不言而喻，提及“适用的国际法规则”旨在表明所采取措施之间的差别，需要铭记大气污染的越境性质和大气层退化的全球性质以及对各自适用的不同规则。在越境大气污染情况下，各国防止重大不利影响的义务已确立为习惯国际法，例如已得到</w:t>
      </w:r>
      <w:r w:rsidRPr="00BF42B7">
        <w:t>委员会预防危险活动</w:t>
      </w:r>
      <w:r w:rsidRPr="00BF42B7">
        <w:rPr>
          <w:rFonts w:hint="eastAsia"/>
        </w:rPr>
        <w:t>的越境</w:t>
      </w:r>
      <w:r w:rsidRPr="00BF42B7">
        <w:t>损害条款</w:t>
      </w:r>
      <w:r w:rsidRPr="00BF42B7">
        <w:rPr>
          <w:bCs/>
          <w:color w:val="0000FF"/>
          <w:vertAlign w:val="superscript"/>
        </w:rPr>
        <w:footnoteReference w:id="1251"/>
      </w:r>
      <w:r w:rsidRPr="00BF42B7">
        <w:rPr>
          <w:bCs/>
          <w:color w:val="0000FF"/>
          <w:vertAlign w:val="superscript"/>
        </w:rPr>
        <w:t xml:space="preserve"> </w:t>
      </w:r>
      <w:r w:rsidRPr="00BF42B7">
        <w:rPr>
          <w:rFonts w:hint="eastAsia"/>
        </w:rPr>
        <w:t>和</w:t>
      </w:r>
      <w:r w:rsidRPr="00BF42B7">
        <w:t>各国际法院</w:t>
      </w:r>
      <w:r w:rsidRPr="00BF42B7">
        <w:rPr>
          <w:rFonts w:hint="eastAsia"/>
        </w:rPr>
        <w:t>及</w:t>
      </w:r>
      <w:r w:rsidRPr="00BF42B7">
        <w:t>法庭判例</w:t>
      </w:r>
      <w:bookmarkStart w:id="307" w:name="_Ref455049189"/>
      <w:r w:rsidRPr="00BF42B7">
        <w:rPr>
          <w:bCs/>
          <w:color w:val="0000FF"/>
          <w:vertAlign w:val="superscript"/>
        </w:rPr>
        <w:footnoteReference w:id="1252"/>
      </w:r>
      <w:bookmarkEnd w:id="307"/>
      <w:r w:rsidRPr="00BF42B7">
        <w:rPr>
          <w:bCs/>
          <w:color w:val="0000FF"/>
          <w:vertAlign w:val="superscript"/>
        </w:rPr>
        <w:t xml:space="preserve"> </w:t>
      </w:r>
      <w:r w:rsidRPr="00BF42B7">
        <w:rPr>
          <w:rFonts w:hint="eastAsia"/>
        </w:rPr>
        <w:t>的</w:t>
      </w:r>
      <w:r w:rsidRPr="00BF42B7">
        <w:t>确认</w:t>
      </w:r>
      <w:r w:rsidRPr="00BF42B7">
        <w:rPr>
          <w:rFonts w:hint="eastAsia"/>
        </w:rPr>
        <w:t>。然而，这项与全球大气层退化相关的义务的存在仍是一个未决问题。国际法院指出，“</w:t>
      </w:r>
      <w:r w:rsidRPr="00BF42B7">
        <w:rPr>
          <w:rFonts w:hint="eastAsia"/>
          <w:lang w:val="en-GB"/>
        </w:rPr>
        <w:t>各国履行一般义务以确保在其管辖和控制范围内的活动尊重</w:t>
      </w:r>
      <w:r w:rsidRPr="00BF42B7">
        <w:rPr>
          <w:rFonts w:hint="eastAsia"/>
        </w:rPr>
        <w:t>……</w:t>
      </w:r>
      <w:r w:rsidRPr="00BF42B7">
        <w:rPr>
          <w:rFonts w:hint="eastAsia"/>
          <w:lang w:val="en-GB"/>
        </w:rPr>
        <w:t>国家控制范围以外地区的环境，</w:t>
      </w:r>
      <w:r w:rsidRPr="00BF42B7">
        <w:t>目前已成为国际法典</w:t>
      </w:r>
      <w:r w:rsidRPr="00BF42B7">
        <w:rPr>
          <w:rFonts w:hint="eastAsia"/>
        </w:rPr>
        <w:t>的</w:t>
      </w:r>
      <w:r w:rsidRPr="00BF42B7">
        <w:t>一部分</w:t>
      </w:r>
      <w:r w:rsidRPr="00BF42B7">
        <w:rPr>
          <w:rFonts w:hint="eastAsia"/>
          <w:lang w:val="en-GB"/>
        </w:rPr>
        <w:t>，</w:t>
      </w:r>
      <w:r w:rsidRPr="00BF42B7">
        <w:rPr>
          <w:rFonts w:hint="eastAsia"/>
        </w:rPr>
        <w:t>”</w:t>
      </w:r>
      <w:r w:rsidRPr="00BF42B7">
        <w:rPr>
          <w:bCs/>
          <w:color w:val="0000FF"/>
          <w:vertAlign w:val="superscript"/>
        </w:rPr>
        <w:footnoteReference w:id="1253"/>
      </w:r>
      <w:r w:rsidRPr="00BF42B7">
        <w:rPr>
          <w:bCs/>
          <w:color w:val="0000FF"/>
          <w:vertAlign w:val="superscript"/>
        </w:rPr>
        <w:t xml:space="preserve"> </w:t>
      </w:r>
      <w:r w:rsidRPr="00BF42B7">
        <w:rPr>
          <w:rFonts w:hint="eastAsia"/>
        </w:rPr>
        <w:t>并十分重视对环境的尊重，“</w:t>
      </w:r>
      <w:r w:rsidRPr="00BF42B7">
        <w:t>不仅</w:t>
      </w:r>
      <w:r w:rsidRPr="00BF42B7">
        <w:rPr>
          <w:rFonts w:hint="eastAsia"/>
        </w:rPr>
        <w:t>对</w:t>
      </w:r>
      <w:r w:rsidRPr="00BF42B7">
        <w:t>国家，也</w:t>
      </w:r>
      <w:r w:rsidRPr="00BF42B7">
        <w:rPr>
          <w:rFonts w:hint="eastAsia"/>
        </w:rPr>
        <w:t>对</w:t>
      </w:r>
      <w:r w:rsidRPr="00BF42B7">
        <w:t>全人类</w:t>
      </w:r>
      <w:r w:rsidRPr="00BF42B7">
        <w:rPr>
          <w:rFonts w:hint="eastAsia"/>
        </w:rPr>
        <w:t>而言”。</w:t>
      </w:r>
      <w:r w:rsidRPr="00BF42B7">
        <w:rPr>
          <w:bCs/>
          <w:color w:val="0000FF"/>
          <w:vertAlign w:val="superscript"/>
        </w:rPr>
        <w:footnoteReference w:id="1254"/>
      </w:r>
      <w:r w:rsidRPr="00BF42B7">
        <w:rPr>
          <w:rFonts w:hint="eastAsia"/>
        </w:rPr>
        <w:t xml:space="preserve"> </w:t>
      </w:r>
      <w:r w:rsidRPr="00BF42B7">
        <w:rPr>
          <w:rFonts w:hint="eastAsia"/>
        </w:rPr>
        <w:t>该法院在</w:t>
      </w:r>
      <w:r w:rsidRPr="00BF42B7">
        <w:rPr>
          <w:rFonts w:ascii="Time New Roman" w:eastAsia="楷体" w:hAnsi="Time New Roman" w:cs="宋体" w:hint="eastAsia"/>
        </w:rPr>
        <w:t>莱茵铁路公司案</w:t>
      </w:r>
      <w:r w:rsidRPr="00BF42B7">
        <w:rPr>
          <w:rFonts w:hint="eastAsia"/>
        </w:rPr>
        <w:t>中指出，“防止或至少减轻</w:t>
      </w:r>
      <w:r w:rsidRPr="00BF42B7">
        <w:rPr>
          <w:rFonts w:hint="eastAsia"/>
        </w:rPr>
        <w:t>[</w:t>
      </w:r>
      <w:r w:rsidRPr="00BF42B7">
        <w:rPr>
          <w:rFonts w:hint="eastAsia"/>
        </w:rPr>
        <w:t>对环境的重大损害</w:t>
      </w:r>
      <w:r w:rsidRPr="00BF42B7">
        <w:rPr>
          <w:rFonts w:hint="eastAsia"/>
        </w:rPr>
        <w:t>]</w:t>
      </w:r>
      <w:r w:rsidRPr="00BF42B7">
        <w:rPr>
          <w:rFonts w:hint="eastAsia"/>
        </w:rPr>
        <w:t>……现已成为一般国际法原则”</w:t>
      </w:r>
      <w:bookmarkStart w:id="308" w:name="_Ref455064805"/>
      <w:r w:rsidRPr="00BF42B7">
        <w:rPr>
          <w:rFonts w:hint="eastAsia"/>
        </w:rPr>
        <w:t>。</w:t>
      </w:r>
      <w:bookmarkEnd w:id="308"/>
      <w:r w:rsidRPr="00BF42B7">
        <w:rPr>
          <w:bCs/>
          <w:color w:val="0000FF"/>
          <w:vertAlign w:val="superscript"/>
        </w:rPr>
        <w:footnoteReference w:id="1255"/>
      </w:r>
      <w:r w:rsidRPr="00BF42B7">
        <w:rPr>
          <w:rFonts w:hint="eastAsia"/>
        </w:rPr>
        <w:t xml:space="preserve"> </w:t>
      </w:r>
      <w:r w:rsidRPr="00BF42B7">
        <w:rPr>
          <w:rFonts w:hint="eastAsia"/>
        </w:rPr>
        <w:t>然而，在这些说法可否视为完全支持对国际习惯法中存在</w:t>
      </w:r>
      <w:r w:rsidRPr="00BF42B7">
        <w:rPr>
          <w:lang w:val="fr-CH"/>
        </w:rPr>
        <w:t>防止、减少或控制大气污染和大气层退化</w:t>
      </w:r>
      <w:r w:rsidRPr="00BF42B7">
        <w:rPr>
          <w:rFonts w:hint="eastAsia"/>
          <w:lang w:val="fr-CH"/>
        </w:rPr>
        <w:t>这一义务的</w:t>
      </w:r>
      <w:r w:rsidRPr="00BF42B7">
        <w:rPr>
          <w:rFonts w:hint="eastAsia"/>
        </w:rPr>
        <w:t>承认方面，委员们意见不一。不过，这一义务见于某些有关公约。</w:t>
      </w:r>
      <w:r w:rsidRPr="00BF42B7">
        <w:rPr>
          <w:color w:val="0000FF"/>
          <w:vertAlign w:val="superscript"/>
        </w:rPr>
        <w:footnoteReference w:id="1256"/>
      </w:r>
      <w:r w:rsidRPr="00BF42B7">
        <w:rPr>
          <w:rFonts w:hint="eastAsia"/>
        </w:rPr>
        <w:t xml:space="preserve"> </w:t>
      </w:r>
      <w:r w:rsidRPr="00BF42B7">
        <w:rPr>
          <w:rFonts w:hint="eastAsia"/>
        </w:rPr>
        <w:t>在这方面，应当指出的是，《巴黎协定》在序言中“</w:t>
      </w:r>
      <w:r w:rsidRPr="00BF42B7">
        <w:t>承认</w:t>
      </w:r>
      <w:r w:rsidRPr="00BF42B7">
        <w:rPr>
          <w:rFonts w:hint="eastAsia"/>
        </w:rPr>
        <w:t>气候变化是人类共同关心的问题”，指出“必须确保包括海洋在内的所有生态系统的完整性并保护……生物多样性”。</w:t>
      </w:r>
      <w:r w:rsidRPr="00BF42B7">
        <w:rPr>
          <w:color w:val="0000FF"/>
          <w:vertAlign w:val="superscript"/>
        </w:rPr>
        <w:footnoteReference w:id="1257"/>
      </w:r>
    </w:p>
    <w:p w:rsidR="006735D4" w:rsidRPr="00BF42B7" w:rsidRDefault="006735D4" w:rsidP="004D02E7">
      <w:pPr>
        <w:pStyle w:val="H23GC"/>
        <w:ind w:left="1554"/>
        <w:rPr>
          <w:lang w:val="fr-CH"/>
        </w:rPr>
      </w:pPr>
      <w:r w:rsidRPr="00BF42B7">
        <w:rPr>
          <w:rFonts w:hint="eastAsia"/>
          <w:lang w:val="fr-CH"/>
        </w:rPr>
        <w:tab/>
      </w:r>
      <w:r w:rsidRPr="00BF42B7">
        <w:rPr>
          <w:rFonts w:hint="eastAsia"/>
          <w:lang w:val="fr-CH"/>
        </w:rPr>
        <w:tab/>
      </w:r>
      <w:r w:rsidRPr="00BF42B7">
        <w:rPr>
          <w:lang w:val="fr-CH"/>
        </w:rPr>
        <w:t>指南</w:t>
      </w:r>
      <w:r w:rsidRPr="00BF42B7">
        <w:rPr>
          <w:lang w:val="fr-CH"/>
        </w:rPr>
        <w:t>4</w:t>
      </w:r>
      <w:r w:rsidRPr="00BF42B7">
        <w:rPr>
          <w:rFonts w:hint="eastAsia"/>
          <w:lang w:val="fr-CH"/>
        </w:rPr>
        <w:br/>
      </w:r>
      <w:r w:rsidRPr="00BF42B7">
        <w:rPr>
          <w:lang w:val="fr-CH"/>
        </w:rPr>
        <w:t>环境影响评估</w:t>
      </w:r>
    </w:p>
    <w:p w:rsidR="006735D4" w:rsidRPr="00BF42B7" w:rsidRDefault="006735D4" w:rsidP="006735D4">
      <w:pPr>
        <w:tabs>
          <w:tab w:val="clear" w:pos="431"/>
          <w:tab w:val="left" w:pos="1134"/>
          <w:tab w:val="left" w:pos="1565"/>
          <w:tab w:val="left" w:pos="1996"/>
          <w:tab w:val="left" w:pos="2427"/>
        </w:tabs>
        <w:spacing w:after="120"/>
        <w:ind w:left="1554" w:right="1134" w:firstLine="431"/>
        <w:rPr>
          <w:lang w:val="en-GB"/>
        </w:rPr>
      </w:pPr>
      <w:r w:rsidRPr="00BF42B7">
        <w:rPr>
          <w:rFonts w:hint="eastAsia"/>
          <w:lang w:val="en-GB"/>
        </w:rPr>
        <w:t>对于在本国管辖或控制下拟议开展的活动，凡可能对大气层造成大气污染或大气层退化等重大不利影响的，各国有义务确保进行环境影响评估。</w:t>
      </w:r>
    </w:p>
    <w:p w:rsidR="006735D4" w:rsidRPr="00BF42B7" w:rsidRDefault="006735D4" w:rsidP="004D02E7">
      <w:pPr>
        <w:pStyle w:val="H23GC"/>
      </w:pPr>
      <w:r w:rsidRPr="00BF42B7">
        <w:rPr>
          <w:rFonts w:hint="eastAsia"/>
        </w:rPr>
        <w:tab/>
      </w:r>
      <w:r w:rsidRPr="00BF42B7">
        <w:rPr>
          <w:rFonts w:hint="eastAsia"/>
        </w:rPr>
        <w:tab/>
      </w:r>
      <w:r w:rsidRPr="00BF42B7">
        <w:rPr>
          <w:rFonts w:hint="eastAsia"/>
        </w:rPr>
        <w:t>评注</w:t>
      </w:r>
    </w:p>
    <w:p w:rsidR="006735D4" w:rsidRPr="00BF42B7" w:rsidRDefault="006735D4" w:rsidP="006735D4">
      <w:pPr>
        <w:tabs>
          <w:tab w:val="clear" w:pos="431"/>
          <w:tab w:val="left" w:pos="1134"/>
          <w:tab w:val="left" w:pos="1565"/>
          <w:tab w:val="left" w:pos="1996"/>
          <w:tab w:val="left" w:pos="2427"/>
        </w:tabs>
        <w:spacing w:after="120"/>
        <w:ind w:left="1134" w:right="1134"/>
      </w:pPr>
      <w:r w:rsidRPr="00BF42B7">
        <w:rPr>
          <w:rFonts w:hint="eastAsia"/>
        </w:rPr>
        <w:t xml:space="preserve">(1)  </w:t>
      </w:r>
      <w:r w:rsidRPr="00BF42B7">
        <w:rPr>
          <w:rFonts w:hint="eastAsia"/>
        </w:rPr>
        <w:t>指南草案</w:t>
      </w:r>
      <w:r w:rsidRPr="00BF42B7">
        <w:rPr>
          <w:rFonts w:hint="eastAsia"/>
        </w:rPr>
        <w:t>4</w:t>
      </w:r>
      <w:r w:rsidRPr="00BF42B7">
        <w:rPr>
          <w:rFonts w:hint="eastAsia"/>
        </w:rPr>
        <w:t>涉及环境影响评估。这是从总体性指南草案</w:t>
      </w:r>
      <w:r w:rsidRPr="00BF42B7">
        <w:rPr>
          <w:rFonts w:hint="eastAsia"/>
        </w:rPr>
        <w:t>3</w:t>
      </w:r>
      <w:r w:rsidRPr="00BF42B7">
        <w:rPr>
          <w:rFonts w:hint="eastAsia"/>
        </w:rPr>
        <w:t>中派生出来的三条指南草案的第一条。</w:t>
      </w:r>
      <w:r w:rsidRPr="00BF42B7">
        <w:t>国际法院</w:t>
      </w:r>
      <w:r w:rsidRPr="00BF42B7">
        <w:rPr>
          <w:rFonts w:hint="eastAsia"/>
        </w:rPr>
        <w:t>在</w:t>
      </w:r>
      <w:r w:rsidRPr="00BF42B7">
        <w:rPr>
          <w:rFonts w:ascii="Time New Roman" w:eastAsia="楷体" w:hAnsi="Time New Roman"/>
        </w:rPr>
        <w:t>哥斯达黎加沿圣胡安河修建道路</w:t>
      </w:r>
      <w:r w:rsidRPr="00BF42B7">
        <w:rPr>
          <w:rFonts w:ascii="Time New Roman" w:eastAsia="楷体" w:hAnsi="Time New Roman" w:hint="eastAsia"/>
        </w:rPr>
        <w:t>案</w:t>
      </w:r>
      <w:r w:rsidRPr="00BF42B7">
        <w:t>中</w:t>
      </w:r>
      <w:r w:rsidRPr="00BF42B7">
        <w:rPr>
          <w:rFonts w:hint="eastAsia"/>
        </w:rPr>
        <w:t>指出</w:t>
      </w:r>
      <w:r w:rsidRPr="00BF42B7">
        <w:t>，</w:t>
      </w:r>
      <w:r w:rsidRPr="00BF42B7">
        <w:rPr>
          <w:rFonts w:hint="eastAsia"/>
        </w:rPr>
        <w:t>“</w:t>
      </w:r>
      <w:r w:rsidRPr="00BF42B7">
        <w:t>国家</w:t>
      </w:r>
      <w:r w:rsidRPr="00BF42B7">
        <w:rPr>
          <w:rFonts w:hint="eastAsia"/>
        </w:rPr>
        <w:t>对防止</w:t>
      </w:r>
      <w:r w:rsidRPr="00BF42B7">
        <w:t>重大越境损害履行尽职义务，要求一国在开展可能对另一国环境造成不利影响的活动之前，</w:t>
      </w:r>
      <w:r w:rsidRPr="00BF42B7">
        <w:rPr>
          <w:rFonts w:hint="eastAsia"/>
        </w:rPr>
        <w:t>必须</w:t>
      </w:r>
      <w:r w:rsidRPr="00BF42B7">
        <w:t>确定是否有造成重大越境损害的可能。如果存在这种可能，有关国家必须开展环境影响评估</w:t>
      </w:r>
      <w:r w:rsidRPr="00BF42B7">
        <w:rPr>
          <w:rFonts w:hint="eastAsia"/>
        </w:rPr>
        <w:t>”。</w:t>
      </w:r>
      <w:bookmarkStart w:id="309" w:name="_Ref455051950"/>
      <w:r w:rsidRPr="00BF42B7">
        <w:rPr>
          <w:color w:val="0000FF"/>
          <w:vertAlign w:val="superscript"/>
        </w:rPr>
        <w:footnoteReference w:id="1258"/>
      </w:r>
      <w:bookmarkEnd w:id="309"/>
      <w:r w:rsidRPr="00BF42B7">
        <w:rPr>
          <w:color w:val="0000FF"/>
          <w:vertAlign w:val="superscript"/>
        </w:rPr>
        <w:t xml:space="preserve"> </w:t>
      </w:r>
      <w:r w:rsidRPr="00BF42B7">
        <w:rPr>
          <w:rFonts w:hint="eastAsia"/>
        </w:rPr>
        <w:t>在上述案件中，国际法院判定</w:t>
      </w:r>
      <w:r w:rsidRPr="00BF42B7">
        <w:t>，该国</w:t>
      </w:r>
      <w:r w:rsidRPr="00BF42B7">
        <w:rPr>
          <w:rFonts w:hint="eastAsia"/>
        </w:rPr>
        <w:t>“</w:t>
      </w:r>
      <w:r w:rsidRPr="00BF42B7">
        <w:t>未履行一般国际法规定的在建造道路之前开展环境影响评估的义务</w:t>
      </w:r>
      <w:r w:rsidRPr="00BF42B7">
        <w:rPr>
          <w:rFonts w:hint="eastAsia"/>
        </w:rPr>
        <w:t>”。</w:t>
      </w:r>
      <w:r w:rsidRPr="00BF42B7">
        <w:rPr>
          <w:color w:val="0000FF"/>
          <w:vertAlign w:val="superscript"/>
        </w:rPr>
        <w:footnoteReference w:id="1259"/>
      </w:r>
      <w:r w:rsidRPr="00BF42B7">
        <w:rPr>
          <w:color w:val="0000FF"/>
          <w:vertAlign w:val="superscript"/>
        </w:rPr>
        <w:t xml:space="preserve"> </w:t>
      </w:r>
      <w:r w:rsidRPr="00BF42B7">
        <w:rPr>
          <w:rFonts w:hint="eastAsia"/>
          <w:spacing w:val="-2"/>
        </w:rPr>
        <w:t>小和田恒法官在个人意见中</w:t>
      </w:r>
      <w:r w:rsidRPr="00BF42B7">
        <w:rPr>
          <w:spacing w:val="-2"/>
        </w:rPr>
        <w:t>指出，</w:t>
      </w:r>
      <w:r w:rsidRPr="00BF42B7">
        <w:rPr>
          <w:rFonts w:hint="eastAsia"/>
          <w:spacing w:val="-2"/>
        </w:rPr>
        <w:t>“</w:t>
      </w:r>
      <w:r w:rsidRPr="00BF42B7">
        <w:rPr>
          <w:spacing w:val="-2"/>
        </w:rPr>
        <w:t>环境影响评估</w:t>
      </w:r>
      <w:r w:rsidRPr="00BF42B7">
        <w:rPr>
          <w:rFonts w:hint="eastAsia"/>
          <w:spacing w:val="-2"/>
        </w:rPr>
        <w:t>对</w:t>
      </w:r>
      <w:r w:rsidRPr="00BF42B7">
        <w:rPr>
          <w:spacing w:val="-2"/>
        </w:rPr>
        <w:t>确保</w:t>
      </w:r>
      <w:r w:rsidRPr="00BF42B7">
        <w:rPr>
          <w:rFonts w:hint="eastAsia"/>
          <w:spacing w:val="-2"/>
        </w:rPr>
        <w:t>有关国家</w:t>
      </w:r>
      <w:r w:rsidRPr="00BF42B7">
        <w:rPr>
          <w:spacing w:val="-2"/>
        </w:rPr>
        <w:t>根据一般国际环境法规定</w:t>
      </w:r>
      <w:r w:rsidRPr="00BF42B7">
        <w:rPr>
          <w:rFonts w:hint="eastAsia"/>
          <w:spacing w:val="-2"/>
        </w:rPr>
        <w:t>采取行动，履行</w:t>
      </w:r>
      <w:r w:rsidRPr="00BF42B7">
        <w:rPr>
          <w:spacing w:val="-2"/>
        </w:rPr>
        <w:t>应尽职责，具有重要甚至关键</w:t>
      </w:r>
      <w:r w:rsidRPr="00BF42B7">
        <w:rPr>
          <w:rFonts w:hint="eastAsia"/>
          <w:spacing w:val="-2"/>
        </w:rPr>
        <w:t>性</w:t>
      </w:r>
      <w:r w:rsidRPr="00BF42B7">
        <w:rPr>
          <w:spacing w:val="-2"/>
        </w:rPr>
        <w:t>作用</w:t>
      </w:r>
      <w:r w:rsidRPr="00BF42B7">
        <w:rPr>
          <w:rFonts w:hint="eastAsia"/>
          <w:spacing w:val="-2"/>
        </w:rPr>
        <w:t>”</w:t>
      </w:r>
      <w:r w:rsidRPr="00BF42B7">
        <w:rPr>
          <w:spacing w:val="-2"/>
        </w:rPr>
        <w:t>。</w:t>
      </w:r>
      <w:r w:rsidRPr="00BF42B7">
        <w:rPr>
          <w:color w:val="0000FF"/>
          <w:spacing w:val="-2"/>
          <w:vertAlign w:val="superscript"/>
        </w:rPr>
        <w:footnoteReference w:id="1260"/>
      </w:r>
      <w:r w:rsidRPr="00BF42B7">
        <w:rPr>
          <w:rFonts w:hint="eastAsia"/>
        </w:rPr>
        <w:t xml:space="preserve"> </w:t>
      </w:r>
      <w:r w:rsidRPr="00BF42B7">
        <w:rPr>
          <w:rFonts w:hint="eastAsia"/>
        </w:rPr>
        <w:t>另两位法官在</w:t>
      </w:r>
      <w:r w:rsidRPr="00BF42B7">
        <w:rPr>
          <w:szCs w:val="18"/>
        </w:rPr>
        <w:t>Gabčíkovo-Nagymaros</w:t>
      </w:r>
      <w:r w:rsidRPr="00BF42B7">
        <w:rPr>
          <w:rFonts w:ascii="Time New Roman" w:eastAsia="楷体" w:hAnsi="Time New Roman"/>
          <w:szCs w:val="18"/>
        </w:rPr>
        <w:t>项目</w:t>
      </w:r>
      <w:r w:rsidRPr="00BF42B7">
        <w:rPr>
          <w:rFonts w:ascii="Time New Roman" w:eastAsia="楷体" w:hAnsi="Time New Roman" w:hint="eastAsia"/>
          <w:szCs w:val="18"/>
        </w:rPr>
        <w:t>案</w:t>
      </w:r>
      <w:r w:rsidRPr="00BF42B7">
        <w:rPr>
          <w:iCs/>
          <w:color w:val="0000FF"/>
          <w:vertAlign w:val="superscript"/>
        </w:rPr>
        <w:footnoteReference w:id="1261"/>
      </w:r>
      <w:r w:rsidRPr="00BF42B7">
        <w:rPr>
          <w:rFonts w:ascii="Time New Roman" w:eastAsia="楷体" w:hAnsi="Time New Roman" w:hint="eastAsia"/>
          <w:szCs w:val="18"/>
        </w:rPr>
        <w:t xml:space="preserve"> </w:t>
      </w:r>
      <w:r w:rsidRPr="00BF42B7">
        <w:rPr>
          <w:rFonts w:hint="eastAsia"/>
        </w:rPr>
        <w:t>和</w:t>
      </w:r>
      <w:r w:rsidRPr="00BF42B7">
        <w:rPr>
          <w:rFonts w:ascii="Time New Roman" w:eastAsia="楷体" w:hAnsi="Time New Roman" w:hint="eastAsia"/>
        </w:rPr>
        <w:t>乌拉圭河沿岸纸浆厂案</w:t>
      </w:r>
      <w:r w:rsidRPr="00BF42B7">
        <w:rPr>
          <w:iCs/>
          <w:color w:val="0000FF"/>
          <w:u w:color="000000"/>
          <w:bdr w:val="nil"/>
          <w:vertAlign w:val="superscript"/>
        </w:rPr>
        <w:footnoteReference w:id="1262"/>
      </w:r>
      <w:r w:rsidRPr="00BF42B7">
        <w:rPr>
          <w:rFonts w:ascii="Time New Roman" w:eastAsia="楷体" w:hAnsi="Time New Roman" w:hint="eastAsia"/>
        </w:rPr>
        <w:t xml:space="preserve"> </w:t>
      </w:r>
      <w:r w:rsidRPr="00BF42B7">
        <w:rPr>
          <w:rFonts w:hint="eastAsia"/>
        </w:rPr>
        <w:t>中间接指出了环境影响评估的重要性。国际海洋法法庭</w:t>
      </w:r>
      <w:r w:rsidRPr="00BF42B7">
        <w:t>海底争端分庭</w:t>
      </w:r>
      <w:r w:rsidRPr="00BF42B7">
        <w:rPr>
          <w:rFonts w:hint="eastAsia"/>
        </w:rPr>
        <w:t>2011</w:t>
      </w:r>
      <w:r w:rsidRPr="00BF42B7">
        <w:rPr>
          <w:rFonts w:hint="eastAsia"/>
        </w:rPr>
        <w:t>年提出了关于“国家对区域内活动的责任和义务”的咨询意见，其中将开展环境影响评估列为</w:t>
      </w:r>
      <w:r w:rsidRPr="00BF42B7">
        <w:t>担保国</w:t>
      </w:r>
      <w:r w:rsidRPr="00BF42B7">
        <w:rPr>
          <w:rFonts w:hint="eastAsia"/>
        </w:rPr>
        <w:t>直接承担的义务之一。</w:t>
      </w:r>
      <w:r w:rsidRPr="00BF42B7">
        <w:rPr>
          <w:color w:val="0000FF"/>
          <w:vertAlign w:val="superscript"/>
        </w:rPr>
        <w:footnoteReference w:id="1263"/>
      </w:r>
    </w:p>
    <w:p w:rsidR="006735D4" w:rsidRPr="00BF42B7" w:rsidRDefault="006735D4" w:rsidP="006735D4">
      <w:pPr>
        <w:tabs>
          <w:tab w:val="clear" w:pos="431"/>
          <w:tab w:val="left" w:pos="1134"/>
          <w:tab w:val="left" w:pos="1565"/>
          <w:tab w:val="left" w:pos="1996"/>
          <w:tab w:val="left" w:pos="2427"/>
        </w:tabs>
        <w:spacing w:after="120"/>
        <w:ind w:left="1134" w:right="1134"/>
      </w:pPr>
      <w:r w:rsidRPr="00BF42B7">
        <w:rPr>
          <w:rFonts w:hint="eastAsia"/>
        </w:rPr>
        <w:t xml:space="preserve">(2)  </w:t>
      </w:r>
      <w:r w:rsidRPr="00BF42B7">
        <w:rPr>
          <w:rFonts w:hint="eastAsia"/>
        </w:rPr>
        <w:t>指南草案使用被动语态</w:t>
      </w:r>
      <w:r w:rsidRPr="00BF42B7">
        <w:rPr>
          <w:rFonts w:hint="eastAsia"/>
          <w:spacing w:val="-50"/>
        </w:rPr>
        <w:t>―</w:t>
      </w:r>
      <w:r w:rsidRPr="00BF42B7">
        <w:rPr>
          <w:rFonts w:hint="eastAsia"/>
        </w:rPr>
        <w:t>―“各国有义务确保进行环境影响评估”，是相对于“各国有义务进行适当的环境影响评估”而言，表明这是一项行为义务。由于经济行为者的广泛性，这项义务不一定要求国家本身进行环境影响评估。所要求的是国家为进行环境影响评估采取必要立法、监管和其他措施，以便对拟议活动进行环境影响评估。通知和协商是评估的关键。</w:t>
      </w:r>
    </w:p>
    <w:p w:rsidR="006735D4" w:rsidRPr="00BF42B7" w:rsidRDefault="006735D4" w:rsidP="006735D4">
      <w:pPr>
        <w:tabs>
          <w:tab w:val="clear" w:pos="431"/>
          <w:tab w:val="left" w:pos="1134"/>
          <w:tab w:val="left" w:pos="1565"/>
          <w:tab w:val="left" w:pos="1996"/>
          <w:tab w:val="left" w:pos="2427"/>
        </w:tabs>
        <w:spacing w:after="120"/>
        <w:ind w:left="1134" w:right="1134"/>
      </w:pPr>
      <w:r w:rsidRPr="00BF42B7">
        <w:rPr>
          <w:rFonts w:hint="eastAsia"/>
        </w:rPr>
        <w:t xml:space="preserve">(3)  </w:t>
      </w:r>
      <w:r w:rsidRPr="00BF42B7">
        <w:rPr>
          <w:rFonts w:hint="eastAsia"/>
        </w:rPr>
        <w:t>“在本国管辖或控制下拟议开展的活动”一语旨在表明，各国确保进行环境影响评估的义务是针对其管辖或控制下的活动的。由于环境威胁不分边界，不排除各国可以作为其全球环境责任的一部分，就环境影响评估做出联合决定。</w:t>
      </w:r>
    </w:p>
    <w:p w:rsidR="006735D4" w:rsidRPr="00BF42B7" w:rsidRDefault="006735D4" w:rsidP="006735D4">
      <w:pPr>
        <w:tabs>
          <w:tab w:val="clear" w:pos="431"/>
          <w:tab w:val="left" w:pos="1134"/>
          <w:tab w:val="left" w:pos="1565"/>
          <w:tab w:val="left" w:pos="1996"/>
          <w:tab w:val="left" w:pos="2427"/>
        </w:tabs>
        <w:spacing w:after="120"/>
        <w:ind w:left="1134" w:right="1134"/>
      </w:pPr>
      <w:r w:rsidRPr="00BF42B7">
        <w:rPr>
          <w:rFonts w:hint="eastAsia"/>
        </w:rPr>
        <w:t xml:space="preserve">(4)  </w:t>
      </w:r>
      <w:r w:rsidRPr="00BF42B7">
        <w:rPr>
          <w:rFonts w:hint="eastAsia"/>
        </w:rPr>
        <w:t>阈值被认为是开展环境影响评估所必要的。因此添加了“可能造成</w:t>
      </w:r>
      <w:r w:rsidRPr="00BF42B7">
        <w:rPr>
          <w:lang w:val="fr-CH"/>
        </w:rPr>
        <w:t>重大不利影响</w:t>
      </w:r>
      <w:r w:rsidRPr="00BF42B7">
        <w:rPr>
          <w:rFonts w:hint="eastAsia"/>
          <w:lang w:val="fr-CH"/>
        </w:rPr>
        <w:t>”一语。这句话来自《</w:t>
      </w:r>
      <w:r w:rsidRPr="00BF42B7">
        <w:rPr>
          <w:rFonts w:hint="eastAsia"/>
        </w:rPr>
        <w:t>里约宣言》原则十七。其他一些文书也使用了类似的阈值，如</w:t>
      </w:r>
      <w:r w:rsidRPr="00BF42B7">
        <w:t>《</w:t>
      </w:r>
      <w:r w:rsidRPr="00BF42B7">
        <w:rPr>
          <w:rFonts w:hint="eastAsia"/>
        </w:rPr>
        <w:t>关于</w:t>
      </w:r>
      <w:r w:rsidRPr="00BF42B7">
        <w:t>越境环境影响评估</w:t>
      </w:r>
      <w:r w:rsidRPr="00BF42B7">
        <w:rPr>
          <w:rFonts w:hint="eastAsia"/>
        </w:rPr>
        <w:t>的埃斯波</w:t>
      </w:r>
      <w:r w:rsidRPr="00BF42B7">
        <w:t>公约》</w:t>
      </w:r>
      <w:r w:rsidRPr="00BF42B7">
        <w:rPr>
          <w:color w:val="0000FF"/>
          <w:vertAlign w:val="superscript"/>
        </w:rPr>
        <w:footnoteReference w:id="1264"/>
      </w:r>
      <w:r w:rsidRPr="00BF42B7">
        <w:rPr>
          <w:rFonts w:hint="eastAsia"/>
        </w:rPr>
        <w:t>。</w:t>
      </w:r>
      <w:r w:rsidRPr="00BF42B7">
        <w:t>国际法院在</w:t>
      </w:r>
      <w:r w:rsidRPr="00BF42B7">
        <w:rPr>
          <w:rFonts w:ascii="Time New Roman" w:eastAsia="楷体" w:hAnsi="Time New Roman"/>
        </w:rPr>
        <w:t>纸浆厂</w:t>
      </w:r>
      <w:r w:rsidRPr="00BF42B7">
        <w:rPr>
          <w:rFonts w:ascii="Time New Roman" w:eastAsia="楷体" w:hAnsi="Time New Roman" w:hint="eastAsia"/>
        </w:rPr>
        <w:t>案</w:t>
      </w:r>
      <w:r w:rsidRPr="00BF42B7">
        <w:t>中裁定，</w:t>
      </w:r>
      <w:r w:rsidRPr="00BF42B7">
        <w:rPr>
          <w:rFonts w:hint="eastAsia"/>
        </w:rPr>
        <w:t>“</w:t>
      </w:r>
      <w:r w:rsidRPr="00BF42B7">
        <w:t>现在可以认为，</w:t>
      </w:r>
      <w:r w:rsidRPr="00BF42B7">
        <w:rPr>
          <w:rFonts w:hint="eastAsia"/>
        </w:rPr>
        <w:t>这是一项</w:t>
      </w:r>
      <w:r w:rsidRPr="00BF42B7">
        <w:t>一般国际法要求，如果拟议工业活动具有造成重大越境不利影响的风险，特别是在共有资源上</w:t>
      </w:r>
      <w:r w:rsidRPr="00BF42B7">
        <w:rPr>
          <w:rFonts w:hint="eastAsia"/>
        </w:rPr>
        <w:t>，就需要进行</w:t>
      </w:r>
      <w:r w:rsidRPr="00BF42B7">
        <w:t>环境影响评估</w:t>
      </w:r>
      <w:r w:rsidRPr="00BF42B7">
        <w:rPr>
          <w:rFonts w:hint="eastAsia"/>
        </w:rPr>
        <w:t>”。</w:t>
      </w:r>
      <w:r w:rsidRPr="00BF42B7">
        <w:rPr>
          <w:color w:val="0000FF"/>
          <w:vertAlign w:val="superscript"/>
        </w:rPr>
        <w:footnoteReference w:id="1265"/>
      </w:r>
    </w:p>
    <w:p w:rsidR="006735D4" w:rsidRPr="00BF42B7" w:rsidRDefault="006735D4" w:rsidP="006735D4">
      <w:pPr>
        <w:tabs>
          <w:tab w:val="clear" w:pos="431"/>
          <w:tab w:val="left" w:pos="1134"/>
          <w:tab w:val="left" w:pos="1565"/>
          <w:tab w:val="left" w:pos="1996"/>
          <w:tab w:val="left" w:pos="2427"/>
        </w:tabs>
        <w:spacing w:after="120"/>
        <w:ind w:left="1134" w:right="1134"/>
        <w:rPr>
          <w:spacing w:val="-2"/>
        </w:rPr>
      </w:pPr>
      <w:r w:rsidRPr="00BF42B7">
        <w:rPr>
          <w:rFonts w:hint="eastAsia"/>
        </w:rPr>
        <w:t xml:space="preserve">(5)  </w:t>
      </w:r>
      <w:r w:rsidRPr="00BF42B7">
        <w:rPr>
          <w:rFonts w:hint="eastAsia"/>
        </w:rPr>
        <w:t>使用“可能造成重大不利影响”的阈值，指南草案排除了对影响可能轻微的活动的环境影响评估。潜在危害的影响在</w:t>
      </w:r>
      <w:r w:rsidRPr="00BF42B7">
        <w:rPr>
          <w:rFonts w:hint="eastAsia"/>
          <w:spacing w:val="-2"/>
        </w:rPr>
        <w:t>“大气污染”和“大气层退化”</w:t>
      </w:r>
      <w:r w:rsidRPr="00BF42B7">
        <w:rPr>
          <w:rFonts w:hint="eastAsia"/>
        </w:rPr>
        <w:t>方面必须是“重大”的</w:t>
      </w:r>
      <w:r w:rsidRPr="00BF42B7">
        <w:rPr>
          <w:rFonts w:hint="eastAsia"/>
          <w:spacing w:val="-2"/>
        </w:rPr>
        <w:t>。何为“重大”需要作出事实判定。</w:t>
      </w:r>
      <w:r w:rsidRPr="00BF42B7">
        <w:rPr>
          <w:color w:val="0000FF"/>
          <w:spacing w:val="-2"/>
          <w:vertAlign w:val="superscript"/>
        </w:rPr>
        <w:footnoteReference w:id="1266"/>
      </w:r>
    </w:p>
    <w:p w:rsidR="006735D4" w:rsidRPr="00BF42B7" w:rsidRDefault="006735D4" w:rsidP="006735D4">
      <w:pPr>
        <w:tabs>
          <w:tab w:val="clear" w:pos="431"/>
          <w:tab w:val="left" w:pos="1134"/>
          <w:tab w:val="left" w:pos="1565"/>
          <w:tab w:val="left" w:pos="1996"/>
          <w:tab w:val="left" w:pos="2427"/>
        </w:tabs>
        <w:spacing w:after="120"/>
        <w:ind w:left="1134" w:right="1134"/>
      </w:pPr>
      <w:r w:rsidRPr="00BF42B7">
        <w:rPr>
          <w:rFonts w:hint="eastAsia"/>
        </w:rPr>
        <w:t xml:space="preserve">(6)  </w:t>
      </w:r>
      <w:r w:rsidRPr="00BF42B7">
        <w:rPr>
          <w:rFonts w:hint="eastAsia"/>
        </w:rPr>
        <w:t>“在</w:t>
      </w:r>
      <w:r w:rsidRPr="00BF42B7">
        <w:t>大气污染或大气层退化</w:t>
      </w:r>
      <w:r w:rsidRPr="00BF42B7">
        <w:rPr>
          <w:rFonts w:hint="eastAsia"/>
        </w:rPr>
        <w:t>方面”一语被认为十分重要，因为它将本条指南草案与本套指南草案关注的两个主要环境保护问题联系起来，即越境大气污染和大气层退化。虽然环境影响评估要求的相关先例主要涉及越境污染，但人们认为</w:t>
      </w:r>
      <w:r w:rsidRPr="00BF42B7">
        <w:t>可能</w:t>
      </w:r>
      <w:r w:rsidRPr="00BF42B7">
        <w:rPr>
          <w:rFonts w:hint="eastAsia"/>
        </w:rPr>
        <w:t>对</w:t>
      </w:r>
      <w:r w:rsidRPr="00BF42B7">
        <w:t>全球大气</w:t>
      </w:r>
      <w:r w:rsidRPr="00BF42B7">
        <w:rPr>
          <w:rFonts w:hint="eastAsia"/>
        </w:rPr>
        <w:t>层造成</w:t>
      </w:r>
      <w:r w:rsidRPr="00BF42B7">
        <w:t>重大</w:t>
      </w:r>
      <w:r w:rsidRPr="00BF42B7">
        <w:rPr>
          <w:rFonts w:hint="eastAsia"/>
        </w:rPr>
        <w:t>不利</w:t>
      </w:r>
      <w:r w:rsidRPr="00BF42B7">
        <w:t>影响的项目</w:t>
      </w:r>
      <w:r w:rsidRPr="00BF42B7">
        <w:rPr>
          <w:rFonts w:hint="eastAsia"/>
        </w:rPr>
        <w:t>也需遵守类似要求，如蓄意大规模改变大气层活动。</w:t>
      </w:r>
      <w:r w:rsidRPr="00BF42B7">
        <w:rPr>
          <w:color w:val="0000FF"/>
          <w:vertAlign w:val="superscript"/>
        </w:rPr>
        <w:footnoteReference w:id="1267"/>
      </w:r>
      <w:r w:rsidRPr="00BF42B7">
        <w:rPr>
          <w:rFonts w:hint="eastAsia"/>
        </w:rPr>
        <w:t xml:space="preserve"> </w:t>
      </w:r>
      <w:r w:rsidRPr="00BF42B7">
        <w:rPr>
          <w:rFonts w:hint="eastAsia"/>
        </w:rPr>
        <w:t>与保护大气层</w:t>
      </w:r>
      <w:r w:rsidRPr="00BF42B7">
        <w:t>相比，这些活动可能</w:t>
      </w:r>
      <w:r w:rsidRPr="00BF42B7">
        <w:rPr>
          <w:rFonts w:hint="eastAsia"/>
        </w:rPr>
        <w:t>甚至比越境损害在更大范围内</w:t>
      </w:r>
      <w:r w:rsidRPr="00BF42B7">
        <w:t>造成严重损害；因此，相同规则更有理由适用于可能造成全球大气层退化的活动。</w:t>
      </w:r>
      <w:r w:rsidRPr="00BF42B7">
        <w:rPr>
          <w:rFonts w:hint="eastAsia"/>
        </w:rPr>
        <w:t>鉴此，《越境环境影响评估公约关于战略环境评估的基辅议定书》鼓励对可能的环境影响包括健康影响进行“战略环境评估”，这是指对环境，包括人类健康、动物、植物、生物多样性、土壤、气候、空气、水、景观、自然遗产、物质资产、文化遗产的影响以及这些因素之间的相互作用。</w:t>
      </w:r>
      <w:bookmarkStart w:id="310" w:name="_Ref455061336"/>
      <w:r w:rsidRPr="00BF42B7">
        <w:rPr>
          <w:color w:val="0000FF"/>
          <w:vertAlign w:val="superscript"/>
        </w:rPr>
        <w:footnoteReference w:id="1268"/>
      </w:r>
      <w:bookmarkEnd w:id="310"/>
      <w:r w:rsidRPr="00BF42B7">
        <w:rPr>
          <w:color w:val="0000FF"/>
          <w:vertAlign w:val="superscript"/>
        </w:rPr>
        <w:t xml:space="preserve"> </w:t>
      </w:r>
    </w:p>
    <w:p w:rsidR="006735D4" w:rsidRPr="00BF42B7" w:rsidRDefault="006735D4" w:rsidP="006735D4">
      <w:pPr>
        <w:tabs>
          <w:tab w:val="clear" w:pos="431"/>
          <w:tab w:val="left" w:pos="1134"/>
          <w:tab w:val="left" w:pos="1565"/>
          <w:tab w:val="left" w:pos="1996"/>
          <w:tab w:val="left" w:pos="2427"/>
        </w:tabs>
        <w:spacing w:after="120"/>
        <w:ind w:left="1134" w:right="1134"/>
      </w:pPr>
      <w:r w:rsidRPr="00BF42B7">
        <w:rPr>
          <w:rFonts w:hint="eastAsia"/>
        </w:rPr>
        <w:t xml:space="preserve">(7)  </w:t>
      </w:r>
      <w:r w:rsidRPr="00BF42B7">
        <w:rPr>
          <w:rFonts w:hint="eastAsia"/>
        </w:rPr>
        <w:t>人们承认透明度和公众参与是获得信息和保障代表性的重要内容，但也有人认为指南草案本身不应该涉及环境影响评估的程序方面。</w:t>
      </w:r>
      <w:r w:rsidRPr="00BF42B7">
        <w:rPr>
          <w:rFonts w:hint="eastAsia"/>
        </w:rPr>
        <w:t>1992</w:t>
      </w:r>
      <w:r w:rsidRPr="00BF42B7">
        <w:rPr>
          <w:rFonts w:hint="eastAsia"/>
        </w:rPr>
        <w:t>年《里约宣言》原则十规定</w:t>
      </w:r>
      <w:r w:rsidRPr="00BF42B7">
        <w:t>环境问题最好在所有有关公民在有关一级的参加下加以</w:t>
      </w:r>
      <w:r w:rsidRPr="00BF42B7">
        <w:rPr>
          <w:rFonts w:hint="eastAsia"/>
        </w:rPr>
        <w:t>解决。这包括</w:t>
      </w:r>
      <w:r w:rsidRPr="00BF42B7">
        <w:t>获得</w:t>
      </w:r>
      <w:r w:rsidRPr="00BF42B7">
        <w:rPr>
          <w:rFonts w:hint="eastAsia"/>
        </w:rPr>
        <w:t>信息；有机会参与决策；有效诉诸</w:t>
      </w:r>
      <w:r w:rsidRPr="00BF42B7">
        <w:t>司法和行政程序</w:t>
      </w:r>
      <w:r w:rsidRPr="00BF42B7">
        <w:rPr>
          <w:rFonts w:hint="eastAsia"/>
        </w:rPr>
        <w:t>。</w:t>
      </w:r>
      <w:r w:rsidRPr="00BF42B7">
        <w:t>《在环境问题上获得信息、公众参与决策和诉诸法律的公约</w:t>
      </w:r>
      <w:r w:rsidRPr="00BF42B7">
        <w:rPr>
          <w:rFonts w:hint="eastAsia"/>
        </w:rPr>
        <w:t>》</w:t>
      </w:r>
      <w:r w:rsidRPr="00BF42B7">
        <w:rPr>
          <w:color w:val="0000FF"/>
          <w:vertAlign w:val="superscript"/>
        </w:rPr>
        <w:footnoteReference w:id="1269"/>
      </w:r>
      <w:r w:rsidRPr="00BF42B7">
        <w:rPr>
          <w:color w:val="0000FF"/>
          <w:vertAlign w:val="superscript"/>
        </w:rPr>
        <w:t xml:space="preserve"> </w:t>
      </w:r>
      <w:r w:rsidRPr="00BF42B7">
        <w:rPr>
          <w:rFonts w:hint="eastAsia"/>
        </w:rPr>
        <w:t>也论述了这些问题。《关于战略环境评价的基辅议定书》鼓励公众参与和协商，并在计划或方案中考虑公众参与和协商的结果。</w:t>
      </w:r>
      <w:r w:rsidRPr="00BF42B7">
        <w:rPr>
          <w:color w:val="0000FF"/>
          <w:vertAlign w:val="superscript"/>
        </w:rPr>
        <w:footnoteReference w:id="1270"/>
      </w:r>
      <w:r w:rsidRPr="00BF42B7">
        <w:rPr>
          <w:color w:val="0000FF"/>
          <w:vertAlign w:val="superscript"/>
        </w:rPr>
        <w:t xml:space="preserve"> </w:t>
      </w:r>
    </w:p>
    <w:p w:rsidR="006735D4" w:rsidRPr="00BF42B7" w:rsidRDefault="006735D4" w:rsidP="004D02E7">
      <w:pPr>
        <w:pStyle w:val="H23GC"/>
        <w:ind w:left="1554"/>
        <w:rPr>
          <w:lang w:val="en-GB"/>
        </w:rPr>
      </w:pPr>
      <w:r w:rsidRPr="00BF42B7">
        <w:rPr>
          <w:rFonts w:hint="eastAsia"/>
          <w:lang w:val="en-GB"/>
        </w:rPr>
        <w:tab/>
      </w:r>
      <w:r w:rsidRPr="00BF42B7">
        <w:rPr>
          <w:rFonts w:hint="eastAsia"/>
          <w:lang w:val="en-GB"/>
        </w:rPr>
        <w:tab/>
      </w:r>
      <w:r w:rsidRPr="00BF42B7">
        <w:rPr>
          <w:rFonts w:hint="eastAsia"/>
          <w:lang w:val="en-GB"/>
        </w:rPr>
        <w:t>指南</w:t>
      </w:r>
      <w:r w:rsidRPr="00BF42B7">
        <w:rPr>
          <w:lang w:val="en-GB"/>
        </w:rPr>
        <w:t>5</w:t>
      </w:r>
      <w:r w:rsidRPr="00BF42B7">
        <w:rPr>
          <w:rFonts w:hint="eastAsia"/>
          <w:lang w:val="fr-CH"/>
        </w:rPr>
        <w:br/>
      </w:r>
      <w:r w:rsidRPr="00BF42B7">
        <w:rPr>
          <w:rFonts w:hint="eastAsia"/>
          <w:lang w:val="en-GB"/>
        </w:rPr>
        <w:t>可持续利用大气层</w:t>
      </w:r>
    </w:p>
    <w:p w:rsidR="006735D4" w:rsidRPr="00BF42B7" w:rsidRDefault="006735D4" w:rsidP="006735D4">
      <w:pPr>
        <w:tabs>
          <w:tab w:val="left" w:pos="1134"/>
          <w:tab w:val="left" w:pos="1565"/>
          <w:tab w:val="left" w:pos="1996"/>
          <w:tab w:val="left" w:pos="2427"/>
        </w:tabs>
        <w:spacing w:after="120"/>
        <w:ind w:left="1554" w:right="1134"/>
        <w:rPr>
          <w:lang w:val="en-GB"/>
        </w:rPr>
      </w:pPr>
      <w:r w:rsidRPr="00BF42B7">
        <w:rPr>
          <w:lang w:val="en-GB"/>
        </w:rPr>
        <w:t xml:space="preserve">1.  </w:t>
      </w:r>
      <w:r w:rsidRPr="00BF42B7">
        <w:rPr>
          <w:rFonts w:hint="eastAsia"/>
          <w:lang w:val="en-GB"/>
        </w:rPr>
        <w:t>考虑到大气层是一种吸收能力有限的自然资源，应以可持续的方式加以利用。</w:t>
      </w:r>
    </w:p>
    <w:p w:rsidR="006735D4" w:rsidRPr="00BF42B7" w:rsidRDefault="006735D4" w:rsidP="006735D4">
      <w:pPr>
        <w:tabs>
          <w:tab w:val="clear" w:pos="431"/>
          <w:tab w:val="left" w:pos="1134"/>
          <w:tab w:val="left" w:pos="1565"/>
          <w:tab w:val="left" w:pos="1996"/>
          <w:tab w:val="left" w:pos="2427"/>
        </w:tabs>
        <w:spacing w:after="120"/>
        <w:ind w:left="1554" w:right="1134"/>
        <w:rPr>
          <w:lang w:val="en-GB"/>
        </w:rPr>
      </w:pPr>
      <w:r w:rsidRPr="00BF42B7">
        <w:rPr>
          <w:lang w:val="en-GB"/>
        </w:rPr>
        <w:t xml:space="preserve">2.  </w:t>
      </w:r>
      <w:r w:rsidRPr="00BF42B7">
        <w:rPr>
          <w:rFonts w:hint="eastAsia"/>
          <w:lang w:val="en-GB"/>
        </w:rPr>
        <w:t>可持续利用大气层包括需要兼顾经济发展和大气层保护。</w:t>
      </w:r>
    </w:p>
    <w:p w:rsidR="006735D4" w:rsidRPr="00BF42B7" w:rsidRDefault="006735D4" w:rsidP="004D02E7">
      <w:pPr>
        <w:pStyle w:val="H23GC"/>
        <w:rPr>
          <w:lang w:val="en-GB"/>
        </w:rPr>
      </w:pPr>
      <w:r w:rsidRPr="00BF42B7">
        <w:rPr>
          <w:lang w:val="en-GB"/>
        </w:rPr>
        <w:tab/>
      </w:r>
      <w:r w:rsidRPr="00BF42B7">
        <w:rPr>
          <w:rFonts w:hint="eastAsia"/>
          <w:lang w:val="en-GB"/>
        </w:rPr>
        <w:tab/>
      </w:r>
      <w:r w:rsidRPr="00BF42B7">
        <w:rPr>
          <w:rFonts w:hint="eastAsia"/>
          <w:lang w:val="en-GB"/>
        </w:rPr>
        <w:t>评注</w:t>
      </w:r>
    </w:p>
    <w:p w:rsidR="006735D4" w:rsidRPr="00BF42B7" w:rsidRDefault="006735D4" w:rsidP="006735D4">
      <w:pPr>
        <w:tabs>
          <w:tab w:val="left" w:pos="1134"/>
          <w:tab w:val="left" w:pos="1565"/>
          <w:tab w:val="left" w:pos="1996"/>
          <w:tab w:val="left" w:pos="2427"/>
        </w:tabs>
        <w:spacing w:after="120"/>
        <w:ind w:left="1134" w:right="1134"/>
        <w:rPr>
          <w:lang w:val="en-GB"/>
        </w:rPr>
      </w:pPr>
      <w:r w:rsidRPr="00BF42B7">
        <w:rPr>
          <w:lang w:val="en-GB"/>
        </w:rPr>
        <w:t xml:space="preserve">(1)  </w:t>
      </w:r>
      <w:r w:rsidRPr="00BF42B7">
        <w:rPr>
          <w:rFonts w:hint="eastAsia"/>
          <w:lang w:val="en-GB"/>
        </w:rPr>
        <w:t>大气层是一种吸收能力有限的自然资源。</w:t>
      </w:r>
      <w:bookmarkStart w:id="311" w:name="_Ref461885610"/>
      <w:r w:rsidRPr="00BF42B7">
        <w:rPr>
          <w:color w:val="0000FF"/>
          <w:vertAlign w:val="superscript"/>
          <w:lang w:val="en-GB"/>
        </w:rPr>
        <w:footnoteReference w:id="1271"/>
      </w:r>
      <w:bookmarkEnd w:id="311"/>
      <w:r w:rsidRPr="00BF42B7">
        <w:rPr>
          <w:vertAlign w:val="superscript"/>
          <w:lang w:val="en-GB"/>
        </w:rPr>
        <w:t xml:space="preserve"> </w:t>
      </w:r>
      <w:r w:rsidRPr="00BF42B7">
        <w:rPr>
          <w:rFonts w:hint="eastAsia"/>
          <w:lang w:val="en-GB"/>
        </w:rPr>
        <w:t>人们常常认为，就勘探和开采矿物或油气等资源的意义上而言，大气层是无法开采的。但事实是，大气层在物质成份和功能成份上均可以开采，并且受到开采。污染方会通过降低大气层的质量及其吸收污染物的能力而开采大气层。指南草案类比“共有资源”的概念，同时确认，全球大气层的整体性要求承认各方利益的共同性。相应地，指南草案所立足的前提是，大气层是吸收能力有限的自然资源，其维持地球生命的能力会受到人类活动的影响。为了使大气层得到保护，必须将大气层视为可开采资源，从而对之适用保护原则和可持续利用原则。有些委员对可否将大气层类比跨界水道或含水层对待表示怀疑。</w:t>
      </w:r>
    </w:p>
    <w:p w:rsidR="006735D4" w:rsidRPr="00BF42B7" w:rsidRDefault="006735D4" w:rsidP="006735D4">
      <w:pPr>
        <w:tabs>
          <w:tab w:val="left" w:pos="1134"/>
          <w:tab w:val="left" w:pos="1565"/>
          <w:tab w:val="left" w:pos="1996"/>
          <w:tab w:val="left" w:pos="2427"/>
        </w:tabs>
        <w:spacing w:after="120"/>
        <w:ind w:left="1134" w:right="1134"/>
        <w:rPr>
          <w:spacing w:val="2"/>
          <w:lang w:val="en-GB"/>
        </w:rPr>
      </w:pPr>
      <w:r w:rsidRPr="00BF42B7">
        <w:rPr>
          <w:spacing w:val="2"/>
          <w:lang w:val="en-GB"/>
        </w:rPr>
        <w:t xml:space="preserve">(2)  </w:t>
      </w:r>
      <w:r w:rsidRPr="00BF42B7">
        <w:rPr>
          <w:rFonts w:hint="eastAsia"/>
          <w:spacing w:val="2"/>
          <w:lang w:val="en-GB"/>
        </w:rPr>
        <w:t>第</w:t>
      </w:r>
      <w:r w:rsidRPr="00BF42B7">
        <w:rPr>
          <w:rFonts w:hint="eastAsia"/>
          <w:spacing w:val="2"/>
          <w:lang w:val="en-GB"/>
        </w:rPr>
        <w:t>1</w:t>
      </w:r>
      <w:r w:rsidRPr="00BF42B7">
        <w:rPr>
          <w:rFonts w:hint="eastAsia"/>
          <w:spacing w:val="2"/>
          <w:lang w:val="en-GB"/>
        </w:rPr>
        <w:t>段承认，大气层是“吸收能力有限的自然资源”。第</w:t>
      </w:r>
      <w:r w:rsidRPr="00BF42B7">
        <w:rPr>
          <w:rFonts w:hint="eastAsia"/>
          <w:spacing w:val="2"/>
          <w:lang w:val="en-GB"/>
        </w:rPr>
        <w:t>1</w:t>
      </w:r>
      <w:r w:rsidRPr="00BF42B7">
        <w:rPr>
          <w:rFonts w:hint="eastAsia"/>
          <w:spacing w:val="2"/>
          <w:lang w:val="en-GB"/>
        </w:rPr>
        <w:t>段第二部分试图将保护与开发结合起来，确保对地球的改造不会妨碍地球上生物的存续和福祉。这样做是援引了利用大气层应采取可持续方式这一主张。此句受到了《国际水道非航行使用法公约》</w:t>
      </w:r>
      <w:r w:rsidRPr="00BF42B7">
        <w:rPr>
          <w:color w:val="0000FF"/>
          <w:spacing w:val="2"/>
          <w:vertAlign w:val="superscript"/>
          <w:lang w:val="en-GB"/>
        </w:rPr>
        <w:footnoteReference w:id="1272"/>
      </w:r>
      <w:r w:rsidRPr="00BF42B7">
        <w:rPr>
          <w:color w:val="0000FF"/>
          <w:spacing w:val="2"/>
          <w:vertAlign w:val="superscript"/>
          <w:lang w:val="en-GB"/>
        </w:rPr>
        <w:t xml:space="preserve"> </w:t>
      </w:r>
      <w:r w:rsidRPr="00BF42B7">
        <w:rPr>
          <w:rFonts w:hint="eastAsia"/>
          <w:spacing w:val="2"/>
          <w:lang w:val="en-GB"/>
        </w:rPr>
        <w:t>和跨界含水层法中反映的委员会措词方式的启发。</w:t>
      </w:r>
      <w:r w:rsidRPr="00BF42B7">
        <w:rPr>
          <w:color w:val="0000FF"/>
          <w:spacing w:val="2"/>
          <w:vertAlign w:val="superscript"/>
          <w:lang w:val="en-GB"/>
        </w:rPr>
        <w:footnoteReference w:id="1273"/>
      </w:r>
    </w:p>
    <w:p w:rsidR="006735D4" w:rsidRPr="00BF42B7" w:rsidRDefault="006735D4" w:rsidP="00536F49">
      <w:pPr>
        <w:tabs>
          <w:tab w:val="left" w:pos="1134"/>
          <w:tab w:val="left" w:pos="1565"/>
          <w:tab w:val="left" w:pos="1996"/>
          <w:tab w:val="left" w:pos="2427"/>
        </w:tabs>
        <w:spacing w:after="120"/>
        <w:ind w:left="1134" w:right="1134"/>
        <w:rPr>
          <w:lang w:val="en-GB"/>
        </w:rPr>
      </w:pPr>
      <w:r w:rsidRPr="00BF42B7">
        <w:rPr>
          <w:lang w:val="en-GB"/>
        </w:rPr>
        <w:t xml:space="preserve">(3)  </w:t>
      </w:r>
      <w:r w:rsidRPr="00BF42B7">
        <w:rPr>
          <w:rFonts w:hint="eastAsia"/>
          <w:lang w:val="en-GB"/>
        </w:rPr>
        <w:t>“利用”一词取广义，包含实际开采之外的其他概念。人们已通过若干方式利用了大气层。迄今为止开展的大多数活动可能并无影响大气状况的明确或具体意图。但是，也有某些活动，其目的就是改变大气状况，例如人工影响天气。提出的有意大规模改变大气层</w:t>
      </w:r>
      <w:r w:rsidRPr="00BF42B7">
        <w:rPr>
          <w:color w:val="0000FF"/>
          <w:vertAlign w:val="superscript"/>
        </w:rPr>
        <w:footnoteReference w:id="1274"/>
      </w:r>
      <w:r w:rsidRPr="00BF42B7">
        <w:rPr>
          <w:rFonts w:hint="eastAsia"/>
          <w:lang w:val="en-GB"/>
        </w:rPr>
        <w:t xml:space="preserve"> </w:t>
      </w:r>
      <w:r w:rsidRPr="00BF42B7">
        <w:rPr>
          <w:rFonts w:hint="eastAsia"/>
          <w:lang w:val="en-GB"/>
        </w:rPr>
        <w:t>的技术中，有些就是利用大气层的实例。</w:t>
      </w:r>
    </w:p>
    <w:p w:rsidR="006735D4" w:rsidRPr="00C8126A" w:rsidRDefault="006735D4" w:rsidP="006735D4">
      <w:pPr>
        <w:tabs>
          <w:tab w:val="left" w:pos="1134"/>
          <w:tab w:val="left" w:pos="1565"/>
          <w:tab w:val="left" w:pos="1996"/>
          <w:tab w:val="left" w:pos="2427"/>
        </w:tabs>
        <w:spacing w:after="120"/>
        <w:ind w:left="1134" w:right="1134"/>
        <w:rPr>
          <w:spacing w:val="-2"/>
          <w:lang w:val="en-GB"/>
        </w:rPr>
      </w:pPr>
      <w:r w:rsidRPr="00BF42B7">
        <w:rPr>
          <w:lang w:val="en-GB"/>
        </w:rPr>
        <w:t xml:space="preserve">(4)  </w:t>
      </w:r>
      <w:r w:rsidRPr="00C8126A">
        <w:rPr>
          <w:rFonts w:hint="eastAsia"/>
          <w:spacing w:val="-2"/>
          <w:lang w:val="en-GB"/>
        </w:rPr>
        <w:t>指南草案中“应以可持续的方式加以利用”的措词简明而不过于注重法律细节，很好地反映了将大气层视为应得到可持续利用的自然资源这一范式转变。其行文方式更贴近国际政策和规范的声明，而非确定各国权利和义务的操作守则。</w:t>
      </w:r>
    </w:p>
    <w:p w:rsidR="006735D4" w:rsidRPr="00BF42B7" w:rsidRDefault="006735D4" w:rsidP="00ED18FA">
      <w:pPr>
        <w:tabs>
          <w:tab w:val="clear" w:pos="431"/>
          <w:tab w:val="left" w:pos="1134"/>
          <w:tab w:val="left" w:pos="1565"/>
          <w:tab w:val="left" w:pos="1996"/>
          <w:tab w:val="left" w:pos="2427"/>
        </w:tabs>
        <w:spacing w:after="140" w:line="332" w:lineRule="exact"/>
        <w:ind w:left="1134" w:right="1134"/>
        <w:rPr>
          <w:bCs/>
          <w:lang w:val="en-GB"/>
        </w:rPr>
      </w:pPr>
      <w:r w:rsidRPr="00BF42B7">
        <w:rPr>
          <w:lang w:val="en-GB"/>
        </w:rPr>
        <w:t xml:space="preserve">(5)  </w:t>
      </w:r>
      <w:r w:rsidRPr="00BF42B7">
        <w:rPr>
          <w:rFonts w:hint="eastAsia"/>
          <w:lang w:val="en-GB"/>
        </w:rPr>
        <w:t>第</w:t>
      </w:r>
      <w:r w:rsidRPr="00BF42B7">
        <w:rPr>
          <w:rFonts w:hint="eastAsia"/>
          <w:lang w:val="en-GB"/>
        </w:rPr>
        <w:t>2</w:t>
      </w:r>
      <w:r w:rsidRPr="00BF42B7">
        <w:rPr>
          <w:rFonts w:hint="eastAsia"/>
          <w:lang w:val="en-GB"/>
        </w:rPr>
        <w:t>段立足于国际法院</w:t>
      </w:r>
      <w:r w:rsidRPr="00BF42B7">
        <w:rPr>
          <w:lang w:val="en-GB"/>
        </w:rPr>
        <w:t>Gabčíkovo-Nagymaros</w:t>
      </w:r>
      <w:r w:rsidRPr="00BF42B7">
        <w:rPr>
          <w:rFonts w:ascii="Time New Roman" w:eastAsia="楷体" w:hAnsi="Time New Roman"/>
          <w:lang w:val="es-ES"/>
        </w:rPr>
        <w:t>项目案</w:t>
      </w:r>
      <w:r w:rsidRPr="00BF42B7">
        <w:rPr>
          <w:rFonts w:hint="eastAsia"/>
          <w:lang w:val="es-ES"/>
        </w:rPr>
        <w:t>判决中的用语，国际法院在其中提到，“需要协调环境保护与经济发展”，</w:t>
      </w:r>
      <w:r w:rsidRPr="00BF42B7">
        <w:rPr>
          <w:color w:val="0000FF"/>
          <w:vertAlign w:val="superscript"/>
          <w:lang w:val="en-GB"/>
        </w:rPr>
        <w:footnoteReference w:id="1275"/>
      </w:r>
      <w:r w:rsidRPr="00BF42B7">
        <w:rPr>
          <w:color w:val="0000FF"/>
          <w:vertAlign w:val="superscript"/>
          <w:lang w:val="en-GB"/>
        </w:rPr>
        <w:t xml:space="preserve"> </w:t>
      </w:r>
      <w:r w:rsidRPr="00BF42B7">
        <w:rPr>
          <w:rFonts w:hint="eastAsia"/>
          <w:lang w:val="es-ES"/>
        </w:rPr>
        <w:t>同时还提到了其他有关先例。</w:t>
      </w:r>
      <w:r w:rsidRPr="00BF42B7">
        <w:rPr>
          <w:color w:val="0000FF"/>
          <w:vertAlign w:val="superscript"/>
          <w:lang w:val="en-GB"/>
        </w:rPr>
        <w:footnoteReference w:id="1276"/>
      </w:r>
      <w:r w:rsidRPr="00BF42B7">
        <w:rPr>
          <w:color w:val="0000FF"/>
          <w:vertAlign w:val="superscript"/>
          <w:lang w:val="en-GB"/>
        </w:rPr>
        <w:t xml:space="preserve"> </w:t>
      </w:r>
      <w:r w:rsidRPr="00BF42B7">
        <w:rPr>
          <w:rFonts w:hint="eastAsia"/>
          <w:lang w:val="en-GB"/>
        </w:rPr>
        <w:t>提到“大气层保护”而非“环境保护”，是为了使该段侧重于本专题的主旨，即保护大气层。</w:t>
      </w:r>
    </w:p>
    <w:p w:rsidR="006735D4" w:rsidRPr="00BF42B7" w:rsidRDefault="006735D4" w:rsidP="00ED18FA">
      <w:pPr>
        <w:pStyle w:val="H23GC"/>
        <w:spacing w:after="140" w:line="332" w:lineRule="exact"/>
        <w:ind w:left="1554"/>
        <w:rPr>
          <w:lang w:val="en-GB"/>
        </w:rPr>
      </w:pPr>
      <w:r w:rsidRPr="00BF42B7">
        <w:rPr>
          <w:rFonts w:hint="eastAsia"/>
          <w:lang w:val="en-GB"/>
        </w:rPr>
        <w:tab/>
      </w:r>
      <w:r w:rsidRPr="00BF42B7">
        <w:rPr>
          <w:rFonts w:hint="eastAsia"/>
          <w:lang w:val="en-GB"/>
        </w:rPr>
        <w:tab/>
      </w:r>
      <w:r w:rsidRPr="00BF42B7">
        <w:rPr>
          <w:rFonts w:hint="eastAsia"/>
          <w:lang w:val="en-GB"/>
        </w:rPr>
        <w:t>指南</w:t>
      </w:r>
      <w:r w:rsidRPr="00BF42B7">
        <w:rPr>
          <w:lang w:val="en-GB"/>
        </w:rPr>
        <w:t>6</w:t>
      </w:r>
      <w:r w:rsidRPr="00BF42B7">
        <w:rPr>
          <w:rFonts w:hint="eastAsia"/>
          <w:lang w:val="en-GB"/>
        </w:rPr>
        <w:br/>
      </w:r>
      <w:r w:rsidRPr="00BF42B7">
        <w:rPr>
          <w:rFonts w:hint="eastAsia"/>
          <w:lang w:val="en-GB"/>
        </w:rPr>
        <w:t>公平</w:t>
      </w:r>
      <w:r w:rsidRPr="004D02E7">
        <w:rPr>
          <w:rFonts w:hint="eastAsia"/>
          <w:lang w:val="fr-CH"/>
        </w:rPr>
        <w:t>合理</w:t>
      </w:r>
      <w:r w:rsidRPr="00BF42B7">
        <w:rPr>
          <w:rFonts w:hint="eastAsia"/>
          <w:lang w:val="en-GB"/>
        </w:rPr>
        <w:t>利用大气层</w:t>
      </w:r>
    </w:p>
    <w:p w:rsidR="006735D4" w:rsidRPr="00BF42B7" w:rsidRDefault="006735D4" w:rsidP="00ED18FA">
      <w:pPr>
        <w:pStyle w:val="SingleTxtGC"/>
        <w:spacing w:after="140" w:line="332" w:lineRule="exact"/>
        <w:ind w:left="1554" w:firstLine="431"/>
        <w:rPr>
          <w:lang w:val="en-GB"/>
        </w:rPr>
      </w:pPr>
      <w:r w:rsidRPr="00BF42B7">
        <w:rPr>
          <w:rFonts w:hint="eastAsia"/>
          <w:lang w:val="en-GB"/>
        </w:rPr>
        <w:t>应考虑到今世后代的利益，以公平合理的方式利用大气层。</w:t>
      </w:r>
    </w:p>
    <w:p w:rsidR="006735D4" w:rsidRPr="00BF42B7" w:rsidRDefault="006735D4" w:rsidP="00ED18FA">
      <w:pPr>
        <w:pStyle w:val="H23GC"/>
        <w:spacing w:after="140" w:line="332" w:lineRule="exact"/>
        <w:rPr>
          <w:lang w:val="en-GB"/>
        </w:rPr>
      </w:pPr>
      <w:r w:rsidRPr="00BF42B7">
        <w:rPr>
          <w:lang w:val="en-GB"/>
        </w:rPr>
        <w:tab/>
      </w:r>
      <w:r w:rsidRPr="00BF42B7">
        <w:rPr>
          <w:rFonts w:hint="eastAsia"/>
          <w:lang w:val="en-GB"/>
        </w:rPr>
        <w:tab/>
      </w:r>
      <w:r w:rsidRPr="00BF42B7">
        <w:rPr>
          <w:rFonts w:hint="eastAsia"/>
          <w:lang w:val="en-GB"/>
        </w:rPr>
        <w:t>评注</w:t>
      </w:r>
    </w:p>
    <w:p w:rsidR="006735D4" w:rsidRPr="00BF42B7" w:rsidRDefault="006735D4" w:rsidP="00ED18FA">
      <w:pPr>
        <w:tabs>
          <w:tab w:val="clear" w:pos="431"/>
          <w:tab w:val="left" w:pos="1134"/>
          <w:tab w:val="left" w:pos="1565"/>
          <w:tab w:val="left" w:pos="1996"/>
          <w:tab w:val="left" w:pos="2427"/>
        </w:tabs>
        <w:spacing w:after="140" w:line="332" w:lineRule="exact"/>
        <w:ind w:left="1134" w:right="1134"/>
        <w:rPr>
          <w:iCs/>
          <w:lang w:val="en-GB"/>
        </w:rPr>
      </w:pPr>
      <w:r w:rsidRPr="00BF42B7">
        <w:rPr>
          <w:lang w:val="en-GB"/>
        </w:rPr>
        <w:t xml:space="preserve">(1)  </w:t>
      </w:r>
      <w:r w:rsidRPr="00BF42B7">
        <w:rPr>
          <w:rFonts w:hint="eastAsia"/>
          <w:iCs/>
          <w:lang w:val="en-GB"/>
        </w:rPr>
        <w:t>如指南草案</w:t>
      </w:r>
      <w:r w:rsidRPr="00BF42B7">
        <w:rPr>
          <w:rFonts w:hint="eastAsia"/>
          <w:iCs/>
          <w:lang w:val="en-GB"/>
        </w:rPr>
        <w:t>5</w:t>
      </w:r>
      <w:r w:rsidRPr="00BF42B7">
        <w:rPr>
          <w:rFonts w:hint="eastAsia"/>
          <w:iCs/>
          <w:lang w:val="en-GB"/>
        </w:rPr>
        <w:t>所反映的，公平合理地利用大气层是可持续性的一项重要要素，但必须将之单列为一项自主原则。同指南草案</w:t>
      </w:r>
      <w:r w:rsidRPr="00BF42B7">
        <w:rPr>
          <w:rFonts w:hint="eastAsia"/>
          <w:iCs/>
          <w:lang w:val="en-GB"/>
        </w:rPr>
        <w:t>5</w:t>
      </w:r>
      <w:r w:rsidRPr="00BF42B7">
        <w:rPr>
          <w:rFonts w:hint="eastAsia"/>
          <w:iCs/>
          <w:lang w:val="en-GB"/>
        </w:rPr>
        <w:t>一样，本指南措词较为抽象而宽泛。</w:t>
      </w:r>
    </w:p>
    <w:p w:rsidR="006735D4" w:rsidRPr="00BF42B7" w:rsidRDefault="006735D4" w:rsidP="006735D4">
      <w:pPr>
        <w:tabs>
          <w:tab w:val="clear" w:pos="431"/>
          <w:tab w:val="left" w:pos="1134"/>
          <w:tab w:val="left" w:pos="1565"/>
          <w:tab w:val="left" w:pos="1996"/>
          <w:tab w:val="left" w:pos="2427"/>
        </w:tabs>
        <w:spacing w:after="120"/>
        <w:ind w:left="1134" w:right="1134"/>
        <w:rPr>
          <w:lang w:val="en-GB"/>
        </w:rPr>
      </w:pPr>
      <w:r w:rsidRPr="00BF42B7">
        <w:rPr>
          <w:lang w:val="en-GB"/>
        </w:rPr>
        <w:t xml:space="preserve">(2)  </w:t>
      </w:r>
      <w:r w:rsidRPr="00BF42B7">
        <w:rPr>
          <w:rFonts w:hint="eastAsia"/>
          <w:lang w:val="en-GB"/>
        </w:rPr>
        <w:t>指南草案措词宽泛，以便对保护大气层这一世界共有自然资源的工作适用公平原则。</w:t>
      </w:r>
      <w:r w:rsidRPr="00BF42B7">
        <w:rPr>
          <w:color w:val="0000FF"/>
          <w:vertAlign w:val="superscript"/>
          <w:lang w:val="en-GB"/>
        </w:rPr>
        <w:footnoteReference w:id="1277"/>
      </w:r>
      <w:r w:rsidRPr="00BF42B7">
        <w:rPr>
          <w:vertAlign w:val="superscript"/>
          <w:lang w:val="en-GB"/>
        </w:rPr>
        <w:t xml:space="preserve"> </w:t>
      </w:r>
      <w:r w:rsidRPr="00BF42B7">
        <w:rPr>
          <w:rFonts w:hint="eastAsia"/>
          <w:lang w:val="en-GB"/>
        </w:rPr>
        <w:t>该句第一部分论及“公平合理”的利用。“应……以公平合理的方式利用大气层”这一表述部分参考《国际水道非航行使用法公约》第</w:t>
      </w:r>
      <w:r w:rsidRPr="00BF42B7">
        <w:rPr>
          <w:rFonts w:hint="eastAsia"/>
          <w:lang w:val="en-GB"/>
        </w:rPr>
        <w:t>5</w:t>
      </w:r>
      <w:r w:rsidRPr="00BF42B7">
        <w:rPr>
          <w:rFonts w:hint="eastAsia"/>
          <w:lang w:val="en-GB"/>
        </w:rPr>
        <w:t>条以及跨界含水层法第</w:t>
      </w:r>
      <w:r w:rsidRPr="00BF42B7">
        <w:rPr>
          <w:rFonts w:hint="eastAsia"/>
          <w:lang w:val="en-GB"/>
        </w:rPr>
        <w:t>4</w:t>
      </w:r>
      <w:r w:rsidRPr="00BF42B7">
        <w:rPr>
          <w:rFonts w:hint="eastAsia"/>
          <w:lang w:val="en-GB"/>
        </w:rPr>
        <w:t>条。该句要求平衡各种利益并考虑大气污染或大气层退化可能独有的所有有关因素。</w:t>
      </w:r>
    </w:p>
    <w:p w:rsidR="006735D4" w:rsidRPr="00BF42B7" w:rsidRDefault="006735D4" w:rsidP="006735D4">
      <w:pPr>
        <w:tabs>
          <w:tab w:val="clear" w:pos="431"/>
          <w:tab w:val="left" w:pos="1134"/>
          <w:tab w:val="left" w:pos="1565"/>
          <w:tab w:val="left" w:pos="1996"/>
          <w:tab w:val="left" w:pos="2427"/>
        </w:tabs>
        <w:spacing w:after="120"/>
        <w:ind w:left="1134" w:right="1134"/>
        <w:rPr>
          <w:lang w:val="en-GB"/>
        </w:rPr>
      </w:pPr>
      <w:r w:rsidRPr="00BF42B7">
        <w:rPr>
          <w:lang w:val="en-GB"/>
        </w:rPr>
        <w:t xml:space="preserve">(3)  </w:t>
      </w:r>
      <w:r w:rsidRPr="00BF42B7">
        <w:rPr>
          <w:rFonts w:hint="eastAsia"/>
          <w:lang w:val="en-GB"/>
        </w:rPr>
        <w:t>该句第二部分论及代内和代际公平问题。</w:t>
      </w:r>
      <w:r w:rsidRPr="00BF42B7">
        <w:rPr>
          <w:color w:val="0000FF"/>
          <w:vertAlign w:val="superscript"/>
          <w:lang w:val="en-GB"/>
        </w:rPr>
        <w:footnoteReference w:id="1278"/>
      </w:r>
      <w:r w:rsidRPr="00BF42B7">
        <w:rPr>
          <w:vertAlign w:val="superscript"/>
          <w:lang w:val="en-GB"/>
        </w:rPr>
        <w:t xml:space="preserve"> </w:t>
      </w:r>
      <w:r w:rsidRPr="00BF42B7">
        <w:rPr>
          <w:rFonts w:hint="eastAsia"/>
          <w:lang w:val="en-GB"/>
        </w:rPr>
        <w:t>为了说明公平的这两个方面之间的关系，委员会选择使用“考虑到……后代的利益”这一短语，而非“为人类当代和后代的福利”。使用“利益”一词而非“福利”以显示大气层的一体性，“开采”大气层需要考虑平衡各方利益，以确保地球生物的存续。</w:t>
      </w:r>
    </w:p>
    <w:p w:rsidR="006735D4" w:rsidRPr="00BF42B7" w:rsidRDefault="006735D4" w:rsidP="004D02E7">
      <w:pPr>
        <w:pStyle w:val="H23GC"/>
        <w:ind w:left="1554"/>
        <w:rPr>
          <w:lang w:val="en-GB"/>
        </w:rPr>
      </w:pPr>
      <w:r w:rsidRPr="00BF42B7">
        <w:rPr>
          <w:rFonts w:hint="eastAsia"/>
          <w:lang w:val="en-GB"/>
        </w:rPr>
        <w:tab/>
      </w:r>
      <w:r w:rsidRPr="00BF42B7">
        <w:rPr>
          <w:rFonts w:hint="eastAsia"/>
          <w:lang w:val="en-GB"/>
        </w:rPr>
        <w:tab/>
      </w:r>
      <w:r w:rsidRPr="00BF42B7">
        <w:rPr>
          <w:rFonts w:hint="eastAsia"/>
          <w:lang w:val="en-GB"/>
        </w:rPr>
        <w:t>指南</w:t>
      </w:r>
      <w:r w:rsidRPr="00BF42B7">
        <w:rPr>
          <w:lang w:val="en-GB"/>
        </w:rPr>
        <w:t>7</w:t>
      </w:r>
      <w:r w:rsidRPr="00BF42B7">
        <w:rPr>
          <w:rFonts w:hint="eastAsia"/>
          <w:lang w:val="en-GB"/>
        </w:rPr>
        <w:br/>
      </w:r>
      <w:r w:rsidRPr="00BF42B7">
        <w:rPr>
          <w:rFonts w:hint="eastAsia"/>
          <w:lang w:val="en-GB"/>
        </w:rPr>
        <w:t>有意大规模改变大气层</w:t>
      </w:r>
    </w:p>
    <w:p w:rsidR="006735D4" w:rsidRPr="00BF42B7" w:rsidRDefault="006735D4" w:rsidP="006735D4">
      <w:pPr>
        <w:pStyle w:val="SingleTxtGC"/>
        <w:ind w:left="1554" w:firstLine="431"/>
        <w:rPr>
          <w:lang w:val="en-GB"/>
        </w:rPr>
      </w:pPr>
      <w:r w:rsidRPr="00BF42B7">
        <w:rPr>
          <w:rFonts w:hint="eastAsia"/>
          <w:lang w:val="en-GB"/>
        </w:rPr>
        <w:t>应遵守任何适用的国际法规则，审慎和谨慎地开展旨在有意大规模改变大气层的活动。</w:t>
      </w:r>
    </w:p>
    <w:p w:rsidR="006735D4" w:rsidRPr="00BF42B7" w:rsidRDefault="006735D4" w:rsidP="004D02E7">
      <w:pPr>
        <w:pStyle w:val="H23GC"/>
        <w:rPr>
          <w:lang w:val="en-GB"/>
        </w:rPr>
      </w:pPr>
      <w:r w:rsidRPr="00BF42B7">
        <w:rPr>
          <w:lang w:val="en-GB"/>
        </w:rPr>
        <w:tab/>
      </w:r>
      <w:r w:rsidRPr="00BF42B7">
        <w:rPr>
          <w:rFonts w:hint="eastAsia"/>
          <w:lang w:val="en-GB"/>
        </w:rPr>
        <w:tab/>
      </w:r>
      <w:r w:rsidRPr="00BF42B7">
        <w:rPr>
          <w:rFonts w:hint="eastAsia"/>
          <w:lang w:val="en-GB"/>
        </w:rPr>
        <w:t>评注</w:t>
      </w:r>
    </w:p>
    <w:p w:rsidR="006735D4" w:rsidRPr="00BF42B7" w:rsidRDefault="006735D4" w:rsidP="006735D4">
      <w:pPr>
        <w:tabs>
          <w:tab w:val="clear" w:pos="431"/>
          <w:tab w:val="left" w:pos="1134"/>
          <w:tab w:val="left" w:pos="1565"/>
          <w:tab w:val="left" w:pos="1996"/>
          <w:tab w:val="left" w:pos="2427"/>
        </w:tabs>
        <w:spacing w:after="120"/>
        <w:ind w:left="1134" w:right="1134"/>
        <w:rPr>
          <w:lang w:val="en-GB"/>
        </w:rPr>
      </w:pPr>
      <w:r w:rsidRPr="00BF42B7">
        <w:rPr>
          <w:lang w:val="en-GB"/>
        </w:rPr>
        <w:t xml:space="preserve">(1)  </w:t>
      </w:r>
      <w:r w:rsidRPr="00BF42B7">
        <w:rPr>
          <w:rFonts w:hint="eastAsia"/>
          <w:lang w:val="en-GB"/>
        </w:rPr>
        <w:t>指南草案</w:t>
      </w:r>
      <w:r w:rsidRPr="00BF42B7">
        <w:rPr>
          <w:rFonts w:hint="eastAsia"/>
          <w:lang w:val="en-GB"/>
        </w:rPr>
        <w:t>7</w:t>
      </w:r>
      <w:r w:rsidRPr="00BF42B7">
        <w:rPr>
          <w:rFonts w:hint="eastAsia"/>
          <w:lang w:val="en-GB"/>
        </w:rPr>
        <w:t>论及旨在改变大气状况的活动。</w:t>
      </w:r>
      <w:r w:rsidRPr="00BF42B7">
        <w:rPr>
          <w:rFonts w:hint="eastAsia"/>
          <w:bCs/>
          <w:lang w:val="en-GB"/>
        </w:rPr>
        <w:t>如指南草案标题所示，它仅涉及有意的大规模改变。</w:t>
      </w:r>
    </w:p>
    <w:p w:rsidR="006735D4" w:rsidRPr="00BF42B7" w:rsidRDefault="006735D4" w:rsidP="006735D4">
      <w:pPr>
        <w:tabs>
          <w:tab w:val="clear" w:pos="431"/>
          <w:tab w:val="left" w:pos="1134"/>
          <w:tab w:val="left" w:pos="1565"/>
          <w:tab w:val="left" w:pos="1996"/>
          <w:tab w:val="left" w:pos="2427"/>
        </w:tabs>
        <w:spacing w:after="120"/>
        <w:ind w:left="1134" w:right="1134"/>
        <w:rPr>
          <w:lang w:val="en-GB"/>
        </w:rPr>
      </w:pPr>
      <w:r w:rsidRPr="00BF42B7">
        <w:rPr>
          <w:lang w:val="en-GB"/>
        </w:rPr>
        <w:t xml:space="preserve">(2)  </w:t>
      </w:r>
      <w:r w:rsidRPr="00BF42B7">
        <w:rPr>
          <w:rFonts w:hint="eastAsia"/>
          <w:lang w:val="en-GB"/>
        </w:rPr>
        <w:t>“旨在有意大规模改变大气层的活动”一词源自《禁止为军事或任何其他敌对目的使用改变环境的技术的公约》</w:t>
      </w:r>
      <w:r w:rsidRPr="00BF42B7">
        <w:rPr>
          <w:color w:val="0000FF"/>
          <w:vertAlign w:val="superscript"/>
          <w:lang w:val="en-GB"/>
        </w:rPr>
        <w:footnoteReference w:id="1279"/>
      </w:r>
      <w:r w:rsidRPr="00BF42B7">
        <w:rPr>
          <w:vertAlign w:val="superscript"/>
          <w:lang w:val="en-GB"/>
        </w:rPr>
        <w:t xml:space="preserve"> </w:t>
      </w:r>
      <w:r w:rsidRPr="00BF42B7">
        <w:rPr>
          <w:rFonts w:hint="eastAsia"/>
          <w:lang w:val="en-GB"/>
        </w:rPr>
        <w:t>所载的“改变环境的技术”的定义，“改变环境的技术”指通过蓄意操纵自然过程改变地球</w:t>
      </w:r>
      <w:r w:rsidRPr="00BF42B7">
        <w:rPr>
          <w:lang w:val="en-GB"/>
        </w:rPr>
        <w:t>(</w:t>
      </w:r>
      <w:r w:rsidRPr="00BF42B7">
        <w:rPr>
          <w:rFonts w:hint="eastAsia"/>
          <w:lang w:val="en-GB"/>
        </w:rPr>
        <w:t>包括其生物群、岩石圈、水气层和大气层</w:t>
      </w:r>
      <w:r w:rsidRPr="00BF42B7">
        <w:rPr>
          <w:lang w:val="en-GB"/>
        </w:rPr>
        <w:t>)</w:t>
      </w:r>
      <w:r w:rsidRPr="00BF42B7">
        <w:rPr>
          <w:rFonts w:hint="eastAsia"/>
          <w:lang w:val="en-GB"/>
        </w:rPr>
        <w:t>或外层空间的动态、组成或结构的技术。</w:t>
      </w:r>
    </w:p>
    <w:p w:rsidR="006735D4" w:rsidRPr="00BF42B7" w:rsidRDefault="006735D4" w:rsidP="006735D4">
      <w:pPr>
        <w:tabs>
          <w:tab w:val="clear" w:pos="431"/>
          <w:tab w:val="left" w:pos="1134"/>
          <w:tab w:val="left" w:pos="1565"/>
          <w:tab w:val="left" w:pos="1996"/>
          <w:tab w:val="left" w:pos="2427"/>
        </w:tabs>
        <w:spacing w:after="120"/>
        <w:ind w:left="1134" w:right="1134"/>
        <w:rPr>
          <w:lang w:val="en-GB"/>
        </w:rPr>
      </w:pPr>
      <w:r w:rsidRPr="00BF42B7">
        <w:rPr>
          <w:rFonts w:hint="eastAsia"/>
          <w:lang w:val="en-GB"/>
        </w:rPr>
        <w:t xml:space="preserve">(3)  </w:t>
      </w:r>
      <w:r w:rsidRPr="00BF42B7">
        <w:rPr>
          <w:rFonts w:hint="eastAsia"/>
          <w:lang w:val="en-GB"/>
        </w:rPr>
        <w:t>这些活动包括通常被理解为“地球工程”的活动，其方法和技术包括二氧化碳清除和太阳能辐射管理。与前者有关的活动涉及海洋、陆地和技术系统，试图通过天然吸收槽或化学工程从大气层清除二氧化碳。提出的二氧化碳清除技术包括：土壤固碳、碳捕集和固存、海洋肥化、海洋碱性提升，以及加强风化。实际上，造林一直被用于减少二氧化碳。</w:t>
      </w:r>
    </w:p>
    <w:p w:rsidR="006735D4" w:rsidRPr="00BF42B7" w:rsidRDefault="006735D4" w:rsidP="006735D4">
      <w:pPr>
        <w:tabs>
          <w:tab w:val="clear" w:pos="431"/>
          <w:tab w:val="left" w:pos="1134"/>
          <w:tab w:val="left" w:pos="1565"/>
          <w:tab w:val="left" w:pos="1996"/>
          <w:tab w:val="left" w:pos="2427"/>
        </w:tabs>
        <w:spacing w:after="120"/>
        <w:ind w:left="1134" w:right="1134"/>
        <w:rPr>
          <w:lang w:val="en-GB"/>
        </w:rPr>
      </w:pPr>
      <w:r w:rsidRPr="00BF42B7">
        <w:rPr>
          <w:lang w:val="en-GB"/>
        </w:rPr>
        <w:t xml:space="preserve">(4)  </w:t>
      </w:r>
      <w:r w:rsidRPr="00BF42B7">
        <w:rPr>
          <w:rFonts w:hint="eastAsia"/>
          <w:lang w:val="en-GB"/>
        </w:rPr>
        <w:t>科学专家指出，太阳能辐射管理旨在有意降低地球表面温度从而减缓气候变化的不利影响。此处提出的活动包括：“反照率提升”，该方法涉及提高云层或地球表面的反射性，以便将更多的太阳热量反射回太空；平流层气溶胶，该技术涉及将微小的反射性颗粒注入高层大气层，以便在太阳光到达地球表面之前予以反射；太空反射镜，涉及在太阳光到达地球表面之前阻断一部分太阳光。</w:t>
      </w:r>
      <w:r w:rsidRPr="00BF42B7">
        <w:rPr>
          <w:sz w:val="18"/>
          <w:vertAlign w:val="superscript"/>
        </w:rPr>
        <w:t xml:space="preserve"> </w:t>
      </w:r>
    </w:p>
    <w:p w:rsidR="006735D4" w:rsidRPr="00BF42B7" w:rsidRDefault="006735D4" w:rsidP="006735D4">
      <w:pPr>
        <w:tabs>
          <w:tab w:val="clear" w:pos="431"/>
          <w:tab w:val="left" w:pos="1134"/>
          <w:tab w:val="left" w:pos="1565"/>
          <w:tab w:val="left" w:pos="1996"/>
          <w:tab w:val="left" w:pos="2427"/>
        </w:tabs>
        <w:spacing w:after="120"/>
        <w:ind w:left="1134" w:right="1134"/>
        <w:rPr>
          <w:lang w:val="en-GB"/>
        </w:rPr>
      </w:pPr>
      <w:r w:rsidRPr="00BF42B7">
        <w:rPr>
          <w:lang w:val="en-GB"/>
        </w:rPr>
        <w:t xml:space="preserve">(5)  </w:t>
      </w:r>
      <w:r w:rsidRPr="00BF42B7">
        <w:rPr>
          <w:rFonts w:hint="eastAsia"/>
          <w:lang w:val="en-GB"/>
        </w:rPr>
        <w:t>如前文所述，对“活动”一词，应取广义。有些其他活动被国际法所禁止，不属于本指南草案的范围，如《禁止为军事或任何其他敌对目的使用改变环境的技术的公约》</w:t>
      </w:r>
      <w:r w:rsidRPr="00BF42B7">
        <w:rPr>
          <w:color w:val="0000FF"/>
          <w:vertAlign w:val="superscript"/>
        </w:rPr>
        <w:footnoteReference w:id="1280"/>
      </w:r>
      <w:r w:rsidRPr="00BF42B7">
        <w:rPr>
          <w:sz w:val="18"/>
          <w:vertAlign w:val="superscript"/>
        </w:rPr>
        <w:t xml:space="preserve"> </w:t>
      </w:r>
      <w:r w:rsidRPr="00BF42B7">
        <w:rPr>
          <w:rFonts w:hint="eastAsia"/>
          <w:lang w:val="en-GB"/>
        </w:rPr>
        <w:t>和《一九四九年日内瓦四公约第一议定书》</w:t>
      </w:r>
      <w:r w:rsidRPr="00BF42B7">
        <w:rPr>
          <w:color w:val="0000FF"/>
          <w:vertAlign w:val="superscript"/>
        </w:rPr>
        <w:footnoteReference w:id="1281"/>
      </w:r>
      <w:r w:rsidRPr="00BF42B7">
        <w:rPr>
          <w:rFonts w:hint="eastAsia"/>
          <w:lang w:val="en-GB"/>
        </w:rPr>
        <w:t>。相应地，指南草案只适用于“非军事”活动。涉及蓄意改变大气层的军事活动不属于本指南的范围。</w:t>
      </w:r>
    </w:p>
    <w:p w:rsidR="006735D4" w:rsidRPr="00BF42B7" w:rsidRDefault="006735D4" w:rsidP="006735D4">
      <w:pPr>
        <w:tabs>
          <w:tab w:val="clear" w:pos="431"/>
          <w:tab w:val="left" w:pos="1134"/>
          <w:tab w:val="left" w:pos="1565"/>
          <w:tab w:val="left" w:pos="1996"/>
          <w:tab w:val="left" w:pos="2427"/>
        </w:tabs>
        <w:spacing w:after="120"/>
        <w:ind w:left="1134" w:right="1134"/>
        <w:rPr>
          <w:lang w:val="en-GB"/>
        </w:rPr>
      </w:pPr>
      <w:r w:rsidRPr="00BF42B7">
        <w:rPr>
          <w:lang w:val="en-GB"/>
        </w:rPr>
        <w:t xml:space="preserve">(6)  </w:t>
      </w:r>
      <w:r w:rsidRPr="00BF42B7">
        <w:rPr>
          <w:rFonts w:hint="eastAsia"/>
          <w:lang w:val="en-GB"/>
        </w:rPr>
        <w:t>同样，其他活动将继续处于各种体制的规范之下。例如，造林已被纳入《〈联合国气候变化框架公约〉京都议定书》</w:t>
      </w:r>
      <w:r w:rsidRPr="00BF42B7">
        <w:rPr>
          <w:color w:val="0000FF"/>
          <w:vertAlign w:val="superscript"/>
        </w:rPr>
        <w:footnoteReference w:id="1282"/>
      </w:r>
      <w:r w:rsidRPr="00BF42B7">
        <w:rPr>
          <w:vertAlign w:val="superscript"/>
          <w:lang w:val="en-GB"/>
        </w:rPr>
        <w:t xml:space="preserve"> </w:t>
      </w:r>
      <w:r w:rsidRPr="00BF42B7">
        <w:rPr>
          <w:rFonts w:hint="eastAsia"/>
          <w:lang w:val="en-GB"/>
        </w:rPr>
        <w:t>体制和《巴黎协定》</w:t>
      </w:r>
      <w:r w:rsidRPr="00BF42B7">
        <w:rPr>
          <w:rFonts w:hint="eastAsia"/>
          <w:lang w:val="en-GB"/>
        </w:rPr>
        <w:t>(</w:t>
      </w:r>
      <w:r w:rsidRPr="00BF42B7">
        <w:rPr>
          <w:rFonts w:hint="eastAsia"/>
          <w:lang w:val="en-GB"/>
        </w:rPr>
        <w:t>第五条第二款</w:t>
      </w:r>
      <w:r w:rsidRPr="00BF42B7">
        <w:rPr>
          <w:rFonts w:hint="eastAsia"/>
          <w:lang w:val="en-GB"/>
        </w:rPr>
        <w:t>)</w:t>
      </w:r>
      <w:r w:rsidRPr="00BF42B7">
        <w:rPr>
          <w:rFonts w:hint="eastAsia"/>
          <w:lang w:val="en-GB"/>
        </w:rPr>
        <w:t>。在一些国际法律文书下，已经通过了规范碳捕集和封存的措施。《</w:t>
      </w:r>
      <w:r w:rsidRPr="00BF42B7">
        <w:rPr>
          <w:lang w:val="en-GB"/>
        </w:rPr>
        <w:t>1972</w:t>
      </w:r>
      <w:r w:rsidRPr="00BF42B7">
        <w:rPr>
          <w:rFonts w:hint="eastAsia"/>
          <w:lang w:val="en-GB"/>
        </w:rPr>
        <w:t>年〈防止倾倒废物及其他物质污染海洋的公约〉</w:t>
      </w:r>
      <w:r w:rsidRPr="00BF42B7">
        <w:rPr>
          <w:color w:val="0000FF"/>
          <w:vertAlign w:val="superscript"/>
        </w:rPr>
        <w:footnoteReference w:id="1283"/>
      </w:r>
      <w:r w:rsidRPr="00BF42B7">
        <w:rPr>
          <w:vertAlign w:val="superscript"/>
          <w:lang w:val="en-GB"/>
        </w:rPr>
        <w:t xml:space="preserve"> </w:t>
      </w:r>
      <w:r w:rsidRPr="00BF42B7">
        <w:rPr>
          <w:lang w:val="en-GB"/>
        </w:rPr>
        <w:t>1996</w:t>
      </w:r>
      <w:r w:rsidRPr="00BF42B7">
        <w:rPr>
          <w:rFonts w:hint="eastAsia"/>
          <w:lang w:val="en-GB"/>
        </w:rPr>
        <w:t>年议定书》</w:t>
      </w:r>
      <w:r w:rsidRPr="00BF42B7">
        <w:rPr>
          <w:rFonts w:hint="eastAsia"/>
          <w:lang w:val="en-GB"/>
        </w:rPr>
        <w:t>(</w:t>
      </w:r>
      <w:r w:rsidRPr="00BF42B7">
        <w:rPr>
          <w:rFonts w:hint="eastAsia"/>
          <w:lang w:val="en-GB"/>
        </w:rPr>
        <w:t>《伦敦议定书》</w:t>
      </w:r>
      <w:r w:rsidRPr="00BF42B7">
        <w:rPr>
          <w:rFonts w:hint="eastAsia"/>
          <w:lang w:val="en-GB"/>
        </w:rPr>
        <w:t>)</w:t>
      </w:r>
      <w:r w:rsidRPr="00BF42B7">
        <w:rPr>
          <w:color w:val="0000FF"/>
          <w:vertAlign w:val="superscript"/>
        </w:rPr>
        <w:footnoteReference w:id="1284"/>
      </w:r>
      <w:r w:rsidRPr="00BF42B7">
        <w:rPr>
          <w:vertAlign w:val="superscript"/>
          <w:lang w:val="en-GB"/>
        </w:rPr>
        <w:t xml:space="preserve"> </w:t>
      </w:r>
      <w:r w:rsidRPr="00BF42B7">
        <w:rPr>
          <w:rFonts w:hint="eastAsia"/>
          <w:lang w:val="en-GB"/>
        </w:rPr>
        <w:t>载有一项经过修正的条款和附件，以及控制废物和其他物质倾倒的新准则。“海洋铁肥化”和“海洋碱性提升”与海洋倾倒问题有关，因此</w:t>
      </w:r>
      <w:r w:rsidRPr="00BF42B7">
        <w:rPr>
          <w:rFonts w:hint="eastAsia"/>
          <w:lang w:val="en-GB"/>
        </w:rPr>
        <w:t>1972</w:t>
      </w:r>
      <w:r w:rsidRPr="00BF42B7">
        <w:rPr>
          <w:rFonts w:hint="eastAsia"/>
          <w:lang w:val="en-GB"/>
        </w:rPr>
        <w:t>年《公约》及其《伦敦议定书》也是有关文书。</w:t>
      </w:r>
    </w:p>
    <w:p w:rsidR="006735D4" w:rsidRPr="00BF42B7" w:rsidRDefault="006735D4" w:rsidP="006735D4">
      <w:pPr>
        <w:tabs>
          <w:tab w:val="clear" w:pos="431"/>
          <w:tab w:val="left" w:pos="1134"/>
          <w:tab w:val="left" w:pos="1565"/>
          <w:tab w:val="left" w:pos="1996"/>
          <w:tab w:val="left" w:pos="2427"/>
        </w:tabs>
        <w:spacing w:after="120"/>
        <w:ind w:left="1134" w:right="1134"/>
        <w:rPr>
          <w:spacing w:val="2"/>
          <w:lang w:val="en-GB"/>
        </w:rPr>
      </w:pPr>
      <w:r w:rsidRPr="00BF42B7">
        <w:rPr>
          <w:lang w:val="en-GB"/>
        </w:rPr>
        <w:t xml:space="preserve">(7)  </w:t>
      </w:r>
      <w:r w:rsidRPr="00BF42B7">
        <w:rPr>
          <w:rFonts w:hint="eastAsia"/>
          <w:lang w:val="en-GB"/>
        </w:rPr>
        <w:t>“旨在有意大规模改变大气层的活动”具有极大潜力，可以防止、转移、调节或缓解干旱、飓风、旋风等灾害和危害的不利影响，并提高作物产量和水的供应。与此同时，人们也认识到，这些方法和技术可能对当前的气候格局产生长远和意料之外的影响，而且不受国境的局限。如世界气象组织就人工影响天气所述：“大气过程是非常复杂的过程，以至于以人工方式导致世界某一处发生的</w:t>
      </w:r>
      <w:r w:rsidRPr="00BF42B7">
        <w:rPr>
          <w:rFonts w:hint="eastAsia"/>
          <w:spacing w:val="2"/>
          <w:lang w:val="en-GB"/>
        </w:rPr>
        <w:t>天气变化很有可能对别处产生影响……在开始大规模人工影响天气的实验之前，必须认真评估可能的结果和理想的结果，并且必须达成令人满意的国际安排。”</w:t>
      </w:r>
      <w:r w:rsidRPr="00BF42B7">
        <w:rPr>
          <w:color w:val="0000FF"/>
          <w:spacing w:val="2"/>
          <w:vertAlign w:val="superscript"/>
        </w:rPr>
        <w:footnoteReference w:id="1285"/>
      </w:r>
      <w:r w:rsidRPr="00BF42B7">
        <w:rPr>
          <w:spacing w:val="2"/>
          <w:vertAlign w:val="superscript"/>
          <w:lang w:val="en-GB"/>
        </w:rPr>
        <w:t xml:space="preserve"> </w:t>
      </w:r>
    </w:p>
    <w:p w:rsidR="006735D4" w:rsidRPr="00BF42B7" w:rsidRDefault="006735D4" w:rsidP="006735D4">
      <w:pPr>
        <w:tabs>
          <w:tab w:val="clear" w:pos="431"/>
          <w:tab w:val="left" w:pos="1134"/>
          <w:tab w:val="left" w:pos="1565"/>
          <w:tab w:val="left" w:pos="1996"/>
          <w:tab w:val="left" w:pos="2427"/>
        </w:tabs>
        <w:spacing w:after="120"/>
        <w:ind w:left="1134" w:right="1134"/>
        <w:rPr>
          <w:lang w:val="en-GB"/>
        </w:rPr>
      </w:pPr>
      <w:r w:rsidRPr="00BF42B7">
        <w:rPr>
          <w:lang w:val="en-GB"/>
        </w:rPr>
        <w:t xml:space="preserve">(8)  </w:t>
      </w:r>
      <w:r w:rsidRPr="00BF42B7">
        <w:rPr>
          <w:rFonts w:hint="eastAsia"/>
          <w:lang w:val="en-GB"/>
        </w:rPr>
        <w:t>本条指南草案也无意抑制创新和科学进步。《里约宣言》原则七和原则九承认了新技术和创新技术以及在此领域开展合作的重要意义。同时，这并不意味着这些活动的影响总是正面的。</w:t>
      </w:r>
    </w:p>
    <w:p w:rsidR="006735D4" w:rsidRPr="00BF42B7" w:rsidRDefault="006735D4" w:rsidP="006735D4">
      <w:pPr>
        <w:tabs>
          <w:tab w:val="clear" w:pos="431"/>
          <w:tab w:val="left" w:pos="1134"/>
          <w:tab w:val="left" w:pos="1565"/>
          <w:tab w:val="left" w:pos="1996"/>
          <w:tab w:val="left" w:pos="2427"/>
        </w:tabs>
        <w:spacing w:after="120"/>
        <w:ind w:left="1134" w:right="1134"/>
        <w:rPr>
          <w:lang w:val="en-GB"/>
        </w:rPr>
      </w:pPr>
      <w:r w:rsidRPr="00BF42B7">
        <w:rPr>
          <w:lang w:val="en-GB"/>
        </w:rPr>
        <w:t xml:space="preserve">(9)  </w:t>
      </w:r>
      <w:r w:rsidRPr="00BF42B7">
        <w:rPr>
          <w:rFonts w:hint="eastAsia"/>
          <w:lang w:val="en-GB"/>
        </w:rPr>
        <w:t>相应地，本条指南草案并不试图授权或禁止这种活动，除非各国达成协定，要采取这种行动步骤。指南草案仅仅是指出了以下原则，即应审慎和谨慎地</w:t>
      </w:r>
      <w:r w:rsidRPr="00BF42B7">
        <w:rPr>
          <w:rFonts w:hint="eastAsia"/>
          <w:spacing w:val="2"/>
          <w:lang w:val="en-GB"/>
        </w:rPr>
        <w:t>开展这种活动。“审慎和谨慎”的提法受到国际海洋法法庭在</w:t>
      </w:r>
      <w:r w:rsidRPr="00BF42B7">
        <w:rPr>
          <w:rFonts w:ascii="Time New Roman" w:eastAsia="楷体" w:hAnsi="Time New Roman" w:hint="eastAsia"/>
          <w:spacing w:val="2"/>
          <w:lang w:val="en-GB"/>
        </w:rPr>
        <w:t>南方蓝鳍金枪鱼案</w:t>
      </w:r>
      <w:r w:rsidRPr="00BF42B7">
        <w:rPr>
          <w:color w:val="0000FF"/>
          <w:spacing w:val="2"/>
          <w:vertAlign w:val="superscript"/>
        </w:rPr>
        <w:footnoteReference w:id="1286"/>
      </w:r>
      <w:r w:rsidRPr="00BF42B7">
        <w:rPr>
          <w:rFonts w:hint="eastAsia"/>
          <w:spacing w:val="2"/>
          <w:lang w:val="en-GB"/>
        </w:rPr>
        <w:t>、</w:t>
      </w:r>
      <w:r w:rsidRPr="00BF42B7">
        <w:rPr>
          <w:rFonts w:ascii="Time New Roman" w:eastAsia="楷体" w:hAnsi="Time New Roman" w:hint="eastAsia"/>
          <w:lang w:val="en-GB"/>
        </w:rPr>
        <w:t>混合氧化物核燃料厂案</w:t>
      </w:r>
      <w:r w:rsidRPr="00BF42B7">
        <w:rPr>
          <w:color w:val="0000FF"/>
          <w:vertAlign w:val="superscript"/>
        </w:rPr>
        <w:footnoteReference w:id="1287"/>
      </w:r>
      <w:r w:rsidRPr="00BF42B7">
        <w:rPr>
          <w:vertAlign w:val="superscript"/>
          <w:lang w:val="en-GB"/>
        </w:rPr>
        <w:t xml:space="preserve"> </w:t>
      </w:r>
      <w:r w:rsidRPr="00BF42B7">
        <w:rPr>
          <w:rFonts w:hint="eastAsia"/>
          <w:lang w:val="en-GB"/>
        </w:rPr>
        <w:t>和</w:t>
      </w:r>
      <w:r w:rsidRPr="00BF42B7">
        <w:rPr>
          <w:rFonts w:ascii="Time New Roman" w:eastAsia="楷体" w:hAnsi="Time New Roman" w:hint="eastAsia"/>
          <w:lang w:val="en-GB"/>
        </w:rPr>
        <w:t>填海案</w:t>
      </w:r>
      <w:r w:rsidRPr="00BF42B7">
        <w:rPr>
          <w:color w:val="0000FF"/>
          <w:vertAlign w:val="superscript"/>
        </w:rPr>
        <w:footnoteReference w:id="1288"/>
      </w:r>
      <w:r w:rsidRPr="00BF42B7">
        <w:rPr>
          <w:vertAlign w:val="superscript"/>
          <w:lang w:val="en-GB"/>
        </w:rPr>
        <w:t xml:space="preserve"> </w:t>
      </w:r>
      <w:r w:rsidRPr="00BF42B7">
        <w:rPr>
          <w:rFonts w:hint="eastAsia"/>
          <w:lang w:val="en-GB"/>
        </w:rPr>
        <w:t>中用语的启发。该法庭在上述最后一个案件中指出：“有鉴于此，考虑到土地改良可能对海洋环境造成的影响，审慎和谨慎原则要求马来西亚和新加坡建立相关机制，交流信息和评估土地改良工程的风险或影响，并制定在相关地区应对这些风险或影响的方式。”指南草案使用了劝告性的语言，旨在鼓励在与大气污染和大气层退化有关的各种领域的主管体制内，制订规则以规范这些活动。</w:t>
      </w:r>
    </w:p>
    <w:p w:rsidR="006735D4" w:rsidRPr="00BF42B7" w:rsidRDefault="006735D4" w:rsidP="006735D4">
      <w:pPr>
        <w:tabs>
          <w:tab w:val="clear" w:pos="431"/>
          <w:tab w:val="left" w:pos="1134"/>
          <w:tab w:val="left" w:pos="1565"/>
          <w:tab w:val="left" w:pos="1996"/>
          <w:tab w:val="left" w:pos="2427"/>
        </w:tabs>
        <w:spacing w:after="120"/>
        <w:ind w:left="1134" w:right="1134"/>
        <w:rPr>
          <w:lang w:val="en-GB"/>
        </w:rPr>
      </w:pPr>
      <w:r w:rsidRPr="00BF42B7">
        <w:rPr>
          <w:lang w:val="en-GB"/>
        </w:rPr>
        <w:t xml:space="preserve">(10)  </w:t>
      </w:r>
      <w:r w:rsidRPr="00BF42B7">
        <w:rPr>
          <w:rFonts w:hint="eastAsia"/>
          <w:lang w:val="en-GB"/>
        </w:rPr>
        <w:t>指南后半部分提到“遵守任何适用的国际法规则”。理解是，在指南草案的适用方面，国际法将继续发挥作用。</w:t>
      </w:r>
    </w:p>
    <w:p w:rsidR="006735D4" w:rsidRPr="00BF42B7" w:rsidRDefault="006735D4" w:rsidP="006735D4">
      <w:pPr>
        <w:tabs>
          <w:tab w:val="clear" w:pos="431"/>
          <w:tab w:val="left" w:pos="1134"/>
          <w:tab w:val="left" w:pos="1565"/>
          <w:tab w:val="left" w:pos="1996"/>
          <w:tab w:val="left" w:pos="2427"/>
        </w:tabs>
        <w:spacing w:after="120"/>
        <w:ind w:left="1134" w:right="1134"/>
        <w:rPr>
          <w:bCs/>
          <w:lang w:val="en-GB"/>
        </w:rPr>
      </w:pPr>
      <w:r w:rsidRPr="00BF42B7">
        <w:rPr>
          <w:lang w:val="en-GB"/>
        </w:rPr>
        <w:t xml:space="preserve">(11)  </w:t>
      </w:r>
      <w:r w:rsidRPr="00BF42B7">
        <w:rPr>
          <w:rFonts w:hint="eastAsia"/>
          <w:bCs/>
          <w:lang w:val="en-GB"/>
        </w:rPr>
        <w:t>广为承认的是，这种活动应以充分公开和透明的方式进行，而且可能需要进行指南草案</w:t>
      </w:r>
      <w:r w:rsidRPr="00BF42B7">
        <w:rPr>
          <w:rFonts w:hint="eastAsia"/>
          <w:bCs/>
          <w:lang w:val="en-GB"/>
        </w:rPr>
        <w:t>4</w:t>
      </w:r>
      <w:r w:rsidRPr="00BF42B7">
        <w:rPr>
          <w:rFonts w:hint="eastAsia"/>
          <w:bCs/>
          <w:lang w:val="en-GB"/>
        </w:rPr>
        <w:t>所规定的环境影响评估。有人认为，项目凡是涉及蓄意大规模改变大气层的，很可能伴有造成</w:t>
      </w:r>
      <w:r w:rsidRPr="00BF42B7">
        <w:rPr>
          <w:rFonts w:hint="eastAsia"/>
          <w:lang w:val="en-GB"/>
        </w:rPr>
        <w:t>严重</w:t>
      </w:r>
      <w:r w:rsidRPr="00BF42B7">
        <w:rPr>
          <w:rFonts w:hint="eastAsia"/>
          <w:bCs/>
          <w:lang w:val="en-GB"/>
        </w:rPr>
        <w:t>损害的巨大风险，因此尤其有必要对这种活动进行评估。</w:t>
      </w:r>
    </w:p>
    <w:p w:rsidR="006735D4" w:rsidRPr="00BF42B7" w:rsidRDefault="006735D4" w:rsidP="006735D4">
      <w:pPr>
        <w:tabs>
          <w:tab w:val="clear" w:pos="431"/>
          <w:tab w:val="left" w:pos="1134"/>
          <w:tab w:val="left" w:pos="1565"/>
          <w:tab w:val="left" w:pos="1996"/>
          <w:tab w:val="left" w:pos="2427"/>
        </w:tabs>
        <w:spacing w:after="120"/>
        <w:ind w:left="1134" w:right="1134"/>
        <w:rPr>
          <w:bCs/>
          <w:color w:val="FF0000"/>
          <w:lang w:val="en-GB"/>
        </w:rPr>
      </w:pPr>
      <w:r w:rsidRPr="00BF42B7">
        <w:rPr>
          <w:rFonts w:hint="eastAsia"/>
          <w:bCs/>
          <w:lang w:val="en-GB"/>
        </w:rPr>
        <w:t xml:space="preserve">(12) </w:t>
      </w:r>
      <w:r w:rsidR="00536F49">
        <w:rPr>
          <w:rFonts w:hint="eastAsia"/>
          <w:bCs/>
          <w:lang w:val="en-GB"/>
        </w:rPr>
        <w:t xml:space="preserve"> </w:t>
      </w:r>
      <w:r w:rsidRPr="00BF42B7">
        <w:rPr>
          <w:rFonts w:hint="eastAsia"/>
          <w:bCs/>
          <w:lang w:val="en-GB"/>
        </w:rPr>
        <w:t>有些委员仍然认为无需拟订有关这一事项的指南草案，因为本质上对此事项仍有争议，这方面的讨论不断变化，而且可依据的实践很少。另一些委员认为，可在二读期间加强本条指南草案。</w:t>
      </w:r>
    </w:p>
    <w:p w:rsidR="006735D4" w:rsidRPr="00BF42B7" w:rsidRDefault="006735D4" w:rsidP="006735D4">
      <w:pPr>
        <w:pStyle w:val="HChGC"/>
      </w:pPr>
      <w:r w:rsidRPr="00BF42B7">
        <w:tab/>
      </w:r>
      <w:r w:rsidRPr="00BF42B7">
        <w:tab/>
      </w:r>
      <w:r w:rsidRPr="00BF42B7">
        <w:rPr>
          <w:rFonts w:hint="eastAsia"/>
          <w:lang w:val="fr-CH"/>
        </w:rPr>
        <w:t>第九章</w:t>
      </w:r>
      <w:r w:rsidRPr="00BF42B7">
        <w:rPr>
          <w:lang w:val="fr-CH"/>
        </w:rPr>
        <w:br/>
      </w:r>
      <w:r w:rsidRPr="00BF42B7">
        <w:rPr>
          <w:rFonts w:hint="eastAsia"/>
        </w:rPr>
        <w:t>强行法</w:t>
      </w:r>
    </w:p>
    <w:p w:rsidR="006735D4" w:rsidRPr="00BF42B7" w:rsidRDefault="006735D4" w:rsidP="006735D4">
      <w:pPr>
        <w:pStyle w:val="H1GC"/>
      </w:pPr>
      <w:r w:rsidRPr="00BF42B7">
        <w:tab/>
        <w:t>A.</w:t>
      </w:r>
      <w:r w:rsidRPr="00BF42B7">
        <w:tab/>
      </w:r>
      <w:r w:rsidRPr="00BF42B7">
        <w:rPr>
          <w:rFonts w:hint="eastAsia"/>
          <w:lang w:val="fr-CH"/>
        </w:rPr>
        <w:t>导言</w:t>
      </w:r>
    </w:p>
    <w:p w:rsidR="006735D4" w:rsidRPr="00BF42B7" w:rsidRDefault="006735D4" w:rsidP="006735D4">
      <w:pPr>
        <w:tabs>
          <w:tab w:val="clear" w:pos="431"/>
          <w:tab w:val="left" w:pos="1134"/>
          <w:tab w:val="left" w:pos="1565"/>
          <w:tab w:val="left" w:pos="1996"/>
          <w:tab w:val="left" w:pos="2427"/>
        </w:tabs>
        <w:spacing w:after="120"/>
        <w:ind w:left="1134" w:right="1134"/>
      </w:pPr>
      <w:r w:rsidRPr="00BF42B7">
        <w:rPr>
          <w:rFonts w:hint="eastAsia"/>
        </w:rPr>
        <w:t>97</w:t>
      </w:r>
      <w:r w:rsidRPr="00BF42B7">
        <w:t>.</w:t>
      </w:r>
      <w:r w:rsidRPr="00BF42B7">
        <w:rPr>
          <w:rFonts w:hint="eastAsia"/>
        </w:rPr>
        <w:t xml:space="preserve">  </w:t>
      </w:r>
      <w:r w:rsidRPr="00BF42B7">
        <w:rPr>
          <w:rFonts w:hint="eastAsia"/>
        </w:rPr>
        <w:t>委员会在第六十七届会议</w:t>
      </w:r>
      <w:r w:rsidRPr="00BF42B7">
        <w:rPr>
          <w:rFonts w:hint="eastAsia"/>
        </w:rPr>
        <w:t>(2015</w:t>
      </w:r>
      <w:r w:rsidRPr="00BF42B7">
        <w:rPr>
          <w:rFonts w:hint="eastAsia"/>
        </w:rPr>
        <w:t>年</w:t>
      </w:r>
      <w:r w:rsidRPr="00BF42B7">
        <w:rPr>
          <w:rFonts w:hint="eastAsia"/>
        </w:rPr>
        <w:t>)</w:t>
      </w:r>
      <w:r w:rsidRPr="00BF42B7">
        <w:rPr>
          <w:rFonts w:hint="eastAsia"/>
        </w:rPr>
        <w:t>上，决定将“强行法”专题列入工作方案，并任命迪雷·特拉迪先生为该专题特别报告员。</w:t>
      </w:r>
      <w:r w:rsidRPr="00BF42B7">
        <w:rPr>
          <w:color w:val="0000FF"/>
          <w:vertAlign w:val="superscript"/>
        </w:rPr>
        <w:footnoteReference w:id="1289"/>
      </w:r>
      <w:r w:rsidRPr="00BF42B7">
        <w:rPr>
          <w:rFonts w:hint="eastAsia"/>
        </w:rPr>
        <w:t xml:space="preserve"> </w:t>
      </w:r>
      <w:r w:rsidRPr="00BF42B7">
        <w:rPr>
          <w:rFonts w:ascii="宋体" w:hAnsi="宋体" w:cs="宋体" w:hint="eastAsia"/>
        </w:rPr>
        <w:t>大会随后在</w:t>
      </w:r>
      <w:r w:rsidRPr="00BF42B7">
        <w:rPr>
          <w:rFonts w:hint="eastAsia"/>
        </w:rPr>
        <w:t>2015</w:t>
      </w:r>
      <w:r w:rsidRPr="00BF42B7">
        <w:rPr>
          <w:rFonts w:ascii="宋体" w:hAnsi="宋体" w:cs="宋体" w:hint="eastAsia"/>
        </w:rPr>
        <w:t>年</w:t>
      </w:r>
      <w:r w:rsidRPr="00BF42B7">
        <w:rPr>
          <w:rFonts w:hint="eastAsia"/>
        </w:rPr>
        <w:t>12</w:t>
      </w:r>
      <w:r w:rsidRPr="00BF42B7">
        <w:rPr>
          <w:rFonts w:ascii="宋体" w:hAnsi="宋体" w:cs="宋体" w:hint="eastAsia"/>
        </w:rPr>
        <w:t>月</w:t>
      </w:r>
      <w:r w:rsidRPr="00BF42B7">
        <w:rPr>
          <w:rFonts w:hint="eastAsia"/>
        </w:rPr>
        <w:t>23</w:t>
      </w:r>
      <w:r w:rsidRPr="00BF42B7">
        <w:rPr>
          <w:rFonts w:ascii="宋体" w:hAnsi="宋体" w:cs="宋体" w:hint="eastAsia"/>
        </w:rPr>
        <w:t>日第</w:t>
      </w:r>
      <w:hyperlink r:id="rId92" w:history="1">
        <w:r w:rsidRPr="007F0135">
          <w:rPr>
            <w:rStyle w:val="af"/>
          </w:rPr>
          <w:t>70/236</w:t>
        </w:r>
      </w:hyperlink>
      <w:r w:rsidRPr="00BF42B7">
        <w:rPr>
          <w:rFonts w:hint="eastAsia"/>
        </w:rPr>
        <w:t>号</w:t>
      </w:r>
      <w:r w:rsidRPr="00BF42B7">
        <w:rPr>
          <w:rFonts w:ascii="宋体" w:hAnsi="宋体" w:cs="宋体" w:hint="eastAsia"/>
        </w:rPr>
        <w:t>决议里注意到委员会决定将此专题列入工作方案。</w:t>
      </w:r>
    </w:p>
    <w:p w:rsidR="006735D4" w:rsidRPr="00BF42B7" w:rsidRDefault="006735D4" w:rsidP="006735D4">
      <w:pPr>
        <w:pStyle w:val="H1GC"/>
      </w:pPr>
      <w:bookmarkStart w:id="312" w:name="B_Present_session"/>
      <w:r w:rsidRPr="00BF42B7">
        <w:rPr>
          <w:bCs/>
        </w:rPr>
        <w:tab/>
      </w:r>
      <w:r w:rsidRPr="00BF42B7">
        <w:t>B</w:t>
      </w:r>
      <w:bookmarkEnd w:id="312"/>
      <w:r w:rsidRPr="00BF42B7">
        <w:t>.</w:t>
      </w:r>
      <w:r w:rsidRPr="00BF42B7">
        <w:tab/>
      </w:r>
      <w:r w:rsidRPr="00BF42B7">
        <w:rPr>
          <w:rFonts w:hint="eastAsia"/>
        </w:rPr>
        <w:t>本届会议审议此专题的情况</w:t>
      </w:r>
    </w:p>
    <w:p w:rsidR="006735D4" w:rsidRPr="00BF42B7" w:rsidRDefault="006735D4" w:rsidP="006735D4">
      <w:pPr>
        <w:tabs>
          <w:tab w:val="clear" w:pos="431"/>
          <w:tab w:val="left" w:pos="1134"/>
          <w:tab w:val="left" w:pos="1565"/>
          <w:tab w:val="left" w:pos="1996"/>
          <w:tab w:val="left" w:pos="2427"/>
        </w:tabs>
        <w:spacing w:after="120"/>
        <w:ind w:left="1134" w:right="1134"/>
        <w:rPr>
          <w:kern w:val="1"/>
        </w:rPr>
      </w:pPr>
      <w:bookmarkStart w:id="313" w:name="Intro_paras"/>
      <w:r w:rsidRPr="00BF42B7">
        <w:rPr>
          <w:rFonts w:hint="eastAsia"/>
          <w:kern w:val="1"/>
        </w:rPr>
        <w:t>98</w:t>
      </w:r>
      <w:r w:rsidRPr="00BF42B7">
        <w:rPr>
          <w:kern w:val="1"/>
        </w:rPr>
        <w:t>.</w:t>
      </w:r>
      <w:bookmarkEnd w:id="313"/>
      <w:r w:rsidRPr="00BF42B7">
        <w:rPr>
          <w:rFonts w:hint="eastAsia"/>
          <w:kern w:val="1"/>
        </w:rPr>
        <w:t xml:space="preserve">  </w:t>
      </w:r>
      <w:r w:rsidRPr="00BF42B7">
        <w:rPr>
          <w:rFonts w:hint="eastAsia"/>
        </w:rPr>
        <w:t>委员会本届会议收到了特别报告员的第一次报告</w:t>
      </w:r>
      <w:r w:rsidRPr="00BF42B7">
        <w:t>(</w:t>
      </w:r>
      <w:hyperlink r:id="rId93" w:history="1">
        <w:r w:rsidRPr="00BF42B7">
          <w:t>A/CN.4/693</w:t>
        </w:r>
      </w:hyperlink>
      <w:r w:rsidRPr="00BF42B7">
        <w:rPr>
          <w:rFonts w:hint="eastAsia"/>
        </w:rPr>
        <w:t>)</w:t>
      </w:r>
      <w:r w:rsidRPr="00BF42B7">
        <w:rPr>
          <w:rFonts w:hint="eastAsia"/>
        </w:rPr>
        <w:t>，该报告试图说明特别报告员处理此专题的总体方法，以此为基础了解委员会关于倾向采取的方法的意见，并总体</w:t>
      </w:r>
      <w:r w:rsidRPr="00BF42B7">
        <w:rPr>
          <w:rFonts w:hint="eastAsia"/>
          <w:iCs/>
          <w:kern w:val="1"/>
        </w:rPr>
        <w:t>概述与强行法</w:t>
      </w:r>
      <w:r w:rsidRPr="00BF42B7">
        <w:rPr>
          <w:rFonts w:hint="eastAsia"/>
          <w:iCs/>
          <w:kern w:val="1"/>
        </w:rPr>
        <w:t>(</w:t>
      </w:r>
      <w:r w:rsidRPr="00BF42B7">
        <w:rPr>
          <w:rFonts w:hint="eastAsia"/>
          <w:iCs/>
          <w:kern w:val="1"/>
        </w:rPr>
        <w:t>国际法强制性规范</w:t>
      </w:r>
      <w:r w:rsidRPr="00BF42B7">
        <w:rPr>
          <w:rFonts w:hint="eastAsia"/>
          <w:iCs/>
          <w:kern w:val="1"/>
        </w:rPr>
        <w:t>)</w:t>
      </w:r>
      <w:r w:rsidRPr="00BF42B7">
        <w:rPr>
          <w:rFonts w:hint="eastAsia"/>
          <w:iCs/>
          <w:kern w:val="1"/>
        </w:rPr>
        <w:t>有关的概念问题。</w:t>
      </w:r>
    </w:p>
    <w:p w:rsidR="006735D4" w:rsidRPr="00BF42B7" w:rsidRDefault="006735D4" w:rsidP="006735D4">
      <w:pPr>
        <w:tabs>
          <w:tab w:val="clear" w:pos="431"/>
          <w:tab w:val="left" w:pos="1134"/>
          <w:tab w:val="left" w:pos="1565"/>
          <w:tab w:val="left" w:pos="1996"/>
          <w:tab w:val="left" w:pos="2427"/>
        </w:tabs>
        <w:spacing w:after="120"/>
        <w:ind w:left="1134" w:right="1134"/>
        <w:rPr>
          <w:kern w:val="1"/>
        </w:rPr>
      </w:pPr>
      <w:r w:rsidRPr="00BF42B7">
        <w:rPr>
          <w:rFonts w:hint="eastAsia"/>
          <w:kern w:val="1"/>
        </w:rPr>
        <w:t>99</w:t>
      </w:r>
      <w:r w:rsidRPr="00BF42B7">
        <w:rPr>
          <w:kern w:val="1"/>
        </w:rPr>
        <w:t>.</w:t>
      </w:r>
      <w:r w:rsidRPr="00BF42B7">
        <w:rPr>
          <w:rFonts w:hint="eastAsia"/>
          <w:kern w:val="1"/>
        </w:rPr>
        <w:t xml:space="preserve">  </w:t>
      </w:r>
      <w:r w:rsidRPr="00BF42B7">
        <w:rPr>
          <w:rFonts w:hint="eastAsia"/>
          <w:kern w:val="1"/>
        </w:rPr>
        <w:t>委员会在</w:t>
      </w:r>
      <w:r w:rsidRPr="00BF42B7">
        <w:rPr>
          <w:rFonts w:hint="eastAsia"/>
          <w:kern w:val="1"/>
        </w:rPr>
        <w:t>2016</w:t>
      </w:r>
      <w:r w:rsidRPr="00BF42B7">
        <w:rPr>
          <w:rFonts w:hint="eastAsia"/>
          <w:kern w:val="1"/>
        </w:rPr>
        <w:t>年</w:t>
      </w:r>
      <w:r w:rsidRPr="00BF42B7">
        <w:rPr>
          <w:rFonts w:hint="eastAsia"/>
          <w:kern w:val="1"/>
        </w:rPr>
        <w:t>7</w:t>
      </w:r>
      <w:r w:rsidRPr="00BF42B7">
        <w:rPr>
          <w:rFonts w:hint="eastAsia"/>
          <w:kern w:val="1"/>
        </w:rPr>
        <w:t>月</w:t>
      </w:r>
      <w:r w:rsidRPr="00BF42B7">
        <w:rPr>
          <w:rFonts w:hint="eastAsia"/>
          <w:kern w:val="1"/>
        </w:rPr>
        <w:t>4</w:t>
      </w:r>
      <w:r w:rsidRPr="00BF42B7">
        <w:rPr>
          <w:rFonts w:hint="eastAsia"/>
          <w:kern w:val="1"/>
        </w:rPr>
        <w:t>日至</w:t>
      </w:r>
      <w:r w:rsidRPr="00BF42B7">
        <w:rPr>
          <w:rFonts w:hint="eastAsia"/>
          <w:kern w:val="1"/>
        </w:rPr>
        <w:t>8</w:t>
      </w:r>
      <w:r w:rsidRPr="00BF42B7">
        <w:rPr>
          <w:rFonts w:hint="eastAsia"/>
          <w:kern w:val="1"/>
        </w:rPr>
        <w:t>日和</w:t>
      </w:r>
      <w:r w:rsidRPr="00BF42B7">
        <w:rPr>
          <w:rFonts w:hint="eastAsia"/>
          <w:kern w:val="1"/>
        </w:rPr>
        <w:t>18</w:t>
      </w:r>
      <w:r w:rsidRPr="00BF42B7">
        <w:rPr>
          <w:rFonts w:hint="eastAsia"/>
          <w:kern w:val="1"/>
        </w:rPr>
        <w:t>日至</w:t>
      </w:r>
      <w:r w:rsidRPr="00BF42B7">
        <w:rPr>
          <w:rFonts w:hint="eastAsia"/>
          <w:kern w:val="1"/>
        </w:rPr>
        <w:t>19</w:t>
      </w:r>
      <w:r w:rsidRPr="00BF42B7">
        <w:rPr>
          <w:rFonts w:hint="eastAsia"/>
          <w:kern w:val="1"/>
        </w:rPr>
        <w:t>日举行的第</w:t>
      </w:r>
      <w:r w:rsidRPr="00BF42B7">
        <w:rPr>
          <w:rFonts w:hint="eastAsia"/>
          <w:kern w:val="1"/>
        </w:rPr>
        <w:t>3314</w:t>
      </w:r>
      <w:r w:rsidRPr="00BF42B7">
        <w:rPr>
          <w:rFonts w:hint="eastAsia"/>
          <w:kern w:val="1"/>
        </w:rPr>
        <w:t>至</w:t>
      </w:r>
      <w:r w:rsidRPr="00BF42B7">
        <w:rPr>
          <w:rFonts w:hint="eastAsia"/>
          <w:kern w:val="1"/>
        </w:rPr>
        <w:t>3317</w:t>
      </w:r>
      <w:r w:rsidRPr="00BF42B7">
        <w:rPr>
          <w:rFonts w:hint="eastAsia"/>
          <w:kern w:val="1"/>
        </w:rPr>
        <w:t>次会议和第</w:t>
      </w:r>
      <w:r w:rsidRPr="00BF42B7">
        <w:rPr>
          <w:rFonts w:hint="eastAsia"/>
          <w:kern w:val="1"/>
        </w:rPr>
        <w:t>3322</w:t>
      </w:r>
      <w:r w:rsidRPr="00BF42B7">
        <w:rPr>
          <w:rFonts w:hint="eastAsia"/>
          <w:kern w:val="1"/>
        </w:rPr>
        <w:t>至</w:t>
      </w:r>
      <w:r w:rsidRPr="00BF42B7">
        <w:rPr>
          <w:rFonts w:hint="eastAsia"/>
          <w:kern w:val="1"/>
        </w:rPr>
        <w:t>3323</w:t>
      </w:r>
      <w:r w:rsidRPr="00BF42B7">
        <w:rPr>
          <w:rFonts w:hint="eastAsia"/>
          <w:kern w:val="1"/>
        </w:rPr>
        <w:t>次会议上审议了第一次报告。</w:t>
      </w:r>
    </w:p>
    <w:p w:rsidR="006735D4" w:rsidRPr="00BF42B7" w:rsidRDefault="006735D4" w:rsidP="006735D4">
      <w:pPr>
        <w:tabs>
          <w:tab w:val="clear" w:pos="431"/>
          <w:tab w:val="left" w:pos="1134"/>
          <w:tab w:val="left" w:pos="1565"/>
          <w:tab w:val="left" w:pos="1996"/>
          <w:tab w:val="left" w:pos="2427"/>
        </w:tabs>
        <w:spacing w:after="120"/>
        <w:ind w:left="1134" w:right="1134"/>
        <w:rPr>
          <w:kern w:val="1"/>
        </w:rPr>
      </w:pPr>
      <w:r w:rsidRPr="00BF42B7">
        <w:rPr>
          <w:rFonts w:hint="eastAsia"/>
          <w:kern w:val="1"/>
        </w:rPr>
        <w:t>100</w:t>
      </w:r>
      <w:r w:rsidRPr="00BF42B7">
        <w:rPr>
          <w:kern w:val="1"/>
        </w:rPr>
        <w:t>.</w:t>
      </w:r>
      <w:r w:rsidRPr="00BF42B7">
        <w:rPr>
          <w:rFonts w:hint="eastAsia"/>
          <w:kern w:val="1"/>
        </w:rPr>
        <w:t xml:space="preserve">  </w:t>
      </w:r>
      <w:r w:rsidRPr="00BF42B7">
        <w:rPr>
          <w:rFonts w:hint="eastAsia"/>
          <w:kern w:val="1"/>
        </w:rPr>
        <w:t>委员会在</w:t>
      </w:r>
      <w:r w:rsidRPr="00BF42B7">
        <w:rPr>
          <w:rFonts w:hint="eastAsia"/>
          <w:kern w:val="1"/>
        </w:rPr>
        <w:t>2016</w:t>
      </w:r>
      <w:r w:rsidRPr="00BF42B7">
        <w:rPr>
          <w:rFonts w:hint="eastAsia"/>
          <w:kern w:val="1"/>
        </w:rPr>
        <w:t>年</w:t>
      </w:r>
      <w:r w:rsidRPr="00BF42B7">
        <w:rPr>
          <w:rFonts w:hint="eastAsia"/>
          <w:kern w:val="1"/>
        </w:rPr>
        <w:t>7</w:t>
      </w:r>
      <w:r w:rsidRPr="00BF42B7">
        <w:rPr>
          <w:rFonts w:hint="eastAsia"/>
          <w:kern w:val="1"/>
        </w:rPr>
        <w:t>月</w:t>
      </w:r>
      <w:r w:rsidRPr="00BF42B7">
        <w:rPr>
          <w:rFonts w:hint="eastAsia"/>
          <w:kern w:val="1"/>
        </w:rPr>
        <w:t>19</w:t>
      </w:r>
      <w:r w:rsidRPr="00BF42B7">
        <w:rPr>
          <w:rFonts w:hint="eastAsia"/>
          <w:kern w:val="1"/>
        </w:rPr>
        <w:t>日举行的第</w:t>
      </w:r>
      <w:r w:rsidRPr="00BF42B7">
        <w:rPr>
          <w:rFonts w:hint="eastAsia"/>
          <w:kern w:val="1"/>
        </w:rPr>
        <w:t>3323</w:t>
      </w:r>
      <w:r w:rsidRPr="00BF42B7">
        <w:rPr>
          <w:rFonts w:hint="eastAsia"/>
          <w:kern w:val="1"/>
        </w:rPr>
        <w:t>次会议上，将特别报告员第一次报告所载的结论草案</w:t>
      </w:r>
      <w:r w:rsidRPr="00BF42B7">
        <w:rPr>
          <w:rFonts w:hint="eastAsia"/>
          <w:kern w:val="1"/>
        </w:rPr>
        <w:t>1</w:t>
      </w:r>
      <w:r w:rsidRPr="00BF42B7">
        <w:rPr>
          <w:rFonts w:hint="eastAsia"/>
          <w:kern w:val="1"/>
        </w:rPr>
        <w:t>和</w:t>
      </w:r>
      <w:r w:rsidRPr="00BF42B7">
        <w:rPr>
          <w:rFonts w:hint="eastAsia"/>
          <w:kern w:val="1"/>
        </w:rPr>
        <w:t>3</w:t>
      </w:r>
      <w:r w:rsidRPr="00BF42B7">
        <w:rPr>
          <w:rFonts w:hint="eastAsia"/>
          <w:kern w:val="1"/>
        </w:rPr>
        <w:t>转交起草委员会。</w:t>
      </w:r>
    </w:p>
    <w:p w:rsidR="006735D4" w:rsidRPr="00BF42B7" w:rsidRDefault="006735D4" w:rsidP="006735D4">
      <w:pPr>
        <w:tabs>
          <w:tab w:val="clear" w:pos="431"/>
          <w:tab w:val="left" w:pos="1134"/>
          <w:tab w:val="left" w:pos="1565"/>
          <w:tab w:val="left" w:pos="1996"/>
          <w:tab w:val="left" w:pos="2427"/>
        </w:tabs>
        <w:spacing w:after="120"/>
        <w:ind w:left="1134" w:right="1134"/>
        <w:rPr>
          <w:kern w:val="1"/>
        </w:rPr>
      </w:pPr>
      <w:r w:rsidRPr="00BF42B7">
        <w:rPr>
          <w:rFonts w:hint="eastAsia"/>
          <w:kern w:val="1"/>
        </w:rPr>
        <w:t>101</w:t>
      </w:r>
      <w:r w:rsidRPr="00BF42B7">
        <w:rPr>
          <w:kern w:val="1"/>
        </w:rPr>
        <w:t>.</w:t>
      </w:r>
      <w:r w:rsidRPr="00BF42B7">
        <w:rPr>
          <w:rFonts w:hint="eastAsia"/>
          <w:kern w:val="1"/>
        </w:rPr>
        <w:t xml:space="preserve">  </w:t>
      </w:r>
      <w:r w:rsidRPr="00BF42B7">
        <w:rPr>
          <w:rFonts w:hint="eastAsia"/>
          <w:kern w:val="1"/>
        </w:rPr>
        <w:t>在</w:t>
      </w:r>
      <w:r w:rsidRPr="00BF42B7">
        <w:rPr>
          <w:rFonts w:hint="eastAsia"/>
          <w:kern w:val="1"/>
        </w:rPr>
        <w:t>2016</w:t>
      </w:r>
      <w:r w:rsidRPr="00BF42B7">
        <w:rPr>
          <w:rFonts w:hint="eastAsia"/>
          <w:kern w:val="1"/>
        </w:rPr>
        <w:t>年</w:t>
      </w:r>
      <w:r w:rsidRPr="00BF42B7">
        <w:rPr>
          <w:rFonts w:hint="eastAsia"/>
          <w:kern w:val="1"/>
        </w:rPr>
        <w:t>8</w:t>
      </w:r>
      <w:r w:rsidRPr="00BF42B7">
        <w:rPr>
          <w:rFonts w:hint="eastAsia"/>
          <w:kern w:val="1"/>
        </w:rPr>
        <w:t>月</w:t>
      </w:r>
      <w:r w:rsidRPr="00BF42B7">
        <w:rPr>
          <w:rFonts w:hint="eastAsia"/>
          <w:kern w:val="1"/>
        </w:rPr>
        <w:t>9</w:t>
      </w:r>
      <w:r w:rsidRPr="00BF42B7">
        <w:rPr>
          <w:rFonts w:hint="eastAsia"/>
          <w:kern w:val="1"/>
        </w:rPr>
        <w:t>日举行的第</w:t>
      </w:r>
      <w:r w:rsidRPr="00BF42B7">
        <w:rPr>
          <w:rFonts w:hint="eastAsia"/>
          <w:kern w:val="1"/>
        </w:rPr>
        <w:t>3342</w:t>
      </w:r>
      <w:r w:rsidRPr="00BF42B7">
        <w:rPr>
          <w:rFonts w:hint="eastAsia"/>
          <w:kern w:val="1"/>
        </w:rPr>
        <w:t>次会议上，</w:t>
      </w:r>
      <w:r w:rsidRPr="00BF42B7">
        <w:rPr>
          <w:rFonts w:ascii="宋体" w:hAnsi="宋体" w:cs="宋体" w:hint="eastAsia"/>
          <w:kern w:val="1"/>
        </w:rPr>
        <w:t>起草委员会主席提交了起草委员会关于“强行法”的临时</w:t>
      </w:r>
      <w:r w:rsidRPr="00BF42B7">
        <w:rPr>
          <w:rFonts w:hint="eastAsia"/>
          <w:kern w:val="1"/>
        </w:rPr>
        <w:t>报告，其中载有委员会第六十八届会议暂时通过的结论草案</w:t>
      </w:r>
      <w:r w:rsidRPr="00BF42B7">
        <w:rPr>
          <w:rFonts w:ascii="宋体" w:hAnsi="宋体" w:cs="宋体" w:hint="eastAsia"/>
          <w:kern w:val="1"/>
        </w:rPr>
        <w:t>。该报告仅供参考，可在委员会网站上查阅。</w:t>
      </w:r>
      <w:r w:rsidRPr="00BF42B7">
        <w:rPr>
          <w:color w:val="0000FF"/>
          <w:kern w:val="1"/>
          <w:vertAlign w:val="superscript"/>
        </w:rPr>
        <w:footnoteReference w:id="1290"/>
      </w:r>
    </w:p>
    <w:p w:rsidR="006735D4" w:rsidRPr="00BF42B7" w:rsidRDefault="006735D4" w:rsidP="006735D4">
      <w:pPr>
        <w:pStyle w:val="H23GC"/>
      </w:pPr>
      <w:r w:rsidRPr="00BF42B7">
        <w:tab/>
        <w:t>1.</w:t>
      </w:r>
      <w:r w:rsidRPr="00BF42B7">
        <w:rPr>
          <w:rFonts w:hint="eastAsia"/>
        </w:rPr>
        <w:tab/>
      </w:r>
      <w:r w:rsidRPr="00BF42B7">
        <w:rPr>
          <w:rFonts w:hint="eastAsia"/>
        </w:rPr>
        <w:t>特别报告员介绍第一次报告</w:t>
      </w:r>
    </w:p>
    <w:p w:rsidR="006735D4" w:rsidRPr="00BF42B7" w:rsidRDefault="006735D4" w:rsidP="006735D4">
      <w:pPr>
        <w:tabs>
          <w:tab w:val="clear" w:pos="431"/>
          <w:tab w:val="left" w:pos="1134"/>
          <w:tab w:val="left" w:pos="1565"/>
          <w:tab w:val="left" w:pos="1996"/>
          <w:tab w:val="left" w:pos="2427"/>
        </w:tabs>
        <w:spacing w:after="120"/>
        <w:ind w:left="1134" w:right="1134"/>
        <w:rPr>
          <w:kern w:val="1"/>
        </w:rPr>
      </w:pPr>
      <w:r w:rsidRPr="00BF42B7">
        <w:rPr>
          <w:rFonts w:hint="eastAsia"/>
          <w:kern w:val="1"/>
        </w:rPr>
        <w:t>102</w:t>
      </w:r>
      <w:r w:rsidRPr="00BF42B7">
        <w:rPr>
          <w:kern w:val="1"/>
        </w:rPr>
        <w:t>.</w:t>
      </w:r>
      <w:r w:rsidRPr="00BF42B7">
        <w:rPr>
          <w:rFonts w:hint="eastAsia"/>
          <w:kern w:val="1"/>
        </w:rPr>
        <w:t xml:space="preserve">  </w:t>
      </w:r>
      <w:r w:rsidRPr="00BF42B7">
        <w:rPr>
          <w:rFonts w:hint="eastAsia"/>
          <w:kern w:val="1"/>
        </w:rPr>
        <w:t>特别报告员表示，他的第一次报告主要论及与</w:t>
      </w:r>
      <w:r w:rsidRPr="00BF42B7">
        <w:rPr>
          <w:rFonts w:hint="eastAsia"/>
          <w:iCs/>
          <w:kern w:val="1"/>
        </w:rPr>
        <w:t>强制性规范</w:t>
      </w:r>
      <w:r w:rsidRPr="00BF42B7">
        <w:rPr>
          <w:rFonts w:hint="eastAsia"/>
          <w:iCs/>
          <w:kern w:val="1"/>
        </w:rPr>
        <w:t>(</w:t>
      </w:r>
      <w:r w:rsidRPr="00BF42B7">
        <w:rPr>
          <w:rFonts w:hint="eastAsia"/>
          <w:iCs/>
          <w:kern w:val="1"/>
        </w:rPr>
        <w:t>强行法</w:t>
      </w:r>
      <w:r w:rsidRPr="00BF42B7">
        <w:rPr>
          <w:rFonts w:hint="eastAsia"/>
          <w:iCs/>
          <w:kern w:val="1"/>
        </w:rPr>
        <w:t>)</w:t>
      </w:r>
      <w:r w:rsidRPr="00BF42B7">
        <w:rPr>
          <w:rFonts w:hint="eastAsia"/>
          <w:iCs/>
          <w:kern w:val="1"/>
        </w:rPr>
        <w:t>有关的概念问题，包括强行法的本质和定义。该报告还追溯了强行法的历史演变，以及国际法中对强行法概念的核心要素的接受情况。报告进而提出了一系列方法学问题，请委员会委员予以评论。报告第二章回顾了</w:t>
      </w:r>
      <w:r w:rsidRPr="00BF42B7">
        <w:rPr>
          <w:rFonts w:hint="eastAsia"/>
          <w:iCs/>
          <w:kern w:val="1"/>
        </w:rPr>
        <w:t>2014</w:t>
      </w:r>
      <w:r w:rsidRPr="00BF42B7">
        <w:rPr>
          <w:rFonts w:hint="eastAsia"/>
          <w:iCs/>
          <w:kern w:val="1"/>
        </w:rPr>
        <w:t>年和</w:t>
      </w:r>
      <w:r w:rsidRPr="00BF42B7">
        <w:rPr>
          <w:rFonts w:hint="eastAsia"/>
          <w:iCs/>
          <w:kern w:val="1"/>
        </w:rPr>
        <w:t>2015</w:t>
      </w:r>
      <w:r w:rsidRPr="00BF42B7">
        <w:rPr>
          <w:rFonts w:hint="eastAsia"/>
          <w:iCs/>
          <w:kern w:val="1"/>
        </w:rPr>
        <w:t>年第六委员会的辩论。报告回顾指出，大多数国家都对委员会的专题表示了支持。在这些辩论中，各会员国提出了若干主题。</w:t>
      </w:r>
    </w:p>
    <w:p w:rsidR="006735D4" w:rsidRPr="00BF42B7" w:rsidRDefault="006735D4" w:rsidP="006735D4">
      <w:pPr>
        <w:tabs>
          <w:tab w:val="clear" w:pos="431"/>
          <w:tab w:val="left" w:pos="1134"/>
          <w:tab w:val="left" w:pos="1565"/>
          <w:tab w:val="left" w:pos="1996"/>
          <w:tab w:val="left" w:pos="2427"/>
        </w:tabs>
        <w:spacing w:after="160"/>
        <w:ind w:left="1134" w:right="1134"/>
        <w:rPr>
          <w:kern w:val="1"/>
        </w:rPr>
      </w:pPr>
      <w:r w:rsidRPr="00BF42B7">
        <w:rPr>
          <w:rFonts w:hint="eastAsia"/>
          <w:kern w:val="1"/>
        </w:rPr>
        <w:t>103</w:t>
      </w:r>
      <w:r w:rsidRPr="00BF42B7">
        <w:rPr>
          <w:kern w:val="1"/>
        </w:rPr>
        <w:t>.</w:t>
      </w:r>
      <w:r w:rsidRPr="00BF42B7">
        <w:rPr>
          <w:rFonts w:hint="eastAsia"/>
          <w:kern w:val="1"/>
        </w:rPr>
        <w:t xml:space="preserve">  </w:t>
      </w:r>
      <w:r w:rsidRPr="00BF42B7">
        <w:rPr>
          <w:rFonts w:hint="eastAsia"/>
          <w:kern w:val="1"/>
        </w:rPr>
        <w:t>其中一项主题涉及的问题是，委员会是否应当起草一份说明性清单，列出所有已经取得强行法地位的规范。一些国家对这一想法表示支持，但有若干其他国家提出了严重的问题。特别报告员的意见是，虽然有些人可能会将说明性清单解释为法定限额，但委员会在决定是否提供该清单时，不应将此作为决定依据。不过特别报告员也关切地指出，试图提供说明性清单可能显著改变这一专题的性质，使其重点转向具体主要规则的法律地位，进而模糊其以基本进程为导向的性质</w:t>
      </w:r>
      <w:r w:rsidRPr="00BF42B7">
        <w:rPr>
          <w:rFonts w:hint="eastAsia"/>
          <w:kern w:val="1"/>
        </w:rPr>
        <w:t>/</w:t>
      </w:r>
      <w:r w:rsidRPr="00BF42B7">
        <w:rPr>
          <w:rFonts w:hint="eastAsia"/>
          <w:kern w:val="1"/>
        </w:rPr>
        <w:t>方法学性质。他认为，委员会或可考虑放弃编写说明性清单。与此同时，委员会可以考虑采取其他方法，就目前满足强行法要求的规范向各国和从业者提供指导，而不一定要提供一份说明性清单。</w:t>
      </w:r>
    </w:p>
    <w:p w:rsidR="006735D4" w:rsidRPr="00BF42B7" w:rsidRDefault="006735D4" w:rsidP="006735D4">
      <w:pPr>
        <w:tabs>
          <w:tab w:val="clear" w:pos="431"/>
          <w:tab w:val="left" w:pos="1134"/>
          <w:tab w:val="left" w:pos="1565"/>
          <w:tab w:val="left" w:pos="1996"/>
          <w:tab w:val="left" w:pos="2427"/>
        </w:tabs>
        <w:spacing w:after="160"/>
        <w:ind w:left="1134" w:right="1134"/>
        <w:rPr>
          <w:kern w:val="1"/>
        </w:rPr>
      </w:pPr>
      <w:r w:rsidRPr="00BF42B7">
        <w:rPr>
          <w:rFonts w:hint="eastAsia"/>
          <w:kern w:val="1"/>
        </w:rPr>
        <w:t>104</w:t>
      </w:r>
      <w:r w:rsidRPr="00BF42B7">
        <w:rPr>
          <w:kern w:val="1"/>
        </w:rPr>
        <w:t xml:space="preserve">.  </w:t>
      </w:r>
      <w:r w:rsidRPr="00BF42B7">
        <w:rPr>
          <w:rFonts w:hint="eastAsia"/>
          <w:kern w:val="1"/>
        </w:rPr>
        <w:t>各会员国提出的另一项主题涉及方法学问题，特别是委员会开展工作和得出结论所依据的材料。特别报告员认为，惯例的种类非常丰富，既包括国家惯例也包括司法惯例，委员会应对各种惯例进行透彻的分析。此外，此专题方面的学术著作尽管不具备决定性作用，也可有助于分析主要材料。</w:t>
      </w:r>
    </w:p>
    <w:p w:rsidR="006735D4" w:rsidRPr="00BF42B7" w:rsidRDefault="006735D4" w:rsidP="006735D4">
      <w:pPr>
        <w:tabs>
          <w:tab w:val="clear" w:pos="431"/>
          <w:tab w:val="left" w:pos="1134"/>
          <w:tab w:val="left" w:pos="1565"/>
          <w:tab w:val="left" w:pos="1996"/>
          <w:tab w:val="left" w:pos="2427"/>
        </w:tabs>
        <w:spacing w:after="160"/>
        <w:ind w:left="1134" w:right="1134"/>
        <w:rPr>
          <w:kern w:val="1"/>
        </w:rPr>
      </w:pPr>
      <w:r w:rsidRPr="00BF42B7">
        <w:rPr>
          <w:rFonts w:hint="eastAsia"/>
          <w:kern w:val="1"/>
        </w:rPr>
        <w:t>105</w:t>
      </w:r>
      <w:r w:rsidRPr="00BF42B7">
        <w:rPr>
          <w:kern w:val="1"/>
        </w:rPr>
        <w:t xml:space="preserve">.  </w:t>
      </w:r>
      <w:r w:rsidRPr="00BF42B7">
        <w:rPr>
          <w:rFonts w:hint="eastAsia"/>
          <w:kern w:val="1"/>
        </w:rPr>
        <w:t>特别报告员进而在其报告第四章概述了对二十世纪前和二十世纪中强行法历史先例的讨论。他指出，在第二次世界大战时，基本规则在国际法中的地位可被概括为：文献确认了存在这样一种规范，各国不得通过协约脱离其约束。对该论点的依据可能存在分歧，但论点本身在文献中并未受到严重质疑。不过，能佐证论点的惯例不足。可以找到的极少数惯例涉及的是适用于条约缔约方的强制性条约规则，而非一般国际法规则。</w:t>
      </w:r>
    </w:p>
    <w:p w:rsidR="006735D4" w:rsidRPr="00BF42B7" w:rsidRDefault="006735D4" w:rsidP="006735D4">
      <w:pPr>
        <w:tabs>
          <w:tab w:val="clear" w:pos="431"/>
          <w:tab w:val="left" w:pos="1134"/>
          <w:tab w:val="left" w:pos="1565"/>
          <w:tab w:val="left" w:pos="1996"/>
          <w:tab w:val="left" w:pos="2427"/>
        </w:tabs>
        <w:spacing w:after="160"/>
        <w:ind w:left="1134" w:right="1134"/>
        <w:rPr>
          <w:kern w:val="1"/>
        </w:rPr>
      </w:pPr>
      <w:r w:rsidRPr="00BF42B7">
        <w:rPr>
          <w:kern w:val="1"/>
        </w:rPr>
        <w:t>10</w:t>
      </w:r>
      <w:r w:rsidRPr="00BF42B7">
        <w:rPr>
          <w:rFonts w:hint="eastAsia"/>
          <w:kern w:val="1"/>
        </w:rPr>
        <w:t>6</w:t>
      </w:r>
      <w:r w:rsidRPr="00BF42B7">
        <w:rPr>
          <w:kern w:val="1"/>
        </w:rPr>
        <w:t xml:space="preserve">.  </w:t>
      </w:r>
      <w:r w:rsidRPr="00BF42B7">
        <w:rPr>
          <w:rFonts w:hint="eastAsia"/>
          <w:kern w:val="1"/>
        </w:rPr>
        <w:t>特别报告员还回顾称，委员会本身在国际法中强行法的发展、接受和主流化过程中发挥了重要的作用，近期惯例中，不论是司法惯例还是国家惯例，许多都受到委员会工作的启发。</w:t>
      </w:r>
      <w:r w:rsidRPr="00BF42B7">
        <w:rPr>
          <w:kern w:val="1"/>
        </w:rPr>
        <w:t>Hersch Lauterpacht</w:t>
      </w:r>
      <w:r w:rsidRPr="00BF42B7">
        <w:rPr>
          <w:rFonts w:hint="eastAsia"/>
          <w:kern w:val="1"/>
        </w:rPr>
        <w:t>爵士曾提出一项条款，即如果一项条约的履行涉及“国际法规定的非法行为”，则该条约无效，</w:t>
      </w:r>
      <w:r w:rsidRPr="00BF42B7">
        <w:rPr>
          <w:color w:val="0000FF"/>
          <w:kern w:val="1"/>
          <w:szCs w:val="24"/>
          <w:vertAlign w:val="superscript"/>
        </w:rPr>
        <w:footnoteReference w:id="1291"/>
      </w:r>
      <w:r w:rsidRPr="00BF42B7">
        <w:rPr>
          <w:rFonts w:hint="eastAsia"/>
          <w:kern w:val="1"/>
        </w:rPr>
        <w:t xml:space="preserve"> </w:t>
      </w:r>
      <w:r w:rsidRPr="00BF42B7">
        <w:rPr>
          <w:kern w:val="1"/>
        </w:rPr>
        <w:t>Gerald Fitzmaurice</w:t>
      </w:r>
      <w:r w:rsidRPr="00BF42B7">
        <w:rPr>
          <w:rFonts w:hint="eastAsia"/>
          <w:kern w:val="1"/>
        </w:rPr>
        <w:t>爵士</w:t>
      </w:r>
      <w:r w:rsidRPr="00BF42B7">
        <w:rPr>
          <w:color w:val="0000FF"/>
          <w:kern w:val="1"/>
          <w:szCs w:val="24"/>
          <w:vertAlign w:val="superscript"/>
        </w:rPr>
        <w:footnoteReference w:id="1292"/>
      </w:r>
      <w:r w:rsidRPr="00BF42B7">
        <w:rPr>
          <w:rFonts w:hint="eastAsia"/>
          <w:kern w:val="1"/>
        </w:rPr>
        <w:t xml:space="preserve"> </w:t>
      </w:r>
      <w:r w:rsidRPr="00BF42B7">
        <w:rPr>
          <w:rFonts w:hint="eastAsia"/>
          <w:kern w:val="1"/>
        </w:rPr>
        <w:t>和</w:t>
      </w:r>
      <w:r w:rsidRPr="00BF42B7">
        <w:rPr>
          <w:kern w:val="1"/>
        </w:rPr>
        <w:t>Humphrey Waldock</w:t>
      </w:r>
      <w:r w:rsidRPr="00BF42B7">
        <w:rPr>
          <w:rFonts w:hint="eastAsia"/>
          <w:kern w:val="1"/>
        </w:rPr>
        <w:t>爵士</w:t>
      </w:r>
      <w:r w:rsidRPr="00BF42B7">
        <w:rPr>
          <w:color w:val="0000FF"/>
          <w:vertAlign w:val="superscript"/>
        </w:rPr>
        <w:footnoteReference w:id="1293"/>
      </w:r>
      <w:r w:rsidRPr="00BF42B7">
        <w:rPr>
          <w:rFonts w:hint="eastAsia"/>
          <w:kern w:val="1"/>
        </w:rPr>
        <w:t xml:space="preserve"> </w:t>
      </w:r>
      <w:r w:rsidRPr="00BF42B7">
        <w:rPr>
          <w:rFonts w:hint="eastAsia"/>
          <w:kern w:val="1"/>
        </w:rPr>
        <w:t>也在各自的报告中加入了“强行法”这一术语，</w:t>
      </w:r>
      <w:r w:rsidRPr="00BF42B7">
        <w:rPr>
          <w:rFonts w:hint="eastAsia"/>
        </w:rPr>
        <w:t>从始至终</w:t>
      </w:r>
      <w:r w:rsidRPr="00BF42B7">
        <w:rPr>
          <w:rFonts w:hint="eastAsia"/>
          <w:kern w:val="1"/>
        </w:rPr>
        <w:t>，委员会的诸位委员均未对上述基本论点提出质疑。对依强行法认定条约无效的论点而言，其起草方式和理论基础都曾受过质疑，但该论点本身及其在国际法中的地位未曾受过质疑。</w:t>
      </w:r>
    </w:p>
    <w:p w:rsidR="006735D4" w:rsidRPr="00BF42B7" w:rsidRDefault="006735D4" w:rsidP="0036511D">
      <w:pPr>
        <w:tabs>
          <w:tab w:val="clear" w:pos="431"/>
          <w:tab w:val="left" w:pos="1134"/>
          <w:tab w:val="left" w:pos="1565"/>
          <w:tab w:val="left" w:pos="1996"/>
          <w:tab w:val="left" w:pos="2427"/>
        </w:tabs>
        <w:spacing w:after="180"/>
        <w:ind w:left="1134" w:right="1134"/>
        <w:rPr>
          <w:kern w:val="1"/>
        </w:rPr>
      </w:pPr>
      <w:r w:rsidRPr="00BF42B7">
        <w:rPr>
          <w:kern w:val="1"/>
        </w:rPr>
        <w:t>1</w:t>
      </w:r>
      <w:r w:rsidRPr="00BF42B7">
        <w:rPr>
          <w:rFonts w:hint="eastAsia"/>
          <w:kern w:val="1"/>
        </w:rPr>
        <w:t>07</w:t>
      </w:r>
      <w:r w:rsidRPr="00BF42B7">
        <w:rPr>
          <w:kern w:val="1"/>
        </w:rPr>
        <w:t xml:space="preserve">.  </w:t>
      </w:r>
      <w:r w:rsidRPr="00BF42B7">
        <w:rPr>
          <w:rFonts w:hint="eastAsia"/>
          <w:kern w:val="1"/>
        </w:rPr>
        <w:t>然而，各国对该论点的接受是先前没有预见到的。特别报告员提到了报告中对各国立场的概述，特别是以下结论：“可以有把握地说，几乎所有国家都表示支持”</w:t>
      </w:r>
      <w:r w:rsidRPr="00BF42B7">
        <w:rPr>
          <w:color w:val="0000FF"/>
          <w:vertAlign w:val="superscript"/>
        </w:rPr>
        <w:footnoteReference w:id="1294"/>
      </w:r>
      <w:r w:rsidRPr="00BF42B7">
        <w:rPr>
          <w:rFonts w:hint="eastAsia"/>
          <w:kern w:val="1"/>
        </w:rPr>
        <w:t xml:space="preserve"> </w:t>
      </w:r>
      <w:r w:rsidRPr="00BF42B7">
        <w:rPr>
          <w:rFonts w:hint="eastAsia"/>
          <w:kern w:val="1"/>
        </w:rPr>
        <w:t>强行法的概念。与此同时，一些国家曾就《维也纳条约法公约》</w:t>
      </w:r>
      <w:r w:rsidRPr="00BF42B7">
        <w:rPr>
          <w:kern w:val="1"/>
        </w:rPr>
        <w:t>(</w:t>
      </w:r>
      <w:r w:rsidRPr="00BF42B7">
        <w:rPr>
          <w:rFonts w:hint="eastAsia"/>
          <w:kern w:val="1"/>
        </w:rPr>
        <w:t>“</w:t>
      </w:r>
      <w:r w:rsidRPr="00BF42B7">
        <w:rPr>
          <w:rFonts w:hint="eastAsia"/>
          <w:kern w:val="1"/>
        </w:rPr>
        <w:t>1969</w:t>
      </w:r>
      <w:r w:rsidRPr="00BF42B7">
        <w:rPr>
          <w:rFonts w:hint="eastAsia"/>
          <w:kern w:val="1"/>
        </w:rPr>
        <w:t>年《维也纳公约》”</w:t>
      </w:r>
      <w:r w:rsidRPr="00BF42B7">
        <w:rPr>
          <w:kern w:val="1"/>
        </w:rPr>
        <w:t>)</w:t>
      </w:r>
      <w:r w:rsidRPr="00BF42B7">
        <w:rPr>
          <w:color w:val="0000FF"/>
          <w:vertAlign w:val="superscript"/>
        </w:rPr>
        <w:footnoteReference w:id="1295"/>
      </w:r>
      <w:r w:rsidRPr="00BF42B7">
        <w:rPr>
          <w:rFonts w:hint="eastAsia"/>
          <w:kern w:val="1"/>
        </w:rPr>
        <w:t xml:space="preserve"> </w:t>
      </w:r>
      <w:r w:rsidRPr="00BF42B7">
        <w:rPr>
          <w:rFonts w:hint="eastAsia"/>
          <w:kern w:val="1"/>
        </w:rPr>
        <w:t>有关条款的起草提出重要关切。具体而言，特别报告员回顾指出，一些国家曾在维也纳会议上表达这样的关切，即如果没有更明确的指南说明哪些规范属于强行法，则该案文可能遭到滥用，被用于质疑合法缔结的条约。当年的解决之道是</w:t>
      </w:r>
      <w:r w:rsidRPr="00BF42B7">
        <w:rPr>
          <w:rFonts w:hint="eastAsia"/>
          <w:kern w:val="1"/>
        </w:rPr>
        <w:t>1969</w:t>
      </w:r>
      <w:r w:rsidRPr="00BF42B7">
        <w:rPr>
          <w:rFonts w:hint="eastAsia"/>
          <w:kern w:val="1"/>
        </w:rPr>
        <w:t>年《维也纳公约》第六十六条，该条规定，涉及援引强行法认定一项条约无效时，国际法院应发挥重要作用。但重点是，与普遍认识不同，各国未曾质疑强行法这一概念，也未曾质疑当年强行法作为国际法一部分的地位。</w:t>
      </w:r>
    </w:p>
    <w:p w:rsidR="006735D4" w:rsidRPr="00BF42B7" w:rsidRDefault="006735D4" w:rsidP="006735D4">
      <w:pPr>
        <w:tabs>
          <w:tab w:val="clear" w:pos="431"/>
          <w:tab w:val="left" w:pos="1134"/>
          <w:tab w:val="left" w:pos="1565"/>
          <w:tab w:val="left" w:pos="1996"/>
          <w:tab w:val="left" w:pos="2427"/>
        </w:tabs>
        <w:spacing w:after="180"/>
        <w:ind w:left="1134" w:right="1134"/>
        <w:rPr>
          <w:kern w:val="1"/>
        </w:rPr>
      </w:pPr>
      <w:r w:rsidRPr="00BF42B7">
        <w:rPr>
          <w:kern w:val="1"/>
        </w:rPr>
        <w:t>1</w:t>
      </w:r>
      <w:r w:rsidRPr="00BF42B7">
        <w:rPr>
          <w:rFonts w:hint="eastAsia"/>
          <w:kern w:val="1"/>
        </w:rPr>
        <w:t>08</w:t>
      </w:r>
      <w:r w:rsidRPr="00BF42B7">
        <w:rPr>
          <w:kern w:val="1"/>
        </w:rPr>
        <w:t xml:space="preserve">.  </w:t>
      </w:r>
      <w:r w:rsidRPr="00BF42B7">
        <w:rPr>
          <w:rFonts w:hint="eastAsia"/>
          <w:kern w:val="1"/>
        </w:rPr>
        <w:t>特别报告员进而表示，</w:t>
      </w:r>
      <w:r w:rsidRPr="00BF42B7">
        <w:rPr>
          <w:rFonts w:hint="eastAsia"/>
          <w:kern w:val="1"/>
        </w:rPr>
        <w:t>1969</w:t>
      </w:r>
      <w:r w:rsidRPr="00BF42B7">
        <w:rPr>
          <w:rFonts w:hint="eastAsia"/>
          <w:kern w:val="1"/>
        </w:rPr>
        <w:t>年《维也纳公约》通过之后，各国一直在外交往来和其他往来中援引强行法。此外，对强行法的司法援引也有所增加，包括国际法院明确承认了强行法</w:t>
      </w:r>
      <w:r w:rsidRPr="00BF42B7">
        <w:rPr>
          <w:color w:val="0000FF"/>
          <w:vertAlign w:val="superscript"/>
        </w:rPr>
        <w:footnoteReference w:id="1296"/>
      </w:r>
      <w:r w:rsidRPr="00BF42B7">
        <w:rPr>
          <w:rFonts w:hint="eastAsia"/>
          <w:kern w:val="1"/>
        </w:rPr>
        <w:t>，其他国际性法院和法庭以及区域和国家法院也明确承认了强行法。</w:t>
      </w:r>
    </w:p>
    <w:p w:rsidR="006735D4" w:rsidRPr="00BF42B7" w:rsidRDefault="006735D4" w:rsidP="006735D4">
      <w:pPr>
        <w:tabs>
          <w:tab w:val="clear" w:pos="431"/>
          <w:tab w:val="left" w:pos="1134"/>
          <w:tab w:val="left" w:pos="1565"/>
          <w:tab w:val="left" w:pos="1996"/>
          <w:tab w:val="left" w:pos="2427"/>
        </w:tabs>
        <w:spacing w:after="180"/>
        <w:ind w:left="1134" w:right="1134"/>
        <w:rPr>
          <w:spacing w:val="4"/>
          <w:kern w:val="21"/>
        </w:rPr>
      </w:pPr>
      <w:r w:rsidRPr="00BF42B7">
        <w:rPr>
          <w:kern w:val="1"/>
        </w:rPr>
        <w:t>1</w:t>
      </w:r>
      <w:r w:rsidRPr="00BF42B7">
        <w:rPr>
          <w:rFonts w:hint="eastAsia"/>
          <w:kern w:val="1"/>
        </w:rPr>
        <w:t>09</w:t>
      </w:r>
      <w:r w:rsidRPr="00BF42B7">
        <w:rPr>
          <w:spacing w:val="4"/>
          <w:kern w:val="21"/>
        </w:rPr>
        <w:t xml:space="preserve">.  </w:t>
      </w:r>
      <w:r w:rsidRPr="00BF42B7">
        <w:rPr>
          <w:rFonts w:hint="eastAsia"/>
          <w:spacing w:val="4"/>
          <w:kern w:val="21"/>
        </w:rPr>
        <w:t>特别报告员还提到了报告第五章，他在该章概述了文献和司法惯例中关于强行法的本质的理论辩论情况。特别报告员没有试图解决这一辩论。与此同时，他认为任何提炼强行法的标准的尝试都需要立足于对其理论支柱的分析。</w:t>
      </w:r>
    </w:p>
    <w:p w:rsidR="006735D4" w:rsidRPr="00BF42B7" w:rsidRDefault="006735D4" w:rsidP="0036511D">
      <w:pPr>
        <w:tabs>
          <w:tab w:val="clear" w:pos="431"/>
          <w:tab w:val="left" w:pos="1134"/>
          <w:tab w:val="left" w:pos="1565"/>
          <w:tab w:val="left" w:pos="1996"/>
          <w:tab w:val="left" w:pos="2427"/>
        </w:tabs>
        <w:spacing w:after="120"/>
        <w:ind w:left="1134" w:right="1134"/>
        <w:rPr>
          <w:kern w:val="1"/>
        </w:rPr>
      </w:pPr>
      <w:r w:rsidRPr="00BF42B7">
        <w:rPr>
          <w:kern w:val="1"/>
        </w:rPr>
        <w:t>1</w:t>
      </w:r>
      <w:r w:rsidRPr="00BF42B7">
        <w:rPr>
          <w:rFonts w:hint="eastAsia"/>
          <w:kern w:val="1"/>
        </w:rPr>
        <w:t>10</w:t>
      </w:r>
      <w:r w:rsidRPr="00BF42B7">
        <w:rPr>
          <w:kern w:val="1"/>
        </w:rPr>
        <w:t xml:space="preserve">.  </w:t>
      </w:r>
      <w:r w:rsidRPr="00BF42B7">
        <w:rPr>
          <w:rFonts w:hint="eastAsia"/>
          <w:kern w:val="1"/>
        </w:rPr>
        <w:t>特别报告员提出了三条结论草案</w:t>
      </w:r>
      <w:r w:rsidRPr="00BF42B7">
        <w:rPr>
          <w:color w:val="0000FF"/>
          <w:vertAlign w:val="superscript"/>
        </w:rPr>
        <w:footnoteReference w:id="1297"/>
      </w:r>
      <w:r w:rsidRPr="00BF42B7">
        <w:rPr>
          <w:rFonts w:hint="eastAsia"/>
        </w:rPr>
        <w:t>：</w:t>
      </w:r>
      <w:bookmarkStart w:id="314" w:name="1_Intro_by_SR"/>
      <w:r w:rsidRPr="00BF42B7">
        <w:rPr>
          <w:rFonts w:hint="eastAsia"/>
          <w:kern w:val="1"/>
        </w:rPr>
        <w:t>第一条结论草案论及整套结论草案的范围；</w:t>
      </w:r>
      <w:bookmarkEnd w:id="314"/>
      <w:r w:rsidRPr="00BF42B7">
        <w:rPr>
          <w:rFonts w:hint="eastAsia"/>
          <w:kern w:val="1"/>
        </w:rPr>
        <w:t>第二条试图将强行法与可被各国协定更改、克减或废除的其他国际法规则即具有酌定法性质的规则区分开来；第三条试图描述强行法的一般性质。他指出，第三条结论草案第</w:t>
      </w:r>
      <w:r w:rsidRPr="00BF42B7">
        <w:rPr>
          <w:rFonts w:hint="eastAsia"/>
          <w:kern w:val="1"/>
        </w:rPr>
        <w:t>2</w:t>
      </w:r>
      <w:r w:rsidRPr="00BF42B7">
        <w:rPr>
          <w:rFonts w:hint="eastAsia"/>
          <w:kern w:val="1"/>
        </w:rPr>
        <w:t>段中提到强行法具有旨在保护国际社会基本价值观的性质、其本质是等级高并且普遍适用的规范，这是有惯例佐证、已被文献广泛接受的。</w:t>
      </w:r>
    </w:p>
    <w:p w:rsidR="006735D4" w:rsidRPr="00BF42B7" w:rsidRDefault="006735D4" w:rsidP="006735D4">
      <w:pPr>
        <w:tabs>
          <w:tab w:val="clear" w:pos="431"/>
          <w:tab w:val="left" w:pos="1134"/>
          <w:tab w:val="left" w:pos="1565"/>
          <w:tab w:val="left" w:pos="1996"/>
          <w:tab w:val="left" w:pos="2427"/>
        </w:tabs>
        <w:spacing w:after="120"/>
        <w:ind w:left="1134" w:right="1134"/>
        <w:rPr>
          <w:kern w:val="1"/>
        </w:rPr>
      </w:pPr>
      <w:r w:rsidRPr="00BF42B7">
        <w:rPr>
          <w:kern w:val="1"/>
        </w:rPr>
        <w:t>1</w:t>
      </w:r>
      <w:r w:rsidRPr="00BF42B7">
        <w:rPr>
          <w:rFonts w:hint="eastAsia"/>
          <w:kern w:val="1"/>
        </w:rPr>
        <w:t>11</w:t>
      </w:r>
      <w:r w:rsidRPr="00BF42B7">
        <w:rPr>
          <w:kern w:val="1"/>
        </w:rPr>
        <w:t xml:space="preserve">.  </w:t>
      </w:r>
      <w:r w:rsidRPr="00BF42B7">
        <w:rPr>
          <w:rFonts w:hint="eastAsia"/>
          <w:kern w:val="1"/>
        </w:rPr>
        <w:t>特别报告员进而重申其观点，即上述结论草案是此专题最适当的成果。关于未来的工作方案，他设想委员会将：于</w:t>
      </w:r>
      <w:r w:rsidRPr="00BF42B7">
        <w:rPr>
          <w:rFonts w:hint="eastAsia"/>
          <w:kern w:val="1"/>
        </w:rPr>
        <w:t>2017</w:t>
      </w:r>
      <w:r w:rsidRPr="00BF42B7">
        <w:rPr>
          <w:rFonts w:hint="eastAsia"/>
          <w:kern w:val="1"/>
        </w:rPr>
        <w:t>年审议强行法的标准；于</w:t>
      </w:r>
      <w:r w:rsidRPr="00BF42B7">
        <w:rPr>
          <w:rFonts w:hint="eastAsia"/>
          <w:kern w:val="1"/>
        </w:rPr>
        <w:t>2018</w:t>
      </w:r>
      <w:r w:rsidRPr="00BF42B7">
        <w:rPr>
          <w:rFonts w:hint="eastAsia"/>
          <w:kern w:val="1"/>
        </w:rPr>
        <w:t>年审议强行法的后果；于</w:t>
      </w:r>
      <w:r w:rsidRPr="00BF42B7">
        <w:rPr>
          <w:rFonts w:hint="eastAsia"/>
          <w:kern w:val="1"/>
        </w:rPr>
        <w:t>2019</w:t>
      </w:r>
      <w:r w:rsidRPr="00BF42B7">
        <w:rPr>
          <w:rFonts w:hint="eastAsia"/>
          <w:kern w:val="1"/>
        </w:rPr>
        <w:t>年审议任何余下的杂项问题。</w:t>
      </w:r>
    </w:p>
    <w:p w:rsidR="006735D4" w:rsidRPr="00BF42B7" w:rsidRDefault="006735D4" w:rsidP="00E744EA">
      <w:pPr>
        <w:pStyle w:val="H23GC"/>
      </w:pPr>
      <w:bookmarkStart w:id="315" w:name="2_Debate"/>
      <w:r w:rsidRPr="00BF42B7">
        <w:rPr>
          <w:bCs/>
        </w:rPr>
        <w:tab/>
      </w:r>
      <w:bookmarkEnd w:id="315"/>
      <w:r w:rsidRPr="00BF42B7">
        <w:t>2.</w:t>
      </w:r>
      <w:r w:rsidRPr="00BF42B7">
        <w:rPr>
          <w:rFonts w:hint="eastAsia"/>
        </w:rPr>
        <w:tab/>
      </w:r>
      <w:r w:rsidRPr="00BF42B7">
        <w:rPr>
          <w:rFonts w:hint="eastAsia"/>
        </w:rPr>
        <w:t>辩论摘要</w:t>
      </w:r>
    </w:p>
    <w:p w:rsidR="006735D4" w:rsidRPr="00BF42B7" w:rsidRDefault="006735D4" w:rsidP="006735D4">
      <w:pPr>
        <w:tabs>
          <w:tab w:val="clear" w:pos="431"/>
          <w:tab w:val="left" w:pos="1134"/>
          <w:tab w:val="left" w:pos="1565"/>
          <w:tab w:val="left" w:pos="1996"/>
          <w:tab w:val="left" w:pos="2427"/>
        </w:tabs>
        <w:spacing w:after="120"/>
        <w:ind w:left="1134" w:right="1134"/>
        <w:rPr>
          <w:kern w:val="1"/>
        </w:rPr>
      </w:pPr>
      <w:bookmarkStart w:id="316" w:name="Intro_remarks"/>
      <w:r w:rsidRPr="00BF42B7">
        <w:rPr>
          <w:kern w:val="1"/>
        </w:rPr>
        <w:t>1</w:t>
      </w:r>
      <w:r w:rsidRPr="00BF42B7">
        <w:rPr>
          <w:rFonts w:hint="eastAsia"/>
          <w:kern w:val="1"/>
        </w:rPr>
        <w:t>12</w:t>
      </w:r>
      <w:r w:rsidRPr="00BF42B7">
        <w:rPr>
          <w:kern w:val="1"/>
        </w:rPr>
        <w:t xml:space="preserve">.  </w:t>
      </w:r>
      <w:bookmarkEnd w:id="316"/>
      <w:r w:rsidRPr="00BF42B7">
        <w:rPr>
          <w:rFonts w:hint="eastAsia"/>
          <w:kern w:val="1"/>
        </w:rPr>
        <w:t>委员们对特别报告员的第一次报告表示欢迎，提到了会员国在第六委员会中对此专题的审议工作表示的广泛支持。与此同时，有人鼓励特别报告员铭记会员国所表示的理解上的分歧，并相应地谨慎处理这一专题。还有人指出，委员会应从一开始就避免可能导致或被解释为偏离</w:t>
      </w:r>
      <w:r w:rsidRPr="00BF42B7">
        <w:rPr>
          <w:rFonts w:hint="eastAsia"/>
          <w:kern w:val="1"/>
        </w:rPr>
        <w:t>1969</w:t>
      </w:r>
      <w:r w:rsidRPr="00BF42B7">
        <w:rPr>
          <w:rFonts w:hint="eastAsia"/>
          <w:kern w:val="1"/>
        </w:rPr>
        <w:t>年《维也纳公约》的结果。若干委员指出了委员会正在开展的研究的重大历史意义。有人强调，本专题的范围超出了条约法，包括一些国际法领域，如国家对国际不法行为的责任。</w:t>
      </w:r>
    </w:p>
    <w:p w:rsidR="006735D4" w:rsidRPr="00BF42B7" w:rsidRDefault="006735D4" w:rsidP="006735D4">
      <w:pPr>
        <w:keepNext/>
        <w:keepLines/>
        <w:tabs>
          <w:tab w:val="clear" w:pos="431"/>
          <w:tab w:val="left" w:pos="1134"/>
          <w:tab w:val="left" w:pos="1565"/>
          <w:tab w:val="left" w:pos="1996"/>
          <w:tab w:val="left" w:pos="2427"/>
        </w:tabs>
        <w:spacing w:after="120"/>
        <w:ind w:left="1134" w:right="1134"/>
        <w:rPr>
          <w:kern w:val="1"/>
        </w:rPr>
      </w:pPr>
      <w:bookmarkStart w:id="317" w:name="Sources"/>
      <w:r w:rsidRPr="00BF42B7">
        <w:rPr>
          <w:kern w:val="1"/>
        </w:rPr>
        <w:t>1</w:t>
      </w:r>
      <w:r w:rsidRPr="00BF42B7">
        <w:rPr>
          <w:rFonts w:hint="eastAsia"/>
          <w:kern w:val="1"/>
        </w:rPr>
        <w:t>13</w:t>
      </w:r>
      <w:r w:rsidRPr="00BF42B7">
        <w:rPr>
          <w:kern w:val="1"/>
        </w:rPr>
        <w:t xml:space="preserve">.  </w:t>
      </w:r>
      <w:bookmarkEnd w:id="317"/>
      <w:r w:rsidRPr="00BF42B7">
        <w:rPr>
          <w:rFonts w:hint="eastAsia"/>
          <w:kern w:val="1"/>
        </w:rPr>
        <w:t>各委员表示支持特别报告员关于要采取的方法的建议，并表示同意他的意见，即原则上，研究应当以国家惯例和司法惯例为基础，并以学术著作为补充。有人提出，国际法院及其他国际和区域法院和法庭已在若干案件中提到了有关概念，这证明强行法的存在已没有严重争议。有人认为，鉴于强行法的存在已得到公认，目前的任务是在可被常规程序更改的国际法普通规则和不可被更改的某些基本规则之间确定正确的平衡。与此同时，有些委员警示称，委员会应避免试图创建新的强制性规范，并指出委员会开展工作时应从这一假设出发，即强制性规范本质上属于例外。还有人建议，应对以下两种工作进行区分，即审查国际性法院和法庭的声明以确定强行法是否存在，以及审查对所涉规范赋予强制性的国家惯例。</w:t>
      </w:r>
    </w:p>
    <w:p w:rsidR="006735D4" w:rsidRPr="00BF42B7" w:rsidRDefault="006735D4" w:rsidP="006735D4">
      <w:pPr>
        <w:tabs>
          <w:tab w:val="clear" w:pos="431"/>
          <w:tab w:val="left" w:pos="1134"/>
          <w:tab w:val="left" w:pos="1565"/>
          <w:tab w:val="left" w:pos="1996"/>
          <w:tab w:val="left" w:pos="2427"/>
        </w:tabs>
        <w:spacing w:after="120"/>
        <w:ind w:left="1134" w:right="1134"/>
        <w:rPr>
          <w:kern w:val="1"/>
        </w:rPr>
      </w:pPr>
      <w:r w:rsidRPr="00BF42B7">
        <w:rPr>
          <w:kern w:val="1"/>
        </w:rPr>
        <w:t>1</w:t>
      </w:r>
      <w:r w:rsidRPr="00BF42B7">
        <w:rPr>
          <w:rFonts w:hint="eastAsia"/>
          <w:kern w:val="1"/>
        </w:rPr>
        <w:t>14</w:t>
      </w:r>
      <w:r w:rsidRPr="00BF42B7">
        <w:rPr>
          <w:kern w:val="1"/>
        </w:rPr>
        <w:t xml:space="preserve">.  </w:t>
      </w:r>
      <w:r w:rsidRPr="00BF42B7">
        <w:rPr>
          <w:rFonts w:hint="eastAsia"/>
          <w:kern w:val="1"/>
        </w:rPr>
        <w:t>有人认为，强行法的理论基础不一定属于任何具体的学派</w:t>
      </w:r>
      <w:r w:rsidRPr="00BF42B7">
        <w:rPr>
          <w:kern w:val="1"/>
        </w:rPr>
        <w:t>(</w:t>
      </w:r>
      <w:r w:rsidRPr="00BF42B7">
        <w:rPr>
          <w:rFonts w:hint="eastAsia"/>
          <w:kern w:val="1"/>
        </w:rPr>
        <w:t>自然法或实证法</w:t>
      </w:r>
      <w:r w:rsidRPr="00BF42B7">
        <w:rPr>
          <w:kern w:val="1"/>
        </w:rPr>
        <w:t>)</w:t>
      </w:r>
      <w:r w:rsidRPr="00BF42B7">
        <w:rPr>
          <w:rFonts w:hint="eastAsia"/>
          <w:kern w:val="1"/>
        </w:rPr>
        <w:t>，也不一定以同意为基础。反之，强行法所具备的强制力的依据是，各国将所涉规范视为不可克减</w:t>
      </w:r>
      <w:r w:rsidRPr="00BF42B7">
        <w:rPr>
          <w:rFonts w:hint="eastAsia"/>
          <w:kern w:val="1"/>
        </w:rPr>
        <w:t>(</w:t>
      </w:r>
      <w:r w:rsidRPr="00BF42B7">
        <w:rPr>
          <w:rFonts w:hint="eastAsia"/>
          <w:kern w:val="1"/>
        </w:rPr>
        <w:t>即便所涉规范可被具有相同性质的其他规范所替代</w:t>
      </w:r>
      <w:r w:rsidRPr="00BF42B7">
        <w:rPr>
          <w:rFonts w:hint="eastAsia"/>
          <w:kern w:val="1"/>
        </w:rPr>
        <w:t>)</w:t>
      </w:r>
      <w:r w:rsidRPr="00BF42B7">
        <w:rPr>
          <w:rFonts w:hint="eastAsia"/>
          <w:kern w:val="1"/>
        </w:rPr>
        <w:t>的一般惯例，且这一惯例被各国视作法律执行。还有一种意见认为，委员会必须尽可能贴近</w:t>
      </w:r>
      <w:r w:rsidRPr="00BF42B7">
        <w:rPr>
          <w:rFonts w:hint="eastAsia"/>
          <w:kern w:val="1"/>
        </w:rPr>
        <w:t>1969</w:t>
      </w:r>
      <w:r w:rsidRPr="00BF42B7">
        <w:rPr>
          <w:rFonts w:hint="eastAsia"/>
          <w:kern w:val="1"/>
        </w:rPr>
        <w:t>年《维也纳公约》的用语。在这方面，若干委员认为</w:t>
      </w:r>
      <w:r w:rsidRPr="00BF42B7">
        <w:rPr>
          <w:rFonts w:hint="eastAsia"/>
          <w:kern w:val="1"/>
        </w:rPr>
        <w:t>1969</w:t>
      </w:r>
      <w:r w:rsidRPr="00BF42B7">
        <w:rPr>
          <w:rFonts w:hint="eastAsia"/>
          <w:kern w:val="1"/>
        </w:rPr>
        <w:t>年《维也纳公约》第五十三和第六十四条提供了令人满意的法律依据，强调了规范要得到由各国组成的国际社会的接受和承认。还有一种意见认为，还应得到国际组织和非政府组织等其他实体以及广大国际社会的这种承认。另有人提出，特别报告员若要对强行法的理论基础展开进一步研究，可以审视强行法概念与跨国公共政策概念之间的联系。又有一种意见认为，委员会应当就部分理论问题采取立场，这样将有助于引导委员会，例如有助于引导委员会拟订一份说明性规范清单。</w:t>
      </w:r>
    </w:p>
    <w:p w:rsidR="006735D4" w:rsidRPr="00BF42B7" w:rsidRDefault="006735D4" w:rsidP="006735D4">
      <w:pPr>
        <w:tabs>
          <w:tab w:val="clear" w:pos="431"/>
          <w:tab w:val="left" w:pos="1134"/>
          <w:tab w:val="left" w:pos="1565"/>
          <w:tab w:val="left" w:pos="1996"/>
          <w:tab w:val="left" w:pos="2427"/>
        </w:tabs>
        <w:spacing w:after="120"/>
        <w:ind w:left="1134" w:right="1134"/>
        <w:rPr>
          <w:kern w:val="1"/>
        </w:rPr>
      </w:pPr>
      <w:r w:rsidRPr="00BF42B7">
        <w:rPr>
          <w:kern w:val="1"/>
        </w:rPr>
        <w:t>1</w:t>
      </w:r>
      <w:r w:rsidRPr="00BF42B7">
        <w:rPr>
          <w:rFonts w:hint="eastAsia"/>
          <w:kern w:val="1"/>
        </w:rPr>
        <w:t>15</w:t>
      </w:r>
      <w:r w:rsidRPr="00BF42B7">
        <w:rPr>
          <w:kern w:val="1"/>
        </w:rPr>
        <w:t xml:space="preserve">.  </w:t>
      </w:r>
      <w:r w:rsidRPr="00BF42B7">
        <w:rPr>
          <w:rFonts w:hint="eastAsia"/>
          <w:kern w:val="1"/>
        </w:rPr>
        <w:t>有人建议，根据特别报告员报告中的讨论，可以识别出强行法具有以下要素：强制性规范不得克减；所涉规则构成一般国际法的一部分；强制性规范得到国际社会的公认；强制性规范普遍适用；所涉规范因为具有强制性而不可克减；强行法规范在等级上高于其他国际法规范；强行法规范以保护国际公共秩序为目的。有人认为，强行法规范主要是习惯国际法规范，具备特殊的法律确信形式，也就是说，确信存在具有强制性质的法律权利或义务。因此，这种规范包括经接受为强制法的一般实践。换言之，即</w:t>
      </w:r>
      <w:r w:rsidRPr="00BF42B7">
        <w:rPr>
          <w:rFonts w:ascii="宋体" w:cs="宋体" w:hint="eastAsia"/>
          <w:snapToGrid/>
          <w:sz w:val="20"/>
        </w:rPr>
        <w:t>有强制性法律确信伴行</w:t>
      </w:r>
      <w:r w:rsidRPr="00BF42B7">
        <w:rPr>
          <w:rFonts w:hint="eastAsia"/>
          <w:kern w:val="1"/>
        </w:rPr>
        <w:t>的一般实践。还有人指出，条约可能是强行法的来源，或反映强行法规范，强制性规范也可能以一般法律规则为基础，这值得开展进一步的研究。与此同时，吁请特别报告员对</w:t>
      </w:r>
      <w:r w:rsidRPr="00BF42B7">
        <w:rPr>
          <w:rFonts w:hint="eastAsia"/>
          <w:kern w:val="1"/>
        </w:rPr>
        <w:t>1969</w:t>
      </w:r>
      <w:r w:rsidRPr="00BF42B7">
        <w:rPr>
          <w:rFonts w:hint="eastAsia"/>
          <w:kern w:val="1"/>
        </w:rPr>
        <w:t>年《维也纳公约》有关条款的准备工作开展一项深入研究。</w:t>
      </w:r>
    </w:p>
    <w:p w:rsidR="006735D4" w:rsidRPr="00BF42B7" w:rsidRDefault="006735D4" w:rsidP="006735D4">
      <w:pPr>
        <w:tabs>
          <w:tab w:val="clear" w:pos="431"/>
          <w:tab w:val="left" w:pos="1134"/>
          <w:tab w:val="left" w:pos="1565"/>
          <w:tab w:val="left" w:pos="1996"/>
          <w:tab w:val="left" w:pos="2427"/>
        </w:tabs>
        <w:spacing w:after="120"/>
        <w:ind w:left="1134" w:right="1134"/>
        <w:rPr>
          <w:kern w:val="1"/>
        </w:rPr>
      </w:pPr>
      <w:bookmarkStart w:id="318" w:name="List_issue"/>
      <w:r w:rsidRPr="00BF42B7">
        <w:rPr>
          <w:rFonts w:hint="eastAsia"/>
          <w:kern w:val="1"/>
        </w:rPr>
        <w:t>116</w:t>
      </w:r>
      <w:r w:rsidRPr="00BF42B7">
        <w:rPr>
          <w:kern w:val="1"/>
        </w:rPr>
        <w:t xml:space="preserve">.  </w:t>
      </w:r>
      <w:bookmarkEnd w:id="318"/>
      <w:r w:rsidRPr="00BF42B7">
        <w:rPr>
          <w:rFonts w:hint="eastAsia"/>
          <w:kern w:val="1"/>
        </w:rPr>
        <w:t>对是否可能拟订一份已取得强行法地位的规范的说明性清单的问题，各委员观点不一。有人在辩论中提到，强行法的概念已在若干国家的宪法中得到承认。因此，是否可能拟订一份国际法承认的此种规范的指示性清单问题尤为重要。这种意见认为，如果委员会不拟订指示性清单，或者仅限于提供例子，则该专题工作的用处将会降低。还有意见认为，对该专题的审议工作不应局限于方法学方面的考虑。有人指出，全球性的社会需要有全球性的规范，除其他外，委员会可以编写一份强制性规范的清单，哪怕是指示性的清单，也能对这种规范的识别作出贡献。有人表示，与</w:t>
      </w:r>
      <w:r w:rsidRPr="00BF42B7">
        <w:rPr>
          <w:rFonts w:hint="eastAsia"/>
          <w:kern w:val="1"/>
        </w:rPr>
        <w:t>1969</w:t>
      </w:r>
      <w:r w:rsidRPr="00BF42B7">
        <w:rPr>
          <w:rFonts w:hint="eastAsia"/>
          <w:kern w:val="1"/>
        </w:rPr>
        <w:t>年《维也纳公约》通过时不同，现在有许多种法律材料可供借鉴，以便拟订这种规范的清单。此外，强行法专题与“习惯国际法的识别”专题不同，对后者而言，拟订一份习惯规则清单并不可行，而前者则与之相反，强行法规范的数量相对有限，拟订出这一清单是可能的。有人认为，委员会还可将其过去工作中识别的例子纳入考虑，包括国家对国际不法行为的责任的例子</w:t>
      </w:r>
      <w:r w:rsidRPr="00BF42B7">
        <w:rPr>
          <w:color w:val="0000FF"/>
          <w:kern w:val="1"/>
          <w:szCs w:val="24"/>
          <w:vertAlign w:val="superscript"/>
        </w:rPr>
        <w:footnoteReference w:id="1298"/>
      </w:r>
      <w:r w:rsidRPr="00BF42B7">
        <w:rPr>
          <w:rFonts w:hint="eastAsia"/>
          <w:kern w:val="1"/>
        </w:rPr>
        <w:t>、国际法不成体系的例子</w:t>
      </w:r>
      <w:r w:rsidRPr="00BF42B7">
        <w:rPr>
          <w:color w:val="0000FF"/>
          <w:kern w:val="1"/>
          <w:szCs w:val="24"/>
          <w:vertAlign w:val="superscript"/>
        </w:rPr>
        <w:footnoteReference w:id="1299"/>
      </w:r>
      <w:r w:rsidRPr="00BF42B7">
        <w:rPr>
          <w:rFonts w:hint="eastAsia"/>
          <w:kern w:val="1"/>
        </w:rPr>
        <w:t>、国际组织的责任的例子</w:t>
      </w:r>
      <w:r w:rsidRPr="00BF42B7">
        <w:rPr>
          <w:color w:val="0000FF"/>
          <w:kern w:val="1"/>
          <w:szCs w:val="24"/>
          <w:vertAlign w:val="superscript"/>
        </w:rPr>
        <w:footnoteReference w:id="1300"/>
      </w:r>
      <w:r w:rsidRPr="00BF42B7">
        <w:rPr>
          <w:rFonts w:hint="eastAsia"/>
          <w:kern w:val="1"/>
        </w:rPr>
        <w:t xml:space="preserve"> </w:t>
      </w:r>
      <w:r w:rsidRPr="00BF42B7">
        <w:rPr>
          <w:rFonts w:hint="eastAsia"/>
          <w:kern w:val="1"/>
        </w:rPr>
        <w:t>和对条约的保留的例子</w:t>
      </w:r>
      <w:r w:rsidRPr="00BF42B7">
        <w:rPr>
          <w:color w:val="0000FF"/>
          <w:kern w:val="1"/>
          <w:szCs w:val="24"/>
          <w:vertAlign w:val="superscript"/>
        </w:rPr>
        <w:footnoteReference w:id="1301"/>
      </w:r>
      <w:r w:rsidRPr="00BF42B7">
        <w:rPr>
          <w:rFonts w:hint="eastAsia"/>
          <w:kern w:val="1"/>
        </w:rPr>
        <w:t>。还有人回顾称，委员会在就武装冲突对条约的影响问题开展工作时，曾拟订过一份说明性清单。</w:t>
      </w:r>
      <w:r w:rsidRPr="00BF42B7">
        <w:rPr>
          <w:color w:val="0000FF"/>
          <w:kern w:val="1"/>
          <w:szCs w:val="24"/>
          <w:vertAlign w:val="superscript"/>
        </w:rPr>
        <w:footnoteReference w:id="1302"/>
      </w:r>
      <w:r w:rsidRPr="00BF42B7">
        <w:rPr>
          <w:rFonts w:hint="eastAsia"/>
          <w:kern w:val="1"/>
        </w:rPr>
        <w:t xml:space="preserve"> </w:t>
      </w:r>
      <w:r w:rsidRPr="00BF42B7">
        <w:rPr>
          <w:rFonts w:hint="eastAsia"/>
          <w:kern w:val="1"/>
        </w:rPr>
        <w:t>在考虑起草清单的问题时，一些委员还指出，委员会可以研究全球和区域各级国际性法院和法庭的判决和裁决。</w:t>
      </w:r>
    </w:p>
    <w:p w:rsidR="006735D4" w:rsidRPr="00BF42B7" w:rsidRDefault="006735D4" w:rsidP="006735D4">
      <w:pPr>
        <w:tabs>
          <w:tab w:val="clear" w:pos="431"/>
          <w:tab w:val="left" w:pos="1134"/>
          <w:tab w:val="left" w:pos="1565"/>
          <w:tab w:val="left" w:pos="1996"/>
          <w:tab w:val="left" w:pos="2427"/>
        </w:tabs>
        <w:spacing w:after="120"/>
        <w:ind w:left="1134" w:right="1134"/>
        <w:rPr>
          <w:kern w:val="1"/>
        </w:rPr>
      </w:pPr>
      <w:r w:rsidRPr="00BF42B7">
        <w:rPr>
          <w:rFonts w:hint="eastAsia"/>
          <w:kern w:val="1"/>
        </w:rPr>
        <w:t>117</w:t>
      </w:r>
      <w:r w:rsidRPr="00BF42B7">
        <w:rPr>
          <w:kern w:val="1"/>
        </w:rPr>
        <w:t xml:space="preserve">.  </w:t>
      </w:r>
      <w:r w:rsidRPr="00BF42B7">
        <w:rPr>
          <w:rFonts w:hint="eastAsia"/>
          <w:kern w:val="1"/>
        </w:rPr>
        <w:t>有人进而表示，支持通过在评注或附件中讨论说明性例子的方式来处理这一事项，但也有意见认为，这种方法和起草一份说明性清单几乎没有差别。还有人建议委员会推迟至较后阶段再就该事项作出决定。</w:t>
      </w:r>
    </w:p>
    <w:p w:rsidR="006735D4" w:rsidRPr="00BF42B7" w:rsidRDefault="006735D4" w:rsidP="006735D4">
      <w:pPr>
        <w:tabs>
          <w:tab w:val="clear" w:pos="431"/>
          <w:tab w:val="left" w:pos="1134"/>
          <w:tab w:val="left" w:pos="1565"/>
          <w:tab w:val="left" w:pos="1996"/>
          <w:tab w:val="left" w:pos="2427"/>
        </w:tabs>
        <w:spacing w:after="120"/>
        <w:ind w:left="1134" w:right="1134"/>
        <w:rPr>
          <w:kern w:val="1"/>
        </w:rPr>
      </w:pPr>
      <w:r w:rsidRPr="00BF42B7">
        <w:rPr>
          <w:rFonts w:hint="eastAsia"/>
          <w:kern w:val="1"/>
        </w:rPr>
        <w:t>118</w:t>
      </w:r>
      <w:r w:rsidRPr="00BF42B7">
        <w:rPr>
          <w:kern w:val="1"/>
        </w:rPr>
        <w:t xml:space="preserve">.  </w:t>
      </w:r>
      <w:r w:rsidRPr="00BF42B7">
        <w:rPr>
          <w:rFonts w:hint="eastAsia"/>
          <w:kern w:val="1"/>
        </w:rPr>
        <w:t>若干其他委员认为，不宜试图拟订这一清单，甚至不宜在评注中提供说明性例子，因为这样一定会要求委员会就所涉规则的地位采取立场。还有一项关切是，试图编制这样的一份清单可能会产生较大的额外工作、要求对法律的实质性领域进行详细分析，并导致关于是否应将有些规范纳入清单的徒劳争端。还有人关切地指出，拟出一份清单，哪怕只是说明性的清单，都会导致同等重要的国际法规则落入较低的地位。</w:t>
      </w:r>
    </w:p>
    <w:p w:rsidR="006735D4" w:rsidRPr="00BF42B7" w:rsidRDefault="006735D4" w:rsidP="006735D4">
      <w:pPr>
        <w:tabs>
          <w:tab w:val="clear" w:pos="431"/>
          <w:tab w:val="left" w:pos="1134"/>
          <w:tab w:val="left" w:pos="1565"/>
          <w:tab w:val="left" w:pos="1996"/>
          <w:tab w:val="left" w:pos="2427"/>
        </w:tabs>
        <w:spacing w:after="120"/>
        <w:ind w:left="1134" w:right="1134"/>
        <w:rPr>
          <w:kern w:val="1"/>
        </w:rPr>
      </w:pPr>
      <w:bookmarkStart w:id="319" w:name="Regional"/>
      <w:r w:rsidRPr="00BF42B7">
        <w:rPr>
          <w:rFonts w:hint="eastAsia"/>
          <w:kern w:val="1"/>
        </w:rPr>
        <w:t>119</w:t>
      </w:r>
      <w:r w:rsidRPr="00BF42B7">
        <w:rPr>
          <w:kern w:val="1"/>
        </w:rPr>
        <w:t xml:space="preserve">.  </w:t>
      </w:r>
      <w:bookmarkEnd w:id="319"/>
      <w:r w:rsidRPr="00BF42B7">
        <w:rPr>
          <w:rFonts w:hint="eastAsia"/>
          <w:kern w:val="1"/>
        </w:rPr>
        <w:t>若干委员还对区域强行法的存在表示了疑问。有人表示，这种可能性从定义上就与强行</w:t>
      </w:r>
      <w:r w:rsidRPr="00BF42B7">
        <w:rPr>
          <w:rFonts w:hint="eastAsia"/>
          <w:spacing w:val="2"/>
          <w:kern w:val="21"/>
        </w:rPr>
        <w:t>法的普遍适用性冲突。此外，这一可能性会产生问题，例如区域强行法对所涉区域外国家的法律效果问题，以及普遍强行法与区域强行法的关系问题。还有人关切地表示，</w:t>
      </w:r>
      <w:r w:rsidRPr="00BF42B7">
        <w:rPr>
          <w:rFonts w:hint="eastAsia"/>
          <w:kern w:val="1"/>
        </w:rPr>
        <w:t>如果区域强行法的概念得到承认，那原则上承认次区域规范也不存在障碍，这会进一步损害这一概念，并有可能导致国际法不成体系。</w:t>
      </w:r>
    </w:p>
    <w:p w:rsidR="006735D4" w:rsidRPr="00BF42B7" w:rsidRDefault="006735D4" w:rsidP="006735D4">
      <w:pPr>
        <w:tabs>
          <w:tab w:val="clear" w:pos="431"/>
          <w:tab w:val="left" w:pos="1134"/>
          <w:tab w:val="left" w:pos="1565"/>
          <w:tab w:val="left" w:pos="1996"/>
          <w:tab w:val="left" w:pos="2427"/>
        </w:tabs>
        <w:spacing w:after="120"/>
        <w:ind w:left="1134" w:right="1134"/>
        <w:rPr>
          <w:kern w:val="1"/>
        </w:rPr>
      </w:pPr>
      <w:r w:rsidRPr="00BF42B7">
        <w:rPr>
          <w:rFonts w:hint="eastAsia"/>
          <w:kern w:val="1"/>
        </w:rPr>
        <w:t>120</w:t>
      </w:r>
      <w:r w:rsidRPr="00BF42B7">
        <w:rPr>
          <w:kern w:val="1"/>
        </w:rPr>
        <w:t xml:space="preserve">.  </w:t>
      </w:r>
      <w:r w:rsidRPr="00BF42B7">
        <w:rPr>
          <w:rFonts w:hint="eastAsia"/>
          <w:kern w:val="1"/>
        </w:rPr>
        <w:t>但</w:t>
      </w:r>
      <w:r w:rsidRPr="00BF42B7">
        <w:rPr>
          <w:rFonts w:hint="eastAsia"/>
          <w:spacing w:val="4"/>
          <w:kern w:val="21"/>
        </w:rPr>
        <w:t>另一些委员指出，对某些规范方面的区域强行法有一定的提及，例如美洲人权委员会就提到过</w:t>
      </w:r>
      <w:r w:rsidRPr="00BF42B7">
        <w:rPr>
          <w:rFonts w:hint="eastAsia"/>
        </w:rPr>
        <w:t>。另外还提到欧洲可能存在强行法的区域规则。因此，存在区域规范等</w:t>
      </w:r>
      <w:r w:rsidRPr="00BF42B7">
        <w:rPr>
          <w:rFonts w:hint="eastAsia"/>
          <w:spacing w:val="4"/>
          <w:kern w:val="21"/>
        </w:rPr>
        <w:t>其他形式的强制性规范的可能性问题值得进一步研究，不应预先予以排除。还有人建议，虽然原则上可能没有理由将强行法的概念</w:t>
      </w:r>
      <w:r w:rsidRPr="00BF42B7">
        <w:rPr>
          <w:rFonts w:hint="eastAsia"/>
          <w:kern w:val="1"/>
        </w:rPr>
        <w:t>局限为普遍适用的规则，但委员会仍可决定限制自己的研究范围，只研究普遍适用的强行法。</w:t>
      </w:r>
    </w:p>
    <w:p w:rsidR="006735D4" w:rsidRPr="00BF42B7" w:rsidRDefault="006735D4" w:rsidP="006735D4">
      <w:pPr>
        <w:tabs>
          <w:tab w:val="clear" w:pos="431"/>
          <w:tab w:val="left" w:pos="1134"/>
          <w:tab w:val="left" w:pos="1565"/>
          <w:tab w:val="left" w:pos="1996"/>
          <w:tab w:val="left" w:pos="2427"/>
        </w:tabs>
        <w:spacing w:after="200"/>
        <w:ind w:left="1134" w:right="1134"/>
        <w:rPr>
          <w:kern w:val="1"/>
        </w:rPr>
      </w:pPr>
      <w:bookmarkStart w:id="320" w:name="Persistant"/>
      <w:r w:rsidRPr="00BF42B7">
        <w:rPr>
          <w:rFonts w:hint="eastAsia"/>
          <w:kern w:val="1"/>
        </w:rPr>
        <w:t>121</w:t>
      </w:r>
      <w:r w:rsidRPr="00BF42B7">
        <w:rPr>
          <w:kern w:val="1"/>
        </w:rPr>
        <w:t xml:space="preserve">.  </w:t>
      </w:r>
      <w:bookmarkStart w:id="321" w:name="DCs"/>
      <w:bookmarkEnd w:id="320"/>
      <w:r w:rsidRPr="00BF42B7">
        <w:rPr>
          <w:rFonts w:hint="eastAsia"/>
          <w:kern w:val="1"/>
        </w:rPr>
        <w:t>若干委员强调了“一贯反对者”概念与强行法规范的不相容性，后者从定义上看具有普遍强制性质。在这方面，这些委员还指出，例如，不可能承认对禁止灭绝种族罪的一贯反对者。另一意见认为，就此问题作出决定为时过早，因为委员会尚未审议“各国组成的国际社会整体接受并公认”这一短语的含义。还有人建议，应将强行法的渊源研究同强行法的适用效果区分开来，一贯反对者规则与后者更为相关，而非前者。</w:t>
      </w:r>
    </w:p>
    <w:p w:rsidR="006735D4" w:rsidRPr="00BF42B7" w:rsidRDefault="006735D4" w:rsidP="006735D4">
      <w:pPr>
        <w:tabs>
          <w:tab w:val="clear" w:pos="431"/>
          <w:tab w:val="left" w:pos="1134"/>
          <w:tab w:val="left" w:pos="1565"/>
          <w:tab w:val="left" w:pos="1996"/>
          <w:tab w:val="left" w:pos="2427"/>
        </w:tabs>
        <w:spacing w:after="200"/>
        <w:ind w:left="1134" w:right="1134"/>
        <w:rPr>
          <w:kern w:val="1"/>
        </w:rPr>
      </w:pPr>
      <w:r w:rsidRPr="00BF42B7">
        <w:rPr>
          <w:rFonts w:hint="eastAsia"/>
          <w:kern w:val="1"/>
        </w:rPr>
        <w:t>122</w:t>
      </w:r>
      <w:r w:rsidRPr="00BF42B7">
        <w:rPr>
          <w:kern w:val="1"/>
        </w:rPr>
        <w:t xml:space="preserve">.  </w:t>
      </w:r>
      <w:bookmarkEnd w:id="321"/>
      <w:r w:rsidRPr="00BF42B7">
        <w:rPr>
          <w:rFonts w:hint="eastAsia"/>
          <w:kern w:val="1"/>
        </w:rPr>
        <w:t>关于委员会应侧重于拟订该专题结论草案的提议得到了普遍支持。同时也有意见认为，委员会原本应该先分析强制性规范的所有要素，然后再审议这种结果才好。</w:t>
      </w:r>
    </w:p>
    <w:p w:rsidR="006735D4" w:rsidRPr="00BF42B7" w:rsidRDefault="006735D4" w:rsidP="006735D4">
      <w:pPr>
        <w:tabs>
          <w:tab w:val="clear" w:pos="431"/>
          <w:tab w:val="left" w:pos="1134"/>
          <w:tab w:val="left" w:pos="1565"/>
          <w:tab w:val="left" w:pos="1996"/>
          <w:tab w:val="left" w:pos="2427"/>
        </w:tabs>
        <w:spacing w:after="200"/>
        <w:ind w:left="1134" w:right="1134"/>
        <w:rPr>
          <w:kern w:val="1"/>
        </w:rPr>
      </w:pPr>
      <w:r w:rsidRPr="00BF42B7">
        <w:rPr>
          <w:rFonts w:hint="eastAsia"/>
          <w:kern w:val="1"/>
        </w:rPr>
        <w:t>123</w:t>
      </w:r>
      <w:r w:rsidRPr="00BF42B7">
        <w:rPr>
          <w:kern w:val="1"/>
        </w:rPr>
        <w:t xml:space="preserve">.  </w:t>
      </w:r>
      <w:r w:rsidRPr="00BF42B7">
        <w:rPr>
          <w:rFonts w:hint="eastAsia"/>
          <w:kern w:val="1"/>
        </w:rPr>
        <w:t>关于拟议的结论草案</w:t>
      </w:r>
      <w:r w:rsidRPr="00BF42B7">
        <w:rPr>
          <w:rFonts w:hint="eastAsia"/>
          <w:kern w:val="1"/>
        </w:rPr>
        <w:t>1</w:t>
      </w:r>
      <w:r w:rsidRPr="00BF42B7">
        <w:rPr>
          <w:rFonts w:hint="eastAsia"/>
          <w:kern w:val="1"/>
        </w:rPr>
        <w:t>，有意见指出，有一点并不明确，即“识别”这一过程仅仅关乎于承认，还是包括对规范的存在与内容进行确定的规范性工作？还有人建议，应重写该条，更清楚地从形式上显示该条是关于范围的条款，并可扩大其范围，将非国家行为方的活动也包括在内。又有人建议，除明确提到强行法的确定标准之外，还应提到强行法的内容。</w:t>
      </w:r>
    </w:p>
    <w:p w:rsidR="006735D4" w:rsidRPr="00BF42B7" w:rsidRDefault="006735D4" w:rsidP="006735D4">
      <w:pPr>
        <w:tabs>
          <w:tab w:val="clear" w:pos="431"/>
          <w:tab w:val="left" w:pos="1134"/>
          <w:tab w:val="left" w:pos="1565"/>
          <w:tab w:val="left" w:pos="1996"/>
          <w:tab w:val="left" w:pos="2427"/>
        </w:tabs>
        <w:spacing w:after="200"/>
        <w:ind w:left="1134" w:right="1134"/>
        <w:rPr>
          <w:kern w:val="1"/>
        </w:rPr>
      </w:pPr>
      <w:r w:rsidRPr="00BF42B7">
        <w:rPr>
          <w:rFonts w:hint="eastAsia"/>
          <w:kern w:val="1"/>
        </w:rPr>
        <w:t>124</w:t>
      </w:r>
      <w:r w:rsidRPr="00BF42B7">
        <w:rPr>
          <w:kern w:val="1"/>
        </w:rPr>
        <w:t xml:space="preserve">.  </w:t>
      </w:r>
      <w:r w:rsidRPr="00BF42B7">
        <w:rPr>
          <w:rFonts w:hint="eastAsia"/>
          <w:kern w:val="1"/>
        </w:rPr>
        <w:t>关于结论草案</w:t>
      </w:r>
      <w:r w:rsidRPr="00BF42B7">
        <w:rPr>
          <w:rFonts w:hint="eastAsia"/>
          <w:kern w:val="1"/>
        </w:rPr>
        <w:t>2</w:t>
      </w:r>
      <w:r w:rsidRPr="00BF42B7">
        <w:rPr>
          <w:rFonts w:hint="eastAsia"/>
          <w:kern w:val="1"/>
        </w:rPr>
        <w:t>，有人质疑是否有必要与酌定法进行比较。若干委员建议，可将这一事项放在评注中讨论。还有人质疑，提到国际法常规规则的更改、克减或废除是否适当。有人指出，一方面将强行法视为等级更高的规范，另一方面又将其视为标准规则的例外，这令人难以理解。还有人表示疑惑，拟议的行文可以在多大程度上说明，条约缔约方仅仅宣称其自身的协定不得更改某项具体规则，就可对自身产生约束力？有人指出，仅有条约缔约方达成协定，不足以使有关规则获得强行法的性质。</w:t>
      </w:r>
    </w:p>
    <w:p w:rsidR="006735D4" w:rsidRPr="00BF42B7" w:rsidRDefault="006735D4" w:rsidP="006735D4">
      <w:pPr>
        <w:tabs>
          <w:tab w:val="clear" w:pos="431"/>
          <w:tab w:val="left" w:pos="1134"/>
          <w:tab w:val="left" w:pos="1565"/>
          <w:tab w:val="left" w:pos="1996"/>
          <w:tab w:val="left" w:pos="2427"/>
        </w:tabs>
        <w:spacing w:after="200"/>
        <w:ind w:left="1134" w:right="1134"/>
        <w:rPr>
          <w:kern w:val="1"/>
        </w:rPr>
      </w:pPr>
      <w:r w:rsidRPr="00BF42B7">
        <w:rPr>
          <w:rFonts w:hint="eastAsia"/>
          <w:kern w:val="1"/>
        </w:rPr>
        <w:t>125</w:t>
      </w:r>
      <w:r w:rsidRPr="00BF42B7">
        <w:rPr>
          <w:kern w:val="1"/>
        </w:rPr>
        <w:t xml:space="preserve">.  </w:t>
      </w:r>
      <w:r w:rsidRPr="00BF42B7">
        <w:rPr>
          <w:rFonts w:hint="eastAsia"/>
          <w:kern w:val="1"/>
        </w:rPr>
        <w:t>若干委员建议将结论草案</w:t>
      </w:r>
      <w:r w:rsidRPr="00BF42B7">
        <w:rPr>
          <w:rFonts w:hint="eastAsia"/>
          <w:kern w:val="1"/>
        </w:rPr>
        <w:t>3</w:t>
      </w:r>
      <w:r w:rsidRPr="00BF42B7">
        <w:rPr>
          <w:rFonts w:hint="eastAsia"/>
          <w:kern w:val="1"/>
        </w:rPr>
        <w:t>重写为强行法的定义，还有人建议该条款应尽可能贴近</w:t>
      </w:r>
      <w:r w:rsidRPr="00BF42B7">
        <w:rPr>
          <w:rFonts w:hint="eastAsia"/>
          <w:kern w:val="1"/>
        </w:rPr>
        <w:t>1969</w:t>
      </w:r>
      <w:r w:rsidRPr="00BF42B7">
        <w:rPr>
          <w:rFonts w:hint="eastAsia"/>
          <w:kern w:val="1"/>
        </w:rPr>
        <w:t>年《维也纳公约》第五十三条的行文。若干委员支持第</w:t>
      </w:r>
      <w:r w:rsidRPr="00BF42B7">
        <w:rPr>
          <w:rFonts w:hint="eastAsia"/>
          <w:kern w:val="1"/>
        </w:rPr>
        <w:t>2</w:t>
      </w:r>
      <w:r w:rsidRPr="00BF42B7">
        <w:rPr>
          <w:rFonts w:hint="eastAsia"/>
          <w:kern w:val="1"/>
        </w:rPr>
        <w:t>段的内容，另外一些委员则质疑是否应将其加入结论草案。有人认为，第</w:t>
      </w:r>
      <w:r w:rsidRPr="00BF42B7">
        <w:rPr>
          <w:rFonts w:hint="eastAsia"/>
          <w:kern w:val="1"/>
        </w:rPr>
        <w:t>2</w:t>
      </w:r>
      <w:r w:rsidRPr="00BF42B7">
        <w:rPr>
          <w:rFonts w:hint="eastAsia"/>
          <w:kern w:val="1"/>
        </w:rPr>
        <w:t>段所列的各项要素没有惯例佐证，且该段似乎偏离了</w:t>
      </w:r>
      <w:r w:rsidRPr="00BF42B7">
        <w:rPr>
          <w:rFonts w:hint="eastAsia"/>
          <w:kern w:val="1"/>
        </w:rPr>
        <w:t>1969</w:t>
      </w:r>
      <w:r w:rsidRPr="00BF42B7">
        <w:rPr>
          <w:rFonts w:hint="eastAsia"/>
          <w:kern w:val="1"/>
        </w:rPr>
        <w:t>年《维也纳公约》第五十三条所载的定义。有意见认为，强行法规范的特征不在于其等级高低，而更在于其特殊重要性。有人警示委员会，要注意风险，不要无意中给强行法增加了额外的识别要求。有意见认为，“等级高”这一概念并不明确，可能还会引起误解，因为它模糊了强行法的识别与违反强行法规范的后果之间的差异。还有意见认为，既然提到“等级”，就要进一步说明强行法所产生的等级的具体种类，这种等级的依据是，违反强行法的条约属于无效，这与国际法中的其他等级不同，例如《联合国宪章》第一百零三条所设立的等级。有不同意见认为，委员会本身已在关于国际法不成体系问题的工作中很好地确定和承认了强制性规则的高等级。进而有人建议可将第</w:t>
      </w:r>
      <w:r w:rsidRPr="00BF42B7">
        <w:rPr>
          <w:rFonts w:hint="eastAsia"/>
          <w:kern w:val="1"/>
        </w:rPr>
        <w:t>2</w:t>
      </w:r>
      <w:r w:rsidRPr="00BF42B7">
        <w:rPr>
          <w:rFonts w:hint="eastAsia"/>
          <w:kern w:val="1"/>
        </w:rPr>
        <w:t>段作为一条独立的结论草案的主题。</w:t>
      </w:r>
    </w:p>
    <w:p w:rsidR="006735D4" w:rsidRPr="00BF42B7" w:rsidRDefault="006735D4" w:rsidP="006735D4">
      <w:pPr>
        <w:keepNext/>
        <w:keepLines/>
        <w:tabs>
          <w:tab w:val="clear" w:pos="431"/>
          <w:tab w:val="left" w:pos="1134"/>
          <w:tab w:val="left" w:pos="1565"/>
          <w:tab w:val="left" w:pos="1996"/>
          <w:tab w:val="left" w:pos="2427"/>
        </w:tabs>
        <w:spacing w:after="120"/>
        <w:ind w:left="1134" w:right="1134"/>
        <w:rPr>
          <w:kern w:val="1"/>
        </w:rPr>
      </w:pPr>
      <w:r w:rsidRPr="00BF42B7">
        <w:rPr>
          <w:rFonts w:hint="eastAsia"/>
          <w:kern w:val="1"/>
        </w:rPr>
        <w:t>126</w:t>
      </w:r>
      <w:r w:rsidRPr="00BF42B7">
        <w:rPr>
          <w:kern w:val="1"/>
        </w:rPr>
        <w:t xml:space="preserve">.  </w:t>
      </w:r>
      <w:r w:rsidRPr="00BF42B7">
        <w:rPr>
          <w:rFonts w:hint="eastAsia"/>
          <w:kern w:val="1"/>
        </w:rPr>
        <w:t>若干委员还认为，没有必要提到“国际社会的价值观”，因为强行法的存在取决于各国组成的国际社会整体接受和承认强行法，而不是取决于对价值观的主观评估。另有意见认为，所提到的“基本价值观”如果仅指具有人道主义性质的强行法规范，而排除其他强行法规范，例如禁止使用武力，则过于狭隘。相应地，有人提议该条结论草案应提到“最基本的原则”。还有意见认为，该条实际上可以通过加入“国际社会的基本价值观”这一提法，澄清强行法的性质，从而对</w:t>
      </w:r>
      <w:r w:rsidRPr="00BF42B7">
        <w:rPr>
          <w:rFonts w:hint="eastAsia"/>
          <w:kern w:val="1"/>
        </w:rPr>
        <w:t>1969</w:t>
      </w:r>
      <w:r w:rsidRPr="00BF42B7">
        <w:rPr>
          <w:rFonts w:hint="eastAsia"/>
          <w:kern w:val="1"/>
        </w:rPr>
        <w:t>年《维也纳公约》作出有益补充。</w:t>
      </w:r>
    </w:p>
    <w:p w:rsidR="006735D4" w:rsidRPr="00BF42B7" w:rsidRDefault="006735D4" w:rsidP="006735D4">
      <w:pPr>
        <w:tabs>
          <w:tab w:val="clear" w:pos="431"/>
          <w:tab w:val="left" w:pos="1134"/>
          <w:tab w:val="left" w:pos="1565"/>
          <w:tab w:val="left" w:pos="1996"/>
          <w:tab w:val="left" w:pos="2427"/>
        </w:tabs>
        <w:spacing w:after="120"/>
        <w:ind w:left="1134" w:right="1134"/>
        <w:rPr>
          <w:kern w:val="1"/>
        </w:rPr>
      </w:pPr>
      <w:r w:rsidRPr="00BF42B7">
        <w:rPr>
          <w:rFonts w:hint="eastAsia"/>
          <w:kern w:val="1"/>
        </w:rPr>
        <w:t>127</w:t>
      </w:r>
      <w:r w:rsidRPr="00BF42B7">
        <w:rPr>
          <w:kern w:val="1"/>
        </w:rPr>
        <w:t xml:space="preserve">.  </w:t>
      </w:r>
      <w:r w:rsidRPr="00BF42B7">
        <w:rPr>
          <w:rFonts w:hint="eastAsia"/>
          <w:kern w:val="1"/>
        </w:rPr>
        <w:t>尽管有人就存在区域强行法的可能性表达了意见，但也有人对第</w:t>
      </w:r>
      <w:r w:rsidRPr="00BF42B7">
        <w:rPr>
          <w:rFonts w:hint="eastAsia"/>
          <w:kern w:val="1"/>
        </w:rPr>
        <w:t>2</w:t>
      </w:r>
      <w:r w:rsidRPr="00BF42B7">
        <w:rPr>
          <w:rFonts w:hint="eastAsia"/>
          <w:kern w:val="1"/>
        </w:rPr>
        <w:t>段所列的“普遍适用”这一要素表示了支持。</w:t>
      </w:r>
    </w:p>
    <w:p w:rsidR="006735D4" w:rsidRPr="00BF42B7" w:rsidRDefault="006735D4" w:rsidP="006735D4">
      <w:pPr>
        <w:tabs>
          <w:tab w:val="clear" w:pos="431"/>
          <w:tab w:val="left" w:pos="1134"/>
          <w:tab w:val="left" w:pos="1565"/>
          <w:tab w:val="left" w:pos="1996"/>
          <w:tab w:val="left" w:pos="2427"/>
        </w:tabs>
        <w:spacing w:after="120"/>
        <w:ind w:left="1134" w:right="1134"/>
        <w:rPr>
          <w:kern w:val="1"/>
        </w:rPr>
      </w:pPr>
      <w:r w:rsidRPr="00BF42B7">
        <w:rPr>
          <w:rFonts w:hint="eastAsia"/>
          <w:kern w:val="1"/>
        </w:rPr>
        <w:t>128</w:t>
      </w:r>
      <w:r w:rsidRPr="00BF42B7">
        <w:rPr>
          <w:kern w:val="1"/>
        </w:rPr>
        <w:t xml:space="preserve">.  </w:t>
      </w:r>
      <w:r w:rsidRPr="00BF42B7">
        <w:rPr>
          <w:rFonts w:hint="eastAsia"/>
          <w:kern w:val="1"/>
        </w:rPr>
        <w:t>其他建议包括另拟一条关于强行法定义的结论草案。还有人建议，在提到“规范”或“规则”时应当更加一致。有人倾向于参照</w:t>
      </w:r>
      <w:r w:rsidRPr="00BF42B7">
        <w:rPr>
          <w:rFonts w:hint="eastAsia"/>
          <w:kern w:val="1"/>
        </w:rPr>
        <w:t>1969</w:t>
      </w:r>
      <w:r w:rsidRPr="00BF42B7">
        <w:rPr>
          <w:rFonts w:hint="eastAsia"/>
          <w:kern w:val="1"/>
        </w:rPr>
        <w:t>年《维也纳公约》使用“规范”。另有人建议，应将该专题的标题改为“国际法中的强行法”、“强制性规范”或“国际法律秩序中的强行法”。还有人建议，这些结论草案应论及强行法使其他规定无效的效果，包括由谁来决定所涉规定是否与强行法冲突的问题。</w:t>
      </w:r>
    </w:p>
    <w:p w:rsidR="006735D4" w:rsidRPr="00BF42B7" w:rsidRDefault="006735D4" w:rsidP="006735D4">
      <w:pPr>
        <w:tabs>
          <w:tab w:val="clear" w:pos="431"/>
          <w:tab w:val="left" w:pos="1134"/>
          <w:tab w:val="left" w:pos="1565"/>
          <w:tab w:val="left" w:pos="1996"/>
          <w:tab w:val="left" w:pos="2427"/>
        </w:tabs>
        <w:spacing w:after="120"/>
        <w:ind w:left="1134" w:right="1134"/>
        <w:rPr>
          <w:kern w:val="1"/>
        </w:rPr>
      </w:pPr>
      <w:bookmarkStart w:id="322" w:name="Future_work"/>
      <w:r w:rsidRPr="00BF42B7">
        <w:rPr>
          <w:rFonts w:hint="eastAsia"/>
          <w:kern w:val="1"/>
        </w:rPr>
        <w:t>129</w:t>
      </w:r>
      <w:r w:rsidRPr="00BF42B7">
        <w:rPr>
          <w:kern w:val="1"/>
        </w:rPr>
        <w:t xml:space="preserve">.  </w:t>
      </w:r>
      <w:bookmarkEnd w:id="322"/>
      <w:r w:rsidRPr="00BF42B7">
        <w:rPr>
          <w:rFonts w:hint="eastAsia"/>
          <w:kern w:val="1"/>
        </w:rPr>
        <w:t>特别报告员就该</w:t>
      </w:r>
      <w:r w:rsidRPr="00BF42B7">
        <w:rPr>
          <w:rFonts w:hint="eastAsia"/>
          <w:spacing w:val="4"/>
          <w:kern w:val="21"/>
        </w:rPr>
        <w:t>专题未来计划开展的工作所作的说明得到了支持。有人建议，特别报告员还应调查</w:t>
      </w:r>
      <w:r w:rsidRPr="00BF42B7">
        <w:rPr>
          <w:rFonts w:hint="eastAsia"/>
          <w:kern w:val="1"/>
        </w:rPr>
        <w:t>一般法律原则与强行法之间的关系。其他关于未来工作的建议包括</w:t>
      </w:r>
      <w:r w:rsidRPr="00BF42B7">
        <w:rPr>
          <w:rFonts w:hint="eastAsia"/>
          <w:spacing w:val="4"/>
          <w:kern w:val="21"/>
        </w:rPr>
        <w:t>分析：“各国组成的国际社会整体接受并公认”这一短语，以及该概念与同意的相</w:t>
      </w:r>
      <w:r w:rsidRPr="00BF42B7">
        <w:rPr>
          <w:rFonts w:hint="eastAsia"/>
          <w:kern w:val="1"/>
        </w:rPr>
        <w:t>近程度；强行法与普遍义务之间的关系；不克减在多大程度上属于强行法的决定性特征；</w:t>
      </w:r>
      <w:r w:rsidRPr="00BF42B7">
        <w:rPr>
          <w:rFonts w:hint="eastAsia"/>
          <w:spacing w:val="4"/>
          <w:kern w:val="21"/>
        </w:rPr>
        <w:t>嗣后强制性规范可以替代旧规范的程序；强行法之下基本价值观的存在与其存在的</w:t>
      </w:r>
      <w:r w:rsidRPr="00BF42B7">
        <w:rPr>
          <w:rFonts w:hint="eastAsia"/>
          <w:kern w:val="1"/>
        </w:rPr>
        <w:t>表达之间的关系；</w:t>
      </w:r>
      <w:r w:rsidRPr="00BF42B7">
        <w:rPr>
          <w:rFonts w:hint="eastAsia"/>
          <w:kern w:val="1"/>
        </w:rPr>
        <w:t>1969</w:t>
      </w:r>
      <w:r w:rsidRPr="00BF42B7">
        <w:rPr>
          <w:rFonts w:hint="eastAsia"/>
          <w:kern w:val="1"/>
        </w:rPr>
        <w:t>年《维也纳公约》第六十六条所载的争端解决机制；以及如何管理相互矛盾的强制性规范之间的冲突问题。</w:t>
      </w:r>
    </w:p>
    <w:p w:rsidR="006735D4" w:rsidRPr="00BF42B7" w:rsidRDefault="006735D4" w:rsidP="00E744EA">
      <w:pPr>
        <w:pStyle w:val="H23GC"/>
      </w:pPr>
      <w:bookmarkStart w:id="323" w:name="3_Summary"/>
      <w:r w:rsidRPr="00BF42B7">
        <w:tab/>
      </w:r>
      <w:bookmarkEnd w:id="323"/>
      <w:r w:rsidRPr="00BF42B7">
        <w:t>3.</w:t>
      </w:r>
      <w:r w:rsidRPr="00BF42B7">
        <w:rPr>
          <w:rFonts w:hint="eastAsia"/>
        </w:rPr>
        <w:tab/>
      </w:r>
      <w:r w:rsidRPr="00BF42B7">
        <w:rPr>
          <w:rFonts w:hint="eastAsia"/>
        </w:rPr>
        <w:t>特别报告员的总结</w:t>
      </w:r>
    </w:p>
    <w:p w:rsidR="006735D4" w:rsidRPr="00BF42B7" w:rsidRDefault="006735D4" w:rsidP="006735D4">
      <w:pPr>
        <w:tabs>
          <w:tab w:val="clear" w:pos="431"/>
          <w:tab w:val="left" w:pos="1134"/>
          <w:tab w:val="left" w:pos="1565"/>
          <w:tab w:val="left" w:pos="1996"/>
          <w:tab w:val="left" w:pos="2427"/>
        </w:tabs>
        <w:spacing w:after="120"/>
        <w:ind w:left="1134" w:right="1134"/>
        <w:rPr>
          <w:kern w:val="1"/>
        </w:rPr>
      </w:pPr>
      <w:r w:rsidRPr="00BF42B7">
        <w:rPr>
          <w:rFonts w:hint="eastAsia"/>
          <w:kern w:val="1"/>
        </w:rPr>
        <w:t>130</w:t>
      </w:r>
      <w:r w:rsidRPr="00BF42B7">
        <w:rPr>
          <w:kern w:val="1"/>
        </w:rPr>
        <w:t xml:space="preserve">.  </w:t>
      </w:r>
      <w:r w:rsidRPr="00BF42B7">
        <w:rPr>
          <w:rFonts w:hint="eastAsia"/>
          <w:kern w:val="1"/>
        </w:rPr>
        <w:t>特别报告员在就辩论内容作答复时，谈到了有关强行法理论基础的评论，并表示不同意那些认为</w:t>
      </w:r>
      <w:r w:rsidRPr="00BF42B7">
        <w:rPr>
          <w:rFonts w:hint="eastAsia"/>
          <w:kern w:val="1"/>
        </w:rPr>
        <w:t>1969</w:t>
      </w:r>
      <w:r w:rsidRPr="00BF42B7">
        <w:rPr>
          <w:rFonts w:hint="eastAsia"/>
          <w:kern w:val="1"/>
        </w:rPr>
        <w:t>年《维也纳公约》第五十三条已经解决了这一事项的委员的意见。不过，他仍然认为，没有必要由委员会来解决这一事项。</w:t>
      </w:r>
    </w:p>
    <w:p w:rsidR="006735D4" w:rsidRPr="00BF42B7" w:rsidRDefault="006735D4" w:rsidP="006735D4">
      <w:pPr>
        <w:tabs>
          <w:tab w:val="clear" w:pos="431"/>
          <w:tab w:val="left" w:pos="1134"/>
          <w:tab w:val="left" w:pos="1565"/>
          <w:tab w:val="left" w:pos="1996"/>
          <w:tab w:val="left" w:pos="2427"/>
        </w:tabs>
        <w:spacing w:after="120"/>
        <w:ind w:left="1134" w:right="1134"/>
        <w:rPr>
          <w:kern w:val="1"/>
        </w:rPr>
      </w:pPr>
      <w:r w:rsidRPr="00BF42B7">
        <w:rPr>
          <w:rFonts w:hint="eastAsia"/>
          <w:kern w:val="1"/>
        </w:rPr>
        <w:t>131</w:t>
      </w:r>
      <w:r w:rsidRPr="00BF42B7">
        <w:rPr>
          <w:kern w:val="1"/>
        </w:rPr>
        <w:t xml:space="preserve">.  </w:t>
      </w:r>
      <w:r w:rsidRPr="00BF42B7">
        <w:rPr>
          <w:rFonts w:hint="eastAsia"/>
          <w:kern w:val="1"/>
        </w:rPr>
        <w:t>特别报告员指出，委员们已经广泛达成一致意见，有必要将国家惯例、司法裁决以及在适当情况下将学术著作作为研究的主要依据。辩论中有人表示，特别报告员的第一次报告中的一些要素没有充分的国家惯例佐证，还有人表示由于这种惯例相对缺乏，有必要依赖于理论构建，对此，特别报告员回顾称，其实存在着大量的国家惯例和司法惯例。</w:t>
      </w:r>
    </w:p>
    <w:p w:rsidR="006735D4" w:rsidRPr="00BF42B7" w:rsidRDefault="006735D4" w:rsidP="006735D4">
      <w:pPr>
        <w:tabs>
          <w:tab w:val="clear" w:pos="431"/>
          <w:tab w:val="left" w:pos="1134"/>
          <w:tab w:val="left" w:pos="1565"/>
          <w:tab w:val="left" w:pos="1996"/>
          <w:tab w:val="left" w:pos="2427"/>
        </w:tabs>
        <w:spacing w:after="120"/>
        <w:ind w:left="1134" w:right="1134"/>
        <w:rPr>
          <w:kern w:val="1"/>
        </w:rPr>
      </w:pPr>
      <w:r w:rsidRPr="00BF42B7">
        <w:rPr>
          <w:rFonts w:hint="eastAsia"/>
          <w:kern w:val="1"/>
        </w:rPr>
        <w:t>132</w:t>
      </w:r>
      <w:r w:rsidRPr="00BF42B7">
        <w:rPr>
          <w:kern w:val="1"/>
        </w:rPr>
        <w:t xml:space="preserve">.  </w:t>
      </w:r>
      <w:r w:rsidRPr="00BF42B7">
        <w:rPr>
          <w:rFonts w:hint="eastAsia"/>
          <w:kern w:val="1"/>
        </w:rPr>
        <w:t>关于拟订一份说明性清单的可能性问题，特别报告员注意到委员会内部存在意见分歧，并承认拟订这一清单不乏吸引力。尽管如此，他回顾自己的关切，即这会偏离该专题的方法学侧重。不过，他对拟订一份侧重于最广为接受的强制性规范的说明性清单的可能性仍保持开放态度。</w:t>
      </w:r>
    </w:p>
    <w:p w:rsidR="006735D4" w:rsidRPr="00BF42B7" w:rsidRDefault="006735D4" w:rsidP="006735D4">
      <w:pPr>
        <w:pStyle w:val="SingleTxtGC"/>
      </w:pPr>
      <w:r w:rsidRPr="00BF42B7">
        <w:rPr>
          <w:rFonts w:hint="eastAsia"/>
        </w:rPr>
        <w:t>133</w:t>
      </w:r>
      <w:r w:rsidRPr="00BF42B7">
        <w:t xml:space="preserve">.  </w:t>
      </w:r>
      <w:r w:rsidRPr="00BF42B7">
        <w:rPr>
          <w:rFonts w:hint="eastAsia"/>
        </w:rPr>
        <w:t>关于区域强行法的问题，特别报告员重申，他有意在未来的报告中审议这一事项。与此同时，虽然他不认为区域强行法规范的概念在国际法中具有扎实的依据，但在他看来，虽然已公认强行法具备普遍性，但并不能因此就预先排除存在区域强制性规范的可能性。</w:t>
      </w:r>
    </w:p>
    <w:p w:rsidR="006735D4" w:rsidRPr="00BF42B7" w:rsidRDefault="006735D4" w:rsidP="006735D4">
      <w:pPr>
        <w:pStyle w:val="SingleTxtGC"/>
      </w:pPr>
      <w:r w:rsidRPr="00BF42B7">
        <w:rPr>
          <w:rFonts w:hint="eastAsia"/>
        </w:rPr>
        <w:t>134</w:t>
      </w:r>
      <w:r w:rsidRPr="00BF42B7">
        <w:t xml:space="preserve">.  </w:t>
      </w:r>
      <w:r w:rsidRPr="00BF42B7">
        <w:rPr>
          <w:rFonts w:hint="eastAsia"/>
        </w:rPr>
        <w:t>特别报告员进而证实，他无意忽视强行法在国家对国际不法行为的责任方面的影响。如摘要中所述，该专题的范围比条约法更广。他本意是在关于强行法后果的后续报告中讨论这一事项。但是，对强行法的本质和定义可根据国际法领域的不同而不同这一观点，他表示不同意。</w:t>
      </w:r>
    </w:p>
    <w:p w:rsidR="006735D4" w:rsidRPr="00BF42B7" w:rsidRDefault="006735D4" w:rsidP="006735D4">
      <w:pPr>
        <w:pStyle w:val="SingleTxtGC"/>
      </w:pPr>
      <w:r w:rsidRPr="00BF42B7">
        <w:rPr>
          <w:rFonts w:hint="eastAsia"/>
        </w:rPr>
        <w:t>135</w:t>
      </w:r>
      <w:r w:rsidRPr="00BF42B7">
        <w:t xml:space="preserve">.  </w:t>
      </w:r>
      <w:r w:rsidRPr="00BF42B7">
        <w:rPr>
          <w:rFonts w:hint="eastAsia"/>
        </w:rPr>
        <w:t>关于未来的工作，他注意到有关基于条约的强行法的可能性的意见。他还证实，有意考虑强行法规范与普遍义务之间的关系。</w:t>
      </w:r>
    </w:p>
    <w:p w:rsidR="006735D4" w:rsidRPr="00BF42B7" w:rsidRDefault="006735D4" w:rsidP="006735D4">
      <w:pPr>
        <w:pStyle w:val="SingleTxtGC"/>
      </w:pPr>
      <w:r w:rsidRPr="00BF42B7">
        <w:rPr>
          <w:rFonts w:hint="eastAsia"/>
        </w:rPr>
        <w:t>136</w:t>
      </w:r>
      <w:r w:rsidRPr="00BF42B7">
        <w:t xml:space="preserve">.  </w:t>
      </w:r>
      <w:r w:rsidRPr="00BF42B7">
        <w:rPr>
          <w:rFonts w:hint="eastAsia"/>
        </w:rPr>
        <w:t>关于各条拟议的结论草案，特别报告员注意到辩论中提出的各种关于起草的建议。他还接受以下批评，即结论草案</w:t>
      </w:r>
      <w:r w:rsidRPr="00BF42B7">
        <w:rPr>
          <w:rFonts w:hint="eastAsia"/>
        </w:rPr>
        <w:t>2</w:t>
      </w:r>
      <w:r w:rsidRPr="00BF42B7">
        <w:rPr>
          <w:rFonts w:hint="eastAsia"/>
        </w:rPr>
        <w:t>论及了该专题范围之外的问题。他解释称，本打算通过提案草案的形式指出强制性规范本质上是其他国际法规则的例外。尽管如此，他接受委员会的意见，即不需要将该条拟议的结论草案转交起草委员会。</w:t>
      </w:r>
    </w:p>
    <w:p w:rsidR="006735D4" w:rsidRPr="00BF42B7" w:rsidRDefault="006735D4" w:rsidP="006735D4">
      <w:pPr>
        <w:pStyle w:val="SingleTxtGC"/>
      </w:pPr>
      <w:r w:rsidRPr="00BF42B7">
        <w:rPr>
          <w:rFonts w:hint="eastAsia"/>
        </w:rPr>
        <w:t>137</w:t>
      </w:r>
      <w:r w:rsidRPr="00BF42B7">
        <w:t xml:space="preserve">.  </w:t>
      </w:r>
      <w:r w:rsidRPr="00BF42B7">
        <w:rPr>
          <w:rFonts w:hint="eastAsia"/>
        </w:rPr>
        <w:t>关于结论草案</w:t>
      </w:r>
      <w:r w:rsidRPr="00BF42B7">
        <w:rPr>
          <w:rFonts w:hint="eastAsia"/>
        </w:rPr>
        <w:t>3</w:t>
      </w:r>
      <w:r w:rsidRPr="00BF42B7">
        <w:rPr>
          <w:rFonts w:hint="eastAsia"/>
        </w:rPr>
        <w:t>，虽然他对改进第</w:t>
      </w:r>
      <w:r w:rsidRPr="00BF42B7">
        <w:rPr>
          <w:rFonts w:hint="eastAsia"/>
        </w:rPr>
        <w:t>1</w:t>
      </w:r>
      <w:r w:rsidRPr="00BF42B7">
        <w:rPr>
          <w:rFonts w:hint="eastAsia"/>
        </w:rPr>
        <w:t>段的建议，包括使行文与</w:t>
      </w:r>
      <w:r w:rsidRPr="00BF42B7">
        <w:rPr>
          <w:rFonts w:hint="eastAsia"/>
        </w:rPr>
        <w:t>1969</w:t>
      </w:r>
      <w:r w:rsidRPr="00BF42B7">
        <w:rPr>
          <w:rFonts w:hint="eastAsia"/>
        </w:rPr>
        <w:t>年《维也纳公约》第五十三条接轨的建议持开放态度，但他不同意的是，有些委员会委员提出在国家惯例以及法院和法庭的声明中，没有依据或只有有限的依据支持将强行法的基本价值观、等级高和普遍适用要素纳入结论。除了他的第一次报告中提到的当局外，他还增加了更多各国就强行法采取立场的例证，主要是在联合国背景下就强行法采取立场的例证，以及各法院和法庭的声明。</w:t>
      </w:r>
    </w:p>
    <w:p w:rsidR="006735D4" w:rsidRPr="00BF42B7" w:rsidRDefault="006735D4" w:rsidP="006735D4">
      <w:pPr>
        <w:pStyle w:val="SingleTxtGC"/>
      </w:pPr>
      <w:r w:rsidRPr="00BF42B7">
        <w:rPr>
          <w:rFonts w:hint="eastAsia"/>
        </w:rPr>
        <w:t>138</w:t>
      </w:r>
      <w:r w:rsidRPr="00BF42B7">
        <w:t xml:space="preserve">.  </w:t>
      </w:r>
      <w:r w:rsidRPr="00BF42B7">
        <w:rPr>
          <w:rFonts w:hint="eastAsia"/>
        </w:rPr>
        <w:t>他</w:t>
      </w:r>
      <w:r w:rsidRPr="00BF42B7">
        <w:rPr>
          <w:rFonts w:hint="eastAsia"/>
          <w:spacing w:val="4"/>
          <w:kern w:val="21"/>
        </w:rPr>
        <w:t>进一步表示，可以</w:t>
      </w:r>
      <w:r w:rsidRPr="00BF42B7">
        <w:rPr>
          <w:rFonts w:hint="eastAsia"/>
        </w:rPr>
        <w:t>考虑有关建议，修改该项目的标题</w:t>
      </w:r>
      <w:r w:rsidRPr="00BF42B7">
        <w:rPr>
          <w:rFonts w:hint="eastAsia"/>
          <w:spacing w:val="4"/>
          <w:kern w:val="21"/>
        </w:rPr>
        <w:t>，并可在今后的报告中讨论这一问题</w:t>
      </w:r>
      <w:r w:rsidRPr="00BF42B7">
        <w:rPr>
          <w:rFonts w:hint="eastAsia"/>
        </w:rPr>
        <w:t>。</w:t>
      </w:r>
    </w:p>
    <w:p w:rsidR="006735D4" w:rsidRPr="00BF42B7" w:rsidRDefault="006735D4" w:rsidP="006735D4">
      <w:pPr>
        <w:pStyle w:val="HChGC"/>
        <w:rPr>
          <w:szCs w:val="24"/>
        </w:rPr>
      </w:pPr>
      <w:r w:rsidRPr="00BF42B7">
        <w:tab/>
      </w:r>
      <w:r w:rsidRPr="00BF42B7">
        <w:tab/>
      </w:r>
      <w:r w:rsidRPr="00BF42B7">
        <w:rPr>
          <w:lang w:val="zh-CN"/>
        </w:rPr>
        <w:t>第十章</w:t>
      </w:r>
      <w:r w:rsidRPr="00BF42B7">
        <w:rPr>
          <w:rFonts w:hint="eastAsia"/>
          <w:lang w:val="zh-CN"/>
        </w:rPr>
        <w:br/>
      </w:r>
      <w:r w:rsidRPr="00BF42B7">
        <w:rPr>
          <w:lang w:val="zh-CN"/>
        </w:rPr>
        <w:t>与武装冲突有关的环境保护</w:t>
      </w:r>
    </w:p>
    <w:p w:rsidR="006735D4" w:rsidRPr="00BF42B7" w:rsidRDefault="006735D4" w:rsidP="006735D4">
      <w:pPr>
        <w:pStyle w:val="H1GC"/>
      </w:pPr>
      <w:r w:rsidRPr="00BF42B7">
        <w:rPr>
          <w:rFonts w:hint="eastAsia"/>
        </w:rPr>
        <w:tab/>
      </w:r>
      <w:r w:rsidRPr="00BF42B7">
        <w:t>A.</w:t>
      </w:r>
      <w:r w:rsidRPr="00BF42B7">
        <w:tab/>
      </w:r>
      <w:r w:rsidRPr="00BF42B7">
        <w:rPr>
          <w:lang w:val="zh-CN"/>
        </w:rPr>
        <w:t>导言</w:t>
      </w:r>
    </w:p>
    <w:p w:rsidR="006735D4" w:rsidRPr="00BF42B7" w:rsidRDefault="006735D4" w:rsidP="006735D4">
      <w:pPr>
        <w:pStyle w:val="SingleTxtGC"/>
        <w:rPr>
          <w:spacing w:val="-6"/>
          <w:szCs w:val="24"/>
        </w:rPr>
      </w:pPr>
      <w:r w:rsidRPr="00BF42B7">
        <w:rPr>
          <w:spacing w:val="-6"/>
          <w:szCs w:val="24"/>
        </w:rPr>
        <w:t>1</w:t>
      </w:r>
      <w:r w:rsidRPr="00BF42B7">
        <w:rPr>
          <w:rFonts w:hint="eastAsia"/>
          <w:spacing w:val="-6"/>
          <w:szCs w:val="24"/>
        </w:rPr>
        <w:t>39</w:t>
      </w:r>
      <w:r w:rsidRPr="00BF42B7">
        <w:rPr>
          <w:spacing w:val="-6"/>
          <w:szCs w:val="24"/>
        </w:rPr>
        <w:t>.</w:t>
      </w:r>
      <w:r w:rsidRPr="00BF42B7">
        <w:rPr>
          <w:rFonts w:hint="eastAsia"/>
          <w:spacing w:val="-6"/>
          <w:szCs w:val="24"/>
        </w:rPr>
        <w:t xml:space="preserve">  </w:t>
      </w:r>
      <w:r w:rsidRPr="00BF42B7">
        <w:rPr>
          <w:spacing w:val="-6"/>
          <w:lang w:val="zh-CN"/>
        </w:rPr>
        <w:t>国际法委员会在第六十五届会议</w:t>
      </w:r>
      <w:r w:rsidRPr="00BF42B7">
        <w:rPr>
          <w:spacing w:val="-6"/>
          <w:lang w:val="zh-CN"/>
        </w:rPr>
        <w:t>(2013</w:t>
      </w:r>
      <w:r w:rsidRPr="00BF42B7">
        <w:rPr>
          <w:spacing w:val="-6"/>
          <w:lang w:val="zh-CN"/>
        </w:rPr>
        <w:t>年</w:t>
      </w:r>
      <w:r w:rsidRPr="00BF42B7">
        <w:rPr>
          <w:spacing w:val="-6"/>
          <w:lang w:val="zh-CN"/>
        </w:rPr>
        <w:t>)</w:t>
      </w:r>
      <w:r w:rsidRPr="00BF42B7">
        <w:rPr>
          <w:spacing w:val="-6"/>
          <w:lang w:val="zh-CN"/>
        </w:rPr>
        <w:t>上决定将</w:t>
      </w:r>
      <w:r w:rsidRPr="00BF42B7">
        <w:rPr>
          <w:rFonts w:hint="eastAsia"/>
          <w:spacing w:val="-6"/>
          <w:lang w:val="zh-CN"/>
        </w:rPr>
        <w:t>“</w:t>
      </w:r>
      <w:r w:rsidRPr="00BF42B7">
        <w:rPr>
          <w:spacing w:val="-6"/>
          <w:lang w:val="zh-CN"/>
        </w:rPr>
        <w:t>与武装冲突有关的环境保护</w:t>
      </w:r>
      <w:r w:rsidRPr="00BF42B7">
        <w:rPr>
          <w:rFonts w:hint="eastAsia"/>
          <w:spacing w:val="-6"/>
          <w:lang w:val="zh-CN"/>
        </w:rPr>
        <w:t>”</w:t>
      </w:r>
      <w:r w:rsidRPr="00BF42B7">
        <w:rPr>
          <w:spacing w:val="-6"/>
          <w:lang w:val="zh-CN"/>
        </w:rPr>
        <w:t>专题列入其工作方案，并任命玛丽</w:t>
      </w:r>
      <w:r w:rsidRPr="00BF42B7">
        <w:rPr>
          <w:rFonts w:hint="eastAsia"/>
          <w:spacing w:val="-6"/>
          <w:lang w:val="zh-CN"/>
        </w:rPr>
        <w:t>G</w:t>
      </w:r>
      <w:r w:rsidRPr="00BF42B7">
        <w:rPr>
          <w:rFonts w:hint="eastAsia"/>
          <w:spacing w:val="-6"/>
          <w:lang w:val="zh-CN"/>
        </w:rPr>
        <w:t>·</w:t>
      </w:r>
      <w:r w:rsidRPr="00BF42B7">
        <w:rPr>
          <w:spacing w:val="-6"/>
          <w:lang w:val="zh-CN"/>
        </w:rPr>
        <w:t>雅各布松</w:t>
      </w:r>
      <w:r w:rsidRPr="00BF42B7">
        <w:rPr>
          <w:rFonts w:hint="eastAsia"/>
          <w:spacing w:val="-6"/>
          <w:lang w:val="zh-CN"/>
        </w:rPr>
        <w:t>女士</w:t>
      </w:r>
      <w:r w:rsidRPr="00BF42B7">
        <w:rPr>
          <w:spacing w:val="-6"/>
          <w:lang w:val="zh-CN"/>
        </w:rPr>
        <w:t>为本专题特别报告员。</w:t>
      </w:r>
      <w:r w:rsidRPr="00BF42B7">
        <w:rPr>
          <w:color w:val="0000FF"/>
          <w:spacing w:val="-6"/>
          <w:szCs w:val="24"/>
          <w:vertAlign w:val="superscript"/>
          <w:lang w:val="zh-CN"/>
        </w:rPr>
        <w:footnoteReference w:id="1303"/>
      </w:r>
    </w:p>
    <w:p w:rsidR="006735D4" w:rsidRPr="00BF42B7" w:rsidRDefault="006735D4" w:rsidP="006735D4">
      <w:pPr>
        <w:pStyle w:val="SingleTxtGC"/>
        <w:rPr>
          <w:szCs w:val="24"/>
        </w:rPr>
      </w:pPr>
      <w:r w:rsidRPr="00BF42B7">
        <w:rPr>
          <w:rFonts w:hint="eastAsia"/>
          <w:szCs w:val="24"/>
        </w:rPr>
        <w:t>140</w:t>
      </w:r>
      <w:r w:rsidRPr="00BF42B7">
        <w:rPr>
          <w:szCs w:val="24"/>
        </w:rPr>
        <w:t xml:space="preserve">.  </w:t>
      </w:r>
      <w:r w:rsidRPr="00BF42B7">
        <w:rPr>
          <w:lang w:val="zh-CN"/>
        </w:rPr>
        <w:t>委员会在第六十六届会议</w:t>
      </w:r>
      <w:r w:rsidRPr="00BF42B7">
        <w:rPr>
          <w:lang w:val="zh-CN"/>
        </w:rPr>
        <w:t>(2014</w:t>
      </w:r>
      <w:r w:rsidRPr="00BF42B7">
        <w:rPr>
          <w:lang w:val="zh-CN"/>
        </w:rPr>
        <w:t>年</w:t>
      </w:r>
      <w:r w:rsidRPr="00BF42B7">
        <w:rPr>
          <w:lang w:val="zh-CN"/>
        </w:rPr>
        <w:t>)</w:t>
      </w:r>
      <w:r w:rsidRPr="00BF42B7">
        <w:rPr>
          <w:lang w:val="zh-CN"/>
        </w:rPr>
        <w:t>上审议了特别报告员的初</w:t>
      </w:r>
      <w:r w:rsidRPr="00BF42B7">
        <w:rPr>
          <w:rFonts w:hint="eastAsia"/>
          <w:lang w:val="zh-CN"/>
        </w:rPr>
        <w:t>步</w:t>
      </w:r>
      <w:r w:rsidRPr="00BF42B7">
        <w:rPr>
          <w:lang w:val="zh-CN"/>
        </w:rPr>
        <w:t>报告</w:t>
      </w:r>
      <w:r w:rsidRPr="00BF42B7">
        <w:rPr>
          <w:lang w:val="zh-CN"/>
        </w:rPr>
        <w:t>(</w:t>
      </w:r>
      <w:hyperlink r:id="rId94" w:history="1">
        <w:r w:rsidRPr="00BF42B7">
          <w:rPr>
            <w:color w:val="0000FF"/>
          </w:rPr>
          <w:t>A/CN.4/674</w:t>
        </w:r>
        <w:r w:rsidRPr="00BF42B7">
          <w:rPr>
            <w:color w:val="0000FF"/>
          </w:rPr>
          <w:t>和</w:t>
        </w:r>
        <w:r w:rsidRPr="00BF42B7">
          <w:rPr>
            <w:color w:val="0000FF"/>
          </w:rPr>
          <w:t>Corr.1</w:t>
        </w:r>
      </w:hyperlink>
      <w:r w:rsidRPr="00BF42B7">
        <w:rPr>
          <w:lang w:val="zh-CN"/>
        </w:rPr>
        <w:t>)</w:t>
      </w:r>
      <w:r w:rsidRPr="00BF42B7">
        <w:rPr>
          <w:color w:val="0000FF"/>
          <w:szCs w:val="24"/>
          <w:vertAlign w:val="superscript"/>
          <w:lang w:val="zh-CN"/>
        </w:rPr>
        <w:footnoteReference w:id="1304"/>
      </w:r>
      <w:r w:rsidRPr="00BF42B7">
        <w:rPr>
          <w:lang w:val="zh-CN"/>
        </w:rPr>
        <w:t>。委员会在第六十七届会议</w:t>
      </w:r>
      <w:r w:rsidRPr="00BF42B7">
        <w:rPr>
          <w:lang w:val="zh-CN"/>
        </w:rPr>
        <w:t>(2015</w:t>
      </w:r>
      <w:r w:rsidRPr="00BF42B7">
        <w:rPr>
          <w:lang w:val="zh-CN"/>
        </w:rPr>
        <w:t>年</w:t>
      </w:r>
      <w:r w:rsidRPr="00BF42B7">
        <w:rPr>
          <w:lang w:val="zh-CN"/>
        </w:rPr>
        <w:t>)</w:t>
      </w:r>
      <w:r w:rsidRPr="00BF42B7">
        <w:rPr>
          <w:lang w:val="zh-CN"/>
        </w:rPr>
        <w:t>上审议了特别报告员的第二次报告</w:t>
      </w:r>
      <w:r w:rsidRPr="00BF42B7">
        <w:rPr>
          <w:lang w:val="zh-CN"/>
        </w:rPr>
        <w:t>(</w:t>
      </w:r>
      <w:hyperlink r:id="rId95" w:history="1">
        <w:r w:rsidRPr="00BF42B7">
          <w:rPr>
            <w:color w:val="0000FF"/>
          </w:rPr>
          <w:t>A</w:t>
        </w:r>
        <w:r w:rsidRPr="00BF42B7">
          <w:rPr>
            <w:color w:val="0000FF"/>
            <w:lang w:val="zh-CN"/>
          </w:rPr>
          <w:t>/C</w:t>
        </w:r>
        <w:r w:rsidRPr="00BF42B7">
          <w:rPr>
            <w:color w:val="0000FF"/>
          </w:rPr>
          <w:t>N.4/685</w:t>
        </w:r>
      </w:hyperlink>
      <w:r w:rsidRPr="00BF42B7">
        <w:rPr>
          <w:lang w:val="zh-CN"/>
        </w:rPr>
        <w:t>)</w:t>
      </w:r>
      <w:r w:rsidRPr="00BF42B7">
        <w:rPr>
          <w:color w:val="0000FF"/>
          <w:szCs w:val="24"/>
          <w:vertAlign w:val="superscript"/>
          <w:lang w:val="zh-CN"/>
        </w:rPr>
        <w:footnoteReference w:id="1305"/>
      </w:r>
      <w:r w:rsidRPr="00BF42B7">
        <w:rPr>
          <w:lang w:val="zh-CN"/>
        </w:rPr>
        <w:t>，并注意到起草委员会暂时通过的导言部分规定草案和原则草案</w:t>
      </w:r>
      <w:r w:rsidRPr="00BF42B7">
        <w:rPr>
          <w:lang w:val="zh-CN"/>
        </w:rPr>
        <w:t>1-(x)</w:t>
      </w:r>
      <w:r w:rsidRPr="00BF42B7">
        <w:rPr>
          <w:lang w:val="zh-CN"/>
        </w:rPr>
        <w:t>至</w:t>
      </w:r>
      <w:r w:rsidRPr="00BF42B7">
        <w:rPr>
          <w:lang w:val="zh-CN"/>
        </w:rPr>
        <w:t>2-5(</w:t>
      </w:r>
      <w:hyperlink r:id="rId96" w:history="1">
        <w:r w:rsidRPr="00BF42B7">
          <w:rPr>
            <w:color w:val="0000FF"/>
          </w:rPr>
          <w:t>A/CN.4/L.870</w:t>
        </w:r>
      </w:hyperlink>
      <w:r w:rsidRPr="00BF42B7">
        <w:rPr>
          <w:lang w:val="zh-CN"/>
        </w:rPr>
        <w:t>)</w:t>
      </w:r>
      <w:r w:rsidRPr="00BF42B7">
        <w:rPr>
          <w:lang w:val="zh-CN"/>
        </w:rPr>
        <w:t>。</w:t>
      </w:r>
    </w:p>
    <w:p w:rsidR="006735D4" w:rsidRPr="00BF42B7" w:rsidRDefault="006735D4" w:rsidP="006735D4">
      <w:pPr>
        <w:pStyle w:val="H1GC"/>
      </w:pPr>
      <w:r w:rsidRPr="00BF42B7">
        <w:rPr>
          <w:rFonts w:hint="eastAsia"/>
        </w:rPr>
        <w:tab/>
      </w:r>
      <w:r w:rsidRPr="00BF42B7">
        <w:t>B.</w:t>
      </w:r>
      <w:r w:rsidRPr="00BF42B7">
        <w:rPr>
          <w:rFonts w:hint="eastAsia"/>
        </w:rPr>
        <w:tab/>
      </w:r>
      <w:r w:rsidRPr="00BF42B7">
        <w:rPr>
          <w:lang w:val="zh-CN"/>
        </w:rPr>
        <w:t>本届会议审议此专题的情况</w:t>
      </w:r>
    </w:p>
    <w:p w:rsidR="006735D4" w:rsidRPr="00BF42B7" w:rsidRDefault="006735D4" w:rsidP="006735D4">
      <w:pPr>
        <w:pStyle w:val="SingleTxtGC"/>
        <w:rPr>
          <w:szCs w:val="24"/>
        </w:rPr>
      </w:pPr>
      <w:r w:rsidRPr="00BF42B7">
        <w:rPr>
          <w:rFonts w:hint="eastAsia"/>
          <w:szCs w:val="24"/>
        </w:rPr>
        <w:t>141</w:t>
      </w:r>
      <w:r w:rsidRPr="00BF42B7">
        <w:rPr>
          <w:szCs w:val="24"/>
        </w:rPr>
        <w:t xml:space="preserve">.  </w:t>
      </w:r>
      <w:r w:rsidRPr="00BF42B7">
        <w:rPr>
          <w:lang w:val="zh-CN"/>
        </w:rPr>
        <w:t>委员会本届会议收到了特别报告员的第三次报告</w:t>
      </w:r>
      <w:r w:rsidRPr="00BF42B7">
        <w:rPr>
          <w:lang w:val="zh-CN"/>
        </w:rPr>
        <w:t>(</w:t>
      </w:r>
      <w:hyperlink r:id="rId97" w:history="1">
        <w:r w:rsidRPr="00BF42B7">
          <w:rPr>
            <w:color w:val="0000FF"/>
          </w:rPr>
          <w:t>A/CN.4/700</w:t>
        </w:r>
      </w:hyperlink>
      <w:r w:rsidRPr="00BF42B7">
        <w:rPr>
          <w:lang w:val="zh-CN"/>
        </w:rPr>
        <w:t>)</w:t>
      </w:r>
      <w:r w:rsidRPr="00BF42B7">
        <w:rPr>
          <w:lang w:val="zh-CN"/>
        </w:rPr>
        <w:t>，在</w:t>
      </w:r>
      <w:r w:rsidRPr="00BF42B7">
        <w:rPr>
          <w:lang w:val="zh-CN"/>
        </w:rPr>
        <w:t>2016</w:t>
      </w:r>
      <w:r w:rsidRPr="00BF42B7">
        <w:rPr>
          <w:lang w:val="zh-CN"/>
        </w:rPr>
        <w:t>年</w:t>
      </w:r>
      <w:r w:rsidRPr="00BF42B7">
        <w:rPr>
          <w:lang w:val="zh-CN"/>
        </w:rPr>
        <w:t>7</w:t>
      </w:r>
      <w:r w:rsidRPr="00BF42B7">
        <w:rPr>
          <w:lang w:val="zh-CN"/>
        </w:rPr>
        <w:t>月</w:t>
      </w:r>
      <w:r w:rsidRPr="00BF42B7">
        <w:rPr>
          <w:lang w:val="zh-CN"/>
        </w:rPr>
        <w:t>12</w:t>
      </w:r>
      <w:r w:rsidRPr="00BF42B7">
        <w:rPr>
          <w:lang w:val="zh-CN"/>
        </w:rPr>
        <w:t>日至</w:t>
      </w:r>
      <w:r w:rsidRPr="00BF42B7">
        <w:rPr>
          <w:lang w:val="zh-CN"/>
        </w:rPr>
        <w:t>15</w:t>
      </w:r>
      <w:r w:rsidRPr="00BF42B7">
        <w:rPr>
          <w:lang w:val="zh-CN"/>
        </w:rPr>
        <w:t>日和</w:t>
      </w:r>
      <w:r w:rsidRPr="00BF42B7">
        <w:rPr>
          <w:lang w:val="zh-CN"/>
        </w:rPr>
        <w:t>7</w:t>
      </w:r>
      <w:r w:rsidRPr="00BF42B7">
        <w:rPr>
          <w:lang w:val="zh-CN"/>
        </w:rPr>
        <w:t>月</w:t>
      </w:r>
      <w:r w:rsidRPr="00BF42B7">
        <w:rPr>
          <w:lang w:val="zh-CN"/>
        </w:rPr>
        <w:t>20</w:t>
      </w:r>
      <w:r w:rsidRPr="00BF42B7">
        <w:rPr>
          <w:lang w:val="zh-CN"/>
        </w:rPr>
        <w:t>日的第</w:t>
      </w:r>
      <w:r w:rsidRPr="00BF42B7">
        <w:rPr>
          <w:lang w:val="zh-CN"/>
        </w:rPr>
        <w:t>3318</w:t>
      </w:r>
      <w:r w:rsidRPr="00BF42B7">
        <w:rPr>
          <w:lang w:val="zh-CN"/>
        </w:rPr>
        <w:t>次至第</w:t>
      </w:r>
      <w:r w:rsidRPr="00BF42B7">
        <w:rPr>
          <w:lang w:val="zh-CN"/>
        </w:rPr>
        <w:t>3321</w:t>
      </w:r>
      <w:r w:rsidRPr="00BF42B7">
        <w:rPr>
          <w:lang w:val="zh-CN"/>
        </w:rPr>
        <w:t>次和第</w:t>
      </w:r>
      <w:r w:rsidRPr="00BF42B7">
        <w:rPr>
          <w:lang w:val="zh-CN"/>
        </w:rPr>
        <w:t>3324</w:t>
      </w:r>
      <w:r w:rsidRPr="00BF42B7">
        <w:rPr>
          <w:lang w:val="zh-CN"/>
        </w:rPr>
        <w:t>次会议上审议了这份报告。</w:t>
      </w:r>
    </w:p>
    <w:p w:rsidR="006735D4" w:rsidRPr="00BF42B7" w:rsidRDefault="006735D4" w:rsidP="006735D4">
      <w:pPr>
        <w:pStyle w:val="SingleTxtGC"/>
        <w:rPr>
          <w:szCs w:val="24"/>
        </w:rPr>
      </w:pPr>
      <w:r w:rsidRPr="00BF42B7">
        <w:rPr>
          <w:rFonts w:hint="eastAsia"/>
          <w:szCs w:val="24"/>
        </w:rPr>
        <w:t>142</w:t>
      </w:r>
      <w:r w:rsidRPr="00BF42B7">
        <w:rPr>
          <w:szCs w:val="24"/>
        </w:rPr>
        <w:t xml:space="preserve">.  </w:t>
      </w:r>
      <w:r w:rsidRPr="00BF42B7">
        <w:rPr>
          <w:lang w:val="zh-CN"/>
        </w:rPr>
        <w:t>特别报告员在第三次报告中重点确定与冲突后局势特别相关的规则，同时还论述了一些与冲突前阶段应采取的预防措施有关的问题，以及土著人民的特殊情况</w:t>
      </w:r>
      <w:r w:rsidRPr="00BF42B7">
        <w:rPr>
          <w:lang w:val="zh-CN"/>
        </w:rPr>
        <w:t>(</w:t>
      </w:r>
      <w:r w:rsidRPr="00BF42B7">
        <w:rPr>
          <w:lang w:val="zh-CN"/>
        </w:rPr>
        <w:t>第二</w:t>
      </w:r>
      <w:r w:rsidRPr="00BF42B7">
        <w:rPr>
          <w:rFonts w:hint="eastAsia"/>
          <w:lang w:val="zh-CN"/>
        </w:rPr>
        <w:t>章</w:t>
      </w:r>
      <w:r w:rsidRPr="00BF42B7">
        <w:rPr>
          <w:lang w:val="zh-CN"/>
        </w:rPr>
        <w:t>)</w:t>
      </w:r>
      <w:r w:rsidRPr="00BF42B7">
        <w:rPr>
          <w:lang w:val="zh-CN"/>
        </w:rPr>
        <w:t>。特别报告员提出三项关于预防措施的原则草案</w:t>
      </w:r>
      <w:r w:rsidRPr="00BF42B7">
        <w:rPr>
          <w:color w:val="0000FF"/>
          <w:szCs w:val="24"/>
          <w:vertAlign w:val="superscript"/>
          <w:lang w:val="zh-CN"/>
        </w:rPr>
        <w:footnoteReference w:id="1306"/>
      </w:r>
      <w:r w:rsidRPr="00BF42B7">
        <w:rPr>
          <w:lang w:val="zh-CN"/>
        </w:rPr>
        <w:t>，五项关于冲突后阶段的原则草案</w:t>
      </w:r>
      <w:r w:rsidRPr="00BF42B7">
        <w:rPr>
          <w:color w:val="0000FF"/>
          <w:szCs w:val="24"/>
          <w:vertAlign w:val="superscript"/>
          <w:lang w:val="zh-CN"/>
        </w:rPr>
        <w:footnoteReference w:id="1307"/>
      </w:r>
      <w:r w:rsidRPr="00BF42B7">
        <w:rPr>
          <w:lang w:val="zh-CN"/>
        </w:rPr>
        <w:t>，和一项关于土著人民权利的原则草案，这</w:t>
      </w:r>
      <w:r w:rsidRPr="00BF42B7">
        <w:rPr>
          <w:rFonts w:hint="eastAsia"/>
          <w:lang w:val="zh-CN"/>
        </w:rPr>
        <w:t>条</w:t>
      </w:r>
      <w:r w:rsidRPr="00BF42B7">
        <w:rPr>
          <w:lang w:val="zh-CN"/>
        </w:rPr>
        <w:t>草案被列入原则草案的第四部分。</w:t>
      </w:r>
      <w:r w:rsidRPr="00BF42B7">
        <w:rPr>
          <w:color w:val="0000FF"/>
          <w:szCs w:val="24"/>
          <w:vertAlign w:val="superscript"/>
          <w:lang w:val="zh-CN"/>
        </w:rPr>
        <w:footnoteReference w:id="1308"/>
      </w:r>
      <w:r w:rsidRPr="00BF42B7">
        <w:rPr>
          <w:rFonts w:hint="eastAsia"/>
          <w:lang w:val="zh-CN"/>
        </w:rPr>
        <w:t xml:space="preserve"> </w:t>
      </w:r>
      <w:r w:rsidRPr="00BF42B7">
        <w:rPr>
          <w:lang w:val="zh-CN"/>
        </w:rPr>
        <w:t>特别报告员在报告中还简要分析了迄今为止开展的工作，并就</w:t>
      </w:r>
      <w:r w:rsidRPr="00BF42B7">
        <w:rPr>
          <w:rFonts w:hint="eastAsia"/>
          <w:lang w:val="zh-CN"/>
        </w:rPr>
        <w:t>本</w:t>
      </w:r>
      <w:r w:rsidRPr="00BF42B7">
        <w:rPr>
          <w:lang w:val="zh-CN"/>
        </w:rPr>
        <w:t>专题今后的工作方案提出了一些建议</w:t>
      </w:r>
      <w:r w:rsidRPr="00BF42B7">
        <w:rPr>
          <w:lang w:val="zh-CN"/>
        </w:rPr>
        <w:t>(</w:t>
      </w:r>
      <w:r w:rsidRPr="00BF42B7">
        <w:rPr>
          <w:lang w:val="zh-CN"/>
        </w:rPr>
        <w:t>第三</w:t>
      </w:r>
      <w:r w:rsidRPr="00BF42B7">
        <w:rPr>
          <w:rFonts w:hint="eastAsia"/>
          <w:lang w:val="zh-CN"/>
        </w:rPr>
        <w:t>章</w:t>
      </w:r>
      <w:r w:rsidRPr="00BF42B7">
        <w:rPr>
          <w:lang w:val="zh-CN"/>
        </w:rPr>
        <w:t>)</w:t>
      </w:r>
      <w:r w:rsidRPr="00BF42B7">
        <w:rPr>
          <w:lang w:val="zh-CN"/>
        </w:rPr>
        <w:t>。</w:t>
      </w:r>
    </w:p>
    <w:p w:rsidR="006735D4" w:rsidRPr="00BF42B7" w:rsidRDefault="006735D4" w:rsidP="006735D4">
      <w:pPr>
        <w:pStyle w:val="SingleTxtGC"/>
        <w:rPr>
          <w:szCs w:val="24"/>
        </w:rPr>
      </w:pPr>
      <w:r w:rsidRPr="00BF42B7">
        <w:rPr>
          <w:rFonts w:hint="eastAsia"/>
          <w:szCs w:val="24"/>
        </w:rPr>
        <w:t>143</w:t>
      </w:r>
      <w:r w:rsidRPr="00BF42B7">
        <w:rPr>
          <w:szCs w:val="24"/>
        </w:rPr>
        <w:t xml:space="preserve">.  </w:t>
      </w:r>
      <w:r w:rsidRPr="00BF42B7">
        <w:rPr>
          <w:lang w:val="zh-CN"/>
        </w:rPr>
        <w:t>在</w:t>
      </w:r>
      <w:r w:rsidRPr="00BF42B7">
        <w:rPr>
          <w:lang w:val="zh-CN"/>
        </w:rPr>
        <w:t>2016</w:t>
      </w:r>
      <w:r w:rsidRPr="00BF42B7">
        <w:rPr>
          <w:lang w:val="zh-CN"/>
        </w:rPr>
        <w:t>年</w:t>
      </w:r>
      <w:r w:rsidRPr="00BF42B7">
        <w:rPr>
          <w:lang w:val="zh-CN"/>
        </w:rPr>
        <w:t>7</w:t>
      </w:r>
      <w:r w:rsidRPr="00BF42B7">
        <w:rPr>
          <w:lang w:val="zh-CN"/>
        </w:rPr>
        <w:t>月</w:t>
      </w:r>
      <w:r w:rsidRPr="00BF42B7">
        <w:rPr>
          <w:lang w:val="zh-CN"/>
        </w:rPr>
        <w:t>20</w:t>
      </w:r>
      <w:r w:rsidRPr="00BF42B7">
        <w:rPr>
          <w:lang w:val="zh-CN"/>
        </w:rPr>
        <w:t>日第</w:t>
      </w:r>
      <w:r w:rsidRPr="00BF42B7">
        <w:rPr>
          <w:lang w:val="zh-CN"/>
        </w:rPr>
        <w:t>3324</w:t>
      </w:r>
      <w:r w:rsidRPr="00BF42B7">
        <w:rPr>
          <w:lang w:val="zh-CN"/>
        </w:rPr>
        <w:t>次会议上，委员会将特别报告员第三次报告所载原则草案</w:t>
      </w:r>
      <w:r w:rsidRPr="00BF42B7">
        <w:rPr>
          <w:lang w:val="zh-CN"/>
        </w:rPr>
        <w:t>1-1</w:t>
      </w:r>
      <w:r w:rsidRPr="00BF42B7">
        <w:rPr>
          <w:lang w:val="zh-CN"/>
        </w:rPr>
        <w:t>、</w:t>
      </w:r>
      <w:r w:rsidRPr="00BF42B7">
        <w:rPr>
          <w:lang w:val="zh-CN"/>
        </w:rPr>
        <w:t>1-3</w:t>
      </w:r>
      <w:r w:rsidRPr="00BF42B7">
        <w:rPr>
          <w:lang w:val="zh-CN"/>
        </w:rPr>
        <w:t>、</w:t>
      </w:r>
      <w:r w:rsidRPr="00BF42B7">
        <w:rPr>
          <w:lang w:val="zh-CN"/>
        </w:rPr>
        <w:t>1-4</w:t>
      </w:r>
      <w:r w:rsidRPr="00BF42B7">
        <w:rPr>
          <w:lang w:val="zh-CN"/>
        </w:rPr>
        <w:t>、</w:t>
      </w:r>
      <w:r w:rsidRPr="00BF42B7">
        <w:rPr>
          <w:lang w:val="zh-CN"/>
        </w:rPr>
        <w:t>3-1</w:t>
      </w:r>
      <w:r w:rsidRPr="00BF42B7">
        <w:rPr>
          <w:lang w:val="zh-CN"/>
        </w:rPr>
        <w:t>至</w:t>
      </w:r>
      <w:r w:rsidRPr="00BF42B7">
        <w:rPr>
          <w:lang w:val="zh-CN"/>
        </w:rPr>
        <w:t>3-5</w:t>
      </w:r>
      <w:r w:rsidRPr="00BF42B7">
        <w:rPr>
          <w:lang w:val="zh-CN"/>
        </w:rPr>
        <w:t>和</w:t>
      </w:r>
      <w:r w:rsidRPr="00BF42B7">
        <w:rPr>
          <w:lang w:val="zh-CN"/>
        </w:rPr>
        <w:t>4-1</w:t>
      </w:r>
      <w:r w:rsidRPr="00BF42B7">
        <w:rPr>
          <w:lang w:val="zh-CN"/>
        </w:rPr>
        <w:t>转交起草委员会。</w:t>
      </w:r>
    </w:p>
    <w:p w:rsidR="006735D4" w:rsidRPr="00BF42B7" w:rsidRDefault="006735D4" w:rsidP="006735D4">
      <w:pPr>
        <w:pStyle w:val="SingleTxtGC"/>
        <w:rPr>
          <w:szCs w:val="24"/>
        </w:rPr>
      </w:pPr>
      <w:r w:rsidRPr="00BF42B7">
        <w:rPr>
          <w:rFonts w:hint="eastAsia"/>
          <w:szCs w:val="24"/>
        </w:rPr>
        <w:t>144</w:t>
      </w:r>
      <w:r w:rsidRPr="00BF42B7">
        <w:rPr>
          <w:szCs w:val="24"/>
        </w:rPr>
        <w:t xml:space="preserve">.  </w:t>
      </w:r>
      <w:r w:rsidRPr="00BF42B7">
        <w:rPr>
          <w:lang w:val="zh-CN"/>
        </w:rPr>
        <w:t>在同一次会议上，委员会还决定将起草委员会报告</w:t>
      </w:r>
      <w:r w:rsidRPr="00BF42B7">
        <w:rPr>
          <w:lang w:val="zh-CN"/>
        </w:rPr>
        <w:t>(</w:t>
      </w:r>
      <w:hyperlink r:id="rId98" w:history="1">
        <w:r w:rsidRPr="00BF42B7">
          <w:rPr>
            <w:color w:val="0000FF"/>
            <w:lang w:val="zh-CN"/>
          </w:rPr>
          <w:t>A/CN.4/L.870</w:t>
        </w:r>
      </w:hyperlink>
      <w:r w:rsidRPr="00BF42B7">
        <w:rPr>
          <w:lang w:val="zh-CN"/>
        </w:rPr>
        <w:t>)</w:t>
      </w:r>
      <w:r w:rsidRPr="00BF42B7">
        <w:rPr>
          <w:lang w:val="zh-CN"/>
        </w:rPr>
        <w:t>所载、委员会在上</w:t>
      </w:r>
      <w:r w:rsidRPr="00BF42B7">
        <w:rPr>
          <w:rFonts w:hint="eastAsia"/>
          <w:lang w:val="zh-CN"/>
        </w:rPr>
        <w:t>一</w:t>
      </w:r>
      <w:r w:rsidRPr="00BF42B7">
        <w:rPr>
          <w:lang w:val="zh-CN"/>
        </w:rPr>
        <w:t>次届会注意到的</w:t>
      </w:r>
      <w:r w:rsidRPr="00BF42B7">
        <w:rPr>
          <w:rFonts w:hint="eastAsia"/>
          <w:lang w:val="zh-CN"/>
        </w:rPr>
        <w:t>导言部分规定草案</w:t>
      </w:r>
      <w:r w:rsidRPr="00BF42B7">
        <w:rPr>
          <w:lang w:val="zh-CN"/>
        </w:rPr>
        <w:t>和原则草案发回起草委员会，以</w:t>
      </w:r>
      <w:r w:rsidRPr="00BF42B7">
        <w:rPr>
          <w:rFonts w:hint="eastAsia"/>
          <w:lang w:val="zh-CN"/>
        </w:rPr>
        <w:t>解决案文中一些涉及括号的用法及使用术语不一致的技术问题。</w:t>
      </w:r>
    </w:p>
    <w:p w:rsidR="006735D4" w:rsidRPr="00BF42B7" w:rsidRDefault="006735D4" w:rsidP="006735D4">
      <w:pPr>
        <w:pStyle w:val="SingleTxtGC"/>
        <w:rPr>
          <w:szCs w:val="24"/>
        </w:rPr>
      </w:pPr>
      <w:r w:rsidRPr="00BF42B7">
        <w:rPr>
          <w:rFonts w:hint="eastAsia"/>
          <w:szCs w:val="24"/>
        </w:rPr>
        <w:t>145</w:t>
      </w:r>
      <w:r w:rsidRPr="00BF42B7">
        <w:rPr>
          <w:szCs w:val="24"/>
        </w:rPr>
        <w:t xml:space="preserve">.  </w:t>
      </w:r>
      <w:r w:rsidRPr="00BF42B7">
        <w:rPr>
          <w:lang w:val="zh-CN"/>
        </w:rPr>
        <w:t>在</w:t>
      </w:r>
      <w:r w:rsidRPr="00BF42B7">
        <w:rPr>
          <w:rFonts w:hint="eastAsia"/>
          <w:lang w:val="zh-CN"/>
        </w:rPr>
        <w:t>分别于</w:t>
      </w:r>
      <w:r w:rsidRPr="00BF42B7">
        <w:rPr>
          <w:lang w:val="zh-CN"/>
        </w:rPr>
        <w:t>2016</w:t>
      </w:r>
      <w:r w:rsidRPr="00BF42B7">
        <w:rPr>
          <w:lang w:val="zh-CN"/>
        </w:rPr>
        <w:t>年</w:t>
      </w:r>
      <w:r w:rsidRPr="00BF42B7">
        <w:rPr>
          <w:rFonts w:hint="eastAsia"/>
          <w:lang w:val="zh-CN"/>
        </w:rPr>
        <w:t>8</w:t>
      </w:r>
      <w:r w:rsidRPr="00BF42B7">
        <w:rPr>
          <w:lang w:val="zh-CN"/>
        </w:rPr>
        <w:t>月</w:t>
      </w:r>
      <w:r w:rsidRPr="00BF42B7">
        <w:rPr>
          <w:rFonts w:hint="eastAsia"/>
          <w:lang w:val="zh-CN"/>
        </w:rPr>
        <w:t>5</w:t>
      </w:r>
      <w:r w:rsidRPr="00BF42B7">
        <w:rPr>
          <w:rFonts w:hint="eastAsia"/>
          <w:lang w:val="zh-CN"/>
        </w:rPr>
        <w:t>和</w:t>
      </w:r>
      <w:r w:rsidRPr="00BF42B7">
        <w:rPr>
          <w:rFonts w:hint="eastAsia"/>
          <w:lang w:val="zh-CN"/>
        </w:rPr>
        <w:t>9</w:t>
      </w:r>
      <w:r w:rsidRPr="00BF42B7">
        <w:rPr>
          <w:lang w:val="zh-CN"/>
        </w:rPr>
        <w:t>日</w:t>
      </w:r>
      <w:r w:rsidRPr="00BF42B7">
        <w:rPr>
          <w:rFonts w:hint="eastAsia"/>
          <w:lang w:val="zh-CN"/>
        </w:rPr>
        <w:t>举行的</w:t>
      </w:r>
      <w:r w:rsidRPr="00BF42B7">
        <w:rPr>
          <w:lang w:val="zh-CN"/>
        </w:rPr>
        <w:t>第</w:t>
      </w:r>
      <w:r w:rsidRPr="00BF42B7">
        <w:rPr>
          <w:rFonts w:hint="eastAsia"/>
          <w:lang w:val="zh-CN"/>
        </w:rPr>
        <w:t>3337</w:t>
      </w:r>
      <w:r w:rsidRPr="00BF42B7">
        <w:rPr>
          <w:rFonts w:hint="eastAsia"/>
          <w:lang w:val="zh-CN"/>
        </w:rPr>
        <w:t>次和第</w:t>
      </w:r>
      <w:r w:rsidRPr="00BF42B7">
        <w:rPr>
          <w:rFonts w:hint="eastAsia"/>
          <w:lang w:val="zh-CN"/>
        </w:rPr>
        <w:t>3342</w:t>
      </w:r>
      <w:r w:rsidRPr="00BF42B7">
        <w:rPr>
          <w:lang w:val="zh-CN"/>
        </w:rPr>
        <w:t>次会议上，起草委员会主席介绍了</w:t>
      </w:r>
      <w:r w:rsidRPr="00BF42B7">
        <w:rPr>
          <w:color w:val="0000FF"/>
          <w:vertAlign w:val="superscript"/>
          <w:lang w:val="zh-CN"/>
        </w:rPr>
        <w:footnoteReference w:id="1309"/>
      </w:r>
      <w:r w:rsidRPr="00BF42B7">
        <w:rPr>
          <w:rFonts w:hint="eastAsia"/>
          <w:lang w:val="zh-CN"/>
        </w:rPr>
        <w:t xml:space="preserve"> </w:t>
      </w:r>
      <w:r w:rsidRPr="00BF42B7">
        <w:rPr>
          <w:lang w:val="zh-CN"/>
        </w:rPr>
        <w:t>起草委员会关于</w:t>
      </w:r>
      <w:r w:rsidRPr="00BF42B7">
        <w:rPr>
          <w:rFonts w:hint="eastAsia"/>
          <w:lang w:val="zh-CN"/>
        </w:rPr>
        <w:t>“</w:t>
      </w:r>
      <w:r w:rsidRPr="00BF42B7">
        <w:rPr>
          <w:lang w:val="zh-CN"/>
        </w:rPr>
        <w:t>与武装冲突有关的环境保护</w:t>
      </w:r>
      <w:r w:rsidRPr="00BF42B7">
        <w:rPr>
          <w:rFonts w:hint="eastAsia"/>
          <w:lang w:val="zh-CN"/>
        </w:rPr>
        <w:t>”</w:t>
      </w:r>
      <w:r w:rsidRPr="00BF42B7">
        <w:rPr>
          <w:lang w:val="zh-CN"/>
        </w:rPr>
        <w:t>的两份报告。第一份报告载有委员会在第六十七届会议</w:t>
      </w:r>
      <w:r w:rsidRPr="00BF42B7">
        <w:rPr>
          <w:lang w:val="zh-CN"/>
        </w:rPr>
        <w:t>(2015</w:t>
      </w:r>
      <w:r w:rsidRPr="00BF42B7">
        <w:rPr>
          <w:lang w:val="zh-CN"/>
        </w:rPr>
        <w:t>年</w:t>
      </w:r>
      <w:r w:rsidRPr="00BF42B7">
        <w:rPr>
          <w:lang w:val="zh-CN"/>
        </w:rPr>
        <w:t>)</w:t>
      </w:r>
      <w:r w:rsidRPr="00BF42B7">
        <w:rPr>
          <w:lang w:val="zh-CN"/>
        </w:rPr>
        <w:t>期间注意到的</w:t>
      </w:r>
      <w:r w:rsidRPr="00BF42B7">
        <w:rPr>
          <w:rFonts w:hint="eastAsia"/>
          <w:lang w:val="zh-CN"/>
        </w:rPr>
        <w:t>导言部分规定</w:t>
      </w:r>
      <w:r w:rsidRPr="00BF42B7">
        <w:rPr>
          <w:lang w:val="zh-CN"/>
        </w:rPr>
        <w:t>草案和原则草案，起草委员会已经因技术原因对草案重新编号并做出修订</w:t>
      </w:r>
      <w:r w:rsidRPr="00BF42B7">
        <w:rPr>
          <w:lang w:val="zh-CN"/>
        </w:rPr>
        <w:t>(</w:t>
      </w:r>
      <w:hyperlink r:id="rId99" w:history="1">
        <w:r w:rsidRPr="007F0135">
          <w:rPr>
            <w:rStyle w:val="af"/>
            <w:lang w:val="zh-CN"/>
          </w:rPr>
          <w:t>A/CN.4/L.870/Rev.1</w:t>
        </w:r>
      </w:hyperlink>
      <w:r w:rsidRPr="00BF42B7">
        <w:rPr>
          <w:lang w:val="zh-CN"/>
        </w:rPr>
        <w:t>)</w:t>
      </w:r>
      <w:r w:rsidRPr="00BF42B7">
        <w:rPr>
          <w:lang w:val="zh-CN"/>
        </w:rPr>
        <w:t>。委员会暂时通过了原则草案</w:t>
      </w:r>
      <w:r w:rsidRPr="00BF42B7">
        <w:rPr>
          <w:rFonts w:hint="eastAsia"/>
          <w:lang w:val="zh-CN"/>
        </w:rPr>
        <w:t>1</w:t>
      </w:r>
      <w:r w:rsidRPr="00BF42B7">
        <w:rPr>
          <w:rFonts w:hint="eastAsia"/>
          <w:lang w:val="zh-CN"/>
        </w:rPr>
        <w:t>、</w:t>
      </w:r>
      <w:r w:rsidRPr="00BF42B7">
        <w:rPr>
          <w:rFonts w:hint="eastAsia"/>
          <w:lang w:val="zh-CN"/>
        </w:rPr>
        <w:t>2</w:t>
      </w:r>
      <w:r w:rsidRPr="00BF42B7">
        <w:rPr>
          <w:rFonts w:hint="eastAsia"/>
          <w:lang w:val="zh-CN"/>
        </w:rPr>
        <w:t>、</w:t>
      </w:r>
      <w:r w:rsidRPr="00BF42B7">
        <w:rPr>
          <w:rFonts w:hint="eastAsia"/>
          <w:lang w:val="zh-CN"/>
        </w:rPr>
        <w:t>5[1-x]</w:t>
      </w:r>
      <w:r w:rsidRPr="00BF42B7">
        <w:rPr>
          <w:rFonts w:hint="eastAsia"/>
          <w:lang w:val="zh-CN"/>
        </w:rPr>
        <w:t>、</w:t>
      </w:r>
      <w:r w:rsidRPr="00BF42B7">
        <w:rPr>
          <w:rFonts w:hint="eastAsia"/>
          <w:lang w:val="zh-CN"/>
        </w:rPr>
        <w:t>9[2-1]</w:t>
      </w:r>
      <w:r w:rsidRPr="00BF42B7">
        <w:rPr>
          <w:rFonts w:hint="eastAsia"/>
          <w:lang w:val="zh-CN"/>
        </w:rPr>
        <w:t>、</w:t>
      </w:r>
      <w:r w:rsidRPr="00BF42B7">
        <w:rPr>
          <w:rFonts w:hint="eastAsia"/>
          <w:lang w:val="zh-CN"/>
        </w:rPr>
        <w:t>10[2-2]</w:t>
      </w:r>
      <w:r w:rsidRPr="00BF42B7">
        <w:rPr>
          <w:rFonts w:hint="eastAsia"/>
          <w:lang w:val="zh-CN"/>
        </w:rPr>
        <w:t>、</w:t>
      </w:r>
      <w:r w:rsidRPr="00BF42B7">
        <w:rPr>
          <w:rFonts w:hint="eastAsia"/>
          <w:lang w:val="zh-CN"/>
        </w:rPr>
        <w:t>11[2-3]</w:t>
      </w:r>
      <w:r w:rsidRPr="00BF42B7">
        <w:rPr>
          <w:rFonts w:hint="eastAsia"/>
          <w:lang w:val="zh-CN"/>
        </w:rPr>
        <w:t>、</w:t>
      </w:r>
      <w:r w:rsidRPr="00BF42B7">
        <w:rPr>
          <w:rFonts w:hint="eastAsia"/>
          <w:lang w:val="zh-CN"/>
        </w:rPr>
        <w:t>12[2-4]</w:t>
      </w:r>
      <w:r w:rsidRPr="00BF42B7">
        <w:rPr>
          <w:rFonts w:hint="eastAsia"/>
          <w:lang w:val="zh-CN"/>
        </w:rPr>
        <w:t>、</w:t>
      </w:r>
      <w:r w:rsidRPr="00BF42B7">
        <w:rPr>
          <w:rFonts w:hint="eastAsia"/>
          <w:lang w:val="zh-CN"/>
        </w:rPr>
        <w:t>13[2-5]</w:t>
      </w:r>
      <w:r w:rsidRPr="00BF42B7">
        <w:rPr>
          <w:lang w:val="zh-CN"/>
        </w:rPr>
        <w:t>(</w:t>
      </w:r>
      <w:r w:rsidRPr="00BF42B7">
        <w:rPr>
          <w:lang w:val="zh-CN"/>
        </w:rPr>
        <w:t>见下文</w:t>
      </w:r>
      <w:r w:rsidRPr="00BF42B7">
        <w:rPr>
          <w:lang w:val="zh-CN"/>
        </w:rPr>
        <w:t>C.1</w:t>
      </w:r>
      <w:r w:rsidRPr="00BF42B7">
        <w:rPr>
          <w:lang w:val="zh-CN"/>
        </w:rPr>
        <w:t>节</w:t>
      </w:r>
      <w:r w:rsidRPr="00BF42B7">
        <w:rPr>
          <w:lang w:val="zh-CN"/>
        </w:rPr>
        <w:t>)</w:t>
      </w:r>
      <w:r w:rsidRPr="00BF42B7">
        <w:rPr>
          <w:lang w:val="zh-CN"/>
        </w:rPr>
        <w:t>。在</w:t>
      </w:r>
      <w:r w:rsidRPr="00BF42B7">
        <w:rPr>
          <w:lang w:val="zh-CN"/>
        </w:rPr>
        <w:t>2016</w:t>
      </w:r>
      <w:r w:rsidRPr="00BF42B7">
        <w:rPr>
          <w:lang w:val="zh-CN"/>
        </w:rPr>
        <w:t>年</w:t>
      </w:r>
      <w:r w:rsidRPr="00BF42B7">
        <w:rPr>
          <w:lang w:val="zh-CN"/>
        </w:rPr>
        <w:t>8</w:t>
      </w:r>
      <w:r w:rsidRPr="00BF42B7">
        <w:rPr>
          <w:lang w:val="zh-CN"/>
        </w:rPr>
        <w:t>月</w:t>
      </w:r>
      <w:r w:rsidRPr="00BF42B7">
        <w:rPr>
          <w:rFonts w:hint="eastAsia"/>
          <w:lang w:val="zh-CN"/>
        </w:rPr>
        <w:t>10</w:t>
      </w:r>
      <w:r w:rsidRPr="00BF42B7">
        <w:rPr>
          <w:lang w:val="zh-CN"/>
        </w:rPr>
        <w:t>日举行的第</w:t>
      </w:r>
      <w:r w:rsidRPr="00BF42B7">
        <w:rPr>
          <w:rFonts w:hint="eastAsia"/>
          <w:lang w:val="zh-CN"/>
        </w:rPr>
        <w:t>3344</w:t>
      </w:r>
      <w:r w:rsidRPr="00BF42B7">
        <w:rPr>
          <w:lang w:val="zh-CN"/>
        </w:rPr>
        <w:t>次会议上，委员会通过了本届会议暂时通过的原则草案的评注</w:t>
      </w:r>
      <w:r w:rsidRPr="00BF42B7">
        <w:rPr>
          <w:lang w:val="zh-CN"/>
        </w:rPr>
        <w:t>(</w:t>
      </w:r>
      <w:r w:rsidRPr="00BF42B7">
        <w:rPr>
          <w:lang w:val="zh-CN"/>
        </w:rPr>
        <w:t>见下文第</w:t>
      </w:r>
      <w:r w:rsidRPr="00BF42B7">
        <w:rPr>
          <w:lang w:val="zh-CN"/>
        </w:rPr>
        <w:t>C.2</w:t>
      </w:r>
      <w:r w:rsidRPr="00BF42B7">
        <w:rPr>
          <w:lang w:val="zh-CN"/>
        </w:rPr>
        <w:t>节</w:t>
      </w:r>
      <w:r w:rsidRPr="00BF42B7">
        <w:rPr>
          <w:lang w:val="zh-CN"/>
        </w:rPr>
        <w:t>)</w:t>
      </w:r>
      <w:r w:rsidRPr="00BF42B7">
        <w:rPr>
          <w:lang w:val="zh-CN"/>
        </w:rPr>
        <w:t>。</w:t>
      </w:r>
    </w:p>
    <w:p w:rsidR="006735D4" w:rsidRPr="00BF42B7" w:rsidRDefault="006735D4" w:rsidP="006735D4">
      <w:pPr>
        <w:pStyle w:val="SingleTxtGC"/>
        <w:rPr>
          <w:szCs w:val="24"/>
        </w:rPr>
      </w:pPr>
      <w:r w:rsidRPr="00BF42B7">
        <w:rPr>
          <w:rFonts w:hint="eastAsia"/>
          <w:szCs w:val="24"/>
        </w:rPr>
        <w:t>146</w:t>
      </w:r>
      <w:r w:rsidRPr="00BF42B7">
        <w:rPr>
          <w:szCs w:val="24"/>
        </w:rPr>
        <w:t xml:space="preserve">.  </w:t>
      </w:r>
      <w:r w:rsidRPr="00BF42B7">
        <w:rPr>
          <w:lang w:val="zh-CN"/>
        </w:rPr>
        <w:t>第二份报告载有起草委员会在本届会议上暂时通过的原则草案</w:t>
      </w:r>
      <w:r w:rsidRPr="00BF42B7">
        <w:rPr>
          <w:rFonts w:hint="eastAsia"/>
          <w:lang w:val="zh-CN"/>
        </w:rPr>
        <w:t>4</w:t>
      </w:r>
      <w:r w:rsidRPr="00BF42B7">
        <w:rPr>
          <w:rFonts w:hint="eastAsia"/>
          <w:lang w:val="zh-CN"/>
        </w:rPr>
        <w:t>、</w:t>
      </w:r>
      <w:r w:rsidRPr="00BF42B7">
        <w:rPr>
          <w:rFonts w:hint="eastAsia"/>
          <w:lang w:val="zh-CN"/>
        </w:rPr>
        <w:t>6</w:t>
      </w:r>
      <w:r w:rsidRPr="00BF42B7">
        <w:rPr>
          <w:rFonts w:hint="eastAsia"/>
          <w:lang w:val="zh-CN"/>
        </w:rPr>
        <w:t>、</w:t>
      </w:r>
      <w:r w:rsidRPr="00BF42B7">
        <w:rPr>
          <w:rFonts w:hint="eastAsia"/>
          <w:lang w:val="zh-CN"/>
        </w:rPr>
        <w:t>7</w:t>
      </w:r>
      <w:r w:rsidRPr="00BF42B7">
        <w:rPr>
          <w:rFonts w:hint="eastAsia"/>
          <w:lang w:val="zh-CN"/>
        </w:rPr>
        <w:t>、</w:t>
      </w:r>
      <w:r w:rsidRPr="00BF42B7">
        <w:rPr>
          <w:rFonts w:hint="eastAsia"/>
          <w:lang w:val="zh-CN"/>
        </w:rPr>
        <w:t>8</w:t>
      </w:r>
      <w:r w:rsidRPr="00BF42B7">
        <w:rPr>
          <w:rFonts w:hint="eastAsia"/>
          <w:lang w:val="zh-CN"/>
        </w:rPr>
        <w:t>、</w:t>
      </w:r>
      <w:r w:rsidRPr="00BF42B7">
        <w:rPr>
          <w:rFonts w:hint="eastAsia"/>
          <w:lang w:val="zh-CN"/>
        </w:rPr>
        <w:t>14</w:t>
      </w:r>
      <w:r w:rsidRPr="00BF42B7">
        <w:rPr>
          <w:rFonts w:hint="eastAsia"/>
          <w:lang w:val="zh-CN"/>
        </w:rPr>
        <w:t>、</w:t>
      </w:r>
      <w:r w:rsidRPr="00BF42B7">
        <w:rPr>
          <w:rFonts w:hint="eastAsia"/>
          <w:lang w:val="zh-CN"/>
        </w:rPr>
        <w:t>15</w:t>
      </w:r>
      <w:r w:rsidRPr="00BF42B7">
        <w:rPr>
          <w:rFonts w:hint="eastAsia"/>
          <w:lang w:val="zh-CN"/>
        </w:rPr>
        <w:t>、</w:t>
      </w:r>
      <w:r w:rsidRPr="00BF42B7">
        <w:rPr>
          <w:rFonts w:hint="eastAsia"/>
          <w:lang w:val="zh-CN"/>
        </w:rPr>
        <w:t>16</w:t>
      </w:r>
      <w:r w:rsidRPr="00BF42B7">
        <w:rPr>
          <w:rFonts w:hint="eastAsia"/>
          <w:lang w:val="zh-CN"/>
        </w:rPr>
        <w:t>、</w:t>
      </w:r>
      <w:r w:rsidRPr="00BF42B7">
        <w:rPr>
          <w:rFonts w:hint="eastAsia"/>
          <w:lang w:val="zh-CN"/>
        </w:rPr>
        <w:t>17</w:t>
      </w:r>
      <w:r w:rsidRPr="00BF42B7">
        <w:rPr>
          <w:rFonts w:hint="eastAsia"/>
          <w:lang w:val="zh-CN"/>
        </w:rPr>
        <w:t>和</w:t>
      </w:r>
      <w:r w:rsidRPr="00BF42B7">
        <w:rPr>
          <w:rFonts w:hint="eastAsia"/>
          <w:lang w:val="zh-CN"/>
        </w:rPr>
        <w:t>18</w:t>
      </w:r>
      <w:r w:rsidRPr="00BF42B7">
        <w:rPr>
          <w:lang w:val="zh-CN"/>
        </w:rPr>
        <w:t>(ACN.4/L</w:t>
      </w:r>
      <w:r w:rsidRPr="00BF42B7">
        <w:rPr>
          <w:rFonts w:hint="eastAsia"/>
          <w:lang w:val="zh-CN"/>
        </w:rPr>
        <w:t>.876</w:t>
      </w:r>
      <w:r w:rsidRPr="00BF42B7">
        <w:rPr>
          <w:lang w:val="zh-CN"/>
        </w:rPr>
        <w:t>)</w:t>
      </w:r>
      <w:r w:rsidRPr="00BF42B7">
        <w:rPr>
          <w:lang w:val="zh-CN"/>
        </w:rPr>
        <w:t>。委员会注意到起草委员会提交的原则草案。</w:t>
      </w:r>
      <w:r w:rsidRPr="00BF42B7">
        <w:rPr>
          <w:color w:val="0000FF"/>
          <w:vertAlign w:val="superscript"/>
        </w:rPr>
        <w:footnoteReference w:id="1310"/>
      </w:r>
      <w:r w:rsidRPr="00BF42B7">
        <w:rPr>
          <w:rFonts w:hint="eastAsia"/>
          <w:lang w:val="zh-CN"/>
        </w:rPr>
        <w:t xml:space="preserve"> </w:t>
      </w:r>
      <w:r w:rsidRPr="00BF42B7">
        <w:rPr>
          <w:lang w:val="zh-CN"/>
        </w:rPr>
        <w:t>预计将在今后的一届会议上审议这些原则草案的评注。</w:t>
      </w:r>
    </w:p>
    <w:p w:rsidR="006735D4" w:rsidRPr="00BF42B7" w:rsidRDefault="006735D4" w:rsidP="006735D4">
      <w:pPr>
        <w:pStyle w:val="H23GC"/>
      </w:pPr>
      <w:r w:rsidRPr="00BF42B7">
        <w:rPr>
          <w:lang w:val="zh-CN"/>
        </w:rPr>
        <w:tab/>
        <w:t>1.</w:t>
      </w:r>
      <w:r w:rsidRPr="00BF42B7">
        <w:rPr>
          <w:rFonts w:hint="eastAsia"/>
          <w:lang w:val="zh-CN"/>
        </w:rPr>
        <w:tab/>
      </w:r>
      <w:r w:rsidRPr="00BF42B7">
        <w:rPr>
          <w:lang w:val="zh-CN"/>
        </w:rPr>
        <w:t>特别报告员介绍第三次报告</w:t>
      </w:r>
    </w:p>
    <w:p w:rsidR="006735D4" w:rsidRPr="00BF42B7" w:rsidRDefault="006735D4" w:rsidP="006735D4">
      <w:pPr>
        <w:pStyle w:val="SingleTxtGC"/>
      </w:pPr>
      <w:r w:rsidRPr="00BF42B7">
        <w:rPr>
          <w:rFonts w:hint="eastAsia"/>
        </w:rPr>
        <w:t>147</w:t>
      </w:r>
      <w:r w:rsidRPr="00BF42B7">
        <w:t>.</w:t>
      </w:r>
      <w:r w:rsidRPr="00BF42B7">
        <w:rPr>
          <w:rFonts w:hint="eastAsia"/>
        </w:rPr>
        <w:t xml:space="preserve">  </w:t>
      </w:r>
      <w:r w:rsidRPr="00BF42B7">
        <w:rPr>
          <w:lang w:val="zh-CN"/>
        </w:rPr>
        <w:t>特别报告员指出，第三次报告的主要目的是确定</w:t>
      </w:r>
      <w:r w:rsidRPr="00BF42B7">
        <w:rPr>
          <w:rFonts w:hint="eastAsia"/>
          <w:lang w:val="zh-CN"/>
        </w:rPr>
        <w:t>在</w:t>
      </w:r>
      <w:r w:rsidRPr="00BF42B7">
        <w:rPr>
          <w:lang w:val="zh-CN"/>
        </w:rPr>
        <w:t>冲突后局势</w:t>
      </w:r>
      <w:r w:rsidRPr="00BF42B7">
        <w:rPr>
          <w:rFonts w:hint="eastAsia"/>
          <w:lang w:val="zh-CN"/>
        </w:rPr>
        <w:t>中</w:t>
      </w:r>
      <w:r w:rsidRPr="00BF42B7">
        <w:rPr>
          <w:lang w:val="zh-CN"/>
        </w:rPr>
        <w:t>特别相关的规则，并论述前两</w:t>
      </w:r>
      <w:r w:rsidRPr="00BF42B7">
        <w:rPr>
          <w:rFonts w:hint="eastAsia"/>
          <w:lang w:val="zh-CN"/>
        </w:rPr>
        <w:t>次</w:t>
      </w:r>
      <w:r w:rsidRPr="00BF42B7">
        <w:rPr>
          <w:lang w:val="zh-CN"/>
        </w:rPr>
        <w:t>报告尚未述及的一些预防措施。她回顾说，初步报告概述了适用于潜在武装冲突</w:t>
      </w:r>
      <w:r w:rsidRPr="00BF42B7">
        <w:rPr>
          <w:lang w:val="zh-CN"/>
        </w:rPr>
        <w:t>(</w:t>
      </w:r>
      <w:r w:rsidRPr="00BF42B7">
        <w:rPr>
          <w:lang w:val="zh-CN"/>
        </w:rPr>
        <w:t>冲突前阶段</w:t>
      </w:r>
      <w:r w:rsidRPr="00BF42B7">
        <w:rPr>
          <w:lang w:val="zh-CN"/>
        </w:rPr>
        <w:t>)</w:t>
      </w:r>
      <w:r w:rsidRPr="00BF42B7">
        <w:rPr>
          <w:lang w:val="zh-CN"/>
        </w:rPr>
        <w:t>的相关规则和原则，第二次报告确定了与</w:t>
      </w:r>
      <w:r w:rsidRPr="00BF42B7">
        <w:rPr>
          <w:rFonts w:hint="eastAsia"/>
          <w:lang w:val="zh-CN"/>
        </w:rPr>
        <w:t>“</w:t>
      </w:r>
      <w:r w:rsidRPr="00BF42B7">
        <w:rPr>
          <w:lang w:val="zh-CN"/>
        </w:rPr>
        <w:t>武装冲突期间的环境保护</w:t>
      </w:r>
      <w:r w:rsidRPr="00BF42B7">
        <w:rPr>
          <w:rFonts w:hint="eastAsia"/>
          <w:lang w:val="zh-CN"/>
        </w:rPr>
        <w:t>”</w:t>
      </w:r>
      <w:r w:rsidRPr="00BF42B7">
        <w:rPr>
          <w:lang w:val="zh-CN"/>
        </w:rPr>
        <w:t>直接相关的现有</w:t>
      </w:r>
      <w:r w:rsidRPr="00BF42B7">
        <w:rPr>
          <w:rFonts w:hint="eastAsia"/>
          <w:lang w:val="zh-CN"/>
        </w:rPr>
        <w:t>的武装冲突</w:t>
      </w:r>
      <w:r w:rsidRPr="00BF42B7">
        <w:rPr>
          <w:lang w:val="zh-CN"/>
        </w:rPr>
        <w:t>规则。三</w:t>
      </w:r>
      <w:r w:rsidRPr="00BF42B7">
        <w:rPr>
          <w:rFonts w:hint="eastAsia"/>
          <w:lang w:val="zh-CN"/>
        </w:rPr>
        <w:t>次</w:t>
      </w:r>
      <w:r w:rsidRPr="00BF42B7">
        <w:rPr>
          <w:lang w:val="zh-CN"/>
        </w:rPr>
        <w:t>报告旨在</w:t>
      </w:r>
      <w:r w:rsidRPr="00BF42B7">
        <w:rPr>
          <w:rFonts w:hint="eastAsia"/>
          <w:lang w:val="zh-CN"/>
        </w:rPr>
        <w:t>全面</w:t>
      </w:r>
      <w:r w:rsidRPr="00BF42B7">
        <w:rPr>
          <w:lang w:val="zh-CN"/>
        </w:rPr>
        <w:t>概述武装冲突之前、期间和之后</w:t>
      </w:r>
      <w:r w:rsidRPr="00BF42B7">
        <w:rPr>
          <w:lang w:val="zh-CN"/>
        </w:rPr>
        <w:t>(</w:t>
      </w:r>
      <w:r w:rsidRPr="00BF42B7">
        <w:rPr>
          <w:lang w:val="zh-CN"/>
        </w:rPr>
        <w:t>分别为</w:t>
      </w:r>
      <w:r w:rsidRPr="00BF42B7">
        <w:rPr>
          <w:rFonts w:hint="eastAsia"/>
          <w:lang w:val="zh-CN"/>
        </w:rPr>
        <w:t>第一、第二和第三</w:t>
      </w:r>
      <w:r w:rsidRPr="00BF42B7">
        <w:rPr>
          <w:lang w:val="zh-CN"/>
        </w:rPr>
        <w:t>阶段</w:t>
      </w:r>
      <w:r w:rsidRPr="00BF42B7">
        <w:rPr>
          <w:lang w:val="zh-CN"/>
        </w:rPr>
        <w:t>)</w:t>
      </w:r>
      <w:r w:rsidRPr="00BF42B7">
        <w:rPr>
          <w:lang w:val="zh-CN"/>
        </w:rPr>
        <w:t>适用的法律，试图完整地覆盖这三个时间段。她指出，各个阶段之间没有明确的界限，要充分了解这一专题，必须将三</w:t>
      </w:r>
      <w:r w:rsidRPr="00BF42B7">
        <w:rPr>
          <w:rFonts w:hint="eastAsia"/>
          <w:lang w:val="zh-CN"/>
        </w:rPr>
        <w:t>次</w:t>
      </w:r>
      <w:r w:rsidRPr="00BF42B7">
        <w:rPr>
          <w:lang w:val="zh-CN"/>
        </w:rPr>
        <w:t>报告一并阅读。</w:t>
      </w:r>
    </w:p>
    <w:p w:rsidR="006735D4" w:rsidRPr="00BF42B7" w:rsidRDefault="006735D4" w:rsidP="006735D4">
      <w:pPr>
        <w:pStyle w:val="SingleTxtGC"/>
      </w:pPr>
      <w:r w:rsidRPr="00BF42B7">
        <w:rPr>
          <w:rFonts w:hint="eastAsia"/>
        </w:rPr>
        <w:t>148</w:t>
      </w:r>
      <w:r w:rsidRPr="00BF42B7">
        <w:t xml:space="preserve">.  </w:t>
      </w:r>
      <w:r w:rsidRPr="00BF42B7">
        <w:rPr>
          <w:lang w:val="zh-CN"/>
        </w:rPr>
        <w:t>第三次报告没有尝试对国际法进行全面综述，而是审查了具体</w:t>
      </w:r>
      <w:r w:rsidRPr="00BF42B7">
        <w:rPr>
          <w:rFonts w:hint="eastAsia"/>
          <w:lang w:val="zh-CN"/>
        </w:rPr>
        <w:t>的环境</w:t>
      </w:r>
      <w:r w:rsidRPr="00BF42B7">
        <w:rPr>
          <w:lang w:val="zh-CN"/>
        </w:rPr>
        <w:t>公约和与</w:t>
      </w:r>
      <w:r w:rsidRPr="00BF42B7">
        <w:rPr>
          <w:rFonts w:hint="eastAsia"/>
          <w:lang w:val="zh-CN"/>
        </w:rPr>
        <w:t>本专题</w:t>
      </w:r>
      <w:r w:rsidRPr="00BF42B7">
        <w:rPr>
          <w:lang w:val="zh-CN"/>
        </w:rPr>
        <w:t>特别相关的</w:t>
      </w:r>
      <w:r w:rsidRPr="00BF42B7">
        <w:rPr>
          <w:rFonts w:hint="eastAsia"/>
          <w:lang w:val="zh-CN"/>
        </w:rPr>
        <w:t>其他</w:t>
      </w:r>
      <w:r w:rsidRPr="00BF42B7">
        <w:rPr>
          <w:lang w:val="zh-CN"/>
        </w:rPr>
        <w:t>法律</w:t>
      </w:r>
      <w:r w:rsidRPr="00BF42B7">
        <w:rPr>
          <w:rFonts w:hint="eastAsia"/>
          <w:lang w:val="zh-CN"/>
        </w:rPr>
        <w:t>问题</w:t>
      </w:r>
      <w:r w:rsidRPr="00BF42B7">
        <w:rPr>
          <w:lang w:val="zh-CN"/>
        </w:rPr>
        <w:t>。</w:t>
      </w:r>
      <w:r w:rsidRPr="00BF42B7">
        <w:rPr>
          <w:rFonts w:hint="eastAsia"/>
          <w:lang w:val="zh-CN"/>
        </w:rPr>
        <w:t>除其他外，</w:t>
      </w:r>
      <w:r w:rsidRPr="00BF42B7">
        <w:rPr>
          <w:lang w:val="zh-CN"/>
        </w:rPr>
        <w:t>报告讨论了关于法律责任、国际投资协定、土著人民权利、战争遗留物等各项公约的相关内容，以及和平协定、部队地位协定和特派团地位协定等形式的国家实践。</w:t>
      </w:r>
      <w:r w:rsidRPr="00BF42B7">
        <w:rPr>
          <w:rFonts w:hint="eastAsia"/>
          <w:lang w:val="zh-CN"/>
        </w:rPr>
        <w:t>还有</w:t>
      </w:r>
      <w:r w:rsidRPr="00BF42B7">
        <w:rPr>
          <w:lang w:val="zh-CN"/>
        </w:rPr>
        <w:t>一节专门讨论国际组织的实践，着重强调联合国环境规划署</w:t>
      </w:r>
      <w:r w:rsidRPr="00BF42B7">
        <w:rPr>
          <w:lang w:val="zh-CN"/>
        </w:rPr>
        <w:t>(</w:t>
      </w:r>
      <w:r w:rsidRPr="00BF42B7">
        <w:rPr>
          <w:lang w:val="zh-CN"/>
        </w:rPr>
        <w:t>环境署</w:t>
      </w:r>
      <w:r w:rsidRPr="00BF42B7">
        <w:rPr>
          <w:lang w:val="zh-CN"/>
        </w:rPr>
        <w:t>)</w:t>
      </w:r>
      <w:r w:rsidRPr="00BF42B7">
        <w:rPr>
          <w:lang w:val="zh-CN"/>
        </w:rPr>
        <w:t>的实践。此外，特别报告员指出，报告简要阐述了委员会上</w:t>
      </w:r>
      <w:r w:rsidRPr="00BF42B7">
        <w:rPr>
          <w:rFonts w:hint="eastAsia"/>
          <w:lang w:val="zh-CN"/>
        </w:rPr>
        <w:t>一</w:t>
      </w:r>
      <w:r w:rsidRPr="00BF42B7">
        <w:rPr>
          <w:lang w:val="zh-CN"/>
        </w:rPr>
        <w:t>届会议期间的讨论情况，并介绍了各国的</w:t>
      </w:r>
      <w:r w:rsidRPr="00BF42B7">
        <w:rPr>
          <w:rFonts w:hint="eastAsia"/>
          <w:lang w:val="zh-CN"/>
        </w:rPr>
        <w:t>评论</w:t>
      </w:r>
      <w:r w:rsidRPr="00BF42B7">
        <w:rPr>
          <w:lang w:val="zh-CN"/>
        </w:rPr>
        <w:t>和实践以及若干案例法。但是她指出，与第二次报告的调查结果一致，这</w:t>
      </w:r>
      <w:r w:rsidRPr="00BF42B7">
        <w:rPr>
          <w:rFonts w:hint="eastAsia"/>
          <w:lang w:val="zh-CN"/>
        </w:rPr>
        <w:t>个领域</w:t>
      </w:r>
      <w:r w:rsidRPr="00BF42B7">
        <w:rPr>
          <w:lang w:val="zh-CN"/>
        </w:rPr>
        <w:t>的案例法</w:t>
      </w:r>
      <w:r w:rsidRPr="00BF42B7">
        <w:rPr>
          <w:rFonts w:hint="eastAsia"/>
          <w:lang w:val="zh-CN"/>
        </w:rPr>
        <w:t>极少</w:t>
      </w:r>
      <w:r w:rsidRPr="00BF42B7">
        <w:rPr>
          <w:lang w:val="zh-CN"/>
        </w:rPr>
        <w:t>涉及环境损害本身</w:t>
      </w:r>
      <w:r w:rsidRPr="00BF42B7">
        <w:rPr>
          <w:rFonts w:hint="eastAsia"/>
          <w:lang w:val="zh-CN"/>
        </w:rPr>
        <w:t>，</w:t>
      </w:r>
      <w:r w:rsidRPr="00BF42B7">
        <w:rPr>
          <w:lang w:val="zh-CN"/>
        </w:rPr>
        <w:t>几乎总是采</w:t>
      </w:r>
      <w:r w:rsidRPr="00BF42B7">
        <w:rPr>
          <w:rFonts w:hint="eastAsia"/>
          <w:lang w:val="zh-CN"/>
        </w:rPr>
        <w:t>用</w:t>
      </w:r>
      <w:r w:rsidRPr="00BF42B7">
        <w:rPr>
          <w:lang w:val="zh-CN"/>
        </w:rPr>
        <w:t>自然资源</w:t>
      </w:r>
      <w:r w:rsidRPr="00BF42B7">
        <w:rPr>
          <w:rFonts w:hint="eastAsia"/>
          <w:lang w:val="zh-CN"/>
        </w:rPr>
        <w:t>损害</w:t>
      </w:r>
      <w:r w:rsidRPr="00BF42B7">
        <w:rPr>
          <w:lang w:val="zh-CN"/>
        </w:rPr>
        <w:t>或财产损害的形式。特别报告员还强调了报告中</w:t>
      </w:r>
      <w:r w:rsidRPr="00BF42B7">
        <w:rPr>
          <w:rFonts w:hint="eastAsia"/>
          <w:lang w:val="zh-CN"/>
        </w:rPr>
        <w:t>讨论</w:t>
      </w:r>
      <w:r w:rsidRPr="00BF42B7">
        <w:rPr>
          <w:lang w:val="zh-CN"/>
        </w:rPr>
        <w:t>获取和分享信息问题及合作义务的章节</w:t>
      </w:r>
      <w:r w:rsidRPr="00BF42B7">
        <w:rPr>
          <w:lang w:val="zh-CN"/>
        </w:rPr>
        <w:t>(</w:t>
      </w:r>
      <w:r w:rsidRPr="00BF42B7">
        <w:rPr>
          <w:lang w:val="zh-CN"/>
        </w:rPr>
        <w:t>第</w:t>
      </w:r>
      <w:r w:rsidRPr="00BF42B7">
        <w:rPr>
          <w:lang w:val="zh-CN"/>
        </w:rPr>
        <w:t>130-152</w:t>
      </w:r>
      <w:r w:rsidRPr="00BF42B7">
        <w:rPr>
          <w:lang w:val="zh-CN"/>
        </w:rPr>
        <w:t>段</w:t>
      </w:r>
      <w:r w:rsidRPr="00BF42B7">
        <w:rPr>
          <w:lang w:val="zh-CN"/>
        </w:rPr>
        <w:t>)</w:t>
      </w:r>
      <w:r w:rsidRPr="00BF42B7">
        <w:rPr>
          <w:lang w:val="zh-CN"/>
        </w:rPr>
        <w:t>，她认为这对于本专题所有三个阶段</w:t>
      </w:r>
      <w:r w:rsidRPr="00BF42B7">
        <w:rPr>
          <w:rFonts w:hint="eastAsia"/>
          <w:lang w:val="zh-CN"/>
        </w:rPr>
        <w:t>都</w:t>
      </w:r>
      <w:r w:rsidRPr="00BF42B7">
        <w:rPr>
          <w:lang w:val="zh-CN"/>
        </w:rPr>
        <w:t>特别重要。</w:t>
      </w:r>
    </w:p>
    <w:p w:rsidR="006735D4" w:rsidRPr="00BF42B7" w:rsidRDefault="006735D4" w:rsidP="006735D4">
      <w:pPr>
        <w:tabs>
          <w:tab w:val="clear" w:pos="431"/>
          <w:tab w:val="left" w:pos="1134"/>
          <w:tab w:val="left" w:pos="1565"/>
          <w:tab w:val="left" w:pos="1996"/>
          <w:tab w:val="left" w:pos="2427"/>
        </w:tabs>
        <w:spacing w:after="120"/>
        <w:ind w:left="1134" w:right="1134"/>
      </w:pPr>
      <w:r w:rsidRPr="00BF42B7">
        <w:t>1</w:t>
      </w:r>
      <w:r w:rsidRPr="00BF42B7">
        <w:rPr>
          <w:rFonts w:hint="eastAsia"/>
        </w:rPr>
        <w:t>49</w:t>
      </w:r>
      <w:r w:rsidRPr="00BF42B7">
        <w:t xml:space="preserve">.  </w:t>
      </w:r>
      <w:r w:rsidRPr="00BF42B7">
        <w:rPr>
          <w:lang w:val="zh-CN"/>
        </w:rPr>
        <w:t>报告载有</w:t>
      </w:r>
      <w:r w:rsidRPr="00BF42B7">
        <w:rPr>
          <w:rFonts w:hint="eastAsia"/>
          <w:lang w:val="zh-CN"/>
        </w:rPr>
        <w:t>拟议的</w:t>
      </w:r>
      <w:r w:rsidRPr="00BF42B7">
        <w:rPr>
          <w:lang w:val="zh-CN"/>
        </w:rPr>
        <w:t>九</w:t>
      </w:r>
      <w:r w:rsidRPr="00BF42B7">
        <w:rPr>
          <w:rFonts w:hint="eastAsia"/>
          <w:lang w:val="zh-CN"/>
        </w:rPr>
        <w:t>条</w:t>
      </w:r>
      <w:r w:rsidRPr="00BF42B7">
        <w:rPr>
          <w:lang w:val="zh-CN"/>
        </w:rPr>
        <w:t>原则草案。</w:t>
      </w:r>
      <w:r w:rsidRPr="00BF42B7">
        <w:rPr>
          <w:rFonts w:hint="eastAsia"/>
          <w:lang w:val="zh-CN"/>
        </w:rPr>
        <w:t>报告中</w:t>
      </w:r>
      <w:r w:rsidRPr="00BF42B7">
        <w:rPr>
          <w:lang w:val="zh-CN"/>
        </w:rPr>
        <w:t>为第一部分</w:t>
      </w:r>
      <w:r w:rsidRPr="00BF42B7">
        <w:rPr>
          <w:rFonts w:hint="eastAsia"/>
          <w:lang w:val="zh-CN"/>
        </w:rPr>
        <w:t>建议</w:t>
      </w:r>
      <w:r w:rsidRPr="00BF42B7">
        <w:rPr>
          <w:lang w:val="zh-CN"/>
        </w:rPr>
        <w:t>了三</w:t>
      </w:r>
      <w:r w:rsidRPr="00BF42B7">
        <w:rPr>
          <w:rFonts w:hint="eastAsia"/>
          <w:lang w:val="zh-CN"/>
        </w:rPr>
        <w:t>条</w:t>
      </w:r>
      <w:r w:rsidRPr="00BF42B7">
        <w:rPr>
          <w:lang w:val="zh-CN"/>
        </w:rPr>
        <w:t>原则草案，主要涉及预防措施</w:t>
      </w:r>
      <w:r w:rsidRPr="00BF42B7">
        <w:rPr>
          <w:lang w:val="zh-CN"/>
        </w:rPr>
        <w:t>(</w:t>
      </w:r>
      <w:r w:rsidRPr="00BF42B7">
        <w:rPr>
          <w:lang w:val="zh-CN"/>
        </w:rPr>
        <w:t>冲突前阶段</w:t>
      </w:r>
      <w:r w:rsidRPr="00BF42B7">
        <w:rPr>
          <w:lang w:val="zh-CN"/>
        </w:rPr>
        <w:t>)</w:t>
      </w:r>
      <w:r w:rsidRPr="00BF42B7">
        <w:rPr>
          <w:lang w:val="zh-CN"/>
        </w:rPr>
        <w:t>。原则草案</w:t>
      </w:r>
      <w:r w:rsidRPr="00BF42B7">
        <w:rPr>
          <w:lang w:val="zh-CN"/>
        </w:rPr>
        <w:t>1-1</w:t>
      </w:r>
      <w:r w:rsidRPr="00BF42B7">
        <w:rPr>
          <w:lang w:val="zh-CN"/>
        </w:rPr>
        <w:t>述及各国需要采取立法、行政、司法或其他预防措施，加强对环境的保护。这</w:t>
      </w:r>
      <w:r w:rsidRPr="00BF42B7">
        <w:rPr>
          <w:rFonts w:hint="eastAsia"/>
          <w:lang w:val="zh-CN"/>
        </w:rPr>
        <w:t>是条简短的一般性</w:t>
      </w:r>
      <w:r w:rsidRPr="00BF42B7">
        <w:rPr>
          <w:lang w:val="zh-CN"/>
        </w:rPr>
        <w:t>原则草案。原则草案</w:t>
      </w:r>
      <w:r w:rsidRPr="00BF42B7">
        <w:rPr>
          <w:lang w:val="zh-CN"/>
        </w:rPr>
        <w:t>1-3</w:t>
      </w:r>
      <w:r w:rsidRPr="00BF42B7">
        <w:rPr>
          <w:lang w:val="zh-CN"/>
        </w:rPr>
        <w:t>反映了各国和各组织在部队地位协定和特派团地位协定中处理环境事项的新趋势。原则草案</w:t>
      </w:r>
      <w:r w:rsidRPr="00BF42B7">
        <w:rPr>
          <w:lang w:val="zh-CN"/>
        </w:rPr>
        <w:t>1-4</w:t>
      </w:r>
      <w:r w:rsidRPr="00BF42B7">
        <w:rPr>
          <w:lang w:val="zh-CN"/>
        </w:rPr>
        <w:t>述及和平行动的环境后果及采取必要措施防止、减轻和补救此类行动负面影响的重要性。</w:t>
      </w:r>
    </w:p>
    <w:p w:rsidR="006735D4" w:rsidRPr="00BF42B7" w:rsidRDefault="006735D4" w:rsidP="006735D4">
      <w:pPr>
        <w:tabs>
          <w:tab w:val="clear" w:pos="431"/>
          <w:tab w:val="left" w:pos="1134"/>
          <w:tab w:val="left" w:pos="1565"/>
          <w:tab w:val="left" w:pos="1996"/>
          <w:tab w:val="left" w:pos="2427"/>
        </w:tabs>
        <w:spacing w:after="120"/>
        <w:ind w:left="1134" w:right="1134"/>
      </w:pPr>
      <w:r w:rsidRPr="00BF42B7">
        <w:t>1</w:t>
      </w:r>
      <w:r w:rsidRPr="00BF42B7">
        <w:rPr>
          <w:rFonts w:hint="eastAsia"/>
        </w:rPr>
        <w:t>50</w:t>
      </w:r>
      <w:r w:rsidRPr="00BF42B7">
        <w:t xml:space="preserve">.  </w:t>
      </w:r>
      <w:r w:rsidRPr="00BF42B7">
        <w:rPr>
          <w:rFonts w:hint="eastAsia"/>
          <w:lang w:val="zh-CN"/>
        </w:rPr>
        <w:t>报告中为</w:t>
      </w:r>
      <w:r w:rsidRPr="00BF42B7">
        <w:rPr>
          <w:lang w:val="zh-CN"/>
        </w:rPr>
        <w:t>第三部分</w:t>
      </w:r>
      <w:r w:rsidRPr="00BF42B7">
        <w:rPr>
          <w:rFonts w:hint="eastAsia"/>
          <w:lang w:val="zh-CN"/>
        </w:rPr>
        <w:t>建议</w:t>
      </w:r>
      <w:r w:rsidRPr="00BF42B7">
        <w:rPr>
          <w:lang w:val="zh-CN"/>
        </w:rPr>
        <w:t>了五</w:t>
      </w:r>
      <w:r w:rsidRPr="00BF42B7">
        <w:rPr>
          <w:rFonts w:hint="eastAsia"/>
          <w:lang w:val="zh-CN"/>
        </w:rPr>
        <w:t>条主要</w:t>
      </w:r>
      <w:r w:rsidRPr="00BF42B7">
        <w:rPr>
          <w:lang w:val="zh-CN"/>
        </w:rPr>
        <w:t>与冲突后措施有关的原则草案。原则草案</w:t>
      </w:r>
      <w:r w:rsidRPr="00BF42B7">
        <w:rPr>
          <w:lang w:val="zh-CN"/>
        </w:rPr>
        <w:t>3-1</w:t>
      </w:r>
      <w:r w:rsidRPr="00BF42B7">
        <w:rPr>
          <w:lang w:val="zh-CN"/>
        </w:rPr>
        <w:t>述及和平协定，指出和平协定越来越多地</w:t>
      </w:r>
      <w:r w:rsidRPr="00BF42B7">
        <w:rPr>
          <w:rFonts w:hint="eastAsia"/>
          <w:lang w:val="zh-CN"/>
        </w:rPr>
        <w:t>规范</w:t>
      </w:r>
      <w:r w:rsidRPr="00BF42B7">
        <w:rPr>
          <w:lang w:val="zh-CN"/>
        </w:rPr>
        <w:t>环境问题。原则草案</w:t>
      </w:r>
      <w:r w:rsidRPr="00BF42B7">
        <w:rPr>
          <w:lang w:val="zh-CN"/>
        </w:rPr>
        <w:t>3-2</w:t>
      </w:r>
      <w:r w:rsidRPr="00BF42B7">
        <w:rPr>
          <w:lang w:val="zh-CN"/>
        </w:rPr>
        <w:t>涉及需要开展冲突后环境评估和审查，由两</w:t>
      </w:r>
      <w:r w:rsidRPr="00BF42B7">
        <w:rPr>
          <w:rFonts w:hint="eastAsia"/>
          <w:lang w:val="zh-CN"/>
        </w:rPr>
        <w:t>段</w:t>
      </w:r>
      <w:r w:rsidRPr="00BF42B7">
        <w:rPr>
          <w:lang w:val="zh-CN"/>
        </w:rPr>
        <w:t>组成。第</w:t>
      </w:r>
      <w:r w:rsidRPr="00BF42B7">
        <w:rPr>
          <w:lang w:val="zh-CN"/>
        </w:rPr>
        <w:t>1</w:t>
      </w:r>
      <w:r w:rsidRPr="00BF42B7">
        <w:rPr>
          <w:rFonts w:hint="eastAsia"/>
          <w:lang w:val="zh-CN"/>
        </w:rPr>
        <w:t>段</w:t>
      </w:r>
      <w:r w:rsidRPr="00BF42B7">
        <w:rPr>
          <w:lang w:val="zh-CN"/>
        </w:rPr>
        <w:t>鼓励各国及前武装冲突各方为这一目的合作，包括与非冲突各方合作；第</w:t>
      </w:r>
      <w:r w:rsidRPr="00BF42B7">
        <w:rPr>
          <w:lang w:val="zh-CN"/>
        </w:rPr>
        <w:t>2</w:t>
      </w:r>
      <w:r w:rsidRPr="00BF42B7">
        <w:rPr>
          <w:rFonts w:hint="eastAsia"/>
          <w:lang w:val="zh-CN"/>
        </w:rPr>
        <w:t>段</w:t>
      </w:r>
      <w:r w:rsidRPr="00BF42B7">
        <w:rPr>
          <w:lang w:val="zh-CN"/>
        </w:rPr>
        <w:t>述及和平行动结束后要采取的步骤。</w:t>
      </w:r>
      <w:r w:rsidRPr="00BF42B7">
        <w:rPr>
          <w:rFonts w:hint="eastAsia"/>
          <w:lang w:val="zh-CN"/>
        </w:rPr>
        <w:t>这条</w:t>
      </w:r>
      <w:r w:rsidRPr="00BF42B7">
        <w:rPr>
          <w:lang w:val="zh-CN"/>
        </w:rPr>
        <w:t>原则草案的目的不是确定责任归属，而是确保能够开展评估和采取恢复措施。原则草案</w:t>
      </w:r>
      <w:r w:rsidRPr="00BF42B7">
        <w:rPr>
          <w:lang w:val="zh-CN"/>
        </w:rPr>
        <w:t>3-3</w:t>
      </w:r>
      <w:r w:rsidRPr="00BF42B7">
        <w:rPr>
          <w:lang w:val="zh-CN"/>
        </w:rPr>
        <w:t>和</w:t>
      </w:r>
      <w:r w:rsidRPr="00BF42B7">
        <w:rPr>
          <w:lang w:val="zh-CN"/>
        </w:rPr>
        <w:t>3-4</w:t>
      </w:r>
      <w:r w:rsidRPr="00BF42B7">
        <w:rPr>
          <w:lang w:val="zh-CN"/>
        </w:rPr>
        <w:t>分别述及战争遗留物和海上战争遗留物。原则草案</w:t>
      </w:r>
      <w:r w:rsidRPr="00BF42B7">
        <w:rPr>
          <w:lang w:val="zh-CN"/>
        </w:rPr>
        <w:t>3-3</w:t>
      </w:r>
      <w:r w:rsidRPr="00BF42B7">
        <w:rPr>
          <w:rFonts w:hint="eastAsia"/>
          <w:lang w:val="zh-CN"/>
        </w:rPr>
        <w:t>属</w:t>
      </w:r>
      <w:r w:rsidRPr="00BF42B7">
        <w:rPr>
          <w:lang w:val="zh-CN"/>
        </w:rPr>
        <w:t>一般性</w:t>
      </w:r>
      <w:r w:rsidRPr="00BF42B7">
        <w:rPr>
          <w:rFonts w:hint="eastAsia"/>
          <w:lang w:val="zh-CN"/>
        </w:rPr>
        <w:t>条款，</w:t>
      </w:r>
      <w:r w:rsidRPr="00BF42B7">
        <w:rPr>
          <w:lang w:val="zh-CN"/>
        </w:rPr>
        <w:t>主要反映武装冲突法之下已经存在的义务。</w:t>
      </w:r>
      <w:r w:rsidRPr="00BF42B7">
        <w:rPr>
          <w:rFonts w:hint="eastAsia"/>
          <w:lang w:val="zh-CN"/>
        </w:rPr>
        <w:t>这一条</w:t>
      </w:r>
      <w:r w:rsidRPr="00BF42B7">
        <w:rPr>
          <w:lang w:val="zh-CN"/>
        </w:rPr>
        <w:t>重点</w:t>
      </w:r>
      <w:r w:rsidRPr="00BF42B7">
        <w:rPr>
          <w:rFonts w:hint="eastAsia"/>
          <w:lang w:val="zh-CN"/>
        </w:rPr>
        <w:t>强调</w:t>
      </w:r>
      <w:r w:rsidRPr="00BF42B7">
        <w:rPr>
          <w:lang w:val="zh-CN"/>
        </w:rPr>
        <w:t>需要立即采取行动并开展合作，消除战争遗留物的威胁。原则草案</w:t>
      </w:r>
      <w:r w:rsidRPr="00BF42B7">
        <w:rPr>
          <w:lang w:val="zh-CN"/>
        </w:rPr>
        <w:t>3-4</w:t>
      </w:r>
      <w:r w:rsidRPr="00BF42B7">
        <w:rPr>
          <w:lang w:val="zh-CN"/>
        </w:rPr>
        <w:t>专门</w:t>
      </w:r>
      <w:r w:rsidRPr="00BF42B7">
        <w:rPr>
          <w:rFonts w:hint="eastAsia"/>
          <w:lang w:val="zh-CN"/>
        </w:rPr>
        <w:t>论述</w:t>
      </w:r>
      <w:r w:rsidRPr="00BF42B7">
        <w:rPr>
          <w:lang w:val="zh-CN"/>
        </w:rPr>
        <w:t>海上战争遗留物。特别报告员指出，这些遗留物不直接</w:t>
      </w:r>
      <w:r w:rsidRPr="00BF42B7">
        <w:rPr>
          <w:rFonts w:hint="eastAsia"/>
          <w:lang w:val="zh-CN"/>
        </w:rPr>
        <w:t>受</w:t>
      </w:r>
      <w:r w:rsidRPr="00BF42B7">
        <w:rPr>
          <w:lang w:val="zh-CN"/>
        </w:rPr>
        <w:t>武装冲突法</w:t>
      </w:r>
      <w:r w:rsidRPr="00BF42B7">
        <w:rPr>
          <w:rFonts w:hint="eastAsia"/>
          <w:lang w:val="zh-CN"/>
        </w:rPr>
        <w:t>的规范</w:t>
      </w:r>
      <w:r w:rsidRPr="00BF42B7">
        <w:rPr>
          <w:lang w:val="zh-CN"/>
        </w:rPr>
        <w:t>，鉴于各海区的法律地位不同，引起了特别复杂的问题。这两</w:t>
      </w:r>
      <w:r w:rsidRPr="00BF42B7">
        <w:rPr>
          <w:rFonts w:hint="eastAsia"/>
          <w:lang w:val="zh-CN"/>
        </w:rPr>
        <w:t>条</w:t>
      </w:r>
      <w:r w:rsidRPr="00BF42B7">
        <w:rPr>
          <w:lang w:val="zh-CN"/>
        </w:rPr>
        <w:t>原则草案旨在涵盖对环境构成威胁的所有类型的遗留物。原则草案</w:t>
      </w:r>
      <w:r w:rsidRPr="00BF42B7">
        <w:rPr>
          <w:lang w:val="zh-CN"/>
        </w:rPr>
        <w:t>3-5</w:t>
      </w:r>
      <w:r w:rsidRPr="00BF42B7">
        <w:rPr>
          <w:lang w:val="zh-CN"/>
        </w:rPr>
        <w:t>涉及各国和各国际组织须准许获取和分享信息，以加强对环境的保护。这被视为确保有效开展合作的最基本要求。</w:t>
      </w:r>
    </w:p>
    <w:p w:rsidR="006735D4" w:rsidRPr="00BF42B7" w:rsidRDefault="006735D4" w:rsidP="006735D4">
      <w:pPr>
        <w:tabs>
          <w:tab w:val="clear" w:pos="431"/>
          <w:tab w:val="left" w:pos="1134"/>
          <w:tab w:val="left" w:pos="1565"/>
          <w:tab w:val="left" w:pos="1996"/>
          <w:tab w:val="left" w:pos="2427"/>
        </w:tabs>
        <w:spacing w:after="120"/>
        <w:ind w:left="1134" w:right="1134"/>
      </w:pPr>
      <w:r w:rsidRPr="00BF42B7">
        <w:t>1</w:t>
      </w:r>
      <w:r w:rsidRPr="00BF42B7">
        <w:rPr>
          <w:rFonts w:hint="eastAsia"/>
        </w:rPr>
        <w:t>51</w:t>
      </w:r>
      <w:r w:rsidRPr="00BF42B7">
        <w:t xml:space="preserve">.  </w:t>
      </w:r>
      <w:r w:rsidRPr="00BF42B7">
        <w:rPr>
          <w:rFonts w:hint="eastAsia"/>
          <w:lang w:val="zh-CN"/>
        </w:rPr>
        <w:t>报告中</w:t>
      </w:r>
      <w:r w:rsidRPr="00BF42B7">
        <w:rPr>
          <w:lang w:val="zh-CN"/>
        </w:rPr>
        <w:t>为第四部分</w:t>
      </w:r>
      <w:r w:rsidRPr="00BF42B7">
        <w:rPr>
          <w:rFonts w:hint="eastAsia"/>
          <w:lang w:val="zh-CN"/>
        </w:rPr>
        <w:t>建议</w:t>
      </w:r>
      <w:r w:rsidRPr="00BF42B7">
        <w:rPr>
          <w:lang w:val="zh-CN"/>
        </w:rPr>
        <w:t>了一</w:t>
      </w:r>
      <w:r w:rsidRPr="00BF42B7">
        <w:rPr>
          <w:rFonts w:hint="eastAsia"/>
          <w:lang w:val="zh-CN"/>
        </w:rPr>
        <w:t>条</w:t>
      </w:r>
      <w:r w:rsidRPr="00BF42B7">
        <w:rPr>
          <w:lang w:val="zh-CN"/>
        </w:rPr>
        <w:t>原则草案。原则草案</w:t>
      </w:r>
      <w:r w:rsidRPr="00BF42B7">
        <w:rPr>
          <w:lang w:val="zh-CN"/>
        </w:rPr>
        <w:t>4-1</w:t>
      </w:r>
      <w:r w:rsidRPr="00BF42B7">
        <w:rPr>
          <w:lang w:val="zh-CN"/>
        </w:rPr>
        <w:t>反映了土著人民</w:t>
      </w:r>
      <w:r w:rsidRPr="00BF42B7">
        <w:rPr>
          <w:rFonts w:hint="eastAsia"/>
          <w:lang w:val="zh-CN"/>
        </w:rPr>
        <w:t>及</w:t>
      </w:r>
      <w:r w:rsidRPr="00BF42B7">
        <w:rPr>
          <w:lang w:val="zh-CN"/>
        </w:rPr>
        <w:t>其土地和领地在相关国际法律文书和案例法之下现有的法律地位。特别报告员</w:t>
      </w:r>
      <w:r w:rsidRPr="00BF42B7">
        <w:rPr>
          <w:rFonts w:hint="eastAsia"/>
          <w:lang w:val="zh-CN"/>
        </w:rPr>
        <w:t>预见</w:t>
      </w:r>
      <w:r w:rsidRPr="00BF42B7">
        <w:rPr>
          <w:lang w:val="zh-CN"/>
        </w:rPr>
        <w:t>，这部分</w:t>
      </w:r>
      <w:r w:rsidRPr="00BF42B7">
        <w:rPr>
          <w:rFonts w:hint="eastAsia"/>
          <w:lang w:val="zh-CN"/>
        </w:rPr>
        <w:t>可能</w:t>
      </w:r>
      <w:r w:rsidRPr="00BF42B7">
        <w:rPr>
          <w:lang w:val="zh-CN"/>
        </w:rPr>
        <w:t>增加更多的原则草案。</w:t>
      </w:r>
    </w:p>
    <w:p w:rsidR="006735D4" w:rsidRPr="00BF42B7" w:rsidRDefault="006735D4" w:rsidP="006735D4">
      <w:pPr>
        <w:tabs>
          <w:tab w:val="clear" w:pos="431"/>
          <w:tab w:val="left" w:pos="1134"/>
          <w:tab w:val="left" w:pos="1565"/>
          <w:tab w:val="left" w:pos="1996"/>
          <w:tab w:val="left" w:pos="2427"/>
        </w:tabs>
        <w:spacing w:after="120"/>
        <w:ind w:left="1134" w:right="1134"/>
      </w:pPr>
      <w:r w:rsidRPr="00BF42B7">
        <w:t>1</w:t>
      </w:r>
      <w:r w:rsidRPr="00BF42B7">
        <w:rPr>
          <w:rFonts w:hint="eastAsia"/>
        </w:rPr>
        <w:t>52</w:t>
      </w:r>
      <w:r w:rsidRPr="00BF42B7">
        <w:t xml:space="preserve">.  </w:t>
      </w:r>
      <w:r w:rsidRPr="00BF42B7">
        <w:rPr>
          <w:lang w:val="zh-CN"/>
        </w:rPr>
        <w:t>特别报告员还提请注意第三次报告没有</w:t>
      </w:r>
      <w:r w:rsidRPr="00BF42B7">
        <w:rPr>
          <w:rFonts w:hint="eastAsia"/>
          <w:lang w:val="zh-CN"/>
        </w:rPr>
        <w:t>述及</w:t>
      </w:r>
      <w:r w:rsidRPr="00BF42B7">
        <w:rPr>
          <w:lang w:val="zh-CN"/>
        </w:rPr>
        <w:t>的某些问题，包括马顿斯条款和与占领有关的问题。报告员还指出，委员会不妨在</w:t>
      </w:r>
      <w:r w:rsidRPr="00BF42B7">
        <w:rPr>
          <w:rFonts w:hint="eastAsia"/>
          <w:lang w:val="zh-CN"/>
        </w:rPr>
        <w:t>本专题</w:t>
      </w:r>
      <w:r w:rsidRPr="00BF42B7">
        <w:rPr>
          <w:lang w:val="zh-CN"/>
        </w:rPr>
        <w:t>今后的工作中审议这些事项。此外，报告员强调</w:t>
      </w:r>
      <w:r w:rsidRPr="00BF42B7">
        <w:rPr>
          <w:rFonts w:hint="eastAsia"/>
          <w:lang w:val="zh-CN"/>
        </w:rPr>
        <w:t>指出</w:t>
      </w:r>
      <w:r w:rsidRPr="00BF42B7">
        <w:rPr>
          <w:lang w:val="zh-CN"/>
        </w:rPr>
        <w:t>其他几个可能与本专题相关的问题，如责任和赔偿责任的问题，以及非国家行为者和有组织的武装团体在非国际性武装冲突中的责任和</w:t>
      </w:r>
      <w:r w:rsidRPr="00BF42B7">
        <w:rPr>
          <w:rFonts w:hint="eastAsia"/>
          <w:lang w:val="zh-CN"/>
        </w:rPr>
        <w:t>实践</w:t>
      </w:r>
      <w:r w:rsidRPr="00BF42B7">
        <w:rPr>
          <w:lang w:val="zh-CN"/>
        </w:rPr>
        <w:t>。特别报告员还提出，在未来的序言部分似宜明确提及委员会关于武装冲突对条约的影响的条款，</w:t>
      </w:r>
      <w:r w:rsidRPr="00BF42B7">
        <w:rPr>
          <w:color w:val="0000FF"/>
          <w:vertAlign w:val="superscript"/>
          <w:lang w:val="zh-CN"/>
        </w:rPr>
        <w:footnoteReference w:id="1311"/>
      </w:r>
      <w:r w:rsidRPr="00BF42B7">
        <w:rPr>
          <w:rFonts w:hint="eastAsia"/>
          <w:lang w:val="zh-CN"/>
        </w:rPr>
        <w:t xml:space="preserve"> </w:t>
      </w:r>
      <w:r w:rsidRPr="00BF42B7">
        <w:rPr>
          <w:lang w:val="zh-CN"/>
        </w:rPr>
        <w:t>这些条款与本专题尤为相关。</w:t>
      </w:r>
    </w:p>
    <w:p w:rsidR="006735D4" w:rsidRPr="00BF42B7" w:rsidRDefault="006735D4" w:rsidP="006735D4">
      <w:pPr>
        <w:tabs>
          <w:tab w:val="clear" w:pos="431"/>
          <w:tab w:val="left" w:pos="1134"/>
          <w:tab w:val="left" w:pos="1565"/>
          <w:tab w:val="left" w:pos="1996"/>
          <w:tab w:val="left" w:pos="2427"/>
        </w:tabs>
        <w:spacing w:after="120"/>
        <w:ind w:left="1134" w:right="1134"/>
      </w:pPr>
      <w:r w:rsidRPr="00BF42B7">
        <w:t>15</w:t>
      </w:r>
      <w:r w:rsidRPr="00BF42B7">
        <w:rPr>
          <w:rFonts w:hint="eastAsia"/>
        </w:rPr>
        <w:t>3</w:t>
      </w:r>
      <w:r w:rsidRPr="00BF42B7">
        <w:t xml:space="preserve">.  </w:t>
      </w:r>
      <w:r w:rsidRPr="00BF42B7">
        <w:rPr>
          <w:lang w:val="zh-CN"/>
        </w:rPr>
        <w:t>最后，特别报告员鼓励</w:t>
      </w:r>
      <w:r w:rsidRPr="00BF42B7">
        <w:rPr>
          <w:rFonts w:hint="eastAsia"/>
          <w:lang w:val="zh-CN"/>
        </w:rPr>
        <w:t>委员会</w:t>
      </w:r>
      <w:r w:rsidRPr="00BF42B7">
        <w:rPr>
          <w:lang w:val="zh-CN"/>
        </w:rPr>
        <w:t>继续与红十字国际委员会</w:t>
      </w:r>
      <w:r w:rsidRPr="00BF42B7">
        <w:rPr>
          <w:lang w:val="zh-CN"/>
        </w:rPr>
        <w:t>(</w:t>
      </w:r>
      <w:r w:rsidRPr="00BF42B7">
        <w:rPr>
          <w:lang w:val="zh-CN"/>
        </w:rPr>
        <w:t>红十字委员会</w:t>
      </w:r>
      <w:r w:rsidRPr="00BF42B7">
        <w:rPr>
          <w:lang w:val="zh-CN"/>
        </w:rPr>
        <w:t>)</w:t>
      </w:r>
      <w:r w:rsidRPr="00BF42B7">
        <w:rPr>
          <w:rFonts w:hint="eastAsia"/>
          <w:lang w:val="zh-CN"/>
        </w:rPr>
        <w:t>、联合国环境规划署</w:t>
      </w:r>
      <w:r w:rsidRPr="00BF42B7">
        <w:rPr>
          <w:rFonts w:hint="eastAsia"/>
          <w:lang w:val="zh-CN"/>
        </w:rPr>
        <w:t>(</w:t>
      </w:r>
      <w:r w:rsidRPr="00BF42B7">
        <w:rPr>
          <w:rFonts w:hint="eastAsia"/>
          <w:lang w:val="zh-CN"/>
        </w:rPr>
        <w:t>环境署</w:t>
      </w:r>
      <w:r w:rsidRPr="00BF42B7">
        <w:rPr>
          <w:rFonts w:hint="eastAsia"/>
          <w:lang w:val="zh-CN"/>
        </w:rPr>
        <w:t>)</w:t>
      </w:r>
      <w:r w:rsidRPr="00BF42B7">
        <w:rPr>
          <w:rFonts w:hint="eastAsia"/>
          <w:lang w:val="zh-CN"/>
        </w:rPr>
        <w:t>等</w:t>
      </w:r>
      <w:r w:rsidRPr="00BF42B7">
        <w:rPr>
          <w:lang w:val="zh-CN"/>
        </w:rPr>
        <w:t>其他实体</w:t>
      </w:r>
      <w:r w:rsidRPr="00BF42B7">
        <w:rPr>
          <w:rFonts w:hint="eastAsia"/>
          <w:lang w:val="zh-CN"/>
        </w:rPr>
        <w:t>及</w:t>
      </w:r>
      <w:r w:rsidRPr="00BF42B7">
        <w:rPr>
          <w:lang w:val="zh-CN"/>
        </w:rPr>
        <w:t>联合国系统</w:t>
      </w:r>
      <w:r w:rsidRPr="00BF42B7">
        <w:rPr>
          <w:rFonts w:hint="eastAsia"/>
          <w:lang w:val="zh-CN"/>
        </w:rPr>
        <w:t>其他</w:t>
      </w:r>
      <w:r w:rsidRPr="00BF42B7">
        <w:rPr>
          <w:lang w:val="zh-CN"/>
        </w:rPr>
        <w:t>有关部门和区域组织进行协商。报告员还指出，各国继续</w:t>
      </w:r>
      <w:r w:rsidRPr="00BF42B7">
        <w:rPr>
          <w:rFonts w:hint="eastAsia"/>
          <w:lang w:val="zh-CN"/>
        </w:rPr>
        <w:t>提供</w:t>
      </w:r>
      <w:r w:rsidRPr="00BF42B7">
        <w:rPr>
          <w:lang w:val="zh-CN"/>
        </w:rPr>
        <w:t>与本专题有关的国家立法和案例法</w:t>
      </w:r>
      <w:r w:rsidRPr="00BF42B7">
        <w:rPr>
          <w:rFonts w:hint="eastAsia"/>
          <w:lang w:val="zh-CN"/>
        </w:rPr>
        <w:t>的资料，对委员会可能有所帮助</w:t>
      </w:r>
      <w:r w:rsidRPr="00BF42B7">
        <w:rPr>
          <w:lang w:val="zh-CN"/>
        </w:rPr>
        <w:t>。</w:t>
      </w:r>
    </w:p>
    <w:p w:rsidR="006735D4" w:rsidRPr="00BF42B7" w:rsidRDefault="006735D4" w:rsidP="006735D4">
      <w:pPr>
        <w:keepNext/>
        <w:keepLines/>
        <w:tabs>
          <w:tab w:val="clear" w:pos="431"/>
          <w:tab w:val="right" w:pos="851"/>
        </w:tabs>
        <w:spacing w:before="240" w:after="120"/>
        <w:ind w:left="1134" w:right="1134" w:hanging="1134"/>
        <w:jc w:val="left"/>
        <w:outlineLvl w:val="3"/>
        <w:rPr>
          <w:rFonts w:eastAsia="黑体"/>
          <w:sz w:val="22"/>
        </w:rPr>
      </w:pPr>
      <w:r w:rsidRPr="00BF42B7">
        <w:rPr>
          <w:rFonts w:eastAsia="黑体" w:hint="eastAsia"/>
          <w:sz w:val="22"/>
          <w:lang w:val="zh-CN"/>
        </w:rPr>
        <w:tab/>
      </w:r>
      <w:r w:rsidRPr="00BF42B7">
        <w:rPr>
          <w:rFonts w:eastAsia="黑体"/>
          <w:sz w:val="22"/>
          <w:lang w:val="zh-CN"/>
        </w:rPr>
        <w:t>2.</w:t>
      </w:r>
      <w:r w:rsidRPr="00BF42B7">
        <w:rPr>
          <w:rFonts w:eastAsia="黑体" w:hint="eastAsia"/>
          <w:sz w:val="22"/>
          <w:lang w:val="zh-CN"/>
        </w:rPr>
        <w:tab/>
      </w:r>
      <w:r w:rsidRPr="00BF42B7">
        <w:rPr>
          <w:rFonts w:eastAsia="黑体" w:hint="eastAsia"/>
          <w:sz w:val="22"/>
          <w:lang w:val="zh-CN"/>
        </w:rPr>
        <w:t>辩论摘要</w:t>
      </w:r>
    </w:p>
    <w:p w:rsidR="006735D4" w:rsidRPr="00BF42B7" w:rsidRDefault="006735D4" w:rsidP="00C37E00">
      <w:pPr>
        <w:pStyle w:val="H23GC"/>
        <w:rPr>
          <w:lang w:val="zh-CN"/>
        </w:rPr>
      </w:pPr>
      <w:r w:rsidRPr="00BF42B7">
        <w:rPr>
          <w:rFonts w:hint="eastAsia"/>
          <w:snapToGrid/>
          <w:lang w:val="zh-CN"/>
        </w:rPr>
        <w:tab/>
      </w:r>
      <w:r w:rsidRPr="00BF42B7">
        <w:rPr>
          <w:snapToGrid/>
          <w:lang w:val="zh-CN"/>
        </w:rPr>
        <w:t>(a)</w:t>
      </w:r>
      <w:r w:rsidRPr="00BF42B7">
        <w:rPr>
          <w:snapToGrid/>
          <w:lang w:val="zh-CN"/>
        </w:rPr>
        <w:tab/>
      </w:r>
      <w:r w:rsidRPr="00BF42B7">
        <w:rPr>
          <w:rFonts w:hint="eastAsia"/>
          <w:lang w:val="zh-CN"/>
        </w:rPr>
        <w:t>一般评论</w:t>
      </w:r>
    </w:p>
    <w:p w:rsidR="006735D4" w:rsidRPr="00BF42B7" w:rsidRDefault="006735D4" w:rsidP="006735D4">
      <w:pPr>
        <w:pStyle w:val="SingleTxtGC"/>
        <w:rPr>
          <w:bCs/>
        </w:rPr>
      </w:pPr>
      <w:r w:rsidRPr="00BF42B7">
        <w:rPr>
          <w:bCs/>
        </w:rPr>
        <w:t>1</w:t>
      </w:r>
      <w:r w:rsidRPr="00BF42B7">
        <w:rPr>
          <w:rFonts w:hint="eastAsia"/>
          <w:bCs/>
        </w:rPr>
        <w:t>54</w:t>
      </w:r>
      <w:r w:rsidRPr="00BF42B7">
        <w:rPr>
          <w:bCs/>
        </w:rPr>
        <w:t xml:space="preserve">.  </w:t>
      </w:r>
      <w:r w:rsidRPr="00BF42B7">
        <w:rPr>
          <w:lang w:val="zh-CN"/>
        </w:rPr>
        <w:t>一些委员重申</w:t>
      </w:r>
      <w:r w:rsidRPr="00BF42B7">
        <w:rPr>
          <w:rFonts w:hint="eastAsia"/>
          <w:lang w:val="zh-CN"/>
        </w:rPr>
        <w:t>本</w:t>
      </w:r>
      <w:r w:rsidRPr="00BF42B7">
        <w:rPr>
          <w:lang w:val="zh-CN"/>
        </w:rPr>
        <w:t>专题</w:t>
      </w:r>
      <w:r w:rsidRPr="00BF42B7">
        <w:rPr>
          <w:rFonts w:hint="eastAsia"/>
          <w:lang w:val="zh-CN"/>
        </w:rPr>
        <w:t>的</w:t>
      </w:r>
      <w:r w:rsidRPr="00BF42B7">
        <w:rPr>
          <w:lang w:val="zh-CN"/>
        </w:rPr>
        <w:t>重要</w:t>
      </w:r>
      <w:r w:rsidRPr="00BF42B7">
        <w:rPr>
          <w:rFonts w:hint="eastAsia"/>
          <w:lang w:val="zh-CN"/>
        </w:rPr>
        <w:t>意义</w:t>
      </w:r>
      <w:r w:rsidRPr="00BF42B7">
        <w:rPr>
          <w:lang w:val="zh-CN"/>
        </w:rPr>
        <w:t>，不仅指出它</w:t>
      </w:r>
      <w:r w:rsidRPr="00BF42B7">
        <w:rPr>
          <w:rFonts w:hint="eastAsia"/>
          <w:lang w:val="zh-CN"/>
        </w:rPr>
        <w:t>的现实</w:t>
      </w:r>
      <w:r w:rsidRPr="00BF42B7">
        <w:rPr>
          <w:lang w:val="zh-CN"/>
        </w:rPr>
        <w:t>意义，而且提到它带来的挑战，特别是</w:t>
      </w:r>
      <w:r w:rsidRPr="00BF42B7">
        <w:rPr>
          <w:rFonts w:hint="eastAsia"/>
          <w:lang w:val="zh-CN"/>
        </w:rPr>
        <w:t>本专题因贯穿</w:t>
      </w:r>
      <w:r w:rsidRPr="00BF42B7">
        <w:rPr>
          <w:lang w:val="zh-CN"/>
        </w:rPr>
        <w:t>各</w:t>
      </w:r>
      <w:r w:rsidRPr="00BF42B7">
        <w:rPr>
          <w:rFonts w:hint="eastAsia"/>
          <w:lang w:val="zh-CN"/>
        </w:rPr>
        <w:t>个</w:t>
      </w:r>
      <w:r w:rsidRPr="00BF42B7">
        <w:rPr>
          <w:lang w:val="zh-CN"/>
        </w:rPr>
        <w:t>法律领域</w:t>
      </w:r>
      <w:r w:rsidRPr="00BF42B7">
        <w:rPr>
          <w:rFonts w:hint="eastAsia"/>
          <w:lang w:val="zh-CN"/>
        </w:rPr>
        <w:t>所带来的挑战</w:t>
      </w:r>
      <w:r w:rsidRPr="00BF42B7">
        <w:rPr>
          <w:lang w:val="zh-CN"/>
        </w:rPr>
        <w:t>。特别报告员在几</w:t>
      </w:r>
      <w:r w:rsidRPr="00BF42B7">
        <w:rPr>
          <w:rFonts w:hint="eastAsia"/>
          <w:lang w:val="zh-CN"/>
        </w:rPr>
        <w:t>次</w:t>
      </w:r>
      <w:r w:rsidRPr="00BF42B7">
        <w:rPr>
          <w:lang w:val="zh-CN"/>
        </w:rPr>
        <w:t>报告中对三个时间段给予同样的重视，这一点促进了本专题的发展。一些委员肯定了第三次报告的意图，但</w:t>
      </w:r>
      <w:r w:rsidRPr="00BF42B7">
        <w:rPr>
          <w:rFonts w:hint="eastAsia"/>
          <w:lang w:val="zh-CN"/>
        </w:rPr>
        <w:t>是又</w:t>
      </w:r>
      <w:r w:rsidRPr="00BF42B7">
        <w:rPr>
          <w:lang w:val="zh-CN"/>
        </w:rPr>
        <w:t>评论说，报告采取这样的结构安排，难以明确</w:t>
      </w:r>
      <w:r w:rsidRPr="00BF42B7">
        <w:rPr>
          <w:rFonts w:hint="eastAsia"/>
          <w:lang w:val="zh-CN"/>
        </w:rPr>
        <w:t>分辨</w:t>
      </w:r>
      <w:r w:rsidRPr="00BF42B7">
        <w:rPr>
          <w:lang w:val="zh-CN"/>
        </w:rPr>
        <w:t>所列资料与其</w:t>
      </w:r>
      <w:r w:rsidRPr="00BF42B7">
        <w:rPr>
          <w:rFonts w:hint="eastAsia"/>
          <w:lang w:val="zh-CN"/>
        </w:rPr>
        <w:t>打算</w:t>
      </w:r>
      <w:r w:rsidRPr="00BF42B7">
        <w:rPr>
          <w:lang w:val="zh-CN"/>
        </w:rPr>
        <w:t>说明的时间段之间的联系。有人</w:t>
      </w:r>
      <w:r w:rsidRPr="00BF42B7">
        <w:rPr>
          <w:rFonts w:hint="eastAsia"/>
          <w:lang w:val="zh-CN"/>
        </w:rPr>
        <w:t>就此表示</w:t>
      </w:r>
      <w:r w:rsidRPr="00BF42B7">
        <w:rPr>
          <w:lang w:val="zh-CN"/>
        </w:rPr>
        <w:t>，有必要明确区分三个时间阶段，并确定每个阶段适用的法律。为便于审议这一专题，有人建议将冲突前和冲突后阶段分别限制为敌对行动即将开始前和刚刚结束后。</w:t>
      </w:r>
    </w:p>
    <w:p w:rsidR="006735D4" w:rsidRPr="00BF42B7" w:rsidRDefault="006735D4" w:rsidP="006735D4">
      <w:pPr>
        <w:pStyle w:val="SingleTxtGC"/>
        <w:rPr>
          <w:bCs/>
        </w:rPr>
      </w:pPr>
      <w:r w:rsidRPr="00BF42B7">
        <w:rPr>
          <w:bCs/>
        </w:rPr>
        <w:t>1</w:t>
      </w:r>
      <w:r w:rsidRPr="00BF42B7">
        <w:rPr>
          <w:rFonts w:hint="eastAsia"/>
          <w:bCs/>
        </w:rPr>
        <w:t>55</w:t>
      </w:r>
      <w:r w:rsidRPr="00BF42B7">
        <w:rPr>
          <w:bCs/>
        </w:rPr>
        <w:t xml:space="preserve">.  </w:t>
      </w:r>
      <w:r w:rsidRPr="00BF42B7">
        <w:rPr>
          <w:lang w:val="zh-CN"/>
        </w:rPr>
        <w:t>一些委员对报告中的丰富资料表示欢迎，还有些委员认为，报告</w:t>
      </w:r>
      <w:r w:rsidRPr="00BF42B7">
        <w:rPr>
          <w:rFonts w:hint="eastAsia"/>
          <w:lang w:val="zh-CN"/>
        </w:rPr>
        <w:t>的</w:t>
      </w:r>
      <w:r w:rsidRPr="00BF42B7">
        <w:rPr>
          <w:lang w:val="zh-CN"/>
        </w:rPr>
        <w:t>内容过于广泛，其中一些信息的相关性有限。这样便很难正确理解这个专题的走向。如果报告对原则草案所依据的相关材料进行详</w:t>
      </w:r>
      <w:r w:rsidRPr="00BF42B7">
        <w:rPr>
          <w:rFonts w:hint="eastAsia"/>
          <w:lang w:val="zh-CN"/>
        </w:rPr>
        <w:t>尽</w:t>
      </w:r>
      <w:r w:rsidRPr="00BF42B7">
        <w:rPr>
          <w:lang w:val="zh-CN"/>
        </w:rPr>
        <w:t>分析，从而证明草案内容的合理性，作用可能会更大。</w:t>
      </w:r>
    </w:p>
    <w:p w:rsidR="006735D4" w:rsidRPr="00BF42B7" w:rsidRDefault="006735D4" w:rsidP="006735D4">
      <w:pPr>
        <w:pStyle w:val="SingleTxtGC"/>
        <w:rPr>
          <w:bCs/>
        </w:rPr>
      </w:pPr>
      <w:r w:rsidRPr="00BF42B7">
        <w:rPr>
          <w:bCs/>
        </w:rPr>
        <w:t>1</w:t>
      </w:r>
      <w:r w:rsidRPr="00BF42B7">
        <w:rPr>
          <w:rFonts w:hint="eastAsia"/>
          <w:bCs/>
        </w:rPr>
        <w:t>56</w:t>
      </w:r>
      <w:r w:rsidRPr="00BF42B7">
        <w:rPr>
          <w:bCs/>
        </w:rPr>
        <w:t xml:space="preserve">.  </w:t>
      </w:r>
      <w:r w:rsidRPr="00BF42B7">
        <w:rPr>
          <w:lang w:val="zh-CN"/>
        </w:rPr>
        <w:t>有些委员同意特别报告员的观点，认为没有理由审查所有环境条约，确定它们在武装冲突期间是否继续适用。他们回顾指出，委员会已经在</w:t>
      </w:r>
      <w:r w:rsidRPr="00BF42B7">
        <w:rPr>
          <w:rFonts w:hint="eastAsia"/>
          <w:lang w:val="zh-CN"/>
        </w:rPr>
        <w:t>为</w:t>
      </w:r>
      <w:r w:rsidRPr="00BF42B7">
        <w:rPr>
          <w:lang w:val="zh-CN"/>
        </w:rPr>
        <w:t>关于武装冲突对条约的影响条款所做的工作中</w:t>
      </w:r>
      <w:r w:rsidRPr="00BF42B7">
        <w:rPr>
          <w:rFonts w:hint="eastAsia"/>
          <w:lang w:val="zh-CN"/>
        </w:rPr>
        <w:t>处理</w:t>
      </w:r>
      <w:r w:rsidRPr="00BF42B7">
        <w:rPr>
          <w:lang w:val="zh-CN"/>
        </w:rPr>
        <w:t>了</w:t>
      </w:r>
      <w:r w:rsidRPr="00BF42B7">
        <w:rPr>
          <w:rFonts w:hint="eastAsia"/>
          <w:lang w:val="zh-CN"/>
        </w:rPr>
        <w:t>环境条约的普遍使用性</w:t>
      </w:r>
      <w:r w:rsidRPr="00BF42B7">
        <w:rPr>
          <w:lang w:val="zh-CN"/>
        </w:rPr>
        <w:t>问题。环境协定已列入指示性条约清单，这些条约的主题事项含有条约继续施行之意</w:t>
      </w:r>
      <w:r w:rsidRPr="00BF42B7">
        <w:rPr>
          <w:bCs/>
          <w:color w:val="0000FF"/>
          <w:vertAlign w:val="superscript"/>
          <w:lang w:val="zh-CN"/>
        </w:rPr>
        <w:footnoteReference w:id="1312"/>
      </w:r>
      <w:r w:rsidRPr="00BF42B7">
        <w:rPr>
          <w:lang w:val="zh-CN"/>
        </w:rPr>
        <w:t>。这些条款及其评注当然与本专题相关。</w:t>
      </w:r>
    </w:p>
    <w:p w:rsidR="006735D4" w:rsidRPr="00BF42B7" w:rsidRDefault="006735D4" w:rsidP="006735D4">
      <w:pPr>
        <w:pStyle w:val="SingleTxtGC"/>
        <w:rPr>
          <w:bCs/>
        </w:rPr>
      </w:pPr>
      <w:r w:rsidRPr="00BF42B7">
        <w:rPr>
          <w:bCs/>
        </w:rPr>
        <w:t>1</w:t>
      </w:r>
      <w:r w:rsidRPr="00BF42B7">
        <w:rPr>
          <w:rFonts w:hint="eastAsia"/>
          <w:bCs/>
        </w:rPr>
        <w:t>57</w:t>
      </w:r>
      <w:r w:rsidRPr="00BF42B7">
        <w:rPr>
          <w:bCs/>
        </w:rPr>
        <w:t xml:space="preserve">.  </w:t>
      </w:r>
      <w:r w:rsidRPr="00BF42B7">
        <w:rPr>
          <w:lang w:val="zh-CN"/>
        </w:rPr>
        <w:t>有些委员告诫说，不要试图简单地套用和平时期的义务，处理与武装冲突有关的环境保护问题。虽然委员们承认不必审查每项环境法条约在武装冲突期间是否持续适用，但是被认为与本专题相关的规则仍然需要接受审查。在此背景下，</w:t>
      </w:r>
      <w:r w:rsidRPr="00BF42B7">
        <w:rPr>
          <w:rFonts w:hint="eastAsia"/>
          <w:lang w:val="zh-CN"/>
        </w:rPr>
        <w:t>“</w:t>
      </w:r>
      <w:r w:rsidRPr="00BF42B7">
        <w:rPr>
          <w:lang w:val="zh-CN"/>
        </w:rPr>
        <w:t>适用</w:t>
      </w:r>
      <w:r w:rsidRPr="00BF42B7">
        <w:rPr>
          <w:rFonts w:hint="eastAsia"/>
          <w:lang w:val="zh-CN"/>
        </w:rPr>
        <w:t>”</w:t>
      </w:r>
      <w:r w:rsidRPr="00BF42B7">
        <w:rPr>
          <w:lang w:val="zh-CN"/>
        </w:rPr>
        <w:t>一词提出了两个需要解决的问题，即规则是否在正式意义上适用，以及规则的适用性是可</w:t>
      </w:r>
      <w:r w:rsidRPr="00BF42B7">
        <w:rPr>
          <w:rFonts w:hint="eastAsia"/>
          <w:lang w:val="zh-CN"/>
        </w:rPr>
        <w:t>以</w:t>
      </w:r>
      <w:r w:rsidRPr="00BF42B7">
        <w:rPr>
          <w:lang w:val="zh-CN"/>
        </w:rPr>
        <w:t>套用</w:t>
      </w:r>
      <w:r w:rsidRPr="00BF42B7">
        <w:rPr>
          <w:rFonts w:hint="eastAsia"/>
          <w:lang w:val="zh-CN"/>
        </w:rPr>
        <w:t>于</w:t>
      </w:r>
      <w:r w:rsidRPr="00BF42B7">
        <w:rPr>
          <w:lang w:val="zh-CN"/>
        </w:rPr>
        <w:t>武装冲突</w:t>
      </w:r>
      <w:r w:rsidRPr="00BF42B7">
        <w:rPr>
          <w:rFonts w:hint="eastAsia"/>
          <w:lang w:val="zh-CN"/>
        </w:rPr>
        <w:t>局势</w:t>
      </w:r>
      <w:r w:rsidRPr="00BF42B7">
        <w:rPr>
          <w:lang w:val="zh-CN"/>
        </w:rPr>
        <w:t>，还是需要对规则做出调整。委员们指出，拟议</w:t>
      </w:r>
      <w:r w:rsidRPr="00BF42B7">
        <w:rPr>
          <w:rFonts w:hint="eastAsia"/>
          <w:lang w:val="zh-CN"/>
        </w:rPr>
        <w:t>的</w:t>
      </w:r>
      <w:r w:rsidRPr="00BF42B7">
        <w:rPr>
          <w:lang w:val="zh-CN"/>
        </w:rPr>
        <w:t>若干原则草案中似乎缺少这种分析。</w:t>
      </w:r>
    </w:p>
    <w:p w:rsidR="006735D4" w:rsidRPr="00BF42B7" w:rsidRDefault="006735D4" w:rsidP="006735D4">
      <w:pPr>
        <w:pStyle w:val="SingleTxtGC"/>
        <w:rPr>
          <w:bCs/>
        </w:rPr>
      </w:pPr>
      <w:r w:rsidRPr="00BF42B7">
        <w:rPr>
          <w:rFonts w:hint="eastAsia"/>
          <w:bCs/>
        </w:rPr>
        <w:t>158</w:t>
      </w:r>
      <w:r w:rsidRPr="00BF42B7">
        <w:rPr>
          <w:bCs/>
        </w:rPr>
        <w:t xml:space="preserve">.  </w:t>
      </w:r>
      <w:r w:rsidRPr="00BF42B7">
        <w:rPr>
          <w:lang w:val="zh-CN"/>
        </w:rPr>
        <w:t>关于方法问题，委员们还指出，原则草案需要区别国际性和非国际性武装冲突，因为这两类冲突</w:t>
      </w:r>
      <w:r w:rsidRPr="00BF42B7">
        <w:rPr>
          <w:rFonts w:hint="eastAsia"/>
          <w:lang w:val="zh-CN"/>
        </w:rPr>
        <w:t>因</w:t>
      </w:r>
      <w:r w:rsidRPr="00BF42B7">
        <w:rPr>
          <w:lang w:val="zh-CN"/>
        </w:rPr>
        <w:t>所涉利益攸关方不同，适用的规则也</w:t>
      </w:r>
      <w:r w:rsidRPr="00BF42B7">
        <w:rPr>
          <w:rFonts w:hint="eastAsia"/>
          <w:lang w:val="zh-CN"/>
        </w:rPr>
        <w:t>因此</w:t>
      </w:r>
      <w:r w:rsidRPr="00BF42B7">
        <w:rPr>
          <w:lang w:val="zh-CN"/>
        </w:rPr>
        <w:t>不同。</w:t>
      </w:r>
    </w:p>
    <w:p w:rsidR="006735D4" w:rsidRPr="00BF42B7" w:rsidRDefault="006735D4" w:rsidP="006735D4">
      <w:pPr>
        <w:pStyle w:val="SingleTxtGC"/>
        <w:rPr>
          <w:bCs/>
        </w:rPr>
      </w:pPr>
      <w:r w:rsidRPr="00BF42B7">
        <w:rPr>
          <w:rFonts w:hint="eastAsia"/>
          <w:bCs/>
        </w:rPr>
        <w:t>159</w:t>
      </w:r>
      <w:r w:rsidRPr="00BF42B7">
        <w:rPr>
          <w:bCs/>
        </w:rPr>
        <w:t xml:space="preserve">.  </w:t>
      </w:r>
      <w:r w:rsidRPr="00BF42B7">
        <w:rPr>
          <w:lang w:val="zh-CN"/>
        </w:rPr>
        <w:t>关于本专题的范围，一些委员欢迎特别报告员建议采用的宽泛做法，但有些委员认为，报告和拟议</w:t>
      </w:r>
      <w:r w:rsidRPr="00BF42B7">
        <w:rPr>
          <w:rFonts w:hint="eastAsia"/>
          <w:lang w:val="zh-CN"/>
        </w:rPr>
        <w:t>的</w:t>
      </w:r>
      <w:r w:rsidRPr="00BF42B7">
        <w:rPr>
          <w:lang w:val="zh-CN"/>
        </w:rPr>
        <w:t>原则草案远远超越了环境保护本身的范畴，将环境作为自然资源和人类环境处理，引入了人权观。此外，有些委员认为本专题的范围应限于自然环境，而另一些委员赞同采用更全面的办法。</w:t>
      </w:r>
    </w:p>
    <w:p w:rsidR="006735D4" w:rsidRPr="00BF42B7" w:rsidRDefault="006735D4" w:rsidP="006735D4">
      <w:pPr>
        <w:pStyle w:val="SingleTxtGC"/>
        <w:rPr>
          <w:bCs/>
        </w:rPr>
      </w:pPr>
      <w:r w:rsidRPr="00BF42B7">
        <w:rPr>
          <w:rFonts w:hint="eastAsia"/>
          <w:bCs/>
        </w:rPr>
        <w:t>160</w:t>
      </w:r>
      <w:r w:rsidRPr="00BF42B7">
        <w:rPr>
          <w:bCs/>
        </w:rPr>
        <w:t xml:space="preserve">.  </w:t>
      </w:r>
      <w:r w:rsidRPr="00BF42B7">
        <w:rPr>
          <w:lang w:val="zh-CN"/>
        </w:rPr>
        <w:t>委员们还提出，原则草案从头至尾需要使用统一的术语。</w:t>
      </w:r>
      <w:r w:rsidRPr="00BF42B7">
        <w:rPr>
          <w:rFonts w:hint="eastAsia"/>
          <w:lang w:val="zh-CN"/>
        </w:rPr>
        <w:t>对于“</w:t>
      </w:r>
      <w:r w:rsidRPr="00BF42B7">
        <w:rPr>
          <w:lang w:val="zh-CN"/>
        </w:rPr>
        <w:t>环境</w:t>
      </w:r>
      <w:r w:rsidRPr="00BF42B7">
        <w:rPr>
          <w:rFonts w:hint="eastAsia"/>
          <w:lang w:val="zh-CN"/>
        </w:rPr>
        <w:t>”</w:t>
      </w:r>
      <w:r w:rsidRPr="00BF42B7">
        <w:rPr>
          <w:lang w:val="zh-CN"/>
        </w:rPr>
        <w:t>和</w:t>
      </w:r>
      <w:r w:rsidRPr="00BF42B7">
        <w:rPr>
          <w:rFonts w:hint="eastAsia"/>
          <w:lang w:val="zh-CN"/>
        </w:rPr>
        <w:t>“</w:t>
      </w:r>
      <w:r w:rsidRPr="00BF42B7">
        <w:rPr>
          <w:lang w:val="zh-CN"/>
        </w:rPr>
        <w:t>自然环境</w:t>
      </w:r>
      <w:r w:rsidRPr="00BF42B7">
        <w:rPr>
          <w:rFonts w:hint="eastAsia"/>
          <w:lang w:val="zh-CN"/>
        </w:rPr>
        <w:t>”</w:t>
      </w:r>
      <w:r w:rsidRPr="00BF42B7">
        <w:rPr>
          <w:lang w:val="zh-CN"/>
        </w:rPr>
        <w:t>这两个术语</w:t>
      </w:r>
      <w:r w:rsidRPr="00BF42B7">
        <w:rPr>
          <w:rFonts w:hint="eastAsia"/>
          <w:lang w:val="zh-CN"/>
        </w:rPr>
        <w:t>，这一点</w:t>
      </w:r>
      <w:r w:rsidRPr="00BF42B7">
        <w:rPr>
          <w:lang w:val="zh-CN"/>
        </w:rPr>
        <w:t>尤为</w:t>
      </w:r>
      <w:r w:rsidRPr="00BF42B7">
        <w:rPr>
          <w:rFonts w:hint="eastAsia"/>
          <w:lang w:val="zh-CN"/>
        </w:rPr>
        <w:t>重要</w:t>
      </w:r>
      <w:r w:rsidRPr="00BF42B7">
        <w:rPr>
          <w:lang w:val="zh-CN"/>
        </w:rPr>
        <w:t>。</w:t>
      </w:r>
    </w:p>
    <w:p w:rsidR="006735D4" w:rsidRPr="00BF42B7" w:rsidRDefault="006735D4" w:rsidP="006735D4">
      <w:pPr>
        <w:pStyle w:val="SingleTxtGC"/>
        <w:rPr>
          <w:bCs/>
        </w:rPr>
      </w:pPr>
      <w:r w:rsidRPr="00BF42B7">
        <w:rPr>
          <w:rFonts w:hint="eastAsia"/>
          <w:bCs/>
        </w:rPr>
        <w:t>161</w:t>
      </w:r>
      <w:r w:rsidRPr="00BF42B7">
        <w:rPr>
          <w:bCs/>
        </w:rPr>
        <w:t xml:space="preserve">.  </w:t>
      </w:r>
      <w:r w:rsidRPr="00BF42B7">
        <w:rPr>
          <w:lang w:val="zh-CN"/>
        </w:rPr>
        <w:t>关于本专题的结果，一些委员再次表示</w:t>
      </w:r>
      <w:r w:rsidRPr="00BF42B7">
        <w:rPr>
          <w:rFonts w:hint="eastAsia"/>
          <w:lang w:val="zh-CN"/>
        </w:rPr>
        <w:t>支持</w:t>
      </w:r>
      <w:r w:rsidRPr="00BF42B7">
        <w:rPr>
          <w:lang w:val="zh-CN"/>
        </w:rPr>
        <w:t>原则草案</w:t>
      </w:r>
      <w:r w:rsidRPr="00BF42B7">
        <w:rPr>
          <w:rFonts w:hint="eastAsia"/>
          <w:lang w:val="zh-CN"/>
        </w:rPr>
        <w:t>的形式</w:t>
      </w:r>
      <w:r w:rsidRPr="00BF42B7">
        <w:rPr>
          <w:lang w:val="zh-CN"/>
        </w:rPr>
        <w:t>，但也有人认为，可以设想采用规范性更强的形式，例如条款草案。几名委员强调，必须确保原则草案使用的术语符合本专题意图达到的规范性地位。</w:t>
      </w:r>
      <w:r w:rsidRPr="00BF42B7">
        <w:rPr>
          <w:rFonts w:hint="eastAsia"/>
          <w:lang w:val="zh-CN"/>
        </w:rPr>
        <w:t>关于</w:t>
      </w:r>
      <w:r w:rsidRPr="00BF42B7">
        <w:rPr>
          <w:lang w:val="zh-CN"/>
        </w:rPr>
        <w:t>这一点，有人提到</w:t>
      </w:r>
      <w:r w:rsidRPr="00BF42B7">
        <w:rPr>
          <w:rFonts w:hint="eastAsia"/>
          <w:lang w:val="zh-CN"/>
        </w:rPr>
        <w:t>“</w:t>
      </w:r>
      <w:r w:rsidRPr="00BF42B7">
        <w:rPr>
          <w:lang w:val="zh-CN"/>
        </w:rPr>
        <w:t>须</w:t>
      </w:r>
      <w:r w:rsidRPr="00BF42B7">
        <w:rPr>
          <w:rFonts w:hint="eastAsia"/>
          <w:lang w:val="zh-CN"/>
        </w:rPr>
        <w:t>”</w:t>
      </w:r>
      <w:r w:rsidRPr="00BF42B7">
        <w:rPr>
          <w:lang w:val="zh-CN"/>
        </w:rPr>
        <w:t>、</w:t>
      </w:r>
      <w:r w:rsidRPr="00BF42B7">
        <w:rPr>
          <w:rFonts w:hint="eastAsia"/>
          <w:lang w:val="zh-CN"/>
        </w:rPr>
        <w:t>“</w:t>
      </w:r>
      <w:r w:rsidRPr="00BF42B7">
        <w:rPr>
          <w:lang w:val="zh-CN"/>
        </w:rPr>
        <w:t>应</w:t>
      </w:r>
      <w:r w:rsidRPr="00BF42B7">
        <w:rPr>
          <w:rFonts w:hint="eastAsia"/>
          <w:lang w:val="zh-CN"/>
        </w:rPr>
        <w:t>”</w:t>
      </w:r>
      <w:r w:rsidRPr="00BF42B7">
        <w:rPr>
          <w:lang w:val="zh-CN"/>
        </w:rPr>
        <w:t>和</w:t>
      </w:r>
      <w:r w:rsidRPr="00BF42B7">
        <w:rPr>
          <w:rFonts w:hint="eastAsia"/>
          <w:lang w:val="zh-CN"/>
        </w:rPr>
        <w:t>“</w:t>
      </w:r>
      <w:r w:rsidRPr="00BF42B7">
        <w:rPr>
          <w:lang w:val="zh-CN"/>
        </w:rPr>
        <w:t>鼓励</w:t>
      </w:r>
      <w:r w:rsidRPr="00BF42B7">
        <w:rPr>
          <w:rFonts w:hint="eastAsia"/>
          <w:lang w:val="zh-CN"/>
        </w:rPr>
        <w:t>”</w:t>
      </w:r>
      <w:r w:rsidRPr="00BF42B7">
        <w:rPr>
          <w:lang w:val="zh-CN"/>
        </w:rPr>
        <w:t>这几个词语的使用不一致。</w:t>
      </w:r>
    </w:p>
    <w:p w:rsidR="006735D4" w:rsidRPr="00BF42B7" w:rsidRDefault="006735D4" w:rsidP="006735D4">
      <w:pPr>
        <w:pStyle w:val="SingleTxtGC"/>
        <w:rPr>
          <w:bCs/>
        </w:rPr>
      </w:pPr>
      <w:r w:rsidRPr="00BF42B7">
        <w:rPr>
          <w:rFonts w:hint="eastAsia"/>
          <w:bCs/>
        </w:rPr>
        <w:t>162</w:t>
      </w:r>
      <w:r w:rsidRPr="00BF42B7">
        <w:rPr>
          <w:bCs/>
        </w:rPr>
        <w:t xml:space="preserve">.  </w:t>
      </w:r>
      <w:r w:rsidRPr="00BF42B7">
        <w:rPr>
          <w:lang w:val="zh-CN"/>
        </w:rPr>
        <w:t>报告</w:t>
      </w:r>
      <w:r w:rsidRPr="00BF42B7">
        <w:rPr>
          <w:rFonts w:hint="eastAsia"/>
          <w:lang w:val="zh-CN"/>
        </w:rPr>
        <w:t>中</w:t>
      </w:r>
      <w:r w:rsidRPr="00BF42B7">
        <w:rPr>
          <w:lang w:val="zh-CN"/>
        </w:rPr>
        <w:t>关于国家惯例的详细</w:t>
      </w:r>
      <w:r w:rsidRPr="00BF42B7">
        <w:rPr>
          <w:rFonts w:hint="eastAsia"/>
          <w:lang w:val="zh-CN"/>
        </w:rPr>
        <w:t>资料</w:t>
      </w:r>
      <w:r w:rsidRPr="00BF42B7">
        <w:rPr>
          <w:lang w:val="zh-CN"/>
        </w:rPr>
        <w:t>和对适用规则的分析，受到一些委员的欢迎。一些材料介绍了武装冲突所致环境损害的受害者的观点，尤为引人关注。</w:t>
      </w:r>
    </w:p>
    <w:p w:rsidR="006735D4" w:rsidRPr="00BF42B7" w:rsidRDefault="006735D4" w:rsidP="00C37E00">
      <w:pPr>
        <w:pStyle w:val="H23GC"/>
      </w:pPr>
      <w:r w:rsidRPr="00BF42B7">
        <w:rPr>
          <w:rFonts w:hint="eastAsia"/>
          <w:snapToGrid/>
        </w:rPr>
        <w:tab/>
      </w:r>
      <w:r w:rsidRPr="00BF42B7">
        <w:rPr>
          <w:snapToGrid/>
        </w:rPr>
        <w:t>(b)</w:t>
      </w:r>
      <w:r w:rsidRPr="00BF42B7">
        <w:rPr>
          <w:snapToGrid/>
        </w:rPr>
        <w:tab/>
      </w:r>
      <w:r w:rsidRPr="00BF42B7">
        <w:rPr>
          <w:rFonts w:hint="eastAsia"/>
          <w:lang w:val="zh-CN"/>
        </w:rPr>
        <w:t>原则草案</w:t>
      </w:r>
      <w:r w:rsidRPr="00BF42B7">
        <w:rPr>
          <w:lang w:val="zh-CN"/>
        </w:rPr>
        <w:t>1-1</w:t>
      </w:r>
      <w:r w:rsidRPr="00BF42B7">
        <w:rPr>
          <w:rFonts w:hint="eastAsia"/>
          <w:spacing w:val="-50"/>
          <w:lang w:val="zh-CN"/>
        </w:rPr>
        <w:t>―</w:t>
      </w:r>
      <w:r w:rsidRPr="00BF42B7">
        <w:rPr>
          <w:rFonts w:hint="eastAsia"/>
          <w:lang w:val="zh-CN"/>
        </w:rPr>
        <w:t>―实施和强制执行</w:t>
      </w:r>
    </w:p>
    <w:p w:rsidR="006735D4" w:rsidRPr="00BF42B7" w:rsidRDefault="006735D4" w:rsidP="006735D4">
      <w:pPr>
        <w:pStyle w:val="SingleTxtGC"/>
        <w:rPr>
          <w:bCs/>
        </w:rPr>
      </w:pPr>
      <w:r w:rsidRPr="00BF42B7">
        <w:rPr>
          <w:rFonts w:hint="eastAsia"/>
          <w:bCs/>
        </w:rPr>
        <w:t>163</w:t>
      </w:r>
      <w:r w:rsidRPr="00BF42B7">
        <w:rPr>
          <w:bCs/>
        </w:rPr>
        <w:t xml:space="preserve">.  </w:t>
      </w:r>
      <w:r w:rsidRPr="00BF42B7">
        <w:rPr>
          <w:lang w:val="zh-CN"/>
        </w:rPr>
        <w:t>一些委员认为原则草案</w:t>
      </w:r>
      <w:r w:rsidRPr="00BF42B7">
        <w:rPr>
          <w:lang w:val="zh-CN"/>
        </w:rPr>
        <w:t>1-1</w:t>
      </w:r>
      <w:r w:rsidRPr="00BF42B7">
        <w:rPr>
          <w:lang w:val="zh-CN"/>
        </w:rPr>
        <w:t>的内容与本专题相关，但另一些委员指出，这条原则草案没有得到报告中所载材料的</w:t>
      </w:r>
      <w:r w:rsidRPr="00BF42B7">
        <w:rPr>
          <w:rFonts w:hint="eastAsia"/>
          <w:lang w:val="zh-CN"/>
        </w:rPr>
        <w:t>充分</w:t>
      </w:r>
      <w:r w:rsidRPr="00BF42B7">
        <w:rPr>
          <w:lang w:val="zh-CN"/>
        </w:rPr>
        <w:t>印证，因此很难得到正确理解。委员们普遍认为，原则草案中设想的预防措施</w:t>
      </w:r>
      <w:r w:rsidRPr="00BF42B7">
        <w:rPr>
          <w:rFonts w:hint="eastAsia"/>
          <w:lang w:val="zh-CN"/>
        </w:rPr>
        <w:t>由于</w:t>
      </w:r>
      <w:r w:rsidRPr="00BF42B7">
        <w:rPr>
          <w:lang w:val="zh-CN"/>
        </w:rPr>
        <w:t>措辞过于宽泛，需要进一步</w:t>
      </w:r>
      <w:r w:rsidRPr="00BF42B7">
        <w:rPr>
          <w:rFonts w:hint="eastAsia"/>
          <w:lang w:val="zh-CN"/>
        </w:rPr>
        <w:t>明确</w:t>
      </w:r>
      <w:r w:rsidRPr="00BF42B7">
        <w:rPr>
          <w:lang w:val="zh-CN"/>
        </w:rPr>
        <w:t>。委员们还指出，这条原则草案的时间范围不明。在这方面，有些委员认为，这条原则草案对于冲突后阶段和冲突前阶段同样适用。还需要澄清这条原则草案与第一部分中</w:t>
      </w:r>
      <w:r w:rsidRPr="00BF42B7">
        <w:rPr>
          <w:rFonts w:hint="eastAsia"/>
          <w:lang w:val="zh-CN"/>
        </w:rPr>
        <w:t>的</w:t>
      </w:r>
      <w:r w:rsidRPr="00BF42B7">
        <w:rPr>
          <w:lang w:val="zh-CN"/>
        </w:rPr>
        <w:t>后续原则草案之间的关系，特别是后者是否构成与前者不同的适用形式。委员们还建议重新考虑这条原则草案的标题，使之更</w:t>
      </w:r>
      <w:r w:rsidRPr="00BF42B7">
        <w:rPr>
          <w:rFonts w:hint="eastAsia"/>
          <w:lang w:val="zh-CN"/>
        </w:rPr>
        <w:t>符合原则</w:t>
      </w:r>
      <w:r w:rsidRPr="00BF42B7">
        <w:rPr>
          <w:lang w:val="zh-CN"/>
        </w:rPr>
        <w:t>草案的内容。</w:t>
      </w:r>
    </w:p>
    <w:p w:rsidR="006735D4" w:rsidRPr="00BF42B7" w:rsidRDefault="006735D4" w:rsidP="00C37E00">
      <w:pPr>
        <w:pStyle w:val="H23GC"/>
      </w:pPr>
      <w:r w:rsidRPr="00BF42B7">
        <w:rPr>
          <w:rFonts w:hint="eastAsia"/>
          <w:snapToGrid/>
        </w:rPr>
        <w:tab/>
      </w:r>
      <w:r w:rsidRPr="00BF42B7">
        <w:rPr>
          <w:snapToGrid/>
        </w:rPr>
        <w:t>(c)</w:t>
      </w:r>
      <w:r w:rsidRPr="00BF42B7">
        <w:rPr>
          <w:snapToGrid/>
        </w:rPr>
        <w:tab/>
      </w:r>
      <w:r w:rsidRPr="00BF42B7">
        <w:rPr>
          <w:rFonts w:hint="eastAsia"/>
          <w:lang w:val="zh-CN"/>
        </w:rPr>
        <w:t>原则草案</w:t>
      </w:r>
      <w:r w:rsidRPr="00BF42B7">
        <w:rPr>
          <w:lang w:val="zh-CN"/>
        </w:rPr>
        <w:t>1-3</w:t>
      </w:r>
      <w:r w:rsidRPr="00BF42B7">
        <w:rPr>
          <w:rFonts w:hint="eastAsia"/>
          <w:spacing w:val="-50"/>
          <w:lang w:val="zh-CN"/>
        </w:rPr>
        <w:t>―</w:t>
      </w:r>
      <w:r w:rsidRPr="00BF42B7">
        <w:rPr>
          <w:rFonts w:hint="eastAsia"/>
          <w:lang w:val="zh-CN"/>
        </w:rPr>
        <w:t>―部队地位协定和特派团地位协定</w:t>
      </w:r>
    </w:p>
    <w:p w:rsidR="006735D4" w:rsidRPr="00BF42B7" w:rsidRDefault="006735D4" w:rsidP="006735D4">
      <w:pPr>
        <w:tabs>
          <w:tab w:val="clear" w:pos="431"/>
          <w:tab w:val="left" w:pos="1134"/>
          <w:tab w:val="left" w:pos="1565"/>
          <w:tab w:val="left" w:pos="1996"/>
          <w:tab w:val="left" w:pos="2427"/>
        </w:tabs>
        <w:spacing w:after="120"/>
        <w:ind w:left="1134" w:right="1134"/>
        <w:rPr>
          <w:bCs/>
        </w:rPr>
      </w:pPr>
      <w:r w:rsidRPr="00BF42B7">
        <w:rPr>
          <w:rFonts w:hint="eastAsia"/>
          <w:bCs/>
        </w:rPr>
        <w:t>164</w:t>
      </w:r>
      <w:r w:rsidRPr="00BF42B7">
        <w:rPr>
          <w:bCs/>
        </w:rPr>
        <w:t xml:space="preserve">.  </w:t>
      </w:r>
      <w:r w:rsidRPr="00BF42B7">
        <w:rPr>
          <w:lang w:val="zh-CN"/>
        </w:rPr>
        <w:t>几名委员对原则草案</w:t>
      </w:r>
      <w:r w:rsidRPr="00BF42B7">
        <w:rPr>
          <w:rFonts w:hint="eastAsia"/>
          <w:lang w:val="zh-CN"/>
        </w:rPr>
        <w:t>1</w:t>
      </w:r>
      <w:r w:rsidRPr="00BF42B7">
        <w:rPr>
          <w:lang w:val="zh-CN"/>
        </w:rPr>
        <w:t>-3</w:t>
      </w:r>
      <w:r w:rsidRPr="00BF42B7">
        <w:rPr>
          <w:lang w:val="zh-CN"/>
        </w:rPr>
        <w:t>与本专题的相关性提出质疑。他们认为，部队地位协定和特派团地位协定并不</w:t>
      </w:r>
      <w:r w:rsidRPr="00BF42B7">
        <w:rPr>
          <w:rFonts w:hint="eastAsia"/>
          <w:lang w:val="zh-CN"/>
        </w:rPr>
        <w:t>像</w:t>
      </w:r>
      <w:r w:rsidRPr="00BF42B7">
        <w:rPr>
          <w:lang w:val="zh-CN"/>
        </w:rPr>
        <w:t>拟议条款中设想的</w:t>
      </w:r>
      <w:r w:rsidRPr="00BF42B7">
        <w:rPr>
          <w:rFonts w:hint="eastAsia"/>
          <w:lang w:val="zh-CN"/>
        </w:rPr>
        <w:t>那样</w:t>
      </w:r>
      <w:r w:rsidRPr="00BF42B7">
        <w:rPr>
          <w:lang w:val="zh-CN"/>
        </w:rPr>
        <w:t>涉及驻扎部队的行为，</w:t>
      </w:r>
      <w:r w:rsidRPr="00BF42B7">
        <w:rPr>
          <w:rFonts w:hint="eastAsia"/>
          <w:lang w:val="zh-CN"/>
        </w:rPr>
        <w:t>而且</w:t>
      </w:r>
      <w:r w:rsidRPr="00BF42B7">
        <w:rPr>
          <w:lang w:val="zh-CN"/>
        </w:rPr>
        <w:t>与武装冲突本身没有直接</w:t>
      </w:r>
      <w:r w:rsidRPr="00BF42B7">
        <w:rPr>
          <w:rFonts w:hint="eastAsia"/>
          <w:lang w:val="zh-CN"/>
        </w:rPr>
        <w:t>联</w:t>
      </w:r>
      <w:r w:rsidRPr="00BF42B7">
        <w:rPr>
          <w:lang w:val="zh-CN"/>
        </w:rPr>
        <w:t>系。有人建议如果保留这个条款，</w:t>
      </w:r>
      <w:r w:rsidRPr="00BF42B7">
        <w:rPr>
          <w:rFonts w:hint="eastAsia"/>
          <w:lang w:val="zh-CN"/>
        </w:rPr>
        <w:t>应当</w:t>
      </w:r>
      <w:r w:rsidRPr="00BF42B7">
        <w:rPr>
          <w:lang w:val="zh-CN"/>
        </w:rPr>
        <w:t>用</w:t>
      </w:r>
      <w:r w:rsidRPr="00BF42B7">
        <w:rPr>
          <w:rFonts w:hint="eastAsia"/>
          <w:lang w:val="zh-CN"/>
        </w:rPr>
        <w:t>“</w:t>
      </w:r>
      <w:r w:rsidRPr="00BF42B7">
        <w:rPr>
          <w:lang w:val="zh-CN"/>
        </w:rPr>
        <w:t>特殊协定</w:t>
      </w:r>
      <w:r w:rsidRPr="00BF42B7">
        <w:rPr>
          <w:rFonts w:hint="eastAsia"/>
          <w:lang w:val="zh-CN"/>
        </w:rPr>
        <w:t>”</w:t>
      </w:r>
      <w:r w:rsidRPr="00BF42B7">
        <w:rPr>
          <w:lang w:val="zh-CN"/>
        </w:rPr>
        <w:t>来指代此类协定。然而，委员们指出，目前的部队地位协定和特派团地位协定似乎</w:t>
      </w:r>
      <w:r w:rsidRPr="00BF42B7">
        <w:rPr>
          <w:rFonts w:hint="eastAsia"/>
          <w:lang w:val="zh-CN"/>
        </w:rPr>
        <w:t>已</w:t>
      </w:r>
      <w:r w:rsidRPr="00BF42B7">
        <w:rPr>
          <w:lang w:val="zh-CN"/>
        </w:rPr>
        <w:t>包括关于环境保护的条款，因此可以考虑原则草案中建议的措施。另一些委员虽然承认部队地位协定和特派团地位协定不涉及武装冲突，但是他们认为，</w:t>
      </w:r>
      <w:r w:rsidRPr="00BF42B7">
        <w:rPr>
          <w:rFonts w:hint="eastAsia"/>
          <w:lang w:val="zh-CN"/>
        </w:rPr>
        <w:t>这条</w:t>
      </w:r>
      <w:r w:rsidRPr="00BF42B7">
        <w:rPr>
          <w:lang w:val="zh-CN"/>
        </w:rPr>
        <w:t>原则草案</w:t>
      </w:r>
      <w:r w:rsidRPr="00BF42B7">
        <w:rPr>
          <w:rFonts w:hint="eastAsia"/>
          <w:lang w:val="zh-CN"/>
        </w:rPr>
        <w:t>构成</w:t>
      </w:r>
      <w:r w:rsidRPr="00BF42B7">
        <w:rPr>
          <w:lang w:val="zh-CN"/>
        </w:rPr>
        <w:t>一项重要的预防措施，可以处理对环境的其他潜在影响，例如军事基地的污染。委员们进一步强调，这条原则草案应反映</w:t>
      </w:r>
      <w:r w:rsidRPr="00BF42B7">
        <w:rPr>
          <w:rFonts w:hint="eastAsia"/>
          <w:lang w:val="zh-CN"/>
        </w:rPr>
        <w:t>“</w:t>
      </w:r>
      <w:r w:rsidRPr="00BF42B7">
        <w:rPr>
          <w:lang w:val="zh-CN"/>
        </w:rPr>
        <w:t>污染者付费</w:t>
      </w:r>
      <w:r w:rsidRPr="00BF42B7">
        <w:rPr>
          <w:rFonts w:hint="eastAsia"/>
          <w:lang w:val="zh-CN"/>
        </w:rPr>
        <w:t>”的</w:t>
      </w:r>
      <w:r w:rsidRPr="00BF42B7">
        <w:rPr>
          <w:lang w:val="zh-CN"/>
        </w:rPr>
        <w:t>原则。还</w:t>
      </w:r>
      <w:r w:rsidRPr="00BF42B7">
        <w:rPr>
          <w:rFonts w:hint="eastAsia"/>
          <w:lang w:val="zh-CN"/>
        </w:rPr>
        <w:t>有人</w:t>
      </w:r>
      <w:r w:rsidRPr="00BF42B7">
        <w:rPr>
          <w:lang w:val="zh-CN"/>
        </w:rPr>
        <w:t>表示，这条原则草案的最后一句列举了各种措施，导致难以确定这个条款草案属于哪个时间段。</w:t>
      </w:r>
    </w:p>
    <w:p w:rsidR="006735D4" w:rsidRPr="00BF42B7" w:rsidRDefault="006735D4" w:rsidP="00C37E00">
      <w:pPr>
        <w:pStyle w:val="H23GC"/>
      </w:pPr>
      <w:r w:rsidRPr="00BF42B7">
        <w:rPr>
          <w:rFonts w:hint="eastAsia"/>
          <w:snapToGrid/>
        </w:rPr>
        <w:tab/>
      </w:r>
      <w:r w:rsidRPr="00BF42B7">
        <w:rPr>
          <w:snapToGrid/>
        </w:rPr>
        <w:t>(d)</w:t>
      </w:r>
      <w:r w:rsidRPr="00BF42B7">
        <w:rPr>
          <w:snapToGrid/>
        </w:rPr>
        <w:tab/>
      </w:r>
      <w:r w:rsidRPr="00BF42B7">
        <w:rPr>
          <w:rFonts w:hint="eastAsia"/>
          <w:lang w:val="zh-CN"/>
        </w:rPr>
        <w:t>原则草案</w:t>
      </w:r>
      <w:r w:rsidRPr="00BF42B7">
        <w:rPr>
          <w:lang w:val="zh-CN"/>
        </w:rPr>
        <w:t>1-4</w:t>
      </w:r>
      <w:r w:rsidRPr="00BF42B7">
        <w:rPr>
          <w:rFonts w:hint="eastAsia"/>
          <w:spacing w:val="-50"/>
          <w:lang w:val="zh-CN"/>
        </w:rPr>
        <w:t>―</w:t>
      </w:r>
      <w:r w:rsidRPr="00BF42B7">
        <w:rPr>
          <w:rFonts w:hint="eastAsia"/>
          <w:lang w:val="zh-CN"/>
        </w:rPr>
        <w:t>―和平行动</w:t>
      </w:r>
    </w:p>
    <w:p w:rsidR="006735D4" w:rsidRPr="00BF42B7" w:rsidRDefault="006735D4" w:rsidP="006735D4">
      <w:pPr>
        <w:tabs>
          <w:tab w:val="clear" w:pos="431"/>
          <w:tab w:val="left" w:pos="1134"/>
          <w:tab w:val="left" w:pos="1565"/>
          <w:tab w:val="left" w:pos="1996"/>
          <w:tab w:val="left" w:pos="2427"/>
        </w:tabs>
        <w:spacing w:after="120"/>
        <w:ind w:left="1134" w:right="1134"/>
        <w:rPr>
          <w:bCs/>
        </w:rPr>
      </w:pPr>
      <w:r w:rsidRPr="00BF42B7">
        <w:rPr>
          <w:rFonts w:hint="eastAsia"/>
          <w:bCs/>
        </w:rPr>
        <w:t>165</w:t>
      </w:r>
      <w:r w:rsidRPr="00BF42B7">
        <w:rPr>
          <w:bCs/>
        </w:rPr>
        <w:t xml:space="preserve">.  </w:t>
      </w:r>
      <w:r w:rsidRPr="00BF42B7">
        <w:rPr>
          <w:lang w:val="zh-CN"/>
        </w:rPr>
        <w:t>认识到和平行动似乎越来越多地考虑到令人关切的环境问题，几名委员表示赞同在本专题内讨论这个问题。然而，他们质疑不该将这条原则草案安排在冲突前阶段，因为拟议条款中列举的措施看来不仅适用于预防阶段，而且适用于行动阶段</w:t>
      </w:r>
      <w:r w:rsidRPr="00BF42B7">
        <w:rPr>
          <w:lang w:val="zh-CN"/>
        </w:rPr>
        <w:t>(</w:t>
      </w:r>
      <w:r w:rsidRPr="00BF42B7">
        <w:rPr>
          <w:lang w:val="zh-CN"/>
        </w:rPr>
        <w:t>缓解</w:t>
      </w:r>
      <w:r w:rsidRPr="00BF42B7">
        <w:rPr>
          <w:lang w:val="zh-CN"/>
        </w:rPr>
        <w:t>)</w:t>
      </w:r>
      <w:r w:rsidRPr="00BF42B7">
        <w:rPr>
          <w:lang w:val="zh-CN"/>
        </w:rPr>
        <w:t>和冲突后阶段</w:t>
      </w:r>
      <w:r w:rsidRPr="00BF42B7">
        <w:rPr>
          <w:lang w:val="zh-CN"/>
        </w:rPr>
        <w:t>(</w:t>
      </w:r>
      <w:r w:rsidRPr="00BF42B7">
        <w:rPr>
          <w:lang w:val="zh-CN"/>
        </w:rPr>
        <w:t>补救</w:t>
      </w:r>
      <w:r w:rsidRPr="00BF42B7">
        <w:rPr>
          <w:lang w:val="zh-CN"/>
        </w:rPr>
        <w:t>)</w:t>
      </w:r>
      <w:r w:rsidRPr="00BF42B7">
        <w:rPr>
          <w:lang w:val="zh-CN"/>
        </w:rPr>
        <w:t>。因此，应该在每</w:t>
      </w:r>
      <w:r w:rsidRPr="00BF42B7">
        <w:rPr>
          <w:rFonts w:hint="eastAsia"/>
          <w:lang w:val="zh-CN"/>
        </w:rPr>
        <w:t>一</w:t>
      </w:r>
      <w:r w:rsidRPr="00BF42B7">
        <w:rPr>
          <w:lang w:val="zh-CN"/>
        </w:rPr>
        <w:t>阶段都体现这些义务，或者把它</w:t>
      </w:r>
      <w:r w:rsidRPr="00BF42B7">
        <w:rPr>
          <w:rFonts w:hint="eastAsia"/>
          <w:lang w:val="zh-CN"/>
        </w:rPr>
        <w:t>们</w:t>
      </w:r>
      <w:r w:rsidRPr="00BF42B7">
        <w:rPr>
          <w:lang w:val="zh-CN"/>
        </w:rPr>
        <w:t>安排在论述与所有时间段均相关的一般原则的总则部分。委员们还指出，和平行动在冲突后恢复中可发挥重要作用，因此这条原则草案应把重点放在恢复和补救措施上。为了更好地界定这条原则草案的范围，委员们建议界定</w:t>
      </w:r>
      <w:r w:rsidRPr="00BF42B7">
        <w:rPr>
          <w:rFonts w:hint="eastAsia"/>
          <w:lang w:val="zh-CN"/>
        </w:rPr>
        <w:t>“</w:t>
      </w:r>
      <w:r w:rsidRPr="00BF42B7">
        <w:rPr>
          <w:lang w:val="zh-CN"/>
        </w:rPr>
        <w:t>和平行动</w:t>
      </w:r>
      <w:r w:rsidRPr="00BF42B7">
        <w:rPr>
          <w:rFonts w:hint="eastAsia"/>
          <w:lang w:val="zh-CN"/>
        </w:rPr>
        <w:t>”</w:t>
      </w:r>
      <w:r w:rsidRPr="00BF42B7">
        <w:rPr>
          <w:lang w:val="zh-CN"/>
        </w:rPr>
        <w:t>一词</w:t>
      </w:r>
      <w:r w:rsidRPr="00BF42B7">
        <w:rPr>
          <w:rFonts w:hint="eastAsia"/>
          <w:lang w:val="zh-CN"/>
        </w:rPr>
        <w:t>在这条</w:t>
      </w:r>
      <w:r w:rsidRPr="00BF42B7">
        <w:rPr>
          <w:lang w:val="zh-CN"/>
        </w:rPr>
        <w:t>原则草案</w:t>
      </w:r>
      <w:r w:rsidRPr="00BF42B7">
        <w:rPr>
          <w:rFonts w:hint="eastAsia"/>
          <w:lang w:val="zh-CN"/>
        </w:rPr>
        <w:t>中的含义</w:t>
      </w:r>
      <w:r w:rsidRPr="00BF42B7">
        <w:rPr>
          <w:lang w:val="zh-CN"/>
        </w:rPr>
        <w:t>，或至少在评注中加以解释。此外，原则草案中的措辞需要更宽松，以更好地反映当前的法律状况</w:t>
      </w:r>
      <w:r w:rsidRPr="00BF42B7">
        <w:rPr>
          <w:rFonts w:hint="eastAsia"/>
          <w:spacing w:val="-50"/>
          <w:lang w:val="zh-CN"/>
        </w:rPr>
        <w:t>―</w:t>
      </w:r>
      <w:r w:rsidRPr="00BF42B7">
        <w:rPr>
          <w:rFonts w:hint="eastAsia"/>
          <w:lang w:val="zh-CN"/>
        </w:rPr>
        <w:t>―</w:t>
      </w:r>
      <w:r w:rsidRPr="00BF42B7">
        <w:rPr>
          <w:lang w:val="zh-CN"/>
        </w:rPr>
        <w:t>国际法中似乎还没有任何相应的义务。一些委员就此指出，报告所载关于和平行动实践的研究和分析不足以证实拟议条款的内容。委员们还指出，维持和平行动的前提条件，特别是不使用武力和须当事各方同意</w:t>
      </w:r>
      <w:r w:rsidRPr="00BF42B7">
        <w:rPr>
          <w:rFonts w:hint="eastAsia"/>
          <w:lang w:val="zh-CN"/>
        </w:rPr>
        <w:t>的要求</w:t>
      </w:r>
      <w:r w:rsidRPr="00BF42B7">
        <w:rPr>
          <w:lang w:val="zh-CN"/>
        </w:rPr>
        <w:t>，使之有别于武装冲突。将维持和平行动纳入本专题的范围，有将其描述为武装冲突的风险，会</w:t>
      </w:r>
      <w:r w:rsidRPr="00BF42B7">
        <w:rPr>
          <w:rFonts w:hint="eastAsia"/>
          <w:lang w:val="zh-CN"/>
        </w:rPr>
        <w:t>影响此类</w:t>
      </w:r>
      <w:r w:rsidRPr="00BF42B7">
        <w:rPr>
          <w:lang w:val="zh-CN"/>
        </w:rPr>
        <w:t>行动</w:t>
      </w:r>
      <w:r w:rsidRPr="00BF42B7">
        <w:rPr>
          <w:rFonts w:hint="eastAsia"/>
          <w:lang w:val="zh-CN"/>
        </w:rPr>
        <w:t>在整体上的</w:t>
      </w:r>
      <w:r w:rsidRPr="00BF42B7">
        <w:rPr>
          <w:lang w:val="zh-CN"/>
        </w:rPr>
        <w:t>可行性和作用。</w:t>
      </w:r>
    </w:p>
    <w:p w:rsidR="006735D4" w:rsidRPr="00BF42B7" w:rsidRDefault="006735D4" w:rsidP="00C37E00">
      <w:pPr>
        <w:pStyle w:val="H23GC"/>
      </w:pPr>
      <w:r w:rsidRPr="00BF42B7">
        <w:rPr>
          <w:rFonts w:hint="eastAsia"/>
          <w:snapToGrid/>
        </w:rPr>
        <w:tab/>
      </w:r>
      <w:r w:rsidRPr="00BF42B7">
        <w:rPr>
          <w:snapToGrid/>
        </w:rPr>
        <w:t>(e)</w:t>
      </w:r>
      <w:r w:rsidRPr="00BF42B7">
        <w:rPr>
          <w:snapToGrid/>
        </w:rPr>
        <w:tab/>
      </w:r>
      <w:r w:rsidRPr="00BF42B7">
        <w:rPr>
          <w:rFonts w:hint="eastAsia"/>
          <w:lang w:val="zh-CN"/>
        </w:rPr>
        <w:t>原则草案</w:t>
      </w:r>
      <w:r w:rsidRPr="00BF42B7">
        <w:rPr>
          <w:lang w:val="zh-CN"/>
        </w:rPr>
        <w:t>3-1</w:t>
      </w:r>
      <w:r w:rsidRPr="00BF42B7">
        <w:rPr>
          <w:rFonts w:hint="eastAsia"/>
          <w:spacing w:val="-50"/>
          <w:lang w:val="zh-CN"/>
        </w:rPr>
        <w:t>―</w:t>
      </w:r>
      <w:r w:rsidRPr="00BF42B7">
        <w:rPr>
          <w:rFonts w:hint="eastAsia"/>
          <w:lang w:val="zh-CN"/>
        </w:rPr>
        <w:t>―和平协定</w:t>
      </w:r>
    </w:p>
    <w:p w:rsidR="006735D4" w:rsidRPr="00BF42B7" w:rsidRDefault="006735D4" w:rsidP="006735D4">
      <w:pPr>
        <w:tabs>
          <w:tab w:val="clear" w:pos="431"/>
          <w:tab w:val="left" w:pos="1134"/>
          <w:tab w:val="left" w:pos="1565"/>
          <w:tab w:val="left" w:pos="1996"/>
          <w:tab w:val="left" w:pos="2427"/>
        </w:tabs>
        <w:spacing w:after="120"/>
        <w:ind w:left="1134" w:right="1134"/>
        <w:rPr>
          <w:bCs/>
        </w:rPr>
      </w:pPr>
      <w:r w:rsidRPr="00BF42B7">
        <w:rPr>
          <w:rFonts w:hint="eastAsia"/>
          <w:bCs/>
        </w:rPr>
        <w:t>166</w:t>
      </w:r>
      <w:r w:rsidRPr="00BF42B7">
        <w:rPr>
          <w:bCs/>
        </w:rPr>
        <w:t xml:space="preserve">.  </w:t>
      </w:r>
      <w:r w:rsidRPr="00BF42B7">
        <w:rPr>
          <w:lang w:val="zh-CN"/>
        </w:rPr>
        <w:t>几名委员表示赞同原则草案</w:t>
      </w:r>
      <w:r w:rsidRPr="00BF42B7">
        <w:rPr>
          <w:lang w:val="zh-CN"/>
        </w:rPr>
        <w:t>3-1,</w:t>
      </w:r>
      <w:r w:rsidRPr="00BF42B7">
        <w:rPr>
          <w:rFonts w:hint="eastAsia"/>
          <w:lang w:val="zh-CN"/>
        </w:rPr>
        <w:t xml:space="preserve"> </w:t>
      </w:r>
      <w:r w:rsidRPr="00BF42B7">
        <w:rPr>
          <w:lang w:val="zh-CN"/>
        </w:rPr>
        <w:t>认为和平协定</w:t>
      </w:r>
      <w:r w:rsidRPr="00BF42B7">
        <w:rPr>
          <w:rFonts w:hint="eastAsia"/>
          <w:lang w:val="zh-CN"/>
        </w:rPr>
        <w:t>中</w:t>
      </w:r>
      <w:r w:rsidRPr="00BF42B7">
        <w:rPr>
          <w:lang w:val="zh-CN"/>
        </w:rPr>
        <w:t>应载有关于恢复因武装冲突受损害的环境的条款。不过他们强调，冲突后环境保护的管理和管理责任的分配不属于本专题的范围。一些委员指出这条原则草案在他们眼中的一个缺陷，认为和平协定中还应载有相关条款，处理与证明犯罪、分配环境损害的责任和赔偿有关的问题。委员们指出，国际组织和区域组织为促进将此类条款纳入和平协定所发挥的作用，也应</w:t>
      </w:r>
      <w:r w:rsidRPr="00BF42B7">
        <w:rPr>
          <w:rFonts w:hint="eastAsia"/>
          <w:lang w:val="zh-CN"/>
        </w:rPr>
        <w:t>得到</w:t>
      </w:r>
      <w:r w:rsidRPr="00BF42B7">
        <w:rPr>
          <w:lang w:val="zh-CN"/>
        </w:rPr>
        <w:t>体现。</w:t>
      </w:r>
    </w:p>
    <w:p w:rsidR="006735D4" w:rsidRPr="00BF42B7" w:rsidRDefault="006735D4" w:rsidP="006735D4">
      <w:pPr>
        <w:tabs>
          <w:tab w:val="clear" w:pos="431"/>
          <w:tab w:val="left" w:pos="1134"/>
          <w:tab w:val="left" w:pos="1565"/>
          <w:tab w:val="left" w:pos="1996"/>
          <w:tab w:val="left" w:pos="2427"/>
        </w:tabs>
        <w:spacing w:after="120"/>
        <w:ind w:left="1134" w:right="1134"/>
        <w:rPr>
          <w:bCs/>
        </w:rPr>
      </w:pPr>
      <w:r w:rsidRPr="00BF42B7">
        <w:rPr>
          <w:rFonts w:hint="eastAsia"/>
          <w:bCs/>
        </w:rPr>
        <w:t>167</w:t>
      </w:r>
      <w:r w:rsidRPr="00BF42B7">
        <w:rPr>
          <w:bCs/>
        </w:rPr>
        <w:t xml:space="preserve">.  </w:t>
      </w:r>
      <w:r w:rsidRPr="00BF42B7">
        <w:rPr>
          <w:lang w:val="zh-CN"/>
        </w:rPr>
        <w:t>另一些委员评论说，这条原则草案在提到武装冲突时没有对冲突的性质加以任何限定，也没有区分国家和非国家行为者。这种做法存在问题，因为在国际性和非国际性武装冲突中，冲突各方之间的动态</w:t>
      </w:r>
      <w:r w:rsidRPr="00BF42B7">
        <w:rPr>
          <w:rFonts w:hint="eastAsia"/>
          <w:lang w:val="zh-CN"/>
        </w:rPr>
        <w:t>关系</w:t>
      </w:r>
      <w:r w:rsidRPr="00BF42B7">
        <w:rPr>
          <w:lang w:val="zh-CN"/>
        </w:rPr>
        <w:t>也大相径庭；在后一种情况下，冲突一方可能消失</w:t>
      </w:r>
      <w:r w:rsidRPr="00BF42B7">
        <w:rPr>
          <w:rFonts w:hint="eastAsia"/>
          <w:lang w:val="zh-CN"/>
        </w:rPr>
        <w:t>不见</w:t>
      </w:r>
      <w:r w:rsidRPr="00BF42B7">
        <w:rPr>
          <w:lang w:val="zh-CN"/>
        </w:rPr>
        <w:t>。此外，为非国家行为者规定与国家类似的义务，有可能使冲突一方合法化。委员们就此建议，应将这条原则草案的实质范围限定为国际性武装冲突；但他们同时指出，由于报告主要讨论了与非国际性武装冲突有关的和平协定，这个问题可能需要进一步研究。不过还有委员表达了以下看法：目前国家之间很少缔结和平协定，而且缔结协定的时候，通常也不包含关于环境保护的条款。因此，应将范围限定为非国际</w:t>
      </w:r>
      <w:r w:rsidRPr="00BF42B7">
        <w:rPr>
          <w:rFonts w:hint="eastAsia"/>
          <w:lang w:val="zh-CN"/>
        </w:rPr>
        <w:t>性</w:t>
      </w:r>
      <w:r w:rsidRPr="00BF42B7">
        <w:rPr>
          <w:lang w:val="zh-CN"/>
        </w:rPr>
        <w:t>武装冲突。</w:t>
      </w:r>
    </w:p>
    <w:p w:rsidR="006735D4" w:rsidRPr="00BF42B7" w:rsidRDefault="006735D4" w:rsidP="00C37E00">
      <w:pPr>
        <w:pStyle w:val="H23GC"/>
      </w:pPr>
      <w:r w:rsidRPr="00BF42B7">
        <w:rPr>
          <w:rFonts w:hint="eastAsia"/>
          <w:snapToGrid/>
        </w:rPr>
        <w:tab/>
      </w:r>
      <w:r w:rsidRPr="00BF42B7">
        <w:rPr>
          <w:snapToGrid/>
        </w:rPr>
        <w:t>(f)</w:t>
      </w:r>
      <w:r w:rsidRPr="00BF42B7">
        <w:rPr>
          <w:snapToGrid/>
        </w:rPr>
        <w:tab/>
      </w:r>
      <w:r w:rsidRPr="00BF42B7">
        <w:rPr>
          <w:rFonts w:hint="eastAsia"/>
          <w:lang w:val="zh-CN"/>
        </w:rPr>
        <w:t>原则草案</w:t>
      </w:r>
      <w:r w:rsidRPr="00BF42B7">
        <w:rPr>
          <w:lang w:val="zh-CN"/>
        </w:rPr>
        <w:t>3-2</w:t>
      </w:r>
      <w:r w:rsidRPr="00BF42B7">
        <w:rPr>
          <w:rFonts w:hint="eastAsia"/>
          <w:spacing w:val="-50"/>
          <w:lang w:val="zh-CN"/>
        </w:rPr>
        <w:t>―</w:t>
      </w:r>
      <w:r w:rsidRPr="00BF42B7">
        <w:rPr>
          <w:rFonts w:hint="eastAsia"/>
          <w:lang w:val="zh-CN"/>
        </w:rPr>
        <w:t>―冲突后环境评估和审查</w:t>
      </w:r>
    </w:p>
    <w:p w:rsidR="006735D4" w:rsidRPr="00BF42B7" w:rsidRDefault="006735D4" w:rsidP="006735D4">
      <w:pPr>
        <w:tabs>
          <w:tab w:val="clear" w:pos="431"/>
          <w:tab w:val="left" w:pos="1134"/>
          <w:tab w:val="left" w:pos="1565"/>
          <w:tab w:val="left" w:pos="1996"/>
          <w:tab w:val="left" w:pos="2427"/>
        </w:tabs>
        <w:spacing w:after="120"/>
        <w:ind w:left="1134" w:right="1134"/>
      </w:pPr>
      <w:r w:rsidRPr="00BF42B7">
        <w:rPr>
          <w:rFonts w:hint="eastAsia"/>
        </w:rPr>
        <w:t>168</w:t>
      </w:r>
      <w:r w:rsidRPr="00BF42B7">
        <w:t xml:space="preserve">.  </w:t>
      </w:r>
      <w:r w:rsidRPr="00BF42B7">
        <w:rPr>
          <w:lang w:val="zh-CN"/>
        </w:rPr>
        <w:t>委员会委员普遍承认冲突后环境评估和审查的重要性。有人指出，原则草案没有反映国际法之下现有的法律义务，而是提出了一项重要的政策考虑因素。然而，委员们就这条原则草案第</w:t>
      </w:r>
      <w:r w:rsidRPr="00BF42B7">
        <w:rPr>
          <w:lang w:val="zh-CN"/>
        </w:rPr>
        <w:t>1</w:t>
      </w:r>
      <w:r w:rsidRPr="00BF42B7">
        <w:rPr>
          <w:rFonts w:hint="eastAsia"/>
          <w:lang w:val="zh-CN"/>
        </w:rPr>
        <w:t>段</w:t>
      </w:r>
      <w:r w:rsidRPr="00BF42B7">
        <w:rPr>
          <w:lang w:val="zh-CN"/>
        </w:rPr>
        <w:t>的时间范围提出了问题，一</w:t>
      </w:r>
      <w:r w:rsidRPr="00BF42B7">
        <w:rPr>
          <w:rFonts w:hint="eastAsia"/>
          <w:lang w:val="zh-CN"/>
        </w:rPr>
        <w:t>个</w:t>
      </w:r>
      <w:r w:rsidRPr="00BF42B7">
        <w:rPr>
          <w:lang w:val="zh-CN"/>
        </w:rPr>
        <w:t>是</w:t>
      </w:r>
      <w:r w:rsidRPr="00BF42B7">
        <w:rPr>
          <w:rFonts w:hint="eastAsia"/>
          <w:lang w:val="zh-CN"/>
        </w:rPr>
        <w:t>在</w:t>
      </w:r>
      <w:r w:rsidRPr="00BF42B7">
        <w:rPr>
          <w:lang w:val="zh-CN"/>
        </w:rPr>
        <w:t>哪个时间点应开展此类评估和审查，另一个是将这个条款安排在冲突后阶段的问题。关于前一个问题，委员们指出，前交战各方不大可能在敌对行动停止后立即合作，留下了一大段需要填补的空白。关于后一个问题，委员们建议说，评估和审查在武装冲突阶段同样重要，特别是</w:t>
      </w:r>
      <w:r w:rsidRPr="00BF42B7">
        <w:rPr>
          <w:rFonts w:hint="eastAsia"/>
          <w:lang w:val="zh-CN"/>
        </w:rPr>
        <w:t>在</w:t>
      </w:r>
      <w:r w:rsidRPr="00BF42B7">
        <w:rPr>
          <w:lang w:val="zh-CN"/>
        </w:rPr>
        <w:t>需要立即</w:t>
      </w:r>
      <w:r w:rsidRPr="00BF42B7">
        <w:rPr>
          <w:rFonts w:hint="eastAsia"/>
          <w:lang w:val="zh-CN"/>
        </w:rPr>
        <w:t>对</w:t>
      </w:r>
      <w:r w:rsidRPr="00BF42B7">
        <w:rPr>
          <w:lang w:val="zh-CN"/>
        </w:rPr>
        <w:t>损害采取缓解措施的时候。此外，委员们还表示，这条原则草案第</w:t>
      </w:r>
      <w:r w:rsidRPr="00BF42B7">
        <w:rPr>
          <w:lang w:val="zh-CN"/>
        </w:rPr>
        <w:t>1</w:t>
      </w:r>
      <w:r w:rsidRPr="00BF42B7">
        <w:rPr>
          <w:rFonts w:hint="eastAsia"/>
          <w:lang w:val="zh-CN"/>
        </w:rPr>
        <w:t>段</w:t>
      </w:r>
      <w:r w:rsidRPr="00BF42B7">
        <w:rPr>
          <w:lang w:val="zh-CN"/>
        </w:rPr>
        <w:t>的范围应限于国家，因为与非国家行为者合作的需要只能逐一评价。关于第</w:t>
      </w:r>
      <w:r w:rsidRPr="00BF42B7">
        <w:rPr>
          <w:lang w:val="zh-CN"/>
        </w:rPr>
        <w:t>2</w:t>
      </w:r>
      <w:r w:rsidRPr="00BF42B7">
        <w:rPr>
          <w:rFonts w:hint="eastAsia"/>
          <w:lang w:val="zh-CN"/>
        </w:rPr>
        <w:t>段</w:t>
      </w:r>
      <w:r w:rsidRPr="00BF42B7">
        <w:rPr>
          <w:lang w:val="zh-CN"/>
        </w:rPr>
        <w:t>，委员们指出，如果开展此类评估的目的只是为了惠及今后的行动</w:t>
      </w:r>
      <w:r w:rsidRPr="00BF42B7">
        <w:rPr>
          <w:rFonts w:hint="eastAsia"/>
          <w:lang w:val="zh-CN"/>
        </w:rPr>
        <w:t>(</w:t>
      </w:r>
      <w:r w:rsidRPr="00BF42B7">
        <w:rPr>
          <w:rFonts w:hint="eastAsia"/>
          <w:lang w:val="zh-CN"/>
        </w:rPr>
        <w:t>这一目的</w:t>
      </w:r>
      <w:r w:rsidRPr="00BF42B7">
        <w:rPr>
          <w:lang w:val="zh-CN"/>
        </w:rPr>
        <w:t>本身就受到质疑</w:t>
      </w:r>
      <w:r w:rsidRPr="00BF42B7">
        <w:rPr>
          <w:rFonts w:hint="eastAsia"/>
          <w:lang w:val="zh-CN"/>
        </w:rPr>
        <w:t>)</w:t>
      </w:r>
      <w:r w:rsidRPr="00BF42B7">
        <w:rPr>
          <w:lang w:val="zh-CN"/>
        </w:rPr>
        <w:t>，本条款更宜安排在预防阶段，或者完全删除，因为原则草案</w:t>
      </w:r>
      <w:r w:rsidRPr="00BF42B7">
        <w:rPr>
          <w:lang w:val="zh-CN"/>
        </w:rPr>
        <w:t>1-4</w:t>
      </w:r>
      <w:r w:rsidRPr="00BF42B7">
        <w:rPr>
          <w:lang w:val="zh-CN"/>
        </w:rPr>
        <w:t>已经涵盖了它的内容。另有建议说，</w:t>
      </w:r>
      <w:r w:rsidRPr="00BF42B7">
        <w:rPr>
          <w:rFonts w:hint="eastAsia"/>
          <w:lang w:val="zh-CN"/>
        </w:rPr>
        <w:t>这条</w:t>
      </w:r>
      <w:r w:rsidRPr="00BF42B7">
        <w:rPr>
          <w:lang w:val="zh-CN"/>
        </w:rPr>
        <w:t>原则草案还应反映出开展环境评估和审查的人员需要得到保护。</w:t>
      </w:r>
    </w:p>
    <w:p w:rsidR="006735D4" w:rsidRPr="00BF42B7" w:rsidRDefault="006735D4" w:rsidP="006735D4">
      <w:pPr>
        <w:tabs>
          <w:tab w:val="clear" w:pos="431"/>
          <w:tab w:val="left" w:pos="1134"/>
          <w:tab w:val="left" w:pos="1565"/>
          <w:tab w:val="left" w:pos="1996"/>
          <w:tab w:val="left" w:pos="2427"/>
        </w:tabs>
        <w:spacing w:after="120"/>
        <w:ind w:left="1134" w:right="1134"/>
      </w:pPr>
      <w:r w:rsidRPr="00BF42B7">
        <w:rPr>
          <w:rFonts w:hint="eastAsia"/>
        </w:rPr>
        <w:t>169</w:t>
      </w:r>
      <w:r w:rsidRPr="00BF42B7">
        <w:t xml:space="preserve">.  </w:t>
      </w:r>
      <w:r w:rsidRPr="00BF42B7">
        <w:rPr>
          <w:lang w:val="zh-CN"/>
        </w:rPr>
        <w:t>委员们进一步指出，需要分析这条原则草案如何及在多大程度上依据了环境规则，以便</w:t>
      </w:r>
      <w:r w:rsidRPr="00BF42B7">
        <w:rPr>
          <w:rFonts w:hint="eastAsia"/>
          <w:lang w:val="zh-CN"/>
        </w:rPr>
        <w:t>适当</w:t>
      </w:r>
      <w:r w:rsidRPr="00BF42B7">
        <w:rPr>
          <w:lang w:val="zh-CN"/>
        </w:rPr>
        <w:t>评价它对于武装冲突的相关性和适用性。</w:t>
      </w:r>
    </w:p>
    <w:p w:rsidR="006735D4" w:rsidRPr="00BF42B7" w:rsidRDefault="006735D4" w:rsidP="00C37E00">
      <w:pPr>
        <w:pStyle w:val="H23GC"/>
      </w:pPr>
      <w:r w:rsidRPr="00BF42B7">
        <w:rPr>
          <w:rFonts w:hint="eastAsia"/>
          <w:snapToGrid/>
        </w:rPr>
        <w:tab/>
      </w:r>
      <w:r w:rsidRPr="00BF42B7">
        <w:rPr>
          <w:snapToGrid/>
        </w:rPr>
        <w:t>(g)</w:t>
      </w:r>
      <w:r w:rsidRPr="00BF42B7">
        <w:rPr>
          <w:snapToGrid/>
        </w:rPr>
        <w:tab/>
      </w:r>
      <w:r w:rsidRPr="00BF42B7">
        <w:rPr>
          <w:rFonts w:hint="eastAsia"/>
          <w:lang w:val="zh-CN"/>
        </w:rPr>
        <w:t>原则草案</w:t>
      </w:r>
      <w:r w:rsidRPr="00BF42B7">
        <w:rPr>
          <w:lang w:val="zh-CN"/>
        </w:rPr>
        <w:t>3-3</w:t>
      </w:r>
      <w:r w:rsidRPr="00BF42B7">
        <w:rPr>
          <w:rFonts w:hint="eastAsia"/>
          <w:spacing w:val="-50"/>
          <w:lang w:val="zh-CN"/>
        </w:rPr>
        <w:t>―</w:t>
      </w:r>
      <w:r w:rsidRPr="00BF42B7">
        <w:rPr>
          <w:rFonts w:hint="eastAsia"/>
          <w:lang w:val="zh-CN"/>
        </w:rPr>
        <w:t>―战争遗留物和原则草案</w:t>
      </w:r>
      <w:r w:rsidRPr="00BF42B7">
        <w:rPr>
          <w:lang w:val="zh-CN"/>
        </w:rPr>
        <w:t>3-4</w:t>
      </w:r>
      <w:r w:rsidRPr="00BF42B7">
        <w:rPr>
          <w:rFonts w:hint="eastAsia"/>
          <w:spacing w:val="-50"/>
          <w:lang w:val="zh-CN"/>
        </w:rPr>
        <w:t>―</w:t>
      </w:r>
      <w:r w:rsidRPr="00BF42B7">
        <w:rPr>
          <w:rFonts w:hint="eastAsia"/>
          <w:lang w:val="zh-CN"/>
        </w:rPr>
        <w:t>―海上战争遗留物</w:t>
      </w:r>
    </w:p>
    <w:p w:rsidR="006735D4" w:rsidRPr="00BF42B7" w:rsidRDefault="006735D4" w:rsidP="006735D4">
      <w:pPr>
        <w:tabs>
          <w:tab w:val="clear" w:pos="431"/>
          <w:tab w:val="left" w:pos="1134"/>
          <w:tab w:val="left" w:pos="1565"/>
          <w:tab w:val="left" w:pos="1996"/>
          <w:tab w:val="left" w:pos="2427"/>
        </w:tabs>
        <w:spacing w:after="120"/>
        <w:ind w:left="1134" w:right="1134"/>
      </w:pPr>
      <w:r w:rsidRPr="00BF42B7">
        <w:rPr>
          <w:rFonts w:hint="eastAsia"/>
        </w:rPr>
        <w:t>170</w:t>
      </w:r>
      <w:r w:rsidRPr="00BF42B7">
        <w:t xml:space="preserve">.  </w:t>
      </w:r>
      <w:r w:rsidRPr="00BF42B7">
        <w:rPr>
          <w:lang w:val="zh-CN"/>
        </w:rPr>
        <w:t>几名委员认为，原则草案</w:t>
      </w:r>
      <w:r w:rsidRPr="00BF42B7">
        <w:rPr>
          <w:lang w:val="zh-CN"/>
        </w:rPr>
        <w:t>3-3</w:t>
      </w:r>
      <w:r w:rsidRPr="00BF42B7">
        <w:rPr>
          <w:lang w:val="zh-CN"/>
        </w:rPr>
        <w:t>和</w:t>
      </w:r>
      <w:r w:rsidRPr="00BF42B7">
        <w:rPr>
          <w:lang w:val="zh-CN"/>
        </w:rPr>
        <w:t>3-4</w:t>
      </w:r>
      <w:r w:rsidRPr="00BF42B7">
        <w:rPr>
          <w:lang w:val="zh-CN"/>
        </w:rPr>
        <w:t>与本专题极为相关。然而有些委员指出，这两条原则草案必须进一步明确与环境保护的联系。这一点对于原则草案</w:t>
      </w:r>
      <w:r w:rsidRPr="00BF42B7">
        <w:rPr>
          <w:lang w:val="zh-CN"/>
        </w:rPr>
        <w:t>3-3</w:t>
      </w:r>
      <w:r w:rsidRPr="00BF42B7">
        <w:rPr>
          <w:lang w:val="zh-CN"/>
        </w:rPr>
        <w:t>尤为重要，这条草案依据的理由似乎是对人和财产造成的损害，而不是对环境的损害。出于同样的原因，委员们指出，原则草案</w:t>
      </w:r>
      <w:r w:rsidRPr="00BF42B7">
        <w:rPr>
          <w:lang w:val="zh-CN"/>
        </w:rPr>
        <w:t>3-4</w:t>
      </w:r>
      <w:r w:rsidRPr="00BF42B7">
        <w:rPr>
          <w:lang w:val="zh-CN"/>
        </w:rPr>
        <w:t>中提到公共健康和海员安全之处，应予删除。</w:t>
      </w:r>
    </w:p>
    <w:p w:rsidR="006735D4" w:rsidRPr="00BF42B7" w:rsidRDefault="006735D4" w:rsidP="006735D4">
      <w:pPr>
        <w:tabs>
          <w:tab w:val="clear" w:pos="431"/>
          <w:tab w:val="left" w:pos="1134"/>
          <w:tab w:val="left" w:pos="1565"/>
          <w:tab w:val="left" w:pos="1996"/>
          <w:tab w:val="left" w:pos="2427"/>
        </w:tabs>
        <w:spacing w:after="120"/>
        <w:ind w:left="1134" w:right="1134"/>
      </w:pPr>
      <w:r w:rsidRPr="00BF42B7">
        <w:rPr>
          <w:rFonts w:hint="eastAsia"/>
        </w:rPr>
        <w:t>171</w:t>
      </w:r>
      <w:r w:rsidRPr="00BF42B7">
        <w:t xml:space="preserve">.  </w:t>
      </w:r>
      <w:r w:rsidRPr="00BF42B7">
        <w:rPr>
          <w:lang w:val="zh-CN"/>
        </w:rPr>
        <w:t>原则草案</w:t>
      </w:r>
      <w:r w:rsidRPr="00BF42B7">
        <w:rPr>
          <w:lang w:val="zh-CN"/>
        </w:rPr>
        <w:t>3-3</w:t>
      </w:r>
      <w:r w:rsidRPr="00BF42B7">
        <w:rPr>
          <w:lang w:val="zh-CN"/>
        </w:rPr>
        <w:t>中还需澄清谁应承担主要责任，履行其中所载义务的问题。一些委员就此表示，这种责任仍应</w:t>
      </w:r>
      <w:r w:rsidRPr="00BF42B7">
        <w:rPr>
          <w:rFonts w:hint="eastAsia"/>
          <w:lang w:val="zh-CN"/>
        </w:rPr>
        <w:t>该</w:t>
      </w:r>
      <w:r w:rsidRPr="00BF42B7">
        <w:rPr>
          <w:lang w:val="zh-CN"/>
        </w:rPr>
        <w:t>由拥有有效管辖权的国家和相关国际组织承担；期望参与武装冲突的非国家行为者采取原则草案中设想的措施，</w:t>
      </w:r>
      <w:r w:rsidRPr="00BF42B7">
        <w:rPr>
          <w:rFonts w:hint="eastAsia"/>
          <w:lang w:val="zh-CN"/>
        </w:rPr>
        <w:t>并</w:t>
      </w:r>
      <w:r w:rsidRPr="00BF42B7">
        <w:rPr>
          <w:lang w:val="zh-CN"/>
        </w:rPr>
        <w:t>不现实。委员们还建议，在这条原则草案中纳入《敷设水下自动触发水雷公约》第</w:t>
      </w:r>
      <w:r w:rsidRPr="00BF42B7">
        <w:rPr>
          <w:lang w:val="zh-CN"/>
        </w:rPr>
        <w:t>5</w:t>
      </w:r>
      <w:r w:rsidRPr="00BF42B7">
        <w:rPr>
          <w:lang w:val="zh-CN"/>
        </w:rPr>
        <w:t>条所载的通知义务</w:t>
      </w:r>
      <w:r w:rsidRPr="00BF42B7">
        <w:rPr>
          <w:color w:val="0000FF"/>
          <w:vertAlign w:val="superscript"/>
          <w:lang w:val="zh-CN"/>
        </w:rPr>
        <w:footnoteReference w:id="1313"/>
      </w:r>
      <w:r w:rsidRPr="00BF42B7">
        <w:rPr>
          <w:lang w:val="zh-CN"/>
        </w:rPr>
        <w:t>。</w:t>
      </w:r>
    </w:p>
    <w:p w:rsidR="006735D4" w:rsidRPr="00BF42B7" w:rsidRDefault="006735D4" w:rsidP="006735D4">
      <w:pPr>
        <w:tabs>
          <w:tab w:val="clear" w:pos="431"/>
          <w:tab w:val="left" w:pos="1134"/>
          <w:tab w:val="left" w:pos="1565"/>
          <w:tab w:val="left" w:pos="1996"/>
          <w:tab w:val="left" w:pos="2427"/>
        </w:tabs>
        <w:spacing w:after="120"/>
        <w:ind w:left="1134" w:right="1134"/>
        <w:rPr>
          <w:color w:val="000000"/>
        </w:rPr>
      </w:pPr>
      <w:r w:rsidRPr="00BF42B7">
        <w:rPr>
          <w:rFonts w:hint="eastAsia"/>
          <w:color w:val="000000"/>
        </w:rPr>
        <w:t>172</w:t>
      </w:r>
      <w:r w:rsidRPr="00BF42B7">
        <w:rPr>
          <w:color w:val="000000"/>
        </w:rPr>
        <w:t xml:space="preserve">.  </w:t>
      </w:r>
      <w:r w:rsidRPr="00BF42B7">
        <w:rPr>
          <w:color w:val="000000"/>
          <w:lang w:val="zh-CN"/>
        </w:rPr>
        <w:t>委员们几次提及原则草案</w:t>
      </w:r>
      <w:r w:rsidRPr="00BF42B7">
        <w:rPr>
          <w:color w:val="000000"/>
          <w:lang w:val="zh-CN"/>
        </w:rPr>
        <w:t>3-3</w:t>
      </w:r>
      <w:r w:rsidRPr="00BF42B7">
        <w:rPr>
          <w:color w:val="000000"/>
          <w:lang w:val="zh-CN"/>
        </w:rPr>
        <w:t>第</w:t>
      </w:r>
      <w:r w:rsidRPr="00BF42B7">
        <w:rPr>
          <w:color w:val="000000"/>
        </w:rPr>
        <w:t>1</w:t>
      </w:r>
      <w:r w:rsidRPr="00BF42B7">
        <w:rPr>
          <w:rFonts w:hint="eastAsia"/>
          <w:color w:val="000000"/>
          <w:lang w:val="zh-CN"/>
        </w:rPr>
        <w:t>段</w:t>
      </w:r>
      <w:r w:rsidRPr="00BF42B7">
        <w:rPr>
          <w:color w:val="000000"/>
          <w:lang w:val="zh-CN"/>
        </w:rPr>
        <w:t>使用的</w:t>
      </w:r>
      <w:r w:rsidRPr="00BF42B7">
        <w:rPr>
          <w:rFonts w:hint="eastAsia"/>
          <w:color w:val="000000"/>
          <w:lang w:val="zh-CN"/>
        </w:rPr>
        <w:t>“</w:t>
      </w:r>
      <w:r w:rsidRPr="00BF42B7">
        <w:rPr>
          <w:color w:val="000000"/>
          <w:lang w:val="zh-CN"/>
        </w:rPr>
        <w:t>毫不拖延</w:t>
      </w:r>
      <w:r w:rsidRPr="00BF42B7">
        <w:rPr>
          <w:rFonts w:hint="eastAsia"/>
          <w:color w:val="000000"/>
          <w:lang w:val="zh-CN"/>
        </w:rPr>
        <w:t>”</w:t>
      </w:r>
      <w:r w:rsidRPr="00BF42B7">
        <w:rPr>
          <w:color w:val="000000"/>
          <w:lang w:val="zh-CN"/>
        </w:rPr>
        <w:t>一词，</w:t>
      </w:r>
      <w:r w:rsidRPr="00BF42B7">
        <w:rPr>
          <w:rFonts w:hint="eastAsia"/>
          <w:color w:val="000000"/>
          <w:lang w:val="zh-CN"/>
        </w:rPr>
        <w:t>该词</w:t>
      </w:r>
      <w:r w:rsidRPr="00BF42B7">
        <w:rPr>
          <w:color w:val="000000"/>
          <w:lang w:val="zh-CN"/>
        </w:rPr>
        <w:t>似乎既没有反映目前的实践，也不现实。清除战争遗留物只</w:t>
      </w:r>
      <w:r w:rsidRPr="00BF42B7">
        <w:rPr>
          <w:rFonts w:hint="eastAsia"/>
          <w:color w:val="000000"/>
          <w:lang w:val="zh-CN"/>
        </w:rPr>
        <w:t>有</w:t>
      </w:r>
      <w:r w:rsidRPr="00BF42B7">
        <w:rPr>
          <w:color w:val="000000"/>
          <w:lang w:val="zh-CN"/>
        </w:rPr>
        <w:t>在为满足人民的迫切需要时，方可视为敌对行动停止后的优先事项。委员们还指出，同一条原则草案</w:t>
      </w:r>
      <w:r w:rsidRPr="00BF42B7">
        <w:rPr>
          <w:rFonts w:hint="eastAsia"/>
          <w:color w:val="000000"/>
          <w:lang w:val="zh-CN"/>
        </w:rPr>
        <w:t>的</w:t>
      </w:r>
      <w:r w:rsidRPr="00BF42B7">
        <w:rPr>
          <w:color w:val="000000"/>
          <w:lang w:val="zh-CN"/>
        </w:rPr>
        <w:t>第</w:t>
      </w:r>
      <w:r w:rsidRPr="00BF42B7">
        <w:rPr>
          <w:color w:val="000000"/>
          <w:lang w:val="zh-CN"/>
        </w:rPr>
        <w:t>2</w:t>
      </w:r>
      <w:r w:rsidRPr="00BF42B7">
        <w:rPr>
          <w:rFonts w:hint="eastAsia"/>
          <w:color w:val="000000"/>
          <w:lang w:val="zh-CN"/>
        </w:rPr>
        <w:t>段</w:t>
      </w:r>
      <w:r w:rsidRPr="00BF42B7">
        <w:rPr>
          <w:color w:val="000000"/>
          <w:lang w:val="zh-CN"/>
        </w:rPr>
        <w:t>似乎规定了超越国家实践的无条件义务。</w:t>
      </w:r>
    </w:p>
    <w:p w:rsidR="006735D4" w:rsidRPr="00BF42B7" w:rsidRDefault="006735D4" w:rsidP="006735D4">
      <w:pPr>
        <w:tabs>
          <w:tab w:val="clear" w:pos="431"/>
          <w:tab w:val="left" w:pos="1134"/>
          <w:tab w:val="left" w:pos="1565"/>
          <w:tab w:val="left" w:pos="1996"/>
          <w:tab w:val="left" w:pos="2427"/>
        </w:tabs>
        <w:spacing w:after="120"/>
        <w:ind w:left="1134" w:right="1134"/>
      </w:pPr>
      <w:r w:rsidRPr="00BF42B7">
        <w:rPr>
          <w:rFonts w:hint="eastAsia"/>
        </w:rPr>
        <w:t>173</w:t>
      </w:r>
      <w:r w:rsidRPr="00BF42B7">
        <w:t xml:space="preserve">.  </w:t>
      </w:r>
      <w:r w:rsidRPr="00BF42B7">
        <w:rPr>
          <w:lang w:val="zh-CN"/>
        </w:rPr>
        <w:t>另一个需要进一步研究的领域涉及这条原则草案旨在涵盖的战争遗留物类型，目前的措辞似乎既过于宽泛，又不够全面。在这方面，几名委员认为，必须采取并非详尽无遗的宽泛办法，但也有人指出，若试图涵盖所有战争遗留物，需要开展进一步研究。委员们还建议进一步明确原则草案</w:t>
      </w:r>
      <w:r w:rsidRPr="00BF42B7">
        <w:rPr>
          <w:lang w:val="zh-CN"/>
        </w:rPr>
        <w:t>3-4</w:t>
      </w:r>
      <w:r w:rsidRPr="00BF42B7">
        <w:rPr>
          <w:lang w:val="zh-CN"/>
        </w:rPr>
        <w:t>第</w:t>
      </w:r>
      <w:r w:rsidRPr="00BF42B7">
        <w:rPr>
          <w:lang w:val="zh-CN"/>
        </w:rPr>
        <w:t>2</w:t>
      </w:r>
      <w:r w:rsidRPr="00BF42B7">
        <w:rPr>
          <w:rFonts w:hint="eastAsia"/>
          <w:lang w:val="zh-CN"/>
        </w:rPr>
        <w:t>段</w:t>
      </w:r>
      <w:r w:rsidRPr="00BF42B7">
        <w:rPr>
          <w:lang w:val="zh-CN"/>
        </w:rPr>
        <w:t>设想的信息</w:t>
      </w:r>
      <w:r w:rsidRPr="00BF42B7">
        <w:rPr>
          <w:rFonts w:hint="eastAsia"/>
          <w:lang w:val="zh-CN"/>
        </w:rPr>
        <w:t>种类</w:t>
      </w:r>
      <w:r w:rsidRPr="00BF42B7">
        <w:rPr>
          <w:lang w:val="zh-CN"/>
        </w:rPr>
        <w:t>，可以在评注中说明。</w:t>
      </w:r>
    </w:p>
    <w:p w:rsidR="006735D4" w:rsidRPr="00BF42B7" w:rsidRDefault="006735D4" w:rsidP="006735D4">
      <w:pPr>
        <w:tabs>
          <w:tab w:val="clear" w:pos="431"/>
          <w:tab w:val="left" w:pos="1134"/>
          <w:tab w:val="left" w:pos="1565"/>
          <w:tab w:val="left" w:pos="1996"/>
          <w:tab w:val="left" w:pos="2427"/>
        </w:tabs>
        <w:spacing w:after="120"/>
        <w:ind w:left="1134" w:right="1134"/>
      </w:pPr>
      <w:r w:rsidRPr="00BF42B7">
        <w:rPr>
          <w:rFonts w:hint="eastAsia"/>
        </w:rPr>
        <w:t>174</w:t>
      </w:r>
      <w:r w:rsidRPr="00BF42B7">
        <w:t xml:space="preserve">.  </w:t>
      </w:r>
      <w:r w:rsidRPr="00BF42B7">
        <w:rPr>
          <w:lang w:val="zh-CN"/>
        </w:rPr>
        <w:t>一些委员强调，需要进一步澄清原则草案</w:t>
      </w:r>
      <w:r w:rsidRPr="00BF42B7">
        <w:rPr>
          <w:lang w:val="zh-CN"/>
        </w:rPr>
        <w:t>3-3</w:t>
      </w:r>
      <w:r w:rsidRPr="00BF42B7">
        <w:rPr>
          <w:lang w:val="zh-CN"/>
        </w:rPr>
        <w:t>和</w:t>
      </w:r>
      <w:r w:rsidRPr="00BF42B7">
        <w:rPr>
          <w:lang w:val="zh-CN"/>
        </w:rPr>
        <w:t>3-4</w:t>
      </w:r>
      <w:r w:rsidRPr="00BF42B7">
        <w:rPr>
          <w:lang w:val="zh-CN"/>
        </w:rPr>
        <w:t>之间的关系。例如，目前尚不清楚原则草案</w:t>
      </w:r>
      <w:r w:rsidRPr="00BF42B7">
        <w:rPr>
          <w:lang w:val="zh-CN"/>
        </w:rPr>
        <w:t>3-3</w:t>
      </w:r>
      <w:r w:rsidRPr="00BF42B7">
        <w:rPr>
          <w:lang w:val="zh-CN"/>
        </w:rPr>
        <w:t>是否属于一般性条款。有人建议</w:t>
      </w:r>
      <w:r w:rsidRPr="00BF42B7">
        <w:rPr>
          <w:rFonts w:hint="eastAsia"/>
          <w:lang w:val="zh-CN"/>
        </w:rPr>
        <w:t>可将</w:t>
      </w:r>
      <w:r w:rsidRPr="00BF42B7">
        <w:rPr>
          <w:lang w:val="zh-CN"/>
        </w:rPr>
        <w:t>这两条合并。还有人指出，原则草案中不包含相应的义务，并提出原则草案</w:t>
      </w:r>
      <w:r w:rsidRPr="00BF42B7">
        <w:rPr>
          <w:lang w:val="zh-CN"/>
        </w:rPr>
        <w:t>3-4</w:t>
      </w:r>
      <w:r w:rsidRPr="00BF42B7">
        <w:rPr>
          <w:lang w:val="zh-CN"/>
        </w:rPr>
        <w:t>为何没有提及消除战争遗留物的义务这个问题。还有意见认为，原则草案应反映如何分配消除海上战争遗留物的责任问题。</w:t>
      </w:r>
    </w:p>
    <w:p w:rsidR="006735D4" w:rsidRPr="00BF42B7" w:rsidRDefault="006735D4" w:rsidP="00C37E00">
      <w:pPr>
        <w:pStyle w:val="H23GC"/>
      </w:pPr>
      <w:r w:rsidRPr="00BF42B7">
        <w:rPr>
          <w:rFonts w:hint="eastAsia"/>
          <w:snapToGrid/>
        </w:rPr>
        <w:tab/>
      </w:r>
      <w:r w:rsidRPr="00BF42B7">
        <w:rPr>
          <w:snapToGrid/>
        </w:rPr>
        <w:t>(h)</w:t>
      </w:r>
      <w:r w:rsidRPr="00BF42B7">
        <w:rPr>
          <w:snapToGrid/>
        </w:rPr>
        <w:tab/>
      </w:r>
      <w:r w:rsidRPr="00BF42B7">
        <w:rPr>
          <w:rFonts w:hint="eastAsia"/>
          <w:lang w:val="zh-CN"/>
        </w:rPr>
        <w:t>原则草案</w:t>
      </w:r>
      <w:r w:rsidRPr="00BF42B7">
        <w:rPr>
          <w:lang w:val="zh-CN"/>
        </w:rPr>
        <w:t>3-5</w:t>
      </w:r>
      <w:r w:rsidRPr="00BF42B7">
        <w:rPr>
          <w:rFonts w:hint="eastAsia"/>
          <w:spacing w:val="-50"/>
          <w:lang w:val="zh-CN"/>
        </w:rPr>
        <w:t>―</w:t>
      </w:r>
      <w:r w:rsidRPr="00BF42B7">
        <w:rPr>
          <w:rFonts w:hint="eastAsia"/>
          <w:lang w:val="zh-CN"/>
        </w:rPr>
        <w:t>―获取和分享信息</w:t>
      </w:r>
    </w:p>
    <w:p w:rsidR="006735D4" w:rsidRPr="00BF42B7" w:rsidRDefault="006735D4" w:rsidP="006735D4">
      <w:pPr>
        <w:tabs>
          <w:tab w:val="clear" w:pos="431"/>
          <w:tab w:val="left" w:pos="1134"/>
          <w:tab w:val="left" w:pos="1565"/>
          <w:tab w:val="left" w:pos="1996"/>
          <w:tab w:val="left" w:pos="2427"/>
        </w:tabs>
        <w:spacing w:after="120"/>
        <w:ind w:left="1134" w:right="1134"/>
      </w:pPr>
      <w:r w:rsidRPr="00BF42B7">
        <w:rPr>
          <w:rFonts w:hint="eastAsia"/>
        </w:rPr>
        <w:t>175</w:t>
      </w:r>
      <w:r w:rsidRPr="00BF42B7">
        <w:t xml:space="preserve">.  </w:t>
      </w:r>
      <w:r w:rsidRPr="00BF42B7">
        <w:rPr>
          <w:lang w:val="zh-CN"/>
        </w:rPr>
        <w:t>委员们普遍认为</w:t>
      </w:r>
      <w:r w:rsidRPr="00BF42B7">
        <w:rPr>
          <w:rFonts w:hint="eastAsia"/>
          <w:lang w:val="zh-CN"/>
        </w:rPr>
        <w:t>，</w:t>
      </w:r>
      <w:r w:rsidRPr="00BF42B7">
        <w:rPr>
          <w:lang w:val="zh-CN"/>
        </w:rPr>
        <w:t>准许获取和分享信息对于本专题十分重要，但一些委员认为原则草案</w:t>
      </w:r>
      <w:r w:rsidRPr="00BF42B7">
        <w:rPr>
          <w:lang w:val="zh-CN"/>
        </w:rPr>
        <w:t>3-5</w:t>
      </w:r>
      <w:r w:rsidRPr="00BF42B7">
        <w:rPr>
          <w:lang w:val="zh-CN"/>
        </w:rPr>
        <w:t>拟订得过于宽泛。需要明确和调整义务的范围，尤其要考虑到各国有正当理由</w:t>
      </w:r>
      <w:r w:rsidRPr="00BF42B7">
        <w:rPr>
          <w:lang w:val="zh-CN"/>
        </w:rPr>
        <w:t>(</w:t>
      </w:r>
      <w:r w:rsidRPr="00BF42B7">
        <w:rPr>
          <w:lang w:val="zh-CN"/>
        </w:rPr>
        <w:t>如出于对国家安全的关切</w:t>
      </w:r>
      <w:r w:rsidRPr="00BF42B7">
        <w:rPr>
          <w:lang w:val="zh-CN"/>
        </w:rPr>
        <w:t>)</w:t>
      </w:r>
      <w:r w:rsidRPr="00BF42B7">
        <w:rPr>
          <w:lang w:val="zh-CN"/>
        </w:rPr>
        <w:t>不分享信息的情况。不过，委员们还指出，由于在起草这项义务时加上了</w:t>
      </w:r>
      <w:r w:rsidRPr="00BF42B7">
        <w:rPr>
          <w:rFonts w:hint="eastAsia"/>
          <w:lang w:val="zh-CN"/>
        </w:rPr>
        <w:t>“</w:t>
      </w:r>
      <w:r w:rsidRPr="00BF42B7">
        <w:rPr>
          <w:lang w:val="zh-CN"/>
        </w:rPr>
        <w:t>根据其在国际法下承担的义务</w:t>
      </w:r>
      <w:r w:rsidRPr="00BF42B7">
        <w:rPr>
          <w:rFonts w:hint="eastAsia"/>
          <w:lang w:val="zh-CN"/>
        </w:rPr>
        <w:t>”</w:t>
      </w:r>
      <w:r w:rsidRPr="00BF42B7">
        <w:rPr>
          <w:lang w:val="zh-CN"/>
        </w:rPr>
        <w:t>的限制，所以拟议的条款并不包含如此广泛的义务。一些委员指出，由于准许获取和分享信息要建立在国家同意的基础上，所以需要弱化这条原则草案措辞的指令性。还有人指出，准许获取和分享信息是两项不同的义务，不可能以同一方式处理。</w:t>
      </w:r>
    </w:p>
    <w:p w:rsidR="006735D4" w:rsidRPr="00BF42B7" w:rsidRDefault="006735D4" w:rsidP="006735D4">
      <w:pPr>
        <w:tabs>
          <w:tab w:val="clear" w:pos="431"/>
          <w:tab w:val="left" w:pos="1134"/>
          <w:tab w:val="left" w:pos="1565"/>
          <w:tab w:val="left" w:pos="1996"/>
          <w:tab w:val="left" w:pos="2427"/>
        </w:tabs>
        <w:spacing w:after="120"/>
        <w:ind w:left="1134" w:right="1134"/>
      </w:pPr>
      <w:r w:rsidRPr="00BF42B7">
        <w:rPr>
          <w:rFonts w:hint="eastAsia"/>
        </w:rPr>
        <w:t>176</w:t>
      </w:r>
      <w:r w:rsidRPr="00BF42B7">
        <w:t xml:space="preserve">.  </w:t>
      </w:r>
      <w:r w:rsidRPr="00BF42B7">
        <w:rPr>
          <w:lang w:val="zh-CN"/>
        </w:rPr>
        <w:t>几名委员指出，需要明确这条原则草案的时间范围，因为还不清楚信息应该在哪个时间点分享。由于这条原则草案具有普遍性，一些委员认为，它适用于所有三个阶段，最好把它安排在</w:t>
      </w:r>
      <w:r w:rsidRPr="00BF42B7">
        <w:rPr>
          <w:rFonts w:hint="eastAsia"/>
          <w:lang w:val="zh-CN"/>
        </w:rPr>
        <w:t>“一般原则”</w:t>
      </w:r>
      <w:r w:rsidRPr="00BF42B7">
        <w:rPr>
          <w:lang w:val="zh-CN"/>
        </w:rPr>
        <w:t>部分。然而，其他委员强调，准许获取和分享信息的义务不能适用于第二阶段</w:t>
      </w:r>
      <w:r w:rsidRPr="00BF42B7">
        <w:rPr>
          <w:lang w:val="zh-CN"/>
        </w:rPr>
        <w:t>(</w:t>
      </w:r>
      <w:r w:rsidRPr="00BF42B7">
        <w:rPr>
          <w:lang w:val="zh-CN"/>
        </w:rPr>
        <w:t>武装冲突期间</w:t>
      </w:r>
      <w:r w:rsidRPr="00BF42B7">
        <w:rPr>
          <w:lang w:val="zh-CN"/>
        </w:rPr>
        <w:t>)</w:t>
      </w:r>
      <w:r w:rsidRPr="00BF42B7">
        <w:rPr>
          <w:lang w:val="zh-CN"/>
        </w:rPr>
        <w:t>。准许获取和分享信息原则依据的是和平时期适用的规则，不能简单地套用于武装冲突的局势。但是委员们还提出，如果这条原则草案适用于武装冲突期间阶段，可以使用充分的限制条款来澄清义务的范围，使之不会涉及国家安全或国防事项。委员们还建议，明确说明这条原则草案仅涉及冲突后阶段。委员们还要求说明每个阶段中应准予哪些行为者获得信息，以及应分享何种信息。</w:t>
      </w:r>
    </w:p>
    <w:p w:rsidR="006735D4" w:rsidRPr="00BF42B7" w:rsidRDefault="006735D4" w:rsidP="00C37E00">
      <w:pPr>
        <w:pStyle w:val="H23GC"/>
      </w:pPr>
      <w:r w:rsidRPr="00BF42B7">
        <w:rPr>
          <w:rFonts w:hint="eastAsia"/>
          <w:snapToGrid/>
        </w:rPr>
        <w:tab/>
      </w:r>
      <w:r w:rsidRPr="00BF42B7">
        <w:rPr>
          <w:snapToGrid/>
        </w:rPr>
        <w:t>(i)</w:t>
      </w:r>
      <w:r w:rsidRPr="00BF42B7">
        <w:rPr>
          <w:snapToGrid/>
        </w:rPr>
        <w:tab/>
      </w:r>
      <w:r w:rsidRPr="00BF42B7">
        <w:rPr>
          <w:rFonts w:hint="eastAsia"/>
          <w:lang w:val="zh-CN"/>
        </w:rPr>
        <w:t>原则草案</w:t>
      </w:r>
      <w:r w:rsidRPr="00BF42B7">
        <w:rPr>
          <w:lang w:val="zh-CN"/>
        </w:rPr>
        <w:t>4-1</w:t>
      </w:r>
      <w:r w:rsidRPr="00BF42B7">
        <w:rPr>
          <w:rFonts w:hint="eastAsia"/>
          <w:spacing w:val="-50"/>
          <w:lang w:val="zh-CN"/>
        </w:rPr>
        <w:t>―</w:t>
      </w:r>
      <w:r w:rsidRPr="00BF42B7">
        <w:rPr>
          <w:rFonts w:hint="eastAsia"/>
          <w:lang w:val="zh-CN"/>
        </w:rPr>
        <w:t>―土著人民权利</w:t>
      </w:r>
    </w:p>
    <w:p w:rsidR="006735D4" w:rsidRPr="00BF42B7" w:rsidRDefault="006735D4" w:rsidP="006735D4">
      <w:pPr>
        <w:tabs>
          <w:tab w:val="clear" w:pos="431"/>
          <w:tab w:val="left" w:pos="1134"/>
          <w:tab w:val="left" w:pos="1565"/>
          <w:tab w:val="left" w:pos="1996"/>
          <w:tab w:val="left" w:pos="2427"/>
        </w:tabs>
        <w:spacing w:after="120"/>
        <w:ind w:left="1134" w:right="1134"/>
      </w:pPr>
      <w:r w:rsidRPr="00BF42B7">
        <w:rPr>
          <w:rFonts w:hint="eastAsia"/>
        </w:rPr>
        <w:t>177</w:t>
      </w:r>
      <w:r w:rsidRPr="00BF42B7">
        <w:t xml:space="preserve">.  </w:t>
      </w:r>
      <w:r w:rsidRPr="00BF42B7">
        <w:rPr>
          <w:lang w:val="zh-CN"/>
        </w:rPr>
        <w:t>一些委员认为，与土著人民权利有关的问题不属于本专题的范畴。土著人民与</w:t>
      </w:r>
      <w:r w:rsidRPr="00BF42B7">
        <w:rPr>
          <w:rFonts w:hint="eastAsia"/>
          <w:lang w:val="zh-CN"/>
        </w:rPr>
        <w:t>其</w:t>
      </w:r>
      <w:r w:rsidRPr="00BF42B7">
        <w:rPr>
          <w:lang w:val="zh-CN"/>
        </w:rPr>
        <w:t>土地和生活环境之间具有特殊关系，并不能证明应在此处理这一事项。此外，原则草案</w:t>
      </w:r>
      <w:r w:rsidRPr="00BF42B7">
        <w:rPr>
          <w:lang w:val="zh-CN"/>
        </w:rPr>
        <w:t>4-1</w:t>
      </w:r>
      <w:r w:rsidRPr="00BF42B7">
        <w:rPr>
          <w:lang w:val="zh-CN"/>
        </w:rPr>
        <w:t>的内容与本专题无关；这条草案</w:t>
      </w:r>
      <w:r w:rsidRPr="00BF42B7">
        <w:rPr>
          <w:rFonts w:hint="eastAsia"/>
          <w:lang w:val="zh-CN"/>
        </w:rPr>
        <w:t>在</w:t>
      </w:r>
      <w:r w:rsidRPr="00BF42B7">
        <w:rPr>
          <w:lang w:val="zh-CN"/>
        </w:rPr>
        <w:t>述及土著人民</w:t>
      </w:r>
      <w:r w:rsidRPr="00BF42B7">
        <w:rPr>
          <w:rFonts w:hint="eastAsia"/>
          <w:lang w:val="zh-CN"/>
        </w:rPr>
        <w:t>时</w:t>
      </w:r>
      <w:r w:rsidRPr="00BF42B7">
        <w:rPr>
          <w:lang w:val="zh-CN"/>
        </w:rPr>
        <w:t>根本</w:t>
      </w:r>
      <w:r w:rsidRPr="00BF42B7">
        <w:rPr>
          <w:rFonts w:hint="eastAsia"/>
          <w:lang w:val="zh-CN"/>
        </w:rPr>
        <w:t>不涉及</w:t>
      </w:r>
      <w:r w:rsidRPr="00BF42B7">
        <w:rPr>
          <w:lang w:val="zh-CN"/>
        </w:rPr>
        <w:t>武装冲突造成的损害。相反，</w:t>
      </w:r>
      <w:r w:rsidRPr="00BF42B7">
        <w:rPr>
          <w:rFonts w:hint="eastAsia"/>
          <w:lang w:val="zh-CN"/>
        </w:rPr>
        <w:t>这条</w:t>
      </w:r>
      <w:r w:rsidRPr="00BF42B7">
        <w:rPr>
          <w:lang w:val="zh-CN"/>
        </w:rPr>
        <w:t>条款草案从人权角度论述这一事项，但未能说明需要讨论这一问题背后的理由。还有几名委员承认，报告从非常狭隘的角度分析这个问题，未能如实反映这个问题。</w:t>
      </w:r>
      <w:r w:rsidRPr="00BF42B7">
        <w:rPr>
          <w:rFonts w:hint="eastAsia"/>
          <w:lang w:val="zh-CN"/>
        </w:rPr>
        <w:t>虽然</w:t>
      </w:r>
      <w:r w:rsidRPr="00BF42B7">
        <w:rPr>
          <w:lang w:val="zh-CN"/>
        </w:rPr>
        <w:t>委员们承认这一点，</w:t>
      </w:r>
      <w:r w:rsidRPr="00BF42B7">
        <w:rPr>
          <w:rFonts w:hint="eastAsia"/>
          <w:lang w:val="zh-CN"/>
        </w:rPr>
        <w:t>也</w:t>
      </w:r>
      <w:r w:rsidRPr="00BF42B7">
        <w:rPr>
          <w:lang w:val="zh-CN"/>
        </w:rPr>
        <w:t>承认原则草案</w:t>
      </w:r>
      <w:r w:rsidRPr="00BF42B7">
        <w:rPr>
          <w:lang w:val="zh-CN"/>
        </w:rPr>
        <w:t>4-1</w:t>
      </w:r>
      <w:r w:rsidRPr="00BF42B7">
        <w:rPr>
          <w:lang w:val="zh-CN"/>
        </w:rPr>
        <w:t>的内容没有适当处理这个问题，但他们也认为，原则草案中必须反映土著人民的处境。他们强调，土著人民特别容易受到外部干预的影响，因此需要特别考虑保护他们的环境，包括与武装冲突有关的环境保护。委员们就此提到《联合国土著人民权利宣言》</w:t>
      </w:r>
      <w:r w:rsidRPr="00BF42B7">
        <w:rPr>
          <w:color w:val="0000FF"/>
          <w:vertAlign w:val="superscript"/>
          <w:lang w:val="zh-CN"/>
        </w:rPr>
        <w:footnoteReference w:id="1314"/>
      </w:r>
      <w:r w:rsidRPr="00BF42B7">
        <w:rPr>
          <w:rFonts w:hint="eastAsia"/>
          <w:lang w:val="zh-CN"/>
        </w:rPr>
        <w:t xml:space="preserve"> </w:t>
      </w:r>
      <w:r w:rsidRPr="00BF42B7">
        <w:rPr>
          <w:lang w:val="zh-CN"/>
        </w:rPr>
        <w:t>和《美洲土著人民权利宣言》</w:t>
      </w:r>
      <w:r w:rsidRPr="00BF42B7">
        <w:rPr>
          <w:color w:val="0000FF"/>
          <w:vertAlign w:val="superscript"/>
          <w:lang w:val="zh-CN"/>
        </w:rPr>
        <w:footnoteReference w:id="1315"/>
      </w:r>
      <w:r w:rsidRPr="00BF42B7">
        <w:rPr>
          <w:rFonts w:hint="eastAsia"/>
          <w:lang w:val="zh-CN"/>
        </w:rPr>
        <w:t xml:space="preserve"> </w:t>
      </w:r>
      <w:r w:rsidRPr="00BF42B7">
        <w:rPr>
          <w:lang w:val="zh-CN"/>
        </w:rPr>
        <w:t>所载相关条款。应该做的不是将这个问题完全排除在外，而是重新起草这条原则草案，强调需要保护土著人民的土地和环境。委员们还建议，冲突后的补救工作对土著人民的影响尤为</w:t>
      </w:r>
      <w:r w:rsidRPr="00BF42B7">
        <w:rPr>
          <w:rFonts w:hint="eastAsia"/>
          <w:lang w:val="zh-CN"/>
        </w:rPr>
        <w:t>巨大</w:t>
      </w:r>
      <w:r w:rsidRPr="00BF42B7">
        <w:rPr>
          <w:lang w:val="zh-CN"/>
        </w:rPr>
        <w:t>，土著人民也可以在其中发挥重要作用。因此，这条原则草案应将重点放在这一阶段，更具体地论述处理武装冲突的环境后果方面的国家义务。还有人表示，可以在委员会去年注意到的关于保护区的原则草案</w:t>
      </w:r>
      <w:r w:rsidRPr="00BF42B7">
        <w:rPr>
          <w:lang w:val="zh-CN"/>
        </w:rPr>
        <w:t>1-(x)</w:t>
      </w:r>
      <w:r w:rsidRPr="00BF42B7">
        <w:rPr>
          <w:color w:val="0000FF"/>
          <w:vertAlign w:val="superscript"/>
          <w:lang w:val="zh-CN"/>
        </w:rPr>
        <w:footnoteReference w:id="1316"/>
      </w:r>
      <w:r w:rsidRPr="00BF42B7">
        <w:rPr>
          <w:rFonts w:hint="eastAsia"/>
          <w:lang w:val="zh-CN"/>
        </w:rPr>
        <w:t xml:space="preserve"> </w:t>
      </w:r>
      <w:r w:rsidRPr="00BF42B7">
        <w:rPr>
          <w:rFonts w:hint="eastAsia"/>
          <w:lang w:val="zh-CN"/>
        </w:rPr>
        <w:t>的范围内</w:t>
      </w:r>
      <w:r w:rsidRPr="00BF42B7">
        <w:rPr>
          <w:lang w:val="zh-CN"/>
        </w:rPr>
        <w:t>处理这个问题。委员们建议，关于土著人民权利的原则草案与所有三个时间段都相关，因此应该安排在</w:t>
      </w:r>
      <w:r w:rsidRPr="00BF42B7">
        <w:rPr>
          <w:rFonts w:hint="eastAsia"/>
          <w:lang w:val="zh-CN"/>
        </w:rPr>
        <w:t>包含“</w:t>
      </w:r>
      <w:r w:rsidRPr="00BF42B7">
        <w:rPr>
          <w:lang w:val="zh-CN"/>
        </w:rPr>
        <w:t>一般原则</w:t>
      </w:r>
      <w:r w:rsidRPr="00BF42B7">
        <w:rPr>
          <w:rFonts w:hint="eastAsia"/>
          <w:lang w:val="zh-CN"/>
        </w:rPr>
        <w:t>”</w:t>
      </w:r>
      <w:r w:rsidRPr="00BF42B7">
        <w:rPr>
          <w:lang w:val="zh-CN"/>
        </w:rPr>
        <w:t>的部分。</w:t>
      </w:r>
    </w:p>
    <w:p w:rsidR="006735D4" w:rsidRPr="00BF42B7" w:rsidRDefault="006735D4" w:rsidP="00C37E00">
      <w:pPr>
        <w:pStyle w:val="H23GC"/>
      </w:pPr>
      <w:r w:rsidRPr="00BF42B7">
        <w:rPr>
          <w:rFonts w:hint="eastAsia"/>
          <w:snapToGrid/>
        </w:rPr>
        <w:tab/>
      </w:r>
      <w:r w:rsidRPr="00BF42B7">
        <w:rPr>
          <w:snapToGrid/>
        </w:rPr>
        <w:t>(j)</w:t>
      </w:r>
      <w:r w:rsidRPr="00BF42B7">
        <w:rPr>
          <w:snapToGrid/>
        </w:rPr>
        <w:tab/>
      </w:r>
      <w:r w:rsidRPr="00BF42B7">
        <w:rPr>
          <w:rFonts w:hint="eastAsia"/>
          <w:lang w:val="zh-CN"/>
        </w:rPr>
        <w:t>今后的工作方案</w:t>
      </w:r>
    </w:p>
    <w:p w:rsidR="006735D4" w:rsidRPr="00BF42B7" w:rsidRDefault="006735D4" w:rsidP="006735D4">
      <w:pPr>
        <w:tabs>
          <w:tab w:val="clear" w:pos="431"/>
          <w:tab w:val="left" w:pos="1134"/>
          <w:tab w:val="left" w:pos="1565"/>
          <w:tab w:val="left" w:pos="1996"/>
          <w:tab w:val="left" w:pos="2427"/>
        </w:tabs>
        <w:spacing w:after="120"/>
        <w:ind w:left="1134" w:right="1134"/>
      </w:pPr>
      <w:r w:rsidRPr="00BF42B7">
        <w:rPr>
          <w:rFonts w:hint="eastAsia"/>
        </w:rPr>
        <w:t>178</w:t>
      </w:r>
      <w:r w:rsidRPr="00BF42B7">
        <w:t xml:space="preserve">.  </w:t>
      </w:r>
      <w:r w:rsidRPr="00BF42B7">
        <w:rPr>
          <w:lang w:val="zh-CN"/>
        </w:rPr>
        <w:t>一些委员重申他们重视本专题，表示强烈希望看到在下一个五年期继续</w:t>
      </w:r>
      <w:r w:rsidRPr="00BF42B7">
        <w:rPr>
          <w:rFonts w:hint="eastAsia"/>
          <w:lang w:val="zh-CN"/>
        </w:rPr>
        <w:t>讨论</w:t>
      </w:r>
      <w:r w:rsidRPr="00BF42B7">
        <w:rPr>
          <w:lang w:val="zh-CN"/>
        </w:rPr>
        <w:t>本专题，指出特别报告员在委员会的任期即将结束。关于今后要审议的具体问题，一些委员强调，必须在原则草案中处理与责任、赔偿责任和补偿有关的问题。然而，还有委员提出，试图将这些问题纳入原则草案，也许会使最终的案文更具指令性。一些委员同意特别报告员的意见，认为审查占领的问题可能与之相关。此外，一些委员指出，非国家行为者和有组织武装团体的责任以及非国际性武装冲突的问题可能也有意义。不过有人就此指出，目前的原则草案似乎已将非国际</w:t>
      </w:r>
      <w:r w:rsidRPr="00BF42B7">
        <w:rPr>
          <w:rFonts w:hint="eastAsia"/>
          <w:lang w:val="zh-CN"/>
        </w:rPr>
        <w:t>性</w:t>
      </w:r>
      <w:r w:rsidRPr="00BF42B7">
        <w:rPr>
          <w:lang w:val="zh-CN"/>
        </w:rPr>
        <w:t>武装冲突纳入其范畴，从而产生了这样的问题：在今后进行此类审议之前，这是否</w:t>
      </w:r>
      <w:r w:rsidRPr="00BF42B7">
        <w:rPr>
          <w:rFonts w:hint="eastAsia"/>
          <w:lang w:val="zh-CN"/>
        </w:rPr>
        <w:t>会</w:t>
      </w:r>
      <w:r w:rsidRPr="00BF42B7">
        <w:rPr>
          <w:lang w:val="zh-CN"/>
        </w:rPr>
        <w:t>影响已经开展的工作。委员们进一步建议，应当纳入一条原则草案，确认各国应认真测试新的武器，并编写适当的军事手册，以备在今后的武装冲突时使用。此外，委员们还表示，不妨审查各种金融和投资机构，如国际投资争端解决中心、多边投资担保机构和国际金融公司在其活动中如何纳入环境因素，尤其是是否可以为环境损害投保。</w:t>
      </w:r>
    </w:p>
    <w:p w:rsidR="006735D4" w:rsidRPr="00BF42B7" w:rsidRDefault="006735D4" w:rsidP="006735D4">
      <w:pPr>
        <w:tabs>
          <w:tab w:val="clear" w:pos="431"/>
          <w:tab w:val="left" w:pos="1134"/>
          <w:tab w:val="left" w:pos="1565"/>
          <w:tab w:val="left" w:pos="1996"/>
          <w:tab w:val="left" w:pos="2427"/>
        </w:tabs>
        <w:spacing w:after="120"/>
        <w:ind w:left="1134" w:right="1134"/>
        <w:rPr>
          <w:bCs/>
        </w:rPr>
      </w:pPr>
      <w:r w:rsidRPr="00BF42B7">
        <w:rPr>
          <w:rFonts w:hint="eastAsia"/>
          <w:bCs/>
        </w:rPr>
        <w:t>179</w:t>
      </w:r>
      <w:r w:rsidRPr="00BF42B7">
        <w:rPr>
          <w:bCs/>
        </w:rPr>
        <w:t xml:space="preserve">.  </w:t>
      </w:r>
      <w:r w:rsidRPr="00BF42B7">
        <w:rPr>
          <w:lang w:val="zh-CN"/>
        </w:rPr>
        <w:t>一些委员同意特别报告员的看法，认为继续与红十字委员会、联合国教育、科学及文化组织</w:t>
      </w:r>
      <w:r w:rsidRPr="00BF42B7">
        <w:rPr>
          <w:lang w:val="zh-CN"/>
        </w:rPr>
        <w:t>(</w:t>
      </w:r>
      <w:r w:rsidRPr="00BF42B7">
        <w:rPr>
          <w:lang w:val="zh-CN"/>
        </w:rPr>
        <w:t>教科文组织</w:t>
      </w:r>
      <w:r w:rsidRPr="00BF42B7">
        <w:rPr>
          <w:lang w:val="zh-CN"/>
        </w:rPr>
        <w:t>)</w:t>
      </w:r>
      <w:r w:rsidRPr="00BF42B7">
        <w:rPr>
          <w:lang w:val="zh-CN"/>
        </w:rPr>
        <w:t>和环境署等其他实体以及区域组织协商，对委员会大有益处。他们同样认为，若各国能继续提供立法实例和有关的案例法，也将有所助益。</w:t>
      </w:r>
    </w:p>
    <w:p w:rsidR="006735D4" w:rsidRPr="00BF42B7" w:rsidRDefault="006735D4" w:rsidP="006735D4">
      <w:pPr>
        <w:keepNext/>
        <w:keepLines/>
        <w:tabs>
          <w:tab w:val="clear" w:pos="431"/>
          <w:tab w:val="right" w:pos="851"/>
        </w:tabs>
        <w:spacing w:before="240" w:after="120"/>
        <w:ind w:left="1134" w:right="1134" w:hanging="1134"/>
        <w:jc w:val="left"/>
        <w:outlineLvl w:val="3"/>
        <w:rPr>
          <w:rFonts w:eastAsia="黑体"/>
          <w:sz w:val="22"/>
        </w:rPr>
      </w:pPr>
      <w:r w:rsidRPr="00BF42B7">
        <w:rPr>
          <w:rFonts w:eastAsia="黑体" w:hint="eastAsia"/>
          <w:sz w:val="22"/>
          <w:lang w:val="zh-CN"/>
        </w:rPr>
        <w:tab/>
      </w:r>
      <w:r w:rsidRPr="00BF42B7">
        <w:rPr>
          <w:rFonts w:eastAsia="黑体"/>
          <w:sz w:val="22"/>
          <w:lang w:val="zh-CN"/>
        </w:rPr>
        <w:t>3.</w:t>
      </w:r>
      <w:r w:rsidRPr="00BF42B7">
        <w:rPr>
          <w:rFonts w:eastAsia="黑体" w:hint="eastAsia"/>
          <w:sz w:val="22"/>
          <w:lang w:val="zh-CN"/>
        </w:rPr>
        <w:tab/>
      </w:r>
      <w:r w:rsidRPr="00BF42B7">
        <w:rPr>
          <w:rFonts w:eastAsia="黑体" w:hint="eastAsia"/>
          <w:sz w:val="22"/>
          <w:lang w:val="zh-CN"/>
        </w:rPr>
        <w:t>特别报告员的总结</w:t>
      </w:r>
    </w:p>
    <w:p w:rsidR="006735D4" w:rsidRPr="00BF42B7" w:rsidRDefault="006735D4" w:rsidP="006735D4">
      <w:pPr>
        <w:tabs>
          <w:tab w:val="clear" w:pos="431"/>
          <w:tab w:val="left" w:pos="1134"/>
          <w:tab w:val="left" w:pos="1565"/>
          <w:tab w:val="left" w:pos="1996"/>
          <w:tab w:val="left" w:pos="2427"/>
        </w:tabs>
        <w:spacing w:after="120"/>
        <w:ind w:left="1134" w:right="1134"/>
      </w:pPr>
      <w:r w:rsidRPr="00BF42B7">
        <w:rPr>
          <w:rFonts w:hint="eastAsia"/>
        </w:rPr>
        <w:t>180</w:t>
      </w:r>
      <w:r w:rsidRPr="00BF42B7">
        <w:t xml:space="preserve">.  </w:t>
      </w:r>
      <w:r w:rsidRPr="00BF42B7">
        <w:rPr>
          <w:lang w:val="zh-CN"/>
        </w:rPr>
        <w:t>鉴于全体会议辩论期间就本报告的方法和整个专题提出的意见，特别报告员认为，应该说明</w:t>
      </w:r>
      <w:r w:rsidRPr="00BF42B7">
        <w:rPr>
          <w:rFonts w:hint="eastAsia"/>
          <w:lang w:val="zh-CN"/>
        </w:rPr>
        <w:t>的是，</w:t>
      </w:r>
      <w:r w:rsidRPr="00BF42B7">
        <w:rPr>
          <w:lang w:val="zh-CN"/>
        </w:rPr>
        <w:t>考虑到本专题性质广泛，因此分为几个时间段，以便于开展研究和分析工作。她同意</w:t>
      </w:r>
      <w:r w:rsidRPr="00BF42B7">
        <w:rPr>
          <w:rFonts w:hint="eastAsia"/>
          <w:lang w:val="zh-CN"/>
        </w:rPr>
        <w:t>这种意见</w:t>
      </w:r>
      <w:r w:rsidRPr="00BF42B7">
        <w:rPr>
          <w:lang w:val="zh-CN"/>
        </w:rPr>
        <w:t>，</w:t>
      </w:r>
      <w:r w:rsidRPr="00BF42B7">
        <w:rPr>
          <w:rFonts w:hint="eastAsia"/>
          <w:lang w:val="zh-CN"/>
        </w:rPr>
        <w:t>即</w:t>
      </w:r>
      <w:r w:rsidRPr="00BF42B7">
        <w:rPr>
          <w:lang w:val="zh-CN"/>
        </w:rPr>
        <w:t>根据起草委员会开展的工作，将原则草案按不同的时间段排列，这种做法反映在工作结果中，产生了实质性问题，因为正如辩论中已经指出的那样，有几条原则草案涉及不止一个阶段。如果委员会决定在原则草案中体现出不同时段，宜在文首单独插入题为</w:t>
      </w:r>
      <w:r w:rsidRPr="00BF42B7">
        <w:rPr>
          <w:rFonts w:hint="eastAsia"/>
          <w:lang w:val="zh-CN"/>
        </w:rPr>
        <w:t>“</w:t>
      </w:r>
      <w:r w:rsidRPr="00BF42B7">
        <w:rPr>
          <w:lang w:val="zh-CN"/>
        </w:rPr>
        <w:t>一般适用原则</w:t>
      </w:r>
      <w:r w:rsidRPr="00BF42B7">
        <w:rPr>
          <w:rFonts w:hint="eastAsia"/>
          <w:lang w:val="zh-CN"/>
        </w:rPr>
        <w:t>”</w:t>
      </w:r>
      <w:r w:rsidRPr="00BF42B7">
        <w:rPr>
          <w:lang w:val="zh-CN"/>
        </w:rPr>
        <w:t>的部分。这部分将取代标题暂定为</w:t>
      </w:r>
      <w:r w:rsidRPr="00BF42B7">
        <w:rPr>
          <w:rFonts w:hint="eastAsia"/>
          <w:lang w:val="zh-CN"/>
        </w:rPr>
        <w:t>“</w:t>
      </w:r>
      <w:r w:rsidRPr="00BF42B7">
        <w:rPr>
          <w:lang w:val="zh-CN"/>
        </w:rPr>
        <w:t>增列的原则草案</w:t>
      </w:r>
      <w:r w:rsidRPr="00BF42B7">
        <w:rPr>
          <w:rFonts w:hint="eastAsia"/>
          <w:lang w:val="zh-CN"/>
        </w:rPr>
        <w:t>”</w:t>
      </w:r>
      <w:r w:rsidRPr="00BF42B7">
        <w:rPr>
          <w:lang w:val="zh-CN"/>
        </w:rPr>
        <w:t>的第四部分。她相信，可在起草委员会中解决委员们就时间范围表达的关切。</w:t>
      </w:r>
    </w:p>
    <w:p w:rsidR="006735D4" w:rsidRPr="00BF42B7" w:rsidRDefault="006735D4" w:rsidP="006735D4">
      <w:pPr>
        <w:tabs>
          <w:tab w:val="clear" w:pos="431"/>
          <w:tab w:val="left" w:pos="1134"/>
          <w:tab w:val="left" w:pos="1565"/>
          <w:tab w:val="left" w:pos="1996"/>
          <w:tab w:val="left" w:pos="2427"/>
        </w:tabs>
        <w:spacing w:after="120"/>
        <w:ind w:left="1134" w:right="1134"/>
      </w:pPr>
      <w:r w:rsidRPr="00BF42B7">
        <w:rPr>
          <w:rFonts w:hint="eastAsia"/>
        </w:rPr>
        <w:t>181</w:t>
      </w:r>
      <w:r w:rsidRPr="00BF42B7">
        <w:t xml:space="preserve">.  </w:t>
      </w:r>
      <w:r w:rsidRPr="00BF42B7">
        <w:rPr>
          <w:lang w:val="zh-CN"/>
        </w:rPr>
        <w:t>关于委员们就报告所载</w:t>
      </w:r>
      <w:r w:rsidRPr="00BF42B7">
        <w:rPr>
          <w:rFonts w:hint="eastAsia"/>
          <w:lang w:val="zh-CN"/>
        </w:rPr>
        <w:t>的</w:t>
      </w:r>
      <w:r w:rsidRPr="00BF42B7">
        <w:rPr>
          <w:lang w:val="zh-CN"/>
        </w:rPr>
        <w:t>某些研究是否充分及其与本专题的相关性提出的意见，特别报告员指出，与武装冲突有关的环境保护是法律发展中的新领域。因此，</w:t>
      </w:r>
      <w:r w:rsidRPr="00BF42B7">
        <w:rPr>
          <w:rFonts w:hint="eastAsia"/>
          <w:lang w:val="zh-CN"/>
        </w:rPr>
        <w:t>重要的是</w:t>
      </w:r>
      <w:r w:rsidRPr="00BF42B7">
        <w:rPr>
          <w:lang w:val="zh-CN"/>
        </w:rPr>
        <w:t>表明这方面的环境问题如何越来越多地反映在不同的法律领域中，有时可能是以被视为与本专题</w:t>
      </w:r>
      <w:r w:rsidRPr="00BF42B7">
        <w:rPr>
          <w:rFonts w:hint="eastAsia"/>
          <w:lang w:val="zh-CN"/>
        </w:rPr>
        <w:t>仅</w:t>
      </w:r>
      <w:r w:rsidRPr="00BF42B7">
        <w:rPr>
          <w:lang w:val="zh-CN"/>
        </w:rPr>
        <w:t>间接相关的方式。在关于环境损害的案例法方面，这一点尤其明显。这些案例法往往采取迂回的办法，似乎仅处理财产或人权问题，因为这在法律上更站得住脚。报告中引发类似批评的另一领域涉及有关投资协定的章节。特别报告员谈到委员会关于武装冲突对条约的影响条款，回顾指出，投资协定属于暗含在武装冲突期间继续施行之意的一组条约</w:t>
      </w:r>
      <w:r w:rsidRPr="00BF42B7">
        <w:rPr>
          <w:color w:val="0000FF"/>
          <w:vertAlign w:val="superscript"/>
          <w:lang w:val="zh-CN"/>
        </w:rPr>
        <w:footnoteReference w:id="1317"/>
      </w:r>
      <w:r w:rsidRPr="00BF42B7">
        <w:rPr>
          <w:lang w:val="zh-CN"/>
        </w:rPr>
        <w:t>。因此，这些协定是说明可将环境保护纳入在武装冲突期间可继续施行的条约的例证。特别报告员坚称，对于本专题的发展，这些问题既重要又相关。她还强调，本专题不仅限于武装冲突期间的环境保护；本专题的全部目的还在于处理国际法的其他领域，不仅限于武装冲突法。这一点在本专题的标题中得到明确强调。然而，特别报告员承认，关于在几条原则草案中可以加强与环境保护的联系这种批评意见</w:t>
      </w:r>
      <w:r w:rsidRPr="00BF42B7">
        <w:rPr>
          <w:rFonts w:hint="eastAsia"/>
          <w:lang w:val="zh-CN"/>
        </w:rPr>
        <w:t>，</w:t>
      </w:r>
      <w:r w:rsidRPr="00BF42B7">
        <w:rPr>
          <w:lang w:val="zh-CN"/>
        </w:rPr>
        <w:t>言之有理。</w:t>
      </w:r>
    </w:p>
    <w:p w:rsidR="006735D4" w:rsidRPr="00BF42B7" w:rsidRDefault="006735D4" w:rsidP="006735D4">
      <w:pPr>
        <w:tabs>
          <w:tab w:val="clear" w:pos="431"/>
          <w:tab w:val="left" w:pos="1134"/>
          <w:tab w:val="left" w:pos="1565"/>
          <w:tab w:val="left" w:pos="1996"/>
          <w:tab w:val="left" w:pos="2427"/>
        </w:tabs>
        <w:spacing w:after="120"/>
        <w:ind w:left="1134" w:right="1134"/>
      </w:pPr>
      <w:r w:rsidRPr="00BF42B7">
        <w:rPr>
          <w:rFonts w:hint="eastAsia"/>
        </w:rPr>
        <w:t>182</w:t>
      </w:r>
      <w:r w:rsidRPr="00BF42B7">
        <w:t xml:space="preserve">.  </w:t>
      </w:r>
      <w:r w:rsidRPr="00BF42B7">
        <w:rPr>
          <w:lang w:val="zh-CN"/>
        </w:rPr>
        <w:t>针对关于今后工作的章节没有得到充分阐述的意见，特别报告员指出，她认为更适于仅重点提出委员会不妨考虑的一些问题，因为将由下一任特别报告员决定如何开展工作。</w:t>
      </w:r>
    </w:p>
    <w:p w:rsidR="006735D4" w:rsidRPr="00BF42B7" w:rsidRDefault="006735D4" w:rsidP="006735D4">
      <w:pPr>
        <w:tabs>
          <w:tab w:val="clear" w:pos="431"/>
          <w:tab w:val="left" w:pos="1134"/>
          <w:tab w:val="left" w:pos="1565"/>
          <w:tab w:val="left" w:pos="1996"/>
          <w:tab w:val="left" w:pos="2427"/>
        </w:tabs>
        <w:spacing w:after="120"/>
        <w:ind w:left="1134" w:right="1134"/>
      </w:pPr>
      <w:r w:rsidRPr="00BF42B7">
        <w:rPr>
          <w:rFonts w:hint="eastAsia"/>
        </w:rPr>
        <w:t>183</w:t>
      </w:r>
      <w:r w:rsidRPr="00BF42B7">
        <w:t xml:space="preserve">.  </w:t>
      </w:r>
      <w:r w:rsidRPr="00BF42B7">
        <w:rPr>
          <w:lang w:val="zh-CN"/>
        </w:rPr>
        <w:t>特别报告员还谈到关于原则草案的一些意见。关于原则草案</w:t>
      </w:r>
      <w:r w:rsidRPr="00BF42B7">
        <w:rPr>
          <w:lang w:val="zh-CN"/>
        </w:rPr>
        <w:t>1-1</w:t>
      </w:r>
      <w:r w:rsidRPr="00BF42B7">
        <w:rPr>
          <w:rFonts w:hint="eastAsia"/>
          <w:lang w:val="zh-CN"/>
        </w:rPr>
        <w:t>，</w:t>
      </w:r>
      <w:r w:rsidRPr="00BF42B7">
        <w:rPr>
          <w:lang w:val="zh-CN"/>
        </w:rPr>
        <w:t>她承认起草的措辞较为笼统，没有具体说明设想的各种措施。要解决这个问题，可在原则草案或在评注中列举一些打算采取的措施。</w:t>
      </w:r>
    </w:p>
    <w:p w:rsidR="006735D4" w:rsidRPr="00BF42B7" w:rsidRDefault="006735D4" w:rsidP="006735D4">
      <w:pPr>
        <w:tabs>
          <w:tab w:val="clear" w:pos="431"/>
          <w:tab w:val="left" w:pos="1134"/>
          <w:tab w:val="left" w:pos="1565"/>
          <w:tab w:val="left" w:pos="1996"/>
          <w:tab w:val="left" w:pos="2427"/>
        </w:tabs>
        <w:spacing w:after="120"/>
        <w:ind w:left="1134" w:right="1134"/>
      </w:pPr>
      <w:r w:rsidRPr="00BF42B7">
        <w:rPr>
          <w:rFonts w:hint="eastAsia"/>
        </w:rPr>
        <w:t>184</w:t>
      </w:r>
      <w:r w:rsidRPr="00BF42B7">
        <w:t xml:space="preserve">.  </w:t>
      </w:r>
      <w:r w:rsidRPr="00BF42B7">
        <w:rPr>
          <w:lang w:val="zh-CN"/>
        </w:rPr>
        <w:t>有些意见质疑原则草案</w:t>
      </w:r>
      <w:r w:rsidRPr="00BF42B7">
        <w:rPr>
          <w:lang w:val="zh-CN"/>
        </w:rPr>
        <w:t>1-3</w:t>
      </w:r>
      <w:r w:rsidRPr="00BF42B7">
        <w:rPr>
          <w:lang w:val="zh-CN"/>
        </w:rPr>
        <w:t>中部队地位协定和特派团地位协定的相关性。对此，特别报告员重申，本专题所涉不限于武装冲突期间这个阶段；她还指出，此类协定处理的可能是对环境保护至关重要的问题。特别报告员就此提到为处理有毒物质进行标记、重建和开展预防措施等相关例子。关于原则草案</w:t>
      </w:r>
      <w:r w:rsidRPr="00BF42B7">
        <w:rPr>
          <w:lang w:val="zh-CN"/>
        </w:rPr>
        <w:t>1-4</w:t>
      </w:r>
      <w:r w:rsidRPr="00BF42B7">
        <w:rPr>
          <w:rFonts w:hint="eastAsia"/>
          <w:lang w:val="zh-CN"/>
        </w:rPr>
        <w:t>，</w:t>
      </w:r>
      <w:r w:rsidRPr="00BF42B7">
        <w:rPr>
          <w:lang w:val="zh-CN"/>
        </w:rPr>
        <w:t>特别报告员评论说，在原则草案中述及和平行动的想法似乎已获得普遍支持。然而，对于有委员表示关切称，将维持和平特派团纳入本专题的范围，有可能把特派团的活动描述为武装冲突，特别报告员再次强调，这些原则草案不局限于武装冲突局势，也包括冲突前和冲突后阶段。她还回顾说，国际人道主义法适用于这类特派团。</w:t>
      </w:r>
    </w:p>
    <w:p w:rsidR="006735D4" w:rsidRPr="00BF42B7" w:rsidRDefault="006735D4" w:rsidP="006735D4">
      <w:pPr>
        <w:tabs>
          <w:tab w:val="clear" w:pos="431"/>
          <w:tab w:val="left" w:pos="1134"/>
          <w:tab w:val="left" w:pos="1565"/>
          <w:tab w:val="left" w:pos="1996"/>
          <w:tab w:val="left" w:pos="2427"/>
        </w:tabs>
        <w:spacing w:after="120"/>
        <w:ind w:left="1134" w:right="1134"/>
        <w:rPr>
          <w:bCs/>
        </w:rPr>
      </w:pPr>
      <w:r w:rsidRPr="00BF42B7">
        <w:rPr>
          <w:rFonts w:hint="eastAsia"/>
          <w:bCs/>
        </w:rPr>
        <w:t>185</w:t>
      </w:r>
      <w:r w:rsidRPr="00BF42B7">
        <w:rPr>
          <w:bCs/>
        </w:rPr>
        <w:t xml:space="preserve">.  </w:t>
      </w:r>
      <w:r w:rsidRPr="00BF42B7">
        <w:rPr>
          <w:lang w:val="zh-CN"/>
        </w:rPr>
        <w:t>至于有关战争遗留物的原则草案</w:t>
      </w:r>
      <w:r w:rsidRPr="00BF42B7">
        <w:rPr>
          <w:lang w:val="zh-CN"/>
        </w:rPr>
        <w:t>3-3</w:t>
      </w:r>
      <w:r w:rsidRPr="00BF42B7">
        <w:rPr>
          <w:lang w:val="zh-CN"/>
        </w:rPr>
        <w:t>和</w:t>
      </w:r>
      <w:r w:rsidRPr="00BF42B7">
        <w:rPr>
          <w:lang w:val="zh-CN"/>
        </w:rPr>
        <w:t>3-4</w:t>
      </w:r>
      <w:r w:rsidRPr="00BF42B7">
        <w:rPr>
          <w:rFonts w:hint="eastAsia"/>
          <w:lang w:val="zh-CN"/>
        </w:rPr>
        <w:t>，</w:t>
      </w:r>
      <w:r w:rsidRPr="00BF42B7">
        <w:rPr>
          <w:lang w:val="zh-CN"/>
        </w:rPr>
        <w:t>特别报告员指出，对这两条草案的意见涉及其中提到的战争遗留物清单的详尽性、移除责任的分配、条款草案的时间问题和条款执行方面的政治现实。关于原则草案</w:t>
      </w:r>
      <w:r w:rsidRPr="00BF42B7">
        <w:rPr>
          <w:lang w:val="zh-CN"/>
        </w:rPr>
        <w:t>3-3</w:t>
      </w:r>
      <w:r w:rsidRPr="00BF42B7">
        <w:rPr>
          <w:lang w:val="zh-CN"/>
        </w:rPr>
        <w:t>所述遗留物的</w:t>
      </w:r>
      <w:r w:rsidRPr="00BF42B7">
        <w:rPr>
          <w:rFonts w:hint="eastAsia"/>
          <w:lang w:val="zh-CN"/>
        </w:rPr>
        <w:t>类型</w:t>
      </w:r>
      <w:r w:rsidRPr="00BF42B7">
        <w:rPr>
          <w:lang w:val="zh-CN"/>
        </w:rPr>
        <w:t>，她指出，这条原则草案反映了武装冲突法的现状。然而，她欢迎委员们建议重新审议这个问题，以确保涵盖其他有毒和危险遗留物。特别报告员还澄清说，移除战争遗留物的责任分配问题由武装冲突法规范，因此没有在原则草案中加以讨论。此外，关于这一事项的相关法律规定表明，此种责任不限于由国家承担，而是可以解释为也包括卷入冲突的其他行为</w:t>
      </w:r>
      <w:r w:rsidRPr="00BF42B7">
        <w:rPr>
          <w:rFonts w:hint="eastAsia"/>
          <w:lang w:val="zh-CN"/>
        </w:rPr>
        <w:t>者</w:t>
      </w:r>
      <w:r w:rsidRPr="00BF42B7">
        <w:rPr>
          <w:lang w:val="zh-CN"/>
        </w:rPr>
        <w:t>。关于这两条原则草案的时间问题，特别报告员回顾指出，把它们安排在冲突后阶段，意图便是适用于这个阶段。谈到委员们就原则草案</w:t>
      </w:r>
      <w:r w:rsidRPr="00BF42B7">
        <w:rPr>
          <w:lang w:val="zh-CN"/>
        </w:rPr>
        <w:t>3-3</w:t>
      </w:r>
      <w:r w:rsidRPr="00BF42B7">
        <w:rPr>
          <w:lang w:val="zh-CN"/>
        </w:rPr>
        <w:t>包含</w:t>
      </w:r>
      <w:r w:rsidRPr="00BF42B7">
        <w:rPr>
          <w:rFonts w:hint="eastAsia"/>
          <w:lang w:val="zh-CN"/>
        </w:rPr>
        <w:t>“</w:t>
      </w:r>
      <w:r w:rsidRPr="00BF42B7">
        <w:rPr>
          <w:lang w:val="zh-CN"/>
        </w:rPr>
        <w:t>毫不拖延</w:t>
      </w:r>
      <w:r w:rsidRPr="00BF42B7">
        <w:rPr>
          <w:rFonts w:hint="eastAsia"/>
          <w:lang w:val="zh-CN"/>
        </w:rPr>
        <w:t>”</w:t>
      </w:r>
      <w:r w:rsidRPr="00BF42B7">
        <w:rPr>
          <w:lang w:val="zh-CN"/>
        </w:rPr>
        <w:t>的措辞将为各国强加不合理义务提出的关切，特别报告员指出，《禁止或限制使用地雷、诱杀装置和其他装置的议定书》第</w:t>
      </w:r>
      <w:r w:rsidRPr="00BF42B7">
        <w:rPr>
          <w:lang w:val="zh-CN"/>
        </w:rPr>
        <w:t>10</w:t>
      </w:r>
      <w:r w:rsidRPr="00BF42B7">
        <w:rPr>
          <w:lang w:val="zh-CN"/>
        </w:rPr>
        <w:t>条</w:t>
      </w:r>
      <w:r w:rsidRPr="00BF42B7">
        <w:rPr>
          <w:bCs/>
          <w:color w:val="0000FF"/>
          <w:vertAlign w:val="superscript"/>
          <w:lang w:val="zh-CN"/>
        </w:rPr>
        <w:footnoteReference w:id="1318"/>
      </w:r>
      <w:r w:rsidRPr="00BF42B7">
        <w:rPr>
          <w:rFonts w:hint="eastAsia"/>
          <w:lang w:val="zh-CN"/>
        </w:rPr>
        <w:t xml:space="preserve"> </w:t>
      </w:r>
      <w:r w:rsidRPr="00BF42B7">
        <w:rPr>
          <w:lang w:val="zh-CN"/>
        </w:rPr>
        <w:t>使用了这一表述方式。</w:t>
      </w:r>
    </w:p>
    <w:p w:rsidR="006735D4" w:rsidRPr="00BF42B7" w:rsidRDefault="006735D4" w:rsidP="006735D4">
      <w:pPr>
        <w:tabs>
          <w:tab w:val="clear" w:pos="431"/>
          <w:tab w:val="left" w:pos="1134"/>
          <w:tab w:val="left" w:pos="1565"/>
          <w:tab w:val="left" w:pos="1996"/>
          <w:tab w:val="left" w:pos="2427"/>
        </w:tabs>
        <w:spacing w:after="120"/>
        <w:ind w:left="1134" w:right="1134"/>
        <w:rPr>
          <w:bCs/>
        </w:rPr>
      </w:pPr>
      <w:r w:rsidRPr="00BF42B7">
        <w:rPr>
          <w:rFonts w:hint="eastAsia"/>
          <w:bCs/>
        </w:rPr>
        <w:t>186</w:t>
      </w:r>
      <w:r w:rsidRPr="00BF42B7">
        <w:rPr>
          <w:bCs/>
        </w:rPr>
        <w:t xml:space="preserve">.  </w:t>
      </w:r>
      <w:r w:rsidRPr="00BF42B7">
        <w:rPr>
          <w:lang w:val="zh-CN"/>
        </w:rPr>
        <w:t>谈到关于原则草案</w:t>
      </w:r>
      <w:r w:rsidRPr="00BF42B7">
        <w:rPr>
          <w:lang w:val="zh-CN"/>
        </w:rPr>
        <w:t>3-5</w:t>
      </w:r>
      <w:r w:rsidRPr="00BF42B7">
        <w:rPr>
          <w:lang w:val="zh-CN"/>
        </w:rPr>
        <w:t>适用阶段的意见，特别报告员认为，如果在原则草案中保留时间分段，这个条款最宜放在冲突后局势部分。她还指出，如一些委员建议的那样，拟议条款中可以体现准许获取和分享信息原则因国家安全和国防原因出现的例外。然而，她指出，虽然若干现有法律文书中规定了这种例外，但这并不能免除缔约国善意合作的义务。</w:t>
      </w:r>
    </w:p>
    <w:p w:rsidR="006735D4" w:rsidRPr="00BF42B7" w:rsidRDefault="006735D4" w:rsidP="006735D4">
      <w:pPr>
        <w:tabs>
          <w:tab w:val="clear" w:pos="431"/>
          <w:tab w:val="left" w:pos="1134"/>
          <w:tab w:val="left" w:pos="1565"/>
          <w:tab w:val="left" w:pos="1996"/>
          <w:tab w:val="left" w:pos="2427"/>
        </w:tabs>
        <w:spacing w:after="120"/>
        <w:ind w:left="1134" w:right="1134"/>
        <w:rPr>
          <w:lang w:val="zh-CN"/>
        </w:rPr>
      </w:pPr>
      <w:r w:rsidRPr="00BF42B7">
        <w:rPr>
          <w:rFonts w:hint="eastAsia"/>
          <w:lang w:val="zh-CN"/>
        </w:rPr>
        <w:t xml:space="preserve">187. </w:t>
      </w:r>
      <w:r w:rsidRPr="00BF42B7">
        <w:t xml:space="preserve"> </w:t>
      </w:r>
      <w:r w:rsidRPr="00BF42B7">
        <w:rPr>
          <w:lang w:val="zh-CN"/>
        </w:rPr>
        <w:t>特别报告员指出，关于土著人民权利的原则草案</w:t>
      </w:r>
      <w:r w:rsidRPr="00BF42B7">
        <w:rPr>
          <w:lang w:val="zh-CN"/>
        </w:rPr>
        <w:t>4-1</w:t>
      </w:r>
      <w:r w:rsidRPr="00BF42B7">
        <w:rPr>
          <w:lang w:val="zh-CN"/>
        </w:rPr>
        <w:t>引发了大量评论，</w:t>
      </w:r>
      <w:r w:rsidRPr="00BF42B7">
        <w:rPr>
          <w:rFonts w:hint="eastAsia"/>
          <w:lang w:val="zh-CN"/>
        </w:rPr>
        <w:t>表明</w:t>
      </w:r>
      <w:r w:rsidRPr="00BF42B7">
        <w:rPr>
          <w:lang w:val="zh-CN"/>
        </w:rPr>
        <w:t>关于是否在本专题的范围内处理这一问题，委员们存在意见分歧。特别报告员仍然深信这个问题与本专题极为相关，并</w:t>
      </w:r>
      <w:r w:rsidRPr="00BF42B7">
        <w:rPr>
          <w:rFonts w:hint="eastAsia"/>
          <w:lang w:val="zh-CN"/>
        </w:rPr>
        <w:t>且</w:t>
      </w:r>
      <w:r w:rsidRPr="00BF42B7">
        <w:rPr>
          <w:lang w:val="zh-CN"/>
        </w:rPr>
        <w:t>提到了强调土著人民与其环境之间的</w:t>
      </w:r>
      <w:r w:rsidRPr="00BF42B7">
        <w:rPr>
          <w:spacing w:val="4"/>
          <w:lang w:val="zh-CN"/>
        </w:rPr>
        <w:t>联系的各种文书，还提到</w:t>
      </w:r>
      <w:r w:rsidRPr="00BF42B7">
        <w:rPr>
          <w:rFonts w:hint="eastAsia"/>
          <w:spacing w:val="4"/>
          <w:lang w:val="zh-CN"/>
        </w:rPr>
        <w:t>一些</w:t>
      </w:r>
      <w:r w:rsidRPr="00BF42B7">
        <w:rPr>
          <w:spacing w:val="4"/>
          <w:lang w:val="zh-CN"/>
        </w:rPr>
        <w:t>表明在武装冲突的背景下这种联系尤为重要的文书</w:t>
      </w:r>
      <w:r w:rsidRPr="00BF42B7">
        <w:rPr>
          <w:bCs/>
          <w:color w:val="0000FF"/>
          <w:spacing w:val="4"/>
          <w:vertAlign w:val="superscript"/>
          <w:lang w:val="zh-CN"/>
        </w:rPr>
        <w:footnoteReference w:id="1319"/>
      </w:r>
      <w:r w:rsidRPr="00BF42B7">
        <w:rPr>
          <w:spacing w:val="4"/>
          <w:lang w:val="zh-CN"/>
        </w:rPr>
        <w:t>。</w:t>
      </w:r>
      <w:r w:rsidRPr="00BF42B7">
        <w:rPr>
          <w:lang w:val="zh-CN"/>
        </w:rPr>
        <w:t>然而，她承认，在这条原则草案中应该加强这种联系，不仅应明确侧重于保护土著人民的环境，而且应该与武装冲突局势建立直接的联系。</w:t>
      </w:r>
    </w:p>
    <w:p w:rsidR="006735D4" w:rsidRPr="00BF42B7" w:rsidRDefault="006735D4" w:rsidP="006735D4">
      <w:pPr>
        <w:pStyle w:val="H1GC"/>
      </w:pPr>
      <w:r w:rsidRPr="00BF42B7">
        <w:rPr>
          <w:sz w:val="20"/>
        </w:rPr>
        <w:tab/>
      </w:r>
      <w:r w:rsidRPr="00BF42B7">
        <w:rPr>
          <w:rFonts w:hint="eastAsia"/>
        </w:rPr>
        <w:t>C.</w:t>
      </w:r>
      <w:r w:rsidRPr="00BF42B7">
        <w:rPr>
          <w:rFonts w:hint="eastAsia"/>
          <w:sz w:val="20"/>
        </w:rPr>
        <w:tab/>
      </w:r>
      <w:r w:rsidRPr="00BF42B7">
        <w:t>委员会</w:t>
      </w:r>
      <w:r w:rsidRPr="00BF42B7">
        <w:rPr>
          <w:rFonts w:hint="eastAsia"/>
        </w:rPr>
        <w:t>迄今为止暂时通过的与武装冲突有关的环境保护原则草案案文</w:t>
      </w:r>
    </w:p>
    <w:p w:rsidR="006735D4" w:rsidRPr="00BF42B7" w:rsidRDefault="006735D4" w:rsidP="006735D4">
      <w:pPr>
        <w:pStyle w:val="H23GC"/>
      </w:pPr>
      <w:r w:rsidRPr="00BF42B7">
        <w:rPr>
          <w:rFonts w:hint="eastAsia"/>
        </w:rPr>
        <w:tab/>
        <w:t>1.</w:t>
      </w:r>
      <w:r w:rsidRPr="00BF42B7">
        <w:rPr>
          <w:rFonts w:hint="eastAsia"/>
        </w:rPr>
        <w:tab/>
      </w:r>
      <w:r w:rsidRPr="00BF42B7">
        <w:rPr>
          <w:rFonts w:hint="eastAsia"/>
        </w:rPr>
        <w:t>原则草案案文</w:t>
      </w:r>
    </w:p>
    <w:p w:rsidR="006735D4" w:rsidRPr="00BF42B7" w:rsidRDefault="006735D4" w:rsidP="006735D4">
      <w:pPr>
        <w:tabs>
          <w:tab w:val="clear" w:pos="431"/>
          <w:tab w:val="left" w:pos="1134"/>
          <w:tab w:val="left" w:pos="1565"/>
          <w:tab w:val="left" w:pos="1996"/>
          <w:tab w:val="left" w:pos="2427"/>
        </w:tabs>
        <w:spacing w:after="120"/>
        <w:ind w:left="1134" w:right="1134"/>
        <w:rPr>
          <w:rFonts w:ascii="宋体" w:hAnsi="宋体" w:cs="宋体"/>
        </w:rPr>
      </w:pPr>
      <w:r w:rsidRPr="00BF42B7">
        <w:t xml:space="preserve">188.  </w:t>
      </w:r>
      <w:r w:rsidRPr="00BF42B7">
        <w:rPr>
          <w:rFonts w:ascii="宋体" w:hAnsi="宋体" w:cs="宋体" w:hint="eastAsia"/>
        </w:rPr>
        <w:t>委员会迄今为止暂时通过的原则草案案文载录如下。</w:t>
      </w:r>
    </w:p>
    <w:p w:rsidR="006735D4" w:rsidRPr="00BF42B7" w:rsidRDefault="006735D4" w:rsidP="00DE50E6">
      <w:pPr>
        <w:pStyle w:val="H23GC"/>
        <w:spacing w:after="80"/>
        <w:ind w:left="1554"/>
        <w:rPr>
          <w:lang w:val="en-GB"/>
        </w:rPr>
      </w:pPr>
      <w:r w:rsidRPr="00BF42B7">
        <w:rPr>
          <w:rFonts w:hint="eastAsia"/>
          <w:lang w:val="en-GB"/>
        </w:rPr>
        <w:tab/>
      </w:r>
      <w:r w:rsidRPr="00BF42B7">
        <w:rPr>
          <w:rFonts w:hint="eastAsia"/>
          <w:lang w:val="en-GB"/>
        </w:rPr>
        <w:tab/>
      </w:r>
      <w:r w:rsidRPr="00BF42B7">
        <w:rPr>
          <w:rFonts w:hint="eastAsia"/>
          <w:lang w:val="en-GB"/>
        </w:rPr>
        <w:t>原则草案</w:t>
      </w:r>
      <w:r w:rsidRPr="00BF42B7">
        <w:rPr>
          <w:rFonts w:hint="eastAsia"/>
          <w:lang w:val="en-GB"/>
        </w:rPr>
        <w:t>1</w:t>
      </w:r>
      <w:r w:rsidRPr="00BF42B7">
        <w:rPr>
          <w:lang w:val="en-GB"/>
        </w:rPr>
        <w:br/>
      </w:r>
      <w:r w:rsidRPr="00BF42B7">
        <w:rPr>
          <w:rFonts w:hint="eastAsia"/>
          <w:lang w:val="en-GB"/>
        </w:rPr>
        <w:t>范围</w:t>
      </w:r>
    </w:p>
    <w:p w:rsidR="006735D4" w:rsidRPr="00BF42B7" w:rsidRDefault="00C37E00" w:rsidP="00DE50E6">
      <w:pPr>
        <w:tabs>
          <w:tab w:val="clear" w:pos="431"/>
          <w:tab w:val="left" w:pos="1996"/>
          <w:tab w:val="left" w:pos="2427"/>
        </w:tabs>
        <w:spacing w:after="80"/>
        <w:ind w:left="1554" w:right="1134"/>
        <w:rPr>
          <w:lang w:val="en-GB"/>
        </w:rPr>
      </w:pPr>
      <w:r>
        <w:rPr>
          <w:rFonts w:hint="eastAsia"/>
          <w:lang w:val="en-GB"/>
        </w:rPr>
        <w:tab/>
      </w:r>
      <w:r w:rsidR="006735D4" w:rsidRPr="00BF42B7">
        <w:rPr>
          <w:rFonts w:ascii="宋体" w:hAnsi="宋体" w:cs="宋体" w:hint="eastAsia"/>
          <w:lang w:val="en-GB"/>
        </w:rPr>
        <w:t>本原则草案适用于武装冲突之前、期间和之后的环境</w:t>
      </w:r>
      <w:r w:rsidR="006735D4" w:rsidRPr="00BF42B7">
        <w:t>*</w:t>
      </w:r>
      <w:r w:rsidR="006735D4" w:rsidRPr="00BF42B7">
        <w:rPr>
          <w:rFonts w:hint="eastAsia"/>
          <w:vertAlign w:val="superscript"/>
        </w:rPr>
        <w:t xml:space="preserve"> </w:t>
      </w:r>
      <w:r w:rsidR="006735D4" w:rsidRPr="00BF42B7">
        <w:rPr>
          <w:rFonts w:ascii="宋体" w:hAnsi="宋体" w:cs="宋体" w:hint="eastAsia"/>
          <w:lang w:val="en-GB"/>
        </w:rPr>
        <w:t>保护。</w:t>
      </w:r>
    </w:p>
    <w:p w:rsidR="006735D4" w:rsidRPr="00BF42B7" w:rsidRDefault="006735D4" w:rsidP="00DE50E6">
      <w:pPr>
        <w:tabs>
          <w:tab w:val="clear" w:pos="431"/>
        </w:tabs>
        <w:suppressAutoHyphens/>
        <w:kinsoku w:val="0"/>
        <w:autoSpaceDE w:val="0"/>
        <w:autoSpaceDN w:val="0"/>
        <w:spacing w:after="80" w:line="240" w:lineRule="atLeast"/>
        <w:ind w:left="1701" w:right="1134"/>
        <w:rPr>
          <w:rFonts w:eastAsia="Calibri"/>
          <w:snapToGrid/>
          <w:sz w:val="20"/>
          <w:lang w:val="en-GB"/>
        </w:rPr>
      </w:pPr>
      <w:r w:rsidRPr="00BF42B7">
        <w:rPr>
          <w:rFonts w:eastAsia="Calibri"/>
          <w:snapToGrid/>
          <w:sz w:val="20"/>
          <w:lang w:val="en-GB"/>
        </w:rPr>
        <w:t>____________</w:t>
      </w:r>
    </w:p>
    <w:p w:rsidR="006735D4" w:rsidRPr="00BF42B7" w:rsidRDefault="006735D4" w:rsidP="00DE50E6">
      <w:pPr>
        <w:tabs>
          <w:tab w:val="clear" w:pos="431"/>
        </w:tabs>
        <w:suppressAutoHyphens/>
        <w:kinsoku w:val="0"/>
        <w:autoSpaceDE w:val="0"/>
        <w:autoSpaceDN w:val="0"/>
        <w:spacing w:after="80" w:line="240" w:lineRule="atLeast"/>
        <w:ind w:left="1701" w:right="1134"/>
        <w:rPr>
          <w:rFonts w:eastAsia="黑体"/>
          <w:snapToGrid/>
          <w:sz w:val="20"/>
          <w:lang w:val="en-GB"/>
        </w:rPr>
      </w:pPr>
      <w:r w:rsidRPr="00BF42B7">
        <w:rPr>
          <w:rFonts w:eastAsia="Calibri"/>
          <w:snapToGrid/>
          <w:sz w:val="20"/>
          <w:lang w:val="en-GB"/>
        </w:rPr>
        <w:t>*</w:t>
      </w:r>
      <w:r w:rsidRPr="00BF42B7">
        <w:rPr>
          <w:rFonts w:eastAsiaTheme="minorEastAsia" w:hint="eastAsia"/>
          <w:snapToGrid/>
          <w:sz w:val="20"/>
          <w:lang w:val="en-GB"/>
        </w:rPr>
        <w:t xml:space="preserve">  </w:t>
      </w:r>
      <w:r w:rsidRPr="00BF42B7">
        <w:rPr>
          <w:rFonts w:ascii="宋体" w:hAnsi="宋体" w:cs="宋体" w:hint="eastAsia"/>
          <w:snapToGrid/>
          <w:sz w:val="20"/>
          <w:lang w:val="en-GB"/>
        </w:rPr>
        <w:t>以后再研究全部或部分原则草案使用</w:t>
      </w:r>
      <w:r w:rsidRPr="00BF42B7">
        <w:rPr>
          <w:rFonts w:hint="eastAsia"/>
          <w:lang w:val="fr-CH"/>
        </w:rPr>
        <w:t>“</w:t>
      </w:r>
      <w:r w:rsidRPr="00BF42B7">
        <w:rPr>
          <w:rFonts w:ascii="宋体" w:hAnsi="宋体" w:cs="宋体" w:hint="eastAsia"/>
          <w:snapToGrid/>
          <w:sz w:val="20"/>
          <w:lang w:val="en-GB"/>
        </w:rPr>
        <w:t>环境</w:t>
      </w:r>
      <w:r w:rsidRPr="00BF42B7">
        <w:rPr>
          <w:rFonts w:hint="eastAsia"/>
          <w:lang w:val="fr-CH"/>
        </w:rPr>
        <w:t>”</w:t>
      </w:r>
      <w:r w:rsidRPr="00BF42B7">
        <w:rPr>
          <w:rFonts w:ascii="宋体" w:hAnsi="宋体" w:cs="宋体" w:hint="eastAsia"/>
          <w:snapToGrid/>
          <w:sz w:val="20"/>
          <w:lang w:val="en-GB"/>
        </w:rPr>
        <w:t>还是</w:t>
      </w:r>
      <w:r w:rsidRPr="00BF42B7">
        <w:rPr>
          <w:rFonts w:hint="eastAsia"/>
          <w:lang w:val="fr-CH"/>
        </w:rPr>
        <w:t>“</w:t>
      </w:r>
      <w:r w:rsidRPr="00BF42B7">
        <w:rPr>
          <w:rFonts w:ascii="宋体" w:hAnsi="宋体" w:cs="宋体" w:hint="eastAsia"/>
          <w:snapToGrid/>
          <w:sz w:val="20"/>
          <w:lang w:val="en-GB"/>
        </w:rPr>
        <w:t>自然环境</w:t>
      </w:r>
      <w:r w:rsidRPr="00BF42B7">
        <w:rPr>
          <w:rFonts w:hint="eastAsia"/>
          <w:lang w:val="fr-CH"/>
        </w:rPr>
        <w:t>”</w:t>
      </w:r>
      <w:r w:rsidRPr="00BF42B7">
        <w:rPr>
          <w:rFonts w:ascii="宋体" w:hAnsi="宋体" w:cs="宋体" w:hint="eastAsia"/>
          <w:snapToGrid/>
          <w:sz w:val="20"/>
          <w:lang w:val="en-GB"/>
        </w:rPr>
        <w:t>更合适。</w:t>
      </w:r>
    </w:p>
    <w:p w:rsidR="006735D4" w:rsidRPr="00BF42B7" w:rsidRDefault="006735D4" w:rsidP="00DE50E6">
      <w:pPr>
        <w:pStyle w:val="H23GC"/>
        <w:spacing w:after="80"/>
        <w:ind w:left="1554"/>
        <w:rPr>
          <w:lang w:val="sv-SE"/>
        </w:rPr>
      </w:pPr>
      <w:r w:rsidRPr="00BF42B7">
        <w:rPr>
          <w:lang w:val="sv-SE"/>
        </w:rPr>
        <w:tab/>
      </w:r>
      <w:r w:rsidRPr="00BF42B7">
        <w:rPr>
          <w:lang w:val="sv-SE"/>
        </w:rPr>
        <w:tab/>
      </w:r>
      <w:r w:rsidRPr="00BF42B7">
        <w:rPr>
          <w:rFonts w:hint="eastAsia"/>
          <w:lang w:val="sv-SE"/>
        </w:rPr>
        <w:t>原则草案</w:t>
      </w:r>
      <w:r w:rsidRPr="00BF42B7">
        <w:rPr>
          <w:rFonts w:hint="eastAsia"/>
          <w:lang w:val="sv-SE"/>
        </w:rPr>
        <w:t>2</w:t>
      </w:r>
      <w:r w:rsidRPr="00BF42B7">
        <w:rPr>
          <w:lang w:val="sv-SE"/>
        </w:rPr>
        <w:br/>
      </w:r>
      <w:r w:rsidRPr="00BF42B7">
        <w:rPr>
          <w:rFonts w:hint="eastAsia"/>
          <w:lang w:val="sv-SE"/>
        </w:rPr>
        <w:t>宗旨</w:t>
      </w:r>
    </w:p>
    <w:p w:rsidR="006735D4" w:rsidRPr="00BF42B7" w:rsidRDefault="006735D4" w:rsidP="00DE50E6">
      <w:pPr>
        <w:tabs>
          <w:tab w:val="clear" w:pos="431"/>
          <w:tab w:val="left" w:pos="1996"/>
          <w:tab w:val="left" w:pos="2427"/>
        </w:tabs>
        <w:spacing w:after="80"/>
        <w:ind w:left="1554" w:right="1134"/>
        <w:rPr>
          <w:lang w:val="sv-SE"/>
        </w:rPr>
      </w:pPr>
      <w:r w:rsidRPr="00BF42B7">
        <w:rPr>
          <w:rFonts w:hint="eastAsia"/>
          <w:lang w:val="sv-SE"/>
        </w:rPr>
        <w:tab/>
      </w:r>
      <w:r w:rsidRPr="00BF42B7">
        <w:rPr>
          <w:rFonts w:hint="eastAsia"/>
          <w:lang w:val="sv-SE"/>
        </w:rPr>
        <w:t>本原则草案旨在通过最大限度地减少武装冲突期间对环境损害的预防措施以及通过补救措施，加强与武装冲突有关的环境保护。</w:t>
      </w:r>
    </w:p>
    <w:p w:rsidR="006735D4" w:rsidRPr="00BF42B7" w:rsidRDefault="006735D4" w:rsidP="00DE50E6">
      <w:pPr>
        <w:tabs>
          <w:tab w:val="clear" w:pos="431"/>
          <w:tab w:val="left" w:pos="1996"/>
          <w:tab w:val="left" w:pos="2427"/>
        </w:tabs>
        <w:spacing w:after="80"/>
        <w:ind w:left="1554" w:right="1134"/>
        <w:rPr>
          <w:lang w:val="sv-SE"/>
        </w:rPr>
      </w:pPr>
      <w:r w:rsidRPr="00BF42B7">
        <w:rPr>
          <w:lang w:val="sv-SE"/>
        </w:rPr>
        <w:t>[</w:t>
      </w:r>
      <w:r w:rsidRPr="00BF42B7">
        <w:rPr>
          <w:rFonts w:hint="eastAsia"/>
        </w:rPr>
        <w:t>……</w:t>
      </w:r>
      <w:r w:rsidRPr="00BF42B7">
        <w:rPr>
          <w:lang w:val="sv-SE"/>
        </w:rPr>
        <w:t>]</w:t>
      </w:r>
    </w:p>
    <w:p w:rsidR="006735D4" w:rsidRPr="00BF42B7" w:rsidRDefault="006735D4" w:rsidP="00DE50E6">
      <w:pPr>
        <w:pStyle w:val="H23GC"/>
        <w:spacing w:after="80"/>
        <w:ind w:left="1554"/>
        <w:rPr>
          <w:lang w:val="en-GB"/>
        </w:rPr>
      </w:pPr>
      <w:r w:rsidRPr="00BF42B7">
        <w:rPr>
          <w:lang w:val="sv-SE"/>
        </w:rPr>
        <w:tab/>
      </w:r>
      <w:r w:rsidRPr="00BF42B7">
        <w:rPr>
          <w:lang w:val="sv-SE"/>
        </w:rPr>
        <w:tab/>
      </w:r>
      <w:r w:rsidRPr="00BF42B7">
        <w:rPr>
          <w:rFonts w:hint="eastAsia"/>
          <w:lang w:val="en-GB"/>
        </w:rPr>
        <w:t>第一部分</w:t>
      </w:r>
      <w:r w:rsidRPr="00BF42B7">
        <w:rPr>
          <w:lang w:val="en-GB"/>
        </w:rPr>
        <w:br/>
      </w:r>
      <w:r w:rsidRPr="00BF42B7">
        <w:rPr>
          <w:rFonts w:hint="eastAsia"/>
          <w:lang w:val="en-GB"/>
        </w:rPr>
        <w:t>一般原则</w:t>
      </w:r>
    </w:p>
    <w:p w:rsidR="006735D4" w:rsidRPr="00BF42B7" w:rsidRDefault="006735D4" w:rsidP="00DE50E6">
      <w:pPr>
        <w:tabs>
          <w:tab w:val="clear" w:pos="431"/>
          <w:tab w:val="left" w:pos="1996"/>
          <w:tab w:val="left" w:pos="2427"/>
        </w:tabs>
        <w:spacing w:after="80"/>
        <w:ind w:left="1554" w:right="1134"/>
        <w:rPr>
          <w:lang w:val="sv-SE"/>
        </w:rPr>
      </w:pPr>
      <w:r w:rsidRPr="00BF42B7">
        <w:rPr>
          <w:lang w:val="sv-SE"/>
        </w:rPr>
        <w:t>[</w:t>
      </w:r>
      <w:r w:rsidRPr="00BF42B7">
        <w:rPr>
          <w:rFonts w:hint="eastAsia"/>
        </w:rPr>
        <w:t>……</w:t>
      </w:r>
      <w:r w:rsidRPr="00BF42B7">
        <w:rPr>
          <w:lang w:val="sv-SE"/>
        </w:rPr>
        <w:t>]</w:t>
      </w:r>
    </w:p>
    <w:p w:rsidR="006735D4" w:rsidRPr="00BF42B7" w:rsidRDefault="006735D4" w:rsidP="00DE50E6">
      <w:pPr>
        <w:pStyle w:val="H23GC"/>
        <w:keepNext w:val="0"/>
        <w:keepLines w:val="0"/>
        <w:spacing w:after="80"/>
        <w:ind w:left="1554"/>
        <w:rPr>
          <w:lang w:val="sv-SE"/>
        </w:rPr>
      </w:pPr>
      <w:r w:rsidRPr="00BF42B7">
        <w:rPr>
          <w:rFonts w:hint="eastAsia"/>
          <w:lang w:val="sv-SE"/>
        </w:rPr>
        <w:tab/>
      </w:r>
      <w:r w:rsidRPr="00BF42B7">
        <w:rPr>
          <w:rFonts w:hint="eastAsia"/>
          <w:lang w:val="sv-SE"/>
        </w:rPr>
        <w:tab/>
      </w:r>
      <w:r w:rsidRPr="00BF42B7">
        <w:rPr>
          <w:rFonts w:hint="eastAsia"/>
          <w:lang w:val="sv-SE"/>
        </w:rPr>
        <w:t>原则草案</w:t>
      </w:r>
      <w:r w:rsidRPr="00BF42B7">
        <w:rPr>
          <w:rFonts w:hint="eastAsia"/>
          <w:lang w:val="sv-SE"/>
        </w:rPr>
        <w:t>5[1-(x)]</w:t>
      </w:r>
      <w:r w:rsidRPr="00BF42B7">
        <w:rPr>
          <w:lang w:val="sv-SE"/>
        </w:rPr>
        <w:br/>
      </w:r>
      <w:r w:rsidRPr="00BF42B7">
        <w:rPr>
          <w:rFonts w:hint="eastAsia"/>
          <w:lang w:val="sv-SE"/>
        </w:rPr>
        <w:t>指定受</w:t>
      </w:r>
      <w:r w:rsidRPr="00C37E00">
        <w:rPr>
          <w:rFonts w:hint="eastAsia"/>
          <w:lang w:val="en-GB"/>
        </w:rPr>
        <w:t>保护区</w:t>
      </w:r>
    </w:p>
    <w:p w:rsidR="006735D4" w:rsidRPr="00BF42B7" w:rsidRDefault="006735D4" w:rsidP="00C37E00">
      <w:pPr>
        <w:tabs>
          <w:tab w:val="clear" w:pos="431"/>
          <w:tab w:val="left" w:pos="1996"/>
          <w:tab w:val="left" w:pos="2427"/>
        </w:tabs>
        <w:spacing w:after="120"/>
        <w:ind w:left="1554" w:right="1134"/>
        <w:rPr>
          <w:lang w:val="en-GB"/>
        </w:rPr>
      </w:pPr>
      <w:r w:rsidRPr="00BF42B7">
        <w:rPr>
          <w:rFonts w:hint="eastAsia"/>
          <w:lang w:val="en-GB"/>
        </w:rPr>
        <w:tab/>
      </w:r>
      <w:r w:rsidRPr="00C37E00">
        <w:rPr>
          <w:rFonts w:hint="eastAsia"/>
          <w:lang w:val="en-GB"/>
        </w:rPr>
        <w:t>国家</w:t>
      </w:r>
      <w:r w:rsidRPr="00BF42B7">
        <w:rPr>
          <w:rFonts w:ascii="宋体" w:hAnsi="宋体" w:cs="宋体" w:hint="eastAsia"/>
          <w:lang w:val="en-GB"/>
        </w:rPr>
        <w:t>应当以协议或其他方式，指定具有重大环境和文化意义的区域为受保护区。</w:t>
      </w:r>
    </w:p>
    <w:p w:rsidR="006735D4" w:rsidRPr="00BF42B7" w:rsidRDefault="006735D4" w:rsidP="00C37E00">
      <w:pPr>
        <w:tabs>
          <w:tab w:val="clear" w:pos="431"/>
          <w:tab w:val="left" w:pos="1996"/>
          <w:tab w:val="left" w:pos="2427"/>
        </w:tabs>
        <w:spacing w:after="120"/>
        <w:ind w:left="1554" w:right="1134"/>
        <w:rPr>
          <w:lang w:val="sv-SE"/>
        </w:rPr>
      </w:pPr>
      <w:r w:rsidRPr="00BF42B7">
        <w:rPr>
          <w:lang w:val="sv-SE"/>
        </w:rPr>
        <w:t>[</w:t>
      </w:r>
      <w:r w:rsidRPr="00BF42B7">
        <w:rPr>
          <w:rFonts w:hint="eastAsia"/>
        </w:rPr>
        <w:t>……</w:t>
      </w:r>
      <w:r w:rsidRPr="00BF42B7">
        <w:rPr>
          <w:lang w:val="sv-SE"/>
        </w:rPr>
        <w:t>]</w:t>
      </w:r>
    </w:p>
    <w:p w:rsidR="006735D4" w:rsidRPr="00BF42B7" w:rsidRDefault="006735D4" w:rsidP="00C37E00">
      <w:pPr>
        <w:tabs>
          <w:tab w:val="clear" w:pos="431"/>
          <w:tab w:val="left" w:pos="1996"/>
          <w:tab w:val="left" w:pos="2427"/>
        </w:tabs>
        <w:spacing w:after="120"/>
        <w:ind w:left="1554" w:right="1134"/>
        <w:rPr>
          <w:lang w:val="en-GB"/>
        </w:rPr>
      </w:pPr>
      <w:r w:rsidRPr="00BF42B7">
        <w:rPr>
          <w:lang w:val="sv-SE"/>
        </w:rPr>
        <w:t>[</w:t>
      </w:r>
      <w:r w:rsidRPr="00BF42B7">
        <w:rPr>
          <w:rFonts w:hint="eastAsia"/>
        </w:rPr>
        <w:t>……</w:t>
      </w:r>
      <w:r w:rsidRPr="00BF42B7">
        <w:rPr>
          <w:lang w:val="sv-SE"/>
        </w:rPr>
        <w:t>]</w:t>
      </w:r>
    </w:p>
    <w:p w:rsidR="006735D4" w:rsidRPr="00BF42B7" w:rsidRDefault="006735D4" w:rsidP="00C37E00">
      <w:pPr>
        <w:pStyle w:val="H23GC"/>
        <w:ind w:left="1554"/>
        <w:rPr>
          <w:lang w:val="en-GB"/>
        </w:rPr>
      </w:pPr>
      <w:r w:rsidRPr="00BF42B7">
        <w:rPr>
          <w:rFonts w:hint="eastAsia"/>
          <w:lang w:val="en-GB"/>
        </w:rPr>
        <w:tab/>
      </w:r>
      <w:r w:rsidRPr="00BF42B7">
        <w:rPr>
          <w:rFonts w:hint="eastAsia"/>
          <w:lang w:val="en-GB"/>
        </w:rPr>
        <w:tab/>
      </w:r>
      <w:r w:rsidRPr="00BF42B7">
        <w:rPr>
          <w:rFonts w:hint="eastAsia"/>
          <w:lang w:val="en-GB"/>
        </w:rPr>
        <w:t>第二部分</w:t>
      </w:r>
      <w:r w:rsidRPr="00BF42B7">
        <w:rPr>
          <w:lang w:val="en-GB"/>
        </w:rPr>
        <w:br/>
      </w:r>
      <w:r w:rsidRPr="00BF42B7">
        <w:rPr>
          <w:rFonts w:hint="eastAsia"/>
          <w:lang w:val="en-GB"/>
        </w:rPr>
        <w:t>适用于武装冲突期间的原则</w:t>
      </w:r>
    </w:p>
    <w:p w:rsidR="006735D4" w:rsidRPr="00BF42B7" w:rsidRDefault="006735D4" w:rsidP="00C37E00">
      <w:pPr>
        <w:pStyle w:val="H23GC"/>
        <w:ind w:left="1554"/>
        <w:rPr>
          <w:lang w:val="en-GB"/>
        </w:rPr>
      </w:pPr>
      <w:r w:rsidRPr="00BF42B7">
        <w:rPr>
          <w:rFonts w:hint="eastAsia"/>
          <w:lang w:val="en-GB"/>
        </w:rPr>
        <w:tab/>
      </w:r>
      <w:r w:rsidRPr="00BF42B7">
        <w:rPr>
          <w:rFonts w:hint="eastAsia"/>
          <w:lang w:val="en-GB"/>
        </w:rPr>
        <w:tab/>
      </w:r>
      <w:r w:rsidRPr="00BF42B7">
        <w:rPr>
          <w:rFonts w:hint="eastAsia"/>
          <w:lang w:val="en-GB"/>
        </w:rPr>
        <w:t>原则草案</w:t>
      </w:r>
      <w:r w:rsidRPr="00BF42B7">
        <w:rPr>
          <w:rFonts w:hint="eastAsia"/>
          <w:lang w:val="en-GB"/>
        </w:rPr>
        <w:t>9[2-1]</w:t>
      </w:r>
      <w:r w:rsidRPr="00BF42B7">
        <w:rPr>
          <w:lang w:val="en-GB"/>
        </w:rPr>
        <w:br/>
      </w:r>
      <w:r w:rsidRPr="00BF42B7">
        <w:rPr>
          <w:rFonts w:hint="eastAsia"/>
          <w:lang w:val="en-GB"/>
        </w:rPr>
        <w:t>武装冲突期间对自然环境的总体保护</w:t>
      </w:r>
    </w:p>
    <w:p w:rsidR="006735D4" w:rsidRPr="00BF42B7" w:rsidRDefault="006735D4" w:rsidP="00C37E00">
      <w:pPr>
        <w:tabs>
          <w:tab w:val="clear" w:pos="431"/>
          <w:tab w:val="left" w:pos="1996"/>
          <w:tab w:val="left" w:pos="2427"/>
        </w:tabs>
        <w:spacing w:after="120"/>
        <w:ind w:left="1554" w:right="1134"/>
        <w:rPr>
          <w:rFonts w:eastAsia="Calibri"/>
          <w:lang w:val="en-GB"/>
        </w:rPr>
      </w:pPr>
      <w:r w:rsidRPr="00BF42B7">
        <w:rPr>
          <w:rFonts w:eastAsia="Calibri" w:hint="eastAsia"/>
          <w:lang w:val="en-GB"/>
        </w:rPr>
        <w:t xml:space="preserve">1.  </w:t>
      </w:r>
      <w:r w:rsidRPr="00BF42B7">
        <w:rPr>
          <w:rFonts w:ascii="宋体" w:hAnsi="宋体" w:cs="宋体" w:hint="eastAsia"/>
          <w:lang w:val="en-GB"/>
        </w:rPr>
        <w:t>应按照适用的国际法，特别是武装冲突法，尊重和保护自然环境。</w:t>
      </w:r>
    </w:p>
    <w:p w:rsidR="006735D4" w:rsidRPr="00BF42B7" w:rsidRDefault="006735D4" w:rsidP="00C37E00">
      <w:pPr>
        <w:tabs>
          <w:tab w:val="clear" w:pos="431"/>
          <w:tab w:val="left" w:pos="1996"/>
          <w:tab w:val="left" w:pos="2427"/>
        </w:tabs>
        <w:spacing w:after="120"/>
        <w:ind w:left="1554" w:right="1134"/>
        <w:rPr>
          <w:rFonts w:eastAsia="Calibri"/>
          <w:lang w:val="en-GB"/>
        </w:rPr>
      </w:pPr>
      <w:r w:rsidRPr="00BF42B7">
        <w:rPr>
          <w:rFonts w:eastAsia="Calibri" w:hint="eastAsia"/>
          <w:lang w:val="en-GB"/>
        </w:rPr>
        <w:t xml:space="preserve">2.  </w:t>
      </w:r>
      <w:r w:rsidRPr="00BF42B7">
        <w:rPr>
          <w:rFonts w:ascii="宋体" w:hAnsi="宋体" w:cs="宋体" w:hint="eastAsia"/>
          <w:lang w:val="en-GB"/>
        </w:rPr>
        <w:t>应注意保护自然环境免遭广泛、长期和严重的损害。</w:t>
      </w:r>
    </w:p>
    <w:p w:rsidR="006735D4" w:rsidRPr="00BF42B7" w:rsidRDefault="006735D4" w:rsidP="00C37E00">
      <w:pPr>
        <w:tabs>
          <w:tab w:val="clear" w:pos="431"/>
          <w:tab w:val="left" w:pos="1996"/>
          <w:tab w:val="left" w:pos="2427"/>
        </w:tabs>
        <w:spacing w:after="120"/>
        <w:ind w:left="1554" w:right="1134"/>
        <w:rPr>
          <w:rFonts w:eastAsia="Calibri"/>
          <w:lang w:val="en-GB"/>
        </w:rPr>
      </w:pPr>
      <w:r w:rsidRPr="00BF42B7">
        <w:rPr>
          <w:rFonts w:eastAsia="Calibri" w:hint="eastAsia"/>
          <w:lang w:val="en-GB"/>
        </w:rPr>
        <w:t xml:space="preserve">3.  </w:t>
      </w:r>
      <w:r w:rsidRPr="00BF42B7">
        <w:rPr>
          <w:rFonts w:ascii="宋体" w:hAnsi="宋体" w:cs="宋体" w:hint="eastAsia"/>
          <w:lang w:val="en-GB"/>
        </w:rPr>
        <w:t>除非自然环境成为军事目标，否则任何一部分都不得受到攻击。</w:t>
      </w:r>
    </w:p>
    <w:p w:rsidR="006735D4" w:rsidRPr="00BF42B7" w:rsidRDefault="006735D4" w:rsidP="00C37E00">
      <w:pPr>
        <w:pStyle w:val="H23GC"/>
        <w:ind w:left="1554"/>
        <w:rPr>
          <w:lang w:val="en-GB"/>
        </w:rPr>
      </w:pPr>
      <w:r w:rsidRPr="00BF42B7">
        <w:rPr>
          <w:rFonts w:hint="eastAsia"/>
          <w:lang w:val="en-GB"/>
        </w:rPr>
        <w:tab/>
      </w:r>
      <w:r w:rsidRPr="00BF42B7">
        <w:rPr>
          <w:rFonts w:hint="eastAsia"/>
          <w:lang w:val="en-GB"/>
        </w:rPr>
        <w:tab/>
      </w:r>
      <w:r w:rsidRPr="00BF42B7">
        <w:rPr>
          <w:rFonts w:hint="eastAsia"/>
          <w:lang w:val="en-GB"/>
        </w:rPr>
        <w:t>原则草案</w:t>
      </w:r>
      <w:r w:rsidRPr="00BF42B7">
        <w:rPr>
          <w:rFonts w:hint="eastAsia"/>
          <w:lang w:val="en-GB"/>
        </w:rPr>
        <w:t>10[2-2]</w:t>
      </w:r>
      <w:r w:rsidRPr="00BF42B7">
        <w:rPr>
          <w:lang w:val="en-GB"/>
        </w:rPr>
        <w:br/>
      </w:r>
      <w:r w:rsidRPr="00BF42B7">
        <w:rPr>
          <w:rFonts w:hint="eastAsia"/>
          <w:lang w:val="en-GB"/>
        </w:rPr>
        <w:t>对环境适用武装冲突法</w:t>
      </w:r>
    </w:p>
    <w:p w:rsidR="006735D4" w:rsidRPr="00BF42B7" w:rsidRDefault="006735D4" w:rsidP="004A5FDC">
      <w:pPr>
        <w:tabs>
          <w:tab w:val="clear" w:pos="431"/>
          <w:tab w:val="left" w:pos="1996"/>
          <w:tab w:val="left" w:pos="2427"/>
        </w:tabs>
        <w:spacing w:after="120"/>
        <w:ind w:left="1554" w:right="1134"/>
        <w:rPr>
          <w:rFonts w:eastAsia="Calibri"/>
          <w:lang w:val="en-GB"/>
        </w:rPr>
      </w:pPr>
      <w:r w:rsidRPr="00BF42B7">
        <w:rPr>
          <w:rFonts w:hint="eastAsia"/>
          <w:lang w:val="en-GB"/>
        </w:rPr>
        <w:tab/>
      </w:r>
      <w:r w:rsidRPr="00BF42B7">
        <w:rPr>
          <w:rFonts w:ascii="宋体" w:hAnsi="宋体" w:cs="宋体" w:hint="eastAsia"/>
          <w:lang w:val="en-GB"/>
        </w:rPr>
        <w:t>应对自然环境适用武装冲突法，包括关于区分、相称性、军事必要性和攻击中采取预防措施的原则和规则，以期保护环境。</w:t>
      </w:r>
    </w:p>
    <w:p w:rsidR="006735D4" w:rsidRPr="00BF42B7" w:rsidRDefault="006735D4" w:rsidP="00C37E00">
      <w:pPr>
        <w:pStyle w:val="H23GC"/>
        <w:ind w:left="1554"/>
        <w:rPr>
          <w:lang w:val="en-GB"/>
        </w:rPr>
      </w:pPr>
      <w:r w:rsidRPr="00BF42B7">
        <w:rPr>
          <w:rFonts w:hint="eastAsia"/>
          <w:lang w:val="en-GB"/>
        </w:rPr>
        <w:tab/>
      </w:r>
      <w:r w:rsidRPr="00BF42B7">
        <w:rPr>
          <w:rFonts w:hint="eastAsia"/>
          <w:lang w:val="en-GB"/>
        </w:rPr>
        <w:tab/>
      </w:r>
      <w:r w:rsidRPr="00BF42B7">
        <w:rPr>
          <w:rFonts w:hint="eastAsia"/>
          <w:lang w:val="en-GB"/>
        </w:rPr>
        <w:t>原则草案</w:t>
      </w:r>
      <w:r w:rsidRPr="00BF42B7">
        <w:rPr>
          <w:rFonts w:hint="eastAsia"/>
          <w:lang w:val="en-GB"/>
        </w:rPr>
        <w:t>11[2-3]</w:t>
      </w:r>
      <w:r w:rsidRPr="00BF42B7">
        <w:rPr>
          <w:lang w:val="en-GB"/>
        </w:rPr>
        <w:br/>
      </w:r>
      <w:r w:rsidRPr="00BF42B7">
        <w:rPr>
          <w:rFonts w:hint="eastAsia"/>
          <w:lang w:val="en-GB"/>
        </w:rPr>
        <w:t>环境因素</w:t>
      </w:r>
    </w:p>
    <w:p w:rsidR="006735D4" w:rsidRPr="00BF42B7" w:rsidRDefault="006735D4" w:rsidP="00C37E00">
      <w:pPr>
        <w:tabs>
          <w:tab w:val="clear" w:pos="431"/>
          <w:tab w:val="left" w:pos="1996"/>
          <w:tab w:val="left" w:pos="2427"/>
        </w:tabs>
        <w:spacing w:after="120"/>
        <w:ind w:left="1554" w:right="1134"/>
        <w:rPr>
          <w:rFonts w:eastAsia="Calibri"/>
          <w:lang w:val="en-GB"/>
        </w:rPr>
      </w:pPr>
      <w:r w:rsidRPr="00BF42B7">
        <w:rPr>
          <w:rFonts w:hint="eastAsia"/>
          <w:lang w:val="en-GB"/>
        </w:rPr>
        <w:tab/>
      </w:r>
      <w:r w:rsidRPr="00BF42B7">
        <w:rPr>
          <w:rFonts w:ascii="宋体" w:hAnsi="宋体" w:cs="宋体" w:hint="eastAsia"/>
          <w:lang w:val="en-GB"/>
        </w:rPr>
        <w:t>适用相称性原则和军事必要性规则时，应考虑环境因素。</w:t>
      </w:r>
    </w:p>
    <w:p w:rsidR="006735D4" w:rsidRPr="00BF42B7" w:rsidRDefault="006735D4" w:rsidP="00C37E00">
      <w:pPr>
        <w:pStyle w:val="H23GC"/>
        <w:ind w:left="1554"/>
        <w:rPr>
          <w:lang w:val="en-GB"/>
        </w:rPr>
      </w:pPr>
      <w:r w:rsidRPr="00BF42B7">
        <w:rPr>
          <w:rFonts w:hint="eastAsia"/>
          <w:lang w:val="en-GB"/>
        </w:rPr>
        <w:tab/>
      </w:r>
      <w:r w:rsidRPr="00BF42B7">
        <w:rPr>
          <w:rFonts w:hint="eastAsia"/>
          <w:lang w:val="en-GB"/>
        </w:rPr>
        <w:tab/>
      </w:r>
      <w:r w:rsidRPr="00BF42B7">
        <w:rPr>
          <w:rFonts w:hint="eastAsia"/>
          <w:lang w:val="en-GB"/>
        </w:rPr>
        <w:t>原则草案</w:t>
      </w:r>
      <w:r w:rsidRPr="00BF42B7">
        <w:rPr>
          <w:rFonts w:hint="eastAsia"/>
          <w:lang w:val="en-GB"/>
        </w:rPr>
        <w:t>12[2-4]</w:t>
      </w:r>
      <w:r w:rsidRPr="00BF42B7">
        <w:rPr>
          <w:lang w:val="en-GB"/>
        </w:rPr>
        <w:br/>
      </w:r>
      <w:r w:rsidRPr="00BF42B7">
        <w:rPr>
          <w:rFonts w:hint="eastAsia"/>
          <w:lang w:val="en-GB"/>
        </w:rPr>
        <w:t>禁止报复</w:t>
      </w:r>
    </w:p>
    <w:p w:rsidR="006735D4" w:rsidRPr="00BF42B7" w:rsidRDefault="006735D4" w:rsidP="00C37E00">
      <w:pPr>
        <w:tabs>
          <w:tab w:val="clear" w:pos="431"/>
          <w:tab w:val="left" w:pos="1996"/>
          <w:tab w:val="left" w:pos="2427"/>
        </w:tabs>
        <w:spacing w:after="120"/>
        <w:ind w:left="1554" w:right="1134"/>
        <w:rPr>
          <w:rFonts w:eastAsia="Calibri"/>
          <w:lang w:val="en-GB"/>
        </w:rPr>
      </w:pPr>
      <w:r w:rsidRPr="00BF42B7">
        <w:rPr>
          <w:rFonts w:hint="eastAsia"/>
          <w:lang w:val="en-GB"/>
        </w:rPr>
        <w:tab/>
      </w:r>
      <w:r w:rsidRPr="00BF42B7">
        <w:rPr>
          <w:rFonts w:ascii="宋体" w:hAnsi="宋体" w:cs="宋体" w:hint="eastAsia"/>
          <w:lang w:val="en-GB"/>
        </w:rPr>
        <w:t>禁止作为报复而对</w:t>
      </w:r>
      <w:r w:rsidRPr="00BF42B7">
        <w:rPr>
          <w:rFonts w:eastAsia="Calibri" w:hint="eastAsia"/>
          <w:lang w:val="en-GB"/>
        </w:rPr>
        <w:t>[</w:t>
      </w:r>
      <w:r w:rsidRPr="00BF42B7">
        <w:rPr>
          <w:rFonts w:ascii="宋体" w:hAnsi="宋体" w:cs="宋体" w:hint="eastAsia"/>
          <w:lang w:val="en-GB"/>
        </w:rPr>
        <w:t>自然</w:t>
      </w:r>
      <w:r w:rsidRPr="00BF42B7">
        <w:rPr>
          <w:rFonts w:eastAsia="Calibri" w:hint="eastAsia"/>
          <w:lang w:val="en-GB"/>
        </w:rPr>
        <w:t>]</w:t>
      </w:r>
      <w:r w:rsidRPr="00BF42B7">
        <w:rPr>
          <w:rFonts w:ascii="宋体" w:hAnsi="宋体" w:cs="宋体" w:hint="eastAsia"/>
          <w:lang w:val="en-GB"/>
        </w:rPr>
        <w:t>环境进行攻击。</w:t>
      </w:r>
    </w:p>
    <w:p w:rsidR="006735D4" w:rsidRPr="00BF42B7" w:rsidRDefault="006735D4" w:rsidP="00C37E00">
      <w:pPr>
        <w:pStyle w:val="H23GC"/>
        <w:ind w:left="1554"/>
        <w:rPr>
          <w:rFonts w:eastAsia="Calibri"/>
          <w:lang w:val="en-GB"/>
        </w:rPr>
      </w:pPr>
      <w:r w:rsidRPr="00BF42B7">
        <w:rPr>
          <w:rFonts w:hint="eastAsia"/>
          <w:lang w:val="en-GB"/>
        </w:rPr>
        <w:tab/>
      </w:r>
      <w:r w:rsidRPr="00BF42B7">
        <w:rPr>
          <w:rFonts w:hint="eastAsia"/>
          <w:lang w:val="en-GB"/>
        </w:rPr>
        <w:tab/>
      </w:r>
      <w:r w:rsidRPr="00BF42B7">
        <w:rPr>
          <w:rFonts w:hint="eastAsia"/>
          <w:lang w:val="en-GB"/>
        </w:rPr>
        <w:t>原则草案</w:t>
      </w:r>
      <w:r w:rsidRPr="00BF42B7">
        <w:rPr>
          <w:rFonts w:hint="eastAsia"/>
          <w:lang w:val="en-GB"/>
        </w:rPr>
        <w:t>13[2-5]</w:t>
      </w:r>
      <w:r w:rsidRPr="00BF42B7">
        <w:rPr>
          <w:lang w:val="en-GB"/>
        </w:rPr>
        <w:br/>
      </w:r>
      <w:r w:rsidRPr="00BF42B7">
        <w:rPr>
          <w:rFonts w:hint="eastAsia"/>
          <w:lang w:val="en-GB"/>
        </w:rPr>
        <w:t>受保护区</w:t>
      </w:r>
    </w:p>
    <w:p w:rsidR="006735D4" w:rsidRPr="00BF42B7" w:rsidRDefault="006735D4" w:rsidP="00C37E00">
      <w:pPr>
        <w:tabs>
          <w:tab w:val="clear" w:pos="431"/>
          <w:tab w:val="left" w:pos="1996"/>
          <w:tab w:val="left" w:pos="2427"/>
        </w:tabs>
        <w:spacing w:after="120"/>
        <w:ind w:left="1554" w:right="1134"/>
        <w:rPr>
          <w:rFonts w:eastAsia="Calibri"/>
          <w:lang w:val="en-GB"/>
        </w:rPr>
      </w:pPr>
      <w:r w:rsidRPr="00BF42B7">
        <w:rPr>
          <w:rFonts w:hint="eastAsia"/>
          <w:lang w:val="en-GB"/>
        </w:rPr>
        <w:tab/>
      </w:r>
      <w:r w:rsidRPr="00BF42B7">
        <w:rPr>
          <w:rFonts w:ascii="宋体" w:hAnsi="宋体" w:cs="宋体" w:hint="eastAsia"/>
          <w:lang w:val="en-GB"/>
        </w:rPr>
        <w:t>以协议指定为受保护区的具有重大环境和文化意义的地区，只要不包含军事目标，应保护其不受任何攻击。</w:t>
      </w:r>
    </w:p>
    <w:p w:rsidR="006735D4" w:rsidRPr="00BF42B7" w:rsidRDefault="006735D4" w:rsidP="006735D4">
      <w:pPr>
        <w:pStyle w:val="H23GC"/>
        <w:rPr>
          <w:snapToGrid/>
        </w:rPr>
      </w:pPr>
      <w:r w:rsidRPr="003D448F">
        <w:rPr>
          <w:rFonts w:hint="eastAsia"/>
          <w:snapToGrid/>
          <w:sz w:val="20"/>
        </w:rPr>
        <w:tab/>
      </w:r>
      <w:r w:rsidRPr="003D448F">
        <w:rPr>
          <w:snapToGrid/>
          <w:sz w:val="20"/>
        </w:rPr>
        <w:t>2.</w:t>
      </w:r>
      <w:r w:rsidRPr="003D448F">
        <w:rPr>
          <w:rFonts w:hint="eastAsia"/>
          <w:snapToGrid/>
          <w:sz w:val="20"/>
        </w:rPr>
        <w:tab/>
      </w:r>
      <w:r w:rsidRPr="00BF42B7">
        <w:rPr>
          <w:rFonts w:hint="eastAsia"/>
          <w:snapToGrid/>
        </w:rPr>
        <w:t>委员会第六十八届会议暂时通过的原则草案案文及相关评注</w:t>
      </w:r>
    </w:p>
    <w:p w:rsidR="006735D4" w:rsidRPr="00BF42B7" w:rsidRDefault="006735D4" w:rsidP="006735D4">
      <w:pPr>
        <w:pStyle w:val="SingleTxtGC"/>
        <w:rPr>
          <w:snapToGrid/>
        </w:rPr>
      </w:pPr>
      <w:r w:rsidRPr="00BF42B7">
        <w:rPr>
          <w:snapToGrid/>
        </w:rPr>
        <w:t>189.</w:t>
      </w:r>
      <w:r w:rsidRPr="00BF42B7">
        <w:rPr>
          <w:rFonts w:hint="eastAsia"/>
          <w:snapToGrid/>
        </w:rPr>
        <w:t xml:space="preserve"> </w:t>
      </w:r>
      <w:r w:rsidR="007119BC">
        <w:rPr>
          <w:rFonts w:hint="eastAsia"/>
          <w:snapToGrid/>
        </w:rPr>
        <w:t xml:space="preserve"> </w:t>
      </w:r>
      <w:r w:rsidRPr="00BF42B7">
        <w:rPr>
          <w:rFonts w:hint="eastAsia"/>
          <w:snapToGrid/>
        </w:rPr>
        <w:t>委员会第六十八届会议暂时通过的原则草案案文及相关评注载录如下。</w:t>
      </w:r>
    </w:p>
    <w:p w:rsidR="006735D4" w:rsidRPr="00BF42B7" w:rsidRDefault="006735D4" w:rsidP="00DE50E6">
      <w:pPr>
        <w:pStyle w:val="H23GC"/>
        <w:ind w:left="1554"/>
        <w:rPr>
          <w:b/>
          <w:lang w:val="en-GB"/>
        </w:rPr>
      </w:pPr>
      <w:r w:rsidRPr="00BF42B7">
        <w:rPr>
          <w:rFonts w:hint="eastAsia"/>
        </w:rPr>
        <w:tab/>
      </w:r>
      <w:r w:rsidRPr="00BF42B7">
        <w:rPr>
          <w:rFonts w:hint="eastAsia"/>
        </w:rPr>
        <w:tab/>
      </w:r>
      <w:r w:rsidRPr="00BF42B7">
        <w:t>与武装冲突有关的环境保护</w:t>
      </w:r>
    </w:p>
    <w:p w:rsidR="006735D4" w:rsidRPr="00BF42B7" w:rsidRDefault="006735D4" w:rsidP="006735D4">
      <w:pPr>
        <w:pStyle w:val="H23GC"/>
        <w:rPr>
          <w:lang w:val="en-GB"/>
        </w:rPr>
      </w:pPr>
      <w:r w:rsidRPr="00BF42B7">
        <w:rPr>
          <w:lang w:val="en-GB"/>
        </w:rPr>
        <w:tab/>
      </w:r>
      <w:r w:rsidRPr="00BF42B7">
        <w:rPr>
          <w:rFonts w:hint="eastAsia"/>
          <w:lang w:val="en-GB"/>
        </w:rPr>
        <w:tab/>
      </w:r>
      <w:r w:rsidRPr="00BF42B7">
        <w:rPr>
          <w:rFonts w:hint="eastAsia"/>
          <w:lang w:val="en-GB"/>
        </w:rPr>
        <w:t>导言</w:t>
      </w:r>
    </w:p>
    <w:p w:rsidR="006735D4" w:rsidRPr="00BF42B7" w:rsidRDefault="006735D4" w:rsidP="00DE50E6">
      <w:pPr>
        <w:pStyle w:val="SingleTxtGC"/>
        <w:spacing w:line="310" w:lineRule="exact"/>
      </w:pPr>
      <w:r w:rsidRPr="00BF42B7">
        <w:rPr>
          <w:rFonts w:hint="eastAsia"/>
        </w:rPr>
        <w:t xml:space="preserve">(1)  </w:t>
      </w:r>
      <w:r w:rsidRPr="00BF42B7">
        <w:rPr>
          <w:rFonts w:hint="eastAsia"/>
        </w:rPr>
        <w:t>从结构上看，本套原则草案起首部分为“导言”，其中载有关于原则草案范围和宗旨的原则草案，之后分为三个部分。第一部分涉及为武装冲突爆发之前保护环境的问题提供的指导，但也载有与所有三个时期即武装冲突之前、期间和之后均有关的更具一般性的原则草案。稍后将在这一部分添加更多的原则草案。第二部分涉及武装冲突期间保护环境的问题，第三部分涉及武装冲突之后保护环境的问题。</w:t>
      </w:r>
    </w:p>
    <w:p w:rsidR="006735D4" w:rsidRPr="00BF42B7" w:rsidRDefault="006735D4" w:rsidP="00DE50E6">
      <w:pPr>
        <w:pStyle w:val="SingleTxtGC"/>
        <w:spacing w:line="310" w:lineRule="exact"/>
      </w:pPr>
      <w:r w:rsidRPr="00BF42B7">
        <w:rPr>
          <w:rFonts w:hint="eastAsia"/>
        </w:rPr>
        <w:t xml:space="preserve">(2)  </w:t>
      </w:r>
      <w:r w:rsidRPr="00BF42B7">
        <w:rPr>
          <w:rFonts w:hint="eastAsia"/>
        </w:rPr>
        <w:t>把这些条款作为“原则草案”是基于这样一种理解，即最后的形式将由后期的审议决定。环境法与武装冲突法交织在一起是本专题所固有的特点。正因为如此，从规范角度看，本原则的抽象程度一般。</w:t>
      </w:r>
      <w:r w:rsidRPr="00BF42B7">
        <w:rPr>
          <w:rFonts w:cs="Calibri"/>
          <w:color w:val="0000FF"/>
          <w:vertAlign w:val="superscript"/>
        </w:rPr>
        <w:footnoteReference w:id="1320"/>
      </w:r>
    </w:p>
    <w:p w:rsidR="006735D4" w:rsidRPr="00BF42B7" w:rsidRDefault="006735D4" w:rsidP="00DE50E6">
      <w:pPr>
        <w:pStyle w:val="SingleTxtGC"/>
        <w:spacing w:line="310" w:lineRule="exact"/>
      </w:pPr>
      <w:r w:rsidRPr="00BF42B7">
        <w:rPr>
          <w:rFonts w:hint="eastAsia"/>
        </w:rPr>
        <w:t xml:space="preserve">(3)  </w:t>
      </w:r>
      <w:r w:rsidRPr="00BF42B7">
        <w:rPr>
          <w:rFonts w:hint="eastAsia"/>
        </w:rPr>
        <w:t>委员会尚未拟出原则草案的序言。有一项理解是，将在适当时候按常规方式拟定序言。</w:t>
      </w:r>
    </w:p>
    <w:p w:rsidR="006735D4" w:rsidRPr="00BF42B7" w:rsidRDefault="006735D4" w:rsidP="00DE50E6">
      <w:pPr>
        <w:pStyle w:val="SingleTxtGC"/>
        <w:spacing w:line="310" w:lineRule="exact"/>
      </w:pPr>
      <w:r w:rsidRPr="00BF42B7">
        <w:rPr>
          <w:rFonts w:hint="eastAsia"/>
        </w:rPr>
        <w:t xml:space="preserve">(4)  </w:t>
      </w:r>
      <w:r w:rsidRPr="00BF42B7">
        <w:rPr>
          <w:rFonts w:hint="eastAsia"/>
        </w:rPr>
        <w:t>特别报告员在初步报告</w:t>
      </w:r>
      <w:r w:rsidRPr="00BF42B7">
        <w:rPr>
          <w:rFonts w:cs="Calibri"/>
          <w:color w:val="0000FF"/>
          <w:vertAlign w:val="superscript"/>
        </w:rPr>
        <w:footnoteReference w:id="1321"/>
      </w:r>
      <w:r w:rsidRPr="00BF42B7">
        <w:rPr>
          <w:rFonts w:ascii="Calibri" w:hAnsi="Calibri" w:cs="Calibri"/>
          <w:sz w:val="18"/>
          <w:vertAlign w:val="superscript"/>
        </w:rPr>
        <w:t xml:space="preserve"> </w:t>
      </w:r>
      <w:r w:rsidRPr="00BF42B7">
        <w:rPr>
          <w:rFonts w:hint="eastAsia"/>
        </w:rPr>
        <w:t>中初步建议，如果委员会决定列入“武装冲突”和“环境”</w:t>
      </w:r>
      <w:r w:rsidRPr="00BF42B7">
        <w:t>这两个术语</w:t>
      </w:r>
      <w:r w:rsidRPr="00BF42B7">
        <w:rPr>
          <w:rFonts w:hint="eastAsia"/>
        </w:rPr>
        <w:t>的定义，则应将此类定义列入“</w:t>
      </w:r>
      <w:r w:rsidRPr="00BF42B7">
        <w:t>术语</w:t>
      </w:r>
      <w:r w:rsidRPr="00BF42B7">
        <w:rPr>
          <w:rFonts w:hint="eastAsia"/>
        </w:rPr>
        <w:t>的使用”条款。特别报告员还明确指出，她不认为需要通过此项条款，尤其是在工作的早期阶段。然而，现在就提出定义有助于说明在确定</w:t>
      </w:r>
      <w:r w:rsidRPr="00BF42B7">
        <w:t>这两个术语</w:t>
      </w:r>
      <w:r w:rsidRPr="00BF42B7">
        <w:rPr>
          <w:rFonts w:hint="eastAsia"/>
        </w:rPr>
        <w:t>的定义时可能出现的一些问题，以便有机会在审议时考虑到各委员的相关意见。</w:t>
      </w:r>
      <w:r w:rsidRPr="00BF42B7">
        <w:rPr>
          <w:rFonts w:cs="Calibri"/>
          <w:color w:val="0000FF"/>
          <w:vertAlign w:val="superscript"/>
        </w:rPr>
        <w:footnoteReference w:id="1322"/>
      </w:r>
      <w:r w:rsidRPr="00BF42B7">
        <w:rPr>
          <w:rFonts w:hint="eastAsia"/>
        </w:rPr>
        <w:t xml:space="preserve"> </w:t>
      </w:r>
      <w:r w:rsidRPr="00BF42B7">
        <w:rPr>
          <w:rFonts w:hint="eastAsia"/>
        </w:rPr>
        <w:t>在</w:t>
      </w:r>
      <w:r w:rsidRPr="00BF42B7">
        <w:rPr>
          <w:rFonts w:hint="eastAsia"/>
          <w:spacing w:val="-4"/>
        </w:rPr>
        <w:t>第二次报告中，特别报告员在</w:t>
      </w:r>
      <w:r w:rsidRPr="00BF42B7">
        <w:rPr>
          <w:spacing w:val="-4"/>
        </w:rPr>
        <w:t>拟议原则草案</w:t>
      </w:r>
      <w:r w:rsidRPr="00BF42B7">
        <w:rPr>
          <w:rFonts w:hint="eastAsia"/>
          <w:spacing w:val="-4"/>
        </w:rPr>
        <w:t>中列入了“</w:t>
      </w:r>
      <w:r w:rsidRPr="00BF42B7">
        <w:rPr>
          <w:spacing w:val="-4"/>
        </w:rPr>
        <w:t>术语</w:t>
      </w:r>
      <w:r w:rsidRPr="00BF42B7">
        <w:rPr>
          <w:rFonts w:hint="eastAsia"/>
          <w:spacing w:val="-4"/>
        </w:rPr>
        <w:t>的使用”条款</w:t>
      </w:r>
      <w:r w:rsidRPr="00BF42B7">
        <w:rPr>
          <w:rFonts w:cs="Calibri"/>
          <w:color w:val="0000FF"/>
          <w:spacing w:val="-4"/>
          <w:vertAlign w:val="superscript"/>
        </w:rPr>
        <w:footnoteReference w:id="1323"/>
      </w:r>
      <w:r w:rsidRPr="00BF42B7">
        <w:rPr>
          <w:rFonts w:hint="eastAsia"/>
        </w:rPr>
        <w:t>，但要求不要将此条款送交起草委员会。</w:t>
      </w:r>
      <w:r w:rsidRPr="00BF42B7">
        <w:rPr>
          <w:rFonts w:cs="Calibri"/>
          <w:color w:val="0000FF"/>
          <w:vertAlign w:val="superscript"/>
        </w:rPr>
        <w:footnoteReference w:id="1324"/>
      </w:r>
      <w:r w:rsidRPr="00BF42B7">
        <w:rPr>
          <w:rFonts w:hint="eastAsia"/>
        </w:rPr>
        <w:t xml:space="preserve"> </w:t>
      </w:r>
      <w:r w:rsidRPr="00BF42B7">
        <w:rPr>
          <w:rFonts w:hint="eastAsia"/>
        </w:rPr>
        <w:t>包括特别报告员在内的一些委员仍不愿列入这两项定义，而其他一些委员则持相反观点。有鉴于此，现在就将其删去还为时过早，特别报告员保留了这项提议，以便于根据随后的讨论情况评估是否需要此款。</w:t>
      </w:r>
    </w:p>
    <w:p w:rsidR="006735D4" w:rsidRPr="00BF42B7" w:rsidRDefault="006735D4" w:rsidP="00DE50E6">
      <w:pPr>
        <w:pStyle w:val="H23GC"/>
        <w:spacing w:line="310" w:lineRule="exact"/>
        <w:ind w:left="1554"/>
        <w:rPr>
          <w:snapToGrid/>
          <w:lang w:val="en-GB"/>
        </w:rPr>
      </w:pPr>
      <w:r w:rsidRPr="00BF42B7">
        <w:rPr>
          <w:rFonts w:hint="eastAsia"/>
          <w:snapToGrid/>
          <w:lang w:val="en-GB"/>
        </w:rPr>
        <w:tab/>
      </w:r>
      <w:r w:rsidRPr="00BF42B7">
        <w:rPr>
          <w:rFonts w:hint="eastAsia"/>
          <w:snapToGrid/>
          <w:lang w:val="en-GB"/>
        </w:rPr>
        <w:tab/>
      </w:r>
      <w:r w:rsidRPr="00BF42B7">
        <w:rPr>
          <w:rFonts w:hint="eastAsia"/>
          <w:snapToGrid/>
          <w:lang w:val="en-GB"/>
        </w:rPr>
        <w:t>原则草案</w:t>
      </w:r>
      <w:r w:rsidRPr="00BF42B7">
        <w:rPr>
          <w:rFonts w:hint="eastAsia"/>
          <w:snapToGrid/>
          <w:lang w:val="en-GB"/>
        </w:rPr>
        <w:t>1</w:t>
      </w:r>
      <w:r w:rsidRPr="00BF42B7">
        <w:rPr>
          <w:snapToGrid/>
          <w:lang w:val="en-GB"/>
        </w:rPr>
        <w:br/>
      </w:r>
      <w:r w:rsidRPr="00BF42B7">
        <w:rPr>
          <w:rFonts w:hint="eastAsia"/>
          <w:snapToGrid/>
          <w:lang w:val="en-GB"/>
        </w:rPr>
        <w:t>范围</w:t>
      </w:r>
    </w:p>
    <w:p w:rsidR="006735D4" w:rsidRPr="00BF42B7" w:rsidRDefault="00C37E00" w:rsidP="00DE50E6">
      <w:pPr>
        <w:tabs>
          <w:tab w:val="clear" w:pos="431"/>
          <w:tab w:val="left" w:pos="1996"/>
          <w:tab w:val="left" w:pos="2427"/>
        </w:tabs>
        <w:spacing w:after="120" w:line="310" w:lineRule="exact"/>
        <w:ind w:left="1554" w:right="1134"/>
        <w:rPr>
          <w:lang w:val="en-GB"/>
        </w:rPr>
      </w:pPr>
      <w:r>
        <w:rPr>
          <w:rFonts w:hint="eastAsia"/>
          <w:lang w:val="en-GB"/>
        </w:rPr>
        <w:tab/>
      </w:r>
      <w:r w:rsidR="006735D4" w:rsidRPr="00BF42B7">
        <w:rPr>
          <w:rFonts w:hint="eastAsia"/>
          <w:lang w:val="en-GB"/>
        </w:rPr>
        <w:t>本原则草案适用于武装冲突之前、期间和之后的环境</w:t>
      </w:r>
      <w:r w:rsidR="006735D4" w:rsidRPr="00BF42B7">
        <w:t>*</w:t>
      </w:r>
      <w:r w:rsidR="006735D4" w:rsidRPr="00BF42B7">
        <w:rPr>
          <w:rFonts w:hint="eastAsia"/>
        </w:rPr>
        <w:t xml:space="preserve"> </w:t>
      </w:r>
      <w:r w:rsidR="006735D4" w:rsidRPr="00BF42B7">
        <w:rPr>
          <w:rFonts w:hint="eastAsia"/>
          <w:lang w:val="en-GB"/>
        </w:rPr>
        <w:t>保护。</w:t>
      </w:r>
    </w:p>
    <w:p w:rsidR="006735D4" w:rsidRPr="00BF42B7" w:rsidRDefault="006735D4" w:rsidP="00DE50E6">
      <w:pPr>
        <w:tabs>
          <w:tab w:val="clear" w:pos="431"/>
        </w:tabs>
        <w:suppressAutoHyphens/>
        <w:kinsoku w:val="0"/>
        <w:autoSpaceDE w:val="0"/>
        <w:autoSpaceDN w:val="0"/>
        <w:spacing w:after="120" w:line="310" w:lineRule="exact"/>
        <w:ind w:left="1701" w:right="1134"/>
        <w:rPr>
          <w:rFonts w:eastAsia="Calibri"/>
          <w:snapToGrid/>
          <w:sz w:val="20"/>
          <w:lang w:val="en-GB"/>
        </w:rPr>
      </w:pPr>
      <w:r w:rsidRPr="00BF42B7">
        <w:rPr>
          <w:rFonts w:eastAsia="Calibri"/>
          <w:snapToGrid/>
          <w:sz w:val="20"/>
          <w:lang w:val="en-GB"/>
        </w:rPr>
        <w:t>____________</w:t>
      </w:r>
    </w:p>
    <w:p w:rsidR="006735D4" w:rsidRPr="00BF42B7" w:rsidRDefault="006735D4" w:rsidP="00DE50E6">
      <w:pPr>
        <w:tabs>
          <w:tab w:val="clear" w:pos="431"/>
        </w:tabs>
        <w:suppressAutoHyphens/>
        <w:kinsoku w:val="0"/>
        <w:autoSpaceDE w:val="0"/>
        <w:autoSpaceDN w:val="0"/>
        <w:spacing w:after="120" w:line="310" w:lineRule="exact"/>
        <w:ind w:left="1701" w:right="1134"/>
        <w:rPr>
          <w:rFonts w:eastAsia="黑体"/>
          <w:snapToGrid/>
          <w:sz w:val="20"/>
          <w:lang w:val="en-GB"/>
        </w:rPr>
      </w:pPr>
      <w:r w:rsidRPr="00BF42B7">
        <w:rPr>
          <w:rFonts w:eastAsia="Calibri"/>
          <w:snapToGrid/>
          <w:sz w:val="20"/>
          <w:lang w:val="en-GB"/>
        </w:rPr>
        <w:t>*</w:t>
      </w:r>
      <w:r w:rsidRPr="00BF42B7">
        <w:rPr>
          <w:rFonts w:eastAsiaTheme="minorEastAsia" w:hint="eastAsia"/>
          <w:snapToGrid/>
          <w:sz w:val="20"/>
          <w:lang w:val="en-GB"/>
        </w:rPr>
        <w:t xml:space="preserve">  </w:t>
      </w:r>
      <w:r w:rsidRPr="00BF42B7">
        <w:rPr>
          <w:rFonts w:ascii="宋体" w:hAnsi="宋体" w:cs="宋体" w:hint="eastAsia"/>
          <w:snapToGrid/>
          <w:sz w:val="20"/>
          <w:lang w:val="en-GB"/>
        </w:rPr>
        <w:t>以后再研究全部或部分原则草案使用</w:t>
      </w:r>
      <w:r w:rsidRPr="00BF42B7">
        <w:rPr>
          <w:rFonts w:ascii="Calibri" w:eastAsia="Calibri" w:hAnsi="Calibri" w:cs="Calibri"/>
          <w:snapToGrid/>
          <w:sz w:val="20"/>
          <w:lang w:val="en-GB"/>
        </w:rPr>
        <w:t>“</w:t>
      </w:r>
      <w:r w:rsidRPr="00BF42B7">
        <w:rPr>
          <w:rFonts w:ascii="宋体" w:hAnsi="宋体" w:cs="宋体" w:hint="eastAsia"/>
          <w:snapToGrid/>
          <w:sz w:val="20"/>
          <w:lang w:val="en-GB"/>
        </w:rPr>
        <w:t>环境</w:t>
      </w:r>
      <w:r w:rsidRPr="00BF42B7">
        <w:rPr>
          <w:rFonts w:ascii="Calibri" w:eastAsia="Calibri" w:hAnsi="Calibri" w:cs="Calibri"/>
          <w:snapToGrid/>
          <w:sz w:val="20"/>
          <w:lang w:val="en-GB"/>
        </w:rPr>
        <w:t>”</w:t>
      </w:r>
      <w:r w:rsidRPr="00BF42B7">
        <w:rPr>
          <w:rFonts w:ascii="宋体" w:hAnsi="宋体" w:cs="宋体" w:hint="eastAsia"/>
          <w:snapToGrid/>
          <w:sz w:val="20"/>
          <w:lang w:val="en-GB"/>
        </w:rPr>
        <w:t>还是</w:t>
      </w:r>
      <w:r w:rsidRPr="00BF42B7">
        <w:rPr>
          <w:rFonts w:ascii="Calibri" w:eastAsia="Calibri" w:hAnsi="Calibri" w:cs="Calibri"/>
          <w:snapToGrid/>
          <w:sz w:val="20"/>
          <w:lang w:val="en-GB"/>
        </w:rPr>
        <w:t>“</w:t>
      </w:r>
      <w:r w:rsidRPr="00BF42B7">
        <w:rPr>
          <w:rFonts w:ascii="宋体" w:hAnsi="宋体" w:cs="宋体" w:hint="eastAsia"/>
          <w:snapToGrid/>
          <w:sz w:val="20"/>
          <w:lang w:val="en-GB"/>
        </w:rPr>
        <w:t>自然环境</w:t>
      </w:r>
      <w:r w:rsidRPr="00BF42B7">
        <w:rPr>
          <w:rFonts w:ascii="Calibri" w:eastAsia="Calibri" w:hAnsi="Calibri" w:cs="Calibri"/>
          <w:snapToGrid/>
          <w:sz w:val="20"/>
          <w:lang w:val="en-GB"/>
        </w:rPr>
        <w:t>”</w:t>
      </w:r>
      <w:r w:rsidRPr="00BF42B7">
        <w:rPr>
          <w:rFonts w:ascii="宋体" w:hAnsi="宋体" w:cs="宋体" w:hint="eastAsia"/>
          <w:snapToGrid/>
          <w:sz w:val="20"/>
          <w:lang w:val="en-GB"/>
        </w:rPr>
        <w:t>更合适。</w:t>
      </w:r>
    </w:p>
    <w:p w:rsidR="006735D4" w:rsidRPr="00BF42B7" w:rsidRDefault="006735D4" w:rsidP="006735D4">
      <w:pPr>
        <w:pStyle w:val="H23GC"/>
        <w:rPr>
          <w:snapToGrid/>
          <w:lang w:val="en-GB"/>
        </w:rPr>
      </w:pPr>
      <w:r w:rsidRPr="00BF42B7">
        <w:rPr>
          <w:rFonts w:hint="eastAsia"/>
          <w:snapToGrid/>
          <w:lang w:val="en-GB"/>
        </w:rPr>
        <w:tab/>
      </w:r>
      <w:r w:rsidRPr="00BF42B7">
        <w:rPr>
          <w:rFonts w:hint="eastAsia"/>
          <w:snapToGrid/>
          <w:lang w:val="en-GB"/>
        </w:rPr>
        <w:tab/>
      </w:r>
      <w:r w:rsidRPr="00BF42B7">
        <w:rPr>
          <w:rFonts w:hint="eastAsia"/>
          <w:snapToGrid/>
          <w:lang w:val="en-GB"/>
        </w:rPr>
        <w:t>评注</w:t>
      </w:r>
    </w:p>
    <w:p w:rsidR="006735D4" w:rsidRPr="00BF42B7" w:rsidRDefault="006735D4" w:rsidP="006735D4">
      <w:pPr>
        <w:tabs>
          <w:tab w:val="clear" w:pos="431"/>
          <w:tab w:val="left" w:pos="1134"/>
          <w:tab w:val="left" w:pos="1565"/>
          <w:tab w:val="left" w:pos="1996"/>
          <w:tab w:val="left" w:pos="2427"/>
        </w:tabs>
        <w:spacing w:after="120"/>
        <w:ind w:left="1134" w:right="1134"/>
        <w:rPr>
          <w:lang w:val="sv-SE"/>
        </w:rPr>
      </w:pPr>
      <w:r w:rsidRPr="00BF42B7">
        <w:rPr>
          <w:rFonts w:hint="eastAsia"/>
          <w:lang w:val="sv-SE"/>
        </w:rPr>
        <w:t xml:space="preserve">(1)  </w:t>
      </w:r>
      <w:r w:rsidRPr="00BF42B7">
        <w:rPr>
          <w:rFonts w:hint="eastAsia"/>
          <w:lang w:val="sv-SE"/>
        </w:rPr>
        <w:t>本条款确定了原则草案的范围。本条规定，原则草案的范围涵盖</w:t>
      </w:r>
      <w:r w:rsidRPr="00BF42B7">
        <w:rPr>
          <w:lang w:val="sv-SE"/>
        </w:rPr>
        <w:t>三个时间段</w:t>
      </w:r>
      <w:r w:rsidRPr="00BF42B7">
        <w:rPr>
          <w:rFonts w:hint="eastAsia"/>
          <w:lang w:val="sv-SE"/>
        </w:rPr>
        <w:t>：</w:t>
      </w:r>
      <w:r w:rsidRPr="00BF42B7">
        <w:rPr>
          <w:lang w:val="sv-SE"/>
        </w:rPr>
        <w:t>武装冲突之前、期间和之后</w:t>
      </w:r>
      <w:r w:rsidRPr="00BF42B7">
        <w:rPr>
          <w:rFonts w:hint="eastAsia"/>
          <w:lang w:val="sv-SE"/>
        </w:rPr>
        <w:t>。大家认为必须早早表明原则草案涉及这三个阶段。“或”这一反义连接词的目的是重点说明并不是所有原则草案都在所有阶段适用。但值得强调的是，这三个阶段有时有一定程度的重叠。而且，这一提法是在委员会内部和大会第六委员会的讨论基础上提出的。</w:t>
      </w:r>
      <w:r w:rsidRPr="00BF42B7">
        <w:rPr>
          <w:rFonts w:cs="Calibri"/>
          <w:color w:val="0000FF"/>
          <w:vertAlign w:val="superscript"/>
        </w:rPr>
        <w:footnoteReference w:id="1325"/>
      </w:r>
    </w:p>
    <w:p w:rsidR="006735D4" w:rsidRPr="00BF42B7" w:rsidRDefault="006735D4" w:rsidP="006735D4">
      <w:pPr>
        <w:tabs>
          <w:tab w:val="clear" w:pos="431"/>
          <w:tab w:val="left" w:pos="1134"/>
          <w:tab w:val="left" w:pos="1565"/>
          <w:tab w:val="left" w:pos="1996"/>
          <w:tab w:val="left" w:pos="2427"/>
        </w:tabs>
        <w:spacing w:after="120"/>
        <w:ind w:left="1134" w:right="1134"/>
        <w:rPr>
          <w:lang w:val="sv-SE"/>
        </w:rPr>
      </w:pPr>
      <w:r w:rsidRPr="00BF42B7">
        <w:rPr>
          <w:rFonts w:hint="eastAsia"/>
          <w:lang w:val="sv-SE"/>
        </w:rPr>
        <w:t xml:space="preserve">(2)  </w:t>
      </w:r>
      <w:r w:rsidRPr="00BF42B7">
        <w:rPr>
          <w:rFonts w:hint="eastAsia"/>
          <w:lang w:val="sv-SE"/>
        </w:rPr>
        <w:t>将原则分为上述</w:t>
      </w:r>
      <w:r w:rsidRPr="00BF42B7">
        <w:rPr>
          <w:lang w:val="sv-SE"/>
        </w:rPr>
        <w:t>三个时间段</w:t>
      </w:r>
      <w:r w:rsidRPr="00BF42B7">
        <w:rPr>
          <w:rFonts w:hint="eastAsia"/>
          <w:lang w:val="sv-SE"/>
        </w:rPr>
        <w:t>(</w:t>
      </w:r>
      <w:r w:rsidRPr="00BF42B7">
        <w:rPr>
          <w:rFonts w:hint="eastAsia"/>
          <w:lang w:val="sv-SE"/>
        </w:rPr>
        <w:t>尽管没有严格的分界线</w:t>
      </w:r>
      <w:r w:rsidRPr="00BF42B7">
        <w:rPr>
          <w:rFonts w:hint="eastAsia"/>
          <w:lang w:val="sv-SE"/>
        </w:rPr>
        <w:t>)</w:t>
      </w:r>
      <w:r w:rsidRPr="00BF42B7">
        <w:rPr>
          <w:rFonts w:hint="eastAsia"/>
          <w:lang w:val="sv-SE"/>
        </w:rPr>
        <w:t>确立了原则草案的属时管辖权。大家认为，</w:t>
      </w:r>
      <w:r w:rsidRPr="00BF42B7">
        <w:rPr>
          <w:lang w:val="sv-SE"/>
        </w:rPr>
        <w:t>从时间角度，而不是从国际法</w:t>
      </w:r>
      <w:r w:rsidRPr="00BF42B7">
        <w:rPr>
          <w:rFonts w:hint="eastAsia"/>
          <w:lang w:val="sv-SE"/>
        </w:rPr>
        <w:t>不同方面</w:t>
      </w:r>
      <w:r w:rsidRPr="00BF42B7">
        <w:rPr>
          <w:lang w:val="sv-SE"/>
        </w:rPr>
        <w:t>，如</w:t>
      </w:r>
      <w:r w:rsidRPr="00BF42B7">
        <w:rPr>
          <w:rFonts w:hint="eastAsia"/>
          <w:lang w:val="sv-SE"/>
        </w:rPr>
        <w:t>国际</w:t>
      </w:r>
      <w:r w:rsidRPr="00BF42B7">
        <w:rPr>
          <w:lang w:val="sv-SE"/>
        </w:rPr>
        <w:t>环境法、武装冲突法和</w:t>
      </w:r>
      <w:r w:rsidRPr="00BF42B7">
        <w:rPr>
          <w:rFonts w:hint="eastAsia"/>
          <w:lang w:val="sv-SE"/>
        </w:rPr>
        <w:t>国际</w:t>
      </w:r>
      <w:r w:rsidRPr="00BF42B7">
        <w:rPr>
          <w:lang w:val="sv-SE"/>
        </w:rPr>
        <w:t>人权法的角度处理本专题</w:t>
      </w:r>
      <w:r w:rsidRPr="00BF42B7">
        <w:rPr>
          <w:rFonts w:hint="eastAsia"/>
          <w:lang w:val="sv-SE"/>
        </w:rPr>
        <w:t>，可以</w:t>
      </w:r>
      <w:r w:rsidRPr="00BF42B7">
        <w:rPr>
          <w:lang w:val="sv-SE"/>
        </w:rPr>
        <w:t>使专题较容易管理</w:t>
      </w:r>
      <w:r w:rsidRPr="00BF42B7">
        <w:rPr>
          <w:rFonts w:hint="eastAsia"/>
          <w:lang w:val="sv-SE"/>
        </w:rPr>
        <w:t>并</w:t>
      </w:r>
      <w:r w:rsidRPr="00BF42B7">
        <w:rPr>
          <w:lang w:val="sv-SE"/>
        </w:rPr>
        <w:t>较容易界定。</w:t>
      </w:r>
      <w:r w:rsidRPr="00BF42B7">
        <w:rPr>
          <w:rFonts w:hint="eastAsia"/>
          <w:lang w:val="sv-SE"/>
        </w:rPr>
        <w:t>将按</w:t>
      </w:r>
      <w:r w:rsidRPr="00BF42B7">
        <w:rPr>
          <w:lang w:val="sv-SE"/>
        </w:rPr>
        <w:t>时间段</w:t>
      </w:r>
      <w:r w:rsidRPr="00BF42B7">
        <w:rPr>
          <w:rFonts w:hint="eastAsia"/>
          <w:lang w:val="sv-SE"/>
        </w:rPr>
        <w:t>规定在</w:t>
      </w:r>
      <w:r w:rsidRPr="00BF42B7">
        <w:rPr>
          <w:lang w:val="sv-SE"/>
        </w:rPr>
        <w:t>武装冲突之前、期间和之后</w:t>
      </w:r>
      <w:r w:rsidRPr="00BF42B7">
        <w:rPr>
          <w:rFonts w:hint="eastAsia"/>
          <w:lang w:val="sv-SE"/>
        </w:rPr>
        <w:t>采取的法律措施。这一方式使委员会可以查明在武装冲突的不同阶段所产生的与本专题有关的法律问题，从而方便了原则草案的拟定。</w:t>
      </w:r>
      <w:r w:rsidRPr="00BF42B7">
        <w:rPr>
          <w:rFonts w:cs="Calibri"/>
          <w:color w:val="0000FF"/>
          <w:vertAlign w:val="superscript"/>
        </w:rPr>
        <w:footnoteReference w:id="1326"/>
      </w:r>
    </w:p>
    <w:p w:rsidR="006735D4" w:rsidRPr="00BF42B7" w:rsidRDefault="006735D4" w:rsidP="006735D4">
      <w:pPr>
        <w:tabs>
          <w:tab w:val="clear" w:pos="431"/>
          <w:tab w:val="left" w:pos="1134"/>
          <w:tab w:val="left" w:pos="1565"/>
          <w:tab w:val="left" w:pos="1996"/>
          <w:tab w:val="left" w:pos="2427"/>
        </w:tabs>
        <w:spacing w:after="120"/>
        <w:ind w:left="1134" w:right="1134"/>
        <w:rPr>
          <w:lang w:val="sv-SE"/>
        </w:rPr>
      </w:pPr>
      <w:r w:rsidRPr="00BF42B7">
        <w:rPr>
          <w:rFonts w:hint="eastAsia"/>
          <w:lang w:val="sv-SE"/>
        </w:rPr>
        <w:t xml:space="preserve">(3)  </w:t>
      </w:r>
      <w:r w:rsidRPr="00BF42B7">
        <w:rPr>
          <w:rFonts w:hint="eastAsia"/>
          <w:lang w:val="sv-SE"/>
        </w:rPr>
        <w:t>关于原则草案的属事管辖权问题，请参考与“武装冲突”有关的“环境保护”这一术语。对于</w:t>
      </w:r>
      <w:r w:rsidRPr="00BF42B7">
        <w:rPr>
          <w:lang w:val="sv-SE"/>
        </w:rPr>
        <w:t>国际武装冲突与非国际武装冲突</w:t>
      </w:r>
      <w:r w:rsidRPr="00BF42B7">
        <w:rPr>
          <w:rFonts w:hint="eastAsia"/>
          <w:lang w:val="sv-SE"/>
        </w:rPr>
        <w:t>不作区分。</w:t>
      </w:r>
    </w:p>
    <w:p w:rsidR="006735D4" w:rsidRPr="00BF42B7" w:rsidRDefault="006735D4" w:rsidP="006735D4">
      <w:pPr>
        <w:tabs>
          <w:tab w:val="clear" w:pos="431"/>
          <w:tab w:val="left" w:pos="1134"/>
          <w:tab w:val="left" w:pos="1565"/>
          <w:tab w:val="left" w:pos="1996"/>
          <w:tab w:val="left" w:pos="2427"/>
        </w:tabs>
        <w:spacing w:after="120"/>
        <w:ind w:left="1134" w:right="1134"/>
        <w:rPr>
          <w:lang w:val="sv-SE"/>
        </w:rPr>
      </w:pPr>
      <w:r w:rsidRPr="00BF42B7">
        <w:rPr>
          <w:rFonts w:hint="eastAsia"/>
          <w:lang w:val="sv-SE"/>
        </w:rPr>
        <w:t xml:space="preserve">(4)  </w:t>
      </w:r>
      <w:r w:rsidRPr="00BF42B7">
        <w:rPr>
          <w:rFonts w:hint="eastAsia"/>
          <w:lang w:val="sv-SE"/>
        </w:rPr>
        <w:t>“环境”一词后面的星号表示委员会尚未决定是否应将该词的定义列入原则草案案文，以及如果列入的话，将给出定义的术语应是“自然环境”，还是只是“环境”。</w:t>
      </w:r>
      <w:r w:rsidRPr="00BF42B7">
        <w:rPr>
          <w:color w:val="0000FF"/>
          <w:vertAlign w:val="superscript"/>
        </w:rPr>
        <w:footnoteReference w:id="1327"/>
      </w:r>
    </w:p>
    <w:p w:rsidR="006735D4" w:rsidRPr="00BF42B7" w:rsidRDefault="006735D4" w:rsidP="006735D4">
      <w:pPr>
        <w:pStyle w:val="H23GC"/>
        <w:ind w:left="1554"/>
        <w:rPr>
          <w:rFonts w:ascii="Calibri" w:hAnsi="Calibri" w:cs="Calibri"/>
          <w:bCs/>
          <w:sz w:val="20"/>
          <w:lang w:val="en-GB"/>
        </w:rPr>
      </w:pPr>
      <w:r w:rsidRPr="00BF42B7">
        <w:rPr>
          <w:rFonts w:hint="eastAsia"/>
          <w:lang w:val="en-GB"/>
        </w:rPr>
        <w:tab/>
      </w:r>
      <w:r w:rsidRPr="00BF42B7">
        <w:rPr>
          <w:rFonts w:hint="eastAsia"/>
          <w:lang w:val="en-GB"/>
        </w:rPr>
        <w:tab/>
      </w:r>
      <w:r w:rsidRPr="00BF42B7">
        <w:rPr>
          <w:rFonts w:hint="eastAsia"/>
          <w:snapToGrid/>
          <w:lang w:val="en-GB"/>
        </w:rPr>
        <w:t>原则草案</w:t>
      </w:r>
      <w:r w:rsidRPr="00BF42B7">
        <w:rPr>
          <w:rFonts w:hint="eastAsia"/>
          <w:snapToGrid/>
          <w:lang w:val="en-GB"/>
        </w:rPr>
        <w:t>2</w:t>
      </w:r>
      <w:r w:rsidRPr="00BF42B7">
        <w:rPr>
          <w:snapToGrid/>
          <w:lang w:val="en-GB"/>
        </w:rPr>
        <w:br/>
      </w:r>
      <w:r w:rsidRPr="00BF42B7">
        <w:rPr>
          <w:rFonts w:hint="eastAsia"/>
          <w:lang w:val="en-GB"/>
        </w:rPr>
        <w:t>宗旨</w:t>
      </w:r>
    </w:p>
    <w:p w:rsidR="006735D4" w:rsidRPr="00BF42B7" w:rsidRDefault="00C37E00" w:rsidP="00C37E00">
      <w:pPr>
        <w:tabs>
          <w:tab w:val="clear" w:pos="431"/>
          <w:tab w:val="left" w:pos="1996"/>
          <w:tab w:val="left" w:pos="2427"/>
        </w:tabs>
        <w:spacing w:after="120"/>
        <w:ind w:left="1554" w:right="1134"/>
        <w:rPr>
          <w:lang w:val="sv-SE"/>
        </w:rPr>
      </w:pPr>
      <w:r>
        <w:rPr>
          <w:rFonts w:hint="eastAsia"/>
          <w:lang w:val="sv-SE"/>
        </w:rPr>
        <w:tab/>
      </w:r>
      <w:r w:rsidR="006735D4" w:rsidRPr="00BF42B7">
        <w:rPr>
          <w:rFonts w:hint="eastAsia"/>
          <w:lang w:val="sv-SE"/>
        </w:rPr>
        <w:t>本原则草案旨在通过最大限度地减少武装冲突期间对环境损害的预防措施以及通过补救措施，加强与武装冲突有关的环境保护。</w:t>
      </w:r>
    </w:p>
    <w:p w:rsidR="006735D4" w:rsidRPr="00BF42B7" w:rsidRDefault="006735D4" w:rsidP="006735D4">
      <w:pPr>
        <w:keepNext/>
        <w:keepLines/>
        <w:tabs>
          <w:tab w:val="clear" w:pos="431"/>
          <w:tab w:val="right" w:pos="851"/>
        </w:tabs>
        <w:spacing w:before="240" w:after="120"/>
        <w:ind w:left="1134" w:right="1134" w:hanging="1134"/>
        <w:jc w:val="left"/>
        <w:outlineLvl w:val="3"/>
        <w:rPr>
          <w:rFonts w:eastAsia="黑体"/>
          <w:sz w:val="22"/>
          <w:lang w:val="en-GB"/>
        </w:rPr>
      </w:pPr>
      <w:r w:rsidRPr="00BF42B7">
        <w:rPr>
          <w:rFonts w:eastAsia="黑体" w:hint="eastAsia"/>
          <w:sz w:val="22"/>
          <w:lang w:val="en-GB"/>
        </w:rPr>
        <w:tab/>
      </w:r>
      <w:r w:rsidRPr="00BF42B7">
        <w:rPr>
          <w:rFonts w:eastAsia="黑体" w:hint="eastAsia"/>
          <w:sz w:val="22"/>
          <w:lang w:val="en-GB"/>
        </w:rPr>
        <w:tab/>
      </w:r>
      <w:r w:rsidRPr="00BF42B7">
        <w:rPr>
          <w:rFonts w:eastAsia="黑体" w:hint="eastAsia"/>
          <w:sz w:val="22"/>
          <w:lang w:val="en-GB"/>
        </w:rPr>
        <w:t>评注</w:t>
      </w:r>
    </w:p>
    <w:p w:rsidR="006735D4" w:rsidRPr="00BF42B7" w:rsidRDefault="006735D4" w:rsidP="006735D4">
      <w:pPr>
        <w:tabs>
          <w:tab w:val="clear" w:pos="431"/>
          <w:tab w:val="left" w:pos="1134"/>
          <w:tab w:val="left" w:pos="1565"/>
          <w:tab w:val="left" w:pos="1996"/>
          <w:tab w:val="left" w:pos="2427"/>
        </w:tabs>
        <w:spacing w:after="120"/>
        <w:ind w:left="1134" w:right="1134"/>
        <w:rPr>
          <w:rFonts w:ascii="Calibri" w:hAnsi="Calibri" w:cs="Calibri"/>
          <w:sz w:val="20"/>
        </w:rPr>
      </w:pPr>
      <w:r w:rsidRPr="00BF42B7">
        <w:rPr>
          <w:rFonts w:hint="eastAsia"/>
          <w:lang w:val="sv-SE"/>
        </w:rPr>
        <w:t xml:space="preserve">(1)  </w:t>
      </w:r>
      <w:r w:rsidRPr="00BF42B7">
        <w:rPr>
          <w:rFonts w:hint="eastAsia"/>
          <w:lang w:val="sv-SE"/>
        </w:rPr>
        <w:t>本条款列出了原则草案的基本宗旨，表明原则草案的目的是通过包括</w:t>
      </w:r>
      <w:r w:rsidRPr="00BF42B7">
        <w:rPr>
          <w:rFonts w:hint="eastAsia"/>
          <w:lang w:val="sv-SE"/>
        </w:rPr>
        <w:t>(</w:t>
      </w:r>
      <w:r w:rsidRPr="00BF42B7">
        <w:rPr>
          <w:rFonts w:hint="eastAsia"/>
          <w:lang w:val="sv-SE"/>
        </w:rPr>
        <w:t>旨在最大限度地减少武装冲突期间对环境损害的</w:t>
      </w:r>
      <w:r w:rsidRPr="00BF42B7">
        <w:rPr>
          <w:rFonts w:hint="eastAsia"/>
          <w:lang w:val="sv-SE"/>
        </w:rPr>
        <w:t>)</w:t>
      </w:r>
      <w:r w:rsidRPr="00BF42B7">
        <w:rPr>
          <w:rFonts w:hint="eastAsia"/>
          <w:lang w:val="sv-SE"/>
        </w:rPr>
        <w:t>预防措施和</w:t>
      </w:r>
      <w:r w:rsidRPr="00BF42B7">
        <w:rPr>
          <w:rFonts w:hint="eastAsia"/>
          <w:lang w:val="sv-SE"/>
        </w:rPr>
        <w:t>(</w:t>
      </w:r>
      <w:r w:rsidRPr="00BF42B7">
        <w:rPr>
          <w:rFonts w:hint="eastAsia"/>
          <w:lang w:val="sv-SE"/>
        </w:rPr>
        <w:t>旨在在武装冲突已经造成损害后恢复环境的</w:t>
      </w:r>
      <w:r w:rsidRPr="00BF42B7">
        <w:rPr>
          <w:rFonts w:hint="eastAsia"/>
          <w:lang w:val="sv-SE"/>
        </w:rPr>
        <w:t>)</w:t>
      </w:r>
      <w:r w:rsidRPr="00BF42B7">
        <w:rPr>
          <w:rFonts w:hint="eastAsia"/>
          <w:lang w:val="sv-SE"/>
        </w:rPr>
        <w:t>补救措施在内的方式，加强与武装冲突有关的环境保护。应当指出，本条款的宗旨体现在“加强”一词，在此不应将其理解为逐步编纂法律的行为。</w:t>
      </w:r>
    </w:p>
    <w:p w:rsidR="006735D4" w:rsidRPr="00BF42B7" w:rsidRDefault="006735D4" w:rsidP="006735D4">
      <w:pPr>
        <w:tabs>
          <w:tab w:val="clear" w:pos="431"/>
          <w:tab w:val="left" w:pos="1134"/>
          <w:tab w:val="left" w:pos="1565"/>
          <w:tab w:val="left" w:pos="1996"/>
          <w:tab w:val="left" w:pos="2427"/>
        </w:tabs>
        <w:spacing w:after="120"/>
        <w:ind w:left="1134" w:right="1134"/>
        <w:rPr>
          <w:rFonts w:ascii="Calibri" w:hAnsi="Calibri" w:cs="Calibri"/>
          <w:sz w:val="20"/>
        </w:rPr>
      </w:pPr>
      <w:r w:rsidRPr="00BF42B7">
        <w:rPr>
          <w:rFonts w:hint="eastAsia"/>
          <w:lang w:val="sv-SE"/>
        </w:rPr>
        <w:t xml:space="preserve">(2)  </w:t>
      </w:r>
      <w:r w:rsidRPr="00BF42B7">
        <w:rPr>
          <w:rFonts w:hint="eastAsia"/>
          <w:lang w:val="sv-SE"/>
        </w:rPr>
        <w:t>本条款说明了原则草案的宗旨，这项宗旨须在随后各项原则中进一步阐述。“</w:t>
      </w:r>
      <w:r w:rsidRPr="00BF42B7">
        <w:rPr>
          <w:lang w:val="sv-SE"/>
        </w:rPr>
        <w:t>通过最大限度地减少武装冲突期间对环境损害的预防措施以及通过补救措施</w:t>
      </w:r>
      <w:r w:rsidRPr="00BF42B7">
        <w:rPr>
          <w:rFonts w:hint="eastAsia"/>
          <w:lang w:val="sv-SE"/>
        </w:rPr>
        <w:t>”这一说法目的是要表明为提供必要的保护所需采取的措施的一般类型。</w:t>
      </w:r>
    </w:p>
    <w:p w:rsidR="006735D4" w:rsidRPr="00BF42B7" w:rsidRDefault="006735D4" w:rsidP="006735D4">
      <w:pPr>
        <w:tabs>
          <w:tab w:val="clear" w:pos="431"/>
          <w:tab w:val="left" w:pos="1134"/>
          <w:tab w:val="left" w:pos="1565"/>
          <w:tab w:val="left" w:pos="1996"/>
          <w:tab w:val="left" w:pos="2427"/>
        </w:tabs>
        <w:spacing w:after="120"/>
        <w:ind w:left="1134" w:right="1134"/>
        <w:rPr>
          <w:rFonts w:ascii="Calibri" w:hAnsi="Calibri" w:cs="Calibri"/>
          <w:sz w:val="20"/>
        </w:rPr>
      </w:pPr>
      <w:r w:rsidRPr="00BF42B7">
        <w:rPr>
          <w:rFonts w:hint="eastAsia"/>
          <w:spacing w:val="4"/>
          <w:lang w:val="sv-SE"/>
        </w:rPr>
        <w:t xml:space="preserve">(3)  </w:t>
      </w:r>
      <w:r w:rsidRPr="00BF42B7">
        <w:rPr>
          <w:rFonts w:hint="eastAsia"/>
          <w:spacing w:val="4"/>
          <w:lang w:val="sv-SE"/>
        </w:rPr>
        <w:t>本条款与关于范围的条款类似，涵盖所有</w:t>
      </w:r>
      <w:r w:rsidRPr="00BF42B7">
        <w:rPr>
          <w:spacing w:val="4"/>
          <w:lang w:val="sv-SE"/>
        </w:rPr>
        <w:t>三个时间段</w:t>
      </w:r>
      <w:r w:rsidRPr="00BF42B7">
        <w:rPr>
          <w:rFonts w:hint="eastAsia"/>
          <w:spacing w:val="4"/>
          <w:lang w:val="sv-SE"/>
        </w:rPr>
        <w:t>。虽然国际法委员会</w:t>
      </w:r>
      <w:r w:rsidRPr="00BF42B7">
        <w:rPr>
          <w:rFonts w:cs="Calibri"/>
          <w:color w:val="0000FF"/>
          <w:spacing w:val="4"/>
          <w:vertAlign w:val="superscript"/>
        </w:rPr>
        <w:footnoteReference w:id="1328"/>
      </w:r>
      <w:r w:rsidRPr="00BF42B7">
        <w:rPr>
          <w:rFonts w:ascii="Calibri" w:hAnsi="Calibri" w:cs="Calibri" w:hint="eastAsia"/>
          <w:sz w:val="18"/>
          <w:vertAlign w:val="superscript"/>
        </w:rPr>
        <w:t xml:space="preserve"> </w:t>
      </w:r>
      <w:r w:rsidRPr="00BF42B7">
        <w:rPr>
          <w:rFonts w:hint="eastAsia"/>
          <w:lang w:val="sv-SE"/>
        </w:rPr>
        <w:t>和大会第六委员会</w:t>
      </w:r>
      <w:r w:rsidRPr="00BF42B7">
        <w:rPr>
          <w:rFonts w:cs="Calibri"/>
          <w:color w:val="0000FF"/>
          <w:vertAlign w:val="superscript"/>
        </w:rPr>
        <w:footnoteReference w:id="1329"/>
      </w:r>
      <w:r w:rsidRPr="00BF42B7">
        <w:rPr>
          <w:rFonts w:ascii="Calibri" w:hAnsi="Calibri" w:cs="Calibri" w:hint="eastAsia"/>
          <w:sz w:val="18"/>
          <w:vertAlign w:val="superscript"/>
        </w:rPr>
        <w:t xml:space="preserve"> </w:t>
      </w:r>
      <w:r w:rsidRPr="00BF42B7">
        <w:rPr>
          <w:rFonts w:hint="eastAsia"/>
          <w:lang w:val="sv-SE"/>
        </w:rPr>
        <w:t>都承认，这</w:t>
      </w:r>
      <w:r w:rsidRPr="00BF42B7">
        <w:rPr>
          <w:lang w:val="sv-SE"/>
        </w:rPr>
        <w:t>三个时间段</w:t>
      </w:r>
      <w:r w:rsidRPr="00BF42B7">
        <w:rPr>
          <w:rFonts w:hint="eastAsia"/>
          <w:lang w:val="sv-SE"/>
        </w:rPr>
        <w:t>是密切相连的，</w:t>
      </w:r>
      <w:r w:rsidRPr="00BF42B7">
        <w:rPr>
          <w:rFonts w:cs="Calibri"/>
          <w:color w:val="0000FF"/>
          <w:vertAlign w:val="superscript"/>
        </w:rPr>
        <w:footnoteReference w:id="1330"/>
      </w:r>
      <w:r w:rsidRPr="00BF42B7">
        <w:rPr>
          <w:rFonts w:ascii="Calibri" w:hAnsi="Calibri" w:cs="Calibri"/>
          <w:sz w:val="20"/>
        </w:rPr>
        <w:t xml:space="preserve"> </w:t>
      </w:r>
      <w:r w:rsidRPr="00BF42B7">
        <w:rPr>
          <w:rFonts w:ascii="Calibri" w:hAnsi="Calibri" w:cs="Calibri" w:hint="eastAsia"/>
          <w:sz w:val="20"/>
        </w:rPr>
        <w:t>但是，“</w:t>
      </w:r>
      <w:r w:rsidRPr="00BF42B7">
        <w:rPr>
          <w:rFonts w:hint="eastAsia"/>
          <w:lang w:val="sv-SE"/>
        </w:rPr>
        <w:t>最大限度地减少</w:t>
      </w:r>
      <w:r w:rsidRPr="00BF42B7">
        <w:rPr>
          <w:rFonts w:hint="eastAsia"/>
        </w:rPr>
        <w:t>……</w:t>
      </w:r>
      <w:r w:rsidRPr="00BF42B7">
        <w:rPr>
          <w:rFonts w:hint="eastAsia"/>
          <w:lang w:val="sv-SE"/>
        </w:rPr>
        <w:t>损害的预防措施”的说法主要是指</w:t>
      </w:r>
      <w:r w:rsidRPr="00BF42B7">
        <w:rPr>
          <w:lang w:val="sv-SE"/>
        </w:rPr>
        <w:t>武装冲突之前</w:t>
      </w:r>
      <w:r w:rsidRPr="00BF42B7">
        <w:rPr>
          <w:rFonts w:hint="eastAsia"/>
          <w:lang w:val="sv-SE"/>
        </w:rPr>
        <w:t>和武装冲突</w:t>
      </w:r>
      <w:r w:rsidRPr="00BF42B7">
        <w:rPr>
          <w:lang w:val="sv-SE"/>
        </w:rPr>
        <w:t>期间</w:t>
      </w:r>
      <w:r w:rsidRPr="00BF42B7">
        <w:rPr>
          <w:rFonts w:hint="eastAsia"/>
          <w:lang w:val="sv-SE"/>
        </w:rPr>
        <w:t>的局势，而“补救措施”的说法则主要是指冲突后阶段。应该指出，一国可在冲突结束前就采取补救措施恢复环境。</w:t>
      </w:r>
    </w:p>
    <w:p w:rsidR="006735D4" w:rsidRPr="00BF42B7" w:rsidRDefault="006735D4" w:rsidP="006735D4">
      <w:pPr>
        <w:tabs>
          <w:tab w:val="clear" w:pos="431"/>
          <w:tab w:val="left" w:pos="1134"/>
          <w:tab w:val="left" w:pos="1565"/>
          <w:tab w:val="left" w:pos="1996"/>
          <w:tab w:val="left" w:pos="2427"/>
        </w:tabs>
        <w:spacing w:after="120"/>
        <w:ind w:left="1134" w:right="1134"/>
        <w:rPr>
          <w:rFonts w:ascii="Calibri" w:hAnsi="Calibri" w:cs="Calibri"/>
          <w:sz w:val="20"/>
        </w:rPr>
      </w:pPr>
      <w:r w:rsidRPr="00BF42B7">
        <w:rPr>
          <w:rFonts w:hint="eastAsia"/>
          <w:lang w:val="sv-SE"/>
        </w:rPr>
        <w:t xml:space="preserve">(4)  </w:t>
      </w:r>
      <w:r w:rsidRPr="00BF42B7">
        <w:rPr>
          <w:rFonts w:hint="eastAsia"/>
          <w:lang w:val="sv-SE"/>
        </w:rPr>
        <w:t>大家倾向于用“补救措施”而非“恢复措施”这一术语是因为，“补救措施”被认为更加清楚，范围更广，涵盖任何为恢复环境而可能采取的补救性质的措施。这可能还包括损害环境所造成的损失或损害、合理的恢复措施所涉的费用以及与合理反应措施的费用相关的合理清理费用。</w:t>
      </w:r>
    </w:p>
    <w:p w:rsidR="006735D4" w:rsidRPr="00BF42B7" w:rsidRDefault="006735D4" w:rsidP="006735D4">
      <w:pPr>
        <w:keepNext/>
        <w:keepLines/>
        <w:tabs>
          <w:tab w:val="clear" w:pos="431"/>
          <w:tab w:val="right" w:pos="851"/>
        </w:tabs>
        <w:spacing w:before="240" w:after="120"/>
        <w:ind w:left="1565" w:right="1134" w:hanging="1134"/>
        <w:jc w:val="left"/>
        <w:outlineLvl w:val="3"/>
        <w:rPr>
          <w:rFonts w:eastAsia="黑体"/>
          <w:sz w:val="22"/>
          <w:lang w:val="en-GB"/>
        </w:rPr>
      </w:pPr>
      <w:r w:rsidRPr="00BF42B7">
        <w:rPr>
          <w:rFonts w:eastAsia="黑体" w:hint="eastAsia"/>
          <w:sz w:val="22"/>
          <w:lang w:val="en-GB"/>
        </w:rPr>
        <w:tab/>
      </w:r>
      <w:r w:rsidRPr="00BF42B7">
        <w:rPr>
          <w:rFonts w:eastAsia="黑体" w:hint="eastAsia"/>
          <w:sz w:val="22"/>
          <w:lang w:val="en-GB"/>
        </w:rPr>
        <w:tab/>
      </w:r>
      <w:r w:rsidRPr="00BF42B7">
        <w:rPr>
          <w:rFonts w:eastAsia="黑体" w:hint="eastAsia"/>
          <w:sz w:val="22"/>
          <w:lang w:val="en-GB"/>
        </w:rPr>
        <w:t>第一部分</w:t>
      </w:r>
      <w:r w:rsidRPr="00BF42B7">
        <w:rPr>
          <w:rFonts w:eastAsia="黑体"/>
          <w:sz w:val="22"/>
          <w:lang w:val="en-GB"/>
        </w:rPr>
        <w:br/>
      </w:r>
      <w:r w:rsidRPr="00BF42B7">
        <w:rPr>
          <w:rFonts w:eastAsia="黑体" w:hint="eastAsia"/>
          <w:sz w:val="22"/>
          <w:lang w:val="en-GB"/>
        </w:rPr>
        <w:t>一般原则</w:t>
      </w:r>
    </w:p>
    <w:p w:rsidR="006735D4" w:rsidRPr="00BF42B7" w:rsidRDefault="006735D4" w:rsidP="006735D4">
      <w:pPr>
        <w:keepNext/>
        <w:keepLines/>
        <w:tabs>
          <w:tab w:val="clear" w:pos="431"/>
          <w:tab w:val="right" w:pos="851"/>
        </w:tabs>
        <w:spacing w:before="240" w:after="120"/>
        <w:ind w:left="1565" w:right="1134" w:hanging="1134"/>
        <w:jc w:val="left"/>
        <w:outlineLvl w:val="3"/>
        <w:rPr>
          <w:rFonts w:ascii="Time New Roman" w:eastAsia="黑体" w:hAnsi="Time New Roman" w:cs="Calibri" w:hint="eastAsia"/>
          <w:b/>
          <w:sz w:val="22"/>
          <w:lang w:val="en-GB"/>
        </w:rPr>
      </w:pPr>
      <w:r w:rsidRPr="00BF42B7">
        <w:rPr>
          <w:rFonts w:eastAsia="黑体" w:hint="eastAsia"/>
          <w:sz w:val="22"/>
          <w:lang w:val="en-GB"/>
        </w:rPr>
        <w:tab/>
      </w:r>
      <w:r w:rsidRPr="00BF42B7">
        <w:rPr>
          <w:rFonts w:eastAsia="黑体" w:hint="eastAsia"/>
          <w:sz w:val="22"/>
          <w:lang w:val="en-GB"/>
        </w:rPr>
        <w:tab/>
      </w:r>
      <w:r w:rsidRPr="00BF42B7">
        <w:rPr>
          <w:rFonts w:eastAsia="黑体" w:hint="eastAsia"/>
          <w:sz w:val="22"/>
          <w:lang w:val="en-GB"/>
        </w:rPr>
        <w:t>原则草案</w:t>
      </w:r>
      <w:r w:rsidRPr="00BF42B7">
        <w:rPr>
          <w:rFonts w:eastAsia="黑体" w:hint="eastAsia"/>
          <w:sz w:val="22"/>
          <w:lang w:val="en-GB"/>
        </w:rPr>
        <w:t>5[1-(x)]</w:t>
      </w:r>
      <w:r w:rsidRPr="00BF42B7">
        <w:rPr>
          <w:rFonts w:ascii="Time New Roman" w:eastAsia="黑体" w:hAnsi="Time New Roman" w:hint="eastAsia"/>
          <w:sz w:val="22"/>
          <w:lang w:val="sv-SE"/>
        </w:rPr>
        <w:br/>
      </w:r>
      <w:r w:rsidRPr="00BF42B7">
        <w:rPr>
          <w:rFonts w:ascii="Time New Roman" w:eastAsia="黑体" w:hAnsi="Time New Roman" w:hint="eastAsia"/>
          <w:sz w:val="22"/>
          <w:lang w:val="en-GB"/>
        </w:rPr>
        <w:t>指定受保护区</w:t>
      </w:r>
    </w:p>
    <w:p w:rsidR="006735D4" w:rsidRPr="00BF42B7" w:rsidRDefault="006735D4" w:rsidP="00C37E00">
      <w:pPr>
        <w:tabs>
          <w:tab w:val="clear" w:pos="431"/>
          <w:tab w:val="left" w:pos="1996"/>
          <w:tab w:val="left" w:pos="2427"/>
        </w:tabs>
        <w:spacing w:after="120"/>
        <w:ind w:left="1554" w:right="1134"/>
        <w:rPr>
          <w:lang w:val="en-GB"/>
        </w:rPr>
      </w:pPr>
      <w:r w:rsidRPr="00BF42B7">
        <w:rPr>
          <w:rFonts w:hint="eastAsia"/>
          <w:lang w:val="en-GB"/>
        </w:rPr>
        <w:tab/>
      </w:r>
      <w:r w:rsidRPr="00BF42B7">
        <w:rPr>
          <w:rFonts w:hint="eastAsia"/>
          <w:lang w:val="en-GB"/>
        </w:rPr>
        <w:t>国家应当以协议或其他方式</w:t>
      </w:r>
      <w:r w:rsidRPr="00BF42B7">
        <w:rPr>
          <w:rFonts w:hint="eastAsia"/>
          <w:lang w:val="sv-SE"/>
        </w:rPr>
        <w:t>，</w:t>
      </w:r>
      <w:r w:rsidRPr="00BF42B7">
        <w:rPr>
          <w:rFonts w:hint="eastAsia"/>
          <w:lang w:val="en-GB"/>
        </w:rPr>
        <w:t>指定具有重大环境和文化意义的区域为保护区。</w:t>
      </w:r>
    </w:p>
    <w:p w:rsidR="006735D4" w:rsidRPr="00BF42B7" w:rsidRDefault="006735D4" w:rsidP="006735D4">
      <w:pPr>
        <w:keepNext/>
        <w:keepLines/>
        <w:tabs>
          <w:tab w:val="clear" w:pos="431"/>
          <w:tab w:val="right" w:pos="851"/>
        </w:tabs>
        <w:spacing w:before="240" w:after="120"/>
        <w:ind w:left="1134" w:right="1134" w:hanging="1134"/>
        <w:jc w:val="left"/>
        <w:outlineLvl w:val="3"/>
        <w:rPr>
          <w:rFonts w:eastAsia="黑体"/>
          <w:sz w:val="20"/>
        </w:rPr>
      </w:pPr>
      <w:r w:rsidRPr="00BF42B7">
        <w:rPr>
          <w:rFonts w:eastAsia="黑体" w:hint="eastAsia"/>
          <w:sz w:val="22"/>
          <w:lang w:val="en-GB"/>
        </w:rPr>
        <w:tab/>
      </w:r>
      <w:r w:rsidRPr="00BF42B7">
        <w:rPr>
          <w:rFonts w:eastAsia="黑体" w:hint="eastAsia"/>
          <w:sz w:val="22"/>
          <w:lang w:val="en-GB"/>
        </w:rPr>
        <w:tab/>
      </w:r>
      <w:r w:rsidRPr="00BF42B7">
        <w:rPr>
          <w:rFonts w:eastAsia="黑体" w:hint="eastAsia"/>
          <w:sz w:val="22"/>
          <w:lang w:val="en-GB"/>
        </w:rPr>
        <w:t>评注</w:t>
      </w:r>
    </w:p>
    <w:p w:rsidR="006735D4" w:rsidRPr="00BF42B7" w:rsidRDefault="006735D4" w:rsidP="006735D4">
      <w:pPr>
        <w:tabs>
          <w:tab w:val="clear" w:pos="431"/>
          <w:tab w:val="left" w:pos="1134"/>
          <w:tab w:val="left" w:pos="1565"/>
          <w:tab w:val="left" w:pos="1996"/>
          <w:tab w:val="left" w:pos="2427"/>
        </w:tabs>
        <w:spacing w:after="120"/>
        <w:ind w:left="1134" w:right="1134"/>
        <w:rPr>
          <w:lang w:val="en-GB"/>
        </w:rPr>
      </w:pPr>
      <w:r w:rsidRPr="00BF42B7">
        <w:rPr>
          <w:rFonts w:hint="eastAsia"/>
          <w:lang w:val="en-GB"/>
        </w:rPr>
        <w:t xml:space="preserve">(1)  </w:t>
      </w:r>
      <w:r w:rsidRPr="00BF42B7">
        <w:rPr>
          <w:rFonts w:hint="eastAsia"/>
          <w:lang w:val="en-GB"/>
        </w:rPr>
        <w:t>原则草案</w:t>
      </w:r>
      <w:r w:rsidRPr="00BF42B7">
        <w:rPr>
          <w:rFonts w:hint="eastAsia"/>
          <w:lang w:val="en-GB"/>
        </w:rPr>
        <w:t>5[1-(x)]</w:t>
      </w:r>
      <w:r w:rsidRPr="00BF42B7">
        <w:rPr>
          <w:rFonts w:hint="eastAsia"/>
          <w:lang w:val="en-GB"/>
        </w:rPr>
        <w:t>的标题为“指定保护区”，其中规定，国家应当以协议或其他方式，指定具有重大环境和文化意义的区域为保护区。用“保护区”而不用“非军事区”的说法，是因为对后者可能有不同的理解。这项条款所在的第一部分</w:t>
      </w:r>
      <w:r w:rsidRPr="00BF42B7">
        <w:rPr>
          <w:rFonts w:hint="eastAsia"/>
          <w:lang w:val="en-GB"/>
        </w:rPr>
        <w:t>(</w:t>
      </w:r>
      <w:r w:rsidRPr="00BF42B7">
        <w:rPr>
          <w:rFonts w:hint="eastAsia"/>
          <w:lang w:val="en-GB"/>
        </w:rPr>
        <w:t>“一般原则”</w:t>
      </w:r>
      <w:r w:rsidRPr="00BF42B7">
        <w:rPr>
          <w:rFonts w:hint="eastAsia"/>
          <w:lang w:val="en-GB"/>
        </w:rPr>
        <w:t>)</w:t>
      </w:r>
      <w:r w:rsidRPr="00BF42B7">
        <w:rPr>
          <w:rFonts w:hint="eastAsia"/>
          <w:lang w:val="en-GB"/>
        </w:rPr>
        <w:t>涉及冲突前阶段，即和平处于主导地位的时期，但也载有</w:t>
      </w:r>
      <w:r w:rsidRPr="00BF42B7">
        <w:rPr>
          <w:rFonts w:hint="eastAsia"/>
        </w:rPr>
        <w:t>与所有三个时期均有关的更具一般性的原则草案。因此，</w:t>
      </w:r>
      <w:r w:rsidRPr="00BF42B7">
        <w:rPr>
          <w:rFonts w:hint="eastAsia"/>
          <w:lang w:val="en-GB"/>
        </w:rPr>
        <w:t>原则草案</w:t>
      </w:r>
      <w:r w:rsidRPr="00BF42B7">
        <w:rPr>
          <w:lang w:val="en-GB"/>
        </w:rPr>
        <w:t>5[1-(x)]</w:t>
      </w:r>
      <w:r w:rsidRPr="00BF42B7">
        <w:rPr>
          <w:rFonts w:hint="eastAsia"/>
          <w:lang w:val="en-GB"/>
        </w:rPr>
        <w:t>并不排除在武装冲突期间或在武装冲突后不久指定保护区的情况。大家认识到，某些原则草案可能贯穿并横跨不同阶段，原则草案</w:t>
      </w:r>
      <w:r w:rsidRPr="00BF42B7">
        <w:rPr>
          <w:lang w:val="en-GB"/>
        </w:rPr>
        <w:t>5[1-(x)]</w:t>
      </w:r>
      <w:r w:rsidRPr="00BF42B7">
        <w:rPr>
          <w:rFonts w:hint="eastAsia"/>
          <w:lang w:val="en-GB"/>
        </w:rPr>
        <w:t>便是一个例子。</w:t>
      </w:r>
      <w:r w:rsidRPr="00BF42B7">
        <w:rPr>
          <w:rFonts w:hint="eastAsia"/>
          <w:lang w:val="sv-SE"/>
        </w:rPr>
        <w:t>而且，原则草案</w:t>
      </w:r>
      <w:r w:rsidRPr="00BF42B7">
        <w:rPr>
          <w:lang w:val="sv-SE"/>
        </w:rPr>
        <w:t>5[1-(x)]</w:t>
      </w:r>
      <w:r w:rsidRPr="00BF42B7">
        <w:rPr>
          <w:rFonts w:hint="eastAsia"/>
          <w:lang w:val="sv-SE"/>
        </w:rPr>
        <w:t>在第二部分“</w:t>
      </w:r>
      <w:r w:rsidRPr="00BF42B7">
        <w:rPr>
          <w:lang w:val="sv-SE"/>
        </w:rPr>
        <w:t>适用于武装冲突期</w:t>
      </w:r>
      <w:r w:rsidRPr="00BF42B7">
        <w:rPr>
          <w:rFonts w:hint="eastAsia"/>
          <w:lang w:val="sv-SE"/>
        </w:rPr>
        <w:t>间的原则”中有一条对应的原则草案</w:t>
      </w:r>
      <w:r w:rsidRPr="00BF42B7">
        <w:rPr>
          <w:rFonts w:hint="eastAsia"/>
          <w:lang w:val="sv-SE"/>
        </w:rPr>
        <w:t>(</w:t>
      </w:r>
      <w:r w:rsidRPr="00BF42B7">
        <w:rPr>
          <w:rFonts w:hint="eastAsia"/>
          <w:lang w:val="sv-SE"/>
        </w:rPr>
        <w:t>原则草案</w:t>
      </w:r>
      <w:r w:rsidRPr="00BF42B7">
        <w:rPr>
          <w:rFonts w:hint="eastAsia"/>
          <w:lang w:val="sv-SE"/>
        </w:rPr>
        <w:t>13[2</w:t>
      </w:r>
      <w:r w:rsidRPr="00BF42B7">
        <w:rPr>
          <w:lang w:val="sv-SE"/>
        </w:rPr>
        <w:t>-5</w:t>
      </w:r>
      <w:r w:rsidRPr="00BF42B7">
        <w:rPr>
          <w:rFonts w:hint="eastAsia"/>
          <w:lang w:val="sv-SE"/>
        </w:rPr>
        <w:t>])</w:t>
      </w:r>
      <w:r w:rsidRPr="00BF42B7">
        <w:rPr>
          <w:rFonts w:hint="eastAsia"/>
          <w:lang w:val="sv-SE"/>
        </w:rPr>
        <w:t>。</w:t>
      </w:r>
    </w:p>
    <w:p w:rsidR="006735D4" w:rsidRPr="00BF42B7" w:rsidRDefault="006735D4" w:rsidP="006735D4">
      <w:pPr>
        <w:tabs>
          <w:tab w:val="clear" w:pos="431"/>
          <w:tab w:val="left" w:pos="1134"/>
          <w:tab w:val="left" w:pos="1565"/>
          <w:tab w:val="left" w:pos="1996"/>
          <w:tab w:val="left" w:pos="2427"/>
        </w:tabs>
        <w:spacing w:after="120"/>
        <w:ind w:left="1134" w:right="1134"/>
        <w:rPr>
          <w:rFonts w:ascii="Calibri" w:hAnsi="Calibri" w:cs="Calibri"/>
          <w:sz w:val="20"/>
        </w:rPr>
      </w:pPr>
      <w:r w:rsidRPr="00BF42B7">
        <w:rPr>
          <w:rFonts w:hint="eastAsia"/>
          <w:lang w:val="en-GB"/>
        </w:rPr>
        <w:t xml:space="preserve">(2)  </w:t>
      </w:r>
      <w:r w:rsidRPr="00BF42B7">
        <w:rPr>
          <w:rFonts w:hint="eastAsia"/>
          <w:lang w:val="en-GB"/>
        </w:rPr>
        <w:t>一国可能已经在采取必要措施保护总体环境。这类措施尤其可能包括在可能发生武装冲突时采取的预防措施。</w:t>
      </w:r>
      <w:r w:rsidRPr="00BF42B7">
        <w:rPr>
          <w:lang w:val="en-GB"/>
        </w:rPr>
        <w:t>赋予实际地理区域特殊法律地位，以此来保护和保全</w:t>
      </w:r>
      <w:r w:rsidRPr="00BF42B7">
        <w:rPr>
          <w:rFonts w:hint="eastAsia"/>
          <w:lang w:val="en-GB"/>
        </w:rPr>
        <w:t>某个</w:t>
      </w:r>
      <w:r w:rsidRPr="00BF42B7">
        <w:rPr>
          <w:lang w:val="en-GB"/>
        </w:rPr>
        <w:t>区域，这种做法较常见。可以通过国际协定或国家立法来达到上述目的。在某些</w:t>
      </w:r>
      <w:r w:rsidRPr="00BF42B7">
        <w:rPr>
          <w:rFonts w:hint="eastAsia"/>
          <w:lang w:val="en-GB"/>
        </w:rPr>
        <w:t>情况</w:t>
      </w:r>
      <w:r w:rsidRPr="00BF42B7">
        <w:rPr>
          <w:lang w:val="en-GB"/>
        </w:rPr>
        <w:t>下，这些区域不仅在和平时期受保护，在武装冲突期间也免受攻击。</w:t>
      </w:r>
      <w:r w:rsidRPr="00BF42B7">
        <w:rPr>
          <w:rFonts w:cs="Calibri"/>
          <w:color w:val="0000FF"/>
          <w:vertAlign w:val="superscript"/>
        </w:rPr>
        <w:footnoteReference w:id="1331"/>
      </w:r>
      <w:r w:rsidRPr="00BF42B7">
        <w:rPr>
          <w:rFonts w:ascii="Calibri" w:hAnsi="Calibri" w:cs="Calibri" w:hint="eastAsia"/>
          <w:sz w:val="18"/>
          <w:vertAlign w:val="superscript"/>
        </w:rPr>
        <w:t xml:space="preserve"> </w:t>
      </w:r>
      <w:r w:rsidRPr="00BF42B7">
        <w:rPr>
          <w:rFonts w:hint="eastAsia"/>
          <w:lang w:val="en-GB"/>
        </w:rPr>
        <w:t>通常“非军事区”和“中立区”便是如此。应当指出，“非军事区”</w:t>
      </w:r>
      <w:r w:rsidRPr="00BF42B7">
        <w:rPr>
          <w:spacing w:val="-2"/>
          <w:lang w:val="en-GB"/>
        </w:rPr>
        <w:t>一词在武装冲突法范畴内具有特殊含义。</w:t>
      </w:r>
      <w:r w:rsidRPr="00BF42B7">
        <w:rPr>
          <w:rFonts w:hint="eastAsia"/>
          <w:spacing w:val="-2"/>
          <w:lang w:val="en-GB"/>
        </w:rPr>
        <w:t>非军事区</w:t>
      </w:r>
      <w:r w:rsidRPr="00BF42B7">
        <w:rPr>
          <w:spacing w:val="-2"/>
          <w:lang w:val="en-GB"/>
        </w:rPr>
        <w:t>是冲突各方建立的，这意味着，若将其军事活动扩展至该地带会违反协定规定，则这种扩展便是禁止的。</w:t>
      </w:r>
      <w:bookmarkStart w:id="324" w:name="_Ref454970788"/>
      <w:r w:rsidRPr="00BF42B7">
        <w:rPr>
          <w:rFonts w:cs="Calibri"/>
          <w:color w:val="0000FF"/>
          <w:spacing w:val="-2"/>
          <w:vertAlign w:val="superscript"/>
        </w:rPr>
        <w:footnoteReference w:id="1332"/>
      </w:r>
      <w:bookmarkEnd w:id="324"/>
      <w:r w:rsidRPr="00BF42B7">
        <w:rPr>
          <w:rFonts w:ascii="Calibri" w:hAnsi="Calibri" w:cs="Calibri" w:hint="eastAsia"/>
          <w:spacing w:val="-2"/>
          <w:sz w:val="18"/>
          <w:vertAlign w:val="superscript"/>
        </w:rPr>
        <w:t xml:space="preserve"> </w:t>
      </w:r>
      <w:r w:rsidRPr="00BF42B7">
        <w:rPr>
          <w:rFonts w:hint="eastAsia"/>
          <w:spacing w:val="-2"/>
          <w:lang w:val="en-GB"/>
        </w:rPr>
        <w:t>在和平时期也可以建立非军事区。</w:t>
      </w:r>
      <w:r w:rsidRPr="00BF42B7">
        <w:rPr>
          <w:rFonts w:cs="Calibri"/>
          <w:color w:val="0000FF"/>
          <w:spacing w:val="-2"/>
          <w:vertAlign w:val="superscript"/>
        </w:rPr>
        <w:footnoteReference w:id="1333"/>
      </w:r>
      <w:r w:rsidRPr="00BF42B7">
        <w:rPr>
          <w:rFonts w:ascii="Calibri" w:hAnsi="Calibri"/>
          <w:spacing w:val="-2"/>
          <w:sz w:val="18"/>
          <w:vertAlign w:val="superscript"/>
        </w:rPr>
        <w:t xml:space="preserve"> </w:t>
      </w:r>
      <w:r w:rsidRPr="00BF42B7">
        <w:rPr>
          <w:rFonts w:hint="eastAsia"/>
          <w:spacing w:val="-2"/>
          <w:lang w:val="en-GB"/>
        </w:rPr>
        <w:t>这类区域的非军事化程度可以不同，它们可以是完全非军事化的区域，也可以是部分非军事化的区域，如无核武器区。</w:t>
      </w:r>
      <w:r w:rsidRPr="00BF42B7">
        <w:rPr>
          <w:rFonts w:cs="Calibri"/>
          <w:color w:val="0000FF"/>
          <w:spacing w:val="-2"/>
          <w:vertAlign w:val="superscript"/>
        </w:rPr>
        <w:footnoteReference w:id="1334"/>
      </w:r>
    </w:p>
    <w:p w:rsidR="006735D4" w:rsidRPr="00BF42B7" w:rsidRDefault="006735D4" w:rsidP="006735D4">
      <w:pPr>
        <w:tabs>
          <w:tab w:val="clear" w:pos="431"/>
          <w:tab w:val="left" w:pos="1134"/>
          <w:tab w:val="left" w:pos="1565"/>
          <w:tab w:val="left" w:pos="1996"/>
          <w:tab w:val="left" w:pos="2427"/>
        </w:tabs>
        <w:spacing w:after="120"/>
        <w:ind w:left="1134" w:right="1134"/>
        <w:rPr>
          <w:lang w:val="en-GB"/>
        </w:rPr>
      </w:pPr>
      <w:r w:rsidRPr="00BF42B7">
        <w:rPr>
          <w:rFonts w:hint="eastAsia"/>
          <w:lang w:val="en-GB"/>
        </w:rPr>
        <w:t xml:space="preserve">(3)  </w:t>
      </w:r>
      <w:r w:rsidRPr="00BF42B7">
        <w:rPr>
          <w:rFonts w:hint="eastAsia"/>
          <w:lang w:val="en-GB"/>
        </w:rPr>
        <w:t>在根据本原则草案指定保护区时，</w:t>
      </w:r>
      <w:r w:rsidRPr="00BF42B7">
        <w:rPr>
          <w:lang w:val="en-GB"/>
        </w:rPr>
        <w:t>应特别着重考虑对具</w:t>
      </w:r>
      <w:r w:rsidRPr="00BF42B7">
        <w:rPr>
          <w:rFonts w:hint="eastAsia"/>
          <w:lang w:val="en-GB"/>
        </w:rPr>
        <w:t>有</w:t>
      </w:r>
      <w:r w:rsidRPr="00BF42B7">
        <w:rPr>
          <w:lang w:val="en-GB"/>
        </w:rPr>
        <w:t>重大</w:t>
      </w:r>
      <w:r w:rsidRPr="00BF42B7">
        <w:rPr>
          <w:rFonts w:hint="eastAsia"/>
          <w:lang w:val="en-GB"/>
        </w:rPr>
        <w:t>环境</w:t>
      </w:r>
      <w:r w:rsidRPr="00BF42B7">
        <w:rPr>
          <w:lang w:val="en-GB"/>
        </w:rPr>
        <w:t>意义</w:t>
      </w:r>
      <w:r w:rsidRPr="00BF42B7">
        <w:rPr>
          <w:rFonts w:hint="eastAsia"/>
          <w:lang w:val="en-GB"/>
        </w:rPr>
        <w:t>的区域</w:t>
      </w:r>
      <w:r w:rsidRPr="00BF42B7">
        <w:rPr>
          <w:lang w:val="en-GB"/>
        </w:rPr>
        <w:t>的保护，这些</w:t>
      </w:r>
      <w:r w:rsidRPr="00BF42B7">
        <w:rPr>
          <w:rFonts w:hint="eastAsia"/>
          <w:lang w:val="en-GB"/>
        </w:rPr>
        <w:t>区域</w:t>
      </w:r>
      <w:r w:rsidRPr="00BF42B7">
        <w:rPr>
          <w:lang w:val="en-GB"/>
        </w:rPr>
        <w:t>很容易遭受敌对行动的不良后果。</w:t>
      </w:r>
      <w:r w:rsidRPr="00BF42B7">
        <w:rPr>
          <w:color w:val="0000FF"/>
          <w:vertAlign w:val="superscript"/>
        </w:rPr>
        <w:footnoteReference w:id="1335"/>
      </w:r>
      <w:r w:rsidRPr="00BF42B7">
        <w:rPr>
          <w:rFonts w:hint="eastAsia"/>
          <w:lang w:val="en-GB"/>
        </w:rPr>
        <w:t xml:space="preserve"> </w:t>
      </w:r>
      <w:r w:rsidRPr="00BF42B7">
        <w:rPr>
          <w:lang w:val="en-GB"/>
        </w:rPr>
        <w:t>在起草日内瓦四公约附加议定书时</w:t>
      </w:r>
      <w:r w:rsidRPr="00BF42B7">
        <w:rPr>
          <w:rFonts w:hint="eastAsia"/>
          <w:lang w:val="en-GB"/>
        </w:rPr>
        <w:t>就</w:t>
      </w:r>
      <w:r w:rsidRPr="00BF42B7">
        <w:rPr>
          <w:lang w:val="en-GB"/>
        </w:rPr>
        <w:t>已</w:t>
      </w:r>
      <w:r w:rsidRPr="00BF42B7">
        <w:rPr>
          <w:rFonts w:hint="eastAsia"/>
          <w:lang w:val="en-GB"/>
        </w:rPr>
        <w:t>建议</w:t>
      </w:r>
      <w:r w:rsidRPr="00BF42B7">
        <w:rPr>
          <w:lang w:val="en-GB"/>
        </w:rPr>
        <w:t>对具有重大生态意义的</w:t>
      </w:r>
      <w:r w:rsidRPr="00BF42B7">
        <w:rPr>
          <w:rFonts w:hint="eastAsia"/>
          <w:lang w:val="en-GB"/>
        </w:rPr>
        <w:t>区域</w:t>
      </w:r>
      <w:r w:rsidRPr="00BF42B7">
        <w:rPr>
          <w:lang w:val="en-GB"/>
        </w:rPr>
        <w:t>给予特别保护，</w:t>
      </w:r>
      <w:bookmarkStart w:id="325" w:name="_Ref461978123"/>
      <w:r w:rsidRPr="00BF42B7">
        <w:rPr>
          <w:color w:val="0000FF"/>
          <w:vertAlign w:val="superscript"/>
        </w:rPr>
        <w:footnoteReference w:id="1336"/>
      </w:r>
      <w:bookmarkEnd w:id="325"/>
      <w:r w:rsidRPr="00BF42B7">
        <w:rPr>
          <w:rFonts w:ascii="Calibri" w:hAnsi="Calibri" w:cs="Calibri" w:hint="eastAsia"/>
          <w:sz w:val="18"/>
          <w:vertAlign w:val="superscript"/>
        </w:rPr>
        <w:t xml:space="preserve"> </w:t>
      </w:r>
      <w:r w:rsidRPr="00BF42B7">
        <w:rPr>
          <w:rFonts w:hint="eastAsia"/>
          <w:lang w:val="en-GB"/>
        </w:rPr>
        <w:t>虽然这项提案没有获得通过，但应当承认，这是在国际环境法初创时期提出的。与此相关的还有其他类型的一些地区，下文将再作讨论。</w:t>
      </w:r>
    </w:p>
    <w:p w:rsidR="006735D4" w:rsidRPr="00BF42B7" w:rsidRDefault="006735D4" w:rsidP="006735D4">
      <w:pPr>
        <w:tabs>
          <w:tab w:val="clear" w:pos="431"/>
          <w:tab w:val="left" w:pos="1134"/>
          <w:tab w:val="left" w:pos="1565"/>
          <w:tab w:val="left" w:pos="1996"/>
          <w:tab w:val="left" w:pos="2427"/>
        </w:tabs>
        <w:spacing w:after="120"/>
        <w:ind w:left="1134" w:right="1134"/>
        <w:rPr>
          <w:lang w:val="en-GB"/>
        </w:rPr>
      </w:pPr>
      <w:r w:rsidRPr="00BF42B7">
        <w:rPr>
          <w:rFonts w:hint="eastAsia"/>
          <w:lang w:val="en-GB"/>
        </w:rPr>
        <w:t xml:space="preserve">(4)  </w:t>
      </w:r>
      <w:r w:rsidRPr="00BF42B7">
        <w:rPr>
          <w:rFonts w:hint="eastAsia"/>
          <w:lang w:val="en-GB"/>
        </w:rPr>
        <w:t>本原则草案所涉的区域可以以协议或其他方式指定。“以协议或其他方式”的说法是为了具有一定的灵活性。可能预见到的情况有：口头协议或书面协定，相互而一致的声明，以及通过单方宣告或通过国际组织指定设立的保护区。应当指出，采用“国家”一词并不排除非国家行为者订立协议的可能性。宣布的区域必须“具有重大环境和文化意义”。这一措辞故意不设定这项规定的确切含义，以便留有解释的余地。尽管任何时候都可以指定保护区，但最好在武装冲突之前或至少在武装冲突</w:t>
      </w:r>
      <w:r w:rsidRPr="00BF42B7">
        <w:rPr>
          <w:rFonts w:hint="eastAsia"/>
        </w:rPr>
        <w:t>一开</w:t>
      </w:r>
      <w:r w:rsidRPr="00BF42B7">
        <w:rPr>
          <w:rFonts w:hint="eastAsia"/>
          <w:lang w:val="en-GB"/>
        </w:rPr>
        <w:t>始就指定保护区。</w:t>
      </w:r>
    </w:p>
    <w:p w:rsidR="006735D4" w:rsidRPr="00BF42B7" w:rsidRDefault="006735D4" w:rsidP="006735D4">
      <w:pPr>
        <w:tabs>
          <w:tab w:val="clear" w:pos="431"/>
          <w:tab w:val="left" w:pos="1134"/>
          <w:tab w:val="left" w:pos="1565"/>
          <w:tab w:val="left" w:pos="1996"/>
          <w:tab w:val="left" w:pos="2427"/>
        </w:tabs>
        <w:spacing w:after="140" w:line="340" w:lineRule="exact"/>
        <w:ind w:left="1134" w:right="1134"/>
        <w:rPr>
          <w:rFonts w:ascii="Calibri" w:hAnsi="Calibri" w:cs="Calibri"/>
          <w:sz w:val="20"/>
        </w:rPr>
      </w:pPr>
      <w:r w:rsidRPr="00BF42B7">
        <w:rPr>
          <w:rFonts w:hint="eastAsia"/>
          <w:lang w:val="en-GB"/>
        </w:rPr>
        <w:t xml:space="preserve">(5)  </w:t>
      </w:r>
      <w:r w:rsidRPr="00BF42B7">
        <w:rPr>
          <w:rFonts w:hint="eastAsia"/>
          <w:lang w:val="en-GB"/>
        </w:rPr>
        <w:t>毫无疑问，根据国际法，不经第三方同意，任何协议都不能对其有约束力。</w:t>
      </w:r>
      <w:r w:rsidRPr="00BF42B7">
        <w:rPr>
          <w:rFonts w:cs="Calibri"/>
          <w:color w:val="0000FF"/>
          <w:spacing w:val="4"/>
          <w:vertAlign w:val="superscript"/>
        </w:rPr>
        <w:footnoteReference w:id="1337"/>
      </w:r>
      <w:r w:rsidRPr="00BF42B7">
        <w:rPr>
          <w:rFonts w:ascii="Calibri" w:eastAsia="Times,Times New Roman" w:hAnsi="Calibri" w:cs="Calibri"/>
          <w:sz w:val="20"/>
        </w:rPr>
        <w:t xml:space="preserve"> </w:t>
      </w:r>
      <w:r w:rsidRPr="00BF42B7">
        <w:rPr>
          <w:rFonts w:hint="eastAsia"/>
          <w:lang w:val="en-GB"/>
        </w:rPr>
        <w:t>因此，两个国家不能在第三国指定保护区。不论是以协议还是以其他方式</w:t>
      </w:r>
      <w:r w:rsidRPr="00BF42B7">
        <w:rPr>
          <w:rFonts w:hint="eastAsia"/>
          <w:lang w:val="sv-SE"/>
        </w:rPr>
        <w:t>，</w:t>
      </w:r>
      <w:r w:rsidRPr="00BF42B7">
        <w:rPr>
          <w:lang w:val="en-GB"/>
        </w:rPr>
        <w:t>国家</w:t>
      </w:r>
      <w:r w:rsidRPr="00BF42B7">
        <w:rPr>
          <w:rFonts w:hint="eastAsia"/>
          <w:lang w:val="en-GB"/>
        </w:rPr>
        <w:t>均</w:t>
      </w:r>
      <w:r w:rsidRPr="00BF42B7">
        <w:rPr>
          <w:lang w:val="en-GB"/>
        </w:rPr>
        <w:t>不能以对第三国具约束力的方式管制其主权或管辖授权以外的区域</w:t>
      </w:r>
      <w:r w:rsidRPr="00BF42B7">
        <w:rPr>
          <w:rFonts w:hint="eastAsia"/>
          <w:lang w:val="en-GB"/>
        </w:rPr>
        <w:t>，这一点在特别报告员的第二次报告中也有说明。</w:t>
      </w:r>
      <w:r w:rsidRPr="00BF42B7">
        <w:rPr>
          <w:rFonts w:eastAsia="Times,Times New Roman" w:cs="Calibri"/>
          <w:color w:val="0000FF"/>
          <w:vertAlign w:val="superscript"/>
        </w:rPr>
        <w:footnoteReference w:id="1338"/>
      </w:r>
    </w:p>
    <w:p w:rsidR="006735D4" w:rsidRPr="00BF42B7" w:rsidRDefault="006735D4" w:rsidP="006735D4">
      <w:pPr>
        <w:tabs>
          <w:tab w:val="clear" w:pos="431"/>
          <w:tab w:val="left" w:pos="1134"/>
          <w:tab w:val="left" w:pos="1565"/>
          <w:tab w:val="left" w:pos="1996"/>
          <w:tab w:val="left" w:pos="2427"/>
        </w:tabs>
        <w:spacing w:after="140" w:line="340" w:lineRule="exact"/>
        <w:ind w:left="1134" w:right="1134"/>
        <w:rPr>
          <w:rFonts w:ascii="Calibri" w:hAnsi="Calibri" w:cs="Calibri"/>
          <w:sz w:val="20"/>
        </w:rPr>
      </w:pPr>
      <w:r w:rsidRPr="00BF42B7">
        <w:rPr>
          <w:rFonts w:hint="eastAsia"/>
          <w:lang w:val="en-GB"/>
        </w:rPr>
        <w:t xml:space="preserve">(6)  </w:t>
      </w:r>
      <w:r w:rsidRPr="00BF42B7">
        <w:rPr>
          <w:rFonts w:hint="eastAsia"/>
          <w:lang w:val="en-GB"/>
        </w:rPr>
        <w:t>最初大家对是否应列入“文化”一词表示了不同观点。最后，委员会决定列入该词。有人指出，有时难以对具有重大环境意义和具有重大文化意义的区域作严格区分。《保护世界文化和自然遗产公约》</w:t>
      </w:r>
      <w:r w:rsidRPr="00BF42B7">
        <w:rPr>
          <w:rFonts w:hint="eastAsia"/>
          <w:lang w:val="en-GB"/>
        </w:rPr>
        <w:t>(</w:t>
      </w:r>
      <w:r w:rsidRPr="00BF42B7">
        <w:rPr>
          <w:rFonts w:hint="eastAsia"/>
          <w:lang w:val="en-GB"/>
        </w:rPr>
        <w:t>下称《世界遗产公约》</w:t>
      </w:r>
      <w:r w:rsidRPr="00BF42B7">
        <w:rPr>
          <w:rFonts w:hint="eastAsia"/>
          <w:lang w:val="en-GB"/>
        </w:rPr>
        <w:t>)</w:t>
      </w:r>
      <w:r w:rsidRPr="00BF42B7">
        <w:rPr>
          <w:rFonts w:cs="Calibri"/>
          <w:color w:val="0000FF"/>
          <w:vertAlign w:val="superscript"/>
        </w:rPr>
        <w:footnoteReference w:id="1339"/>
      </w:r>
      <w:r w:rsidRPr="00BF42B7">
        <w:rPr>
          <w:rFonts w:hint="eastAsia"/>
        </w:rPr>
        <w:t xml:space="preserve"> </w:t>
      </w:r>
      <w:r w:rsidRPr="00BF42B7">
        <w:rPr>
          <w:rFonts w:hint="eastAsia"/>
        </w:rPr>
        <w:t>中也承认了这一点。该公约下的遗址是按</w:t>
      </w:r>
      <w:r w:rsidRPr="00BF42B7">
        <w:rPr>
          <w:rFonts w:hint="eastAsia"/>
        </w:rPr>
        <w:t>10</w:t>
      </w:r>
      <w:r w:rsidRPr="00BF42B7">
        <w:rPr>
          <w:rFonts w:hint="eastAsia"/>
        </w:rPr>
        <w:t>项标准选择的，其中既包括文化标准，也包括自然标准</w:t>
      </w:r>
      <w:r w:rsidRPr="00BF42B7">
        <w:rPr>
          <w:rFonts w:hint="eastAsia"/>
        </w:rPr>
        <w:t>(</w:t>
      </w:r>
      <w:r w:rsidRPr="00BF42B7">
        <w:rPr>
          <w:rFonts w:hint="eastAsia"/>
        </w:rPr>
        <w:t>但对其不作区分</w:t>
      </w:r>
      <w:r w:rsidRPr="00BF42B7">
        <w:rPr>
          <w:rFonts w:hint="eastAsia"/>
        </w:rPr>
        <w:t>)</w:t>
      </w:r>
      <w:r w:rsidRPr="00BF42B7">
        <w:rPr>
          <w:rFonts w:hint="eastAsia"/>
        </w:rPr>
        <w:t>，这便说明了这一点。</w:t>
      </w:r>
      <w:r w:rsidRPr="00BF42B7" w:rsidDel="00877E30">
        <w:rPr>
          <w:rFonts w:cs="Calibri"/>
          <w:color w:val="0000FF"/>
          <w:vertAlign w:val="superscript"/>
        </w:rPr>
        <w:footnoteReference w:id="1340"/>
      </w:r>
    </w:p>
    <w:p w:rsidR="006735D4" w:rsidRPr="00BF42B7" w:rsidRDefault="006735D4" w:rsidP="006735D4">
      <w:pPr>
        <w:tabs>
          <w:tab w:val="clear" w:pos="431"/>
          <w:tab w:val="left" w:pos="1134"/>
          <w:tab w:val="left" w:pos="1565"/>
          <w:tab w:val="left" w:pos="1996"/>
          <w:tab w:val="left" w:pos="2427"/>
        </w:tabs>
        <w:spacing w:after="140" w:line="340" w:lineRule="exact"/>
        <w:ind w:left="1134" w:right="1134"/>
        <w:rPr>
          <w:lang w:val="en-GB"/>
        </w:rPr>
      </w:pPr>
      <w:r w:rsidRPr="00BF42B7">
        <w:rPr>
          <w:rFonts w:hint="eastAsia"/>
          <w:lang w:val="en-GB"/>
        </w:rPr>
        <w:t xml:space="preserve">(7)  </w:t>
      </w:r>
      <w:r w:rsidRPr="00BF42B7">
        <w:rPr>
          <w:rFonts w:hint="eastAsia"/>
          <w:lang w:val="en-GB"/>
        </w:rPr>
        <w:t>应当指出，根据</w:t>
      </w:r>
      <w:r w:rsidRPr="00BF42B7">
        <w:rPr>
          <w:rFonts w:hint="eastAsia"/>
          <w:lang w:val="en-GB"/>
        </w:rPr>
        <w:t>1954</w:t>
      </w:r>
      <w:r w:rsidRPr="00BF42B7">
        <w:rPr>
          <w:rFonts w:hint="eastAsia"/>
          <w:lang w:val="en-GB"/>
        </w:rPr>
        <w:t>年《关于发生武装冲突时保护文化财产的公约》</w:t>
      </w:r>
      <w:r w:rsidRPr="00BF42B7">
        <w:rPr>
          <w:rFonts w:cs="Calibri"/>
          <w:color w:val="0000FF"/>
          <w:vertAlign w:val="superscript"/>
        </w:rPr>
        <w:footnoteReference w:id="1341"/>
      </w:r>
      <w:r w:rsidRPr="00BF42B7">
        <w:rPr>
          <w:rFonts w:hint="eastAsia"/>
          <w:spacing w:val="4"/>
          <w:lang w:val="en-GB"/>
        </w:rPr>
        <w:t xml:space="preserve"> (</w:t>
      </w:r>
      <w:r w:rsidRPr="00BF42B7">
        <w:rPr>
          <w:rFonts w:hint="eastAsia"/>
          <w:spacing w:val="4"/>
          <w:lang w:val="en-GB"/>
        </w:rPr>
        <w:t>下</w:t>
      </w:r>
      <w:r w:rsidRPr="00BF42B7">
        <w:rPr>
          <w:rFonts w:hint="eastAsia"/>
          <w:spacing w:val="-4"/>
          <w:lang w:val="en-GB"/>
        </w:rPr>
        <w:t>称</w:t>
      </w:r>
      <w:r w:rsidRPr="00BF42B7">
        <w:rPr>
          <w:rFonts w:hint="eastAsia"/>
          <w:lang w:val="en-GB"/>
        </w:rPr>
        <w:t>1954</w:t>
      </w:r>
      <w:r w:rsidRPr="00BF42B7">
        <w:rPr>
          <w:rFonts w:hint="eastAsia"/>
          <w:lang w:val="en-GB"/>
        </w:rPr>
        <w:t>年</w:t>
      </w:r>
      <w:r w:rsidRPr="00BF42B7">
        <w:rPr>
          <w:rFonts w:hint="eastAsia"/>
          <w:spacing w:val="-4"/>
          <w:lang w:val="en-GB"/>
        </w:rPr>
        <w:t>《</w:t>
      </w:r>
      <w:r w:rsidRPr="00BF42B7">
        <w:rPr>
          <w:rFonts w:hint="eastAsia"/>
          <w:lang w:val="en-GB"/>
        </w:rPr>
        <w:t>海牙公约》</w:t>
      </w:r>
      <w:r w:rsidRPr="00BF42B7">
        <w:rPr>
          <w:rFonts w:hint="eastAsia"/>
          <w:lang w:val="en-GB"/>
        </w:rPr>
        <w:t>)1999</w:t>
      </w:r>
      <w:r w:rsidRPr="00BF42B7">
        <w:rPr>
          <w:rFonts w:hint="eastAsia"/>
          <w:lang w:val="en-GB"/>
        </w:rPr>
        <w:t>年《议定书》第</w:t>
      </w:r>
      <w:r w:rsidRPr="00BF42B7">
        <w:rPr>
          <w:rFonts w:hint="eastAsia"/>
          <w:lang w:val="en-GB"/>
        </w:rPr>
        <w:t>11</w:t>
      </w:r>
      <w:r w:rsidRPr="00BF42B7">
        <w:rPr>
          <w:rFonts w:hint="eastAsia"/>
          <w:lang w:val="en-GB"/>
        </w:rPr>
        <w:t>条第</w:t>
      </w:r>
      <w:r w:rsidRPr="00BF42B7">
        <w:rPr>
          <w:rFonts w:hint="eastAsia"/>
          <w:lang w:val="en-GB"/>
        </w:rPr>
        <w:t>1</w:t>
      </w:r>
      <w:r w:rsidRPr="00BF42B7">
        <w:rPr>
          <w:rFonts w:hint="eastAsia"/>
          <w:lang w:val="en-GB"/>
        </w:rPr>
        <w:t>款的规定，在武装冲突之前，《公约》及其《议定书》的缔约国有义务建立</w:t>
      </w:r>
      <w:r w:rsidRPr="00BF42B7">
        <w:rPr>
          <w:lang w:val="en-GB"/>
        </w:rPr>
        <w:t>一份它</w:t>
      </w:r>
      <w:r w:rsidRPr="00BF42B7">
        <w:rPr>
          <w:rFonts w:hint="eastAsia"/>
          <w:lang w:val="en-GB"/>
        </w:rPr>
        <w:t>们</w:t>
      </w:r>
      <w:r w:rsidRPr="00BF42B7">
        <w:rPr>
          <w:lang w:val="en-GB"/>
        </w:rPr>
        <w:t>希望</w:t>
      </w:r>
      <w:r w:rsidRPr="00BF42B7">
        <w:rPr>
          <w:rFonts w:hint="eastAsia"/>
          <w:lang w:val="en-GB"/>
        </w:rPr>
        <w:t>在武装冲突时享有</w:t>
      </w:r>
      <w:r w:rsidRPr="00BF42B7">
        <w:rPr>
          <w:lang w:val="en-GB"/>
        </w:rPr>
        <w:t>保护资格的文化财产目录。</w:t>
      </w:r>
      <w:r w:rsidRPr="00BF42B7">
        <w:rPr>
          <w:rFonts w:cs="Calibri"/>
          <w:color w:val="0000FF"/>
          <w:vertAlign w:val="superscript"/>
        </w:rPr>
        <w:footnoteReference w:id="1342"/>
      </w:r>
      <w:r w:rsidRPr="00BF42B7">
        <w:rPr>
          <w:rFonts w:hint="eastAsia"/>
          <w:lang w:val="en-GB"/>
        </w:rPr>
        <w:t xml:space="preserve"> </w:t>
      </w:r>
      <w:r w:rsidRPr="00BF42B7">
        <w:rPr>
          <w:rFonts w:hint="eastAsia"/>
          <w:lang w:val="en-GB"/>
        </w:rPr>
        <w:t>根据《公约》第三条，在和平时期，缔约国必须采取其认为适当的其他措施，以保护其</w:t>
      </w:r>
      <w:r w:rsidRPr="00BF42B7">
        <w:rPr>
          <w:lang w:val="en-GB"/>
        </w:rPr>
        <w:t>文化财产免受武装冲突可预见的</w:t>
      </w:r>
      <w:r w:rsidRPr="00BF42B7">
        <w:rPr>
          <w:rFonts w:hint="eastAsia"/>
          <w:lang w:val="en-GB"/>
        </w:rPr>
        <w:t>不利</w:t>
      </w:r>
      <w:r w:rsidRPr="00BF42B7">
        <w:rPr>
          <w:lang w:val="en-GB"/>
        </w:rPr>
        <w:t>影响。</w:t>
      </w:r>
    </w:p>
    <w:p w:rsidR="006735D4" w:rsidRPr="00BF42B7" w:rsidRDefault="006735D4" w:rsidP="006735D4">
      <w:pPr>
        <w:tabs>
          <w:tab w:val="clear" w:pos="431"/>
          <w:tab w:val="left" w:pos="1134"/>
          <w:tab w:val="left" w:pos="1565"/>
          <w:tab w:val="left" w:pos="1996"/>
          <w:tab w:val="left" w:pos="2427"/>
        </w:tabs>
        <w:spacing w:after="140" w:line="340" w:lineRule="exact"/>
        <w:ind w:left="1134" w:right="1134"/>
        <w:rPr>
          <w:lang w:val="en-GB"/>
        </w:rPr>
      </w:pPr>
      <w:r w:rsidRPr="00BF42B7">
        <w:rPr>
          <w:rFonts w:hint="eastAsia"/>
          <w:lang w:val="en-GB"/>
        </w:rPr>
        <w:t xml:space="preserve">(8)  </w:t>
      </w:r>
      <w:r w:rsidRPr="00BF42B7">
        <w:rPr>
          <w:rFonts w:hint="eastAsia"/>
          <w:lang w:val="en-GB"/>
        </w:rPr>
        <w:t>本原则草案的目的不是要影响</w:t>
      </w:r>
      <w:r w:rsidRPr="00BF42B7">
        <w:rPr>
          <w:rFonts w:hint="eastAsia"/>
          <w:lang w:val="en-GB"/>
        </w:rPr>
        <w:t>1954</w:t>
      </w:r>
      <w:r w:rsidRPr="00BF42B7">
        <w:rPr>
          <w:rFonts w:hint="eastAsia"/>
          <w:lang w:val="en-GB"/>
        </w:rPr>
        <w:t>年《海牙公约》所规定的制度，因为其范围和宗旨均不相同。委员会着重指出，</w:t>
      </w:r>
      <w:r w:rsidRPr="00BF42B7">
        <w:rPr>
          <w:rFonts w:hint="eastAsia"/>
          <w:lang w:val="en-GB"/>
        </w:rPr>
        <w:t>1954</w:t>
      </w:r>
      <w:r w:rsidRPr="00BF42B7">
        <w:rPr>
          <w:rFonts w:hint="eastAsia"/>
          <w:lang w:val="en-GB"/>
        </w:rPr>
        <w:t>年《海牙公约》包括其附加议定书是为在和平时期和武装冲突期间保护文化财产而设的专门制度。本原则草案无意复制这项制度。其目的是保护具有重大“环境意义”的区域。提到“文化”一词是为了表明与环境存在的密切联系。为此，还是应当指出，原则草案的范围不延伸至文物本身。不过，这一用语包括土著人民的</w:t>
      </w:r>
      <w:r w:rsidRPr="00BF42B7">
        <w:rPr>
          <w:lang w:val="en-GB"/>
        </w:rPr>
        <w:t>祖传土地</w:t>
      </w:r>
      <w:r w:rsidRPr="00BF42B7">
        <w:rPr>
          <w:rFonts w:hint="eastAsia"/>
          <w:lang w:val="en-GB"/>
        </w:rPr>
        <w:t>，因为他们依赖环境维持供养和生计。</w:t>
      </w:r>
    </w:p>
    <w:p w:rsidR="006735D4" w:rsidRPr="00BF42B7" w:rsidRDefault="006735D4" w:rsidP="006735D4">
      <w:pPr>
        <w:pStyle w:val="SingleTxtGC"/>
        <w:rPr>
          <w:lang w:val="en-GB"/>
        </w:rPr>
      </w:pPr>
      <w:r w:rsidRPr="00BF42B7">
        <w:rPr>
          <w:rFonts w:hint="eastAsia"/>
          <w:lang w:val="en-GB"/>
        </w:rPr>
        <w:t xml:space="preserve">(9)  </w:t>
      </w:r>
      <w:r w:rsidRPr="00BF42B7">
        <w:rPr>
          <w:rFonts w:hint="eastAsia"/>
          <w:lang w:val="en-GB"/>
        </w:rPr>
        <w:t>指定本原则草案设想的区域的工作可能与土著人民的权利相关，尤其是如果保护区也是需要特别保护的一块圣地。在某些情况下，保护区也可以用来保护住在里面的土著居民的特定文化、知识和生活方式。根据《生物多样性公约》，保存土著文化和知识的重要性现已在国际法中得到正式承认。</w:t>
      </w:r>
      <w:r w:rsidRPr="00BF42B7">
        <w:rPr>
          <w:color w:val="0000FF"/>
          <w:vertAlign w:val="superscript"/>
        </w:rPr>
        <w:footnoteReference w:id="1343"/>
      </w:r>
      <w:r w:rsidRPr="00BF42B7">
        <w:rPr>
          <w:lang w:val="en-GB"/>
        </w:rPr>
        <w:t xml:space="preserve"> </w:t>
      </w:r>
      <w:r w:rsidRPr="00BF42B7">
        <w:rPr>
          <w:lang w:val="en-GB"/>
        </w:rPr>
        <w:t>第</w:t>
      </w:r>
      <w:r w:rsidRPr="00BF42B7">
        <w:rPr>
          <w:lang w:val="en-GB"/>
        </w:rPr>
        <w:t>8</w:t>
      </w:r>
      <w:r w:rsidRPr="00BF42B7">
        <w:rPr>
          <w:lang w:val="en-GB"/>
        </w:rPr>
        <w:t>条</w:t>
      </w:r>
      <w:r w:rsidRPr="00BF42B7">
        <w:rPr>
          <w:lang w:val="en-GB"/>
        </w:rPr>
        <w:t>(j)</w:t>
      </w:r>
      <w:r w:rsidRPr="00BF42B7">
        <w:rPr>
          <w:lang w:val="en-GB"/>
        </w:rPr>
        <w:t>款规定，每一缔约国应尽可能并酌情：</w:t>
      </w:r>
      <w:r w:rsidRPr="00BF42B7">
        <w:rPr>
          <w:lang w:val="en-GB"/>
        </w:rPr>
        <w:t>“</w:t>
      </w:r>
      <w:r w:rsidRPr="00BF42B7">
        <w:rPr>
          <w:lang w:val="en-GB"/>
        </w:rPr>
        <w:t>依照国家立法，尊重、保存和维持土著和地方社区体现传统生活方式而与生物多样性的保护和持久使用相关的知识、创新和做法并促进其广泛应用，由此等知识、创新和做法的拥有者认可和参与其事并鼓励公平地分享因利用此等知识、创新和做法而获得的惠益</w:t>
      </w:r>
      <w:r w:rsidRPr="00BF42B7">
        <w:rPr>
          <w:lang w:val="en-GB"/>
        </w:rPr>
        <w:t>”</w:t>
      </w:r>
      <w:r w:rsidRPr="00BF42B7">
        <w:rPr>
          <w:lang w:val="en-GB"/>
        </w:rPr>
        <w:t>。此外，《联合国土著人民权利宣言》</w:t>
      </w:r>
      <w:r w:rsidRPr="00BF42B7">
        <w:rPr>
          <w:color w:val="0000FF"/>
          <w:vertAlign w:val="superscript"/>
        </w:rPr>
        <w:footnoteReference w:id="1344"/>
      </w:r>
      <w:r w:rsidRPr="00BF42B7">
        <w:rPr>
          <w:lang w:val="en-GB"/>
        </w:rPr>
        <w:t xml:space="preserve"> </w:t>
      </w:r>
      <w:r w:rsidRPr="00BF42B7">
        <w:rPr>
          <w:lang w:val="en-GB"/>
        </w:rPr>
        <w:t>虽不是一项有约束力的文书，但其中提到了管理、进出和保护宗教和文化场所</w:t>
      </w:r>
      <w:r w:rsidRPr="00BF42B7">
        <w:rPr>
          <w:rFonts w:hint="eastAsia"/>
          <w:lang w:val="en-GB"/>
        </w:rPr>
        <w:t>的权利。</w:t>
      </w:r>
    </w:p>
    <w:p w:rsidR="006735D4" w:rsidRPr="00BF42B7" w:rsidDel="00877E30" w:rsidRDefault="006735D4" w:rsidP="006735D4">
      <w:pPr>
        <w:tabs>
          <w:tab w:val="clear" w:pos="431"/>
          <w:tab w:val="left" w:pos="1134"/>
          <w:tab w:val="left" w:pos="1565"/>
          <w:tab w:val="left" w:pos="2127"/>
          <w:tab w:val="left" w:pos="2427"/>
        </w:tabs>
        <w:spacing w:after="120"/>
        <w:ind w:left="1134" w:right="1134"/>
      </w:pPr>
      <w:r w:rsidRPr="00BF42B7">
        <w:rPr>
          <w:rFonts w:hint="eastAsia"/>
          <w:lang w:val="en-GB"/>
        </w:rPr>
        <w:t xml:space="preserve">(10)  </w:t>
      </w:r>
      <w:r w:rsidRPr="00BF42B7">
        <w:rPr>
          <w:rFonts w:hint="eastAsia"/>
          <w:lang w:val="en-GB"/>
        </w:rPr>
        <w:t>保护自然环境本身与保护具有文化和自然意义的场所两者有时相互呼应，有时又相互重叠。原则草案</w:t>
      </w:r>
      <w:r w:rsidRPr="00BF42B7">
        <w:rPr>
          <w:rFonts w:hint="eastAsia"/>
          <w:lang w:val="en-GB"/>
        </w:rPr>
        <w:t>13[</w:t>
      </w:r>
      <w:r w:rsidRPr="00BF42B7">
        <w:rPr>
          <w:sz w:val="20"/>
        </w:rPr>
        <w:t>2</w:t>
      </w:r>
      <w:r w:rsidRPr="00BF42B7" w:rsidDel="00877E30">
        <w:rPr>
          <w:rFonts w:eastAsia="Times,Times New Roman"/>
          <w:sz w:val="20"/>
        </w:rPr>
        <w:t>-</w:t>
      </w:r>
      <w:r w:rsidRPr="00BF42B7">
        <w:rPr>
          <w:rFonts w:eastAsia="Times,Times New Roman"/>
          <w:sz w:val="20"/>
        </w:rPr>
        <w:t>5</w:t>
      </w:r>
      <w:r w:rsidRPr="00BF42B7">
        <w:rPr>
          <w:rFonts w:hint="eastAsia"/>
          <w:lang w:val="en-GB"/>
        </w:rPr>
        <w:t>]</w:t>
      </w:r>
      <w:r w:rsidRPr="00BF42B7">
        <w:rPr>
          <w:rFonts w:hint="eastAsia"/>
          <w:lang w:val="en-GB"/>
        </w:rPr>
        <w:t>也采用了“文化意义”一语，其根据是在欧洲委员会主持下通过的</w:t>
      </w:r>
      <w:r w:rsidRPr="00BF42B7">
        <w:rPr>
          <w:rFonts w:hint="eastAsia"/>
          <w:lang w:val="en-GB"/>
        </w:rPr>
        <w:t>1993</w:t>
      </w:r>
      <w:r w:rsidRPr="00BF42B7">
        <w:rPr>
          <w:rFonts w:hint="eastAsia"/>
          <w:lang w:val="en-GB"/>
        </w:rPr>
        <w:t>年《</w:t>
      </w:r>
      <w:r w:rsidRPr="00BF42B7">
        <w:rPr>
          <w:lang w:val="en-GB"/>
        </w:rPr>
        <w:t>关于危害环境的活动造成损害的民事责任公约</w:t>
      </w:r>
      <w:r w:rsidRPr="00BF42B7">
        <w:rPr>
          <w:rFonts w:hint="eastAsia"/>
          <w:lang w:val="en-GB"/>
        </w:rPr>
        <w:t>》</w:t>
      </w:r>
      <w:r w:rsidRPr="00BF42B7" w:rsidDel="00877E30">
        <w:rPr>
          <w:color w:val="0000FF"/>
          <w:vertAlign w:val="superscript"/>
        </w:rPr>
        <w:footnoteReference w:id="1345"/>
      </w:r>
      <w:r w:rsidRPr="00BF42B7">
        <w:rPr>
          <w:lang w:val="en-GB"/>
        </w:rPr>
        <w:t xml:space="preserve"> </w:t>
      </w:r>
      <w:r w:rsidRPr="00BF42B7">
        <w:rPr>
          <w:rFonts w:hint="eastAsia"/>
          <w:lang w:val="en-GB"/>
        </w:rPr>
        <w:t>等环境保护文书中对自然环境、文物和地貌景观之间</w:t>
      </w:r>
      <w:r w:rsidRPr="00BF42B7">
        <w:rPr>
          <w:rFonts w:ascii="Calibri" w:hAnsi="Calibri" w:cs="Calibri" w:hint="eastAsia"/>
        </w:rPr>
        <w:t>密切联系的认识。</w:t>
      </w:r>
      <w:r w:rsidRPr="00BF42B7">
        <w:t>第</w:t>
      </w:r>
      <w:r w:rsidRPr="00BF42B7">
        <w:t>2</w:t>
      </w:r>
      <w:r w:rsidRPr="00BF42B7">
        <w:t>条第</w:t>
      </w:r>
      <w:r w:rsidRPr="00BF42B7">
        <w:t>10</w:t>
      </w:r>
      <w:r w:rsidRPr="00BF42B7">
        <w:t>款</w:t>
      </w:r>
      <w:r w:rsidRPr="00BF42B7">
        <w:rPr>
          <w:rFonts w:ascii="Calibri" w:hAnsi="Calibri" w:cs="Calibri" w:hint="eastAsia"/>
        </w:rPr>
        <w:t>为《公约》之目的规定</w:t>
      </w:r>
      <w:r w:rsidRPr="00BF42B7">
        <w:rPr>
          <w:rFonts w:hint="eastAsia"/>
          <w:lang w:val="en-GB"/>
        </w:rPr>
        <w:t>“环境”一词的定义包括“</w:t>
      </w:r>
      <w:r w:rsidRPr="00BF42B7">
        <w:rPr>
          <w:lang w:val="en-GB"/>
        </w:rPr>
        <w:t>生物性和非生物性自然资源，例如空气、水、土壤、动物和植物等以及这些因素之间的相互作用；作为文化遗产的财产；以及景观的特征部分</w:t>
      </w:r>
      <w:r w:rsidRPr="00BF42B7">
        <w:rPr>
          <w:rFonts w:hint="eastAsia"/>
          <w:lang w:val="en-GB"/>
        </w:rPr>
        <w:t>”。此外，《跨界水道和国际湖泊保护和利用公约》第</w:t>
      </w:r>
      <w:r w:rsidRPr="00BF42B7">
        <w:rPr>
          <w:rFonts w:hint="eastAsia"/>
          <w:lang w:val="en-GB"/>
        </w:rPr>
        <w:t>1</w:t>
      </w:r>
      <w:r w:rsidRPr="00BF42B7">
        <w:rPr>
          <w:rFonts w:hint="eastAsia"/>
          <w:lang w:val="en-GB"/>
        </w:rPr>
        <w:t>条第</w:t>
      </w:r>
      <w:r w:rsidRPr="00BF42B7">
        <w:rPr>
          <w:rFonts w:hint="eastAsia"/>
          <w:lang w:val="en-GB"/>
        </w:rPr>
        <w:t>2</w:t>
      </w:r>
      <w:r w:rsidRPr="00BF42B7">
        <w:rPr>
          <w:rFonts w:hint="eastAsia"/>
          <w:lang w:val="en-GB"/>
        </w:rPr>
        <w:t>款规定，“对环境的影响包括对人类健康和安全、植物、动物、土壤、空气、水、气候、地貌和历史纪念物或其他物理结构影响或这些因素之间的互动；它们也包括上述因素的变化对于文化遗产或社会经济状况而产生的</w:t>
      </w:r>
      <w:r w:rsidRPr="00BF42B7">
        <w:rPr>
          <w:lang w:val="en-GB"/>
        </w:rPr>
        <w:t>影响。</w:t>
      </w:r>
      <w:r w:rsidRPr="00BF42B7">
        <w:rPr>
          <w:rFonts w:hint="eastAsia"/>
          <w:lang w:val="en-GB"/>
        </w:rPr>
        <w:t>”</w:t>
      </w:r>
      <w:r w:rsidRPr="00BF42B7" w:rsidDel="00877E30">
        <w:rPr>
          <w:color w:val="0000FF"/>
          <w:vertAlign w:val="superscript"/>
        </w:rPr>
        <w:footnoteReference w:id="1346"/>
      </w:r>
    </w:p>
    <w:p w:rsidR="006735D4" w:rsidRPr="00BF42B7" w:rsidRDefault="006735D4" w:rsidP="006735D4">
      <w:pPr>
        <w:pStyle w:val="SingleTxtGC"/>
        <w:rPr>
          <w:lang w:val="en-GB"/>
        </w:rPr>
      </w:pPr>
      <w:r w:rsidRPr="00BF42B7">
        <w:rPr>
          <w:lang w:val="en-GB"/>
        </w:rPr>
        <w:t xml:space="preserve">(11)  </w:t>
      </w:r>
      <w:r w:rsidRPr="00BF42B7">
        <w:rPr>
          <w:lang w:val="en-GB"/>
        </w:rPr>
        <w:t>此外，《生物多样性公约》还涉及生物多样性的文化价值问题。《生物多样性公约》序言重申，缔约国：</w:t>
      </w:r>
      <w:r w:rsidRPr="00BF42B7">
        <w:rPr>
          <w:rFonts w:hint="eastAsia"/>
          <w:lang w:val="fr-CH"/>
        </w:rPr>
        <w:t>“</w:t>
      </w:r>
      <w:r w:rsidRPr="00BF42B7">
        <w:rPr>
          <w:lang w:val="en-GB"/>
        </w:rPr>
        <w:t>意识到生物多样性的内在价值，和生物多样性及其组成部分的生态、遗传、社会、经济、科学、教育、文化、娱乐和美学价值。</w:t>
      </w:r>
      <w:r w:rsidRPr="00BF42B7">
        <w:rPr>
          <w:rFonts w:hint="eastAsia"/>
          <w:lang w:val="fr-CH"/>
        </w:rPr>
        <w:t>”</w:t>
      </w:r>
      <w:r w:rsidRPr="00BF42B7" w:rsidDel="00877E30">
        <w:rPr>
          <w:color w:val="0000FF"/>
          <w:vertAlign w:val="superscript"/>
        </w:rPr>
        <w:footnoteReference w:id="1347"/>
      </w:r>
      <w:r w:rsidRPr="00BF42B7">
        <w:rPr>
          <w:sz w:val="20"/>
        </w:rPr>
        <w:t xml:space="preserve"> </w:t>
      </w:r>
      <w:r w:rsidRPr="00BF42B7">
        <w:t>同样，</w:t>
      </w:r>
      <w:r w:rsidRPr="00BF42B7">
        <w:rPr>
          <w:lang w:val="en-GB"/>
        </w:rPr>
        <w:t>《生物多样性公约》附件</w:t>
      </w:r>
      <w:r w:rsidRPr="00BF42B7">
        <w:rPr>
          <w:lang w:val="en-GB"/>
        </w:rPr>
        <w:t>1</w:t>
      </w:r>
      <w:r w:rsidRPr="00BF42B7">
        <w:rPr>
          <w:lang w:val="en-GB"/>
        </w:rPr>
        <w:t>第</w:t>
      </w:r>
      <w:r w:rsidRPr="00BF42B7">
        <w:rPr>
          <w:lang w:val="en-GB"/>
        </w:rPr>
        <w:t>1</w:t>
      </w:r>
      <w:r w:rsidRPr="00BF42B7">
        <w:rPr>
          <w:lang w:val="en-GB"/>
        </w:rPr>
        <w:t>款重点指出必须确保以下生态系统和生境得到保护：</w:t>
      </w:r>
      <w:r w:rsidRPr="00BF42B7">
        <w:rPr>
          <w:lang w:val="en-GB"/>
        </w:rPr>
        <w:t>“</w:t>
      </w:r>
      <w:r w:rsidRPr="00BF42B7">
        <w:rPr>
          <w:lang w:val="en-GB"/>
        </w:rPr>
        <w:t>内有高度多样性，大量地方特有物种或威胁物种或原野；为移栖物种所需；具有社会、经济、文化或科学重要性，或具有代表性、独特性或涉及关键进化过程或其他生物进程</w:t>
      </w:r>
      <w:r w:rsidRPr="00BF42B7">
        <w:rPr>
          <w:lang w:val="en-GB"/>
        </w:rPr>
        <w:t>”</w:t>
      </w:r>
      <w:r w:rsidRPr="00BF42B7">
        <w:rPr>
          <w:lang w:val="en-GB"/>
        </w:rPr>
        <w:t>。</w:t>
      </w:r>
    </w:p>
    <w:p w:rsidR="006735D4" w:rsidRPr="00BF42B7" w:rsidRDefault="006735D4" w:rsidP="006735D4">
      <w:pPr>
        <w:pStyle w:val="SingleTxtGC"/>
      </w:pPr>
      <w:r w:rsidRPr="00BF42B7">
        <w:t xml:space="preserve">(12)  </w:t>
      </w:r>
      <w:r w:rsidRPr="00BF42B7">
        <w:t>除了这些有约束力的文书之外，一些不具约束力的文书也采用文化重要性和价值的视角来确定保护区。例如，由国际自然及自然资源保护联盟环境法委员会和国际环境法理事会编写的禁止在国际保护区开展敌对军事活动公约草案对</w:t>
      </w:r>
      <w:r w:rsidRPr="00BF42B7">
        <w:t>“</w:t>
      </w:r>
      <w:r w:rsidRPr="00BF42B7">
        <w:t>保护区</w:t>
      </w:r>
      <w:r w:rsidRPr="00BF42B7">
        <w:t>”</w:t>
      </w:r>
      <w:r w:rsidRPr="00BF42B7">
        <w:t>一语的定义如下：</w:t>
      </w:r>
      <w:r w:rsidRPr="00BF42B7">
        <w:rPr>
          <w:rFonts w:hint="eastAsia"/>
          <w:lang w:val="fr-CH"/>
        </w:rPr>
        <w:t>“</w:t>
      </w:r>
      <w:r w:rsidRPr="00BF42B7">
        <w:t>从生态、历史、艺术、科学、人种学、人类学或自然风光的角度看具有突出国际意义的自然或文化区</w:t>
      </w:r>
      <w:r w:rsidRPr="00BF42B7">
        <w:t>[</w:t>
      </w:r>
      <w:r w:rsidRPr="00BF42B7">
        <w:t>原文如此</w:t>
      </w:r>
      <w:r w:rsidRPr="00BF42B7">
        <w:t>]</w:t>
      </w:r>
      <w:r w:rsidRPr="00BF42B7">
        <w:t>，可包括根据任何国际协定或政府间方案指定的满足这些标准的区域</w:t>
      </w:r>
      <w:r w:rsidRPr="00BF42B7">
        <w:rPr>
          <w:rFonts w:hint="eastAsia"/>
          <w:lang w:val="fr-CH"/>
        </w:rPr>
        <w:t>”</w:t>
      </w:r>
      <w:r w:rsidRPr="00BF42B7">
        <w:t>。</w:t>
      </w:r>
      <w:r w:rsidRPr="00BF42B7">
        <w:rPr>
          <w:color w:val="0000FF"/>
          <w:vertAlign w:val="superscript"/>
        </w:rPr>
        <w:footnoteReference w:id="1348"/>
      </w:r>
    </w:p>
    <w:p w:rsidR="006735D4" w:rsidRPr="00BF42B7" w:rsidRDefault="006735D4" w:rsidP="006735D4">
      <w:pPr>
        <w:pStyle w:val="SingleTxtGC"/>
        <w:rPr>
          <w:color w:val="000000"/>
          <w:sz w:val="20"/>
        </w:rPr>
      </w:pPr>
      <w:r w:rsidRPr="00BF42B7">
        <w:t xml:space="preserve">(13)  </w:t>
      </w:r>
      <w:r w:rsidRPr="00BF42B7">
        <w:t>在此，还可以提到国内立法对保护文化和环境区作出规定的几个例子。例如，日本</w:t>
      </w:r>
      <w:r w:rsidRPr="00BF42B7">
        <w:t>1950</w:t>
      </w:r>
      <w:r w:rsidRPr="00BF42B7">
        <w:t>年</w:t>
      </w:r>
      <w:r w:rsidRPr="00BF42B7">
        <w:t>8</w:t>
      </w:r>
      <w:r w:rsidRPr="00BF42B7">
        <w:t>月</w:t>
      </w:r>
      <w:r w:rsidRPr="00BF42B7">
        <w:t>29</w:t>
      </w:r>
      <w:r w:rsidRPr="00BF42B7">
        <w:t>日《文化财产保护法》规定，将有高度科学价值的动植物列为</w:t>
      </w:r>
      <w:r w:rsidRPr="00BF42B7">
        <w:rPr>
          <w:rFonts w:hint="eastAsia"/>
          <w:lang w:val="fr-CH"/>
        </w:rPr>
        <w:t>“</w:t>
      </w:r>
      <w:r w:rsidRPr="00BF42B7">
        <w:t>受保护的文化财产</w:t>
      </w:r>
      <w:r w:rsidRPr="00BF42B7">
        <w:rPr>
          <w:rFonts w:hint="eastAsia"/>
          <w:lang w:val="fr-CH"/>
        </w:rPr>
        <w:t>”</w:t>
      </w:r>
      <w:r w:rsidRPr="00BF42B7">
        <w:t>。</w:t>
      </w:r>
      <w:r w:rsidRPr="00BF42B7" w:rsidDel="00877E30">
        <w:rPr>
          <w:color w:val="0000FF"/>
          <w:vertAlign w:val="superscript"/>
        </w:rPr>
        <w:footnoteReference w:id="1349"/>
      </w:r>
      <w:r w:rsidRPr="00BF42B7">
        <w:rPr>
          <w:sz w:val="20"/>
        </w:rPr>
        <w:t xml:space="preserve"> </w:t>
      </w:r>
      <w:r w:rsidRPr="00BF42B7">
        <w:t>澳大利亚新南威尔士州</w:t>
      </w:r>
      <w:r w:rsidRPr="00BF42B7">
        <w:t>1974</w:t>
      </w:r>
      <w:r w:rsidRPr="00BF42B7">
        <w:t>年《国家公园和野生生物法》可适用于任何具有自然、科学或文化意义的区域。</w:t>
      </w:r>
      <w:r w:rsidRPr="00BF42B7" w:rsidDel="00877E30">
        <w:rPr>
          <w:color w:val="0000FF"/>
          <w:vertAlign w:val="superscript"/>
        </w:rPr>
        <w:footnoteReference w:id="1350"/>
      </w:r>
      <w:r w:rsidRPr="00BF42B7">
        <w:t xml:space="preserve"> </w:t>
      </w:r>
      <w:r w:rsidRPr="00BF42B7">
        <w:t>最后，意大利</w:t>
      </w:r>
      <w:r w:rsidRPr="00BF42B7">
        <w:t>1991</w:t>
      </w:r>
      <w:r w:rsidRPr="00BF42B7">
        <w:t>年</w:t>
      </w:r>
      <w:r w:rsidRPr="00BF42B7">
        <w:t>12</w:t>
      </w:r>
      <w:r w:rsidRPr="00BF42B7">
        <w:t>月</w:t>
      </w:r>
      <w:r w:rsidRPr="00BF42B7">
        <w:t>6</w:t>
      </w:r>
      <w:r w:rsidRPr="00BF42B7">
        <w:t>日《保护区法》对</w:t>
      </w:r>
      <w:r w:rsidRPr="00BF42B7">
        <w:t>“</w:t>
      </w:r>
      <w:r w:rsidRPr="00BF42B7">
        <w:t>自然公园</w:t>
      </w:r>
      <w:r w:rsidRPr="00BF42B7">
        <w:t>”</w:t>
      </w:r>
      <w:r w:rsidRPr="00BF42B7">
        <w:t>的定义为：由以自然元素、地貌景观和审美价值以及当地居民的文化传统为特征的同质系统组成的具有自然和环境价值的区域。</w:t>
      </w:r>
      <w:r w:rsidRPr="00BF42B7" w:rsidDel="00877E30">
        <w:rPr>
          <w:color w:val="0000FF"/>
          <w:vertAlign w:val="superscript"/>
        </w:rPr>
        <w:footnoteReference w:id="1351"/>
      </w:r>
    </w:p>
    <w:p w:rsidR="006735D4" w:rsidRPr="00BF42B7" w:rsidRDefault="006735D4" w:rsidP="006735D4">
      <w:pPr>
        <w:keepNext/>
        <w:keepLines/>
        <w:tabs>
          <w:tab w:val="clear" w:pos="431"/>
          <w:tab w:val="right" w:pos="851"/>
        </w:tabs>
        <w:spacing w:before="240" w:after="120"/>
        <w:ind w:left="1565" w:right="1134" w:hanging="1134"/>
        <w:jc w:val="left"/>
        <w:outlineLvl w:val="3"/>
        <w:rPr>
          <w:rFonts w:eastAsia="黑体"/>
          <w:sz w:val="22"/>
          <w:lang w:val="en-GB"/>
        </w:rPr>
      </w:pPr>
      <w:r w:rsidRPr="00BF42B7">
        <w:rPr>
          <w:rFonts w:eastAsia="黑体" w:hint="eastAsia"/>
          <w:sz w:val="22"/>
          <w:lang w:val="en-GB"/>
        </w:rPr>
        <w:tab/>
      </w:r>
      <w:r w:rsidRPr="00BF42B7">
        <w:rPr>
          <w:rFonts w:eastAsia="黑体" w:hint="eastAsia"/>
          <w:sz w:val="22"/>
          <w:lang w:val="en-GB"/>
        </w:rPr>
        <w:tab/>
      </w:r>
      <w:r w:rsidRPr="00BF42B7">
        <w:rPr>
          <w:rFonts w:eastAsia="黑体" w:hint="eastAsia"/>
          <w:sz w:val="22"/>
          <w:lang w:val="en-GB"/>
        </w:rPr>
        <w:t>第二部分</w:t>
      </w:r>
      <w:r w:rsidRPr="00BF42B7">
        <w:rPr>
          <w:rFonts w:eastAsia="黑体"/>
          <w:sz w:val="22"/>
          <w:lang w:val="en-GB"/>
        </w:rPr>
        <w:br/>
      </w:r>
      <w:r w:rsidRPr="00BF42B7">
        <w:rPr>
          <w:rFonts w:eastAsia="黑体" w:hint="eastAsia"/>
          <w:sz w:val="22"/>
          <w:lang w:val="en-GB"/>
        </w:rPr>
        <w:t>适用于武装冲突期间的原则</w:t>
      </w:r>
    </w:p>
    <w:p w:rsidR="006735D4" w:rsidRPr="00BF42B7" w:rsidRDefault="006735D4" w:rsidP="006735D4">
      <w:pPr>
        <w:keepNext/>
        <w:keepLines/>
        <w:tabs>
          <w:tab w:val="clear" w:pos="431"/>
          <w:tab w:val="right" w:pos="851"/>
        </w:tabs>
        <w:spacing w:before="240" w:after="120"/>
        <w:ind w:left="1565" w:right="1134" w:hanging="1134"/>
        <w:jc w:val="left"/>
        <w:outlineLvl w:val="3"/>
        <w:rPr>
          <w:rFonts w:ascii="Time New Roman" w:eastAsia="黑体" w:hAnsi="Time New Roman" w:hint="eastAsia"/>
          <w:sz w:val="22"/>
          <w:lang w:val="en-GB"/>
        </w:rPr>
      </w:pPr>
      <w:r w:rsidRPr="00BF42B7">
        <w:rPr>
          <w:rFonts w:eastAsia="黑体"/>
          <w:sz w:val="22"/>
          <w:lang w:val="en-GB"/>
        </w:rPr>
        <w:tab/>
      </w:r>
      <w:r w:rsidRPr="00BF42B7">
        <w:rPr>
          <w:rFonts w:eastAsia="黑体"/>
          <w:sz w:val="22"/>
          <w:lang w:val="en-GB"/>
        </w:rPr>
        <w:tab/>
      </w:r>
      <w:r w:rsidRPr="00BF42B7">
        <w:rPr>
          <w:rFonts w:ascii="Time New Roman" w:eastAsia="黑体" w:hAnsi="Time New Roman" w:hint="eastAsia"/>
          <w:sz w:val="22"/>
          <w:lang w:val="en-GB"/>
        </w:rPr>
        <w:t>原则草案</w:t>
      </w:r>
      <w:r w:rsidRPr="00BF42B7">
        <w:rPr>
          <w:rFonts w:ascii="Time New Roman" w:eastAsia="黑体" w:hAnsi="Time New Roman" w:hint="eastAsia"/>
          <w:sz w:val="22"/>
          <w:lang w:val="en-GB"/>
        </w:rPr>
        <w:t>9[</w:t>
      </w:r>
      <w:r w:rsidRPr="00BF42B7">
        <w:rPr>
          <w:rFonts w:ascii="Time New Roman" w:eastAsia="黑体" w:hAnsi="Time New Roman"/>
          <w:sz w:val="22"/>
          <w:lang w:val="en-GB"/>
        </w:rPr>
        <w:t>2-1</w:t>
      </w:r>
      <w:r w:rsidRPr="00BF42B7">
        <w:rPr>
          <w:rFonts w:ascii="Time New Roman" w:eastAsia="黑体" w:hAnsi="Time New Roman" w:hint="eastAsia"/>
          <w:sz w:val="22"/>
          <w:lang w:val="en-GB"/>
        </w:rPr>
        <w:t>]</w:t>
      </w:r>
      <w:r w:rsidRPr="00BF42B7">
        <w:rPr>
          <w:rFonts w:ascii="Time New Roman" w:eastAsia="黑体" w:hAnsi="Time New Roman" w:hint="eastAsia"/>
          <w:sz w:val="22"/>
          <w:lang w:val="en-GB"/>
        </w:rPr>
        <w:br/>
      </w:r>
      <w:r w:rsidRPr="00BF42B7">
        <w:rPr>
          <w:rFonts w:ascii="Time New Roman" w:eastAsia="黑体" w:hAnsi="Time New Roman" w:hint="eastAsia"/>
          <w:sz w:val="22"/>
          <w:lang w:val="en-GB"/>
        </w:rPr>
        <w:t>武装冲突期间对自然环境的总体保护</w:t>
      </w:r>
    </w:p>
    <w:p w:rsidR="006735D4" w:rsidRPr="00C37E00" w:rsidRDefault="006735D4" w:rsidP="006735D4">
      <w:pPr>
        <w:tabs>
          <w:tab w:val="clear" w:pos="431"/>
          <w:tab w:val="left" w:pos="1134"/>
          <w:tab w:val="left" w:pos="1565"/>
          <w:tab w:val="left" w:pos="1996"/>
          <w:tab w:val="left" w:pos="2427"/>
        </w:tabs>
        <w:spacing w:after="120" w:line="340" w:lineRule="exact"/>
        <w:ind w:left="1565" w:right="1134"/>
        <w:rPr>
          <w:lang w:val="en-GB"/>
        </w:rPr>
      </w:pPr>
      <w:r w:rsidRPr="00BF42B7">
        <w:rPr>
          <w:lang w:val="en-GB"/>
        </w:rPr>
        <w:t>1</w:t>
      </w:r>
      <w:r w:rsidRPr="00BF42B7">
        <w:rPr>
          <w:spacing w:val="-6"/>
          <w:lang w:val="en-GB"/>
        </w:rPr>
        <w:t xml:space="preserve">.  </w:t>
      </w:r>
      <w:r w:rsidRPr="00C37E00">
        <w:rPr>
          <w:rFonts w:hint="eastAsia"/>
          <w:lang w:val="en-GB"/>
        </w:rPr>
        <w:t>应按照适用的国际法，特别是武装冲突法，尊重和保护自然环境。</w:t>
      </w:r>
    </w:p>
    <w:p w:rsidR="006735D4" w:rsidRPr="00BF42B7" w:rsidRDefault="006735D4" w:rsidP="006735D4">
      <w:pPr>
        <w:tabs>
          <w:tab w:val="clear" w:pos="431"/>
          <w:tab w:val="left" w:pos="1134"/>
          <w:tab w:val="left" w:pos="1565"/>
          <w:tab w:val="left" w:pos="1996"/>
          <w:tab w:val="left" w:pos="2427"/>
        </w:tabs>
        <w:spacing w:after="120" w:line="340" w:lineRule="exact"/>
        <w:ind w:left="1565" w:right="1134"/>
        <w:rPr>
          <w:lang w:val="en-GB"/>
        </w:rPr>
      </w:pPr>
      <w:r w:rsidRPr="00BF42B7">
        <w:rPr>
          <w:lang w:val="en-GB"/>
        </w:rPr>
        <w:t xml:space="preserve">2.  </w:t>
      </w:r>
      <w:r w:rsidRPr="00BF42B7">
        <w:rPr>
          <w:rFonts w:hint="eastAsia"/>
          <w:lang w:val="en-GB"/>
        </w:rPr>
        <w:t>应注意保护自然环境免遭广泛、长期和严重的损害。</w:t>
      </w:r>
    </w:p>
    <w:p w:rsidR="006735D4" w:rsidRPr="00BF42B7" w:rsidRDefault="006735D4" w:rsidP="006735D4">
      <w:pPr>
        <w:tabs>
          <w:tab w:val="clear" w:pos="431"/>
          <w:tab w:val="left" w:pos="1134"/>
          <w:tab w:val="left" w:pos="1565"/>
          <w:tab w:val="left" w:pos="1996"/>
          <w:tab w:val="left" w:pos="2427"/>
        </w:tabs>
        <w:spacing w:after="120"/>
        <w:ind w:left="1565" w:right="1134"/>
        <w:rPr>
          <w:lang w:val="en-GB"/>
        </w:rPr>
      </w:pPr>
      <w:r w:rsidRPr="00BF42B7">
        <w:rPr>
          <w:lang w:val="en-GB"/>
        </w:rPr>
        <w:t xml:space="preserve">3.  </w:t>
      </w:r>
      <w:r w:rsidRPr="00BF42B7">
        <w:rPr>
          <w:rFonts w:hint="eastAsia"/>
          <w:lang w:val="en-GB"/>
        </w:rPr>
        <w:t>除非自然环境成为军事目标，否则任何一部分都不得受到攻击。</w:t>
      </w:r>
    </w:p>
    <w:p w:rsidR="006735D4" w:rsidRPr="00BF42B7" w:rsidRDefault="006735D4" w:rsidP="006735D4">
      <w:pPr>
        <w:keepNext/>
        <w:keepLines/>
        <w:tabs>
          <w:tab w:val="clear" w:pos="431"/>
          <w:tab w:val="right" w:pos="851"/>
        </w:tabs>
        <w:spacing w:before="240" w:after="120"/>
        <w:ind w:left="1134" w:right="1134" w:hanging="1134"/>
        <w:jc w:val="left"/>
        <w:outlineLvl w:val="3"/>
        <w:rPr>
          <w:rFonts w:eastAsia="黑体"/>
          <w:sz w:val="22"/>
          <w:lang w:val="en-GB"/>
        </w:rPr>
      </w:pPr>
      <w:r w:rsidRPr="00BF42B7">
        <w:rPr>
          <w:rFonts w:eastAsia="黑体" w:hint="eastAsia"/>
          <w:sz w:val="22"/>
        </w:rPr>
        <w:tab/>
      </w:r>
      <w:r w:rsidRPr="00BF42B7">
        <w:rPr>
          <w:rFonts w:eastAsia="黑体" w:hint="eastAsia"/>
          <w:sz w:val="22"/>
        </w:rPr>
        <w:tab/>
      </w:r>
      <w:r w:rsidRPr="00BF42B7">
        <w:rPr>
          <w:rFonts w:eastAsia="黑体" w:hint="eastAsia"/>
          <w:sz w:val="22"/>
        </w:rPr>
        <w:t>评注</w:t>
      </w:r>
    </w:p>
    <w:p w:rsidR="006735D4" w:rsidRPr="00BF42B7" w:rsidRDefault="006735D4" w:rsidP="006735D4">
      <w:pPr>
        <w:pStyle w:val="SingleTxtGC"/>
        <w:rPr>
          <w:color w:val="000000"/>
        </w:rPr>
      </w:pPr>
      <w:r w:rsidRPr="00BF42B7">
        <w:rPr>
          <w:rFonts w:hint="eastAsia"/>
        </w:rPr>
        <w:t xml:space="preserve">(1)  </w:t>
      </w:r>
      <w:r w:rsidRPr="00BF42B7">
        <w:rPr>
          <w:rFonts w:hint="eastAsia"/>
        </w:rPr>
        <w:t>原则草案</w:t>
      </w:r>
      <w:r w:rsidRPr="00BF42B7">
        <w:t>9[2-1]</w:t>
      </w:r>
      <w:r w:rsidRPr="00BF42B7">
        <w:rPr>
          <w:rFonts w:hint="eastAsia"/>
        </w:rPr>
        <w:t>由三款组成，对武装冲突期间的自然环境保护作了大体上的规定。这一原则体现的是尊重和保护</w:t>
      </w:r>
      <w:r w:rsidRPr="00BF42B7">
        <w:rPr>
          <w:rFonts w:hint="eastAsia"/>
          <w:lang w:val="en-GB"/>
        </w:rPr>
        <w:t>自然环境的义务、加以注意的责任及除非自然环境成为军事目标，否则禁止攻击其中任何一部分的规定。</w:t>
      </w:r>
    </w:p>
    <w:p w:rsidR="006735D4" w:rsidRPr="00BF42B7" w:rsidRDefault="006735D4" w:rsidP="006735D4">
      <w:pPr>
        <w:pStyle w:val="SingleTxtGC"/>
      </w:pPr>
      <w:r w:rsidRPr="00BF42B7">
        <w:rPr>
          <w:rFonts w:hint="eastAsia"/>
        </w:rPr>
        <w:t xml:space="preserve">(2)  </w:t>
      </w:r>
      <w:r w:rsidRPr="00BF42B7">
        <w:rPr>
          <w:rFonts w:hint="eastAsia"/>
        </w:rPr>
        <w:t>第</w:t>
      </w:r>
      <w:r w:rsidRPr="00BF42B7">
        <w:t>1</w:t>
      </w:r>
      <w:r w:rsidRPr="00BF42B7">
        <w:rPr>
          <w:rFonts w:hint="eastAsia"/>
        </w:rPr>
        <w:t>款规定的是，在武装冲突中应按照适用的国际法特别是武装冲突法尊重和保护自然环境这一一般立场。应当指出的是，关于是否应当在原则草案的案文中列入“环境”一词的定义，而如果列入，这个词的定义应是“自然环境”还是简单的“环境”，委员会尚未决定。应指出，包含原则草案</w:t>
      </w:r>
      <w:r w:rsidRPr="00BF42B7">
        <w:t>9[2-1]</w:t>
      </w:r>
      <w:r w:rsidRPr="00BF42B7">
        <w:rPr>
          <w:rFonts w:hint="eastAsia"/>
        </w:rPr>
        <w:t>在内的第二部分处理的是武装冲突期间的局势，而关于武装冲突法的条约中使用的提法往往是“自然环境”，不同于“环境”。</w:t>
      </w:r>
      <w:r w:rsidRPr="00BF42B7">
        <w:rPr>
          <w:color w:val="0000FF"/>
          <w:vertAlign w:val="superscript"/>
          <w:lang w:eastAsia="en-US"/>
        </w:rPr>
        <w:footnoteReference w:id="1352"/>
      </w:r>
    </w:p>
    <w:p w:rsidR="006735D4" w:rsidRPr="00BF42B7" w:rsidRDefault="006735D4" w:rsidP="006735D4">
      <w:pPr>
        <w:pStyle w:val="SingleTxtGC"/>
        <w:rPr>
          <w:color w:val="000000"/>
        </w:rPr>
      </w:pPr>
      <w:r w:rsidRPr="00BF42B7">
        <w:rPr>
          <w:rFonts w:hint="eastAsia"/>
        </w:rPr>
        <w:t xml:space="preserve">(3)  </w:t>
      </w:r>
      <w:r w:rsidRPr="00BF42B7">
        <w:rPr>
          <w:rFonts w:hint="eastAsia"/>
        </w:rPr>
        <w:t>“尊重”和“保护”用在这一原则草案中被认为是恰当的，因为在迄今为止的若干国际环境法和国际人权法文书中使用的都是这两个词。</w:t>
      </w:r>
      <w:r w:rsidRPr="00BF42B7">
        <w:rPr>
          <w:color w:val="0000FF"/>
          <w:vertAlign w:val="superscript"/>
          <w:lang w:eastAsia="en-US"/>
        </w:rPr>
        <w:footnoteReference w:id="1353"/>
      </w:r>
      <w:r w:rsidRPr="00BF42B7">
        <w:rPr>
          <w:color w:val="000000"/>
        </w:rPr>
        <w:t xml:space="preserve"> </w:t>
      </w:r>
      <w:r w:rsidRPr="00BF42B7">
        <w:rPr>
          <w:rFonts w:hint="eastAsia"/>
        </w:rPr>
        <w:t>国际法院在关于“以核武器进行威胁或使用核武器的合法性”的咨询意见中认为，</w:t>
      </w:r>
      <w:r w:rsidRPr="00BF42B7">
        <w:rPr>
          <w:rFonts w:hint="eastAsia"/>
          <w:color w:val="000000"/>
        </w:rPr>
        <w:t>“</w:t>
      </w:r>
      <w:r w:rsidRPr="00BF42B7">
        <w:rPr>
          <w:rFonts w:hint="eastAsia"/>
        </w:rPr>
        <w:t>对环境的尊重是评估某项行动是否符合必要性原则的要素之一</w:t>
      </w:r>
      <w:r w:rsidRPr="00BF42B7">
        <w:rPr>
          <w:rFonts w:hint="eastAsia"/>
          <w:color w:val="000000"/>
        </w:rPr>
        <w:t>”</w:t>
      </w:r>
      <w:r w:rsidRPr="00BF42B7">
        <w:rPr>
          <w:rFonts w:hint="eastAsia"/>
        </w:rPr>
        <w:t>，各国有义务</w:t>
      </w:r>
      <w:r w:rsidRPr="00BF42B7">
        <w:rPr>
          <w:rFonts w:hint="eastAsia"/>
          <w:color w:val="000000"/>
        </w:rPr>
        <w:t>“</w:t>
      </w:r>
      <w:r w:rsidRPr="00BF42B7">
        <w:rPr>
          <w:rFonts w:hint="eastAsia"/>
        </w:rPr>
        <w:t>在评估谋求合法军事目标的必要和相称代价时考虑到环境因素”。</w:t>
      </w:r>
      <w:bookmarkStart w:id="326" w:name="_Ref454967022"/>
      <w:r w:rsidRPr="00BF42B7">
        <w:rPr>
          <w:color w:val="0000FF"/>
          <w:vertAlign w:val="superscript"/>
          <w:lang w:eastAsia="en-US"/>
        </w:rPr>
        <w:footnoteReference w:id="1354"/>
      </w:r>
      <w:bookmarkEnd w:id="326"/>
    </w:p>
    <w:p w:rsidR="006735D4" w:rsidRPr="00BF42B7" w:rsidRDefault="006735D4" w:rsidP="006735D4">
      <w:pPr>
        <w:pStyle w:val="SingleTxtGC"/>
        <w:rPr>
          <w:color w:val="000000"/>
        </w:rPr>
      </w:pPr>
      <w:r w:rsidRPr="00BF42B7">
        <w:rPr>
          <w:rFonts w:hint="eastAsia"/>
        </w:rPr>
        <w:t xml:space="preserve">(4)  </w:t>
      </w:r>
      <w:r w:rsidRPr="00BF42B7">
        <w:rPr>
          <w:rFonts w:hint="eastAsia"/>
        </w:rPr>
        <w:t>至于“武装冲突法”一语的使用，应当强调，“武装冲突法”与“国际人道主义法”这两个用语在传统上是有区别的。</w:t>
      </w:r>
      <w:r w:rsidRPr="00BF42B7">
        <w:rPr>
          <w:color w:val="0000FF"/>
          <w:vertAlign w:val="superscript"/>
          <w:lang w:eastAsia="en-US"/>
        </w:rPr>
        <w:footnoteReference w:id="1355"/>
      </w:r>
      <w:r w:rsidRPr="00BF42B7">
        <w:rPr>
          <w:color w:val="000000"/>
        </w:rPr>
        <w:t xml:space="preserve"> </w:t>
      </w:r>
      <w:r w:rsidRPr="00BF42B7">
        <w:rPr>
          <w:rFonts w:hint="eastAsia"/>
        </w:rPr>
        <w:t>国际人道主义法可被看作是狭义的，仅指武装冲突法中以保护武装冲突受害者为目的的部分内容，而武装冲突法可被看作是更为宽泛的总括用语，既包括保护武装冲突的受害者，也包括对战争手段和方法的规范。</w:t>
      </w:r>
      <w:r w:rsidRPr="00BF42B7">
        <w:rPr>
          <w:color w:val="0000FF"/>
          <w:vertAlign w:val="superscript"/>
          <w:lang w:eastAsia="en-US"/>
        </w:rPr>
        <w:footnoteReference w:id="1356"/>
      </w:r>
      <w:r w:rsidRPr="00BF42B7">
        <w:rPr>
          <w:color w:val="000000"/>
        </w:rPr>
        <w:t xml:space="preserve"> </w:t>
      </w:r>
      <w:r w:rsidRPr="00BF42B7">
        <w:rPr>
          <w:rFonts w:hint="eastAsia"/>
        </w:rPr>
        <w:t>这两个用语在国际法中越来越被视为同义词。</w:t>
      </w:r>
      <w:r w:rsidRPr="00BF42B7">
        <w:rPr>
          <w:color w:val="0000FF"/>
          <w:vertAlign w:val="superscript"/>
          <w:lang w:eastAsia="en-US"/>
        </w:rPr>
        <w:footnoteReference w:id="1357"/>
      </w:r>
      <w:r w:rsidRPr="00BF42B7">
        <w:rPr>
          <w:color w:val="000000"/>
        </w:rPr>
        <w:t xml:space="preserve"> </w:t>
      </w:r>
      <w:r w:rsidRPr="00BF42B7">
        <w:rPr>
          <w:rFonts w:hint="eastAsia"/>
        </w:rPr>
        <w:t>但是，比较倾向使用的是“武装冲突法”，因为这个用语的含义较广，也是为了确保与委员会此前关于武装冲突对条约的影响的条款草案工作保持一致，关于这方面的工作，委员会指出，武装冲突法显然也包括占领法和中立法。</w:t>
      </w:r>
      <w:r w:rsidRPr="00BF42B7">
        <w:rPr>
          <w:color w:val="0000FF"/>
          <w:vertAlign w:val="superscript"/>
          <w:lang w:eastAsia="en-US"/>
        </w:rPr>
        <w:footnoteReference w:id="1358"/>
      </w:r>
      <w:r w:rsidRPr="00BF42B7">
        <w:t xml:space="preserve"> </w:t>
      </w:r>
      <w:r w:rsidRPr="00BF42B7">
        <w:rPr>
          <w:rFonts w:hint="eastAsia"/>
        </w:rPr>
        <w:t>本专题与武装冲突对条约的影响专题之间的关系应予以强调。</w:t>
      </w:r>
    </w:p>
    <w:p w:rsidR="006735D4" w:rsidRPr="00BF42B7" w:rsidRDefault="006735D4" w:rsidP="006735D4">
      <w:pPr>
        <w:pStyle w:val="SingleTxtGC"/>
        <w:rPr>
          <w:color w:val="000000"/>
        </w:rPr>
      </w:pPr>
      <w:r w:rsidRPr="00BF42B7">
        <w:rPr>
          <w:rFonts w:hint="eastAsia"/>
        </w:rPr>
        <w:t xml:space="preserve">(5)  </w:t>
      </w:r>
      <w:r w:rsidRPr="00BF42B7">
        <w:rPr>
          <w:rFonts w:hint="eastAsia"/>
        </w:rPr>
        <w:t>关于“适用的国际法”这一用语，必须指出，武装冲突法是武装冲突期间的特别法，但规定保护环境的其他国际法原则的相关性保持不变。</w:t>
      </w:r>
      <w:r w:rsidRPr="00BF42B7">
        <w:rPr>
          <w:color w:val="0000FF"/>
          <w:vertAlign w:val="superscript"/>
          <w:lang w:eastAsia="en-US"/>
        </w:rPr>
        <w:footnoteReference w:id="1359"/>
      </w:r>
      <w:r w:rsidRPr="00BF42B7">
        <w:rPr>
          <w:color w:val="000000"/>
        </w:rPr>
        <w:t xml:space="preserve"> </w:t>
      </w:r>
      <w:r w:rsidRPr="00BF42B7">
        <w:rPr>
          <w:rFonts w:hint="eastAsia"/>
        </w:rPr>
        <w:t>因此，在适用武装冲突法的所有三个阶段</w:t>
      </w:r>
      <w:r w:rsidRPr="00BF42B7">
        <w:t>(</w:t>
      </w:r>
      <w:r w:rsidRPr="00BF42B7">
        <w:rPr>
          <w:rFonts w:hint="eastAsia"/>
        </w:rPr>
        <w:t>武装冲突之前、期间和之后</w:t>
      </w:r>
      <w:r w:rsidRPr="00BF42B7">
        <w:rPr>
          <w:rFonts w:hint="eastAsia"/>
        </w:rPr>
        <w:t>)</w:t>
      </w:r>
      <w:r w:rsidRPr="00BF42B7">
        <w:rPr>
          <w:rFonts w:hint="eastAsia"/>
        </w:rPr>
        <w:t>，原则草案</w:t>
      </w:r>
      <w:r w:rsidRPr="00BF42B7">
        <w:t>9[2-1]</w:t>
      </w:r>
      <w:r w:rsidRPr="00BF42B7">
        <w:rPr>
          <w:rFonts w:hint="eastAsia"/>
        </w:rPr>
        <w:t>第</w:t>
      </w:r>
      <w:r w:rsidRPr="00BF42B7">
        <w:t>1</w:t>
      </w:r>
      <w:r w:rsidRPr="00BF42B7">
        <w:rPr>
          <w:rFonts w:hint="eastAsia"/>
        </w:rPr>
        <w:t>款都始终相关。该款突出反映的事实是，原则草案的目的是结合国际法的其他规则巩固武装冲突法中关于保护环境的现有提法，以便从整体上加强武装冲突期间对环境的保护。</w:t>
      </w:r>
    </w:p>
    <w:p w:rsidR="006735D4" w:rsidRPr="00BF42B7" w:rsidRDefault="006735D4" w:rsidP="006735D4">
      <w:pPr>
        <w:pStyle w:val="SingleTxtGC"/>
        <w:rPr>
          <w:color w:val="000000"/>
        </w:rPr>
      </w:pPr>
      <w:r w:rsidRPr="00BF42B7">
        <w:rPr>
          <w:rFonts w:hint="eastAsia"/>
        </w:rPr>
        <w:t xml:space="preserve">(6)  </w:t>
      </w:r>
      <w:r w:rsidRPr="00BF42B7">
        <w:rPr>
          <w:rFonts w:hint="eastAsia"/>
        </w:rPr>
        <w:t>第</w:t>
      </w:r>
      <w:r w:rsidRPr="00BF42B7">
        <w:t>2</w:t>
      </w:r>
      <w:r w:rsidRPr="00BF42B7">
        <w:rPr>
          <w:rFonts w:hint="eastAsia"/>
        </w:rPr>
        <w:t>款受到了《第一附加议定书》第五十五条的启发，该条规定的规则是，武装冲突期间应注意保护自然环境不受广泛、长期和严重地损害。</w:t>
      </w:r>
      <w:r w:rsidRPr="00BF42B7">
        <w:rPr>
          <w:color w:val="0000FF"/>
          <w:vertAlign w:val="superscript"/>
          <w:lang w:eastAsia="en-US"/>
        </w:rPr>
        <w:footnoteReference w:id="1360"/>
      </w:r>
      <w:r w:rsidRPr="00BF42B7">
        <w:rPr>
          <w:color w:val="000000"/>
        </w:rPr>
        <w:t xml:space="preserve"> </w:t>
      </w:r>
      <w:r w:rsidRPr="00BF42B7">
        <w:rPr>
          <w:rFonts w:hint="eastAsia"/>
        </w:rPr>
        <w:t>对于“应注意”一语，应当解释为表示武装冲突当事各方有义务对军事活动可能对自然环境造成的潜在影响保持警觉。</w:t>
      </w:r>
      <w:r w:rsidRPr="00BF42B7">
        <w:rPr>
          <w:color w:val="0000FF"/>
          <w:vertAlign w:val="superscript"/>
          <w:lang w:eastAsia="en-US"/>
        </w:rPr>
        <w:footnoteReference w:id="1361"/>
      </w:r>
    </w:p>
    <w:p w:rsidR="006735D4" w:rsidRPr="00BF42B7" w:rsidRDefault="006735D4" w:rsidP="006735D4">
      <w:pPr>
        <w:pStyle w:val="SingleTxtGC"/>
      </w:pPr>
      <w:r w:rsidRPr="00BF42B7">
        <w:rPr>
          <w:rFonts w:hint="eastAsia"/>
        </w:rPr>
        <w:t xml:space="preserve">(7)  </w:t>
      </w:r>
      <w:r w:rsidRPr="00BF42B7">
        <w:rPr>
          <w:rFonts w:hint="eastAsia"/>
        </w:rPr>
        <w:t>与第五十五条相似，原则草案</w:t>
      </w:r>
      <w:r w:rsidRPr="00BF42B7">
        <w:t>9[2-1]</w:t>
      </w:r>
      <w:r w:rsidRPr="00BF42B7">
        <w:rPr>
          <w:rFonts w:hint="eastAsia"/>
        </w:rPr>
        <w:t>也使用了“和”一词，表示三重叠加标准。但是，原则草案</w:t>
      </w:r>
      <w:r w:rsidRPr="00BF42B7">
        <w:t>9[2-1]</w:t>
      </w:r>
      <w:r w:rsidRPr="00BF42B7">
        <w:rPr>
          <w:rFonts w:hint="eastAsia"/>
        </w:rPr>
        <w:t>在适用性和普遍性方面与第五十五条不同。首先，原则草案</w:t>
      </w:r>
      <w:r w:rsidRPr="00BF42B7">
        <w:t>9[2-1]</w:t>
      </w:r>
      <w:r w:rsidRPr="00BF42B7">
        <w:rPr>
          <w:rFonts w:hint="eastAsia"/>
        </w:rPr>
        <w:t>对国际武装冲突和非国际武装冲突未作区分，对此的理解是，原则草案的目标是适用于所有武装冲突。</w:t>
      </w:r>
      <w:r w:rsidRPr="00BF42B7">
        <w:rPr>
          <w:color w:val="0000FF"/>
          <w:vertAlign w:val="superscript"/>
          <w:lang w:eastAsia="en-US"/>
        </w:rPr>
        <w:footnoteReference w:id="1362"/>
      </w:r>
      <w:r w:rsidRPr="00BF42B7">
        <w:rPr>
          <w:color w:val="000000"/>
        </w:rPr>
        <w:t xml:space="preserve"> </w:t>
      </w:r>
      <w:r w:rsidRPr="00BF42B7">
        <w:rPr>
          <w:rFonts w:hint="eastAsia"/>
        </w:rPr>
        <w:t>其中包括国际武装冲突，即传统地理解为两个或更多国家之间的武装冲突，以及人民行使自决权反抗殖民统治、外来占领和种族主义制度的武装冲突，也包括一国领土内国家与有组织武装集团之间或有组织武装集团相互之间</w:t>
      </w:r>
      <w:r w:rsidRPr="00BF42B7">
        <w:rPr>
          <w:rFonts w:hint="eastAsia"/>
        </w:rPr>
        <w:t>(</w:t>
      </w:r>
      <w:r w:rsidRPr="00BF42B7">
        <w:rPr>
          <w:rFonts w:hint="eastAsia"/>
        </w:rPr>
        <w:t>因而没有国家的卷入</w:t>
      </w:r>
      <w:r w:rsidRPr="00BF42B7">
        <w:t>)</w:t>
      </w:r>
      <w:r w:rsidRPr="00BF42B7">
        <w:rPr>
          <w:rFonts w:hint="eastAsia"/>
        </w:rPr>
        <w:t>的非国际武装冲突。</w:t>
      </w:r>
      <w:r w:rsidRPr="00BF42B7">
        <w:rPr>
          <w:color w:val="0000FF"/>
          <w:vertAlign w:val="superscript"/>
          <w:lang w:eastAsia="en-US"/>
        </w:rPr>
        <w:footnoteReference w:id="1363"/>
      </w:r>
    </w:p>
    <w:p w:rsidR="006735D4" w:rsidRPr="00BF42B7" w:rsidRDefault="006735D4" w:rsidP="006735D4">
      <w:pPr>
        <w:pStyle w:val="SingleTxtGC"/>
        <w:rPr>
          <w:color w:val="000000"/>
        </w:rPr>
      </w:pPr>
      <w:r w:rsidRPr="00BF42B7">
        <w:rPr>
          <w:rFonts w:hint="eastAsia"/>
        </w:rPr>
        <w:t xml:space="preserve">(8)  </w:t>
      </w:r>
      <w:r w:rsidRPr="00BF42B7">
        <w:rPr>
          <w:rFonts w:hint="eastAsia"/>
        </w:rPr>
        <w:t>《第一附加议定书》中没有界定“广泛”、“长期”和“严重”的含义。《禁止为军事或任何其他敌对目的使用改变环境的技术的公约》</w:t>
      </w:r>
      <w:r w:rsidRPr="00BF42B7">
        <w:rPr>
          <w:rFonts w:hint="eastAsia"/>
        </w:rPr>
        <w:t>(</w:t>
      </w:r>
      <w:r w:rsidRPr="00BF42B7">
        <w:rPr>
          <w:rFonts w:hint="eastAsia"/>
        </w:rPr>
        <w:t>《改变环境技术公约》</w:t>
      </w:r>
      <w:r w:rsidRPr="00BF42B7">
        <w:rPr>
          <w:rFonts w:hint="eastAsia"/>
        </w:rPr>
        <w:t>)</w:t>
      </w:r>
      <w:r w:rsidRPr="00BF42B7">
        <w:rPr>
          <w:rFonts w:hint="eastAsia"/>
        </w:rPr>
        <w:t>使用了同样的用语。</w:t>
      </w:r>
      <w:r w:rsidRPr="00BF42B7">
        <w:rPr>
          <w:color w:val="0000FF"/>
          <w:vertAlign w:val="superscript"/>
          <w:lang w:eastAsia="en-US"/>
        </w:rPr>
        <w:footnoteReference w:id="1364"/>
      </w:r>
      <w:r w:rsidRPr="00BF42B7">
        <w:rPr>
          <w:color w:val="000000"/>
        </w:rPr>
        <w:t xml:space="preserve"> </w:t>
      </w:r>
      <w:r w:rsidRPr="00BF42B7">
        <w:rPr>
          <w:rFonts w:hint="eastAsia"/>
        </w:rPr>
        <w:t>但是，必须考虑到，《改变环境技术公约》中没有《第一附加议定书》规定的三重叠加标准，而是用“或”代替了“和”，而且，《改变环境技术公约》的范围远比《第一附加议定书》狭隘。</w:t>
      </w:r>
    </w:p>
    <w:p w:rsidR="006735D4" w:rsidRPr="00BF42B7" w:rsidRDefault="006735D4" w:rsidP="006735D4">
      <w:pPr>
        <w:pStyle w:val="SingleTxtGC"/>
        <w:rPr>
          <w:color w:val="000000"/>
        </w:rPr>
      </w:pPr>
      <w:r w:rsidRPr="00BF42B7">
        <w:rPr>
          <w:rFonts w:hint="eastAsia"/>
        </w:rPr>
        <w:t xml:space="preserve">(9)  </w:t>
      </w:r>
      <w:r w:rsidRPr="00BF42B7">
        <w:rPr>
          <w:rFonts w:hint="eastAsia"/>
        </w:rPr>
        <w:t>第二，原则草案</w:t>
      </w:r>
      <w:r w:rsidRPr="00BF42B7">
        <w:t>9[2-1]</w:t>
      </w:r>
      <w:r w:rsidRPr="00BF42B7">
        <w:rPr>
          <w:rFonts w:hint="eastAsia"/>
        </w:rPr>
        <w:t>与《第一附加议定书》第五十五条不同，具有更强的概括性。原则草案</w:t>
      </w:r>
      <w:r w:rsidRPr="00BF42B7">
        <w:t>9[2-1]</w:t>
      </w:r>
      <w:r w:rsidRPr="00BF42B7">
        <w:rPr>
          <w:rFonts w:hint="eastAsia"/>
        </w:rPr>
        <w:t>不像第五十五条，没有明确禁止使用旨在或可能预期对自然环境造成损害从而妨害居民健康或生存的作战方法或手段。起草过程中提出的关切是，这种排除可能会削弱原则草案案文。但是，需要强调原则草案的概括性。原则草案的目标并不是改写已经存在并得到武装冲突法承认的规则和原则。另外，应当结合原则</w:t>
      </w:r>
      <w:r w:rsidRPr="00BF42B7">
        <w:rPr>
          <w:rFonts w:hint="eastAsia"/>
        </w:rPr>
        <w:t>10[</w:t>
      </w:r>
      <w:r w:rsidRPr="00BF42B7">
        <w:t>2-2</w:t>
      </w:r>
      <w:r w:rsidRPr="00BF42B7">
        <w:rPr>
          <w:rFonts w:hint="eastAsia"/>
        </w:rPr>
        <w:t>]</w:t>
      </w:r>
      <w:r w:rsidRPr="00BF42B7">
        <w:rPr>
          <w:rFonts w:hint="eastAsia"/>
        </w:rPr>
        <w:t>阅读第二款，该条原则处理的是以保护环境为目标对自然环境适用武装冲突法原则和规则的问题。</w:t>
      </w:r>
    </w:p>
    <w:p w:rsidR="006735D4" w:rsidRPr="00BF42B7" w:rsidRDefault="006735D4" w:rsidP="006735D4">
      <w:pPr>
        <w:pStyle w:val="SingleTxtGC"/>
        <w:rPr>
          <w:color w:val="000000"/>
        </w:rPr>
      </w:pPr>
      <w:r w:rsidRPr="00BF42B7">
        <w:rPr>
          <w:rFonts w:hint="eastAsia"/>
        </w:rPr>
        <w:t xml:space="preserve">(10)  </w:t>
      </w:r>
      <w:r w:rsidRPr="00BF42B7">
        <w:rPr>
          <w:rFonts w:hint="eastAsia"/>
        </w:rPr>
        <w:t>在此必须强调，《第一附加议定书》第三十六条要求各国审查新的武器和作战手段以确保这些武器和手段不违背现有的国际法规则，该条适用于所有武器。</w:t>
      </w:r>
      <w:bookmarkStart w:id="327" w:name="_Ref454971211"/>
      <w:r w:rsidRPr="00BF42B7">
        <w:rPr>
          <w:color w:val="0000FF"/>
          <w:vertAlign w:val="superscript"/>
          <w:lang w:eastAsia="en-US"/>
        </w:rPr>
        <w:footnoteReference w:id="1365"/>
      </w:r>
      <w:bookmarkEnd w:id="327"/>
      <w:r w:rsidRPr="00BF42B7">
        <w:rPr>
          <w:color w:val="000000"/>
        </w:rPr>
        <w:t xml:space="preserve"> </w:t>
      </w:r>
      <w:r w:rsidRPr="00BF42B7">
        <w:rPr>
          <w:rFonts w:hint="eastAsia"/>
        </w:rPr>
        <w:t>可结合以后的某一原则草案处理这项规定。</w:t>
      </w:r>
    </w:p>
    <w:p w:rsidR="006735D4" w:rsidRPr="00BF42B7" w:rsidRDefault="006735D4" w:rsidP="006735D4">
      <w:pPr>
        <w:pStyle w:val="SingleTxtGC"/>
        <w:rPr>
          <w:color w:val="000000"/>
          <w:spacing w:val="-4"/>
          <w:sz w:val="22"/>
          <w:szCs w:val="22"/>
        </w:rPr>
      </w:pPr>
      <w:r w:rsidRPr="00BF42B7">
        <w:rPr>
          <w:rFonts w:hAnsi="宋体" w:hint="eastAsia"/>
          <w:sz w:val="22"/>
          <w:szCs w:val="22"/>
        </w:rPr>
        <w:t xml:space="preserve">(11)  </w:t>
      </w:r>
      <w:r w:rsidRPr="00BF42B7">
        <w:rPr>
          <w:rFonts w:hAnsi="宋体" w:hint="eastAsia"/>
          <w:spacing w:val="-4"/>
          <w:sz w:val="22"/>
          <w:szCs w:val="22"/>
        </w:rPr>
        <w:t>原则草案</w:t>
      </w:r>
      <w:r w:rsidRPr="00BF42B7">
        <w:rPr>
          <w:spacing w:val="-4"/>
          <w:sz w:val="22"/>
          <w:szCs w:val="22"/>
        </w:rPr>
        <w:t>9[2-1]</w:t>
      </w:r>
      <w:r w:rsidRPr="00BF42B7">
        <w:rPr>
          <w:rFonts w:hAnsi="宋体" w:hint="eastAsia"/>
          <w:spacing w:val="-4"/>
          <w:sz w:val="22"/>
          <w:szCs w:val="22"/>
        </w:rPr>
        <w:t>第</w:t>
      </w:r>
      <w:r w:rsidRPr="00BF42B7">
        <w:rPr>
          <w:spacing w:val="-4"/>
          <w:sz w:val="22"/>
          <w:szCs w:val="22"/>
        </w:rPr>
        <w:t>3</w:t>
      </w:r>
      <w:r w:rsidRPr="00BF42B7">
        <w:rPr>
          <w:rFonts w:hAnsi="宋体" w:hint="eastAsia"/>
          <w:spacing w:val="-4"/>
          <w:sz w:val="22"/>
          <w:szCs w:val="22"/>
        </w:rPr>
        <w:t>款力求以武装冲突期间对待民用物体的同样方式对待自然资源。该款以必须区分军事目标和民用物体这一基本规则为依据。</w:t>
      </w:r>
      <w:r w:rsidRPr="00BF42B7">
        <w:rPr>
          <w:color w:val="0000FF"/>
          <w:spacing w:val="-4"/>
          <w:szCs w:val="22"/>
          <w:vertAlign w:val="superscript"/>
          <w:lang w:eastAsia="en-US"/>
        </w:rPr>
        <w:footnoteReference w:id="1366"/>
      </w:r>
    </w:p>
    <w:p w:rsidR="006735D4" w:rsidRPr="00BF42B7" w:rsidRDefault="006735D4" w:rsidP="006735D4">
      <w:pPr>
        <w:pStyle w:val="SingleTxtGC"/>
        <w:rPr>
          <w:color w:val="000000"/>
        </w:rPr>
      </w:pPr>
      <w:r w:rsidRPr="00BF42B7">
        <w:rPr>
          <w:rFonts w:hint="eastAsia"/>
        </w:rPr>
        <w:t xml:space="preserve">(12)  </w:t>
      </w:r>
      <w:r w:rsidRPr="00BF42B7">
        <w:rPr>
          <w:rFonts w:hint="eastAsia"/>
        </w:rPr>
        <w:t>可以把原则草案</w:t>
      </w:r>
      <w:r w:rsidRPr="00BF42B7">
        <w:t>9[2-1]</w:t>
      </w:r>
      <w:r w:rsidRPr="00BF42B7">
        <w:rPr>
          <w:rFonts w:hint="eastAsia"/>
        </w:rPr>
        <w:t>第</w:t>
      </w:r>
      <w:r w:rsidRPr="00BF42B7">
        <w:t>3</w:t>
      </w:r>
      <w:r w:rsidRPr="00BF42B7">
        <w:rPr>
          <w:rFonts w:hint="eastAsia"/>
        </w:rPr>
        <w:t>款与《第一附加议定书》第五十二条第二款相联系，其中“军事目标”一语的定义为：</w:t>
      </w:r>
    </w:p>
    <w:p w:rsidR="006735D4" w:rsidRPr="00DE50E6" w:rsidRDefault="006735D4" w:rsidP="004847A4">
      <w:pPr>
        <w:pStyle w:val="SingleTxtGC"/>
        <w:ind w:left="1554"/>
        <w:rPr>
          <w:color w:val="000000"/>
          <w:spacing w:val="2"/>
        </w:rPr>
      </w:pPr>
      <w:r w:rsidRPr="00DE50E6">
        <w:rPr>
          <w:rFonts w:hint="eastAsia"/>
          <w:color w:val="000000"/>
          <w:spacing w:val="2"/>
        </w:rPr>
        <w:t>“</w:t>
      </w:r>
      <w:r w:rsidRPr="00DE50E6">
        <w:rPr>
          <w:rFonts w:hint="eastAsia"/>
          <w:spacing w:val="2"/>
        </w:rPr>
        <w:t>……由于其性质、位置、目的或用途对军事行动有实际贡献，而且在当时情况下其全部或部分毁坏、缴获或失去效用提供明确的军事利益的物体”。</w:t>
      </w:r>
      <w:r w:rsidRPr="00DE50E6">
        <w:rPr>
          <w:color w:val="0000FF"/>
          <w:spacing w:val="2"/>
          <w:vertAlign w:val="superscript"/>
          <w:lang w:eastAsia="en-US"/>
        </w:rPr>
        <w:footnoteReference w:id="1367"/>
      </w:r>
    </w:p>
    <w:p w:rsidR="006735D4" w:rsidRPr="00BF42B7" w:rsidRDefault="006735D4" w:rsidP="006735D4">
      <w:pPr>
        <w:pStyle w:val="SingleTxtGC"/>
        <w:rPr>
          <w:color w:val="000000"/>
        </w:rPr>
      </w:pPr>
      <w:r w:rsidRPr="00BF42B7">
        <w:rPr>
          <w:rFonts w:hint="eastAsia"/>
        </w:rPr>
        <w:t>“民用物体”的定义是，“所有不是军事目标的物体”。</w:t>
      </w:r>
      <w:r w:rsidRPr="00BF42B7">
        <w:rPr>
          <w:color w:val="0000FF"/>
          <w:vertAlign w:val="superscript"/>
          <w:lang w:eastAsia="en-US"/>
        </w:rPr>
        <w:footnoteReference w:id="1368"/>
      </w:r>
      <w:r w:rsidRPr="00BF42B7">
        <w:rPr>
          <w:color w:val="000000"/>
        </w:rPr>
        <w:t xml:space="preserve"> </w:t>
      </w:r>
      <w:r w:rsidRPr="00BF42B7">
        <w:rPr>
          <w:rFonts w:hint="eastAsia"/>
        </w:rPr>
        <w:t>按武装冲突法的用语说就是，只能攻击军事目标，不得攻击民用物体。</w:t>
      </w:r>
      <w:r w:rsidRPr="00BF42B7">
        <w:rPr>
          <w:color w:val="0000FF"/>
          <w:vertAlign w:val="superscript"/>
        </w:rPr>
        <w:footnoteReference w:id="1369"/>
      </w:r>
      <w:r w:rsidRPr="00BF42B7">
        <w:rPr>
          <w:rFonts w:hint="eastAsia"/>
        </w:rPr>
        <w:t xml:space="preserve"> </w:t>
      </w:r>
      <w:r w:rsidRPr="00BF42B7">
        <w:rPr>
          <w:rFonts w:hint="eastAsia"/>
        </w:rPr>
        <w:t>有若干约束性和非约束性文书都表明，这条规则适用于自然环境。</w:t>
      </w:r>
      <w:r w:rsidRPr="00BF42B7">
        <w:rPr>
          <w:color w:val="0000FF"/>
          <w:vertAlign w:val="superscript"/>
          <w:lang w:eastAsia="en-US"/>
        </w:rPr>
        <w:footnoteReference w:id="1370"/>
      </w:r>
    </w:p>
    <w:p w:rsidR="00396D56" w:rsidRPr="00BF42B7" w:rsidRDefault="00396D56" w:rsidP="00396D56">
      <w:pPr>
        <w:pStyle w:val="SingleTxtGC"/>
      </w:pPr>
      <w:r w:rsidRPr="00BF42B7">
        <w:rPr>
          <w:rFonts w:hint="eastAsia"/>
        </w:rPr>
        <w:t xml:space="preserve">(13)  </w:t>
      </w:r>
      <w:r w:rsidRPr="00BF42B7">
        <w:rPr>
          <w:rFonts w:hint="eastAsia"/>
        </w:rPr>
        <w:t>不过，第</w:t>
      </w:r>
      <w:r w:rsidRPr="00BF42B7">
        <w:t>3</w:t>
      </w:r>
      <w:r w:rsidRPr="00BF42B7">
        <w:rPr>
          <w:rFonts w:hint="eastAsia"/>
        </w:rPr>
        <w:t>款用“成为”一词做了时间上的限定，强调这一规则不是绝对性的：在某些情况下环境有可能变成军事目标，因而对之实施攻击也就可能是合法</w:t>
      </w:r>
      <w:bookmarkStart w:id="328" w:name="_Ref454971186"/>
      <w:r w:rsidRPr="00BF42B7">
        <w:rPr>
          <w:rFonts w:hint="eastAsia"/>
        </w:rPr>
        <w:t>的。</w:t>
      </w:r>
      <w:bookmarkStart w:id="329" w:name="_Ref461885507"/>
      <w:bookmarkEnd w:id="328"/>
      <w:r w:rsidRPr="00BF42B7">
        <w:rPr>
          <w:color w:val="0000FF"/>
          <w:vertAlign w:val="superscript"/>
        </w:rPr>
        <w:footnoteReference w:id="1371"/>
      </w:r>
      <w:bookmarkEnd w:id="329"/>
    </w:p>
    <w:p w:rsidR="00396D56" w:rsidRPr="00BF42B7" w:rsidRDefault="00396D56" w:rsidP="00396D56">
      <w:pPr>
        <w:pStyle w:val="SingleTxtGC"/>
      </w:pPr>
      <w:r w:rsidRPr="00BF42B7">
        <w:rPr>
          <w:rFonts w:hint="eastAsia"/>
        </w:rPr>
        <w:t xml:space="preserve">(14)  </w:t>
      </w:r>
      <w:r w:rsidRPr="00BF42B7">
        <w:rPr>
          <w:rFonts w:hint="eastAsia"/>
        </w:rPr>
        <w:t>第</w:t>
      </w:r>
      <w:r w:rsidRPr="00BF42B7">
        <w:t>3</w:t>
      </w:r>
      <w:r w:rsidRPr="00BF42B7">
        <w:rPr>
          <w:rFonts w:hint="eastAsia"/>
        </w:rPr>
        <w:t>款以红十字委员会《习惯国际法研究》第</w:t>
      </w:r>
      <w:r w:rsidRPr="00BF42B7">
        <w:t>43</w:t>
      </w:r>
      <w:r w:rsidRPr="00BF42B7">
        <w:rPr>
          <w:rFonts w:hint="eastAsia"/>
        </w:rPr>
        <w:t>条第</w:t>
      </w:r>
      <w:r w:rsidRPr="00BF42B7">
        <w:t>1</w:t>
      </w:r>
      <w:r w:rsidRPr="00BF42B7">
        <w:rPr>
          <w:rFonts w:hint="eastAsia"/>
        </w:rPr>
        <w:t>款为基础。但是，由于第</w:t>
      </w:r>
      <w:r w:rsidRPr="00BF42B7">
        <w:t>43</w:t>
      </w:r>
      <w:r w:rsidRPr="00BF42B7">
        <w:rPr>
          <w:rFonts w:hint="eastAsia"/>
        </w:rPr>
        <w:t>条的其他部分引起了某些关切，所以没有列入目前的草案措辞。关于这个问题，再次重申原则草案属于一般性质，目的不是改写武装冲突法已经承认的规则和原则，是有益的。因此，第</w:t>
      </w:r>
      <w:r w:rsidRPr="00BF42B7">
        <w:t>2</w:t>
      </w:r>
      <w:r w:rsidRPr="00BF42B7">
        <w:rPr>
          <w:rFonts w:hint="eastAsia"/>
        </w:rPr>
        <w:t>款和第</w:t>
      </w:r>
      <w:r w:rsidRPr="00BF42B7">
        <w:t>3</w:t>
      </w:r>
      <w:r w:rsidRPr="00BF42B7">
        <w:rPr>
          <w:rFonts w:hint="eastAsia"/>
        </w:rPr>
        <w:t>款必须同原则草案</w:t>
      </w:r>
      <w:r w:rsidRPr="00BF42B7">
        <w:rPr>
          <w:rFonts w:hint="eastAsia"/>
        </w:rPr>
        <w:t>10[</w:t>
      </w:r>
      <w:r w:rsidRPr="00BF42B7">
        <w:t>2-2</w:t>
      </w:r>
      <w:r w:rsidRPr="00BF42B7">
        <w:rPr>
          <w:rFonts w:hint="eastAsia"/>
        </w:rPr>
        <w:t>]</w:t>
      </w:r>
      <w:r w:rsidRPr="00BF42B7">
        <w:rPr>
          <w:rFonts w:hint="eastAsia"/>
        </w:rPr>
        <w:t>一并解读，其中具体提到了攻击行动中适用关于区别、相称性、军事必要性和预防措施的武装冲突法规则和原则的问题。</w:t>
      </w:r>
    </w:p>
    <w:p w:rsidR="00396D56" w:rsidRPr="00BF42B7" w:rsidRDefault="00396D56" w:rsidP="00396D56">
      <w:pPr>
        <w:pStyle w:val="SingleTxtGC"/>
      </w:pPr>
      <w:r w:rsidRPr="00BF42B7">
        <w:rPr>
          <w:rFonts w:hint="eastAsia"/>
        </w:rPr>
        <w:t xml:space="preserve">(15)  </w:t>
      </w:r>
      <w:r w:rsidRPr="00BF42B7">
        <w:rPr>
          <w:rFonts w:hint="eastAsia"/>
        </w:rPr>
        <w:t>可以看出，原则</w:t>
      </w:r>
      <w:r w:rsidRPr="00BF42B7">
        <w:t>9[2-1]</w:t>
      </w:r>
      <w:r w:rsidRPr="00BF42B7">
        <w:rPr>
          <w:rFonts w:hint="eastAsia"/>
        </w:rPr>
        <w:t>力求达成一种平衡，一方面要建立起关于武装冲突期间的环境保护指导原则，另一方面又要不改写已经得到武装冲突法承认的规则和原则。</w:t>
      </w:r>
      <w:r w:rsidRPr="00BF42B7">
        <w:rPr>
          <w:rFonts w:hint="eastAsia"/>
        </w:rPr>
        <w:t xml:space="preserve"> </w:t>
      </w:r>
    </w:p>
    <w:p w:rsidR="00396D56" w:rsidRPr="00BF42B7" w:rsidRDefault="00396D56" w:rsidP="00396D56">
      <w:pPr>
        <w:pStyle w:val="H23GC"/>
        <w:ind w:left="1554"/>
        <w:rPr>
          <w:lang w:val="en-GB"/>
        </w:rPr>
      </w:pPr>
      <w:r w:rsidRPr="00BF42B7">
        <w:rPr>
          <w:lang w:val="en-GB"/>
        </w:rPr>
        <w:tab/>
      </w:r>
      <w:r w:rsidRPr="00BF42B7">
        <w:rPr>
          <w:rFonts w:hint="eastAsia"/>
          <w:lang w:val="en-GB"/>
        </w:rPr>
        <w:tab/>
      </w:r>
      <w:r w:rsidRPr="00BF42B7">
        <w:rPr>
          <w:rFonts w:hint="eastAsia"/>
          <w:lang w:val="en-GB"/>
        </w:rPr>
        <w:t>原则草案</w:t>
      </w:r>
      <w:r w:rsidRPr="00BF42B7">
        <w:rPr>
          <w:lang w:val="en-GB"/>
        </w:rPr>
        <w:t>10[2-2]</w:t>
      </w:r>
      <w:r w:rsidRPr="00BF42B7">
        <w:rPr>
          <w:rFonts w:hint="eastAsia"/>
          <w:lang w:val="en-GB"/>
        </w:rPr>
        <w:br/>
      </w:r>
      <w:r w:rsidRPr="00BF42B7">
        <w:rPr>
          <w:rFonts w:hint="eastAsia"/>
          <w:lang w:val="en-GB"/>
        </w:rPr>
        <w:t>对自然环境适用武装冲突法</w:t>
      </w:r>
    </w:p>
    <w:p w:rsidR="00396D56" w:rsidRPr="00BF42B7" w:rsidRDefault="004847A4" w:rsidP="004847A4">
      <w:pPr>
        <w:pStyle w:val="SingleTxtGC"/>
        <w:tabs>
          <w:tab w:val="clear" w:pos="431"/>
          <w:tab w:val="clear" w:pos="1134"/>
          <w:tab w:val="clear" w:pos="1565"/>
        </w:tabs>
        <w:ind w:left="1554"/>
        <w:rPr>
          <w:lang w:val="en-GB"/>
        </w:rPr>
      </w:pPr>
      <w:r>
        <w:rPr>
          <w:rFonts w:hint="eastAsia"/>
          <w:lang w:val="en-GB"/>
        </w:rPr>
        <w:tab/>
      </w:r>
      <w:r w:rsidR="00396D56" w:rsidRPr="00BF42B7">
        <w:rPr>
          <w:rFonts w:hint="eastAsia"/>
          <w:lang w:val="en-GB"/>
        </w:rPr>
        <w:t>应对</w:t>
      </w:r>
      <w:r w:rsidR="00396D56" w:rsidRPr="00BF42B7">
        <w:rPr>
          <w:rFonts w:hint="eastAsia"/>
        </w:rPr>
        <w:t>自然环境适用武装冲突法，包括关于区分、相称性、军事必要性和攻击中采取预防措施的原则和规则，以期保护环境。</w:t>
      </w:r>
    </w:p>
    <w:p w:rsidR="00396D56" w:rsidRPr="00BF42B7" w:rsidRDefault="00396D56" w:rsidP="00396D56">
      <w:pPr>
        <w:pStyle w:val="H23GC"/>
        <w:rPr>
          <w:lang w:val="en-GB"/>
        </w:rPr>
      </w:pPr>
      <w:r w:rsidRPr="00BF42B7">
        <w:rPr>
          <w:rFonts w:hint="eastAsia"/>
          <w:lang w:val="en-GB"/>
        </w:rPr>
        <w:tab/>
      </w:r>
      <w:r w:rsidRPr="00BF42B7">
        <w:rPr>
          <w:rFonts w:hint="eastAsia"/>
          <w:lang w:val="en-GB"/>
        </w:rPr>
        <w:tab/>
      </w:r>
      <w:r w:rsidRPr="00BF42B7">
        <w:rPr>
          <w:rFonts w:hint="eastAsia"/>
          <w:lang w:val="en-GB"/>
        </w:rPr>
        <w:t>评注</w:t>
      </w:r>
    </w:p>
    <w:p w:rsidR="00396D56" w:rsidRPr="00BF42B7" w:rsidRDefault="00396D56" w:rsidP="00396D56">
      <w:pPr>
        <w:pStyle w:val="SingleTxtGC"/>
        <w:rPr>
          <w:lang w:val="en-GB"/>
        </w:rPr>
      </w:pPr>
      <w:r w:rsidRPr="00BF42B7">
        <w:rPr>
          <w:rFonts w:hint="eastAsia"/>
          <w:lang w:val="en-GB"/>
        </w:rPr>
        <w:t xml:space="preserve">(1)  </w:t>
      </w:r>
      <w:r w:rsidRPr="00BF42B7">
        <w:rPr>
          <w:rFonts w:hint="eastAsia"/>
          <w:lang w:val="en-GB"/>
        </w:rPr>
        <w:t>原则草案</w:t>
      </w:r>
      <w:r w:rsidRPr="00BF42B7">
        <w:rPr>
          <w:lang w:val="en-GB"/>
        </w:rPr>
        <w:t>10[2-2]</w:t>
      </w:r>
      <w:r w:rsidRPr="00BF42B7">
        <w:rPr>
          <w:rFonts w:hint="eastAsia"/>
          <w:lang w:val="en-GB"/>
        </w:rPr>
        <w:t>的标题是“对自然环境适用武装冲突法”，处理的问题是，对自然环境适用武装冲突法的原则和规则，以期保护环境。把原则草案</w:t>
      </w:r>
      <w:r w:rsidRPr="00BF42B7">
        <w:rPr>
          <w:lang w:val="en-GB"/>
        </w:rPr>
        <w:t>10[2-2]</w:t>
      </w:r>
      <w:r w:rsidRPr="00BF42B7">
        <w:rPr>
          <w:rFonts w:hint="eastAsia"/>
          <w:lang w:val="en-GB"/>
        </w:rPr>
        <w:t>放在原则草案的第二部分</w:t>
      </w:r>
      <w:r w:rsidRPr="00BF42B7">
        <w:rPr>
          <w:rFonts w:hint="eastAsia"/>
          <w:lang w:val="en-GB"/>
        </w:rPr>
        <w:t>(</w:t>
      </w:r>
      <w:r w:rsidRPr="00BF42B7">
        <w:rPr>
          <w:rFonts w:hint="eastAsia"/>
          <w:lang w:val="en-GB"/>
        </w:rPr>
        <w:t>适用于武装冲突期间的原则</w:t>
      </w:r>
      <w:r w:rsidRPr="00BF42B7">
        <w:rPr>
          <w:rFonts w:hint="eastAsia"/>
          <w:lang w:val="en-GB"/>
        </w:rPr>
        <w:t>)</w:t>
      </w:r>
      <w:r w:rsidRPr="00BF42B7">
        <w:rPr>
          <w:rFonts w:hint="eastAsia"/>
          <w:lang w:val="en-GB"/>
        </w:rPr>
        <w:t>表明，意图是要在武装冲突</w:t>
      </w:r>
      <w:r w:rsidRPr="00BF42B7">
        <w:rPr>
          <w:rFonts w:hint="eastAsia"/>
          <w:iCs/>
          <w:lang w:val="en-GB"/>
        </w:rPr>
        <w:t>期间</w:t>
      </w:r>
      <w:r w:rsidRPr="00BF42B7">
        <w:rPr>
          <w:rFonts w:hint="eastAsia"/>
          <w:lang w:val="en-GB"/>
        </w:rPr>
        <w:t>适用。这条原则草案的总体目标是在武装冲突期间加强对环境的保护，并不是要重申武装冲突法。</w:t>
      </w:r>
    </w:p>
    <w:p w:rsidR="00396D56" w:rsidRPr="00BF42B7" w:rsidRDefault="00396D56" w:rsidP="00396D56">
      <w:pPr>
        <w:pStyle w:val="SingleTxtGC"/>
        <w:rPr>
          <w:lang w:val="en-GB"/>
        </w:rPr>
      </w:pPr>
      <w:r w:rsidRPr="00BF42B7">
        <w:rPr>
          <w:rFonts w:hint="eastAsia"/>
          <w:lang w:val="en-GB"/>
        </w:rPr>
        <w:t xml:space="preserve">(2)  </w:t>
      </w:r>
      <w:r w:rsidRPr="00BF42B7">
        <w:rPr>
          <w:rFonts w:hint="eastAsia"/>
          <w:lang w:val="en-GB"/>
        </w:rPr>
        <w:t>选用“武装冲突法”</w:t>
      </w:r>
      <w:r w:rsidRPr="00BF42B7">
        <w:rPr>
          <w:rFonts w:hint="eastAsia"/>
        </w:rPr>
        <w:t>一词</w:t>
      </w:r>
      <w:r w:rsidRPr="00BF42B7">
        <w:rPr>
          <w:rFonts w:hint="eastAsia"/>
          <w:lang w:val="en-GB"/>
        </w:rPr>
        <w:t>而不是“国际人道主义法”，其中的原因与关于原则草案</w:t>
      </w:r>
      <w:r w:rsidRPr="00BF42B7">
        <w:rPr>
          <w:lang w:val="en-GB"/>
        </w:rPr>
        <w:t>9[2-1]</w:t>
      </w:r>
      <w:r w:rsidRPr="00BF42B7">
        <w:rPr>
          <w:rFonts w:hint="eastAsia"/>
          <w:lang w:val="en-GB"/>
        </w:rPr>
        <w:t>的评注中所作的解释相同。使用这一用语还突出表明，原则草案</w:t>
      </w:r>
      <w:r w:rsidRPr="00BF42B7">
        <w:rPr>
          <w:lang w:val="en-GB"/>
        </w:rPr>
        <w:t>10[2-2]</w:t>
      </w:r>
      <w:r w:rsidRPr="00BF42B7">
        <w:rPr>
          <w:rFonts w:hint="eastAsia"/>
          <w:lang w:val="en-GB"/>
        </w:rPr>
        <w:t>处理的仅仅是作为特别法的武装冲突法，而不是国际法的其他分支。</w:t>
      </w:r>
    </w:p>
    <w:p w:rsidR="00396D56" w:rsidRPr="00BF42B7" w:rsidRDefault="00396D56" w:rsidP="00396D56">
      <w:pPr>
        <w:pStyle w:val="SingleTxtGC"/>
        <w:rPr>
          <w:lang w:val="en-GB"/>
        </w:rPr>
      </w:pPr>
      <w:r w:rsidRPr="00BF42B7">
        <w:rPr>
          <w:rFonts w:hint="eastAsia"/>
          <w:lang w:val="en-GB"/>
        </w:rPr>
        <w:t xml:space="preserve">(3)  </w:t>
      </w:r>
      <w:r w:rsidRPr="00BF42B7">
        <w:rPr>
          <w:rFonts w:hint="eastAsia"/>
          <w:lang w:val="en-GB"/>
        </w:rPr>
        <w:t>原则草案</w:t>
      </w:r>
      <w:r w:rsidRPr="00BF42B7">
        <w:rPr>
          <w:lang w:val="en-GB"/>
        </w:rPr>
        <w:t>10[2-2]</w:t>
      </w:r>
      <w:r w:rsidRPr="00BF42B7">
        <w:rPr>
          <w:rFonts w:hint="eastAsia"/>
          <w:lang w:val="en-GB"/>
        </w:rPr>
        <w:t>提到了武装冲突法的一些具体原则和规则，即</w:t>
      </w:r>
      <w:r w:rsidRPr="00BF42B7">
        <w:rPr>
          <w:rFonts w:hint="eastAsia"/>
        </w:rPr>
        <w:t>关于区分、相称性、军事必要性和攻击中采取预防措施的原则和规则。</w:t>
      </w:r>
      <w:r w:rsidRPr="00BF42B7">
        <w:rPr>
          <w:color w:val="0000FF"/>
          <w:vertAlign w:val="superscript"/>
          <w:lang w:val="en-GB"/>
        </w:rPr>
        <w:footnoteReference w:id="1372"/>
      </w:r>
      <w:r w:rsidRPr="00BF42B7">
        <w:rPr>
          <w:lang w:val="en-GB"/>
        </w:rPr>
        <w:t xml:space="preserve"> </w:t>
      </w:r>
      <w:r w:rsidRPr="00BF42B7">
        <w:rPr>
          <w:rFonts w:hint="eastAsia"/>
          <w:lang w:val="en-GB"/>
        </w:rPr>
        <w:t>这一原则草案本身属于一般性质，并没有阐述应当如何解释这些原则和规则，因为这些都是在武装冲突法之下明确订立的原则和规则，原则草案的目的不是对之加以解释。将这些原则和规则明文列入原则草案</w:t>
      </w:r>
      <w:r w:rsidRPr="00BF42B7">
        <w:rPr>
          <w:lang w:val="en-GB"/>
        </w:rPr>
        <w:t>10[2-2]</w:t>
      </w:r>
      <w:r w:rsidRPr="00BF42B7">
        <w:rPr>
          <w:rFonts w:hint="eastAsia"/>
          <w:lang w:val="en-GB"/>
        </w:rPr>
        <w:t>，是因为认为它们是与武装冲突期间保护环境最为相关的原则和规则。</w:t>
      </w:r>
      <w:r w:rsidRPr="00BF42B7">
        <w:rPr>
          <w:color w:val="0000FF"/>
          <w:vertAlign w:val="superscript"/>
          <w:lang w:val="en-GB"/>
        </w:rPr>
        <w:footnoteReference w:id="1373"/>
      </w:r>
      <w:r w:rsidRPr="00BF42B7">
        <w:rPr>
          <w:lang w:val="en-GB"/>
        </w:rPr>
        <w:t xml:space="preserve"> </w:t>
      </w:r>
      <w:r w:rsidRPr="00BF42B7">
        <w:rPr>
          <w:rFonts w:hint="eastAsia"/>
          <w:lang w:val="en-GB"/>
        </w:rPr>
        <w:t>但是，不应当把提及这些原则和</w:t>
      </w:r>
      <w:r w:rsidRPr="00BF42B7">
        <w:rPr>
          <w:rFonts w:hint="eastAsia"/>
        </w:rPr>
        <w:t>规则</w:t>
      </w:r>
      <w:r w:rsidRPr="00BF42B7">
        <w:rPr>
          <w:rFonts w:hint="eastAsia"/>
          <w:lang w:val="en-GB"/>
        </w:rPr>
        <w:t>解释为提出了一个封闭式的清单，因为武装冲突法之下与武装冲突期间保护环境有关的其他规则仍然适用，不得忽视。</w:t>
      </w:r>
      <w:bookmarkStart w:id="330" w:name="_Ref454973723"/>
      <w:r w:rsidRPr="00BF42B7">
        <w:rPr>
          <w:color w:val="0000FF"/>
          <w:vertAlign w:val="superscript"/>
          <w:lang w:val="en-GB"/>
        </w:rPr>
        <w:footnoteReference w:id="1374"/>
      </w:r>
      <w:bookmarkEnd w:id="330"/>
    </w:p>
    <w:p w:rsidR="00396D56" w:rsidRPr="00BF42B7" w:rsidRDefault="00396D56" w:rsidP="00396D56">
      <w:pPr>
        <w:pStyle w:val="SingleTxtGC"/>
        <w:rPr>
          <w:lang w:val="en-GB"/>
        </w:rPr>
      </w:pPr>
      <w:r w:rsidRPr="00BF42B7">
        <w:rPr>
          <w:rFonts w:hint="eastAsia"/>
          <w:lang w:val="en-GB"/>
        </w:rPr>
        <w:t xml:space="preserve">(4)  </w:t>
      </w:r>
      <w:r w:rsidRPr="00BF42B7">
        <w:rPr>
          <w:rFonts w:hint="eastAsia"/>
          <w:lang w:val="en-GB"/>
        </w:rPr>
        <w:t>区分原则是武装冲突法的基石之一</w:t>
      </w:r>
      <w:bookmarkStart w:id="331" w:name="_Ref454973520"/>
      <w:r w:rsidRPr="00BF42B7">
        <w:rPr>
          <w:rFonts w:hint="eastAsia"/>
          <w:lang w:val="en-GB"/>
        </w:rPr>
        <w:t>，</w:t>
      </w:r>
      <w:bookmarkStart w:id="332" w:name="_Ref461885575"/>
      <w:bookmarkEnd w:id="331"/>
      <w:r w:rsidRPr="00BF42B7">
        <w:rPr>
          <w:color w:val="0000FF"/>
          <w:vertAlign w:val="superscript"/>
          <w:lang w:val="en-GB"/>
        </w:rPr>
        <w:footnoteReference w:id="1375"/>
      </w:r>
      <w:bookmarkEnd w:id="332"/>
      <w:r w:rsidRPr="00BF42B7">
        <w:rPr>
          <w:rFonts w:hint="eastAsia"/>
          <w:lang w:val="en-GB"/>
        </w:rPr>
        <w:t xml:space="preserve"> </w:t>
      </w:r>
      <w:r w:rsidRPr="00BF42B7">
        <w:rPr>
          <w:rFonts w:hint="eastAsia"/>
          <w:lang w:val="en-GB"/>
        </w:rPr>
        <w:t>规定武装冲突当事各方有义务始终将民用物体与军事目标区别开来，只能攻击军事目标。</w:t>
      </w:r>
      <w:r w:rsidRPr="00BF42B7">
        <w:rPr>
          <w:color w:val="0000FF"/>
          <w:vertAlign w:val="superscript"/>
          <w:lang w:val="en-GB"/>
        </w:rPr>
        <w:footnoteReference w:id="1376"/>
      </w:r>
      <w:r w:rsidRPr="00BF42B7">
        <w:rPr>
          <w:lang w:val="en-GB"/>
        </w:rPr>
        <w:t xml:space="preserve"> </w:t>
      </w:r>
      <w:r w:rsidRPr="00BF42B7">
        <w:rPr>
          <w:rFonts w:hint="eastAsia"/>
          <w:lang w:val="en-GB"/>
        </w:rPr>
        <w:t>这被视为习惯国际法下的一条规则，既适用于国际武装冲突，也适用于非国际性武装冲突。</w:t>
      </w:r>
      <w:r w:rsidRPr="00BF42B7">
        <w:rPr>
          <w:color w:val="0000FF"/>
          <w:vertAlign w:val="superscript"/>
          <w:lang w:val="en-GB"/>
        </w:rPr>
        <w:footnoteReference w:id="1377"/>
      </w:r>
      <w:r w:rsidRPr="00BF42B7">
        <w:rPr>
          <w:lang w:val="en-GB"/>
        </w:rPr>
        <w:t xml:space="preserve"> </w:t>
      </w:r>
      <w:r w:rsidRPr="00BF42B7">
        <w:rPr>
          <w:rFonts w:hint="eastAsia"/>
          <w:lang w:val="en-GB"/>
        </w:rPr>
        <w:t>如关于原则草案</w:t>
      </w:r>
      <w:r w:rsidRPr="00BF42B7">
        <w:rPr>
          <w:lang w:val="en-GB"/>
        </w:rPr>
        <w:t>9[2-1]</w:t>
      </w:r>
      <w:r w:rsidRPr="00BF42B7">
        <w:rPr>
          <w:rFonts w:hint="eastAsia"/>
          <w:lang w:val="en-GB"/>
        </w:rPr>
        <w:t>的评注所解释，自然环境并不具备内在的军事性质，应当作为民用物体对待。然而，在某些情况下，环境的某些部分可能会成为军事目标，在这种情况下对此种部分实施攻击就可能是合法的。</w:t>
      </w:r>
    </w:p>
    <w:p w:rsidR="00396D56" w:rsidRPr="00BF42B7" w:rsidRDefault="00396D56" w:rsidP="00396D56">
      <w:pPr>
        <w:pStyle w:val="SingleTxtGC"/>
        <w:rPr>
          <w:spacing w:val="4"/>
          <w:lang w:val="en-GB"/>
        </w:rPr>
      </w:pPr>
      <w:r w:rsidRPr="00BF42B7">
        <w:rPr>
          <w:rFonts w:hint="eastAsia"/>
          <w:spacing w:val="4"/>
          <w:lang w:val="en-GB"/>
        </w:rPr>
        <w:t xml:space="preserve">(5)  </w:t>
      </w:r>
      <w:r w:rsidRPr="00BF42B7">
        <w:rPr>
          <w:rFonts w:hint="eastAsia"/>
          <w:spacing w:val="4"/>
          <w:lang w:val="en-GB"/>
        </w:rPr>
        <w:t>相称性原则规定，如果可以预期对合法军事目标的攻击会对平民或平民物体造成</w:t>
      </w:r>
      <w:r w:rsidRPr="00BF42B7">
        <w:rPr>
          <w:rFonts w:hint="eastAsia"/>
          <w:spacing w:val="4"/>
        </w:rPr>
        <w:t>附带</w:t>
      </w:r>
      <w:r w:rsidRPr="00BF42B7">
        <w:rPr>
          <w:rFonts w:hint="eastAsia"/>
          <w:spacing w:val="4"/>
          <w:lang w:val="en-GB"/>
        </w:rPr>
        <w:t>损害，超出预期达到的具体和直接军事优势的范围，则受到限制。</w:t>
      </w:r>
      <w:bookmarkStart w:id="333" w:name="_Ref454973822"/>
      <w:r w:rsidRPr="00BF42B7">
        <w:rPr>
          <w:color w:val="0000FF"/>
          <w:spacing w:val="4"/>
          <w:vertAlign w:val="superscript"/>
          <w:lang w:val="en-GB"/>
        </w:rPr>
        <w:footnoteReference w:id="1378"/>
      </w:r>
      <w:bookmarkEnd w:id="333"/>
    </w:p>
    <w:p w:rsidR="00396D56" w:rsidRPr="00BF42B7" w:rsidRDefault="00396D56" w:rsidP="00396D56">
      <w:pPr>
        <w:pStyle w:val="SingleTxtGC"/>
        <w:rPr>
          <w:lang w:val="en-GB"/>
        </w:rPr>
      </w:pPr>
      <w:r w:rsidRPr="00BF42B7">
        <w:rPr>
          <w:rFonts w:hint="eastAsia"/>
          <w:lang w:val="en-GB"/>
        </w:rPr>
        <w:t xml:space="preserve">(6)  </w:t>
      </w:r>
      <w:r w:rsidRPr="00BF42B7">
        <w:rPr>
          <w:rFonts w:hint="eastAsia"/>
          <w:lang w:val="en-GB"/>
        </w:rPr>
        <w:t>相称性原则是武装冲突法之下的一条重要规则，原因还在于这条规则与军事必要性规则之间的联系。</w:t>
      </w:r>
      <w:r w:rsidRPr="00BF42B7">
        <w:rPr>
          <w:color w:val="0000FF"/>
          <w:vertAlign w:val="superscript"/>
          <w:lang w:val="en-GB"/>
        </w:rPr>
        <w:footnoteReference w:id="1379"/>
      </w:r>
      <w:r w:rsidRPr="00BF42B7">
        <w:rPr>
          <w:lang w:val="en-GB"/>
        </w:rPr>
        <w:t xml:space="preserve"> </w:t>
      </w:r>
      <w:r w:rsidRPr="00BF42B7">
        <w:rPr>
          <w:rFonts w:hint="eastAsia"/>
          <w:lang w:val="en-GB"/>
        </w:rPr>
        <w:t>这条规则编纂入了若干武装冲突法文书，国际法院在关于“以核武器进行威胁或使用核武器的合法性”的咨询意见</w:t>
      </w:r>
      <w:r w:rsidRPr="00BF42B7">
        <w:rPr>
          <w:color w:val="0000FF"/>
          <w:vertAlign w:val="superscript"/>
          <w:lang w:val="en-GB"/>
        </w:rPr>
        <w:footnoteReference w:id="1380"/>
      </w:r>
      <w:r w:rsidR="005D4032" w:rsidRPr="005D4032">
        <w:rPr>
          <w:rFonts w:hint="eastAsia"/>
          <w:vertAlign w:val="superscript"/>
          <w:lang w:val="en-GB"/>
        </w:rPr>
        <w:t xml:space="preserve"> </w:t>
      </w:r>
      <w:r w:rsidRPr="00BF42B7">
        <w:rPr>
          <w:rFonts w:hint="eastAsia"/>
          <w:lang w:val="en-GB"/>
        </w:rPr>
        <w:t>中也承认了这条规则的适用性。这被视为习惯国际法的一条规则，适用于国际武装冲突和非国际武装冲突两者。</w:t>
      </w:r>
      <w:r w:rsidRPr="00BF42B7">
        <w:rPr>
          <w:color w:val="0000FF"/>
          <w:vertAlign w:val="superscript"/>
          <w:lang w:val="en-GB"/>
        </w:rPr>
        <w:footnoteReference w:id="1381"/>
      </w:r>
    </w:p>
    <w:p w:rsidR="00396D56" w:rsidRPr="00BF42B7" w:rsidRDefault="00396D56" w:rsidP="00396D56">
      <w:pPr>
        <w:pStyle w:val="SingleTxtGC"/>
        <w:rPr>
          <w:lang w:val="en-GB"/>
        </w:rPr>
      </w:pPr>
      <w:r w:rsidRPr="00BF42B7">
        <w:rPr>
          <w:rFonts w:hint="eastAsia"/>
          <w:lang w:val="en-GB"/>
        </w:rPr>
        <w:t xml:space="preserve">(7)  </w:t>
      </w:r>
      <w:r w:rsidRPr="00BF42B7">
        <w:rPr>
          <w:rFonts w:hint="eastAsia"/>
          <w:lang w:val="en-GB"/>
        </w:rPr>
        <w:t>由于环境受到的武装冲突影响往往是间接的而不是直接的，关于相称性的规则在武装冲突期间保护自然环境方面就特别重要。</w:t>
      </w:r>
      <w:r w:rsidRPr="00BF42B7">
        <w:rPr>
          <w:color w:val="0000FF"/>
          <w:vertAlign w:val="superscript"/>
          <w:lang w:val="en-GB"/>
        </w:rPr>
        <w:footnoteReference w:id="1382"/>
      </w:r>
      <w:r w:rsidRPr="00BF42B7">
        <w:rPr>
          <w:lang w:val="en-GB"/>
        </w:rPr>
        <w:t xml:space="preserve"> </w:t>
      </w:r>
      <w:r w:rsidRPr="00BF42B7">
        <w:rPr>
          <w:rFonts w:hint="eastAsia"/>
          <w:lang w:val="en-GB"/>
        </w:rPr>
        <w:t>红十字委员会的习惯法研究强调了相称性原则对于武装冲突期间保护自然环境的特殊重要性，认为需要评估攻击行动对环境的潜在影响。</w:t>
      </w:r>
      <w:r w:rsidRPr="00BF42B7">
        <w:rPr>
          <w:color w:val="0000FF"/>
          <w:vertAlign w:val="superscript"/>
          <w:lang w:val="en-GB"/>
        </w:rPr>
        <w:footnoteReference w:id="1383"/>
      </w:r>
    </w:p>
    <w:p w:rsidR="00396D56" w:rsidRPr="00BF42B7" w:rsidRDefault="00396D56" w:rsidP="00396D56">
      <w:pPr>
        <w:pStyle w:val="SingleTxtGC"/>
        <w:rPr>
          <w:lang w:val="en-GB"/>
        </w:rPr>
      </w:pPr>
      <w:r w:rsidRPr="00BF42B7">
        <w:rPr>
          <w:rFonts w:hint="eastAsia"/>
          <w:lang w:val="en-GB"/>
        </w:rPr>
        <w:t>(8)</w:t>
      </w:r>
      <w:r w:rsidRPr="00BF42B7">
        <w:rPr>
          <w:rFonts w:hint="eastAsia"/>
          <w:lang w:val="en-GB"/>
        </w:rPr>
        <w:tab/>
      </w:r>
      <w:r w:rsidRPr="00BF42B7">
        <w:rPr>
          <w:rFonts w:hint="eastAsia"/>
          <w:lang w:val="en-GB"/>
        </w:rPr>
        <w:t>如果在保护自然环境方面适用关于相称性的规则，则意味着，如果对合法军事目标的攻击会对环境造成超出所涉军事目标价值的附带影响，就必须避免实施此种攻击。</w:t>
      </w:r>
      <w:r w:rsidRPr="00BF42B7">
        <w:rPr>
          <w:color w:val="0000FF"/>
          <w:vertAlign w:val="superscript"/>
          <w:lang w:val="en-GB"/>
        </w:rPr>
        <w:footnoteReference w:id="1384"/>
      </w:r>
      <w:r w:rsidRPr="00BF42B7">
        <w:rPr>
          <w:lang w:val="en-GB"/>
        </w:rPr>
        <w:t xml:space="preserve"> </w:t>
      </w:r>
      <w:r w:rsidRPr="00BF42B7">
        <w:rPr>
          <w:rFonts w:hint="eastAsia"/>
          <w:lang w:val="en-GB"/>
        </w:rPr>
        <w:t>但另一方面，适用这条规则也意味着“如果目标足够重要，可能有理由加大对环境构成的风险程度”。</w:t>
      </w:r>
      <w:r w:rsidRPr="00BF42B7">
        <w:rPr>
          <w:color w:val="0000FF"/>
          <w:vertAlign w:val="superscript"/>
          <w:lang w:val="en-GB"/>
        </w:rPr>
        <w:footnoteReference w:id="1385"/>
      </w:r>
      <w:r w:rsidRPr="00BF42B7">
        <w:rPr>
          <w:lang w:val="en-GB"/>
        </w:rPr>
        <w:t xml:space="preserve"> </w:t>
      </w:r>
      <w:r w:rsidRPr="00BF42B7">
        <w:rPr>
          <w:rFonts w:hint="eastAsia"/>
          <w:lang w:val="en-GB"/>
        </w:rPr>
        <w:t>因此，对于在某些情况下自然环境受到的“附带损害”可能是合法的这一点，这条规则是接受的。</w:t>
      </w:r>
    </w:p>
    <w:p w:rsidR="00396D56" w:rsidRPr="00BF42B7" w:rsidRDefault="00396D56" w:rsidP="00396D56">
      <w:pPr>
        <w:pStyle w:val="SingleTxtGC"/>
        <w:rPr>
          <w:lang w:val="en-GB"/>
        </w:rPr>
      </w:pPr>
      <w:r w:rsidRPr="00BF42B7">
        <w:rPr>
          <w:rFonts w:hint="eastAsia"/>
          <w:lang w:val="en-GB"/>
        </w:rPr>
        <w:t xml:space="preserve">(9)  </w:t>
      </w:r>
      <w:r w:rsidRPr="00BF42B7">
        <w:rPr>
          <w:rFonts w:hint="eastAsia"/>
          <w:lang w:val="en-GB"/>
        </w:rPr>
        <w:t>根据武装冲突法的规定，出于军事必要可以采取“确为实现合法军事目的所需、且未以其他方式受到禁止的措施”。</w:t>
      </w:r>
      <w:r w:rsidRPr="00BF42B7">
        <w:rPr>
          <w:color w:val="0000FF"/>
          <w:vertAlign w:val="superscript"/>
          <w:lang w:val="en-GB"/>
        </w:rPr>
        <w:footnoteReference w:id="1386"/>
      </w:r>
      <w:r w:rsidRPr="00BF42B7">
        <w:rPr>
          <w:lang w:val="en-GB"/>
        </w:rPr>
        <w:t xml:space="preserve"> </w:t>
      </w:r>
      <w:r w:rsidRPr="00BF42B7">
        <w:rPr>
          <w:rFonts w:hint="eastAsia"/>
          <w:lang w:val="en-GB"/>
        </w:rPr>
        <w:t>这意味着对合法军事目标的攻击，如果可能对环境产生不利影响，只有在此攻击确为实现具体军事目的所需，且不在禁止使用旨在或可能对自然环境造成广泛、长期和严重损害的作战方法或手段的禁令的范围内，</w:t>
      </w:r>
      <w:r w:rsidRPr="00BF42B7">
        <w:rPr>
          <w:color w:val="0000FF"/>
          <w:vertAlign w:val="superscript"/>
        </w:rPr>
        <w:footnoteReference w:id="1387"/>
      </w:r>
      <w:r w:rsidRPr="00BF42B7">
        <w:rPr>
          <w:lang w:val="en-GB"/>
        </w:rPr>
        <w:t xml:space="preserve"> </w:t>
      </w:r>
      <w:r w:rsidRPr="00BF42B7">
        <w:rPr>
          <w:rFonts w:hint="eastAsia"/>
          <w:lang w:val="en-GB"/>
        </w:rPr>
        <w:t>或不符合相称性原则所含各项标准的情况下，</w:t>
      </w:r>
      <w:r w:rsidRPr="00BF42B7">
        <w:rPr>
          <w:color w:val="0000FF"/>
          <w:vertAlign w:val="superscript"/>
        </w:rPr>
        <w:footnoteReference w:id="1388"/>
      </w:r>
      <w:r w:rsidRPr="00BF42B7">
        <w:rPr>
          <w:rFonts w:hint="eastAsia"/>
          <w:lang w:val="en-GB"/>
        </w:rPr>
        <w:t xml:space="preserve"> </w:t>
      </w:r>
      <w:r w:rsidRPr="00BF42B7">
        <w:rPr>
          <w:rFonts w:hint="eastAsia"/>
          <w:lang w:val="en-GB"/>
        </w:rPr>
        <w:t>才允许实施。</w:t>
      </w:r>
    </w:p>
    <w:p w:rsidR="00396D56" w:rsidRPr="00BF42B7" w:rsidRDefault="00396D56" w:rsidP="00396D56">
      <w:pPr>
        <w:pStyle w:val="SingleTxtGC"/>
        <w:rPr>
          <w:spacing w:val="4"/>
          <w:lang w:val="en-GB"/>
        </w:rPr>
      </w:pPr>
      <w:r w:rsidRPr="00BF42B7">
        <w:rPr>
          <w:rFonts w:hint="eastAsia"/>
          <w:lang w:val="en-GB"/>
        </w:rPr>
        <w:t xml:space="preserve">(10)  </w:t>
      </w:r>
      <w:r w:rsidRPr="00BF42B7">
        <w:rPr>
          <w:rFonts w:hint="eastAsia"/>
          <w:lang w:val="en-GB"/>
        </w:rPr>
        <w:t>关于攻击时采取预防措施的规则规定，军事行动中必须注意不损害平民居民、平民和民用物体；还须采取一切可行的预防措施，避免并尽可能减少附带</w:t>
      </w:r>
      <w:r w:rsidRPr="00BF42B7">
        <w:rPr>
          <w:rFonts w:hint="eastAsia"/>
        </w:rPr>
        <w:t>造成</w:t>
      </w:r>
      <w:r w:rsidRPr="00BF42B7">
        <w:rPr>
          <w:rFonts w:hint="eastAsia"/>
          <w:lang w:val="en-GB"/>
        </w:rPr>
        <w:t>平民死亡、受伤以及民用物体受损害的情况。此规则已写入若干关于武装冲突</w:t>
      </w:r>
      <w:r w:rsidRPr="00BF42B7">
        <w:rPr>
          <w:rFonts w:hint="eastAsia"/>
          <w:spacing w:val="4"/>
          <w:lang w:val="en-GB"/>
        </w:rPr>
        <w:t>的法律文书</w:t>
      </w:r>
      <w:r w:rsidRPr="00BF42B7">
        <w:rPr>
          <w:color w:val="0000FF"/>
          <w:spacing w:val="4"/>
          <w:vertAlign w:val="superscript"/>
          <w:lang w:val="en-GB"/>
        </w:rPr>
        <w:footnoteReference w:id="1389"/>
      </w:r>
      <w:r w:rsidRPr="00BF42B7">
        <w:rPr>
          <w:rFonts w:hint="eastAsia"/>
          <w:spacing w:val="4"/>
          <w:lang w:val="en-GB"/>
        </w:rPr>
        <w:t>，而且被视为国际性和非国际性武装冲突中的习惯国际法规则。</w:t>
      </w:r>
      <w:r w:rsidRPr="00BF42B7">
        <w:rPr>
          <w:color w:val="0000FF"/>
          <w:spacing w:val="4"/>
          <w:vertAlign w:val="superscript"/>
          <w:lang w:val="en-GB"/>
        </w:rPr>
        <w:footnoteReference w:id="1390"/>
      </w:r>
    </w:p>
    <w:p w:rsidR="00396D56" w:rsidRPr="00BF42B7" w:rsidRDefault="00396D56" w:rsidP="00396D56">
      <w:pPr>
        <w:pStyle w:val="SingleTxtGC"/>
        <w:rPr>
          <w:lang w:val="en-GB"/>
        </w:rPr>
      </w:pPr>
      <w:r w:rsidRPr="00BF42B7">
        <w:rPr>
          <w:rFonts w:hint="eastAsia"/>
          <w:lang w:val="en-GB"/>
        </w:rPr>
        <w:t xml:space="preserve">(11)  </w:t>
      </w:r>
      <w:r w:rsidRPr="00BF42B7">
        <w:rPr>
          <w:rFonts w:hint="eastAsia"/>
          <w:lang w:val="en-GB"/>
        </w:rPr>
        <w:t>关于攻击时采取预防措施的基本规则要求武装冲突各方在计划和决定攻击时采取必要的、积极的预防措施。因此，在环境保护方面，这意味着武装冲突各方必须采取一切可行的预防措施，避免并尽可能减少对环境的附带损害。</w:t>
      </w:r>
      <w:r w:rsidRPr="00BF42B7">
        <w:rPr>
          <w:color w:val="0000FF"/>
          <w:vertAlign w:val="superscript"/>
          <w:lang w:val="en-GB"/>
        </w:rPr>
        <w:footnoteReference w:id="1391"/>
      </w:r>
    </w:p>
    <w:p w:rsidR="00396D56" w:rsidRPr="00BF42B7" w:rsidRDefault="00396D56" w:rsidP="00396D56">
      <w:pPr>
        <w:pStyle w:val="SingleTxtGC"/>
        <w:rPr>
          <w:lang w:val="en-GB"/>
        </w:rPr>
      </w:pPr>
      <w:r w:rsidRPr="00BF42B7">
        <w:rPr>
          <w:rFonts w:hint="eastAsia"/>
          <w:lang w:val="en-GB"/>
        </w:rPr>
        <w:t xml:space="preserve">(12)  </w:t>
      </w:r>
      <w:r w:rsidRPr="00BF42B7">
        <w:rPr>
          <w:rFonts w:hint="eastAsia"/>
          <w:lang w:val="en-GB"/>
        </w:rPr>
        <w:t>最后，“应对</w:t>
      </w:r>
      <w:r w:rsidRPr="00BF42B7">
        <w:rPr>
          <w:rFonts w:hint="eastAsia"/>
          <w:lang w:val="en-GB"/>
        </w:rPr>
        <w:t>[</w:t>
      </w:r>
      <w:r w:rsidRPr="00BF42B7">
        <w:rPr>
          <w:rFonts w:hint="eastAsia"/>
          <w:lang w:val="en-GB"/>
        </w:rPr>
        <w:t>自然</w:t>
      </w:r>
      <w:r w:rsidRPr="00BF42B7">
        <w:rPr>
          <w:rFonts w:hint="eastAsia"/>
          <w:lang w:val="en-GB"/>
        </w:rPr>
        <w:t>]</w:t>
      </w:r>
      <w:r w:rsidRPr="00BF42B7">
        <w:rPr>
          <w:rFonts w:hint="eastAsia"/>
          <w:lang w:val="en-GB"/>
        </w:rPr>
        <w:t>环境适用……，以期保护环境”这段话为卷入武装冲突或</w:t>
      </w:r>
      <w:r w:rsidRPr="00BF42B7">
        <w:rPr>
          <w:rFonts w:hint="eastAsia"/>
        </w:rPr>
        <w:t>军事</w:t>
      </w:r>
      <w:r w:rsidRPr="00BF42B7">
        <w:rPr>
          <w:rFonts w:hint="eastAsia"/>
          <w:lang w:val="en-GB"/>
        </w:rPr>
        <w:t>行动的各方树立了应力争达到的目标，从而比仅仅申明对环境适用武装冲突规则更进了一步。</w:t>
      </w:r>
    </w:p>
    <w:p w:rsidR="00396D56" w:rsidRPr="00BF42B7" w:rsidRDefault="00396D56" w:rsidP="00396D56">
      <w:pPr>
        <w:pStyle w:val="H23GC"/>
        <w:ind w:left="1554"/>
        <w:rPr>
          <w:lang w:val="en-GB"/>
        </w:rPr>
      </w:pPr>
      <w:r w:rsidRPr="00BF42B7">
        <w:rPr>
          <w:rFonts w:hint="eastAsia"/>
          <w:lang w:val="en-GB"/>
        </w:rPr>
        <w:tab/>
      </w:r>
      <w:r w:rsidRPr="00BF42B7">
        <w:rPr>
          <w:rFonts w:hint="eastAsia"/>
          <w:lang w:val="en-GB"/>
        </w:rPr>
        <w:tab/>
      </w:r>
      <w:r w:rsidRPr="00BF42B7">
        <w:rPr>
          <w:rFonts w:hint="eastAsia"/>
          <w:lang w:val="en-GB"/>
        </w:rPr>
        <w:t>原则草案</w:t>
      </w:r>
      <w:r w:rsidRPr="00BF42B7">
        <w:rPr>
          <w:rFonts w:hint="eastAsia"/>
          <w:lang w:val="en-GB"/>
        </w:rPr>
        <w:t>11[2-3]</w:t>
      </w:r>
      <w:r w:rsidRPr="00BF42B7">
        <w:rPr>
          <w:rFonts w:hint="eastAsia"/>
          <w:lang w:val="en-GB"/>
        </w:rPr>
        <w:br/>
      </w:r>
      <w:r w:rsidRPr="00BF42B7">
        <w:rPr>
          <w:rFonts w:hint="eastAsia"/>
          <w:lang w:val="en-GB"/>
        </w:rPr>
        <w:t>环境因素</w:t>
      </w:r>
    </w:p>
    <w:p w:rsidR="00396D56" w:rsidRPr="00BF42B7" w:rsidRDefault="004847A4" w:rsidP="004847A4">
      <w:pPr>
        <w:pStyle w:val="SingleTxtGC"/>
        <w:tabs>
          <w:tab w:val="clear" w:pos="431"/>
          <w:tab w:val="clear" w:pos="1134"/>
          <w:tab w:val="clear" w:pos="1565"/>
        </w:tabs>
        <w:ind w:left="1554"/>
        <w:rPr>
          <w:lang w:val="en-GB"/>
        </w:rPr>
      </w:pPr>
      <w:r>
        <w:rPr>
          <w:rFonts w:hint="eastAsia"/>
          <w:lang w:val="en-GB"/>
        </w:rPr>
        <w:tab/>
      </w:r>
      <w:r w:rsidR="00396D56" w:rsidRPr="00BF42B7">
        <w:rPr>
          <w:rFonts w:hint="eastAsia"/>
          <w:lang w:val="en-GB"/>
        </w:rPr>
        <w:t>适用相称性原则和军事必要性规则时，应考虑环境因素。</w:t>
      </w:r>
    </w:p>
    <w:p w:rsidR="00396D56" w:rsidRPr="00BF42B7" w:rsidRDefault="00396D56" w:rsidP="00396D56">
      <w:pPr>
        <w:pStyle w:val="H23GC"/>
        <w:rPr>
          <w:lang w:val="en-GB"/>
        </w:rPr>
      </w:pPr>
      <w:r w:rsidRPr="00BF42B7">
        <w:rPr>
          <w:rFonts w:hint="eastAsia"/>
          <w:lang w:val="en-GB"/>
        </w:rPr>
        <w:tab/>
      </w:r>
      <w:r w:rsidRPr="00BF42B7">
        <w:rPr>
          <w:rFonts w:hint="eastAsia"/>
          <w:lang w:val="en-GB"/>
        </w:rPr>
        <w:tab/>
      </w:r>
      <w:r w:rsidRPr="00BF42B7">
        <w:rPr>
          <w:rFonts w:hint="eastAsia"/>
          <w:lang w:val="en-GB"/>
        </w:rPr>
        <w:t>评注</w:t>
      </w:r>
    </w:p>
    <w:p w:rsidR="00396D56" w:rsidRPr="00BF42B7" w:rsidRDefault="00396D56" w:rsidP="00396D56">
      <w:pPr>
        <w:pStyle w:val="SingleTxtGC"/>
        <w:rPr>
          <w:lang w:val="en-GB"/>
        </w:rPr>
      </w:pPr>
      <w:r w:rsidRPr="00BF42B7">
        <w:rPr>
          <w:rFonts w:hint="eastAsia"/>
          <w:lang w:val="en-GB"/>
        </w:rPr>
        <w:t xml:space="preserve">(1)  </w:t>
      </w:r>
      <w:r w:rsidRPr="00BF42B7">
        <w:rPr>
          <w:rFonts w:hint="eastAsia"/>
          <w:lang w:val="en-GB"/>
        </w:rPr>
        <w:t>原则</w:t>
      </w:r>
      <w:r w:rsidRPr="00BF42B7">
        <w:rPr>
          <w:lang w:val="en-GB"/>
        </w:rPr>
        <w:t>草案</w:t>
      </w:r>
      <w:r w:rsidRPr="00BF42B7">
        <w:rPr>
          <w:lang w:val="en-GB"/>
        </w:rPr>
        <w:t>11[2-3]</w:t>
      </w:r>
      <w:r w:rsidRPr="00BF42B7">
        <w:rPr>
          <w:lang w:val="en-GB"/>
        </w:rPr>
        <w:t>的标题是</w:t>
      </w:r>
      <w:r w:rsidRPr="00BF42B7">
        <w:rPr>
          <w:rFonts w:hint="eastAsia"/>
          <w:lang w:val="en-GB"/>
        </w:rPr>
        <w:t>“</w:t>
      </w:r>
      <w:r w:rsidRPr="00BF42B7">
        <w:rPr>
          <w:lang w:val="en-GB"/>
        </w:rPr>
        <w:t>环境因素</w:t>
      </w:r>
      <w:r w:rsidRPr="00BF42B7">
        <w:rPr>
          <w:rFonts w:hint="eastAsia"/>
          <w:lang w:val="en-GB"/>
        </w:rPr>
        <w:t>”</w:t>
      </w:r>
      <w:r w:rsidRPr="00BF42B7">
        <w:rPr>
          <w:lang w:val="en-GB"/>
        </w:rPr>
        <w:t>，规定在适用相称性原则和军事必要性规则时，应考虑环境因素</w:t>
      </w:r>
      <w:r w:rsidRPr="00BF42B7">
        <w:rPr>
          <w:rFonts w:hint="eastAsia"/>
          <w:lang w:val="en-GB"/>
        </w:rPr>
        <w:t>。</w:t>
      </w:r>
    </w:p>
    <w:p w:rsidR="00396D56" w:rsidRPr="00BF42B7" w:rsidRDefault="00396D56" w:rsidP="00396D56">
      <w:pPr>
        <w:pStyle w:val="SingleTxtGC"/>
        <w:rPr>
          <w:lang w:val="en-GB"/>
        </w:rPr>
      </w:pPr>
      <w:r w:rsidRPr="00BF42B7">
        <w:rPr>
          <w:rFonts w:hint="eastAsia"/>
          <w:lang w:val="en-GB"/>
        </w:rPr>
        <w:t xml:space="preserve">(2)  </w:t>
      </w:r>
      <w:r w:rsidRPr="00BF42B7">
        <w:rPr>
          <w:rFonts w:hint="eastAsia"/>
          <w:lang w:val="en-GB"/>
        </w:rPr>
        <w:t>此案文源自国际法院对“以核武器进行威胁或使用核武器的合法性”发表的咨询意见，并受到了它的启发。该咨询意见认为：“国家在追求合法的军事目标而估量什么手段是必要和相称时，必须考虑到环境因素。在估量一项行动是否符合必要和相称的原则时，尊重环境是必须考虑的因素之一”。</w:t>
      </w:r>
      <w:r w:rsidRPr="00BF42B7">
        <w:rPr>
          <w:color w:val="0000FF"/>
          <w:vertAlign w:val="superscript"/>
          <w:lang w:val="en-GB"/>
        </w:rPr>
        <w:footnoteReference w:id="1392"/>
      </w:r>
    </w:p>
    <w:p w:rsidR="00396D56" w:rsidRPr="00BF42B7" w:rsidRDefault="00396D56" w:rsidP="00396D56">
      <w:pPr>
        <w:pStyle w:val="SingleTxtGC"/>
        <w:rPr>
          <w:lang w:val="en-GB"/>
        </w:rPr>
      </w:pPr>
      <w:r w:rsidRPr="00BF42B7">
        <w:rPr>
          <w:rFonts w:hint="eastAsia"/>
          <w:lang w:val="en-GB"/>
        </w:rPr>
        <w:t xml:space="preserve">(3)  </w:t>
      </w:r>
      <w:r w:rsidRPr="00BF42B7">
        <w:rPr>
          <w:rFonts w:hint="eastAsia"/>
          <w:lang w:val="en-GB"/>
        </w:rPr>
        <w:t>原则草案</w:t>
      </w:r>
      <w:r w:rsidRPr="00BF42B7">
        <w:rPr>
          <w:lang w:val="en-GB"/>
        </w:rPr>
        <w:t>11[2-3]</w:t>
      </w:r>
      <w:r w:rsidRPr="00BF42B7">
        <w:rPr>
          <w:rFonts w:hint="eastAsia"/>
          <w:lang w:val="en-GB"/>
        </w:rPr>
        <w:t>与原则草案</w:t>
      </w:r>
      <w:r w:rsidRPr="00BF42B7">
        <w:rPr>
          <w:lang w:val="en-GB"/>
        </w:rPr>
        <w:t>10[2-2]</w:t>
      </w:r>
      <w:r w:rsidRPr="00BF42B7">
        <w:rPr>
          <w:rFonts w:hint="eastAsia"/>
          <w:lang w:val="en-GB"/>
        </w:rPr>
        <w:t>密切相关。这条原则草案较原则草案</w:t>
      </w:r>
      <w:r w:rsidRPr="00BF42B7">
        <w:rPr>
          <w:rFonts w:hint="eastAsia"/>
          <w:lang w:val="en-GB"/>
        </w:rPr>
        <w:t>10[2-2]</w:t>
      </w:r>
      <w:r w:rsidRPr="00BF42B7">
        <w:rPr>
          <w:rFonts w:hint="eastAsia"/>
          <w:lang w:val="en-GB"/>
        </w:rPr>
        <w:t>增加的内容是，它在适用相称性原则和军事必要性规则方面提供了具体说明，因此具有实际操作意义。然而，有些委员建议应将其完全删除。</w:t>
      </w:r>
    </w:p>
    <w:p w:rsidR="00396D56" w:rsidRPr="00BF42B7" w:rsidRDefault="00396D56" w:rsidP="00396D56">
      <w:pPr>
        <w:pStyle w:val="SingleTxtGC"/>
        <w:rPr>
          <w:lang w:val="en-GB"/>
        </w:rPr>
      </w:pPr>
      <w:r w:rsidRPr="00BF42B7">
        <w:rPr>
          <w:rFonts w:hint="eastAsia"/>
          <w:lang w:val="en-GB"/>
        </w:rPr>
        <w:t xml:space="preserve">(4)  </w:t>
      </w:r>
      <w:r w:rsidRPr="00BF42B7">
        <w:rPr>
          <w:rFonts w:hint="eastAsia"/>
          <w:lang w:val="en-GB"/>
        </w:rPr>
        <w:t>原则草案</w:t>
      </w:r>
      <w:r w:rsidRPr="00BF42B7">
        <w:rPr>
          <w:lang w:val="en-GB"/>
        </w:rPr>
        <w:t>11[2-3]</w:t>
      </w:r>
      <w:r w:rsidRPr="00BF42B7">
        <w:rPr>
          <w:rFonts w:hint="eastAsia"/>
          <w:lang w:val="en-GB"/>
        </w:rPr>
        <w:t>旨在处理军事行为，而不涉及确定何为军事目标的过程本身。这一过程已由武装冲突法加以规范，军事手册和各国国内法也经常有所反映。</w:t>
      </w:r>
      <w:bookmarkStart w:id="334" w:name="_Ref454974186"/>
      <w:r w:rsidRPr="00BF42B7">
        <w:rPr>
          <w:color w:val="0000FF"/>
          <w:vertAlign w:val="superscript"/>
        </w:rPr>
        <w:footnoteReference w:id="1393"/>
      </w:r>
      <w:bookmarkEnd w:id="334"/>
      <w:r w:rsidRPr="00BF42B7">
        <w:rPr>
          <w:lang w:val="en-GB"/>
        </w:rPr>
        <w:t xml:space="preserve"> </w:t>
      </w:r>
      <w:r w:rsidRPr="00BF42B7">
        <w:rPr>
          <w:rFonts w:hint="eastAsia"/>
          <w:lang w:val="en-GB"/>
        </w:rPr>
        <w:t>为明确这一点，特别选用了“适用原则时”的措辞。为明确起见，同时为了强调原则草案</w:t>
      </w:r>
      <w:r w:rsidRPr="00BF42B7">
        <w:rPr>
          <w:rFonts w:hint="eastAsia"/>
          <w:lang w:val="en-GB"/>
        </w:rPr>
        <w:t>10[2-2]</w:t>
      </w:r>
      <w:r w:rsidRPr="00BF42B7">
        <w:rPr>
          <w:rFonts w:hint="eastAsia"/>
          <w:lang w:val="en-GB"/>
        </w:rPr>
        <w:t>与原则草案</w:t>
      </w:r>
      <w:r w:rsidRPr="00BF42B7">
        <w:rPr>
          <w:rFonts w:hint="eastAsia"/>
          <w:lang w:val="en-GB"/>
        </w:rPr>
        <w:t>11[2-3]</w:t>
      </w:r>
      <w:r w:rsidRPr="00BF42B7">
        <w:rPr>
          <w:rFonts w:hint="eastAsia"/>
          <w:lang w:val="en-GB"/>
        </w:rPr>
        <w:t>之间的关联，决定明确提及相称性原则和军事必要性规则。上文原则草案</w:t>
      </w:r>
      <w:r w:rsidRPr="00BF42B7">
        <w:rPr>
          <w:lang w:val="en-GB"/>
        </w:rPr>
        <w:t>10[2-2]</w:t>
      </w:r>
      <w:r w:rsidRPr="00BF42B7">
        <w:rPr>
          <w:rFonts w:hint="eastAsia"/>
          <w:lang w:val="en-GB"/>
        </w:rPr>
        <w:t>的评注部分已对这些原则进行了讨论。</w:t>
      </w:r>
    </w:p>
    <w:p w:rsidR="00396D56" w:rsidRPr="00BF42B7" w:rsidRDefault="00396D56" w:rsidP="00396D56">
      <w:pPr>
        <w:pStyle w:val="SingleTxtGC"/>
        <w:rPr>
          <w:lang w:val="en-GB"/>
        </w:rPr>
      </w:pPr>
      <w:r w:rsidRPr="00BF42B7">
        <w:rPr>
          <w:rFonts w:hint="eastAsia"/>
          <w:lang w:val="en-GB"/>
        </w:rPr>
        <w:t xml:space="preserve">(5)  </w:t>
      </w:r>
      <w:r w:rsidRPr="00BF42B7">
        <w:rPr>
          <w:rFonts w:hint="eastAsia"/>
          <w:lang w:val="en-GB"/>
        </w:rPr>
        <w:t>一旦确认了合法军事目标，原则草案</w:t>
      </w:r>
      <w:r w:rsidRPr="00BF42B7">
        <w:rPr>
          <w:lang w:val="en-GB"/>
        </w:rPr>
        <w:t>11[2-3]</w:t>
      </w:r>
      <w:r w:rsidRPr="00BF42B7">
        <w:rPr>
          <w:rFonts w:hint="eastAsia"/>
          <w:lang w:val="en-GB"/>
        </w:rPr>
        <w:t>便具有相关性。由于人类对环境及其生态系统的认知不断增加、深入和普及，这意味着随着时间的推移，环境因素不可能一成不变，而应随着人类对环境的认知的发展而发展。</w:t>
      </w:r>
    </w:p>
    <w:p w:rsidR="00396D56" w:rsidRPr="00BF42B7" w:rsidRDefault="00396D56" w:rsidP="00396D56">
      <w:pPr>
        <w:pStyle w:val="H23GC"/>
        <w:ind w:left="1554"/>
        <w:rPr>
          <w:lang w:val="en-GB"/>
        </w:rPr>
      </w:pPr>
      <w:r w:rsidRPr="00BF42B7">
        <w:rPr>
          <w:rFonts w:hint="eastAsia"/>
          <w:lang w:val="en-GB"/>
        </w:rPr>
        <w:tab/>
      </w:r>
      <w:r w:rsidRPr="00BF42B7">
        <w:rPr>
          <w:rFonts w:hint="eastAsia"/>
          <w:lang w:val="en-GB"/>
        </w:rPr>
        <w:tab/>
      </w:r>
      <w:r w:rsidRPr="00BF42B7">
        <w:rPr>
          <w:rFonts w:hint="eastAsia"/>
          <w:lang w:val="en-GB"/>
        </w:rPr>
        <w:t>原则草案</w:t>
      </w:r>
      <w:r w:rsidRPr="00BF42B7">
        <w:rPr>
          <w:rFonts w:hint="eastAsia"/>
          <w:lang w:val="en-GB"/>
        </w:rPr>
        <w:t>12[2-4]</w:t>
      </w:r>
      <w:r w:rsidRPr="00BF42B7">
        <w:rPr>
          <w:lang w:val="en-GB"/>
        </w:rPr>
        <w:br/>
      </w:r>
      <w:r w:rsidRPr="00BF42B7">
        <w:rPr>
          <w:rFonts w:hint="eastAsia"/>
          <w:lang w:val="en-GB"/>
        </w:rPr>
        <w:t>禁止报复</w:t>
      </w:r>
    </w:p>
    <w:p w:rsidR="00396D56" w:rsidRPr="00BF42B7" w:rsidRDefault="004847A4" w:rsidP="004847A4">
      <w:pPr>
        <w:pStyle w:val="SingleTxtGC"/>
        <w:tabs>
          <w:tab w:val="clear" w:pos="431"/>
          <w:tab w:val="clear" w:pos="1134"/>
          <w:tab w:val="clear" w:pos="1565"/>
        </w:tabs>
        <w:ind w:left="1554"/>
        <w:rPr>
          <w:lang w:val="en-GB"/>
        </w:rPr>
      </w:pPr>
      <w:r>
        <w:rPr>
          <w:rFonts w:hint="eastAsia"/>
          <w:lang w:val="en-GB"/>
        </w:rPr>
        <w:tab/>
      </w:r>
      <w:r w:rsidR="00396D56" w:rsidRPr="00BF42B7">
        <w:rPr>
          <w:rFonts w:hint="eastAsia"/>
          <w:lang w:val="en-GB"/>
        </w:rPr>
        <w:t>禁止作为报复而对自然环境进行攻击。</w:t>
      </w:r>
    </w:p>
    <w:p w:rsidR="00396D56" w:rsidRPr="00BF42B7" w:rsidRDefault="00396D56" w:rsidP="00396D56">
      <w:pPr>
        <w:pStyle w:val="H23GC"/>
        <w:rPr>
          <w:lang w:val="en-GB"/>
        </w:rPr>
      </w:pPr>
      <w:r w:rsidRPr="00BF42B7">
        <w:rPr>
          <w:rFonts w:hint="eastAsia"/>
          <w:lang w:val="en-GB"/>
        </w:rPr>
        <w:tab/>
      </w:r>
      <w:r w:rsidRPr="00BF42B7">
        <w:rPr>
          <w:rFonts w:hint="eastAsia"/>
          <w:lang w:val="en-GB"/>
        </w:rPr>
        <w:tab/>
      </w:r>
      <w:r w:rsidRPr="00BF42B7">
        <w:rPr>
          <w:rFonts w:hint="eastAsia"/>
          <w:lang w:val="en-GB"/>
        </w:rPr>
        <w:t>评注</w:t>
      </w:r>
    </w:p>
    <w:p w:rsidR="00396D56" w:rsidRPr="00BF42B7" w:rsidRDefault="00396D56" w:rsidP="00396D56">
      <w:pPr>
        <w:pStyle w:val="SingleTxtGC"/>
        <w:rPr>
          <w:lang w:val="en-GB"/>
        </w:rPr>
      </w:pPr>
      <w:r w:rsidRPr="00BF42B7">
        <w:rPr>
          <w:rFonts w:hint="eastAsia"/>
          <w:bCs/>
          <w:lang w:val="en-GB"/>
        </w:rPr>
        <w:t xml:space="preserve">(1)  </w:t>
      </w:r>
      <w:r w:rsidRPr="00BF42B7">
        <w:rPr>
          <w:rFonts w:hint="eastAsia"/>
          <w:bCs/>
          <w:lang w:val="en-GB"/>
        </w:rPr>
        <w:t>原则草案</w:t>
      </w:r>
      <w:r w:rsidRPr="00BF42B7">
        <w:rPr>
          <w:bCs/>
          <w:lang w:val="en-GB"/>
        </w:rPr>
        <w:t>12[2-4]</w:t>
      </w:r>
      <w:r w:rsidRPr="00BF42B7">
        <w:rPr>
          <w:lang w:val="en-GB"/>
        </w:rPr>
        <w:t>的标题是</w:t>
      </w:r>
      <w:r w:rsidRPr="00BF42B7">
        <w:rPr>
          <w:rFonts w:hint="eastAsia"/>
          <w:lang w:val="en-GB"/>
        </w:rPr>
        <w:t>“</w:t>
      </w:r>
      <w:r w:rsidRPr="00BF42B7">
        <w:rPr>
          <w:lang w:val="en-GB"/>
        </w:rPr>
        <w:t>禁止报复</w:t>
      </w:r>
      <w:r w:rsidRPr="00BF42B7">
        <w:rPr>
          <w:rFonts w:hint="eastAsia"/>
          <w:lang w:val="en-GB"/>
        </w:rPr>
        <w:t>”</w:t>
      </w:r>
      <w:r w:rsidRPr="00BF42B7">
        <w:rPr>
          <w:lang w:val="en-GB"/>
        </w:rPr>
        <w:t>，是《第一附加议定书》第五十五条第二款的再现。</w:t>
      </w:r>
    </w:p>
    <w:p w:rsidR="00396D56" w:rsidRPr="00BF42B7" w:rsidRDefault="00396D56" w:rsidP="00396D56">
      <w:pPr>
        <w:pStyle w:val="SingleTxtGC"/>
        <w:rPr>
          <w:lang w:val="en-GB"/>
        </w:rPr>
      </w:pPr>
      <w:r w:rsidRPr="00BF42B7">
        <w:rPr>
          <w:lang w:val="en-GB"/>
        </w:rPr>
        <w:t xml:space="preserve">(2)  </w:t>
      </w:r>
      <w:r w:rsidRPr="00BF42B7">
        <w:rPr>
          <w:lang w:val="en-GB"/>
        </w:rPr>
        <w:t>虽然禁止报复自然环境的原则草案得到一些委员的欢迎和支持，但</w:t>
      </w:r>
      <w:r w:rsidRPr="00BF42B7">
        <w:rPr>
          <w:rFonts w:hint="eastAsia"/>
          <w:lang w:val="en-GB"/>
        </w:rPr>
        <w:t>另</w:t>
      </w:r>
      <w:r w:rsidRPr="00BF42B7">
        <w:rPr>
          <w:lang w:val="en-GB"/>
        </w:rPr>
        <w:t>一些委员就其表述方式提出了几个问题，认为根本不应将其纳入原则草案。不同意见主要集中在三点：</w:t>
      </w:r>
      <w:r w:rsidRPr="00BF42B7">
        <w:rPr>
          <w:lang w:val="en-GB"/>
        </w:rPr>
        <w:t xml:space="preserve">(a) </w:t>
      </w:r>
      <w:r w:rsidRPr="00BF42B7">
        <w:rPr>
          <w:lang w:val="en-GB"/>
        </w:rPr>
        <w:t>原则草案</w:t>
      </w:r>
      <w:r w:rsidRPr="00BF42B7">
        <w:rPr>
          <w:lang w:val="en-GB"/>
        </w:rPr>
        <w:t>12[2-4]</w:t>
      </w:r>
      <w:r w:rsidRPr="00BF42B7">
        <w:rPr>
          <w:lang w:val="en-GB"/>
        </w:rPr>
        <w:t>与《第一附加议定书》第五十一条之间的关联；</w:t>
      </w:r>
      <w:r w:rsidRPr="00BF42B7">
        <w:rPr>
          <w:lang w:val="en-GB"/>
        </w:rPr>
        <w:t xml:space="preserve">(b) </w:t>
      </w:r>
      <w:r w:rsidRPr="00BF42B7">
        <w:rPr>
          <w:lang w:val="en-GB"/>
        </w:rPr>
        <w:t>禁止报复环境是否体现了习惯法；</w:t>
      </w:r>
      <w:r w:rsidRPr="00BF42B7">
        <w:rPr>
          <w:lang w:val="en-GB"/>
        </w:rPr>
        <w:t xml:space="preserve">(c) </w:t>
      </w:r>
      <w:r w:rsidRPr="00BF42B7">
        <w:rPr>
          <w:lang w:val="en-GB"/>
        </w:rPr>
        <w:t>如果是，那么此习惯法规则是否涵盖了国际性和非国际性武装冲突。</w:t>
      </w:r>
    </w:p>
    <w:p w:rsidR="00396D56" w:rsidRPr="00BF42B7" w:rsidRDefault="00396D56" w:rsidP="00396D56">
      <w:pPr>
        <w:pStyle w:val="SingleTxtGC"/>
        <w:rPr>
          <w:lang w:val="en-GB"/>
        </w:rPr>
      </w:pPr>
      <w:r w:rsidRPr="00BF42B7">
        <w:rPr>
          <w:rFonts w:hint="eastAsia"/>
          <w:lang w:val="en-GB"/>
        </w:rPr>
        <w:t xml:space="preserve">(3)  </w:t>
      </w:r>
      <w:r w:rsidRPr="00BF42B7">
        <w:rPr>
          <w:rFonts w:hint="eastAsia"/>
          <w:lang w:val="en-GB"/>
        </w:rPr>
        <w:t>表示支持纳入这条原则草案的委员强调原则草案</w:t>
      </w:r>
      <w:r w:rsidRPr="00BF42B7">
        <w:rPr>
          <w:rFonts w:hint="eastAsia"/>
          <w:lang w:val="en-GB"/>
        </w:rPr>
        <w:t>12[2-4]</w:t>
      </w:r>
      <w:r w:rsidRPr="00BF42B7">
        <w:rPr>
          <w:rFonts w:hint="eastAsia"/>
          <w:lang w:val="en-GB"/>
        </w:rPr>
        <w:t>与《第一附加议定书》第五十一条之间的关联。他们认为，第五十一条</w:t>
      </w:r>
      <w:r w:rsidRPr="00BF42B7">
        <w:rPr>
          <w:rFonts w:hint="eastAsia"/>
          <w:lang w:val="en-GB"/>
        </w:rPr>
        <w:t>(</w:t>
      </w:r>
      <w:r w:rsidRPr="00BF42B7">
        <w:rPr>
          <w:rFonts w:hint="eastAsia"/>
          <w:lang w:val="en-GB"/>
        </w:rPr>
        <w:t>列在“防止敌对行动影响的一般保护”之下</w:t>
      </w:r>
      <w:r w:rsidRPr="00BF42B7">
        <w:rPr>
          <w:rFonts w:hint="eastAsia"/>
          <w:lang w:val="en-GB"/>
        </w:rPr>
        <w:t>)</w:t>
      </w:r>
      <w:r w:rsidRPr="00BF42B7">
        <w:rPr>
          <w:rFonts w:hint="eastAsia"/>
          <w:lang w:val="en-GB"/>
        </w:rPr>
        <w:t>是《第一附加议定书》最根本的条款之一。这一条阐明了一项习惯法规则，即必须保护平民免遭敌对行动引发的危险，这一条还特别规定“作为报复对平民居民的攻击，是禁止的。”</w:t>
      </w:r>
      <w:r w:rsidRPr="00BF42B7">
        <w:rPr>
          <w:color w:val="0000FF"/>
          <w:vertAlign w:val="superscript"/>
          <w:lang w:val="en-GB"/>
        </w:rPr>
        <w:footnoteReference w:id="1394"/>
      </w:r>
      <w:r w:rsidRPr="00BF42B7">
        <w:rPr>
          <w:lang w:val="en-GB"/>
        </w:rPr>
        <w:t xml:space="preserve"> </w:t>
      </w:r>
      <w:r w:rsidRPr="00BF42B7">
        <w:rPr>
          <w:rFonts w:hint="eastAsia"/>
          <w:lang w:val="en-GB"/>
        </w:rPr>
        <w:t>因此，必须纳入原则草案</w:t>
      </w:r>
      <w:r w:rsidRPr="00BF42B7">
        <w:rPr>
          <w:lang w:val="en-GB"/>
        </w:rPr>
        <w:t>12[2-4]</w:t>
      </w:r>
      <w:r w:rsidRPr="00BF42B7">
        <w:rPr>
          <w:rFonts w:hint="eastAsia"/>
          <w:lang w:val="en-GB"/>
        </w:rPr>
        <w:t>。他们认为，如果自然环境或其一部分成为报复的对象，则相当于攻击平民居民、平民或民用物体，从而违反了武装冲突法。</w:t>
      </w:r>
    </w:p>
    <w:p w:rsidR="00396D56" w:rsidRPr="00BF42B7" w:rsidRDefault="00396D56" w:rsidP="00396D56">
      <w:pPr>
        <w:pStyle w:val="SingleTxtGC"/>
        <w:rPr>
          <w:lang w:val="en-GB"/>
        </w:rPr>
      </w:pPr>
      <w:r w:rsidRPr="00BF42B7">
        <w:rPr>
          <w:rFonts w:hint="eastAsia"/>
          <w:lang w:val="en-GB"/>
        </w:rPr>
        <w:t xml:space="preserve">(4)  </w:t>
      </w:r>
      <w:r w:rsidRPr="00BF42B7">
        <w:rPr>
          <w:rFonts w:hint="eastAsia"/>
          <w:lang w:val="en-GB"/>
        </w:rPr>
        <w:t>在这方面，一些委员认为禁止报复构成习惯国际法的部分内容。但是其他委员质疑是否存在这一规则，认为此规则仅作为《第一附加议定书》之下的条约义务存在。</w:t>
      </w:r>
      <w:r w:rsidRPr="00BF42B7">
        <w:rPr>
          <w:color w:val="0000FF"/>
          <w:vertAlign w:val="superscript"/>
          <w:lang w:val="en-GB"/>
        </w:rPr>
        <w:footnoteReference w:id="1395"/>
      </w:r>
    </w:p>
    <w:p w:rsidR="00396D56" w:rsidRPr="00BF42B7" w:rsidRDefault="00396D56" w:rsidP="00396D56">
      <w:pPr>
        <w:pStyle w:val="SingleTxtGC"/>
        <w:rPr>
          <w:lang w:val="en-GB"/>
        </w:rPr>
      </w:pPr>
      <w:r w:rsidRPr="00BF42B7">
        <w:rPr>
          <w:rFonts w:hint="eastAsia"/>
          <w:lang w:val="en-GB"/>
        </w:rPr>
        <w:t xml:space="preserve">(5)  </w:t>
      </w:r>
      <w:r w:rsidRPr="00BF42B7">
        <w:rPr>
          <w:rFonts w:hint="eastAsia"/>
          <w:lang w:val="en-GB"/>
        </w:rPr>
        <w:t>有人关切地指出，纳入仿效《第一附加议定书》第五十五条第二款的原则草案</w:t>
      </w:r>
      <w:r w:rsidRPr="00BF42B7">
        <w:rPr>
          <w:lang w:val="en-GB"/>
        </w:rPr>
        <w:t>12[2-4]</w:t>
      </w:r>
      <w:r w:rsidRPr="00BF42B7">
        <w:rPr>
          <w:lang w:val="en-GB"/>
        </w:rPr>
        <w:t>，</w:t>
      </w:r>
      <w:r w:rsidRPr="00BF42B7">
        <w:rPr>
          <w:rFonts w:hint="eastAsia"/>
          <w:lang w:val="en-GB"/>
        </w:rPr>
        <w:t>有可能使原则草案与其普遍适用的宗旨背道而驰。虽然《第一附加议定书》已被广泛批准，从而使禁止报复环境的禁令得到多国承认，但是《第一附加议定书》并未得到普遍批准。</w:t>
      </w:r>
      <w:r w:rsidRPr="00BF42B7">
        <w:rPr>
          <w:color w:val="0000FF"/>
          <w:vertAlign w:val="superscript"/>
          <w:lang w:val="en-GB"/>
        </w:rPr>
        <w:footnoteReference w:id="1396"/>
      </w:r>
      <w:r w:rsidRPr="00BF42B7">
        <w:rPr>
          <w:lang w:val="en-GB"/>
        </w:rPr>
        <w:t xml:space="preserve"> </w:t>
      </w:r>
      <w:r w:rsidRPr="00BF42B7">
        <w:rPr>
          <w:rFonts w:hint="eastAsia"/>
          <w:lang w:val="en-GB"/>
        </w:rPr>
        <w:t>一些委员感到关切的是，在原则草案</w:t>
      </w:r>
      <w:r w:rsidRPr="00BF42B7">
        <w:rPr>
          <w:lang w:val="en-GB"/>
        </w:rPr>
        <w:t>12[2-4]</w:t>
      </w:r>
      <w:r w:rsidRPr="00BF42B7">
        <w:rPr>
          <w:rFonts w:hint="eastAsia"/>
          <w:lang w:val="en-GB"/>
        </w:rPr>
        <w:t>中原样照搬第五十五条第二款可被误解为试图为非缔约国设置一条有约束力的规则。还有人就此指出，第五十五条第二款受制于一些缔约国的保留和声明。</w:t>
      </w:r>
      <w:r w:rsidRPr="00BF42B7">
        <w:rPr>
          <w:color w:val="0000FF"/>
          <w:vertAlign w:val="superscript"/>
          <w:lang w:val="en-GB"/>
        </w:rPr>
        <w:footnoteReference w:id="1397"/>
      </w:r>
    </w:p>
    <w:p w:rsidR="00396D56" w:rsidRPr="00BF42B7" w:rsidRDefault="00396D56" w:rsidP="00396D56">
      <w:pPr>
        <w:pStyle w:val="SingleTxtGC"/>
        <w:rPr>
          <w:lang w:val="en-GB"/>
        </w:rPr>
      </w:pPr>
      <w:r w:rsidRPr="00BF42B7">
        <w:rPr>
          <w:rFonts w:hint="eastAsia"/>
          <w:lang w:val="en-GB"/>
        </w:rPr>
        <w:t xml:space="preserve">(6)  </w:t>
      </w:r>
      <w:r w:rsidRPr="00BF42B7">
        <w:rPr>
          <w:rFonts w:hint="eastAsia"/>
          <w:lang w:val="en-GB"/>
        </w:rPr>
        <w:t>因此，有必要对第五十五条第二款</w:t>
      </w:r>
      <w:r w:rsidRPr="00BF42B7">
        <w:rPr>
          <w:rFonts w:hint="eastAsia"/>
          <w:lang w:val="en-GB"/>
        </w:rPr>
        <w:t>(</w:t>
      </w:r>
      <w:r w:rsidRPr="00BF42B7">
        <w:rPr>
          <w:rFonts w:hint="eastAsia"/>
          <w:lang w:val="en-GB"/>
        </w:rPr>
        <w:t>作为条约条款</w:t>
      </w:r>
      <w:r w:rsidRPr="00BF42B7">
        <w:rPr>
          <w:rFonts w:hint="eastAsia"/>
          <w:lang w:val="en-GB"/>
        </w:rPr>
        <w:t>)</w:t>
      </w:r>
      <w:r w:rsidRPr="00BF42B7">
        <w:rPr>
          <w:rFonts w:hint="eastAsia"/>
          <w:lang w:val="en-GB"/>
        </w:rPr>
        <w:t>的立场做出如下小结：禁止作为报复而对自然环境进行攻击对于《第一附加议定书》</w:t>
      </w:r>
      <w:r w:rsidRPr="00BF42B7">
        <w:rPr>
          <w:lang w:val="en-GB"/>
        </w:rPr>
        <w:t>17</w:t>
      </w:r>
      <w:r w:rsidRPr="00BF42B7">
        <w:rPr>
          <w:rFonts w:hint="eastAsia"/>
          <w:lang w:val="en-GB"/>
        </w:rPr>
        <w:t>4</w:t>
      </w:r>
      <w:r w:rsidRPr="00BF42B7">
        <w:rPr>
          <w:rFonts w:hint="eastAsia"/>
          <w:lang w:val="en-GB"/>
        </w:rPr>
        <w:t>个缔约国是一项具有约束力的规则。各国做出的与其适用有关的声明或保留的范围，必须逐一评价，因为只有几个国家明确提及第五十五条第二款。</w:t>
      </w:r>
      <w:r w:rsidRPr="00BF42B7">
        <w:rPr>
          <w:color w:val="0000FF"/>
          <w:vertAlign w:val="superscript"/>
        </w:rPr>
        <w:footnoteReference w:id="1398"/>
      </w:r>
    </w:p>
    <w:p w:rsidR="00396D56" w:rsidRPr="00BF42B7" w:rsidRDefault="00396D56" w:rsidP="00396D56">
      <w:pPr>
        <w:pStyle w:val="SingleTxtGC"/>
        <w:rPr>
          <w:lang w:val="en-GB"/>
        </w:rPr>
      </w:pPr>
      <w:r w:rsidRPr="00BF42B7">
        <w:rPr>
          <w:rFonts w:hint="eastAsia"/>
          <w:lang w:val="en-GB"/>
        </w:rPr>
        <w:t xml:space="preserve">(7)  </w:t>
      </w:r>
      <w:r w:rsidRPr="00BF42B7">
        <w:rPr>
          <w:rFonts w:hint="eastAsia"/>
          <w:lang w:val="en-GB"/>
        </w:rPr>
        <w:t>另一个值得讨论的争议问题是，日内瓦四公约共同第三条和《第二附加议定书》中都没有与第五十五条第二款对应的规则，明确禁止在非国际性武装冲突中实施报复</w:t>
      </w:r>
      <w:r w:rsidRPr="00BF42B7">
        <w:rPr>
          <w:rFonts w:hint="eastAsia"/>
          <w:lang w:val="en-GB"/>
        </w:rPr>
        <w:t>(</w:t>
      </w:r>
      <w:r w:rsidRPr="00BF42B7">
        <w:rPr>
          <w:rFonts w:hint="eastAsia"/>
          <w:lang w:val="en-GB"/>
        </w:rPr>
        <w:t>包括报复平民、平民居民或民用物体</w:t>
      </w:r>
      <w:r w:rsidRPr="00BF42B7">
        <w:rPr>
          <w:rFonts w:hint="eastAsia"/>
          <w:lang w:val="en-GB"/>
        </w:rPr>
        <w:t>)</w:t>
      </w:r>
      <w:r w:rsidRPr="00BF42B7">
        <w:rPr>
          <w:rFonts w:hint="eastAsia"/>
          <w:lang w:val="en-GB"/>
        </w:rPr>
        <w:t>。《第二附加议定书》的起草过程显示，起草时有些国家认为，在非国际性武装冲突的所有情况下均禁止任何报复。</w:t>
      </w:r>
      <w:r w:rsidRPr="00BF42B7">
        <w:rPr>
          <w:color w:val="0000FF"/>
          <w:vertAlign w:val="superscript"/>
          <w:lang w:val="en-GB"/>
        </w:rPr>
        <w:footnoteReference w:id="1399"/>
      </w:r>
      <w:r w:rsidRPr="00BF42B7">
        <w:rPr>
          <w:lang w:val="en-GB"/>
        </w:rPr>
        <w:t xml:space="preserve"> </w:t>
      </w:r>
      <w:r w:rsidRPr="00BF42B7">
        <w:rPr>
          <w:rFonts w:hint="eastAsia"/>
          <w:lang w:val="en-GB"/>
        </w:rPr>
        <w:t>然而，也存在有效论据，证明在非国际性武装冲突中，某些情况下可能允许报复。</w:t>
      </w:r>
      <w:r w:rsidRPr="00BF42B7">
        <w:rPr>
          <w:color w:val="0000FF"/>
          <w:vertAlign w:val="superscript"/>
          <w:lang w:val="en-GB"/>
        </w:rPr>
        <w:footnoteReference w:id="1400"/>
      </w:r>
    </w:p>
    <w:p w:rsidR="00396D56" w:rsidRPr="00BF42B7" w:rsidRDefault="00396D56" w:rsidP="00396D56">
      <w:pPr>
        <w:pStyle w:val="SingleTxtGC"/>
        <w:rPr>
          <w:lang w:val="en-GB"/>
        </w:rPr>
      </w:pPr>
      <w:r w:rsidRPr="00BF42B7">
        <w:rPr>
          <w:lang w:val="en-GB"/>
        </w:rPr>
        <w:t xml:space="preserve">(8)  </w:t>
      </w:r>
      <w:r w:rsidRPr="00BF42B7">
        <w:rPr>
          <w:lang w:val="en-GB"/>
        </w:rPr>
        <w:t>鉴于这一不确定性，一些委员关切地指出，原则草案</w:t>
      </w:r>
      <w:r w:rsidRPr="00BF42B7">
        <w:rPr>
          <w:rFonts w:hint="eastAsia"/>
          <w:lang w:val="en-GB"/>
        </w:rPr>
        <w:t>12</w:t>
      </w:r>
      <w:r w:rsidRPr="00BF42B7">
        <w:rPr>
          <w:lang w:val="en-GB"/>
        </w:rPr>
        <w:t>没有区分国际性武装冲突</w:t>
      </w:r>
      <w:r w:rsidRPr="00BF42B7">
        <w:rPr>
          <w:rFonts w:hint="eastAsia"/>
          <w:lang w:val="en-GB"/>
        </w:rPr>
        <w:t>和非国际性武装冲突中的立场，试图建立一项新的国际法规则。因此，有人建议重新起草这条原则，附带适当的</w:t>
      </w:r>
      <w:r w:rsidRPr="00BF42B7">
        <w:rPr>
          <w:lang w:val="en-GB"/>
        </w:rPr>
        <w:t>但书说明</w:t>
      </w:r>
      <w:r w:rsidRPr="00BF42B7">
        <w:rPr>
          <w:rFonts w:hint="eastAsia"/>
          <w:lang w:val="en-GB"/>
        </w:rPr>
        <w:t>，或将其完全排除在原则草案之外。</w:t>
      </w:r>
    </w:p>
    <w:p w:rsidR="00396D56" w:rsidRPr="00BF42B7" w:rsidRDefault="00396D56" w:rsidP="00396D56">
      <w:pPr>
        <w:pStyle w:val="SingleTxtGC"/>
        <w:rPr>
          <w:lang w:val="en-GB"/>
        </w:rPr>
      </w:pPr>
      <w:r w:rsidRPr="00BF42B7">
        <w:rPr>
          <w:rFonts w:hint="eastAsia"/>
          <w:lang w:val="en-GB"/>
        </w:rPr>
        <w:t xml:space="preserve">(9)  </w:t>
      </w:r>
      <w:r w:rsidRPr="00BF42B7">
        <w:rPr>
          <w:rFonts w:hint="eastAsia"/>
          <w:lang w:val="en-GB"/>
        </w:rPr>
        <w:t>关于报复自然环境，值得一提的是，前南斯拉夫问题国际刑事法庭认为，</w:t>
      </w:r>
      <w:r w:rsidRPr="00BF42B7">
        <w:rPr>
          <w:rFonts w:hint="eastAsia"/>
          <w:spacing w:val="4"/>
          <w:lang w:val="en-GB"/>
        </w:rPr>
        <w:t>“在任何类型的武装冲突中”，禁止报复平民人口均构成一条习惯国际法规则。</w:t>
      </w:r>
      <w:r w:rsidRPr="00BF42B7">
        <w:rPr>
          <w:color w:val="0000FF"/>
          <w:spacing w:val="4"/>
          <w:vertAlign w:val="superscript"/>
          <w:lang w:val="en-GB"/>
        </w:rPr>
        <w:footnoteReference w:id="1401"/>
      </w:r>
      <w:r w:rsidRPr="00BF42B7">
        <w:rPr>
          <w:lang w:val="en-GB"/>
        </w:rPr>
        <w:t xml:space="preserve"> </w:t>
      </w:r>
      <w:r w:rsidRPr="00BF42B7">
        <w:rPr>
          <w:rFonts w:hint="eastAsia"/>
          <w:lang w:val="en-GB"/>
        </w:rPr>
        <w:t>由于环境应被视为民用物体，除非环境中的一部分成为军事目标，一些委员认为，应在非国际性武装冲突中禁止报复环境。</w:t>
      </w:r>
    </w:p>
    <w:p w:rsidR="00396D56" w:rsidRPr="00BF42B7" w:rsidRDefault="00396D56" w:rsidP="00396D56">
      <w:pPr>
        <w:pStyle w:val="SingleTxtGC"/>
        <w:rPr>
          <w:b/>
          <w:bCs/>
          <w:lang w:val="en-GB"/>
        </w:rPr>
      </w:pPr>
      <w:r w:rsidRPr="00BF42B7">
        <w:rPr>
          <w:rFonts w:hint="eastAsia"/>
          <w:lang w:val="en-GB"/>
        </w:rPr>
        <w:t xml:space="preserve">(10)  </w:t>
      </w:r>
      <w:r w:rsidRPr="00BF42B7">
        <w:rPr>
          <w:rFonts w:hint="eastAsia"/>
          <w:lang w:val="en-GB"/>
        </w:rPr>
        <w:t>考虑到围绕这条原则草案的表述方式存在的争议，委员们就如何重新表述这条原则以解决争议的问题提出了各种建议。然而，委员们最终认为，除了已通过的案文，其他任何表述方式都过于危险，可能被解释为削弱了武装冲突法之下的现有规则。这样的结果并不可取，因为现有规则对于武装冲突法至关重要。尽管起草期间出现了令人关切的问题，但是委员们认为，纳入一项禁止报复自然环境的原则草案尤为重要和必要，因为原则草案的总体目标是加强与武装冲突有关的环境保护。鉴于上述意见，可将纳入这条原则草案视为促进国际法的逐渐发展，而这是委员会的任务之一。</w:t>
      </w:r>
    </w:p>
    <w:p w:rsidR="00396D56" w:rsidRPr="00BF42B7" w:rsidRDefault="00396D56" w:rsidP="00396D56">
      <w:pPr>
        <w:pStyle w:val="H23GC"/>
        <w:ind w:left="1554"/>
        <w:rPr>
          <w:lang w:val="en-GB"/>
        </w:rPr>
      </w:pPr>
      <w:r w:rsidRPr="00BF42B7">
        <w:rPr>
          <w:rFonts w:hint="eastAsia"/>
          <w:lang w:val="en-GB"/>
        </w:rPr>
        <w:tab/>
      </w:r>
      <w:r w:rsidRPr="00BF42B7">
        <w:rPr>
          <w:rFonts w:hint="eastAsia"/>
          <w:lang w:val="en-GB"/>
        </w:rPr>
        <w:tab/>
      </w:r>
      <w:r w:rsidRPr="00BF42B7">
        <w:rPr>
          <w:rFonts w:hint="eastAsia"/>
          <w:lang w:val="en-GB"/>
        </w:rPr>
        <w:t>原则草案</w:t>
      </w:r>
      <w:r w:rsidRPr="00BF42B7">
        <w:rPr>
          <w:rFonts w:hint="eastAsia"/>
          <w:lang w:val="en-GB"/>
        </w:rPr>
        <w:t>13[2-5]</w:t>
      </w:r>
      <w:r w:rsidRPr="00BF42B7">
        <w:rPr>
          <w:rFonts w:hint="eastAsia"/>
          <w:lang w:val="en-GB"/>
        </w:rPr>
        <w:br/>
      </w:r>
      <w:r w:rsidRPr="00BF42B7">
        <w:rPr>
          <w:rFonts w:hint="eastAsia"/>
          <w:lang w:val="en-GB"/>
        </w:rPr>
        <w:t>受保护区</w:t>
      </w:r>
    </w:p>
    <w:p w:rsidR="00396D56" w:rsidRPr="00BF42B7" w:rsidRDefault="004847A4" w:rsidP="004847A4">
      <w:pPr>
        <w:pStyle w:val="SingleTxtGC"/>
        <w:tabs>
          <w:tab w:val="clear" w:pos="431"/>
          <w:tab w:val="clear" w:pos="1134"/>
          <w:tab w:val="clear" w:pos="1565"/>
        </w:tabs>
        <w:ind w:left="1554"/>
        <w:rPr>
          <w:lang w:val="en-GB"/>
        </w:rPr>
      </w:pPr>
      <w:r>
        <w:rPr>
          <w:rFonts w:hint="eastAsia"/>
          <w:lang w:val="en-GB"/>
        </w:rPr>
        <w:tab/>
      </w:r>
      <w:r w:rsidR="00396D56" w:rsidRPr="00BF42B7">
        <w:rPr>
          <w:rFonts w:hint="eastAsia"/>
          <w:lang w:val="en-GB"/>
        </w:rPr>
        <w:t>以协议指定为受保护区的具有重大环境和文化意义的地区，只要不包含军事目标，应保护其不受任何攻击。</w:t>
      </w:r>
    </w:p>
    <w:p w:rsidR="00396D56" w:rsidRPr="00BF42B7" w:rsidRDefault="00396D56" w:rsidP="00396D56">
      <w:pPr>
        <w:pStyle w:val="H23GC"/>
        <w:rPr>
          <w:lang w:val="en-GB"/>
        </w:rPr>
      </w:pPr>
      <w:r w:rsidRPr="00BF42B7">
        <w:rPr>
          <w:rFonts w:hint="eastAsia"/>
          <w:lang w:val="en-GB"/>
        </w:rPr>
        <w:tab/>
      </w:r>
      <w:r w:rsidRPr="00BF42B7">
        <w:rPr>
          <w:rFonts w:hint="eastAsia"/>
          <w:lang w:val="en-GB"/>
        </w:rPr>
        <w:tab/>
      </w:r>
      <w:r w:rsidRPr="00BF42B7">
        <w:rPr>
          <w:rFonts w:hint="eastAsia"/>
          <w:lang w:val="en-GB"/>
        </w:rPr>
        <w:t>评注</w:t>
      </w:r>
    </w:p>
    <w:p w:rsidR="00396D56" w:rsidRPr="00BF42B7" w:rsidRDefault="00396D56" w:rsidP="00396D56">
      <w:pPr>
        <w:pStyle w:val="SingleTxtGC"/>
      </w:pPr>
      <w:r w:rsidRPr="00BF42B7">
        <w:rPr>
          <w:rFonts w:hint="eastAsia"/>
          <w:lang w:val="en-GB"/>
        </w:rPr>
        <w:t xml:space="preserve">(1)  </w:t>
      </w:r>
      <w:r w:rsidRPr="00BF42B7">
        <w:rPr>
          <w:rFonts w:hint="eastAsia"/>
          <w:lang w:val="en-GB"/>
        </w:rPr>
        <w:t>这条原则草案与原则草案</w:t>
      </w:r>
      <w:r w:rsidRPr="00BF42B7">
        <w:rPr>
          <w:rFonts w:hint="eastAsia"/>
          <w:lang w:val="en-GB"/>
        </w:rPr>
        <w:t>5[1-(x)]</w:t>
      </w:r>
      <w:r w:rsidRPr="00BF42B7">
        <w:rPr>
          <w:rFonts w:hint="eastAsia"/>
          <w:lang w:val="en-GB"/>
        </w:rPr>
        <w:t>相呼应，规定以协议指定为受保护区的具有重大环境和文化意义的地区，只要不包含军事目标，应保护其不受任何攻击。不同于此前的原则草案，这条草案仅涵盖以协议指定的地区。必须有明确的指定协议。此协议可在和平时期或武装冲突期间缔结。“协议”一词应按最广泛的含义理解，包括共同声明和被另一方接受的单方面声明、条约和其他类型的协议，以及与非国家行为者的协议。此类地区得到保护，在武装冲突期间不受攻击。在“只要不包含军事目标”中使用“包含”一词，目的是表示它既可以是整个地区，也可以仅为其中的部分地区。此外，如果其中一方严重违反了设立保护区的协议，则终止对该地区的保护。</w:t>
      </w:r>
    </w:p>
    <w:p w:rsidR="00396D56" w:rsidRPr="00BF42B7" w:rsidRDefault="00396D56" w:rsidP="00396D56">
      <w:pPr>
        <w:pStyle w:val="SingleTxtGC"/>
      </w:pPr>
      <w:r w:rsidRPr="00BF42B7">
        <w:rPr>
          <w:rFonts w:hint="eastAsia"/>
        </w:rPr>
        <w:t xml:space="preserve">(2)  </w:t>
      </w:r>
      <w:r w:rsidRPr="00BF42B7">
        <w:rPr>
          <w:rFonts w:hint="eastAsia"/>
        </w:rPr>
        <w:t>如上文所述，如果武装冲突一方在按照</w:t>
      </w:r>
      <w:r w:rsidRPr="00BF42B7">
        <w:t>原则草案</w:t>
      </w:r>
      <w:r w:rsidRPr="00BF42B7">
        <w:t>5[1-(x)]</w:t>
      </w:r>
      <w:r w:rsidRPr="00BF42B7">
        <w:t>设立的指定地区内设有军事目标，或在武装冲突期间利用该地区开展任何军事活动，该地区则可能失去保护。这条原则草案中</w:t>
      </w:r>
      <w:r w:rsidRPr="00BF42B7">
        <w:rPr>
          <w:rFonts w:hint="eastAsia"/>
        </w:rPr>
        <w:t>“</w:t>
      </w:r>
      <w:r w:rsidRPr="00BF42B7">
        <w:t>军事目标</w:t>
      </w:r>
      <w:r w:rsidRPr="00BF42B7">
        <w:rPr>
          <w:rFonts w:hint="eastAsia"/>
        </w:rPr>
        <w:t>”</w:t>
      </w:r>
      <w:r w:rsidRPr="00BF42B7">
        <w:t>一词出现的背景是</w:t>
      </w:r>
      <w:r w:rsidRPr="00BF42B7">
        <w:rPr>
          <w:rFonts w:hint="eastAsia"/>
        </w:rPr>
        <w:t>“</w:t>
      </w:r>
      <w:r w:rsidRPr="00BF42B7">
        <w:t>只要不包含军事目标</w:t>
      </w:r>
      <w:r w:rsidRPr="00BF42B7">
        <w:rPr>
          <w:rFonts w:hint="eastAsia"/>
        </w:rPr>
        <w:t>”</w:t>
      </w:r>
      <w:r w:rsidRPr="00BF42B7">
        <w:t>，有别于原则草案</w:t>
      </w:r>
      <w:r w:rsidRPr="00BF42B7">
        <w:t>9[2-1]</w:t>
      </w:r>
      <w:r w:rsidRPr="00BF42B7">
        <w:rPr>
          <w:rFonts w:hint="eastAsia"/>
        </w:rPr>
        <w:t>第</w:t>
      </w:r>
      <w:r w:rsidRPr="00BF42B7">
        <w:t>3</w:t>
      </w:r>
      <w:r w:rsidRPr="00BF42B7">
        <w:rPr>
          <w:rFonts w:hint="eastAsia"/>
        </w:rPr>
        <w:t>款</w:t>
      </w:r>
      <w:r w:rsidRPr="00BF42B7">
        <w:t>中规定的</w:t>
      </w:r>
      <w:r w:rsidRPr="00BF42B7">
        <w:rPr>
          <w:rFonts w:hint="eastAsia"/>
        </w:rPr>
        <w:t>“</w:t>
      </w:r>
      <w:r w:rsidRPr="00BF42B7">
        <w:t>除非成为军事目标</w:t>
      </w:r>
      <w:r w:rsidRPr="00BF42B7">
        <w:rPr>
          <w:rFonts w:hint="eastAsia"/>
        </w:rPr>
        <w:t>”</w:t>
      </w:r>
      <w:r w:rsidRPr="00BF42B7">
        <w:t>。这两条原则之间的关系是，原则</w:t>
      </w:r>
      <w:r w:rsidRPr="00BF42B7">
        <w:t>13[2-5]</w:t>
      </w:r>
      <w:r w:rsidRPr="00BF42B7">
        <w:t>旨在加强原则草案</w:t>
      </w:r>
      <w:r w:rsidRPr="00BF42B7">
        <w:t>9[2-1]</w:t>
      </w:r>
      <w:r w:rsidRPr="00BF42B7">
        <w:rPr>
          <w:rFonts w:hint="eastAsia"/>
        </w:rPr>
        <w:t>第</w:t>
      </w:r>
      <w:r w:rsidRPr="00BF42B7">
        <w:t>3</w:t>
      </w:r>
      <w:r w:rsidRPr="00BF42B7">
        <w:rPr>
          <w:rFonts w:hint="eastAsia"/>
        </w:rPr>
        <w:t>款</w:t>
      </w:r>
      <w:r w:rsidRPr="00BF42B7">
        <w:t>中确立的保护。</w:t>
      </w:r>
    </w:p>
    <w:p w:rsidR="00396D56" w:rsidRPr="00BF42B7" w:rsidRDefault="00396D56" w:rsidP="00396D56">
      <w:pPr>
        <w:pStyle w:val="SingleTxtGC"/>
        <w:rPr>
          <w:lang w:val="en-GB"/>
        </w:rPr>
      </w:pPr>
      <w:r w:rsidRPr="00BF42B7">
        <w:rPr>
          <w:lang w:val="en-GB"/>
        </w:rPr>
        <w:t xml:space="preserve">(3)  </w:t>
      </w:r>
      <w:r w:rsidRPr="00BF42B7">
        <w:rPr>
          <w:lang w:val="en-GB"/>
        </w:rPr>
        <w:t>有条件的保护是试图平衡处理军事、人道主义和环境关切。这种平衡体现了日内瓦公约《第一附加议定书》第六十条中设立的非军事化地带机制。第六十条规定，如果武装冲突一方将受保护地带用于具体的军事目的，则应取消该地带的受保护地位。</w:t>
      </w:r>
    </w:p>
    <w:p w:rsidR="00396D56" w:rsidRPr="00BF42B7" w:rsidRDefault="00396D56" w:rsidP="00396D56">
      <w:pPr>
        <w:pStyle w:val="SingleTxtGC"/>
        <w:rPr>
          <w:lang w:val="en-GB"/>
        </w:rPr>
      </w:pPr>
      <w:r w:rsidRPr="00BF42B7">
        <w:rPr>
          <w:lang w:val="en-GB"/>
        </w:rPr>
        <w:t xml:space="preserve">(4)  </w:t>
      </w:r>
      <w:r w:rsidRPr="00BF42B7">
        <w:rPr>
          <w:lang w:val="en-GB"/>
        </w:rPr>
        <w:t>根据上文提到的</w:t>
      </w:r>
      <w:r w:rsidRPr="00BF42B7">
        <w:rPr>
          <w:lang w:val="en-GB"/>
        </w:rPr>
        <w:t>1954</w:t>
      </w:r>
      <w:r w:rsidRPr="00BF42B7">
        <w:rPr>
          <w:lang w:val="en-GB"/>
        </w:rPr>
        <w:t>年《海牙公约》，缔约国同样有义务避免破坏已依照《公约》第四条确定为文化财产的财产。然而，只有文化财产不被用于军事目的时，才能给予保护。</w:t>
      </w:r>
    </w:p>
    <w:p w:rsidR="00396D56" w:rsidRPr="00BF42B7" w:rsidRDefault="00396D56" w:rsidP="00396D56">
      <w:pPr>
        <w:pStyle w:val="SingleTxtGC"/>
      </w:pPr>
      <w:r w:rsidRPr="00BF42B7">
        <w:rPr>
          <w:rFonts w:hint="eastAsia"/>
        </w:rPr>
        <w:t xml:space="preserve">(5)  </w:t>
      </w:r>
      <w:r w:rsidRPr="00BF42B7">
        <w:rPr>
          <w:rFonts w:hint="eastAsia"/>
        </w:rPr>
        <w:t>指定某地区为受保护区所产生的法律影响，取决于拟议受保护区的来源和内容，以及形式。例如，“条约不约束第三国”原则将限制正式条约对各方的适用。指定一个地区为受保护区至少可以警示武装冲突各方，在适用相称性或攻击时采取预防措施的原则时，应考虑到这一点。此外，还可能需要调整预防和补救措施，以便照顾该地区的特殊地位。</w:t>
      </w:r>
    </w:p>
    <w:p w:rsidR="00396D56" w:rsidRPr="00BF42B7" w:rsidRDefault="00396D56" w:rsidP="00396D56">
      <w:pPr>
        <w:pStyle w:val="SingleTxtGC"/>
      </w:pPr>
      <w:r w:rsidRPr="00BF42B7">
        <w:br w:type="page"/>
      </w:r>
    </w:p>
    <w:p w:rsidR="00396D56" w:rsidRPr="00BF42B7" w:rsidRDefault="00396D56" w:rsidP="00396D56">
      <w:pPr>
        <w:pStyle w:val="HChGC"/>
      </w:pPr>
      <w:r w:rsidRPr="00BF42B7">
        <w:tab/>
      </w:r>
      <w:r w:rsidRPr="00BF42B7">
        <w:tab/>
      </w:r>
      <w:bookmarkStart w:id="335" w:name="_Toc427938138"/>
      <w:r w:rsidRPr="00BF42B7">
        <w:rPr>
          <w:rFonts w:hint="eastAsia"/>
        </w:rPr>
        <w:t>第十一章</w:t>
      </w:r>
      <w:r w:rsidRPr="00BF42B7">
        <w:br/>
      </w:r>
      <w:r w:rsidRPr="00BF42B7">
        <w:rPr>
          <w:rFonts w:hint="eastAsia"/>
        </w:rPr>
        <w:t>国家官员的外国刑事管辖豁免</w:t>
      </w:r>
    </w:p>
    <w:p w:rsidR="00396D56" w:rsidRPr="00BF42B7" w:rsidRDefault="00396D56" w:rsidP="00396D56">
      <w:pPr>
        <w:pStyle w:val="H1GC"/>
        <w:rPr>
          <w:b/>
        </w:rPr>
      </w:pPr>
      <w:bookmarkStart w:id="336" w:name="_Toc398107311"/>
      <w:bookmarkStart w:id="337" w:name="_Toc427938136"/>
      <w:r w:rsidRPr="00BF42B7">
        <w:tab/>
        <w:t>A.</w:t>
      </w:r>
      <w:r w:rsidRPr="00BF42B7">
        <w:tab/>
      </w:r>
      <w:bookmarkEnd w:id="336"/>
      <w:bookmarkEnd w:id="337"/>
      <w:r w:rsidRPr="00BF42B7">
        <w:rPr>
          <w:rFonts w:hint="eastAsia"/>
        </w:rPr>
        <w:t>导言</w:t>
      </w:r>
    </w:p>
    <w:p w:rsidR="00396D56" w:rsidRPr="00BF42B7" w:rsidRDefault="00396D56" w:rsidP="00396D56">
      <w:pPr>
        <w:pStyle w:val="SingleTxtGC"/>
      </w:pPr>
      <w:r w:rsidRPr="00BF42B7">
        <w:t>190.</w:t>
      </w:r>
      <w:r w:rsidRPr="00BF42B7">
        <w:rPr>
          <w:rFonts w:hint="eastAsia"/>
        </w:rPr>
        <w:t xml:space="preserve">  </w:t>
      </w:r>
      <w:r w:rsidRPr="00BF42B7">
        <w:rPr>
          <w:rFonts w:hint="eastAsia"/>
        </w:rPr>
        <w:t>委员会在第五十九届会议</w:t>
      </w:r>
      <w:r w:rsidRPr="00BF42B7">
        <w:rPr>
          <w:rFonts w:hint="eastAsia"/>
        </w:rPr>
        <w:t>(2007</w:t>
      </w:r>
      <w:r w:rsidRPr="00BF42B7">
        <w:rPr>
          <w:rFonts w:hint="eastAsia"/>
        </w:rPr>
        <w:t>年</w:t>
      </w:r>
      <w:r w:rsidRPr="00BF42B7">
        <w:rPr>
          <w:rFonts w:hint="eastAsia"/>
        </w:rPr>
        <w:t>)</w:t>
      </w:r>
      <w:r w:rsidRPr="00BF42B7">
        <w:rPr>
          <w:rFonts w:hint="eastAsia"/>
        </w:rPr>
        <w:t>上决定将“国家官员的外国刑事管辖豁免”专题列入工作方案，并任命罗曼·阿·科洛德金先生为特别报告员。</w:t>
      </w:r>
      <w:r w:rsidRPr="00BF42B7">
        <w:rPr>
          <w:color w:val="0000FF"/>
          <w:vertAlign w:val="superscript"/>
        </w:rPr>
        <w:footnoteReference w:id="1402"/>
      </w:r>
      <w:r w:rsidRPr="00BF42B7">
        <w:t xml:space="preserve"> </w:t>
      </w:r>
      <w:r w:rsidRPr="00BF42B7">
        <w:rPr>
          <w:rFonts w:hint="eastAsia"/>
        </w:rPr>
        <w:t>同届会议上，委员会请秘书处编写一份关于此专题的背景研究报告，该研究报告提交给了委员会第六十届会议。</w:t>
      </w:r>
      <w:r w:rsidRPr="00BF42B7">
        <w:rPr>
          <w:color w:val="0000FF"/>
          <w:vertAlign w:val="superscript"/>
        </w:rPr>
        <w:footnoteReference w:id="1403"/>
      </w:r>
    </w:p>
    <w:p w:rsidR="00396D56" w:rsidRPr="00BF42B7" w:rsidRDefault="00396D56" w:rsidP="00396D56">
      <w:pPr>
        <w:pStyle w:val="SingleTxtGC"/>
      </w:pPr>
      <w:r w:rsidRPr="00BF42B7">
        <w:t>191.</w:t>
      </w:r>
      <w:r w:rsidRPr="00BF42B7">
        <w:rPr>
          <w:rFonts w:hint="eastAsia"/>
        </w:rPr>
        <w:t xml:space="preserve">  </w:t>
      </w:r>
      <w:r w:rsidRPr="00BF42B7">
        <w:rPr>
          <w:rFonts w:hint="eastAsia"/>
        </w:rPr>
        <w:t>特别报告员提交了三次报告。委员会第六十届会议</w:t>
      </w:r>
      <w:r w:rsidRPr="00BF42B7">
        <w:rPr>
          <w:rFonts w:hint="eastAsia"/>
        </w:rPr>
        <w:t>(2008</w:t>
      </w:r>
      <w:r w:rsidRPr="00BF42B7">
        <w:rPr>
          <w:rFonts w:hint="eastAsia"/>
        </w:rPr>
        <w:t>年</w:t>
      </w:r>
      <w:r w:rsidRPr="00BF42B7">
        <w:rPr>
          <w:rFonts w:hint="eastAsia"/>
        </w:rPr>
        <w:t>)</w:t>
      </w:r>
      <w:r w:rsidRPr="00BF42B7">
        <w:rPr>
          <w:rFonts w:hint="eastAsia"/>
        </w:rPr>
        <w:t>收到并审议了初步报告，第六十三届会议</w:t>
      </w:r>
      <w:r w:rsidRPr="00BF42B7">
        <w:rPr>
          <w:rFonts w:hint="eastAsia"/>
        </w:rPr>
        <w:t>(2011</w:t>
      </w:r>
      <w:r w:rsidRPr="00BF42B7">
        <w:rPr>
          <w:rFonts w:hint="eastAsia"/>
        </w:rPr>
        <w:t>年</w:t>
      </w:r>
      <w:r w:rsidRPr="00BF42B7">
        <w:rPr>
          <w:rFonts w:hint="eastAsia"/>
        </w:rPr>
        <w:t>)</w:t>
      </w:r>
      <w:r w:rsidRPr="00BF42B7">
        <w:rPr>
          <w:rFonts w:hint="eastAsia"/>
        </w:rPr>
        <w:t>收到并审议了第二次和第三次报告。</w:t>
      </w:r>
      <w:r w:rsidRPr="00BF42B7">
        <w:rPr>
          <w:color w:val="0000FF"/>
          <w:vertAlign w:val="superscript"/>
        </w:rPr>
        <w:footnoteReference w:id="1404"/>
      </w:r>
      <w:r w:rsidRPr="00BF42B7">
        <w:t xml:space="preserve"> </w:t>
      </w:r>
      <w:r w:rsidRPr="00BF42B7">
        <w:rPr>
          <w:rFonts w:hint="eastAsia"/>
        </w:rPr>
        <w:t>委员会第六十一届会议</w:t>
      </w:r>
      <w:r w:rsidRPr="00BF42B7">
        <w:rPr>
          <w:rFonts w:hint="eastAsia"/>
        </w:rPr>
        <w:t>(2009</w:t>
      </w:r>
      <w:r w:rsidRPr="00BF42B7">
        <w:rPr>
          <w:rFonts w:hint="eastAsia"/>
        </w:rPr>
        <w:t>年</w:t>
      </w:r>
      <w:r w:rsidRPr="00BF42B7">
        <w:rPr>
          <w:rFonts w:hint="eastAsia"/>
        </w:rPr>
        <w:t>)</w:t>
      </w:r>
      <w:r w:rsidRPr="00BF42B7">
        <w:rPr>
          <w:rFonts w:hint="eastAsia"/>
        </w:rPr>
        <w:t>和第六十二届会议</w:t>
      </w:r>
      <w:r w:rsidRPr="00BF42B7">
        <w:rPr>
          <w:rFonts w:hint="eastAsia"/>
        </w:rPr>
        <w:t>(2010</w:t>
      </w:r>
      <w:r w:rsidRPr="00BF42B7">
        <w:rPr>
          <w:rFonts w:hint="eastAsia"/>
        </w:rPr>
        <w:t>年</w:t>
      </w:r>
      <w:r w:rsidRPr="00BF42B7">
        <w:rPr>
          <w:rFonts w:hint="eastAsia"/>
        </w:rPr>
        <w:t>)</w:t>
      </w:r>
      <w:r w:rsidRPr="00BF42B7">
        <w:rPr>
          <w:rFonts w:hint="eastAsia"/>
        </w:rPr>
        <w:t>未能审议本专题。</w:t>
      </w:r>
      <w:r w:rsidRPr="00BF42B7">
        <w:rPr>
          <w:color w:val="0000FF"/>
          <w:vertAlign w:val="superscript"/>
        </w:rPr>
        <w:footnoteReference w:id="1405"/>
      </w:r>
    </w:p>
    <w:p w:rsidR="00396D56" w:rsidRPr="00BF42B7" w:rsidRDefault="00396D56" w:rsidP="00396D56">
      <w:pPr>
        <w:pStyle w:val="SingleTxtGC"/>
      </w:pPr>
      <w:r w:rsidRPr="00BF42B7">
        <w:t>192.</w:t>
      </w:r>
      <w:r w:rsidRPr="00BF42B7">
        <w:rPr>
          <w:rFonts w:hint="eastAsia"/>
        </w:rPr>
        <w:t xml:space="preserve">  </w:t>
      </w:r>
      <w:r w:rsidRPr="00BF42B7">
        <w:rPr>
          <w:rFonts w:hint="eastAsia"/>
        </w:rPr>
        <w:t>委员会第六十四届会议</w:t>
      </w:r>
      <w:r w:rsidRPr="00BF42B7">
        <w:rPr>
          <w:rFonts w:hint="eastAsia"/>
        </w:rPr>
        <w:t>(2012</w:t>
      </w:r>
      <w:r w:rsidRPr="00BF42B7">
        <w:rPr>
          <w:rFonts w:hint="eastAsia"/>
        </w:rPr>
        <w:t>年</w:t>
      </w:r>
      <w:r w:rsidRPr="00BF42B7">
        <w:rPr>
          <w:rFonts w:hint="eastAsia"/>
        </w:rPr>
        <w:t>)</w:t>
      </w:r>
      <w:r w:rsidRPr="00BF42B7">
        <w:rPr>
          <w:rFonts w:hint="eastAsia"/>
        </w:rPr>
        <w:t>任命康塞普西翁·埃斯科瓦尔·埃尔南德斯女士代替不再是委员会委员的科洛德金先生担任特别报告员。</w:t>
      </w:r>
      <w:r w:rsidRPr="00BF42B7">
        <w:rPr>
          <w:color w:val="0000FF"/>
          <w:vertAlign w:val="superscript"/>
        </w:rPr>
        <w:footnoteReference w:id="1406"/>
      </w:r>
      <w:r w:rsidRPr="00BF42B7">
        <w:rPr>
          <w:rFonts w:hint="eastAsia"/>
        </w:rPr>
        <w:t xml:space="preserve"> </w:t>
      </w:r>
      <w:r w:rsidRPr="00BF42B7">
        <w:rPr>
          <w:rFonts w:hint="eastAsia"/>
        </w:rPr>
        <w:t>委员会同届会议</w:t>
      </w:r>
      <w:r w:rsidRPr="00BF42B7">
        <w:rPr>
          <w:rFonts w:hint="eastAsia"/>
        </w:rPr>
        <w:t>(2012</w:t>
      </w:r>
      <w:r w:rsidRPr="00BF42B7">
        <w:rPr>
          <w:rFonts w:hint="eastAsia"/>
        </w:rPr>
        <w:t>年</w:t>
      </w:r>
      <w:r w:rsidRPr="00BF42B7">
        <w:rPr>
          <w:rFonts w:hint="eastAsia"/>
        </w:rPr>
        <w:t>)</w:t>
      </w:r>
      <w:r w:rsidRPr="00BF42B7">
        <w:rPr>
          <w:rFonts w:hint="eastAsia"/>
        </w:rPr>
        <w:t>收到并审议了特别报告员提交的初步报告，第六十五届会议</w:t>
      </w:r>
      <w:r w:rsidRPr="00BF42B7">
        <w:rPr>
          <w:rFonts w:hint="eastAsia"/>
        </w:rPr>
        <w:t>(2013</w:t>
      </w:r>
      <w:r w:rsidRPr="00BF42B7">
        <w:rPr>
          <w:rFonts w:hint="eastAsia"/>
        </w:rPr>
        <w:t>年</w:t>
      </w:r>
      <w:r w:rsidRPr="00BF42B7">
        <w:rPr>
          <w:rFonts w:hint="eastAsia"/>
        </w:rPr>
        <w:t>)</w:t>
      </w:r>
      <w:r w:rsidRPr="00BF42B7">
        <w:rPr>
          <w:rFonts w:hint="eastAsia"/>
        </w:rPr>
        <w:t>收到了她的第二次报告，第六十六届会议</w:t>
      </w:r>
      <w:r w:rsidRPr="00BF42B7">
        <w:rPr>
          <w:rFonts w:hint="eastAsia"/>
        </w:rPr>
        <w:t>(2014</w:t>
      </w:r>
      <w:r w:rsidRPr="00BF42B7">
        <w:rPr>
          <w:rFonts w:hint="eastAsia"/>
        </w:rPr>
        <w:t>年</w:t>
      </w:r>
      <w:r w:rsidRPr="00BF42B7">
        <w:rPr>
          <w:rFonts w:hint="eastAsia"/>
        </w:rPr>
        <w:t>)</w:t>
      </w:r>
      <w:r w:rsidRPr="00BF42B7">
        <w:rPr>
          <w:rFonts w:hint="eastAsia"/>
        </w:rPr>
        <w:t>收到了她的第三次报告，第六十七届会议</w:t>
      </w:r>
      <w:r w:rsidRPr="00BF42B7">
        <w:rPr>
          <w:rFonts w:hint="eastAsia"/>
        </w:rPr>
        <w:t>(2015</w:t>
      </w:r>
      <w:r w:rsidRPr="00BF42B7">
        <w:rPr>
          <w:rFonts w:hint="eastAsia"/>
        </w:rPr>
        <w:t>年</w:t>
      </w:r>
      <w:r w:rsidRPr="00BF42B7">
        <w:rPr>
          <w:rFonts w:hint="eastAsia"/>
        </w:rPr>
        <w:t>)</w:t>
      </w:r>
      <w:r w:rsidRPr="00BF42B7">
        <w:rPr>
          <w:rFonts w:hint="eastAsia"/>
        </w:rPr>
        <w:t>收到了她的第四次报告。</w:t>
      </w:r>
      <w:r w:rsidRPr="00BF42B7">
        <w:rPr>
          <w:color w:val="0000FF"/>
          <w:vertAlign w:val="superscript"/>
        </w:rPr>
        <w:footnoteReference w:id="1407"/>
      </w:r>
      <w:r w:rsidRPr="00BF42B7">
        <w:rPr>
          <w:rFonts w:hint="eastAsia"/>
        </w:rPr>
        <w:t xml:space="preserve"> </w:t>
      </w:r>
      <w:r w:rsidRPr="00BF42B7">
        <w:rPr>
          <w:rFonts w:hint="eastAsia"/>
        </w:rPr>
        <w:t>委员会在特别报告员第二、第三和第四次报告提出的条款草案基础上，迄今为止暂时通过了六条条文草案及其评注。关于术语的使用的第</w:t>
      </w:r>
      <w:r w:rsidRPr="00BF42B7">
        <w:rPr>
          <w:rFonts w:hint="eastAsia"/>
        </w:rPr>
        <w:t>2</w:t>
      </w:r>
      <w:r w:rsidRPr="00BF42B7">
        <w:rPr>
          <w:rFonts w:hint="eastAsia"/>
        </w:rPr>
        <w:t>条草案案文仍处在拟订过程中。</w:t>
      </w:r>
      <w:r w:rsidRPr="00BF42B7">
        <w:rPr>
          <w:color w:val="0000FF"/>
          <w:vertAlign w:val="superscript"/>
        </w:rPr>
        <w:footnoteReference w:id="1408"/>
      </w:r>
    </w:p>
    <w:p w:rsidR="00396D56" w:rsidRPr="00BF42B7" w:rsidRDefault="00396D56" w:rsidP="00396D56">
      <w:pPr>
        <w:pStyle w:val="H1GC"/>
      </w:pPr>
      <w:r w:rsidRPr="00BF42B7">
        <w:tab/>
      </w:r>
      <w:bookmarkStart w:id="338" w:name="_Toc398107312"/>
      <w:bookmarkStart w:id="339" w:name="_Toc427938137"/>
      <w:r w:rsidRPr="00BF42B7">
        <w:t>B.</w:t>
      </w:r>
      <w:r w:rsidRPr="00BF42B7">
        <w:tab/>
      </w:r>
      <w:bookmarkEnd w:id="338"/>
      <w:bookmarkEnd w:id="339"/>
      <w:r w:rsidRPr="00BF42B7">
        <w:rPr>
          <w:rFonts w:hint="eastAsia"/>
        </w:rPr>
        <w:t>本届会议审议此专题的情况</w:t>
      </w:r>
    </w:p>
    <w:p w:rsidR="00396D56" w:rsidRPr="00BF42B7" w:rsidRDefault="00396D56" w:rsidP="00396D56">
      <w:pPr>
        <w:pStyle w:val="SingleTxtGC"/>
      </w:pPr>
      <w:r w:rsidRPr="00BF42B7">
        <w:t>193.</w:t>
      </w:r>
      <w:r w:rsidRPr="00BF42B7">
        <w:rPr>
          <w:rFonts w:hint="eastAsia"/>
        </w:rPr>
        <w:t xml:space="preserve">  </w:t>
      </w:r>
      <w:r w:rsidRPr="00BF42B7">
        <w:rPr>
          <w:rFonts w:hint="eastAsia"/>
        </w:rPr>
        <w:t>委员会收到了特别报告员的第五次报告，其中分析了国家官员外国刑事管辖豁免的限制和例外问题</w:t>
      </w:r>
      <w:r w:rsidRPr="00BF42B7">
        <w:t>(</w:t>
      </w:r>
      <w:hyperlink r:id="rId100" w:history="1">
        <w:r w:rsidRPr="007F0135">
          <w:rPr>
            <w:rStyle w:val="af"/>
          </w:rPr>
          <w:t>A/CN.4/701</w:t>
        </w:r>
      </w:hyperlink>
      <w:r w:rsidRPr="00BF42B7">
        <w:t>)</w:t>
      </w:r>
      <w:r w:rsidRPr="00BF42B7">
        <w:rPr>
          <w:rFonts w:hint="eastAsia"/>
        </w:rPr>
        <w:t>。委员会在</w:t>
      </w:r>
      <w:r w:rsidRPr="00BF42B7">
        <w:rPr>
          <w:rFonts w:hint="eastAsia"/>
        </w:rPr>
        <w:t>2016</w:t>
      </w:r>
      <w:r w:rsidRPr="00BF42B7">
        <w:rPr>
          <w:rFonts w:hint="eastAsia"/>
        </w:rPr>
        <w:t>年</w:t>
      </w:r>
      <w:r w:rsidRPr="00BF42B7">
        <w:rPr>
          <w:rFonts w:hint="eastAsia"/>
        </w:rPr>
        <w:t>7</w:t>
      </w:r>
      <w:r w:rsidRPr="00BF42B7">
        <w:rPr>
          <w:rFonts w:hint="eastAsia"/>
        </w:rPr>
        <w:t>月</w:t>
      </w:r>
      <w:r w:rsidRPr="00BF42B7">
        <w:rPr>
          <w:rFonts w:hint="eastAsia"/>
        </w:rPr>
        <w:t>26</w:t>
      </w:r>
      <w:r w:rsidRPr="00BF42B7">
        <w:rPr>
          <w:rFonts w:hint="eastAsia"/>
        </w:rPr>
        <w:t>日至</w:t>
      </w:r>
      <w:r w:rsidRPr="00BF42B7">
        <w:rPr>
          <w:rFonts w:hint="eastAsia"/>
        </w:rPr>
        <w:t>29</w:t>
      </w:r>
      <w:r w:rsidRPr="00BF42B7">
        <w:rPr>
          <w:rFonts w:hint="eastAsia"/>
        </w:rPr>
        <w:t>日的第</w:t>
      </w:r>
      <w:r w:rsidRPr="00BF42B7">
        <w:rPr>
          <w:rFonts w:hint="eastAsia"/>
        </w:rPr>
        <w:t>3328</w:t>
      </w:r>
      <w:r w:rsidRPr="00BF42B7">
        <w:rPr>
          <w:rFonts w:hint="eastAsia"/>
        </w:rPr>
        <w:t>至第</w:t>
      </w:r>
      <w:r w:rsidRPr="00BF42B7">
        <w:rPr>
          <w:rFonts w:hint="eastAsia"/>
        </w:rPr>
        <w:t>3331</w:t>
      </w:r>
      <w:r w:rsidRPr="00BF42B7">
        <w:rPr>
          <w:rFonts w:hint="eastAsia"/>
        </w:rPr>
        <w:t>次会议上审议了该报告。进行审议时，委员会只收到联合国六种正式语文中两种语文的文本。因此，委员会进行的辩论属于初步性质，愿意就此专题发言的委员参与了辩论。委员会将在第六十九</w:t>
      </w:r>
      <w:r w:rsidR="004364AE">
        <w:rPr>
          <w:rFonts w:hint="eastAsia"/>
        </w:rPr>
        <w:t>届</w:t>
      </w:r>
      <w:r w:rsidRPr="00BF42B7">
        <w:rPr>
          <w:rFonts w:hint="eastAsia"/>
        </w:rPr>
        <w:t>会议上继续进行辩论。在这些情况下，有一项理解是，本届会议进行的辩论只是辩论的开始，委员会须待第六十九</w:t>
      </w:r>
      <w:r w:rsidR="004364AE">
        <w:rPr>
          <w:rFonts w:hint="eastAsia"/>
        </w:rPr>
        <w:t>届</w:t>
      </w:r>
      <w:r w:rsidRPr="00BF42B7">
        <w:rPr>
          <w:rFonts w:hint="eastAsia"/>
        </w:rPr>
        <w:t>会议完成辩论之后，才能够就本报告的工作向大会提供完整的基础。</w:t>
      </w:r>
    </w:p>
    <w:p w:rsidR="00396D56" w:rsidRPr="00BF42B7" w:rsidRDefault="00396D56" w:rsidP="00396D56">
      <w:pPr>
        <w:pStyle w:val="SingleTxtGC"/>
      </w:pPr>
      <w:r w:rsidRPr="00BF42B7">
        <w:t>194.</w:t>
      </w:r>
      <w:r w:rsidRPr="00BF42B7">
        <w:rPr>
          <w:rFonts w:hint="eastAsia"/>
        </w:rPr>
        <w:t xml:space="preserve">  </w:t>
      </w:r>
      <w:r w:rsidRPr="00BF42B7">
        <w:rPr>
          <w:rFonts w:hint="eastAsia"/>
        </w:rPr>
        <w:t>在</w:t>
      </w:r>
      <w:r w:rsidRPr="00BF42B7">
        <w:rPr>
          <w:rFonts w:hint="eastAsia"/>
        </w:rPr>
        <w:t>2016</w:t>
      </w:r>
      <w:r w:rsidRPr="00BF42B7">
        <w:rPr>
          <w:rFonts w:hint="eastAsia"/>
        </w:rPr>
        <w:t>年</w:t>
      </w:r>
      <w:r w:rsidRPr="00BF42B7">
        <w:rPr>
          <w:rFonts w:hint="eastAsia"/>
        </w:rPr>
        <w:t>7</w:t>
      </w:r>
      <w:r w:rsidRPr="00BF42B7">
        <w:rPr>
          <w:rFonts w:hint="eastAsia"/>
        </w:rPr>
        <w:t>月</w:t>
      </w:r>
      <w:r w:rsidRPr="00BF42B7">
        <w:rPr>
          <w:rFonts w:hint="eastAsia"/>
        </w:rPr>
        <w:t>27</w:t>
      </w:r>
      <w:r w:rsidRPr="00BF42B7">
        <w:rPr>
          <w:rFonts w:hint="eastAsia"/>
        </w:rPr>
        <w:t>日第</w:t>
      </w:r>
      <w:r w:rsidRPr="00BF42B7">
        <w:rPr>
          <w:rFonts w:hint="eastAsia"/>
        </w:rPr>
        <w:t>3329</w:t>
      </w:r>
      <w:r w:rsidRPr="00BF42B7">
        <w:rPr>
          <w:rFonts w:hint="eastAsia"/>
        </w:rPr>
        <w:t>次会议上，委员会暂时通过了经第六十七届会议上起草委员会暂时通过和委员会注意到的第</w:t>
      </w:r>
      <w:r w:rsidRPr="00BF42B7">
        <w:rPr>
          <w:rFonts w:hint="eastAsia"/>
        </w:rPr>
        <w:t>2</w:t>
      </w:r>
      <w:r w:rsidRPr="00BF42B7">
        <w:rPr>
          <w:rFonts w:hint="eastAsia"/>
        </w:rPr>
        <w:t>条草案</w:t>
      </w:r>
      <w:r w:rsidRPr="00BF42B7">
        <w:rPr>
          <w:rFonts w:hint="eastAsia"/>
        </w:rPr>
        <w:t>(f)</w:t>
      </w:r>
      <w:r w:rsidRPr="00BF42B7">
        <w:rPr>
          <w:rFonts w:hint="eastAsia"/>
        </w:rPr>
        <w:t>项和第</w:t>
      </w:r>
      <w:r w:rsidRPr="00BF42B7">
        <w:rPr>
          <w:rFonts w:hint="eastAsia"/>
        </w:rPr>
        <w:t>6</w:t>
      </w:r>
      <w:r w:rsidRPr="00BF42B7">
        <w:rPr>
          <w:rFonts w:hint="eastAsia"/>
        </w:rPr>
        <w:t>条草案</w:t>
      </w:r>
      <w:r w:rsidRPr="00BF42B7">
        <w:t>(</w:t>
      </w:r>
      <w:r w:rsidRPr="00BF42B7">
        <w:rPr>
          <w:rFonts w:hint="eastAsia"/>
        </w:rPr>
        <w:t>见下文</w:t>
      </w:r>
      <w:r w:rsidRPr="00BF42B7">
        <w:t>C.1</w:t>
      </w:r>
      <w:r w:rsidRPr="00BF42B7">
        <w:rPr>
          <w:rFonts w:hint="eastAsia"/>
        </w:rPr>
        <w:t>节</w:t>
      </w:r>
      <w:r w:rsidRPr="00BF42B7">
        <w:t>)</w:t>
      </w:r>
      <w:r w:rsidRPr="00BF42B7">
        <w:rPr>
          <w:rFonts w:hint="eastAsia"/>
        </w:rPr>
        <w:t>。</w:t>
      </w:r>
      <w:r w:rsidRPr="00BF42B7">
        <w:t xml:space="preserve"> </w:t>
      </w:r>
    </w:p>
    <w:p w:rsidR="00396D56" w:rsidRPr="00BF42B7" w:rsidRDefault="00396D56" w:rsidP="00396D56">
      <w:pPr>
        <w:pStyle w:val="SingleTxtGC"/>
      </w:pPr>
      <w:r w:rsidRPr="00BF42B7">
        <w:t>195.</w:t>
      </w:r>
      <w:r w:rsidRPr="00BF42B7">
        <w:rPr>
          <w:rFonts w:hint="eastAsia"/>
        </w:rPr>
        <w:t xml:space="preserve">  </w:t>
      </w:r>
      <w:r w:rsidRPr="00BF42B7">
        <w:rPr>
          <w:rFonts w:hint="eastAsia"/>
        </w:rPr>
        <w:t>在</w:t>
      </w:r>
      <w:r w:rsidRPr="00BF42B7">
        <w:rPr>
          <w:rFonts w:hint="eastAsia"/>
        </w:rPr>
        <w:t>2016</w:t>
      </w:r>
      <w:r w:rsidRPr="00BF42B7">
        <w:rPr>
          <w:rFonts w:hint="eastAsia"/>
        </w:rPr>
        <w:t>年</w:t>
      </w:r>
      <w:r w:rsidRPr="00BF42B7">
        <w:rPr>
          <w:rFonts w:hint="eastAsia"/>
        </w:rPr>
        <w:t>8</w:t>
      </w:r>
      <w:r w:rsidRPr="00BF42B7">
        <w:rPr>
          <w:rFonts w:hint="eastAsia"/>
        </w:rPr>
        <w:t>月</w:t>
      </w:r>
      <w:r w:rsidRPr="00BF42B7">
        <w:rPr>
          <w:rFonts w:hint="eastAsia"/>
        </w:rPr>
        <w:t>11</w:t>
      </w:r>
      <w:r w:rsidRPr="00BF42B7">
        <w:rPr>
          <w:rFonts w:hint="eastAsia"/>
        </w:rPr>
        <w:t>日举行的第</w:t>
      </w:r>
      <w:r w:rsidRPr="00BF42B7">
        <w:rPr>
          <w:rFonts w:hint="eastAsia"/>
        </w:rPr>
        <w:t>3345</w:t>
      </w:r>
      <w:r w:rsidRPr="00BF42B7">
        <w:rPr>
          <w:rFonts w:hint="eastAsia"/>
        </w:rPr>
        <w:t>至第</w:t>
      </w:r>
      <w:r w:rsidRPr="00BF42B7">
        <w:rPr>
          <w:rFonts w:hint="eastAsia"/>
        </w:rPr>
        <w:t>3346</w:t>
      </w:r>
      <w:r w:rsidRPr="00BF42B7">
        <w:rPr>
          <w:rFonts w:hint="eastAsia"/>
        </w:rPr>
        <w:t>次会议上，委员会通过了本届会议暂时通过的条款草案的评注</w:t>
      </w:r>
      <w:r w:rsidRPr="00BF42B7">
        <w:rPr>
          <w:rFonts w:hint="eastAsia"/>
        </w:rPr>
        <w:t>(</w:t>
      </w:r>
      <w:r w:rsidRPr="00BF42B7">
        <w:rPr>
          <w:rFonts w:hint="eastAsia"/>
        </w:rPr>
        <w:t>见下文</w:t>
      </w:r>
      <w:r w:rsidRPr="00BF42B7">
        <w:rPr>
          <w:rFonts w:hint="eastAsia"/>
        </w:rPr>
        <w:t>C.2</w:t>
      </w:r>
      <w:r w:rsidRPr="00BF42B7">
        <w:rPr>
          <w:rFonts w:hint="eastAsia"/>
        </w:rPr>
        <w:t>节</w:t>
      </w:r>
      <w:r w:rsidRPr="00BF42B7">
        <w:rPr>
          <w:rFonts w:hint="eastAsia"/>
        </w:rPr>
        <w:t>)</w:t>
      </w:r>
      <w:r w:rsidRPr="00BF42B7">
        <w:rPr>
          <w:rFonts w:hint="eastAsia"/>
        </w:rPr>
        <w:t>。</w:t>
      </w:r>
    </w:p>
    <w:p w:rsidR="00396D56" w:rsidRPr="00BF42B7" w:rsidRDefault="00396D56" w:rsidP="00396D56">
      <w:pPr>
        <w:pStyle w:val="H23GC"/>
      </w:pPr>
      <w:r w:rsidRPr="00BF42B7">
        <w:tab/>
        <w:t>1.</w:t>
      </w:r>
      <w:r w:rsidRPr="00BF42B7">
        <w:tab/>
      </w:r>
      <w:r w:rsidRPr="00BF42B7">
        <w:rPr>
          <w:rFonts w:hint="eastAsia"/>
        </w:rPr>
        <w:t>特别报告员介绍第五次报告</w:t>
      </w:r>
    </w:p>
    <w:p w:rsidR="00396D56" w:rsidRPr="00BF42B7" w:rsidRDefault="00396D56" w:rsidP="00396D56">
      <w:pPr>
        <w:pStyle w:val="SingleTxtGC"/>
      </w:pPr>
      <w:r w:rsidRPr="00BF42B7">
        <w:t xml:space="preserve">196.  </w:t>
      </w:r>
      <w:r w:rsidRPr="00BF42B7">
        <w:t>第五次报告</w:t>
      </w:r>
      <w:r w:rsidRPr="00BF42B7">
        <w:rPr>
          <w:rFonts w:hint="eastAsia"/>
        </w:rPr>
        <w:t>分析了</w:t>
      </w:r>
      <w:r w:rsidRPr="00BF42B7">
        <w:t>国家官员的外国刑事管辖豁免</w:t>
      </w:r>
      <w:r w:rsidRPr="00BF42B7">
        <w:rPr>
          <w:rFonts w:hint="eastAsia"/>
        </w:rPr>
        <w:t>的限制和例外问题。报告特别论述了委员会此前对</w:t>
      </w:r>
      <w:r w:rsidRPr="00BF42B7">
        <w:t>国家官员的外国刑事管辖豁免</w:t>
      </w:r>
      <w:r w:rsidRPr="00BF42B7">
        <w:rPr>
          <w:rFonts w:hint="eastAsia"/>
        </w:rPr>
        <w:t>的限制和例外问题的审议情况，分析了相关实践，讨论了有关限制和例外的一些方法和概念问题，并考虑了不适用</w:t>
      </w:r>
      <w:r w:rsidRPr="00BF42B7">
        <w:t>国家官员的外国刑事管辖豁免</w:t>
      </w:r>
      <w:r w:rsidRPr="00BF42B7">
        <w:rPr>
          <w:rFonts w:hint="eastAsia"/>
        </w:rPr>
        <w:t>的实例。报告得出结论：无法在实践的基础上认定存在一条习惯法规则，允许对</w:t>
      </w:r>
      <w:r w:rsidRPr="00BF42B7">
        <w:t>属人豁免</w:t>
      </w:r>
      <w:r w:rsidRPr="00BF42B7">
        <w:rPr>
          <w:rFonts w:hint="eastAsia"/>
        </w:rPr>
        <w:t>适用限制和例外；也无法找到支持这种规则的趋势。另一方面，报告还得出结论：在</w:t>
      </w:r>
      <w:r w:rsidRPr="00BF42B7">
        <w:t>属事豁免</w:t>
      </w:r>
      <w:r w:rsidRPr="00BF42B7">
        <w:rPr>
          <w:rFonts w:hint="eastAsia"/>
        </w:rPr>
        <w:t>方面，</w:t>
      </w:r>
      <w:r w:rsidRPr="00BF42B7">
        <w:t>国家官员</w:t>
      </w:r>
      <w:r w:rsidRPr="00BF42B7">
        <w:rPr>
          <w:rFonts w:hint="eastAsia"/>
        </w:rPr>
        <w:t>的确适用</w:t>
      </w:r>
      <w:r w:rsidRPr="00BF42B7">
        <w:t>外国刑事管辖豁免</w:t>
      </w:r>
      <w:r w:rsidRPr="00BF42B7">
        <w:rPr>
          <w:rFonts w:hint="eastAsia"/>
        </w:rPr>
        <w:t>的限制和例外。作为分析结果，报告载有关于“不适用豁免的罪行”的</w:t>
      </w:r>
      <w:r w:rsidRPr="00BF42B7">
        <w:t>第</w:t>
      </w:r>
      <w:r w:rsidRPr="00BF42B7">
        <w:t>7</w:t>
      </w:r>
      <w:r w:rsidRPr="00BF42B7">
        <w:t>条草案</w:t>
      </w:r>
      <w:r w:rsidRPr="00BF42B7">
        <w:rPr>
          <w:rFonts w:hint="eastAsia"/>
        </w:rPr>
        <w:t>的拟议案文。</w:t>
      </w:r>
      <w:r w:rsidRPr="00BF42B7">
        <w:rPr>
          <w:color w:val="0000FF"/>
          <w:vertAlign w:val="superscript"/>
        </w:rPr>
        <w:footnoteReference w:id="1409"/>
      </w:r>
      <w:r w:rsidRPr="00BF42B7">
        <w:t xml:space="preserve"> </w:t>
      </w:r>
      <w:r w:rsidRPr="00BF42B7">
        <w:rPr>
          <w:rFonts w:hint="eastAsia"/>
        </w:rPr>
        <w:t>报告还指出，</w:t>
      </w:r>
      <w:r w:rsidRPr="00BF42B7">
        <w:rPr>
          <w:rFonts w:hint="eastAsia"/>
        </w:rPr>
        <w:t>2017</w:t>
      </w:r>
      <w:r w:rsidRPr="00BF42B7">
        <w:rPr>
          <w:rFonts w:hint="eastAsia"/>
        </w:rPr>
        <w:t>年特别报告员的第六次报告将处理</w:t>
      </w:r>
      <w:r w:rsidRPr="00BF42B7">
        <w:t>国家官员的外国刑事管辖豁免</w:t>
      </w:r>
      <w:r w:rsidRPr="00BF42B7">
        <w:rPr>
          <w:rFonts w:hint="eastAsia"/>
        </w:rPr>
        <w:t>的程序问题。</w:t>
      </w:r>
    </w:p>
    <w:p w:rsidR="00396D56" w:rsidRPr="00BF42B7" w:rsidRDefault="00396D56" w:rsidP="00396D56">
      <w:pPr>
        <w:pStyle w:val="SingleTxtGC"/>
      </w:pPr>
      <w:r w:rsidRPr="00BF42B7">
        <w:t>197.</w:t>
      </w:r>
      <w:r w:rsidRPr="00BF42B7">
        <w:rPr>
          <w:rFonts w:hint="eastAsia"/>
        </w:rPr>
        <w:t xml:space="preserve"> </w:t>
      </w:r>
      <w:r w:rsidRPr="00BF42B7">
        <w:t xml:space="preserve"> </w:t>
      </w:r>
      <w:r w:rsidRPr="00BF42B7">
        <w:rPr>
          <w:rFonts w:hint="eastAsia"/>
        </w:rPr>
        <w:t>特别报告员在报告的导言部分回顾指出，这个专题是委员会和大会第六委员会多年来反复辩论的主题，引发了多种意见，而且往往是相反的意见。</w:t>
      </w:r>
      <w:r w:rsidRPr="00BF42B7">
        <w:t>第五次报告</w:t>
      </w:r>
      <w:r w:rsidRPr="00BF42B7">
        <w:rPr>
          <w:rFonts w:hint="eastAsia"/>
        </w:rPr>
        <w:t>在委员会结束审议</w:t>
      </w:r>
      <w:r w:rsidRPr="00BF42B7">
        <w:t>属人豁免</w:t>
      </w:r>
      <w:r w:rsidRPr="00BF42B7">
        <w:rPr>
          <w:rFonts w:hint="eastAsia"/>
          <w:iCs/>
        </w:rPr>
        <w:t>和</w:t>
      </w:r>
      <w:r w:rsidRPr="00BF42B7">
        <w:t>属事豁免</w:t>
      </w:r>
      <w:r w:rsidRPr="00BF42B7">
        <w:rPr>
          <w:rFonts w:hint="eastAsia"/>
        </w:rPr>
        <w:t>的所有规范性要素后，处理豁免的限制和例外。</w:t>
      </w:r>
    </w:p>
    <w:p w:rsidR="00396D56" w:rsidRPr="00BF42B7" w:rsidRDefault="00396D56" w:rsidP="00396D56">
      <w:pPr>
        <w:pStyle w:val="SingleTxtGC"/>
      </w:pPr>
      <w:r w:rsidRPr="00BF42B7">
        <w:t xml:space="preserve">198. </w:t>
      </w:r>
      <w:r w:rsidRPr="00BF42B7">
        <w:rPr>
          <w:rFonts w:hint="eastAsia"/>
        </w:rPr>
        <w:t xml:space="preserve"> </w:t>
      </w:r>
      <w:r w:rsidRPr="00BF42B7">
        <w:t>特别报告员</w:t>
      </w:r>
      <w:r w:rsidRPr="00BF42B7">
        <w:rPr>
          <w:rFonts w:hint="eastAsia"/>
        </w:rPr>
        <w:t>称其在编写报告时采用了与前几次报告相同的方法，包括分析</w:t>
      </w:r>
      <w:r w:rsidRPr="00BF42B7">
        <w:rPr>
          <w:rFonts w:hint="eastAsia"/>
        </w:rPr>
        <w:t>(</w:t>
      </w:r>
      <w:r w:rsidRPr="00BF42B7">
        <w:rPr>
          <w:rFonts w:hint="eastAsia"/>
        </w:rPr>
        <w:t>国内和国际</w:t>
      </w:r>
      <w:r w:rsidRPr="00BF42B7">
        <w:rPr>
          <w:rFonts w:hint="eastAsia"/>
        </w:rPr>
        <w:t>)</w:t>
      </w:r>
      <w:r w:rsidRPr="00BF42B7">
        <w:rPr>
          <w:rFonts w:hint="eastAsia"/>
        </w:rPr>
        <w:t>的司法实践和条约实践，同时考虑到委员会以往的工作；她还指出，</w:t>
      </w:r>
      <w:r w:rsidRPr="00BF42B7">
        <w:t>第五次报告</w:t>
      </w:r>
      <w:r w:rsidRPr="00BF42B7">
        <w:rPr>
          <w:rFonts w:hint="eastAsia"/>
        </w:rPr>
        <w:t>还另外分析了国家立法，以及各国政府就委员会提出的问题做出的答复。</w:t>
      </w:r>
      <w:r w:rsidRPr="00BF42B7">
        <w:t>特别报告员</w:t>
      </w:r>
      <w:r w:rsidRPr="00BF42B7">
        <w:rPr>
          <w:rFonts w:hint="eastAsia"/>
        </w:rPr>
        <w:t>强调，</w:t>
      </w:r>
      <w:r w:rsidRPr="00BF42B7">
        <w:t>第五次报告</w:t>
      </w:r>
      <w:r w:rsidRPr="00BF42B7">
        <w:rPr>
          <w:rFonts w:hint="eastAsia"/>
        </w:rPr>
        <w:t>和前几次报告一样，必须结合此前本专题的各次报告一并阅读和理解，因为这些报告是一个整体。</w:t>
      </w:r>
    </w:p>
    <w:p w:rsidR="00396D56" w:rsidRPr="00BF42B7" w:rsidRDefault="00396D56" w:rsidP="00396D56">
      <w:pPr>
        <w:pStyle w:val="SingleTxtGC"/>
      </w:pPr>
      <w:r w:rsidRPr="00BF42B7">
        <w:t xml:space="preserve">199.  </w:t>
      </w:r>
      <w:r w:rsidRPr="00BF42B7">
        <w:rPr>
          <w:rFonts w:hint="eastAsia"/>
        </w:rPr>
        <w:t>谈到</w:t>
      </w:r>
      <w:r w:rsidRPr="00BF42B7">
        <w:t>第五次报告</w:t>
      </w:r>
      <w:r w:rsidRPr="00BF42B7">
        <w:rPr>
          <w:rFonts w:hint="eastAsia"/>
        </w:rPr>
        <w:t>反映的主要实质性问题和方法问题，</w:t>
      </w:r>
      <w:r w:rsidRPr="00BF42B7">
        <w:t>特别报告员</w:t>
      </w:r>
      <w:r w:rsidRPr="00BF42B7">
        <w:rPr>
          <w:rFonts w:hint="eastAsia"/>
        </w:rPr>
        <w:t>表示本报告的目标在于：</w:t>
      </w:r>
      <w:r w:rsidRPr="00BF42B7">
        <w:t xml:space="preserve">(a) </w:t>
      </w:r>
      <w:r w:rsidRPr="00BF42B7">
        <w:rPr>
          <w:rFonts w:hint="eastAsia"/>
        </w:rPr>
        <w:t>分析是否存在</w:t>
      </w:r>
      <w:r w:rsidRPr="00BF42B7">
        <w:t>国家官员的外国刑事管辖豁免</w:t>
      </w:r>
      <w:r w:rsidRPr="00BF42B7">
        <w:rPr>
          <w:rFonts w:hint="eastAsia"/>
        </w:rPr>
        <w:t>无效的情况，甚至在此种豁免因具备暂时通过的条款草案中所述所有规范性要素而可能适用的情况下；</w:t>
      </w:r>
      <w:r w:rsidRPr="00BF42B7">
        <w:t>(b)</w:t>
      </w:r>
      <w:r w:rsidRPr="00BF42B7">
        <w:rPr>
          <w:rFonts w:hint="eastAsia"/>
        </w:rPr>
        <w:t xml:space="preserve"> </w:t>
      </w:r>
      <w:r w:rsidRPr="00BF42B7">
        <w:rPr>
          <w:rFonts w:hint="eastAsia"/>
        </w:rPr>
        <w:t>若</w:t>
      </w:r>
      <w:r w:rsidRPr="00BF42B7">
        <w:t>(a)</w:t>
      </w:r>
      <w:r w:rsidRPr="00BF42B7">
        <w:rPr>
          <w:rFonts w:hint="eastAsia"/>
        </w:rPr>
        <w:t>的答案是肯定的，找出此种豁免无效的实例，特别要讨论：</w:t>
      </w:r>
      <w:r w:rsidRPr="00BF42B7">
        <w:t>(</w:t>
      </w:r>
      <w:r w:rsidRPr="00BF42B7">
        <w:rPr>
          <w:rFonts w:hint="eastAsia"/>
        </w:rPr>
        <w:t>一</w:t>
      </w:r>
      <w:r w:rsidRPr="00BF42B7">
        <w:t xml:space="preserve">) </w:t>
      </w:r>
      <w:r w:rsidRPr="00BF42B7">
        <w:rPr>
          <w:rFonts w:hint="eastAsia"/>
        </w:rPr>
        <w:t>豁免的限制和例外；</w:t>
      </w:r>
      <w:r w:rsidRPr="00BF42B7">
        <w:t>(</w:t>
      </w:r>
      <w:r w:rsidRPr="00BF42B7">
        <w:rPr>
          <w:rFonts w:hint="eastAsia"/>
        </w:rPr>
        <w:t>二</w:t>
      </w:r>
      <w:r w:rsidRPr="00BF42B7">
        <w:t xml:space="preserve">) </w:t>
      </w:r>
      <w:r w:rsidRPr="00BF42B7">
        <w:rPr>
          <w:rFonts w:hint="eastAsia"/>
        </w:rPr>
        <w:t>不适用豁免的罪行。</w:t>
      </w:r>
    </w:p>
    <w:p w:rsidR="00396D56" w:rsidRPr="00BF42B7" w:rsidRDefault="00396D56" w:rsidP="00396D56">
      <w:pPr>
        <w:pStyle w:val="SingleTxtGC"/>
      </w:pPr>
      <w:r w:rsidRPr="00BF42B7">
        <w:t xml:space="preserve">200. </w:t>
      </w:r>
      <w:r w:rsidRPr="00BF42B7">
        <w:rPr>
          <w:rFonts w:hint="eastAsia"/>
        </w:rPr>
        <w:t xml:space="preserve"> </w:t>
      </w:r>
      <w:r w:rsidRPr="00BF42B7">
        <w:t>特别报告员</w:t>
      </w:r>
      <w:r w:rsidRPr="00BF42B7">
        <w:rPr>
          <w:rFonts w:hint="eastAsia"/>
        </w:rPr>
        <w:t>指出，她认为“限制和例外”的用语反映出理论上的区别：似乎“限制”是豁免制度本身固有的内容，而“例外”则是外来因素。报告中提出，这种区别具有规范性影响，因为它影响到对豁免的系统性解释。不过</w:t>
      </w:r>
      <w:r w:rsidRPr="00BF42B7">
        <w:t>特别报告员</w:t>
      </w:r>
      <w:r w:rsidRPr="00BF42B7">
        <w:rPr>
          <w:rFonts w:hint="eastAsia"/>
        </w:rPr>
        <w:t>强调，限制和例外之间的区别不具任何实际意义，因为二者所致后果相同，即</w:t>
      </w:r>
      <w:r w:rsidRPr="00BF42B7">
        <w:t>国家官员的外国刑事管辖豁免</w:t>
      </w:r>
      <w:r w:rsidRPr="00BF42B7">
        <w:rPr>
          <w:rFonts w:hint="eastAsia"/>
        </w:rPr>
        <w:t>这一法律制度在具体案例中不适用。因此，为本条款草案的目的，使用“不适用豁免”涵盖限制和例外。</w:t>
      </w:r>
    </w:p>
    <w:p w:rsidR="00396D56" w:rsidRPr="00BF42B7" w:rsidRDefault="00396D56" w:rsidP="00396D56">
      <w:pPr>
        <w:pStyle w:val="SingleTxtGC"/>
      </w:pPr>
      <w:r w:rsidRPr="00BF42B7">
        <w:t xml:space="preserve">201. </w:t>
      </w:r>
      <w:r w:rsidRPr="00BF42B7">
        <w:rPr>
          <w:rFonts w:hint="eastAsia"/>
        </w:rPr>
        <w:t xml:space="preserve"> </w:t>
      </w:r>
      <w:r w:rsidRPr="00BF42B7">
        <w:rPr>
          <w:rFonts w:hint="eastAsia"/>
        </w:rPr>
        <w:t>此外，报告没有将放弃豁免视为“限制或例外”。放弃豁免与限制或例外产生的效果相同。但这并不是因为存在自成一体的一般规则，而是因为行使了国家官员的特权。由于放弃在本质上属于程序问题，所以将在专门讨论豁免的</w:t>
      </w:r>
      <w:r w:rsidRPr="00BF42B7">
        <w:t>程序问题</w:t>
      </w:r>
      <w:r w:rsidRPr="00BF42B7">
        <w:rPr>
          <w:rFonts w:hint="eastAsia"/>
        </w:rPr>
        <w:t>的第六次报告中加以论述。</w:t>
      </w:r>
    </w:p>
    <w:p w:rsidR="00396D56" w:rsidRPr="00BF42B7" w:rsidRDefault="00396D56" w:rsidP="00396D56">
      <w:pPr>
        <w:pStyle w:val="SingleTxtGC"/>
      </w:pPr>
      <w:r w:rsidRPr="00BF42B7">
        <w:t xml:space="preserve">202. </w:t>
      </w:r>
      <w:r w:rsidRPr="00BF42B7">
        <w:rPr>
          <w:rFonts w:hint="eastAsia"/>
        </w:rPr>
        <w:t xml:space="preserve"> </w:t>
      </w:r>
      <w:r w:rsidRPr="00BF42B7">
        <w:rPr>
          <w:rFonts w:hint="eastAsia"/>
        </w:rPr>
        <w:t>报告没有仅仅考虑国际罪行，而是选取了更加广阔的视角。报告还分析了某些其他罪行，例如国际社会十分关注的腐败罪。此外，报告还列举了</w:t>
      </w:r>
      <w:r w:rsidRPr="00BF42B7">
        <w:t>法院地国</w:t>
      </w:r>
      <w:r w:rsidRPr="00BF42B7">
        <w:rPr>
          <w:rFonts w:hint="eastAsia"/>
        </w:rPr>
        <w:t>行使刑事管辖权中领土主权至上</w:t>
      </w:r>
      <w:r w:rsidRPr="00BF42B7">
        <w:rPr>
          <w:rFonts w:hint="eastAsia"/>
        </w:rPr>
        <w:t>(</w:t>
      </w:r>
      <w:r w:rsidRPr="00BF42B7">
        <w:rPr>
          <w:rFonts w:hint="eastAsia"/>
        </w:rPr>
        <w:t>类似于国家管辖豁免的“领土内侵权例外”</w:t>
      </w:r>
      <w:r w:rsidRPr="00BF42B7">
        <w:rPr>
          <w:rFonts w:hint="eastAsia"/>
        </w:rPr>
        <w:t>)</w:t>
      </w:r>
      <w:r w:rsidRPr="00BF42B7">
        <w:rPr>
          <w:rFonts w:hint="eastAsia"/>
        </w:rPr>
        <w:t>的情形下，不适用豁免的国家实践的实例。</w:t>
      </w:r>
    </w:p>
    <w:p w:rsidR="00396D56" w:rsidRPr="00BF42B7" w:rsidRDefault="00396D56" w:rsidP="00396D56">
      <w:pPr>
        <w:pStyle w:val="SingleTxtGC"/>
      </w:pPr>
      <w:r w:rsidRPr="00BF42B7">
        <w:t xml:space="preserve">203. </w:t>
      </w:r>
      <w:r w:rsidRPr="00BF42B7">
        <w:rPr>
          <w:rFonts w:hint="eastAsia"/>
        </w:rPr>
        <w:t xml:space="preserve"> </w:t>
      </w:r>
      <w:r w:rsidRPr="00BF42B7">
        <w:t>特别报告员</w:t>
      </w:r>
      <w:r w:rsidRPr="00BF42B7">
        <w:rPr>
          <w:rFonts w:hint="eastAsia"/>
        </w:rPr>
        <w:t>还强调指出在理解对豁免适用限制和例外的制度时必须考虑的若干因素：</w:t>
      </w:r>
    </w:p>
    <w:p w:rsidR="00396D56" w:rsidRPr="00BF42B7" w:rsidRDefault="00396D56" w:rsidP="005D4032">
      <w:pPr>
        <w:pStyle w:val="SingleTxtGC"/>
        <w:numPr>
          <w:ilvl w:val="0"/>
          <w:numId w:val="49"/>
        </w:numPr>
      </w:pPr>
      <w:r w:rsidRPr="00BF42B7">
        <w:rPr>
          <w:rFonts w:hint="eastAsia"/>
        </w:rPr>
        <w:t>豁免与管辖密不可分。她将前者描述为</w:t>
      </w:r>
      <w:r w:rsidRPr="00BF42B7">
        <w:t>法院地国</w:t>
      </w:r>
      <w:r w:rsidRPr="00BF42B7">
        <w:rPr>
          <w:rFonts w:hint="eastAsia"/>
        </w:rPr>
        <w:t>法院行使管辖权的一种例外。虽然二者均以国家主权平等为基础，但是在界定何时可能存在限制和例外时，必须考虑到豁免的例外性质；</w:t>
      </w:r>
    </w:p>
    <w:p w:rsidR="00396D56" w:rsidRPr="00BF42B7" w:rsidRDefault="00396D56" w:rsidP="005D4032">
      <w:pPr>
        <w:pStyle w:val="SingleTxtGC"/>
        <w:numPr>
          <w:ilvl w:val="0"/>
          <w:numId w:val="49"/>
        </w:numPr>
      </w:pPr>
      <w:r w:rsidRPr="00BF42B7">
        <w:rPr>
          <w:rFonts w:hint="eastAsia"/>
        </w:rPr>
        <w:t>豁免的程序性质意味着豁免并不免除国家官员的个人刑事责任。因此，从正式意义上讲，豁免不等同于有罪不罚。但是她强调指出，某些情况下，豁免实际上可能导致无法裁定国家官员的个人刑事责任。在分析豁免的限制和例外时，必须铭记这种影响；</w:t>
      </w:r>
    </w:p>
    <w:p w:rsidR="00396D56" w:rsidRPr="00BF42B7" w:rsidRDefault="00396D56" w:rsidP="005D4032">
      <w:pPr>
        <w:pStyle w:val="SingleTxtGC"/>
        <w:numPr>
          <w:ilvl w:val="0"/>
          <w:numId w:val="49"/>
        </w:numPr>
      </w:pPr>
      <w:r w:rsidRPr="00BF42B7">
        <w:t>国家官员的外国刑事管辖豁免</w:t>
      </w:r>
      <w:r w:rsidRPr="00BF42B7">
        <w:rPr>
          <w:rFonts w:hint="eastAsia"/>
        </w:rPr>
        <w:t>涉及到意图酌情确定某些犯罪责任人的个人刑事责任的刑事诉讼。此种豁免有别于国家豁免，也受不同法律制度的管辖，在豁免的限制和例外方面亦是如此；</w:t>
      </w:r>
    </w:p>
    <w:p w:rsidR="00396D56" w:rsidRPr="00BF42B7" w:rsidRDefault="00396D56" w:rsidP="005D4032">
      <w:pPr>
        <w:pStyle w:val="SingleTxtGC"/>
        <w:numPr>
          <w:ilvl w:val="0"/>
          <w:numId w:val="49"/>
        </w:numPr>
      </w:pPr>
      <w:r w:rsidRPr="00BF42B7">
        <w:rPr>
          <w:rFonts w:hint="eastAsia"/>
        </w:rPr>
        <w:t>豁免在各国间的横向适用，即本专题讨论的主题，有别于且独立于在国际刑事法院和法庭纵向适用豁免。但与此同时，不能总是将国际刑事法院和法庭视为确定国家官员刑事责任的替代机制。因此，国际刑事法庭的存在不能被视为不设例外的依据。</w:t>
      </w:r>
    </w:p>
    <w:p w:rsidR="00396D56" w:rsidRPr="00BF42B7" w:rsidRDefault="00396D56" w:rsidP="00396D56">
      <w:pPr>
        <w:pStyle w:val="SingleTxtGC"/>
      </w:pPr>
      <w:r w:rsidRPr="00BF42B7">
        <w:t>204.</w:t>
      </w:r>
      <w:r w:rsidRPr="00BF42B7">
        <w:rPr>
          <w:rFonts w:hint="eastAsia"/>
        </w:rPr>
        <w:t xml:space="preserve">  </w:t>
      </w:r>
      <w:r w:rsidRPr="00BF42B7">
        <w:t>特别报告员</w:t>
      </w:r>
      <w:r w:rsidRPr="00BF42B7">
        <w:rPr>
          <w:rFonts w:hint="eastAsia"/>
        </w:rPr>
        <w:t>在报告中论述相关实践时强调，此类实践对于确定豁免的限制和例外十分重要。报告员还系统阐述了豁免及豁免的限制和例外，以为补充。据此，虽然实践各不相同，但表明了一种明确的趋势，即认为实施国际罪行是不得适用国家官员的外国刑事管辖</w:t>
      </w:r>
      <w:r w:rsidRPr="00BF42B7">
        <w:t>属事豁免</w:t>
      </w:r>
      <w:r w:rsidRPr="00BF42B7">
        <w:rPr>
          <w:rFonts w:hint="eastAsia"/>
        </w:rPr>
        <w:t>的抗辩事由。这一点的依据是：</w:t>
      </w:r>
      <w:r w:rsidRPr="00BF42B7">
        <w:t xml:space="preserve">(a) </w:t>
      </w:r>
      <w:r w:rsidRPr="00BF42B7">
        <w:rPr>
          <w:rFonts w:hint="eastAsia"/>
        </w:rPr>
        <w:t>此种罪行不被视为“官方行为”，或因罪行性质严重成为豁免例外；</w:t>
      </w:r>
      <w:r w:rsidRPr="00BF42B7">
        <w:t xml:space="preserve"> (b) </w:t>
      </w:r>
      <w:r w:rsidRPr="00BF42B7">
        <w:rPr>
          <w:rFonts w:hint="eastAsia"/>
        </w:rPr>
        <w:t>它们违背了全体国际社会承认的价值观和原则。</w:t>
      </w:r>
    </w:p>
    <w:p w:rsidR="00396D56" w:rsidRPr="00BF42B7" w:rsidRDefault="00396D56" w:rsidP="00396D56">
      <w:pPr>
        <w:pStyle w:val="SingleTxtGC"/>
      </w:pPr>
      <w:r w:rsidRPr="00BF42B7">
        <w:t xml:space="preserve">205. </w:t>
      </w:r>
      <w:r w:rsidRPr="00BF42B7">
        <w:rPr>
          <w:rFonts w:hint="eastAsia"/>
        </w:rPr>
        <w:t xml:space="preserve"> </w:t>
      </w:r>
      <w:r w:rsidRPr="00BF42B7">
        <w:rPr>
          <w:rFonts w:hint="eastAsia"/>
        </w:rPr>
        <w:t>关于第一点，报告员指出，即使各国法院有时承认国际罪行的外国刑事管辖豁免，但都是在</w:t>
      </w:r>
      <w:r w:rsidRPr="00BF42B7">
        <w:t>属人豁免</w:t>
      </w:r>
      <w:r w:rsidRPr="00BF42B7">
        <w:rPr>
          <w:rFonts w:hint="eastAsia"/>
        </w:rPr>
        <w:t>的范围内，只有在特殊情况下才是</w:t>
      </w:r>
      <w:r w:rsidRPr="00BF42B7">
        <w:t>属事豁免</w:t>
      </w:r>
      <w:r w:rsidRPr="00BF42B7">
        <w:rPr>
          <w:rFonts w:hint="eastAsia"/>
        </w:rPr>
        <w:t>。基于这种实践，再加上法律确信，可以得出结论：当代国际法在发生国际罪行时允许对外国刑事管辖</w:t>
      </w:r>
      <w:r w:rsidRPr="00BF42B7">
        <w:t>属事豁免</w:t>
      </w:r>
      <w:r w:rsidRPr="00BF42B7">
        <w:rPr>
          <w:rFonts w:hint="eastAsia"/>
        </w:rPr>
        <w:t>的限制或例外。此外，尽管对于是否存在相当于习惯法的相关一般惯例或许存有疑问，但正在形成习惯法的趋势十分明显。</w:t>
      </w:r>
    </w:p>
    <w:p w:rsidR="00396D56" w:rsidRPr="00BF42B7" w:rsidRDefault="00396D56" w:rsidP="00396D56">
      <w:pPr>
        <w:pStyle w:val="SingleTxtGC"/>
      </w:pPr>
      <w:r w:rsidRPr="00BF42B7">
        <w:t xml:space="preserve">206. </w:t>
      </w:r>
      <w:r w:rsidRPr="00BF42B7">
        <w:rPr>
          <w:rFonts w:hint="eastAsia"/>
        </w:rPr>
        <w:t xml:space="preserve"> </w:t>
      </w:r>
      <w:r w:rsidRPr="00BF42B7">
        <w:rPr>
          <w:rFonts w:hint="eastAsia"/>
        </w:rPr>
        <w:t>关于“价值观和法律原则”的问题，报告试图将国际法视为</w:t>
      </w:r>
      <w:r w:rsidRPr="00BF42B7">
        <w:t>国家官员外国刑事管辖豁免</w:t>
      </w:r>
      <w:r w:rsidRPr="00BF42B7">
        <w:rPr>
          <w:rFonts w:hint="eastAsia"/>
        </w:rPr>
        <w:t>这一法律制度所属的规范性系统，以此为基础，论述豁免的限制和例外。为了避免适用豁免制度或废除当代国际法制度中其他组成部分所引发的负面影响，报告中强调指出，有必要采取这样的系统性方法。报告也采用这种方法来论述豁免与当代国际法其他基本范畴</w:t>
      </w:r>
      <w:r w:rsidRPr="00BF42B7">
        <w:rPr>
          <w:rFonts w:hint="eastAsia"/>
        </w:rPr>
        <w:t>(</w:t>
      </w:r>
      <w:r w:rsidRPr="00BF42B7">
        <w:rPr>
          <w:rFonts w:hint="eastAsia"/>
        </w:rPr>
        <w:t>如国际法强制规范</w:t>
      </w:r>
      <w:r w:rsidRPr="00BF42B7">
        <w:rPr>
          <w:rFonts w:hint="eastAsia"/>
        </w:rPr>
        <w:t>(</w:t>
      </w:r>
      <w:r w:rsidRPr="00BF42B7">
        <w:rPr>
          <w:rFonts w:hint="eastAsia"/>
        </w:rPr>
        <w:t>强行法</w:t>
      </w:r>
      <w:r w:rsidRPr="00BF42B7">
        <w:rPr>
          <w:rFonts w:hint="eastAsia"/>
        </w:rPr>
        <w:t>)</w:t>
      </w:r>
      <w:r w:rsidRPr="00BF42B7">
        <w:rPr>
          <w:rFonts w:hint="eastAsia"/>
        </w:rPr>
        <w:t>的禁令</w:t>
      </w:r>
      <w:r w:rsidRPr="00BF42B7">
        <w:rPr>
          <w:rFonts w:hint="eastAsia"/>
        </w:rPr>
        <w:t>)</w:t>
      </w:r>
      <w:r w:rsidRPr="00BF42B7">
        <w:rPr>
          <w:rFonts w:hint="eastAsia"/>
        </w:rPr>
        <w:t>之间的关系，以及豁免与为有罪不罚和问责概念赋予法律特征、打击有罪不罚、诉讼权、受害者获得赔偿权、或国家起诉某些国际罪行的义务之间的关系。</w:t>
      </w:r>
    </w:p>
    <w:p w:rsidR="00396D56" w:rsidRPr="00BF42B7" w:rsidRDefault="00396D56" w:rsidP="00396D56">
      <w:pPr>
        <w:pStyle w:val="SingleTxtGC"/>
      </w:pPr>
      <w:r w:rsidRPr="00BF42B7">
        <w:t>207.</w:t>
      </w:r>
      <w:r w:rsidRPr="00BF42B7">
        <w:rPr>
          <w:rFonts w:hint="eastAsia"/>
        </w:rPr>
        <w:t xml:space="preserve">  </w:t>
      </w:r>
      <w:r w:rsidRPr="00BF42B7">
        <w:t>特别报告员</w:t>
      </w:r>
      <w:r w:rsidRPr="00BF42B7">
        <w:rPr>
          <w:rFonts w:hint="eastAsia"/>
        </w:rPr>
        <w:t>认为，这种方法更好地响应了一些国家和委员会委员多年来在辩论中表达的关切，符合当代国际法。这种方法没有改变自上世纪以来逐渐形成的国际刑法的根本基础，尤其是个人为国际罪行承担刑事责任的原则，和确保具备有效机制、打击对此类罪行的有罪不罚现象的需要。与此同时，这种方法还考虑到国际法的其他要素，尤其是国家主权平等的原则。</w:t>
      </w:r>
    </w:p>
    <w:p w:rsidR="00396D56" w:rsidRPr="00BF42B7" w:rsidRDefault="00396D56" w:rsidP="00396D56">
      <w:pPr>
        <w:pStyle w:val="SingleTxtGC"/>
      </w:pPr>
      <w:r w:rsidRPr="00BF42B7">
        <w:t>208.</w:t>
      </w:r>
      <w:r w:rsidRPr="00BF42B7">
        <w:rPr>
          <w:rFonts w:hint="eastAsia"/>
        </w:rPr>
        <w:t xml:space="preserve"> </w:t>
      </w:r>
      <w:r w:rsidRPr="00BF42B7">
        <w:t xml:space="preserve"> </w:t>
      </w:r>
      <w:r w:rsidRPr="00BF42B7">
        <w:t>特别报告员</w:t>
      </w:r>
      <w:r w:rsidRPr="00BF42B7">
        <w:rPr>
          <w:rFonts w:hint="eastAsia"/>
        </w:rPr>
        <w:t>还介绍了</w:t>
      </w:r>
      <w:r w:rsidRPr="00BF42B7">
        <w:t>第</w:t>
      </w:r>
      <w:r w:rsidRPr="00BF42B7">
        <w:t>7</w:t>
      </w:r>
      <w:r w:rsidRPr="00BF42B7">
        <w:t>条草案</w:t>
      </w:r>
      <w:r w:rsidRPr="00BF42B7">
        <w:rPr>
          <w:rFonts w:hint="eastAsia"/>
        </w:rPr>
        <w:t>拟议案文中的多项内容。她请大家注意不适用豁免的三类罪行、限制和例外仅适用于</w:t>
      </w:r>
      <w:r w:rsidRPr="00BF42B7">
        <w:t>属事豁免</w:t>
      </w:r>
      <w:r w:rsidRPr="00BF42B7">
        <w:rPr>
          <w:rFonts w:hint="eastAsia"/>
        </w:rPr>
        <w:t>这一事实、以及存在两种被视为特别法的特殊制度。</w:t>
      </w:r>
    </w:p>
    <w:p w:rsidR="00396D56" w:rsidRPr="00BF42B7" w:rsidRDefault="00396D56" w:rsidP="00396D56">
      <w:pPr>
        <w:pStyle w:val="H23GC"/>
      </w:pPr>
      <w:r w:rsidRPr="003D448F">
        <w:rPr>
          <w:bCs/>
        </w:rPr>
        <w:tab/>
        <w:t>2.</w:t>
      </w:r>
      <w:r w:rsidRPr="003D448F">
        <w:rPr>
          <w:bCs/>
        </w:rPr>
        <w:tab/>
      </w:r>
      <w:r w:rsidRPr="00BF42B7">
        <w:rPr>
          <w:rFonts w:hint="eastAsia"/>
        </w:rPr>
        <w:t>辩论摘要</w:t>
      </w:r>
    </w:p>
    <w:p w:rsidR="00396D56" w:rsidRPr="00BF42B7" w:rsidRDefault="00396D56" w:rsidP="004847A4">
      <w:pPr>
        <w:pStyle w:val="H23GC"/>
      </w:pPr>
      <w:r w:rsidRPr="00BF42B7">
        <w:rPr>
          <w:rFonts w:hint="eastAsia"/>
        </w:rPr>
        <w:tab/>
      </w:r>
      <w:r w:rsidRPr="00BF42B7">
        <w:t>(a)</w:t>
      </w:r>
      <w:r w:rsidRPr="00BF42B7">
        <w:rPr>
          <w:rFonts w:hint="eastAsia"/>
        </w:rPr>
        <w:tab/>
      </w:r>
      <w:r w:rsidRPr="00BF42B7">
        <w:rPr>
          <w:rFonts w:hint="eastAsia"/>
        </w:rPr>
        <w:t>一般评论</w:t>
      </w:r>
    </w:p>
    <w:p w:rsidR="00396D56" w:rsidRPr="00BF42B7" w:rsidRDefault="00396D56" w:rsidP="00396D56">
      <w:pPr>
        <w:pStyle w:val="SingleTxtGC"/>
        <w:rPr>
          <w:b/>
          <w:bCs/>
        </w:rPr>
      </w:pPr>
      <w:r w:rsidRPr="00BF42B7">
        <w:t xml:space="preserve">209. </w:t>
      </w:r>
      <w:r w:rsidRPr="00BF42B7">
        <w:rPr>
          <w:rFonts w:hint="eastAsia"/>
        </w:rPr>
        <w:t xml:space="preserve"> </w:t>
      </w:r>
      <w:r w:rsidRPr="00BF42B7">
        <w:rPr>
          <w:rFonts w:hint="eastAsia"/>
        </w:rPr>
        <w:t>本届会议的辩论只是就本专题的这一方面进行讨论的开始。委员会第六十九届会议将继续辩论。解读下面的摘要时应铭记上述因素。将于</w:t>
      </w:r>
      <w:r w:rsidRPr="00BF42B7">
        <w:rPr>
          <w:rFonts w:hint="eastAsia"/>
        </w:rPr>
        <w:t>2017</w:t>
      </w:r>
      <w:r w:rsidRPr="00BF42B7">
        <w:rPr>
          <w:rFonts w:hint="eastAsia"/>
        </w:rPr>
        <w:t>年辩论结束后提供辩论全程纪要，包括</w:t>
      </w:r>
      <w:r w:rsidRPr="00BF42B7">
        <w:t>特别报告员</w:t>
      </w:r>
      <w:r w:rsidRPr="00BF42B7">
        <w:rPr>
          <w:rFonts w:hint="eastAsia"/>
        </w:rPr>
        <w:t>的总结。</w:t>
      </w:r>
    </w:p>
    <w:p w:rsidR="00396D56" w:rsidRPr="00BF42B7" w:rsidRDefault="00396D56" w:rsidP="00396D56">
      <w:pPr>
        <w:pStyle w:val="SingleTxtGC"/>
        <w:rPr>
          <w:b/>
          <w:bCs/>
        </w:rPr>
      </w:pPr>
      <w:r w:rsidRPr="00BF42B7">
        <w:t xml:space="preserve">210. </w:t>
      </w:r>
      <w:r w:rsidRPr="00BF42B7">
        <w:rPr>
          <w:rFonts w:hint="eastAsia"/>
        </w:rPr>
        <w:t xml:space="preserve"> </w:t>
      </w:r>
      <w:r w:rsidRPr="00BF42B7">
        <w:rPr>
          <w:rFonts w:hint="eastAsia"/>
        </w:rPr>
        <w:t>发言的委员普遍欢迎</w:t>
      </w:r>
      <w:r w:rsidRPr="00BF42B7">
        <w:t>特别报告员</w:t>
      </w:r>
      <w:r w:rsidRPr="00BF42B7">
        <w:rPr>
          <w:rFonts w:hint="eastAsia"/>
        </w:rPr>
        <w:t>的第五次报告提供了丰富、系统、有据可查的例子，说明了条约和国家立法以及国际和国家案例法中反映的国家实践。</w:t>
      </w:r>
      <w:r w:rsidRPr="00BF42B7">
        <w:t>显然，这个主题事项</w:t>
      </w:r>
      <w:r w:rsidRPr="00BF42B7">
        <w:rPr>
          <w:rFonts w:hint="eastAsia"/>
        </w:rPr>
        <w:t>，尤其是限制和例外问题，</w:t>
      </w:r>
      <w:r w:rsidRPr="00BF42B7">
        <w:t>在法律上是</w:t>
      </w:r>
      <w:r w:rsidRPr="00BF42B7">
        <w:rPr>
          <w:rFonts w:hint="eastAsia"/>
        </w:rPr>
        <w:t>复</w:t>
      </w:r>
      <w:r w:rsidRPr="00BF42B7">
        <w:t>杂的，提出了对各国来说具有</w:t>
      </w:r>
      <w:r w:rsidRPr="00BF42B7">
        <w:rPr>
          <w:rFonts w:hint="eastAsia"/>
        </w:rPr>
        <w:t>高度</w:t>
      </w:r>
      <w:r w:rsidRPr="00BF42B7">
        <w:t>政治敏感性和重要性的问题。</w:t>
      </w:r>
      <w:r w:rsidRPr="00BF42B7">
        <w:rPr>
          <w:rFonts w:hint="eastAsia"/>
        </w:rPr>
        <w:t>委员们还回顾说，委员会内部存在分歧，各国的意见也不一致，有些委员指出这个专题需要审慎处理。有些委员说，委员会应把重点放在处理限制和例外问题的国际法新规范的编纂而不是逐渐发展上。另一些</w:t>
      </w:r>
      <w:r w:rsidR="004364AE">
        <w:rPr>
          <w:rFonts w:hint="eastAsia"/>
        </w:rPr>
        <w:t>委员</w:t>
      </w:r>
      <w:r w:rsidRPr="00BF42B7">
        <w:rPr>
          <w:rFonts w:hint="eastAsia"/>
        </w:rPr>
        <w:t>指出，处理这一问题时应考虑到国际法的编纂和逐渐发展两方面。</w:t>
      </w:r>
    </w:p>
    <w:p w:rsidR="00396D56" w:rsidRPr="00BF42B7" w:rsidRDefault="00396D56" w:rsidP="004847A4">
      <w:pPr>
        <w:pStyle w:val="H23GC"/>
      </w:pPr>
      <w:r w:rsidRPr="00BF42B7">
        <w:rPr>
          <w:rFonts w:hint="eastAsia"/>
        </w:rPr>
        <w:tab/>
      </w:r>
      <w:r w:rsidRPr="00BF42B7">
        <w:t>(b)</w:t>
      </w:r>
      <w:r w:rsidRPr="00BF42B7">
        <w:rPr>
          <w:rFonts w:hint="eastAsia"/>
        </w:rPr>
        <w:tab/>
      </w:r>
      <w:r w:rsidRPr="00BF42B7">
        <w:rPr>
          <w:rFonts w:hint="eastAsia"/>
        </w:rPr>
        <w:t>关于</w:t>
      </w:r>
      <w:r w:rsidRPr="00BF42B7">
        <w:t>第五次报告</w:t>
      </w:r>
      <w:r w:rsidRPr="00BF42B7">
        <w:rPr>
          <w:rFonts w:hint="eastAsia"/>
        </w:rPr>
        <w:t>提出的方法和概念问题的评论</w:t>
      </w:r>
    </w:p>
    <w:p w:rsidR="00396D56" w:rsidRPr="00BF42B7" w:rsidRDefault="00396D56" w:rsidP="00396D56">
      <w:pPr>
        <w:pStyle w:val="SingleTxtGC"/>
        <w:rPr>
          <w:b/>
          <w:bCs/>
        </w:rPr>
      </w:pPr>
      <w:r w:rsidRPr="00BF42B7">
        <w:t>211.</w:t>
      </w:r>
      <w:r w:rsidRPr="00BF42B7">
        <w:rPr>
          <w:rFonts w:hint="eastAsia"/>
        </w:rPr>
        <w:t xml:space="preserve"> </w:t>
      </w:r>
      <w:r w:rsidRPr="00BF42B7">
        <w:t xml:space="preserve"> </w:t>
      </w:r>
      <w:r w:rsidRPr="00BF42B7">
        <w:rPr>
          <w:rFonts w:hint="eastAsia"/>
        </w:rPr>
        <w:t>发言的委员在评论中述及报告各个方面。他们提到委员会此前对限制和例外问题的审议情况，就相关实践的处理提出了意见，谈及一些有关限制和例外的方法和概念问题，论述了与豁免制度的法律性质有关的问题，并且根据</w:t>
      </w:r>
      <w:r w:rsidRPr="00BF42B7">
        <w:t>特别报告员</w:t>
      </w:r>
      <w:r w:rsidRPr="00BF42B7">
        <w:rPr>
          <w:rFonts w:hint="eastAsia"/>
        </w:rPr>
        <w:t>建议的</w:t>
      </w:r>
      <w:r w:rsidRPr="00BF42B7">
        <w:t>第</w:t>
      </w:r>
      <w:r w:rsidRPr="00BF42B7">
        <w:t>7</w:t>
      </w:r>
      <w:r w:rsidRPr="00BF42B7">
        <w:t>条草案</w:t>
      </w:r>
      <w:r w:rsidRPr="00BF42B7">
        <w:rPr>
          <w:rFonts w:hint="eastAsia"/>
        </w:rPr>
        <w:t>，探讨了不适用国家官员的外国刑事管辖豁免的实例。有些委员表示赞同报告采用的方法，也有些委员表示反对。</w:t>
      </w:r>
    </w:p>
    <w:p w:rsidR="00396D56" w:rsidRPr="00BF42B7" w:rsidRDefault="00396D56" w:rsidP="0022574B">
      <w:pPr>
        <w:pStyle w:val="H4GC"/>
        <w:rPr>
          <w:bCs/>
          <w:i/>
          <w:iCs/>
        </w:rPr>
      </w:pPr>
      <w:r w:rsidRPr="00BF42B7">
        <w:rPr>
          <w:rFonts w:hint="eastAsia"/>
        </w:rPr>
        <w:tab/>
      </w:r>
      <w:r w:rsidRPr="00BF42B7">
        <w:rPr>
          <w:rFonts w:hint="eastAsia"/>
        </w:rPr>
        <w:tab/>
      </w:r>
      <w:r w:rsidRPr="00BF42B7">
        <w:rPr>
          <w:rFonts w:hint="eastAsia"/>
        </w:rPr>
        <w:t>委员会此前对限制和例外问题的审议情况</w:t>
      </w:r>
    </w:p>
    <w:p w:rsidR="00396D56" w:rsidRPr="00BF42B7" w:rsidRDefault="00396D56" w:rsidP="00396D56">
      <w:pPr>
        <w:pStyle w:val="SingleTxtGC"/>
      </w:pPr>
      <w:r w:rsidRPr="00BF42B7">
        <w:t xml:space="preserve">212. </w:t>
      </w:r>
      <w:r w:rsidRPr="00BF42B7">
        <w:rPr>
          <w:rFonts w:hint="eastAsia"/>
        </w:rPr>
        <w:t xml:space="preserve"> </w:t>
      </w:r>
      <w:r w:rsidRPr="00BF42B7">
        <w:rPr>
          <w:rFonts w:hint="eastAsia"/>
        </w:rPr>
        <w:t>一些委员表示赞赏</w:t>
      </w:r>
      <w:r w:rsidRPr="00BF42B7">
        <w:t>特别报告员</w:t>
      </w:r>
      <w:r w:rsidRPr="00BF42B7">
        <w:rPr>
          <w:rFonts w:hint="eastAsia"/>
        </w:rPr>
        <w:t>采用明确而平衡的方法处理限制和例外问题，并对此表示感谢。为做到这一点，特别报告员对相关实践和案例法做了综述，一方面坚持习惯国际法之下国家官员的豁免，另一方面审慎评估逐渐发展的可能性，在两方面之间保持谨慎的平衡；这符合</w:t>
      </w:r>
      <w:r w:rsidRPr="00BF42B7">
        <w:t>特别报告员</w:t>
      </w:r>
      <w:r w:rsidRPr="00BF42B7">
        <w:rPr>
          <w:rFonts w:hint="eastAsia"/>
        </w:rPr>
        <w:t>自开始工作以来选择的方法。</w:t>
      </w:r>
    </w:p>
    <w:p w:rsidR="00396D56" w:rsidRPr="00BF42B7" w:rsidRDefault="00396D56" w:rsidP="00396D56">
      <w:pPr>
        <w:pStyle w:val="SingleTxtGC"/>
      </w:pPr>
      <w:r w:rsidRPr="00BF42B7">
        <w:t xml:space="preserve">213. </w:t>
      </w:r>
      <w:r w:rsidRPr="00BF42B7">
        <w:rPr>
          <w:rFonts w:hint="eastAsia"/>
        </w:rPr>
        <w:t xml:space="preserve"> </w:t>
      </w:r>
      <w:r w:rsidRPr="00BF42B7">
        <w:rPr>
          <w:rFonts w:hint="eastAsia"/>
        </w:rPr>
        <w:t>另一些委员赞赏地回顾了秘书处所做的研究，以及前任</w:t>
      </w:r>
      <w:r w:rsidRPr="00BF42B7">
        <w:t>特别报告员</w:t>
      </w:r>
      <w:r w:rsidRPr="00BF42B7">
        <w:rPr>
          <w:rFonts w:hint="eastAsia"/>
        </w:rPr>
        <w:t>此前开展的工作。他们建议，限制和例外的审议工作本应以前任</w:t>
      </w:r>
      <w:r w:rsidRPr="00BF42B7">
        <w:t>特别报告员</w:t>
      </w:r>
      <w:r w:rsidRPr="00BF42B7">
        <w:rPr>
          <w:rFonts w:hint="eastAsia"/>
        </w:rPr>
        <w:t>的结论为出发点，本应表明，经过国际法后来的发展后，</w:t>
      </w:r>
      <w:r w:rsidRPr="00BF42B7">
        <w:rPr>
          <w:rFonts w:hint="eastAsia"/>
        </w:rPr>
        <w:t>2008</w:t>
      </w:r>
      <w:r w:rsidRPr="00BF42B7">
        <w:rPr>
          <w:rFonts w:hint="eastAsia"/>
        </w:rPr>
        <w:t>年得出的结论是否仍然站得住脚，仍然有效。这些委员还表示，</w:t>
      </w:r>
      <w:r w:rsidRPr="00BF42B7">
        <w:t>特别报告员</w:t>
      </w:r>
      <w:r w:rsidRPr="00BF42B7">
        <w:rPr>
          <w:rFonts w:hint="eastAsia"/>
        </w:rPr>
        <w:t>在处理这个专题时逐渐偏离了自己的方法，把重点由编纂转向逐渐发展，造成失衡的结果。</w:t>
      </w:r>
    </w:p>
    <w:p w:rsidR="00396D56" w:rsidRPr="00BF42B7" w:rsidRDefault="00396D56" w:rsidP="0022574B">
      <w:pPr>
        <w:pStyle w:val="H4GC"/>
      </w:pPr>
      <w:r w:rsidRPr="00BF42B7">
        <w:rPr>
          <w:rFonts w:hint="eastAsia"/>
        </w:rPr>
        <w:tab/>
      </w:r>
      <w:r w:rsidRPr="00BF42B7">
        <w:rPr>
          <w:rFonts w:hint="eastAsia"/>
        </w:rPr>
        <w:tab/>
      </w:r>
      <w:r w:rsidRPr="00BF42B7">
        <w:rPr>
          <w:rFonts w:hint="eastAsia"/>
        </w:rPr>
        <w:t>实研究</w:t>
      </w:r>
    </w:p>
    <w:p w:rsidR="00396D56" w:rsidRPr="00BF42B7" w:rsidRDefault="00396D56" w:rsidP="00396D56">
      <w:pPr>
        <w:pStyle w:val="SingleTxtGC"/>
      </w:pPr>
      <w:r w:rsidRPr="00BF42B7">
        <w:t xml:space="preserve">214. </w:t>
      </w:r>
      <w:r w:rsidRPr="00BF42B7">
        <w:rPr>
          <w:rFonts w:hint="eastAsia"/>
        </w:rPr>
        <w:t xml:space="preserve"> </w:t>
      </w:r>
      <w:r w:rsidRPr="00BF42B7">
        <w:rPr>
          <w:rFonts w:hint="eastAsia"/>
        </w:rPr>
        <w:t>一些委员批评报告没有真正贯彻其中所称的识别习惯国际法这一分析过程。而且有时得出的结论常与报告中做出的其他某些断言无法调和。委员们尤其对案例法的处理表示关切：这些案例法来源不同，似乎有所选择，在某些案例中依靠个人和不同意见，而且依靠有限的国家法律样本，其中一些与本专题的审议关系不大。委员们还指出，即使在国家法院中存在例外的趋势，这也不是构成习惯国际法规则的一般实践。</w:t>
      </w:r>
    </w:p>
    <w:p w:rsidR="00396D56" w:rsidRPr="00BF42B7" w:rsidRDefault="00396D56" w:rsidP="00396D56">
      <w:pPr>
        <w:pStyle w:val="SingleTxtGC"/>
      </w:pPr>
      <w:r w:rsidRPr="00BF42B7">
        <w:t xml:space="preserve">215. </w:t>
      </w:r>
      <w:r w:rsidRPr="00BF42B7">
        <w:rPr>
          <w:rFonts w:hint="eastAsia"/>
        </w:rPr>
        <w:t xml:space="preserve"> </w:t>
      </w:r>
      <w:r w:rsidRPr="00BF42B7">
        <w:rPr>
          <w:rFonts w:hint="eastAsia"/>
        </w:rPr>
        <w:t>因此，这些委员认为，分析中采用的这种方法是否足以支持报告中得出的结论不够明确，而且一些实例中，与行使国际刑事管辖有关的案例法无助于确定习惯国际法是否承认存在外国刑事管辖的</w:t>
      </w:r>
      <w:r w:rsidRPr="00BF42B7">
        <w:t>属事豁免</w:t>
      </w:r>
      <w:r w:rsidRPr="00BF42B7">
        <w:rPr>
          <w:rFonts w:hint="eastAsia"/>
        </w:rPr>
        <w:t>例外。</w:t>
      </w:r>
      <w:r w:rsidRPr="00BF42B7">
        <w:t>特别报告员</w:t>
      </w:r>
      <w:r w:rsidRPr="00BF42B7">
        <w:rPr>
          <w:rFonts w:hint="eastAsia"/>
        </w:rPr>
        <w:t>采用的方法造成的后果是，扩大了国际法之下罪行的豁免限制和例外的范围，使之甚至包含普通罪行。</w:t>
      </w:r>
    </w:p>
    <w:p w:rsidR="00396D56" w:rsidRPr="00BF42B7" w:rsidRDefault="00396D56" w:rsidP="00396D56">
      <w:pPr>
        <w:pStyle w:val="SingleTxtGC"/>
      </w:pPr>
      <w:r w:rsidRPr="00BF42B7">
        <w:t xml:space="preserve">216. </w:t>
      </w:r>
      <w:r w:rsidRPr="00BF42B7">
        <w:rPr>
          <w:rFonts w:hint="eastAsia"/>
        </w:rPr>
        <w:t xml:space="preserve"> </w:t>
      </w:r>
      <w:r w:rsidRPr="00BF42B7">
        <w:rPr>
          <w:rFonts w:hint="eastAsia"/>
        </w:rPr>
        <w:t>委员们还在同一背景下指出，报告不应立足于国际社会的“价值观和法律原则”，而应该把重点放在严格遵循识别习惯国际法的过程，同时以规范性来源为辅助。应该明确指出，报告提出的建议是为了国际法的逐渐发展。</w:t>
      </w:r>
    </w:p>
    <w:p w:rsidR="00396D56" w:rsidRPr="00BF42B7" w:rsidRDefault="00396D56" w:rsidP="00396D56">
      <w:pPr>
        <w:pStyle w:val="SingleTxtGC"/>
      </w:pPr>
      <w:r w:rsidRPr="00BF42B7">
        <w:t xml:space="preserve">217. </w:t>
      </w:r>
      <w:r w:rsidRPr="00BF42B7">
        <w:rPr>
          <w:rFonts w:hint="eastAsia"/>
        </w:rPr>
        <w:t xml:space="preserve"> </w:t>
      </w:r>
      <w:r w:rsidRPr="00BF42B7">
        <w:rPr>
          <w:rFonts w:hint="eastAsia"/>
        </w:rPr>
        <w:t>另一方面，参加辩论的委员会委员普遍认为，报告对实践进行了广泛深入的分析。此外，一些委员认为，对实践的分析表明有一种明确的趋势，允许豁免的某些限制和例外，而且为特别报告员提出的建议提供了充分的依据。</w:t>
      </w:r>
    </w:p>
    <w:p w:rsidR="00396D56" w:rsidRPr="00BF42B7" w:rsidRDefault="00396D56" w:rsidP="00396D56">
      <w:pPr>
        <w:pStyle w:val="SingleTxtGC"/>
      </w:pPr>
      <w:r w:rsidRPr="00BF42B7">
        <w:t xml:space="preserve">218. </w:t>
      </w:r>
      <w:r w:rsidRPr="00BF42B7">
        <w:rPr>
          <w:rFonts w:hint="eastAsia"/>
        </w:rPr>
        <w:t xml:space="preserve"> </w:t>
      </w:r>
      <w:r w:rsidRPr="00BF42B7">
        <w:rPr>
          <w:rFonts w:hint="eastAsia"/>
        </w:rPr>
        <w:t>此外，一些委员认为，即使对于</w:t>
      </w:r>
      <w:r w:rsidRPr="00BF42B7">
        <w:t>国家官员的外国刑事管辖豁免</w:t>
      </w:r>
      <w:r w:rsidRPr="00BF42B7">
        <w:rPr>
          <w:rFonts w:hint="eastAsia"/>
        </w:rPr>
        <w:t>的法律制度及其性质必然出现意见分歧，但是报告将对此种豁免的理解和处理产生重大影响，还将帮助各国和其他相关行为者制订兼顾各种法律利益的豁免制度。因此，他们表示赞同</w:t>
      </w:r>
      <w:r w:rsidRPr="00BF42B7">
        <w:t>特别报告员</w:t>
      </w:r>
      <w:r w:rsidRPr="00BF42B7">
        <w:rPr>
          <w:rFonts w:hint="eastAsia"/>
        </w:rPr>
        <w:t>采用的方法，并且指出，关于这一法律原则的分析和结论与实践和司法声明具有内在联系，为关于限制和例外的建议提供了牢固的支撑。报告的读者将充分、全面地理解有关问题的背景、关于此事项的各种立场、国际和国家两级豁免的细微差别，以及相关政策考虑。这些委员赞成以下结论：报告所做的实践分析表明，存在承认在发生国际罪行时不适用豁免的趋势。</w:t>
      </w:r>
    </w:p>
    <w:p w:rsidR="00396D56" w:rsidRPr="00BF42B7" w:rsidRDefault="00396D56" w:rsidP="00396D56">
      <w:pPr>
        <w:pStyle w:val="SingleTxtGC"/>
      </w:pPr>
      <w:r w:rsidRPr="00BF42B7">
        <w:t xml:space="preserve">219. </w:t>
      </w:r>
      <w:r w:rsidRPr="00BF42B7">
        <w:rPr>
          <w:rFonts w:hint="eastAsia"/>
        </w:rPr>
        <w:t xml:space="preserve"> </w:t>
      </w:r>
      <w:r w:rsidRPr="00BF42B7">
        <w:rPr>
          <w:rFonts w:hint="eastAsia"/>
        </w:rPr>
        <w:t>此外，这些委员认为，提供不容质疑的证据证明存在国际习惯法准则，不一定是处理限制和例外问题的唯一途径。因此，他们认为提及“价值观和法律原则”是非常有帮助的。</w:t>
      </w:r>
    </w:p>
    <w:p w:rsidR="00396D56" w:rsidRPr="00BF42B7" w:rsidRDefault="00396D56" w:rsidP="00396D56">
      <w:pPr>
        <w:pStyle w:val="SingleTxtGC"/>
      </w:pPr>
      <w:r w:rsidRPr="00BF42B7">
        <w:t>220.</w:t>
      </w:r>
      <w:r w:rsidRPr="00BF42B7">
        <w:rPr>
          <w:rFonts w:hint="eastAsia"/>
        </w:rPr>
        <w:t xml:space="preserve"> </w:t>
      </w:r>
      <w:r w:rsidRPr="00BF42B7">
        <w:t xml:space="preserve"> </w:t>
      </w:r>
      <w:r w:rsidRPr="00BF42B7">
        <w:rPr>
          <w:rFonts w:hint="eastAsia"/>
        </w:rPr>
        <w:t>委员们还指出，</w:t>
      </w:r>
      <w:r w:rsidRPr="00BF42B7">
        <w:t>特别报告员</w:t>
      </w:r>
      <w:r w:rsidRPr="00BF42B7">
        <w:rPr>
          <w:rFonts w:hint="eastAsia"/>
        </w:rPr>
        <w:t>做出了可贵努力，弥合委员会内部在豁免的限制和例外问题上的分歧，同时为处理这一事项提出了虽具挑战性但经过深思熟虑的方法，供委员会审议。</w:t>
      </w:r>
      <w:r w:rsidRPr="00BF42B7">
        <w:t>特别报告员</w:t>
      </w:r>
      <w:r w:rsidRPr="00BF42B7">
        <w:rPr>
          <w:rFonts w:hint="eastAsia"/>
        </w:rPr>
        <w:t>确定了一种趋势，藉此在两种观点</w:t>
      </w:r>
      <w:r w:rsidRPr="00BF42B7">
        <w:rPr>
          <w:rFonts w:hint="eastAsia"/>
        </w:rPr>
        <w:t>(</w:t>
      </w:r>
      <w:r w:rsidRPr="00BF42B7">
        <w:rPr>
          <w:rFonts w:hint="eastAsia"/>
        </w:rPr>
        <w:t>一些委员力求实现豁免制度在纵向和横向的一致性，另一些委员认为委员会不应确定任何限制和例外，因为习惯国际法没有规定此种例外</w:t>
      </w:r>
      <w:r w:rsidRPr="00BF42B7">
        <w:rPr>
          <w:rFonts w:hint="eastAsia"/>
        </w:rPr>
        <w:t>)</w:t>
      </w:r>
      <w:r w:rsidRPr="00BF42B7">
        <w:rPr>
          <w:rFonts w:hint="eastAsia"/>
        </w:rPr>
        <w:t>之间提供了一个中间立场。</w:t>
      </w:r>
    </w:p>
    <w:p w:rsidR="00396D56" w:rsidRPr="00BF42B7" w:rsidRDefault="00396D56" w:rsidP="0022574B">
      <w:pPr>
        <w:pStyle w:val="H4GC"/>
        <w:rPr>
          <w:bCs/>
        </w:rPr>
      </w:pPr>
      <w:r w:rsidRPr="00BF42B7">
        <w:rPr>
          <w:rFonts w:hint="eastAsia"/>
        </w:rPr>
        <w:tab/>
      </w:r>
      <w:r w:rsidRPr="00BF42B7">
        <w:rPr>
          <w:rFonts w:hint="eastAsia"/>
        </w:rPr>
        <w:tab/>
      </w:r>
      <w:r w:rsidRPr="00BF42B7">
        <w:rPr>
          <w:rFonts w:hint="eastAsia"/>
        </w:rPr>
        <w:t>豁免的法律性质</w:t>
      </w:r>
    </w:p>
    <w:p w:rsidR="00396D56" w:rsidRPr="00BF42B7" w:rsidRDefault="00396D56" w:rsidP="0022574B">
      <w:pPr>
        <w:pStyle w:val="H56GC"/>
      </w:pPr>
      <w:r w:rsidRPr="00BF42B7">
        <w:rPr>
          <w:rFonts w:hint="eastAsia"/>
        </w:rPr>
        <w:tab/>
      </w:r>
      <w:r w:rsidRPr="00BF42B7">
        <w:rPr>
          <w:rFonts w:hint="eastAsia"/>
        </w:rPr>
        <w:tab/>
      </w:r>
      <w:r w:rsidRPr="00BF42B7">
        <w:rPr>
          <w:rFonts w:hint="eastAsia"/>
        </w:rPr>
        <w:t>豁免与管辖之间的关系</w:t>
      </w:r>
    </w:p>
    <w:p w:rsidR="00396D56" w:rsidRPr="00BF42B7" w:rsidRDefault="00396D56" w:rsidP="00396D56">
      <w:pPr>
        <w:pStyle w:val="SingleTxtGC"/>
        <w:rPr>
          <w:b/>
          <w:bCs/>
          <w:i/>
          <w:iCs/>
        </w:rPr>
      </w:pPr>
      <w:r w:rsidRPr="00BF42B7">
        <w:t xml:space="preserve">221. </w:t>
      </w:r>
      <w:r w:rsidRPr="00BF42B7">
        <w:rPr>
          <w:rFonts w:hint="eastAsia"/>
        </w:rPr>
        <w:t xml:space="preserve"> </w:t>
      </w:r>
      <w:r w:rsidRPr="00BF42B7">
        <w:rPr>
          <w:rFonts w:hint="eastAsia"/>
        </w:rPr>
        <w:t>一些委员回顾国际法院在</w:t>
      </w:r>
      <w:r w:rsidRPr="00BF42B7">
        <w:rPr>
          <w:rFonts w:hint="eastAsia"/>
        </w:rPr>
        <w:t>2000</w:t>
      </w:r>
      <w:r w:rsidRPr="00BF42B7">
        <w:rPr>
          <w:rFonts w:hint="eastAsia"/>
        </w:rPr>
        <w:t>年</w:t>
      </w:r>
      <w:r w:rsidRPr="00BF42B7">
        <w:rPr>
          <w:rFonts w:hint="eastAsia"/>
        </w:rPr>
        <w:t>4</w:t>
      </w:r>
      <w:r w:rsidRPr="00BF42B7">
        <w:rPr>
          <w:rFonts w:hint="eastAsia"/>
        </w:rPr>
        <w:t>月</w:t>
      </w:r>
      <w:r w:rsidRPr="00BF42B7">
        <w:rPr>
          <w:rFonts w:hint="eastAsia"/>
        </w:rPr>
        <w:t>11</w:t>
      </w:r>
      <w:r w:rsidRPr="00BF42B7">
        <w:rPr>
          <w:rFonts w:hint="eastAsia"/>
        </w:rPr>
        <w:t>日逮捕令案中的判决指出，豁免与管辖虽然相关，却是不同的制度。旨在预防和惩处某些严重国际罪行的国际文书要求缔约国确立管辖权，以进行调查、逮捕、起诉或引渡，并规定了其他合作形式；这一事实并不影响习惯国际法之下</w:t>
      </w:r>
      <w:r w:rsidRPr="00BF42B7">
        <w:t>国家官员的外国刑事管辖豁免</w:t>
      </w:r>
      <w:r w:rsidRPr="00BF42B7">
        <w:rPr>
          <w:rFonts w:hint="eastAsia"/>
        </w:rPr>
        <w:t>。此种豁免，如逮捕令案中指出的那样，在外国法院仍然是可以反对的，即使是在此类法院按照有关公约行使管辖的情形下。</w:t>
      </w:r>
    </w:p>
    <w:p w:rsidR="00396D56" w:rsidRPr="00BF42B7" w:rsidRDefault="00396D56" w:rsidP="00396D56">
      <w:pPr>
        <w:pStyle w:val="SingleTxtGC"/>
      </w:pPr>
      <w:r w:rsidRPr="00BF42B7">
        <w:t xml:space="preserve">222. </w:t>
      </w:r>
      <w:r w:rsidRPr="00BF42B7">
        <w:rPr>
          <w:rFonts w:hint="eastAsia"/>
        </w:rPr>
        <w:t xml:space="preserve"> </w:t>
      </w:r>
      <w:r w:rsidRPr="00BF42B7">
        <w:rPr>
          <w:rFonts w:hint="eastAsia"/>
        </w:rPr>
        <w:t>另一方面，</w:t>
      </w:r>
      <w:r w:rsidRPr="00BF42B7">
        <w:t>有人指出，</w:t>
      </w:r>
      <w:r w:rsidRPr="00BF42B7">
        <w:rPr>
          <w:rFonts w:hint="eastAsia"/>
        </w:rPr>
        <w:t>寻</w:t>
      </w:r>
      <w:r w:rsidRPr="00BF42B7">
        <w:t>求问责</w:t>
      </w:r>
      <w:r w:rsidRPr="00BF42B7">
        <w:rPr>
          <w:rFonts w:hint="eastAsia"/>
        </w:rPr>
        <w:t>不是、也</w:t>
      </w:r>
      <w:r w:rsidRPr="00BF42B7">
        <w:t>不应</w:t>
      </w:r>
      <w:r w:rsidRPr="00BF42B7">
        <w:rPr>
          <w:rFonts w:hint="eastAsia"/>
        </w:rPr>
        <w:t>被</w:t>
      </w:r>
      <w:r w:rsidRPr="00BF42B7">
        <w:t>视为扰乱和平、干涉各国内政或侵</w:t>
      </w:r>
      <w:r w:rsidRPr="00BF42B7">
        <w:rPr>
          <w:rFonts w:hint="eastAsia"/>
        </w:rPr>
        <w:t>犯</w:t>
      </w:r>
      <w:r w:rsidRPr="00BF42B7">
        <w:t>国家</w:t>
      </w:r>
      <w:r w:rsidRPr="00BF42B7">
        <w:rPr>
          <w:rFonts w:hint="eastAsia"/>
        </w:rPr>
        <w:t>主权</w:t>
      </w:r>
      <w:r w:rsidRPr="00BF42B7">
        <w:t>或其人民意愿</w:t>
      </w:r>
      <w:r w:rsidRPr="00BF42B7">
        <w:rPr>
          <w:rFonts w:hint="eastAsia"/>
        </w:rPr>
        <w:t>的机制。与此相反，正义缺失及有罪不罚盛行诱发国际关系中的紧张局势，削弱国家间关系的核心法律原则。因此，委员们主张，需要平衡其中牵涉的各种合法利益，考虑到国家有权在国际法的范围内保护其主权，包括人民的主权以及国家主权平等。</w:t>
      </w:r>
    </w:p>
    <w:p w:rsidR="00396D56" w:rsidRPr="00BF42B7" w:rsidRDefault="00396D56" w:rsidP="00396D56">
      <w:pPr>
        <w:pStyle w:val="SingleTxtGC"/>
        <w:rPr>
          <w:bCs/>
          <w:i/>
          <w:iCs/>
        </w:rPr>
      </w:pPr>
      <w:r w:rsidRPr="00BF42B7">
        <w:t xml:space="preserve">223.  </w:t>
      </w:r>
      <w:r w:rsidRPr="00BF42B7">
        <w:rPr>
          <w:rFonts w:hint="eastAsia"/>
        </w:rPr>
        <w:t>委员们同样强调，不应低估《罗马规约》对正在拟订的条款草案的影响。委员们特别针对《规约》第二十七条指出，豁免与个人刑事责任具有内在联系</w:t>
      </w:r>
      <w:r w:rsidRPr="00BF42B7">
        <w:rPr>
          <w:rFonts w:hint="eastAsia"/>
          <w:bCs/>
        </w:rPr>
        <w:t>，将豁免仅视为一种程序性的障碍，从绝对意义上讲，使豁免与个人责任的问题脱节，而且没有提供有效补救。</w:t>
      </w:r>
    </w:p>
    <w:p w:rsidR="00396D56" w:rsidRPr="00BF42B7" w:rsidRDefault="00396D56" w:rsidP="0022574B">
      <w:pPr>
        <w:pStyle w:val="H56GC"/>
      </w:pPr>
      <w:r w:rsidRPr="00BF42B7">
        <w:rPr>
          <w:rFonts w:hint="eastAsia"/>
        </w:rPr>
        <w:tab/>
      </w:r>
      <w:r w:rsidRPr="00BF42B7">
        <w:rPr>
          <w:rFonts w:hint="eastAsia"/>
        </w:rPr>
        <w:tab/>
      </w:r>
      <w:r w:rsidRPr="00BF42B7">
        <w:rPr>
          <w:rFonts w:hint="eastAsia"/>
        </w:rPr>
        <w:t>豁免与责任之间的关系</w:t>
      </w:r>
    </w:p>
    <w:p w:rsidR="00396D56" w:rsidRPr="00BF42B7" w:rsidRDefault="00396D56" w:rsidP="00396D56">
      <w:pPr>
        <w:pStyle w:val="SingleTxtGC"/>
      </w:pPr>
      <w:r w:rsidRPr="00BF42B7">
        <w:t xml:space="preserve">224.  </w:t>
      </w:r>
      <w:r w:rsidRPr="00BF42B7">
        <w:rPr>
          <w:rFonts w:hint="eastAsia"/>
        </w:rPr>
        <w:t>一些委员回顾指出，案例法，包括国际法院在逮捕令案和国家的管辖豁免案中的案例法表明，豁免实质上不免除国家官员的个人刑事责任，也不意图助长有罪不罚，因为逮捕令案提供了避免有罪不罚的可能措施，包括国内起诉、放弃豁免、任期终止后起诉和向国际刑事司法制度起诉。因此，将有罪不罚与豁免划等号，并不准确，因为前者涉及实质性考虑因素，处理个人刑事责任问题，而后者涉及程序问题。</w:t>
      </w:r>
    </w:p>
    <w:p w:rsidR="00396D56" w:rsidRPr="00BF42B7" w:rsidRDefault="00396D56" w:rsidP="00396D56">
      <w:pPr>
        <w:pStyle w:val="SingleTxtGC"/>
      </w:pPr>
      <w:r w:rsidRPr="00BF42B7">
        <w:t xml:space="preserve">225. </w:t>
      </w:r>
      <w:r w:rsidRPr="00BF42B7">
        <w:rPr>
          <w:rFonts w:hint="eastAsia"/>
        </w:rPr>
        <w:t xml:space="preserve"> </w:t>
      </w:r>
      <w:r w:rsidRPr="00BF42B7">
        <w:rPr>
          <w:rFonts w:hint="eastAsia"/>
        </w:rPr>
        <w:t>与此同时，另一些委员赞同</w:t>
      </w:r>
      <w:r w:rsidRPr="00BF42B7">
        <w:t>特别报告员</w:t>
      </w:r>
      <w:r w:rsidRPr="00BF42B7">
        <w:rPr>
          <w:rFonts w:hint="eastAsia"/>
        </w:rPr>
        <w:t>在</w:t>
      </w:r>
      <w:r w:rsidRPr="00BF42B7">
        <w:t>第五次报告</w:t>
      </w:r>
      <w:r w:rsidRPr="00BF42B7">
        <w:rPr>
          <w:rFonts w:hint="eastAsia"/>
        </w:rPr>
        <w:t>中采用的方法。他们指出，</w:t>
      </w:r>
      <w:r w:rsidRPr="00BF42B7">
        <w:t>属人豁免</w:t>
      </w:r>
      <w:r w:rsidRPr="00BF42B7">
        <w:rPr>
          <w:rFonts w:hint="eastAsia"/>
        </w:rPr>
        <w:t>有别于</w:t>
      </w:r>
      <w:r w:rsidRPr="00BF42B7">
        <w:t>属事豁免</w:t>
      </w:r>
      <w:r w:rsidRPr="00BF42B7">
        <w:rPr>
          <w:rFonts w:hint="eastAsia"/>
        </w:rPr>
        <w:t>，这就需要采取更加细致入微的观点，来推进这个主题。虽然一国对享受基于身份的</w:t>
      </w:r>
      <w:r w:rsidRPr="00BF42B7">
        <w:t>属人豁免</w:t>
      </w:r>
      <w:r w:rsidRPr="00BF42B7">
        <w:rPr>
          <w:rFonts w:hint="eastAsia"/>
        </w:rPr>
        <w:t>的人员确定刑事管辖权，会损害这些人员作为其代理人的国家的运转及其行使主权的能力，但</w:t>
      </w:r>
      <w:r w:rsidRPr="00BF42B7">
        <w:t>属事豁免</w:t>
      </w:r>
      <w:r w:rsidRPr="00BF42B7">
        <w:rPr>
          <w:rFonts w:hint="eastAsia"/>
        </w:rPr>
        <w:t>由于在本质上是基于行为的，所以并非总是如此。本届会议暂时通过的第</w:t>
      </w:r>
      <w:r w:rsidRPr="00BF42B7">
        <w:rPr>
          <w:rFonts w:hint="eastAsia"/>
        </w:rPr>
        <w:t>6</w:t>
      </w:r>
      <w:r w:rsidRPr="00BF42B7">
        <w:rPr>
          <w:rFonts w:hint="eastAsia"/>
        </w:rPr>
        <w:t>条草案反映的属事豁免，只有在以官方身份行事时方能享有，这一事实意味着属事豁免不能自动作为程序性障碍适用。</w:t>
      </w:r>
    </w:p>
    <w:p w:rsidR="00396D56" w:rsidRPr="00BF42B7" w:rsidRDefault="00396D56" w:rsidP="0022574B">
      <w:pPr>
        <w:pStyle w:val="H56GC"/>
      </w:pPr>
      <w:r w:rsidRPr="00BF42B7">
        <w:rPr>
          <w:rFonts w:hint="eastAsia"/>
        </w:rPr>
        <w:tab/>
      </w:r>
      <w:r w:rsidRPr="00BF42B7">
        <w:rPr>
          <w:rFonts w:hint="eastAsia"/>
        </w:rPr>
        <w:tab/>
      </w:r>
      <w:r w:rsidRPr="00BF42B7">
        <w:rPr>
          <w:rFonts w:hint="eastAsia"/>
        </w:rPr>
        <w:t>国家豁免与国家官员豁免之间的关系</w:t>
      </w:r>
    </w:p>
    <w:p w:rsidR="00396D56" w:rsidRPr="00BF42B7" w:rsidRDefault="00396D56" w:rsidP="00E83B81">
      <w:pPr>
        <w:pStyle w:val="SingleTxtGC"/>
        <w:rPr>
          <w:bCs/>
          <w:i/>
          <w:iCs/>
        </w:rPr>
      </w:pPr>
      <w:r w:rsidRPr="00BF42B7">
        <w:t xml:space="preserve">226. </w:t>
      </w:r>
      <w:r w:rsidRPr="00BF42B7">
        <w:rPr>
          <w:rFonts w:hint="eastAsia"/>
        </w:rPr>
        <w:t xml:space="preserve"> </w:t>
      </w:r>
      <w:r w:rsidRPr="00BF42B7">
        <w:rPr>
          <w:rFonts w:hint="eastAsia"/>
        </w:rPr>
        <w:t>一些委员指出，</w:t>
      </w:r>
      <w:r w:rsidRPr="00BF42B7">
        <w:t>国家官员的外国刑事管辖豁免</w:t>
      </w:r>
      <w:r w:rsidRPr="00BF42B7">
        <w:rPr>
          <w:rFonts w:hint="eastAsia"/>
        </w:rPr>
        <w:t>的根源在于体现“平等者之间无统治权”原则的国家豁免</w:t>
      </w:r>
      <w:r w:rsidRPr="00BF42B7">
        <w:rPr>
          <w:rFonts w:hint="eastAsia"/>
          <w:i/>
          <w:iCs/>
        </w:rPr>
        <w:t>。</w:t>
      </w:r>
      <w:r w:rsidRPr="00BF42B7">
        <w:rPr>
          <w:rFonts w:hint="eastAsia"/>
        </w:rPr>
        <w:t>关于强行法规范或打击严重国际罪行的规则与国家基本权利冲突的任何暗示，均相当于将国家间关系的基石</w:t>
      </w:r>
      <w:r w:rsidR="00E83B81">
        <w:rPr>
          <w:rFonts w:hint="eastAsia"/>
          <w:spacing w:val="-50"/>
        </w:rPr>
        <w:t>―</w:t>
      </w:r>
      <w:r w:rsidR="00E83B81">
        <w:rPr>
          <w:rFonts w:hint="eastAsia"/>
        </w:rPr>
        <w:t>―</w:t>
      </w:r>
      <w:r w:rsidRPr="00BF42B7">
        <w:rPr>
          <w:rFonts w:hint="eastAsia"/>
        </w:rPr>
        <w:t>国家主权平等原则置于其他规则之下，而且可能逐渐削弱这项原则。此外，任何豁免例外都有可能损害不干涉内政的原则，还存在国家出于政治动机起诉国家元首或其他高级别国家官员的潜在风险，而且会导致滥用普遍管辖权。委员们建议说，这种发展不能促进打击犯罪和保护人权，反而会破坏国家间关系的稳定，妨碍国际司法进程。</w:t>
      </w:r>
    </w:p>
    <w:p w:rsidR="00396D56" w:rsidRPr="00BF42B7" w:rsidRDefault="00396D56" w:rsidP="00396D56">
      <w:pPr>
        <w:pStyle w:val="SingleTxtGC"/>
      </w:pPr>
      <w:r w:rsidRPr="00BF42B7">
        <w:t xml:space="preserve">227. </w:t>
      </w:r>
      <w:r w:rsidRPr="00BF42B7">
        <w:rPr>
          <w:rFonts w:hint="eastAsia"/>
        </w:rPr>
        <w:t xml:space="preserve"> </w:t>
      </w:r>
      <w:r w:rsidRPr="00BF42B7">
        <w:rPr>
          <w:rFonts w:hint="eastAsia"/>
        </w:rPr>
        <w:t>另一方面，一些委员评论说，民事司法管辖事项在上个世纪的发展中，逐渐抛开了国家绝对豁免的概念。而且主权</w:t>
      </w:r>
      <w:r w:rsidRPr="00BF42B7">
        <w:rPr>
          <w:rFonts w:hint="eastAsia"/>
        </w:rPr>
        <w:t>(</w:t>
      </w:r>
      <w:r w:rsidRPr="00BF42B7">
        <w:rPr>
          <w:rFonts w:hint="eastAsia"/>
        </w:rPr>
        <w:t>国家</w:t>
      </w:r>
      <w:r w:rsidRPr="00BF42B7">
        <w:rPr>
          <w:rFonts w:hint="eastAsia"/>
        </w:rPr>
        <w:t>)</w:t>
      </w:r>
      <w:r w:rsidRPr="00BF42B7">
        <w:rPr>
          <w:rFonts w:hint="eastAsia"/>
        </w:rPr>
        <w:t>豁免与</w:t>
      </w:r>
      <w:r w:rsidRPr="00BF42B7">
        <w:t>国家官员</w:t>
      </w:r>
      <w:r w:rsidRPr="00BF42B7">
        <w:rPr>
          <w:rFonts w:hint="eastAsia"/>
        </w:rPr>
        <w:t>的</w:t>
      </w:r>
      <w:r w:rsidRPr="00BF42B7">
        <w:t>外国刑事管辖豁免</w:t>
      </w:r>
      <w:r w:rsidRPr="00BF42B7">
        <w:rPr>
          <w:rFonts w:hint="eastAsia"/>
        </w:rPr>
        <w:t>也不一样。此外，虽然国家对国际不法行为，包括其官员实施的行为负责，但是国家本身不能实施违反国家责任法的罪行。国家的责任不是刑事责任，而同样根据国际法在上个世纪的发展，能够追究国家官员的刑事责任。在处理国家官员的豁免、可能的豁免限制和例外，以及兼顾合法的法律利益的总体方案时，应铭记上述区别。</w:t>
      </w:r>
    </w:p>
    <w:p w:rsidR="00396D56" w:rsidRPr="00BF42B7" w:rsidRDefault="00396D56" w:rsidP="0022574B">
      <w:pPr>
        <w:pStyle w:val="H56GC"/>
      </w:pPr>
      <w:r w:rsidRPr="00BF42B7">
        <w:rPr>
          <w:rFonts w:hint="eastAsia"/>
        </w:rPr>
        <w:tab/>
      </w:r>
      <w:r w:rsidRPr="00BF42B7">
        <w:rPr>
          <w:rFonts w:hint="eastAsia"/>
        </w:rPr>
        <w:tab/>
      </w:r>
      <w:r w:rsidRPr="00BF42B7">
        <w:rPr>
          <w:rFonts w:hint="eastAsia"/>
        </w:rPr>
        <w:t>国家管辖与国际管辖之间的关系</w:t>
      </w:r>
    </w:p>
    <w:p w:rsidR="00396D56" w:rsidRPr="00BF42B7" w:rsidRDefault="00396D56" w:rsidP="00396D56">
      <w:pPr>
        <w:pStyle w:val="SingleTxtGC"/>
      </w:pPr>
      <w:r w:rsidRPr="00BF42B7">
        <w:t xml:space="preserve">228. </w:t>
      </w:r>
      <w:r w:rsidRPr="00BF42B7">
        <w:rPr>
          <w:rFonts w:hint="eastAsia"/>
        </w:rPr>
        <w:t xml:space="preserve"> </w:t>
      </w:r>
      <w:r w:rsidRPr="00BF42B7">
        <w:rPr>
          <w:rFonts w:hint="eastAsia"/>
        </w:rPr>
        <w:t>委员们指出，要理解</w:t>
      </w:r>
      <w:r w:rsidRPr="00BF42B7">
        <w:t>第五次报告</w:t>
      </w:r>
      <w:r w:rsidRPr="00BF42B7">
        <w:rPr>
          <w:rFonts w:hint="eastAsia"/>
        </w:rPr>
        <w:t>中根据当代国际法原则讨论的问题，需要从《联合国宪章》规定的制度出发，平衡兼顾各种利益；这一制度体现了人类的某些理想，包括在某些基本原则，尤其是国家主权平等原则的基础上保护人权、追求正义和尊重与国际法一致的义务。</w:t>
      </w:r>
    </w:p>
    <w:p w:rsidR="00396D56" w:rsidRPr="00BF42B7" w:rsidRDefault="00396D56" w:rsidP="00396D56">
      <w:pPr>
        <w:pStyle w:val="SingleTxtGC"/>
        <w:rPr>
          <w:b/>
        </w:rPr>
      </w:pPr>
      <w:r w:rsidRPr="00BF42B7">
        <w:t xml:space="preserve">229. </w:t>
      </w:r>
      <w:r w:rsidRPr="00BF42B7">
        <w:rPr>
          <w:rFonts w:hint="eastAsia"/>
        </w:rPr>
        <w:t xml:space="preserve"> </w:t>
      </w:r>
      <w:r w:rsidRPr="00BF42B7">
        <w:rPr>
          <w:rFonts w:hint="eastAsia"/>
        </w:rPr>
        <w:t>基于这一理解，委员们指出，保护人权和基本自由与主权平等之间不无关系，正义与尊重国际法之下的义务也并不冲突。此次提出的报告与前几次报告作为一个整体，努力表明各项原则的运用不是要相互排斥，因为它们相互补充，运用原则的方法应确保一种利益不会对另一种利益产生不利影响。</w:t>
      </w:r>
    </w:p>
    <w:p w:rsidR="00396D56" w:rsidRPr="00BF42B7" w:rsidRDefault="00396D56" w:rsidP="00396D56">
      <w:pPr>
        <w:pStyle w:val="SingleTxtGC"/>
      </w:pPr>
      <w:r w:rsidRPr="00BF42B7">
        <w:t xml:space="preserve">230. </w:t>
      </w:r>
      <w:r w:rsidRPr="00BF42B7">
        <w:rPr>
          <w:rFonts w:hint="eastAsia"/>
        </w:rPr>
        <w:t xml:space="preserve"> </w:t>
      </w:r>
      <w:r w:rsidRPr="00BF42B7">
        <w:rPr>
          <w:rFonts w:hint="eastAsia"/>
        </w:rPr>
        <w:t>此外，即使官员的国际刑事管辖豁免不是本专题所讨论的问题，但仍有需要考虑的法律政策因素，以兼顾各种利益，其中包括一方面整个国际社会要保护自己，避免出现实施国际罪行和违反强行法规范的情况，另一方面要维护国家法院和国际法院之间合作义务的完整性。</w:t>
      </w:r>
    </w:p>
    <w:p w:rsidR="00396D56" w:rsidRPr="00BF42B7" w:rsidRDefault="00396D56" w:rsidP="00396D56">
      <w:pPr>
        <w:pStyle w:val="SingleTxtGC"/>
        <w:rPr>
          <w:b/>
        </w:rPr>
      </w:pPr>
      <w:r w:rsidRPr="00BF42B7">
        <w:t xml:space="preserve">231. </w:t>
      </w:r>
      <w:r w:rsidRPr="00BF42B7">
        <w:rPr>
          <w:rFonts w:hint="eastAsia"/>
        </w:rPr>
        <w:t xml:space="preserve"> </w:t>
      </w:r>
      <w:r w:rsidRPr="00BF42B7">
        <w:rPr>
          <w:rFonts w:hint="eastAsia"/>
        </w:rPr>
        <w:t>还有人提出赞成这种看法，即在国家法院行使豁免和在国际法院行使豁免之间存在密切联系，所以这些制度必须得到系统的解释。有人就此提到《罗马规约》之下的互补制度，这一制度不应受到豁免规则的妨碍。</w:t>
      </w:r>
    </w:p>
    <w:p w:rsidR="00396D56" w:rsidRPr="00BF42B7" w:rsidRDefault="00396D56" w:rsidP="00396D56">
      <w:pPr>
        <w:pStyle w:val="SingleTxtGC"/>
      </w:pPr>
      <w:r w:rsidRPr="00BF42B7">
        <w:t xml:space="preserve">232.  </w:t>
      </w:r>
      <w:r w:rsidRPr="00BF42B7">
        <w:rPr>
          <w:rFonts w:hint="eastAsia"/>
        </w:rPr>
        <w:t>另一方面，有人回顾指出，国家与国际刑事法院等国际刑事管辖机构之间的关系，有别于本专题涉及的横向的国家间关系。《罗马规约》第二十七条确立了官方身份的无关性，规定缔约国官员在国际刑事法院不享有程序豁免，不能引用这一规定证明在横向的国家间关系中存在同一《规约》第九十八条保留的例外。</w:t>
      </w:r>
    </w:p>
    <w:p w:rsidR="00396D56" w:rsidRPr="00BF42B7" w:rsidRDefault="00396D56" w:rsidP="00396D56">
      <w:pPr>
        <w:pStyle w:val="SingleTxtGC"/>
      </w:pPr>
      <w:r w:rsidRPr="00BF42B7">
        <w:t xml:space="preserve">233.  </w:t>
      </w:r>
      <w:r w:rsidRPr="00BF42B7">
        <w:rPr>
          <w:rFonts w:hint="eastAsia"/>
        </w:rPr>
        <w:t>此外，一些委员回顾指出，未经第三国同意，条约不为其创设义务或权利。因此，各国通过条约商定的不适用豁免仅适用于各缔约国或《公约》中规定的情况，而且此种例外若出现在与国际刑事管辖机构的纵向关系中，不宜引用它来证明横向的国家间关系的习惯法规则。</w:t>
      </w:r>
    </w:p>
    <w:p w:rsidR="00396D56" w:rsidRPr="00BF42B7" w:rsidRDefault="00396D56" w:rsidP="00396D56">
      <w:pPr>
        <w:pStyle w:val="SingleTxtGC"/>
      </w:pPr>
      <w:r w:rsidRPr="00BF42B7">
        <w:t xml:space="preserve">234. </w:t>
      </w:r>
      <w:r w:rsidRPr="00BF42B7">
        <w:rPr>
          <w:rFonts w:hint="eastAsia"/>
        </w:rPr>
        <w:t xml:space="preserve"> </w:t>
      </w:r>
      <w:r w:rsidRPr="00BF42B7">
        <w:rPr>
          <w:rFonts w:hint="eastAsia"/>
        </w:rPr>
        <w:t>不过委员们指出，不应认为国际刑事法庭的实践对横向关系不具影响，从而不予重视，需要结合每个案例的具体情况仔细考虑这方面的发展。例如，在有些案例中，向国内法院提出的问题并不是国际法之下的豁免，而是国内法之下的豁免问题。</w:t>
      </w:r>
    </w:p>
    <w:p w:rsidR="00396D56" w:rsidRPr="00BF42B7" w:rsidRDefault="00396D56" w:rsidP="0022574B">
      <w:pPr>
        <w:pStyle w:val="H23GC"/>
      </w:pPr>
      <w:r w:rsidRPr="00BF42B7">
        <w:rPr>
          <w:rFonts w:hint="eastAsia"/>
        </w:rPr>
        <w:tab/>
      </w:r>
      <w:r w:rsidRPr="00BF42B7">
        <w:t>(c)</w:t>
      </w:r>
      <w:r w:rsidRPr="00BF42B7">
        <w:rPr>
          <w:rFonts w:hint="eastAsia"/>
        </w:rPr>
        <w:tab/>
      </w:r>
      <w:r w:rsidRPr="00BF42B7">
        <w:rPr>
          <w:rFonts w:hint="eastAsia"/>
        </w:rPr>
        <w:t>关于</w:t>
      </w:r>
      <w:r w:rsidRPr="00BF42B7">
        <w:t>第</w:t>
      </w:r>
      <w:r w:rsidRPr="00BF42B7">
        <w:t>7</w:t>
      </w:r>
      <w:r w:rsidRPr="00BF42B7">
        <w:t>条草案</w:t>
      </w:r>
      <w:r w:rsidRPr="00BF42B7">
        <w:rPr>
          <w:rFonts w:hint="eastAsia"/>
        </w:rPr>
        <w:t>的评论</w:t>
      </w:r>
    </w:p>
    <w:p w:rsidR="00396D56" w:rsidRPr="00BF42B7" w:rsidRDefault="00396D56" w:rsidP="00396D56">
      <w:pPr>
        <w:pStyle w:val="SingleTxtGC"/>
      </w:pPr>
      <w:r w:rsidRPr="00BF42B7">
        <w:t>235.</w:t>
      </w:r>
      <w:r w:rsidRPr="00BF42B7">
        <w:rPr>
          <w:rFonts w:hint="eastAsia"/>
        </w:rPr>
        <w:t xml:space="preserve"> </w:t>
      </w:r>
      <w:r w:rsidRPr="00BF42B7">
        <w:t xml:space="preserve"> </w:t>
      </w:r>
      <w:r w:rsidRPr="00BF42B7">
        <w:rPr>
          <w:rFonts w:hint="eastAsia"/>
        </w:rPr>
        <w:t>几名委员赞同确定不适用</w:t>
      </w:r>
      <w:r w:rsidRPr="00BF42B7">
        <w:t>属事豁免</w:t>
      </w:r>
      <w:r w:rsidRPr="00BF42B7">
        <w:rPr>
          <w:rFonts w:hint="eastAsia"/>
        </w:rPr>
        <w:t>的罪行这一建议。在这方面，一些委员支持</w:t>
      </w:r>
      <w:r w:rsidRPr="00BF42B7">
        <w:t>特别报告员</w:t>
      </w:r>
      <w:r w:rsidRPr="00BF42B7">
        <w:rPr>
          <w:rFonts w:hint="eastAsia"/>
        </w:rPr>
        <w:t>采用的方法，在审视豁免问题时将国际法视为一种完整的规范体系，以确保豁免制度不会对整个当代国际法体系的其他组成部分产生负面影响，或使其他组成部分无效。此外，一些委员同意</w:t>
      </w:r>
      <w:r w:rsidRPr="00BF42B7">
        <w:t>特别报告员</w:t>
      </w:r>
      <w:r w:rsidRPr="00BF42B7">
        <w:rPr>
          <w:rFonts w:hint="eastAsia"/>
        </w:rPr>
        <w:t>所做的分析，即为国家责任之目的将国家官员的越权行为归咎于国家，有别于当事官员无权得到</w:t>
      </w:r>
      <w:r w:rsidRPr="00BF42B7">
        <w:t>属事豁免</w:t>
      </w:r>
      <w:r w:rsidRPr="00BF42B7">
        <w:rPr>
          <w:rFonts w:hint="eastAsia"/>
        </w:rPr>
        <w:t>的越权行为问题。</w:t>
      </w:r>
    </w:p>
    <w:p w:rsidR="00396D56" w:rsidRPr="00BF42B7" w:rsidRDefault="00396D56" w:rsidP="00852022">
      <w:pPr>
        <w:pStyle w:val="SingleTxtGC"/>
      </w:pPr>
      <w:r w:rsidRPr="00BF42B7">
        <w:t xml:space="preserve">236.  </w:t>
      </w:r>
      <w:r w:rsidRPr="00BF42B7">
        <w:rPr>
          <w:rFonts w:hint="eastAsia"/>
        </w:rPr>
        <w:t>此外，有人认为，国际法院在逮捕令案中认定，如果现任外交部长有犯下战争罪或危害人类罪的嫌疑，对于赋予他们以刑事管辖豁免和不可侵犯性的规则，习惯法中没有任何例外</w:t>
      </w:r>
      <w:r w:rsidR="00852022">
        <w:rPr>
          <w:rFonts w:hint="eastAsia"/>
          <w:spacing w:val="-50"/>
        </w:rPr>
        <w:t>―</w:t>
      </w:r>
      <w:r w:rsidR="00852022">
        <w:rPr>
          <w:rFonts w:hint="eastAsia"/>
        </w:rPr>
        <w:t>―</w:t>
      </w:r>
      <w:r w:rsidRPr="00BF42B7">
        <w:rPr>
          <w:rFonts w:hint="eastAsia"/>
        </w:rPr>
        <w:t>对国际法院的这一结论应作狭义解释，因为这项裁定仅涉及属人豁免。</w:t>
      </w:r>
    </w:p>
    <w:p w:rsidR="00396D56" w:rsidRPr="00BF42B7" w:rsidRDefault="00396D56" w:rsidP="00396D56">
      <w:pPr>
        <w:pStyle w:val="SingleTxtGC"/>
      </w:pPr>
      <w:r w:rsidRPr="00BF42B7">
        <w:t>237.</w:t>
      </w:r>
      <w:r w:rsidRPr="00BF42B7">
        <w:rPr>
          <w:rFonts w:hint="eastAsia"/>
        </w:rPr>
        <w:t xml:space="preserve"> </w:t>
      </w:r>
      <w:r w:rsidRPr="00BF42B7">
        <w:t xml:space="preserve"> </w:t>
      </w:r>
      <w:r w:rsidRPr="00BF42B7">
        <w:rPr>
          <w:rFonts w:hint="eastAsia"/>
        </w:rPr>
        <w:t>还有人指出，现有国家实践表明，在法院地国行使合法的领土内刑事管辖权时，属事豁免与之无关。当罪行是在法院地国实施时，影响到这个国家，因此，该国有起诉的合法权益。另外，实践表明，不存在任何为国家官员以官方身份实施的一切行为赋予豁免的习惯法规则。</w:t>
      </w:r>
    </w:p>
    <w:p w:rsidR="00396D56" w:rsidRPr="00BF42B7" w:rsidRDefault="00396D56" w:rsidP="00396D56">
      <w:pPr>
        <w:pStyle w:val="SingleTxtGC"/>
      </w:pPr>
      <w:r w:rsidRPr="00BF42B7">
        <w:t xml:space="preserve">238. </w:t>
      </w:r>
      <w:r w:rsidRPr="00BF42B7">
        <w:rPr>
          <w:rFonts w:hint="eastAsia"/>
        </w:rPr>
        <w:t xml:space="preserve"> </w:t>
      </w:r>
      <w:r w:rsidRPr="00BF42B7">
        <w:rPr>
          <w:rFonts w:hint="eastAsia"/>
        </w:rPr>
        <w:t>另一些委员不同意</w:t>
      </w:r>
      <w:r w:rsidRPr="00BF42B7">
        <w:t>特别报告员</w:t>
      </w:r>
      <w:r w:rsidRPr="00BF42B7">
        <w:rPr>
          <w:rFonts w:hint="eastAsia"/>
        </w:rPr>
        <w:t>关于对某些罪行存在</w:t>
      </w:r>
      <w:r w:rsidRPr="00BF42B7">
        <w:t>属事豁免</w:t>
      </w:r>
      <w:r w:rsidRPr="00BF42B7">
        <w:rPr>
          <w:rFonts w:hint="eastAsia"/>
        </w:rPr>
        <w:t>例外的结论，他们回顾指出，前任</w:t>
      </w:r>
      <w:r w:rsidRPr="00BF42B7">
        <w:t>特别报告员</w:t>
      </w:r>
      <w:r w:rsidRPr="00BF42B7">
        <w:rPr>
          <w:rFonts w:hint="eastAsia"/>
        </w:rPr>
        <w:t>已经得出结论，除了由发生被指控罪行的国家行使刑事管辖权，同时又符合某些条件的情形，豁免没有例外。这些委员重申，豁免具有程序性，目的并不在于解决特定行为是合法还是非法这个实质性问题，即使特定行为是强行法规范所禁止的行为。他们回顾称，国际法院在国家的管辖豁免案</w:t>
      </w:r>
      <w:r w:rsidRPr="00BF42B7">
        <w:rPr>
          <w:rFonts w:hint="eastAsia"/>
          <w:iCs/>
        </w:rPr>
        <w:t>中</w:t>
      </w:r>
      <w:r w:rsidRPr="00BF42B7">
        <w:rPr>
          <w:rFonts w:hint="eastAsia"/>
        </w:rPr>
        <w:t>曾指出，国家豁免和强行法规范是国际法的不同范畴。因此，违反强行法规范并不意味着不会请求国家豁免。此外，他们指出，依据罪行的严重程度加以区分也不合理，因为豁免对于严重罪行和普通罪行同样适用。鉴于外国刑事管辖豁免具有前期性质，而且是在诉讼开始时做出决定，那么要根据一项罪行是否严重或是否真正实施过的裁定来行使豁免，这种想法有些奇怪。</w:t>
      </w:r>
    </w:p>
    <w:p w:rsidR="00396D56" w:rsidRPr="00BF42B7" w:rsidRDefault="00396D56" w:rsidP="00396D56">
      <w:pPr>
        <w:pStyle w:val="SingleTxtGC"/>
        <w:rPr>
          <w:bCs/>
        </w:rPr>
      </w:pPr>
      <w:r w:rsidRPr="00BF42B7">
        <w:t>239.</w:t>
      </w:r>
      <w:r w:rsidRPr="003D448F">
        <w:t xml:space="preserve"> </w:t>
      </w:r>
      <w:r w:rsidRPr="003D448F">
        <w:rPr>
          <w:rFonts w:hint="eastAsia"/>
        </w:rPr>
        <w:t xml:space="preserve"> </w:t>
      </w:r>
      <w:r w:rsidRPr="00BF42B7">
        <w:rPr>
          <w:rFonts w:hint="eastAsia"/>
        </w:rPr>
        <w:t>关于第</w:t>
      </w:r>
      <w:r w:rsidRPr="00BF42B7">
        <w:rPr>
          <w:rFonts w:hint="eastAsia"/>
        </w:rPr>
        <w:t>1</w:t>
      </w:r>
      <w:r w:rsidRPr="00BF42B7">
        <w:rPr>
          <w:rFonts w:hint="eastAsia"/>
        </w:rPr>
        <w:t>款</w:t>
      </w:r>
      <w:r w:rsidRPr="00BF42B7">
        <w:rPr>
          <w:rFonts w:hint="eastAsia"/>
          <w:bCs/>
        </w:rPr>
        <w:t>，一些委员称赞</w:t>
      </w:r>
      <w:r w:rsidRPr="00BF42B7">
        <w:rPr>
          <w:bCs/>
        </w:rPr>
        <w:t>特别报告员</w:t>
      </w:r>
      <w:r w:rsidRPr="00BF42B7">
        <w:rPr>
          <w:rFonts w:hint="eastAsia"/>
          <w:bCs/>
        </w:rPr>
        <w:t>采取大胆步骤，就限制和例外提出了平衡而明确的拟议条款草案，而另一些委员认为拟议案文难以令人信服。</w:t>
      </w:r>
    </w:p>
    <w:p w:rsidR="00396D56" w:rsidRPr="00BF42B7" w:rsidRDefault="00396D56" w:rsidP="00396D56">
      <w:pPr>
        <w:pStyle w:val="SingleTxtGC"/>
        <w:rPr>
          <w:bCs/>
        </w:rPr>
      </w:pPr>
      <w:r w:rsidRPr="00BF42B7">
        <w:rPr>
          <w:bCs/>
        </w:rPr>
        <w:t xml:space="preserve">240. </w:t>
      </w:r>
      <w:r w:rsidRPr="00BF42B7">
        <w:rPr>
          <w:rFonts w:hint="eastAsia"/>
          <w:bCs/>
        </w:rPr>
        <w:t xml:space="preserve"> </w:t>
      </w:r>
      <w:r w:rsidRPr="00BF42B7">
        <w:rPr>
          <w:rFonts w:hint="eastAsia"/>
          <w:bCs/>
        </w:rPr>
        <w:t>关于第</w:t>
      </w:r>
      <w:r w:rsidRPr="00BF42B7">
        <w:rPr>
          <w:rFonts w:hint="eastAsia"/>
          <w:bCs/>
        </w:rPr>
        <w:t>1</w:t>
      </w:r>
      <w:r w:rsidRPr="00BF42B7">
        <w:rPr>
          <w:rFonts w:hint="eastAsia"/>
          <w:bCs/>
        </w:rPr>
        <w:t>款第</w:t>
      </w:r>
      <w:r w:rsidRPr="00BF42B7">
        <w:rPr>
          <w:rFonts w:hint="eastAsia"/>
          <w:bCs/>
        </w:rPr>
        <w:t>(</w:t>
      </w:r>
      <w:r w:rsidRPr="00BF42B7">
        <w:rPr>
          <w:rFonts w:hint="eastAsia"/>
          <w:bCs/>
        </w:rPr>
        <w:t>一</w:t>
      </w:r>
      <w:r w:rsidRPr="00BF42B7">
        <w:rPr>
          <w:rFonts w:hint="eastAsia"/>
          <w:bCs/>
        </w:rPr>
        <w:t>)</w:t>
      </w:r>
      <w:r w:rsidRPr="00BF42B7">
        <w:rPr>
          <w:rFonts w:hint="eastAsia"/>
          <w:bCs/>
        </w:rPr>
        <w:t>项</w:t>
      </w:r>
      <w:r w:rsidRPr="00BF42B7">
        <w:rPr>
          <w:rFonts w:hint="eastAsia"/>
        </w:rPr>
        <w:t>，</w:t>
      </w:r>
      <w:r w:rsidRPr="00BF42B7">
        <w:rPr>
          <w:rFonts w:hint="eastAsia"/>
          <w:bCs/>
        </w:rPr>
        <w:t>一些委员表示赞同其中专门提出种族灭绝、危害人类罪、战争罪、酷刑和强迫失踪是不适用豁免的国际罪行。他们认为，虽然“酷刑”和“强迫失踪”也属于危害人类罪，但专门提到这两项罪行是有益的。还有人表示赞同加上种族隔离，报告在提到拟议案文所列其他罪行时也提到了种族隔离。</w:t>
      </w:r>
    </w:p>
    <w:p w:rsidR="00396D56" w:rsidRPr="00BF42B7" w:rsidRDefault="00396D56" w:rsidP="00396D56">
      <w:pPr>
        <w:pStyle w:val="SingleTxtGC"/>
        <w:rPr>
          <w:b/>
        </w:rPr>
      </w:pPr>
      <w:r w:rsidRPr="00BF42B7">
        <w:rPr>
          <w:bCs/>
        </w:rPr>
        <w:t xml:space="preserve">241. </w:t>
      </w:r>
      <w:r w:rsidRPr="00BF42B7">
        <w:rPr>
          <w:rFonts w:hint="eastAsia"/>
          <w:bCs/>
        </w:rPr>
        <w:t xml:space="preserve"> </w:t>
      </w:r>
      <w:r w:rsidRPr="00BF42B7">
        <w:rPr>
          <w:rFonts w:hint="eastAsia"/>
          <w:bCs/>
        </w:rPr>
        <w:t>一些委员认为，</w:t>
      </w:r>
      <w:r w:rsidRPr="00BF42B7">
        <w:rPr>
          <w:bCs/>
        </w:rPr>
        <w:t>特别报告员</w:t>
      </w:r>
      <w:r w:rsidRPr="00BF42B7">
        <w:rPr>
          <w:rFonts w:hint="eastAsia"/>
          <w:bCs/>
        </w:rPr>
        <w:t>提出的排除侵略罪的理由难以令人信服。他们认为，如果委员会不将侵略罪纳入</w:t>
      </w:r>
      <w:r w:rsidRPr="00BF42B7">
        <w:rPr>
          <w:bCs/>
        </w:rPr>
        <w:t>第</w:t>
      </w:r>
      <w:r w:rsidRPr="00BF42B7">
        <w:rPr>
          <w:bCs/>
        </w:rPr>
        <w:t>7</w:t>
      </w:r>
      <w:r w:rsidRPr="00BF42B7">
        <w:rPr>
          <w:bCs/>
        </w:rPr>
        <w:t>条草案</w:t>
      </w:r>
      <w:r w:rsidRPr="00BF42B7">
        <w:rPr>
          <w:rFonts w:hint="eastAsia"/>
          <w:bCs/>
        </w:rPr>
        <w:t>的豁免例外，将是一种疏忽。这些委员原本希望纳入这一罪行，因为各国批准制裁侵略罪的《坎帕拉修正案》时已经在颁布国内的执行法律。此外，被</w:t>
      </w:r>
      <w:r w:rsidRPr="00BF42B7">
        <w:rPr>
          <w:rFonts w:hint="eastAsia"/>
        </w:rPr>
        <w:t>视为非法使用武力最严重、最危险形式的侵略罪，是由国家官员以官方身份实施的行为。</w:t>
      </w:r>
    </w:p>
    <w:p w:rsidR="00396D56" w:rsidRPr="00BF42B7" w:rsidRDefault="00396D56" w:rsidP="00396D56">
      <w:pPr>
        <w:pStyle w:val="SingleTxtGC"/>
      </w:pPr>
      <w:r w:rsidRPr="00BF42B7">
        <w:t xml:space="preserve">242. </w:t>
      </w:r>
      <w:r w:rsidRPr="00BF42B7">
        <w:rPr>
          <w:rFonts w:hint="eastAsia"/>
        </w:rPr>
        <w:t xml:space="preserve"> </w:t>
      </w:r>
      <w:r w:rsidRPr="00BF42B7">
        <w:rPr>
          <w:rFonts w:hint="eastAsia"/>
        </w:rPr>
        <w:t>然而，另一些委员支持不纳入侵略罪，因为侵略罪密切关系到并取决于侵略国的行为，影响国家主权和国家豁免。他们还指出，对《罗马规约》中侵略罪的定义做出修订的《坎帕拉修正案》尚未生效。</w:t>
      </w:r>
    </w:p>
    <w:p w:rsidR="00396D56" w:rsidRPr="00BF42B7" w:rsidRDefault="00396D56" w:rsidP="00396D56">
      <w:pPr>
        <w:pStyle w:val="SingleTxtGC"/>
      </w:pPr>
      <w:r w:rsidRPr="00BF42B7">
        <w:rPr>
          <w:bCs/>
        </w:rPr>
        <w:t>243.</w:t>
      </w:r>
      <w:r w:rsidRPr="00BF42B7">
        <w:rPr>
          <w:rFonts w:hint="eastAsia"/>
          <w:bCs/>
        </w:rPr>
        <w:t xml:space="preserve"> </w:t>
      </w:r>
      <w:r w:rsidRPr="00BF42B7">
        <w:rPr>
          <w:bCs/>
        </w:rPr>
        <w:t xml:space="preserve"> </w:t>
      </w:r>
      <w:r w:rsidRPr="00BF42B7">
        <w:rPr>
          <w:rFonts w:hint="eastAsia"/>
          <w:bCs/>
        </w:rPr>
        <w:t>关于第</w:t>
      </w:r>
      <w:r w:rsidRPr="00BF42B7">
        <w:rPr>
          <w:rFonts w:hint="eastAsia"/>
          <w:bCs/>
        </w:rPr>
        <w:t>1</w:t>
      </w:r>
      <w:r w:rsidRPr="00BF42B7">
        <w:rPr>
          <w:rFonts w:hint="eastAsia"/>
          <w:bCs/>
        </w:rPr>
        <w:t>款第</w:t>
      </w:r>
      <w:r w:rsidRPr="00BF42B7">
        <w:rPr>
          <w:rFonts w:hint="eastAsia"/>
          <w:bCs/>
        </w:rPr>
        <w:t>(</w:t>
      </w:r>
      <w:r w:rsidRPr="00BF42B7">
        <w:rPr>
          <w:rFonts w:hint="eastAsia"/>
          <w:bCs/>
        </w:rPr>
        <w:t>二</w:t>
      </w:r>
      <w:r w:rsidRPr="00BF42B7">
        <w:rPr>
          <w:rFonts w:hint="eastAsia"/>
          <w:bCs/>
        </w:rPr>
        <w:t>)</w:t>
      </w:r>
      <w:r w:rsidRPr="00BF42B7">
        <w:rPr>
          <w:rFonts w:hint="eastAsia"/>
          <w:bCs/>
        </w:rPr>
        <w:t>项所指“与腐败有关的罪行”，一些委员赞同纳入这些罪行，而其他委员对此表示了保留意见，因为此类罪行的性质有别于严重的国际罪行。委员们认为，要决定腐败行为是否构成豁免例外，首先必须确定腐败行为是否是“以官方身份实施的行为”，人们也怀疑此种行为本身可归入</w:t>
      </w:r>
      <w:r w:rsidRPr="00BF42B7">
        <w:rPr>
          <w:bCs/>
        </w:rPr>
        <w:t>属事豁免</w:t>
      </w:r>
      <w:r w:rsidRPr="00BF42B7">
        <w:rPr>
          <w:rFonts w:hint="eastAsia"/>
          <w:bCs/>
        </w:rPr>
        <w:t>的范畴。还有人指出，没有任何实践表明腐败行为不适用</w:t>
      </w:r>
      <w:r w:rsidRPr="00BF42B7">
        <w:rPr>
          <w:bCs/>
        </w:rPr>
        <w:t>属事豁免</w:t>
      </w:r>
      <w:r w:rsidRPr="00BF42B7">
        <w:rPr>
          <w:rFonts w:hint="eastAsia"/>
        </w:rPr>
        <w:t>。</w:t>
      </w:r>
    </w:p>
    <w:p w:rsidR="00396D56" w:rsidRPr="00BF42B7" w:rsidRDefault="00396D56" w:rsidP="00396D56">
      <w:pPr>
        <w:pStyle w:val="SingleTxtGC"/>
        <w:rPr>
          <w:bCs/>
        </w:rPr>
      </w:pPr>
      <w:r w:rsidRPr="00BF42B7">
        <w:rPr>
          <w:bCs/>
        </w:rPr>
        <w:t xml:space="preserve">244. </w:t>
      </w:r>
      <w:r w:rsidRPr="00BF42B7">
        <w:rPr>
          <w:rFonts w:hint="eastAsia"/>
          <w:bCs/>
        </w:rPr>
        <w:t xml:space="preserve"> </w:t>
      </w:r>
      <w:r w:rsidRPr="00BF42B7">
        <w:rPr>
          <w:rFonts w:hint="eastAsia"/>
          <w:bCs/>
        </w:rPr>
        <w:t>关于第</w:t>
      </w:r>
      <w:r w:rsidRPr="00BF42B7">
        <w:rPr>
          <w:rFonts w:hint="eastAsia"/>
          <w:bCs/>
        </w:rPr>
        <w:t>(</w:t>
      </w:r>
      <w:r w:rsidRPr="00BF42B7">
        <w:rPr>
          <w:rFonts w:hint="eastAsia"/>
          <w:bCs/>
        </w:rPr>
        <w:t>三</w:t>
      </w:r>
      <w:r w:rsidRPr="00BF42B7">
        <w:rPr>
          <w:rFonts w:hint="eastAsia"/>
          <w:bCs/>
        </w:rPr>
        <w:t>)</w:t>
      </w:r>
      <w:r w:rsidRPr="00BF42B7">
        <w:rPr>
          <w:rFonts w:hint="eastAsia"/>
          <w:bCs/>
        </w:rPr>
        <w:t>项所指罪行，委员们表达了一些保留意见。一些委员认为，“领土内侵权例外”一词并不完全切合涉及刑事管辖的情况。尽管它与国家管辖豁免相关，但这方面的国家实践有限，不足以支持将其纳入</w:t>
      </w:r>
      <w:r w:rsidRPr="00BF42B7">
        <w:rPr>
          <w:bCs/>
        </w:rPr>
        <w:t>国家官员的外国刑事管辖豁免</w:t>
      </w:r>
      <w:r w:rsidRPr="00BF42B7">
        <w:rPr>
          <w:rFonts w:hint="eastAsia"/>
          <w:bCs/>
        </w:rPr>
        <w:t>。委员们还指出，这一项的措辞有些绝对，有可能涵盖国家官员在</w:t>
      </w:r>
      <w:r w:rsidRPr="00BF42B7">
        <w:rPr>
          <w:bCs/>
        </w:rPr>
        <w:t>法院地国</w:t>
      </w:r>
      <w:r w:rsidRPr="00BF42B7">
        <w:rPr>
          <w:rFonts w:hint="eastAsia"/>
          <w:bCs/>
        </w:rPr>
        <w:t>实施的所有类型的行为，可以想象也有可能包括国家军队的行动。然而，一些委员认为这项建议颇值得考虑。另一些委员只接受前任特别报告员在第二次报告中确定的更有限的例外。</w:t>
      </w:r>
    </w:p>
    <w:p w:rsidR="00396D56" w:rsidRPr="00BF42B7" w:rsidRDefault="00396D56" w:rsidP="00396D56">
      <w:pPr>
        <w:pStyle w:val="SingleTxtGC"/>
        <w:rPr>
          <w:bCs/>
        </w:rPr>
      </w:pPr>
      <w:r w:rsidRPr="00BF42B7">
        <w:rPr>
          <w:bCs/>
        </w:rPr>
        <w:t xml:space="preserve">245. </w:t>
      </w:r>
      <w:r w:rsidRPr="00BF42B7">
        <w:rPr>
          <w:rFonts w:hint="eastAsia"/>
          <w:bCs/>
        </w:rPr>
        <w:t xml:space="preserve"> </w:t>
      </w:r>
      <w:r w:rsidRPr="00BF42B7">
        <w:rPr>
          <w:rFonts w:hint="eastAsia"/>
          <w:bCs/>
        </w:rPr>
        <w:t>几名委员表示赞同第</w:t>
      </w:r>
      <w:r w:rsidRPr="00BF42B7">
        <w:rPr>
          <w:rFonts w:hint="eastAsia"/>
          <w:bCs/>
        </w:rPr>
        <w:t>2</w:t>
      </w:r>
      <w:r w:rsidRPr="00BF42B7">
        <w:rPr>
          <w:rFonts w:hint="eastAsia"/>
          <w:bCs/>
        </w:rPr>
        <w:t>款的表述方式，认为它提出了不可争议的主张，而且反映了国家实践。然而，委员们提出了一些保留意见，认为第</w:t>
      </w:r>
      <w:r w:rsidRPr="00BF42B7">
        <w:rPr>
          <w:rFonts w:hint="eastAsia"/>
          <w:bCs/>
        </w:rPr>
        <w:t>2</w:t>
      </w:r>
      <w:r w:rsidRPr="00BF42B7">
        <w:rPr>
          <w:rFonts w:hint="eastAsia"/>
          <w:bCs/>
        </w:rPr>
        <w:t>款中是“限制和例外的例外”，要求将其删除。委员们建议，任何表述均应符合《罗马规约》第二十七条，还应该在</w:t>
      </w:r>
      <w:r w:rsidRPr="00BF42B7">
        <w:rPr>
          <w:bCs/>
        </w:rPr>
        <w:t>第</w:t>
      </w:r>
      <w:r w:rsidRPr="00BF42B7">
        <w:rPr>
          <w:bCs/>
        </w:rPr>
        <w:t>7</w:t>
      </w:r>
      <w:r w:rsidRPr="00BF42B7">
        <w:rPr>
          <w:bCs/>
        </w:rPr>
        <w:t>条草案</w:t>
      </w:r>
      <w:r w:rsidRPr="00BF42B7">
        <w:rPr>
          <w:rFonts w:hint="eastAsia"/>
          <w:bCs/>
        </w:rPr>
        <w:t>和已经暂时通过的第</w:t>
      </w:r>
      <w:r w:rsidRPr="00BF42B7">
        <w:rPr>
          <w:rFonts w:hint="eastAsia"/>
          <w:bCs/>
        </w:rPr>
        <w:t>4</w:t>
      </w:r>
      <w:r w:rsidRPr="00BF42B7">
        <w:rPr>
          <w:rFonts w:hint="eastAsia"/>
          <w:bCs/>
        </w:rPr>
        <w:t>条和第</w:t>
      </w:r>
      <w:r w:rsidRPr="00BF42B7">
        <w:rPr>
          <w:rFonts w:hint="eastAsia"/>
          <w:bCs/>
        </w:rPr>
        <w:t>6</w:t>
      </w:r>
      <w:r w:rsidRPr="00BF42B7">
        <w:rPr>
          <w:rFonts w:hint="eastAsia"/>
          <w:bCs/>
        </w:rPr>
        <w:t>条草案之间建立明确的联系。另外提出的一条建议是重新考虑委员会暂时通过的关于</w:t>
      </w:r>
      <w:r w:rsidRPr="00BF42B7">
        <w:rPr>
          <w:bCs/>
        </w:rPr>
        <w:t>属人豁免</w:t>
      </w:r>
      <w:r w:rsidRPr="00BF42B7">
        <w:rPr>
          <w:rFonts w:hint="eastAsia"/>
          <w:bCs/>
        </w:rPr>
        <w:t>的范围的第</w:t>
      </w:r>
      <w:r w:rsidRPr="00BF42B7">
        <w:rPr>
          <w:rFonts w:hint="eastAsia"/>
          <w:bCs/>
        </w:rPr>
        <w:t>4</w:t>
      </w:r>
      <w:r w:rsidRPr="00BF42B7">
        <w:rPr>
          <w:rFonts w:hint="eastAsia"/>
          <w:bCs/>
        </w:rPr>
        <w:t>条草案中的限制。</w:t>
      </w:r>
    </w:p>
    <w:p w:rsidR="00396D56" w:rsidRPr="00BF42B7" w:rsidRDefault="00396D56" w:rsidP="00396D56">
      <w:pPr>
        <w:pStyle w:val="SingleTxtGC"/>
        <w:rPr>
          <w:bCs/>
        </w:rPr>
      </w:pPr>
      <w:r w:rsidRPr="00BF42B7">
        <w:t xml:space="preserve">246. </w:t>
      </w:r>
      <w:r w:rsidRPr="00BF42B7">
        <w:rPr>
          <w:rFonts w:hint="eastAsia"/>
        </w:rPr>
        <w:t xml:space="preserve"> </w:t>
      </w:r>
      <w:r w:rsidRPr="00BF42B7">
        <w:rPr>
          <w:rFonts w:hint="eastAsia"/>
        </w:rPr>
        <w:t>一些委员认为，第</w:t>
      </w:r>
      <w:r w:rsidRPr="00BF42B7">
        <w:rPr>
          <w:rFonts w:hint="eastAsia"/>
        </w:rPr>
        <w:t>3</w:t>
      </w:r>
      <w:r w:rsidRPr="00BF42B7">
        <w:rPr>
          <w:rFonts w:hint="eastAsia"/>
        </w:rPr>
        <w:t>款中的“不妨碍”条款反映了其他制度产生的合作义务，可以接受。</w:t>
      </w:r>
    </w:p>
    <w:p w:rsidR="00396D56" w:rsidRPr="00BF42B7" w:rsidRDefault="00396D56" w:rsidP="004847A4">
      <w:pPr>
        <w:pStyle w:val="H23GC"/>
        <w:rPr>
          <w:b/>
        </w:rPr>
      </w:pPr>
      <w:r w:rsidRPr="00BF42B7">
        <w:rPr>
          <w:rFonts w:hint="eastAsia"/>
          <w:b/>
        </w:rPr>
        <w:tab/>
      </w:r>
      <w:r w:rsidRPr="00BF42B7">
        <w:t>(d</w:t>
      </w:r>
      <w:r w:rsidRPr="00BF42B7">
        <w:rPr>
          <w:rFonts w:hint="eastAsia"/>
        </w:rPr>
        <w:t>)</w:t>
      </w:r>
      <w:r w:rsidRPr="00BF42B7">
        <w:rPr>
          <w:rFonts w:hint="eastAsia"/>
        </w:rPr>
        <w:tab/>
      </w:r>
      <w:r w:rsidRPr="00BF42B7">
        <w:rPr>
          <w:rFonts w:hint="eastAsia"/>
        </w:rPr>
        <w:t>今后的工作</w:t>
      </w:r>
    </w:p>
    <w:p w:rsidR="00396D56" w:rsidRPr="00BF42B7" w:rsidRDefault="00396D56" w:rsidP="00396D56">
      <w:pPr>
        <w:pStyle w:val="SingleTxtGC"/>
      </w:pPr>
      <w:r w:rsidRPr="00BF42B7">
        <w:t xml:space="preserve">247.  </w:t>
      </w:r>
      <w:r w:rsidRPr="00BF42B7">
        <w:rPr>
          <w:rFonts w:hint="eastAsia"/>
        </w:rPr>
        <w:t>关于今后的工作，委员们强调了限制和例外与豁免的</w:t>
      </w:r>
      <w:r w:rsidRPr="00BF42B7">
        <w:t>程序问题</w:t>
      </w:r>
      <w:r w:rsidRPr="00BF42B7">
        <w:rPr>
          <w:rFonts w:hint="eastAsia"/>
        </w:rPr>
        <w:t>之间的联系。几名委员就此强调，明年在讨论程序性保障时必须考虑到，需要避免出现因政治动机提起诉讼或非法行使管辖权的情况。</w:t>
      </w:r>
    </w:p>
    <w:p w:rsidR="00396D56" w:rsidRPr="00BF42B7" w:rsidRDefault="00396D56" w:rsidP="00396D56">
      <w:pPr>
        <w:pStyle w:val="SingleTxtGC"/>
      </w:pPr>
      <w:r w:rsidRPr="00BF42B7">
        <w:t xml:space="preserve">248.  </w:t>
      </w:r>
      <w:r w:rsidRPr="00BF42B7">
        <w:rPr>
          <w:rFonts w:hint="eastAsia"/>
        </w:rPr>
        <w:t>委员会将在</w:t>
      </w:r>
      <w:r w:rsidRPr="00BF42B7">
        <w:t>2017</w:t>
      </w:r>
      <w:r w:rsidRPr="00BF42B7">
        <w:rPr>
          <w:rFonts w:hint="eastAsia"/>
        </w:rPr>
        <w:t>年下一届会议上继续并完成关于</w:t>
      </w:r>
      <w:r w:rsidRPr="00BF42B7">
        <w:t>第五次报告</w:t>
      </w:r>
      <w:r w:rsidRPr="00BF42B7">
        <w:rPr>
          <w:rFonts w:hint="eastAsia"/>
        </w:rPr>
        <w:t>的辩论。</w:t>
      </w:r>
    </w:p>
    <w:p w:rsidR="00396D56" w:rsidRPr="00BF42B7" w:rsidRDefault="00396D56" w:rsidP="00396D56">
      <w:pPr>
        <w:pStyle w:val="H1GC"/>
      </w:pPr>
      <w:r w:rsidRPr="003D448F">
        <w:rPr>
          <w:bCs/>
        </w:rPr>
        <w:tab/>
        <w:t>C.</w:t>
      </w:r>
      <w:r w:rsidRPr="003D448F">
        <w:rPr>
          <w:bCs/>
        </w:rPr>
        <w:tab/>
      </w:r>
      <w:r w:rsidRPr="00BF42B7">
        <w:rPr>
          <w:rFonts w:hint="eastAsia"/>
          <w:spacing w:val="4"/>
        </w:rPr>
        <w:t>委员会迄今为止暂时通过的国家官员的外国刑事管辖豁免条款草案案文</w:t>
      </w:r>
    </w:p>
    <w:p w:rsidR="00396D56" w:rsidRPr="00BF42B7" w:rsidRDefault="00396D56" w:rsidP="00396D56">
      <w:pPr>
        <w:pStyle w:val="H23GC"/>
        <w:rPr>
          <w:b/>
        </w:rPr>
      </w:pPr>
      <w:r w:rsidRPr="003D448F">
        <w:rPr>
          <w:bCs/>
        </w:rPr>
        <w:tab/>
        <w:t>1.</w:t>
      </w:r>
      <w:r w:rsidRPr="003D448F">
        <w:rPr>
          <w:bCs/>
        </w:rPr>
        <w:tab/>
      </w:r>
      <w:r w:rsidRPr="00BF42B7">
        <w:rPr>
          <w:rFonts w:hint="eastAsia"/>
        </w:rPr>
        <w:t>条款草案案文</w:t>
      </w:r>
    </w:p>
    <w:p w:rsidR="00396D56" w:rsidRPr="00BF42B7" w:rsidRDefault="00396D56" w:rsidP="00396D56">
      <w:pPr>
        <w:pStyle w:val="SingleTxtGC"/>
        <w:rPr>
          <w:b/>
        </w:rPr>
      </w:pPr>
      <w:r w:rsidRPr="00BF42B7">
        <w:t>249.</w:t>
      </w:r>
      <w:r w:rsidRPr="00BF42B7">
        <w:rPr>
          <w:rFonts w:hint="eastAsia"/>
        </w:rPr>
        <w:t xml:space="preserve">  </w:t>
      </w:r>
      <w:r w:rsidRPr="00BF42B7">
        <w:rPr>
          <w:rFonts w:hint="eastAsia"/>
        </w:rPr>
        <w:t>委员会迄今为止暂时通过的条款草案案文载录于下。</w:t>
      </w:r>
    </w:p>
    <w:p w:rsidR="00396D56" w:rsidRPr="00BF42B7" w:rsidRDefault="00396D56" w:rsidP="005D4032">
      <w:pPr>
        <w:pStyle w:val="H23GC"/>
        <w:ind w:left="1554"/>
      </w:pPr>
      <w:r w:rsidRPr="00BF42B7">
        <w:tab/>
      </w:r>
      <w:r w:rsidRPr="00BF42B7">
        <w:rPr>
          <w:rFonts w:hint="eastAsia"/>
        </w:rPr>
        <w:tab/>
      </w:r>
      <w:r w:rsidRPr="00BF42B7">
        <w:rPr>
          <w:rFonts w:hint="eastAsia"/>
        </w:rPr>
        <w:t>国家官员的外国刑事管辖豁免</w:t>
      </w:r>
    </w:p>
    <w:p w:rsidR="00396D56" w:rsidRPr="00BF42B7" w:rsidRDefault="00396D56" w:rsidP="00421513">
      <w:pPr>
        <w:pStyle w:val="H23GC"/>
        <w:ind w:left="1554"/>
        <w:rPr>
          <w:b/>
        </w:rPr>
      </w:pPr>
      <w:r w:rsidRPr="00BF42B7">
        <w:rPr>
          <w:rFonts w:hint="eastAsia"/>
        </w:rPr>
        <w:tab/>
      </w:r>
      <w:r w:rsidRPr="00BF42B7">
        <w:rPr>
          <w:rFonts w:hint="eastAsia"/>
        </w:rPr>
        <w:tab/>
      </w:r>
      <w:r w:rsidRPr="00BF42B7">
        <w:rPr>
          <w:rFonts w:hint="eastAsia"/>
        </w:rPr>
        <w:t>第一部分</w:t>
      </w:r>
      <w:r w:rsidRPr="00BF42B7">
        <w:br/>
      </w:r>
      <w:r w:rsidRPr="00BF42B7">
        <w:rPr>
          <w:rFonts w:hint="eastAsia"/>
        </w:rPr>
        <w:t>导言</w:t>
      </w:r>
    </w:p>
    <w:p w:rsidR="00396D56" w:rsidRPr="00BF42B7" w:rsidRDefault="00396D56" w:rsidP="00396D56">
      <w:pPr>
        <w:pStyle w:val="H23GC"/>
        <w:ind w:left="1554"/>
      </w:pPr>
      <w:r w:rsidRPr="00BF42B7">
        <w:tab/>
      </w:r>
      <w:r w:rsidRPr="00BF42B7">
        <w:tab/>
      </w:r>
      <w:r w:rsidRPr="00BF42B7">
        <w:rPr>
          <w:rFonts w:hint="eastAsia"/>
        </w:rPr>
        <w:t>第</w:t>
      </w:r>
      <w:r w:rsidRPr="00BF42B7">
        <w:rPr>
          <w:rFonts w:hint="eastAsia"/>
        </w:rPr>
        <w:t>1</w:t>
      </w:r>
      <w:r w:rsidRPr="00BF42B7">
        <w:rPr>
          <w:rFonts w:hint="eastAsia"/>
        </w:rPr>
        <w:t>条</w:t>
      </w:r>
      <w:r w:rsidRPr="00BF42B7">
        <w:br/>
      </w:r>
      <w:r w:rsidRPr="00BF42B7">
        <w:rPr>
          <w:rFonts w:hint="eastAsia"/>
        </w:rPr>
        <w:t>本条款草案的范围</w:t>
      </w:r>
    </w:p>
    <w:p w:rsidR="00396D56" w:rsidRPr="00BF42B7" w:rsidRDefault="00396D56" w:rsidP="00396D56">
      <w:pPr>
        <w:pStyle w:val="SingleTxtGC"/>
        <w:ind w:left="1554"/>
      </w:pPr>
      <w:r w:rsidRPr="00BF42B7">
        <w:t>1.</w:t>
      </w:r>
      <w:r w:rsidRPr="00BF42B7">
        <w:rPr>
          <w:rFonts w:hint="eastAsia"/>
        </w:rPr>
        <w:t xml:space="preserve">  </w:t>
      </w:r>
      <w:r w:rsidRPr="00BF42B7">
        <w:rPr>
          <w:rFonts w:hint="eastAsia"/>
        </w:rPr>
        <w:t>本条款草案适用于国家官员对另一国刑事管辖享有的豁免。</w:t>
      </w:r>
    </w:p>
    <w:p w:rsidR="00396D56" w:rsidRPr="00BF42B7" w:rsidRDefault="00396D56" w:rsidP="00396D56">
      <w:pPr>
        <w:pStyle w:val="SingleTxtGC"/>
        <w:ind w:left="1554"/>
      </w:pPr>
      <w:r w:rsidRPr="00BF42B7">
        <w:t>2.</w:t>
      </w:r>
      <w:r w:rsidRPr="00BF42B7">
        <w:rPr>
          <w:rFonts w:hint="eastAsia"/>
        </w:rPr>
        <w:t xml:space="preserve">  </w:t>
      </w:r>
      <w:r w:rsidRPr="00BF42B7">
        <w:rPr>
          <w:rFonts w:hint="eastAsia"/>
        </w:rPr>
        <w:t>本条款草案不妨碍依照国际法特别规则享有的刑事管辖豁免，特别是与外交使团、领馆、特别使团、国际组织和一国军事力量相关的人员所享有的刑事管辖豁免。</w:t>
      </w:r>
    </w:p>
    <w:p w:rsidR="00396D56" w:rsidRPr="00BF42B7" w:rsidRDefault="00396D56" w:rsidP="00396D56">
      <w:pPr>
        <w:pStyle w:val="H23GC"/>
        <w:ind w:left="1554"/>
      </w:pPr>
      <w:r w:rsidRPr="00BF42B7">
        <w:tab/>
      </w:r>
      <w:r w:rsidRPr="00BF42B7">
        <w:tab/>
      </w:r>
      <w:r w:rsidRPr="00BF42B7">
        <w:rPr>
          <w:rFonts w:hint="eastAsia"/>
        </w:rPr>
        <w:t>第</w:t>
      </w:r>
      <w:r w:rsidRPr="00BF42B7">
        <w:rPr>
          <w:rFonts w:hint="eastAsia"/>
        </w:rPr>
        <w:t>2</w:t>
      </w:r>
      <w:r w:rsidRPr="00BF42B7">
        <w:rPr>
          <w:rFonts w:hint="eastAsia"/>
        </w:rPr>
        <w:t>条</w:t>
      </w:r>
      <w:r w:rsidRPr="00BF42B7">
        <w:br/>
      </w:r>
      <w:r w:rsidRPr="00BF42B7">
        <w:rPr>
          <w:rFonts w:hint="eastAsia"/>
        </w:rPr>
        <w:t>定义</w:t>
      </w:r>
    </w:p>
    <w:p w:rsidR="00396D56" w:rsidRPr="00BF42B7" w:rsidRDefault="00396D56" w:rsidP="00421513">
      <w:pPr>
        <w:pStyle w:val="SingleTxtGC"/>
        <w:tabs>
          <w:tab w:val="clear" w:pos="431"/>
          <w:tab w:val="clear" w:pos="1134"/>
          <w:tab w:val="clear" w:pos="1565"/>
        </w:tabs>
        <w:ind w:left="1554"/>
      </w:pPr>
      <w:r w:rsidRPr="00BF42B7">
        <w:tab/>
      </w:r>
      <w:r w:rsidRPr="00BF42B7">
        <w:rPr>
          <w:rFonts w:hint="eastAsia"/>
        </w:rPr>
        <w:t>为本条款草案的目的：</w:t>
      </w:r>
      <w:r w:rsidRPr="00BF42B7">
        <w:t xml:space="preserve"> </w:t>
      </w:r>
    </w:p>
    <w:p w:rsidR="00396D56" w:rsidRPr="00BF42B7" w:rsidRDefault="00396D56" w:rsidP="00421513">
      <w:pPr>
        <w:pStyle w:val="SingleTxtGC"/>
        <w:tabs>
          <w:tab w:val="clear" w:pos="431"/>
          <w:tab w:val="clear" w:pos="1134"/>
          <w:tab w:val="clear" w:pos="1565"/>
        </w:tabs>
        <w:ind w:left="1554"/>
      </w:pPr>
      <w:r w:rsidRPr="00BF42B7">
        <w:rPr>
          <w:rFonts w:hint="eastAsia"/>
          <w:lang w:val="fr-CH"/>
        </w:rPr>
        <w:t>……</w:t>
      </w:r>
    </w:p>
    <w:p w:rsidR="00396D56" w:rsidRPr="00BF42B7" w:rsidRDefault="00396D56" w:rsidP="00421513">
      <w:pPr>
        <w:pStyle w:val="SingleTxtGC"/>
        <w:tabs>
          <w:tab w:val="clear" w:pos="431"/>
          <w:tab w:val="clear" w:pos="1134"/>
          <w:tab w:val="clear" w:pos="1565"/>
        </w:tabs>
        <w:ind w:left="1554"/>
      </w:pPr>
      <w:r w:rsidRPr="00BF42B7">
        <w:rPr>
          <w:rFonts w:hint="eastAsia"/>
        </w:rPr>
        <w:tab/>
      </w:r>
      <w:r w:rsidRPr="00BF42B7">
        <w:t>(e)</w:t>
      </w:r>
      <w:r w:rsidRPr="00BF42B7">
        <w:tab/>
      </w:r>
      <w:r w:rsidRPr="00BF42B7">
        <w:rPr>
          <w:rFonts w:hint="eastAsia"/>
        </w:rPr>
        <w:t>“国家官员”是指代表国家或行使国家职能的任何个人；</w:t>
      </w:r>
    </w:p>
    <w:p w:rsidR="00396D56" w:rsidRPr="00BF42B7" w:rsidRDefault="00396D56" w:rsidP="00421513">
      <w:pPr>
        <w:pStyle w:val="SingleTxtGC"/>
        <w:tabs>
          <w:tab w:val="clear" w:pos="431"/>
          <w:tab w:val="clear" w:pos="1134"/>
          <w:tab w:val="clear" w:pos="1565"/>
        </w:tabs>
        <w:ind w:left="1554"/>
      </w:pPr>
      <w:r w:rsidRPr="00BF42B7">
        <w:rPr>
          <w:rFonts w:hint="eastAsia"/>
        </w:rPr>
        <w:tab/>
      </w:r>
      <w:r w:rsidRPr="00BF42B7">
        <w:t>(f)</w:t>
      </w:r>
      <w:r w:rsidRPr="00BF42B7">
        <w:tab/>
      </w:r>
      <w:r w:rsidRPr="00BF42B7">
        <w:rPr>
          <w:rFonts w:hint="eastAsia"/>
        </w:rPr>
        <w:t>“以官方身份实施的行为”指国家官员在行使国家权力时实施的任何行为；</w:t>
      </w:r>
    </w:p>
    <w:p w:rsidR="00396D56" w:rsidRPr="00BF42B7" w:rsidRDefault="00396D56" w:rsidP="00421513">
      <w:pPr>
        <w:pStyle w:val="H23GC"/>
        <w:ind w:left="1554"/>
        <w:rPr>
          <w:b/>
        </w:rPr>
      </w:pPr>
      <w:r w:rsidRPr="00BF42B7">
        <w:tab/>
      </w:r>
      <w:r w:rsidRPr="00BF42B7">
        <w:tab/>
      </w:r>
      <w:r w:rsidRPr="00BF42B7">
        <w:rPr>
          <w:rFonts w:hint="eastAsia"/>
        </w:rPr>
        <w:t>第二部分</w:t>
      </w:r>
      <w:r w:rsidRPr="00BF42B7">
        <w:rPr>
          <w:b/>
        </w:rPr>
        <w:br/>
      </w:r>
      <w:r w:rsidRPr="00BF42B7">
        <w:rPr>
          <w:rFonts w:hint="eastAsia"/>
        </w:rPr>
        <w:t>属人豁免</w:t>
      </w:r>
    </w:p>
    <w:p w:rsidR="00396D56" w:rsidRPr="00BF42B7" w:rsidRDefault="00396D56" w:rsidP="00396D56">
      <w:pPr>
        <w:pStyle w:val="H23GC"/>
        <w:ind w:left="1554"/>
        <w:rPr>
          <w:b/>
        </w:rPr>
      </w:pPr>
      <w:r w:rsidRPr="00BF42B7">
        <w:tab/>
      </w:r>
      <w:r w:rsidRPr="00BF42B7">
        <w:tab/>
      </w:r>
      <w:r w:rsidRPr="00BF42B7">
        <w:rPr>
          <w:rFonts w:hint="eastAsia"/>
        </w:rPr>
        <w:t>第</w:t>
      </w:r>
      <w:r w:rsidRPr="00BF42B7">
        <w:rPr>
          <w:rFonts w:hint="eastAsia"/>
        </w:rPr>
        <w:t>3</w:t>
      </w:r>
      <w:r w:rsidRPr="00BF42B7">
        <w:rPr>
          <w:rFonts w:hint="eastAsia"/>
        </w:rPr>
        <w:t>条</w:t>
      </w:r>
      <w:r w:rsidRPr="00BF42B7">
        <w:br/>
      </w:r>
      <w:r w:rsidRPr="00BF42B7">
        <w:rPr>
          <w:rFonts w:hint="eastAsia"/>
        </w:rPr>
        <w:t>享有属人豁免的人员</w:t>
      </w:r>
    </w:p>
    <w:p w:rsidR="00396D56" w:rsidRPr="00BF42B7" w:rsidRDefault="00396D56" w:rsidP="00421513">
      <w:pPr>
        <w:pStyle w:val="SingleTxtGC"/>
        <w:tabs>
          <w:tab w:val="clear" w:pos="431"/>
          <w:tab w:val="clear" w:pos="1134"/>
          <w:tab w:val="clear" w:pos="1565"/>
        </w:tabs>
        <w:ind w:left="1554"/>
        <w:rPr>
          <w:spacing w:val="-5"/>
        </w:rPr>
      </w:pPr>
      <w:r w:rsidRPr="00BF42B7">
        <w:rPr>
          <w:rFonts w:hint="eastAsia"/>
        </w:rPr>
        <w:tab/>
      </w:r>
      <w:r w:rsidRPr="00BF42B7">
        <w:rPr>
          <w:rFonts w:hint="eastAsia"/>
          <w:spacing w:val="-5"/>
        </w:rPr>
        <w:t>国家元首、政府首脑和外交部长对外国行使的刑事管辖享有属人豁免。</w:t>
      </w:r>
    </w:p>
    <w:p w:rsidR="00396D56" w:rsidRPr="00BF42B7" w:rsidRDefault="00396D56" w:rsidP="00396D56">
      <w:pPr>
        <w:pStyle w:val="H23GC"/>
        <w:ind w:left="1554"/>
        <w:rPr>
          <w:b/>
        </w:rPr>
      </w:pPr>
      <w:r w:rsidRPr="00BF42B7">
        <w:tab/>
      </w:r>
      <w:r w:rsidRPr="00BF42B7">
        <w:tab/>
      </w:r>
      <w:r w:rsidRPr="00BF42B7">
        <w:rPr>
          <w:rFonts w:hint="eastAsia"/>
        </w:rPr>
        <w:t>第</w:t>
      </w:r>
      <w:r w:rsidRPr="00BF42B7">
        <w:rPr>
          <w:rFonts w:hint="eastAsia"/>
        </w:rPr>
        <w:t>4</w:t>
      </w:r>
      <w:r w:rsidRPr="00BF42B7">
        <w:rPr>
          <w:rFonts w:hint="eastAsia"/>
        </w:rPr>
        <w:t>条</w:t>
      </w:r>
      <w:r w:rsidRPr="00BF42B7">
        <w:br/>
      </w:r>
      <w:r w:rsidRPr="00BF42B7">
        <w:rPr>
          <w:rFonts w:hint="eastAsia"/>
        </w:rPr>
        <w:t>属人豁免的范围</w:t>
      </w:r>
    </w:p>
    <w:p w:rsidR="00396D56" w:rsidRPr="00BF42B7" w:rsidRDefault="00396D56" w:rsidP="00396D56">
      <w:pPr>
        <w:pStyle w:val="SingleTxtGC"/>
        <w:ind w:left="1554"/>
      </w:pPr>
      <w:r w:rsidRPr="00BF42B7">
        <w:t>1.</w:t>
      </w:r>
      <w:r w:rsidR="00421513">
        <w:rPr>
          <w:rFonts w:hint="eastAsia"/>
        </w:rPr>
        <w:t xml:space="preserve">  </w:t>
      </w:r>
      <w:r w:rsidRPr="00BF42B7">
        <w:rPr>
          <w:rFonts w:hint="eastAsia"/>
        </w:rPr>
        <w:t>国家元首、政府首脑和外交部长仅在其任职期间享有属人豁免。</w:t>
      </w:r>
    </w:p>
    <w:p w:rsidR="00396D56" w:rsidRPr="00BF42B7" w:rsidRDefault="00396D56" w:rsidP="00396D56">
      <w:pPr>
        <w:pStyle w:val="SingleTxtGC"/>
        <w:ind w:left="1554"/>
      </w:pPr>
      <w:r w:rsidRPr="00BF42B7">
        <w:t>2.</w:t>
      </w:r>
      <w:r w:rsidR="00421513">
        <w:rPr>
          <w:rFonts w:hint="eastAsia"/>
        </w:rPr>
        <w:t xml:space="preserve">  </w:t>
      </w:r>
      <w:r w:rsidRPr="00BF42B7">
        <w:rPr>
          <w:rFonts w:hint="eastAsia"/>
        </w:rPr>
        <w:t>国家元首、政府首脑和外交部长享有的此种属人豁免涵盖他们在任职期间或任职之前的所有行为，无论是私人行为还是公务行为。</w:t>
      </w:r>
    </w:p>
    <w:p w:rsidR="00396D56" w:rsidRPr="00BF42B7" w:rsidRDefault="00396D56" w:rsidP="00396D56">
      <w:pPr>
        <w:pStyle w:val="SingleTxtGC"/>
        <w:ind w:left="1554"/>
      </w:pPr>
      <w:r w:rsidRPr="00BF42B7">
        <w:t>3.</w:t>
      </w:r>
      <w:r w:rsidR="00421513">
        <w:rPr>
          <w:rFonts w:hint="eastAsia"/>
        </w:rPr>
        <w:t xml:space="preserve">  </w:t>
      </w:r>
      <w:r w:rsidRPr="00BF42B7">
        <w:rPr>
          <w:rFonts w:hint="eastAsia"/>
        </w:rPr>
        <w:t>属人豁免的停止不妨碍关于属事豁免的国际法规则的适用。</w:t>
      </w:r>
    </w:p>
    <w:p w:rsidR="00396D56" w:rsidRPr="00BF42B7" w:rsidRDefault="00396D56" w:rsidP="00421513">
      <w:pPr>
        <w:pStyle w:val="H23GC"/>
        <w:ind w:left="1554"/>
        <w:rPr>
          <w:b/>
        </w:rPr>
      </w:pPr>
      <w:r w:rsidRPr="00BF42B7">
        <w:tab/>
      </w:r>
      <w:r w:rsidRPr="00BF42B7">
        <w:tab/>
      </w:r>
      <w:r w:rsidRPr="00BF42B7">
        <w:rPr>
          <w:rFonts w:hint="eastAsia"/>
        </w:rPr>
        <w:t>第三部分</w:t>
      </w:r>
      <w:r w:rsidRPr="00BF42B7">
        <w:rPr>
          <w:b/>
        </w:rPr>
        <w:br/>
      </w:r>
      <w:r w:rsidRPr="00BF42B7">
        <w:rPr>
          <w:rFonts w:hint="eastAsia"/>
        </w:rPr>
        <w:t>属事豁免</w:t>
      </w:r>
    </w:p>
    <w:p w:rsidR="00396D56" w:rsidRPr="00BF42B7" w:rsidRDefault="00396D56" w:rsidP="00396D56">
      <w:pPr>
        <w:pStyle w:val="H1GC"/>
        <w:ind w:left="1554"/>
        <w:rPr>
          <w:sz w:val="22"/>
          <w:szCs w:val="22"/>
        </w:rPr>
      </w:pPr>
      <w:r w:rsidRPr="00BF42B7">
        <w:tab/>
      </w:r>
      <w:r w:rsidRPr="00BF42B7">
        <w:tab/>
      </w:r>
      <w:r w:rsidRPr="00BF42B7">
        <w:rPr>
          <w:rFonts w:hint="eastAsia"/>
          <w:sz w:val="22"/>
          <w:szCs w:val="22"/>
        </w:rPr>
        <w:t>第</w:t>
      </w:r>
      <w:r w:rsidRPr="00BF42B7">
        <w:rPr>
          <w:rFonts w:hint="eastAsia"/>
          <w:sz w:val="22"/>
          <w:szCs w:val="22"/>
        </w:rPr>
        <w:t>5</w:t>
      </w:r>
      <w:r w:rsidRPr="00BF42B7">
        <w:rPr>
          <w:rFonts w:hint="eastAsia"/>
          <w:sz w:val="22"/>
          <w:szCs w:val="22"/>
        </w:rPr>
        <w:t>条</w:t>
      </w:r>
      <w:r w:rsidRPr="00BF42B7">
        <w:rPr>
          <w:sz w:val="22"/>
          <w:szCs w:val="22"/>
        </w:rPr>
        <w:br/>
      </w:r>
      <w:r w:rsidRPr="00BF42B7">
        <w:rPr>
          <w:rFonts w:hint="eastAsia"/>
          <w:sz w:val="22"/>
          <w:szCs w:val="22"/>
        </w:rPr>
        <w:t>享有属事豁免的人员</w:t>
      </w:r>
    </w:p>
    <w:p w:rsidR="00396D56" w:rsidRPr="00BF42B7" w:rsidRDefault="00396D56" w:rsidP="00396D56">
      <w:pPr>
        <w:pStyle w:val="SingleTxtGC"/>
        <w:ind w:left="1554"/>
        <w:rPr>
          <w:spacing w:val="-5"/>
        </w:rPr>
      </w:pPr>
      <w:r w:rsidRPr="00BF42B7">
        <w:tab/>
      </w:r>
      <w:r w:rsidRPr="00BF42B7">
        <w:rPr>
          <w:rFonts w:hint="eastAsia"/>
        </w:rPr>
        <w:tab/>
      </w:r>
      <w:r w:rsidRPr="00BF42B7">
        <w:rPr>
          <w:rFonts w:hint="eastAsia"/>
          <w:spacing w:val="-5"/>
        </w:rPr>
        <w:t>国家官员在以此种身份行事时，对外国行使的刑事管辖享有属事豁免。</w:t>
      </w:r>
    </w:p>
    <w:p w:rsidR="00396D56" w:rsidRPr="00BF42B7" w:rsidRDefault="00396D56" w:rsidP="00396D56">
      <w:pPr>
        <w:pStyle w:val="H23GC"/>
        <w:ind w:left="1554"/>
        <w:rPr>
          <w:b/>
        </w:rPr>
      </w:pPr>
      <w:r w:rsidRPr="00BF42B7">
        <w:tab/>
      </w:r>
      <w:r w:rsidRPr="00BF42B7">
        <w:tab/>
      </w:r>
      <w:r w:rsidRPr="00BF42B7">
        <w:rPr>
          <w:rFonts w:hint="eastAsia"/>
        </w:rPr>
        <w:t>第</w:t>
      </w:r>
      <w:r w:rsidRPr="00BF42B7">
        <w:rPr>
          <w:rFonts w:hint="eastAsia"/>
        </w:rPr>
        <w:t>6</w:t>
      </w:r>
      <w:r w:rsidRPr="00BF42B7">
        <w:rPr>
          <w:rFonts w:hint="eastAsia"/>
        </w:rPr>
        <w:t>条</w:t>
      </w:r>
      <w:r w:rsidRPr="00BF42B7">
        <w:rPr>
          <w:b/>
        </w:rPr>
        <w:br/>
      </w:r>
      <w:r w:rsidRPr="00BF42B7">
        <w:rPr>
          <w:rFonts w:hint="eastAsia"/>
        </w:rPr>
        <w:t>属事豁免的范围</w:t>
      </w:r>
    </w:p>
    <w:p w:rsidR="00396D56" w:rsidRPr="00BF42B7" w:rsidRDefault="00396D56" w:rsidP="00396D56">
      <w:pPr>
        <w:pStyle w:val="SingleTxtGC"/>
        <w:ind w:left="1554"/>
      </w:pPr>
      <w:r w:rsidRPr="00BF42B7">
        <w:t>1.</w:t>
      </w:r>
      <w:r w:rsidRPr="00BF42B7">
        <w:tab/>
      </w:r>
      <w:r w:rsidRPr="00BF42B7">
        <w:rPr>
          <w:rFonts w:hint="eastAsia"/>
        </w:rPr>
        <w:t>国家官员只有在以官方身份实施的行为方面享有属事豁免。</w:t>
      </w:r>
    </w:p>
    <w:p w:rsidR="00396D56" w:rsidRPr="00BF42B7" w:rsidRDefault="00396D56" w:rsidP="00396D56">
      <w:pPr>
        <w:pStyle w:val="SingleTxtGC"/>
        <w:ind w:left="1554"/>
      </w:pPr>
      <w:r w:rsidRPr="00BF42B7">
        <w:t>2.</w:t>
      </w:r>
      <w:r w:rsidRPr="00BF42B7">
        <w:tab/>
      </w:r>
      <w:r w:rsidRPr="00BF42B7">
        <w:rPr>
          <w:rFonts w:hint="eastAsia"/>
        </w:rPr>
        <w:t>对以官方身份实施的行为的属事豁免在所涉个人不再担任国家官员后继续存在。</w:t>
      </w:r>
    </w:p>
    <w:p w:rsidR="00396D56" w:rsidRPr="00BF42B7" w:rsidRDefault="00396D56" w:rsidP="00396D56">
      <w:pPr>
        <w:pStyle w:val="SingleTxtGC"/>
        <w:ind w:left="1554"/>
      </w:pPr>
      <w:r w:rsidRPr="00BF42B7">
        <w:t>3.</w:t>
      </w:r>
      <w:r w:rsidRPr="00BF42B7">
        <w:tab/>
      </w:r>
      <w:r w:rsidRPr="00BF42B7">
        <w:rPr>
          <w:rFonts w:hint="eastAsia"/>
        </w:rPr>
        <w:t>根据第</w:t>
      </w:r>
      <w:r w:rsidRPr="00BF42B7">
        <w:rPr>
          <w:rFonts w:hint="eastAsia"/>
        </w:rPr>
        <w:t>4</w:t>
      </w:r>
      <w:r w:rsidRPr="00BF42B7">
        <w:rPr>
          <w:rFonts w:hint="eastAsia"/>
        </w:rPr>
        <w:t>条草案享有属事豁免的个人在任期届满后继续就任期之内以官方身份实施的行为享有豁免。</w:t>
      </w:r>
    </w:p>
    <w:p w:rsidR="00396D56" w:rsidRPr="00BF42B7" w:rsidRDefault="00396D56" w:rsidP="00396D56">
      <w:pPr>
        <w:pStyle w:val="H23GC"/>
        <w:rPr>
          <w:b/>
        </w:rPr>
      </w:pPr>
      <w:r w:rsidRPr="003D448F">
        <w:rPr>
          <w:rFonts w:hint="eastAsia"/>
          <w:bCs/>
        </w:rPr>
        <w:tab/>
      </w:r>
      <w:r w:rsidRPr="003D448F">
        <w:rPr>
          <w:bCs/>
        </w:rPr>
        <w:t>2.</w:t>
      </w:r>
      <w:r w:rsidRPr="003D448F">
        <w:rPr>
          <w:bCs/>
        </w:rPr>
        <w:tab/>
      </w:r>
      <w:r w:rsidRPr="00BF42B7">
        <w:rPr>
          <w:rFonts w:hint="eastAsia"/>
        </w:rPr>
        <w:t>委员会第六十八届会议暂时通过的条款草案案文及其评注</w:t>
      </w:r>
    </w:p>
    <w:p w:rsidR="00396D56" w:rsidRPr="00BF42B7" w:rsidRDefault="00396D56" w:rsidP="00396D56">
      <w:pPr>
        <w:pStyle w:val="SingleTxtGC"/>
      </w:pPr>
      <w:r w:rsidRPr="00BF42B7">
        <w:rPr>
          <w:rFonts w:hint="eastAsia"/>
        </w:rPr>
        <w:t xml:space="preserve">250.  </w:t>
      </w:r>
      <w:r w:rsidRPr="00BF42B7">
        <w:rPr>
          <w:rFonts w:hint="eastAsia"/>
        </w:rPr>
        <w:t>委员会第六十八届会议暂时通过的条款草案案文及其评注载录如下。</w:t>
      </w:r>
      <w:r w:rsidRPr="00BF42B7">
        <w:tab/>
      </w:r>
    </w:p>
    <w:bookmarkEnd w:id="335"/>
    <w:p w:rsidR="00396D56" w:rsidRPr="00BF42B7" w:rsidRDefault="00396D56" w:rsidP="005D4032">
      <w:pPr>
        <w:pStyle w:val="H23GC"/>
        <w:ind w:left="1554"/>
      </w:pPr>
      <w:r w:rsidRPr="00BF42B7">
        <w:rPr>
          <w:rFonts w:hint="eastAsia"/>
        </w:rPr>
        <w:tab/>
      </w:r>
      <w:r w:rsidRPr="00BF42B7">
        <w:rPr>
          <w:rFonts w:hint="eastAsia"/>
        </w:rPr>
        <w:tab/>
      </w:r>
      <w:r w:rsidRPr="00BF42B7">
        <w:rPr>
          <w:rFonts w:hint="eastAsia"/>
        </w:rPr>
        <w:t>国家官员的外国刑事管辖豁免</w:t>
      </w:r>
    </w:p>
    <w:p w:rsidR="00396D56" w:rsidRPr="00BF42B7" w:rsidRDefault="00396D56" w:rsidP="00396D56">
      <w:pPr>
        <w:pStyle w:val="H23GC"/>
        <w:ind w:left="1554"/>
        <w:rPr>
          <w:lang w:val="en-GB"/>
        </w:rPr>
      </w:pPr>
      <w:r w:rsidRPr="00BF42B7">
        <w:rPr>
          <w:rFonts w:hint="eastAsia"/>
        </w:rPr>
        <w:tab/>
      </w:r>
      <w:r w:rsidRPr="00BF42B7">
        <w:rPr>
          <w:rFonts w:hint="eastAsia"/>
        </w:rPr>
        <w:tab/>
      </w:r>
      <w:r w:rsidRPr="00BF42B7">
        <w:rPr>
          <w:rFonts w:hint="eastAsia"/>
          <w:lang w:val="en-GB"/>
        </w:rPr>
        <w:t>第</w:t>
      </w:r>
      <w:r w:rsidRPr="00BF42B7">
        <w:rPr>
          <w:rFonts w:hint="eastAsia"/>
          <w:lang w:val="en-GB"/>
        </w:rPr>
        <w:t>2</w:t>
      </w:r>
      <w:r w:rsidRPr="00BF42B7">
        <w:rPr>
          <w:rFonts w:hint="eastAsia"/>
          <w:lang w:val="en-GB"/>
        </w:rPr>
        <w:t>条</w:t>
      </w:r>
      <w:r w:rsidRPr="00BF42B7">
        <w:rPr>
          <w:lang w:val="en-GB"/>
        </w:rPr>
        <w:br/>
      </w:r>
      <w:r w:rsidRPr="00BF42B7">
        <w:rPr>
          <w:rFonts w:hint="eastAsia"/>
          <w:lang w:val="en-GB"/>
        </w:rPr>
        <w:t>定义</w:t>
      </w:r>
    </w:p>
    <w:p w:rsidR="00396D56" w:rsidRPr="00BF42B7" w:rsidRDefault="00421513" w:rsidP="00421513">
      <w:pPr>
        <w:pStyle w:val="SingleTxtGC"/>
        <w:tabs>
          <w:tab w:val="clear" w:pos="431"/>
          <w:tab w:val="clear" w:pos="1134"/>
          <w:tab w:val="clear" w:pos="1565"/>
        </w:tabs>
        <w:ind w:left="1554"/>
        <w:rPr>
          <w:bCs/>
          <w:lang w:val="en-GB"/>
        </w:rPr>
      </w:pPr>
      <w:r>
        <w:rPr>
          <w:rFonts w:hint="eastAsia"/>
          <w:bCs/>
          <w:lang w:val="en-GB"/>
        </w:rPr>
        <w:tab/>
      </w:r>
      <w:r w:rsidR="00396D56" w:rsidRPr="00BF42B7">
        <w:rPr>
          <w:rFonts w:hint="eastAsia"/>
          <w:bCs/>
          <w:lang w:val="en-GB"/>
        </w:rPr>
        <w:t>为本条款草案的目的：</w:t>
      </w:r>
    </w:p>
    <w:p w:rsidR="00396D56" w:rsidRPr="00BF42B7" w:rsidRDefault="00396D56" w:rsidP="00421513">
      <w:pPr>
        <w:pStyle w:val="SingleTxtGC"/>
        <w:tabs>
          <w:tab w:val="clear" w:pos="431"/>
          <w:tab w:val="clear" w:pos="1134"/>
          <w:tab w:val="clear" w:pos="1565"/>
        </w:tabs>
        <w:ind w:left="1554"/>
        <w:rPr>
          <w:lang w:val="en-GB"/>
        </w:rPr>
      </w:pPr>
      <w:r w:rsidRPr="00BF42B7">
        <w:rPr>
          <w:lang w:val="en-GB"/>
        </w:rPr>
        <w:t>[</w:t>
      </w:r>
      <w:r w:rsidRPr="00BF42B7">
        <w:rPr>
          <w:rFonts w:hint="eastAsia"/>
          <w:lang w:val="en-GB"/>
        </w:rPr>
        <w:t>……</w:t>
      </w:r>
      <w:r w:rsidRPr="00BF42B7">
        <w:rPr>
          <w:lang w:val="en-GB"/>
        </w:rPr>
        <w:t>]</w:t>
      </w:r>
    </w:p>
    <w:p w:rsidR="00396D56" w:rsidRPr="00BF42B7" w:rsidRDefault="00396D56" w:rsidP="00421513">
      <w:pPr>
        <w:pStyle w:val="SingleTxtGC"/>
        <w:tabs>
          <w:tab w:val="clear" w:pos="431"/>
          <w:tab w:val="clear" w:pos="1134"/>
          <w:tab w:val="clear" w:pos="1565"/>
        </w:tabs>
        <w:ind w:left="1554"/>
        <w:rPr>
          <w:bCs/>
          <w:lang w:val="en-GB"/>
        </w:rPr>
      </w:pPr>
      <w:r w:rsidRPr="00BF42B7">
        <w:rPr>
          <w:rFonts w:hint="eastAsia"/>
          <w:lang w:val="en-GB"/>
        </w:rPr>
        <w:tab/>
      </w:r>
      <w:r w:rsidRPr="00BF42B7">
        <w:rPr>
          <w:lang w:val="en-GB"/>
        </w:rPr>
        <w:t>(f)</w:t>
      </w:r>
      <w:r w:rsidRPr="00BF42B7">
        <w:rPr>
          <w:rFonts w:hint="eastAsia"/>
          <w:lang w:val="es-ES_tradnl"/>
        </w:rPr>
        <w:t>“</w:t>
      </w:r>
      <w:r w:rsidRPr="00BF42B7">
        <w:rPr>
          <w:rFonts w:hint="eastAsia"/>
          <w:bCs/>
          <w:lang w:val="en-GB"/>
        </w:rPr>
        <w:t>以官方身份实施的行为”指国家官员在行使国家权力时实施的任何行为。</w:t>
      </w:r>
    </w:p>
    <w:p w:rsidR="00396D56" w:rsidRPr="00BF42B7" w:rsidRDefault="00396D56" w:rsidP="00396D56">
      <w:pPr>
        <w:pStyle w:val="H23GC"/>
        <w:rPr>
          <w:lang w:val="en-GB"/>
        </w:rPr>
      </w:pPr>
      <w:r w:rsidRPr="00BF42B7">
        <w:rPr>
          <w:rFonts w:hint="eastAsia"/>
          <w:lang w:val="en-GB"/>
        </w:rPr>
        <w:tab/>
      </w:r>
      <w:r w:rsidRPr="00BF42B7">
        <w:rPr>
          <w:rFonts w:hint="eastAsia"/>
          <w:lang w:val="en-GB"/>
        </w:rPr>
        <w:tab/>
      </w:r>
      <w:r w:rsidRPr="00BF42B7">
        <w:rPr>
          <w:rFonts w:hint="eastAsia"/>
          <w:lang w:val="en-GB"/>
        </w:rPr>
        <w:t>评注</w:t>
      </w:r>
    </w:p>
    <w:p w:rsidR="00396D56" w:rsidRPr="00BF42B7" w:rsidRDefault="00396D56" w:rsidP="00396D56">
      <w:pPr>
        <w:pStyle w:val="SingleTxtGC"/>
        <w:rPr>
          <w:lang w:val="en-GB"/>
        </w:rPr>
      </w:pPr>
      <w:r w:rsidRPr="00BF42B7">
        <w:rPr>
          <w:lang w:val="en-GB"/>
        </w:rPr>
        <w:t xml:space="preserve">(1)  </w:t>
      </w:r>
      <w:r w:rsidRPr="00BF42B7">
        <w:rPr>
          <w:rFonts w:hint="eastAsia"/>
          <w:lang w:val="en-GB"/>
        </w:rPr>
        <w:t>第</w:t>
      </w:r>
      <w:r w:rsidRPr="00BF42B7">
        <w:rPr>
          <w:rFonts w:hint="eastAsia"/>
          <w:lang w:val="en-GB"/>
        </w:rPr>
        <w:t>2</w:t>
      </w:r>
      <w:r w:rsidRPr="00BF42B7">
        <w:rPr>
          <w:rFonts w:hint="eastAsia"/>
          <w:lang w:val="en-GB"/>
        </w:rPr>
        <w:t>条草案</w:t>
      </w:r>
      <w:r w:rsidRPr="00BF42B7">
        <w:rPr>
          <w:rFonts w:hint="eastAsia"/>
          <w:lang w:val="en-GB"/>
        </w:rPr>
        <w:t>(f)</w:t>
      </w:r>
      <w:r w:rsidRPr="00BF42B7">
        <w:rPr>
          <w:rFonts w:hint="eastAsia"/>
          <w:lang w:val="en-GB"/>
        </w:rPr>
        <w:t>项为本条款草案的目的界定“以官方身份实施的行为”这一概念。虽然一些委员对是否需要这一条款表示怀疑，但委员会认为，因为“以官方身份实施的行为”这一概念是属事豁免机制的核心，所以应当在条款草案中纳入其定义。</w:t>
      </w:r>
    </w:p>
    <w:p w:rsidR="00396D56" w:rsidRPr="00BF42B7" w:rsidRDefault="00396D56" w:rsidP="00396D56">
      <w:pPr>
        <w:pStyle w:val="SingleTxtGC"/>
        <w:rPr>
          <w:lang w:val="en-GB"/>
        </w:rPr>
      </w:pPr>
      <w:r w:rsidRPr="00BF42B7">
        <w:rPr>
          <w:lang w:val="en-GB"/>
        </w:rPr>
        <w:t xml:space="preserve">(2)  </w:t>
      </w:r>
      <w:r w:rsidRPr="00BF42B7">
        <w:rPr>
          <w:rFonts w:hint="eastAsia"/>
          <w:lang w:val="en-GB"/>
        </w:rPr>
        <w:t>委员会在第</w:t>
      </w:r>
      <w:r w:rsidRPr="00BF42B7">
        <w:rPr>
          <w:rFonts w:hint="eastAsia"/>
          <w:lang w:val="en-GB"/>
        </w:rPr>
        <w:t>2</w:t>
      </w:r>
      <w:r w:rsidRPr="00BF42B7">
        <w:rPr>
          <w:rFonts w:hint="eastAsia"/>
          <w:lang w:val="en-GB"/>
        </w:rPr>
        <w:t>条草案</w:t>
      </w:r>
      <w:r w:rsidRPr="00BF42B7">
        <w:rPr>
          <w:rFonts w:hint="eastAsia"/>
          <w:lang w:val="en-GB"/>
        </w:rPr>
        <w:t>(f)</w:t>
      </w:r>
      <w:r w:rsidRPr="00BF42B7">
        <w:rPr>
          <w:rFonts w:hint="eastAsia"/>
          <w:lang w:val="en-GB"/>
        </w:rPr>
        <w:t>项所载定义中包括了一些要素，以便能够出于国家官员的外国刑事管辖豁免的目的，确定某项特定行为是“以官方身份实施的行为”。与此同时，委员会主要与以往就此专题开展的工作保持一致。例如，定义中“行为”一词的用法与第</w:t>
      </w:r>
      <w:r w:rsidRPr="00BF42B7">
        <w:rPr>
          <w:rFonts w:hint="eastAsia"/>
          <w:lang w:val="en-GB"/>
        </w:rPr>
        <w:t>4</w:t>
      </w:r>
      <w:r w:rsidRPr="00BF42B7">
        <w:rPr>
          <w:rFonts w:hint="eastAsia"/>
          <w:lang w:val="en-GB"/>
        </w:rPr>
        <w:t>条和第</w:t>
      </w:r>
      <w:r w:rsidRPr="00BF42B7">
        <w:rPr>
          <w:rFonts w:hint="eastAsia"/>
          <w:lang w:val="en-GB"/>
        </w:rPr>
        <w:t>6</w:t>
      </w:r>
      <w:r w:rsidRPr="00BF42B7">
        <w:rPr>
          <w:rFonts w:hint="eastAsia"/>
          <w:lang w:val="en-GB"/>
        </w:rPr>
        <w:t>条草案一致。正如当时所指出的，这个词曾被委员会用于表示行为和不作为，在国际刑法背景下，该词也被用于泛指个人的行为。</w:t>
      </w:r>
      <w:r w:rsidRPr="00BF42B7">
        <w:rPr>
          <w:color w:val="0000FF"/>
          <w:vertAlign w:val="superscript"/>
          <w:lang w:val="en-GB"/>
        </w:rPr>
        <w:footnoteReference w:id="1410"/>
      </w:r>
      <w:r w:rsidRPr="00BF42B7">
        <w:rPr>
          <w:vertAlign w:val="superscript"/>
          <w:lang w:val="en-GB"/>
        </w:rPr>
        <w:t xml:space="preserve"> </w:t>
      </w:r>
    </w:p>
    <w:p w:rsidR="00396D56" w:rsidRPr="00BF42B7" w:rsidRDefault="00396D56" w:rsidP="00396D56">
      <w:pPr>
        <w:pStyle w:val="SingleTxtGC"/>
        <w:rPr>
          <w:lang w:val="en-GB"/>
        </w:rPr>
      </w:pPr>
      <w:r w:rsidRPr="00BF42B7">
        <w:rPr>
          <w:lang w:val="en-GB"/>
        </w:rPr>
        <w:t xml:space="preserve">(3)  </w:t>
      </w:r>
      <w:r w:rsidRPr="00BF42B7">
        <w:rPr>
          <w:rFonts w:hint="eastAsia"/>
          <w:lang w:val="en-GB"/>
        </w:rPr>
        <w:t>委员会使用了“行使国家权力”的表述，以便体现出在行为和国家之间建立联系的需要。换句话说，该做法旨在强调，并非由国家官员实施的行为就足以被自动视为“以官方身份实施的行为”。在该行为和行使国家职能与权力之间还必须存在直接联系，因为这种联系是承认豁免的合理基础，以便保护国家主权平等原则。</w:t>
      </w:r>
    </w:p>
    <w:p w:rsidR="00396D56" w:rsidRPr="00BF42B7" w:rsidRDefault="00396D56" w:rsidP="00396D56">
      <w:pPr>
        <w:pStyle w:val="SingleTxtGC"/>
        <w:rPr>
          <w:lang w:val="en-GB"/>
        </w:rPr>
      </w:pPr>
      <w:r w:rsidRPr="00BF42B7">
        <w:rPr>
          <w:lang w:val="en-GB"/>
        </w:rPr>
        <w:t xml:space="preserve">(4)  </w:t>
      </w:r>
      <w:r w:rsidRPr="00BF42B7">
        <w:rPr>
          <w:rFonts w:hint="eastAsia"/>
          <w:lang w:val="en-GB"/>
        </w:rPr>
        <w:t>在这方面，委员会认为，为了确定一项行为具备“以官方身份实施的行为”的特征，该行为首先应归于国家。但是，这不一定意味着只有国家可对此</w:t>
      </w:r>
      <w:r w:rsidRPr="00BF42B7">
        <w:rPr>
          <w:rFonts w:hint="eastAsia"/>
          <w:spacing w:val="4"/>
          <w:lang w:val="en-GB"/>
        </w:rPr>
        <w:t>行为负责。根据委员会在</w:t>
      </w:r>
      <w:r w:rsidRPr="00BF42B7">
        <w:rPr>
          <w:rFonts w:hint="eastAsia"/>
          <w:spacing w:val="4"/>
          <w:lang w:val="en-GB"/>
        </w:rPr>
        <w:t>1996</w:t>
      </w:r>
      <w:r w:rsidRPr="00BF42B7">
        <w:rPr>
          <w:rFonts w:hint="eastAsia"/>
          <w:spacing w:val="4"/>
          <w:lang w:val="en-GB"/>
        </w:rPr>
        <w:t>年“</w:t>
      </w:r>
      <w:r w:rsidRPr="00BF42B7">
        <w:rPr>
          <w:spacing w:val="4"/>
          <w:lang w:val="en-GB"/>
        </w:rPr>
        <w:t>危害人</w:t>
      </w:r>
      <w:r w:rsidRPr="00BF42B7">
        <w:rPr>
          <w:rFonts w:hint="eastAsia"/>
          <w:spacing w:val="4"/>
          <w:lang w:val="en-GB"/>
        </w:rPr>
        <w:t>类和平及安全治罪法草案”</w:t>
      </w:r>
      <w:r w:rsidRPr="00BF42B7">
        <w:rPr>
          <w:rFonts w:hint="eastAsia"/>
          <w:spacing w:val="4"/>
          <w:lang w:val="en-GB"/>
        </w:rPr>
        <w:t>(</w:t>
      </w:r>
      <w:r w:rsidRPr="00BF42B7">
        <w:rPr>
          <w:rFonts w:hint="eastAsia"/>
          <w:spacing w:val="4"/>
          <w:lang w:val="en-GB"/>
        </w:rPr>
        <w:t>第</w:t>
      </w:r>
      <w:r w:rsidRPr="00BF42B7">
        <w:rPr>
          <w:rFonts w:hint="eastAsia"/>
          <w:spacing w:val="4"/>
          <w:lang w:val="en-GB"/>
        </w:rPr>
        <w:t>4</w:t>
      </w:r>
      <w:r w:rsidRPr="00BF42B7">
        <w:rPr>
          <w:rFonts w:hint="eastAsia"/>
          <w:spacing w:val="4"/>
          <w:lang w:val="en-GB"/>
        </w:rPr>
        <w:t>条</w:t>
      </w:r>
      <w:r w:rsidRPr="00BF42B7">
        <w:rPr>
          <w:rFonts w:hint="eastAsia"/>
          <w:spacing w:val="4"/>
          <w:lang w:val="en-GB"/>
        </w:rPr>
        <w:t>)</w:t>
      </w:r>
      <w:r w:rsidRPr="00BF42B7">
        <w:rPr>
          <w:rFonts w:hint="eastAsia"/>
          <w:spacing w:val="4"/>
          <w:lang w:val="es-ES_tradnl"/>
        </w:rPr>
        <w:t>、</w:t>
      </w:r>
      <w:r w:rsidRPr="00BF42B7">
        <w:rPr>
          <w:color w:val="0000FF"/>
          <w:spacing w:val="4"/>
          <w:vertAlign w:val="superscript"/>
          <w:lang w:val="en-GB"/>
        </w:rPr>
        <w:footnoteReference w:id="1411"/>
      </w:r>
      <w:r w:rsidRPr="00BF42B7">
        <w:rPr>
          <w:vertAlign w:val="superscript"/>
          <w:lang w:val="en-GB"/>
        </w:rPr>
        <w:t xml:space="preserve"> </w:t>
      </w:r>
      <w:r w:rsidRPr="00BF42B7">
        <w:rPr>
          <w:rFonts w:hint="eastAsia"/>
          <w:lang w:val="en-GB"/>
        </w:rPr>
        <w:t>“关于国家对国际不法行为的责任条款”</w:t>
      </w:r>
      <w:r w:rsidRPr="00BF42B7">
        <w:rPr>
          <w:rFonts w:hint="eastAsia"/>
          <w:lang w:val="en-GB"/>
        </w:rPr>
        <w:t>(</w:t>
      </w:r>
      <w:r w:rsidRPr="00BF42B7">
        <w:rPr>
          <w:rFonts w:hint="eastAsia"/>
          <w:lang w:val="en-GB"/>
        </w:rPr>
        <w:t>第</w:t>
      </w:r>
      <w:r w:rsidRPr="00BF42B7">
        <w:rPr>
          <w:rFonts w:hint="eastAsia"/>
          <w:lang w:val="en-GB"/>
        </w:rPr>
        <w:t>58</w:t>
      </w:r>
      <w:r w:rsidRPr="00BF42B7">
        <w:rPr>
          <w:rFonts w:hint="eastAsia"/>
          <w:lang w:val="en-GB"/>
        </w:rPr>
        <w:t>条</w:t>
      </w:r>
      <w:r w:rsidRPr="00BF42B7">
        <w:rPr>
          <w:rFonts w:hint="eastAsia"/>
          <w:lang w:val="en-GB"/>
        </w:rPr>
        <w:t>)</w:t>
      </w:r>
      <w:r w:rsidRPr="00BF42B7">
        <w:rPr>
          <w:color w:val="0000FF"/>
          <w:vertAlign w:val="superscript"/>
          <w:lang w:val="en-GB"/>
        </w:rPr>
        <w:footnoteReference w:id="1412"/>
      </w:r>
      <w:r w:rsidRPr="00BF42B7">
        <w:rPr>
          <w:vertAlign w:val="superscript"/>
          <w:lang w:val="en-GB"/>
        </w:rPr>
        <w:t xml:space="preserve"> </w:t>
      </w:r>
      <w:r w:rsidRPr="00BF42B7">
        <w:rPr>
          <w:rFonts w:hint="eastAsia"/>
          <w:lang w:val="es-ES_tradnl"/>
        </w:rPr>
        <w:t>以及“关于国际组织的责任条款”</w:t>
      </w:r>
      <w:r w:rsidRPr="00BF42B7">
        <w:rPr>
          <w:rFonts w:hint="eastAsia"/>
          <w:lang w:val="es-ES_tradnl"/>
        </w:rPr>
        <w:t>(</w:t>
      </w:r>
      <w:r w:rsidRPr="00BF42B7">
        <w:rPr>
          <w:rFonts w:hint="eastAsia"/>
          <w:lang w:val="es-ES_tradnl"/>
        </w:rPr>
        <w:t>第</w:t>
      </w:r>
      <w:r w:rsidRPr="00BF42B7">
        <w:rPr>
          <w:rFonts w:hint="eastAsia"/>
          <w:lang w:val="es-ES_tradnl"/>
        </w:rPr>
        <w:t>66</w:t>
      </w:r>
      <w:r w:rsidRPr="00BF42B7">
        <w:rPr>
          <w:rFonts w:hint="eastAsia"/>
          <w:lang w:val="es-ES_tradnl"/>
        </w:rPr>
        <w:t>条</w:t>
      </w:r>
      <w:r w:rsidRPr="00BF42B7">
        <w:rPr>
          <w:rFonts w:hint="eastAsia"/>
          <w:lang w:val="es-ES_tradnl"/>
        </w:rPr>
        <w:t>)</w:t>
      </w:r>
      <w:r w:rsidRPr="00BF42B7">
        <w:rPr>
          <w:color w:val="0000FF"/>
          <w:vertAlign w:val="superscript"/>
          <w:lang w:val="en-GB"/>
        </w:rPr>
        <w:footnoteReference w:id="1413"/>
      </w:r>
      <w:r w:rsidRPr="00BF42B7">
        <w:rPr>
          <w:vertAlign w:val="superscript"/>
          <w:lang w:val="en-GB"/>
        </w:rPr>
        <w:t xml:space="preserve"> </w:t>
      </w:r>
      <w:r w:rsidRPr="00BF42B7">
        <w:rPr>
          <w:rFonts w:hint="eastAsia"/>
          <w:lang w:val="es-ES_tradnl"/>
        </w:rPr>
        <w:t>中使用的“单一行为，双重责任”模式</w:t>
      </w:r>
      <w:r w:rsidRPr="00BF42B7">
        <w:rPr>
          <w:rFonts w:hint="eastAsia"/>
          <w:lang w:val="es-ES_tradnl"/>
        </w:rPr>
        <w:t>(</w:t>
      </w:r>
      <w:r w:rsidRPr="00BF42B7">
        <w:rPr>
          <w:rFonts w:hint="eastAsia"/>
          <w:lang w:val="es-ES_tradnl"/>
        </w:rPr>
        <w:t>双重归属</w:t>
      </w:r>
      <w:r w:rsidRPr="00BF42B7">
        <w:rPr>
          <w:rFonts w:hint="eastAsia"/>
          <w:lang w:val="es-ES_tradnl"/>
        </w:rPr>
        <w:t>)</w:t>
      </w:r>
      <w:r w:rsidRPr="00BF42B7">
        <w:rPr>
          <w:rFonts w:hint="eastAsia"/>
          <w:lang w:val="es-ES_tradnl"/>
        </w:rPr>
        <w:t>，</w:t>
      </w:r>
      <w:r w:rsidRPr="00BF42B7">
        <w:rPr>
          <w:rFonts w:hint="eastAsia"/>
          <w:lang w:val="en-GB"/>
        </w:rPr>
        <w:t>将行为归于国家是确定一项行为具备“以官方身份实施的行为”的特征的先决条件，但这并不妨碍该行为也可归于个人。根据上述模式，一项单独的行为可能同时涉及国家责任和行为人的个人责任，特别是在刑事事件中。</w:t>
      </w:r>
    </w:p>
    <w:p w:rsidR="00396D56" w:rsidRPr="00BF42B7" w:rsidRDefault="00396D56" w:rsidP="00396D56">
      <w:pPr>
        <w:pStyle w:val="SingleTxtGC"/>
        <w:rPr>
          <w:lang w:val="en-GB"/>
        </w:rPr>
      </w:pPr>
      <w:r w:rsidRPr="00BF42B7">
        <w:rPr>
          <w:lang w:val="en-GB"/>
        </w:rPr>
        <w:t xml:space="preserve">(5)  </w:t>
      </w:r>
      <w:r w:rsidRPr="00BF42B7">
        <w:rPr>
          <w:rFonts w:hint="eastAsia"/>
          <w:lang w:val="en-GB"/>
        </w:rPr>
        <w:t>出于将一项行为归于国家的目的，作为出发点，有必要考虑委员会在第五十三届会议上通过的关于国家对国际不法行为的责任条款所载规则。</w:t>
      </w:r>
      <w:r w:rsidRPr="00BF42B7">
        <w:rPr>
          <w:rFonts w:hint="eastAsia"/>
          <w:lang w:val="es-ES_tradnl"/>
        </w:rPr>
        <w:t>然而，必须铭记，委员会是在国家责任范围内并为国家责任之目的而确立了这些规则，其最终目标是为了对尽可能广泛的责任情况作出规定，以确保仅仅援引没有直接联系的第三方行为的国家无法因此以欺诈方式逃避自身责任。因此，对在国家官员的外国刑事管辖豁免背景下将某行为归于国家官员的进程适用这些规则时应进行仔细审查。出于豁免目的，关于国家对国际不法行为的责任条款中第</w:t>
      </w:r>
      <w:r w:rsidRPr="00BF42B7">
        <w:rPr>
          <w:rFonts w:hint="eastAsia"/>
          <w:lang w:val="es-ES_tradnl"/>
        </w:rPr>
        <w:t>7</w:t>
      </w:r>
      <w:r w:rsidRPr="00BF42B7">
        <w:rPr>
          <w:rFonts w:hint="eastAsia"/>
          <w:lang w:val="es-ES_tradnl"/>
        </w:rPr>
        <w:t>、</w:t>
      </w:r>
      <w:r w:rsidRPr="00BF42B7">
        <w:rPr>
          <w:rFonts w:hint="eastAsia"/>
          <w:lang w:val="es-ES_tradnl"/>
        </w:rPr>
        <w:t>8</w:t>
      </w:r>
      <w:r w:rsidRPr="00BF42B7">
        <w:rPr>
          <w:rFonts w:hint="eastAsia"/>
          <w:lang w:val="es-ES_tradnl"/>
        </w:rPr>
        <w:t>、</w:t>
      </w:r>
      <w:r w:rsidRPr="00BF42B7">
        <w:rPr>
          <w:rFonts w:hint="eastAsia"/>
          <w:lang w:val="es-ES_tradnl"/>
        </w:rPr>
        <w:t>9</w:t>
      </w:r>
      <w:r w:rsidRPr="00BF42B7">
        <w:rPr>
          <w:rFonts w:hint="eastAsia"/>
          <w:lang w:val="es-ES_tradnl"/>
        </w:rPr>
        <w:t>、</w:t>
      </w:r>
      <w:r w:rsidRPr="00BF42B7">
        <w:rPr>
          <w:rFonts w:hint="eastAsia"/>
          <w:lang w:val="es-ES_tradnl"/>
        </w:rPr>
        <w:t>10</w:t>
      </w:r>
      <w:r w:rsidRPr="00BF42B7">
        <w:rPr>
          <w:rFonts w:hint="eastAsia"/>
          <w:lang w:val="es-ES_tradnl"/>
        </w:rPr>
        <w:t>和第</w:t>
      </w:r>
      <w:r w:rsidRPr="00BF42B7">
        <w:rPr>
          <w:rFonts w:hint="eastAsia"/>
          <w:lang w:val="es-ES_tradnl"/>
        </w:rPr>
        <w:t>11</w:t>
      </w:r>
      <w:r w:rsidRPr="00BF42B7">
        <w:rPr>
          <w:rFonts w:hint="eastAsia"/>
          <w:lang w:val="es-ES_tradnl"/>
        </w:rPr>
        <w:t>条规定的责任标准似乎并不普遍适用。具体而言，委员会认为，作为一项规则，官员纯粹为了自己的好处和利益实施的行为不能被视为以官方身份实施的行为，即便这些行为也许看起来是以正式身份实施的。在这种情况下，国家不可能发现任何自身利益，承认豁免没有合理理由，因为承认豁免的最终目标是为了保护国家主权平等原则。</w:t>
      </w:r>
      <w:bookmarkStart w:id="340" w:name="_Ref461978340"/>
      <w:r w:rsidRPr="00BF42B7">
        <w:rPr>
          <w:color w:val="0000FF"/>
          <w:vertAlign w:val="superscript"/>
          <w:lang w:val="en-GB"/>
        </w:rPr>
        <w:footnoteReference w:id="1414"/>
      </w:r>
      <w:bookmarkEnd w:id="340"/>
      <w:r w:rsidRPr="00BF42B7">
        <w:rPr>
          <w:rFonts w:hint="eastAsia"/>
          <w:lang w:val="es-ES_tradnl"/>
        </w:rPr>
        <w:t xml:space="preserve"> </w:t>
      </w:r>
      <w:r w:rsidRPr="00BF42B7">
        <w:rPr>
          <w:rFonts w:hint="eastAsia"/>
          <w:lang w:val="es-ES_tradnl"/>
        </w:rPr>
        <w:t>但这并不意味着非法行为不能享有属事豁免。若干法院认为，非法行为不受豁免，仅仅是因为这种行为是非法的，</w:t>
      </w:r>
      <w:bookmarkStart w:id="341" w:name="_Ref461978346"/>
      <w:r w:rsidRPr="00BF42B7">
        <w:rPr>
          <w:color w:val="0000FF"/>
          <w:vertAlign w:val="superscript"/>
          <w:lang w:val="en-GB"/>
        </w:rPr>
        <w:footnoteReference w:id="1415"/>
      </w:r>
      <w:bookmarkEnd w:id="341"/>
      <w:r w:rsidRPr="00BF42B7">
        <w:rPr>
          <w:vertAlign w:val="superscript"/>
          <w:lang w:val="en-GB"/>
        </w:rPr>
        <w:t xml:space="preserve"> </w:t>
      </w:r>
      <w:r w:rsidRPr="00BF42B7">
        <w:rPr>
          <w:rFonts w:hint="eastAsia"/>
          <w:lang w:val="es-ES_tradnl"/>
        </w:rPr>
        <w:t>甚至在所涉行为违反国际法的案件中也是如此。</w:t>
      </w:r>
      <w:bookmarkStart w:id="342" w:name="_Ref457292998"/>
      <w:r w:rsidRPr="00BF42B7">
        <w:rPr>
          <w:color w:val="0000FF"/>
          <w:vertAlign w:val="superscript"/>
          <w:lang w:val="en-GB"/>
        </w:rPr>
        <w:footnoteReference w:id="1416"/>
      </w:r>
      <w:bookmarkEnd w:id="342"/>
      <w:r w:rsidRPr="00BF42B7">
        <w:rPr>
          <w:vertAlign w:val="superscript"/>
          <w:lang w:val="en-GB"/>
        </w:rPr>
        <w:t xml:space="preserve"> </w:t>
      </w:r>
      <w:r w:rsidRPr="00BF42B7">
        <w:rPr>
          <w:rFonts w:hint="eastAsia"/>
          <w:lang w:val="es-ES_tradnl"/>
        </w:rPr>
        <w:t>越权行为能否为了外国刑事管辖豁免目的被视为官方行为，这一问题稍后将与豁免的限制和例外一起讨论。</w:t>
      </w:r>
    </w:p>
    <w:p w:rsidR="00396D56" w:rsidRPr="00BF42B7" w:rsidRDefault="00396D56" w:rsidP="00396D56">
      <w:pPr>
        <w:pStyle w:val="SingleTxtGC"/>
        <w:rPr>
          <w:lang w:val="en-GB"/>
        </w:rPr>
      </w:pPr>
      <w:r w:rsidRPr="00BF42B7">
        <w:rPr>
          <w:lang w:val="en-GB"/>
        </w:rPr>
        <w:t xml:space="preserve">(6)  </w:t>
      </w:r>
      <w:r w:rsidRPr="00BF42B7">
        <w:rPr>
          <w:rFonts w:hint="eastAsia"/>
          <w:lang w:val="en-GB"/>
        </w:rPr>
        <w:t>为了确定一项行为具备“以官方身份实施的行为”的特征，在行为和国家之间就必须有一种特殊联系。第</w:t>
      </w:r>
      <w:r w:rsidRPr="00BF42B7">
        <w:rPr>
          <w:rFonts w:hint="eastAsia"/>
          <w:lang w:val="en-GB"/>
        </w:rPr>
        <w:t>2</w:t>
      </w:r>
      <w:r w:rsidRPr="00BF42B7">
        <w:rPr>
          <w:rFonts w:hint="eastAsia"/>
          <w:lang w:val="en-GB"/>
        </w:rPr>
        <w:t>条草案</w:t>
      </w:r>
      <w:r w:rsidRPr="00BF42B7">
        <w:rPr>
          <w:rFonts w:hint="eastAsia"/>
          <w:lang w:val="en-GB"/>
        </w:rPr>
        <w:t>(f)</w:t>
      </w:r>
      <w:r w:rsidRPr="00BF42B7">
        <w:rPr>
          <w:rFonts w:hint="eastAsia"/>
          <w:lang w:val="en-GB"/>
        </w:rPr>
        <w:t>项使用“国家权力”的措辞对这一联系作了界定，委员会认为该措辞足够宽泛，可泛指国家官员为行使其职能和从国家利益出发实施的行为，因此可将其理解为包含了第</w:t>
      </w:r>
      <w:r w:rsidRPr="00BF42B7">
        <w:rPr>
          <w:rFonts w:hint="eastAsia"/>
          <w:lang w:val="en-GB"/>
        </w:rPr>
        <w:t>2</w:t>
      </w:r>
      <w:r w:rsidRPr="00BF42B7">
        <w:rPr>
          <w:rFonts w:hint="eastAsia"/>
          <w:lang w:val="en-GB"/>
        </w:rPr>
        <w:t>条草案</w:t>
      </w:r>
      <w:r w:rsidRPr="00BF42B7">
        <w:rPr>
          <w:rFonts w:hint="eastAsia"/>
          <w:lang w:val="en-GB"/>
        </w:rPr>
        <w:t>(e)</w:t>
      </w:r>
      <w:r w:rsidRPr="00BF42B7">
        <w:rPr>
          <w:rFonts w:hint="eastAsia"/>
          <w:lang w:val="en-GB"/>
        </w:rPr>
        <w:t>项中规定的职能，其中提及“代表国家或行使国家职能”的任何个人。</w:t>
      </w:r>
      <w:r w:rsidRPr="00BF42B7">
        <w:rPr>
          <w:color w:val="0000FF"/>
          <w:vertAlign w:val="superscript"/>
          <w:lang w:val="en-GB"/>
        </w:rPr>
        <w:footnoteReference w:id="1417"/>
      </w:r>
      <w:r w:rsidRPr="00BF42B7">
        <w:rPr>
          <w:vertAlign w:val="superscript"/>
          <w:lang w:val="en-GB"/>
        </w:rPr>
        <w:t xml:space="preserve"> </w:t>
      </w:r>
    </w:p>
    <w:p w:rsidR="00396D56" w:rsidRPr="00BF42B7" w:rsidRDefault="00396D56" w:rsidP="00396D56">
      <w:pPr>
        <w:pStyle w:val="SingleTxtGC"/>
        <w:rPr>
          <w:lang w:val="en-GB"/>
        </w:rPr>
      </w:pPr>
      <w:r w:rsidRPr="00BF42B7">
        <w:rPr>
          <w:lang w:val="en-GB"/>
        </w:rPr>
        <w:t xml:space="preserve">(7)  </w:t>
      </w:r>
      <w:r w:rsidRPr="00BF42B7">
        <w:rPr>
          <w:rFonts w:hint="eastAsia"/>
          <w:lang w:val="en-GB"/>
        </w:rPr>
        <w:t>与开始提出的措辞</w:t>
      </w:r>
      <w:r w:rsidRPr="00BF42B7">
        <w:rPr>
          <w:rFonts w:hint="eastAsia"/>
          <w:lang w:val="en-GB"/>
        </w:rPr>
        <w:t>(</w:t>
      </w:r>
      <w:r w:rsidRPr="00BF42B7">
        <w:rPr>
          <w:rFonts w:hint="eastAsia"/>
          <w:lang w:val="en-GB"/>
        </w:rPr>
        <w:t>“行使政府权力要素”</w:t>
      </w:r>
      <w:r w:rsidRPr="00BF42B7">
        <w:rPr>
          <w:rFonts w:hint="eastAsia"/>
          <w:lang w:val="en-GB"/>
        </w:rPr>
        <w:t>)</w:t>
      </w:r>
      <w:r w:rsidRPr="00BF42B7">
        <w:rPr>
          <w:rFonts w:hint="eastAsia"/>
          <w:lang w:val="en-GB"/>
        </w:rPr>
        <w:t>以及委员会后来讨论的另一些措辞，特别是与“政府权力”和“主权权力”相比，上述措辞被认为更加可取。虽然所有这些措辞都同样体现出在行为和国家之间必须存在一种特殊联系的要求，但存在一个问题，即它们可能被解释为特指某一种国家活动</w:t>
      </w:r>
      <w:r w:rsidRPr="00BF42B7">
        <w:rPr>
          <w:rFonts w:hint="eastAsia"/>
          <w:lang w:val="en-GB"/>
        </w:rPr>
        <w:t>(</w:t>
      </w:r>
      <w:r w:rsidRPr="00BF42B7">
        <w:rPr>
          <w:rFonts w:hint="eastAsia"/>
          <w:lang w:val="en-GB"/>
        </w:rPr>
        <w:t>政府或行政活动</w:t>
      </w:r>
      <w:r w:rsidRPr="00BF42B7">
        <w:rPr>
          <w:rFonts w:hint="eastAsia"/>
          <w:lang w:val="en-GB"/>
        </w:rPr>
        <w:t>)</w:t>
      </w:r>
      <w:r w:rsidRPr="00BF42B7">
        <w:rPr>
          <w:rFonts w:hint="eastAsia"/>
          <w:lang w:val="en-GB"/>
        </w:rPr>
        <w:t>，或导致必须对政府权力要素或主权进行界定的问题，该工作的难度极大，而且不被视为委员会任务的组成部分。此外，为了明确区分第</w:t>
      </w:r>
      <w:r w:rsidRPr="00BF42B7">
        <w:rPr>
          <w:rFonts w:hint="eastAsia"/>
          <w:lang w:val="en-GB"/>
        </w:rPr>
        <w:t>2</w:t>
      </w:r>
      <w:r w:rsidRPr="00BF42B7">
        <w:rPr>
          <w:rFonts w:hint="eastAsia"/>
          <w:lang w:val="en-GB"/>
        </w:rPr>
        <w:t>条草案</w:t>
      </w:r>
      <w:r w:rsidRPr="00BF42B7">
        <w:rPr>
          <w:rFonts w:hint="eastAsia"/>
          <w:lang w:val="en-GB"/>
        </w:rPr>
        <w:t>(e)</w:t>
      </w:r>
      <w:r w:rsidRPr="00BF42B7">
        <w:rPr>
          <w:rFonts w:hint="eastAsia"/>
          <w:lang w:val="en-GB"/>
        </w:rPr>
        <w:t>项和</w:t>
      </w:r>
      <w:r w:rsidRPr="00BF42B7">
        <w:rPr>
          <w:rFonts w:hint="eastAsia"/>
          <w:lang w:val="en-GB"/>
        </w:rPr>
        <w:t>(f)</w:t>
      </w:r>
      <w:r w:rsidRPr="00BF42B7">
        <w:rPr>
          <w:rFonts w:hint="eastAsia"/>
          <w:lang w:val="en-GB"/>
        </w:rPr>
        <w:t>项提出的定义，不使用</w:t>
      </w:r>
      <w:r w:rsidRPr="00BF42B7">
        <w:rPr>
          <w:rFonts w:hint="eastAsia"/>
          <w:lang w:val="en-GB"/>
        </w:rPr>
        <w:t>(e)</w:t>
      </w:r>
      <w:r w:rsidRPr="00BF42B7">
        <w:rPr>
          <w:rFonts w:hint="eastAsia"/>
          <w:lang w:val="en-GB"/>
        </w:rPr>
        <w:t>项中使用的“国家职能”这一表述被认为更加适当。在这方面，应当回顾，第</w:t>
      </w:r>
      <w:r w:rsidRPr="00BF42B7">
        <w:rPr>
          <w:rFonts w:hint="eastAsia"/>
          <w:lang w:val="en-GB"/>
        </w:rPr>
        <w:t>2</w:t>
      </w:r>
      <w:r w:rsidRPr="00BF42B7">
        <w:rPr>
          <w:rFonts w:hint="eastAsia"/>
          <w:lang w:val="en-GB"/>
        </w:rPr>
        <w:t>条草案</w:t>
      </w:r>
      <w:r w:rsidRPr="00BF42B7">
        <w:rPr>
          <w:rFonts w:hint="eastAsia"/>
          <w:lang w:val="en-GB"/>
        </w:rPr>
        <w:t>(e)</w:t>
      </w:r>
      <w:r w:rsidRPr="00BF42B7">
        <w:rPr>
          <w:rFonts w:hint="eastAsia"/>
          <w:lang w:val="en-GB"/>
        </w:rPr>
        <w:t>项将“国家职能”的表述及“代表国家”作为一个中性词，用于界定官员和国家之间的联系，但没有对豁免包括的行为种类作任何判断。</w:t>
      </w:r>
      <w:r w:rsidRPr="00BF42B7">
        <w:rPr>
          <w:color w:val="0000FF"/>
          <w:vertAlign w:val="superscript"/>
          <w:lang w:val="en-GB"/>
        </w:rPr>
        <w:footnoteReference w:id="1418"/>
      </w:r>
      <w:r w:rsidRPr="00BF42B7">
        <w:rPr>
          <w:vertAlign w:val="superscript"/>
          <w:lang w:val="en-GB"/>
        </w:rPr>
        <w:t xml:space="preserve"> </w:t>
      </w:r>
      <w:r w:rsidRPr="00BF42B7">
        <w:rPr>
          <w:rFonts w:hint="eastAsia"/>
          <w:lang w:val="en-GB"/>
        </w:rPr>
        <w:t>使用“权力”而非“职能”一词，还有利于避免有关国际犯罪是否是“国家职能”的辩论。但是，有一名委员认为，使用“国家职能”的表述更为贴切。</w:t>
      </w:r>
    </w:p>
    <w:p w:rsidR="00396D56" w:rsidRPr="00BF42B7" w:rsidRDefault="00396D56" w:rsidP="00396D56">
      <w:pPr>
        <w:pStyle w:val="SingleTxtGC"/>
        <w:rPr>
          <w:lang w:val="en-GB"/>
        </w:rPr>
      </w:pPr>
      <w:r w:rsidRPr="00BF42B7">
        <w:rPr>
          <w:lang w:val="en-GB"/>
        </w:rPr>
        <w:t xml:space="preserve">(8)  </w:t>
      </w:r>
      <w:r w:rsidRPr="00BF42B7">
        <w:rPr>
          <w:rFonts w:hint="eastAsia"/>
          <w:lang w:val="en-GB"/>
        </w:rPr>
        <w:t>委员会认为，在“以官方身份实施的行为”的定义中纳入所涉行为必须具有刑事性质是不适当的。这样做意在避免可能在定义上将以官方身份实施的任何行为视为刑事行为的解释。无论如何，“以官方身份实施的行为”的概念必须结合专门讨论国家官员的外国刑事管辖豁免的本条款草案来理解。</w:t>
      </w:r>
    </w:p>
    <w:p w:rsidR="00396D56" w:rsidRPr="00BF42B7" w:rsidRDefault="00396D56" w:rsidP="00396D56">
      <w:pPr>
        <w:pStyle w:val="SingleTxtGC"/>
        <w:rPr>
          <w:lang w:val="en-GB"/>
        </w:rPr>
      </w:pPr>
      <w:r w:rsidRPr="00BF42B7">
        <w:rPr>
          <w:lang w:val="en-GB"/>
        </w:rPr>
        <w:t>(</w:t>
      </w:r>
      <w:r w:rsidRPr="00BF42B7">
        <w:rPr>
          <w:rFonts w:hint="eastAsia"/>
          <w:lang w:val="en-GB"/>
        </w:rPr>
        <w:t>9</w:t>
      </w:r>
      <w:r w:rsidRPr="00BF42B7">
        <w:rPr>
          <w:lang w:val="en-GB"/>
        </w:rPr>
        <w:t xml:space="preserve">)  </w:t>
      </w:r>
      <w:r w:rsidRPr="00BF42B7">
        <w:rPr>
          <w:rFonts w:hint="eastAsia"/>
          <w:lang w:val="en-GB"/>
        </w:rPr>
        <w:t>最后，虽然第</w:t>
      </w:r>
      <w:r w:rsidRPr="00BF42B7">
        <w:rPr>
          <w:rFonts w:hint="eastAsia"/>
          <w:lang w:val="en-GB"/>
        </w:rPr>
        <w:t>2</w:t>
      </w:r>
      <w:r w:rsidRPr="00BF42B7">
        <w:rPr>
          <w:rFonts w:hint="eastAsia"/>
          <w:lang w:val="en-GB"/>
        </w:rPr>
        <w:t>条草案</w:t>
      </w:r>
      <w:r w:rsidRPr="00BF42B7">
        <w:rPr>
          <w:rFonts w:hint="eastAsia"/>
          <w:lang w:val="en-GB"/>
        </w:rPr>
        <w:t>(f)</w:t>
      </w:r>
      <w:r w:rsidRPr="00BF42B7">
        <w:rPr>
          <w:rFonts w:hint="eastAsia"/>
          <w:lang w:val="en-GB"/>
        </w:rPr>
        <w:t>项所载定义指的是一项“以官方身份实施的行为”，但委员会认为，有必要在定义中明确提及行为人，换句话说，即国家官员。这一点提请注意一个事实，即只有国家官员能够以官方身份实施一项行为，进而体现出在行为人和国家之间建立联系的需要。此外，提及国家官员是对第</w:t>
      </w:r>
      <w:r w:rsidRPr="00BF42B7">
        <w:rPr>
          <w:rFonts w:hint="eastAsia"/>
          <w:lang w:val="en-GB"/>
        </w:rPr>
        <w:t>2</w:t>
      </w:r>
      <w:r w:rsidRPr="00BF42B7">
        <w:rPr>
          <w:rFonts w:hint="eastAsia"/>
          <w:lang w:val="en-GB"/>
        </w:rPr>
        <w:t>条草案</w:t>
      </w:r>
      <w:r w:rsidRPr="00BF42B7">
        <w:rPr>
          <w:rFonts w:hint="eastAsia"/>
          <w:lang w:val="en-GB"/>
        </w:rPr>
        <w:t>(e)</w:t>
      </w:r>
      <w:r w:rsidRPr="00BF42B7">
        <w:rPr>
          <w:rFonts w:hint="eastAsia"/>
          <w:lang w:val="en-GB"/>
        </w:rPr>
        <w:t>项中“国家官员”定义的逻辑延续。</w:t>
      </w:r>
    </w:p>
    <w:p w:rsidR="00396D56" w:rsidRPr="00BF42B7" w:rsidRDefault="00396D56" w:rsidP="00396D56">
      <w:pPr>
        <w:pStyle w:val="SingleTxtGC"/>
        <w:rPr>
          <w:lang w:val="en-GB"/>
        </w:rPr>
      </w:pPr>
      <w:r w:rsidRPr="00BF42B7">
        <w:rPr>
          <w:lang w:val="en-GB"/>
        </w:rPr>
        <w:t>(1</w:t>
      </w:r>
      <w:r w:rsidRPr="00BF42B7">
        <w:rPr>
          <w:rFonts w:hint="eastAsia"/>
          <w:lang w:val="en-GB"/>
        </w:rPr>
        <w:t>0</w:t>
      </w:r>
      <w:r w:rsidRPr="00BF42B7">
        <w:rPr>
          <w:lang w:val="en-GB"/>
        </w:rPr>
        <w:t xml:space="preserve">)  </w:t>
      </w:r>
      <w:r w:rsidRPr="00BF42B7">
        <w:rPr>
          <w:rFonts w:hint="eastAsia"/>
          <w:lang w:val="en-GB"/>
        </w:rPr>
        <w:t>委员会认为，列出一份以官方身份实施的行为的详尽无遗的清单是不可能的。这类行为只能一件一件确定，考虑以往经过审查的标准，即所涉行为是由一名国家官员实施、基本上可归于国家，而且是在“行使国家权力”时实施的。但是，不论法院对行为的具体称谓如何，司法惯例中存在一些可能被视为以官方身份实施的行为或行为类别。这些实例可帮助法官和其他的国家法律从业者确定某项具体行为是否属于这一类别。</w:t>
      </w:r>
    </w:p>
    <w:p w:rsidR="00396D56" w:rsidRPr="00BF42B7" w:rsidRDefault="00396D56" w:rsidP="00396D56">
      <w:pPr>
        <w:pStyle w:val="SingleTxtGC"/>
        <w:rPr>
          <w:spacing w:val="4"/>
          <w:lang w:val="en-GB"/>
        </w:rPr>
      </w:pPr>
      <w:r w:rsidRPr="00BF42B7">
        <w:rPr>
          <w:lang w:val="en-GB"/>
        </w:rPr>
        <w:t>(1</w:t>
      </w:r>
      <w:r w:rsidRPr="00BF42B7">
        <w:rPr>
          <w:rFonts w:hint="eastAsia"/>
          <w:lang w:val="en-GB"/>
        </w:rPr>
        <w:t>1</w:t>
      </w:r>
      <w:r w:rsidRPr="00BF42B7">
        <w:rPr>
          <w:lang w:val="en-GB"/>
        </w:rPr>
        <w:t xml:space="preserve">)  </w:t>
      </w:r>
      <w:r w:rsidRPr="00BF42B7">
        <w:rPr>
          <w:rFonts w:hint="eastAsia"/>
          <w:lang w:val="en-GB"/>
        </w:rPr>
        <w:t>总体而言，国家法院认为以下行为属于以官方身份实施的行为类别：军事活动或与武装部队相关的活动、</w:t>
      </w:r>
      <w:bookmarkStart w:id="343" w:name="_Ref457292885"/>
      <w:r w:rsidRPr="00BF42B7">
        <w:rPr>
          <w:color w:val="0000FF"/>
          <w:vertAlign w:val="superscript"/>
          <w:lang w:val="en-GB"/>
        </w:rPr>
        <w:footnoteReference w:id="1419"/>
      </w:r>
      <w:bookmarkEnd w:id="343"/>
      <w:r w:rsidRPr="00BF42B7">
        <w:rPr>
          <w:vertAlign w:val="superscript"/>
          <w:lang w:val="en-GB"/>
        </w:rPr>
        <w:t xml:space="preserve"> </w:t>
      </w:r>
      <w:r w:rsidRPr="00BF42B7">
        <w:rPr>
          <w:rFonts w:hint="eastAsia"/>
          <w:lang w:val="es-ES_tradnl"/>
        </w:rPr>
        <w:t>与行使政治权力相关的行为、</w:t>
      </w:r>
      <w:bookmarkStart w:id="348" w:name="_Ref457292961"/>
      <w:r w:rsidRPr="00BF42B7">
        <w:rPr>
          <w:color w:val="0000FF"/>
          <w:vertAlign w:val="superscript"/>
          <w:lang w:val="en-GB"/>
        </w:rPr>
        <w:footnoteReference w:id="1420"/>
      </w:r>
      <w:bookmarkEnd w:id="348"/>
      <w:r w:rsidRPr="00BF42B7">
        <w:rPr>
          <w:vertAlign w:val="superscript"/>
          <w:lang w:val="en-GB"/>
        </w:rPr>
        <w:t xml:space="preserve"> </w:t>
      </w:r>
      <w:r w:rsidRPr="00BF42B7">
        <w:rPr>
          <w:rFonts w:hint="eastAsia"/>
          <w:lang w:val="es-ES_tradnl"/>
        </w:rPr>
        <w:t>外交活动</w:t>
      </w:r>
      <w:r w:rsidRPr="00BF42B7">
        <w:rPr>
          <w:rFonts w:hint="eastAsia"/>
          <w:spacing w:val="4"/>
          <w:lang w:val="es-ES_tradnl"/>
        </w:rPr>
        <w:t>和与外交事务相关的活动、</w:t>
      </w:r>
      <w:r w:rsidRPr="00BF42B7">
        <w:rPr>
          <w:color w:val="0000FF"/>
          <w:spacing w:val="4"/>
          <w:vertAlign w:val="superscript"/>
          <w:lang w:val="en-GB"/>
        </w:rPr>
        <w:footnoteReference w:id="1421"/>
      </w:r>
      <w:r w:rsidRPr="00BF42B7">
        <w:rPr>
          <w:spacing w:val="4"/>
          <w:vertAlign w:val="superscript"/>
          <w:lang w:val="en-GB"/>
        </w:rPr>
        <w:t xml:space="preserve"> </w:t>
      </w:r>
      <w:r w:rsidRPr="00BF42B7">
        <w:rPr>
          <w:rFonts w:hint="eastAsia"/>
          <w:spacing w:val="4"/>
          <w:lang w:val="es-ES_tradnl"/>
        </w:rPr>
        <w:t>立法行为</w:t>
      </w:r>
      <w:r w:rsidRPr="00BF42B7">
        <w:rPr>
          <w:rFonts w:hint="eastAsia"/>
          <w:spacing w:val="4"/>
          <w:lang w:val="en-GB"/>
        </w:rPr>
        <w:t>(</w:t>
      </w:r>
      <w:r w:rsidRPr="00BF42B7">
        <w:rPr>
          <w:rFonts w:hint="eastAsia"/>
          <w:spacing w:val="4"/>
          <w:lang w:val="es-ES_tradnl"/>
        </w:rPr>
        <w:t>包括国有化</w:t>
      </w:r>
      <w:r w:rsidRPr="00BF42B7">
        <w:rPr>
          <w:rFonts w:hint="eastAsia"/>
          <w:spacing w:val="4"/>
          <w:lang w:val="en-GB"/>
        </w:rPr>
        <w:t>)</w:t>
      </w:r>
      <w:r w:rsidRPr="00BF42B7">
        <w:rPr>
          <w:rFonts w:hint="eastAsia"/>
          <w:spacing w:val="4"/>
          <w:lang w:val="es-ES_tradnl"/>
        </w:rPr>
        <w:t>、</w:t>
      </w:r>
      <w:r w:rsidRPr="00BF42B7">
        <w:rPr>
          <w:color w:val="0000FF"/>
          <w:spacing w:val="4"/>
          <w:vertAlign w:val="superscript"/>
          <w:lang w:val="en-GB"/>
        </w:rPr>
        <w:footnoteReference w:id="1422"/>
      </w:r>
      <w:r w:rsidRPr="00BF42B7">
        <w:rPr>
          <w:spacing w:val="4"/>
          <w:vertAlign w:val="superscript"/>
          <w:lang w:val="en-GB"/>
        </w:rPr>
        <w:t xml:space="preserve"> </w:t>
      </w:r>
      <w:r w:rsidRPr="00BF42B7">
        <w:rPr>
          <w:rFonts w:hint="eastAsia"/>
          <w:spacing w:val="4"/>
          <w:lang w:val="en-GB"/>
        </w:rPr>
        <w:t>与司法相关的行为、</w:t>
      </w:r>
      <w:r w:rsidRPr="00BF42B7">
        <w:rPr>
          <w:color w:val="0000FF"/>
          <w:spacing w:val="4"/>
          <w:vertAlign w:val="superscript"/>
          <w:lang w:val="en-GB"/>
        </w:rPr>
        <w:footnoteReference w:id="1423"/>
      </w:r>
      <w:r w:rsidRPr="00BF42B7">
        <w:rPr>
          <w:spacing w:val="4"/>
          <w:vertAlign w:val="superscript"/>
          <w:lang w:val="en-GB"/>
        </w:rPr>
        <w:t xml:space="preserve"> </w:t>
      </w:r>
      <w:r w:rsidRPr="00BF42B7">
        <w:rPr>
          <w:rFonts w:hint="eastAsia"/>
          <w:spacing w:val="4"/>
          <w:lang w:val="en-GB"/>
        </w:rPr>
        <w:t>不同种类的行政行为</w:t>
      </w:r>
      <w:r w:rsidRPr="00BF42B7">
        <w:rPr>
          <w:rFonts w:hint="eastAsia"/>
          <w:spacing w:val="4"/>
          <w:lang w:val="en-GB"/>
        </w:rPr>
        <w:t>(</w:t>
      </w:r>
      <w:r w:rsidRPr="00BF42B7">
        <w:rPr>
          <w:rFonts w:hint="eastAsia"/>
          <w:spacing w:val="4"/>
          <w:lang w:val="en-GB"/>
        </w:rPr>
        <w:t>如驱逐外国人或舰船悬旗</w:t>
      </w:r>
      <w:r w:rsidRPr="00BF42B7">
        <w:rPr>
          <w:rFonts w:hint="eastAsia"/>
          <w:spacing w:val="4"/>
          <w:lang w:val="en-GB"/>
        </w:rPr>
        <w:t>)</w:t>
      </w:r>
      <w:r w:rsidRPr="00BF42B7">
        <w:rPr>
          <w:rFonts w:hint="eastAsia"/>
          <w:spacing w:val="4"/>
          <w:lang w:val="en-GB"/>
        </w:rPr>
        <w:t>、</w:t>
      </w:r>
      <w:r w:rsidRPr="00BF42B7">
        <w:rPr>
          <w:color w:val="0000FF"/>
          <w:spacing w:val="4"/>
          <w:vertAlign w:val="superscript"/>
          <w:lang w:val="en-GB"/>
        </w:rPr>
        <w:footnoteReference w:id="1424"/>
      </w:r>
      <w:r w:rsidRPr="00BF42B7">
        <w:rPr>
          <w:spacing w:val="4"/>
          <w:vertAlign w:val="superscript"/>
          <w:lang w:val="en-GB"/>
        </w:rPr>
        <w:t xml:space="preserve"> </w:t>
      </w:r>
      <w:r w:rsidRPr="00BF42B7">
        <w:rPr>
          <w:rFonts w:hint="eastAsia"/>
          <w:spacing w:val="4"/>
          <w:lang w:val="en-GB"/>
        </w:rPr>
        <w:t>与公债相关的行为，</w:t>
      </w:r>
      <w:r w:rsidRPr="00BF42B7">
        <w:rPr>
          <w:color w:val="0000FF"/>
          <w:spacing w:val="4"/>
          <w:vertAlign w:val="superscript"/>
          <w:lang w:val="en-GB"/>
        </w:rPr>
        <w:footnoteReference w:id="1425"/>
      </w:r>
      <w:r w:rsidRPr="00BF42B7">
        <w:rPr>
          <w:spacing w:val="4"/>
          <w:vertAlign w:val="superscript"/>
          <w:lang w:val="en-GB"/>
        </w:rPr>
        <w:t xml:space="preserve"> </w:t>
      </w:r>
      <w:r w:rsidRPr="00BF42B7">
        <w:rPr>
          <w:rFonts w:hint="eastAsia"/>
          <w:spacing w:val="4"/>
          <w:lang w:val="en-GB"/>
        </w:rPr>
        <w:t>以及不同种类的政治行为。</w:t>
      </w:r>
      <w:r w:rsidRPr="00BF42B7">
        <w:rPr>
          <w:color w:val="0000FF"/>
          <w:spacing w:val="4"/>
          <w:vertAlign w:val="superscript"/>
          <w:lang w:val="en-GB"/>
        </w:rPr>
        <w:footnoteReference w:id="1426"/>
      </w:r>
      <w:r w:rsidRPr="00BF42B7">
        <w:rPr>
          <w:spacing w:val="4"/>
          <w:vertAlign w:val="superscript"/>
          <w:lang w:val="en-GB"/>
        </w:rPr>
        <w:t xml:space="preserve"> </w:t>
      </w:r>
    </w:p>
    <w:p w:rsidR="00396D56" w:rsidRPr="00BF42B7" w:rsidRDefault="00396D56" w:rsidP="00396D56">
      <w:pPr>
        <w:pStyle w:val="SingleTxtGC"/>
        <w:rPr>
          <w:lang w:val="en-GB"/>
        </w:rPr>
      </w:pPr>
      <w:r w:rsidRPr="00BF42B7">
        <w:rPr>
          <w:lang w:val="en-GB"/>
        </w:rPr>
        <w:t>(1</w:t>
      </w:r>
      <w:r w:rsidRPr="00BF42B7">
        <w:rPr>
          <w:rFonts w:hint="eastAsia"/>
          <w:lang w:val="en-GB"/>
        </w:rPr>
        <w:t>2</w:t>
      </w:r>
      <w:r w:rsidRPr="00BF42B7">
        <w:rPr>
          <w:lang w:val="en-GB"/>
        </w:rPr>
        <w:t xml:space="preserve">)  </w:t>
      </w:r>
      <w:r w:rsidRPr="00BF42B7">
        <w:rPr>
          <w:rFonts w:hint="eastAsia"/>
          <w:lang w:val="en-GB"/>
        </w:rPr>
        <w:t>此外，已要求刑事法院对据称以官方身份实施的以下行为给予豁免：酷刑、灭绝、灭绝种族、法外处决、强迫失踪、强迫怀孕、驱逐、剥夺战俘地位、奴役和强迫劳动，以及恐怖主义行为。</w:t>
      </w:r>
      <w:bookmarkStart w:id="349" w:name="_Ref457293011"/>
      <w:r w:rsidRPr="00BF42B7">
        <w:rPr>
          <w:color w:val="0000FF"/>
          <w:vertAlign w:val="superscript"/>
          <w:lang w:val="en-GB"/>
        </w:rPr>
        <w:footnoteReference w:id="1427"/>
      </w:r>
      <w:bookmarkEnd w:id="349"/>
      <w:r w:rsidRPr="00BF42B7">
        <w:rPr>
          <w:vertAlign w:val="superscript"/>
          <w:lang w:val="en-GB"/>
        </w:rPr>
        <w:t xml:space="preserve"> </w:t>
      </w:r>
      <w:r w:rsidRPr="00BF42B7">
        <w:rPr>
          <w:rFonts w:hint="eastAsia"/>
          <w:lang w:val="en-GB"/>
        </w:rPr>
        <w:t>有时提及这些罪行时采用具体罪名，而在其他案件中则笼统地提及危害人类罪、战争罪以及系统性地严重侵犯人权行为。</w:t>
      </w:r>
      <w:r w:rsidRPr="00BF42B7">
        <w:rPr>
          <w:color w:val="0000FF"/>
          <w:vertAlign w:val="superscript"/>
          <w:lang w:val="en-GB"/>
        </w:rPr>
        <w:footnoteReference w:id="1428"/>
      </w:r>
      <w:r w:rsidRPr="00BF42B7">
        <w:rPr>
          <w:vertAlign w:val="superscript"/>
          <w:lang w:val="en-GB"/>
        </w:rPr>
        <w:t xml:space="preserve"> </w:t>
      </w:r>
      <w:r w:rsidRPr="00BF42B7">
        <w:rPr>
          <w:rFonts w:hint="eastAsia"/>
          <w:lang w:val="en-GB"/>
        </w:rPr>
        <w:t>其次，法院也审理由武装部队或安全机构成员实施、不属于上述类别的其他行为，包括虐待、滥用权力、非法拘留、绑架、无视司法的行为以及与警务和执法有关的其他行为。</w:t>
      </w:r>
      <w:r w:rsidRPr="00BF42B7">
        <w:rPr>
          <w:color w:val="0000FF"/>
          <w:vertAlign w:val="superscript"/>
          <w:lang w:val="en-GB"/>
        </w:rPr>
        <w:footnoteReference w:id="1429"/>
      </w:r>
      <w:r w:rsidRPr="00BF42B7">
        <w:rPr>
          <w:vertAlign w:val="superscript"/>
          <w:lang w:val="en-GB"/>
        </w:rPr>
        <w:t xml:space="preserve"> </w:t>
      </w:r>
    </w:p>
    <w:p w:rsidR="00396D56" w:rsidRPr="00BF42B7" w:rsidRDefault="00396D56" w:rsidP="00396D56">
      <w:pPr>
        <w:pStyle w:val="SingleTxtGC"/>
        <w:rPr>
          <w:lang w:val="es-ES_tradnl"/>
        </w:rPr>
      </w:pPr>
      <w:r w:rsidRPr="00BF42B7">
        <w:t>(1</w:t>
      </w:r>
      <w:r w:rsidRPr="00BF42B7">
        <w:rPr>
          <w:rFonts w:hint="eastAsia"/>
        </w:rPr>
        <w:t>3</w:t>
      </w:r>
      <w:r w:rsidRPr="00BF42B7">
        <w:t xml:space="preserve">)  </w:t>
      </w:r>
      <w:r w:rsidRPr="00BF42B7">
        <w:rPr>
          <w:rFonts w:hint="eastAsia"/>
          <w:lang w:val="es-ES_tradnl"/>
        </w:rPr>
        <w:t>在一些案件中情况相反</w:t>
      </w:r>
      <w:r w:rsidRPr="00BF42B7">
        <w:rPr>
          <w:rFonts w:hint="eastAsia"/>
        </w:rPr>
        <w:t>，</w:t>
      </w:r>
      <w:r w:rsidRPr="00BF42B7">
        <w:rPr>
          <w:rFonts w:hint="eastAsia"/>
          <w:lang w:val="es-ES_tradnl"/>
        </w:rPr>
        <w:t>国家法院认为</w:t>
      </w:r>
      <w:r w:rsidRPr="00BF42B7">
        <w:rPr>
          <w:rFonts w:hint="eastAsia"/>
        </w:rPr>
        <w:t>，</w:t>
      </w:r>
      <w:r w:rsidRPr="00BF42B7">
        <w:rPr>
          <w:rFonts w:hint="eastAsia"/>
          <w:lang w:val="es-ES_tradnl"/>
        </w:rPr>
        <w:t>所涉行为超越了公务职能或国家职能的界限</w:t>
      </w:r>
      <w:r w:rsidRPr="00BF42B7">
        <w:rPr>
          <w:rFonts w:hint="eastAsia"/>
        </w:rPr>
        <w:t>，</w:t>
      </w:r>
      <w:r w:rsidRPr="00BF42B7">
        <w:rPr>
          <w:rFonts w:hint="eastAsia"/>
          <w:lang w:val="es-ES_tradnl"/>
        </w:rPr>
        <w:t>因此不被视为以官方身份实施的行为。例如，法院认为，谋杀政治对手</w:t>
      </w:r>
      <w:r w:rsidRPr="00BF42B7">
        <w:rPr>
          <w:color w:val="0000FF"/>
          <w:vertAlign w:val="superscript"/>
        </w:rPr>
        <w:footnoteReference w:id="1430"/>
      </w:r>
      <w:r w:rsidRPr="00BF42B7">
        <w:rPr>
          <w:vertAlign w:val="superscript"/>
        </w:rPr>
        <w:t xml:space="preserve"> </w:t>
      </w:r>
      <w:r w:rsidRPr="00BF42B7">
        <w:rPr>
          <w:rFonts w:hint="eastAsia"/>
          <w:lang w:val="es-ES_tradnl"/>
        </w:rPr>
        <w:t>或与贩毒有关的行为</w:t>
      </w:r>
      <w:bookmarkStart w:id="350" w:name="_Ref457292977"/>
      <w:r w:rsidRPr="00BF42B7">
        <w:rPr>
          <w:color w:val="0000FF"/>
          <w:vertAlign w:val="superscript"/>
        </w:rPr>
        <w:footnoteReference w:id="1431"/>
      </w:r>
      <w:bookmarkEnd w:id="350"/>
      <w:r w:rsidRPr="00BF42B7">
        <w:rPr>
          <w:vertAlign w:val="superscript"/>
        </w:rPr>
        <w:t xml:space="preserve"> </w:t>
      </w:r>
      <w:r w:rsidRPr="00BF42B7">
        <w:rPr>
          <w:rFonts w:hint="eastAsia"/>
          <w:lang w:val="es-ES_tradnl"/>
        </w:rPr>
        <w:t>不构成官方行为。同样，在与腐败有关的案件中，无论是转用或挪用公款、洗钱还是任何其他类型的腐败行为，国家法院一般都拒绝给予豁免权，理由是这类行为“有别于按照主权原则和外交豁免原则受到国际惯例保护的履行国家职能的行为”，</w:t>
      </w:r>
      <w:r w:rsidRPr="00BF42B7">
        <w:rPr>
          <w:color w:val="0000FF"/>
          <w:vertAlign w:val="superscript"/>
        </w:rPr>
        <w:footnoteReference w:id="1432"/>
      </w:r>
      <w:r w:rsidRPr="00BF42B7">
        <w:rPr>
          <w:vertAlign w:val="superscript"/>
        </w:rPr>
        <w:t xml:space="preserve"> </w:t>
      </w:r>
      <w:r w:rsidRPr="00BF42B7">
        <w:rPr>
          <w:rFonts w:hint="eastAsia"/>
          <w:lang w:val="es-ES_tradnl"/>
        </w:rPr>
        <w:t>而且“性质上与行使主权和政府权力无关，也不符合公共利益。”</w:t>
      </w:r>
      <w:r w:rsidRPr="00BF42B7">
        <w:rPr>
          <w:color w:val="0000FF"/>
          <w:vertAlign w:val="superscript"/>
        </w:rPr>
        <w:footnoteReference w:id="1433"/>
      </w:r>
      <w:r w:rsidRPr="00BF42B7">
        <w:rPr>
          <w:vertAlign w:val="superscript"/>
        </w:rPr>
        <w:t xml:space="preserve"> </w:t>
      </w:r>
      <w:r w:rsidRPr="00BF42B7">
        <w:rPr>
          <w:rFonts w:hint="eastAsia"/>
          <w:lang w:val="es-ES_tradnl"/>
        </w:rPr>
        <w:t>根据同样的逻辑，法院认为不可接受的是，国家官员从事的与私人活动密切联系、谋求官员个人致富而非主权利益的行为可以得到豁免。</w:t>
      </w:r>
      <w:r w:rsidRPr="00BF42B7">
        <w:rPr>
          <w:color w:val="0000FF"/>
          <w:vertAlign w:val="superscript"/>
        </w:rPr>
        <w:footnoteReference w:id="1434"/>
      </w:r>
      <w:r w:rsidRPr="00BF42B7">
        <w:rPr>
          <w:rFonts w:hint="eastAsia"/>
          <w:lang w:val="es-ES_tradnl"/>
        </w:rPr>
        <w:t xml:space="preserve"> </w:t>
      </w:r>
      <w:r w:rsidRPr="00BF42B7">
        <w:rPr>
          <w:rFonts w:hint="eastAsia"/>
        </w:rPr>
        <w:t>这些例子所提醒注意的事实并不影响委员会可能就豁免的例外问题采取的立场。</w:t>
      </w:r>
    </w:p>
    <w:p w:rsidR="00396D56" w:rsidRPr="00BF42B7" w:rsidRDefault="00396D56" w:rsidP="00EE2D97">
      <w:pPr>
        <w:pStyle w:val="SingleTxtGC"/>
        <w:spacing w:after="140" w:line="330" w:lineRule="exact"/>
        <w:rPr>
          <w:lang w:val="en-GB"/>
        </w:rPr>
      </w:pPr>
      <w:r w:rsidRPr="00BF42B7">
        <w:rPr>
          <w:lang w:val="en-GB"/>
        </w:rPr>
        <w:t>(1</w:t>
      </w:r>
      <w:r w:rsidRPr="00BF42B7">
        <w:rPr>
          <w:rFonts w:hint="eastAsia"/>
          <w:lang w:val="en-GB"/>
        </w:rPr>
        <w:t>4</w:t>
      </w:r>
      <w:r w:rsidRPr="00BF42B7">
        <w:rPr>
          <w:lang w:val="en-GB"/>
        </w:rPr>
        <w:t xml:space="preserve">)  </w:t>
      </w:r>
      <w:r w:rsidRPr="00BF42B7">
        <w:rPr>
          <w:rFonts w:hint="eastAsia"/>
          <w:lang w:val="en-GB"/>
        </w:rPr>
        <w:t>关于可能以官方身份实施的行为的实例，应特别提及国家法院处理国际犯罪，特别是处理酷刑的方式。虽然在有些案件中这类行为被视为以官方身份实施的行为</w:t>
      </w:r>
      <w:r w:rsidRPr="00BF42B7">
        <w:rPr>
          <w:rFonts w:hint="eastAsia"/>
          <w:lang w:val="en-GB"/>
        </w:rPr>
        <w:t>(</w:t>
      </w:r>
      <w:r w:rsidRPr="00BF42B7">
        <w:rPr>
          <w:rFonts w:hint="eastAsia"/>
          <w:lang w:val="en-GB"/>
        </w:rPr>
        <w:t>但其实是非法和异常的行为</w:t>
      </w:r>
      <w:r w:rsidRPr="00BF42B7">
        <w:rPr>
          <w:rFonts w:hint="eastAsia"/>
          <w:lang w:val="en-GB"/>
        </w:rPr>
        <w:t>)</w:t>
      </w:r>
      <w:r w:rsidRPr="00BF42B7">
        <w:rPr>
          <w:rFonts w:hint="eastAsia"/>
          <w:lang w:val="en-GB"/>
        </w:rPr>
        <w:t>，</w:t>
      </w:r>
      <w:r w:rsidRPr="00BF42B7">
        <w:rPr>
          <w:color w:val="0000FF"/>
          <w:vertAlign w:val="superscript"/>
          <w:lang w:val="en-GB"/>
        </w:rPr>
        <w:footnoteReference w:id="1435"/>
      </w:r>
      <w:r w:rsidRPr="00BF42B7">
        <w:rPr>
          <w:vertAlign w:val="superscript"/>
          <w:lang w:val="en-GB"/>
        </w:rPr>
        <w:t xml:space="preserve"> </w:t>
      </w:r>
      <w:r w:rsidRPr="00BF42B7">
        <w:rPr>
          <w:rFonts w:hint="eastAsia"/>
          <w:lang w:val="en-GB"/>
        </w:rPr>
        <w:t>但在另一些案件中，它们被归类为越权行为或不符合国家职能性质的行为，</w:t>
      </w:r>
      <w:r w:rsidRPr="00BF42B7">
        <w:rPr>
          <w:color w:val="0000FF"/>
          <w:vertAlign w:val="superscript"/>
          <w:lang w:val="en-GB"/>
        </w:rPr>
        <w:footnoteReference w:id="1436"/>
      </w:r>
      <w:r w:rsidRPr="00BF42B7">
        <w:rPr>
          <w:vertAlign w:val="superscript"/>
          <w:lang w:val="en-GB"/>
        </w:rPr>
        <w:t xml:space="preserve"> </w:t>
      </w:r>
      <w:r w:rsidRPr="00BF42B7">
        <w:rPr>
          <w:rFonts w:hint="eastAsia"/>
          <w:lang w:val="en-GB"/>
        </w:rPr>
        <w:t>因此应排除在本项界定的行为类别以外。此外，应提请注意一个事实：这种对国际犯罪的不同处理方式既出现在国家法院承认豁免、也发生在国家法院拒绝豁免的案件中。</w:t>
      </w:r>
    </w:p>
    <w:p w:rsidR="00396D56" w:rsidRPr="00BF42B7" w:rsidRDefault="00396D56" w:rsidP="00EE2D97">
      <w:pPr>
        <w:pStyle w:val="SingleTxtGC"/>
        <w:spacing w:after="140" w:line="330" w:lineRule="exact"/>
        <w:rPr>
          <w:lang w:val="en-GB"/>
        </w:rPr>
      </w:pPr>
      <w:r w:rsidRPr="00BF42B7">
        <w:rPr>
          <w:lang w:val="en-GB"/>
        </w:rPr>
        <w:t>(1</w:t>
      </w:r>
      <w:r w:rsidRPr="00BF42B7">
        <w:rPr>
          <w:rFonts w:hint="eastAsia"/>
          <w:lang w:val="en-GB"/>
        </w:rPr>
        <w:t>5</w:t>
      </w:r>
      <w:r w:rsidRPr="00BF42B7">
        <w:rPr>
          <w:lang w:val="en-GB"/>
        </w:rPr>
        <w:t xml:space="preserve">)  </w:t>
      </w:r>
      <w:r w:rsidRPr="00BF42B7">
        <w:rPr>
          <w:rFonts w:hint="eastAsia"/>
          <w:lang w:val="en-GB"/>
        </w:rPr>
        <w:t>无论如何，应当牢记，第</w:t>
      </w:r>
      <w:r w:rsidRPr="00BF42B7">
        <w:rPr>
          <w:rFonts w:hint="eastAsia"/>
          <w:lang w:val="en-GB"/>
        </w:rPr>
        <w:t>2</w:t>
      </w:r>
      <w:r w:rsidRPr="00BF42B7">
        <w:rPr>
          <w:rFonts w:hint="eastAsia"/>
          <w:lang w:val="en-GB"/>
        </w:rPr>
        <w:t>条草案</w:t>
      </w:r>
      <w:r w:rsidRPr="00BF42B7">
        <w:rPr>
          <w:rFonts w:hint="eastAsia"/>
          <w:lang w:val="en-GB"/>
        </w:rPr>
        <w:t>(f)</w:t>
      </w:r>
      <w:r w:rsidRPr="00BF42B7">
        <w:rPr>
          <w:rFonts w:hint="eastAsia"/>
          <w:lang w:val="en-GB"/>
        </w:rPr>
        <w:t>项中规定的“以官方身份实施的行为”的定义指的是这种行为类别的独特要素，这并不妨碍将在条款草案其他地方处理的对豁免的限制和例外问题。</w:t>
      </w:r>
    </w:p>
    <w:p w:rsidR="00396D56" w:rsidRPr="00BF42B7" w:rsidRDefault="00396D56" w:rsidP="00EE2D97">
      <w:pPr>
        <w:pStyle w:val="H23GC"/>
        <w:spacing w:after="140" w:line="330" w:lineRule="exact"/>
        <w:ind w:left="1554"/>
      </w:pPr>
      <w:r w:rsidRPr="00BF42B7">
        <w:rPr>
          <w:rFonts w:hint="eastAsia"/>
        </w:rPr>
        <w:tab/>
      </w:r>
      <w:r w:rsidRPr="00BF42B7">
        <w:rPr>
          <w:rFonts w:hint="eastAsia"/>
        </w:rPr>
        <w:tab/>
      </w:r>
      <w:r w:rsidRPr="00BF42B7">
        <w:rPr>
          <w:rFonts w:hint="eastAsia"/>
        </w:rPr>
        <w:t>第</w:t>
      </w:r>
      <w:r w:rsidRPr="00BF42B7">
        <w:rPr>
          <w:rFonts w:hint="eastAsia"/>
        </w:rPr>
        <w:t>6</w:t>
      </w:r>
      <w:r w:rsidRPr="00BF42B7">
        <w:rPr>
          <w:rFonts w:hint="eastAsia"/>
        </w:rPr>
        <w:t>条</w:t>
      </w:r>
      <w:r w:rsidRPr="00BF42B7">
        <w:rPr>
          <w:rFonts w:hint="eastAsia"/>
        </w:rPr>
        <w:br/>
      </w:r>
      <w:r w:rsidRPr="00BF42B7">
        <w:rPr>
          <w:rFonts w:hint="eastAsia"/>
        </w:rPr>
        <w:t>属事豁免的范围</w:t>
      </w:r>
    </w:p>
    <w:p w:rsidR="00396D56" w:rsidRPr="00BF42B7" w:rsidRDefault="00396D56" w:rsidP="00EE2D97">
      <w:pPr>
        <w:pStyle w:val="SingleTxtGC"/>
        <w:spacing w:after="140" w:line="330" w:lineRule="exact"/>
        <w:ind w:left="1554"/>
      </w:pPr>
      <w:r w:rsidRPr="00BF42B7">
        <w:rPr>
          <w:rFonts w:hint="eastAsia"/>
        </w:rPr>
        <w:t xml:space="preserve">1.  </w:t>
      </w:r>
      <w:r w:rsidRPr="00BF42B7">
        <w:rPr>
          <w:rFonts w:hint="eastAsia"/>
        </w:rPr>
        <w:t>国家官员只有在以官方身份实施的行为方面享有属事豁免。</w:t>
      </w:r>
    </w:p>
    <w:p w:rsidR="00396D56" w:rsidRPr="00BF42B7" w:rsidRDefault="00396D56" w:rsidP="00EE2D97">
      <w:pPr>
        <w:pStyle w:val="SingleTxtGC"/>
        <w:spacing w:after="140" w:line="330" w:lineRule="exact"/>
        <w:ind w:left="1554"/>
      </w:pPr>
      <w:r w:rsidRPr="00BF42B7">
        <w:rPr>
          <w:rFonts w:hint="eastAsia"/>
        </w:rPr>
        <w:t xml:space="preserve">2.  </w:t>
      </w:r>
      <w:r w:rsidRPr="00BF42B7">
        <w:rPr>
          <w:rFonts w:hint="eastAsia"/>
        </w:rPr>
        <w:t>对以官方身份实施的行为的属事豁免在所涉个人不再担任国家官员后继续存在。</w:t>
      </w:r>
    </w:p>
    <w:p w:rsidR="00396D56" w:rsidRPr="00BF42B7" w:rsidRDefault="00396D56" w:rsidP="00EE2D97">
      <w:pPr>
        <w:pStyle w:val="SingleTxtGC"/>
        <w:spacing w:after="140" w:line="330" w:lineRule="exact"/>
        <w:ind w:left="1554"/>
      </w:pPr>
      <w:r w:rsidRPr="00BF42B7">
        <w:rPr>
          <w:rFonts w:hint="eastAsia"/>
        </w:rPr>
        <w:t xml:space="preserve">3.  </w:t>
      </w:r>
      <w:r w:rsidRPr="00BF42B7">
        <w:rPr>
          <w:rFonts w:hint="eastAsia"/>
        </w:rPr>
        <w:t>根据</w:t>
      </w:r>
      <w:r w:rsidRPr="00BF42B7">
        <w:t>第</w:t>
      </w:r>
      <w:r w:rsidRPr="00BF42B7">
        <w:t>4</w:t>
      </w:r>
      <w:r w:rsidRPr="00BF42B7">
        <w:t>条草案享有属事豁免的个人任期届满后，继续就任期之内以官方身份实施的行为享有豁免。</w:t>
      </w:r>
    </w:p>
    <w:p w:rsidR="00396D56" w:rsidRPr="00BF42B7" w:rsidRDefault="00396D56" w:rsidP="00EE2D97">
      <w:pPr>
        <w:pStyle w:val="H23GC"/>
        <w:spacing w:after="140" w:line="330" w:lineRule="exact"/>
      </w:pPr>
      <w:r w:rsidRPr="00BF42B7">
        <w:rPr>
          <w:rFonts w:hint="eastAsia"/>
        </w:rPr>
        <w:tab/>
      </w:r>
      <w:r w:rsidRPr="00BF42B7">
        <w:rPr>
          <w:rFonts w:hint="eastAsia"/>
        </w:rPr>
        <w:tab/>
      </w:r>
      <w:r w:rsidRPr="00BF42B7">
        <w:rPr>
          <w:rFonts w:hint="eastAsia"/>
        </w:rPr>
        <w:t>评注</w:t>
      </w:r>
    </w:p>
    <w:p w:rsidR="00396D56" w:rsidRPr="00BF42B7" w:rsidRDefault="00396D56" w:rsidP="00EE2D97">
      <w:pPr>
        <w:pStyle w:val="SingleTxtGC"/>
        <w:spacing w:after="140" w:line="330" w:lineRule="exact"/>
      </w:pPr>
      <w:r w:rsidRPr="00BF42B7">
        <w:rPr>
          <w:rFonts w:hint="eastAsia"/>
        </w:rPr>
        <w:t>(</w:t>
      </w:r>
      <w:r w:rsidRPr="00BF42B7">
        <w:t>1)</w:t>
      </w:r>
      <w:r w:rsidRPr="00BF42B7">
        <w:rPr>
          <w:rFonts w:hint="eastAsia"/>
        </w:rPr>
        <w:t xml:space="preserve">  </w:t>
      </w:r>
      <w:r w:rsidRPr="00BF42B7">
        <w:rPr>
          <w:rFonts w:hint="eastAsia"/>
        </w:rPr>
        <w:t>第</w:t>
      </w:r>
      <w:r w:rsidRPr="00BF42B7">
        <w:rPr>
          <w:rFonts w:hint="eastAsia"/>
        </w:rPr>
        <w:t>6</w:t>
      </w:r>
      <w:r w:rsidRPr="00BF42B7">
        <w:rPr>
          <w:rFonts w:hint="eastAsia"/>
        </w:rPr>
        <w:t>条草案旨在界定属事豁免的范围，其中包括这一类国家官员的外国刑事管辖豁免的实质要素和时间要素。第</w:t>
      </w:r>
      <w:r w:rsidRPr="00BF42B7">
        <w:rPr>
          <w:rFonts w:hint="eastAsia"/>
        </w:rPr>
        <w:t>6</w:t>
      </w:r>
      <w:r w:rsidRPr="00BF42B7">
        <w:rPr>
          <w:rFonts w:hint="eastAsia"/>
        </w:rPr>
        <w:t>条草案对第</w:t>
      </w:r>
      <w:r w:rsidRPr="00BF42B7">
        <w:rPr>
          <w:rFonts w:hint="eastAsia"/>
        </w:rPr>
        <w:t>5</w:t>
      </w:r>
      <w:r w:rsidRPr="00BF42B7">
        <w:rPr>
          <w:rFonts w:hint="eastAsia"/>
        </w:rPr>
        <w:t>条草案形成补充，后者涉及属事豁免的受益人。这两条草案确定了适用于这一类豁免的一般制度。</w:t>
      </w:r>
    </w:p>
    <w:p w:rsidR="00396D56" w:rsidRPr="00BF42B7" w:rsidRDefault="00396D56" w:rsidP="00EE2D97">
      <w:pPr>
        <w:pStyle w:val="SingleTxtGC"/>
        <w:spacing w:after="140" w:line="330" w:lineRule="exact"/>
      </w:pPr>
      <w:r w:rsidRPr="00BF42B7">
        <w:rPr>
          <w:rFonts w:hint="eastAsia"/>
        </w:rPr>
        <w:t>(</w:t>
      </w:r>
      <w:r w:rsidRPr="00BF42B7">
        <w:t>2)</w:t>
      </w:r>
      <w:r w:rsidRPr="00BF42B7">
        <w:rPr>
          <w:rFonts w:hint="eastAsia"/>
        </w:rPr>
        <w:t xml:space="preserve">  </w:t>
      </w:r>
      <w:r w:rsidRPr="00BF42B7">
        <w:rPr>
          <w:rFonts w:hint="eastAsia"/>
        </w:rPr>
        <w:t>第</w:t>
      </w:r>
      <w:r w:rsidRPr="00BF42B7">
        <w:rPr>
          <w:rFonts w:hint="eastAsia"/>
        </w:rPr>
        <w:t>6</w:t>
      </w:r>
      <w:r w:rsidRPr="00BF42B7">
        <w:rPr>
          <w:rFonts w:hint="eastAsia"/>
        </w:rPr>
        <w:t>条草案的内容与委员会拟订的关于属人豁免范围的第</w:t>
      </w:r>
      <w:r w:rsidRPr="00BF42B7">
        <w:rPr>
          <w:rFonts w:hint="eastAsia"/>
        </w:rPr>
        <w:t>4</w:t>
      </w:r>
      <w:r w:rsidRPr="00BF42B7">
        <w:rPr>
          <w:rFonts w:hint="eastAsia"/>
        </w:rPr>
        <w:t>条草案的内容相类似。在第</w:t>
      </w:r>
      <w:r w:rsidRPr="00BF42B7">
        <w:rPr>
          <w:rFonts w:hint="eastAsia"/>
        </w:rPr>
        <w:t>6</w:t>
      </w:r>
      <w:r w:rsidRPr="00BF42B7">
        <w:rPr>
          <w:rFonts w:hint="eastAsia"/>
        </w:rPr>
        <w:t>条草案中，改变了前两款的顺序，首先提及实质要素</w:t>
      </w:r>
      <w:r w:rsidRPr="00BF42B7">
        <w:rPr>
          <w:rFonts w:hint="eastAsia"/>
        </w:rPr>
        <w:t>(</w:t>
      </w:r>
      <w:r w:rsidRPr="00BF42B7">
        <w:rPr>
          <w:rFonts w:hint="eastAsia"/>
        </w:rPr>
        <w:t>豁免所包括的行为</w:t>
      </w:r>
      <w:r w:rsidRPr="00BF42B7">
        <w:rPr>
          <w:rFonts w:hint="eastAsia"/>
        </w:rPr>
        <w:t>)</w:t>
      </w:r>
      <w:r w:rsidRPr="00BF42B7">
        <w:rPr>
          <w:rFonts w:hint="eastAsia"/>
        </w:rPr>
        <w:t>，随后才提到时间要素</w:t>
      </w:r>
      <w:r w:rsidRPr="00BF42B7">
        <w:rPr>
          <w:rFonts w:hint="eastAsia"/>
        </w:rPr>
        <w:t>(</w:t>
      </w:r>
      <w:r w:rsidRPr="00BF42B7">
        <w:rPr>
          <w:rFonts w:hint="eastAsia"/>
        </w:rPr>
        <w:t>豁免的时限</w:t>
      </w:r>
      <w:r w:rsidRPr="00BF42B7">
        <w:rPr>
          <w:rFonts w:hint="eastAsia"/>
        </w:rPr>
        <w:t>)</w:t>
      </w:r>
      <w:r w:rsidRPr="00BF42B7">
        <w:rPr>
          <w:rFonts w:hint="eastAsia"/>
        </w:rPr>
        <w:t>。这样做是为了突出属事豁免的实质要素和职能层面，从而反映出以官方身份实施的行为对这一类豁免具有核心意义。尽管如此，应当铭记，要理解这类豁免的范围，必须将实质要素</w:t>
      </w:r>
      <w:r w:rsidRPr="00BF42B7">
        <w:rPr>
          <w:rFonts w:hint="eastAsia"/>
        </w:rPr>
        <w:t>(</w:t>
      </w:r>
      <w:r w:rsidRPr="00BF42B7">
        <w:rPr>
          <w:rFonts w:hint="eastAsia"/>
        </w:rPr>
        <w:t>第</w:t>
      </w:r>
      <w:r w:rsidRPr="00BF42B7">
        <w:rPr>
          <w:rFonts w:hint="eastAsia"/>
        </w:rPr>
        <w:t>1</w:t>
      </w:r>
      <w:r w:rsidRPr="00BF42B7">
        <w:rPr>
          <w:rFonts w:hint="eastAsia"/>
        </w:rPr>
        <w:t>款</w:t>
      </w:r>
      <w:r w:rsidRPr="00BF42B7">
        <w:rPr>
          <w:rFonts w:hint="eastAsia"/>
        </w:rPr>
        <w:t>)</w:t>
      </w:r>
      <w:r w:rsidRPr="00BF42B7">
        <w:rPr>
          <w:rFonts w:hint="eastAsia"/>
        </w:rPr>
        <w:t>和时间要素</w:t>
      </w:r>
      <w:r w:rsidRPr="00BF42B7">
        <w:rPr>
          <w:rFonts w:hint="eastAsia"/>
        </w:rPr>
        <w:t>(</w:t>
      </w:r>
      <w:r w:rsidRPr="00BF42B7">
        <w:rPr>
          <w:rFonts w:hint="eastAsia"/>
        </w:rPr>
        <w:t>第</w:t>
      </w:r>
      <w:r w:rsidRPr="00BF42B7">
        <w:rPr>
          <w:rFonts w:hint="eastAsia"/>
        </w:rPr>
        <w:t>2</w:t>
      </w:r>
      <w:r w:rsidRPr="00BF42B7">
        <w:rPr>
          <w:rFonts w:hint="eastAsia"/>
        </w:rPr>
        <w:t>款</w:t>
      </w:r>
      <w:r w:rsidRPr="00BF42B7">
        <w:rPr>
          <w:rFonts w:hint="eastAsia"/>
        </w:rPr>
        <w:t>)</w:t>
      </w:r>
      <w:r w:rsidRPr="00BF42B7">
        <w:rPr>
          <w:rFonts w:hint="eastAsia"/>
        </w:rPr>
        <w:t>结合起来看。此外，第</w:t>
      </w:r>
      <w:r w:rsidRPr="00BF42B7">
        <w:rPr>
          <w:rFonts w:hint="eastAsia"/>
        </w:rPr>
        <w:t>6</w:t>
      </w:r>
      <w:r w:rsidRPr="00BF42B7">
        <w:rPr>
          <w:rFonts w:hint="eastAsia"/>
        </w:rPr>
        <w:t>条草案还包括关于属事豁免和属人豁免之间的关系的一款，这与第</w:t>
      </w:r>
      <w:r w:rsidRPr="00BF42B7">
        <w:rPr>
          <w:rFonts w:hint="eastAsia"/>
        </w:rPr>
        <w:t>4</w:t>
      </w:r>
      <w:r w:rsidRPr="00BF42B7">
        <w:rPr>
          <w:rFonts w:hint="eastAsia"/>
        </w:rPr>
        <w:t>条草案类似。第</w:t>
      </w:r>
      <w:r w:rsidRPr="00BF42B7">
        <w:rPr>
          <w:rFonts w:hint="eastAsia"/>
        </w:rPr>
        <w:t>6</w:t>
      </w:r>
      <w:r w:rsidRPr="00BF42B7">
        <w:rPr>
          <w:rFonts w:hint="eastAsia"/>
        </w:rPr>
        <w:t>条草案对第</w:t>
      </w:r>
      <w:r w:rsidRPr="00BF42B7">
        <w:rPr>
          <w:rFonts w:hint="eastAsia"/>
        </w:rPr>
        <w:t>4</w:t>
      </w:r>
      <w:r w:rsidRPr="00BF42B7">
        <w:rPr>
          <w:rFonts w:hint="eastAsia"/>
        </w:rPr>
        <w:t>条草案形成补充。</w:t>
      </w:r>
    </w:p>
    <w:p w:rsidR="00396D56" w:rsidRPr="00BF42B7" w:rsidRDefault="00396D56" w:rsidP="00EE2D97">
      <w:pPr>
        <w:pStyle w:val="SingleTxtGC"/>
        <w:spacing w:after="140" w:line="330" w:lineRule="exact"/>
      </w:pPr>
      <w:r w:rsidRPr="00BF42B7">
        <w:rPr>
          <w:rFonts w:hint="eastAsia"/>
        </w:rPr>
        <w:t>(</w:t>
      </w:r>
      <w:r w:rsidRPr="00BF42B7">
        <w:t>3)</w:t>
      </w:r>
      <w:r w:rsidRPr="00BF42B7">
        <w:rPr>
          <w:rFonts w:hint="eastAsia"/>
        </w:rPr>
        <w:t xml:space="preserve">  </w:t>
      </w:r>
      <w:r w:rsidRPr="00BF42B7">
        <w:rPr>
          <w:rFonts w:hint="eastAsia"/>
        </w:rPr>
        <w:t>第</w:t>
      </w:r>
      <w:r w:rsidRPr="00BF42B7">
        <w:rPr>
          <w:rFonts w:hint="eastAsia"/>
        </w:rPr>
        <w:t>1</w:t>
      </w:r>
      <w:r w:rsidRPr="00BF42B7">
        <w:rPr>
          <w:rFonts w:hint="eastAsia"/>
        </w:rPr>
        <w:t>款的目的是指出，正如第</w:t>
      </w:r>
      <w:r w:rsidRPr="00BF42B7">
        <w:rPr>
          <w:rFonts w:hint="eastAsia"/>
        </w:rPr>
        <w:t>2</w:t>
      </w:r>
      <w:r w:rsidRPr="00BF42B7">
        <w:rPr>
          <w:rFonts w:hint="eastAsia"/>
        </w:rPr>
        <w:t>条草案</w:t>
      </w:r>
      <w:r w:rsidRPr="00BF42B7">
        <w:rPr>
          <w:rFonts w:hint="eastAsia"/>
        </w:rPr>
        <w:t>(f)</w:t>
      </w:r>
      <w:r w:rsidRPr="00BF42B7">
        <w:rPr>
          <w:rFonts w:hint="eastAsia"/>
        </w:rPr>
        <w:t>项所规定的那样，</w:t>
      </w:r>
      <w:r w:rsidRPr="00BF42B7">
        <w:rPr>
          <w:color w:val="0000FF"/>
          <w:vertAlign w:val="superscript"/>
        </w:rPr>
        <w:footnoteReference w:id="1437"/>
      </w:r>
      <w:r w:rsidRPr="00BF42B7">
        <w:rPr>
          <w:rFonts w:hint="eastAsia"/>
        </w:rPr>
        <w:t xml:space="preserve"> </w:t>
      </w:r>
      <w:r w:rsidRPr="00BF42B7">
        <w:rPr>
          <w:rFonts w:hint="eastAsia"/>
        </w:rPr>
        <w:t>属事豁免仅适用于以官方身份实施的行为。因此，这类豁免不包括以私人身份实施的行为，这有别于属人豁免，因为属人豁免对这两类行为均适用。</w:t>
      </w:r>
    </w:p>
    <w:p w:rsidR="00396D56" w:rsidRPr="00BF42B7" w:rsidRDefault="00396D56" w:rsidP="00EE2D97">
      <w:pPr>
        <w:pStyle w:val="SingleTxtGC"/>
        <w:spacing w:after="140" w:line="330" w:lineRule="exact"/>
      </w:pPr>
      <w:r w:rsidRPr="00BF42B7">
        <w:rPr>
          <w:rFonts w:hint="eastAsia"/>
        </w:rPr>
        <w:t>(</w:t>
      </w:r>
      <w:r w:rsidRPr="00BF42B7">
        <w:t>4)</w:t>
      </w:r>
      <w:r w:rsidRPr="00BF42B7">
        <w:rPr>
          <w:rFonts w:hint="eastAsia"/>
        </w:rPr>
        <w:t xml:space="preserve">  </w:t>
      </w:r>
      <w:r w:rsidRPr="00BF42B7">
        <w:rPr>
          <w:rFonts w:hint="eastAsia"/>
        </w:rPr>
        <w:t>尽管这一款的目的是突出属事豁免的实质要素，但委员会决定在其中提及国家官员，以便强调只有这些官员能够实施本条款草案下的豁免所包括的行为。这就明确表明，必须同时满足两个要素</w:t>
      </w:r>
      <w:r w:rsidRPr="00BF42B7">
        <w:rPr>
          <w:rFonts w:hint="eastAsia"/>
        </w:rPr>
        <w:t>(</w:t>
      </w:r>
      <w:r w:rsidRPr="00BF42B7">
        <w:rPr>
          <w:rFonts w:hint="eastAsia"/>
        </w:rPr>
        <w:t>主体要素和实质要素</w:t>
      </w:r>
      <w:r w:rsidRPr="00BF42B7">
        <w:rPr>
          <w:rFonts w:hint="eastAsia"/>
        </w:rPr>
        <w:t>)</w:t>
      </w:r>
      <w:r w:rsidRPr="00BF42B7">
        <w:rPr>
          <w:rFonts w:hint="eastAsia"/>
        </w:rPr>
        <w:t>，方可适用豁免。不过，委员会认为没有必要提及这些官员须“以此种身份行事”，因为官员的身份不影响此类行为的性质，而影响此类豁免的主体要素，并且第</w:t>
      </w:r>
      <w:r w:rsidRPr="00BF42B7">
        <w:rPr>
          <w:rFonts w:hint="eastAsia"/>
        </w:rPr>
        <w:t>5</w:t>
      </w:r>
      <w:r w:rsidRPr="00BF42B7">
        <w:rPr>
          <w:rFonts w:hint="eastAsia"/>
        </w:rPr>
        <w:t>条草案</w:t>
      </w:r>
      <w:r w:rsidRPr="00BF42B7">
        <w:rPr>
          <w:color w:val="0000FF"/>
          <w:vertAlign w:val="superscript"/>
        </w:rPr>
        <w:footnoteReference w:id="1438"/>
      </w:r>
      <w:r w:rsidRPr="00BF42B7">
        <w:rPr>
          <w:rFonts w:hint="eastAsia"/>
        </w:rPr>
        <w:t xml:space="preserve"> </w:t>
      </w:r>
      <w:r w:rsidRPr="00BF42B7">
        <w:rPr>
          <w:rFonts w:hint="eastAsia"/>
        </w:rPr>
        <w:t>已经涵括了这一点。然而，这一规定获得暂时通过时达成的理解是，今后某个阶段可能有必要更清晰地表述第</w:t>
      </w:r>
      <w:r w:rsidRPr="00BF42B7">
        <w:rPr>
          <w:rFonts w:hint="eastAsia"/>
        </w:rPr>
        <w:t>5</w:t>
      </w:r>
      <w:r w:rsidRPr="00BF42B7">
        <w:rPr>
          <w:rFonts w:hint="eastAsia"/>
        </w:rPr>
        <w:t>条草案和第</w:t>
      </w:r>
      <w:r w:rsidRPr="00BF42B7">
        <w:rPr>
          <w:rFonts w:hint="eastAsia"/>
        </w:rPr>
        <w:t>6</w:t>
      </w:r>
      <w:r w:rsidRPr="00BF42B7">
        <w:rPr>
          <w:rFonts w:hint="eastAsia"/>
        </w:rPr>
        <w:t>条草案第</w:t>
      </w:r>
      <w:r w:rsidRPr="00BF42B7">
        <w:rPr>
          <w:rFonts w:hint="eastAsia"/>
        </w:rPr>
        <w:t>1</w:t>
      </w:r>
      <w:r w:rsidRPr="00BF42B7">
        <w:rPr>
          <w:rFonts w:hint="eastAsia"/>
        </w:rPr>
        <w:t>款，前者使用了“以此种身份行事”的说法，而后者则没有。</w:t>
      </w:r>
    </w:p>
    <w:p w:rsidR="00396D56" w:rsidRPr="00BF42B7" w:rsidRDefault="00396D56" w:rsidP="00EE2D97">
      <w:pPr>
        <w:pStyle w:val="SingleTxtGC"/>
        <w:spacing w:after="140" w:line="330" w:lineRule="exact"/>
      </w:pPr>
      <w:r w:rsidRPr="00BF42B7">
        <w:rPr>
          <w:rFonts w:hint="eastAsia"/>
        </w:rPr>
        <w:t>(</w:t>
      </w:r>
      <w:r w:rsidRPr="00BF42B7">
        <w:t>5)</w:t>
      </w:r>
      <w:r w:rsidRPr="00BF42B7">
        <w:rPr>
          <w:rFonts w:hint="eastAsia"/>
        </w:rPr>
        <w:t xml:space="preserve">  </w:t>
      </w:r>
      <w:r w:rsidRPr="00BF42B7">
        <w:rPr>
          <w:rFonts w:hint="eastAsia"/>
        </w:rPr>
        <w:t>第</w:t>
      </w:r>
      <w:r w:rsidRPr="00BF42B7">
        <w:rPr>
          <w:rFonts w:hint="eastAsia"/>
        </w:rPr>
        <w:t>6</w:t>
      </w:r>
      <w:r w:rsidRPr="00BF42B7">
        <w:rPr>
          <w:rFonts w:hint="eastAsia"/>
        </w:rPr>
        <w:t>条草案第</w:t>
      </w:r>
      <w:r w:rsidRPr="00BF42B7">
        <w:rPr>
          <w:rFonts w:hint="eastAsia"/>
        </w:rPr>
        <w:t>1</w:t>
      </w:r>
      <w:r w:rsidRPr="00BF42B7">
        <w:rPr>
          <w:rFonts w:hint="eastAsia"/>
        </w:rPr>
        <w:t>款所规定的属事豁免的实质范围不预先判断适用于豁免的例外情况问题。这一问题将在本条款草案的其他部分加以处理。</w:t>
      </w:r>
    </w:p>
    <w:p w:rsidR="00396D56" w:rsidRPr="00EE2D97" w:rsidRDefault="00396D56" w:rsidP="00EE2D97">
      <w:pPr>
        <w:pStyle w:val="SingleTxtGC"/>
        <w:spacing w:after="140" w:line="330" w:lineRule="exact"/>
        <w:rPr>
          <w:spacing w:val="2"/>
        </w:rPr>
      </w:pPr>
      <w:r w:rsidRPr="00EE2D97">
        <w:rPr>
          <w:rFonts w:hint="eastAsia"/>
          <w:spacing w:val="2"/>
        </w:rPr>
        <w:t>(</w:t>
      </w:r>
      <w:r w:rsidRPr="00EE2D97">
        <w:rPr>
          <w:spacing w:val="2"/>
        </w:rPr>
        <w:t>6)</w:t>
      </w:r>
      <w:r w:rsidRPr="00EE2D97">
        <w:rPr>
          <w:rFonts w:hint="eastAsia"/>
          <w:spacing w:val="2"/>
        </w:rPr>
        <w:t xml:space="preserve">  </w:t>
      </w:r>
      <w:r w:rsidRPr="00EE2D97">
        <w:rPr>
          <w:rFonts w:hint="eastAsia"/>
          <w:spacing w:val="2"/>
        </w:rPr>
        <w:t>第</w:t>
      </w:r>
      <w:r w:rsidRPr="00EE2D97">
        <w:rPr>
          <w:rFonts w:hint="eastAsia"/>
          <w:spacing w:val="2"/>
        </w:rPr>
        <w:t>2</w:t>
      </w:r>
      <w:r w:rsidRPr="00EE2D97">
        <w:rPr>
          <w:rFonts w:hint="eastAsia"/>
          <w:spacing w:val="2"/>
        </w:rPr>
        <w:t>款涉及属事豁免的时间要素，重点强调了时间要素的永久性，并不会因为以官方身份实施某一行为的官员不再担任官员而失效。属事豁免的永久性特征源于这样一个事实，即承认属事豁免是因为官员实施的行为的性质，这种性质并不会随着实施上述行为者所担任的职务而改变。因此，虽然只有当国家官员以此种身份实施行为时方可称得上“官方”，但其官方性质并不会随后消失。因此，援引属事豁免的官员在提出豁免要求时是担任此种职务，抑或相反已经不再担任国家官员，对于属事豁免而言是不相关的。在这两种情况下，以官方身份实施的行为将依然是以官方身份实施的行为，无论实施这种行为的国家官员是否继续担任国家官员，均可援引属事豁免。属事豁免的永久性此前已在关于外交关系的工作中得到委员会承认，</w:t>
      </w:r>
      <w:r w:rsidRPr="00EE2D97">
        <w:rPr>
          <w:color w:val="0000FF"/>
          <w:spacing w:val="2"/>
          <w:vertAlign w:val="superscript"/>
        </w:rPr>
        <w:footnoteReference w:id="1439"/>
      </w:r>
      <w:r w:rsidRPr="00EE2D97">
        <w:rPr>
          <w:rFonts w:hint="eastAsia"/>
          <w:spacing w:val="2"/>
        </w:rPr>
        <w:t xml:space="preserve"> </w:t>
      </w:r>
      <w:r w:rsidRPr="00EE2D97">
        <w:rPr>
          <w:rFonts w:hint="eastAsia"/>
          <w:spacing w:val="2"/>
        </w:rPr>
        <w:t>在实践中未遭质疑，在文献中广为接受。</w:t>
      </w:r>
      <w:r w:rsidRPr="00EE2D97">
        <w:rPr>
          <w:color w:val="0000FF"/>
          <w:spacing w:val="2"/>
          <w:vertAlign w:val="superscript"/>
        </w:rPr>
        <w:footnoteReference w:id="1440"/>
      </w:r>
    </w:p>
    <w:p w:rsidR="00396D56" w:rsidRPr="00BF42B7" w:rsidRDefault="00396D56" w:rsidP="00396D56">
      <w:pPr>
        <w:pStyle w:val="SingleTxtGC"/>
      </w:pPr>
      <w:r w:rsidRPr="00BF42B7">
        <w:rPr>
          <w:rFonts w:hint="eastAsia"/>
        </w:rPr>
        <w:t>(</w:t>
      </w:r>
      <w:r w:rsidRPr="00BF42B7">
        <w:t>7)</w:t>
      </w:r>
      <w:r w:rsidRPr="00BF42B7">
        <w:rPr>
          <w:rFonts w:hint="eastAsia"/>
        </w:rPr>
        <w:t xml:space="preserve">  </w:t>
      </w:r>
      <w:r w:rsidRPr="00BF42B7">
        <w:rPr>
          <w:rFonts w:hint="eastAsia"/>
        </w:rPr>
        <w:t>委员会选择界定属事豁免的时间要素，申明“属事豁免在所涉个人不再担任国家官员后继续存在”，沿袭了</w:t>
      </w:r>
      <w:r w:rsidRPr="00BF42B7">
        <w:rPr>
          <w:rFonts w:hint="eastAsia"/>
        </w:rPr>
        <w:t>1961</w:t>
      </w:r>
      <w:r w:rsidRPr="00BF42B7">
        <w:rPr>
          <w:rFonts w:hint="eastAsia"/>
        </w:rPr>
        <w:t>年《维也纳外交关系公约》</w:t>
      </w:r>
      <w:bookmarkStart w:id="351" w:name="_Ref457223732"/>
      <w:r w:rsidRPr="00BF42B7">
        <w:rPr>
          <w:color w:val="0000FF"/>
          <w:vertAlign w:val="superscript"/>
        </w:rPr>
        <w:footnoteReference w:id="1441"/>
      </w:r>
      <w:bookmarkEnd w:id="351"/>
      <w:r w:rsidRPr="00BF42B7">
        <w:rPr>
          <w:rFonts w:hint="eastAsia"/>
        </w:rPr>
        <w:t xml:space="preserve"> </w:t>
      </w:r>
      <w:r w:rsidRPr="00BF42B7">
        <w:rPr>
          <w:rFonts w:hint="eastAsia"/>
        </w:rPr>
        <w:t>和</w:t>
      </w:r>
      <w:r w:rsidRPr="00BF42B7">
        <w:rPr>
          <w:rFonts w:hint="eastAsia"/>
        </w:rPr>
        <w:t>1946</w:t>
      </w:r>
      <w:r w:rsidRPr="00BF42B7">
        <w:rPr>
          <w:rFonts w:hint="eastAsia"/>
        </w:rPr>
        <w:t>年《联合国特权和豁免公约》</w:t>
      </w:r>
      <w:bookmarkStart w:id="352" w:name="_Ref457223753"/>
      <w:r w:rsidRPr="00BF42B7">
        <w:rPr>
          <w:color w:val="0000FF"/>
          <w:vertAlign w:val="superscript"/>
        </w:rPr>
        <w:footnoteReference w:id="1442"/>
      </w:r>
      <w:bookmarkEnd w:id="352"/>
      <w:r w:rsidRPr="00BF42B7">
        <w:rPr>
          <w:rFonts w:hint="eastAsia"/>
        </w:rPr>
        <w:t xml:space="preserve"> </w:t>
      </w:r>
      <w:r w:rsidRPr="00BF42B7">
        <w:rPr>
          <w:rFonts w:hint="eastAsia"/>
        </w:rPr>
        <w:t>所采用的模式。“继续存在”和“不再担任国家官员”的说法源自这两项条约。此外，委员会使用了“所涉个人”这一术语，以反映第</w:t>
      </w:r>
      <w:r w:rsidRPr="00BF42B7">
        <w:rPr>
          <w:rFonts w:hint="eastAsia"/>
        </w:rPr>
        <w:t>2</w:t>
      </w:r>
      <w:r w:rsidRPr="00BF42B7">
        <w:rPr>
          <w:rFonts w:hint="eastAsia"/>
        </w:rPr>
        <w:t>条草案</w:t>
      </w:r>
      <w:r w:rsidRPr="00BF42B7">
        <w:rPr>
          <w:rFonts w:hint="eastAsia"/>
        </w:rPr>
        <w:t>(e)</w:t>
      </w:r>
      <w:r w:rsidRPr="00BF42B7">
        <w:rPr>
          <w:rFonts w:hint="eastAsia"/>
        </w:rPr>
        <w:t>项中“国家官员”的定义。</w:t>
      </w:r>
      <w:r w:rsidRPr="00BF42B7">
        <w:rPr>
          <w:color w:val="0000FF"/>
          <w:vertAlign w:val="superscript"/>
        </w:rPr>
        <w:footnoteReference w:id="1443"/>
      </w:r>
    </w:p>
    <w:p w:rsidR="00396D56" w:rsidRPr="00BF42B7" w:rsidRDefault="00396D56" w:rsidP="00396D56">
      <w:pPr>
        <w:pStyle w:val="SingleTxtGC"/>
      </w:pPr>
      <w:r w:rsidRPr="00BF42B7">
        <w:rPr>
          <w:rFonts w:hint="eastAsia"/>
        </w:rPr>
        <w:t>(</w:t>
      </w:r>
      <w:r w:rsidRPr="00BF42B7">
        <w:t>8)</w:t>
      </w:r>
      <w:r w:rsidRPr="00BF42B7">
        <w:rPr>
          <w:rFonts w:hint="eastAsia"/>
        </w:rPr>
        <w:t xml:space="preserve">  </w:t>
      </w:r>
      <w:r w:rsidRPr="00BF42B7">
        <w:rPr>
          <w:rFonts w:hint="eastAsia"/>
        </w:rPr>
        <w:t>最后，应当指出，尽管第</w:t>
      </w:r>
      <w:r w:rsidRPr="00BF42B7">
        <w:rPr>
          <w:rFonts w:hint="eastAsia"/>
        </w:rPr>
        <w:t>2</w:t>
      </w:r>
      <w:r w:rsidRPr="00BF42B7">
        <w:rPr>
          <w:rFonts w:hint="eastAsia"/>
        </w:rPr>
        <w:t>款涉及豁免的时间要素，但委员会认为，宜在其中明确提及以官方身份实施的行为，同时铭记这些行为对于属事豁免问题具有核心意义，也是为了避免对这类豁免的永久性做出宽泛的解释，有人可能辩称它也适用于其他行为。</w:t>
      </w:r>
    </w:p>
    <w:p w:rsidR="00396D56" w:rsidRPr="00BF42B7" w:rsidRDefault="00396D56" w:rsidP="00396D56">
      <w:pPr>
        <w:pStyle w:val="SingleTxtGC"/>
      </w:pPr>
      <w:r w:rsidRPr="00BF42B7">
        <w:rPr>
          <w:rFonts w:hint="eastAsia"/>
        </w:rPr>
        <w:t>(</w:t>
      </w:r>
      <w:r w:rsidRPr="00BF42B7">
        <w:t>9)</w:t>
      </w:r>
      <w:r w:rsidRPr="00BF42B7">
        <w:rPr>
          <w:rFonts w:hint="eastAsia"/>
        </w:rPr>
        <w:t xml:space="preserve">  </w:t>
      </w:r>
      <w:r w:rsidRPr="00BF42B7">
        <w:rPr>
          <w:rFonts w:hint="eastAsia"/>
        </w:rPr>
        <w:t>第</w:t>
      </w:r>
      <w:r w:rsidRPr="00BF42B7">
        <w:rPr>
          <w:rFonts w:hint="eastAsia"/>
        </w:rPr>
        <w:t>3</w:t>
      </w:r>
      <w:r w:rsidRPr="00BF42B7">
        <w:rPr>
          <w:rFonts w:hint="eastAsia"/>
        </w:rPr>
        <w:t>款旨在界定属事豁免和属人豁免之间存在的关系的模式，其依据是它们是两类截然不同的豁免。因此，第</w:t>
      </w:r>
      <w:r w:rsidRPr="00BF42B7">
        <w:rPr>
          <w:rFonts w:hint="eastAsia"/>
        </w:rPr>
        <w:t>6</w:t>
      </w:r>
      <w:r w:rsidRPr="00BF42B7">
        <w:rPr>
          <w:rFonts w:hint="eastAsia"/>
        </w:rPr>
        <w:t>条草案第</w:t>
      </w:r>
      <w:r w:rsidRPr="00BF42B7">
        <w:rPr>
          <w:rFonts w:hint="eastAsia"/>
        </w:rPr>
        <w:t>3</w:t>
      </w:r>
      <w:r w:rsidRPr="00BF42B7">
        <w:rPr>
          <w:rFonts w:hint="eastAsia"/>
        </w:rPr>
        <w:t>款与第</w:t>
      </w:r>
      <w:r w:rsidRPr="00BF42B7">
        <w:rPr>
          <w:rFonts w:hint="eastAsia"/>
        </w:rPr>
        <w:t>4</w:t>
      </w:r>
      <w:r w:rsidRPr="00BF42B7">
        <w:rPr>
          <w:rFonts w:hint="eastAsia"/>
        </w:rPr>
        <w:t>条草案第</w:t>
      </w:r>
      <w:r w:rsidRPr="00BF42B7">
        <w:rPr>
          <w:rFonts w:hint="eastAsia"/>
        </w:rPr>
        <w:t>3</w:t>
      </w:r>
      <w:r w:rsidRPr="00BF42B7">
        <w:rPr>
          <w:rFonts w:hint="eastAsia"/>
        </w:rPr>
        <w:t>款有着密切的联系。后者也涉及二者之间的关系，不过仅仅以“不妨碍”条款的形式作了规定。</w:t>
      </w:r>
    </w:p>
    <w:p w:rsidR="00396D56" w:rsidRPr="00BF42B7" w:rsidRDefault="00396D56" w:rsidP="00396D56">
      <w:pPr>
        <w:pStyle w:val="SingleTxtGC"/>
      </w:pPr>
      <w:r w:rsidRPr="00BF42B7">
        <w:rPr>
          <w:rFonts w:hint="eastAsia"/>
        </w:rPr>
        <w:t>(</w:t>
      </w:r>
      <w:r w:rsidRPr="00BF42B7">
        <w:t>10)</w:t>
      </w:r>
      <w:r w:rsidRPr="00BF42B7">
        <w:rPr>
          <w:rFonts w:hint="eastAsia"/>
        </w:rPr>
        <w:t xml:space="preserve">  </w:t>
      </w:r>
      <w:r w:rsidRPr="00BF42B7">
        <w:rPr>
          <w:rFonts w:hint="eastAsia"/>
        </w:rPr>
        <w:t>根据第</w:t>
      </w:r>
      <w:r w:rsidRPr="00BF42B7">
        <w:rPr>
          <w:rFonts w:hint="eastAsia"/>
        </w:rPr>
        <w:t>4</w:t>
      </w:r>
      <w:r w:rsidRPr="00BF42B7">
        <w:rPr>
          <w:rFonts w:hint="eastAsia"/>
        </w:rPr>
        <w:t>条草案第</w:t>
      </w:r>
      <w:r w:rsidRPr="00BF42B7">
        <w:rPr>
          <w:rFonts w:hint="eastAsia"/>
        </w:rPr>
        <w:t>1</w:t>
      </w:r>
      <w:r w:rsidRPr="00BF42B7">
        <w:rPr>
          <w:rFonts w:hint="eastAsia"/>
        </w:rPr>
        <w:t>款，属人豁免具有临时性，因为委员会认为，“国家元首、政府首脑或外交部长任期结束后，属人豁免即停止。”。</w:t>
      </w:r>
      <w:r w:rsidRPr="00BF42B7">
        <w:rPr>
          <w:color w:val="0000FF"/>
          <w:vertAlign w:val="superscript"/>
        </w:rPr>
        <w:footnoteReference w:id="1444"/>
      </w:r>
      <w:r w:rsidRPr="00BF42B7">
        <w:rPr>
          <w:rFonts w:hint="eastAsia"/>
        </w:rPr>
        <w:t xml:space="preserve"> </w:t>
      </w:r>
      <w:r w:rsidRPr="00BF42B7">
        <w:rPr>
          <w:rFonts w:hint="eastAsia"/>
        </w:rPr>
        <w:t>不过，“</w:t>
      </w:r>
      <w:r w:rsidRPr="00BF42B7">
        <w:rPr>
          <w:rFonts w:hint="eastAsia"/>
        </w:rPr>
        <w:t>[</w:t>
      </w:r>
      <w:r w:rsidRPr="00BF42B7">
        <w:rPr>
          <w:rFonts w:hint="eastAsia"/>
        </w:rPr>
        <w:t>……</w:t>
      </w:r>
      <w:r w:rsidRPr="00BF42B7">
        <w:rPr>
          <w:rFonts w:hint="eastAsia"/>
        </w:rPr>
        <w:t>]</w:t>
      </w:r>
      <w:r w:rsidRPr="00BF42B7">
        <w:t>停止不妨碍关于属事豁免的国</w:t>
      </w:r>
      <w:r w:rsidRPr="00BF42B7">
        <w:rPr>
          <w:rFonts w:hint="eastAsia"/>
        </w:rPr>
        <w:t>际法规则的适用”</w:t>
      </w:r>
      <w:r w:rsidRPr="00BF42B7">
        <w:rPr>
          <w:rFonts w:hint="eastAsia"/>
        </w:rPr>
        <w:t>(</w:t>
      </w:r>
      <w:r w:rsidRPr="00BF42B7">
        <w:rPr>
          <w:rFonts w:hint="eastAsia"/>
        </w:rPr>
        <w:t>第</w:t>
      </w:r>
      <w:r w:rsidRPr="00BF42B7">
        <w:rPr>
          <w:rFonts w:hint="eastAsia"/>
        </w:rPr>
        <w:t>4</w:t>
      </w:r>
      <w:r w:rsidRPr="00BF42B7">
        <w:rPr>
          <w:rFonts w:hint="eastAsia"/>
        </w:rPr>
        <w:t>条草案第</w:t>
      </w:r>
      <w:r w:rsidRPr="00BF42B7">
        <w:rPr>
          <w:rFonts w:hint="eastAsia"/>
        </w:rPr>
        <w:t>3</w:t>
      </w:r>
      <w:r w:rsidRPr="00BF42B7">
        <w:rPr>
          <w:rFonts w:hint="eastAsia"/>
        </w:rPr>
        <w:t>款</w:t>
      </w:r>
      <w:r w:rsidRPr="00BF42B7">
        <w:rPr>
          <w:rFonts w:hint="eastAsia"/>
        </w:rPr>
        <w:t>)</w:t>
      </w:r>
      <w:r w:rsidRPr="00BF42B7">
        <w:rPr>
          <w:rFonts w:hint="eastAsia"/>
        </w:rPr>
        <w:t>。正如委员会在本款评注中所指出的那样，“必须注意到，国家元首、政府首脑或外交部长在任期间可能以官方身份做出一些行为，这些行为不因任期结束而失去其官方性质，因此可能属于属事豁免的范围。”</w:t>
      </w:r>
      <w:r w:rsidRPr="00BF42B7">
        <w:rPr>
          <w:iCs/>
          <w:color w:val="0000FF"/>
          <w:vertAlign w:val="superscript"/>
        </w:rPr>
        <w:footnoteReference w:id="1445"/>
      </w:r>
      <w:r w:rsidRPr="00BF42B7">
        <w:rPr>
          <w:rFonts w:hint="eastAsia"/>
        </w:rPr>
        <w:t xml:space="preserve"> </w:t>
      </w:r>
      <w:r w:rsidRPr="00BF42B7">
        <w:rPr>
          <w:rFonts w:hint="eastAsia"/>
        </w:rPr>
        <w:t>委员会还指出，“这并不意味着属人豁免延续到享有豁免者任期结束后，因为那样不符合该条草案第</w:t>
      </w:r>
      <w:r w:rsidRPr="00BF42B7">
        <w:rPr>
          <w:rFonts w:hint="eastAsia"/>
        </w:rPr>
        <w:t>1</w:t>
      </w:r>
      <w:r w:rsidRPr="00BF42B7">
        <w:rPr>
          <w:rFonts w:hint="eastAsia"/>
        </w:rPr>
        <w:t>款。这也不意味着属人豁免变成因</w:t>
      </w:r>
      <w:r w:rsidRPr="00BF42B7">
        <w:t>第</w:t>
      </w:r>
      <w:r w:rsidRPr="00BF42B7">
        <w:t>4</w:t>
      </w:r>
      <w:r w:rsidRPr="00BF42B7">
        <w:t>条草案第</w:t>
      </w:r>
      <w:r w:rsidRPr="00BF42B7">
        <w:t>3</w:t>
      </w:r>
      <w:r w:rsidRPr="00BF42B7">
        <w:t>款而</w:t>
      </w:r>
      <w:r w:rsidRPr="00BF42B7">
        <w:rPr>
          <w:rFonts w:hint="eastAsia"/>
        </w:rPr>
        <w:t>自动适用的新的属事豁免。委员会认为该‘不妨碍’条款只是不排除这种可能性，即在符合关于属事豁免的规定时，可以对前国家元首、政府首脑或外交部长在任期间以官方身份实施的行为适用属事豁免。”</w:t>
      </w:r>
      <w:r w:rsidRPr="00BF42B7">
        <w:rPr>
          <w:color w:val="0000FF"/>
          <w:vertAlign w:val="superscript"/>
        </w:rPr>
        <w:footnoteReference w:id="1446"/>
      </w:r>
    </w:p>
    <w:p w:rsidR="00396D56" w:rsidRPr="00BF42B7" w:rsidRDefault="00396D56" w:rsidP="00396D56">
      <w:pPr>
        <w:pStyle w:val="SingleTxtGC"/>
      </w:pPr>
      <w:r w:rsidRPr="00BF42B7">
        <w:rPr>
          <w:rFonts w:hint="eastAsia"/>
        </w:rPr>
        <w:t>(</w:t>
      </w:r>
      <w:r w:rsidRPr="00BF42B7">
        <w:t xml:space="preserve">11) </w:t>
      </w:r>
      <w:r w:rsidRPr="00BF42B7">
        <w:rPr>
          <w:rFonts w:hint="eastAsia"/>
        </w:rPr>
        <w:t xml:space="preserve"> </w:t>
      </w:r>
      <w:r w:rsidRPr="00BF42B7">
        <w:rPr>
          <w:rFonts w:hint="eastAsia"/>
        </w:rPr>
        <w:t>这正是第</w:t>
      </w:r>
      <w:r w:rsidRPr="00BF42B7">
        <w:rPr>
          <w:rFonts w:hint="eastAsia"/>
        </w:rPr>
        <w:t>6</w:t>
      </w:r>
      <w:r w:rsidRPr="00BF42B7">
        <w:rPr>
          <w:rFonts w:hint="eastAsia"/>
        </w:rPr>
        <w:t>条草案第</w:t>
      </w:r>
      <w:r w:rsidRPr="00BF42B7">
        <w:rPr>
          <w:rFonts w:hint="eastAsia"/>
        </w:rPr>
        <w:t>3</w:t>
      </w:r>
      <w:r w:rsidRPr="00BF42B7">
        <w:rPr>
          <w:rFonts w:hint="eastAsia"/>
        </w:rPr>
        <w:t>款所述的情况。本款的依据是，国家元首、政府首脑和外交部长在任期内享有广泛的豁免，通称“属人豁免”，实际上，这和属事豁免的效力相同。这并不妨碍国家官员在结束任期之后享有严格意义上的属事豁免。第</w:t>
      </w:r>
      <w:r w:rsidRPr="00BF42B7">
        <w:rPr>
          <w:rFonts w:hint="eastAsia"/>
        </w:rPr>
        <w:t>5</w:t>
      </w:r>
      <w:r w:rsidRPr="00BF42B7">
        <w:rPr>
          <w:rFonts w:hint="eastAsia"/>
        </w:rPr>
        <w:t>条草案评注中也是这样理解的。该评注确认：“</w:t>
      </w:r>
      <w:r w:rsidRPr="00BF42B7">
        <w:rPr>
          <w:rFonts w:hint="eastAsia"/>
          <w:lang w:val="en-GB"/>
        </w:rPr>
        <w:t>尽管委员会</w:t>
      </w:r>
      <w:r w:rsidRPr="00BF42B7">
        <w:rPr>
          <w:lang w:val="en-GB"/>
        </w:rPr>
        <w:t>认为国家元首、政府首脑和外交部长只在离任后才享有严格意义上的属事豁免</w:t>
      </w:r>
      <w:r w:rsidRPr="00BF42B7">
        <w:rPr>
          <w:i/>
          <w:lang w:val="en-GB"/>
        </w:rPr>
        <w:t>，</w:t>
      </w:r>
      <w:r w:rsidRPr="00BF42B7">
        <w:rPr>
          <w:lang w:val="en-GB"/>
        </w:rPr>
        <w:t>但没有必要在第</w:t>
      </w:r>
      <w:r w:rsidRPr="00BF42B7">
        <w:rPr>
          <w:lang w:val="en-GB"/>
        </w:rPr>
        <w:t>5</w:t>
      </w:r>
      <w:r w:rsidRPr="00BF42B7">
        <w:rPr>
          <w:lang w:val="en-GB"/>
        </w:rPr>
        <w:t>条草案中提到这一点。将在今后一条关于属事豁免实质范围和时间范围的草案中对这一问题予以更广泛的讨论，该条草案将仿照第</w:t>
      </w:r>
      <w:r w:rsidRPr="00BF42B7">
        <w:rPr>
          <w:lang w:val="en-GB"/>
        </w:rPr>
        <w:t>4</w:t>
      </w:r>
      <w:r w:rsidRPr="00BF42B7">
        <w:rPr>
          <w:lang w:val="en-GB"/>
        </w:rPr>
        <w:t>条草案拟订</w:t>
      </w:r>
      <w:r w:rsidRPr="00BF42B7">
        <w:rPr>
          <w:rFonts w:hint="eastAsia"/>
          <w:lang w:val="en-GB"/>
        </w:rPr>
        <w:t>。”</w:t>
      </w:r>
      <w:r w:rsidRPr="00BF42B7">
        <w:rPr>
          <w:color w:val="0000FF"/>
          <w:vertAlign w:val="superscript"/>
        </w:rPr>
        <w:footnoteReference w:id="1447"/>
      </w:r>
    </w:p>
    <w:p w:rsidR="00396D56" w:rsidRPr="00BF42B7" w:rsidRDefault="00396D56" w:rsidP="00396D56">
      <w:pPr>
        <w:pStyle w:val="SingleTxtGC"/>
      </w:pPr>
      <w:r w:rsidRPr="00BF42B7">
        <w:rPr>
          <w:rFonts w:hint="eastAsia"/>
        </w:rPr>
        <w:t>(</w:t>
      </w:r>
      <w:r w:rsidRPr="00BF42B7">
        <w:t>12)</w:t>
      </w:r>
      <w:r w:rsidRPr="00BF42B7">
        <w:rPr>
          <w:rFonts w:hint="eastAsia"/>
        </w:rPr>
        <w:t xml:space="preserve">  </w:t>
      </w:r>
      <w:r w:rsidRPr="00BF42B7">
        <w:rPr>
          <w:rFonts w:hint="eastAsia"/>
        </w:rPr>
        <w:t>为此，需要满足属事豁免的标准，亦即：行为由国家官员</w:t>
      </w:r>
      <w:r w:rsidRPr="00BF42B7">
        <w:rPr>
          <w:rFonts w:hint="eastAsia"/>
        </w:rPr>
        <w:t>(</w:t>
      </w:r>
      <w:r w:rsidRPr="00BF42B7">
        <w:rPr>
          <w:rFonts w:hint="eastAsia"/>
        </w:rPr>
        <w:t>在这一具体情况下，包括国家元首、政府首脑或外交部长</w:t>
      </w:r>
      <w:r w:rsidRPr="00BF42B7">
        <w:rPr>
          <w:rFonts w:hint="eastAsia"/>
        </w:rPr>
        <w:t>)</w:t>
      </w:r>
      <w:r w:rsidRPr="00BF42B7">
        <w:rPr>
          <w:rFonts w:hint="eastAsia"/>
        </w:rPr>
        <w:t>以此种官方身份在其任期内实施。第</w:t>
      </w:r>
      <w:r w:rsidRPr="00BF42B7">
        <w:rPr>
          <w:rFonts w:hint="eastAsia"/>
        </w:rPr>
        <w:t>6</w:t>
      </w:r>
      <w:r w:rsidRPr="00BF42B7">
        <w:rPr>
          <w:rFonts w:hint="eastAsia"/>
        </w:rPr>
        <w:t>条草案第</w:t>
      </w:r>
      <w:r w:rsidRPr="00BF42B7">
        <w:rPr>
          <w:rFonts w:hint="eastAsia"/>
        </w:rPr>
        <w:t>3</w:t>
      </w:r>
      <w:r w:rsidRPr="00BF42B7">
        <w:rPr>
          <w:rFonts w:hint="eastAsia"/>
        </w:rPr>
        <w:t>款的目标恰恰是，申明属事豁免适用于这种情况。因此，本款对第</w:t>
      </w:r>
      <w:r w:rsidRPr="00BF42B7">
        <w:rPr>
          <w:rFonts w:hint="eastAsia"/>
        </w:rPr>
        <w:t>4</w:t>
      </w:r>
      <w:r w:rsidRPr="00BF42B7">
        <w:rPr>
          <w:rFonts w:hint="eastAsia"/>
        </w:rPr>
        <w:t>条草案第</w:t>
      </w:r>
      <w:r w:rsidRPr="00BF42B7">
        <w:rPr>
          <w:rFonts w:hint="eastAsia"/>
        </w:rPr>
        <w:t>3</w:t>
      </w:r>
      <w:r w:rsidRPr="00BF42B7">
        <w:rPr>
          <w:rFonts w:hint="eastAsia"/>
        </w:rPr>
        <w:t>款形成补充。委员会曾表示，“第</w:t>
      </w:r>
      <w:r w:rsidRPr="00BF42B7">
        <w:rPr>
          <w:rFonts w:hint="eastAsia"/>
        </w:rPr>
        <w:t>4</w:t>
      </w:r>
      <w:r w:rsidRPr="00BF42B7">
        <w:rPr>
          <w:rFonts w:hint="eastAsia"/>
        </w:rPr>
        <w:t>条草案第</w:t>
      </w:r>
      <w:r w:rsidRPr="00BF42B7">
        <w:rPr>
          <w:rFonts w:hint="eastAsia"/>
        </w:rPr>
        <w:t>3</w:t>
      </w:r>
      <w:r w:rsidRPr="00BF42B7">
        <w:rPr>
          <w:rFonts w:hint="eastAsia"/>
        </w:rPr>
        <w:t>款没有预先判断属事豁免机制的内容，这将在条款草案第三部分制定”。</w:t>
      </w:r>
      <w:r w:rsidRPr="00BF42B7">
        <w:rPr>
          <w:color w:val="0000FF"/>
          <w:vertAlign w:val="superscript"/>
        </w:rPr>
        <w:footnoteReference w:id="1448"/>
      </w:r>
    </w:p>
    <w:p w:rsidR="00396D56" w:rsidRPr="00BF42B7" w:rsidRDefault="00396D56" w:rsidP="00396D56">
      <w:pPr>
        <w:pStyle w:val="SingleTxtGC"/>
      </w:pPr>
      <w:r w:rsidRPr="00BF42B7">
        <w:rPr>
          <w:rFonts w:hint="eastAsia"/>
        </w:rPr>
        <w:t>(</w:t>
      </w:r>
      <w:r w:rsidRPr="00BF42B7">
        <w:t>13)</w:t>
      </w:r>
      <w:r w:rsidRPr="00BF42B7">
        <w:rPr>
          <w:rFonts w:hint="eastAsia"/>
        </w:rPr>
        <w:t xml:space="preserve">  </w:t>
      </w:r>
      <w:r w:rsidRPr="00BF42B7">
        <w:rPr>
          <w:rFonts w:hint="eastAsia"/>
        </w:rPr>
        <w:t>不过，关于第</w:t>
      </w:r>
      <w:r w:rsidRPr="00BF42B7">
        <w:rPr>
          <w:rFonts w:hint="eastAsia"/>
        </w:rPr>
        <w:t>6</w:t>
      </w:r>
      <w:r w:rsidRPr="00BF42B7">
        <w:rPr>
          <w:rFonts w:hint="eastAsia"/>
        </w:rPr>
        <w:t>条草案第</w:t>
      </w:r>
      <w:r w:rsidRPr="00BF42B7">
        <w:rPr>
          <w:rFonts w:hint="eastAsia"/>
        </w:rPr>
        <w:t>3</w:t>
      </w:r>
      <w:r w:rsidRPr="00BF42B7">
        <w:rPr>
          <w:rFonts w:hint="eastAsia"/>
        </w:rPr>
        <w:t>款涉及的情况，一些委员认为，在任期间，国家元首、政府首脑和外交部长同时享有属人豁免和属事豁免。相反，其他委员则认为，为本条款草案的目的，属人豁免具有普遍性、范围更广，包括属事豁免，因为属人豁免既适用于以私人身份实施的行为，也适用于以官方身份实施的行为。这些委员认为，正如第</w:t>
      </w:r>
      <w:r w:rsidRPr="00BF42B7">
        <w:rPr>
          <w:rFonts w:hint="eastAsia"/>
        </w:rPr>
        <w:t>4</w:t>
      </w:r>
      <w:r w:rsidRPr="00BF42B7">
        <w:rPr>
          <w:rFonts w:hint="eastAsia"/>
        </w:rPr>
        <w:t>条草案所规定以及第</w:t>
      </w:r>
      <w:r w:rsidRPr="00BF42B7">
        <w:rPr>
          <w:rFonts w:hint="eastAsia"/>
        </w:rPr>
        <w:t>4</w:t>
      </w:r>
      <w:r w:rsidRPr="00BF42B7">
        <w:rPr>
          <w:rFonts w:hint="eastAsia"/>
        </w:rPr>
        <w:t>条和第</w:t>
      </w:r>
      <w:r w:rsidRPr="00BF42B7">
        <w:rPr>
          <w:rFonts w:hint="eastAsia"/>
        </w:rPr>
        <w:t>5</w:t>
      </w:r>
      <w:r w:rsidRPr="00BF42B7">
        <w:rPr>
          <w:rFonts w:hint="eastAsia"/>
        </w:rPr>
        <w:t>条草案评注所体现的那样，这类官员在任职期间仅享有属人豁免，任期结束后将享有属事豁免。尽管倾向于一种或另一种选择可能对某些国家的国内法院造成后果</w:t>
      </w:r>
      <w:r w:rsidRPr="00BF42B7">
        <w:rPr>
          <w:rFonts w:hint="eastAsia"/>
        </w:rPr>
        <w:t>(</w:t>
      </w:r>
      <w:r w:rsidRPr="00BF42B7">
        <w:rPr>
          <w:rFonts w:hint="eastAsia"/>
        </w:rPr>
        <w:t>尤其是在向这些法院援引豁免的条件方面</w:t>
      </w:r>
      <w:r w:rsidRPr="00BF42B7">
        <w:rPr>
          <w:rFonts w:hint="eastAsia"/>
        </w:rPr>
        <w:t>)</w:t>
      </w:r>
      <w:r w:rsidRPr="00BF42B7">
        <w:rPr>
          <w:rFonts w:hint="eastAsia"/>
        </w:rPr>
        <w:t>，但此类后果不会扩大到所有国家法律体系之中。辩论期间，一些委员表示认为，无需在第</w:t>
      </w:r>
      <w:r w:rsidRPr="00BF42B7">
        <w:rPr>
          <w:rFonts w:hint="eastAsia"/>
        </w:rPr>
        <w:t>6</w:t>
      </w:r>
      <w:r w:rsidRPr="00BF42B7">
        <w:rPr>
          <w:rFonts w:hint="eastAsia"/>
        </w:rPr>
        <w:t>条草案中加入第</w:t>
      </w:r>
      <w:r w:rsidRPr="00BF42B7">
        <w:rPr>
          <w:rFonts w:hint="eastAsia"/>
        </w:rPr>
        <w:t>3</w:t>
      </w:r>
      <w:r w:rsidRPr="00BF42B7">
        <w:rPr>
          <w:rFonts w:hint="eastAsia"/>
        </w:rPr>
        <w:t>款，只需在该条草案评注中提及这一问题即可。</w:t>
      </w:r>
    </w:p>
    <w:p w:rsidR="00396D56" w:rsidRPr="00BF42B7" w:rsidRDefault="00396D56" w:rsidP="00396D56">
      <w:pPr>
        <w:pStyle w:val="SingleTxtGC"/>
      </w:pPr>
      <w:r w:rsidRPr="00BF42B7">
        <w:rPr>
          <w:rFonts w:hint="eastAsia"/>
        </w:rPr>
        <w:t>(</w:t>
      </w:r>
      <w:r w:rsidRPr="00BF42B7">
        <w:t>14)</w:t>
      </w:r>
      <w:r w:rsidRPr="00BF42B7">
        <w:rPr>
          <w:rFonts w:hint="eastAsia"/>
        </w:rPr>
        <w:t xml:space="preserve">  </w:t>
      </w:r>
      <w:r w:rsidRPr="00BF42B7">
        <w:rPr>
          <w:rFonts w:hint="eastAsia"/>
        </w:rPr>
        <w:t>委员会考虑到这一有趣的辩论，其中主要涉及理论和术语，但委员会决定保留第</w:t>
      </w:r>
      <w:r w:rsidRPr="00BF42B7">
        <w:rPr>
          <w:rFonts w:hint="eastAsia"/>
        </w:rPr>
        <w:t>6</w:t>
      </w:r>
      <w:r w:rsidRPr="00BF42B7">
        <w:rPr>
          <w:rFonts w:hint="eastAsia"/>
        </w:rPr>
        <w:t>条草案第</w:t>
      </w:r>
      <w:r w:rsidRPr="00BF42B7">
        <w:rPr>
          <w:rFonts w:hint="eastAsia"/>
        </w:rPr>
        <w:t>3</w:t>
      </w:r>
      <w:r w:rsidRPr="00BF42B7">
        <w:rPr>
          <w:rFonts w:hint="eastAsia"/>
        </w:rPr>
        <w:t>款，特别是鉴于该款的切实重要性，其目的是在操作层面说明此前曾享受属人豁免的个人</w:t>
      </w:r>
      <w:r w:rsidRPr="00BF42B7">
        <w:rPr>
          <w:rFonts w:hint="eastAsia"/>
        </w:rPr>
        <w:t>(</w:t>
      </w:r>
      <w:r w:rsidRPr="00BF42B7">
        <w:rPr>
          <w:rFonts w:hint="eastAsia"/>
        </w:rPr>
        <w:t>国家元首、政府首脑和外交部长</w:t>
      </w:r>
      <w:r w:rsidRPr="00BF42B7">
        <w:rPr>
          <w:rFonts w:hint="eastAsia"/>
        </w:rPr>
        <w:t>)</w:t>
      </w:r>
      <w:r w:rsidRPr="00BF42B7">
        <w:rPr>
          <w:rFonts w:hint="eastAsia"/>
        </w:rPr>
        <w:t>任期结束后适用何种法律制度。</w:t>
      </w:r>
    </w:p>
    <w:p w:rsidR="00CC1C57" w:rsidRPr="00BF42B7" w:rsidRDefault="00396D56" w:rsidP="00396D56">
      <w:pPr>
        <w:pStyle w:val="SingleTxtGC"/>
      </w:pPr>
      <w:r w:rsidRPr="00BF42B7">
        <w:rPr>
          <w:rFonts w:hint="eastAsia"/>
        </w:rPr>
        <w:t>(</w:t>
      </w:r>
      <w:r w:rsidRPr="00BF42B7">
        <w:t>15)</w:t>
      </w:r>
      <w:r w:rsidRPr="00BF42B7">
        <w:rPr>
          <w:rFonts w:hint="eastAsia"/>
        </w:rPr>
        <w:t xml:space="preserve">  </w:t>
      </w:r>
      <w:r w:rsidRPr="00BF42B7">
        <w:rPr>
          <w:rFonts w:hint="eastAsia"/>
        </w:rPr>
        <w:t>第</w:t>
      </w:r>
      <w:r w:rsidRPr="00BF42B7">
        <w:rPr>
          <w:rFonts w:hint="eastAsia"/>
        </w:rPr>
        <w:t>3</w:t>
      </w:r>
      <w:r w:rsidRPr="00BF42B7">
        <w:rPr>
          <w:rFonts w:hint="eastAsia"/>
        </w:rPr>
        <w:t>款的措辞仿照了《维也纳外交关系公约》</w:t>
      </w:r>
      <w:r w:rsidRPr="00BF42B7">
        <w:rPr>
          <w:rFonts w:hint="eastAsia"/>
        </w:rPr>
        <w:t>(</w:t>
      </w:r>
      <w:r w:rsidRPr="00BF42B7">
        <w:rPr>
          <w:rFonts w:hint="eastAsia"/>
        </w:rPr>
        <w:t>第三十九条第二款</w:t>
      </w:r>
      <w:r w:rsidRPr="00BF42B7">
        <w:rPr>
          <w:rFonts w:hint="eastAsia"/>
        </w:rPr>
        <w:t>)</w:t>
      </w:r>
      <w:r w:rsidRPr="00BF42B7">
        <w:rPr>
          <w:rFonts w:hint="eastAsia"/>
        </w:rPr>
        <w:t>和《联合国特权和豁免公约》</w:t>
      </w:r>
      <w:r w:rsidRPr="00BF42B7">
        <w:rPr>
          <w:rFonts w:hint="eastAsia"/>
        </w:rPr>
        <w:t>(</w:t>
      </w:r>
      <w:r w:rsidRPr="00BF42B7">
        <w:rPr>
          <w:rFonts w:hint="eastAsia"/>
        </w:rPr>
        <w:t>第四条第十二节</w:t>
      </w:r>
      <w:r w:rsidRPr="00BF42B7">
        <w:rPr>
          <w:rFonts w:hint="eastAsia"/>
        </w:rPr>
        <w:t>)</w:t>
      </w:r>
      <w:r w:rsidRPr="00BF42B7">
        <w:rPr>
          <w:rFonts w:hint="eastAsia"/>
        </w:rPr>
        <w:t>，这两项公约所涉的情况与本款所涉的情况类似，亦即：曾享有属人豁免的人员任期结束后对于在上述任期内以官方身份实施的行为的处境。</w:t>
      </w:r>
      <w:r w:rsidRPr="00BF42B7">
        <w:rPr>
          <w:color w:val="0000FF"/>
          <w:vertAlign w:val="superscript"/>
        </w:rPr>
        <w:footnoteReference w:id="1449"/>
      </w:r>
      <w:r w:rsidRPr="00BF42B7">
        <w:rPr>
          <w:rFonts w:hint="eastAsia"/>
        </w:rPr>
        <w:t xml:space="preserve"> </w:t>
      </w:r>
      <w:r w:rsidRPr="00BF42B7">
        <w:rPr>
          <w:rFonts w:hint="eastAsia"/>
        </w:rPr>
        <w:t>委员会使用了“继续享有豁免”的说法，以体现行为发生的时刻与援引豁免的时刻之间存在的联系。如同本款所参考的两项公约一样，第</w:t>
      </w:r>
      <w:r w:rsidRPr="00BF42B7">
        <w:rPr>
          <w:rFonts w:hint="eastAsia"/>
        </w:rPr>
        <w:t>6</w:t>
      </w:r>
      <w:r w:rsidRPr="00BF42B7">
        <w:rPr>
          <w:rFonts w:hint="eastAsia"/>
        </w:rPr>
        <w:t>条草案第</w:t>
      </w:r>
      <w:r w:rsidRPr="00BF42B7">
        <w:rPr>
          <w:rFonts w:hint="eastAsia"/>
        </w:rPr>
        <w:t>3</w:t>
      </w:r>
      <w:r w:rsidRPr="00BF42B7">
        <w:rPr>
          <w:rFonts w:hint="eastAsia"/>
        </w:rPr>
        <w:t>款没有对豁免一词定性，而仅仅使用了笼统的说法。不过，虽然没有对“豁免”一词进行任何限定，但委员会理解，这个词是指“属事豁免”，因为只有在这种情况下，才可能在任期结束后考虑国家官员以官方身份实施的行为。</w:t>
      </w:r>
    </w:p>
    <w:p w:rsidR="008022D4" w:rsidRDefault="008022D4">
      <w:pPr>
        <w:tabs>
          <w:tab w:val="clear" w:pos="431"/>
        </w:tabs>
        <w:overflowPunct/>
        <w:adjustRightInd/>
        <w:snapToGrid/>
        <w:spacing w:line="240" w:lineRule="auto"/>
        <w:jc w:val="left"/>
        <w:rPr>
          <w:rFonts w:eastAsia="黑体"/>
          <w:sz w:val="28"/>
          <w:lang w:val="en-GB"/>
        </w:rPr>
      </w:pPr>
      <w:r>
        <w:rPr>
          <w:lang w:val="en-GB"/>
        </w:rPr>
        <w:br w:type="page"/>
      </w:r>
    </w:p>
    <w:p w:rsidR="00813081" w:rsidRPr="00BF42B7" w:rsidRDefault="00813081" w:rsidP="00813081">
      <w:pPr>
        <w:pStyle w:val="HChGC"/>
        <w:rPr>
          <w:lang w:val="en-GB"/>
        </w:rPr>
      </w:pPr>
      <w:r w:rsidRPr="00BF42B7">
        <w:rPr>
          <w:rFonts w:hint="eastAsia"/>
          <w:lang w:val="en-GB"/>
        </w:rPr>
        <w:tab/>
      </w:r>
      <w:r w:rsidRPr="00BF42B7">
        <w:rPr>
          <w:rFonts w:hint="eastAsia"/>
          <w:lang w:val="en-GB"/>
        </w:rPr>
        <w:tab/>
      </w:r>
      <w:r w:rsidRPr="00BF42B7">
        <w:rPr>
          <w:rFonts w:hint="eastAsia"/>
          <w:lang w:val="en-GB"/>
        </w:rPr>
        <w:t>第十二章</w:t>
      </w:r>
      <w:r w:rsidRPr="00BF42B7">
        <w:rPr>
          <w:lang w:val="en-GB"/>
        </w:rPr>
        <w:br/>
      </w:r>
      <w:r w:rsidRPr="00BF42B7">
        <w:rPr>
          <w:rFonts w:hint="eastAsia"/>
          <w:lang w:val="en-GB"/>
        </w:rPr>
        <w:t>条约的暂时适用</w:t>
      </w:r>
    </w:p>
    <w:p w:rsidR="00813081" w:rsidRPr="00BF42B7" w:rsidRDefault="00813081" w:rsidP="00813081">
      <w:pPr>
        <w:pStyle w:val="H1GC"/>
        <w:rPr>
          <w:lang w:val="en-GB"/>
        </w:rPr>
      </w:pPr>
      <w:bookmarkStart w:id="353" w:name="_Toc427938151"/>
      <w:r w:rsidRPr="00BF42B7">
        <w:rPr>
          <w:rFonts w:hint="eastAsia"/>
          <w:lang w:val="en-GB"/>
        </w:rPr>
        <w:tab/>
      </w:r>
      <w:r w:rsidRPr="00BF42B7">
        <w:rPr>
          <w:lang w:val="en-GB"/>
        </w:rPr>
        <w:t>A.</w:t>
      </w:r>
      <w:r w:rsidRPr="00BF42B7">
        <w:rPr>
          <w:lang w:val="en-GB"/>
        </w:rPr>
        <w:tab/>
      </w:r>
      <w:bookmarkEnd w:id="353"/>
      <w:r w:rsidRPr="00BF42B7">
        <w:rPr>
          <w:rFonts w:hint="eastAsia"/>
          <w:lang w:val="en-GB"/>
        </w:rPr>
        <w:t>导言</w:t>
      </w:r>
    </w:p>
    <w:p w:rsidR="00813081" w:rsidRPr="00BF42B7" w:rsidRDefault="00813081" w:rsidP="00813081">
      <w:pPr>
        <w:pStyle w:val="SingleTxtGC"/>
        <w:rPr>
          <w:rFonts w:ascii="Time New Roman" w:hAnsi="Time New Roman" w:hint="eastAsia"/>
          <w:lang w:val="en-GB"/>
        </w:rPr>
      </w:pPr>
      <w:r w:rsidRPr="00BF42B7">
        <w:rPr>
          <w:rFonts w:ascii="Time New Roman" w:hAnsi="Time New Roman" w:hint="eastAsia"/>
        </w:rPr>
        <w:t xml:space="preserve">251.  </w:t>
      </w:r>
      <w:r w:rsidRPr="00BF42B7">
        <w:rPr>
          <w:rFonts w:ascii="Time New Roman" w:hAnsi="Time New Roman" w:hint="eastAsia"/>
        </w:rPr>
        <w:t>委员会在第六十四届会议</w:t>
      </w:r>
      <w:r w:rsidRPr="00BF42B7">
        <w:rPr>
          <w:rFonts w:ascii="Time New Roman" w:hAnsi="Time New Roman" w:hint="eastAsia"/>
        </w:rPr>
        <w:t>(</w:t>
      </w:r>
      <w:r w:rsidRPr="00BF42B7">
        <w:rPr>
          <w:rFonts w:ascii="Time New Roman" w:hAnsi="Time New Roman" w:hint="eastAsia"/>
          <w:lang w:val="en-GB"/>
        </w:rPr>
        <w:t>2012</w:t>
      </w:r>
      <w:r w:rsidRPr="00BF42B7">
        <w:rPr>
          <w:rFonts w:ascii="Time New Roman" w:hAnsi="Time New Roman" w:hint="eastAsia"/>
        </w:rPr>
        <w:t>年</w:t>
      </w:r>
      <w:r w:rsidRPr="00BF42B7">
        <w:rPr>
          <w:rFonts w:ascii="Time New Roman" w:hAnsi="Time New Roman" w:hint="eastAsia"/>
        </w:rPr>
        <w:t>)</w:t>
      </w:r>
      <w:r w:rsidRPr="00BF42B7">
        <w:rPr>
          <w:rFonts w:ascii="Time New Roman" w:hAnsi="Time New Roman" w:hint="eastAsia"/>
        </w:rPr>
        <w:t>上，决定将“条约的暂时适用”专题列入工作方案，并任命胡安·曼努埃尔·戈麦斯－罗夫莱多先生为专题特别报告员。</w:t>
      </w:r>
      <w:r w:rsidRPr="00BF42B7">
        <w:rPr>
          <w:color w:val="0000FF"/>
          <w:vertAlign w:val="superscript"/>
          <w:lang w:val="en-GB"/>
        </w:rPr>
        <w:footnoteReference w:id="1450"/>
      </w:r>
      <w:r w:rsidRPr="00BF42B7">
        <w:rPr>
          <w:rFonts w:ascii="Time New Roman" w:hAnsi="Time New Roman" w:hint="eastAsia"/>
          <w:lang w:val="en-GB"/>
        </w:rPr>
        <w:t xml:space="preserve"> </w:t>
      </w:r>
      <w:r w:rsidRPr="00BF42B7">
        <w:rPr>
          <w:rFonts w:ascii="Time New Roman" w:hAnsi="Time New Roman" w:hint="eastAsia"/>
        </w:rPr>
        <w:t>在同一届会议上，委员会注意到特别报告员就他主持进行的关于这一专题的非正式磋商情况所作的口头报告。</w:t>
      </w:r>
      <w:r w:rsidRPr="00BF42B7">
        <w:rPr>
          <w:color w:val="0000FF"/>
          <w:vertAlign w:val="superscript"/>
          <w:lang w:val="en-GB"/>
        </w:rPr>
        <w:footnoteReference w:id="1451"/>
      </w:r>
      <w:r w:rsidRPr="00BF42B7">
        <w:rPr>
          <w:rFonts w:ascii="Time New Roman" w:hAnsi="Time New Roman" w:hint="eastAsia"/>
        </w:rPr>
        <w:t xml:space="preserve"> </w:t>
      </w:r>
      <w:r w:rsidRPr="00BF42B7">
        <w:rPr>
          <w:rFonts w:ascii="Time New Roman" w:hAnsi="Time New Roman" w:hint="eastAsia"/>
        </w:rPr>
        <w:t>大会后来在</w:t>
      </w:r>
      <w:r w:rsidRPr="00BF42B7">
        <w:rPr>
          <w:rFonts w:ascii="Time New Roman" w:hAnsi="Time New Roman" w:hint="eastAsia"/>
          <w:lang w:val="en-GB"/>
        </w:rPr>
        <w:t>2012</w:t>
      </w:r>
      <w:r w:rsidRPr="00BF42B7">
        <w:rPr>
          <w:rFonts w:ascii="Time New Roman" w:hAnsi="Time New Roman" w:hint="eastAsia"/>
          <w:lang w:val="en-GB"/>
        </w:rPr>
        <w:t>年</w:t>
      </w:r>
      <w:r w:rsidRPr="00BF42B7">
        <w:rPr>
          <w:rFonts w:ascii="Time New Roman" w:hAnsi="Time New Roman" w:hint="eastAsia"/>
          <w:lang w:val="en-GB"/>
        </w:rPr>
        <w:t>12</w:t>
      </w:r>
      <w:r w:rsidRPr="00BF42B7">
        <w:rPr>
          <w:rFonts w:ascii="Time New Roman" w:hAnsi="Time New Roman" w:hint="eastAsia"/>
          <w:lang w:val="en-GB"/>
        </w:rPr>
        <w:t>月</w:t>
      </w:r>
      <w:r w:rsidRPr="00BF42B7">
        <w:rPr>
          <w:rFonts w:ascii="Time New Roman" w:hAnsi="Time New Roman" w:hint="eastAsia"/>
          <w:lang w:val="en-GB"/>
        </w:rPr>
        <w:t>14</w:t>
      </w:r>
      <w:r w:rsidRPr="00BF42B7">
        <w:rPr>
          <w:rFonts w:ascii="Time New Roman" w:hAnsi="Time New Roman" w:hint="eastAsia"/>
          <w:lang w:val="en-GB"/>
        </w:rPr>
        <w:t>日第</w:t>
      </w:r>
      <w:hyperlink r:id="rId101" w:history="1">
        <w:r w:rsidRPr="00BF42B7">
          <w:rPr>
            <w:rStyle w:val="af"/>
            <w:rFonts w:ascii="Time New Roman" w:hAnsi="Time New Roman" w:hint="eastAsia"/>
            <w:lang w:val="en-GB"/>
          </w:rPr>
          <w:t>67/92</w:t>
        </w:r>
      </w:hyperlink>
      <w:r w:rsidRPr="00BF42B7">
        <w:rPr>
          <w:rFonts w:ascii="Time New Roman" w:hAnsi="Time New Roman" w:hint="eastAsia"/>
        </w:rPr>
        <w:t>号决议中赞赏地注意到委员会决定将此专题列入其工作方案。</w:t>
      </w:r>
    </w:p>
    <w:p w:rsidR="00813081" w:rsidRPr="00BF42B7" w:rsidRDefault="00813081" w:rsidP="00813081">
      <w:pPr>
        <w:pStyle w:val="SingleTxtGC"/>
        <w:rPr>
          <w:rFonts w:ascii="Time New Roman" w:hAnsi="Time New Roman" w:hint="eastAsia"/>
          <w:lang w:val="en-GB"/>
        </w:rPr>
      </w:pPr>
      <w:r w:rsidRPr="00BF42B7">
        <w:rPr>
          <w:rFonts w:ascii="Time New Roman" w:hAnsi="Time New Roman" w:hint="eastAsia"/>
          <w:lang w:val="en-GB"/>
        </w:rPr>
        <w:t xml:space="preserve">252.  </w:t>
      </w:r>
      <w:r w:rsidRPr="00BF42B7">
        <w:rPr>
          <w:rFonts w:ascii="Time New Roman" w:hAnsi="Time New Roman" w:hint="eastAsia"/>
          <w:lang w:val="en-GB"/>
        </w:rPr>
        <w:t>委员会在第六十五届会议</w:t>
      </w:r>
      <w:r w:rsidRPr="00BF42B7">
        <w:rPr>
          <w:rFonts w:ascii="Time New Roman" w:hAnsi="Time New Roman" w:hint="eastAsia"/>
          <w:lang w:val="en-GB"/>
        </w:rPr>
        <w:t>(2013</w:t>
      </w:r>
      <w:r w:rsidRPr="00BF42B7">
        <w:rPr>
          <w:rFonts w:ascii="Time New Roman" w:hAnsi="Time New Roman" w:hint="eastAsia"/>
          <w:lang w:val="en-GB"/>
        </w:rPr>
        <w:t>年</w:t>
      </w:r>
      <w:r w:rsidRPr="00BF42B7">
        <w:rPr>
          <w:rFonts w:ascii="Time New Roman" w:hAnsi="Time New Roman" w:hint="eastAsia"/>
          <w:lang w:val="en-GB"/>
        </w:rPr>
        <w:t>)</w:t>
      </w:r>
      <w:r w:rsidRPr="00BF42B7">
        <w:rPr>
          <w:rFonts w:ascii="Time New Roman" w:hAnsi="Time New Roman" w:hint="eastAsia"/>
          <w:lang w:val="en-GB"/>
        </w:rPr>
        <w:t>上，收到了特别报告员的第一次报告</w:t>
      </w:r>
      <w:r w:rsidRPr="00BF42B7">
        <w:rPr>
          <w:rFonts w:ascii="Time New Roman" w:hAnsi="Time New Roman" w:hint="eastAsia"/>
          <w:lang w:val="en-GB"/>
        </w:rPr>
        <w:t>(</w:t>
      </w:r>
      <w:hyperlink r:id="rId102" w:history="1">
        <w:r w:rsidRPr="00BF42B7">
          <w:rPr>
            <w:rStyle w:val="af"/>
            <w:rFonts w:ascii="Time New Roman" w:hAnsi="Time New Roman" w:hint="eastAsia"/>
            <w:lang w:val="en-GB"/>
          </w:rPr>
          <w:t>A/CN.4/664</w:t>
        </w:r>
      </w:hyperlink>
      <w:r w:rsidRPr="00BF42B7">
        <w:rPr>
          <w:rFonts w:ascii="Time New Roman" w:hAnsi="Time New Roman" w:hint="eastAsia"/>
          <w:lang w:val="en-GB"/>
        </w:rPr>
        <w:t>)</w:t>
      </w:r>
      <w:r w:rsidRPr="00BF42B7">
        <w:rPr>
          <w:rFonts w:ascii="Time New Roman" w:hAnsi="Time New Roman" w:hint="eastAsia"/>
          <w:lang w:val="en-GB"/>
        </w:rPr>
        <w:t>，该报告旨在通过探讨如何从理论角度处理这一专题以及简要回顾现有的国家惯例，设法从总体上确定在条约的暂时适用方面出现的主要法律问题。</w:t>
      </w:r>
      <w:r w:rsidRPr="00BF42B7">
        <w:rPr>
          <w:rFonts w:ascii="Time New Roman" w:hAnsi="Time New Roman" w:hint="eastAsia"/>
        </w:rPr>
        <w:t>委员会还收到了秘书处编写的一份备忘录</w:t>
      </w:r>
      <w:r w:rsidRPr="00BF42B7">
        <w:rPr>
          <w:rFonts w:ascii="Time New Roman" w:hAnsi="Time New Roman" w:hint="eastAsia"/>
          <w:lang w:val="en-GB"/>
        </w:rPr>
        <w:t>(</w:t>
      </w:r>
      <w:hyperlink r:id="rId103" w:history="1">
        <w:r w:rsidRPr="00BF42B7">
          <w:rPr>
            <w:rStyle w:val="af"/>
            <w:rFonts w:ascii="Time New Roman" w:hAnsi="Time New Roman" w:hint="eastAsia"/>
            <w:lang w:val="en-GB"/>
          </w:rPr>
          <w:t>A/CN.4/658</w:t>
        </w:r>
      </w:hyperlink>
      <w:r w:rsidRPr="00BF42B7">
        <w:rPr>
          <w:rFonts w:ascii="Time New Roman" w:hAnsi="Time New Roman" w:hint="eastAsia"/>
          <w:lang w:val="en-GB"/>
        </w:rPr>
        <w:t>)</w:t>
      </w:r>
      <w:r w:rsidRPr="00BF42B7">
        <w:rPr>
          <w:rFonts w:ascii="Time New Roman" w:hAnsi="Time New Roman" w:hint="eastAsia"/>
          <w:lang w:val="en-GB"/>
        </w:rPr>
        <w:t>，其中叙述了</w:t>
      </w:r>
      <w:r w:rsidRPr="00BF42B7">
        <w:rPr>
          <w:rFonts w:ascii="Time New Roman" w:hAnsi="Time New Roman" w:hint="eastAsia"/>
          <w:lang w:val="en-GB"/>
        </w:rPr>
        <w:t>1968</w:t>
      </w:r>
      <w:r w:rsidRPr="00BF42B7">
        <w:rPr>
          <w:rFonts w:ascii="Time New Roman" w:hAnsi="Time New Roman" w:hint="eastAsia"/>
          <w:lang w:val="en-GB"/>
        </w:rPr>
        <w:t>和</w:t>
      </w:r>
      <w:r w:rsidRPr="00BF42B7">
        <w:rPr>
          <w:rFonts w:ascii="Time New Roman" w:hAnsi="Time New Roman" w:hint="eastAsia"/>
          <w:lang w:val="en-GB"/>
        </w:rPr>
        <w:t>1969</w:t>
      </w:r>
      <w:r w:rsidRPr="00BF42B7">
        <w:rPr>
          <w:rFonts w:ascii="Time New Roman" w:hAnsi="Time New Roman" w:hint="eastAsia"/>
          <w:lang w:val="en-GB"/>
        </w:rPr>
        <w:t>年委员会和维也纳会议对</w:t>
      </w:r>
      <w:r w:rsidRPr="00BF42B7">
        <w:rPr>
          <w:rFonts w:ascii="Time New Roman" w:hAnsi="Time New Roman" w:hint="eastAsia"/>
          <w:lang w:val="en-GB"/>
        </w:rPr>
        <w:t>1969</w:t>
      </w:r>
      <w:r w:rsidRPr="00BF42B7">
        <w:rPr>
          <w:rFonts w:ascii="Time New Roman" w:hAnsi="Time New Roman" w:hint="eastAsia"/>
          <w:lang w:val="en-GB"/>
        </w:rPr>
        <w:t>年</w:t>
      </w:r>
      <w:r w:rsidRPr="00BF42B7">
        <w:rPr>
          <w:rFonts w:ascii="Time New Roman" w:hAnsi="Time New Roman" w:hint="eastAsia"/>
        </w:rPr>
        <w:t>《维也纳条约法公约》</w:t>
      </w:r>
      <w:r w:rsidRPr="00BF42B7">
        <w:rPr>
          <w:rFonts w:ascii="Time New Roman" w:hAnsi="Time New Roman" w:hint="eastAsia"/>
        </w:rPr>
        <w:t>(</w:t>
      </w:r>
      <w:r w:rsidRPr="00BF42B7">
        <w:rPr>
          <w:rFonts w:ascii="Time New Roman" w:hAnsi="Time New Roman" w:hint="eastAsia"/>
        </w:rPr>
        <w:t>以下简称</w:t>
      </w:r>
      <w:r w:rsidRPr="00BF42B7">
        <w:rPr>
          <w:rFonts w:ascii="Time New Roman" w:hAnsi="Time New Roman" w:hint="eastAsia"/>
          <w:lang w:val="en-GB"/>
        </w:rPr>
        <w:t>1969</w:t>
      </w:r>
      <w:r w:rsidRPr="00BF42B7">
        <w:rPr>
          <w:rFonts w:ascii="Time New Roman" w:hAnsi="Time New Roman" w:hint="eastAsia"/>
        </w:rPr>
        <w:t>年</w:t>
      </w:r>
      <w:r w:rsidRPr="00BF42B7">
        <w:rPr>
          <w:rFonts w:ascii="Time New Roman" w:hAnsi="Time New Roman" w:hint="eastAsia"/>
          <w:lang w:val="en-GB"/>
        </w:rPr>
        <w:t>《维也纳公约》</w:t>
      </w:r>
      <w:r w:rsidRPr="00BF42B7">
        <w:rPr>
          <w:rFonts w:ascii="Time New Roman" w:hAnsi="Time New Roman" w:hint="eastAsia"/>
          <w:lang w:val="en-GB"/>
        </w:rPr>
        <w:t>)</w:t>
      </w:r>
      <w:r w:rsidRPr="00BF42B7">
        <w:rPr>
          <w:rFonts w:ascii="Time New Roman" w:hAnsi="Time New Roman" w:hint="eastAsia"/>
          <w:lang w:val="en-GB"/>
        </w:rPr>
        <w:t>第二十五条的谈判情况，并简要分析了审议期间提出的一些实质性问题。</w:t>
      </w:r>
    </w:p>
    <w:p w:rsidR="00813081" w:rsidRPr="00BF42B7" w:rsidRDefault="00813081" w:rsidP="00813081">
      <w:pPr>
        <w:pStyle w:val="SingleTxtGC"/>
        <w:rPr>
          <w:rFonts w:ascii="Time New Roman" w:hAnsi="Time New Roman" w:hint="eastAsia"/>
          <w:lang w:val="en-GB"/>
        </w:rPr>
      </w:pPr>
      <w:r w:rsidRPr="00BF42B7">
        <w:rPr>
          <w:rFonts w:ascii="Time New Roman" w:hAnsi="Time New Roman" w:hint="eastAsia"/>
          <w:lang w:val="en-GB"/>
        </w:rPr>
        <w:t xml:space="preserve">253.  </w:t>
      </w:r>
      <w:r w:rsidRPr="00BF42B7">
        <w:rPr>
          <w:rFonts w:ascii="Time New Roman" w:hAnsi="Time New Roman" w:hint="eastAsia"/>
          <w:lang w:val="en-GB"/>
        </w:rPr>
        <w:t>委员会在第六十六届会议</w:t>
      </w:r>
      <w:r w:rsidRPr="00BF42B7">
        <w:rPr>
          <w:rFonts w:ascii="Time New Roman" w:hAnsi="Time New Roman" w:hint="eastAsia"/>
          <w:lang w:val="en-GB"/>
        </w:rPr>
        <w:t>(2014</w:t>
      </w:r>
      <w:r w:rsidRPr="00BF42B7">
        <w:rPr>
          <w:rFonts w:ascii="Time New Roman" w:hAnsi="Time New Roman" w:hint="eastAsia"/>
          <w:lang w:val="en-GB"/>
        </w:rPr>
        <w:t>年</w:t>
      </w:r>
      <w:r w:rsidRPr="00BF42B7">
        <w:rPr>
          <w:rFonts w:ascii="Time New Roman" w:hAnsi="Time New Roman" w:hint="eastAsia"/>
          <w:lang w:val="en-GB"/>
        </w:rPr>
        <w:t>)</w:t>
      </w:r>
      <w:r w:rsidRPr="00BF42B7">
        <w:rPr>
          <w:rFonts w:ascii="Time New Roman" w:hAnsi="Time New Roman" w:hint="eastAsia"/>
          <w:lang w:val="en-GB"/>
        </w:rPr>
        <w:t>上，审议了特别报告员的第二次报告</w:t>
      </w:r>
      <w:r w:rsidRPr="00BF42B7">
        <w:rPr>
          <w:rFonts w:ascii="Time New Roman" w:hAnsi="Time New Roman" w:hint="eastAsia"/>
          <w:lang w:val="en-GB"/>
        </w:rPr>
        <w:t>(</w:t>
      </w:r>
      <w:hyperlink r:id="rId104" w:history="1">
        <w:r w:rsidRPr="00BF42B7">
          <w:rPr>
            <w:rStyle w:val="af"/>
            <w:rFonts w:ascii="Time New Roman" w:hAnsi="Time New Roman" w:hint="eastAsia"/>
            <w:lang w:val="en-GB"/>
          </w:rPr>
          <w:t>A/CN.4/675</w:t>
        </w:r>
      </w:hyperlink>
      <w:r w:rsidRPr="00BF42B7">
        <w:rPr>
          <w:rFonts w:ascii="Time New Roman" w:hAnsi="Time New Roman" w:hint="eastAsia"/>
          <w:lang w:val="en-GB"/>
        </w:rPr>
        <w:t>)</w:t>
      </w:r>
      <w:r w:rsidRPr="00BF42B7">
        <w:rPr>
          <w:rFonts w:ascii="Time New Roman" w:hAnsi="Time New Roman" w:hint="eastAsia"/>
          <w:lang w:val="en-GB"/>
        </w:rPr>
        <w:t>，该报告试图对暂时适用条约的法律效力作出实质性分析</w:t>
      </w:r>
      <w:r w:rsidRPr="00BF42B7">
        <w:rPr>
          <w:rFonts w:ascii="Time New Roman" w:hAnsi="Time New Roman" w:hint="eastAsia"/>
        </w:rPr>
        <w:t>。</w:t>
      </w:r>
    </w:p>
    <w:p w:rsidR="00813081" w:rsidRPr="00BF42B7" w:rsidRDefault="00813081" w:rsidP="00813081">
      <w:pPr>
        <w:pStyle w:val="SingleTxtGC"/>
        <w:rPr>
          <w:rFonts w:ascii="Time New Roman" w:hAnsi="Time New Roman" w:hint="eastAsia"/>
          <w:lang w:val="en-GB"/>
        </w:rPr>
      </w:pPr>
      <w:r w:rsidRPr="00BF42B7">
        <w:rPr>
          <w:rFonts w:ascii="Time New Roman" w:hAnsi="Time New Roman" w:hint="eastAsia"/>
          <w:lang w:val="en-GB"/>
        </w:rPr>
        <w:t xml:space="preserve">254.  </w:t>
      </w:r>
      <w:r w:rsidRPr="00BF42B7">
        <w:rPr>
          <w:rFonts w:ascii="Time New Roman" w:hAnsi="Time New Roman" w:hint="eastAsia"/>
          <w:lang w:val="en-GB"/>
        </w:rPr>
        <w:t>委员会在第六十七届会议</w:t>
      </w:r>
      <w:r w:rsidRPr="00BF42B7">
        <w:rPr>
          <w:rFonts w:ascii="Time New Roman" w:hAnsi="Time New Roman" w:hint="eastAsia"/>
          <w:lang w:val="en-GB"/>
        </w:rPr>
        <w:t>(2015</w:t>
      </w:r>
      <w:r w:rsidRPr="00BF42B7">
        <w:rPr>
          <w:rFonts w:ascii="Time New Roman" w:hAnsi="Time New Roman" w:hint="eastAsia"/>
          <w:lang w:val="en-GB"/>
        </w:rPr>
        <w:t>年</w:t>
      </w:r>
      <w:r w:rsidRPr="00BF42B7">
        <w:rPr>
          <w:rFonts w:ascii="Time New Roman" w:hAnsi="Time New Roman" w:hint="eastAsia"/>
          <w:lang w:val="en-GB"/>
        </w:rPr>
        <w:t>)</w:t>
      </w:r>
      <w:r w:rsidRPr="00BF42B7">
        <w:rPr>
          <w:rFonts w:ascii="Time New Roman" w:hAnsi="Time New Roman" w:hint="eastAsia"/>
          <w:lang w:val="en-GB"/>
        </w:rPr>
        <w:t>上，审议了特别报告员继续分析国家惯例的第三次报告</w:t>
      </w:r>
      <w:r w:rsidRPr="00BF42B7">
        <w:rPr>
          <w:rFonts w:ascii="Time New Roman" w:hAnsi="Time New Roman" w:hint="eastAsia"/>
          <w:lang w:val="en-GB"/>
        </w:rPr>
        <w:t>(</w:t>
      </w:r>
      <w:hyperlink r:id="rId105" w:history="1">
        <w:r w:rsidRPr="00BF42B7">
          <w:rPr>
            <w:rStyle w:val="af"/>
            <w:rFonts w:ascii="Time New Roman" w:hAnsi="Time New Roman" w:hint="eastAsia"/>
            <w:lang w:val="en-GB"/>
          </w:rPr>
          <w:t>A/CN.4/687</w:t>
        </w:r>
      </w:hyperlink>
      <w:r w:rsidRPr="00BF42B7">
        <w:rPr>
          <w:rFonts w:ascii="Time New Roman" w:hAnsi="Time New Roman" w:hint="eastAsia"/>
          <w:lang w:val="en-GB"/>
        </w:rPr>
        <w:t>)</w:t>
      </w:r>
      <w:r w:rsidRPr="00BF42B7">
        <w:rPr>
          <w:rFonts w:ascii="Time New Roman" w:hAnsi="Time New Roman" w:hint="eastAsia"/>
          <w:lang w:val="en-GB"/>
        </w:rPr>
        <w:t>，并审议了暂时适用与</w:t>
      </w:r>
      <w:r w:rsidRPr="00BF42B7">
        <w:rPr>
          <w:rFonts w:ascii="Time New Roman" w:hAnsi="Time New Roman" w:hint="eastAsia"/>
          <w:lang w:val="en-GB"/>
        </w:rPr>
        <w:t>1969</w:t>
      </w:r>
      <w:r w:rsidRPr="00BF42B7">
        <w:rPr>
          <w:rFonts w:ascii="Time New Roman" w:hAnsi="Time New Roman" w:hint="eastAsia"/>
          <w:lang w:val="en-GB"/>
        </w:rPr>
        <w:t>年《维也纳公约》其他规定的关系以及对国际组织的暂时适用问题</w:t>
      </w:r>
      <w:r w:rsidRPr="00BF42B7">
        <w:rPr>
          <w:rFonts w:ascii="Time New Roman" w:hAnsi="Time New Roman" w:hint="eastAsia"/>
        </w:rPr>
        <w:t>。</w:t>
      </w:r>
      <w:r w:rsidRPr="00BF42B7">
        <w:rPr>
          <w:rFonts w:ascii="Time New Roman" w:hAnsi="Time New Roman" w:hint="eastAsia"/>
          <w:lang w:val="en-GB"/>
        </w:rPr>
        <w:t>委员会还收到了秘书处就</w:t>
      </w:r>
      <w:r w:rsidRPr="00BF42B7">
        <w:rPr>
          <w:rFonts w:ascii="Time New Roman" w:hAnsi="Time New Roman" w:hint="eastAsia"/>
          <w:lang w:val="en-GB"/>
        </w:rPr>
        <w:t>1986</w:t>
      </w:r>
      <w:r w:rsidRPr="00BF42B7">
        <w:rPr>
          <w:rFonts w:ascii="Time New Roman" w:hAnsi="Time New Roman" w:hint="eastAsia"/>
          <w:lang w:val="en-GB"/>
        </w:rPr>
        <w:t>年《关于国家与国际组织间或国际组织相互间条约法的维也纳公约》之下暂时适用问题编写的一份备忘录</w:t>
      </w:r>
      <w:r w:rsidRPr="00BF42B7">
        <w:rPr>
          <w:rFonts w:ascii="Time New Roman" w:hAnsi="Time New Roman" w:hint="eastAsia"/>
          <w:lang w:val="en-GB"/>
        </w:rPr>
        <w:t>(</w:t>
      </w:r>
      <w:hyperlink r:id="rId106" w:history="1">
        <w:r w:rsidRPr="00BF42B7">
          <w:rPr>
            <w:rStyle w:val="af"/>
            <w:rFonts w:ascii="Time New Roman" w:hAnsi="Time New Roman" w:hint="eastAsia"/>
            <w:lang w:val="en-GB"/>
          </w:rPr>
          <w:t>A/CN.4/676</w:t>
        </w:r>
      </w:hyperlink>
      <w:r w:rsidRPr="00BF42B7">
        <w:rPr>
          <w:rFonts w:ascii="Time New Roman" w:hAnsi="Time New Roman" w:hint="eastAsia"/>
          <w:lang w:val="en-GB"/>
        </w:rPr>
        <w:t>)</w:t>
      </w:r>
      <w:r w:rsidRPr="00BF42B7">
        <w:rPr>
          <w:rFonts w:ascii="Time New Roman" w:hAnsi="Time New Roman" w:hint="eastAsia"/>
          <w:lang w:val="en-GB"/>
        </w:rPr>
        <w:t>。</w:t>
      </w:r>
      <w:r w:rsidRPr="00BF42B7">
        <w:rPr>
          <w:rFonts w:ascii="Time New Roman" w:hAnsi="Time New Roman" w:hint="eastAsia"/>
        </w:rPr>
        <w:t>委员会将特别报告员提出的六条准则草案提交起草委员会。委员会随后收到了起草委员会主席提出的仅供参考的临时口头报告，</w:t>
      </w:r>
      <w:r w:rsidRPr="00BF42B7">
        <w:rPr>
          <w:color w:val="0000FF"/>
          <w:vertAlign w:val="superscript"/>
          <w:lang w:val="en-GB"/>
        </w:rPr>
        <w:footnoteReference w:id="1452"/>
      </w:r>
      <w:r w:rsidRPr="00BF42B7">
        <w:rPr>
          <w:rFonts w:ascii="Time New Roman" w:hAnsi="Time New Roman" w:hint="eastAsia"/>
        </w:rPr>
        <w:t xml:space="preserve"> </w:t>
      </w:r>
      <w:r w:rsidRPr="00BF42B7">
        <w:rPr>
          <w:rFonts w:ascii="Time New Roman" w:hAnsi="Time New Roman" w:hint="eastAsia"/>
        </w:rPr>
        <w:t>涉及该委员会暂时通过的准则草案</w:t>
      </w:r>
      <w:r w:rsidRPr="00BF42B7">
        <w:rPr>
          <w:rFonts w:ascii="Time New Roman" w:hAnsi="Time New Roman" w:hint="eastAsia"/>
          <w:lang w:val="en-GB"/>
        </w:rPr>
        <w:t>1-3</w:t>
      </w:r>
      <w:r w:rsidRPr="00BF42B7">
        <w:rPr>
          <w:rFonts w:ascii="Time New Roman" w:hAnsi="Time New Roman" w:hint="eastAsia"/>
        </w:rPr>
        <w:t>。</w:t>
      </w:r>
      <w:r w:rsidRPr="00BF42B7">
        <w:rPr>
          <w:color w:val="0000FF"/>
          <w:vertAlign w:val="superscript"/>
          <w:lang w:val="en-GB"/>
        </w:rPr>
        <w:footnoteReference w:id="1453"/>
      </w:r>
      <w:bookmarkStart w:id="354" w:name="B_Consideration"/>
    </w:p>
    <w:p w:rsidR="00813081" w:rsidRPr="00BF42B7" w:rsidRDefault="00813081" w:rsidP="00813081">
      <w:pPr>
        <w:pStyle w:val="H1GC"/>
        <w:rPr>
          <w:lang w:val="en-GB"/>
        </w:rPr>
      </w:pPr>
      <w:bookmarkStart w:id="355" w:name="_Toc427938152"/>
      <w:r w:rsidRPr="00BF42B7">
        <w:rPr>
          <w:rFonts w:hint="eastAsia"/>
          <w:lang w:val="en-GB"/>
        </w:rPr>
        <w:tab/>
      </w:r>
      <w:r w:rsidRPr="00BF42B7">
        <w:rPr>
          <w:lang w:val="en-GB"/>
        </w:rPr>
        <w:t>B</w:t>
      </w:r>
      <w:bookmarkEnd w:id="354"/>
      <w:r w:rsidRPr="00BF42B7">
        <w:rPr>
          <w:lang w:val="en-GB"/>
        </w:rPr>
        <w:t>.</w:t>
      </w:r>
      <w:r w:rsidRPr="00BF42B7">
        <w:rPr>
          <w:lang w:val="en-GB"/>
        </w:rPr>
        <w:tab/>
      </w:r>
      <w:bookmarkEnd w:id="355"/>
      <w:r w:rsidRPr="00BF42B7">
        <w:rPr>
          <w:rFonts w:hint="eastAsia"/>
          <w:lang w:val="en-GB"/>
        </w:rPr>
        <w:t>本届会议审议此专题的情况</w:t>
      </w:r>
    </w:p>
    <w:p w:rsidR="00813081" w:rsidRPr="00BF42B7" w:rsidRDefault="00813081" w:rsidP="00813081">
      <w:pPr>
        <w:pStyle w:val="SingleTxtGC"/>
        <w:rPr>
          <w:rFonts w:ascii="Time New Roman" w:hAnsi="Time New Roman" w:hint="eastAsia"/>
          <w:lang w:val="en-GB"/>
        </w:rPr>
      </w:pPr>
      <w:r w:rsidRPr="00BF42B7">
        <w:rPr>
          <w:rFonts w:ascii="Time New Roman" w:hAnsi="Time New Roman" w:hint="eastAsia"/>
        </w:rPr>
        <w:t xml:space="preserve">255.  </w:t>
      </w:r>
      <w:r w:rsidRPr="00BF42B7">
        <w:rPr>
          <w:rFonts w:ascii="Time New Roman" w:hAnsi="Time New Roman" w:hint="eastAsia"/>
        </w:rPr>
        <w:t>在本届会议上，委员会收到了特别报告员的第四次报告</w:t>
      </w:r>
      <w:r w:rsidRPr="00BF42B7">
        <w:rPr>
          <w:rFonts w:ascii="Time New Roman" w:hAnsi="Time New Roman" w:hint="eastAsia"/>
        </w:rPr>
        <w:t>(</w:t>
      </w:r>
      <w:hyperlink r:id="rId107" w:history="1">
        <w:r w:rsidRPr="00BF42B7">
          <w:rPr>
            <w:rStyle w:val="af"/>
            <w:rFonts w:ascii="Time New Roman" w:hAnsi="Time New Roman"/>
            <w:lang w:val="en-GB"/>
          </w:rPr>
          <w:t>A/CN.4/699</w:t>
        </w:r>
      </w:hyperlink>
      <w:r w:rsidRPr="00BF42B7">
        <w:rPr>
          <w:rFonts w:ascii="Time New Roman" w:hAnsi="Time New Roman" w:hint="eastAsia"/>
          <w:lang w:val="en-GB"/>
        </w:rPr>
        <w:t>和</w:t>
      </w:r>
      <w:r w:rsidRPr="00BF42B7">
        <w:rPr>
          <w:rFonts w:ascii="Time New Roman" w:hAnsi="Time New Roman"/>
          <w:lang w:val="en-GB"/>
        </w:rPr>
        <w:t>Add.1</w:t>
      </w:r>
      <w:r w:rsidRPr="00BF42B7">
        <w:rPr>
          <w:rFonts w:ascii="Time New Roman" w:hAnsi="Time New Roman" w:hint="eastAsia"/>
        </w:rPr>
        <w:t>)</w:t>
      </w:r>
      <w:r w:rsidRPr="00BF42B7">
        <w:rPr>
          <w:rFonts w:ascii="Time New Roman" w:hAnsi="Time New Roman" w:hint="eastAsia"/>
        </w:rPr>
        <w:t>，报告继续分析了暂时适用与</w:t>
      </w:r>
      <w:r w:rsidRPr="00BF42B7">
        <w:rPr>
          <w:rFonts w:ascii="Time New Roman" w:hAnsi="Time New Roman" w:hint="eastAsia"/>
          <w:lang w:val="en-GB"/>
        </w:rPr>
        <w:t>1969</w:t>
      </w:r>
      <w:r w:rsidRPr="00BF42B7">
        <w:rPr>
          <w:rFonts w:ascii="Time New Roman" w:hAnsi="Time New Roman" w:hint="eastAsia"/>
        </w:rPr>
        <w:t>年《维也纳公约》其他规定的关系以及对国际组织的暂时适用问题。增编载有近来欧洲联盟暂时适用与第三国协定的例子。</w:t>
      </w:r>
      <w:r w:rsidRPr="00BF42B7">
        <w:rPr>
          <w:rFonts w:ascii="Time New Roman" w:hAnsi="Time New Roman" w:hint="eastAsia"/>
          <w:lang w:val="en-GB"/>
        </w:rPr>
        <w:t>报告包括一项提议，涉及关于国际法的准则草案</w:t>
      </w:r>
      <w:r w:rsidRPr="00BF42B7">
        <w:rPr>
          <w:rFonts w:ascii="Time New Roman" w:hAnsi="Time New Roman" w:hint="eastAsia"/>
          <w:lang w:val="en-GB"/>
        </w:rPr>
        <w:t>10</w:t>
      </w:r>
      <w:r w:rsidRPr="00BF42B7">
        <w:rPr>
          <w:rFonts w:ascii="Time New Roman" w:hAnsi="Time New Roman" w:hint="eastAsia"/>
          <w:lang w:val="en-GB"/>
        </w:rPr>
        <w:t>和对暂时适用条约的全部和部分问题的评论意见。</w:t>
      </w:r>
      <w:r w:rsidRPr="00BF42B7">
        <w:rPr>
          <w:color w:val="0000FF"/>
          <w:vertAlign w:val="superscript"/>
          <w:lang w:val="en-GB"/>
        </w:rPr>
        <w:footnoteReference w:id="1454"/>
      </w:r>
    </w:p>
    <w:p w:rsidR="00813081" w:rsidRPr="00BF42B7" w:rsidRDefault="00813081" w:rsidP="00813081">
      <w:pPr>
        <w:pStyle w:val="SingleTxtGC"/>
        <w:rPr>
          <w:rFonts w:ascii="Time New Roman" w:hAnsi="Time New Roman" w:hint="eastAsia"/>
          <w:lang w:val="en-GB"/>
        </w:rPr>
      </w:pPr>
      <w:r w:rsidRPr="00BF42B7">
        <w:rPr>
          <w:rFonts w:ascii="Time New Roman" w:hAnsi="Time New Roman" w:hint="eastAsia"/>
          <w:lang w:val="en-GB"/>
        </w:rPr>
        <w:t xml:space="preserve">256.  </w:t>
      </w:r>
      <w:r w:rsidRPr="00BF42B7">
        <w:rPr>
          <w:rFonts w:ascii="Time New Roman" w:hAnsi="Time New Roman" w:hint="eastAsia"/>
          <w:lang w:val="en-GB"/>
        </w:rPr>
        <w:t>委员会在</w:t>
      </w:r>
      <w:r w:rsidRPr="00BF42B7">
        <w:rPr>
          <w:rFonts w:ascii="Time New Roman" w:hAnsi="Time New Roman" w:hint="eastAsia"/>
          <w:lang w:val="en-GB"/>
        </w:rPr>
        <w:t>2016</w:t>
      </w:r>
      <w:r w:rsidRPr="00BF42B7">
        <w:rPr>
          <w:rFonts w:ascii="Time New Roman" w:hAnsi="Time New Roman" w:hint="eastAsia"/>
          <w:lang w:val="en-GB"/>
        </w:rPr>
        <w:t>年</w:t>
      </w:r>
      <w:r w:rsidRPr="00BF42B7">
        <w:rPr>
          <w:rFonts w:ascii="Time New Roman" w:hAnsi="Time New Roman" w:hint="eastAsia"/>
          <w:lang w:val="en-GB"/>
        </w:rPr>
        <w:t>7</w:t>
      </w:r>
      <w:r w:rsidRPr="00BF42B7">
        <w:rPr>
          <w:rFonts w:ascii="Time New Roman" w:hAnsi="Time New Roman" w:hint="eastAsia"/>
          <w:lang w:val="en-GB"/>
        </w:rPr>
        <w:t>月</w:t>
      </w:r>
      <w:r w:rsidRPr="00BF42B7">
        <w:rPr>
          <w:rFonts w:ascii="Time New Roman" w:hAnsi="Time New Roman" w:hint="eastAsia"/>
          <w:lang w:val="en-GB"/>
        </w:rPr>
        <w:t>20</w:t>
      </w:r>
      <w:r w:rsidRPr="00BF42B7">
        <w:rPr>
          <w:rFonts w:ascii="Time New Roman" w:hAnsi="Time New Roman" w:hint="eastAsia"/>
          <w:lang w:val="en-GB"/>
        </w:rPr>
        <w:t>日至</w:t>
      </w:r>
      <w:r w:rsidRPr="00BF42B7">
        <w:rPr>
          <w:rFonts w:ascii="Time New Roman" w:hAnsi="Time New Roman" w:hint="eastAsia"/>
          <w:lang w:val="en-GB"/>
        </w:rPr>
        <w:t>27</w:t>
      </w:r>
      <w:r w:rsidRPr="00BF42B7">
        <w:rPr>
          <w:rFonts w:ascii="Time New Roman" w:hAnsi="Time New Roman" w:hint="eastAsia"/>
          <w:lang w:val="en-GB"/>
        </w:rPr>
        <w:t>日举行的第</w:t>
      </w:r>
      <w:r w:rsidRPr="00BF42B7">
        <w:rPr>
          <w:rFonts w:ascii="Time New Roman" w:hAnsi="Time New Roman" w:hint="eastAsia"/>
          <w:lang w:val="en-GB"/>
        </w:rPr>
        <w:t>3324</w:t>
      </w:r>
      <w:r w:rsidRPr="00BF42B7">
        <w:rPr>
          <w:rFonts w:ascii="Time New Roman" w:hAnsi="Time New Roman" w:hint="eastAsia"/>
          <w:lang w:val="en-GB"/>
        </w:rPr>
        <w:t>至</w:t>
      </w:r>
      <w:r w:rsidRPr="00BF42B7">
        <w:rPr>
          <w:rFonts w:ascii="Time New Roman" w:hAnsi="Time New Roman" w:hint="eastAsia"/>
          <w:lang w:val="en-GB"/>
        </w:rPr>
        <w:t>3329</w:t>
      </w:r>
      <w:r w:rsidRPr="00BF42B7">
        <w:rPr>
          <w:rFonts w:ascii="Time New Roman" w:hAnsi="Time New Roman" w:hint="eastAsia"/>
          <w:lang w:val="en-GB"/>
        </w:rPr>
        <w:t>次</w:t>
      </w:r>
      <w:r w:rsidRPr="00BF42B7">
        <w:rPr>
          <w:rFonts w:ascii="Time New Roman" w:hAnsi="Time New Roman" w:hint="eastAsia"/>
        </w:rPr>
        <w:t>会议上，审议了第四次报告。在</w:t>
      </w:r>
      <w:r w:rsidRPr="00BF42B7">
        <w:rPr>
          <w:rFonts w:ascii="Time New Roman" w:hAnsi="Time New Roman" w:hint="eastAsia"/>
        </w:rPr>
        <w:t>2016</w:t>
      </w:r>
      <w:r w:rsidRPr="00BF42B7">
        <w:rPr>
          <w:rFonts w:ascii="Time New Roman" w:hAnsi="Time New Roman" w:hint="eastAsia"/>
        </w:rPr>
        <w:t>年</w:t>
      </w:r>
      <w:r w:rsidRPr="00BF42B7">
        <w:rPr>
          <w:rFonts w:ascii="Time New Roman" w:hAnsi="Time New Roman" w:hint="eastAsia"/>
        </w:rPr>
        <w:t>7</w:t>
      </w:r>
      <w:r w:rsidRPr="00BF42B7">
        <w:rPr>
          <w:rFonts w:ascii="Time New Roman" w:hAnsi="Time New Roman" w:hint="eastAsia"/>
        </w:rPr>
        <w:t>月</w:t>
      </w:r>
      <w:r w:rsidRPr="00BF42B7">
        <w:rPr>
          <w:rFonts w:ascii="Time New Roman" w:hAnsi="Time New Roman" w:hint="eastAsia"/>
        </w:rPr>
        <w:t>27</w:t>
      </w:r>
      <w:r w:rsidRPr="00BF42B7">
        <w:rPr>
          <w:rFonts w:ascii="Time New Roman" w:hAnsi="Time New Roman" w:hint="eastAsia"/>
        </w:rPr>
        <w:t>日第</w:t>
      </w:r>
      <w:r w:rsidRPr="00BF42B7">
        <w:rPr>
          <w:rFonts w:ascii="Time New Roman" w:hAnsi="Time New Roman" w:hint="eastAsia"/>
        </w:rPr>
        <w:t>3329</w:t>
      </w:r>
      <w:r w:rsidRPr="00BF42B7">
        <w:rPr>
          <w:rFonts w:ascii="Time New Roman" w:hAnsi="Time New Roman" w:hint="eastAsia"/>
        </w:rPr>
        <w:t>次会议上，委员会将特别报告员第四次报告中所载准则草案</w:t>
      </w:r>
      <w:r w:rsidRPr="00BF42B7">
        <w:rPr>
          <w:rFonts w:ascii="Time New Roman" w:hAnsi="Time New Roman" w:hint="eastAsia"/>
        </w:rPr>
        <w:t>10</w:t>
      </w:r>
      <w:r w:rsidRPr="00BF42B7">
        <w:rPr>
          <w:rFonts w:ascii="Time New Roman" w:hAnsi="Time New Roman" w:hint="eastAsia"/>
        </w:rPr>
        <w:t>提交起草委员会。</w:t>
      </w:r>
    </w:p>
    <w:p w:rsidR="00813081" w:rsidRPr="00BF42B7" w:rsidRDefault="00813081" w:rsidP="00813081">
      <w:pPr>
        <w:pStyle w:val="SingleTxtGC"/>
        <w:rPr>
          <w:rFonts w:ascii="Time New Roman" w:hAnsi="Time New Roman" w:hint="eastAsia"/>
          <w:lang w:val="en-GB"/>
        </w:rPr>
      </w:pPr>
      <w:r w:rsidRPr="00BF42B7">
        <w:rPr>
          <w:rFonts w:ascii="Time New Roman" w:hAnsi="Time New Roman" w:hint="eastAsia"/>
          <w:lang w:val="en-GB"/>
        </w:rPr>
        <w:t xml:space="preserve">257.  </w:t>
      </w:r>
      <w:r w:rsidRPr="00BF42B7">
        <w:rPr>
          <w:rFonts w:ascii="Time New Roman" w:hAnsi="Time New Roman" w:hint="eastAsia"/>
          <w:lang w:val="en-GB"/>
        </w:rPr>
        <w:t>起草委员会主席在</w:t>
      </w:r>
      <w:r w:rsidRPr="00BF42B7">
        <w:rPr>
          <w:rFonts w:ascii="Time New Roman" w:hAnsi="Time New Roman" w:hint="eastAsia"/>
          <w:lang w:val="en-GB"/>
        </w:rPr>
        <w:t>2016</w:t>
      </w:r>
      <w:r w:rsidRPr="00BF42B7">
        <w:rPr>
          <w:rFonts w:ascii="Time New Roman" w:hAnsi="Time New Roman" w:hint="eastAsia"/>
          <w:lang w:val="en-GB"/>
        </w:rPr>
        <w:t>年</w:t>
      </w:r>
      <w:r w:rsidRPr="00BF42B7">
        <w:rPr>
          <w:rFonts w:ascii="Time New Roman" w:hAnsi="Time New Roman" w:hint="eastAsia"/>
          <w:lang w:val="en-GB"/>
        </w:rPr>
        <w:t>8</w:t>
      </w:r>
      <w:r w:rsidRPr="00BF42B7">
        <w:rPr>
          <w:rFonts w:ascii="Time New Roman" w:hAnsi="Time New Roman" w:hint="eastAsia"/>
          <w:lang w:val="en-GB"/>
        </w:rPr>
        <w:t>月</w:t>
      </w:r>
      <w:r w:rsidRPr="00BF42B7">
        <w:rPr>
          <w:rFonts w:ascii="Time New Roman" w:hAnsi="Time New Roman" w:hint="eastAsia"/>
          <w:lang w:val="en-GB"/>
        </w:rPr>
        <w:t>9</w:t>
      </w:r>
      <w:r w:rsidRPr="00BF42B7">
        <w:rPr>
          <w:rFonts w:ascii="Time New Roman" w:hAnsi="Time New Roman" w:hint="eastAsia"/>
          <w:lang w:val="en-GB"/>
        </w:rPr>
        <w:t>日第</w:t>
      </w:r>
      <w:r w:rsidRPr="00BF42B7">
        <w:rPr>
          <w:rFonts w:ascii="Time New Roman" w:hAnsi="Time New Roman" w:hint="eastAsia"/>
          <w:lang w:val="en-GB"/>
        </w:rPr>
        <w:t>3342</w:t>
      </w:r>
      <w:r w:rsidRPr="00BF42B7">
        <w:rPr>
          <w:rFonts w:ascii="Time New Roman" w:hAnsi="Time New Roman" w:hint="eastAsia"/>
          <w:lang w:val="en-GB"/>
        </w:rPr>
        <w:t>次</w:t>
      </w:r>
      <w:r w:rsidRPr="00BF42B7">
        <w:rPr>
          <w:rFonts w:ascii="Time New Roman" w:hAnsi="Time New Roman" w:hint="eastAsia"/>
        </w:rPr>
        <w:t>会议上，提交了起草委员会关于“条约的暂时适用”的报告，其中载有起草委员会在国际法委员会第六十七和六十八届会议上分别暂时通过的准则草案</w:t>
      </w:r>
      <w:r w:rsidRPr="00BF42B7">
        <w:rPr>
          <w:rFonts w:ascii="Time New Roman" w:hAnsi="Time New Roman" w:hint="eastAsia"/>
        </w:rPr>
        <w:t>1-4</w:t>
      </w:r>
      <w:r w:rsidRPr="00BF42B7">
        <w:rPr>
          <w:rFonts w:ascii="Time New Roman" w:hAnsi="Time New Roman" w:hint="eastAsia"/>
        </w:rPr>
        <w:t>和准则草案</w:t>
      </w:r>
      <w:r w:rsidRPr="00BF42B7">
        <w:rPr>
          <w:rFonts w:ascii="Time New Roman" w:hAnsi="Time New Roman" w:hint="eastAsia"/>
        </w:rPr>
        <w:t>6-9 (</w:t>
      </w:r>
      <w:hyperlink r:id="rId108" w:history="1">
        <w:r w:rsidRPr="00BF42B7">
          <w:rPr>
            <w:rStyle w:val="af"/>
            <w:rFonts w:ascii="Time New Roman" w:hAnsi="Time New Roman"/>
            <w:lang w:val="en-GB"/>
          </w:rPr>
          <w:t>A/CN.4/L.877</w:t>
        </w:r>
      </w:hyperlink>
      <w:r w:rsidRPr="00BF42B7">
        <w:rPr>
          <w:rFonts w:ascii="Time New Roman" w:hAnsi="Time New Roman" w:hint="eastAsia"/>
          <w:lang w:val="en-GB"/>
        </w:rPr>
        <w:t>)</w:t>
      </w:r>
      <w:r w:rsidRPr="00BF42B7">
        <w:rPr>
          <w:rFonts w:ascii="Time New Roman" w:hAnsi="Time New Roman" w:hint="eastAsia"/>
          <w:lang w:val="en-GB"/>
        </w:rPr>
        <w:t>。委员会注意到起草委员会提交的准则草案。</w:t>
      </w:r>
      <w:r w:rsidRPr="00BF42B7">
        <w:rPr>
          <w:color w:val="0000FF"/>
          <w:vertAlign w:val="superscript"/>
        </w:rPr>
        <w:footnoteReference w:id="1455"/>
      </w:r>
      <w:r w:rsidRPr="00BF42B7">
        <w:rPr>
          <w:rFonts w:ascii="Time New Roman" w:hAnsi="Time New Roman" w:hint="eastAsia"/>
          <w:lang w:val="en-GB"/>
        </w:rPr>
        <w:t xml:space="preserve"> </w:t>
      </w:r>
      <w:r w:rsidRPr="00BF42B7">
        <w:rPr>
          <w:rFonts w:ascii="Time New Roman" w:hAnsi="Time New Roman" w:hint="eastAsia"/>
          <w:lang w:val="en-GB"/>
        </w:rPr>
        <w:t>预期委员会将在下届会议上就准则草案及评论意见采取行动。</w:t>
      </w:r>
    </w:p>
    <w:p w:rsidR="00813081" w:rsidRPr="00BF42B7" w:rsidRDefault="00813081" w:rsidP="00813081">
      <w:pPr>
        <w:pStyle w:val="SingleTxtGC"/>
        <w:rPr>
          <w:rFonts w:ascii="Time New Roman" w:hAnsi="Time New Roman" w:hint="eastAsia"/>
          <w:lang w:val="en-GB"/>
        </w:rPr>
      </w:pPr>
      <w:r w:rsidRPr="00BF42B7">
        <w:rPr>
          <w:rFonts w:ascii="Time New Roman" w:hAnsi="Time New Roman" w:hint="eastAsia"/>
          <w:lang w:val="en-GB"/>
        </w:rPr>
        <w:t xml:space="preserve">258.  </w:t>
      </w:r>
      <w:r w:rsidRPr="00BF42B7">
        <w:rPr>
          <w:rFonts w:ascii="Time New Roman" w:hAnsi="Time New Roman" w:hint="eastAsia"/>
        </w:rPr>
        <w:t>在</w:t>
      </w:r>
      <w:r w:rsidRPr="00BF42B7">
        <w:rPr>
          <w:rFonts w:ascii="Time New Roman" w:hAnsi="Time New Roman" w:hint="eastAsia"/>
        </w:rPr>
        <w:t>2016</w:t>
      </w:r>
      <w:r w:rsidRPr="00BF42B7">
        <w:rPr>
          <w:rFonts w:ascii="Time New Roman" w:hAnsi="Time New Roman" w:hint="eastAsia"/>
        </w:rPr>
        <w:t>年</w:t>
      </w:r>
      <w:r w:rsidRPr="00BF42B7">
        <w:rPr>
          <w:rFonts w:ascii="Time New Roman" w:hAnsi="Time New Roman" w:hint="eastAsia"/>
        </w:rPr>
        <w:t>8</w:t>
      </w:r>
      <w:r w:rsidRPr="00BF42B7">
        <w:rPr>
          <w:rFonts w:ascii="Time New Roman" w:hAnsi="Time New Roman" w:hint="eastAsia"/>
        </w:rPr>
        <w:t>月</w:t>
      </w:r>
      <w:r w:rsidRPr="00BF42B7">
        <w:rPr>
          <w:rFonts w:ascii="Time New Roman" w:hAnsi="Time New Roman" w:hint="eastAsia"/>
        </w:rPr>
        <w:t>12</w:t>
      </w:r>
      <w:r w:rsidRPr="00BF42B7">
        <w:rPr>
          <w:rFonts w:ascii="Time New Roman" w:hAnsi="Time New Roman" w:hint="eastAsia"/>
        </w:rPr>
        <w:t>日第</w:t>
      </w:r>
      <w:r w:rsidRPr="00BF42B7">
        <w:rPr>
          <w:rFonts w:ascii="Time New Roman" w:hAnsi="Time New Roman" w:hint="eastAsia"/>
        </w:rPr>
        <w:t>3347</w:t>
      </w:r>
      <w:r w:rsidRPr="00BF42B7">
        <w:rPr>
          <w:rFonts w:ascii="Time New Roman" w:hAnsi="Time New Roman" w:hint="eastAsia"/>
        </w:rPr>
        <w:t>次会议上，委员会决定请秘书处编写一份谅解备忘录，对过去</w:t>
      </w:r>
      <w:r w:rsidRPr="00BF42B7">
        <w:rPr>
          <w:rFonts w:ascii="Time New Roman" w:hAnsi="Time New Roman" w:hint="eastAsia"/>
        </w:rPr>
        <w:t>20</w:t>
      </w:r>
      <w:r w:rsidRPr="00BF42B7">
        <w:rPr>
          <w:rFonts w:ascii="Time New Roman" w:hAnsi="Time New Roman" w:hint="eastAsia"/>
        </w:rPr>
        <w:t>年向秘书长交存或登记的规定暂时适用的条约</w:t>
      </w:r>
      <w:r w:rsidRPr="00BF42B7">
        <w:rPr>
          <w:rFonts w:ascii="Time New Roman" w:hAnsi="Time New Roman" w:hint="eastAsia"/>
        </w:rPr>
        <w:t>(</w:t>
      </w:r>
      <w:r w:rsidRPr="00BF42B7">
        <w:rPr>
          <w:rFonts w:ascii="Time New Roman" w:hAnsi="Time New Roman" w:hint="eastAsia"/>
        </w:rPr>
        <w:t>双边和多边</w:t>
      </w:r>
      <w:r w:rsidRPr="00BF42B7">
        <w:rPr>
          <w:rFonts w:ascii="Time New Roman" w:hAnsi="Time New Roman" w:hint="eastAsia"/>
        </w:rPr>
        <w:t>)</w:t>
      </w:r>
      <w:r w:rsidRPr="00BF42B7">
        <w:rPr>
          <w:rFonts w:ascii="Time New Roman" w:hAnsi="Time New Roman" w:hint="eastAsia"/>
        </w:rPr>
        <w:t>、包括相关条约行动方面的国家惯例进行分析。</w:t>
      </w:r>
    </w:p>
    <w:p w:rsidR="00813081" w:rsidRPr="00BF42B7" w:rsidRDefault="00813081" w:rsidP="00813081">
      <w:pPr>
        <w:pStyle w:val="H23GC"/>
        <w:rPr>
          <w:lang w:val="en-GB"/>
        </w:rPr>
      </w:pPr>
      <w:r w:rsidRPr="00BF42B7">
        <w:rPr>
          <w:rFonts w:hint="eastAsia"/>
          <w:lang w:val="en-GB"/>
        </w:rPr>
        <w:tab/>
        <w:t>1.</w:t>
      </w:r>
      <w:r w:rsidRPr="00BF42B7">
        <w:rPr>
          <w:rFonts w:hint="eastAsia"/>
          <w:lang w:val="en-GB"/>
        </w:rPr>
        <w:tab/>
      </w:r>
      <w:r w:rsidRPr="00BF42B7">
        <w:rPr>
          <w:rFonts w:hint="eastAsia"/>
          <w:lang w:val="en-GB"/>
        </w:rPr>
        <w:t>特别报告员介绍第四次报告</w:t>
      </w:r>
    </w:p>
    <w:p w:rsidR="00813081" w:rsidRPr="00BF42B7" w:rsidRDefault="00813081" w:rsidP="00813081">
      <w:pPr>
        <w:pStyle w:val="SingleTxtGC"/>
        <w:rPr>
          <w:rFonts w:ascii="Time New Roman" w:hAnsi="Time New Roman" w:hint="eastAsia"/>
          <w:lang w:val="en-GB"/>
        </w:rPr>
      </w:pPr>
      <w:r w:rsidRPr="00BF42B7">
        <w:rPr>
          <w:rFonts w:ascii="Time New Roman" w:hAnsi="Time New Roman" w:hint="eastAsia"/>
          <w:lang w:val="en-GB"/>
        </w:rPr>
        <w:t xml:space="preserve">259.  </w:t>
      </w:r>
      <w:r w:rsidRPr="00BF42B7">
        <w:rPr>
          <w:rFonts w:ascii="Time New Roman" w:hAnsi="Time New Roman" w:hint="eastAsia"/>
          <w:lang w:val="en-GB"/>
        </w:rPr>
        <w:t>特别报告员在介绍其第四次报告时，首先重点回顾了以往在这一专题上的工作。他谈及第六委员会的辩论以及各国就委员会报告第三章中所载问题提交的</w:t>
      </w:r>
      <w:r w:rsidRPr="00BF42B7">
        <w:rPr>
          <w:rFonts w:ascii="Time New Roman" w:hAnsi="Time New Roman" w:hint="eastAsia"/>
        </w:rPr>
        <w:t>资料</w:t>
      </w:r>
      <w:r w:rsidRPr="00BF42B7">
        <w:rPr>
          <w:rFonts w:ascii="Time New Roman" w:hAnsi="Time New Roman" w:hint="eastAsia"/>
          <w:lang w:val="en-GB"/>
        </w:rPr>
        <w:t>，提请注意各国在这一专题上显示的兴趣</w:t>
      </w:r>
      <w:r w:rsidRPr="00BF42B7">
        <w:rPr>
          <w:rFonts w:ascii="Time New Roman" w:hAnsi="Time New Roman" w:hint="eastAsia"/>
        </w:rPr>
        <w:t>。</w:t>
      </w:r>
    </w:p>
    <w:p w:rsidR="00813081" w:rsidRPr="00BF42B7" w:rsidRDefault="00813081" w:rsidP="00813081">
      <w:pPr>
        <w:pStyle w:val="SingleTxtGC"/>
        <w:rPr>
          <w:rFonts w:ascii="Time New Roman" w:hAnsi="Time New Roman" w:hint="eastAsia"/>
          <w:lang w:val="en-GB"/>
        </w:rPr>
      </w:pPr>
      <w:r w:rsidRPr="00BF42B7">
        <w:rPr>
          <w:rFonts w:ascii="Time New Roman" w:hAnsi="Time New Roman" w:hint="eastAsia"/>
          <w:lang w:val="en-GB"/>
        </w:rPr>
        <w:t>260.</w:t>
      </w:r>
      <w:r w:rsidRPr="00BF42B7">
        <w:rPr>
          <w:rFonts w:ascii="Time New Roman" w:hAnsi="Time New Roman" w:hint="eastAsia"/>
        </w:rPr>
        <w:t xml:space="preserve">  </w:t>
      </w:r>
      <w:r w:rsidRPr="00BF42B7">
        <w:rPr>
          <w:rFonts w:ascii="Time New Roman" w:hAnsi="Time New Roman"/>
        </w:rPr>
        <w:t>第四份报告</w:t>
      </w:r>
      <w:r w:rsidRPr="00BF42B7">
        <w:rPr>
          <w:rFonts w:ascii="Time New Roman" w:hAnsi="Time New Roman" w:hint="eastAsia"/>
        </w:rPr>
        <w:t>继续分析了暂时适用条约与</w:t>
      </w:r>
      <w:r w:rsidRPr="00BF42B7">
        <w:rPr>
          <w:rFonts w:ascii="Time New Roman" w:hAnsi="Time New Roman" w:hint="eastAsia"/>
          <w:lang w:val="en-GB"/>
        </w:rPr>
        <w:t>1969</w:t>
      </w:r>
      <w:r w:rsidRPr="00BF42B7">
        <w:rPr>
          <w:rFonts w:ascii="Time New Roman" w:hAnsi="Time New Roman" w:hint="eastAsia"/>
          <w:lang w:val="en-GB"/>
        </w:rPr>
        <w:t>年《维也纳公约》其他规定的关系，</w:t>
      </w:r>
      <w:r w:rsidRPr="00BF42B7">
        <w:rPr>
          <w:rFonts w:ascii="Time New Roman" w:hAnsi="Time New Roman"/>
          <w:lang w:val="en-GB"/>
        </w:rPr>
        <w:t>目的是</w:t>
      </w:r>
      <w:r w:rsidRPr="00BF42B7">
        <w:rPr>
          <w:rFonts w:ascii="Time New Roman" w:hAnsi="Time New Roman" w:hint="eastAsia"/>
          <w:lang w:val="en-GB"/>
        </w:rPr>
        <w:t>阐明</w:t>
      </w:r>
      <w:r w:rsidRPr="00BF42B7">
        <w:rPr>
          <w:rFonts w:ascii="Time New Roman" w:hAnsi="Time New Roman"/>
          <w:lang w:val="en-GB"/>
        </w:rPr>
        <w:t>前者的法律制度。重点</w:t>
      </w:r>
      <w:r w:rsidRPr="00BF42B7">
        <w:rPr>
          <w:rFonts w:ascii="Time New Roman" w:hAnsi="Time New Roman" w:hint="eastAsia"/>
          <w:lang w:val="en-GB"/>
        </w:rPr>
        <w:t>是</w:t>
      </w:r>
      <w:r w:rsidRPr="00BF42B7">
        <w:rPr>
          <w:rFonts w:ascii="Time New Roman" w:hAnsi="Time New Roman"/>
          <w:lang w:val="en-GB"/>
        </w:rPr>
        <w:t>分析</w:t>
      </w:r>
      <w:r w:rsidRPr="00BF42B7">
        <w:rPr>
          <w:rFonts w:ascii="Time New Roman" w:hAnsi="Time New Roman" w:hint="eastAsia"/>
          <w:lang w:val="en-GB"/>
        </w:rPr>
        <w:t>暂时适用与保留问题</w:t>
      </w:r>
      <w:r w:rsidRPr="00BF42B7">
        <w:rPr>
          <w:rFonts w:ascii="Time New Roman" w:hAnsi="Time New Roman"/>
          <w:lang w:val="en-GB"/>
        </w:rPr>
        <w:t>规定的关系</w:t>
      </w:r>
      <w:r w:rsidRPr="00BF42B7">
        <w:rPr>
          <w:rFonts w:ascii="Time New Roman" w:hAnsi="Time New Roman" w:hint="eastAsia"/>
          <w:lang w:val="en-GB"/>
        </w:rPr>
        <w:t>、</w:t>
      </w:r>
      <w:r w:rsidRPr="00BF42B7">
        <w:rPr>
          <w:rFonts w:ascii="Time New Roman" w:hAnsi="Time New Roman"/>
          <w:lang w:val="en-GB"/>
        </w:rPr>
        <w:t>条约之</w:t>
      </w:r>
      <w:r w:rsidRPr="00BF42B7">
        <w:rPr>
          <w:rFonts w:ascii="Time New Roman" w:hAnsi="Time New Roman" w:hint="eastAsia"/>
          <w:lang w:val="en-GB"/>
        </w:rPr>
        <w:t>失效、第六十条之下的因违约而终止</w:t>
      </w:r>
      <w:r w:rsidRPr="00BF42B7">
        <w:rPr>
          <w:rFonts w:ascii="Time New Roman" w:hAnsi="Time New Roman"/>
          <w:lang w:val="en-GB"/>
        </w:rPr>
        <w:t>或停止施行</w:t>
      </w:r>
      <w:r w:rsidRPr="00BF42B7">
        <w:rPr>
          <w:rFonts w:ascii="Time New Roman" w:hAnsi="Time New Roman" w:hint="eastAsia"/>
          <w:lang w:val="en-GB"/>
        </w:rPr>
        <w:t>条约，以及第七十三条之下的</w:t>
      </w:r>
      <w:r w:rsidRPr="00BF42B7">
        <w:rPr>
          <w:rFonts w:ascii="Time New Roman" w:hAnsi="Time New Roman"/>
          <w:lang w:val="en-GB"/>
        </w:rPr>
        <w:t>国家继承、国家责任</w:t>
      </w:r>
      <w:r w:rsidRPr="00BF42B7">
        <w:rPr>
          <w:rFonts w:ascii="Time New Roman" w:hAnsi="Time New Roman" w:hint="eastAsia"/>
          <w:lang w:val="en-GB"/>
        </w:rPr>
        <w:t>及发生敌对行为的问题。</w:t>
      </w:r>
    </w:p>
    <w:p w:rsidR="00813081" w:rsidRPr="00BF42B7" w:rsidRDefault="00813081" w:rsidP="00813081">
      <w:pPr>
        <w:pStyle w:val="SingleTxtGC"/>
        <w:rPr>
          <w:rFonts w:ascii="Time New Roman" w:hAnsi="Time New Roman" w:hint="eastAsia"/>
          <w:lang w:val="en-GB"/>
        </w:rPr>
      </w:pPr>
      <w:r w:rsidRPr="00BF42B7">
        <w:rPr>
          <w:rFonts w:ascii="Time New Roman" w:hAnsi="Time New Roman" w:hint="eastAsia"/>
          <w:lang w:val="en-GB"/>
        </w:rPr>
        <w:t xml:space="preserve">261.  </w:t>
      </w:r>
      <w:r w:rsidRPr="00BF42B7">
        <w:rPr>
          <w:rFonts w:ascii="Time New Roman" w:hAnsi="Time New Roman" w:hint="eastAsia"/>
          <w:lang w:val="en-GB"/>
        </w:rPr>
        <w:t>关于保留问题，特别报告员称，他没有看到任何条约规定了自暂停适用之时起提出保留，或任何暂停适用规定提及提出保留的可能性。问题在于如果条约未曾涉及这一问题，一国是否有可能在同意暂停适用时提出保留。特别报告员认为，似乎没有什么事情会阻止一国在决定暂时适用时提出保留，这里有两个原因。第一，暂时适用条约会产生法律效力。第二，保留的目的完全是为了</w:t>
      </w:r>
      <w:r w:rsidRPr="00BF42B7">
        <w:rPr>
          <w:rFonts w:ascii="Time New Roman" w:hAnsi="Time New Roman"/>
          <w:lang w:val="en-GB"/>
        </w:rPr>
        <w:t>排除或限制</w:t>
      </w:r>
      <w:r w:rsidRPr="00BF42B7">
        <w:rPr>
          <w:rFonts w:ascii="Time New Roman" w:hAnsi="Time New Roman" w:hint="eastAsia"/>
          <w:lang w:val="en-GB"/>
        </w:rPr>
        <w:t>某些条款的</w:t>
      </w:r>
      <w:r w:rsidRPr="00BF42B7">
        <w:rPr>
          <w:rFonts w:ascii="Time New Roman" w:hAnsi="Time New Roman"/>
          <w:lang w:val="en-GB"/>
        </w:rPr>
        <w:t>法律效力</w:t>
      </w:r>
      <w:r w:rsidRPr="00BF42B7">
        <w:rPr>
          <w:rFonts w:ascii="Time New Roman" w:hAnsi="Time New Roman" w:hint="eastAsia"/>
        </w:rPr>
        <w:t>。</w:t>
      </w:r>
    </w:p>
    <w:p w:rsidR="00813081" w:rsidRPr="00BF42B7" w:rsidRDefault="00813081" w:rsidP="00813081">
      <w:pPr>
        <w:pStyle w:val="SingleTxtGC"/>
        <w:rPr>
          <w:lang w:val="en-GB"/>
        </w:rPr>
      </w:pPr>
      <w:r w:rsidRPr="00BF42B7">
        <w:rPr>
          <w:rFonts w:hint="eastAsia"/>
          <w:lang w:val="en-GB"/>
        </w:rPr>
        <w:t xml:space="preserve">262.  </w:t>
      </w:r>
      <w:r w:rsidRPr="00BF42B7">
        <w:rPr>
          <w:rFonts w:hint="eastAsia"/>
          <w:lang w:val="en-GB"/>
        </w:rPr>
        <w:t>特别报告员表示，他已决定分析暂时适用与条约生效制度可能存在的关系，同时考虑到各国和委员会委员提出的建议。他根据第二十七条，将重点放在第三次报告中处理的暂时适用与</w:t>
      </w:r>
      <w:r w:rsidRPr="00BF42B7">
        <w:rPr>
          <w:rFonts w:hint="eastAsia"/>
          <w:lang w:val="en-GB"/>
        </w:rPr>
        <w:t>1969</w:t>
      </w:r>
      <w:r w:rsidRPr="00BF42B7">
        <w:rPr>
          <w:rFonts w:hint="eastAsia"/>
          <w:lang w:val="en-GB"/>
        </w:rPr>
        <w:t>年《维也纳条约》第四十六条的关系上。他得出结论认为，首先，一国不可援引其国内法作为理由不履行条约的原则，这一点同样适用于暂时适用的条约。随后，他根据第四十六条，着手审查国内法对暂时适用的限制。他回顾说，这一问题是在对</w:t>
      </w:r>
      <w:r w:rsidRPr="00BF42B7">
        <w:rPr>
          <w:i/>
          <w:lang w:val="en-GB"/>
        </w:rPr>
        <w:t>Yukos</w:t>
      </w:r>
      <w:r w:rsidRPr="00BF42B7">
        <w:rPr>
          <w:color w:val="0000FF"/>
          <w:vertAlign w:val="superscript"/>
          <w:lang w:val="en-GB"/>
        </w:rPr>
        <w:footnoteReference w:id="1456"/>
      </w:r>
      <w:r w:rsidRPr="00BF42B7">
        <w:rPr>
          <w:rFonts w:hint="eastAsia"/>
          <w:i/>
          <w:lang w:val="en-GB"/>
        </w:rPr>
        <w:t xml:space="preserve"> </w:t>
      </w:r>
      <w:r w:rsidRPr="00BF42B7">
        <w:rPr>
          <w:rFonts w:hint="eastAsia"/>
          <w:lang w:val="en-GB"/>
        </w:rPr>
        <w:t>和</w:t>
      </w:r>
      <w:r w:rsidRPr="00BF42B7">
        <w:rPr>
          <w:i/>
          <w:lang w:val="en-GB"/>
        </w:rPr>
        <w:t>Kardassopoulos</w:t>
      </w:r>
      <w:r w:rsidRPr="00BF42B7">
        <w:rPr>
          <w:iCs/>
          <w:color w:val="0000FF"/>
          <w:vertAlign w:val="superscript"/>
          <w:lang w:val="en-GB"/>
        </w:rPr>
        <w:footnoteReference w:id="1457"/>
      </w:r>
      <w:r w:rsidRPr="00BF42B7">
        <w:rPr>
          <w:rFonts w:hint="eastAsia"/>
          <w:i/>
          <w:lang w:val="en-GB"/>
        </w:rPr>
        <w:t xml:space="preserve"> </w:t>
      </w:r>
      <w:r w:rsidRPr="00BF42B7">
        <w:rPr>
          <w:rFonts w:hint="eastAsia"/>
          <w:lang w:val="en-GB"/>
        </w:rPr>
        <w:t>案的裁决中提出的，但指出因此得出任何结论还为时尚早，尤其是考虑到</w:t>
      </w:r>
      <w:r w:rsidRPr="00BF42B7">
        <w:rPr>
          <w:i/>
          <w:lang w:val="en-GB"/>
        </w:rPr>
        <w:t>Yukos</w:t>
      </w:r>
      <w:r w:rsidRPr="00BF42B7">
        <w:rPr>
          <w:rFonts w:hint="eastAsia"/>
          <w:lang w:val="en-GB"/>
        </w:rPr>
        <w:t>一案可能会有新的发展。无论如何，特别报告员认为，从国际法的角度来看，或可断言，除了根据</w:t>
      </w:r>
      <w:r w:rsidRPr="00BF42B7">
        <w:rPr>
          <w:rFonts w:hint="eastAsia"/>
          <w:lang w:val="en-GB"/>
        </w:rPr>
        <w:t>1969</w:t>
      </w:r>
      <w:r w:rsidRPr="00BF42B7">
        <w:rPr>
          <w:rFonts w:hint="eastAsia"/>
          <w:lang w:val="en-GB"/>
        </w:rPr>
        <w:t>年《维也纳公约》第二十七条确立的制度外，各国应保证，同意暂时适用对其根据第四十六条缔约的权限没有任何限制，以使此类暂时适用具有法律确定性。</w:t>
      </w:r>
    </w:p>
    <w:p w:rsidR="00813081" w:rsidRPr="00BF42B7" w:rsidRDefault="00813081" w:rsidP="00813081">
      <w:pPr>
        <w:pStyle w:val="SingleTxtGC"/>
        <w:rPr>
          <w:rFonts w:ascii="Time New Roman" w:hAnsi="Time New Roman" w:hint="eastAsia"/>
          <w:lang w:val="en-GB"/>
        </w:rPr>
      </w:pPr>
      <w:r w:rsidRPr="00BF42B7">
        <w:rPr>
          <w:rFonts w:ascii="Time New Roman" w:hAnsi="Time New Roman" w:hint="eastAsia"/>
          <w:lang w:val="en-GB"/>
        </w:rPr>
        <w:t xml:space="preserve">263.  </w:t>
      </w:r>
      <w:r w:rsidRPr="00BF42B7">
        <w:rPr>
          <w:rFonts w:ascii="Time New Roman" w:hAnsi="Time New Roman" w:hint="eastAsia"/>
          <w:lang w:val="en-GB"/>
        </w:rPr>
        <w:t>关于</w:t>
      </w:r>
      <w:r w:rsidRPr="00BF42B7">
        <w:rPr>
          <w:rFonts w:ascii="Time New Roman" w:hAnsi="Time New Roman"/>
          <w:lang w:val="en-GB"/>
        </w:rPr>
        <w:t>条约因</w:t>
      </w:r>
      <w:r w:rsidRPr="00BF42B7">
        <w:rPr>
          <w:rFonts w:ascii="Time New Roman" w:hAnsi="Time New Roman" w:hint="eastAsia"/>
          <w:lang w:val="en-GB"/>
        </w:rPr>
        <w:t>重大</w:t>
      </w:r>
      <w:r w:rsidRPr="00BF42B7">
        <w:rPr>
          <w:rFonts w:ascii="Time New Roman" w:hAnsi="Time New Roman"/>
          <w:lang w:val="en-GB"/>
        </w:rPr>
        <w:t>违约</w:t>
      </w:r>
      <w:r w:rsidRPr="00BF42B7">
        <w:rPr>
          <w:rFonts w:ascii="Time New Roman" w:hAnsi="Time New Roman" w:hint="eastAsia"/>
          <w:lang w:val="en-GB"/>
        </w:rPr>
        <w:t>情事</w:t>
      </w:r>
      <w:r w:rsidRPr="00BF42B7">
        <w:rPr>
          <w:rFonts w:ascii="Time New Roman" w:hAnsi="Time New Roman"/>
          <w:lang w:val="en-GB"/>
        </w:rPr>
        <w:t>而终止或停止施行</w:t>
      </w:r>
      <w:r w:rsidRPr="00BF42B7">
        <w:rPr>
          <w:rFonts w:ascii="Time New Roman" w:hAnsi="Time New Roman" w:hint="eastAsia"/>
          <w:lang w:val="en-GB"/>
        </w:rPr>
        <w:t>，特别报告员重申，他认为暂时适用的条约产生法律效力，一如条约已在生效，因此根据</w:t>
      </w:r>
      <w:r w:rsidRPr="00EA60D2">
        <w:rPr>
          <w:rFonts w:ascii="Time New Roman" w:eastAsia="楷体" w:hAnsi="Time New Roman" w:hint="eastAsia"/>
          <w:iCs/>
          <w:lang w:val="en-GB"/>
        </w:rPr>
        <w:t>条约必须遵守</w:t>
      </w:r>
      <w:r w:rsidRPr="00BF42B7">
        <w:rPr>
          <w:rFonts w:ascii="Time New Roman" w:hAnsi="Time New Roman" w:hint="eastAsia"/>
        </w:rPr>
        <w:t>原则产生需要履行的义务。据此，关于</w:t>
      </w:r>
      <w:r w:rsidRPr="00BF42B7">
        <w:rPr>
          <w:rFonts w:ascii="Time New Roman" w:hAnsi="Time New Roman" w:hint="eastAsia"/>
          <w:lang w:val="en-GB"/>
        </w:rPr>
        <w:t>1969</w:t>
      </w:r>
      <w:r w:rsidRPr="00BF42B7">
        <w:rPr>
          <w:rFonts w:ascii="Time New Roman" w:hAnsi="Time New Roman" w:hint="eastAsia"/>
          <w:lang w:val="en-GB"/>
        </w:rPr>
        <w:t>年</w:t>
      </w:r>
      <w:r w:rsidRPr="00BF42B7">
        <w:rPr>
          <w:rFonts w:ascii="Time New Roman" w:hAnsi="Time New Roman" w:hint="eastAsia"/>
        </w:rPr>
        <w:t>《维也纳公约》第六十条中规定的</w:t>
      </w:r>
      <w:r w:rsidRPr="00BF42B7">
        <w:rPr>
          <w:rFonts w:ascii="Time New Roman" w:hAnsi="Time New Roman"/>
          <w:lang w:val="en-GB"/>
        </w:rPr>
        <w:t>终止或停止施行</w:t>
      </w:r>
      <w:r w:rsidRPr="00BF42B7">
        <w:rPr>
          <w:rFonts w:ascii="Time New Roman" w:hAnsi="Time New Roman" w:hint="eastAsia"/>
          <w:lang w:val="en-GB"/>
        </w:rPr>
        <w:t>条约的情形与暂时适用条约也是相关的。</w:t>
      </w:r>
    </w:p>
    <w:p w:rsidR="00813081" w:rsidRPr="00BF42B7" w:rsidRDefault="00813081" w:rsidP="00813081">
      <w:pPr>
        <w:pStyle w:val="SingleTxtGC"/>
        <w:rPr>
          <w:rFonts w:ascii="Time New Roman" w:hAnsi="Time New Roman" w:hint="eastAsia"/>
          <w:lang w:val="en-GB"/>
        </w:rPr>
      </w:pPr>
      <w:r w:rsidRPr="00BF42B7">
        <w:rPr>
          <w:rFonts w:ascii="Time New Roman" w:hAnsi="Time New Roman" w:hint="eastAsia"/>
          <w:lang w:val="en-GB"/>
        </w:rPr>
        <w:t xml:space="preserve">264.  </w:t>
      </w:r>
      <w:r w:rsidRPr="00BF42B7">
        <w:rPr>
          <w:rFonts w:ascii="Time New Roman" w:hAnsi="Time New Roman" w:hint="eastAsia"/>
          <w:lang w:val="en-GB"/>
        </w:rPr>
        <w:t>关于国家继承和暂时适用条约问题，特别报告员指出，</w:t>
      </w:r>
      <w:r w:rsidRPr="00BF42B7">
        <w:rPr>
          <w:rFonts w:ascii="Time New Roman" w:hAnsi="Time New Roman" w:hint="eastAsia"/>
          <w:lang w:val="en-GB"/>
        </w:rPr>
        <w:t>1978</w:t>
      </w:r>
      <w:r w:rsidRPr="00BF42B7">
        <w:rPr>
          <w:rFonts w:ascii="Time New Roman" w:hAnsi="Time New Roman" w:hint="eastAsia"/>
        </w:rPr>
        <w:t>年《关于国家在条约方面的继承的维也纳公约》</w:t>
      </w:r>
      <w:r w:rsidRPr="00BF42B7">
        <w:rPr>
          <w:rFonts w:ascii="Time New Roman" w:hAnsi="Time New Roman" w:hint="eastAsia"/>
        </w:rPr>
        <w:t>(</w:t>
      </w:r>
      <w:r w:rsidRPr="00BF42B7">
        <w:rPr>
          <w:rFonts w:ascii="Time New Roman" w:hAnsi="Time New Roman" w:hint="eastAsia"/>
        </w:rPr>
        <w:t>以下称</w:t>
      </w:r>
      <w:r w:rsidRPr="00BF42B7">
        <w:rPr>
          <w:rFonts w:ascii="Time New Roman" w:hAnsi="Time New Roman" w:hint="eastAsia"/>
          <w:lang w:val="en-GB"/>
        </w:rPr>
        <w:t>1978</w:t>
      </w:r>
      <w:r w:rsidRPr="00BF42B7">
        <w:rPr>
          <w:rFonts w:ascii="Time New Roman" w:hAnsi="Time New Roman" w:hint="eastAsia"/>
          <w:lang w:val="en-GB"/>
        </w:rPr>
        <w:t>年</w:t>
      </w:r>
      <w:r w:rsidRPr="00BF42B7">
        <w:rPr>
          <w:rFonts w:ascii="Time New Roman" w:hAnsi="Time New Roman" w:hint="eastAsia"/>
        </w:rPr>
        <w:t>《维也纳公约》</w:t>
      </w:r>
      <w:r w:rsidRPr="00BF42B7">
        <w:rPr>
          <w:rFonts w:ascii="Time New Roman" w:hAnsi="Time New Roman" w:hint="eastAsia"/>
        </w:rPr>
        <w:t>)</w:t>
      </w:r>
      <w:r w:rsidRPr="00BF42B7">
        <w:rPr>
          <w:color w:val="0000FF"/>
          <w:vertAlign w:val="superscript"/>
        </w:rPr>
        <w:footnoteReference w:id="1458"/>
      </w:r>
      <w:r w:rsidRPr="00BF42B7">
        <w:rPr>
          <w:rFonts w:ascii="Time New Roman" w:hAnsi="Time New Roman" w:hint="eastAsia"/>
        </w:rPr>
        <w:t xml:space="preserve"> </w:t>
      </w:r>
      <w:r w:rsidRPr="00BF42B7">
        <w:rPr>
          <w:rFonts w:ascii="Time New Roman" w:hAnsi="Time New Roman" w:hint="eastAsia"/>
        </w:rPr>
        <w:t>表明了此类条款对加强政治动荡局势下的法律确定性的实际效用。因此，他认为无须为本专题目的对此一问题作出不同处理。</w:t>
      </w:r>
    </w:p>
    <w:p w:rsidR="00813081" w:rsidRPr="00BF42B7" w:rsidRDefault="00813081" w:rsidP="00813081">
      <w:pPr>
        <w:pStyle w:val="SingleTxtGC"/>
        <w:rPr>
          <w:rFonts w:ascii="Time New Roman" w:hAnsi="Time New Roman" w:hint="eastAsia"/>
          <w:lang w:val="en-GB"/>
        </w:rPr>
      </w:pPr>
      <w:r w:rsidRPr="00BF42B7">
        <w:rPr>
          <w:rFonts w:ascii="Time New Roman" w:hAnsi="Time New Roman" w:hint="eastAsia"/>
          <w:lang w:val="en-GB"/>
        </w:rPr>
        <w:t>265.</w:t>
      </w:r>
      <w:r w:rsidRPr="00BF42B7">
        <w:rPr>
          <w:rFonts w:ascii="Time New Roman" w:hAnsi="Time New Roman" w:hint="eastAsia"/>
        </w:rPr>
        <w:t xml:space="preserve">  </w:t>
      </w:r>
      <w:r w:rsidRPr="00BF42B7">
        <w:rPr>
          <w:rFonts w:ascii="Time New Roman" w:hAnsi="Time New Roman"/>
        </w:rPr>
        <w:t>报告的第三</w:t>
      </w:r>
      <w:r w:rsidRPr="00BF42B7">
        <w:rPr>
          <w:rFonts w:ascii="Time New Roman" w:hAnsi="Time New Roman" w:hint="eastAsia"/>
        </w:rPr>
        <w:t>节</w:t>
      </w:r>
      <w:r w:rsidRPr="00BF42B7">
        <w:rPr>
          <w:rFonts w:ascii="Time New Roman" w:hAnsi="Time New Roman"/>
        </w:rPr>
        <w:t>载有</w:t>
      </w:r>
      <w:r w:rsidRPr="00BF42B7">
        <w:rPr>
          <w:rFonts w:ascii="Time New Roman" w:hAnsi="Time New Roman" w:hint="eastAsia"/>
        </w:rPr>
        <w:t>一些资料，显示了</w:t>
      </w:r>
      <w:r w:rsidRPr="00BF42B7">
        <w:rPr>
          <w:rFonts w:ascii="Time New Roman" w:hAnsi="Time New Roman"/>
        </w:rPr>
        <w:t>国际组织</w:t>
      </w:r>
      <w:r w:rsidRPr="00BF42B7">
        <w:rPr>
          <w:rFonts w:ascii="Time New Roman" w:hAnsi="Time New Roman" w:hint="eastAsia"/>
        </w:rPr>
        <w:t>暂</w:t>
      </w:r>
      <w:r w:rsidRPr="00BF42B7">
        <w:rPr>
          <w:rFonts w:ascii="Time New Roman" w:hAnsi="Time New Roman"/>
        </w:rPr>
        <w:t>时适用条约的惯例。特别报告员描述了</w:t>
      </w:r>
      <w:r w:rsidRPr="00BF42B7">
        <w:rPr>
          <w:rFonts w:ascii="Time New Roman" w:hAnsi="Time New Roman" w:hint="eastAsia"/>
        </w:rPr>
        <w:t>在暂时适用问题上</w:t>
      </w:r>
      <w:r w:rsidRPr="00BF42B7">
        <w:rPr>
          <w:rFonts w:ascii="Time New Roman" w:hAnsi="Time New Roman"/>
        </w:rPr>
        <w:t>联合国的</w:t>
      </w:r>
      <w:r w:rsidRPr="00BF42B7">
        <w:rPr>
          <w:rFonts w:ascii="Time New Roman" w:hAnsi="Time New Roman" w:hint="eastAsia"/>
        </w:rPr>
        <w:t>交</w:t>
      </w:r>
      <w:r w:rsidRPr="00BF42B7">
        <w:rPr>
          <w:rFonts w:ascii="Time New Roman" w:hAnsi="Time New Roman"/>
        </w:rPr>
        <w:t>存</w:t>
      </w:r>
      <w:r w:rsidRPr="00BF42B7">
        <w:rPr>
          <w:rFonts w:ascii="Time New Roman" w:hAnsi="Time New Roman" w:hint="eastAsia"/>
        </w:rPr>
        <w:t>做法</w:t>
      </w:r>
      <w:r w:rsidRPr="00BF42B7">
        <w:rPr>
          <w:rFonts w:ascii="Time New Roman" w:hAnsi="Time New Roman"/>
        </w:rPr>
        <w:t>和</w:t>
      </w:r>
      <w:r w:rsidRPr="00BF42B7">
        <w:rPr>
          <w:rFonts w:ascii="Time New Roman" w:hAnsi="Time New Roman" w:hint="eastAsia"/>
        </w:rPr>
        <w:t>《</w:t>
      </w:r>
      <w:r w:rsidRPr="00BF42B7">
        <w:rPr>
          <w:rFonts w:ascii="Time New Roman" w:hAnsi="Time New Roman"/>
        </w:rPr>
        <w:t>联合国宪章</w:t>
      </w:r>
      <w:r w:rsidRPr="00BF42B7">
        <w:rPr>
          <w:rFonts w:ascii="Time New Roman" w:hAnsi="Time New Roman" w:hint="eastAsia"/>
        </w:rPr>
        <w:t>》</w:t>
      </w:r>
      <w:r w:rsidRPr="00BF42B7">
        <w:rPr>
          <w:rFonts w:ascii="Time New Roman" w:hAnsi="Time New Roman"/>
        </w:rPr>
        <w:t>第</w:t>
      </w:r>
      <w:r w:rsidRPr="00BF42B7">
        <w:rPr>
          <w:rFonts w:ascii="Time New Roman" w:hAnsi="Time New Roman" w:hint="eastAsia"/>
          <w:lang w:val="en-GB"/>
        </w:rPr>
        <w:t>一〇二</w:t>
      </w:r>
      <w:r w:rsidRPr="00BF42B7">
        <w:rPr>
          <w:rFonts w:ascii="Time New Roman" w:hAnsi="Time New Roman"/>
        </w:rPr>
        <w:t>条</w:t>
      </w:r>
      <w:r w:rsidRPr="00463C13">
        <w:rPr>
          <w:rFonts w:ascii="Time New Roman" w:hAnsi="Time New Roman" w:hint="eastAsia"/>
          <w:spacing w:val="2"/>
        </w:rPr>
        <w:t>中</w:t>
      </w:r>
      <w:r w:rsidRPr="00463C13">
        <w:rPr>
          <w:rFonts w:ascii="Time New Roman" w:hAnsi="Time New Roman"/>
          <w:spacing w:val="2"/>
        </w:rPr>
        <w:t>条约的</w:t>
      </w:r>
      <w:r w:rsidRPr="00463C13">
        <w:rPr>
          <w:rFonts w:ascii="Time New Roman" w:hAnsi="Time New Roman" w:hint="eastAsia"/>
          <w:spacing w:val="2"/>
        </w:rPr>
        <w:t>登记</w:t>
      </w:r>
      <w:r w:rsidRPr="00463C13">
        <w:rPr>
          <w:rFonts w:ascii="Time New Roman" w:hAnsi="Time New Roman"/>
          <w:spacing w:val="2"/>
        </w:rPr>
        <w:t>。特别报告员注意到</w:t>
      </w:r>
      <w:r w:rsidRPr="00463C13">
        <w:rPr>
          <w:rFonts w:ascii="Time New Roman" w:hAnsi="Time New Roman" w:hint="eastAsia"/>
          <w:spacing w:val="2"/>
        </w:rPr>
        <w:t>此类</w:t>
      </w:r>
      <w:r w:rsidRPr="00463C13">
        <w:rPr>
          <w:rFonts w:ascii="Time New Roman" w:hAnsi="Time New Roman"/>
          <w:spacing w:val="2"/>
        </w:rPr>
        <w:t>做法</w:t>
      </w:r>
      <w:r w:rsidRPr="00463C13">
        <w:rPr>
          <w:rFonts w:ascii="Time New Roman" w:hAnsi="Time New Roman" w:hint="eastAsia"/>
          <w:spacing w:val="2"/>
        </w:rPr>
        <w:t>在加深对国家惯例基础上的暂时适用的理解上</w:t>
      </w:r>
      <w:r w:rsidRPr="00463C13">
        <w:rPr>
          <w:rFonts w:ascii="Time New Roman" w:hAnsi="Time New Roman"/>
          <w:spacing w:val="2"/>
        </w:rPr>
        <w:t>的相关性，建议委员会</w:t>
      </w:r>
      <w:r w:rsidRPr="00463C13">
        <w:rPr>
          <w:rFonts w:ascii="Time New Roman" w:hAnsi="Time New Roman" w:hint="eastAsia"/>
          <w:spacing w:val="2"/>
        </w:rPr>
        <w:t>不妨</w:t>
      </w:r>
      <w:r w:rsidRPr="00463C13">
        <w:rPr>
          <w:rFonts w:ascii="Time New Roman" w:hAnsi="Time New Roman"/>
          <w:spacing w:val="2"/>
        </w:rPr>
        <w:t>向第六委员会建议，对</w:t>
      </w:r>
      <w:r w:rsidRPr="00463C13">
        <w:rPr>
          <w:rFonts w:ascii="Time New Roman" w:hAnsi="Time New Roman" w:hint="eastAsia"/>
          <w:spacing w:val="2"/>
          <w:lang w:val="en-GB"/>
        </w:rPr>
        <w:t>1946</w:t>
      </w:r>
      <w:r w:rsidRPr="00463C13">
        <w:rPr>
          <w:rFonts w:ascii="Time New Roman" w:hAnsi="Time New Roman" w:hint="eastAsia"/>
          <w:spacing w:val="2"/>
          <w:lang w:val="en-GB"/>
        </w:rPr>
        <w:t>年</w:t>
      </w:r>
      <w:r w:rsidRPr="00463C13">
        <w:rPr>
          <w:rFonts w:ascii="Time New Roman" w:hAnsi="Time New Roman" w:hint="eastAsia"/>
          <w:spacing w:val="2"/>
        </w:rPr>
        <w:t>的登记条例</w:t>
      </w:r>
      <w:r w:rsidRPr="00463C13">
        <w:rPr>
          <w:color w:val="0000FF"/>
          <w:spacing w:val="2"/>
          <w:vertAlign w:val="superscript"/>
        </w:rPr>
        <w:footnoteReference w:id="1459"/>
      </w:r>
      <w:r w:rsidRPr="00BF42B7">
        <w:rPr>
          <w:rFonts w:ascii="Time New Roman" w:hAnsi="Time New Roman" w:hint="eastAsia"/>
        </w:rPr>
        <w:t xml:space="preserve"> </w:t>
      </w:r>
      <w:r w:rsidRPr="00BF42B7">
        <w:rPr>
          <w:rFonts w:ascii="Time New Roman" w:hAnsi="Time New Roman" w:hint="eastAsia"/>
        </w:rPr>
        <w:t>加以修订，</w:t>
      </w:r>
      <w:r w:rsidRPr="00BF42B7">
        <w:rPr>
          <w:rFonts w:ascii="Time New Roman" w:hAnsi="Time New Roman"/>
        </w:rPr>
        <w:t>以更好地反映当代实践</w:t>
      </w:r>
      <w:r w:rsidRPr="00BF42B7">
        <w:rPr>
          <w:rFonts w:ascii="Time New Roman" w:hAnsi="Time New Roman" w:hint="eastAsia"/>
        </w:rPr>
        <w:t>。</w:t>
      </w:r>
    </w:p>
    <w:p w:rsidR="00813081" w:rsidRPr="00BF42B7" w:rsidRDefault="00813081" w:rsidP="00813081">
      <w:pPr>
        <w:pStyle w:val="SingleTxtGC"/>
        <w:rPr>
          <w:rFonts w:ascii="Time New Roman" w:hAnsi="Time New Roman" w:hint="eastAsia"/>
          <w:lang w:val="en-GB"/>
        </w:rPr>
      </w:pPr>
      <w:r w:rsidRPr="00BF42B7">
        <w:rPr>
          <w:rFonts w:ascii="Time New Roman" w:hAnsi="Time New Roman" w:hint="eastAsia"/>
          <w:lang w:val="en-GB"/>
        </w:rPr>
        <w:t xml:space="preserve">266.  </w:t>
      </w:r>
      <w:r w:rsidRPr="00BF42B7">
        <w:rPr>
          <w:rFonts w:ascii="Time New Roman" w:hAnsi="Time New Roman" w:hint="eastAsia"/>
          <w:lang w:val="en-GB"/>
        </w:rPr>
        <w:t>第四份报告载有关于国内法的准则草案，以及对暂时适用条约的全部或局部问题的评论意见，体现了</w:t>
      </w:r>
      <w:r w:rsidRPr="00BF42B7">
        <w:rPr>
          <w:rFonts w:ascii="Time New Roman" w:hAnsi="Time New Roman" w:hint="eastAsia"/>
          <w:lang w:val="en-GB"/>
        </w:rPr>
        <w:t>1969</w:t>
      </w:r>
      <w:r w:rsidRPr="00BF42B7">
        <w:rPr>
          <w:rFonts w:ascii="Time New Roman" w:hAnsi="Time New Roman" w:hint="eastAsia"/>
          <w:lang w:val="en-GB"/>
        </w:rPr>
        <w:t>年《维也纳公约》第二十七条。其目的是完成以往关于暂时适用的法律效力的拟议准则，同时考虑到</w:t>
      </w:r>
      <w:r w:rsidRPr="00BF42B7">
        <w:rPr>
          <w:rFonts w:ascii="Time New Roman" w:hAnsi="Time New Roman" w:hint="eastAsia"/>
          <w:lang w:val="en-GB"/>
        </w:rPr>
        <w:t>1969</w:t>
      </w:r>
      <w:r w:rsidRPr="00BF42B7">
        <w:rPr>
          <w:rFonts w:ascii="Time New Roman" w:hAnsi="Time New Roman" w:hint="eastAsia"/>
          <w:lang w:val="en-GB"/>
        </w:rPr>
        <w:t>年《维也纳公约》第四十六条。</w:t>
      </w:r>
    </w:p>
    <w:p w:rsidR="00813081" w:rsidRPr="00BF42B7" w:rsidRDefault="00813081" w:rsidP="00813081">
      <w:pPr>
        <w:pStyle w:val="SingleTxtGC"/>
        <w:rPr>
          <w:rFonts w:ascii="Time New Roman" w:hAnsi="Time New Roman" w:hint="eastAsia"/>
          <w:lang w:val="en-GB"/>
        </w:rPr>
      </w:pPr>
      <w:r w:rsidRPr="00BF42B7">
        <w:rPr>
          <w:rFonts w:ascii="Time New Roman" w:hAnsi="Time New Roman" w:hint="eastAsia"/>
          <w:lang w:val="en-GB"/>
        </w:rPr>
        <w:t xml:space="preserve">267.  </w:t>
      </w:r>
      <w:r w:rsidRPr="00BF42B7">
        <w:rPr>
          <w:rFonts w:ascii="Time New Roman" w:hAnsi="Time New Roman" w:hint="eastAsia"/>
          <w:lang w:val="en-GB"/>
        </w:rPr>
        <w:t>关于今后在这一专题上的工作，特别报告员表示，他准备处理某些悬而未决的问题，例如维护个人权利的条约的暂时适用以及拟议的示范条款。</w:t>
      </w:r>
    </w:p>
    <w:p w:rsidR="00813081" w:rsidRPr="00BF42B7" w:rsidRDefault="00813081" w:rsidP="00813081">
      <w:pPr>
        <w:pStyle w:val="H23GC"/>
        <w:rPr>
          <w:lang w:val="en-GB"/>
        </w:rPr>
      </w:pPr>
      <w:r w:rsidRPr="00BF42B7">
        <w:rPr>
          <w:rFonts w:hint="eastAsia"/>
          <w:lang w:val="en-GB"/>
        </w:rPr>
        <w:tab/>
      </w:r>
      <w:r w:rsidRPr="00BF42B7">
        <w:rPr>
          <w:lang w:val="en-GB"/>
        </w:rPr>
        <w:t>2.</w:t>
      </w:r>
      <w:r w:rsidRPr="00BF42B7">
        <w:rPr>
          <w:lang w:val="en-GB"/>
        </w:rPr>
        <w:tab/>
      </w:r>
      <w:r w:rsidRPr="00BF42B7">
        <w:rPr>
          <w:rFonts w:hint="eastAsia"/>
          <w:lang w:val="en-GB"/>
        </w:rPr>
        <w:t>辩论摘要</w:t>
      </w:r>
    </w:p>
    <w:p w:rsidR="00813081" w:rsidRPr="00BF42B7" w:rsidRDefault="00813081" w:rsidP="004847A4">
      <w:pPr>
        <w:pStyle w:val="H23GC"/>
        <w:rPr>
          <w:lang w:val="en-GB"/>
        </w:rPr>
      </w:pPr>
      <w:r w:rsidRPr="00BF42B7">
        <w:rPr>
          <w:rFonts w:hint="eastAsia"/>
          <w:lang w:val="en-GB"/>
        </w:rPr>
        <w:tab/>
      </w:r>
      <w:r w:rsidRPr="00BF42B7">
        <w:rPr>
          <w:lang w:val="en-GB"/>
        </w:rPr>
        <w:t>(a)</w:t>
      </w:r>
      <w:r w:rsidRPr="00BF42B7">
        <w:rPr>
          <w:lang w:val="en-GB"/>
        </w:rPr>
        <w:tab/>
      </w:r>
      <w:r w:rsidRPr="00BF42B7">
        <w:rPr>
          <w:rFonts w:hint="eastAsia"/>
          <w:lang w:val="en-GB"/>
        </w:rPr>
        <w:t>一般评论</w:t>
      </w:r>
    </w:p>
    <w:p w:rsidR="00813081" w:rsidRPr="00BF42B7" w:rsidRDefault="00813081" w:rsidP="00813081">
      <w:pPr>
        <w:pStyle w:val="SingleTxtGC"/>
        <w:rPr>
          <w:lang w:val="en-GB"/>
        </w:rPr>
      </w:pPr>
      <w:r w:rsidRPr="00BF42B7">
        <w:rPr>
          <w:rFonts w:hint="eastAsia"/>
          <w:lang w:val="en-GB"/>
        </w:rPr>
        <w:t>268.</w:t>
      </w:r>
      <w:r w:rsidRPr="00BF42B7">
        <w:rPr>
          <w:rFonts w:hint="eastAsia"/>
        </w:rPr>
        <w:t xml:space="preserve">  </w:t>
      </w:r>
      <w:r w:rsidRPr="00BF42B7">
        <w:rPr>
          <w:rFonts w:hint="eastAsia"/>
        </w:rPr>
        <w:t>委员们普遍重申</w:t>
      </w:r>
      <w:r w:rsidRPr="00BF42B7">
        <w:t>，条约的</w:t>
      </w:r>
      <w:r w:rsidRPr="00BF42B7">
        <w:rPr>
          <w:rFonts w:hint="eastAsia"/>
        </w:rPr>
        <w:t>暂</w:t>
      </w:r>
      <w:r w:rsidRPr="00BF42B7">
        <w:t>时适用构成了条约法的一个重要方面，</w:t>
      </w:r>
      <w:r w:rsidRPr="00BF42B7">
        <w:rPr>
          <w:rFonts w:hint="eastAsia"/>
        </w:rPr>
        <w:t>这一专题</w:t>
      </w:r>
      <w:r w:rsidRPr="00BF42B7">
        <w:t>对</w:t>
      </w:r>
      <w:r w:rsidRPr="00BF42B7">
        <w:rPr>
          <w:rFonts w:hint="eastAsia"/>
        </w:rPr>
        <w:t>各国都</w:t>
      </w:r>
      <w:r w:rsidRPr="00BF42B7">
        <w:t>具有重大的现实意义。一些</w:t>
      </w:r>
      <w:r w:rsidRPr="00BF42B7">
        <w:rPr>
          <w:rFonts w:hint="eastAsia"/>
        </w:rPr>
        <w:t>委员认为</w:t>
      </w:r>
      <w:r w:rsidRPr="00BF42B7">
        <w:t>，报告中的信息和分析</w:t>
      </w:r>
      <w:r w:rsidRPr="00BF42B7">
        <w:rPr>
          <w:rFonts w:hint="eastAsia"/>
        </w:rPr>
        <w:t>引人注意</w:t>
      </w:r>
      <w:r w:rsidRPr="00BF42B7">
        <w:t>，进一步</w:t>
      </w:r>
      <w:r w:rsidRPr="00BF42B7">
        <w:rPr>
          <w:rFonts w:hint="eastAsia"/>
        </w:rPr>
        <w:t>阐明了暂时适用</w:t>
      </w:r>
      <w:r w:rsidRPr="00BF42B7">
        <w:t>制度。然而，其他</w:t>
      </w:r>
      <w:r w:rsidRPr="00BF42B7">
        <w:rPr>
          <w:rFonts w:hint="eastAsia"/>
        </w:rPr>
        <w:t>委</w:t>
      </w:r>
      <w:r w:rsidRPr="00BF42B7">
        <w:t>员认为，</w:t>
      </w:r>
      <w:r w:rsidRPr="00BF42B7">
        <w:rPr>
          <w:rFonts w:hint="eastAsia"/>
        </w:rPr>
        <w:t>需要更多的实例，</w:t>
      </w:r>
      <w:r w:rsidRPr="00BF42B7">
        <w:t>以证实</w:t>
      </w:r>
      <w:r w:rsidRPr="00BF42B7">
        <w:rPr>
          <w:rFonts w:hint="eastAsia"/>
        </w:rPr>
        <w:t>所</w:t>
      </w:r>
      <w:r w:rsidRPr="00BF42B7">
        <w:t>得出的结论。此外，</w:t>
      </w:r>
      <w:r w:rsidRPr="00BF42B7">
        <w:rPr>
          <w:rFonts w:hint="eastAsia"/>
        </w:rPr>
        <w:t>一些委员承认</w:t>
      </w:r>
      <w:r w:rsidRPr="00BF42B7">
        <w:t>该报告第二</w:t>
      </w:r>
      <w:r w:rsidRPr="00BF42B7">
        <w:rPr>
          <w:rFonts w:hint="eastAsia"/>
        </w:rPr>
        <w:t>节</w:t>
      </w:r>
      <w:r w:rsidRPr="00BF42B7">
        <w:t>的目的是解决</w:t>
      </w:r>
      <w:r w:rsidRPr="00BF42B7">
        <w:rPr>
          <w:rFonts w:hint="eastAsia"/>
        </w:rPr>
        <w:t>会</w:t>
      </w:r>
      <w:r w:rsidRPr="00BF42B7">
        <w:t>员国提出的问题，这是重要的，但强调，</w:t>
      </w:r>
      <w:r w:rsidRPr="00BF42B7">
        <w:rPr>
          <w:rFonts w:hint="eastAsia"/>
        </w:rPr>
        <w:t>委员会</w:t>
      </w:r>
      <w:r w:rsidRPr="00BF42B7">
        <w:t>需要</w:t>
      </w:r>
      <w:r w:rsidRPr="00BF42B7">
        <w:rPr>
          <w:rFonts w:hint="eastAsia"/>
        </w:rPr>
        <w:t>以综合和系统的方式处理这一专题。</w:t>
      </w:r>
    </w:p>
    <w:p w:rsidR="00813081" w:rsidRPr="00BF42B7" w:rsidRDefault="00813081" w:rsidP="00813081">
      <w:pPr>
        <w:pStyle w:val="SingleTxtGC"/>
        <w:rPr>
          <w:rFonts w:ascii="Time New Roman" w:hAnsi="Time New Roman" w:hint="eastAsia"/>
          <w:lang w:val="en-GB"/>
        </w:rPr>
      </w:pPr>
      <w:r w:rsidRPr="00BF42B7">
        <w:rPr>
          <w:rFonts w:ascii="Time New Roman" w:hAnsi="Time New Roman" w:hint="eastAsia"/>
        </w:rPr>
        <w:t xml:space="preserve">269.  </w:t>
      </w:r>
      <w:r w:rsidRPr="00BF42B7">
        <w:rPr>
          <w:rFonts w:ascii="Time New Roman" w:hAnsi="Time New Roman"/>
        </w:rPr>
        <w:t>关于方法</w:t>
      </w:r>
      <w:r w:rsidRPr="00BF42B7">
        <w:rPr>
          <w:rFonts w:ascii="Time New Roman" w:hAnsi="Time New Roman" w:hint="eastAsia"/>
        </w:rPr>
        <w:t>问题</w:t>
      </w:r>
      <w:r w:rsidRPr="00BF42B7">
        <w:rPr>
          <w:rFonts w:ascii="Time New Roman" w:hAnsi="Time New Roman"/>
        </w:rPr>
        <w:t>，一些</w:t>
      </w:r>
      <w:r w:rsidRPr="00BF42B7">
        <w:rPr>
          <w:rFonts w:ascii="Time New Roman" w:hAnsi="Time New Roman" w:hint="eastAsia"/>
        </w:rPr>
        <w:t>委</w:t>
      </w:r>
      <w:r w:rsidRPr="00BF42B7">
        <w:rPr>
          <w:rFonts w:ascii="Time New Roman" w:hAnsi="Time New Roman"/>
        </w:rPr>
        <w:t>员欢迎</w:t>
      </w:r>
      <w:r w:rsidRPr="00BF42B7">
        <w:rPr>
          <w:rFonts w:ascii="Time New Roman" w:hAnsi="Time New Roman" w:hint="eastAsia"/>
        </w:rPr>
        <w:t>对</w:t>
      </w:r>
      <w:r w:rsidRPr="00BF42B7">
        <w:rPr>
          <w:rFonts w:ascii="Time New Roman" w:hAnsi="Time New Roman" w:hint="eastAsia"/>
          <w:lang w:val="en-GB"/>
        </w:rPr>
        <w:t>暂时适用与</w:t>
      </w:r>
      <w:r w:rsidRPr="00BF42B7">
        <w:rPr>
          <w:rFonts w:ascii="Time New Roman" w:hAnsi="Time New Roman" w:hint="eastAsia"/>
          <w:lang w:val="en-GB"/>
        </w:rPr>
        <w:t>1969</w:t>
      </w:r>
      <w:r w:rsidRPr="00BF42B7">
        <w:rPr>
          <w:rFonts w:ascii="Time New Roman" w:hAnsi="Time New Roman" w:hint="eastAsia"/>
          <w:lang w:val="en-GB"/>
        </w:rPr>
        <w:t>年《维也纳公约》其他规定的关系</w:t>
      </w:r>
      <w:r w:rsidRPr="00BF42B7">
        <w:rPr>
          <w:rFonts w:ascii="Time New Roman" w:hAnsi="Time New Roman"/>
        </w:rPr>
        <w:t>的分析。</w:t>
      </w:r>
      <w:r w:rsidRPr="00BF42B7">
        <w:rPr>
          <w:rFonts w:ascii="Time New Roman" w:hAnsi="Time New Roman" w:hint="eastAsia"/>
        </w:rPr>
        <w:t>不过，</w:t>
      </w:r>
      <w:r w:rsidRPr="00BF42B7">
        <w:rPr>
          <w:rFonts w:ascii="Time New Roman" w:hAnsi="Time New Roman"/>
        </w:rPr>
        <w:t>他们指出，虽然</w:t>
      </w:r>
      <w:r w:rsidRPr="00BF42B7">
        <w:rPr>
          <w:rFonts w:ascii="Time New Roman" w:hAnsi="Time New Roman" w:hint="eastAsia"/>
        </w:rPr>
        <w:t>总的来说，他们</w:t>
      </w:r>
      <w:r w:rsidRPr="00BF42B7">
        <w:rPr>
          <w:rFonts w:ascii="Time New Roman" w:hAnsi="Time New Roman"/>
        </w:rPr>
        <w:t>同意</w:t>
      </w:r>
      <w:r w:rsidRPr="00BF42B7">
        <w:rPr>
          <w:rFonts w:ascii="Time New Roman" w:hAnsi="Time New Roman" w:hint="eastAsia"/>
        </w:rPr>
        <w:t>这些</w:t>
      </w:r>
      <w:r w:rsidRPr="00BF42B7">
        <w:rPr>
          <w:rFonts w:ascii="Time New Roman" w:hAnsi="Time New Roman"/>
        </w:rPr>
        <w:t>结论，</w:t>
      </w:r>
      <w:r w:rsidRPr="00BF42B7">
        <w:rPr>
          <w:rFonts w:ascii="Time New Roman" w:hAnsi="Time New Roman" w:hint="eastAsia"/>
        </w:rPr>
        <w:t>但其中许多</w:t>
      </w:r>
      <w:r w:rsidRPr="00BF42B7">
        <w:rPr>
          <w:rFonts w:ascii="Time New Roman" w:hAnsi="Time New Roman"/>
        </w:rPr>
        <w:t>结论是通过类比得出的，而</w:t>
      </w:r>
      <w:r w:rsidRPr="00BF42B7">
        <w:rPr>
          <w:rFonts w:ascii="Time New Roman" w:hAnsi="Time New Roman" w:hint="eastAsia"/>
        </w:rPr>
        <w:t>其</w:t>
      </w:r>
      <w:r w:rsidRPr="00BF42B7">
        <w:rPr>
          <w:rFonts w:ascii="Time New Roman" w:hAnsi="Time New Roman"/>
        </w:rPr>
        <w:t>背后的做法</w:t>
      </w:r>
      <w:r w:rsidRPr="00BF42B7">
        <w:rPr>
          <w:rFonts w:ascii="Time New Roman" w:hAnsi="Time New Roman" w:hint="eastAsia"/>
        </w:rPr>
        <w:t>往往并不明确</w:t>
      </w:r>
      <w:r w:rsidRPr="00BF42B7">
        <w:rPr>
          <w:rFonts w:ascii="Time New Roman" w:hAnsi="Time New Roman"/>
        </w:rPr>
        <w:t>。此外，有人指出，</w:t>
      </w:r>
      <w:r w:rsidRPr="00BF42B7">
        <w:rPr>
          <w:rFonts w:ascii="Time New Roman" w:hAnsi="Time New Roman" w:hint="eastAsia"/>
        </w:rPr>
        <w:t>不清楚</w:t>
      </w:r>
      <w:r w:rsidRPr="00BF42B7">
        <w:rPr>
          <w:rFonts w:ascii="Time New Roman" w:hAnsi="Time New Roman"/>
        </w:rPr>
        <w:t>特别报告员所进行的分析</w:t>
      </w:r>
      <w:r w:rsidRPr="00BF42B7">
        <w:rPr>
          <w:rFonts w:ascii="Time New Roman" w:hAnsi="Time New Roman" w:hint="eastAsia"/>
        </w:rPr>
        <w:t>将如何</w:t>
      </w:r>
      <w:r w:rsidRPr="00BF42B7">
        <w:rPr>
          <w:rFonts w:ascii="Time New Roman" w:hAnsi="Time New Roman"/>
        </w:rPr>
        <w:t>反映在</w:t>
      </w:r>
      <w:r w:rsidRPr="00BF42B7">
        <w:rPr>
          <w:rFonts w:ascii="Time New Roman" w:hAnsi="Time New Roman" w:hint="eastAsia"/>
        </w:rPr>
        <w:t>这一</w:t>
      </w:r>
      <w:r w:rsidRPr="00BF42B7">
        <w:rPr>
          <w:rFonts w:ascii="Time New Roman" w:hAnsi="Time New Roman"/>
        </w:rPr>
        <w:t>专题的结果</w:t>
      </w:r>
      <w:r w:rsidRPr="00BF42B7">
        <w:rPr>
          <w:rFonts w:ascii="Time New Roman" w:hAnsi="Time New Roman" w:hint="eastAsia"/>
        </w:rPr>
        <w:t>中</w:t>
      </w:r>
      <w:r w:rsidRPr="00BF42B7">
        <w:rPr>
          <w:rFonts w:ascii="Time New Roman" w:hAnsi="Time New Roman"/>
        </w:rPr>
        <w:t>：例如，是否</w:t>
      </w:r>
      <w:r w:rsidRPr="00BF42B7">
        <w:rPr>
          <w:rFonts w:ascii="Time New Roman" w:hAnsi="Time New Roman" w:hint="eastAsia"/>
        </w:rPr>
        <w:t>所</w:t>
      </w:r>
      <w:r w:rsidRPr="00BF42B7">
        <w:rPr>
          <w:rFonts w:ascii="Time New Roman" w:hAnsi="Time New Roman"/>
        </w:rPr>
        <w:t>分析</w:t>
      </w:r>
      <w:r w:rsidRPr="00BF42B7">
        <w:rPr>
          <w:rFonts w:ascii="Time New Roman" w:hAnsi="Time New Roman" w:hint="eastAsia"/>
        </w:rPr>
        <w:t>的每一条款都</w:t>
      </w:r>
      <w:r w:rsidRPr="00BF42B7">
        <w:rPr>
          <w:rFonts w:ascii="Time New Roman" w:hAnsi="Time New Roman"/>
        </w:rPr>
        <w:t>有一个准则，</w:t>
      </w:r>
      <w:r w:rsidRPr="00BF42B7">
        <w:rPr>
          <w:rFonts w:ascii="Time New Roman" w:hAnsi="Time New Roman" w:hint="eastAsia"/>
        </w:rPr>
        <w:t>还是有一个</w:t>
      </w:r>
      <w:r w:rsidRPr="00BF42B7">
        <w:rPr>
          <w:rFonts w:ascii="Time New Roman" w:hAnsi="Time New Roman"/>
        </w:rPr>
        <w:t>关于第</w:t>
      </w:r>
      <w:r w:rsidRPr="00BF42B7">
        <w:rPr>
          <w:rFonts w:ascii="Time New Roman" w:hAnsi="Time New Roman" w:hint="eastAsia"/>
        </w:rPr>
        <w:t>二十五</w:t>
      </w:r>
      <w:r w:rsidRPr="00BF42B7">
        <w:rPr>
          <w:rFonts w:ascii="Time New Roman" w:hAnsi="Time New Roman"/>
        </w:rPr>
        <w:t>条</w:t>
      </w:r>
      <w:r w:rsidRPr="00BF42B7">
        <w:rPr>
          <w:rFonts w:ascii="Time New Roman" w:hAnsi="Time New Roman" w:hint="eastAsia"/>
        </w:rPr>
        <w:t>与</w:t>
      </w:r>
      <w:r w:rsidRPr="00BF42B7">
        <w:rPr>
          <w:rFonts w:ascii="Time New Roman" w:hAnsi="Time New Roman"/>
          <w:lang w:val="en-GB"/>
        </w:rPr>
        <w:t>1969</w:t>
      </w:r>
      <w:r w:rsidRPr="00BF42B7">
        <w:rPr>
          <w:rFonts w:ascii="Time New Roman" w:hAnsi="Time New Roman" w:hint="eastAsia"/>
          <w:lang w:val="en-GB"/>
        </w:rPr>
        <w:t>《</w:t>
      </w:r>
      <w:r w:rsidRPr="00BF42B7">
        <w:rPr>
          <w:rFonts w:ascii="Time New Roman" w:hAnsi="Time New Roman"/>
        </w:rPr>
        <w:t>维也纳公约</w:t>
      </w:r>
      <w:r w:rsidRPr="00BF42B7">
        <w:rPr>
          <w:rFonts w:ascii="Time New Roman" w:hAnsi="Time New Roman" w:hint="eastAsia"/>
        </w:rPr>
        <w:t>》</w:t>
      </w:r>
      <w:r w:rsidRPr="00BF42B7">
        <w:rPr>
          <w:rFonts w:ascii="Time New Roman" w:hAnsi="Time New Roman"/>
        </w:rPr>
        <w:t>其他</w:t>
      </w:r>
      <w:r w:rsidRPr="00BF42B7">
        <w:rPr>
          <w:rFonts w:ascii="Time New Roman" w:hAnsi="Time New Roman" w:hint="eastAsia"/>
        </w:rPr>
        <w:t>规定</w:t>
      </w:r>
      <w:r w:rsidRPr="00BF42B7">
        <w:rPr>
          <w:rFonts w:ascii="Time New Roman" w:hAnsi="Time New Roman"/>
        </w:rPr>
        <w:t>的关系</w:t>
      </w:r>
      <w:r w:rsidRPr="00BF42B7">
        <w:rPr>
          <w:rFonts w:ascii="Time New Roman" w:hAnsi="Time New Roman" w:hint="eastAsia"/>
        </w:rPr>
        <w:t>的总括性准则</w:t>
      </w:r>
      <w:r w:rsidRPr="00BF42B7">
        <w:rPr>
          <w:rFonts w:ascii="Time New Roman" w:hAnsi="Time New Roman"/>
        </w:rPr>
        <w:t>。</w:t>
      </w:r>
      <w:r w:rsidRPr="00BF42B7">
        <w:rPr>
          <w:rFonts w:ascii="Time New Roman" w:hAnsi="Time New Roman" w:hint="eastAsia"/>
        </w:rPr>
        <w:t>还有若干委员对</w:t>
      </w:r>
      <w:r w:rsidRPr="00BF42B7">
        <w:rPr>
          <w:rFonts w:ascii="Time New Roman" w:hAnsi="Time New Roman"/>
        </w:rPr>
        <w:t>这种方法的价值</w:t>
      </w:r>
      <w:r w:rsidRPr="00BF42B7">
        <w:rPr>
          <w:rFonts w:ascii="Time New Roman" w:hAnsi="Time New Roman" w:hint="eastAsia"/>
        </w:rPr>
        <w:t>表示</w:t>
      </w:r>
      <w:r w:rsidRPr="00BF42B7">
        <w:rPr>
          <w:rFonts w:ascii="Time New Roman" w:hAnsi="Time New Roman"/>
        </w:rPr>
        <w:t>怀疑。在这</w:t>
      </w:r>
      <w:r w:rsidRPr="00BF42B7">
        <w:rPr>
          <w:rFonts w:ascii="Time New Roman" w:hAnsi="Time New Roman" w:hint="eastAsia"/>
        </w:rPr>
        <w:t>一</w:t>
      </w:r>
      <w:r w:rsidRPr="00BF42B7">
        <w:rPr>
          <w:rFonts w:ascii="Time New Roman" w:hAnsi="Time New Roman"/>
        </w:rPr>
        <w:t>方面，有人认为，</w:t>
      </w:r>
      <w:r w:rsidRPr="00BF42B7">
        <w:rPr>
          <w:rFonts w:ascii="Time New Roman" w:hAnsi="Time New Roman" w:hint="eastAsia"/>
        </w:rPr>
        <w:t>需要分析</w:t>
      </w:r>
      <w:r w:rsidRPr="00BF42B7">
        <w:rPr>
          <w:rFonts w:ascii="Time New Roman" w:hAnsi="Time New Roman"/>
          <w:lang w:val="en-GB"/>
        </w:rPr>
        <w:t>1969</w:t>
      </w:r>
      <w:r w:rsidRPr="00BF42B7">
        <w:rPr>
          <w:rFonts w:ascii="Time New Roman" w:hAnsi="Time New Roman" w:hint="eastAsia"/>
          <w:lang w:val="en-GB"/>
        </w:rPr>
        <w:t>年《</w:t>
      </w:r>
      <w:r w:rsidRPr="00BF42B7">
        <w:rPr>
          <w:rFonts w:ascii="Time New Roman" w:hAnsi="Time New Roman"/>
          <w:lang w:val="en-GB"/>
        </w:rPr>
        <w:t>维也纳公约</w:t>
      </w:r>
      <w:r w:rsidRPr="00BF42B7">
        <w:rPr>
          <w:rFonts w:ascii="Time New Roman" w:hAnsi="Time New Roman" w:hint="eastAsia"/>
          <w:lang w:val="en-GB"/>
        </w:rPr>
        <w:t>》</w:t>
      </w:r>
      <w:r w:rsidRPr="00BF42B7">
        <w:rPr>
          <w:rFonts w:ascii="Time New Roman" w:hAnsi="Time New Roman"/>
          <w:lang w:val="en-GB"/>
        </w:rPr>
        <w:t>第</w:t>
      </w:r>
      <w:r w:rsidRPr="00BF42B7">
        <w:rPr>
          <w:rFonts w:ascii="Time New Roman" w:hAnsi="Time New Roman" w:hint="eastAsia"/>
          <w:lang w:val="en-GB"/>
        </w:rPr>
        <w:t>二十五</w:t>
      </w:r>
      <w:r w:rsidRPr="00BF42B7">
        <w:rPr>
          <w:rFonts w:ascii="Time New Roman" w:hAnsi="Time New Roman"/>
          <w:lang w:val="en-GB"/>
        </w:rPr>
        <w:t>条是否部分或</w:t>
      </w:r>
      <w:r w:rsidRPr="00BF42B7">
        <w:rPr>
          <w:rFonts w:ascii="Time New Roman" w:hAnsi="Time New Roman" w:hint="eastAsia"/>
          <w:lang w:val="en-GB"/>
        </w:rPr>
        <w:t>整个构成</w:t>
      </w:r>
      <w:r w:rsidRPr="00BF42B7">
        <w:rPr>
          <w:rFonts w:ascii="Time New Roman" w:hAnsi="Time New Roman"/>
          <w:lang w:val="en-GB"/>
        </w:rPr>
        <w:t>公约内一个</w:t>
      </w:r>
      <w:r w:rsidRPr="00BF42B7">
        <w:rPr>
          <w:rFonts w:ascii="Time New Roman" w:hAnsi="Time New Roman" w:hint="eastAsia"/>
          <w:lang w:val="en-GB"/>
        </w:rPr>
        <w:t>完备</w:t>
      </w:r>
      <w:r w:rsidRPr="00BF42B7">
        <w:rPr>
          <w:rFonts w:ascii="Time New Roman" w:hAnsi="Time New Roman"/>
          <w:lang w:val="en-GB"/>
        </w:rPr>
        <w:t>的制度。</w:t>
      </w:r>
      <w:r w:rsidRPr="00BF42B7">
        <w:rPr>
          <w:rFonts w:ascii="Time New Roman" w:hAnsi="Time New Roman" w:hint="eastAsia"/>
          <w:lang w:val="en-GB"/>
        </w:rPr>
        <w:t>人们回顾</w:t>
      </w:r>
      <w:r w:rsidRPr="00BF42B7">
        <w:rPr>
          <w:rFonts w:ascii="Time New Roman" w:hAnsi="Time New Roman"/>
          <w:lang w:val="en-GB"/>
        </w:rPr>
        <w:t>，在维也纳会议上</w:t>
      </w:r>
      <w:r w:rsidRPr="00BF42B7">
        <w:rPr>
          <w:rFonts w:ascii="Time New Roman" w:hAnsi="Time New Roman" w:hint="eastAsia"/>
          <w:lang w:val="en-GB"/>
        </w:rPr>
        <w:t>审议</w:t>
      </w:r>
      <w:r w:rsidRPr="00BF42B7">
        <w:rPr>
          <w:rFonts w:ascii="Time New Roman" w:hAnsi="Time New Roman"/>
          <w:lang w:val="en-GB"/>
        </w:rPr>
        <w:t>的各种建议，特别是</w:t>
      </w:r>
      <w:r w:rsidRPr="00BF42B7">
        <w:rPr>
          <w:rFonts w:ascii="Time New Roman" w:hAnsi="Time New Roman" w:hint="eastAsia"/>
          <w:lang w:val="en-GB"/>
        </w:rPr>
        <w:t>关于暂时适用</w:t>
      </w:r>
      <w:r w:rsidRPr="00BF42B7">
        <w:rPr>
          <w:rFonts w:ascii="Time New Roman" w:hAnsi="Time New Roman"/>
          <w:lang w:val="en-GB"/>
        </w:rPr>
        <w:t>的终止问题，似乎支持这</w:t>
      </w:r>
      <w:r w:rsidRPr="00BF42B7">
        <w:rPr>
          <w:rFonts w:ascii="Time New Roman" w:hAnsi="Time New Roman" w:hint="eastAsia"/>
          <w:lang w:val="en-GB"/>
        </w:rPr>
        <w:t>种主张</w:t>
      </w:r>
      <w:r w:rsidRPr="00BF42B7">
        <w:rPr>
          <w:rFonts w:ascii="Time New Roman" w:hAnsi="Time New Roman"/>
          <w:lang w:val="en-GB"/>
        </w:rPr>
        <w:t>。如果得出结论</w:t>
      </w:r>
      <w:r w:rsidRPr="00BF42B7">
        <w:rPr>
          <w:rFonts w:ascii="Time New Roman" w:hAnsi="Time New Roman" w:hint="eastAsia"/>
          <w:lang w:val="en-GB"/>
        </w:rPr>
        <w:t>认为</w:t>
      </w:r>
      <w:r w:rsidRPr="00BF42B7">
        <w:rPr>
          <w:rFonts w:ascii="Time New Roman" w:hAnsi="Time New Roman"/>
          <w:lang w:val="en-GB"/>
        </w:rPr>
        <w:t>，</w:t>
      </w:r>
      <w:r w:rsidRPr="00BF42B7">
        <w:rPr>
          <w:rFonts w:ascii="Time New Roman" w:hAnsi="Time New Roman" w:hint="eastAsia"/>
          <w:lang w:val="en-GB"/>
        </w:rPr>
        <w:t>第二十五条</w:t>
      </w:r>
      <w:r w:rsidRPr="00BF42B7">
        <w:rPr>
          <w:rFonts w:ascii="Time New Roman" w:hAnsi="Time New Roman"/>
        </w:rPr>
        <w:t>是一个</w:t>
      </w:r>
      <w:r w:rsidRPr="00BF42B7">
        <w:rPr>
          <w:rFonts w:ascii="Time New Roman" w:hAnsi="Time New Roman" w:hint="eastAsia"/>
        </w:rPr>
        <w:t>非常完备</w:t>
      </w:r>
      <w:r w:rsidRPr="00BF42B7">
        <w:rPr>
          <w:rFonts w:ascii="Time New Roman" w:hAnsi="Time New Roman"/>
        </w:rPr>
        <w:t>的制度，</w:t>
      </w:r>
      <w:r w:rsidRPr="00BF42B7">
        <w:rPr>
          <w:rFonts w:ascii="Time New Roman" w:hAnsi="Time New Roman" w:hint="eastAsia"/>
        </w:rPr>
        <w:t>那么，其他条款</w:t>
      </w:r>
      <w:r w:rsidRPr="00BF42B7">
        <w:rPr>
          <w:rFonts w:ascii="Time New Roman" w:hAnsi="Time New Roman"/>
        </w:rPr>
        <w:t>，</w:t>
      </w:r>
      <w:r w:rsidRPr="00BF42B7">
        <w:rPr>
          <w:rFonts w:ascii="Time New Roman" w:hAnsi="Time New Roman" w:hint="eastAsia"/>
        </w:rPr>
        <w:t>尽管并非</w:t>
      </w:r>
      <w:r w:rsidRPr="00BF42B7">
        <w:rPr>
          <w:rFonts w:ascii="Time New Roman" w:hAnsi="Time New Roman"/>
        </w:rPr>
        <w:t>直接相关</w:t>
      </w:r>
      <w:r w:rsidRPr="00BF42B7">
        <w:rPr>
          <w:rFonts w:ascii="Time New Roman" w:hAnsi="Time New Roman" w:hint="eastAsia"/>
        </w:rPr>
        <w:t>，也</w:t>
      </w:r>
      <w:r w:rsidRPr="00BF42B7">
        <w:rPr>
          <w:rFonts w:ascii="Time New Roman" w:hAnsi="Time New Roman"/>
        </w:rPr>
        <w:t>可以</w:t>
      </w:r>
      <w:r w:rsidRPr="00BF42B7">
        <w:rPr>
          <w:rFonts w:ascii="Time New Roman" w:hAnsi="Time New Roman" w:hint="eastAsia"/>
        </w:rPr>
        <w:t>通过类比</w:t>
      </w:r>
      <w:r w:rsidRPr="00BF42B7">
        <w:rPr>
          <w:rFonts w:ascii="Time New Roman" w:hAnsi="Time New Roman"/>
        </w:rPr>
        <w:t>提供一些指导</w:t>
      </w:r>
      <w:r w:rsidRPr="00BF42B7">
        <w:rPr>
          <w:rFonts w:ascii="Time New Roman" w:hAnsi="Time New Roman" w:hint="eastAsia"/>
        </w:rPr>
        <w:t>。</w:t>
      </w:r>
    </w:p>
    <w:p w:rsidR="00813081" w:rsidRPr="00BF42B7" w:rsidRDefault="00813081" w:rsidP="00813081">
      <w:pPr>
        <w:pStyle w:val="SingleTxtGC"/>
        <w:rPr>
          <w:rFonts w:ascii="Time New Roman" w:hAnsi="Time New Roman" w:hint="eastAsia"/>
          <w:lang w:val="en-GB"/>
        </w:rPr>
      </w:pPr>
      <w:r w:rsidRPr="00BF42B7">
        <w:rPr>
          <w:rFonts w:ascii="Time New Roman" w:hAnsi="Time New Roman" w:hint="eastAsia"/>
        </w:rPr>
        <w:t>270</w:t>
      </w:r>
      <w:r w:rsidRPr="00BF42B7">
        <w:rPr>
          <w:rFonts w:ascii="Time New Roman" w:hAnsi="Time New Roman"/>
        </w:rPr>
        <w:t>.</w:t>
      </w:r>
      <w:r w:rsidRPr="00BF42B7">
        <w:rPr>
          <w:rFonts w:ascii="Time New Roman" w:hAnsi="Time New Roman" w:hint="eastAsia"/>
        </w:rPr>
        <w:t xml:space="preserve">  </w:t>
      </w:r>
      <w:r w:rsidRPr="00BF42B7">
        <w:rPr>
          <w:rFonts w:ascii="Time New Roman" w:hAnsi="Time New Roman"/>
        </w:rPr>
        <w:t>其他</w:t>
      </w:r>
      <w:r w:rsidRPr="00BF42B7">
        <w:rPr>
          <w:rFonts w:ascii="Time New Roman" w:hAnsi="Time New Roman" w:hint="eastAsia"/>
        </w:rPr>
        <w:t>委</w:t>
      </w:r>
      <w:r w:rsidRPr="00BF42B7">
        <w:rPr>
          <w:rFonts w:ascii="Time New Roman" w:hAnsi="Time New Roman"/>
        </w:rPr>
        <w:t>员认为，</w:t>
      </w:r>
      <w:r w:rsidRPr="00BF42B7">
        <w:rPr>
          <w:rFonts w:ascii="Time New Roman" w:hAnsi="Time New Roman"/>
          <w:lang w:val="en-GB"/>
        </w:rPr>
        <w:t>该</w:t>
      </w:r>
      <w:r w:rsidRPr="00BF42B7">
        <w:rPr>
          <w:rFonts w:ascii="Time New Roman" w:hAnsi="Time New Roman" w:hint="eastAsia"/>
          <w:lang w:val="en-GB"/>
        </w:rPr>
        <w:t>专题</w:t>
      </w:r>
      <w:r w:rsidRPr="00BF42B7">
        <w:rPr>
          <w:rFonts w:ascii="Time New Roman" w:hAnsi="Time New Roman"/>
          <w:lang w:val="en-GB"/>
        </w:rPr>
        <w:t>的方向取决于</w:t>
      </w:r>
      <w:r w:rsidRPr="00BF42B7">
        <w:rPr>
          <w:rFonts w:ascii="Time New Roman" w:hAnsi="Time New Roman"/>
          <w:lang w:val="en-GB"/>
        </w:rPr>
        <w:t>1969</w:t>
      </w:r>
      <w:r w:rsidRPr="00BF42B7">
        <w:rPr>
          <w:rFonts w:ascii="Time New Roman" w:hAnsi="Time New Roman" w:hint="eastAsia"/>
          <w:lang w:val="en-GB"/>
        </w:rPr>
        <w:t>年《</w:t>
      </w:r>
      <w:r w:rsidRPr="00BF42B7">
        <w:rPr>
          <w:rFonts w:ascii="Time New Roman" w:hAnsi="Time New Roman"/>
          <w:lang w:val="en-GB"/>
        </w:rPr>
        <w:t>维也纳公约</w:t>
      </w:r>
      <w:r w:rsidRPr="00BF42B7">
        <w:rPr>
          <w:rFonts w:ascii="Time New Roman" w:hAnsi="Time New Roman" w:hint="eastAsia"/>
          <w:lang w:val="en-GB"/>
        </w:rPr>
        <w:t>》</w:t>
      </w:r>
      <w:r w:rsidRPr="00BF42B7">
        <w:rPr>
          <w:rFonts w:ascii="Time New Roman" w:hAnsi="Time New Roman"/>
          <w:lang w:val="en-GB"/>
        </w:rPr>
        <w:t>是否适用于</w:t>
      </w:r>
      <w:r w:rsidRPr="00BF42B7">
        <w:rPr>
          <w:rFonts w:ascii="Time New Roman" w:hAnsi="Time New Roman" w:hint="eastAsia"/>
          <w:lang w:val="en-GB"/>
        </w:rPr>
        <w:t>暂时适用问题</w:t>
      </w:r>
      <w:r w:rsidRPr="00BF42B7">
        <w:rPr>
          <w:rFonts w:ascii="Time New Roman" w:hAnsi="Time New Roman"/>
          <w:lang w:val="en-GB"/>
        </w:rPr>
        <w:t>。他们不同意</w:t>
      </w:r>
      <w:r w:rsidRPr="00BF42B7">
        <w:rPr>
          <w:rFonts w:ascii="Time New Roman" w:hAnsi="Time New Roman" w:hint="eastAsia"/>
          <w:lang w:val="en-GB"/>
        </w:rPr>
        <w:t>这样一个假设</w:t>
      </w:r>
      <w:r w:rsidRPr="00BF42B7">
        <w:rPr>
          <w:rFonts w:ascii="Time New Roman" w:hAnsi="Time New Roman"/>
          <w:lang w:val="en-GB"/>
        </w:rPr>
        <w:t>，即</w:t>
      </w:r>
      <w:r w:rsidRPr="00BF42B7">
        <w:rPr>
          <w:rFonts w:ascii="Time New Roman" w:hAnsi="Time New Roman" w:hint="eastAsia"/>
          <w:lang w:val="en-GB"/>
        </w:rPr>
        <w:t>第二十五条的全部</w:t>
      </w:r>
      <w:r w:rsidRPr="00BF42B7">
        <w:rPr>
          <w:rFonts w:ascii="Time New Roman" w:hAnsi="Time New Roman"/>
          <w:lang w:val="en-GB"/>
        </w:rPr>
        <w:t>或</w:t>
      </w:r>
      <w:r w:rsidRPr="00BF42B7">
        <w:rPr>
          <w:rFonts w:ascii="Time New Roman" w:hAnsi="Time New Roman" w:hint="eastAsia"/>
          <w:lang w:val="en-GB"/>
        </w:rPr>
        <w:t>局部</w:t>
      </w:r>
      <w:r w:rsidRPr="00BF42B7">
        <w:rPr>
          <w:rFonts w:ascii="Time New Roman" w:hAnsi="Time New Roman"/>
          <w:lang w:val="en-GB"/>
        </w:rPr>
        <w:t>构成</w:t>
      </w:r>
      <w:r w:rsidRPr="00BF42B7">
        <w:rPr>
          <w:rFonts w:ascii="Time New Roman" w:hAnsi="Time New Roman" w:hint="eastAsia"/>
          <w:lang w:val="en-GB"/>
        </w:rPr>
        <w:t>了</w:t>
      </w:r>
      <w:r w:rsidRPr="00BF42B7">
        <w:rPr>
          <w:rFonts w:ascii="Time New Roman" w:hAnsi="Time New Roman"/>
          <w:lang w:val="en-GB"/>
        </w:rPr>
        <w:t>一个</w:t>
      </w:r>
      <w:r w:rsidRPr="00BF42B7">
        <w:rPr>
          <w:rFonts w:ascii="Time New Roman" w:hAnsi="Time New Roman" w:hint="eastAsia"/>
          <w:lang w:val="en-GB"/>
        </w:rPr>
        <w:t>完备</w:t>
      </w:r>
      <w:r w:rsidRPr="00BF42B7">
        <w:rPr>
          <w:rFonts w:ascii="Time New Roman" w:hAnsi="Time New Roman"/>
          <w:lang w:val="en-GB"/>
        </w:rPr>
        <w:t>的制度，</w:t>
      </w:r>
      <w:r w:rsidRPr="00BF42B7">
        <w:rPr>
          <w:rFonts w:ascii="Time New Roman" w:hAnsi="Time New Roman" w:hint="eastAsia"/>
          <w:lang w:val="en-GB"/>
        </w:rPr>
        <w:t>制约</w:t>
      </w:r>
      <w:r w:rsidRPr="00BF42B7">
        <w:rPr>
          <w:rFonts w:ascii="Time New Roman" w:hAnsi="Time New Roman"/>
          <w:lang w:val="en-GB"/>
        </w:rPr>
        <w:t>终止</w:t>
      </w:r>
      <w:r w:rsidRPr="00BF42B7">
        <w:rPr>
          <w:rFonts w:ascii="Time New Roman" w:hAnsi="Time New Roman" w:hint="eastAsia"/>
          <w:lang w:val="en-GB"/>
        </w:rPr>
        <w:t>暂时适用的</w:t>
      </w:r>
      <w:r w:rsidRPr="00BF42B7">
        <w:rPr>
          <w:rFonts w:ascii="Time New Roman" w:hAnsi="Time New Roman"/>
          <w:lang w:val="en-GB"/>
        </w:rPr>
        <w:t>第</w:t>
      </w:r>
      <w:r w:rsidRPr="00BF42B7">
        <w:rPr>
          <w:rFonts w:ascii="Time New Roman" w:hAnsi="Time New Roman" w:hint="eastAsia"/>
          <w:lang w:val="en-GB"/>
        </w:rPr>
        <w:t>二款则是一个</w:t>
      </w:r>
      <w:r w:rsidRPr="00BF42B7">
        <w:rPr>
          <w:rFonts w:ascii="Time New Roman" w:hAnsi="Time New Roman"/>
          <w:lang w:val="en-GB"/>
        </w:rPr>
        <w:t>可能的例外。他们强调，</w:t>
      </w:r>
      <w:r w:rsidRPr="00BF42B7">
        <w:rPr>
          <w:rFonts w:ascii="Time New Roman" w:hAnsi="Time New Roman" w:hint="eastAsia"/>
          <w:lang w:val="en-GB"/>
        </w:rPr>
        <w:t>暂时适用</w:t>
      </w:r>
      <w:r w:rsidRPr="00BF42B7">
        <w:rPr>
          <w:rFonts w:ascii="Time New Roman" w:hAnsi="Time New Roman"/>
          <w:lang w:val="en-GB"/>
        </w:rPr>
        <w:t>一项条约，虽然是临时</w:t>
      </w:r>
      <w:r w:rsidRPr="00BF42B7">
        <w:rPr>
          <w:rFonts w:ascii="Time New Roman" w:hAnsi="Time New Roman" w:hint="eastAsia"/>
          <w:lang w:val="en-GB"/>
        </w:rPr>
        <w:t>性</w:t>
      </w:r>
      <w:r w:rsidRPr="00BF42B7">
        <w:rPr>
          <w:rFonts w:ascii="Time New Roman" w:hAnsi="Time New Roman"/>
          <w:lang w:val="en-GB"/>
        </w:rPr>
        <w:t>的，但仍然是</w:t>
      </w:r>
      <w:r w:rsidRPr="00BF42B7">
        <w:rPr>
          <w:rFonts w:ascii="Time New Roman" w:hAnsi="Time New Roman" w:hint="eastAsia"/>
          <w:lang w:val="en-GB"/>
        </w:rPr>
        <w:t>对</w:t>
      </w:r>
      <w:r w:rsidRPr="00BF42B7">
        <w:rPr>
          <w:rFonts w:ascii="Time New Roman" w:hAnsi="Time New Roman"/>
          <w:lang w:val="en-GB"/>
        </w:rPr>
        <w:t>一个条约</w:t>
      </w:r>
      <w:r w:rsidRPr="00BF42B7">
        <w:rPr>
          <w:rFonts w:ascii="Time New Roman" w:hAnsi="Time New Roman" w:hint="eastAsia"/>
          <w:lang w:val="en-GB"/>
        </w:rPr>
        <w:t>的适用</w:t>
      </w:r>
      <w:r w:rsidRPr="00BF42B7">
        <w:rPr>
          <w:rFonts w:ascii="Time New Roman" w:hAnsi="Time New Roman"/>
          <w:lang w:val="en-GB"/>
        </w:rPr>
        <w:t>。在他们看来，分析</w:t>
      </w:r>
      <w:r w:rsidRPr="00BF42B7">
        <w:rPr>
          <w:rFonts w:ascii="Time New Roman" w:hAnsi="Time New Roman" w:hint="eastAsia"/>
          <w:lang w:val="en-GB"/>
        </w:rPr>
        <w:t>暂时适用与</w:t>
      </w:r>
      <w:r w:rsidRPr="00BF42B7">
        <w:rPr>
          <w:rFonts w:ascii="Time New Roman" w:hAnsi="Time New Roman"/>
          <w:lang w:val="en-GB"/>
        </w:rPr>
        <w:t>1969</w:t>
      </w:r>
      <w:r w:rsidRPr="00BF42B7">
        <w:rPr>
          <w:rFonts w:ascii="Time New Roman" w:hAnsi="Time New Roman" w:hint="eastAsia"/>
          <w:lang w:val="en-GB"/>
        </w:rPr>
        <w:t>年《</w:t>
      </w:r>
      <w:r w:rsidRPr="00BF42B7">
        <w:rPr>
          <w:rFonts w:ascii="Time New Roman" w:hAnsi="Time New Roman"/>
          <w:lang w:val="en-GB"/>
        </w:rPr>
        <w:t>维也纳公约</w:t>
      </w:r>
      <w:r w:rsidRPr="00BF42B7">
        <w:rPr>
          <w:rFonts w:ascii="Time New Roman" w:hAnsi="Time New Roman" w:hint="eastAsia"/>
          <w:lang w:val="en-GB"/>
        </w:rPr>
        <w:t>》</w:t>
      </w:r>
      <w:r w:rsidRPr="00BF42B7">
        <w:rPr>
          <w:rFonts w:ascii="Time New Roman" w:hAnsi="Time New Roman"/>
          <w:lang w:val="en-GB"/>
        </w:rPr>
        <w:t>的规定的关系是徒劳的。</w:t>
      </w:r>
      <w:r w:rsidRPr="00BF42B7">
        <w:rPr>
          <w:rFonts w:ascii="Time New Roman" w:hAnsi="Time New Roman" w:hint="eastAsia"/>
          <w:lang w:val="en-GB"/>
        </w:rPr>
        <w:t>如果</w:t>
      </w:r>
      <w:r w:rsidRPr="00BF42B7">
        <w:rPr>
          <w:rFonts w:ascii="Time New Roman" w:hAnsi="Time New Roman"/>
          <w:lang w:val="en-GB"/>
        </w:rPr>
        <w:t>1969</w:t>
      </w:r>
      <w:r w:rsidRPr="00BF42B7">
        <w:rPr>
          <w:rFonts w:ascii="Time New Roman" w:hAnsi="Time New Roman" w:hint="eastAsia"/>
          <w:lang w:val="en-GB"/>
        </w:rPr>
        <w:t>年《</w:t>
      </w:r>
      <w:r w:rsidRPr="00BF42B7">
        <w:rPr>
          <w:rFonts w:ascii="Time New Roman" w:hAnsi="Time New Roman"/>
          <w:lang w:val="en-GB"/>
        </w:rPr>
        <w:t>维也纳公约</w:t>
      </w:r>
      <w:r w:rsidRPr="00BF42B7">
        <w:rPr>
          <w:rFonts w:ascii="Time New Roman" w:hAnsi="Time New Roman" w:hint="eastAsia"/>
          <w:lang w:val="en-GB"/>
        </w:rPr>
        <w:t>》的规定</w:t>
      </w:r>
      <w:r w:rsidRPr="00BF42B7">
        <w:rPr>
          <w:rFonts w:ascii="Time New Roman" w:hAnsi="Time New Roman"/>
          <w:lang w:val="en-GB"/>
        </w:rPr>
        <w:t>适用于生效的条约，</w:t>
      </w:r>
      <w:r w:rsidRPr="00BF42B7">
        <w:rPr>
          <w:rFonts w:ascii="Time New Roman" w:hAnsi="Time New Roman" w:hint="eastAsia"/>
          <w:lang w:val="en-GB"/>
        </w:rPr>
        <w:t>则它们也同样</w:t>
      </w:r>
      <w:r w:rsidRPr="00BF42B7">
        <w:rPr>
          <w:rFonts w:ascii="Time New Roman" w:hAnsi="Time New Roman"/>
          <w:lang w:val="en-GB"/>
        </w:rPr>
        <w:t>适用于</w:t>
      </w:r>
      <w:r w:rsidRPr="00BF42B7">
        <w:rPr>
          <w:rFonts w:ascii="Time New Roman" w:hAnsi="Time New Roman" w:hint="eastAsia"/>
          <w:lang w:val="en-GB"/>
        </w:rPr>
        <w:t>暂时适用的条约，但</w:t>
      </w:r>
      <w:r w:rsidRPr="00BF42B7">
        <w:rPr>
          <w:rFonts w:ascii="Time New Roman" w:hAnsi="Time New Roman"/>
          <w:lang w:val="en-GB"/>
        </w:rPr>
        <w:t>有一个重要</w:t>
      </w:r>
      <w:r w:rsidRPr="00BF42B7">
        <w:rPr>
          <w:rFonts w:ascii="Time New Roman" w:hAnsi="Time New Roman" w:hint="eastAsia"/>
          <w:lang w:val="en-GB"/>
        </w:rPr>
        <w:t>条件，即暂时适用该条约的国家的</w:t>
      </w:r>
      <w:r w:rsidRPr="00BF42B7">
        <w:rPr>
          <w:rFonts w:ascii="Time New Roman" w:hAnsi="Time New Roman"/>
          <w:lang w:val="en-GB"/>
        </w:rPr>
        <w:t>权利和义务取决于</w:t>
      </w:r>
      <w:r w:rsidRPr="00BF42B7">
        <w:rPr>
          <w:rFonts w:ascii="Time New Roman" w:hAnsi="Time New Roman" w:hint="eastAsia"/>
          <w:lang w:val="en-GB"/>
        </w:rPr>
        <w:t>规定了暂时适用的协定条款</w:t>
      </w:r>
      <w:r w:rsidRPr="00BF42B7">
        <w:rPr>
          <w:rFonts w:ascii="Time New Roman" w:hAnsi="Time New Roman"/>
          <w:lang w:val="en-GB"/>
        </w:rPr>
        <w:t>。然而，也有人</w:t>
      </w:r>
      <w:r w:rsidRPr="00BF42B7">
        <w:rPr>
          <w:rFonts w:ascii="Time New Roman" w:hAnsi="Time New Roman" w:hint="eastAsia"/>
          <w:lang w:val="en-GB"/>
        </w:rPr>
        <w:t>表示</w:t>
      </w:r>
      <w:r w:rsidRPr="00BF42B7">
        <w:rPr>
          <w:rFonts w:ascii="Time New Roman" w:hAnsi="Time New Roman"/>
          <w:lang w:val="en-GB"/>
        </w:rPr>
        <w:t>，不能简单地假定条约的</w:t>
      </w:r>
      <w:r w:rsidRPr="00BF42B7">
        <w:rPr>
          <w:rFonts w:ascii="Time New Roman" w:hAnsi="Time New Roman" w:hint="eastAsia"/>
          <w:lang w:val="en-GB"/>
        </w:rPr>
        <w:t>暂时适用</w:t>
      </w:r>
      <w:r w:rsidRPr="00BF42B7">
        <w:rPr>
          <w:rFonts w:ascii="Time New Roman" w:hAnsi="Time New Roman"/>
          <w:lang w:val="en-GB"/>
        </w:rPr>
        <w:t>的法律效</w:t>
      </w:r>
      <w:r w:rsidRPr="00BF42B7">
        <w:rPr>
          <w:rFonts w:ascii="Time New Roman" w:hAnsi="Time New Roman" w:hint="eastAsia"/>
          <w:lang w:val="en-GB"/>
        </w:rPr>
        <w:t>力与已生效条约的法律效力</w:t>
      </w:r>
      <w:r w:rsidRPr="00BF42B7">
        <w:rPr>
          <w:rFonts w:ascii="Time New Roman" w:hAnsi="Time New Roman"/>
          <w:lang w:val="en-GB"/>
        </w:rPr>
        <w:t>完全相同。</w:t>
      </w:r>
      <w:r w:rsidRPr="00BF42B7">
        <w:rPr>
          <w:rFonts w:ascii="Time New Roman" w:hAnsi="Time New Roman" w:hint="eastAsia"/>
          <w:lang w:val="en-GB"/>
        </w:rPr>
        <w:t>据认为</w:t>
      </w:r>
      <w:r w:rsidRPr="00BF42B7">
        <w:rPr>
          <w:rFonts w:ascii="Time New Roman" w:hAnsi="Time New Roman"/>
          <w:lang w:val="en-GB"/>
        </w:rPr>
        <w:t>，</w:t>
      </w:r>
      <w:r w:rsidRPr="00BF42B7">
        <w:rPr>
          <w:rFonts w:ascii="Time New Roman" w:hAnsi="Time New Roman" w:hint="eastAsia"/>
          <w:lang w:val="en-GB"/>
        </w:rPr>
        <w:t>对常规</w:t>
      </w:r>
      <w:r w:rsidRPr="00BF42B7">
        <w:rPr>
          <w:rFonts w:ascii="Time New Roman" w:hAnsi="Time New Roman"/>
          <w:lang w:val="en-GB"/>
        </w:rPr>
        <w:t>做法的比较分析将有助于澄清这件事</w:t>
      </w:r>
      <w:r w:rsidRPr="00BF42B7">
        <w:rPr>
          <w:rFonts w:ascii="Time New Roman" w:hAnsi="Time New Roman" w:hint="eastAsia"/>
          <w:lang w:val="en-GB"/>
        </w:rPr>
        <w:t>。</w:t>
      </w:r>
    </w:p>
    <w:p w:rsidR="00813081" w:rsidRPr="00BF42B7" w:rsidRDefault="00813081" w:rsidP="00813081">
      <w:pPr>
        <w:pStyle w:val="SingleTxtGC"/>
        <w:rPr>
          <w:rFonts w:ascii="Time New Roman" w:hAnsi="Time New Roman" w:hint="eastAsia"/>
          <w:lang w:val="en-GB"/>
        </w:rPr>
      </w:pPr>
      <w:r w:rsidRPr="00BF42B7">
        <w:rPr>
          <w:rFonts w:ascii="Time New Roman" w:hAnsi="Time New Roman" w:hint="eastAsia"/>
          <w:lang w:val="en-GB"/>
        </w:rPr>
        <w:t xml:space="preserve">271.  </w:t>
      </w:r>
      <w:r w:rsidRPr="00BF42B7">
        <w:rPr>
          <w:rFonts w:ascii="Time New Roman" w:hAnsi="Time New Roman"/>
          <w:lang w:val="en-GB"/>
        </w:rPr>
        <w:t>此外，有人指出，</w:t>
      </w:r>
      <w:r w:rsidRPr="00BF42B7">
        <w:rPr>
          <w:rFonts w:ascii="Time New Roman" w:hAnsi="Time New Roman"/>
          <w:lang w:val="en-GB"/>
        </w:rPr>
        <w:t>1969</w:t>
      </w:r>
      <w:r w:rsidRPr="00BF42B7">
        <w:rPr>
          <w:rFonts w:ascii="Time New Roman" w:hAnsi="Time New Roman" w:hint="eastAsia"/>
          <w:lang w:val="en-GB"/>
        </w:rPr>
        <w:t>年《</w:t>
      </w:r>
      <w:r w:rsidRPr="00BF42B7">
        <w:rPr>
          <w:rFonts w:ascii="Time New Roman" w:hAnsi="Time New Roman"/>
          <w:lang w:val="en-GB"/>
        </w:rPr>
        <w:t>维也纳公约</w:t>
      </w:r>
      <w:r w:rsidRPr="00BF42B7">
        <w:rPr>
          <w:rFonts w:ascii="Time New Roman" w:hAnsi="Time New Roman" w:hint="eastAsia"/>
          <w:lang w:val="en-GB"/>
        </w:rPr>
        <w:t>》</w:t>
      </w:r>
      <w:r w:rsidRPr="00BF42B7">
        <w:rPr>
          <w:rFonts w:ascii="Time New Roman" w:hAnsi="Time New Roman"/>
          <w:lang w:val="en-GB"/>
        </w:rPr>
        <w:t>的</w:t>
      </w:r>
      <w:r w:rsidRPr="00BF42B7">
        <w:rPr>
          <w:rFonts w:ascii="Time New Roman" w:hAnsi="Time New Roman" w:hint="eastAsia"/>
          <w:lang w:val="en-GB"/>
        </w:rPr>
        <w:t>若干</w:t>
      </w:r>
      <w:r w:rsidRPr="00BF42B7">
        <w:rPr>
          <w:rFonts w:ascii="Time New Roman" w:hAnsi="Time New Roman"/>
          <w:lang w:val="en-GB"/>
        </w:rPr>
        <w:t>规定</w:t>
      </w:r>
      <w:r w:rsidRPr="00BF42B7">
        <w:rPr>
          <w:rFonts w:ascii="Time New Roman" w:hAnsi="Time New Roman" w:hint="eastAsia"/>
          <w:lang w:val="en-GB"/>
        </w:rPr>
        <w:t>与此一</w:t>
      </w:r>
      <w:r w:rsidRPr="00BF42B7">
        <w:rPr>
          <w:rFonts w:ascii="Time New Roman" w:hAnsi="Time New Roman"/>
          <w:lang w:val="en-GB"/>
        </w:rPr>
        <w:t>专题可能是相关的，</w:t>
      </w:r>
      <w:r w:rsidRPr="00BF42B7">
        <w:rPr>
          <w:rFonts w:ascii="Time New Roman" w:hAnsi="Time New Roman" w:hint="eastAsia"/>
          <w:lang w:val="en-GB"/>
        </w:rPr>
        <w:t>但</w:t>
      </w:r>
      <w:r w:rsidRPr="00BF42B7">
        <w:rPr>
          <w:rFonts w:ascii="Time New Roman" w:hAnsi="Time New Roman"/>
          <w:lang w:val="en-GB"/>
        </w:rPr>
        <w:t>一些</w:t>
      </w:r>
      <w:r w:rsidRPr="00BF42B7">
        <w:rPr>
          <w:rFonts w:ascii="Time New Roman" w:hAnsi="Time New Roman" w:hint="eastAsia"/>
          <w:lang w:val="en-GB"/>
        </w:rPr>
        <w:t>委</w:t>
      </w:r>
      <w:r w:rsidRPr="00BF42B7">
        <w:rPr>
          <w:rFonts w:ascii="Time New Roman" w:hAnsi="Time New Roman"/>
          <w:lang w:val="en-GB"/>
        </w:rPr>
        <w:t>员</w:t>
      </w:r>
      <w:r w:rsidRPr="00BF42B7">
        <w:rPr>
          <w:rFonts w:ascii="Time New Roman" w:hAnsi="Time New Roman" w:hint="eastAsia"/>
          <w:lang w:val="en-GB"/>
        </w:rPr>
        <w:t>就</w:t>
      </w:r>
      <w:r w:rsidRPr="00BF42B7">
        <w:rPr>
          <w:rFonts w:ascii="Time New Roman" w:hAnsi="Time New Roman"/>
          <w:lang w:val="en-GB"/>
        </w:rPr>
        <w:t>通过简单的</w:t>
      </w:r>
      <w:r w:rsidRPr="00BF42B7">
        <w:rPr>
          <w:rFonts w:ascii="Time New Roman" w:hAnsi="Time New Roman" w:hint="eastAsia"/>
          <w:lang w:val="en-GB"/>
        </w:rPr>
        <w:t>类比而不</w:t>
      </w:r>
      <w:r w:rsidRPr="00BF42B7">
        <w:rPr>
          <w:rFonts w:ascii="Time New Roman" w:hAnsi="Time New Roman"/>
          <w:lang w:val="en-GB"/>
        </w:rPr>
        <w:t>考虑国家惯例</w:t>
      </w:r>
      <w:r w:rsidRPr="00BF42B7">
        <w:rPr>
          <w:rFonts w:ascii="Time New Roman" w:hAnsi="Time New Roman" w:hint="eastAsia"/>
          <w:lang w:val="en-GB"/>
        </w:rPr>
        <w:t>即得出</w:t>
      </w:r>
      <w:r w:rsidRPr="00BF42B7">
        <w:rPr>
          <w:rFonts w:ascii="Time New Roman" w:hAnsi="Time New Roman"/>
          <w:lang w:val="en-GB"/>
        </w:rPr>
        <w:t>结论</w:t>
      </w:r>
      <w:r w:rsidRPr="00BF42B7">
        <w:rPr>
          <w:rFonts w:ascii="Time New Roman" w:hAnsi="Time New Roman" w:hint="eastAsia"/>
          <w:lang w:val="en-GB"/>
        </w:rPr>
        <w:t>表示了谨慎态度</w:t>
      </w:r>
      <w:r w:rsidRPr="00BF42B7">
        <w:rPr>
          <w:rFonts w:ascii="Time New Roman" w:hAnsi="Time New Roman"/>
          <w:lang w:val="en-GB"/>
        </w:rPr>
        <w:t>。遗憾</w:t>
      </w:r>
      <w:r w:rsidRPr="00BF42B7">
        <w:rPr>
          <w:rFonts w:ascii="Time New Roman" w:hAnsi="Time New Roman" w:hint="eastAsia"/>
          <w:lang w:val="en-GB"/>
        </w:rPr>
        <w:t>的是，</w:t>
      </w:r>
      <w:r w:rsidRPr="00BF42B7">
        <w:rPr>
          <w:rFonts w:ascii="Time New Roman" w:hAnsi="Time New Roman"/>
          <w:lang w:val="en-GB"/>
        </w:rPr>
        <w:t>没有</w:t>
      </w:r>
      <w:r w:rsidRPr="00BF42B7">
        <w:rPr>
          <w:rFonts w:ascii="Time New Roman" w:hAnsi="Time New Roman" w:hint="eastAsia"/>
          <w:lang w:val="en-GB"/>
        </w:rPr>
        <w:t>提供对暂时适用方面常规做法的</w:t>
      </w:r>
      <w:r w:rsidRPr="00BF42B7">
        <w:rPr>
          <w:rFonts w:ascii="Time New Roman" w:hAnsi="Time New Roman"/>
          <w:lang w:val="en-GB"/>
        </w:rPr>
        <w:t>全面概述，</w:t>
      </w:r>
      <w:r w:rsidRPr="00BF42B7">
        <w:rPr>
          <w:rFonts w:ascii="Time New Roman" w:hAnsi="Time New Roman" w:hint="eastAsia"/>
          <w:lang w:val="en-GB"/>
        </w:rPr>
        <w:t>舍此</w:t>
      </w:r>
      <w:r w:rsidRPr="00BF42B7">
        <w:rPr>
          <w:rFonts w:ascii="Time New Roman" w:hAnsi="Time New Roman"/>
          <w:lang w:val="en-GB"/>
        </w:rPr>
        <w:t>就很难全面理解</w:t>
      </w:r>
      <w:r w:rsidRPr="00BF42B7">
        <w:rPr>
          <w:rFonts w:ascii="Time New Roman" w:hAnsi="Time New Roman" w:hint="eastAsia"/>
          <w:lang w:val="en-GB"/>
        </w:rPr>
        <w:t>这一专题</w:t>
      </w:r>
      <w:r w:rsidRPr="00BF42B7">
        <w:rPr>
          <w:rFonts w:ascii="Time New Roman" w:hAnsi="Time New Roman"/>
          <w:lang w:val="en-GB"/>
        </w:rPr>
        <w:t>的复杂性。虽然</w:t>
      </w:r>
      <w:r w:rsidRPr="00BF42B7">
        <w:rPr>
          <w:rFonts w:ascii="Time New Roman" w:hAnsi="Time New Roman" w:hint="eastAsia"/>
          <w:lang w:val="en-GB"/>
        </w:rPr>
        <w:t>人们</w:t>
      </w:r>
      <w:r w:rsidRPr="00BF42B7">
        <w:rPr>
          <w:rFonts w:ascii="Time New Roman" w:hAnsi="Time New Roman"/>
          <w:lang w:val="en-GB"/>
        </w:rPr>
        <w:t>承认，委员会的任务</w:t>
      </w:r>
      <w:r w:rsidRPr="00BF42B7">
        <w:rPr>
          <w:rFonts w:ascii="Time New Roman" w:hAnsi="Time New Roman" w:hint="eastAsia"/>
          <w:lang w:val="en-GB"/>
        </w:rPr>
        <w:t>不是编纂在暂时适用问题上的全部常规做法，因为这些做法非常广泛，多种多样，但委员会</w:t>
      </w:r>
      <w:r w:rsidRPr="00BF42B7">
        <w:rPr>
          <w:rFonts w:ascii="Time New Roman" w:hAnsi="Time New Roman"/>
          <w:lang w:val="en-GB"/>
        </w:rPr>
        <w:t>可以</w:t>
      </w:r>
      <w:r w:rsidRPr="00BF42B7">
        <w:rPr>
          <w:rFonts w:ascii="Time New Roman" w:hAnsi="Time New Roman" w:hint="eastAsia"/>
          <w:lang w:val="en-GB"/>
        </w:rPr>
        <w:t>通过分析规定了暂时适用的</w:t>
      </w:r>
      <w:r w:rsidRPr="00BF42B7">
        <w:rPr>
          <w:rFonts w:ascii="Time New Roman" w:hAnsi="Time New Roman"/>
          <w:lang w:val="en-GB"/>
        </w:rPr>
        <w:t>条约或协</w:t>
      </w:r>
      <w:r w:rsidRPr="00BF42B7">
        <w:rPr>
          <w:rFonts w:ascii="Time New Roman" w:hAnsi="Time New Roman" w:hint="eastAsia"/>
          <w:lang w:val="en-GB"/>
        </w:rPr>
        <w:t>定保持沉默的情况，对此一专题作出有益贡献。</w:t>
      </w:r>
    </w:p>
    <w:p w:rsidR="00813081" w:rsidRPr="00BF42B7" w:rsidRDefault="00813081" w:rsidP="00813081">
      <w:pPr>
        <w:pStyle w:val="SingleTxtGC"/>
        <w:rPr>
          <w:rFonts w:ascii="Time New Roman" w:hAnsi="Time New Roman" w:hint="eastAsia"/>
          <w:lang w:val="en-GB"/>
        </w:rPr>
      </w:pPr>
      <w:r w:rsidRPr="00BF42B7">
        <w:rPr>
          <w:rFonts w:ascii="Time New Roman" w:hAnsi="Time New Roman" w:hint="eastAsia"/>
          <w:lang w:val="en-GB"/>
        </w:rPr>
        <w:t xml:space="preserve">272.  </w:t>
      </w:r>
      <w:r w:rsidRPr="00BF42B7">
        <w:rPr>
          <w:rFonts w:ascii="Time New Roman" w:hAnsi="Time New Roman" w:hint="eastAsia"/>
          <w:lang w:val="en-GB"/>
        </w:rPr>
        <w:t>一些委员进一步表示，在审议暂时适用问题时，必须考虑到每项条约的不同性质和特征。开放性和封闭性多边条约和双边协定可能会产生不同问题，需要认真加以审查。建立国际组织的条约，情况也同样如此。</w:t>
      </w:r>
    </w:p>
    <w:p w:rsidR="00813081" w:rsidRPr="00BF42B7" w:rsidRDefault="00813081" w:rsidP="000E6A33">
      <w:pPr>
        <w:pStyle w:val="H23GC"/>
        <w:rPr>
          <w:lang w:val="en-GB"/>
        </w:rPr>
      </w:pPr>
      <w:r w:rsidRPr="00BF42B7">
        <w:rPr>
          <w:rFonts w:hint="eastAsia"/>
          <w:lang w:val="en-GB"/>
        </w:rPr>
        <w:tab/>
      </w:r>
      <w:r w:rsidRPr="00BF42B7">
        <w:rPr>
          <w:lang w:val="en-GB"/>
        </w:rPr>
        <w:t>(b)</w:t>
      </w:r>
      <w:r w:rsidRPr="00BF42B7">
        <w:rPr>
          <w:lang w:val="en-GB"/>
        </w:rPr>
        <w:tab/>
      </w:r>
      <w:r w:rsidRPr="00BF42B7">
        <w:rPr>
          <w:rFonts w:hint="eastAsia"/>
          <w:lang w:val="en-GB"/>
        </w:rPr>
        <w:t>保留</w:t>
      </w:r>
    </w:p>
    <w:p w:rsidR="00813081" w:rsidRPr="00BF42B7" w:rsidRDefault="00813081" w:rsidP="00813081">
      <w:pPr>
        <w:pStyle w:val="SingleTxtGC"/>
        <w:rPr>
          <w:rFonts w:ascii="Time New Roman" w:hAnsi="Time New Roman" w:hint="eastAsia"/>
          <w:lang w:val="en-GB"/>
        </w:rPr>
      </w:pPr>
      <w:r w:rsidRPr="00BF42B7">
        <w:rPr>
          <w:rFonts w:ascii="Time New Roman" w:hAnsi="Time New Roman"/>
        </w:rPr>
        <w:t>2</w:t>
      </w:r>
      <w:r w:rsidRPr="00BF42B7">
        <w:rPr>
          <w:rFonts w:ascii="Time New Roman" w:hAnsi="Time New Roman" w:hint="eastAsia"/>
        </w:rPr>
        <w:t>73</w:t>
      </w:r>
      <w:r w:rsidRPr="00BF42B7">
        <w:rPr>
          <w:rFonts w:ascii="Time New Roman" w:hAnsi="Time New Roman"/>
        </w:rPr>
        <w:t>.</w:t>
      </w:r>
      <w:r w:rsidRPr="00BF42B7">
        <w:rPr>
          <w:rFonts w:ascii="Time New Roman" w:hAnsi="Time New Roman" w:hint="eastAsia"/>
        </w:rPr>
        <w:t xml:space="preserve">  </w:t>
      </w:r>
      <w:r w:rsidRPr="00BF42B7">
        <w:rPr>
          <w:rFonts w:ascii="Time New Roman" w:hAnsi="Time New Roman"/>
        </w:rPr>
        <w:t>关于</w:t>
      </w:r>
      <w:r w:rsidRPr="00BF42B7">
        <w:rPr>
          <w:rFonts w:ascii="Time New Roman" w:hAnsi="Time New Roman" w:hint="eastAsia"/>
        </w:rPr>
        <w:t>暂时适用与</w:t>
      </w:r>
      <w:r w:rsidRPr="00BF42B7">
        <w:rPr>
          <w:rFonts w:ascii="Time New Roman" w:hAnsi="Time New Roman"/>
          <w:lang w:val="en-GB"/>
        </w:rPr>
        <w:t>1969</w:t>
      </w:r>
      <w:r w:rsidRPr="00BF42B7">
        <w:rPr>
          <w:rFonts w:ascii="Time New Roman" w:hAnsi="Time New Roman" w:hint="eastAsia"/>
          <w:lang w:val="en-GB"/>
        </w:rPr>
        <w:t>年《</w:t>
      </w:r>
      <w:r w:rsidRPr="00BF42B7">
        <w:rPr>
          <w:rFonts w:ascii="Time New Roman" w:hAnsi="Time New Roman"/>
          <w:lang w:val="en-GB"/>
        </w:rPr>
        <w:t>维也纳公约</w:t>
      </w:r>
      <w:r w:rsidRPr="00BF42B7">
        <w:rPr>
          <w:rFonts w:ascii="Time New Roman" w:hAnsi="Time New Roman" w:hint="eastAsia"/>
          <w:lang w:val="en-GB"/>
        </w:rPr>
        <w:t>》下</w:t>
      </w:r>
      <w:r w:rsidRPr="00BF42B7">
        <w:rPr>
          <w:rFonts w:ascii="Time New Roman" w:hAnsi="Time New Roman"/>
          <w:lang w:val="en-GB"/>
        </w:rPr>
        <w:t>的保留制度的关系，一些</w:t>
      </w:r>
      <w:r w:rsidRPr="00BF42B7">
        <w:rPr>
          <w:rFonts w:ascii="Time New Roman" w:hAnsi="Time New Roman" w:hint="eastAsia"/>
          <w:lang w:val="en-GB"/>
        </w:rPr>
        <w:t>委</w:t>
      </w:r>
      <w:r w:rsidRPr="00BF42B7">
        <w:rPr>
          <w:rFonts w:ascii="Time New Roman" w:hAnsi="Time New Roman"/>
          <w:lang w:val="en-GB"/>
        </w:rPr>
        <w:t>员重申，</w:t>
      </w:r>
      <w:r w:rsidRPr="00BF42B7">
        <w:rPr>
          <w:rFonts w:ascii="Time New Roman" w:hAnsi="Time New Roman" w:hint="eastAsia"/>
          <w:lang w:val="en-GB"/>
        </w:rPr>
        <w:t>暂时适用的</w:t>
      </w:r>
      <w:r w:rsidRPr="00BF42B7">
        <w:rPr>
          <w:rFonts w:ascii="Time New Roman" w:hAnsi="Time New Roman"/>
          <w:lang w:val="en-GB"/>
        </w:rPr>
        <w:t>条约产生了</w:t>
      </w:r>
      <w:r w:rsidRPr="00BF42B7">
        <w:rPr>
          <w:rFonts w:ascii="Time New Roman" w:hAnsi="Time New Roman" w:hint="eastAsia"/>
          <w:lang w:val="en-GB"/>
        </w:rPr>
        <w:t>与生效条约同样</w:t>
      </w:r>
      <w:r w:rsidRPr="00BF42B7">
        <w:rPr>
          <w:rFonts w:ascii="Time New Roman" w:hAnsi="Time New Roman"/>
          <w:lang w:val="en-GB"/>
        </w:rPr>
        <w:t>的法律</w:t>
      </w:r>
      <w:r w:rsidRPr="00BF42B7">
        <w:rPr>
          <w:rFonts w:ascii="Time New Roman" w:hAnsi="Time New Roman" w:hint="eastAsia"/>
          <w:lang w:val="en-GB"/>
        </w:rPr>
        <w:t>效力</w:t>
      </w:r>
      <w:r w:rsidRPr="00BF42B7">
        <w:rPr>
          <w:rFonts w:ascii="Time New Roman" w:hAnsi="Time New Roman"/>
          <w:lang w:val="en-GB"/>
        </w:rPr>
        <w:t>。因此，他们同意特别报告员的断言，</w:t>
      </w:r>
      <w:r w:rsidRPr="00BF42B7">
        <w:rPr>
          <w:rFonts w:ascii="Time New Roman" w:hAnsi="Time New Roman" w:hint="eastAsia"/>
          <w:lang w:val="en-GB"/>
        </w:rPr>
        <w:t>即原则上，没有什么事情</w:t>
      </w:r>
      <w:r w:rsidRPr="00BF42B7">
        <w:rPr>
          <w:rFonts w:ascii="Time New Roman" w:hAnsi="Time New Roman"/>
          <w:lang w:val="en-GB"/>
        </w:rPr>
        <w:t>会阻止一个国家</w:t>
      </w:r>
      <w:r w:rsidRPr="00BF42B7">
        <w:rPr>
          <w:rFonts w:ascii="Time New Roman" w:hAnsi="Time New Roman" w:hint="eastAsia"/>
          <w:lang w:val="en-GB"/>
        </w:rPr>
        <w:t>自同意暂时适用条约之时起提出保留</w:t>
      </w:r>
      <w:r w:rsidRPr="00BF42B7">
        <w:rPr>
          <w:rFonts w:ascii="Time New Roman" w:hAnsi="Time New Roman"/>
          <w:lang w:val="en-GB"/>
        </w:rPr>
        <w:t>。此外，</w:t>
      </w:r>
      <w:r w:rsidRPr="00BF42B7">
        <w:rPr>
          <w:rFonts w:ascii="Time New Roman" w:hAnsi="Time New Roman" w:hint="eastAsia"/>
          <w:lang w:val="en-GB"/>
        </w:rPr>
        <w:t>据认为</w:t>
      </w:r>
      <w:r w:rsidRPr="00BF42B7">
        <w:rPr>
          <w:rFonts w:ascii="Time New Roman" w:hAnsi="Time New Roman"/>
          <w:lang w:val="en-GB"/>
        </w:rPr>
        <w:t>，</w:t>
      </w:r>
      <w:r w:rsidRPr="00BF42B7">
        <w:rPr>
          <w:rFonts w:ascii="Time New Roman" w:hAnsi="Time New Roman" w:hint="eastAsia"/>
          <w:lang w:val="en-GB"/>
        </w:rPr>
        <w:t>可以</w:t>
      </w:r>
      <w:r w:rsidRPr="00BF42B7">
        <w:rPr>
          <w:rFonts w:ascii="Time New Roman" w:hAnsi="Time New Roman"/>
          <w:lang w:val="en-GB"/>
        </w:rPr>
        <w:t>假定</w:t>
      </w:r>
      <w:r w:rsidRPr="00BF42B7">
        <w:rPr>
          <w:rFonts w:ascii="Time New Roman" w:hAnsi="Time New Roman" w:hint="eastAsia"/>
          <w:lang w:val="en-GB"/>
        </w:rPr>
        <w:t>提出保留的</w:t>
      </w:r>
      <w:r w:rsidRPr="00BF42B7">
        <w:rPr>
          <w:rFonts w:ascii="Time New Roman" w:hAnsi="Time New Roman"/>
          <w:lang w:val="en-GB"/>
        </w:rPr>
        <w:t>国家，</w:t>
      </w:r>
      <w:r w:rsidRPr="00BF42B7">
        <w:rPr>
          <w:rFonts w:ascii="Time New Roman" w:hAnsi="Time New Roman" w:hint="eastAsia"/>
          <w:lang w:val="en-GB"/>
        </w:rPr>
        <w:t>不仅有意将之适用于已经生效的条约，还有意将之适用于暂时适用的条约</w:t>
      </w:r>
      <w:r w:rsidRPr="00BF42B7">
        <w:rPr>
          <w:rFonts w:ascii="Time New Roman" w:hAnsi="Time New Roman"/>
          <w:lang w:val="en-GB"/>
        </w:rPr>
        <w:t>。</w:t>
      </w:r>
      <w:r w:rsidRPr="00BF42B7">
        <w:rPr>
          <w:rFonts w:ascii="Time New Roman" w:hAnsi="Time New Roman" w:hint="eastAsia"/>
          <w:lang w:val="en-GB"/>
        </w:rPr>
        <w:t>人们建议</w:t>
      </w:r>
      <w:r w:rsidRPr="00BF42B7">
        <w:rPr>
          <w:rFonts w:ascii="Time New Roman" w:hAnsi="Time New Roman"/>
          <w:lang w:val="en-GB"/>
        </w:rPr>
        <w:t>在草案准则中</w:t>
      </w:r>
      <w:r w:rsidRPr="00BF42B7">
        <w:rPr>
          <w:rFonts w:ascii="Time New Roman" w:hAnsi="Time New Roman" w:hint="eastAsia"/>
          <w:lang w:val="en-GB"/>
        </w:rPr>
        <w:t>体现这一假</w:t>
      </w:r>
      <w:r w:rsidRPr="00BF42B7">
        <w:rPr>
          <w:rFonts w:ascii="Time New Roman" w:hAnsi="Time New Roman"/>
          <w:lang w:val="en-GB"/>
        </w:rPr>
        <w:t>定。</w:t>
      </w:r>
      <w:r w:rsidRPr="00BF42B7">
        <w:rPr>
          <w:rFonts w:ascii="Time New Roman" w:hAnsi="Time New Roman" w:hint="eastAsia"/>
          <w:lang w:val="en-GB"/>
        </w:rPr>
        <w:t>也有人认为</w:t>
      </w:r>
      <w:r w:rsidRPr="00BF42B7">
        <w:rPr>
          <w:rFonts w:ascii="Time New Roman" w:hAnsi="Time New Roman"/>
          <w:lang w:val="en-GB"/>
        </w:rPr>
        <w:t>，</w:t>
      </w:r>
      <w:r w:rsidRPr="00BF42B7">
        <w:rPr>
          <w:rFonts w:ascii="Time New Roman" w:hAnsi="Time New Roman"/>
          <w:lang w:val="en-GB"/>
        </w:rPr>
        <w:t>1969</w:t>
      </w:r>
      <w:r w:rsidRPr="00BF42B7">
        <w:rPr>
          <w:rFonts w:ascii="Time New Roman" w:hAnsi="Time New Roman" w:hint="eastAsia"/>
          <w:lang w:val="en-GB"/>
        </w:rPr>
        <w:t>年《</w:t>
      </w:r>
      <w:r w:rsidRPr="00BF42B7">
        <w:rPr>
          <w:rFonts w:ascii="Time New Roman" w:hAnsi="Time New Roman"/>
          <w:lang w:val="en-GB"/>
        </w:rPr>
        <w:t>维也纳公约</w:t>
      </w:r>
      <w:r w:rsidRPr="00BF42B7">
        <w:rPr>
          <w:rFonts w:ascii="Time New Roman" w:hAnsi="Time New Roman" w:hint="eastAsia"/>
          <w:lang w:val="en-GB"/>
        </w:rPr>
        <w:t>》规定了可提出保留的第十九条</w:t>
      </w:r>
      <w:r w:rsidRPr="00BF42B7">
        <w:rPr>
          <w:rFonts w:ascii="Time New Roman" w:hAnsi="Time New Roman"/>
          <w:lang w:val="en-GB"/>
        </w:rPr>
        <w:t>，没有</w:t>
      </w:r>
      <w:r w:rsidRPr="00BF42B7">
        <w:rPr>
          <w:rFonts w:ascii="Time New Roman" w:hAnsi="Time New Roman" w:hint="eastAsia"/>
          <w:lang w:val="en-GB"/>
        </w:rPr>
        <w:t>提及暂时适用</w:t>
      </w:r>
      <w:r w:rsidRPr="00BF42B7">
        <w:rPr>
          <w:rFonts w:ascii="Time New Roman" w:hAnsi="Time New Roman"/>
          <w:lang w:val="en-GB"/>
        </w:rPr>
        <w:t>。因此，</w:t>
      </w:r>
      <w:r w:rsidRPr="00BF42B7">
        <w:rPr>
          <w:rFonts w:ascii="Time New Roman" w:hAnsi="Time New Roman" w:hint="eastAsia"/>
          <w:lang w:val="en-GB"/>
        </w:rPr>
        <w:t>自同意暂时适用条约之时起提出保留与</w:t>
      </w:r>
      <w:r w:rsidRPr="00BF42B7">
        <w:rPr>
          <w:rFonts w:ascii="Time New Roman" w:hAnsi="Time New Roman"/>
          <w:lang w:val="en-GB"/>
        </w:rPr>
        <w:t>1969</w:t>
      </w:r>
      <w:r w:rsidRPr="00BF42B7">
        <w:rPr>
          <w:rFonts w:ascii="Time New Roman" w:hAnsi="Time New Roman" w:hint="eastAsia"/>
          <w:lang w:val="en-GB"/>
        </w:rPr>
        <w:t>《</w:t>
      </w:r>
      <w:r w:rsidRPr="00BF42B7">
        <w:rPr>
          <w:rFonts w:ascii="Time New Roman" w:hAnsi="Time New Roman"/>
          <w:lang w:val="en-GB"/>
        </w:rPr>
        <w:t>维也纳公约</w:t>
      </w:r>
      <w:r w:rsidRPr="00BF42B7">
        <w:rPr>
          <w:rFonts w:ascii="Time New Roman" w:hAnsi="Time New Roman" w:hint="eastAsia"/>
          <w:lang w:val="en-GB"/>
        </w:rPr>
        <w:t>》第十九</w:t>
      </w:r>
      <w:r w:rsidRPr="00BF42B7">
        <w:rPr>
          <w:rFonts w:ascii="Time New Roman" w:hAnsi="Time New Roman"/>
        </w:rPr>
        <w:t>条</w:t>
      </w:r>
      <w:r w:rsidRPr="00BF42B7">
        <w:rPr>
          <w:rFonts w:ascii="Time New Roman" w:hAnsi="Time New Roman" w:hint="eastAsia"/>
          <w:lang w:val="en-GB"/>
        </w:rPr>
        <w:t>将</w:t>
      </w:r>
      <w:r w:rsidRPr="00BF42B7">
        <w:rPr>
          <w:rFonts w:ascii="Time New Roman" w:hAnsi="Time New Roman" w:hint="eastAsia"/>
        </w:rPr>
        <w:t>产生不一致。</w:t>
      </w:r>
    </w:p>
    <w:p w:rsidR="00813081" w:rsidRPr="00BF42B7" w:rsidRDefault="00813081" w:rsidP="00813081">
      <w:pPr>
        <w:pStyle w:val="SingleTxtGC"/>
        <w:rPr>
          <w:rFonts w:ascii="Time New Roman" w:hAnsi="Time New Roman" w:hint="eastAsia"/>
          <w:lang w:val="en-GB"/>
        </w:rPr>
      </w:pPr>
      <w:r w:rsidRPr="00BF42B7">
        <w:rPr>
          <w:rFonts w:ascii="Time New Roman" w:hAnsi="Time New Roman" w:hint="eastAsia"/>
          <w:lang w:val="en-GB"/>
        </w:rPr>
        <w:t xml:space="preserve">274.  </w:t>
      </w:r>
      <w:r w:rsidRPr="00BF42B7">
        <w:rPr>
          <w:rFonts w:ascii="Time New Roman" w:hAnsi="Time New Roman"/>
          <w:lang w:val="en-GB"/>
        </w:rPr>
        <w:t>此外，</w:t>
      </w:r>
      <w:r w:rsidRPr="00BF42B7">
        <w:rPr>
          <w:rFonts w:ascii="Time New Roman" w:hAnsi="Time New Roman" w:hint="eastAsia"/>
          <w:lang w:val="en-GB"/>
        </w:rPr>
        <w:t>按照</w:t>
      </w:r>
      <w:r w:rsidRPr="00BF42B7">
        <w:rPr>
          <w:rFonts w:ascii="Time New Roman" w:hAnsi="Time New Roman"/>
          <w:lang w:val="en-GB"/>
        </w:rPr>
        <w:t>一些</w:t>
      </w:r>
      <w:r w:rsidRPr="00BF42B7">
        <w:rPr>
          <w:rFonts w:ascii="Time New Roman" w:hAnsi="Time New Roman" w:hint="eastAsia"/>
          <w:lang w:val="en-GB"/>
        </w:rPr>
        <w:t>人的理解，报告是审查</w:t>
      </w:r>
      <w:r w:rsidRPr="00BF42B7">
        <w:rPr>
          <w:rFonts w:ascii="Time New Roman" w:hAnsi="Time New Roman"/>
          <w:lang w:val="en-GB"/>
        </w:rPr>
        <w:t>了</w:t>
      </w:r>
      <w:r w:rsidRPr="00BF42B7">
        <w:rPr>
          <w:rFonts w:ascii="Time New Roman" w:hAnsi="Time New Roman" w:hint="eastAsia"/>
          <w:lang w:val="en-GB"/>
        </w:rPr>
        <w:t>对同意暂时适用条约的保留，而</w:t>
      </w:r>
      <w:r w:rsidRPr="00BF42B7">
        <w:rPr>
          <w:rFonts w:ascii="Time New Roman" w:hAnsi="Time New Roman" w:hint="eastAsia"/>
        </w:rPr>
        <w:t>不是处理对条约本身的保留。据</w:t>
      </w:r>
      <w:r w:rsidRPr="00BF42B7">
        <w:rPr>
          <w:rFonts w:ascii="Time New Roman" w:hAnsi="Time New Roman"/>
        </w:rPr>
        <w:t>建议，</w:t>
      </w:r>
      <w:r w:rsidRPr="00BF42B7">
        <w:rPr>
          <w:rFonts w:ascii="Time New Roman" w:hAnsi="Time New Roman" w:hint="eastAsia"/>
        </w:rPr>
        <w:t>最好审查对条约的保留</w:t>
      </w:r>
      <w:r w:rsidRPr="00BF42B7">
        <w:rPr>
          <w:rFonts w:ascii="Time New Roman" w:hAnsi="Time New Roman"/>
        </w:rPr>
        <w:t>是否可以排除或修改该条约，不仅在其生效</w:t>
      </w:r>
      <w:r w:rsidRPr="00BF42B7">
        <w:rPr>
          <w:rFonts w:ascii="Time New Roman" w:hAnsi="Time New Roman" w:hint="eastAsia"/>
        </w:rPr>
        <w:t>时</w:t>
      </w:r>
      <w:r w:rsidRPr="00BF42B7">
        <w:rPr>
          <w:rFonts w:ascii="Time New Roman" w:hAnsi="Time New Roman"/>
        </w:rPr>
        <w:t>，</w:t>
      </w:r>
      <w:r w:rsidRPr="00BF42B7">
        <w:rPr>
          <w:rFonts w:ascii="Time New Roman" w:hAnsi="Time New Roman" w:hint="eastAsia"/>
        </w:rPr>
        <w:t>而且</w:t>
      </w:r>
      <w:r w:rsidRPr="00BF42B7">
        <w:rPr>
          <w:rFonts w:ascii="Time New Roman" w:hAnsi="Time New Roman"/>
        </w:rPr>
        <w:t>也在其</w:t>
      </w:r>
      <w:r w:rsidRPr="00BF42B7">
        <w:rPr>
          <w:rFonts w:ascii="Time New Roman" w:hAnsi="Time New Roman" w:hint="eastAsia"/>
        </w:rPr>
        <w:t>暂时适用期间</w:t>
      </w:r>
      <w:r w:rsidRPr="00BF42B7">
        <w:rPr>
          <w:rFonts w:ascii="Time New Roman" w:hAnsi="Time New Roman"/>
        </w:rPr>
        <w:t>。</w:t>
      </w:r>
      <w:r w:rsidRPr="00BF42B7">
        <w:rPr>
          <w:rFonts w:ascii="Time New Roman" w:hAnsi="Time New Roman" w:hint="eastAsia"/>
        </w:rPr>
        <w:t>人们还</w:t>
      </w:r>
      <w:r w:rsidRPr="00BF42B7">
        <w:rPr>
          <w:rFonts w:ascii="Time New Roman" w:hAnsi="Time New Roman"/>
        </w:rPr>
        <w:t>指出，声明国家同意</w:t>
      </w:r>
      <w:r w:rsidRPr="00BF42B7">
        <w:rPr>
          <w:rFonts w:ascii="Time New Roman" w:hAnsi="Time New Roman" w:hint="eastAsia"/>
        </w:rPr>
        <w:t>在国内法限制范围内</w:t>
      </w:r>
      <w:r w:rsidRPr="00BF42B7">
        <w:rPr>
          <w:rFonts w:ascii="Time New Roman" w:hAnsi="Time New Roman"/>
        </w:rPr>
        <w:t>暂时</w:t>
      </w:r>
      <w:r w:rsidRPr="00BF42B7">
        <w:rPr>
          <w:rFonts w:ascii="Time New Roman" w:hAnsi="Time New Roman" w:hint="eastAsia"/>
        </w:rPr>
        <w:t>适用</w:t>
      </w:r>
      <w:r w:rsidRPr="00BF42B7">
        <w:rPr>
          <w:rFonts w:ascii="Time New Roman" w:hAnsi="Time New Roman"/>
        </w:rPr>
        <w:t>条约，在条约</w:t>
      </w:r>
      <w:r w:rsidRPr="00BF42B7">
        <w:rPr>
          <w:rFonts w:ascii="Time New Roman" w:hAnsi="Time New Roman" w:hint="eastAsia"/>
        </w:rPr>
        <w:t>对此类</w:t>
      </w:r>
      <w:r w:rsidRPr="00BF42B7">
        <w:rPr>
          <w:rFonts w:ascii="Time New Roman" w:hAnsi="Time New Roman"/>
        </w:rPr>
        <w:t>限制</w:t>
      </w:r>
      <w:r w:rsidRPr="00BF42B7">
        <w:rPr>
          <w:rFonts w:ascii="Time New Roman" w:hAnsi="Time New Roman" w:hint="eastAsia"/>
        </w:rPr>
        <w:t>保持沉默</w:t>
      </w:r>
      <w:r w:rsidRPr="00BF42B7">
        <w:rPr>
          <w:rFonts w:ascii="Time New Roman" w:hAnsi="Time New Roman"/>
        </w:rPr>
        <w:t>的情况下，可以</w:t>
      </w:r>
      <w:r w:rsidRPr="00BF42B7">
        <w:rPr>
          <w:rFonts w:ascii="Time New Roman" w:hAnsi="Time New Roman" w:hint="eastAsia"/>
        </w:rPr>
        <w:t>被视为构成了</w:t>
      </w:r>
      <w:r w:rsidRPr="00BF42B7">
        <w:rPr>
          <w:rFonts w:ascii="Time New Roman" w:hAnsi="Time New Roman"/>
        </w:rPr>
        <w:t>保留</w:t>
      </w:r>
      <w:r w:rsidRPr="00BF42B7">
        <w:rPr>
          <w:rFonts w:ascii="Time New Roman" w:hAnsi="Time New Roman" w:hint="eastAsia"/>
        </w:rPr>
        <w:t>。</w:t>
      </w:r>
    </w:p>
    <w:p w:rsidR="00813081" w:rsidRPr="00BF42B7" w:rsidRDefault="00813081" w:rsidP="00813081">
      <w:pPr>
        <w:pStyle w:val="SingleTxtGC"/>
        <w:rPr>
          <w:rFonts w:ascii="Time New Roman" w:hAnsi="Time New Roman" w:hint="eastAsia"/>
          <w:lang w:val="en-GB"/>
        </w:rPr>
      </w:pPr>
      <w:r w:rsidRPr="00BF42B7">
        <w:rPr>
          <w:rFonts w:ascii="Time New Roman" w:hAnsi="Time New Roman" w:hint="eastAsia"/>
          <w:lang w:val="en-GB"/>
        </w:rPr>
        <w:t xml:space="preserve">275.  </w:t>
      </w:r>
      <w:r w:rsidRPr="00BF42B7">
        <w:rPr>
          <w:rFonts w:ascii="Time New Roman" w:hAnsi="Time New Roman"/>
          <w:lang w:val="en-GB"/>
        </w:rPr>
        <w:t>一些成员</w:t>
      </w:r>
      <w:r w:rsidRPr="00BF42B7">
        <w:rPr>
          <w:rFonts w:ascii="Time New Roman" w:hAnsi="Time New Roman" w:hint="eastAsia"/>
          <w:lang w:val="en-GB"/>
        </w:rPr>
        <w:t>指出</w:t>
      </w:r>
      <w:r w:rsidRPr="00BF42B7">
        <w:rPr>
          <w:rFonts w:ascii="Time New Roman" w:hAnsi="Time New Roman"/>
          <w:lang w:val="en-GB"/>
        </w:rPr>
        <w:t>，对保留的分析仅限于</w:t>
      </w:r>
      <w:r w:rsidRPr="00BF42B7">
        <w:rPr>
          <w:rFonts w:ascii="Time New Roman" w:hAnsi="Time New Roman"/>
          <w:lang w:val="en-GB"/>
        </w:rPr>
        <w:t>1969</w:t>
      </w:r>
      <w:r w:rsidRPr="00BF42B7">
        <w:rPr>
          <w:rFonts w:ascii="Time New Roman" w:hAnsi="Time New Roman" w:hint="eastAsia"/>
          <w:lang w:val="en-GB"/>
        </w:rPr>
        <w:t>年《</w:t>
      </w:r>
      <w:r w:rsidRPr="00BF42B7">
        <w:rPr>
          <w:rFonts w:ascii="Time New Roman" w:hAnsi="Time New Roman"/>
          <w:lang w:val="en-GB"/>
        </w:rPr>
        <w:t>维也纳公约</w:t>
      </w:r>
      <w:r w:rsidRPr="00BF42B7">
        <w:rPr>
          <w:rFonts w:ascii="Time New Roman" w:hAnsi="Time New Roman" w:hint="eastAsia"/>
          <w:lang w:val="en-GB"/>
        </w:rPr>
        <w:t>》</w:t>
      </w:r>
      <w:r w:rsidRPr="00BF42B7">
        <w:rPr>
          <w:rFonts w:ascii="Time New Roman" w:hAnsi="Time New Roman"/>
          <w:lang w:val="en-GB"/>
        </w:rPr>
        <w:t>的第</w:t>
      </w:r>
      <w:r w:rsidRPr="00BF42B7">
        <w:rPr>
          <w:rFonts w:ascii="Time New Roman" w:hAnsi="Time New Roman" w:hint="eastAsia"/>
          <w:lang w:val="en-GB"/>
        </w:rPr>
        <w:t>十九</w:t>
      </w:r>
      <w:r w:rsidRPr="00BF42B7">
        <w:rPr>
          <w:rFonts w:ascii="Time New Roman" w:hAnsi="Time New Roman"/>
          <w:lang w:val="en-GB"/>
        </w:rPr>
        <w:t>条，希望特别报告员将</w:t>
      </w:r>
      <w:r w:rsidRPr="00BF42B7">
        <w:rPr>
          <w:rFonts w:ascii="Time New Roman" w:hAnsi="Time New Roman" w:hint="eastAsia"/>
          <w:lang w:val="en-GB"/>
        </w:rPr>
        <w:t>审查《</w:t>
      </w:r>
      <w:r w:rsidRPr="00BF42B7">
        <w:rPr>
          <w:rFonts w:ascii="Time New Roman" w:hAnsi="Time New Roman"/>
          <w:lang w:val="en-GB"/>
        </w:rPr>
        <w:t>公约</w:t>
      </w:r>
      <w:r w:rsidRPr="00BF42B7">
        <w:rPr>
          <w:rFonts w:ascii="Time New Roman" w:hAnsi="Time New Roman" w:hint="eastAsia"/>
          <w:lang w:val="en-GB"/>
        </w:rPr>
        <w:t>》</w:t>
      </w:r>
      <w:r w:rsidRPr="00BF42B7">
        <w:rPr>
          <w:rFonts w:ascii="Time New Roman" w:hAnsi="Time New Roman"/>
          <w:lang w:val="en-GB"/>
        </w:rPr>
        <w:t>下的其他有关规则。也有人指出，</w:t>
      </w:r>
      <w:r w:rsidRPr="00BF42B7">
        <w:rPr>
          <w:rFonts w:ascii="Time New Roman" w:hAnsi="Time New Roman" w:hint="eastAsia"/>
          <w:lang w:val="en-GB"/>
        </w:rPr>
        <w:t>就暂时适用</w:t>
      </w:r>
      <w:r w:rsidRPr="00BF42B7">
        <w:rPr>
          <w:rFonts w:ascii="Time New Roman" w:hAnsi="Time New Roman"/>
          <w:lang w:val="en-GB"/>
        </w:rPr>
        <w:t>提出</w:t>
      </w:r>
      <w:r w:rsidRPr="00BF42B7">
        <w:rPr>
          <w:rFonts w:ascii="Time New Roman" w:hAnsi="Time New Roman" w:hint="eastAsia"/>
          <w:lang w:val="en-GB"/>
        </w:rPr>
        <w:t>保留引起了</w:t>
      </w:r>
      <w:r w:rsidRPr="00BF42B7">
        <w:rPr>
          <w:rFonts w:ascii="Time New Roman" w:hAnsi="Time New Roman"/>
          <w:lang w:val="en-GB"/>
        </w:rPr>
        <w:t>其他复杂</w:t>
      </w:r>
      <w:r w:rsidRPr="00BF42B7">
        <w:rPr>
          <w:rFonts w:ascii="Time New Roman" w:hAnsi="Time New Roman" w:hint="eastAsia"/>
          <w:lang w:val="en-GB"/>
        </w:rPr>
        <w:t>但</w:t>
      </w:r>
      <w:r w:rsidRPr="00BF42B7">
        <w:rPr>
          <w:rFonts w:ascii="Time New Roman" w:hAnsi="Time New Roman"/>
          <w:lang w:val="en-GB"/>
        </w:rPr>
        <w:t>实际</w:t>
      </w:r>
      <w:r w:rsidRPr="00BF42B7">
        <w:rPr>
          <w:rFonts w:ascii="Time New Roman" w:hAnsi="Time New Roman" w:hint="eastAsia"/>
          <w:lang w:val="en-GB"/>
        </w:rPr>
        <w:t>的</w:t>
      </w:r>
      <w:r w:rsidRPr="00BF42B7">
        <w:rPr>
          <w:rFonts w:ascii="Time New Roman" w:hAnsi="Time New Roman"/>
          <w:lang w:val="en-GB"/>
        </w:rPr>
        <w:t>问题，</w:t>
      </w:r>
      <w:r w:rsidRPr="00BF42B7">
        <w:rPr>
          <w:rFonts w:ascii="Time New Roman" w:hAnsi="Time New Roman" w:hint="eastAsia"/>
          <w:lang w:val="en-GB"/>
        </w:rPr>
        <w:t>需要加以深入考虑</w:t>
      </w:r>
      <w:r w:rsidRPr="00BF42B7">
        <w:rPr>
          <w:rFonts w:ascii="Time New Roman" w:hAnsi="Time New Roman"/>
          <w:lang w:val="en-GB"/>
        </w:rPr>
        <w:t>，包括</w:t>
      </w:r>
      <w:r w:rsidRPr="00BF42B7">
        <w:rPr>
          <w:rFonts w:ascii="Time New Roman" w:hAnsi="Time New Roman" w:hint="eastAsia"/>
          <w:lang w:val="en-GB"/>
        </w:rPr>
        <w:t>此类保留的</w:t>
      </w:r>
      <w:r w:rsidRPr="00BF42B7">
        <w:rPr>
          <w:rFonts w:ascii="Time New Roman" w:hAnsi="Time New Roman"/>
          <w:lang w:val="en-GB"/>
        </w:rPr>
        <w:t>形式、性质和</w:t>
      </w:r>
      <w:r w:rsidRPr="00BF42B7">
        <w:rPr>
          <w:rFonts w:ascii="Time New Roman" w:hAnsi="Time New Roman" w:hint="eastAsia"/>
          <w:lang w:val="en-GB"/>
        </w:rPr>
        <w:t>效力</w:t>
      </w:r>
      <w:r w:rsidRPr="00BF42B7">
        <w:rPr>
          <w:rFonts w:ascii="Time New Roman" w:hAnsi="Time New Roman"/>
        </w:rPr>
        <w:t>。</w:t>
      </w:r>
      <w:r w:rsidRPr="00BF42B7">
        <w:rPr>
          <w:rFonts w:ascii="Time New Roman" w:hAnsi="Time New Roman" w:hint="eastAsia"/>
        </w:rPr>
        <w:t>此外，一些委员认为，与暂时适用有关的保留问题</w:t>
      </w:r>
      <w:r w:rsidRPr="00BF42B7">
        <w:rPr>
          <w:rFonts w:ascii="Time New Roman" w:hAnsi="Time New Roman"/>
        </w:rPr>
        <w:t>不乏实际的例子，并</w:t>
      </w:r>
      <w:r w:rsidRPr="00BF42B7">
        <w:rPr>
          <w:rFonts w:ascii="Time New Roman" w:hAnsi="Time New Roman" w:hint="eastAsia"/>
        </w:rPr>
        <w:t>数次提及针对</w:t>
      </w:r>
      <w:r w:rsidRPr="00BF42B7">
        <w:rPr>
          <w:rFonts w:ascii="Time New Roman" w:hAnsi="Time New Roman"/>
        </w:rPr>
        <w:t>多边</w:t>
      </w:r>
      <w:r w:rsidRPr="00BF42B7">
        <w:rPr>
          <w:rFonts w:ascii="Time New Roman" w:hAnsi="Time New Roman" w:hint="eastAsia"/>
        </w:rPr>
        <w:t>初级</w:t>
      </w:r>
      <w:r w:rsidRPr="00BF42B7">
        <w:rPr>
          <w:rFonts w:ascii="Time New Roman" w:hAnsi="Time New Roman"/>
        </w:rPr>
        <w:t>商品协</w:t>
      </w:r>
      <w:r w:rsidRPr="00BF42B7">
        <w:rPr>
          <w:rFonts w:ascii="Time New Roman" w:hAnsi="Time New Roman" w:hint="eastAsia"/>
        </w:rPr>
        <w:t>定提出的保留</w:t>
      </w:r>
      <w:r w:rsidRPr="00BF42B7">
        <w:rPr>
          <w:rFonts w:ascii="Time New Roman" w:hAnsi="Time New Roman"/>
        </w:rPr>
        <w:t>。</w:t>
      </w:r>
      <w:r w:rsidRPr="00BF42B7">
        <w:rPr>
          <w:rFonts w:ascii="Time New Roman" w:hAnsi="Time New Roman" w:hint="eastAsia"/>
        </w:rPr>
        <w:t>人们还提请关注《对条约的保留实践指南》</w:t>
      </w:r>
      <w:r w:rsidRPr="00BF42B7">
        <w:rPr>
          <w:rFonts w:ascii="Time New Roman" w:hAnsi="Time New Roman"/>
        </w:rPr>
        <w:t>，</w:t>
      </w:r>
      <w:r w:rsidRPr="00BF42B7">
        <w:rPr>
          <w:color w:val="0000FF"/>
          <w:vertAlign w:val="superscript"/>
          <w:lang w:val="en-GB"/>
        </w:rPr>
        <w:footnoteReference w:id="1460"/>
      </w:r>
      <w:r w:rsidRPr="00BF42B7">
        <w:rPr>
          <w:rFonts w:ascii="Time New Roman" w:hAnsi="Time New Roman" w:hint="eastAsia"/>
          <w:lang w:val="en-GB"/>
        </w:rPr>
        <w:t xml:space="preserve"> </w:t>
      </w:r>
      <w:r w:rsidRPr="00BF42B7">
        <w:rPr>
          <w:rFonts w:ascii="Time New Roman" w:hAnsi="Time New Roman"/>
        </w:rPr>
        <w:t>其中</w:t>
      </w:r>
      <w:r w:rsidRPr="00BF42B7">
        <w:rPr>
          <w:rFonts w:ascii="Time New Roman" w:hAnsi="Time New Roman" w:hint="eastAsia"/>
        </w:rPr>
        <w:t>，</w:t>
      </w:r>
      <w:r w:rsidRPr="00BF42B7">
        <w:rPr>
          <w:rFonts w:ascii="Time New Roman" w:hAnsi="Time New Roman"/>
        </w:rPr>
        <w:t>连同它的评论</w:t>
      </w:r>
      <w:r w:rsidRPr="00BF42B7">
        <w:rPr>
          <w:rFonts w:ascii="Time New Roman" w:hAnsi="Time New Roman" w:hint="eastAsia"/>
        </w:rPr>
        <w:t>意见，也包含</w:t>
      </w:r>
      <w:r w:rsidRPr="00BF42B7">
        <w:rPr>
          <w:rFonts w:ascii="Time New Roman" w:hAnsi="Time New Roman"/>
        </w:rPr>
        <w:t>一些有用的</w:t>
      </w:r>
      <w:r w:rsidRPr="00BF42B7">
        <w:rPr>
          <w:rFonts w:ascii="Time New Roman" w:hAnsi="Time New Roman" w:hint="eastAsia"/>
        </w:rPr>
        <w:t>要点</w:t>
      </w:r>
      <w:r w:rsidRPr="00BF42B7">
        <w:rPr>
          <w:rFonts w:ascii="Time New Roman" w:hAnsi="Time New Roman"/>
        </w:rPr>
        <w:t>，特别是指南</w:t>
      </w:r>
      <w:r w:rsidRPr="00BF42B7">
        <w:rPr>
          <w:rFonts w:ascii="Time New Roman" w:hAnsi="Time New Roman"/>
          <w:lang w:val="en-GB"/>
        </w:rPr>
        <w:t>2.2.1</w:t>
      </w:r>
      <w:r w:rsidRPr="00BF42B7">
        <w:rPr>
          <w:rFonts w:ascii="Time New Roman" w:hAnsi="Time New Roman"/>
          <w:lang w:val="en-GB"/>
        </w:rPr>
        <w:t>、</w:t>
      </w:r>
      <w:r w:rsidRPr="00BF42B7">
        <w:rPr>
          <w:rFonts w:ascii="Time New Roman" w:hAnsi="Time New Roman"/>
          <w:lang w:val="en-GB"/>
        </w:rPr>
        <w:t>2.2.2</w:t>
      </w:r>
      <w:r w:rsidRPr="00BF42B7">
        <w:rPr>
          <w:rFonts w:ascii="Time New Roman" w:hAnsi="Time New Roman"/>
          <w:lang w:val="en-GB"/>
        </w:rPr>
        <w:t>和</w:t>
      </w:r>
      <w:r w:rsidRPr="00BF42B7">
        <w:rPr>
          <w:rFonts w:ascii="Time New Roman" w:hAnsi="Time New Roman"/>
          <w:lang w:val="en-GB"/>
        </w:rPr>
        <w:t>2.6.11</w:t>
      </w:r>
      <w:r w:rsidRPr="00BF42B7">
        <w:rPr>
          <w:rFonts w:ascii="Time New Roman" w:hAnsi="Time New Roman"/>
        </w:rPr>
        <w:t>。建议保留问题</w:t>
      </w:r>
      <w:r w:rsidRPr="00BF42B7">
        <w:rPr>
          <w:rFonts w:ascii="Time New Roman" w:hAnsi="Time New Roman" w:hint="eastAsia"/>
        </w:rPr>
        <w:t>应</w:t>
      </w:r>
      <w:r w:rsidRPr="00BF42B7">
        <w:rPr>
          <w:rFonts w:ascii="Time New Roman" w:hAnsi="Time New Roman"/>
        </w:rPr>
        <w:t>在</w:t>
      </w:r>
      <w:r w:rsidRPr="00BF42B7">
        <w:rPr>
          <w:rFonts w:ascii="Time New Roman" w:hAnsi="Time New Roman" w:hint="eastAsia"/>
        </w:rPr>
        <w:t>暂时适用</w:t>
      </w:r>
      <w:r w:rsidRPr="00BF42B7">
        <w:rPr>
          <w:rFonts w:ascii="Time New Roman" w:hAnsi="Time New Roman"/>
        </w:rPr>
        <w:t>的背景下进一步审查，</w:t>
      </w:r>
      <w:r w:rsidRPr="00BF42B7">
        <w:rPr>
          <w:rFonts w:ascii="Time New Roman" w:hAnsi="Time New Roman" w:hint="eastAsia"/>
        </w:rPr>
        <w:t>最好</w:t>
      </w:r>
      <w:r w:rsidRPr="00BF42B7">
        <w:rPr>
          <w:rFonts w:ascii="Time New Roman" w:hAnsi="Time New Roman"/>
        </w:rPr>
        <w:t>反映在</w:t>
      </w:r>
      <w:r w:rsidRPr="00BF42B7">
        <w:rPr>
          <w:rFonts w:ascii="Time New Roman" w:hAnsi="Time New Roman" w:hint="eastAsia"/>
        </w:rPr>
        <w:t>准则草案中</w:t>
      </w:r>
      <w:r w:rsidRPr="00BF42B7">
        <w:rPr>
          <w:rFonts w:ascii="Time New Roman" w:hAnsi="Time New Roman"/>
        </w:rPr>
        <w:t>。</w:t>
      </w:r>
    </w:p>
    <w:p w:rsidR="00813081" w:rsidRPr="00BF42B7" w:rsidRDefault="00813081" w:rsidP="000E6A33">
      <w:pPr>
        <w:pStyle w:val="H23GC"/>
        <w:rPr>
          <w:lang w:val="en-GB"/>
        </w:rPr>
      </w:pPr>
      <w:r w:rsidRPr="00BF42B7">
        <w:rPr>
          <w:rFonts w:hint="eastAsia"/>
          <w:lang w:val="en-GB"/>
        </w:rPr>
        <w:tab/>
      </w:r>
      <w:r w:rsidRPr="00BF42B7">
        <w:rPr>
          <w:lang w:val="en-GB"/>
        </w:rPr>
        <w:t>(c)</w:t>
      </w:r>
      <w:r w:rsidRPr="00BF42B7">
        <w:rPr>
          <w:lang w:val="en-GB"/>
        </w:rPr>
        <w:tab/>
      </w:r>
      <w:r w:rsidRPr="00BF42B7">
        <w:rPr>
          <w:rFonts w:hint="eastAsia"/>
          <w:lang w:val="en-GB"/>
        </w:rPr>
        <w:t>条约失效</w:t>
      </w:r>
    </w:p>
    <w:p w:rsidR="00813081" w:rsidRPr="00BF42B7" w:rsidRDefault="00813081" w:rsidP="00813081">
      <w:pPr>
        <w:pStyle w:val="SingleTxtGC"/>
        <w:rPr>
          <w:rFonts w:ascii="Time New Roman" w:hAnsi="Time New Roman" w:hint="eastAsia"/>
          <w:bCs/>
          <w:lang w:val="en-GB"/>
        </w:rPr>
      </w:pPr>
      <w:r w:rsidRPr="00BF42B7">
        <w:rPr>
          <w:rFonts w:ascii="Time New Roman" w:hAnsi="Time New Roman" w:hint="eastAsia"/>
          <w:bCs/>
          <w:lang w:val="en-GB"/>
        </w:rPr>
        <w:t xml:space="preserve">276.  </w:t>
      </w:r>
      <w:r w:rsidRPr="00BF42B7">
        <w:rPr>
          <w:rFonts w:ascii="Time New Roman" w:hAnsi="Time New Roman" w:hint="eastAsia"/>
          <w:bCs/>
          <w:lang w:val="en-GB"/>
        </w:rPr>
        <w:t>一些委员欢迎审视国内法对暂时适用的相关性问题。他们注意到，特别报告员在研究这一问题时，侧重于</w:t>
      </w:r>
      <w:r w:rsidRPr="00BF42B7">
        <w:rPr>
          <w:rFonts w:ascii="Time New Roman" w:hAnsi="Time New Roman" w:hint="eastAsia"/>
          <w:bCs/>
          <w:lang w:val="en-GB"/>
        </w:rPr>
        <w:t>1969</w:t>
      </w:r>
      <w:r w:rsidRPr="00BF42B7">
        <w:rPr>
          <w:rFonts w:ascii="Time New Roman" w:hAnsi="Time New Roman" w:hint="eastAsia"/>
          <w:bCs/>
          <w:lang w:val="en-GB"/>
        </w:rPr>
        <w:t>年《维也纳公约》的一个方面，即第四十六条：国内法关于缔约权限的规定。他们还认为报告中讨论尤科斯案的时机恰到好处，并同意特别报告员的观点，即委员会不应试图就该案作出任何结论，一方面是因为该案正在审理中，另一方面是因为，它基于的是一种特殊的条约制度。但是，若干委员指出，特别报告员在其关于国内法的分析中没有充分说明涉及的不同情况，也没有充分说明这些情况导致的法律后果。在这方面，有人表示，虽然</w:t>
      </w:r>
      <w:r w:rsidRPr="00BF42B7">
        <w:rPr>
          <w:rFonts w:ascii="Time New Roman" w:hAnsi="Time New Roman" w:hint="eastAsia"/>
          <w:bCs/>
          <w:lang w:val="en-GB"/>
        </w:rPr>
        <w:t>1969</w:t>
      </w:r>
      <w:r w:rsidRPr="00BF42B7">
        <w:rPr>
          <w:rFonts w:ascii="Time New Roman" w:hAnsi="Time New Roman" w:hint="eastAsia"/>
          <w:bCs/>
          <w:lang w:val="en-GB"/>
        </w:rPr>
        <w:t>年《维也纳公约》第四十六条是本专题的一个重要部分，但第二十七和第四十六条是一个整体，并且证明了对条约法的妥善评估离不开具有基本重要性的国内规则。为了充分评估在暂时适用方面国际法和国内法的相互作用，建议对三种不同情况予以区分。第一种情况是，暂时适用协定本身通过提到国内法而对暂时适用加以限定，在这种情况下，国内法关乎于对暂时适用协定范围的理解。问题并不在于条约是否有效，也不在于国际法或国内法孰先孰后，而是在于对条约的解释。第二种情况与第四十六条类似，即有一国认为其受该协定约束的同意因其关于缔结国际协议权限的国内法规定而失效。第三种情况与第二十七条相同，涉及的情况是，一国试图援引其国内法，以此作为不履行其国际义务的理由。一些委员强调，第一种情况往往是暂时适用问题最重要和最有争议的方面。因此，认为必须在进一步分析的基础上，在准则草案中反映这一问题。</w:t>
      </w:r>
    </w:p>
    <w:p w:rsidR="00813081" w:rsidRPr="00BF42B7" w:rsidRDefault="00813081" w:rsidP="00813081">
      <w:pPr>
        <w:pStyle w:val="SingleTxtGC"/>
        <w:rPr>
          <w:rFonts w:ascii="Time New Roman" w:hAnsi="Time New Roman" w:hint="eastAsia"/>
          <w:bCs/>
          <w:lang w:val="en-GB"/>
        </w:rPr>
      </w:pPr>
      <w:r w:rsidRPr="00BF42B7">
        <w:rPr>
          <w:rFonts w:ascii="Time New Roman" w:hAnsi="Time New Roman" w:hint="eastAsia"/>
          <w:bCs/>
          <w:lang w:val="en-GB"/>
        </w:rPr>
        <w:t xml:space="preserve">277.  </w:t>
      </w:r>
      <w:r w:rsidRPr="00BF42B7">
        <w:rPr>
          <w:rFonts w:ascii="Time New Roman" w:hAnsi="Time New Roman" w:hint="eastAsia"/>
          <w:bCs/>
          <w:lang w:val="en-GB"/>
        </w:rPr>
        <w:t>此外，若干委员认为，第二十七和第四十六条适用于暂时适用问题，也应反映在准则草案中。然而，还有意见认为，有必要分析国内法在暂时适用方面的相关性，与条约生效时予以区分，同时考虑暂时适用是否会产生其他国家所依赖的法律效力的问题。有人建议，应研究以下问题：在暂时适用的情况下，对第四十六条中“显明”这一术语是否应当考虑国家惯例，予以更灵活的解释。此外，一些委员注意到，若将同意缔约所涉及的程序保障和限制比照适用于暂时适用，就会使暂时适用制度失去意义。在许多情况下，之所以采用暂时适用，就是因为缔约宪法程序尚未完成。只有在暂时适用某条约的决定与具有基本重要性的关于缔约权限的国内规则冲突的情况下，才可能谈及失效问题。</w:t>
      </w:r>
    </w:p>
    <w:p w:rsidR="00813081" w:rsidRPr="00BF42B7" w:rsidRDefault="00813081" w:rsidP="000E6A33">
      <w:pPr>
        <w:pStyle w:val="H23GC"/>
        <w:rPr>
          <w:lang w:val="en-GB"/>
        </w:rPr>
      </w:pPr>
      <w:r w:rsidRPr="00BF42B7">
        <w:rPr>
          <w:rFonts w:hint="eastAsia"/>
          <w:lang w:val="en-GB"/>
        </w:rPr>
        <w:tab/>
      </w:r>
      <w:r w:rsidRPr="00BF42B7">
        <w:rPr>
          <w:lang w:val="en-GB"/>
        </w:rPr>
        <w:t>(d)</w:t>
      </w:r>
      <w:r w:rsidRPr="00BF42B7">
        <w:rPr>
          <w:lang w:val="en-GB"/>
        </w:rPr>
        <w:tab/>
      </w:r>
      <w:r w:rsidRPr="00BF42B7">
        <w:rPr>
          <w:rFonts w:hint="eastAsia"/>
          <w:lang w:val="en-GB"/>
        </w:rPr>
        <w:t>条约因违约而终止或停止施行</w:t>
      </w:r>
    </w:p>
    <w:p w:rsidR="00813081" w:rsidRPr="00BF42B7" w:rsidRDefault="00813081" w:rsidP="00813081">
      <w:pPr>
        <w:pStyle w:val="SingleTxtGC"/>
        <w:rPr>
          <w:rFonts w:ascii="Time New Roman" w:hAnsi="Time New Roman" w:hint="eastAsia"/>
          <w:bCs/>
          <w:lang w:val="en-GB"/>
        </w:rPr>
      </w:pPr>
      <w:r w:rsidRPr="00BF42B7">
        <w:rPr>
          <w:rFonts w:ascii="Time New Roman" w:hAnsi="Time New Roman" w:hint="eastAsia"/>
          <w:bCs/>
          <w:lang w:val="en-GB"/>
        </w:rPr>
        <w:t xml:space="preserve">278.  </w:t>
      </w:r>
      <w:r w:rsidRPr="00BF42B7">
        <w:rPr>
          <w:rFonts w:ascii="Time New Roman" w:hAnsi="Time New Roman" w:hint="eastAsia"/>
          <w:bCs/>
          <w:lang w:val="en-GB"/>
        </w:rPr>
        <w:t>关于暂时适用的终止，一些委员同意特别报告员的结论，即第六十条可适用于暂时适用，依据是暂时适用与条约生效时具有相同的法律效力。但是，同时也有意见认为，一国不太可能利用第六十条所设想的程序，因为第二十五条第二款提供了较为便利的替代方法。</w:t>
      </w:r>
    </w:p>
    <w:p w:rsidR="00813081" w:rsidRPr="00BF42B7" w:rsidRDefault="00813081" w:rsidP="00813081">
      <w:pPr>
        <w:pStyle w:val="SingleTxtGC"/>
        <w:rPr>
          <w:rFonts w:ascii="Time New Roman" w:hAnsi="Time New Roman" w:hint="eastAsia"/>
          <w:bCs/>
          <w:lang w:val="en-GB"/>
        </w:rPr>
      </w:pPr>
      <w:r w:rsidRPr="00BF42B7">
        <w:rPr>
          <w:rFonts w:ascii="Time New Roman" w:hAnsi="Time New Roman" w:hint="eastAsia"/>
          <w:bCs/>
          <w:lang w:val="en-GB"/>
        </w:rPr>
        <w:t xml:space="preserve">279.  </w:t>
      </w:r>
      <w:r w:rsidRPr="00BF42B7">
        <w:rPr>
          <w:rFonts w:ascii="Time New Roman" w:hAnsi="Time New Roman" w:hint="eastAsia"/>
          <w:bCs/>
          <w:lang w:val="en-GB"/>
        </w:rPr>
        <w:t>一些委员指出，第二十五条第二款暗示了一种与</w:t>
      </w:r>
      <w:r w:rsidRPr="00BF42B7">
        <w:rPr>
          <w:rFonts w:ascii="Time New Roman" w:hAnsi="Time New Roman" w:hint="eastAsia"/>
          <w:bCs/>
          <w:lang w:val="en-GB"/>
        </w:rPr>
        <w:t>1969</w:t>
      </w:r>
      <w:r w:rsidRPr="00BF42B7">
        <w:rPr>
          <w:rFonts w:ascii="Time New Roman" w:hAnsi="Time New Roman" w:hint="eastAsia"/>
          <w:bCs/>
          <w:lang w:val="en-GB"/>
        </w:rPr>
        <w:t>年《维也纳公约》所载的关于已生效条约的制度不同且更为灵活的机制。有人回顾，催生了</w:t>
      </w:r>
      <w:r w:rsidRPr="00BF42B7">
        <w:rPr>
          <w:rFonts w:ascii="Time New Roman" w:hAnsi="Time New Roman" w:hint="eastAsia"/>
          <w:bCs/>
          <w:lang w:val="en-GB"/>
        </w:rPr>
        <w:t>1969</w:t>
      </w:r>
      <w:r w:rsidRPr="00BF42B7">
        <w:rPr>
          <w:rFonts w:ascii="Time New Roman" w:hAnsi="Time New Roman" w:hint="eastAsia"/>
          <w:bCs/>
          <w:lang w:val="en-GB"/>
        </w:rPr>
        <w:t>年《维也纳公约》的外交会议在第二十五条中加入了终止条款，而不是在《公约》载入一般性终止规定。有意见认为，第二十五条第二款设立了一种专门的途径，一国可借此自行终止其暂时适用条约的义务。在这方面，至少在终止方面，暂时适用构成了一项完备的制度。但是，也有人注意到，第六十条不同于</w:t>
      </w:r>
      <w:r w:rsidRPr="00BF42B7">
        <w:rPr>
          <w:rFonts w:ascii="Time New Roman" w:hAnsi="Time New Roman" w:hint="eastAsia"/>
          <w:bCs/>
          <w:lang w:val="en-GB"/>
        </w:rPr>
        <w:t>1969</w:t>
      </w:r>
      <w:r w:rsidRPr="00BF42B7">
        <w:rPr>
          <w:rFonts w:ascii="Time New Roman" w:hAnsi="Time New Roman" w:hint="eastAsia"/>
          <w:bCs/>
          <w:lang w:val="en-GB"/>
        </w:rPr>
        <w:t>年《维也纳公约》的其他终止规则，与暂时适用也是相关的，因为这两条条款发生作用的方式不同。第二十五条第二款会终止条约在通知终止国与各被通知国的关系中的任何效力，第六十条则可被用作仅在受影响国和违约国之间停止或终止暂时适用条约的依据。</w:t>
      </w:r>
    </w:p>
    <w:p w:rsidR="00813081" w:rsidRPr="00BF42B7" w:rsidRDefault="00813081" w:rsidP="00813081">
      <w:pPr>
        <w:pStyle w:val="SingleTxtGC"/>
        <w:rPr>
          <w:rFonts w:ascii="Time New Roman" w:hAnsi="Time New Roman" w:hint="eastAsia"/>
          <w:bCs/>
          <w:lang w:val="en-GB"/>
        </w:rPr>
      </w:pPr>
      <w:r w:rsidRPr="00BF42B7">
        <w:rPr>
          <w:rFonts w:ascii="Time New Roman" w:hAnsi="Time New Roman" w:hint="eastAsia"/>
          <w:bCs/>
          <w:lang w:val="en-GB"/>
        </w:rPr>
        <w:t xml:space="preserve">280.  </w:t>
      </w:r>
      <w:r w:rsidRPr="00BF42B7">
        <w:rPr>
          <w:rFonts w:ascii="Time New Roman" w:hAnsi="Time New Roman" w:hint="eastAsia"/>
          <w:bCs/>
          <w:lang w:val="en-GB"/>
        </w:rPr>
        <w:t>关于对暂时适用与</w:t>
      </w:r>
      <w:r w:rsidRPr="00BF42B7">
        <w:rPr>
          <w:rFonts w:ascii="Time New Roman" w:hAnsi="Time New Roman" w:hint="eastAsia"/>
          <w:bCs/>
          <w:lang w:val="en-GB"/>
        </w:rPr>
        <w:t>1969</w:t>
      </w:r>
      <w:r w:rsidRPr="00BF42B7">
        <w:rPr>
          <w:rFonts w:ascii="Time New Roman" w:hAnsi="Time New Roman" w:hint="eastAsia"/>
          <w:bCs/>
          <w:lang w:val="en-GB"/>
        </w:rPr>
        <w:t>年《维也纳公约》第六十条的关系的分析，有人回顾称，第六十条第三款规定了条约生效后发生重大违约的条件。有人指出，如此一来，特别报告员本应讨论的问题是，对暂时适用的条约的重大违约是否会在与第六十条规定相同的情况下发生。此外，有人注意到，报告并没有区分终止条约本身和终止暂时适用，终止暂时适用会导致第六十条所规定的停止施行条约。结果是，以下问题没有得到讨论：对暂时适用的条约的重大违约是否会使缔约方不仅可以将违约作为停止暂时适用条约的依据，还可将其作为终止条约本身的依据？有人建议，应以国家实践为基础对第二十五条和第六十条作进一步阐述，以拟订出既反映终止问题又反映停止施行问题的准则草案，说明各缔约方之间的关系将如何受到影响。</w:t>
      </w:r>
    </w:p>
    <w:p w:rsidR="00813081" w:rsidRPr="00BF42B7" w:rsidRDefault="00813081" w:rsidP="00813081">
      <w:pPr>
        <w:pStyle w:val="SingleTxtGC"/>
        <w:rPr>
          <w:rFonts w:ascii="Time New Roman" w:hAnsi="Time New Roman" w:hint="eastAsia"/>
          <w:bCs/>
          <w:lang w:val="en-GB"/>
        </w:rPr>
      </w:pPr>
      <w:r w:rsidRPr="00BF42B7">
        <w:rPr>
          <w:rFonts w:ascii="Time New Roman" w:hAnsi="Time New Roman" w:hint="eastAsia"/>
          <w:bCs/>
          <w:lang w:val="en-GB"/>
        </w:rPr>
        <w:t xml:space="preserve">281.  </w:t>
      </w:r>
      <w:r w:rsidRPr="00BF42B7">
        <w:rPr>
          <w:rFonts w:ascii="Time New Roman" w:hAnsi="Time New Roman" w:hint="eastAsia"/>
          <w:bCs/>
          <w:lang w:val="en-GB"/>
        </w:rPr>
        <w:t>此外，关于何种违约构成第六十条第三款所指的重大违约的问题，有人指出，特别报告员的结论是，对被视为必要条款的轻微违反也可构成重大违约，这一结论并不完全正确。有人提请注意近期的一项裁决，一个仲裁庭在该裁决中认定，只有在违约行为妨碍了条约的目的和宗旨的情况下，方能以重大违约为由终止条约。但是，有人建议，应当研究在暂时适用的情况下是否应以更灵活的方式解释第六十条所载的“重大违约”这一术语。此外，有意见认为，在暂时适用的情况下，不可能谈及重大违约，只能谈及未履行条约义务，</w:t>
      </w:r>
      <w:r w:rsidRPr="00BF42B7">
        <w:rPr>
          <w:rFonts w:ascii="Time New Roman" w:hAnsi="Time New Roman" w:hint="eastAsia"/>
          <w:bCs/>
          <w:lang w:val="en-GB"/>
        </w:rPr>
        <w:t>1969</w:t>
      </w:r>
      <w:r w:rsidRPr="00BF42B7">
        <w:rPr>
          <w:rFonts w:ascii="Time New Roman" w:hAnsi="Time New Roman" w:hint="eastAsia"/>
          <w:bCs/>
          <w:lang w:val="en-GB"/>
        </w:rPr>
        <w:t>年《维也纳公约》第六十条规定的重大违约的效果并不适用，因为在这一时刻并不存在契约式条约关系。还有意见认为，暂时适用与</w:t>
      </w:r>
      <w:r w:rsidRPr="00BF42B7">
        <w:rPr>
          <w:rFonts w:ascii="Time New Roman" w:hAnsi="Time New Roman" w:hint="eastAsia"/>
          <w:bCs/>
          <w:lang w:val="en-GB"/>
        </w:rPr>
        <w:t>1969</w:t>
      </w:r>
      <w:r w:rsidRPr="00BF42B7">
        <w:rPr>
          <w:rFonts w:ascii="Time New Roman" w:hAnsi="Time New Roman" w:hint="eastAsia"/>
          <w:bCs/>
          <w:lang w:val="en-GB"/>
        </w:rPr>
        <w:t>年《维也纳公约》所规定的其他形式的终止之间的关系也是值得审议的内容。</w:t>
      </w:r>
    </w:p>
    <w:p w:rsidR="00813081" w:rsidRPr="00BF42B7" w:rsidRDefault="00813081" w:rsidP="000E6A33">
      <w:pPr>
        <w:pStyle w:val="H23GC"/>
        <w:rPr>
          <w:lang w:val="en-GB"/>
        </w:rPr>
      </w:pPr>
      <w:r w:rsidRPr="00BF42B7">
        <w:rPr>
          <w:rFonts w:hint="eastAsia"/>
          <w:lang w:val="en-GB"/>
        </w:rPr>
        <w:tab/>
      </w:r>
      <w:r w:rsidRPr="00BF42B7">
        <w:rPr>
          <w:lang w:val="en-GB"/>
        </w:rPr>
        <w:t>(e)</w:t>
      </w:r>
      <w:r w:rsidRPr="00BF42B7">
        <w:rPr>
          <w:lang w:val="en-GB"/>
        </w:rPr>
        <w:tab/>
      </w:r>
      <w:r w:rsidRPr="00BF42B7">
        <w:rPr>
          <w:rFonts w:hint="eastAsia"/>
          <w:lang w:val="en-GB"/>
        </w:rPr>
        <w:t>国家继承、国家责任及发生敌对行为问题</w:t>
      </w:r>
    </w:p>
    <w:p w:rsidR="00813081" w:rsidRPr="00BF42B7" w:rsidRDefault="00813081" w:rsidP="00813081">
      <w:pPr>
        <w:pStyle w:val="SingleTxtGC"/>
        <w:rPr>
          <w:rFonts w:ascii="Time New Roman" w:hAnsi="Time New Roman" w:hint="eastAsia"/>
          <w:lang w:val="en-GB"/>
        </w:rPr>
      </w:pPr>
      <w:r w:rsidRPr="00BF42B7">
        <w:rPr>
          <w:rFonts w:ascii="Time New Roman" w:hAnsi="Time New Roman" w:hint="eastAsia"/>
          <w:lang w:val="en-GB"/>
        </w:rPr>
        <w:t xml:space="preserve">282.  </w:t>
      </w:r>
      <w:r w:rsidRPr="00BF42B7">
        <w:rPr>
          <w:rFonts w:ascii="Time New Roman" w:hAnsi="Time New Roman" w:hint="eastAsia"/>
          <w:lang w:val="en-GB"/>
        </w:rPr>
        <w:t>一些委员同意特别报告员的意见，即虽然关于国家继承的第四次报告所载的资料具有重要意义，但为本专题的目的，没有必要对这些问题作进一步讨论。不过，其他一些委员提请注意</w:t>
      </w:r>
      <w:r w:rsidRPr="00BF42B7">
        <w:rPr>
          <w:rFonts w:ascii="Time New Roman" w:hAnsi="Time New Roman" w:hint="eastAsia"/>
          <w:lang w:val="en-GB"/>
        </w:rPr>
        <w:t>1978</w:t>
      </w:r>
      <w:r w:rsidRPr="00BF42B7">
        <w:rPr>
          <w:rFonts w:ascii="Time New Roman" w:hAnsi="Time New Roman" w:hint="eastAsia"/>
          <w:lang w:val="en-GB"/>
        </w:rPr>
        <w:t>年《维也纳公约》的有关条款，这些条款将条约的性质和特征纳入了考虑，尤其是考虑了所涉条约是属于双边协定，还是属于开放性或封闭性多边条约，以及是否生效等因素。还有人建议，对国家惯例进行研究将不乏益处。此外，一些委员支持在准则草案中论及继承问题。</w:t>
      </w:r>
    </w:p>
    <w:p w:rsidR="00813081" w:rsidRPr="00BF42B7" w:rsidRDefault="00813081" w:rsidP="000E6A33">
      <w:pPr>
        <w:pStyle w:val="H23GC"/>
        <w:rPr>
          <w:lang w:val="en-GB"/>
        </w:rPr>
      </w:pPr>
      <w:r w:rsidRPr="00BF42B7">
        <w:rPr>
          <w:rFonts w:hint="eastAsia"/>
          <w:lang w:val="en-GB"/>
        </w:rPr>
        <w:tab/>
      </w:r>
      <w:r w:rsidRPr="00BF42B7">
        <w:rPr>
          <w:lang w:val="en-GB"/>
        </w:rPr>
        <w:t>(f)</w:t>
      </w:r>
      <w:r w:rsidRPr="00BF42B7">
        <w:rPr>
          <w:lang w:val="en-GB"/>
        </w:rPr>
        <w:tab/>
      </w:r>
      <w:r w:rsidRPr="00BF42B7">
        <w:rPr>
          <w:rFonts w:hint="eastAsia"/>
          <w:lang w:val="en-GB"/>
        </w:rPr>
        <w:t>准则草案</w:t>
      </w:r>
      <w:r w:rsidRPr="00BF42B7">
        <w:rPr>
          <w:lang w:val="en-GB"/>
        </w:rPr>
        <w:t>10</w:t>
      </w:r>
    </w:p>
    <w:p w:rsidR="00813081" w:rsidRPr="00BF42B7" w:rsidRDefault="00813081" w:rsidP="00813081">
      <w:pPr>
        <w:pStyle w:val="SingleTxtGC"/>
        <w:rPr>
          <w:rFonts w:ascii="Time New Roman" w:hAnsi="Time New Roman" w:hint="eastAsia"/>
          <w:lang w:val="en-GB"/>
        </w:rPr>
      </w:pPr>
      <w:r w:rsidRPr="00BF42B7">
        <w:rPr>
          <w:rFonts w:ascii="Time New Roman" w:hAnsi="Time New Roman" w:hint="eastAsia"/>
          <w:lang w:val="en-GB"/>
        </w:rPr>
        <w:t xml:space="preserve">283.  </w:t>
      </w:r>
      <w:r w:rsidRPr="00BF42B7">
        <w:rPr>
          <w:rFonts w:ascii="Time New Roman" w:hAnsi="Time New Roman" w:hint="eastAsia"/>
          <w:lang w:val="en-GB"/>
        </w:rPr>
        <w:t>关于准则草案</w:t>
      </w:r>
      <w:r w:rsidRPr="00BF42B7">
        <w:rPr>
          <w:rFonts w:ascii="Time New Roman" w:hAnsi="Time New Roman" w:hint="eastAsia"/>
          <w:lang w:val="en-GB"/>
        </w:rPr>
        <w:t>10</w:t>
      </w:r>
      <w:r w:rsidRPr="00BF42B7">
        <w:rPr>
          <w:rFonts w:ascii="Time New Roman" w:hAnsi="Time New Roman" w:hint="eastAsia"/>
          <w:lang w:val="en-GB"/>
        </w:rPr>
        <w:t>，一些委员注意到该准则立足于</w:t>
      </w:r>
      <w:r w:rsidRPr="00BF42B7">
        <w:rPr>
          <w:rFonts w:ascii="Time New Roman" w:hAnsi="Time New Roman" w:hint="eastAsia"/>
          <w:lang w:val="en-GB"/>
        </w:rPr>
        <w:t>1969</w:t>
      </w:r>
      <w:r w:rsidRPr="00BF42B7">
        <w:rPr>
          <w:rFonts w:ascii="Time New Roman" w:hAnsi="Time New Roman" w:hint="eastAsia"/>
          <w:lang w:val="en-GB"/>
        </w:rPr>
        <w:t>年《维也纳公约》第二十七条，因此其本身并不存在争议。其他委员认为，需要扩大该准则草案的范围，以便将以下情况考虑在内，即暂时适用条约的协定因提及国内法而限制了暂时适用的情况。</w:t>
      </w:r>
    </w:p>
    <w:p w:rsidR="00813081" w:rsidRPr="00BF42B7" w:rsidRDefault="00813081" w:rsidP="00813081">
      <w:pPr>
        <w:pStyle w:val="SingleTxtGC"/>
        <w:rPr>
          <w:rFonts w:ascii="Time New Roman" w:hAnsi="Time New Roman" w:hint="eastAsia"/>
          <w:lang w:val="en-GB"/>
        </w:rPr>
      </w:pPr>
      <w:r w:rsidRPr="00BF42B7">
        <w:rPr>
          <w:rFonts w:ascii="Time New Roman" w:hAnsi="Time New Roman" w:hint="eastAsia"/>
          <w:lang w:val="en-GB"/>
        </w:rPr>
        <w:t xml:space="preserve">284.  </w:t>
      </w:r>
      <w:r w:rsidRPr="00BF42B7">
        <w:rPr>
          <w:rFonts w:ascii="Time New Roman" w:hAnsi="Time New Roman" w:hint="eastAsia"/>
          <w:lang w:val="en-GB"/>
        </w:rPr>
        <w:t>然而，一些委员对该准则草案的内容没有在报告中得到充分证实表示遗憾。例如，以下问题尚不明确：该准则草案是否反映了第二十七条所载规定，即一国不得</w:t>
      </w:r>
      <w:r w:rsidRPr="00BF42B7">
        <w:rPr>
          <w:rFonts w:ascii="Time New Roman" w:hAnsi="Time New Roman"/>
          <w:lang w:val="en-GB"/>
        </w:rPr>
        <w:t>援引其国内法规定为理由而不履行条约</w:t>
      </w:r>
      <w:r w:rsidRPr="00BF42B7">
        <w:rPr>
          <w:rFonts w:ascii="Time New Roman" w:hAnsi="Time New Roman" w:hint="eastAsia"/>
          <w:lang w:val="en-GB"/>
        </w:rPr>
        <w:t>；该准则草案是否涉及国内法中关于同意暂时适用条约的权限的条款，一如提及第四十六条之处似乎表明的。一些委员指出，该准则草案可被理解为暗示国内法总是无关的，忽视了以下事实，即国家可通过提及国内法来限制对条约的暂时适用。这与第二十七条所载的不得援引国内法的规定不同，有人认为该准则草案必须反映这一问题。还有意见认为，应在准则草案中进一步阐述</w:t>
      </w:r>
      <w:r w:rsidRPr="00BF42B7">
        <w:rPr>
          <w:rFonts w:ascii="Time New Roman" w:hAnsi="Time New Roman" w:hint="eastAsia"/>
          <w:lang w:val="en-GB"/>
        </w:rPr>
        <w:t>1969</w:t>
      </w:r>
      <w:r w:rsidRPr="00BF42B7">
        <w:rPr>
          <w:rFonts w:ascii="Time New Roman" w:hAnsi="Time New Roman" w:hint="eastAsia"/>
          <w:lang w:val="en-GB"/>
        </w:rPr>
        <w:t>年《维也纳公约》第四十六条，仅在一不妨碍条款中提及该条是不够的。因此，该准则草案应当论及类似第二十七条的情况，又论及类似第四十六条的情况。</w:t>
      </w:r>
    </w:p>
    <w:p w:rsidR="00813081" w:rsidRPr="00BF42B7" w:rsidRDefault="00813081" w:rsidP="00813081">
      <w:pPr>
        <w:pStyle w:val="SingleTxtGC"/>
        <w:rPr>
          <w:rFonts w:ascii="Time New Roman" w:hAnsi="Time New Roman" w:hint="eastAsia"/>
          <w:lang w:val="en-GB"/>
        </w:rPr>
      </w:pPr>
      <w:r w:rsidRPr="00BF42B7">
        <w:rPr>
          <w:rFonts w:ascii="Time New Roman" w:hAnsi="Time New Roman" w:hint="eastAsia"/>
          <w:lang w:val="en-GB"/>
        </w:rPr>
        <w:t xml:space="preserve">285.  </w:t>
      </w:r>
      <w:r w:rsidRPr="00BF42B7">
        <w:rPr>
          <w:rFonts w:ascii="Time New Roman" w:hAnsi="Time New Roman" w:hint="eastAsia"/>
          <w:lang w:val="en-GB"/>
        </w:rPr>
        <w:t>一些委员认为，准则草案</w:t>
      </w:r>
      <w:r w:rsidRPr="00BF42B7">
        <w:rPr>
          <w:rFonts w:ascii="Time New Roman" w:hAnsi="Time New Roman" w:hint="eastAsia"/>
          <w:lang w:val="en-GB"/>
        </w:rPr>
        <w:t>10</w:t>
      </w:r>
      <w:r w:rsidRPr="00BF42B7">
        <w:rPr>
          <w:rFonts w:ascii="Time New Roman" w:hAnsi="Time New Roman" w:hint="eastAsia"/>
          <w:lang w:val="en-GB"/>
        </w:rPr>
        <w:t>试图将</w:t>
      </w:r>
      <w:r w:rsidRPr="00BF42B7">
        <w:rPr>
          <w:rFonts w:ascii="Time New Roman" w:hAnsi="Time New Roman" w:hint="eastAsia"/>
          <w:lang w:val="en-GB"/>
        </w:rPr>
        <w:t>1969</w:t>
      </w:r>
      <w:r w:rsidRPr="00BF42B7">
        <w:rPr>
          <w:rFonts w:ascii="Time New Roman" w:hAnsi="Time New Roman" w:hint="eastAsia"/>
          <w:lang w:val="en-GB"/>
        </w:rPr>
        <w:t>年《维也纳公约》的某些条款纳入准则草案，而更为适宜的做法可能是，拟订一条一般性准则，指明除非暂时适用协定不允许，否则</w:t>
      </w:r>
      <w:r w:rsidRPr="00BF42B7">
        <w:rPr>
          <w:rFonts w:ascii="Time New Roman" w:hAnsi="Time New Roman" w:hint="eastAsia"/>
          <w:lang w:val="en-GB"/>
        </w:rPr>
        <w:t>1969</w:t>
      </w:r>
      <w:r w:rsidRPr="00BF42B7">
        <w:rPr>
          <w:rFonts w:ascii="Time New Roman" w:hAnsi="Time New Roman" w:hint="eastAsia"/>
          <w:lang w:val="en-GB"/>
        </w:rPr>
        <w:t>年《维也纳公约》的条款，只要是相关的，即可适用于暂时适用条约的情况。</w:t>
      </w:r>
    </w:p>
    <w:p w:rsidR="00813081" w:rsidRPr="00BF42B7" w:rsidRDefault="00813081" w:rsidP="000E6A33">
      <w:pPr>
        <w:pStyle w:val="H23GC"/>
        <w:rPr>
          <w:lang w:val="en-GB"/>
        </w:rPr>
      </w:pPr>
      <w:r w:rsidRPr="00BF42B7">
        <w:rPr>
          <w:rFonts w:hint="eastAsia"/>
          <w:lang w:val="en-GB"/>
        </w:rPr>
        <w:tab/>
      </w:r>
      <w:r w:rsidRPr="00BF42B7">
        <w:rPr>
          <w:lang w:val="en-GB"/>
        </w:rPr>
        <w:t>(g)</w:t>
      </w:r>
      <w:r w:rsidRPr="00BF42B7">
        <w:rPr>
          <w:lang w:val="en-GB"/>
        </w:rPr>
        <w:tab/>
      </w:r>
      <w:r w:rsidRPr="00BF42B7">
        <w:rPr>
          <w:rFonts w:hint="eastAsia"/>
          <w:lang w:val="en-GB"/>
        </w:rPr>
        <w:t>关于条约适用的国际组织惯例</w:t>
      </w:r>
    </w:p>
    <w:p w:rsidR="00813081" w:rsidRPr="00BF42B7" w:rsidRDefault="00813081" w:rsidP="00813081">
      <w:pPr>
        <w:pStyle w:val="SingleTxtGC"/>
        <w:rPr>
          <w:rFonts w:ascii="Time New Roman" w:hAnsi="Time New Roman" w:hint="eastAsia"/>
          <w:lang w:val="en-GB"/>
        </w:rPr>
      </w:pPr>
      <w:r w:rsidRPr="00BF42B7">
        <w:rPr>
          <w:rFonts w:ascii="Time New Roman" w:hAnsi="Time New Roman" w:hint="eastAsia"/>
          <w:lang w:val="en-GB"/>
        </w:rPr>
        <w:t xml:space="preserve">286.  </w:t>
      </w:r>
      <w:r w:rsidRPr="00BF42B7">
        <w:rPr>
          <w:rFonts w:ascii="Time New Roman" w:hAnsi="Time New Roman" w:hint="eastAsia"/>
          <w:lang w:val="en-GB"/>
        </w:rPr>
        <w:t>若干委员认为报告中关于国际组织惯例的资料颇有意义。鼓励特别报告员扩充关于区域组织特别是关于非洲联盟的章节，确保采取更具包容性的方法。但也有委员注意到，尚不清楚能从特别报告员提供的资料中得出哪些结论。其他委员认为，所提供的资料与更好地理解国家惯例这一目标相关。还有人指出，报告中讨论了两种非常不同的惯例形式。一些委员认为，虽然关于登记、交存和公布条约所涉及的惯例的资料似乎与本专题无关，但是，一些条约的缔约方为一组织，关于此类条约的资料即具有高度相关性。应当对后一类情况作进一步阐述。在这一方面，一些委员呼吁对以下两种情况进行深入的比较研究：一种情况为涉及各国的条约的暂时适用，另一种情况为涉及国际组织的条约的暂时适用。</w:t>
      </w:r>
    </w:p>
    <w:p w:rsidR="00813081" w:rsidRPr="00BF42B7" w:rsidRDefault="00813081" w:rsidP="00813081">
      <w:pPr>
        <w:pStyle w:val="SingleTxtGC"/>
        <w:rPr>
          <w:rFonts w:ascii="Time New Roman" w:hAnsi="Time New Roman" w:hint="eastAsia"/>
          <w:lang w:val="en-GB"/>
        </w:rPr>
      </w:pPr>
      <w:r w:rsidRPr="00BF42B7">
        <w:rPr>
          <w:rFonts w:ascii="Time New Roman" w:hAnsi="Time New Roman" w:hint="eastAsia"/>
          <w:lang w:val="en-GB"/>
        </w:rPr>
        <w:t xml:space="preserve">287.  </w:t>
      </w:r>
      <w:r w:rsidRPr="00BF42B7">
        <w:rPr>
          <w:rFonts w:ascii="Time New Roman" w:hAnsi="Time New Roman" w:hint="eastAsia"/>
          <w:lang w:val="en-GB"/>
        </w:rPr>
        <w:t>有人提议，应建议修正秘书处在登记和保存职能方面的条例和手册，对此，一些委员提出质疑，认为该事项不属于本专题的范围。虽然有意见认为，这种修正是有价值的，但也有人建议在较后阶段再审议这一问题。</w:t>
      </w:r>
    </w:p>
    <w:p w:rsidR="00813081" w:rsidRPr="00BF42B7" w:rsidRDefault="00813081" w:rsidP="000E6A33">
      <w:pPr>
        <w:pStyle w:val="H23GC"/>
        <w:rPr>
          <w:lang w:val="en-GB"/>
        </w:rPr>
      </w:pPr>
      <w:r w:rsidRPr="00BF42B7">
        <w:rPr>
          <w:rFonts w:hint="eastAsia"/>
          <w:lang w:val="en-GB"/>
        </w:rPr>
        <w:tab/>
      </w:r>
      <w:r w:rsidRPr="00BF42B7">
        <w:rPr>
          <w:lang w:val="en-GB"/>
        </w:rPr>
        <w:t>(h)</w:t>
      </w:r>
      <w:r w:rsidRPr="00BF42B7">
        <w:rPr>
          <w:lang w:val="en-GB"/>
        </w:rPr>
        <w:tab/>
      </w:r>
      <w:r w:rsidRPr="00BF42B7">
        <w:rPr>
          <w:rFonts w:hint="eastAsia"/>
          <w:lang w:val="en-GB"/>
        </w:rPr>
        <w:t>今后的工作</w:t>
      </w:r>
    </w:p>
    <w:p w:rsidR="00813081" w:rsidRPr="00BF42B7" w:rsidRDefault="00813081" w:rsidP="00813081">
      <w:pPr>
        <w:pStyle w:val="SingleTxtGC"/>
        <w:rPr>
          <w:rFonts w:ascii="Time New Roman" w:hAnsi="Time New Roman" w:hint="eastAsia"/>
          <w:lang w:val="en-GB"/>
        </w:rPr>
      </w:pPr>
      <w:r w:rsidRPr="00BF42B7">
        <w:rPr>
          <w:rFonts w:ascii="Time New Roman" w:hAnsi="Time New Roman" w:hint="eastAsia"/>
          <w:lang w:val="en-GB"/>
        </w:rPr>
        <w:t xml:space="preserve">288.  </w:t>
      </w:r>
      <w:r w:rsidRPr="00BF42B7">
        <w:rPr>
          <w:rFonts w:ascii="Time New Roman" w:hAnsi="Time New Roman" w:hint="eastAsia"/>
          <w:lang w:val="en-GB"/>
        </w:rPr>
        <w:t>关于本专题今后的工作，有人建议，为深入理解本专题，必须对规定暂时适用的条款作出详尽讨论。有人注意到，与本专题有关的国家惯例似乎很多，对有关的条约条款进行比较分析可能有助于理解暂时适用，以及暂时适用与充分适用条约之间的关系。另外有人指出，若能比较各协议中规定暂时适用应满足国内法条件的条款，将会尤为有用。</w:t>
      </w:r>
    </w:p>
    <w:p w:rsidR="00813081" w:rsidRPr="00BF42B7" w:rsidRDefault="00813081" w:rsidP="00813081">
      <w:pPr>
        <w:pStyle w:val="SingleTxtGC"/>
        <w:rPr>
          <w:rFonts w:ascii="Time New Roman" w:hAnsi="Time New Roman" w:hint="eastAsia"/>
          <w:lang w:val="en-GB"/>
        </w:rPr>
      </w:pPr>
      <w:r w:rsidRPr="00BF42B7">
        <w:rPr>
          <w:rFonts w:ascii="Time New Roman" w:hAnsi="Time New Roman" w:hint="eastAsia"/>
          <w:lang w:val="en-GB"/>
        </w:rPr>
        <w:t xml:space="preserve">289.  </w:t>
      </w:r>
      <w:r w:rsidRPr="00BF42B7">
        <w:rPr>
          <w:rFonts w:ascii="Time New Roman" w:hAnsi="Time New Roman" w:hint="eastAsia"/>
          <w:lang w:val="en-GB"/>
        </w:rPr>
        <w:t>有意见认为，对于暂时适用与</w:t>
      </w:r>
      <w:r w:rsidRPr="00BF42B7">
        <w:rPr>
          <w:rFonts w:ascii="Time New Roman" w:hAnsi="Time New Roman" w:hint="eastAsia"/>
          <w:lang w:val="en-GB"/>
        </w:rPr>
        <w:t>1969</w:t>
      </w:r>
      <w:r w:rsidRPr="00BF42B7">
        <w:rPr>
          <w:rFonts w:ascii="Time New Roman" w:hAnsi="Time New Roman" w:hint="eastAsia"/>
          <w:lang w:val="en-GB"/>
        </w:rPr>
        <w:t>年《维也纳公约》的其他规定的关系问题，已经进行了分析，今后的工作还应就这些分析得出结论。还有人建议，应在今后的报告中研究各国作出的暂时适用条约的解释性声明以及宣称不暂时适用条约的声明的问题。</w:t>
      </w:r>
    </w:p>
    <w:p w:rsidR="00813081" w:rsidRPr="00BF42B7" w:rsidRDefault="00813081" w:rsidP="00813081">
      <w:pPr>
        <w:pStyle w:val="SingleTxtGC"/>
        <w:rPr>
          <w:rFonts w:ascii="Time New Roman" w:hAnsi="Time New Roman" w:hint="eastAsia"/>
          <w:lang w:val="en-GB"/>
        </w:rPr>
      </w:pPr>
      <w:r w:rsidRPr="00BF42B7">
        <w:rPr>
          <w:rFonts w:ascii="Time New Roman" w:hAnsi="Time New Roman" w:hint="eastAsia"/>
          <w:lang w:val="en-GB"/>
        </w:rPr>
        <w:t xml:space="preserve">290.  </w:t>
      </w:r>
      <w:r w:rsidRPr="00BF42B7">
        <w:rPr>
          <w:rFonts w:ascii="Time New Roman" w:hAnsi="Time New Roman" w:hint="eastAsia"/>
          <w:lang w:val="en-GB"/>
        </w:rPr>
        <w:t>特别报告员提议，应研究维护个人权利的条约的适用问题，对此，有意见认为，应考虑国家惯例，极其谨慎地处理这一事项。</w:t>
      </w:r>
    </w:p>
    <w:p w:rsidR="00813081" w:rsidRPr="00BF42B7" w:rsidRDefault="00813081" w:rsidP="00813081">
      <w:pPr>
        <w:pStyle w:val="SingleTxtGC"/>
        <w:rPr>
          <w:rFonts w:ascii="Time New Roman" w:hAnsi="Time New Roman" w:hint="eastAsia"/>
          <w:lang w:val="en-GB"/>
        </w:rPr>
      </w:pPr>
      <w:r w:rsidRPr="00BF42B7">
        <w:rPr>
          <w:rFonts w:ascii="Time New Roman" w:hAnsi="Time New Roman" w:hint="eastAsia"/>
          <w:lang w:val="en-GB"/>
        </w:rPr>
        <w:t xml:space="preserve">291.  </w:t>
      </w:r>
      <w:r w:rsidRPr="00BF42B7">
        <w:rPr>
          <w:rFonts w:ascii="Time New Roman" w:hAnsi="Time New Roman" w:hint="eastAsia"/>
          <w:lang w:val="en-GB"/>
        </w:rPr>
        <w:t>若干委员对特别报告员准备编写示范条款表示欢迎。但是，也有人提醒，不应试图分析每项条款的含义，这会影响各国在现有条约中已经赋予此类条款的含义。还有人指出，拟订一份示范条款的指示性清单可能更为适宜。</w:t>
      </w:r>
    </w:p>
    <w:p w:rsidR="00813081" w:rsidRPr="00BF42B7" w:rsidRDefault="00813081" w:rsidP="00813081">
      <w:pPr>
        <w:pStyle w:val="H23GC"/>
        <w:rPr>
          <w:lang w:val="en-GB"/>
        </w:rPr>
      </w:pPr>
      <w:r w:rsidRPr="00BF42B7">
        <w:rPr>
          <w:rFonts w:hint="eastAsia"/>
          <w:lang w:val="en-GB"/>
        </w:rPr>
        <w:tab/>
      </w:r>
      <w:r w:rsidRPr="00BF42B7">
        <w:rPr>
          <w:lang w:val="en-GB"/>
        </w:rPr>
        <w:t>3.</w:t>
      </w:r>
      <w:r w:rsidRPr="00BF42B7">
        <w:rPr>
          <w:lang w:val="en-GB"/>
        </w:rPr>
        <w:tab/>
      </w:r>
      <w:r w:rsidRPr="00BF42B7">
        <w:rPr>
          <w:rFonts w:hint="eastAsia"/>
          <w:lang w:val="en-GB"/>
        </w:rPr>
        <w:t>特别报告员的结论性意见</w:t>
      </w:r>
    </w:p>
    <w:p w:rsidR="00813081" w:rsidRPr="00BF42B7" w:rsidRDefault="00813081" w:rsidP="00813081">
      <w:pPr>
        <w:pStyle w:val="SingleTxtGC"/>
        <w:rPr>
          <w:rFonts w:ascii="Time New Roman" w:hAnsi="Time New Roman" w:hint="eastAsia"/>
          <w:spacing w:val="-2"/>
          <w:lang w:val="en-GB"/>
        </w:rPr>
      </w:pPr>
      <w:r w:rsidRPr="00BF42B7">
        <w:rPr>
          <w:rFonts w:ascii="Time New Roman" w:hAnsi="Time New Roman" w:hint="eastAsia"/>
          <w:spacing w:val="-2"/>
          <w:lang w:val="en-GB"/>
        </w:rPr>
        <w:t xml:space="preserve">292.  </w:t>
      </w:r>
      <w:r w:rsidRPr="00BF42B7">
        <w:rPr>
          <w:rFonts w:ascii="Time New Roman" w:hAnsi="Time New Roman" w:hint="eastAsia"/>
          <w:spacing w:val="-2"/>
          <w:lang w:val="en-GB"/>
        </w:rPr>
        <w:t>特别报告员回顾称，早在委员会刚开始审议本专题之时，大多数委员就已经强调，有必要审视</w:t>
      </w:r>
      <w:r w:rsidRPr="00BF42B7">
        <w:rPr>
          <w:rFonts w:ascii="Time New Roman" w:hAnsi="Time New Roman" w:hint="eastAsia"/>
          <w:spacing w:val="-2"/>
          <w:lang w:val="en-GB"/>
        </w:rPr>
        <w:t>1969</w:t>
      </w:r>
      <w:r w:rsidRPr="00BF42B7">
        <w:rPr>
          <w:rFonts w:ascii="Time New Roman" w:hAnsi="Time New Roman" w:hint="eastAsia"/>
          <w:spacing w:val="-2"/>
          <w:lang w:val="en-GB"/>
        </w:rPr>
        <w:t>年《维也纳公约》第二十五条与其他条款的关系。一些委员说明了他们认为与此目的相关的条款，包括第四十六和第六十条。当时认为，这种分析有助于更清楚地理解暂时适用制度。特别报告员正是以此为基础编写了第四次报告。他表示，将在第五次报告中完成这一工作，他可能在该次报告中论及暂时适用与</w:t>
      </w:r>
      <w:r w:rsidRPr="00BF42B7">
        <w:rPr>
          <w:rFonts w:ascii="Time New Roman" w:hAnsi="Time New Roman" w:hint="eastAsia"/>
          <w:spacing w:val="-2"/>
          <w:lang w:val="en-GB"/>
        </w:rPr>
        <w:t>1969</w:t>
      </w:r>
      <w:r w:rsidRPr="00BF42B7">
        <w:rPr>
          <w:rFonts w:ascii="Time New Roman" w:hAnsi="Time New Roman" w:hint="eastAsia"/>
          <w:spacing w:val="-2"/>
          <w:lang w:val="en-GB"/>
        </w:rPr>
        <w:t>年《维也纳公约》关于条约与第三国的第三十四条的关系。他不打算为研究的每一条《公约》条款都提出一条准则草案，但他强调，这些报告作为一个整体将有助于更好地理解哪些条款与暂时适用制度最为相关，并最终说明施行第二十五条的更广泛的背景。</w:t>
      </w:r>
    </w:p>
    <w:p w:rsidR="00813081" w:rsidRPr="00BF42B7" w:rsidRDefault="00813081" w:rsidP="00813081">
      <w:pPr>
        <w:pStyle w:val="SingleTxtGC"/>
        <w:rPr>
          <w:rFonts w:ascii="Time New Roman" w:hAnsi="Time New Roman" w:hint="eastAsia"/>
          <w:lang w:val="en-GB"/>
        </w:rPr>
      </w:pPr>
      <w:r w:rsidRPr="00BF42B7">
        <w:rPr>
          <w:rFonts w:ascii="Time New Roman" w:hAnsi="Time New Roman" w:hint="eastAsia"/>
          <w:lang w:val="en-GB"/>
        </w:rPr>
        <w:t xml:space="preserve">293.  </w:t>
      </w:r>
      <w:r w:rsidRPr="00BF42B7">
        <w:rPr>
          <w:rFonts w:ascii="Time New Roman" w:hAnsi="Time New Roman" w:hint="eastAsia"/>
          <w:lang w:val="en-GB"/>
        </w:rPr>
        <w:t>特别报告员注意到，若干委员强调了本专题对各国的实用价值。他同意，应当系统地处理本专题，但他认为在拟订本专题的过程中必须考虑并反映各国的意见和具体提议。</w:t>
      </w:r>
    </w:p>
    <w:p w:rsidR="00813081" w:rsidRPr="00BF42B7" w:rsidRDefault="00813081" w:rsidP="00813081">
      <w:pPr>
        <w:pStyle w:val="SingleTxtGC"/>
        <w:rPr>
          <w:rFonts w:ascii="Time New Roman" w:hAnsi="Time New Roman" w:hint="eastAsia"/>
          <w:lang w:val="en-GB"/>
        </w:rPr>
      </w:pPr>
      <w:r w:rsidRPr="00BF42B7">
        <w:rPr>
          <w:rFonts w:ascii="Time New Roman" w:hAnsi="Time New Roman" w:hint="eastAsia"/>
          <w:lang w:val="en-GB"/>
        </w:rPr>
        <w:t xml:space="preserve">294.  </w:t>
      </w:r>
      <w:r w:rsidRPr="00BF42B7">
        <w:rPr>
          <w:rFonts w:ascii="Time New Roman" w:hAnsi="Time New Roman" w:hint="eastAsia"/>
          <w:lang w:val="en-GB"/>
        </w:rPr>
        <w:t>特别报告员不同意第二十五条可构成一项完备制度的意见，因为这一论点可能对国际法普遍性的概念产生不利影响，并限制已确认的暂时适用所具备的法律效力。委员会不应将本专题作为特别法处理。如果确认条约在被暂时适用时与生效时具有相同的法律效力</w:t>
      </w:r>
      <w:r w:rsidRPr="00BF42B7">
        <w:rPr>
          <w:rFonts w:ascii="Time New Roman" w:hAnsi="Time New Roman" w:hint="eastAsia"/>
          <w:lang w:val="en-GB"/>
        </w:rPr>
        <w:t>(</w:t>
      </w:r>
      <w:r w:rsidRPr="00BF42B7">
        <w:rPr>
          <w:rFonts w:ascii="Time New Roman" w:hAnsi="Time New Roman" w:hint="eastAsia"/>
          <w:lang w:val="en-GB"/>
        </w:rPr>
        <w:t>这一点曾得到承认</w:t>
      </w:r>
      <w:r w:rsidRPr="00BF42B7">
        <w:rPr>
          <w:rFonts w:ascii="Time New Roman" w:hAnsi="Time New Roman" w:hint="eastAsia"/>
          <w:lang w:val="en-GB"/>
        </w:rPr>
        <w:t>)</w:t>
      </w:r>
      <w:r w:rsidRPr="00BF42B7">
        <w:rPr>
          <w:rFonts w:ascii="Time New Roman" w:hAnsi="Time New Roman" w:hint="eastAsia"/>
          <w:lang w:val="en-GB"/>
        </w:rPr>
        <w:t>，则必须确认在具体情况下适用的一般性国际法规则，从而向各国提供指导。在这方面，特别报告员感兴趣的提议是，拟订一条一般性准则草案，规定</w:t>
      </w:r>
      <w:r w:rsidRPr="00BF42B7">
        <w:rPr>
          <w:rFonts w:ascii="Time New Roman" w:hAnsi="Time New Roman" w:hint="eastAsia"/>
          <w:lang w:val="en-GB"/>
        </w:rPr>
        <w:t>1969</w:t>
      </w:r>
      <w:r w:rsidRPr="00BF42B7">
        <w:rPr>
          <w:rFonts w:ascii="Time New Roman" w:hAnsi="Time New Roman" w:hint="eastAsia"/>
          <w:lang w:val="en-GB"/>
        </w:rPr>
        <w:t>年《维也纳公约》比照适用于暂时适用的条约。</w:t>
      </w:r>
    </w:p>
    <w:p w:rsidR="00813081" w:rsidRPr="00BF42B7" w:rsidRDefault="00813081" w:rsidP="00813081">
      <w:pPr>
        <w:pStyle w:val="SingleTxtGC"/>
        <w:rPr>
          <w:rFonts w:ascii="Time New Roman" w:hAnsi="Time New Roman" w:hint="eastAsia"/>
          <w:lang w:val="en-GB"/>
        </w:rPr>
      </w:pPr>
      <w:r w:rsidRPr="00BF42B7">
        <w:rPr>
          <w:rFonts w:ascii="Time New Roman" w:hAnsi="Time New Roman" w:hint="eastAsia"/>
          <w:lang w:val="en-GB"/>
        </w:rPr>
        <w:t xml:space="preserve">295.  </w:t>
      </w:r>
      <w:r w:rsidRPr="00BF42B7">
        <w:rPr>
          <w:rFonts w:ascii="Time New Roman" w:hAnsi="Time New Roman" w:hint="eastAsia"/>
          <w:lang w:val="en-GB"/>
        </w:rPr>
        <w:t>特别报告员还指出，在审议本专题时，曾允许通过类比得出结论，他说这是由于惯例缺少或不得而知。这种方法并不罕见。</w:t>
      </w:r>
    </w:p>
    <w:p w:rsidR="00813081" w:rsidRPr="00BF42B7" w:rsidRDefault="00813081" w:rsidP="00813081">
      <w:pPr>
        <w:pStyle w:val="SingleTxtGC"/>
        <w:rPr>
          <w:rFonts w:ascii="Time New Roman" w:hAnsi="Time New Roman" w:hint="eastAsia"/>
          <w:lang w:val="en-GB"/>
        </w:rPr>
      </w:pPr>
      <w:r w:rsidRPr="00BF42B7">
        <w:rPr>
          <w:rFonts w:ascii="Time New Roman" w:hAnsi="Time New Roman" w:hint="eastAsia"/>
          <w:lang w:val="en-GB"/>
        </w:rPr>
        <w:t xml:space="preserve">296.  </w:t>
      </w:r>
      <w:r w:rsidRPr="00BF42B7">
        <w:rPr>
          <w:rFonts w:ascii="Time New Roman" w:hAnsi="Time New Roman" w:hint="eastAsia"/>
          <w:lang w:val="en-GB"/>
        </w:rPr>
        <w:t>特别报告员完全同意，对规定暂时适用的条约进行比较分析会有所裨益，但他回顾，自己在获取相关资料的过程中遇有许多困难。他详细介绍了法律事务厅条约科在这方面提供的资料的作用。他解释称，条约科不得不开发一个专门的工具来搜索识别包含暂时适用条款的条约，但他澄清说，这种资料并不对外界用户开放。他同时强调，由于《条约汇编》搜索条件的局限，要想识别出暂时适用方面的所有行动是非常困难的。第四次报告所载资料的附加值在于，这些资料证明有许多条约显然包含了暂时适用条款，并载有暂时适用方面的各种行动；与此同时，这些资料也显示了获取此类资料的难度。这就是为什么一直无法掌握有关这一主题的惯例情况的原因。</w:t>
      </w:r>
    </w:p>
    <w:p w:rsidR="00813081" w:rsidRPr="00BF42B7" w:rsidRDefault="00813081" w:rsidP="00813081">
      <w:pPr>
        <w:pStyle w:val="SingleTxtGC"/>
        <w:rPr>
          <w:rFonts w:ascii="Time New Roman" w:hAnsi="Time New Roman" w:hint="eastAsia"/>
          <w:lang w:val="en-GB"/>
        </w:rPr>
      </w:pPr>
      <w:r w:rsidRPr="00BF42B7">
        <w:rPr>
          <w:rFonts w:ascii="Time New Roman" w:hAnsi="Time New Roman" w:hint="eastAsia"/>
          <w:lang w:val="en-GB"/>
        </w:rPr>
        <w:t xml:space="preserve">297.  </w:t>
      </w:r>
      <w:r w:rsidRPr="00BF42B7">
        <w:rPr>
          <w:rFonts w:ascii="Time New Roman" w:hAnsi="Time New Roman" w:hint="eastAsia"/>
          <w:lang w:val="en-GB"/>
        </w:rPr>
        <w:t>特别报告员进而强调，委员会似乎忽视了以下事实，即条约登记条例、《联合国各机关惯例汇编》</w:t>
      </w:r>
      <w:r w:rsidRPr="00BF42B7">
        <w:rPr>
          <w:color w:val="0000FF"/>
          <w:vertAlign w:val="superscript"/>
          <w:lang w:val="en-GB"/>
        </w:rPr>
        <w:footnoteReference w:id="1461"/>
      </w:r>
      <w:r w:rsidRPr="00BF42B7">
        <w:rPr>
          <w:rFonts w:ascii="Time New Roman" w:hAnsi="Time New Roman" w:hint="eastAsia"/>
          <w:lang w:val="en-GB"/>
        </w:rPr>
        <w:t xml:space="preserve"> </w:t>
      </w:r>
      <w:r w:rsidRPr="00BF42B7">
        <w:rPr>
          <w:rFonts w:ascii="Time New Roman" w:hAnsi="Time New Roman" w:hint="eastAsia"/>
          <w:lang w:val="en-GB"/>
        </w:rPr>
        <w:t>以及条约法与惯例手册</w:t>
      </w:r>
      <w:r w:rsidRPr="00BF42B7">
        <w:rPr>
          <w:color w:val="0000FF"/>
          <w:vertAlign w:val="superscript"/>
          <w:lang w:val="en-GB"/>
        </w:rPr>
        <w:footnoteReference w:id="1462"/>
      </w:r>
      <w:r w:rsidRPr="00BF42B7">
        <w:rPr>
          <w:rFonts w:ascii="Time New Roman" w:hAnsi="Time New Roman" w:hint="eastAsia"/>
          <w:lang w:val="en-GB"/>
        </w:rPr>
        <w:t xml:space="preserve"> </w:t>
      </w:r>
      <w:r w:rsidRPr="00BF42B7">
        <w:rPr>
          <w:rFonts w:ascii="Time New Roman" w:hAnsi="Time New Roman" w:hint="eastAsia"/>
          <w:lang w:val="en-GB"/>
        </w:rPr>
        <w:t>不是在第二十五条所建立的法律制度，而是在</w:t>
      </w:r>
      <w:r w:rsidRPr="00BF42B7">
        <w:rPr>
          <w:rFonts w:ascii="Time New Roman" w:hAnsi="Time New Roman" w:hint="eastAsia"/>
          <w:lang w:val="en-GB"/>
        </w:rPr>
        <w:t>1969</w:t>
      </w:r>
      <w:r w:rsidRPr="00BF42B7">
        <w:rPr>
          <w:rFonts w:ascii="Time New Roman" w:hAnsi="Time New Roman" w:hint="eastAsia"/>
          <w:lang w:val="en-GB"/>
        </w:rPr>
        <w:t>年《维也纳公约》诞生之前就存在的标准基础上制定的。这对各国的惯例产生了影响，因为各国在提到暂时适用时是以这些文件作为指引的。此外，条约科应各国请求向其提供的建议也遵循这些标准，从而有可能对各国产生误导。因此，国家惯例很可能偏离第二十五条所建立的法律制度。</w:t>
      </w:r>
    </w:p>
    <w:p w:rsidR="00813081" w:rsidRPr="00BF42B7" w:rsidRDefault="00813081" w:rsidP="00813081">
      <w:pPr>
        <w:pStyle w:val="SingleTxtGC"/>
        <w:rPr>
          <w:rFonts w:ascii="Time New Roman" w:hAnsi="Time New Roman" w:hint="eastAsia"/>
          <w:lang w:val="en-GB"/>
        </w:rPr>
      </w:pPr>
      <w:r w:rsidRPr="00BF42B7">
        <w:rPr>
          <w:rFonts w:ascii="Time New Roman" w:hAnsi="Time New Roman" w:hint="eastAsia"/>
          <w:lang w:val="en-GB"/>
        </w:rPr>
        <w:t xml:space="preserve">298.  </w:t>
      </w:r>
      <w:r w:rsidRPr="00BF42B7">
        <w:rPr>
          <w:rFonts w:ascii="Time New Roman" w:hAnsi="Time New Roman" w:hint="eastAsia"/>
          <w:lang w:val="en-GB"/>
        </w:rPr>
        <w:t>关于反映区域组织惯例的资料，特别报告员同意，有必要扩充这一章节以加入非洲联盟的资料。</w:t>
      </w:r>
    </w:p>
    <w:p w:rsidR="00813081" w:rsidRPr="00BF42B7" w:rsidRDefault="00813081" w:rsidP="00813081">
      <w:pPr>
        <w:pStyle w:val="SingleTxtGC"/>
        <w:rPr>
          <w:rFonts w:ascii="Time New Roman" w:hAnsi="Time New Roman" w:hint="eastAsia"/>
          <w:lang w:val="en-GB"/>
        </w:rPr>
      </w:pPr>
      <w:r w:rsidRPr="00BF42B7">
        <w:rPr>
          <w:rFonts w:ascii="Time New Roman" w:hAnsi="Time New Roman" w:hint="eastAsia"/>
          <w:lang w:val="en-GB"/>
        </w:rPr>
        <w:t xml:space="preserve">299.  </w:t>
      </w:r>
      <w:r w:rsidRPr="00BF42B7">
        <w:rPr>
          <w:rFonts w:ascii="Time New Roman" w:hAnsi="Time New Roman" w:hint="eastAsia"/>
          <w:lang w:val="en-GB"/>
        </w:rPr>
        <w:t>关于保留方面的讨论，特别报告员重申，他在辩论和研究中均未见过任何条款明确论及拟订一项关于暂时适用的保留的可能性。虽然辩论期间提到的一些例子值得进一步研究，但他认为其他例子本身不属于保留。他还重申，关于保留的指南没有提到暂时适用，而准则</w:t>
      </w:r>
      <w:r w:rsidRPr="00BF42B7">
        <w:rPr>
          <w:rFonts w:ascii="Time New Roman" w:hAnsi="Time New Roman" w:hint="eastAsia"/>
          <w:lang w:val="en-GB"/>
        </w:rPr>
        <w:t>2.2.2</w:t>
      </w:r>
      <w:r w:rsidRPr="00BF42B7">
        <w:rPr>
          <w:rFonts w:ascii="Time New Roman" w:hAnsi="Time New Roman" w:hint="eastAsia"/>
          <w:lang w:val="en-GB"/>
        </w:rPr>
        <w:t>的评注第</w:t>
      </w:r>
      <w:r w:rsidRPr="00BF42B7">
        <w:rPr>
          <w:rFonts w:ascii="Time New Roman" w:hAnsi="Time New Roman" w:hint="eastAsia"/>
          <w:lang w:val="en-GB"/>
        </w:rPr>
        <w:t>(5)</w:t>
      </w:r>
      <w:r w:rsidRPr="00BF42B7">
        <w:rPr>
          <w:rFonts w:ascii="Time New Roman" w:hAnsi="Time New Roman" w:hint="eastAsia"/>
          <w:lang w:val="en-GB"/>
        </w:rPr>
        <w:t>段只是模糊地谈到了这一问题，将之视作一种假设的可能性，而没有提到这方面的任何惯例。</w:t>
      </w:r>
    </w:p>
    <w:p w:rsidR="00813081" w:rsidRPr="00463C13" w:rsidRDefault="00813081" w:rsidP="00813081">
      <w:pPr>
        <w:pStyle w:val="SingleTxtGC"/>
        <w:rPr>
          <w:rFonts w:ascii="Time New Roman" w:hAnsi="Time New Roman" w:hint="eastAsia"/>
          <w:spacing w:val="2"/>
          <w:lang w:val="en-GB"/>
        </w:rPr>
      </w:pPr>
      <w:r w:rsidRPr="00BF42B7">
        <w:rPr>
          <w:rFonts w:ascii="Time New Roman" w:hAnsi="Time New Roman" w:hint="eastAsia"/>
          <w:lang w:val="en-GB"/>
        </w:rPr>
        <w:t>300</w:t>
      </w:r>
      <w:r w:rsidRPr="00463C13">
        <w:rPr>
          <w:rFonts w:ascii="Time New Roman" w:hAnsi="Time New Roman" w:hint="eastAsia"/>
          <w:spacing w:val="2"/>
          <w:lang w:val="en-GB"/>
        </w:rPr>
        <w:t xml:space="preserve">.  </w:t>
      </w:r>
      <w:r w:rsidRPr="00463C13">
        <w:rPr>
          <w:rFonts w:ascii="Time New Roman" w:hAnsi="Time New Roman" w:hint="eastAsia"/>
          <w:lang w:val="en-GB"/>
        </w:rPr>
        <w:t>特别报告员重申，</w:t>
      </w:r>
      <w:r w:rsidRPr="00463C13">
        <w:rPr>
          <w:rFonts w:ascii="Time New Roman" w:hAnsi="Time New Roman" w:hint="eastAsia"/>
          <w:lang w:val="en-GB"/>
        </w:rPr>
        <w:t>1969</w:t>
      </w:r>
      <w:r w:rsidRPr="00463C13">
        <w:rPr>
          <w:rFonts w:ascii="Time New Roman" w:hAnsi="Time New Roman" w:hint="eastAsia"/>
          <w:lang w:val="en-GB"/>
        </w:rPr>
        <w:t>年《维也纳公约》第二十七和第四十六条在提及各国的国内法时其实提到了两个不同的方面，但这两条产生了一种互补的制度。他随之赞同一些委员提出的在准则草案中反映第二十七和第四十六条的意见，并指出这就是他编写准则草案</w:t>
      </w:r>
      <w:r w:rsidRPr="00463C13">
        <w:rPr>
          <w:rFonts w:ascii="Time New Roman" w:hAnsi="Time New Roman" w:hint="eastAsia"/>
          <w:lang w:val="en-GB"/>
        </w:rPr>
        <w:t>10</w:t>
      </w:r>
      <w:r w:rsidRPr="00463C13">
        <w:rPr>
          <w:rFonts w:ascii="Time New Roman" w:hAnsi="Time New Roman" w:hint="eastAsia"/>
          <w:lang w:val="en-GB"/>
        </w:rPr>
        <w:t>的意图所在。此外，他还同意，今后的</w:t>
      </w:r>
      <w:r w:rsidRPr="00463C13">
        <w:rPr>
          <w:rFonts w:ascii="Time New Roman" w:hAnsi="Time New Roman" w:hint="eastAsia"/>
          <w:spacing w:val="2"/>
          <w:lang w:val="en-GB"/>
        </w:rPr>
        <w:t>准则草案应论及以下这种情况，即暂时适用条约的协定因提及国内法而限制了暂时适用的情况。</w:t>
      </w:r>
    </w:p>
    <w:p w:rsidR="00813081" w:rsidRPr="00BF42B7" w:rsidRDefault="00813081" w:rsidP="00813081">
      <w:pPr>
        <w:pStyle w:val="SingleTxtGC"/>
        <w:rPr>
          <w:rFonts w:ascii="Time New Roman" w:hAnsi="Time New Roman" w:hint="eastAsia"/>
          <w:lang w:val="en-GB"/>
        </w:rPr>
      </w:pPr>
      <w:r w:rsidRPr="00BF42B7">
        <w:rPr>
          <w:rFonts w:ascii="Time New Roman" w:hAnsi="Time New Roman"/>
          <w:lang w:val="en-GB"/>
        </w:rPr>
        <w:br w:type="page"/>
      </w:r>
    </w:p>
    <w:p w:rsidR="00813081" w:rsidRPr="00BF42B7" w:rsidRDefault="00813081" w:rsidP="00463C13">
      <w:pPr>
        <w:pStyle w:val="HChGC"/>
        <w:rPr>
          <w:lang w:val="en-GB"/>
        </w:rPr>
      </w:pPr>
      <w:r w:rsidRPr="00BF42B7">
        <w:rPr>
          <w:lang w:val="en-GB"/>
        </w:rPr>
        <w:tab/>
      </w:r>
      <w:r w:rsidRPr="00BF42B7">
        <w:rPr>
          <w:lang w:val="en-GB"/>
        </w:rPr>
        <w:tab/>
      </w:r>
      <w:r w:rsidRPr="00BF42B7">
        <w:rPr>
          <w:rFonts w:hint="eastAsia"/>
          <w:lang w:val="en-GB"/>
        </w:rPr>
        <w:t>第十三章</w:t>
      </w:r>
      <w:r w:rsidRPr="00BF42B7">
        <w:rPr>
          <w:lang w:val="en-GB"/>
        </w:rPr>
        <w:br/>
      </w:r>
      <w:r w:rsidRPr="00BF42B7">
        <w:rPr>
          <w:rFonts w:hint="eastAsia"/>
          <w:lang w:val="en-GB"/>
        </w:rPr>
        <w:t>委员会的其他决定和结论</w:t>
      </w:r>
    </w:p>
    <w:p w:rsidR="00813081" w:rsidRPr="00BF42B7" w:rsidRDefault="00813081" w:rsidP="00813081">
      <w:pPr>
        <w:pStyle w:val="H1GC"/>
      </w:pPr>
      <w:r w:rsidRPr="00BF42B7">
        <w:tab/>
      </w:r>
      <w:r w:rsidRPr="003D448F">
        <w:rPr>
          <w:rFonts w:ascii="Time New Roman" w:eastAsia="宋体" w:hAnsi="Time New Roman"/>
          <w:bCs/>
        </w:rPr>
        <w:t>A.</w:t>
      </w:r>
      <w:r w:rsidRPr="003D448F">
        <w:rPr>
          <w:rFonts w:ascii="Time New Roman" w:eastAsia="宋体" w:hAnsi="Time New Roman" w:hint="eastAsia"/>
          <w:bCs/>
        </w:rPr>
        <w:tab/>
      </w:r>
      <w:r w:rsidRPr="00BF42B7">
        <w:t>委员会请秘书处就委员会议程上的两个专题编写研究报告</w:t>
      </w:r>
    </w:p>
    <w:p w:rsidR="00813081" w:rsidRPr="00BF42B7" w:rsidRDefault="00813081" w:rsidP="00813081">
      <w:pPr>
        <w:pStyle w:val="SingleTxtGC"/>
        <w:rPr>
          <w:rFonts w:ascii="Time New Roman" w:hAnsi="Time New Roman" w:hint="eastAsia"/>
        </w:rPr>
      </w:pPr>
      <w:r w:rsidRPr="00BF42B7">
        <w:rPr>
          <w:rFonts w:ascii="Time New Roman" w:hAnsi="Time New Roman" w:hint="eastAsia"/>
        </w:rPr>
        <w:t>30</w:t>
      </w:r>
      <w:r w:rsidRPr="00BF42B7">
        <w:rPr>
          <w:rFonts w:ascii="Time New Roman" w:hAnsi="Time New Roman"/>
        </w:rPr>
        <w:t>1.</w:t>
      </w:r>
      <w:r w:rsidRPr="00BF42B7">
        <w:rPr>
          <w:rFonts w:ascii="Time New Roman" w:hAnsi="Time New Roman" w:hint="eastAsia"/>
        </w:rPr>
        <w:t xml:space="preserve">  </w:t>
      </w:r>
      <w:r w:rsidRPr="00BF42B7">
        <w:rPr>
          <w:rFonts w:ascii="Time New Roman" w:hAnsi="Time New Roman"/>
        </w:rPr>
        <w:t>在</w:t>
      </w:r>
      <w:r w:rsidRPr="00BF42B7">
        <w:rPr>
          <w:rFonts w:ascii="Time New Roman" w:hAnsi="Time New Roman"/>
        </w:rPr>
        <w:t>2016</w:t>
      </w:r>
      <w:r w:rsidRPr="00BF42B7">
        <w:rPr>
          <w:rFonts w:ascii="Time New Roman" w:hAnsi="Time New Roman"/>
        </w:rPr>
        <w:t>年</w:t>
      </w:r>
      <w:r w:rsidRPr="00BF42B7">
        <w:rPr>
          <w:rFonts w:ascii="Time New Roman" w:hAnsi="Time New Roman"/>
        </w:rPr>
        <w:t>5</w:t>
      </w:r>
      <w:r w:rsidRPr="00BF42B7">
        <w:rPr>
          <w:rFonts w:ascii="Time New Roman" w:hAnsi="Time New Roman"/>
        </w:rPr>
        <w:t>月</w:t>
      </w:r>
      <w:r w:rsidRPr="00BF42B7">
        <w:rPr>
          <w:rFonts w:ascii="Time New Roman" w:hAnsi="Time New Roman"/>
        </w:rPr>
        <w:t>24</w:t>
      </w:r>
      <w:r w:rsidRPr="00BF42B7">
        <w:rPr>
          <w:rFonts w:ascii="Time New Roman" w:hAnsi="Time New Roman"/>
        </w:rPr>
        <w:t>日第</w:t>
      </w:r>
      <w:r w:rsidRPr="00BF42B7">
        <w:rPr>
          <w:rFonts w:ascii="Time New Roman" w:hAnsi="Time New Roman"/>
        </w:rPr>
        <w:t>3303</w:t>
      </w:r>
      <w:r w:rsidRPr="00BF42B7">
        <w:rPr>
          <w:rFonts w:ascii="Time New Roman" w:hAnsi="Time New Roman"/>
        </w:rPr>
        <w:t>次会议上，委员会决定请秘书处编写一份备忘录，说明以何方式和方法能使习惯国际法的证据更容易获得。备忘录将调查习惯国际法的证据的现状，并提出改进建议。</w:t>
      </w:r>
    </w:p>
    <w:p w:rsidR="00813081" w:rsidRPr="00BF42B7" w:rsidRDefault="00813081" w:rsidP="00813081">
      <w:pPr>
        <w:pStyle w:val="SingleTxtGC"/>
        <w:rPr>
          <w:rFonts w:ascii="Time New Roman" w:hAnsi="Time New Roman" w:hint="eastAsia"/>
        </w:rPr>
      </w:pPr>
      <w:r w:rsidRPr="00BF42B7">
        <w:rPr>
          <w:rFonts w:ascii="Time New Roman" w:hAnsi="Time New Roman" w:hint="eastAsia"/>
        </w:rPr>
        <w:t>30</w:t>
      </w:r>
      <w:r w:rsidRPr="00BF42B7">
        <w:rPr>
          <w:rFonts w:ascii="Time New Roman" w:hAnsi="Time New Roman"/>
        </w:rPr>
        <w:t>2.</w:t>
      </w:r>
      <w:r w:rsidRPr="00BF42B7">
        <w:rPr>
          <w:rFonts w:ascii="Time New Roman" w:hAnsi="Time New Roman" w:hint="eastAsia"/>
        </w:rPr>
        <w:t xml:space="preserve">  </w:t>
      </w:r>
      <w:r w:rsidRPr="00BF42B7">
        <w:rPr>
          <w:rFonts w:ascii="Time New Roman" w:hAnsi="Time New Roman"/>
        </w:rPr>
        <w:t>在</w:t>
      </w:r>
      <w:r w:rsidRPr="00BF42B7">
        <w:rPr>
          <w:rFonts w:ascii="Time New Roman" w:hAnsi="Time New Roman"/>
        </w:rPr>
        <w:t>2016</w:t>
      </w:r>
      <w:r w:rsidRPr="00BF42B7">
        <w:rPr>
          <w:rFonts w:ascii="Time New Roman" w:hAnsi="Time New Roman"/>
        </w:rPr>
        <w:t>年</w:t>
      </w:r>
      <w:r w:rsidRPr="00BF42B7">
        <w:rPr>
          <w:rFonts w:ascii="Time New Roman" w:hAnsi="Time New Roman"/>
        </w:rPr>
        <w:t>8</w:t>
      </w:r>
      <w:r w:rsidRPr="00BF42B7">
        <w:rPr>
          <w:rFonts w:ascii="Time New Roman" w:hAnsi="Time New Roman"/>
        </w:rPr>
        <w:t>月</w:t>
      </w:r>
      <w:r w:rsidRPr="00BF42B7">
        <w:rPr>
          <w:rFonts w:ascii="Time New Roman" w:hAnsi="Time New Roman" w:hint="eastAsia"/>
        </w:rPr>
        <w:t>12</w:t>
      </w:r>
      <w:r w:rsidRPr="00BF42B7">
        <w:rPr>
          <w:rFonts w:ascii="Time New Roman" w:hAnsi="Time New Roman"/>
        </w:rPr>
        <w:t>日第</w:t>
      </w:r>
      <w:r w:rsidRPr="00BF42B7">
        <w:rPr>
          <w:rFonts w:ascii="Time New Roman" w:hAnsi="Time New Roman" w:hint="eastAsia"/>
        </w:rPr>
        <w:t>3347</w:t>
      </w:r>
      <w:r w:rsidRPr="00BF42B7">
        <w:rPr>
          <w:rFonts w:ascii="Time New Roman" w:hAnsi="Time New Roman"/>
        </w:rPr>
        <w:t>次会议上，委员会决定请秘书处编写一份备忘录，分析与过去</w:t>
      </w:r>
      <w:r w:rsidRPr="00BF42B7">
        <w:rPr>
          <w:rFonts w:ascii="Time New Roman" w:hAnsi="Time New Roman"/>
        </w:rPr>
        <w:t>20</w:t>
      </w:r>
      <w:r w:rsidRPr="00BF42B7">
        <w:rPr>
          <w:rFonts w:ascii="Time New Roman" w:hAnsi="Time New Roman"/>
        </w:rPr>
        <w:t>年向秘书长交存或登记的对暂时适用作了规定的</w:t>
      </w:r>
      <w:r w:rsidRPr="00BF42B7">
        <w:rPr>
          <w:rFonts w:ascii="Time New Roman" w:hAnsi="Time New Roman"/>
        </w:rPr>
        <w:t>(</w:t>
      </w:r>
      <w:r w:rsidRPr="00BF42B7">
        <w:rPr>
          <w:rFonts w:ascii="Time New Roman" w:hAnsi="Time New Roman"/>
        </w:rPr>
        <w:t>双边和多边</w:t>
      </w:r>
      <w:r w:rsidRPr="00BF42B7">
        <w:rPr>
          <w:rFonts w:ascii="Time New Roman" w:hAnsi="Time New Roman"/>
        </w:rPr>
        <w:t>)</w:t>
      </w:r>
      <w:r w:rsidRPr="00BF42B7">
        <w:rPr>
          <w:rFonts w:ascii="Time New Roman" w:hAnsi="Time New Roman"/>
        </w:rPr>
        <w:t>条约有关的国家实践，包括与这些条约有关的条约行动。</w:t>
      </w:r>
    </w:p>
    <w:p w:rsidR="00813081" w:rsidRPr="00BF42B7" w:rsidRDefault="00813081" w:rsidP="00813081">
      <w:pPr>
        <w:pStyle w:val="H1GC"/>
        <w:rPr>
          <w:b/>
          <w:lang w:val="en-GB"/>
        </w:rPr>
      </w:pPr>
      <w:bookmarkStart w:id="356" w:name="_Toc427938162"/>
      <w:r w:rsidRPr="00852022">
        <w:rPr>
          <w:bCs/>
          <w:lang w:val="en-GB"/>
        </w:rPr>
        <w:tab/>
        <w:t>B.</w:t>
      </w:r>
      <w:r w:rsidRPr="00852022">
        <w:rPr>
          <w:bCs/>
          <w:lang w:val="en-GB"/>
        </w:rPr>
        <w:tab/>
      </w:r>
      <w:bookmarkEnd w:id="356"/>
      <w:r w:rsidRPr="00BF42B7">
        <w:rPr>
          <w:lang w:val="en-GB"/>
        </w:rPr>
        <w:t>委员会的方案、程序和工作方法以及文件</w:t>
      </w:r>
    </w:p>
    <w:p w:rsidR="00813081" w:rsidRPr="00BF42B7" w:rsidRDefault="00813081" w:rsidP="00463C13">
      <w:pPr>
        <w:pStyle w:val="SingleTxtGC"/>
        <w:rPr>
          <w:rFonts w:ascii="Time New Roman" w:hAnsi="Time New Roman" w:hint="eastAsia"/>
          <w:lang w:val="en-GB"/>
        </w:rPr>
      </w:pPr>
      <w:r w:rsidRPr="00BF42B7">
        <w:rPr>
          <w:rFonts w:ascii="Time New Roman" w:hAnsi="Time New Roman" w:hint="eastAsia"/>
          <w:lang w:val="en-GB"/>
        </w:rPr>
        <w:t>30</w:t>
      </w:r>
      <w:r w:rsidRPr="00BF42B7">
        <w:rPr>
          <w:rFonts w:ascii="Time New Roman" w:hAnsi="Time New Roman"/>
          <w:lang w:val="en-GB"/>
        </w:rPr>
        <w:t xml:space="preserve">3.  </w:t>
      </w:r>
      <w:r w:rsidRPr="00BF42B7">
        <w:rPr>
          <w:rFonts w:ascii="Time New Roman" w:hAnsi="Time New Roman"/>
          <w:lang w:val="en-GB"/>
        </w:rPr>
        <w:t>在</w:t>
      </w:r>
      <w:r w:rsidRPr="00BF42B7">
        <w:rPr>
          <w:rFonts w:ascii="Time New Roman" w:hAnsi="Time New Roman"/>
          <w:lang w:val="en-GB"/>
        </w:rPr>
        <w:t>2016</w:t>
      </w:r>
      <w:r w:rsidRPr="00BF42B7">
        <w:rPr>
          <w:rFonts w:ascii="Time New Roman" w:hAnsi="Time New Roman"/>
          <w:lang w:val="en-GB"/>
        </w:rPr>
        <w:t>年</w:t>
      </w:r>
      <w:r w:rsidRPr="00BF42B7">
        <w:rPr>
          <w:rFonts w:ascii="Time New Roman" w:hAnsi="Time New Roman"/>
          <w:lang w:val="en-GB"/>
        </w:rPr>
        <w:t>5</w:t>
      </w:r>
      <w:r w:rsidRPr="00BF42B7">
        <w:rPr>
          <w:rFonts w:ascii="Time New Roman" w:hAnsi="Time New Roman"/>
          <w:lang w:val="en-GB"/>
        </w:rPr>
        <w:t>月</w:t>
      </w:r>
      <w:r w:rsidRPr="00BF42B7">
        <w:rPr>
          <w:rFonts w:ascii="Time New Roman" w:hAnsi="Time New Roman"/>
          <w:lang w:val="en-GB"/>
        </w:rPr>
        <w:t>18</w:t>
      </w:r>
      <w:r w:rsidRPr="00BF42B7">
        <w:rPr>
          <w:rFonts w:ascii="Time New Roman" w:hAnsi="Time New Roman"/>
          <w:lang w:val="en-GB"/>
        </w:rPr>
        <w:t>日第</w:t>
      </w:r>
      <w:r w:rsidRPr="00BF42B7">
        <w:rPr>
          <w:rFonts w:ascii="Time New Roman" w:hAnsi="Time New Roman"/>
          <w:lang w:val="en-GB"/>
        </w:rPr>
        <w:t>3300</w:t>
      </w:r>
      <w:r w:rsidRPr="00BF42B7">
        <w:rPr>
          <w:rFonts w:ascii="Time New Roman" w:hAnsi="Time New Roman"/>
          <w:lang w:val="en-GB"/>
        </w:rPr>
        <w:t>次会议上，委员会设立了本届会议规划组。</w:t>
      </w:r>
    </w:p>
    <w:p w:rsidR="00813081" w:rsidRPr="00BF42B7" w:rsidRDefault="00813081" w:rsidP="00463C13">
      <w:pPr>
        <w:pStyle w:val="SingleTxtGC"/>
        <w:rPr>
          <w:rFonts w:ascii="Time New Roman" w:hAnsi="Time New Roman" w:hint="eastAsia"/>
          <w:lang w:val="en-GB"/>
        </w:rPr>
      </w:pPr>
      <w:r w:rsidRPr="00BF42B7">
        <w:rPr>
          <w:rFonts w:ascii="Time New Roman" w:hAnsi="Time New Roman" w:hint="eastAsia"/>
          <w:lang w:val="en-GB"/>
        </w:rPr>
        <w:t>30</w:t>
      </w:r>
      <w:r w:rsidRPr="00BF42B7">
        <w:rPr>
          <w:rFonts w:ascii="Time New Roman" w:hAnsi="Time New Roman"/>
          <w:lang w:val="en-GB"/>
        </w:rPr>
        <w:t xml:space="preserve">4.  </w:t>
      </w:r>
      <w:r w:rsidRPr="00BF42B7">
        <w:rPr>
          <w:rFonts w:ascii="Time New Roman" w:hAnsi="Time New Roman"/>
          <w:lang w:val="en-GB"/>
        </w:rPr>
        <w:t>规划组举行了</w:t>
      </w:r>
      <w:r w:rsidRPr="00BF42B7">
        <w:rPr>
          <w:rFonts w:ascii="Time New Roman" w:hAnsi="Time New Roman"/>
          <w:lang w:val="en-GB"/>
        </w:rPr>
        <w:t>4</w:t>
      </w:r>
      <w:r w:rsidRPr="00BF42B7">
        <w:rPr>
          <w:rFonts w:ascii="Time New Roman" w:hAnsi="Time New Roman"/>
          <w:lang w:val="en-GB"/>
        </w:rPr>
        <w:t>次会议。规划组收到的文件有：题为</w:t>
      </w:r>
      <w:r w:rsidRPr="00BF42B7">
        <w:rPr>
          <w:rFonts w:ascii="Time New Roman" w:hAnsi="Time New Roman" w:hint="eastAsia"/>
          <w:lang w:val="en-GB"/>
        </w:rPr>
        <w:t>“</w:t>
      </w:r>
      <w:r w:rsidRPr="00BF42B7">
        <w:rPr>
          <w:rFonts w:ascii="Time New Roman" w:hAnsi="Time New Roman"/>
          <w:lang w:val="en-GB"/>
        </w:rPr>
        <w:t>委员会的其他决定和结论</w:t>
      </w:r>
      <w:r w:rsidRPr="00BF42B7">
        <w:rPr>
          <w:rFonts w:ascii="Time New Roman" w:hAnsi="Time New Roman" w:hint="eastAsia"/>
          <w:lang w:val="en-GB"/>
        </w:rPr>
        <w:t>”</w:t>
      </w:r>
      <w:r w:rsidRPr="00BF42B7">
        <w:rPr>
          <w:rFonts w:ascii="Time New Roman" w:hAnsi="Time New Roman"/>
          <w:lang w:val="en-GB"/>
        </w:rPr>
        <w:t>的大会第七十届会议第六委员会讨论情况专题摘要</w:t>
      </w:r>
      <w:r w:rsidRPr="00BF42B7">
        <w:rPr>
          <w:rFonts w:ascii="Time New Roman" w:hAnsi="Time New Roman"/>
          <w:lang w:val="en-GB"/>
        </w:rPr>
        <w:t>H</w:t>
      </w:r>
      <w:r w:rsidRPr="00BF42B7">
        <w:rPr>
          <w:rFonts w:ascii="Time New Roman" w:hAnsi="Time New Roman"/>
          <w:lang w:val="en-GB"/>
        </w:rPr>
        <w:t>节；</w:t>
      </w:r>
      <w:hyperlink r:id="rId109" w:history="1">
        <w:r w:rsidRPr="00BF42B7">
          <w:rPr>
            <w:rStyle w:val="af"/>
            <w:rFonts w:ascii="Time New Roman" w:hAnsi="Time New Roman"/>
            <w:lang w:val="en-GB"/>
          </w:rPr>
          <w:t>A/71/6(Prog.6</w:t>
        </w:r>
      </w:hyperlink>
      <w:r w:rsidRPr="00BF42B7">
        <w:rPr>
          <w:rFonts w:ascii="Time New Roman" w:hAnsi="Time New Roman"/>
          <w:lang w:val="en-GB"/>
        </w:rPr>
        <w:t>)</w:t>
      </w:r>
      <w:r w:rsidRPr="00BF42B7">
        <w:rPr>
          <w:rFonts w:ascii="Time New Roman" w:hAnsi="Time New Roman"/>
          <w:lang w:val="en-GB"/>
        </w:rPr>
        <w:t>号文件，</w:t>
      </w:r>
      <w:r w:rsidRPr="00BF42B7">
        <w:rPr>
          <w:rFonts w:ascii="Time New Roman" w:hAnsi="Time New Roman"/>
          <w:lang w:val="en-GB"/>
        </w:rPr>
        <w:t>2018-2019</w:t>
      </w:r>
      <w:r w:rsidRPr="00BF42B7">
        <w:rPr>
          <w:rFonts w:ascii="Time New Roman" w:hAnsi="Time New Roman"/>
          <w:lang w:val="en-GB"/>
        </w:rPr>
        <w:t>年期间拟议战略框架：方案</w:t>
      </w:r>
      <w:r w:rsidRPr="00BF42B7">
        <w:rPr>
          <w:rFonts w:ascii="Time New Roman" w:hAnsi="Time New Roman"/>
          <w:lang w:val="en-GB"/>
        </w:rPr>
        <w:t>6,</w:t>
      </w:r>
      <w:r w:rsidR="00EA60D2">
        <w:rPr>
          <w:rFonts w:ascii="Time New Roman" w:hAnsi="Time New Roman" w:hint="eastAsia"/>
          <w:lang w:val="en-GB"/>
        </w:rPr>
        <w:t xml:space="preserve"> </w:t>
      </w:r>
      <w:r w:rsidRPr="00BF42B7">
        <w:rPr>
          <w:rFonts w:ascii="Time New Roman" w:hAnsi="Time New Roman"/>
          <w:lang w:val="en-GB"/>
        </w:rPr>
        <w:t>法律事务；大会</w:t>
      </w:r>
      <w:r w:rsidRPr="00BF42B7">
        <w:rPr>
          <w:rFonts w:ascii="Time New Roman" w:hAnsi="Time New Roman"/>
          <w:lang w:val="en-GB"/>
        </w:rPr>
        <w:t>2015</w:t>
      </w:r>
      <w:r w:rsidRPr="00BF42B7">
        <w:rPr>
          <w:rFonts w:ascii="Time New Roman" w:hAnsi="Time New Roman"/>
          <w:lang w:val="en-GB"/>
        </w:rPr>
        <w:t>年</w:t>
      </w:r>
      <w:r w:rsidRPr="00BF42B7">
        <w:rPr>
          <w:rFonts w:ascii="Time New Roman" w:hAnsi="Time New Roman"/>
          <w:lang w:val="en-GB"/>
        </w:rPr>
        <w:t>12</w:t>
      </w:r>
      <w:r w:rsidRPr="00BF42B7">
        <w:rPr>
          <w:rFonts w:ascii="Time New Roman" w:hAnsi="Time New Roman"/>
          <w:lang w:val="en-GB"/>
        </w:rPr>
        <w:t>月</w:t>
      </w:r>
      <w:r w:rsidRPr="00BF42B7">
        <w:rPr>
          <w:rFonts w:ascii="Time New Roman" w:hAnsi="Time New Roman"/>
          <w:lang w:val="en-GB"/>
        </w:rPr>
        <w:t>23</w:t>
      </w:r>
      <w:r w:rsidRPr="00BF42B7">
        <w:rPr>
          <w:rFonts w:ascii="Time New Roman" w:hAnsi="Time New Roman"/>
          <w:lang w:val="en-GB"/>
        </w:rPr>
        <w:t>日关于国际法委员会第六十七届会议工作报告的第</w:t>
      </w:r>
      <w:hyperlink r:id="rId110" w:history="1">
        <w:r w:rsidRPr="00BF42B7">
          <w:rPr>
            <w:rStyle w:val="af"/>
            <w:rFonts w:ascii="Time New Roman" w:hAnsi="Time New Roman"/>
            <w:lang w:val="en-GB"/>
          </w:rPr>
          <w:t>70/236</w:t>
        </w:r>
      </w:hyperlink>
      <w:r w:rsidRPr="00BF42B7">
        <w:rPr>
          <w:rFonts w:ascii="Time New Roman" w:hAnsi="Time New Roman"/>
          <w:lang w:val="en-GB"/>
        </w:rPr>
        <w:t>号决议；和大会</w:t>
      </w:r>
      <w:r w:rsidRPr="00BF42B7">
        <w:rPr>
          <w:rFonts w:ascii="Time New Roman" w:hAnsi="Time New Roman"/>
          <w:lang w:val="en-GB"/>
        </w:rPr>
        <w:t>2015</w:t>
      </w:r>
      <w:r w:rsidRPr="00BF42B7">
        <w:rPr>
          <w:rFonts w:ascii="Time New Roman" w:hAnsi="Time New Roman"/>
          <w:lang w:val="en-GB"/>
        </w:rPr>
        <w:t>年</w:t>
      </w:r>
      <w:r w:rsidRPr="00BF42B7">
        <w:rPr>
          <w:rFonts w:ascii="Time New Roman" w:hAnsi="Time New Roman"/>
          <w:lang w:val="en-GB"/>
        </w:rPr>
        <w:t>12</w:t>
      </w:r>
      <w:r w:rsidRPr="00BF42B7">
        <w:rPr>
          <w:rFonts w:ascii="Time New Roman" w:hAnsi="Time New Roman"/>
          <w:lang w:val="en-GB"/>
        </w:rPr>
        <w:t>月</w:t>
      </w:r>
      <w:r w:rsidRPr="00BF42B7">
        <w:rPr>
          <w:rFonts w:ascii="Time New Roman" w:hAnsi="Time New Roman"/>
          <w:lang w:val="en-GB"/>
        </w:rPr>
        <w:t>14</w:t>
      </w:r>
      <w:r w:rsidRPr="00BF42B7">
        <w:rPr>
          <w:rFonts w:ascii="Time New Roman" w:hAnsi="Time New Roman"/>
          <w:lang w:val="en-GB"/>
        </w:rPr>
        <w:t>日关于国内和国际法治的第</w:t>
      </w:r>
      <w:hyperlink r:id="rId111" w:history="1">
        <w:r w:rsidRPr="00BF42B7">
          <w:rPr>
            <w:rStyle w:val="af"/>
            <w:rFonts w:ascii="Time New Roman" w:hAnsi="Time New Roman"/>
            <w:lang w:val="en-GB"/>
          </w:rPr>
          <w:t>70/118</w:t>
        </w:r>
      </w:hyperlink>
      <w:r w:rsidRPr="00BF42B7">
        <w:rPr>
          <w:rFonts w:ascii="Time New Roman" w:hAnsi="Time New Roman"/>
          <w:lang w:val="en-GB"/>
        </w:rPr>
        <w:t>号决议。</w:t>
      </w:r>
    </w:p>
    <w:p w:rsidR="00813081" w:rsidRPr="00BF42B7" w:rsidRDefault="00813081" w:rsidP="00EA60D2">
      <w:pPr>
        <w:pStyle w:val="SingleTxtGC"/>
        <w:rPr>
          <w:rFonts w:ascii="Time New Roman" w:hAnsi="Time New Roman" w:hint="eastAsia"/>
          <w:lang w:val="en-GB"/>
        </w:rPr>
      </w:pPr>
      <w:r w:rsidRPr="00BF42B7">
        <w:rPr>
          <w:rFonts w:ascii="Time New Roman" w:hAnsi="Time New Roman" w:hint="eastAsia"/>
          <w:lang w:val="en-GB"/>
        </w:rPr>
        <w:t>30</w:t>
      </w:r>
      <w:r w:rsidRPr="00BF42B7">
        <w:rPr>
          <w:rFonts w:ascii="Time New Roman" w:hAnsi="Time New Roman"/>
          <w:lang w:val="en-GB"/>
        </w:rPr>
        <w:t xml:space="preserve">5.  </w:t>
      </w:r>
      <w:r w:rsidRPr="00BF42B7">
        <w:rPr>
          <w:rFonts w:ascii="Time New Roman" w:hAnsi="Time New Roman"/>
          <w:lang w:val="en-GB"/>
        </w:rPr>
        <w:t>规划组在</w:t>
      </w:r>
      <w:r w:rsidRPr="00BF42B7">
        <w:rPr>
          <w:rFonts w:ascii="Time New Roman" w:hAnsi="Time New Roman"/>
          <w:lang w:val="en-GB"/>
        </w:rPr>
        <w:t>2016</w:t>
      </w:r>
      <w:r w:rsidRPr="00BF42B7">
        <w:rPr>
          <w:rFonts w:ascii="Time New Roman" w:hAnsi="Time New Roman"/>
          <w:lang w:val="en-GB"/>
        </w:rPr>
        <w:t>年</w:t>
      </w:r>
      <w:r w:rsidRPr="00BF42B7">
        <w:rPr>
          <w:rFonts w:ascii="Time New Roman" w:hAnsi="Time New Roman"/>
          <w:lang w:val="en-GB"/>
        </w:rPr>
        <w:t>6</w:t>
      </w:r>
      <w:r w:rsidRPr="00BF42B7">
        <w:rPr>
          <w:rFonts w:ascii="Time New Roman" w:hAnsi="Time New Roman"/>
          <w:lang w:val="en-GB"/>
        </w:rPr>
        <w:t>月</w:t>
      </w:r>
      <w:r w:rsidRPr="00BF42B7">
        <w:rPr>
          <w:rFonts w:ascii="Time New Roman" w:hAnsi="Time New Roman"/>
          <w:lang w:val="en-GB"/>
        </w:rPr>
        <w:t>8</w:t>
      </w:r>
      <w:r w:rsidRPr="00BF42B7">
        <w:rPr>
          <w:rFonts w:ascii="Time New Roman" w:hAnsi="Time New Roman"/>
          <w:lang w:val="en-GB"/>
        </w:rPr>
        <w:t>日第</w:t>
      </w:r>
      <w:r w:rsidRPr="00BF42B7">
        <w:rPr>
          <w:rFonts w:ascii="Time New Roman" w:hAnsi="Time New Roman"/>
          <w:lang w:val="en-GB"/>
        </w:rPr>
        <w:t>2</w:t>
      </w:r>
      <w:r w:rsidRPr="00BF42B7">
        <w:rPr>
          <w:rFonts w:ascii="Time New Roman" w:hAnsi="Time New Roman"/>
          <w:lang w:val="en-GB"/>
        </w:rPr>
        <w:t>次会议上注意到</w:t>
      </w:r>
      <w:r w:rsidRPr="00BF42B7">
        <w:rPr>
          <w:rFonts w:ascii="Time New Roman" w:hAnsi="Time New Roman"/>
        </w:rPr>
        <w:t>2018-2019</w:t>
      </w:r>
      <w:r w:rsidRPr="00BF42B7">
        <w:rPr>
          <w:rFonts w:ascii="Time New Roman" w:hAnsi="Time New Roman"/>
        </w:rPr>
        <w:t>年期间拟议战略框架</w:t>
      </w:r>
      <w:r w:rsidRPr="00BF42B7">
        <w:rPr>
          <w:rFonts w:ascii="Time New Roman" w:hAnsi="Time New Roman"/>
        </w:rPr>
        <w:t>(</w:t>
      </w:r>
      <w:hyperlink r:id="rId112" w:history="1">
        <w:r w:rsidRPr="00BF42B7">
          <w:rPr>
            <w:rStyle w:val="af"/>
            <w:rFonts w:ascii="Time New Roman" w:hAnsi="Time New Roman"/>
            <w:bCs/>
          </w:rPr>
          <w:t>A/71/6</w:t>
        </w:r>
      </w:hyperlink>
      <w:r w:rsidRPr="00BF42B7">
        <w:rPr>
          <w:rFonts w:ascii="Time New Roman" w:hAnsi="Time New Roman"/>
        </w:rPr>
        <w:t>)</w:t>
      </w:r>
      <w:r w:rsidRPr="00BF42B7">
        <w:rPr>
          <w:rFonts w:ascii="Time New Roman" w:hAnsi="Time New Roman"/>
          <w:lang w:val="en-GB"/>
        </w:rPr>
        <w:t>方案</w:t>
      </w:r>
      <w:r w:rsidRPr="00BF42B7">
        <w:rPr>
          <w:rFonts w:ascii="Time New Roman" w:hAnsi="Time New Roman"/>
          <w:lang w:val="en-GB"/>
        </w:rPr>
        <w:t>6(</w:t>
      </w:r>
      <w:r w:rsidRPr="00BF42B7">
        <w:rPr>
          <w:rFonts w:ascii="Time New Roman" w:hAnsi="Time New Roman"/>
          <w:lang w:val="en-GB"/>
        </w:rPr>
        <w:t>法律事务</w:t>
      </w:r>
      <w:r w:rsidRPr="00BF42B7">
        <w:rPr>
          <w:rFonts w:ascii="Time New Roman" w:hAnsi="Time New Roman"/>
          <w:lang w:val="en-GB"/>
        </w:rPr>
        <w:t>)</w:t>
      </w:r>
      <w:r w:rsidRPr="00BF42B7">
        <w:rPr>
          <w:rFonts w:ascii="Time New Roman" w:hAnsi="Time New Roman"/>
          <w:lang w:val="en-GB"/>
        </w:rPr>
        <w:t>次级方案</w:t>
      </w:r>
      <w:r w:rsidRPr="00BF42B7">
        <w:rPr>
          <w:rFonts w:ascii="Time New Roman" w:hAnsi="Time New Roman"/>
          <w:lang w:val="en-GB"/>
        </w:rPr>
        <w:t>3(</w:t>
      </w:r>
      <w:r w:rsidRPr="00BF42B7">
        <w:rPr>
          <w:rFonts w:ascii="Time New Roman" w:hAnsi="Time New Roman"/>
          <w:lang w:val="en-GB"/>
        </w:rPr>
        <w:t>国际法的逐渐发展和编纂</w:t>
      </w:r>
      <w:r w:rsidRPr="00BF42B7">
        <w:rPr>
          <w:rFonts w:ascii="Time New Roman" w:hAnsi="Time New Roman"/>
          <w:lang w:val="en-GB"/>
        </w:rPr>
        <w:t>)</w:t>
      </w:r>
      <w:r w:rsidRPr="00BF42B7">
        <w:rPr>
          <w:rFonts w:ascii="Time New Roman" w:hAnsi="Time New Roman"/>
          <w:lang w:val="en-GB"/>
        </w:rPr>
        <w:t>。</w:t>
      </w:r>
    </w:p>
    <w:p w:rsidR="00813081" w:rsidRPr="00BF42B7" w:rsidRDefault="00813081" w:rsidP="00813081">
      <w:pPr>
        <w:pStyle w:val="H23GC"/>
        <w:rPr>
          <w:lang w:val="en-GB"/>
        </w:rPr>
      </w:pPr>
      <w:r w:rsidRPr="00852022">
        <w:rPr>
          <w:bCs/>
          <w:lang w:val="en-GB"/>
        </w:rPr>
        <w:tab/>
        <w:t>1.</w:t>
      </w:r>
      <w:r w:rsidRPr="00852022">
        <w:rPr>
          <w:bCs/>
          <w:lang w:val="en-GB"/>
        </w:rPr>
        <w:tab/>
      </w:r>
      <w:r w:rsidRPr="00852022">
        <w:rPr>
          <w:bCs/>
          <w:lang w:val="en-GB"/>
        </w:rPr>
        <w:t>长期</w:t>
      </w:r>
      <w:r w:rsidRPr="00BF42B7">
        <w:rPr>
          <w:lang w:val="en-GB"/>
        </w:rPr>
        <w:t>工作方案工作组</w:t>
      </w:r>
    </w:p>
    <w:p w:rsidR="00813081" w:rsidRPr="00BF42B7" w:rsidRDefault="00813081" w:rsidP="00EA60D2">
      <w:pPr>
        <w:pStyle w:val="SingleTxtGC"/>
        <w:rPr>
          <w:rFonts w:ascii="Time New Roman" w:hAnsi="Time New Roman" w:hint="eastAsia"/>
          <w:lang w:val="en-GB"/>
        </w:rPr>
      </w:pPr>
      <w:r w:rsidRPr="00BF42B7">
        <w:rPr>
          <w:rFonts w:ascii="Time New Roman" w:hAnsi="Time New Roman" w:hint="eastAsia"/>
          <w:lang w:val="en-GB"/>
        </w:rPr>
        <w:t>30</w:t>
      </w:r>
      <w:r w:rsidRPr="00BF42B7">
        <w:rPr>
          <w:rFonts w:ascii="Time New Roman" w:hAnsi="Time New Roman"/>
          <w:lang w:val="en-GB"/>
        </w:rPr>
        <w:t xml:space="preserve">6.  </w:t>
      </w:r>
      <w:r w:rsidRPr="00BF42B7">
        <w:rPr>
          <w:rFonts w:ascii="Time New Roman" w:hAnsi="Time New Roman"/>
          <w:lang w:val="en-GB"/>
        </w:rPr>
        <w:t>在</w:t>
      </w:r>
      <w:r w:rsidRPr="00BF42B7">
        <w:rPr>
          <w:rFonts w:ascii="Time New Roman" w:hAnsi="Time New Roman"/>
          <w:lang w:val="en-GB"/>
        </w:rPr>
        <w:t>2016</w:t>
      </w:r>
      <w:r w:rsidRPr="00BF42B7">
        <w:rPr>
          <w:rFonts w:ascii="Time New Roman" w:hAnsi="Time New Roman"/>
          <w:lang w:val="en-GB"/>
        </w:rPr>
        <w:t>年</w:t>
      </w:r>
      <w:r w:rsidRPr="00BF42B7">
        <w:rPr>
          <w:rFonts w:ascii="Time New Roman" w:hAnsi="Time New Roman"/>
          <w:lang w:val="en-GB"/>
        </w:rPr>
        <w:t>6</w:t>
      </w:r>
      <w:r w:rsidRPr="00BF42B7">
        <w:rPr>
          <w:rFonts w:ascii="Time New Roman" w:hAnsi="Time New Roman"/>
          <w:lang w:val="en-GB"/>
        </w:rPr>
        <w:t>月</w:t>
      </w:r>
      <w:r w:rsidRPr="00BF42B7">
        <w:rPr>
          <w:rFonts w:ascii="Time New Roman" w:hAnsi="Time New Roman"/>
          <w:lang w:val="en-GB"/>
        </w:rPr>
        <w:t>3</w:t>
      </w:r>
      <w:r w:rsidRPr="00BF42B7">
        <w:rPr>
          <w:rFonts w:ascii="Time New Roman" w:hAnsi="Time New Roman"/>
          <w:lang w:val="en-GB"/>
        </w:rPr>
        <w:t>日第</w:t>
      </w:r>
      <w:r w:rsidRPr="00BF42B7">
        <w:rPr>
          <w:rFonts w:ascii="Time New Roman" w:hAnsi="Time New Roman"/>
          <w:lang w:val="en-GB"/>
        </w:rPr>
        <w:t>1</w:t>
      </w:r>
      <w:r w:rsidRPr="00BF42B7">
        <w:rPr>
          <w:rFonts w:ascii="Time New Roman" w:hAnsi="Time New Roman"/>
          <w:lang w:val="en-GB"/>
        </w:rPr>
        <w:t>次会议上，规划组决定为本届会议重新设立长期工作方案工作组，由唐纳德</w:t>
      </w:r>
      <w:r w:rsidR="00EA60D2">
        <w:rPr>
          <w:rFonts w:ascii="Time New Roman" w:hAnsi="Time New Roman" w:hint="eastAsia"/>
          <w:lang w:val="en-GB"/>
        </w:rPr>
        <w:t>·</w:t>
      </w:r>
      <w:r w:rsidRPr="00BF42B7">
        <w:rPr>
          <w:rFonts w:ascii="Time New Roman" w:hAnsi="Time New Roman"/>
          <w:lang w:val="en-GB"/>
        </w:rPr>
        <w:t>麦克雷先生担任主席。在规划组</w:t>
      </w:r>
      <w:r w:rsidRPr="00BF42B7">
        <w:rPr>
          <w:rFonts w:ascii="Time New Roman" w:hAnsi="Time New Roman"/>
          <w:lang w:val="en-GB"/>
        </w:rPr>
        <w:t>2016</w:t>
      </w:r>
      <w:r w:rsidRPr="00BF42B7">
        <w:rPr>
          <w:rFonts w:ascii="Time New Roman" w:hAnsi="Time New Roman"/>
          <w:lang w:val="en-GB"/>
        </w:rPr>
        <w:t>年</w:t>
      </w:r>
      <w:r w:rsidRPr="00BF42B7">
        <w:rPr>
          <w:rFonts w:ascii="Time New Roman" w:hAnsi="Time New Roman"/>
          <w:lang w:val="en-GB"/>
        </w:rPr>
        <w:t>7</w:t>
      </w:r>
      <w:r w:rsidRPr="00BF42B7">
        <w:rPr>
          <w:rFonts w:ascii="Time New Roman" w:hAnsi="Time New Roman"/>
          <w:lang w:val="en-GB"/>
        </w:rPr>
        <w:t>月</w:t>
      </w:r>
      <w:r w:rsidRPr="00BF42B7">
        <w:rPr>
          <w:rFonts w:ascii="Time New Roman" w:hAnsi="Time New Roman"/>
          <w:lang w:val="en-GB"/>
        </w:rPr>
        <w:t>29</w:t>
      </w:r>
      <w:r w:rsidRPr="00BF42B7">
        <w:rPr>
          <w:rFonts w:ascii="Time New Roman" w:hAnsi="Time New Roman"/>
          <w:lang w:val="en-GB"/>
        </w:rPr>
        <w:t>日第</w:t>
      </w:r>
      <w:r w:rsidRPr="00BF42B7">
        <w:rPr>
          <w:rFonts w:ascii="Time New Roman" w:hAnsi="Time New Roman"/>
          <w:lang w:val="en-GB"/>
        </w:rPr>
        <w:t>4</w:t>
      </w:r>
      <w:r w:rsidRPr="00BF42B7">
        <w:rPr>
          <w:rFonts w:ascii="Time New Roman" w:hAnsi="Time New Roman"/>
          <w:lang w:val="en-GB"/>
        </w:rPr>
        <w:t>次会议上，工作组就五年期的工作向规划组提交了报告。</w:t>
      </w:r>
    </w:p>
    <w:p w:rsidR="00813081" w:rsidRPr="00BF42B7" w:rsidRDefault="00813081" w:rsidP="00463C13">
      <w:pPr>
        <w:pStyle w:val="SingleTxtGC"/>
        <w:rPr>
          <w:rFonts w:ascii="Time New Roman" w:hAnsi="Time New Roman" w:hint="eastAsia"/>
        </w:rPr>
      </w:pPr>
      <w:r w:rsidRPr="00BF42B7">
        <w:rPr>
          <w:rFonts w:ascii="Time New Roman" w:hAnsi="Time New Roman" w:hint="eastAsia"/>
        </w:rPr>
        <w:t>30</w:t>
      </w:r>
      <w:r w:rsidRPr="00BF42B7">
        <w:rPr>
          <w:rFonts w:ascii="Time New Roman" w:hAnsi="Time New Roman"/>
        </w:rPr>
        <w:t xml:space="preserve">7.  </w:t>
      </w:r>
      <w:r w:rsidRPr="00BF42B7">
        <w:rPr>
          <w:rFonts w:ascii="Time New Roman" w:hAnsi="Time New Roman"/>
        </w:rPr>
        <w:t>委员会指出，委员会</w:t>
      </w:r>
      <w:r w:rsidRPr="00BF42B7">
        <w:rPr>
          <w:rFonts w:ascii="Time New Roman" w:hAnsi="Time New Roman" w:hint="eastAsia"/>
        </w:rPr>
        <w:t>在本五年期内</w:t>
      </w:r>
      <w:r w:rsidRPr="00BF42B7">
        <w:rPr>
          <w:rFonts w:ascii="Time New Roman" w:hAnsi="Time New Roman"/>
        </w:rPr>
        <w:t>已经建议将下列两个专题纳入委员会的长期工作方案：</w:t>
      </w:r>
      <w:r w:rsidRPr="00BF42B7">
        <w:rPr>
          <w:rFonts w:ascii="Time New Roman" w:hAnsi="Time New Roman"/>
        </w:rPr>
        <w:t xml:space="preserve">(a) </w:t>
      </w:r>
      <w:r w:rsidRPr="00BF42B7">
        <w:rPr>
          <w:rFonts w:ascii="Time New Roman" w:hAnsi="Time New Roman"/>
        </w:rPr>
        <w:t>危害人类罪；</w:t>
      </w:r>
      <w:r w:rsidRPr="00BF42B7">
        <w:rPr>
          <w:rFonts w:ascii="Time New Roman" w:hAnsi="Time New Roman"/>
        </w:rPr>
        <w:t>(b)</w:t>
      </w:r>
      <w:r w:rsidRPr="00BF42B7">
        <w:rPr>
          <w:rFonts w:ascii="Time New Roman" w:hAnsi="Time New Roman"/>
          <w:i/>
        </w:rPr>
        <w:t xml:space="preserve"> </w:t>
      </w:r>
      <w:r w:rsidRPr="00BF42B7">
        <w:rPr>
          <w:rFonts w:ascii="Time New Roman" w:hAnsi="Time New Roman"/>
          <w:iCs/>
        </w:rPr>
        <w:t>强行法。</w:t>
      </w:r>
      <w:r w:rsidRPr="00BF42B7">
        <w:rPr>
          <w:rFonts w:ascii="Time New Roman" w:hAnsi="Time New Roman"/>
        </w:rPr>
        <w:t>这两个专题已经在委员会目前的工作方案中，是分别于委员会第六十五届会议</w:t>
      </w:r>
      <w:r w:rsidRPr="00BF42B7">
        <w:rPr>
          <w:rFonts w:ascii="Time New Roman" w:hAnsi="Time New Roman"/>
        </w:rPr>
        <w:t>(2013</w:t>
      </w:r>
      <w:r w:rsidRPr="00BF42B7">
        <w:rPr>
          <w:rFonts w:ascii="Time New Roman" w:hAnsi="Time New Roman"/>
        </w:rPr>
        <w:t>年</w:t>
      </w:r>
      <w:r w:rsidRPr="00BF42B7">
        <w:rPr>
          <w:rFonts w:ascii="Time New Roman" w:hAnsi="Time New Roman"/>
        </w:rPr>
        <w:t>)</w:t>
      </w:r>
      <w:r w:rsidRPr="00BF42B7">
        <w:rPr>
          <w:color w:val="0000FF"/>
          <w:vertAlign w:val="superscript"/>
        </w:rPr>
        <w:footnoteReference w:id="1463"/>
      </w:r>
      <w:r w:rsidRPr="00BF42B7">
        <w:rPr>
          <w:rFonts w:ascii="Time New Roman" w:hAnsi="Time New Roman"/>
        </w:rPr>
        <w:t xml:space="preserve"> </w:t>
      </w:r>
      <w:r w:rsidRPr="00BF42B7">
        <w:rPr>
          <w:rFonts w:ascii="Time New Roman" w:hAnsi="Time New Roman"/>
        </w:rPr>
        <w:t>和第六十六届会议</w:t>
      </w:r>
      <w:r w:rsidRPr="00BF42B7">
        <w:rPr>
          <w:rFonts w:ascii="Time New Roman" w:hAnsi="Time New Roman"/>
        </w:rPr>
        <w:t>(2014</w:t>
      </w:r>
      <w:r w:rsidRPr="00BF42B7">
        <w:rPr>
          <w:rFonts w:ascii="Time New Roman" w:hAnsi="Time New Roman"/>
        </w:rPr>
        <w:t>年</w:t>
      </w:r>
      <w:r w:rsidRPr="00BF42B7">
        <w:rPr>
          <w:rFonts w:ascii="Time New Roman" w:hAnsi="Time New Roman"/>
        </w:rPr>
        <w:t>)</w:t>
      </w:r>
      <w:r w:rsidRPr="00BF42B7">
        <w:rPr>
          <w:color w:val="0000FF"/>
          <w:vertAlign w:val="superscript"/>
        </w:rPr>
        <w:footnoteReference w:id="1464"/>
      </w:r>
      <w:r w:rsidRPr="00BF42B7">
        <w:rPr>
          <w:rFonts w:ascii="Time New Roman" w:hAnsi="Time New Roman"/>
        </w:rPr>
        <w:t xml:space="preserve"> </w:t>
      </w:r>
      <w:r w:rsidRPr="00BF42B7">
        <w:rPr>
          <w:rFonts w:ascii="Time New Roman" w:hAnsi="Time New Roman"/>
        </w:rPr>
        <w:t>纳入的。</w:t>
      </w:r>
    </w:p>
    <w:p w:rsidR="00813081" w:rsidRPr="00BF42B7" w:rsidRDefault="00813081" w:rsidP="00463C13">
      <w:pPr>
        <w:pStyle w:val="SingleTxtGC"/>
        <w:rPr>
          <w:rFonts w:ascii="Time New Roman" w:hAnsi="Time New Roman" w:hint="eastAsia"/>
        </w:rPr>
      </w:pPr>
      <w:r w:rsidRPr="00BF42B7">
        <w:rPr>
          <w:rFonts w:ascii="Time New Roman" w:hAnsi="Time New Roman" w:hint="eastAsia"/>
        </w:rPr>
        <w:t>30</w:t>
      </w:r>
      <w:r w:rsidRPr="00BF42B7">
        <w:rPr>
          <w:rFonts w:ascii="Time New Roman" w:hAnsi="Time New Roman"/>
        </w:rPr>
        <w:t xml:space="preserve">8.  </w:t>
      </w:r>
      <w:r w:rsidRPr="00BF42B7">
        <w:rPr>
          <w:rFonts w:ascii="Time New Roman" w:hAnsi="Time New Roman"/>
        </w:rPr>
        <w:t>在本届会议上，委员会根据工作组的建议，决定将下列专题纳入委员会的长期工作方案：</w:t>
      </w:r>
    </w:p>
    <w:p w:rsidR="00813081" w:rsidRPr="00BF42B7" w:rsidRDefault="00813081" w:rsidP="00852022">
      <w:pPr>
        <w:pStyle w:val="SingleTxtGC"/>
        <w:numPr>
          <w:ilvl w:val="0"/>
          <w:numId w:val="33"/>
        </w:numPr>
        <w:spacing w:line="310" w:lineRule="exact"/>
        <w:rPr>
          <w:rFonts w:ascii="Time New Roman" w:hAnsi="Time New Roman" w:hint="eastAsia"/>
        </w:rPr>
      </w:pPr>
      <w:r w:rsidRPr="00BF42B7">
        <w:rPr>
          <w:rFonts w:ascii="Time New Roman" w:hAnsi="Time New Roman"/>
        </w:rPr>
        <w:t>国际组织</w:t>
      </w:r>
      <w:r w:rsidRPr="00BF42B7">
        <w:rPr>
          <w:rFonts w:ascii="Time New Roman" w:hAnsi="Time New Roman" w:hint="eastAsia"/>
        </w:rPr>
        <w:t>作</w:t>
      </w:r>
      <w:r w:rsidRPr="00BF42B7">
        <w:rPr>
          <w:rFonts w:ascii="Time New Roman" w:hAnsi="Time New Roman"/>
        </w:rPr>
        <w:t>为当事方的国际争端的解决；和</w:t>
      </w:r>
    </w:p>
    <w:p w:rsidR="00813081" w:rsidRPr="00BF42B7" w:rsidRDefault="00813081" w:rsidP="00852022">
      <w:pPr>
        <w:pStyle w:val="SingleTxtGC"/>
        <w:numPr>
          <w:ilvl w:val="0"/>
          <w:numId w:val="33"/>
        </w:numPr>
        <w:spacing w:line="310" w:lineRule="exact"/>
        <w:rPr>
          <w:rFonts w:ascii="Time New Roman" w:hAnsi="Time New Roman" w:hint="eastAsia"/>
        </w:rPr>
      </w:pPr>
      <w:r w:rsidRPr="00BF42B7">
        <w:rPr>
          <w:rFonts w:ascii="Time New Roman" w:hAnsi="Time New Roman"/>
        </w:rPr>
        <w:t>国家责任方面的国家继承。</w:t>
      </w:r>
    </w:p>
    <w:p w:rsidR="00813081" w:rsidRPr="00BF42B7" w:rsidRDefault="00813081" w:rsidP="00852022">
      <w:pPr>
        <w:pStyle w:val="SingleTxtGC"/>
        <w:spacing w:line="310" w:lineRule="exact"/>
        <w:rPr>
          <w:rFonts w:ascii="Time New Roman" w:hAnsi="Time New Roman" w:hint="eastAsia"/>
        </w:rPr>
      </w:pPr>
      <w:r w:rsidRPr="00BF42B7">
        <w:rPr>
          <w:rFonts w:ascii="Time New Roman" w:hAnsi="Time New Roman" w:hint="eastAsia"/>
        </w:rPr>
        <w:t>30</w:t>
      </w:r>
      <w:r w:rsidRPr="00BF42B7">
        <w:rPr>
          <w:rFonts w:ascii="Time New Roman" w:hAnsi="Time New Roman"/>
        </w:rPr>
        <w:t xml:space="preserve">9.  </w:t>
      </w:r>
      <w:r w:rsidRPr="00BF42B7">
        <w:rPr>
          <w:rFonts w:ascii="Time New Roman" w:hAnsi="Time New Roman"/>
        </w:rPr>
        <w:t>委员会在选择专题时遵循了委员会第五十届会议</w:t>
      </w:r>
      <w:r w:rsidRPr="00BF42B7">
        <w:rPr>
          <w:rFonts w:ascii="Time New Roman" w:hAnsi="Time New Roman"/>
        </w:rPr>
        <w:t>(1998</w:t>
      </w:r>
      <w:r w:rsidRPr="00BF42B7">
        <w:rPr>
          <w:rFonts w:ascii="Time New Roman" w:hAnsi="Time New Roman"/>
        </w:rPr>
        <w:t>年</w:t>
      </w:r>
      <w:r w:rsidRPr="00BF42B7">
        <w:rPr>
          <w:rFonts w:ascii="Time New Roman" w:hAnsi="Time New Roman"/>
        </w:rPr>
        <w:t>)</w:t>
      </w:r>
      <w:r w:rsidRPr="00BF42B7">
        <w:rPr>
          <w:rFonts w:ascii="Time New Roman" w:hAnsi="Time New Roman"/>
        </w:rPr>
        <w:t>关于专题选择标准的建议，即：</w:t>
      </w:r>
      <w:r w:rsidRPr="00BF42B7">
        <w:rPr>
          <w:rFonts w:ascii="Time New Roman" w:hAnsi="Time New Roman"/>
        </w:rPr>
        <w:t xml:space="preserve">(a) </w:t>
      </w:r>
      <w:r w:rsidRPr="00BF42B7">
        <w:rPr>
          <w:rFonts w:ascii="Time New Roman" w:hAnsi="Time New Roman"/>
        </w:rPr>
        <w:t>专题应反映各国在逐渐发展和编纂国际法方面的需要；</w:t>
      </w:r>
      <w:r w:rsidRPr="00BF42B7">
        <w:rPr>
          <w:rFonts w:ascii="Time New Roman" w:hAnsi="Time New Roman"/>
        </w:rPr>
        <w:t xml:space="preserve">(b) </w:t>
      </w:r>
      <w:r w:rsidRPr="00BF42B7">
        <w:rPr>
          <w:rFonts w:ascii="Time New Roman" w:hAnsi="Time New Roman"/>
        </w:rPr>
        <w:t>专题在国家实践方面应足够成熟，从而允许逐渐发展和编纂；和</w:t>
      </w:r>
      <w:r w:rsidRPr="00BF42B7">
        <w:rPr>
          <w:rFonts w:ascii="Time New Roman" w:hAnsi="Time New Roman"/>
        </w:rPr>
        <w:t xml:space="preserve">(c) </w:t>
      </w:r>
      <w:r w:rsidRPr="00BF42B7">
        <w:rPr>
          <w:rFonts w:ascii="Time New Roman" w:hAnsi="Time New Roman"/>
        </w:rPr>
        <w:t>专题应具体且可行，以供进行逐渐发展和编纂。委员会还同意，它不应自限于传统专题，也可审议那些反映国际法新发展和整个国际社会紧迫关切的专题。</w:t>
      </w:r>
      <w:r w:rsidRPr="00BF42B7">
        <w:rPr>
          <w:color w:val="0000FF"/>
          <w:vertAlign w:val="superscript"/>
        </w:rPr>
        <w:footnoteReference w:id="1465"/>
      </w:r>
      <w:r w:rsidRPr="00BF42B7">
        <w:rPr>
          <w:rFonts w:ascii="Time New Roman" w:hAnsi="Time New Roman"/>
        </w:rPr>
        <w:t xml:space="preserve"> </w:t>
      </w:r>
      <w:r w:rsidRPr="00BF42B7">
        <w:rPr>
          <w:rFonts w:ascii="Time New Roman" w:hAnsi="Time New Roman"/>
        </w:rPr>
        <w:t>委员会认为，上述两个专题可对国际法的逐渐发展和编纂作出有益的贡献。所选择的这两个专题的大纲载于本报告的附件</w:t>
      </w:r>
      <w:r w:rsidRPr="00BF42B7">
        <w:rPr>
          <w:rFonts w:ascii="Time New Roman" w:hAnsi="Time New Roman"/>
        </w:rPr>
        <w:t>A</w:t>
      </w:r>
      <w:r w:rsidRPr="00BF42B7">
        <w:rPr>
          <w:rFonts w:ascii="Time New Roman" w:hAnsi="Time New Roman"/>
        </w:rPr>
        <w:t>和</w:t>
      </w:r>
      <w:r w:rsidRPr="00BF42B7">
        <w:rPr>
          <w:rFonts w:ascii="Time New Roman" w:hAnsi="Time New Roman"/>
        </w:rPr>
        <w:t>B</w:t>
      </w:r>
      <w:r w:rsidRPr="00BF42B7">
        <w:rPr>
          <w:rFonts w:ascii="Time New Roman" w:hAnsi="Time New Roman"/>
        </w:rPr>
        <w:t>。</w:t>
      </w:r>
    </w:p>
    <w:p w:rsidR="00813081" w:rsidRPr="00852022" w:rsidRDefault="00813081" w:rsidP="00852022">
      <w:pPr>
        <w:pStyle w:val="SingleTxtGC"/>
        <w:spacing w:line="310" w:lineRule="exact"/>
        <w:rPr>
          <w:rFonts w:ascii="Time New Roman" w:hAnsi="Time New Roman" w:hint="eastAsia"/>
          <w:spacing w:val="2"/>
        </w:rPr>
      </w:pPr>
      <w:r w:rsidRPr="00BF42B7">
        <w:rPr>
          <w:rFonts w:ascii="Time New Roman" w:hAnsi="Time New Roman" w:hint="eastAsia"/>
        </w:rPr>
        <w:t>3</w:t>
      </w:r>
      <w:r w:rsidRPr="00BF42B7">
        <w:rPr>
          <w:rFonts w:ascii="Time New Roman" w:hAnsi="Time New Roman"/>
        </w:rPr>
        <w:t xml:space="preserve">10.  </w:t>
      </w:r>
      <w:r w:rsidRPr="00852022">
        <w:rPr>
          <w:rFonts w:ascii="Time New Roman" w:hAnsi="Time New Roman"/>
          <w:spacing w:val="2"/>
        </w:rPr>
        <w:t>委员会回顾，长期工作方案中还有从上一个五年期遗留下来的其他五个专题，即：</w:t>
      </w:r>
      <w:r w:rsidRPr="00852022">
        <w:rPr>
          <w:rFonts w:ascii="Time New Roman" w:hAnsi="Time New Roman"/>
          <w:spacing w:val="2"/>
        </w:rPr>
        <w:t xml:space="preserve">(a) </w:t>
      </w:r>
      <w:r w:rsidRPr="00852022">
        <w:rPr>
          <w:rFonts w:ascii="Time New Roman" w:hAnsi="Time New Roman"/>
          <w:spacing w:val="2"/>
        </w:rPr>
        <w:t>国家海事管辖范围以外的沉船的所有权及保护；</w:t>
      </w:r>
      <w:r w:rsidRPr="00852022">
        <w:rPr>
          <w:color w:val="0000FF"/>
          <w:spacing w:val="2"/>
          <w:vertAlign w:val="superscript"/>
        </w:rPr>
        <w:footnoteReference w:id="1466"/>
      </w:r>
      <w:r w:rsidRPr="00852022">
        <w:rPr>
          <w:rFonts w:ascii="Time New Roman" w:hAnsi="Time New Roman"/>
          <w:spacing w:val="2"/>
        </w:rPr>
        <w:t xml:space="preserve"> (b) </w:t>
      </w:r>
      <w:r w:rsidRPr="00852022">
        <w:rPr>
          <w:rFonts w:ascii="Time New Roman" w:hAnsi="Time New Roman"/>
          <w:spacing w:val="2"/>
        </w:rPr>
        <w:t>国际组织的管辖豁免；</w:t>
      </w:r>
      <w:r w:rsidRPr="00852022">
        <w:rPr>
          <w:color w:val="0000FF"/>
          <w:spacing w:val="2"/>
          <w:vertAlign w:val="superscript"/>
        </w:rPr>
        <w:footnoteReference w:id="1467"/>
      </w:r>
      <w:r w:rsidRPr="00852022">
        <w:rPr>
          <w:rFonts w:ascii="Time New Roman" w:hAnsi="Time New Roman"/>
          <w:spacing w:val="2"/>
        </w:rPr>
        <w:t xml:space="preserve"> (c) </w:t>
      </w:r>
      <w:r w:rsidRPr="00852022">
        <w:rPr>
          <w:rFonts w:ascii="Time New Roman" w:hAnsi="Time New Roman"/>
          <w:spacing w:val="2"/>
        </w:rPr>
        <w:t>信息跨界流动的个人数据保护问题；</w:t>
      </w:r>
      <w:r w:rsidRPr="00852022">
        <w:rPr>
          <w:color w:val="0000FF"/>
          <w:spacing w:val="2"/>
          <w:vertAlign w:val="superscript"/>
        </w:rPr>
        <w:footnoteReference w:id="1468"/>
      </w:r>
      <w:r w:rsidRPr="00852022">
        <w:rPr>
          <w:rFonts w:ascii="Time New Roman" w:hAnsi="Time New Roman"/>
          <w:spacing w:val="2"/>
        </w:rPr>
        <w:t xml:space="preserve"> (d) </w:t>
      </w:r>
      <w:r w:rsidRPr="00852022">
        <w:rPr>
          <w:rFonts w:ascii="Time New Roman" w:hAnsi="Time New Roman"/>
          <w:spacing w:val="2"/>
        </w:rPr>
        <w:t>域外管辖权；</w:t>
      </w:r>
      <w:r w:rsidRPr="00852022">
        <w:rPr>
          <w:color w:val="0000FF"/>
          <w:spacing w:val="2"/>
          <w:vertAlign w:val="superscript"/>
        </w:rPr>
        <w:footnoteReference w:id="1469"/>
      </w:r>
      <w:r w:rsidRPr="00852022">
        <w:rPr>
          <w:rFonts w:ascii="Time New Roman" w:hAnsi="Time New Roman"/>
          <w:spacing w:val="2"/>
        </w:rPr>
        <w:t xml:space="preserve"> </w:t>
      </w:r>
      <w:r w:rsidRPr="00852022">
        <w:rPr>
          <w:rFonts w:ascii="Time New Roman" w:hAnsi="Time New Roman"/>
          <w:spacing w:val="2"/>
        </w:rPr>
        <w:t>和</w:t>
      </w:r>
      <w:r w:rsidRPr="00852022">
        <w:rPr>
          <w:rFonts w:ascii="Time New Roman" w:hAnsi="Time New Roman"/>
          <w:spacing w:val="2"/>
        </w:rPr>
        <w:t xml:space="preserve">(e) </w:t>
      </w:r>
      <w:r w:rsidRPr="00852022">
        <w:rPr>
          <w:rFonts w:ascii="Time New Roman" w:hAnsi="Time New Roman"/>
          <w:spacing w:val="2"/>
        </w:rPr>
        <w:t>国际投资法律中的公正和公平待遇标准。</w:t>
      </w:r>
      <w:r w:rsidRPr="00852022">
        <w:rPr>
          <w:color w:val="0000FF"/>
          <w:spacing w:val="2"/>
          <w:vertAlign w:val="superscript"/>
        </w:rPr>
        <w:footnoteReference w:id="1470"/>
      </w:r>
    </w:p>
    <w:p w:rsidR="00813081" w:rsidRPr="00BF42B7" w:rsidRDefault="00813081" w:rsidP="00852022">
      <w:pPr>
        <w:pStyle w:val="SingleTxtGC"/>
        <w:spacing w:line="310" w:lineRule="exact"/>
        <w:rPr>
          <w:rFonts w:ascii="Time New Roman" w:hAnsi="Time New Roman" w:hint="eastAsia"/>
        </w:rPr>
      </w:pPr>
      <w:r w:rsidRPr="00BF42B7">
        <w:rPr>
          <w:rFonts w:ascii="Time New Roman" w:hAnsi="Time New Roman" w:hint="eastAsia"/>
        </w:rPr>
        <w:t>3</w:t>
      </w:r>
      <w:r w:rsidRPr="00BF42B7">
        <w:rPr>
          <w:rFonts w:ascii="Time New Roman" w:hAnsi="Time New Roman"/>
        </w:rPr>
        <w:t xml:space="preserve">11.  </w:t>
      </w:r>
      <w:r w:rsidRPr="00BF42B7">
        <w:rPr>
          <w:rFonts w:ascii="Time New Roman" w:hAnsi="Time New Roman"/>
        </w:rPr>
        <w:t>委员会注意到，长期工作方案工作组在本五年期开始时考虑到长期以来在选择专题方面的做法，审议了工作组的工作方法。委员会注意到，长期工作方案工作组断定，分三个阶段进行的现有做法为开展工作提供了良好的基础，这三个阶段是：</w:t>
      </w:r>
      <w:r w:rsidRPr="00BF42B7">
        <w:rPr>
          <w:rFonts w:ascii="Time New Roman" w:hAnsi="Time New Roman"/>
        </w:rPr>
        <w:t xml:space="preserve">(a) </w:t>
      </w:r>
      <w:r w:rsidRPr="00BF42B7">
        <w:rPr>
          <w:rFonts w:ascii="Time New Roman" w:hAnsi="Time New Roman"/>
        </w:rPr>
        <w:t>确定可能的专题；</w:t>
      </w:r>
      <w:r w:rsidRPr="00BF42B7">
        <w:rPr>
          <w:rFonts w:ascii="Time New Roman" w:hAnsi="Time New Roman"/>
        </w:rPr>
        <w:t xml:space="preserve">(b) </w:t>
      </w:r>
      <w:r w:rsidRPr="00BF42B7">
        <w:rPr>
          <w:rFonts w:ascii="Time New Roman" w:hAnsi="Time New Roman"/>
        </w:rPr>
        <w:t>就特定专题编写篇幅很短的文件；和</w:t>
      </w:r>
      <w:r w:rsidRPr="00BF42B7">
        <w:rPr>
          <w:rFonts w:ascii="Time New Roman" w:hAnsi="Time New Roman"/>
        </w:rPr>
        <w:t xml:space="preserve">(c) </w:t>
      </w:r>
      <w:r w:rsidRPr="00BF42B7">
        <w:rPr>
          <w:rFonts w:ascii="Time New Roman" w:hAnsi="Time New Roman"/>
        </w:rPr>
        <w:t>编写较详细的大纲。按照这一程序，可就特定专题广泛交流意见，同时有助于保证专题的可行性。此外，虽然意识到通常是在五年期快结束时就长期工作方案</w:t>
      </w:r>
      <w:r w:rsidRPr="00BF42B7">
        <w:rPr>
          <w:rFonts w:ascii="Time New Roman" w:hAnsi="Time New Roman" w:hint="eastAsia"/>
        </w:rPr>
        <w:t>的</w:t>
      </w:r>
      <w:r w:rsidRPr="00BF42B7">
        <w:rPr>
          <w:rFonts w:ascii="Time New Roman" w:hAnsi="Time New Roman"/>
        </w:rPr>
        <w:t>新专题作出决定，但工作组认为宜在本五年期内</w:t>
      </w:r>
      <w:r w:rsidRPr="00BF42B7">
        <w:rPr>
          <w:rFonts w:ascii="Time New Roman" w:hAnsi="Time New Roman" w:hint="eastAsia"/>
        </w:rPr>
        <w:t>作出此类决定</w:t>
      </w:r>
      <w:r w:rsidRPr="00BF42B7">
        <w:rPr>
          <w:rFonts w:ascii="Time New Roman" w:hAnsi="Time New Roman"/>
        </w:rPr>
        <w:t>。</w:t>
      </w:r>
      <w:r w:rsidRPr="00BF42B7">
        <w:rPr>
          <w:color w:val="0000FF"/>
          <w:vertAlign w:val="superscript"/>
        </w:rPr>
        <w:footnoteReference w:id="1471"/>
      </w:r>
    </w:p>
    <w:p w:rsidR="00813081" w:rsidRPr="00BF42B7" w:rsidRDefault="00813081" w:rsidP="00852022">
      <w:pPr>
        <w:pStyle w:val="SingleTxtGC"/>
        <w:spacing w:line="310" w:lineRule="exact"/>
        <w:rPr>
          <w:rFonts w:ascii="Time New Roman" w:hAnsi="Time New Roman" w:hint="eastAsia"/>
        </w:rPr>
      </w:pPr>
      <w:r w:rsidRPr="00BF42B7">
        <w:rPr>
          <w:rFonts w:ascii="Time New Roman" w:hAnsi="Time New Roman" w:hint="eastAsia"/>
        </w:rPr>
        <w:t>3</w:t>
      </w:r>
      <w:r w:rsidRPr="00BF42B7">
        <w:rPr>
          <w:rFonts w:ascii="Time New Roman" w:hAnsi="Time New Roman"/>
        </w:rPr>
        <w:t xml:space="preserve">12.  </w:t>
      </w:r>
      <w:r w:rsidRPr="00BF42B7">
        <w:rPr>
          <w:rFonts w:ascii="Time New Roman" w:hAnsi="Time New Roman"/>
        </w:rPr>
        <w:t>委员会还指出，委员会确定有必要对自己的工作进行一次系统审查并对委员会未来可能审议的专题进行调查。为此目的，委员会于</w:t>
      </w:r>
      <w:r w:rsidRPr="00BF42B7">
        <w:rPr>
          <w:rFonts w:ascii="Time New Roman" w:hAnsi="Time New Roman"/>
        </w:rPr>
        <w:t>2014</w:t>
      </w:r>
      <w:r w:rsidRPr="00BF42B7">
        <w:rPr>
          <w:rFonts w:ascii="Time New Roman" w:hAnsi="Time New Roman"/>
        </w:rPr>
        <w:t>年请秘书处在本五年期结束前根据嗣后的情况发展审查</w:t>
      </w:r>
      <w:r w:rsidRPr="00BF42B7">
        <w:rPr>
          <w:rFonts w:ascii="Time New Roman" w:hAnsi="Time New Roman"/>
        </w:rPr>
        <w:t>1996</w:t>
      </w:r>
      <w:r w:rsidRPr="00BF42B7">
        <w:rPr>
          <w:rFonts w:ascii="Time New Roman" w:hAnsi="Time New Roman"/>
        </w:rPr>
        <w:t>年委员会编订的说明性专题大纲以及编写一份委员会可能审议的专题清单并附以简短的解释性说明。依照这一请求，秘书处编写了两份备忘录。第一份备忘录是</w:t>
      </w:r>
      <w:r w:rsidRPr="00BF42B7">
        <w:rPr>
          <w:rFonts w:ascii="Time New Roman" w:hAnsi="Time New Roman"/>
        </w:rPr>
        <w:t>2015</w:t>
      </w:r>
      <w:r w:rsidRPr="00BF42B7">
        <w:rPr>
          <w:rFonts w:ascii="Time New Roman" w:hAnsi="Time New Roman"/>
        </w:rPr>
        <w:t>年编写的，其中根据嗣后情况发展审查了</w:t>
      </w:r>
      <w:r w:rsidRPr="00BF42B7">
        <w:rPr>
          <w:rFonts w:ascii="Time New Roman" w:hAnsi="Time New Roman"/>
        </w:rPr>
        <w:t>1996</w:t>
      </w:r>
      <w:r w:rsidRPr="00BF42B7">
        <w:rPr>
          <w:rFonts w:ascii="Time New Roman" w:hAnsi="Time New Roman"/>
        </w:rPr>
        <w:t>年编订的专题清单</w:t>
      </w:r>
      <w:r w:rsidRPr="00BF42B7">
        <w:rPr>
          <w:rFonts w:ascii="Time New Roman" w:hAnsi="Time New Roman"/>
        </w:rPr>
        <w:t>(</w:t>
      </w:r>
      <w:hyperlink r:id="rId113" w:history="1">
        <w:r w:rsidRPr="00BF42B7">
          <w:rPr>
            <w:rStyle w:val="af"/>
            <w:rFonts w:ascii="Time New Roman" w:hAnsi="Time New Roman"/>
          </w:rPr>
          <w:t>A/CN.4/679</w:t>
        </w:r>
      </w:hyperlink>
      <w:r w:rsidRPr="00BF42B7">
        <w:rPr>
          <w:rFonts w:ascii="Time New Roman" w:hAnsi="Time New Roman"/>
        </w:rPr>
        <w:t>)</w:t>
      </w:r>
      <w:r w:rsidRPr="00BF42B7">
        <w:rPr>
          <w:rFonts w:ascii="Time New Roman" w:hAnsi="Time New Roman"/>
        </w:rPr>
        <w:t>。第二份备忘录是为本届会议编写的，题为</w:t>
      </w:r>
      <w:r w:rsidRPr="00BF42B7">
        <w:rPr>
          <w:rFonts w:ascii="Time New Roman" w:hAnsi="Time New Roman" w:hint="eastAsia"/>
        </w:rPr>
        <w:t>“</w:t>
      </w:r>
      <w:r w:rsidRPr="00BF42B7">
        <w:rPr>
          <w:rFonts w:ascii="Time New Roman" w:hAnsi="Time New Roman"/>
        </w:rPr>
        <w:t>考虑到根据嗣后情况发展对</w:t>
      </w:r>
      <w:r w:rsidRPr="00BF42B7">
        <w:rPr>
          <w:rFonts w:ascii="Time New Roman" w:hAnsi="Time New Roman"/>
        </w:rPr>
        <w:t>1996</w:t>
      </w:r>
      <w:r w:rsidRPr="00BF42B7">
        <w:rPr>
          <w:rFonts w:ascii="Time New Roman" w:hAnsi="Time New Roman"/>
        </w:rPr>
        <w:t>年编订的专题清单的审查结果提出的可能审议的专题</w:t>
      </w:r>
      <w:r w:rsidRPr="00BF42B7">
        <w:rPr>
          <w:rFonts w:ascii="Time New Roman" w:hAnsi="Time New Roman" w:hint="eastAsia"/>
        </w:rPr>
        <w:t>”</w:t>
      </w:r>
      <w:r w:rsidRPr="00BF42B7">
        <w:rPr>
          <w:rFonts w:ascii="Time New Roman" w:hAnsi="Time New Roman"/>
        </w:rPr>
        <w:t>(</w:t>
      </w:r>
      <w:hyperlink r:id="rId114" w:history="1">
        <w:r w:rsidRPr="00BF42B7">
          <w:rPr>
            <w:rStyle w:val="af"/>
            <w:rFonts w:ascii="Time New Roman" w:hAnsi="Time New Roman"/>
          </w:rPr>
          <w:t>A/CN.4/679/Add.1</w:t>
        </w:r>
      </w:hyperlink>
      <w:r w:rsidRPr="00BF42B7">
        <w:rPr>
          <w:rFonts w:ascii="Time New Roman" w:hAnsi="Time New Roman"/>
        </w:rPr>
        <w:t>)</w:t>
      </w:r>
      <w:r w:rsidRPr="00BF42B7">
        <w:rPr>
          <w:rFonts w:ascii="Time New Roman" w:hAnsi="Time New Roman"/>
        </w:rPr>
        <w:t>，其中载有六份工作文件，对可供工作组审议的专题作了简要的解释性说明。</w:t>
      </w:r>
    </w:p>
    <w:p w:rsidR="00813081" w:rsidRPr="00BF42B7" w:rsidRDefault="00813081" w:rsidP="00C8126A">
      <w:pPr>
        <w:pStyle w:val="SingleTxtGC"/>
        <w:widowControl w:val="0"/>
        <w:rPr>
          <w:rFonts w:ascii="Time New Roman" w:hAnsi="Time New Roman" w:hint="eastAsia"/>
        </w:rPr>
      </w:pPr>
      <w:r w:rsidRPr="00BF42B7">
        <w:rPr>
          <w:rFonts w:ascii="Time New Roman" w:hAnsi="Time New Roman" w:hint="eastAsia"/>
        </w:rPr>
        <w:t>3</w:t>
      </w:r>
      <w:r w:rsidRPr="00BF42B7">
        <w:rPr>
          <w:rFonts w:ascii="Time New Roman" w:hAnsi="Time New Roman"/>
        </w:rPr>
        <w:t xml:space="preserve">13.  </w:t>
      </w:r>
      <w:r w:rsidRPr="00BF42B7">
        <w:rPr>
          <w:rFonts w:ascii="Time New Roman" w:hAnsi="Time New Roman"/>
        </w:rPr>
        <w:t>委员会欢迎秘书处编写的两份备忘录，并注意到有六个可能的专题，即：</w:t>
      </w:r>
      <w:r w:rsidRPr="00BF42B7">
        <w:rPr>
          <w:rFonts w:ascii="Time New Roman" w:hAnsi="Time New Roman"/>
        </w:rPr>
        <w:t xml:space="preserve">(a) </w:t>
      </w:r>
      <w:r w:rsidRPr="00BF42B7">
        <w:rPr>
          <w:rFonts w:ascii="Time New Roman" w:hAnsi="Time New Roman" w:hint="eastAsia"/>
        </w:rPr>
        <w:t>“</w:t>
      </w:r>
      <w:r w:rsidRPr="00BF42B7">
        <w:rPr>
          <w:rFonts w:ascii="Time New Roman" w:hAnsi="Time New Roman"/>
        </w:rPr>
        <w:t>一般法律原则</w:t>
      </w:r>
      <w:r w:rsidRPr="00BF42B7">
        <w:rPr>
          <w:rFonts w:ascii="Time New Roman" w:hAnsi="Time New Roman" w:hint="eastAsia"/>
        </w:rPr>
        <w:t>”</w:t>
      </w:r>
      <w:r w:rsidRPr="00BF42B7">
        <w:rPr>
          <w:rFonts w:ascii="Time New Roman" w:hAnsi="Time New Roman"/>
        </w:rPr>
        <w:t>；</w:t>
      </w:r>
      <w:r w:rsidRPr="00BF42B7">
        <w:rPr>
          <w:rFonts w:ascii="Time New Roman" w:hAnsi="Time New Roman"/>
          <w:lang w:val="en-GB"/>
        </w:rPr>
        <w:t xml:space="preserve">(b) </w:t>
      </w:r>
      <w:r w:rsidRPr="00BF42B7">
        <w:rPr>
          <w:rFonts w:ascii="Time New Roman" w:hAnsi="Time New Roman" w:hint="eastAsia"/>
          <w:lang w:val="en-GB"/>
        </w:rPr>
        <w:t>“</w:t>
      </w:r>
      <w:r w:rsidRPr="00BF42B7">
        <w:rPr>
          <w:rFonts w:ascii="Time New Roman" w:hAnsi="Time New Roman"/>
          <w:lang w:val="en-GB"/>
        </w:rPr>
        <w:t>与国家或国际组织以外的国际法主体或此类主体相互间缔结的国际协定</w:t>
      </w:r>
      <w:r w:rsidRPr="00BF42B7">
        <w:rPr>
          <w:rFonts w:ascii="Time New Roman" w:hAnsi="Time New Roman" w:hint="eastAsia"/>
          <w:lang w:val="en-GB"/>
        </w:rPr>
        <w:t>”</w:t>
      </w:r>
      <w:r w:rsidRPr="00BF42B7">
        <w:rPr>
          <w:rFonts w:ascii="Time New Roman" w:hAnsi="Time New Roman"/>
          <w:lang w:val="en-GB"/>
        </w:rPr>
        <w:t>；</w:t>
      </w:r>
      <w:r w:rsidRPr="00BF42B7">
        <w:rPr>
          <w:rFonts w:ascii="Time New Roman" w:hAnsi="Time New Roman"/>
          <w:lang w:val="en-GB"/>
        </w:rPr>
        <w:t xml:space="preserve">(c) </w:t>
      </w:r>
      <w:r w:rsidRPr="00BF42B7">
        <w:rPr>
          <w:rFonts w:ascii="Time New Roman" w:hAnsi="Time New Roman" w:hint="eastAsia"/>
          <w:lang w:val="en-GB"/>
        </w:rPr>
        <w:t>“</w:t>
      </w:r>
      <w:r w:rsidRPr="00BF42B7">
        <w:rPr>
          <w:rFonts w:ascii="Time New Roman" w:hAnsi="Time New Roman"/>
          <w:lang w:val="en-GB"/>
        </w:rPr>
        <w:t>国家的承认</w:t>
      </w:r>
      <w:r w:rsidRPr="00BF42B7">
        <w:rPr>
          <w:rFonts w:ascii="Time New Roman" w:hAnsi="Time New Roman" w:hint="eastAsia"/>
          <w:lang w:val="en-GB"/>
        </w:rPr>
        <w:t>”</w:t>
      </w:r>
      <w:r w:rsidRPr="00BF42B7">
        <w:rPr>
          <w:rFonts w:ascii="Time New Roman" w:hAnsi="Time New Roman"/>
          <w:lang w:val="en-GB"/>
        </w:rPr>
        <w:t>；</w:t>
      </w:r>
      <w:r w:rsidRPr="00BF42B7">
        <w:rPr>
          <w:rFonts w:ascii="Time New Roman" w:hAnsi="Time New Roman"/>
          <w:lang w:val="en-GB"/>
        </w:rPr>
        <w:t xml:space="preserve">(d) </w:t>
      </w:r>
      <w:r w:rsidRPr="00BF42B7">
        <w:rPr>
          <w:rFonts w:ascii="Time New Roman" w:hAnsi="Time New Roman" w:hint="eastAsia"/>
          <w:lang w:val="en-GB"/>
        </w:rPr>
        <w:t>“</w:t>
      </w:r>
      <w:r w:rsidRPr="00BF42B7">
        <w:rPr>
          <w:rFonts w:ascii="Time New Roman" w:hAnsi="Time New Roman"/>
          <w:lang w:val="en-GB"/>
        </w:rPr>
        <w:t>陆地边界的划定和标定</w:t>
      </w:r>
      <w:r w:rsidRPr="00BF42B7">
        <w:rPr>
          <w:rFonts w:ascii="Time New Roman" w:hAnsi="Time New Roman" w:hint="eastAsia"/>
          <w:lang w:val="en-GB"/>
        </w:rPr>
        <w:t>”</w:t>
      </w:r>
      <w:r w:rsidRPr="00BF42B7">
        <w:rPr>
          <w:rFonts w:ascii="Time New Roman" w:hAnsi="Time New Roman"/>
          <w:lang w:val="en-GB"/>
        </w:rPr>
        <w:t>；</w:t>
      </w:r>
      <w:r w:rsidRPr="00BF42B7">
        <w:rPr>
          <w:rFonts w:ascii="Time New Roman" w:hAnsi="Time New Roman"/>
          <w:lang w:val="en-GB"/>
        </w:rPr>
        <w:t xml:space="preserve">(e) </w:t>
      </w:r>
      <w:r w:rsidRPr="00BF42B7">
        <w:rPr>
          <w:rFonts w:ascii="Time New Roman" w:hAnsi="Time New Roman" w:hint="eastAsia"/>
          <w:lang w:val="en-GB"/>
        </w:rPr>
        <w:t>“</w:t>
      </w:r>
      <w:r w:rsidRPr="00BF42B7">
        <w:rPr>
          <w:rFonts w:ascii="Time New Roman" w:hAnsi="Time New Roman"/>
          <w:lang w:val="en-GB"/>
        </w:rPr>
        <w:t>国际法下的补偿</w:t>
      </w:r>
      <w:r w:rsidRPr="00BF42B7">
        <w:rPr>
          <w:rFonts w:ascii="Time New Roman" w:hAnsi="Time New Roman" w:hint="eastAsia"/>
          <w:lang w:val="en-GB"/>
        </w:rPr>
        <w:t>”</w:t>
      </w:r>
      <w:r w:rsidRPr="00BF42B7">
        <w:rPr>
          <w:rFonts w:ascii="Time New Roman" w:hAnsi="Time New Roman"/>
          <w:lang w:val="en-GB"/>
        </w:rPr>
        <w:t>；和</w:t>
      </w:r>
      <w:r w:rsidRPr="00BF42B7">
        <w:rPr>
          <w:rFonts w:ascii="Time New Roman" w:hAnsi="Time New Roman"/>
          <w:lang w:val="en-GB"/>
        </w:rPr>
        <w:t xml:space="preserve">(f) </w:t>
      </w:r>
      <w:r w:rsidRPr="00BF42B7">
        <w:rPr>
          <w:rFonts w:ascii="Time New Roman" w:hAnsi="Time New Roman" w:hint="eastAsia"/>
          <w:lang w:val="en-GB"/>
        </w:rPr>
        <w:t>“</w:t>
      </w:r>
      <w:r w:rsidRPr="00BF42B7">
        <w:rPr>
          <w:rFonts w:ascii="Time New Roman" w:hAnsi="Time New Roman"/>
        </w:rPr>
        <w:t>国际法中的证据原则</w:t>
      </w:r>
      <w:r w:rsidRPr="00BF42B7">
        <w:rPr>
          <w:rFonts w:ascii="Time New Roman" w:hAnsi="Time New Roman" w:hint="eastAsia"/>
          <w:lang w:val="en-GB"/>
        </w:rPr>
        <w:t>”</w:t>
      </w:r>
      <w:r w:rsidRPr="00BF42B7">
        <w:rPr>
          <w:rFonts w:ascii="Time New Roman" w:hAnsi="Time New Roman"/>
        </w:rPr>
        <w:t>。委员会建议长期工作方案工作组在委员会第六十九届会议上</w:t>
      </w:r>
      <w:r w:rsidRPr="00BF42B7">
        <w:rPr>
          <w:rFonts w:ascii="Time New Roman" w:hAnsi="Time New Roman"/>
        </w:rPr>
        <w:t>(2017</w:t>
      </w:r>
      <w:r w:rsidRPr="00BF42B7">
        <w:rPr>
          <w:rFonts w:ascii="Time New Roman" w:hAnsi="Time New Roman"/>
        </w:rPr>
        <w:t>年</w:t>
      </w:r>
      <w:r w:rsidRPr="00BF42B7">
        <w:rPr>
          <w:rFonts w:ascii="Time New Roman" w:hAnsi="Time New Roman"/>
        </w:rPr>
        <w:t>)</w:t>
      </w:r>
      <w:r w:rsidRPr="00BF42B7">
        <w:rPr>
          <w:rFonts w:ascii="Time New Roman" w:hAnsi="Time New Roman"/>
        </w:rPr>
        <w:t>进一步审议这六个可能的专题。</w:t>
      </w:r>
    </w:p>
    <w:p w:rsidR="00813081" w:rsidRPr="00BF42B7" w:rsidRDefault="00813081" w:rsidP="00813081">
      <w:pPr>
        <w:pStyle w:val="H23GC"/>
        <w:rPr>
          <w:b/>
          <w:lang w:val="en-GB"/>
        </w:rPr>
      </w:pPr>
      <w:r w:rsidRPr="00852022">
        <w:rPr>
          <w:bCs/>
          <w:lang w:val="en-GB"/>
        </w:rPr>
        <w:tab/>
        <w:t>2.</w:t>
      </w:r>
      <w:r w:rsidRPr="00852022">
        <w:rPr>
          <w:bCs/>
          <w:lang w:val="en-GB"/>
        </w:rPr>
        <w:tab/>
      </w:r>
      <w:r w:rsidRPr="00BF42B7">
        <w:rPr>
          <w:lang w:val="en-GB"/>
        </w:rPr>
        <w:t>审议大会</w:t>
      </w:r>
      <w:r w:rsidRPr="00BF42B7">
        <w:rPr>
          <w:lang w:val="en-GB"/>
        </w:rPr>
        <w:t>2015</w:t>
      </w:r>
      <w:r w:rsidRPr="00BF42B7">
        <w:rPr>
          <w:lang w:val="en-GB"/>
        </w:rPr>
        <w:t>年</w:t>
      </w:r>
      <w:r w:rsidRPr="00BF42B7">
        <w:rPr>
          <w:lang w:val="en-GB"/>
        </w:rPr>
        <w:t>12</w:t>
      </w:r>
      <w:r w:rsidRPr="00BF42B7">
        <w:rPr>
          <w:lang w:val="en-GB"/>
        </w:rPr>
        <w:t>月</w:t>
      </w:r>
      <w:r w:rsidRPr="00BF42B7">
        <w:rPr>
          <w:lang w:val="en-GB"/>
        </w:rPr>
        <w:t>14</w:t>
      </w:r>
      <w:r w:rsidRPr="00BF42B7">
        <w:rPr>
          <w:lang w:val="en-GB"/>
        </w:rPr>
        <w:t>日关于国内和国际法治的第</w:t>
      </w:r>
      <w:hyperlink r:id="rId115" w:history="1">
        <w:r w:rsidRPr="00BF42B7">
          <w:rPr>
            <w:rStyle w:val="af"/>
            <w:rFonts w:ascii="Time New Roman" w:eastAsia="宋体" w:hAnsi="Time New Roman"/>
            <w:szCs w:val="21"/>
            <w:lang w:val="en-GB"/>
          </w:rPr>
          <w:t>70/118</w:t>
        </w:r>
      </w:hyperlink>
      <w:r w:rsidRPr="00BF42B7">
        <w:rPr>
          <w:lang w:val="en-GB"/>
        </w:rPr>
        <w:t>号决议</w:t>
      </w:r>
    </w:p>
    <w:p w:rsidR="00813081" w:rsidRPr="00BF42B7" w:rsidRDefault="00813081" w:rsidP="00813081">
      <w:pPr>
        <w:pStyle w:val="SingleTxtGC"/>
        <w:rPr>
          <w:rFonts w:ascii="Time New Roman" w:hAnsi="Time New Roman" w:hint="eastAsia"/>
          <w:lang w:val="en-GB"/>
        </w:rPr>
      </w:pPr>
      <w:r w:rsidRPr="00BF42B7">
        <w:rPr>
          <w:rFonts w:ascii="Time New Roman" w:hAnsi="Time New Roman" w:hint="eastAsia"/>
          <w:lang w:val="en-GB"/>
        </w:rPr>
        <w:t>3</w:t>
      </w:r>
      <w:r w:rsidRPr="00BF42B7">
        <w:rPr>
          <w:rFonts w:ascii="Time New Roman" w:hAnsi="Time New Roman"/>
          <w:lang w:val="en-GB"/>
        </w:rPr>
        <w:t xml:space="preserve">14.  </w:t>
      </w:r>
      <w:r w:rsidRPr="00BF42B7">
        <w:rPr>
          <w:rFonts w:ascii="Time New Roman" w:hAnsi="Time New Roman"/>
          <w:lang w:val="en-GB"/>
        </w:rPr>
        <w:t>大会</w:t>
      </w:r>
      <w:r w:rsidRPr="00BF42B7">
        <w:rPr>
          <w:rFonts w:ascii="Time New Roman" w:hAnsi="Time New Roman"/>
          <w:lang w:val="en-GB"/>
        </w:rPr>
        <w:t>2015</w:t>
      </w:r>
      <w:r w:rsidRPr="00BF42B7">
        <w:rPr>
          <w:rFonts w:ascii="Time New Roman" w:hAnsi="Time New Roman"/>
          <w:lang w:val="en-GB"/>
        </w:rPr>
        <w:t>年</w:t>
      </w:r>
      <w:r w:rsidRPr="00BF42B7">
        <w:rPr>
          <w:rFonts w:ascii="Time New Roman" w:hAnsi="Time New Roman"/>
          <w:lang w:val="en-GB"/>
        </w:rPr>
        <w:t>12</w:t>
      </w:r>
      <w:r w:rsidRPr="00BF42B7">
        <w:rPr>
          <w:rFonts w:ascii="Time New Roman" w:hAnsi="Time New Roman"/>
          <w:lang w:val="en-GB"/>
        </w:rPr>
        <w:t>月</w:t>
      </w:r>
      <w:r w:rsidRPr="00BF42B7">
        <w:rPr>
          <w:rFonts w:ascii="Time New Roman" w:hAnsi="Time New Roman"/>
          <w:lang w:val="en-GB"/>
        </w:rPr>
        <w:t>14</w:t>
      </w:r>
      <w:r w:rsidRPr="00BF42B7">
        <w:rPr>
          <w:rFonts w:ascii="Time New Roman" w:hAnsi="Time New Roman"/>
          <w:lang w:val="en-GB"/>
        </w:rPr>
        <w:t>日关于国内和国际法治的第</w:t>
      </w:r>
      <w:hyperlink r:id="rId116" w:history="1">
        <w:r w:rsidRPr="00BF42B7">
          <w:rPr>
            <w:rStyle w:val="af"/>
            <w:rFonts w:ascii="Time New Roman" w:hAnsi="Time New Roman"/>
            <w:lang w:val="en-GB"/>
          </w:rPr>
          <w:t>70/118</w:t>
        </w:r>
      </w:hyperlink>
      <w:r w:rsidRPr="00BF42B7">
        <w:rPr>
          <w:rFonts w:ascii="Time New Roman" w:hAnsi="Time New Roman"/>
          <w:lang w:val="en-GB"/>
        </w:rPr>
        <w:t>号决议特别重申，请委员会在提交大会的报告中就其目前在促进法治方面发挥的作用发表评论。自第六十届会议</w:t>
      </w:r>
      <w:r w:rsidRPr="00BF42B7">
        <w:rPr>
          <w:rFonts w:ascii="Time New Roman" w:hAnsi="Time New Roman"/>
          <w:lang w:val="en-GB"/>
        </w:rPr>
        <w:t>(2008</w:t>
      </w:r>
      <w:r w:rsidRPr="00BF42B7">
        <w:rPr>
          <w:rFonts w:ascii="Time New Roman" w:hAnsi="Time New Roman"/>
          <w:lang w:val="en-GB"/>
        </w:rPr>
        <w:t>年</w:t>
      </w:r>
      <w:r w:rsidRPr="00BF42B7">
        <w:rPr>
          <w:rFonts w:ascii="Time New Roman" w:hAnsi="Time New Roman"/>
          <w:lang w:val="en-GB"/>
        </w:rPr>
        <w:t>)</w:t>
      </w:r>
      <w:r w:rsidRPr="00BF42B7">
        <w:rPr>
          <w:rFonts w:ascii="Time New Roman" w:hAnsi="Time New Roman"/>
          <w:lang w:val="en-GB"/>
        </w:rPr>
        <w:t>以来，委员会每年均对其在促进法治方面的作用作出评论。委员会指出，</w:t>
      </w:r>
      <w:r w:rsidRPr="00BF42B7">
        <w:rPr>
          <w:rFonts w:ascii="Time New Roman" w:hAnsi="Time New Roman"/>
          <w:lang w:val="en-GB"/>
        </w:rPr>
        <w:t>2008</w:t>
      </w:r>
      <w:r w:rsidRPr="00BF42B7">
        <w:rPr>
          <w:rFonts w:ascii="Time New Roman" w:hAnsi="Time New Roman"/>
          <w:lang w:val="en-GB"/>
        </w:rPr>
        <w:t>年报告</w:t>
      </w:r>
      <w:r w:rsidRPr="00BF42B7">
        <w:rPr>
          <w:rFonts w:ascii="Time New Roman" w:hAnsi="Time New Roman"/>
          <w:lang w:val="en-GB"/>
        </w:rPr>
        <w:t>(</w:t>
      </w:r>
      <w:hyperlink r:id="rId117" w:history="1">
        <w:r w:rsidRPr="00BF42B7">
          <w:rPr>
            <w:rStyle w:val="af"/>
            <w:rFonts w:ascii="Time New Roman" w:hAnsi="Time New Roman"/>
            <w:lang w:val="en-GB"/>
          </w:rPr>
          <w:t>A/63/10</w:t>
        </w:r>
      </w:hyperlink>
      <w:r w:rsidRPr="00BF42B7">
        <w:rPr>
          <w:rFonts w:ascii="Time New Roman" w:hAnsi="Time New Roman"/>
          <w:lang w:val="en-GB"/>
        </w:rPr>
        <w:t>)</w:t>
      </w:r>
      <w:r w:rsidRPr="00BF42B7">
        <w:rPr>
          <w:rFonts w:ascii="Time New Roman" w:hAnsi="Time New Roman"/>
          <w:lang w:val="en-GB"/>
        </w:rPr>
        <w:t>第</w:t>
      </w:r>
      <w:r w:rsidRPr="00BF42B7">
        <w:rPr>
          <w:rFonts w:ascii="Time New Roman" w:hAnsi="Time New Roman"/>
          <w:lang w:val="en-GB"/>
        </w:rPr>
        <w:t>341</w:t>
      </w:r>
      <w:r w:rsidRPr="00BF42B7">
        <w:rPr>
          <w:rFonts w:ascii="Time New Roman" w:hAnsi="Time New Roman"/>
          <w:lang w:val="en-GB"/>
        </w:rPr>
        <w:t>至第</w:t>
      </w:r>
      <w:r w:rsidRPr="00BF42B7">
        <w:rPr>
          <w:rFonts w:ascii="Time New Roman" w:hAnsi="Time New Roman"/>
          <w:lang w:val="en-GB"/>
        </w:rPr>
        <w:t>346</w:t>
      </w:r>
      <w:r w:rsidRPr="00BF42B7">
        <w:rPr>
          <w:rFonts w:ascii="Time New Roman" w:hAnsi="Time New Roman"/>
          <w:lang w:val="en-GB"/>
        </w:rPr>
        <w:t>段所载的评论依然适用，并重申了其后各届会议所作的评论。</w:t>
      </w:r>
      <w:r w:rsidRPr="00BF42B7">
        <w:rPr>
          <w:color w:val="0000FF"/>
          <w:vertAlign w:val="superscript"/>
          <w:lang w:val="en-GB"/>
        </w:rPr>
        <w:footnoteReference w:id="1472"/>
      </w:r>
    </w:p>
    <w:p w:rsidR="00813081" w:rsidRPr="00BF42B7" w:rsidRDefault="00813081" w:rsidP="00813081">
      <w:pPr>
        <w:pStyle w:val="SingleTxtGC"/>
        <w:rPr>
          <w:rFonts w:ascii="Time New Roman" w:hAnsi="Time New Roman" w:hint="eastAsia"/>
          <w:lang w:val="en-GB"/>
        </w:rPr>
      </w:pPr>
      <w:r w:rsidRPr="00BF42B7">
        <w:rPr>
          <w:rFonts w:ascii="Time New Roman" w:hAnsi="Time New Roman" w:hint="eastAsia"/>
          <w:lang w:val="en-GB"/>
        </w:rPr>
        <w:t>3</w:t>
      </w:r>
      <w:r w:rsidRPr="00BF42B7">
        <w:rPr>
          <w:rFonts w:ascii="Time New Roman" w:hAnsi="Time New Roman"/>
          <w:lang w:val="en-GB"/>
        </w:rPr>
        <w:t xml:space="preserve">15.  </w:t>
      </w:r>
      <w:r w:rsidRPr="00BF42B7">
        <w:rPr>
          <w:rFonts w:ascii="Time New Roman" w:hAnsi="Time New Roman"/>
          <w:lang w:val="en-GB"/>
        </w:rPr>
        <w:t>委员会回顾，法治是其工作的精髓。委员会的宗旨一如其《章程》第</w:t>
      </w:r>
      <w:r w:rsidRPr="00BF42B7">
        <w:rPr>
          <w:rFonts w:ascii="Time New Roman" w:hAnsi="Time New Roman"/>
          <w:lang w:val="en-GB"/>
        </w:rPr>
        <w:t>1</w:t>
      </w:r>
      <w:r w:rsidRPr="00BF42B7">
        <w:rPr>
          <w:rFonts w:ascii="Time New Roman" w:hAnsi="Time New Roman"/>
          <w:lang w:val="en-GB"/>
        </w:rPr>
        <w:t>条所申明的，是促进国际法的逐渐发展及其编纂。</w:t>
      </w:r>
    </w:p>
    <w:p w:rsidR="00813081" w:rsidRPr="00BF42B7" w:rsidRDefault="00813081" w:rsidP="00813081">
      <w:pPr>
        <w:pStyle w:val="SingleTxtGC"/>
        <w:rPr>
          <w:rFonts w:ascii="Time New Roman" w:hAnsi="Time New Roman" w:hint="eastAsia"/>
          <w:lang w:val="en-GB"/>
        </w:rPr>
      </w:pPr>
      <w:r w:rsidRPr="00BF42B7">
        <w:rPr>
          <w:rFonts w:ascii="Time New Roman" w:hAnsi="Time New Roman" w:hint="eastAsia"/>
          <w:lang w:val="en-GB"/>
        </w:rPr>
        <w:t>3</w:t>
      </w:r>
      <w:r w:rsidRPr="00BF42B7">
        <w:rPr>
          <w:rFonts w:ascii="Time New Roman" w:hAnsi="Time New Roman"/>
          <w:lang w:val="en-GB"/>
        </w:rPr>
        <w:t xml:space="preserve">16.  </w:t>
      </w:r>
      <w:r w:rsidRPr="00BF42B7">
        <w:rPr>
          <w:rFonts w:ascii="Time New Roman" w:hAnsi="Time New Roman"/>
          <w:lang w:val="en-GB"/>
        </w:rPr>
        <w:t>委员会在其所有工作中都铭记法治原则，充分意识到在国家层面实施国际法的重要性，并以在国际层面促进尊重法治为追求的目标。</w:t>
      </w:r>
    </w:p>
    <w:p w:rsidR="00813081" w:rsidRPr="00BF42B7" w:rsidRDefault="00813081" w:rsidP="00813081">
      <w:pPr>
        <w:pStyle w:val="SingleTxtGC"/>
        <w:rPr>
          <w:rFonts w:ascii="Time New Roman" w:hAnsi="Time New Roman" w:hint="eastAsia"/>
          <w:lang w:val="en-GB"/>
        </w:rPr>
      </w:pPr>
      <w:r w:rsidRPr="00BF42B7">
        <w:rPr>
          <w:rFonts w:ascii="Time New Roman" w:hAnsi="Time New Roman" w:hint="eastAsia"/>
          <w:lang w:val="en-GB"/>
        </w:rPr>
        <w:t>3</w:t>
      </w:r>
      <w:r w:rsidRPr="00BF42B7">
        <w:rPr>
          <w:rFonts w:ascii="Time New Roman" w:hAnsi="Time New Roman"/>
          <w:lang w:val="en-GB"/>
        </w:rPr>
        <w:t xml:space="preserve">17.  </w:t>
      </w:r>
      <w:r w:rsidRPr="00BF42B7">
        <w:rPr>
          <w:rFonts w:ascii="Time New Roman" w:hAnsi="Time New Roman"/>
          <w:lang w:val="en-GB"/>
        </w:rPr>
        <w:t>委员会在履行其逐渐发展和编纂国际法这项任务的同时，将继续在适当时考虑到法治即为一项治理原则，并考虑到人权对于法治具有根本意义，正如《联合国宪章》第十三条和《国内和国际的法治问题大会高级别会议宣言》</w:t>
      </w:r>
      <w:r w:rsidRPr="00BF42B7">
        <w:rPr>
          <w:color w:val="0000FF"/>
          <w:vertAlign w:val="superscript"/>
          <w:lang w:val="en-GB"/>
        </w:rPr>
        <w:footnoteReference w:id="1473"/>
      </w:r>
      <w:r w:rsidRPr="00BF42B7">
        <w:rPr>
          <w:rFonts w:ascii="Time New Roman" w:hAnsi="Time New Roman"/>
          <w:lang w:val="en-GB"/>
        </w:rPr>
        <w:t xml:space="preserve"> </w:t>
      </w:r>
      <w:r w:rsidRPr="00BF42B7">
        <w:rPr>
          <w:rFonts w:ascii="Time New Roman" w:hAnsi="Time New Roman"/>
          <w:lang w:val="en-GB"/>
        </w:rPr>
        <w:t>所反映的那样。</w:t>
      </w:r>
    </w:p>
    <w:p w:rsidR="00813081" w:rsidRPr="00BF42B7" w:rsidRDefault="00813081" w:rsidP="00813081">
      <w:pPr>
        <w:pStyle w:val="SingleTxtGC"/>
        <w:rPr>
          <w:rFonts w:ascii="Time New Roman" w:hAnsi="Time New Roman" w:hint="eastAsia"/>
          <w:lang w:val="en-GB"/>
        </w:rPr>
      </w:pPr>
      <w:r w:rsidRPr="00BF42B7">
        <w:rPr>
          <w:rFonts w:ascii="Time New Roman" w:hAnsi="Time New Roman" w:hint="eastAsia"/>
          <w:lang w:val="en-GB"/>
        </w:rPr>
        <w:t>3</w:t>
      </w:r>
      <w:r w:rsidRPr="00BF42B7">
        <w:rPr>
          <w:rFonts w:ascii="Time New Roman" w:hAnsi="Time New Roman"/>
          <w:lang w:val="en-GB"/>
        </w:rPr>
        <w:t xml:space="preserve">18.  </w:t>
      </w:r>
      <w:r w:rsidRPr="00BF42B7">
        <w:rPr>
          <w:rFonts w:ascii="Time New Roman" w:hAnsi="Time New Roman"/>
          <w:lang w:val="en-GB"/>
        </w:rPr>
        <w:t>在其目前的工作当中，委员会意识到</w:t>
      </w:r>
      <w:r w:rsidRPr="00BF42B7">
        <w:rPr>
          <w:rFonts w:ascii="Time New Roman" w:hAnsi="Time New Roman" w:hint="eastAsia"/>
          <w:lang w:val="en-GB"/>
        </w:rPr>
        <w:t>“</w:t>
      </w:r>
      <w:r w:rsidRPr="00BF42B7">
        <w:rPr>
          <w:rFonts w:ascii="Time New Roman" w:hAnsi="Time New Roman"/>
          <w:lang w:val="en-GB"/>
        </w:rPr>
        <w:t>法治与联合国三大支柱</w:t>
      </w:r>
      <w:r w:rsidRPr="00BF42B7">
        <w:rPr>
          <w:rFonts w:ascii="Time New Roman" w:hAnsi="Time New Roman"/>
          <w:lang w:val="en-GB"/>
        </w:rPr>
        <w:t>(</w:t>
      </w:r>
      <w:r w:rsidRPr="00BF42B7">
        <w:rPr>
          <w:rFonts w:ascii="Time New Roman" w:hAnsi="Time New Roman"/>
          <w:lang w:val="en-GB"/>
        </w:rPr>
        <w:t>和平与安全、发展、人权</w:t>
      </w:r>
      <w:r w:rsidRPr="00BF42B7">
        <w:rPr>
          <w:rFonts w:ascii="Time New Roman" w:hAnsi="Time New Roman"/>
          <w:lang w:val="en-GB"/>
        </w:rPr>
        <w:t>)</w:t>
      </w:r>
      <w:r w:rsidRPr="00BF42B7">
        <w:rPr>
          <w:rFonts w:ascii="Time New Roman" w:hAnsi="Time New Roman"/>
          <w:lang w:val="en-GB"/>
        </w:rPr>
        <w:t>之间的相互关系</w:t>
      </w:r>
      <w:r w:rsidRPr="00BF42B7">
        <w:rPr>
          <w:rFonts w:ascii="Time New Roman" w:hAnsi="Time New Roman" w:hint="eastAsia"/>
          <w:lang w:val="en-GB"/>
        </w:rPr>
        <w:t>”</w:t>
      </w:r>
      <w:r w:rsidRPr="00BF42B7">
        <w:rPr>
          <w:rFonts w:ascii="Time New Roman" w:hAnsi="Time New Roman"/>
          <w:lang w:val="en-GB"/>
        </w:rPr>
        <w:t>，</w:t>
      </w:r>
      <w:r w:rsidRPr="00BF42B7">
        <w:rPr>
          <w:color w:val="0000FF"/>
          <w:vertAlign w:val="superscript"/>
          <w:lang w:val="en-GB"/>
        </w:rPr>
        <w:footnoteReference w:id="1474"/>
      </w:r>
      <w:r w:rsidRPr="00BF42B7">
        <w:rPr>
          <w:rFonts w:ascii="Time New Roman" w:hAnsi="Time New Roman"/>
          <w:lang w:val="en-GB"/>
        </w:rPr>
        <w:t xml:space="preserve"> </w:t>
      </w:r>
      <w:r w:rsidRPr="00BF42B7">
        <w:rPr>
          <w:rFonts w:ascii="Time New Roman" w:hAnsi="Time New Roman"/>
          <w:lang w:val="en-GB"/>
        </w:rPr>
        <w:t>不会顾此失彼。为此，委员会深知，</w:t>
      </w:r>
      <w:r w:rsidRPr="00BF42B7">
        <w:rPr>
          <w:rFonts w:ascii="Time New Roman" w:hAnsi="Time New Roman"/>
        </w:rPr>
        <w:t>2030</w:t>
      </w:r>
      <w:r w:rsidRPr="00BF42B7">
        <w:rPr>
          <w:rFonts w:ascii="Time New Roman" w:hAnsi="Time New Roman"/>
        </w:rPr>
        <w:t>年可持续发展议程中确认有必要在各级实行有效的法治和良政。</w:t>
      </w:r>
      <w:r w:rsidRPr="00BF42B7">
        <w:rPr>
          <w:color w:val="0000FF"/>
          <w:vertAlign w:val="superscript"/>
        </w:rPr>
        <w:footnoteReference w:id="1475"/>
      </w:r>
      <w:r w:rsidRPr="00BF42B7">
        <w:rPr>
          <w:rFonts w:ascii="Time New Roman" w:hAnsi="Time New Roman"/>
          <w:lang w:val="en-GB"/>
        </w:rPr>
        <w:t xml:space="preserve"> </w:t>
      </w:r>
      <w:r w:rsidRPr="00BF42B7">
        <w:rPr>
          <w:rFonts w:ascii="Time New Roman" w:hAnsi="Time New Roman"/>
        </w:rPr>
        <w:t>委员会</w:t>
      </w:r>
      <w:r w:rsidRPr="00BF42B7">
        <w:rPr>
          <w:rFonts w:ascii="Time New Roman" w:hAnsi="Time New Roman"/>
          <w:lang w:val="en-GB"/>
        </w:rPr>
        <w:t>在履行其关于国际法的逐渐发展和编纂的任务时，认识到法治当前面临的挑战。</w:t>
      </w:r>
    </w:p>
    <w:p w:rsidR="00813081" w:rsidRPr="00BF42B7" w:rsidRDefault="00813081" w:rsidP="00813081">
      <w:pPr>
        <w:pStyle w:val="SingleTxtGC"/>
        <w:rPr>
          <w:rFonts w:ascii="Time New Roman" w:hAnsi="Time New Roman" w:hint="eastAsia"/>
        </w:rPr>
      </w:pPr>
      <w:r w:rsidRPr="00BF42B7">
        <w:rPr>
          <w:rFonts w:ascii="Time New Roman" w:hAnsi="Time New Roman" w:hint="eastAsia"/>
        </w:rPr>
        <w:t>3</w:t>
      </w:r>
      <w:r w:rsidRPr="00BF42B7">
        <w:rPr>
          <w:rFonts w:ascii="Time New Roman" w:hAnsi="Time New Roman"/>
        </w:rPr>
        <w:t xml:space="preserve">19.  </w:t>
      </w:r>
      <w:r w:rsidRPr="00BF42B7">
        <w:rPr>
          <w:rFonts w:ascii="Time New Roman" w:hAnsi="Time New Roman"/>
        </w:rPr>
        <w:t>鉴于大会强调必须促进分享各国在法治方面的最佳做法，</w:t>
      </w:r>
      <w:r w:rsidRPr="00BF42B7">
        <w:rPr>
          <w:color w:val="0000FF"/>
          <w:vertAlign w:val="superscript"/>
        </w:rPr>
        <w:footnoteReference w:id="1476"/>
      </w:r>
      <w:r w:rsidRPr="00BF42B7">
        <w:rPr>
          <w:rFonts w:ascii="Time New Roman" w:hAnsi="Time New Roman"/>
        </w:rPr>
        <w:t xml:space="preserve"> </w:t>
      </w:r>
      <w:r w:rsidRPr="00BF42B7">
        <w:rPr>
          <w:rFonts w:ascii="Time New Roman" w:hAnsi="Time New Roman"/>
        </w:rPr>
        <w:t>委员会希望回顾，其大部分工作就是收集和分析各国与法治有关的实践，以评估这些实践对国际法的逐渐发展和编纂可能作出的贡献。</w:t>
      </w:r>
    </w:p>
    <w:p w:rsidR="00813081" w:rsidRPr="00852022" w:rsidRDefault="00813081" w:rsidP="00813081">
      <w:pPr>
        <w:pStyle w:val="SingleTxtGC"/>
        <w:rPr>
          <w:rFonts w:ascii="Time New Roman" w:hAnsi="Time New Roman" w:hint="eastAsia"/>
          <w:spacing w:val="-2"/>
        </w:rPr>
      </w:pPr>
      <w:r w:rsidRPr="00BF42B7">
        <w:rPr>
          <w:rFonts w:ascii="Time New Roman" w:hAnsi="Time New Roman" w:hint="eastAsia"/>
        </w:rPr>
        <w:t>3</w:t>
      </w:r>
      <w:r w:rsidRPr="00BF42B7">
        <w:rPr>
          <w:rFonts w:ascii="Time New Roman" w:hAnsi="Time New Roman"/>
        </w:rPr>
        <w:t>20</w:t>
      </w:r>
      <w:r w:rsidRPr="00BF42B7">
        <w:rPr>
          <w:rFonts w:ascii="Time New Roman" w:hAnsi="Time New Roman"/>
          <w:lang w:val="en-GB"/>
        </w:rPr>
        <w:t xml:space="preserve">.  </w:t>
      </w:r>
      <w:r w:rsidRPr="00852022">
        <w:rPr>
          <w:rFonts w:ascii="Time New Roman" w:hAnsi="Time New Roman"/>
          <w:spacing w:val="-2"/>
          <w:lang w:val="en-GB"/>
        </w:rPr>
        <w:t>铭记多边条约进程对推进法治的作用</w:t>
      </w:r>
      <w:r w:rsidRPr="00852022">
        <w:rPr>
          <w:rFonts w:ascii="Time New Roman" w:hAnsi="Time New Roman"/>
          <w:spacing w:val="-2"/>
        </w:rPr>
        <w:t>，</w:t>
      </w:r>
      <w:r w:rsidRPr="00852022">
        <w:rPr>
          <w:color w:val="0000FF"/>
          <w:spacing w:val="-2"/>
          <w:vertAlign w:val="superscript"/>
        </w:rPr>
        <w:footnoteReference w:id="1477"/>
      </w:r>
      <w:r w:rsidRPr="00852022">
        <w:rPr>
          <w:rFonts w:ascii="Time New Roman" w:hAnsi="Time New Roman"/>
          <w:spacing w:val="-2"/>
        </w:rPr>
        <w:t xml:space="preserve"> </w:t>
      </w:r>
      <w:r w:rsidRPr="00852022">
        <w:rPr>
          <w:rFonts w:ascii="Time New Roman" w:hAnsi="Time New Roman"/>
          <w:spacing w:val="-2"/>
        </w:rPr>
        <w:t>委员会回顾，委员会围绕不同专题开展过的工作已促成了若干多边条约进程，</w:t>
      </w:r>
      <w:r w:rsidRPr="00852022">
        <w:rPr>
          <w:rFonts w:ascii="Time New Roman" w:hAnsi="Time New Roman" w:hint="eastAsia"/>
          <w:spacing w:val="-2"/>
        </w:rPr>
        <w:t>并使</w:t>
      </w:r>
      <w:r w:rsidRPr="00852022">
        <w:rPr>
          <w:rFonts w:ascii="Time New Roman" w:hAnsi="Time New Roman"/>
          <w:spacing w:val="-2"/>
        </w:rPr>
        <w:t>一些多边条约</w:t>
      </w:r>
      <w:r w:rsidRPr="00852022">
        <w:rPr>
          <w:rFonts w:ascii="Time New Roman" w:hAnsi="Time New Roman" w:hint="eastAsia"/>
          <w:spacing w:val="-2"/>
        </w:rPr>
        <w:t>获得</w:t>
      </w:r>
      <w:r w:rsidRPr="00852022">
        <w:rPr>
          <w:rFonts w:ascii="Time New Roman" w:hAnsi="Time New Roman"/>
          <w:spacing w:val="-2"/>
        </w:rPr>
        <w:t>通过。</w:t>
      </w:r>
      <w:r w:rsidRPr="00852022">
        <w:rPr>
          <w:color w:val="0000FF"/>
          <w:spacing w:val="-2"/>
          <w:vertAlign w:val="superscript"/>
          <w:lang w:val="en-GB"/>
        </w:rPr>
        <w:footnoteReference w:id="1478"/>
      </w:r>
    </w:p>
    <w:p w:rsidR="00813081" w:rsidRPr="00BF42B7" w:rsidRDefault="00813081" w:rsidP="00813081">
      <w:pPr>
        <w:pStyle w:val="SingleTxtGC"/>
        <w:rPr>
          <w:rFonts w:ascii="Time New Roman" w:hAnsi="Time New Roman" w:hint="eastAsia"/>
          <w:lang w:val="en-GB"/>
        </w:rPr>
      </w:pPr>
      <w:r w:rsidRPr="00BF42B7">
        <w:rPr>
          <w:rFonts w:ascii="Time New Roman" w:hAnsi="Time New Roman" w:hint="eastAsia"/>
        </w:rPr>
        <w:t>3</w:t>
      </w:r>
      <w:r w:rsidRPr="00BF42B7">
        <w:rPr>
          <w:rFonts w:ascii="Time New Roman" w:hAnsi="Time New Roman"/>
        </w:rPr>
        <w:t xml:space="preserve">21.  </w:t>
      </w:r>
      <w:r w:rsidRPr="00BF42B7">
        <w:rPr>
          <w:rFonts w:ascii="Time New Roman" w:hAnsi="Time New Roman"/>
          <w:lang w:val="en-GB"/>
        </w:rPr>
        <w:t>在本届会议过程中，委员会继续为法治作出自己的贡献，包括围绕下列专题开展工作：</w:t>
      </w:r>
      <w:r w:rsidRPr="00BF42B7">
        <w:rPr>
          <w:rFonts w:ascii="Time New Roman" w:hAnsi="Time New Roman" w:hint="eastAsia"/>
          <w:lang w:val="en-GB"/>
        </w:rPr>
        <w:t>“</w:t>
      </w:r>
      <w:r w:rsidRPr="00BF42B7">
        <w:rPr>
          <w:rFonts w:ascii="Time New Roman" w:hAnsi="Time New Roman"/>
          <w:lang w:val="en-GB"/>
        </w:rPr>
        <w:t>发生灾害时的人员保护</w:t>
      </w:r>
      <w:r w:rsidRPr="00BF42B7">
        <w:rPr>
          <w:rFonts w:ascii="Time New Roman" w:hAnsi="Time New Roman" w:hint="eastAsia"/>
          <w:lang w:val="en-GB"/>
        </w:rPr>
        <w:t>”</w:t>
      </w:r>
      <w:r w:rsidRPr="00BF42B7">
        <w:rPr>
          <w:rFonts w:ascii="Time New Roman" w:hAnsi="Time New Roman"/>
          <w:lang w:val="en-GB"/>
        </w:rPr>
        <w:t>(</w:t>
      </w:r>
      <w:r w:rsidRPr="00BF42B7">
        <w:rPr>
          <w:rFonts w:ascii="Time New Roman" w:hAnsi="Time New Roman"/>
          <w:lang w:val="en-GB"/>
        </w:rPr>
        <w:t>在本届会议上二读通过</w:t>
      </w:r>
      <w:r w:rsidRPr="00BF42B7">
        <w:rPr>
          <w:rFonts w:ascii="Time New Roman" w:hAnsi="Time New Roman"/>
          <w:lang w:val="en-GB"/>
        </w:rPr>
        <w:t>)</w:t>
      </w:r>
      <w:r w:rsidRPr="00BF42B7">
        <w:rPr>
          <w:rFonts w:ascii="Time New Roman" w:hAnsi="Time New Roman"/>
          <w:lang w:val="en-GB"/>
        </w:rPr>
        <w:t>、</w:t>
      </w:r>
      <w:r w:rsidRPr="00BF42B7">
        <w:rPr>
          <w:rFonts w:ascii="Time New Roman" w:hAnsi="Time New Roman" w:hint="eastAsia"/>
          <w:lang w:val="en-GB"/>
        </w:rPr>
        <w:t>“</w:t>
      </w:r>
      <w:r w:rsidRPr="00BF42B7">
        <w:rPr>
          <w:rFonts w:ascii="Time New Roman" w:hAnsi="Time New Roman"/>
          <w:lang w:val="en-GB"/>
        </w:rPr>
        <w:t>国家官员的外国刑事管辖豁免</w:t>
      </w:r>
      <w:r w:rsidRPr="00BF42B7">
        <w:rPr>
          <w:rFonts w:ascii="Time New Roman" w:hAnsi="Time New Roman" w:hint="eastAsia"/>
          <w:lang w:val="en-GB"/>
        </w:rPr>
        <w:t>”</w:t>
      </w:r>
      <w:r w:rsidRPr="00BF42B7">
        <w:rPr>
          <w:rFonts w:ascii="Time New Roman" w:hAnsi="Time New Roman"/>
          <w:lang w:val="en-GB"/>
        </w:rPr>
        <w:t>、</w:t>
      </w:r>
      <w:r w:rsidRPr="00BF42B7">
        <w:rPr>
          <w:rFonts w:ascii="Time New Roman" w:hAnsi="Time New Roman" w:hint="eastAsia"/>
          <w:lang w:val="en-GB"/>
        </w:rPr>
        <w:t>“</w:t>
      </w:r>
      <w:r w:rsidRPr="00BF42B7">
        <w:rPr>
          <w:rFonts w:ascii="Time New Roman" w:hAnsi="Time New Roman"/>
          <w:lang w:val="en-GB"/>
        </w:rPr>
        <w:t>与条约解释相关的嗣后协定和嗣后惯例</w:t>
      </w:r>
      <w:r w:rsidRPr="00BF42B7">
        <w:rPr>
          <w:rFonts w:ascii="Time New Roman" w:hAnsi="Time New Roman" w:hint="eastAsia"/>
          <w:lang w:val="en-GB"/>
        </w:rPr>
        <w:t>”</w:t>
      </w:r>
      <w:r w:rsidRPr="00BF42B7">
        <w:rPr>
          <w:rFonts w:ascii="Time New Roman" w:hAnsi="Time New Roman"/>
          <w:lang w:val="en-GB"/>
        </w:rPr>
        <w:t>(</w:t>
      </w:r>
      <w:r w:rsidRPr="00BF42B7">
        <w:rPr>
          <w:rFonts w:ascii="Time New Roman" w:hAnsi="Time New Roman"/>
          <w:lang w:val="en-GB"/>
        </w:rPr>
        <w:t>在本届会议上一读通过</w:t>
      </w:r>
      <w:r w:rsidRPr="00BF42B7">
        <w:rPr>
          <w:rFonts w:ascii="Time New Roman" w:hAnsi="Time New Roman"/>
          <w:lang w:val="en-GB"/>
        </w:rPr>
        <w:t>)</w:t>
      </w:r>
      <w:r w:rsidRPr="00BF42B7">
        <w:rPr>
          <w:rFonts w:ascii="Time New Roman" w:hAnsi="Time New Roman"/>
          <w:lang w:val="en-GB"/>
        </w:rPr>
        <w:t>、</w:t>
      </w:r>
      <w:r w:rsidRPr="00BF42B7">
        <w:rPr>
          <w:rFonts w:ascii="Time New Roman" w:hAnsi="Time New Roman" w:hint="eastAsia"/>
          <w:lang w:val="en-GB"/>
        </w:rPr>
        <w:t>“</w:t>
      </w:r>
      <w:r w:rsidRPr="00BF42B7">
        <w:rPr>
          <w:rFonts w:ascii="Time New Roman" w:hAnsi="Time New Roman"/>
          <w:lang w:val="en-GB"/>
        </w:rPr>
        <w:t>条约的暂时适用</w:t>
      </w:r>
      <w:r w:rsidRPr="00BF42B7">
        <w:rPr>
          <w:rFonts w:ascii="Time New Roman" w:hAnsi="Time New Roman" w:hint="eastAsia"/>
          <w:lang w:val="en-GB"/>
        </w:rPr>
        <w:t>”</w:t>
      </w:r>
      <w:r w:rsidRPr="00BF42B7">
        <w:rPr>
          <w:rFonts w:ascii="Time New Roman" w:hAnsi="Time New Roman"/>
          <w:lang w:val="en-GB"/>
        </w:rPr>
        <w:t>、</w:t>
      </w:r>
      <w:r w:rsidRPr="00BF42B7">
        <w:rPr>
          <w:rFonts w:ascii="Time New Roman" w:hAnsi="Time New Roman" w:hint="eastAsia"/>
          <w:lang w:val="en-GB"/>
        </w:rPr>
        <w:t>“</w:t>
      </w:r>
      <w:r w:rsidRPr="00BF42B7">
        <w:rPr>
          <w:rFonts w:ascii="Time New Roman" w:hAnsi="Time New Roman"/>
          <w:lang w:val="en-GB"/>
        </w:rPr>
        <w:t>习惯国际法的识别</w:t>
      </w:r>
      <w:r w:rsidRPr="00BF42B7">
        <w:rPr>
          <w:rFonts w:ascii="Time New Roman" w:hAnsi="Time New Roman" w:hint="eastAsia"/>
          <w:lang w:val="en-GB"/>
        </w:rPr>
        <w:t>”</w:t>
      </w:r>
      <w:r w:rsidRPr="00BF42B7">
        <w:rPr>
          <w:rFonts w:ascii="Time New Roman" w:hAnsi="Time New Roman"/>
          <w:lang w:val="en-GB"/>
        </w:rPr>
        <w:t>(</w:t>
      </w:r>
      <w:r w:rsidRPr="00BF42B7">
        <w:rPr>
          <w:rFonts w:ascii="Time New Roman" w:hAnsi="Time New Roman"/>
          <w:lang w:val="en-GB"/>
        </w:rPr>
        <w:t>在本届会议上一读通过</w:t>
      </w:r>
      <w:r w:rsidRPr="00BF42B7">
        <w:rPr>
          <w:rFonts w:ascii="Time New Roman" w:hAnsi="Time New Roman"/>
          <w:lang w:val="en-GB"/>
        </w:rPr>
        <w:t>)</w:t>
      </w:r>
      <w:r w:rsidRPr="00BF42B7">
        <w:rPr>
          <w:rFonts w:ascii="Time New Roman" w:hAnsi="Time New Roman"/>
          <w:lang w:val="en-GB"/>
        </w:rPr>
        <w:t>、</w:t>
      </w:r>
      <w:r w:rsidRPr="00BF42B7">
        <w:rPr>
          <w:rFonts w:ascii="Time New Roman" w:hAnsi="Time New Roman" w:hint="eastAsia"/>
          <w:lang w:val="en-GB"/>
        </w:rPr>
        <w:t>“</w:t>
      </w:r>
      <w:r w:rsidRPr="00BF42B7">
        <w:rPr>
          <w:rFonts w:ascii="Time New Roman" w:hAnsi="Time New Roman"/>
          <w:lang w:val="en-GB"/>
        </w:rPr>
        <w:t>与武装冲突有关的环境保护</w:t>
      </w:r>
      <w:r w:rsidRPr="00BF42B7">
        <w:rPr>
          <w:rFonts w:ascii="Time New Roman" w:hAnsi="Time New Roman" w:hint="eastAsia"/>
          <w:lang w:val="en-GB"/>
        </w:rPr>
        <w:t>”</w:t>
      </w:r>
      <w:r w:rsidRPr="00BF42B7">
        <w:rPr>
          <w:rFonts w:ascii="Time New Roman" w:hAnsi="Time New Roman"/>
          <w:lang w:val="en-GB"/>
        </w:rPr>
        <w:t>、</w:t>
      </w:r>
      <w:r w:rsidRPr="00BF42B7">
        <w:rPr>
          <w:rFonts w:ascii="Time New Roman" w:hAnsi="Time New Roman" w:hint="eastAsia"/>
          <w:lang w:val="en-GB"/>
        </w:rPr>
        <w:t>“</w:t>
      </w:r>
      <w:r w:rsidRPr="00BF42B7">
        <w:rPr>
          <w:rFonts w:ascii="Time New Roman" w:hAnsi="Time New Roman"/>
          <w:lang w:val="en-GB"/>
        </w:rPr>
        <w:t>保护大气层</w:t>
      </w:r>
      <w:r w:rsidRPr="00BF42B7">
        <w:rPr>
          <w:rFonts w:ascii="Time New Roman" w:hAnsi="Time New Roman" w:hint="eastAsia"/>
          <w:lang w:val="en-GB"/>
        </w:rPr>
        <w:t>”</w:t>
      </w:r>
      <w:r w:rsidRPr="00BF42B7">
        <w:rPr>
          <w:rFonts w:ascii="Time New Roman" w:hAnsi="Time New Roman"/>
          <w:lang w:val="en-GB"/>
        </w:rPr>
        <w:t>、</w:t>
      </w:r>
      <w:r w:rsidRPr="00BF42B7">
        <w:rPr>
          <w:rFonts w:ascii="Time New Roman" w:hAnsi="Time New Roman" w:hint="eastAsia"/>
          <w:lang w:val="en-GB"/>
        </w:rPr>
        <w:t>“</w:t>
      </w:r>
      <w:r w:rsidRPr="00BF42B7">
        <w:rPr>
          <w:rFonts w:ascii="Time New Roman" w:hAnsi="Time New Roman"/>
          <w:lang w:val="en-GB"/>
        </w:rPr>
        <w:t>危害人类罪</w:t>
      </w:r>
      <w:r w:rsidRPr="00BF42B7">
        <w:rPr>
          <w:rFonts w:ascii="Time New Roman" w:hAnsi="Time New Roman" w:hint="eastAsia"/>
          <w:lang w:val="en-GB"/>
        </w:rPr>
        <w:t>”</w:t>
      </w:r>
      <w:r w:rsidRPr="00BF42B7">
        <w:rPr>
          <w:rFonts w:ascii="Time New Roman" w:hAnsi="Time New Roman"/>
          <w:lang w:val="en-GB"/>
        </w:rPr>
        <w:t>和</w:t>
      </w:r>
      <w:r w:rsidRPr="00BF42B7">
        <w:rPr>
          <w:rFonts w:ascii="Time New Roman" w:hAnsi="Time New Roman" w:hint="eastAsia"/>
          <w:lang w:val="en-GB"/>
        </w:rPr>
        <w:t>“</w:t>
      </w:r>
      <w:r w:rsidRPr="00BF42B7">
        <w:rPr>
          <w:rFonts w:ascii="Time New Roman" w:hAnsi="Time New Roman"/>
          <w:lang w:val="en-GB"/>
        </w:rPr>
        <w:t>强行法</w:t>
      </w:r>
      <w:r w:rsidRPr="00BF42B7">
        <w:rPr>
          <w:rFonts w:ascii="Time New Roman" w:hAnsi="Time New Roman" w:hint="eastAsia"/>
          <w:lang w:val="en-GB"/>
        </w:rPr>
        <w:t>”</w:t>
      </w:r>
      <w:r w:rsidRPr="00BF42B7">
        <w:rPr>
          <w:rFonts w:ascii="Time New Roman" w:hAnsi="Time New Roman"/>
          <w:lang w:val="en-GB"/>
        </w:rPr>
        <w:t>。</w:t>
      </w:r>
    </w:p>
    <w:p w:rsidR="00813081" w:rsidRPr="00BF42B7" w:rsidRDefault="00813081" w:rsidP="00813081">
      <w:pPr>
        <w:pStyle w:val="SingleTxtGC"/>
        <w:rPr>
          <w:rFonts w:ascii="Time New Roman" w:hAnsi="Time New Roman" w:hint="eastAsia"/>
          <w:lang w:val="en-GB"/>
        </w:rPr>
      </w:pPr>
      <w:r w:rsidRPr="00BF42B7">
        <w:rPr>
          <w:rFonts w:ascii="Time New Roman" w:hAnsi="Time New Roman" w:hint="eastAsia"/>
          <w:lang w:val="en-GB"/>
        </w:rPr>
        <w:t>3</w:t>
      </w:r>
      <w:r w:rsidRPr="00BF42B7">
        <w:rPr>
          <w:rFonts w:ascii="Time New Roman" w:hAnsi="Time New Roman"/>
          <w:lang w:val="en-GB"/>
        </w:rPr>
        <w:t xml:space="preserve">22.  </w:t>
      </w:r>
      <w:r w:rsidRPr="00BF42B7">
        <w:rPr>
          <w:rFonts w:ascii="Time New Roman" w:hAnsi="Time New Roman"/>
          <w:lang w:val="en-GB"/>
        </w:rPr>
        <w:t>委员会重申在其全部活动中致力于促进法治。</w:t>
      </w:r>
    </w:p>
    <w:p w:rsidR="00813081" w:rsidRPr="00BF42B7" w:rsidRDefault="00813081" w:rsidP="00813081">
      <w:pPr>
        <w:pStyle w:val="H23GC"/>
        <w:rPr>
          <w:lang w:val="en-GB"/>
        </w:rPr>
      </w:pPr>
      <w:r w:rsidRPr="00BF42B7">
        <w:rPr>
          <w:b/>
          <w:lang w:val="en-GB"/>
        </w:rPr>
        <w:tab/>
      </w:r>
      <w:r w:rsidRPr="00852022">
        <w:rPr>
          <w:bCs/>
          <w:lang w:val="en-GB"/>
        </w:rPr>
        <w:t>3.</w:t>
      </w:r>
      <w:r w:rsidRPr="00852022">
        <w:rPr>
          <w:bCs/>
          <w:lang w:val="en-GB"/>
        </w:rPr>
        <w:tab/>
      </w:r>
      <w:r w:rsidRPr="00BF42B7">
        <w:rPr>
          <w:lang w:val="en-GB"/>
        </w:rPr>
        <w:t>审议大会</w:t>
      </w:r>
      <w:r w:rsidRPr="00BF42B7">
        <w:rPr>
          <w:lang w:val="en-GB"/>
        </w:rPr>
        <w:t>2015</w:t>
      </w:r>
      <w:r w:rsidRPr="00BF42B7">
        <w:rPr>
          <w:lang w:val="en-GB"/>
        </w:rPr>
        <w:t>年</w:t>
      </w:r>
      <w:r w:rsidRPr="00BF42B7">
        <w:rPr>
          <w:lang w:val="en-GB"/>
        </w:rPr>
        <w:t>12</w:t>
      </w:r>
      <w:r w:rsidRPr="00BF42B7">
        <w:rPr>
          <w:lang w:val="en-GB"/>
        </w:rPr>
        <w:t>月</w:t>
      </w:r>
      <w:r w:rsidRPr="00BF42B7">
        <w:rPr>
          <w:lang w:val="en-GB"/>
        </w:rPr>
        <w:t>23</w:t>
      </w:r>
      <w:r w:rsidRPr="00BF42B7">
        <w:rPr>
          <w:lang w:val="en-GB"/>
        </w:rPr>
        <w:t>日关于国际法委员会第六十七届会议工作报告的第</w:t>
      </w:r>
      <w:hyperlink r:id="rId118" w:history="1">
        <w:r w:rsidRPr="00BF42B7">
          <w:rPr>
            <w:rStyle w:val="af"/>
            <w:rFonts w:ascii="Time New Roman" w:eastAsia="宋体" w:hAnsi="Time New Roman"/>
            <w:szCs w:val="21"/>
            <w:lang w:val="en-GB"/>
          </w:rPr>
          <w:t>70/236</w:t>
        </w:r>
      </w:hyperlink>
      <w:r w:rsidRPr="00BF42B7">
        <w:rPr>
          <w:lang w:val="en-GB"/>
        </w:rPr>
        <w:t>号决议第</w:t>
      </w:r>
      <w:r w:rsidRPr="00BF42B7">
        <w:rPr>
          <w:lang w:val="en-GB"/>
        </w:rPr>
        <w:t>9</w:t>
      </w:r>
      <w:r w:rsidRPr="00BF42B7">
        <w:rPr>
          <w:lang w:val="en-GB"/>
        </w:rPr>
        <w:t>至第</w:t>
      </w:r>
      <w:r w:rsidRPr="00BF42B7">
        <w:rPr>
          <w:lang w:val="en-GB"/>
        </w:rPr>
        <w:t>12</w:t>
      </w:r>
      <w:r w:rsidRPr="00BF42B7">
        <w:rPr>
          <w:lang w:val="en-GB"/>
        </w:rPr>
        <w:t>段</w:t>
      </w:r>
    </w:p>
    <w:p w:rsidR="00813081" w:rsidRPr="00BF42B7" w:rsidRDefault="00813081" w:rsidP="00813081">
      <w:pPr>
        <w:pStyle w:val="SingleTxtGC"/>
        <w:rPr>
          <w:rFonts w:ascii="Time New Roman" w:hAnsi="Time New Roman" w:hint="eastAsia"/>
          <w:lang w:val="en-GB"/>
        </w:rPr>
      </w:pPr>
      <w:r w:rsidRPr="00BF42B7">
        <w:rPr>
          <w:rFonts w:ascii="Time New Roman" w:hAnsi="Time New Roman" w:hint="eastAsia"/>
          <w:lang w:val="en-GB"/>
        </w:rPr>
        <w:t>3</w:t>
      </w:r>
      <w:r w:rsidRPr="00BF42B7">
        <w:rPr>
          <w:rFonts w:ascii="Time New Roman" w:hAnsi="Time New Roman"/>
          <w:lang w:val="en-GB"/>
        </w:rPr>
        <w:t xml:space="preserve">23.  </w:t>
      </w:r>
      <w:r w:rsidRPr="00BF42B7">
        <w:rPr>
          <w:rFonts w:ascii="Time New Roman" w:hAnsi="Time New Roman"/>
          <w:lang w:val="en-GB"/>
        </w:rPr>
        <w:t>委员会注意到大会</w:t>
      </w:r>
      <w:r w:rsidRPr="00BF42B7">
        <w:rPr>
          <w:rFonts w:ascii="Time New Roman" w:hAnsi="Time New Roman"/>
          <w:lang w:val="en-GB"/>
        </w:rPr>
        <w:t>2015</w:t>
      </w:r>
      <w:r w:rsidRPr="00BF42B7">
        <w:rPr>
          <w:rFonts w:ascii="Time New Roman" w:hAnsi="Time New Roman"/>
          <w:lang w:val="en-GB"/>
        </w:rPr>
        <w:t>年</w:t>
      </w:r>
      <w:r w:rsidRPr="00BF42B7">
        <w:rPr>
          <w:rFonts w:ascii="Time New Roman" w:hAnsi="Time New Roman"/>
          <w:lang w:val="en-GB"/>
        </w:rPr>
        <w:t>12</w:t>
      </w:r>
      <w:r w:rsidRPr="00BF42B7">
        <w:rPr>
          <w:rFonts w:ascii="Time New Roman" w:hAnsi="Time New Roman"/>
          <w:lang w:val="en-GB"/>
        </w:rPr>
        <w:t>月</w:t>
      </w:r>
      <w:r w:rsidRPr="00BF42B7">
        <w:rPr>
          <w:rFonts w:ascii="Time New Roman" w:hAnsi="Time New Roman"/>
          <w:lang w:val="en-GB"/>
        </w:rPr>
        <w:t>23</w:t>
      </w:r>
      <w:r w:rsidRPr="00BF42B7">
        <w:rPr>
          <w:rFonts w:ascii="Time New Roman" w:hAnsi="Time New Roman"/>
          <w:lang w:val="en-GB"/>
        </w:rPr>
        <w:t>日第</w:t>
      </w:r>
      <w:hyperlink r:id="rId119" w:history="1">
        <w:r w:rsidRPr="00BF42B7">
          <w:rPr>
            <w:rStyle w:val="af"/>
            <w:rFonts w:ascii="Time New Roman" w:hAnsi="Time New Roman"/>
            <w:lang w:val="en-GB"/>
          </w:rPr>
          <w:t>70/236</w:t>
        </w:r>
      </w:hyperlink>
      <w:r w:rsidRPr="00BF42B7">
        <w:rPr>
          <w:rFonts w:ascii="Time New Roman" w:hAnsi="Time New Roman"/>
          <w:lang w:val="en-GB"/>
        </w:rPr>
        <w:t>号决议第</w:t>
      </w:r>
      <w:r w:rsidRPr="00BF42B7">
        <w:rPr>
          <w:rFonts w:ascii="Time New Roman" w:hAnsi="Time New Roman"/>
          <w:lang w:val="en-GB"/>
        </w:rPr>
        <w:t>9</w:t>
      </w:r>
      <w:r w:rsidRPr="00BF42B7">
        <w:rPr>
          <w:rFonts w:ascii="Time New Roman" w:hAnsi="Time New Roman"/>
          <w:lang w:val="en-GB"/>
        </w:rPr>
        <w:t>至第</w:t>
      </w:r>
      <w:r w:rsidRPr="00BF42B7">
        <w:rPr>
          <w:rFonts w:ascii="Time New Roman" w:hAnsi="Time New Roman"/>
          <w:lang w:val="en-GB"/>
        </w:rPr>
        <w:t>12</w:t>
      </w:r>
      <w:r w:rsidRPr="00BF42B7">
        <w:rPr>
          <w:rFonts w:ascii="Time New Roman" w:hAnsi="Time New Roman"/>
          <w:lang w:val="en-GB"/>
        </w:rPr>
        <w:t>段。在该决议第</w:t>
      </w:r>
      <w:r w:rsidRPr="00BF42B7">
        <w:rPr>
          <w:rFonts w:ascii="Time New Roman" w:hAnsi="Time New Roman"/>
          <w:lang w:val="en-GB"/>
        </w:rPr>
        <w:t>10</w:t>
      </w:r>
      <w:r w:rsidRPr="00BF42B7">
        <w:rPr>
          <w:rFonts w:ascii="Time New Roman" w:hAnsi="Time New Roman"/>
          <w:lang w:val="en-GB"/>
        </w:rPr>
        <w:t>和第</w:t>
      </w:r>
      <w:r w:rsidRPr="00BF42B7">
        <w:rPr>
          <w:rFonts w:ascii="Time New Roman" w:hAnsi="Time New Roman"/>
          <w:lang w:val="en-GB"/>
        </w:rPr>
        <w:t>11</w:t>
      </w:r>
      <w:r w:rsidRPr="00BF42B7">
        <w:rPr>
          <w:rFonts w:ascii="Time New Roman" w:hAnsi="Time New Roman"/>
          <w:lang w:val="en-GB"/>
        </w:rPr>
        <w:t>段中，大会注意到，委员会申明希望考虑在下个五年期在纽约举行半届会议的可能性并指出可以在下个五年期第一年</w:t>
      </w:r>
      <w:r w:rsidRPr="00BF42B7">
        <w:rPr>
          <w:rFonts w:ascii="Time New Roman" w:hAnsi="Time New Roman"/>
          <w:lang w:val="en-GB"/>
        </w:rPr>
        <w:t>(2017</w:t>
      </w:r>
      <w:r w:rsidRPr="00BF42B7">
        <w:rPr>
          <w:rFonts w:ascii="Time New Roman" w:hAnsi="Time New Roman"/>
          <w:lang w:val="en-GB"/>
        </w:rPr>
        <w:t>年</w:t>
      </w:r>
      <w:r w:rsidRPr="00BF42B7">
        <w:rPr>
          <w:rFonts w:ascii="Time New Roman" w:hAnsi="Time New Roman"/>
          <w:lang w:val="en-GB"/>
        </w:rPr>
        <w:t>)</w:t>
      </w:r>
      <w:r w:rsidRPr="00BF42B7">
        <w:rPr>
          <w:rFonts w:ascii="Time New Roman" w:hAnsi="Time New Roman"/>
          <w:lang w:val="en-GB"/>
        </w:rPr>
        <w:t>或第二年</w:t>
      </w:r>
      <w:r w:rsidRPr="00BF42B7">
        <w:rPr>
          <w:rFonts w:ascii="Time New Roman" w:hAnsi="Time New Roman"/>
          <w:lang w:val="en-GB"/>
        </w:rPr>
        <w:t>(2018</w:t>
      </w:r>
      <w:r w:rsidRPr="00BF42B7">
        <w:rPr>
          <w:rFonts w:ascii="Time New Roman" w:hAnsi="Time New Roman"/>
          <w:lang w:val="en-GB"/>
        </w:rPr>
        <w:t>年</w:t>
      </w:r>
      <w:r w:rsidRPr="00BF42B7">
        <w:rPr>
          <w:rFonts w:ascii="Time New Roman" w:hAnsi="Time New Roman"/>
          <w:lang w:val="en-GB"/>
        </w:rPr>
        <w:t>)</w:t>
      </w:r>
      <w:r w:rsidRPr="00BF42B7">
        <w:rPr>
          <w:rFonts w:ascii="Time New Roman" w:hAnsi="Time New Roman"/>
          <w:lang w:val="en-GB"/>
        </w:rPr>
        <w:t>届会第一期会议上预先考虑这种可能性，同时考虑到估计费用以及相关行政因素、组织因素和其他因素。大会注意到，委员会在其报告</w:t>
      </w:r>
      <w:r w:rsidRPr="00BF42B7">
        <w:rPr>
          <w:rFonts w:ascii="Time New Roman" w:hAnsi="Time New Roman"/>
          <w:lang w:val="en-GB"/>
        </w:rPr>
        <w:t>(2015</w:t>
      </w:r>
      <w:r w:rsidRPr="00BF42B7">
        <w:rPr>
          <w:rFonts w:ascii="Time New Roman" w:hAnsi="Time New Roman"/>
          <w:lang w:val="en-GB"/>
        </w:rPr>
        <w:t>年</w:t>
      </w:r>
      <w:r w:rsidRPr="00BF42B7">
        <w:rPr>
          <w:rFonts w:ascii="Time New Roman" w:hAnsi="Time New Roman"/>
          <w:lang w:val="en-GB"/>
        </w:rPr>
        <w:t>)</w:t>
      </w:r>
      <w:r w:rsidRPr="00BF42B7">
        <w:rPr>
          <w:rFonts w:ascii="Time New Roman" w:hAnsi="Time New Roman"/>
          <w:lang w:val="en-GB"/>
        </w:rPr>
        <w:t>第</w:t>
      </w:r>
      <w:r w:rsidRPr="00BF42B7">
        <w:rPr>
          <w:rFonts w:ascii="Time New Roman" w:hAnsi="Time New Roman"/>
          <w:lang w:val="en-GB"/>
        </w:rPr>
        <w:t>298</w:t>
      </w:r>
      <w:r w:rsidRPr="00BF42B7">
        <w:rPr>
          <w:rFonts w:ascii="Time New Roman" w:hAnsi="Time New Roman"/>
          <w:lang w:val="en-GB"/>
        </w:rPr>
        <w:t>段中建议基于委员会第七十届会议</w:t>
      </w:r>
      <w:r w:rsidRPr="00BF42B7">
        <w:rPr>
          <w:rFonts w:ascii="Time New Roman" w:hAnsi="Time New Roman"/>
          <w:lang w:val="en-GB"/>
        </w:rPr>
        <w:t>(2018</w:t>
      </w:r>
      <w:r w:rsidRPr="00BF42B7">
        <w:rPr>
          <w:rFonts w:ascii="Time New Roman" w:hAnsi="Time New Roman"/>
          <w:lang w:val="en-GB"/>
        </w:rPr>
        <w:t>年</w:t>
      </w:r>
      <w:r w:rsidRPr="00BF42B7">
        <w:rPr>
          <w:rFonts w:ascii="Time New Roman" w:hAnsi="Time New Roman"/>
          <w:lang w:val="en-GB"/>
        </w:rPr>
        <w:t>)</w:t>
      </w:r>
      <w:r w:rsidRPr="00BF42B7">
        <w:rPr>
          <w:rFonts w:ascii="Time New Roman" w:hAnsi="Time New Roman"/>
          <w:lang w:val="en-GB"/>
        </w:rPr>
        <w:t>第一期会议将在纽约联合国总部举行的假设而开展筹备工作和作出估计，还注意到委员会请秘书处为此作出必要安排，以便委员会在</w:t>
      </w:r>
      <w:r w:rsidRPr="00BF42B7">
        <w:rPr>
          <w:rFonts w:ascii="Time New Roman" w:hAnsi="Time New Roman"/>
          <w:lang w:val="en-GB"/>
        </w:rPr>
        <w:t>2016</w:t>
      </w:r>
      <w:r w:rsidRPr="00BF42B7">
        <w:rPr>
          <w:rFonts w:ascii="Time New Roman" w:hAnsi="Time New Roman"/>
          <w:lang w:val="en-GB"/>
        </w:rPr>
        <w:t>年第六十八届会议上作出适当决定。</w:t>
      </w:r>
    </w:p>
    <w:p w:rsidR="00813081" w:rsidRPr="00BF42B7" w:rsidRDefault="00813081" w:rsidP="00813081">
      <w:pPr>
        <w:pStyle w:val="SingleTxtGC"/>
        <w:rPr>
          <w:rFonts w:ascii="Time New Roman" w:hAnsi="Time New Roman" w:hint="eastAsia"/>
          <w:lang w:val="en-GB"/>
        </w:rPr>
      </w:pPr>
      <w:r w:rsidRPr="00BF42B7">
        <w:rPr>
          <w:rFonts w:ascii="Time New Roman" w:hAnsi="Time New Roman" w:hint="eastAsia"/>
          <w:lang w:val="en-GB"/>
        </w:rPr>
        <w:t>3</w:t>
      </w:r>
      <w:r w:rsidRPr="00BF42B7">
        <w:rPr>
          <w:rFonts w:ascii="Time New Roman" w:hAnsi="Time New Roman"/>
          <w:lang w:val="en-GB"/>
        </w:rPr>
        <w:t xml:space="preserve">24.  </w:t>
      </w:r>
      <w:r w:rsidRPr="00BF42B7">
        <w:rPr>
          <w:rFonts w:ascii="Time New Roman" w:hAnsi="Time New Roman"/>
          <w:lang w:val="en-GB"/>
        </w:rPr>
        <w:t>秘书处提供的进一步信息表明，在考虑到估计费用以及相关行政因素、组织因素和其他因素后，在下个五年期第一年</w:t>
      </w:r>
      <w:r w:rsidRPr="00BF42B7">
        <w:rPr>
          <w:rFonts w:ascii="Time New Roman" w:hAnsi="Time New Roman"/>
          <w:lang w:val="en-GB"/>
        </w:rPr>
        <w:t>(2017</w:t>
      </w:r>
      <w:r w:rsidRPr="00BF42B7">
        <w:rPr>
          <w:rFonts w:ascii="Time New Roman" w:hAnsi="Time New Roman"/>
          <w:lang w:val="en-GB"/>
        </w:rPr>
        <w:t>年</w:t>
      </w:r>
      <w:r w:rsidRPr="00BF42B7">
        <w:rPr>
          <w:rFonts w:ascii="Time New Roman" w:hAnsi="Time New Roman"/>
          <w:lang w:val="en-GB"/>
        </w:rPr>
        <w:t>)</w:t>
      </w:r>
      <w:r w:rsidRPr="00BF42B7">
        <w:rPr>
          <w:rFonts w:ascii="Time New Roman" w:hAnsi="Time New Roman"/>
          <w:lang w:val="en-GB"/>
        </w:rPr>
        <w:t>或第二年</w:t>
      </w:r>
      <w:r w:rsidRPr="00BF42B7">
        <w:rPr>
          <w:rFonts w:ascii="Time New Roman" w:hAnsi="Time New Roman"/>
          <w:lang w:val="en-GB"/>
        </w:rPr>
        <w:t>(2018</w:t>
      </w:r>
      <w:r w:rsidRPr="00BF42B7">
        <w:rPr>
          <w:rFonts w:ascii="Time New Roman" w:hAnsi="Time New Roman"/>
          <w:lang w:val="en-GB"/>
        </w:rPr>
        <w:t>年</w:t>
      </w:r>
      <w:r w:rsidRPr="00BF42B7">
        <w:rPr>
          <w:rFonts w:ascii="Time New Roman" w:hAnsi="Time New Roman"/>
          <w:lang w:val="en-GB"/>
        </w:rPr>
        <w:t>)</w:t>
      </w:r>
      <w:r w:rsidRPr="00BF42B7">
        <w:rPr>
          <w:rFonts w:ascii="Time New Roman" w:hAnsi="Time New Roman"/>
          <w:lang w:val="en-GB"/>
        </w:rPr>
        <w:t>在纽约举行半届会议是可行的。有鉴于此，委员会认为，</w:t>
      </w:r>
      <w:r w:rsidRPr="00BF42B7">
        <w:rPr>
          <w:rFonts w:ascii="Time New Roman" w:hAnsi="Time New Roman"/>
          <w:lang w:val="en-GB"/>
        </w:rPr>
        <w:t>2018</w:t>
      </w:r>
      <w:r w:rsidRPr="00BF42B7">
        <w:rPr>
          <w:rFonts w:ascii="Time New Roman" w:hAnsi="Time New Roman"/>
          <w:lang w:val="en-GB"/>
        </w:rPr>
        <w:t>年第七十届会议期间在纽约举行半届会议最为方便。</w:t>
      </w:r>
    </w:p>
    <w:p w:rsidR="00813081" w:rsidRPr="00BF42B7" w:rsidRDefault="00813081" w:rsidP="00852022">
      <w:pPr>
        <w:pStyle w:val="SingleTxtGC"/>
        <w:spacing w:after="100"/>
        <w:rPr>
          <w:rFonts w:ascii="Time New Roman" w:hAnsi="Time New Roman" w:hint="eastAsia"/>
          <w:lang w:val="en-GB"/>
        </w:rPr>
      </w:pPr>
      <w:r w:rsidRPr="00BF42B7">
        <w:rPr>
          <w:rFonts w:ascii="Time New Roman" w:hAnsi="Time New Roman" w:hint="eastAsia"/>
          <w:lang w:val="en-GB"/>
        </w:rPr>
        <w:t>3</w:t>
      </w:r>
      <w:r w:rsidRPr="00BF42B7">
        <w:rPr>
          <w:rFonts w:ascii="Time New Roman" w:hAnsi="Time New Roman"/>
          <w:lang w:val="en-GB"/>
        </w:rPr>
        <w:t xml:space="preserve">25.  </w:t>
      </w:r>
      <w:r w:rsidRPr="00BF42B7">
        <w:rPr>
          <w:rFonts w:ascii="Time New Roman" w:hAnsi="Time New Roman"/>
          <w:lang w:val="en-GB"/>
        </w:rPr>
        <w:t>应指出，对大会第七十一届会议将选举出的委员会委员来说，</w:t>
      </w:r>
      <w:r w:rsidRPr="00BF42B7">
        <w:rPr>
          <w:rFonts w:ascii="Time New Roman" w:hAnsi="Time New Roman"/>
          <w:lang w:val="en-GB"/>
        </w:rPr>
        <w:t>2017</w:t>
      </w:r>
      <w:r w:rsidRPr="00BF42B7">
        <w:rPr>
          <w:rFonts w:ascii="Time New Roman" w:hAnsi="Time New Roman"/>
          <w:lang w:val="en-GB"/>
        </w:rPr>
        <w:t>年将是五年期的第一年。在新委员忙于熟悉委员会工作之时，届会最好在委员会所在地联合国日内瓦办事处举行。此外，委员会认识到，</w:t>
      </w:r>
      <w:r w:rsidRPr="00BF42B7">
        <w:rPr>
          <w:rFonts w:ascii="Time New Roman" w:hAnsi="Time New Roman"/>
          <w:lang w:val="en-GB"/>
        </w:rPr>
        <w:t>2018</w:t>
      </w:r>
      <w:r w:rsidRPr="00BF42B7">
        <w:rPr>
          <w:rFonts w:ascii="Time New Roman" w:hAnsi="Time New Roman"/>
          <w:lang w:val="en-GB"/>
        </w:rPr>
        <w:t>年的届会正逢委员会成立七十周年，在纽约举行部分届会将可有助于进一步加强委员会与第六委员会之间的对话。</w:t>
      </w:r>
    </w:p>
    <w:p w:rsidR="00813081" w:rsidRPr="00BF42B7" w:rsidRDefault="00813081" w:rsidP="00852022">
      <w:pPr>
        <w:pStyle w:val="SingleTxtGC"/>
        <w:spacing w:after="100"/>
        <w:rPr>
          <w:rFonts w:ascii="Time New Roman" w:hAnsi="Time New Roman" w:hint="eastAsia"/>
          <w:lang w:val="en-GB"/>
        </w:rPr>
      </w:pPr>
      <w:r w:rsidRPr="00BF42B7">
        <w:rPr>
          <w:rFonts w:ascii="Time New Roman" w:hAnsi="Time New Roman" w:hint="eastAsia"/>
          <w:lang w:val="en-GB"/>
        </w:rPr>
        <w:t>3</w:t>
      </w:r>
      <w:r w:rsidRPr="00BF42B7">
        <w:rPr>
          <w:rFonts w:ascii="Time New Roman" w:hAnsi="Time New Roman"/>
          <w:lang w:val="en-GB"/>
        </w:rPr>
        <w:t xml:space="preserve">26.  </w:t>
      </w:r>
      <w:r w:rsidRPr="00BF42B7">
        <w:rPr>
          <w:rFonts w:ascii="Time New Roman" w:hAnsi="Time New Roman"/>
          <w:lang w:val="en-GB"/>
        </w:rPr>
        <w:t>因此，委员会建议其第七十届会议第一期会议在纽约举行，并请秘书处着手进行必要的行政和组织安排，以便在纽约举行这一会议。特别要注意的是，需确保能够使用总部图书馆的设施，同时保证能够以电子方式使用联合国日内瓦办事处图书馆的资源和研究协助。还要强调，需确保委员会委员助理能够参加会议并为他们提供足够的座位。</w:t>
      </w:r>
    </w:p>
    <w:p w:rsidR="00813081" w:rsidRPr="00BF42B7" w:rsidRDefault="00813081" w:rsidP="00813081">
      <w:pPr>
        <w:pStyle w:val="H23GC"/>
        <w:rPr>
          <w:b/>
          <w:lang w:val="en-GB"/>
        </w:rPr>
      </w:pPr>
      <w:r w:rsidRPr="00BF42B7">
        <w:rPr>
          <w:b/>
          <w:lang w:val="en-GB"/>
        </w:rPr>
        <w:tab/>
      </w:r>
      <w:r w:rsidRPr="00852022">
        <w:rPr>
          <w:bCs/>
          <w:lang w:val="en-GB"/>
        </w:rPr>
        <w:t>4.</w:t>
      </w:r>
      <w:r w:rsidRPr="00BF42B7">
        <w:rPr>
          <w:b/>
          <w:lang w:val="en-GB"/>
        </w:rPr>
        <w:tab/>
      </w:r>
      <w:r w:rsidRPr="00BF42B7">
        <w:t>国际法委员会七十周年届会</w:t>
      </w:r>
    </w:p>
    <w:p w:rsidR="00813081" w:rsidRPr="00BF42B7" w:rsidRDefault="00813081" w:rsidP="00852022">
      <w:pPr>
        <w:pStyle w:val="SingleTxtGC"/>
        <w:spacing w:after="100"/>
        <w:rPr>
          <w:rFonts w:ascii="Time New Roman" w:hAnsi="Time New Roman" w:hint="eastAsia"/>
        </w:rPr>
      </w:pPr>
      <w:r w:rsidRPr="00BF42B7">
        <w:rPr>
          <w:rFonts w:ascii="Time New Roman" w:hAnsi="Time New Roman" w:hint="eastAsia"/>
        </w:rPr>
        <w:t>3</w:t>
      </w:r>
      <w:r w:rsidRPr="00BF42B7">
        <w:rPr>
          <w:rFonts w:ascii="Time New Roman" w:hAnsi="Time New Roman"/>
        </w:rPr>
        <w:t xml:space="preserve">27.  </w:t>
      </w:r>
      <w:r w:rsidRPr="00BF42B7">
        <w:rPr>
          <w:rFonts w:ascii="Time New Roman" w:hAnsi="Time New Roman"/>
        </w:rPr>
        <w:t>委员会建议在其</w:t>
      </w:r>
      <w:r w:rsidRPr="00BF42B7">
        <w:rPr>
          <w:rFonts w:ascii="Time New Roman" w:hAnsi="Time New Roman"/>
        </w:rPr>
        <w:t>2018</w:t>
      </w:r>
      <w:r w:rsidRPr="00BF42B7">
        <w:rPr>
          <w:rFonts w:ascii="Time New Roman" w:hAnsi="Time New Roman"/>
        </w:rPr>
        <w:t>年第七十届会议期间举办纪念七十周年的活动。周年纪念活动可分两部分举行，第一部分于第七十届会议第一期会议期间在纽约举行，第二部分于第七十届会议第二期会议期间在日内瓦举行。</w:t>
      </w:r>
    </w:p>
    <w:p w:rsidR="00813081" w:rsidRPr="00BF42B7" w:rsidRDefault="00813081" w:rsidP="00852022">
      <w:pPr>
        <w:pStyle w:val="SingleTxtGC"/>
        <w:spacing w:after="100"/>
        <w:rPr>
          <w:rFonts w:ascii="Time New Roman" w:hAnsi="Time New Roman" w:hint="eastAsia"/>
        </w:rPr>
      </w:pPr>
      <w:r w:rsidRPr="00BF42B7">
        <w:rPr>
          <w:rFonts w:ascii="Time New Roman" w:hAnsi="Time New Roman" w:hint="eastAsia"/>
        </w:rPr>
        <w:t>3</w:t>
      </w:r>
      <w:r w:rsidRPr="00BF42B7">
        <w:rPr>
          <w:rFonts w:ascii="Time New Roman" w:hAnsi="Time New Roman"/>
        </w:rPr>
        <w:t xml:space="preserve">28.  </w:t>
      </w:r>
      <w:r w:rsidRPr="00BF42B7">
        <w:rPr>
          <w:rFonts w:ascii="Time New Roman" w:hAnsi="Time New Roman"/>
        </w:rPr>
        <w:t>委员会建议，在建议于纽约举行的第七十届会议第一期会议期间：</w:t>
      </w:r>
    </w:p>
    <w:p w:rsidR="00813081" w:rsidRPr="00BF42B7" w:rsidRDefault="00813081" w:rsidP="00852022">
      <w:pPr>
        <w:pStyle w:val="SingleTxtGC"/>
        <w:numPr>
          <w:ilvl w:val="0"/>
          <w:numId w:val="35"/>
        </w:numPr>
        <w:spacing w:after="100"/>
        <w:rPr>
          <w:rFonts w:ascii="Time New Roman" w:hAnsi="Time New Roman" w:hint="eastAsia"/>
        </w:rPr>
      </w:pPr>
      <w:r w:rsidRPr="00BF42B7">
        <w:rPr>
          <w:rFonts w:ascii="Time New Roman" w:hAnsi="Time New Roman"/>
        </w:rPr>
        <w:t>委员会举行庄严的半天会议，并邀请高官参加；</w:t>
      </w:r>
    </w:p>
    <w:p w:rsidR="00813081" w:rsidRPr="00BF42B7" w:rsidRDefault="00813081" w:rsidP="00852022">
      <w:pPr>
        <w:pStyle w:val="SingleTxtGC"/>
        <w:numPr>
          <w:ilvl w:val="0"/>
          <w:numId w:val="35"/>
        </w:numPr>
        <w:spacing w:after="100"/>
        <w:rPr>
          <w:rFonts w:ascii="Time New Roman" w:hAnsi="Time New Roman" w:hint="eastAsia"/>
        </w:rPr>
      </w:pPr>
      <w:r w:rsidRPr="00BF42B7">
        <w:rPr>
          <w:rFonts w:ascii="Time New Roman" w:hAnsi="Time New Roman"/>
        </w:rPr>
        <w:t>与出席大会第六委员会的代表们举行半天非正式会议，以便就委员会的工作、委员会与第六委员会之间的关系和两个机构在促进国际法的逐渐发展和编纂方面发挥的作用交流看法。</w:t>
      </w:r>
    </w:p>
    <w:p w:rsidR="00813081" w:rsidRPr="00BF42B7" w:rsidRDefault="00813081" w:rsidP="00852022">
      <w:pPr>
        <w:pStyle w:val="SingleTxtGC"/>
        <w:spacing w:after="100"/>
        <w:rPr>
          <w:rFonts w:ascii="Time New Roman" w:hAnsi="Time New Roman" w:hint="eastAsia"/>
        </w:rPr>
      </w:pPr>
      <w:r w:rsidRPr="00BF42B7">
        <w:rPr>
          <w:rFonts w:ascii="Time New Roman" w:hAnsi="Time New Roman" w:hint="eastAsia"/>
        </w:rPr>
        <w:t>3</w:t>
      </w:r>
      <w:r w:rsidRPr="00BF42B7">
        <w:rPr>
          <w:rFonts w:ascii="Time New Roman" w:hAnsi="Time New Roman"/>
        </w:rPr>
        <w:t xml:space="preserve">29.  </w:t>
      </w:r>
      <w:r w:rsidRPr="00BF42B7">
        <w:rPr>
          <w:rFonts w:ascii="Time New Roman" w:hAnsi="Time New Roman"/>
        </w:rPr>
        <w:t>委员会建议，在日内瓦举行第七十届会议第二期会议期间召开一次为期一天半的专门讨论委员会工作的会议，并请各国及各国际组织的法律顾问、学术界人士和其他声誉卓著的国际法学家参加。</w:t>
      </w:r>
    </w:p>
    <w:p w:rsidR="00813081" w:rsidRPr="00BF42B7" w:rsidRDefault="00813081" w:rsidP="00852022">
      <w:pPr>
        <w:pStyle w:val="SingleTxtGC"/>
        <w:spacing w:after="100"/>
        <w:rPr>
          <w:rFonts w:ascii="Time New Roman" w:hAnsi="Time New Roman" w:hint="eastAsia"/>
        </w:rPr>
      </w:pPr>
      <w:r w:rsidRPr="00BF42B7">
        <w:rPr>
          <w:rFonts w:ascii="Time New Roman" w:hAnsi="Time New Roman" w:hint="eastAsia"/>
        </w:rPr>
        <w:t xml:space="preserve">330.  </w:t>
      </w:r>
      <w:r w:rsidRPr="00BF42B7">
        <w:rPr>
          <w:rFonts w:ascii="Time New Roman" w:hAnsi="Time New Roman"/>
        </w:rPr>
        <w:t>委员会还建议，应编写这些会议的报告，以供在纽约举行法律顾问年度会议期间在适当的论坛进行讨论。</w:t>
      </w:r>
    </w:p>
    <w:p w:rsidR="00813081" w:rsidRPr="00BF42B7" w:rsidRDefault="00813081" w:rsidP="00852022">
      <w:pPr>
        <w:pStyle w:val="SingleTxtGC"/>
        <w:spacing w:after="100"/>
        <w:rPr>
          <w:rFonts w:ascii="Time New Roman" w:hAnsi="Time New Roman" w:hint="eastAsia"/>
        </w:rPr>
      </w:pPr>
      <w:r w:rsidRPr="00BF42B7">
        <w:rPr>
          <w:rFonts w:ascii="Time New Roman" w:hAnsi="Time New Roman" w:hint="eastAsia"/>
        </w:rPr>
        <w:t>3</w:t>
      </w:r>
      <w:r w:rsidRPr="00BF42B7">
        <w:rPr>
          <w:rFonts w:ascii="Time New Roman" w:hAnsi="Time New Roman"/>
        </w:rPr>
        <w:t>3</w:t>
      </w:r>
      <w:r w:rsidRPr="00BF42B7">
        <w:rPr>
          <w:rFonts w:ascii="Time New Roman" w:hAnsi="Time New Roman" w:hint="eastAsia"/>
        </w:rPr>
        <w:t>1</w:t>
      </w:r>
      <w:r w:rsidRPr="00BF42B7">
        <w:rPr>
          <w:rFonts w:ascii="Time New Roman" w:hAnsi="Time New Roman"/>
        </w:rPr>
        <w:t xml:space="preserve">.  </w:t>
      </w:r>
      <w:r w:rsidRPr="00BF42B7">
        <w:rPr>
          <w:rFonts w:ascii="Time New Roman" w:hAnsi="Time New Roman"/>
        </w:rPr>
        <w:t>委员会又建议，周年纪念活动的一个成果是随后出版一本出版物。</w:t>
      </w:r>
    </w:p>
    <w:p w:rsidR="00813081" w:rsidRPr="00BF42B7" w:rsidRDefault="00813081" w:rsidP="00852022">
      <w:pPr>
        <w:pStyle w:val="SingleTxtGC"/>
        <w:spacing w:after="100"/>
        <w:rPr>
          <w:rFonts w:ascii="Time New Roman" w:hAnsi="Time New Roman" w:hint="eastAsia"/>
        </w:rPr>
      </w:pPr>
      <w:r w:rsidRPr="00BF42B7">
        <w:rPr>
          <w:rFonts w:ascii="Time New Roman" w:hAnsi="Time New Roman" w:hint="eastAsia"/>
        </w:rPr>
        <w:t>3</w:t>
      </w:r>
      <w:r w:rsidRPr="00BF42B7">
        <w:rPr>
          <w:rFonts w:ascii="Time New Roman" w:hAnsi="Time New Roman"/>
        </w:rPr>
        <w:t>3</w:t>
      </w:r>
      <w:r w:rsidRPr="00BF42B7">
        <w:rPr>
          <w:rFonts w:ascii="Time New Roman" w:hAnsi="Time New Roman" w:hint="eastAsia"/>
        </w:rPr>
        <w:t>2</w:t>
      </w:r>
      <w:r w:rsidRPr="00BF42B7">
        <w:rPr>
          <w:rFonts w:ascii="Time New Roman" w:hAnsi="Time New Roman"/>
        </w:rPr>
        <w:t xml:space="preserve">.  </w:t>
      </w:r>
      <w:r w:rsidRPr="00BF42B7">
        <w:rPr>
          <w:rFonts w:ascii="Time New Roman" w:hAnsi="Time New Roman"/>
        </w:rPr>
        <w:t>委员会请秘书处与委员会主席和规划组主席磋商，着手为纪念活动的举行进行安排。</w:t>
      </w:r>
    </w:p>
    <w:p w:rsidR="00813081" w:rsidRPr="00BF42B7" w:rsidRDefault="00813081" w:rsidP="00852022">
      <w:pPr>
        <w:pStyle w:val="H23GC"/>
        <w:keepNext w:val="0"/>
        <w:keepLines w:val="0"/>
        <w:rPr>
          <w:lang w:val="en-GB"/>
        </w:rPr>
      </w:pPr>
      <w:r w:rsidRPr="00BF42B7">
        <w:rPr>
          <w:lang w:val="en-GB"/>
        </w:rPr>
        <w:tab/>
        <w:t>5.</w:t>
      </w:r>
      <w:r w:rsidRPr="00BF42B7">
        <w:rPr>
          <w:lang w:val="en-GB"/>
        </w:rPr>
        <w:tab/>
      </w:r>
      <w:r w:rsidRPr="00BF42B7">
        <w:rPr>
          <w:lang w:val="en-GB"/>
        </w:rPr>
        <w:t>酬金</w:t>
      </w:r>
    </w:p>
    <w:p w:rsidR="00813081" w:rsidRPr="00BF42B7" w:rsidRDefault="00813081" w:rsidP="00852022">
      <w:pPr>
        <w:pStyle w:val="SingleTxtGC"/>
        <w:spacing w:after="100"/>
        <w:rPr>
          <w:rFonts w:ascii="Time New Roman" w:hAnsi="Time New Roman" w:hint="eastAsia"/>
          <w:lang w:val="en-GB"/>
        </w:rPr>
      </w:pPr>
      <w:r w:rsidRPr="00BF42B7">
        <w:rPr>
          <w:rFonts w:ascii="Time New Roman" w:hAnsi="Time New Roman" w:hint="eastAsia"/>
          <w:lang w:val="en-GB"/>
        </w:rPr>
        <w:t>3</w:t>
      </w:r>
      <w:r w:rsidRPr="00BF42B7">
        <w:rPr>
          <w:rFonts w:ascii="Time New Roman" w:hAnsi="Time New Roman"/>
          <w:lang w:val="en-GB"/>
        </w:rPr>
        <w:t>3</w:t>
      </w:r>
      <w:r w:rsidRPr="00BF42B7">
        <w:rPr>
          <w:rFonts w:ascii="Time New Roman" w:hAnsi="Time New Roman" w:hint="eastAsia"/>
          <w:lang w:val="en-GB"/>
        </w:rPr>
        <w:t>3</w:t>
      </w:r>
      <w:r w:rsidRPr="00BF42B7">
        <w:rPr>
          <w:rFonts w:ascii="Time New Roman" w:hAnsi="Time New Roman"/>
          <w:lang w:val="en-GB"/>
        </w:rPr>
        <w:t xml:space="preserve">.  </w:t>
      </w:r>
      <w:r w:rsidRPr="00BF42B7">
        <w:rPr>
          <w:rFonts w:ascii="Time New Roman" w:hAnsi="Time New Roman"/>
          <w:lang w:val="en-GB"/>
        </w:rPr>
        <w:t>委员会重申了对大会通过</w:t>
      </w:r>
      <w:r w:rsidRPr="00BF42B7">
        <w:rPr>
          <w:rFonts w:ascii="Time New Roman" w:hAnsi="Time New Roman"/>
          <w:lang w:val="en-GB"/>
        </w:rPr>
        <w:t>2002</w:t>
      </w:r>
      <w:r w:rsidRPr="00BF42B7">
        <w:rPr>
          <w:rFonts w:ascii="Time New Roman" w:hAnsi="Time New Roman"/>
          <w:lang w:val="en-GB"/>
        </w:rPr>
        <w:t>年</w:t>
      </w:r>
      <w:r w:rsidRPr="00BF42B7">
        <w:rPr>
          <w:rFonts w:ascii="Time New Roman" w:hAnsi="Time New Roman"/>
          <w:lang w:val="en-GB"/>
        </w:rPr>
        <w:t>3</w:t>
      </w:r>
      <w:r w:rsidRPr="00BF42B7">
        <w:rPr>
          <w:rFonts w:ascii="Time New Roman" w:hAnsi="Time New Roman"/>
          <w:lang w:val="en-GB"/>
        </w:rPr>
        <w:t>月</w:t>
      </w:r>
      <w:r w:rsidRPr="00BF42B7">
        <w:rPr>
          <w:rFonts w:ascii="Time New Roman" w:hAnsi="Time New Roman"/>
          <w:lang w:val="en-GB"/>
        </w:rPr>
        <w:t>27</w:t>
      </w:r>
      <w:r w:rsidRPr="00BF42B7">
        <w:rPr>
          <w:rFonts w:ascii="Time New Roman" w:hAnsi="Time New Roman"/>
          <w:lang w:val="en-GB"/>
        </w:rPr>
        <w:t>日第</w:t>
      </w:r>
      <w:hyperlink r:id="rId120" w:history="1">
        <w:r w:rsidRPr="00BF42B7">
          <w:rPr>
            <w:rStyle w:val="af"/>
            <w:rFonts w:ascii="Time New Roman" w:hAnsi="Time New Roman"/>
            <w:lang w:val="en-GB"/>
          </w:rPr>
          <w:t>56/272</w:t>
        </w:r>
      </w:hyperlink>
      <w:r w:rsidRPr="00BF42B7">
        <w:rPr>
          <w:rFonts w:ascii="Time New Roman" w:hAnsi="Time New Roman"/>
          <w:lang w:val="en-GB"/>
        </w:rPr>
        <w:t>号决议所引起的酬金问题的意见，委员会以前的报告表明了这些意见。</w:t>
      </w:r>
      <w:r w:rsidRPr="00BF42B7">
        <w:rPr>
          <w:color w:val="0000FF"/>
          <w:vertAlign w:val="superscript"/>
          <w:lang w:val="en-GB"/>
        </w:rPr>
        <w:footnoteReference w:id="1479"/>
      </w:r>
      <w:r w:rsidRPr="00BF42B7">
        <w:rPr>
          <w:rFonts w:ascii="Time New Roman" w:hAnsi="Time New Roman"/>
          <w:lang w:val="en-GB"/>
        </w:rPr>
        <w:t xml:space="preserve"> </w:t>
      </w:r>
      <w:r w:rsidRPr="00BF42B7">
        <w:rPr>
          <w:rFonts w:ascii="Time New Roman" w:hAnsi="Time New Roman"/>
          <w:lang w:val="en-GB"/>
        </w:rPr>
        <w:t>委员会强调，第</w:t>
      </w:r>
      <w:hyperlink r:id="rId121" w:history="1">
        <w:r w:rsidRPr="00BF42B7">
          <w:rPr>
            <w:rStyle w:val="af"/>
            <w:rFonts w:ascii="Time New Roman" w:hAnsi="Time New Roman"/>
            <w:lang w:val="en-GB"/>
          </w:rPr>
          <w:t>56/272</w:t>
        </w:r>
      </w:hyperlink>
      <w:r w:rsidRPr="00BF42B7">
        <w:rPr>
          <w:rFonts w:ascii="Time New Roman" w:hAnsi="Time New Roman"/>
          <w:lang w:val="en-GB"/>
        </w:rPr>
        <w:t>号决议尤其影响到特别报告员，因为该决议缩减了对他们研究工作的支持。</w:t>
      </w:r>
    </w:p>
    <w:p w:rsidR="00813081" w:rsidRPr="00BF42B7" w:rsidRDefault="00813081" w:rsidP="00813081">
      <w:pPr>
        <w:pStyle w:val="H23GC"/>
        <w:rPr>
          <w:b/>
          <w:lang w:val="en-GB"/>
        </w:rPr>
      </w:pPr>
      <w:r w:rsidRPr="003D448F">
        <w:rPr>
          <w:bCs/>
          <w:lang w:val="en-GB"/>
        </w:rPr>
        <w:tab/>
        <w:t>6.</w:t>
      </w:r>
      <w:r w:rsidRPr="003D448F">
        <w:rPr>
          <w:bCs/>
          <w:lang w:val="en-GB"/>
        </w:rPr>
        <w:tab/>
      </w:r>
      <w:r w:rsidRPr="00BF42B7">
        <w:rPr>
          <w:lang w:val="en-GB"/>
        </w:rPr>
        <w:t>文件和出版物</w:t>
      </w:r>
    </w:p>
    <w:p w:rsidR="00813081" w:rsidRPr="00BF42B7" w:rsidRDefault="00813081" w:rsidP="00463C13">
      <w:pPr>
        <w:pStyle w:val="SingleTxtGC"/>
        <w:rPr>
          <w:rFonts w:ascii="Time New Roman" w:hAnsi="Time New Roman" w:hint="eastAsia"/>
          <w:lang w:val="en-GB"/>
        </w:rPr>
      </w:pPr>
      <w:r w:rsidRPr="00BF42B7">
        <w:rPr>
          <w:rFonts w:ascii="Time New Roman" w:hAnsi="Time New Roman"/>
          <w:lang w:val="en-GB"/>
        </w:rPr>
        <w:t>3</w:t>
      </w:r>
      <w:r w:rsidRPr="00BF42B7">
        <w:rPr>
          <w:rFonts w:ascii="Time New Roman" w:hAnsi="Time New Roman" w:hint="eastAsia"/>
          <w:lang w:val="en-GB"/>
        </w:rPr>
        <w:t>34</w:t>
      </w:r>
      <w:r w:rsidRPr="00BF42B7">
        <w:rPr>
          <w:rFonts w:ascii="Time New Roman" w:hAnsi="Time New Roman"/>
          <w:lang w:val="en-GB"/>
        </w:rPr>
        <w:t xml:space="preserve">.  </w:t>
      </w:r>
      <w:r w:rsidRPr="00BF42B7">
        <w:rPr>
          <w:rFonts w:ascii="Time New Roman" w:hAnsi="Time New Roman"/>
          <w:lang w:val="en-GB"/>
        </w:rPr>
        <w:t>委员会再次确认，秘书处编写的法律出版物对委员会工作特别有用并很有价值。</w:t>
      </w:r>
      <w:r w:rsidRPr="00BF42B7">
        <w:rPr>
          <w:color w:val="0000FF"/>
          <w:vertAlign w:val="superscript"/>
          <w:lang w:val="en-GB"/>
        </w:rPr>
        <w:footnoteReference w:id="1480"/>
      </w:r>
      <w:r w:rsidRPr="00BF42B7">
        <w:rPr>
          <w:rFonts w:ascii="Time New Roman" w:hAnsi="Time New Roman"/>
          <w:lang w:val="en-GB"/>
        </w:rPr>
        <w:t xml:space="preserve"> </w:t>
      </w:r>
      <w:r w:rsidRPr="00BF42B7">
        <w:rPr>
          <w:rFonts w:ascii="Time New Roman" w:hAnsi="Time New Roman"/>
          <w:lang w:val="en-GB"/>
        </w:rPr>
        <w:t>委员会再次回顾，十多年来，编纂司通过非常成功的桌面出版计划，得以大幅度加快出版物的印发，极大地提高了这些出版物的及时性和对委员会工作的作用。委员会对该计划因资源不足而受到缩减和终止极表关切，并对本届会议因此没有分发任何新的法律出版物深感遗憾。</w:t>
      </w:r>
    </w:p>
    <w:p w:rsidR="00813081" w:rsidRPr="00BF42B7" w:rsidRDefault="00813081" w:rsidP="00463C13">
      <w:pPr>
        <w:pStyle w:val="SingleTxtGC"/>
        <w:rPr>
          <w:rFonts w:ascii="Time New Roman" w:hAnsi="Time New Roman" w:hint="eastAsia"/>
          <w:lang w:val="en-GB"/>
        </w:rPr>
      </w:pPr>
      <w:r w:rsidRPr="00BF42B7">
        <w:rPr>
          <w:rFonts w:ascii="Time New Roman" w:hAnsi="Time New Roman" w:hint="eastAsia"/>
          <w:lang w:val="en-GB"/>
        </w:rPr>
        <w:t>3</w:t>
      </w:r>
      <w:r w:rsidRPr="00BF42B7">
        <w:rPr>
          <w:rFonts w:ascii="Time New Roman" w:hAnsi="Time New Roman"/>
          <w:lang w:val="en-GB"/>
        </w:rPr>
        <w:t>3</w:t>
      </w:r>
      <w:r w:rsidRPr="00BF42B7">
        <w:rPr>
          <w:rFonts w:ascii="Time New Roman" w:hAnsi="Time New Roman" w:hint="eastAsia"/>
          <w:lang w:val="en-GB"/>
        </w:rPr>
        <w:t>5</w:t>
      </w:r>
      <w:r w:rsidRPr="00BF42B7">
        <w:rPr>
          <w:rFonts w:ascii="Time New Roman" w:hAnsi="Time New Roman"/>
          <w:lang w:val="en-GB"/>
        </w:rPr>
        <w:t xml:space="preserve">.  </w:t>
      </w:r>
      <w:r w:rsidRPr="00BF42B7">
        <w:rPr>
          <w:rFonts w:ascii="Time New Roman" w:hAnsi="Time New Roman"/>
          <w:lang w:val="en-GB"/>
        </w:rPr>
        <w:t>委员会强烈表示，恢复该计划对于确保及时印发这些法律出版物特别是《国际法委员会的工作》十分关键。委员会及早获得</w:t>
      </w:r>
      <w:r w:rsidRPr="00327505">
        <w:rPr>
          <w:rFonts w:ascii="Time New Roman" w:hAnsi="Time New Roman"/>
          <w:lang w:val="en-GB"/>
        </w:rPr>
        <w:t>这些</w:t>
      </w:r>
      <w:r w:rsidRPr="00BF42B7">
        <w:rPr>
          <w:rFonts w:ascii="Time New Roman" w:hAnsi="Time New Roman"/>
          <w:lang w:val="en-GB"/>
        </w:rPr>
        <w:t>出版物的各正式语文本对委员会的工作极有助益，因此委员会要求恢复桌面出版计划。委员会再次重申，编纂司编写的法律出版物对其工作特别有用并很有价值，再次请编纂司继续为其提供这些出版物。</w:t>
      </w:r>
    </w:p>
    <w:p w:rsidR="00813081" w:rsidRPr="00BF42B7" w:rsidRDefault="00813081" w:rsidP="00463C13">
      <w:pPr>
        <w:pStyle w:val="SingleTxtGC"/>
        <w:rPr>
          <w:rFonts w:ascii="Time New Roman" w:hAnsi="Time New Roman" w:hint="eastAsia"/>
          <w:lang w:val="en-GB"/>
        </w:rPr>
      </w:pPr>
      <w:r w:rsidRPr="00BF42B7">
        <w:rPr>
          <w:rFonts w:ascii="Time New Roman" w:hAnsi="Time New Roman" w:hint="eastAsia"/>
          <w:lang w:val="en-GB"/>
        </w:rPr>
        <w:t>3</w:t>
      </w:r>
      <w:r w:rsidRPr="00BF42B7">
        <w:rPr>
          <w:rFonts w:ascii="Time New Roman" w:hAnsi="Time New Roman"/>
          <w:lang w:val="en-GB"/>
        </w:rPr>
        <w:t>3</w:t>
      </w:r>
      <w:r w:rsidRPr="00BF42B7">
        <w:rPr>
          <w:rFonts w:ascii="Time New Roman" w:hAnsi="Time New Roman" w:hint="eastAsia"/>
          <w:lang w:val="en-GB"/>
        </w:rPr>
        <w:t>6</w:t>
      </w:r>
      <w:r w:rsidRPr="00BF42B7">
        <w:rPr>
          <w:rFonts w:ascii="Time New Roman" w:hAnsi="Time New Roman"/>
          <w:lang w:val="en-GB"/>
        </w:rPr>
        <w:t xml:space="preserve">.  </w:t>
      </w:r>
      <w:r w:rsidRPr="00BF42B7">
        <w:rPr>
          <w:rFonts w:ascii="Time New Roman" w:hAnsi="Time New Roman"/>
          <w:lang w:val="en-GB"/>
        </w:rPr>
        <w:t>委员会满意地重申，委员会的简要记录是国际法逐渐发展和编纂过程中的重要准备工作文件，将不受任意的篇幅限制。委员会再次满意地注意到，第六十五届会议</w:t>
      </w:r>
      <w:r w:rsidRPr="00BF42B7">
        <w:rPr>
          <w:rFonts w:ascii="Time New Roman" w:hAnsi="Time New Roman"/>
          <w:lang w:val="en-GB"/>
        </w:rPr>
        <w:t>(2013</w:t>
      </w:r>
      <w:r w:rsidRPr="00BF42B7">
        <w:rPr>
          <w:rFonts w:ascii="Time New Roman" w:hAnsi="Time New Roman"/>
          <w:lang w:val="en-GB"/>
        </w:rPr>
        <w:t>年</w:t>
      </w:r>
      <w:r w:rsidRPr="00BF42B7">
        <w:rPr>
          <w:rFonts w:ascii="Time New Roman" w:hAnsi="Time New Roman"/>
          <w:lang w:val="en-GB"/>
        </w:rPr>
        <w:t>)</w:t>
      </w:r>
      <w:r w:rsidRPr="00BF42B7">
        <w:rPr>
          <w:rFonts w:ascii="Time New Roman" w:hAnsi="Time New Roman"/>
          <w:lang w:val="en-GB"/>
        </w:rPr>
        <w:t>开始实行简化委员会简要记录处理程序的措施，使得临时记录可以更快地发给委员会委员作及时更正和随后迅速印发。委员会要求秘书处继续努力推行这些措施，以保证临时记录可以很快地发给委员会委员。委员会还对这些工作方法能够更合理地利用资源表示欢迎，并要求秘书处继续努力，方便各语文简要记录定本的编制，而又不致影响其完整性。</w:t>
      </w:r>
    </w:p>
    <w:p w:rsidR="00813081" w:rsidRPr="00BF42B7" w:rsidRDefault="00813081" w:rsidP="00463C13">
      <w:pPr>
        <w:pStyle w:val="SingleTxtGC"/>
        <w:rPr>
          <w:rFonts w:ascii="Time New Roman" w:hAnsi="Time New Roman" w:hint="eastAsia"/>
          <w:lang w:val="en-GB"/>
        </w:rPr>
      </w:pPr>
      <w:r w:rsidRPr="00BF42B7">
        <w:rPr>
          <w:rFonts w:ascii="Time New Roman" w:hAnsi="Time New Roman" w:hint="eastAsia"/>
          <w:lang w:val="en-GB"/>
        </w:rPr>
        <w:t>3</w:t>
      </w:r>
      <w:r w:rsidRPr="00BF42B7">
        <w:rPr>
          <w:rFonts w:ascii="Time New Roman" w:hAnsi="Time New Roman"/>
          <w:lang w:val="en-GB"/>
        </w:rPr>
        <w:t>3</w:t>
      </w:r>
      <w:r w:rsidRPr="00BF42B7">
        <w:rPr>
          <w:rFonts w:ascii="Time New Roman" w:hAnsi="Time New Roman" w:hint="eastAsia"/>
          <w:lang w:val="en-GB"/>
        </w:rPr>
        <w:t>7</w:t>
      </w:r>
      <w:r w:rsidRPr="00BF42B7">
        <w:rPr>
          <w:rFonts w:ascii="Time New Roman" w:hAnsi="Time New Roman"/>
          <w:lang w:val="en-GB"/>
        </w:rPr>
        <w:t xml:space="preserve">.  </w:t>
      </w:r>
      <w:r w:rsidRPr="00BF42B7">
        <w:rPr>
          <w:rFonts w:ascii="Time New Roman" w:hAnsi="Time New Roman"/>
          <w:lang w:val="en-GB"/>
        </w:rPr>
        <w:t>委员会感谢日内瓦和纽约参与文件处理的各个部门经常在时间紧迫的情况下及时高效地处理委员会的文件。</w:t>
      </w:r>
      <w:r w:rsidRPr="00BF42B7">
        <w:rPr>
          <w:rFonts w:ascii="Time New Roman" w:hAnsi="Time New Roman" w:hint="eastAsia"/>
          <w:lang w:val="en-GB"/>
        </w:rPr>
        <w:t>特别是，委员会满意地注意到，在委员会秘书处与联合国日内瓦办事处交流意见后，采取了一些简化委员会文件编辑工作的试验性措施。这些新安排有助于改进秘书处审议的文件，并便利其工作。</w:t>
      </w:r>
    </w:p>
    <w:p w:rsidR="00813081" w:rsidRPr="00BF42B7" w:rsidRDefault="00813081" w:rsidP="00463C13">
      <w:pPr>
        <w:pStyle w:val="SingleTxtGC"/>
        <w:rPr>
          <w:rFonts w:ascii="Time New Roman" w:hAnsi="Time New Roman" w:hint="eastAsia"/>
          <w:lang w:val="en-GB"/>
        </w:rPr>
      </w:pPr>
      <w:r w:rsidRPr="00BF42B7">
        <w:rPr>
          <w:rFonts w:ascii="Time New Roman" w:hAnsi="Time New Roman" w:hint="eastAsia"/>
          <w:lang w:val="en-GB"/>
        </w:rPr>
        <w:t xml:space="preserve">338.  </w:t>
      </w:r>
      <w:r w:rsidRPr="00BF42B7">
        <w:rPr>
          <w:rFonts w:ascii="Time New Roman" w:hAnsi="Time New Roman"/>
          <w:lang w:val="en-GB"/>
        </w:rPr>
        <w:t>但委员会感到关切的是，某些特别报告员的报告的所有正式语文本迟迟不能印发，从而打乱了工作方案。委员会指出，及时高效的处理对委员会顺利开展工作至为重要。</w:t>
      </w:r>
    </w:p>
    <w:p w:rsidR="00813081" w:rsidRPr="00BF42B7" w:rsidRDefault="00813081" w:rsidP="00463C13">
      <w:pPr>
        <w:pStyle w:val="SingleTxtGC"/>
        <w:rPr>
          <w:rFonts w:ascii="Time New Roman" w:hAnsi="Time New Roman" w:hint="eastAsia"/>
        </w:rPr>
      </w:pPr>
      <w:r w:rsidRPr="00BF42B7">
        <w:rPr>
          <w:rFonts w:ascii="Time New Roman" w:hAnsi="Time New Roman" w:hint="eastAsia"/>
        </w:rPr>
        <w:t>3</w:t>
      </w:r>
      <w:r w:rsidRPr="00BF42B7">
        <w:rPr>
          <w:rFonts w:ascii="Time New Roman" w:hAnsi="Time New Roman"/>
        </w:rPr>
        <w:t>3</w:t>
      </w:r>
      <w:r w:rsidRPr="00BF42B7">
        <w:rPr>
          <w:rFonts w:ascii="Time New Roman" w:hAnsi="Time New Roman" w:hint="eastAsia"/>
        </w:rPr>
        <w:t>9</w:t>
      </w:r>
      <w:r w:rsidRPr="00BF42B7">
        <w:rPr>
          <w:rFonts w:ascii="Time New Roman" w:hAnsi="Time New Roman"/>
        </w:rPr>
        <w:t xml:space="preserve">.  </w:t>
      </w:r>
      <w:r w:rsidRPr="00BF42B7">
        <w:rPr>
          <w:rFonts w:ascii="Time New Roman" w:hAnsi="Time New Roman"/>
        </w:rPr>
        <w:t>委员会重申其对使用多种语文的承诺，并回顾，大会</w:t>
      </w:r>
      <w:r w:rsidRPr="00BF42B7">
        <w:rPr>
          <w:rFonts w:ascii="Time New Roman" w:hAnsi="Time New Roman"/>
        </w:rPr>
        <w:t>2015</w:t>
      </w:r>
      <w:r w:rsidRPr="00BF42B7">
        <w:rPr>
          <w:rFonts w:ascii="Time New Roman" w:hAnsi="Time New Roman"/>
        </w:rPr>
        <w:t>年</w:t>
      </w:r>
      <w:r w:rsidRPr="00BF42B7">
        <w:rPr>
          <w:rFonts w:ascii="Time New Roman" w:hAnsi="Time New Roman"/>
        </w:rPr>
        <w:t>9</w:t>
      </w:r>
      <w:r w:rsidRPr="00BF42B7">
        <w:rPr>
          <w:rFonts w:ascii="Time New Roman" w:hAnsi="Time New Roman"/>
        </w:rPr>
        <w:t>月</w:t>
      </w:r>
      <w:r w:rsidRPr="00BF42B7">
        <w:rPr>
          <w:rFonts w:ascii="Time New Roman" w:hAnsi="Time New Roman"/>
        </w:rPr>
        <w:t>11</w:t>
      </w:r>
      <w:r w:rsidRPr="00BF42B7">
        <w:rPr>
          <w:rFonts w:ascii="Time New Roman" w:hAnsi="Time New Roman"/>
        </w:rPr>
        <w:t>日第</w:t>
      </w:r>
      <w:hyperlink r:id="rId122" w:history="1">
        <w:r w:rsidRPr="00BF42B7">
          <w:rPr>
            <w:rStyle w:val="af"/>
            <w:rFonts w:ascii="Time New Roman" w:hAnsi="Time New Roman"/>
          </w:rPr>
          <w:t>69/324</w:t>
        </w:r>
      </w:hyperlink>
      <w:r w:rsidRPr="00BF42B7">
        <w:rPr>
          <w:rFonts w:ascii="Time New Roman" w:hAnsi="Time New Roman"/>
        </w:rPr>
        <w:t>号决议中强调联合国六种正式语文地位平等至关重要，因此委员会在其工作中极其重视六种正式语文的地位平等。委员会的这一承诺除其他外，反映在委员会要等所有正式语文本都印发之后才在全体会议上辩论特别报告员的报告这一惯例中。在这方面，委员会希望强调，本届会议期间对</w:t>
      </w:r>
      <w:r w:rsidRPr="00BF42B7">
        <w:rPr>
          <w:rFonts w:ascii="Time New Roman" w:hAnsi="Time New Roman" w:hint="eastAsia"/>
        </w:rPr>
        <w:t>“</w:t>
      </w:r>
      <w:r w:rsidRPr="00BF42B7">
        <w:rPr>
          <w:rFonts w:ascii="Time New Roman" w:hAnsi="Time New Roman"/>
        </w:rPr>
        <w:t>国家官员的外国刑事管辖豁免</w:t>
      </w:r>
      <w:r w:rsidRPr="00BF42B7">
        <w:rPr>
          <w:rFonts w:ascii="Time New Roman" w:hAnsi="Time New Roman" w:hint="eastAsia"/>
        </w:rPr>
        <w:t>”</w:t>
      </w:r>
      <w:r w:rsidRPr="00BF42B7">
        <w:rPr>
          <w:rFonts w:ascii="Time New Roman" w:hAnsi="Time New Roman"/>
        </w:rPr>
        <w:t>专题的辩论所采取的性质非常特殊的措施</w:t>
      </w:r>
      <w:r w:rsidRPr="00BF42B7">
        <w:rPr>
          <w:rFonts w:ascii="Time New Roman" w:hAnsi="Time New Roman"/>
        </w:rPr>
        <w:t>(</w:t>
      </w:r>
      <w:r w:rsidRPr="00BF42B7">
        <w:rPr>
          <w:rFonts w:ascii="Time New Roman" w:hAnsi="Time New Roman"/>
        </w:rPr>
        <w:t>见第十一章</w:t>
      </w:r>
      <w:r w:rsidRPr="00BF42B7">
        <w:rPr>
          <w:rFonts w:ascii="Time New Roman" w:hAnsi="Time New Roman"/>
        </w:rPr>
        <w:t>)</w:t>
      </w:r>
      <w:r w:rsidRPr="00BF42B7">
        <w:rPr>
          <w:rFonts w:ascii="Time New Roman" w:hAnsi="Time New Roman"/>
        </w:rPr>
        <w:t>在任何方面均不构成先例。</w:t>
      </w:r>
    </w:p>
    <w:p w:rsidR="00813081" w:rsidRPr="00BF42B7" w:rsidRDefault="00813081" w:rsidP="00463C13">
      <w:pPr>
        <w:pStyle w:val="SingleTxtGC"/>
        <w:rPr>
          <w:rFonts w:ascii="Time New Roman" w:hAnsi="Time New Roman" w:hint="eastAsia"/>
          <w:lang w:val="en-GB"/>
        </w:rPr>
      </w:pPr>
      <w:r w:rsidRPr="00BF42B7">
        <w:rPr>
          <w:rFonts w:ascii="Time New Roman" w:hAnsi="Time New Roman" w:hint="eastAsia"/>
        </w:rPr>
        <w:t>340</w:t>
      </w:r>
      <w:r w:rsidRPr="00BF42B7">
        <w:rPr>
          <w:rFonts w:ascii="Time New Roman" w:hAnsi="Time New Roman"/>
        </w:rPr>
        <w:t xml:space="preserve">.  </w:t>
      </w:r>
      <w:r w:rsidRPr="00BF42B7">
        <w:rPr>
          <w:rFonts w:ascii="Time New Roman" w:hAnsi="Time New Roman"/>
        </w:rPr>
        <w:t>在这方面，委员会：</w:t>
      </w:r>
      <w:r w:rsidRPr="00BF42B7">
        <w:rPr>
          <w:rFonts w:ascii="Time New Roman" w:hAnsi="Time New Roman"/>
        </w:rPr>
        <w:t xml:space="preserve">(a) </w:t>
      </w:r>
      <w:r w:rsidRPr="00BF42B7">
        <w:rPr>
          <w:rFonts w:ascii="Time New Roman" w:hAnsi="Time New Roman"/>
        </w:rPr>
        <w:t>要求秘书处继续确保及时印发委员会正式文件的联合国六种正式语文本；和</w:t>
      </w:r>
      <w:r w:rsidRPr="00BF42B7">
        <w:rPr>
          <w:rFonts w:ascii="Time New Roman" w:hAnsi="Time New Roman"/>
        </w:rPr>
        <w:t xml:space="preserve">(b) </w:t>
      </w:r>
      <w:r w:rsidRPr="00BF42B7">
        <w:rPr>
          <w:rFonts w:ascii="Time New Roman" w:hAnsi="Time New Roman"/>
        </w:rPr>
        <w:t>请特别报告员在秘书处订明的时限内提交报告。</w:t>
      </w:r>
    </w:p>
    <w:p w:rsidR="00813081" w:rsidRPr="00BF42B7" w:rsidRDefault="00813081" w:rsidP="00C8126A">
      <w:pPr>
        <w:pStyle w:val="SingleTxtGC"/>
        <w:spacing w:line="310" w:lineRule="exact"/>
        <w:rPr>
          <w:rFonts w:ascii="Time New Roman" w:hAnsi="Time New Roman" w:hint="eastAsia"/>
          <w:lang w:val="en-GB"/>
        </w:rPr>
      </w:pPr>
      <w:r w:rsidRPr="00BF42B7">
        <w:rPr>
          <w:rFonts w:ascii="Time New Roman" w:hAnsi="Time New Roman" w:hint="eastAsia"/>
          <w:lang w:val="en-GB"/>
        </w:rPr>
        <w:t>341</w:t>
      </w:r>
      <w:r w:rsidRPr="00BF42B7">
        <w:rPr>
          <w:rFonts w:ascii="Time New Roman" w:hAnsi="Time New Roman"/>
          <w:lang w:val="en-GB"/>
        </w:rPr>
        <w:t xml:space="preserve">.  </w:t>
      </w:r>
      <w:r w:rsidRPr="00BF42B7">
        <w:rPr>
          <w:rFonts w:ascii="Time New Roman" w:hAnsi="Time New Roman"/>
          <w:lang w:val="en-GB"/>
        </w:rPr>
        <w:t>委员会表示热烈赞赏联合国日内瓦办事处图书馆十分高效和称职地向委员们提供了协助。</w:t>
      </w:r>
    </w:p>
    <w:p w:rsidR="00813081" w:rsidRPr="00BF42B7" w:rsidRDefault="00813081" w:rsidP="00813081">
      <w:pPr>
        <w:pStyle w:val="H23GC"/>
        <w:rPr>
          <w:b/>
          <w:lang w:val="en-GB"/>
        </w:rPr>
      </w:pPr>
      <w:r w:rsidRPr="003D448F">
        <w:rPr>
          <w:bCs/>
          <w:lang w:val="en-GB"/>
        </w:rPr>
        <w:tab/>
        <w:t>7.</w:t>
      </w:r>
      <w:r w:rsidRPr="003D448F">
        <w:rPr>
          <w:bCs/>
          <w:lang w:val="en-GB"/>
        </w:rPr>
        <w:tab/>
      </w:r>
      <w:r w:rsidRPr="00BF42B7">
        <w:rPr>
          <w:lang w:val="en-GB"/>
        </w:rPr>
        <w:t>《国际法委员会年鉴》</w:t>
      </w:r>
    </w:p>
    <w:p w:rsidR="00813081" w:rsidRPr="00BF42B7" w:rsidRDefault="00813081" w:rsidP="00C8126A">
      <w:pPr>
        <w:pStyle w:val="SingleTxtGC"/>
        <w:spacing w:line="310" w:lineRule="exact"/>
        <w:rPr>
          <w:rFonts w:ascii="Time New Roman" w:hAnsi="Time New Roman" w:hint="eastAsia"/>
          <w:lang w:val="en-GB"/>
        </w:rPr>
      </w:pPr>
      <w:r w:rsidRPr="00BF42B7">
        <w:rPr>
          <w:rFonts w:ascii="Time New Roman" w:hAnsi="Time New Roman" w:hint="eastAsia"/>
          <w:lang w:val="en-GB"/>
        </w:rPr>
        <w:t>3</w:t>
      </w:r>
      <w:r w:rsidRPr="00BF42B7">
        <w:rPr>
          <w:rFonts w:ascii="Time New Roman" w:hAnsi="Time New Roman"/>
          <w:lang w:val="en-GB"/>
        </w:rPr>
        <w:t>4</w:t>
      </w:r>
      <w:r w:rsidRPr="00BF42B7">
        <w:rPr>
          <w:rFonts w:ascii="Time New Roman" w:hAnsi="Time New Roman" w:hint="eastAsia"/>
          <w:lang w:val="en-GB"/>
        </w:rPr>
        <w:t>2</w:t>
      </w:r>
      <w:r w:rsidRPr="00BF42B7">
        <w:rPr>
          <w:rFonts w:ascii="Time New Roman" w:hAnsi="Time New Roman"/>
          <w:lang w:val="en-GB"/>
        </w:rPr>
        <w:t xml:space="preserve">.  </w:t>
      </w:r>
      <w:r w:rsidRPr="00BF42B7">
        <w:rPr>
          <w:rFonts w:ascii="Time New Roman" w:hAnsi="Time New Roman"/>
          <w:lang w:val="en-GB"/>
        </w:rPr>
        <w:t>委员会重申，《国际法委员会年鉴》对于了解委员会在逐渐发展和编纂国际法以及加强国际关系中法治方面的工作具有关键意义。委员会注意到，大会第</w:t>
      </w:r>
      <w:hyperlink r:id="rId123" w:history="1">
        <w:r w:rsidRPr="00BF42B7">
          <w:rPr>
            <w:rStyle w:val="af"/>
            <w:rFonts w:ascii="Time New Roman" w:hAnsi="Time New Roman"/>
            <w:lang w:val="en-GB"/>
          </w:rPr>
          <w:t>70/236</w:t>
        </w:r>
      </w:hyperlink>
      <w:r w:rsidRPr="00BF42B7">
        <w:rPr>
          <w:rFonts w:ascii="Time New Roman" w:hAnsi="Time New Roman"/>
          <w:lang w:val="en-GB"/>
        </w:rPr>
        <w:t>号决议赞赏有关国家政府为帮助解决《年鉴》工作积压问题的信托基金自愿捐款，并鼓励各方进一步为该信托基金捐款。</w:t>
      </w:r>
    </w:p>
    <w:p w:rsidR="00813081" w:rsidRPr="00BF42B7" w:rsidRDefault="00813081" w:rsidP="00C8126A">
      <w:pPr>
        <w:pStyle w:val="SingleTxtGC"/>
        <w:spacing w:line="310" w:lineRule="exact"/>
        <w:rPr>
          <w:rFonts w:ascii="Time New Roman" w:hAnsi="Time New Roman" w:hint="eastAsia"/>
          <w:lang w:val="en-GB"/>
        </w:rPr>
      </w:pPr>
      <w:r w:rsidRPr="00BF42B7">
        <w:rPr>
          <w:rFonts w:ascii="Time New Roman" w:hAnsi="Time New Roman" w:hint="eastAsia"/>
          <w:lang w:val="en-GB"/>
        </w:rPr>
        <w:t>3</w:t>
      </w:r>
      <w:r w:rsidRPr="00BF42B7">
        <w:rPr>
          <w:rFonts w:ascii="Time New Roman" w:hAnsi="Time New Roman"/>
          <w:lang w:val="en-GB"/>
        </w:rPr>
        <w:t>4</w:t>
      </w:r>
      <w:r w:rsidRPr="00BF42B7">
        <w:rPr>
          <w:rFonts w:ascii="Time New Roman" w:hAnsi="Time New Roman" w:hint="eastAsia"/>
          <w:lang w:val="en-GB"/>
        </w:rPr>
        <w:t>3</w:t>
      </w:r>
      <w:r w:rsidRPr="00BF42B7">
        <w:rPr>
          <w:rFonts w:ascii="Time New Roman" w:hAnsi="Time New Roman"/>
          <w:lang w:val="en-GB"/>
        </w:rPr>
        <w:t xml:space="preserve">.  </w:t>
      </w:r>
      <w:r w:rsidRPr="00BF42B7">
        <w:rPr>
          <w:rFonts w:ascii="Time New Roman" w:hAnsi="Time New Roman"/>
          <w:lang w:val="en-GB"/>
        </w:rPr>
        <w:t>委员会建议大会如在第</w:t>
      </w:r>
      <w:hyperlink r:id="rId124" w:history="1">
        <w:r w:rsidRPr="00BF42B7">
          <w:rPr>
            <w:rStyle w:val="af"/>
            <w:rFonts w:ascii="Time New Roman" w:hAnsi="Time New Roman"/>
            <w:lang w:val="en-GB"/>
          </w:rPr>
          <w:t>70/236</w:t>
        </w:r>
      </w:hyperlink>
      <w:r w:rsidRPr="00BF42B7">
        <w:rPr>
          <w:rFonts w:ascii="Time New Roman" w:hAnsi="Time New Roman"/>
          <w:lang w:val="en-GB"/>
        </w:rPr>
        <w:t>号决议中所说，对过去几年在减少所有六种语文版《年鉴》</w:t>
      </w:r>
      <w:r w:rsidRPr="00C8126A">
        <w:rPr>
          <w:rFonts w:ascii="Time New Roman" w:hAnsi="Time New Roman"/>
        </w:rPr>
        <w:t>积压</w:t>
      </w:r>
      <w:r w:rsidRPr="00BF42B7">
        <w:rPr>
          <w:rFonts w:ascii="Time New Roman" w:hAnsi="Time New Roman"/>
          <w:lang w:val="en-GB"/>
        </w:rPr>
        <w:t>工作方面取得显著进展表示满意，并欢迎联合国日内瓦办事处会议管理司、特别是编辑科作出努力，切实执行大会要求减少积压工作的有关决议；并鼓励会议管理司继续向编辑科提供一切必要支持，推动《年鉴》的相关工作。</w:t>
      </w:r>
    </w:p>
    <w:p w:rsidR="00813081" w:rsidRPr="00BF42B7" w:rsidRDefault="00813081" w:rsidP="00813081">
      <w:pPr>
        <w:pStyle w:val="H23GC"/>
        <w:rPr>
          <w:b/>
          <w:lang w:val="en-GB"/>
        </w:rPr>
      </w:pPr>
      <w:r w:rsidRPr="00852022">
        <w:rPr>
          <w:bCs/>
          <w:lang w:val="en-GB"/>
        </w:rPr>
        <w:tab/>
        <w:t>8.</w:t>
      </w:r>
      <w:r w:rsidRPr="00BF42B7">
        <w:rPr>
          <w:b/>
          <w:lang w:val="en-GB"/>
        </w:rPr>
        <w:tab/>
      </w:r>
      <w:r w:rsidRPr="00BF42B7">
        <w:rPr>
          <w:lang w:val="en-GB"/>
        </w:rPr>
        <w:t>编纂司的协助</w:t>
      </w:r>
    </w:p>
    <w:p w:rsidR="00813081" w:rsidRPr="00BF42B7" w:rsidRDefault="00813081" w:rsidP="00813081">
      <w:pPr>
        <w:pStyle w:val="SingleTxtGC"/>
        <w:rPr>
          <w:rFonts w:ascii="Time New Roman" w:hAnsi="Time New Roman" w:hint="eastAsia"/>
        </w:rPr>
      </w:pPr>
      <w:r w:rsidRPr="00BF42B7">
        <w:rPr>
          <w:rFonts w:ascii="Time New Roman" w:hAnsi="Time New Roman" w:hint="eastAsia"/>
          <w:lang w:val="en-GB"/>
        </w:rPr>
        <w:t>3</w:t>
      </w:r>
      <w:r w:rsidRPr="00BF42B7">
        <w:rPr>
          <w:rFonts w:ascii="Time New Roman" w:hAnsi="Time New Roman"/>
          <w:lang w:val="en-GB"/>
        </w:rPr>
        <w:t>4</w:t>
      </w:r>
      <w:r w:rsidRPr="00BF42B7">
        <w:rPr>
          <w:rFonts w:ascii="Time New Roman" w:hAnsi="Time New Roman" w:hint="eastAsia"/>
          <w:lang w:val="en-GB"/>
        </w:rPr>
        <w:t>4</w:t>
      </w:r>
      <w:r w:rsidRPr="00BF42B7">
        <w:rPr>
          <w:rFonts w:ascii="Time New Roman" w:hAnsi="Time New Roman"/>
          <w:lang w:val="en-GB"/>
        </w:rPr>
        <w:t xml:space="preserve">.  </w:t>
      </w:r>
      <w:r w:rsidRPr="00BF42B7">
        <w:rPr>
          <w:rFonts w:ascii="Time New Roman" w:hAnsi="Time New Roman"/>
          <w:lang w:val="en-GB"/>
        </w:rPr>
        <w:t>委员会表示赞赏秘书处编纂司在向委员会提供实质性服务方面给予的宝贵协助，特别是一直向特别报告员提供协助，并应委员会的要求，就目前审议的议题的各方面编写深入的研究报告。特别是，委员会赞赏秘书处编写了两份备忘录，一份是关于</w:t>
      </w:r>
      <w:r w:rsidRPr="00BF42B7">
        <w:rPr>
          <w:rFonts w:ascii="Time New Roman" w:hAnsi="Time New Roman" w:hint="eastAsia"/>
          <w:lang w:val="en-GB"/>
        </w:rPr>
        <w:t>“</w:t>
      </w:r>
      <w:r w:rsidRPr="00BF42B7">
        <w:rPr>
          <w:rFonts w:ascii="Time New Roman" w:hAnsi="Time New Roman"/>
          <w:lang w:val="en-GB"/>
        </w:rPr>
        <w:t>就确定习惯国际法而言国家法院的判决在普遍性国际法院和法庭的案例法方面发挥的作用</w:t>
      </w:r>
      <w:r w:rsidRPr="00BF42B7">
        <w:rPr>
          <w:rFonts w:ascii="Time New Roman" w:hAnsi="Time New Roman" w:hint="eastAsia"/>
          <w:lang w:val="en-GB"/>
        </w:rPr>
        <w:t>”</w:t>
      </w:r>
      <w:r w:rsidRPr="00BF42B7">
        <w:rPr>
          <w:rFonts w:ascii="Time New Roman" w:hAnsi="Time New Roman"/>
        </w:rPr>
        <w:t>(</w:t>
      </w:r>
      <w:hyperlink r:id="rId125" w:history="1">
        <w:r w:rsidRPr="00BF42B7">
          <w:rPr>
            <w:rStyle w:val="af"/>
            <w:rFonts w:ascii="Time New Roman" w:hAnsi="Time New Roman"/>
          </w:rPr>
          <w:t>A/CN.4/691</w:t>
        </w:r>
      </w:hyperlink>
      <w:r w:rsidRPr="00BF42B7">
        <w:rPr>
          <w:rFonts w:ascii="Time New Roman" w:hAnsi="Time New Roman"/>
        </w:rPr>
        <w:t>)</w:t>
      </w:r>
      <w:r w:rsidRPr="00BF42B7">
        <w:rPr>
          <w:rFonts w:ascii="Time New Roman" w:hAnsi="Time New Roman"/>
        </w:rPr>
        <w:t>，另一份是关于</w:t>
      </w:r>
      <w:r w:rsidRPr="00BF42B7">
        <w:rPr>
          <w:rFonts w:ascii="Time New Roman" w:hAnsi="Time New Roman" w:hint="eastAsia"/>
        </w:rPr>
        <w:t>“</w:t>
      </w:r>
      <w:r w:rsidRPr="00BF42B7">
        <w:rPr>
          <w:rFonts w:ascii="Time New Roman" w:hAnsi="Time New Roman"/>
        </w:rPr>
        <w:t>可能与国际法委员会今后工作有关的现有条约监督机制的资料</w:t>
      </w:r>
      <w:r w:rsidRPr="00BF42B7">
        <w:rPr>
          <w:rFonts w:ascii="Time New Roman" w:hAnsi="Time New Roman" w:hint="eastAsia"/>
        </w:rPr>
        <w:t>”</w:t>
      </w:r>
      <w:r w:rsidRPr="00BF42B7">
        <w:rPr>
          <w:rFonts w:ascii="Time New Roman" w:hAnsi="Time New Roman"/>
        </w:rPr>
        <w:t>(</w:t>
      </w:r>
      <w:hyperlink r:id="rId126" w:history="1">
        <w:r w:rsidRPr="00BF42B7">
          <w:rPr>
            <w:rStyle w:val="af"/>
            <w:rFonts w:ascii="Time New Roman" w:hAnsi="Time New Roman"/>
          </w:rPr>
          <w:t>A/CN.4/698</w:t>
        </w:r>
      </w:hyperlink>
      <w:r w:rsidRPr="00BF42B7">
        <w:rPr>
          <w:rFonts w:ascii="Time New Roman" w:hAnsi="Time New Roman"/>
        </w:rPr>
        <w:t>)</w:t>
      </w:r>
      <w:r w:rsidRPr="00BF42B7">
        <w:rPr>
          <w:rFonts w:ascii="Time New Roman" w:hAnsi="Time New Roman"/>
        </w:rPr>
        <w:t>。委员会还赞赏秘书处编写了六份关于委员会长期工作方案未来可能纳入的各个专题的工作文件</w:t>
      </w:r>
      <w:r w:rsidRPr="00BF42B7">
        <w:rPr>
          <w:rFonts w:ascii="Time New Roman" w:hAnsi="Time New Roman"/>
        </w:rPr>
        <w:t>(</w:t>
      </w:r>
      <w:hyperlink r:id="rId127" w:history="1">
        <w:r w:rsidRPr="00BF42B7">
          <w:rPr>
            <w:rStyle w:val="af"/>
            <w:rFonts w:ascii="Time New Roman" w:hAnsi="Time New Roman"/>
          </w:rPr>
          <w:t>A/CN.4/679/Add.1</w:t>
        </w:r>
      </w:hyperlink>
      <w:r w:rsidRPr="00BF42B7">
        <w:rPr>
          <w:rFonts w:ascii="Time New Roman" w:hAnsi="Time New Roman"/>
        </w:rPr>
        <w:t>)</w:t>
      </w:r>
      <w:r w:rsidRPr="00BF42B7">
        <w:rPr>
          <w:rFonts w:ascii="Time New Roman" w:hAnsi="Time New Roman"/>
        </w:rPr>
        <w:t>。</w:t>
      </w:r>
    </w:p>
    <w:p w:rsidR="00813081" w:rsidRPr="00BF42B7" w:rsidRDefault="00813081" w:rsidP="00813081">
      <w:pPr>
        <w:pStyle w:val="H23GC"/>
        <w:rPr>
          <w:lang w:val="en-GB"/>
        </w:rPr>
      </w:pPr>
      <w:r w:rsidRPr="00BF42B7">
        <w:rPr>
          <w:lang w:val="en-GB"/>
        </w:rPr>
        <w:tab/>
        <w:t>9.</w:t>
      </w:r>
      <w:r w:rsidRPr="00BF42B7">
        <w:rPr>
          <w:lang w:val="en-GB"/>
        </w:rPr>
        <w:tab/>
      </w:r>
      <w:r w:rsidRPr="00BF42B7">
        <w:rPr>
          <w:lang w:val="en-GB"/>
        </w:rPr>
        <w:t>网站</w:t>
      </w:r>
    </w:p>
    <w:p w:rsidR="00813081" w:rsidRPr="00C8126A" w:rsidRDefault="00813081" w:rsidP="00813081">
      <w:pPr>
        <w:pStyle w:val="SingleTxtGC"/>
        <w:rPr>
          <w:rFonts w:ascii="Time New Roman" w:hAnsi="Time New Roman" w:hint="eastAsia"/>
          <w:spacing w:val="-2"/>
          <w:lang w:val="en-GB"/>
        </w:rPr>
      </w:pPr>
      <w:r w:rsidRPr="00C8126A">
        <w:rPr>
          <w:rFonts w:ascii="Time New Roman" w:hAnsi="Time New Roman" w:hint="eastAsia"/>
          <w:spacing w:val="-2"/>
          <w:lang w:val="en-GB"/>
        </w:rPr>
        <w:t>3</w:t>
      </w:r>
      <w:r w:rsidRPr="00C8126A">
        <w:rPr>
          <w:rFonts w:ascii="Time New Roman" w:hAnsi="Time New Roman"/>
          <w:spacing w:val="-2"/>
          <w:lang w:val="en-GB"/>
        </w:rPr>
        <w:t>4</w:t>
      </w:r>
      <w:r w:rsidRPr="00C8126A">
        <w:rPr>
          <w:rFonts w:ascii="Time New Roman" w:hAnsi="Time New Roman" w:hint="eastAsia"/>
          <w:spacing w:val="-2"/>
          <w:lang w:val="en-GB"/>
        </w:rPr>
        <w:t>5</w:t>
      </w:r>
      <w:r w:rsidRPr="00C8126A">
        <w:rPr>
          <w:rFonts w:ascii="Time New Roman" w:hAnsi="Time New Roman"/>
          <w:spacing w:val="-2"/>
          <w:lang w:val="en-GB"/>
        </w:rPr>
        <w:t xml:space="preserve">.  </w:t>
      </w:r>
      <w:r w:rsidRPr="00C8126A">
        <w:rPr>
          <w:rFonts w:ascii="Time New Roman" w:hAnsi="Time New Roman"/>
          <w:spacing w:val="-2"/>
          <w:lang w:val="en-GB"/>
        </w:rPr>
        <w:t>委员会表示深为赞赏秘书处建立的关于委员会工作的网站，并吁请其继续更新和管理该网站。</w:t>
      </w:r>
      <w:r w:rsidRPr="00C8126A">
        <w:rPr>
          <w:color w:val="0000FF"/>
          <w:spacing w:val="-2"/>
          <w:vertAlign w:val="superscript"/>
          <w:lang w:val="en-GB"/>
        </w:rPr>
        <w:footnoteReference w:id="1481"/>
      </w:r>
      <w:r w:rsidRPr="00C8126A">
        <w:rPr>
          <w:rFonts w:ascii="Time New Roman" w:hAnsi="Time New Roman"/>
          <w:spacing w:val="-2"/>
          <w:lang w:val="en-GB"/>
        </w:rPr>
        <w:t xml:space="preserve"> </w:t>
      </w:r>
      <w:r w:rsidRPr="00C8126A">
        <w:rPr>
          <w:rFonts w:ascii="Time New Roman" w:hAnsi="Time New Roman"/>
          <w:spacing w:val="-2"/>
          <w:lang w:val="en-GB"/>
        </w:rPr>
        <w:t>委员会重申，该网站以及由编纂司维持的其他网站</w:t>
      </w:r>
      <w:r w:rsidRPr="00C8126A">
        <w:rPr>
          <w:color w:val="0000FF"/>
          <w:spacing w:val="-2"/>
          <w:vertAlign w:val="superscript"/>
          <w:lang w:val="en-GB"/>
        </w:rPr>
        <w:footnoteReference w:id="1482"/>
      </w:r>
      <w:r w:rsidRPr="00C8126A">
        <w:rPr>
          <w:rFonts w:ascii="Time New Roman" w:hAnsi="Time New Roman"/>
          <w:spacing w:val="-2"/>
          <w:lang w:val="en-GB"/>
        </w:rPr>
        <w:t xml:space="preserve"> </w:t>
      </w:r>
      <w:r w:rsidRPr="00C8126A">
        <w:rPr>
          <w:rFonts w:ascii="Time New Roman" w:hAnsi="Time New Roman"/>
          <w:spacing w:val="-2"/>
          <w:lang w:val="en-GB"/>
        </w:rPr>
        <w:t>是委员会和研究委员会工作的广大学者的宝贵资源，有助于全面加强国际法的教学、研究、传播以及对国际法的广泛理解。委员会欣见，关于委员会工作的网站还介绍了委员会议程上各个专题的现状，并收录了经过初步编辑的委员会简要记录。</w:t>
      </w:r>
    </w:p>
    <w:p w:rsidR="00813081" w:rsidRPr="00BF42B7" w:rsidRDefault="00813081" w:rsidP="00813081">
      <w:pPr>
        <w:pStyle w:val="H23GC"/>
        <w:rPr>
          <w:b/>
          <w:lang w:val="en-GB"/>
        </w:rPr>
      </w:pPr>
      <w:r w:rsidRPr="003D448F">
        <w:rPr>
          <w:bCs/>
          <w:lang w:val="en-GB"/>
        </w:rPr>
        <w:tab/>
        <w:t>10.</w:t>
      </w:r>
      <w:r w:rsidRPr="003D448F">
        <w:rPr>
          <w:bCs/>
          <w:lang w:val="en-GB"/>
        </w:rPr>
        <w:tab/>
      </w:r>
      <w:r w:rsidRPr="00BF42B7">
        <w:rPr>
          <w:lang w:val="en-GB"/>
        </w:rPr>
        <w:t>联合国国际法视听图书馆</w:t>
      </w:r>
    </w:p>
    <w:p w:rsidR="00813081" w:rsidRPr="00BF42B7" w:rsidRDefault="00813081" w:rsidP="00813081">
      <w:pPr>
        <w:pStyle w:val="SingleTxtGC"/>
        <w:rPr>
          <w:rFonts w:ascii="Time New Roman" w:hAnsi="Time New Roman" w:hint="eastAsia"/>
          <w:lang w:val="en-GB"/>
        </w:rPr>
      </w:pPr>
      <w:r w:rsidRPr="00BF42B7">
        <w:rPr>
          <w:rFonts w:ascii="Time New Roman" w:hAnsi="Time New Roman" w:hint="eastAsia"/>
          <w:lang w:val="en-GB"/>
        </w:rPr>
        <w:t>3</w:t>
      </w:r>
      <w:r w:rsidRPr="00BF42B7">
        <w:rPr>
          <w:rFonts w:ascii="Time New Roman" w:hAnsi="Time New Roman"/>
          <w:lang w:val="en-GB"/>
        </w:rPr>
        <w:t>4</w:t>
      </w:r>
      <w:r w:rsidRPr="00BF42B7">
        <w:rPr>
          <w:rFonts w:ascii="Time New Roman" w:hAnsi="Time New Roman" w:hint="eastAsia"/>
          <w:lang w:val="en-GB"/>
        </w:rPr>
        <w:t>6</w:t>
      </w:r>
      <w:r w:rsidRPr="00BF42B7">
        <w:rPr>
          <w:rFonts w:ascii="Time New Roman" w:hAnsi="Time New Roman"/>
          <w:lang w:val="en-GB"/>
        </w:rPr>
        <w:t xml:space="preserve">.  </w:t>
      </w:r>
      <w:r w:rsidRPr="00BF42B7">
        <w:rPr>
          <w:rFonts w:ascii="Time New Roman" w:hAnsi="Time New Roman"/>
          <w:lang w:val="en-GB"/>
        </w:rPr>
        <w:t>委员会再次赞赏地指出，联合国国际法视听图书馆对于增进对国际法和对联合国在该领域的工作包括国际法委员会的工作的了解，意义非凡。</w:t>
      </w:r>
      <w:r w:rsidRPr="00BF42B7">
        <w:rPr>
          <w:color w:val="0000FF"/>
          <w:vertAlign w:val="superscript"/>
        </w:rPr>
        <w:footnoteReference w:id="1483"/>
      </w:r>
    </w:p>
    <w:p w:rsidR="00813081" w:rsidRPr="00BF42B7" w:rsidRDefault="00813081" w:rsidP="00813081">
      <w:pPr>
        <w:pStyle w:val="H1GC"/>
        <w:rPr>
          <w:lang w:val="en-GB"/>
        </w:rPr>
      </w:pPr>
      <w:r w:rsidRPr="003D448F">
        <w:rPr>
          <w:bCs/>
          <w:lang w:val="en-GB"/>
        </w:rPr>
        <w:tab/>
        <w:t>C.</w:t>
      </w:r>
      <w:r w:rsidRPr="003D448F">
        <w:rPr>
          <w:bCs/>
          <w:lang w:val="en-GB"/>
        </w:rPr>
        <w:tab/>
      </w:r>
      <w:r w:rsidRPr="00BF42B7">
        <w:rPr>
          <w:lang w:val="en-GB"/>
        </w:rPr>
        <w:t>委员会第六十九届会议的日期和地点</w:t>
      </w:r>
    </w:p>
    <w:p w:rsidR="00813081" w:rsidRPr="00BF42B7" w:rsidRDefault="00813081" w:rsidP="00813081">
      <w:pPr>
        <w:pStyle w:val="SingleTxtGC"/>
        <w:rPr>
          <w:rFonts w:ascii="Time New Roman" w:hAnsi="Time New Roman" w:hint="eastAsia"/>
          <w:lang w:val="en-GB"/>
        </w:rPr>
      </w:pPr>
      <w:r w:rsidRPr="00BF42B7">
        <w:rPr>
          <w:rFonts w:ascii="Time New Roman" w:hAnsi="Time New Roman" w:hint="eastAsia"/>
          <w:lang w:val="en-GB"/>
        </w:rPr>
        <w:t>3</w:t>
      </w:r>
      <w:r w:rsidRPr="00BF42B7">
        <w:rPr>
          <w:rFonts w:ascii="Time New Roman" w:hAnsi="Time New Roman"/>
          <w:lang w:val="en-GB"/>
        </w:rPr>
        <w:t>4</w:t>
      </w:r>
      <w:r w:rsidRPr="00BF42B7">
        <w:rPr>
          <w:rFonts w:ascii="Time New Roman" w:hAnsi="Time New Roman" w:hint="eastAsia"/>
          <w:lang w:val="en-GB"/>
        </w:rPr>
        <w:t>7</w:t>
      </w:r>
      <w:r w:rsidRPr="00BF42B7">
        <w:rPr>
          <w:rFonts w:ascii="Time New Roman" w:hAnsi="Time New Roman"/>
          <w:lang w:val="en-GB"/>
        </w:rPr>
        <w:t xml:space="preserve">.  </w:t>
      </w:r>
      <w:r w:rsidRPr="00BF42B7">
        <w:rPr>
          <w:rFonts w:ascii="Time New Roman" w:hAnsi="Time New Roman"/>
          <w:lang w:val="en-GB"/>
        </w:rPr>
        <w:t>委员会决定，委员会第六十九届会议于</w:t>
      </w:r>
      <w:r w:rsidRPr="00BF42B7">
        <w:rPr>
          <w:rFonts w:ascii="Time New Roman" w:hAnsi="Time New Roman"/>
          <w:lang w:val="en-GB"/>
        </w:rPr>
        <w:t>2017</w:t>
      </w:r>
      <w:r w:rsidRPr="00BF42B7">
        <w:rPr>
          <w:rFonts w:ascii="Time New Roman" w:hAnsi="Time New Roman"/>
          <w:lang w:val="en-GB"/>
        </w:rPr>
        <w:t>年</w:t>
      </w:r>
      <w:r w:rsidRPr="00BF42B7">
        <w:rPr>
          <w:rFonts w:ascii="Time New Roman" w:hAnsi="Time New Roman"/>
          <w:lang w:val="en-GB"/>
        </w:rPr>
        <w:t>5</w:t>
      </w:r>
      <w:r w:rsidRPr="00BF42B7">
        <w:rPr>
          <w:rFonts w:ascii="Time New Roman" w:hAnsi="Time New Roman"/>
          <w:lang w:val="en-GB"/>
        </w:rPr>
        <w:t>月</w:t>
      </w:r>
      <w:r w:rsidRPr="00BF42B7">
        <w:rPr>
          <w:rFonts w:ascii="Time New Roman" w:hAnsi="Time New Roman"/>
          <w:lang w:val="en-GB"/>
        </w:rPr>
        <w:t>1</w:t>
      </w:r>
      <w:r w:rsidRPr="00BF42B7">
        <w:rPr>
          <w:rFonts w:ascii="Time New Roman" w:hAnsi="Time New Roman"/>
          <w:lang w:val="en-GB"/>
        </w:rPr>
        <w:t>日至</w:t>
      </w:r>
      <w:r w:rsidRPr="00BF42B7">
        <w:rPr>
          <w:rFonts w:ascii="Time New Roman" w:hAnsi="Time New Roman"/>
          <w:lang w:val="en-GB"/>
        </w:rPr>
        <w:t>6</w:t>
      </w:r>
      <w:r w:rsidRPr="00BF42B7">
        <w:rPr>
          <w:rFonts w:ascii="Time New Roman" w:hAnsi="Time New Roman"/>
          <w:lang w:val="en-GB"/>
        </w:rPr>
        <w:t>月</w:t>
      </w:r>
      <w:r w:rsidRPr="00BF42B7">
        <w:rPr>
          <w:rFonts w:ascii="Time New Roman" w:hAnsi="Time New Roman"/>
          <w:lang w:val="en-GB"/>
        </w:rPr>
        <w:t>2</w:t>
      </w:r>
      <w:r w:rsidRPr="00BF42B7">
        <w:rPr>
          <w:rFonts w:ascii="Time New Roman" w:hAnsi="Time New Roman"/>
          <w:lang w:val="en-GB"/>
        </w:rPr>
        <w:t>日和</w:t>
      </w:r>
      <w:r w:rsidRPr="00BF42B7">
        <w:rPr>
          <w:rFonts w:ascii="Time New Roman" w:hAnsi="Time New Roman"/>
          <w:lang w:val="en-GB"/>
        </w:rPr>
        <w:t>7</w:t>
      </w:r>
      <w:r w:rsidRPr="00BF42B7">
        <w:rPr>
          <w:rFonts w:ascii="Time New Roman" w:hAnsi="Time New Roman"/>
          <w:lang w:val="en-GB"/>
        </w:rPr>
        <w:t>月</w:t>
      </w:r>
      <w:r w:rsidRPr="00BF42B7">
        <w:rPr>
          <w:rFonts w:ascii="Time New Roman" w:hAnsi="Time New Roman"/>
          <w:lang w:val="en-GB"/>
        </w:rPr>
        <w:t>3</w:t>
      </w:r>
      <w:r w:rsidRPr="00BF42B7">
        <w:rPr>
          <w:rFonts w:ascii="Time New Roman" w:hAnsi="Time New Roman"/>
          <w:lang w:val="en-GB"/>
        </w:rPr>
        <w:t>日至</w:t>
      </w:r>
      <w:r w:rsidRPr="00BF42B7">
        <w:rPr>
          <w:rFonts w:ascii="Time New Roman" w:hAnsi="Time New Roman"/>
          <w:lang w:val="en-GB"/>
        </w:rPr>
        <w:t>8</w:t>
      </w:r>
      <w:r w:rsidRPr="00BF42B7">
        <w:rPr>
          <w:rFonts w:ascii="Time New Roman" w:hAnsi="Time New Roman"/>
          <w:lang w:val="en-GB"/>
        </w:rPr>
        <w:t>月</w:t>
      </w:r>
      <w:r w:rsidRPr="00BF42B7">
        <w:rPr>
          <w:rFonts w:ascii="Time New Roman" w:hAnsi="Time New Roman"/>
          <w:lang w:val="en-GB"/>
        </w:rPr>
        <w:t>4</w:t>
      </w:r>
      <w:r w:rsidRPr="00BF42B7">
        <w:rPr>
          <w:rFonts w:ascii="Time New Roman" w:hAnsi="Time New Roman"/>
          <w:lang w:val="en-GB"/>
        </w:rPr>
        <w:t>日在日内瓦举行。</w:t>
      </w:r>
    </w:p>
    <w:p w:rsidR="00813081" w:rsidRPr="00BF42B7" w:rsidRDefault="00813081" w:rsidP="00813081">
      <w:pPr>
        <w:pStyle w:val="H1GC"/>
      </w:pPr>
      <w:r w:rsidRPr="00BF42B7">
        <w:rPr>
          <w:rFonts w:hint="eastAsia"/>
        </w:rPr>
        <w:tab/>
      </w:r>
      <w:r w:rsidRPr="00BF42B7">
        <w:t>D.</w:t>
      </w:r>
      <w:r w:rsidRPr="00BF42B7">
        <w:tab/>
      </w:r>
      <w:r w:rsidRPr="00BF42B7">
        <w:t>与其他机构的合作</w:t>
      </w:r>
    </w:p>
    <w:p w:rsidR="00813081" w:rsidRPr="00BF42B7" w:rsidRDefault="00813081" w:rsidP="00813081">
      <w:pPr>
        <w:pStyle w:val="SingleTxtGC"/>
      </w:pPr>
      <w:r w:rsidRPr="00BF42B7">
        <w:rPr>
          <w:rFonts w:hint="eastAsia"/>
        </w:rPr>
        <w:t>3</w:t>
      </w:r>
      <w:r w:rsidRPr="00BF42B7">
        <w:t>4</w:t>
      </w:r>
      <w:r w:rsidRPr="00BF42B7">
        <w:rPr>
          <w:rFonts w:hint="eastAsia"/>
        </w:rPr>
        <w:t>8</w:t>
      </w:r>
      <w:r w:rsidRPr="00BF42B7">
        <w:t>.</w:t>
      </w:r>
      <w:r w:rsidRPr="00BF42B7">
        <w:rPr>
          <w:rFonts w:hint="eastAsia"/>
        </w:rPr>
        <w:t xml:space="preserve">  </w:t>
      </w:r>
      <w:r w:rsidRPr="00BF42B7">
        <w:t>国际法院院长亚伯拉罕法官在委员会</w:t>
      </w:r>
      <w:r w:rsidRPr="00BF42B7">
        <w:t>2016</w:t>
      </w:r>
      <w:r w:rsidRPr="00BF42B7">
        <w:t>年</w:t>
      </w:r>
      <w:r w:rsidRPr="00BF42B7">
        <w:t>7</w:t>
      </w:r>
      <w:r w:rsidRPr="00BF42B7">
        <w:t>月</w:t>
      </w:r>
      <w:r w:rsidRPr="00BF42B7">
        <w:t>8</w:t>
      </w:r>
      <w:r w:rsidRPr="00BF42B7">
        <w:t>日第</w:t>
      </w:r>
      <w:r w:rsidRPr="00BF42B7">
        <w:t>3317</w:t>
      </w:r>
      <w:r w:rsidRPr="00BF42B7">
        <w:t>次会议上发言，通报了国际法院最近的司法活动。</w:t>
      </w:r>
      <w:r w:rsidRPr="00BF42B7">
        <w:rPr>
          <w:color w:val="0000FF"/>
          <w:vertAlign w:val="superscript"/>
        </w:rPr>
        <w:footnoteReference w:id="1484"/>
      </w:r>
      <w:r w:rsidRPr="00BF42B7">
        <w:t xml:space="preserve"> </w:t>
      </w:r>
      <w:r w:rsidRPr="00BF42B7">
        <w:t>随后交换了意见。</w:t>
      </w:r>
    </w:p>
    <w:p w:rsidR="00813081" w:rsidRPr="00BF42B7" w:rsidRDefault="00813081" w:rsidP="00813081">
      <w:pPr>
        <w:pStyle w:val="SingleTxtGC"/>
      </w:pPr>
      <w:r w:rsidRPr="00BF42B7">
        <w:rPr>
          <w:rFonts w:hint="eastAsia"/>
        </w:rPr>
        <w:t>3</w:t>
      </w:r>
      <w:r w:rsidRPr="00BF42B7">
        <w:t>4</w:t>
      </w:r>
      <w:r w:rsidRPr="00BF42B7">
        <w:rPr>
          <w:rFonts w:hint="eastAsia"/>
        </w:rPr>
        <w:t>9</w:t>
      </w:r>
      <w:r w:rsidRPr="00BF42B7">
        <w:t>.</w:t>
      </w:r>
      <w:r w:rsidRPr="00BF42B7">
        <w:rPr>
          <w:rFonts w:hint="eastAsia"/>
        </w:rPr>
        <w:t xml:space="preserve">  </w:t>
      </w:r>
      <w:r w:rsidRPr="00BF42B7">
        <w:t>美洲司法委员会派该委员会的委员</w:t>
      </w:r>
      <w:r w:rsidRPr="00BF42B7">
        <w:t>Gélin Imanès Collot</w:t>
      </w:r>
      <w:r w:rsidRPr="00BF42B7">
        <w:t>先生代表该组织出席了委员会本届会议，并在</w:t>
      </w:r>
      <w:r w:rsidRPr="00BF42B7">
        <w:t>2016</w:t>
      </w:r>
      <w:r w:rsidRPr="00BF42B7">
        <w:t>年</w:t>
      </w:r>
      <w:r w:rsidRPr="00BF42B7">
        <w:t>5</w:t>
      </w:r>
      <w:r w:rsidRPr="00BF42B7">
        <w:t>月</w:t>
      </w:r>
      <w:r w:rsidRPr="00BF42B7">
        <w:t>26</w:t>
      </w:r>
      <w:r w:rsidRPr="00BF42B7">
        <w:t>日第</w:t>
      </w:r>
      <w:r w:rsidRPr="00BF42B7">
        <w:t>3305</w:t>
      </w:r>
      <w:r w:rsidRPr="00BF42B7">
        <w:t>次会议上发言。</w:t>
      </w:r>
      <w:r w:rsidRPr="00BF42B7">
        <w:rPr>
          <w:color w:val="0000FF"/>
          <w:vertAlign w:val="superscript"/>
        </w:rPr>
        <w:footnoteReference w:id="1485"/>
      </w:r>
      <w:r w:rsidRPr="00BF42B7">
        <w:t xml:space="preserve"> </w:t>
      </w:r>
      <w:r w:rsidRPr="00BF42B7">
        <w:t>他概述了该委员会在过去，尤其是在</w:t>
      </w:r>
      <w:r w:rsidRPr="00BF42B7">
        <w:t>2015/2016</w:t>
      </w:r>
      <w:r w:rsidRPr="00BF42B7">
        <w:t>年期间就其处理的种种法律问题开展的活动。随后交换了意见。</w:t>
      </w:r>
    </w:p>
    <w:p w:rsidR="00813081" w:rsidRPr="00BF42B7" w:rsidRDefault="00813081" w:rsidP="00813081">
      <w:pPr>
        <w:pStyle w:val="SingleTxtGC"/>
        <w:rPr>
          <w:rFonts w:ascii="Time New Roman" w:hAnsi="Time New Roman" w:hint="eastAsia"/>
        </w:rPr>
      </w:pPr>
      <w:r w:rsidRPr="00BF42B7">
        <w:rPr>
          <w:rFonts w:ascii="Time New Roman" w:hAnsi="Time New Roman" w:hint="eastAsia"/>
        </w:rPr>
        <w:t>350</w:t>
      </w:r>
      <w:r w:rsidRPr="00BF42B7">
        <w:rPr>
          <w:rFonts w:ascii="Time New Roman" w:hAnsi="Time New Roman"/>
        </w:rPr>
        <w:t>.</w:t>
      </w:r>
      <w:r w:rsidRPr="00BF42B7">
        <w:rPr>
          <w:rFonts w:ascii="Time New Roman" w:hAnsi="Time New Roman" w:hint="eastAsia"/>
        </w:rPr>
        <w:t xml:space="preserve">  </w:t>
      </w:r>
      <w:r w:rsidRPr="00BF42B7">
        <w:rPr>
          <w:rFonts w:ascii="Time New Roman" w:hAnsi="Time New Roman"/>
        </w:rPr>
        <w:t>欧洲委员会国际公法法律顾问委员会主席</w:t>
      </w:r>
      <w:r w:rsidRPr="00BF42B7">
        <w:rPr>
          <w:rFonts w:ascii="Time New Roman" w:hAnsi="Time New Roman"/>
        </w:rPr>
        <w:t>Paul Rietjens</w:t>
      </w:r>
      <w:r w:rsidRPr="00BF42B7">
        <w:rPr>
          <w:rFonts w:ascii="Time New Roman" w:hAnsi="Time New Roman"/>
        </w:rPr>
        <w:t>先生和国际公法司司长兼法律咨询和国际公法局条约处处长</w:t>
      </w:r>
      <w:r w:rsidRPr="00BF42B7">
        <w:rPr>
          <w:rFonts w:ascii="Time New Roman" w:hAnsi="Time New Roman"/>
        </w:rPr>
        <w:t>Marta Requena</w:t>
      </w:r>
      <w:r w:rsidRPr="00BF42B7">
        <w:rPr>
          <w:rFonts w:ascii="Time New Roman" w:hAnsi="Time New Roman"/>
        </w:rPr>
        <w:t>女士代表国际公法法律顾问委员会出席了委员会本届会议，并都在</w:t>
      </w:r>
      <w:r w:rsidRPr="00BF42B7">
        <w:rPr>
          <w:rFonts w:ascii="Time New Roman" w:hAnsi="Time New Roman"/>
        </w:rPr>
        <w:t>2016</w:t>
      </w:r>
      <w:r w:rsidRPr="00BF42B7">
        <w:rPr>
          <w:rFonts w:ascii="Time New Roman" w:hAnsi="Time New Roman"/>
        </w:rPr>
        <w:t>年</w:t>
      </w:r>
      <w:r w:rsidRPr="00BF42B7">
        <w:rPr>
          <w:rFonts w:ascii="Time New Roman" w:hAnsi="Time New Roman"/>
        </w:rPr>
        <w:t>7</w:t>
      </w:r>
      <w:r w:rsidRPr="00BF42B7">
        <w:rPr>
          <w:rFonts w:ascii="Time New Roman" w:hAnsi="Time New Roman"/>
        </w:rPr>
        <w:t>月</w:t>
      </w:r>
      <w:r w:rsidRPr="00BF42B7">
        <w:rPr>
          <w:rFonts w:ascii="Time New Roman" w:hAnsi="Time New Roman"/>
        </w:rPr>
        <w:t>6</w:t>
      </w:r>
      <w:r w:rsidRPr="00BF42B7">
        <w:rPr>
          <w:rFonts w:ascii="Time New Roman" w:hAnsi="Time New Roman"/>
        </w:rPr>
        <w:t>日第</w:t>
      </w:r>
      <w:r w:rsidRPr="00BF42B7">
        <w:rPr>
          <w:rFonts w:ascii="Time New Roman" w:hAnsi="Time New Roman"/>
        </w:rPr>
        <w:t>3316</w:t>
      </w:r>
      <w:r w:rsidRPr="00BF42B7">
        <w:rPr>
          <w:rFonts w:ascii="Time New Roman" w:hAnsi="Time New Roman"/>
        </w:rPr>
        <w:t>次会议上发言。</w:t>
      </w:r>
      <w:r w:rsidRPr="00BF42B7">
        <w:rPr>
          <w:color w:val="0000FF"/>
          <w:vertAlign w:val="superscript"/>
        </w:rPr>
        <w:footnoteReference w:id="1486"/>
      </w:r>
      <w:r w:rsidRPr="00BF42B7">
        <w:rPr>
          <w:rFonts w:ascii="Time New Roman" w:hAnsi="Time New Roman"/>
        </w:rPr>
        <w:t xml:space="preserve"> </w:t>
      </w:r>
      <w:r w:rsidRPr="00BF42B7">
        <w:rPr>
          <w:rFonts w:ascii="Time New Roman" w:hAnsi="Time New Roman"/>
        </w:rPr>
        <w:t>他们着重介绍了国际公法法律顾问委员会目前在国际公法领域开展的工作，以及欧洲委员会目前的活动。随后交换了意见。</w:t>
      </w:r>
    </w:p>
    <w:p w:rsidR="00813081" w:rsidRPr="00BF42B7" w:rsidRDefault="00813081" w:rsidP="00813081">
      <w:pPr>
        <w:pStyle w:val="SingleTxtGC"/>
        <w:rPr>
          <w:rFonts w:ascii="Time New Roman" w:hAnsi="Time New Roman" w:hint="eastAsia"/>
        </w:rPr>
      </w:pPr>
      <w:r w:rsidRPr="00BF42B7">
        <w:rPr>
          <w:rFonts w:ascii="Time New Roman" w:hAnsi="Time New Roman" w:hint="eastAsia"/>
        </w:rPr>
        <w:t>351</w:t>
      </w:r>
      <w:r w:rsidRPr="00BF42B7">
        <w:rPr>
          <w:rFonts w:ascii="Time New Roman" w:hAnsi="Time New Roman"/>
        </w:rPr>
        <w:t>.</w:t>
      </w:r>
      <w:r w:rsidRPr="00BF42B7">
        <w:rPr>
          <w:rFonts w:ascii="Time New Roman" w:hAnsi="Time New Roman" w:hint="eastAsia"/>
        </w:rPr>
        <w:t xml:space="preserve">  </w:t>
      </w:r>
      <w:r w:rsidRPr="00BF42B7">
        <w:rPr>
          <w:rFonts w:ascii="Time New Roman" w:hAnsi="Time New Roman"/>
        </w:rPr>
        <w:t>2016</w:t>
      </w:r>
      <w:r w:rsidRPr="00BF42B7">
        <w:rPr>
          <w:rFonts w:ascii="Time New Roman" w:hAnsi="Time New Roman"/>
        </w:rPr>
        <w:t>年</w:t>
      </w:r>
      <w:r w:rsidRPr="00BF42B7">
        <w:rPr>
          <w:rFonts w:ascii="Time New Roman" w:hAnsi="Time New Roman"/>
        </w:rPr>
        <w:t>7</w:t>
      </w:r>
      <w:r w:rsidRPr="00BF42B7">
        <w:rPr>
          <w:rFonts w:ascii="Time New Roman" w:hAnsi="Time New Roman"/>
        </w:rPr>
        <w:t>月</w:t>
      </w:r>
      <w:r w:rsidRPr="00BF42B7">
        <w:rPr>
          <w:rFonts w:ascii="Time New Roman" w:hAnsi="Time New Roman"/>
        </w:rPr>
        <w:t>20</w:t>
      </w:r>
      <w:r w:rsidRPr="00BF42B7">
        <w:rPr>
          <w:rFonts w:ascii="Time New Roman" w:hAnsi="Time New Roman"/>
        </w:rPr>
        <w:t>日，委员会委员与红十字国际委员会</w:t>
      </w:r>
      <w:r w:rsidRPr="00BF42B7">
        <w:rPr>
          <w:rFonts w:ascii="Time New Roman" w:hAnsi="Time New Roman"/>
        </w:rPr>
        <w:t>(</w:t>
      </w:r>
      <w:r w:rsidRPr="00BF42B7">
        <w:rPr>
          <w:rFonts w:ascii="Time New Roman" w:hAnsi="Time New Roman"/>
        </w:rPr>
        <w:t>红十字会</w:t>
      </w:r>
      <w:r w:rsidRPr="00BF42B7">
        <w:rPr>
          <w:rFonts w:ascii="Time New Roman" w:hAnsi="Time New Roman"/>
        </w:rPr>
        <w:t>)</w:t>
      </w:r>
      <w:r w:rsidRPr="00BF42B7">
        <w:rPr>
          <w:rFonts w:ascii="Time New Roman" w:hAnsi="Time New Roman"/>
        </w:rPr>
        <w:t>就共同关心的问题非正式地交换了意见。在红十字会国际法和政策主任与委员会主席讲话之后，对下列两个专题作了介绍：</w:t>
      </w:r>
      <w:r w:rsidRPr="00BF42B7">
        <w:rPr>
          <w:rFonts w:ascii="Time New Roman" w:hAnsi="Time New Roman" w:hint="eastAsia"/>
        </w:rPr>
        <w:t>“</w:t>
      </w:r>
      <w:r w:rsidRPr="00BF42B7">
        <w:rPr>
          <w:rFonts w:ascii="Time New Roman" w:hAnsi="Time New Roman"/>
        </w:rPr>
        <w:t>危害人类罪</w:t>
      </w:r>
      <w:r w:rsidRPr="00BF42B7">
        <w:rPr>
          <w:rFonts w:ascii="Time New Roman" w:hAnsi="Time New Roman" w:hint="eastAsia"/>
        </w:rPr>
        <w:t>”</w:t>
      </w:r>
      <w:r w:rsidRPr="00BF42B7">
        <w:rPr>
          <w:rFonts w:ascii="Time New Roman" w:hAnsi="Time New Roman"/>
        </w:rPr>
        <w:t>和</w:t>
      </w:r>
      <w:r w:rsidRPr="00BF42B7">
        <w:rPr>
          <w:rFonts w:ascii="Time New Roman" w:hAnsi="Time New Roman" w:hint="eastAsia"/>
        </w:rPr>
        <w:t>“</w:t>
      </w:r>
      <w:r w:rsidRPr="00BF42B7">
        <w:rPr>
          <w:rFonts w:ascii="Time New Roman" w:hAnsi="Time New Roman"/>
        </w:rPr>
        <w:t>与武装冲突有关的环境保护</w:t>
      </w:r>
      <w:r w:rsidRPr="00BF42B7">
        <w:rPr>
          <w:rFonts w:ascii="Time New Roman" w:hAnsi="Time New Roman" w:hint="eastAsia"/>
        </w:rPr>
        <w:t>”</w:t>
      </w:r>
      <w:r w:rsidRPr="00BF42B7">
        <w:rPr>
          <w:rFonts w:ascii="Time New Roman" w:hAnsi="Time New Roman"/>
        </w:rPr>
        <w:t>。还对下列两个题目作了介绍：</w:t>
      </w:r>
      <w:r w:rsidRPr="00BF42B7">
        <w:rPr>
          <w:rFonts w:ascii="Time New Roman" w:hAnsi="Time New Roman" w:hint="eastAsia"/>
        </w:rPr>
        <w:t>“</w:t>
      </w:r>
      <w:r w:rsidRPr="00BF42B7">
        <w:rPr>
          <w:rFonts w:ascii="Time New Roman" w:hAnsi="Time New Roman"/>
        </w:rPr>
        <w:t>国际红十字和红新月运动第</w:t>
      </w:r>
      <w:r w:rsidRPr="00BF42B7">
        <w:rPr>
          <w:rFonts w:ascii="Time New Roman" w:hAnsi="Time New Roman"/>
        </w:rPr>
        <w:t>32</w:t>
      </w:r>
      <w:r w:rsidRPr="00BF42B7">
        <w:rPr>
          <w:rFonts w:ascii="Time New Roman" w:hAnsi="Time New Roman"/>
        </w:rPr>
        <w:t>届国际会议的结果情况</w:t>
      </w:r>
      <w:r w:rsidRPr="00BF42B7">
        <w:rPr>
          <w:rFonts w:ascii="Time New Roman" w:hAnsi="Time New Roman" w:hint="eastAsia"/>
        </w:rPr>
        <w:t>”</w:t>
      </w:r>
      <w:r w:rsidRPr="00BF42B7">
        <w:rPr>
          <w:rFonts w:ascii="Time New Roman" w:hAnsi="Time New Roman"/>
        </w:rPr>
        <w:t>和</w:t>
      </w:r>
      <w:r w:rsidRPr="00BF42B7">
        <w:rPr>
          <w:rFonts w:ascii="Time New Roman" w:hAnsi="Time New Roman" w:hint="eastAsia"/>
        </w:rPr>
        <w:t>“</w:t>
      </w:r>
      <w:r w:rsidRPr="00BF42B7">
        <w:rPr>
          <w:rFonts w:ascii="Time New Roman" w:hAnsi="Time New Roman"/>
        </w:rPr>
        <w:t>国际人道主义法与处理反恐问题的法律框架的互动关系</w:t>
      </w:r>
      <w:r w:rsidRPr="00BF42B7">
        <w:rPr>
          <w:rFonts w:ascii="Time New Roman" w:hAnsi="Time New Roman" w:hint="eastAsia"/>
        </w:rPr>
        <w:t>”</w:t>
      </w:r>
      <w:r w:rsidRPr="00BF42B7">
        <w:rPr>
          <w:rFonts w:ascii="Time New Roman" w:hAnsi="Time New Roman"/>
        </w:rPr>
        <w:t>。介绍之后进行了讨论。</w:t>
      </w:r>
      <w:r w:rsidRPr="00BF42B7">
        <w:rPr>
          <w:color w:val="0000FF"/>
          <w:vertAlign w:val="superscript"/>
        </w:rPr>
        <w:footnoteReference w:id="1487"/>
      </w:r>
    </w:p>
    <w:p w:rsidR="00813081" w:rsidRPr="00BF42B7" w:rsidRDefault="00813081" w:rsidP="00813081">
      <w:pPr>
        <w:pStyle w:val="H1GC"/>
        <w:rPr>
          <w:b/>
        </w:rPr>
      </w:pPr>
      <w:r w:rsidRPr="003D448F">
        <w:rPr>
          <w:rFonts w:hint="eastAsia"/>
          <w:bCs/>
        </w:rPr>
        <w:tab/>
      </w:r>
      <w:r w:rsidRPr="003D448F">
        <w:rPr>
          <w:bCs/>
        </w:rPr>
        <w:t>E.</w:t>
      </w:r>
      <w:r w:rsidRPr="003D448F">
        <w:rPr>
          <w:bCs/>
        </w:rPr>
        <w:tab/>
      </w:r>
      <w:r w:rsidRPr="00BF42B7">
        <w:t>出席大会第七十一届会议的代表</w:t>
      </w:r>
    </w:p>
    <w:p w:rsidR="00813081" w:rsidRPr="00BF42B7" w:rsidRDefault="00813081" w:rsidP="00EA60D2">
      <w:pPr>
        <w:pStyle w:val="SingleTxtGC"/>
        <w:rPr>
          <w:rFonts w:ascii="Time New Roman" w:hAnsi="Time New Roman" w:hint="eastAsia"/>
        </w:rPr>
      </w:pPr>
      <w:r w:rsidRPr="00BF42B7">
        <w:rPr>
          <w:rFonts w:ascii="Time New Roman" w:hAnsi="Time New Roman" w:hint="eastAsia"/>
        </w:rPr>
        <w:t>3</w:t>
      </w:r>
      <w:r w:rsidRPr="00BF42B7">
        <w:rPr>
          <w:rFonts w:ascii="Time New Roman" w:hAnsi="Time New Roman"/>
        </w:rPr>
        <w:t>5</w:t>
      </w:r>
      <w:r w:rsidRPr="00BF42B7">
        <w:rPr>
          <w:rFonts w:ascii="Time New Roman" w:hAnsi="Time New Roman" w:hint="eastAsia"/>
        </w:rPr>
        <w:t>2</w:t>
      </w:r>
      <w:r w:rsidRPr="00BF42B7">
        <w:rPr>
          <w:rFonts w:ascii="Time New Roman" w:hAnsi="Time New Roman"/>
        </w:rPr>
        <w:t>.</w:t>
      </w:r>
      <w:r w:rsidRPr="00BF42B7">
        <w:rPr>
          <w:rFonts w:ascii="Time New Roman" w:hAnsi="Time New Roman" w:hint="eastAsia"/>
        </w:rPr>
        <w:t xml:space="preserve">  </w:t>
      </w:r>
      <w:r w:rsidRPr="00BF42B7">
        <w:rPr>
          <w:rFonts w:ascii="Time New Roman" w:hAnsi="Time New Roman"/>
        </w:rPr>
        <w:t>委员会决定由</w:t>
      </w:r>
      <w:r w:rsidRPr="00BF42B7">
        <w:rPr>
          <w:rFonts w:ascii="Time New Roman" w:hAnsi="Time New Roman" w:hint="eastAsia"/>
        </w:rPr>
        <w:t>主席</w:t>
      </w:r>
      <w:r w:rsidRPr="00BF42B7">
        <w:rPr>
          <w:rFonts w:ascii="Time New Roman" w:hAnsi="Time New Roman"/>
        </w:rPr>
        <w:t>佩德罗</w:t>
      </w:r>
      <w:r w:rsidR="00EA60D2">
        <w:rPr>
          <w:rFonts w:ascii="Time New Roman" w:hAnsi="Time New Roman" w:hint="eastAsia"/>
          <w:lang w:val="en-GB"/>
        </w:rPr>
        <w:t>·</w:t>
      </w:r>
      <w:r w:rsidRPr="00BF42B7">
        <w:rPr>
          <w:rFonts w:ascii="Time New Roman" w:hAnsi="Time New Roman"/>
        </w:rPr>
        <w:t>科米萨里奥</w:t>
      </w:r>
      <w:r w:rsidR="00EA60D2">
        <w:rPr>
          <w:rFonts w:ascii="Time New Roman" w:hAnsi="Time New Roman" w:hint="eastAsia"/>
          <w:lang w:val="en-GB"/>
        </w:rPr>
        <w:t>·</w:t>
      </w:r>
      <w:r w:rsidRPr="00BF42B7">
        <w:rPr>
          <w:rFonts w:ascii="Time New Roman" w:hAnsi="Time New Roman"/>
        </w:rPr>
        <w:t>阿丰索先生代表委员会出席大会第七十一届会议。</w:t>
      </w:r>
    </w:p>
    <w:p w:rsidR="00813081" w:rsidRPr="00BF42B7" w:rsidRDefault="00813081" w:rsidP="00813081">
      <w:pPr>
        <w:pStyle w:val="H1GC"/>
      </w:pPr>
      <w:r w:rsidRPr="003D448F">
        <w:rPr>
          <w:rFonts w:hint="eastAsia"/>
          <w:bCs/>
        </w:rPr>
        <w:tab/>
      </w:r>
      <w:r w:rsidRPr="003D448F">
        <w:rPr>
          <w:bCs/>
        </w:rPr>
        <w:t>F.</w:t>
      </w:r>
      <w:r w:rsidRPr="003D448F">
        <w:rPr>
          <w:bCs/>
        </w:rPr>
        <w:tab/>
      </w:r>
      <w:r w:rsidRPr="00BF42B7">
        <w:t>国际法讲习班</w:t>
      </w:r>
    </w:p>
    <w:p w:rsidR="00813081" w:rsidRPr="00BF42B7" w:rsidRDefault="00813081" w:rsidP="00813081">
      <w:pPr>
        <w:pStyle w:val="SingleTxtGC"/>
      </w:pPr>
      <w:r w:rsidRPr="00BF42B7">
        <w:rPr>
          <w:rFonts w:hint="eastAsia"/>
        </w:rPr>
        <w:t>3</w:t>
      </w:r>
      <w:r w:rsidRPr="00BF42B7">
        <w:t>5</w:t>
      </w:r>
      <w:r w:rsidRPr="00BF42B7">
        <w:rPr>
          <w:rFonts w:hint="eastAsia"/>
        </w:rPr>
        <w:t>3</w:t>
      </w:r>
      <w:r w:rsidRPr="00BF42B7">
        <w:t>.</w:t>
      </w:r>
      <w:r w:rsidRPr="00BF42B7">
        <w:rPr>
          <w:rFonts w:hint="eastAsia"/>
        </w:rPr>
        <w:t xml:space="preserve">  </w:t>
      </w:r>
      <w:r w:rsidRPr="00BF42B7">
        <w:t>依照</w:t>
      </w:r>
      <w:r w:rsidRPr="00BF42B7">
        <w:t>2015</w:t>
      </w:r>
      <w:r w:rsidRPr="00BF42B7">
        <w:t>年</w:t>
      </w:r>
      <w:r w:rsidRPr="00BF42B7">
        <w:t>12</w:t>
      </w:r>
      <w:r w:rsidRPr="00BF42B7">
        <w:t>月</w:t>
      </w:r>
      <w:r w:rsidRPr="00BF42B7">
        <w:t>23</w:t>
      </w:r>
      <w:r w:rsidRPr="00BF42B7">
        <w:t>日大会第</w:t>
      </w:r>
      <w:hyperlink r:id="rId128" w:history="1">
        <w:r w:rsidRPr="007F0135">
          <w:rPr>
            <w:rStyle w:val="af"/>
          </w:rPr>
          <w:t>70/236</w:t>
        </w:r>
      </w:hyperlink>
      <w:r w:rsidRPr="00BF42B7">
        <w:t>号决议，在国际法委员会本届会议期间，第五十二届国际法讲习班于</w:t>
      </w:r>
      <w:r w:rsidRPr="00BF42B7">
        <w:t>2016</w:t>
      </w:r>
      <w:r w:rsidRPr="00BF42B7">
        <w:t>年</w:t>
      </w:r>
      <w:r w:rsidRPr="00BF42B7">
        <w:t>7</w:t>
      </w:r>
      <w:r w:rsidRPr="00BF42B7">
        <w:t>月</w:t>
      </w:r>
      <w:r w:rsidRPr="00BF42B7">
        <w:t>4</w:t>
      </w:r>
      <w:r w:rsidRPr="00BF42B7">
        <w:t>日至</w:t>
      </w:r>
      <w:r w:rsidRPr="00BF42B7">
        <w:t>22</w:t>
      </w:r>
      <w:r w:rsidRPr="00BF42B7">
        <w:t>日在万国宫举行。讲习班的对象是专长于国际法的年轻法学家、年轻教师以及在其本国公务员系统任职的从事学术或外交工作的政府官员。</w:t>
      </w:r>
    </w:p>
    <w:p w:rsidR="00813081" w:rsidRPr="00C8126A" w:rsidRDefault="00813081" w:rsidP="00813081">
      <w:pPr>
        <w:pStyle w:val="SingleTxtGC"/>
        <w:rPr>
          <w:spacing w:val="-3"/>
        </w:rPr>
      </w:pPr>
      <w:r w:rsidRPr="00BF42B7">
        <w:rPr>
          <w:rFonts w:hint="eastAsia"/>
        </w:rPr>
        <w:t>3</w:t>
      </w:r>
      <w:r w:rsidRPr="00BF42B7">
        <w:t>5</w:t>
      </w:r>
      <w:r w:rsidRPr="00BF42B7">
        <w:rPr>
          <w:rFonts w:hint="eastAsia"/>
        </w:rPr>
        <w:t>4</w:t>
      </w:r>
      <w:r w:rsidRPr="00BF42B7">
        <w:t>.</w:t>
      </w:r>
      <w:r w:rsidRPr="00BF42B7">
        <w:rPr>
          <w:rFonts w:hint="eastAsia"/>
        </w:rPr>
        <w:t xml:space="preserve">  </w:t>
      </w:r>
      <w:r w:rsidRPr="00C8126A">
        <w:rPr>
          <w:spacing w:val="-3"/>
        </w:rPr>
        <w:t>来自世界各个地区分属不同国籍的</w:t>
      </w:r>
      <w:r w:rsidRPr="00C8126A">
        <w:rPr>
          <w:spacing w:val="-3"/>
        </w:rPr>
        <w:t>22</w:t>
      </w:r>
      <w:r w:rsidRPr="00C8126A">
        <w:rPr>
          <w:spacing w:val="-3"/>
        </w:rPr>
        <w:t>名学员参加了这届讲习班</w:t>
      </w:r>
      <w:r w:rsidRPr="00C8126A">
        <w:rPr>
          <w:color w:val="0000FF"/>
          <w:spacing w:val="-3"/>
          <w:vertAlign w:val="superscript"/>
        </w:rPr>
        <w:footnoteReference w:id="1488"/>
      </w:r>
      <w:r w:rsidRPr="00C8126A">
        <w:rPr>
          <w:spacing w:val="-3"/>
        </w:rPr>
        <w:t>。学员们列席了委员会的全体会议，参加了特别安排的专题演讲和关于特定专题的工作组。</w:t>
      </w:r>
    </w:p>
    <w:p w:rsidR="00813081" w:rsidRPr="00BF42B7" w:rsidRDefault="00813081" w:rsidP="00813081">
      <w:pPr>
        <w:pStyle w:val="SingleTxtGC"/>
      </w:pPr>
      <w:r w:rsidRPr="00BF42B7">
        <w:rPr>
          <w:rFonts w:hint="eastAsia"/>
        </w:rPr>
        <w:t>3</w:t>
      </w:r>
      <w:r w:rsidRPr="00BF42B7">
        <w:t>5</w:t>
      </w:r>
      <w:r w:rsidRPr="00BF42B7">
        <w:rPr>
          <w:rFonts w:hint="eastAsia"/>
        </w:rPr>
        <w:t>5</w:t>
      </w:r>
      <w:r w:rsidRPr="00BF42B7">
        <w:t>.</w:t>
      </w:r>
      <w:r w:rsidRPr="00BF42B7">
        <w:rPr>
          <w:rFonts w:hint="eastAsia"/>
        </w:rPr>
        <w:t xml:space="preserve">  </w:t>
      </w:r>
      <w:r w:rsidRPr="00BF42B7">
        <w:t>委员会主席佩德罗</w:t>
      </w:r>
      <w:r w:rsidRPr="00BF42B7">
        <w:rPr>
          <w:rFonts w:hint="eastAsia"/>
        </w:rPr>
        <w:t>·</w:t>
      </w:r>
      <w:r w:rsidRPr="00BF42B7">
        <w:t>科米萨里奥</w:t>
      </w:r>
      <w:r w:rsidRPr="00BF42B7">
        <w:rPr>
          <w:rFonts w:hint="eastAsia"/>
        </w:rPr>
        <w:t>·</w:t>
      </w:r>
      <w:r w:rsidRPr="00BF42B7">
        <w:t>阿丰索先生主持开幕，联合国日内瓦办事处高级法律顾问马库斯</w:t>
      </w:r>
      <w:r w:rsidRPr="00BF42B7">
        <w:rPr>
          <w:rFonts w:hint="eastAsia"/>
        </w:rPr>
        <w:t>·</w:t>
      </w:r>
      <w:r w:rsidRPr="00BF42B7">
        <w:t>施密特先生负责讲习班的行政管理、组织事宜和活动的进行，同时担任讲习班主任。日内瓦大学负责讲习班的专业协调。日内瓦大学国际法专家维托利奥</w:t>
      </w:r>
      <w:r w:rsidRPr="00BF42B7">
        <w:rPr>
          <w:rFonts w:hint="eastAsia"/>
        </w:rPr>
        <w:t>·</w:t>
      </w:r>
      <w:r w:rsidRPr="00BF42B7">
        <w:t>曼内蒂先生担任协调员，法律助理</w:t>
      </w:r>
      <w:r w:rsidRPr="00BF42B7">
        <w:t>Lorris Beverelli</w:t>
      </w:r>
      <w:r w:rsidRPr="00BF42B7">
        <w:t>先生和</w:t>
      </w:r>
      <w:r w:rsidRPr="00BF42B7">
        <w:t>Yusra Suedi</w:t>
      </w:r>
      <w:r w:rsidRPr="00BF42B7">
        <w:t>女士以及联合国日内瓦办事处法律联络处实习生</w:t>
      </w:r>
      <w:r w:rsidRPr="00BF42B7">
        <w:t>Alexandra Borgeaud</w:t>
      </w:r>
      <w:r w:rsidRPr="00BF42B7">
        <w:t>女士从旁协助。</w:t>
      </w:r>
    </w:p>
    <w:p w:rsidR="00813081" w:rsidRPr="00BF42B7" w:rsidRDefault="00813081" w:rsidP="00EA60D2">
      <w:pPr>
        <w:pStyle w:val="SingleTxtGC"/>
      </w:pPr>
      <w:r w:rsidRPr="00BF42B7">
        <w:rPr>
          <w:rFonts w:hint="eastAsia"/>
        </w:rPr>
        <w:t>3</w:t>
      </w:r>
      <w:r w:rsidRPr="00BF42B7">
        <w:t>5</w:t>
      </w:r>
      <w:r w:rsidRPr="00BF42B7">
        <w:rPr>
          <w:rFonts w:hint="eastAsia"/>
        </w:rPr>
        <w:t>6</w:t>
      </w:r>
      <w:r w:rsidRPr="00BF42B7">
        <w:t>.</w:t>
      </w:r>
      <w:r w:rsidRPr="00BF42B7">
        <w:rPr>
          <w:rFonts w:hint="eastAsia"/>
        </w:rPr>
        <w:t xml:space="preserve">  </w:t>
      </w:r>
      <w:r w:rsidRPr="00BF42B7">
        <w:t>委员会委员作了以下演讲：埃内斯特</w:t>
      </w:r>
      <w:r w:rsidRPr="00BF42B7">
        <w:rPr>
          <w:rFonts w:hint="eastAsia"/>
        </w:rPr>
        <w:t>·</w:t>
      </w:r>
      <w:r w:rsidRPr="00BF42B7">
        <w:t>彼得里奇先生：</w:t>
      </w:r>
      <w:r w:rsidRPr="00BF42B7">
        <w:rPr>
          <w:rFonts w:hint="eastAsia"/>
        </w:rPr>
        <w:t>“</w:t>
      </w:r>
      <w:r w:rsidRPr="00BF42B7">
        <w:t>国际法委员会的工作</w:t>
      </w:r>
      <w:r w:rsidRPr="00BF42B7">
        <w:rPr>
          <w:rFonts w:hint="eastAsia"/>
        </w:rPr>
        <w:t>”</w:t>
      </w:r>
      <w:r w:rsidRPr="00BF42B7">
        <w:t>；马蒂亚斯</w:t>
      </w:r>
      <w:r w:rsidRPr="00BF42B7">
        <w:rPr>
          <w:rFonts w:hint="eastAsia"/>
        </w:rPr>
        <w:t>·</w:t>
      </w:r>
      <w:r w:rsidRPr="00BF42B7">
        <w:t>福尔托先生：</w:t>
      </w:r>
      <w:r w:rsidRPr="00BF42B7">
        <w:rPr>
          <w:rFonts w:hint="eastAsia"/>
        </w:rPr>
        <w:t>“</w:t>
      </w:r>
      <w:r w:rsidRPr="00BF42B7">
        <w:t>国际法委员会如何选择新专题</w:t>
      </w:r>
      <w:r w:rsidRPr="00BF42B7">
        <w:rPr>
          <w:rFonts w:hint="eastAsia"/>
        </w:rPr>
        <w:t>”</w:t>
      </w:r>
      <w:r w:rsidRPr="00BF42B7">
        <w:t>；迪雷</w:t>
      </w:r>
      <w:r w:rsidRPr="00BF42B7">
        <w:rPr>
          <w:rFonts w:hint="eastAsia"/>
        </w:rPr>
        <w:t>·</w:t>
      </w:r>
      <w:r w:rsidRPr="00BF42B7">
        <w:t>特拉迪先生：</w:t>
      </w:r>
      <w:r w:rsidRPr="00BF42B7">
        <w:rPr>
          <w:rFonts w:hint="eastAsia"/>
        </w:rPr>
        <w:t>“</w:t>
      </w:r>
      <w:r w:rsidRPr="00BF42B7">
        <w:t>强行法</w:t>
      </w:r>
      <w:r w:rsidRPr="00BF42B7">
        <w:rPr>
          <w:rFonts w:hint="eastAsia"/>
        </w:rPr>
        <w:t>”</w:t>
      </w:r>
      <w:r w:rsidRPr="00BF42B7">
        <w:t>；迈克尔</w:t>
      </w:r>
      <w:r w:rsidRPr="00BF42B7">
        <w:rPr>
          <w:rFonts w:hint="eastAsia"/>
        </w:rPr>
        <w:t>·</w:t>
      </w:r>
      <w:r w:rsidRPr="00BF42B7">
        <w:t>伍德先生：</w:t>
      </w:r>
      <w:r w:rsidRPr="00BF42B7">
        <w:rPr>
          <w:rFonts w:hint="eastAsia"/>
        </w:rPr>
        <w:t>“</w:t>
      </w:r>
      <w:r w:rsidRPr="00BF42B7">
        <w:t>习惯国际法的识别</w:t>
      </w:r>
      <w:r w:rsidRPr="00BF42B7">
        <w:rPr>
          <w:rFonts w:hint="eastAsia"/>
        </w:rPr>
        <w:t>”</w:t>
      </w:r>
      <w:r w:rsidRPr="00BF42B7">
        <w:t>；村濑信也先生：</w:t>
      </w:r>
      <w:r w:rsidRPr="00BF42B7">
        <w:rPr>
          <w:rFonts w:hint="eastAsia"/>
        </w:rPr>
        <w:t>“</w:t>
      </w:r>
      <w:r w:rsidRPr="00BF42B7">
        <w:t>保护大气层</w:t>
      </w:r>
      <w:r w:rsidRPr="00BF42B7">
        <w:rPr>
          <w:rFonts w:hint="eastAsia"/>
        </w:rPr>
        <w:t>”</w:t>
      </w:r>
      <w:r w:rsidRPr="00BF42B7">
        <w:t>；康塞普西翁</w:t>
      </w:r>
      <w:r w:rsidRPr="00BF42B7">
        <w:rPr>
          <w:rFonts w:hint="eastAsia"/>
        </w:rPr>
        <w:t>·</w:t>
      </w:r>
      <w:r w:rsidRPr="00BF42B7">
        <w:t>埃斯科瓦尔</w:t>
      </w:r>
      <w:r w:rsidRPr="00BF42B7">
        <w:rPr>
          <w:rFonts w:hint="eastAsia"/>
        </w:rPr>
        <w:t>·</w:t>
      </w:r>
      <w:r w:rsidRPr="00BF42B7">
        <w:t>埃尔南德斯女士：</w:t>
      </w:r>
      <w:r w:rsidRPr="00BF42B7">
        <w:rPr>
          <w:rFonts w:hint="eastAsia"/>
        </w:rPr>
        <w:t>“</w:t>
      </w:r>
      <w:r w:rsidRPr="00BF42B7">
        <w:t>国家官员的外国刑事管辖豁免</w:t>
      </w:r>
      <w:r w:rsidRPr="00BF42B7">
        <w:rPr>
          <w:rFonts w:hint="eastAsia"/>
        </w:rPr>
        <w:t>”</w:t>
      </w:r>
      <w:r w:rsidRPr="00BF42B7">
        <w:t>；帕维尔</w:t>
      </w:r>
      <w:r w:rsidRPr="00BF42B7">
        <w:rPr>
          <w:rFonts w:hint="eastAsia"/>
        </w:rPr>
        <w:t>·</w:t>
      </w:r>
      <w:r w:rsidRPr="00BF42B7">
        <w:t>斯图尔马先生：</w:t>
      </w:r>
      <w:r w:rsidRPr="00BF42B7">
        <w:rPr>
          <w:rFonts w:hint="eastAsia"/>
        </w:rPr>
        <w:t>“</w:t>
      </w:r>
      <w:r w:rsidRPr="00BF42B7">
        <w:t>与国家责任有关的国家继承</w:t>
      </w:r>
      <w:r w:rsidRPr="00BF42B7">
        <w:rPr>
          <w:rFonts w:hint="eastAsia"/>
        </w:rPr>
        <w:t>”</w:t>
      </w:r>
      <w:r w:rsidRPr="00BF42B7">
        <w:t>；格奥尔格</w:t>
      </w:r>
      <w:r w:rsidRPr="00BF42B7">
        <w:rPr>
          <w:rFonts w:hint="eastAsia"/>
        </w:rPr>
        <w:t>·</w:t>
      </w:r>
      <w:r w:rsidRPr="00BF42B7">
        <w:t>诺尔特先生：</w:t>
      </w:r>
      <w:r w:rsidRPr="00BF42B7">
        <w:rPr>
          <w:rFonts w:hint="eastAsia"/>
        </w:rPr>
        <w:t>“</w:t>
      </w:r>
      <w:r w:rsidRPr="00BF42B7">
        <w:t>与条约解释有关的嗣后协定和嗣后惯例</w:t>
      </w:r>
      <w:r w:rsidRPr="00BF42B7">
        <w:rPr>
          <w:rFonts w:hint="eastAsia"/>
        </w:rPr>
        <w:t>”</w:t>
      </w:r>
      <w:r w:rsidRPr="00BF42B7">
        <w:t>；肖恩</w:t>
      </w:r>
      <w:r w:rsidRPr="00BF42B7">
        <w:rPr>
          <w:rFonts w:hint="eastAsia"/>
        </w:rPr>
        <w:t>·</w:t>
      </w:r>
      <w:r w:rsidRPr="00BF42B7">
        <w:t>墨菲先生：</w:t>
      </w:r>
      <w:r w:rsidRPr="00BF42B7">
        <w:rPr>
          <w:rFonts w:hint="eastAsia"/>
        </w:rPr>
        <w:t>“</w:t>
      </w:r>
      <w:r w:rsidRPr="00BF42B7">
        <w:t>危害人类罪</w:t>
      </w:r>
      <w:r w:rsidRPr="00BF42B7">
        <w:rPr>
          <w:rFonts w:hint="eastAsia"/>
        </w:rPr>
        <w:t>”</w:t>
      </w:r>
      <w:r w:rsidRPr="00BF42B7">
        <w:t>；玛丽</w:t>
      </w:r>
      <w:r w:rsidR="00EA60D2">
        <w:rPr>
          <w:rFonts w:ascii="Time New Roman" w:hAnsi="Time New Roman" w:hint="eastAsia"/>
          <w:lang w:val="en-GB"/>
        </w:rPr>
        <w:t>·</w:t>
      </w:r>
      <w:r w:rsidRPr="00BF42B7">
        <w:t>雅各布松女士：</w:t>
      </w:r>
      <w:r w:rsidRPr="00BF42B7">
        <w:rPr>
          <w:rFonts w:hint="eastAsia"/>
        </w:rPr>
        <w:t>“</w:t>
      </w:r>
      <w:r w:rsidRPr="00BF42B7">
        <w:t>与武装冲突有关的环境保护</w:t>
      </w:r>
      <w:r w:rsidRPr="00BF42B7">
        <w:rPr>
          <w:rFonts w:hint="eastAsia"/>
        </w:rPr>
        <w:t>”</w:t>
      </w:r>
      <w:r w:rsidRPr="00BF42B7">
        <w:t>。</w:t>
      </w:r>
    </w:p>
    <w:p w:rsidR="00813081" w:rsidRPr="00BF42B7" w:rsidRDefault="00813081" w:rsidP="00813081">
      <w:pPr>
        <w:pStyle w:val="SingleTxtGC"/>
        <w:rPr>
          <w:rFonts w:ascii="Time New Roman" w:hAnsi="Time New Roman" w:hint="eastAsia"/>
        </w:rPr>
      </w:pPr>
      <w:r w:rsidRPr="00BF42B7">
        <w:rPr>
          <w:rFonts w:ascii="Time New Roman" w:hAnsi="Time New Roman" w:hint="eastAsia"/>
        </w:rPr>
        <w:t>3</w:t>
      </w:r>
      <w:r w:rsidRPr="00BF42B7">
        <w:rPr>
          <w:rFonts w:ascii="Time New Roman" w:hAnsi="Time New Roman"/>
        </w:rPr>
        <w:t>5</w:t>
      </w:r>
      <w:r w:rsidRPr="00BF42B7">
        <w:rPr>
          <w:rFonts w:ascii="Time New Roman" w:hAnsi="Time New Roman" w:hint="eastAsia"/>
        </w:rPr>
        <w:t>7</w:t>
      </w:r>
      <w:r w:rsidRPr="00BF42B7">
        <w:rPr>
          <w:rFonts w:ascii="Time New Roman" w:hAnsi="Time New Roman"/>
        </w:rPr>
        <w:t>.</w:t>
      </w:r>
      <w:r w:rsidRPr="00BF42B7">
        <w:rPr>
          <w:rFonts w:ascii="Time New Roman" w:hAnsi="Time New Roman" w:hint="eastAsia"/>
        </w:rPr>
        <w:t xml:space="preserve">  </w:t>
      </w:r>
      <w:r w:rsidRPr="00BF42B7">
        <w:rPr>
          <w:rFonts w:ascii="Time New Roman" w:hAnsi="Time New Roman" w:hint="eastAsia"/>
        </w:rPr>
        <w:t>斯德哥尔摩大学和</w:t>
      </w:r>
      <w:r w:rsidRPr="00BF42B7">
        <w:rPr>
          <w:rFonts w:ascii="Time New Roman" w:hAnsi="Time New Roman"/>
        </w:rPr>
        <w:t>瑞典国防</w:t>
      </w:r>
      <w:r w:rsidRPr="00BF42B7">
        <w:rPr>
          <w:rFonts w:ascii="Time New Roman" w:hAnsi="Time New Roman" w:hint="eastAsia"/>
        </w:rPr>
        <w:t>大学荣誉退休</w:t>
      </w:r>
      <w:r w:rsidRPr="00BF42B7">
        <w:rPr>
          <w:rFonts w:ascii="Time New Roman" w:hAnsi="Time New Roman"/>
        </w:rPr>
        <w:t>教授、瑞典外交部原</w:t>
      </w:r>
      <w:r w:rsidRPr="00BF42B7">
        <w:rPr>
          <w:rFonts w:ascii="Time New Roman" w:hAnsi="Time New Roman" w:hint="eastAsia"/>
        </w:rPr>
        <w:t>国际法</w:t>
      </w:r>
      <w:r w:rsidRPr="00BF42B7">
        <w:rPr>
          <w:rFonts w:ascii="Time New Roman" w:hAnsi="Time New Roman"/>
        </w:rPr>
        <w:t>法律顾问</w:t>
      </w:r>
      <w:r w:rsidRPr="00BF42B7">
        <w:rPr>
          <w:rFonts w:ascii="Time New Roman" w:hAnsi="Time New Roman"/>
        </w:rPr>
        <w:t>Ove Bring</w:t>
      </w:r>
      <w:r w:rsidRPr="00BF42B7">
        <w:rPr>
          <w:rFonts w:ascii="Time New Roman" w:hAnsi="Time New Roman"/>
        </w:rPr>
        <w:t>先生作了演讲，题目是，</w:t>
      </w:r>
      <w:r w:rsidRPr="00BF42B7">
        <w:rPr>
          <w:rFonts w:ascii="Time New Roman" w:hAnsi="Time New Roman" w:hint="eastAsia"/>
        </w:rPr>
        <w:t>“</w:t>
      </w:r>
      <w:r w:rsidRPr="00BF42B7">
        <w:rPr>
          <w:rFonts w:ascii="Time New Roman" w:hAnsi="Time New Roman"/>
        </w:rPr>
        <w:t>文化遗产争端的法律问题：国际关系中的帕特农综合症</w:t>
      </w:r>
      <w:r w:rsidRPr="00BF42B7">
        <w:rPr>
          <w:rFonts w:ascii="Time New Roman" w:hAnsi="Time New Roman" w:hint="eastAsia"/>
        </w:rPr>
        <w:t>”</w:t>
      </w:r>
      <w:r w:rsidRPr="00BF42B7">
        <w:rPr>
          <w:rFonts w:ascii="Time New Roman" w:hAnsi="Time New Roman"/>
        </w:rPr>
        <w:t>。</w:t>
      </w:r>
    </w:p>
    <w:p w:rsidR="00813081" w:rsidRPr="00BF42B7" w:rsidRDefault="00813081" w:rsidP="00C8126A">
      <w:pPr>
        <w:pStyle w:val="SingleTxtGC"/>
        <w:spacing w:line="310" w:lineRule="exact"/>
        <w:rPr>
          <w:rFonts w:ascii="Time New Roman" w:hAnsi="Time New Roman" w:hint="eastAsia"/>
        </w:rPr>
      </w:pPr>
      <w:r w:rsidRPr="00BF42B7">
        <w:rPr>
          <w:rFonts w:ascii="Time New Roman" w:hAnsi="Time New Roman" w:hint="eastAsia"/>
        </w:rPr>
        <w:t>3</w:t>
      </w:r>
      <w:r w:rsidRPr="00BF42B7">
        <w:rPr>
          <w:rFonts w:ascii="Time New Roman" w:hAnsi="Time New Roman"/>
        </w:rPr>
        <w:t>5</w:t>
      </w:r>
      <w:r w:rsidRPr="00BF42B7">
        <w:rPr>
          <w:rFonts w:ascii="Time New Roman" w:hAnsi="Time New Roman" w:hint="eastAsia"/>
        </w:rPr>
        <w:t>8</w:t>
      </w:r>
      <w:r w:rsidRPr="00BF42B7">
        <w:rPr>
          <w:rFonts w:ascii="Time New Roman" w:hAnsi="Time New Roman"/>
        </w:rPr>
        <w:t>.</w:t>
      </w:r>
      <w:r w:rsidRPr="00BF42B7">
        <w:rPr>
          <w:rFonts w:ascii="Time New Roman" w:hAnsi="Time New Roman" w:hint="eastAsia"/>
        </w:rPr>
        <w:t xml:space="preserve">  </w:t>
      </w:r>
      <w:r w:rsidRPr="00BF42B7">
        <w:rPr>
          <w:rFonts w:ascii="Time New Roman" w:hAnsi="Time New Roman"/>
        </w:rPr>
        <w:t>围绕</w:t>
      </w:r>
      <w:r w:rsidRPr="00BF42B7">
        <w:rPr>
          <w:rFonts w:ascii="Time New Roman" w:hAnsi="Time New Roman" w:hint="eastAsia"/>
        </w:rPr>
        <w:t>“</w:t>
      </w:r>
      <w:r w:rsidRPr="00BF42B7">
        <w:rPr>
          <w:rFonts w:ascii="Time New Roman" w:hAnsi="Time New Roman"/>
        </w:rPr>
        <w:t>发生灾害时的人员保护</w:t>
      </w:r>
      <w:r w:rsidRPr="00BF42B7">
        <w:rPr>
          <w:rFonts w:ascii="Time New Roman" w:hAnsi="Time New Roman" w:hint="eastAsia"/>
        </w:rPr>
        <w:t>”</w:t>
      </w:r>
      <w:r w:rsidRPr="00BF42B7">
        <w:rPr>
          <w:rFonts w:ascii="Time New Roman" w:hAnsi="Time New Roman"/>
        </w:rPr>
        <w:t>专题举行了一次圆桌讨论会，在讨论会上发言的有：发生灾害时的人员保护问题特别报告爱德华多</w:t>
      </w:r>
      <w:r w:rsidRPr="00BF42B7">
        <w:rPr>
          <w:rFonts w:ascii="Time New Roman" w:hAnsi="Time New Roman" w:hint="eastAsia"/>
        </w:rPr>
        <w:t>·</w:t>
      </w:r>
      <w:r w:rsidRPr="00BF42B7">
        <w:rPr>
          <w:rFonts w:ascii="Time New Roman" w:hAnsi="Time New Roman"/>
        </w:rPr>
        <w:t>巴伦西亚－奥斯皮纳先生；罗马第三大学教授</w:t>
      </w:r>
      <w:r w:rsidRPr="00BF42B7">
        <w:rPr>
          <w:rFonts w:ascii="Time New Roman" w:hAnsi="Time New Roman"/>
        </w:rPr>
        <w:t>Giulio Bartolini</w:t>
      </w:r>
      <w:r w:rsidRPr="00BF42B7">
        <w:rPr>
          <w:rFonts w:ascii="Time New Roman" w:hAnsi="Time New Roman"/>
        </w:rPr>
        <w:t>先生；红十字会与红新月会国际联合会灾害法律事务高级干事</w:t>
      </w:r>
      <w:r w:rsidRPr="00BF42B7">
        <w:rPr>
          <w:rFonts w:ascii="Time New Roman" w:hAnsi="Time New Roman"/>
        </w:rPr>
        <w:t>Tessa Kelly</w:t>
      </w:r>
      <w:r w:rsidRPr="00BF42B7">
        <w:rPr>
          <w:rFonts w:ascii="Time New Roman" w:hAnsi="Time New Roman"/>
        </w:rPr>
        <w:t>女士；联合国法律事务厅编纂司特等法律干事阿诺德</w:t>
      </w:r>
      <w:r w:rsidRPr="00BF42B7">
        <w:rPr>
          <w:rFonts w:ascii="Time New Roman" w:hAnsi="Time New Roman" w:hint="eastAsia"/>
        </w:rPr>
        <w:t>·</w:t>
      </w:r>
      <w:r w:rsidRPr="00BF42B7">
        <w:rPr>
          <w:rFonts w:ascii="Time New Roman" w:hAnsi="Time New Roman"/>
        </w:rPr>
        <w:t>普龙托先生；联合国秘书长减灾事务特别代表办公室主任</w:t>
      </w:r>
      <w:r w:rsidRPr="00BF42B7">
        <w:rPr>
          <w:rFonts w:ascii="Time New Roman" w:hAnsi="Time New Roman"/>
        </w:rPr>
        <w:t>Marco Toscano-Rivalta</w:t>
      </w:r>
      <w:r w:rsidRPr="00BF42B7">
        <w:rPr>
          <w:rFonts w:ascii="Time New Roman" w:hAnsi="Time New Roman"/>
        </w:rPr>
        <w:t>先生。</w:t>
      </w:r>
    </w:p>
    <w:p w:rsidR="00813081" w:rsidRPr="00BF42B7" w:rsidRDefault="00813081" w:rsidP="00EA60D2">
      <w:pPr>
        <w:pStyle w:val="SingleTxtGC"/>
        <w:spacing w:line="310" w:lineRule="exact"/>
        <w:rPr>
          <w:rFonts w:ascii="Time New Roman" w:hAnsi="Time New Roman" w:hint="eastAsia"/>
        </w:rPr>
      </w:pPr>
      <w:r w:rsidRPr="00BF42B7">
        <w:rPr>
          <w:rFonts w:ascii="Time New Roman" w:hAnsi="Time New Roman" w:hint="eastAsia"/>
        </w:rPr>
        <w:t>3</w:t>
      </w:r>
      <w:r w:rsidRPr="00BF42B7">
        <w:rPr>
          <w:rFonts w:ascii="Time New Roman" w:hAnsi="Time New Roman"/>
        </w:rPr>
        <w:t>5</w:t>
      </w:r>
      <w:r w:rsidRPr="00BF42B7">
        <w:rPr>
          <w:rFonts w:ascii="Time New Roman" w:hAnsi="Time New Roman" w:hint="eastAsia"/>
        </w:rPr>
        <w:t>9</w:t>
      </w:r>
      <w:r w:rsidRPr="00BF42B7">
        <w:rPr>
          <w:rFonts w:ascii="Time New Roman" w:hAnsi="Time New Roman"/>
        </w:rPr>
        <w:t>.</w:t>
      </w:r>
      <w:r w:rsidRPr="00BF42B7">
        <w:rPr>
          <w:rFonts w:ascii="Time New Roman" w:hAnsi="Time New Roman" w:hint="eastAsia"/>
        </w:rPr>
        <w:t xml:space="preserve">  </w:t>
      </w:r>
      <w:r w:rsidRPr="00BF42B7">
        <w:rPr>
          <w:rFonts w:ascii="Time New Roman" w:hAnsi="Time New Roman"/>
        </w:rPr>
        <w:t>讲习班学员还参加了日内瓦大学组织的关于</w:t>
      </w:r>
      <w:r w:rsidRPr="00BF42B7">
        <w:rPr>
          <w:rFonts w:ascii="Time New Roman" w:hAnsi="Time New Roman" w:hint="eastAsia"/>
        </w:rPr>
        <w:t>“</w:t>
      </w:r>
      <w:r w:rsidRPr="00BF42B7">
        <w:rPr>
          <w:rFonts w:ascii="Time New Roman" w:hAnsi="Time New Roman"/>
        </w:rPr>
        <w:t>国际法中的分享惠益与自然资源问题</w:t>
      </w:r>
      <w:r w:rsidRPr="00BF42B7">
        <w:rPr>
          <w:rFonts w:ascii="Time New Roman" w:hAnsi="Time New Roman" w:hint="eastAsia"/>
        </w:rPr>
        <w:t>”</w:t>
      </w:r>
      <w:r w:rsidRPr="00BF42B7">
        <w:rPr>
          <w:rFonts w:ascii="Time New Roman" w:hAnsi="Time New Roman"/>
        </w:rPr>
        <w:t>的研讨会。下列人士作了发言：伦敦大学学院讲师</w:t>
      </w:r>
      <w:r w:rsidRPr="00BF42B7">
        <w:rPr>
          <w:rFonts w:ascii="Time New Roman" w:hAnsi="Time New Roman"/>
        </w:rPr>
        <w:t>Danae Azaria</w:t>
      </w:r>
      <w:r w:rsidRPr="00BF42B7">
        <w:rPr>
          <w:rFonts w:ascii="Time New Roman" w:hAnsi="Time New Roman"/>
        </w:rPr>
        <w:t>女士；日内瓦大学教授</w:t>
      </w:r>
      <w:r w:rsidRPr="00BF42B7">
        <w:rPr>
          <w:rFonts w:ascii="Time New Roman" w:hAnsi="Time New Roman"/>
        </w:rPr>
        <w:t>Laurence Boisson de Chazournes</w:t>
      </w:r>
      <w:r w:rsidRPr="00BF42B7">
        <w:rPr>
          <w:rFonts w:ascii="Time New Roman" w:hAnsi="Time New Roman"/>
        </w:rPr>
        <w:t>女士；国际法委员会委员卢修斯</w:t>
      </w:r>
      <w:r w:rsidR="00EA60D2">
        <w:rPr>
          <w:rFonts w:ascii="Time New Roman" w:hAnsi="Time New Roman" w:hint="eastAsia"/>
          <w:lang w:val="en-GB"/>
        </w:rPr>
        <w:t>·</w:t>
      </w:r>
      <w:r w:rsidRPr="00BF42B7">
        <w:rPr>
          <w:rFonts w:ascii="Time New Roman" w:hAnsi="Time New Roman"/>
        </w:rPr>
        <w:t>卡弗利施先生；日内瓦大学研究员</w:t>
      </w:r>
      <w:r w:rsidRPr="00BF42B7">
        <w:rPr>
          <w:rFonts w:ascii="Time New Roman" w:hAnsi="Time New Roman"/>
        </w:rPr>
        <w:t>Komlan Sangbana</w:t>
      </w:r>
      <w:r w:rsidRPr="00BF42B7">
        <w:rPr>
          <w:rFonts w:ascii="Time New Roman" w:hAnsi="Time New Roman"/>
        </w:rPr>
        <w:t>先生；水务法律专家兼顾问</w:t>
      </w:r>
      <w:r w:rsidRPr="00BF42B7">
        <w:rPr>
          <w:rFonts w:ascii="Time New Roman" w:hAnsi="Time New Roman"/>
        </w:rPr>
        <w:t>Raya Stephan</w:t>
      </w:r>
      <w:r w:rsidRPr="00BF42B7">
        <w:rPr>
          <w:rFonts w:ascii="Time New Roman" w:hAnsi="Time New Roman"/>
        </w:rPr>
        <w:t>女士；日内瓦大学高级讲师</w:t>
      </w:r>
      <w:r w:rsidRPr="00BF42B7">
        <w:rPr>
          <w:rFonts w:ascii="Time New Roman" w:hAnsi="Time New Roman"/>
        </w:rPr>
        <w:t>Mara Tignino</w:t>
      </w:r>
      <w:r w:rsidRPr="00BF42B7">
        <w:rPr>
          <w:rFonts w:ascii="Time New Roman" w:hAnsi="Time New Roman"/>
        </w:rPr>
        <w:t>女士。他们还应日内瓦国际和发展研究院的邀请，参加了一年一度的拉里夫讲座。迈克尔</w:t>
      </w:r>
      <w:r w:rsidR="00EA60D2">
        <w:rPr>
          <w:rFonts w:ascii="Time New Roman" w:hAnsi="Time New Roman" w:hint="eastAsia"/>
          <w:lang w:val="en-GB"/>
        </w:rPr>
        <w:t>·</w:t>
      </w:r>
      <w:r w:rsidRPr="00BF42B7">
        <w:rPr>
          <w:rFonts w:ascii="Time New Roman" w:hAnsi="Time New Roman"/>
        </w:rPr>
        <w:t>伍德先生作了关于</w:t>
      </w:r>
      <w:r w:rsidRPr="00BF42B7">
        <w:rPr>
          <w:rFonts w:ascii="Time New Roman" w:hAnsi="Time New Roman" w:hint="eastAsia"/>
        </w:rPr>
        <w:t>“</w:t>
      </w:r>
      <w:r w:rsidRPr="00BF42B7">
        <w:rPr>
          <w:rFonts w:ascii="Time New Roman" w:hAnsi="Time New Roman"/>
        </w:rPr>
        <w:t>在仲裁与永久法院之间作选择：从国家间安例得出的教训</w:t>
      </w:r>
      <w:r w:rsidRPr="00BF42B7">
        <w:rPr>
          <w:rFonts w:ascii="Time New Roman" w:hAnsi="Time New Roman" w:hint="eastAsia"/>
        </w:rPr>
        <w:t>”</w:t>
      </w:r>
      <w:r w:rsidRPr="00BF42B7">
        <w:rPr>
          <w:rFonts w:ascii="Time New Roman" w:hAnsi="Time New Roman"/>
        </w:rPr>
        <w:t>的演讲。讲习班学员还参观了国际红十字会和红新月会博物馆以及国际电信联盟的信息与通信技术探索博物馆。他们还参观了世界贸易组织，听取了世贸组织法律事务司的</w:t>
      </w:r>
      <w:r w:rsidRPr="00BF42B7">
        <w:rPr>
          <w:rFonts w:ascii="Time New Roman" w:hAnsi="Time New Roman"/>
        </w:rPr>
        <w:t>Juan Pablo Moya Hoyos</w:t>
      </w:r>
      <w:r w:rsidRPr="00BF42B7">
        <w:rPr>
          <w:rFonts w:ascii="Time New Roman" w:hAnsi="Time New Roman"/>
        </w:rPr>
        <w:t>先生和</w:t>
      </w:r>
      <w:r w:rsidRPr="00BF42B7">
        <w:rPr>
          <w:rFonts w:ascii="Time New Roman" w:hAnsi="Time New Roman"/>
        </w:rPr>
        <w:t>Geraldo Vidigal</w:t>
      </w:r>
      <w:r w:rsidRPr="00BF42B7">
        <w:rPr>
          <w:rFonts w:ascii="Time New Roman" w:hAnsi="Time New Roman"/>
        </w:rPr>
        <w:t>先生关于</w:t>
      </w:r>
      <w:r w:rsidRPr="00BF42B7">
        <w:rPr>
          <w:rFonts w:ascii="Time New Roman" w:hAnsi="Time New Roman" w:hint="eastAsia"/>
        </w:rPr>
        <w:t>“</w:t>
      </w:r>
      <w:r w:rsidRPr="00BF42B7">
        <w:rPr>
          <w:rFonts w:ascii="Time New Roman" w:hAnsi="Time New Roman"/>
        </w:rPr>
        <w:t>世贸组织争端解决程序与国际公法</w:t>
      </w:r>
      <w:r w:rsidRPr="00BF42B7">
        <w:rPr>
          <w:rFonts w:ascii="Time New Roman" w:hAnsi="Time New Roman" w:hint="eastAsia"/>
        </w:rPr>
        <w:t>”</w:t>
      </w:r>
      <w:r w:rsidRPr="00BF42B7">
        <w:rPr>
          <w:rFonts w:ascii="Time New Roman" w:hAnsi="Time New Roman"/>
        </w:rPr>
        <w:t>的介绍。</w:t>
      </w:r>
    </w:p>
    <w:p w:rsidR="00813081" w:rsidRPr="00BF42B7" w:rsidRDefault="00813081" w:rsidP="00EA60D2">
      <w:pPr>
        <w:pStyle w:val="SingleTxtGC"/>
        <w:spacing w:line="310" w:lineRule="exact"/>
        <w:rPr>
          <w:rFonts w:ascii="Time New Roman" w:hAnsi="Time New Roman" w:hint="eastAsia"/>
        </w:rPr>
      </w:pPr>
      <w:r w:rsidRPr="00BF42B7">
        <w:rPr>
          <w:rFonts w:ascii="Time New Roman" w:hAnsi="Time New Roman" w:hint="eastAsia"/>
        </w:rPr>
        <w:t>360</w:t>
      </w:r>
      <w:r w:rsidRPr="00BF42B7">
        <w:rPr>
          <w:rFonts w:ascii="Time New Roman" w:hAnsi="Time New Roman"/>
        </w:rPr>
        <w:t>.</w:t>
      </w:r>
      <w:r w:rsidRPr="00BF42B7">
        <w:rPr>
          <w:rFonts w:ascii="Time New Roman" w:hAnsi="Time New Roman" w:hint="eastAsia"/>
        </w:rPr>
        <w:t xml:space="preserve">  </w:t>
      </w:r>
      <w:r w:rsidRPr="00BF42B7">
        <w:rPr>
          <w:rFonts w:ascii="Time New Roman" w:hAnsi="Time New Roman"/>
        </w:rPr>
        <w:t>围绕</w:t>
      </w:r>
      <w:r w:rsidRPr="00BF42B7">
        <w:rPr>
          <w:rFonts w:ascii="Time New Roman" w:hAnsi="Time New Roman" w:hint="eastAsia"/>
        </w:rPr>
        <w:t>“</w:t>
      </w:r>
      <w:r w:rsidRPr="00BF42B7">
        <w:rPr>
          <w:rFonts w:ascii="Time New Roman" w:hAnsi="Time New Roman"/>
        </w:rPr>
        <w:t>为国际法委员会确定新专题</w:t>
      </w:r>
      <w:r w:rsidRPr="00BF42B7">
        <w:rPr>
          <w:rFonts w:ascii="Time New Roman" w:hAnsi="Time New Roman" w:hint="eastAsia"/>
        </w:rPr>
        <w:t>”</w:t>
      </w:r>
      <w:r w:rsidRPr="00BF42B7">
        <w:rPr>
          <w:rFonts w:ascii="Time New Roman" w:hAnsi="Time New Roman"/>
        </w:rPr>
        <w:t>和</w:t>
      </w:r>
      <w:r w:rsidRPr="00BF42B7">
        <w:rPr>
          <w:rFonts w:ascii="Time New Roman" w:hAnsi="Time New Roman" w:hint="eastAsia"/>
        </w:rPr>
        <w:t>“</w:t>
      </w:r>
      <w:r w:rsidRPr="00BF42B7">
        <w:rPr>
          <w:rFonts w:ascii="Time New Roman" w:hAnsi="Time New Roman"/>
        </w:rPr>
        <w:t>强行法在条约法中超出无效性的后果</w:t>
      </w:r>
      <w:r w:rsidRPr="00BF42B7">
        <w:rPr>
          <w:rFonts w:ascii="Time New Roman" w:hAnsi="Time New Roman" w:hint="eastAsia"/>
        </w:rPr>
        <w:t>”</w:t>
      </w:r>
      <w:r w:rsidRPr="00BF42B7">
        <w:rPr>
          <w:rFonts w:ascii="Time New Roman" w:hAnsi="Time New Roman"/>
        </w:rPr>
        <w:t>组织了两个讲习班工作组。每名参加讲习班的学员都被分配到其中一个工作组。委员会的两位委员马蒂亚斯</w:t>
      </w:r>
      <w:r w:rsidRPr="00BF42B7">
        <w:rPr>
          <w:rFonts w:ascii="Time New Roman" w:hAnsi="Time New Roman" w:hint="eastAsia"/>
        </w:rPr>
        <w:t>·</w:t>
      </w:r>
      <w:r w:rsidRPr="00BF42B7">
        <w:rPr>
          <w:rFonts w:ascii="Time New Roman" w:hAnsi="Time New Roman"/>
        </w:rPr>
        <w:t>福尔托先生和迪雷</w:t>
      </w:r>
      <w:r w:rsidR="00EA60D2">
        <w:rPr>
          <w:rFonts w:ascii="Time New Roman" w:hAnsi="Time New Roman" w:hint="eastAsia"/>
          <w:lang w:val="en-GB"/>
        </w:rPr>
        <w:t>·</w:t>
      </w:r>
      <w:r w:rsidRPr="00BF42B7">
        <w:rPr>
          <w:rFonts w:ascii="Time New Roman" w:hAnsi="Time New Roman"/>
        </w:rPr>
        <w:t>特拉迪先生为工作组提供了督导和指导。每个工作组写了一份报告，并在讲习班最后一次工作会议上介绍了心得。报告编辑成册，发给了所有学员和委员会委员。</w:t>
      </w:r>
    </w:p>
    <w:p w:rsidR="00813081" w:rsidRPr="00BF42B7" w:rsidRDefault="00813081" w:rsidP="00C8126A">
      <w:pPr>
        <w:pStyle w:val="SingleTxtGC"/>
        <w:spacing w:line="310" w:lineRule="exact"/>
        <w:rPr>
          <w:rFonts w:ascii="Time New Roman" w:hAnsi="Time New Roman" w:hint="eastAsia"/>
        </w:rPr>
      </w:pPr>
      <w:r w:rsidRPr="00BF42B7">
        <w:rPr>
          <w:rFonts w:ascii="Time New Roman" w:hAnsi="Time New Roman" w:hint="eastAsia"/>
        </w:rPr>
        <w:t>361</w:t>
      </w:r>
      <w:r w:rsidRPr="00BF42B7">
        <w:rPr>
          <w:rFonts w:ascii="Time New Roman" w:hAnsi="Time New Roman"/>
        </w:rPr>
        <w:t>.</w:t>
      </w:r>
      <w:r w:rsidRPr="00BF42B7">
        <w:rPr>
          <w:rFonts w:ascii="Time New Roman" w:hAnsi="Time New Roman" w:hint="eastAsia"/>
        </w:rPr>
        <w:t xml:space="preserve">  </w:t>
      </w:r>
      <w:r w:rsidRPr="00BF42B7">
        <w:rPr>
          <w:rFonts w:ascii="Time New Roman" w:hAnsi="Time New Roman"/>
        </w:rPr>
        <w:t>日内瓦共和国和州政府一如既往在日内瓦市政厅热情接待了讲习班学员，带学员们参观了阿拉巴马厅，并举行了招待会。</w:t>
      </w:r>
    </w:p>
    <w:p w:rsidR="00813081" w:rsidRPr="00BF42B7" w:rsidRDefault="00813081" w:rsidP="00C8126A">
      <w:pPr>
        <w:pStyle w:val="SingleTxtGC"/>
        <w:spacing w:line="310" w:lineRule="exact"/>
        <w:rPr>
          <w:rFonts w:ascii="Time New Roman" w:hAnsi="Time New Roman" w:hint="eastAsia"/>
        </w:rPr>
      </w:pPr>
      <w:r w:rsidRPr="00BF42B7">
        <w:rPr>
          <w:rFonts w:ascii="Time New Roman" w:hAnsi="Time New Roman" w:hint="eastAsia"/>
        </w:rPr>
        <w:t>3</w:t>
      </w:r>
      <w:r w:rsidRPr="00BF42B7">
        <w:rPr>
          <w:rFonts w:ascii="Time New Roman" w:hAnsi="Time New Roman"/>
        </w:rPr>
        <w:t>6</w:t>
      </w:r>
      <w:r w:rsidRPr="00BF42B7">
        <w:rPr>
          <w:rFonts w:ascii="Time New Roman" w:hAnsi="Time New Roman" w:hint="eastAsia"/>
        </w:rPr>
        <w:t>2</w:t>
      </w:r>
      <w:r w:rsidRPr="00BF42B7">
        <w:rPr>
          <w:rFonts w:ascii="Time New Roman" w:hAnsi="Time New Roman"/>
        </w:rPr>
        <w:t>.</w:t>
      </w:r>
      <w:r w:rsidRPr="00BF42B7">
        <w:rPr>
          <w:rFonts w:ascii="Time New Roman" w:hAnsi="Time New Roman" w:hint="eastAsia"/>
        </w:rPr>
        <w:t xml:space="preserve">  </w:t>
      </w:r>
      <w:r w:rsidRPr="00BF42B7">
        <w:rPr>
          <w:rFonts w:ascii="Time New Roman" w:hAnsi="Time New Roman"/>
        </w:rPr>
        <w:t>讲习班闭幕式上，国际法委员会主席、国际法讲习班主任和讲习班学员代表</w:t>
      </w:r>
      <w:r w:rsidRPr="00BF42B7">
        <w:rPr>
          <w:rFonts w:ascii="Time New Roman" w:hAnsi="Time New Roman"/>
        </w:rPr>
        <w:t>Humberto Cantù Rivera</w:t>
      </w:r>
      <w:r w:rsidRPr="00BF42B7">
        <w:rPr>
          <w:rFonts w:ascii="Time New Roman" w:hAnsi="Time New Roman"/>
        </w:rPr>
        <w:t>先生向委员会致辞。每名学员都获颁一份参加讲习班的证书。</w:t>
      </w:r>
    </w:p>
    <w:p w:rsidR="00813081" w:rsidRPr="00BF42B7" w:rsidRDefault="00813081" w:rsidP="00C8126A">
      <w:pPr>
        <w:pStyle w:val="SingleTxtGC"/>
        <w:spacing w:line="310" w:lineRule="exact"/>
        <w:rPr>
          <w:rFonts w:ascii="Time New Roman" w:hAnsi="Time New Roman" w:hint="eastAsia"/>
        </w:rPr>
      </w:pPr>
      <w:r w:rsidRPr="00BF42B7">
        <w:rPr>
          <w:rFonts w:ascii="Time New Roman" w:hAnsi="Time New Roman" w:hint="eastAsia"/>
        </w:rPr>
        <w:t>3</w:t>
      </w:r>
      <w:r w:rsidRPr="00BF42B7">
        <w:rPr>
          <w:rFonts w:ascii="Time New Roman" w:hAnsi="Time New Roman"/>
        </w:rPr>
        <w:t>6</w:t>
      </w:r>
      <w:r w:rsidRPr="00BF42B7">
        <w:rPr>
          <w:rFonts w:ascii="Time New Roman" w:hAnsi="Time New Roman" w:hint="eastAsia"/>
        </w:rPr>
        <w:t>3</w:t>
      </w:r>
      <w:r w:rsidRPr="00BF42B7">
        <w:rPr>
          <w:rFonts w:ascii="Time New Roman" w:hAnsi="Time New Roman"/>
        </w:rPr>
        <w:t>.</w:t>
      </w:r>
      <w:r w:rsidRPr="00BF42B7">
        <w:rPr>
          <w:rFonts w:ascii="Time New Roman" w:hAnsi="Time New Roman" w:hint="eastAsia"/>
        </w:rPr>
        <w:t xml:space="preserve">  </w:t>
      </w:r>
      <w:r w:rsidRPr="00BF42B7">
        <w:rPr>
          <w:rFonts w:ascii="Time New Roman" w:hAnsi="Time New Roman"/>
        </w:rPr>
        <w:t>委员会特别感谢地指出，自</w:t>
      </w:r>
      <w:r w:rsidRPr="00BF42B7">
        <w:rPr>
          <w:rFonts w:ascii="Time New Roman" w:hAnsi="Time New Roman"/>
        </w:rPr>
        <w:t>2014</w:t>
      </w:r>
      <w:r w:rsidRPr="00BF42B7">
        <w:rPr>
          <w:rFonts w:ascii="Time New Roman" w:hAnsi="Time New Roman"/>
        </w:rPr>
        <w:t>年以来，阿根廷、奥地利、</w:t>
      </w:r>
      <w:r w:rsidRPr="00BF42B7">
        <w:rPr>
          <w:rFonts w:ascii="Time New Roman" w:hAnsi="Time New Roman" w:hint="eastAsia"/>
        </w:rPr>
        <w:t>巴西、</w:t>
      </w:r>
      <w:r w:rsidRPr="00BF42B7">
        <w:rPr>
          <w:rFonts w:ascii="Time New Roman" w:hAnsi="Time New Roman"/>
        </w:rPr>
        <w:t>中国、芬兰、印度、爱尔兰、墨西哥、瑞士</w:t>
      </w:r>
      <w:r w:rsidRPr="00BF42B7">
        <w:rPr>
          <w:rFonts w:ascii="Time New Roman" w:hAnsi="Time New Roman" w:hint="eastAsia"/>
        </w:rPr>
        <w:t>和</w:t>
      </w:r>
      <w:r w:rsidRPr="00BF42B7">
        <w:rPr>
          <w:rFonts w:ascii="Time New Roman" w:hAnsi="Time New Roman"/>
        </w:rPr>
        <w:t>联合王国等国政府向联合国国际法讲习班信托基金提供了自愿捐款。总部设在罗马</w:t>
      </w:r>
      <w:r w:rsidRPr="00BF42B7">
        <w:rPr>
          <w:rFonts w:ascii="Time New Roman" w:hAnsi="Time New Roman"/>
        </w:rPr>
        <w:t>(</w:t>
      </w:r>
      <w:r w:rsidRPr="00BF42B7">
        <w:rPr>
          <w:rFonts w:ascii="Time New Roman" w:hAnsi="Time New Roman"/>
        </w:rPr>
        <w:t>意大利</w:t>
      </w:r>
      <w:r w:rsidRPr="00BF42B7">
        <w:rPr>
          <w:rFonts w:ascii="Time New Roman" w:hAnsi="Time New Roman"/>
        </w:rPr>
        <w:t>)</w:t>
      </w:r>
      <w:r w:rsidRPr="00BF42B7">
        <w:rPr>
          <w:rFonts w:ascii="Time New Roman" w:hAnsi="Time New Roman"/>
        </w:rPr>
        <w:t>的一个致力于促进国际法的私人社团</w:t>
      </w:r>
      <w:r w:rsidRPr="00BF42B7">
        <w:rPr>
          <w:rFonts w:ascii="Time New Roman" w:hAnsi="Time New Roman" w:hint="eastAsia"/>
        </w:rPr>
        <w:t>“</w:t>
      </w:r>
      <w:r w:rsidRPr="00BF42B7">
        <w:rPr>
          <w:rFonts w:ascii="Time New Roman" w:hAnsi="Time New Roman"/>
        </w:rPr>
        <w:t>国际法界</w:t>
      </w:r>
      <w:r w:rsidRPr="00BF42B7">
        <w:rPr>
          <w:rFonts w:ascii="Time New Roman" w:hAnsi="Time New Roman" w:hint="eastAsia"/>
        </w:rPr>
        <w:t>”</w:t>
      </w:r>
      <w:r w:rsidRPr="00BF42B7">
        <w:rPr>
          <w:rFonts w:ascii="Time New Roman" w:hAnsi="Time New Roman"/>
        </w:rPr>
        <w:t>也向讲习班提供了捐助。尽管近年的金融危机严重影响了讲习班的财务状况，但信托基金还可以提供足够份数的研究金，使优秀学员特别是来自发展中国家的优秀学员得以参加，从而实现了学员的适当地域分布。今年，向</w:t>
      </w:r>
      <w:r w:rsidRPr="00BF42B7">
        <w:rPr>
          <w:rFonts w:ascii="Time New Roman" w:hAnsi="Time New Roman"/>
        </w:rPr>
        <w:t>11</w:t>
      </w:r>
      <w:r w:rsidRPr="00BF42B7">
        <w:rPr>
          <w:rFonts w:ascii="Time New Roman" w:hAnsi="Time New Roman"/>
        </w:rPr>
        <w:t>名学员颁发了研究金</w:t>
      </w:r>
      <w:r w:rsidRPr="00BF42B7">
        <w:rPr>
          <w:rFonts w:ascii="Time New Roman" w:hAnsi="Time New Roman"/>
        </w:rPr>
        <w:t>(8</w:t>
      </w:r>
      <w:r w:rsidRPr="00BF42B7">
        <w:rPr>
          <w:rFonts w:ascii="Time New Roman" w:hAnsi="Time New Roman"/>
        </w:rPr>
        <w:t>名获得旅费和生活津贴，</w:t>
      </w:r>
      <w:r w:rsidRPr="00BF42B7">
        <w:rPr>
          <w:rFonts w:ascii="Time New Roman" w:hAnsi="Time New Roman"/>
        </w:rPr>
        <w:t>2</w:t>
      </w:r>
      <w:r w:rsidRPr="00BF42B7">
        <w:rPr>
          <w:rFonts w:ascii="Time New Roman" w:hAnsi="Time New Roman"/>
        </w:rPr>
        <w:t>名只获得生活津贴，</w:t>
      </w:r>
      <w:r w:rsidRPr="00BF42B7">
        <w:rPr>
          <w:rFonts w:ascii="Time New Roman" w:hAnsi="Time New Roman"/>
        </w:rPr>
        <w:t>1</w:t>
      </w:r>
      <w:r w:rsidRPr="00BF42B7">
        <w:rPr>
          <w:rFonts w:ascii="Time New Roman" w:hAnsi="Time New Roman"/>
        </w:rPr>
        <w:t>名只获得旅费津贴</w:t>
      </w:r>
      <w:r w:rsidRPr="00BF42B7">
        <w:rPr>
          <w:rFonts w:ascii="Time New Roman" w:hAnsi="Time New Roman"/>
        </w:rPr>
        <w:t>)</w:t>
      </w:r>
      <w:r w:rsidRPr="00BF42B7">
        <w:rPr>
          <w:rFonts w:ascii="Time New Roman" w:hAnsi="Time New Roman"/>
        </w:rPr>
        <w:t>。</w:t>
      </w:r>
    </w:p>
    <w:p w:rsidR="00813081" w:rsidRPr="00BF42B7" w:rsidRDefault="00813081" w:rsidP="00C8126A">
      <w:pPr>
        <w:pStyle w:val="SingleTxtGC"/>
        <w:spacing w:line="310" w:lineRule="exact"/>
        <w:rPr>
          <w:rFonts w:ascii="Time New Roman" w:hAnsi="Time New Roman" w:hint="eastAsia"/>
        </w:rPr>
      </w:pPr>
      <w:r w:rsidRPr="00BF42B7">
        <w:rPr>
          <w:rFonts w:ascii="Time New Roman" w:hAnsi="Time New Roman" w:hint="eastAsia"/>
        </w:rPr>
        <w:t>3</w:t>
      </w:r>
      <w:r w:rsidRPr="00BF42B7">
        <w:rPr>
          <w:rFonts w:ascii="Time New Roman" w:hAnsi="Time New Roman"/>
        </w:rPr>
        <w:t>6</w:t>
      </w:r>
      <w:r w:rsidRPr="00BF42B7">
        <w:rPr>
          <w:rFonts w:ascii="Time New Roman" w:hAnsi="Time New Roman" w:hint="eastAsia"/>
        </w:rPr>
        <w:t>4</w:t>
      </w:r>
      <w:r w:rsidRPr="00BF42B7">
        <w:rPr>
          <w:rFonts w:ascii="Time New Roman" w:hAnsi="Time New Roman"/>
        </w:rPr>
        <w:t>.</w:t>
      </w:r>
      <w:r w:rsidRPr="00BF42B7">
        <w:rPr>
          <w:rFonts w:ascii="Time New Roman" w:hAnsi="Time New Roman" w:hint="eastAsia"/>
        </w:rPr>
        <w:t xml:space="preserve">  </w:t>
      </w:r>
      <w:r w:rsidRPr="00BF42B7">
        <w:rPr>
          <w:rFonts w:ascii="Time New Roman" w:hAnsi="Time New Roman"/>
        </w:rPr>
        <w:t>自</w:t>
      </w:r>
      <w:r w:rsidRPr="00BF42B7">
        <w:rPr>
          <w:rFonts w:ascii="Time New Roman" w:hAnsi="Time New Roman"/>
        </w:rPr>
        <w:t>1965</w:t>
      </w:r>
      <w:r w:rsidRPr="00BF42B7">
        <w:rPr>
          <w:rFonts w:ascii="Time New Roman" w:hAnsi="Time New Roman"/>
        </w:rPr>
        <w:t>年创设讲习班以来，分属</w:t>
      </w:r>
      <w:r w:rsidRPr="00BF42B7">
        <w:rPr>
          <w:rFonts w:ascii="Time New Roman" w:hAnsi="Time New Roman"/>
        </w:rPr>
        <w:t>171</w:t>
      </w:r>
      <w:r w:rsidRPr="00BF42B7">
        <w:rPr>
          <w:rFonts w:ascii="Time New Roman" w:hAnsi="Time New Roman"/>
        </w:rPr>
        <w:t>个不同国籍的</w:t>
      </w:r>
      <w:r w:rsidRPr="00BF42B7">
        <w:rPr>
          <w:rFonts w:ascii="Time New Roman" w:hAnsi="Time New Roman"/>
        </w:rPr>
        <w:t>1,185</w:t>
      </w:r>
      <w:r w:rsidRPr="00BF42B7">
        <w:rPr>
          <w:rFonts w:ascii="Time New Roman" w:hAnsi="Time New Roman"/>
        </w:rPr>
        <w:t>名学员参加了讲习班，其中</w:t>
      </w:r>
      <w:r w:rsidRPr="00BF42B7">
        <w:rPr>
          <w:rFonts w:ascii="Time New Roman" w:hAnsi="Time New Roman"/>
        </w:rPr>
        <w:t>724</w:t>
      </w:r>
      <w:r w:rsidRPr="00BF42B7">
        <w:rPr>
          <w:rFonts w:ascii="Time New Roman" w:hAnsi="Time New Roman"/>
        </w:rPr>
        <w:t>人获得了研究金。</w:t>
      </w:r>
    </w:p>
    <w:p w:rsidR="00813081" w:rsidRPr="00BF42B7" w:rsidRDefault="00813081" w:rsidP="00C8126A">
      <w:pPr>
        <w:pStyle w:val="SingleTxtGC"/>
        <w:spacing w:line="310" w:lineRule="exact"/>
        <w:rPr>
          <w:rFonts w:ascii="Time New Roman" w:hAnsi="Time New Roman" w:hint="eastAsia"/>
        </w:rPr>
      </w:pPr>
      <w:r w:rsidRPr="00BF42B7">
        <w:rPr>
          <w:rFonts w:ascii="Time New Roman" w:hAnsi="Time New Roman" w:hint="eastAsia"/>
        </w:rPr>
        <w:t>3</w:t>
      </w:r>
      <w:r w:rsidRPr="00BF42B7">
        <w:rPr>
          <w:rFonts w:ascii="Time New Roman" w:hAnsi="Time New Roman"/>
        </w:rPr>
        <w:t>6</w:t>
      </w:r>
      <w:r w:rsidRPr="00BF42B7">
        <w:rPr>
          <w:rFonts w:ascii="Time New Roman" w:hAnsi="Time New Roman" w:hint="eastAsia"/>
        </w:rPr>
        <w:t>5</w:t>
      </w:r>
      <w:r w:rsidRPr="00BF42B7">
        <w:rPr>
          <w:rFonts w:ascii="Time New Roman" w:hAnsi="Time New Roman"/>
        </w:rPr>
        <w:t>.</w:t>
      </w:r>
      <w:r w:rsidRPr="00BF42B7">
        <w:rPr>
          <w:rFonts w:ascii="Time New Roman" w:hAnsi="Time New Roman" w:hint="eastAsia"/>
        </w:rPr>
        <w:t xml:space="preserve">  </w:t>
      </w:r>
      <w:r w:rsidRPr="00BF42B7">
        <w:rPr>
          <w:rFonts w:ascii="Time New Roman" w:hAnsi="Time New Roman"/>
        </w:rPr>
        <w:t>委员会强调，它十分重视讲习班。讲习班使年轻法律工作者、特别是发展中国家的年轻法律工作者能够熟悉委员会的工作和总部设在日内瓦的众多国际组织的活动。委员会建议大会再度向各国发出呼吁，请它们提供自愿捐款，以保证在</w:t>
      </w:r>
      <w:r w:rsidRPr="00BF42B7">
        <w:rPr>
          <w:rFonts w:ascii="Time New Roman" w:hAnsi="Time New Roman"/>
        </w:rPr>
        <w:t>2017</w:t>
      </w:r>
      <w:r w:rsidRPr="00BF42B7">
        <w:rPr>
          <w:rFonts w:ascii="Time New Roman" w:hAnsi="Time New Roman"/>
        </w:rPr>
        <w:t>年能够继续举办讲习班，并让尽可能多的学员参加。</w:t>
      </w:r>
    </w:p>
    <w:p w:rsidR="000E6A33" w:rsidRDefault="000E6A33" w:rsidP="001A5FC1">
      <w:pPr>
        <w:pStyle w:val="HChGC"/>
        <w:sectPr w:rsidR="000E6A33" w:rsidSect="00F73330">
          <w:headerReference w:type="even" r:id="rId129"/>
          <w:headerReference w:type="default" r:id="rId130"/>
          <w:footerReference w:type="even" r:id="rId131"/>
          <w:footerReference w:type="default" r:id="rId132"/>
          <w:endnotePr>
            <w:numFmt w:val="decimal"/>
          </w:endnotePr>
          <w:type w:val="oddPage"/>
          <w:pgSz w:w="11906" w:h="16838" w:code="9"/>
          <w:pgMar w:top="1701" w:right="1134" w:bottom="2268" w:left="1134" w:header="1134" w:footer="1701" w:gutter="0"/>
          <w:pgNumType w:start="1"/>
          <w:cols w:space="425"/>
          <w:docGrid w:type="lines" w:linePitch="326"/>
        </w:sectPr>
      </w:pPr>
    </w:p>
    <w:p w:rsidR="001A5FC1" w:rsidRPr="00BF42B7" w:rsidRDefault="001A5FC1" w:rsidP="001A5FC1">
      <w:pPr>
        <w:pStyle w:val="HChGC"/>
        <w:rPr>
          <w:b/>
        </w:rPr>
      </w:pPr>
      <w:r w:rsidRPr="00BF42B7">
        <w:t>附件</w:t>
      </w:r>
    </w:p>
    <w:p w:rsidR="001A5FC1" w:rsidRPr="00BF42B7" w:rsidRDefault="001A5FC1" w:rsidP="000E6A33">
      <w:pPr>
        <w:pStyle w:val="H1GC"/>
        <w:rPr>
          <w:lang w:val="en-GB"/>
        </w:rPr>
      </w:pPr>
      <w:r w:rsidRPr="00BF42B7">
        <w:tab/>
        <w:t>A.</w:t>
      </w:r>
      <w:r w:rsidRPr="00BF42B7">
        <w:tab/>
      </w:r>
      <w:r w:rsidRPr="00BF42B7">
        <w:t>国际组织</w:t>
      </w:r>
      <w:r w:rsidRPr="00BF42B7">
        <w:rPr>
          <w:rFonts w:hint="eastAsia"/>
        </w:rPr>
        <w:t>作</w:t>
      </w:r>
      <w:r w:rsidRPr="00BF42B7">
        <w:t>为当事方的国际争端的解决</w:t>
      </w:r>
    </w:p>
    <w:p w:rsidR="001A5FC1" w:rsidRPr="00BF42B7" w:rsidRDefault="001A5FC1" w:rsidP="001A5FC1">
      <w:pPr>
        <w:pStyle w:val="H1GC"/>
        <w:rPr>
          <w:lang w:val="en-GB"/>
        </w:rPr>
      </w:pPr>
      <w:r w:rsidRPr="00BF42B7">
        <w:rPr>
          <w:rFonts w:hint="eastAsia"/>
        </w:rPr>
        <w:tab/>
      </w:r>
      <w:r w:rsidRPr="00BF42B7">
        <w:rPr>
          <w:rFonts w:hint="eastAsia"/>
        </w:rPr>
        <w:tab/>
      </w:r>
      <w:r w:rsidRPr="00BF42B7">
        <w:t>迈克尔</w:t>
      </w:r>
      <w:r w:rsidRPr="00BF42B7">
        <w:rPr>
          <w:rFonts w:hint="eastAsia"/>
        </w:rPr>
        <w:t>·</w:t>
      </w:r>
      <w:r w:rsidRPr="00BF42B7">
        <w:t>伍德</w:t>
      </w:r>
      <w:r w:rsidRPr="00BF42B7">
        <w:rPr>
          <w:rFonts w:hint="eastAsia"/>
        </w:rPr>
        <w:t>爵士</w:t>
      </w:r>
    </w:p>
    <w:p w:rsidR="001A5FC1" w:rsidRPr="00BF42B7" w:rsidRDefault="001A5FC1" w:rsidP="000E6A33">
      <w:pPr>
        <w:pStyle w:val="H23GC"/>
        <w:rPr>
          <w:lang w:val="en-GB"/>
        </w:rPr>
      </w:pPr>
      <w:r w:rsidRPr="00BF42B7">
        <w:rPr>
          <w:rFonts w:hint="eastAsia"/>
          <w:lang w:val="en-GB"/>
        </w:rPr>
        <w:tab/>
      </w:r>
      <w:r w:rsidRPr="00BF42B7">
        <w:rPr>
          <w:rFonts w:hint="eastAsia"/>
          <w:lang w:val="en-GB"/>
        </w:rPr>
        <w:tab/>
      </w:r>
      <w:r w:rsidRPr="00BF42B7">
        <w:rPr>
          <w:rFonts w:hint="eastAsia"/>
          <w:lang w:val="en-GB"/>
        </w:rPr>
        <w:t>导言</w:t>
      </w:r>
    </w:p>
    <w:p w:rsidR="001A5FC1" w:rsidRPr="00BF42B7" w:rsidRDefault="001A5FC1" w:rsidP="00327505">
      <w:pPr>
        <w:pStyle w:val="SingleTxtGC"/>
        <w:rPr>
          <w:spacing w:val="-4"/>
          <w:lang w:val="en-GB"/>
        </w:rPr>
      </w:pPr>
      <w:r w:rsidRPr="00BF42B7">
        <w:rPr>
          <w:rFonts w:hint="eastAsia"/>
        </w:rPr>
        <w:t>1</w:t>
      </w:r>
      <w:r w:rsidRPr="00BF42B7">
        <w:rPr>
          <w:rFonts w:hint="eastAsia"/>
          <w:spacing w:val="-4"/>
        </w:rPr>
        <w:t xml:space="preserve">.  </w:t>
      </w:r>
      <w:r w:rsidRPr="00BF42B7">
        <w:rPr>
          <w:rFonts w:hint="eastAsia"/>
          <w:spacing w:val="-4"/>
        </w:rPr>
        <w:t>这份提纲可能采用的一个专题，源自委员会之前的工作。大家记得，</w:t>
      </w:r>
      <w:r w:rsidRPr="00BF42B7">
        <w:rPr>
          <w:rFonts w:hint="eastAsia"/>
          <w:spacing w:val="-4"/>
        </w:rPr>
        <w:t>2011</w:t>
      </w:r>
      <w:r w:rsidRPr="00BF42B7">
        <w:rPr>
          <w:rFonts w:hint="eastAsia"/>
          <w:spacing w:val="-4"/>
        </w:rPr>
        <w:t>年委员会二读通过了关于国际组织责任的条款，</w:t>
      </w:r>
      <w:r w:rsidRPr="00BF42B7">
        <w:rPr>
          <w:color w:val="0000FF"/>
          <w:spacing w:val="-4"/>
          <w:vertAlign w:val="superscript"/>
          <w:lang w:val="en-GB"/>
        </w:rPr>
        <w:footnoteReference w:id="1489"/>
      </w:r>
      <w:r w:rsidRPr="00BF42B7">
        <w:rPr>
          <w:spacing w:val="-4"/>
          <w:lang w:val="en-GB"/>
        </w:rPr>
        <w:t xml:space="preserve"> </w:t>
      </w:r>
      <w:r w:rsidRPr="00BF42B7">
        <w:rPr>
          <w:rFonts w:hint="eastAsia"/>
          <w:spacing w:val="-4"/>
          <w:lang w:val="en-GB"/>
        </w:rPr>
        <w:t>大会也注意到委员会的工作。</w:t>
      </w:r>
      <w:r w:rsidRPr="00BF42B7">
        <w:rPr>
          <w:color w:val="0000FF"/>
          <w:spacing w:val="-4"/>
          <w:vertAlign w:val="superscript"/>
          <w:lang w:val="en-GB"/>
        </w:rPr>
        <w:footnoteReference w:id="1490"/>
      </w:r>
      <w:r w:rsidRPr="00BF42B7">
        <w:rPr>
          <w:spacing w:val="-4"/>
          <w:lang w:val="en-GB"/>
        </w:rPr>
        <w:t xml:space="preserve"> </w:t>
      </w:r>
      <w:r w:rsidRPr="00BF42B7">
        <w:rPr>
          <w:rFonts w:hint="eastAsia"/>
          <w:spacing w:val="-4"/>
          <w:lang w:val="en-GB"/>
        </w:rPr>
        <w:t>早在</w:t>
      </w:r>
      <w:r w:rsidRPr="00BF42B7">
        <w:rPr>
          <w:spacing w:val="-4"/>
          <w:lang w:val="en-GB"/>
        </w:rPr>
        <w:t>2002</w:t>
      </w:r>
      <w:r w:rsidRPr="00BF42B7">
        <w:rPr>
          <w:rFonts w:hint="eastAsia"/>
          <w:spacing w:val="-4"/>
          <w:lang w:val="en-GB"/>
        </w:rPr>
        <w:t>年，委员会关于国际组织责任的工作组便提到，关于国际组织的责任问题，“人们普遍认为必须改进解决这些争端的办法”。</w:t>
      </w:r>
      <w:r w:rsidRPr="00BF42B7">
        <w:rPr>
          <w:color w:val="0000FF"/>
          <w:spacing w:val="-4"/>
          <w:vertAlign w:val="superscript"/>
          <w:lang w:val="en-GB"/>
        </w:rPr>
        <w:footnoteReference w:id="1491"/>
      </w:r>
      <w:r w:rsidRPr="00BF42B7">
        <w:rPr>
          <w:spacing w:val="-4"/>
          <w:lang w:val="en-GB"/>
        </w:rPr>
        <w:t xml:space="preserve"> 2010</w:t>
      </w:r>
      <w:r w:rsidRPr="00BF42B7">
        <w:rPr>
          <w:rFonts w:hint="eastAsia"/>
          <w:spacing w:val="-4"/>
          <w:lang w:val="en-GB"/>
        </w:rPr>
        <w:t>和</w:t>
      </w:r>
      <w:r w:rsidRPr="00BF42B7">
        <w:rPr>
          <w:spacing w:val="-4"/>
          <w:lang w:val="en-GB"/>
        </w:rPr>
        <w:t>2011</w:t>
      </w:r>
      <w:r w:rsidRPr="00BF42B7">
        <w:rPr>
          <w:rFonts w:hint="eastAsia"/>
          <w:spacing w:val="-4"/>
          <w:lang w:val="en-GB"/>
        </w:rPr>
        <w:t>年，委员会就和平解决争端问题举行了辩论，对今后可能考虑的专题提出了各种建议。</w:t>
      </w:r>
      <w:r w:rsidRPr="00BF42B7">
        <w:rPr>
          <w:color w:val="0000FF"/>
          <w:spacing w:val="-4"/>
          <w:vertAlign w:val="superscript"/>
          <w:lang w:val="en-GB"/>
        </w:rPr>
        <w:footnoteReference w:id="1492"/>
      </w:r>
    </w:p>
    <w:p w:rsidR="001A5FC1" w:rsidRPr="00BF42B7" w:rsidRDefault="001A5FC1" w:rsidP="001A5FC1">
      <w:pPr>
        <w:pStyle w:val="SingleTxtGC"/>
        <w:rPr>
          <w:lang w:val="en-GB"/>
        </w:rPr>
      </w:pPr>
      <w:r w:rsidRPr="00BF42B7">
        <w:rPr>
          <w:rFonts w:hint="eastAsia"/>
        </w:rPr>
        <w:t xml:space="preserve">2.  </w:t>
      </w:r>
      <w:r w:rsidRPr="00BF42B7">
        <w:rPr>
          <w:rFonts w:hint="eastAsia"/>
          <w:lang w:val="en-GB"/>
        </w:rPr>
        <w:t>拟议的专题应限于国际组织为当事方的争端的解决，</w:t>
      </w:r>
      <w:r w:rsidRPr="00BF42B7">
        <w:rPr>
          <w:color w:val="0000FF"/>
          <w:vertAlign w:val="superscript"/>
          <w:lang w:val="en-GB"/>
        </w:rPr>
        <w:footnoteReference w:id="1493"/>
      </w:r>
      <w:r w:rsidRPr="00BF42B7">
        <w:rPr>
          <w:lang w:val="en-GB"/>
        </w:rPr>
        <w:t xml:space="preserve"> </w:t>
      </w:r>
      <w:r w:rsidRPr="00BF42B7">
        <w:rPr>
          <w:rFonts w:hint="eastAsia"/>
          <w:lang w:val="en-GB"/>
        </w:rPr>
        <w:t>其中包括国际组织与国家之间的争端</w:t>
      </w:r>
      <w:r w:rsidRPr="00BF42B7">
        <w:rPr>
          <w:rFonts w:hint="eastAsia"/>
          <w:lang w:val="en-GB"/>
        </w:rPr>
        <w:t>(</w:t>
      </w:r>
      <w:r w:rsidRPr="00BF42B7">
        <w:rPr>
          <w:rFonts w:hint="eastAsia"/>
          <w:lang w:val="en-GB"/>
        </w:rPr>
        <w:t>包括成员国和非成员国</w:t>
      </w:r>
      <w:r w:rsidRPr="00BF42B7">
        <w:rPr>
          <w:rFonts w:hint="eastAsia"/>
          <w:lang w:val="en-GB"/>
        </w:rPr>
        <w:t>)</w:t>
      </w:r>
      <w:r w:rsidRPr="00BF42B7">
        <w:rPr>
          <w:rFonts w:hint="eastAsia"/>
          <w:lang w:val="en-GB"/>
        </w:rPr>
        <w:t>，和国际组织之间的争端，但不包括国际组织不是当事方，而只是以某种方式介入其中的争端。在这个意义上，将不</w:t>
      </w:r>
      <w:r w:rsidRPr="00BF42B7">
        <w:rPr>
          <w:rFonts w:hint="eastAsia"/>
        </w:rPr>
        <w:t>包括由一个国际组织主持解决的争端</w:t>
      </w:r>
      <w:r w:rsidRPr="00BF42B7">
        <w:rPr>
          <w:rFonts w:hint="eastAsia"/>
        </w:rPr>
        <w:t>(</w:t>
      </w:r>
      <w:r w:rsidRPr="00BF42B7">
        <w:rPr>
          <w:rFonts w:hint="eastAsia"/>
        </w:rPr>
        <w:t>例如联合国根据《宪章》第六章采取措施，参与</w:t>
      </w:r>
      <w:r w:rsidRPr="00BF42B7">
        <w:rPr>
          <w:rFonts w:hint="eastAsia"/>
          <w:lang w:val="en-GB"/>
        </w:rPr>
        <w:t>解决会员国之间的争端</w:t>
      </w:r>
      <w:r w:rsidRPr="00BF42B7">
        <w:rPr>
          <w:rFonts w:hint="eastAsia"/>
          <w:lang w:val="en-GB"/>
        </w:rPr>
        <w:t>)</w:t>
      </w:r>
      <w:r w:rsidRPr="00BF42B7">
        <w:rPr>
          <w:rFonts w:hint="eastAsia"/>
          <w:lang w:val="en-GB"/>
        </w:rPr>
        <w:t>。同样，国际组织仅仅有某种关系，如成员国对该组织的章程的争端，</w:t>
      </w:r>
      <w:r w:rsidRPr="00BF42B7">
        <w:rPr>
          <w:color w:val="0000FF"/>
          <w:vertAlign w:val="superscript"/>
          <w:lang w:val="en-GB"/>
        </w:rPr>
        <w:footnoteReference w:id="1494"/>
      </w:r>
      <w:r w:rsidRPr="00BF42B7">
        <w:rPr>
          <w:rFonts w:hint="eastAsia"/>
          <w:lang w:val="en-GB"/>
        </w:rPr>
        <w:t xml:space="preserve"> </w:t>
      </w:r>
      <w:r w:rsidRPr="00BF42B7">
        <w:rPr>
          <w:rFonts w:hint="eastAsia"/>
          <w:lang w:val="en-GB"/>
        </w:rPr>
        <w:t>也不在此专题范围之内。</w:t>
      </w:r>
    </w:p>
    <w:p w:rsidR="001A5FC1" w:rsidRPr="00BF42B7" w:rsidRDefault="001A5FC1" w:rsidP="001A5FC1">
      <w:pPr>
        <w:pStyle w:val="SingleTxtGC"/>
        <w:rPr>
          <w:lang w:val="en-GB"/>
        </w:rPr>
      </w:pPr>
      <w:r w:rsidRPr="00BF42B7">
        <w:rPr>
          <w:rFonts w:hint="eastAsia"/>
        </w:rPr>
        <w:t>3.</w:t>
      </w:r>
      <w:r w:rsidRPr="00BF42B7">
        <w:rPr>
          <w:rFonts w:hint="eastAsia"/>
          <w:lang w:val="en-GB"/>
        </w:rPr>
        <w:t xml:space="preserve">  </w:t>
      </w:r>
      <w:r w:rsidRPr="00BF42B7">
        <w:rPr>
          <w:rFonts w:hint="eastAsia"/>
          <w:lang w:val="en-GB"/>
        </w:rPr>
        <w:t>本文件的主要侧重点是国际性争端，即争端关系到国际法。它不涵盖涉及国际组织工作人员的争端</w:t>
      </w:r>
      <w:r w:rsidRPr="00BF42B7">
        <w:rPr>
          <w:rFonts w:hint="eastAsia"/>
          <w:lang w:val="en-GB"/>
        </w:rPr>
        <w:t>(</w:t>
      </w:r>
      <w:r w:rsidRPr="00BF42B7">
        <w:rPr>
          <w:rFonts w:hint="eastAsia"/>
          <w:lang w:val="en-GB"/>
        </w:rPr>
        <w:t>国际行政法</w:t>
      </w:r>
      <w:r w:rsidRPr="00BF42B7">
        <w:rPr>
          <w:rFonts w:hint="eastAsia"/>
          <w:lang w:val="en-GB"/>
        </w:rPr>
        <w:t>)</w:t>
      </w:r>
      <w:r w:rsidRPr="00BF42B7">
        <w:rPr>
          <w:rFonts w:hint="eastAsia"/>
          <w:lang w:val="en-GB"/>
        </w:rPr>
        <w:t>。它也不涵盖有关国际组织豁免权产生的问题。至于是否可包括一些带有私法性质的争端，如因合同引起的，或国际组织的侵权行为或对国际组织的侵权行为产生的争端，可留待以后做出决定。</w:t>
      </w:r>
      <w:r w:rsidRPr="00BF42B7">
        <w:rPr>
          <w:color w:val="0000FF"/>
          <w:vertAlign w:val="superscript"/>
          <w:lang w:val="en-GB"/>
        </w:rPr>
        <w:footnoteReference w:id="1495"/>
      </w:r>
    </w:p>
    <w:p w:rsidR="001A5FC1" w:rsidRPr="00BF42B7" w:rsidRDefault="001A5FC1" w:rsidP="001A5FC1">
      <w:pPr>
        <w:pStyle w:val="SingleTxtGC"/>
        <w:rPr>
          <w:rFonts w:ascii="Time New Roman" w:hAnsi="Time New Roman" w:hint="eastAsia"/>
          <w:lang w:val="en-GB"/>
        </w:rPr>
      </w:pPr>
      <w:r w:rsidRPr="00BF42B7">
        <w:rPr>
          <w:rFonts w:ascii="Time New Roman" w:hAnsi="Time New Roman" w:hint="eastAsia"/>
        </w:rPr>
        <w:t xml:space="preserve">4.  </w:t>
      </w:r>
      <w:r w:rsidRPr="00BF42B7">
        <w:rPr>
          <w:rFonts w:ascii="Time New Roman" w:hAnsi="Time New Roman" w:hint="eastAsia"/>
        </w:rPr>
        <w:t>这个领域如何选题，需要仔细斟酌。可以提出建议，对国际组织为当事方的争端，发展已有的和制定新的解决争端程序，和</w:t>
      </w:r>
      <w:r w:rsidRPr="00BF42B7">
        <w:rPr>
          <w:rFonts w:ascii="Time New Roman" w:hAnsi="Time New Roman" w:hint="eastAsia"/>
        </w:rPr>
        <w:t>/</w:t>
      </w:r>
      <w:r w:rsidRPr="00BF42B7">
        <w:rPr>
          <w:rFonts w:ascii="Time New Roman" w:hAnsi="Time New Roman" w:hint="eastAsia"/>
        </w:rPr>
        <w:t>或制定示范条款，收入相关的文书或条约。此外，委员会不妨研究</w:t>
      </w:r>
      <w:r w:rsidRPr="00BF42B7">
        <w:rPr>
          <w:rFonts w:ascii="Time New Roman" w:hAnsi="Time New Roman" w:hint="eastAsia"/>
        </w:rPr>
        <w:t>1982</w:t>
      </w:r>
      <w:r w:rsidRPr="00BF42B7">
        <w:rPr>
          <w:rFonts w:ascii="Time New Roman" w:hAnsi="Time New Roman" w:hint="eastAsia"/>
        </w:rPr>
        <w:t>年《关于和平解决国际争端的马尼拉宣言》，</w:t>
      </w:r>
      <w:r w:rsidRPr="00BF42B7">
        <w:rPr>
          <w:color w:val="0000FF"/>
          <w:vertAlign w:val="superscript"/>
        </w:rPr>
        <w:footnoteReference w:id="1496"/>
      </w:r>
      <w:r w:rsidRPr="00BF42B7">
        <w:rPr>
          <w:rFonts w:ascii="Time New Roman" w:hAnsi="Time New Roman" w:hint="eastAsia"/>
        </w:rPr>
        <w:t xml:space="preserve"> </w:t>
      </w:r>
      <w:r w:rsidRPr="00BF42B7">
        <w:rPr>
          <w:rFonts w:ascii="Time New Roman" w:hAnsi="Time New Roman" w:hint="eastAsia"/>
        </w:rPr>
        <w:t>看该宣言的条款可在多大程度上适用于国际组织。</w:t>
      </w:r>
    </w:p>
    <w:p w:rsidR="001A5FC1" w:rsidRPr="00BF42B7" w:rsidRDefault="001A5FC1" w:rsidP="000E6A33">
      <w:pPr>
        <w:pStyle w:val="H23GC"/>
        <w:rPr>
          <w:lang w:val="en-GB"/>
        </w:rPr>
      </w:pPr>
      <w:r w:rsidRPr="00BF42B7">
        <w:rPr>
          <w:rFonts w:hint="eastAsia"/>
          <w:lang w:val="en-GB"/>
        </w:rPr>
        <w:tab/>
      </w:r>
      <w:r w:rsidRPr="00BF42B7">
        <w:rPr>
          <w:rFonts w:hint="eastAsia"/>
          <w:lang w:val="en-GB"/>
        </w:rPr>
        <w:tab/>
      </w:r>
      <w:r w:rsidRPr="00BF42B7">
        <w:rPr>
          <w:rFonts w:hint="eastAsia"/>
          <w:lang w:val="en-GB"/>
        </w:rPr>
        <w:t>拟议的专题内可能考虑的问题。</w:t>
      </w:r>
    </w:p>
    <w:p w:rsidR="001A5FC1" w:rsidRPr="00BF42B7" w:rsidRDefault="001A5FC1" w:rsidP="001A5FC1">
      <w:pPr>
        <w:pStyle w:val="SingleTxtGC"/>
        <w:rPr>
          <w:rFonts w:ascii="Time New Roman" w:hAnsi="Time New Roman" w:hint="eastAsia"/>
          <w:lang w:val="en-GB"/>
        </w:rPr>
      </w:pPr>
      <w:r w:rsidRPr="00BF42B7">
        <w:rPr>
          <w:rFonts w:ascii="Time New Roman" w:hAnsi="Time New Roman" w:hint="eastAsia"/>
        </w:rPr>
        <w:t xml:space="preserve">5.  </w:t>
      </w:r>
      <w:r w:rsidRPr="00BF42B7">
        <w:rPr>
          <w:rFonts w:ascii="Time New Roman" w:hAnsi="Time New Roman" w:hint="eastAsia"/>
        </w:rPr>
        <w:t>有一些显而易见的困难，是解决所有国际组织作为当事方的国际争端所共有的。这是由于国际组织在利用传统的国际争端解决办法上渠道有限，也因为由国际组织提出的和对国际组织提出的要求，在可否受理方面的障碍。另一方面，将</w:t>
      </w:r>
      <w:r w:rsidRPr="00BF42B7">
        <w:rPr>
          <w:rFonts w:ascii="Time New Roman" w:hAnsi="Time New Roman" w:hint="eastAsia"/>
          <w:lang w:val="en-GB"/>
        </w:rPr>
        <w:t>传统的国家间解决争端机制用于国际组织，还有一些政策方面的问题。国际组织不是国家。</w:t>
      </w:r>
    </w:p>
    <w:p w:rsidR="001A5FC1" w:rsidRPr="00BF42B7" w:rsidRDefault="001A5FC1" w:rsidP="001A5FC1">
      <w:pPr>
        <w:pStyle w:val="SingleTxtGC"/>
        <w:rPr>
          <w:rFonts w:ascii="Time New Roman" w:hAnsi="Time New Roman" w:hint="eastAsia"/>
          <w:lang w:val="en-GB"/>
        </w:rPr>
      </w:pPr>
      <w:r w:rsidRPr="00BF42B7">
        <w:rPr>
          <w:rFonts w:ascii="Time New Roman" w:hAnsi="Time New Roman" w:hint="eastAsia"/>
          <w:lang w:val="en-GB"/>
        </w:rPr>
        <w:t xml:space="preserve">6.  </w:t>
      </w:r>
      <w:r w:rsidRPr="00BF42B7">
        <w:rPr>
          <w:rFonts w:ascii="Time New Roman" w:hAnsi="Time New Roman" w:hint="eastAsia"/>
          <w:lang w:val="en-GB"/>
        </w:rPr>
        <w:t>渠道：将国际组织作为当事方的国际争端提交各国可以利用的争端解决机制</w:t>
      </w:r>
      <w:r w:rsidRPr="00BF42B7">
        <w:rPr>
          <w:rFonts w:ascii="Time New Roman" w:hAnsi="Time New Roman"/>
          <w:lang w:val="en-GB"/>
        </w:rPr>
        <w:t>，</w:t>
      </w:r>
      <w:r w:rsidRPr="00BF42B7">
        <w:rPr>
          <w:rFonts w:ascii="Time New Roman" w:hAnsi="Time New Roman" w:hint="eastAsia"/>
          <w:lang w:val="en-GB"/>
        </w:rPr>
        <w:t>存在各种困难，</w:t>
      </w:r>
      <w:r w:rsidRPr="00BF42B7">
        <w:rPr>
          <w:color w:val="0000FF"/>
          <w:vertAlign w:val="superscript"/>
          <w:lang w:val="en-GB"/>
        </w:rPr>
        <w:footnoteReference w:id="1497"/>
      </w:r>
      <w:r w:rsidRPr="00BF42B7">
        <w:rPr>
          <w:rFonts w:ascii="Time New Roman" w:hAnsi="Time New Roman"/>
          <w:lang w:val="en-GB"/>
        </w:rPr>
        <w:t xml:space="preserve"> </w:t>
      </w:r>
      <w:r w:rsidRPr="00BF42B7">
        <w:rPr>
          <w:rFonts w:ascii="Time New Roman" w:hAnsi="Time New Roman" w:hint="eastAsia"/>
        </w:rPr>
        <w:t>最明显的是，国际组织不能在国际法院的抗辩性案件中作为请求人或被告人，尽管在一些特定领域，其他一些常设法院和法庭向他们开放。仲裁仍是一个选项，但现有的实践十分有限，国际组织也很少受到管辖权条款的约束。可以采用法律以外的方法，如调解、和解和调查等，但国际组织不同于国家，往往不属于方便进入该类程序的机构。例如，联合国或区域组织的成员国可将他们的争端提到一个政治论坛，从而借助多边政治力量和程序解决问题，如真相调查团。由于在第三方解决冲突机制方面存在这些障碍，解决国际组织作为当事方的冲突，主要依靠谈判或组织内部的机制。</w:t>
      </w:r>
    </w:p>
    <w:p w:rsidR="00523D41" w:rsidRDefault="00523D41">
      <w:pPr>
        <w:tabs>
          <w:tab w:val="clear" w:pos="431"/>
        </w:tabs>
        <w:overflowPunct/>
        <w:adjustRightInd/>
        <w:snapToGrid/>
        <w:spacing w:line="240" w:lineRule="auto"/>
        <w:jc w:val="left"/>
        <w:rPr>
          <w:rFonts w:ascii="Time New Roman" w:hAnsi="Time New Roman" w:hint="eastAsia"/>
        </w:rPr>
      </w:pPr>
      <w:r>
        <w:rPr>
          <w:rFonts w:ascii="Time New Roman" w:hAnsi="Time New Roman" w:hint="eastAsia"/>
        </w:rPr>
        <w:br w:type="page"/>
      </w:r>
    </w:p>
    <w:p w:rsidR="001A5FC1" w:rsidRPr="00BF42B7" w:rsidRDefault="001A5FC1" w:rsidP="001A5FC1">
      <w:pPr>
        <w:pStyle w:val="SingleTxtGC"/>
        <w:rPr>
          <w:rFonts w:ascii="Time New Roman" w:hAnsi="Time New Roman" w:hint="eastAsia"/>
        </w:rPr>
      </w:pPr>
      <w:r w:rsidRPr="00BF42B7">
        <w:rPr>
          <w:rFonts w:ascii="Time New Roman" w:hAnsi="Time New Roman" w:hint="eastAsia"/>
        </w:rPr>
        <w:t xml:space="preserve">7.  </w:t>
      </w:r>
      <w:r w:rsidRPr="00BF42B7">
        <w:rPr>
          <w:rFonts w:ascii="Time New Roman" w:hAnsi="Time New Roman" w:hint="eastAsia"/>
          <w:lang w:val="en-GB"/>
        </w:rPr>
        <w:t>可受理性。</w:t>
      </w:r>
      <w:r w:rsidRPr="00BF42B7">
        <w:rPr>
          <w:rFonts w:ascii="Time New Roman" w:hAnsi="Time New Roman" w:hint="eastAsia"/>
        </w:rPr>
        <w:t>由国际组织提出的和对国际组织提出的诉讼，在可否受理上所面临的困难，主要在于行使外交保护的权利和相应的用尽当地补救办法的要求。比如，国际组织能像国家维护其国民的权利一样，维护本组织工作人员的权利吗？再者，如果国家为维护其国民的权利向国际组织求偿，用尽当地</w:t>
      </w:r>
      <w:r w:rsidRPr="00BF42B7">
        <w:rPr>
          <w:rFonts w:ascii="Time New Roman" w:hAnsi="Time New Roman" w:hint="eastAsia"/>
        </w:rPr>
        <w:t>(</w:t>
      </w:r>
      <w:r w:rsidRPr="00BF42B7">
        <w:rPr>
          <w:rFonts w:ascii="Time New Roman" w:hAnsi="Time New Roman" w:hint="eastAsia"/>
        </w:rPr>
        <w:t>国内</w:t>
      </w:r>
      <w:r w:rsidRPr="00BF42B7">
        <w:rPr>
          <w:rFonts w:ascii="Time New Roman" w:hAnsi="Time New Roman" w:hint="eastAsia"/>
        </w:rPr>
        <w:t>)</w:t>
      </w:r>
      <w:r w:rsidRPr="00BF42B7">
        <w:rPr>
          <w:rFonts w:ascii="Time New Roman" w:hAnsi="Time New Roman" w:hint="eastAsia"/>
        </w:rPr>
        <w:t>补救办法的要求适用吗？</w:t>
      </w:r>
    </w:p>
    <w:p w:rsidR="001A5FC1" w:rsidRPr="00BF42B7" w:rsidRDefault="001A5FC1" w:rsidP="001A5FC1">
      <w:pPr>
        <w:pStyle w:val="H4GC"/>
        <w:rPr>
          <w:lang w:val="en-GB"/>
        </w:rPr>
      </w:pPr>
      <w:r w:rsidRPr="00BF42B7">
        <w:rPr>
          <w:rFonts w:hint="eastAsia"/>
          <w:lang w:val="en-GB"/>
        </w:rPr>
        <w:tab/>
        <w:t>(a)</w:t>
      </w:r>
      <w:r w:rsidRPr="00BF42B7">
        <w:rPr>
          <w:rFonts w:hint="eastAsia"/>
          <w:lang w:val="en-GB"/>
        </w:rPr>
        <w:tab/>
      </w:r>
      <w:r w:rsidRPr="00BF42B7">
        <w:rPr>
          <w:rFonts w:hint="eastAsia"/>
          <w:lang w:val="en-GB"/>
        </w:rPr>
        <w:t>国际法院及其他常设法院和法庭</w:t>
      </w:r>
    </w:p>
    <w:p w:rsidR="001A5FC1" w:rsidRPr="00BF42B7" w:rsidRDefault="001A5FC1" w:rsidP="001A5FC1">
      <w:pPr>
        <w:pStyle w:val="SingleTxtGC"/>
        <w:rPr>
          <w:rFonts w:ascii="Time New Roman" w:hAnsi="Time New Roman" w:hint="eastAsia"/>
          <w:lang w:val="en-GB"/>
        </w:rPr>
      </w:pPr>
      <w:r w:rsidRPr="00BF42B7">
        <w:rPr>
          <w:rFonts w:ascii="Time New Roman" w:hAnsi="Time New Roman" w:hint="eastAsia"/>
        </w:rPr>
        <w:t xml:space="preserve">8.  </w:t>
      </w:r>
      <w:r w:rsidRPr="00BF42B7">
        <w:rPr>
          <w:rFonts w:ascii="Time New Roman" w:hAnsi="Time New Roman" w:hint="eastAsia"/>
        </w:rPr>
        <w:t>《国际法院规约》第三十四条第一款将法院的出庭权限于国家。</w:t>
      </w:r>
      <w:r w:rsidRPr="00BF42B7">
        <w:rPr>
          <w:color w:val="0000FF"/>
          <w:vertAlign w:val="superscript"/>
          <w:lang w:val="en-GB"/>
        </w:rPr>
        <w:footnoteReference w:id="1498"/>
      </w:r>
      <w:r w:rsidRPr="00BF42B7">
        <w:rPr>
          <w:rFonts w:ascii="Time New Roman" w:hAnsi="Time New Roman"/>
          <w:lang w:val="en-GB"/>
        </w:rPr>
        <w:t xml:space="preserve"> </w:t>
      </w:r>
      <w:r w:rsidRPr="00BF42B7">
        <w:rPr>
          <w:rFonts w:ascii="Time New Roman" w:hAnsi="Time New Roman" w:hint="eastAsia"/>
        </w:rPr>
        <w:t>尽管第二和第三款对法院和国际公共组织之间某种程度的合作作了规定，</w:t>
      </w:r>
      <w:r w:rsidRPr="00BF42B7">
        <w:rPr>
          <w:color w:val="0000FF"/>
          <w:vertAlign w:val="superscript"/>
          <w:lang w:val="en-GB"/>
        </w:rPr>
        <w:footnoteReference w:id="1499"/>
      </w:r>
      <w:r w:rsidRPr="00BF42B7">
        <w:rPr>
          <w:rFonts w:ascii="Time New Roman" w:hAnsi="Time New Roman"/>
          <w:lang w:val="en-GB"/>
        </w:rPr>
        <w:t xml:space="preserve"> </w:t>
      </w:r>
      <w:r w:rsidRPr="00BF42B7">
        <w:rPr>
          <w:rFonts w:ascii="Time New Roman" w:hAnsi="Time New Roman" w:hint="eastAsia"/>
        </w:rPr>
        <w:t>但这类组织仍不能在诉讼案件中作为当事方出庭。然而，联合国和授权的专门机构可以在法律问题上寻求咨询意见。</w:t>
      </w:r>
      <w:r w:rsidRPr="00BF42B7">
        <w:rPr>
          <w:color w:val="0000FF"/>
          <w:vertAlign w:val="superscript"/>
          <w:lang w:val="en-GB"/>
        </w:rPr>
        <w:footnoteReference w:id="1500"/>
      </w:r>
    </w:p>
    <w:p w:rsidR="001A5FC1" w:rsidRPr="00BF42B7" w:rsidRDefault="001A5FC1" w:rsidP="001A5FC1">
      <w:pPr>
        <w:pStyle w:val="SingleTxtGC"/>
        <w:rPr>
          <w:rFonts w:ascii="Time New Roman" w:hAnsi="Time New Roman" w:hint="eastAsia"/>
          <w:lang w:val="en-GB"/>
        </w:rPr>
      </w:pPr>
      <w:r w:rsidRPr="00BF42B7">
        <w:rPr>
          <w:rFonts w:ascii="Time New Roman" w:hAnsi="Time New Roman" w:hint="eastAsia"/>
        </w:rPr>
        <w:t xml:space="preserve">9.  </w:t>
      </w:r>
      <w:r w:rsidRPr="00BF42B7">
        <w:rPr>
          <w:rFonts w:ascii="Time New Roman" w:hAnsi="Time New Roman" w:hint="eastAsia"/>
        </w:rPr>
        <w:t>鉴于法院规约中的这些限制，希望利用国际法院解决国际组织作为当事方的国际冲突，表现在两个方面</w:t>
      </w:r>
      <w:r w:rsidRPr="00BF42B7">
        <w:rPr>
          <w:rFonts w:ascii="Time New Roman" w:hAnsi="Time New Roman" w:hint="eastAsia"/>
          <w:spacing w:val="-50"/>
        </w:rPr>
        <w:t>―</w:t>
      </w:r>
      <w:r w:rsidRPr="00BF42B7">
        <w:rPr>
          <w:rFonts w:ascii="Time New Roman" w:hAnsi="Time New Roman" w:hint="eastAsia"/>
        </w:rPr>
        <w:t>―所谓“具有约束力”的咨询意见，和要求修改规则</w:t>
      </w:r>
      <w:r w:rsidRPr="00BF42B7">
        <w:rPr>
          <w:rFonts w:ascii="Time New Roman" w:hAnsi="Time New Roman" w:hint="eastAsia"/>
          <w:lang w:val="en-GB"/>
        </w:rPr>
        <w:t>。</w:t>
      </w:r>
    </w:p>
    <w:p w:rsidR="001A5FC1" w:rsidRPr="00BF42B7" w:rsidRDefault="001A5FC1" w:rsidP="001A5FC1">
      <w:pPr>
        <w:pStyle w:val="SingleTxtGC"/>
        <w:rPr>
          <w:rFonts w:ascii="Time New Roman" w:hAnsi="Time New Roman" w:hint="eastAsia"/>
          <w:lang w:val="en-GB"/>
        </w:rPr>
      </w:pPr>
      <w:r w:rsidRPr="00BF42B7">
        <w:rPr>
          <w:rFonts w:ascii="Time New Roman" w:hAnsi="Time New Roman" w:hint="eastAsia"/>
          <w:lang w:val="en-GB"/>
        </w:rPr>
        <w:t xml:space="preserve">10.  </w:t>
      </w:r>
      <w:r w:rsidRPr="00BF42B7">
        <w:rPr>
          <w:rFonts w:ascii="Time New Roman" w:hAnsi="Time New Roman" w:hint="eastAsia"/>
          <w:lang w:val="en-GB"/>
        </w:rPr>
        <w:t>虽然咨询意见本身是不具有约束力的，但一些协定规定，采用咨询意见程序解决冲突具有“决定性”作用。一个典型的例子是</w:t>
      </w:r>
      <w:r w:rsidRPr="00BF42B7">
        <w:rPr>
          <w:rFonts w:ascii="Time New Roman" w:hAnsi="Time New Roman" w:hint="eastAsia"/>
          <w:lang w:val="en-GB"/>
        </w:rPr>
        <w:t>1946</w:t>
      </w:r>
      <w:r w:rsidRPr="00BF42B7">
        <w:rPr>
          <w:rFonts w:ascii="Time New Roman" w:hAnsi="Time New Roman" w:hint="eastAsia"/>
          <w:lang w:val="en-GB"/>
        </w:rPr>
        <w:t>年的《联合国特权和豁免公约》：</w:t>
      </w:r>
    </w:p>
    <w:p w:rsidR="001A5FC1" w:rsidRPr="00BF42B7" w:rsidRDefault="001A5FC1" w:rsidP="001A5FC1">
      <w:pPr>
        <w:pStyle w:val="SingleTxtGC"/>
        <w:ind w:left="1565"/>
        <w:rPr>
          <w:lang w:val="en-GB"/>
        </w:rPr>
      </w:pPr>
      <w:r w:rsidRPr="00BF42B7">
        <w:rPr>
          <w:rFonts w:hint="eastAsia"/>
          <w:lang w:val="en-GB"/>
        </w:rPr>
        <w:t>“如联合国与一个会员国间发生争议，应依照宪章第九十六条及法院规约第六十五条请法院就所牵涉的任何法律问题发表咨询意见。当事各方应接受法院所发表的咨询意见为具有决定性效力。”</w:t>
      </w:r>
      <w:r w:rsidRPr="00BF42B7">
        <w:rPr>
          <w:color w:val="0000FF"/>
          <w:vertAlign w:val="superscript"/>
          <w:lang w:val="en-GB"/>
        </w:rPr>
        <w:footnoteReference w:id="1501"/>
      </w:r>
    </w:p>
    <w:p w:rsidR="00523D41" w:rsidRDefault="00523D41">
      <w:pPr>
        <w:tabs>
          <w:tab w:val="clear" w:pos="431"/>
        </w:tabs>
        <w:overflowPunct/>
        <w:adjustRightInd/>
        <w:snapToGrid/>
        <w:spacing w:line="240" w:lineRule="auto"/>
        <w:jc w:val="left"/>
        <w:rPr>
          <w:rFonts w:ascii="Time New Roman" w:hAnsi="Time New Roman" w:hint="eastAsia"/>
          <w:lang w:val="en-GB"/>
        </w:rPr>
      </w:pPr>
      <w:r>
        <w:rPr>
          <w:rFonts w:ascii="Time New Roman" w:hAnsi="Time New Roman" w:hint="eastAsia"/>
          <w:lang w:val="en-GB"/>
        </w:rPr>
        <w:br w:type="page"/>
      </w:r>
    </w:p>
    <w:p w:rsidR="001A5FC1" w:rsidRPr="00BF42B7" w:rsidRDefault="001A5FC1" w:rsidP="001A5FC1">
      <w:pPr>
        <w:pStyle w:val="SingleTxtGC"/>
        <w:rPr>
          <w:rFonts w:ascii="Time New Roman" w:hAnsi="Time New Roman" w:hint="eastAsia"/>
          <w:lang w:val="en-GB"/>
        </w:rPr>
      </w:pPr>
      <w:r w:rsidRPr="00BF42B7">
        <w:rPr>
          <w:rFonts w:ascii="Time New Roman" w:hAnsi="Time New Roman" w:hint="eastAsia"/>
          <w:lang w:val="en-GB"/>
        </w:rPr>
        <w:t xml:space="preserve">11.  </w:t>
      </w:r>
      <w:r w:rsidRPr="00BF42B7">
        <w:rPr>
          <w:rFonts w:ascii="Time New Roman" w:hAnsi="Time New Roman" w:hint="eastAsia"/>
          <w:lang w:val="en-GB"/>
        </w:rPr>
        <w:t>联合国和美利坚合众国之间的总部协定，在有约束力的仲裁方面设想了一个大体类似的程序，该协定规定：任何一方均可请求大会对仲裁过程中产生的法律问题提出咨询意见，仲裁法庭在作出最后裁决时“应予以考虑”。</w:t>
      </w:r>
      <w:r w:rsidRPr="00BF42B7">
        <w:rPr>
          <w:color w:val="0000FF"/>
          <w:vertAlign w:val="superscript"/>
          <w:lang w:val="en-GB"/>
        </w:rPr>
        <w:footnoteReference w:id="1502"/>
      </w:r>
    </w:p>
    <w:p w:rsidR="001A5FC1" w:rsidRPr="00BF42B7" w:rsidRDefault="001A5FC1" w:rsidP="001A5FC1">
      <w:pPr>
        <w:pStyle w:val="SingleTxtGC"/>
        <w:rPr>
          <w:rFonts w:ascii="Time New Roman" w:hAnsi="Time New Roman" w:hint="eastAsia"/>
        </w:rPr>
      </w:pPr>
      <w:r w:rsidRPr="00BF42B7">
        <w:rPr>
          <w:rFonts w:ascii="Time New Roman" w:hAnsi="Time New Roman" w:hint="eastAsia"/>
        </w:rPr>
        <w:t xml:space="preserve">12.  </w:t>
      </w:r>
      <w:r w:rsidRPr="00BF42B7">
        <w:rPr>
          <w:rFonts w:ascii="Time New Roman" w:hAnsi="Time New Roman"/>
        </w:rPr>
        <w:t>然而，在现实中具有</w:t>
      </w:r>
      <w:r w:rsidRPr="00BF42B7">
        <w:rPr>
          <w:rFonts w:ascii="Time New Roman" w:hAnsi="Time New Roman" w:hint="eastAsia"/>
        </w:rPr>
        <w:t>争议</w:t>
      </w:r>
      <w:r w:rsidRPr="00BF42B7">
        <w:rPr>
          <w:rFonts w:ascii="Time New Roman" w:hAnsi="Time New Roman"/>
        </w:rPr>
        <w:t>的问题上采用法院的咨询管辖权，存在明显的困难，对具有约束力的咨询程序持批评意见的人认为，</w:t>
      </w:r>
      <w:r w:rsidRPr="00BF42B7">
        <w:rPr>
          <w:rFonts w:ascii="Time New Roman" w:hAnsi="Time New Roman" w:hint="eastAsia"/>
        </w:rPr>
        <w:t>它</w:t>
      </w:r>
      <w:r w:rsidRPr="00BF42B7">
        <w:rPr>
          <w:rFonts w:ascii="Time New Roman" w:hAnsi="Time New Roman"/>
        </w:rPr>
        <w:t>不能替代国际组织直接诉诸法院。对咨询程序适用的管辖权规则过于宽泛。</w:t>
      </w:r>
      <w:r w:rsidRPr="00BF42B7">
        <w:rPr>
          <w:rFonts w:ascii="Time New Roman" w:hAnsi="Time New Roman" w:hint="eastAsia"/>
        </w:rPr>
        <w:t>但又</w:t>
      </w:r>
      <w:r w:rsidRPr="00BF42B7">
        <w:rPr>
          <w:rFonts w:ascii="Time New Roman" w:hAnsi="Time New Roman"/>
        </w:rPr>
        <w:t>在其他方面过于</w:t>
      </w:r>
      <w:r w:rsidRPr="00BF42B7">
        <w:rPr>
          <w:rFonts w:ascii="Time New Roman" w:hAnsi="Time New Roman" w:hint="eastAsia"/>
        </w:rPr>
        <w:t>狭窄</w:t>
      </w:r>
      <w:r w:rsidRPr="00BF42B7">
        <w:rPr>
          <w:rFonts w:ascii="Time New Roman" w:hAnsi="Time New Roman"/>
        </w:rPr>
        <w:t>，</w:t>
      </w:r>
      <w:r w:rsidRPr="00BF42B7">
        <w:rPr>
          <w:rFonts w:ascii="Time New Roman" w:hAnsi="Time New Roman" w:hint="eastAsia"/>
        </w:rPr>
        <w:t>既</w:t>
      </w:r>
      <w:r w:rsidRPr="00BF42B7">
        <w:rPr>
          <w:rFonts w:ascii="Time New Roman" w:hAnsi="Time New Roman"/>
        </w:rPr>
        <w:t>破坏了</w:t>
      </w:r>
      <w:r w:rsidRPr="00BF42B7">
        <w:rPr>
          <w:rFonts w:ascii="Time New Roman" w:hAnsi="Time New Roman" w:hint="eastAsia"/>
        </w:rPr>
        <w:t>当事方之间诉讼渠道</w:t>
      </w:r>
      <w:r w:rsidRPr="00BF42B7">
        <w:rPr>
          <w:rFonts w:ascii="Time New Roman" w:hAnsi="Time New Roman"/>
        </w:rPr>
        <w:t>的平</w:t>
      </w:r>
      <w:r w:rsidRPr="00BF42B7">
        <w:rPr>
          <w:rFonts w:ascii="Time New Roman" w:hAnsi="Time New Roman" w:hint="eastAsia"/>
        </w:rPr>
        <w:t>等</w:t>
      </w:r>
      <w:r w:rsidRPr="00BF42B7">
        <w:rPr>
          <w:rFonts w:ascii="Time New Roman" w:hAnsi="Time New Roman"/>
        </w:rPr>
        <w:t>，</w:t>
      </w:r>
      <w:r w:rsidRPr="00BF42B7">
        <w:rPr>
          <w:rFonts w:ascii="Time New Roman" w:hAnsi="Time New Roman" w:hint="eastAsia"/>
        </w:rPr>
        <w:t>又</w:t>
      </w:r>
      <w:r w:rsidRPr="00BF42B7">
        <w:rPr>
          <w:rFonts w:ascii="Time New Roman" w:hAnsi="Time New Roman"/>
        </w:rPr>
        <w:t>破坏了在解决某些争端上</w:t>
      </w:r>
      <w:r w:rsidRPr="00BF42B7">
        <w:rPr>
          <w:rFonts w:ascii="Time New Roman" w:hAnsi="Time New Roman" w:hint="eastAsia"/>
        </w:rPr>
        <w:t>相对于其他方式</w:t>
      </w:r>
      <w:r w:rsidRPr="00BF42B7">
        <w:rPr>
          <w:rFonts w:ascii="Time New Roman" w:hAnsi="Time New Roman"/>
        </w:rPr>
        <w:t>的优</w:t>
      </w:r>
      <w:r w:rsidRPr="00BF42B7">
        <w:rPr>
          <w:rFonts w:ascii="Time New Roman" w:hAnsi="Time New Roman" w:hint="eastAsia"/>
        </w:rPr>
        <w:t>先</w:t>
      </w:r>
      <w:r w:rsidRPr="00BF42B7">
        <w:rPr>
          <w:rFonts w:ascii="Time New Roman" w:hAnsi="Time New Roman"/>
        </w:rPr>
        <w:t>。</w:t>
      </w:r>
    </w:p>
    <w:p w:rsidR="001A5FC1" w:rsidRPr="00BF42B7" w:rsidRDefault="001A5FC1" w:rsidP="001A5FC1">
      <w:pPr>
        <w:pStyle w:val="SingleTxtGC"/>
        <w:rPr>
          <w:rFonts w:ascii="Time New Roman" w:hAnsi="Time New Roman" w:hint="eastAsia"/>
          <w:lang w:val="en-GB"/>
        </w:rPr>
      </w:pPr>
      <w:r w:rsidRPr="00BF42B7">
        <w:rPr>
          <w:rFonts w:ascii="Time New Roman" w:hAnsi="Time New Roman" w:hint="eastAsia"/>
        </w:rPr>
        <w:t xml:space="preserve">13.  </w:t>
      </w:r>
      <w:r w:rsidRPr="00BF42B7">
        <w:rPr>
          <w:rFonts w:ascii="Time New Roman" w:hAnsi="Time New Roman" w:hint="eastAsia"/>
        </w:rPr>
        <w:t>这两个不理想的结果都是因为只有联合国和它的专门机构能够要求法院提供咨询意见。</w:t>
      </w:r>
      <w:r w:rsidRPr="00BF42B7">
        <w:rPr>
          <w:color w:val="0000FF"/>
          <w:vertAlign w:val="superscript"/>
          <w:lang w:val="en-GB"/>
        </w:rPr>
        <w:footnoteReference w:id="1503"/>
      </w:r>
      <w:r w:rsidRPr="00BF42B7">
        <w:rPr>
          <w:rFonts w:ascii="Time New Roman" w:hAnsi="Time New Roman" w:hint="eastAsia"/>
        </w:rPr>
        <w:t xml:space="preserve"> </w:t>
      </w:r>
      <w:r w:rsidRPr="00BF42B7">
        <w:rPr>
          <w:rFonts w:ascii="Time New Roman" w:hAnsi="Time New Roman" w:hint="eastAsia"/>
        </w:rPr>
        <w:t>也就是说，在一个此类机构和国家之间发生冲突的情况下，只有该机构能够提出“要求”。当然，如果条约义务要求将争端提交咨询程序，联合国和专门机构都必须那样做。然而，即使在这种情况下，当事各方之间的关系也是不对称的，因为</w:t>
      </w:r>
      <w:r w:rsidRPr="00BF42B7">
        <w:rPr>
          <w:rFonts w:ascii="Time New Roman" w:hAnsi="Time New Roman"/>
        </w:rPr>
        <w:t>“</w:t>
      </w:r>
      <w:r w:rsidRPr="00BF42B7">
        <w:rPr>
          <w:rFonts w:ascii="Time New Roman" w:hAnsi="Time New Roman" w:hint="eastAsia"/>
        </w:rPr>
        <w:t>将问题提交法院要由一个具体的组织来决定，有关的成员国</w:t>
      </w:r>
      <w:r w:rsidRPr="00BF42B7">
        <w:rPr>
          <w:rFonts w:ascii="Time New Roman" w:hAnsi="Time New Roman" w:hint="eastAsia"/>
        </w:rPr>
        <w:t>[</w:t>
      </w:r>
      <w:r w:rsidRPr="00BF42B7">
        <w:rPr>
          <w:rFonts w:ascii="Time New Roman" w:hAnsi="Time New Roman" w:hint="eastAsia"/>
        </w:rPr>
        <w:t>或其他当事方</w:t>
      </w:r>
      <w:r w:rsidRPr="00BF42B7">
        <w:rPr>
          <w:rFonts w:ascii="Time New Roman" w:hAnsi="Time New Roman" w:hint="eastAsia"/>
        </w:rPr>
        <w:t>]</w:t>
      </w:r>
      <w:r w:rsidRPr="00BF42B7">
        <w:rPr>
          <w:rFonts w:ascii="Time New Roman" w:hAnsi="Time New Roman" w:hint="eastAsia"/>
        </w:rPr>
        <w:t>都不能掌控提交程序”。</w:t>
      </w:r>
      <w:r w:rsidRPr="00BF42B7">
        <w:rPr>
          <w:color w:val="0000FF"/>
          <w:vertAlign w:val="superscript"/>
          <w:lang w:val="en-GB"/>
        </w:rPr>
        <w:footnoteReference w:id="1504"/>
      </w:r>
    </w:p>
    <w:p w:rsidR="001A5FC1" w:rsidRPr="00BF42B7" w:rsidRDefault="001A5FC1" w:rsidP="001A5FC1">
      <w:pPr>
        <w:pStyle w:val="SingleTxtGC"/>
        <w:rPr>
          <w:rFonts w:ascii="Time New Roman" w:hAnsi="Time New Roman" w:hint="eastAsia"/>
          <w:spacing w:val="-6"/>
          <w:lang w:val="en-GB"/>
        </w:rPr>
      </w:pPr>
      <w:r w:rsidRPr="00BF42B7">
        <w:rPr>
          <w:rFonts w:ascii="Time New Roman" w:hAnsi="Time New Roman" w:hint="eastAsia"/>
        </w:rPr>
        <w:t xml:space="preserve">14.  </w:t>
      </w:r>
      <w:r w:rsidRPr="00BF42B7">
        <w:rPr>
          <w:rFonts w:ascii="Time New Roman" w:hAnsi="Time New Roman"/>
        </w:rPr>
        <w:t>同样，只有联合国</w:t>
      </w:r>
      <w:r w:rsidRPr="00BF42B7">
        <w:rPr>
          <w:rFonts w:ascii="Time New Roman" w:hAnsi="Time New Roman" w:hint="eastAsia"/>
        </w:rPr>
        <w:t>和它</w:t>
      </w:r>
      <w:r w:rsidRPr="00BF42B7">
        <w:rPr>
          <w:rFonts w:ascii="Time New Roman" w:hAnsi="Time New Roman"/>
        </w:rPr>
        <w:t>授权的专门机构能够要求提供咨询意见，意味着利用咨询程序解决涉及国际组织的争端</w:t>
      </w:r>
      <w:r w:rsidRPr="00BF42B7">
        <w:rPr>
          <w:rFonts w:ascii="Time New Roman" w:hAnsi="Time New Roman" w:hint="eastAsia"/>
        </w:rPr>
        <w:t>，将</w:t>
      </w:r>
      <w:r w:rsidRPr="00BF42B7">
        <w:rPr>
          <w:rFonts w:ascii="Time New Roman" w:hAnsi="Time New Roman"/>
        </w:rPr>
        <w:t>主要局限于这类国际组织作为</w:t>
      </w:r>
      <w:r w:rsidRPr="00BF42B7">
        <w:rPr>
          <w:rFonts w:ascii="Time New Roman" w:hAnsi="Time New Roman" w:hint="eastAsia"/>
        </w:rPr>
        <w:t>当事</w:t>
      </w:r>
      <w:r w:rsidRPr="00BF42B7">
        <w:rPr>
          <w:rFonts w:ascii="Time New Roman" w:hAnsi="Time New Roman"/>
        </w:rPr>
        <w:t>方的争端。当然，其他争端的当事方也可以</w:t>
      </w:r>
      <w:r w:rsidRPr="00BF42B7">
        <w:rPr>
          <w:rFonts w:ascii="Time New Roman" w:hAnsi="Time New Roman" w:hint="eastAsia"/>
        </w:rPr>
        <w:t>请</w:t>
      </w:r>
      <w:r w:rsidRPr="00BF42B7">
        <w:rPr>
          <w:rFonts w:ascii="Time New Roman" w:hAnsi="Time New Roman"/>
        </w:rPr>
        <w:t>求大会</w:t>
      </w:r>
      <w:r w:rsidRPr="00BF42B7">
        <w:rPr>
          <w:rFonts w:ascii="Time New Roman" w:hAnsi="Time New Roman" w:hint="eastAsia"/>
        </w:rPr>
        <w:t>或</w:t>
      </w:r>
      <w:r w:rsidRPr="00BF42B7">
        <w:rPr>
          <w:rFonts w:ascii="Time New Roman" w:hAnsi="Time New Roman"/>
        </w:rPr>
        <w:t>其他某个授权机构提</w:t>
      </w:r>
      <w:r w:rsidRPr="00BF42B7">
        <w:rPr>
          <w:rFonts w:ascii="Time New Roman" w:hAnsi="Time New Roman" w:hint="eastAsia"/>
        </w:rPr>
        <w:t>出</w:t>
      </w:r>
      <w:r w:rsidRPr="00BF42B7">
        <w:rPr>
          <w:rFonts w:ascii="Time New Roman" w:hAnsi="Time New Roman"/>
        </w:rPr>
        <w:t>咨询意见，但他们无法确定将确实</w:t>
      </w:r>
      <w:r w:rsidRPr="00BF42B7">
        <w:rPr>
          <w:rFonts w:ascii="Time New Roman" w:hAnsi="Time New Roman" w:hint="eastAsia"/>
        </w:rPr>
        <w:t>寻求</w:t>
      </w:r>
      <w:r w:rsidRPr="00BF42B7">
        <w:rPr>
          <w:rFonts w:ascii="Time New Roman" w:hAnsi="Time New Roman"/>
        </w:rPr>
        <w:t>咨询意见，或者以他们所希望的方式</w:t>
      </w:r>
      <w:r w:rsidRPr="00BF42B7">
        <w:rPr>
          <w:rFonts w:ascii="Time New Roman" w:hAnsi="Time New Roman" w:hint="eastAsia"/>
        </w:rPr>
        <w:t>寻求咨询意见</w:t>
      </w:r>
      <w:r w:rsidRPr="00BF42B7">
        <w:rPr>
          <w:rFonts w:ascii="Time New Roman" w:hAnsi="Time New Roman"/>
        </w:rPr>
        <w:t>。</w:t>
      </w:r>
      <w:r w:rsidRPr="00BF42B7">
        <w:rPr>
          <w:color w:val="0000FF"/>
          <w:vertAlign w:val="superscript"/>
          <w:lang w:val="en-GB"/>
        </w:rPr>
        <w:footnoteReference w:id="1505"/>
      </w:r>
      <w:r w:rsidRPr="00BF42B7">
        <w:rPr>
          <w:rFonts w:ascii="Time New Roman" w:hAnsi="Time New Roman" w:hint="eastAsia"/>
        </w:rPr>
        <w:t xml:space="preserve"> </w:t>
      </w:r>
      <w:r w:rsidRPr="00BF42B7">
        <w:rPr>
          <w:rFonts w:ascii="Time New Roman" w:hAnsi="Time New Roman"/>
        </w:rPr>
        <w:t>正如委员会</w:t>
      </w:r>
      <w:r w:rsidRPr="00BF42B7">
        <w:rPr>
          <w:rFonts w:ascii="Time New Roman" w:hAnsi="Time New Roman" w:hint="eastAsia"/>
        </w:rPr>
        <w:t>自己</w:t>
      </w:r>
      <w:r w:rsidRPr="00BF42B7">
        <w:rPr>
          <w:rFonts w:ascii="Time New Roman" w:hAnsi="Time New Roman"/>
        </w:rPr>
        <w:t>之前</w:t>
      </w:r>
      <w:r w:rsidRPr="00BF42B7">
        <w:rPr>
          <w:rFonts w:ascii="Time New Roman" w:hAnsi="Time New Roman" w:hint="eastAsia"/>
        </w:rPr>
        <w:t>已经</w:t>
      </w:r>
      <w:r w:rsidRPr="00BF42B7">
        <w:rPr>
          <w:rFonts w:ascii="Time New Roman" w:hAnsi="Time New Roman"/>
        </w:rPr>
        <w:t>指出的，这类咨询意见将是</w:t>
      </w:r>
      <w:r w:rsidRPr="00BF42B7">
        <w:rPr>
          <w:rFonts w:ascii="Time New Roman" w:hAnsi="Time New Roman" w:hint="eastAsia"/>
        </w:rPr>
        <w:t>“</w:t>
      </w:r>
      <w:r w:rsidRPr="00BF42B7">
        <w:rPr>
          <w:rFonts w:ascii="Time New Roman" w:hAnsi="Time New Roman"/>
        </w:rPr>
        <w:t>不完美的</w:t>
      </w:r>
      <w:r w:rsidRPr="00BF42B7">
        <w:rPr>
          <w:rFonts w:ascii="Time New Roman" w:hAnsi="Time New Roman" w:hint="eastAsia"/>
        </w:rPr>
        <w:t>”、</w:t>
      </w:r>
      <w:r w:rsidRPr="00BF42B7">
        <w:rPr>
          <w:rFonts w:ascii="Time New Roman" w:hAnsi="Time New Roman" w:hint="eastAsia"/>
          <w:spacing w:val="-6"/>
        </w:rPr>
        <w:t>“</w:t>
      </w:r>
      <w:r w:rsidRPr="00BF42B7">
        <w:rPr>
          <w:rFonts w:ascii="Time New Roman" w:hAnsi="Time New Roman"/>
          <w:spacing w:val="-6"/>
        </w:rPr>
        <w:t>不确定的</w:t>
      </w:r>
      <w:r w:rsidRPr="00BF42B7">
        <w:rPr>
          <w:rFonts w:ascii="Time New Roman" w:hAnsi="Time New Roman" w:hint="eastAsia"/>
          <w:spacing w:val="-6"/>
        </w:rPr>
        <w:t>”</w:t>
      </w:r>
      <w:r w:rsidRPr="00BF42B7">
        <w:rPr>
          <w:rFonts w:ascii="Time New Roman" w:hAnsi="Time New Roman"/>
          <w:spacing w:val="-6"/>
        </w:rPr>
        <w:t>，</w:t>
      </w:r>
      <w:r w:rsidRPr="00BF42B7">
        <w:rPr>
          <w:rFonts w:ascii="Time New Roman" w:hAnsi="Time New Roman" w:hint="eastAsia"/>
          <w:spacing w:val="-6"/>
        </w:rPr>
        <w:t>“让</w:t>
      </w:r>
      <w:r w:rsidRPr="00BF42B7">
        <w:rPr>
          <w:rFonts w:ascii="Time New Roman" w:hAnsi="Time New Roman"/>
          <w:spacing w:val="-6"/>
        </w:rPr>
        <w:t>由此</w:t>
      </w:r>
      <w:r w:rsidRPr="00BF42B7">
        <w:rPr>
          <w:rFonts w:ascii="Time New Roman" w:hAnsi="Time New Roman" w:hint="eastAsia"/>
          <w:spacing w:val="-6"/>
        </w:rPr>
        <w:t>获得</w:t>
      </w:r>
      <w:r w:rsidRPr="00BF42B7">
        <w:rPr>
          <w:rFonts w:ascii="Time New Roman" w:hAnsi="Time New Roman"/>
          <w:spacing w:val="-6"/>
        </w:rPr>
        <w:t>的咨询意见具有约束</w:t>
      </w:r>
      <w:r w:rsidRPr="00BF42B7">
        <w:rPr>
          <w:rFonts w:ascii="Time New Roman" w:hAnsi="Time New Roman" w:hint="eastAsia"/>
          <w:spacing w:val="-6"/>
        </w:rPr>
        <w:t>力，也将充满不确定因素”。</w:t>
      </w:r>
      <w:r w:rsidRPr="00BF42B7">
        <w:rPr>
          <w:color w:val="0000FF"/>
          <w:spacing w:val="-6"/>
          <w:vertAlign w:val="superscript"/>
          <w:lang w:val="en-GB"/>
        </w:rPr>
        <w:footnoteReference w:id="1506"/>
      </w:r>
    </w:p>
    <w:p w:rsidR="001A5FC1" w:rsidRPr="00BF42B7" w:rsidRDefault="001A5FC1" w:rsidP="00E83B81">
      <w:pPr>
        <w:pStyle w:val="SingleTxtGC"/>
        <w:rPr>
          <w:rFonts w:ascii="Time New Roman" w:hAnsi="Time New Roman" w:hint="eastAsia"/>
          <w:lang w:val="en-GB"/>
        </w:rPr>
      </w:pPr>
      <w:r w:rsidRPr="00BF42B7">
        <w:rPr>
          <w:rFonts w:ascii="Time New Roman" w:hAnsi="Time New Roman" w:hint="eastAsia"/>
        </w:rPr>
        <w:t xml:space="preserve">15.  </w:t>
      </w:r>
      <w:r w:rsidRPr="00BF42B7">
        <w:rPr>
          <w:rFonts w:ascii="Time New Roman" w:hAnsi="Time New Roman" w:hint="eastAsia"/>
        </w:rPr>
        <w:t>考虑到国际法院对解决有国际组织作为当事方的冲突能力有限</w:t>
      </w:r>
      <w:r w:rsidRPr="00BF42B7">
        <w:rPr>
          <w:rFonts w:ascii="Time New Roman" w:hAnsi="Time New Roman" w:hint="eastAsia"/>
          <w:lang w:val="en-GB"/>
        </w:rPr>
        <w:t>，</w:t>
      </w:r>
      <w:r w:rsidRPr="00BF42B7">
        <w:rPr>
          <w:color w:val="0000FF"/>
          <w:vertAlign w:val="superscript"/>
          <w:lang w:val="en-GB"/>
        </w:rPr>
        <w:footnoteReference w:id="1507"/>
      </w:r>
      <w:r w:rsidRPr="00BF42B7">
        <w:rPr>
          <w:rFonts w:ascii="Time New Roman" w:hAnsi="Time New Roman" w:hint="eastAsia"/>
          <w:lang w:val="en-GB"/>
        </w:rPr>
        <w:t xml:space="preserve"> </w:t>
      </w:r>
      <w:r w:rsidRPr="00BF42B7">
        <w:rPr>
          <w:rFonts w:ascii="Time New Roman" w:hAnsi="Time New Roman" w:hint="eastAsia"/>
        </w:rPr>
        <w:t>在过去的几年里，曾经提出过很多修改规约的建议。</w:t>
      </w:r>
      <w:r w:rsidRPr="00BF42B7">
        <w:rPr>
          <w:rFonts w:ascii="Time New Roman" w:hAnsi="Time New Roman"/>
        </w:rPr>
        <w:t>1970</w:t>
      </w:r>
      <w:r w:rsidRPr="00BF42B7">
        <w:rPr>
          <w:rFonts w:ascii="Time New Roman" w:hAnsi="Time New Roman" w:hint="eastAsia"/>
        </w:rPr>
        <w:t>年，大会举行了“审议国际法院作用”的讨论，之后进行过一项调查，包括一个问题</w:t>
      </w:r>
      <w:r w:rsidR="00E83B81" w:rsidRPr="00E83B81">
        <w:rPr>
          <w:rFonts w:ascii="Time New Roman" w:hAnsi="Time New Roman" w:hint="eastAsia"/>
          <w:spacing w:val="-50"/>
        </w:rPr>
        <w:t>―</w:t>
      </w:r>
      <w:r w:rsidR="00E83B81" w:rsidRPr="00E83B81">
        <w:rPr>
          <w:rFonts w:ascii="Time New Roman" w:hAnsi="Time New Roman" w:hint="eastAsia"/>
        </w:rPr>
        <w:t>―</w:t>
      </w:r>
      <w:r w:rsidRPr="00BF42B7">
        <w:rPr>
          <w:rFonts w:ascii="Time New Roman" w:hAnsi="Time New Roman" w:hint="eastAsia"/>
        </w:rPr>
        <w:t>“允许国际组织作为法院当事方的可能性”。在对调查作出的</w:t>
      </w:r>
      <w:r w:rsidRPr="00BF42B7">
        <w:rPr>
          <w:rFonts w:ascii="Time New Roman" w:hAnsi="Time New Roman"/>
        </w:rPr>
        <w:t>31</w:t>
      </w:r>
      <w:r w:rsidRPr="00BF42B7">
        <w:rPr>
          <w:rFonts w:ascii="Time New Roman" w:hAnsi="Time New Roman" w:hint="eastAsia"/>
        </w:rPr>
        <w:t>份答复中</w:t>
      </w:r>
      <w:r w:rsidRPr="00BF42B7">
        <w:rPr>
          <w:rFonts w:ascii="Time New Roman" w:hAnsi="Time New Roman" w:hint="eastAsia"/>
        </w:rPr>
        <w:t>(</w:t>
      </w:r>
      <w:r w:rsidRPr="00BF42B7">
        <w:rPr>
          <w:rFonts w:ascii="Time New Roman" w:hAnsi="Time New Roman" w:hint="eastAsia"/>
        </w:rPr>
        <w:t>当时法院规约有</w:t>
      </w:r>
      <w:r w:rsidRPr="00BF42B7">
        <w:rPr>
          <w:rFonts w:ascii="Time New Roman" w:hAnsi="Time New Roman" w:hint="eastAsia"/>
        </w:rPr>
        <w:t>1</w:t>
      </w:r>
      <w:r w:rsidRPr="00BF42B7">
        <w:rPr>
          <w:rFonts w:ascii="Time New Roman" w:hAnsi="Time New Roman"/>
        </w:rPr>
        <w:t>3</w:t>
      </w:r>
      <w:r w:rsidRPr="00BF42B7">
        <w:rPr>
          <w:rFonts w:ascii="Time New Roman" w:hAnsi="Time New Roman" w:hint="eastAsia"/>
        </w:rPr>
        <w:t>0</w:t>
      </w:r>
      <w:r w:rsidRPr="00BF42B7">
        <w:rPr>
          <w:rFonts w:ascii="Time New Roman" w:hAnsi="Time New Roman" w:hint="eastAsia"/>
        </w:rPr>
        <w:t>个缔约国</w:t>
      </w:r>
      <w:r w:rsidRPr="00BF42B7">
        <w:rPr>
          <w:rFonts w:ascii="Time New Roman" w:hAnsi="Time New Roman" w:hint="eastAsia"/>
        </w:rPr>
        <w:t>)</w:t>
      </w:r>
      <w:r w:rsidRPr="00BF42B7">
        <w:rPr>
          <w:rFonts w:ascii="Time New Roman" w:hAnsi="Time New Roman" w:hint="eastAsia"/>
        </w:rPr>
        <w:t>，</w:t>
      </w:r>
      <w:r w:rsidRPr="00BF42B7">
        <w:rPr>
          <w:rFonts w:ascii="Time New Roman" w:hAnsi="Time New Roman"/>
        </w:rPr>
        <w:t>15</w:t>
      </w:r>
      <w:r w:rsidRPr="00BF42B7">
        <w:rPr>
          <w:rFonts w:ascii="Time New Roman" w:hAnsi="Time New Roman" w:hint="eastAsia"/>
        </w:rPr>
        <w:t>个成员国作了肯定答复</w:t>
      </w:r>
      <w:r w:rsidRPr="00BF42B7">
        <w:rPr>
          <w:rFonts w:ascii="Time New Roman" w:hAnsi="Time New Roman" w:hint="eastAsia"/>
        </w:rPr>
        <w:t>(</w:t>
      </w:r>
      <w:r w:rsidRPr="00BF42B7">
        <w:rPr>
          <w:rFonts w:ascii="Time New Roman" w:hAnsi="Time New Roman" w:hint="eastAsia"/>
        </w:rPr>
        <w:t>阿根廷、奥地利、加拿大、塞浦路斯、丹麦、芬兰、危地马拉、伊拉克、马达加斯加、墨西哥、新西兰、瑞典、瑞士、联合王国和美国</w:t>
      </w:r>
      <w:r w:rsidRPr="00BF42B7">
        <w:rPr>
          <w:rFonts w:ascii="Time New Roman" w:hAnsi="Time New Roman" w:hint="eastAsia"/>
        </w:rPr>
        <w:t>)</w:t>
      </w:r>
      <w:r w:rsidRPr="00BF42B7">
        <w:rPr>
          <w:rFonts w:ascii="Time New Roman" w:hAnsi="Time New Roman" w:hint="eastAsia"/>
        </w:rPr>
        <w:t>，一个否定答复</w:t>
      </w:r>
      <w:r w:rsidRPr="00BF42B7">
        <w:rPr>
          <w:rFonts w:ascii="Time New Roman" w:hAnsi="Time New Roman" w:hint="eastAsia"/>
        </w:rPr>
        <w:t>(</w:t>
      </w:r>
      <w:r w:rsidRPr="00BF42B7">
        <w:rPr>
          <w:rFonts w:ascii="Time New Roman" w:hAnsi="Time New Roman" w:hint="eastAsia"/>
        </w:rPr>
        <w:t>法国</w:t>
      </w:r>
      <w:r w:rsidRPr="00BF42B7">
        <w:rPr>
          <w:rFonts w:ascii="Time New Roman" w:hAnsi="Time New Roman" w:hint="eastAsia"/>
        </w:rPr>
        <w:t>)</w:t>
      </w:r>
      <w:r w:rsidRPr="00BF42B7">
        <w:rPr>
          <w:rFonts w:ascii="Time New Roman" w:hAnsi="Time New Roman" w:hint="eastAsia"/>
          <w:lang w:val="en-GB"/>
        </w:rPr>
        <w:t>。</w:t>
      </w:r>
      <w:r w:rsidRPr="00BF42B7">
        <w:rPr>
          <w:color w:val="0000FF"/>
          <w:vertAlign w:val="superscript"/>
          <w:lang w:val="en-GB"/>
        </w:rPr>
        <w:footnoteReference w:id="1508"/>
      </w:r>
      <w:r w:rsidRPr="00BF42B7">
        <w:rPr>
          <w:rFonts w:ascii="Time New Roman" w:hAnsi="Time New Roman" w:hint="eastAsia"/>
          <w:lang w:val="en-GB"/>
        </w:rPr>
        <w:t xml:space="preserve"> </w:t>
      </w:r>
      <w:r w:rsidRPr="00BF42B7">
        <w:rPr>
          <w:rFonts w:ascii="Time New Roman" w:hAnsi="Time New Roman"/>
        </w:rPr>
        <w:t>1997-1999</w:t>
      </w:r>
      <w:r w:rsidRPr="00BF42B7">
        <w:rPr>
          <w:rFonts w:ascii="Time New Roman" w:hAnsi="Time New Roman" w:hint="eastAsia"/>
        </w:rPr>
        <w:t>年，大会关于联合国宪章和加强国际组织作用的特别委员会审议了危地马拉</w:t>
      </w:r>
      <w:r w:rsidRPr="00BF42B7">
        <w:rPr>
          <w:color w:val="0000FF"/>
          <w:vertAlign w:val="superscript"/>
          <w:lang w:val="en-GB"/>
        </w:rPr>
        <w:footnoteReference w:id="1509"/>
      </w:r>
      <w:r w:rsidRPr="00BF42B7">
        <w:rPr>
          <w:rFonts w:ascii="Time New Roman" w:hAnsi="Time New Roman" w:hint="eastAsia"/>
          <w:lang w:val="en-GB"/>
        </w:rPr>
        <w:t xml:space="preserve"> </w:t>
      </w:r>
      <w:r w:rsidRPr="00BF42B7">
        <w:rPr>
          <w:rFonts w:ascii="Time New Roman" w:hAnsi="Time New Roman" w:hint="eastAsia"/>
        </w:rPr>
        <w:t>和哥斯达黎加的提案</w:t>
      </w:r>
      <w:r w:rsidRPr="00BF42B7">
        <w:rPr>
          <w:color w:val="0000FF"/>
          <w:vertAlign w:val="superscript"/>
          <w:lang w:val="en-GB"/>
        </w:rPr>
        <w:footnoteReference w:id="1510"/>
      </w:r>
      <w:r w:rsidRPr="00BF42B7">
        <w:rPr>
          <w:rFonts w:ascii="Time New Roman" w:hAnsi="Time New Roman" w:hint="eastAsia"/>
          <w:lang w:val="en-GB"/>
        </w:rPr>
        <w:t xml:space="preserve"> </w:t>
      </w:r>
      <w:r w:rsidRPr="00BF42B7">
        <w:rPr>
          <w:rFonts w:ascii="Time New Roman" w:hAnsi="Time New Roman" w:hint="eastAsia"/>
          <w:spacing w:val="-50"/>
        </w:rPr>
        <w:t>―</w:t>
      </w:r>
      <w:r w:rsidRPr="00BF42B7">
        <w:rPr>
          <w:rFonts w:ascii="Time New Roman" w:hAnsi="Time New Roman" w:hint="eastAsia"/>
        </w:rPr>
        <w:t>―</w:t>
      </w:r>
      <w:r w:rsidRPr="00BF42B7">
        <w:rPr>
          <w:rFonts w:ascii="Time New Roman" w:hAnsi="Time New Roman" w:hint="eastAsia"/>
          <w:lang w:val="en-GB"/>
        </w:rPr>
        <w:t>允</w:t>
      </w:r>
      <w:r w:rsidRPr="00BF42B7">
        <w:rPr>
          <w:rFonts w:ascii="Time New Roman" w:hAnsi="Time New Roman" w:hint="eastAsia"/>
        </w:rPr>
        <w:t>许国际组织诉诸国际法院。危地马拉在</w:t>
      </w:r>
      <w:r w:rsidRPr="00BF42B7">
        <w:rPr>
          <w:rFonts w:ascii="Time New Roman" w:hAnsi="Time New Roman"/>
        </w:rPr>
        <w:t>1999</w:t>
      </w:r>
      <w:r w:rsidRPr="00BF42B7">
        <w:rPr>
          <w:rFonts w:ascii="Time New Roman" w:hAnsi="Time New Roman" w:hint="eastAsia"/>
        </w:rPr>
        <w:t>年收回了提案，因为“在可预见的将来，提案获得通过的可能性十分渺茫”。</w:t>
      </w:r>
      <w:r w:rsidRPr="00BF42B7">
        <w:rPr>
          <w:color w:val="0000FF"/>
          <w:vertAlign w:val="superscript"/>
          <w:lang w:val="en-GB"/>
        </w:rPr>
        <w:footnoteReference w:id="1511"/>
      </w:r>
    </w:p>
    <w:p w:rsidR="001A5FC1" w:rsidRPr="00BF42B7" w:rsidRDefault="001A5FC1" w:rsidP="001A5FC1">
      <w:pPr>
        <w:pStyle w:val="SingleTxtGC"/>
        <w:rPr>
          <w:rFonts w:ascii="Time New Roman" w:hAnsi="Time New Roman" w:hint="eastAsia"/>
          <w:lang w:val="en-GB"/>
        </w:rPr>
      </w:pPr>
      <w:r w:rsidRPr="00BF42B7">
        <w:rPr>
          <w:rFonts w:ascii="Time New Roman" w:hAnsi="Time New Roman" w:hint="eastAsia"/>
          <w:lang w:val="en-GB"/>
        </w:rPr>
        <w:t xml:space="preserve">16.  </w:t>
      </w:r>
      <w:r w:rsidRPr="00BF42B7">
        <w:rPr>
          <w:rFonts w:ascii="Time New Roman" w:hAnsi="Time New Roman" w:hint="eastAsia"/>
        </w:rPr>
        <w:t>各种提案回避了修订《规约》所带来的政治难题，而侧重对《规约》作任何修订给予国际组织请求国际法院咨询意见资格，在属人理由和属物理由范围方面的问题</w:t>
      </w:r>
      <w:r w:rsidRPr="00BF42B7">
        <w:rPr>
          <w:rFonts w:ascii="Time New Roman" w:hAnsi="Time New Roman" w:hint="eastAsia"/>
          <w:lang w:val="en-GB"/>
        </w:rPr>
        <w:t>。</w:t>
      </w:r>
    </w:p>
    <w:p w:rsidR="001A5FC1" w:rsidRPr="00BF42B7" w:rsidRDefault="001A5FC1" w:rsidP="001A5FC1">
      <w:pPr>
        <w:pStyle w:val="SingleTxtGC"/>
        <w:rPr>
          <w:rFonts w:ascii="Time New Roman" w:hAnsi="Time New Roman" w:hint="eastAsia"/>
        </w:rPr>
      </w:pPr>
      <w:r w:rsidRPr="00BF42B7">
        <w:rPr>
          <w:rFonts w:ascii="Time New Roman" w:hAnsi="Time New Roman" w:hint="eastAsia"/>
        </w:rPr>
        <w:t xml:space="preserve">17.  </w:t>
      </w:r>
      <w:r w:rsidRPr="00BF42B7">
        <w:rPr>
          <w:rFonts w:ascii="Time New Roman" w:hAnsi="Time New Roman"/>
        </w:rPr>
        <w:t>与国际法院不同的是，在一些具体条约下运作的其他常设法院和法庭对相关的条约而言，对国际组织开放。例如，根据</w:t>
      </w:r>
      <w:r w:rsidRPr="00BF42B7">
        <w:rPr>
          <w:rFonts w:ascii="Time New Roman" w:hAnsi="Time New Roman"/>
        </w:rPr>
        <w:t>1982</w:t>
      </w:r>
      <w:r w:rsidRPr="00BF42B7">
        <w:rPr>
          <w:rFonts w:ascii="Time New Roman" w:hAnsi="Time New Roman"/>
        </w:rPr>
        <w:t>年</w:t>
      </w:r>
      <w:r w:rsidRPr="00BF42B7">
        <w:rPr>
          <w:rFonts w:ascii="Time New Roman" w:hAnsi="Time New Roman" w:hint="eastAsia"/>
        </w:rPr>
        <w:t>《</w:t>
      </w:r>
      <w:r w:rsidRPr="00BF42B7">
        <w:rPr>
          <w:rFonts w:ascii="Time New Roman" w:hAnsi="Time New Roman"/>
        </w:rPr>
        <w:t>联合国海洋法公约</w:t>
      </w:r>
      <w:r w:rsidRPr="00BF42B7">
        <w:rPr>
          <w:rFonts w:ascii="Time New Roman" w:hAnsi="Time New Roman" w:hint="eastAsia"/>
        </w:rPr>
        <w:t>》</w:t>
      </w:r>
      <w:r w:rsidRPr="00BF42B7">
        <w:rPr>
          <w:rFonts w:ascii="Time New Roman" w:hAnsi="Time New Roman"/>
        </w:rPr>
        <w:t>设立的海洋法国际法庭便是这种情况</w:t>
      </w:r>
      <w:r w:rsidRPr="00BF42B7">
        <w:rPr>
          <w:rFonts w:ascii="Time New Roman" w:hAnsi="Time New Roman" w:hint="eastAsia"/>
        </w:rPr>
        <w:t>，</w:t>
      </w:r>
      <w:r w:rsidRPr="00BF42B7">
        <w:rPr>
          <w:color w:val="0000FF"/>
          <w:vertAlign w:val="superscript"/>
          <w:lang w:val="en-GB"/>
        </w:rPr>
        <w:footnoteReference w:id="1512"/>
      </w:r>
      <w:r w:rsidRPr="00BF42B7">
        <w:rPr>
          <w:rFonts w:ascii="Time New Roman" w:hAnsi="Time New Roman" w:hint="eastAsia"/>
        </w:rPr>
        <w:t xml:space="preserve"> </w:t>
      </w:r>
      <w:r w:rsidRPr="00BF42B7">
        <w:rPr>
          <w:rFonts w:ascii="Time New Roman" w:hAnsi="Time New Roman"/>
        </w:rPr>
        <w:t>世界贸易组织的上</w:t>
      </w:r>
      <w:r w:rsidRPr="00BF42B7">
        <w:rPr>
          <w:rFonts w:ascii="Time New Roman" w:hAnsi="Time New Roman" w:hint="eastAsia"/>
        </w:rPr>
        <w:t>诉</w:t>
      </w:r>
      <w:r w:rsidRPr="00BF42B7">
        <w:rPr>
          <w:rFonts w:ascii="Time New Roman" w:hAnsi="Time New Roman"/>
        </w:rPr>
        <w:t>机构也是如此。</w:t>
      </w:r>
    </w:p>
    <w:p w:rsidR="001A5FC1" w:rsidRPr="00BF42B7" w:rsidRDefault="001A5FC1" w:rsidP="001A5FC1">
      <w:pPr>
        <w:pStyle w:val="H4GC"/>
        <w:rPr>
          <w:lang w:val="en-GB"/>
        </w:rPr>
      </w:pPr>
      <w:r w:rsidRPr="00BF42B7">
        <w:rPr>
          <w:rFonts w:hint="eastAsia"/>
        </w:rPr>
        <w:tab/>
        <w:t>(b)</w:t>
      </w:r>
      <w:r w:rsidRPr="00BF42B7">
        <w:rPr>
          <w:rFonts w:hint="eastAsia"/>
        </w:rPr>
        <w:tab/>
      </w:r>
      <w:r w:rsidRPr="00BF42B7">
        <w:t>国际仲裁</w:t>
      </w:r>
    </w:p>
    <w:p w:rsidR="001A5FC1" w:rsidRPr="00BF42B7" w:rsidRDefault="001A5FC1" w:rsidP="001A5FC1">
      <w:pPr>
        <w:pStyle w:val="SingleTxtGC"/>
        <w:rPr>
          <w:rFonts w:ascii="Time New Roman" w:hAnsi="Time New Roman" w:hint="eastAsia"/>
          <w:lang w:val="en-GB"/>
        </w:rPr>
      </w:pPr>
      <w:r w:rsidRPr="00BF42B7">
        <w:rPr>
          <w:rFonts w:ascii="Time New Roman" w:hAnsi="Time New Roman" w:hint="eastAsia"/>
          <w:lang w:val="en-GB"/>
        </w:rPr>
        <w:t xml:space="preserve">18.  </w:t>
      </w:r>
      <w:r w:rsidRPr="00BF42B7">
        <w:rPr>
          <w:rFonts w:ascii="Time New Roman" w:hAnsi="Time New Roman"/>
          <w:lang w:val="en-GB"/>
        </w:rPr>
        <w:t>仲裁</w:t>
      </w:r>
      <w:r w:rsidRPr="00BF42B7">
        <w:rPr>
          <w:rFonts w:ascii="Time New Roman" w:hAnsi="Time New Roman" w:hint="eastAsia"/>
          <w:lang w:val="en-GB"/>
        </w:rPr>
        <w:t>是</w:t>
      </w:r>
      <w:r w:rsidRPr="00BF42B7">
        <w:rPr>
          <w:rFonts w:ascii="Time New Roman" w:hAnsi="Time New Roman"/>
          <w:lang w:val="en-GB"/>
        </w:rPr>
        <w:t>解决国际组织作为</w:t>
      </w:r>
      <w:r w:rsidRPr="00BF42B7">
        <w:rPr>
          <w:rFonts w:ascii="Time New Roman" w:hAnsi="Time New Roman" w:hint="eastAsia"/>
          <w:lang w:val="en-GB"/>
        </w:rPr>
        <w:t>当事</w:t>
      </w:r>
      <w:r w:rsidRPr="00BF42B7">
        <w:rPr>
          <w:rFonts w:ascii="Time New Roman" w:hAnsi="Time New Roman"/>
          <w:lang w:val="en-GB"/>
        </w:rPr>
        <w:t>方的国际冲突的一个有</w:t>
      </w:r>
      <w:r w:rsidRPr="00BF42B7">
        <w:rPr>
          <w:rFonts w:ascii="Time New Roman" w:hAnsi="Time New Roman" w:hint="eastAsia"/>
          <w:lang w:val="en-GB"/>
        </w:rPr>
        <w:t>用的手段</w:t>
      </w:r>
      <w:r w:rsidRPr="00BF42B7">
        <w:rPr>
          <w:rFonts w:ascii="Time New Roman" w:hAnsi="Time New Roman"/>
          <w:lang w:val="en-GB"/>
        </w:rPr>
        <w:t>。它不仅可以避免在国际法院资格问题上的困难，而且还</w:t>
      </w:r>
      <w:r w:rsidRPr="00BF42B7">
        <w:rPr>
          <w:rFonts w:ascii="Time New Roman" w:hAnsi="Time New Roman" w:hint="eastAsia"/>
          <w:lang w:val="en-GB"/>
        </w:rPr>
        <w:t>为</w:t>
      </w:r>
      <w:r w:rsidRPr="00BF42B7">
        <w:rPr>
          <w:rFonts w:ascii="Time New Roman" w:hAnsi="Time New Roman"/>
          <w:lang w:val="en-GB"/>
        </w:rPr>
        <w:t>当事方提供了一套灵活的制度，如有必要，能够保守秘密。</w:t>
      </w:r>
    </w:p>
    <w:p w:rsidR="001A5FC1" w:rsidRPr="00BF42B7" w:rsidRDefault="001A5FC1" w:rsidP="001A5FC1">
      <w:pPr>
        <w:pStyle w:val="SingleTxtGC"/>
        <w:rPr>
          <w:rFonts w:ascii="Time New Roman" w:hAnsi="Time New Roman" w:hint="eastAsia"/>
          <w:lang w:val="en-GB"/>
        </w:rPr>
      </w:pPr>
      <w:r w:rsidRPr="00BF42B7">
        <w:rPr>
          <w:rFonts w:ascii="Time New Roman" w:hAnsi="Time New Roman" w:hint="eastAsia"/>
          <w:lang w:val="en-GB"/>
        </w:rPr>
        <w:t xml:space="preserve">19.  </w:t>
      </w:r>
      <w:r w:rsidRPr="00BF42B7">
        <w:rPr>
          <w:rFonts w:ascii="Time New Roman" w:hAnsi="Time New Roman"/>
          <w:lang w:val="en-GB"/>
        </w:rPr>
        <w:t>以往</w:t>
      </w:r>
      <w:r w:rsidRPr="00BF42B7">
        <w:rPr>
          <w:rFonts w:ascii="Time New Roman" w:hAnsi="Time New Roman" w:hint="eastAsia"/>
          <w:lang w:val="en-GB"/>
        </w:rPr>
        <w:t>也曾</w:t>
      </w:r>
      <w:r w:rsidRPr="00BF42B7">
        <w:rPr>
          <w:rFonts w:ascii="Time New Roman" w:hAnsi="Time New Roman"/>
          <w:lang w:val="en-GB"/>
        </w:rPr>
        <w:t>鼓励利用仲裁解决涉及国际组织的冲突，</w:t>
      </w:r>
      <w:r w:rsidRPr="00BF42B7">
        <w:rPr>
          <w:rFonts w:ascii="Time New Roman" w:hAnsi="Time New Roman" w:hint="eastAsia"/>
          <w:lang w:val="en-GB"/>
        </w:rPr>
        <w:t>这种努力</w:t>
      </w:r>
      <w:r w:rsidRPr="00BF42B7">
        <w:rPr>
          <w:rFonts w:ascii="Time New Roman" w:hAnsi="Time New Roman"/>
          <w:lang w:val="en-GB"/>
        </w:rPr>
        <w:t>可以追溯到</w:t>
      </w:r>
      <w:r w:rsidRPr="00BF42B7">
        <w:rPr>
          <w:rFonts w:ascii="Time New Roman" w:hAnsi="Time New Roman"/>
          <w:lang w:val="en-GB"/>
        </w:rPr>
        <w:t>1964</w:t>
      </w:r>
      <w:r w:rsidRPr="00BF42B7">
        <w:rPr>
          <w:rFonts w:ascii="Time New Roman" w:hAnsi="Time New Roman" w:hint="eastAsia"/>
          <w:lang w:val="en-GB"/>
        </w:rPr>
        <w:t>年</w:t>
      </w:r>
      <w:r w:rsidRPr="00BF42B7">
        <w:rPr>
          <w:rFonts w:ascii="Time New Roman" w:hAnsi="Time New Roman"/>
          <w:lang w:val="en-GB"/>
        </w:rPr>
        <w:t>国际法协会关于国际仲裁的决议，该决议：</w:t>
      </w:r>
    </w:p>
    <w:p w:rsidR="001A5FC1" w:rsidRPr="00BF42B7" w:rsidRDefault="001A5FC1" w:rsidP="001A5FC1">
      <w:pPr>
        <w:pStyle w:val="SingleTxtGC"/>
        <w:ind w:left="1565"/>
        <w:rPr>
          <w:lang w:val="en-GB"/>
        </w:rPr>
      </w:pPr>
      <w:r w:rsidRPr="00BF42B7">
        <w:rPr>
          <w:rFonts w:hint="eastAsia"/>
          <w:lang w:val="en-GB"/>
        </w:rPr>
        <w:t>“</w:t>
      </w:r>
      <w:r w:rsidRPr="00BF42B7">
        <w:rPr>
          <w:lang w:val="en-GB"/>
        </w:rPr>
        <w:t>提请所有国家注意利用国际仲裁庭解决各种国际性冲突，包括</w:t>
      </w:r>
      <w:r w:rsidRPr="00BF42B7">
        <w:rPr>
          <w:lang w:val="en-GB"/>
        </w:rPr>
        <w:t>(a)</w:t>
      </w:r>
      <w:r w:rsidRPr="00BF42B7">
        <w:rPr>
          <w:rFonts w:hint="eastAsia"/>
          <w:lang w:val="en-GB"/>
        </w:rPr>
        <w:t xml:space="preserve"> </w:t>
      </w:r>
      <w:r w:rsidRPr="00BF42B7">
        <w:rPr>
          <w:lang w:val="en-GB"/>
        </w:rPr>
        <w:t>不能提交国际法院的国际冲突，</w:t>
      </w:r>
      <w:r w:rsidRPr="00BF42B7">
        <w:rPr>
          <w:rFonts w:hint="eastAsia"/>
        </w:rPr>
        <w:t>……</w:t>
      </w:r>
      <w:r w:rsidRPr="00BF42B7">
        <w:rPr>
          <w:lang w:val="en-GB"/>
        </w:rPr>
        <w:t>(c)</w:t>
      </w:r>
      <w:r w:rsidRPr="00BF42B7">
        <w:rPr>
          <w:rFonts w:hint="eastAsia"/>
          <w:lang w:val="en-GB"/>
        </w:rPr>
        <w:t xml:space="preserve"> </w:t>
      </w:r>
      <w:r w:rsidRPr="00BF42B7">
        <w:rPr>
          <w:lang w:val="en-GB"/>
        </w:rPr>
        <w:t>国家与国际组织之间的冲突。</w:t>
      </w:r>
      <w:r w:rsidRPr="00BF42B7">
        <w:rPr>
          <w:rFonts w:hint="eastAsia"/>
          <w:lang w:val="en-GB"/>
        </w:rPr>
        <w:t>”</w:t>
      </w:r>
      <w:r w:rsidRPr="00BF42B7">
        <w:rPr>
          <w:color w:val="0000FF"/>
          <w:vertAlign w:val="superscript"/>
          <w:lang w:val="en-GB"/>
        </w:rPr>
        <w:footnoteReference w:id="1513"/>
      </w:r>
    </w:p>
    <w:p w:rsidR="001A5FC1" w:rsidRPr="00BF42B7" w:rsidRDefault="001A5FC1" w:rsidP="001A5FC1">
      <w:pPr>
        <w:pStyle w:val="SingleTxtGC"/>
        <w:rPr>
          <w:rFonts w:ascii="Time New Roman" w:hAnsi="Time New Roman" w:hint="eastAsia"/>
          <w:lang w:val="en-GB"/>
        </w:rPr>
      </w:pPr>
      <w:r w:rsidRPr="00BF42B7">
        <w:rPr>
          <w:rFonts w:ascii="Time New Roman" w:hAnsi="Time New Roman" w:hint="eastAsia"/>
        </w:rPr>
        <w:t xml:space="preserve">20.  </w:t>
      </w:r>
      <w:r w:rsidRPr="00BF42B7">
        <w:rPr>
          <w:rFonts w:ascii="Time New Roman" w:hAnsi="Time New Roman"/>
        </w:rPr>
        <w:t>同样，第六委员会关于联合国国际法十年的工作组在</w:t>
      </w:r>
      <w:r w:rsidRPr="00BF42B7">
        <w:rPr>
          <w:rFonts w:ascii="Time New Roman" w:hAnsi="Time New Roman"/>
        </w:rPr>
        <w:t>1992</w:t>
      </w:r>
      <w:r w:rsidRPr="00BF42B7">
        <w:rPr>
          <w:rFonts w:ascii="Time New Roman" w:hAnsi="Time New Roman"/>
        </w:rPr>
        <w:t>年也提出</w:t>
      </w:r>
      <w:r w:rsidRPr="00BF42B7">
        <w:rPr>
          <w:rFonts w:ascii="Time New Roman" w:hAnsi="Time New Roman" w:hint="eastAsia"/>
        </w:rPr>
        <w:t>一项建议</w:t>
      </w:r>
      <w:r w:rsidRPr="00BF42B7">
        <w:rPr>
          <w:rFonts w:ascii="Time New Roman" w:hAnsi="Time New Roman"/>
        </w:rPr>
        <w:t>，</w:t>
      </w:r>
      <w:r w:rsidRPr="00BF42B7">
        <w:rPr>
          <w:rFonts w:ascii="Time New Roman" w:hAnsi="Time New Roman" w:hint="eastAsia"/>
        </w:rPr>
        <w:t>“</w:t>
      </w:r>
      <w:r w:rsidRPr="00BF42B7">
        <w:rPr>
          <w:rFonts w:ascii="Time New Roman" w:hAnsi="Time New Roman"/>
        </w:rPr>
        <w:t>敦促更广泛的利用常设法院和法庭解决国家间的冲突和国家与国际组织之间的冲突。</w:t>
      </w:r>
      <w:r w:rsidRPr="00BF42B7">
        <w:rPr>
          <w:rFonts w:ascii="Time New Roman" w:hAnsi="Time New Roman" w:hint="eastAsia"/>
        </w:rPr>
        <w:t>”</w:t>
      </w:r>
      <w:r w:rsidRPr="00BF42B7">
        <w:rPr>
          <w:color w:val="0000FF"/>
          <w:vertAlign w:val="superscript"/>
          <w:lang w:val="en-GB"/>
        </w:rPr>
        <w:footnoteReference w:id="1514"/>
      </w:r>
      <w:r w:rsidRPr="00BF42B7">
        <w:rPr>
          <w:rFonts w:ascii="Time New Roman" w:hAnsi="Time New Roman" w:hint="eastAsia"/>
          <w:lang w:val="en-GB"/>
        </w:rPr>
        <w:t xml:space="preserve"> </w:t>
      </w:r>
      <w:r w:rsidRPr="00BF42B7">
        <w:rPr>
          <w:rFonts w:ascii="Time New Roman" w:hAnsi="Time New Roman"/>
        </w:rPr>
        <w:t>这里的主要问题是，国际组织在多大程度上</w:t>
      </w:r>
      <w:r w:rsidRPr="00BF42B7">
        <w:rPr>
          <w:rFonts w:ascii="Time New Roman" w:hAnsi="Time New Roman" w:hint="eastAsia"/>
        </w:rPr>
        <w:t>必须或实际上能够</w:t>
      </w:r>
      <w:r w:rsidRPr="00BF42B7">
        <w:rPr>
          <w:rFonts w:ascii="Time New Roman" w:hAnsi="Time New Roman"/>
        </w:rPr>
        <w:t>将它们与国家</w:t>
      </w:r>
      <w:r w:rsidRPr="00BF42B7">
        <w:rPr>
          <w:rFonts w:ascii="Time New Roman" w:hAnsi="Time New Roman" w:hint="eastAsia"/>
        </w:rPr>
        <w:t>或与其他国际组织之间的</w:t>
      </w:r>
      <w:r w:rsidRPr="00BF42B7">
        <w:rPr>
          <w:rFonts w:ascii="Time New Roman" w:hAnsi="Time New Roman"/>
        </w:rPr>
        <w:t>国际</w:t>
      </w:r>
      <w:r w:rsidRPr="00BF42B7">
        <w:rPr>
          <w:rFonts w:ascii="Time New Roman" w:hAnsi="Time New Roman" w:hint="eastAsia"/>
        </w:rPr>
        <w:t>性</w:t>
      </w:r>
      <w:r w:rsidRPr="00BF42B7">
        <w:rPr>
          <w:rFonts w:ascii="Time New Roman" w:hAnsi="Time New Roman"/>
        </w:rPr>
        <w:t>冲突提交仲裁。与国家不同的是，目前没有对国际组织开放的一般性条约，</w:t>
      </w:r>
      <w:r w:rsidRPr="00BF42B7">
        <w:rPr>
          <w:rFonts w:ascii="Time New Roman" w:hAnsi="Time New Roman" w:hint="eastAsia"/>
        </w:rPr>
        <w:t>使</w:t>
      </w:r>
      <w:r w:rsidRPr="00BF42B7">
        <w:rPr>
          <w:rFonts w:ascii="Time New Roman" w:hAnsi="Time New Roman"/>
        </w:rPr>
        <w:t>国际组织能够接受将这类冲突提交仲裁的义务。</w:t>
      </w:r>
      <w:r w:rsidRPr="00BF42B7">
        <w:rPr>
          <w:rFonts w:ascii="Time New Roman" w:hAnsi="Time New Roman" w:hint="eastAsia"/>
        </w:rPr>
        <w:t>可以肯定</w:t>
      </w:r>
      <w:r w:rsidRPr="00BF42B7">
        <w:rPr>
          <w:rFonts w:ascii="Time New Roman" w:hAnsi="Time New Roman"/>
        </w:rPr>
        <w:t>一些双边协定中</w:t>
      </w:r>
      <w:r w:rsidRPr="00BF42B7">
        <w:rPr>
          <w:rFonts w:ascii="Time New Roman" w:hAnsi="Time New Roman" w:hint="eastAsia"/>
        </w:rPr>
        <w:t>载</w:t>
      </w:r>
      <w:r w:rsidRPr="00BF42B7">
        <w:rPr>
          <w:rFonts w:ascii="Time New Roman" w:hAnsi="Time New Roman"/>
        </w:rPr>
        <w:t>有此类条款。但是没有对国际协定中</w:t>
      </w:r>
      <w:r w:rsidRPr="00BF42B7">
        <w:rPr>
          <w:rFonts w:ascii="Time New Roman" w:hAnsi="Time New Roman" w:hint="eastAsia"/>
        </w:rPr>
        <w:t>有关国际组织作为当事方如何提交</w:t>
      </w:r>
      <w:r w:rsidRPr="00BF42B7">
        <w:rPr>
          <w:rFonts w:ascii="Time New Roman" w:hAnsi="Time New Roman"/>
        </w:rPr>
        <w:t>仲裁</w:t>
      </w:r>
      <w:r w:rsidRPr="00BF42B7">
        <w:rPr>
          <w:rFonts w:ascii="Time New Roman" w:hAnsi="Time New Roman" w:hint="eastAsia"/>
        </w:rPr>
        <w:t>的</w:t>
      </w:r>
      <w:r w:rsidRPr="00BF42B7">
        <w:rPr>
          <w:rFonts w:ascii="Time New Roman" w:hAnsi="Time New Roman"/>
        </w:rPr>
        <w:t>条款</w:t>
      </w:r>
      <w:r w:rsidRPr="00BF42B7">
        <w:rPr>
          <w:rFonts w:ascii="Time New Roman" w:hAnsi="Time New Roman" w:hint="eastAsia"/>
        </w:rPr>
        <w:t>，或根据这类条款作出仲裁的情况</w:t>
      </w:r>
      <w:r w:rsidRPr="00BF42B7">
        <w:rPr>
          <w:rFonts w:ascii="Time New Roman" w:hAnsi="Time New Roman"/>
        </w:rPr>
        <w:t>进行过普遍调查。到目前为止，在公共领域</w:t>
      </w:r>
      <w:r w:rsidRPr="00BF42B7">
        <w:rPr>
          <w:rFonts w:ascii="Time New Roman" w:hAnsi="Time New Roman" w:hint="eastAsia"/>
        </w:rPr>
        <w:t>，好像只有四起</w:t>
      </w:r>
      <w:r w:rsidRPr="00BF42B7">
        <w:rPr>
          <w:rFonts w:ascii="Time New Roman" w:hAnsi="Time New Roman"/>
        </w:rPr>
        <w:t>国际组织</w:t>
      </w:r>
      <w:r w:rsidRPr="00BF42B7">
        <w:rPr>
          <w:rFonts w:ascii="Time New Roman" w:hAnsi="Time New Roman" w:hint="eastAsia"/>
        </w:rPr>
        <w:t>与</w:t>
      </w:r>
      <w:r w:rsidRPr="00BF42B7">
        <w:rPr>
          <w:rFonts w:ascii="Time New Roman" w:hAnsi="Time New Roman"/>
        </w:rPr>
        <w:t>国家之间的仲裁。</w:t>
      </w:r>
      <w:r w:rsidRPr="00BF42B7">
        <w:rPr>
          <w:color w:val="0000FF"/>
          <w:vertAlign w:val="superscript"/>
          <w:lang w:val="en-GB"/>
        </w:rPr>
        <w:footnoteReference w:id="1515"/>
      </w:r>
    </w:p>
    <w:p w:rsidR="001A5FC1" w:rsidRPr="00BF42B7" w:rsidRDefault="001A5FC1" w:rsidP="001A5FC1">
      <w:pPr>
        <w:pStyle w:val="SingleTxtGC"/>
        <w:rPr>
          <w:rFonts w:ascii="Time New Roman" w:hAnsi="Time New Roman" w:hint="eastAsia"/>
          <w:lang w:val="en-GB"/>
        </w:rPr>
      </w:pPr>
      <w:r w:rsidRPr="00BF42B7">
        <w:rPr>
          <w:rFonts w:ascii="Time New Roman" w:hAnsi="Time New Roman" w:hint="eastAsia"/>
          <w:lang w:val="en-GB"/>
        </w:rPr>
        <w:t xml:space="preserve">21.  </w:t>
      </w:r>
      <w:r w:rsidRPr="00BF42B7">
        <w:rPr>
          <w:rFonts w:ascii="Time New Roman" w:hAnsi="Time New Roman"/>
          <w:lang w:val="en-GB"/>
        </w:rPr>
        <w:t>一个相关的问题是，仲裁条款如何起草。现行的做法是包含以下行文的仲裁条款：</w:t>
      </w:r>
    </w:p>
    <w:p w:rsidR="001A5FC1" w:rsidRPr="00BF42B7" w:rsidRDefault="001A5FC1" w:rsidP="001A5FC1">
      <w:pPr>
        <w:pStyle w:val="SingleTxtGC"/>
        <w:ind w:left="1565"/>
        <w:rPr>
          <w:rFonts w:ascii="Time New Roman" w:hAnsi="Time New Roman" w:hint="eastAsia"/>
          <w:lang w:val="en-GB"/>
        </w:rPr>
      </w:pPr>
      <w:r w:rsidRPr="00BF42B7">
        <w:rPr>
          <w:rFonts w:ascii="Time New Roman" w:hAnsi="Time New Roman" w:hint="eastAsia"/>
        </w:rPr>
        <w:t>“</w:t>
      </w:r>
      <w:r w:rsidRPr="00BF42B7">
        <w:rPr>
          <w:rFonts w:ascii="Time New Roman" w:hAnsi="Time New Roman"/>
        </w:rPr>
        <w:t>当事方之间</w:t>
      </w:r>
      <w:r w:rsidRPr="00BF42B7">
        <w:rPr>
          <w:rFonts w:ascii="Time New Roman" w:hAnsi="Time New Roman" w:hint="eastAsia"/>
        </w:rPr>
        <w:t>因</w:t>
      </w:r>
      <w:r w:rsidRPr="00BF42B7">
        <w:rPr>
          <w:rFonts w:ascii="Time New Roman" w:hAnsi="Time New Roman"/>
        </w:rPr>
        <w:t>本协定产生的或与本协定有关的任何冲突，未能通过谈判和其他商定的解决方式得到解决，应在任何一方的请求下，提交一个由三名仲裁</w:t>
      </w:r>
      <w:r w:rsidRPr="00BF42B7">
        <w:rPr>
          <w:rFonts w:ascii="Time New Roman" w:hAnsi="Time New Roman" w:hint="eastAsia"/>
        </w:rPr>
        <w:t>人</w:t>
      </w:r>
      <w:r w:rsidRPr="00BF42B7">
        <w:rPr>
          <w:rFonts w:ascii="Time New Roman" w:hAnsi="Time New Roman"/>
        </w:rPr>
        <w:t>组成的法庭。每个当事方应</w:t>
      </w:r>
      <w:r w:rsidRPr="00BF42B7">
        <w:rPr>
          <w:rFonts w:ascii="Time New Roman" w:hAnsi="Time New Roman" w:hint="eastAsia"/>
        </w:rPr>
        <w:t>任命</w:t>
      </w:r>
      <w:r w:rsidRPr="00BF42B7">
        <w:rPr>
          <w:rFonts w:ascii="Time New Roman" w:hAnsi="Time New Roman"/>
        </w:rPr>
        <w:t>一名仲裁人，由此任命的两名仲裁人应</w:t>
      </w:r>
      <w:r w:rsidRPr="00BF42B7">
        <w:rPr>
          <w:rFonts w:ascii="Time New Roman" w:hAnsi="Time New Roman" w:hint="eastAsia"/>
        </w:rPr>
        <w:t>任命</w:t>
      </w:r>
      <w:r w:rsidRPr="00BF42B7">
        <w:rPr>
          <w:rFonts w:ascii="Time New Roman" w:hAnsi="Time New Roman"/>
        </w:rPr>
        <w:t>第三位仲裁人，该人将担任仲裁庭的主席。如果</w:t>
      </w:r>
      <w:r w:rsidRPr="00BF42B7">
        <w:rPr>
          <w:rFonts w:ascii="Time New Roman" w:hAnsi="Time New Roman" w:hint="eastAsia"/>
        </w:rPr>
        <w:t>在</w:t>
      </w:r>
      <w:r w:rsidRPr="00BF42B7">
        <w:rPr>
          <w:rFonts w:ascii="Time New Roman" w:hAnsi="Time New Roman"/>
        </w:rPr>
        <w:t>提出仲裁请求的</w:t>
      </w:r>
      <w:r w:rsidRPr="00BF42B7">
        <w:rPr>
          <w:rFonts w:ascii="Time New Roman" w:hAnsi="Time New Roman"/>
        </w:rPr>
        <w:t>30</w:t>
      </w:r>
      <w:r w:rsidRPr="00BF42B7">
        <w:rPr>
          <w:rFonts w:ascii="Time New Roman" w:hAnsi="Time New Roman"/>
        </w:rPr>
        <w:t>天内，一个当事方未能任命仲裁人，或如果在任命两名仲裁人之内的</w:t>
      </w:r>
      <w:r w:rsidRPr="00BF42B7">
        <w:rPr>
          <w:rFonts w:ascii="Time New Roman" w:hAnsi="Time New Roman"/>
        </w:rPr>
        <w:t>15</w:t>
      </w:r>
      <w:r w:rsidRPr="00BF42B7">
        <w:rPr>
          <w:rFonts w:ascii="Time New Roman" w:hAnsi="Time New Roman"/>
        </w:rPr>
        <w:t>天内尚未任命第三位仲裁人，任何一个当事方均可要求国际法院</w:t>
      </w:r>
      <w:r w:rsidRPr="00BF42B7">
        <w:rPr>
          <w:rFonts w:ascii="Time New Roman" w:hAnsi="Time New Roman" w:hint="eastAsia"/>
        </w:rPr>
        <w:t>院长</w:t>
      </w:r>
      <w:r w:rsidRPr="00BF42B7">
        <w:rPr>
          <w:rFonts w:ascii="Time New Roman" w:hAnsi="Time New Roman"/>
        </w:rPr>
        <w:t>任命所说的仲裁人。仲裁庭应确定本庭的程序，条件是任何</w:t>
      </w:r>
      <w:r w:rsidRPr="00BF42B7">
        <w:rPr>
          <w:rFonts w:ascii="Time New Roman" w:hAnsi="Time New Roman" w:hint="eastAsia"/>
        </w:rPr>
        <w:t>两位</w:t>
      </w:r>
      <w:r w:rsidRPr="00BF42B7">
        <w:rPr>
          <w:rFonts w:ascii="Time New Roman" w:hAnsi="Time New Roman"/>
        </w:rPr>
        <w:t>仲裁人</w:t>
      </w:r>
      <w:r w:rsidRPr="00BF42B7">
        <w:rPr>
          <w:rFonts w:ascii="Time New Roman" w:hAnsi="Time New Roman" w:hint="eastAsia"/>
        </w:rPr>
        <w:t>即</w:t>
      </w:r>
      <w:r w:rsidRPr="00BF42B7">
        <w:rPr>
          <w:rFonts w:ascii="Time New Roman" w:hAnsi="Time New Roman"/>
        </w:rPr>
        <w:t>构成</w:t>
      </w:r>
      <w:r w:rsidRPr="00BF42B7">
        <w:rPr>
          <w:rFonts w:ascii="Time New Roman" w:hAnsi="Time New Roman" w:hint="eastAsia"/>
        </w:rPr>
        <w:t>对</w:t>
      </w:r>
      <w:r w:rsidRPr="00BF42B7">
        <w:rPr>
          <w:rFonts w:ascii="Time New Roman" w:hAnsi="Time New Roman"/>
        </w:rPr>
        <w:t>一切</w:t>
      </w:r>
      <w:r w:rsidRPr="00BF42B7">
        <w:rPr>
          <w:rFonts w:ascii="Time New Roman" w:hAnsi="Time New Roman" w:hint="eastAsia"/>
        </w:rPr>
        <w:t>问题</w:t>
      </w:r>
      <w:r w:rsidRPr="00BF42B7">
        <w:rPr>
          <w:rFonts w:ascii="Time New Roman" w:hAnsi="Time New Roman"/>
        </w:rPr>
        <w:t>上的法定人数，所有决定均须得到任何</w:t>
      </w:r>
      <w:r w:rsidRPr="00BF42B7">
        <w:rPr>
          <w:rFonts w:ascii="Time New Roman" w:hAnsi="Time New Roman" w:hint="eastAsia"/>
        </w:rPr>
        <w:t>两位</w:t>
      </w:r>
      <w:r w:rsidRPr="00BF42B7">
        <w:rPr>
          <w:rFonts w:ascii="Time New Roman" w:hAnsi="Time New Roman"/>
        </w:rPr>
        <w:t>仲裁人的同意。仲裁庭的</w:t>
      </w:r>
      <w:r w:rsidRPr="00BF42B7">
        <w:rPr>
          <w:rFonts w:ascii="Time New Roman" w:hAnsi="Time New Roman" w:hint="eastAsia"/>
        </w:rPr>
        <w:t>开</w:t>
      </w:r>
      <w:r w:rsidRPr="00BF42B7">
        <w:rPr>
          <w:rFonts w:ascii="Time New Roman" w:hAnsi="Time New Roman"/>
        </w:rPr>
        <w:t>支将由当事方</w:t>
      </w:r>
      <w:r w:rsidRPr="00BF42B7">
        <w:rPr>
          <w:rFonts w:ascii="Time New Roman" w:hAnsi="Time New Roman" w:hint="eastAsia"/>
        </w:rPr>
        <w:t>按</w:t>
      </w:r>
      <w:r w:rsidRPr="00BF42B7">
        <w:rPr>
          <w:rFonts w:ascii="Time New Roman" w:hAnsi="Time New Roman"/>
        </w:rPr>
        <w:t>仲裁庭的</w:t>
      </w:r>
      <w:r w:rsidRPr="00BF42B7">
        <w:rPr>
          <w:rFonts w:ascii="Time New Roman" w:hAnsi="Time New Roman" w:hint="eastAsia"/>
        </w:rPr>
        <w:t>摊派</w:t>
      </w:r>
      <w:r w:rsidRPr="00BF42B7">
        <w:rPr>
          <w:rFonts w:ascii="Time New Roman" w:hAnsi="Time New Roman"/>
        </w:rPr>
        <w:t>承担。仲裁结果将包</w:t>
      </w:r>
      <w:r w:rsidRPr="00BF42B7">
        <w:rPr>
          <w:rFonts w:ascii="Time New Roman" w:hAnsi="Time New Roman" w:hint="eastAsia"/>
        </w:rPr>
        <w:t>含</w:t>
      </w:r>
      <w:r w:rsidRPr="00BF42B7">
        <w:rPr>
          <w:rFonts w:ascii="Time New Roman" w:hAnsi="Time New Roman"/>
        </w:rPr>
        <w:t>一份</w:t>
      </w:r>
      <w:r w:rsidRPr="00BF42B7">
        <w:rPr>
          <w:rFonts w:ascii="Time New Roman" w:hAnsi="Time New Roman" w:hint="eastAsia"/>
        </w:rPr>
        <w:t>说明其理由的</w:t>
      </w:r>
      <w:r w:rsidRPr="00BF42B7">
        <w:rPr>
          <w:rFonts w:ascii="Time New Roman" w:hAnsi="Time New Roman"/>
        </w:rPr>
        <w:t>声明，并且将是最</w:t>
      </w:r>
      <w:r w:rsidRPr="00BF42B7">
        <w:rPr>
          <w:rFonts w:ascii="Time New Roman" w:hAnsi="Time New Roman" w:hint="eastAsia"/>
        </w:rPr>
        <w:t>终</w:t>
      </w:r>
      <w:r w:rsidRPr="00BF42B7">
        <w:rPr>
          <w:rFonts w:ascii="Time New Roman" w:hAnsi="Time New Roman"/>
        </w:rPr>
        <w:t>的，对当事方具有约束力。</w:t>
      </w:r>
      <w:r w:rsidRPr="00BF42B7">
        <w:rPr>
          <w:rFonts w:ascii="Time New Roman" w:hAnsi="Time New Roman" w:hint="eastAsia"/>
        </w:rPr>
        <w:t>”</w:t>
      </w:r>
      <w:r w:rsidRPr="00BF42B7">
        <w:rPr>
          <w:color w:val="0000FF"/>
          <w:vertAlign w:val="superscript"/>
          <w:lang w:val="en-GB"/>
        </w:rPr>
        <w:footnoteReference w:id="1516"/>
      </w:r>
    </w:p>
    <w:p w:rsidR="001A5FC1" w:rsidRPr="00BF42B7" w:rsidRDefault="001A5FC1" w:rsidP="001A5FC1">
      <w:pPr>
        <w:pStyle w:val="SingleTxtGC"/>
        <w:rPr>
          <w:rFonts w:ascii="Time New Roman" w:hAnsi="Time New Roman" w:hint="eastAsia"/>
        </w:rPr>
      </w:pPr>
      <w:r w:rsidRPr="00BF42B7">
        <w:rPr>
          <w:rFonts w:ascii="Time New Roman" w:hAnsi="Time New Roman" w:hint="eastAsia"/>
          <w:lang w:val="en-GB"/>
        </w:rPr>
        <w:t xml:space="preserve">22.  </w:t>
      </w:r>
      <w:r w:rsidRPr="00BF42B7">
        <w:rPr>
          <w:rFonts w:ascii="Time New Roman" w:hAnsi="Time New Roman"/>
        </w:rPr>
        <w:t>也可能会</w:t>
      </w:r>
      <w:r w:rsidRPr="00BF42B7">
        <w:rPr>
          <w:rFonts w:ascii="Time New Roman" w:hAnsi="Time New Roman" w:hint="eastAsia"/>
        </w:rPr>
        <w:t>对</w:t>
      </w:r>
      <w:r w:rsidRPr="00BF42B7">
        <w:rPr>
          <w:rFonts w:ascii="Time New Roman" w:hAnsi="Time New Roman"/>
        </w:rPr>
        <w:t>程序</w:t>
      </w:r>
      <w:r w:rsidRPr="00BF42B7">
        <w:rPr>
          <w:rFonts w:ascii="Time New Roman" w:hAnsi="Time New Roman" w:hint="eastAsia"/>
        </w:rPr>
        <w:t>提出</w:t>
      </w:r>
      <w:r w:rsidRPr="00BF42B7">
        <w:rPr>
          <w:rFonts w:ascii="Time New Roman" w:hAnsi="Time New Roman"/>
        </w:rPr>
        <w:t>问题。</w:t>
      </w:r>
      <w:r w:rsidRPr="00BF42B7">
        <w:rPr>
          <w:rFonts w:ascii="Time New Roman" w:hAnsi="Time New Roman" w:hint="eastAsia"/>
        </w:rPr>
        <w:t>鉴于这些问题涉及</w:t>
      </w:r>
      <w:r w:rsidRPr="00BF42B7">
        <w:rPr>
          <w:rFonts w:ascii="Time New Roman" w:hAnsi="Time New Roman"/>
        </w:rPr>
        <w:t>仲裁规则，</w:t>
      </w:r>
      <w:r w:rsidRPr="00BF42B7">
        <w:rPr>
          <w:rFonts w:ascii="Time New Roman" w:hAnsi="Time New Roman" w:hint="eastAsia"/>
        </w:rPr>
        <w:t>因此在</w:t>
      </w:r>
      <w:r w:rsidRPr="00BF42B7">
        <w:rPr>
          <w:rFonts w:ascii="Time New Roman" w:hAnsi="Time New Roman"/>
        </w:rPr>
        <w:t>常设仲裁法院对涉及国际组织和国家的仲裁</w:t>
      </w:r>
      <w:r w:rsidRPr="00BF42B7">
        <w:rPr>
          <w:rFonts w:ascii="Time New Roman" w:hAnsi="Time New Roman" w:hint="eastAsia"/>
        </w:rPr>
        <w:t>任择</w:t>
      </w:r>
      <w:r w:rsidRPr="00BF42B7">
        <w:rPr>
          <w:rFonts w:ascii="Time New Roman" w:hAnsi="Time New Roman"/>
        </w:rPr>
        <w:t>规则</w:t>
      </w:r>
      <w:r w:rsidRPr="00BF42B7">
        <w:rPr>
          <w:rFonts w:ascii="Time New Roman" w:hAnsi="Time New Roman"/>
        </w:rPr>
        <w:t>(1996)</w:t>
      </w:r>
      <w:r w:rsidRPr="00BF42B7">
        <w:rPr>
          <w:rFonts w:ascii="Time New Roman" w:hAnsi="Time New Roman"/>
        </w:rPr>
        <w:t>基本上</w:t>
      </w:r>
      <w:r w:rsidRPr="00BF42B7">
        <w:rPr>
          <w:rFonts w:ascii="Time New Roman" w:hAnsi="Time New Roman" w:hint="eastAsia"/>
        </w:rPr>
        <w:t>都</w:t>
      </w:r>
      <w:r w:rsidRPr="00BF42B7">
        <w:rPr>
          <w:rFonts w:ascii="Time New Roman" w:hAnsi="Time New Roman"/>
        </w:rPr>
        <w:t>已经作了规定。由于制定这些规则</w:t>
      </w:r>
      <w:r w:rsidRPr="00BF42B7">
        <w:rPr>
          <w:rFonts w:ascii="Time New Roman" w:hAnsi="Time New Roman" w:hint="eastAsia"/>
        </w:rPr>
        <w:t>时</w:t>
      </w:r>
      <w:r w:rsidRPr="00BF42B7">
        <w:rPr>
          <w:rFonts w:ascii="Time New Roman" w:hAnsi="Time New Roman"/>
        </w:rPr>
        <w:t>已经考虑到涉及国际组织和国家的争端带有国际公法的性质，以及与这类争端相适应的外交惯例，</w:t>
      </w:r>
      <w:r w:rsidRPr="00BF42B7">
        <w:rPr>
          <w:color w:val="0000FF"/>
          <w:vertAlign w:val="superscript"/>
          <w:lang w:val="en-GB"/>
        </w:rPr>
        <w:footnoteReference w:id="1517"/>
      </w:r>
      <w:r w:rsidRPr="00BF42B7">
        <w:rPr>
          <w:rFonts w:ascii="Time New Roman" w:hAnsi="Time New Roman" w:hint="eastAsia"/>
          <w:lang w:val="en-GB"/>
        </w:rPr>
        <w:t xml:space="preserve"> </w:t>
      </w:r>
      <w:r w:rsidRPr="00BF42B7">
        <w:rPr>
          <w:rFonts w:ascii="Time New Roman" w:hAnsi="Time New Roman"/>
        </w:rPr>
        <w:t>因此委员会将</w:t>
      </w:r>
      <w:r w:rsidRPr="00BF42B7">
        <w:rPr>
          <w:rFonts w:ascii="Time New Roman" w:hAnsi="Time New Roman"/>
        </w:rPr>
        <w:t>1958</w:t>
      </w:r>
      <w:r w:rsidRPr="00BF42B7">
        <w:rPr>
          <w:rFonts w:ascii="Time New Roman" w:hAnsi="Time New Roman" w:hint="eastAsia"/>
        </w:rPr>
        <w:t>年</w:t>
      </w:r>
      <w:r w:rsidRPr="00BF42B7">
        <w:rPr>
          <w:rFonts w:ascii="Time New Roman" w:hAnsi="Time New Roman"/>
        </w:rPr>
        <w:t>的仲裁程序</w:t>
      </w:r>
      <w:r w:rsidRPr="00BF42B7">
        <w:rPr>
          <w:rFonts w:ascii="Time New Roman" w:hAnsi="Time New Roman" w:hint="eastAsia"/>
        </w:rPr>
        <w:t>范本</w:t>
      </w:r>
      <w:r w:rsidRPr="00BF42B7">
        <w:rPr>
          <w:rFonts w:ascii="Time New Roman" w:hAnsi="Time New Roman"/>
        </w:rPr>
        <w:t>规则加以修改用于涉及国际组织的争端</w:t>
      </w:r>
      <w:r w:rsidRPr="00BF42B7">
        <w:rPr>
          <w:rFonts w:ascii="Time New Roman" w:hAnsi="Time New Roman" w:hint="eastAsia"/>
        </w:rPr>
        <w:t>或许还是有益的</w:t>
      </w:r>
      <w:r w:rsidRPr="00BF42B7">
        <w:rPr>
          <w:rFonts w:ascii="Time New Roman" w:hAnsi="Time New Roman"/>
        </w:rPr>
        <w:t>。</w:t>
      </w:r>
    </w:p>
    <w:p w:rsidR="001A5FC1" w:rsidRPr="00BF42B7" w:rsidRDefault="001A5FC1" w:rsidP="001A5FC1">
      <w:pPr>
        <w:pStyle w:val="H4GC"/>
        <w:rPr>
          <w:lang w:val="en-GB"/>
        </w:rPr>
      </w:pPr>
      <w:r w:rsidRPr="00BF42B7">
        <w:rPr>
          <w:rFonts w:hint="eastAsia"/>
          <w:lang w:val="en-GB"/>
        </w:rPr>
        <w:tab/>
      </w:r>
      <w:r w:rsidRPr="00BF42B7">
        <w:rPr>
          <w:lang w:val="en-GB"/>
        </w:rPr>
        <w:t>(c)</w:t>
      </w:r>
      <w:r w:rsidRPr="00BF42B7">
        <w:rPr>
          <w:rFonts w:hint="eastAsia"/>
          <w:lang w:val="en-GB"/>
        </w:rPr>
        <w:tab/>
      </w:r>
      <w:r w:rsidRPr="00BF42B7">
        <w:rPr>
          <w:rFonts w:hint="eastAsia"/>
          <w:lang w:val="en-GB"/>
        </w:rPr>
        <w:t>非法律机制</w:t>
      </w:r>
    </w:p>
    <w:p w:rsidR="001A5FC1" w:rsidRPr="00BF42B7" w:rsidRDefault="001A5FC1" w:rsidP="001A5FC1">
      <w:pPr>
        <w:pStyle w:val="SingleTxtGC"/>
        <w:rPr>
          <w:rFonts w:ascii="Time New Roman" w:hAnsi="Time New Roman" w:hint="eastAsia"/>
          <w:lang w:val="en-GB"/>
        </w:rPr>
      </w:pPr>
      <w:r w:rsidRPr="00BF42B7">
        <w:rPr>
          <w:rFonts w:ascii="Time New Roman" w:hAnsi="Time New Roman"/>
          <w:lang w:val="en-GB"/>
        </w:rPr>
        <w:t>23.</w:t>
      </w:r>
      <w:r w:rsidRPr="00BF42B7">
        <w:rPr>
          <w:rFonts w:ascii="Time New Roman" w:hAnsi="Time New Roman" w:hint="eastAsia"/>
          <w:lang w:val="en-GB"/>
        </w:rPr>
        <w:t xml:space="preserve">  </w:t>
      </w:r>
      <w:r w:rsidRPr="00BF42B7">
        <w:rPr>
          <w:rFonts w:ascii="Time New Roman" w:hAnsi="Time New Roman" w:hint="eastAsia"/>
          <w:lang w:val="en-GB"/>
        </w:rPr>
        <w:t>国际法协会《关于国际组织责任问题的最后报告》出于对救济问题的侧重，提请人们注意“国际组织较不非式的行为”的“预防潜力”。</w:t>
      </w:r>
      <w:r w:rsidRPr="00BF42B7">
        <w:rPr>
          <w:color w:val="0000FF"/>
          <w:vertAlign w:val="superscript"/>
          <w:lang w:val="en-GB"/>
        </w:rPr>
        <w:footnoteReference w:id="1518"/>
      </w:r>
      <w:r w:rsidRPr="00BF42B7">
        <w:rPr>
          <w:rFonts w:ascii="Time New Roman" w:hAnsi="Time New Roman"/>
          <w:lang w:val="en-GB"/>
        </w:rPr>
        <w:t xml:space="preserve"> </w:t>
      </w:r>
      <w:r w:rsidRPr="00BF42B7">
        <w:rPr>
          <w:rFonts w:ascii="Time New Roman" w:hAnsi="Time New Roman" w:hint="eastAsia"/>
          <w:lang w:val="en-GB"/>
        </w:rPr>
        <w:t>相应地，其建议首先集中于在国际组织自身内部建立常设机制，包括监察员办公室，以及类似世界银行监察组的机构。</w:t>
      </w:r>
      <w:r w:rsidRPr="00BF42B7">
        <w:rPr>
          <w:color w:val="0000FF"/>
          <w:vertAlign w:val="superscript"/>
          <w:lang w:val="en-GB"/>
        </w:rPr>
        <w:footnoteReference w:id="1519"/>
      </w:r>
      <w:r w:rsidRPr="00BF42B7">
        <w:rPr>
          <w:rFonts w:ascii="Time New Roman" w:hAnsi="Time New Roman"/>
          <w:lang w:val="en-GB"/>
        </w:rPr>
        <w:t xml:space="preserve"> </w:t>
      </w:r>
      <w:r w:rsidRPr="00BF42B7">
        <w:rPr>
          <w:rFonts w:ascii="Time New Roman" w:hAnsi="Time New Roman" w:hint="eastAsia"/>
          <w:lang w:val="en-GB"/>
        </w:rPr>
        <w:t>对本专题而言，这种机制很可能仅在一国为其国民行使外交保护的情况下才有意义</w:t>
      </w:r>
      <w:r w:rsidRPr="00BF42B7">
        <w:rPr>
          <w:rFonts w:ascii="Time New Roman" w:hAnsi="Time New Roman" w:hint="eastAsia"/>
          <w:lang w:val="en-GB"/>
        </w:rPr>
        <w:t>(</w:t>
      </w:r>
      <w:r w:rsidRPr="00BF42B7">
        <w:rPr>
          <w:rFonts w:ascii="Time New Roman" w:hAnsi="Time New Roman" w:hint="eastAsia"/>
          <w:lang w:val="en-GB"/>
        </w:rPr>
        <w:t>相关论述，见下节</w:t>
      </w:r>
      <w:r w:rsidRPr="00BF42B7">
        <w:rPr>
          <w:rFonts w:ascii="Time New Roman" w:hAnsi="Time New Roman" w:hint="eastAsia"/>
          <w:lang w:val="en-GB"/>
        </w:rPr>
        <w:t>)</w:t>
      </w:r>
      <w:r w:rsidRPr="00BF42B7">
        <w:rPr>
          <w:rFonts w:ascii="Time New Roman" w:hAnsi="Time New Roman" w:hint="eastAsia"/>
          <w:lang w:val="en-GB"/>
        </w:rPr>
        <w:t>。</w:t>
      </w:r>
    </w:p>
    <w:p w:rsidR="001A5FC1" w:rsidRPr="00BF42B7" w:rsidRDefault="001A5FC1" w:rsidP="001A5FC1">
      <w:pPr>
        <w:pStyle w:val="SingleTxtGC"/>
        <w:rPr>
          <w:rFonts w:ascii="Time New Roman" w:hAnsi="Time New Roman" w:hint="eastAsia"/>
          <w:lang w:val="en-GB"/>
        </w:rPr>
      </w:pPr>
      <w:r w:rsidRPr="00BF42B7">
        <w:rPr>
          <w:rFonts w:ascii="Time New Roman" w:hAnsi="Time New Roman"/>
          <w:lang w:val="en-GB"/>
        </w:rPr>
        <w:t>24.</w:t>
      </w:r>
      <w:r w:rsidRPr="00BF42B7">
        <w:rPr>
          <w:rFonts w:ascii="Time New Roman" w:hAnsi="Time New Roman" w:hint="eastAsia"/>
          <w:lang w:val="en-GB"/>
        </w:rPr>
        <w:t xml:space="preserve">  </w:t>
      </w:r>
      <w:r w:rsidRPr="00BF42B7">
        <w:rPr>
          <w:rFonts w:ascii="Time New Roman" w:hAnsi="Time New Roman" w:hint="eastAsia"/>
          <w:lang w:val="en-GB"/>
        </w:rPr>
        <w:t>如果委员会的工作侧重于解决国际法之下所产生的争端，则相关的非法律机制主要是第三方机制，例如调查</w:t>
      </w:r>
      <w:r w:rsidRPr="00BF42B7">
        <w:rPr>
          <w:color w:val="0000FF"/>
          <w:vertAlign w:val="superscript"/>
          <w:lang w:val="en-GB"/>
        </w:rPr>
        <w:footnoteReference w:id="1520"/>
      </w:r>
      <w:r w:rsidRPr="00BF42B7">
        <w:rPr>
          <w:rFonts w:ascii="Time New Roman" w:hAnsi="Time New Roman" w:hint="eastAsia"/>
          <w:lang w:val="en-GB"/>
        </w:rPr>
        <w:t>、调解与和解。委员会可考虑如何鼓励各方采用这种机制。这些机制虽然形式上属于非法律机制，但可在解决法律争端方面发挥重要作用。</w:t>
      </w:r>
    </w:p>
    <w:p w:rsidR="001A5FC1" w:rsidRPr="00BF42B7" w:rsidRDefault="001A5FC1" w:rsidP="001A5FC1">
      <w:pPr>
        <w:pStyle w:val="H4GC"/>
        <w:rPr>
          <w:lang w:val="en-GB"/>
        </w:rPr>
      </w:pPr>
      <w:r w:rsidRPr="00BF42B7">
        <w:rPr>
          <w:rFonts w:hint="eastAsia"/>
          <w:lang w:val="en-GB"/>
        </w:rPr>
        <w:tab/>
        <w:t>(d)</w:t>
      </w:r>
      <w:r w:rsidRPr="00BF42B7">
        <w:rPr>
          <w:rFonts w:hint="eastAsia"/>
          <w:lang w:val="en-GB"/>
        </w:rPr>
        <w:tab/>
      </w:r>
      <w:r w:rsidRPr="00BF42B7">
        <w:rPr>
          <w:rFonts w:hint="eastAsia"/>
          <w:lang w:val="en-GB"/>
        </w:rPr>
        <w:t>主张的可受理性：职能保护</w:t>
      </w:r>
    </w:p>
    <w:p w:rsidR="001A5FC1" w:rsidRPr="00BF42B7" w:rsidRDefault="001A5FC1" w:rsidP="001A5FC1">
      <w:pPr>
        <w:pStyle w:val="SingleTxtGC"/>
        <w:rPr>
          <w:rFonts w:ascii="Time New Roman" w:hAnsi="Time New Roman" w:hint="eastAsia"/>
          <w:lang w:val="en-GB"/>
        </w:rPr>
      </w:pPr>
      <w:r w:rsidRPr="00BF42B7">
        <w:rPr>
          <w:rFonts w:ascii="Time New Roman" w:hAnsi="Time New Roman"/>
          <w:lang w:val="en-GB"/>
        </w:rPr>
        <w:t>25.</w:t>
      </w:r>
      <w:r w:rsidRPr="00BF42B7">
        <w:rPr>
          <w:rFonts w:ascii="Time New Roman" w:hAnsi="Time New Roman" w:hint="eastAsia"/>
          <w:lang w:val="en-GB"/>
        </w:rPr>
        <w:t xml:space="preserve">  </w:t>
      </w:r>
      <w:r w:rsidRPr="00BF42B7">
        <w:rPr>
          <w:rFonts w:ascii="Time New Roman" w:hAnsi="Time New Roman" w:hint="eastAsia"/>
          <w:lang w:val="en-GB"/>
        </w:rPr>
        <w:t>之前几节已经论述了利用争端解决机制的渠道问题。但是，即便存在渠道，仍然很可能产生与主张的可受理性有关的习惯规则如何对国际组织适用的问题。一个颇具争议的领域是，如何套用有关外交保护和用尽当地救济的习惯规则。</w:t>
      </w:r>
      <w:r w:rsidRPr="00BF42B7">
        <w:rPr>
          <w:color w:val="0000FF"/>
          <w:vertAlign w:val="superscript"/>
          <w:lang w:val="en-GB"/>
        </w:rPr>
        <w:footnoteReference w:id="1521"/>
      </w:r>
    </w:p>
    <w:p w:rsidR="001A5FC1" w:rsidRPr="00BF42B7" w:rsidRDefault="001A5FC1" w:rsidP="001A5FC1">
      <w:pPr>
        <w:pStyle w:val="SingleTxtGC"/>
        <w:rPr>
          <w:rFonts w:ascii="Time New Roman" w:hAnsi="Time New Roman" w:hint="eastAsia"/>
          <w:lang w:val="en-GB"/>
        </w:rPr>
      </w:pPr>
      <w:r w:rsidRPr="00BF42B7">
        <w:rPr>
          <w:rFonts w:ascii="Time New Roman" w:hAnsi="Time New Roman"/>
          <w:lang w:val="en-GB"/>
        </w:rPr>
        <w:t>26.</w:t>
      </w:r>
      <w:r w:rsidRPr="00BF42B7">
        <w:rPr>
          <w:rFonts w:ascii="Time New Roman" w:hAnsi="Time New Roman" w:hint="eastAsia"/>
          <w:lang w:val="en-GB"/>
        </w:rPr>
        <w:t xml:space="preserve">  </w:t>
      </w:r>
      <w:r w:rsidRPr="00BF42B7">
        <w:rPr>
          <w:rFonts w:ascii="Time New Roman" w:hAnsi="Time New Roman" w:hint="eastAsia"/>
          <w:lang w:val="en-GB"/>
        </w:rPr>
        <w:t>依照损害赔偿案的咨询意见，国际组织能够“为其代理人采取某种形式的保护措施”，</w:t>
      </w:r>
      <w:r w:rsidRPr="00BF42B7">
        <w:rPr>
          <w:color w:val="0000FF"/>
          <w:vertAlign w:val="superscript"/>
          <w:lang w:val="en-GB"/>
        </w:rPr>
        <w:footnoteReference w:id="1522"/>
      </w:r>
      <w:r w:rsidRPr="00BF42B7">
        <w:rPr>
          <w:rFonts w:ascii="Time New Roman" w:hAnsi="Time New Roman" w:hint="eastAsia"/>
          <w:lang w:val="en-GB"/>
        </w:rPr>
        <w:t xml:space="preserve"> </w:t>
      </w:r>
      <w:r w:rsidRPr="00BF42B7">
        <w:rPr>
          <w:rFonts w:ascii="Time New Roman" w:hAnsi="Time New Roman" w:hint="eastAsia"/>
          <w:lang w:val="en-GB"/>
        </w:rPr>
        <w:t>大体上与一国为其国民行使外交保护的权利相似。由于这一类比，有人提出，用尽当地救济的要求</w:t>
      </w:r>
      <w:r w:rsidRPr="00BF42B7">
        <w:rPr>
          <w:color w:val="0000FF"/>
          <w:vertAlign w:val="superscript"/>
          <w:lang w:val="en-GB"/>
        </w:rPr>
        <w:footnoteReference w:id="1523"/>
      </w:r>
      <w:r w:rsidRPr="00BF42B7">
        <w:rPr>
          <w:rFonts w:ascii="Time New Roman" w:hAnsi="Time New Roman" w:hint="eastAsia"/>
          <w:lang w:val="en-GB"/>
        </w:rPr>
        <w:t xml:space="preserve"> </w:t>
      </w:r>
      <w:r w:rsidRPr="00BF42B7">
        <w:rPr>
          <w:rFonts w:ascii="Time New Roman" w:hAnsi="Time New Roman" w:hint="eastAsia"/>
          <w:lang w:val="en-GB"/>
        </w:rPr>
        <w:t>也应适用于“职能保护”，一如其适用于外交保护</w:t>
      </w:r>
      <w:r w:rsidRPr="00BF42B7">
        <w:rPr>
          <w:color w:val="0000FF"/>
          <w:vertAlign w:val="superscript"/>
          <w:lang w:val="en-GB"/>
        </w:rPr>
        <w:footnoteReference w:id="1524"/>
      </w:r>
      <w:r w:rsidRPr="00BF42B7">
        <w:rPr>
          <w:rFonts w:ascii="Time New Roman" w:hAnsi="Time New Roman" w:hint="eastAsia"/>
          <w:lang w:val="en-GB"/>
        </w:rPr>
        <w:t>。</w:t>
      </w:r>
    </w:p>
    <w:p w:rsidR="001A5FC1" w:rsidRPr="00BF42B7" w:rsidRDefault="001A5FC1" w:rsidP="001A5FC1">
      <w:pPr>
        <w:pStyle w:val="SingleTxtGC"/>
        <w:rPr>
          <w:rFonts w:ascii="Time New Roman" w:hAnsi="Time New Roman" w:hint="eastAsia"/>
          <w:lang w:val="en-GB"/>
        </w:rPr>
      </w:pPr>
      <w:r w:rsidRPr="00BF42B7">
        <w:rPr>
          <w:rFonts w:ascii="Time New Roman" w:hAnsi="Time New Roman"/>
          <w:lang w:val="en-GB"/>
        </w:rPr>
        <w:t>27.</w:t>
      </w:r>
      <w:r w:rsidRPr="00BF42B7">
        <w:rPr>
          <w:rFonts w:ascii="Time New Roman" w:hAnsi="Time New Roman" w:hint="eastAsia"/>
          <w:lang w:val="en-GB"/>
        </w:rPr>
        <w:t xml:space="preserve">  </w:t>
      </w:r>
      <w:r w:rsidRPr="00BF42B7">
        <w:rPr>
          <w:rFonts w:ascii="Time New Roman" w:hAnsi="Time New Roman" w:hint="eastAsia"/>
          <w:lang w:val="en-GB"/>
        </w:rPr>
        <w:t>然而，更仔细的分析显示，这一比较可能并不确切。国际法院在损害赔偿案意见中的推理与外交保护的理论基础颇为不同。一方面，外交保护源自国家“代表其臣民确保国际法规则得到尊重的权利”。</w:t>
      </w:r>
      <w:r w:rsidRPr="00BF42B7">
        <w:rPr>
          <w:color w:val="0000FF"/>
          <w:vertAlign w:val="superscript"/>
          <w:lang w:val="en-GB"/>
        </w:rPr>
        <w:footnoteReference w:id="1525"/>
      </w:r>
      <w:r w:rsidRPr="00BF42B7">
        <w:rPr>
          <w:rFonts w:ascii="Time New Roman" w:hAnsi="Time New Roman"/>
          <w:lang w:val="en-GB"/>
        </w:rPr>
        <w:t xml:space="preserve"> </w:t>
      </w:r>
      <w:r w:rsidRPr="00BF42B7">
        <w:rPr>
          <w:rFonts w:ascii="Time New Roman" w:hAnsi="Time New Roman" w:hint="eastAsia"/>
          <w:lang w:val="en-GB"/>
        </w:rPr>
        <w:t>这是一项国家享有的一般性权利，源自国籍的联系。而职能保护则是一项隐含的权力，是该组织履行自身职能的需要。</w:t>
      </w:r>
      <w:r w:rsidRPr="00BF42B7">
        <w:rPr>
          <w:color w:val="0000FF"/>
          <w:vertAlign w:val="superscript"/>
          <w:lang w:val="en-GB"/>
        </w:rPr>
        <w:footnoteReference w:id="1526"/>
      </w:r>
      <w:r w:rsidRPr="00BF42B7">
        <w:rPr>
          <w:rFonts w:ascii="Time New Roman" w:hAnsi="Time New Roman"/>
          <w:lang w:val="en-GB"/>
        </w:rPr>
        <w:t xml:space="preserve"> </w:t>
      </w:r>
      <w:r w:rsidRPr="00BF42B7">
        <w:rPr>
          <w:rFonts w:ascii="Time New Roman" w:hAnsi="Time New Roman" w:hint="eastAsia"/>
          <w:lang w:val="en-GB"/>
        </w:rPr>
        <w:t>因此它是一项有限的权力，范围仅限于代理人成功履行职责所需。</w:t>
      </w:r>
    </w:p>
    <w:p w:rsidR="001A5FC1" w:rsidRPr="00BF42B7" w:rsidRDefault="001A5FC1" w:rsidP="001A5FC1">
      <w:pPr>
        <w:pStyle w:val="SingleTxtGC"/>
        <w:rPr>
          <w:rFonts w:ascii="Time New Roman" w:hAnsi="Time New Roman" w:hint="eastAsia"/>
          <w:lang w:val="en-GB"/>
        </w:rPr>
      </w:pPr>
      <w:r w:rsidRPr="00BF42B7">
        <w:rPr>
          <w:rFonts w:ascii="Time New Roman" w:hAnsi="Time New Roman" w:hint="eastAsia"/>
          <w:lang w:val="en-GB"/>
        </w:rPr>
        <w:t xml:space="preserve">28.  </w:t>
      </w:r>
      <w:r w:rsidRPr="00BF42B7">
        <w:rPr>
          <w:rFonts w:ascii="Time New Roman" w:hAnsi="Time New Roman" w:hint="eastAsia"/>
          <w:lang w:val="en-GB"/>
        </w:rPr>
        <w:t>与国际组织行使职能保护有关的另一个问题是，职能保护能否被用于向工作人员的国籍国</w:t>
      </w:r>
      <w:r w:rsidRPr="00BF42B7">
        <w:rPr>
          <w:rFonts w:ascii="Time New Roman" w:hAnsi="Time New Roman" w:hint="eastAsia"/>
        </w:rPr>
        <w:t>提出主</w:t>
      </w:r>
      <w:r w:rsidRPr="00BF42B7">
        <w:rPr>
          <w:rFonts w:ascii="Time New Roman" w:hAnsi="Time New Roman" w:hint="eastAsia"/>
          <w:lang w:val="en-GB"/>
        </w:rPr>
        <w:t>张。</w:t>
      </w:r>
      <w:r w:rsidRPr="00BF42B7">
        <w:rPr>
          <w:color w:val="0000FF"/>
          <w:vertAlign w:val="superscript"/>
          <w:lang w:val="en-GB"/>
        </w:rPr>
        <w:footnoteReference w:id="1527"/>
      </w:r>
      <w:r w:rsidRPr="00BF42B7">
        <w:rPr>
          <w:rFonts w:ascii="Time New Roman" w:hAnsi="Time New Roman" w:hint="eastAsia"/>
          <w:lang w:val="en-GB"/>
        </w:rPr>
        <w:t xml:space="preserve"> </w:t>
      </w:r>
      <w:r w:rsidRPr="00BF42B7">
        <w:rPr>
          <w:rFonts w:ascii="Time New Roman" w:hAnsi="Time New Roman" w:hint="eastAsia"/>
          <w:lang w:val="en-GB"/>
        </w:rPr>
        <w:t>外交保护源自国籍，而职能保护源自职能方面的考虑，有鉴于这一差异，上述问题的答案可能是肯定的。</w:t>
      </w:r>
      <w:r w:rsidRPr="00BF42B7">
        <w:rPr>
          <w:color w:val="0000FF"/>
          <w:vertAlign w:val="superscript"/>
          <w:lang w:val="en-GB"/>
        </w:rPr>
        <w:footnoteReference w:id="1528"/>
      </w:r>
      <w:r w:rsidRPr="00BF42B7">
        <w:rPr>
          <w:rFonts w:ascii="Time New Roman" w:hAnsi="Time New Roman" w:hint="eastAsia"/>
          <w:lang w:val="en-GB"/>
        </w:rPr>
        <w:t xml:space="preserve"> </w:t>
      </w:r>
      <w:r w:rsidRPr="00BF42B7">
        <w:rPr>
          <w:rFonts w:ascii="Time New Roman" w:hAnsi="Time New Roman" w:hint="eastAsia"/>
          <w:lang w:val="en-GB"/>
        </w:rPr>
        <w:t>在这方面，应当指出，马齐卢案和坎马拉斯瓦米案的咨询意见均涉及联合国与官员国籍国之间的争端。</w:t>
      </w:r>
      <w:r w:rsidRPr="00BF42B7">
        <w:rPr>
          <w:color w:val="0000FF"/>
          <w:vertAlign w:val="superscript"/>
          <w:lang w:val="en-GB"/>
        </w:rPr>
        <w:footnoteReference w:id="1529"/>
      </w:r>
    </w:p>
    <w:p w:rsidR="001A5FC1" w:rsidRPr="00BF42B7" w:rsidRDefault="001A5FC1" w:rsidP="001A5FC1">
      <w:pPr>
        <w:pStyle w:val="SingleTxtGC"/>
        <w:rPr>
          <w:rFonts w:ascii="Time New Roman" w:hAnsi="Time New Roman" w:hint="eastAsia"/>
          <w:lang w:val="fr-FR"/>
        </w:rPr>
      </w:pPr>
      <w:r w:rsidRPr="00BF42B7">
        <w:rPr>
          <w:rFonts w:ascii="Time New Roman" w:hAnsi="Time New Roman"/>
          <w:lang w:val="en-GB"/>
        </w:rPr>
        <w:t>29.</w:t>
      </w:r>
      <w:r w:rsidRPr="00BF42B7">
        <w:rPr>
          <w:rFonts w:ascii="Time New Roman" w:hAnsi="Time New Roman" w:hint="eastAsia"/>
          <w:lang w:val="en-GB"/>
        </w:rPr>
        <w:t xml:space="preserve">  </w:t>
      </w:r>
      <w:r w:rsidRPr="00463C13">
        <w:rPr>
          <w:rFonts w:ascii="Time New Roman" w:hAnsi="Time New Roman" w:hint="eastAsia"/>
          <w:spacing w:val="2"/>
          <w:lang w:val="en-GB"/>
        </w:rPr>
        <w:t>若外交保护所针对</w:t>
      </w:r>
      <w:r w:rsidRPr="00463C13">
        <w:rPr>
          <w:rFonts w:ascii="Time New Roman" w:hAnsi="Time New Roman" w:hint="eastAsia"/>
          <w:spacing w:val="2"/>
        </w:rPr>
        <w:t>的对象是国际组织，</w:t>
      </w:r>
      <w:r w:rsidRPr="00463C13">
        <w:rPr>
          <w:rFonts w:ascii="Time New Roman" w:hAnsi="Time New Roman" w:hint="eastAsia"/>
          <w:spacing w:val="2"/>
          <w:lang w:val="en-GB"/>
        </w:rPr>
        <w:t>则会产生不同的关切。原</w:t>
      </w:r>
      <w:r w:rsidRPr="00463C13">
        <w:rPr>
          <w:rFonts w:ascii="Time New Roman" w:hAnsi="Time New Roman" w:hint="eastAsia"/>
          <w:spacing w:val="2"/>
        </w:rPr>
        <w:t>则上，用尽当地补救的要求可以</w:t>
      </w:r>
      <w:r w:rsidRPr="00463C13">
        <w:rPr>
          <w:rFonts w:ascii="Time New Roman" w:hAnsi="Time New Roman" w:hint="eastAsia"/>
          <w:spacing w:val="2"/>
          <w:lang w:val="en-GB"/>
        </w:rPr>
        <w:t>比照适用；在这方面，宜当谈及内部救济而非当地救济。</w:t>
      </w:r>
      <w:r w:rsidRPr="00463C13">
        <w:rPr>
          <w:color w:val="0000FF"/>
          <w:spacing w:val="2"/>
          <w:vertAlign w:val="superscript"/>
          <w:lang w:val="en-GB"/>
        </w:rPr>
        <w:footnoteReference w:id="1530"/>
      </w:r>
      <w:r w:rsidRPr="00463C13">
        <w:rPr>
          <w:rFonts w:ascii="Time New Roman" w:hAnsi="Time New Roman" w:hint="eastAsia"/>
          <w:spacing w:val="2"/>
          <w:lang w:val="en-GB"/>
        </w:rPr>
        <w:t xml:space="preserve"> </w:t>
      </w:r>
      <w:r w:rsidRPr="00BF42B7">
        <w:rPr>
          <w:rFonts w:ascii="Time New Roman" w:hAnsi="Time New Roman" w:hint="eastAsia"/>
          <w:lang w:val="en-GB"/>
        </w:rPr>
        <w:t>然而，国际法学会在</w:t>
      </w:r>
      <w:r w:rsidRPr="00BF42B7">
        <w:rPr>
          <w:rFonts w:ascii="Time New Roman" w:hAnsi="Time New Roman" w:hint="eastAsia"/>
          <w:lang w:val="en-GB"/>
        </w:rPr>
        <w:t>1971</w:t>
      </w:r>
      <w:r w:rsidRPr="00BF42B7">
        <w:rPr>
          <w:rFonts w:ascii="Time New Roman" w:hAnsi="Time New Roman" w:hint="eastAsia"/>
          <w:lang w:val="en-GB"/>
        </w:rPr>
        <w:t>年的一项决议中表示了一种推定，即针对国际组织行使外交保护的，不作用尽要求。</w:t>
      </w:r>
      <w:r w:rsidRPr="00BF42B7">
        <w:rPr>
          <w:color w:val="0000FF"/>
          <w:vertAlign w:val="superscript"/>
          <w:lang w:val="en-GB"/>
        </w:rPr>
        <w:footnoteReference w:id="1531"/>
      </w:r>
      <w:r w:rsidRPr="00BF42B7">
        <w:rPr>
          <w:rFonts w:ascii="Time New Roman" w:hAnsi="Time New Roman" w:hint="eastAsia"/>
          <w:lang w:val="en-GB"/>
        </w:rPr>
        <w:t xml:space="preserve"> </w:t>
      </w:r>
      <w:r w:rsidRPr="00BF42B7">
        <w:rPr>
          <w:rFonts w:ascii="Time New Roman" w:hAnsi="Time New Roman" w:hint="eastAsia"/>
          <w:lang w:val="en-GB"/>
        </w:rPr>
        <w:t>还有人进一步提出，该规则源自“个人与应诉国之间的管辖权联系”，因此并不适用。</w:t>
      </w:r>
      <w:r w:rsidRPr="00BF42B7">
        <w:rPr>
          <w:color w:val="0000FF"/>
          <w:vertAlign w:val="superscript"/>
          <w:lang w:val="en-GB"/>
        </w:rPr>
        <w:footnoteReference w:id="1532"/>
      </w:r>
      <w:r w:rsidRPr="00BF42B7">
        <w:rPr>
          <w:rFonts w:ascii="Time New Roman" w:hAnsi="Time New Roman"/>
          <w:lang w:val="en-GB"/>
        </w:rPr>
        <w:t xml:space="preserve"> </w:t>
      </w:r>
      <w:r w:rsidRPr="00BF42B7">
        <w:rPr>
          <w:rFonts w:ascii="Time New Roman" w:hAnsi="Time New Roman" w:hint="eastAsia"/>
          <w:lang w:val="en-GB"/>
        </w:rPr>
        <w:t>在</w:t>
      </w:r>
      <w:r w:rsidRPr="00BF42B7">
        <w:rPr>
          <w:rFonts w:ascii="Time New Roman" w:hAnsi="Time New Roman" w:hint="eastAsia"/>
          <w:lang w:val="en-GB"/>
        </w:rPr>
        <w:t>1965</w:t>
      </w:r>
      <w:r w:rsidRPr="00BF42B7">
        <w:rPr>
          <w:rFonts w:ascii="Time New Roman" w:hAnsi="Time New Roman" w:hint="eastAsia"/>
          <w:lang w:val="en-GB"/>
        </w:rPr>
        <w:t>年和</w:t>
      </w:r>
      <w:r w:rsidRPr="00BF42B7">
        <w:rPr>
          <w:rFonts w:ascii="Time New Roman" w:hAnsi="Time New Roman" w:hint="eastAsia"/>
          <w:lang w:val="en-GB"/>
        </w:rPr>
        <w:t>1966</w:t>
      </w:r>
      <w:r w:rsidRPr="00BF42B7">
        <w:rPr>
          <w:rFonts w:ascii="Time New Roman" w:hAnsi="Time New Roman" w:hint="eastAsia"/>
          <w:lang w:val="en-GB"/>
        </w:rPr>
        <w:t>年联合国与比利时、希腊、意大利、卢森堡和瑞士之间的解决协定中，可以找到各国似乎行使了外交保护权的实例。在这些协定中，联合国同意向所涉国家的国民支付赔偿金，以补偿其在刚果的行动所造成的损害。</w:t>
      </w:r>
      <w:r w:rsidRPr="00BF42B7">
        <w:rPr>
          <w:color w:val="0000FF"/>
          <w:vertAlign w:val="superscript"/>
        </w:rPr>
        <w:footnoteReference w:id="1533"/>
      </w:r>
    </w:p>
    <w:p w:rsidR="00463C13" w:rsidRDefault="00463C13">
      <w:pPr>
        <w:tabs>
          <w:tab w:val="clear" w:pos="431"/>
        </w:tabs>
        <w:overflowPunct/>
        <w:adjustRightInd/>
        <w:snapToGrid/>
        <w:spacing w:line="240" w:lineRule="auto"/>
        <w:jc w:val="left"/>
        <w:rPr>
          <w:rFonts w:eastAsia="黑体"/>
          <w:sz w:val="22"/>
          <w:lang w:val="fr-FR"/>
        </w:rPr>
      </w:pPr>
      <w:r>
        <w:rPr>
          <w:lang w:val="fr-FR"/>
        </w:rPr>
        <w:br w:type="page"/>
      </w:r>
    </w:p>
    <w:p w:rsidR="001A5FC1" w:rsidRPr="00BF42B7" w:rsidRDefault="001A5FC1" w:rsidP="001A5FC1">
      <w:pPr>
        <w:pStyle w:val="H23GC"/>
        <w:rPr>
          <w:lang w:val="fr-FR"/>
        </w:rPr>
      </w:pPr>
      <w:r w:rsidRPr="00BF42B7">
        <w:rPr>
          <w:rFonts w:hint="eastAsia"/>
          <w:lang w:val="fr-FR"/>
        </w:rPr>
        <w:tab/>
      </w:r>
      <w:r w:rsidRPr="00BF42B7">
        <w:rPr>
          <w:rFonts w:hint="eastAsia"/>
          <w:lang w:val="fr-FR"/>
        </w:rPr>
        <w:tab/>
      </w:r>
      <w:r w:rsidRPr="00BF42B7">
        <w:rPr>
          <w:rFonts w:hint="eastAsia"/>
          <w:lang w:val="fr-FR"/>
        </w:rPr>
        <w:t>参考文献选编</w:t>
      </w:r>
    </w:p>
    <w:p w:rsidR="001A5FC1" w:rsidRPr="00BF42B7" w:rsidRDefault="001A5FC1" w:rsidP="00523D41">
      <w:pPr>
        <w:spacing w:after="120" w:line="240" w:lineRule="exact"/>
        <w:ind w:left="1134" w:right="1134"/>
        <w:rPr>
          <w:rFonts w:asciiTheme="majorBidi" w:hAnsiTheme="majorBidi" w:cstheme="majorBidi"/>
          <w:szCs w:val="21"/>
          <w:lang w:val="fr-CH"/>
        </w:rPr>
      </w:pPr>
      <w:r w:rsidRPr="00BF42B7">
        <w:rPr>
          <w:rFonts w:asciiTheme="majorBidi" w:hAnsiTheme="majorBidi" w:cstheme="majorBidi"/>
          <w:szCs w:val="21"/>
          <w:lang w:val="fr-CH"/>
        </w:rPr>
        <w:t xml:space="preserve">R. Ago, ‘Les avis consultatifs “obligatoires” de la Cour internationale de justice: problèmes d’hier et d’aujourd’hui’, in Bardonnet, Combacau, Dupuy and Weil (eds.), </w:t>
      </w:r>
      <w:r w:rsidRPr="00BF42B7">
        <w:rPr>
          <w:rFonts w:asciiTheme="majorBidi" w:hAnsiTheme="majorBidi" w:cstheme="majorBidi"/>
          <w:i/>
          <w:iCs/>
          <w:szCs w:val="21"/>
          <w:lang w:val="fr-CH"/>
        </w:rPr>
        <w:t>Le droit international au service de la paix, de la justice et du développement, Mélanges Michel Virally</w:t>
      </w:r>
      <w:r w:rsidRPr="00BF42B7">
        <w:rPr>
          <w:rFonts w:asciiTheme="majorBidi" w:hAnsiTheme="majorBidi" w:cstheme="majorBidi"/>
          <w:szCs w:val="21"/>
          <w:lang w:val="fr-CH"/>
        </w:rPr>
        <w:t xml:space="preserve"> (Paris : Pedone, 1991), p. 9.</w:t>
      </w:r>
    </w:p>
    <w:p w:rsidR="001A5FC1" w:rsidRPr="00BF42B7" w:rsidRDefault="001A5FC1" w:rsidP="00523D41">
      <w:pPr>
        <w:spacing w:after="120" w:line="240" w:lineRule="exact"/>
        <w:ind w:left="1134" w:right="1134"/>
        <w:rPr>
          <w:rFonts w:asciiTheme="majorBidi" w:hAnsiTheme="majorBidi" w:cstheme="majorBidi"/>
          <w:szCs w:val="21"/>
          <w:lang w:val="en-GB"/>
        </w:rPr>
      </w:pPr>
      <w:r w:rsidRPr="00BF42B7">
        <w:rPr>
          <w:rFonts w:asciiTheme="majorBidi" w:hAnsiTheme="majorBidi" w:cstheme="majorBidi"/>
          <w:szCs w:val="21"/>
          <w:lang w:val="en-GB"/>
        </w:rPr>
        <w:t>R. Ago, ‘“Binding” Advisory Opinions of the International Court of Justice’, AJIL, vol. 85 (1991), p. 450.</w:t>
      </w:r>
    </w:p>
    <w:p w:rsidR="001A5FC1" w:rsidRPr="00BF42B7" w:rsidRDefault="001A5FC1" w:rsidP="00523D41">
      <w:pPr>
        <w:spacing w:after="120" w:line="240" w:lineRule="exact"/>
        <w:ind w:left="1134" w:right="1134"/>
        <w:rPr>
          <w:rFonts w:asciiTheme="majorBidi" w:hAnsiTheme="majorBidi" w:cstheme="majorBidi"/>
          <w:szCs w:val="21"/>
          <w:lang w:val="en-GB"/>
        </w:rPr>
      </w:pPr>
      <w:r w:rsidRPr="00BF42B7">
        <w:rPr>
          <w:rFonts w:asciiTheme="majorBidi" w:hAnsiTheme="majorBidi" w:cstheme="majorBidi"/>
          <w:szCs w:val="21"/>
          <w:lang w:val="en-GB"/>
        </w:rPr>
        <w:t xml:space="preserve">C.F. Amerasinghe, </w:t>
      </w:r>
      <w:r w:rsidRPr="00BF42B7">
        <w:rPr>
          <w:rFonts w:asciiTheme="majorBidi" w:hAnsiTheme="majorBidi" w:cstheme="majorBidi"/>
          <w:i/>
          <w:iCs/>
          <w:szCs w:val="21"/>
          <w:lang w:val="en-GB"/>
        </w:rPr>
        <w:t>Local Remedies in International Law</w:t>
      </w:r>
      <w:r w:rsidRPr="00BF42B7">
        <w:rPr>
          <w:rFonts w:asciiTheme="majorBidi" w:hAnsiTheme="majorBidi" w:cstheme="majorBidi"/>
          <w:szCs w:val="21"/>
          <w:lang w:val="en-GB"/>
        </w:rPr>
        <w:t>, 2nd edition</w:t>
      </w:r>
      <w:r w:rsidRPr="00BF42B7">
        <w:rPr>
          <w:rFonts w:asciiTheme="majorBidi" w:hAnsiTheme="majorBidi" w:cstheme="majorBidi"/>
          <w:i/>
          <w:iCs/>
          <w:szCs w:val="21"/>
          <w:lang w:val="en-GB"/>
        </w:rPr>
        <w:t xml:space="preserve"> </w:t>
      </w:r>
      <w:r w:rsidRPr="00BF42B7">
        <w:rPr>
          <w:rFonts w:asciiTheme="majorBidi" w:hAnsiTheme="majorBidi" w:cstheme="majorBidi"/>
          <w:szCs w:val="21"/>
          <w:lang w:val="en-GB"/>
        </w:rPr>
        <w:t>(Cambridge: Cambridge University Press, 2004).</w:t>
      </w:r>
    </w:p>
    <w:p w:rsidR="001A5FC1" w:rsidRPr="00BF42B7" w:rsidRDefault="001A5FC1" w:rsidP="00523D41">
      <w:pPr>
        <w:spacing w:after="120" w:line="240" w:lineRule="exact"/>
        <w:ind w:left="1134" w:right="1134"/>
        <w:rPr>
          <w:rFonts w:asciiTheme="majorBidi" w:hAnsiTheme="majorBidi" w:cstheme="majorBidi"/>
          <w:szCs w:val="21"/>
          <w:lang w:val="en-GB"/>
        </w:rPr>
      </w:pPr>
      <w:r w:rsidRPr="00BF42B7">
        <w:rPr>
          <w:rFonts w:asciiTheme="majorBidi" w:hAnsiTheme="majorBidi" w:cstheme="majorBidi"/>
          <w:szCs w:val="21"/>
          <w:lang w:val="en-GB"/>
        </w:rPr>
        <w:t xml:space="preserve">C.F. Amerasinghe, </w:t>
      </w:r>
      <w:r w:rsidRPr="00BF42B7">
        <w:rPr>
          <w:rFonts w:asciiTheme="majorBidi" w:hAnsiTheme="majorBidi" w:cstheme="majorBidi"/>
          <w:i/>
          <w:iCs/>
          <w:szCs w:val="21"/>
          <w:lang w:val="en-GB"/>
        </w:rPr>
        <w:t>Principles of the Institutional Law of International Organizations</w:t>
      </w:r>
      <w:r w:rsidRPr="00BF42B7">
        <w:rPr>
          <w:rFonts w:asciiTheme="majorBidi" w:hAnsiTheme="majorBidi" w:cstheme="majorBidi"/>
          <w:szCs w:val="21"/>
          <w:lang w:val="en-GB"/>
        </w:rPr>
        <w:t>, 2nd edition (Cambridge: Cambridge University Press, 2005).</w:t>
      </w:r>
    </w:p>
    <w:p w:rsidR="001A5FC1" w:rsidRPr="00BF42B7" w:rsidRDefault="001A5FC1" w:rsidP="00523D41">
      <w:pPr>
        <w:spacing w:after="120" w:line="240" w:lineRule="exact"/>
        <w:ind w:left="1134" w:right="1134"/>
        <w:rPr>
          <w:rFonts w:asciiTheme="majorBidi" w:hAnsiTheme="majorBidi" w:cstheme="majorBidi"/>
          <w:szCs w:val="21"/>
          <w:lang w:val="en-GB"/>
        </w:rPr>
      </w:pPr>
      <w:r w:rsidRPr="00BF42B7">
        <w:rPr>
          <w:rFonts w:asciiTheme="majorBidi" w:hAnsiTheme="majorBidi" w:cstheme="majorBidi"/>
          <w:szCs w:val="21"/>
          <w:lang w:val="en-GB"/>
        </w:rPr>
        <w:t xml:space="preserve">M. Arsanjani, “Claims against International Organizations: </w:t>
      </w:r>
      <w:r w:rsidRPr="00BF42B7">
        <w:rPr>
          <w:rFonts w:asciiTheme="majorBidi" w:hAnsiTheme="majorBidi" w:cstheme="majorBidi"/>
          <w:i/>
          <w:iCs/>
          <w:szCs w:val="21"/>
          <w:lang w:val="en-GB"/>
        </w:rPr>
        <w:t>Quis custodiet ipsos custodes</w:t>
      </w:r>
      <w:r w:rsidRPr="00BF42B7">
        <w:rPr>
          <w:rFonts w:asciiTheme="majorBidi" w:hAnsiTheme="majorBidi" w:cstheme="majorBidi"/>
          <w:szCs w:val="21"/>
          <w:lang w:val="en-GB"/>
        </w:rPr>
        <w:t xml:space="preserve">’, </w:t>
      </w:r>
      <w:r w:rsidRPr="00BF42B7">
        <w:rPr>
          <w:rFonts w:asciiTheme="majorBidi" w:hAnsiTheme="majorBidi" w:cstheme="majorBidi"/>
          <w:i/>
          <w:iCs/>
          <w:szCs w:val="21"/>
          <w:lang w:val="en-GB"/>
        </w:rPr>
        <w:t>Yale J. World Pub. Ord.</w:t>
      </w:r>
      <w:r w:rsidRPr="00BF42B7">
        <w:rPr>
          <w:rFonts w:asciiTheme="majorBidi" w:hAnsiTheme="majorBidi" w:cstheme="majorBidi"/>
          <w:szCs w:val="21"/>
          <w:lang w:val="en-GB"/>
        </w:rPr>
        <w:t>, vol. 7 (1980-1981), p. 131.</w:t>
      </w:r>
    </w:p>
    <w:p w:rsidR="001A5FC1" w:rsidRPr="00BF42B7" w:rsidRDefault="001A5FC1" w:rsidP="00523D41">
      <w:pPr>
        <w:spacing w:after="120" w:line="240" w:lineRule="exact"/>
        <w:ind w:left="1134" w:right="1134"/>
        <w:rPr>
          <w:rFonts w:asciiTheme="majorBidi" w:hAnsiTheme="majorBidi" w:cstheme="majorBidi"/>
          <w:szCs w:val="21"/>
          <w:lang w:val="fr-CH"/>
        </w:rPr>
      </w:pPr>
      <w:r w:rsidRPr="00BF42B7">
        <w:rPr>
          <w:rFonts w:asciiTheme="majorBidi" w:hAnsiTheme="majorBidi" w:cstheme="majorBidi"/>
          <w:szCs w:val="21"/>
          <w:lang w:val="fr-CH"/>
        </w:rPr>
        <w:t xml:space="preserve">O. Audéoud, “La cour internationale de Justice et le règlement des différends au sein des organisations internationales”, </w:t>
      </w:r>
      <w:r w:rsidRPr="00BF42B7">
        <w:rPr>
          <w:rFonts w:asciiTheme="majorBidi" w:hAnsiTheme="majorBidi" w:cstheme="majorBidi"/>
          <w:i/>
          <w:iCs/>
          <w:szCs w:val="21"/>
          <w:lang w:val="fr-CH"/>
        </w:rPr>
        <w:t>RGDIP</w:t>
      </w:r>
      <w:r w:rsidRPr="00BF42B7">
        <w:rPr>
          <w:rFonts w:asciiTheme="majorBidi" w:hAnsiTheme="majorBidi" w:cstheme="majorBidi"/>
          <w:szCs w:val="21"/>
          <w:lang w:val="fr-CH"/>
        </w:rPr>
        <w:t>, vol. 81 (1977), p. 945.</w:t>
      </w:r>
    </w:p>
    <w:p w:rsidR="001A5FC1" w:rsidRPr="00BF42B7" w:rsidRDefault="001A5FC1" w:rsidP="00523D41">
      <w:pPr>
        <w:spacing w:after="120" w:line="240" w:lineRule="exact"/>
        <w:ind w:left="1134" w:right="1134"/>
        <w:rPr>
          <w:rFonts w:asciiTheme="majorBidi" w:hAnsiTheme="majorBidi" w:cstheme="majorBidi"/>
          <w:szCs w:val="21"/>
          <w:lang w:val="fr-CH"/>
        </w:rPr>
      </w:pPr>
      <w:r w:rsidRPr="00BF42B7">
        <w:rPr>
          <w:rFonts w:asciiTheme="majorBidi" w:hAnsiTheme="majorBidi" w:cstheme="majorBidi"/>
          <w:szCs w:val="21"/>
          <w:lang w:val="fr-CH"/>
        </w:rPr>
        <w:t xml:space="preserve">G. Bacot, “Réflexions sur les clauses qui rendent obligatoires les avis consultatifs de le C.P.I.J. et de la C.I.J. ”, </w:t>
      </w:r>
      <w:r w:rsidRPr="00BF42B7">
        <w:rPr>
          <w:rFonts w:asciiTheme="majorBidi" w:hAnsiTheme="majorBidi" w:cstheme="majorBidi"/>
          <w:i/>
          <w:iCs/>
          <w:szCs w:val="21"/>
          <w:lang w:val="fr-CH"/>
        </w:rPr>
        <w:t>RGDIP</w:t>
      </w:r>
      <w:r w:rsidRPr="00BF42B7">
        <w:rPr>
          <w:rFonts w:asciiTheme="majorBidi" w:hAnsiTheme="majorBidi" w:cstheme="majorBidi"/>
          <w:szCs w:val="21"/>
          <w:lang w:val="fr-CH"/>
        </w:rPr>
        <w:t>, vol. 84 (1980), p. 1027.</w:t>
      </w:r>
    </w:p>
    <w:p w:rsidR="001A5FC1" w:rsidRPr="00BF42B7" w:rsidRDefault="001A5FC1" w:rsidP="00523D41">
      <w:pPr>
        <w:spacing w:after="120" w:line="240" w:lineRule="exact"/>
        <w:ind w:left="1134" w:right="1134"/>
        <w:rPr>
          <w:rFonts w:asciiTheme="majorBidi" w:hAnsiTheme="majorBidi" w:cstheme="majorBidi"/>
          <w:szCs w:val="21"/>
          <w:lang w:val="fr-CH"/>
        </w:rPr>
      </w:pPr>
      <w:r w:rsidRPr="00BF42B7">
        <w:rPr>
          <w:rFonts w:asciiTheme="majorBidi" w:hAnsiTheme="majorBidi" w:cstheme="majorBidi"/>
          <w:szCs w:val="21"/>
          <w:lang w:val="fr-CH"/>
        </w:rPr>
        <w:t xml:space="preserve">M. Bedjaoui, </w:t>
      </w:r>
      <w:r w:rsidRPr="00BF42B7">
        <w:rPr>
          <w:rFonts w:asciiTheme="majorBidi" w:hAnsiTheme="majorBidi" w:cstheme="majorBidi"/>
          <w:i/>
          <w:iCs/>
          <w:szCs w:val="21"/>
          <w:lang w:val="fr-CH"/>
        </w:rPr>
        <w:t>Les organisations internationales devant la Cour internationale de Justice : bilan et perspectives</w:t>
      </w:r>
      <w:r w:rsidRPr="00BF42B7">
        <w:rPr>
          <w:rFonts w:asciiTheme="majorBidi" w:hAnsiTheme="majorBidi" w:cstheme="majorBidi"/>
          <w:szCs w:val="21"/>
          <w:lang w:val="fr-CH"/>
        </w:rPr>
        <w:t xml:space="preserve">, address before the Sixth Committee, 24 October 1994, summarised in document </w:t>
      </w:r>
      <w:hyperlink r:id="rId133" w:history="1">
        <w:r w:rsidRPr="007F0135">
          <w:rPr>
            <w:rStyle w:val="af"/>
            <w:rFonts w:asciiTheme="majorBidi" w:hAnsiTheme="majorBidi" w:cstheme="majorBidi"/>
            <w:szCs w:val="21"/>
            <w:lang w:val="fr-CH"/>
          </w:rPr>
          <w:t xml:space="preserve">A/C.6/49/SR.16 </w:t>
        </w:r>
      </w:hyperlink>
      <w:r w:rsidRPr="00BF42B7">
        <w:rPr>
          <w:rFonts w:asciiTheme="majorBidi" w:hAnsiTheme="majorBidi" w:cstheme="majorBidi"/>
          <w:szCs w:val="21"/>
          <w:lang w:val="fr-CH"/>
        </w:rPr>
        <w:t>(1994), paras. 3-16.</w:t>
      </w:r>
    </w:p>
    <w:p w:rsidR="001A5FC1" w:rsidRPr="00BF42B7" w:rsidRDefault="00A73EB9" w:rsidP="00523D41">
      <w:pPr>
        <w:spacing w:after="120" w:line="240" w:lineRule="exact"/>
        <w:ind w:left="1134" w:right="1134"/>
        <w:rPr>
          <w:rFonts w:asciiTheme="majorBidi" w:hAnsiTheme="majorBidi" w:cstheme="majorBidi"/>
          <w:szCs w:val="21"/>
          <w:lang w:val="fr-CH"/>
        </w:rPr>
      </w:pPr>
      <w:hyperlink r:id="rId134" w:tooltip="Lire la fiche de l'auteur" w:history="1">
        <w:r w:rsidR="001A5FC1" w:rsidRPr="00BF42B7">
          <w:rPr>
            <w:rFonts w:asciiTheme="majorBidi" w:eastAsia="Times New Roman" w:hAnsiTheme="majorBidi" w:cstheme="majorBidi"/>
            <w:color w:val="58585A"/>
            <w:szCs w:val="21"/>
            <w:lang w:val="fr-CH" w:eastAsia="en-GB"/>
          </w:rPr>
          <w:t>S. Bellier</w:t>
        </w:r>
      </w:hyperlink>
      <w:r w:rsidR="001A5FC1" w:rsidRPr="00BF42B7">
        <w:rPr>
          <w:rFonts w:asciiTheme="majorBidi" w:eastAsia="Times New Roman" w:hAnsiTheme="majorBidi" w:cstheme="majorBidi"/>
          <w:color w:val="58585A"/>
          <w:szCs w:val="21"/>
          <w:lang w:val="fr-CH" w:eastAsia="en-GB"/>
        </w:rPr>
        <w:t xml:space="preserve">, </w:t>
      </w:r>
      <w:r w:rsidR="001A5FC1" w:rsidRPr="00BF42B7">
        <w:rPr>
          <w:rFonts w:asciiTheme="majorBidi" w:eastAsia="Times New Roman" w:hAnsiTheme="majorBidi" w:cstheme="majorBidi"/>
          <w:bCs/>
          <w:i/>
          <w:color w:val="58585A"/>
          <w:szCs w:val="21"/>
          <w:lang w:val="fr-CH" w:eastAsia="en-GB"/>
        </w:rPr>
        <w:t xml:space="preserve">Le recours à l'arbitrage par les organisations internationales </w:t>
      </w:r>
      <w:r w:rsidR="001A5FC1" w:rsidRPr="00BF42B7">
        <w:rPr>
          <w:rFonts w:asciiTheme="majorBidi" w:eastAsia="Times New Roman" w:hAnsiTheme="majorBidi" w:cstheme="majorBidi"/>
          <w:bCs/>
          <w:color w:val="58585A"/>
          <w:szCs w:val="21"/>
          <w:lang w:val="fr-CH" w:eastAsia="en-GB"/>
        </w:rPr>
        <w:t>(L’Harmattan, 2011).</w:t>
      </w:r>
    </w:p>
    <w:p w:rsidR="001A5FC1" w:rsidRPr="00BF42B7" w:rsidRDefault="001A5FC1" w:rsidP="00523D41">
      <w:pPr>
        <w:spacing w:after="120" w:line="240" w:lineRule="exact"/>
        <w:ind w:left="1134" w:right="1134"/>
        <w:rPr>
          <w:rFonts w:asciiTheme="majorBidi" w:hAnsiTheme="majorBidi" w:cstheme="majorBidi"/>
          <w:szCs w:val="21"/>
          <w:lang w:val="fr-CH"/>
        </w:rPr>
      </w:pPr>
      <w:r w:rsidRPr="00BF42B7">
        <w:rPr>
          <w:rFonts w:asciiTheme="majorBidi" w:hAnsiTheme="majorBidi" w:cstheme="majorBidi"/>
          <w:szCs w:val="21"/>
          <w:lang w:val="fr-CH"/>
        </w:rPr>
        <w:t xml:space="preserve">D. Bindshedler, “Le règlement des différends relatifs au statut d'un organisme international”, </w:t>
      </w:r>
      <w:r w:rsidRPr="00BF42B7">
        <w:rPr>
          <w:rFonts w:asciiTheme="majorBidi" w:hAnsiTheme="majorBidi" w:cstheme="majorBidi"/>
          <w:i/>
          <w:iCs/>
          <w:szCs w:val="21"/>
          <w:lang w:val="fr-CH"/>
        </w:rPr>
        <w:t>Recueil des Cours</w:t>
      </w:r>
      <w:r w:rsidRPr="00BF42B7">
        <w:rPr>
          <w:rFonts w:asciiTheme="majorBidi" w:hAnsiTheme="majorBidi" w:cstheme="majorBidi"/>
          <w:szCs w:val="21"/>
          <w:lang w:val="fr-CH"/>
        </w:rPr>
        <w:t>, vol. 124 (1968), p. 453.</w:t>
      </w:r>
    </w:p>
    <w:p w:rsidR="001A5FC1" w:rsidRPr="00BF42B7" w:rsidRDefault="001A5FC1" w:rsidP="00523D41">
      <w:pPr>
        <w:spacing w:after="120" w:line="240" w:lineRule="exact"/>
        <w:ind w:left="1134" w:right="1134"/>
        <w:rPr>
          <w:rFonts w:asciiTheme="majorBidi" w:hAnsiTheme="majorBidi" w:cstheme="majorBidi"/>
          <w:szCs w:val="21"/>
          <w:lang w:val="en-GB"/>
        </w:rPr>
      </w:pPr>
      <w:r w:rsidRPr="00BF42B7">
        <w:rPr>
          <w:rFonts w:asciiTheme="majorBidi" w:hAnsiTheme="majorBidi" w:cstheme="majorBidi"/>
          <w:szCs w:val="21"/>
          <w:lang w:val="en-GB"/>
        </w:rPr>
        <w:t xml:space="preserve">L. Boisson de Chazournes, “Advisory Opinions and the Furtherance of the Common Interest of Mankind”, in L. Boisson de Chazournes et al. (eds.), </w:t>
      </w:r>
      <w:r w:rsidRPr="00BF42B7">
        <w:rPr>
          <w:rFonts w:asciiTheme="majorBidi" w:hAnsiTheme="majorBidi" w:cstheme="majorBidi"/>
          <w:i/>
          <w:iCs/>
          <w:szCs w:val="21"/>
          <w:lang w:val="en-GB"/>
        </w:rPr>
        <w:t>International Organizations and International Dispute Settlement: Trends and Prospects</w:t>
      </w:r>
      <w:r w:rsidRPr="00BF42B7">
        <w:rPr>
          <w:rFonts w:asciiTheme="majorBidi" w:hAnsiTheme="majorBidi" w:cstheme="majorBidi"/>
          <w:szCs w:val="21"/>
          <w:lang w:val="en-GB"/>
        </w:rPr>
        <w:t xml:space="preserve"> (New York: Transnational Publishers, 2002), p. 105.</w:t>
      </w:r>
    </w:p>
    <w:p w:rsidR="001A5FC1" w:rsidRPr="00BF42B7" w:rsidRDefault="001A5FC1" w:rsidP="00523D41">
      <w:pPr>
        <w:spacing w:after="120" w:line="240" w:lineRule="exact"/>
        <w:ind w:left="1134" w:right="1134"/>
        <w:rPr>
          <w:rFonts w:asciiTheme="majorBidi" w:hAnsiTheme="majorBidi" w:cstheme="majorBidi"/>
          <w:szCs w:val="21"/>
          <w:lang w:val="en-GB"/>
        </w:rPr>
      </w:pPr>
      <w:r w:rsidRPr="00BF42B7">
        <w:rPr>
          <w:rFonts w:asciiTheme="majorBidi" w:hAnsiTheme="majorBidi" w:cstheme="majorBidi"/>
          <w:szCs w:val="21"/>
          <w:lang w:val="en-GB"/>
        </w:rPr>
        <w:t>D.W. Bowett, ‘To the Editor in Chief’, AJIL, vol. 86 (1992), p. 342.</w:t>
      </w:r>
    </w:p>
    <w:p w:rsidR="001A5FC1" w:rsidRPr="00BF42B7" w:rsidRDefault="001A5FC1" w:rsidP="00523D41">
      <w:pPr>
        <w:spacing w:after="120" w:line="240" w:lineRule="exact"/>
        <w:ind w:left="1134" w:right="1134"/>
        <w:rPr>
          <w:rFonts w:asciiTheme="majorBidi" w:hAnsiTheme="majorBidi" w:cstheme="majorBidi"/>
          <w:szCs w:val="21"/>
          <w:lang w:val="fr-CH"/>
        </w:rPr>
      </w:pPr>
      <w:r w:rsidRPr="00BF42B7">
        <w:rPr>
          <w:rFonts w:asciiTheme="majorBidi" w:hAnsiTheme="majorBidi" w:cstheme="majorBidi"/>
          <w:szCs w:val="21"/>
          <w:lang w:val="fr-CH"/>
        </w:rPr>
        <w:t xml:space="preserve">Ph. Cahier, </w:t>
      </w:r>
      <w:r w:rsidRPr="00BF42B7">
        <w:rPr>
          <w:rFonts w:asciiTheme="majorBidi" w:hAnsiTheme="majorBidi" w:cstheme="majorBidi"/>
          <w:i/>
          <w:iCs/>
          <w:szCs w:val="21"/>
          <w:lang w:val="fr-CH"/>
        </w:rPr>
        <w:t>Étude des accords de siège conclu entre les organisations internationales et les états où elles résident</w:t>
      </w:r>
      <w:r w:rsidRPr="00BF42B7">
        <w:rPr>
          <w:rFonts w:asciiTheme="majorBidi" w:hAnsiTheme="majorBidi" w:cstheme="majorBidi"/>
          <w:szCs w:val="21"/>
          <w:lang w:val="fr-CH"/>
        </w:rPr>
        <w:t xml:space="preserve"> (1959).</w:t>
      </w:r>
    </w:p>
    <w:p w:rsidR="001A5FC1" w:rsidRPr="00BF42B7" w:rsidRDefault="001A5FC1" w:rsidP="00523D41">
      <w:pPr>
        <w:spacing w:after="120" w:line="240" w:lineRule="exact"/>
        <w:ind w:left="1134" w:right="1134"/>
        <w:rPr>
          <w:rFonts w:asciiTheme="majorBidi" w:hAnsiTheme="majorBidi" w:cstheme="majorBidi"/>
          <w:szCs w:val="21"/>
          <w:lang w:val="fr-CH"/>
        </w:rPr>
      </w:pPr>
      <w:r w:rsidRPr="00BF42B7">
        <w:rPr>
          <w:rFonts w:asciiTheme="majorBidi" w:hAnsiTheme="majorBidi" w:cstheme="majorBidi"/>
          <w:szCs w:val="21"/>
          <w:lang w:val="fr-CH"/>
        </w:rPr>
        <w:t xml:space="preserve">Ph. Couvreur, “Développements récents concernant l’accès des organisations intergouvernementales à la procédure contentieuse devant la Cour Internationale de Justice”, in E. Yakpo and T. Boumedra (eds.), </w:t>
      </w:r>
      <w:r w:rsidRPr="00BF42B7">
        <w:rPr>
          <w:rFonts w:asciiTheme="majorBidi" w:hAnsiTheme="majorBidi" w:cstheme="majorBidi"/>
          <w:i/>
          <w:iCs/>
          <w:szCs w:val="21"/>
          <w:lang w:val="fr-CH"/>
        </w:rPr>
        <w:t>Liber Amicorum Mohammed Bedjaoui</w:t>
      </w:r>
      <w:r w:rsidRPr="00BF42B7">
        <w:rPr>
          <w:rFonts w:asciiTheme="majorBidi" w:hAnsiTheme="majorBidi" w:cstheme="majorBidi"/>
          <w:szCs w:val="21"/>
          <w:lang w:val="fr-CH"/>
        </w:rPr>
        <w:t xml:space="preserve"> (The Hague : Kluwer Law International, 1999), p. 293. </w:t>
      </w:r>
    </w:p>
    <w:p w:rsidR="001A5FC1" w:rsidRPr="00BF42B7" w:rsidRDefault="001A5FC1" w:rsidP="00523D41">
      <w:pPr>
        <w:spacing w:after="120" w:line="240" w:lineRule="exact"/>
        <w:ind w:left="1134" w:right="1134"/>
        <w:rPr>
          <w:rFonts w:asciiTheme="majorBidi" w:hAnsiTheme="majorBidi" w:cstheme="majorBidi"/>
          <w:szCs w:val="21"/>
          <w:lang w:val="fr-CH"/>
        </w:rPr>
      </w:pPr>
      <w:r w:rsidRPr="00BF42B7">
        <w:rPr>
          <w:rFonts w:asciiTheme="majorBidi" w:hAnsiTheme="majorBidi" w:cstheme="majorBidi"/>
          <w:szCs w:val="21"/>
          <w:lang w:val="fr-CH"/>
        </w:rPr>
        <w:t xml:space="preserve">R.J. Depuy, “L’adaptation de la cour internationale de Justice au monde d’aujourd’hui”, </w:t>
      </w:r>
      <w:r w:rsidRPr="00BF42B7">
        <w:rPr>
          <w:rFonts w:asciiTheme="majorBidi" w:hAnsiTheme="majorBidi" w:cstheme="majorBidi"/>
          <w:i/>
          <w:iCs/>
          <w:szCs w:val="21"/>
          <w:lang w:val="fr-CH"/>
        </w:rPr>
        <w:t>Revue belge de droit international</w:t>
      </w:r>
      <w:r w:rsidRPr="00BF42B7">
        <w:rPr>
          <w:rFonts w:asciiTheme="majorBidi" w:hAnsiTheme="majorBidi" w:cstheme="majorBidi"/>
          <w:szCs w:val="21"/>
          <w:lang w:val="fr-CH"/>
        </w:rPr>
        <w:t>, vol. 1 (1966), p. 28.</w:t>
      </w:r>
    </w:p>
    <w:p w:rsidR="001A5FC1" w:rsidRPr="00BF42B7" w:rsidRDefault="001A5FC1" w:rsidP="00523D41">
      <w:pPr>
        <w:spacing w:after="120" w:line="240" w:lineRule="exact"/>
        <w:ind w:left="1134" w:right="1134"/>
        <w:rPr>
          <w:rFonts w:asciiTheme="majorBidi" w:hAnsiTheme="majorBidi" w:cstheme="majorBidi"/>
          <w:szCs w:val="21"/>
          <w:lang w:val="fr-CH"/>
        </w:rPr>
      </w:pPr>
      <w:r w:rsidRPr="00BF42B7">
        <w:rPr>
          <w:rFonts w:asciiTheme="majorBidi" w:hAnsiTheme="majorBidi" w:cstheme="majorBidi"/>
          <w:szCs w:val="21"/>
          <w:lang w:val="fr-CH"/>
        </w:rPr>
        <w:t xml:space="preserve">Chr. Domincé, “Le règlement juridictionnel du contentieux externes des organisations internationales”, in Bardonnet, Combacau, Dupuy and Weil (eds.), </w:t>
      </w:r>
      <w:r w:rsidRPr="00BF42B7">
        <w:rPr>
          <w:rFonts w:asciiTheme="majorBidi" w:hAnsiTheme="majorBidi" w:cstheme="majorBidi"/>
          <w:i/>
          <w:iCs/>
          <w:szCs w:val="21"/>
          <w:lang w:val="fr-CH"/>
        </w:rPr>
        <w:t xml:space="preserve">Le Droit international au service de la paix, de la justice et du développement: Mélanges Michel Virally </w:t>
      </w:r>
      <w:r w:rsidRPr="00BF42B7">
        <w:rPr>
          <w:rFonts w:asciiTheme="majorBidi" w:hAnsiTheme="majorBidi" w:cstheme="majorBidi"/>
          <w:szCs w:val="21"/>
          <w:lang w:val="fr-CH"/>
        </w:rPr>
        <w:t>(Paris : Pedone, 1991), p. 225.</w:t>
      </w:r>
    </w:p>
    <w:p w:rsidR="001A5FC1" w:rsidRPr="00BF42B7" w:rsidRDefault="001A5FC1" w:rsidP="00523D41">
      <w:pPr>
        <w:spacing w:after="120" w:line="240" w:lineRule="exact"/>
        <w:ind w:left="1134" w:right="1134"/>
        <w:rPr>
          <w:rFonts w:asciiTheme="majorBidi" w:hAnsiTheme="majorBidi" w:cstheme="majorBidi"/>
          <w:szCs w:val="21"/>
          <w:lang w:val="en-GB"/>
        </w:rPr>
      </w:pPr>
      <w:r w:rsidRPr="00BF42B7">
        <w:rPr>
          <w:rFonts w:asciiTheme="majorBidi" w:hAnsiTheme="majorBidi" w:cstheme="majorBidi"/>
          <w:szCs w:val="21"/>
          <w:lang w:val="en-GB"/>
        </w:rPr>
        <w:t xml:space="preserve">Chr. Dominicé, “Request of Advisory Opinions in Contentious Cases?”, in L. Boisson de Chazournes et al.(eds.), </w:t>
      </w:r>
      <w:r w:rsidRPr="00BF42B7">
        <w:rPr>
          <w:rFonts w:asciiTheme="majorBidi" w:hAnsiTheme="majorBidi" w:cstheme="majorBidi"/>
          <w:i/>
          <w:iCs/>
          <w:szCs w:val="21"/>
          <w:lang w:val="en-GB"/>
        </w:rPr>
        <w:t>International Organizations and International Dispute Settlement: Trends and Prospects</w:t>
      </w:r>
      <w:r w:rsidRPr="00BF42B7">
        <w:rPr>
          <w:rFonts w:asciiTheme="majorBidi" w:hAnsiTheme="majorBidi" w:cstheme="majorBidi"/>
          <w:szCs w:val="21"/>
          <w:lang w:val="en-GB"/>
        </w:rPr>
        <w:t xml:space="preserve"> (New York: Transnational Publishers, 2002), p. 91.</w:t>
      </w:r>
    </w:p>
    <w:p w:rsidR="001A5FC1" w:rsidRPr="00BF42B7" w:rsidRDefault="001A5FC1" w:rsidP="00523D41">
      <w:pPr>
        <w:spacing w:after="120" w:line="240" w:lineRule="exact"/>
        <w:ind w:left="1134" w:right="1134"/>
        <w:rPr>
          <w:rFonts w:asciiTheme="majorBidi" w:hAnsiTheme="majorBidi" w:cstheme="majorBidi"/>
          <w:szCs w:val="21"/>
          <w:lang w:val="fr-CH"/>
        </w:rPr>
      </w:pPr>
      <w:r w:rsidRPr="00BF42B7">
        <w:rPr>
          <w:rFonts w:asciiTheme="majorBidi" w:hAnsiTheme="majorBidi" w:cstheme="majorBidi"/>
          <w:szCs w:val="21"/>
          <w:lang w:val="fr-CH"/>
        </w:rPr>
        <w:t xml:space="preserve">F. Dopagne, “Les différends opposant l’organisation internationale à un état ou une autre organisation international”, in E. Lagrange and J-M. Sorel (eds.), </w:t>
      </w:r>
      <w:r w:rsidRPr="00BF42B7">
        <w:rPr>
          <w:rFonts w:asciiTheme="majorBidi" w:hAnsiTheme="majorBidi" w:cstheme="majorBidi"/>
          <w:i/>
          <w:iCs/>
          <w:szCs w:val="21"/>
          <w:lang w:val="fr-CH"/>
        </w:rPr>
        <w:t>Droit des Organisations Internationales</w:t>
      </w:r>
      <w:r w:rsidRPr="00BF42B7">
        <w:rPr>
          <w:rFonts w:asciiTheme="majorBidi" w:hAnsiTheme="majorBidi" w:cstheme="majorBidi"/>
          <w:szCs w:val="21"/>
          <w:lang w:val="fr-CH"/>
        </w:rPr>
        <w:t xml:space="preserve"> (Paris : LGDJ, 2013), p. 1101.</w:t>
      </w:r>
    </w:p>
    <w:p w:rsidR="001A5FC1" w:rsidRPr="005460E2" w:rsidRDefault="001A5FC1" w:rsidP="00523D41">
      <w:pPr>
        <w:spacing w:after="120" w:line="240" w:lineRule="exact"/>
        <w:ind w:left="1134" w:right="1134"/>
        <w:rPr>
          <w:rFonts w:asciiTheme="majorBidi" w:hAnsiTheme="majorBidi" w:cstheme="majorBidi"/>
          <w:szCs w:val="21"/>
        </w:rPr>
      </w:pPr>
      <w:r w:rsidRPr="005460E2">
        <w:rPr>
          <w:rFonts w:asciiTheme="majorBidi" w:hAnsiTheme="majorBidi" w:cstheme="majorBidi"/>
          <w:szCs w:val="21"/>
        </w:rPr>
        <w:t xml:space="preserve">C. Eagleton, “International Organization and the Law of Responsibility”, </w:t>
      </w:r>
      <w:r w:rsidRPr="005460E2">
        <w:rPr>
          <w:rFonts w:asciiTheme="majorBidi" w:hAnsiTheme="majorBidi" w:cstheme="majorBidi"/>
          <w:i/>
          <w:iCs/>
          <w:szCs w:val="21"/>
        </w:rPr>
        <w:t>Recueil des Cours</w:t>
      </w:r>
      <w:r w:rsidRPr="005460E2">
        <w:rPr>
          <w:rFonts w:asciiTheme="majorBidi" w:hAnsiTheme="majorBidi" w:cstheme="majorBidi"/>
          <w:szCs w:val="21"/>
        </w:rPr>
        <w:t>, vol. 76 (1950), p.</w:t>
      </w:r>
      <w:r w:rsidRPr="005460E2">
        <w:rPr>
          <w:rFonts w:asciiTheme="majorBidi" w:hAnsiTheme="majorBidi" w:cstheme="majorBidi"/>
          <w:i/>
          <w:iCs/>
          <w:szCs w:val="21"/>
        </w:rPr>
        <w:t xml:space="preserve"> </w:t>
      </w:r>
      <w:r w:rsidRPr="005460E2">
        <w:rPr>
          <w:rFonts w:asciiTheme="majorBidi" w:hAnsiTheme="majorBidi" w:cstheme="majorBidi"/>
          <w:szCs w:val="21"/>
        </w:rPr>
        <w:t>319.</w:t>
      </w:r>
    </w:p>
    <w:p w:rsidR="001A5FC1" w:rsidRPr="00BF42B7" w:rsidRDefault="001A5FC1" w:rsidP="00523D41">
      <w:pPr>
        <w:spacing w:after="120" w:line="240" w:lineRule="exact"/>
        <w:ind w:left="1134" w:right="1134"/>
        <w:rPr>
          <w:rFonts w:asciiTheme="majorBidi" w:hAnsiTheme="majorBidi" w:cstheme="majorBidi"/>
          <w:szCs w:val="21"/>
          <w:lang w:val="en-GB"/>
        </w:rPr>
      </w:pPr>
      <w:r w:rsidRPr="00BF42B7">
        <w:rPr>
          <w:rFonts w:asciiTheme="majorBidi" w:hAnsiTheme="majorBidi" w:cstheme="majorBidi"/>
          <w:szCs w:val="21"/>
          <w:lang w:val="en-GB"/>
        </w:rPr>
        <w:t xml:space="preserve">G. Fitzmaurice, “Enlargement of the Contentious Jurisdiction of the Court”, in L. Gross (ed.), </w:t>
      </w:r>
      <w:r w:rsidRPr="00BF42B7">
        <w:rPr>
          <w:rFonts w:asciiTheme="majorBidi" w:hAnsiTheme="majorBidi" w:cstheme="majorBidi"/>
          <w:i/>
          <w:iCs/>
          <w:szCs w:val="21"/>
          <w:lang w:val="en-GB"/>
        </w:rPr>
        <w:t xml:space="preserve">The Future of the International Court of Justice </w:t>
      </w:r>
      <w:r w:rsidRPr="00BF42B7">
        <w:rPr>
          <w:rFonts w:asciiTheme="majorBidi" w:hAnsiTheme="majorBidi" w:cstheme="majorBidi"/>
          <w:szCs w:val="21"/>
          <w:lang w:val="en-GB"/>
        </w:rPr>
        <w:t>(New York: Oceana, 1976), p. 461.</w:t>
      </w:r>
    </w:p>
    <w:p w:rsidR="001A5FC1" w:rsidRPr="00BF42B7" w:rsidRDefault="001A5FC1" w:rsidP="00523D41">
      <w:pPr>
        <w:spacing w:after="120" w:line="240" w:lineRule="exact"/>
        <w:ind w:left="1134" w:right="1134"/>
        <w:rPr>
          <w:rFonts w:asciiTheme="majorBidi" w:hAnsiTheme="majorBidi" w:cstheme="majorBidi"/>
          <w:szCs w:val="21"/>
          <w:lang w:val="en-GB"/>
        </w:rPr>
      </w:pPr>
      <w:r w:rsidRPr="00BF42B7">
        <w:rPr>
          <w:rFonts w:asciiTheme="majorBidi" w:hAnsiTheme="majorBidi" w:cstheme="majorBidi"/>
          <w:szCs w:val="21"/>
          <w:lang w:val="en-GB"/>
        </w:rPr>
        <w:t>G. Fitzmaurice, “The Law and Practice of the International Court of Justice: International Organizations and Tribunals”, BYIL, vol. 29 (1952), p. 1.</w:t>
      </w:r>
    </w:p>
    <w:p w:rsidR="001A5FC1" w:rsidRPr="00BF42B7" w:rsidRDefault="001A5FC1" w:rsidP="00523D41">
      <w:pPr>
        <w:spacing w:after="120" w:line="240" w:lineRule="exact"/>
        <w:ind w:left="1134" w:right="1134"/>
        <w:rPr>
          <w:rFonts w:asciiTheme="majorBidi" w:hAnsiTheme="majorBidi" w:cstheme="majorBidi"/>
          <w:szCs w:val="21"/>
          <w:lang w:val="fr-CH"/>
        </w:rPr>
      </w:pPr>
      <w:r w:rsidRPr="00BF42B7">
        <w:rPr>
          <w:rFonts w:asciiTheme="majorBidi" w:hAnsiTheme="majorBidi" w:cstheme="majorBidi"/>
          <w:szCs w:val="21"/>
          <w:lang w:val="fr-CH"/>
        </w:rPr>
        <w:t xml:space="preserve">T. Furukawa, “Le double rôle de la Cour internationale de Justice à l’égard des organisations internationales”, in </w:t>
      </w:r>
      <w:r w:rsidRPr="00BF42B7">
        <w:rPr>
          <w:rFonts w:asciiTheme="majorBidi" w:hAnsiTheme="majorBidi" w:cstheme="majorBidi"/>
          <w:i/>
          <w:iCs/>
          <w:szCs w:val="21"/>
          <w:lang w:val="fr-CH"/>
        </w:rPr>
        <w:t xml:space="preserve">Mélanges offerts à Paul Reuter; le droit international: unité et diversité </w:t>
      </w:r>
      <w:r w:rsidRPr="00BF42B7">
        <w:rPr>
          <w:rFonts w:asciiTheme="majorBidi" w:hAnsiTheme="majorBidi" w:cstheme="majorBidi"/>
          <w:szCs w:val="21"/>
          <w:lang w:val="fr-CH"/>
        </w:rPr>
        <w:t>(Paris : Pedone, 1981), p. 293.</w:t>
      </w:r>
    </w:p>
    <w:p w:rsidR="001A5FC1" w:rsidRPr="00BF42B7" w:rsidRDefault="001A5FC1" w:rsidP="00523D41">
      <w:pPr>
        <w:spacing w:after="120" w:line="240" w:lineRule="exact"/>
        <w:ind w:left="1134" w:right="1134"/>
        <w:rPr>
          <w:rFonts w:asciiTheme="majorBidi" w:hAnsiTheme="majorBidi" w:cstheme="majorBidi"/>
          <w:szCs w:val="21"/>
          <w:lang w:val="en-GB"/>
        </w:rPr>
      </w:pPr>
      <w:r w:rsidRPr="00BF42B7">
        <w:rPr>
          <w:rFonts w:asciiTheme="majorBidi" w:hAnsiTheme="majorBidi" w:cstheme="majorBidi"/>
          <w:szCs w:val="21"/>
          <w:lang w:val="en-GB"/>
        </w:rPr>
        <w:t xml:space="preserve">L. Gross, “The International Court of Justice: Considerations of Requirements for Enhancing its Role in the International Legal Order”, in L. Gross (ed.), </w:t>
      </w:r>
      <w:r w:rsidRPr="00BF42B7">
        <w:rPr>
          <w:rFonts w:asciiTheme="majorBidi" w:hAnsiTheme="majorBidi" w:cstheme="majorBidi"/>
          <w:i/>
          <w:iCs/>
          <w:szCs w:val="21"/>
          <w:lang w:val="en-GB"/>
        </w:rPr>
        <w:t xml:space="preserve">The Future of the International Court of Justice </w:t>
      </w:r>
      <w:r w:rsidRPr="00BF42B7">
        <w:rPr>
          <w:rFonts w:asciiTheme="majorBidi" w:hAnsiTheme="majorBidi" w:cstheme="majorBidi"/>
          <w:szCs w:val="21"/>
          <w:lang w:val="en-GB"/>
        </w:rPr>
        <w:t>(New York: Oceana, 1976), p. 22.</w:t>
      </w:r>
    </w:p>
    <w:p w:rsidR="001A5FC1" w:rsidRPr="00BF42B7" w:rsidRDefault="001A5FC1" w:rsidP="00523D41">
      <w:pPr>
        <w:spacing w:after="120" w:line="240" w:lineRule="exact"/>
        <w:ind w:left="1134" w:right="1134"/>
        <w:rPr>
          <w:rFonts w:asciiTheme="majorBidi" w:hAnsiTheme="majorBidi" w:cstheme="majorBidi"/>
          <w:szCs w:val="21"/>
          <w:lang w:val="en-GB"/>
        </w:rPr>
      </w:pPr>
      <w:r w:rsidRPr="00BF42B7">
        <w:rPr>
          <w:rFonts w:asciiTheme="majorBidi" w:hAnsiTheme="majorBidi" w:cstheme="majorBidi"/>
          <w:szCs w:val="21"/>
          <w:lang w:val="en-GB"/>
        </w:rPr>
        <w:t xml:space="preserve">C. Gray, </w:t>
      </w:r>
      <w:r w:rsidRPr="00BF42B7">
        <w:rPr>
          <w:rFonts w:asciiTheme="majorBidi" w:hAnsiTheme="majorBidi" w:cstheme="majorBidi"/>
          <w:i/>
          <w:iCs/>
          <w:szCs w:val="21"/>
          <w:lang w:val="en-GB"/>
        </w:rPr>
        <w:t>Judicial Remedies in International Law</w:t>
      </w:r>
      <w:r w:rsidRPr="00BF42B7">
        <w:rPr>
          <w:rFonts w:asciiTheme="majorBidi" w:hAnsiTheme="majorBidi" w:cstheme="majorBidi"/>
          <w:szCs w:val="21"/>
          <w:lang w:val="en-GB"/>
        </w:rPr>
        <w:t xml:space="preserve"> (Oxford: Clarendon Press, 1987).</w:t>
      </w:r>
    </w:p>
    <w:p w:rsidR="001A5FC1" w:rsidRPr="00BF42B7" w:rsidRDefault="001A5FC1" w:rsidP="00523D41">
      <w:pPr>
        <w:spacing w:after="120" w:line="240" w:lineRule="exact"/>
        <w:ind w:left="1134" w:right="1134"/>
        <w:rPr>
          <w:rFonts w:asciiTheme="majorBidi" w:hAnsiTheme="majorBidi" w:cstheme="majorBidi"/>
          <w:szCs w:val="21"/>
          <w:lang w:val="fr-CH"/>
        </w:rPr>
      </w:pPr>
      <w:r w:rsidRPr="00BF42B7">
        <w:rPr>
          <w:rFonts w:asciiTheme="majorBidi" w:hAnsiTheme="majorBidi" w:cstheme="majorBidi"/>
          <w:szCs w:val="21"/>
          <w:lang w:val="fr-CH"/>
        </w:rPr>
        <w:t xml:space="preserve">M. Guillaume, ‘La réparation des dommages causés par les contingents français en ex-Yougoslavie et en Albanie’, AFDI, vol. 43 (1997), p. 151.  </w:t>
      </w:r>
    </w:p>
    <w:p w:rsidR="001A5FC1" w:rsidRPr="00BF42B7" w:rsidRDefault="001A5FC1" w:rsidP="00523D41">
      <w:pPr>
        <w:spacing w:after="120" w:line="240" w:lineRule="exact"/>
        <w:ind w:left="1134" w:right="1134"/>
        <w:rPr>
          <w:rFonts w:asciiTheme="majorBidi" w:hAnsiTheme="majorBidi" w:cstheme="majorBidi"/>
          <w:szCs w:val="21"/>
          <w:lang w:val="en-GB"/>
        </w:rPr>
      </w:pPr>
      <w:r w:rsidRPr="00BF42B7">
        <w:rPr>
          <w:rFonts w:asciiTheme="majorBidi" w:hAnsiTheme="majorBidi" w:cstheme="majorBidi"/>
          <w:szCs w:val="21"/>
          <w:lang w:val="en-GB"/>
        </w:rPr>
        <w:t>M.J.L. Hardy, ‘Claims by International Organizations in Respect of Injuries to their Agents’, BYIL, vol. 37 (1961), p. 516.</w:t>
      </w:r>
    </w:p>
    <w:p w:rsidR="001A5FC1" w:rsidRPr="00BF42B7" w:rsidRDefault="001A5FC1" w:rsidP="00523D41">
      <w:pPr>
        <w:spacing w:after="120" w:line="240" w:lineRule="exact"/>
        <w:ind w:left="1134" w:right="1134"/>
        <w:rPr>
          <w:rFonts w:asciiTheme="majorBidi" w:hAnsiTheme="majorBidi" w:cstheme="majorBidi"/>
          <w:szCs w:val="21"/>
          <w:lang w:val="en-GB"/>
        </w:rPr>
      </w:pPr>
      <w:r w:rsidRPr="00BF42B7">
        <w:rPr>
          <w:rFonts w:asciiTheme="majorBidi" w:hAnsiTheme="majorBidi" w:cstheme="majorBidi"/>
          <w:szCs w:val="21"/>
          <w:lang w:val="en-GB"/>
        </w:rPr>
        <w:t>F. Hoffmeister, P.  Ondrusek, ‘</w:t>
      </w:r>
      <w:hyperlink r:id="rId135" w:history="1">
        <w:r w:rsidRPr="00BF42B7">
          <w:rPr>
            <w:rStyle w:val="af"/>
            <w:rFonts w:asciiTheme="majorBidi" w:hAnsiTheme="majorBidi" w:cstheme="majorBidi"/>
            <w:szCs w:val="21"/>
            <w:lang w:val="en-GB"/>
          </w:rPr>
          <w:t>The European Community in International Litigation</w:t>
        </w:r>
      </w:hyperlink>
      <w:r w:rsidRPr="00BF42B7">
        <w:rPr>
          <w:rFonts w:asciiTheme="majorBidi" w:hAnsiTheme="majorBidi" w:cstheme="majorBidi"/>
          <w:szCs w:val="21"/>
          <w:lang w:val="en-GB"/>
        </w:rPr>
        <w:t xml:space="preserve">’, </w:t>
      </w:r>
      <w:r w:rsidRPr="00BF42B7">
        <w:rPr>
          <w:rFonts w:asciiTheme="majorBidi" w:hAnsiTheme="majorBidi" w:cstheme="majorBidi"/>
          <w:i/>
          <w:iCs/>
          <w:szCs w:val="21"/>
          <w:lang w:val="en-GB"/>
        </w:rPr>
        <w:t>Revue Hellénique de Droit International</w:t>
      </w:r>
      <w:r w:rsidRPr="00BF42B7">
        <w:rPr>
          <w:rFonts w:asciiTheme="majorBidi" w:hAnsiTheme="majorBidi" w:cstheme="majorBidi"/>
          <w:szCs w:val="21"/>
          <w:lang w:val="en-GB"/>
        </w:rPr>
        <w:t>, vol. 61 (2008), p. 205</w:t>
      </w:r>
    </w:p>
    <w:p w:rsidR="001A5FC1" w:rsidRPr="00BF42B7" w:rsidRDefault="001A5FC1" w:rsidP="00523D41">
      <w:pPr>
        <w:spacing w:after="120" w:line="240" w:lineRule="exact"/>
        <w:ind w:left="1134" w:right="1134"/>
        <w:rPr>
          <w:rFonts w:asciiTheme="majorBidi" w:hAnsiTheme="majorBidi" w:cstheme="majorBidi"/>
          <w:szCs w:val="21"/>
          <w:lang w:val="fr-CH"/>
        </w:rPr>
      </w:pPr>
      <w:r w:rsidRPr="00BF42B7">
        <w:rPr>
          <w:rFonts w:asciiTheme="majorBidi" w:hAnsiTheme="majorBidi" w:cstheme="majorBidi"/>
          <w:szCs w:val="21"/>
          <w:lang w:val="en-GB"/>
        </w:rPr>
        <w:t>F. Hoffmeister, ‘</w:t>
      </w:r>
      <w:hyperlink r:id="rId136" w:history="1">
        <w:r w:rsidRPr="00BF42B7">
          <w:rPr>
            <w:rStyle w:val="af"/>
            <w:rFonts w:asciiTheme="majorBidi" w:hAnsiTheme="majorBidi" w:cstheme="majorBidi"/>
            <w:szCs w:val="21"/>
            <w:lang w:val="en-GB"/>
          </w:rPr>
          <w:t>The European Union and the Peaceful Settlement of International Disputes</w:t>
        </w:r>
      </w:hyperlink>
      <w:r w:rsidRPr="00BF42B7">
        <w:rPr>
          <w:rFonts w:asciiTheme="majorBidi" w:hAnsiTheme="majorBidi" w:cstheme="majorBidi"/>
          <w:szCs w:val="21"/>
          <w:lang w:val="en-GB"/>
        </w:rPr>
        <w:t xml:space="preserve">’. </w:t>
      </w:r>
      <w:r w:rsidRPr="00BF42B7">
        <w:rPr>
          <w:rFonts w:asciiTheme="majorBidi" w:hAnsiTheme="majorBidi" w:cstheme="majorBidi"/>
          <w:i/>
          <w:iCs/>
          <w:szCs w:val="21"/>
          <w:lang w:val="fr-CH"/>
        </w:rPr>
        <w:t>Chinese Journal of International Law</w:t>
      </w:r>
      <w:r w:rsidRPr="00BF42B7">
        <w:rPr>
          <w:rFonts w:asciiTheme="majorBidi" w:hAnsiTheme="majorBidi" w:cstheme="majorBidi"/>
          <w:szCs w:val="21"/>
          <w:lang w:val="fr-CH"/>
        </w:rPr>
        <w:t>, vol. 11 (2012), p. 77.​</w:t>
      </w:r>
    </w:p>
    <w:p w:rsidR="001A5FC1" w:rsidRPr="00BF42B7" w:rsidRDefault="001A5FC1" w:rsidP="00523D41">
      <w:pPr>
        <w:spacing w:after="120" w:line="240" w:lineRule="exact"/>
        <w:ind w:left="1134" w:right="1134"/>
        <w:rPr>
          <w:rFonts w:asciiTheme="majorBidi" w:hAnsiTheme="majorBidi" w:cstheme="majorBidi"/>
          <w:szCs w:val="21"/>
          <w:lang w:val="fr-CH"/>
        </w:rPr>
      </w:pPr>
      <w:r w:rsidRPr="00BF42B7">
        <w:rPr>
          <w:rFonts w:asciiTheme="majorBidi" w:hAnsiTheme="majorBidi" w:cstheme="majorBidi"/>
          <w:szCs w:val="21"/>
          <w:lang w:val="fr-CH"/>
        </w:rPr>
        <w:t xml:space="preserve">Institut de Droit international (Huber, rapporteur), </w:t>
      </w:r>
      <w:r w:rsidRPr="00BF42B7">
        <w:rPr>
          <w:rFonts w:asciiTheme="majorBidi" w:hAnsiTheme="majorBidi" w:cstheme="majorBidi"/>
          <w:i/>
          <w:iCs/>
          <w:szCs w:val="21"/>
          <w:lang w:val="fr-CH"/>
        </w:rPr>
        <w:t xml:space="preserve">Etude des amendements à apporter au Statut de la Cour internationale de Justice </w:t>
      </w:r>
      <w:r w:rsidRPr="00BF42B7">
        <w:rPr>
          <w:rFonts w:asciiTheme="majorBidi" w:hAnsiTheme="majorBidi" w:cstheme="majorBidi"/>
          <w:szCs w:val="21"/>
          <w:lang w:val="fr-CH"/>
        </w:rPr>
        <w:t>(1954).</w:t>
      </w:r>
    </w:p>
    <w:p w:rsidR="001A5FC1" w:rsidRPr="00BF42B7" w:rsidRDefault="001A5FC1" w:rsidP="00523D41">
      <w:pPr>
        <w:spacing w:after="120" w:line="240" w:lineRule="exact"/>
        <w:ind w:left="1134" w:right="1134"/>
        <w:rPr>
          <w:rFonts w:asciiTheme="majorBidi" w:hAnsiTheme="majorBidi" w:cstheme="majorBidi"/>
          <w:szCs w:val="21"/>
          <w:lang w:val="fr-CH"/>
        </w:rPr>
      </w:pPr>
      <w:r w:rsidRPr="00BF42B7">
        <w:rPr>
          <w:rFonts w:asciiTheme="majorBidi" w:hAnsiTheme="majorBidi" w:cstheme="majorBidi"/>
          <w:szCs w:val="21"/>
          <w:lang w:val="fr-CH"/>
        </w:rPr>
        <w:t xml:space="preserve">Institut de Droit international (Wengler, rapporteur), </w:t>
      </w:r>
      <w:r w:rsidRPr="00BF42B7">
        <w:rPr>
          <w:rFonts w:asciiTheme="majorBidi" w:hAnsiTheme="majorBidi" w:cstheme="majorBidi"/>
          <w:i/>
          <w:iCs/>
          <w:szCs w:val="21"/>
          <w:lang w:val="fr-CH"/>
        </w:rPr>
        <w:t>Recours judiciaires à instituer contre les décisions d’organes internationaux</w:t>
      </w:r>
      <w:r w:rsidRPr="00BF42B7">
        <w:rPr>
          <w:rFonts w:asciiTheme="majorBidi" w:hAnsiTheme="majorBidi" w:cstheme="majorBidi"/>
          <w:szCs w:val="21"/>
          <w:lang w:val="fr-CH"/>
        </w:rPr>
        <w:t xml:space="preserve"> (1957).</w:t>
      </w:r>
    </w:p>
    <w:p w:rsidR="001A5FC1" w:rsidRPr="00BF42B7" w:rsidRDefault="001A5FC1" w:rsidP="00523D41">
      <w:pPr>
        <w:spacing w:after="120" w:line="240" w:lineRule="exact"/>
        <w:ind w:left="1134" w:right="1134"/>
        <w:rPr>
          <w:rFonts w:asciiTheme="majorBidi" w:hAnsiTheme="majorBidi" w:cstheme="majorBidi"/>
          <w:szCs w:val="21"/>
          <w:lang w:val="en-GB"/>
        </w:rPr>
      </w:pPr>
      <w:r w:rsidRPr="00BF42B7">
        <w:rPr>
          <w:rFonts w:asciiTheme="majorBidi" w:hAnsiTheme="majorBidi" w:cstheme="majorBidi"/>
          <w:szCs w:val="21"/>
          <w:lang w:val="en-GB"/>
        </w:rPr>
        <w:t xml:space="preserve">International Law Association, </w:t>
      </w:r>
      <w:r w:rsidRPr="00BF42B7">
        <w:rPr>
          <w:rFonts w:asciiTheme="majorBidi" w:hAnsiTheme="majorBidi" w:cstheme="majorBidi"/>
          <w:i/>
          <w:iCs/>
          <w:szCs w:val="21"/>
          <w:lang w:val="en-GB"/>
        </w:rPr>
        <w:t>Resolutions: International Arbitration</w:t>
      </w:r>
      <w:r w:rsidRPr="00BF42B7">
        <w:rPr>
          <w:rFonts w:asciiTheme="majorBidi" w:hAnsiTheme="majorBidi" w:cstheme="majorBidi"/>
          <w:szCs w:val="21"/>
          <w:lang w:val="en-GB"/>
        </w:rPr>
        <w:t>, Int’l L. Ass’n Rep. Conf., vol. 52 (1966), p. xii.</w:t>
      </w:r>
    </w:p>
    <w:p w:rsidR="001A5FC1" w:rsidRPr="00BF42B7" w:rsidRDefault="001A5FC1" w:rsidP="00523D41">
      <w:pPr>
        <w:spacing w:after="120" w:line="240" w:lineRule="exact"/>
        <w:ind w:left="1134" w:right="1134"/>
        <w:rPr>
          <w:rFonts w:asciiTheme="majorBidi" w:hAnsiTheme="majorBidi" w:cstheme="majorBidi"/>
          <w:szCs w:val="21"/>
          <w:lang w:val="en-GB"/>
        </w:rPr>
      </w:pPr>
      <w:r w:rsidRPr="00BF42B7">
        <w:rPr>
          <w:rFonts w:asciiTheme="majorBidi" w:hAnsiTheme="majorBidi" w:cstheme="majorBidi"/>
          <w:szCs w:val="21"/>
          <w:lang w:val="en-GB"/>
        </w:rPr>
        <w:t xml:space="preserve">International Law Association (Schwarzenberger, rapporteur), </w:t>
      </w:r>
      <w:r w:rsidRPr="00BF42B7">
        <w:rPr>
          <w:rFonts w:asciiTheme="majorBidi" w:hAnsiTheme="majorBidi" w:cstheme="majorBidi"/>
          <w:i/>
          <w:iCs/>
          <w:szCs w:val="21"/>
          <w:lang w:val="en-GB"/>
        </w:rPr>
        <w:t>Review of the Charter of the United Nations</w:t>
      </w:r>
      <w:r w:rsidRPr="00BF42B7">
        <w:rPr>
          <w:rFonts w:asciiTheme="majorBidi" w:hAnsiTheme="majorBidi" w:cstheme="majorBidi"/>
          <w:szCs w:val="21"/>
          <w:lang w:val="en-GB"/>
        </w:rPr>
        <w:t>, Int’l L. Ass’n Rep. Conf., vol. 47 (1956), p. viii.</w:t>
      </w:r>
    </w:p>
    <w:p w:rsidR="001A5FC1" w:rsidRPr="00BF42B7" w:rsidRDefault="001A5FC1" w:rsidP="00523D41">
      <w:pPr>
        <w:spacing w:after="120" w:line="240" w:lineRule="exact"/>
        <w:ind w:left="1134" w:right="1134"/>
        <w:rPr>
          <w:rFonts w:asciiTheme="majorBidi" w:hAnsiTheme="majorBidi" w:cstheme="majorBidi"/>
          <w:szCs w:val="21"/>
          <w:lang w:val="en-GB"/>
        </w:rPr>
      </w:pPr>
      <w:r w:rsidRPr="00BF42B7">
        <w:rPr>
          <w:rFonts w:asciiTheme="majorBidi" w:hAnsiTheme="majorBidi" w:cstheme="majorBidi"/>
          <w:szCs w:val="21"/>
          <w:lang w:val="en-GB"/>
        </w:rPr>
        <w:t xml:space="preserve">International Law Association (Shaw and Wellens, co-rapporteurs), </w:t>
      </w:r>
      <w:r w:rsidRPr="00BF42B7">
        <w:rPr>
          <w:rFonts w:asciiTheme="majorBidi" w:hAnsiTheme="majorBidi" w:cstheme="majorBidi"/>
          <w:i/>
          <w:iCs/>
          <w:szCs w:val="21"/>
          <w:lang w:val="en-GB"/>
        </w:rPr>
        <w:t>Final Report on Accountability of International Organisations</w:t>
      </w:r>
      <w:r w:rsidRPr="00BF42B7">
        <w:rPr>
          <w:rFonts w:asciiTheme="majorBidi" w:hAnsiTheme="majorBidi" w:cstheme="majorBidi"/>
          <w:szCs w:val="21"/>
          <w:lang w:val="en-GB"/>
        </w:rPr>
        <w:t>, 71 Int’l L. Ass’n Rep. Conf., vol. 71 (2004), p. 164.</w:t>
      </w:r>
    </w:p>
    <w:p w:rsidR="001A5FC1" w:rsidRPr="00BF42B7" w:rsidRDefault="001A5FC1" w:rsidP="00523D41">
      <w:pPr>
        <w:spacing w:after="120" w:line="240" w:lineRule="exact"/>
        <w:ind w:left="1134" w:right="1134"/>
        <w:rPr>
          <w:rFonts w:asciiTheme="majorBidi" w:hAnsiTheme="majorBidi" w:cstheme="majorBidi"/>
          <w:szCs w:val="21"/>
          <w:lang w:val="en-GB"/>
        </w:rPr>
      </w:pPr>
      <w:r w:rsidRPr="00BF42B7">
        <w:rPr>
          <w:rFonts w:asciiTheme="majorBidi" w:hAnsiTheme="majorBidi" w:cstheme="majorBidi"/>
          <w:szCs w:val="21"/>
          <w:lang w:val="en-GB"/>
        </w:rPr>
        <w:t xml:space="preserve">C.W. Jenks, </w:t>
      </w:r>
      <w:r w:rsidRPr="00BF42B7">
        <w:rPr>
          <w:rFonts w:asciiTheme="majorBidi" w:hAnsiTheme="majorBidi" w:cstheme="majorBidi"/>
          <w:i/>
          <w:iCs/>
          <w:szCs w:val="21"/>
          <w:lang w:val="en-GB"/>
        </w:rPr>
        <w:t xml:space="preserve">The Prospects of International Adjudication </w:t>
      </w:r>
      <w:r w:rsidRPr="00BF42B7">
        <w:rPr>
          <w:rFonts w:asciiTheme="majorBidi" w:hAnsiTheme="majorBidi" w:cstheme="majorBidi"/>
          <w:szCs w:val="21"/>
          <w:lang w:val="en-GB"/>
        </w:rPr>
        <w:t>(London: Stevens, 1964).</w:t>
      </w:r>
    </w:p>
    <w:p w:rsidR="001A5FC1" w:rsidRPr="00BF42B7" w:rsidRDefault="001A5FC1" w:rsidP="00523D41">
      <w:pPr>
        <w:spacing w:after="120" w:line="240" w:lineRule="exact"/>
        <w:ind w:left="1134" w:right="1134"/>
        <w:rPr>
          <w:rFonts w:asciiTheme="majorBidi" w:hAnsiTheme="majorBidi" w:cstheme="majorBidi"/>
          <w:szCs w:val="21"/>
          <w:lang w:val="en-GB"/>
        </w:rPr>
      </w:pPr>
      <w:r w:rsidRPr="00BF42B7">
        <w:rPr>
          <w:rFonts w:asciiTheme="majorBidi" w:hAnsiTheme="majorBidi" w:cstheme="majorBidi"/>
          <w:szCs w:val="21"/>
          <w:lang w:val="en-GB"/>
        </w:rPr>
        <w:t xml:space="preserve">C.W. Jenks, “The Status of International Organizations in Relation to the International Court of Justice”, </w:t>
      </w:r>
      <w:r w:rsidRPr="00BF42B7">
        <w:rPr>
          <w:rFonts w:asciiTheme="majorBidi" w:hAnsiTheme="majorBidi" w:cstheme="majorBidi"/>
          <w:i/>
          <w:iCs/>
          <w:szCs w:val="21"/>
          <w:lang w:val="en-GB"/>
        </w:rPr>
        <w:t>Transactions Grotius Society</w:t>
      </w:r>
      <w:r w:rsidRPr="00BF42B7">
        <w:rPr>
          <w:rFonts w:asciiTheme="majorBidi" w:hAnsiTheme="majorBidi" w:cstheme="majorBidi"/>
          <w:szCs w:val="21"/>
          <w:lang w:val="en-GB"/>
        </w:rPr>
        <w:t>, vol. 32 (1946), p. 1.</w:t>
      </w:r>
    </w:p>
    <w:p w:rsidR="001A5FC1" w:rsidRPr="00BF42B7" w:rsidRDefault="001A5FC1" w:rsidP="00523D41">
      <w:pPr>
        <w:spacing w:after="120" w:line="240" w:lineRule="exact"/>
        <w:ind w:left="1134" w:right="1134"/>
        <w:rPr>
          <w:rFonts w:asciiTheme="majorBidi" w:hAnsiTheme="majorBidi" w:cstheme="majorBidi"/>
          <w:b/>
          <w:i/>
          <w:szCs w:val="21"/>
          <w:lang w:val="fr-CH"/>
        </w:rPr>
      </w:pPr>
      <w:r w:rsidRPr="00BF42B7">
        <w:rPr>
          <w:rFonts w:asciiTheme="majorBidi" w:hAnsiTheme="majorBidi" w:cstheme="majorBidi"/>
          <w:szCs w:val="21"/>
          <w:lang w:val="fr-CH"/>
        </w:rPr>
        <w:t xml:space="preserve">R.Y. Jennings, “Comité restreint sur le règlement pacifique des différends: Note préliminaire”, </w:t>
      </w:r>
      <w:r w:rsidRPr="00BF42B7">
        <w:rPr>
          <w:rFonts w:asciiTheme="majorBidi" w:hAnsiTheme="majorBidi" w:cstheme="majorBidi"/>
          <w:i/>
          <w:iCs/>
          <w:szCs w:val="21"/>
          <w:lang w:val="fr-CH"/>
        </w:rPr>
        <w:t>Annuaire IDI</w:t>
      </w:r>
      <w:r w:rsidRPr="00BF42B7">
        <w:rPr>
          <w:rFonts w:asciiTheme="majorBidi" w:hAnsiTheme="majorBidi" w:cstheme="majorBidi"/>
          <w:szCs w:val="21"/>
          <w:lang w:val="fr-CH"/>
        </w:rPr>
        <w:t>, vol. 65 (1993-II), p. 281.</w:t>
      </w:r>
    </w:p>
    <w:p w:rsidR="001A5FC1" w:rsidRPr="00BF42B7" w:rsidRDefault="001A5FC1" w:rsidP="00523D41">
      <w:pPr>
        <w:spacing w:after="120" w:line="240" w:lineRule="exact"/>
        <w:ind w:left="1134" w:right="1134"/>
        <w:rPr>
          <w:rFonts w:asciiTheme="majorBidi" w:hAnsiTheme="majorBidi" w:cstheme="majorBidi"/>
          <w:szCs w:val="21"/>
          <w:lang w:val="en-GB"/>
        </w:rPr>
      </w:pPr>
      <w:r w:rsidRPr="00BF42B7">
        <w:rPr>
          <w:rFonts w:asciiTheme="majorBidi" w:hAnsiTheme="majorBidi" w:cstheme="majorBidi"/>
          <w:szCs w:val="21"/>
          <w:lang w:val="en-GB"/>
        </w:rPr>
        <w:t>R.Y. Jennings, “The International Court of Justice at Fifty”, AJIL, vol. 89 (1995), p. 493.</w:t>
      </w:r>
    </w:p>
    <w:p w:rsidR="001A5FC1" w:rsidRPr="00BF42B7" w:rsidRDefault="001A5FC1" w:rsidP="00523D41">
      <w:pPr>
        <w:spacing w:after="120" w:line="240" w:lineRule="exact"/>
        <w:ind w:left="1134" w:right="1134"/>
        <w:rPr>
          <w:rFonts w:asciiTheme="majorBidi" w:hAnsiTheme="majorBidi" w:cstheme="majorBidi"/>
          <w:szCs w:val="21"/>
          <w:lang w:val="en-GB"/>
        </w:rPr>
      </w:pPr>
      <w:r w:rsidRPr="00BF42B7">
        <w:rPr>
          <w:rFonts w:asciiTheme="majorBidi" w:hAnsiTheme="majorBidi" w:cstheme="majorBidi"/>
          <w:szCs w:val="21"/>
          <w:lang w:val="en-GB"/>
        </w:rPr>
        <w:t>L. Jully, “Arbitration and Judicial Settlement: Recent Trends”, AJIL, vol. 48 (1954), p. 380.</w:t>
      </w:r>
    </w:p>
    <w:p w:rsidR="001A5FC1" w:rsidRPr="00BF42B7" w:rsidRDefault="001A5FC1" w:rsidP="00523D41">
      <w:pPr>
        <w:spacing w:after="120" w:line="240" w:lineRule="exact"/>
        <w:ind w:left="1134" w:right="1134"/>
        <w:rPr>
          <w:rFonts w:asciiTheme="majorBidi" w:hAnsiTheme="majorBidi" w:cstheme="majorBidi"/>
          <w:szCs w:val="21"/>
          <w:lang w:val="en-GB"/>
        </w:rPr>
      </w:pPr>
      <w:r w:rsidRPr="00BF42B7">
        <w:rPr>
          <w:rFonts w:asciiTheme="majorBidi" w:hAnsiTheme="majorBidi" w:cstheme="majorBidi"/>
          <w:szCs w:val="21"/>
          <w:lang w:val="en-GB"/>
        </w:rPr>
        <w:t xml:space="preserve">J. Klabbers, </w:t>
      </w:r>
      <w:r w:rsidRPr="00BF42B7">
        <w:rPr>
          <w:rFonts w:asciiTheme="majorBidi" w:hAnsiTheme="majorBidi" w:cstheme="majorBidi"/>
          <w:i/>
          <w:iCs/>
          <w:szCs w:val="21"/>
          <w:lang w:val="en-GB"/>
        </w:rPr>
        <w:t>Advanced Introduction to the Law of International Organizations</w:t>
      </w:r>
      <w:r w:rsidRPr="00BF42B7">
        <w:rPr>
          <w:rFonts w:asciiTheme="majorBidi" w:hAnsiTheme="majorBidi" w:cstheme="majorBidi"/>
          <w:szCs w:val="21"/>
          <w:lang w:val="en-GB"/>
        </w:rPr>
        <w:t xml:space="preserve"> (Cheltenham: E. Elgar, 2015).</w:t>
      </w:r>
    </w:p>
    <w:p w:rsidR="001A5FC1" w:rsidRPr="00BF42B7" w:rsidRDefault="001A5FC1" w:rsidP="00523D41">
      <w:pPr>
        <w:spacing w:after="120" w:line="240" w:lineRule="exact"/>
        <w:ind w:left="1134" w:right="1134"/>
        <w:rPr>
          <w:rFonts w:asciiTheme="majorBidi" w:hAnsiTheme="majorBidi" w:cstheme="majorBidi"/>
          <w:szCs w:val="21"/>
          <w:lang w:val="en-GB"/>
        </w:rPr>
      </w:pPr>
      <w:r w:rsidRPr="00BF42B7">
        <w:rPr>
          <w:rFonts w:asciiTheme="majorBidi" w:hAnsiTheme="majorBidi" w:cstheme="majorBidi"/>
          <w:szCs w:val="21"/>
          <w:lang w:val="en-GB"/>
        </w:rPr>
        <w:t xml:space="preserve">E. Lauterpacht, </w:t>
      </w:r>
      <w:r w:rsidRPr="00BF42B7">
        <w:rPr>
          <w:rFonts w:asciiTheme="majorBidi" w:hAnsiTheme="majorBidi" w:cstheme="majorBidi"/>
          <w:i/>
          <w:iCs/>
          <w:szCs w:val="21"/>
          <w:lang w:val="en-GB"/>
        </w:rPr>
        <w:t>Aspects of the Administration of International Justice</w:t>
      </w:r>
      <w:r w:rsidRPr="00BF42B7">
        <w:rPr>
          <w:rFonts w:asciiTheme="majorBidi" w:hAnsiTheme="majorBidi" w:cstheme="majorBidi"/>
          <w:szCs w:val="21"/>
          <w:lang w:val="en-GB"/>
        </w:rPr>
        <w:t xml:space="preserve"> (Cambridge: Grotius Publications, 1991).</w:t>
      </w:r>
    </w:p>
    <w:p w:rsidR="001A5FC1" w:rsidRPr="00BF42B7" w:rsidRDefault="001A5FC1" w:rsidP="00523D41">
      <w:pPr>
        <w:spacing w:after="120" w:line="240" w:lineRule="exact"/>
        <w:ind w:left="1134" w:right="1134"/>
        <w:rPr>
          <w:rFonts w:asciiTheme="majorBidi" w:hAnsiTheme="majorBidi" w:cstheme="majorBidi"/>
          <w:szCs w:val="21"/>
          <w:lang w:val="en-GB"/>
        </w:rPr>
      </w:pPr>
      <w:r w:rsidRPr="00BF42B7">
        <w:rPr>
          <w:rFonts w:asciiTheme="majorBidi" w:hAnsiTheme="majorBidi" w:cstheme="majorBidi"/>
          <w:szCs w:val="21"/>
          <w:lang w:val="en-GB"/>
        </w:rPr>
        <w:t xml:space="preserve">H. Lauterpacht, </w:t>
      </w:r>
      <w:r w:rsidRPr="00BF42B7">
        <w:rPr>
          <w:rFonts w:asciiTheme="majorBidi" w:hAnsiTheme="majorBidi" w:cstheme="majorBidi"/>
          <w:i/>
          <w:iCs/>
          <w:szCs w:val="21"/>
          <w:lang w:val="en-GB"/>
        </w:rPr>
        <w:t>International Law and Human Rights</w:t>
      </w:r>
      <w:r w:rsidRPr="00BF42B7">
        <w:rPr>
          <w:rFonts w:asciiTheme="majorBidi" w:hAnsiTheme="majorBidi" w:cstheme="majorBidi"/>
          <w:szCs w:val="21"/>
          <w:lang w:val="en-GB"/>
        </w:rPr>
        <w:t xml:space="preserve"> (London: Stevens, 1950).</w:t>
      </w:r>
    </w:p>
    <w:p w:rsidR="001A5FC1" w:rsidRPr="00BF42B7" w:rsidRDefault="001A5FC1" w:rsidP="00523D41">
      <w:pPr>
        <w:spacing w:after="120" w:line="240" w:lineRule="exact"/>
        <w:ind w:left="1134" w:right="1134"/>
        <w:rPr>
          <w:rFonts w:asciiTheme="majorBidi" w:hAnsiTheme="majorBidi" w:cstheme="majorBidi"/>
          <w:szCs w:val="21"/>
          <w:lang w:val="en-GB"/>
        </w:rPr>
      </w:pPr>
      <w:r w:rsidRPr="00BF42B7">
        <w:rPr>
          <w:rFonts w:asciiTheme="majorBidi" w:hAnsiTheme="majorBidi" w:cstheme="majorBidi"/>
          <w:szCs w:val="21"/>
          <w:lang w:val="en-GB"/>
        </w:rPr>
        <w:t xml:space="preserve">H. Lauterpacht, “The Revision of the Statute of the International Court of Justice” (1 September 1955), edited by E. Lauterpacht and reproduced in </w:t>
      </w:r>
      <w:r w:rsidRPr="00BF42B7">
        <w:rPr>
          <w:rFonts w:asciiTheme="majorBidi" w:hAnsiTheme="majorBidi" w:cstheme="majorBidi"/>
          <w:i/>
          <w:szCs w:val="21"/>
          <w:lang w:val="en-GB"/>
        </w:rPr>
        <w:t>Law and Practice of International Courts and Tribunals</w:t>
      </w:r>
      <w:r w:rsidRPr="00BF42B7">
        <w:rPr>
          <w:rFonts w:asciiTheme="majorBidi" w:hAnsiTheme="majorBidi" w:cstheme="majorBidi"/>
          <w:iCs/>
          <w:szCs w:val="21"/>
          <w:lang w:val="en-GB"/>
        </w:rPr>
        <w:t>, vol. 1 (2002), p.</w:t>
      </w:r>
      <w:r w:rsidRPr="00BF42B7">
        <w:rPr>
          <w:rFonts w:asciiTheme="majorBidi" w:hAnsiTheme="majorBidi" w:cstheme="majorBidi"/>
          <w:szCs w:val="21"/>
          <w:lang w:val="en-GB"/>
        </w:rPr>
        <w:t xml:space="preserve"> 57.</w:t>
      </w:r>
    </w:p>
    <w:p w:rsidR="001A5FC1" w:rsidRPr="00BF42B7" w:rsidRDefault="001A5FC1" w:rsidP="00523D41">
      <w:pPr>
        <w:spacing w:after="120" w:line="240" w:lineRule="exact"/>
        <w:ind w:left="1134" w:right="1134"/>
        <w:rPr>
          <w:rFonts w:asciiTheme="majorBidi" w:hAnsiTheme="majorBidi" w:cstheme="majorBidi"/>
          <w:szCs w:val="21"/>
          <w:lang w:val="en-GB"/>
        </w:rPr>
      </w:pPr>
      <w:r w:rsidRPr="00BF42B7">
        <w:rPr>
          <w:rFonts w:asciiTheme="majorBidi" w:hAnsiTheme="majorBidi" w:cstheme="majorBidi"/>
          <w:szCs w:val="21"/>
          <w:lang w:val="en-GB"/>
        </w:rPr>
        <w:t xml:space="preserve">B. F. MacPherson, </w:t>
      </w:r>
      <w:r w:rsidRPr="00BF42B7">
        <w:rPr>
          <w:rFonts w:asciiTheme="majorBidi" w:hAnsiTheme="majorBidi" w:cstheme="majorBidi"/>
          <w:i/>
          <w:iCs/>
          <w:szCs w:val="21"/>
          <w:lang w:val="en-GB"/>
        </w:rPr>
        <w:t>World Court Enhancements to Advance the Rule of Law</w:t>
      </w:r>
      <w:r w:rsidRPr="00BF42B7">
        <w:rPr>
          <w:rFonts w:asciiTheme="majorBidi" w:hAnsiTheme="majorBidi" w:cstheme="majorBidi"/>
          <w:szCs w:val="21"/>
          <w:lang w:val="en-GB"/>
        </w:rPr>
        <w:t>, Monograph No. 13 of the Center for UN Reform Education (1994).</w:t>
      </w:r>
    </w:p>
    <w:p w:rsidR="001A5FC1" w:rsidRPr="00BF42B7" w:rsidRDefault="001A5FC1" w:rsidP="00523D41">
      <w:pPr>
        <w:spacing w:after="120" w:line="240" w:lineRule="exact"/>
        <w:ind w:left="1134" w:right="1134"/>
        <w:rPr>
          <w:rFonts w:asciiTheme="majorBidi" w:hAnsiTheme="majorBidi" w:cstheme="majorBidi"/>
          <w:szCs w:val="21"/>
          <w:lang w:val="en-GB"/>
        </w:rPr>
      </w:pPr>
      <w:r w:rsidRPr="00BF42B7">
        <w:rPr>
          <w:rFonts w:asciiTheme="majorBidi" w:hAnsiTheme="majorBidi" w:cstheme="majorBidi"/>
          <w:szCs w:val="21"/>
          <w:lang w:val="en-GB"/>
        </w:rPr>
        <w:t>B. Martenczuk, “The Security Council, the International Court and Judicial Review: What Lessons from Lockerbie?”, EJIL, vol. 10 (1999), p. 517.</w:t>
      </w:r>
    </w:p>
    <w:p w:rsidR="001A5FC1" w:rsidRPr="00BF42B7" w:rsidRDefault="001A5FC1" w:rsidP="00523D41">
      <w:pPr>
        <w:spacing w:after="120" w:line="240" w:lineRule="exact"/>
        <w:ind w:left="1134" w:right="1134"/>
        <w:rPr>
          <w:rFonts w:asciiTheme="majorBidi" w:hAnsiTheme="majorBidi" w:cstheme="majorBidi"/>
          <w:szCs w:val="21"/>
          <w:lang w:val="fr-CH"/>
        </w:rPr>
      </w:pPr>
      <w:r w:rsidRPr="00BF42B7">
        <w:rPr>
          <w:rFonts w:asciiTheme="majorBidi" w:hAnsiTheme="majorBidi" w:cstheme="majorBidi"/>
          <w:szCs w:val="21"/>
          <w:lang w:val="fr-CH"/>
        </w:rPr>
        <w:t xml:space="preserve">J. Moussé, </w:t>
      </w:r>
      <w:r w:rsidRPr="00BF42B7">
        <w:rPr>
          <w:rFonts w:asciiTheme="majorBidi" w:hAnsiTheme="majorBidi" w:cstheme="majorBidi"/>
          <w:i/>
          <w:iCs/>
          <w:szCs w:val="21"/>
          <w:lang w:val="fr-CH"/>
        </w:rPr>
        <w:t xml:space="preserve">Le contentieux des organisations internationales et de l'Union européenne </w:t>
      </w:r>
      <w:r w:rsidRPr="00BF42B7">
        <w:rPr>
          <w:rFonts w:asciiTheme="majorBidi" w:hAnsiTheme="majorBidi" w:cstheme="majorBidi"/>
          <w:szCs w:val="21"/>
          <w:lang w:val="fr-CH"/>
        </w:rPr>
        <w:t>(Bruxelles : Bruylant, 1997).</w:t>
      </w:r>
    </w:p>
    <w:p w:rsidR="001A5FC1" w:rsidRPr="00BF42B7" w:rsidRDefault="001A5FC1" w:rsidP="00523D41">
      <w:pPr>
        <w:spacing w:after="120" w:line="240" w:lineRule="exact"/>
        <w:ind w:left="1134" w:right="1134"/>
        <w:rPr>
          <w:rFonts w:asciiTheme="majorBidi" w:hAnsiTheme="majorBidi" w:cstheme="majorBidi"/>
          <w:szCs w:val="21"/>
          <w:lang w:val="en-GB"/>
        </w:rPr>
      </w:pPr>
      <w:r w:rsidRPr="00BF42B7">
        <w:rPr>
          <w:rFonts w:asciiTheme="majorBidi" w:hAnsiTheme="majorBidi" w:cstheme="majorBidi"/>
          <w:szCs w:val="21"/>
          <w:lang w:val="en-GB"/>
        </w:rPr>
        <w:t xml:space="preserve">A.S. Muller, </w:t>
      </w:r>
      <w:r w:rsidRPr="00BF42B7">
        <w:rPr>
          <w:rFonts w:asciiTheme="majorBidi" w:hAnsiTheme="majorBidi" w:cstheme="majorBidi"/>
          <w:i/>
          <w:iCs/>
          <w:szCs w:val="21"/>
          <w:lang w:val="en-GB"/>
        </w:rPr>
        <w:t>International Organizations and their Host States: Aspects of their Legal Relationship</w:t>
      </w:r>
      <w:r w:rsidRPr="00BF42B7">
        <w:rPr>
          <w:rFonts w:asciiTheme="majorBidi" w:hAnsiTheme="majorBidi" w:cstheme="majorBidi"/>
          <w:szCs w:val="21"/>
          <w:lang w:val="en-GB"/>
        </w:rPr>
        <w:t xml:space="preserve"> (Boston: Nijhoff, 1995).</w:t>
      </w:r>
    </w:p>
    <w:p w:rsidR="001A5FC1" w:rsidRPr="00BF42B7" w:rsidRDefault="001A5FC1" w:rsidP="00523D41">
      <w:pPr>
        <w:spacing w:after="120" w:line="240" w:lineRule="exact"/>
        <w:ind w:left="1134" w:right="1134"/>
        <w:rPr>
          <w:rFonts w:asciiTheme="majorBidi" w:hAnsiTheme="majorBidi" w:cstheme="majorBidi"/>
          <w:szCs w:val="21"/>
          <w:lang w:val="en-GB"/>
        </w:rPr>
      </w:pPr>
      <w:r w:rsidRPr="00BF42B7">
        <w:rPr>
          <w:rFonts w:asciiTheme="majorBidi" w:hAnsiTheme="majorBidi" w:cstheme="majorBidi"/>
          <w:szCs w:val="21"/>
          <w:lang w:val="en-GB"/>
        </w:rPr>
        <w:t xml:space="preserve">C. Parry, “Some Considerations upon the Protection of Individuals in International Law”, </w:t>
      </w:r>
      <w:r w:rsidRPr="00BF42B7">
        <w:rPr>
          <w:rFonts w:asciiTheme="majorBidi" w:hAnsiTheme="majorBidi" w:cstheme="majorBidi"/>
          <w:i/>
          <w:iCs/>
          <w:szCs w:val="21"/>
          <w:lang w:val="en-GB"/>
        </w:rPr>
        <w:t>Recueil des Cours</w:t>
      </w:r>
      <w:r w:rsidRPr="00BF42B7">
        <w:rPr>
          <w:rFonts w:asciiTheme="majorBidi" w:hAnsiTheme="majorBidi" w:cstheme="majorBidi"/>
          <w:szCs w:val="21"/>
          <w:lang w:val="en-GB"/>
        </w:rPr>
        <w:t>, vol. 90 (1956), p.</w:t>
      </w:r>
      <w:r w:rsidRPr="00BF42B7">
        <w:rPr>
          <w:rFonts w:asciiTheme="majorBidi" w:hAnsiTheme="majorBidi" w:cstheme="majorBidi"/>
          <w:i/>
          <w:iCs/>
          <w:szCs w:val="21"/>
          <w:lang w:val="en-GB"/>
        </w:rPr>
        <w:t xml:space="preserve"> </w:t>
      </w:r>
      <w:r w:rsidRPr="00BF42B7">
        <w:rPr>
          <w:rFonts w:asciiTheme="majorBidi" w:hAnsiTheme="majorBidi" w:cstheme="majorBidi"/>
          <w:szCs w:val="21"/>
          <w:lang w:val="en-GB"/>
        </w:rPr>
        <w:t>654.</w:t>
      </w:r>
    </w:p>
    <w:p w:rsidR="001A5FC1" w:rsidRPr="00BF42B7" w:rsidRDefault="001A5FC1" w:rsidP="00523D41">
      <w:pPr>
        <w:spacing w:after="120" w:line="240" w:lineRule="exact"/>
        <w:ind w:left="1134" w:right="1134"/>
        <w:rPr>
          <w:rFonts w:asciiTheme="majorBidi" w:hAnsiTheme="majorBidi" w:cstheme="majorBidi"/>
          <w:szCs w:val="21"/>
          <w:lang w:val="en-GB"/>
        </w:rPr>
      </w:pPr>
      <w:r w:rsidRPr="00BF42B7">
        <w:rPr>
          <w:rFonts w:asciiTheme="majorBidi" w:hAnsiTheme="majorBidi" w:cstheme="majorBidi"/>
          <w:szCs w:val="21"/>
          <w:lang w:val="en-GB"/>
        </w:rPr>
        <w:t xml:space="preserve">Permanent Court of Arbitration, </w:t>
      </w:r>
      <w:r w:rsidRPr="00BF42B7">
        <w:rPr>
          <w:rFonts w:asciiTheme="majorBidi" w:hAnsiTheme="majorBidi" w:cstheme="majorBidi"/>
          <w:i/>
          <w:iCs/>
          <w:szCs w:val="21"/>
          <w:lang w:val="en-GB"/>
        </w:rPr>
        <w:t>Optional Rules for Arbitration Involving International Organizations and States</w:t>
      </w:r>
      <w:r w:rsidRPr="00BF42B7">
        <w:rPr>
          <w:rFonts w:asciiTheme="majorBidi" w:hAnsiTheme="majorBidi" w:cstheme="majorBidi"/>
          <w:szCs w:val="21"/>
          <w:lang w:val="en-GB"/>
        </w:rPr>
        <w:t xml:space="preserve"> (1996).</w:t>
      </w:r>
    </w:p>
    <w:p w:rsidR="001A5FC1" w:rsidRPr="00BF42B7" w:rsidRDefault="001A5FC1" w:rsidP="00523D41">
      <w:pPr>
        <w:spacing w:after="120" w:line="240" w:lineRule="exact"/>
        <w:ind w:left="1134" w:right="1134"/>
        <w:rPr>
          <w:rFonts w:asciiTheme="majorBidi" w:hAnsiTheme="majorBidi" w:cstheme="majorBidi"/>
          <w:szCs w:val="21"/>
          <w:lang w:val="en-GB"/>
        </w:rPr>
      </w:pPr>
      <w:r w:rsidRPr="00BF42B7">
        <w:rPr>
          <w:rFonts w:asciiTheme="majorBidi" w:hAnsiTheme="majorBidi" w:cstheme="majorBidi"/>
          <w:i/>
          <w:iCs/>
          <w:szCs w:val="21"/>
          <w:lang w:val="en-GB"/>
        </w:rPr>
        <w:t>The practice of the United Nations, the specialized agencies and the International Atomic Energy Agency concerning their status, privileges and immunities: study prepared by the Secretariat</w:t>
      </w:r>
      <w:r w:rsidRPr="00BF42B7">
        <w:rPr>
          <w:rFonts w:asciiTheme="majorBidi" w:hAnsiTheme="majorBidi" w:cstheme="majorBidi"/>
          <w:szCs w:val="21"/>
          <w:lang w:val="en-GB"/>
        </w:rPr>
        <w:t xml:space="preserve">, document </w:t>
      </w:r>
      <w:hyperlink r:id="rId137" w:history="1">
        <w:r w:rsidRPr="007F0135">
          <w:rPr>
            <w:rStyle w:val="af"/>
            <w:rFonts w:asciiTheme="majorBidi" w:hAnsiTheme="majorBidi" w:cstheme="majorBidi"/>
            <w:szCs w:val="21"/>
            <w:lang w:val="en-GB"/>
          </w:rPr>
          <w:t>A/CN.4/L.118</w:t>
        </w:r>
      </w:hyperlink>
      <w:r w:rsidRPr="00BF42B7">
        <w:rPr>
          <w:rFonts w:asciiTheme="majorBidi" w:hAnsiTheme="majorBidi" w:cstheme="majorBidi"/>
          <w:szCs w:val="21"/>
          <w:lang w:val="en-GB"/>
        </w:rPr>
        <w:t xml:space="preserve"> and Add.1 and Add.2 (1967).</w:t>
      </w:r>
    </w:p>
    <w:p w:rsidR="001A5FC1" w:rsidRPr="00BF42B7" w:rsidRDefault="001A5FC1" w:rsidP="00523D41">
      <w:pPr>
        <w:spacing w:after="120" w:line="240" w:lineRule="exact"/>
        <w:ind w:left="1134" w:right="1134"/>
        <w:rPr>
          <w:rFonts w:asciiTheme="majorBidi" w:hAnsiTheme="majorBidi" w:cstheme="majorBidi"/>
          <w:szCs w:val="21"/>
          <w:lang w:val="en-GB"/>
        </w:rPr>
      </w:pPr>
      <w:r w:rsidRPr="00BF42B7">
        <w:rPr>
          <w:rFonts w:asciiTheme="majorBidi" w:hAnsiTheme="majorBidi" w:cstheme="majorBidi"/>
          <w:szCs w:val="21"/>
          <w:lang w:val="en-GB"/>
        </w:rPr>
        <w:t xml:space="preserve">A. Reinisch, </w:t>
      </w:r>
      <w:r w:rsidRPr="00BF42B7">
        <w:rPr>
          <w:rFonts w:asciiTheme="majorBidi" w:hAnsiTheme="majorBidi" w:cstheme="majorBidi"/>
          <w:i/>
          <w:iCs/>
          <w:szCs w:val="21"/>
          <w:lang w:val="en-GB"/>
        </w:rPr>
        <w:t>International Organizations Before National Courts</w:t>
      </w:r>
      <w:r w:rsidRPr="00BF42B7">
        <w:rPr>
          <w:rFonts w:asciiTheme="majorBidi" w:hAnsiTheme="majorBidi" w:cstheme="majorBidi"/>
          <w:szCs w:val="21"/>
          <w:lang w:val="en-GB"/>
        </w:rPr>
        <w:t xml:space="preserve"> (Cambridge: Cambridge University Press, 2000).</w:t>
      </w:r>
    </w:p>
    <w:p w:rsidR="001A5FC1" w:rsidRPr="00BF42B7" w:rsidRDefault="001A5FC1" w:rsidP="00523D41">
      <w:pPr>
        <w:spacing w:after="120" w:line="240" w:lineRule="exact"/>
        <w:ind w:left="1134" w:right="1134"/>
        <w:rPr>
          <w:rFonts w:asciiTheme="majorBidi" w:hAnsiTheme="majorBidi" w:cstheme="majorBidi"/>
          <w:szCs w:val="21"/>
          <w:lang w:val="en-GB"/>
        </w:rPr>
      </w:pPr>
      <w:r w:rsidRPr="00BF42B7">
        <w:rPr>
          <w:rFonts w:asciiTheme="majorBidi" w:hAnsiTheme="majorBidi" w:cstheme="majorBidi"/>
          <w:szCs w:val="21"/>
          <w:lang w:val="en-GB"/>
        </w:rPr>
        <w:t xml:space="preserve">A. Reinisch (ed.), </w:t>
      </w:r>
      <w:r w:rsidRPr="00BF42B7">
        <w:rPr>
          <w:rFonts w:asciiTheme="majorBidi" w:hAnsiTheme="majorBidi" w:cstheme="majorBidi"/>
          <w:i/>
          <w:iCs/>
          <w:szCs w:val="21"/>
          <w:lang w:val="en-GB"/>
        </w:rPr>
        <w:t>The Conventions on the Privileges and Immunities of the United Nations and Its Specialized Agencies: A Commentary</w:t>
      </w:r>
      <w:r w:rsidRPr="00BF42B7">
        <w:rPr>
          <w:rFonts w:asciiTheme="majorBidi" w:hAnsiTheme="majorBidi" w:cstheme="majorBidi"/>
          <w:szCs w:val="21"/>
          <w:lang w:val="en-GB"/>
        </w:rPr>
        <w:t xml:space="preserve"> (Oxford: Oxford University Press, 2016).</w:t>
      </w:r>
    </w:p>
    <w:p w:rsidR="001A5FC1" w:rsidRPr="00BF42B7" w:rsidRDefault="001A5FC1" w:rsidP="00523D41">
      <w:pPr>
        <w:spacing w:after="120" w:line="240" w:lineRule="exact"/>
        <w:ind w:left="1134" w:right="1134"/>
        <w:rPr>
          <w:rFonts w:asciiTheme="majorBidi" w:hAnsiTheme="majorBidi" w:cstheme="majorBidi"/>
          <w:szCs w:val="21"/>
          <w:lang w:val="en-GB"/>
        </w:rPr>
      </w:pPr>
      <w:r w:rsidRPr="00BF42B7">
        <w:rPr>
          <w:rFonts w:asciiTheme="majorBidi" w:hAnsiTheme="majorBidi" w:cstheme="majorBidi"/>
          <w:i/>
          <w:iCs/>
          <w:szCs w:val="21"/>
          <w:lang w:val="en-GB"/>
        </w:rPr>
        <w:t>Review of the Role of the International Court of Justice: Report of the Secretary General</w:t>
      </w:r>
      <w:r w:rsidRPr="00BF42B7">
        <w:rPr>
          <w:rFonts w:asciiTheme="majorBidi" w:hAnsiTheme="majorBidi" w:cstheme="majorBidi"/>
          <w:szCs w:val="21"/>
          <w:lang w:val="en-GB"/>
        </w:rPr>
        <w:t xml:space="preserve">, document </w:t>
      </w:r>
      <w:hyperlink r:id="rId138" w:history="1">
        <w:r w:rsidRPr="007F0135">
          <w:rPr>
            <w:rStyle w:val="af"/>
            <w:rFonts w:asciiTheme="majorBidi" w:hAnsiTheme="majorBidi" w:cstheme="majorBidi"/>
            <w:szCs w:val="21"/>
            <w:lang w:val="en-GB"/>
          </w:rPr>
          <w:t>A/8382</w:t>
        </w:r>
      </w:hyperlink>
      <w:r w:rsidRPr="00BF42B7">
        <w:rPr>
          <w:rFonts w:asciiTheme="majorBidi" w:hAnsiTheme="majorBidi" w:cstheme="majorBidi"/>
          <w:szCs w:val="21"/>
          <w:lang w:val="en-GB"/>
        </w:rPr>
        <w:t xml:space="preserve"> and Add.1, Add.2, Add.3 and Add.4 (1971).</w:t>
      </w:r>
    </w:p>
    <w:p w:rsidR="001A5FC1" w:rsidRPr="00BF42B7" w:rsidRDefault="001A5FC1" w:rsidP="00523D41">
      <w:pPr>
        <w:spacing w:after="120" w:line="240" w:lineRule="exact"/>
        <w:ind w:left="1134" w:right="1134"/>
        <w:rPr>
          <w:rFonts w:asciiTheme="majorBidi" w:hAnsiTheme="majorBidi" w:cstheme="majorBidi"/>
          <w:szCs w:val="21"/>
          <w:lang w:val="fr-CH"/>
        </w:rPr>
      </w:pPr>
      <w:r w:rsidRPr="00BF42B7">
        <w:rPr>
          <w:rFonts w:asciiTheme="majorBidi" w:hAnsiTheme="majorBidi" w:cstheme="majorBidi"/>
          <w:szCs w:val="21"/>
          <w:lang w:val="fr-CH"/>
        </w:rPr>
        <w:t>J.P. Ritter, “La protection diplomatique à l’égard d’une organisation internationale”, AFDI, vol. 8 (1962), p. 427.</w:t>
      </w:r>
    </w:p>
    <w:p w:rsidR="001A5FC1" w:rsidRPr="00BF42B7" w:rsidRDefault="001A5FC1" w:rsidP="00523D41">
      <w:pPr>
        <w:spacing w:after="120" w:line="240" w:lineRule="exact"/>
        <w:ind w:left="1134" w:right="1134"/>
        <w:rPr>
          <w:rFonts w:asciiTheme="majorBidi" w:hAnsiTheme="majorBidi" w:cstheme="majorBidi"/>
          <w:szCs w:val="21"/>
          <w:lang w:val="en-GB"/>
        </w:rPr>
      </w:pPr>
      <w:r w:rsidRPr="00BF42B7">
        <w:rPr>
          <w:rFonts w:asciiTheme="majorBidi" w:hAnsiTheme="majorBidi" w:cstheme="majorBidi"/>
          <w:szCs w:val="21"/>
          <w:lang w:val="en-GB"/>
        </w:rPr>
        <w:t xml:space="preserve">A.M. la Rosa, “Links Between the ILO and the ICJ: A Less than Perfect Match”, in L. Boisson de Chazournes et al. (eds.), </w:t>
      </w:r>
      <w:r w:rsidRPr="00BF42B7">
        <w:rPr>
          <w:rFonts w:asciiTheme="majorBidi" w:hAnsiTheme="majorBidi" w:cstheme="majorBidi"/>
          <w:i/>
          <w:iCs/>
          <w:szCs w:val="21"/>
          <w:lang w:val="en-GB"/>
        </w:rPr>
        <w:t>International Organizations and International Dispute Settlement: Trends and Prospects</w:t>
      </w:r>
      <w:r w:rsidRPr="00BF42B7">
        <w:rPr>
          <w:rFonts w:asciiTheme="majorBidi" w:hAnsiTheme="majorBidi" w:cstheme="majorBidi"/>
          <w:szCs w:val="21"/>
          <w:lang w:val="en-GB"/>
        </w:rPr>
        <w:t xml:space="preserve"> (New York: Transnational Publishers, 2002), p. 119.</w:t>
      </w:r>
    </w:p>
    <w:p w:rsidR="001A5FC1" w:rsidRPr="00BF42B7" w:rsidRDefault="001A5FC1" w:rsidP="00523D41">
      <w:pPr>
        <w:spacing w:after="120" w:line="240" w:lineRule="exact"/>
        <w:ind w:left="1134" w:right="1134"/>
        <w:rPr>
          <w:rFonts w:asciiTheme="majorBidi" w:hAnsiTheme="majorBidi" w:cstheme="majorBidi"/>
          <w:szCs w:val="21"/>
          <w:lang w:val="en-GB"/>
        </w:rPr>
      </w:pPr>
      <w:r w:rsidRPr="00BF42B7">
        <w:rPr>
          <w:rFonts w:asciiTheme="majorBidi" w:hAnsiTheme="majorBidi" w:cstheme="majorBidi"/>
          <w:szCs w:val="21"/>
          <w:lang w:val="en-GB"/>
        </w:rPr>
        <w:t xml:space="preserve">C.P.R. Romano, “International Organizations and the International Judicial Process: An Overview”, in L. Boisson de Chazournes et al. (eds.) </w:t>
      </w:r>
      <w:r w:rsidRPr="00BF42B7">
        <w:rPr>
          <w:rFonts w:asciiTheme="majorBidi" w:hAnsiTheme="majorBidi" w:cstheme="majorBidi"/>
          <w:i/>
          <w:iCs/>
          <w:szCs w:val="21"/>
          <w:lang w:val="en-GB"/>
        </w:rPr>
        <w:t>International Organizations and International Dispute Settlement: Trends and Prospects</w:t>
      </w:r>
      <w:r w:rsidRPr="00BF42B7">
        <w:rPr>
          <w:rFonts w:asciiTheme="majorBidi" w:hAnsiTheme="majorBidi" w:cstheme="majorBidi"/>
          <w:szCs w:val="21"/>
          <w:lang w:val="en-GB"/>
        </w:rPr>
        <w:t xml:space="preserve"> (New York: Transnational Publishers, 2002), p. 3.</w:t>
      </w:r>
    </w:p>
    <w:p w:rsidR="001A5FC1" w:rsidRPr="00BF42B7" w:rsidRDefault="001A5FC1" w:rsidP="00523D41">
      <w:pPr>
        <w:spacing w:after="120" w:line="240" w:lineRule="exact"/>
        <w:ind w:left="1134" w:right="1134"/>
        <w:rPr>
          <w:rFonts w:asciiTheme="majorBidi" w:hAnsiTheme="majorBidi" w:cstheme="majorBidi"/>
          <w:szCs w:val="21"/>
          <w:lang w:val="en-GB"/>
        </w:rPr>
      </w:pPr>
      <w:r w:rsidRPr="00BF42B7">
        <w:rPr>
          <w:rFonts w:asciiTheme="majorBidi" w:hAnsiTheme="majorBidi" w:cstheme="majorBidi"/>
          <w:szCs w:val="21"/>
          <w:lang w:val="en-GB"/>
        </w:rPr>
        <w:t xml:space="preserve">Sh. Rosenne, </w:t>
      </w:r>
      <w:r w:rsidRPr="00BF42B7">
        <w:rPr>
          <w:rFonts w:asciiTheme="majorBidi" w:hAnsiTheme="majorBidi" w:cstheme="majorBidi"/>
          <w:i/>
          <w:iCs/>
          <w:szCs w:val="21"/>
          <w:lang w:val="en-GB"/>
        </w:rPr>
        <w:t>The Law and Practice of the International Court 1920-2005</w:t>
      </w:r>
      <w:r w:rsidRPr="00BF42B7">
        <w:rPr>
          <w:rFonts w:asciiTheme="majorBidi" w:hAnsiTheme="majorBidi" w:cstheme="majorBidi"/>
          <w:szCs w:val="21"/>
          <w:lang w:val="en-GB"/>
        </w:rPr>
        <w:t>, 4th edition (Leiden: Nijhoff, 2006).</w:t>
      </w:r>
    </w:p>
    <w:p w:rsidR="001A5FC1" w:rsidRPr="00BF42B7" w:rsidRDefault="001A5FC1" w:rsidP="00523D41">
      <w:pPr>
        <w:spacing w:after="120" w:line="240" w:lineRule="exact"/>
        <w:ind w:left="1134" w:right="1134"/>
        <w:rPr>
          <w:rFonts w:asciiTheme="majorBidi" w:hAnsiTheme="majorBidi" w:cstheme="majorBidi"/>
          <w:szCs w:val="21"/>
          <w:lang w:val="en-GB"/>
        </w:rPr>
      </w:pPr>
      <w:r w:rsidRPr="00BF42B7">
        <w:rPr>
          <w:rFonts w:asciiTheme="majorBidi" w:hAnsiTheme="majorBidi" w:cstheme="majorBidi"/>
          <w:szCs w:val="21"/>
          <w:lang w:val="en-GB"/>
        </w:rPr>
        <w:t xml:space="preserve">S. Schwebel, “Authorizing the Secretary-General of the United Nations to Request Advisory Opinions of the ICJ”, in Makarczyk (ed.), </w:t>
      </w:r>
      <w:r w:rsidRPr="00BF42B7">
        <w:rPr>
          <w:rFonts w:asciiTheme="majorBidi" w:hAnsiTheme="majorBidi" w:cstheme="majorBidi"/>
          <w:i/>
          <w:iCs/>
          <w:szCs w:val="21"/>
          <w:lang w:val="en-GB"/>
        </w:rPr>
        <w:t>Essays in International Law in Honor of Judge Manfred Lachs</w:t>
      </w:r>
      <w:r w:rsidRPr="00BF42B7">
        <w:rPr>
          <w:rFonts w:asciiTheme="majorBidi" w:hAnsiTheme="majorBidi" w:cstheme="majorBidi"/>
          <w:szCs w:val="21"/>
          <w:lang w:val="en-GB"/>
        </w:rPr>
        <w:t xml:space="preserve"> (The Hague: Nijhoff, 1984), p. 519.</w:t>
      </w:r>
    </w:p>
    <w:p w:rsidR="001A5FC1" w:rsidRPr="00BF42B7" w:rsidRDefault="001A5FC1" w:rsidP="00523D41">
      <w:pPr>
        <w:spacing w:after="120" w:line="240" w:lineRule="exact"/>
        <w:ind w:left="1134" w:right="1134"/>
        <w:rPr>
          <w:rFonts w:asciiTheme="majorBidi" w:hAnsiTheme="majorBidi" w:cstheme="majorBidi"/>
          <w:szCs w:val="21"/>
          <w:lang w:val="en-GB"/>
        </w:rPr>
      </w:pPr>
      <w:r w:rsidRPr="00BF42B7">
        <w:rPr>
          <w:rFonts w:asciiTheme="majorBidi" w:hAnsiTheme="majorBidi" w:cstheme="majorBidi"/>
          <w:szCs w:val="21"/>
          <w:lang w:val="en-GB"/>
        </w:rPr>
        <w:t xml:space="preserve">I. Seidl-Hohenveldern, “Access of International Organizations to the International Court of Justice”, in A.S. Muller et al. (eds.), </w:t>
      </w:r>
      <w:r w:rsidRPr="00BF42B7">
        <w:rPr>
          <w:rFonts w:asciiTheme="majorBidi" w:hAnsiTheme="majorBidi" w:cstheme="majorBidi"/>
          <w:i/>
          <w:iCs/>
          <w:szCs w:val="21"/>
          <w:lang w:val="en-GB"/>
        </w:rPr>
        <w:t>The International Court of Justice: Its Future Role After Fifty Years</w:t>
      </w:r>
      <w:r w:rsidRPr="00BF42B7">
        <w:rPr>
          <w:rFonts w:asciiTheme="majorBidi" w:hAnsiTheme="majorBidi" w:cstheme="majorBidi"/>
          <w:szCs w:val="21"/>
          <w:lang w:val="en-GB"/>
        </w:rPr>
        <w:t xml:space="preserve"> (The Hague: Nijhoff, 1997), p. 189.</w:t>
      </w:r>
    </w:p>
    <w:p w:rsidR="001A5FC1" w:rsidRPr="00BF42B7" w:rsidRDefault="001A5FC1" w:rsidP="00523D41">
      <w:pPr>
        <w:spacing w:after="120" w:line="240" w:lineRule="exact"/>
        <w:ind w:left="1134" w:right="1134"/>
        <w:rPr>
          <w:rFonts w:asciiTheme="majorBidi" w:hAnsiTheme="majorBidi" w:cstheme="majorBidi"/>
          <w:szCs w:val="21"/>
          <w:lang w:val="en-GB"/>
        </w:rPr>
      </w:pPr>
      <w:r w:rsidRPr="00BF42B7">
        <w:rPr>
          <w:rFonts w:asciiTheme="majorBidi" w:hAnsiTheme="majorBidi" w:cstheme="majorBidi"/>
          <w:szCs w:val="21"/>
          <w:lang w:val="en-GB"/>
        </w:rPr>
        <w:t>F. Seyersted, “Settlement of Internal Disputes of Intergovernmental Organizations by Internal and External Courts”, ZaöRV, vol. 24 (1964), p. 1.</w:t>
      </w:r>
    </w:p>
    <w:p w:rsidR="001A5FC1" w:rsidRPr="00BF42B7" w:rsidRDefault="001A5FC1" w:rsidP="00523D41">
      <w:pPr>
        <w:spacing w:after="120" w:line="240" w:lineRule="exact"/>
        <w:ind w:left="1134" w:right="1134"/>
        <w:rPr>
          <w:rFonts w:asciiTheme="majorBidi" w:hAnsiTheme="majorBidi" w:cstheme="majorBidi"/>
          <w:szCs w:val="21"/>
          <w:lang w:val="en-GB"/>
        </w:rPr>
      </w:pPr>
      <w:r w:rsidRPr="00BF42B7">
        <w:rPr>
          <w:rFonts w:asciiTheme="majorBidi" w:hAnsiTheme="majorBidi" w:cstheme="majorBidi"/>
          <w:szCs w:val="21"/>
          <w:lang w:val="en-GB"/>
        </w:rPr>
        <w:t xml:space="preserve">K. Schmalenbach, “Law of International Organisations: Dispute Settlement” in J. Klabbers and A. Wallendahl (eds.), </w:t>
      </w:r>
      <w:r w:rsidRPr="00BF42B7">
        <w:rPr>
          <w:rFonts w:asciiTheme="majorBidi" w:hAnsiTheme="majorBidi" w:cstheme="majorBidi"/>
          <w:i/>
          <w:szCs w:val="21"/>
          <w:lang w:val="en-GB"/>
        </w:rPr>
        <w:t>Research Handbook on the Law of International Organizations</w:t>
      </w:r>
      <w:r w:rsidRPr="00BF42B7">
        <w:rPr>
          <w:rFonts w:asciiTheme="majorBidi" w:hAnsiTheme="majorBidi" w:cstheme="majorBidi"/>
          <w:szCs w:val="21"/>
          <w:lang w:val="en-GB"/>
        </w:rPr>
        <w:t xml:space="preserve"> (Cheltenham: E. Elgar, 2011), p. 251.</w:t>
      </w:r>
    </w:p>
    <w:p w:rsidR="001A5FC1" w:rsidRPr="00BF42B7" w:rsidRDefault="001A5FC1" w:rsidP="00523D41">
      <w:pPr>
        <w:spacing w:after="120" w:line="240" w:lineRule="exact"/>
        <w:ind w:left="1134" w:right="1134"/>
        <w:rPr>
          <w:rFonts w:asciiTheme="majorBidi" w:hAnsiTheme="majorBidi" w:cstheme="majorBidi"/>
          <w:i/>
          <w:szCs w:val="21"/>
          <w:lang w:val="en-GB"/>
        </w:rPr>
      </w:pPr>
      <w:r w:rsidRPr="00BF42B7">
        <w:rPr>
          <w:rFonts w:asciiTheme="majorBidi" w:hAnsiTheme="majorBidi" w:cstheme="majorBidi"/>
          <w:szCs w:val="21"/>
          <w:lang w:val="en-GB"/>
        </w:rPr>
        <w:t xml:space="preserve">D. Sharooshi (ed.), </w:t>
      </w:r>
      <w:r w:rsidRPr="00BF42B7">
        <w:rPr>
          <w:rFonts w:asciiTheme="majorBidi" w:hAnsiTheme="majorBidi" w:cstheme="majorBidi"/>
          <w:i/>
          <w:szCs w:val="21"/>
          <w:lang w:val="en-GB"/>
        </w:rPr>
        <w:t>Remedies and Responsibility for the Actions of International Organizations</w:t>
      </w:r>
      <w:r w:rsidRPr="00BF42B7">
        <w:rPr>
          <w:rFonts w:asciiTheme="majorBidi" w:hAnsiTheme="majorBidi" w:cstheme="majorBidi"/>
          <w:szCs w:val="21"/>
          <w:lang w:val="en-GB"/>
        </w:rPr>
        <w:t xml:space="preserve"> (Leiden: Nijhoff, 2014).</w:t>
      </w:r>
    </w:p>
    <w:p w:rsidR="001A5FC1" w:rsidRPr="00BF42B7" w:rsidRDefault="001A5FC1" w:rsidP="00523D41">
      <w:pPr>
        <w:spacing w:after="120" w:line="240" w:lineRule="exact"/>
        <w:ind w:left="1134" w:right="1134"/>
        <w:rPr>
          <w:rFonts w:asciiTheme="majorBidi" w:hAnsiTheme="majorBidi" w:cstheme="majorBidi"/>
          <w:szCs w:val="21"/>
          <w:lang w:val="en-GB"/>
        </w:rPr>
      </w:pPr>
      <w:r w:rsidRPr="00BF42B7">
        <w:rPr>
          <w:rFonts w:asciiTheme="majorBidi" w:hAnsiTheme="majorBidi" w:cstheme="majorBidi"/>
          <w:szCs w:val="21"/>
          <w:lang w:val="en-GB"/>
        </w:rPr>
        <w:t xml:space="preserve">P.C. Szasz, “Granting International Organizations </w:t>
      </w:r>
      <w:r w:rsidRPr="00BF42B7">
        <w:rPr>
          <w:rFonts w:asciiTheme="majorBidi" w:hAnsiTheme="majorBidi" w:cstheme="majorBidi"/>
          <w:i/>
          <w:iCs/>
          <w:szCs w:val="21"/>
          <w:lang w:val="en-GB"/>
        </w:rPr>
        <w:t>Ius Standi</w:t>
      </w:r>
      <w:r w:rsidRPr="00BF42B7">
        <w:rPr>
          <w:rFonts w:asciiTheme="majorBidi" w:hAnsiTheme="majorBidi" w:cstheme="majorBidi"/>
          <w:szCs w:val="21"/>
          <w:lang w:val="en-GB"/>
        </w:rPr>
        <w:t xml:space="preserve"> in the International Court of Justice”, in A.S. Muller et al. (eds.), </w:t>
      </w:r>
      <w:r w:rsidRPr="00BF42B7">
        <w:rPr>
          <w:rFonts w:asciiTheme="majorBidi" w:hAnsiTheme="majorBidi" w:cstheme="majorBidi"/>
          <w:i/>
          <w:iCs/>
          <w:szCs w:val="21"/>
          <w:lang w:val="en-GB"/>
        </w:rPr>
        <w:t>The International Court of Justice: Its Future Role After Fifty Years</w:t>
      </w:r>
      <w:r w:rsidRPr="00BF42B7">
        <w:rPr>
          <w:rFonts w:asciiTheme="majorBidi" w:hAnsiTheme="majorBidi" w:cstheme="majorBidi"/>
          <w:szCs w:val="21"/>
          <w:lang w:val="en-GB"/>
        </w:rPr>
        <w:t xml:space="preserve"> (The Hague: Nijhoff, 1997), p. 169.</w:t>
      </w:r>
    </w:p>
    <w:p w:rsidR="001A5FC1" w:rsidRPr="00BF42B7" w:rsidRDefault="001A5FC1" w:rsidP="00523D41">
      <w:pPr>
        <w:spacing w:after="120" w:line="240" w:lineRule="exact"/>
        <w:ind w:left="1134" w:right="1134"/>
        <w:rPr>
          <w:rFonts w:asciiTheme="majorBidi" w:hAnsiTheme="majorBidi" w:cstheme="majorBidi"/>
          <w:szCs w:val="21"/>
          <w:lang w:val="en-GB"/>
        </w:rPr>
      </w:pPr>
      <w:r w:rsidRPr="00BF42B7">
        <w:rPr>
          <w:rFonts w:asciiTheme="majorBidi" w:hAnsiTheme="majorBidi" w:cstheme="majorBidi"/>
          <w:szCs w:val="21"/>
          <w:lang w:val="en-GB"/>
        </w:rPr>
        <w:t xml:space="preserve">J. Sztucki, “International Organizations as Parties to Contentious Proceedings before the International Court of Justice?” in A.S. Muller et al.(eds.), </w:t>
      </w:r>
      <w:r w:rsidRPr="00BF42B7">
        <w:rPr>
          <w:rFonts w:asciiTheme="majorBidi" w:hAnsiTheme="majorBidi" w:cstheme="majorBidi"/>
          <w:i/>
          <w:iCs/>
          <w:szCs w:val="21"/>
          <w:lang w:val="en-GB"/>
        </w:rPr>
        <w:t>The International Court of Justice: Its Future Role After Fifty Years</w:t>
      </w:r>
      <w:r w:rsidRPr="00BF42B7">
        <w:rPr>
          <w:rFonts w:asciiTheme="majorBidi" w:hAnsiTheme="majorBidi" w:cstheme="majorBidi"/>
          <w:szCs w:val="21"/>
          <w:lang w:val="en-GB"/>
        </w:rPr>
        <w:t xml:space="preserve"> (The Hague: Nijhoff, 1997), p. 141.</w:t>
      </w:r>
    </w:p>
    <w:p w:rsidR="001A5FC1" w:rsidRPr="00BF42B7" w:rsidRDefault="001A5FC1" w:rsidP="00523D41">
      <w:pPr>
        <w:pStyle w:val="afff0"/>
        <w:adjustRightInd w:val="0"/>
        <w:snapToGrid w:val="0"/>
        <w:spacing w:after="120" w:line="240" w:lineRule="exact"/>
        <w:ind w:left="1134" w:right="1134"/>
        <w:rPr>
          <w:rFonts w:asciiTheme="majorBidi" w:hAnsiTheme="majorBidi" w:cstheme="majorBidi"/>
          <w:sz w:val="21"/>
          <w:szCs w:val="21"/>
          <w:lang w:val="en-GB"/>
        </w:rPr>
      </w:pPr>
      <w:r w:rsidRPr="00BF42B7">
        <w:rPr>
          <w:rFonts w:asciiTheme="majorBidi" w:hAnsiTheme="majorBidi" w:cstheme="majorBidi"/>
          <w:sz w:val="21"/>
          <w:szCs w:val="21"/>
          <w:lang w:val="en-GB"/>
        </w:rPr>
        <w:t xml:space="preserve">G. Thallinger, “Rule of Exhaustion of Local Remedies in the Context of the Responsibility of International Organizations”, </w:t>
      </w:r>
      <w:r w:rsidRPr="00BF42B7">
        <w:rPr>
          <w:rFonts w:asciiTheme="majorBidi" w:hAnsiTheme="majorBidi" w:cstheme="majorBidi"/>
          <w:i/>
          <w:iCs/>
          <w:sz w:val="21"/>
          <w:szCs w:val="21"/>
          <w:lang w:val="en-GB"/>
        </w:rPr>
        <w:t>Nordic Journal of International Law</w:t>
      </w:r>
      <w:r w:rsidRPr="00BF42B7">
        <w:rPr>
          <w:rFonts w:asciiTheme="majorBidi" w:hAnsiTheme="majorBidi" w:cstheme="majorBidi"/>
          <w:sz w:val="21"/>
          <w:szCs w:val="21"/>
          <w:lang w:val="en-GB"/>
        </w:rPr>
        <w:t>, vol. 77 (2008), p. 401.</w:t>
      </w:r>
    </w:p>
    <w:p w:rsidR="001A5FC1" w:rsidRPr="00BF42B7" w:rsidRDefault="001A5FC1" w:rsidP="00523D41">
      <w:pPr>
        <w:spacing w:after="120" w:line="240" w:lineRule="exact"/>
        <w:ind w:left="1134" w:right="1134"/>
        <w:rPr>
          <w:rFonts w:asciiTheme="majorBidi" w:hAnsiTheme="majorBidi" w:cstheme="majorBidi"/>
          <w:szCs w:val="21"/>
          <w:lang w:val="en-GB"/>
        </w:rPr>
      </w:pPr>
      <w:r w:rsidRPr="00BF42B7">
        <w:rPr>
          <w:rFonts w:asciiTheme="majorBidi" w:hAnsiTheme="majorBidi" w:cstheme="majorBidi"/>
          <w:szCs w:val="21"/>
          <w:lang w:val="en-GB"/>
        </w:rPr>
        <w:t xml:space="preserve">T. Treves, “International Organizations as Parties to Contentious Cases: Selected Aspects”, in L. Boisson de Chazournes et al. (eds.), </w:t>
      </w:r>
      <w:r w:rsidRPr="00BF42B7">
        <w:rPr>
          <w:rFonts w:asciiTheme="majorBidi" w:hAnsiTheme="majorBidi" w:cstheme="majorBidi"/>
          <w:i/>
          <w:iCs/>
          <w:szCs w:val="21"/>
          <w:lang w:val="en-GB"/>
        </w:rPr>
        <w:t>International Organizations and International Dispute Settlement: Trends and Prospects</w:t>
      </w:r>
      <w:r w:rsidRPr="00BF42B7">
        <w:rPr>
          <w:rFonts w:asciiTheme="majorBidi" w:hAnsiTheme="majorBidi" w:cstheme="majorBidi"/>
          <w:szCs w:val="21"/>
          <w:lang w:val="en-GB"/>
        </w:rPr>
        <w:t xml:space="preserve"> (New York: Transnational Publishers, 2002), p. 37.</w:t>
      </w:r>
    </w:p>
    <w:p w:rsidR="001A5FC1" w:rsidRPr="00BF42B7" w:rsidRDefault="001A5FC1" w:rsidP="00523D41">
      <w:pPr>
        <w:spacing w:after="120" w:line="240" w:lineRule="exact"/>
        <w:ind w:left="1134" w:right="1134"/>
        <w:rPr>
          <w:rFonts w:asciiTheme="majorBidi" w:hAnsiTheme="majorBidi" w:cstheme="majorBidi"/>
          <w:szCs w:val="21"/>
          <w:lang w:val="en-GB"/>
        </w:rPr>
      </w:pPr>
      <w:r w:rsidRPr="00BF42B7">
        <w:rPr>
          <w:rFonts w:asciiTheme="majorBidi" w:hAnsiTheme="majorBidi" w:cstheme="majorBidi"/>
          <w:szCs w:val="21"/>
          <w:lang w:val="en-GB"/>
        </w:rPr>
        <w:t xml:space="preserve">C. Trindade, “Exhaustion of Local Remedies and the Law of International Organizations”, </w:t>
      </w:r>
      <w:r w:rsidRPr="00BF42B7">
        <w:rPr>
          <w:rFonts w:asciiTheme="majorBidi" w:hAnsiTheme="majorBidi" w:cstheme="majorBidi"/>
          <w:i/>
          <w:iCs/>
          <w:szCs w:val="21"/>
          <w:lang w:val="en-GB"/>
        </w:rPr>
        <w:t>Revue de Droit International, de sciences diplomatiques et politiques</w:t>
      </w:r>
      <w:r w:rsidRPr="00BF42B7">
        <w:rPr>
          <w:rFonts w:asciiTheme="majorBidi" w:hAnsiTheme="majorBidi" w:cstheme="majorBidi"/>
          <w:szCs w:val="21"/>
          <w:lang w:val="en-GB"/>
        </w:rPr>
        <w:t>, vol. 57 (1979), p. 81.</w:t>
      </w:r>
    </w:p>
    <w:p w:rsidR="001A5FC1" w:rsidRPr="00BF42B7" w:rsidRDefault="001A5FC1" w:rsidP="00523D41">
      <w:pPr>
        <w:spacing w:after="120" w:line="240" w:lineRule="exact"/>
        <w:ind w:left="1134" w:right="1134"/>
        <w:rPr>
          <w:rFonts w:asciiTheme="majorBidi" w:hAnsiTheme="majorBidi" w:cstheme="majorBidi"/>
          <w:szCs w:val="21"/>
          <w:lang w:val="en-GB"/>
        </w:rPr>
      </w:pPr>
      <w:r w:rsidRPr="00BF42B7">
        <w:rPr>
          <w:rFonts w:asciiTheme="majorBidi" w:hAnsiTheme="majorBidi" w:cstheme="majorBidi"/>
          <w:szCs w:val="21"/>
          <w:lang w:val="en-GB"/>
        </w:rPr>
        <w:t xml:space="preserve">US Department of State, </w:t>
      </w:r>
      <w:r w:rsidRPr="00BF42B7">
        <w:rPr>
          <w:rFonts w:asciiTheme="majorBidi" w:hAnsiTheme="majorBidi" w:cstheme="majorBidi"/>
          <w:i/>
          <w:iCs/>
          <w:szCs w:val="21"/>
          <w:lang w:val="en-GB"/>
        </w:rPr>
        <w:t>Study on Widening Access to the International Court of Justice</w:t>
      </w:r>
      <w:r w:rsidRPr="00BF42B7">
        <w:rPr>
          <w:rFonts w:asciiTheme="majorBidi" w:hAnsiTheme="majorBidi" w:cstheme="majorBidi"/>
          <w:szCs w:val="21"/>
          <w:lang w:val="en-GB"/>
        </w:rPr>
        <w:t xml:space="preserve"> (June 1976), ILM, vol. 16 (1977), p. 187.</w:t>
      </w:r>
    </w:p>
    <w:p w:rsidR="001A5FC1" w:rsidRPr="00BF42B7" w:rsidRDefault="001A5FC1" w:rsidP="00523D41">
      <w:pPr>
        <w:spacing w:after="120" w:line="240" w:lineRule="exact"/>
        <w:ind w:left="1134" w:right="1134"/>
        <w:rPr>
          <w:rFonts w:asciiTheme="majorBidi" w:hAnsiTheme="majorBidi" w:cstheme="majorBidi"/>
          <w:szCs w:val="21"/>
          <w:lang w:val="en-GB"/>
        </w:rPr>
      </w:pPr>
      <w:r w:rsidRPr="00BF42B7">
        <w:rPr>
          <w:rFonts w:asciiTheme="majorBidi" w:hAnsiTheme="majorBidi" w:cstheme="majorBidi"/>
          <w:szCs w:val="21"/>
          <w:lang w:val="en-GB"/>
        </w:rPr>
        <w:t xml:space="preserve">K. Wellens, </w:t>
      </w:r>
      <w:r w:rsidRPr="00BF42B7">
        <w:rPr>
          <w:rFonts w:asciiTheme="majorBidi" w:hAnsiTheme="majorBidi" w:cstheme="majorBidi"/>
          <w:i/>
          <w:iCs/>
          <w:szCs w:val="21"/>
          <w:lang w:val="en-GB"/>
        </w:rPr>
        <w:t>Remedies against international organisations</w:t>
      </w:r>
      <w:r w:rsidRPr="00BF42B7">
        <w:rPr>
          <w:rFonts w:asciiTheme="majorBidi" w:hAnsiTheme="majorBidi" w:cstheme="majorBidi"/>
          <w:szCs w:val="21"/>
          <w:lang w:val="en-GB"/>
        </w:rPr>
        <w:t xml:space="preserve"> (Cambridge: Cambridge University Press, 2002).</w:t>
      </w:r>
    </w:p>
    <w:p w:rsidR="001A5FC1" w:rsidRPr="00BF42B7" w:rsidRDefault="001A5FC1" w:rsidP="00523D41">
      <w:pPr>
        <w:spacing w:after="120" w:line="240" w:lineRule="exact"/>
        <w:ind w:left="1134" w:right="1134"/>
        <w:rPr>
          <w:rFonts w:asciiTheme="majorBidi" w:hAnsiTheme="majorBidi" w:cstheme="majorBidi"/>
          <w:szCs w:val="21"/>
          <w:lang w:val="fr-CH"/>
        </w:rPr>
      </w:pPr>
      <w:r w:rsidRPr="00BF42B7">
        <w:rPr>
          <w:rFonts w:asciiTheme="majorBidi" w:hAnsiTheme="majorBidi" w:cstheme="majorBidi"/>
          <w:szCs w:val="21"/>
          <w:lang w:val="fr-CH"/>
        </w:rPr>
        <w:t xml:space="preserve">P.L. Zollikofer, </w:t>
      </w:r>
      <w:r w:rsidRPr="00BF42B7">
        <w:rPr>
          <w:rFonts w:asciiTheme="majorBidi" w:hAnsiTheme="majorBidi" w:cstheme="majorBidi"/>
          <w:i/>
          <w:iCs/>
          <w:szCs w:val="21"/>
          <w:lang w:val="fr-CH"/>
        </w:rPr>
        <w:t>Les Relations Prévues Entre les Institutions Spécialisées des Nations Unies et la Cour Internationale de Justice</w:t>
      </w:r>
      <w:r w:rsidRPr="00BF42B7">
        <w:rPr>
          <w:rFonts w:asciiTheme="majorBidi" w:hAnsiTheme="majorBidi" w:cstheme="majorBidi"/>
          <w:szCs w:val="21"/>
          <w:lang w:val="fr-CH"/>
        </w:rPr>
        <w:t xml:space="preserve"> (Leyde : Sijthoff, 1955).</w:t>
      </w:r>
    </w:p>
    <w:p w:rsidR="000E6A33" w:rsidRDefault="000E6A33" w:rsidP="000E6A33">
      <w:pPr>
        <w:pStyle w:val="H1GC"/>
        <w:rPr>
          <w:lang w:val="fr-CH"/>
        </w:rPr>
        <w:sectPr w:rsidR="000E6A33" w:rsidSect="000B444F">
          <w:footerReference w:type="default" r:id="rId139"/>
          <w:footnotePr>
            <w:numRestart w:val="eachSect"/>
          </w:footnotePr>
          <w:endnotePr>
            <w:numFmt w:val="decimal"/>
          </w:endnotePr>
          <w:type w:val="oddPage"/>
          <w:pgSz w:w="11906" w:h="16838" w:code="9"/>
          <w:pgMar w:top="1701" w:right="1134" w:bottom="2268" w:left="1134" w:header="1134" w:footer="1701" w:gutter="0"/>
          <w:cols w:space="425"/>
          <w:docGrid w:type="lines" w:linePitch="312"/>
        </w:sectPr>
      </w:pPr>
    </w:p>
    <w:p w:rsidR="000B444F" w:rsidRPr="00BF42B7" w:rsidRDefault="000B444F" w:rsidP="000E6A33">
      <w:pPr>
        <w:pStyle w:val="H1GC"/>
      </w:pPr>
      <w:r w:rsidRPr="00BF42B7">
        <w:rPr>
          <w:lang w:val="fr-CH"/>
        </w:rPr>
        <w:tab/>
      </w:r>
      <w:r w:rsidRPr="00BF42B7">
        <w:t>B.</w:t>
      </w:r>
      <w:r w:rsidRPr="00BF42B7">
        <w:tab/>
      </w:r>
      <w:r w:rsidRPr="00BF42B7">
        <w:t>国家责任方面的国家继承</w:t>
      </w:r>
    </w:p>
    <w:p w:rsidR="000B444F" w:rsidRPr="00BF42B7" w:rsidRDefault="000B444F" w:rsidP="000E6A33">
      <w:pPr>
        <w:pStyle w:val="H1GC"/>
      </w:pPr>
      <w:r w:rsidRPr="00BF42B7">
        <w:rPr>
          <w:rFonts w:hint="eastAsia"/>
        </w:rPr>
        <w:tab/>
      </w:r>
      <w:r w:rsidRPr="00BF42B7">
        <w:rPr>
          <w:rFonts w:hint="eastAsia"/>
        </w:rPr>
        <w:tab/>
      </w:r>
      <w:r w:rsidRPr="00BF42B7">
        <w:t>帕维尔</w:t>
      </w:r>
      <w:r w:rsidRPr="00BF42B7">
        <w:rPr>
          <w:rFonts w:hint="eastAsia"/>
        </w:rPr>
        <w:t>·</w:t>
      </w:r>
      <w:r w:rsidRPr="00BF42B7">
        <w:t>斯图尔马</w:t>
      </w:r>
    </w:p>
    <w:p w:rsidR="000B444F" w:rsidRPr="00BF42B7" w:rsidRDefault="000B444F" w:rsidP="000E6A33">
      <w:pPr>
        <w:pStyle w:val="H23GC"/>
      </w:pPr>
      <w:r w:rsidRPr="00BF42B7">
        <w:rPr>
          <w:rFonts w:hint="eastAsia"/>
        </w:rPr>
        <w:tab/>
      </w:r>
      <w:r w:rsidRPr="00BF42B7">
        <w:rPr>
          <w:rFonts w:hint="eastAsia"/>
        </w:rPr>
        <w:tab/>
      </w:r>
      <w:r w:rsidRPr="00BF42B7">
        <w:rPr>
          <w:rFonts w:hint="eastAsia"/>
        </w:rPr>
        <w:t>导言</w:t>
      </w:r>
    </w:p>
    <w:p w:rsidR="000B444F" w:rsidRPr="00BF42B7" w:rsidRDefault="000B444F" w:rsidP="000E6A33">
      <w:pPr>
        <w:pStyle w:val="SingleTxtGC"/>
        <w:rPr>
          <w:rFonts w:ascii="Time New Roman" w:eastAsia="楷体" w:hAnsi="Time New Roman" w:hint="eastAsia"/>
          <w:sz w:val="15"/>
          <w:szCs w:val="15"/>
        </w:rPr>
      </w:pPr>
      <w:r w:rsidRPr="00BF42B7">
        <w:rPr>
          <w:rFonts w:hint="eastAsia"/>
        </w:rPr>
        <w:t>1.</w:t>
      </w:r>
      <w:r w:rsidR="000E6A33">
        <w:rPr>
          <w:rFonts w:hint="eastAsia"/>
        </w:rPr>
        <w:t xml:space="preserve">  </w:t>
      </w:r>
      <w:r w:rsidRPr="00BF42B7">
        <w:t>国际法委员会</w:t>
      </w:r>
      <w:r w:rsidRPr="00BF42B7">
        <w:rPr>
          <w:rFonts w:hint="eastAsia"/>
        </w:rPr>
        <w:t>于</w:t>
      </w:r>
      <w:r w:rsidRPr="00BF42B7">
        <w:rPr>
          <w:rFonts w:hint="eastAsia"/>
        </w:rPr>
        <w:t>1998</w:t>
      </w:r>
      <w:r w:rsidRPr="00BF42B7">
        <w:rPr>
          <w:rFonts w:hint="eastAsia"/>
        </w:rPr>
        <w:t>年商定，为</w:t>
      </w:r>
      <w:r w:rsidRPr="00BF42B7">
        <w:t>长期工作方案</w:t>
      </w:r>
      <w:r w:rsidRPr="00BF42B7">
        <w:rPr>
          <w:rFonts w:hint="eastAsia"/>
        </w:rPr>
        <w:t>选择专题应遵循以下标准：“专题应反映各国在逐渐发展和编纂国际法方面的需要；专题在国家实践方面应足够成熟，从而允许逐渐发展和编纂；专题为逐渐发展的目的应当是具体和可行的。”</w:t>
      </w:r>
      <w:r w:rsidRPr="00BF42B7">
        <w:rPr>
          <w:color w:val="0000CC"/>
          <w:vertAlign w:val="superscript"/>
        </w:rPr>
        <w:footnoteReference w:id="1534"/>
      </w:r>
      <w:r w:rsidRPr="00BF42B7">
        <w:t xml:space="preserve"> </w:t>
      </w:r>
      <w:r w:rsidRPr="00BF42B7">
        <w:rPr>
          <w:rFonts w:hint="eastAsia"/>
        </w:rPr>
        <w:t>拟议专题似乎符合上述所有标准。</w:t>
      </w:r>
    </w:p>
    <w:p w:rsidR="000B444F" w:rsidRPr="00BF42B7" w:rsidRDefault="000B444F" w:rsidP="000E6A33">
      <w:pPr>
        <w:tabs>
          <w:tab w:val="clear" w:pos="431"/>
          <w:tab w:val="left" w:pos="1134"/>
          <w:tab w:val="left" w:pos="1565"/>
          <w:tab w:val="left" w:pos="1996"/>
          <w:tab w:val="left" w:pos="2427"/>
        </w:tabs>
        <w:spacing w:after="120"/>
        <w:ind w:left="1134" w:right="1134"/>
      </w:pPr>
      <w:r w:rsidRPr="00BF42B7">
        <w:rPr>
          <w:rFonts w:hint="eastAsia"/>
        </w:rPr>
        <w:t>2.</w:t>
      </w:r>
      <w:r w:rsidR="000E6A33">
        <w:rPr>
          <w:rStyle w:val="SingleTxtGCChar"/>
          <w:rFonts w:hint="eastAsia"/>
        </w:rPr>
        <w:t xml:space="preserve">  </w:t>
      </w:r>
      <w:r w:rsidRPr="00BF42B7">
        <w:t>国际法委员会</w:t>
      </w:r>
      <w:r w:rsidRPr="00BF42B7">
        <w:rPr>
          <w:rFonts w:hint="eastAsia"/>
        </w:rPr>
        <w:t>于</w:t>
      </w:r>
      <w:r w:rsidRPr="00BF42B7">
        <w:rPr>
          <w:rFonts w:hint="eastAsia"/>
        </w:rPr>
        <w:t>2001</w:t>
      </w:r>
      <w:r w:rsidRPr="00BF42B7">
        <w:rPr>
          <w:rFonts w:hint="eastAsia"/>
        </w:rPr>
        <w:t>年完成了关于“</w:t>
      </w:r>
      <w:r w:rsidRPr="00BF42B7">
        <w:t>国家对国际不法行为的责任</w:t>
      </w:r>
      <w:r w:rsidRPr="00BF42B7">
        <w:rPr>
          <w:rFonts w:hint="eastAsia"/>
        </w:rPr>
        <w:t>”的工作。然而，委员会没有处理实施不法行为后发生国家继承的情况。继承国既可以是责任国，也可以是受害国。此两种情况下，继承均会引发相当复杂的法律关系。在这个问题上需要指出，国际法委员会和其他有关方面的看法经历了某些发展。特别报告员</w:t>
      </w:r>
      <w:r w:rsidRPr="00BF42B7">
        <w:t>詹姆斯</w:t>
      </w:r>
      <w:r w:rsidRPr="00BF42B7">
        <w:rPr>
          <w:rFonts w:hint="eastAsia"/>
        </w:rPr>
        <w:t>·</w:t>
      </w:r>
      <w:r w:rsidRPr="00BF42B7">
        <w:t>克劳福德</w:t>
      </w:r>
      <w:r w:rsidRPr="00BF42B7">
        <w:rPr>
          <w:rFonts w:hint="eastAsia"/>
        </w:rPr>
        <w:t>在</w:t>
      </w:r>
      <w:r w:rsidRPr="00BF42B7">
        <w:rPr>
          <w:rFonts w:hint="eastAsia"/>
        </w:rPr>
        <w:t>1998</w:t>
      </w:r>
      <w:r w:rsidRPr="00BF42B7">
        <w:rPr>
          <w:rFonts w:hint="eastAsia"/>
        </w:rPr>
        <w:t>年的报告中写道，各方普遍接受的观点是新国家一般不继承被继承国的任何国家责任，</w:t>
      </w:r>
      <w:r w:rsidRPr="00BF42B7">
        <w:rPr>
          <w:color w:val="0000CC"/>
          <w:vertAlign w:val="superscript"/>
        </w:rPr>
        <w:footnoteReference w:id="1535"/>
      </w:r>
      <w:r w:rsidRPr="00BF42B7">
        <w:t xml:space="preserve"> </w:t>
      </w:r>
      <w:r w:rsidRPr="00BF42B7">
        <w:rPr>
          <w:rFonts w:hint="eastAsia"/>
        </w:rPr>
        <w:t>而委员会在</w:t>
      </w:r>
      <w:r w:rsidRPr="00BF42B7">
        <w:rPr>
          <w:rFonts w:hint="eastAsia"/>
        </w:rPr>
        <w:t>2001</w:t>
      </w:r>
      <w:r w:rsidRPr="00BF42B7">
        <w:rPr>
          <w:rFonts w:hint="eastAsia"/>
        </w:rPr>
        <w:t>年条款评注中的说法与此不同。评注中说道：“在国家继承的情况下，新国家是否继承</w:t>
      </w:r>
      <w:r w:rsidRPr="00BF42B7">
        <w:t>被继承国</w:t>
      </w:r>
      <w:r w:rsidRPr="00BF42B7">
        <w:rPr>
          <w:rFonts w:hint="eastAsia"/>
        </w:rPr>
        <w:t>在领土方面的任何国家责任，并不明确”。</w:t>
      </w:r>
      <w:r w:rsidRPr="00BF42B7">
        <w:rPr>
          <w:color w:val="0000CC"/>
          <w:vertAlign w:val="superscript"/>
        </w:rPr>
        <w:footnoteReference w:id="1536"/>
      </w:r>
      <w:r w:rsidRPr="00BF42B7">
        <w:t xml:space="preserve"> J</w:t>
      </w:r>
      <w:r w:rsidRPr="00BF42B7">
        <w:rPr>
          <w:rFonts w:hint="eastAsia"/>
        </w:rPr>
        <w:t>·</w:t>
      </w:r>
      <w:r w:rsidRPr="00BF42B7">
        <w:t>克劳福德</w:t>
      </w:r>
      <w:r w:rsidRPr="00BF42B7">
        <w:rPr>
          <w:rFonts w:hint="eastAsia"/>
        </w:rPr>
        <w:t>简要描述了实践、案例法和学说观点对继承规则由否定到部分否定的发展过程。</w:t>
      </w:r>
      <w:r w:rsidRPr="00BF42B7">
        <w:rPr>
          <w:color w:val="0000CC"/>
          <w:vertAlign w:val="superscript"/>
        </w:rPr>
        <w:footnoteReference w:id="1537"/>
      </w:r>
    </w:p>
    <w:p w:rsidR="000B444F" w:rsidRPr="00BF42B7" w:rsidRDefault="000B444F" w:rsidP="000E6A33">
      <w:pPr>
        <w:pStyle w:val="SingleTxtGC"/>
      </w:pPr>
      <w:r w:rsidRPr="00BF42B7">
        <w:rPr>
          <w:rFonts w:hint="eastAsia"/>
        </w:rPr>
        <w:t>3.</w:t>
      </w:r>
      <w:r w:rsidR="000E6A33">
        <w:rPr>
          <w:rFonts w:hint="eastAsia"/>
        </w:rPr>
        <w:t xml:space="preserve">  </w:t>
      </w:r>
      <w:r w:rsidRPr="00BF42B7">
        <w:rPr>
          <w:rFonts w:hint="eastAsia"/>
        </w:rPr>
        <w:t>1960</w:t>
      </w:r>
      <w:r w:rsidRPr="00BF42B7">
        <w:rPr>
          <w:rFonts w:hint="eastAsia"/>
        </w:rPr>
        <w:t>年代，</w:t>
      </w:r>
      <w:r w:rsidRPr="00BF42B7">
        <w:t>国际法委员会</w:t>
      </w:r>
      <w:r w:rsidRPr="00BF42B7">
        <w:rPr>
          <w:rFonts w:hint="eastAsia"/>
        </w:rPr>
        <w:t>在讨论国家继承的过程中涉及了这个问题。</w:t>
      </w:r>
      <w:r w:rsidRPr="00BF42B7">
        <w:t>1963</w:t>
      </w:r>
      <w:r w:rsidRPr="00BF42B7">
        <w:rPr>
          <w:rFonts w:hint="eastAsia"/>
        </w:rPr>
        <w:t>年，</w:t>
      </w:r>
      <w:r w:rsidRPr="00BF42B7">
        <w:t>国际法委员会</w:t>
      </w:r>
      <w:r w:rsidRPr="00BF42B7">
        <w:rPr>
          <w:rFonts w:hint="eastAsia"/>
        </w:rPr>
        <w:t>国家和政府的继承问题小组委员会主席曼弗雷德·拉赫斯教授提议，将“继承侵权行为的责任”列为在</w:t>
      </w:r>
      <w:r w:rsidRPr="00BF42B7">
        <w:t>国际法委员会</w:t>
      </w:r>
      <w:r w:rsidRPr="00BF42B7">
        <w:rPr>
          <w:rFonts w:hint="eastAsia"/>
        </w:rPr>
        <w:t>国家继承问题上的工作方面可以审议的一个分专题。</w:t>
      </w:r>
      <w:r w:rsidRPr="00BF42B7">
        <w:rPr>
          <w:color w:val="0000CC"/>
          <w:vertAlign w:val="superscript"/>
        </w:rPr>
        <w:footnoteReference w:id="1538"/>
      </w:r>
      <w:r w:rsidRPr="00BF42B7">
        <w:t xml:space="preserve"> </w:t>
      </w:r>
      <w:r w:rsidRPr="00BF42B7">
        <w:rPr>
          <w:rFonts w:hint="eastAsia"/>
        </w:rPr>
        <w:t>由于在是否将其列入分专题方面存在不同意见，委员会决定不将侵权问题列入该专题的范围。</w:t>
      </w:r>
      <w:r w:rsidRPr="00BF42B7">
        <w:rPr>
          <w:color w:val="0000CC"/>
          <w:vertAlign w:val="superscript"/>
        </w:rPr>
        <w:footnoteReference w:id="1539"/>
      </w:r>
      <w:r w:rsidRPr="00BF42B7">
        <w:t xml:space="preserve"> </w:t>
      </w:r>
      <w:r w:rsidRPr="00BF42B7">
        <w:rPr>
          <w:rFonts w:hint="eastAsia"/>
        </w:rPr>
        <w:t>但是自那时起，国家实践和学说观点经历了发展。</w:t>
      </w:r>
    </w:p>
    <w:p w:rsidR="000B444F" w:rsidRPr="00BF42B7" w:rsidRDefault="000B444F" w:rsidP="000E6A33">
      <w:pPr>
        <w:pStyle w:val="SingleTxtGC"/>
      </w:pPr>
      <w:r w:rsidRPr="00BF42B7">
        <w:rPr>
          <w:rFonts w:hint="eastAsia"/>
        </w:rPr>
        <w:t>4.</w:t>
      </w:r>
      <w:r w:rsidR="000E6A33">
        <w:rPr>
          <w:rFonts w:hint="eastAsia"/>
        </w:rPr>
        <w:t xml:space="preserve">  </w:t>
      </w:r>
      <w:r w:rsidRPr="00BF42B7">
        <w:rPr>
          <w:rFonts w:hint="eastAsia"/>
        </w:rPr>
        <w:t>完成一个专题后着手研究国际法同一领域的相关专题，是</w:t>
      </w:r>
      <w:r w:rsidRPr="00BF42B7">
        <w:t>国际法委员会</w:t>
      </w:r>
      <w:r w:rsidRPr="00BF42B7">
        <w:rPr>
          <w:rFonts w:hint="eastAsia"/>
        </w:rPr>
        <w:t>的常规工作方法，而且这种方法相当成功。除其他外，</w:t>
      </w:r>
      <w:r w:rsidRPr="00BF42B7">
        <w:t>国际法委员会</w:t>
      </w:r>
      <w:r w:rsidRPr="00BF42B7">
        <w:rPr>
          <w:rFonts w:hint="eastAsia"/>
        </w:rPr>
        <w:t>在国际责任领域的两个专题中也采取了这种做法，首先完成了关于国家责任的条款</w:t>
      </w:r>
      <w:r w:rsidRPr="00BF42B7">
        <w:rPr>
          <w:rFonts w:hint="eastAsia"/>
        </w:rPr>
        <w:t>(</w:t>
      </w:r>
      <w:r w:rsidRPr="00BF42B7">
        <w:t>2001</w:t>
      </w:r>
      <w:r w:rsidRPr="00BF42B7">
        <w:rPr>
          <w:rFonts w:hint="eastAsia"/>
        </w:rPr>
        <w:t>年</w:t>
      </w:r>
      <w:r w:rsidRPr="00BF42B7">
        <w:rPr>
          <w:rFonts w:hint="eastAsia"/>
        </w:rPr>
        <w:t>)</w:t>
      </w:r>
      <w:r w:rsidRPr="00BF42B7">
        <w:rPr>
          <w:rFonts w:hint="eastAsia"/>
        </w:rPr>
        <w:t>，然后完成了关于国际</w:t>
      </w:r>
      <w:r w:rsidRPr="00BF42B7">
        <w:rPr>
          <w:rFonts w:hint="eastAsia"/>
          <w:spacing w:val="4"/>
        </w:rPr>
        <w:t>组织责任的条款</w:t>
      </w:r>
      <w:r w:rsidRPr="00BF42B7">
        <w:rPr>
          <w:rFonts w:hint="eastAsia"/>
          <w:spacing w:val="4"/>
        </w:rPr>
        <w:t>(</w:t>
      </w:r>
      <w:r w:rsidRPr="00BF42B7">
        <w:rPr>
          <w:spacing w:val="4"/>
        </w:rPr>
        <w:t>2011</w:t>
      </w:r>
      <w:r w:rsidRPr="00BF42B7">
        <w:rPr>
          <w:rFonts w:hint="eastAsia"/>
          <w:spacing w:val="4"/>
        </w:rPr>
        <w:t>年</w:t>
      </w:r>
      <w:r w:rsidRPr="00BF42B7">
        <w:rPr>
          <w:rFonts w:hint="eastAsia"/>
          <w:spacing w:val="4"/>
        </w:rPr>
        <w:t>)</w:t>
      </w:r>
      <w:r w:rsidRPr="00BF42B7">
        <w:rPr>
          <w:rFonts w:hint="eastAsia"/>
          <w:spacing w:val="4"/>
        </w:rPr>
        <w:t>。委员会还在国家继承领域的三个专题中采取了同样的做法，</w:t>
      </w:r>
      <w:r w:rsidRPr="00BF42B7">
        <w:rPr>
          <w:rFonts w:hint="eastAsia"/>
        </w:rPr>
        <w:t>完成了后来成为《关于国家在条约方面的继承的维也纳公约》</w:t>
      </w:r>
      <w:r w:rsidRPr="00BF42B7">
        <w:rPr>
          <w:rFonts w:hint="eastAsia"/>
        </w:rPr>
        <w:t>(</w:t>
      </w:r>
      <w:r w:rsidRPr="00BF42B7">
        <w:t>1978</w:t>
      </w:r>
      <w:r w:rsidRPr="00BF42B7">
        <w:rPr>
          <w:rFonts w:hint="eastAsia"/>
        </w:rPr>
        <w:t>年</w:t>
      </w:r>
      <w:r w:rsidRPr="00BF42B7">
        <w:rPr>
          <w:rFonts w:hint="eastAsia"/>
        </w:rPr>
        <w:t>)</w:t>
      </w:r>
      <w:r w:rsidRPr="00BF42B7">
        <w:rPr>
          <w:rFonts w:hint="eastAsia"/>
        </w:rPr>
        <w:t>和《关于国家对国家财产、档案和债务的继承的维也纳公约》</w:t>
      </w:r>
      <w:r w:rsidRPr="00BF42B7">
        <w:rPr>
          <w:rFonts w:hint="eastAsia"/>
        </w:rPr>
        <w:t>(</w:t>
      </w:r>
      <w:r w:rsidRPr="00BF42B7">
        <w:t>1983</w:t>
      </w:r>
      <w:r w:rsidRPr="00BF42B7">
        <w:rPr>
          <w:rFonts w:hint="eastAsia"/>
        </w:rPr>
        <w:t>年</w:t>
      </w:r>
      <w:r w:rsidRPr="00BF42B7">
        <w:rPr>
          <w:rFonts w:hint="eastAsia"/>
        </w:rPr>
        <w:t>)</w:t>
      </w:r>
      <w:r w:rsidRPr="00BF42B7">
        <w:rPr>
          <w:rFonts w:hint="eastAsia"/>
        </w:rPr>
        <w:t>的条款草案，以及《国家继承涉及的自然人国籍问题条款》</w:t>
      </w:r>
      <w:r w:rsidRPr="00BF42B7">
        <w:rPr>
          <w:rFonts w:hint="eastAsia"/>
        </w:rPr>
        <w:t>(</w:t>
      </w:r>
      <w:r w:rsidRPr="00BF42B7">
        <w:t>1999</w:t>
      </w:r>
      <w:r w:rsidRPr="00BF42B7">
        <w:rPr>
          <w:rFonts w:hint="eastAsia"/>
        </w:rPr>
        <w:t>年</w:t>
      </w:r>
      <w:r w:rsidRPr="00BF42B7">
        <w:rPr>
          <w:rFonts w:hint="eastAsia"/>
        </w:rPr>
        <w:t>)</w:t>
      </w:r>
      <w:r w:rsidRPr="00BF42B7">
        <w:rPr>
          <w:rFonts w:hint="eastAsia"/>
        </w:rPr>
        <w:t>。</w:t>
      </w:r>
      <w:r w:rsidRPr="00BF42B7">
        <w:rPr>
          <w:color w:val="0000CC"/>
          <w:vertAlign w:val="superscript"/>
        </w:rPr>
        <w:footnoteReference w:id="1540"/>
      </w:r>
      <w:r w:rsidRPr="00BF42B7">
        <w:t xml:space="preserve"> </w:t>
      </w:r>
      <w:r w:rsidRPr="00BF42B7">
        <w:rPr>
          <w:rFonts w:hint="eastAsia"/>
        </w:rPr>
        <w:t>尽管这两项维也纳公约没有得到多国批准，但并不意味着其中编纂的规则没有影响国家实践。</w:t>
      </w:r>
      <w:r w:rsidRPr="000E6A33">
        <w:rPr>
          <w:color w:val="0000CC"/>
          <w:szCs w:val="21"/>
          <w:vertAlign w:val="superscript"/>
        </w:rPr>
        <w:footnoteReference w:id="1541"/>
      </w:r>
      <w:r w:rsidRPr="000E6A33">
        <w:rPr>
          <w:szCs w:val="21"/>
        </w:rPr>
        <w:t xml:space="preserve"> </w:t>
      </w:r>
      <w:r w:rsidRPr="00BF42B7">
        <w:rPr>
          <w:rFonts w:hint="eastAsia"/>
        </w:rPr>
        <w:t>相反，尤其是中欧国家，它们在本国的继承中适用此类规则。</w:t>
      </w:r>
      <w:r w:rsidRPr="00523D41">
        <w:rPr>
          <w:color w:val="0000FF"/>
          <w:vertAlign w:val="superscript"/>
        </w:rPr>
        <w:footnoteReference w:id="1542"/>
      </w:r>
      <w:r w:rsidRPr="00BF42B7">
        <w:t xml:space="preserve"> </w:t>
      </w:r>
      <w:r w:rsidRPr="00BF42B7">
        <w:rPr>
          <w:rFonts w:hint="eastAsia"/>
        </w:rPr>
        <w:t>同样，各国在实践中也大量遵循了关于国家责任的条款或关于自然人国籍的条款等不具约束力的文件。</w:t>
      </w:r>
    </w:p>
    <w:p w:rsidR="000B444F" w:rsidRPr="00BF42B7" w:rsidRDefault="000B444F" w:rsidP="000E6A33">
      <w:pPr>
        <w:tabs>
          <w:tab w:val="clear" w:pos="431"/>
          <w:tab w:val="left" w:pos="1134"/>
          <w:tab w:val="left" w:pos="1565"/>
          <w:tab w:val="left" w:pos="1996"/>
          <w:tab w:val="left" w:pos="2427"/>
        </w:tabs>
        <w:spacing w:after="120"/>
        <w:ind w:left="1134" w:right="1134"/>
      </w:pPr>
      <w:r w:rsidRPr="00BF42B7">
        <w:rPr>
          <w:rFonts w:hint="eastAsia"/>
        </w:rPr>
        <w:t>5.</w:t>
      </w:r>
      <w:r w:rsidR="000E6A33">
        <w:rPr>
          <w:rFonts w:hint="eastAsia"/>
        </w:rPr>
        <w:t xml:space="preserve">  </w:t>
      </w:r>
      <w:r w:rsidRPr="00BF42B7">
        <w:rPr>
          <w:rFonts w:hint="eastAsia"/>
        </w:rPr>
        <w:t>原则上，国家责任方面的继承问题主要出现在国家继承的某些情形中：曾实施不法行为的国家已停止存续，即国家解体或统一的情形。然而，深入分析以证实或否定以下三种假设，对于国家分裂等其他情形也有好处：第一，延续国原则上不仅应继承</w:t>
      </w:r>
      <w:r w:rsidRPr="00BF42B7">
        <w:t>被继承国</w:t>
      </w:r>
      <w:r w:rsidRPr="00BF42B7">
        <w:rPr>
          <w:rFonts w:hint="eastAsia"/>
        </w:rPr>
        <w:t>的相关主要义务，而且应继承其次级</w:t>
      </w:r>
      <w:r w:rsidRPr="00BF42B7">
        <w:rPr>
          <w:rFonts w:hint="eastAsia"/>
        </w:rPr>
        <w:t>(</w:t>
      </w:r>
      <w:r w:rsidRPr="00BF42B7">
        <w:rPr>
          <w:rFonts w:hint="eastAsia"/>
        </w:rPr>
        <w:t>责任</w:t>
      </w:r>
      <w:r w:rsidRPr="00BF42B7">
        <w:rPr>
          <w:rFonts w:hint="eastAsia"/>
        </w:rPr>
        <w:t>)</w:t>
      </w:r>
      <w:r w:rsidRPr="00BF42B7">
        <w:rPr>
          <w:rFonts w:hint="eastAsia"/>
        </w:rPr>
        <w:t>义务。第二，新独立的国家应享受白板</w:t>
      </w:r>
      <w:r w:rsidRPr="00BF42B7">
        <w:t>(</w:t>
      </w:r>
      <w:r w:rsidRPr="00BF42B7">
        <w:rPr>
          <w:rFonts w:hint="eastAsia"/>
        </w:rPr>
        <w:t>tabula rasa</w:t>
      </w:r>
      <w:r w:rsidRPr="00BF42B7">
        <w:t>)</w:t>
      </w:r>
      <w:r w:rsidRPr="00BF42B7">
        <w:rPr>
          <w:rFonts w:hint="eastAsia"/>
        </w:rPr>
        <w:t>原则，但可自愿接受与国家责任有关的继承。第三，如果是脱离</w:t>
      </w:r>
      <w:r w:rsidRPr="00BF42B7">
        <w:rPr>
          <w:rFonts w:hint="eastAsia"/>
        </w:rPr>
        <w:t>(</w:t>
      </w:r>
      <w:r w:rsidRPr="00BF42B7">
        <w:rPr>
          <w:rFonts w:hint="eastAsia"/>
        </w:rPr>
        <w:t>分裂</w:t>
      </w:r>
      <w:r w:rsidRPr="00BF42B7">
        <w:rPr>
          <w:rFonts w:hint="eastAsia"/>
        </w:rPr>
        <w:t>)</w:t>
      </w:r>
      <w:r w:rsidRPr="00BF42B7">
        <w:rPr>
          <w:rFonts w:hint="eastAsia"/>
        </w:rPr>
        <w:t>，在特殊情况下，继承国也得承担责任。</w:t>
      </w:r>
    </w:p>
    <w:p w:rsidR="000B444F" w:rsidRPr="00BF42B7" w:rsidRDefault="000B444F" w:rsidP="000B444F">
      <w:pPr>
        <w:pStyle w:val="H23GC"/>
      </w:pPr>
      <w:r w:rsidRPr="00BF42B7">
        <w:rPr>
          <w:rFonts w:hint="eastAsia"/>
        </w:rPr>
        <w:tab/>
      </w:r>
      <w:r w:rsidRPr="00BF42B7">
        <w:rPr>
          <w:rFonts w:hint="eastAsia"/>
        </w:rPr>
        <w:tab/>
      </w:r>
      <w:r w:rsidRPr="00BF42B7">
        <w:rPr>
          <w:rFonts w:hint="eastAsia"/>
        </w:rPr>
        <w:t>过去的国家实践和学说的发展</w:t>
      </w:r>
    </w:p>
    <w:p w:rsidR="000B444F" w:rsidRPr="00BF42B7" w:rsidRDefault="000B444F" w:rsidP="000E6A33">
      <w:pPr>
        <w:tabs>
          <w:tab w:val="clear" w:pos="431"/>
          <w:tab w:val="left" w:pos="1134"/>
          <w:tab w:val="left" w:pos="1565"/>
          <w:tab w:val="left" w:pos="1996"/>
          <w:tab w:val="left" w:pos="2427"/>
        </w:tabs>
        <w:spacing w:after="120"/>
        <w:ind w:left="1134" w:right="1134"/>
      </w:pPr>
      <w:r w:rsidRPr="00BF42B7">
        <w:rPr>
          <w:rFonts w:hint="eastAsia"/>
        </w:rPr>
        <w:t>6.</w:t>
      </w:r>
      <w:r w:rsidR="000E6A33">
        <w:rPr>
          <w:rFonts w:hint="eastAsia"/>
        </w:rPr>
        <w:t xml:space="preserve">  </w:t>
      </w:r>
      <w:r w:rsidRPr="00BF42B7">
        <w:rPr>
          <w:rFonts w:hint="eastAsia"/>
        </w:rPr>
        <w:t>长久以来，对于继承国是否及在何种情形下可以为被继承国的国际不法行为承担责任，国家实践和学说均没有给出统一的答案。然而，在国家实践的某些案例中，可以看到在各继承国之间划分或分配责任。</w:t>
      </w:r>
    </w:p>
    <w:p w:rsidR="000B444F" w:rsidRPr="00BF42B7" w:rsidRDefault="000B444F" w:rsidP="000E6A33">
      <w:pPr>
        <w:pStyle w:val="SingleTxtGC"/>
      </w:pPr>
      <w:r w:rsidRPr="00BF42B7">
        <w:rPr>
          <w:rFonts w:hint="eastAsia"/>
        </w:rPr>
        <w:t>7.</w:t>
      </w:r>
      <w:r w:rsidR="000E6A33">
        <w:rPr>
          <w:rFonts w:hint="eastAsia"/>
        </w:rPr>
        <w:t xml:space="preserve">  </w:t>
      </w:r>
      <w:r w:rsidRPr="00BF42B7">
        <w:rPr>
          <w:rFonts w:hint="eastAsia"/>
        </w:rPr>
        <w:t>早期的判决认为，</w:t>
      </w:r>
      <w:r w:rsidRPr="00BF42B7">
        <w:t>继承国</w:t>
      </w:r>
      <w:r w:rsidRPr="00BF42B7">
        <w:rPr>
          <w:rFonts w:hint="eastAsia"/>
        </w:rPr>
        <w:t>不为被继承国的国际侵权行为承担国际法责任。在</w:t>
      </w:r>
      <w:r w:rsidRPr="00BF42B7">
        <w:rPr>
          <w:rFonts w:eastAsia="楷体"/>
          <w:iCs/>
        </w:rPr>
        <w:t>Robert E. Brown</w:t>
      </w:r>
      <w:r w:rsidRPr="00BF42B7">
        <w:rPr>
          <w:rFonts w:eastAsia="楷体" w:hint="eastAsia"/>
        </w:rPr>
        <w:t>求偿案</w:t>
      </w:r>
      <w:r w:rsidRPr="00BF42B7">
        <w:rPr>
          <w:rFonts w:hint="eastAsia"/>
          <w:iCs/>
        </w:rPr>
        <w:t>中，</w:t>
      </w:r>
      <w:r w:rsidRPr="00523D41">
        <w:rPr>
          <w:color w:val="0000FF"/>
          <w:vertAlign w:val="superscript"/>
        </w:rPr>
        <w:footnoteReference w:id="1543"/>
      </w:r>
      <w:r w:rsidRPr="00BF42B7">
        <w:t xml:space="preserve"> </w:t>
      </w:r>
      <w:r w:rsidRPr="00BF42B7">
        <w:t>申诉人</w:t>
      </w:r>
      <w:r w:rsidRPr="00BF42B7">
        <w:rPr>
          <w:rFonts w:hint="eastAsia"/>
        </w:rPr>
        <w:t>因为布尔共和国的地方官员拒绝发放采金许可证而寻求赔偿。法庭判决称，</w:t>
      </w:r>
      <w:r w:rsidRPr="00BF42B7">
        <w:t>Brown</w:t>
      </w:r>
      <w:r w:rsidRPr="00BF42B7">
        <w:rPr>
          <w:rFonts w:hint="eastAsia"/>
        </w:rPr>
        <w:t>已经获得产权，并因司法不公而受到伤害，但此侵权行为的责任不由英国继承。同样，在</w:t>
      </w:r>
      <w:r w:rsidRPr="00BF42B7">
        <w:rPr>
          <w:rFonts w:eastAsia="楷体"/>
          <w:iCs/>
        </w:rPr>
        <w:t>Frederick Henry Redward</w:t>
      </w:r>
      <w:r w:rsidRPr="00BF42B7">
        <w:rPr>
          <w:rFonts w:eastAsia="楷体" w:hint="eastAsia"/>
        </w:rPr>
        <w:t>求偿案</w:t>
      </w:r>
      <w:r w:rsidRPr="00BF42B7">
        <w:rPr>
          <w:rFonts w:hint="eastAsia"/>
          <w:iCs/>
        </w:rPr>
        <w:t>中</w:t>
      </w:r>
      <w:r w:rsidRPr="00BF42B7">
        <w:rPr>
          <w:rFonts w:hint="eastAsia"/>
        </w:rPr>
        <w:t>，</w:t>
      </w:r>
      <w:r w:rsidRPr="00523D41">
        <w:rPr>
          <w:color w:val="0000FF"/>
          <w:vertAlign w:val="superscript"/>
        </w:rPr>
        <w:footnoteReference w:id="1544"/>
      </w:r>
      <w:r w:rsidRPr="00BF42B7">
        <w:t xml:space="preserve"> </w:t>
      </w:r>
      <w:r w:rsidRPr="00BF42B7">
        <w:t>申诉人</w:t>
      </w:r>
      <w:r w:rsidRPr="00BF42B7">
        <w:rPr>
          <w:rFonts w:hint="eastAsia"/>
        </w:rPr>
        <w:t>被后来并入美国的夏威夷共和国政府非法监禁。法庭判决称：“不法行为的法律责任”已随夏威夷共和国的消失而“勾销”。然而，如果将诉求缩小为金钱判决</w:t>
      </w:r>
      <w:r w:rsidRPr="00BF42B7">
        <w:rPr>
          <w:rFonts w:hint="eastAsia"/>
        </w:rPr>
        <w:t>(</w:t>
      </w:r>
      <w:r w:rsidRPr="00BF42B7">
        <w:rPr>
          <w:rFonts w:hint="eastAsia"/>
        </w:rPr>
        <w:t>可视为债务或</w:t>
      </w:r>
      <w:r w:rsidRPr="00BF42B7">
        <w:t>申诉人</w:t>
      </w:r>
      <w:r w:rsidRPr="00BF42B7">
        <w:rPr>
          <w:rFonts w:hint="eastAsia"/>
        </w:rPr>
        <w:t>一方对固定价值资产的债权</w:t>
      </w:r>
      <w:r w:rsidRPr="00BF42B7">
        <w:rPr>
          <w:rFonts w:hint="eastAsia"/>
        </w:rPr>
        <w:t>)</w:t>
      </w:r>
      <w:r w:rsidRPr="00BF42B7">
        <w:rPr>
          <w:rFonts w:hint="eastAsia"/>
        </w:rPr>
        <w:t>，这将成为</w:t>
      </w:r>
      <w:r w:rsidRPr="00BF42B7">
        <w:t>申诉人</w:t>
      </w:r>
      <w:r w:rsidRPr="00BF42B7">
        <w:rPr>
          <w:rFonts w:hint="eastAsia"/>
        </w:rPr>
        <w:t>拥有的既得权利，也是</w:t>
      </w:r>
      <w:r w:rsidRPr="00BF42B7">
        <w:t>继承国</w:t>
      </w:r>
      <w:r w:rsidRPr="00BF42B7">
        <w:rPr>
          <w:rFonts w:hint="eastAsia"/>
        </w:rPr>
        <w:t>已经继承的义务。</w:t>
      </w:r>
      <w:r w:rsidRPr="00523D41">
        <w:rPr>
          <w:color w:val="0000FF"/>
          <w:vertAlign w:val="superscript"/>
        </w:rPr>
        <w:footnoteReference w:id="1545"/>
      </w:r>
    </w:p>
    <w:p w:rsidR="000B444F" w:rsidRPr="00BF42B7" w:rsidRDefault="000B444F" w:rsidP="000E6A33">
      <w:pPr>
        <w:pStyle w:val="SingleTxtGC"/>
      </w:pPr>
      <w:r w:rsidRPr="00BF42B7">
        <w:rPr>
          <w:rFonts w:hint="eastAsia"/>
        </w:rPr>
        <w:t>8.</w:t>
      </w:r>
      <w:r w:rsidR="000E6A33">
        <w:rPr>
          <w:rFonts w:hint="eastAsia"/>
        </w:rPr>
        <w:t xml:space="preserve">  </w:t>
      </w:r>
      <w:r w:rsidRPr="00BF42B7">
        <w:rPr>
          <w:rFonts w:hint="eastAsia"/>
        </w:rPr>
        <w:t>然而，关于</w:t>
      </w:r>
      <w:r w:rsidRPr="00BF42B7">
        <w:rPr>
          <w:rFonts w:eastAsia="楷体"/>
          <w:iCs/>
        </w:rPr>
        <w:t>Brown</w:t>
      </w:r>
      <w:r w:rsidRPr="00BF42B7">
        <w:rPr>
          <w:rFonts w:eastAsia="楷体" w:hint="eastAsia"/>
        </w:rPr>
        <w:t>案</w:t>
      </w:r>
      <w:r w:rsidRPr="00BF42B7">
        <w:rPr>
          <w:rFonts w:hint="eastAsia"/>
          <w:iCs/>
        </w:rPr>
        <w:t>和</w:t>
      </w:r>
      <w:r w:rsidRPr="00BF42B7">
        <w:rPr>
          <w:rFonts w:eastAsia="楷体"/>
          <w:iCs/>
        </w:rPr>
        <w:t>Redwards</w:t>
      </w:r>
      <w:r w:rsidRPr="00BF42B7">
        <w:rPr>
          <w:rFonts w:eastAsia="楷体" w:hint="eastAsia"/>
        </w:rPr>
        <w:t>案</w:t>
      </w:r>
      <w:r w:rsidRPr="00BF42B7">
        <w:rPr>
          <w:rFonts w:hint="eastAsia"/>
        </w:rPr>
        <w:t>的裁决，有评论指出：“这些案件发生在殖民主义时代，当时的殖民势力抵制所有要求为其视为未开化国家的侵权行为负责的判决。上述案件在一个世纪后的权威性存疑。至少在某些案件中，因实施不法行为的国家被另一国家吞并而驳回受害方的申诉，有失公允”。</w:t>
      </w:r>
      <w:r w:rsidRPr="00523D41">
        <w:rPr>
          <w:color w:val="0000FF"/>
          <w:vertAlign w:val="superscript"/>
        </w:rPr>
        <w:footnoteReference w:id="1546"/>
      </w:r>
    </w:p>
    <w:p w:rsidR="000B444F" w:rsidRPr="00BF42B7" w:rsidRDefault="000B444F" w:rsidP="000E6A33">
      <w:pPr>
        <w:pStyle w:val="SingleTxtGC"/>
      </w:pPr>
      <w:r w:rsidRPr="00BF42B7">
        <w:rPr>
          <w:rFonts w:hint="eastAsia"/>
        </w:rPr>
        <w:t>9.</w:t>
      </w:r>
      <w:r w:rsidR="000E6A33">
        <w:rPr>
          <w:rFonts w:hint="eastAsia"/>
        </w:rPr>
        <w:t xml:space="preserve">  </w:t>
      </w:r>
      <w:r w:rsidRPr="00BF42B7">
        <w:rPr>
          <w:rFonts w:hint="eastAsia"/>
        </w:rPr>
        <w:t>早期实践还包括，哥伦比亚联盟</w:t>
      </w:r>
      <w:r w:rsidRPr="00BF42B7">
        <w:t>(1829-1831)</w:t>
      </w:r>
      <w:r w:rsidRPr="00BF42B7">
        <w:rPr>
          <w:rFonts w:hint="eastAsia"/>
        </w:rPr>
        <w:t>解体后，美国援引三个继承国</w:t>
      </w:r>
      <w:r w:rsidRPr="00BF42B7">
        <w:rPr>
          <w:rFonts w:hint="eastAsia"/>
        </w:rPr>
        <w:t>(</w:t>
      </w:r>
      <w:r w:rsidRPr="00BF42B7">
        <w:rPr>
          <w:rFonts w:hint="eastAsia"/>
        </w:rPr>
        <w:t>哥伦比亚、厄瓜多尔和委内瑞拉</w:t>
      </w:r>
      <w:r w:rsidRPr="00BF42B7">
        <w:rPr>
          <w:rFonts w:hint="eastAsia"/>
        </w:rPr>
        <w:t>)</w:t>
      </w:r>
      <w:r w:rsidRPr="00BF42B7">
        <w:rPr>
          <w:rFonts w:hint="eastAsia"/>
        </w:rPr>
        <w:t>的责任，导致各方就非法获取美国船只缔结了赔偿协定。印度和巴基斯坦独立后，此前与英国有关的权利和责任</w:t>
      </w:r>
      <w:r w:rsidRPr="00BF42B7">
        <w:rPr>
          <w:rFonts w:hint="eastAsia"/>
        </w:rPr>
        <w:t>(</w:t>
      </w:r>
      <w:r w:rsidRPr="00BF42B7">
        <w:rPr>
          <w:rFonts w:hint="eastAsia"/>
        </w:rPr>
        <w:t>包括关于可起诉的侵权行为的责任</w:t>
      </w:r>
      <w:r w:rsidRPr="00BF42B7">
        <w:rPr>
          <w:rFonts w:hint="eastAsia"/>
        </w:rPr>
        <w:t>)</w:t>
      </w:r>
      <w:r w:rsidRPr="00BF42B7">
        <w:rPr>
          <w:rFonts w:hint="eastAsia"/>
        </w:rPr>
        <w:t>被分配给诉讼事由发生的国家。联合王国前附属领土缔结的多项移交协定也规定，由新国家继续承担侵权责任。</w:t>
      </w:r>
      <w:r w:rsidRPr="00523D41">
        <w:rPr>
          <w:color w:val="0000FF"/>
          <w:vertAlign w:val="superscript"/>
        </w:rPr>
        <w:footnoteReference w:id="1547"/>
      </w:r>
    </w:p>
    <w:p w:rsidR="000B444F" w:rsidRPr="00BF42B7" w:rsidRDefault="000B444F" w:rsidP="000B444F">
      <w:pPr>
        <w:pStyle w:val="SingleTxtGC"/>
      </w:pPr>
      <w:r w:rsidRPr="00BF42B7">
        <w:rPr>
          <w:rFonts w:hint="eastAsia"/>
        </w:rPr>
        <w:t xml:space="preserve">10.  </w:t>
      </w:r>
      <w:r w:rsidRPr="00BF42B7">
        <w:rPr>
          <w:rFonts w:hint="eastAsia"/>
        </w:rPr>
        <w:t>尽管仲裁法庭的判决并不统一，但是在</w:t>
      </w:r>
      <w:r w:rsidRPr="00BF42B7">
        <w:rPr>
          <w:rFonts w:eastAsia="楷体" w:hint="eastAsia"/>
        </w:rPr>
        <w:t>灯塔仲裁案</w:t>
      </w:r>
      <w:r w:rsidRPr="00BF42B7">
        <w:rPr>
          <w:rFonts w:hint="eastAsia"/>
        </w:rPr>
        <w:t>中，法庭认定，希腊作为奥斯曼帝国的继承国，对于</w:t>
      </w:r>
      <w:r w:rsidRPr="00BF42B7">
        <w:rPr>
          <w:rFonts w:hint="eastAsia"/>
        </w:rPr>
        <w:t>1913</w:t>
      </w:r>
      <w:r w:rsidRPr="00BF42B7">
        <w:rPr>
          <w:rFonts w:hint="eastAsia"/>
        </w:rPr>
        <w:t>年克里特与希腊合并之后，违反奥斯曼帝国与某法国公司之间的特许合同的行为负有责任。</w:t>
      </w:r>
      <w:r w:rsidRPr="00523D41">
        <w:rPr>
          <w:color w:val="0000FF"/>
          <w:vertAlign w:val="superscript"/>
        </w:rPr>
        <w:footnoteReference w:id="1548"/>
      </w:r>
      <w:r w:rsidRPr="00BF42B7">
        <w:rPr>
          <w:rFonts w:hint="eastAsia"/>
        </w:rPr>
        <w:t xml:space="preserve"> </w:t>
      </w:r>
      <w:r w:rsidRPr="00BF42B7">
        <w:rPr>
          <w:rFonts w:hint="eastAsia"/>
        </w:rPr>
        <w:t>该裁决指出：“法庭仅能得出以下结论：希腊接受了克里特不久前作为自治国的非法行为，因此，作为继承国有义务承担违反特许合同的经济后果。”</w:t>
      </w:r>
      <w:r w:rsidRPr="00523D41">
        <w:rPr>
          <w:color w:val="0000FF"/>
          <w:vertAlign w:val="superscript"/>
        </w:rPr>
        <w:footnoteReference w:id="1549"/>
      </w:r>
      <w:r w:rsidRPr="00BF42B7">
        <w:t xml:space="preserve"> </w:t>
      </w:r>
      <w:r w:rsidRPr="00BF42B7">
        <w:rPr>
          <w:rFonts w:hint="eastAsia"/>
        </w:rPr>
        <w:t>然而，有些著述者的立场是，希腊对于这片领土割让给希腊之前和之后自己实施的行为均负有责任。</w:t>
      </w:r>
      <w:r w:rsidRPr="00BF42B7">
        <w:rPr>
          <w:rFonts w:eastAsia="楷体" w:hint="eastAsia"/>
        </w:rPr>
        <w:t>灯塔案</w:t>
      </w:r>
      <w:r w:rsidRPr="00BF42B7">
        <w:rPr>
          <w:rFonts w:hint="eastAsia"/>
        </w:rPr>
        <w:t>判决的重要意义还在于，它对完全支持和彻底反对责任继承的两种绝对主义办法做出了评论：“承认责任转移原则为一般规则，与拒绝接受这一原则同样缺乏正当理由。更确切地说，这个问题在根本上属于那种答案取决于多种具体因素的问题。”</w:t>
      </w:r>
      <w:r w:rsidRPr="00523D41">
        <w:rPr>
          <w:color w:val="0000FF"/>
          <w:vertAlign w:val="superscript"/>
        </w:rPr>
        <w:footnoteReference w:id="1550"/>
      </w:r>
    </w:p>
    <w:p w:rsidR="000B444F" w:rsidRPr="00BF42B7" w:rsidRDefault="000B444F" w:rsidP="000B444F">
      <w:pPr>
        <w:pStyle w:val="SingleTxtGC"/>
      </w:pPr>
      <w:r w:rsidRPr="00BF42B7">
        <w:rPr>
          <w:rFonts w:hint="eastAsia"/>
        </w:rPr>
        <w:t xml:space="preserve">11.  </w:t>
      </w:r>
      <w:r w:rsidRPr="00BF42B7">
        <w:rPr>
          <w:rFonts w:hint="eastAsia"/>
        </w:rPr>
        <w:t>在欧洲以外，也有其他一些案例涉及国家统一、解体和分裂情形下的国家责任。一个例子是</w:t>
      </w:r>
      <w:r w:rsidRPr="00BF42B7">
        <w:rPr>
          <w:rFonts w:hint="eastAsia"/>
        </w:rPr>
        <w:t>1958</w:t>
      </w:r>
      <w:r w:rsidRPr="00BF42B7">
        <w:rPr>
          <w:rFonts w:hint="eastAsia"/>
        </w:rPr>
        <w:t>年埃及和叙利亚联合组成的阿拉伯联合共和国</w:t>
      </w:r>
      <w:r w:rsidRPr="00BF42B7">
        <w:rPr>
          <w:rFonts w:hint="eastAsia"/>
        </w:rPr>
        <w:t>(</w:t>
      </w:r>
      <w:r w:rsidRPr="00BF42B7">
        <w:t>阿联</w:t>
      </w:r>
      <w:r w:rsidRPr="00BF42B7">
        <w:rPr>
          <w:rFonts w:hint="eastAsia"/>
        </w:rPr>
        <w:t>)</w:t>
      </w:r>
      <w:r w:rsidRPr="00BF42B7">
        <w:rPr>
          <w:rFonts w:hint="eastAsia"/>
        </w:rPr>
        <w:t>。在三个案例中，</w:t>
      </w:r>
      <w:r w:rsidRPr="00BF42B7">
        <w:t>阿联</w:t>
      </w:r>
      <w:r w:rsidRPr="00BF42B7">
        <w:rPr>
          <w:rFonts w:hint="eastAsia"/>
        </w:rPr>
        <w:t>作为继承国，就</w:t>
      </w:r>
      <w:r w:rsidRPr="00BF42B7">
        <w:t>被继承国</w:t>
      </w:r>
      <w:r w:rsidRPr="00BF42B7">
        <w:rPr>
          <w:rFonts w:hint="eastAsia"/>
        </w:rPr>
        <w:t>实施的国际不法行为引起的义务承担了责任。所有案例均涉及埃及在</w:t>
      </w:r>
      <w:r w:rsidRPr="00BF42B7">
        <w:rPr>
          <w:rFonts w:hint="eastAsia"/>
        </w:rPr>
        <w:t>1956</w:t>
      </w:r>
      <w:r w:rsidRPr="00BF42B7">
        <w:rPr>
          <w:rFonts w:hint="eastAsia"/>
        </w:rPr>
        <w:t>年苏伊士运河国有化和外国财产国有化的背景下对西方的财产采取的行动。第一起案例处理的是埃及将苏伊士财务公司</w:t>
      </w:r>
      <w:r w:rsidRPr="00BF42B7">
        <w:rPr>
          <w:rFonts w:hint="eastAsia"/>
        </w:rPr>
        <w:t>(</w:t>
      </w:r>
      <w:r w:rsidRPr="00BF42B7">
        <w:t>Société Financière de Suez</w:t>
      </w:r>
      <w:r w:rsidRPr="00BF42B7">
        <w:rPr>
          <w:rFonts w:hint="eastAsia"/>
        </w:rPr>
        <w:t>)</w:t>
      </w:r>
      <w:r w:rsidRPr="00BF42B7">
        <w:rPr>
          <w:rFonts w:hint="eastAsia"/>
        </w:rPr>
        <w:t>收归国有的问题，这个问题通过</w:t>
      </w:r>
      <w:r w:rsidRPr="00BF42B7">
        <w:t>阿联</w:t>
      </w:r>
      <w:r w:rsidRPr="00BF42B7">
        <w:rPr>
          <w:rFonts w:hint="eastAsia"/>
        </w:rPr>
        <w:t>和该私营企业之间的协定</w:t>
      </w:r>
      <w:r w:rsidRPr="00BF42B7">
        <w:t>(1958</w:t>
      </w:r>
      <w:r w:rsidRPr="00BF42B7">
        <w:rPr>
          <w:rFonts w:hint="eastAsia"/>
        </w:rPr>
        <w:t>年</w:t>
      </w:r>
      <w:r w:rsidRPr="00BF42B7">
        <w:t>)</w:t>
      </w:r>
      <w:r w:rsidRPr="00BF42B7">
        <w:rPr>
          <w:rFonts w:hint="eastAsia"/>
        </w:rPr>
        <w:t>得到解决。换言之，新国家就</w:t>
      </w:r>
      <w:r w:rsidRPr="00BF42B7">
        <w:t>被继承国</w:t>
      </w:r>
      <w:r w:rsidRPr="00BF42B7">
        <w:rPr>
          <w:rFonts w:hint="eastAsia"/>
        </w:rPr>
        <w:t>实施的行为向股东支付赔偿。</w:t>
      </w:r>
      <w:r w:rsidRPr="00523D41">
        <w:rPr>
          <w:color w:val="0000FF"/>
          <w:vertAlign w:val="superscript"/>
        </w:rPr>
        <w:footnoteReference w:id="1551"/>
      </w:r>
      <w:r w:rsidRPr="00BF42B7">
        <w:t xml:space="preserve"> </w:t>
      </w:r>
      <w:r w:rsidRPr="00BF42B7">
        <w:rPr>
          <w:rFonts w:hint="eastAsia"/>
        </w:rPr>
        <w:t>另一例是</w:t>
      </w:r>
      <w:r w:rsidRPr="00BF42B7">
        <w:t>阿联</w:t>
      </w:r>
      <w:r w:rsidRPr="00BF42B7">
        <w:rPr>
          <w:rFonts w:hint="eastAsia"/>
        </w:rPr>
        <w:t>与法国之间签署协定，恢复了两国之间的文化、经济和财政关系</w:t>
      </w:r>
      <w:r w:rsidRPr="00BF42B7">
        <w:t>(1958</w:t>
      </w:r>
      <w:r w:rsidRPr="00BF42B7">
        <w:rPr>
          <w:rFonts w:hint="eastAsia"/>
        </w:rPr>
        <w:t>年</w:t>
      </w:r>
      <w:r w:rsidRPr="00BF42B7">
        <w:t>)</w:t>
      </w:r>
      <w:r w:rsidRPr="00BF42B7">
        <w:rPr>
          <w:rFonts w:hint="eastAsia"/>
        </w:rPr>
        <w:t>。协定规定，</w:t>
      </w:r>
      <w:r w:rsidRPr="00BF42B7">
        <w:t>阿联</w:t>
      </w:r>
      <w:r w:rsidRPr="00BF42B7">
        <w:rPr>
          <w:rFonts w:hint="eastAsia"/>
        </w:rPr>
        <w:t>作为</w:t>
      </w:r>
      <w:r w:rsidRPr="00BF42B7">
        <w:t>继承国</w:t>
      </w:r>
      <w:r w:rsidRPr="00BF42B7">
        <w:rPr>
          <w:rFonts w:hint="eastAsia"/>
        </w:rPr>
        <w:t>，将返还被埃及占有的法国国民的财物，还要就未归还的任何财物支付赔偿。</w:t>
      </w:r>
      <w:r w:rsidRPr="00523D41">
        <w:rPr>
          <w:color w:val="0000FF"/>
          <w:vertAlign w:val="superscript"/>
        </w:rPr>
        <w:footnoteReference w:id="1552"/>
      </w:r>
      <w:r w:rsidRPr="00BF42B7">
        <w:rPr>
          <w:rFonts w:hint="eastAsia"/>
        </w:rPr>
        <w:t xml:space="preserve"> </w:t>
      </w:r>
      <w:r w:rsidRPr="00BF42B7">
        <w:t>1959</w:t>
      </w:r>
      <w:r w:rsidRPr="00BF42B7">
        <w:rPr>
          <w:rFonts w:hint="eastAsia"/>
        </w:rPr>
        <w:t>年，</w:t>
      </w:r>
      <w:r w:rsidRPr="00BF42B7">
        <w:t>阿联</w:t>
      </w:r>
      <w:r w:rsidRPr="00BF42B7">
        <w:rPr>
          <w:rFonts w:hint="eastAsia"/>
        </w:rPr>
        <w:t>和英国也签署了类似协定。</w:t>
      </w:r>
      <w:r w:rsidRPr="00523D41">
        <w:rPr>
          <w:color w:val="0000FF"/>
          <w:vertAlign w:val="superscript"/>
        </w:rPr>
        <w:footnoteReference w:id="1553"/>
      </w:r>
    </w:p>
    <w:p w:rsidR="000B444F" w:rsidRPr="00BF42B7" w:rsidRDefault="000B444F" w:rsidP="000B444F">
      <w:pPr>
        <w:pStyle w:val="SingleTxtGC"/>
      </w:pPr>
      <w:r w:rsidRPr="00BF42B7">
        <w:rPr>
          <w:rFonts w:hint="eastAsia"/>
        </w:rPr>
        <w:t xml:space="preserve">12.  </w:t>
      </w:r>
      <w:r w:rsidRPr="00BF42B7">
        <w:t>阿联</w:t>
      </w:r>
      <w:r w:rsidRPr="00BF42B7">
        <w:rPr>
          <w:rFonts w:hint="eastAsia"/>
        </w:rPr>
        <w:t>仅存续至</w:t>
      </w:r>
      <w:r w:rsidRPr="00BF42B7">
        <w:rPr>
          <w:rFonts w:hint="eastAsia"/>
        </w:rPr>
        <w:t>1961</w:t>
      </w:r>
      <w:r w:rsidRPr="00BF42B7">
        <w:rPr>
          <w:rFonts w:hint="eastAsia"/>
        </w:rPr>
        <w:t>年，这一年叙利亚脱离了联合体。阿联解体后，埃及作为两个继承国之一，与其他国家</w:t>
      </w:r>
      <w:r w:rsidRPr="00BF42B7">
        <w:rPr>
          <w:rFonts w:hint="eastAsia"/>
        </w:rPr>
        <w:t>(</w:t>
      </w:r>
      <w:r w:rsidRPr="00BF42B7">
        <w:rPr>
          <w:rFonts w:hint="eastAsia"/>
        </w:rPr>
        <w:t>如意大利、瑞典、英国、美国</w:t>
      </w:r>
      <w:r w:rsidRPr="00BF42B7">
        <w:rPr>
          <w:rFonts w:hint="eastAsia"/>
        </w:rPr>
        <w:t>)</w:t>
      </w:r>
      <w:r w:rsidRPr="00BF42B7">
        <w:rPr>
          <w:rFonts w:hint="eastAsia"/>
        </w:rPr>
        <w:t>就赔偿</w:t>
      </w:r>
      <w:r w:rsidRPr="00BF42B7">
        <w:rPr>
          <w:rFonts w:hint="eastAsia"/>
        </w:rPr>
        <w:t>1958</w:t>
      </w:r>
      <w:r w:rsidRPr="00BF42B7">
        <w:rPr>
          <w:rFonts w:hint="eastAsia"/>
        </w:rPr>
        <w:t>年至</w:t>
      </w:r>
      <w:r w:rsidRPr="00BF42B7">
        <w:rPr>
          <w:rFonts w:hint="eastAsia"/>
        </w:rPr>
        <w:t>1961</w:t>
      </w:r>
      <w:r w:rsidRPr="00BF42B7">
        <w:rPr>
          <w:rFonts w:hint="eastAsia"/>
        </w:rPr>
        <w:t>年期间财产被</w:t>
      </w:r>
      <w:r w:rsidRPr="00BF42B7">
        <w:t>阿联</w:t>
      </w:r>
      <w:r w:rsidRPr="00BF42B7">
        <w:t>(</w:t>
      </w:r>
      <w:r w:rsidRPr="00BF42B7">
        <w:t>被继承国</w:t>
      </w:r>
      <w:r w:rsidRPr="00BF42B7">
        <w:t>)</w:t>
      </w:r>
      <w:r w:rsidRPr="00BF42B7">
        <w:rPr>
          <w:rFonts w:hint="eastAsia"/>
        </w:rPr>
        <w:t>收归国有的外国国民一事签署了协定。</w:t>
      </w:r>
      <w:r w:rsidRPr="00523D41">
        <w:rPr>
          <w:color w:val="0000FF"/>
          <w:vertAlign w:val="superscript"/>
        </w:rPr>
        <w:footnoteReference w:id="1554"/>
      </w:r>
    </w:p>
    <w:p w:rsidR="000B444F" w:rsidRPr="00BF42B7" w:rsidRDefault="000B444F" w:rsidP="000B444F">
      <w:pPr>
        <w:pStyle w:val="SingleTxtGC"/>
      </w:pPr>
      <w:r w:rsidRPr="00BF42B7">
        <w:rPr>
          <w:rFonts w:hint="eastAsia"/>
        </w:rPr>
        <w:t xml:space="preserve">13.  </w:t>
      </w:r>
      <w:r w:rsidRPr="00BF42B7">
        <w:rPr>
          <w:rFonts w:hint="eastAsia"/>
        </w:rPr>
        <w:t>国家分裂时会出现更复杂的局面。巴拿马</w:t>
      </w:r>
      <w:r w:rsidRPr="00BF42B7">
        <w:rPr>
          <w:rFonts w:hint="eastAsia"/>
        </w:rPr>
        <w:t>1903</w:t>
      </w:r>
      <w:r w:rsidRPr="00BF42B7">
        <w:rPr>
          <w:rFonts w:hint="eastAsia"/>
        </w:rPr>
        <w:t>年脱离哥伦比亚之后，拒绝为</w:t>
      </w:r>
      <w:r w:rsidRPr="00BF42B7">
        <w:rPr>
          <w:rFonts w:hint="eastAsia"/>
        </w:rPr>
        <w:t>1855</w:t>
      </w:r>
      <w:r w:rsidRPr="00BF42B7">
        <w:rPr>
          <w:rFonts w:hint="eastAsia"/>
        </w:rPr>
        <w:t>年科隆市一起火灾为美国国民造成的损失负责。然而，</w:t>
      </w:r>
      <w:r w:rsidRPr="00BF42B7">
        <w:t>1926</w:t>
      </w:r>
      <w:r w:rsidRPr="00BF42B7">
        <w:rPr>
          <w:rFonts w:hint="eastAsia"/>
        </w:rPr>
        <w:t>年，美国与巴拿马签署了《索赔公约》。该条约拟订了此后处理</w:t>
      </w:r>
      <w:r w:rsidRPr="00BF42B7">
        <w:rPr>
          <w:rFonts w:hint="eastAsia"/>
        </w:rPr>
        <w:t>1855</w:t>
      </w:r>
      <w:r w:rsidRPr="00BF42B7">
        <w:rPr>
          <w:rFonts w:hint="eastAsia"/>
        </w:rPr>
        <w:t>年科隆市火灾后果的仲裁程序，包括以下问题：“若仲裁确定哥伦比亚负有原始责任，那么巴拿马共和国于</w:t>
      </w:r>
      <w:r w:rsidRPr="00BF42B7">
        <w:rPr>
          <w:rFonts w:hint="eastAsia"/>
        </w:rPr>
        <w:t>1903</w:t>
      </w:r>
      <w:r w:rsidRPr="00BF42B7">
        <w:rPr>
          <w:rFonts w:hint="eastAsia"/>
        </w:rPr>
        <w:t>年</w:t>
      </w:r>
      <w:r w:rsidRPr="00BF42B7">
        <w:rPr>
          <w:rFonts w:hint="eastAsia"/>
        </w:rPr>
        <w:t>11</w:t>
      </w:r>
      <w:r w:rsidRPr="00BF42B7">
        <w:rPr>
          <w:rFonts w:hint="eastAsia"/>
        </w:rPr>
        <w:t>月</w:t>
      </w:r>
      <w:r w:rsidRPr="00BF42B7">
        <w:rPr>
          <w:rFonts w:hint="eastAsia"/>
        </w:rPr>
        <w:t>3</w:t>
      </w:r>
      <w:r w:rsidRPr="00BF42B7">
        <w:rPr>
          <w:rFonts w:hint="eastAsia"/>
        </w:rPr>
        <w:t>日脱离哥伦比亚，它是否因此继承了哥伦比亚的责任，如果是，继承到何种程度”。尽管此后从未进行过仲裁，但此例至少含蓄地表明，两国均已承认，国家责任可以继承。</w:t>
      </w:r>
      <w:r w:rsidRPr="00523D41">
        <w:rPr>
          <w:color w:val="0000FF"/>
          <w:vertAlign w:val="superscript"/>
        </w:rPr>
        <w:footnoteReference w:id="1555"/>
      </w:r>
    </w:p>
    <w:p w:rsidR="000B444F" w:rsidRPr="00BF42B7" w:rsidRDefault="000B444F" w:rsidP="000B444F">
      <w:pPr>
        <w:pStyle w:val="SingleTxtGC"/>
      </w:pPr>
      <w:r w:rsidRPr="00BF42B7">
        <w:rPr>
          <w:rFonts w:hint="eastAsia"/>
        </w:rPr>
        <w:t xml:space="preserve">14.  </w:t>
      </w:r>
      <w:r w:rsidRPr="00BF42B7">
        <w:rPr>
          <w:rFonts w:hint="eastAsia"/>
        </w:rPr>
        <w:t>另外一例涉及印度独立。印度和巴基斯坦均于</w:t>
      </w:r>
      <w:r w:rsidRPr="00BF42B7">
        <w:rPr>
          <w:rFonts w:hint="eastAsia"/>
        </w:rPr>
        <w:t>1947</w:t>
      </w:r>
      <w:r w:rsidRPr="00BF42B7">
        <w:rPr>
          <w:rFonts w:hint="eastAsia"/>
        </w:rPr>
        <w:t>年</w:t>
      </w:r>
      <w:r w:rsidRPr="00BF42B7">
        <w:rPr>
          <w:rFonts w:hint="eastAsia"/>
        </w:rPr>
        <w:t>8</w:t>
      </w:r>
      <w:r w:rsidRPr="00BF42B7">
        <w:rPr>
          <w:rFonts w:hint="eastAsia"/>
        </w:rPr>
        <w:t>月</w:t>
      </w:r>
      <w:r w:rsidRPr="00BF42B7">
        <w:rPr>
          <w:rFonts w:hint="eastAsia"/>
        </w:rPr>
        <w:t>15</w:t>
      </w:r>
      <w:r w:rsidRPr="00BF42B7">
        <w:rPr>
          <w:rFonts w:hint="eastAsia"/>
        </w:rPr>
        <w:t>日成为独立国家。</w:t>
      </w:r>
      <w:r w:rsidRPr="00BF42B7">
        <w:t>1947</w:t>
      </w:r>
      <w:r w:rsidRPr="00BF42B7">
        <w:rPr>
          <w:rFonts w:hint="eastAsia"/>
        </w:rPr>
        <w:t>年《印度独立</w:t>
      </w:r>
      <w:r w:rsidRPr="00BF42B7">
        <w:rPr>
          <w:rFonts w:hint="eastAsia"/>
        </w:rPr>
        <w:t>(</w:t>
      </w:r>
      <w:r w:rsidRPr="00BF42B7">
        <w:rPr>
          <w:rFonts w:hint="eastAsia"/>
        </w:rPr>
        <w:t>权利、财产和责任</w:t>
      </w:r>
      <w:r w:rsidRPr="00BF42B7">
        <w:rPr>
          <w:rFonts w:hint="eastAsia"/>
        </w:rPr>
        <w:t>)</w:t>
      </w:r>
      <w:r w:rsidRPr="00BF42B7">
        <w:rPr>
          <w:rFonts w:hint="eastAsia"/>
        </w:rPr>
        <w:t>法令》处理了国家继承的问题。</w:t>
      </w:r>
      <w:r w:rsidRPr="00523D41">
        <w:rPr>
          <w:color w:val="0000FF"/>
          <w:vertAlign w:val="superscript"/>
        </w:rPr>
        <w:footnoteReference w:id="1556"/>
      </w:r>
      <w:r w:rsidRPr="00BF42B7">
        <w:rPr>
          <w:rFonts w:hint="eastAsia"/>
        </w:rPr>
        <w:t xml:space="preserve"> </w:t>
      </w:r>
      <w:r w:rsidRPr="00BF42B7">
        <w:rPr>
          <w:rFonts w:hint="eastAsia"/>
          <w:spacing w:val="4"/>
        </w:rPr>
        <w:t>法令第</w:t>
      </w:r>
      <w:r w:rsidRPr="00BF42B7">
        <w:rPr>
          <w:spacing w:val="4"/>
        </w:rPr>
        <w:t>10</w:t>
      </w:r>
      <w:r w:rsidRPr="00BF42B7">
        <w:rPr>
          <w:rFonts w:hint="eastAsia"/>
          <w:spacing w:val="4"/>
        </w:rPr>
        <w:t>条规定，由英属印度自治领向新独立的印度国“移交可起诉的侵权行为的责任、而非违约的责任”。印度法院在多起案例中解释了该法令</w:t>
      </w:r>
      <w:r w:rsidRPr="00BF42B7">
        <w:rPr>
          <w:rFonts w:hint="eastAsia"/>
        </w:rPr>
        <w:t>第</w:t>
      </w:r>
      <w:r w:rsidRPr="00BF42B7">
        <w:rPr>
          <w:rFonts w:hint="eastAsia"/>
        </w:rPr>
        <w:t>10</w:t>
      </w:r>
      <w:r w:rsidRPr="00BF42B7">
        <w:rPr>
          <w:rFonts w:hint="eastAsia"/>
        </w:rPr>
        <w:t>条，</w:t>
      </w:r>
      <w:r w:rsidRPr="00523D41">
        <w:rPr>
          <w:color w:val="0000FF"/>
          <w:vertAlign w:val="superscript"/>
        </w:rPr>
        <w:footnoteReference w:id="1557"/>
      </w:r>
      <w:r w:rsidRPr="00BF42B7">
        <w:t xml:space="preserve"> </w:t>
      </w:r>
      <w:r w:rsidRPr="00BF42B7">
        <w:rPr>
          <w:rFonts w:hint="eastAsia"/>
        </w:rPr>
        <w:t>认为印度对于继承日之前实施的国际不法行为依然负有责任。</w:t>
      </w:r>
      <w:r w:rsidRPr="00523D41">
        <w:rPr>
          <w:color w:val="0000FF"/>
          <w:vertAlign w:val="superscript"/>
        </w:rPr>
        <w:footnoteReference w:id="1558"/>
      </w:r>
    </w:p>
    <w:p w:rsidR="000B444F" w:rsidRPr="00BF42B7" w:rsidRDefault="000B444F" w:rsidP="000B444F">
      <w:pPr>
        <w:pStyle w:val="H23GC"/>
      </w:pPr>
      <w:r w:rsidRPr="00BF42B7">
        <w:rPr>
          <w:rFonts w:hint="eastAsia"/>
        </w:rPr>
        <w:tab/>
      </w:r>
      <w:r w:rsidRPr="00BF42B7">
        <w:rPr>
          <w:rFonts w:hint="eastAsia"/>
        </w:rPr>
        <w:tab/>
        <w:t>1990</w:t>
      </w:r>
      <w:r w:rsidRPr="00BF42B7">
        <w:rPr>
          <w:rFonts w:hint="eastAsia"/>
        </w:rPr>
        <w:t>年代中东欧的继承案例</w:t>
      </w:r>
    </w:p>
    <w:p w:rsidR="000B444F" w:rsidRPr="00BF42B7" w:rsidRDefault="000B444F" w:rsidP="000B444F">
      <w:pPr>
        <w:pStyle w:val="SingleTxtGC"/>
      </w:pPr>
      <w:r w:rsidRPr="00BF42B7">
        <w:rPr>
          <w:rFonts w:hint="eastAsia"/>
        </w:rPr>
        <w:t xml:space="preserve">15.  </w:t>
      </w:r>
      <w:r w:rsidRPr="00BF42B7">
        <w:rPr>
          <w:rFonts w:hint="eastAsia"/>
        </w:rPr>
        <w:t>更近的案例涉及</w:t>
      </w:r>
      <w:r w:rsidRPr="00BF42B7">
        <w:rPr>
          <w:rFonts w:hint="eastAsia"/>
        </w:rPr>
        <w:t>20</w:t>
      </w:r>
      <w:r w:rsidRPr="00BF42B7">
        <w:rPr>
          <w:rFonts w:hint="eastAsia"/>
        </w:rPr>
        <w:t>世纪下半叶的国家继承，其中一些继承引发了责任的问题。这些案例包括</w:t>
      </w:r>
      <w:r w:rsidRPr="00BF42B7">
        <w:rPr>
          <w:rFonts w:hint="eastAsia"/>
        </w:rPr>
        <w:t>1990</w:t>
      </w:r>
      <w:r w:rsidRPr="00BF42B7">
        <w:rPr>
          <w:rFonts w:hint="eastAsia"/>
        </w:rPr>
        <w:t>年代中东欧的继承，例如</w:t>
      </w:r>
      <w:r w:rsidRPr="00BF42B7">
        <w:t>捷克斯洛伐克</w:t>
      </w:r>
      <w:r w:rsidRPr="00BF42B7">
        <w:rPr>
          <w:rFonts w:hint="eastAsia"/>
        </w:rPr>
        <w:t>、</w:t>
      </w:r>
      <w:r w:rsidRPr="00BF42B7">
        <w:t>南斯拉夫</w:t>
      </w:r>
      <w:r w:rsidRPr="00BF42B7">
        <w:rPr>
          <w:rFonts w:hint="eastAsia"/>
        </w:rPr>
        <w:t>和</w:t>
      </w:r>
      <w:r w:rsidRPr="00BF42B7">
        <w:t>苏联</w:t>
      </w:r>
      <w:r w:rsidRPr="00BF42B7">
        <w:rPr>
          <w:rFonts w:hint="eastAsia"/>
        </w:rPr>
        <w:t>的解体，以及</w:t>
      </w:r>
      <w:r w:rsidRPr="00BF42B7">
        <w:rPr>
          <w:spacing w:val="4"/>
        </w:rPr>
        <w:t>德国</w:t>
      </w:r>
      <w:r w:rsidRPr="00BF42B7">
        <w:rPr>
          <w:rFonts w:hint="eastAsia"/>
          <w:spacing w:val="4"/>
        </w:rPr>
        <w:t>的统一。值得注意的是，根据</w:t>
      </w:r>
      <w:r w:rsidRPr="00BF42B7">
        <w:rPr>
          <w:spacing w:val="4"/>
        </w:rPr>
        <w:t>巴丹泰委员会</w:t>
      </w:r>
      <w:r w:rsidRPr="00BF42B7">
        <w:rPr>
          <w:rFonts w:hint="eastAsia"/>
          <w:spacing w:val="4"/>
        </w:rPr>
        <w:t>第九号意见，</w:t>
      </w:r>
      <w:r w:rsidRPr="00BF42B7">
        <w:rPr>
          <w:spacing w:val="4"/>
        </w:rPr>
        <w:t>南斯拉夫</w:t>
      </w:r>
      <w:r w:rsidRPr="00BF42B7">
        <w:rPr>
          <w:rFonts w:hint="eastAsia"/>
          <w:spacing w:val="4"/>
        </w:rPr>
        <w:t>社会主义联邦共和国的</w:t>
      </w:r>
      <w:r w:rsidRPr="00BF42B7">
        <w:t>继承国</w:t>
      </w:r>
      <w:r w:rsidRPr="00BF42B7">
        <w:rPr>
          <w:rFonts w:hint="eastAsia"/>
        </w:rPr>
        <w:t>需通过协定解决所有与继承有关的问题，并依据自</w:t>
      </w:r>
      <w:r w:rsidRPr="00BF42B7">
        <w:rPr>
          <w:rFonts w:hint="eastAsia"/>
        </w:rPr>
        <w:t>1978</w:t>
      </w:r>
      <w:r w:rsidRPr="00BF42B7">
        <w:rPr>
          <w:rFonts w:hint="eastAsia"/>
        </w:rPr>
        <w:t>年和</w:t>
      </w:r>
      <w:r w:rsidRPr="00BF42B7">
        <w:rPr>
          <w:rFonts w:hint="eastAsia"/>
        </w:rPr>
        <w:t>1983</w:t>
      </w:r>
      <w:r w:rsidRPr="00BF42B7">
        <w:rPr>
          <w:rFonts w:hint="eastAsia"/>
        </w:rPr>
        <w:t>年《维也纳公约》及习惯国际法相关规则中衍生的原则，找出公平的结果。</w:t>
      </w:r>
      <w:r w:rsidRPr="00523D41">
        <w:rPr>
          <w:color w:val="0000FF"/>
          <w:vertAlign w:val="superscript"/>
        </w:rPr>
        <w:footnoteReference w:id="1559"/>
      </w:r>
      <w:r w:rsidRPr="00BF42B7">
        <w:t xml:space="preserve"> </w:t>
      </w:r>
      <w:r w:rsidRPr="00BF42B7">
        <w:rPr>
          <w:rFonts w:hint="eastAsia"/>
        </w:rPr>
        <w:t>有些案例还涉及亚洲和非洲；尽管非洲的案例更少，但有几个继承案例发生在去殖民化的背景之外</w:t>
      </w:r>
      <w:r w:rsidRPr="00BF42B7">
        <w:t>(</w:t>
      </w:r>
      <w:r w:rsidRPr="00BF42B7">
        <w:t>厄立特里亚</w:t>
      </w:r>
      <w:r w:rsidRPr="00BF42B7">
        <w:rPr>
          <w:rFonts w:hint="eastAsia"/>
        </w:rPr>
        <w:t>、</w:t>
      </w:r>
      <w:r w:rsidRPr="00BF42B7">
        <w:t>南苏丹</w:t>
      </w:r>
      <w:r w:rsidRPr="00BF42B7">
        <w:t>)</w:t>
      </w:r>
      <w:r w:rsidRPr="00BF42B7">
        <w:rPr>
          <w:rFonts w:hint="eastAsia"/>
        </w:rPr>
        <w:t>。与上述发展有关的研究结果，可见于国际法院和其他司法机构的判例、条约和其他国家实践。</w:t>
      </w:r>
    </w:p>
    <w:p w:rsidR="000B444F" w:rsidRPr="00BF42B7" w:rsidRDefault="000B444F" w:rsidP="000B444F">
      <w:pPr>
        <w:pStyle w:val="SingleTxtGC"/>
      </w:pPr>
      <w:r w:rsidRPr="00BF42B7">
        <w:rPr>
          <w:rFonts w:hint="eastAsia"/>
        </w:rPr>
        <w:t xml:space="preserve">16.  </w:t>
      </w:r>
      <w:r w:rsidRPr="00BF42B7">
        <w:rPr>
          <w:rFonts w:hint="eastAsia"/>
        </w:rPr>
        <w:t>最重要的裁决也许是国际法院对</w:t>
      </w:r>
      <w:r w:rsidRPr="00BF42B7">
        <w:rPr>
          <w:rFonts w:eastAsia="楷体"/>
          <w:iCs/>
        </w:rPr>
        <w:t>Gabčíkovo-Nagymaros</w:t>
      </w:r>
      <w:r w:rsidRPr="00BF42B7">
        <w:rPr>
          <w:rFonts w:eastAsia="楷体" w:hint="eastAsia"/>
        </w:rPr>
        <w:t>案</w:t>
      </w:r>
      <w:r w:rsidRPr="00BF42B7">
        <w:t>(</w:t>
      </w:r>
      <w:r w:rsidRPr="00BF42B7">
        <w:t>匈牙利</w:t>
      </w:r>
      <w:r w:rsidRPr="00BF42B7">
        <w:t>/</w:t>
      </w:r>
      <w:r w:rsidRPr="00BF42B7">
        <w:t>斯洛伐克</w:t>
      </w:r>
      <w:r w:rsidRPr="00BF42B7">
        <w:t>)</w:t>
      </w:r>
      <w:r w:rsidRPr="00BF42B7">
        <w:rPr>
          <w:rFonts w:hint="eastAsia"/>
        </w:rPr>
        <w:t>的裁决。不错，</w:t>
      </w:r>
      <w:r w:rsidRPr="00BF42B7">
        <w:t>捷克斯洛伐克</w:t>
      </w:r>
      <w:r w:rsidRPr="00BF42B7">
        <w:rPr>
          <w:rFonts w:hint="eastAsia"/>
        </w:rPr>
        <w:t>的解体确实是依据协定，甚至是按照本国宪法的规定进行的。然而，捷克和斯洛伐克两国国民议会均在解体前宣布，愿意承担被继承国的国际条约产生的权利和义务。</w:t>
      </w:r>
      <w:r w:rsidRPr="00523D41">
        <w:rPr>
          <w:color w:val="0000FF"/>
          <w:vertAlign w:val="superscript"/>
        </w:rPr>
        <w:footnoteReference w:id="1560"/>
      </w:r>
      <w:r w:rsidRPr="00BF42B7">
        <w:rPr>
          <w:rFonts w:hint="eastAsia"/>
        </w:rPr>
        <w:t xml:space="preserve"> </w:t>
      </w:r>
      <w:r w:rsidRPr="00BF42B7">
        <w:rPr>
          <w:rFonts w:hint="eastAsia"/>
        </w:rPr>
        <w:t>第</w:t>
      </w:r>
      <w:r w:rsidRPr="00BF42B7">
        <w:t>4/1993</w:t>
      </w:r>
      <w:r w:rsidRPr="00BF42B7">
        <w:rPr>
          <w:rFonts w:hint="eastAsia"/>
        </w:rPr>
        <w:t>号宪法法案第</w:t>
      </w:r>
      <w:r w:rsidRPr="00BF42B7">
        <w:rPr>
          <w:rFonts w:hint="eastAsia"/>
        </w:rPr>
        <w:t>5</w:t>
      </w:r>
      <w:r w:rsidRPr="00BF42B7">
        <w:rPr>
          <w:rFonts w:hint="eastAsia"/>
        </w:rPr>
        <w:t>条甚至宣称：“</w:t>
      </w:r>
      <w:r w:rsidRPr="00BF42B7">
        <w:t>捷克共和国</w:t>
      </w:r>
      <w:r w:rsidRPr="00BF42B7">
        <w:rPr>
          <w:rFonts w:hint="eastAsia"/>
        </w:rPr>
        <w:t>继承捷克和斯洛伐克联邦共和国终止日之前自国际条约产生的权利和义务，与捷克和斯洛伐克联邦共和国主权领土但非捷克共和国主权领土有关的义务除外。”</w:t>
      </w:r>
      <w:r w:rsidRPr="00523D41">
        <w:rPr>
          <w:color w:val="0000FF"/>
          <w:vertAlign w:val="superscript"/>
        </w:rPr>
        <w:footnoteReference w:id="1561"/>
      </w:r>
    </w:p>
    <w:p w:rsidR="000B444F" w:rsidRPr="00BF42B7" w:rsidRDefault="000B444F" w:rsidP="000B444F">
      <w:pPr>
        <w:pStyle w:val="SingleTxtGC"/>
      </w:pPr>
      <w:r w:rsidRPr="00BF42B7">
        <w:rPr>
          <w:rFonts w:hint="eastAsia"/>
        </w:rPr>
        <w:t xml:space="preserve">17.  </w:t>
      </w:r>
      <w:r w:rsidRPr="00BF42B7">
        <w:rPr>
          <w:rFonts w:hint="eastAsia"/>
        </w:rPr>
        <w:t>关于斯洛伐克的国际责任，</w:t>
      </w:r>
      <w:r w:rsidRPr="00BF42B7">
        <w:t>国际法院</w:t>
      </w:r>
      <w:r w:rsidRPr="00BF42B7">
        <w:rPr>
          <w:rFonts w:hint="eastAsia"/>
        </w:rPr>
        <w:t>指出：</w:t>
      </w:r>
    </w:p>
    <w:p w:rsidR="000B444F" w:rsidRPr="00BF42B7" w:rsidRDefault="000B444F" w:rsidP="000E6A33">
      <w:pPr>
        <w:pStyle w:val="SingleTxtGC"/>
        <w:ind w:left="1554"/>
      </w:pPr>
      <w:r w:rsidRPr="00BF42B7">
        <w:rPr>
          <w:rFonts w:hint="eastAsia"/>
        </w:rPr>
        <w:t>“</w:t>
      </w:r>
      <w:r w:rsidRPr="00BF42B7">
        <w:t>斯洛伐</w:t>
      </w:r>
      <w:r w:rsidRPr="00BF42B7">
        <w:rPr>
          <w:rFonts w:hint="eastAsia"/>
        </w:rPr>
        <w:t>克……可能不仅有责任为本国的不法行为支付赔偿，还要为</w:t>
      </w:r>
      <w:r w:rsidRPr="00BF42B7">
        <w:t>捷克斯洛伐克</w:t>
      </w:r>
      <w:r w:rsidRPr="00BF42B7">
        <w:rPr>
          <w:rFonts w:hint="eastAsia"/>
        </w:rPr>
        <w:t>的不法行为支付赔偿，而且有权就</w:t>
      </w:r>
      <w:r w:rsidRPr="00BF42B7">
        <w:t>捷克斯洛伐克</w:t>
      </w:r>
      <w:r w:rsidRPr="00BF42B7">
        <w:rPr>
          <w:rFonts w:hint="eastAsia"/>
        </w:rPr>
        <w:t>以及本国因</w:t>
      </w:r>
      <w:r w:rsidRPr="00BF42B7">
        <w:t>匈牙利</w:t>
      </w:r>
      <w:r w:rsidRPr="00BF42B7">
        <w:rPr>
          <w:rFonts w:hint="eastAsia"/>
        </w:rPr>
        <w:t>的不法行为遭受的损失接受赔偿。”</w:t>
      </w:r>
      <w:r w:rsidRPr="00523D41">
        <w:rPr>
          <w:color w:val="0000FF"/>
          <w:vertAlign w:val="superscript"/>
        </w:rPr>
        <w:footnoteReference w:id="1562"/>
      </w:r>
    </w:p>
    <w:p w:rsidR="000B444F" w:rsidRPr="00BF42B7" w:rsidRDefault="000B444F" w:rsidP="000B444F">
      <w:pPr>
        <w:pStyle w:val="SingleTxtGC"/>
      </w:pPr>
      <w:r w:rsidRPr="00BF42B7">
        <w:rPr>
          <w:rFonts w:hint="eastAsia"/>
        </w:rPr>
        <w:t>因此，尽管匈牙利和斯洛伐克之间有特别协议，法院也似乎承认可以继承因不法行为产生的次级责任</w:t>
      </w:r>
      <w:r w:rsidRPr="00BF42B7">
        <w:rPr>
          <w:rFonts w:hint="eastAsia"/>
        </w:rPr>
        <w:t>(</w:t>
      </w:r>
      <w:r w:rsidRPr="00BF42B7">
        <w:rPr>
          <w:rFonts w:hint="eastAsia"/>
        </w:rPr>
        <w:t>义务</w:t>
      </w:r>
      <w:r w:rsidRPr="00BF42B7">
        <w:rPr>
          <w:rFonts w:hint="eastAsia"/>
        </w:rPr>
        <w:t>)</w:t>
      </w:r>
      <w:r w:rsidRPr="00BF42B7">
        <w:rPr>
          <w:rFonts w:hint="eastAsia"/>
        </w:rPr>
        <w:t>和次级权利。</w:t>
      </w:r>
    </w:p>
    <w:p w:rsidR="000B444F" w:rsidRPr="00BF42B7" w:rsidRDefault="000B444F" w:rsidP="000B444F">
      <w:pPr>
        <w:pStyle w:val="SingleTxtGC"/>
      </w:pPr>
      <w:r w:rsidRPr="00BF42B7">
        <w:rPr>
          <w:rFonts w:hint="eastAsia"/>
        </w:rPr>
        <w:t xml:space="preserve">18.  </w:t>
      </w:r>
      <w:r w:rsidRPr="00BF42B7">
        <w:rPr>
          <w:rFonts w:hint="eastAsia"/>
        </w:rPr>
        <w:t>前</w:t>
      </w:r>
      <w:r w:rsidRPr="00BF42B7">
        <w:t>南斯拉夫</w:t>
      </w:r>
      <w:r w:rsidRPr="00BF42B7">
        <w:rPr>
          <w:rFonts w:hint="eastAsia"/>
        </w:rPr>
        <w:t>解体后的国家继承问题较</w:t>
      </w:r>
      <w:r w:rsidRPr="00BF42B7">
        <w:t>捷克斯洛伐克</w:t>
      </w:r>
      <w:r w:rsidRPr="00BF42B7">
        <w:rPr>
          <w:rFonts w:hint="eastAsia"/>
        </w:rPr>
        <w:t>的情况更为复杂。其中一个原因是，</w:t>
      </w:r>
      <w:r w:rsidRPr="00BF42B7">
        <w:t>1992</w:t>
      </w:r>
      <w:r w:rsidRPr="00BF42B7">
        <w:rPr>
          <w:rFonts w:hint="eastAsia"/>
        </w:rPr>
        <w:t>年</w:t>
      </w:r>
      <w:r w:rsidRPr="00BF42B7">
        <w:t>南斯拉夫</w:t>
      </w:r>
      <w:r w:rsidRPr="00BF42B7">
        <w:rPr>
          <w:rFonts w:hint="eastAsia"/>
        </w:rPr>
        <w:t>联盟共和国</w:t>
      </w:r>
      <w:r w:rsidRPr="00BF42B7">
        <w:t>(</w:t>
      </w:r>
      <w:r w:rsidRPr="00BF42B7">
        <w:t>塞尔维亚和黑山</w:t>
      </w:r>
      <w:r w:rsidRPr="00BF42B7">
        <w:t>)</w:t>
      </w:r>
      <w:r w:rsidRPr="00BF42B7">
        <w:rPr>
          <w:rFonts w:hint="eastAsia"/>
        </w:rPr>
        <w:t>宣布本国成为</w:t>
      </w:r>
      <w:r w:rsidRPr="00BF42B7">
        <w:t>南斯拉夫</w:t>
      </w:r>
      <w:r w:rsidRPr="00BF42B7">
        <w:rPr>
          <w:rFonts w:hint="eastAsia"/>
        </w:rPr>
        <w:t>社会主义联邦共和国</w:t>
      </w:r>
      <w:r w:rsidRPr="00BF42B7">
        <w:rPr>
          <w:rFonts w:hint="eastAsia"/>
        </w:rPr>
        <w:t>(</w:t>
      </w:r>
      <w:r w:rsidRPr="00BF42B7">
        <w:rPr>
          <w:rFonts w:hint="eastAsia"/>
        </w:rPr>
        <w:t>南斯拉夫</w:t>
      </w:r>
      <w:r w:rsidRPr="00BF42B7">
        <w:rPr>
          <w:rFonts w:hint="eastAsia"/>
        </w:rPr>
        <w:t>)</w:t>
      </w:r>
      <w:r w:rsidRPr="00BF42B7">
        <w:rPr>
          <w:rFonts w:hint="eastAsia"/>
        </w:rPr>
        <w:t>的延续国。然而，其他前南斯拉夫共和国并不同意。联合国安全理事会和大会也在</w:t>
      </w:r>
      <w:r w:rsidRPr="00BF42B7">
        <w:rPr>
          <w:rFonts w:hint="eastAsia"/>
        </w:rPr>
        <w:t>1992</w:t>
      </w:r>
      <w:r w:rsidRPr="00BF42B7">
        <w:rPr>
          <w:rFonts w:hint="eastAsia"/>
        </w:rPr>
        <w:t>年</w:t>
      </w:r>
      <w:r w:rsidRPr="00BF42B7">
        <w:rPr>
          <w:rFonts w:hint="eastAsia"/>
        </w:rPr>
        <w:t>9</w:t>
      </w:r>
      <w:r w:rsidRPr="00BF42B7">
        <w:rPr>
          <w:rFonts w:hint="eastAsia"/>
        </w:rPr>
        <w:t>月通过决议，拒绝承认</w:t>
      </w:r>
      <w:r w:rsidRPr="00BF42B7">
        <w:t>南联盟</w:t>
      </w:r>
      <w:r w:rsidRPr="00BF42B7">
        <w:rPr>
          <w:rFonts w:hint="eastAsia"/>
        </w:rPr>
        <w:t>为延续国。</w:t>
      </w:r>
      <w:r w:rsidRPr="00523D41">
        <w:rPr>
          <w:color w:val="0000FF"/>
          <w:vertAlign w:val="superscript"/>
        </w:rPr>
        <w:footnoteReference w:id="1563"/>
      </w:r>
      <w:r w:rsidRPr="00BF42B7">
        <w:t xml:space="preserve"> </w:t>
      </w:r>
      <w:r w:rsidRPr="00BF42B7">
        <w:rPr>
          <w:rFonts w:hint="eastAsia"/>
        </w:rPr>
        <w:t>仲裁委员会</w:t>
      </w:r>
      <w:r w:rsidRPr="00BF42B7">
        <w:t>(</w:t>
      </w:r>
      <w:r w:rsidRPr="00BF42B7">
        <w:t>巴丹泰委员会</w:t>
      </w:r>
      <w:r w:rsidRPr="00BF42B7">
        <w:t>)</w:t>
      </w:r>
      <w:r w:rsidRPr="00BF42B7">
        <w:rPr>
          <w:rFonts w:hint="eastAsia"/>
        </w:rPr>
        <w:t>持有同一立场。</w:t>
      </w:r>
      <w:r w:rsidRPr="00523D41">
        <w:rPr>
          <w:color w:val="0000FF"/>
          <w:vertAlign w:val="superscript"/>
        </w:rPr>
        <w:footnoteReference w:id="1564"/>
      </w:r>
      <w:r w:rsidRPr="00BF42B7">
        <w:t xml:space="preserve"> </w:t>
      </w:r>
      <w:r w:rsidRPr="00BF42B7">
        <w:rPr>
          <w:rFonts w:hint="eastAsia"/>
        </w:rPr>
        <w:t>最后，</w:t>
      </w:r>
      <w:r w:rsidRPr="00BF42B7">
        <w:t>南联盟</w:t>
      </w:r>
      <w:r w:rsidRPr="00BF42B7">
        <w:rPr>
          <w:rFonts w:hint="eastAsia"/>
        </w:rPr>
        <w:t>于</w:t>
      </w:r>
      <w:r w:rsidRPr="00BF42B7">
        <w:rPr>
          <w:rFonts w:hint="eastAsia"/>
        </w:rPr>
        <w:t>2000</w:t>
      </w:r>
      <w:r w:rsidRPr="00BF42B7">
        <w:rPr>
          <w:rFonts w:hint="eastAsia"/>
        </w:rPr>
        <w:t>年改变立场，以新国家的身份申请加入联合国。</w:t>
      </w:r>
      <w:r w:rsidRPr="00523D41">
        <w:rPr>
          <w:color w:val="0000FF"/>
          <w:vertAlign w:val="superscript"/>
        </w:rPr>
        <w:footnoteReference w:id="1565"/>
      </w:r>
    </w:p>
    <w:p w:rsidR="000B444F" w:rsidRPr="00BF42B7" w:rsidRDefault="000B444F" w:rsidP="000B444F">
      <w:pPr>
        <w:pStyle w:val="SingleTxtGC"/>
      </w:pPr>
      <w:r w:rsidRPr="00BF42B7">
        <w:rPr>
          <w:rFonts w:hint="eastAsia"/>
        </w:rPr>
        <w:t xml:space="preserve">19.  </w:t>
      </w:r>
      <w:r w:rsidRPr="00BF42B7">
        <w:rPr>
          <w:rFonts w:hint="eastAsia"/>
        </w:rPr>
        <w:t>根据</w:t>
      </w:r>
      <w:r w:rsidRPr="00BF42B7">
        <w:t>巴丹泰委员会</w:t>
      </w:r>
      <w:r w:rsidRPr="00BF42B7">
        <w:rPr>
          <w:rFonts w:hint="eastAsia"/>
        </w:rPr>
        <w:t>的建议，前南斯拉夫的</w:t>
      </w:r>
      <w:r w:rsidRPr="00BF42B7">
        <w:t>继承国</w:t>
      </w:r>
      <w:r w:rsidRPr="00BF42B7">
        <w:rPr>
          <w:rFonts w:hint="eastAsia"/>
        </w:rPr>
        <w:t>需通过协定解决所有与国家继承有关的问题。</w:t>
      </w:r>
      <w:r w:rsidRPr="00BF42B7">
        <w:rPr>
          <w:rFonts w:hint="eastAsia"/>
        </w:rPr>
        <w:t>2001</w:t>
      </w:r>
      <w:r w:rsidRPr="00BF42B7">
        <w:rPr>
          <w:rFonts w:hint="eastAsia"/>
        </w:rPr>
        <w:t>年</w:t>
      </w:r>
      <w:r w:rsidRPr="00BF42B7">
        <w:rPr>
          <w:rFonts w:hint="eastAsia"/>
        </w:rPr>
        <w:t>6</w:t>
      </w:r>
      <w:r w:rsidRPr="00BF42B7">
        <w:rPr>
          <w:rFonts w:hint="eastAsia"/>
        </w:rPr>
        <w:t>月</w:t>
      </w:r>
      <w:r w:rsidRPr="00BF42B7">
        <w:rPr>
          <w:rFonts w:hint="eastAsia"/>
        </w:rPr>
        <w:t>29</w:t>
      </w:r>
      <w:r w:rsidRPr="00BF42B7">
        <w:rPr>
          <w:rFonts w:hint="eastAsia"/>
        </w:rPr>
        <w:t>日，缔结了《继承问题协定》。</w:t>
      </w:r>
      <w:r w:rsidRPr="00523D41">
        <w:rPr>
          <w:color w:val="0000FF"/>
          <w:vertAlign w:val="superscript"/>
        </w:rPr>
        <w:footnoteReference w:id="1566"/>
      </w:r>
      <w:r w:rsidRPr="00BF42B7">
        <w:t xml:space="preserve"> </w:t>
      </w:r>
      <w:r w:rsidRPr="00BF42B7">
        <w:rPr>
          <w:rFonts w:hint="eastAsia"/>
        </w:rPr>
        <w:t>协定的序言指出，缔结协定前经过谈判，“以便查明和决定如何在各方之间公平分配前</w:t>
      </w:r>
      <w:r w:rsidRPr="00BF42B7">
        <w:t>南斯拉夫</w:t>
      </w:r>
      <w:r w:rsidRPr="00BF42B7">
        <w:rPr>
          <w:rFonts w:hint="eastAsia"/>
        </w:rPr>
        <w:t>社会主义联邦共和国的权利、义务、财产和责任”。必须指出，《协定》附件</w:t>
      </w:r>
      <w:r w:rsidRPr="00BF42B7">
        <w:rPr>
          <w:rFonts w:hint="eastAsia"/>
        </w:rPr>
        <w:t>F</w:t>
      </w:r>
      <w:r w:rsidRPr="00BF42B7">
        <w:rPr>
          <w:rFonts w:hint="eastAsia"/>
        </w:rPr>
        <w:t>第</w:t>
      </w:r>
      <w:r w:rsidRPr="00BF42B7">
        <w:rPr>
          <w:rFonts w:hint="eastAsia"/>
        </w:rPr>
        <w:t>2</w:t>
      </w:r>
      <w:r w:rsidRPr="00BF42B7">
        <w:rPr>
          <w:rFonts w:hint="eastAsia"/>
        </w:rPr>
        <w:t>条处理的是继承日之前对第三国实施的国际不法行为的问题：</w:t>
      </w:r>
    </w:p>
    <w:p w:rsidR="000B444F" w:rsidRPr="00BF42B7" w:rsidRDefault="000B444F" w:rsidP="000E6A33">
      <w:pPr>
        <w:pStyle w:val="SingleTxtGC"/>
        <w:ind w:left="1554"/>
      </w:pPr>
      <w:r w:rsidRPr="00BF42B7">
        <w:rPr>
          <w:rFonts w:hint="eastAsia"/>
        </w:rPr>
        <w:t>“所有本协定中未以其他方式处理的对</w:t>
      </w:r>
      <w:r w:rsidRPr="00BF42B7">
        <w:t>南斯拉夫社会主义联邦共和国</w:t>
      </w:r>
      <w:r w:rsidRPr="00BF42B7">
        <w:rPr>
          <w:rFonts w:hint="eastAsia"/>
        </w:rPr>
        <w:t>的申诉，均应由根据本协定第</w:t>
      </w:r>
      <w:r w:rsidRPr="00BF42B7">
        <w:rPr>
          <w:rFonts w:hint="eastAsia"/>
        </w:rPr>
        <w:t>4</w:t>
      </w:r>
      <w:r w:rsidRPr="00BF42B7">
        <w:rPr>
          <w:rFonts w:hint="eastAsia"/>
        </w:rPr>
        <w:t>条设立的</w:t>
      </w:r>
      <w:r w:rsidRPr="00BF42B7">
        <w:t>常设联合委员会</w:t>
      </w:r>
      <w:r w:rsidRPr="00BF42B7">
        <w:rPr>
          <w:rFonts w:hint="eastAsia"/>
        </w:rPr>
        <w:t>审议。各</w:t>
      </w:r>
      <w:r w:rsidRPr="00BF42B7">
        <w:t>继承国</w:t>
      </w:r>
      <w:r w:rsidRPr="00BF42B7">
        <w:rPr>
          <w:rFonts w:hint="eastAsia"/>
        </w:rPr>
        <w:t>应相互告知对</w:t>
      </w:r>
      <w:r w:rsidRPr="00BF42B7">
        <w:t>南斯拉夫社会主义联邦共和国</w:t>
      </w:r>
      <w:r w:rsidRPr="00BF42B7">
        <w:rPr>
          <w:rFonts w:hint="eastAsia"/>
        </w:rPr>
        <w:t>的所有此类申诉。”</w:t>
      </w:r>
    </w:p>
    <w:p w:rsidR="000B444F" w:rsidRPr="00BF42B7" w:rsidRDefault="000B444F" w:rsidP="000B444F">
      <w:pPr>
        <w:pStyle w:val="SingleTxtGC"/>
      </w:pPr>
      <w:r w:rsidRPr="00BF42B7">
        <w:rPr>
          <w:rFonts w:hint="eastAsia"/>
        </w:rPr>
        <w:t xml:space="preserve">20.  </w:t>
      </w:r>
      <w:r w:rsidRPr="00BF42B7">
        <w:rPr>
          <w:rFonts w:hint="eastAsia"/>
        </w:rPr>
        <w:t>从上述案文中可以推断，</w:t>
      </w:r>
      <w:r w:rsidRPr="00BF42B7">
        <w:t>被继承国</w:t>
      </w:r>
      <w:r w:rsidRPr="00BF42B7">
        <w:rPr>
          <w:rFonts w:hint="eastAsia"/>
        </w:rPr>
        <w:t>的义务不单纯因</w:t>
      </w:r>
      <w:r w:rsidRPr="00BF42B7">
        <w:t>南斯拉夫社会主义联邦共和国</w:t>
      </w:r>
      <w:r w:rsidRPr="00BF42B7">
        <w:rPr>
          <w:rFonts w:hint="eastAsia"/>
        </w:rPr>
        <w:t>的解体而消失。</w:t>
      </w:r>
      <w:r w:rsidRPr="00523D41">
        <w:rPr>
          <w:color w:val="0000FF"/>
          <w:vertAlign w:val="superscript"/>
        </w:rPr>
        <w:footnoteReference w:id="1567"/>
      </w:r>
      <w:r w:rsidRPr="00BF42B7">
        <w:t xml:space="preserve"> </w:t>
      </w:r>
      <w:r w:rsidRPr="00BF42B7">
        <w:rPr>
          <w:rFonts w:hint="eastAsia"/>
        </w:rPr>
        <w:t>此外，附件</w:t>
      </w:r>
      <w:r w:rsidRPr="00BF42B7">
        <w:rPr>
          <w:rFonts w:hint="eastAsia"/>
        </w:rPr>
        <w:t>F</w:t>
      </w:r>
      <w:r w:rsidRPr="00BF42B7">
        <w:rPr>
          <w:rFonts w:hint="eastAsia"/>
        </w:rPr>
        <w:t>第</w:t>
      </w:r>
      <w:r w:rsidRPr="00BF42B7">
        <w:rPr>
          <w:rFonts w:hint="eastAsia"/>
        </w:rPr>
        <w:t>1</w:t>
      </w:r>
      <w:r w:rsidRPr="00BF42B7">
        <w:rPr>
          <w:rFonts w:hint="eastAsia"/>
        </w:rPr>
        <w:t>条提到，申诉由</w:t>
      </w:r>
      <w:r w:rsidRPr="00BF42B7">
        <w:t>被继承国</w:t>
      </w:r>
      <w:r w:rsidRPr="00BF42B7">
        <w:rPr>
          <w:rFonts w:hint="eastAsia"/>
        </w:rPr>
        <w:t>转给</w:t>
      </w:r>
      <w:r w:rsidRPr="00BF42B7">
        <w:t>继承国</w:t>
      </w:r>
      <w:r w:rsidRPr="00BF42B7">
        <w:rPr>
          <w:rFonts w:hint="eastAsia"/>
        </w:rPr>
        <w:t>。</w:t>
      </w:r>
      <w:r w:rsidRPr="00523D41">
        <w:rPr>
          <w:color w:val="0000FF"/>
          <w:vertAlign w:val="superscript"/>
        </w:rPr>
        <w:footnoteReference w:id="1568"/>
      </w:r>
    </w:p>
    <w:p w:rsidR="000B444F" w:rsidRPr="00BF42B7" w:rsidRDefault="000B444F" w:rsidP="000B444F">
      <w:pPr>
        <w:pStyle w:val="SingleTxtGC"/>
      </w:pPr>
      <w:r w:rsidRPr="00BF42B7">
        <w:rPr>
          <w:rFonts w:hint="eastAsia"/>
        </w:rPr>
        <w:t xml:space="preserve">21.  </w:t>
      </w:r>
      <w:r w:rsidRPr="00BF42B7">
        <w:rPr>
          <w:rFonts w:hint="eastAsia"/>
        </w:rPr>
        <w:t>国际法院首次涉及</w:t>
      </w:r>
      <w:r w:rsidRPr="00BF42B7">
        <w:rPr>
          <w:rFonts w:hint="eastAsia"/>
        </w:rPr>
        <w:t>(</w:t>
      </w:r>
      <w:r w:rsidRPr="00BF42B7">
        <w:rPr>
          <w:rFonts w:hint="eastAsia"/>
        </w:rPr>
        <w:t>尽管是间接涉及</w:t>
      </w:r>
      <w:r w:rsidRPr="00BF42B7">
        <w:rPr>
          <w:rFonts w:hint="eastAsia"/>
        </w:rPr>
        <w:t>)</w:t>
      </w:r>
      <w:r w:rsidRPr="00BF42B7">
        <w:rPr>
          <w:rFonts w:hint="eastAsia"/>
        </w:rPr>
        <w:t>责任继承问题的第一个“南斯拉夫”案例，是灭绝种族案</w:t>
      </w:r>
      <w:r w:rsidRPr="00BF42B7">
        <w:t>(</w:t>
      </w:r>
      <w:r w:rsidRPr="00BF42B7">
        <w:t>波斯尼亚和黑塞哥维那</w:t>
      </w:r>
      <w:r w:rsidRPr="00BF42B7">
        <w:rPr>
          <w:rFonts w:hint="eastAsia"/>
        </w:rPr>
        <w:t>诉</w:t>
      </w:r>
      <w:r w:rsidRPr="00BF42B7">
        <w:t>塞尔维亚和黑山</w:t>
      </w:r>
      <w:r w:rsidRPr="00BF42B7">
        <w:t>)</w:t>
      </w:r>
      <w:r w:rsidRPr="00BF42B7">
        <w:rPr>
          <w:rFonts w:hint="eastAsia"/>
        </w:rPr>
        <w:t>。法院并不需要解决继承问题，而是要确定应诉方：</w:t>
      </w:r>
    </w:p>
    <w:p w:rsidR="000B444F" w:rsidRPr="00BF42B7" w:rsidRDefault="000B444F" w:rsidP="000E6A33">
      <w:pPr>
        <w:pStyle w:val="SingleTxtGC"/>
        <w:ind w:left="1554"/>
      </w:pPr>
      <w:r w:rsidRPr="00BF42B7">
        <w:rPr>
          <w:rFonts w:hint="eastAsia"/>
        </w:rPr>
        <w:t>“法院认为，</w:t>
      </w:r>
      <w:r w:rsidRPr="00BF42B7">
        <w:t>波斯尼亚和黑塞哥维那</w:t>
      </w:r>
      <w:r w:rsidRPr="00BF42B7">
        <w:rPr>
          <w:rFonts w:hint="eastAsia"/>
        </w:rPr>
        <w:t>最终提交材料所依据的事实和事件，发生在</w:t>
      </w:r>
      <w:r w:rsidRPr="00BF42B7">
        <w:t>塞尔维亚和黑山</w:t>
      </w:r>
      <w:r w:rsidRPr="00BF42B7">
        <w:rPr>
          <w:rFonts w:hint="eastAsia"/>
        </w:rPr>
        <w:t>构成单一国家的时期。……法院因此指出，</w:t>
      </w:r>
      <w:r w:rsidRPr="00BF42B7">
        <w:t>塞尔维亚</w:t>
      </w:r>
      <w:r w:rsidRPr="00BF42B7">
        <w:rPr>
          <w:rFonts w:hint="eastAsia"/>
        </w:rPr>
        <w:t>共和国仍然是本案中的一个应诉方，而且在本判决做出之日，实际上是唯一的应诉方。……尽管如此，必须铭记，本判决就过往事件确定的一切责任，在相关的时间内均涉及</w:t>
      </w:r>
      <w:r w:rsidRPr="00BF42B7">
        <w:t>塞尔维亚和黑山</w:t>
      </w:r>
      <w:r w:rsidRPr="00BF42B7">
        <w:rPr>
          <w:rFonts w:hint="eastAsia"/>
        </w:rPr>
        <w:t>一国。”</w:t>
      </w:r>
      <w:r w:rsidRPr="00523D41">
        <w:rPr>
          <w:color w:val="0000FF"/>
          <w:vertAlign w:val="superscript"/>
        </w:rPr>
        <w:footnoteReference w:id="1569"/>
      </w:r>
    </w:p>
    <w:p w:rsidR="000B444F" w:rsidRPr="00BF42B7" w:rsidRDefault="000B444F" w:rsidP="000B444F">
      <w:pPr>
        <w:pStyle w:val="SingleTxtGC"/>
      </w:pPr>
      <w:r w:rsidRPr="00BF42B7">
        <w:rPr>
          <w:rFonts w:hint="eastAsia"/>
        </w:rPr>
        <w:t xml:space="preserve">22.  </w:t>
      </w:r>
      <w:r w:rsidRPr="00BF42B7">
        <w:rPr>
          <w:rFonts w:hint="eastAsia"/>
        </w:rPr>
        <w:t>国际法院在</w:t>
      </w:r>
      <w:r w:rsidRPr="00BF42B7">
        <w:rPr>
          <w:rFonts w:hint="eastAsia"/>
        </w:rPr>
        <w:t>2008</w:t>
      </w:r>
      <w:r w:rsidRPr="00BF42B7">
        <w:rPr>
          <w:rFonts w:hint="eastAsia"/>
        </w:rPr>
        <w:t>年</w:t>
      </w:r>
      <w:r w:rsidRPr="00BF42B7">
        <w:t>克罗地亚</w:t>
      </w:r>
      <w:r w:rsidRPr="00BF42B7">
        <w:rPr>
          <w:rFonts w:hint="eastAsia"/>
        </w:rPr>
        <w:t>与</w:t>
      </w:r>
      <w:r w:rsidRPr="00BF42B7">
        <w:t>塞尔维亚</w:t>
      </w:r>
      <w:r w:rsidRPr="00BF42B7">
        <w:rPr>
          <w:rFonts w:hint="eastAsia"/>
        </w:rPr>
        <w:t>之间相似的灭绝种族争端中采取了同样的解决办法。</w:t>
      </w:r>
      <w:r w:rsidRPr="00523D41">
        <w:rPr>
          <w:color w:val="0000FF"/>
          <w:vertAlign w:val="superscript"/>
        </w:rPr>
        <w:footnoteReference w:id="1570"/>
      </w:r>
      <w:r w:rsidRPr="00BF42B7">
        <w:t xml:space="preserve"> </w:t>
      </w:r>
      <w:r w:rsidRPr="00BF42B7">
        <w:rPr>
          <w:rFonts w:hint="eastAsia"/>
        </w:rPr>
        <w:t>然而，法院在近期这项</w:t>
      </w:r>
      <w:r w:rsidRPr="00BF42B7">
        <w:t>克罗地亚</w:t>
      </w:r>
      <w:r w:rsidRPr="00BF42B7">
        <w:rPr>
          <w:rFonts w:hint="eastAsia"/>
        </w:rPr>
        <w:t>诉</w:t>
      </w:r>
      <w:r w:rsidRPr="00BF42B7">
        <w:t>塞尔维亚</w:t>
      </w:r>
      <w:r w:rsidRPr="00BF42B7">
        <w:rPr>
          <w:rFonts w:hint="eastAsia"/>
        </w:rPr>
        <w:t>案的最终判决中，更详细地处理了国家责任继承的问题。</w:t>
      </w:r>
      <w:r w:rsidRPr="00523D41">
        <w:rPr>
          <w:color w:val="0000FF"/>
          <w:vertAlign w:val="superscript"/>
        </w:rPr>
        <w:footnoteReference w:id="1571"/>
      </w:r>
      <w:r w:rsidRPr="00BF42B7">
        <w:t xml:space="preserve"> </w:t>
      </w:r>
      <w:r w:rsidRPr="00BF42B7">
        <w:rPr>
          <w:rFonts w:hint="eastAsia"/>
        </w:rPr>
        <w:t>虽然法院以缺少灭绝种族的蓄意要素</w:t>
      </w:r>
      <w:r w:rsidRPr="00BF42B7">
        <w:rPr>
          <w:rFonts w:hint="eastAsia"/>
        </w:rPr>
        <w:t>(</w:t>
      </w:r>
      <w:r w:rsidRPr="00BF42B7">
        <w:rPr>
          <w:rFonts w:hint="eastAsia"/>
        </w:rPr>
        <w:t>心理要件</w:t>
      </w:r>
      <w:r w:rsidRPr="00BF42B7">
        <w:rPr>
          <w:rFonts w:hint="eastAsia"/>
        </w:rPr>
        <w:t>)</w:t>
      </w:r>
      <w:r w:rsidRPr="00BF42B7">
        <w:rPr>
          <w:rFonts w:hint="eastAsia"/>
        </w:rPr>
        <w:t>为由，驳回了</w:t>
      </w:r>
      <w:r w:rsidRPr="00BF42B7">
        <w:t>克罗地亚</w:t>
      </w:r>
      <w:r w:rsidRPr="00BF42B7">
        <w:rPr>
          <w:rFonts w:hint="eastAsia"/>
        </w:rPr>
        <w:t>的申诉和</w:t>
      </w:r>
      <w:r w:rsidRPr="00BF42B7">
        <w:t>塞尔维亚</w:t>
      </w:r>
      <w:r w:rsidRPr="00BF42B7">
        <w:rPr>
          <w:rFonts w:hint="eastAsia"/>
        </w:rPr>
        <w:t>的反诉，但此项判决似乎是最近的声明，赞成可通过继承的方式承担国家责任的论点。</w:t>
      </w:r>
    </w:p>
    <w:p w:rsidR="000B444F" w:rsidRPr="00BF42B7" w:rsidRDefault="000B444F" w:rsidP="000B444F">
      <w:pPr>
        <w:pStyle w:val="SingleTxtGC"/>
      </w:pPr>
      <w:r w:rsidRPr="00BF42B7">
        <w:rPr>
          <w:rFonts w:hint="eastAsia"/>
        </w:rPr>
        <w:t xml:space="preserve">23.  </w:t>
      </w:r>
      <w:r w:rsidRPr="00BF42B7">
        <w:t>国际法</w:t>
      </w:r>
      <w:r w:rsidRPr="00BF42B7">
        <w:rPr>
          <w:rFonts w:hint="eastAsia"/>
        </w:rPr>
        <w:t>院回顾称，法院在</w:t>
      </w:r>
      <w:r w:rsidRPr="00BF42B7">
        <w:t>2008</w:t>
      </w:r>
      <w:r w:rsidRPr="00BF42B7">
        <w:rPr>
          <w:rFonts w:hint="eastAsia"/>
        </w:rPr>
        <w:t>年</w:t>
      </w:r>
      <w:r w:rsidRPr="00BF42B7">
        <w:rPr>
          <w:rFonts w:hint="eastAsia"/>
        </w:rPr>
        <w:t>11</w:t>
      </w:r>
      <w:r w:rsidRPr="00BF42B7">
        <w:rPr>
          <w:rFonts w:hint="eastAsia"/>
        </w:rPr>
        <w:t>月</w:t>
      </w:r>
      <w:r w:rsidRPr="00BF42B7">
        <w:rPr>
          <w:rFonts w:hint="eastAsia"/>
        </w:rPr>
        <w:t>18</w:t>
      </w:r>
      <w:r w:rsidRPr="00BF42B7">
        <w:rPr>
          <w:rFonts w:hint="eastAsia"/>
        </w:rPr>
        <w:t>日的判决中认定：</w:t>
      </w:r>
      <w:r w:rsidRPr="00BF42B7">
        <w:t>南斯拉夫</w:t>
      </w:r>
      <w:r w:rsidRPr="00BF42B7">
        <w:rPr>
          <w:rFonts w:hint="eastAsia"/>
        </w:rPr>
        <w:t>联盟共和国</w:t>
      </w:r>
      <w:r w:rsidRPr="00BF42B7">
        <w:rPr>
          <w:rFonts w:hint="eastAsia"/>
        </w:rPr>
        <w:t>(</w:t>
      </w:r>
      <w:r w:rsidRPr="00BF42B7">
        <w:t>南联盟</w:t>
      </w:r>
      <w:r w:rsidRPr="00BF42B7">
        <w:rPr>
          <w:rFonts w:hint="eastAsia"/>
        </w:rPr>
        <w:t>)</w:t>
      </w:r>
      <w:r w:rsidRPr="00BF42B7">
        <w:rPr>
          <w:rFonts w:hint="eastAsia"/>
        </w:rPr>
        <w:t>于</w:t>
      </w:r>
      <w:r w:rsidRPr="00BF42B7">
        <w:rPr>
          <w:rFonts w:hint="eastAsia"/>
        </w:rPr>
        <w:t>199</w:t>
      </w:r>
      <w:r w:rsidRPr="00BF42B7">
        <w:t>2</w:t>
      </w:r>
      <w:r w:rsidRPr="00BF42B7">
        <w:rPr>
          <w:rFonts w:hint="eastAsia"/>
        </w:rPr>
        <w:t>年</w:t>
      </w:r>
      <w:r w:rsidRPr="00BF42B7">
        <w:rPr>
          <w:rFonts w:hint="eastAsia"/>
        </w:rPr>
        <w:t>4</w:t>
      </w:r>
      <w:r w:rsidRPr="00BF42B7">
        <w:rPr>
          <w:rFonts w:hint="eastAsia"/>
        </w:rPr>
        <w:t>月</w:t>
      </w:r>
      <w:r w:rsidRPr="00BF42B7">
        <w:rPr>
          <w:rFonts w:hint="eastAsia"/>
        </w:rPr>
        <w:t>27</w:t>
      </w:r>
      <w:r w:rsidRPr="00BF42B7">
        <w:rPr>
          <w:rFonts w:hint="eastAsia"/>
        </w:rPr>
        <w:t>日成为一个独立国家，并通过继承成为《灭绝种族罪公约》的缔约国。对于</w:t>
      </w:r>
      <w:r w:rsidRPr="00BF42B7">
        <w:t>克罗地亚</w:t>
      </w:r>
      <w:r w:rsidRPr="00BF42B7">
        <w:rPr>
          <w:rFonts w:hint="eastAsia"/>
        </w:rPr>
        <w:t>就南联盟在此之后实施的行为提起的申诉，法院拥有管辖权，可进行裁决；但对于据称在此之前实施的违反《公约》的行为，法院保留关于管辖权的决定。法院在</w:t>
      </w:r>
      <w:r w:rsidRPr="00BF42B7">
        <w:t>2015</w:t>
      </w:r>
      <w:r w:rsidRPr="00BF42B7">
        <w:rPr>
          <w:rFonts w:hint="eastAsia"/>
        </w:rPr>
        <w:t>年的判决中首先指出，</w:t>
      </w:r>
      <w:r w:rsidRPr="00BF42B7">
        <w:t>南联盟</w:t>
      </w:r>
      <w:r w:rsidRPr="00BF42B7">
        <w:rPr>
          <w:rFonts w:hint="eastAsia"/>
        </w:rPr>
        <w:t>在</w:t>
      </w:r>
      <w:r w:rsidRPr="00BF42B7">
        <w:t>1992</w:t>
      </w:r>
      <w:r w:rsidRPr="00BF42B7">
        <w:rPr>
          <w:rFonts w:hint="eastAsia"/>
        </w:rPr>
        <w:t>年</w:t>
      </w:r>
      <w:r w:rsidRPr="00BF42B7">
        <w:rPr>
          <w:rFonts w:hint="eastAsia"/>
        </w:rPr>
        <w:t>4</w:t>
      </w:r>
      <w:r w:rsidRPr="00BF42B7">
        <w:rPr>
          <w:rFonts w:hint="eastAsia"/>
        </w:rPr>
        <w:t>月</w:t>
      </w:r>
      <w:r w:rsidRPr="00BF42B7">
        <w:rPr>
          <w:rFonts w:hint="eastAsia"/>
        </w:rPr>
        <w:t>27</w:t>
      </w:r>
      <w:r w:rsidRPr="00BF42B7">
        <w:rPr>
          <w:rFonts w:hint="eastAsia"/>
        </w:rPr>
        <w:t>日前不可能受到《灭绝种族罪公约》的约束，即使作为一个处于萌芽状态的国家也是如此，而这一点原是</w:t>
      </w:r>
      <w:r w:rsidRPr="00BF42B7">
        <w:t>克罗地亚</w:t>
      </w:r>
      <w:r w:rsidRPr="00BF42B7">
        <w:rPr>
          <w:rFonts w:hint="eastAsia"/>
        </w:rPr>
        <w:t>的主要论点。</w:t>
      </w:r>
    </w:p>
    <w:p w:rsidR="000B444F" w:rsidRPr="00BF42B7" w:rsidRDefault="000B444F" w:rsidP="000B444F">
      <w:pPr>
        <w:pStyle w:val="SingleTxtGC"/>
      </w:pPr>
      <w:r w:rsidRPr="00BF42B7">
        <w:rPr>
          <w:rFonts w:hint="eastAsia"/>
        </w:rPr>
        <w:t xml:space="preserve">24.  </w:t>
      </w:r>
      <w:r w:rsidRPr="00BF42B7">
        <w:rPr>
          <w:rFonts w:hint="eastAsia"/>
        </w:rPr>
        <w:t>然而，法院注意到申诉方在</w:t>
      </w:r>
      <w:r w:rsidRPr="00BF42B7">
        <w:rPr>
          <w:rFonts w:hint="eastAsia"/>
        </w:rPr>
        <w:t>2014</w:t>
      </w:r>
      <w:r w:rsidRPr="00BF42B7">
        <w:rPr>
          <w:rFonts w:hint="eastAsia"/>
        </w:rPr>
        <w:t>年</w:t>
      </w:r>
      <w:r w:rsidRPr="00BF42B7">
        <w:rPr>
          <w:rFonts w:hint="eastAsia"/>
        </w:rPr>
        <w:t>3</w:t>
      </w:r>
      <w:r w:rsidRPr="00BF42B7">
        <w:rPr>
          <w:rFonts w:hint="eastAsia"/>
        </w:rPr>
        <w:t>月的口头听证会中提出了另一个论点，即</w:t>
      </w:r>
      <w:r w:rsidRPr="00BF42B7">
        <w:t>南联盟</w:t>
      </w:r>
      <w:r w:rsidRPr="00BF42B7">
        <w:t>(</w:t>
      </w:r>
      <w:r w:rsidRPr="00BF42B7">
        <w:rPr>
          <w:rFonts w:hint="eastAsia"/>
        </w:rPr>
        <w:t>后来是</w:t>
      </w:r>
      <w:r w:rsidRPr="00BF42B7">
        <w:t>塞尔维亚</w:t>
      </w:r>
      <w:r w:rsidRPr="00BF42B7">
        <w:t>)</w:t>
      </w:r>
      <w:r w:rsidRPr="00BF42B7">
        <w:rPr>
          <w:rFonts w:hint="eastAsia"/>
        </w:rPr>
        <w:t>原本可以继承</w:t>
      </w:r>
      <w:r w:rsidRPr="00BF42B7">
        <w:t>南斯拉夫社会主义联邦共和国</w:t>
      </w:r>
      <w:r w:rsidRPr="00BF42B7">
        <w:rPr>
          <w:rFonts w:hint="eastAsia"/>
        </w:rPr>
        <w:t>为在此日期前违反公约所负的责任。事实上，</w:t>
      </w:r>
      <w:r w:rsidRPr="00BF42B7">
        <w:t>克罗地亚</w:t>
      </w:r>
      <w:r w:rsidRPr="00BF42B7">
        <w:rPr>
          <w:rFonts w:hint="eastAsia"/>
        </w:rPr>
        <w:t>分别提出两个理由，据以声称</w:t>
      </w:r>
      <w:r w:rsidRPr="00BF42B7">
        <w:t>南联盟</w:t>
      </w:r>
      <w:r w:rsidRPr="00BF42B7">
        <w:rPr>
          <w:rFonts w:hint="eastAsia"/>
        </w:rPr>
        <w:t>已经继承了</w:t>
      </w:r>
      <w:r w:rsidRPr="00BF42B7">
        <w:t>南斯拉夫社会主义联邦共和国</w:t>
      </w:r>
      <w:r w:rsidRPr="00BF42B7">
        <w:rPr>
          <w:rFonts w:hint="eastAsia"/>
        </w:rPr>
        <w:t>的责任。首先，克罗地亚声称，继承是适用有关国家继承的一般国际法原则的结果。</w:t>
      </w:r>
      <w:r w:rsidRPr="00523D41">
        <w:rPr>
          <w:color w:val="0000FF"/>
          <w:vertAlign w:val="superscript"/>
        </w:rPr>
        <w:footnoteReference w:id="1572"/>
      </w:r>
      <w:r w:rsidRPr="00BF42B7">
        <w:t xml:space="preserve"> </w:t>
      </w:r>
      <w:r w:rsidRPr="00BF42B7">
        <w:rPr>
          <w:rFonts w:hint="eastAsia"/>
        </w:rPr>
        <w:t>克罗地亚依据</w:t>
      </w:r>
      <w:r w:rsidRPr="00BF42B7">
        <w:t>1956</w:t>
      </w:r>
      <w:r w:rsidRPr="00BF42B7">
        <w:rPr>
          <w:rFonts w:hint="eastAsia"/>
        </w:rPr>
        <w:t>年仲裁法庭在</w:t>
      </w:r>
      <w:r w:rsidRPr="00BF42B7">
        <w:rPr>
          <w:rFonts w:eastAsia="楷体" w:hint="eastAsia"/>
        </w:rPr>
        <w:t>灯塔仲裁案</w:t>
      </w:r>
      <w:r w:rsidRPr="00BF42B7">
        <w:rPr>
          <w:rFonts w:hint="eastAsia"/>
        </w:rPr>
        <w:t>中的裁决，其中指出，如果事实情况要求</w:t>
      </w:r>
      <w:r w:rsidRPr="00BF42B7">
        <w:t>继承国</w:t>
      </w:r>
      <w:r w:rsidRPr="00BF42B7">
        <w:rPr>
          <w:rFonts w:hint="eastAsia"/>
        </w:rPr>
        <w:t>为被继承国的错误行为负责，那么可将一国的责任转给继承国。</w:t>
      </w:r>
      <w:r w:rsidRPr="00523D41">
        <w:rPr>
          <w:color w:val="0000FF"/>
          <w:vertAlign w:val="superscript"/>
        </w:rPr>
        <w:footnoteReference w:id="1573"/>
      </w:r>
      <w:r w:rsidRPr="00BF42B7">
        <w:t xml:space="preserve"> </w:t>
      </w:r>
      <w:r w:rsidRPr="00BF42B7">
        <w:rPr>
          <w:rFonts w:hint="eastAsia"/>
        </w:rPr>
        <w:t>其次，</w:t>
      </w:r>
      <w:r w:rsidRPr="00BF42B7">
        <w:t>克罗地亚</w:t>
      </w:r>
      <w:r w:rsidRPr="00BF42B7">
        <w:rPr>
          <w:rFonts w:hint="eastAsia"/>
        </w:rPr>
        <w:t>辩称，</w:t>
      </w:r>
      <w:r w:rsidRPr="00BF42B7">
        <w:t>南联盟</w:t>
      </w:r>
      <w:r w:rsidRPr="00BF42B7">
        <w:rPr>
          <w:rFonts w:hint="eastAsia"/>
        </w:rPr>
        <w:t>在</w:t>
      </w:r>
      <w:r w:rsidRPr="00BF42B7">
        <w:t>1992</w:t>
      </w:r>
      <w:r w:rsidRPr="00BF42B7">
        <w:t>年</w:t>
      </w:r>
      <w:r w:rsidRPr="00BF42B7">
        <w:t>4</w:t>
      </w:r>
      <w:r w:rsidRPr="00BF42B7">
        <w:t>月</w:t>
      </w:r>
      <w:r w:rsidRPr="00BF42B7">
        <w:t>27</w:t>
      </w:r>
      <w:r w:rsidRPr="00BF42B7">
        <w:t>日</w:t>
      </w:r>
      <w:r w:rsidRPr="00BF42B7">
        <w:rPr>
          <w:rFonts w:hint="eastAsia"/>
        </w:rPr>
        <w:t>的宣言中表示：“它不仅继承</w:t>
      </w:r>
      <w:r w:rsidRPr="00BF42B7">
        <w:t>南斯拉夫社会主义联邦共和国</w:t>
      </w:r>
      <w:r w:rsidRPr="00BF42B7">
        <w:rPr>
          <w:rFonts w:hint="eastAsia"/>
        </w:rPr>
        <w:t>的条约义务，而且继承</w:t>
      </w:r>
      <w:r w:rsidRPr="00BF42B7">
        <w:t>南斯拉夫社会主义联邦共和国</w:t>
      </w:r>
      <w:r w:rsidRPr="00BF42B7">
        <w:rPr>
          <w:rFonts w:hint="eastAsia"/>
        </w:rPr>
        <w:t>为违反这些条约义务而承担的责任”。</w:t>
      </w:r>
      <w:r w:rsidRPr="00523D41">
        <w:rPr>
          <w:color w:val="0000FF"/>
          <w:vertAlign w:val="superscript"/>
        </w:rPr>
        <w:footnoteReference w:id="1574"/>
      </w:r>
    </w:p>
    <w:p w:rsidR="000B444F" w:rsidRPr="00BF42B7" w:rsidRDefault="000B444F" w:rsidP="000B444F">
      <w:pPr>
        <w:pStyle w:val="SingleTxtGC"/>
      </w:pPr>
      <w:r w:rsidRPr="00BF42B7">
        <w:rPr>
          <w:rFonts w:hint="eastAsia"/>
        </w:rPr>
        <w:t xml:space="preserve">25.  </w:t>
      </w:r>
      <w:r w:rsidRPr="00BF42B7">
        <w:rPr>
          <w:rFonts w:hint="eastAsia"/>
        </w:rPr>
        <w:t>除了涉及</w:t>
      </w:r>
      <w:r w:rsidRPr="00BF42B7">
        <w:rPr>
          <w:rFonts w:hint="eastAsia"/>
          <w:spacing w:val="4"/>
        </w:rPr>
        <w:t>管辖权和可否受理</w:t>
      </w:r>
      <w:r w:rsidRPr="00BF42B7">
        <w:rPr>
          <w:spacing w:val="4"/>
        </w:rPr>
        <w:t>(</w:t>
      </w:r>
      <w:r w:rsidRPr="00BF42B7">
        <w:rPr>
          <w:spacing w:val="4"/>
        </w:rPr>
        <w:t>克罗地亚</w:t>
      </w:r>
      <w:r w:rsidRPr="00BF42B7">
        <w:rPr>
          <w:rFonts w:hint="eastAsia"/>
          <w:spacing w:val="4"/>
        </w:rPr>
        <w:t>提出的新主张，在《灭绝种族罪公约》第九条或其他条款中不存在法律依据</w:t>
      </w:r>
      <w:r w:rsidRPr="00BF42B7">
        <w:rPr>
          <w:spacing w:val="4"/>
        </w:rPr>
        <w:t>)</w:t>
      </w:r>
      <w:r w:rsidRPr="00BF42B7">
        <w:rPr>
          <w:rFonts w:hint="eastAsia"/>
          <w:spacing w:val="4"/>
        </w:rPr>
        <w:t>的论点外，</w:t>
      </w:r>
      <w:r w:rsidRPr="00BF42B7">
        <w:rPr>
          <w:spacing w:val="4"/>
        </w:rPr>
        <w:t>塞尔维亚</w:t>
      </w:r>
      <w:r w:rsidRPr="00BF42B7">
        <w:rPr>
          <w:rFonts w:hint="eastAsia"/>
          <w:spacing w:val="4"/>
        </w:rPr>
        <w:t>坚称在一般国际法中没有责任继承原则。十分有趣的是，</w:t>
      </w:r>
      <w:r w:rsidRPr="00BF42B7">
        <w:rPr>
          <w:spacing w:val="4"/>
        </w:rPr>
        <w:t>塞尔维亚</w:t>
      </w:r>
      <w:r w:rsidRPr="00BF42B7">
        <w:rPr>
          <w:rFonts w:hint="eastAsia"/>
          <w:spacing w:val="4"/>
        </w:rPr>
        <w:t>还坚称，所有关于继承</w:t>
      </w:r>
      <w:r w:rsidRPr="00BF42B7">
        <w:rPr>
          <w:spacing w:val="4"/>
        </w:rPr>
        <w:t>南斯拉夫社会主义联邦共和国</w:t>
      </w:r>
      <w:r w:rsidRPr="00BF42B7">
        <w:rPr>
          <w:rFonts w:hint="eastAsia"/>
          <w:spacing w:val="4"/>
        </w:rPr>
        <w:t>的权利</w:t>
      </w:r>
      <w:r w:rsidRPr="00BF42B7">
        <w:rPr>
          <w:rFonts w:hint="eastAsia"/>
        </w:rPr>
        <w:t>和义务的问题，均由《继承问题协定》</w:t>
      </w:r>
      <w:r w:rsidRPr="00BF42B7">
        <w:rPr>
          <w:rFonts w:hint="eastAsia"/>
        </w:rPr>
        <w:t>(</w:t>
      </w:r>
      <w:r w:rsidRPr="00BF42B7">
        <w:t>2001</w:t>
      </w:r>
      <w:r w:rsidRPr="00BF42B7">
        <w:rPr>
          <w:rFonts w:hint="eastAsia"/>
        </w:rPr>
        <w:t>年</w:t>
      </w:r>
      <w:r w:rsidRPr="00BF42B7">
        <w:rPr>
          <w:rFonts w:hint="eastAsia"/>
        </w:rPr>
        <w:t>)</w:t>
      </w:r>
      <w:r w:rsidRPr="00BF42B7">
        <w:rPr>
          <w:rFonts w:hint="eastAsia"/>
        </w:rPr>
        <w:t>决定，该协定规定了审议对</w:t>
      </w:r>
      <w:r w:rsidRPr="00BF42B7">
        <w:t>南斯拉夫社会主义联邦共和国</w:t>
      </w:r>
      <w:r w:rsidRPr="00BF42B7">
        <w:rPr>
          <w:rFonts w:hint="eastAsia"/>
        </w:rPr>
        <w:t>的未决申诉的程序。</w:t>
      </w:r>
      <w:r w:rsidRPr="00523D41">
        <w:rPr>
          <w:color w:val="0000FF"/>
          <w:vertAlign w:val="superscript"/>
        </w:rPr>
        <w:footnoteReference w:id="1575"/>
      </w:r>
    </w:p>
    <w:p w:rsidR="008022D4" w:rsidRDefault="000B444F" w:rsidP="000B444F">
      <w:pPr>
        <w:pStyle w:val="SingleTxtGC"/>
      </w:pPr>
      <w:r w:rsidRPr="00BF42B7">
        <w:rPr>
          <w:rFonts w:hint="eastAsia"/>
        </w:rPr>
        <w:t xml:space="preserve">26.  </w:t>
      </w:r>
      <w:r w:rsidRPr="00BF42B7">
        <w:rPr>
          <w:rFonts w:hint="eastAsia"/>
        </w:rPr>
        <w:t>值得一提的是，法院没有驳回、从而接受了</w:t>
      </w:r>
      <w:r w:rsidRPr="00BF42B7">
        <w:t>克罗地亚</w:t>
      </w:r>
      <w:r w:rsidRPr="00BF42B7">
        <w:rPr>
          <w:rFonts w:hint="eastAsia"/>
        </w:rPr>
        <w:t>关于法院对</w:t>
      </w:r>
      <w:r w:rsidRPr="00BF42B7">
        <w:t>1992</w:t>
      </w:r>
      <w:r w:rsidRPr="00BF42B7">
        <w:t>年</w:t>
      </w:r>
      <w:r w:rsidRPr="00BF42B7">
        <w:t>4</w:t>
      </w:r>
      <w:r w:rsidRPr="00BF42B7">
        <w:t>月</w:t>
      </w:r>
      <w:r w:rsidRPr="00BF42B7">
        <w:t>27</w:t>
      </w:r>
      <w:r w:rsidRPr="00BF42B7">
        <w:t>日</w:t>
      </w:r>
      <w:r w:rsidRPr="00BF42B7">
        <w:rPr>
          <w:rFonts w:hint="eastAsia"/>
        </w:rPr>
        <w:t>前的行为是否具有管辖权的另一个论点。</w:t>
      </w:r>
      <w:r w:rsidRPr="00BF42B7">
        <w:t>国际法院</w:t>
      </w:r>
      <w:r w:rsidRPr="00BF42B7">
        <w:rPr>
          <w:rFonts w:hint="eastAsia"/>
        </w:rPr>
        <w:t>宣称，要确定</w:t>
      </w:r>
      <w:r w:rsidRPr="00BF42B7">
        <w:t>塞尔维亚</w:t>
      </w:r>
      <w:r w:rsidRPr="00BF42B7">
        <w:rPr>
          <w:rFonts w:hint="eastAsia"/>
        </w:rPr>
        <w:t>是否对违反《公约》的行为负责，</w:t>
      </w:r>
    </w:p>
    <w:p w:rsidR="000B444F" w:rsidRPr="00BF42B7" w:rsidRDefault="000B444F" w:rsidP="008022D4">
      <w:pPr>
        <w:pStyle w:val="SingleTxtGC"/>
        <w:ind w:left="1554"/>
      </w:pPr>
      <w:r w:rsidRPr="00BF42B7">
        <w:rPr>
          <w:rFonts w:hint="eastAsia"/>
        </w:rPr>
        <w:t>“法院需要决定：</w:t>
      </w:r>
    </w:p>
    <w:p w:rsidR="000B444F" w:rsidRPr="00BF42B7" w:rsidRDefault="000B444F" w:rsidP="006026F0">
      <w:pPr>
        <w:pStyle w:val="SingleTxtGC"/>
        <w:tabs>
          <w:tab w:val="clear" w:pos="431"/>
          <w:tab w:val="clear" w:pos="1134"/>
          <w:tab w:val="clear" w:pos="1565"/>
          <w:tab w:val="clear" w:pos="1996"/>
          <w:tab w:val="clear" w:pos="2427"/>
          <w:tab w:val="left" w:pos="2211"/>
        </w:tabs>
        <w:ind w:left="2212" w:hanging="573"/>
      </w:pPr>
      <w:r w:rsidRPr="00BF42B7">
        <w:t>(1)</w:t>
      </w:r>
      <w:r w:rsidRPr="00BF42B7">
        <w:tab/>
      </w:r>
      <w:r w:rsidRPr="00BF42B7">
        <w:t>克罗地亚</w:t>
      </w:r>
      <w:r w:rsidRPr="00BF42B7">
        <w:rPr>
          <w:rFonts w:hint="eastAsia"/>
        </w:rPr>
        <w:t>据以申诉的行为是否发生过；若发生过，这些行为是否与《公约》相悖；</w:t>
      </w:r>
    </w:p>
    <w:p w:rsidR="000B444F" w:rsidRPr="00BF42B7" w:rsidRDefault="000B444F" w:rsidP="006026F0">
      <w:pPr>
        <w:pStyle w:val="SingleTxtGC"/>
        <w:tabs>
          <w:tab w:val="clear" w:pos="431"/>
          <w:tab w:val="clear" w:pos="1134"/>
          <w:tab w:val="clear" w:pos="1565"/>
          <w:tab w:val="clear" w:pos="1996"/>
          <w:tab w:val="clear" w:pos="2427"/>
          <w:tab w:val="left" w:pos="2211"/>
        </w:tabs>
        <w:ind w:left="2212" w:hanging="573"/>
      </w:pPr>
      <w:r w:rsidRPr="00BF42B7">
        <w:t>(2)</w:t>
      </w:r>
      <w:r w:rsidRPr="00BF42B7">
        <w:tab/>
      </w:r>
      <w:r w:rsidRPr="00BF42B7">
        <w:rPr>
          <w:rFonts w:hint="eastAsia"/>
        </w:rPr>
        <w:t>如果是，这些行为在发生时是否可归咎于</w:t>
      </w:r>
      <w:r w:rsidRPr="00BF42B7">
        <w:t>南斯拉夫社会主义联邦共和国</w:t>
      </w:r>
      <w:r w:rsidRPr="00BF42B7">
        <w:rPr>
          <w:rFonts w:hint="eastAsia"/>
        </w:rPr>
        <w:t>，使之承担责任；</w:t>
      </w:r>
    </w:p>
    <w:p w:rsidR="000B444F" w:rsidRPr="00BF42B7" w:rsidRDefault="000B444F" w:rsidP="006026F0">
      <w:pPr>
        <w:pStyle w:val="SingleTxtGC"/>
        <w:tabs>
          <w:tab w:val="clear" w:pos="431"/>
          <w:tab w:val="clear" w:pos="1134"/>
          <w:tab w:val="clear" w:pos="1565"/>
          <w:tab w:val="clear" w:pos="1996"/>
          <w:tab w:val="clear" w:pos="2427"/>
          <w:tab w:val="left" w:pos="2211"/>
        </w:tabs>
        <w:ind w:left="2211" w:hanging="573"/>
      </w:pPr>
      <w:r w:rsidRPr="00BF42B7">
        <w:t>(3)</w:t>
      </w:r>
      <w:r w:rsidRPr="00BF42B7">
        <w:tab/>
      </w:r>
      <w:r w:rsidRPr="00BF42B7">
        <w:rPr>
          <w:rFonts w:hint="eastAsia"/>
        </w:rPr>
        <w:t>若由</w:t>
      </w:r>
      <w:r w:rsidRPr="00BF42B7">
        <w:t>南斯拉夫社会主义联邦共和国</w:t>
      </w:r>
      <w:r w:rsidRPr="00BF42B7">
        <w:rPr>
          <w:rFonts w:hint="eastAsia"/>
        </w:rPr>
        <w:t>承担责任，</w:t>
      </w:r>
      <w:r w:rsidRPr="00BF42B7">
        <w:t>南联盟</w:t>
      </w:r>
      <w:r w:rsidRPr="00BF42B7">
        <w:rPr>
          <w:rFonts w:hint="eastAsia"/>
        </w:rPr>
        <w:t>是否继承这一责任。”</w:t>
      </w:r>
      <w:r w:rsidRPr="00523D41">
        <w:rPr>
          <w:color w:val="0000FF"/>
          <w:vertAlign w:val="superscript"/>
        </w:rPr>
        <w:footnoteReference w:id="1576"/>
      </w:r>
    </w:p>
    <w:p w:rsidR="000B444F" w:rsidRPr="00BF42B7" w:rsidRDefault="000B444F" w:rsidP="000B444F">
      <w:pPr>
        <w:pStyle w:val="SingleTxtGC"/>
      </w:pPr>
      <w:r w:rsidRPr="00BF42B7">
        <w:rPr>
          <w:rFonts w:hint="eastAsia"/>
        </w:rPr>
        <w:t xml:space="preserve">27.  </w:t>
      </w:r>
      <w:r w:rsidRPr="00BF42B7">
        <w:rPr>
          <w:rFonts w:hint="eastAsia"/>
        </w:rPr>
        <w:t>必须指出，法院认为，能在本案中发挥作用的继承规则与关于条约解释和国家责任的规则同属一类。</w:t>
      </w:r>
      <w:r w:rsidRPr="00523D41">
        <w:rPr>
          <w:color w:val="0000FF"/>
          <w:vertAlign w:val="superscript"/>
        </w:rPr>
        <w:footnoteReference w:id="1577"/>
      </w:r>
      <w:r w:rsidRPr="00BF42B7">
        <w:t xml:space="preserve"> </w:t>
      </w:r>
      <w:r w:rsidRPr="00BF42B7">
        <w:rPr>
          <w:rFonts w:hint="eastAsia"/>
        </w:rPr>
        <w:t>然而，国际法院的法官并不是都同意多数意见。在薛法官的声明中写道：“迄今为止，关于条约继承和国家责任的一般国际法成文规则，没有任何一条考虑过国家对责任的继承……关于发生继承时的国家责任的规则，仍有待发展。”</w:t>
      </w:r>
      <w:r w:rsidRPr="00523D41">
        <w:rPr>
          <w:color w:val="0000FF"/>
          <w:vertAlign w:val="superscript"/>
        </w:rPr>
        <w:footnoteReference w:id="1578"/>
      </w:r>
    </w:p>
    <w:p w:rsidR="000B444F" w:rsidRPr="00BF42B7" w:rsidRDefault="000B444F" w:rsidP="000B444F">
      <w:pPr>
        <w:pStyle w:val="SingleTxtGC"/>
      </w:pPr>
      <w:r w:rsidRPr="00BF42B7">
        <w:rPr>
          <w:rFonts w:hint="eastAsia"/>
        </w:rPr>
        <w:t xml:space="preserve">28.  </w:t>
      </w:r>
      <w:r w:rsidRPr="00BF42B7">
        <w:rPr>
          <w:rFonts w:hint="eastAsia"/>
        </w:rPr>
        <w:t>另一个有趣的案例是</w:t>
      </w:r>
      <w:r w:rsidRPr="00BF42B7">
        <w:rPr>
          <w:rFonts w:eastAsia="楷体"/>
          <w:iCs/>
        </w:rPr>
        <w:t>Mytilineos Holdings SA</w:t>
      </w:r>
      <w:r w:rsidRPr="00BF42B7">
        <w:rPr>
          <w:rFonts w:eastAsia="楷体" w:hint="eastAsia"/>
          <w:iCs/>
        </w:rPr>
        <w:t>投资仲裁案</w:t>
      </w:r>
      <w:r w:rsidRPr="00BF42B7">
        <w:rPr>
          <w:rFonts w:hint="eastAsia"/>
          <w:iCs/>
        </w:rPr>
        <w:t>。该案中，仲裁法庭指出，</w:t>
      </w:r>
      <w:r w:rsidRPr="00BF42B7">
        <w:rPr>
          <w:rFonts w:hint="eastAsia"/>
        </w:rPr>
        <w:t>出现争端后，黑山宣布独立。虽然法庭无需裁决国家继承的法律问题，但法庭指出，在国际层面，</w:t>
      </w:r>
      <w:r w:rsidRPr="00BF42B7">
        <w:t>塞尔维亚</w:t>
      </w:r>
      <w:r w:rsidRPr="00BF42B7">
        <w:rPr>
          <w:rFonts w:hint="eastAsia"/>
        </w:rPr>
        <w:t>共和国将继承</w:t>
      </w:r>
      <w:r w:rsidRPr="00BF42B7">
        <w:t>塞尔维亚和黑山</w:t>
      </w:r>
      <w:r w:rsidRPr="00BF42B7">
        <w:rPr>
          <w:rFonts w:hint="eastAsia"/>
        </w:rPr>
        <w:t>的法律地位，这一点毋庸置疑。</w:t>
      </w:r>
      <w:r w:rsidRPr="00523D41">
        <w:rPr>
          <w:color w:val="0000FF"/>
          <w:vertAlign w:val="superscript"/>
        </w:rPr>
        <w:footnoteReference w:id="1579"/>
      </w:r>
    </w:p>
    <w:p w:rsidR="000B444F" w:rsidRPr="00BF42B7" w:rsidRDefault="000B444F" w:rsidP="000B444F">
      <w:pPr>
        <w:pStyle w:val="SingleTxtGC"/>
      </w:pPr>
      <w:r w:rsidRPr="00BF42B7">
        <w:rPr>
          <w:rFonts w:hint="eastAsia"/>
        </w:rPr>
        <w:t xml:space="preserve">29.  </w:t>
      </w:r>
      <w:r w:rsidRPr="00BF42B7">
        <w:rPr>
          <w:rFonts w:hint="eastAsia"/>
        </w:rPr>
        <w:t>为国家继承提供证据的大量例子都涉及德国的统一。统一后，德意志联邦共和国</w:t>
      </w:r>
      <w:r w:rsidRPr="00BF42B7">
        <w:rPr>
          <w:rFonts w:hint="eastAsia"/>
        </w:rPr>
        <w:t>(</w:t>
      </w:r>
      <w:r w:rsidRPr="00BF42B7">
        <w:t>联邦德国</w:t>
      </w:r>
      <w:r w:rsidRPr="00BF42B7">
        <w:rPr>
          <w:rFonts w:hint="eastAsia"/>
        </w:rPr>
        <w:t>)</w:t>
      </w:r>
      <w:r w:rsidRPr="00BF42B7">
        <w:rPr>
          <w:rFonts w:hint="eastAsia"/>
        </w:rPr>
        <w:t>承担了因前德意志民主共和国</w:t>
      </w:r>
      <w:r w:rsidRPr="00BF42B7">
        <w:rPr>
          <w:rFonts w:hint="eastAsia"/>
        </w:rPr>
        <w:t>(</w:t>
      </w:r>
      <w:r w:rsidRPr="00BF42B7">
        <w:t>民主德国</w:t>
      </w:r>
      <w:r w:rsidRPr="00BF42B7">
        <w:rPr>
          <w:rFonts w:hint="eastAsia"/>
        </w:rPr>
        <w:t>)</w:t>
      </w:r>
      <w:r w:rsidRPr="00BF42B7">
        <w:rPr>
          <w:rFonts w:hint="eastAsia"/>
        </w:rPr>
        <w:t>的侵权责任而产生的责任。</w:t>
      </w:r>
      <w:r w:rsidRPr="00523D41">
        <w:rPr>
          <w:color w:val="0000FF"/>
          <w:vertAlign w:val="superscript"/>
        </w:rPr>
        <w:footnoteReference w:id="1580"/>
      </w:r>
      <w:r w:rsidRPr="00BF42B7">
        <w:t xml:space="preserve"> </w:t>
      </w:r>
      <w:r w:rsidRPr="00BF42B7">
        <w:rPr>
          <w:rFonts w:hint="eastAsia"/>
        </w:rPr>
        <w:t>统一时尚未解决的一个问题，涉及对前</w:t>
      </w:r>
      <w:r w:rsidRPr="00BF42B7">
        <w:t>民主德国</w:t>
      </w:r>
      <w:r w:rsidRPr="00BF42B7">
        <w:rPr>
          <w:rFonts w:hint="eastAsia"/>
        </w:rPr>
        <w:t>境内征用财产的赔偿。除了几项一次性付清的协定，</w:t>
      </w:r>
      <w:r w:rsidRPr="00BF42B7">
        <w:t>民主德国</w:t>
      </w:r>
      <w:r w:rsidRPr="00BF42B7">
        <w:rPr>
          <w:rFonts w:hint="eastAsia"/>
        </w:rPr>
        <w:t>一直拒绝支付赔偿。只是到了统一前的最后阶段，</w:t>
      </w:r>
      <w:r w:rsidRPr="00BF42B7">
        <w:t>民主德国</w:t>
      </w:r>
      <w:r w:rsidRPr="00BF42B7">
        <w:rPr>
          <w:rFonts w:hint="eastAsia"/>
        </w:rPr>
        <w:t>才通过了一项关于解决财产问题的法案</w:t>
      </w:r>
      <w:r w:rsidRPr="00BF42B7">
        <w:rPr>
          <w:rFonts w:hint="eastAsia"/>
        </w:rPr>
        <w:t>(</w:t>
      </w:r>
      <w:r w:rsidRPr="00BF42B7">
        <w:t>1990</w:t>
      </w:r>
      <w:r w:rsidRPr="00BF42B7">
        <w:t>年</w:t>
      </w:r>
      <w:r w:rsidRPr="00BF42B7">
        <w:t>6</w:t>
      </w:r>
      <w:r w:rsidRPr="00BF42B7">
        <w:t>月</w:t>
      </w:r>
      <w:r w:rsidRPr="00BF42B7">
        <w:t>29</w:t>
      </w:r>
      <w:r w:rsidRPr="00BF42B7">
        <w:t>日</w:t>
      </w:r>
      <w:r w:rsidRPr="00BF42B7">
        <w:rPr>
          <w:rFonts w:hint="eastAsia"/>
        </w:rPr>
        <w:t>)</w:t>
      </w:r>
      <w:r w:rsidRPr="00BF42B7">
        <w:rPr>
          <w:rFonts w:hint="eastAsia"/>
        </w:rPr>
        <w:t>。与这个情况有关的是，</w:t>
      </w:r>
      <w:r w:rsidRPr="00BF42B7">
        <w:t>联邦德国</w:t>
      </w:r>
      <w:r w:rsidRPr="00BF42B7">
        <w:rPr>
          <w:rFonts w:hint="eastAsia"/>
        </w:rPr>
        <w:t>和</w:t>
      </w:r>
      <w:r w:rsidRPr="00BF42B7">
        <w:t>民主德国</w:t>
      </w:r>
      <w:r w:rsidRPr="00BF42B7">
        <w:rPr>
          <w:rFonts w:hint="eastAsia"/>
        </w:rPr>
        <w:t>两国政府通过了一项关于解决未决财产权问题的联合声明</w:t>
      </w:r>
      <w:r w:rsidRPr="00BF42B7">
        <w:rPr>
          <w:rFonts w:hint="eastAsia"/>
        </w:rPr>
        <w:t>(</w:t>
      </w:r>
      <w:r w:rsidRPr="00BF42B7">
        <w:t>1990</w:t>
      </w:r>
      <w:r w:rsidRPr="00BF42B7">
        <w:t>年</w:t>
      </w:r>
      <w:r w:rsidRPr="00BF42B7">
        <w:t>6</w:t>
      </w:r>
      <w:r w:rsidRPr="00BF42B7">
        <w:t>月</w:t>
      </w:r>
      <w:r w:rsidRPr="00BF42B7">
        <w:t>15</w:t>
      </w:r>
      <w:r w:rsidRPr="00BF42B7">
        <w:t>日</w:t>
      </w:r>
      <w:r w:rsidRPr="00BF42B7">
        <w:rPr>
          <w:rFonts w:hint="eastAsia"/>
        </w:rPr>
        <w:t>)</w:t>
      </w:r>
      <w:r w:rsidRPr="00BF42B7">
        <w:rPr>
          <w:rFonts w:hint="eastAsia"/>
        </w:rPr>
        <w:t>。</w:t>
      </w:r>
      <w:r w:rsidRPr="00523D41">
        <w:rPr>
          <w:color w:val="0000FF"/>
          <w:vertAlign w:val="superscript"/>
        </w:rPr>
        <w:footnoteReference w:id="1581"/>
      </w:r>
      <w:r w:rsidRPr="00BF42B7">
        <w:t xml:space="preserve"> </w:t>
      </w:r>
      <w:r w:rsidRPr="00BF42B7">
        <w:rPr>
          <w:rFonts w:hint="eastAsia"/>
        </w:rPr>
        <w:t>联合声明第</w:t>
      </w:r>
      <w:r w:rsidRPr="00BF42B7">
        <w:rPr>
          <w:rFonts w:hint="eastAsia"/>
        </w:rPr>
        <w:t>3</w:t>
      </w:r>
      <w:r w:rsidRPr="00BF42B7">
        <w:rPr>
          <w:rFonts w:hint="eastAsia"/>
        </w:rPr>
        <w:t>节宣布，</w:t>
      </w:r>
      <w:r w:rsidRPr="00BF42B7">
        <w:t>1949</w:t>
      </w:r>
      <w:r w:rsidRPr="00BF42B7">
        <w:rPr>
          <w:rFonts w:hint="eastAsia"/>
        </w:rPr>
        <w:t>年之后没收的财产，应归还原所有人。这也许通常被解释为侵权责任</w:t>
      </w:r>
      <w:r w:rsidRPr="00BF42B7">
        <w:rPr>
          <w:rFonts w:hint="eastAsia"/>
        </w:rPr>
        <w:t>(</w:t>
      </w:r>
      <w:r w:rsidRPr="00BF42B7">
        <w:rPr>
          <w:rFonts w:hint="eastAsia"/>
        </w:rPr>
        <w:t>侵权行为</w:t>
      </w:r>
      <w:r w:rsidRPr="00BF42B7">
        <w:rPr>
          <w:rFonts w:hint="eastAsia"/>
        </w:rPr>
        <w:t>)</w:t>
      </w:r>
      <w:r w:rsidRPr="00BF42B7">
        <w:rPr>
          <w:rFonts w:hint="eastAsia"/>
        </w:rPr>
        <w:t>事项，而不是国家责任事项。</w:t>
      </w:r>
    </w:p>
    <w:p w:rsidR="000B444F" w:rsidRPr="00BF42B7" w:rsidRDefault="000B444F" w:rsidP="000B444F">
      <w:pPr>
        <w:pStyle w:val="SingleTxtGC"/>
      </w:pPr>
      <w:r w:rsidRPr="00BF42B7">
        <w:rPr>
          <w:rFonts w:hint="eastAsia"/>
        </w:rPr>
        <w:t xml:space="preserve">30.  </w:t>
      </w:r>
      <w:r w:rsidRPr="00BF42B7">
        <w:rPr>
          <w:rFonts w:hint="eastAsia"/>
        </w:rPr>
        <w:t>然而，值得一提的是，</w:t>
      </w:r>
      <w:r w:rsidRPr="00BF42B7">
        <w:t>联邦德国</w:t>
      </w:r>
      <w:r w:rsidRPr="00BF42B7">
        <w:rPr>
          <w:rFonts w:hint="eastAsia"/>
        </w:rPr>
        <w:t>联邦行政法院处理了与外国人有关的国家继承问题。尽管法院拒绝认可</w:t>
      </w:r>
      <w:r w:rsidRPr="00BF42B7">
        <w:t>联邦德国</w:t>
      </w:r>
      <w:r w:rsidRPr="00BF42B7">
        <w:rPr>
          <w:rFonts w:hint="eastAsia"/>
        </w:rPr>
        <w:t>因</w:t>
      </w:r>
      <w:r w:rsidRPr="00BF42B7">
        <w:t>民主德国</w:t>
      </w:r>
      <w:r w:rsidRPr="00BF42B7">
        <w:rPr>
          <w:rFonts w:hint="eastAsia"/>
        </w:rPr>
        <w:t>对一名荷兰公民实施国际不法行为</w:t>
      </w:r>
      <w:r w:rsidRPr="00BF42B7">
        <w:rPr>
          <w:rFonts w:hint="eastAsia"/>
        </w:rPr>
        <w:t>(</w:t>
      </w:r>
      <w:r w:rsidRPr="00BF42B7">
        <w:rPr>
          <w:rFonts w:hint="eastAsia"/>
        </w:rPr>
        <w:t>征用</w:t>
      </w:r>
      <w:r w:rsidRPr="00BF42B7">
        <w:rPr>
          <w:rFonts w:hint="eastAsia"/>
        </w:rPr>
        <w:t>)</w:t>
      </w:r>
      <w:r w:rsidRPr="00BF42B7">
        <w:rPr>
          <w:rFonts w:hint="eastAsia"/>
        </w:rPr>
        <w:t>而负有责任，但它承认，前</w:t>
      </w:r>
      <w:r w:rsidRPr="00BF42B7">
        <w:t>民主德国</w:t>
      </w:r>
      <w:r w:rsidRPr="00BF42B7">
        <w:rPr>
          <w:rFonts w:hint="eastAsia"/>
        </w:rPr>
        <w:t>支付赔偿的义务转由</w:t>
      </w:r>
      <w:r w:rsidRPr="00BF42B7">
        <w:t>继承国</w:t>
      </w:r>
      <w:r w:rsidRPr="00BF42B7">
        <w:rPr>
          <w:rFonts w:hint="eastAsia"/>
        </w:rPr>
        <w:t>承担。</w:t>
      </w:r>
      <w:r w:rsidRPr="00523D41">
        <w:rPr>
          <w:color w:val="0000FF"/>
          <w:vertAlign w:val="superscript"/>
        </w:rPr>
        <w:footnoteReference w:id="1582"/>
      </w:r>
    </w:p>
    <w:p w:rsidR="000B444F" w:rsidRPr="00BF42B7" w:rsidRDefault="000B444F" w:rsidP="000B444F">
      <w:pPr>
        <w:pStyle w:val="SingleTxtGC"/>
      </w:pPr>
      <w:r w:rsidRPr="00BF42B7">
        <w:rPr>
          <w:rFonts w:hint="eastAsia"/>
        </w:rPr>
        <w:t xml:space="preserve">31.  </w:t>
      </w:r>
      <w:r w:rsidRPr="00BF42B7">
        <w:t>被继承国</w:t>
      </w:r>
      <w:r w:rsidRPr="00BF42B7">
        <w:rPr>
          <w:rFonts w:hint="eastAsia"/>
        </w:rPr>
        <w:t>的责任转由</w:t>
      </w:r>
      <w:r w:rsidRPr="00BF42B7">
        <w:t>继承国</w:t>
      </w:r>
      <w:r w:rsidRPr="00BF42B7">
        <w:rPr>
          <w:rFonts w:hint="eastAsia"/>
        </w:rPr>
        <w:t>承担的另一个例子是德意志联邦共和国与美利坚合众国《关于解决某些财产索赔的协定》</w:t>
      </w:r>
      <w:r w:rsidRPr="00BF42B7">
        <w:rPr>
          <w:rFonts w:hint="eastAsia"/>
        </w:rPr>
        <w:t>(</w:t>
      </w:r>
      <w:r w:rsidRPr="00BF42B7">
        <w:t>1992</w:t>
      </w:r>
      <w:r w:rsidRPr="00BF42B7">
        <w:rPr>
          <w:rFonts w:hint="eastAsia"/>
        </w:rPr>
        <w:t>年</w:t>
      </w:r>
      <w:r w:rsidRPr="00BF42B7">
        <w:rPr>
          <w:rFonts w:hint="eastAsia"/>
        </w:rPr>
        <w:t>)</w:t>
      </w:r>
      <w:r w:rsidRPr="00BF42B7">
        <w:rPr>
          <w:rFonts w:hint="eastAsia"/>
        </w:rPr>
        <w:t>。</w:t>
      </w:r>
      <w:r w:rsidRPr="00523D41">
        <w:rPr>
          <w:color w:val="0000FF"/>
          <w:vertAlign w:val="superscript"/>
        </w:rPr>
        <w:footnoteReference w:id="1583"/>
      </w:r>
      <w:r w:rsidRPr="00BF42B7">
        <w:t xml:space="preserve"> </w:t>
      </w:r>
      <w:r w:rsidRPr="00BF42B7">
        <w:rPr>
          <w:rFonts w:hint="eastAsia"/>
        </w:rPr>
        <w:t>该协定涵盖了</w:t>
      </w:r>
      <w:r w:rsidRPr="00BF42B7">
        <w:rPr>
          <w:rFonts w:hint="eastAsia"/>
        </w:rPr>
        <w:t>1949</w:t>
      </w:r>
      <w:r w:rsidRPr="00BF42B7">
        <w:rPr>
          <w:rFonts w:hint="eastAsia"/>
        </w:rPr>
        <w:t>至</w:t>
      </w:r>
      <w:r w:rsidRPr="00BF42B7">
        <w:rPr>
          <w:rFonts w:hint="eastAsia"/>
        </w:rPr>
        <w:t>1976</w:t>
      </w:r>
      <w:r w:rsidRPr="00BF42B7">
        <w:rPr>
          <w:rFonts w:hint="eastAsia"/>
        </w:rPr>
        <w:t>年美国国民就</w:t>
      </w:r>
      <w:r w:rsidRPr="00BF42B7">
        <w:t>民主德国</w:t>
      </w:r>
      <w:r w:rsidRPr="00BF42B7">
        <w:rPr>
          <w:rFonts w:hint="eastAsia"/>
        </w:rPr>
        <w:t>实施的国有化、征用和其他措施提出的索赔。</w:t>
      </w:r>
    </w:p>
    <w:p w:rsidR="000B444F" w:rsidRPr="00BF42B7" w:rsidRDefault="000B444F" w:rsidP="000B444F">
      <w:pPr>
        <w:pStyle w:val="H23GC"/>
      </w:pPr>
      <w:r w:rsidRPr="00BF42B7">
        <w:rPr>
          <w:rFonts w:hint="eastAsia"/>
        </w:rPr>
        <w:tab/>
      </w:r>
      <w:r w:rsidRPr="00BF42B7">
        <w:rPr>
          <w:rFonts w:hint="eastAsia"/>
        </w:rPr>
        <w:tab/>
      </w:r>
      <w:r w:rsidRPr="00BF42B7">
        <w:rPr>
          <w:rFonts w:hint="eastAsia"/>
        </w:rPr>
        <w:t>学说观点</w:t>
      </w:r>
    </w:p>
    <w:p w:rsidR="000B444F" w:rsidRPr="00BF42B7" w:rsidRDefault="000B444F" w:rsidP="000B444F">
      <w:pPr>
        <w:pStyle w:val="SingleTxtGC"/>
      </w:pPr>
      <w:r w:rsidRPr="00BF42B7">
        <w:rPr>
          <w:rFonts w:hint="eastAsia"/>
        </w:rPr>
        <w:t xml:space="preserve">32.  </w:t>
      </w:r>
      <w:r w:rsidRPr="00BF42B7">
        <w:rPr>
          <w:rFonts w:hint="eastAsia"/>
        </w:rPr>
        <w:t>以往的学说大多否认责任可以转由</w:t>
      </w:r>
      <w:r w:rsidRPr="00BF42B7">
        <w:t>继承国</w:t>
      </w:r>
      <w:r w:rsidRPr="00BF42B7">
        <w:rPr>
          <w:rFonts w:hint="eastAsia"/>
        </w:rPr>
        <w:t>承担。</w:t>
      </w:r>
      <w:r w:rsidRPr="00523D41">
        <w:rPr>
          <w:color w:val="0000FF"/>
          <w:vertAlign w:val="superscript"/>
        </w:rPr>
        <w:footnoteReference w:id="1584"/>
      </w:r>
      <w:r w:rsidRPr="00BF42B7">
        <w:t xml:space="preserve"> </w:t>
      </w:r>
      <w:r w:rsidRPr="00BF42B7">
        <w:rPr>
          <w:rFonts w:hint="eastAsia"/>
        </w:rPr>
        <w:t>但是后来，主要是近</w:t>
      </w:r>
      <w:r w:rsidRPr="00BF42B7">
        <w:rPr>
          <w:rFonts w:hint="eastAsia"/>
        </w:rPr>
        <w:t>20</w:t>
      </w:r>
      <w:r w:rsidRPr="00BF42B7">
        <w:rPr>
          <w:rFonts w:hint="eastAsia"/>
        </w:rPr>
        <w:t>年间，观点发生了演变，对不可继承的论点出现了一些微妙或批评的意见，甚至在某些情况下允许继承。</w:t>
      </w:r>
      <w:r w:rsidRPr="00523D41">
        <w:rPr>
          <w:color w:val="0000FF"/>
          <w:vertAlign w:val="superscript"/>
        </w:rPr>
        <w:footnoteReference w:id="1585"/>
      </w:r>
      <w:r w:rsidRPr="00BF42B7">
        <w:t xml:space="preserve"> </w:t>
      </w:r>
      <w:r w:rsidRPr="00BF42B7">
        <w:rPr>
          <w:rFonts w:hint="eastAsia"/>
        </w:rPr>
        <w:t>一些著述者指出，</w:t>
      </w:r>
      <w:r w:rsidRPr="00BF42B7">
        <w:t>继承国</w:t>
      </w:r>
      <w:r w:rsidRPr="00BF42B7">
        <w:rPr>
          <w:rFonts w:hint="eastAsia"/>
        </w:rPr>
        <w:t>继承</w:t>
      </w:r>
      <w:r w:rsidRPr="00BF42B7">
        <w:t>被继承国</w:t>
      </w:r>
      <w:r w:rsidRPr="00BF42B7">
        <w:rPr>
          <w:rFonts w:hint="eastAsia"/>
        </w:rPr>
        <w:t>的所有权利</w:t>
      </w:r>
      <w:r w:rsidRPr="00BF42B7">
        <w:rPr>
          <w:rFonts w:hint="eastAsia"/>
        </w:rPr>
        <w:t>(</w:t>
      </w:r>
      <w:r w:rsidRPr="00BF42B7">
        <w:rPr>
          <w:rFonts w:hint="eastAsia"/>
        </w:rPr>
        <w:t>例如在国家统一的情形下</w:t>
      </w:r>
      <w:r w:rsidRPr="00BF42B7">
        <w:rPr>
          <w:rFonts w:hint="eastAsia"/>
        </w:rPr>
        <w:t>)</w:t>
      </w:r>
      <w:r w:rsidRPr="00BF42B7">
        <w:rPr>
          <w:rFonts w:hint="eastAsia"/>
        </w:rPr>
        <w:t>时，也应该继承国际不法行为产生的义务。这种情况下，应将侵权引发的义务作为契约债务处理。</w:t>
      </w:r>
      <w:r w:rsidRPr="00523D41">
        <w:rPr>
          <w:color w:val="0000FF"/>
          <w:vertAlign w:val="superscript"/>
        </w:rPr>
        <w:footnoteReference w:id="1586"/>
      </w:r>
    </w:p>
    <w:p w:rsidR="000B444F" w:rsidRPr="00BF42B7" w:rsidRDefault="000B444F" w:rsidP="000B444F">
      <w:pPr>
        <w:pStyle w:val="SingleTxtGC"/>
      </w:pPr>
      <w:r w:rsidRPr="00BF42B7">
        <w:rPr>
          <w:rFonts w:hint="eastAsia"/>
        </w:rPr>
        <w:t xml:space="preserve">33.  </w:t>
      </w:r>
      <w:r w:rsidRPr="00BF42B7">
        <w:rPr>
          <w:rFonts w:hint="eastAsia"/>
        </w:rPr>
        <w:t>值得注意的是，国际法委员会</w:t>
      </w:r>
      <w:r w:rsidRPr="00BF42B7">
        <w:rPr>
          <w:rFonts w:hint="eastAsia"/>
        </w:rPr>
        <w:t>(</w:t>
      </w:r>
      <w:r w:rsidRPr="00BF42B7">
        <w:t>2008</w:t>
      </w:r>
      <w:r w:rsidRPr="00BF42B7">
        <w:rPr>
          <w:rFonts w:hint="eastAsia"/>
        </w:rPr>
        <w:t>年</w:t>
      </w:r>
      <w:r w:rsidRPr="00BF42B7">
        <w:rPr>
          <w:rFonts w:hint="eastAsia"/>
        </w:rPr>
        <w:t>)</w:t>
      </w:r>
      <w:r w:rsidRPr="00523D41">
        <w:rPr>
          <w:color w:val="0000FF"/>
          <w:vertAlign w:val="superscript"/>
        </w:rPr>
        <w:footnoteReference w:id="1587"/>
      </w:r>
      <w:r w:rsidRPr="00BF42B7">
        <w:rPr>
          <w:rFonts w:hint="eastAsia"/>
        </w:rPr>
        <w:t xml:space="preserve"> </w:t>
      </w:r>
      <w:r w:rsidRPr="00BF42B7">
        <w:rPr>
          <w:rFonts w:hint="eastAsia"/>
        </w:rPr>
        <w:t>和国际法学会</w:t>
      </w:r>
      <w:r w:rsidRPr="00BF42B7">
        <w:rPr>
          <w:rFonts w:hint="eastAsia"/>
        </w:rPr>
        <w:t>(</w:t>
      </w:r>
      <w:r w:rsidRPr="00BF42B7">
        <w:t>2013</w:t>
      </w:r>
      <w:r w:rsidRPr="00BF42B7">
        <w:rPr>
          <w:rFonts w:hint="eastAsia"/>
        </w:rPr>
        <w:t>年</w:t>
      </w:r>
      <w:r w:rsidRPr="00BF42B7">
        <w:rPr>
          <w:rFonts w:hint="eastAsia"/>
        </w:rPr>
        <w:t>)</w:t>
      </w:r>
      <w:r w:rsidRPr="00BF42B7">
        <w:rPr>
          <w:rFonts w:hint="eastAsia"/>
        </w:rPr>
        <w:t>讨论了这个问题。国际法学会设立了一个专题委员会来研究这个问题。</w:t>
      </w:r>
      <w:r w:rsidRPr="00523D41">
        <w:rPr>
          <w:color w:val="0000FF"/>
          <w:vertAlign w:val="superscript"/>
        </w:rPr>
        <w:footnoteReference w:id="1588"/>
      </w:r>
      <w:r w:rsidRPr="00BF42B7">
        <w:t xml:space="preserve"> </w:t>
      </w:r>
      <w:r w:rsidRPr="00BF42B7">
        <w:rPr>
          <w:rFonts w:hint="eastAsia"/>
        </w:rPr>
        <w:t>国际法学会塔林会议</w:t>
      </w:r>
      <w:r w:rsidRPr="00BF42B7">
        <w:rPr>
          <w:rFonts w:hint="eastAsia"/>
        </w:rPr>
        <w:t>(</w:t>
      </w:r>
      <w:r w:rsidRPr="00BF42B7">
        <w:t>2015</w:t>
      </w:r>
      <w:r w:rsidRPr="00BF42B7">
        <w:rPr>
          <w:rFonts w:hint="eastAsia"/>
        </w:rPr>
        <w:t>年</w:t>
      </w:r>
      <w:r w:rsidRPr="00BF42B7">
        <w:rPr>
          <w:rFonts w:hint="eastAsia"/>
        </w:rPr>
        <w:t>)</w:t>
      </w:r>
      <w:r w:rsidRPr="00BF42B7">
        <w:rPr>
          <w:rFonts w:hint="eastAsia"/>
        </w:rPr>
        <w:t>最终依据特别报告员</w:t>
      </w:r>
      <w:r w:rsidRPr="00BF42B7">
        <w:rPr>
          <w:rFonts w:hint="eastAsia"/>
        </w:rPr>
        <w:t>(</w:t>
      </w:r>
      <w:r w:rsidRPr="00BF42B7">
        <w:rPr>
          <w:rFonts w:hint="eastAsia"/>
        </w:rPr>
        <w:t>马塞洛</w:t>
      </w:r>
      <w:r w:rsidRPr="00BF42B7">
        <w:t>G</w:t>
      </w:r>
      <w:r w:rsidRPr="00BF42B7">
        <w:rPr>
          <w:rFonts w:hint="eastAsia"/>
        </w:rPr>
        <w:t>·科恩教授</w:t>
      </w:r>
      <w:r w:rsidRPr="00BF42B7">
        <w:rPr>
          <w:rFonts w:hint="eastAsia"/>
        </w:rPr>
        <w:t>)</w:t>
      </w:r>
      <w:r w:rsidRPr="00BF42B7">
        <w:rPr>
          <w:rFonts w:hint="eastAsia"/>
        </w:rPr>
        <w:t>的报告，通过了《关于国家责任事项中的国家继承问题的决议》，决议包括序言和</w:t>
      </w:r>
      <w:r w:rsidRPr="00BF42B7">
        <w:rPr>
          <w:rFonts w:hint="eastAsia"/>
        </w:rPr>
        <w:t>16</w:t>
      </w:r>
      <w:r w:rsidRPr="00BF42B7">
        <w:rPr>
          <w:rFonts w:hint="eastAsia"/>
        </w:rPr>
        <w:t>项条款。决议正确地强调，这一领域需要编纂和逐渐发展。</w:t>
      </w:r>
      <w:r w:rsidRPr="00523D41">
        <w:rPr>
          <w:color w:val="0000FF"/>
          <w:vertAlign w:val="superscript"/>
        </w:rPr>
        <w:footnoteReference w:id="1589"/>
      </w:r>
      <w:r w:rsidRPr="00BF42B7">
        <w:t xml:space="preserve"> </w:t>
      </w:r>
      <w:r w:rsidRPr="00BF42B7">
        <w:rPr>
          <w:rFonts w:hint="eastAsia"/>
        </w:rPr>
        <w:t>决议第一章包含两项条款，即“用语”</w:t>
      </w:r>
      <w:r w:rsidRPr="00BF42B7">
        <w:rPr>
          <w:rFonts w:hint="eastAsia"/>
        </w:rPr>
        <w:t>(</w:t>
      </w:r>
      <w:r w:rsidRPr="00BF42B7">
        <w:rPr>
          <w:rFonts w:hint="eastAsia"/>
        </w:rPr>
        <w:t>第</w:t>
      </w:r>
      <w:r w:rsidRPr="00BF42B7">
        <w:t>1</w:t>
      </w:r>
      <w:r w:rsidRPr="00BF42B7">
        <w:rPr>
          <w:rFonts w:hint="eastAsia"/>
        </w:rPr>
        <w:t>条</w:t>
      </w:r>
      <w:r w:rsidRPr="00BF42B7">
        <w:rPr>
          <w:rFonts w:hint="eastAsia"/>
        </w:rPr>
        <w:t>)(</w:t>
      </w:r>
      <w:r w:rsidRPr="00BF42B7">
        <w:rPr>
          <w:rFonts w:hint="eastAsia"/>
        </w:rPr>
        <w:t>以</w:t>
      </w:r>
      <w:r w:rsidRPr="00BF42B7">
        <w:t>1978</w:t>
      </w:r>
      <w:r w:rsidRPr="00BF42B7">
        <w:rPr>
          <w:rFonts w:hint="eastAsia"/>
        </w:rPr>
        <w:t>年和</w:t>
      </w:r>
      <w:r w:rsidRPr="00BF42B7">
        <w:t>1983</w:t>
      </w:r>
      <w:r w:rsidRPr="00BF42B7">
        <w:rPr>
          <w:rFonts w:hint="eastAsia"/>
        </w:rPr>
        <w:t>年的维也纳公约所使用的术语为依据</w:t>
      </w:r>
      <w:r w:rsidRPr="00BF42B7">
        <w:rPr>
          <w:rFonts w:hint="eastAsia"/>
        </w:rPr>
        <w:t>)</w:t>
      </w:r>
      <w:r w:rsidRPr="00BF42B7">
        <w:rPr>
          <w:rFonts w:hint="eastAsia"/>
        </w:rPr>
        <w:t>和“本决议之范围”</w:t>
      </w:r>
      <w:r w:rsidRPr="00BF42B7">
        <w:rPr>
          <w:rFonts w:hint="eastAsia"/>
        </w:rPr>
        <w:t>(</w:t>
      </w:r>
      <w:r w:rsidRPr="00BF42B7">
        <w:rPr>
          <w:rFonts w:hint="eastAsia"/>
        </w:rPr>
        <w:t>第</w:t>
      </w:r>
      <w:r w:rsidRPr="00BF42B7">
        <w:t>2</w:t>
      </w:r>
      <w:r w:rsidRPr="00BF42B7">
        <w:rPr>
          <w:rFonts w:hint="eastAsia"/>
        </w:rPr>
        <w:t>条</w:t>
      </w:r>
      <w:r w:rsidRPr="00BF42B7">
        <w:rPr>
          <w:rFonts w:hint="eastAsia"/>
        </w:rPr>
        <w:t>)</w:t>
      </w:r>
      <w:r w:rsidRPr="00BF42B7">
        <w:rPr>
          <w:rFonts w:hint="eastAsia"/>
        </w:rPr>
        <w:t>。第二章载列了所有类型的国家继承均适用的共同规则</w:t>
      </w:r>
      <w:r w:rsidRPr="00BF42B7">
        <w:rPr>
          <w:rFonts w:hint="eastAsia"/>
        </w:rPr>
        <w:t>(</w:t>
      </w:r>
      <w:r w:rsidRPr="00BF42B7">
        <w:rPr>
          <w:rFonts w:hint="eastAsia"/>
        </w:rPr>
        <w:t>第</w:t>
      </w:r>
      <w:r w:rsidRPr="00BF42B7">
        <w:rPr>
          <w:rFonts w:hint="eastAsia"/>
        </w:rPr>
        <w:t>3</w:t>
      </w:r>
      <w:r w:rsidRPr="00BF42B7">
        <w:rPr>
          <w:rFonts w:hint="eastAsia"/>
        </w:rPr>
        <w:t>条至第</w:t>
      </w:r>
      <w:r w:rsidRPr="00BF42B7">
        <w:t>10</w:t>
      </w:r>
      <w:r w:rsidRPr="00BF42B7">
        <w:rPr>
          <w:rFonts w:hint="eastAsia"/>
        </w:rPr>
        <w:t>条</w:t>
      </w:r>
      <w:r w:rsidRPr="00BF42B7">
        <w:rPr>
          <w:rFonts w:hint="eastAsia"/>
        </w:rPr>
        <w:t>)</w:t>
      </w:r>
      <w:r w:rsidRPr="00BF42B7">
        <w:rPr>
          <w:rFonts w:hint="eastAsia"/>
        </w:rPr>
        <w:t>。首先，第</w:t>
      </w:r>
      <w:r w:rsidRPr="00BF42B7">
        <w:t>3</w:t>
      </w:r>
      <w:r w:rsidRPr="00BF42B7">
        <w:rPr>
          <w:rFonts w:hint="eastAsia"/>
        </w:rPr>
        <w:t>条强调了指导原则的从属性。第</w:t>
      </w:r>
      <w:r w:rsidRPr="00BF42B7">
        <w:t>4</w:t>
      </w:r>
      <w:r w:rsidRPr="00BF42B7">
        <w:rPr>
          <w:rFonts w:hint="eastAsia"/>
        </w:rPr>
        <w:t>条和第</w:t>
      </w:r>
      <w:r w:rsidRPr="00BF42B7">
        <w:t>5</w:t>
      </w:r>
      <w:r w:rsidRPr="00BF42B7">
        <w:rPr>
          <w:rFonts w:hint="eastAsia"/>
        </w:rPr>
        <w:t>条分别规定了就国家继承发生之日前</w:t>
      </w:r>
      <w:r w:rsidRPr="00BF42B7">
        <w:t>被继承国</w:t>
      </w:r>
      <w:r w:rsidRPr="00BF42B7">
        <w:rPr>
          <w:rFonts w:hint="eastAsia"/>
        </w:rPr>
        <w:t>实施或遭受的国际不法行为援引责任的问题。共同点在于</w:t>
      </w:r>
      <w:r w:rsidRPr="00BF42B7">
        <w:t>被继承国</w:t>
      </w:r>
      <w:r w:rsidRPr="00BF42B7">
        <w:rPr>
          <w:rFonts w:hint="eastAsia"/>
        </w:rPr>
        <w:t>的存续。这部分反映了若</w:t>
      </w:r>
      <w:r w:rsidRPr="00BF42B7">
        <w:t>被继承国</w:t>
      </w:r>
      <w:r w:rsidRPr="00BF42B7">
        <w:rPr>
          <w:rFonts w:hint="eastAsia"/>
        </w:rPr>
        <w:t>存续则不予继承的一般规则。后面的条款涉及转移协定和单方面声明。第三章</w:t>
      </w:r>
      <w:r w:rsidRPr="00BF42B7">
        <w:rPr>
          <w:rFonts w:hint="eastAsia"/>
        </w:rPr>
        <w:t>(</w:t>
      </w:r>
      <w:r w:rsidRPr="00BF42B7">
        <w:rPr>
          <w:rFonts w:hint="eastAsia"/>
        </w:rPr>
        <w:t>第</w:t>
      </w:r>
      <w:r w:rsidRPr="00BF42B7">
        <w:t>11</w:t>
      </w:r>
      <w:r w:rsidRPr="00BF42B7">
        <w:rPr>
          <w:rFonts w:hint="eastAsia"/>
        </w:rPr>
        <w:t>条至第</w:t>
      </w:r>
      <w:r w:rsidRPr="00BF42B7">
        <w:t>16</w:t>
      </w:r>
      <w:r w:rsidRPr="00BF42B7">
        <w:rPr>
          <w:rFonts w:hint="eastAsia"/>
        </w:rPr>
        <w:t>条</w:t>
      </w:r>
      <w:r w:rsidRPr="00BF42B7">
        <w:rPr>
          <w:rFonts w:hint="eastAsia"/>
        </w:rPr>
        <w:t>)</w:t>
      </w:r>
      <w:r w:rsidRPr="00BF42B7">
        <w:rPr>
          <w:rFonts w:hint="eastAsia"/>
        </w:rPr>
        <w:t>包括关于特定类别的国家继承的条款，即转让部分领土、一国部分地区脱离</w:t>
      </w:r>
      <w:r w:rsidRPr="00BF42B7">
        <w:rPr>
          <w:rFonts w:hint="eastAsia"/>
        </w:rPr>
        <w:t>(</w:t>
      </w:r>
      <w:r w:rsidRPr="00BF42B7">
        <w:rPr>
          <w:rFonts w:hint="eastAsia"/>
        </w:rPr>
        <w:t>分裂</w:t>
      </w:r>
      <w:r w:rsidRPr="00BF42B7">
        <w:rPr>
          <w:rFonts w:hint="eastAsia"/>
        </w:rPr>
        <w:t>)</w:t>
      </w:r>
      <w:r w:rsidRPr="00BF42B7">
        <w:rPr>
          <w:rFonts w:hint="eastAsia"/>
        </w:rPr>
        <w:t>、国家合并和一国并入另一现存国家、国家解散出现新独立的国家。</w:t>
      </w:r>
    </w:p>
    <w:p w:rsidR="000B444F" w:rsidRPr="00BF42B7" w:rsidRDefault="000B444F" w:rsidP="000B444F">
      <w:pPr>
        <w:pStyle w:val="H23GC"/>
      </w:pPr>
      <w:r w:rsidRPr="00BF42B7">
        <w:rPr>
          <w:rFonts w:hint="eastAsia"/>
        </w:rPr>
        <w:tab/>
      </w:r>
      <w:r w:rsidRPr="00BF42B7">
        <w:rPr>
          <w:rFonts w:hint="eastAsia"/>
        </w:rPr>
        <w:tab/>
      </w:r>
      <w:r w:rsidRPr="00BF42B7">
        <w:rPr>
          <w:rFonts w:hint="eastAsia"/>
        </w:rPr>
        <w:t>国家继承的情形下获得赔偿的权利</w:t>
      </w:r>
    </w:p>
    <w:p w:rsidR="000B444F" w:rsidRPr="00BF42B7" w:rsidRDefault="000B444F" w:rsidP="000B444F">
      <w:pPr>
        <w:pStyle w:val="SingleTxtGC"/>
      </w:pPr>
      <w:r w:rsidRPr="00BF42B7">
        <w:rPr>
          <w:rFonts w:hint="eastAsia"/>
        </w:rPr>
        <w:t xml:space="preserve">34.  </w:t>
      </w:r>
      <w:r w:rsidRPr="00BF42B7">
        <w:rPr>
          <w:rFonts w:hint="eastAsia"/>
        </w:rPr>
        <w:t>质疑国家责任不予继承这一论点的一个主要原因，是国际法的“人性化”。“人性化”特别强调赔偿个人遭受的损失，无论是通过外交保护还是通过其他机制。因此，在割让、解体或统一的情形下，为个人争取赔偿的权利不应消失，而应转移至</w:t>
      </w:r>
      <w:r w:rsidRPr="00BF42B7">
        <w:t>继承国</w:t>
      </w:r>
      <w:r w:rsidRPr="00BF42B7">
        <w:rPr>
          <w:rFonts w:hint="eastAsia"/>
        </w:rPr>
        <w:t>。</w:t>
      </w:r>
    </w:p>
    <w:p w:rsidR="000B444F" w:rsidRPr="00BF42B7" w:rsidRDefault="000B444F" w:rsidP="000B444F">
      <w:pPr>
        <w:pStyle w:val="SingleTxtGC"/>
      </w:pPr>
      <w:r w:rsidRPr="00BF42B7">
        <w:rPr>
          <w:rFonts w:hint="eastAsia"/>
        </w:rPr>
        <w:t xml:space="preserve">35.  </w:t>
      </w:r>
      <w:r w:rsidRPr="00BF42B7">
        <w:rPr>
          <w:rFonts w:hint="eastAsia"/>
        </w:rPr>
        <w:t>与转移实施国际不法行为产生的义务领域相比，这方面的实践似乎更为活跃。因此，</w:t>
      </w:r>
      <w:r w:rsidRPr="00BF42B7">
        <w:t>国际法委员会</w:t>
      </w:r>
      <w:r w:rsidRPr="00BF42B7">
        <w:rPr>
          <w:rFonts w:hint="eastAsia"/>
        </w:rPr>
        <w:t>能够在编纂关于外交保护的条款</w:t>
      </w:r>
      <w:r w:rsidRPr="00BF42B7">
        <w:rPr>
          <w:rFonts w:hint="eastAsia"/>
        </w:rPr>
        <w:t>(2006</w:t>
      </w:r>
      <w:r w:rsidRPr="00BF42B7">
        <w:rPr>
          <w:rFonts w:hint="eastAsia"/>
        </w:rPr>
        <w:t>年</w:t>
      </w:r>
      <w:r w:rsidRPr="00BF42B7">
        <w:rPr>
          <w:rFonts w:hint="eastAsia"/>
        </w:rPr>
        <w:t>)</w:t>
      </w:r>
      <w:r w:rsidRPr="00BF42B7">
        <w:rPr>
          <w:rFonts w:hint="eastAsia"/>
        </w:rPr>
        <w:t>时，就自然人具有被继承国国籍的情形下的国籍持续规则采取了一项例外</w:t>
      </w:r>
      <w:r w:rsidRPr="00BF42B7">
        <w:rPr>
          <w:rFonts w:hint="eastAsia"/>
        </w:rPr>
        <w:t>(</w:t>
      </w:r>
      <w:r w:rsidRPr="00BF42B7">
        <w:rPr>
          <w:rFonts w:hint="eastAsia"/>
        </w:rPr>
        <w:t>见第</w:t>
      </w:r>
      <w:r w:rsidRPr="00BF42B7">
        <w:t>5</w:t>
      </w:r>
      <w:r w:rsidRPr="00BF42B7">
        <w:rPr>
          <w:rFonts w:hint="eastAsia"/>
        </w:rPr>
        <w:t>条草案</w:t>
      </w:r>
      <w:r w:rsidRPr="00BF42B7">
        <w:rPr>
          <w:rFonts w:hint="eastAsia"/>
        </w:rPr>
        <w:t>)</w:t>
      </w:r>
      <w:r w:rsidRPr="00BF42B7">
        <w:rPr>
          <w:rFonts w:hint="eastAsia"/>
        </w:rPr>
        <w:t>。</w:t>
      </w:r>
      <w:r w:rsidRPr="00523D41">
        <w:rPr>
          <w:color w:val="0000FF"/>
          <w:vertAlign w:val="superscript"/>
        </w:rPr>
        <w:footnoteReference w:id="1590"/>
      </w:r>
      <w:r w:rsidRPr="00BF42B7">
        <w:t xml:space="preserve"> </w:t>
      </w:r>
      <w:r w:rsidRPr="00BF42B7">
        <w:rPr>
          <w:rFonts w:hint="eastAsia"/>
        </w:rPr>
        <w:t>同样，第</w:t>
      </w:r>
      <w:r w:rsidRPr="00BF42B7">
        <w:rPr>
          <w:rFonts w:hint="eastAsia"/>
        </w:rPr>
        <w:t>10</w:t>
      </w:r>
      <w:r w:rsidRPr="00BF42B7">
        <w:rPr>
          <w:rFonts w:hint="eastAsia"/>
        </w:rPr>
        <w:t>条草案采纳了一项经修订的关于公司国籍持续的规则。</w:t>
      </w:r>
      <w:r w:rsidRPr="00523D41">
        <w:rPr>
          <w:color w:val="0000FF"/>
          <w:vertAlign w:val="superscript"/>
        </w:rPr>
        <w:footnoteReference w:id="1591"/>
      </w:r>
    </w:p>
    <w:p w:rsidR="000B444F" w:rsidRPr="00BF42B7" w:rsidRDefault="000B444F" w:rsidP="000B444F">
      <w:pPr>
        <w:pStyle w:val="SingleTxtGC"/>
      </w:pPr>
      <w:r w:rsidRPr="00BF42B7">
        <w:rPr>
          <w:rFonts w:hint="eastAsia"/>
        </w:rPr>
        <w:t xml:space="preserve">36.  </w:t>
      </w:r>
      <w:r w:rsidRPr="00BF42B7">
        <w:rPr>
          <w:rFonts w:hint="eastAsia"/>
        </w:rPr>
        <w:t>关于外交保护的条款中编纂的规则，借鉴了自第一次世界大战结束以来漫长的仲裁史和其他赔偿委员会的做法，</w:t>
      </w:r>
      <w:r w:rsidRPr="00523D41">
        <w:rPr>
          <w:color w:val="0000FF"/>
          <w:vertAlign w:val="superscript"/>
        </w:rPr>
        <w:footnoteReference w:id="1592"/>
      </w:r>
      <w:r w:rsidRPr="00BF42B7">
        <w:t xml:space="preserve"> </w:t>
      </w:r>
      <w:r w:rsidRPr="00BF42B7">
        <w:rPr>
          <w:rFonts w:hint="eastAsia"/>
        </w:rPr>
        <w:t>尤其解释了《凡尔赛条约》的规则。</w:t>
      </w:r>
      <w:r w:rsidRPr="00523D41">
        <w:rPr>
          <w:color w:val="0000FF"/>
          <w:vertAlign w:val="superscript"/>
        </w:rPr>
        <w:footnoteReference w:id="1593"/>
      </w:r>
      <w:r w:rsidRPr="00BF42B7">
        <w:t xml:space="preserve"> </w:t>
      </w:r>
      <w:r w:rsidRPr="00BF42B7">
        <w:rPr>
          <w:rFonts w:hint="eastAsia"/>
        </w:rPr>
        <w:t>当代实践中，联合国赔偿委员会发挥了最重要的作用，委员会在</w:t>
      </w:r>
      <w:r w:rsidRPr="00BF42B7">
        <w:rPr>
          <w:rFonts w:hint="eastAsia"/>
        </w:rPr>
        <w:t>1992</w:t>
      </w:r>
      <w:r w:rsidRPr="00BF42B7">
        <w:rPr>
          <w:rFonts w:hint="eastAsia"/>
        </w:rPr>
        <w:t>年第</w:t>
      </w:r>
      <w:r w:rsidRPr="00BF42B7">
        <w:rPr>
          <w:rFonts w:hint="eastAsia"/>
        </w:rPr>
        <w:t>10</w:t>
      </w:r>
      <w:r w:rsidRPr="00BF42B7">
        <w:rPr>
          <w:rFonts w:hint="eastAsia"/>
        </w:rPr>
        <w:t>号决定中处理了</w:t>
      </w:r>
      <w:r w:rsidRPr="00BF42B7">
        <w:t>捷克斯洛伐克</w:t>
      </w:r>
      <w:r w:rsidRPr="00BF42B7">
        <w:rPr>
          <w:rFonts w:hint="eastAsia"/>
        </w:rPr>
        <w:t>、</w:t>
      </w:r>
      <w:r w:rsidRPr="00BF42B7">
        <w:t>南斯拉夫</w:t>
      </w:r>
      <w:r w:rsidRPr="00BF42B7">
        <w:rPr>
          <w:rFonts w:hint="eastAsia"/>
        </w:rPr>
        <w:t>和</w:t>
      </w:r>
      <w:r w:rsidRPr="00BF42B7">
        <w:t>苏联</w:t>
      </w:r>
      <w:r w:rsidRPr="00BF42B7">
        <w:rPr>
          <w:rFonts w:hint="eastAsia"/>
        </w:rPr>
        <w:t>解体的问题。</w:t>
      </w:r>
      <w:r w:rsidRPr="00523D41">
        <w:rPr>
          <w:color w:val="0000FF"/>
          <w:vertAlign w:val="superscript"/>
        </w:rPr>
        <w:footnoteReference w:id="1594"/>
      </w:r>
    </w:p>
    <w:p w:rsidR="000B444F" w:rsidRPr="00BF42B7" w:rsidRDefault="000B444F" w:rsidP="000B444F">
      <w:pPr>
        <w:pStyle w:val="SingleTxtGC"/>
      </w:pPr>
      <w:r w:rsidRPr="00BF42B7">
        <w:rPr>
          <w:rFonts w:hint="eastAsia"/>
        </w:rPr>
        <w:t xml:space="preserve">37.  </w:t>
      </w:r>
      <w:r w:rsidRPr="00BF42B7">
        <w:t>联合国赔偿委员会</w:t>
      </w:r>
      <w:r w:rsidRPr="00BF42B7">
        <w:rPr>
          <w:rFonts w:hint="eastAsia"/>
        </w:rPr>
        <w:t>的实践清楚表明，</w:t>
      </w:r>
      <w:r w:rsidRPr="00BF42B7">
        <w:t>赔偿委员会</w:t>
      </w:r>
      <w:r w:rsidRPr="00BF42B7">
        <w:rPr>
          <w:rFonts w:hint="eastAsia"/>
        </w:rPr>
        <w:t>不遵循国籍持续的规则。例如，委员会反而允许前</w:t>
      </w:r>
      <w:r w:rsidRPr="00BF42B7">
        <w:t>捷克斯洛伐克</w:t>
      </w:r>
      <w:r w:rsidRPr="00BF42B7">
        <w:rPr>
          <w:rFonts w:hint="eastAsia"/>
        </w:rPr>
        <w:t>的继承国代表其新国民接受赔偿。</w:t>
      </w:r>
      <w:r w:rsidRPr="00523D41">
        <w:rPr>
          <w:color w:val="0000FF"/>
          <w:vertAlign w:val="superscript"/>
        </w:rPr>
        <w:footnoteReference w:id="1595"/>
      </w:r>
    </w:p>
    <w:p w:rsidR="000B444F" w:rsidRPr="00BF42B7" w:rsidRDefault="000B444F" w:rsidP="000B444F">
      <w:pPr>
        <w:pStyle w:val="SingleTxtGC"/>
      </w:pPr>
      <w:r w:rsidRPr="00BF42B7">
        <w:rPr>
          <w:rFonts w:hint="eastAsia"/>
        </w:rPr>
        <w:t xml:space="preserve">38.  </w:t>
      </w:r>
      <w:r w:rsidRPr="00BF42B7">
        <w:rPr>
          <w:rFonts w:hint="eastAsia"/>
        </w:rPr>
        <w:t>最近，一些与国家继承有关的协定中也涉及个人的权利。例如，《</w:t>
      </w:r>
      <w:r w:rsidRPr="00BF42B7">
        <w:t>苏丹</w:t>
      </w:r>
      <w:r w:rsidRPr="00BF42B7">
        <w:rPr>
          <w:rFonts w:hint="eastAsia"/>
        </w:rPr>
        <w:t>共和国与</w:t>
      </w:r>
      <w:r w:rsidRPr="00BF42B7">
        <w:t>南苏丹共和国</w:t>
      </w:r>
      <w:r w:rsidRPr="00BF42B7">
        <w:rPr>
          <w:rFonts w:hint="eastAsia"/>
        </w:rPr>
        <w:t>关于某些经济事项的协定》</w:t>
      </w:r>
      <w:r w:rsidRPr="00BF42B7">
        <w:rPr>
          <w:rFonts w:hint="eastAsia"/>
        </w:rPr>
        <w:t>(</w:t>
      </w:r>
      <w:r w:rsidRPr="00BF42B7">
        <w:t>2012</w:t>
      </w:r>
      <w:r w:rsidRPr="00BF42B7">
        <w:rPr>
          <w:rFonts w:hint="eastAsia"/>
        </w:rPr>
        <w:t>年</w:t>
      </w:r>
      <w:r w:rsidRPr="00BF42B7">
        <w:rPr>
          <w:rFonts w:hint="eastAsia"/>
        </w:rPr>
        <w:t>)</w:t>
      </w:r>
      <w:r w:rsidRPr="00BF42B7">
        <w:rPr>
          <w:rFonts w:hint="eastAsia"/>
        </w:rPr>
        <w:t>第</w:t>
      </w:r>
      <w:r w:rsidRPr="00BF42B7">
        <w:t>5.1.1</w:t>
      </w:r>
      <w:r w:rsidRPr="00BF42B7">
        <w:rPr>
          <w:rFonts w:hint="eastAsia"/>
        </w:rPr>
        <w:t>条特别规定，“双方商定，无条件及不可撤回地取消和免除拖欠对方的任何非石油相关的欠款索偿及其他非石油相关的财务索偿……”。然而，第</w:t>
      </w:r>
      <w:r w:rsidRPr="00BF42B7">
        <w:t>5.1.3</w:t>
      </w:r>
      <w:r w:rsidRPr="00BF42B7">
        <w:rPr>
          <w:rFonts w:hint="eastAsia"/>
        </w:rPr>
        <w:t>条规定，“</w:t>
      </w:r>
      <w:r w:rsidRPr="00BF42B7">
        <w:t>双方商定，第</w:t>
      </w:r>
      <w:r w:rsidRPr="00BF42B7">
        <w:t>5.1.1</w:t>
      </w:r>
      <w:r w:rsidRPr="00BF42B7">
        <w:t>条的规定不应限制任何私人索偿要求。</w:t>
      </w:r>
      <w:r w:rsidRPr="00BF42B7">
        <w:rPr>
          <w:rFonts w:hint="eastAsia"/>
        </w:rPr>
        <w:t>”此外，第</w:t>
      </w:r>
      <w:r w:rsidRPr="00BF42B7">
        <w:t>5.1.4</w:t>
      </w:r>
      <w:r w:rsidRPr="00BF42B7">
        <w:rPr>
          <w:rFonts w:hint="eastAsia"/>
        </w:rPr>
        <w:t>条还规定，“双方商定采取必要行动，包括建立联合委员会或任何其他可行机制，协助和方便任何两国国民或其他法人根据各自国家适用法律的规定进行索偿。”</w:t>
      </w:r>
    </w:p>
    <w:p w:rsidR="000B444F" w:rsidRPr="00BF42B7" w:rsidRDefault="000B444F" w:rsidP="000B444F">
      <w:pPr>
        <w:pStyle w:val="H23GC"/>
      </w:pPr>
      <w:r w:rsidRPr="00BF42B7">
        <w:rPr>
          <w:rFonts w:hint="eastAsia"/>
        </w:rPr>
        <w:tab/>
      </w:r>
      <w:r w:rsidRPr="00BF42B7">
        <w:rPr>
          <w:rFonts w:hint="eastAsia"/>
        </w:rPr>
        <w:tab/>
      </w:r>
      <w:r w:rsidRPr="00BF42B7">
        <w:t>国际法委员会</w:t>
      </w:r>
      <w:r w:rsidRPr="00BF42B7">
        <w:rPr>
          <w:rFonts w:hint="eastAsia"/>
        </w:rPr>
        <w:t>的编纂任务</w:t>
      </w:r>
    </w:p>
    <w:p w:rsidR="000B444F" w:rsidRPr="00BF42B7" w:rsidRDefault="000B444F" w:rsidP="000B444F">
      <w:pPr>
        <w:pStyle w:val="SingleTxtGC"/>
      </w:pPr>
      <w:r w:rsidRPr="00BF42B7">
        <w:rPr>
          <w:rFonts w:hint="eastAsia"/>
        </w:rPr>
        <w:t xml:space="preserve">39.  </w:t>
      </w:r>
      <w:r w:rsidRPr="00BF42B7">
        <w:rPr>
          <w:rFonts w:hint="eastAsia"/>
        </w:rPr>
        <w:t>国家责任方面的国家继承问题值得</w:t>
      </w:r>
      <w:r w:rsidRPr="00BF42B7">
        <w:t>国际法委员会</w:t>
      </w:r>
      <w:r w:rsidRPr="00BF42B7">
        <w:rPr>
          <w:rFonts w:hint="eastAsia"/>
        </w:rPr>
        <w:t>加以研究。这是个一般国际法专题，过去在这方面没有确立习惯国际法，因此</w:t>
      </w:r>
      <w:r w:rsidRPr="00BF42B7">
        <w:t>国际法委员会</w:t>
      </w:r>
      <w:r w:rsidRPr="00BF42B7">
        <w:rPr>
          <w:rFonts w:hint="eastAsia"/>
        </w:rPr>
        <w:t>早期没有将其纳入工作方案。现在来评估国家实践和判例中的新发展，正当其时。本专题一方面能够填补在完成国家在条约方面的继承</w:t>
      </w:r>
      <w:r w:rsidRPr="00BF42B7">
        <w:rPr>
          <w:rFonts w:hint="eastAsia"/>
        </w:rPr>
        <w:t>(</w:t>
      </w:r>
      <w:r w:rsidRPr="00BF42B7">
        <w:t>1978</w:t>
      </w:r>
      <w:r w:rsidRPr="00BF42B7">
        <w:rPr>
          <w:rFonts w:hint="eastAsia"/>
        </w:rPr>
        <w:t>年《维也纳公约》</w:t>
      </w:r>
      <w:r w:rsidRPr="00BF42B7">
        <w:rPr>
          <w:rFonts w:hint="eastAsia"/>
        </w:rPr>
        <w:t>)</w:t>
      </w:r>
      <w:r w:rsidRPr="00BF42B7">
        <w:rPr>
          <w:rFonts w:hint="eastAsia"/>
        </w:rPr>
        <w:t>、国家对国家财产、档案和债务的继承</w:t>
      </w:r>
      <w:r w:rsidRPr="00BF42B7">
        <w:t>(</w:t>
      </w:r>
      <w:r w:rsidRPr="00BF42B7">
        <w:rPr>
          <w:rFonts w:hint="eastAsia"/>
        </w:rPr>
        <w:t>1983</w:t>
      </w:r>
      <w:r w:rsidRPr="00BF42B7">
        <w:rPr>
          <w:rFonts w:hint="eastAsia"/>
        </w:rPr>
        <w:t>年《维也纳公约》</w:t>
      </w:r>
      <w:r w:rsidRPr="00BF42B7">
        <w:t>)</w:t>
      </w:r>
      <w:r w:rsidRPr="00BF42B7">
        <w:rPr>
          <w:rFonts w:hint="eastAsia"/>
        </w:rPr>
        <w:t>、以及国籍方面的继承</w:t>
      </w:r>
      <w:r w:rsidRPr="00BF42B7">
        <w:rPr>
          <w:rFonts w:hint="eastAsia"/>
        </w:rPr>
        <w:t>(</w:t>
      </w:r>
      <w:r w:rsidRPr="00BF42B7">
        <w:rPr>
          <w:rFonts w:hint="eastAsia"/>
        </w:rPr>
        <w:t>国家继承涉及的自然人国籍问题条款，</w:t>
      </w:r>
      <w:r w:rsidRPr="00BF42B7">
        <w:rPr>
          <w:rFonts w:hint="eastAsia"/>
        </w:rPr>
        <w:t>1999</w:t>
      </w:r>
      <w:r w:rsidRPr="00BF42B7">
        <w:rPr>
          <w:rFonts w:hint="eastAsia"/>
        </w:rPr>
        <w:t>年</w:t>
      </w:r>
      <w:r w:rsidRPr="00BF42B7">
        <w:rPr>
          <w:rFonts w:hint="eastAsia"/>
        </w:rPr>
        <w:t>)</w:t>
      </w:r>
      <w:r w:rsidRPr="00BF42B7">
        <w:rPr>
          <w:rFonts w:hint="eastAsia"/>
        </w:rPr>
        <w:t>等编纂工作后留下的空白，另一方面也能填补国家责任方面的空白。</w:t>
      </w:r>
    </w:p>
    <w:p w:rsidR="000B444F" w:rsidRPr="00BF42B7" w:rsidRDefault="000B444F" w:rsidP="000B444F">
      <w:pPr>
        <w:pStyle w:val="SingleTxtGC"/>
      </w:pPr>
      <w:r w:rsidRPr="00BF42B7">
        <w:rPr>
          <w:rFonts w:hint="eastAsia"/>
        </w:rPr>
        <w:t xml:space="preserve">40.  </w:t>
      </w:r>
      <w:r w:rsidRPr="00BF42B7">
        <w:rPr>
          <w:rFonts w:hint="eastAsia"/>
        </w:rPr>
        <w:t>本专题的工作应遵循条约方面国家继承的主要原则，涉及区分部分领土的转移、分裂、解体、统一和建立新的独立国家。以案例法和其他国家实践研究为基础的现实办法，能保证对原有国家消失后情况下的解体和统一的案例与</w:t>
      </w:r>
      <w:r w:rsidRPr="00BF42B7">
        <w:t>被继承国</w:t>
      </w:r>
      <w:r w:rsidRPr="00BF42B7">
        <w:rPr>
          <w:rFonts w:hint="eastAsia"/>
        </w:rPr>
        <w:t>存续情况下的分裂的案例作出区分。后一种案例通常会产生更多的问题，因为国家几乎不可能接受国家责任的转移。</w:t>
      </w:r>
      <w:r w:rsidRPr="00523D41">
        <w:rPr>
          <w:color w:val="0000FF"/>
          <w:vertAlign w:val="superscript"/>
        </w:rPr>
        <w:footnoteReference w:id="1596"/>
      </w:r>
      <w:r w:rsidRPr="00BF42B7">
        <w:t xml:space="preserve"> </w:t>
      </w:r>
      <w:r w:rsidRPr="00BF42B7">
        <w:rPr>
          <w:rFonts w:hint="eastAsia"/>
        </w:rPr>
        <w:t>区分谈判式分裂和争议式</w:t>
      </w:r>
      <w:r w:rsidRPr="00BF42B7">
        <w:rPr>
          <w:rFonts w:hint="eastAsia"/>
        </w:rPr>
        <w:t>(</w:t>
      </w:r>
      <w:r w:rsidRPr="00BF42B7">
        <w:rPr>
          <w:rFonts w:hint="eastAsia"/>
        </w:rPr>
        <w:t>革命式</w:t>
      </w:r>
      <w:r w:rsidRPr="00BF42B7">
        <w:rPr>
          <w:rFonts w:hint="eastAsia"/>
        </w:rPr>
        <w:t>)</w:t>
      </w:r>
      <w:r w:rsidRPr="00BF42B7">
        <w:rPr>
          <w:rFonts w:hint="eastAsia"/>
        </w:rPr>
        <w:t>分裂，依然十分重要。谈判式分裂为就继承的所有方面</w:t>
      </w:r>
      <w:r w:rsidRPr="00BF42B7">
        <w:rPr>
          <w:rFonts w:hint="eastAsia"/>
        </w:rPr>
        <w:t>(</w:t>
      </w:r>
      <w:r w:rsidRPr="00BF42B7">
        <w:rPr>
          <w:rFonts w:hint="eastAsia"/>
        </w:rPr>
        <w:t>包括责任</w:t>
      </w:r>
      <w:r w:rsidRPr="00BF42B7">
        <w:rPr>
          <w:rFonts w:hint="eastAsia"/>
        </w:rPr>
        <w:t>)</w:t>
      </w:r>
      <w:r w:rsidRPr="00BF42B7">
        <w:rPr>
          <w:rFonts w:hint="eastAsia"/>
        </w:rPr>
        <w:t>达成协定创造了更好的条件。</w:t>
      </w:r>
    </w:p>
    <w:p w:rsidR="000B444F" w:rsidRPr="00BF42B7" w:rsidRDefault="000B444F" w:rsidP="000B444F">
      <w:pPr>
        <w:pStyle w:val="SingleTxtGC"/>
      </w:pPr>
      <w:r w:rsidRPr="00BF42B7">
        <w:rPr>
          <w:rFonts w:hint="eastAsia"/>
        </w:rPr>
        <w:t xml:space="preserve">41.  </w:t>
      </w:r>
      <w:r w:rsidRPr="00BF42B7">
        <w:rPr>
          <w:rFonts w:hint="eastAsia"/>
        </w:rPr>
        <w:t>然而，应该把工作重点更多地放在国家责任的次级规则方面。必须指出，本项目不仅针对责任的积极方面，也针对责任消极方面，即：不仅是行为国</w:t>
      </w:r>
      <w:r w:rsidRPr="00BF42B7">
        <w:t>(</w:t>
      </w:r>
      <w:r w:rsidRPr="00BF42B7">
        <w:rPr>
          <w:rFonts w:hint="eastAsia"/>
        </w:rPr>
        <w:t>不法行为国</w:t>
      </w:r>
      <w:r w:rsidRPr="00BF42B7">
        <w:t>)</w:t>
      </w:r>
      <w:r w:rsidRPr="00BF42B7">
        <w:rPr>
          <w:rFonts w:hint="eastAsia"/>
        </w:rPr>
        <w:t>义务的转移</w:t>
      </w:r>
      <w:r w:rsidRPr="00BF42B7">
        <w:t>(</w:t>
      </w:r>
      <w:r w:rsidRPr="00BF42B7">
        <w:rPr>
          <w:rFonts w:hint="eastAsia"/>
        </w:rPr>
        <w:t>或移交</w:t>
      </w:r>
      <w:r w:rsidRPr="00BF42B7">
        <w:t>)</w:t>
      </w:r>
      <w:r w:rsidRPr="00BF42B7">
        <w:rPr>
          <w:rFonts w:hint="eastAsia"/>
        </w:rPr>
        <w:t>，也是受害国权利</w:t>
      </w:r>
      <w:r w:rsidRPr="00BF42B7">
        <w:t>(</w:t>
      </w:r>
      <w:r w:rsidRPr="00BF42B7">
        <w:rPr>
          <w:rFonts w:hint="eastAsia"/>
        </w:rPr>
        <w:t>索赔</w:t>
      </w:r>
      <w:r w:rsidRPr="00BF42B7">
        <w:t>)</w:t>
      </w:r>
      <w:r w:rsidRPr="00BF42B7">
        <w:rPr>
          <w:rFonts w:hint="eastAsia"/>
        </w:rPr>
        <w:t>的转移</w:t>
      </w:r>
      <w:r w:rsidRPr="00BF42B7">
        <w:t>(</w:t>
      </w:r>
      <w:r w:rsidRPr="00BF42B7">
        <w:rPr>
          <w:rFonts w:hint="eastAsia"/>
        </w:rPr>
        <w:t>或移交</w:t>
      </w:r>
      <w:r w:rsidRPr="00BF42B7">
        <w:t>)</w:t>
      </w:r>
      <w:r w:rsidRPr="00BF42B7">
        <w:rPr>
          <w:rFonts w:hint="eastAsia"/>
        </w:rPr>
        <w:t>。项目可以采取以下结构：</w:t>
      </w:r>
      <w:r w:rsidRPr="00BF42B7">
        <w:t xml:space="preserve">(a) </w:t>
      </w:r>
      <w:r w:rsidRPr="00BF42B7">
        <w:rPr>
          <w:rFonts w:hint="eastAsia"/>
        </w:rPr>
        <w:t>关于国家继承的一般规定，特别强调协定优先；</w:t>
      </w:r>
      <w:r w:rsidRPr="00BF42B7">
        <w:t xml:space="preserve">(b) </w:t>
      </w:r>
      <w:r w:rsidRPr="00BF42B7">
        <w:rPr>
          <w:rFonts w:hint="eastAsia"/>
        </w:rPr>
        <w:t>关于转移由国家责任产生的义务的剩余</w:t>
      </w:r>
      <w:r w:rsidRPr="00BF42B7">
        <w:rPr>
          <w:rFonts w:hint="eastAsia"/>
        </w:rPr>
        <w:t>(</w:t>
      </w:r>
      <w:r w:rsidRPr="00BF42B7">
        <w:rPr>
          <w:rFonts w:hint="eastAsia"/>
        </w:rPr>
        <w:t>次级</w:t>
      </w:r>
      <w:r w:rsidRPr="00BF42B7">
        <w:rPr>
          <w:rFonts w:hint="eastAsia"/>
        </w:rPr>
        <w:t>)</w:t>
      </w:r>
      <w:r w:rsidRPr="00BF42B7">
        <w:rPr>
          <w:rFonts w:hint="eastAsia"/>
        </w:rPr>
        <w:t>原则；</w:t>
      </w:r>
      <w:r w:rsidRPr="00BF42B7">
        <w:t xml:space="preserve">(c) </w:t>
      </w:r>
      <w:r w:rsidRPr="00BF42B7">
        <w:rPr>
          <w:rFonts w:hint="eastAsia"/>
        </w:rPr>
        <w:t>关于转移获得赔偿权的原则；</w:t>
      </w:r>
      <w:r w:rsidRPr="00BF42B7">
        <w:t xml:space="preserve">(d) </w:t>
      </w:r>
      <w:r w:rsidRPr="00BF42B7">
        <w:rPr>
          <w:rFonts w:hint="eastAsia"/>
        </w:rPr>
        <w:t>杂项和程序规定。</w:t>
      </w:r>
    </w:p>
    <w:p w:rsidR="000B444F" w:rsidRPr="00BF42B7" w:rsidRDefault="000B444F" w:rsidP="000B444F">
      <w:pPr>
        <w:pStyle w:val="SingleTxtGC"/>
      </w:pPr>
      <w:r w:rsidRPr="00BF42B7">
        <w:rPr>
          <w:rFonts w:hint="eastAsia"/>
        </w:rPr>
        <w:t xml:space="preserve">42.  </w:t>
      </w:r>
      <w:r w:rsidRPr="00BF42B7">
        <w:rPr>
          <w:rFonts w:hint="eastAsia"/>
        </w:rPr>
        <w:t>需要进一步辩论和审议的问题是，本专题是否纳入将国家责任产生的义务移交给国际组织</w:t>
      </w:r>
      <w:r w:rsidRPr="00BF42B7">
        <w:rPr>
          <w:rFonts w:hint="eastAsia"/>
        </w:rPr>
        <w:t>(</w:t>
      </w:r>
      <w:r w:rsidRPr="00BF42B7">
        <w:rPr>
          <w:rFonts w:hint="eastAsia"/>
        </w:rPr>
        <w:t>包括金融机构</w:t>
      </w:r>
      <w:r w:rsidRPr="00BF42B7">
        <w:rPr>
          <w:rFonts w:hint="eastAsia"/>
        </w:rPr>
        <w:t>)</w:t>
      </w:r>
      <w:r w:rsidRPr="00BF42B7">
        <w:rPr>
          <w:rFonts w:hint="eastAsia"/>
        </w:rPr>
        <w:t>的情况。另一个问题涉及将国家责任产生的义务移交个人。除了仍属于国与国关系的外交保护的问题</w:t>
      </w:r>
      <w:r w:rsidRPr="00BF42B7">
        <w:rPr>
          <w:rFonts w:hint="eastAsia"/>
        </w:rPr>
        <w:t>(</w:t>
      </w:r>
      <w:r w:rsidRPr="00BF42B7">
        <w:rPr>
          <w:rFonts w:hint="eastAsia"/>
        </w:rPr>
        <w:t>如国籍持续规则的例外</w:t>
      </w:r>
      <w:r w:rsidRPr="00BF42B7">
        <w:rPr>
          <w:rFonts w:hint="eastAsia"/>
        </w:rPr>
        <w:t>)</w:t>
      </w:r>
      <w:r w:rsidRPr="00BF42B7">
        <w:rPr>
          <w:rFonts w:hint="eastAsia"/>
        </w:rPr>
        <w:t>，这个问题似乎出现在个人对国家直接拥有权利的时候和情况下</w:t>
      </w:r>
      <w:r w:rsidRPr="00BF42B7">
        <w:t>,</w:t>
      </w:r>
      <w:r w:rsidRPr="00BF42B7">
        <w:rPr>
          <w:rFonts w:hint="eastAsia"/>
        </w:rPr>
        <w:t>《欧洲人权公约》等某些条约制度便是这种情况。</w:t>
      </w:r>
      <w:r w:rsidRPr="00523D41">
        <w:rPr>
          <w:color w:val="0000FF"/>
          <w:vertAlign w:val="superscript"/>
        </w:rPr>
        <w:footnoteReference w:id="1597"/>
      </w:r>
    </w:p>
    <w:p w:rsidR="000B444F" w:rsidRPr="00BF42B7" w:rsidRDefault="000B444F" w:rsidP="000B444F">
      <w:pPr>
        <w:pStyle w:val="SingleTxtGC"/>
        <w:rPr>
          <w:lang w:val="fr-FR"/>
        </w:rPr>
      </w:pPr>
      <w:r w:rsidRPr="00BF42B7">
        <w:rPr>
          <w:rFonts w:hint="eastAsia"/>
        </w:rPr>
        <w:t xml:space="preserve">43.  </w:t>
      </w:r>
      <w:r w:rsidRPr="00BF42B7">
        <w:rPr>
          <w:rFonts w:hint="eastAsia"/>
        </w:rPr>
        <w:t>委员会需要辩论如何及何时处理这个问题。在不影响未来决定的前提下，本专题的适当形式可以是条款草案或带有评注的原则</w:t>
      </w:r>
      <w:r w:rsidRPr="00BF42B7">
        <w:rPr>
          <w:rFonts w:hint="eastAsia"/>
        </w:rPr>
        <w:t>(</w:t>
      </w:r>
      <w:r w:rsidRPr="00BF42B7">
        <w:rPr>
          <w:rFonts w:hint="eastAsia"/>
        </w:rPr>
        <w:t>尤其遵循国家责任条款及后来成为</w:t>
      </w:r>
      <w:r w:rsidRPr="00BF42B7">
        <w:rPr>
          <w:rFonts w:hint="eastAsia"/>
        </w:rPr>
        <w:t>1978</w:t>
      </w:r>
      <w:r w:rsidRPr="00BF42B7">
        <w:rPr>
          <w:rFonts w:hint="eastAsia"/>
        </w:rPr>
        <w:t>年和</w:t>
      </w:r>
      <w:r w:rsidRPr="00BF42B7">
        <w:rPr>
          <w:rFonts w:hint="eastAsia"/>
        </w:rPr>
        <w:t>1983</w:t>
      </w:r>
      <w:r w:rsidRPr="00BF42B7">
        <w:rPr>
          <w:rFonts w:hint="eastAsia"/>
        </w:rPr>
        <w:t>年维也纳公约的条款的先例</w:t>
      </w:r>
      <w:r w:rsidRPr="00BF42B7">
        <w:rPr>
          <w:rFonts w:hint="eastAsia"/>
        </w:rPr>
        <w:t>)</w:t>
      </w:r>
      <w:r w:rsidRPr="00BF42B7">
        <w:rPr>
          <w:rFonts w:hint="eastAsia"/>
        </w:rPr>
        <w:t>。</w:t>
      </w:r>
    </w:p>
    <w:p w:rsidR="000B444F" w:rsidRPr="00BF42B7" w:rsidRDefault="000B444F" w:rsidP="000B444F">
      <w:pPr>
        <w:pStyle w:val="H1GC"/>
        <w:rPr>
          <w:b/>
          <w:bCs/>
          <w:lang w:val="fr-FR"/>
        </w:rPr>
      </w:pPr>
      <w:r w:rsidRPr="00BF42B7">
        <w:rPr>
          <w:rFonts w:hint="eastAsia"/>
          <w:lang w:val="fr-FR"/>
        </w:rPr>
        <w:tab/>
      </w:r>
      <w:r w:rsidRPr="00BF42B7">
        <w:rPr>
          <w:rFonts w:hint="eastAsia"/>
          <w:lang w:val="fr-FR"/>
        </w:rPr>
        <w:tab/>
      </w:r>
      <w:r w:rsidRPr="00BF42B7">
        <w:rPr>
          <w:rFonts w:hint="eastAsia"/>
          <w:lang w:val="fr-FR"/>
        </w:rPr>
        <w:t>参考文献选编</w:t>
      </w:r>
      <w:r w:rsidRPr="00BF42B7">
        <w:rPr>
          <w:b/>
          <w:bCs/>
          <w:lang w:val="fr-FR"/>
        </w:rPr>
        <w:t>:</w:t>
      </w:r>
    </w:p>
    <w:p w:rsidR="000B444F" w:rsidRPr="00BF42B7" w:rsidRDefault="000B444F" w:rsidP="000B444F">
      <w:pPr>
        <w:tabs>
          <w:tab w:val="clear" w:pos="431"/>
          <w:tab w:val="left" w:pos="1134"/>
          <w:tab w:val="left" w:pos="1565"/>
          <w:tab w:val="left" w:pos="1996"/>
          <w:tab w:val="left" w:pos="2427"/>
        </w:tabs>
        <w:spacing w:after="120" w:line="240" w:lineRule="exact"/>
        <w:ind w:left="1134" w:right="1134"/>
        <w:rPr>
          <w:snapToGrid/>
          <w:lang w:val="fr-FR" w:eastAsia="en-US"/>
        </w:rPr>
      </w:pPr>
      <w:r w:rsidRPr="00BF42B7">
        <w:rPr>
          <w:snapToGrid/>
          <w:lang w:val="fr-FR" w:eastAsia="en-US"/>
        </w:rPr>
        <w:t xml:space="preserve">A. Cavaglieri, “Règles générales du droit de la paix”, </w:t>
      </w:r>
      <w:r w:rsidRPr="00BF42B7">
        <w:rPr>
          <w:i/>
          <w:snapToGrid/>
          <w:lang w:val="fr-FR" w:eastAsia="en-US"/>
        </w:rPr>
        <w:t>RCADI</w:t>
      </w:r>
      <w:r w:rsidRPr="00BF42B7">
        <w:rPr>
          <w:snapToGrid/>
          <w:lang w:val="fr-FR" w:eastAsia="en-US"/>
        </w:rPr>
        <w:t>, vol. 26, 1929-I</w:t>
      </w:r>
    </w:p>
    <w:p w:rsidR="000B444F" w:rsidRPr="00BF42B7" w:rsidRDefault="000B444F" w:rsidP="000B444F">
      <w:pPr>
        <w:tabs>
          <w:tab w:val="clear" w:pos="431"/>
          <w:tab w:val="left" w:pos="1134"/>
          <w:tab w:val="left" w:pos="1565"/>
          <w:tab w:val="left" w:pos="1996"/>
          <w:tab w:val="left" w:pos="2427"/>
        </w:tabs>
        <w:spacing w:after="120" w:line="240" w:lineRule="exact"/>
        <w:ind w:left="1134" w:right="1134"/>
        <w:rPr>
          <w:snapToGrid/>
          <w:lang w:eastAsia="en-US"/>
        </w:rPr>
      </w:pPr>
      <w:r w:rsidRPr="00BF42B7">
        <w:rPr>
          <w:snapToGrid/>
          <w:lang w:eastAsia="en-US"/>
        </w:rPr>
        <w:t xml:space="preserve">E. Cotran, “Some Legal Aspects of the Formation of the United Arab Republic and the United Arab States”, </w:t>
      </w:r>
      <w:r w:rsidRPr="00BF42B7">
        <w:rPr>
          <w:i/>
          <w:snapToGrid/>
          <w:lang w:eastAsia="en-US"/>
        </w:rPr>
        <w:t>ICLQ</w:t>
      </w:r>
      <w:r w:rsidRPr="00BF42B7">
        <w:rPr>
          <w:snapToGrid/>
          <w:lang w:eastAsia="en-US"/>
        </w:rPr>
        <w:t>, vol. 8, 1959</w:t>
      </w:r>
    </w:p>
    <w:p w:rsidR="000B444F" w:rsidRPr="00BF42B7" w:rsidRDefault="000B444F" w:rsidP="000B444F">
      <w:pPr>
        <w:tabs>
          <w:tab w:val="clear" w:pos="431"/>
          <w:tab w:val="left" w:pos="1134"/>
          <w:tab w:val="left" w:pos="1565"/>
          <w:tab w:val="left" w:pos="1996"/>
          <w:tab w:val="left" w:pos="2427"/>
        </w:tabs>
        <w:spacing w:after="120" w:line="240" w:lineRule="exact"/>
        <w:ind w:left="1134" w:right="1134"/>
        <w:rPr>
          <w:snapToGrid/>
          <w:lang w:eastAsia="en-US"/>
        </w:rPr>
      </w:pPr>
      <w:r w:rsidRPr="00BF42B7">
        <w:rPr>
          <w:snapToGrid/>
          <w:lang w:eastAsia="en-US"/>
        </w:rPr>
        <w:t xml:space="preserve">J. Crawford, </w:t>
      </w:r>
      <w:r w:rsidRPr="00BF42B7">
        <w:rPr>
          <w:i/>
          <w:snapToGrid/>
          <w:lang w:eastAsia="en-US"/>
        </w:rPr>
        <w:t>State Responsibility. The General Part</w:t>
      </w:r>
      <w:r w:rsidRPr="00BF42B7">
        <w:rPr>
          <w:snapToGrid/>
          <w:lang w:eastAsia="en-US"/>
        </w:rPr>
        <w:t xml:space="preserve"> (Cambridge: CUP, 2013)</w:t>
      </w:r>
    </w:p>
    <w:p w:rsidR="000B444F" w:rsidRPr="00BF42B7" w:rsidRDefault="000B444F" w:rsidP="000B444F">
      <w:pPr>
        <w:tabs>
          <w:tab w:val="clear" w:pos="431"/>
          <w:tab w:val="left" w:pos="1134"/>
          <w:tab w:val="left" w:pos="1565"/>
          <w:tab w:val="left" w:pos="1996"/>
          <w:tab w:val="left" w:pos="2427"/>
        </w:tabs>
        <w:spacing w:after="120" w:line="240" w:lineRule="exact"/>
        <w:ind w:left="1134" w:right="1134"/>
        <w:rPr>
          <w:snapToGrid/>
          <w:lang w:eastAsia="en-US"/>
        </w:rPr>
      </w:pPr>
      <w:r w:rsidRPr="00BF42B7">
        <w:rPr>
          <w:snapToGrid/>
          <w:lang w:eastAsia="en-US"/>
        </w:rPr>
        <w:t xml:space="preserve">W. Czaplinski, “State Succession and State Responsibility,” </w:t>
      </w:r>
      <w:r w:rsidRPr="00BF42B7">
        <w:rPr>
          <w:i/>
          <w:snapToGrid/>
          <w:lang w:eastAsia="en-US"/>
        </w:rPr>
        <w:t>Canadian YBIL</w:t>
      </w:r>
      <w:r w:rsidRPr="00BF42B7">
        <w:rPr>
          <w:snapToGrid/>
          <w:lang w:eastAsia="en-US"/>
        </w:rPr>
        <w:t xml:space="preserve"> 28 (1990), 339</w:t>
      </w:r>
    </w:p>
    <w:p w:rsidR="000B444F" w:rsidRPr="00BF42B7" w:rsidRDefault="000B444F" w:rsidP="000B444F">
      <w:pPr>
        <w:tabs>
          <w:tab w:val="clear" w:pos="431"/>
          <w:tab w:val="left" w:pos="1134"/>
          <w:tab w:val="left" w:pos="1565"/>
          <w:tab w:val="left" w:pos="1996"/>
          <w:tab w:val="left" w:pos="2427"/>
        </w:tabs>
        <w:spacing w:after="120" w:line="240" w:lineRule="exact"/>
        <w:ind w:left="1134" w:right="1134"/>
        <w:rPr>
          <w:snapToGrid/>
          <w:lang w:eastAsia="en-US"/>
        </w:rPr>
      </w:pPr>
      <w:r w:rsidRPr="00BF42B7">
        <w:rPr>
          <w:snapToGrid/>
          <w:lang w:eastAsia="en-US"/>
        </w:rPr>
        <w:t xml:space="preserve">W. Czaplinski, </w:t>
      </w:r>
      <w:r w:rsidRPr="00BF42B7">
        <w:rPr>
          <w:i/>
          <w:iCs/>
          <w:snapToGrid/>
          <w:lang w:eastAsia="en-US"/>
        </w:rPr>
        <w:t>Zmiany terytorialne w Europie Środkowej i Wschodniej i ich skutki miedzynarodowoprawne (1990 – 1992)</w:t>
      </w:r>
      <w:r w:rsidRPr="00BF42B7">
        <w:rPr>
          <w:snapToGrid/>
          <w:lang w:eastAsia="en-US"/>
        </w:rPr>
        <w:t xml:space="preserve"> [Territorial Changes in Central and Eastern Europe in 1990 – 1992 and Their International Legal Consequences](Warszawa: Scholar, 1998) </w:t>
      </w:r>
    </w:p>
    <w:p w:rsidR="000B444F" w:rsidRPr="00BF42B7" w:rsidRDefault="000B444F" w:rsidP="000B444F">
      <w:pPr>
        <w:tabs>
          <w:tab w:val="clear" w:pos="431"/>
          <w:tab w:val="left" w:pos="1134"/>
          <w:tab w:val="left" w:pos="1565"/>
          <w:tab w:val="left" w:pos="1996"/>
          <w:tab w:val="left" w:pos="2427"/>
        </w:tabs>
        <w:spacing w:after="120" w:line="240" w:lineRule="exact"/>
        <w:ind w:left="1134" w:right="1134"/>
        <w:rPr>
          <w:snapToGrid/>
          <w:lang w:eastAsia="en-US"/>
        </w:rPr>
      </w:pPr>
      <w:r w:rsidRPr="00BF42B7">
        <w:rPr>
          <w:snapToGrid/>
          <w:lang w:eastAsia="en-US"/>
        </w:rPr>
        <w:t xml:space="preserve">P. Dumberry, “New State Responsibility for Internationally Wrongful Acts by an Insurrectional Movement”, </w:t>
      </w:r>
      <w:r w:rsidRPr="00BF42B7">
        <w:rPr>
          <w:i/>
          <w:snapToGrid/>
          <w:lang w:eastAsia="en-US"/>
        </w:rPr>
        <w:t>EJIL</w:t>
      </w:r>
      <w:r w:rsidRPr="00BF42B7">
        <w:rPr>
          <w:snapToGrid/>
          <w:lang w:eastAsia="en-US"/>
        </w:rPr>
        <w:t xml:space="preserve"> 17 (2006), 605</w:t>
      </w:r>
    </w:p>
    <w:p w:rsidR="000B444F" w:rsidRPr="00BF42B7" w:rsidRDefault="000B444F" w:rsidP="000B444F">
      <w:pPr>
        <w:tabs>
          <w:tab w:val="clear" w:pos="431"/>
          <w:tab w:val="left" w:pos="1134"/>
          <w:tab w:val="left" w:pos="1565"/>
          <w:tab w:val="left" w:pos="1996"/>
          <w:tab w:val="left" w:pos="2427"/>
        </w:tabs>
        <w:spacing w:after="120" w:line="240" w:lineRule="exact"/>
        <w:ind w:left="1134" w:right="1134"/>
        <w:rPr>
          <w:snapToGrid/>
          <w:lang w:eastAsia="en-US"/>
        </w:rPr>
      </w:pPr>
      <w:r w:rsidRPr="00BF42B7">
        <w:rPr>
          <w:snapToGrid/>
          <w:lang w:eastAsia="en-US"/>
        </w:rPr>
        <w:t xml:space="preserve">P. Dumberry, </w:t>
      </w:r>
      <w:r w:rsidRPr="00BF42B7">
        <w:rPr>
          <w:i/>
          <w:snapToGrid/>
          <w:lang w:eastAsia="en-US"/>
        </w:rPr>
        <w:t>State Succession to International Responsibility</w:t>
      </w:r>
      <w:r w:rsidRPr="00BF42B7">
        <w:rPr>
          <w:snapToGrid/>
          <w:lang w:eastAsia="en-US"/>
        </w:rPr>
        <w:t xml:space="preserve"> (Leiden: Martinus Nijhoff, 2007)</w:t>
      </w:r>
    </w:p>
    <w:p w:rsidR="000B444F" w:rsidRPr="00BF42B7" w:rsidRDefault="000B444F" w:rsidP="000B444F">
      <w:pPr>
        <w:tabs>
          <w:tab w:val="clear" w:pos="431"/>
          <w:tab w:val="left" w:pos="1134"/>
          <w:tab w:val="left" w:pos="1565"/>
          <w:tab w:val="left" w:pos="1996"/>
          <w:tab w:val="left" w:pos="2427"/>
        </w:tabs>
        <w:spacing w:after="120" w:line="240" w:lineRule="exact"/>
        <w:ind w:left="1134" w:right="1134"/>
        <w:rPr>
          <w:snapToGrid/>
          <w:lang w:eastAsia="en-US"/>
        </w:rPr>
      </w:pPr>
      <w:r w:rsidRPr="00BF42B7">
        <w:rPr>
          <w:snapToGrid/>
          <w:lang w:eastAsia="en-US"/>
        </w:rPr>
        <w:t xml:space="preserve">P. Dumberry, “The Controversial Issue of State Succession to International Responsibility Revisited in Light of Recent State Practice”, </w:t>
      </w:r>
      <w:r w:rsidRPr="00BF42B7">
        <w:rPr>
          <w:i/>
          <w:snapToGrid/>
          <w:lang w:eastAsia="en-US"/>
        </w:rPr>
        <w:t>GYIL</w:t>
      </w:r>
      <w:r w:rsidRPr="00BF42B7">
        <w:rPr>
          <w:snapToGrid/>
          <w:lang w:eastAsia="en-US"/>
        </w:rPr>
        <w:t xml:space="preserve"> 49 (2006), 413</w:t>
      </w:r>
    </w:p>
    <w:p w:rsidR="000B444F" w:rsidRPr="00BF42B7" w:rsidRDefault="000B444F" w:rsidP="000B444F">
      <w:pPr>
        <w:tabs>
          <w:tab w:val="clear" w:pos="431"/>
          <w:tab w:val="left" w:pos="1134"/>
          <w:tab w:val="left" w:pos="1565"/>
          <w:tab w:val="left" w:pos="1996"/>
          <w:tab w:val="left" w:pos="2427"/>
        </w:tabs>
        <w:spacing w:after="120" w:line="240" w:lineRule="exact"/>
        <w:ind w:left="1134" w:right="1134"/>
        <w:rPr>
          <w:snapToGrid/>
          <w:lang w:eastAsia="en-US"/>
        </w:rPr>
      </w:pPr>
      <w:r w:rsidRPr="00BF42B7">
        <w:rPr>
          <w:snapToGrid/>
          <w:lang w:eastAsia="en-US"/>
        </w:rPr>
        <w:t xml:space="preserve">P. Dumberry, “Use of the concept of unjust enrichment to resolve issues of state succession to international responsibility”, </w:t>
      </w:r>
      <w:r w:rsidRPr="00BF42B7">
        <w:rPr>
          <w:i/>
          <w:snapToGrid/>
          <w:lang w:eastAsia="en-US"/>
        </w:rPr>
        <w:t>Revue Belge de Droit International</w:t>
      </w:r>
      <w:r w:rsidRPr="00BF42B7">
        <w:rPr>
          <w:snapToGrid/>
          <w:lang w:eastAsia="en-US"/>
        </w:rPr>
        <w:t xml:space="preserve"> 39-2 (2006), 507</w:t>
      </w:r>
    </w:p>
    <w:p w:rsidR="000B444F" w:rsidRPr="00BF42B7" w:rsidRDefault="000B444F" w:rsidP="000B444F">
      <w:pPr>
        <w:tabs>
          <w:tab w:val="clear" w:pos="431"/>
          <w:tab w:val="left" w:pos="1134"/>
          <w:tab w:val="left" w:pos="1565"/>
          <w:tab w:val="left" w:pos="1996"/>
          <w:tab w:val="left" w:pos="2427"/>
        </w:tabs>
        <w:spacing w:after="120" w:line="240" w:lineRule="exact"/>
        <w:ind w:left="1134" w:right="1134"/>
        <w:rPr>
          <w:snapToGrid/>
          <w:lang w:eastAsia="en-US"/>
        </w:rPr>
      </w:pPr>
      <w:r w:rsidRPr="00BF42B7">
        <w:rPr>
          <w:snapToGrid/>
          <w:lang w:eastAsia="en-US"/>
        </w:rPr>
        <w:t>IDI, Session of Tallinn, 14</w:t>
      </w:r>
      <w:r w:rsidRPr="00BF42B7">
        <w:rPr>
          <w:snapToGrid/>
          <w:vertAlign w:val="superscript"/>
          <w:lang w:eastAsia="en-US"/>
        </w:rPr>
        <w:t>th</w:t>
      </w:r>
      <w:r w:rsidRPr="00BF42B7">
        <w:rPr>
          <w:snapToGrid/>
          <w:lang w:eastAsia="en-US"/>
        </w:rPr>
        <w:t xml:space="preserve"> Commission, Resolution (final text): Succession of States in Matters of International Responsibility (2015) </w:t>
      </w:r>
    </w:p>
    <w:p w:rsidR="000B444F" w:rsidRPr="00BF42B7" w:rsidRDefault="000B444F" w:rsidP="000B444F">
      <w:pPr>
        <w:tabs>
          <w:tab w:val="clear" w:pos="431"/>
          <w:tab w:val="left" w:pos="1134"/>
          <w:tab w:val="left" w:pos="1565"/>
          <w:tab w:val="left" w:pos="1996"/>
          <w:tab w:val="left" w:pos="2427"/>
        </w:tabs>
        <w:spacing w:after="120" w:line="240" w:lineRule="exact"/>
        <w:ind w:left="1134" w:right="1134"/>
        <w:rPr>
          <w:snapToGrid/>
          <w:lang w:eastAsia="en-US"/>
        </w:rPr>
      </w:pPr>
      <w:r w:rsidRPr="00BF42B7">
        <w:rPr>
          <w:snapToGrid/>
          <w:lang w:eastAsia="en-US"/>
        </w:rPr>
        <w:t xml:space="preserve">M.T. Kamminga, “State Succession in Respect of Human Rights Treaties”, </w:t>
      </w:r>
      <w:r w:rsidRPr="00BF42B7">
        <w:rPr>
          <w:i/>
          <w:snapToGrid/>
          <w:lang w:eastAsia="en-US"/>
        </w:rPr>
        <w:t>EJIL</w:t>
      </w:r>
      <w:r w:rsidRPr="00BF42B7">
        <w:rPr>
          <w:snapToGrid/>
          <w:lang w:eastAsia="en-US"/>
        </w:rPr>
        <w:t>, vol. 7, 1996, No. 4</w:t>
      </w:r>
    </w:p>
    <w:p w:rsidR="000B444F" w:rsidRPr="00BF42B7" w:rsidRDefault="000B444F" w:rsidP="000B444F">
      <w:pPr>
        <w:tabs>
          <w:tab w:val="clear" w:pos="431"/>
          <w:tab w:val="left" w:pos="1134"/>
          <w:tab w:val="left" w:pos="1565"/>
          <w:tab w:val="left" w:pos="1996"/>
          <w:tab w:val="left" w:pos="2427"/>
        </w:tabs>
        <w:spacing w:after="120" w:line="240" w:lineRule="exact"/>
        <w:ind w:left="1134" w:right="1134"/>
        <w:rPr>
          <w:snapToGrid/>
          <w:lang w:eastAsia="en-US"/>
        </w:rPr>
      </w:pPr>
      <w:r w:rsidRPr="00BF42B7">
        <w:rPr>
          <w:snapToGrid/>
          <w:lang w:eastAsia="en-US"/>
        </w:rPr>
        <w:t xml:space="preserve">M.G. Kohen (ed.), </w:t>
      </w:r>
      <w:r w:rsidRPr="00BF42B7">
        <w:rPr>
          <w:i/>
          <w:snapToGrid/>
          <w:lang w:eastAsia="en-US"/>
        </w:rPr>
        <w:t>Secession. International Law Perspectives</w:t>
      </w:r>
      <w:r w:rsidRPr="00BF42B7">
        <w:rPr>
          <w:snapToGrid/>
          <w:lang w:eastAsia="en-US"/>
        </w:rPr>
        <w:t xml:space="preserve"> (Cambridge: Cambridge University Press, 2006)</w:t>
      </w:r>
    </w:p>
    <w:p w:rsidR="000B444F" w:rsidRPr="00BF42B7" w:rsidRDefault="000B444F" w:rsidP="000B444F">
      <w:pPr>
        <w:tabs>
          <w:tab w:val="clear" w:pos="431"/>
          <w:tab w:val="left" w:pos="1134"/>
          <w:tab w:val="left" w:pos="1565"/>
          <w:tab w:val="left" w:pos="1996"/>
          <w:tab w:val="left" w:pos="2427"/>
        </w:tabs>
        <w:spacing w:after="120" w:line="240" w:lineRule="exact"/>
        <w:ind w:left="1134" w:right="1134"/>
        <w:rPr>
          <w:snapToGrid/>
          <w:lang w:eastAsia="en-US"/>
        </w:rPr>
      </w:pPr>
      <w:r w:rsidRPr="00BF42B7">
        <w:rPr>
          <w:snapToGrid/>
          <w:lang w:eastAsia="en-US"/>
        </w:rPr>
        <w:t xml:space="preserve">M.G. Kohen, “Succession of states in the field of international responsibility: the case for codification”, in: </w:t>
      </w:r>
      <w:r w:rsidRPr="00BF42B7">
        <w:rPr>
          <w:i/>
          <w:snapToGrid/>
          <w:lang w:val="cs-CZ" w:eastAsia="en-US"/>
        </w:rPr>
        <w:t>Perspectives of international law in the 21st century: Liber Amicorum Professeur Christian Dominicé in honour of his 80th birthday</w:t>
      </w:r>
      <w:r w:rsidRPr="00BF42B7">
        <w:rPr>
          <w:snapToGrid/>
          <w:lang w:val="cs-CZ" w:eastAsia="en-US"/>
        </w:rPr>
        <w:t xml:space="preserve"> (Leiden, Boston: Nijhoff, </w:t>
      </w:r>
      <w:r w:rsidRPr="00BF42B7">
        <w:rPr>
          <w:snapToGrid/>
          <w:lang w:eastAsia="en-US"/>
        </w:rPr>
        <w:t>2012), 161</w:t>
      </w:r>
    </w:p>
    <w:p w:rsidR="000B444F" w:rsidRPr="00BF42B7" w:rsidRDefault="000B444F" w:rsidP="000B444F">
      <w:pPr>
        <w:tabs>
          <w:tab w:val="clear" w:pos="431"/>
          <w:tab w:val="left" w:pos="1134"/>
          <w:tab w:val="left" w:pos="1565"/>
          <w:tab w:val="left" w:pos="1996"/>
          <w:tab w:val="left" w:pos="2427"/>
        </w:tabs>
        <w:spacing w:after="120" w:line="240" w:lineRule="exact"/>
        <w:ind w:left="1134" w:right="1134"/>
        <w:rPr>
          <w:snapToGrid/>
          <w:lang w:eastAsia="en-US"/>
        </w:rPr>
      </w:pPr>
      <w:r w:rsidRPr="00BF42B7">
        <w:rPr>
          <w:snapToGrid/>
          <w:lang w:eastAsia="en-US"/>
        </w:rPr>
        <w:t xml:space="preserve">Y. Makonnen, “State succession in Africa: selected problems”, </w:t>
      </w:r>
      <w:r w:rsidRPr="00BF42B7">
        <w:rPr>
          <w:i/>
          <w:snapToGrid/>
          <w:lang w:eastAsia="en-US"/>
        </w:rPr>
        <w:t>RCADI</w:t>
      </w:r>
      <w:r w:rsidRPr="00BF42B7">
        <w:rPr>
          <w:snapToGrid/>
          <w:lang w:eastAsia="en-US"/>
        </w:rPr>
        <w:t xml:space="preserve">, vol. 200 (1986), 93. </w:t>
      </w:r>
    </w:p>
    <w:p w:rsidR="000B444F" w:rsidRPr="00BF42B7" w:rsidRDefault="000B444F" w:rsidP="000B444F">
      <w:pPr>
        <w:tabs>
          <w:tab w:val="clear" w:pos="431"/>
          <w:tab w:val="left" w:pos="1134"/>
          <w:tab w:val="left" w:pos="1565"/>
          <w:tab w:val="left" w:pos="1996"/>
          <w:tab w:val="left" w:pos="2427"/>
        </w:tabs>
        <w:spacing w:after="120" w:line="240" w:lineRule="exact"/>
        <w:ind w:left="1134" w:right="1134"/>
        <w:rPr>
          <w:snapToGrid/>
          <w:lang w:val="fr-FR" w:eastAsia="en-US"/>
        </w:rPr>
      </w:pPr>
      <w:r w:rsidRPr="00BF42B7">
        <w:rPr>
          <w:snapToGrid/>
          <w:lang w:val="fr-FR" w:eastAsia="en-US"/>
        </w:rPr>
        <w:t xml:space="preserve">J. Malenovský, “Problèmes juridiques liés à la partition de la Tchécoslovaquie”, </w:t>
      </w:r>
      <w:r w:rsidRPr="00BF42B7">
        <w:rPr>
          <w:i/>
          <w:snapToGrid/>
          <w:lang w:val="fr-FR" w:eastAsia="en-US"/>
        </w:rPr>
        <w:t>AFDI</w:t>
      </w:r>
      <w:r w:rsidRPr="00BF42B7">
        <w:rPr>
          <w:snapToGrid/>
          <w:lang w:val="fr-FR" w:eastAsia="en-US"/>
        </w:rPr>
        <w:t>, vol. 39 (1993)</w:t>
      </w:r>
    </w:p>
    <w:p w:rsidR="000B444F" w:rsidRPr="00BF42B7" w:rsidRDefault="000B444F" w:rsidP="000B444F">
      <w:pPr>
        <w:tabs>
          <w:tab w:val="clear" w:pos="431"/>
          <w:tab w:val="left" w:pos="1134"/>
          <w:tab w:val="left" w:pos="1565"/>
          <w:tab w:val="left" w:pos="1996"/>
          <w:tab w:val="left" w:pos="2427"/>
        </w:tabs>
        <w:spacing w:after="120" w:line="240" w:lineRule="exact"/>
        <w:ind w:left="1134" w:right="1134"/>
        <w:rPr>
          <w:snapToGrid/>
          <w:lang w:eastAsia="en-US"/>
        </w:rPr>
      </w:pPr>
      <w:r w:rsidRPr="00BF42B7">
        <w:rPr>
          <w:snapToGrid/>
          <w:lang w:eastAsia="en-US"/>
        </w:rPr>
        <w:t xml:space="preserve">L. Mälksoo, </w:t>
      </w:r>
      <w:r w:rsidRPr="00BF42B7">
        <w:rPr>
          <w:i/>
          <w:snapToGrid/>
          <w:lang w:eastAsia="en-US"/>
        </w:rPr>
        <w:t>Illegal Annexation and State Continuity: The Case of the Incorporation of the Baltic States by the USSR</w:t>
      </w:r>
      <w:r w:rsidRPr="00BF42B7">
        <w:rPr>
          <w:snapToGrid/>
          <w:lang w:eastAsia="en-US"/>
        </w:rPr>
        <w:t xml:space="preserve"> (A Study of the Tension between Normativity and Power in International Law), (Leiden: Martinus Nijhoff Publ., 2003)</w:t>
      </w:r>
    </w:p>
    <w:p w:rsidR="000B444F" w:rsidRPr="00BF42B7" w:rsidRDefault="000B444F" w:rsidP="000B444F">
      <w:pPr>
        <w:tabs>
          <w:tab w:val="clear" w:pos="431"/>
          <w:tab w:val="left" w:pos="1134"/>
          <w:tab w:val="left" w:pos="1565"/>
          <w:tab w:val="left" w:pos="1996"/>
          <w:tab w:val="left" w:pos="2427"/>
        </w:tabs>
        <w:spacing w:after="120" w:line="240" w:lineRule="exact"/>
        <w:ind w:left="1134" w:right="1134"/>
        <w:rPr>
          <w:snapToGrid/>
          <w:lang w:eastAsia="en-US"/>
        </w:rPr>
      </w:pPr>
      <w:r w:rsidRPr="00BF42B7">
        <w:rPr>
          <w:snapToGrid/>
          <w:lang w:eastAsia="en-US"/>
        </w:rPr>
        <w:t xml:space="preserve">K. Marek, </w:t>
      </w:r>
      <w:r w:rsidRPr="00BF42B7">
        <w:rPr>
          <w:i/>
          <w:snapToGrid/>
          <w:lang w:eastAsia="en-US"/>
        </w:rPr>
        <w:t>Identity and Continuity of States in Public International Law</w:t>
      </w:r>
      <w:r w:rsidRPr="00BF42B7">
        <w:rPr>
          <w:snapToGrid/>
          <w:lang w:eastAsia="en-US"/>
        </w:rPr>
        <w:t xml:space="preserve"> (Geneva: Librairie Droz, 1968)</w:t>
      </w:r>
    </w:p>
    <w:p w:rsidR="000B444F" w:rsidRPr="00BF42B7" w:rsidRDefault="000B444F" w:rsidP="000B444F">
      <w:pPr>
        <w:tabs>
          <w:tab w:val="clear" w:pos="431"/>
          <w:tab w:val="left" w:pos="1134"/>
          <w:tab w:val="left" w:pos="1565"/>
          <w:tab w:val="left" w:pos="1996"/>
          <w:tab w:val="left" w:pos="2427"/>
        </w:tabs>
        <w:spacing w:after="120" w:line="240" w:lineRule="exact"/>
        <w:ind w:left="1134" w:right="1134"/>
        <w:rPr>
          <w:snapToGrid/>
          <w:lang w:eastAsia="en-US"/>
        </w:rPr>
      </w:pPr>
      <w:r w:rsidRPr="00BF42B7">
        <w:rPr>
          <w:snapToGrid/>
          <w:lang w:eastAsia="en-US"/>
        </w:rPr>
        <w:t xml:space="preserve">V. Mikulka, “State Succession and Responsibility”. In: J. Crawford, A. Pellet, S. Olleson, </w:t>
      </w:r>
      <w:r w:rsidRPr="00BF42B7">
        <w:rPr>
          <w:i/>
          <w:snapToGrid/>
          <w:lang w:eastAsia="en-US"/>
        </w:rPr>
        <w:t>Law of International Responsibility</w:t>
      </w:r>
      <w:r w:rsidRPr="00BF42B7">
        <w:rPr>
          <w:snapToGrid/>
          <w:lang w:eastAsia="en-US"/>
        </w:rPr>
        <w:t xml:space="preserve"> (Oxford: Oxford University Press, 2010)</w:t>
      </w:r>
    </w:p>
    <w:p w:rsidR="000B444F" w:rsidRPr="00BF42B7" w:rsidRDefault="000B444F" w:rsidP="000B444F">
      <w:pPr>
        <w:tabs>
          <w:tab w:val="clear" w:pos="431"/>
          <w:tab w:val="left" w:pos="1134"/>
          <w:tab w:val="left" w:pos="1565"/>
          <w:tab w:val="left" w:pos="1996"/>
          <w:tab w:val="left" w:pos="2427"/>
        </w:tabs>
        <w:spacing w:after="120" w:line="240" w:lineRule="exact"/>
        <w:ind w:left="1134" w:right="1134"/>
        <w:rPr>
          <w:snapToGrid/>
          <w:lang w:eastAsia="en-US"/>
        </w:rPr>
      </w:pPr>
      <w:r w:rsidRPr="00BF42B7">
        <w:rPr>
          <w:snapToGrid/>
          <w:lang w:eastAsia="en-US"/>
        </w:rPr>
        <w:t xml:space="preserve">V. Mikulka, “Succession of States in Respect of Rights of an Injured State”. In: J. Crawford, A. Pellet, S. Olleson, </w:t>
      </w:r>
      <w:r w:rsidRPr="00BF42B7">
        <w:rPr>
          <w:i/>
          <w:snapToGrid/>
          <w:lang w:eastAsia="en-US"/>
        </w:rPr>
        <w:t>Law of International Responsibility</w:t>
      </w:r>
      <w:r w:rsidRPr="00BF42B7">
        <w:rPr>
          <w:snapToGrid/>
          <w:lang w:eastAsia="en-US"/>
        </w:rPr>
        <w:t xml:space="preserve"> (Oxford: Oxford University Press, 2010) </w:t>
      </w:r>
    </w:p>
    <w:p w:rsidR="000B444F" w:rsidRPr="00BF42B7" w:rsidRDefault="000B444F" w:rsidP="000B444F">
      <w:pPr>
        <w:tabs>
          <w:tab w:val="clear" w:pos="431"/>
          <w:tab w:val="left" w:pos="1134"/>
          <w:tab w:val="left" w:pos="1565"/>
          <w:tab w:val="left" w:pos="1996"/>
          <w:tab w:val="left" w:pos="2427"/>
        </w:tabs>
        <w:spacing w:after="120" w:line="240" w:lineRule="exact"/>
        <w:ind w:left="1134" w:right="1134"/>
        <w:rPr>
          <w:snapToGrid/>
          <w:lang w:val="fr-CH" w:eastAsia="en-US"/>
        </w:rPr>
      </w:pPr>
      <w:r w:rsidRPr="00BF42B7">
        <w:rPr>
          <w:snapToGrid/>
          <w:lang w:val="fr-FR" w:eastAsia="en-US"/>
        </w:rPr>
        <w:t xml:space="preserve">J.P. </w:t>
      </w:r>
      <w:r w:rsidRPr="00BF42B7">
        <w:rPr>
          <w:snapToGrid/>
          <w:lang w:val="fr-CH" w:eastAsia="en-US"/>
        </w:rPr>
        <w:t xml:space="preserve">Monnier, </w:t>
      </w:r>
      <w:r w:rsidRPr="00BF42B7">
        <w:rPr>
          <w:snapToGrid/>
          <w:lang w:val="fr-FR" w:eastAsia="en-US"/>
        </w:rPr>
        <w:t>“</w:t>
      </w:r>
      <w:r w:rsidRPr="00BF42B7">
        <w:rPr>
          <w:snapToGrid/>
          <w:lang w:val="fr-CH" w:eastAsia="en-US"/>
        </w:rPr>
        <w:t>La succession d’Etats en matière de responsabilité internationale</w:t>
      </w:r>
      <w:r w:rsidRPr="00BF42B7">
        <w:rPr>
          <w:snapToGrid/>
          <w:lang w:val="fr-FR" w:eastAsia="en-US"/>
        </w:rPr>
        <w:t>”</w:t>
      </w:r>
      <w:r w:rsidRPr="00BF42B7">
        <w:rPr>
          <w:snapToGrid/>
          <w:lang w:val="fr-CH" w:eastAsia="en-US"/>
        </w:rPr>
        <w:t xml:space="preserve">, </w:t>
      </w:r>
      <w:r w:rsidRPr="00BF42B7">
        <w:rPr>
          <w:i/>
          <w:snapToGrid/>
          <w:lang w:val="fr-CH" w:eastAsia="en-US"/>
        </w:rPr>
        <w:t>AFDI</w:t>
      </w:r>
      <w:r w:rsidRPr="00BF42B7">
        <w:rPr>
          <w:snapToGrid/>
          <w:lang w:val="fr-CH" w:eastAsia="en-US"/>
        </w:rPr>
        <w:t xml:space="preserve"> 8 (1962), 65</w:t>
      </w:r>
    </w:p>
    <w:p w:rsidR="000B444F" w:rsidRPr="00BF42B7" w:rsidRDefault="000B444F" w:rsidP="000B444F">
      <w:pPr>
        <w:tabs>
          <w:tab w:val="clear" w:pos="431"/>
          <w:tab w:val="left" w:pos="1134"/>
          <w:tab w:val="left" w:pos="1565"/>
          <w:tab w:val="left" w:pos="1996"/>
          <w:tab w:val="left" w:pos="2427"/>
        </w:tabs>
        <w:spacing w:after="120" w:line="240" w:lineRule="exact"/>
        <w:ind w:left="1134" w:right="1134"/>
        <w:rPr>
          <w:snapToGrid/>
          <w:lang w:eastAsia="en-US"/>
        </w:rPr>
      </w:pPr>
      <w:r w:rsidRPr="00BF42B7">
        <w:rPr>
          <w:snapToGrid/>
          <w:lang w:eastAsia="en-US"/>
        </w:rPr>
        <w:t xml:space="preserve">D.P. O’Connell, </w:t>
      </w:r>
      <w:r w:rsidRPr="00BF42B7">
        <w:rPr>
          <w:i/>
          <w:snapToGrid/>
          <w:lang w:eastAsia="en-US"/>
        </w:rPr>
        <w:t>State Succession in Municipal Law and International Law</w:t>
      </w:r>
      <w:r w:rsidRPr="00BF42B7">
        <w:rPr>
          <w:snapToGrid/>
          <w:lang w:eastAsia="en-US"/>
        </w:rPr>
        <w:t xml:space="preserve"> (Cambridge: Cambridge University Press, 1967)</w:t>
      </w:r>
    </w:p>
    <w:p w:rsidR="000B444F" w:rsidRPr="00BF42B7" w:rsidRDefault="000B444F" w:rsidP="000B444F">
      <w:pPr>
        <w:tabs>
          <w:tab w:val="clear" w:pos="431"/>
          <w:tab w:val="left" w:pos="1134"/>
          <w:tab w:val="left" w:pos="1565"/>
          <w:tab w:val="left" w:pos="1996"/>
          <w:tab w:val="left" w:pos="2427"/>
        </w:tabs>
        <w:spacing w:after="120" w:line="240" w:lineRule="exact"/>
        <w:ind w:left="1134" w:right="1134"/>
        <w:rPr>
          <w:snapToGrid/>
          <w:lang w:val="cs-CZ" w:eastAsia="en-US"/>
        </w:rPr>
      </w:pPr>
      <w:r w:rsidRPr="00BF42B7">
        <w:rPr>
          <w:snapToGrid/>
          <w:lang w:eastAsia="en-US"/>
        </w:rPr>
        <w:t xml:space="preserve">P. Pustorino, “Failed States and international law: the impact of UN practice on Somalia in respect of fundamental rules of international law”, </w:t>
      </w:r>
      <w:r w:rsidRPr="00BF42B7">
        <w:rPr>
          <w:i/>
          <w:snapToGrid/>
          <w:lang w:eastAsia="en-US"/>
        </w:rPr>
        <w:t>GYIL</w:t>
      </w:r>
      <w:r w:rsidRPr="00BF42B7">
        <w:rPr>
          <w:snapToGrid/>
          <w:lang w:eastAsia="en-US"/>
        </w:rPr>
        <w:t xml:space="preserve"> </w:t>
      </w:r>
      <w:r w:rsidRPr="00BF42B7">
        <w:rPr>
          <w:snapToGrid/>
          <w:lang w:val="cs-CZ" w:eastAsia="en-US"/>
        </w:rPr>
        <w:t>53 (2010), 727</w:t>
      </w:r>
    </w:p>
    <w:p w:rsidR="000B444F" w:rsidRPr="00BF42B7" w:rsidRDefault="000B444F" w:rsidP="000B444F">
      <w:pPr>
        <w:tabs>
          <w:tab w:val="clear" w:pos="431"/>
          <w:tab w:val="left" w:pos="1134"/>
          <w:tab w:val="left" w:pos="1565"/>
          <w:tab w:val="left" w:pos="1996"/>
          <w:tab w:val="left" w:pos="2427"/>
        </w:tabs>
        <w:spacing w:after="120" w:line="240" w:lineRule="exact"/>
        <w:ind w:left="1134" w:right="1134"/>
        <w:rPr>
          <w:snapToGrid/>
          <w:lang w:eastAsia="en-US"/>
        </w:rPr>
      </w:pPr>
      <w:r w:rsidRPr="00BF42B7">
        <w:rPr>
          <w:snapToGrid/>
          <w:lang w:val="fr-CH" w:eastAsia="en-US"/>
        </w:rPr>
        <w:t xml:space="preserve">B. Stern, </w:t>
      </w:r>
      <w:r w:rsidRPr="00BF42B7">
        <w:rPr>
          <w:snapToGrid/>
          <w:lang w:val="fr-FR" w:eastAsia="en-US"/>
        </w:rPr>
        <w:t>“</w:t>
      </w:r>
      <w:r w:rsidRPr="00BF42B7">
        <w:rPr>
          <w:snapToGrid/>
          <w:lang w:val="fr-CH" w:eastAsia="en-US"/>
        </w:rPr>
        <w:t>Responsabilité internationale et succession d’Etats</w:t>
      </w:r>
      <w:r w:rsidRPr="00BF42B7">
        <w:rPr>
          <w:snapToGrid/>
          <w:lang w:val="fr-FR" w:eastAsia="en-US"/>
        </w:rPr>
        <w:t>”</w:t>
      </w:r>
      <w:r w:rsidRPr="00BF42B7">
        <w:rPr>
          <w:snapToGrid/>
          <w:lang w:val="fr-CH" w:eastAsia="en-US"/>
        </w:rPr>
        <w:t xml:space="preserve">. </w:t>
      </w:r>
      <w:r w:rsidRPr="00BF42B7">
        <w:rPr>
          <w:snapToGrid/>
          <w:lang w:eastAsia="en-US"/>
        </w:rPr>
        <w:t xml:space="preserve">In: L. Boisson de Chazournes, V. Gowland-Debbas, </w:t>
      </w:r>
      <w:r w:rsidRPr="00BF42B7">
        <w:rPr>
          <w:i/>
          <w:snapToGrid/>
          <w:lang w:eastAsia="en-US"/>
        </w:rPr>
        <w:t>The International Legal System in Quest of Equity and Universality: Liber Amicorum Georges Abi-Saab</w:t>
      </w:r>
      <w:r w:rsidRPr="00BF42B7">
        <w:rPr>
          <w:snapToGrid/>
          <w:lang w:eastAsia="en-US"/>
        </w:rPr>
        <w:t>. (The Hague, Martinus Nijhoff, 2001), 335</w:t>
      </w:r>
    </w:p>
    <w:p w:rsidR="000B444F" w:rsidRPr="00BF42B7" w:rsidRDefault="000B444F" w:rsidP="000B444F">
      <w:pPr>
        <w:tabs>
          <w:tab w:val="clear" w:pos="431"/>
          <w:tab w:val="left" w:pos="1134"/>
          <w:tab w:val="left" w:pos="1565"/>
          <w:tab w:val="left" w:pos="1996"/>
          <w:tab w:val="left" w:pos="2427"/>
        </w:tabs>
        <w:spacing w:after="120" w:line="240" w:lineRule="exact"/>
        <w:ind w:left="1134" w:right="1134"/>
        <w:rPr>
          <w:snapToGrid/>
          <w:lang w:val="cs-CZ" w:eastAsia="en-US"/>
        </w:rPr>
      </w:pPr>
      <w:r w:rsidRPr="00BF42B7">
        <w:rPr>
          <w:snapToGrid/>
          <w:lang w:val="cs-CZ" w:eastAsia="en-US"/>
        </w:rPr>
        <w:t xml:space="preserve">P. Šturma, P., </w:t>
      </w:r>
      <w:r w:rsidRPr="00BF42B7">
        <w:rPr>
          <w:snapToGrid/>
          <w:lang w:val="en-GB" w:eastAsia="en-US"/>
        </w:rPr>
        <w:t>“</w:t>
      </w:r>
      <w:r w:rsidRPr="00BF42B7">
        <w:rPr>
          <w:snapToGrid/>
          <w:lang w:val="cs-CZ" w:eastAsia="en-US"/>
        </w:rPr>
        <w:t>State Succession in Respect of International Responsibility</w:t>
      </w:r>
      <w:r w:rsidRPr="00BF42B7">
        <w:rPr>
          <w:snapToGrid/>
          <w:lang w:eastAsia="en-US"/>
        </w:rPr>
        <w:t>”</w:t>
      </w:r>
      <w:r w:rsidRPr="00BF42B7">
        <w:rPr>
          <w:snapToGrid/>
          <w:lang w:val="cs-CZ" w:eastAsia="en-US"/>
        </w:rPr>
        <w:t xml:space="preserve">, </w:t>
      </w:r>
      <w:r w:rsidRPr="00BF42B7">
        <w:rPr>
          <w:i/>
          <w:iCs/>
          <w:snapToGrid/>
          <w:lang w:val="cs-CZ" w:eastAsia="en-US"/>
        </w:rPr>
        <w:t>The Geo. Wash. Int’l L. Rev.</w:t>
      </w:r>
      <w:r w:rsidRPr="00BF42B7">
        <w:rPr>
          <w:snapToGrid/>
          <w:lang w:val="cs-CZ" w:eastAsia="en-US"/>
        </w:rPr>
        <w:t xml:space="preserve">, vol. 48 (2016), 653 </w:t>
      </w:r>
    </w:p>
    <w:p w:rsidR="000B444F" w:rsidRPr="00BF42B7" w:rsidRDefault="000B444F" w:rsidP="000B444F">
      <w:pPr>
        <w:tabs>
          <w:tab w:val="clear" w:pos="431"/>
          <w:tab w:val="left" w:pos="1134"/>
          <w:tab w:val="left" w:pos="1565"/>
          <w:tab w:val="left" w:pos="1996"/>
          <w:tab w:val="left" w:pos="2427"/>
        </w:tabs>
        <w:spacing w:after="120" w:line="240" w:lineRule="exact"/>
        <w:ind w:left="1134" w:right="1134"/>
        <w:rPr>
          <w:snapToGrid/>
          <w:lang w:eastAsia="en-US"/>
        </w:rPr>
      </w:pPr>
      <w:r w:rsidRPr="00BF42B7">
        <w:rPr>
          <w:snapToGrid/>
          <w:lang w:eastAsia="en-US"/>
        </w:rPr>
        <w:t xml:space="preserve">P.C. Szasz, “Comment on the genocide case (preliminary objections)”, </w:t>
      </w:r>
      <w:r w:rsidRPr="00BF42B7">
        <w:rPr>
          <w:i/>
          <w:iCs/>
          <w:snapToGrid/>
          <w:lang w:eastAsia="en-US"/>
        </w:rPr>
        <w:t>Leiden Journal of International Law</w:t>
      </w:r>
      <w:r w:rsidRPr="00BF42B7">
        <w:rPr>
          <w:snapToGrid/>
          <w:lang w:eastAsia="en-US"/>
        </w:rPr>
        <w:t xml:space="preserve"> 10 (1997), 163</w:t>
      </w:r>
    </w:p>
    <w:p w:rsidR="000B444F" w:rsidRPr="00BF42B7" w:rsidRDefault="000B444F" w:rsidP="000B444F">
      <w:pPr>
        <w:tabs>
          <w:tab w:val="clear" w:pos="431"/>
          <w:tab w:val="left" w:pos="1134"/>
          <w:tab w:val="left" w:pos="1565"/>
          <w:tab w:val="left" w:pos="1996"/>
          <w:tab w:val="left" w:pos="2427"/>
        </w:tabs>
        <w:spacing w:after="120" w:line="240" w:lineRule="exact"/>
        <w:ind w:left="1134" w:right="1134"/>
        <w:rPr>
          <w:snapToGrid/>
          <w:lang w:eastAsia="en-US"/>
        </w:rPr>
      </w:pPr>
      <w:r w:rsidRPr="00BF42B7">
        <w:rPr>
          <w:snapToGrid/>
          <w:lang w:eastAsia="en-US"/>
        </w:rPr>
        <w:t xml:space="preserve">M.J. Volkovitch, “Towards a New Theory of State Succession to Responsibility for International Delicts”, </w:t>
      </w:r>
      <w:r w:rsidRPr="00BF42B7">
        <w:rPr>
          <w:i/>
          <w:iCs/>
          <w:snapToGrid/>
          <w:lang w:eastAsia="en-US"/>
        </w:rPr>
        <w:t>Columbia Law Review</w:t>
      </w:r>
      <w:r w:rsidRPr="00BF42B7">
        <w:rPr>
          <w:snapToGrid/>
          <w:lang w:eastAsia="en-US"/>
        </w:rPr>
        <w:t xml:space="preserve"> 92 (1992), 2166</w:t>
      </w:r>
    </w:p>
    <w:p w:rsidR="000B444F" w:rsidRPr="00BF42B7" w:rsidRDefault="000B444F" w:rsidP="000B444F">
      <w:pPr>
        <w:tabs>
          <w:tab w:val="clear" w:pos="431"/>
          <w:tab w:val="left" w:pos="1134"/>
          <w:tab w:val="left" w:pos="1565"/>
          <w:tab w:val="left" w:pos="1996"/>
          <w:tab w:val="left" w:pos="2427"/>
        </w:tabs>
        <w:spacing w:after="120" w:line="240" w:lineRule="exact"/>
        <w:ind w:left="1134" w:right="1134"/>
        <w:rPr>
          <w:snapToGrid/>
          <w:lang w:eastAsia="en-US"/>
        </w:rPr>
      </w:pPr>
      <w:r w:rsidRPr="00BF42B7">
        <w:rPr>
          <w:snapToGrid/>
          <w:lang w:eastAsia="en-US"/>
        </w:rPr>
        <w:t xml:space="preserve">B.H. Weston, R.B. Lillich, D.J. Bederman, </w:t>
      </w:r>
      <w:r w:rsidRPr="00BF42B7">
        <w:rPr>
          <w:i/>
          <w:iCs/>
          <w:snapToGrid/>
          <w:lang w:eastAsia="en-US"/>
        </w:rPr>
        <w:t>International Claims: Their Settlement by Lump Sum Agreements</w:t>
      </w:r>
      <w:r w:rsidRPr="00BF42B7">
        <w:rPr>
          <w:snapToGrid/>
          <w:lang w:eastAsia="en-US"/>
        </w:rPr>
        <w:t xml:space="preserve"> (Ardsley, N.Y.: Transnational Publ., 1999)</w:t>
      </w:r>
    </w:p>
    <w:p w:rsidR="000B444F" w:rsidRPr="00BF42B7" w:rsidRDefault="000B444F" w:rsidP="000B444F">
      <w:pPr>
        <w:tabs>
          <w:tab w:val="clear" w:pos="431"/>
          <w:tab w:val="left" w:pos="1134"/>
          <w:tab w:val="left" w:pos="1565"/>
          <w:tab w:val="left" w:pos="1996"/>
          <w:tab w:val="left" w:pos="2427"/>
        </w:tabs>
        <w:spacing w:after="120" w:line="240" w:lineRule="exact"/>
        <w:ind w:left="1134" w:right="1134"/>
        <w:rPr>
          <w:snapToGrid/>
          <w:lang w:eastAsia="en-US"/>
        </w:rPr>
      </w:pPr>
      <w:r w:rsidRPr="00BF42B7">
        <w:rPr>
          <w:snapToGrid/>
          <w:lang w:eastAsia="en-US"/>
        </w:rPr>
        <w:t xml:space="preserve">M.M. Whiteman, </w:t>
      </w:r>
      <w:r w:rsidRPr="00BF42B7">
        <w:rPr>
          <w:i/>
          <w:iCs/>
          <w:snapToGrid/>
          <w:lang w:eastAsia="en-US"/>
        </w:rPr>
        <w:t>Digest of International Law</w:t>
      </w:r>
      <w:r w:rsidRPr="00BF42B7">
        <w:rPr>
          <w:snapToGrid/>
          <w:lang w:eastAsia="en-US"/>
        </w:rPr>
        <w:t>, vol. II (Washington, 1973)</w:t>
      </w:r>
    </w:p>
    <w:p w:rsidR="000B444F" w:rsidRPr="00BF42B7" w:rsidRDefault="000B444F" w:rsidP="000B444F">
      <w:pPr>
        <w:tabs>
          <w:tab w:val="clear" w:pos="431"/>
          <w:tab w:val="left" w:pos="1134"/>
          <w:tab w:val="left" w:pos="1565"/>
          <w:tab w:val="left" w:pos="1996"/>
          <w:tab w:val="left" w:pos="2427"/>
        </w:tabs>
        <w:spacing w:after="120" w:line="240" w:lineRule="exact"/>
        <w:ind w:left="1134" w:right="1134"/>
        <w:rPr>
          <w:snapToGrid/>
          <w:lang w:eastAsia="en-US"/>
        </w:rPr>
      </w:pPr>
      <w:r w:rsidRPr="00BF42B7">
        <w:rPr>
          <w:snapToGrid/>
          <w:lang w:eastAsia="en-US"/>
        </w:rPr>
        <w:t xml:space="preserve">I. Ziemele, “State continuity, succession and responsibility: reparations to the Baltic States and their Peoples”, </w:t>
      </w:r>
      <w:r w:rsidRPr="00BF42B7">
        <w:rPr>
          <w:i/>
          <w:iCs/>
          <w:snapToGrid/>
          <w:lang w:eastAsia="en-US"/>
        </w:rPr>
        <w:t>Baltic YBIL</w:t>
      </w:r>
      <w:r w:rsidRPr="00BF42B7">
        <w:rPr>
          <w:snapToGrid/>
          <w:lang w:eastAsia="en-US"/>
        </w:rPr>
        <w:t xml:space="preserve"> 3 (2003), 165</w:t>
      </w:r>
    </w:p>
    <w:p w:rsidR="000B444F" w:rsidRPr="00BF42B7" w:rsidRDefault="000B444F" w:rsidP="000B444F">
      <w:pPr>
        <w:tabs>
          <w:tab w:val="clear" w:pos="431"/>
          <w:tab w:val="left" w:pos="1134"/>
          <w:tab w:val="left" w:pos="1565"/>
          <w:tab w:val="left" w:pos="1996"/>
          <w:tab w:val="left" w:pos="2427"/>
        </w:tabs>
        <w:spacing w:after="120" w:line="240" w:lineRule="exact"/>
        <w:ind w:left="1134" w:right="1134"/>
        <w:rPr>
          <w:snapToGrid/>
          <w:lang w:eastAsia="en-US"/>
        </w:rPr>
      </w:pPr>
    </w:p>
    <w:p w:rsidR="008022D4" w:rsidRPr="002D6A9C" w:rsidRDefault="008022D4">
      <w:pPr>
        <w:spacing w:before="240"/>
        <w:jc w:val="center"/>
        <w:rPr>
          <w:u w:val="single"/>
        </w:rPr>
      </w:pPr>
      <w:r>
        <w:rPr>
          <w:rFonts w:hint="eastAsia"/>
          <w:u w:val="single"/>
        </w:rPr>
        <w:tab/>
      </w:r>
      <w:r>
        <w:rPr>
          <w:rFonts w:hint="eastAsia"/>
          <w:u w:val="single"/>
        </w:rPr>
        <w:tab/>
      </w:r>
      <w:r>
        <w:rPr>
          <w:rFonts w:hint="eastAsia"/>
          <w:u w:val="single"/>
        </w:rPr>
        <w:tab/>
      </w:r>
      <w:r>
        <w:rPr>
          <w:u w:val="single"/>
        </w:rPr>
        <w:tab/>
      </w:r>
    </w:p>
    <w:p w:rsidR="008022D4" w:rsidRPr="00BF42B7" w:rsidRDefault="004A5FDC" w:rsidP="00790CCC">
      <w:pPr>
        <w:pStyle w:val="SingleTxtGC"/>
        <w:rPr>
          <w:rFonts w:asciiTheme="majorBidi" w:eastAsiaTheme="minorEastAsia" w:hAnsiTheme="majorBidi" w:cstheme="majorBidi"/>
          <w:szCs w:val="21"/>
        </w:rPr>
      </w:pPr>
      <w:r w:rsidRPr="004A5FDC">
        <w:rPr>
          <w:rFonts w:asciiTheme="majorBidi" w:eastAsiaTheme="minorEastAsia" w:hAnsiTheme="majorBidi" w:cstheme="majorBidi"/>
          <w:noProof/>
          <w:szCs w:val="21"/>
        </w:rPr>
        <mc:AlternateContent>
          <mc:Choice Requires="wps">
            <w:drawing>
              <wp:anchor distT="0" distB="0" distL="114300" distR="114300" simplePos="0" relativeHeight="251660288" behindDoc="0" locked="0" layoutInCell="1" allowOverlap="1" wp14:anchorId="41A32595" wp14:editId="2AE5AF9B">
                <wp:simplePos x="0" y="0"/>
                <wp:positionH relativeFrom="column">
                  <wp:posOffset>4788535</wp:posOffset>
                </wp:positionH>
                <wp:positionV relativeFrom="paragraph">
                  <wp:posOffset>6502555</wp:posOffset>
                </wp:positionV>
                <wp:extent cx="1330713" cy="401444"/>
                <wp:effectExtent l="0" t="0" r="22225" b="1778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713" cy="401444"/>
                        </a:xfrm>
                        <a:prstGeom prst="rect">
                          <a:avLst/>
                        </a:prstGeom>
                        <a:solidFill>
                          <a:srgbClr val="FFFFFF"/>
                        </a:solidFill>
                        <a:ln w="9525">
                          <a:solidFill>
                            <a:srgbClr val="000000"/>
                          </a:solidFill>
                          <a:miter lim="800000"/>
                          <a:headEnd/>
                          <a:tailEnd/>
                        </a:ln>
                      </wps:spPr>
                      <wps:txbx>
                        <w:txbxContent>
                          <w:p w:rsidR="00AB00DE" w:rsidRDefault="00AB00DE" w:rsidP="004A5FDC">
                            <w:pPr>
                              <w:jc w:val="right"/>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377.05pt;margin-top:512pt;width:104.8pt;height:3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">
                <v:textbox inset="0,0,0,0">
                  <w:txbxContent>
                    <w:p w:rsidR="00AB00DE" w:rsidRDefault="00AB00DE" w:rsidP="004A5FDC">
                      <w:pPr>
                        <w:jc w:val="right"/>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p>
                  </w:txbxContent>
                </v:textbox>
              </v:shape>
            </w:pict>
          </mc:Fallback>
        </mc:AlternateContent>
      </w:r>
    </w:p>
    <w:sectPr w:rsidR="008022D4" w:rsidRPr="00BF42B7" w:rsidSect="000E6A33">
      <w:footnotePr>
        <w:numRestart w:val="eachSect"/>
      </w:footnotePr>
      <w:endnotePr>
        <w:numFmt w:val="decimal"/>
      </w:endnotePr>
      <w:pgSz w:w="11906" w:h="16838" w:code="9"/>
      <w:pgMar w:top="1701" w:right="1134" w:bottom="2268" w:left="1134" w:header="1134" w:footer="1701"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0DE" w:rsidRDefault="00AB00DE" w:rsidP="00351FD7">
      <w:pPr>
        <w:pStyle w:val="ab"/>
        <w:spacing w:after="240"/>
        <w:ind w:left="907"/>
        <w:rPr>
          <w:rFonts w:eastAsia="楷体_GB2312"/>
          <w:sz w:val="21"/>
          <w:szCs w:val="21"/>
          <w:lang w:eastAsia="zh-CN"/>
        </w:rPr>
      </w:pPr>
    </w:p>
    <w:p w:rsidR="00AB00DE" w:rsidRPr="00351FD7" w:rsidRDefault="00AB00DE" w:rsidP="00351FD7">
      <w:pPr>
        <w:pStyle w:val="ab"/>
        <w:spacing w:after="240"/>
        <w:ind w:left="907"/>
        <w:rPr>
          <w:rFonts w:eastAsia="楷体_GB2312"/>
          <w:sz w:val="21"/>
          <w:szCs w:val="21"/>
        </w:rPr>
      </w:pPr>
      <w:r w:rsidRPr="00351FD7">
        <w:rPr>
          <w:rFonts w:eastAsia="楷体_GB2312" w:hint="eastAsia"/>
          <w:sz w:val="21"/>
          <w:szCs w:val="21"/>
          <w:lang w:eastAsia="zh-CN"/>
        </w:rPr>
        <w:t>注</w:t>
      </w:r>
    </w:p>
  </w:endnote>
  <w:endnote w:type="continuationSeparator" w:id="0">
    <w:p w:rsidR="00AB00DE" w:rsidRPr="001C5F0C" w:rsidRDefault="00AB00DE" w:rsidP="001C5F0C">
      <w:pPr>
        <w:pStyle w:val="ab"/>
      </w:pPr>
    </w:p>
  </w:endnote>
  <w:endnote w:type="continuationNotice" w:id="1">
    <w:p w:rsidR="00AB00DE" w:rsidRDefault="00AB00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auto"/>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Lucida Grande">
    <w:altName w:val="Arial"/>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Time New Roman">
    <w:altName w:val="Times New Roman"/>
    <w:panose1 w:val="00000000000000000000"/>
    <w:charset w:val="00"/>
    <w:family w:val="roman"/>
    <w:notTrueType/>
    <w:pitch w:val="default"/>
  </w:font>
  <w:font w:name="楷体">
    <w:panose1 w:val="02010609060101010101"/>
    <w:charset w:val="86"/>
    <w:family w:val="modern"/>
    <w:pitch w:val="fixed"/>
    <w:sig w:usb0="800002BF" w:usb1="38CF7CFA" w:usb2="00000016" w:usb3="00000000" w:csb0="00040001" w:csb1="00000000"/>
  </w:font>
  <w:font w:name="Songti SC Regular">
    <w:altName w:val="Arial Unicode MS"/>
    <w:charset w:val="50"/>
    <w:family w:val="auto"/>
    <w:pitch w:val="variable"/>
    <w:sig w:usb0="00000287" w:usb1="080F0000" w:usb2="00000010" w:usb3="00000000" w:csb0="0004009F" w:csb1="00000000"/>
  </w:font>
  <w:font w:name="Sylfaen">
    <w:panose1 w:val="010A0502050306030303"/>
    <w:charset w:val="00"/>
    <w:family w:val="roman"/>
    <w:pitch w:val="variable"/>
    <w:sig w:usb0="04000687" w:usb1="00000000" w:usb2="00000000" w:usb3="00000000" w:csb0="0000009F" w:csb1="00000000"/>
  </w:font>
  <w:font w:name="S">
    <w:altName w:val="Times New Roman"/>
    <w:panose1 w:val="00000000000000000000"/>
    <w:charset w:val="00"/>
    <w:family w:val="roman"/>
    <w:notTrueType/>
    <w:pitch w:val="default"/>
  </w:font>
  <w:font w:name="GaramondC-Light">
    <w:altName w:val="Times New Roman"/>
    <w:panose1 w:val="00000000000000000000"/>
    <w:charset w:val="CC"/>
    <w:family w:val="auto"/>
    <w:notTrueType/>
    <w:pitch w:val="default"/>
    <w:sig w:usb0="00000201" w:usb1="00000000" w:usb2="00000000" w:usb3="00000000" w:csb0="00000004" w:csb1="00000000"/>
  </w:font>
  <w:font w:name="华文楷体">
    <w:panose1 w:val="02010600040101010101"/>
    <w:charset w:val="86"/>
    <w:family w:val="auto"/>
    <w:pitch w:val="variable"/>
    <w:sig w:usb0="00000287" w:usb1="080F0000" w:usb2="00000010" w:usb3="00000000" w:csb0="0004009F" w:csb1="00000000"/>
  </w:font>
  <w:font w:name="MS PMincho">
    <w:panose1 w:val="02020600040205080304"/>
    <w:charset w:val="80"/>
    <w:family w:val="roman"/>
    <w:pitch w:val="variable"/>
    <w:sig w:usb0="A00002BF" w:usb1="68C7FCFB" w:usb2="00000010" w:usb3="00000000" w:csb0="0002009F" w:csb1="00000000"/>
  </w:font>
  <w:font w:name="Arial Unicode MS">
    <w:panose1 w:val="020B0604020202020204"/>
    <w:charset w:val="86"/>
    <w:family w:val="swiss"/>
    <w:pitch w:val="variable"/>
    <w:sig w:usb0="F7FFAFFF" w:usb1="E9DFFFFF" w:usb2="0000003F" w:usb3="00000000" w:csb0="001F00FF" w:csb1="00000000"/>
  </w:font>
  <w:font w:name="MS PGothic">
    <w:panose1 w:val="020B0600070205080204"/>
    <w:charset w:val="80"/>
    <w:family w:val="swiss"/>
    <w:pitch w:val="variable"/>
    <w:sig w:usb0="E00002FF" w:usb1="6AC7FDFB" w:usb2="00000012" w:usb3="00000000" w:csb0="0002009F" w:csb1="00000000"/>
  </w:font>
  <w:font w:name="Times,Times New Roman">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BatangChe">
    <w:panose1 w:val="02030609000101010101"/>
    <w:charset w:val="81"/>
    <w:family w:val="modern"/>
    <w:pitch w:val="fixed"/>
    <w:sig w:usb0="B00002AF" w:usb1="69D77CFB" w:usb2="00000030" w:usb3="00000000" w:csb0="0008009F" w:csb1="00000000"/>
  </w:font>
  <w:font w:name="C39T30Lfz">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0DE" w:rsidRPr="00487939" w:rsidRDefault="00AB00DE" w:rsidP="00EC67D4">
    <w:pPr>
      <w:pStyle w:val="ab"/>
      <w:tabs>
        <w:tab w:val="clear" w:pos="431"/>
        <w:tab w:val="left" w:pos="7371"/>
        <w:tab w:val="right" w:pos="8450"/>
      </w:tabs>
      <w:rPr>
        <w:sz w:val="20"/>
        <w:lang w:val="en-US" w:eastAsia="zh-CN"/>
      </w:rPr>
    </w:pPr>
    <w:r>
      <w:rPr>
        <w:b/>
        <w:noProof/>
        <w:snapToGrid/>
        <w:sz w:val="21"/>
        <w:lang w:val="en-US" w:eastAsia="zh-CN"/>
      </w:rPr>
      <w:drawing>
        <wp:anchor distT="0" distB="0" distL="114300" distR="114300" simplePos="0" relativeHeight="251659264" behindDoc="0" locked="0" layoutInCell="1" allowOverlap="1" wp14:anchorId="64B1AB45" wp14:editId="0F04638A">
          <wp:simplePos x="0" y="0"/>
          <wp:positionH relativeFrom="column">
            <wp:align>right</wp:align>
          </wp:positionH>
          <wp:positionV relativeFrom="paragraph">
            <wp:posOffset>-310515</wp:posOffset>
          </wp:positionV>
          <wp:extent cx="638175" cy="638175"/>
          <wp:effectExtent l="0" t="0" r="9525" b="9525"/>
          <wp:wrapNone/>
          <wp:docPr id="3" name="图片 1" descr="http://undocs.org/m2/QRCode.ashx?DS=A/71/10&amp;Size=2 &amp;Lan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ashx?DS=A/71/10&amp;Size=2 &amp;Lang=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1"/>
      </w:rPr>
      <w:tab/>
    </w:r>
    <w:r>
      <w:rPr>
        <w:rFonts w:hint="eastAsia"/>
        <w:b/>
        <w:noProof/>
        <w:sz w:val="21"/>
        <w:lang w:val="en-US" w:eastAsia="zh-CN"/>
      </w:rPr>
      <w:drawing>
        <wp:inline distT="0" distB="0" distL="0" distR="0" wp14:anchorId="366B6712" wp14:editId="515DF162">
          <wp:extent cx="618490" cy="228600"/>
          <wp:effectExtent l="0" t="0" r="0" b="0"/>
          <wp:docPr id="2" name="图片 2" descr="recycle_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recycle_Chine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8490" cy="228600"/>
                  </a:xfrm>
                  <a:prstGeom prst="rect">
                    <a:avLst/>
                  </a:prstGeom>
                  <a:noFill/>
                  <a:ln>
                    <a:noFill/>
                  </a:ln>
                </pic:spPr>
              </pic:pic>
            </a:graphicData>
          </a:graphic>
        </wp:inline>
      </w:drawing>
    </w:r>
  </w:p>
  <w:p w:rsidR="00AB00DE" w:rsidRDefault="00AB00DE">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0DE" w:rsidRDefault="00AB00DE">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0DE" w:rsidRDefault="00AB00DE">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0DE" w:rsidRPr="00E43C2A" w:rsidRDefault="00AB00DE" w:rsidP="00E43C2A">
    <w:pPr>
      <w:pStyle w:val="ab"/>
      <w:rPr>
        <w:rFonts w:eastAsiaTheme="minorEastAsia"/>
        <w:lang w:eastAsia="zh-CN"/>
      </w:rPr>
    </w:pPr>
    <w:r>
      <w:rPr>
        <w:rStyle w:val="ac"/>
      </w:rPr>
      <w:fldChar w:fldCharType="begin"/>
    </w:r>
    <w:r>
      <w:rPr>
        <w:rStyle w:val="ac"/>
      </w:rPr>
      <w:instrText xml:space="preserve"> PAGE </w:instrText>
    </w:r>
    <w:r>
      <w:rPr>
        <w:rStyle w:val="ac"/>
      </w:rPr>
      <w:fldChar w:fldCharType="separate"/>
    </w:r>
    <w:r w:rsidR="00A73EB9">
      <w:rPr>
        <w:rStyle w:val="ac"/>
        <w:noProof/>
      </w:rPr>
      <w:t>xii</w:t>
    </w:r>
    <w:r>
      <w:rPr>
        <w:rStyle w:val="ac"/>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0DE" w:rsidRDefault="00AB00DE" w:rsidP="00C73A42">
    <w:pPr>
      <w:pStyle w:val="ab"/>
      <w:tabs>
        <w:tab w:val="left" w:pos="1701"/>
        <w:tab w:val="left" w:pos="2552"/>
        <w:tab w:val="right" w:pos="9639"/>
      </w:tabs>
      <w:spacing w:before="360"/>
      <w:jc w:val="right"/>
    </w:pPr>
    <w:r>
      <w:rPr>
        <w:rFonts w:eastAsiaTheme="minorEastAsia" w:hint="eastAsia"/>
        <w:sz w:val="20"/>
        <w:lang w:eastAsia="zh-CN"/>
      </w:rPr>
      <w:tab/>
    </w:r>
    <w:r>
      <w:rPr>
        <w:rStyle w:val="ac"/>
      </w:rPr>
      <w:fldChar w:fldCharType="begin"/>
    </w:r>
    <w:r>
      <w:rPr>
        <w:rStyle w:val="ac"/>
      </w:rPr>
      <w:instrText xml:space="preserve"> PAGE </w:instrText>
    </w:r>
    <w:r>
      <w:rPr>
        <w:rStyle w:val="ac"/>
      </w:rPr>
      <w:fldChar w:fldCharType="separate"/>
    </w:r>
    <w:r w:rsidR="00A73EB9">
      <w:rPr>
        <w:rStyle w:val="ac"/>
        <w:noProof/>
      </w:rPr>
      <w:t>xi</w:t>
    </w:r>
    <w:r>
      <w:rPr>
        <w:rStyle w:val="ac"/>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0DE" w:rsidRPr="00C73A42" w:rsidRDefault="00AB00DE" w:rsidP="00C73A42">
    <w:pPr>
      <w:pStyle w:val="ab"/>
      <w:tabs>
        <w:tab w:val="left" w:pos="1701"/>
        <w:tab w:val="left" w:pos="2552"/>
        <w:tab w:val="right" w:pos="9639"/>
      </w:tabs>
      <w:spacing w:before="360"/>
      <w:rPr>
        <w:rFonts w:eastAsiaTheme="minorEastAsia"/>
        <w:lang w:eastAsia="zh-CN"/>
      </w:rPr>
    </w:pPr>
    <w:r>
      <w:rPr>
        <w:sz w:val="20"/>
        <w:lang w:eastAsia="zh-CN"/>
      </w:rPr>
      <w:t>GE.16-14345</w:t>
    </w:r>
    <w:r w:rsidRPr="00EE277A">
      <w:rPr>
        <w:sz w:val="20"/>
        <w:lang w:eastAsia="zh-CN"/>
      </w:rPr>
      <w:t xml:space="preserve"> (C)</w:t>
    </w:r>
    <w:r>
      <w:rPr>
        <w:sz w:val="20"/>
        <w:lang w:eastAsia="zh-CN"/>
      </w:rPr>
      <w:tab/>
    </w:r>
    <w:r>
      <w:rPr>
        <w:rFonts w:eastAsiaTheme="minorEastAsia" w:hint="eastAsia"/>
        <w:sz w:val="20"/>
        <w:lang w:eastAsia="zh-CN"/>
      </w:rPr>
      <w:t>1409</w:t>
    </w:r>
    <w:r>
      <w:rPr>
        <w:sz w:val="20"/>
        <w:lang w:eastAsia="zh-CN"/>
      </w:rPr>
      <w:t>1</w:t>
    </w:r>
    <w:r>
      <w:rPr>
        <w:rFonts w:eastAsiaTheme="minorEastAsia"/>
        <w:sz w:val="20"/>
        <w:lang w:eastAsia="zh-CN"/>
      </w:rPr>
      <w:t>6</w:t>
    </w:r>
    <w:r>
      <w:rPr>
        <w:sz w:val="20"/>
        <w:lang w:eastAsia="zh-CN"/>
      </w:rPr>
      <w:tab/>
    </w:r>
    <w:r w:rsidR="00C60ABA">
      <w:rPr>
        <w:rFonts w:eastAsiaTheme="minorEastAsia" w:hint="eastAsia"/>
        <w:sz w:val="20"/>
        <w:lang w:eastAsia="zh-CN"/>
      </w:rPr>
      <w:t>1</w:t>
    </w:r>
    <w:r w:rsidR="00C60ABA">
      <w:rPr>
        <w:rFonts w:eastAsiaTheme="minorEastAsia"/>
        <w:sz w:val="20"/>
        <w:lang w:eastAsia="zh-CN"/>
      </w:rPr>
      <w:t>9</w:t>
    </w:r>
    <w:r>
      <w:rPr>
        <w:rFonts w:eastAsiaTheme="minorEastAsia" w:hint="eastAsia"/>
        <w:sz w:val="20"/>
        <w:lang w:eastAsia="zh-CN"/>
      </w:rPr>
      <w:t>09</w:t>
    </w:r>
    <w:r>
      <w:rPr>
        <w:sz w:val="20"/>
        <w:lang w:eastAsia="zh-CN"/>
      </w:rPr>
      <w:t>1</w:t>
    </w:r>
    <w:r>
      <w:rPr>
        <w:rFonts w:eastAsiaTheme="minorEastAsia"/>
        <w:sz w:val="20"/>
        <w:lang w:eastAsia="zh-CN"/>
      </w:rPr>
      <w:t>6</w:t>
    </w:r>
    <w:r>
      <w:rPr>
        <w:rFonts w:eastAsiaTheme="minorEastAsia" w:hint="eastAsia"/>
        <w:sz w:val="20"/>
        <w:lang w:eastAsia="zh-CN"/>
      </w:rPr>
      <w:tab/>
    </w:r>
    <w:r>
      <w:rPr>
        <w:rStyle w:val="ac"/>
      </w:rPr>
      <w:fldChar w:fldCharType="begin"/>
    </w:r>
    <w:r>
      <w:rPr>
        <w:rStyle w:val="ac"/>
      </w:rPr>
      <w:instrText xml:space="preserve"> PAGE </w:instrText>
    </w:r>
    <w:r>
      <w:rPr>
        <w:rStyle w:val="ac"/>
      </w:rPr>
      <w:fldChar w:fldCharType="separate"/>
    </w:r>
    <w:r w:rsidR="00A73EB9">
      <w:rPr>
        <w:rStyle w:val="ac"/>
        <w:noProof/>
      </w:rPr>
      <w:t>iii</w:t>
    </w:r>
    <w:r>
      <w:rPr>
        <w:rStyle w:val="ac"/>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0DE" w:rsidRPr="00C222FC" w:rsidRDefault="00AB00DE" w:rsidP="00C222FC">
    <w:pPr>
      <w:pStyle w:val="ab"/>
      <w:tabs>
        <w:tab w:val="clear" w:pos="431"/>
        <w:tab w:val="right" w:pos="9645"/>
      </w:tabs>
      <w:rPr>
        <w:rFonts w:eastAsia="宋体"/>
        <w:lang w:eastAsia="zh-CN"/>
      </w:rPr>
    </w:pPr>
    <w:r>
      <w:rPr>
        <w:rStyle w:val="ac"/>
      </w:rPr>
      <w:fldChar w:fldCharType="begin"/>
    </w:r>
    <w:r>
      <w:rPr>
        <w:rStyle w:val="ac"/>
      </w:rPr>
      <w:instrText xml:space="preserve"> PAGE </w:instrText>
    </w:r>
    <w:r>
      <w:rPr>
        <w:rStyle w:val="ac"/>
      </w:rPr>
      <w:fldChar w:fldCharType="separate"/>
    </w:r>
    <w:r w:rsidR="00A73EB9">
      <w:rPr>
        <w:rStyle w:val="ac"/>
        <w:noProof/>
      </w:rPr>
      <w:t>394</w:t>
    </w:r>
    <w:r>
      <w:rPr>
        <w:rStyle w:val="ac"/>
      </w:rPr>
      <w:fldChar w:fldCharType="end"/>
    </w:r>
    <w:r>
      <w:rPr>
        <w:rFonts w:eastAsia="宋体" w:hint="eastAsia"/>
        <w:lang w:eastAsia="zh-CN"/>
      </w:rPr>
      <w:tab/>
    </w:r>
    <w:r w:rsidRPr="007B0D3C">
      <w:t>GE.</w:t>
    </w:r>
    <w:r w:rsidRPr="007B0D3C">
      <w:rPr>
        <w:rFonts w:eastAsia="宋体"/>
        <w:lang w:eastAsia="zh-CN"/>
      </w:rPr>
      <w:t>1</w:t>
    </w:r>
    <w:r>
      <w:rPr>
        <w:rFonts w:eastAsia="宋体" w:hint="eastAsia"/>
        <w:lang w:eastAsia="zh-CN"/>
      </w:rPr>
      <w:t>6</w:t>
    </w:r>
    <w:r w:rsidRPr="007B0D3C">
      <w:t>-</w:t>
    </w:r>
    <w:r>
      <w:rPr>
        <w:rFonts w:eastAsia="宋体" w:hint="eastAsia"/>
        <w:lang w:eastAsia="zh-CN"/>
      </w:rPr>
      <w:t>14345</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0DE" w:rsidRPr="00C222FC" w:rsidRDefault="00AB00DE" w:rsidP="00C222FC">
    <w:pPr>
      <w:pStyle w:val="ab"/>
      <w:tabs>
        <w:tab w:val="clear" w:pos="431"/>
        <w:tab w:val="right" w:pos="9620"/>
      </w:tabs>
      <w:rPr>
        <w:rFonts w:eastAsiaTheme="minorEastAsia"/>
        <w:lang w:eastAsia="zh-CN"/>
      </w:rPr>
    </w:pPr>
    <w:r>
      <w:t>GE.</w:t>
    </w:r>
    <w:r w:rsidRPr="007B0D3C">
      <w:rPr>
        <w:rFonts w:eastAsia="宋体"/>
        <w:lang w:eastAsia="zh-CN"/>
      </w:rPr>
      <w:t>1</w:t>
    </w:r>
    <w:r>
      <w:rPr>
        <w:rFonts w:eastAsia="宋体" w:hint="eastAsia"/>
        <w:lang w:eastAsia="zh-CN"/>
      </w:rPr>
      <w:t>6</w:t>
    </w:r>
    <w:r>
      <w:t>-</w:t>
    </w:r>
    <w:r>
      <w:rPr>
        <w:rFonts w:eastAsiaTheme="minorEastAsia" w:hint="eastAsia"/>
        <w:lang w:eastAsia="zh-CN"/>
      </w:rPr>
      <w:t>14345</w:t>
    </w:r>
    <w:r>
      <w:rPr>
        <w:rFonts w:eastAsia="宋体" w:hint="eastAsia"/>
        <w:lang w:eastAsia="zh-CN"/>
      </w:rPr>
      <w:tab/>
    </w:r>
    <w:r>
      <w:rPr>
        <w:rStyle w:val="ac"/>
      </w:rPr>
      <w:fldChar w:fldCharType="begin"/>
    </w:r>
    <w:r>
      <w:rPr>
        <w:rStyle w:val="ac"/>
      </w:rPr>
      <w:instrText xml:space="preserve"> PAGE </w:instrText>
    </w:r>
    <w:r>
      <w:rPr>
        <w:rStyle w:val="ac"/>
      </w:rPr>
      <w:fldChar w:fldCharType="separate"/>
    </w:r>
    <w:r w:rsidR="00A73EB9">
      <w:rPr>
        <w:rStyle w:val="ac"/>
        <w:noProof/>
      </w:rPr>
      <w:t>375</w:t>
    </w:r>
    <w:r>
      <w:rPr>
        <w:rStyle w:val="ac"/>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0DE" w:rsidRPr="00327505" w:rsidRDefault="00AB00DE" w:rsidP="00327505">
    <w:pPr>
      <w:pStyle w:val="ab"/>
      <w:tabs>
        <w:tab w:val="clear" w:pos="431"/>
        <w:tab w:val="right" w:pos="9620"/>
      </w:tabs>
      <w:rPr>
        <w:rStyle w:val="ac"/>
        <w:rFonts w:eastAsiaTheme="minorEastAsia"/>
        <w:b w:val="0"/>
        <w:snapToGrid w:val="0"/>
        <w:sz w:val="16"/>
        <w:lang w:eastAsia="zh-CN"/>
      </w:rPr>
    </w:pPr>
    <w:r>
      <w:t>GE.</w:t>
    </w:r>
    <w:r w:rsidRPr="007B0D3C">
      <w:rPr>
        <w:rFonts w:eastAsia="宋体"/>
        <w:lang w:eastAsia="zh-CN"/>
      </w:rPr>
      <w:t>1</w:t>
    </w:r>
    <w:r>
      <w:rPr>
        <w:rFonts w:eastAsia="宋体" w:hint="eastAsia"/>
        <w:lang w:eastAsia="zh-CN"/>
      </w:rPr>
      <w:t>6</w:t>
    </w:r>
    <w:r>
      <w:t>-</w:t>
    </w:r>
    <w:r>
      <w:rPr>
        <w:rFonts w:eastAsiaTheme="minorEastAsia" w:hint="eastAsia"/>
        <w:lang w:eastAsia="zh-CN"/>
      </w:rPr>
      <w:t>14345</w:t>
    </w:r>
    <w:r>
      <w:rPr>
        <w:rFonts w:eastAsia="宋体" w:hint="eastAsia"/>
        <w:lang w:eastAsia="zh-CN"/>
      </w:rPr>
      <w:tab/>
    </w:r>
    <w:r>
      <w:rPr>
        <w:rStyle w:val="ac"/>
      </w:rPr>
      <w:fldChar w:fldCharType="begin"/>
    </w:r>
    <w:r>
      <w:rPr>
        <w:rStyle w:val="ac"/>
      </w:rPr>
      <w:instrText xml:space="preserve"> PAGE </w:instrText>
    </w:r>
    <w:r>
      <w:rPr>
        <w:rStyle w:val="ac"/>
      </w:rPr>
      <w:fldChar w:fldCharType="separate"/>
    </w:r>
    <w:r w:rsidR="00A73EB9">
      <w:rPr>
        <w:rStyle w:val="ac"/>
        <w:noProof/>
      </w:rPr>
      <w:t>395</w:t>
    </w:r>
    <w:r>
      <w:rPr>
        <w:rStyle w:val="ac"/>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0DE" w:rsidRPr="00A04C06" w:rsidRDefault="00AB00DE" w:rsidP="00A04C06">
      <w:pPr>
        <w:pStyle w:val="ab"/>
        <w:tabs>
          <w:tab w:val="clear" w:pos="431"/>
          <w:tab w:val="right" w:pos="2155"/>
        </w:tabs>
        <w:spacing w:after="80" w:line="240" w:lineRule="atLeast"/>
        <w:ind w:left="680"/>
        <w:rPr>
          <w:rFonts w:eastAsia="宋体"/>
          <w:u w:val="single"/>
          <w:lang w:eastAsia="zh-CN"/>
        </w:rPr>
      </w:pPr>
      <w:r>
        <w:rPr>
          <w:rFonts w:eastAsia="宋体" w:hint="eastAsia"/>
          <w:u w:val="single"/>
          <w:lang w:eastAsia="zh-CN"/>
        </w:rPr>
        <w:tab/>
      </w:r>
    </w:p>
  </w:footnote>
  <w:footnote w:type="continuationSeparator" w:id="0">
    <w:p w:rsidR="00AB00DE" w:rsidRPr="00A04C06" w:rsidRDefault="00AB00DE" w:rsidP="00A04C06">
      <w:pPr>
        <w:pStyle w:val="ab"/>
        <w:tabs>
          <w:tab w:val="clear" w:pos="431"/>
          <w:tab w:val="right" w:pos="2155"/>
        </w:tabs>
        <w:spacing w:after="80" w:line="240" w:lineRule="atLeast"/>
        <w:ind w:left="680"/>
        <w:rPr>
          <w:rFonts w:eastAsia="宋体"/>
          <w:u w:val="single"/>
          <w:lang w:eastAsia="zh-CN"/>
        </w:rPr>
      </w:pPr>
      <w:r>
        <w:rPr>
          <w:rFonts w:eastAsia="宋体" w:hint="eastAsia"/>
          <w:u w:val="single"/>
          <w:lang w:eastAsia="zh-CN"/>
        </w:rPr>
        <w:tab/>
      </w:r>
    </w:p>
  </w:footnote>
  <w:footnote w:type="continuationNotice" w:id="1">
    <w:p w:rsidR="00AB00DE" w:rsidRDefault="00AB00DE"/>
  </w:footnote>
  <w:footnote w:id="2">
    <w:p w:rsidR="00AB00DE" w:rsidRPr="00971B6C" w:rsidRDefault="00AB00DE" w:rsidP="00971B6C">
      <w:pPr>
        <w:pStyle w:val="a4"/>
        <w:tabs>
          <w:tab w:val="clear" w:pos="1021"/>
          <w:tab w:val="right" w:pos="1020"/>
        </w:tabs>
        <w:rPr>
          <w:sz w:val="21"/>
          <w:szCs w:val="21"/>
        </w:rPr>
      </w:pPr>
      <w:r w:rsidRPr="00971B6C">
        <w:rPr>
          <w:sz w:val="21"/>
          <w:szCs w:val="21"/>
        </w:rPr>
        <w:tab/>
      </w:r>
      <w:r w:rsidRPr="00DF5565">
        <w:rPr>
          <w:rStyle w:val="a5"/>
          <w:szCs w:val="21"/>
        </w:rPr>
        <w:footnoteRef/>
      </w:r>
      <w:r w:rsidRPr="00971B6C">
        <w:rPr>
          <w:sz w:val="21"/>
          <w:szCs w:val="21"/>
        </w:rPr>
        <w:tab/>
      </w:r>
      <w:r w:rsidRPr="00971B6C">
        <w:rPr>
          <w:rFonts w:ascii="宋体" w:hAnsi="宋体" w:cs="宋体" w:hint="eastAsia"/>
          <w:szCs w:val="18"/>
        </w:rPr>
        <w:t>卢修斯·卡弗利施先生、恩里克·坎迪奥蒂先生、莫里斯·卡姆托先生、贝恩德·尼豪斯先生、埃内斯特·彼得里奇先生、纳林德尔·辛格先生和努格罗霍·维斯努穆尔蒂先生。</w:t>
      </w:r>
    </w:p>
  </w:footnote>
  <w:footnote w:id="3">
    <w:p w:rsidR="00AB00DE" w:rsidRPr="00F43219" w:rsidRDefault="00AB00DE" w:rsidP="00103498">
      <w:pPr>
        <w:pStyle w:val="a4"/>
        <w:rPr>
          <w:szCs w:val="18"/>
        </w:rPr>
      </w:pPr>
      <w:r w:rsidRPr="00971B6C">
        <w:rPr>
          <w:rFonts w:hint="eastAsia"/>
          <w:sz w:val="21"/>
          <w:szCs w:val="21"/>
        </w:rPr>
        <w:tab/>
      </w:r>
      <w:r w:rsidRPr="00DF5565">
        <w:rPr>
          <w:rStyle w:val="a5"/>
          <w:szCs w:val="21"/>
        </w:rPr>
        <w:footnoteRef/>
      </w:r>
      <w:r w:rsidRPr="00971B6C">
        <w:rPr>
          <w:rFonts w:hint="eastAsia"/>
          <w:sz w:val="21"/>
          <w:szCs w:val="21"/>
        </w:rPr>
        <w:tab/>
      </w:r>
      <w:r w:rsidRPr="00F43219">
        <w:rPr>
          <w:rFonts w:ascii="宋体" w:hAnsi="宋体" w:cs="宋体" w:hint="eastAsia"/>
          <w:szCs w:val="18"/>
        </w:rPr>
        <w:t>康塞普西翁</w:t>
      </w:r>
      <w:r w:rsidRPr="00F43219">
        <w:rPr>
          <w:rFonts w:hint="eastAsia"/>
          <w:szCs w:val="18"/>
        </w:rPr>
        <w:t>·</w:t>
      </w:r>
      <w:r w:rsidRPr="00F43219">
        <w:rPr>
          <w:rFonts w:ascii="宋体" w:hAnsi="宋体" w:cs="宋体" w:hint="eastAsia"/>
          <w:szCs w:val="18"/>
        </w:rPr>
        <w:t>埃斯科瓦尔</w:t>
      </w:r>
      <w:r w:rsidRPr="00F43219">
        <w:rPr>
          <w:rFonts w:hint="eastAsia"/>
          <w:szCs w:val="18"/>
        </w:rPr>
        <w:t>·</w:t>
      </w:r>
      <w:r w:rsidRPr="00F43219">
        <w:rPr>
          <w:rFonts w:ascii="宋体" w:hAnsi="宋体" w:cs="宋体" w:hint="eastAsia"/>
          <w:szCs w:val="18"/>
        </w:rPr>
        <w:t>埃尔南德斯女士、胡安·曼努埃尔·戈麦斯－罗夫莱多先生、玛丽·雅各布松女士、村濑信也先生、肖恩·墨菲先生、格奥尔格·诺尔特先生、迪雷·特拉迪先生、爱德华多·巴伦西亚－奥斯皮纳先生和迈克尔·伍德先生。</w:t>
      </w:r>
    </w:p>
  </w:footnote>
  <w:footnote w:id="4">
    <w:p w:rsidR="00AB00DE" w:rsidRPr="000C2CE8" w:rsidRDefault="00AB00DE" w:rsidP="00103498">
      <w:pPr>
        <w:pStyle w:val="a4"/>
      </w:pPr>
      <w:r>
        <w:tab/>
      </w:r>
      <w:r w:rsidRPr="00DF5565">
        <w:rPr>
          <w:rStyle w:val="a5"/>
          <w:szCs w:val="21"/>
        </w:rPr>
        <w:footnoteRef/>
      </w:r>
      <w:r w:rsidRPr="00DF5565">
        <w:rPr>
          <w:rStyle w:val="a5"/>
          <w:szCs w:val="21"/>
        </w:rPr>
        <w:tab/>
      </w:r>
      <w:r>
        <w:rPr>
          <w:rFonts w:hint="eastAsia"/>
        </w:rPr>
        <w:t>《大会正式记录，第六十九届会议，补编第</w:t>
      </w:r>
      <w:r>
        <w:rPr>
          <w:rFonts w:hint="eastAsia"/>
        </w:rPr>
        <w:t>10</w:t>
      </w:r>
      <w:r>
        <w:rPr>
          <w:rFonts w:hint="eastAsia"/>
        </w:rPr>
        <w:t>号》</w:t>
      </w:r>
      <w:r w:rsidRPr="000C2CE8">
        <w:t>(</w:t>
      </w:r>
      <w:hyperlink r:id="rId1" w:history="1">
        <w:r w:rsidRPr="001D0F95">
          <w:rPr>
            <w:rStyle w:val="af"/>
          </w:rPr>
          <w:t>A/69/10</w:t>
        </w:r>
      </w:hyperlink>
      <w:r w:rsidRPr="000C2CE8">
        <w:t>)</w:t>
      </w:r>
      <w:r w:rsidRPr="000C2CE8">
        <w:rPr>
          <w:rFonts w:hint="eastAsia"/>
        </w:rPr>
        <w:t>，第</w:t>
      </w:r>
      <w:r w:rsidRPr="000C2CE8">
        <w:t>34</w:t>
      </w:r>
      <w:r w:rsidRPr="000C2CE8">
        <w:rPr>
          <w:rFonts w:hint="eastAsia"/>
        </w:rPr>
        <w:t>段。</w:t>
      </w:r>
    </w:p>
  </w:footnote>
  <w:footnote w:id="5">
    <w:p w:rsidR="00AB00DE" w:rsidRPr="000C2CE8" w:rsidRDefault="00AB00DE" w:rsidP="00103498">
      <w:pPr>
        <w:pStyle w:val="a4"/>
      </w:pPr>
      <w:r w:rsidRPr="000C2CE8">
        <w:rPr>
          <w:i/>
          <w:iCs/>
        </w:rPr>
        <w:tab/>
      </w:r>
      <w:r w:rsidRPr="00DF5565">
        <w:rPr>
          <w:rStyle w:val="a5"/>
          <w:szCs w:val="21"/>
        </w:rPr>
        <w:footnoteRef/>
      </w:r>
      <w:r w:rsidRPr="000C2CE8">
        <w:rPr>
          <w:i/>
          <w:iCs/>
        </w:rPr>
        <w:tab/>
      </w:r>
      <w:r w:rsidRPr="000C2CE8">
        <w:rPr>
          <w:rFonts w:hint="eastAsia"/>
        </w:rPr>
        <w:t>同上</w:t>
      </w:r>
      <w:r w:rsidRPr="000C2CE8">
        <w:rPr>
          <w:rFonts w:hint="eastAsia"/>
          <w:i/>
          <w:iCs/>
        </w:rPr>
        <w:t>，</w:t>
      </w:r>
      <w:r w:rsidRPr="000C2CE8">
        <w:rPr>
          <w:rFonts w:hint="eastAsia"/>
        </w:rPr>
        <w:t>第</w:t>
      </w:r>
      <w:r w:rsidRPr="000C2CE8">
        <w:t>27</w:t>
      </w:r>
      <w:r w:rsidRPr="000C2CE8">
        <w:rPr>
          <w:rFonts w:hint="eastAsia"/>
        </w:rPr>
        <w:t>段。</w:t>
      </w:r>
    </w:p>
  </w:footnote>
  <w:footnote w:id="6">
    <w:p w:rsidR="00AB00DE" w:rsidRPr="00D97463" w:rsidRDefault="00AB00DE" w:rsidP="00103498">
      <w:pPr>
        <w:pStyle w:val="a4"/>
      </w:pPr>
      <w:r w:rsidRPr="000C2CE8">
        <w:tab/>
      </w:r>
      <w:r w:rsidRPr="00DF5565">
        <w:rPr>
          <w:rStyle w:val="a5"/>
          <w:szCs w:val="21"/>
        </w:rPr>
        <w:footnoteRef/>
      </w:r>
      <w:r w:rsidRPr="000C2CE8">
        <w:tab/>
      </w:r>
      <w:r w:rsidRPr="000C2CE8">
        <w:rPr>
          <w:rFonts w:hint="eastAsia"/>
        </w:rPr>
        <w:t>同上，《第七十届会议，补编第</w:t>
      </w:r>
      <w:r w:rsidRPr="000C2CE8">
        <w:rPr>
          <w:rFonts w:hint="eastAsia"/>
        </w:rPr>
        <w:t>10</w:t>
      </w:r>
      <w:r w:rsidRPr="000C2CE8">
        <w:rPr>
          <w:rFonts w:hint="eastAsia"/>
        </w:rPr>
        <w:t>号》</w:t>
      </w:r>
      <w:r w:rsidRPr="000C2CE8">
        <w:t>(</w:t>
      </w:r>
      <w:hyperlink r:id="rId2" w:history="1">
        <w:r w:rsidRPr="001D0F95">
          <w:rPr>
            <w:rStyle w:val="af"/>
          </w:rPr>
          <w:t>A/70/10</w:t>
        </w:r>
      </w:hyperlink>
      <w:r w:rsidRPr="000C2CE8">
        <w:t>)</w:t>
      </w:r>
      <w:r w:rsidRPr="000C2CE8">
        <w:rPr>
          <w:rFonts w:hint="eastAsia"/>
        </w:rPr>
        <w:t>，第</w:t>
      </w:r>
      <w:r w:rsidRPr="000C2CE8">
        <w:t>3</w:t>
      </w:r>
      <w:r>
        <w:t>0</w:t>
      </w:r>
      <w:r>
        <w:rPr>
          <w:rFonts w:hint="eastAsia"/>
        </w:rPr>
        <w:t>段。</w:t>
      </w:r>
    </w:p>
  </w:footnote>
  <w:footnote w:id="7">
    <w:p w:rsidR="00AB00DE" w:rsidRDefault="00AB00DE" w:rsidP="00103498">
      <w:pPr>
        <w:pStyle w:val="a4"/>
      </w:pPr>
      <w:r>
        <w:tab/>
      </w:r>
      <w:r w:rsidRPr="00DF5565">
        <w:rPr>
          <w:rStyle w:val="a5"/>
          <w:szCs w:val="21"/>
        </w:rPr>
        <w:footnoteRef/>
      </w:r>
      <w:r>
        <w:tab/>
      </w:r>
      <w:r>
        <w:rPr>
          <w:rFonts w:hint="eastAsia"/>
        </w:rPr>
        <w:t>同上，第</w:t>
      </w:r>
      <w:r>
        <w:t>31</w:t>
      </w:r>
      <w:r>
        <w:rPr>
          <w:rFonts w:hint="eastAsia"/>
        </w:rPr>
        <w:t>段。</w:t>
      </w:r>
    </w:p>
  </w:footnote>
  <w:footnote w:id="8">
    <w:p w:rsidR="00AB00DE" w:rsidRPr="003C6436" w:rsidRDefault="00AB00DE" w:rsidP="00E61025">
      <w:pPr>
        <w:pStyle w:val="a4"/>
      </w:pPr>
      <w:r>
        <w:rPr>
          <w:rFonts w:hint="eastAsia"/>
          <w:lang w:val="zh-CN"/>
        </w:rPr>
        <w:tab/>
      </w:r>
      <w:r w:rsidRPr="00DF5565">
        <w:rPr>
          <w:rStyle w:val="a5"/>
          <w:szCs w:val="21"/>
        </w:rPr>
        <w:footnoteRef/>
      </w:r>
      <w:r>
        <w:rPr>
          <w:rFonts w:hint="eastAsia"/>
          <w:lang w:val="zh-CN"/>
        </w:rPr>
        <w:tab/>
      </w:r>
      <w:r>
        <w:rPr>
          <w:lang w:val="zh-CN"/>
        </w:rPr>
        <w:t>《</w:t>
      </w:r>
      <w:r>
        <w:rPr>
          <w:lang w:val="zh-CN"/>
        </w:rPr>
        <w:t>2007</w:t>
      </w:r>
      <w:r>
        <w:rPr>
          <w:lang w:val="zh-CN"/>
        </w:rPr>
        <w:t>年</w:t>
      </w:r>
      <w:r>
        <w:rPr>
          <w:rFonts w:hint="eastAsia"/>
          <w:lang w:val="zh-CN"/>
        </w:rPr>
        <w:t>……</w:t>
      </w:r>
      <w:r>
        <w:rPr>
          <w:lang w:val="zh-CN"/>
        </w:rPr>
        <w:t>年鉴》，第二卷</w:t>
      </w:r>
      <w:r>
        <w:rPr>
          <w:lang w:val="zh-CN"/>
        </w:rPr>
        <w:t>(</w:t>
      </w:r>
      <w:r>
        <w:rPr>
          <w:lang w:val="zh-CN"/>
        </w:rPr>
        <w:t>第二部分</w:t>
      </w:r>
      <w:r>
        <w:rPr>
          <w:lang w:val="zh-CN"/>
        </w:rPr>
        <w:t>)</w:t>
      </w:r>
      <w:r>
        <w:rPr>
          <w:lang w:val="zh-CN"/>
        </w:rPr>
        <w:t>，第</w:t>
      </w:r>
      <w:r>
        <w:rPr>
          <w:lang w:val="zh-CN"/>
        </w:rPr>
        <w:t>375</w:t>
      </w:r>
      <w:r>
        <w:rPr>
          <w:rFonts w:hint="eastAsia"/>
          <w:lang w:val="zh-CN"/>
        </w:rPr>
        <w:t>段</w:t>
      </w:r>
      <w:r>
        <w:rPr>
          <w:lang w:val="zh-CN"/>
        </w:rPr>
        <w:t>。委员会第五十八届会议</w:t>
      </w:r>
      <w:r>
        <w:rPr>
          <w:lang w:val="zh-CN"/>
        </w:rPr>
        <w:t>(2006</w:t>
      </w:r>
      <w:r>
        <w:rPr>
          <w:lang w:val="zh-CN"/>
        </w:rPr>
        <w:t>年</w:t>
      </w:r>
      <w:r>
        <w:rPr>
          <w:lang w:val="zh-CN"/>
        </w:rPr>
        <w:t>)</w:t>
      </w:r>
      <w:r>
        <w:rPr>
          <w:lang w:val="zh-CN"/>
        </w:rPr>
        <w:t>核可了规划组的建议，将</w:t>
      </w:r>
      <w:r>
        <w:rPr>
          <w:rFonts w:hint="eastAsia"/>
          <w:lang w:val="zh-CN"/>
        </w:rPr>
        <w:t>“</w:t>
      </w:r>
      <w:r>
        <w:rPr>
          <w:lang w:val="zh-CN"/>
        </w:rPr>
        <w:t>发生灾害时的人员保护</w:t>
      </w:r>
      <w:r>
        <w:rPr>
          <w:rFonts w:hint="eastAsia"/>
          <w:lang w:val="zh-CN"/>
        </w:rPr>
        <w:t>”</w:t>
      </w:r>
      <w:r>
        <w:rPr>
          <w:lang w:val="zh-CN"/>
        </w:rPr>
        <w:t>等专题</w:t>
      </w:r>
      <w:r>
        <w:rPr>
          <w:rFonts w:hint="eastAsia"/>
          <w:lang w:val="zh-CN"/>
        </w:rPr>
        <w:t>列入</w:t>
      </w:r>
      <w:r>
        <w:rPr>
          <w:lang w:val="zh-CN"/>
        </w:rPr>
        <w:t>委员会长期工作方案。秘书处就这一专题编写的一份简要提纲被列</w:t>
      </w:r>
      <w:r>
        <w:rPr>
          <w:rFonts w:hint="eastAsia"/>
          <w:lang w:val="zh-CN"/>
        </w:rPr>
        <w:t>为</w:t>
      </w:r>
      <w:r>
        <w:rPr>
          <w:lang w:val="zh-CN"/>
        </w:rPr>
        <w:t>委员会</w:t>
      </w:r>
      <w:r>
        <w:rPr>
          <w:lang w:val="zh-CN"/>
        </w:rPr>
        <w:t>2006</w:t>
      </w:r>
      <w:r>
        <w:rPr>
          <w:lang w:val="zh-CN"/>
        </w:rPr>
        <w:t>年报告附件</w:t>
      </w:r>
      <w:r>
        <w:rPr>
          <w:lang w:val="zh-CN"/>
        </w:rPr>
        <w:t>(</w:t>
      </w:r>
      <w:r>
        <w:rPr>
          <w:lang w:val="zh-CN"/>
        </w:rPr>
        <w:t>《</w:t>
      </w:r>
      <w:r>
        <w:rPr>
          <w:lang w:val="zh-CN"/>
        </w:rPr>
        <w:t>2006</w:t>
      </w:r>
      <w:r>
        <w:rPr>
          <w:lang w:val="zh-CN"/>
        </w:rPr>
        <w:t>年</w:t>
      </w:r>
      <w:r>
        <w:rPr>
          <w:rFonts w:hint="eastAsia"/>
          <w:lang w:val="zh-CN"/>
        </w:rPr>
        <w:t>……</w:t>
      </w:r>
      <w:r>
        <w:rPr>
          <w:lang w:val="zh-CN"/>
        </w:rPr>
        <w:t>年鉴》，第二卷</w:t>
      </w:r>
      <w:r>
        <w:rPr>
          <w:lang w:val="zh-CN"/>
        </w:rPr>
        <w:t>(</w:t>
      </w:r>
      <w:r>
        <w:rPr>
          <w:lang w:val="zh-CN"/>
        </w:rPr>
        <w:t>第二</w:t>
      </w:r>
      <w:r w:rsidRPr="00C76BFE">
        <w:rPr>
          <w:spacing w:val="2"/>
          <w:lang w:val="zh-CN"/>
        </w:rPr>
        <w:t>部分</w:t>
      </w:r>
      <w:r w:rsidRPr="00C76BFE">
        <w:rPr>
          <w:spacing w:val="2"/>
          <w:lang w:val="zh-CN"/>
        </w:rPr>
        <w:t>)</w:t>
      </w:r>
      <w:r w:rsidRPr="00C76BFE">
        <w:rPr>
          <w:spacing w:val="2"/>
          <w:lang w:val="zh-CN"/>
        </w:rPr>
        <w:t>，附件三</w:t>
      </w:r>
      <w:r w:rsidRPr="00C76BFE">
        <w:rPr>
          <w:spacing w:val="2"/>
          <w:lang w:val="zh-CN"/>
        </w:rPr>
        <w:t>)</w:t>
      </w:r>
      <w:r w:rsidRPr="00C76BFE">
        <w:rPr>
          <w:spacing w:val="2"/>
          <w:lang w:val="zh-CN"/>
        </w:rPr>
        <w:t>。大会</w:t>
      </w:r>
      <w:r w:rsidRPr="00C76BFE">
        <w:rPr>
          <w:spacing w:val="2"/>
          <w:lang w:val="zh-CN"/>
        </w:rPr>
        <w:t>2006</w:t>
      </w:r>
      <w:r w:rsidRPr="00C76BFE">
        <w:rPr>
          <w:spacing w:val="2"/>
          <w:lang w:val="zh-CN"/>
        </w:rPr>
        <w:t>年</w:t>
      </w:r>
      <w:r w:rsidRPr="00C76BFE">
        <w:rPr>
          <w:spacing w:val="2"/>
          <w:lang w:val="zh-CN"/>
        </w:rPr>
        <w:t>12</w:t>
      </w:r>
      <w:r w:rsidRPr="00C76BFE">
        <w:rPr>
          <w:spacing w:val="2"/>
          <w:lang w:val="zh-CN"/>
        </w:rPr>
        <w:t>月</w:t>
      </w:r>
      <w:r w:rsidRPr="00C76BFE">
        <w:rPr>
          <w:spacing w:val="2"/>
          <w:lang w:val="zh-CN"/>
        </w:rPr>
        <w:t>4</w:t>
      </w:r>
      <w:r w:rsidRPr="00C76BFE">
        <w:rPr>
          <w:spacing w:val="2"/>
          <w:lang w:val="zh-CN"/>
        </w:rPr>
        <w:t>日第</w:t>
      </w:r>
      <w:r w:rsidRPr="00C76BFE">
        <w:rPr>
          <w:spacing w:val="2"/>
          <w:lang w:val="zh-CN"/>
        </w:rPr>
        <w:t>61/34</w:t>
      </w:r>
      <w:r w:rsidRPr="00C76BFE">
        <w:rPr>
          <w:spacing w:val="2"/>
          <w:lang w:val="zh-CN"/>
        </w:rPr>
        <w:t>号决议注意到该专题已</w:t>
      </w:r>
      <w:r w:rsidRPr="00C76BFE">
        <w:rPr>
          <w:rFonts w:hint="eastAsia"/>
          <w:spacing w:val="2"/>
          <w:lang w:val="zh-CN"/>
        </w:rPr>
        <w:t>列</w:t>
      </w:r>
      <w:r w:rsidRPr="00C76BFE">
        <w:rPr>
          <w:spacing w:val="2"/>
          <w:lang w:val="zh-CN"/>
        </w:rPr>
        <w:t>入委员会长期工作方案。</w:t>
      </w:r>
    </w:p>
  </w:footnote>
  <w:footnote w:id="9">
    <w:p w:rsidR="00AB00DE" w:rsidRPr="003C6436" w:rsidRDefault="00AB00DE" w:rsidP="00C222FC">
      <w:pPr>
        <w:pStyle w:val="a4"/>
      </w:pPr>
      <w:r>
        <w:rPr>
          <w:rFonts w:hint="eastAsia"/>
        </w:rPr>
        <w:tab/>
      </w:r>
      <w:r w:rsidRPr="00DF5565">
        <w:rPr>
          <w:rStyle w:val="a5"/>
          <w:szCs w:val="21"/>
        </w:rPr>
        <w:footnoteRef/>
      </w:r>
      <w:r>
        <w:rPr>
          <w:rFonts w:hint="eastAsia"/>
        </w:rPr>
        <w:tab/>
      </w:r>
      <w:r>
        <w:rPr>
          <w:lang w:val="zh-CN"/>
        </w:rPr>
        <w:t>见</w:t>
      </w:r>
      <w:r>
        <w:t>A</w:t>
      </w:r>
      <w:r w:rsidRPr="009A2C01">
        <w:t>/</w:t>
      </w:r>
      <w:r>
        <w:t>CN</w:t>
      </w:r>
      <w:r w:rsidRPr="009A2C01">
        <w:t>.</w:t>
      </w:r>
      <w:r>
        <w:t>4</w:t>
      </w:r>
      <w:r w:rsidRPr="009A2C01">
        <w:t>/</w:t>
      </w:r>
      <w:r>
        <w:t>598</w:t>
      </w:r>
      <w:r w:rsidRPr="009A2C01">
        <w:t>(</w:t>
      </w:r>
      <w:r>
        <w:rPr>
          <w:lang w:val="zh-CN"/>
        </w:rPr>
        <w:t>初步报告</w:t>
      </w:r>
      <w:r w:rsidRPr="009A2C01">
        <w:t>)</w:t>
      </w:r>
      <w:r>
        <w:rPr>
          <w:lang w:val="zh-CN"/>
        </w:rPr>
        <w:t>、</w:t>
      </w:r>
      <w:r>
        <w:t>A</w:t>
      </w:r>
      <w:r w:rsidRPr="009A2C01">
        <w:t>/</w:t>
      </w:r>
      <w:r>
        <w:t>CN</w:t>
      </w:r>
      <w:r w:rsidRPr="009A2C01">
        <w:t>.</w:t>
      </w:r>
      <w:r>
        <w:t>4</w:t>
      </w:r>
      <w:r w:rsidRPr="009A2C01">
        <w:t>/</w:t>
      </w:r>
      <w:r>
        <w:t>6</w:t>
      </w:r>
      <w:r>
        <w:rPr>
          <w:rFonts w:hint="eastAsia"/>
        </w:rPr>
        <w:t>1</w:t>
      </w:r>
      <w:r>
        <w:t>5</w:t>
      </w:r>
      <w:r>
        <w:rPr>
          <w:lang w:val="zh-CN"/>
        </w:rPr>
        <w:t>和</w:t>
      </w:r>
      <w:r>
        <w:t>Corr</w:t>
      </w:r>
      <w:r w:rsidRPr="009A2C01">
        <w:t>.</w:t>
      </w:r>
      <w:r>
        <w:t>1</w:t>
      </w:r>
      <w:r w:rsidRPr="009A2C01">
        <w:t>(</w:t>
      </w:r>
      <w:r>
        <w:rPr>
          <w:lang w:val="zh-CN"/>
        </w:rPr>
        <w:t>第二次报告</w:t>
      </w:r>
      <w:r w:rsidRPr="009A2C01">
        <w:t>)</w:t>
      </w:r>
      <w:r>
        <w:rPr>
          <w:lang w:val="zh-CN"/>
        </w:rPr>
        <w:t>、</w:t>
      </w:r>
      <w:r>
        <w:t>A</w:t>
      </w:r>
      <w:r w:rsidRPr="009A2C01">
        <w:t>/</w:t>
      </w:r>
      <w:r>
        <w:t>CN</w:t>
      </w:r>
      <w:r w:rsidRPr="009A2C01">
        <w:t>.</w:t>
      </w:r>
      <w:r>
        <w:t>4</w:t>
      </w:r>
      <w:r w:rsidRPr="009A2C01">
        <w:t>/</w:t>
      </w:r>
      <w:r>
        <w:t>629</w:t>
      </w:r>
      <w:r w:rsidRPr="009A2C01">
        <w:t>(</w:t>
      </w:r>
      <w:r>
        <w:rPr>
          <w:lang w:val="zh-CN"/>
        </w:rPr>
        <w:t>第三次报告</w:t>
      </w:r>
      <w:r w:rsidRPr="009A2C01">
        <w:t>)</w:t>
      </w:r>
      <w:r>
        <w:rPr>
          <w:lang w:val="zh-CN"/>
        </w:rPr>
        <w:t>、</w:t>
      </w:r>
      <w:r>
        <w:t>A</w:t>
      </w:r>
      <w:r w:rsidRPr="009A2C01">
        <w:t>/</w:t>
      </w:r>
      <w:r>
        <w:t>CN</w:t>
      </w:r>
      <w:r w:rsidRPr="009A2C01">
        <w:t>.</w:t>
      </w:r>
      <w:r>
        <w:t>4</w:t>
      </w:r>
      <w:r w:rsidRPr="009A2C01">
        <w:t>/</w:t>
      </w:r>
      <w:r>
        <w:t>643</w:t>
      </w:r>
      <w:r>
        <w:rPr>
          <w:lang w:val="zh-CN"/>
        </w:rPr>
        <w:t>和</w:t>
      </w:r>
      <w:r>
        <w:t>Corr</w:t>
      </w:r>
      <w:r w:rsidRPr="009A2C01">
        <w:t>.</w:t>
      </w:r>
      <w:r>
        <w:t>1</w:t>
      </w:r>
      <w:r w:rsidRPr="009A2C01">
        <w:t>(</w:t>
      </w:r>
      <w:r>
        <w:rPr>
          <w:lang w:val="zh-CN"/>
        </w:rPr>
        <w:t>第四次报告</w:t>
      </w:r>
      <w:r w:rsidRPr="009A2C01">
        <w:t>)</w:t>
      </w:r>
      <w:r>
        <w:rPr>
          <w:lang w:val="zh-CN"/>
        </w:rPr>
        <w:t>、</w:t>
      </w:r>
      <w:r>
        <w:t>A</w:t>
      </w:r>
      <w:r w:rsidRPr="009A2C01">
        <w:t>/</w:t>
      </w:r>
      <w:r>
        <w:t>CN</w:t>
      </w:r>
      <w:r w:rsidRPr="009A2C01">
        <w:t>.</w:t>
      </w:r>
      <w:r>
        <w:t>4</w:t>
      </w:r>
      <w:r w:rsidRPr="009A2C01">
        <w:t>/</w:t>
      </w:r>
      <w:r>
        <w:t>652</w:t>
      </w:r>
      <w:r w:rsidRPr="009A2C01">
        <w:t>(</w:t>
      </w:r>
      <w:r>
        <w:rPr>
          <w:lang w:val="zh-CN"/>
        </w:rPr>
        <w:t>第五次报告</w:t>
      </w:r>
      <w:r w:rsidRPr="009A2C01">
        <w:t>)</w:t>
      </w:r>
      <w:r>
        <w:rPr>
          <w:lang w:val="zh-CN"/>
        </w:rPr>
        <w:t>、</w:t>
      </w:r>
      <w:r>
        <w:t>A</w:t>
      </w:r>
      <w:r w:rsidRPr="009A2C01">
        <w:t>/</w:t>
      </w:r>
      <w:r>
        <w:t>CN</w:t>
      </w:r>
      <w:r w:rsidRPr="009A2C01">
        <w:t>.</w:t>
      </w:r>
      <w:r>
        <w:t>4</w:t>
      </w:r>
      <w:r w:rsidRPr="009A2C01">
        <w:t>/</w:t>
      </w:r>
      <w:r>
        <w:t>662</w:t>
      </w:r>
      <w:r w:rsidRPr="009A2C01">
        <w:t>(</w:t>
      </w:r>
      <w:r>
        <w:rPr>
          <w:lang w:val="zh-CN"/>
        </w:rPr>
        <w:t>第六次报告</w:t>
      </w:r>
      <w:r w:rsidRPr="009A2C01">
        <w:t>)</w:t>
      </w:r>
      <w:r>
        <w:rPr>
          <w:lang w:val="zh-CN"/>
        </w:rPr>
        <w:t>以及</w:t>
      </w:r>
      <w:r>
        <w:t>A</w:t>
      </w:r>
      <w:r w:rsidRPr="009A2C01">
        <w:t>/</w:t>
      </w:r>
      <w:r>
        <w:t>CN</w:t>
      </w:r>
      <w:r w:rsidRPr="009A2C01">
        <w:t>.</w:t>
      </w:r>
      <w:r>
        <w:t>4</w:t>
      </w:r>
      <w:r w:rsidRPr="009A2C01">
        <w:t>/</w:t>
      </w:r>
      <w:r>
        <w:t>668</w:t>
      </w:r>
      <w:r>
        <w:rPr>
          <w:lang w:val="zh-CN"/>
        </w:rPr>
        <w:t>和</w:t>
      </w:r>
      <w:r>
        <w:t>Corr</w:t>
      </w:r>
      <w:r w:rsidRPr="009A2C01">
        <w:t>.</w:t>
      </w:r>
      <w:r>
        <w:t>1</w:t>
      </w:r>
      <w:r>
        <w:rPr>
          <w:lang w:val="zh-CN"/>
        </w:rPr>
        <w:t>及</w:t>
      </w:r>
      <w:r>
        <w:t>Add</w:t>
      </w:r>
      <w:r w:rsidRPr="009A2C01">
        <w:t>.</w:t>
      </w:r>
      <w:r>
        <w:t>1</w:t>
      </w:r>
      <w:r w:rsidRPr="009A2C01">
        <w:t>(</w:t>
      </w:r>
      <w:r>
        <w:rPr>
          <w:lang w:val="zh-CN"/>
        </w:rPr>
        <w:t>第</w:t>
      </w:r>
      <w:r>
        <w:rPr>
          <w:rFonts w:hint="eastAsia"/>
          <w:lang w:val="zh-CN"/>
        </w:rPr>
        <w:t>七</w:t>
      </w:r>
      <w:r>
        <w:rPr>
          <w:lang w:val="zh-CN"/>
        </w:rPr>
        <w:t>次报告</w:t>
      </w:r>
      <w:r w:rsidRPr="009A2C01">
        <w:t>)</w:t>
      </w:r>
      <w:r>
        <w:rPr>
          <w:lang w:val="zh-CN"/>
        </w:rPr>
        <w:t>。</w:t>
      </w:r>
    </w:p>
  </w:footnote>
  <w:footnote w:id="10">
    <w:p w:rsidR="00AB00DE" w:rsidRDefault="00AB00DE" w:rsidP="00103498">
      <w:pPr>
        <w:pStyle w:val="a4"/>
      </w:pPr>
      <w:r>
        <w:rPr>
          <w:rFonts w:hint="eastAsia"/>
        </w:rPr>
        <w:tab/>
      </w:r>
      <w:r w:rsidRPr="00DF5565">
        <w:rPr>
          <w:rStyle w:val="a5"/>
          <w:szCs w:val="21"/>
        </w:rPr>
        <w:footnoteRef/>
      </w:r>
      <w:r w:rsidRPr="00DF5565">
        <w:rPr>
          <w:rStyle w:val="a5"/>
          <w:rFonts w:hint="eastAsia"/>
          <w:szCs w:val="21"/>
        </w:rPr>
        <w:tab/>
      </w:r>
      <w:r>
        <w:t>A/CN.4/590</w:t>
      </w:r>
      <w:r>
        <w:rPr>
          <w:rFonts w:hint="eastAsia"/>
        </w:rPr>
        <w:t>和</w:t>
      </w:r>
      <w:r>
        <w:t>Add.1</w:t>
      </w:r>
      <w:r>
        <w:rPr>
          <w:rFonts w:hint="eastAsia"/>
        </w:rPr>
        <w:t>至</w:t>
      </w:r>
      <w:r>
        <w:t>3</w:t>
      </w:r>
      <w:r>
        <w:rPr>
          <w:rFonts w:hint="eastAsia"/>
        </w:rPr>
        <w:t>。</w:t>
      </w:r>
    </w:p>
  </w:footnote>
  <w:footnote w:id="11">
    <w:p w:rsidR="00AB00DE" w:rsidRDefault="00AB00DE" w:rsidP="00E61025">
      <w:pPr>
        <w:pStyle w:val="a4"/>
      </w:pPr>
      <w:r w:rsidRPr="004B391C">
        <w:rPr>
          <w:rFonts w:hint="eastAsia"/>
        </w:rPr>
        <w:tab/>
      </w:r>
      <w:r w:rsidRPr="00DF5565">
        <w:rPr>
          <w:rStyle w:val="a5"/>
          <w:szCs w:val="21"/>
        </w:rPr>
        <w:footnoteRef/>
      </w:r>
      <w:r>
        <w:rPr>
          <w:rFonts w:hint="eastAsia"/>
          <w:lang w:val="zh-CN"/>
        </w:rPr>
        <w:tab/>
      </w:r>
      <w:r>
        <w:rPr>
          <w:lang w:val="zh-CN"/>
        </w:rPr>
        <w:t>《</w:t>
      </w:r>
      <w:r>
        <w:rPr>
          <w:lang w:val="zh-CN"/>
        </w:rPr>
        <w:t>2008</w:t>
      </w:r>
      <w:r>
        <w:rPr>
          <w:lang w:val="zh-CN"/>
        </w:rPr>
        <w:t>年</w:t>
      </w:r>
      <w:r>
        <w:rPr>
          <w:rFonts w:hint="eastAsia"/>
          <w:lang w:val="zh-CN"/>
        </w:rPr>
        <w:t>……</w:t>
      </w:r>
      <w:r>
        <w:rPr>
          <w:lang w:val="zh-CN"/>
        </w:rPr>
        <w:t>年鉴》，第二卷</w:t>
      </w:r>
      <w:r>
        <w:rPr>
          <w:lang w:val="zh-CN"/>
        </w:rPr>
        <w:t>(</w:t>
      </w:r>
      <w:r>
        <w:rPr>
          <w:lang w:val="zh-CN"/>
        </w:rPr>
        <w:t>第二部分</w:t>
      </w:r>
      <w:r>
        <w:rPr>
          <w:lang w:val="zh-CN"/>
        </w:rPr>
        <w:t>)</w:t>
      </w:r>
      <w:r>
        <w:rPr>
          <w:lang w:val="zh-CN"/>
        </w:rPr>
        <w:t>，第</w:t>
      </w:r>
      <w:r>
        <w:rPr>
          <w:lang w:val="zh-CN"/>
        </w:rPr>
        <w:t>32</w:t>
      </w:r>
      <w:r>
        <w:rPr>
          <w:lang w:val="zh-CN"/>
        </w:rPr>
        <w:t>至</w:t>
      </w:r>
      <w:r>
        <w:rPr>
          <w:lang w:val="zh-CN"/>
        </w:rPr>
        <w:t>33</w:t>
      </w:r>
      <w:r>
        <w:rPr>
          <w:rFonts w:hint="eastAsia"/>
          <w:lang w:val="zh-CN"/>
        </w:rPr>
        <w:t>段</w:t>
      </w:r>
      <w:r>
        <w:rPr>
          <w:lang w:val="zh-CN"/>
        </w:rPr>
        <w:t>。</w:t>
      </w:r>
      <w:r>
        <w:rPr>
          <w:lang w:val="zh-CN"/>
        </w:rPr>
        <w:t xml:space="preserve"> </w:t>
      </w:r>
    </w:p>
  </w:footnote>
  <w:footnote w:id="12">
    <w:p w:rsidR="00AB00DE" w:rsidRDefault="00AB00DE" w:rsidP="00103498">
      <w:pPr>
        <w:pStyle w:val="a4"/>
      </w:pPr>
      <w:r>
        <w:rPr>
          <w:rFonts w:hint="eastAsia"/>
          <w:lang w:val="zh-CN"/>
        </w:rPr>
        <w:tab/>
      </w:r>
      <w:r w:rsidRPr="00DF5565">
        <w:rPr>
          <w:rStyle w:val="a5"/>
          <w:szCs w:val="21"/>
        </w:rPr>
        <w:footnoteRef/>
      </w:r>
      <w:r>
        <w:rPr>
          <w:rFonts w:hint="eastAsia"/>
          <w:lang w:val="zh-CN"/>
        </w:rPr>
        <w:tab/>
      </w:r>
      <w:r>
        <w:rPr>
          <w:lang w:val="zh-CN"/>
        </w:rPr>
        <w:t>《大会正式记录，第六十九届会议，补编第</w:t>
      </w:r>
      <w:r>
        <w:rPr>
          <w:lang w:val="zh-CN"/>
        </w:rPr>
        <w:t>10</w:t>
      </w:r>
      <w:r>
        <w:rPr>
          <w:rFonts w:hint="eastAsia"/>
          <w:lang w:val="zh-CN"/>
        </w:rPr>
        <w:t>号</w:t>
      </w:r>
      <w:r>
        <w:rPr>
          <w:lang w:val="zh-CN"/>
        </w:rPr>
        <w:t>》</w:t>
      </w:r>
      <w:r>
        <w:rPr>
          <w:lang w:val="zh-CN"/>
        </w:rPr>
        <w:t>(A/69/10)</w:t>
      </w:r>
      <w:r>
        <w:rPr>
          <w:lang w:val="zh-CN"/>
        </w:rPr>
        <w:t>，第</w:t>
      </w:r>
      <w:r>
        <w:rPr>
          <w:lang w:val="zh-CN"/>
        </w:rPr>
        <w:t>55</w:t>
      </w:r>
      <w:r>
        <w:rPr>
          <w:lang w:val="zh-CN"/>
        </w:rPr>
        <w:t>至</w:t>
      </w:r>
      <w:r>
        <w:rPr>
          <w:lang w:val="zh-CN"/>
        </w:rPr>
        <w:t>56</w:t>
      </w:r>
      <w:r>
        <w:rPr>
          <w:lang w:val="zh-CN"/>
        </w:rPr>
        <w:t>段。</w:t>
      </w:r>
    </w:p>
  </w:footnote>
  <w:footnote w:id="13">
    <w:p w:rsidR="00AB00DE" w:rsidRPr="003C6436" w:rsidRDefault="00AB00DE" w:rsidP="00103498">
      <w:pPr>
        <w:pStyle w:val="a4"/>
      </w:pPr>
      <w:r>
        <w:rPr>
          <w:rFonts w:hint="eastAsia"/>
          <w:lang w:val="zh-CN"/>
        </w:rPr>
        <w:tab/>
      </w:r>
      <w:r w:rsidRPr="00DF5565">
        <w:rPr>
          <w:rStyle w:val="a5"/>
          <w:szCs w:val="21"/>
        </w:rPr>
        <w:footnoteRef/>
      </w:r>
      <w:r w:rsidRPr="00DF5565">
        <w:rPr>
          <w:rStyle w:val="a5"/>
          <w:rFonts w:hint="eastAsia"/>
          <w:szCs w:val="21"/>
        </w:rPr>
        <w:tab/>
      </w:r>
      <w:r>
        <w:rPr>
          <w:lang w:val="zh-CN"/>
        </w:rPr>
        <w:t>同上，第</w:t>
      </w:r>
      <w:r>
        <w:rPr>
          <w:lang w:val="zh-CN"/>
        </w:rPr>
        <w:t>51</w:t>
      </w:r>
      <w:r>
        <w:rPr>
          <w:lang w:val="zh-CN"/>
        </w:rPr>
        <w:t>至</w:t>
      </w:r>
      <w:r>
        <w:rPr>
          <w:lang w:val="zh-CN"/>
        </w:rPr>
        <w:t>53</w:t>
      </w:r>
      <w:r>
        <w:rPr>
          <w:lang w:val="zh-CN"/>
        </w:rPr>
        <w:t>段。</w:t>
      </w:r>
    </w:p>
  </w:footnote>
  <w:footnote w:id="14">
    <w:p w:rsidR="00AB00DE" w:rsidRDefault="00AB00DE" w:rsidP="00103498">
      <w:pPr>
        <w:pStyle w:val="a4"/>
      </w:pPr>
      <w:r>
        <w:tab/>
      </w:r>
      <w:r w:rsidRPr="00DF5565">
        <w:rPr>
          <w:rStyle w:val="a5"/>
          <w:szCs w:val="21"/>
        </w:rPr>
        <w:footnoteRef/>
      </w:r>
      <w:r w:rsidRPr="00DF5565">
        <w:rPr>
          <w:snapToGrid/>
          <w:color w:val="0000FF"/>
          <w:sz w:val="21"/>
          <w:vertAlign w:val="superscript"/>
        </w:rPr>
        <w:t xml:space="preserve"> </w:t>
      </w:r>
      <w:r w:rsidRPr="00DF5565">
        <w:rPr>
          <w:snapToGrid/>
          <w:color w:val="0000FF"/>
          <w:sz w:val="21"/>
          <w:vertAlign w:val="superscript"/>
        </w:rPr>
        <w:tab/>
      </w:r>
      <w:r w:rsidRPr="00CC0941">
        <w:rPr>
          <w:rFonts w:hint="eastAsia"/>
        </w:rPr>
        <w:t>见关于预防危险活动的跨界损害的条款</w:t>
      </w:r>
      <w:r>
        <w:rPr>
          <w:rFonts w:hint="eastAsia"/>
        </w:rPr>
        <w:t>，</w:t>
      </w:r>
      <w:r w:rsidRPr="00CC0941">
        <w:rPr>
          <w:rFonts w:hint="eastAsia"/>
        </w:rPr>
        <w:t>大会</w:t>
      </w:r>
      <w:r w:rsidRPr="00CC0941">
        <w:t>2007</w:t>
      </w:r>
      <w:r w:rsidRPr="00CC0941">
        <w:rPr>
          <w:rFonts w:hint="eastAsia"/>
        </w:rPr>
        <w:t>年</w:t>
      </w:r>
      <w:r w:rsidRPr="00CC0941">
        <w:t>12</w:t>
      </w:r>
      <w:r w:rsidRPr="00CC0941">
        <w:rPr>
          <w:rFonts w:hint="eastAsia"/>
        </w:rPr>
        <w:t>月</w:t>
      </w:r>
      <w:r w:rsidRPr="00CC0941">
        <w:t>6</w:t>
      </w:r>
      <w:r w:rsidRPr="00CC0941">
        <w:rPr>
          <w:rFonts w:hint="eastAsia"/>
        </w:rPr>
        <w:t>日第</w:t>
      </w:r>
      <w:r w:rsidRPr="00CC0941">
        <w:t>62</w:t>
      </w:r>
      <w:r>
        <w:t>/</w:t>
      </w:r>
      <w:r w:rsidRPr="00CC0941">
        <w:t>68</w:t>
      </w:r>
      <w:r w:rsidRPr="00CC0941">
        <w:rPr>
          <w:rFonts w:hint="eastAsia"/>
        </w:rPr>
        <w:t>号决议</w:t>
      </w:r>
      <w:r>
        <w:rPr>
          <w:rFonts w:hint="eastAsia"/>
        </w:rPr>
        <w:t>，</w:t>
      </w:r>
      <w:r w:rsidRPr="00CC0941">
        <w:rPr>
          <w:rFonts w:hint="eastAsia"/>
        </w:rPr>
        <w:t>附件</w:t>
      </w:r>
      <w:r>
        <w:rPr>
          <w:rFonts w:hint="eastAsia"/>
        </w:rPr>
        <w:t>，</w:t>
      </w:r>
      <w:r w:rsidRPr="00CC0941">
        <w:rPr>
          <w:rFonts w:hint="eastAsia"/>
        </w:rPr>
        <w:t>及相关评注</w:t>
      </w:r>
      <w:r>
        <w:rPr>
          <w:rFonts w:hint="eastAsia"/>
        </w:rPr>
        <w:t>，</w:t>
      </w:r>
      <w:r w:rsidRPr="00CC0941">
        <w:rPr>
          <w:rFonts w:hint="eastAsia"/>
        </w:rPr>
        <w:t>《</w:t>
      </w:r>
      <w:r w:rsidRPr="00CC0941">
        <w:t>2001</w:t>
      </w:r>
      <w:r w:rsidRPr="00CC0941">
        <w:rPr>
          <w:rFonts w:hint="eastAsia"/>
        </w:rPr>
        <w:t>年</w:t>
      </w:r>
      <w:r>
        <w:rPr>
          <w:rFonts w:hint="eastAsia"/>
          <w:lang w:val="fr-CH"/>
        </w:rPr>
        <w:t>……</w:t>
      </w:r>
      <w:r w:rsidRPr="00CC0941">
        <w:rPr>
          <w:rFonts w:hint="eastAsia"/>
        </w:rPr>
        <w:t>年鉴》</w:t>
      </w:r>
      <w:r>
        <w:rPr>
          <w:rFonts w:hint="eastAsia"/>
        </w:rPr>
        <w:t>，</w:t>
      </w:r>
      <w:r w:rsidRPr="00CC0941">
        <w:rPr>
          <w:rFonts w:hint="eastAsia"/>
        </w:rPr>
        <w:t>第二卷</w:t>
      </w:r>
      <w:r>
        <w:rPr>
          <w:rFonts w:hint="eastAsia"/>
        </w:rPr>
        <w:t>(</w:t>
      </w:r>
      <w:r w:rsidRPr="00CC0941">
        <w:rPr>
          <w:rFonts w:hint="eastAsia"/>
        </w:rPr>
        <w:t>第二部分</w:t>
      </w:r>
      <w:r>
        <w:rPr>
          <w:rFonts w:hint="eastAsia"/>
        </w:rPr>
        <w:t>)</w:t>
      </w:r>
      <w:r>
        <w:rPr>
          <w:rFonts w:hint="eastAsia"/>
        </w:rPr>
        <w:t>，</w:t>
      </w:r>
      <w:r w:rsidRPr="00CC0941">
        <w:rPr>
          <w:rFonts w:hint="eastAsia"/>
        </w:rPr>
        <w:t>第五章</w:t>
      </w:r>
      <w:r>
        <w:rPr>
          <w:rFonts w:hint="eastAsia"/>
        </w:rPr>
        <w:t>，</w:t>
      </w:r>
      <w:r w:rsidRPr="00CC0941">
        <w:t>E</w:t>
      </w:r>
      <w:r w:rsidRPr="00CC0941">
        <w:rPr>
          <w:rFonts w:hint="eastAsia"/>
        </w:rPr>
        <w:t>节</w:t>
      </w:r>
      <w:r>
        <w:rPr>
          <w:rFonts w:hint="eastAsia"/>
        </w:rPr>
        <w:t>；</w:t>
      </w:r>
      <w:r w:rsidRPr="00CC0941">
        <w:rPr>
          <w:rFonts w:hint="eastAsia"/>
        </w:rPr>
        <w:t>关于跨界含水层法的条款</w:t>
      </w:r>
      <w:r>
        <w:rPr>
          <w:rFonts w:hint="eastAsia"/>
        </w:rPr>
        <w:t>，</w:t>
      </w:r>
      <w:r w:rsidRPr="00CC0941">
        <w:rPr>
          <w:rFonts w:hint="eastAsia"/>
        </w:rPr>
        <w:t>大会</w:t>
      </w:r>
      <w:r w:rsidRPr="00CC0941">
        <w:t>2008</w:t>
      </w:r>
      <w:r w:rsidRPr="00CC0941">
        <w:rPr>
          <w:rFonts w:hint="eastAsia"/>
        </w:rPr>
        <w:t>年</w:t>
      </w:r>
      <w:r w:rsidRPr="00CC0941">
        <w:t>12</w:t>
      </w:r>
      <w:r w:rsidRPr="00CC0941">
        <w:rPr>
          <w:rFonts w:hint="eastAsia"/>
        </w:rPr>
        <w:t>月</w:t>
      </w:r>
      <w:r w:rsidRPr="00CC0941">
        <w:t>11</w:t>
      </w:r>
      <w:r w:rsidRPr="00CC0941">
        <w:rPr>
          <w:rFonts w:hint="eastAsia"/>
        </w:rPr>
        <w:t>日第</w:t>
      </w:r>
      <w:r w:rsidRPr="00CC0941">
        <w:t>63</w:t>
      </w:r>
      <w:r>
        <w:t>/</w:t>
      </w:r>
      <w:r w:rsidRPr="00CC0941">
        <w:t>124</w:t>
      </w:r>
      <w:r w:rsidRPr="00CC0941">
        <w:rPr>
          <w:rFonts w:hint="eastAsia"/>
        </w:rPr>
        <w:t>号决议</w:t>
      </w:r>
      <w:r>
        <w:rPr>
          <w:rFonts w:hint="eastAsia"/>
        </w:rPr>
        <w:t>，</w:t>
      </w:r>
      <w:r w:rsidRPr="00CC0941">
        <w:rPr>
          <w:rFonts w:hint="eastAsia"/>
        </w:rPr>
        <w:t>及相关评注</w:t>
      </w:r>
      <w:r>
        <w:rPr>
          <w:rFonts w:hint="eastAsia"/>
        </w:rPr>
        <w:t>，</w:t>
      </w:r>
      <w:r w:rsidRPr="00CC0941">
        <w:rPr>
          <w:rFonts w:hint="eastAsia"/>
        </w:rPr>
        <w:t>《</w:t>
      </w:r>
      <w:r w:rsidRPr="00CC0941">
        <w:t>2008</w:t>
      </w:r>
      <w:r>
        <w:rPr>
          <w:rFonts w:hint="eastAsia"/>
        </w:rPr>
        <w:t>年</w:t>
      </w:r>
      <w:r w:rsidRPr="009F78F0">
        <w:rPr>
          <w:rFonts w:hint="eastAsia"/>
        </w:rPr>
        <w:t>……</w:t>
      </w:r>
      <w:r w:rsidRPr="00CC0941">
        <w:rPr>
          <w:rFonts w:hint="eastAsia"/>
        </w:rPr>
        <w:t>年鉴》</w:t>
      </w:r>
      <w:r>
        <w:rPr>
          <w:rFonts w:hint="eastAsia"/>
        </w:rPr>
        <w:t>，</w:t>
      </w:r>
      <w:r w:rsidRPr="00CC0941">
        <w:rPr>
          <w:rFonts w:hint="eastAsia"/>
        </w:rPr>
        <w:t>第二卷</w:t>
      </w:r>
      <w:r>
        <w:rPr>
          <w:rFonts w:hint="eastAsia"/>
        </w:rPr>
        <w:t>(</w:t>
      </w:r>
      <w:r w:rsidRPr="00CC0941">
        <w:rPr>
          <w:rFonts w:hint="eastAsia"/>
        </w:rPr>
        <w:t>第二部分</w:t>
      </w:r>
      <w:r>
        <w:rPr>
          <w:rFonts w:hint="eastAsia"/>
        </w:rPr>
        <w:t>)</w:t>
      </w:r>
      <w:r>
        <w:rPr>
          <w:rFonts w:hint="eastAsia"/>
        </w:rPr>
        <w:t>，</w:t>
      </w:r>
      <w:r w:rsidRPr="00CC0941">
        <w:rPr>
          <w:rFonts w:hint="eastAsia"/>
        </w:rPr>
        <w:t>第四章</w:t>
      </w:r>
      <w:r>
        <w:rPr>
          <w:rFonts w:hint="eastAsia"/>
        </w:rPr>
        <w:t>，</w:t>
      </w:r>
      <w:r w:rsidRPr="00CC0941">
        <w:t>E</w:t>
      </w:r>
      <w:r w:rsidRPr="00CC0941">
        <w:rPr>
          <w:rFonts w:hint="eastAsia"/>
        </w:rPr>
        <w:t>节。</w:t>
      </w:r>
    </w:p>
  </w:footnote>
  <w:footnote w:id="15">
    <w:p w:rsidR="00AB00DE" w:rsidRDefault="00AB00DE" w:rsidP="00103498">
      <w:pPr>
        <w:pStyle w:val="a4"/>
      </w:pPr>
      <w:r>
        <w:tab/>
      </w:r>
      <w:r w:rsidRPr="00DF5565">
        <w:rPr>
          <w:rStyle w:val="a5"/>
          <w:szCs w:val="21"/>
        </w:rPr>
        <w:footnoteRef/>
      </w:r>
      <w:r w:rsidRPr="00DF5565">
        <w:rPr>
          <w:rStyle w:val="a5"/>
          <w:szCs w:val="21"/>
        </w:rPr>
        <w:t xml:space="preserve"> </w:t>
      </w:r>
      <w:r w:rsidRPr="00DF5565">
        <w:rPr>
          <w:snapToGrid/>
          <w:color w:val="0000FF"/>
          <w:sz w:val="21"/>
          <w:vertAlign w:val="superscript"/>
        </w:rPr>
        <w:tab/>
      </w:r>
      <w:r w:rsidRPr="00CC0941">
        <w:rPr>
          <w:rFonts w:hint="eastAsia"/>
        </w:rPr>
        <w:t>《</w:t>
      </w:r>
      <w:r w:rsidRPr="00CC0941">
        <w:t>2005</w:t>
      </w:r>
      <w:r w:rsidRPr="00CC0941">
        <w:rPr>
          <w:rFonts w:hint="eastAsia"/>
        </w:rPr>
        <w:t>年东盟文件汇编》</w:t>
      </w:r>
      <w:r>
        <w:rPr>
          <w:rFonts w:hint="eastAsia"/>
        </w:rPr>
        <w:t>，</w:t>
      </w:r>
      <w:r w:rsidRPr="00CC0941">
        <w:rPr>
          <w:rFonts w:hint="eastAsia"/>
        </w:rPr>
        <w:t>第</w:t>
      </w:r>
      <w:r w:rsidRPr="00CC0941">
        <w:t>157</w:t>
      </w:r>
      <w:r w:rsidRPr="00CC0941">
        <w:rPr>
          <w:rFonts w:hint="eastAsia"/>
        </w:rPr>
        <w:t>页。</w:t>
      </w:r>
    </w:p>
  </w:footnote>
  <w:footnote w:id="16">
    <w:p w:rsidR="00AB00DE" w:rsidRDefault="00AB00DE" w:rsidP="00103498">
      <w:pPr>
        <w:pStyle w:val="a4"/>
      </w:pPr>
      <w:r>
        <w:tab/>
      </w:r>
      <w:r w:rsidRPr="00DF5565">
        <w:rPr>
          <w:rStyle w:val="a5"/>
          <w:szCs w:val="21"/>
        </w:rPr>
        <w:footnoteRef/>
      </w:r>
      <w:r w:rsidRPr="00DF5565">
        <w:rPr>
          <w:snapToGrid/>
          <w:color w:val="0000FF"/>
          <w:sz w:val="21"/>
          <w:vertAlign w:val="superscript"/>
        </w:rPr>
        <w:t xml:space="preserve"> </w:t>
      </w:r>
      <w:r w:rsidRPr="00DF5565">
        <w:rPr>
          <w:snapToGrid/>
          <w:color w:val="0000FF"/>
          <w:sz w:val="21"/>
          <w:vertAlign w:val="superscript"/>
        </w:rPr>
        <w:tab/>
      </w:r>
      <w:r w:rsidRPr="00CC0941">
        <w:rPr>
          <w:rFonts w:hint="eastAsia"/>
        </w:rPr>
        <w:t>联合国</w:t>
      </w:r>
      <w:r>
        <w:rPr>
          <w:rFonts w:hint="eastAsia"/>
        </w:rPr>
        <w:t>，</w:t>
      </w:r>
      <w:r w:rsidRPr="00CC0941">
        <w:rPr>
          <w:rFonts w:hint="eastAsia"/>
        </w:rPr>
        <w:t>《条约汇编》</w:t>
      </w:r>
      <w:r>
        <w:rPr>
          <w:rFonts w:hint="eastAsia"/>
        </w:rPr>
        <w:t>，</w:t>
      </w:r>
      <w:r w:rsidRPr="00CC0941">
        <w:rPr>
          <w:rFonts w:hint="eastAsia"/>
        </w:rPr>
        <w:t>第</w:t>
      </w:r>
      <w:r w:rsidRPr="00CC0941">
        <w:t>2296</w:t>
      </w:r>
      <w:r w:rsidRPr="00CC0941">
        <w:rPr>
          <w:rFonts w:hint="eastAsia"/>
        </w:rPr>
        <w:t>卷</w:t>
      </w:r>
      <w:r>
        <w:rPr>
          <w:rFonts w:hint="eastAsia"/>
        </w:rPr>
        <w:t>，</w:t>
      </w:r>
      <w:r w:rsidRPr="00CC0941">
        <w:rPr>
          <w:rFonts w:hint="eastAsia"/>
        </w:rPr>
        <w:t>第</w:t>
      </w:r>
      <w:r w:rsidRPr="00CC0941">
        <w:t>40906</w:t>
      </w:r>
      <w:r w:rsidRPr="00CC0941">
        <w:rPr>
          <w:rFonts w:hint="eastAsia"/>
        </w:rPr>
        <w:t>号</w:t>
      </w:r>
      <w:r>
        <w:rPr>
          <w:rFonts w:hint="eastAsia"/>
        </w:rPr>
        <w:t>，</w:t>
      </w:r>
      <w:r w:rsidRPr="00CC0941">
        <w:rPr>
          <w:rFonts w:hint="eastAsia"/>
        </w:rPr>
        <w:t>第</w:t>
      </w:r>
      <w:r w:rsidRPr="00CC0941">
        <w:t>5</w:t>
      </w:r>
      <w:r w:rsidRPr="00CC0941">
        <w:rPr>
          <w:rFonts w:hint="eastAsia"/>
        </w:rPr>
        <w:t>页。</w:t>
      </w:r>
    </w:p>
  </w:footnote>
  <w:footnote w:id="17">
    <w:p w:rsidR="00AB00DE" w:rsidRDefault="00AB00DE" w:rsidP="00103498">
      <w:pPr>
        <w:pStyle w:val="a4"/>
      </w:pPr>
      <w:r w:rsidRPr="00DF5565">
        <w:rPr>
          <w:snapToGrid/>
          <w:color w:val="0000FF"/>
          <w:sz w:val="21"/>
          <w:vertAlign w:val="superscript"/>
        </w:rPr>
        <w:tab/>
      </w:r>
      <w:r w:rsidRPr="00DF5565">
        <w:rPr>
          <w:rStyle w:val="a5"/>
          <w:szCs w:val="21"/>
        </w:rPr>
        <w:footnoteRef/>
      </w:r>
      <w:r w:rsidRPr="00DF5565">
        <w:rPr>
          <w:snapToGrid/>
          <w:color w:val="0000FF"/>
          <w:sz w:val="21"/>
          <w:vertAlign w:val="superscript"/>
        </w:rPr>
        <w:t xml:space="preserve"> </w:t>
      </w:r>
      <w:r w:rsidRPr="00DF5565">
        <w:rPr>
          <w:snapToGrid/>
          <w:color w:val="0000FF"/>
          <w:sz w:val="21"/>
          <w:vertAlign w:val="superscript"/>
        </w:rPr>
        <w:tab/>
      </w:r>
      <w:r w:rsidRPr="00CC0941">
        <w:rPr>
          <w:rFonts w:hint="eastAsia"/>
        </w:rPr>
        <w:t>《</w:t>
      </w:r>
      <w:r w:rsidRPr="00CC0941">
        <w:t>2015-2030</w:t>
      </w:r>
      <w:r w:rsidRPr="00CC0941">
        <w:rPr>
          <w:rFonts w:hint="eastAsia"/>
        </w:rPr>
        <w:t>年仙台减少灾害风险框架》是</w:t>
      </w:r>
      <w:r>
        <w:rPr>
          <w:rFonts w:hint="eastAsia"/>
        </w:rPr>
        <w:t>第三次</w:t>
      </w:r>
      <w:r w:rsidRPr="00CC0941">
        <w:rPr>
          <w:rFonts w:hint="eastAsia"/>
        </w:rPr>
        <w:t>世界减少灾害风险大会通过的</w:t>
      </w:r>
      <w:r>
        <w:rPr>
          <w:rFonts w:hint="eastAsia"/>
        </w:rPr>
        <w:t>，并由</w:t>
      </w:r>
      <w:r w:rsidRPr="00CC0941">
        <w:rPr>
          <w:rFonts w:hint="eastAsia"/>
        </w:rPr>
        <w:t>大会</w:t>
      </w:r>
      <w:r>
        <w:rPr>
          <w:rFonts w:hint="eastAsia"/>
        </w:rPr>
        <w:t>在</w:t>
      </w:r>
      <w:r w:rsidRPr="00CC0941">
        <w:t>2015</w:t>
      </w:r>
      <w:r w:rsidRPr="00CC0941">
        <w:rPr>
          <w:rFonts w:hint="eastAsia"/>
        </w:rPr>
        <w:t>年</w:t>
      </w:r>
      <w:r w:rsidRPr="00CC0941">
        <w:t>6</w:t>
      </w:r>
      <w:r w:rsidRPr="00CC0941">
        <w:rPr>
          <w:rFonts w:hint="eastAsia"/>
        </w:rPr>
        <w:t>月</w:t>
      </w:r>
      <w:r w:rsidRPr="00CC0941">
        <w:t>3</w:t>
      </w:r>
      <w:r w:rsidRPr="00CC0941">
        <w:rPr>
          <w:rFonts w:hint="eastAsia"/>
        </w:rPr>
        <w:t>日第</w:t>
      </w:r>
      <w:r w:rsidRPr="00CC0941">
        <w:t>69</w:t>
      </w:r>
      <w:r>
        <w:t>/</w:t>
      </w:r>
      <w:r w:rsidRPr="00CC0941">
        <w:t>283</w:t>
      </w:r>
      <w:r w:rsidRPr="00CC0941">
        <w:rPr>
          <w:rFonts w:hint="eastAsia"/>
        </w:rPr>
        <w:t>号决议</w:t>
      </w:r>
      <w:r>
        <w:rPr>
          <w:rFonts w:hint="eastAsia"/>
        </w:rPr>
        <w:t>附件二中予以</w:t>
      </w:r>
      <w:r w:rsidRPr="00CC0941">
        <w:rPr>
          <w:rFonts w:hint="eastAsia"/>
        </w:rPr>
        <w:t>认可。</w:t>
      </w:r>
    </w:p>
  </w:footnote>
  <w:footnote w:id="18">
    <w:p w:rsidR="00AB00DE" w:rsidRDefault="00AB00DE" w:rsidP="00103498">
      <w:pPr>
        <w:pStyle w:val="a4"/>
      </w:pPr>
      <w:r>
        <w:tab/>
      </w:r>
      <w:r w:rsidRPr="00DF5565">
        <w:rPr>
          <w:rStyle w:val="a5"/>
          <w:szCs w:val="21"/>
        </w:rPr>
        <w:footnoteRef/>
      </w:r>
      <w:r w:rsidRPr="00DF5565">
        <w:rPr>
          <w:snapToGrid/>
          <w:color w:val="0000FF"/>
          <w:sz w:val="21"/>
          <w:vertAlign w:val="superscript"/>
        </w:rPr>
        <w:t xml:space="preserve"> </w:t>
      </w:r>
      <w:r w:rsidRPr="00DF5565">
        <w:rPr>
          <w:snapToGrid/>
          <w:color w:val="0000FF"/>
          <w:sz w:val="21"/>
          <w:vertAlign w:val="superscript"/>
        </w:rPr>
        <w:tab/>
      </w:r>
      <w:r w:rsidRPr="00CC0941">
        <w:t>红十字会红新月会联会《国内便利和管理国际救灾和初期恢复援助工作导则》</w:t>
      </w:r>
      <w:r>
        <w:rPr>
          <w:rFonts w:hint="eastAsia"/>
        </w:rPr>
        <w:t>(</w:t>
      </w:r>
      <w:r w:rsidRPr="00CC0941">
        <w:rPr>
          <w:rFonts w:hint="eastAsia"/>
        </w:rPr>
        <w:t>2007</w:t>
      </w:r>
      <w:r w:rsidRPr="00CC0941">
        <w:rPr>
          <w:rFonts w:hint="eastAsia"/>
        </w:rPr>
        <w:t>年</w:t>
      </w:r>
      <w:r>
        <w:rPr>
          <w:rFonts w:hint="eastAsia"/>
        </w:rPr>
        <w:t>，</w:t>
      </w:r>
      <w:r w:rsidRPr="00CC0941">
        <w:rPr>
          <w:rFonts w:hint="eastAsia"/>
        </w:rPr>
        <w:t>日内瓦</w:t>
      </w:r>
      <w:r>
        <w:rPr>
          <w:rFonts w:hint="eastAsia"/>
        </w:rPr>
        <w:t>)</w:t>
      </w:r>
      <w:r w:rsidRPr="00CC0941">
        <w:rPr>
          <w:rFonts w:hint="eastAsia"/>
        </w:rPr>
        <w:t>。</w:t>
      </w:r>
    </w:p>
  </w:footnote>
  <w:footnote w:id="19">
    <w:p w:rsidR="00AB00DE" w:rsidRDefault="00AB00DE" w:rsidP="00103498">
      <w:pPr>
        <w:pStyle w:val="a4"/>
      </w:pPr>
      <w:r>
        <w:tab/>
      </w:r>
      <w:r w:rsidRPr="00DF5565">
        <w:rPr>
          <w:rStyle w:val="a5"/>
          <w:szCs w:val="21"/>
        </w:rPr>
        <w:footnoteRef/>
      </w:r>
      <w:r w:rsidRPr="00DF5565">
        <w:rPr>
          <w:snapToGrid/>
          <w:color w:val="0000FF"/>
          <w:sz w:val="21"/>
          <w:vertAlign w:val="superscript"/>
        </w:rPr>
        <w:t xml:space="preserve"> </w:t>
      </w:r>
      <w:r w:rsidRPr="00DF5565">
        <w:rPr>
          <w:snapToGrid/>
          <w:color w:val="0000FF"/>
          <w:sz w:val="21"/>
          <w:vertAlign w:val="superscript"/>
        </w:rPr>
        <w:tab/>
      </w:r>
      <w:r w:rsidRPr="00CC0941">
        <w:rPr>
          <w:rFonts w:hint="eastAsia"/>
        </w:rPr>
        <w:t>国际法学会</w:t>
      </w:r>
      <w:r>
        <w:rPr>
          <w:rFonts w:hint="eastAsia"/>
        </w:rPr>
        <w:t>，</w:t>
      </w:r>
      <w:r w:rsidRPr="00CC0941">
        <w:rPr>
          <w:rFonts w:hint="eastAsia"/>
        </w:rPr>
        <w:t>《年鉴》第</w:t>
      </w:r>
      <w:r w:rsidRPr="00CC0941">
        <w:rPr>
          <w:rFonts w:hint="eastAsia"/>
        </w:rPr>
        <w:t>70</w:t>
      </w:r>
      <w:r w:rsidRPr="00CC0941">
        <w:rPr>
          <w:rFonts w:hint="eastAsia"/>
        </w:rPr>
        <w:t>卷</w:t>
      </w:r>
      <w:r>
        <w:rPr>
          <w:rFonts w:hint="eastAsia"/>
        </w:rPr>
        <w:t>，</w:t>
      </w:r>
      <w:r w:rsidRPr="00CC0941">
        <w:rPr>
          <w:rFonts w:hint="eastAsia"/>
        </w:rPr>
        <w:t>第二部分</w:t>
      </w:r>
      <w:r>
        <w:rPr>
          <w:rFonts w:hint="eastAsia"/>
        </w:rPr>
        <w:t>，</w:t>
      </w:r>
      <w:r w:rsidRPr="00CC0941">
        <w:rPr>
          <w:rFonts w:hint="eastAsia"/>
        </w:rPr>
        <w:t>布鲁日会议</w:t>
      </w:r>
      <w:r>
        <w:rPr>
          <w:rFonts w:hint="eastAsia"/>
        </w:rPr>
        <w:t>(</w:t>
      </w:r>
      <w:r w:rsidRPr="00CC0941">
        <w:rPr>
          <w:rFonts w:hint="eastAsia"/>
        </w:rPr>
        <w:t>2003</w:t>
      </w:r>
      <w:r w:rsidRPr="00CC0941">
        <w:rPr>
          <w:rFonts w:hint="eastAsia"/>
        </w:rPr>
        <w:t>年</w:t>
      </w:r>
      <w:r>
        <w:rPr>
          <w:rFonts w:hint="eastAsia"/>
        </w:rPr>
        <w:t>)</w:t>
      </w:r>
      <w:r>
        <w:rPr>
          <w:rFonts w:hint="eastAsia"/>
        </w:rPr>
        <w:t>，</w:t>
      </w:r>
      <w:r w:rsidRPr="00CC0941">
        <w:rPr>
          <w:rFonts w:hint="eastAsia"/>
        </w:rPr>
        <w:t>第</w:t>
      </w:r>
      <w:r w:rsidRPr="00CC0941">
        <w:rPr>
          <w:rFonts w:hint="eastAsia"/>
        </w:rPr>
        <w:t>263</w:t>
      </w:r>
      <w:r w:rsidRPr="00CC0941">
        <w:rPr>
          <w:rFonts w:hint="eastAsia"/>
        </w:rPr>
        <w:t>页。</w:t>
      </w:r>
    </w:p>
  </w:footnote>
  <w:footnote w:id="20">
    <w:p w:rsidR="00AB00DE" w:rsidRDefault="00AB00DE" w:rsidP="00103498">
      <w:pPr>
        <w:pStyle w:val="a4"/>
      </w:pPr>
      <w:r>
        <w:tab/>
      </w:r>
      <w:r w:rsidRPr="00DF5565">
        <w:rPr>
          <w:rStyle w:val="a5"/>
          <w:szCs w:val="21"/>
        </w:rPr>
        <w:footnoteRef/>
      </w:r>
      <w:r w:rsidRPr="00DF5565">
        <w:rPr>
          <w:rStyle w:val="a5"/>
          <w:szCs w:val="21"/>
        </w:rPr>
        <w:t xml:space="preserve"> </w:t>
      </w:r>
      <w:r w:rsidRPr="00DF5565">
        <w:rPr>
          <w:snapToGrid/>
          <w:color w:val="0000FF"/>
          <w:sz w:val="21"/>
          <w:vertAlign w:val="superscript"/>
        </w:rPr>
        <w:tab/>
      </w:r>
      <w:r w:rsidRPr="00CC0941">
        <w:rPr>
          <w:rFonts w:hint="eastAsia"/>
        </w:rPr>
        <w:t>《红十字国际评论》</w:t>
      </w:r>
      <w:r>
        <w:rPr>
          <w:rFonts w:hint="eastAsia"/>
        </w:rPr>
        <w:t>，</w:t>
      </w:r>
      <w:r w:rsidRPr="00CC0941">
        <w:rPr>
          <w:rFonts w:hint="eastAsia"/>
        </w:rPr>
        <w:t>第</w:t>
      </w:r>
      <w:r w:rsidRPr="00CC0941">
        <w:t>36</w:t>
      </w:r>
      <w:r>
        <w:t>(</w:t>
      </w:r>
      <w:r w:rsidRPr="00CC0941">
        <w:t>1996</w:t>
      </w:r>
      <w:r>
        <w:t>)</w:t>
      </w:r>
      <w:r w:rsidRPr="00CC0941">
        <w:rPr>
          <w:rFonts w:hint="eastAsia"/>
        </w:rPr>
        <w:t>卷</w:t>
      </w:r>
      <w:r>
        <w:rPr>
          <w:rFonts w:hint="eastAsia"/>
        </w:rPr>
        <w:t>，</w:t>
      </w:r>
      <w:r w:rsidRPr="00CC0941">
        <w:rPr>
          <w:rFonts w:hint="eastAsia"/>
        </w:rPr>
        <w:t>第</w:t>
      </w:r>
      <w:r w:rsidRPr="00CC0941">
        <w:t>310</w:t>
      </w:r>
      <w:r w:rsidRPr="00CC0941">
        <w:rPr>
          <w:rFonts w:hint="eastAsia"/>
        </w:rPr>
        <w:t>号</w:t>
      </w:r>
      <w:r>
        <w:rPr>
          <w:rFonts w:hint="eastAsia"/>
        </w:rPr>
        <w:t>，</w:t>
      </w:r>
      <w:r w:rsidRPr="00CC0941">
        <w:rPr>
          <w:rFonts w:hint="eastAsia"/>
        </w:rPr>
        <w:t>附件六。</w:t>
      </w:r>
    </w:p>
  </w:footnote>
  <w:footnote w:id="21">
    <w:p w:rsidR="00AB00DE" w:rsidRDefault="00AB00DE" w:rsidP="00103498">
      <w:pPr>
        <w:pStyle w:val="a4"/>
      </w:pPr>
      <w:r>
        <w:tab/>
      </w:r>
      <w:r w:rsidRPr="00DF5565">
        <w:rPr>
          <w:rStyle w:val="a5"/>
          <w:szCs w:val="21"/>
        </w:rPr>
        <w:footnoteRef/>
      </w:r>
      <w:r w:rsidRPr="00DF5565">
        <w:rPr>
          <w:snapToGrid/>
          <w:color w:val="0000FF"/>
          <w:sz w:val="21"/>
          <w:vertAlign w:val="superscript"/>
        </w:rPr>
        <w:t xml:space="preserve"> </w:t>
      </w:r>
      <w:r w:rsidRPr="00DF5565">
        <w:rPr>
          <w:snapToGrid/>
          <w:color w:val="0000FF"/>
          <w:sz w:val="21"/>
          <w:vertAlign w:val="superscript"/>
        </w:rPr>
        <w:tab/>
      </w:r>
      <w:r w:rsidRPr="00CC0941">
        <w:rPr>
          <w:rFonts w:hint="eastAsia"/>
        </w:rPr>
        <w:t>见《红十字会红新月会联会导则》</w:t>
      </w:r>
      <w:r>
        <w:rPr>
          <w:rFonts w:hint="eastAsia"/>
        </w:rPr>
        <w:t>(</w:t>
      </w:r>
      <w:r w:rsidRPr="00CC0941">
        <w:rPr>
          <w:rFonts w:hint="eastAsia"/>
        </w:rPr>
        <w:t>上文脚注</w:t>
      </w:r>
      <w:r>
        <w:fldChar w:fldCharType="begin"/>
      </w:r>
      <w:r>
        <w:instrText xml:space="preserve"> </w:instrText>
      </w:r>
      <w:r>
        <w:rPr>
          <w:rFonts w:hint="eastAsia"/>
        </w:rPr>
        <w:instrText>NOTEREF _Ref450649159 \h</w:instrText>
      </w:r>
      <w:r>
        <w:instrText xml:space="preserve"> </w:instrText>
      </w:r>
      <w:r>
        <w:fldChar w:fldCharType="separate"/>
      </w:r>
      <w:r w:rsidR="00A73EB9">
        <w:t>17</w:t>
      </w:r>
      <w:r>
        <w:fldChar w:fldCharType="end"/>
      </w:r>
      <w:r>
        <w:rPr>
          <w:rFonts w:hint="eastAsia"/>
        </w:rPr>
        <w:t>)</w:t>
      </w:r>
      <w:r>
        <w:rPr>
          <w:rFonts w:hint="eastAsia"/>
        </w:rPr>
        <w:t>，</w:t>
      </w:r>
      <w:r w:rsidRPr="00CC0941">
        <w:rPr>
          <w:rFonts w:hint="eastAsia"/>
        </w:rPr>
        <w:t>导则</w:t>
      </w:r>
      <w:r>
        <w:rPr>
          <w:rFonts w:hint="eastAsia"/>
        </w:rPr>
        <w:t xml:space="preserve">2, </w:t>
      </w:r>
      <w:r w:rsidRPr="00CC0941">
        <w:rPr>
          <w:rFonts w:hint="eastAsia"/>
        </w:rPr>
        <w:t>第</w:t>
      </w:r>
      <w:r w:rsidRPr="00CC0941">
        <w:rPr>
          <w:rFonts w:hint="eastAsia"/>
        </w:rPr>
        <w:t>8</w:t>
      </w:r>
      <w:r w:rsidRPr="00CC0941">
        <w:rPr>
          <w:rFonts w:hint="eastAsia"/>
        </w:rPr>
        <w:t>段</w:t>
      </w:r>
      <w:r>
        <w:rPr>
          <w:rFonts w:hint="eastAsia"/>
        </w:rPr>
        <w:t>(</w:t>
      </w:r>
      <w:r w:rsidRPr="00CC0941">
        <w:rPr>
          <w:rFonts w:hint="eastAsia"/>
        </w:rPr>
        <w:t>“受灾人员或财产所在国家”</w:t>
      </w:r>
      <w:r>
        <w:rPr>
          <w:rFonts w:hint="eastAsia"/>
        </w:rPr>
        <w:t>)</w:t>
      </w:r>
      <w:r w:rsidRPr="00CC0941">
        <w:rPr>
          <w:rFonts w:hint="eastAsia"/>
        </w:rPr>
        <w:t>。</w:t>
      </w:r>
    </w:p>
  </w:footnote>
  <w:footnote w:id="22">
    <w:p w:rsidR="00AB00DE" w:rsidRDefault="00AB00DE" w:rsidP="00103498">
      <w:pPr>
        <w:pStyle w:val="a4"/>
      </w:pPr>
      <w:r>
        <w:tab/>
      </w:r>
      <w:r w:rsidRPr="00DF5565">
        <w:rPr>
          <w:rStyle w:val="a5"/>
          <w:szCs w:val="21"/>
        </w:rPr>
        <w:footnoteRef/>
      </w:r>
      <w:r w:rsidRPr="00DF5565">
        <w:rPr>
          <w:rStyle w:val="a5"/>
          <w:szCs w:val="21"/>
        </w:rPr>
        <w:t xml:space="preserve"> </w:t>
      </w:r>
      <w:r w:rsidRPr="00DF5565">
        <w:rPr>
          <w:snapToGrid/>
          <w:color w:val="0000FF"/>
          <w:sz w:val="21"/>
          <w:vertAlign w:val="superscript"/>
        </w:rPr>
        <w:tab/>
      </w:r>
      <w:r w:rsidRPr="00CC0941">
        <w:rPr>
          <w:rFonts w:hint="eastAsia"/>
        </w:rPr>
        <w:t>大会</w:t>
      </w:r>
      <w:r w:rsidRPr="00CC0941">
        <w:rPr>
          <w:rFonts w:hint="eastAsia"/>
        </w:rPr>
        <w:t>2007</w:t>
      </w:r>
      <w:r w:rsidRPr="00CC0941">
        <w:rPr>
          <w:rFonts w:hint="eastAsia"/>
        </w:rPr>
        <w:t>年</w:t>
      </w:r>
      <w:r w:rsidRPr="00CC0941">
        <w:rPr>
          <w:rFonts w:hint="eastAsia"/>
        </w:rPr>
        <w:t>12</w:t>
      </w:r>
      <w:r w:rsidRPr="00CC0941">
        <w:rPr>
          <w:rFonts w:hint="eastAsia"/>
        </w:rPr>
        <w:t>月</w:t>
      </w:r>
      <w:r w:rsidRPr="00CC0941">
        <w:rPr>
          <w:rFonts w:hint="eastAsia"/>
        </w:rPr>
        <w:t>6</w:t>
      </w:r>
      <w:r w:rsidRPr="00CC0941">
        <w:rPr>
          <w:rFonts w:hint="eastAsia"/>
        </w:rPr>
        <w:t>日第</w:t>
      </w:r>
      <w:r w:rsidRPr="00CC0941">
        <w:t>62</w:t>
      </w:r>
      <w:r>
        <w:t>/</w:t>
      </w:r>
      <w:r w:rsidRPr="00CC0941">
        <w:t>68</w:t>
      </w:r>
      <w:r w:rsidRPr="00CC0941">
        <w:rPr>
          <w:rFonts w:hint="eastAsia"/>
        </w:rPr>
        <w:t>号决议</w:t>
      </w:r>
      <w:r>
        <w:rPr>
          <w:rFonts w:hint="eastAsia"/>
        </w:rPr>
        <w:t>，</w:t>
      </w:r>
      <w:r w:rsidRPr="00CC0941">
        <w:rPr>
          <w:rFonts w:hint="eastAsia"/>
        </w:rPr>
        <w:t>附件</w:t>
      </w:r>
      <w:r>
        <w:rPr>
          <w:rFonts w:hint="eastAsia"/>
        </w:rPr>
        <w:t>，</w:t>
      </w:r>
      <w:r w:rsidRPr="00CC0941">
        <w:rPr>
          <w:rFonts w:hint="eastAsia"/>
        </w:rPr>
        <w:t>第</w:t>
      </w:r>
      <w:r w:rsidRPr="00CC0941">
        <w:rPr>
          <w:rFonts w:hint="eastAsia"/>
        </w:rPr>
        <w:t>2</w:t>
      </w:r>
      <w:r w:rsidRPr="00CC0941">
        <w:rPr>
          <w:rFonts w:hint="eastAsia"/>
        </w:rPr>
        <w:t>条</w:t>
      </w:r>
      <w:r>
        <w:rPr>
          <w:rFonts w:hint="eastAsia"/>
        </w:rPr>
        <w:t>；</w:t>
      </w:r>
      <w:r w:rsidRPr="00CC0941">
        <w:rPr>
          <w:rFonts w:hint="eastAsia"/>
        </w:rPr>
        <w:t>相关评注见《</w:t>
      </w:r>
      <w:r w:rsidRPr="00CC0941">
        <w:rPr>
          <w:rFonts w:hint="eastAsia"/>
        </w:rPr>
        <w:t>2001</w:t>
      </w:r>
      <w:r w:rsidRPr="00CC0941">
        <w:rPr>
          <w:rFonts w:hint="eastAsia"/>
        </w:rPr>
        <w:t>年</w:t>
      </w:r>
      <w:r>
        <w:rPr>
          <w:rFonts w:hint="eastAsia"/>
          <w:lang w:val="fr-CH"/>
        </w:rPr>
        <w:t>……</w:t>
      </w:r>
      <w:r w:rsidRPr="00CC0941">
        <w:rPr>
          <w:rFonts w:hint="eastAsia"/>
        </w:rPr>
        <w:t>年鉴》</w:t>
      </w:r>
      <w:r>
        <w:rPr>
          <w:rFonts w:hint="eastAsia"/>
        </w:rPr>
        <w:t>，</w:t>
      </w:r>
      <w:r w:rsidRPr="00CC0941">
        <w:rPr>
          <w:rFonts w:hint="eastAsia"/>
        </w:rPr>
        <w:t>第五章</w:t>
      </w:r>
      <w:r>
        <w:rPr>
          <w:rFonts w:hint="eastAsia"/>
        </w:rPr>
        <w:t>，</w:t>
      </w:r>
      <w:r w:rsidRPr="00CC0941">
        <w:rPr>
          <w:rFonts w:hint="eastAsia"/>
        </w:rPr>
        <w:t>E</w:t>
      </w:r>
      <w:r w:rsidRPr="00CC0941">
        <w:rPr>
          <w:rFonts w:hint="eastAsia"/>
        </w:rPr>
        <w:t>节。</w:t>
      </w:r>
    </w:p>
  </w:footnote>
  <w:footnote w:id="23">
    <w:p w:rsidR="00AB00DE" w:rsidRDefault="00AB00DE" w:rsidP="00103498">
      <w:pPr>
        <w:pStyle w:val="a4"/>
      </w:pPr>
      <w:r>
        <w:tab/>
      </w:r>
      <w:r w:rsidRPr="00DF5565">
        <w:rPr>
          <w:rStyle w:val="a5"/>
          <w:szCs w:val="21"/>
        </w:rPr>
        <w:footnoteRef/>
      </w:r>
      <w:r w:rsidRPr="00DF5565">
        <w:rPr>
          <w:rStyle w:val="a5"/>
          <w:szCs w:val="21"/>
        </w:rPr>
        <w:t xml:space="preserve"> </w:t>
      </w:r>
      <w:r w:rsidRPr="00DF5565">
        <w:rPr>
          <w:snapToGrid/>
          <w:color w:val="0000FF"/>
          <w:sz w:val="21"/>
          <w:vertAlign w:val="superscript"/>
        </w:rPr>
        <w:tab/>
      </w:r>
      <w:r w:rsidRPr="00CC0941">
        <w:rPr>
          <w:rFonts w:hint="eastAsia"/>
        </w:rPr>
        <w:t>见上文第</w:t>
      </w:r>
      <w:r w:rsidRPr="00CC0941">
        <w:rPr>
          <w:rFonts w:hint="eastAsia"/>
        </w:rPr>
        <w:t>3</w:t>
      </w:r>
      <w:r w:rsidRPr="00CC0941">
        <w:rPr>
          <w:rFonts w:hint="eastAsia"/>
        </w:rPr>
        <w:t>条草案的评注第</w:t>
      </w:r>
      <w:r>
        <w:t>(</w:t>
      </w:r>
      <w:r w:rsidRPr="00CC0941">
        <w:t>4</w:t>
      </w:r>
      <w:r>
        <w:t>)</w:t>
      </w:r>
      <w:r w:rsidRPr="00CC0941">
        <w:rPr>
          <w:rFonts w:hint="eastAsia"/>
        </w:rPr>
        <w:t>段。</w:t>
      </w:r>
    </w:p>
  </w:footnote>
  <w:footnote w:id="24">
    <w:p w:rsidR="00AB00DE" w:rsidRDefault="00AB00DE" w:rsidP="00103498">
      <w:pPr>
        <w:pStyle w:val="a4"/>
      </w:pPr>
      <w:r>
        <w:tab/>
      </w:r>
      <w:r w:rsidRPr="00DF5565">
        <w:rPr>
          <w:rStyle w:val="a5"/>
          <w:szCs w:val="21"/>
        </w:rPr>
        <w:footnoteRef/>
      </w:r>
      <w:r w:rsidRPr="00DF5565">
        <w:rPr>
          <w:rStyle w:val="a5"/>
          <w:szCs w:val="21"/>
        </w:rPr>
        <w:t xml:space="preserve"> </w:t>
      </w:r>
      <w:r w:rsidRPr="00DF5565">
        <w:rPr>
          <w:snapToGrid/>
          <w:color w:val="0000FF"/>
          <w:sz w:val="21"/>
          <w:vertAlign w:val="superscript"/>
        </w:rPr>
        <w:tab/>
      </w:r>
      <w:r w:rsidRPr="00CC0941">
        <w:rPr>
          <w:rFonts w:hint="eastAsia"/>
        </w:rPr>
        <w:t>联合国</w:t>
      </w:r>
      <w:r>
        <w:rPr>
          <w:rFonts w:hint="eastAsia"/>
        </w:rPr>
        <w:t>，</w:t>
      </w:r>
      <w:r w:rsidRPr="00CC0941">
        <w:rPr>
          <w:rFonts w:hint="eastAsia"/>
        </w:rPr>
        <w:t>《条约汇编》</w:t>
      </w:r>
      <w:r>
        <w:rPr>
          <w:rFonts w:hint="eastAsia"/>
        </w:rPr>
        <w:t>，</w:t>
      </w:r>
      <w:r w:rsidRPr="00CC0941">
        <w:rPr>
          <w:rFonts w:hint="eastAsia"/>
        </w:rPr>
        <w:t>第</w:t>
      </w:r>
      <w:r w:rsidRPr="00CC0941">
        <w:t>2172</w:t>
      </w:r>
      <w:r w:rsidRPr="00CC0941">
        <w:rPr>
          <w:rFonts w:hint="eastAsia"/>
        </w:rPr>
        <w:t>卷</w:t>
      </w:r>
      <w:r>
        <w:rPr>
          <w:rFonts w:hint="eastAsia"/>
        </w:rPr>
        <w:t>，</w:t>
      </w:r>
      <w:r w:rsidRPr="00CC0941">
        <w:rPr>
          <w:rFonts w:hint="eastAsia"/>
        </w:rPr>
        <w:t>第</w:t>
      </w:r>
      <w:r w:rsidRPr="00CC0941">
        <w:t>38131</w:t>
      </w:r>
      <w:r w:rsidRPr="00CC0941">
        <w:rPr>
          <w:rFonts w:hint="eastAsia"/>
        </w:rPr>
        <w:t>号</w:t>
      </w:r>
      <w:r>
        <w:rPr>
          <w:rFonts w:hint="eastAsia"/>
        </w:rPr>
        <w:t>，</w:t>
      </w:r>
      <w:r w:rsidRPr="00CC0941">
        <w:rPr>
          <w:rFonts w:hint="eastAsia"/>
        </w:rPr>
        <w:t>第</w:t>
      </w:r>
      <w:r w:rsidRPr="00CC0941">
        <w:rPr>
          <w:rFonts w:hint="eastAsia"/>
        </w:rPr>
        <w:t>213</w:t>
      </w:r>
      <w:r w:rsidRPr="00CC0941">
        <w:rPr>
          <w:rFonts w:hint="eastAsia"/>
        </w:rPr>
        <w:t>页</w:t>
      </w:r>
      <w:r>
        <w:rPr>
          <w:rFonts w:hint="eastAsia"/>
        </w:rPr>
        <w:t>，</w:t>
      </w:r>
      <w:r w:rsidRPr="00CC0941">
        <w:rPr>
          <w:rFonts w:hint="eastAsia"/>
        </w:rPr>
        <w:t>第</w:t>
      </w:r>
      <w:r w:rsidRPr="00CC0941">
        <w:rPr>
          <w:rFonts w:hint="eastAsia"/>
        </w:rPr>
        <w:t>1</w:t>
      </w:r>
      <w:r w:rsidRPr="00CC0941">
        <w:rPr>
          <w:rFonts w:hint="eastAsia"/>
        </w:rPr>
        <w:t>条</w:t>
      </w:r>
      <w:r>
        <w:t>(</w:t>
      </w:r>
      <w:r w:rsidRPr="00CC0941">
        <w:t>f</w:t>
      </w:r>
      <w:r>
        <w:t>)</w:t>
      </w:r>
      <w:r w:rsidRPr="00CC0941">
        <w:rPr>
          <w:rFonts w:hint="eastAsia"/>
        </w:rPr>
        <w:t>项。</w:t>
      </w:r>
    </w:p>
  </w:footnote>
  <w:footnote w:id="25">
    <w:p w:rsidR="00AB00DE" w:rsidRDefault="00AB00DE" w:rsidP="00103498">
      <w:pPr>
        <w:pStyle w:val="a4"/>
      </w:pPr>
      <w:r>
        <w:tab/>
      </w:r>
      <w:r w:rsidRPr="00DF5565">
        <w:rPr>
          <w:rStyle w:val="a5"/>
          <w:szCs w:val="21"/>
        </w:rPr>
        <w:footnoteRef/>
      </w:r>
      <w:r w:rsidRPr="00DF5565">
        <w:rPr>
          <w:rStyle w:val="a5"/>
          <w:szCs w:val="21"/>
        </w:rPr>
        <w:t xml:space="preserve"> </w:t>
      </w:r>
      <w:r w:rsidRPr="00DF5565">
        <w:rPr>
          <w:snapToGrid/>
          <w:color w:val="0000FF"/>
          <w:sz w:val="21"/>
          <w:vertAlign w:val="superscript"/>
        </w:rPr>
        <w:tab/>
      </w:r>
      <w:r w:rsidRPr="00CC0941">
        <w:rPr>
          <w:rFonts w:hint="eastAsia"/>
        </w:rPr>
        <w:t>见下文第</w:t>
      </w:r>
      <w:r w:rsidRPr="00CC0941">
        <w:rPr>
          <w:rFonts w:hint="eastAsia"/>
        </w:rPr>
        <w:t>12</w:t>
      </w:r>
      <w:r w:rsidRPr="00CC0941">
        <w:rPr>
          <w:rFonts w:hint="eastAsia"/>
        </w:rPr>
        <w:t>条草案的评注第</w:t>
      </w:r>
      <w:r>
        <w:t>(</w:t>
      </w:r>
      <w:r w:rsidRPr="00CC0941">
        <w:t>4</w:t>
      </w:r>
      <w:r>
        <w:t>)</w:t>
      </w:r>
      <w:r w:rsidRPr="00CC0941">
        <w:rPr>
          <w:rFonts w:hint="eastAsia"/>
        </w:rPr>
        <w:t>段。</w:t>
      </w:r>
    </w:p>
  </w:footnote>
  <w:footnote w:id="26">
    <w:p w:rsidR="00AB00DE" w:rsidRDefault="00AB00DE" w:rsidP="00103498">
      <w:pPr>
        <w:pStyle w:val="a4"/>
      </w:pPr>
      <w:r>
        <w:tab/>
      </w:r>
      <w:r w:rsidRPr="00DF5565">
        <w:rPr>
          <w:rStyle w:val="a5"/>
          <w:szCs w:val="21"/>
        </w:rPr>
        <w:footnoteRef/>
      </w:r>
      <w:r w:rsidRPr="00DF5565">
        <w:rPr>
          <w:rStyle w:val="a5"/>
          <w:szCs w:val="21"/>
        </w:rPr>
        <w:t xml:space="preserve"> </w:t>
      </w:r>
      <w:r w:rsidRPr="00DF5565">
        <w:rPr>
          <w:snapToGrid/>
          <w:color w:val="0000FF"/>
          <w:sz w:val="21"/>
          <w:vertAlign w:val="superscript"/>
        </w:rPr>
        <w:tab/>
      </w:r>
      <w:r w:rsidRPr="00CC0941">
        <w:rPr>
          <w:rFonts w:hint="eastAsia"/>
        </w:rPr>
        <w:t>见下文第</w:t>
      </w:r>
      <w:r w:rsidRPr="00CC0941">
        <w:rPr>
          <w:rFonts w:hint="eastAsia"/>
        </w:rPr>
        <w:t>7</w:t>
      </w:r>
      <w:r w:rsidRPr="00CC0941">
        <w:rPr>
          <w:rFonts w:hint="eastAsia"/>
        </w:rPr>
        <w:t>条草案的评注第</w:t>
      </w:r>
      <w:r>
        <w:t>(</w:t>
      </w:r>
      <w:r w:rsidRPr="00CC0941">
        <w:rPr>
          <w:rFonts w:hint="eastAsia"/>
        </w:rPr>
        <w:t>1</w:t>
      </w:r>
      <w:r>
        <w:t>)</w:t>
      </w:r>
      <w:r w:rsidRPr="00CC0941">
        <w:rPr>
          <w:rFonts w:hint="eastAsia"/>
        </w:rPr>
        <w:t>段</w:t>
      </w:r>
      <w:r>
        <w:rPr>
          <w:rFonts w:hint="eastAsia"/>
        </w:rPr>
        <w:t>。</w:t>
      </w:r>
      <w:r w:rsidRPr="00CC0941">
        <w:rPr>
          <w:rFonts w:hint="eastAsia"/>
        </w:rPr>
        <w:t>又见《红十字会红新月会联会导则》</w:t>
      </w:r>
      <w:r>
        <w:rPr>
          <w:rFonts w:hint="eastAsia"/>
        </w:rPr>
        <w:t>(</w:t>
      </w:r>
      <w:r w:rsidRPr="00CC0941">
        <w:rPr>
          <w:rFonts w:hint="eastAsia"/>
        </w:rPr>
        <w:t>上文脚注</w:t>
      </w:r>
      <w:r>
        <w:fldChar w:fldCharType="begin"/>
      </w:r>
      <w:r>
        <w:instrText xml:space="preserve"> </w:instrText>
      </w:r>
      <w:r>
        <w:rPr>
          <w:rFonts w:hint="eastAsia"/>
        </w:rPr>
        <w:instrText>NOTEREF _Ref450649159 \h</w:instrText>
      </w:r>
      <w:r>
        <w:instrText xml:space="preserve">  \* MERGEFORMAT </w:instrText>
      </w:r>
      <w:r>
        <w:fldChar w:fldCharType="separate"/>
      </w:r>
      <w:r w:rsidR="00A73EB9">
        <w:t>17</w:t>
      </w:r>
      <w:r>
        <w:fldChar w:fldCharType="end"/>
      </w:r>
      <w:r>
        <w:rPr>
          <w:rFonts w:hint="eastAsia"/>
        </w:rPr>
        <w:t>)</w:t>
      </w:r>
      <w:r>
        <w:rPr>
          <w:rFonts w:hint="eastAsia"/>
        </w:rPr>
        <w:t>，</w:t>
      </w:r>
      <w:r w:rsidRPr="00CC0941">
        <w:rPr>
          <w:rFonts w:hint="eastAsia"/>
        </w:rPr>
        <w:t>导则</w:t>
      </w:r>
      <w:r>
        <w:t>2.</w:t>
      </w:r>
      <w:r w:rsidRPr="00CC0941">
        <w:t>14</w:t>
      </w:r>
      <w:r>
        <w:t>(</w:t>
      </w:r>
      <w:r w:rsidRPr="00CC0941">
        <w:rPr>
          <w:rFonts w:hint="eastAsia"/>
        </w:rPr>
        <w:t>“援助方”的定义</w:t>
      </w:r>
      <w:r>
        <w:t>)</w:t>
      </w:r>
      <w:r w:rsidRPr="00CC0941">
        <w:rPr>
          <w:rFonts w:hint="eastAsia"/>
        </w:rPr>
        <w:t>。</w:t>
      </w:r>
    </w:p>
  </w:footnote>
  <w:footnote w:id="27">
    <w:p w:rsidR="00AB00DE" w:rsidRDefault="00AB00DE" w:rsidP="00103498">
      <w:pPr>
        <w:pStyle w:val="a4"/>
      </w:pPr>
      <w:r>
        <w:tab/>
      </w:r>
      <w:r w:rsidRPr="00DF5565">
        <w:rPr>
          <w:rStyle w:val="a5"/>
          <w:szCs w:val="21"/>
        </w:rPr>
        <w:footnoteRef/>
      </w:r>
      <w:r w:rsidRPr="00DF5565">
        <w:rPr>
          <w:rStyle w:val="a5"/>
          <w:szCs w:val="21"/>
        </w:rPr>
        <w:t xml:space="preserve"> </w:t>
      </w:r>
      <w:r w:rsidRPr="00DF5565">
        <w:rPr>
          <w:snapToGrid/>
          <w:color w:val="0000FF"/>
          <w:sz w:val="21"/>
          <w:vertAlign w:val="superscript"/>
        </w:rPr>
        <w:tab/>
      </w:r>
      <w:r w:rsidRPr="00CC0941">
        <w:rPr>
          <w:rFonts w:hint="eastAsia"/>
        </w:rPr>
        <w:t>第</w:t>
      </w:r>
      <w:r w:rsidRPr="00CC0941">
        <w:rPr>
          <w:rFonts w:hint="eastAsia"/>
        </w:rPr>
        <w:t>1</w:t>
      </w:r>
      <w:r w:rsidRPr="00CC0941">
        <w:rPr>
          <w:rFonts w:hint="eastAsia"/>
        </w:rPr>
        <w:t>条第</w:t>
      </w:r>
      <w:r w:rsidRPr="00CC0941">
        <w:rPr>
          <w:rFonts w:hint="eastAsia"/>
        </w:rPr>
        <w:t>1</w:t>
      </w:r>
      <w:r w:rsidRPr="00CC0941">
        <w:rPr>
          <w:rFonts w:hint="eastAsia"/>
        </w:rPr>
        <w:t>款</w:t>
      </w:r>
      <w:r>
        <w:t>(</w:t>
      </w:r>
      <w:r w:rsidRPr="00CC0941">
        <w:rPr>
          <w:rFonts w:hint="eastAsia"/>
        </w:rPr>
        <w:t>“援助实体”的定义</w:t>
      </w:r>
      <w:r>
        <w:t>)</w:t>
      </w:r>
      <w:r w:rsidRPr="00CC0941">
        <w:rPr>
          <w:rFonts w:hint="eastAsia"/>
        </w:rPr>
        <w:t>。</w:t>
      </w:r>
    </w:p>
  </w:footnote>
  <w:footnote w:id="28">
    <w:p w:rsidR="00AB00DE" w:rsidRDefault="00AB00DE" w:rsidP="00103498">
      <w:pPr>
        <w:pStyle w:val="a4"/>
      </w:pPr>
      <w:r>
        <w:tab/>
      </w:r>
      <w:r w:rsidRPr="00DF5565">
        <w:rPr>
          <w:rStyle w:val="a5"/>
          <w:szCs w:val="21"/>
        </w:rPr>
        <w:footnoteRef/>
      </w:r>
      <w:r w:rsidRPr="00DF5565">
        <w:rPr>
          <w:snapToGrid/>
          <w:color w:val="0000FF"/>
          <w:sz w:val="21"/>
          <w:vertAlign w:val="superscript"/>
        </w:rPr>
        <w:t xml:space="preserve"> </w:t>
      </w:r>
      <w:r w:rsidRPr="00DF5565">
        <w:rPr>
          <w:snapToGrid/>
          <w:color w:val="0000FF"/>
          <w:sz w:val="21"/>
          <w:vertAlign w:val="superscript"/>
        </w:rPr>
        <w:tab/>
      </w:r>
      <w:r w:rsidRPr="00CC0941">
        <w:rPr>
          <w:rFonts w:hint="eastAsia"/>
        </w:rPr>
        <w:t>见下文第</w:t>
      </w:r>
      <w:r w:rsidRPr="00CC0941">
        <w:rPr>
          <w:rFonts w:hint="eastAsia"/>
        </w:rPr>
        <w:t>14</w:t>
      </w:r>
      <w:r w:rsidRPr="00CC0941">
        <w:rPr>
          <w:rFonts w:hint="eastAsia"/>
        </w:rPr>
        <w:t>条草案的评注第</w:t>
      </w:r>
      <w:r>
        <w:t>(</w:t>
      </w:r>
      <w:r w:rsidRPr="00CC0941">
        <w:rPr>
          <w:rFonts w:hint="eastAsia"/>
        </w:rPr>
        <w:t>2</w:t>
      </w:r>
      <w:r>
        <w:t>)</w:t>
      </w:r>
      <w:r w:rsidRPr="00CC0941">
        <w:rPr>
          <w:rFonts w:hint="eastAsia"/>
        </w:rPr>
        <w:t>段。</w:t>
      </w:r>
    </w:p>
  </w:footnote>
  <w:footnote w:id="29">
    <w:p w:rsidR="00AB00DE" w:rsidRDefault="00AB00DE" w:rsidP="00103498">
      <w:pPr>
        <w:pStyle w:val="a4"/>
      </w:pPr>
      <w:r>
        <w:tab/>
      </w:r>
      <w:r w:rsidRPr="00DF5565">
        <w:rPr>
          <w:rStyle w:val="a5"/>
          <w:szCs w:val="21"/>
        </w:rPr>
        <w:footnoteRef/>
      </w:r>
      <w:r w:rsidRPr="00DF5565">
        <w:rPr>
          <w:snapToGrid/>
          <w:color w:val="0000FF"/>
          <w:sz w:val="21"/>
          <w:vertAlign w:val="superscript"/>
        </w:rPr>
        <w:t xml:space="preserve"> </w:t>
      </w:r>
      <w:r w:rsidRPr="00DF5565">
        <w:rPr>
          <w:snapToGrid/>
          <w:color w:val="0000FF"/>
          <w:sz w:val="21"/>
          <w:vertAlign w:val="superscript"/>
        </w:rPr>
        <w:tab/>
      </w:r>
      <w:r w:rsidRPr="00CC0941">
        <w:rPr>
          <w:rFonts w:hint="eastAsia"/>
        </w:rPr>
        <w:t>人道协调厅</w:t>
      </w:r>
      <w:r w:rsidRPr="00CC0941">
        <w:rPr>
          <w:rFonts w:hint="eastAsia"/>
        </w:rPr>
        <w:t>2006</w:t>
      </w:r>
      <w:r w:rsidRPr="00CC0941">
        <w:rPr>
          <w:rFonts w:hint="eastAsia"/>
        </w:rPr>
        <w:t>年《在救灾中使用外国军事和民防资源的准则》</w:t>
      </w:r>
      <w:r>
        <w:rPr>
          <w:rFonts w:hint="eastAsia"/>
        </w:rPr>
        <w:t>(</w:t>
      </w:r>
      <w:r w:rsidRPr="00CC0941">
        <w:rPr>
          <w:rFonts w:hint="eastAsia"/>
        </w:rPr>
        <w:t>又称《奥斯陆准则》</w:t>
      </w:r>
      <w:r>
        <w:rPr>
          <w:rFonts w:hint="eastAsia"/>
        </w:rPr>
        <w:t>)</w:t>
      </w:r>
      <w:r>
        <w:rPr>
          <w:rFonts w:hint="eastAsia"/>
        </w:rPr>
        <w:t>，</w:t>
      </w:r>
      <w:r w:rsidRPr="00CC0941">
        <w:rPr>
          <w:rFonts w:hint="eastAsia"/>
        </w:rPr>
        <w:t>2007</w:t>
      </w:r>
      <w:r w:rsidRPr="00CC0941">
        <w:rPr>
          <w:rFonts w:hint="eastAsia"/>
        </w:rPr>
        <w:t>年</w:t>
      </w:r>
      <w:r w:rsidRPr="00CC0941">
        <w:rPr>
          <w:rFonts w:hint="eastAsia"/>
        </w:rPr>
        <w:t>11</w:t>
      </w:r>
      <w:r w:rsidRPr="00CC0941">
        <w:rPr>
          <w:rFonts w:hint="eastAsia"/>
        </w:rPr>
        <w:t>月</w:t>
      </w:r>
      <w:r w:rsidRPr="00CC0941">
        <w:rPr>
          <w:rFonts w:hint="eastAsia"/>
        </w:rPr>
        <w:t>1</w:t>
      </w:r>
      <w:r>
        <w:rPr>
          <w:rFonts w:hint="eastAsia"/>
        </w:rPr>
        <w:t>日修订</w:t>
      </w:r>
      <w:r w:rsidRPr="00CC0941">
        <w:rPr>
          <w:rFonts w:hint="eastAsia"/>
        </w:rPr>
        <w:t>。</w:t>
      </w:r>
    </w:p>
  </w:footnote>
  <w:footnote w:id="30">
    <w:p w:rsidR="00AB00DE" w:rsidRDefault="00AB00DE" w:rsidP="00103498">
      <w:pPr>
        <w:pStyle w:val="a4"/>
      </w:pPr>
      <w:r>
        <w:tab/>
      </w:r>
      <w:r w:rsidRPr="00DF5565">
        <w:rPr>
          <w:rStyle w:val="a5"/>
          <w:szCs w:val="21"/>
        </w:rPr>
        <w:footnoteRef/>
      </w:r>
      <w:r w:rsidRPr="00DF5565">
        <w:rPr>
          <w:rStyle w:val="a5"/>
          <w:szCs w:val="21"/>
        </w:rPr>
        <w:t xml:space="preserve"> </w:t>
      </w:r>
      <w:r w:rsidRPr="00DF5565">
        <w:rPr>
          <w:snapToGrid/>
          <w:color w:val="0000FF"/>
          <w:sz w:val="21"/>
          <w:vertAlign w:val="superscript"/>
        </w:rPr>
        <w:tab/>
      </w:r>
      <w:r w:rsidRPr="00CC0941">
        <w:rPr>
          <w:rFonts w:hint="eastAsia"/>
        </w:rPr>
        <w:t>见第</w:t>
      </w:r>
      <w:r w:rsidRPr="00CC0941">
        <w:rPr>
          <w:rFonts w:hint="eastAsia"/>
        </w:rPr>
        <w:t>1</w:t>
      </w:r>
      <w:r w:rsidRPr="00CC0941">
        <w:rPr>
          <w:rFonts w:hint="eastAsia"/>
        </w:rPr>
        <w:t>条</w:t>
      </w:r>
      <w:r>
        <w:t>(</w:t>
      </w:r>
      <w:r w:rsidRPr="00CC0941">
        <w:t>d</w:t>
      </w:r>
      <w:r>
        <w:t>)</w:t>
      </w:r>
      <w:r w:rsidRPr="00CC0941">
        <w:rPr>
          <w:rFonts w:hint="eastAsia"/>
        </w:rPr>
        <w:t>项</w:t>
      </w:r>
      <w:r>
        <w:t>(</w:t>
      </w:r>
      <w:r w:rsidRPr="00CC0941">
        <w:rPr>
          <w:rFonts w:hint="eastAsia"/>
        </w:rPr>
        <w:t>“援助”的定义</w:t>
      </w:r>
      <w:r>
        <w:t>)</w:t>
      </w:r>
      <w:r w:rsidRPr="00CC0941">
        <w:rPr>
          <w:rFonts w:hint="eastAsia"/>
        </w:rPr>
        <w:t>。</w:t>
      </w:r>
    </w:p>
  </w:footnote>
  <w:footnote w:id="31">
    <w:p w:rsidR="00AB00DE" w:rsidRDefault="00AB00DE" w:rsidP="00267AB1">
      <w:pPr>
        <w:pStyle w:val="a4"/>
      </w:pPr>
      <w:r>
        <w:tab/>
      </w:r>
      <w:r w:rsidRPr="00DF5565">
        <w:rPr>
          <w:rStyle w:val="a5"/>
          <w:szCs w:val="21"/>
        </w:rPr>
        <w:footnoteRef/>
      </w:r>
      <w:r w:rsidRPr="00DF5565">
        <w:rPr>
          <w:snapToGrid/>
          <w:color w:val="0000FF"/>
          <w:sz w:val="21"/>
          <w:vertAlign w:val="superscript"/>
        </w:rPr>
        <w:t xml:space="preserve"> </w:t>
      </w:r>
      <w:r w:rsidRPr="00DF5565">
        <w:rPr>
          <w:snapToGrid/>
          <w:color w:val="0000FF"/>
          <w:sz w:val="21"/>
          <w:vertAlign w:val="superscript"/>
        </w:rPr>
        <w:tab/>
      </w:r>
      <w:r>
        <w:rPr>
          <w:rFonts w:hint="eastAsia"/>
        </w:rPr>
        <w:t>也见《</w:t>
      </w:r>
      <w:r w:rsidRPr="00D01969">
        <w:rPr>
          <w:rFonts w:hint="eastAsia"/>
        </w:rPr>
        <w:t>奥斯陆准则》</w:t>
      </w:r>
      <w:r>
        <w:rPr>
          <w:rFonts w:hint="eastAsia"/>
        </w:rPr>
        <w:t>(</w:t>
      </w:r>
      <w:r>
        <w:rPr>
          <w:rFonts w:hint="eastAsia"/>
        </w:rPr>
        <w:t>上文脚注</w:t>
      </w:r>
      <w:r>
        <w:fldChar w:fldCharType="begin"/>
      </w:r>
      <w:r>
        <w:instrText xml:space="preserve"> </w:instrText>
      </w:r>
      <w:r>
        <w:rPr>
          <w:rFonts w:hint="eastAsia"/>
        </w:rPr>
        <w:instrText>NOTEREF _Ref461892244 \h</w:instrText>
      </w:r>
      <w:r>
        <w:instrText xml:space="preserve"> </w:instrText>
      </w:r>
      <w:r>
        <w:fldChar w:fldCharType="separate"/>
      </w:r>
      <w:r w:rsidR="00A73EB9">
        <w:t>28</w:t>
      </w:r>
      <w:r>
        <w:fldChar w:fldCharType="end"/>
      </w:r>
      <w:r>
        <w:rPr>
          <w:rFonts w:hint="eastAsia"/>
        </w:rPr>
        <w:t>)</w:t>
      </w:r>
      <w:r>
        <w:rPr>
          <w:rFonts w:hint="eastAsia"/>
        </w:rPr>
        <w:t>，准则</w:t>
      </w:r>
      <w:r>
        <w:rPr>
          <w:rFonts w:hint="eastAsia"/>
        </w:rPr>
        <w:t>5</w:t>
      </w:r>
      <w:r w:rsidRPr="00CC0941">
        <w:rPr>
          <w:rFonts w:hint="eastAsia"/>
        </w:rPr>
        <w:t>。</w:t>
      </w:r>
    </w:p>
  </w:footnote>
  <w:footnote w:id="32">
    <w:p w:rsidR="00AB00DE" w:rsidRDefault="00AB00DE" w:rsidP="00103498">
      <w:pPr>
        <w:pStyle w:val="a4"/>
      </w:pPr>
      <w:r>
        <w:tab/>
      </w:r>
      <w:r w:rsidRPr="00DF5565">
        <w:rPr>
          <w:rStyle w:val="a5"/>
          <w:szCs w:val="21"/>
        </w:rPr>
        <w:footnoteRef/>
      </w:r>
      <w:r w:rsidRPr="00DF5565">
        <w:rPr>
          <w:snapToGrid/>
          <w:color w:val="0000FF"/>
          <w:sz w:val="21"/>
          <w:vertAlign w:val="superscript"/>
        </w:rPr>
        <w:t xml:space="preserve"> </w:t>
      </w:r>
      <w:r w:rsidRPr="00DF5565">
        <w:rPr>
          <w:snapToGrid/>
          <w:color w:val="0000FF"/>
          <w:sz w:val="21"/>
          <w:vertAlign w:val="superscript"/>
        </w:rPr>
        <w:tab/>
      </w:r>
      <w:r w:rsidRPr="00CC0941">
        <w:rPr>
          <w:rFonts w:hint="eastAsia"/>
        </w:rPr>
        <w:t>《希腊共和国政府与俄罗斯联邦共和国政府关于在预防和应对自然和人为灾害方面开展合作的协定》</w:t>
      </w:r>
      <w:r>
        <w:rPr>
          <w:rFonts w:hint="eastAsia"/>
        </w:rPr>
        <w:t>，</w:t>
      </w:r>
      <w:r w:rsidRPr="00CC0941">
        <w:t>2000</w:t>
      </w:r>
      <w:r w:rsidRPr="00CC0941">
        <w:rPr>
          <w:rFonts w:hint="eastAsia"/>
        </w:rPr>
        <w:t>年</w:t>
      </w:r>
      <w:r w:rsidRPr="00CC0941">
        <w:t>2</w:t>
      </w:r>
      <w:r w:rsidRPr="00CC0941">
        <w:rPr>
          <w:rFonts w:hint="eastAsia"/>
        </w:rPr>
        <w:t>月</w:t>
      </w:r>
      <w:r w:rsidRPr="00CC0941">
        <w:t>21</w:t>
      </w:r>
      <w:r w:rsidRPr="00CC0941">
        <w:rPr>
          <w:rFonts w:hint="eastAsia"/>
        </w:rPr>
        <w:t>日</w:t>
      </w:r>
      <w:r>
        <w:rPr>
          <w:rFonts w:hint="eastAsia"/>
        </w:rPr>
        <w:t>，</w:t>
      </w:r>
      <w:r w:rsidRPr="00CC0941">
        <w:rPr>
          <w:rFonts w:hint="eastAsia"/>
        </w:rPr>
        <w:t>第</w:t>
      </w:r>
      <w:r w:rsidRPr="00CC0941">
        <w:t>1</w:t>
      </w:r>
      <w:r w:rsidRPr="00CC0941">
        <w:rPr>
          <w:rFonts w:hint="eastAsia"/>
        </w:rPr>
        <w:t>条</w:t>
      </w:r>
      <w:r>
        <w:t>(</w:t>
      </w:r>
      <w:r w:rsidRPr="00CC0941">
        <w:rPr>
          <w:rFonts w:hint="eastAsia"/>
        </w:rPr>
        <w:t>“救援队”的定义</w:t>
      </w:r>
      <w:r>
        <w:t>)</w:t>
      </w:r>
      <w:r w:rsidRPr="00CC0941">
        <w:rPr>
          <w:rFonts w:hint="eastAsia"/>
        </w:rPr>
        <w:t>。</w:t>
      </w:r>
    </w:p>
  </w:footnote>
  <w:footnote w:id="33">
    <w:p w:rsidR="00AB00DE" w:rsidRDefault="00AB00DE" w:rsidP="00103498">
      <w:pPr>
        <w:pStyle w:val="a4"/>
      </w:pPr>
      <w:r>
        <w:tab/>
      </w:r>
      <w:r w:rsidRPr="00DF5565">
        <w:rPr>
          <w:rStyle w:val="a5"/>
          <w:szCs w:val="21"/>
        </w:rPr>
        <w:footnoteRef/>
      </w:r>
      <w:r w:rsidRPr="00DF5565">
        <w:rPr>
          <w:snapToGrid/>
          <w:color w:val="0000FF"/>
          <w:sz w:val="21"/>
          <w:vertAlign w:val="superscript"/>
        </w:rPr>
        <w:t xml:space="preserve"> </w:t>
      </w:r>
      <w:r w:rsidRPr="00DF5565">
        <w:rPr>
          <w:snapToGrid/>
          <w:color w:val="0000FF"/>
          <w:sz w:val="21"/>
          <w:vertAlign w:val="superscript"/>
        </w:rPr>
        <w:tab/>
      </w:r>
      <w:r w:rsidRPr="00CC0941">
        <w:t>见国家对国际不法行为的责任条款</w:t>
      </w:r>
      <w:r>
        <w:t>，</w:t>
      </w:r>
      <w:r w:rsidRPr="00CC0941">
        <w:t>2001</w:t>
      </w:r>
      <w:r w:rsidRPr="00CC0941">
        <w:t>年</w:t>
      </w:r>
      <w:r>
        <w:t>，</w:t>
      </w:r>
      <w:r w:rsidRPr="00CC0941">
        <w:t>大会</w:t>
      </w:r>
      <w:r w:rsidRPr="00CC0941">
        <w:t>2001</w:t>
      </w:r>
      <w:r w:rsidRPr="00CC0941">
        <w:t>年</w:t>
      </w:r>
      <w:r w:rsidRPr="00CC0941">
        <w:t>12</w:t>
      </w:r>
      <w:r w:rsidRPr="00CC0941">
        <w:t>月</w:t>
      </w:r>
      <w:r w:rsidRPr="00CC0941">
        <w:t>12</w:t>
      </w:r>
      <w:r w:rsidRPr="00CC0941">
        <w:t>日第</w:t>
      </w:r>
      <w:r w:rsidRPr="00CC0941">
        <w:t>56</w:t>
      </w:r>
      <w:r>
        <w:t>/</w:t>
      </w:r>
      <w:r w:rsidRPr="00CC0941">
        <w:t>83</w:t>
      </w:r>
      <w:r w:rsidRPr="00CC0941">
        <w:t>号决议</w:t>
      </w:r>
      <w:r>
        <w:t>，</w:t>
      </w:r>
      <w:r w:rsidRPr="00CC0941">
        <w:t>附件</w:t>
      </w:r>
      <w:r>
        <w:t>，</w:t>
      </w:r>
      <w:r w:rsidRPr="00CC0941">
        <w:t>第</w:t>
      </w:r>
      <w:r w:rsidRPr="00CC0941">
        <w:t>4-9</w:t>
      </w:r>
      <w:r w:rsidRPr="00CC0941">
        <w:t>条</w:t>
      </w:r>
      <w:r>
        <w:rPr>
          <w:rFonts w:hint="eastAsia"/>
        </w:rPr>
        <w:t>(</w:t>
      </w:r>
      <w:r w:rsidRPr="00CC0941">
        <w:rPr>
          <w:rFonts w:hint="eastAsia"/>
        </w:rPr>
        <w:t>相关评注见《</w:t>
      </w:r>
      <w:r w:rsidRPr="00CC0941">
        <w:rPr>
          <w:rFonts w:hint="eastAsia"/>
        </w:rPr>
        <w:t>2001</w:t>
      </w:r>
      <w:r>
        <w:rPr>
          <w:rFonts w:hint="eastAsia"/>
        </w:rPr>
        <w:t>年</w:t>
      </w:r>
      <w:r>
        <w:rPr>
          <w:rFonts w:hint="eastAsia"/>
          <w:lang w:val="fr-CH"/>
        </w:rPr>
        <w:t>……</w:t>
      </w:r>
      <w:r w:rsidRPr="00CC0941">
        <w:rPr>
          <w:rFonts w:hint="eastAsia"/>
        </w:rPr>
        <w:t>年鉴》</w:t>
      </w:r>
      <w:r>
        <w:rPr>
          <w:rFonts w:hint="eastAsia"/>
        </w:rPr>
        <w:t>，</w:t>
      </w:r>
      <w:r w:rsidRPr="00CC0941">
        <w:rPr>
          <w:rFonts w:hint="eastAsia"/>
        </w:rPr>
        <w:t>第二卷</w:t>
      </w:r>
      <w:r>
        <w:rPr>
          <w:rFonts w:hint="eastAsia"/>
        </w:rPr>
        <w:t>(</w:t>
      </w:r>
      <w:r w:rsidRPr="00CC0941">
        <w:rPr>
          <w:rFonts w:hint="eastAsia"/>
        </w:rPr>
        <w:t>第二部分</w:t>
      </w:r>
      <w:r>
        <w:rPr>
          <w:rFonts w:hint="eastAsia"/>
        </w:rPr>
        <w:t>)</w:t>
      </w:r>
      <w:r w:rsidRPr="00CC0941">
        <w:t>和</w:t>
      </w:r>
      <w:r w:rsidRPr="00CC0941">
        <w:rPr>
          <w:rFonts w:hint="eastAsia"/>
        </w:rPr>
        <w:t>更正</w:t>
      </w:r>
      <w:r>
        <w:rPr>
          <w:rFonts w:hint="eastAsia"/>
        </w:rPr>
        <w:t>，</w:t>
      </w:r>
      <w:r w:rsidRPr="00CC0941">
        <w:rPr>
          <w:rFonts w:hint="eastAsia"/>
        </w:rPr>
        <w:t>第四章</w:t>
      </w:r>
      <w:r w:rsidRPr="00CC0941">
        <w:rPr>
          <w:rFonts w:hint="eastAsia"/>
        </w:rPr>
        <w:t>E</w:t>
      </w:r>
      <w:r w:rsidRPr="00CC0941">
        <w:rPr>
          <w:rFonts w:hint="eastAsia"/>
        </w:rPr>
        <w:t>节</w:t>
      </w:r>
      <w:r>
        <w:rPr>
          <w:rFonts w:hint="eastAsia"/>
        </w:rPr>
        <w:t>)</w:t>
      </w:r>
      <w:r w:rsidRPr="00CC0941">
        <w:rPr>
          <w:rFonts w:hint="eastAsia"/>
        </w:rPr>
        <w:t>及</w:t>
      </w:r>
      <w:r w:rsidRPr="00CC0941">
        <w:t>关于国际组织的责任的条款</w:t>
      </w:r>
      <w:r>
        <w:t>，</w:t>
      </w:r>
      <w:r w:rsidRPr="00CC0941">
        <w:t>2011</w:t>
      </w:r>
      <w:r w:rsidRPr="00CC0941">
        <w:t>年</w:t>
      </w:r>
      <w:r>
        <w:t>，</w:t>
      </w:r>
      <w:r w:rsidRPr="00CC0941">
        <w:t>大会</w:t>
      </w:r>
      <w:r w:rsidRPr="00CC0941">
        <w:t>2011</w:t>
      </w:r>
      <w:r w:rsidRPr="00CC0941">
        <w:t>年</w:t>
      </w:r>
      <w:r w:rsidRPr="00CC0941">
        <w:t>12</w:t>
      </w:r>
      <w:r w:rsidRPr="00CC0941">
        <w:t>月</w:t>
      </w:r>
      <w:r w:rsidRPr="00CC0941">
        <w:t>9</w:t>
      </w:r>
      <w:r w:rsidRPr="00CC0941">
        <w:t>日第</w:t>
      </w:r>
      <w:r w:rsidRPr="00CC0941">
        <w:t>66</w:t>
      </w:r>
      <w:r>
        <w:t>/</w:t>
      </w:r>
      <w:r w:rsidRPr="00CC0941">
        <w:rPr>
          <w:rFonts w:hint="eastAsia"/>
        </w:rPr>
        <w:t>100</w:t>
      </w:r>
      <w:r w:rsidRPr="00CC0941">
        <w:t>号决议</w:t>
      </w:r>
      <w:r>
        <w:t>，</w:t>
      </w:r>
      <w:r w:rsidRPr="00CC0941">
        <w:t>附件</w:t>
      </w:r>
      <w:r>
        <w:t>，</w:t>
      </w:r>
      <w:r w:rsidRPr="00CC0941">
        <w:t>第</w:t>
      </w:r>
      <w:r w:rsidRPr="00CC0941">
        <w:t>6-7</w:t>
      </w:r>
      <w:r w:rsidRPr="00CC0941">
        <w:t>条</w:t>
      </w:r>
      <w:r>
        <w:rPr>
          <w:rFonts w:hint="eastAsia"/>
        </w:rPr>
        <w:t>(</w:t>
      </w:r>
      <w:r w:rsidRPr="00CC0941">
        <w:rPr>
          <w:rFonts w:hint="eastAsia"/>
        </w:rPr>
        <w:t>相关评注见《</w:t>
      </w:r>
      <w:r w:rsidRPr="00CC0941">
        <w:rPr>
          <w:rFonts w:hint="eastAsia"/>
        </w:rPr>
        <w:t>2001</w:t>
      </w:r>
      <w:r>
        <w:rPr>
          <w:rFonts w:hint="eastAsia"/>
        </w:rPr>
        <w:t>年</w:t>
      </w:r>
      <w:r>
        <w:rPr>
          <w:rFonts w:hint="eastAsia"/>
          <w:lang w:val="fr-CH"/>
        </w:rPr>
        <w:t>……</w:t>
      </w:r>
      <w:r w:rsidRPr="00CC0941">
        <w:rPr>
          <w:rFonts w:hint="eastAsia"/>
        </w:rPr>
        <w:t>年鉴》</w:t>
      </w:r>
      <w:r>
        <w:rPr>
          <w:rFonts w:hint="eastAsia"/>
        </w:rPr>
        <w:t>，</w:t>
      </w:r>
      <w:r w:rsidRPr="00CC0941">
        <w:rPr>
          <w:rFonts w:hint="eastAsia"/>
        </w:rPr>
        <w:t>第二卷</w:t>
      </w:r>
      <w:r>
        <w:rPr>
          <w:rFonts w:hint="eastAsia"/>
        </w:rPr>
        <w:t>(</w:t>
      </w:r>
      <w:r w:rsidRPr="00CC0941">
        <w:rPr>
          <w:rFonts w:hint="eastAsia"/>
        </w:rPr>
        <w:t>第二部分</w:t>
      </w:r>
      <w:r>
        <w:rPr>
          <w:rFonts w:hint="eastAsia"/>
        </w:rPr>
        <w:t>)</w:t>
      </w:r>
      <w:r w:rsidRPr="00CC0941">
        <w:t>和</w:t>
      </w:r>
      <w:r w:rsidRPr="00CC0941">
        <w:rPr>
          <w:rFonts w:hint="eastAsia"/>
        </w:rPr>
        <w:t>更正</w:t>
      </w:r>
      <w:r>
        <w:rPr>
          <w:rFonts w:hint="eastAsia"/>
        </w:rPr>
        <w:t>，</w:t>
      </w:r>
      <w:r w:rsidRPr="00CC0941">
        <w:rPr>
          <w:rFonts w:hint="eastAsia"/>
        </w:rPr>
        <w:t>第五章</w:t>
      </w:r>
      <w:r w:rsidRPr="00CC0941">
        <w:rPr>
          <w:rFonts w:hint="eastAsia"/>
        </w:rPr>
        <w:t>E</w:t>
      </w:r>
      <w:r w:rsidRPr="00CC0941">
        <w:rPr>
          <w:rFonts w:hint="eastAsia"/>
        </w:rPr>
        <w:t>节</w:t>
      </w:r>
      <w:r>
        <w:rPr>
          <w:rFonts w:hint="eastAsia"/>
        </w:rPr>
        <w:t>)</w:t>
      </w:r>
      <w:r w:rsidRPr="00CC0941">
        <w:t>。</w:t>
      </w:r>
    </w:p>
  </w:footnote>
  <w:footnote w:id="34">
    <w:p w:rsidR="00AB00DE" w:rsidRDefault="00AB00DE" w:rsidP="00103498">
      <w:pPr>
        <w:pStyle w:val="a4"/>
      </w:pPr>
      <w:r>
        <w:tab/>
      </w:r>
      <w:r w:rsidRPr="00DF5565">
        <w:rPr>
          <w:rStyle w:val="a5"/>
          <w:szCs w:val="21"/>
        </w:rPr>
        <w:footnoteRef/>
      </w:r>
      <w:r w:rsidRPr="00DF5565">
        <w:rPr>
          <w:snapToGrid/>
          <w:color w:val="0000FF"/>
          <w:sz w:val="21"/>
          <w:vertAlign w:val="superscript"/>
        </w:rPr>
        <w:t xml:space="preserve"> </w:t>
      </w:r>
      <w:r w:rsidRPr="00DF5565">
        <w:rPr>
          <w:snapToGrid/>
          <w:color w:val="0000FF"/>
          <w:sz w:val="21"/>
          <w:vertAlign w:val="superscript"/>
        </w:rPr>
        <w:tab/>
      </w:r>
      <w:r w:rsidRPr="00CC0941">
        <w:rPr>
          <w:rFonts w:hint="eastAsia"/>
        </w:rPr>
        <w:t>见下文第</w:t>
      </w:r>
      <w:r w:rsidRPr="00CC0941">
        <w:rPr>
          <w:rFonts w:hint="eastAsia"/>
        </w:rPr>
        <w:t>15</w:t>
      </w:r>
      <w:r w:rsidRPr="00CC0941">
        <w:rPr>
          <w:rFonts w:hint="eastAsia"/>
        </w:rPr>
        <w:t>条草案的评注第</w:t>
      </w:r>
      <w:r>
        <w:t>(</w:t>
      </w:r>
      <w:r w:rsidRPr="00CC0941">
        <w:t>5</w:t>
      </w:r>
      <w:r>
        <w:t>)</w:t>
      </w:r>
      <w:r w:rsidRPr="00CC0941">
        <w:rPr>
          <w:rFonts w:hint="eastAsia"/>
        </w:rPr>
        <w:t>段。</w:t>
      </w:r>
    </w:p>
  </w:footnote>
  <w:footnote w:id="35">
    <w:p w:rsidR="00AB00DE" w:rsidRDefault="00AB00DE" w:rsidP="00267AB1">
      <w:pPr>
        <w:pStyle w:val="a4"/>
      </w:pPr>
      <w:r>
        <w:rPr>
          <w:rFonts w:hint="eastAsia"/>
        </w:rPr>
        <w:tab/>
      </w:r>
      <w:r w:rsidRPr="00DF5565">
        <w:rPr>
          <w:rStyle w:val="a5"/>
          <w:szCs w:val="21"/>
        </w:rPr>
        <w:footnoteRef/>
      </w:r>
      <w:r>
        <w:rPr>
          <w:rFonts w:hint="eastAsia"/>
        </w:rPr>
        <w:tab/>
      </w:r>
      <w:r>
        <w:rPr>
          <w:rFonts w:hint="eastAsia"/>
        </w:rPr>
        <w:t>见上</w:t>
      </w:r>
      <w:r w:rsidRPr="00CC0941">
        <w:rPr>
          <w:rFonts w:hint="eastAsia"/>
        </w:rPr>
        <w:t>文</w:t>
      </w:r>
      <w:r>
        <w:rPr>
          <w:rFonts w:hint="eastAsia"/>
        </w:rPr>
        <w:t>脚注</w:t>
      </w:r>
      <w:r>
        <w:fldChar w:fldCharType="begin"/>
      </w:r>
      <w:r>
        <w:instrText xml:space="preserve"> </w:instrText>
      </w:r>
      <w:r>
        <w:rPr>
          <w:rFonts w:hint="eastAsia"/>
        </w:rPr>
        <w:instrText>NOTEREF _Ref450648805 \h</w:instrText>
      </w:r>
      <w:r>
        <w:instrText xml:space="preserve"> </w:instrText>
      </w:r>
      <w:r>
        <w:fldChar w:fldCharType="separate"/>
      </w:r>
      <w:r w:rsidR="00A73EB9">
        <w:t>18</w:t>
      </w:r>
      <w:r>
        <w:fldChar w:fldCharType="end"/>
      </w:r>
      <w:r>
        <w:rPr>
          <w:rFonts w:hint="eastAsia"/>
        </w:rPr>
        <w:t>。</w:t>
      </w:r>
    </w:p>
  </w:footnote>
  <w:footnote w:id="36">
    <w:p w:rsidR="00AB00DE" w:rsidRDefault="00AB00DE" w:rsidP="00103498">
      <w:pPr>
        <w:pStyle w:val="a4"/>
      </w:pPr>
      <w:r>
        <w:tab/>
      </w:r>
      <w:r w:rsidRPr="00DF5565">
        <w:rPr>
          <w:rStyle w:val="a5"/>
          <w:szCs w:val="21"/>
        </w:rPr>
        <w:footnoteRef/>
      </w:r>
      <w:r w:rsidRPr="00DF5565">
        <w:rPr>
          <w:snapToGrid/>
          <w:color w:val="0000FF"/>
          <w:sz w:val="21"/>
          <w:vertAlign w:val="superscript"/>
        </w:rPr>
        <w:t xml:space="preserve"> </w:t>
      </w:r>
      <w:r w:rsidRPr="00DF5565">
        <w:rPr>
          <w:snapToGrid/>
          <w:color w:val="0000FF"/>
          <w:sz w:val="21"/>
          <w:vertAlign w:val="superscript"/>
        </w:rPr>
        <w:tab/>
      </w:r>
      <w:r w:rsidRPr="00CC0941">
        <w:t>联合国</w:t>
      </w:r>
      <w:r>
        <w:t>，</w:t>
      </w:r>
      <w:r w:rsidRPr="00CC0941">
        <w:t>《条约汇编》</w:t>
      </w:r>
      <w:r>
        <w:t>，</w:t>
      </w:r>
      <w:r w:rsidRPr="00CC0941">
        <w:t>第</w:t>
      </w:r>
      <w:r w:rsidRPr="00CC0941">
        <w:t>950</w:t>
      </w:r>
      <w:r w:rsidRPr="00CC0941">
        <w:t>卷</w:t>
      </w:r>
      <w:r>
        <w:t>，</w:t>
      </w:r>
      <w:r w:rsidRPr="00CC0941">
        <w:t>第</w:t>
      </w:r>
      <w:r w:rsidRPr="00CC0941">
        <w:t>13561</w:t>
      </w:r>
      <w:r w:rsidRPr="00CC0941">
        <w:t>号</w:t>
      </w:r>
      <w:r>
        <w:t>，</w:t>
      </w:r>
      <w:r w:rsidRPr="00CC0941">
        <w:t>第</w:t>
      </w:r>
      <w:r w:rsidRPr="00CC0941">
        <w:t>269</w:t>
      </w:r>
      <w:r w:rsidRPr="00CC0941">
        <w:t>页</w:t>
      </w:r>
      <w:r>
        <w:t>，</w:t>
      </w:r>
      <w:r w:rsidRPr="00CC0941">
        <w:t>后经</w:t>
      </w:r>
      <w:r w:rsidRPr="00CC0941">
        <w:t>1999</w:t>
      </w:r>
      <w:r w:rsidRPr="00CC0941">
        <w:t>年</w:t>
      </w:r>
      <w:r w:rsidRPr="00CC0941">
        <w:t>6</w:t>
      </w:r>
      <w:r w:rsidRPr="00CC0941">
        <w:t>月</w:t>
      </w:r>
      <w:r w:rsidRPr="00CC0941">
        <w:t>26</w:t>
      </w:r>
      <w:r w:rsidRPr="00CC0941">
        <w:t>日《关于简化和协调海关制度的国际公约修正案议定书》修订</w:t>
      </w:r>
      <w:r>
        <w:t>，</w:t>
      </w:r>
      <w:r w:rsidRPr="00CC0941">
        <w:t>联合国</w:t>
      </w:r>
      <w:r>
        <w:t>，</w:t>
      </w:r>
      <w:r w:rsidRPr="00CC0941">
        <w:t>《条约汇编》</w:t>
      </w:r>
      <w:r>
        <w:t>，</w:t>
      </w:r>
      <w:r w:rsidRPr="00CC0941">
        <w:t>第</w:t>
      </w:r>
      <w:r w:rsidRPr="00CC0941">
        <w:t>2370</w:t>
      </w:r>
      <w:r w:rsidRPr="00CC0941">
        <w:t>卷</w:t>
      </w:r>
      <w:r>
        <w:t>，</w:t>
      </w:r>
      <w:r w:rsidRPr="00CC0941">
        <w:t>第</w:t>
      </w:r>
      <w:r w:rsidRPr="00CC0941">
        <w:t>13561</w:t>
      </w:r>
      <w:r w:rsidRPr="00CC0941">
        <w:t>号</w:t>
      </w:r>
      <w:r>
        <w:t>，</w:t>
      </w:r>
      <w:r w:rsidRPr="00CC0941">
        <w:t>第</w:t>
      </w:r>
      <w:r w:rsidRPr="00CC0941">
        <w:t>27</w:t>
      </w:r>
      <w:r w:rsidRPr="00CC0941">
        <w:t>页</w:t>
      </w:r>
      <w:r>
        <w:t>(</w:t>
      </w:r>
      <w:r w:rsidRPr="009E1EB9">
        <w:rPr>
          <w:rFonts w:hint="eastAsia"/>
        </w:rPr>
        <w:t>“</w:t>
      </w:r>
      <w:r w:rsidRPr="00CC0941">
        <w:t>救济物资</w:t>
      </w:r>
      <w:r>
        <w:rPr>
          <w:rFonts w:hint="eastAsia"/>
        </w:rPr>
        <w:t>”</w:t>
      </w:r>
      <w:r w:rsidRPr="00CC0941">
        <w:t>的定义</w:t>
      </w:r>
      <w:r>
        <w:t>)</w:t>
      </w:r>
      <w:r w:rsidRPr="00CC0941">
        <w:t>。</w:t>
      </w:r>
    </w:p>
  </w:footnote>
  <w:footnote w:id="37">
    <w:p w:rsidR="00AB00DE" w:rsidRDefault="00AB00DE" w:rsidP="00103498">
      <w:pPr>
        <w:pStyle w:val="a4"/>
      </w:pPr>
      <w:r>
        <w:tab/>
      </w:r>
      <w:r w:rsidRPr="00DF5565">
        <w:rPr>
          <w:rStyle w:val="a5"/>
          <w:szCs w:val="21"/>
        </w:rPr>
        <w:footnoteRef/>
      </w:r>
      <w:r w:rsidRPr="00DF5565">
        <w:rPr>
          <w:snapToGrid/>
          <w:color w:val="0000FF"/>
          <w:sz w:val="21"/>
          <w:vertAlign w:val="superscript"/>
        </w:rPr>
        <w:t xml:space="preserve"> </w:t>
      </w:r>
      <w:r w:rsidRPr="00DF5565">
        <w:rPr>
          <w:snapToGrid/>
          <w:color w:val="0000FF"/>
          <w:sz w:val="21"/>
          <w:vertAlign w:val="superscript"/>
        </w:rPr>
        <w:tab/>
      </w:r>
      <w:r w:rsidRPr="00CC0941">
        <w:t>大会</w:t>
      </w:r>
      <w:r w:rsidRPr="00CC0941">
        <w:t>1948</w:t>
      </w:r>
      <w:r w:rsidRPr="00CC0941">
        <w:t>年</w:t>
      </w:r>
      <w:r w:rsidRPr="00CC0941">
        <w:t>12</w:t>
      </w:r>
      <w:r w:rsidRPr="00CC0941">
        <w:t>月</w:t>
      </w:r>
      <w:r w:rsidRPr="00CC0941">
        <w:t>10</w:t>
      </w:r>
      <w:r w:rsidRPr="00CC0941">
        <w:t>日第</w:t>
      </w:r>
      <w:r w:rsidRPr="00CC0941">
        <w:t>217</w:t>
      </w:r>
      <w:r>
        <w:t>(</w:t>
      </w:r>
      <w:r w:rsidRPr="00CC0941">
        <w:t>III</w:t>
      </w:r>
      <w:r>
        <w:t>)</w:t>
      </w:r>
      <w:r>
        <w:rPr>
          <w:rFonts w:hint="eastAsia"/>
        </w:rPr>
        <w:t>(</w:t>
      </w:r>
      <w:r w:rsidRPr="00CC0941">
        <w:t>A</w:t>
      </w:r>
      <w:r>
        <w:rPr>
          <w:rFonts w:hint="eastAsia"/>
        </w:rPr>
        <w:t>)</w:t>
      </w:r>
      <w:r w:rsidRPr="00CC0941">
        <w:t>号决议。</w:t>
      </w:r>
    </w:p>
  </w:footnote>
  <w:footnote w:id="38">
    <w:p w:rsidR="00AB00DE" w:rsidRPr="00CC0941" w:rsidRDefault="00AB00DE" w:rsidP="00103498">
      <w:pPr>
        <w:pStyle w:val="a4"/>
      </w:pPr>
      <w:r>
        <w:tab/>
      </w:r>
      <w:r w:rsidRPr="00DF5565">
        <w:rPr>
          <w:rStyle w:val="a5"/>
          <w:szCs w:val="21"/>
        </w:rPr>
        <w:footnoteRef/>
      </w:r>
      <w:r w:rsidRPr="00DF5565">
        <w:rPr>
          <w:color w:val="0000FF"/>
          <w:sz w:val="21"/>
          <w:vertAlign w:val="superscript"/>
        </w:rPr>
        <w:t xml:space="preserve"> </w:t>
      </w:r>
      <w:r w:rsidRPr="00DF5565">
        <w:rPr>
          <w:color w:val="0000FF"/>
          <w:sz w:val="21"/>
          <w:vertAlign w:val="superscript"/>
        </w:rPr>
        <w:tab/>
      </w:r>
      <w:r w:rsidRPr="00CC0941">
        <w:rPr>
          <w:rFonts w:hint="eastAsia"/>
        </w:rPr>
        <w:t>联合国</w:t>
      </w:r>
      <w:r>
        <w:rPr>
          <w:rFonts w:hint="eastAsia"/>
        </w:rPr>
        <w:t>，</w:t>
      </w:r>
      <w:r w:rsidRPr="00CC0941">
        <w:rPr>
          <w:rFonts w:hint="eastAsia"/>
        </w:rPr>
        <w:t>《条约汇编》</w:t>
      </w:r>
      <w:r>
        <w:rPr>
          <w:rFonts w:hint="eastAsia"/>
        </w:rPr>
        <w:t>，</w:t>
      </w:r>
      <w:r w:rsidRPr="00CC0941">
        <w:rPr>
          <w:rFonts w:hint="eastAsia"/>
        </w:rPr>
        <w:t>第</w:t>
      </w:r>
      <w:r>
        <w:t>9</w:t>
      </w:r>
      <w:r>
        <w:rPr>
          <w:rFonts w:hint="eastAsia"/>
        </w:rPr>
        <w:t>99</w:t>
      </w:r>
      <w:r w:rsidRPr="00CC0941">
        <w:rPr>
          <w:rFonts w:hint="eastAsia"/>
        </w:rPr>
        <w:t>卷</w:t>
      </w:r>
      <w:r>
        <w:rPr>
          <w:rFonts w:hint="eastAsia"/>
        </w:rPr>
        <w:t>，</w:t>
      </w:r>
      <w:r w:rsidRPr="00CC0941">
        <w:rPr>
          <w:rFonts w:hint="eastAsia"/>
        </w:rPr>
        <w:t>第</w:t>
      </w:r>
      <w:r w:rsidRPr="00CC0941">
        <w:t>14668</w:t>
      </w:r>
      <w:r w:rsidRPr="00CC0941">
        <w:rPr>
          <w:rFonts w:hint="eastAsia"/>
        </w:rPr>
        <w:t>号</w:t>
      </w:r>
      <w:r>
        <w:rPr>
          <w:rFonts w:hint="eastAsia"/>
        </w:rPr>
        <w:t>，</w:t>
      </w:r>
      <w:r w:rsidRPr="00CC0941">
        <w:rPr>
          <w:rFonts w:hint="eastAsia"/>
        </w:rPr>
        <w:t>第</w:t>
      </w:r>
      <w:r>
        <w:rPr>
          <w:rFonts w:hint="eastAsia"/>
        </w:rPr>
        <w:t>171</w:t>
      </w:r>
      <w:r w:rsidRPr="00CC0941">
        <w:rPr>
          <w:rFonts w:hint="eastAsia"/>
        </w:rPr>
        <w:t>页</w:t>
      </w:r>
      <w:r>
        <w:rPr>
          <w:rFonts w:hint="eastAsia"/>
        </w:rPr>
        <w:t>，</w:t>
      </w:r>
      <w:r w:rsidRPr="00CC0941">
        <w:rPr>
          <w:rFonts w:hint="eastAsia"/>
        </w:rPr>
        <w:t>序言部分</w:t>
      </w:r>
      <w:r>
        <w:rPr>
          <w:rFonts w:hint="eastAsia"/>
        </w:rPr>
        <w:t>；</w:t>
      </w:r>
      <w:r w:rsidRPr="00CC0941">
        <w:rPr>
          <w:rFonts w:hint="eastAsia"/>
        </w:rPr>
        <w:t>第十条第</w:t>
      </w:r>
      <w:r w:rsidRPr="00CC0941">
        <w:t>1</w:t>
      </w:r>
      <w:r w:rsidRPr="00CC0941">
        <w:rPr>
          <w:rFonts w:hint="eastAsia"/>
        </w:rPr>
        <w:t>款。</w:t>
      </w:r>
    </w:p>
  </w:footnote>
  <w:footnote w:id="39">
    <w:p w:rsidR="00AB00DE" w:rsidRPr="00CC0941" w:rsidRDefault="00AB00DE" w:rsidP="00D17A94">
      <w:pPr>
        <w:pStyle w:val="a4"/>
      </w:pPr>
      <w:r>
        <w:tab/>
      </w:r>
      <w:r w:rsidRPr="00DF5565">
        <w:rPr>
          <w:rStyle w:val="a5"/>
          <w:szCs w:val="21"/>
        </w:rPr>
        <w:footnoteRef/>
      </w:r>
      <w:r w:rsidRPr="00DF5565">
        <w:rPr>
          <w:color w:val="0000FF"/>
          <w:sz w:val="21"/>
          <w:vertAlign w:val="superscript"/>
        </w:rPr>
        <w:t xml:space="preserve"> </w:t>
      </w:r>
      <w:r w:rsidRPr="00DF5565">
        <w:rPr>
          <w:color w:val="0000FF"/>
          <w:sz w:val="21"/>
          <w:vertAlign w:val="superscript"/>
        </w:rPr>
        <w:tab/>
      </w:r>
      <w:r w:rsidRPr="00CC0941">
        <w:rPr>
          <w:rFonts w:hint="eastAsia"/>
        </w:rPr>
        <w:t>联合国</w:t>
      </w:r>
      <w:r>
        <w:rPr>
          <w:rFonts w:hint="eastAsia"/>
        </w:rPr>
        <w:t>，</w:t>
      </w:r>
      <w:r w:rsidRPr="00CC0941">
        <w:rPr>
          <w:rFonts w:hint="eastAsia"/>
        </w:rPr>
        <w:t>《条约汇编》</w:t>
      </w:r>
      <w:r>
        <w:rPr>
          <w:rFonts w:hint="eastAsia"/>
        </w:rPr>
        <w:t>，</w:t>
      </w:r>
      <w:r w:rsidRPr="00CC0941">
        <w:rPr>
          <w:rFonts w:hint="eastAsia"/>
        </w:rPr>
        <w:t>第</w:t>
      </w:r>
      <w:r w:rsidRPr="00CC0941">
        <w:t>993</w:t>
      </w:r>
      <w:r w:rsidRPr="00CC0941">
        <w:rPr>
          <w:rFonts w:hint="eastAsia"/>
        </w:rPr>
        <w:t>卷</w:t>
      </w:r>
      <w:r>
        <w:rPr>
          <w:rFonts w:hint="eastAsia"/>
        </w:rPr>
        <w:t>，</w:t>
      </w:r>
      <w:r w:rsidRPr="00CC0941">
        <w:rPr>
          <w:rFonts w:hint="eastAsia"/>
        </w:rPr>
        <w:t>第</w:t>
      </w:r>
      <w:r w:rsidRPr="00FD5B0C">
        <w:rPr>
          <w:rFonts w:asciiTheme="majorBidi" w:hAnsiTheme="majorBidi" w:cstheme="majorBidi"/>
        </w:rPr>
        <w:t>14531</w:t>
      </w:r>
      <w:r w:rsidRPr="00CC0941">
        <w:rPr>
          <w:rFonts w:hint="eastAsia"/>
        </w:rPr>
        <w:t>号</w:t>
      </w:r>
      <w:r>
        <w:rPr>
          <w:rFonts w:hint="eastAsia"/>
        </w:rPr>
        <w:t>，</w:t>
      </w:r>
      <w:r w:rsidRPr="00CC0941">
        <w:rPr>
          <w:rFonts w:hint="eastAsia"/>
        </w:rPr>
        <w:t>第</w:t>
      </w:r>
      <w:r w:rsidRPr="00CC0941">
        <w:t>3</w:t>
      </w:r>
      <w:r w:rsidRPr="00CC0941">
        <w:rPr>
          <w:rFonts w:hint="eastAsia"/>
        </w:rPr>
        <w:t>页</w:t>
      </w:r>
      <w:r>
        <w:rPr>
          <w:rFonts w:hint="eastAsia"/>
        </w:rPr>
        <w:t>，</w:t>
      </w:r>
      <w:r w:rsidRPr="00CC0941">
        <w:rPr>
          <w:rFonts w:hint="eastAsia"/>
        </w:rPr>
        <w:t>序言部分</w:t>
      </w:r>
      <w:r>
        <w:rPr>
          <w:rFonts w:hint="eastAsia"/>
        </w:rPr>
        <w:t>；</w:t>
      </w:r>
      <w:r w:rsidRPr="00CC0941">
        <w:rPr>
          <w:rFonts w:hint="eastAsia"/>
        </w:rPr>
        <w:t>第十三条第</w:t>
      </w:r>
      <w:r w:rsidRPr="00CC0941">
        <w:t>1</w:t>
      </w:r>
      <w:r w:rsidRPr="00CC0941">
        <w:rPr>
          <w:rFonts w:hint="eastAsia"/>
        </w:rPr>
        <w:t>款。</w:t>
      </w:r>
    </w:p>
  </w:footnote>
  <w:footnote w:id="40">
    <w:p w:rsidR="00AB00DE" w:rsidRPr="00CC0941" w:rsidRDefault="00AB00DE" w:rsidP="00103498">
      <w:pPr>
        <w:pStyle w:val="a4"/>
      </w:pPr>
      <w:r>
        <w:tab/>
      </w:r>
      <w:r w:rsidRPr="00DF5565">
        <w:rPr>
          <w:rStyle w:val="a5"/>
          <w:szCs w:val="21"/>
        </w:rPr>
        <w:footnoteRef/>
      </w:r>
      <w:r w:rsidRPr="00DF5565">
        <w:rPr>
          <w:color w:val="0000FF"/>
          <w:sz w:val="21"/>
          <w:vertAlign w:val="superscript"/>
        </w:rPr>
        <w:t xml:space="preserve"> </w:t>
      </w:r>
      <w:r w:rsidRPr="00DF5565">
        <w:rPr>
          <w:color w:val="0000FF"/>
          <w:sz w:val="21"/>
          <w:vertAlign w:val="superscript"/>
        </w:rPr>
        <w:tab/>
      </w:r>
      <w:r w:rsidRPr="00CC0941">
        <w:rPr>
          <w:rFonts w:hint="eastAsia"/>
        </w:rPr>
        <w:t>同上</w:t>
      </w:r>
      <w:r>
        <w:rPr>
          <w:rFonts w:hint="eastAsia"/>
        </w:rPr>
        <w:t>，</w:t>
      </w:r>
      <w:r w:rsidRPr="00CC0941">
        <w:rPr>
          <w:rFonts w:hint="eastAsia"/>
        </w:rPr>
        <w:t>第</w:t>
      </w:r>
      <w:r w:rsidRPr="00CC0941">
        <w:t>660</w:t>
      </w:r>
      <w:r w:rsidRPr="00CC0941">
        <w:rPr>
          <w:rFonts w:hint="eastAsia"/>
        </w:rPr>
        <w:t>卷</w:t>
      </w:r>
      <w:r>
        <w:rPr>
          <w:rFonts w:hint="eastAsia"/>
        </w:rPr>
        <w:t>，</w:t>
      </w:r>
      <w:r w:rsidRPr="00CC0941">
        <w:rPr>
          <w:rFonts w:hint="eastAsia"/>
        </w:rPr>
        <w:t>第</w:t>
      </w:r>
      <w:r w:rsidRPr="00CC0941">
        <w:t>9464</w:t>
      </w:r>
      <w:r w:rsidRPr="00CC0941">
        <w:rPr>
          <w:rFonts w:hint="eastAsia"/>
        </w:rPr>
        <w:t>号</w:t>
      </w:r>
      <w:r>
        <w:rPr>
          <w:rFonts w:hint="eastAsia"/>
        </w:rPr>
        <w:t>，</w:t>
      </w:r>
      <w:r w:rsidRPr="00CC0941">
        <w:rPr>
          <w:rFonts w:hint="eastAsia"/>
        </w:rPr>
        <w:t>第</w:t>
      </w:r>
      <w:r w:rsidRPr="00CC0941">
        <w:t>195</w:t>
      </w:r>
      <w:r w:rsidRPr="00CC0941">
        <w:rPr>
          <w:rFonts w:hint="eastAsia"/>
        </w:rPr>
        <w:t>页</w:t>
      </w:r>
      <w:r>
        <w:rPr>
          <w:rFonts w:hint="eastAsia"/>
        </w:rPr>
        <w:t>，</w:t>
      </w:r>
      <w:r w:rsidRPr="00CC0941">
        <w:rPr>
          <w:rFonts w:hint="eastAsia"/>
        </w:rPr>
        <w:t>序言部分。</w:t>
      </w:r>
    </w:p>
  </w:footnote>
  <w:footnote w:id="41">
    <w:p w:rsidR="00AB00DE" w:rsidRPr="00CC0941" w:rsidRDefault="00AB00DE" w:rsidP="00103498">
      <w:pPr>
        <w:pStyle w:val="a4"/>
      </w:pPr>
      <w:r>
        <w:tab/>
      </w:r>
      <w:r w:rsidRPr="00DF5565">
        <w:rPr>
          <w:rStyle w:val="a5"/>
          <w:szCs w:val="21"/>
        </w:rPr>
        <w:footnoteRef/>
      </w:r>
      <w:r w:rsidRPr="00DF5565">
        <w:rPr>
          <w:color w:val="0000FF"/>
          <w:sz w:val="21"/>
          <w:vertAlign w:val="superscript"/>
        </w:rPr>
        <w:t xml:space="preserve"> </w:t>
      </w:r>
      <w:r w:rsidRPr="00DF5565">
        <w:rPr>
          <w:color w:val="0000FF"/>
          <w:sz w:val="21"/>
          <w:vertAlign w:val="superscript"/>
        </w:rPr>
        <w:tab/>
      </w:r>
      <w:r w:rsidRPr="00CC0941">
        <w:rPr>
          <w:rFonts w:hint="eastAsia"/>
        </w:rPr>
        <w:t>同上</w:t>
      </w:r>
      <w:r>
        <w:rPr>
          <w:rFonts w:hint="eastAsia"/>
        </w:rPr>
        <w:t>，</w:t>
      </w:r>
      <w:r w:rsidRPr="00CC0941">
        <w:rPr>
          <w:rFonts w:hint="eastAsia"/>
        </w:rPr>
        <w:t>第</w:t>
      </w:r>
      <w:r w:rsidRPr="00CC0941">
        <w:t>1249</w:t>
      </w:r>
      <w:r w:rsidRPr="00CC0941">
        <w:rPr>
          <w:rFonts w:hint="eastAsia"/>
        </w:rPr>
        <w:t>卷</w:t>
      </w:r>
      <w:r>
        <w:rPr>
          <w:rFonts w:hint="eastAsia"/>
        </w:rPr>
        <w:t>，</w:t>
      </w:r>
      <w:r w:rsidRPr="00CC0941">
        <w:rPr>
          <w:rFonts w:hint="eastAsia"/>
        </w:rPr>
        <w:t>第</w:t>
      </w:r>
      <w:r w:rsidRPr="00CC0941">
        <w:t>20378</w:t>
      </w:r>
      <w:r w:rsidRPr="00CC0941">
        <w:rPr>
          <w:rFonts w:hint="eastAsia"/>
        </w:rPr>
        <w:t>号</w:t>
      </w:r>
      <w:r>
        <w:rPr>
          <w:rFonts w:hint="eastAsia"/>
        </w:rPr>
        <w:t>，</w:t>
      </w:r>
      <w:r w:rsidRPr="00CC0941">
        <w:rPr>
          <w:rFonts w:hint="eastAsia"/>
        </w:rPr>
        <w:t>第</w:t>
      </w:r>
      <w:r w:rsidRPr="00CC0941">
        <w:t>13</w:t>
      </w:r>
      <w:r w:rsidRPr="00CC0941">
        <w:rPr>
          <w:rFonts w:hint="eastAsia"/>
        </w:rPr>
        <w:t>页</w:t>
      </w:r>
      <w:r>
        <w:rPr>
          <w:rFonts w:hint="eastAsia"/>
        </w:rPr>
        <w:t>，</w:t>
      </w:r>
      <w:r w:rsidRPr="00CC0941">
        <w:rPr>
          <w:rFonts w:hint="eastAsia"/>
        </w:rPr>
        <w:t>序言部分。</w:t>
      </w:r>
    </w:p>
  </w:footnote>
  <w:footnote w:id="42">
    <w:p w:rsidR="00AB00DE" w:rsidRPr="00CC0941" w:rsidRDefault="00AB00DE" w:rsidP="00103498">
      <w:pPr>
        <w:pStyle w:val="a4"/>
      </w:pPr>
      <w:r>
        <w:tab/>
      </w:r>
      <w:r w:rsidRPr="00DF5565">
        <w:rPr>
          <w:rStyle w:val="a5"/>
          <w:szCs w:val="21"/>
        </w:rPr>
        <w:footnoteRef/>
      </w:r>
      <w:r w:rsidRPr="00DF5565">
        <w:rPr>
          <w:rStyle w:val="a5"/>
          <w:szCs w:val="21"/>
        </w:rPr>
        <w:t xml:space="preserve"> </w:t>
      </w:r>
      <w:r w:rsidRPr="00DF5565">
        <w:rPr>
          <w:color w:val="0000FF"/>
          <w:sz w:val="21"/>
          <w:vertAlign w:val="superscript"/>
        </w:rPr>
        <w:tab/>
      </w:r>
      <w:r w:rsidRPr="00CC0941">
        <w:rPr>
          <w:rFonts w:hint="eastAsia"/>
        </w:rPr>
        <w:t>同上</w:t>
      </w:r>
      <w:r>
        <w:rPr>
          <w:rFonts w:hint="eastAsia"/>
        </w:rPr>
        <w:t>，</w:t>
      </w:r>
      <w:r w:rsidRPr="00CC0941">
        <w:rPr>
          <w:rFonts w:hint="eastAsia"/>
        </w:rPr>
        <w:t>第</w:t>
      </w:r>
      <w:r w:rsidRPr="00CC0941">
        <w:t>1465</w:t>
      </w:r>
      <w:r w:rsidRPr="00CC0941">
        <w:rPr>
          <w:rFonts w:hint="eastAsia"/>
        </w:rPr>
        <w:t>卷</w:t>
      </w:r>
      <w:r>
        <w:rPr>
          <w:rFonts w:hint="eastAsia"/>
        </w:rPr>
        <w:t>，</w:t>
      </w:r>
      <w:r w:rsidRPr="00CC0941">
        <w:rPr>
          <w:rFonts w:hint="eastAsia"/>
        </w:rPr>
        <w:t>第</w:t>
      </w:r>
      <w:r w:rsidRPr="00CC0941">
        <w:t>24841</w:t>
      </w:r>
      <w:r w:rsidRPr="00CC0941">
        <w:rPr>
          <w:rFonts w:hint="eastAsia"/>
        </w:rPr>
        <w:t>号</w:t>
      </w:r>
      <w:r>
        <w:rPr>
          <w:rFonts w:hint="eastAsia"/>
        </w:rPr>
        <w:t>，</w:t>
      </w:r>
      <w:r w:rsidRPr="00CC0941">
        <w:rPr>
          <w:rFonts w:hint="eastAsia"/>
        </w:rPr>
        <w:t>第</w:t>
      </w:r>
      <w:r w:rsidRPr="00CC0941">
        <w:t>85</w:t>
      </w:r>
      <w:r w:rsidRPr="00CC0941">
        <w:rPr>
          <w:rFonts w:hint="eastAsia"/>
        </w:rPr>
        <w:t>页</w:t>
      </w:r>
      <w:r>
        <w:rPr>
          <w:rFonts w:hint="eastAsia"/>
        </w:rPr>
        <w:t>，</w:t>
      </w:r>
      <w:r w:rsidRPr="00CC0941">
        <w:rPr>
          <w:rFonts w:hint="eastAsia"/>
        </w:rPr>
        <w:t>序言部分。</w:t>
      </w:r>
    </w:p>
  </w:footnote>
  <w:footnote w:id="43">
    <w:p w:rsidR="00AB00DE" w:rsidRPr="00CC0941" w:rsidRDefault="00AB00DE" w:rsidP="00103498">
      <w:pPr>
        <w:pStyle w:val="a4"/>
      </w:pPr>
      <w:r>
        <w:tab/>
      </w:r>
      <w:r w:rsidRPr="00DF5565">
        <w:rPr>
          <w:rStyle w:val="a5"/>
          <w:szCs w:val="21"/>
        </w:rPr>
        <w:footnoteRef/>
      </w:r>
      <w:r w:rsidRPr="00DF5565">
        <w:rPr>
          <w:color w:val="0000FF"/>
          <w:sz w:val="21"/>
          <w:vertAlign w:val="superscript"/>
        </w:rPr>
        <w:t xml:space="preserve"> </w:t>
      </w:r>
      <w:r w:rsidRPr="00DF5565">
        <w:rPr>
          <w:color w:val="0000FF"/>
          <w:sz w:val="21"/>
          <w:vertAlign w:val="superscript"/>
        </w:rPr>
        <w:tab/>
      </w:r>
      <w:r w:rsidRPr="00CC0941">
        <w:rPr>
          <w:rFonts w:hint="eastAsia"/>
        </w:rPr>
        <w:t>同上</w:t>
      </w:r>
      <w:r>
        <w:rPr>
          <w:rFonts w:hint="eastAsia"/>
        </w:rPr>
        <w:t>，</w:t>
      </w:r>
      <w:r w:rsidRPr="00CC0941">
        <w:rPr>
          <w:rFonts w:hint="eastAsia"/>
        </w:rPr>
        <w:t>第</w:t>
      </w:r>
      <w:r w:rsidRPr="00CC0941">
        <w:t>1577</w:t>
      </w:r>
      <w:r w:rsidRPr="00CC0941">
        <w:rPr>
          <w:rFonts w:hint="eastAsia"/>
        </w:rPr>
        <w:t>卷</w:t>
      </w:r>
      <w:r>
        <w:rPr>
          <w:rFonts w:hint="eastAsia"/>
        </w:rPr>
        <w:t>，</w:t>
      </w:r>
      <w:r w:rsidRPr="00CC0941">
        <w:rPr>
          <w:rFonts w:hint="eastAsia"/>
        </w:rPr>
        <w:t>第</w:t>
      </w:r>
      <w:r w:rsidRPr="00CC0941">
        <w:t>27531</w:t>
      </w:r>
      <w:r w:rsidRPr="00CC0941">
        <w:rPr>
          <w:rFonts w:hint="eastAsia"/>
        </w:rPr>
        <w:t>号</w:t>
      </w:r>
      <w:r>
        <w:rPr>
          <w:rFonts w:hint="eastAsia"/>
        </w:rPr>
        <w:t>，</w:t>
      </w:r>
      <w:r w:rsidRPr="00CC0941">
        <w:rPr>
          <w:rFonts w:hint="eastAsia"/>
        </w:rPr>
        <w:t>第</w:t>
      </w:r>
      <w:r w:rsidRPr="00CC0941">
        <w:t>3</w:t>
      </w:r>
      <w:r w:rsidRPr="00CC0941">
        <w:rPr>
          <w:rFonts w:hint="eastAsia"/>
        </w:rPr>
        <w:t>页</w:t>
      </w:r>
      <w:r>
        <w:rPr>
          <w:rFonts w:hint="eastAsia"/>
        </w:rPr>
        <w:t>，</w:t>
      </w:r>
      <w:r w:rsidRPr="00CC0941">
        <w:rPr>
          <w:rFonts w:hint="eastAsia"/>
        </w:rPr>
        <w:t>序言部分</w:t>
      </w:r>
      <w:r>
        <w:rPr>
          <w:rFonts w:hint="eastAsia"/>
        </w:rPr>
        <w:t>；</w:t>
      </w:r>
      <w:r w:rsidRPr="00CC0941">
        <w:rPr>
          <w:rFonts w:hint="eastAsia"/>
        </w:rPr>
        <w:t>第</w:t>
      </w:r>
      <w:r w:rsidRPr="00CC0941">
        <w:t>23</w:t>
      </w:r>
      <w:r w:rsidRPr="00CC0941">
        <w:rPr>
          <w:rFonts w:hint="eastAsia"/>
        </w:rPr>
        <w:t>条第</w:t>
      </w:r>
      <w:r w:rsidRPr="00CC0941">
        <w:t>1</w:t>
      </w:r>
      <w:r w:rsidRPr="00CC0941">
        <w:rPr>
          <w:rFonts w:hint="eastAsia"/>
        </w:rPr>
        <w:t>款</w:t>
      </w:r>
      <w:r>
        <w:rPr>
          <w:rFonts w:hint="eastAsia"/>
        </w:rPr>
        <w:t>；</w:t>
      </w:r>
      <w:r w:rsidRPr="00CC0941">
        <w:rPr>
          <w:rFonts w:hint="eastAsia"/>
        </w:rPr>
        <w:t>第</w:t>
      </w:r>
      <w:r w:rsidRPr="00CC0941">
        <w:t>28</w:t>
      </w:r>
      <w:r w:rsidRPr="00CC0941">
        <w:rPr>
          <w:rFonts w:hint="eastAsia"/>
        </w:rPr>
        <w:t>条第</w:t>
      </w:r>
      <w:r w:rsidRPr="00CC0941">
        <w:t>2</w:t>
      </w:r>
      <w:r w:rsidRPr="00CC0941">
        <w:rPr>
          <w:rFonts w:hint="eastAsia"/>
        </w:rPr>
        <w:t>款</w:t>
      </w:r>
      <w:r>
        <w:rPr>
          <w:rFonts w:hint="eastAsia"/>
        </w:rPr>
        <w:t>；</w:t>
      </w:r>
      <w:r w:rsidRPr="00CC0941">
        <w:rPr>
          <w:rFonts w:hint="eastAsia"/>
        </w:rPr>
        <w:t>第</w:t>
      </w:r>
      <w:r w:rsidRPr="00CC0941">
        <w:t>37</w:t>
      </w:r>
      <w:r w:rsidRPr="00CC0941">
        <w:rPr>
          <w:rFonts w:hint="eastAsia"/>
        </w:rPr>
        <w:t>条</w:t>
      </w:r>
      <w:r>
        <w:rPr>
          <w:rFonts w:hint="eastAsia"/>
        </w:rPr>
        <w:t>；</w:t>
      </w:r>
      <w:r w:rsidRPr="00CC0941">
        <w:rPr>
          <w:rFonts w:hint="eastAsia"/>
        </w:rPr>
        <w:t>第</w:t>
      </w:r>
      <w:r w:rsidRPr="00CC0941">
        <w:t>39</w:t>
      </w:r>
      <w:r w:rsidRPr="00CC0941">
        <w:rPr>
          <w:rFonts w:hint="eastAsia"/>
        </w:rPr>
        <w:t>条和第</w:t>
      </w:r>
      <w:r w:rsidRPr="00CC0941">
        <w:t>40</w:t>
      </w:r>
      <w:r w:rsidRPr="00CC0941">
        <w:rPr>
          <w:rFonts w:hint="eastAsia"/>
        </w:rPr>
        <w:t>条。</w:t>
      </w:r>
    </w:p>
  </w:footnote>
  <w:footnote w:id="44">
    <w:p w:rsidR="00AB00DE" w:rsidRDefault="00AB00DE" w:rsidP="00971B6C">
      <w:pPr>
        <w:pStyle w:val="a4"/>
      </w:pPr>
      <w:r>
        <w:rPr>
          <w:rFonts w:hint="eastAsia"/>
        </w:rPr>
        <w:tab/>
      </w:r>
      <w:r w:rsidRPr="00DF5565">
        <w:rPr>
          <w:rStyle w:val="a5"/>
          <w:szCs w:val="21"/>
        </w:rPr>
        <w:footnoteRef/>
      </w:r>
      <w:r w:rsidRPr="00DF5565">
        <w:rPr>
          <w:rStyle w:val="a5"/>
          <w:rFonts w:hint="eastAsia"/>
          <w:szCs w:val="21"/>
        </w:rPr>
        <w:tab/>
      </w:r>
      <w:r w:rsidRPr="00CC0941">
        <w:rPr>
          <w:rFonts w:hint="eastAsia"/>
        </w:rPr>
        <w:t>同上</w:t>
      </w:r>
      <w:r>
        <w:rPr>
          <w:rFonts w:hint="eastAsia"/>
        </w:rPr>
        <w:t>，</w:t>
      </w:r>
      <w:r w:rsidRPr="00CC0941">
        <w:rPr>
          <w:rFonts w:hint="eastAsia"/>
        </w:rPr>
        <w:t>第</w:t>
      </w:r>
      <w:r>
        <w:rPr>
          <w:rFonts w:hint="eastAsia"/>
        </w:rPr>
        <w:t>2515</w:t>
      </w:r>
      <w:r w:rsidRPr="00CC0941">
        <w:rPr>
          <w:rFonts w:hint="eastAsia"/>
        </w:rPr>
        <w:t>卷</w:t>
      </w:r>
      <w:r>
        <w:rPr>
          <w:rFonts w:hint="eastAsia"/>
        </w:rPr>
        <w:t>，</w:t>
      </w:r>
      <w:r w:rsidRPr="00CC0941">
        <w:rPr>
          <w:rFonts w:hint="eastAsia"/>
        </w:rPr>
        <w:t>第</w:t>
      </w:r>
      <w:r>
        <w:rPr>
          <w:rFonts w:hint="eastAsia"/>
        </w:rPr>
        <w:t>44910</w:t>
      </w:r>
      <w:r w:rsidRPr="00CC0941">
        <w:rPr>
          <w:rFonts w:hint="eastAsia"/>
        </w:rPr>
        <w:t>号</w:t>
      </w:r>
      <w:r>
        <w:rPr>
          <w:rFonts w:hint="eastAsia"/>
        </w:rPr>
        <w:t>，</w:t>
      </w:r>
      <w:r w:rsidRPr="00CC0941">
        <w:rPr>
          <w:rFonts w:hint="eastAsia"/>
        </w:rPr>
        <w:t>第</w:t>
      </w:r>
      <w:r>
        <w:rPr>
          <w:rFonts w:hint="eastAsia"/>
        </w:rPr>
        <w:t>3</w:t>
      </w:r>
      <w:r w:rsidRPr="00CC0941">
        <w:rPr>
          <w:rFonts w:hint="eastAsia"/>
        </w:rPr>
        <w:t>页</w:t>
      </w:r>
      <w:r>
        <w:rPr>
          <w:rFonts w:hint="eastAsia"/>
        </w:rPr>
        <w:t>，第三条</w:t>
      </w:r>
      <w:r w:rsidRPr="00CC0941">
        <w:rPr>
          <w:rFonts w:hint="eastAsia"/>
        </w:rPr>
        <w:t>。</w:t>
      </w:r>
    </w:p>
  </w:footnote>
  <w:footnote w:id="45">
    <w:p w:rsidR="00AB00DE" w:rsidRPr="00CC0941" w:rsidRDefault="00AB00DE" w:rsidP="009C15B9">
      <w:pPr>
        <w:pStyle w:val="a4"/>
      </w:pPr>
      <w:r>
        <w:tab/>
      </w:r>
      <w:r w:rsidRPr="00DF5565">
        <w:rPr>
          <w:rStyle w:val="a5"/>
          <w:szCs w:val="21"/>
        </w:rPr>
        <w:footnoteRef/>
      </w:r>
      <w:r w:rsidRPr="00DF5565">
        <w:rPr>
          <w:color w:val="0000FF"/>
          <w:sz w:val="21"/>
          <w:vertAlign w:val="superscript"/>
        </w:rPr>
        <w:t xml:space="preserve"> </w:t>
      </w:r>
      <w:r w:rsidRPr="00DF5565">
        <w:rPr>
          <w:color w:val="0000FF"/>
          <w:sz w:val="21"/>
          <w:vertAlign w:val="superscript"/>
        </w:rPr>
        <w:tab/>
      </w:r>
      <w:r w:rsidRPr="00CC0941">
        <w:rPr>
          <w:rFonts w:hint="eastAsia"/>
        </w:rPr>
        <w:t>《</w:t>
      </w:r>
      <w:hyperlink r:id="rId3" w:tgtFrame="_blank" w:history="1">
        <w:r w:rsidRPr="00CC0941">
          <w:rPr>
            <w:rFonts w:hint="eastAsia"/>
          </w:rPr>
          <w:t>改善战地武装部队伤者病者境遇的日内瓦公约</w:t>
        </w:r>
      </w:hyperlink>
      <w:r w:rsidRPr="00CC0941">
        <w:rPr>
          <w:rFonts w:hint="eastAsia"/>
        </w:rPr>
        <w:t>》</w:t>
      </w:r>
      <w:r>
        <w:rPr>
          <w:rFonts w:hint="eastAsia"/>
        </w:rPr>
        <w:t>(1949</w:t>
      </w:r>
      <w:r>
        <w:rPr>
          <w:rFonts w:hint="eastAsia"/>
        </w:rPr>
        <w:t>年</w:t>
      </w:r>
      <w:r>
        <w:rPr>
          <w:rFonts w:hint="eastAsia"/>
        </w:rPr>
        <w:t>8</w:t>
      </w:r>
      <w:r>
        <w:rPr>
          <w:rFonts w:hint="eastAsia"/>
        </w:rPr>
        <w:t>月</w:t>
      </w:r>
      <w:r>
        <w:rPr>
          <w:rFonts w:hint="eastAsia"/>
        </w:rPr>
        <w:t>12</w:t>
      </w:r>
      <w:r>
        <w:rPr>
          <w:rFonts w:hint="eastAsia"/>
        </w:rPr>
        <w:t>日，日内瓦</w:t>
      </w:r>
      <w:r>
        <w:rPr>
          <w:rFonts w:hint="eastAsia"/>
        </w:rPr>
        <w:t>)</w:t>
      </w:r>
      <w:r>
        <w:rPr>
          <w:rFonts w:hint="eastAsia"/>
        </w:rPr>
        <w:t>，</w:t>
      </w:r>
      <w:r w:rsidRPr="00CC0941">
        <w:rPr>
          <w:rFonts w:hint="eastAsia"/>
        </w:rPr>
        <w:t>联合国</w:t>
      </w:r>
      <w:r>
        <w:rPr>
          <w:rFonts w:hint="eastAsia"/>
        </w:rPr>
        <w:t>，</w:t>
      </w:r>
      <w:r w:rsidRPr="00CC0941">
        <w:rPr>
          <w:rFonts w:hint="eastAsia"/>
        </w:rPr>
        <w:t>《条约汇编》</w:t>
      </w:r>
      <w:r>
        <w:rPr>
          <w:rFonts w:hint="eastAsia"/>
        </w:rPr>
        <w:t>，</w:t>
      </w:r>
      <w:r w:rsidRPr="00CC0941">
        <w:rPr>
          <w:rFonts w:hint="eastAsia"/>
        </w:rPr>
        <w:t>第</w:t>
      </w:r>
      <w:r w:rsidRPr="00CC0941">
        <w:t>75</w:t>
      </w:r>
      <w:r w:rsidRPr="00CC0941">
        <w:rPr>
          <w:rFonts w:hint="eastAsia"/>
        </w:rPr>
        <w:t>卷</w:t>
      </w:r>
      <w:r>
        <w:rPr>
          <w:rFonts w:hint="eastAsia"/>
        </w:rPr>
        <w:t>，</w:t>
      </w:r>
      <w:r w:rsidRPr="00CC0941">
        <w:rPr>
          <w:rFonts w:hint="eastAsia"/>
        </w:rPr>
        <w:t>第</w:t>
      </w:r>
      <w:r>
        <w:t>97</w:t>
      </w:r>
      <w:r>
        <w:rPr>
          <w:rFonts w:hint="eastAsia"/>
        </w:rPr>
        <w:t>0</w:t>
      </w:r>
      <w:r w:rsidRPr="00CC0941">
        <w:rPr>
          <w:rFonts w:hint="eastAsia"/>
        </w:rPr>
        <w:t>号</w:t>
      </w:r>
      <w:r>
        <w:rPr>
          <w:rFonts w:hint="eastAsia"/>
        </w:rPr>
        <w:t>，</w:t>
      </w:r>
      <w:r w:rsidRPr="00CC0941">
        <w:rPr>
          <w:rFonts w:hint="eastAsia"/>
        </w:rPr>
        <w:t>第</w:t>
      </w:r>
      <w:r w:rsidRPr="00CC0941">
        <w:t>31</w:t>
      </w:r>
      <w:r w:rsidRPr="00CC0941">
        <w:rPr>
          <w:rFonts w:hint="eastAsia"/>
        </w:rPr>
        <w:t>页</w:t>
      </w:r>
      <w:r>
        <w:rPr>
          <w:rFonts w:hint="eastAsia"/>
        </w:rPr>
        <w:t>(</w:t>
      </w:r>
      <w:r>
        <w:rPr>
          <w:rFonts w:hint="eastAsia"/>
        </w:rPr>
        <w:t>《日内瓦第一公约》</w:t>
      </w:r>
      <w:r>
        <w:rPr>
          <w:rFonts w:hint="eastAsia"/>
        </w:rPr>
        <w:t>)</w:t>
      </w:r>
      <w:r>
        <w:rPr>
          <w:rFonts w:hint="eastAsia"/>
        </w:rPr>
        <w:t>；</w:t>
      </w:r>
      <w:r w:rsidRPr="00CC0941">
        <w:rPr>
          <w:rFonts w:hint="eastAsia"/>
        </w:rPr>
        <w:t>《改善海上武装部队伤者病者及遇船难者境遇的日内瓦公约》</w:t>
      </w:r>
      <w:r>
        <w:rPr>
          <w:rFonts w:hint="eastAsia"/>
        </w:rPr>
        <w:t>(1949</w:t>
      </w:r>
      <w:r>
        <w:rPr>
          <w:rFonts w:hint="eastAsia"/>
        </w:rPr>
        <w:t>年</w:t>
      </w:r>
      <w:r>
        <w:rPr>
          <w:rFonts w:hint="eastAsia"/>
        </w:rPr>
        <w:t>8</w:t>
      </w:r>
      <w:r>
        <w:rPr>
          <w:rFonts w:hint="eastAsia"/>
        </w:rPr>
        <w:t>月</w:t>
      </w:r>
      <w:r>
        <w:rPr>
          <w:rFonts w:hint="eastAsia"/>
        </w:rPr>
        <w:t>12</w:t>
      </w:r>
      <w:r>
        <w:rPr>
          <w:rFonts w:hint="eastAsia"/>
        </w:rPr>
        <w:t>日，日内瓦</w:t>
      </w:r>
      <w:r>
        <w:rPr>
          <w:rFonts w:hint="eastAsia"/>
        </w:rPr>
        <w:t>)</w:t>
      </w:r>
      <w:r>
        <w:rPr>
          <w:rFonts w:hint="eastAsia"/>
        </w:rPr>
        <w:t>，同上，</w:t>
      </w:r>
      <w:r w:rsidRPr="00CC0941">
        <w:rPr>
          <w:rFonts w:hint="eastAsia"/>
        </w:rPr>
        <w:t>第</w:t>
      </w:r>
      <w:r w:rsidRPr="00CC0941">
        <w:t>971</w:t>
      </w:r>
      <w:r w:rsidRPr="00CC0941">
        <w:rPr>
          <w:rFonts w:hint="eastAsia"/>
        </w:rPr>
        <w:t>号</w:t>
      </w:r>
      <w:r>
        <w:rPr>
          <w:rFonts w:hint="eastAsia"/>
        </w:rPr>
        <w:t>，</w:t>
      </w:r>
      <w:r w:rsidRPr="00CC0941">
        <w:rPr>
          <w:rFonts w:hint="eastAsia"/>
        </w:rPr>
        <w:t>第</w:t>
      </w:r>
      <w:r w:rsidRPr="00CC0941">
        <w:t>85</w:t>
      </w:r>
      <w:r w:rsidRPr="00CC0941">
        <w:rPr>
          <w:rFonts w:hint="eastAsia"/>
        </w:rPr>
        <w:t>页</w:t>
      </w:r>
      <w:r>
        <w:rPr>
          <w:rFonts w:hint="eastAsia"/>
        </w:rPr>
        <w:t>(</w:t>
      </w:r>
      <w:r>
        <w:rPr>
          <w:rFonts w:hint="eastAsia"/>
        </w:rPr>
        <w:t>《日内瓦第二公约》</w:t>
      </w:r>
      <w:r>
        <w:rPr>
          <w:rFonts w:hint="eastAsia"/>
        </w:rPr>
        <w:t>)</w:t>
      </w:r>
      <w:r>
        <w:rPr>
          <w:rFonts w:hint="eastAsia"/>
        </w:rPr>
        <w:t>；</w:t>
      </w:r>
      <w:r w:rsidRPr="00CC0941">
        <w:rPr>
          <w:rFonts w:hint="eastAsia"/>
        </w:rPr>
        <w:t>《关于战俘待遇的日内瓦公约》</w:t>
      </w:r>
      <w:r>
        <w:rPr>
          <w:rFonts w:hint="eastAsia"/>
        </w:rPr>
        <w:t>(1949</w:t>
      </w:r>
      <w:r>
        <w:rPr>
          <w:rFonts w:hint="eastAsia"/>
        </w:rPr>
        <w:t>年</w:t>
      </w:r>
      <w:r>
        <w:rPr>
          <w:rFonts w:hint="eastAsia"/>
        </w:rPr>
        <w:t>8</w:t>
      </w:r>
      <w:r>
        <w:rPr>
          <w:rFonts w:hint="eastAsia"/>
        </w:rPr>
        <w:t>月</w:t>
      </w:r>
      <w:r>
        <w:rPr>
          <w:rFonts w:hint="eastAsia"/>
        </w:rPr>
        <w:t>12</w:t>
      </w:r>
      <w:r>
        <w:rPr>
          <w:rFonts w:hint="eastAsia"/>
        </w:rPr>
        <w:t>日，日内瓦</w:t>
      </w:r>
      <w:r>
        <w:rPr>
          <w:rFonts w:hint="eastAsia"/>
        </w:rPr>
        <w:t>)</w:t>
      </w:r>
      <w:r>
        <w:rPr>
          <w:rFonts w:hint="eastAsia"/>
        </w:rPr>
        <w:t>，同上，</w:t>
      </w:r>
      <w:r w:rsidRPr="00CC0941">
        <w:rPr>
          <w:rFonts w:hint="eastAsia"/>
        </w:rPr>
        <w:t>第</w:t>
      </w:r>
      <w:r w:rsidRPr="00CC0941">
        <w:t>972</w:t>
      </w:r>
      <w:r w:rsidRPr="00CC0941">
        <w:rPr>
          <w:rFonts w:hint="eastAsia"/>
        </w:rPr>
        <w:t>号</w:t>
      </w:r>
      <w:r>
        <w:rPr>
          <w:rFonts w:hint="eastAsia"/>
        </w:rPr>
        <w:t>，</w:t>
      </w:r>
      <w:r w:rsidRPr="00CC0941">
        <w:rPr>
          <w:rFonts w:hint="eastAsia"/>
        </w:rPr>
        <w:t>第</w:t>
      </w:r>
      <w:r w:rsidRPr="00CC0941">
        <w:t>135</w:t>
      </w:r>
      <w:r w:rsidRPr="00CC0941">
        <w:rPr>
          <w:rFonts w:hint="eastAsia"/>
        </w:rPr>
        <w:t>页</w:t>
      </w:r>
      <w:r>
        <w:rPr>
          <w:rFonts w:hint="eastAsia"/>
        </w:rPr>
        <w:t>(</w:t>
      </w:r>
      <w:r>
        <w:rPr>
          <w:rFonts w:hint="eastAsia"/>
        </w:rPr>
        <w:t>《日内瓦第三公约》</w:t>
      </w:r>
      <w:r>
        <w:rPr>
          <w:rFonts w:hint="eastAsia"/>
        </w:rPr>
        <w:t>)</w:t>
      </w:r>
      <w:r>
        <w:rPr>
          <w:rFonts w:hint="eastAsia"/>
        </w:rPr>
        <w:t>；</w:t>
      </w:r>
      <w:r w:rsidRPr="00CC0941">
        <w:rPr>
          <w:rFonts w:hint="eastAsia"/>
        </w:rPr>
        <w:t>及《关于战时保护平民的日内瓦公约》</w:t>
      </w:r>
      <w:r>
        <w:rPr>
          <w:rFonts w:hint="eastAsia"/>
        </w:rPr>
        <w:t>(1949</w:t>
      </w:r>
      <w:r>
        <w:rPr>
          <w:rFonts w:hint="eastAsia"/>
        </w:rPr>
        <w:t>年</w:t>
      </w:r>
      <w:r>
        <w:rPr>
          <w:rFonts w:hint="eastAsia"/>
        </w:rPr>
        <w:t>8</w:t>
      </w:r>
      <w:r>
        <w:rPr>
          <w:rFonts w:hint="eastAsia"/>
        </w:rPr>
        <w:t>月</w:t>
      </w:r>
      <w:r>
        <w:rPr>
          <w:rFonts w:hint="eastAsia"/>
        </w:rPr>
        <w:t>12</w:t>
      </w:r>
      <w:r>
        <w:rPr>
          <w:rFonts w:hint="eastAsia"/>
        </w:rPr>
        <w:t>日，日内瓦</w:t>
      </w:r>
      <w:r>
        <w:rPr>
          <w:rFonts w:hint="eastAsia"/>
        </w:rPr>
        <w:t>)</w:t>
      </w:r>
      <w:r>
        <w:rPr>
          <w:rFonts w:hint="eastAsia"/>
        </w:rPr>
        <w:t>，同上，</w:t>
      </w:r>
      <w:r w:rsidRPr="00CC0941">
        <w:rPr>
          <w:rFonts w:hint="eastAsia"/>
        </w:rPr>
        <w:t>第</w:t>
      </w:r>
      <w:r w:rsidRPr="00CC0941">
        <w:t>973</w:t>
      </w:r>
      <w:r w:rsidRPr="00CC0941">
        <w:rPr>
          <w:rFonts w:hint="eastAsia"/>
        </w:rPr>
        <w:t>号</w:t>
      </w:r>
      <w:r>
        <w:rPr>
          <w:rFonts w:hint="eastAsia"/>
        </w:rPr>
        <w:t>，</w:t>
      </w:r>
      <w:r w:rsidRPr="00CC0941">
        <w:rPr>
          <w:rFonts w:hint="eastAsia"/>
        </w:rPr>
        <w:t>第</w:t>
      </w:r>
      <w:r w:rsidRPr="00CC0941">
        <w:t>287</w:t>
      </w:r>
      <w:r w:rsidRPr="00CC0941">
        <w:rPr>
          <w:rFonts w:hint="eastAsia"/>
        </w:rPr>
        <w:t>页</w:t>
      </w:r>
      <w:r>
        <w:rPr>
          <w:rFonts w:hint="eastAsia"/>
        </w:rPr>
        <w:t>(</w:t>
      </w:r>
      <w:r>
        <w:rPr>
          <w:rFonts w:hint="eastAsia"/>
        </w:rPr>
        <w:t>《日内瓦第四公约》</w:t>
      </w:r>
      <w:r>
        <w:rPr>
          <w:rFonts w:hint="eastAsia"/>
        </w:rPr>
        <w:t>)</w:t>
      </w:r>
      <w:r>
        <w:rPr>
          <w:rFonts w:hint="eastAsia"/>
        </w:rPr>
        <w:t>，</w:t>
      </w:r>
      <w:r w:rsidRPr="00CC0941">
        <w:rPr>
          <w:rFonts w:hint="eastAsia"/>
        </w:rPr>
        <w:t>共同第三条第一款</w:t>
      </w:r>
      <w:r>
        <w:t>(</w:t>
      </w:r>
      <w:r w:rsidRPr="00CC0941">
        <w:rPr>
          <w:rFonts w:hint="eastAsia"/>
        </w:rPr>
        <w:t>注意禁止“损害个人尊严</w:t>
      </w:r>
      <w:r>
        <w:rPr>
          <w:rFonts w:hint="eastAsia"/>
        </w:rPr>
        <w:t>，</w:t>
      </w:r>
      <w:r w:rsidRPr="00CC0941">
        <w:rPr>
          <w:rFonts w:hint="eastAsia"/>
        </w:rPr>
        <w:t>特别如侮辱与降低身份的待遇”的规定</w:t>
      </w:r>
      <w:r>
        <w:t>)</w:t>
      </w:r>
      <w:r w:rsidRPr="00CC0941">
        <w:rPr>
          <w:rFonts w:hint="eastAsia"/>
        </w:rPr>
        <w:t>。</w:t>
      </w:r>
    </w:p>
  </w:footnote>
  <w:footnote w:id="46">
    <w:p w:rsidR="00AB00DE" w:rsidRPr="00CC0941" w:rsidRDefault="00AB00DE" w:rsidP="00103498">
      <w:pPr>
        <w:pStyle w:val="a4"/>
      </w:pPr>
      <w:r>
        <w:tab/>
      </w:r>
      <w:r w:rsidRPr="00DF5565">
        <w:rPr>
          <w:rStyle w:val="a5"/>
          <w:szCs w:val="21"/>
        </w:rPr>
        <w:footnoteRef/>
      </w:r>
      <w:r w:rsidRPr="00DF5565">
        <w:rPr>
          <w:rStyle w:val="a5"/>
          <w:szCs w:val="21"/>
        </w:rPr>
        <w:t xml:space="preserve"> </w:t>
      </w:r>
      <w:r w:rsidRPr="00DF5565">
        <w:rPr>
          <w:color w:val="0000FF"/>
          <w:sz w:val="21"/>
          <w:vertAlign w:val="superscript"/>
        </w:rPr>
        <w:tab/>
      </w:r>
      <w:r w:rsidRPr="00CC0941">
        <w:t>1949</w:t>
      </w:r>
      <w:r w:rsidRPr="00CC0941">
        <w:rPr>
          <w:rFonts w:hint="eastAsia"/>
        </w:rPr>
        <w:t>年</w:t>
      </w:r>
      <w:r w:rsidRPr="00CC0941">
        <w:t>8</w:t>
      </w:r>
      <w:r w:rsidRPr="00CC0941">
        <w:rPr>
          <w:rFonts w:hint="eastAsia"/>
        </w:rPr>
        <w:t>月</w:t>
      </w:r>
      <w:r w:rsidRPr="00CC0941">
        <w:t>12</w:t>
      </w:r>
      <w:r w:rsidRPr="00CC0941">
        <w:rPr>
          <w:rFonts w:hint="eastAsia"/>
        </w:rPr>
        <w:t>日日内瓦四公约《关于保护国际性武装冲突受害者的附加议定书》</w:t>
      </w:r>
      <w:r>
        <w:t>(</w:t>
      </w:r>
      <w:r w:rsidRPr="00CC0941">
        <w:rPr>
          <w:rFonts w:hint="eastAsia"/>
        </w:rPr>
        <w:t>第一号议定书</w:t>
      </w:r>
      <w:r>
        <w:t>)</w:t>
      </w:r>
      <w:r>
        <w:rPr>
          <w:rFonts w:hint="eastAsia"/>
        </w:rPr>
        <w:t>，</w:t>
      </w:r>
      <w:r w:rsidRPr="00CC0941">
        <w:t>1977</w:t>
      </w:r>
      <w:r w:rsidRPr="00CC0941">
        <w:rPr>
          <w:rFonts w:hint="eastAsia"/>
        </w:rPr>
        <w:t>年</w:t>
      </w:r>
      <w:r>
        <w:rPr>
          <w:rFonts w:hint="eastAsia"/>
        </w:rPr>
        <w:t>，</w:t>
      </w:r>
      <w:r w:rsidRPr="00CC0941">
        <w:rPr>
          <w:rFonts w:hint="eastAsia"/>
        </w:rPr>
        <w:t>联合国</w:t>
      </w:r>
      <w:r>
        <w:rPr>
          <w:rFonts w:hint="eastAsia"/>
        </w:rPr>
        <w:t>，</w:t>
      </w:r>
      <w:r w:rsidRPr="00CC0941">
        <w:rPr>
          <w:rFonts w:hint="eastAsia"/>
        </w:rPr>
        <w:t>《条约汇编》</w:t>
      </w:r>
      <w:r>
        <w:rPr>
          <w:rFonts w:hint="eastAsia"/>
        </w:rPr>
        <w:t>，</w:t>
      </w:r>
      <w:r w:rsidRPr="00CC0941">
        <w:rPr>
          <w:rFonts w:hint="eastAsia"/>
        </w:rPr>
        <w:t>第</w:t>
      </w:r>
      <w:r w:rsidRPr="00CC0941">
        <w:t>1125</w:t>
      </w:r>
      <w:r w:rsidRPr="00CC0941">
        <w:rPr>
          <w:rFonts w:hint="eastAsia"/>
        </w:rPr>
        <w:t>卷</w:t>
      </w:r>
      <w:r>
        <w:rPr>
          <w:rFonts w:hint="eastAsia"/>
        </w:rPr>
        <w:t>，</w:t>
      </w:r>
      <w:r w:rsidRPr="00CC0941">
        <w:rPr>
          <w:rFonts w:hint="eastAsia"/>
        </w:rPr>
        <w:t>第</w:t>
      </w:r>
      <w:r w:rsidRPr="00CC0941">
        <w:t>17512</w:t>
      </w:r>
      <w:r w:rsidRPr="00CC0941">
        <w:rPr>
          <w:rFonts w:hint="eastAsia"/>
        </w:rPr>
        <w:t>号</w:t>
      </w:r>
      <w:r>
        <w:rPr>
          <w:rFonts w:hint="eastAsia"/>
        </w:rPr>
        <w:t>，</w:t>
      </w:r>
      <w:r w:rsidRPr="00CC0941">
        <w:rPr>
          <w:rFonts w:hint="eastAsia"/>
        </w:rPr>
        <w:t>第</w:t>
      </w:r>
      <w:r w:rsidRPr="00CC0941">
        <w:t>3</w:t>
      </w:r>
      <w:r w:rsidRPr="00CC0941">
        <w:rPr>
          <w:rFonts w:hint="eastAsia"/>
        </w:rPr>
        <w:t>页</w:t>
      </w:r>
      <w:r>
        <w:rPr>
          <w:rFonts w:hint="eastAsia"/>
        </w:rPr>
        <w:t>，</w:t>
      </w:r>
      <w:r w:rsidRPr="00CC0941">
        <w:rPr>
          <w:rFonts w:hint="eastAsia"/>
        </w:rPr>
        <w:t>第七十五条第二</w:t>
      </w:r>
      <w:r>
        <w:t>(</w:t>
      </w:r>
      <w:r w:rsidRPr="00CC0941">
        <w:rPr>
          <w:rFonts w:hint="eastAsia"/>
        </w:rPr>
        <w:t>二</w:t>
      </w:r>
      <w:r>
        <w:t>)</w:t>
      </w:r>
      <w:r w:rsidRPr="00CC0941">
        <w:rPr>
          <w:rFonts w:hint="eastAsia"/>
        </w:rPr>
        <w:t>款</w:t>
      </w:r>
      <w:r>
        <w:rPr>
          <w:rFonts w:hint="eastAsia"/>
        </w:rPr>
        <w:t>，</w:t>
      </w:r>
      <w:r>
        <w:t>(</w:t>
      </w:r>
      <w:r w:rsidRPr="00CC0941">
        <w:rPr>
          <w:rFonts w:hint="eastAsia"/>
        </w:rPr>
        <w:t>注意</w:t>
      </w:r>
      <w:r>
        <w:rPr>
          <w:rFonts w:hint="eastAsia"/>
        </w:rPr>
        <w:t>：</w:t>
      </w:r>
      <w:r w:rsidRPr="00CC0941">
        <w:rPr>
          <w:rFonts w:hint="eastAsia"/>
        </w:rPr>
        <w:t>禁止“对人身尊严的侵犯</w:t>
      </w:r>
      <w:r>
        <w:rPr>
          <w:rFonts w:hint="eastAsia"/>
        </w:rPr>
        <w:t>，</w:t>
      </w:r>
      <w:r w:rsidRPr="00CC0941">
        <w:rPr>
          <w:rFonts w:hint="eastAsia"/>
        </w:rPr>
        <w:t>特别是侮辱性和降低身份的待遇</w:t>
      </w:r>
      <w:r>
        <w:rPr>
          <w:rFonts w:hint="eastAsia"/>
        </w:rPr>
        <w:t>，</w:t>
      </w:r>
      <w:r w:rsidRPr="00CC0941">
        <w:rPr>
          <w:rFonts w:hint="eastAsia"/>
        </w:rPr>
        <w:t>强迫卖淫和任何形式的非礼侵犯”</w:t>
      </w:r>
      <w:r>
        <w:t>)</w:t>
      </w:r>
      <w:r>
        <w:rPr>
          <w:rFonts w:hint="eastAsia"/>
        </w:rPr>
        <w:t>；</w:t>
      </w:r>
      <w:r w:rsidRPr="00CC0941">
        <w:rPr>
          <w:rFonts w:hint="eastAsia"/>
        </w:rPr>
        <w:t>第八十五条第四</w:t>
      </w:r>
      <w:r>
        <w:t>(</w:t>
      </w:r>
      <w:r w:rsidRPr="00CC0941">
        <w:rPr>
          <w:rFonts w:hint="eastAsia"/>
        </w:rPr>
        <w:t>三</w:t>
      </w:r>
      <w:r>
        <w:t>)</w:t>
      </w:r>
      <w:r w:rsidRPr="00CC0941">
        <w:rPr>
          <w:rFonts w:hint="eastAsia"/>
        </w:rPr>
        <w:t>款</w:t>
      </w:r>
      <w:r>
        <w:t>(</w:t>
      </w:r>
      <w:r w:rsidRPr="00CC0941">
        <w:rPr>
          <w:rFonts w:hint="eastAsia"/>
        </w:rPr>
        <w:t>注意</w:t>
      </w:r>
      <w:r>
        <w:rPr>
          <w:rFonts w:hint="eastAsia"/>
        </w:rPr>
        <w:t>：</w:t>
      </w:r>
      <w:r w:rsidRPr="00CC0941">
        <w:rPr>
          <w:rFonts w:hint="eastAsia"/>
        </w:rPr>
        <w:t>当行为属故意并违反各公约和本议定书时</w:t>
      </w:r>
      <w:r>
        <w:rPr>
          <w:rFonts w:hint="eastAsia"/>
        </w:rPr>
        <w:t>，</w:t>
      </w:r>
      <w:r w:rsidRPr="00CC0941">
        <w:rPr>
          <w:rFonts w:hint="eastAsia"/>
        </w:rPr>
        <w:t>“以种族歧视为依据侵犯人身尊严的种族隔离和其他不人道和侮辱性办法”应视为严重破坏议定书的行为</w:t>
      </w:r>
      <w:r>
        <w:t>)</w:t>
      </w:r>
      <w:r w:rsidRPr="00CC0941">
        <w:rPr>
          <w:rFonts w:hint="eastAsia"/>
        </w:rPr>
        <w:t>。</w:t>
      </w:r>
    </w:p>
  </w:footnote>
  <w:footnote w:id="47">
    <w:p w:rsidR="00AB00DE" w:rsidRPr="00CC0941" w:rsidRDefault="00AB00DE" w:rsidP="00D17A94">
      <w:pPr>
        <w:pStyle w:val="a4"/>
      </w:pPr>
      <w:r>
        <w:tab/>
      </w:r>
      <w:r w:rsidRPr="00DF5565">
        <w:rPr>
          <w:rStyle w:val="a5"/>
          <w:szCs w:val="21"/>
        </w:rPr>
        <w:footnoteRef/>
      </w:r>
      <w:r w:rsidRPr="00DF5565">
        <w:rPr>
          <w:color w:val="0000FF"/>
          <w:sz w:val="21"/>
          <w:vertAlign w:val="superscript"/>
        </w:rPr>
        <w:t xml:space="preserve"> </w:t>
      </w:r>
      <w:r w:rsidRPr="00DF5565">
        <w:rPr>
          <w:color w:val="0000FF"/>
          <w:sz w:val="21"/>
          <w:vertAlign w:val="superscript"/>
        </w:rPr>
        <w:tab/>
      </w:r>
      <w:r w:rsidRPr="00CC0941">
        <w:t>1949</w:t>
      </w:r>
      <w:r w:rsidRPr="00CC0941">
        <w:rPr>
          <w:rFonts w:hint="eastAsia"/>
        </w:rPr>
        <w:t>年</w:t>
      </w:r>
      <w:r w:rsidRPr="00CC0941">
        <w:t>8</w:t>
      </w:r>
      <w:r w:rsidRPr="00CC0941">
        <w:rPr>
          <w:rFonts w:hint="eastAsia"/>
        </w:rPr>
        <w:t>月</w:t>
      </w:r>
      <w:r w:rsidRPr="00CC0941">
        <w:t>12</w:t>
      </w:r>
      <w:r w:rsidRPr="00CC0941">
        <w:rPr>
          <w:rFonts w:hint="eastAsia"/>
        </w:rPr>
        <w:t>日日内瓦四公约《关于保护非国际性武装冲突受害者的附加议定书》</w:t>
      </w:r>
      <w:r>
        <w:t>(</w:t>
      </w:r>
      <w:r w:rsidRPr="00CC0941">
        <w:rPr>
          <w:rFonts w:hint="eastAsia"/>
        </w:rPr>
        <w:t>第二号议定书</w:t>
      </w:r>
      <w:r>
        <w:t>)</w:t>
      </w:r>
      <w:r>
        <w:rPr>
          <w:rFonts w:hint="eastAsia"/>
        </w:rPr>
        <w:t>，</w:t>
      </w:r>
      <w:r w:rsidRPr="00CC0941">
        <w:t>1977</w:t>
      </w:r>
      <w:r w:rsidRPr="00CC0941">
        <w:rPr>
          <w:rFonts w:hint="eastAsia"/>
        </w:rPr>
        <w:t>年</w:t>
      </w:r>
      <w:r>
        <w:rPr>
          <w:rFonts w:hint="eastAsia"/>
        </w:rPr>
        <w:t>，同上，</w:t>
      </w:r>
      <w:r w:rsidRPr="00CC0941">
        <w:rPr>
          <w:rFonts w:hint="eastAsia"/>
        </w:rPr>
        <w:t>第</w:t>
      </w:r>
      <w:r w:rsidRPr="00CC0941">
        <w:t>1751</w:t>
      </w:r>
      <w:r>
        <w:rPr>
          <w:rFonts w:hint="eastAsia"/>
        </w:rPr>
        <w:t>3</w:t>
      </w:r>
      <w:r w:rsidRPr="00CC0941">
        <w:rPr>
          <w:rFonts w:hint="eastAsia"/>
        </w:rPr>
        <w:t>号</w:t>
      </w:r>
      <w:r>
        <w:rPr>
          <w:rFonts w:hint="eastAsia"/>
        </w:rPr>
        <w:t>，</w:t>
      </w:r>
      <w:r w:rsidRPr="00CC0941">
        <w:rPr>
          <w:rFonts w:hint="eastAsia"/>
        </w:rPr>
        <w:t>第</w:t>
      </w:r>
      <w:r w:rsidRPr="00CC0941">
        <w:t>609</w:t>
      </w:r>
      <w:r w:rsidRPr="00CC0941">
        <w:rPr>
          <w:rFonts w:hint="eastAsia"/>
        </w:rPr>
        <w:t>页</w:t>
      </w:r>
      <w:r>
        <w:rPr>
          <w:rFonts w:hint="eastAsia"/>
        </w:rPr>
        <w:t>，</w:t>
      </w:r>
      <w:r w:rsidRPr="00CC0941">
        <w:rPr>
          <w:rFonts w:hint="eastAsia"/>
        </w:rPr>
        <w:t>第四条第二</w:t>
      </w:r>
      <w:r>
        <w:t>(</w:t>
      </w:r>
      <w:r w:rsidRPr="00CC0941">
        <w:rPr>
          <w:rFonts w:hint="eastAsia"/>
        </w:rPr>
        <w:t>五</w:t>
      </w:r>
      <w:r>
        <w:t>)</w:t>
      </w:r>
      <w:r w:rsidRPr="00CC0941">
        <w:rPr>
          <w:rFonts w:hint="eastAsia"/>
        </w:rPr>
        <w:t>款</w:t>
      </w:r>
      <w:r>
        <w:t>(</w:t>
      </w:r>
      <w:r w:rsidRPr="00CC0941">
        <w:rPr>
          <w:rFonts w:hint="eastAsia"/>
        </w:rPr>
        <w:t>注意</w:t>
      </w:r>
      <w:r>
        <w:rPr>
          <w:rFonts w:hint="eastAsia"/>
        </w:rPr>
        <w:t>：</w:t>
      </w:r>
      <w:r w:rsidRPr="00CC0941">
        <w:rPr>
          <w:rFonts w:hint="eastAsia"/>
        </w:rPr>
        <w:t>禁止“对人身尊严的侵犯</w:t>
      </w:r>
      <w:r>
        <w:rPr>
          <w:rFonts w:hint="eastAsia"/>
        </w:rPr>
        <w:t>，</w:t>
      </w:r>
      <w:r w:rsidRPr="00CC0941">
        <w:rPr>
          <w:rFonts w:hint="eastAsia"/>
        </w:rPr>
        <w:t>特别是侮辱性和降低身分的待遇、强奸、强迫卖淫和任何形式的非礼侵犯”</w:t>
      </w:r>
      <w:r>
        <w:t>)</w:t>
      </w:r>
      <w:r w:rsidRPr="00CC0941">
        <w:rPr>
          <w:rFonts w:hint="eastAsia"/>
        </w:rPr>
        <w:t>。</w:t>
      </w:r>
    </w:p>
  </w:footnote>
  <w:footnote w:id="48">
    <w:p w:rsidR="00AB00DE" w:rsidRDefault="00AB00DE" w:rsidP="00103498">
      <w:pPr>
        <w:pStyle w:val="a4"/>
      </w:pPr>
      <w:r>
        <w:tab/>
      </w:r>
      <w:r w:rsidRPr="00DF5565">
        <w:rPr>
          <w:rStyle w:val="a5"/>
          <w:szCs w:val="21"/>
        </w:rPr>
        <w:footnoteRef/>
      </w:r>
      <w:r w:rsidRPr="00DF5565">
        <w:rPr>
          <w:rStyle w:val="a5"/>
          <w:szCs w:val="21"/>
        </w:rPr>
        <w:t xml:space="preserve"> </w:t>
      </w:r>
      <w:r w:rsidRPr="00DF5565">
        <w:rPr>
          <w:snapToGrid/>
          <w:color w:val="0000FF"/>
          <w:sz w:val="21"/>
          <w:vertAlign w:val="superscript"/>
        </w:rPr>
        <w:tab/>
      </w:r>
      <w:r w:rsidRPr="00CC0941">
        <w:rPr>
          <w:rFonts w:hint="eastAsia"/>
        </w:rPr>
        <w:t>见《红十字会红新月会联会导则》</w:t>
      </w:r>
      <w:r>
        <w:rPr>
          <w:rFonts w:hint="eastAsia"/>
        </w:rPr>
        <w:t>(</w:t>
      </w:r>
      <w:r w:rsidRPr="00CC0941">
        <w:rPr>
          <w:rFonts w:hint="eastAsia"/>
        </w:rPr>
        <w:t>上文脚注</w:t>
      </w:r>
      <w:r>
        <w:rPr>
          <w:color w:val="0000FF"/>
        </w:rPr>
        <w:fldChar w:fldCharType="begin"/>
      </w:r>
      <w:r>
        <w:instrText xml:space="preserve"> </w:instrText>
      </w:r>
      <w:r>
        <w:rPr>
          <w:rFonts w:hint="eastAsia"/>
        </w:rPr>
        <w:instrText>NOTEREF _Ref450649159 \h</w:instrText>
      </w:r>
      <w:r>
        <w:instrText xml:space="preserve"> </w:instrText>
      </w:r>
      <w:r>
        <w:rPr>
          <w:color w:val="0000FF"/>
        </w:rPr>
        <w:instrText xml:space="preserve"> \* MERGEFORMAT </w:instrText>
      </w:r>
      <w:r>
        <w:rPr>
          <w:color w:val="0000FF"/>
        </w:rPr>
      </w:r>
      <w:r>
        <w:rPr>
          <w:color w:val="0000FF"/>
        </w:rPr>
        <w:fldChar w:fldCharType="separate"/>
      </w:r>
      <w:r w:rsidR="00A73EB9">
        <w:t>17</w:t>
      </w:r>
      <w:r>
        <w:rPr>
          <w:color w:val="0000FF"/>
        </w:rPr>
        <w:fldChar w:fldCharType="end"/>
      </w:r>
      <w:r>
        <w:rPr>
          <w:rFonts w:hint="eastAsia"/>
        </w:rPr>
        <w:t>)</w:t>
      </w:r>
      <w:r>
        <w:rPr>
          <w:rFonts w:hint="eastAsia"/>
        </w:rPr>
        <w:t>，</w:t>
      </w:r>
      <w:r w:rsidRPr="00CC0941">
        <w:rPr>
          <w:rFonts w:hint="eastAsia"/>
        </w:rPr>
        <w:t>导则</w:t>
      </w:r>
      <w:r>
        <w:rPr>
          <w:rFonts w:hint="eastAsia"/>
        </w:rPr>
        <w:t xml:space="preserve">4, </w:t>
      </w:r>
      <w:r w:rsidRPr="00CC0941">
        <w:rPr>
          <w:rFonts w:hint="eastAsia"/>
        </w:rPr>
        <w:t>第</w:t>
      </w:r>
      <w:r w:rsidRPr="00CC0941">
        <w:rPr>
          <w:rFonts w:hint="eastAsia"/>
        </w:rPr>
        <w:t>1</w:t>
      </w:r>
      <w:r w:rsidRPr="00CC0941">
        <w:rPr>
          <w:rFonts w:hint="eastAsia"/>
        </w:rPr>
        <w:t>段。</w:t>
      </w:r>
    </w:p>
  </w:footnote>
  <w:footnote w:id="49">
    <w:p w:rsidR="00AB00DE" w:rsidRDefault="00AB00DE" w:rsidP="00103498">
      <w:pPr>
        <w:pStyle w:val="a4"/>
      </w:pPr>
      <w:r>
        <w:tab/>
      </w:r>
      <w:r w:rsidRPr="00DF5565">
        <w:rPr>
          <w:rStyle w:val="a5"/>
          <w:szCs w:val="21"/>
        </w:rPr>
        <w:footnoteRef/>
      </w:r>
      <w:r w:rsidRPr="00DF5565">
        <w:rPr>
          <w:rStyle w:val="a5"/>
          <w:szCs w:val="21"/>
        </w:rPr>
        <w:t xml:space="preserve"> </w:t>
      </w:r>
      <w:r w:rsidRPr="00DF5565">
        <w:rPr>
          <w:snapToGrid/>
          <w:color w:val="0000FF"/>
          <w:sz w:val="21"/>
          <w:vertAlign w:val="superscript"/>
        </w:rPr>
        <w:tab/>
      </w:r>
      <w:r w:rsidRPr="00CC0941">
        <w:rPr>
          <w:rFonts w:hint="eastAsia"/>
        </w:rPr>
        <w:t>序言段。</w:t>
      </w:r>
    </w:p>
  </w:footnote>
  <w:footnote w:id="50">
    <w:p w:rsidR="00AB00DE" w:rsidRDefault="00AB00DE" w:rsidP="00103498">
      <w:pPr>
        <w:pStyle w:val="a4"/>
      </w:pPr>
      <w:r>
        <w:tab/>
      </w:r>
      <w:r w:rsidRPr="00DF5565">
        <w:rPr>
          <w:rStyle w:val="a5"/>
          <w:szCs w:val="21"/>
        </w:rPr>
        <w:footnoteRef/>
      </w:r>
      <w:r w:rsidRPr="00DF5565">
        <w:rPr>
          <w:snapToGrid/>
          <w:color w:val="0000FF"/>
          <w:sz w:val="21"/>
          <w:vertAlign w:val="superscript"/>
        </w:rPr>
        <w:t xml:space="preserve"> </w:t>
      </w:r>
      <w:r w:rsidRPr="00DF5565">
        <w:rPr>
          <w:snapToGrid/>
          <w:color w:val="0000FF"/>
          <w:sz w:val="21"/>
          <w:vertAlign w:val="superscript"/>
        </w:rPr>
        <w:tab/>
      </w:r>
      <w:r w:rsidRPr="00CC0941">
        <w:rPr>
          <w:rFonts w:hint="eastAsia"/>
        </w:rPr>
        <w:t>关于人道主义援助的决议</w:t>
      </w:r>
      <w:r>
        <w:t>(</w:t>
      </w:r>
      <w:r w:rsidRPr="00CC0941">
        <w:rPr>
          <w:rFonts w:hint="eastAsia"/>
        </w:rPr>
        <w:t>见上文脚注</w:t>
      </w:r>
      <w:r>
        <w:fldChar w:fldCharType="begin"/>
      </w:r>
      <w:r>
        <w:instrText xml:space="preserve"> </w:instrText>
      </w:r>
      <w:r>
        <w:rPr>
          <w:rFonts w:hint="eastAsia"/>
        </w:rPr>
        <w:instrText>NOTEREF _Ref450648805 \h</w:instrText>
      </w:r>
      <w:r>
        <w:instrText xml:space="preserve">  \* MERGEFORMAT </w:instrText>
      </w:r>
      <w:r>
        <w:fldChar w:fldCharType="separate"/>
      </w:r>
      <w:r w:rsidR="00A73EB9">
        <w:t>18</w:t>
      </w:r>
      <w:r>
        <w:fldChar w:fldCharType="end"/>
      </w:r>
      <w:r>
        <w:t>)</w:t>
      </w:r>
      <w:r>
        <w:rPr>
          <w:rFonts w:hint="eastAsia"/>
        </w:rPr>
        <w:t>，</w:t>
      </w:r>
      <w:r w:rsidRPr="00CC0941">
        <w:rPr>
          <w:rFonts w:hint="eastAsia"/>
        </w:rPr>
        <w:t>第二条第</w:t>
      </w:r>
      <w:r w:rsidRPr="00CC0941">
        <w:rPr>
          <w:rFonts w:hint="eastAsia"/>
        </w:rPr>
        <w:t>1</w:t>
      </w:r>
      <w:r w:rsidRPr="00CC0941">
        <w:rPr>
          <w:rFonts w:hint="eastAsia"/>
        </w:rPr>
        <w:t>款。</w:t>
      </w:r>
    </w:p>
  </w:footnote>
  <w:footnote w:id="51">
    <w:p w:rsidR="00AB00DE" w:rsidRDefault="00AB00DE" w:rsidP="00103498">
      <w:pPr>
        <w:pStyle w:val="a4"/>
      </w:pPr>
      <w:r>
        <w:tab/>
      </w:r>
      <w:r w:rsidRPr="00DF5565">
        <w:rPr>
          <w:rStyle w:val="a5"/>
          <w:szCs w:val="21"/>
        </w:rPr>
        <w:footnoteRef/>
      </w:r>
      <w:r w:rsidRPr="00DF5565">
        <w:rPr>
          <w:rStyle w:val="a5"/>
          <w:szCs w:val="21"/>
        </w:rPr>
        <w:t xml:space="preserve"> </w:t>
      </w:r>
      <w:r w:rsidRPr="00DF5565">
        <w:rPr>
          <w:snapToGrid/>
          <w:color w:val="0000FF"/>
          <w:sz w:val="21"/>
          <w:vertAlign w:val="superscript"/>
        </w:rPr>
        <w:tab/>
      </w:r>
      <w:r w:rsidRPr="00CC0941">
        <w:rPr>
          <w:rFonts w:hint="eastAsia"/>
        </w:rPr>
        <w:t>见第</w:t>
      </w:r>
      <w:r w:rsidRPr="00CC0941">
        <w:rPr>
          <w:rFonts w:hint="eastAsia"/>
        </w:rPr>
        <w:t>37</w:t>
      </w:r>
      <w:r w:rsidRPr="00CC0941">
        <w:rPr>
          <w:rFonts w:hint="eastAsia"/>
        </w:rPr>
        <w:t>条</w:t>
      </w:r>
      <w:r>
        <w:t>(</w:t>
      </w:r>
      <w:r w:rsidRPr="00CC0941">
        <w:t>c</w:t>
      </w:r>
      <w:r>
        <w:t>)</w:t>
      </w:r>
      <w:r w:rsidRPr="00CC0941">
        <w:rPr>
          <w:rFonts w:hint="eastAsia"/>
        </w:rPr>
        <w:t>项</w:t>
      </w:r>
      <w:r>
        <w:t>(</w:t>
      </w:r>
      <w:r w:rsidRPr="00CC0941">
        <w:rPr>
          <w:rFonts w:hint="eastAsia"/>
        </w:rPr>
        <w:t>其中指出“</w:t>
      </w:r>
      <w:r w:rsidRPr="00CC0941">
        <w:t>所有被剥夺自由的儿童应受到人道待遇</w:t>
      </w:r>
      <w:r>
        <w:t>，</w:t>
      </w:r>
      <w:r w:rsidRPr="00CC0941">
        <w:t>其人格固有尊严应受尊重</w:t>
      </w:r>
      <w:r w:rsidRPr="00CC0941">
        <w:rPr>
          <w:rFonts w:hint="eastAsia"/>
        </w:rPr>
        <w:t>”</w:t>
      </w:r>
      <w:r>
        <w:rPr>
          <w:rFonts w:hint="eastAsia"/>
        </w:rPr>
        <w:t>)</w:t>
      </w:r>
      <w:r w:rsidRPr="00CC0941">
        <w:rPr>
          <w:rFonts w:hint="eastAsia"/>
        </w:rPr>
        <w:t>。</w:t>
      </w:r>
    </w:p>
  </w:footnote>
  <w:footnote w:id="52">
    <w:p w:rsidR="00AB00DE" w:rsidRDefault="00AB00DE" w:rsidP="00103498">
      <w:pPr>
        <w:pStyle w:val="a4"/>
      </w:pPr>
      <w:r>
        <w:tab/>
      </w:r>
      <w:r w:rsidRPr="00DF5565">
        <w:rPr>
          <w:rStyle w:val="a5"/>
          <w:szCs w:val="21"/>
        </w:rPr>
        <w:footnoteRef/>
      </w:r>
      <w:r w:rsidRPr="00DF5565">
        <w:rPr>
          <w:snapToGrid/>
          <w:color w:val="0000FF"/>
          <w:sz w:val="21"/>
          <w:vertAlign w:val="superscript"/>
        </w:rPr>
        <w:t xml:space="preserve"> </w:t>
      </w:r>
      <w:r w:rsidRPr="00DF5565">
        <w:rPr>
          <w:snapToGrid/>
          <w:color w:val="0000FF"/>
          <w:sz w:val="21"/>
          <w:vertAlign w:val="superscript"/>
        </w:rPr>
        <w:tab/>
      </w:r>
      <w:r w:rsidRPr="00CC0941">
        <w:t>联合国</w:t>
      </w:r>
      <w:r>
        <w:t>，</w:t>
      </w:r>
      <w:r w:rsidRPr="00CC0941">
        <w:t>《条约汇编》</w:t>
      </w:r>
      <w:r>
        <w:t>，</w:t>
      </w:r>
      <w:r w:rsidRPr="00CC0941">
        <w:t>第</w:t>
      </w:r>
      <w:r w:rsidRPr="00CC0941">
        <w:t>1144</w:t>
      </w:r>
      <w:r w:rsidRPr="00CC0941">
        <w:t>卷</w:t>
      </w:r>
      <w:r>
        <w:t>，</w:t>
      </w:r>
      <w:r w:rsidRPr="00CC0941">
        <w:t>第</w:t>
      </w:r>
      <w:r w:rsidRPr="00CC0941">
        <w:t>17955</w:t>
      </w:r>
      <w:r w:rsidRPr="00CC0941">
        <w:t>号</w:t>
      </w:r>
      <w:r>
        <w:t>，</w:t>
      </w:r>
      <w:r w:rsidRPr="00CC0941">
        <w:t>第</w:t>
      </w:r>
      <w:r w:rsidRPr="00CC0941">
        <w:t>123</w:t>
      </w:r>
      <w:r w:rsidRPr="00CC0941">
        <w:t>页</w:t>
      </w:r>
      <w:r>
        <w:t>，</w:t>
      </w:r>
      <w:r w:rsidRPr="00CC0941">
        <w:t>第五条第二款</w:t>
      </w:r>
      <w:r>
        <w:t>(</w:t>
      </w:r>
      <w:r w:rsidRPr="00CC0941">
        <w:rPr>
          <w:rFonts w:hint="eastAsia"/>
        </w:rPr>
        <w:t>其中指出</w:t>
      </w:r>
      <w:r>
        <w:t>：</w:t>
      </w:r>
      <w:r w:rsidRPr="009E1EB9">
        <w:rPr>
          <w:rFonts w:hint="eastAsia"/>
        </w:rPr>
        <w:t>“</w:t>
      </w:r>
      <w:r w:rsidRPr="00CC0941">
        <w:t>所有被剥夺自由的人都应受到尊重人类固有的尊严的待遇</w:t>
      </w:r>
      <w:r>
        <w:rPr>
          <w:rFonts w:hint="eastAsia"/>
        </w:rPr>
        <w:t>”</w:t>
      </w:r>
      <w:r>
        <w:t>)</w:t>
      </w:r>
      <w:r w:rsidRPr="00CC0941">
        <w:t>。</w:t>
      </w:r>
    </w:p>
  </w:footnote>
  <w:footnote w:id="53">
    <w:p w:rsidR="00AB00DE" w:rsidRDefault="00AB00DE" w:rsidP="00103498">
      <w:pPr>
        <w:pStyle w:val="a4"/>
      </w:pPr>
      <w:r>
        <w:tab/>
      </w:r>
      <w:r w:rsidRPr="00DF5565">
        <w:rPr>
          <w:rStyle w:val="a5"/>
          <w:szCs w:val="21"/>
        </w:rPr>
        <w:footnoteRef/>
      </w:r>
      <w:r w:rsidRPr="00DF5565">
        <w:rPr>
          <w:rStyle w:val="a5"/>
          <w:szCs w:val="21"/>
        </w:rPr>
        <w:t xml:space="preserve"> </w:t>
      </w:r>
      <w:r w:rsidRPr="00DF5565">
        <w:rPr>
          <w:snapToGrid/>
          <w:color w:val="0000FF"/>
          <w:sz w:val="21"/>
          <w:vertAlign w:val="superscript"/>
        </w:rPr>
        <w:tab/>
      </w:r>
      <w:r w:rsidRPr="00CC0941">
        <w:t>见《大会正式记录</w:t>
      </w:r>
      <w:r>
        <w:t>，</w:t>
      </w:r>
      <w:r w:rsidRPr="00CC0941">
        <w:t>第六十一届会议</w:t>
      </w:r>
      <w:r>
        <w:t>，</w:t>
      </w:r>
      <w:r w:rsidRPr="00CC0941">
        <w:t>补编第</w:t>
      </w:r>
      <w:r w:rsidRPr="00CC0941">
        <w:t>10</w:t>
      </w:r>
      <w:r w:rsidRPr="00CC0941">
        <w:t>号》</w:t>
      </w:r>
      <w:r>
        <w:t>(</w:t>
      </w:r>
      <w:r w:rsidRPr="00CC0941">
        <w:t>A</w:t>
      </w:r>
      <w:r>
        <w:t>/</w:t>
      </w:r>
      <w:r w:rsidRPr="00CC0941">
        <w:t>61</w:t>
      </w:r>
      <w:r>
        <w:t>/</w:t>
      </w:r>
      <w:r w:rsidRPr="00CC0941">
        <w:t>10</w:t>
      </w:r>
      <w:r>
        <w:t>)</w:t>
      </w:r>
      <w:r>
        <w:t>，</w:t>
      </w:r>
      <w:r w:rsidRPr="00CC0941">
        <w:t>附件</w:t>
      </w:r>
      <w:r>
        <w:t xml:space="preserve">C, </w:t>
      </w:r>
      <w:r w:rsidRPr="00CC0941">
        <w:t>第</w:t>
      </w:r>
      <w:r w:rsidRPr="00CC0941">
        <w:t>28</w:t>
      </w:r>
      <w:r w:rsidRPr="00CC0941">
        <w:t>段。</w:t>
      </w:r>
    </w:p>
  </w:footnote>
  <w:footnote w:id="54">
    <w:p w:rsidR="00AB00DE" w:rsidRPr="00CC0941" w:rsidRDefault="00AB00DE" w:rsidP="00103498">
      <w:pPr>
        <w:pStyle w:val="a4"/>
      </w:pPr>
      <w:r>
        <w:tab/>
      </w:r>
      <w:r w:rsidRPr="00DF5565">
        <w:rPr>
          <w:rStyle w:val="a5"/>
          <w:szCs w:val="21"/>
        </w:rPr>
        <w:footnoteRef/>
      </w:r>
      <w:r w:rsidRPr="00DF5565">
        <w:rPr>
          <w:color w:val="0000FF"/>
          <w:sz w:val="21"/>
          <w:vertAlign w:val="superscript"/>
        </w:rPr>
        <w:t xml:space="preserve"> </w:t>
      </w:r>
      <w:r w:rsidRPr="00DF5565">
        <w:rPr>
          <w:color w:val="0000FF"/>
          <w:sz w:val="21"/>
          <w:vertAlign w:val="superscript"/>
        </w:rPr>
        <w:tab/>
      </w:r>
      <w:r w:rsidRPr="00CC0941">
        <w:t>《奥斯陆准则》</w:t>
      </w:r>
      <w:r>
        <w:t>，</w:t>
      </w:r>
      <w:r>
        <w:t>(</w:t>
      </w:r>
      <w:r w:rsidRPr="00CC0941">
        <w:rPr>
          <w:rFonts w:hint="eastAsia"/>
        </w:rPr>
        <w:t>见上文脚注</w:t>
      </w:r>
      <w:r>
        <w:fldChar w:fldCharType="begin"/>
      </w:r>
      <w:r>
        <w:instrText xml:space="preserve"> </w:instrText>
      </w:r>
      <w:r>
        <w:rPr>
          <w:rFonts w:hint="eastAsia"/>
        </w:rPr>
        <w:instrText>NOTEREF _Ref450650190 \h</w:instrText>
      </w:r>
      <w:r>
        <w:instrText xml:space="preserve">  \* MERGEFORMAT </w:instrText>
      </w:r>
      <w:r>
        <w:fldChar w:fldCharType="separate"/>
      </w:r>
      <w:r w:rsidR="00A73EB9">
        <w:t>28</w:t>
      </w:r>
      <w:r>
        <w:fldChar w:fldCharType="end"/>
      </w:r>
      <w:r>
        <w:rPr>
          <w:rFonts w:hint="eastAsia"/>
        </w:rPr>
        <w:t>)</w:t>
      </w:r>
      <w:r>
        <w:t>，</w:t>
      </w:r>
      <w:r w:rsidRPr="00CC0941">
        <w:t>第</w:t>
      </w:r>
      <w:r w:rsidRPr="00CC0941">
        <w:t>20</w:t>
      </w:r>
      <w:r w:rsidRPr="00CC0941">
        <w:t>段</w:t>
      </w:r>
      <w:r>
        <w:t>(</w:t>
      </w:r>
      <w:r w:rsidRPr="00CC0941">
        <w:t>注意</w:t>
      </w:r>
      <w:r>
        <w:t>：</w:t>
      </w:r>
      <w:r w:rsidRPr="00CC0941">
        <w:rPr>
          <w:rFonts w:hint="eastAsia"/>
        </w:rPr>
        <w:t>“</w:t>
      </w:r>
      <w:r w:rsidRPr="00CC0941">
        <w:t>必须尊重和保护所有受害人的尊严和权利</w:t>
      </w:r>
      <w:r w:rsidRPr="00CC0941">
        <w:rPr>
          <w:rFonts w:hint="eastAsia"/>
        </w:rPr>
        <w:t>”</w:t>
      </w:r>
      <w:r>
        <w:t>)</w:t>
      </w:r>
      <w:r w:rsidRPr="00CC0941">
        <w:t>。</w:t>
      </w:r>
    </w:p>
  </w:footnote>
  <w:footnote w:id="55">
    <w:p w:rsidR="00AB00DE" w:rsidRPr="00CC0941" w:rsidRDefault="00AB00DE" w:rsidP="00103498">
      <w:pPr>
        <w:pStyle w:val="a4"/>
      </w:pPr>
      <w:r>
        <w:tab/>
      </w:r>
      <w:r w:rsidRPr="00DF5565">
        <w:rPr>
          <w:rStyle w:val="a5"/>
          <w:szCs w:val="21"/>
        </w:rPr>
        <w:footnoteRef/>
      </w:r>
      <w:r w:rsidRPr="00DF5565">
        <w:rPr>
          <w:rStyle w:val="a5"/>
          <w:szCs w:val="21"/>
        </w:rPr>
        <w:t xml:space="preserve"> </w:t>
      </w:r>
      <w:r w:rsidRPr="00DF5565">
        <w:rPr>
          <w:color w:val="0000FF"/>
          <w:sz w:val="21"/>
          <w:vertAlign w:val="superscript"/>
        </w:rPr>
        <w:tab/>
      </w:r>
      <w:r w:rsidRPr="00CC0941">
        <w:t>J</w:t>
      </w:r>
      <w:r>
        <w:rPr>
          <w:rFonts w:hint="eastAsia"/>
        </w:rPr>
        <w:t xml:space="preserve">on </w:t>
      </w:r>
      <w:r w:rsidRPr="00CC0941">
        <w:t>M.</w:t>
      </w:r>
      <w:r>
        <w:rPr>
          <w:rFonts w:hint="eastAsia"/>
        </w:rPr>
        <w:t xml:space="preserve"> </w:t>
      </w:r>
      <w:r w:rsidRPr="00CC0941">
        <w:t>Ebersol</w:t>
      </w:r>
      <w:r>
        <w:t>e,</w:t>
      </w:r>
      <w:r w:rsidRPr="00CC0941">
        <w:rPr>
          <w:rFonts w:hint="eastAsia"/>
        </w:rPr>
        <w:t>“</w:t>
      </w:r>
      <w:r w:rsidRPr="00CC0941">
        <w:t>关于复杂紧急情况下提供人道主义援助的莫洪克标准</w:t>
      </w:r>
      <w:r w:rsidRPr="00CC0941">
        <w:rPr>
          <w:rFonts w:hint="eastAsia"/>
        </w:rPr>
        <w:t>”</w:t>
      </w:r>
      <w:r>
        <w:t>(</w:t>
      </w:r>
      <w:r w:rsidRPr="00CC0941">
        <w:rPr>
          <w:rFonts w:hint="eastAsia"/>
        </w:rPr>
        <w:t>“</w:t>
      </w:r>
      <w:r w:rsidRPr="00CC0941">
        <w:t>莫洪克标准</w:t>
      </w:r>
      <w:r w:rsidRPr="00CC0941">
        <w:rPr>
          <w:rFonts w:hint="eastAsia"/>
        </w:rPr>
        <w:t>”</w:t>
      </w:r>
      <w:r>
        <w:t>)</w:t>
      </w:r>
      <w:r>
        <w:t>，</w:t>
      </w:r>
      <w:r w:rsidRPr="00CC0941">
        <w:t>《人权季刊》</w:t>
      </w:r>
      <w:r>
        <w:t>，</w:t>
      </w:r>
      <w:r w:rsidRPr="00CC0941">
        <w:t>第</w:t>
      </w:r>
      <w:r w:rsidRPr="00CC0941">
        <w:t>17</w:t>
      </w:r>
      <w:r w:rsidRPr="00CC0941">
        <w:t>卷</w:t>
      </w:r>
      <w:r>
        <w:t>，</w:t>
      </w:r>
      <w:r w:rsidRPr="00CC0941">
        <w:t>第</w:t>
      </w:r>
      <w:r w:rsidRPr="00CC0941">
        <w:t>1</w:t>
      </w:r>
      <w:r w:rsidRPr="00CC0941">
        <w:t>号</w:t>
      </w:r>
      <w:r>
        <w:t>(</w:t>
      </w:r>
      <w:r w:rsidRPr="00CC0941">
        <w:t>1995</w:t>
      </w:r>
      <w:r w:rsidRPr="00CC0941">
        <w:t>年</w:t>
      </w:r>
      <w:r w:rsidRPr="00CC0941">
        <w:t>2</w:t>
      </w:r>
      <w:r w:rsidRPr="00CC0941">
        <w:t>月</w:t>
      </w:r>
      <w:r>
        <w:t>)</w:t>
      </w:r>
      <w:r>
        <w:t>，</w:t>
      </w:r>
      <w:r w:rsidRPr="00CC0941">
        <w:t>第</w:t>
      </w:r>
      <w:r w:rsidRPr="00CC0941">
        <w:t>19</w:t>
      </w:r>
      <w:r>
        <w:rPr>
          <w:rFonts w:hint="eastAsia"/>
        </w:rPr>
        <w:t>2-208</w:t>
      </w:r>
      <w:r w:rsidRPr="00CC0941">
        <w:t>页</w:t>
      </w:r>
      <w:r>
        <w:t>(</w:t>
      </w:r>
      <w:r w:rsidRPr="00CC0941">
        <w:t>注意</w:t>
      </w:r>
      <w:r>
        <w:t>：</w:t>
      </w:r>
      <w:r w:rsidRPr="00CC0941">
        <w:rPr>
          <w:rFonts w:hint="eastAsia"/>
        </w:rPr>
        <w:t>“</w:t>
      </w:r>
      <w:r w:rsidRPr="00CC0941">
        <w:t>必须尊重和保护所有受害人的尊严和权利</w:t>
      </w:r>
      <w:r w:rsidRPr="00CC0941">
        <w:rPr>
          <w:rFonts w:hint="eastAsia"/>
        </w:rPr>
        <w:t>”</w:t>
      </w:r>
      <w:r>
        <w:t>)</w:t>
      </w:r>
      <w:r w:rsidRPr="00CC0941">
        <w:t>。</w:t>
      </w:r>
    </w:p>
  </w:footnote>
  <w:footnote w:id="56">
    <w:p w:rsidR="00AB00DE" w:rsidRPr="00CC0941" w:rsidRDefault="00AB00DE" w:rsidP="00103498">
      <w:pPr>
        <w:pStyle w:val="a4"/>
      </w:pPr>
      <w:r>
        <w:tab/>
      </w:r>
      <w:r w:rsidRPr="00DF5565">
        <w:rPr>
          <w:rStyle w:val="a5"/>
          <w:szCs w:val="21"/>
        </w:rPr>
        <w:footnoteRef/>
      </w:r>
      <w:r w:rsidRPr="00DF5565">
        <w:rPr>
          <w:rStyle w:val="a5"/>
          <w:szCs w:val="21"/>
        </w:rPr>
        <w:t xml:space="preserve"> </w:t>
      </w:r>
      <w:r w:rsidRPr="00DF5565">
        <w:rPr>
          <w:color w:val="0000FF"/>
          <w:sz w:val="21"/>
          <w:vertAlign w:val="superscript"/>
        </w:rPr>
        <w:tab/>
      </w:r>
      <w:r w:rsidRPr="00CC0941">
        <w:t>E</w:t>
      </w:r>
      <w:r>
        <w:t>/</w:t>
      </w:r>
      <w:r w:rsidRPr="00CC0941">
        <w:t>CN.4</w:t>
      </w:r>
      <w:r>
        <w:t>/</w:t>
      </w:r>
      <w:r w:rsidRPr="00CC0941">
        <w:t>1998</w:t>
      </w:r>
      <w:r>
        <w:t>/</w:t>
      </w:r>
      <w:r w:rsidRPr="00CC0941">
        <w:t>53</w:t>
      </w:r>
      <w:r>
        <w:t>/</w:t>
      </w:r>
      <w:r w:rsidRPr="00CC0941">
        <w:t>Add.</w:t>
      </w:r>
      <w:r>
        <w:t>2,</w:t>
      </w:r>
      <w:r>
        <w:rPr>
          <w:rFonts w:hint="eastAsia"/>
        </w:rPr>
        <w:t xml:space="preserve"> </w:t>
      </w:r>
      <w:r w:rsidRPr="00CC0941">
        <w:t>附件</w:t>
      </w:r>
      <w:r>
        <w:t>，</w:t>
      </w:r>
      <w:r w:rsidRPr="00CC0941">
        <w:t>原则</w:t>
      </w:r>
      <w:r w:rsidRPr="00CC0941">
        <w:t>26</w:t>
      </w:r>
      <w:r>
        <w:t>(</w:t>
      </w:r>
      <w:r w:rsidRPr="00CC0941">
        <w:t>尤其注意</w:t>
      </w:r>
      <w:r>
        <w:t>：</w:t>
      </w:r>
      <w:r w:rsidRPr="00CC0941">
        <w:rPr>
          <w:rFonts w:hint="eastAsia"/>
        </w:rPr>
        <w:t>“</w:t>
      </w:r>
      <w:r w:rsidRPr="00CC0941">
        <w:t>应尊重并保护参加人道主义援助的人员及其运输手段和物资</w:t>
      </w:r>
      <w:r w:rsidRPr="00CC0941">
        <w:rPr>
          <w:rFonts w:hint="eastAsia"/>
        </w:rPr>
        <w:t>”</w:t>
      </w:r>
      <w:r w:rsidRPr="00CC0941">
        <w:t>。</w:t>
      </w:r>
    </w:p>
  </w:footnote>
  <w:footnote w:id="57">
    <w:p w:rsidR="00AB00DE" w:rsidRPr="00CC0941" w:rsidRDefault="00AB00DE" w:rsidP="00103498">
      <w:pPr>
        <w:pStyle w:val="a4"/>
      </w:pPr>
      <w:r>
        <w:tab/>
      </w:r>
      <w:r w:rsidRPr="00DF5565">
        <w:rPr>
          <w:rStyle w:val="a5"/>
          <w:szCs w:val="21"/>
        </w:rPr>
        <w:footnoteRef/>
      </w:r>
      <w:r w:rsidRPr="00DF5565">
        <w:rPr>
          <w:color w:val="0000FF"/>
          <w:sz w:val="21"/>
          <w:vertAlign w:val="superscript"/>
        </w:rPr>
        <w:t xml:space="preserve"> </w:t>
      </w:r>
      <w:r w:rsidRPr="00DF5565">
        <w:rPr>
          <w:color w:val="0000FF"/>
          <w:sz w:val="21"/>
          <w:vertAlign w:val="superscript"/>
        </w:rPr>
        <w:tab/>
      </w:r>
      <w:r w:rsidRPr="00CC0941">
        <w:t>国际人道主义法研究所理事会</w:t>
      </w:r>
      <w:r w:rsidRPr="00CC0941">
        <w:t>1993</w:t>
      </w:r>
      <w:r w:rsidRPr="00CC0941">
        <w:t>年</w:t>
      </w:r>
      <w:r w:rsidRPr="00CC0941">
        <w:t>4</w:t>
      </w:r>
      <w:r w:rsidRPr="00CC0941">
        <w:t>月通过的《人道主义援助权利指导原则》</w:t>
      </w:r>
      <w:r>
        <w:t>，</w:t>
      </w:r>
      <w:r w:rsidRPr="00CC0941">
        <w:t>原则</w:t>
      </w:r>
      <w:r w:rsidRPr="00CC0941">
        <w:t>10</w:t>
      </w:r>
      <w:r>
        <w:t>(</w:t>
      </w:r>
      <w:r w:rsidRPr="00CC0941">
        <w:t>注意</w:t>
      </w:r>
      <w:r>
        <w:t>：</w:t>
      </w:r>
      <w:r w:rsidRPr="00CC0941">
        <w:rPr>
          <w:rFonts w:hint="eastAsia"/>
        </w:rPr>
        <w:t>“</w:t>
      </w:r>
      <w:r w:rsidRPr="00CC0941">
        <w:t>可酌情通过</w:t>
      </w:r>
      <w:r w:rsidRPr="00CC0941">
        <w:rPr>
          <w:rFonts w:hint="eastAsia"/>
        </w:rPr>
        <w:t>‘</w:t>
      </w:r>
      <w:r w:rsidRPr="00CC0941">
        <w:t>人道主义走廊</w:t>
      </w:r>
      <w:r w:rsidRPr="00CC0941">
        <w:rPr>
          <w:rFonts w:hint="eastAsia"/>
        </w:rPr>
        <w:t>’</w:t>
      </w:r>
      <w:r w:rsidRPr="00CC0941">
        <w:t>提供人道主义援助</w:t>
      </w:r>
      <w:r>
        <w:t>，</w:t>
      </w:r>
      <w:r w:rsidRPr="00CC0941">
        <w:t>有关各方的主管当局应予以尊重和保护</w:t>
      </w:r>
      <w:r>
        <w:t>，</w:t>
      </w:r>
      <w:r w:rsidRPr="00CC0941">
        <w:t>必要时由联合国授权</w:t>
      </w:r>
      <w:r w:rsidRPr="00CC0941">
        <w:rPr>
          <w:rFonts w:hint="eastAsia"/>
        </w:rPr>
        <w:t>”</w:t>
      </w:r>
      <w:r>
        <w:t>)</w:t>
      </w:r>
      <w:r w:rsidRPr="00CC0941">
        <w:t>。</w:t>
      </w:r>
    </w:p>
  </w:footnote>
  <w:footnote w:id="58">
    <w:p w:rsidR="00AB00DE" w:rsidRDefault="00AB00DE" w:rsidP="00103498">
      <w:pPr>
        <w:pStyle w:val="a4"/>
      </w:pPr>
      <w:r>
        <w:tab/>
      </w:r>
      <w:r w:rsidRPr="00DF5565">
        <w:rPr>
          <w:rStyle w:val="a5"/>
          <w:szCs w:val="21"/>
        </w:rPr>
        <w:footnoteRef/>
      </w:r>
      <w:r w:rsidRPr="00DF5565">
        <w:rPr>
          <w:snapToGrid/>
          <w:color w:val="0000FF"/>
          <w:sz w:val="21"/>
          <w:vertAlign w:val="superscript"/>
        </w:rPr>
        <w:t xml:space="preserve"> </w:t>
      </w:r>
      <w:r w:rsidRPr="00DF5565">
        <w:rPr>
          <w:snapToGrid/>
          <w:color w:val="0000FF"/>
          <w:sz w:val="21"/>
          <w:vertAlign w:val="superscript"/>
        </w:rPr>
        <w:tab/>
      </w:r>
      <w:r w:rsidRPr="00CC0941">
        <w:rPr>
          <w:rFonts w:hint="eastAsia"/>
        </w:rPr>
        <w:t>机构间常设委员会《自然灾害情况下人员保护业务准则》</w:t>
      </w:r>
      <w:r>
        <w:t>(</w:t>
      </w:r>
      <w:r w:rsidRPr="00CC0941">
        <w:t>Washingto</w:t>
      </w:r>
      <w:r>
        <w:t xml:space="preserve">n, </w:t>
      </w:r>
      <w:r w:rsidRPr="00CC0941">
        <w:t>D.C.</w:t>
      </w:r>
      <w:r>
        <w:t>，</w:t>
      </w:r>
      <w:r w:rsidRPr="00CC0941">
        <w:t>Brookings-Bern Project on Internal Displacemen</w:t>
      </w:r>
      <w:r>
        <w:t xml:space="preserve">t, </w:t>
      </w:r>
      <w:r w:rsidRPr="00CC0941">
        <w:t>2011</w:t>
      </w:r>
      <w:r>
        <w:t>)</w:t>
      </w:r>
      <w:r w:rsidRPr="00CC0941">
        <w:rPr>
          <w:rFonts w:hint="eastAsia"/>
        </w:rPr>
        <w:t>。</w:t>
      </w:r>
    </w:p>
  </w:footnote>
  <w:footnote w:id="59">
    <w:p w:rsidR="00AB00DE" w:rsidRDefault="00AB00DE" w:rsidP="00103498">
      <w:pPr>
        <w:pStyle w:val="a4"/>
      </w:pPr>
      <w:r w:rsidRPr="00DF5565">
        <w:rPr>
          <w:snapToGrid/>
          <w:color w:val="0000FF"/>
          <w:sz w:val="21"/>
          <w:vertAlign w:val="superscript"/>
        </w:rPr>
        <w:tab/>
      </w:r>
      <w:r w:rsidRPr="00DF5565">
        <w:rPr>
          <w:rStyle w:val="a5"/>
          <w:szCs w:val="21"/>
        </w:rPr>
        <w:footnoteRef/>
      </w:r>
      <w:r w:rsidRPr="00DF5565">
        <w:rPr>
          <w:snapToGrid/>
          <w:color w:val="0000FF"/>
          <w:sz w:val="21"/>
          <w:vertAlign w:val="superscript"/>
        </w:rPr>
        <w:t xml:space="preserve"> </w:t>
      </w:r>
      <w:r w:rsidRPr="00DF5565">
        <w:rPr>
          <w:snapToGrid/>
          <w:color w:val="0000FF"/>
          <w:sz w:val="21"/>
          <w:vertAlign w:val="superscript"/>
        </w:rPr>
        <w:tab/>
      </w:r>
      <w:r>
        <w:rPr>
          <w:rFonts w:hint="eastAsia"/>
        </w:rPr>
        <w:t>见上文脚注</w:t>
      </w:r>
      <w:r>
        <w:fldChar w:fldCharType="begin"/>
      </w:r>
      <w:r>
        <w:instrText xml:space="preserve"> </w:instrText>
      </w:r>
      <w:r>
        <w:rPr>
          <w:rFonts w:hint="eastAsia"/>
        </w:rPr>
        <w:instrText>NOTEREF _Ref457226247 \h</w:instrText>
      </w:r>
      <w:r>
        <w:instrText xml:space="preserve">  \* MERGEFORMAT </w:instrText>
      </w:r>
      <w:r>
        <w:fldChar w:fldCharType="separate"/>
      </w:r>
      <w:r w:rsidR="00A73EB9">
        <w:t>55</w:t>
      </w:r>
      <w:r>
        <w:fldChar w:fldCharType="end"/>
      </w:r>
      <w:r>
        <w:rPr>
          <w:rFonts w:hint="eastAsia"/>
        </w:rPr>
        <w:t>。</w:t>
      </w:r>
    </w:p>
  </w:footnote>
  <w:footnote w:id="60">
    <w:p w:rsidR="00AB00DE" w:rsidRDefault="00AB00DE" w:rsidP="00103498">
      <w:pPr>
        <w:pStyle w:val="a4"/>
      </w:pPr>
      <w:r>
        <w:tab/>
      </w:r>
      <w:r w:rsidRPr="00DF5565">
        <w:rPr>
          <w:rStyle w:val="a5"/>
          <w:szCs w:val="21"/>
        </w:rPr>
        <w:footnoteRef/>
      </w:r>
      <w:r w:rsidRPr="00DF5565">
        <w:rPr>
          <w:snapToGrid/>
          <w:color w:val="0000FF"/>
          <w:sz w:val="21"/>
          <w:vertAlign w:val="superscript"/>
        </w:rPr>
        <w:t xml:space="preserve"> </w:t>
      </w:r>
      <w:r w:rsidRPr="00DF5565">
        <w:rPr>
          <w:snapToGrid/>
          <w:color w:val="0000FF"/>
          <w:sz w:val="21"/>
          <w:vertAlign w:val="superscript"/>
        </w:rPr>
        <w:tab/>
      </w:r>
      <w:r w:rsidRPr="00CC0941">
        <w:rPr>
          <w:rFonts w:hint="eastAsia"/>
        </w:rPr>
        <w:t>见</w:t>
      </w:r>
      <w:r w:rsidRPr="00CC0941">
        <w:t>欧洲人权法院</w:t>
      </w:r>
      <w:r>
        <w:t>，</w:t>
      </w:r>
      <w:r w:rsidRPr="009E1EB9">
        <w:rPr>
          <w:rFonts w:ascii="Time New Roman" w:eastAsia="楷体" w:hAnsi="Time New Roman"/>
        </w:rPr>
        <w:t>布达耶娃等人诉俄罗斯</w:t>
      </w:r>
      <w:r>
        <w:rPr>
          <w:rFonts w:hint="eastAsia"/>
        </w:rPr>
        <w:t>，</w:t>
      </w:r>
      <w:r w:rsidRPr="00CC0941">
        <w:rPr>
          <w:rFonts w:hint="eastAsia"/>
        </w:rPr>
        <w:t>案件号</w:t>
      </w:r>
      <w:r w:rsidRPr="00CC0941">
        <w:t>15339</w:t>
      </w:r>
      <w:r>
        <w:t>/</w:t>
      </w:r>
      <w:r w:rsidRPr="00CC0941">
        <w:t>02</w:t>
      </w:r>
      <w:r w:rsidRPr="00CC0941">
        <w:rPr>
          <w:rFonts w:hint="eastAsia"/>
        </w:rPr>
        <w:t>、</w:t>
      </w:r>
      <w:r w:rsidRPr="00CC0941">
        <w:t>21166</w:t>
      </w:r>
      <w:r>
        <w:t>/</w:t>
      </w:r>
      <w:r w:rsidRPr="00CC0941">
        <w:t>02</w:t>
      </w:r>
      <w:r w:rsidRPr="00CC0941">
        <w:rPr>
          <w:rFonts w:hint="eastAsia"/>
        </w:rPr>
        <w:t>、</w:t>
      </w:r>
      <w:r w:rsidRPr="00CC0941">
        <w:t>20058</w:t>
      </w:r>
      <w:r>
        <w:t>/</w:t>
      </w:r>
      <w:r w:rsidRPr="00CC0941">
        <w:t>02</w:t>
      </w:r>
      <w:r w:rsidRPr="00CC0941">
        <w:rPr>
          <w:rFonts w:hint="eastAsia"/>
        </w:rPr>
        <w:t>、</w:t>
      </w:r>
      <w:r w:rsidRPr="00CC0941">
        <w:t>11673</w:t>
      </w:r>
      <w:r>
        <w:t>/</w:t>
      </w:r>
      <w:r w:rsidRPr="00CC0941">
        <w:t>02</w:t>
      </w:r>
      <w:r w:rsidRPr="00CC0941">
        <w:rPr>
          <w:rFonts w:hint="eastAsia"/>
        </w:rPr>
        <w:t>和</w:t>
      </w:r>
      <w:r w:rsidRPr="00CC0941">
        <w:t>15343</w:t>
      </w:r>
      <w:r>
        <w:t>/</w:t>
      </w:r>
      <w:r w:rsidRPr="00CC0941">
        <w:t>02</w:t>
      </w:r>
      <w:r w:rsidRPr="00CC0941">
        <w:rPr>
          <w:rFonts w:hint="eastAsia"/>
        </w:rPr>
        <w:t>号</w:t>
      </w:r>
      <w:r>
        <w:rPr>
          <w:rFonts w:hint="eastAsia"/>
        </w:rPr>
        <w:t>，</w:t>
      </w:r>
      <w:r w:rsidRPr="00CC0941">
        <w:t>ECHR 2008-II</w:t>
      </w:r>
      <w:r w:rsidRPr="00CC0941">
        <w:rPr>
          <w:rFonts w:hint="eastAsia"/>
        </w:rPr>
        <w:t>。</w:t>
      </w:r>
    </w:p>
  </w:footnote>
  <w:footnote w:id="61">
    <w:p w:rsidR="00AB00DE" w:rsidRDefault="00AB00DE" w:rsidP="00103498">
      <w:pPr>
        <w:pStyle w:val="a4"/>
      </w:pPr>
      <w:r w:rsidRPr="00DF5565">
        <w:rPr>
          <w:snapToGrid/>
          <w:color w:val="0000FF"/>
          <w:sz w:val="21"/>
          <w:vertAlign w:val="superscript"/>
        </w:rPr>
        <w:tab/>
      </w:r>
      <w:r w:rsidRPr="00DF5565">
        <w:rPr>
          <w:rStyle w:val="a5"/>
          <w:szCs w:val="21"/>
        </w:rPr>
        <w:footnoteRef/>
      </w:r>
      <w:r w:rsidRPr="00DF5565">
        <w:rPr>
          <w:snapToGrid/>
          <w:color w:val="0000FF"/>
          <w:sz w:val="21"/>
          <w:vertAlign w:val="superscript"/>
        </w:rPr>
        <w:t xml:space="preserve"> </w:t>
      </w:r>
      <w:r w:rsidRPr="00DF5565">
        <w:rPr>
          <w:snapToGrid/>
          <w:color w:val="0000FF"/>
          <w:sz w:val="21"/>
          <w:vertAlign w:val="superscript"/>
        </w:rPr>
        <w:tab/>
      </w:r>
      <w:r w:rsidRPr="00CC0941">
        <w:rPr>
          <w:rFonts w:hint="eastAsia"/>
        </w:rPr>
        <w:t>例如</w:t>
      </w:r>
      <w:r>
        <w:rPr>
          <w:rFonts w:hint="eastAsia"/>
        </w:rPr>
        <w:t>，</w:t>
      </w:r>
      <w:r w:rsidRPr="00CC0941">
        <w:rPr>
          <w:rFonts w:hint="eastAsia"/>
        </w:rPr>
        <w:t>见</w:t>
      </w:r>
      <w:r w:rsidRPr="00CC0941">
        <w:t>《关于境内流离失所问题的指导原则》</w:t>
      </w:r>
      <w:r>
        <w:t>(</w:t>
      </w:r>
      <w:r w:rsidRPr="00CC0941">
        <w:rPr>
          <w:rFonts w:hint="eastAsia"/>
        </w:rPr>
        <w:t>脚注</w:t>
      </w:r>
      <w:r>
        <w:fldChar w:fldCharType="begin"/>
      </w:r>
      <w:r>
        <w:instrText xml:space="preserve"> </w:instrText>
      </w:r>
      <w:r>
        <w:rPr>
          <w:rFonts w:hint="eastAsia"/>
        </w:rPr>
        <w:instrText>NOTEREF _Ref457226247 \h</w:instrText>
      </w:r>
      <w:r>
        <w:instrText xml:space="preserve">  \* MERGEFORMAT </w:instrText>
      </w:r>
      <w:r>
        <w:fldChar w:fldCharType="separate"/>
      </w:r>
      <w:r w:rsidR="00A73EB9">
        <w:t>55</w:t>
      </w:r>
      <w:r>
        <w:fldChar w:fldCharType="end"/>
      </w:r>
      <w:r>
        <w:t>)</w:t>
      </w:r>
      <w:r>
        <w:t>，</w:t>
      </w:r>
      <w:r w:rsidRPr="00CC0941">
        <w:rPr>
          <w:rFonts w:hint="eastAsia"/>
        </w:rPr>
        <w:t>附件</w:t>
      </w:r>
      <w:r>
        <w:rPr>
          <w:rFonts w:hint="eastAsia"/>
        </w:rPr>
        <w:t>，</w:t>
      </w:r>
      <w:r w:rsidRPr="00CC0941">
        <w:rPr>
          <w:rFonts w:hint="eastAsia"/>
        </w:rPr>
        <w:t>原则</w:t>
      </w:r>
      <w:r w:rsidRPr="00CC0941">
        <w:t>5</w:t>
      </w:r>
      <w:r w:rsidRPr="00CC0941">
        <w:rPr>
          <w:rFonts w:hint="eastAsia"/>
        </w:rPr>
        <w:t>。</w:t>
      </w:r>
    </w:p>
  </w:footnote>
  <w:footnote w:id="62">
    <w:p w:rsidR="00AB00DE" w:rsidRDefault="00AB00DE" w:rsidP="00103498">
      <w:pPr>
        <w:pStyle w:val="a4"/>
      </w:pPr>
      <w:r>
        <w:tab/>
      </w:r>
      <w:r w:rsidRPr="00DF5565">
        <w:rPr>
          <w:rStyle w:val="a5"/>
          <w:szCs w:val="21"/>
        </w:rPr>
        <w:footnoteRef/>
      </w:r>
      <w:r w:rsidRPr="00DF5565">
        <w:rPr>
          <w:rStyle w:val="a5"/>
          <w:szCs w:val="21"/>
        </w:rPr>
        <w:t xml:space="preserve"> </w:t>
      </w:r>
      <w:r w:rsidRPr="00DF5565">
        <w:rPr>
          <w:snapToGrid/>
          <w:color w:val="0000FF"/>
          <w:sz w:val="21"/>
          <w:vertAlign w:val="superscript"/>
        </w:rPr>
        <w:tab/>
      </w:r>
      <w:r w:rsidRPr="00CC0941">
        <w:rPr>
          <w:rFonts w:hint="eastAsia"/>
        </w:rPr>
        <w:t>又见</w:t>
      </w:r>
      <w:r w:rsidRPr="00CC0941">
        <w:t>机构间常设委员会</w:t>
      </w:r>
      <w:r w:rsidRPr="00CC0941">
        <w:rPr>
          <w:rFonts w:hint="eastAsia"/>
        </w:rPr>
        <w:t>2006</w:t>
      </w:r>
      <w:r w:rsidRPr="00CC0941">
        <w:rPr>
          <w:rFonts w:hint="eastAsia"/>
        </w:rPr>
        <w:t>年《</w:t>
      </w:r>
      <w:r w:rsidRPr="00CC0941">
        <w:t>人权和自然灾害业务准则</w:t>
      </w:r>
      <w:r w:rsidRPr="00CC0941">
        <w:rPr>
          <w:rFonts w:hint="eastAsia"/>
        </w:rPr>
        <w:t>》</w:t>
      </w:r>
      <w:r>
        <w:t>(</w:t>
      </w:r>
      <w:r w:rsidRPr="00CC0941">
        <w:t>A</w:t>
      </w:r>
      <w:r>
        <w:t>/</w:t>
      </w:r>
      <w:r w:rsidRPr="00CC0941">
        <w:t>HRC</w:t>
      </w:r>
      <w:r>
        <w:t>/</w:t>
      </w:r>
      <w:r w:rsidRPr="00CC0941">
        <w:t>4</w:t>
      </w:r>
      <w:r>
        <w:t>/</w:t>
      </w:r>
      <w:r w:rsidRPr="00CC0941">
        <w:t>38</w:t>
      </w:r>
      <w:r>
        <w:t>/</w:t>
      </w:r>
      <w:r w:rsidRPr="00CC0941">
        <w:t>Add.</w:t>
      </w:r>
      <w:r>
        <w:t>1,</w:t>
      </w:r>
      <w:r>
        <w:rPr>
          <w:rFonts w:hint="eastAsia"/>
        </w:rPr>
        <w:t xml:space="preserve"> </w:t>
      </w:r>
      <w:r w:rsidRPr="00CC0941">
        <w:rPr>
          <w:rFonts w:hint="eastAsia"/>
        </w:rPr>
        <w:t>附件</w:t>
      </w:r>
      <w:r>
        <w:t>)</w:t>
      </w:r>
      <w:r>
        <w:rPr>
          <w:rFonts w:hint="eastAsia"/>
        </w:rPr>
        <w:t>。</w:t>
      </w:r>
      <w:r w:rsidRPr="00CC0941">
        <w:rPr>
          <w:rFonts w:hint="eastAsia"/>
        </w:rPr>
        <w:t>又见第</w:t>
      </w:r>
      <w:r w:rsidRPr="00CC0941">
        <w:rPr>
          <w:rFonts w:hint="eastAsia"/>
        </w:rPr>
        <w:t>6</w:t>
      </w:r>
      <w:r w:rsidRPr="00CC0941">
        <w:rPr>
          <w:rFonts w:hint="eastAsia"/>
        </w:rPr>
        <w:t>条草案评注第</w:t>
      </w:r>
      <w:r>
        <w:t>(</w:t>
      </w:r>
      <w:r w:rsidRPr="00CC0941">
        <w:t>2</w:t>
      </w:r>
      <w:r>
        <w:t>)</w:t>
      </w:r>
      <w:r w:rsidRPr="00CC0941">
        <w:rPr>
          <w:rFonts w:hint="eastAsia"/>
        </w:rPr>
        <w:t>和</w:t>
      </w:r>
      <w:r>
        <w:t>(</w:t>
      </w:r>
      <w:r w:rsidRPr="00CC0941">
        <w:t>3</w:t>
      </w:r>
      <w:r>
        <w:t>)</w:t>
      </w:r>
      <w:r w:rsidRPr="00CC0941">
        <w:rPr>
          <w:rFonts w:hint="eastAsia"/>
        </w:rPr>
        <w:t>段。</w:t>
      </w:r>
    </w:p>
  </w:footnote>
  <w:footnote w:id="63">
    <w:p w:rsidR="00AB00DE" w:rsidRDefault="00AB00DE" w:rsidP="00103498">
      <w:pPr>
        <w:pStyle w:val="a4"/>
      </w:pPr>
      <w:r>
        <w:tab/>
      </w:r>
      <w:r w:rsidRPr="00DF5565">
        <w:rPr>
          <w:rStyle w:val="a5"/>
          <w:szCs w:val="21"/>
        </w:rPr>
        <w:footnoteRef/>
      </w:r>
      <w:r w:rsidRPr="00DF5565">
        <w:rPr>
          <w:color w:val="0000FF"/>
          <w:sz w:val="21"/>
          <w:vertAlign w:val="superscript"/>
        </w:rPr>
        <w:t xml:space="preserve"> </w:t>
      </w:r>
      <w:r w:rsidRPr="00DF5565">
        <w:rPr>
          <w:color w:val="0000FF"/>
          <w:sz w:val="21"/>
          <w:vertAlign w:val="superscript"/>
        </w:rPr>
        <w:tab/>
      </w:r>
      <w:r w:rsidRPr="00CC0941">
        <w:rPr>
          <w:rFonts w:hint="eastAsia"/>
        </w:rPr>
        <w:t>例如</w:t>
      </w:r>
      <w:r>
        <w:rPr>
          <w:rFonts w:hint="eastAsia"/>
        </w:rPr>
        <w:t>，</w:t>
      </w:r>
      <w:r w:rsidRPr="00CC0941">
        <w:rPr>
          <w:rFonts w:hint="eastAsia"/>
        </w:rPr>
        <w:t>见下文第</w:t>
      </w:r>
      <w:r w:rsidRPr="00CC0941">
        <w:rPr>
          <w:rFonts w:hint="eastAsia"/>
        </w:rPr>
        <w:t>11</w:t>
      </w:r>
      <w:r w:rsidRPr="00CC0941">
        <w:rPr>
          <w:rFonts w:hint="eastAsia"/>
        </w:rPr>
        <w:t>条</w:t>
      </w:r>
      <w:r>
        <w:rPr>
          <w:rFonts w:hint="eastAsia"/>
        </w:rPr>
        <w:t>草案</w:t>
      </w:r>
      <w:r w:rsidRPr="00CC0941">
        <w:rPr>
          <w:rFonts w:hint="eastAsia"/>
        </w:rPr>
        <w:t>的评注第</w:t>
      </w:r>
      <w:r>
        <w:t>(</w:t>
      </w:r>
      <w:r w:rsidRPr="00CC0941">
        <w:t>4</w:t>
      </w:r>
      <w:r>
        <w:t>)</w:t>
      </w:r>
      <w:r w:rsidRPr="00CC0941">
        <w:t>-</w:t>
      </w:r>
      <w:r>
        <w:t>(</w:t>
      </w:r>
      <w:r w:rsidRPr="00CC0941">
        <w:t>5</w:t>
      </w:r>
      <w:r>
        <w:t>)</w:t>
      </w:r>
      <w:r w:rsidRPr="00CC0941">
        <w:rPr>
          <w:rFonts w:hint="eastAsia"/>
        </w:rPr>
        <w:t>段。</w:t>
      </w:r>
    </w:p>
  </w:footnote>
  <w:footnote w:id="64">
    <w:p w:rsidR="00AB00DE" w:rsidRDefault="00AB00DE" w:rsidP="00103498">
      <w:pPr>
        <w:pStyle w:val="a4"/>
      </w:pPr>
      <w:r>
        <w:tab/>
      </w:r>
      <w:r w:rsidRPr="00DF5565">
        <w:rPr>
          <w:rStyle w:val="a5"/>
          <w:szCs w:val="21"/>
        </w:rPr>
        <w:footnoteRef/>
      </w:r>
      <w:r w:rsidRPr="00DF5565">
        <w:rPr>
          <w:rStyle w:val="a5"/>
          <w:szCs w:val="21"/>
        </w:rPr>
        <w:tab/>
      </w:r>
      <w:r>
        <w:rPr>
          <w:rFonts w:hint="eastAsia"/>
        </w:rPr>
        <w:t>见秘书处备忘录中的讨论</w:t>
      </w:r>
      <w:r>
        <w:rPr>
          <w:rFonts w:hint="eastAsia"/>
        </w:rPr>
        <w:t>(</w:t>
      </w:r>
      <w:r>
        <w:t>A/CN.4/590</w:t>
      </w:r>
      <w:r>
        <w:rPr>
          <w:rFonts w:hint="eastAsia"/>
        </w:rPr>
        <w:t>)</w:t>
      </w:r>
      <w:r>
        <w:rPr>
          <w:rFonts w:hint="eastAsia"/>
        </w:rPr>
        <w:t>，第</w:t>
      </w:r>
      <w:r>
        <w:t>11</w:t>
      </w:r>
      <w:r>
        <w:rPr>
          <w:rFonts w:hint="eastAsia"/>
        </w:rPr>
        <w:t>段。</w:t>
      </w:r>
    </w:p>
  </w:footnote>
  <w:footnote w:id="65">
    <w:p w:rsidR="00AB00DE" w:rsidRDefault="00AB00DE" w:rsidP="00103498">
      <w:pPr>
        <w:pStyle w:val="a4"/>
      </w:pPr>
      <w:r>
        <w:tab/>
      </w:r>
      <w:r w:rsidRPr="00DF5565">
        <w:rPr>
          <w:rStyle w:val="a5"/>
          <w:szCs w:val="21"/>
        </w:rPr>
        <w:footnoteRef/>
      </w:r>
      <w:r>
        <w:tab/>
      </w:r>
      <w:r>
        <w:rPr>
          <w:rFonts w:hint="eastAsia"/>
        </w:rPr>
        <w:t>附件，第</w:t>
      </w:r>
      <w:r>
        <w:t>2</w:t>
      </w:r>
      <w:r>
        <w:rPr>
          <w:rFonts w:hint="eastAsia"/>
        </w:rPr>
        <w:t>段。</w:t>
      </w:r>
    </w:p>
  </w:footnote>
  <w:footnote w:id="66">
    <w:p w:rsidR="00AB00DE" w:rsidRDefault="00AB00DE" w:rsidP="00103498">
      <w:pPr>
        <w:pStyle w:val="a4"/>
      </w:pPr>
      <w:r>
        <w:tab/>
      </w:r>
      <w:r w:rsidRPr="00DF5565">
        <w:rPr>
          <w:rStyle w:val="a5"/>
          <w:szCs w:val="21"/>
        </w:rPr>
        <w:footnoteRef/>
      </w:r>
      <w:r>
        <w:tab/>
      </w:r>
      <w:r>
        <w:rPr>
          <w:rFonts w:hint="eastAsia"/>
        </w:rPr>
        <w:t>见第三条第一款</w:t>
      </w:r>
      <w:r>
        <w:t>(</w:t>
      </w:r>
      <w:r>
        <w:rPr>
          <w:rFonts w:hint="eastAsia"/>
        </w:rPr>
        <w:t>注：“不实际参加战事之人员，包括放下武器之武装部队人员及因病、伤、拘留、或其他原因而失去战斗力之人员在内，在一切情况下应予以人道待遇，不得基于种族、肤色、宗教或信仰、性别、出身或财力或其他类似标准而有所歧视”</w:t>
      </w:r>
      <w:r>
        <w:t>)</w:t>
      </w:r>
      <w:r>
        <w:rPr>
          <w:rFonts w:hint="eastAsia"/>
        </w:rPr>
        <w:t>。</w:t>
      </w:r>
    </w:p>
  </w:footnote>
  <w:footnote w:id="67">
    <w:p w:rsidR="00AB00DE" w:rsidRDefault="00AB00DE" w:rsidP="00103498">
      <w:pPr>
        <w:pStyle w:val="a4"/>
      </w:pPr>
      <w:r>
        <w:tab/>
      </w:r>
      <w:r w:rsidRPr="00DF5565">
        <w:rPr>
          <w:rStyle w:val="a5"/>
          <w:szCs w:val="21"/>
        </w:rPr>
        <w:footnoteRef/>
      </w:r>
      <w:r>
        <w:tab/>
      </w:r>
      <w:r w:rsidRPr="00D17A94">
        <w:rPr>
          <w:rFonts w:ascii="Time New Roman" w:eastAsia="楷体" w:hAnsi="Time New Roman" w:hint="eastAsia"/>
        </w:rPr>
        <w:t>科孚海峡</w:t>
      </w:r>
      <w:r>
        <w:rPr>
          <w:rFonts w:hint="eastAsia"/>
        </w:rPr>
        <w:t>案，</w:t>
      </w:r>
      <w:r w:rsidRPr="00D17A94">
        <w:rPr>
          <w:rFonts w:ascii="Time New Roman" w:eastAsia="楷体" w:hAnsi="Time New Roman"/>
        </w:rPr>
        <w:t>1949</w:t>
      </w:r>
      <w:r w:rsidRPr="00D17A94">
        <w:rPr>
          <w:rFonts w:ascii="Time New Roman" w:eastAsia="楷体" w:hAnsi="Time New Roman" w:hint="eastAsia"/>
        </w:rPr>
        <w:t>年</w:t>
      </w:r>
      <w:r w:rsidRPr="00D17A94">
        <w:rPr>
          <w:rFonts w:ascii="Time New Roman" w:eastAsia="楷体" w:hAnsi="Time New Roman" w:hint="eastAsia"/>
        </w:rPr>
        <w:t>4</w:t>
      </w:r>
      <w:r w:rsidRPr="00D17A94">
        <w:rPr>
          <w:rFonts w:ascii="Time New Roman" w:eastAsia="楷体" w:hAnsi="Time New Roman" w:hint="eastAsia"/>
        </w:rPr>
        <w:t>月</w:t>
      </w:r>
      <w:r w:rsidRPr="00D17A94">
        <w:rPr>
          <w:rFonts w:ascii="Time New Roman" w:eastAsia="楷体" w:hAnsi="Time New Roman" w:hint="eastAsia"/>
        </w:rPr>
        <w:t>9</w:t>
      </w:r>
      <w:r w:rsidRPr="00D17A94">
        <w:rPr>
          <w:rFonts w:ascii="Time New Roman" w:eastAsia="楷体" w:hAnsi="Time New Roman" w:hint="eastAsia"/>
        </w:rPr>
        <w:t>日判决</w:t>
      </w:r>
      <w:r>
        <w:rPr>
          <w:rFonts w:hint="eastAsia"/>
        </w:rPr>
        <w:t>《</w:t>
      </w:r>
      <w:r w:rsidRPr="00D17A94">
        <w:rPr>
          <w:rFonts w:ascii="Time New Roman" w:hAnsi="Time New Roman"/>
          <w:lang w:val="zh-CN"/>
        </w:rPr>
        <w:t>1949</w:t>
      </w:r>
      <w:r w:rsidRPr="00D17A94">
        <w:rPr>
          <w:rFonts w:ascii="Time New Roman" w:hAnsi="Time New Roman"/>
          <w:lang w:val="zh-CN"/>
        </w:rPr>
        <w:t>年</w:t>
      </w:r>
      <w:r>
        <w:rPr>
          <w:rFonts w:hint="eastAsia"/>
        </w:rPr>
        <w:t>国际法院案例汇编》，第</w:t>
      </w:r>
      <w:r>
        <w:t>4</w:t>
      </w:r>
      <w:r>
        <w:rPr>
          <w:rFonts w:hint="eastAsia"/>
        </w:rPr>
        <w:t>页起，见第</w:t>
      </w:r>
      <w:r>
        <w:t>22</w:t>
      </w:r>
      <w:r>
        <w:rPr>
          <w:rFonts w:hint="eastAsia"/>
        </w:rPr>
        <w:t>页。</w:t>
      </w:r>
    </w:p>
  </w:footnote>
  <w:footnote w:id="68">
    <w:p w:rsidR="00AB00DE" w:rsidRDefault="00AB00DE" w:rsidP="00103498">
      <w:pPr>
        <w:pStyle w:val="a4"/>
      </w:pPr>
      <w:r>
        <w:tab/>
      </w:r>
      <w:r w:rsidRPr="00DF5565">
        <w:rPr>
          <w:rStyle w:val="a5"/>
          <w:szCs w:val="21"/>
        </w:rPr>
        <w:footnoteRef/>
      </w:r>
      <w:r>
        <w:tab/>
      </w:r>
      <w:r>
        <w:rPr>
          <w:rFonts w:hint="eastAsia"/>
        </w:rPr>
        <w:t>让·皮克泰，</w:t>
      </w:r>
      <w:r>
        <w:t>1965</w:t>
      </w:r>
      <w:r>
        <w:rPr>
          <w:rFonts w:hint="eastAsia"/>
        </w:rPr>
        <w:t>年在维也纳召开的第</w:t>
      </w:r>
      <w:r>
        <w:rPr>
          <w:rFonts w:hint="eastAsia"/>
        </w:rPr>
        <w:t>20</w:t>
      </w:r>
      <w:r>
        <w:rPr>
          <w:rFonts w:hint="eastAsia"/>
        </w:rPr>
        <w:t>届红十字国际会议通过的红十字会基本原则：评注</w:t>
      </w:r>
      <w:r>
        <w:t>(</w:t>
      </w:r>
      <w:r>
        <w:rPr>
          <w:rFonts w:hint="eastAsia"/>
        </w:rPr>
        <w:t>日内瓦，亨利·杜南学院，</w:t>
      </w:r>
      <w:r>
        <w:t>1979</w:t>
      </w:r>
      <w:r>
        <w:rPr>
          <w:rFonts w:hint="eastAsia"/>
        </w:rPr>
        <w:t>年</w:t>
      </w:r>
      <w:r>
        <w:t>)</w:t>
      </w:r>
      <w:r>
        <w:rPr>
          <w:rFonts w:hint="eastAsia"/>
        </w:rPr>
        <w:t>，第</w:t>
      </w:r>
      <w:r>
        <w:t>21</w:t>
      </w:r>
      <w:r>
        <w:rPr>
          <w:rFonts w:hint="eastAsia"/>
        </w:rPr>
        <w:t>-</w:t>
      </w:r>
      <w:r>
        <w:t>27</w:t>
      </w:r>
      <w:r>
        <w:rPr>
          <w:rFonts w:hint="eastAsia"/>
        </w:rPr>
        <w:t>页；另可查阅</w:t>
      </w:r>
      <w:r>
        <w:t>www.icrc.org</w:t>
      </w:r>
      <w:r>
        <w:rPr>
          <w:rFonts w:hint="eastAsia"/>
        </w:rPr>
        <w:t>。</w:t>
      </w:r>
    </w:p>
  </w:footnote>
  <w:footnote w:id="69">
    <w:p w:rsidR="00AB00DE" w:rsidRDefault="00AB00DE" w:rsidP="00103498">
      <w:pPr>
        <w:pStyle w:val="a4"/>
      </w:pPr>
      <w:r>
        <w:tab/>
      </w:r>
      <w:r w:rsidRPr="00DF5565">
        <w:rPr>
          <w:rStyle w:val="a5"/>
          <w:szCs w:val="21"/>
        </w:rPr>
        <w:footnoteRef/>
      </w:r>
      <w:r>
        <w:tab/>
      </w:r>
      <w:r>
        <w:rPr>
          <w:rFonts w:hint="eastAsia"/>
        </w:rPr>
        <w:t>《奥斯陆准则》</w:t>
      </w:r>
      <w:r>
        <w:rPr>
          <w:rFonts w:hint="eastAsia"/>
        </w:rPr>
        <w:t>(</w:t>
      </w:r>
      <w:r>
        <w:rPr>
          <w:rFonts w:hint="eastAsia"/>
        </w:rPr>
        <w:t>见上文脚注</w:t>
      </w:r>
      <w:r>
        <w:fldChar w:fldCharType="begin"/>
      </w:r>
      <w:r>
        <w:instrText xml:space="preserve"> </w:instrText>
      </w:r>
      <w:r>
        <w:rPr>
          <w:rFonts w:hint="eastAsia"/>
        </w:rPr>
        <w:instrText>NOTEREF _Ref450650190 \h</w:instrText>
      </w:r>
      <w:r>
        <w:instrText xml:space="preserve"> </w:instrText>
      </w:r>
      <w:r>
        <w:fldChar w:fldCharType="separate"/>
      </w:r>
      <w:r w:rsidR="00A73EB9">
        <w:t>28</w:t>
      </w:r>
      <w:r>
        <w:fldChar w:fldCharType="end"/>
      </w:r>
      <w:r>
        <w:rPr>
          <w:rFonts w:hint="eastAsia"/>
        </w:rPr>
        <w:t>)</w:t>
      </w:r>
      <w:r>
        <w:rPr>
          <w:rFonts w:hint="eastAsia"/>
        </w:rPr>
        <w:t>，第</w:t>
      </w:r>
      <w:r>
        <w:t>20</w:t>
      </w:r>
      <w:r>
        <w:rPr>
          <w:rFonts w:hint="eastAsia"/>
        </w:rPr>
        <w:t>段；《莫洪克标准》</w:t>
      </w:r>
      <w:r>
        <w:rPr>
          <w:rFonts w:hint="eastAsia"/>
        </w:rPr>
        <w:t>(</w:t>
      </w:r>
      <w:r>
        <w:rPr>
          <w:rFonts w:hint="eastAsia"/>
        </w:rPr>
        <w:t>上文脚注</w:t>
      </w:r>
      <w:r>
        <w:fldChar w:fldCharType="begin"/>
      </w:r>
      <w:r>
        <w:instrText xml:space="preserve"> </w:instrText>
      </w:r>
      <w:r>
        <w:rPr>
          <w:rFonts w:hint="eastAsia"/>
        </w:rPr>
        <w:instrText>NOTEREF _Ref457231680 \h</w:instrText>
      </w:r>
      <w:r>
        <w:instrText xml:space="preserve"> </w:instrText>
      </w:r>
      <w:r>
        <w:fldChar w:fldCharType="separate"/>
      </w:r>
      <w:r w:rsidR="00A73EB9">
        <w:t>54</w:t>
      </w:r>
      <w:r>
        <w:fldChar w:fldCharType="end"/>
      </w:r>
      <w:r>
        <w:rPr>
          <w:rFonts w:hint="eastAsia"/>
        </w:rPr>
        <w:t>)</w:t>
      </w:r>
      <w:r>
        <w:rPr>
          <w:rFonts w:hint="eastAsia"/>
        </w:rPr>
        <w:t>，第</w:t>
      </w:r>
      <w:r>
        <w:t>196</w:t>
      </w:r>
      <w:r>
        <w:rPr>
          <w:rFonts w:hint="eastAsia"/>
        </w:rPr>
        <w:t>页。</w:t>
      </w:r>
    </w:p>
  </w:footnote>
  <w:footnote w:id="70">
    <w:p w:rsidR="00AB00DE" w:rsidRDefault="00AB00DE" w:rsidP="00103498">
      <w:pPr>
        <w:pStyle w:val="a4"/>
      </w:pPr>
      <w:r>
        <w:tab/>
      </w:r>
      <w:r w:rsidRPr="00DF5565">
        <w:rPr>
          <w:rStyle w:val="a5"/>
          <w:szCs w:val="21"/>
        </w:rPr>
        <w:footnoteRef/>
      </w:r>
      <w:r>
        <w:tab/>
      </w:r>
      <w:r>
        <w:rPr>
          <w:rFonts w:hint="eastAsia"/>
        </w:rPr>
        <w:t>同上。</w:t>
      </w:r>
    </w:p>
  </w:footnote>
  <w:footnote w:id="71">
    <w:p w:rsidR="00AB00DE" w:rsidRDefault="00AB00DE" w:rsidP="00103498">
      <w:pPr>
        <w:pStyle w:val="a4"/>
      </w:pPr>
      <w:r>
        <w:tab/>
      </w:r>
      <w:r w:rsidRPr="00DF5565">
        <w:rPr>
          <w:rStyle w:val="a5"/>
          <w:szCs w:val="21"/>
        </w:rPr>
        <w:footnoteRef/>
      </w:r>
      <w:r>
        <w:tab/>
      </w:r>
      <w:r w:rsidRPr="008555B1">
        <w:rPr>
          <w:rFonts w:hint="eastAsia"/>
          <w:spacing w:val="-4"/>
        </w:rPr>
        <w:t>见</w:t>
      </w:r>
      <w:r>
        <w:rPr>
          <w:spacing w:val="-4"/>
        </w:rPr>
        <w:t>C</w:t>
      </w:r>
      <w:r>
        <w:rPr>
          <w:rFonts w:hint="eastAsia"/>
          <w:spacing w:val="-4"/>
        </w:rPr>
        <w:t>.</w:t>
      </w:r>
      <w:r w:rsidRPr="008555B1">
        <w:rPr>
          <w:spacing w:val="-4"/>
        </w:rPr>
        <w:t xml:space="preserve"> Pilloud</w:t>
      </w:r>
      <w:r w:rsidRPr="008555B1">
        <w:rPr>
          <w:rFonts w:hint="eastAsia"/>
          <w:spacing w:val="-4"/>
        </w:rPr>
        <w:t>等人</w:t>
      </w:r>
      <w:r>
        <w:rPr>
          <w:rFonts w:hint="eastAsia"/>
          <w:spacing w:val="-4"/>
        </w:rPr>
        <w:t>，</w:t>
      </w:r>
      <w:r w:rsidRPr="008555B1">
        <w:rPr>
          <w:rFonts w:hint="eastAsia"/>
          <w:spacing w:val="-4"/>
        </w:rPr>
        <w:t>“对</w:t>
      </w:r>
      <w:r w:rsidRPr="008555B1">
        <w:rPr>
          <w:spacing w:val="-4"/>
        </w:rPr>
        <w:t>1949</w:t>
      </w:r>
      <w:r w:rsidRPr="008555B1">
        <w:rPr>
          <w:rFonts w:hint="eastAsia"/>
          <w:spacing w:val="-4"/>
        </w:rPr>
        <w:t>年</w:t>
      </w:r>
      <w:r w:rsidRPr="008555B1">
        <w:rPr>
          <w:spacing w:val="-4"/>
        </w:rPr>
        <w:t>8</w:t>
      </w:r>
      <w:r w:rsidRPr="008555B1">
        <w:rPr>
          <w:rFonts w:hint="eastAsia"/>
          <w:spacing w:val="-4"/>
        </w:rPr>
        <w:t>月</w:t>
      </w:r>
      <w:r w:rsidRPr="008555B1">
        <w:rPr>
          <w:spacing w:val="-4"/>
        </w:rPr>
        <w:t>12</w:t>
      </w:r>
      <w:r w:rsidRPr="008555B1">
        <w:rPr>
          <w:rFonts w:hint="eastAsia"/>
          <w:spacing w:val="-4"/>
        </w:rPr>
        <w:t>日《日内瓦公约》的</w:t>
      </w:r>
      <w:r w:rsidRPr="008555B1">
        <w:rPr>
          <w:spacing w:val="-4"/>
        </w:rPr>
        <w:t>1977</w:t>
      </w:r>
      <w:r w:rsidRPr="008555B1">
        <w:rPr>
          <w:rFonts w:hint="eastAsia"/>
          <w:spacing w:val="-4"/>
        </w:rPr>
        <w:t>年</w:t>
      </w:r>
      <w:r w:rsidRPr="008555B1">
        <w:rPr>
          <w:spacing w:val="-4"/>
        </w:rPr>
        <w:t>6</w:t>
      </w:r>
      <w:r w:rsidRPr="008555B1">
        <w:rPr>
          <w:rFonts w:hint="eastAsia"/>
          <w:spacing w:val="-4"/>
        </w:rPr>
        <w:t>月</w:t>
      </w:r>
      <w:r w:rsidRPr="008555B1">
        <w:rPr>
          <w:spacing w:val="-4"/>
        </w:rPr>
        <w:t>8</w:t>
      </w:r>
      <w:r w:rsidRPr="008555B1">
        <w:rPr>
          <w:rFonts w:hint="eastAsia"/>
          <w:spacing w:val="-4"/>
        </w:rPr>
        <w:t>日附加议定书的评论”</w:t>
      </w:r>
      <w:r>
        <w:rPr>
          <w:spacing w:val="-4"/>
        </w:rPr>
        <w:t>(</w:t>
      </w:r>
      <w:r w:rsidRPr="008555B1">
        <w:rPr>
          <w:rFonts w:hint="eastAsia"/>
          <w:spacing w:val="-4"/>
        </w:rPr>
        <w:t>日内瓦、红十字国际委员会</w:t>
      </w:r>
      <w:r>
        <w:rPr>
          <w:rFonts w:hint="eastAsia"/>
          <w:spacing w:val="-4"/>
        </w:rPr>
        <w:t>，</w:t>
      </w:r>
      <w:r w:rsidRPr="008555B1">
        <w:rPr>
          <w:spacing w:val="-4"/>
        </w:rPr>
        <w:t>1987</w:t>
      </w:r>
      <w:r w:rsidRPr="008555B1">
        <w:rPr>
          <w:rFonts w:hint="eastAsia"/>
          <w:spacing w:val="-4"/>
        </w:rPr>
        <w:t>年</w:t>
      </w:r>
      <w:r>
        <w:rPr>
          <w:spacing w:val="-4"/>
        </w:rPr>
        <w:t>)</w:t>
      </w:r>
      <w:r>
        <w:rPr>
          <w:rFonts w:hint="eastAsia"/>
          <w:spacing w:val="-4"/>
        </w:rPr>
        <w:t>，</w:t>
      </w:r>
      <w:r w:rsidRPr="008555B1">
        <w:rPr>
          <w:rFonts w:hint="eastAsia"/>
          <w:spacing w:val="-4"/>
        </w:rPr>
        <w:t>第</w:t>
      </w:r>
      <w:r w:rsidRPr="008555B1">
        <w:rPr>
          <w:spacing w:val="-4"/>
        </w:rPr>
        <w:t>2800</w:t>
      </w:r>
      <w:r w:rsidRPr="008555B1">
        <w:rPr>
          <w:rFonts w:hint="eastAsia"/>
          <w:spacing w:val="-4"/>
        </w:rPr>
        <w:t>至</w:t>
      </w:r>
      <w:r w:rsidRPr="008555B1">
        <w:rPr>
          <w:spacing w:val="-4"/>
        </w:rPr>
        <w:t>2801</w:t>
      </w:r>
      <w:r w:rsidRPr="008555B1">
        <w:rPr>
          <w:rFonts w:hint="eastAsia"/>
          <w:spacing w:val="-4"/>
        </w:rPr>
        <w:t>段</w:t>
      </w:r>
      <w:r>
        <w:rPr>
          <w:spacing w:val="-4"/>
        </w:rPr>
        <w:t>(</w:t>
      </w:r>
      <w:r w:rsidRPr="008555B1">
        <w:rPr>
          <w:rFonts w:hint="eastAsia"/>
          <w:spacing w:val="-4"/>
        </w:rPr>
        <w:t>引用</w:t>
      </w:r>
      <w:r w:rsidRPr="008555B1">
        <w:rPr>
          <w:spacing w:val="-4"/>
        </w:rPr>
        <w:t>1965</w:t>
      </w:r>
      <w:r w:rsidRPr="008555B1">
        <w:rPr>
          <w:rFonts w:hint="eastAsia"/>
          <w:spacing w:val="-4"/>
        </w:rPr>
        <w:t>年在维也纳召开的第</w:t>
      </w:r>
      <w:r w:rsidRPr="008555B1">
        <w:rPr>
          <w:rFonts w:hint="eastAsia"/>
          <w:spacing w:val="-4"/>
        </w:rPr>
        <w:t>20</w:t>
      </w:r>
      <w:r w:rsidRPr="008555B1">
        <w:rPr>
          <w:rFonts w:hint="eastAsia"/>
          <w:spacing w:val="-4"/>
        </w:rPr>
        <w:t>次红十字国际会议第九号决议通过的“红十字会基本原则”</w:t>
      </w:r>
      <w:r>
        <w:rPr>
          <w:spacing w:val="-4"/>
        </w:rPr>
        <w:t>)</w:t>
      </w:r>
      <w:r>
        <w:rPr>
          <w:rFonts w:hint="eastAsia"/>
          <w:spacing w:val="-4"/>
        </w:rPr>
        <w:t>，</w:t>
      </w:r>
      <w:r w:rsidRPr="008555B1">
        <w:rPr>
          <w:rFonts w:hint="eastAsia"/>
          <w:spacing w:val="-4"/>
        </w:rPr>
        <w:t>以及皮克泰</w:t>
      </w:r>
      <w:r>
        <w:rPr>
          <w:rFonts w:hint="eastAsia"/>
          <w:spacing w:val="-4"/>
        </w:rPr>
        <w:t>，</w:t>
      </w:r>
      <w:r w:rsidRPr="008555B1">
        <w:rPr>
          <w:rFonts w:hint="eastAsia"/>
          <w:spacing w:val="-4"/>
        </w:rPr>
        <w:t>评注</w:t>
      </w:r>
      <w:r>
        <w:rPr>
          <w:rFonts w:hint="eastAsia"/>
          <w:spacing w:val="-4"/>
        </w:rPr>
        <w:t>，</w:t>
      </w:r>
      <w:r w:rsidRPr="008555B1">
        <w:rPr>
          <w:rFonts w:hint="eastAsia"/>
          <w:spacing w:val="-4"/>
        </w:rPr>
        <w:t>第</w:t>
      </w:r>
      <w:r w:rsidRPr="008555B1">
        <w:rPr>
          <w:spacing w:val="-4"/>
        </w:rPr>
        <w:t>33</w:t>
      </w:r>
      <w:r w:rsidRPr="008555B1">
        <w:rPr>
          <w:rFonts w:hint="eastAsia"/>
          <w:spacing w:val="-4"/>
        </w:rPr>
        <w:t>-</w:t>
      </w:r>
      <w:r w:rsidRPr="008555B1">
        <w:rPr>
          <w:spacing w:val="-4"/>
        </w:rPr>
        <w:t>51</w:t>
      </w:r>
      <w:r w:rsidRPr="008555B1">
        <w:rPr>
          <w:rFonts w:hint="eastAsia"/>
          <w:spacing w:val="-4"/>
        </w:rPr>
        <w:t>页。</w:t>
      </w:r>
    </w:p>
  </w:footnote>
  <w:footnote w:id="72">
    <w:p w:rsidR="00AB00DE" w:rsidRDefault="00AB00DE" w:rsidP="00103498">
      <w:pPr>
        <w:pStyle w:val="a4"/>
      </w:pPr>
      <w:r>
        <w:tab/>
      </w:r>
      <w:r w:rsidRPr="00DF5565">
        <w:rPr>
          <w:rStyle w:val="a5"/>
          <w:szCs w:val="21"/>
        </w:rPr>
        <w:footnoteRef/>
      </w:r>
      <w:r>
        <w:tab/>
        <w:t>P</w:t>
      </w:r>
      <w:r>
        <w:rPr>
          <w:rFonts w:hint="eastAsia"/>
        </w:rPr>
        <w:t>.</w:t>
      </w:r>
      <w:r>
        <w:t xml:space="preserve"> MacAlister-Smith, </w:t>
      </w:r>
      <w:r>
        <w:rPr>
          <w:rFonts w:hint="eastAsia"/>
        </w:rPr>
        <w:t>人道主义援助行动国际指南草案</w:t>
      </w:r>
      <w:r>
        <w:t>(</w:t>
      </w:r>
      <w:r>
        <w:rPr>
          <w:rFonts w:hint="eastAsia"/>
        </w:rPr>
        <w:t>德国海德堡：马克斯·普朗克比较公法和国际法研究所，</w:t>
      </w:r>
      <w:r>
        <w:t>1991</w:t>
      </w:r>
      <w:r>
        <w:rPr>
          <w:rFonts w:hint="eastAsia"/>
        </w:rPr>
        <w:t>年</w:t>
      </w:r>
      <w:r>
        <w:t>)</w:t>
      </w:r>
      <w:r>
        <w:rPr>
          <w:rFonts w:hint="eastAsia"/>
        </w:rPr>
        <w:t>，第</w:t>
      </w:r>
      <w:r>
        <w:t>6(a)</w:t>
      </w:r>
      <w:r>
        <w:rPr>
          <w:rFonts w:hint="eastAsia"/>
        </w:rPr>
        <w:t>段。</w:t>
      </w:r>
    </w:p>
  </w:footnote>
  <w:footnote w:id="73">
    <w:p w:rsidR="00AB00DE" w:rsidRDefault="00AB00DE" w:rsidP="00D17A94">
      <w:pPr>
        <w:pStyle w:val="a4"/>
      </w:pPr>
      <w:r>
        <w:tab/>
      </w:r>
      <w:r w:rsidRPr="00DF5565">
        <w:rPr>
          <w:rStyle w:val="a5"/>
          <w:szCs w:val="21"/>
        </w:rPr>
        <w:footnoteRef/>
      </w:r>
      <w:r>
        <w:tab/>
      </w:r>
      <w:r>
        <w:rPr>
          <w:rFonts w:hint="eastAsia"/>
        </w:rPr>
        <w:t>尤其见</w:t>
      </w:r>
      <w:r>
        <w:t>1949</w:t>
      </w:r>
      <w:r>
        <w:rPr>
          <w:rFonts w:hint="eastAsia"/>
        </w:rPr>
        <w:t>年日内瓦四公约，共同第三条第一款；《世界人权宣言》第二条；《公民权利和政治权利国际公约》，第二条第一款；《经济、社会、文化权利国际公约》，第二条第二款；又见《残疾人权利公约》，第五条，以及《保护所有移徙工人及其家属成员权利国际公约》，</w:t>
      </w:r>
      <w:r>
        <w:rPr>
          <w:rFonts w:hint="eastAsia"/>
        </w:rPr>
        <w:t>(</w:t>
      </w:r>
      <w:r>
        <w:rPr>
          <w:rFonts w:hint="eastAsia"/>
        </w:rPr>
        <w:t>联合国，《条约汇编》，第</w:t>
      </w:r>
      <w:r>
        <w:rPr>
          <w:rFonts w:hint="eastAsia"/>
        </w:rPr>
        <w:t>2220</w:t>
      </w:r>
      <w:r>
        <w:rPr>
          <w:rFonts w:hint="eastAsia"/>
        </w:rPr>
        <w:t>卷，第</w:t>
      </w:r>
      <w:r>
        <w:rPr>
          <w:rFonts w:hint="eastAsia"/>
        </w:rPr>
        <w:t>39481</w:t>
      </w:r>
      <w:r>
        <w:rPr>
          <w:rFonts w:hint="eastAsia"/>
        </w:rPr>
        <w:t>号，第</w:t>
      </w:r>
      <w:r>
        <w:rPr>
          <w:rFonts w:hint="eastAsia"/>
        </w:rPr>
        <w:t>3</w:t>
      </w:r>
      <w:r>
        <w:rPr>
          <w:rFonts w:hint="eastAsia"/>
        </w:rPr>
        <w:t>页</w:t>
      </w:r>
      <w:r>
        <w:rPr>
          <w:rFonts w:hint="eastAsia"/>
        </w:rPr>
        <w:t>)</w:t>
      </w:r>
      <w:r>
        <w:rPr>
          <w:rFonts w:hint="eastAsia"/>
        </w:rPr>
        <w:t>，第</w:t>
      </w:r>
      <w:r>
        <w:rPr>
          <w:rFonts w:hint="eastAsia"/>
        </w:rPr>
        <w:t>7</w:t>
      </w:r>
      <w:r>
        <w:rPr>
          <w:rFonts w:hint="eastAsia"/>
        </w:rPr>
        <w:t>条。</w:t>
      </w:r>
    </w:p>
  </w:footnote>
  <w:footnote w:id="74">
    <w:p w:rsidR="00AB00DE" w:rsidRDefault="00AB00DE" w:rsidP="00103498">
      <w:pPr>
        <w:pStyle w:val="a4"/>
      </w:pPr>
      <w:r>
        <w:tab/>
      </w:r>
      <w:r w:rsidRPr="00DF5565">
        <w:rPr>
          <w:rStyle w:val="a5"/>
          <w:szCs w:val="21"/>
        </w:rPr>
        <w:footnoteRef/>
      </w:r>
      <w:r>
        <w:tab/>
      </w:r>
      <w:r>
        <w:rPr>
          <w:rFonts w:hint="eastAsia"/>
        </w:rPr>
        <w:t>关于人道主义援助的决议，</w:t>
      </w:r>
      <w:r>
        <w:rPr>
          <w:rFonts w:hint="eastAsia"/>
        </w:rPr>
        <w:t>(</w:t>
      </w:r>
      <w:r>
        <w:rPr>
          <w:rFonts w:hint="eastAsia"/>
        </w:rPr>
        <w:t>见上文脚注</w:t>
      </w:r>
      <w:r>
        <w:fldChar w:fldCharType="begin"/>
      </w:r>
      <w:r>
        <w:instrText xml:space="preserve"> </w:instrText>
      </w:r>
      <w:r>
        <w:rPr>
          <w:rFonts w:hint="eastAsia"/>
        </w:rPr>
        <w:instrText>NOTEREF _Ref450648805 \h</w:instrText>
      </w:r>
      <w:r>
        <w:instrText xml:space="preserve"> </w:instrText>
      </w:r>
      <w:r>
        <w:fldChar w:fldCharType="separate"/>
      </w:r>
      <w:r w:rsidR="00A73EB9">
        <w:t>18</w:t>
      </w:r>
      <w:r>
        <w:fldChar w:fldCharType="end"/>
      </w:r>
      <w:r>
        <w:rPr>
          <w:rFonts w:hint="eastAsia"/>
        </w:rPr>
        <w:t>)</w:t>
      </w:r>
      <w:r>
        <w:rPr>
          <w:rFonts w:hint="eastAsia"/>
        </w:rPr>
        <w:t>，第二条第</w:t>
      </w:r>
      <w:r>
        <w:t>3</w:t>
      </w:r>
      <w:r>
        <w:rPr>
          <w:rFonts w:hint="eastAsia"/>
        </w:rPr>
        <w:t>款。</w:t>
      </w:r>
    </w:p>
  </w:footnote>
  <w:footnote w:id="75">
    <w:p w:rsidR="00AB00DE" w:rsidRDefault="00AB00DE" w:rsidP="00103498">
      <w:pPr>
        <w:pStyle w:val="a4"/>
      </w:pPr>
      <w:r>
        <w:tab/>
      </w:r>
      <w:r w:rsidRPr="00DF5565">
        <w:rPr>
          <w:rStyle w:val="a5"/>
          <w:szCs w:val="21"/>
        </w:rPr>
        <w:footnoteRef/>
      </w:r>
      <w:r>
        <w:tab/>
      </w:r>
      <w:r>
        <w:rPr>
          <w:rFonts w:hint="eastAsia"/>
        </w:rPr>
        <w:t>红十字与红新月会国际联合会《导则》，</w:t>
      </w:r>
      <w:r>
        <w:t>(</w:t>
      </w:r>
      <w:r>
        <w:rPr>
          <w:rFonts w:hint="eastAsia"/>
        </w:rPr>
        <w:t>见上文脚注</w:t>
      </w:r>
      <w:r>
        <w:fldChar w:fldCharType="begin"/>
      </w:r>
      <w:r>
        <w:instrText xml:space="preserve"> NOTEREF _Ref450649159 \h </w:instrText>
      </w:r>
      <w:r>
        <w:fldChar w:fldCharType="separate"/>
      </w:r>
      <w:r w:rsidR="00A73EB9">
        <w:t>17</w:t>
      </w:r>
      <w:r>
        <w:fldChar w:fldCharType="end"/>
      </w:r>
      <w:r>
        <w:t>)</w:t>
      </w:r>
      <w:r>
        <w:rPr>
          <w:rFonts w:hint="eastAsia"/>
        </w:rPr>
        <w:t>，第</w:t>
      </w:r>
      <w:r>
        <w:t>4</w:t>
      </w:r>
      <w:r>
        <w:rPr>
          <w:rFonts w:hint="eastAsia"/>
        </w:rPr>
        <w:t>条第</w:t>
      </w:r>
      <w:r>
        <w:t>2(b)</w:t>
      </w:r>
      <w:r>
        <w:rPr>
          <w:rFonts w:hint="eastAsia"/>
        </w:rPr>
        <w:t>款。</w:t>
      </w:r>
    </w:p>
  </w:footnote>
  <w:footnote w:id="76">
    <w:p w:rsidR="00AB00DE" w:rsidRDefault="00AB00DE" w:rsidP="00103498">
      <w:pPr>
        <w:pStyle w:val="a4"/>
        <w:rPr>
          <w:rFonts w:hAnsi="Songti SC Regular"/>
        </w:rPr>
      </w:pPr>
      <w:r>
        <w:rPr>
          <w:rFonts w:hAnsi="Songti SC Regular"/>
        </w:rPr>
        <w:tab/>
      </w:r>
      <w:r w:rsidRPr="00DF5565">
        <w:rPr>
          <w:rStyle w:val="a5"/>
          <w:szCs w:val="21"/>
        </w:rPr>
        <w:footnoteRef/>
      </w:r>
      <w:r>
        <w:rPr>
          <w:rFonts w:hAnsi="Songti SC Regular"/>
        </w:rPr>
        <w:tab/>
      </w:r>
      <w:r>
        <w:rPr>
          <w:rFonts w:hAnsi="Songti SC Regular" w:hint="eastAsia"/>
        </w:rPr>
        <w:t>同上，第</w:t>
      </w:r>
      <w:r>
        <w:rPr>
          <w:rFonts w:hAnsi="Songti SC Regular"/>
        </w:rPr>
        <w:t>4</w:t>
      </w:r>
      <w:r>
        <w:rPr>
          <w:rFonts w:hAnsi="Songti SC Regular" w:hint="eastAsia"/>
        </w:rPr>
        <w:t>条第</w:t>
      </w:r>
      <w:r>
        <w:rPr>
          <w:rFonts w:hAnsi="Songti SC Regular"/>
        </w:rPr>
        <w:t>3(a)</w:t>
      </w:r>
      <w:r>
        <w:rPr>
          <w:rFonts w:hAnsi="Songti SC Regular" w:hint="eastAsia"/>
        </w:rPr>
        <w:t>款。</w:t>
      </w:r>
    </w:p>
  </w:footnote>
  <w:footnote w:id="77">
    <w:p w:rsidR="00AB00DE" w:rsidRDefault="00AB00DE" w:rsidP="00103498">
      <w:pPr>
        <w:pStyle w:val="a4"/>
        <w:rPr>
          <w:rFonts w:hAnsi="Songti SC Regular"/>
        </w:rPr>
      </w:pPr>
      <w:r>
        <w:rPr>
          <w:rFonts w:hAnsi="Songti SC Regular"/>
        </w:rPr>
        <w:tab/>
      </w:r>
      <w:r w:rsidRPr="00DF5565">
        <w:rPr>
          <w:rStyle w:val="a5"/>
          <w:szCs w:val="21"/>
        </w:rPr>
        <w:footnoteRef/>
      </w:r>
      <w:r w:rsidRPr="00DF5565">
        <w:rPr>
          <w:rStyle w:val="a5"/>
          <w:szCs w:val="21"/>
        </w:rPr>
        <w:tab/>
      </w:r>
      <w:r>
        <w:rPr>
          <w:rFonts w:hAnsi="Songti SC Regular" w:hint="eastAsia"/>
        </w:rPr>
        <w:t>关于人道主义援助的决议</w:t>
      </w:r>
      <w:r>
        <w:rPr>
          <w:rFonts w:hAnsi="Songti SC Regular"/>
        </w:rPr>
        <w:t>(</w:t>
      </w:r>
      <w:r>
        <w:rPr>
          <w:rFonts w:hAnsi="Songti SC Regular" w:hint="eastAsia"/>
        </w:rPr>
        <w:t>见上文脚注</w:t>
      </w:r>
      <w:r>
        <w:rPr>
          <w:rFonts w:hAnsi="Songti SC Regular"/>
        </w:rPr>
        <w:fldChar w:fldCharType="begin"/>
      </w:r>
      <w:r>
        <w:rPr>
          <w:rFonts w:hAnsi="Songti SC Regular"/>
        </w:rPr>
        <w:instrText xml:space="preserve"> </w:instrText>
      </w:r>
      <w:r>
        <w:rPr>
          <w:rFonts w:hAnsi="Songti SC Regular" w:hint="eastAsia"/>
        </w:rPr>
        <w:instrText>NOTEREF _Ref450648805 \h</w:instrText>
      </w:r>
      <w:r>
        <w:rPr>
          <w:rFonts w:hAnsi="Songti SC Regular"/>
        </w:rPr>
        <w:instrText xml:space="preserve"> </w:instrText>
      </w:r>
      <w:r>
        <w:rPr>
          <w:rFonts w:hAnsi="Songti SC Regular"/>
        </w:rPr>
      </w:r>
      <w:r>
        <w:rPr>
          <w:rFonts w:hAnsi="Songti SC Regular"/>
        </w:rPr>
        <w:fldChar w:fldCharType="separate"/>
      </w:r>
      <w:r w:rsidR="00A73EB9">
        <w:rPr>
          <w:rFonts w:hAnsi="Songti SC Regular"/>
        </w:rPr>
        <w:t>18</w:t>
      </w:r>
      <w:r>
        <w:rPr>
          <w:rFonts w:hAnsi="Songti SC Regular"/>
        </w:rPr>
        <w:fldChar w:fldCharType="end"/>
      </w:r>
      <w:r>
        <w:rPr>
          <w:rFonts w:hAnsi="Songti SC Regular"/>
        </w:rPr>
        <w:t>)</w:t>
      </w:r>
      <w:r>
        <w:rPr>
          <w:rFonts w:hAnsi="Songti SC Regular" w:hint="eastAsia"/>
        </w:rPr>
        <w:t>，第二条第</w:t>
      </w:r>
      <w:r>
        <w:rPr>
          <w:rFonts w:hAnsi="Songti SC Regular"/>
        </w:rPr>
        <w:t>3</w:t>
      </w:r>
      <w:r>
        <w:rPr>
          <w:rFonts w:hAnsi="Songti SC Regular" w:hint="eastAsia"/>
        </w:rPr>
        <w:t>款。</w:t>
      </w:r>
    </w:p>
  </w:footnote>
  <w:footnote w:id="78">
    <w:p w:rsidR="00AB00DE" w:rsidRDefault="00AB00DE" w:rsidP="00103498">
      <w:pPr>
        <w:pStyle w:val="a4"/>
      </w:pPr>
      <w:r>
        <w:rPr>
          <w:rFonts w:hint="eastAsia"/>
        </w:rPr>
        <w:tab/>
      </w:r>
      <w:r w:rsidRPr="00DF5565">
        <w:rPr>
          <w:rStyle w:val="a5"/>
          <w:szCs w:val="21"/>
        </w:rPr>
        <w:footnoteRef/>
      </w:r>
      <w:r>
        <w:rPr>
          <w:rFonts w:hint="eastAsia"/>
        </w:rPr>
        <w:tab/>
      </w:r>
      <w:r>
        <w:rPr>
          <w:rFonts w:hint="eastAsia"/>
        </w:rPr>
        <w:t>见第</w:t>
      </w:r>
      <w:r>
        <w:rPr>
          <w:rFonts w:hint="eastAsia"/>
        </w:rPr>
        <w:t>32</w:t>
      </w:r>
      <w:r>
        <w:rPr>
          <w:rFonts w:hint="eastAsia"/>
        </w:rPr>
        <w:t>段。</w:t>
      </w:r>
    </w:p>
  </w:footnote>
  <w:footnote w:id="79">
    <w:p w:rsidR="00AB00DE" w:rsidRPr="00A87A74" w:rsidRDefault="00AB00DE" w:rsidP="00103498">
      <w:pPr>
        <w:pStyle w:val="a4"/>
      </w:pPr>
      <w:r w:rsidRPr="00A87A74">
        <w:rPr>
          <w:rFonts w:hint="eastAsia"/>
          <w:sz w:val="16"/>
          <w:szCs w:val="16"/>
        </w:rPr>
        <w:tab/>
      </w:r>
      <w:r w:rsidRPr="00DF5565">
        <w:rPr>
          <w:rStyle w:val="a5"/>
          <w:szCs w:val="21"/>
        </w:rPr>
        <w:footnoteRef/>
      </w:r>
      <w:r w:rsidRPr="00A87A74">
        <w:rPr>
          <w:rFonts w:hint="eastAsia"/>
          <w:sz w:val="16"/>
          <w:szCs w:val="16"/>
        </w:rPr>
        <w:tab/>
      </w:r>
      <w:r w:rsidRPr="00A87A74">
        <w:t>A/CONF.206/6</w:t>
      </w:r>
      <w:r w:rsidRPr="00A87A74">
        <w:rPr>
          <w:rFonts w:hint="eastAsia"/>
        </w:rPr>
        <w:t>和</w:t>
      </w:r>
      <w:r w:rsidRPr="00A87A74">
        <w:t>Corr.1,</w:t>
      </w:r>
      <w:r w:rsidRPr="00A87A74">
        <w:rPr>
          <w:rFonts w:hint="eastAsia"/>
        </w:rPr>
        <w:t>第一章，第</w:t>
      </w:r>
      <w:r w:rsidRPr="00A87A74">
        <w:rPr>
          <w:rFonts w:hint="eastAsia"/>
        </w:rPr>
        <w:t>2</w:t>
      </w:r>
      <w:r w:rsidRPr="00A87A74">
        <w:rPr>
          <w:rFonts w:hint="eastAsia"/>
        </w:rPr>
        <w:t>号决议，第</w:t>
      </w:r>
      <w:r w:rsidRPr="00A87A74">
        <w:t>13(d)</w:t>
      </w:r>
      <w:r w:rsidRPr="00A87A74">
        <w:rPr>
          <w:rFonts w:hint="eastAsia"/>
        </w:rPr>
        <w:t>段：</w:t>
      </w:r>
      <w:r w:rsidRPr="00D02989">
        <w:rPr>
          <w:rFonts w:hint="eastAsia"/>
        </w:rPr>
        <w:t>“应将性别观点纳入所有灾害风险管理政策、计划和决策过程中</w:t>
      </w:r>
      <w:r>
        <w:rPr>
          <w:rFonts w:hint="eastAsia"/>
        </w:rPr>
        <w:t>，</w:t>
      </w:r>
      <w:r w:rsidRPr="00D02989">
        <w:rPr>
          <w:rFonts w:hint="eastAsia"/>
        </w:rPr>
        <w:t>包括与风险评估、预警、信息管理以及教育和培训”</w:t>
      </w:r>
      <w:r>
        <w:rPr>
          <w:rFonts w:hint="eastAsia"/>
        </w:rPr>
        <w:t>。</w:t>
      </w:r>
    </w:p>
  </w:footnote>
  <w:footnote w:id="80">
    <w:p w:rsidR="00AB00DE" w:rsidRPr="00A87A74" w:rsidRDefault="00AB00DE" w:rsidP="00103498">
      <w:pPr>
        <w:pStyle w:val="a4"/>
      </w:pPr>
      <w:r w:rsidRPr="00A87A74">
        <w:rPr>
          <w:rFonts w:hint="eastAsia"/>
        </w:rPr>
        <w:tab/>
      </w:r>
      <w:r w:rsidRPr="00DF5565">
        <w:rPr>
          <w:rStyle w:val="a5"/>
          <w:szCs w:val="21"/>
        </w:rPr>
        <w:footnoteRef/>
      </w:r>
      <w:r w:rsidRPr="00A87A74">
        <w:rPr>
          <w:rFonts w:hint="eastAsia"/>
        </w:rPr>
        <w:tab/>
      </w:r>
      <w:r w:rsidRPr="00A87A74">
        <w:rPr>
          <w:rFonts w:hint="eastAsia"/>
        </w:rPr>
        <w:t>第</w:t>
      </w:r>
      <w:r w:rsidRPr="00A87A74">
        <w:t>19(d)</w:t>
      </w:r>
      <w:r w:rsidRPr="00A87A74">
        <w:rPr>
          <w:rFonts w:hint="eastAsia"/>
        </w:rPr>
        <w:t>段</w:t>
      </w:r>
      <w:r w:rsidRPr="00A87A74">
        <w:t>：</w:t>
      </w:r>
      <w:r w:rsidRPr="00A87A74">
        <w:rPr>
          <w:rFonts w:hint="eastAsia"/>
        </w:rPr>
        <w:t>“</w:t>
      </w:r>
      <w:r w:rsidRPr="00D02989">
        <w:t>减少灾害风险需要全社会的参与和伙伴关系。减少灾害风险还需要增强权能以及包容、开放和非歧视的参与</w:t>
      </w:r>
      <w:r>
        <w:t>，</w:t>
      </w:r>
      <w:r w:rsidRPr="00D02989">
        <w:t>同时特别关注受灾害影响</w:t>
      </w:r>
      <w:r w:rsidRPr="00D02989">
        <w:rPr>
          <w:rFonts w:hint="eastAsia"/>
        </w:rPr>
        <w:t>特别</w:t>
      </w:r>
      <w:r w:rsidRPr="00D02989">
        <w:t>严重的人口</w:t>
      </w:r>
      <w:r>
        <w:t>，</w:t>
      </w:r>
      <w:r w:rsidRPr="00D02989">
        <w:t>尤其是最贫穷者。应将性别、年龄、残疾情况和文化视角纳入所有政策和实践</w:t>
      </w:r>
      <w:r>
        <w:t>，</w:t>
      </w:r>
      <w:r w:rsidRPr="00D02989">
        <w:t>还应增强妇女和青年的领导能力。为此</w:t>
      </w:r>
      <w:r>
        <w:rPr>
          <w:rFonts w:hint="eastAsia"/>
        </w:rPr>
        <w:t>，</w:t>
      </w:r>
      <w:r w:rsidRPr="00D02989">
        <w:t>应特别注意改善公民有组织的自愿工作</w:t>
      </w:r>
      <w:r>
        <w:rPr>
          <w:rFonts w:hint="eastAsia"/>
        </w:rPr>
        <w:t>”</w:t>
      </w:r>
      <w:r w:rsidRPr="00D02989">
        <w:rPr>
          <w:rFonts w:hint="eastAsia"/>
        </w:rPr>
        <w:t>。</w:t>
      </w:r>
    </w:p>
  </w:footnote>
  <w:footnote w:id="81">
    <w:p w:rsidR="00AB00DE" w:rsidRDefault="00AB00DE" w:rsidP="00103498">
      <w:pPr>
        <w:pStyle w:val="a4"/>
      </w:pPr>
      <w:r>
        <w:tab/>
      </w:r>
      <w:r w:rsidRPr="00DF5565">
        <w:rPr>
          <w:rStyle w:val="a5"/>
          <w:szCs w:val="21"/>
        </w:rPr>
        <w:footnoteRef/>
      </w:r>
      <w:r>
        <w:tab/>
      </w:r>
      <w:r>
        <w:rPr>
          <w:rFonts w:hint="eastAsia"/>
        </w:rPr>
        <w:t>大会</w:t>
      </w:r>
      <w:r>
        <w:t>1970</w:t>
      </w:r>
      <w:r>
        <w:rPr>
          <w:rFonts w:hint="eastAsia"/>
        </w:rPr>
        <w:t>年</w:t>
      </w:r>
      <w:r>
        <w:t>10</w:t>
      </w:r>
      <w:r>
        <w:rPr>
          <w:rFonts w:hint="eastAsia"/>
        </w:rPr>
        <w:t>月</w:t>
      </w:r>
      <w:r>
        <w:t>24</w:t>
      </w:r>
      <w:r>
        <w:rPr>
          <w:rFonts w:hint="eastAsia"/>
        </w:rPr>
        <w:t>日第</w:t>
      </w:r>
      <w:r>
        <w:t>2625(XXV)</w:t>
      </w:r>
      <w:r>
        <w:rPr>
          <w:rFonts w:hint="eastAsia"/>
        </w:rPr>
        <w:t>号决议，附件，第</w:t>
      </w:r>
      <w:r>
        <w:t>1</w:t>
      </w:r>
      <w:r>
        <w:rPr>
          <w:rFonts w:hint="eastAsia"/>
        </w:rPr>
        <w:t>段。</w:t>
      </w:r>
    </w:p>
  </w:footnote>
  <w:footnote w:id="82">
    <w:p w:rsidR="00AB00DE" w:rsidRDefault="00AB00DE" w:rsidP="00103498">
      <w:pPr>
        <w:pStyle w:val="a4"/>
      </w:pPr>
      <w:r>
        <w:tab/>
      </w:r>
      <w:r w:rsidRPr="00DF5565">
        <w:rPr>
          <w:rStyle w:val="a5"/>
          <w:szCs w:val="21"/>
        </w:rPr>
        <w:footnoteRef/>
      </w:r>
      <w:r>
        <w:tab/>
      </w:r>
      <w:r>
        <w:rPr>
          <w:rFonts w:hint="eastAsia"/>
        </w:rPr>
        <w:t>第十一、十五、二十二和二十三条。</w:t>
      </w:r>
    </w:p>
  </w:footnote>
  <w:footnote w:id="83">
    <w:p w:rsidR="00AB00DE" w:rsidRDefault="00AB00DE" w:rsidP="00103498">
      <w:pPr>
        <w:pStyle w:val="a4"/>
      </w:pPr>
      <w:r>
        <w:tab/>
      </w:r>
      <w:r w:rsidRPr="00DF5565">
        <w:rPr>
          <w:rStyle w:val="a5"/>
          <w:szCs w:val="21"/>
        </w:rPr>
        <w:footnoteRef/>
      </w:r>
      <w:r>
        <w:tab/>
      </w:r>
      <w:r>
        <w:rPr>
          <w:rFonts w:hint="eastAsia"/>
        </w:rPr>
        <w:t>具体内容见下列一般性意见：第</w:t>
      </w:r>
      <w:r w:rsidRPr="00F0531B">
        <w:t>2</w:t>
      </w:r>
      <w:r>
        <w:rPr>
          <w:rFonts w:hint="eastAsia"/>
        </w:rPr>
        <w:t>号</w:t>
      </w:r>
      <w:r>
        <w:t>(</w:t>
      </w:r>
      <w:r w:rsidRPr="00F0531B">
        <w:t>E</w:t>
      </w:r>
      <w:r>
        <w:t>/</w:t>
      </w:r>
      <w:r w:rsidRPr="00F0531B">
        <w:t>1990</w:t>
      </w:r>
      <w:r>
        <w:t>/</w:t>
      </w:r>
      <w:r w:rsidRPr="00F0531B">
        <w:t>23-E</w:t>
      </w:r>
      <w:r>
        <w:t>/</w:t>
      </w:r>
      <w:r w:rsidRPr="00F0531B">
        <w:t>C.12</w:t>
      </w:r>
      <w:r>
        <w:t>/</w:t>
      </w:r>
      <w:r w:rsidRPr="00F0531B">
        <w:t>1990</w:t>
      </w:r>
      <w:r>
        <w:t>/3,</w:t>
      </w:r>
      <w:r>
        <w:rPr>
          <w:rFonts w:hint="eastAsia"/>
        </w:rPr>
        <w:t xml:space="preserve"> </w:t>
      </w:r>
      <w:r>
        <w:rPr>
          <w:rFonts w:hint="eastAsia"/>
        </w:rPr>
        <w:t>附件三</w:t>
      </w:r>
      <w:r>
        <w:t>)</w:t>
      </w:r>
      <w:r>
        <w:rPr>
          <w:rFonts w:hint="eastAsia"/>
        </w:rPr>
        <w:t>、第</w:t>
      </w:r>
      <w:r w:rsidRPr="00F0531B">
        <w:t>3</w:t>
      </w:r>
      <w:r>
        <w:rPr>
          <w:rFonts w:hint="eastAsia"/>
        </w:rPr>
        <w:t>号</w:t>
      </w:r>
      <w:r>
        <w:t>(</w:t>
      </w:r>
      <w:r w:rsidRPr="00F0531B">
        <w:t>E</w:t>
      </w:r>
      <w:r>
        <w:t>/</w:t>
      </w:r>
      <w:r w:rsidRPr="00F0531B">
        <w:t>1991</w:t>
      </w:r>
      <w:r>
        <w:t>/</w:t>
      </w:r>
      <w:r w:rsidRPr="00F0531B">
        <w:t>23-E</w:t>
      </w:r>
      <w:r>
        <w:t>/</w:t>
      </w:r>
      <w:r w:rsidRPr="00F0531B">
        <w:t>C.12</w:t>
      </w:r>
      <w:r>
        <w:t>/</w:t>
      </w:r>
      <w:r w:rsidRPr="00F0531B">
        <w:t>1990</w:t>
      </w:r>
      <w:r>
        <w:t>/8,</w:t>
      </w:r>
      <w:r>
        <w:rPr>
          <w:rFonts w:hint="eastAsia"/>
        </w:rPr>
        <w:t xml:space="preserve"> </w:t>
      </w:r>
      <w:r>
        <w:rPr>
          <w:rFonts w:hint="eastAsia"/>
        </w:rPr>
        <w:t>附件三</w:t>
      </w:r>
      <w:r>
        <w:t>)</w:t>
      </w:r>
      <w:r>
        <w:rPr>
          <w:rFonts w:hint="eastAsia"/>
        </w:rPr>
        <w:t>、第</w:t>
      </w:r>
      <w:r w:rsidRPr="00F0531B">
        <w:t>7</w:t>
      </w:r>
      <w:r>
        <w:rPr>
          <w:rFonts w:hint="eastAsia"/>
        </w:rPr>
        <w:t>号</w:t>
      </w:r>
      <w:r>
        <w:t>(</w:t>
      </w:r>
      <w:r w:rsidRPr="00F0531B">
        <w:t>E</w:t>
      </w:r>
      <w:r>
        <w:t>/</w:t>
      </w:r>
      <w:r w:rsidRPr="00F0531B">
        <w:t>1998</w:t>
      </w:r>
      <w:r>
        <w:t>/</w:t>
      </w:r>
      <w:r w:rsidRPr="00F0531B">
        <w:t>22-E</w:t>
      </w:r>
      <w:r>
        <w:t>/</w:t>
      </w:r>
      <w:r w:rsidRPr="00F0531B">
        <w:t>C.12</w:t>
      </w:r>
      <w:r>
        <w:t>/</w:t>
      </w:r>
      <w:r w:rsidRPr="00F0531B">
        <w:t>1997</w:t>
      </w:r>
      <w:r>
        <w:t>/</w:t>
      </w:r>
      <w:r w:rsidRPr="00F0531B">
        <w:t>1</w:t>
      </w:r>
      <w:r>
        <w:t>0,</w:t>
      </w:r>
      <w:r>
        <w:rPr>
          <w:rFonts w:hint="eastAsia"/>
        </w:rPr>
        <w:t xml:space="preserve"> </w:t>
      </w:r>
      <w:r>
        <w:rPr>
          <w:rFonts w:hint="eastAsia"/>
        </w:rPr>
        <w:t>附件四</w:t>
      </w:r>
      <w:r>
        <w:t>)</w:t>
      </w:r>
      <w:r>
        <w:rPr>
          <w:rFonts w:hint="eastAsia"/>
        </w:rPr>
        <w:t>、第</w:t>
      </w:r>
      <w:r w:rsidRPr="00F0531B">
        <w:t>14</w:t>
      </w:r>
      <w:r>
        <w:rPr>
          <w:rFonts w:hint="eastAsia"/>
        </w:rPr>
        <w:t>号</w:t>
      </w:r>
      <w:r>
        <w:t>(</w:t>
      </w:r>
      <w:r w:rsidRPr="00F0531B">
        <w:t>E</w:t>
      </w:r>
      <w:r>
        <w:t>/</w:t>
      </w:r>
      <w:r w:rsidRPr="00F0531B">
        <w:t>2001</w:t>
      </w:r>
      <w:r>
        <w:t>/</w:t>
      </w:r>
      <w:r w:rsidRPr="00F0531B">
        <w:t>22-E</w:t>
      </w:r>
      <w:r>
        <w:t>/</w:t>
      </w:r>
      <w:r w:rsidRPr="00F0531B">
        <w:t>C.12</w:t>
      </w:r>
      <w:r>
        <w:t>/</w:t>
      </w:r>
      <w:r w:rsidRPr="00F0531B">
        <w:t>2000</w:t>
      </w:r>
      <w:r>
        <w:t>/</w:t>
      </w:r>
      <w:r w:rsidRPr="00F0531B">
        <w:t>21</w:t>
      </w:r>
      <w:r>
        <w:t>)</w:t>
      </w:r>
      <w:r>
        <w:rPr>
          <w:rFonts w:hint="eastAsia"/>
        </w:rPr>
        <w:t>和第</w:t>
      </w:r>
      <w:r w:rsidRPr="00F0531B">
        <w:t>15</w:t>
      </w:r>
      <w:r>
        <w:rPr>
          <w:rFonts w:hint="eastAsia"/>
        </w:rPr>
        <w:t>号</w:t>
      </w:r>
      <w:r>
        <w:t>(</w:t>
      </w:r>
      <w:r w:rsidRPr="00F0531B">
        <w:t>E</w:t>
      </w:r>
      <w:r>
        <w:t>/</w:t>
      </w:r>
      <w:r w:rsidRPr="00F0531B">
        <w:t>2003</w:t>
      </w:r>
      <w:r>
        <w:t>/</w:t>
      </w:r>
      <w:r w:rsidRPr="00F0531B">
        <w:t>22-E</w:t>
      </w:r>
      <w:r>
        <w:t>/</w:t>
      </w:r>
      <w:r w:rsidRPr="00F0531B">
        <w:t>C.12</w:t>
      </w:r>
      <w:r>
        <w:t>/</w:t>
      </w:r>
      <w:r w:rsidRPr="00F0531B">
        <w:t>2002</w:t>
      </w:r>
      <w:r>
        <w:t>/</w:t>
      </w:r>
      <w:r w:rsidRPr="00F0531B">
        <w:t>1</w:t>
      </w:r>
      <w:r>
        <w:t>3,</w:t>
      </w:r>
      <w:r>
        <w:rPr>
          <w:rFonts w:hint="eastAsia"/>
        </w:rPr>
        <w:t xml:space="preserve"> </w:t>
      </w:r>
      <w:r>
        <w:rPr>
          <w:rFonts w:hint="eastAsia"/>
        </w:rPr>
        <w:t>附件四。</w:t>
      </w:r>
    </w:p>
  </w:footnote>
  <w:footnote w:id="84">
    <w:p w:rsidR="00AB00DE" w:rsidRDefault="00AB00DE" w:rsidP="00103498">
      <w:pPr>
        <w:pStyle w:val="a4"/>
      </w:pPr>
      <w:r>
        <w:tab/>
      </w:r>
      <w:r w:rsidRPr="00DF5565">
        <w:rPr>
          <w:rStyle w:val="a5"/>
          <w:szCs w:val="21"/>
        </w:rPr>
        <w:footnoteRef/>
      </w:r>
      <w:r>
        <w:tab/>
      </w:r>
      <w:r>
        <w:rPr>
          <w:rStyle w:val="shorttext"/>
          <w:rFonts w:hint="eastAsia"/>
        </w:rPr>
        <w:t>第十一条。</w:t>
      </w:r>
    </w:p>
  </w:footnote>
  <w:footnote w:id="85">
    <w:p w:rsidR="00AB00DE" w:rsidRDefault="00AB00DE" w:rsidP="00103498">
      <w:pPr>
        <w:pStyle w:val="a4"/>
      </w:pPr>
      <w:r>
        <w:tab/>
      </w:r>
      <w:r w:rsidRPr="00DF5565">
        <w:rPr>
          <w:rStyle w:val="a5"/>
          <w:szCs w:val="21"/>
        </w:rPr>
        <w:footnoteRef/>
      </w:r>
      <w:r>
        <w:tab/>
      </w:r>
      <w:r>
        <w:rPr>
          <w:rFonts w:hint="eastAsia"/>
        </w:rPr>
        <w:t>附件，第</w:t>
      </w:r>
      <w:r>
        <w:t>5</w:t>
      </w:r>
      <w:r>
        <w:rPr>
          <w:rFonts w:hint="eastAsia"/>
        </w:rPr>
        <w:t>段。</w:t>
      </w:r>
    </w:p>
  </w:footnote>
  <w:footnote w:id="86">
    <w:p w:rsidR="00AB00DE" w:rsidRDefault="00AB00DE" w:rsidP="00103498">
      <w:pPr>
        <w:pStyle w:val="a4"/>
      </w:pPr>
      <w:r>
        <w:tab/>
      </w:r>
      <w:r w:rsidRPr="00DF5565">
        <w:rPr>
          <w:rStyle w:val="a5"/>
          <w:szCs w:val="21"/>
        </w:rPr>
        <w:footnoteRef/>
      </w:r>
      <w:r>
        <w:tab/>
      </w:r>
      <w:r>
        <w:rPr>
          <w:rFonts w:hint="eastAsia"/>
        </w:rPr>
        <w:t>相关文书的详细一览表见</w:t>
      </w:r>
      <w:r>
        <w:t>A/CN.4/590/Add.2</w:t>
      </w:r>
      <w:r>
        <w:rPr>
          <w:rFonts w:hint="eastAsia"/>
        </w:rPr>
        <w:t>。为国际救灾法目的制订的更多文书类型见</w:t>
      </w:r>
      <w:r>
        <w:t>H. Fischer,</w:t>
      </w:r>
      <w:r>
        <w:rPr>
          <w:rFonts w:hint="eastAsia"/>
        </w:rPr>
        <w:t>“国际灾害应对法条约：趋势、格局以及缺陷”，载于红十字会与红新月会国际联合会《国际灾害应对法律、原则和实践：思考、前景及挑战》</w:t>
      </w:r>
      <w:r>
        <w:t>(2003</w:t>
      </w:r>
      <w:r>
        <w:rPr>
          <w:rFonts w:hint="eastAsia"/>
        </w:rPr>
        <w:t>年</w:t>
      </w:r>
      <w:r>
        <w:t>)</w:t>
      </w:r>
      <w:r>
        <w:rPr>
          <w:rFonts w:hint="eastAsia"/>
        </w:rPr>
        <w:t>，见第</w:t>
      </w:r>
      <w:r>
        <w:t>24-44</w:t>
      </w:r>
      <w:r>
        <w:rPr>
          <w:rFonts w:hint="eastAsia"/>
        </w:rPr>
        <w:t>页。</w:t>
      </w:r>
    </w:p>
  </w:footnote>
  <w:footnote w:id="87">
    <w:p w:rsidR="00AB00DE" w:rsidRDefault="00AB00DE" w:rsidP="00103498">
      <w:pPr>
        <w:pStyle w:val="a4"/>
      </w:pPr>
      <w:r>
        <w:tab/>
      </w:r>
      <w:r w:rsidRPr="00DF5565">
        <w:rPr>
          <w:rStyle w:val="a5"/>
          <w:szCs w:val="21"/>
        </w:rPr>
        <w:footnoteRef/>
      </w:r>
      <w:r>
        <w:tab/>
        <w:t>1998</w:t>
      </w:r>
      <w:r>
        <w:rPr>
          <w:rFonts w:hint="eastAsia"/>
        </w:rPr>
        <w:t>年</w:t>
      </w:r>
      <w:r>
        <w:t>5</w:t>
      </w:r>
      <w:r>
        <w:rPr>
          <w:rFonts w:hint="eastAsia"/>
        </w:rPr>
        <w:t>月</w:t>
      </w:r>
      <w:r>
        <w:t>25</w:t>
      </w:r>
      <w:r>
        <w:rPr>
          <w:rFonts w:hint="eastAsia"/>
        </w:rPr>
        <w:t>日《法兰西共和国政府与马来西亚政府关于灾害预防及管理和公共安全合作的协定》，序言第</w:t>
      </w:r>
      <w:r>
        <w:t>4</w:t>
      </w:r>
      <w:r>
        <w:rPr>
          <w:rFonts w:hint="eastAsia"/>
        </w:rPr>
        <w:t>段。</w:t>
      </w:r>
    </w:p>
  </w:footnote>
  <w:footnote w:id="88">
    <w:p w:rsidR="00AB00DE" w:rsidRDefault="00AB00DE" w:rsidP="00103498">
      <w:pPr>
        <w:pStyle w:val="a4"/>
      </w:pPr>
      <w:r>
        <w:tab/>
      </w:r>
      <w:r w:rsidRPr="00DF5565">
        <w:rPr>
          <w:rStyle w:val="a5"/>
          <w:szCs w:val="21"/>
        </w:rPr>
        <w:footnoteRef/>
      </w:r>
      <w:r>
        <w:tab/>
      </w:r>
      <w:r w:rsidRPr="004A16A7">
        <w:rPr>
          <w:rFonts w:hint="eastAsia"/>
          <w:spacing w:val="-2"/>
        </w:rPr>
        <w:t>另见大会第</w:t>
      </w:r>
      <w:r w:rsidRPr="004A16A7">
        <w:rPr>
          <w:spacing w:val="-2"/>
        </w:rPr>
        <w:t>46/182</w:t>
      </w:r>
      <w:r w:rsidRPr="004A16A7">
        <w:rPr>
          <w:rFonts w:hint="eastAsia"/>
          <w:spacing w:val="-2"/>
        </w:rPr>
        <w:t>号决议，附件，第</w:t>
      </w:r>
      <w:r w:rsidRPr="004A16A7">
        <w:rPr>
          <w:spacing w:val="-2"/>
        </w:rPr>
        <w:t>4</w:t>
      </w:r>
      <w:r w:rsidRPr="004A16A7">
        <w:rPr>
          <w:rFonts w:hint="eastAsia"/>
          <w:spacing w:val="-2"/>
        </w:rPr>
        <w:t>段；《兵库宣言》，</w:t>
      </w:r>
      <w:r>
        <w:rPr>
          <w:spacing w:val="-2"/>
        </w:rPr>
        <w:t>A/CONF.</w:t>
      </w:r>
      <w:r w:rsidRPr="004A16A7">
        <w:rPr>
          <w:spacing w:val="-2"/>
        </w:rPr>
        <w:t>206/6</w:t>
      </w:r>
      <w:r w:rsidRPr="004A16A7">
        <w:rPr>
          <w:rFonts w:hint="eastAsia"/>
          <w:spacing w:val="-2"/>
        </w:rPr>
        <w:t>和</w:t>
      </w:r>
      <w:r w:rsidRPr="004A16A7">
        <w:rPr>
          <w:spacing w:val="-2"/>
        </w:rPr>
        <w:t xml:space="preserve">Corr.1, </w:t>
      </w:r>
      <w:r w:rsidRPr="004A16A7">
        <w:rPr>
          <w:rFonts w:hint="eastAsia"/>
          <w:spacing w:val="-2"/>
        </w:rPr>
        <w:t>第一章，</w:t>
      </w:r>
      <w:r>
        <w:rPr>
          <w:rFonts w:hint="eastAsia"/>
        </w:rPr>
        <w:t>第</w:t>
      </w:r>
      <w:r>
        <w:t>1</w:t>
      </w:r>
      <w:r>
        <w:rPr>
          <w:rFonts w:hint="eastAsia"/>
        </w:rPr>
        <w:t>号决议，第</w:t>
      </w:r>
      <w:r>
        <w:t>4</w:t>
      </w:r>
      <w:r>
        <w:rPr>
          <w:rFonts w:hint="eastAsia"/>
        </w:rPr>
        <w:t>段。</w:t>
      </w:r>
    </w:p>
  </w:footnote>
  <w:footnote w:id="89">
    <w:p w:rsidR="00AB00DE" w:rsidRDefault="00AB00DE" w:rsidP="00103498">
      <w:pPr>
        <w:pStyle w:val="a4"/>
      </w:pPr>
      <w:r>
        <w:tab/>
      </w:r>
      <w:r w:rsidRPr="00DF5565">
        <w:rPr>
          <w:rStyle w:val="a5"/>
          <w:szCs w:val="21"/>
        </w:rPr>
        <w:footnoteRef/>
      </w:r>
      <w:r>
        <w:tab/>
      </w:r>
      <w:r>
        <w:rPr>
          <w:rFonts w:hint="eastAsia"/>
        </w:rPr>
        <w:t>附件，第</w:t>
      </w:r>
      <w:r>
        <w:t>5</w:t>
      </w:r>
      <w:r>
        <w:rPr>
          <w:rFonts w:hint="eastAsia"/>
        </w:rPr>
        <w:t>段。</w:t>
      </w:r>
    </w:p>
  </w:footnote>
  <w:footnote w:id="90">
    <w:p w:rsidR="00AB00DE" w:rsidRDefault="00AB00DE" w:rsidP="00103498">
      <w:pPr>
        <w:pStyle w:val="a4"/>
      </w:pPr>
      <w:r>
        <w:tab/>
      </w:r>
      <w:r w:rsidRPr="00DF5565">
        <w:rPr>
          <w:rStyle w:val="a5"/>
          <w:szCs w:val="21"/>
        </w:rPr>
        <w:footnoteRef/>
      </w:r>
      <w:r>
        <w:tab/>
      </w:r>
      <w:r>
        <w:rPr>
          <w:rFonts w:hint="eastAsia"/>
        </w:rPr>
        <w:t>第</w:t>
      </w:r>
      <w:r>
        <w:t>7</w:t>
      </w:r>
      <w:r>
        <w:rPr>
          <w:rFonts w:hint="eastAsia"/>
        </w:rPr>
        <w:t>段。</w:t>
      </w:r>
    </w:p>
  </w:footnote>
  <w:footnote w:id="91">
    <w:p w:rsidR="00AB00DE" w:rsidRPr="00A87A74" w:rsidRDefault="00AB00DE" w:rsidP="00103498">
      <w:pPr>
        <w:pStyle w:val="a4"/>
        <w:rPr>
          <w:sz w:val="16"/>
          <w:szCs w:val="16"/>
        </w:rPr>
      </w:pPr>
      <w:r w:rsidRPr="00A87A74">
        <w:rPr>
          <w:sz w:val="16"/>
          <w:szCs w:val="16"/>
        </w:rPr>
        <w:tab/>
      </w:r>
      <w:r w:rsidRPr="00DF5565">
        <w:rPr>
          <w:rStyle w:val="a5"/>
          <w:szCs w:val="21"/>
        </w:rPr>
        <w:footnoteRef/>
      </w:r>
      <w:r w:rsidRPr="00DF5565">
        <w:rPr>
          <w:rStyle w:val="a5"/>
          <w:szCs w:val="21"/>
        </w:rPr>
        <w:tab/>
      </w:r>
      <w:r>
        <w:rPr>
          <w:rStyle w:val="shorttext"/>
          <w:rFonts w:hint="eastAsia"/>
        </w:rPr>
        <w:t>见下文第</w:t>
      </w:r>
      <w:r>
        <w:rPr>
          <w:rStyle w:val="shorttext"/>
          <w:rFonts w:hint="eastAsia"/>
        </w:rPr>
        <w:t>18</w:t>
      </w:r>
      <w:r>
        <w:rPr>
          <w:rStyle w:val="shorttext"/>
          <w:rFonts w:hint="eastAsia"/>
        </w:rPr>
        <w:t>条评注第</w:t>
      </w:r>
      <w:r>
        <w:rPr>
          <w:rStyle w:val="shorttext"/>
          <w:rFonts w:hint="eastAsia"/>
        </w:rPr>
        <w:t>(8)</w:t>
      </w:r>
      <w:r>
        <w:rPr>
          <w:rStyle w:val="shorttext"/>
          <w:rFonts w:hint="eastAsia"/>
        </w:rPr>
        <w:t>段。</w:t>
      </w:r>
    </w:p>
  </w:footnote>
  <w:footnote w:id="92">
    <w:p w:rsidR="00AB00DE" w:rsidRPr="00971B6C" w:rsidRDefault="00AB00DE" w:rsidP="009C15B9">
      <w:pPr>
        <w:pStyle w:val="a4"/>
        <w:rPr>
          <w:sz w:val="16"/>
          <w:szCs w:val="16"/>
          <w:lang w:bidi="x-none"/>
        </w:rPr>
      </w:pPr>
      <w:r>
        <w:rPr>
          <w:rFonts w:hAnsi="Songti SC Regular"/>
        </w:rPr>
        <w:tab/>
      </w:r>
      <w:r w:rsidRPr="00DF5565">
        <w:rPr>
          <w:rStyle w:val="a5"/>
          <w:szCs w:val="21"/>
        </w:rPr>
        <w:footnoteRef/>
      </w:r>
      <w:r>
        <w:rPr>
          <w:rFonts w:hAnsi="Songti SC Regular"/>
        </w:rPr>
        <w:tab/>
      </w:r>
      <w:r>
        <w:rPr>
          <w:rFonts w:hAnsi="Songti SC Regular" w:hint="eastAsia"/>
        </w:rPr>
        <w:t>大会</w:t>
      </w:r>
      <w:r>
        <w:rPr>
          <w:rFonts w:hAnsi="Songti SC Regular"/>
        </w:rPr>
        <w:t>2008</w:t>
      </w:r>
      <w:r>
        <w:rPr>
          <w:rFonts w:hAnsi="Songti SC Regular" w:hint="eastAsia"/>
        </w:rPr>
        <w:t>年</w:t>
      </w:r>
      <w:r>
        <w:rPr>
          <w:rFonts w:hAnsi="Songti SC Regular"/>
        </w:rPr>
        <w:t>12</w:t>
      </w:r>
      <w:r>
        <w:rPr>
          <w:rFonts w:hAnsi="Songti SC Regular" w:hint="eastAsia"/>
        </w:rPr>
        <w:t>月</w:t>
      </w:r>
      <w:r>
        <w:rPr>
          <w:rFonts w:hAnsi="Songti SC Regular"/>
        </w:rPr>
        <w:t>11</w:t>
      </w:r>
      <w:r>
        <w:rPr>
          <w:rFonts w:hAnsi="Songti SC Regular" w:hint="eastAsia"/>
        </w:rPr>
        <w:t>日第</w:t>
      </w:r>
      <w:r>
        <w:rPr>
          <w:rFonts w:hAnsi="Songti SC Regular"/>
        </w:rPr>
        <w:t>63/124</w:t>
      </w:r>
      <w:r>
        <w:rPr>
          <w:rFonts w:hAnsi="Songti SC Regular" w:hint="eastAsia"/>
        </w:rPr>
        <w:t>号决议，附件</w:t>
      </w:r>
      <w:r>
        <w:rPr>
          <w:rStyle w:val="shorttext"/>
          <w:rFonts w:hint="eastAsia"/>
        </w:rPr>
        <w:t>(</w:t>
      </w:r>
      <w:r>
        <w:rPr>
          <w:rStyle w:val="shorttext"/>
          <w:rFonts w:hint="eastAsia"/>
        </w:rPr>
        <w:t>其评注见《</w:t>
      </w:r>
      <w:r>
        <w:rPr>
          <w:rStyle w:val="shorttext"/>
          <w:rFonts w:hint="eastAsia"/>
        </w:rPr>
        <w:t>2008</w:t>
      </w:r>
      <w:r>
        <w:rPr>
          <w:rStyle w:val="shorttext"/>
          <w:rFonts w:hint="eastAsia"/>
        </w:rPr>
        <w:t>年……年鉴》，第二卷</w:t>
      </w:r>
      <w:r>
        <w:rPr>
          <w:rStyle w:val="shorttext"/>
          <w:rFonts w:hint="eastAsia"/>
        </w:rPr>
        <w:t>(</w:t>
      </w:r>
      <w:r>
        <w:rPr>
          <w:rStyle w:val="shorttext"/>
          <w:rFonts w:hint="eastAsia"/>
        </w:rPr>
        <w:t>第二部分</w:t>
      </w:r>
      <w:r>
        <w:rPr>
          <w:rStyle w:val="shorttext"/>
          <w:rFonts w:hint="eastAsia"/>
        </w:rPr>
        <w:t>)</w:t>
      </w:r>
      <w:r>
        <w:rPr>
          <w:rStyle w:val="shorttext"/>
          <w:rFonts w:hint="eastAsia"/>
        </w:rPr>
        <w:t>，第四章</w:t>
      </w:r>
      <w:r>
        <w:rPr>
          <w:rStyle w:val="shorttext"/>
          <w:rFonts w:hint="eastAsia"/>
        </w:rPr>
        <w:t>E</w:t>
      </w:r>
      <w:r>
        <w:rPr>
          <w:rStyle w:val="shorttext"/>
          <w:rFonts w:hint="eastAsia"/>
        </w:rPr>
        <w:t>节。</w:t>
      </w:r>
    </w:p>
  </w:footnote>
  <w:footnote w:id="93">
    <w:p w:rsidR="00AB00DE" w:rsidRDefault="00AB00DE" w:rsidP="00103498">
      <w:pPr>
        <w:pStyle w:val="a4"/>
      </w:pPr>
      <w:r>
        <w:tab/>
      </w:r>
      <w:r w:rsidRPr="00DF5565">
        <w:rPr>
          <w:rStyle w:val="a5"/>
          <w:szCs w:val="21"/>
        </w:rPr>
        <w:footnoteRef/>
      </w:r>
      <w:r>
        <w:tab/>
      </w:r>
      <w:r>
        <w:rPr>
          <w:rFonts w:hint="eastAsia"/>
        </w:rPr>
        <w:t>同上。</w:t>
      </w:r>
    </w:p>
  </w:footnote>
  <w:footnote w:id="94">
    <w:p w:rsidR="00AB00DE" w:rsidRDefault="00AB00DE" w:rsidP="00103498">
      <w:pPr>
        <w:pStyle w:val="a4"/>
      </w:pPr>
      <w:r>
        <w:tab/>
      </w:r>
      <w:r w:rsidRPr="00DF5565">
        <w:rPr>
          <w:rStyle w:val="a5"/>
          <w:szCs w:val="21"/>
        </w:rPr>
        <w:footnoteRef/>
      </w:r>
      <w:r>
        <w:tab/>
        <w:t>1976</w:t>
      </w:r>
      <w:r>
        <w:rPr>
          <w:rFonts w:hint="eastAsia"/>
        </w:rPr>
        <w:t>年东盟文件汇编。</w:t>
      </w:r>
    </w:p>
  </w:footnote>
  <w:footnote w:id="95">
    <w:p w:rsidR="00AB00DE" w:rsidRDefault="00AB00DE" w:rsidP="00103498">
      <w:pPr>
        <w:pStyle w:val="a4"/>
      </w:pPr>
      <w:r>
        <w:tab/>
      </w:r>
      <w:r w:rsidRPr="00DF5565">
        <w:rPr>
          <w:rStyle w:val="a5"/>
          <w:szCs w:val="21"/>
        </w:rPr>
        <w:footnoteRef/>
      </w:r>
      <w:r>
        <w:tab/>
      </w:r>
      <w:r>
        <w:rPr>
          <w:rFonts w:hint="eastAsia"/>
        </w:rPr>
        <w:t>附件，第</w:t>
      </w:r>
      <w:r>
        <w:t>27</w:t>
      </w:r>
      <w:r>
        <w:rPr>
          <w:rFonts w:hint="eastAsia"/>
        </w:rPr>
        <w:t>段。</w:t>
      </w:r>
    </w:p>
  </w:footnote>
  <w:footnote w:id="96">
    <w:p w:rsidR="00AB00DE" w:rsidRPr="00A87A74" w:rsidRDefault="00AB00DE" w:rsidP="00765E0D">
      <w:pPr>
        <w:pStyle w:val="a4"/>
        <w:widowControl w:val="0"/>
        <w:autoSpaceDE w:val="0"/>
        <w:autoSpaceDN w:val="0"/>
        <w:rPr>
          <w:sz w:val="16"/>
          <w:szCs w:val="16"/>
        </w:rPr>
      </w:pPr>
      <w:r>
        <w:rPr>
          <w:rFonts w:hint="eastAsia"/>
        </w:rPr>
        <w:tab/>
      </w:r>
      <w:r w:rsidRPr="00DF5565">
        <w:rPr>
          <w:rStyle w:val="a5"/>
          <w:szCs w:val="16"/>
        </w:rPr>
        <w:footnoteRef/>
      </w:r>
      <w:r>
        <w:rPr>
          <w:rFonts w:hint="eastAsia"/>
        </w:rPr>
        <w:tab/>
      </w:r>
      <w:r>
        <w:rPr>
          <w:rFonts w:hint="eastAsia"/>
        </w:rPr>
        <w:t>大会</w:t>
      </w:r>
      <w:r>
        <w:rPr>
          <w:rFonts w:hint="eastAsia"/>
        </w:rPr>
        <w:t>2007</w:t>
      </w:r>
      <w:r>
        <w:rPr>
          <w:rFonts w:hint="eastAsia"/>
        </w:rPr>
        <w:t>年</w:t>
      </w:r>
      <w:r>
        <w:rPr>
          <w:rFonts w:hint="eastAsia"/>
        </w:rPr>
        <w:t>12</w:t>
      </w:r>
      <w:r>
        <w:rPr>
          <w:rFonts w:hint="eastAsia"/>
        </w:rPr>
        <w:t>月</w:t>
      </w:r>
      <w:r>
        <w:rPr>
          <w:rFonts w:hint="eastAsia"/>
        </w:rPr>
        <w:t>6</w:t>
      </w:r>
      <w:r>
        <w:rPr>
          <w:rFonts w:hint="eastAsia"/>
        </w:rPr>
        <w:t>日第</w:t>
      </w:r>
      <w:r w:rsidRPr="004A16A7">
        <w:t>62/68</w:t>
      </w:r>
      <w:r w:rsidRPr="004A16A7">
        <w:rPr>
          <w:rFonts w:hint="eastAsia"/>
        </w:rPr>
        <w:t>号</w:t>
      </w:r>
      <w:r>
        <w:rPr>
          <w:rFonts w:hint="eastAsia"/>
        </w:rPr>
        <w:t>决议附件</w:t>
      </w:r>
      <w:r>
        <w:rPr>
          <w:rFonts w:hint="eastAsia"/>
        </w:rPr>
        <w:t>(</w:t>
      </w:r>
      <w:r>
        <w:rPr>
          <w:rFonts w:hint="eastAsia"/>
        </w:rPr>
        <w:t>评注见《</w:t>
      </w:r>
      <w:r>
        <w:rPr>
          <w:rFonts w:hint="eastAsia"/>
        </w:rPr>
        <w:t>2001</w:t>
      </w:r>
      <w:r>
        <w:rPr>
          <w:rFonts w:hint="eastAsia"/>
        </w:rPr>
        <w:t>年</w:t>
      </w:r>
      <w:r w:rsidRPr="004A16A7">
        <w:rPr>
          <w:rFonts w:hint="eastAsia"/>
        </w:rPr>
        <w:t>……</w:t>
      </w:r>
      <w:r>
        <w:rPr>
          <w:rFonts w:hint="eastAsia"/>
        </w:rPr>
        <w:t>年鉴》，第二卷</w:t>
      </w:r>
      <w:r>
        <w:rPr>
          <w:rFonts w:hint="eastAsia"/>
        </w:rPr>
        <w:t>(</w:t>
      </w:r>
      <w:r>
        <w:rPr>
          <w:rFonts w:hint="eastAsia"/>
        </w:rPr>
        <w:t>第二部分</w:t>
      </w:r>
      <w:r>
        <w:rPr>
          <w:rFonts w:hint="eastAsia"/>
        </w:rPr>
        <w:t>)</w:t>
      </w:r>
      <w:r>
        <w:rPr>
          <w:rFonts w:hint="eastAsia"/>
        </w:rPr>
        <w:t>，第五章</w:t>
      </w:r>
      <w:r>
        <w:rPr>
          <w:rFonts w:hint="eastAsia"/>
        </w:rPr>
        <w:t>E</w:t>
      </w:r>
      <w:r>
        <w:rPr>
          <w:rFonts w:hint="eastAsia"/>
        </w:rPr>
        <w:t>节</w:t>
      </w:r>
      <w:r>
        <w:rPr>
          <w:rFonts w:hint="eastAsia"/>
        </w:rPr>
        <w:t>)</w:t>
      </w:r>
      <w:r>
        <w:rPr>
          <w:rFonts w:hint="eastAsia"/>
        </w:rPr>
        <w:t>。</w:t>
      </w:r>
    </w:p>
  </w:footnote>
  <w:footnote w:id="97">
    <w:p w:rsidR="00AB00DE" w:rsidRDefault="00AB00DE" w:rsidP="00765E0D">
      <w:pPr>
        <w:pStyle w:val="a4"/>
        <w:widowControl w:val="0"/>
        <w:autoSpaceDE w:val="0"/>
        <w:autoSpaceDN w:val="0"/>
        <w:rPr>
          <w:rFonts w:hAnsi="Songti SC Regular"/>
        </w:rPr>
      </w:pPr>
      <w:r>
        <w:rPr>
          <w:rFonts w:hAnsi="Songti SC Regular" w:hint="eastAsia"/>
        </w:rPr>
        <w:tab/>
      </w:r>
      <w:r w:rsidRPr="00DF5565">
        <w:rPr>
          <w:rStyle w:val="a5"/>
          <w:szCs w:val="16"/>
        </w:rPr>
        <w:footnoteRef/>
      </w:r>
      <w:r>
        <w:rPr>
          <w:rFonts w:hAnsi="Songti SC Regular"/>
        </w:rPr>
        <w:tab/>
      </w:r>
      <w:r>
        <w:rPr>
          <w:rFonts w:hAnsi="Songti SC Regular" w:hint="eastAsia"/>
        </w:rPr>
        <w:t>见上文第</w:t>
      </w:r>
      <w:r>
        <w:rPr>
          <w:rFonts w:hAnsi="Songti SC Regular" w:hint="eastAsia"/>
        </w:rPr>
        <w:t>7</w:t>
      </w:r>
      <w:r>
        <w:rPr>
          <w:rFonts w:hAnsi="Songti SC Regular" w:hint="eastAsia"/>
        </w:rPr>
        <w:t>条草案的评注第</w:t>
      </w:r>
      <w:r>
        <w:rPr>
          <w:rFonts w:hAnsi="Songti SC Regular"/>
        </w:rPr>
        <w:t>(6)</w:t>
      </w:r>
      <w:r>
        <w:rPr>
          <w:rFonts w:hAnsi="Songti SC Regular" w:hint="eastAsia"/>
        </w:rPr>
        <w:t>段。</w:t>
      </w:r>
    </w:p>
  </w:footnote>
  <w:footnote w:id="98">
    <w:p w:rsidR="00AB00DE" w:rsidRDefault="00AB00DE" w:rsidP="00765E0D">
      <w:pPr>
        <w:pStyle w:val="a4"/>
        <w:widowControl w:val="0"/>
        <w:autoSpaceDE w:val="0"/>
        <w:autoSpaceDN w:val="0"/>
        <w:rPr>
          <w:rFonts w:hAnsi="Songti SC Regular"/>
        </w:rPr>
      </w:pPr>
      <w:r>
        <w:rPr>
          <w:rFonts w:hAnsi="Songti SC Regular"/>
        </w:rPr>
        <w:tab/>
      </w:r>
      <w:r w:rsidRPr="00DF5565">
        <w:rPr>
          <w:color w:val="0000FF"/>
          <w:sz w:val="21"/>
          <w:vertAlign w:val="superscript"/>
        </w:rPr>
        <w:footnoteRef/>
      </w:r>
      <w:r>
        <w:rPr>
          <w:rFonts w:hAnsi="Songti SC Regular"/>
        </w:rPr>
        <w:tab/>
      </w:r>
      <w:r>
        <w:rPr>
          <w:rFonts w:hAnsi="Songti SC Regular" w:hint="eastAsia"/>
        </w:rPr>
        <w:t>见《东盟协定》</w:t>
      </w:r>
      <w:r>
        <w:rPr>
          <w:rFonts w:hAnsi="Songti SC Regular"/>
        </w:rPr>
        <w:t>)</w:t>
      </w:r>
      <w:r>
        <w:rPr>
          <w:rFonts w:hAnsi="Songti SC Regular" w:hint="eastAsia"/>
        </w:rPr>
        <w:t>，第</w:t>
      </w:r>
      <w:r>
        <w:rPr>
          <w:rFonts w:hAnsi="Songti SC Regular"/>
        </w:rPr>
        <w:t>18</w:t>
      </w:r>
      <w:r>
        <w:rPr>
          <w:rFonts w:hAnsi="Songti SC Regular" w:hint="eastAsia"/>
        </w:rPr>
        <w:t>条第</w:t>
      </w:r>
      <w:r>
        <w:rPr>
          <w:rFonts w:hAnsi="Songti SC Regular"/>
        </w:rPr>
        <w:t>1</w:t>
      </w:r>
      <w:r>
        <w:rPr>
          <w:rFonts w:hAnsi="Songti SC Regular" w:hint="eastAsia"/>
        </w:rPr>
        <w:t>款。</w:t>
      </w:r>
    </w:p>
  </w:footnote>
  <w:footnote w:id="99">
    <w:p w:rsidR="00AB00DE" w:rsidRDefault="00AB00DE" w:rsidP="004C281A">
      <w:pPr>
        <w:pStyle w:val="a4"/>
        <w:widowControl w:val="0"/>
        <w:autoSpaceDE w:val="0"/>
        <w:autoSpaceDN w:val="0"/>
        <w:rPr>
          <w:rFonts w:hAnsi="Songti SC Regular"/>
        </w:rPr>
      </w:pPr>
      <w:r>
        <w:rPr>
          <w:rFonts w:hAnsi="Songti SC Regular" w:hint="eastAsia"/>
        </w:rPr>
        <w:tab/>
      </w:r>
      <w:r w:rsidRPr="00DF5565">
        <w:rPr>
          <w:color w:val="0000FF"/>
          <w:sz w:val="21"/>
          <w:vertAlign w:val="superscript"/>
        </w:rPr>
        <w:footnoteRef/>
      </w:r>
      <w:r>
        <w:rPr>
          <w:rFonts w:hAnsi="Songti SC Regular"/>
        </w:rPr>
        <w:tab/>
      </w:r>
      <w:r>
        <w:rPr>
          <w:rFonts w:hAnsi="Songti SC Regular" w:hint="eastAsia"/>
        </w:rPr>
        <w:t>见《坦佩雷公约》第</w:t>
      </w:r>
      <w:r>
        <w:rPr>
          <w:rFonts w:hAnsi="Songti SC Regular" w:hint="eastAsia"/>
        </w:rPr>
        <w:t>3</w:t>
      </w:r>
      <w:r>
        <w:rPr>
          <w:rFonts w:hAnsi="Songti SC Regular" w:hint="eastAsia"/>
        </w:rPr>
        <w:t>条</w:t>
      </w:r>
      <w:r>
        <w:rPr>
          <w:rFonts w:hAnsi="Songti SC Regular"/>
        </w:rPr>
        <w:t>(</w:t>
      </w:r>
      <w:r>
        <w:rPr>
          <w:rFonts w:hAnsi="Songti SC Regular" w:hint="eastAsia"/>
        </w:rPr>
        <w:t>呼吁“部署地面和卫星电信设备来预测和监测各种自然危险、健康危险或灾害以及提供有关的信息”以及“在缔约国之间以及同其他国家、非国家实体和政府间组织分享关于自然危险、健康危险和灾害的信息，并将这种信息传播给公众，特别是传播给面临危险的社区”</w:t>
      </w:r>
      <w:r>
        <w:rPr>
          <w:rFonts w:hAnsi="Songti SC Regular"/>
        </w:rPr>
        <w:t>)</w:t>
      </w:r>
      <w:r>
        <w:rPr>
          <w:rFonts w:hAnsi="Songti SC Regular" w:hint="eastAsia"/>
        </w:rPr>
        <w:t>；《奥斯陆准则》</w:t>
      </w:r>
      <w:r w:rsidRPr="008972C0">
        <w:rPr>
          <w:rFonts w:hAnsi="Songti SC Regular" w:hint="eastAsia"/>
        </w:rPr>
        <w:t>(</w:t>
      </w:r>
      <w:r w:rsidRPr="008972C0">
        <w:rPr>
          <w:rFonts w:hAnsi="Songti SC Regular" w:hint="eastAsia"/>
        </w:rPr>
        <w:t>见上文脚注</w:t>
      </w:r>
      <w:r>
        <w:rPr>
          <w:rFonts w:hAnsi="Songti SC Regular"/>
        </w:rPr>
        <w:fldChar w:fldCharType="begin"/>
      </w:r>
      <w:r>
        <w:rPr>
          <w:rFonts w:hAnsi="Songti SC Regular"/>
        </w:rPr>
        <w:instrText xml:space="preserve"> </w:instrText>
      </w:r>
      <w:r>
        <w:rPr>
          <w:rFonts w:hAnsi="Songti SC Regular" w:hint="eastAsia"/>
        </w:rPr>
        <w:instrText>NOTEREF _Ref461892244 \h</w:instrText>
      </w:r>
      <w:r>
        <w:rPr>
          <w:rFonts w:hAnsi="Songti SC Regular"/>
        </w:rPr>
        <w:instrText xml:space="preserve"> </w:instrText>
      </w:r>
      <w:r>
        <w:rPr>
          <w:rFonts w:hAnsi="Songti SC Regular"/>
        </w:rPr>
      </w:r>
      <w:r>
        <w:rPr>
          <w:rFonts w:hAnsi="Songti SC Regular"/>
        </w:rPr>
        <w:fldChar w:fldCharType="separate"/>
      </w:r>
      <w:r w:rsidR="00A73EB9">
        <w:rPr>
          <w:rFonts w:hAnsi="Songti SC Regular"/>
        </w:rPr>
        <w:t>28</w:t>
      </w:r>
      <w:r>
        <w:rPr>
          <w:rFonts w:hAnsi="Songti SC Regular"/>
        </w:rPr>
        <w:fldChar w:fldCharType="end"/>
      </w:r>
      <w:r>
        <w:rPr>
          <w:rFonts w:hAnsi="Songti SC Regular" w:hint="eastAsia"/>
        </w:rPr>
        <w:t>)</w:t>
      </w:r>
      <w:r>
        <w:rPr>
          <w:rFonts w:hAnsi="Songti SC Regular" w:hint="eastAsia"/>
        </w:rPr>
        <w:t>，第</w:t>
      </w:r>
      <w:r>
        <w:rPr>
          <w:rFonts w:hAnsi="Songti SC Regular"/>
        </w:rPr>
        <w:t>54</w:t>
      </w:r>
      <w:r>
        <w:rPr>
          <w:rFonts w:hAnsi="Songti SC Regular" w:hint="eastAsia"/>
        </w:rPr>
        <w:t>段。另见秘书处备忘录中的讨论</w:t>
      </w:r>
      <w:r>
        <w:rPr>
          <w:rFonts w:hAnsi="Songti SC Regular" w:hint="eastAsia"/>
        </w:rPr>
        <w:t>(</w:t>
      </w:r>
      <w:r>
        <w:rPr>
          <w:rFonts w:hAnsi="Songti SC Regular"/>
        </w:rPr>
        <w:t>A/CN.4/590</w:t>
      </w:r>
      <w:r>
        <w:rPr>
          <w:rFonts w:hAnsi="Songti SC Regular" w:hint="eastAsia"/>
        </w:rPr>
        <w:t>)</w:t>
      </w:r>
      <w:r>
        <w:rPr>
          <w:rFonts w:hAnsi="Songti SC Regular" w:hint="eastAsia"/>
        </w:rPr>
        <w:t>，第</w:t>
      </w:r>
      <w:r w:rsidRPr="00FD5B0C">
        <w:rPr>
          <w:rFonts w:asciiTheme="majorBidi" w:hAnsiTheme="majorBidi" w:cstheme="majorBidi"/>
        </w:rPr>
        <w:t>158-174</w:t>
      </w:r>
      <w:r>
        <w:rPr>
          <w:rFonts w:hAnsi="Songti SC Regular" w:hint="eastAsia"/>
        </w:rPr>
        <w:t>段。</w:t>
      </w:r>
    </w:p>
  </w:footnote>
  <w:footnote w:id="100">
    <w:p w:rsidR="00AB00DE" w:rsidRPr="001E1D82" w:rsidRDefault="00AB00DE" w:rsidP="00765E0D">
      <w:pPr>
        <w:pStyle w:val="a4"/>
        <w:widowControl w:val="0"/>
        <w:autoSpaceDE w:val="0"/>
        <w:autoSpaceDN w:val="0"/>
        <w:rPr>
          <w:szCs w:val="18"/>
        </w:rPr>
      </w:pPr>
      <w:r w:rsidRPr="000C77B3">
        <w:tab/>
      </w:r>
      <w:r w:rsidRPr="00DF5565">
        <w:rPr>
          <w:color w:val="0000FF"/>
          <w:sz w:val="21"/>
          <w:szCs w:val="18"/>
          <w:vertAlign w:val="superscript"/>
        </w:rPr>
        <w:footnoteRef/>
      </w:r>
      <w:r w:rsidRPr="00DF5565">
        <w:rPr>
          <w:color w:val="0000FF"/>
          <w:sz w:val="21"/>
          <w:szCs w:val="18"/>
          <w:vertAlign w:val="superscript"/>
        </w:rPr>
        <w:tab/>
      </w:r>
      <w:r w:rsidRPr="001E1D82">
        <w:rPr>
          <w:szCs w:val="18"/>
        </w:rPr>
        <w:t>见《建立更安全的世界的横滨战略：预防、防备和减轻自然灾害的指导方针》及《行动计划》，</w:t>
      </w:r>
      <w:r w:rsidRPr="001E1D82">
        <w:rPr>
          <w:szCs w:val="18"/>
        </w:rPr>
        <w:t>A/CONF.172/9,</w:t>
      </w:r>
      <w:r w:rsidRPr="001E1D82">
        <w:rPr>
          <w:rFonts w:hint="eastAsia"/>
          <w:szCs w:val="18"/>
        </w:rPr>
        <w:t xml:space="preserve"> </w:t>
      </w:r>
      <w:r w:rsidRPr="001E1D82">
        <w:rPr>
          <w:szCs w:val="18"/>
        </w:rPr>
        <w:t>第一章，决议一，附件一。</w:t>
      </w:r>
    </w:p>
  </w:footnote>
  <w:footnote w:id="101">
    <w:p w:rsidR="00AB00DE" w:rsidRPr="00A87A74" w:rsidRDefault="00AB00DE" w:rsidP="00765E0D">
      <w:pPr>
        <w:pStyle w:val="a4"/>
        <w:widowControl w:val="0"/>
        <w:autoSpaceDE w:val="0"/>
        <w:autoSpaceDN w:val="0"/>
        <w:rPr>
          <w:szCs w:val="18"/>
        </w:rPr>
      </w:pPr>
      <w:r w:rsidRPr="00A87A74">
        <w:rPr>
          <w:szCs w:val="18"/>
        </w:rPr>
        <w:tab/>
      </w:r>
      <w:r w:rsidRPr="00DF5565">
        <w:rPr>
          <w:color w:val="0000FF"/>
          <w:sz w:val="21"/>
          <w:szCs w:val="18"/>
          <w:vertAlign w:val="superscript"/>
        </w:rPr>
        <w:footnoteRef/>
      </w:r>
      <w:r w:rsidRPr="00A87A74">
        <w:rPr>
          <w:rFonts w:hint="eastAsia"/>
          <w:szCs w:val="18"/>
        </w:rPr>
        <w:tab/>
      </w:r>
      <w:r>
        <w:rPr>
          <w:rFonts w:hint="eastAsia"/>
          <w:szCs w:val="18"/>
        </w:rPr>
        <w:t>日内瓦，</w:t>
      </w:r>
      <w:r w:rsidRPr="00A87A74">
        <w:rPr>
          <w:szCs w:val="18"/>
        </w:rPr>
        <w:t>19-2013</w:t>
      </w:r>
      <w:r w:rsidRPr="00A87A74">
        <w:rPr>
          <w:szCs w:val="18"/>
        </w:rPr>
        <w:t>年</w:t>
      </w:r>
      <w:r w:rsidRPr="00A87A74">
        <w:rPr>
          <w:szCs w:val="18"/>
        </w:rPr>
        <w:t>5</w:t>
      </w:r>
      <w:r w:rsidRPr="00A87A74">
        <w:rPr>
          <w:szCs w:val="18"/>
        </w:rPr>
        <w:t>月</w:t>
      </w:r>
      <w:r w:rsidRPr="00A87A74">
        <w:rPr>
          <w:szCs w:val="18"/>
        </w:rPr>
        <w:t>23</w:t>
      </w:r>
      <w:r w:rsidRPr="00A87A74">
        <w:rPr>
          <w:szCs w:val="18"/>
        </w:rPr>
        <w:t>日</w:t>
      </w:r>
      <w:r>
        <w:rPr>
          <w:rFonts w:hint="eastAsia"/>
          <w:szCs w:val="18"/>
        </w:rPr>
        <w:t>。</w:t>
      </w:r>
    </w:p>
  </w:footnote>
  <w:footnote w:id="102">
    <w:p w:rsidR="00AB00DE" w:rsidRPr="00A87A74" w:rsidRDefault="00AB00DE" w:rsidP="00765E0D">
      <w:pPr>
        <w:pStyle w:val="a4"/>
        <w:widowControl w:val="0"/>
        <w:autoSpaceDE w:val="0"/>
        <w:autoSpaceDN w:val="0"/>
        <w:rPr>
          <w:szCs w:val="18"/>
        </w:rPr>
      </w:pPr>
      <w:r w:rsidRPr="00A87A74">
        <w:rPr>
          <w:szCs w:val="18"/>
        </w:rPr>
        <w:tab/>
      </w:r>
      <w:r w:rsidRPr="00DF5565">
        <w:rPr>
          <w:color w:val="0000FF"/>
          <w:sz w:val="21"/>
          <w:szCs w:val="18"/>
          <w:vertAlign w:val="superscript"/>
        </w:rPr>
        <w:footnoteRef/>
      </w:r>
      <w:r w:rsidRPr="00DF5565">
        <w:rPr>
          <w:rFonts w:hint="eastAsia"/>
          <w:color w:val="0000FF"/>
          <w:sz w:val="21"/>
          <w:szCs w:val="18"/>
          <w:vertAlign w:val="superscript"/>
        </w:rPr>
        <w:tab/>
      </w:r>
      <w:r w:rsidRPr="00A87A74">
        <w:rPr>
          <w:rFonts w:hint="eastAsia"/>
          <w:szCs w:val="18"/>
        </w:rPr>
        <w:t>见大会</w:t>
      </w:r>
      <w:r w:rsidRPr="001E1D82">
        <w:rPr>
          <w:rStyle w:val="shorttext"/>
          <w:rFonts w:hint="eastAsia"/>
          <w:szCs w:val="18"/>
        </w:rPr>
        <w:t>2015</w:t>
      </w:r>
      <w:r w:rsidRPr="001E1D82">
        <w:rPr>
          <w:rStyle w:val="shorttext"/>
          <w:rFonts w:hint="eastAsia"/>
          <w:szCs w:val="18"/>
        </w:rPr>
        <w:t>年</w:t>
      </w:r>
      <w:r w:rsidRPr="001E1D82">
        <w:rPr>
          <w:rStyle w:val="shorttext"/>
          <w:rFonts w:hint="eastAsia"/>
          <w:szCs w:val="18"/>
        </w:rPr>
        <w:t>6</w:t>
      </w:r>
      <w:r w:rsidRPr="001E1D82">
        <w:rPr>
          <w:rStyle w:val="shorttext"/>
          <w:rFonts w:hint="eastAsia"/>
          <w:szCs w:val="18"/>
        </w:rPr>
        <w:t>月</w:t>
      </w:r>
      <w:r w:rsidRPr="001E1D82">
        <w:rPr>
          <w:rStyle w:val="shorttext"/>
          <w:rFonts w:hint="eastAsia"/>
          <w:szCs w:val="18"/>
        </w:rPr>
        <w:t>3</w:t>
      </w:r>
      <w:r w:rsidRPr="001E1D82">
        <w:rPr>
          <w:rStyle w:val="shorttext"/>
          <w:rFonts w:hint="eastAsia"/>
          <w:szCs w:val="18"/>
        </w:rPr>
        <w:t>日第</w:t>
      </w:r>
      <w:r w:rsidRPr="00A87A74">
        <w:rPr>
          <w:szCs w:val="18"/>
        </w:rPr>
        <w:t>69/283</w:t>
      </w:r>
      <w:r w:rsidRPr="00A87A74">
        <w:rPr>
          <w:rFonts w:hint="eastAsia"/>
          <w:szCs w:val="18"/>
        </w:rPr>
        <w:t>号决议中的《</w:t>
      </w:r>
      <w:r w:rsidRPr="001E1D82">
        <w:rPr>
          <w:rStyle w:val="shorttext"/>
          <w:rFonts w:hint="eastAsia"/>
          <w:szCs w:val="18"/>
        </w:rPr>
        <w:t>仙台宣言》，附件</w:t>
      </w:r>
      <w:r w:rsidRPr="00A87A74">
        <w:rPr>
          <w:szCs w:val="18"/>
        </w:rPr>
        <w:t>(</w:t>
      </w:r>
      <w:r w:rsidRPr="00A87A74">
        <w:rPr>
          <w:rFonts w:hint="eastAsia"/>
          <w:szCs w:val="18"/>
        </w:rPr>
        <w:t>脚注省略</w:t>
      </w:r>
      <w:r w:rsidRPr="00A87A74">
        <w:rPr>
          <w:szCs w:val="18"/>
        </w:rPr>
        <w:t>)</w:t>
      </w:r>
      <w:r w:rsidRPr="00A87A74">
        <w:rPr>
          <w:rFonts w:hint="eastAsia"/>
          <w:szCs w:val="18"/>
        </w:rPr>
        <w:t>。</w:t>
      </w:r>
    </w:p>
  </w:footnote>
  <w:footnote w:id="103">
    <w:p w:rsidR="00AB00DE" w:rsidRPr="00A87A74" w:rsidRDefault="00AB00DE" w:rsidP="00765E0D">
      <w:pPr>
        <w:pStyle w:val="a4"/>
        <w:widowControl w:val="0"/>
        <w:autoSpaceDE w:val="0"/>
        <w:autoSpaceDN w:val="0"/>
        <w:rPr>
          <w:szCs w:val="18"/>
        </w:rPr>
      </w:pPr>
      <w:r w:rsidRPr="00A87A74">
        <w:rPr>
          <w:rFonts w:hint="eastAsia"/>
          <w:szCs w:val="18"/>
        </w:rPr>
        <w:tab/>
      </w:r>
      <w:r w:rsidRPr="00DF5565">
        <w:rPr>
          <w:color w:val="0000FF"/>
          <w:sz w:val="21"/>
          <w:szCs w:val="18"/>
          <w:vertAlign w:val="superscript"/>
        </w:rPr>
        <w:footnoteRef/>
      </w:r>
      <w:r w:rsidRPr="00A87A74">
        <w:rPr>
          <w:rFonts w:hint="eastAsia"/>
          <w:szCs w:val="18"/>
        </w:rPr>
        <w:tab/>
      </w:r>
      <w:r w:rsidRPr="001E1D82">
        <w:rPr>
          <w:szCs w:val="18"/>
        </w:rPr>
        <w:t>见</w:t>
      </w:r>
      <w:r w:rsidRPr="00A87A74">
        <w:rPr>
          <w:szCs w:val="18"/>
        </w:rPr>
        <w:t>《仙台框架》</w:t>
      </w:r>
      <w:r w:rsidRPr="00A87A74">
        <w:rPr>
          <w:rFonts w:hint="eastAsia"/>
          <w:szCs w:val="18"/>
        </w:rPr>
        <w:t>，第</w:t>
      </w:r>
      <w:r w:rsidRPr="00A87A74">
        <w:rPr>
          <w:szCs w:val="18"/>
        </w:rPr>
        <w:t>5-6</w:t>
      </w:r>
      <w:r w:rsidRPr="00A87A74">
        <w:rPr>
          <w:rFonts w:hint="eastAsia"/>
          <w:szCs w:val="18"/>
        </w:rPr>
        <w:t>段。</w:t>
      </w:r>
    </w:p>
  </w:footnote>
  <w:footnote w:id="104">
    <w:p w:rsidR="00AB00DE" w:rsidRPr="00A87A74" w:rsidRDefault="00AB00DE" w:rsidP="00765E0D">
      <w:pPr>
        <w:pStyle w:val="a4"/>
        <w:widowControl w:val="0"/>
        <w:autoSpaceDE w:val="0"/>
        <w:autoSpaceDN w:val="0"/>
        <w:rPr>
          <w:szCs w:val="18"/>
        </w:rPr>
      </w:pPr>
      <w:r w:rsidRPr="00A87A74">
        <w:rPr>
          <w:rFonts w:hint="eastAsia"/>
          <w:szCs w:val="18"/>
        </w:rPr>
        <w:tab/>
      </w:r>
      <w:r w:rsidRPr="00DF5565">
        <w:rPr>
          <w:color w:val="0000FF"/>
          <w:sz w:val="21"/>
          <w:szCs w:val="18"/>
          <w:vertAlign w:val="superscript"/>
        </w:rPr>
        <w:footnoteRef/>
      </w:r>
      <w:r w:rsidRPr="00A87A74">
        <w:rPr>
          <w:rFonts w:hint="eastAsia"/>
          <w:szCs w:val="18"/>
        </w:rPr>
        <w:tab/>
      </w:r>
      <w:r w:rsidRPr="001E1D82">
        <w:rPr>
          <w:szCs w:val="18"/>
        </w:rPr>
        <w:t>见</w:t>
      </w:r>
      <w:r w:rsidRPr="00A87A74">
        <w:rPr>
          <w:szCs w:val="18"/>
        </w:rPr>
        <w:t>《仙台框架》</w:t>
      </w:r>
      <w:r w:rsidRPr="00A87A74">
        <w:rPr>
          <w:szCs w:val="18"/>
        </w:rPr>
        <w:t>(</w:t>
      </w:r>
      <w:r w:rsidRPr="00A87A74">
        <w:rPr>
          <w:rFonts w:hint="eastAsia"/>
          <w:szCs w:val="18"/>
        </w:rPr>
        <w:t>指导原则</w:t>
      </w:r>
      <w:r w:rsidRPr="00A87A74">
        <w:rPr>
          <w:szCs w:val="18"/>
        </w:rPr>
        <w:t>)</w:t>
      </w:r>
      <w:r w:rsidRPr="00A87A74">
        <w:rPr>
          <w:rFonts w:hint="eastAsia"/>
          <w:szCs w:val="18"/>
        </w:rPr>
        <w:t>，第</w:t>
      </w:r>
      <w:r w:rsidRPr="00A87A74">
        <w:rPr>
          <w:szCs w:val="18"/>
        </w:rPr>
        <w:t>19</w:t>
      </w:r>
      <w:r>
        <w:rPr>
          <w:rFonts w:hint="eastAsia"/>
          <w:szCs w:val="18"/>
        </w:rPr>
        <w:t xml:space="preserve"> </w:t>
      </w:r>
      <w:r w:rsidRPr="00A87A74">
        <w:rPr>
          <w:szCs w:val="18"/>
        </w:rPr>
        <w:t>(a)</w:t>
      </w:r>
      <w:r w:rsidRPr="00A87A74">
        <w:rPr>
          <w:rFonts w:hint="eastAsia"/>
          <w:szCs w:val="18"/>
        </w:rPr>
        <w:t>段。</w:t>
      </w:r>
    </w:p>
  </w:footnote>
  <w:footnote w:id="105">
    <w:p w:rsidR="00AB00DE" w:rsidRPr="00A87A74" w:rsidRDefault="00AB00DE" w:rsidP="00765E0D">
      <w:pPr>
        <w:pStyle w:val="a4"/>
        <w:widowControl w:val="0"/>
        <w:autoSpaceDE w:val="0"/>
        <w:autoSpaceDN w:val="0"/>
        <w:rPr>
          <w:szCs w:val="18"/>
        </w:rPr>
      </w:pPr>
      <w:r w:rsidRPr="00A87A74">
        <w:rPr>
          <w:rFonts w:hint="eastAsia"/>
          <w:szCs w:val="18"/>
        </w:rPr>
        <w:tab/>
      </w:r>
      <w:r w:rsidRPr="00DF5565">
        <w:rPr>
          <w:color w:val="0000FF"/>
          <w:sz w:val="21"/>
          <w:szCs w:val="18"/>
          <w:vertAlign w:val="superscript"/>
        </w:rPr>
        <w:footnoteRef/>
      </w:r>
      <w:r w:rsidRPr="00DF5565">
        <w:rPr>
          <w:rFonts w:hint="eastAsia"/>
          <w:color w:val="0000FF"/>
          <w:sz w:val="21"/>
          <w:szCs w:val="18"/>
          <w:vertAlign w:val="superscript"/>
        </w:rPr>
        <w:tab/>
      </w:r>
      <w:r w:rsidRPr="001E1D82">
        <w:rPr>
          <w:szCs w:val="18"/>
        </w:rPr>
        <w:t>见</w:t>
      </w:r>
      <w:r w:rsidRPr="00A87A74">
        <w:rPr>
          <w:szCs w:val="18"/>
        </w:rPr>
        <w:t>《仙台框架》</w:t>
      </w:r>
      <w:r w:rsidRPr="00A87A74">
        <w:rPr>
          <w:szCs w:val="18"/>
        </w:rPr>
        <w:t>(</w:t>
      </w:r>
      <w:r w:rsidRPr="00A87A74">
        <w:rPr>
          <w:rFonts w:hint="eastAsia"/>
          <w:szCs w:val="18"/>
        </w:rPr>
        <w:t>预期成果和目标</w:t>
      </w:r>
      <w:r w:rsidRPr="00A87A74">
        <w:rPr>
          <w:szCs w:val="18"/>
        </w:rPr>
        <w:t>)</w:t>
      </w:r>
      <w:r w:rsidRPr="00A87A74">
        <w:rPr>
          <w:rFonts w:hint="eastAsia"/>
          <w:szCs w:val="18"/>
        </w:rPr>
        <w:t>，第</w:t>
      </w:r>
      <w:r w:rsidRPr="00A87A74">
        <w:rPr>
          <w:szCs w:val="18"/>
        </w:rPr>
        <w:t>16</w:t>
      </w:r>
      <w:r w:rsidRPr="00A87A74">
        <w:rPr>
          <w:rFonts w:hint="eastAsia"/>
          <w:szCs w:val="18"/>
        </w:rPr>
        <w:t>段。</w:t>
      </w:r>
    </w:p>
  </w:footnote>
  <w:footnote w:id="106">
    <w:p w:rsidR="00AB00DE" w:rsidRPr="001E1D82" w:rsidRDefault="00AB00DE" w:rsidP="00765E0D">
      <w:pPr>
        <w:pStyle w:val="a4"/>
        <w:widowControl w:val="0"/>
        <w:autoSpaceDE w:val="0"/>
        <w:autoSpaceDN w:val="0"/>
        <w:rPr>
          <w:szCs w:val="18"/>
        </w:rPr>
      </w:pPr>
      <w:r w:rsidRPr="001E1D82">
        <w:rPr>
          <w:rFonts w:hint="eastAsia"/>
          <w:szCs w:val="18"/>
        </w:rPr>
        <w:tab/>
      </w:r>
      <w:r w:rsidRPr="00DF5565">
        <w:rPr>
          <w:color w:val="0000FF"/>
          <w:sz w:val="21"/>
          <w:szCs w:val="18"/>
          <w:vertAlign w:val="superscript"/>
        </w:rPr>
        <w:footnoteRef/>
      </w:r>
      <w:r w:rsidRPr="001E1D82">
        <w:rPr>
          <w:rFonts w:hint="eastAsia"/>
          <w:szCs w:val="18"/>
        </w:rPr>
        <w:tab/>
      </w:r>
      <w:r w:rsidRPr="001E1D82">
        <w:rPr>
          <w:rFonts w:hint="eastAsia"/>
          <w:szCs w:val="18"/>
        </w:rPr>
        <w:t>见</w:t>
      </w:r>
      <w:r w:rsidRPr="001E1D82">
        <w:rPr>
          <w:szCs w:val="18"/>
        </w:rPr>
        <w:t>《仙台框架》</w:t>
      </w:r>
      <w:r w:rsidRPr="001E1D82">
        <w:rPr>
          <w:rFonts w:hint="eastAsia"/>
          <w:szCs w:val="18"/>
        </w:rPr>
        <w:t>的目标，第</w:t>
      </w:r>
      <w:r w:rsidRPr="001E1D82">
        <w:rPr>
          <w:szCs w:val="18"/>
        </w:rPr>
        <w:t>17</w:t>
      </w:r>
      <w:r w:rsidRPr="001E1D82">
        <w:rPr>
          <w:rFonts w:hint="eastAsia"/>
          <w:szCs w:val="18"/>
        </w:rPr>
        <w:t>段。</w:t>
      </w:r>
    </w:p>
  </w:footnote>
  <w:footnote w:id="107">
    <w:p w:rsidR="00AB00DE" w:rsidRPr="000C77B3" w:rsidRDefault="00AB00DE" w:rsidP="00765E0D">
      <w:pPr>
        <w:pStyle w:val="a4"/>
        <w:widowControl w:val="0"/>
        <w:autoSpaceDE w:val="0"/>
        <w:autoSpaceDN w:val="0"/>
        <w:rPr>
          <w:rFonts w:hAnsi="Songti SC Regular"/>
        </w:rPr>
      </w:pPr>
      <w:r w:rsidRPr="000C77B3">
        <w:rPr>
          <w:rFonts w:hAnsi="Songti SC Regular"/>
        </w:rPr>
        <w:tab/>
      </w:r>
      <w:r w:rsidRPr="00DF5565">
        <w:rPr>
          <w:color w:val="0000FF"/>
          <w:sz w:val="21"/>
          <w:szCs w:val="21"/>
          <w:vertAlign w:val="superscript"/>
        </w:rPr>
        <w:footnoteRef/>
      </w:r>
      <w:r w:rsidRPr="00DF5565">
        <w:rPr>
          <w:rFonts w:hint="eastAsia"/>
          <w:color w:val="0000FF"/>
          <w:sz w:val="21"/>
          <w:szCs w:val="21"/>
          <w:vertAlign w:val="superscript"/>
        </w:rPr>
        <w:tab/>
      </w:r>
      <w:r w:rsidRPr="000C77B3">
        <w:rPr>
          <w:rFonts w:hAnsi="Songti SC Regular"/>
        </w:rPr>
        <w:t>厄内尔伊尔迪兹诉土耳其</w:t>
      </w:r>
      <w:r>
        <w:rPr>
          <w:rFonts w:hAnsi="Songti SC Regular" w:hint="eastAsia"/>
        </w:rPr>
        <w:t>案</w:t>
      </w:r>
      <w:r>
        <w:rPr>
          <w:iCs/>
        </w:rPr>
        <w:t>[</w:t>
      </w:r>
      <w:r w:rsidRPr="000C77B3">
        <w:rPr>
          <w:rFonts w:hAnsi="Songti SC Regular"/>
        </w:rPr>
        <w:t>大审判庭</w:t>
      </w:r>
      <w:r>
        <w:rPr>
          <w:iCs/>
        </w:rPr>
        <w:t>]</w:t>
      </w:r>
      <w:r>
        <w:rPr>
          <w:rFonts w:hAnsi="Songti SC Regular"/>
        </w:rPr>
        <w:t>，</w:t>
      </w:r>
      <w:r w:rsidRPr="000C77B3">
        <w:rPr>
          <w:rFonts w:hAnsi="Songti SC Regular"/>
        </w:rPr>
        <w:t>案件号</w:t>
      </w:r>
      <w:r w:rsidRPr="000C77B3">
        <w:rPr>
          <w:rFonts w:hAnsi="Songti SC Regular"/>
        </w:rPr>
        <w:t>4893</w:t>
      </w:r>
      <w:r>
        <w:rPr>
          <w:rFonts w:hAnsi="Songti SC Regular"/>
        </w:rPr>
        <w:t>9</w:t>
      </w:r>
      <w:r>
        <w:rPr>
          <w:rFonts w:hAnsi="Songti SC Regular" w:hint="eastAsia"/>
        </w:rPr>
        <w:t>/99</w:t>
      </w:r>
      <w:r>
        <w:rPr>
          <w:rFonts w:hAnsi="Songti SC Regular"/>
        </w:rPr>
        <w:t xml:space="preserve">, </w:t>
      </w:r>
      <w:r w:rsidRPr="00412CF5">
        <w:t>ECHR 2004-XII</w:t>
      </w:r>
      <w:r>
        <w:rPr>
          <w:rFonts w:hint="eastAsia"/>
        </w:rPr>
        <w:t>。</w:t>
      </w:r>
    </w:p>
  </w:footnote>
  <w:footnote w:id="108">
    <w:p w:rsidR="00AB00DE" w:rsidRPr="000C77B3" w:rsidRDefault="00AB00DE" w:rsidP="00765E0D">
      <w:pPr>
        <w:pStyle w:val="a4"/>
        <w:widowControl w:val="0"/>
        <w:autoSpaceDE w:val="0"/>
        <w:autoSpaceDN w:val="0"/>
        <w:rPr>
          <w:rFonts w:hAnsi="Songti SC Regular"/>
        </w:rPr>
      </w:pPr>
      <w:r w:rsidRPr="000C77B3">
        <w:rPr>
          <w:rFonts w:hAnsi="Songti SC Regular"/>
        </w:rPr>
        <w:tab/>
      </w:r>
      <w:r w:rsidRPr="00DF5565">
        <w:rPr>
          <w:color w:val="0000FF"/>
          <w:sz w:val="21"/>
          <w:szCs w:val="21"/>
          <w:vertAlign w:val="superscript"/>
        </w:rPr>
        <w:footnoteRef/>
      </w:r>
      <w:r w:rsidRPr="00DF5565">
        <w:rPr>
          <w:color w:val="0000FF"/>
          <w:sz w:val="21"/>
          <w:szCs w:val="21"/>
          <w:vertAlign w:val="superscript"/>
        </w:rPr>
        <w:tab/>
      </w:r>
      <w:r w:rsidRPr="00C46CB5">
        <w:rPr>
          <w:rFonts w:ascii="Time New Roman" w:eastAsia="楷体" w:hAnsi="Time New Roman"/>
        </w:rPr>
        <w:t>布达耶娃等人诉俄罗斯</w:t>
      </w:r>
      <w:r>
        <w:rPr>
          <w:rFonts w:hAnsi="Songti SC Regular"/>
        </w:rPr>
        <w:t>，</w:t>
      </w:r>
      <w:r w:rsidRPr="000C77B3">
        <w:rPr>
          <w:rFonts w:hAnsi="Songti SC Regular"/>
        </w:rPr>
        <w:t>案件号</w:t>
      </w:r>
      <w:r w:rsidRPr="000C77B3">
        <w:rPr>
          <w:rFonts w:hAnsi="Songti SC Regular"/>
        </w:rPr>
        <w:t>15339</w:t>
      </w:r>
      <w:r>
        <w:rPr>
          <w:rFonts w:hAnsi="Songti SC Regular"/>
        </w:rPr>
        <w:t>/</w:t>
      </w:r>
      <w:r w:rsidRPr="000C77B3">
        <w:rPr>
          <w:rFonts w:hAnsi="Songti SC Regular"/>
        </w:rPr>
        <w:t>02</w:t>
      </w:r>
      <w:r w:rsidRPr="000C77B3">
        <w:rPr>
          <w:rFonts w:hAnsi="Songti SC Regular"/>
        </w:rPr>
        <w:t>、</w:t>
      </w:r>
      <w:r w:rsidRPr="000C77B3">
        <w:rPr>
          <w:rFonts w:hAnsi="Songti SC Regular"/>
        </w:rPr>
        <w:t>21166</w:t>
      </w:r>
      <w:r>
        <w:rPr>
          <w:rFonts w:hAnsi="Songti SC Regular"/>
        </w:rPr>
        <w:t>/</w:t>
      </w:r>
      <w:r w:rsidRPr="000C77B3">
        <w:rPr>
          <w:rFonts w:hAnsi="Songti SC Regular"/>
        </w:rPr>
        <w:t>02</w:t>
      </w:r>
      <w:r w:rsidRPr="000C77B3">
        <w:rPr>
          <w:rFonts w:hAnsi="Songti SC Regular"/>
        </w:rPr>
        <w:t>、</w:t>
      </w:r>
      <w:r w:rsidRPr="000C77B3">
        <w:rPr>
          <w:rFonts w:hAnsi="Songti SC Regular"/>
        </w:rPr>
        <w:t>20058</w:t>
      </w:r>
      <w:r>
        <w:rPr>
          <w:rFonts w:hAnsi="Songti SC Regular"/>
        </w:rPr>
        <w:t>/</w:t>
      </w:r>
      <w:r w:rsidRPr="000C77B3">
        <w:rPr>
          <w:rFonts w:hAnsi="Songti SC Regular"/>
        </w:rPr>
        <w:t>02</w:t>
      </w:r>
      <w:r w:rsidRPr="000C77B3">
        <w:rPr>
          <w:rFonts w:hAnsi="Songti SC Regular"/>
        </w:rPr>
        <w:t>、</w:t>
      </w:r>
      <w:r w:rsidRPr="000C77B3">
        <w:rPr>
          <w:rFonts w:hAnsi="Songti SC Regular"/>
        </w:rPr>
        <w:t>11673</w:t>
      </w:r>
      <w:r>
        <w:rPr>
          <w:rFonts w:hAnsi="Songti SC Regular"/>
        </w:rPr>
        <w:t>/</w:t>
      </w:r>
      <w:r w:rsidRPr="000C77B3">
        <w:rPr>
          <w:rFonts w:hAnsi="Songti SC Regular"/>
        </w:rPr>
        <w:t>02</w:t>
      </w:r>
      <w:r w:rsidRPr="000C77B3">
        <w:rPr>
          <w:rFonts w:hAnsi="Songti SC Regular"/>
        </w:rPr>
        <w:t>和</w:t>
      </w:r>
      <w:r w:rsidRPr="000C77B3">
        <w:rPr>
          <w:rFonts w:hAnsi="Songti SC Regular"/>
        </w:rPr>
        <w:t>15343</w:t>
      </w:r>
      <w:r>
        <w:rPr>
          <w:rFonts w:hAnsi="Songti SC Regular"/>
        </w:rPr>
        <w:t>/</w:t>
      </w:r>
      <w:r w:rsidRPr="000C77B3">
        <w:rPr>
          <w:rFonts w:hAnsi="Songti SC Regular"/>
        </w:rPr>
        <w:t>0</w:t>
      </w:r>
      <w:r>
        <w:rPr>
          <w:rFonts w:hAnsi="Songti SC Regular"/>
        </w:rPr>
        <w:t>2,</w:t>
      </w:r>
      <w:r>
        <w:rPr>
          <w:rFonts w:hAnsi="Songti SC Regular" w:hint="eastAsia"/>
        </w:rPr>
        <w:t xml:space="preserve"> </w:t>
      </w:r>
      <w:r w:rsidRPr="00412CF5">
        <w:t>ECHR 2008-II</w:t>
      </w:r>
      <w:r>
        <w:rPr>
          <w:rFonts w:hint="eastAsia"/>
        </w:rPr>
        <w:t>。</w:t>
      </w:r>
    </w:p>
  </w:footnote>
  <w:footnote w:id="109">
    <w:p w:rsidR="00AB00DE" w:rsidRPr="00412CF5" w:rsidRDefault="00AB00DE" w:rsidP="00765E0D">
      <w:pPr>
        <w:pStyle w:val="a4"/>
        <w:widowControl w:val="0"/>
        <w:autoSpaceDE w:val="0"/>
        <w:autoSpaceDN w:val="0"/>
      </w:pPr>
      <w:r>
        <w:rPr>
          <w:rFonts w:hint="eastAsia"/>
        </w:rPr>
        <w:tab/>
      </w:r>
      <w:r w:rsidRPr="00DF5565">
        <w:rPr>
          <w:color w:val="0000FF"/>
          <w:sz w:val="21"/>
          <w:szCs w:val="21"/>
          <w:vertAlign w:val="superscript"/>
        </w:rPr>
        <w:footnoteRef/>
      </w:r>
      <w:r>
        <w:rPr>
          <w:rFonts w:hint="eastAsia"/>
        </w:rPr>
        <w:tab/>
      </w:r>
      <w:r w:rsidRPr="00412CF5">
        <w:t>2015</w:t>
      </w:r>
      <w:r>
        <w:t>年</w:t>
      </w:r>
      <w:r>
        <w:rPr>
          <w:rFonts w:hint="eastAsia"/>
        </w:rPr>
        <w:t>11</w:t>
      </w:r>
      <w:r>
        <w:rPr>
          <w:rFonts w:hint="eastAsia"/>
        </w:rPr>
        <w:t>月</w:t>
      </w:r>
      <w:r>
        <w:rPr>
          <w:rFonts w:hint="eastAsia"/>
        </w:rPr>
        <w:t>30</w:t>
      </w:r>
      <w:r>
        <w:rPr>
          <w:rFonts w:hint="eastAsia"/>
        </w:rPr>
        <w:t>日至</w:t>
      </w:r>
      <w:r>
        <w:t>12</w:t>
      </w:r>
      <w:r>
        <w:t>月</w:t>
      </w:r>
      <w:r w:rsidRPr="00412CF5">
        <w:t>13</w:t>
      </w:r>
      <w:r>
        <w:t>日</w:t>
      </w:r>
      <w:r>
        <w:rPr>
          <w:rFonts w:hint="eastAsia"/>
        </w:rPr>
        <w:t>在巴黎举行的第二十一届缔约方会议的报告增编：缔约方会议通过的决定</w:t>
      </w:r>
      <w:r w:rsidRPr="00C84DAC">
        <w:rPr>
          <w:rFonts w:asciiTheme="majorBidi" w:hAnsiTheme="majorBidi" w:cstheme="majorBidi"/>
        </w:rPr>
        <w:t>(</w:t>
      </w:r>
      <w:hyperlink r:id="rId4" w:history="1">
        <w:r w:rsidRPr="00C84DAC">
          <w:rPr>
            <w:rFonts w:asciiTheme="majorBidi" w:hAnsiTheme="majorBidi" w:cstheme="majorBidi"/>
          </w:rPr>
          <w:t>FCCC/CP/2015/10/Add.1</w:t>
        </w:r>
      </w:hyperlink>
      <w:r w:rsidRPr="00C84DAC">
        <w:rPr>
          <w:rFonts w:asciiTheme="majorBidi" w:hAnsiTheme="majorBidi" w:cstheme="majorBidi"/>
        </w:rPr>
        <w:t>)</w:t>
      </w:r>
      <w:r w:rsidRPr="00C84DAC">
        <w:rPr>
          <w:rFonts w:asciiTheme="majorBidi" w:hAnsiTheme="majorBidi" w:cstheme="majorBidi"/>
        </w:rPr>
        <w:t>，第</w:t>
      </w:r>
      <w:r w:rsidRPr="00C84DAC">
        <w:rPr>
          <w:rFonts w:asciiTheme="majorBidi" w:hAnsiTheme="majorBidi" w:cstheme="majorBidi"/>
        </w:rPr>
        <w:t>1/</w:t>
      </w:r>
      <w:r w:rsidRPr="00412CF5">
        <w:t>CP.2</w:t>
      </w:r>
      <w:r>
        <w:t>1</w:t>
      </w:r>
      <w:r>
        <w:rPr>
          <w:rFonts w:hint="eastAsia"/>
        </w:rPr>
        <w:t>号决定，</w:t>
      </w:r>
      <w:r>
        <w:t>附件</w:t>
      </w:r>
      <w:r>
        <w:rPr>
          <w:rFonts w:hint="eastAsia"/>
        </w:rPr>
        <w:t>。</w:t>
      </w:r>
    </w:p>
  </w:footnote>
  <w:footnote w:id="110">
    <w:p w:rsidR="00AB00DE" w:rsidRPr="00412CF5" w:rsidRDefault="00AB00DE" w:rsidP="00765E0D">
      <w:pPr>
        <w:pStyle w:val="a4"/>
        <w:widowControl w:val="0"/>
        <w:autoSpaceDE w:val="0"/>
        <w:autoSpaceDN w:val="0"/>
      </w:pPr>
      <w:r>
        <w:rPr>
          <w:rFonts w:hint="eastAsia"/>
        </w:rPr>
        <w:tab/>
      </w:r>
      <w:r w:rsidRPr="00DF5565">
        <w:rPr>
          <w:color w:val="0000FF"/>
          <w:sz w:val="21"/>
          <w:szCs w:val="21"/>
          <w:vertAlign w:val="superscript"/>
        </w:rPr>
        <w:footnoteRef/>
      </w:r>
      <w:r w:rsidRPr="00DF5565">
        <w:rPr>
          <w:rFonts w:hint="eastAsia"/>
          <w:color w:val="0000FF"/>
          <w:sz w:val="21"/>
          <w:szCs w:val="21"/>
          <w:vertAlign w:val="superscript"/>
        </w:rPr>
        <w:tab/>
      </w:r>
      <w:r>
        <w:t>大会</w:t>
      </w:r>
      <w:r w:rsidRPr="00412CF5">
        <w:t>2015</w:t>
      </w:r>
      <w:r>
        <w:rPr>
          <w:rFonts w:hint="eastAsia"/>
        </w:rPr>
        <w:t>年</w:t>
      </w:r>
      <w:r>
        <w:rPr>
          <w:rFonts w:hint="eastAsia"/>
        </w:rPr>
        <w:t>9</w:t>
      </w:r>
      <w:r>
        <w:rPr>
          <w:rFonts w:hint="eastAsia"/>
        </w:rPr>
        <w:t>月</w:t>
      </w:r>
      <w:r>
        <w:rPr>
          <w:rFonts w:hint="eastAsia"/>
        </w:rPr>
        <w:t>25</w:t>
      </w:r>
      <w:r>
        <w:rPr>
          <w:rFonts w:hint="eastAsia"/>
        </w:rPr>
        <w:t>日</w:t>
      </w:r>
      <w:r>
        <w:t>第</w:t>
      </w:r>
      <w:r w:rsidRPr="00412CF5">
        <w:t>70</w:t>
      </w:r>
      <w:r>
        <w:t>/</w:t>
      </w:r>
      <w:r w:rsidRPr="00412CF5">
        <w:t>1</w:t>
      </w:r>
      <w:r>
        <w:t>号决议</w:t>
      </w:r>
      <w:r>
        <w:rPr>
          <w:rFonts w:hint="eastAsia"/>
        </w:rPr>
        <w:t>。</w:t>
      </w:r>
    </w:p>
  </w:footnote>
  <w:footnote w:id="111">
    <w:p w:rsidR="00AB00DE" w:rsidRPr="00412CF5" w:rsidRDefault="00AB00DE" w:rsidP="000056CD">
      <w:pPr>
        <w:pStyle w:val="a4"/>
        <w:widowControl w:val="0"/>
        <w:autoSpaceDE w:val="0"/>
        <w:autoSpaceDN w:val="0"/>
        <w:spacing w:after="100" w:line="220" w:lineRule="exact"/>
      </w:pPr>
      <w:r>
        <w:rPr>
          <w:rFonts w:hint="eastAsia"/>
        </w:rPr>
        <w:tab/>
      </w:r>
      <w:r w:rsidRPr="00DF5565">
        <w:rPr>
          <w:color w:val="0000FF"/>
          <w:sz w:val="21"/>
          <w:szCs w:val="21"/>
          <w:vertAlign w:val="superscript"/>
        </w:rPr>
        <w:footnoteRef/>
      </w:r>
      <w:r>
        <w:rPr>
          <w:rFonts w:hint="eastAsia"/>
        </w:rPr>
        <w:tab/>
      </w:r>
      <w:r>
        <w:t>大会</w:t>
      </w:r>
      <w:r w:rsidRPr="00412CF5">
        <w:t>2015</w:t>
      </w:r>
      <w:r>
        <w:t>年</w:t>
      </w:r>
      <w:r>
        <w:t>7</w:t>
      </w:r>
      <w:r>
        <w:t>月</w:t>
      </w:r>
      <w:r w:rsidRPr="00412CF5">
        <w:t>27</w:t>
      </w:r>
      <w:r>
        <w:t>日</w:t>
      </w:r>
      <w:r>
        <w:rPr>
          <w:rFonts w:hint="eastAsia"/>
        </w:rPr>
        <w:t>第</w:t>
      </w:r>
      <w:r w:rsidRPr="00412CF5">
        <w:t>69</w:t>
      </w:r>
      <w:r>
        <w:t>/</w:t>
      </w:r>
      <w:r w:rsidRPr="00412CF5">
        <w:t>313</w:t>
      </w:r>
      <w:r>
        <w:t>号决议</w:t>
      </w:r>
      <w:r>
        <w:rPr>
          <w:rFonts w:hint="eastAsia"/>
        </w:rPr>
        <w:t>，</w:t>
      </w:r>
      <w:r>
        <w:t>附件</w:t>
      </w:r>
      <w:r>
        <w:rPr>
          <w:rFonts w:hint="eastAsia"/>
        </w:rPr>
        <w:t>。</w:t>
      </w:r>
    </w:p>
  </w:footnote>
  <w:footnote w:id="112">
    <w:p w:rsidR="00AB00DE" w:rsidRPr="00412CF5" w:rsidRDefault="00AB00DE" w:rsidP="000056CD">
      <w:pPr>
        <w:pStyle w:val="a4"/>
        <w:widowControl w:val="0"/>
        <w:autoSpaceDE w:val="0"/>
        <w:autoSpaceDN w:val="0"/>
        <w:spacing w:after="100" w:line="220" w:lineRule="exact"/>
      </w:pPr>
      <w:r>
        <w:rPr>
          <w:rFonts w:hint="eastAsia"/>
        </w:rPr>
        <w:tab/>
      </w:r>
      <w:r w:rsidRPr="00DF5565">
        <w:rPr>
          <w:color w:val="0000FF"/>
          <w:sz w:val="21"/>
          <w:szCs w:val="21"/>
          <w:vertAlign w:val="superscript"/>
        </w:rPr>
        <w:footnoteRef/>
      </w:r>
      <w:r w:rsidRPr="00DF5565">
        <w:rPr>
          <w:rFonts w:hint="eastAsia"/>
          <w:color w:val="0000FF"/>
          <w:sz w:val="21"/>
          <w:szCs w:val="21"/>
          <w:vertAlign w:val="superscript"/>
        </w:rPr>
        <w:tab/>
      </w:r>
      <w:r>
        <w:t>大会</w:t>
      </w:r>
      <w:r w:rsidRPr="00412CF5">
        <w:t>2014</w:t>
      </w:r>
      <w:r>
        <w:t>年</w:t>
      </w:r>
      <w:r>
        <w:t>11</w:t>
      </w:r>
      <w:r>
        <w:t>月</w:t>
      </w:r>
      <w:r w:rsidRPr="00412CF5">
        <w:t>14</w:t>
      </w:r>
      <w:r>
        <w:t>日第</w:t>
      </w:r>
      <w:r>
        <w:t>69/15</w:t>
      </w:r>
      <w:r>
        <w:t>号决议</w:t>
      </w:r>
      <w:r>
        <w:rPr>
          <w:rFonts w:hint="eastAsia"/>
        </w:rPr>
        <w:t>，</w:t>
      </w:r>
      <w:r>
        <w:t>附件</w:t>
      </w:r>
      <w:r>
        <w:rPr>
          <w:rFonts w:hint="eastAsia"/>
        </w:rPr>
        <w:t>。</w:t>
      </w:r>
    </w:p>
  </w:footnote>
  <w:footnote w:id="113">
    <w:p w:rsidR="00AB00DE" w:rsidRPr="000C77B3" w:rsidRDefault="00AB00DE" w:rsidP="000056CD">
      <w:pPr>
        <w:pStyle w:val="a4"/>
        <w:widowControl w:val="0"/>
        <w:autoSpaceDE w:val="0"/>
        <w:autoSpaceDN w:val="0"/>
        <w:spacing w:after="100" w:line="220" w:lineRule="exact"/>
        <w:rPr>
          <w:rFonts w:hAnsi="Songti SC Regular"/>
        </w:rPr>
      </w:pPr>
      <w:r w:rsidRPr="000C77B3">
        <w:rPr>
          <w:rFonts w:hAnsi="Songti SC Regular"/>
        </w:rPr>
        <w:tab/>
      </w:r>
      <w:r w:rsidRPr="00DF5565">
        <w:rPr>
          <w:color w:val="0000FF"/>
          <w:sz w:val="21"/>
          <w:szCs w:val="21"/>
          <w:vertAlign w:val="superscript"/>
        </w:rPr>
        <w:footnoteRef/>
      </w:r>
      <w:r w:rsidRPr="00DF5565">
        <w:rPr>
          <w:color w:val="0000FF"/>
          <w:sz w:val="21"/>
          <w:szCs w:val="21"/>
          <w:vertAlign w:val="superscript"/>
        </w:rPr>
        <w:tab/>
      </w:r>
      <w:r w:rsidRPr="00F9249E">
        <w:rPr>
          <w:rFonts w:hAnsi="Songti SC Regular" w:hint="eastAsia"/>
          <w:spacing w:val="-4"/>
        </w:rPr>
        <w:t>《东盟</w:t>
      </w:r>
      <w:r w:rsidRPr="00F9249E">
        <w:rPr>
          <w:rFonts w:hAnsi="Songti SC Regular"/>
          <w:spacing w:val="-4"/>
        </w:rPr>
        <w:t>协定</w:t>
      </w:r>
      <w:r w:rsidRPr="00F9249E">
        <w:rPr>
          <w:rFonts w:hAnsi="Songti SC Regular" w:hint="eastAsia"/>
          <w:spacing w:val="-4"/>
        </w:rPr>
        <w:t>》</w:t>
      </w:r>
      <w:r w:rsidRPr="00F9249E">
        <w:rPr>
          <w:rFonts w:hAnsi="Songti SC Regular"/>
          <w:spacing w:val="-4"/>
        </w:rPr>
        <w:t>是在《兵库行动框架》获得通过之后制订的第一个关于减少灾害风险的国际条约</w:t>
      </w:r>
      <w:r w:rsidRPr="000C77B3">
        <w:rPr>
          <w:rFonts w:hAnsi="Songti SC Regular"/>
        </w:rPr>
        <w:t>。</w:t>
      </w:r>
    </w:p>
  </w:footnote>
  <w:footnote w:id="114">
    <w:p w:rsidR="00AB00DE" w:rsidRPr="00102B50" w:rsidRDefault="00AB00DE" w:rsidP="000056CD">
      <w:pPr>
        <w:pStyle w:val="a4"/>
        <w:widowControl w:val="0"/>
        <w:autoSpaceDE w:val="0"/>
        <w:autoSpaceDN w:val="0"/>
        <w:spacing w:after="100" w:line="220" w:lineRule="exact"/>
      </w:pPr>
      <w:r>
        <w:rPr>
          <w:rFonts w:hint="eastAsia"/>
        </w:rPr>
        <w:tab/>
      </w:r>
      <w:r w:rsidRPr="00DF5565">
        <w:rPr>
          <w:color w:val="0000FF"/>
          <w:sz w:val="21"/>
          <w:szCs w:val="21"/>
          <w:vertAlign w:val="superscript"/>
        </w:rPr>
        <w:footnoteRef/>
      </w:r>
      <w:r w:rsidRPr="00DF5565">
        <w:rPr>
          <w:rFonts w:hint="eastAsia"/>
          <w:color w:val="0000FF"/>
          <w:sz w:val="21"/>
          <w:szCs w:val="21"/>
          <w:vertAlign w:val="superscript"/>
        </w:rPr>
        <w:tab/>
      </w:r>
      <w:r w:rsidRPr="005C3607">
        <w:t>2005</w:t>
      </w:r>
      <w:r w:rsidRPr="005C3607">
        <w:t>年</w:t>
      </w:r>
      <w:r w:rsidRPr="005C3607">
        <w:t>9</w:t>
      </w:r>
      <w:r w:rsidRPr="005C3607">
        <w:t>月</w:t>
      </w:r>
      <w:r w:rsidRPr="005C3607">
        <w:rPr>
          <w:rFonts w:hint="eastAsia"/>
        </w:rPr>
        <w:t>27</w:t>
      </w:r>
      <w:r w:rsidRPr="005C3607">
        <w:rPr>
          <w:rFonts w:hint="eastAsia"/>
        </w:rPr>
        <w:t>日至</w:t>
      </w:r>
      <w:r w:rsidRPr="005C3607">
        <w:t>29</w:t>
      </w:r>
      <w:r w:rsidRPr="005C3607">
        <w:t>日</w:t>
      </w:r>
      <w:r w:rsidRPr="005C3607">
        <w:rPr>
          <w:rStyle w:val="shorttext"/>
          <w:rFonts w:hint="eastAsia"/>
        </w:rPr>
        <w:t>在北京</w:t>
      </w:r>
      <w:r w:rsidRPr="00102B50">
        <w:rPr>
          <w:rStyle w:val="shorttext"/>
          <w:rFonts w:hint="eastAsia"/>
        </w:rPr>
        <w:t>举行的亚洲减少灾害风险会议通过</w:t>
      </w:r>
      <w:r w:rsidRPr="003A322D">
        <w:rPr>
          <w:rFonts w:hint="eastAsia"/>
        </w:rPr>
        <w:t>，</w:t>
      </w:r>
      <w:r w:rsidRPr="00102B50">
        <w:t>可查阅</w:t>
      </w:r>
      <w:hyperlink r:id="rId5" w:history="1">
        <w:r w:rsidRPr="003A322D">
          <w:t>http://nidm.gov.in/</w:t>
        </w:r>
        <w:r w:rsidRPr="003A322D">
          <w:rPr>
            <w:rFonts w:hint="eastAsia"/>
          </w:rPr>
          <w:t xml:space="preserve"> </w:t>
        </w:r>
        <w:r w:rsidRPr="003A322D">
          <w:t>amcdrr/beijing.pdf</w:t>
        </w:r>
      </w:hyperlink>
      <w:r w:rsidRPr="00102B50">
        <w:t xml:space="preserve"> (2016</w:t>
      </w:r>
      <w:r w:rsidRPr="00102B50">
        <w:t>年</w:t>
      </w:r>
      <w:r w:rsidRPr="00102B50">
        <w:t>7</w:t>
      </w:r>
      <w:r w:rsidRPr="00102B50">
        <w:t>月</w:t>
      </w:r>
      <w:r w:rsidRPr="00102B50">
        <w:t>4</w:t>
      </w:r>
      <w:r w:rsidRPr="00102B50">
        <w:t>日上传</w:t>
      </w:r>
      <w:r w:rsidRPr="00102B50">
        <w:t>)</w:t>
      </w:r>
      <w:r w:rsidRPr="00102B50">
        <w:rPr>
          <w:rFonts w:hint="eastAsia"/>
        </w:rPr>
        <w:t>。</w:t>
      </w:r>
    </w:p>
  </w:footnote>
  <w:footnote w:id="115">
    <w:p w:rsidR="00AB00DE" w:rsidRPr="00102B50" w:rsidRDefault="00AB00DE" w:rsidP="000056CD">
      <w:pPr>
        <w:pStyle w:val="a4"/>
        <w:widowControl w:val="0"/>
        <w:autoSpaceDE w:val="0"/>
        <w:autoSpaceDN w:val="0"/>
        <w:spacing w:after="100" w:line="220" w:lineRule="exact"/>
      </w:pPr>
      <w:r>
        <w:rPr>
          <w:rFonts w:hint="eastAsia"/>
        </w:rPr>
        <w:tab/>
      </w:r>
      <w:r w:rsidRPr="00DF5565">
        <w:rPr>
          <w:color w:val="0000FF"/>
          <w:sz w:val="21"/>
          <w:szCs w:val="21"/>
          <w:vertAlign w:val="superscript"/>
        </w:rPr>
        <w:footnoteRef/>
      </w:r>
      <w:r w:rsidRPr="00102B50">
        <w:rPr>
          <w:rFonts w:hint="eastAsia"/>
        </w:rPr>
        <w:tab/>
      </w:r>
      <w:r w:rsidRPr="00A84F46">
        <w:rPr>
          <w:spacing w:val="-6"/>
        </w:rPr>
        <w:t>2007</w:t>
      </w:r>
      <w:r w:rsidRPr="00A84F46">
        <w:rPr>
          <w:spacing w:val="-6"/>
        </w:rPr>
        <w:t>年</w:t>
      </w:r>
      <w:r w:rsidRPr="00A84F46">
        <w:rPr>
          <w:spacing w:val="-6"/>
        </w:rPr>
        <w:t>11</w:t>
      </w:r>
      <w:r w:rsidRPr="00A84F46">
        <w:rPr>
          <w:spacing w:val="-6"/>
        </w:rPr>
        <w:t>月</w:t>
      </w:r>
      <w:r w:rsidRPr="00A84F46">
        <w:rPr>
          <w:spacing w:val="-6"/>
        </w:rPr>
        <w:t>7</w:t>
      </w:r>
      <w:r w:rsidRPr="00A84F46">
        <w:rPr>
          <w:rFonts w:hint="eastAsia"/>
          <w:spacing w:val="-6"/>
        </w:rPr>
        <w:t>日和</w:t>
      </w:r>
      <w:r w:rsidRPr="00A84F46">
        <w:rPr>
          <w:spacing w:val="-6"/>
        </w:rPr>
        <w:t>8</w:t>
      </w:r>
      <w:r w:rsidRPr="00A84F46">
        <w:rPr>
          <w:spacing w:val="-6"/>
        </w:rPr>
        <w:t>日</w:t>
      </w:r>
      <w:r w:rsidRPr="00A84F46">
        <w:rPr>
          <w:rStyle w:val="shorttext"/>
          <w:rFonts w:hint="eastAsia"/>
          <w:spacing w:val="-6"/>
        </w:rPr>
        <w:t>在新德里举行的第二届亚洲部长级</w:t>
      </w:r>
      <w:r w:rsidRPr="00A84F46">
        <w:rPr>
          <w:rFonts w:hint="eastAsia"/>
          <w:spacing w:val="-6"/>
        </w:rPr>
        <w:t>减灾会议通过，</w:t>
      </w:r>
      <w:r w:rsidRPr="00A84F46">
        <w:rPr>
          <w:spacing w:val="-6"/>
        </w:rPr>
        <w:t>可查阅</w:t>
      </w:r>
      <w:r w:rsidRPr="00A84F46">
        <w:t>http://nidm.gov.in/</w:t>
      </w:r>
      <w:r w:rsidRPr="00A84F46">
        <w:rPr>
          <w:rFonts w:hint="eastAsia"/>
        </w:rPr>
        <w:t xml:space="preserve"> </w:t>
      </w:r>
      <w:r w:rsidRPr="00A84F46">
        <w:t>amcdrr/declaration.asp</w:t>
      </w:r>
      <w:r w:rsidRPr="00102B50">
        <w:t xml:space="preserve"> (2016</w:t>
      </w:r>
      <w:r w:rsidRPr="00102B50">
        <w:t>年</w:t>
      </w:r>
      <w:r w:rsidRPr="00102B50">
        <w:t>7</w:t>
      </w:r>
      <w:r w:rsidRPr="00102B50">
        <w:t>月</w:t>
      </w:r>
      <w:r w:rsidRPr="00102B50">
        <w:t>4</w:t>
      </w:r>
      <w:r w:rsidRPr="00102B50">
        <w:t>日上传</w:t>
      </w:r>
      <w:r w:rsidRPr="00102B50">
        <w:t>)</w:t>
      </w:r>
      <w:r w:rsidRPr="00102B50">
        <w:rPr>
          <w:rFonts w:hint="eastAsia"/>
        </w:rPr>
        <w:t>。</w:t>
      </w:r>
    </w:p>
  </w:footnote>
  <w:footnote w:id="116">
    <w:p w:rsidR="00AB00DE" w:rsidRPr="00102B50" w:rsidRDefault="00AB00DE" w:rsidP="000056CD">
      <w:pPr>
        <w:pStyle w:val="a4"/>
        <w:widowControl w:val="0"/>
        <w:autoSpaceDE w:val="0"/>
        <w:autoSpaceDN w:val="0"/>
        <w:spacing w:after="100" w:line="220" w:lineRule="exact"/>
      </w:pPr>
      <w:r w:rsidRPr="00102B50">
        <w:rPr>
          <w:rFonts w:hint="eastAsia"/>
        </w:rPr>
        <w:tab/>
      </w:r>
      <w:r w:rsidRPr="00DF5565">
        <w:rPr>
          <w:rStyle w:val="a5"/>
          <w:szCs w:val="16"/>
        </w:rPr>
        <w:footnoteRef/>
      </w:r>
      <w:r>
        <w:rPr>
          <w:rFonts w:hint="eastAsia"/>
        </w:rPr>
        <w:tab/>
      </w:r>
      <w:r w:rsidRPr="00102B50">
        <w:rPr>
          <w:spacing w:val="-4"/>
        </w:rPr>
        <w:t>2008</w:t>
      </w:r>
      <w:r w:rsidRPr="00102B50">
        <w:rPr>
          <w:spacing w:val="-4"/>
        </w:rPr>
        <w:t>年</w:t>
      </w:r>
      <w:r w:rsidRPr="00102B50">
        <w:rPr>
          <w:spacing w:val="-4"/>
        </w:rPr>
        <w:t>12</w:t>
      </w:r>
      <w:r w:rsidRPr="00102B50">
        <w:rPr>
          <w:spacing w:val="-4"/>
        </w:rPr>
        <w:t>月</w:t>
      </w:r>
      <w:r w:rsidRPr="00102B50">
        <w:rPr>
          <w:rFonts w:hint="eastAsia"/>
          <w:spacing w:val="-4"/>
        </w:rPr>
        <w:t>2</w:t>
      </w:r>
      <w:r w:rsidRPr="00102B50">
        <w:rPr>
          <w:rFonts w:hint="eastAsia"/>
          <w:spacing w:val="-4"/>
        </w:rPr>
        <w:t>日至</w:t>
      </w:r>
      <w:r w:rsidRPr="00102B50">
        <w:rPr>
          <w:spacing w:val="-4"/>
        </w:rPr>
        <w:t>4</w:t>
      </w:r>
      <w:r w:rsidRPr="00102B50">
        <w:rPr>
          <w:spacing w:val="-4"/>
        </w:rPr>
        <w:t>日</w:t>
      </w:r>
      <w:r w:rsidRPr="00102B50">
        <w:rPr>
          <w:rStyle w:val="shorttext"/>
          <w:rFonts w:hint="eastAsia"/>
          <w:spacing w:val="-4"/>
        </w:rPr>
        <w:t>在吉隆坡举行的第三届亚洲</w:t>
      </w:r>
      <w:r w:rsidRPr="003A322D">
        <w:rPr>
          <w:rFonts w:hint="eastAsia"/>
        </w:rPr>
        <w:t>部长级减灾会议通过，</w:t>
      </w:r>
      <w:r w:rsidRPr="003A322D">
        <w:t>可查阅</w:t>
      </w:r>
      <w:hyperlink r:id="rId6" w:history="1">
        <w:r w:rsidRPr="003A322D">
          <w:t>www.preventionweb.net/files/3089_KL12larationonDisasterRiskReductioninAsia202008.pdf</w:t>
        </w:r>
      </w:hyperlink>
      <w:r w:rsidRPr="00D141DE">
        <w:rPr>
          <w:rFonts w:hint="eastAsia"/>
          <w:sz w:val="10"/>
          <w:szCs w:val="10"/>
        </w:rPr>
        <w:t xml:space="preserve"> </w:t>
      </w:r>
      <w:r w:rsidRPr="003A322D">
        <w:t>(2016</w:t>
      </w:r>
      <w:r w:rsidRPr="003A322D">
        <w:t>年</w:t>
      </w:r>
      <w:r w:rsidRPr="003A322D">
        <w:t>7</w:t>
      </w:r>
      <w:r w:rsidRPr="003A322D">
        <w:t>月</w:t>
      </w:r>
      <w:r w:rsidRPr="003A322D">
        <w:t>4</w:t>
      </w:r>
      <w:r w:rsidRPr="003A322D">
        <w:t>日上传</w:t>
      </w:r>
      <w:r w:rsidRPr="003A322D">
        <w:t>)</w:t>
      </w:r>
      <w:r w:rsidRPr="003A322D">
        <w:rPr>
          <w:rFonts w:hint="eastAsia"/>
        </w:rPr>
        <w:t>。</w:t>
      </w:r>
    </w:p>
  </w:footnote>
  <w:footnote w:id="117">
    <w:p w:rsidR="00AB00DE" w:rsidRPr="00102B50" w:rsidRDefault="00AB00DE" w:rsidP="000056CD">
      <w:pPr>
        <w:pStyle w:val="a4"/>
        <w:widowControl w:val="0"/>
        <w:autoSpaceDE w:val="0"/>
        <w:autoSpaceDN w:val="0"/>
        <w:spacing w:after="100" w:line="220" w:lineRule="exact"/>
      </w:pPr>
      <w:r>
        <w:rPr>
          <w:rFonts w:hint="eastAsia"/>
        </w:rPr>
        <w:tab/>
      </w:r>
      <w:r w:rsidRPr="00DF5565">
        <w:rPr>
          <w:color w:val="0000FF"/>
          <w:sz w:val="21"/>
          <w:szCs w:val="21"/>
          <w:vertAlign w:val="superscript"/>
        </w:rPr>
        <w:footnoteRef/>
      </w:r>
      <w:r>
        <w:rPr>
          <w:rFonts w:hint="eastAsia"/>
        </w:rPr>
        <w:tab/>
      </w:r>
      <w:r w:rsidRPr="00102B50">
        <w:rPr>
          <w:rFonts w:hint="eastAsia"/>
        </w:rPr>
        <w:t>可查阅</w:t>
      </w:r>
      <w:hyperlink r:id="rId7" w:history="1">
        <w:r w:rsidRPr="003A322D">
          <w:t>www.pre</w:t>
        </w:r>
        <w:r w:rsidRPr="00C84DAC">
          <w:rPr>
            <w:rFonts w:asciiTheme="majorBidi" w:hAnsiTheme="majorBidi" w:cstheme="majorBidi"/>
          </w:rPr>
          <w:t>ventionweb.net/files/16327_finalincheon</w:t>
        </w:r>
        <w:r w:rsidRPr="003A322D">
          <w:t>declaration1028.pdf</w:t>
        </w:r>
      </w:hyperlink>
      <w:r w:rsidRPr="001C3B07">
        <w:rPr>
          <w:rFonts w:hint="eastAsia"/>
          <w:sz w:val="10"/>
          <w:szCs w:val="10"/>
        </w:rPr>
        <w:t xml:space="preserve"> </w:t>
      </w:r>
      <w:r w:rsidRPr="00102B50">
        <w:t>(2016</w:t>
      </w:r>
      <w:r w:rsidRPr="00102B50">
        <w:t>年</w:t>
      </w:r>
      <w:r w:rsidRPr="00102B50">
        <w:t>7</w:t>
      </w:r>
      <w:r w:rsidRPr="00102B50">
        <w:t>月</w:t>
      </w:r>
      <w:r w:rsidRPr="00102B50">
        <w:t>4</w:t>
      </w:r>
      <w:r w:rsidRPr="00102B50">
        <w:t>日上传</w:t>
      </w:r>
      <w:r w:rsidRPr="00102B50">
        <w:t>)</w:t>
      </w:r>
      <w:r w:rsidRPr="00102B50">
        <w:rPr>
          <w:rFonts w:hint="eastAsia"/>
        </w:rPr>
        <w:t>。</w:t>
      </w:r>
    </w:p>
  </w:footnote>
  <w:footnote w:id="118">
    <w:p w:rsidR="00AB00DE" w:rsidRPr="00102B50" w:rsidRDefault="00AB00DE" w:rsidP="000056CD">
      <w:pPr>
        <w:pStyle w:val="a4"/>
        <w:widowControl w:val="0"/>
        <w:autoSpaceDE w:val="0"/>
        <w:autoSpaceDN w:val="0"/>
        <w:spacing w:after="100" w:line="220" w:lineRule="exact"/>
      </w:pPr>
      <w:r>
        <w:rPr>
          <w:rFonts w:hint="eastAsia"/>
        </w:rPr>
        <w:tab/>
      </w:r>
      <w:r w:rsidRPr="00DF5565">
        <w:rPr>
          <w:rStyle w:val="a5"/>
          <w:szCs w:val="16"/>
        </w:rPr>
        <w:footnoteRef/>
      </w:r>
      <w:r w:rsidRPr="00102B50">
        <w:rPr>
          <w:rFonts w:hint="eastAsia"/>
        </w:rPr>
        <w:tab/>
      </w:r>
      <w:r w:rsidRPr="00102B50">
        <w:rPr>
          <w:rFonts w:hint="eastAsia"/>
        </w:rPr>
        <w:t>见</w:t>
      </w:r>
      <w:r w:rsidRPr="00102B50">
        <w:t>www.unisdr.org/files/20382_summaryof4hamcdrr.pdf (2016</w:t>
      </w:r>
      <w:r w:rsidRPr="00102B50">
        <w:t>年</w:t>
      </w:r>
      <w:r w:rsidRPr="00102B50">
        <w:t>7</w:t>
      </w:r>
      <w:r w:rsidRPr="00102B50">
        <w:t>月</w:t>
      </w:r>
      <w:r w:rsidRPr="00102B50">
        <w:t>4</w:t>
      </w:r>
      <w:r w:rsidRPr="00102B50">
        <w:t>日上传</w:t>
      </w:r>
      <w:r w:rsidRPr="00102B50">
        <w:t>)</w:t>
      </w:r>
      <w:r w:rsidRPr="00102B50">
        <w:rPr>
          <w:rFonts w:hint="eastAsia"/>
        </w:rPr>
        <w:t>。</w:t>
      </w:r>
    </w:p>
  </w:footnote>
  <w:footnote w:id="119">
    <w:p w:rsidR="00AB00DE" w:rsidRPr="003A322D" w:rsidRDefault="00AB00DE" w:rsidP="000056CD">
      <w:pPr>
        <w:pStyle w:val="a4"/>
        <w:widowControl w:val="0"/>
        <w:autoSpaceDE w:val="0"/>
        <w:autoSpaceDN w:val="0"/>
        <w:spacing w:after="100" w:line="220" w:lineRule="exact"/>
        <w:rPr>
          <w:szCs w:val="18"/>
        </w:rPr>
      </w:pPr>
      <w:r>
        <w:rPr>
          <w:rStyle w:val="shorttext"/>
          <w:rFonts w:hint="eastAsia"/>
        </w:rPr>
        <w:tab/>
      </w:r>
      <w:r w:rsidRPr="00DF5565">
        <w:rPr>
          <w:rStyle w:val="a5"/>
          <w:szCs w:val="16"/>
        </w:rPr>
        <w:footnoteRef/>
      </w:r>
      <w:r w:rsidRPr="00102B50">
        <w:rPr>
          <w:rStyle w:val="shorttext"/>
          <w:rFonts w:hint="eastAsia"/>
        </w:rPr>
        <w:tab/>
      </w:r>
      <w:r w:rsidRPr="00506A38">
        <w:rPr>
          <w:spacing w:val="-10"/>
          <w:szCs w:val="18"/>
        </w:rPr>
        <w:t>2014</w:t>
      </w:r>
      <w:r w:rsidRPr="00506A38">
        <w:rPr>
          <w:spacing w:val="-10"/>
          <w:szCs w:val="18"/>
        </w:rPr>
        <w:t>年</w:t>
      </w:r>
      <w:r w:rsidRPr="00506A38">
        <w:rPr>
          <w:spacing w:val="-10"/>
          <w:szCs w:val="18"/>
        </w:rPr>
        <w:t>6</w:t>
      </w:r>
      <w:r w:rsidRPr="00506A38">
        <w:rPr>
          <w:spacing w:val="-10"/>
          <w:szCs w:val="18"/>
        </w:rPr>
        <w:t>月</w:t>
      </w:r>
      <w:r w:rsidRPr="00506A38">
        <w:rPr>
          <w:rFonts w:hint="eastAsia"/>
          <w:spacing w:val="-10"/>
          <w:szCs w:val="18"/>
        </w:rPr>
        <w:t>2</w:t>
      </w:r>
      <w:r w:rsidRPr="00506A38">
        <w:rPr>
          <w:rFonts w:hint="eastAsia"/>
          <w:spacing w:val="-10"/>
          <w:szCs w:val="18"/>
        </w:rPr>
        <w:t>日至</w:t>
      </w:r>
      <w:r w:rsidRPr="00506A38">
        <w:rPr>
          <w:spacing w:val="-10"/>
          <w:szCs w:val="18"/>
        </w:rPr>
        <w:t>4</w:t>
      </w:r>
      <w:r w:rsidRPr="00506A38">
        <w:rPr>
          <w:spacing w:val="-10"/>
          <w:szCs w:val="18"/>
        </w:rPr>
        <w:t>日</w:t>
      </w:r>
      <w:r w:rsidRPr="00506A38">
        <w:rPr>
          <w:rFonts w:hint="eastAsia"/>
          <w:spacing w:val="-10"/>
          <w:szCs w:val="18"/>
        </w:rPr>
        <w:t>在苏瓦举行的灾害风险管理太平洋论坛第六届会议通过，</w:t>
      </w:r>
      <w:r w:rsidRPr="00506A38">
        <w:rPr>
          <w:spacing w:val="-10"/>
          <w:szCs w:val="18"/>
        </w:rPr>
        <w:t>可查阅</w:t>
      </w:r>
      <w:hyperlink r:id="rId8" w:history="1">
        <w:r w:rsidRPr="00506A38">
          <w:rPr>
            <w:color w:val="000000" w:themeColor="text1"/>
          </w:rPr>
          <w:t>www.pacificdisaster.net</w:t>
        </w:r>
      </w:hyperlink>
      <w:r w:rsidRPr="00506A38">
        <w:rPr>
          <w:color w:val="000000" w:themeColor="text1"/>
          <w:szCs w:val="18"/>
        </w:rPr>
        <w:t>/pdnadmin</w:t>
      </w:r>
      <w:r w:rsidRPr="003A322D">
        <w:rPr>
          <w:szCs w:val="18"/>
        </w:rPr>
        <w:t>/data/original/PPDRM_2014_Chairs_Summary.pdf(2016</w:t>
      </w:r>
      <w:r w:rsidRPr="003A322D">
        <w:rPr>
          <w:szCs w:val="18"/>
        </w:rPr>
        <w:t>年</w:t>
      </w:r>
      <w:r w:rsidRPr="003A322D">
        <w:rPr>
          <w:szCs w:val="18"/>
        </w:rPr>
        <w:t>7</w:t>
      </w:r>
      <w:r w:rsidRPr="003A322D">
        <w:rPr>
          <w:szCs w:val="18"/>
        </w:rPr>
        <w:t>月</w:t>
      </w:r>
      <w:r w:rsidRPr="003A322D">
        <w:rPr>
          <w:szCs w:val="18"/>
        </w:rPr>
        <w:t>4</w:t>
      </w:r>
      <w:r w:rsidRPr="003A322D">
        <w:rPr>
          <w:szCs w:val="18"/>
        </w:rPr>
        <w:t>日</w:t>
      </w:r>
      <w:r w:rsidRPr="003A322D">
        <w:rPr>
          <w:rFonts w:hint="eastAsia"/>
          <w:szCs w:val="18"/>
        </w:rPr>
        <w:t>上传</w:t>
      </w:r>
      <w:r w:rsidRPr="003A322D">
        <w:rPr>
          <w:szCs w:val="18"/>
        </w:rPr>
        <w:t>)</w:t>
      </w:r>
      <w:r w:rsidRPr="003A322D">
        <w:rPr>
          <w:rFonts w:hint="eastAsia"/>
          <w:szCs w:val="18"/>
        </w:rPr>
        <w:t>。</w:t>
      </w:r>
    </w:p>
  </w:footnote>
  <w:footnote w:id="120">
    <w:p w:rsidR="00AB00DE" w:rsidRPr="004A16A7" w:rsidRDefault="00AB00DE" w:rsidP="000056CD">
      <w:pPr>
        <w:pStyle w:val="a4"/>
        <w:widowControl w:val="0"/>
        <w:autoSpaceDE w:val="0"/>
        <w:autoSpaceDN w:val="0"/>
        <w:spacing w:after="100" w:line="220" w:lineRule="exact"/>
        <w:rPr>
          <w:szCs w:val="16"/>
        </w:rPr>
      </w:pPr>
      <w:r>
        <w:rPr>
          <w:rStyle w:val="shorttext"/>
          <w:rFonts w:hint="eastAsia"/>
        </w:rPr>
        <w:tab/>
      </w:r>
      <w:r w:rsidRPr="00DF5565">
        <w:rPr>
          <w:rStyle w:val="a5"/>
          <w:szCs w:val="16"/>
        </w:rPr>
        <w:footnoteRef/>
      </w:r>
      <w:r w:rsidRPr="00102B50">
        <w:rPr>
          <w:rStyle w:val="shorttext"/>
          <w:rFonts w:hint="eastAsia"/>
        </w:rPr>
        <w:tab/>
      </w:r>
      <w:r w:rsidRPr="004A16A7">
        <w:rPr>
          <w:szCs w:val="16"/>
        </w:rPr>
        <w:t>2015</w:t>
      </w:r>
      <w:r w:rsidRPr="004A16A7">
        <w:rPr>
          <w:szCs w:val="16"/>
        </w:rPr>
        <w:t>年</w:t>
      </w:r>
      <w:r w:rsidRPr="004A16A7">
        <w:rPr>
          <w:szCs w:val="16"/>
        </w:rPr>
        <w:t>1</w:t>
      </w:r>
      <w:r w:rsidRPr="003A322D">
        <w:rPr>
          <w:szCs w:val="18"/>
        </w:rPr>
        <w:t>月</w:t>
      </w:r>
      <w:r w:rsidRPr="003A322D">
        <w:rPr>
          <w:szCs w:val="18"/>
        </w:rPr>
        <w:t>30</w:t>
      </w:r>
      <w:r w:rsidRPr="003A322D">
        <w:rPr>
          <w:szCs w:val="18"/>
        </w:rPr>
        <w:t>日</w:t>
      </w:r>
      <w:r w:rsidRPr="003A322D">
        <w:rPr>
          <w:rFonts w:hint="eastAsia"/>
          <w:szCs w:val="18"/>
        </w:rPr>
        <w:t>在比什凯克举行的中亚和南高加索地区灾害管理部门区域部长级会议通过，</w:t>
      </w:r>
      <w:r w:rsidRPr="003A322D">
        <w:rPr>
          <w:szCs w:val="18"/>
        </w:rPr>
        <w:t>可查阅</w:t>
      </w:r>
      <w:r w:rsidRPr="003A322D">
        <w:rPr>
          <w:szCs w:val="18"/>
        </w:rPr>
        <w:t>www.preventionweb.net/files/42374_frameworkofcooperationregionaldrrca.pdf(2016</w:t>
      </w:r>
      <w:r w:rsidRPr="003A322D">
        <w:rPr>
          <w:szCs w:val="18"/>
        </w:rPr>
        <w:t>年</w:t>
      </w:r>
      <w:r w:rsidRPr="003A322D">
        <w:rPr>
          <w:szCs w:val="18"/>
        </w:rPr>
        <w:t>7</w:t>
      </w:r>
      <w:r w:rsidRPr="003A322D">
        <w:rPr>
          <w:szCs w:val="18"/>
        </w:rPr>
        <w:t>月</w:t>
      </w:r>
      <w:r w:rsidRPr="003A322D">
        <w:rPr>
          <w:szCs w:val="18"/>
        </w:rPr>
        <w:t>4</w:t>
      </w:r>
      <w:r w:rsidRPr="003A322D">
        <w:rPr>
          <w:szCs w:val="18"/>
        </w:rPr>
        <w:t>日</w:t>
      </w:r>
      <w:r w:rsidRPr="003A322D">
        <w:rPr>
          <w:rFonts w:hint="eastAsia"/>
          <w:szCs w:val="18"/>
        </w:rPr>
        <w:t>上传</w:t>
      </w:r>
      <w:r w:rsidRPr="003A322D">
        <w:rPr>
          <w:szCs w:val="18"/>
        </w:rPr>
        <w:t>)</w:t>
      </w:r>
      <w:r w:rsidRPr="004A16A7">
        <w:rPr>
          <w:rFonts w:hint="eastAsia"/>
          <w:szCs w:val="16"/>
        </w:rPr>
        <w:t>。</w:t>
      </w:r>
    </w:p>
  </w:footnote>
  <w:footnote w:id="121">
    <w:p w:rsidR="00AB00DE" w:rsidRPr="003A322D" w:rsidRDefault="00AB00DE" w:rsidP="000056CD">
      <w:pPr>
        <w:pStyle w:val="a4"/>
        <w:widowControl w:val="0"/>
        <w:autoSpaceDE w:val="0"/>
        <w:autoSpaceDN w:val="0"/>
        <w:spacing w:after="100" w:line="220" w:lineRule="exact"/>
        <w:rPr>
          <w:szCs w:val="18"/>
        </w:rPr>
      </w:pPr>
      <w:r w:rsidRPr="004A16A7">
        <w:rPr>
          <w:rFonts w:hint="eastAsia"/>
          <w:szCs w:val="16"/>
        </w:rPr>
        <w:tab/>
      </w:r>
      <w:r w:rsidRPr="00DF5565">
        <w:rPr>
          <w:rStyle w:val="a5"/>
          <w:szCs w:val="16"/>
        </w:rPr>
        <w:footnoteRef/>
      </w:r>
      <w:r w:rsidRPr="004A16A7">
        <w:rPr>
          <w:rFonts w:hint="eastAsia"/>
          <w:szCs w:val="16"/>
        </w:rPr>
        <w:tab/>
      </w:r>
      <w:r w:rsidRPr="004A16A7">
        <w:rPr>
          <w:szCs w:val="16"/>
        </w:rPr>
        <w:t>可查阅</w:t>
      </w:r>
      <w:r w:rsidRPr="003A322D">
        <w:rPr>
          <w:szCs w:val="18"/>
        </w:rPr>
        <w:t>www.unisdr.org/files/4038_africaregionalstrategy1.pdf (2016</w:t>
      </w:r>
      <w:r w:rsidRPr="003A322D">
        <w:rPr>
          <w:szCs w:val="18"/>
        </w:rPr>
        <w:t>年</w:t>
      </w:r>
      <w:r w:rsidRPr="003A322D">
        <w:rPr>
          <w:szCs w:val="18"/>
        </w:rPr>
        <w:t>7</w:t>
      </w:r>
      <w:r w:rsidRPr="003A322D">
        <w:rPr>
          <w:szCs w:val="18"/>
        </w:rPr>
        <w:t>月</w:t>
      </w:r>
      <w:r w:rsidRPr="003A322D">
        <w:rPr>
          <w:szCs w:val="18"/>
        </w:rPr>
        <w:t>4</w:t>
      </w:r>
      <w:r w:rsidRPr="003A322D">
        <w:rPr>
          <w:szCs w:val="18"/>
        </w:rPr>
        <w:t>日</w:t>
      </w:r>
      <w:r w:rsidRPr="003A322D">
        <w:rPr>
          <w:rFonts w:hint="eastAsia"/>
          <w:szCs w:val="18"/>
        </w:rPr>
        <w:t>上传</w:t>
      </w:r>
      <w:r w:rsidRPr="003A322D">
        <w:rPr>
          <w:szCs w:val="18"/>
        </w:rPr>
        <w:t>)</w:t>
      </w:r>
      <w:r w:rsidRPr="003A322D">
        <w:rPr>
          <w:rFonts w:hint="eastAsia"/>
          <w:szCs w:val="18"/>
        </w:rPr>
        <w:t>。</w:t>
      </w:r>
    </w:p>
  </w:footnote>
  <w:footnote w:id="122">
    <w:p w:rsidR="00AB00DE" w:rsidRPr="003A322D" w:rsidRDefault="00AB00DE" w:rsidP="000056CD">
      <w:pPr>
        <w:pStyle w:val="a4"/>
        <w:widowControl w:val="0"/>
        <w:autoSpaceDE w:val="0"/>
        <w:autoSpaceDN w:val="0"/>
        <w:spacing w:after="100" w:line="220" w:lineRule="exact"/>
        <w:rPr>
          <w:szCs w:val="18"/>
        </w:rPr>
      </w:pPr>
      <w:r>
        <w:rPr>
          <w:rFonts w:hAnsi="Songti SC Regular" w:hint="eastAsia"/>
        </w:rPr>
        <w:tab/>
      </w:r>
      <w:r w:rsidRPr="00DF5565">
        <w:rPr>
          <w:color w:val="0000FF"/>
          <w:sz w:val="21"/>
          <w:vertAlign w:val="superscript"/>
        </w:rPr>
        <w:footnoteRef/>
      </w:r>
      <w:r w:rsidRPr="00102B50">
        <w:rPr>
          <w:rFonts w:hAnsi="Songti SC Regular"/>
        </w:rPr>
        <w:tab/>
      </w:r>
      <w:r w:rsidRPr="003A322D">
        <w:rPr>
          <w:szCs w:val="18"/>
        </w:rPr>
        <w:t>《</w:t>
      </w:r>
      <w:r w:rsidRPr="003A322D">
        <w:rPr>
          <w:rFonts w:hint="eastAsia"/>
          <w:szCs w:val="18"/>
        </w:rPr>
        <w:t>执行非洲</w:t>
      </w:r>
      <w:r w:rsidRPr="003A322D">
        <w:rPr>
          <w:szCs w:val="18"/>
        </w:rPr>
        <w:t>减少灾害风险区域战略延</w:t>
      </w:r>
      <w:r w:rsidRPr="003A322D">
        <w:rPr>
          <w:rFonts w:hint="eastAsia"/>
          <w:szCs w:val="18"/>
        </w:rPr>
        <w:t>展</w:t>
      </w:r>
      <w:r w:rsidRPr="003A322D">
        <w:rPr>
          <w:szCs w:val="18"/>
        </w:rPr>
        <w:t>行动方案</w:t>
      </w:r>
      <w:r w:rsidRPr="003A322D">
        <w:rPr>
          <w:szCs w:val="18"/>
        </w:rPr>
        <w:t>(2006-2015</w:t>
      </w:r>
      <w:r w:rsidRPr="003A322D">
        <w:rPr>
          <w:rFonts w:hint="eastAsia"/>
          <w:szCs w:val="18"/>
        </w:rPr>
        <w:t>年</w:t>
      </w:r>
      <w:r w:rsidRPr="003A322D">
        <w:rPr>
          <w:szCs w:val="18"/>
        </w:rPr>
        <w:t>)</w:t>
      </w:r>
      <w:r w:rsidRPr="003A322D">
        <w:rPr>
          <w:szCs w:val="18"/>
        </w:rPr>
        <w:t>》，</w:t>
      </w:r>
      <w:r w:rsidRPr="003A322D">
        <w:rPr>
          <w:rFonts w:hint="eastAsia"/>
          <w:szCs w:val="18"/>
        </w:rPr>
        <w:t>可查阅</w:t>
      </w:r>
      <w:hyperlink r:id="rId9" w:history="1">
        <w:r w:rsidRPr="003A322D">
          <w:rPr>
            <w:szCs w:val="18"/>
          </w:rPr>
          <w:t>www.unisdr.org/files/</w:t>
        </w:r>
      </w:hyperlink>
      <w:r w:rsidRPr="003A322D">
        <w:rPr>
          <w:szCs w:val="18"/>
        </w:rPr>
        <w:t xml:space="preserve"> 19613_bookletpoaenglish.pdf (2016</w:t>
      </w:r>
      <w:r w:rsidRPr="003A322D">
        <w:rPr>
          <w:rFonts w:hint="eastAsia"/>
          <w:szCs w:val="18"/>
        </w:rPr>
        <w:t>年</w:t>
      </w:r>
      <w:r w:rsidRPr="003A322D">
        <w:rPr>
          <w:rFonts w:hint="eastAsia"/>
          <w:szCs w:val="18"/>
        </w:rPr>
        <w:t>7</w:t>
      </w:r>
      <w:r w:rsidRPr="003A322D">
        <w:rPr>
          <w:rFonts w:hint="eastAsia"/>
          <w:szCs w:val="18"/>
        </w:rPr>
        <w:t>月</w:t>
      </w:r>
      <w:r w:rsidRPr="003A322D">
        <w:rPr>
          <w:rFonts w:hint="eastAsia"/>
          <w:szCs w:val="18"/>
        </w:rPr>
        <w:t>4</w:t>
      </w:r>
      <w:r w:rsidRPr="003A322D">
        <w:rPr>
          <w:rFonts w:hint="eastAsia"/>
          <w:szCs w:val="18"/>
        </w:rPr>
        <w:t>日上传</w:t>
      </w:r>
      <w:r w:rsidRPr="003A322D">
        <w:rPr>
          <w:szCs w:val="18"/>
        </w:rPr>
        <w:t>)</w:t>
      </w:r>
      <w:r w:rsidRPr="003A322D">
        <w:rPr>
          <w:rFonts w:hint="eastAsia"/>
          <w:szCs w:val="18"/>
        </w:rPr>
        <w:t>。</w:t>
      </w:r>
    </w:p>
  </w:footnote>
  <w:footnote w:id="123">
    <w:p w:rsidR="00AB00DE" w:rsidRPr="003A322D" w:rsidRDefault="00AB00DE" w:rsidP="000056CD">
      <w:pPr>
        <w:pStyle w:val="a4"/>
        <w:widowControl w:val="0"/>
        <w:autoSpaceDE w:val="0"/>
        <w:autoSpaceDN w:val="0"/>
        <w:spacing w:after="100" w:line="220" w:lineRule="exact"/>
        <w:rPr>
          <w:szCs w:val="18"/>
        </w:rPr>
      </w:pPr>
      <w:r w:rsidRPr="004A16A7">
        <w:rPr>
          <w:szCs w:val="16"/>
        </w:rPr>
        <w:tab/>
      </w:r>
      <w:r w:rsidRPr="00DF5565">
        <w:rPr>
          <w:rStyle w:val="a5"/>
          <w:szCs w:val="16"/>
        </w:rPr>
        <w:footnoteRef/>
      </w:r>
      <w:r w:rsidRPr="004A16A7">
        <w:rPr>
          <w:szCs w:val="16"/>
        </w:rPr>
        <w:tab/>
      </w:r>
      <w:r w:rsidRPr="004A16A7">
        <w:rPr>
          <w:rFonts w:hint="eastAsia"/>
          <w:szCs w:val="16"/>
        </w:rPr>
        <w:t>可查阅</w:t>
      </w:r>
      <w:r w:rsidRPr="003A322D">
        <w:rPr>
          <w:szCs w:val="18"/>
        </w:rPr>
        <w:t>www.unisdr.org/files/48230_eacdrrbill.pdf (2016</w:t>
      </w:r>
      <w:r w:rsidRPr="003A322D">
        <w:rPr>
          <w:rFonts w:hint="eastAsia"/>
          <w:szCs w:val="18"/>
        </w:rPr>
        <w:t>年</w:t>
      </w:r>
      <w:r w:rsidRPr="003A322D">
        <w:rPr>
          <w:rFonts w:hint="eastAsia"/>
          <w:szCs w:val="18"/>
        </w:rPr>
        <w:t>7</w:t>
      </w:r>
      <w:r w:rsidRPr="003A322D">
        <w:rPr>
          <w:rFonts w:hint="eastAsia"/>
          <w:szCs w:val="18"/>
        </w:rPr>
        <w:t>月</w:t>
      </w:r>
      <w:r w:rsidRPr="003A322D">
        <w:rPr>
          <w:rFonts w:hint="eastAsia"/>
          <w:szCs w:val="18"/>
        </w:rPr>
        <w:t>4</w:t>
      </w:r>
      <w:r w:rsidRPr="003A322D">
        <w:rPr>
          <w:rFonts w:hint="eastAsia"/>
          <w:szCs w:val="18"/>
        </w:rPr>
        <w:t>日上传</w:t>
      </w:r>
      <w:r w:rsidRPr="003A322D">
        <w:rPr>
          <w:rFonts w:hint="eastAsia"/>
          <w:szCs w:val="18"/>
        </w:rPr>
        <w:t>)</w:t>
      </w:r>
      <w:r w:rsidRPr="003A322D">
        <w:rPr>
          <w:rFonts w:hint="eastAsia"/>
          <w:szCs w:val="18"/>
        </w:rPr>
        <w:t>。</w:t>
      </w:r>
    </w:p>
  </w:footnote>
  <w:footnote w:id="124">
    <w:p w:rsidR="00AB00DE" w:rsidRPr="004A16A7" w:rsidRDefault="00AB00DE" w:rsidP="000056CD">
      <w:pPr>
        <w:pStyle w:val="a4"/>
        <w:widowControl w:val="0"/>
        <w:autoSpaceDE w:val="0"/>
        <w:autoSpaceDN w:val="0"/>
        <w:spacing w:after="100" w:line="220" w:lineRule="exact"/>
        <w:rPr>
          <w:szCs w:val="16"/>
          <w:lang w:bidi="x-none"/>
        </w:rPr>
      </w:pPr>
      <w:r w:rsidRPr="004A16A7">
        <w:rPr>
          <w:rFonts w:hint="eastAsia"/>
          <w:szCs w:val="16"/>
        </w:rPr>
        <w:tab/>
      </w:r>
      <w:r w:rsidRPr="00DF5565">
        <w:rPr>
          <w:rStyle w:val="a5"/>
          <w:szCs w:val="16"/>
        </w:rPr>
        <w:footnoteRef/>
      </w:r>
      <w:r w:rsidRPr="004A16A7">
        <w:rPr>
          <w:szCs w:val="16"/>
        </w:rPr>
        <w:tab/>
      </w:r>
      <w:r w:rsidRPr="00102B50">
        <w:rPr>
          <w:rStyle w:val="shorttext"/>
          <w:rFonts w:hint="eastAsia"/>
        </w:rPr>
        <w:t>联合国减灾署，“非洲寻求统一的减灾立场”，</w:t>
      </w:r>
      <w:r w:rsidRPr="004A16A7">
        <w:rPr>
          <w:szCs w:val="16"/>
        </w:rPr>
        <w:t>2013</w:t>
      </w:r>
      <w:r w:rsidRPr="004A16A7">
        <w:rPr>
          <w:szCs w:val="16"/>
        </w:rPr>
        <w:t>年</w:t>
      </w:r>
      <w:r w:rsidRPr="004A16A7">
        <w:rPr>
          <w:szCs w:val="16"/>
        </w:rPr>
        <w:t>2</w:t>
      </w:r>
      <w:r w:rsidRPr="003A322D">
        <w:rPr>
          <w:szCs w:val="18"/>
        </w:rPr>
        <w:t>月</w:t>
      </w:r>
      <w:r w:rsidRPr="003A322D">
        <w:rPr>
          <w:szCs w:val="18"/>
        </w:rPr>
        <w:t>13</w:t>
      </w:r>
      <w:r w:rsidRPr="003A322D">
        <w:rPr>
          <w:szCs w:val="18"/>
        </w:rPr>
        <w:t>日</w:t>
      </w:r>
      <w:r w:rsidRPr="003A322D">
        <w:rPr>
          <w:rFonts w:hint="eastAsia"/>
          <w:szCs w:val="18"/>
        </w:rPr>
        <w:t>，</w:t>
      </w:r>
      <w:r w:rsidRPr="003A322D">
        <w:rPr>
          <w:szCs w:val="18"/>
        </w:rPr>
        <w:t>可查阅</w:t>
      </w:r>
      <w:hyperlink r:id="rId10" w:history="1">
        <w:r w:rsidRPr="003A322D">
          <w:rPr>
            <w:szCs w:val="18"/>
          </w:rPr>
          <w:t>www.unisdr.org/</w:t>
        </w:r>
        <w:r w:rsidRPr="003A322D">
          <w:rPr>
            <w:rFonts w:hint="eastAsia"/>
            <w:szCs w:val="18"/>
          </w:rPr>
          <w:t xml:space="preserve"> </w:t>
        </w:r>
        <w:r w:rsidRPr="003A322D">
          <w:rPr>
            <w:szCs w:val="18"/>
          </w:rPr>
          <w:t>archive/31224</w:t>
        </w:r>
      </w:hyperlink>
      <w:r w:rsidRPr="004A16A7">
        <w:rPr>
          <w:rFonts w:hint="eastAsia"/>
          <w:szCs w:val="16"/>
        </w:rPr>
        <w:t>。</w:t>
      </w:r>
    </w:p>
  </w:footnote>
  <w:footnote w:id="125">
    <w:p w:rsidR="00AB00DE" w:rsidRPr="003A322D" w:rsidRDefault="00AB00DE" w:rsidP="000056CD">
      <w:pPr>
        <w:pStyle w:val="a4"/>
        <w:widowControl w:val="0"/>
        <w:autoSpaceDE w:val="0"/>
        <w:autoSpaceDN w:val="0"/>
        <w:spacing w:after="100" w:line="220" w:lineRule="exact"/>
        <w:rPr>
          <w:szCs w:val="18"/>
        </w:rPr>
      </w:pPr>
      <w:r>
        <w:rPr>
          <w:rStyle w:val="shorttext"/>
          <w:rFonts w:hint="eastAsia"/>
        </w:rPr>
        <w:tab/>
      </w:r>
      <w:r w:rsidRPr="00DF5565">
        <w:rPr>
          <w:rStyle w:val="a5"/>
          <w:szCs w:val="16"/>
        </w:rPr>
        <w:footnoteRef/>
      </w:r>
      <w:r w:rsidRPr="00102B50">
        <w:rPr>
          <w:rStyle w:val="shorttext"/>
          <w:rFonts w:hint="eastAsia"/>
        </w:rPr>
        <w:tab/>
      </w:r>
      <w:r w:rsidRPr="004A16A7">
        <w:rPr>
          <w:szCs w:val="16"/>
        </w:rPr>
        <w:t>2015</w:t>
      </w:r>
      <w:r w:rsidRPr="004A16A7">
        <w:rPr>
          <w:szCs w:val="16"/>
        </w:rPr>
        <w:t>年</w:t>
      </w:r>
      <w:r w:rsidRPr="004A16A7">
        <w:rPr>
          <w:szCs w:val="16"/>
        </w:rPr>
        <w:t>7</w:t>
      </w:r>
      <w:r w:rsidRPr="003A322D">
        <w:rPr>
          <w:szCs w:val="18"/>
        </w:rPr>
        <w:t>月</w:t>
      </w:r>
      <w:r w:rsidRPr="003A322D">
        <w:rPr>
          <w:szCs w:val="18"/>
        </w:rPr>
        <w:t>23</w:t>
      </w:r>
      <w:r w:rsidRPr="003A322D">
        <w:rPr>
          <w:szCs w:val="18"/>
        </w:rPr>
        <w:t>日</w:t>
      </w:r>
      <w:r w:rsidRPr="003A322D">
        <w:rPr>
          <w:rFonts w:hint="eastAsia"/>
          <w:szCs w:val="18"/>
        </w:rPr>
        <w:t>在雅温得举行的第四次高级别减灾会议通过，</w:t>
      </w:r>
      <w:r w:rsidRPr="003A322D">
        <w:rPr>
          <w:szCs w:val="18"/>
        </w:rPr>
        <w:t>可查阅</w:t>
      </w:r>
      <w:hyperlink r:id="rId11" w:history="1">
        <w:r w:rsidRPr="003A322D">
          <w:rPr>
            <w:szCs w:val="18"/>
          </w:rPr>
          <w:t>www.preventionweb</w:t>
        </w:r>
      </w:hyperlink>
      <w:r w:rsidRPr="003A322D">
        <w:rPr>
          <w:szCs w:val="18"/>
        </w:rPr>
        <w:t>.net/</w:t>
      </w:r>
      <w:r>
        <w:rPr>
          <w:rFonts w:hint="eastAsia"/>
          <w:szCs w:val="18"/>
        </w:rPr>
        <w:t xml:space="preserve"> </w:t>
      </w:r>
      <w:r w:rsidRPr="003A322D">
        <w:rPr>
          <w:szCs w:val="18"/>
        </w:rPr>
        <w:t>files/43907_43907yaoundedeclarationen.pdf (2016</w:t>
      </w:r>
      <w:r w:rsidRPr="003A322D">
        <w:rPr>
          <w:szCs w:val="18"/>
        </w:rPr>
        <w:t>年</w:t>
      </w:r>
      <w:r w:rsidRPr="003A322D">
        <w:rPr>
          <w:szCs w:val="18"/>
        </w:rPr>
        <w:t>7</w:t>
      </w:r>
      <w:r w:rsidRPr="003A322D">
        <w:rPr>
          <w:szCs w:val="18"/>
        </w:rPr>
        <w:t>月</w:t>
      </w:r>
      <w:r w:rsidRPr="003A322D">
        <w:rPr>
          <w:szCs w:val="18"/>
        </w:rPr>
        <w:t>4</w:t>
      </w:r>
      <w:r w:rsidRPr="003A322D">
        <w:rPr>
          <w:szCs w:val="18"/>
        </w:rPr>
        <w:t>日上传</w:t>
      </w:r>
      <w:r w:rsidRPr="003A322D">
        <w:rPr>
          <w:szCs w:val="18"/>
        </w:rPr>
        <w:t>)</w:t>
      </w:r>
      <w:r w:rsidRPr="003A322D">
        <w:rPr>
          <w:rFonts w:hint="eastAsia"/>
          <w:szCs w:val="18"/>
        </w:rPr>
        <w:t>。</w:t>
      </w:r>
    </w:p>
  </w:footnote>
  <w:footnote w:id="126">
    <w:p w:rsidR="00AB00DE" w:rsidRPr="004A16A7" w:rsidRDefault="00AB00DE" w:rsidP="00765E0D">
      <w:pPr>
        <w:pStyle w:val="a4"/>
        <w:widowControl w:val="0"/>
        <w:autoSpaceDE w:val="0"/>
        <w:autoSpaceDN w:val="0"/>
        <w:rPr>
          <w:szCs w:val="16"/>
          <w:lang w:bidi="x-none"/>
        </w:rPr>
      </w:pPr>
      <w:r w:rsidRPr="008972C0">
        <w:rPr>
          <w:rFonts w:hint="eastAsia"/>
          <w:szCs w:val="18"/>
        </w:rPr>
        <w:tab/>
      </w:r>
      <w:r w:rsidRPr="008972C0">
        <w:rPr>
          <w:rStyle w:val="a5"/>
          <w:szCs w:val="16"/>
        </w:rPr>
        <w:footnoteRef/>
      </w:r>
      <w:r w:rsidRPr="008972C0">
        <w:rPr>
          <w:szCs w:val="18"/>
        </w:rPr>
        <w:tab/>
        <w:t>2010</w:t>
      </w:r>
      <w:r w:rsidRPr="008972C0">
        <w:rPr>
          <w:szCs w:val="18"/>
        </w:rPr>
        <w:t>年</w:t>
      </w:r>
      <w:r w:rsidRPr="008972C0">
        <w:rPr>
          <w:szCs w:val="18"/>
        </w:rPr>
        <w:t>12</w:t>
      </w:r>
      <w:r w:rsidRPr="008972C0">
        <w:rPr>
          <w:szCs w:val="18"/>
        </w:rPr>
        <w:t>月</w:t>
      </w:r>
      <w:r w:rsidRPr="008972C0">
        <w:rPr>
          <w:rFonts w:hint="eastAsia"/>
          <w:szCs w:val="18"/>
        </w:rPr>
        <w:t>19</w:t>
      </w:r>
      <w:r w:rsidRPr="008972C0">
        <w:rPr>
          <w:rFonts w:hint="eastAsia"/>
          <w:szCs w:val="18"/>
        </w:rPr>
        <w:t>日至</w:t>
      </w:r>
      <w:r w:rsidRPr="008972C0">
        <w:rPr>
          <w:szCs w:val="18"/>
        </w:rPr>
        <w:t>20</w:t>
      </w:r>
      <w:r w:rsidRPr="008972C0">
        <w:rPr>
          <w:szCs w:val="18"/>
        </w:rPr>
        <w:t>日</w:t>
      </w:r>
      <w:r w:rsidRPr="008972C0">
        <w:rPr>
          <w:rFonts w:hint="eastAsia"/>
          <w:szCs w:val="18"/>
        </w:rPr>
        <w:t>在开罗举行的主管环境事务的</w:t>
      </w:r>
      <w:r w:rsidRPr="008972C0">
        <w:rPr>
          <w:rStyle w:val="shorttext"/>
          <w:rFonts w:hint="eastAsia"/>
        </w:rPr>
        <w:t>阿拉伯部长理事会第二十二届会议通过，</w:t>
      </w:r>
      <w:r w:rsidRPr="004A16A7">
        <w:rPr>
          <w:spacing w:val="2"/>
          <w:szCs w:val="16"/>
        </w:rPr>
        <w:t>可</w:t>
      </w:r>
      <w:r w:rsidRPr="008972C0">
        <w:rPr>
          <w:rFonts w:asciiTheme="majorBidi" w:hAnsiTheme="majorBidi" w:cstheme="majorBidi"/>
        </w:rPr>
        <w:t>查阅</w:t>
      </w:r>
      <w:hyperlink r:id="rId12" w:history="1">
        <w:r w:rsidRPr="008972C0">
          <w:rPr>
            <w:rFonts w:asciiTheme="majorBidi" w:hAnsiTheme="majorBidi" w:cstheme="majorBidi"/>
          </w:rPr>
          <w:t>www.unisdr.org/files/18903_17934asdrrfinalenglishjanuary20111.pdf</w:t>
        </w:r>
      </w:hyperlink>
      <w:r w:rsidRPr="008972C0">
        <w:rPr>
          <w:rFonts w:asciiTheme="majorBidi" w:hAnsiTheme="majorBidi" w:cstheme="majorBidi"/>
        </w:rPr>
        <w:t xml:space="preserve"> (2016</w:t>
      </w:r>
      <w:r w:rsidRPr="008972C0">
        <w:rPr>
          <w:rFonts w:asciiTheme="majorBidi" w:hAnsiTheme="majorBidi" w:cstheme="majorBidi"/>
        </w:rPr>
        <w:t>年</w:t>
      </w:r>
      <w:r w:rsidRPr="004A16A7">
        <w:rPr>
          <w:spacing w:val="2"/>
          <w:szCs w:val="16"/>
        </w:rPr>
        <w:t>7</w:t>
      </w:r>
      <w:r w:rsidRPr="004A16A7">
        <w:rPr>
          <w:spacing w:val="2"/>
          <w:szCs w:val="16"/>
        </w:rPr>
        <w:t>月</w:t>
      </w:r>
      <w:r w:rsidRPr="004A16A7">
        <w:rPr>
          <w:spacing w:val="2"/>
          <w:szCs w:val="16"/>
        </w:rPr>
        <w:t>4</w:t>
      </w:r>
      <w:r w:rsidRPr="004A16A7">
        <w:rPr>
          <w:spacing w:val="2"/>
          <w:szCs w:val="16"/>
        </w:rPr>
        <w:t>日上传</w:t>
      </w:r>
      <w:r w:rsidRPr="004A16A7">
        <w:rPr>
          <w:spacing w:val="2"/>
          <w:szCs w:val="16"/>
        </w:rPr>
        <w:t>)</w:t>
      </w:r>
      <w:r w:rsidRPr="004A16A7">
        <w:rPr>
          <w:rFonts w:hint="eastAsia"/>
          <w:spacing w:val="2"/>
          <w:szCs w:val="16"/>
        </w:rPr>
        <w:t>。</w:t>
      </w:r>
    </w:p>
  </w:footnote>
  <w:footnote w:id="127">
    <w:p w:rsidR="00AB00DE" w:rsidRPr="008972C0" w:rsidRDefault="00AB00DE" w:rsidP="00765E0D">
      <w:pPr>
        <w:pStyle w:val="a4"/>
        <w:widowControl w:val="0"/>
        <w:autoSpaceDE w:val="0"/>
        <w:autoSpaceDN w:val="0"/>
        <w:rPr>
          <w:rFonts w:asciiTheme="majorBidi" w:hAnsiTheme="majorBidi" w:cstheme="majorBidi"/>
        </w:rPr>
      </w:pPr>
      <w:r w:rsidRPr="004A16A7">
        <w:rPr>
          <w:rFonts w:hint="eastAsia"/>
          <w:szCs w:val="16"/>
        </w:rPr>
        <w:tab/>
      </w:r>
      <w:r w:rsidRPr="008972C0">
        <w:rPr>
          <w:rStyle w:val="a5"/>
          <w:szCs w:val="16"/>
        </w:rPr>
        <w:footnoteRef/>
      </w:r>
      <w:r w:rsidRPr="004A16A7">
        <w:rPr>
          <w:rFonts w:hint="eastAsia"/>
          <w:szCs w:val="16"/>
        </w:rPr>
        <w:tab/>
      </w:r>
      <w:r w:rsidRPr="004A16A7">
        <w:rPr>
          <w:szCs w:val="16"/>
        </w:rPr>
        <w:t>2014</w:t>
      </w:r>
      <w:r w:rsidRPr="004A16A7">
        <w:rPr>
          <w:szCs w:val="16"/>
        </w:rPr>
        <w:t>年</w:t>
      </w:r>
      <w:r w:rsidRPr="004A16A7">
        <w:rPr>
          <w:szCs w:val="16"/>
        </w:rPr>
        <w:t>9</w:t>
      </w:r>
      <w:r w:rsidRPr="004A16A7">
        <w:rPr>
          <w:szCs w:val="16"/>
        </w:rPr>
        <w:t>月</w:t>
      </w:r>
      <w:r w:rsidRPr="004A16A7">
        <w:rPr>
          <w:rFonts w:hint="eastAsia"/>
          <w:szCs w:val="16"/>
        </w:rPr>
        <w:t>14</w:t>
      </w:r>
      <w:r w:rsidRPr="004A16A7">
        <w:rPr>
          <w:rFonts w:hint="eastAsia"/>
          <w:szCs w:val="16"/>
        </w:rPr>
        <w:t>日至</w:t>
      </w:r>
      <w:r w:rsidRPr="004A16A7">
        <w:rPr>
          <w:szCs w:val="16"/>
        </w:rPr>
        <w:t>16</w:t>
      </w:r>
      <w:r w:rsidRPr="004A16A7">
        <w:rPr>
          <w:szCs w:val="16"/>
        </w:rPr>
        <w:t>日</w:t>
      </w:r>
      <w:r w:rsidRPr="008972C0">
        <w:rPr>
          <w:rStyle w:val="shorttext"/>
          <w:rFonts w:hint="eastAsia"/>
        </w:rPr>
        <w:t>在埃及</w:t>
      </w:r>
      <w:r w:rsidRPr="008972C0">
        <w:rPr>
          <w:rFonts w:asciiTheme="majorBidi" w:hAnsiTheme="majorBidi" w:cstheme="majorBidi"/>
        </w:rPr>
        <w:t>沙姆沙伊赫举行的第二届阿拉伯减灾会议通过，可查阅</w:t>
      </w:r>
      <w:r w:rsidRPr="008972C0">
        <w:rPr>
          <w:rFonts w:asciiTheme="majorBidi" w:hAnsiTheme="majorBidi" w:cstheme="majorBidi"/>
        </w:rPr>
        <w:t>www.unisdr.org/files/42726_42726sharmdeclarationpublicationfin.pdf (2016</w:t>
      </w:r>
      <w:r w:rsidRPr="008972C0">
        <w:rPr>
          <w:rFonts w:asciiTheme="majorBidi" w:hAnsiTheme="majorBidi" w:cstheme="majorBidi"/>
        </w:rPr>
        <w:t>年</w:t>
      </w:r>
      <w:r w:rsidRPr="008972C0">
        <w:rPr>
          <w:rFonts w:asciiTheme="majorBidi" w:hAnsiTheme="majorBidi" w:cstheme="majorBidi"/>
        </w:rPr>
        <w:t>7</w:t>
      </w:r>
      <w:r w:rsidRPr="008972C0">
        <w:rPr>
          <w:rFonts w:asciiTheme="majorBidi" w:hAnsiTheme="majorBidi" w:cstheme="majorBidi"/>
        </w:rPr>
        <w:t>月</w:t>
      </w:r>
      <w:r w:rsidRPr="008972C0">
        <w:rPr>
          <w:rFonts w:asciiTheme="majorBidi" w:hAnsiTheme="majorBidi" w:cstheme="majorBidi"/>
        </w:rPr>
        <w:t>4</w:t>
      </w:r>
      <w:r w:rsidRPr="008972C0">
        <w:rPr>
          <w:rFonts w:asciiTheme="majorBidi" w:hAnsiTheme="majorBidi" w:cstheme="majorBidi"/>
        </w:rPr>
        <w:t>日上传</w:t>
      </w:r>
      <w:r w:rsidRPr="008972C0">
        <w:rPr>
          <w:rFonts w:asciiTheme="majorBidi" w:hAnsiTheme="majorBidi" w:cstheme="majorBidi"/>
        </w:rPr>
        <w:t>)</w:t>
      </w:r>
      <w:r w:rsidRPr="008972C0">
        <w:rPr>
          <w:rFonts w:asciiTheme="majorBidi" w:hAnsiTheme="majorBidi" w:cstheme="majorBidi"/>
        </w:rPr>
        <w:t>。</w:t>
      </w:r>
    </w:p>
  </w:footnote>
  <w:footnote w:id="128">
    <w:p w:rsidR="00AB00DE" w:rsidRPr="008972C0" w:rsidRDefault="00AB00DE" w:rsidP="004C281A">
      <w:pPr>
        <w:pStyle w:val="a4"/>
        <w:widowControl w:val="0"/>
        <w:autoSpaceDE w:val="0"/>
        <w:autoSpaceDN w:val="0"/>
        <w:rPr>
          <w:rFonts w:asciiTheme="majorBidi" w:hAnsiTheme="majorBidi" w:cstheme="majorBidi"/>
          <w:color w:val="000000" w:themeColor="text1"/>
          <w:szCs w:val="18"/>
        </w:rPr>
      </w:pPr>
      <w:r w:rsidRPr="004A16A7">
        <w:rPr>
          <w:rFonts w:hint="eastAsia"/>
          <w:szCs w:val="16"/>
        </w:rPr>
        <w:tab/>
      </w:r>
      <w:r w:rsidRPr="008972C0">
        <w:rPr>
          <w:rStyle w:val="a5"/>
          <w:szCs w:val="16"/>
        </w:rPr>
        <w:footnoteRef/>
      </w:r>
      <w:r w:rsidRPr="004A16A7">
        <w:rPr>
          <w:rFonts w:hint="eastAsia"/>
          <w:szCs w:val="16"/>
        </w:rPr>
        <w:tab/>
      </w:r>
      <w:r w:rsidRPr="004A16A7">
        <w:rPr>
          <w:szCs w:val="16"/>
        </w:rPr>
        <w:t>2016</w:t>
      </w:r>
      <w:r w:rsidRPr="004A16A7">
        <w:rPr>
          <w:szCs w:val="16"/>
        </w:rPr>
        <w:t>年</w:t>
      </w:r>
      <w:r w:rsidRPr="004A16A7">
        <w:rPr>
          <w:szCs w:val="16"/>
        </w:rPr>
        <w:t>6</w:t>
      </w:r>
      <w:r w:rsidRPr="004A16A7">
        <w:rPr>
          <w:szCs w:val="16"/>
        </w:rPr>
        <w:t>月</w:t>
      </w:r>
      <w:r w:rsidRPr="004A16A7">
        <w:rPr>
          <w:szCs w:val="16"/>
        </w:rPr>
        <w:t>8</w:t>
      </w:r>
      <w:r w:rsidRPr="004A16A7">
        <w:rPr>
          <w:rFonts w:hint="eastAsia"/>
          <w:szCs w:val="16"/>
        </w:rPr>
        <w:t>日至</w:t>
      </w:r>
      <w:r w:rsidRPr="004A16A7">
        <w:rPr>
          <w:szCs w:val="16"/>
        </w:rPr>
        <w:t>9</w:t>
      </w:r>
      <w:r w:rsidRPr="004A16A7">
        <w:rPr>
          <w:szCs w:val="16"/>
        </w:rPr>
        <w:t>日</w:t>
      </w:r>
      <w:r w:rsidRPr="008972C0">
        <w:rPr>
          <w:rFonts w:hint="eastAsia"/>
        </w:rPr>
        <w:t>在亚松森举行的第一次美洲执行《减少灾害风险仙台框架</w:t>
      </w:r>
      <w:r>
        <w:rPr>
          <w:rFonts w:hint="eastAsia"/>
        </w:rPr>
        <w:t>(</w:t>
      </w:r>
      <w:r w:rsidRPr="008972C0">
        <w:rPr>
          <w:rFonts w:hint="eastAsia"/>
        </w:rPr>
        <w:t>2015</w:t>
      </w:r>
      <w:r w:rsidRPr="008972C0">
        <w:t>-</w:t>
      </w:r>
      <w:r w:rsidRPr="008972C0">
        <w:rPr>
          <w:rFonts w:hint="eastAsia"/>
        </w:rPr>
        <w:t>2030</w:t>
      </w:r>
      <w:r w:rsidRPr="008972C0">
        <w:rPr>
          <w:rFonts w:hint="eastAsia"/>
        </w:rPr>
        <w:t>年</w:t>
      </w:r>
      <w:r w:rsidRPr="008972C0">
        <w:rPr>
          <w:rFonts w:hint="eastAsia"/>
        </w:rPr>
        <w:t>)</w:t>
      </w:r>
      <w:r w:rsidRPr="008972C0">
        <w:rPr>
          <w:rFonts w:hint="eastAsia"/>
        </w:rPr>
        <w:t>》</w:t>
      </w:r>
      <w:r w:rsidRPr="008972C0">
        <w:rPr>
          <w:rFonts w:hint="eastAsia"/>
          <w:color w:val="000000" w:themeColor="text1"/>
          <w:spacing w:val="-4"/>
        </w:rPr>
        <w:t>部长和高级别官员会议通过，</w:t>
      </w:r>
      <w:r w:rsidRPr="004A16A7">
        <w:rPr>
          <w:color w:val="000000" w:themeColor="text1"/>
          <w:spacing w:val="-4"/>
          <w:szCs w:val="16"/>
        </w:rPr>
        <w:t>可查阅</w:t>
      </w:r>
      <w:hyperlink r:id="rId13" w:history="1">
        <w:r w:rsidRPr="008972C0">
          <w:rPr>
            <w:rStyle w:val="af"/>
            <w:rFonts w:asciiTheme="majorBidi" w:hAnsiTheme="majorBidi" w:cstheme="majorBidi"/>
            <w:color w:val="000000" w:themeColor="text1"/>
            <w:spacing w:val="-4"/>
            <w:szCs w:val="18"/>
          </w:rPr>
          <w:t>www.preventionweb.net/files/49235_asunciondeclaration2016</w:t>
        </w:r>
      </w:hyperlink>
      <w:r w:rsidRPr="008972C0">
        <w:rPr>
          <w:rFonts w:asciiTheme="majorBidi" w:hAnsiTheme="majorBidi" w:cstheme="majorBidi"/>
          <w:color w:val="000000" w:themeColor="text1"/>
          <w:szCs w:val="18"/>
        </w:rPr>
        <w:t>. pdf</w:t>
      </w:r>
      <w:r w:rsidRPr="008972C0">
        <w:rPr>
          <w:rFonts w:asciiTheme="majorBidi" w:hAnsiTheme="majorBidi" w:cstheme="majorBidi" w:hint="eastAsia"/>
          <w:color w:val="000000" w:themeColor="text1"/>
          <w:szCs w:val="18"/>
        </w:rPr>
        <w:t xml:space="preserve"> </w:t>
      </w:r>
      <w:r w:rsidRPr="008972C0">
        <w:rPr>
          <w:rFonts w:asciiTheme="majorBidi" w:hAnsiTheme="majorBidi" w:cstheme="majorBidi"/>
          <w:color w:val="000000" w:themeColor="text1"/>
          <w:szCs w:val="18"/>
        </w:rPr>
        <w:t>(2016</w:t>
      </w:r>
      <w:r w:rsidRPr="008972C0">
        <w:rPr>
          <w:rFonts w:asciiTheme="majorBidi" w:hAnsiTheme="majorBidi" w:cstheme="majorBidi"/>
          <w:color w:val="000000" w:themeColor="text1"/>
          <w:szCs w:val="18"/>
        </w:rPr>
        <w:t>年</w:t>
      </w:r>
      <w:r w:rsidRPr="008972C0">
        <w:rPr>
          <w:rFonts w:asciiTheme="majorBidi" w:hAnsiTheme="majorBidi" w:cstheme="majorBidi"/>
          <w:color w:val="000000" w:themeColor="text1"/>
          <w:szCs w:val="18"/>
        </w:rPr>
        <w:t>7</w:t>
      </w:r>
      <w:r w:rsidRPr="008972C0">
        <w:rPr>
          <w:rFonts w:asciiTheme="majorBidi" w:hAnsiTheme="majorBidi" w:cstheme="majorBidi"/>
          <w:color w:val="000000" w:themeColor="text1"/>
          <w:szCs w:val="18"/>
        </w:rPr>
        <w:t>月</w:t>
      </w:r>
      <w:r w:rsidRPr="008972C0">
        <w:rPr>
          <w:rFonts w:asciiTheme="majorBidi" w:hAnsiTheme="majorBidi" w:cstheme="majorBidi"/>
          <w:color w:val="000000" w:themeColor="text1"/>
          <w:szCs w:val="18"/>
        </w:rPr>
        <w:t>4</w:t>
      </w:r>
      <w:r w:rsidRPr="008972C0">
        <w:rPr>
          <w:rFonts w:asciiTheme="majorBidi" w:hAnsiTheme="majorBidi" w:cstheme="majorBidi"/>
          <w:color w:val="000000" w:themeColor="text1"/>
          <w:szCs w:val="18"/>
        </w:rPr>
        <w:t>日上传</w:t>
      </w:r>
      <w:r w:rsidRPr="008972C0">
        <w:rPr>
          <w:rFonts w:asciiTheme="majorBidi" w:hAnsiTheme="majorBidi" w:cstheme="majorBidi"/>
          <w:color w:val="000000" w:themeColor="text1"/>
          <w:szCs w:val="18"/>
        </w:rPr>
        <w:t>)</w:t>
      </w:r>
      <w:r w:rsidRPr="008972C0">
        <w:rPr>
          <w:rFonts w:asciiTheme="majorBidi" w:hAnsiTheme="majorBidi" w:cstheme="majorBidi"/>
          <w:color w:val="000000" w:themeColor="text1"/>
          <w:szCs w:val="18"/>
        </w:rPr>
        <w:t>。</w:t>
      </w:r>
    </w:p>
  </w:footnote>
  <w:footnote w:id="129">
    <w:p w:rsidR="00AB00DE" w:rsidRPr="008972C0" w:rsidRDefault="00AB00DE" w:rsidP="00765E0D">
      <w:pPr>
        <w:pStyle w:val="a4"/>
        <w:widowControl w:val="0"/>
        <w:autoSpaceDE w:val="0"/>
        <w:autoSpaceDN w:val="0"/>
        <w:rPr>
          <w:rStyle w:val="af"/>
          <w:rFonts w:asciiTheme="majorBidi" w:hAnsiTheme="majorBidi" w:cstheme="majorBidi"/>
          <w:color w:val="000000" w:themeColor="text1"/>
          <w:szCs w:val="18"/>
        </w:rPr>
      </w:pPr>
      <w:r w:rsidRPr="008972C0">
        <w:rPr>
          <w:rStyle w:val="shorttext"/>
          <w:rFonts w:hint="eastAsia"/>
        </w:rPr>
        <w:tab/>
      </w:r>
      <w:r w:rsidRPr="008972C0">
        <w:rPr>
          <w:rStyle w:val="a5"/>
          <w:szCs w:val="16"/>
        </w:rPr>
        <w:footnoteRef/>
      </w:r>
      <w:r w:rsidRPr="008972C0">
        <w:rPr>
          <w:rStyle w:val="shorttext"/>
          <w:rFonts w:hint="eastAsia"/>
        </w:rPr>
        <w:tab/>
        <w:t>3</w:t>
      </w:r>
      <w:r w:rsidRPr="008972C0">
        <w:rPr>
          <w:rStyle w:val="shorttext"/>
          <w:rFonts w:hint="eastAsia"/>
        </w:rPr>
        <w:t>月</w:t>
      </w:r>
      <w:r w:rsidRPr="008972C0">
        <w:rPr>
          <w:rStyle w:val="shorttext"/>
          <w:rFonts w:hint="eastAsia"/>
        </w:rPr>
        <w:t>1</w:t>
      </w:r>
      <w:r w:rsidRPr="008972C0">
        <w:rPr>
          <w:rStyle w:val="shorttext"/>
          <w:rFonts w:hint="eastAsia"/>
          <w:spacing w:val="-4"/>
        </w:rPr>
        <w:t>9</w:t>
      </w:r>
      <w:r w:rsidRPr="008972C0">
        <w:rPr>
          <w:rStyle w:val="shorttext"/>
          <w:rFonts w:hint="eastAsia"/>
          <w:spacing w:val="-4"/>
        </w:rPr>
        <w:t>日至</w:t>
      </w:r>
      <w:r w:rsidRPr="008972C0">
        <w:rPr>
          <w:rStyle w:val="shorttext"/>
          <w:rFonts w:hint="eastAsia"/>
          <w:spacing w:val="-4"/>
        </w:rPr>
        <w:t>21</w:t>
      </w:r>
      <w:r w:rsidRPr="008972C0">
        <w:rPr>
          <w:rStyle w:val="shorttext"/>
          <w:rFonts w:hint="eastAsia"/>
          <w:spacing w:val="-4"/>
        </w:rPr>
        <w:t>日在约旦亚喀巴举行的首届阿拉伯减灾会议通过，</w:t>
      </w:r>
      <w:r w:rsidRPr="004A16A7">
        <w:rPr>
          <w:spacing w:val="-4"/>
          <w:szCs w:val="16"/>
        </w:rPr>
        <w:t>可</w:t>
      </w:r>
      <w:r w:rsidRPr="008972C0">
        <w:rPr>
          <w:rStyle w:val="af"/>
          <w:rFonts w:asciiTheme="majorBidi" w:hAnsiTheme="majorBidi" w:cstheme="majorBidi"/>
          <w:color w:val="000000" w:themeColor="text1"/>
          <w:spacing w:val="-4"/>
          <w:szCs w:val="18"/>
        </w:rPr>
        <w:t>查阅</w:t>
      </w:r>
      <w:hyperlink r:id="rId14" w:history="1">
        <w:r w:rsidRPr="008972C0">
          <w:rPr>
            <w:rStyle w:val="af"/>
            <w:rFonts w:asciiTheme="majorBidi" w:hAnsiTheme="majorBidi" w:cstheme="majorBidi"/>
            <w:color w:val="000000" w:themeColor="text1"/>
            <w:spacing w:val="-4"/>
            <w:szCs w:val="18"/>
          </w:rPr>
          <w:t>www.preventionweb.net/</w:t>
        </w:r>
      </w:hyperlink>
      <w:r w:rsidRPr="004A16A7">
        <w:rPr>
          <w:rFonts w:hint="eastAsia"/>
          <w:szCs w:val="16"/>
        </w:rPr>
        <w:t xml:space="preserve"> </w:t>
      </w:r>
      <w:r w:rsidRPr="004A16A7">
        <w:rPr>
          <w:szCs w:val="16"/>
        </w:rPr>
        <w:t>files/31093_</w:t>
      </w:r>
      <w:r w:rsidRPr="008972C0">
        <w:rPr>
          <w:rStyle w:val="af"/>
          <w:rFonts w:asciiTheme="majorBidi" w:hAnsiTheme="majorBidi" w:cstheme="majorBidi"/>
          <w:color w:val="000000" w:themeColor="text1"/>
          <w:szCs w:val="18"/>
        </w:rPr>
        <w:t>aqabadeclarationenglishfinaldraft.pdf (2016</w:t>
      </w:r>
      <w:r w:rsidRPr="008972C0">
        <w:rPr>
          <w:rStyle w:val="af"/>
          <w:rFonts w:asciiTheme="majorBidi" w:hAnsiTheme="majorBidi" w:cstheme="majorBidi"/>
          <w:color w:val="000000" w:themeColor="text1"/>
          <w:szCs w:val="18"/>
        </w:rPr>
        <w:t>年</w:t>
      </w:r>
      <w:r w:rsidRPr="008972C0">
        <w:rPr>
          <w:rStyle w:val="af"/>
          <w:rFonts w:asciiTheme="majorBidi" w:hAnsiTheme="majorBidi" w:cstheme="majorBidi"/>
          <w:color w:val="000000" w:themeColor="text1"/>
          <w:szCs w:val="18"/>
        </w:rPr>
        <w:t>7</w:t>
      </w:r>
      <w:r w:rsidRPr="008972C0">
        <w:rPr>
          <w:rStyle w:val="af"/>
          <w:rFonts w:asciiTheme="majorBidi" w:hAnsiTheme="majorBidi" w:cstheme="majorBidi"/>
          <w:color w:val="000000" w:themeColor="text1"/>
          <w:szCs w:val="18"/>
        </w:rPr>
        <w:t>月</w:t>
      </w:r>
      <w:r w:rsidRPr="008972C0">
        <w:rPr>
          <w:rStyle w:val="af"/>
          <w:rFonts w:asciiTheme="majorBidi" w:hAnsiTheme="majorBidi" w:cstheme="majorBidi"/>
          <w:color w:val="000000" w:themeColor="text1"/>
          <w:szCs w:val="18"/>
        </w:rPr>
        <w:t>4</w:t>
      </w:r>
      <w:r w:rsidRPr="008972C0">
        <w:rPr>
          <w:rStyle w:val="af"/>
          <w:rFonts w:asciiTheme="majorBidi" w:hAnsiTheme="majorBidi" w:cstheme="majorBidi"/>
          <w:color w:val="000000" w:themeColor="text1"/>
          <w:szCs w:val="18"/>
        </w:rPr>
        <w:t>日上传</w:t>
      </w:r>
      <w:r w:rsidRPr="008972C0">
        <w:rPr>
          <w:rStyle w:val="af"/>
          <w:rFonts w:asciiTheme="majorBidi" w:hAnsiTheme="majorBidi" w:cstheme="majorBidi"/>
          <w:color w:val="000000" w:themeColor="text1"/>
          <w:szCs w:val="18"/>
        </w:rPr>
        <w:t>)</w:t>
      </w:r>
      <w:r w:rsidRPr="008972C0">
        <w:rPr>
          <w:rStyle w:val="af"/>
          <w:rFonts w:asciiTheme="majorBidi" w:hAnsiTheme="majorBidi" w:cstheme="majorBidi" w:hint="eastAsia"/>
          <w:color w:val="000000" w:themeColor="text1"/>
          <w:szCs w:val="18"/>
        </w:rPr>
        <w:t>。</w:t>
      </w:r>
    </w:p>
  </w:footnote>
  <w:footnote w:id="130">
    <w:p w:rsidR="00AB00DE" w:rsidRPr="008972C0" w:rsidRDefault="00AB00DE" w:rsidP="00765E0D">
      <w:pPr>
        <w:pStyle w:val="a4"/>
        <w:widowControl w:val="0"/>
        <w:autoSpaceDE w:val="0"/>
        <w:autoSpaceDN w:val="0"/>
        <w:rPr>
          <w:rStyle w:val="af"/>
          <w:rFonts w:asciiTheme="majorBidi" w:hAnsiTheme="majorBidi" w:cstheme="majorBidi"/>
          <w:color w:val="000000" w:themeColor="text1"/>
          <w:szCs w:val="18"/>
        </w:rPr>
      </w:pPr>
      <w:r w:rsidRPr="008972C0">
        <w:rPr>
          <w:rFonts w:hint="eastAsia"/>
          <w:sz w:val="16"/>
          <w:szCs w:val="16"/>
        </w:rPr>
        <w:tab/>
      </w:r>
      <w:r w:rsidRPr="008972C0">
        <w:rPr>
          <w:rStyle w:val="a5"/>
          <w:szCs w:val="16"/>
        </w:rPr>
        <w:footnoteRef/>
      </w:r>
      <w:r w:rsidRPr="008972C0">
        <w:rPr>
          <w:rFonts w:hint="eastAsia"/>
          <w:sz w:val="16"/>
          <w:szCs w:val="16"/>
        </w:rPr>
        <w:tab/>
      </w:r>
      <w:hyperlink r:id="rId15" w:history="1">
        <w:r w:rsidRPr="008972C0">
          <w:rPr>
            <w:rStyle w:val="af"/>
            <w:rFonts w:asciiTheme="majorBidi" w:hAnsiTheme="majorBidi" w:cstheme="majorBidi"/>
            <w:color w:val="000000" w:themeColor="text1"/>
            <w:szCs w:val="18"/>
          </w:rPr>
          <w:t>http://eird.org/americas/noticias/protocolo-sobre-gestion-del-riesgo.pdf</w:t>
        </w:r>
      </w:hyperlink>
      <w:r w:rsidRPr="008972C0">
        <w:rPr>
          <w:rStyle w:val="af"/>
          <w:rFonts w:asciiTheme="majorBidi" w:hAnsiTheme="majorBidi" w:cstheme="majorBidi"/>
          <w:color w:val="000000" w:themeColor="text1"/>
          <w:szCs w:val="18"/>
        </w:rPr>
        <w:t xml:space="preserve"> (2016</w:t>
      </w:r>
      <w:r w:rsidRPr="008972C0">
        <w:rPr>
          <w:rStyle w:val="af"/>
          <w:rFonts w:asciiTheme="majorBidi" w:hAnsiTheme="majorBidi" w:cstheme="majorBidi"/>
          <w:color w:val="000000" w:themeColor="text1"/>
          <w:szCs w:val="18"/>
        </w:rPr>
        <w:t>年</w:t>
      </w:r>
      <w:r w:rsidRPr="008972C0">
        <w:rPr>
          <w:rStyle w:val="af"/>
          <w:rFonts w:asciiTheme="majorBidi" w:hAnsiTheme="majorBidi" w:cstheme="majorBidi"/>
          <w:color w:val="000000" w:themeColor="text1"/>
          <w:szCs w:val="18"/>
        </w:rPr>
        <w:t>7</w:t>
      </w:r>
      <w:r w:rsidRPr="008972C0">
        <w:rPr>
          <w:rStyle w:val="af"/>
          <w:rFonts w:asciiTheme="majorBidi" w:hAnsiTheme="majorBidi" w:cstheme="majorBidi"/>
          <w:color w:val="000000" w:themeColor="text1"/>
          <w:szCs w:val="18"/>
        </w:rPr>
        <w:t>月</w:t>
      </w:r>
      <w:r w:rsidRPr="008972C0">
        <w:rPr>
          <w:rStyle w:val="af"/>
          <w:rFonts w:asciiTheme="majorBidi" w:hAnsiTheme="majorBidi" w:cstheme="majorBidi"/>
          <w:color w:val="000000" w:themeColor="text1"/>
          <w:szCs w:val="18"/>
        </w:rPr>
        <w:t>4</w:t>
      </w:r>
      <w:r w:rsidRPr="008972C0">
        <w:rPr>
          <w:rStyle w:val="af"/>
          <w:rFonts w:asciiTheme="majorBidi" w:hAnsiTheme="majorBidi" w:cstheme="majorBidi"/>
          <w:color w:val="000000" w:themeColor="text1"/>
          <w:szCs w:val="18"/>
        </w:rPr>
        <w:t>日上传</w:t>
      </w:r>
      <w:r w:rsidRPr="008972C0">
        <w:rPr>
          <w:rStyle w:val="af"/>
          <w:rFonts w:asciiTheme="majorBidi" w:hAnsiTheme="majorBidi" w:cstheme="majorBidi"/>
          <w:color w:val="000000" w:themeColor="text1"/>
          <w:szCs w:val="18"/>
        </w:rPr>
        <w:t>)</w:t>
      </w:r>
      <w:r w:rsidRPr="008972C0">
        <w:rPr>
          <w:rStyle w:val="af"/>
          <w:rFonts w:asciiTheme="majorBidi" w:hAnsiTheme="majorBidi" w:cstheme="majorBidi" w:hint="eastAsia"/>
          <w:color w:val="000000" w:themeColor="text1"/>
          <w:szCs w:val="18"/>
        </w:rPr>
        <w:t>。</w:t>
      </w:r>
    </w:p>
  </w:footnote>
  <w:footnote w:id="131">
    <w:p w:rsidR="00AB00DE" w:rsidRPr="004A16A7" w:rsidRDefault="00AB00DE" w:rsidP="00765E0D">
      <w:pPr>
        <w:pStyle w:val="a4"/>
        <w:widowControl w:val="0"/>
        <w:autoSpaceDE w:val="0"/>
        <w:autoSpaceDN w:val="0"/>
        <w:rPr>
          <w:color w:val="000000" w:themeColor="text1"/>
          <w:spacing w:val="5"/>
          <w:w w:val="103"/>
          <w:kern w:val="14"/>
          <w:szCs w:val="16"/>
        </w:rPr>
      </w:pPr>
      <w:r w:rsidRPr="008972C0">
        <w:rPr>
          <w:rFonts w:hint="eastAsia"/>
          <w:sz w:val="16"/>
          <w:szCs w:val="16"/>
        </w:rPr>
        <w:tab/>
      </w:r>
      <w:r w:rsidRPr="008972C0">
        <w:rPr>
          <w:rStyle w:val="a5"/>
          <w:szCs w:val="16"/>
        </w:rPr>
        <w:footnoteRef/>
      </w:r>
      <w:r w:rsidRPr="008972C0">
        <w:rPr>
          <w:rFonts w:hint="eastAsia"/>
          <w:sz w:val="16"/>
          <w:szCs w:val="16"/>
        </w:rPr>
        <w:tab/>
      </w:r>
      <w:r w:rsidRPr="008972C0">
        <w:rPr>
          <w:rStyle w:val="shorttext"/>
          <w:rFonts w:hint="eastAsia"/>
          <w:spacing w:val="-6"/>
        </w:rPr>
        <w:t>2014</w:t>
      </w:r>
      <w:r w:rsidRPr="008972C0">
        <w:rPr>
          <w:rStyle w:val="af"/>
          <w:rFonts w:asciiTheme="majorBidi" w:hAnsiTheme="majorBidi" w:cstheme="majorBidi" w:hint="eastAsia"/>
          <w:color w:val="000000" w:themeColor="text1"/>
          <w:spacing w:val="-6"/>
          <w:szCs w:val="18"/>
        </w:rPr>
        <w:t>年</w:t>
      </w:r>
      <w:r w:rsidRPr="008972C0">
        <w:rPr>
          <w:rStyle w:val="af"/>
          <w:rFonts w:asciiTheme="majorBidi" w:hAnsiTheme="majorBidi" w:cstheme="majorBidi" w:hint="eastAsia"/>
          <w:color w:val="000000" w:themeColor="text1"/>
          <w:spacing w:val="-6"/>
          <w:szCs w:val="18"/>
        </w:rPr>
        <w:t>5</w:t>
      </w:r>
      <w:r w:rsidRPr="008972C0">
        <w:rPr>
          <w:rStyle w:val="af"/>
          <w:rFonts w:asciiTheme="majorBidi" w:hAnsiTheme="majorBidi" w:cstheme="majorBidi" w:hint="eastAsia"/>
          <w:color w:val="000000" w:themeColor="text1"/>
          <w:spacing w:val="-6"/>
          <w:szCs w:val="18"/>
        </w:rPr>
        <w:t>月</w:t>
      </w:r>
      <w:r w:rsidRPr="008972C0">
        <w:rPr>
          <w:rStyle w:val="af"/>
          <w:rFonts w:asciiTheme="majorBidi" w:hAnsiTheme="majorBidi" w:cstheme="majorBidi" w:hint="eastAsia"/>
          <w:color w:val="000000" w:themeColor="text1"/>
          <w:spacing w:val="-6"/>
          <w:szCs w:val="18"/>
        </w:rPr>
        <w:t>27</w:t>
      </w:r>
      <w:r w:rsidRPr="008972C0">
        <w:rPr>
          <w:rStyle w:val="af"/>
          <w:rFonts w:asciiTheme="majorBidi" w:hAnsiTheme="majorBidi" w:cstheme="majorBidi" w:hint="eastAsia"/>
          <w:color w:val="000000" w:themeColor="text1"/>
          <w:spacing w:val="-6"/>
          <w:szCs w:val="18"/>
        </w:rPr>
        <w:t>日至</w:t>
      </w:r>
      <w:r w:rsidRPr="008972C0">
        <w:rPr>
          <w:rStyle w:val="af"/>
          <w:rFonts w:asciiTheme="majorBidi" w:hAnsiTheme="majorBidi" w:cstheme="majorBidi" w:hint="eastAsia"/>
          <w:color w:val="000000" w:themeColor="text1"/>
          <w:spacing w:val="-6"/>
          <w:szCs w:val="18"/>
        </w:rPr>
        <w:t>29</w:t>
      </w:r>
      <w:r w:rsidRPr="008972C0">
        <w:rPr>
          <w:rStyle w:val="af"/>
          <w:rFonts w:asciiTheme="majorBidi" w:hAnsiTheme="majorBidi" w:cstheme="majorBidi" w:hint="eastAsia"/>
          <w:color w:val="000000" w:themeColor="text1"/>
          <w:spacing w:val="-6"/>
          <w:szCs w:val="18"/>
        </w:rPr>
        <w:t>日在厄瓜多尔瓜亚基尔举行的第四届会议通过，</w:t>
      </w:r>
      <w:r w:rsidRPr="008972C0">
        <w:rPr>
          <w:rStyle w:val="af"/>
          <w:rFonts w:asciiTheme="majorBidi" w:hAnsiTheme="majorBidi" w:cstheme="majorBidi"/>
          <w:color w:val="000000" w:themeColor="text1"/>
          <w:spacing w:val="-6"/>
          <w:szCs w:val="18"/>
        </w:rPr>
        <w:t>可查阅</w:t>
      </w:r>
      <w:hyperlink r:id="rId16" w:history="1">
        <w:r w:rsidRPr="008972C0">
          <w:rPr>
            <w:rStyle w:val="af"/>
            <w:rFonts w:asciiTheme="majorBidi" w:hAnsiTheme="majorBidi" w:cstheme="majorBidi"/>
            <w:color w:val="000000" w:themeColor="text1"/>
            <w:szCs w:val="18"/>
          </w:rPr>
          <w:t>www.preventionweb.net/</w:t>
        </w:r>
        <w:r w:rsidRPr="008972C0">
          <w:rPr>
            <w:rStyle w:val="af"/>
            <w:rFonts w:asciiTheme="majorBidi" w:hAnsiTheme="majorBidi" w:cstheme="majorBidi" w:hint="eastAsia"/>
            <w:color w:val="000000" w:themeColor="text1"/>
            <w:szCs w:val="18"/>
          </w:rPr>
          <w:t xml:space="preserve"> </w:t>
        </w:r>
        <w:r w:rsidRPr="008972C0">
          <w:rPr>
            <w:rStyle w:val="af"/>
            <w:rFonts w:asciiTheme="majorBidi" w:hAnsiTheme="majorBidi" w:cstheme="majorBidi"/>
            <w:color w:val="000000" w:themeColor="text1"/>
            <w:szCs w:val="18"/>
          </w:rPr>
          <w:t>files/37662_communiqueguayaquilpr1428may14[1].pdf</w:t>
        </w:r>
      </w:hyperlink>
      <w:r w:rsidRPr="004A16A7">
        <w:rPr>
          <w:rFonts w:hint="eastAsia"/>
          <w:color w:val="000000" w:themeColor="text1"/>
          <w:szCs w:val="16"/>
        </w:rPr>
        <w:t>。</w:t>
      </w:r>
    </w:p>
  </w:footnote>
  <w:footnote w:id="132">
    <w:p w:rsidR="00AB00DE" w:rsidRPr="008972C0" w:rsidRDefault="00AB00DE" w:rsidP="00765E0D">
      <w:pPr>
        <w:pStyle w:val="a4"/>
        <w:widowControl w:val="0"/>
        <w:autoSpaceDE w:val="0"/>
        <w:autoSpaceDN w:val="0"/>
        <w:rPr>
          <w:rStyle w:val="af"/>
          <w:rFonts w:asciiTheme="majorBidi" w:hAnsiTheme="majorBidi" w:cstheme="majorBidi"/>
          <w:color w:val="000000" w:themeColor="text1"/>
          <w:szCs w:val="18"/>
        </w:rPr>
      </w:pPr>
      <w:r w:rsidRPr="008972C0">
        <w:rPr>
          <w:rFonts w:hint="eastAsia"/>
        </w:rPr>
        <w:tab/>
      </w:r>
      <w:r w:rsidRPr="008972C0">
        <w:rPr>
          <w:rStyle w:val="a5"/>
        </w:rPr>
        <w:footnoteRef/>
      </w:r>
      <w:r w:rsidRPr="008972C0">
        <w:rPr>
          <w:rFonts w:hint="eastAsia"/>
        </w:rPr>
        <w:tab/>
      </w:r>
      <w:r w:rsidRPr="008972C0">
        <w:rPr>
          <w:rStyle w:val="af"/>
          <w:rFonts w:asciiTheme="majorBidi" w:hAnsiTheme="majorBidi" w:cstheme="majorBidi"/>
          <w:color w:val="000000" w:themeColor="text1"/>
          <w:szCs w:val="18"/>
        </w:rPr>
        <w:t>2011</w:t>
      </w:r>
      <w:r w:rsidRPr="008972C0">
        <w:rPr>
          <w:rStyle w:val="af"/>
          <w:rFonts w:asciiTheme="majorBidi" w:hAnsiTheme="majorBidi" w:cstheme="majorBidi"/>
          <w:color w:val="000000" w:themeColor="text1"/>
          <w:szCs w:val="18"/>
        </w:rPr>
        <w:t>年</w:t>
      </w:r>
      <w:r w:rsidRPr="008972C0">
        <w:rPr>
          <w:rStyle w:val="af"/>
          <w:rFonts w:asciiTheme="majorBidi" w:hAnsiTheme="majorBidi" w:cstheme="majorBidi"/>
          <w:color w:val="000000" w:themeColor="text1"/>
          <w:szCs w:val="18"/>
        </w:rPr>
        <w:t>3</w:t>
      </w:r>
      <w:r w:rsidRPr="008972C0">
        <w:rPr>
          <w:rStyle w:val="af"/>
          <w:rFonts w:asciiTheme="majorBidi" w:hAnsiTheme="majorBidi" w:cstheme="majorBidi"/>
          <w:color w:val="000000" w:themeColor="text1"/>
          <w:szCs w:val="18"/>
        </w:rPr>
        <w:t>月</w:t>
      </w:r>
      <w:r w:rsidRPr="008972C0">
        <w:rPr>
          <w:rStyle w:val="af"/>
          <w:rFonts w:asciiTheme="majorBidi" w:hAnsiTheme="majorBidi" w:cstheme="majorBidi"/>
          <w:color w:val="000000" w:themeColor="text1"/>
          <w:szCs w:val="18"/>
        </w:rPr>
        <w:t>15</w:t>
      </w:r>
      <w:r w:rsidRPr="008972C0">
        <w:rPr>
          <w:rStyle w:val="af"/>
          <w:rFonts w:asciiTheme="majorBidi" w:hAnsiTheme="majorBidi" w:cstheme="majorBidi" w:hint="eastAsia"/>
          <w:color w:val="000000" w:themeColor="text1"/>
          <w:szCs w:val="18"/>
        </w:rPr>
        <w:t>日至</w:t>
      </w:r>
      <w:r w:rsidRPr="008972C0">
        <w:rPr>
          <w:rStyle w:val="af"/>
          <w:rFonts w:asciiTheme="majorBidi" w:hAnsiTheme="majorBidi" w:cstheme="majorBidi"/>
          <w:color w:val="000000" w:themeColor="text1"/>
          <w:szCs w:val="18"/>
        </w:rPr>
        <w:t>17</w:t>
      </w:r>
      <w:r w:rsidRPr="008972C0">
        <w:rPr>
          <w:rStyle w:val="af"/>
          <w:rFonts w:asciiTheme="majorBidi" w:hAnsiTheme="majorBidi" w:cstheme="majorBidi"/>
          <w:color w:val="000000" w:themeColor="text1"/>
          <w:szCs w:val="18"/>
        </w:rPr>
        <w:t>日</w:t>
      </w:r>
      <w:r w:rsidRPr="008972C0">
        <w:rPr>
          <w:rStyle w:val="af"/>
          <w:rFonts w:asciiTheme="majorBidi" w:hAnsiTheme="majorBidi" w:cstheme="majorBidi" w:hint="eastAsia"/>
          <w:color w:val="000000" w:themeColor="text1"/>
          <w:szCs w:val="18"/>
        </w:rPr>
        <w:t>在墨西哥纳亚里特州举行的第二届美洲减灾区域论坛通过，</w:t>
      </w:r>
      <w:r w:rsidRPr="008972C0">
        <w:rPr>
          <w:rStyle w:val="af"/>
          <w:rFonts w:asciiTheme="majorBidi" w:hAnsiTheme="majorBidi" w:cstheme="majorBidi"/>
          <w:color w:val="000000" w:themeColor="text1"/>
          <w:szCs w:val="18"/>
        </w:rPr>
        <w:t>可查阅</w:t>
      </w:r>
      <w:hyperlink r:id="rId17" w:history="1">
        <w:r w:rsidRPr="008972C0">
          <w:rPr>
            <w:rStyle w:val="af"/>
            <w:rFonts w:asciiTheme="majorBidi" w:hAnsiTheme="majorBidi" w:cstheme="majorBidi"/>
            <w:color w:val="000000" w:themeColor="text1"/>
            <w:szCs w:val="18"/>
          </w:rPr>
          <w:t>www.unisdr.org/files/18603_communiquenayarit.pdf</w:t>
        </w:r>
      </w:hyperlink>
      <w:r w:rsidRPr="008972C0">
        <w:rPr>
          <w:rStyle w:val="af"/>
          <w:rFonts w:asciiTheme="majorBidi" w:hAnsiTheme="majorBidi" w:cstheme="majorBidi" w:hint="eastAsia"/>
          <w:color w:val="000000" w:themeColor="text1"/>
          <w:szCs w:val="18"/>
        </w:rPr>
        <w:t>。</w:t>
      </w:r>
    </w:p>
  </w:footnote>
  <w:footnote w:id="133">
    <w:p w:rsidR="00AB00DE" w:rsidRPr="004A16A7" w:rsidRDefault="00AB00DE" w:rsidP="00765E0D">
      <w:pPr>
        <w:pStyle w:val="a4"/>
        <w:widowControl w:val="0"/>
        <w:autoSpaceDE w:val="0"/>
        <w:autoSpaceDN w:val="0"/>
        <w:rPr>
          <w:szCs w:val="16"/>
        </w:rPr>
      </w:pPr>
      <w:r w:rsidRPr="008972C0">
        <w:rPr>
          <w:rFonts w:hint="eastAsia"/>
          <w:sz w:val="16"/>
          <w:szCs w:val="16"/>
        </w:rPr>
        <w:tab/>
      </w:r>
      <w:r w:rsidRPr="008972C0">
        <w:rPr>
          <w:rStyle w:val="a5"/>
          <w:szCs w:val="16"/>
        </w:rPr>
        <w:footnoteRef/>
      </w:r>
      <w:r w:rsidRPr="004A16A7">
        <w:rPr>
          <w:rFonts w:hint="eastAsia"/>
          <w:szCs w:val="16"/>
        </w:rPr>
        <w:tab/>
      </w:r>
      <w:r w:rsidRPr="008972C0">
        <w:rPr>
          <w:rStyle w:val="af"/>
          <w:rFonts w:asciiTheme="majorBidi" w:hAnsiTheme="majorBidi" w:cstheme="majorBidi"/>
          <w:color w:val="000000" w:themeColor="text1"/>
          <w:szCs w:val="18"/>
        </w:rPr>
        <w:t>2014</w:t>
      </w:r>
      <w:r w:rsidRPr="008972C0">
        <w:rPr>
          <w:rStyle w:val="af"/>
          <w:rFonts w:asciiTheme="majorBidi" w:hAnsiTheme="majorBidi" w:cstheme="majorBidi"/>
          <w:color w:val="000000" w:themeColor="text1"/>
          <w:szCs w:val="18"/>
        </w:rPr>
        <w:t>年</w:t>
      </w:r>
      <w:r w:rsidRPr="008972C0">
        <w:rPr>
          <w:rStyle w:val="af"/>
          <w:rFonts w:asciiTheme="majorBidi" w:hAnsiTheme="majorBidi" w:cstheme="majorBidi"/>
          <w:color w:val="000000" w:themeColor="text1"/>
          <w:szCs w:val="18"/>
        </w:rPr>
        <w:t>7</w:t>
      </w:r>
      <w:r w:rsidRPr="008972C0">
        <w:rPr>
          <w:rStyle w:val="af"/>
          <w:rFonts w:asciiTheme="majorBidi" w:hAnsiTheme="majorBidi" w:cstheme="majorBidi"/>
          <w:color w:val="000000" w:themeColor="text1"/>
          <w:szCs w:val="18"/>
        </w:rPr>
        <w:t>月</w:t>
      </w:r>
      <w:r w:rsidRPr="008972C0">
        <w:rPr>
          <w:rStyle w:val="af"/>
          <w:rFonts w:asciiTheme="majorBidi" w:hAnsiTheme="majorBidi" w:cstheme="majorBidi"/>
          <w:color w:val="000000" w:themeColor="text1"/>
          <w:szCs w:val="18"/>
        </w:rPr>
        <w:t>8</w:t>
      </w:r>
      <w:r w:rsidRPr="008972C0">
        <w:rPr>
          <w:rStyle w:val="af"/>
          <w:rFonts w:asciiTheme="majorBidi" w:hAnsiTheme="majorBidi" w:cstheme="majorBidi"/>
          <w:color w:val="000000" w:themeColor="text1"/>
          <w:szCs w:val="18"/>
        </w:rPr>
        <w:t>日</w:t>
      </w:r>
      <w:r w:rsidRPr="008972C0">
        <w:rPr>
          <w:rStyle w:val="af"/>
          <w:rFonts w:asciiTheme="majorBidi" w:hAnsiTheme="majorBidi" w:cstheme="majorBidi" w:hint="eastAsia"/>
          <w:color w:val="000000" w:themeColor="text1"/>
          <w:szCs w:val="18"/>
        </w:rPr>
        <w:t>在意大利米兰举行的欧洲部长级会议通过，</w:t>
      </w:r>
      <w:r w:rsidRPr="008972C0">
        <w:rPr>
          <w:rStyle w:val="af"/>
          <w:rFonts w:asciiTheme="majorBidi" w:hAnsiTheme="majorBidi" w:cstheme="majorBidi"/>
          <w:color w:val="000000" w:themeColor="text1"/>
          <w:szCs w:val="18"/>
        </w:rPr>
        <w:t>可查阅</w:t>
      </w:r>
      <w:hyperlink r:id="rId18" w:history="1">
        <w:r w:rsidRPr="008972C0">
          <w:rPr>
            <w:rStyle w:val="af"/>
            <w:rFonts w:asciiTheme="majorBidi" w:hAnsiTheme="majorBidi" w:cstheme="majorBidi"/>
            <w:color w:val="000000" w:themeColor="text1"/>
            <w:szCs w:val="18"/>
          </w:rPr>
          <w:t>www.preventionweb.net/</w:t>
        </w:r>
        <w:r w:rsidRPr="008972C0">
          <w:rPr>
            <w:rStyle w:val="af"/>
            <w:rFonts w:asciiTheme="majorBidi" w:hAnsiTheme="majorBidi" w:cstheme="majorBidi" w:hint="eastAsia"/>
            <w:color w:val="000000" w:themeColor="text1"/>
            <w:szCs w:val="18"/>
          </w:rPr>
          <w:t xml:space="preserve"> </w:t>
        </w:r>
        <w:r w:rsidRPr="008972C0">
          <w:rPr>
            <w:rStyle w:val="af"/>
            <w:rFonts w:asciiTheme="majorBidi" w:hAnsiTheme="majorBidi" w:cstheme="majorBidi"/>
            <w:color w:val="000000" w:themeColor="text1"/>
            <w:szCs w:val="18"/>
          </w:rPr>
          <w:t>files/38378_europeandrrministerialstatement.pdf</w:t>
        </w:r>
      </w:hyperlink>
      <w:r w:rsidRPr="004A16A7">
        <w:rPr>
          <w:szCs w:val="16"/>
        </w:rPr>
        <w:t xml:space="preserve"> (2016</w:t>
      </w:r>
      <w:r w:rsidRPr="004A16A7">
        <w:rPr>
          <w:szCs w:val="16"/>
        </w:rPr>
        <w:t>年</w:t>
      </w:r>
      <w:r w:rsidRPr="004A16A7">
        <w:rPr>
          <w:szCs w:val="16"/>
        </w:rPr>
        <w:t>7</w:t>
      </w:r>
      <w:r w:rsidRPr="004A16A7">
        <w:rPr>
          <w:szCs w:val="16"/>
        </w:rPr>
        <w:t>月</w:t>
      </w:r>
      <w:r w:rsidRPr="004A16A7">
        <w:rPr>
          <w:szCs w:val="16"/>
        </w:rPr>
        <w:t>4</w:t>
      </w:r>
      <w:r w:rsidRPr="004A16A7">
        <w:rPr>
          <w:szCs w:val="16"/>
        </w:rPr>
        <w:t>日上传</w:t>
      </w:r>
      <w:r w:rsidRPr="004A16A7">
        <w:rPr>
          <w:szCs w:val="16"/>
        </w:rPr>
        <w:t>)</w:t>
      </w:r>
      <w:r w:rsidRPr="004A16A7">
        <w:rPr>
          <w:rFonts w:hint="eastAsia"/>
          <w:szCs w:val="16"/>
        </w:rPr>
        <w:t>。</w:t>
      </w:r>
    </w:p>
  </w:footnote>
  <w:footnote w:id="134">
    <w:p w:rsidR="00AB00DE" w:rsidRPr="004A16A7" w:rsidRDefault="00AB00DE" w:rsidP="00765E0D">
      <w:pPr>
        <w:pStyle w:val="a4"/>
        <w:widowControl w:val="0"/>
        <w:autoSpaceDE w:val="0"/>
        <w:autoSpaceDN w:val="0"/>
        <w:rPr>
          <w:szCs w:val="16"/>
        </w:rPr>
      </w:pPr>
      <w:r w:rsidRPr="008972C0">
        <w:rPr>
          <w:rStyle w:val="shorttext"/>
          <w:rFonts w:hint="eastAsia"/>
        </w:rPr>
        <w:tab/>
      </w:r>
      <w:r w:rsidRPr="008972C0">
        <w:rPr>
          <w:rStyle w:val="a5"/>
          <w:szCs w:val="16"/>
        </w:rPr>
        <w:footnoteRef/>
      </w:r>
      <w:r w:rsidRPr="008972C0">
        <w:rPr>
          <w:rStyle w:val="shorttext"/>
          <w:rFonts w:hint="eastAsia"/>
        </w:rPr>
        <w:tab/>
      </w:r>
      <w:r w:rsidRPr="008972C0">
        <w:rPr>
          <w:rStyle w:val="shorttext"/>
          <w:rFonts w:hint="eastAsia"/>
          <w:szCs w:val="18"/>
        </w:rPr>
        <w:t>2015</w:t>
      </w:r>
      <w:r w:rsidRPr="008972C0">
        <w:rPr>
          <w:rStyle w:val="shorttext"/>
          <w:rFonts w:hint="eastAsia"/>
          <w:szCs w:val="18"/>
        </w:rPr>
        <w:t>年</w:t>
      </w:r>
      <w:r w:rsidRPr="008972C0">
        <w:rPr>
          <w:rStyle w:val="shorttext"/>
          <w:rFonts w:hint="eastAsia"/>
          <w:szCs w:val="18"/>
        </w:rPr>
        <w:t>10</w:t>
      </w:r>
      <w:r w:rsidRPr="008972C0">
        <w:rPr>
          <w:rStyle w:val="shorttext"/>
          <w:rFonts w:hint="eastAsia"/>
          <w:szCs w:val="18"/>
        </w:rPr>
        <w:t>月</w:t>
      </w:r>
      <w:r w:rsidRPr="008972C0">
        <w:rPr>
          <w:rStyle w:val="shorttext"/>
          <w:rFonts w:hint="eastAsia"/>
          <w:szCs w:val="18"/>
        </w:rPr>
        <w:t>7</w:t>
      </w:r>
      <w:r w:rsidRPr="008972C0">
        <w:rPr>
          <w:rStyle w:val="shorttext"/>
          <w:rFonts w:hint="eastAsia"/>
          <w:szCs w:val="18"/>
        </w:rPr>
        <w:t>日至</w:t>
      </w:r>
      <w:r w:rsidRPr="008972C0">
        <w:rPr>
          <w:rStyle w:val="af"/>
          <w:rFonts w:asciiTheme="majorBidi" w:hAnsiTheme="majorBidi" w:cstheme="majorBidi" w:hint="eastAsia"/>
          <w:color w:val="000000" w:themeColor="text1"/>
        </w:rPr>
        <w:t>9</w:t>
      </w:r>
      <w:r w:rsidRPr="008972C0">
        <w:rPr>
          <w:rStyle w:val="af"/>
          <w:rFonts w:asciiTheme="majorBidi" w:hAnsiTheme="majorBidi" w:cstheme="majorBidi" w:hint="eastAsia"/>
          <w:color w:val="000000" w:themeColor="text1"/>
        </w:rPr>
        <w:t>日在巴黎举行的第六届年会通过，</w:t>
      </w:r>
      <w:r w:rsidRPr="008972C0">
        <w:rPr>
          <w:rStyle w:val="af"/>
          <w:rFonts w:asciiTheme="majorBidi" w:hAnsiTheme="majorBidi" w:cstheme="majorBidi"/>
          <w:color w:val="000000" w:themeColor="text1"/>
        </w:rPr>
        <w:t>可查阅</w:t>
      </w:r>
      <w:hyperlink r:id="rId19" w:history="1">
        <w:r w:rsidRPr="008972C0">
          <w:rPr>
            <w:rStyle w:val="af"/>
            <w:rFonts w:asciiTheme="majorBidi" w:hAnsiTheme="majorBidi" w:cstheme="majorBidi"/>
            <w:color w:val="000000" w:themeColor="text1"/>
          </w:rPr>
          <w:t>www.preventionweb.net/</w:t>
        </w:r>
      </w:hyperlink>
      <w:r w:rsidRPr="008972C0">
        <w:rPr>
          <w:rStyle w:val="af"/>
          <w:rFonts w:asciiTheme="majorBidi" w:hAnsiTheme="majorBidi" w:cstheme="majorBidi" w:hint="eastAsia"/>
          <w:color w:val="000000" w:themeColor="text1"/>
        </w:rPr>
        <w:t xml:space="preserve"> </w:t>
      </w:r>
      <w:r w:rsidRPr="008972C0">
        <w:rPr>
          <w:rStyle w:val="af"/>
          <w:rFonts w:asciiTheme="majorBidi" w:hAnsiTheme="majorBidi" w:cstheme="majorBidi"/>
          <w:color w:val="000000" w:themeColor="text1"/>
        </w:rPr>
        <w:t>files/43847_efdrrroadmap20152020final.pdf (</w:t>
      </w:r>
      <w:r w:rsidRPr="008972C0">
        <w:rPr>
          <w:szCs w:val="18"/>
        </w:rPr>
        <w:t>2016</w:t>
      </w:r>
      <w:r w:rsidRPr="008972C0">
        <w:rPr>
          <w:szCs w:val="18"/>
        </w:rPr>
        <w:t>年</w:t>
      </w:r>
      <w:r w:rsidRPr="008972C0">
        <w:rPr>
          <w:szCs w:val="18"/>
        </w:rPr>
        <w:t>7</w:t>
      </w:r>
      <w:r w:rsidRPr="008972C0">
        <w:rPr>
          <w:szCs w:val="18"/>
        </w:rPr>
        <w:t>月</w:t>
      </w:r>
      <w:r w:rsidRPr="008972C0">
        <w:rPr>
          <w:szCs w:val="18"/>
        </w:rPr>
        <w:t>4</w:t>
      </w:r>
      <w:r w:rsidRPr="008972C0">
        <w:rPr>
          <w:szCs w:val="18"/>
        </w:rPr>
        <w:t>日上传</w:t>
      </w:r>
      <w:r w:rsidRPr="008972C0">
        <w:rPr>
          <w:szCs w:val="18"/>
        </w:rPr>
        <w:t>)</w:t>
      </w:r>
      <w:r w:rsidRPr="008972C0">
        <w:rPr>
          <w:rFonts w:hint="eastAsia"/>
          <w:szCs w:val="18"/>
        </w:rPr>
        <w:t>。</w:t>
      </w:r>
    </w:p>
  </w:footnote>
  <w:footnote w:id="135">
    <w:p w:rsidR="00AB00DE" w:rsidRPr="004A16A7" w:rsidRDefault="00AB00DE" w:rsidP="00765E0D">
      <w:pPr>
        <w:pStyle w:val="a4"/>
        <w:widowControl w:val="0"/>
        <w:autoSpaceDE w:val="0"/>
        <w:autoSpaceDN w:val="0"/>
        <w:rPr>
          <w:color w:val="000000" w:themeColor="text1"/>
          <w:szCs w:val="16"/>
        </w:rPr>
      </w:pPr>
      <w:r w:rsidRPr="008972C0">
        <w:rPr>
          <w:rStyle w:val="shorttext"/>
          <w:rFonts w:hint="eastAsia"/>
        </w:rPr>
        <w:tab/>
      </w:r>
      <w:r w:rsidRPr="008972C0">
        <w:rPr>
          <w:rStyle w:val="a5"/>
          <w:szCs w:val="16"/>
        </w:rPr>
        <w:footnoteRef/>
      </w:r>
      <w:r w:rsidRPr="008972C0">
        <w:rPr>
          <w:rStyle w:val="shorttext"/>
          <w:rFonts w:hint="eastAsia"/>
        </w:rPr>
        <w:tab/>
      </w:r>
      <w:r w:rsidRPr="008972C0">
        <w:rPr>
          <w:rStyle w:val="shorttext"/>
          <w:rFonts w:hint="eastAsia"/>
          <w:spacing w:val="-8"/>
        </w:rPr>
        <w:t>2013</w:t>
      </w:r>
      <w:r w:rsidRPr="008972C0">
        <w:rPr>
          <w:rStyle w:val="shorttext"/>
          <w:rFonts w:hint="eastAsia"/>
          <w:spacing w:val="-8"/>
        </w:rPr>
        <w:t>年</w:t>
      </w:r>
      <w:r w:rsidRPr="008972C0">
        <w:rPr>
          <w:rStyle w:val="shorttext"/>
          <w:rFonts w:hint="eastAsia"/>
          <w:spacing w:val="-8"/>
        </w:rPr>
        <w:t>5</w:t>
      </w:r>
      <w:r w:rsidRPr="008972C0">
        <w:rPr>
          <w:rStyle w:val="shorttext"/>
          <w:rFonts w:hint="eastAsia"/>
          <w:spacing w:val="-8"/>
        </w:rPr>
        <w:t>月</w:t>
      </w:r>
      <w:r w:rsidRPr="008972C0">
        <w:rPr>
          <w:rStyle w:val="shorttext"/>
          <w:rFonts w:hint="eastAsia"/>
          <w:spacing w:val="-8"/>
        </w:rPr>
        <w:t>31</w:t>
      </w:r>
      <w:r w:rsidRPr="008972C0">
        <w:rPr>
          <w:rStyle w:val="shorttext"/>
          <w:rFonts w:hint="eastAsia"/>
          <w:spacing w:val="-8"/>
        </w:rPr>
        <w:t>日部长们在前南斯拉夫的马其顿共和国奥赫里德通过，</w:t>
      </w:r>
      <w:r w:rsidRPr="004A16A7">
        <w:rPr>
          <w:spacing w:val="-8"/>
          <w:szCs w:val="16"/>
        </w:rPr>
        <w:t>可查阅</w:t>
      </w:r>
      <w:r w:rsidRPr="008972C0">
        <w:rPr>
          <w:rStyle w:val="af"/>
          <w:rFonts w:asciiTheme="majorBidi" w:hAnsiTheme="majorBidi" w:cstheme="majorBidi"/>
          <w:color w:val="000000" w:themeColor="text1"/>
          <w:szCs w:val="18"/>
        </w:rPr>
        <w:t>www.preventionweb.net/</w:t>
      </w:r>
      <w:r w:rsidRPr="008972C0">
        <w:rPr>
          <w:rStyle w:val="af"/>
          <w:rFonts w:asciiTheme="majorBidi" w:hAnsiTheme="majorBidi" w:cstheme="majorBidi" w:hint="eastAsia"/>
          <w:color w:val="000000" w:themeColor="text1"/>
          <w:szCs w:val="18"/>
        </w:rPr>
        <w:t xml:space="preserve"> </w:t>
      </w:r>
      <w:r w:rsidRPr="008972C0">
        <w:rPr>
          <w:rStyle w:val="af"/>
          <w:rFonts w:asciiTheme="majorBidi" w:hAnsiTheme="majorBidi" w:cstheme="majorBidi"/>
          <w:color w:val="000000" w:themeColor="text1"/>
          <w:szCs w:val="18"/>
        </w:rPr>
        <w:t>files/31414_solidarityinactionjointstatement.pdf (2016</w:t>
      </w:r>
      <w:r w:rsidRPr="008972C0">
        <w:rPr>
          <w:rStyle w:val="af"/>
          <w:rFonts w:asciiTheme="majorBidi" w:hAnsiTheme="majorBidi" w:cstheme="majorBidi"/>
          <w:color w:val="000000" w:themeColor="text1"/>
          <w:szCs w:val="18"/>
        </w:rPr>
        <w:t>年</w:t>
      </w:r>
      <w:r w:rsidRPr="004A16A7">
        <w:rPr>
          <w:color w:val="000000" w:themeColor="text1"/>
          <w:szCs w:val="16"/>
        </w:rPr>
        <w:t>7</w:t>
      </w:r>
      <w:r w:rsidRPr="004A16A7">
        <w:rPr>
          <w:color w:val="000000" w:themeColor="text1"/>
          <w:szCs w:val="16"/>
        </w:rPr>
        <w:t>月</w:t>
      </w:r>
      <w:r w:rsidRPr="004A16A7">
        <w:rPr>
          <w:color w:val="000000" w:themeColor="text1"/>
          <w:szCs w:val="16"/>
        </w:rPr>
        <w:t>4</w:t>
      </w:r>
      <w:r w:rsidRPr="004A16A7">
        <w:rPr>
          <w:color w:val="000000" w:themeColor="text1"/>
          <w:szCs w:val="16"/>
        </w:rPr>
        <w:t>日上传</w:t>
      </w:r>
      <w:r w:rsidRPr="004A16A7">
        <w:rPr>
          <w:color w:val="000000" w:themeColor="text1"/>
          <w:szCs w:val="16"/>
        </w:rPr>
        <w:t>)</w:t>
      </w:r>
      <w:r w:rsidRPr="004A16A7">
        <w:rPr>
          <w:rFonts w:hint="eastAsia"/>
          <w:color w:val="000000" w:themeColor="text1"/>
          <w:szCs w:val="16"/>
        </w:rPr>
        <w:t>。</w:t>
      </w:r>
    </w:p>
  </w:footnote>
  <w:footnote w:id="136">
    <w:p w:rsidR="00AB00DE" w:rsidRPr="004A16A7" w:rsidRDefault="00AB00DE" w:rsidP="00765E0D">
      <w:pPr>
        <w:pStyle w:val="a4"/>
        <w:widowControl w:val="0"/>
        <w:autoSpaceDE w:val="0"/>
        <w:autoSpaceDN w:val="0"/>
        <w:rPr>
          <w:szCs w:val="16"/>
          <w:lang w:bidi="x-none"/>
        </w:rPr>
      </w:pPr>
      <w:r w:rsidRPr="008972C0">
        <w:rPr>
          <w:rFonts w:hint="eastAsia"/>
          <w:sz w:val="16"/>
          <w:szCs w:val="16"/>
        </w:rPr>
        <w:tab/>
      </w:r>
      <w:r w:rsidRPr="008972C0">
        <w:rPr>
          <w:rStyle w:val="a5"/>
          <w:szCs w:val="16"/>
        </w:rPr>
        <w:footnoteRef/>
      </w:r>
      <w:r w:rsidRPr="008972C0">
        <w:rPr>
          <w:sz w:val="16"/>
          <w:szCs w:val="16"/>
        </w:rPr>
        <w:tab/>
      </w:r>
      <w:r w:rsidRPr="008972C0">
        <w:rPr>
          <w:rFonts w:hint="eastAsia"/>
        </w:rPr>
        <w:t>见欧洲议会和欧盟理事会</w:t>
      </w:r>
      <w:r w:rsidRPr="008972C0">
        <w:rPr>
          <w:rFonts w:hint="eastAsia"/>
        </w:rPr>
        <w:t>2013</w:t>
      </w:r>
      <w:r w:rsidRPr="008972C0">
        <w:rPr>
          <w:rFonts w:hint="eastAsia"/>
        </w:rPr>
        <w:t>年</w:t>
      </w:r>
      <w:r w:rsidRPr="008972C0">
        <w:rPr>
          <w:rFonts w:hint="eastAsia"/>
        </w:rPr>
        <w:t>12</w:t>
      </w:r>
      <w:r w:rsidRPr="008972C0">
        <w:rPr>
          <w:rFonts w:hint="eastAsia"/>
        </w:rPr>
        <w:t>月</w:t>
      </w:r>
      <w:r w:rsidRPr="008972C0">
        <w:rPr>
          <w:rFonts w:hint="eastAsia"/>
        </w:rPr>
        <w:t>17</w:t>
      </w:r>
      <w:r w:rsidRPr="008972C0">
        <w:rPr>
          <w:rFonts w:hint="eastAsia"/>
        </w:rPr>
        <w:t>日第</w:t>
      </w:r>
      <w:r w:rsidRPr="004A16A7">
        <w:rPr>
          <w:szCs w:val="16"/>
        </w:rPr>
        <w:t>1313/2013/EU</w:t>
      </w:r>
      <w:r w:rsidRPr="004A16A7">
        <w:rPr>
          <w:rFonts w:hint="eastAsia"/>
          <w:szCs w:val="16"/>
        </w:rPr>
        <w:t>号决定，《</w:t>
      </w:r>
      <w:r w:rsidRPr="008972C0">
        <w:rPr>
          <w:rFonts w:hint="eastAsia"/>
        </w:rPr>
        <w:t>欧盟官方公报》，</w:t>
      </w:r>
      <w:r w:rsidRPr="008972C0">
        <w:rPr>
          <w:rFonts w:hint="eastAsia"/>
        </w:rPr>
        <w:t>L347</w:t>
      </w:r>
      <w:r w:rsidRPr="008972C0">
        <w:rPr>
          <w:rFonts w:hint="eastAsia"/>
        </w:rPr>
        <w:t>。</w:t>
      </w:r>
    </w:p>
  </w:footnote>
  <w:footnote w:id="137">
    <w:p w:rsidR="00AB00DE" w:rsidRPr="008972C0" w:rsidRDefault="00AB00DE" w:rsidP="00765E0D">
      <w:pPr>
        <w:pStyle w:val="a4"/>
        <w:widowControl w:val="0"/>
        <w:autoSpaceDE w:val="0"/>
        <w:autoSpaceDN w:val="0"/>
        <w:rPr>
          <w:spacing w:val="-4"/>
        </w:rPr>
      </w:pPr>
      <w:r w:rsidRPr="008972C0">
        <w:rPr>
          <w:rFonts w:hint="eastAsia"/>
        </w:rPr>
        <w:tab/>
      </w:r>
      <w:r w:rsidRPr="008972C0">
        <w:rPr>
          <w:rStyle w:val="a5"/>
        </w:rPr>
        <w:footnoteRef/>
      </w:r>
      <w:r w:rsidRPr="008972C0">
        <w:rPr>
          <w:rFonts w:hint="eastAsia"/>
        </w:rPr>
        <w:tab/>
      </w:r>
      <w:r w:rsidRPr="008972C0">
        <w:rPr>
          <w:rFonts w:hint="eastAsia"/>
          <w:spacing w:val="-4"/>
        </w:rPr>
        <w:t>会议于</w:t>
      </w:r>
      <w:r w:rsidRPr="008972C0">
        <w:rPr>
          <w:rStyle w:val="af"/>
          <w:rFonts w:asciiTheme="majorBidi" w:hAnsiTheme="majorBidi" w:cstheme="majorBidi"/>
          <w:color w:val="000000" w:themeColor="text1"/>
          <w:szCs w:val="18"/>
        </w:rPr>
        <w:t>2015</w:t>
      </w:r>
      <w:r w:rsidRPr="008972C0">
        <w:rPr>
          <w:rStyle w:val="af"/>
          <w:rFonts w:asciiTheme="majorBidi" w:hAnsiTheme="majorBidi" w:cstheme="majorBidi"/>
          <w:color w:val="000000" w:themeColor="text1"/>
          <w:szCs w:val="18"/>
        </w:rPr>
        <w:t>年</w:t>
      </w:r>
      <w:r w:rsidRPr="008972C0">
        <w:rPr>
          <w:rStyle w:val="af"/>
          <w:rFonts w:asciiTheme="majorBidi" w:hAnsiTheme="majorBidi" w:cstheme="majorBidi"/>
          <w:color w:val="000000" w:themeColor="text1"/>
          <w:szCs w:val="18"/>
        </w:rPr>
        <w:t>12</w:t>
      </w:r>
      <w:r w:rsidRPr="008972C0">
        <w:rPr>
          <w:rStyle w:val="af"/>
          <w:rFonts w:asciiTheme="majorBidi" w:hAnsiTheme="majorBidi" w:cstheme="majorBidi"/>
          <w:color w:val="000000" w:themeColor="text1"/>
          <w:szCs w:val="18"/>
        </w:rPr>
        <w:t>月</w:t>
      </w:r>
      <w:r w:rsidRPr="008972C0">
        <w:rPr>
          <w:rStyle w:val="af"/>
          <w:rFonts w:asciiTheme="majorBidi" w:hAnsiTheme="majorBidi" w:cstheme="majorBidi"/>
          <w:color w:val="000000" w:themeColor="text1"/>
          <w:szCs w:val="18"/>
        </w:rPr>
        <w:t>8</w:t>
      </w:r>
      <w:r w:rsidRPr="008972C0">
        <w:rPr>
          <w:rStyle w:val="af"/>
          <w:rFonts w:asciiTheme="majorBidi" w:hAnsiTheme="majorBidi" w:cstheme="majorBidi" w:hint="eastAsia"/>
          <w:color w:val="000000" w:themeColor="text1"/>
          <w:szCs w:val="18"/>
        </w:rPr>
        <w:t>日至</w:t>
      </w:r>
      <w:r w:rsidRPr="008972C0">
        <w:rPr>
          <w:rStyle w:val="af"/>
          <w:rFonts w:asciiTheme="majorBidi" w:hAnsiTheme="majorBidi" w:cstheme="majorBidi"/>
          <w:color w:val="000000" w:themeColor="text1"/>
          <w:szCs w:val="18"/>
        </w:rPr>
        <w:t>10</w:t>
      </w:r>
      <w:r w:rsidRPr="008972C0">
        <w:rPr>
          <w:rStyle w:val="af"/>
          <w:rFonts w:asciiTheme="majorBidi" w:hAnsiTheme="majorBidi" w:cstheme="majorBidi"/>
          <w:color w:val="000000" w:themeColor="text1"/>
          <w:szCs w:val="18"/>
        </w:rPr>
        <w:t>日</w:t>
      </w:r>
      <w:r w:rsidRPr="008972C0">
        <w:rPr>
          <w:rStyle w:val="af"/>
          <w:rFonts w:asciiTheme="majorBidi" w:hAnsiTheme="majorBidi" w:cstheme="majorBidi" w:hint="eastAsia"/>
          <w:color w:val="000000" w:themeColor="text1"/>
          <w:szCs w:val="18"/>
        </w:rPr>
        <w:t>在日内瓦举行，</w:t>
      </w:r>
      <w:r w:rsidRPr="008972C0">
        <w:rPr>
          <w:rStyle w:val="af"/>
          <w:rFonts w:asciiTheme="majorBidi" w:hAnsiTheme="majorBidi" w:cstheme="majorBidi"/>
          <w:color w:val="000000" w:themeColor="text1"/>
          <w:szCs w:val="18"/>
        </w:rPr>
        <w:t>可查阅</w:t>
      </w:r>
      <w:r w:rsidRPr="008972C0">
        <w:rPr>
          <w:rStyle w:val="af"/>
          <w:rFonts w:asciiTheme="majorBidi" w:hAnsiTheme="majorBidi" w:cstheme="majorBidi"/>
          <w:color w:val="000000" w:themeColor="text1"/>
          <w:szCs w:val="18"/>
        </w:rPr>
        <w:t>http://rcrcconference.org/wp-content/</w:t>
      </w:r>
      <w:r w:rsidRPr="008972C0">
        <w:rPr>
          <w:rStyle w:val="af"/>
          <w:rFonts w:asciiTheme="majorBidi" w:hAnsiTheme="majorBidi" w:cstheme="majorBidi" w:hint="eastAsia"/>
          <w:color w:val="000000" w:themeColor="text1"/>
          <w:szCs w:val="18"/>
        </w:rPr>
        <w:t xml:space="preserve"> </w:t>
      </w:r>
      <w:r w:rsidRPr="008972C0">
        <w:rPr>
          <w:rStyle w:val="af"/>
          <w:rFonts w:asciiTheme="majorBidi" w:hAnsiTheme="majorBidi" w:cstheme="majorBidi"/>
          <w:color w:val="000000" w:themeColor="text1"/>
          <w:szCs w:val="18"/>
        </w:rPr>
        <w:t>uploads/sites/3/2015/04/32IC-Res6-legal-frameworks-for-disaster_EN.pdf</w:t>
      </w:r>
      <w:r w:rsidRPr="008972C0">
        <w:rPr>
          <w:spacing w:val="-4"/>
        </w:rPr>
        <w:t xml:space="preserve"> (2016</w:t>
      </w:r>
      <w:r w:rsidRPr="008972C0">
        <w:rPr>
          <w:spacing w:val="-4"/>
        </w:rPr>
        <w:t>年</w:t>
      </w:r>
      <w:r w:rsidRPr="008972C0">
        <w:rPr>
          <w:spacing w:val="-4"/>
        </w:rPr>
        <w:t>7</w:t>
      </w:r>
      <w:r w:rsidRPr="008972C0">
        <w:rPr>
          <w:spacing w:val="-4"/>
        </w:rPr>
        <w:t>月</w:t>
      </w:r>
      <w:r w:rsidRPr="008972C0">
        <w:rPr>
          <w:spacing w:val="-4"/>
        </w:rPr>
        <w:t>4</w:t>
      </w:r>
      <w:r w:rsidRPr="008972C0">
        <w:rPr>
          <w:spacing w:val="-4"/>
        </w:rPr>
        <w:t>日上传</w:t>
      </w:r>
      <w:r w:rsidRPr="008972C0">
        <w:rPr>
          <w:spacing w:val="-4"/>
        </w:rPr>
        <w:t>)</w:t>
      </w:r>
      <w:r w:rsidRPr="008972C0">
        <w:rPr>
          <w:rFonts w:hint="eastAsia"/>
          <w:spacing w:val="-4"/>
        </w:rPr>
        <w:t>。</w:t>
      </w:r>
    </w:p>
  </w:footnote>
  <w:footnote w:id="138">
    <w:p w:rsidR="00AB00DE" w:rsidRPr="008972C0" w:rsidRDefault="00AB00DE" w:rsidP="00765E0D">
      <w:pPr>
        <w:pStyle w:val="a4"/>
        <w:widowControl w:val="0"/>
        <w:autoSpaceDE w:val="0"/>
        <w:autoSpaceDN w:val="0"/>
        <w:rPr>
          <w:rStyle w:val="af"/>
          <w:rFonts w:asciiTheme="majorBidi" w:hAnsiTheme="majorBidi" w:cstheme="majorBidi"/>
          <w:color w:val="000000" w:themeColor="text1"/>
        </w:rPr>
      </w:pPr>
      <w:r w:rsidRPr="008972C0">
        <w:rPr>
          <w:rFonts w:hint="eastAsia"/>
          <w:sz w:val="16"/>
          <w:szCs w:val="16"/>
        </w:rPr>
        <w:tab/>
      </w:r>
      <w:r w:rsidRPr="008972C0">
        <w:rPr>
          <w:rStyle w:val="a5"/>
          <w:szCs w:val="16"/>
        </w:rPr>
        <w:footnoteRef/>
      </w:r>
      <w:r w:rsidRPr="008972C0">
        <w:rPr>
          <w:rFonts w:hint="eastAsia"/>
          <w:sz w:val="16"/>
          <w:szCs w:val="16"/>
        </w:rPr>
        <w:tab/>
      </w:r>
      <w:r w:rsidRPr="008972C0">
        <w:rPr>
          <w:rFonts w:hint="eastAsia"/>
          <w:szCs w:val="18"/>
        </w:rPr>
        <w:t>见</w:t>
      </w:r>
      <w:r w:rsidRPr="008972C0">
        <w:rPr>
          <w:szCs w:val="18"/>
        </w:rPr>
        <w:t>2016</w:t>
      </w:r>
      <w:r w:rsidRPr="008972C0">
        <w:rPr>
          <w:rStyle w:val="af"/>
          <w:rFonts w:asciiTheme="majorBidi" w:hAnsiTheme="majorBidi" w:cstheme="majorBidi"/>
          <w:color w:val="000000" w:themeColor="text1"/>
        </w:rPr>
        <w:t>年</w:t>
      </w:r>
      <w:r w:rsidRPr="008972C0">
        <w:rPr>
          <w:rStyle w:val="af"/>
          <w:rFonts w:asciiTheme="majorBidi" w:hAnsiTheme="majorBidi" w:cstheme="majorBidi"/>
          <w:color w:val="000000" w:themeColor="text1"/>
        </w:rPr>
        <w:t>6</w:t>
      </w:r>
      <w:r w:rsidRPr="008972C0">
        <w:rPr>
          <w:rStyle w:val="af"/>
          <w:rFonts w:asciiTheme="majorBidi" w:hAnsiTheme="majorBidi" w:cstheme="majorBidi"/>
          <w:color w:val="000000" w:themeColor="text1"/>
        </w:rPr>
        <w:t>月</w:t>
      </w:r>
      <w:r w:rsidRPr="008972C0">
        <w:rPr>
          <w:rStyle w:val="af"/>
          <w:rFonts w:asciiTheme="majorBidi" w:hAnsiTheme="majorBidi" w:cstheme="majorBidi"/>
          <w:color w:val="000000" w:themeColor="text1"/>
        </w:rPr>
        <w:t>16</w:t>
      </w:r>
      <w:r w:rsidRPr="008972C0">
        <w:rPr>
          <w:rStyle w:val="af"/>
          <w:rFonts w:asciiTheme="majorBidi" w:hAnsiTheme="majorBidi" w:cstheme="majorBidi"/>
          <w:color w:val="000000" w:themeColor="text1"/>
        </w:rPr>
        <w:t>日</w:t>
      </w:r>
      <w:r w:rsidRPr="008972C0">
        <w:rPr>
          <w:rStyle w:val="af"/>
          <w:rFonts w:asciiTheme="majorBidi" w:hAnsiTheme="majorBidi" w:cstheme="majorBidi"/>
          <w:color w:val="000000" w:themeColor="text1"/>
        </w:rPr>
        <w:t>SWD(2016)205,</w:t>
      </w:r>
      <w:r w:rsidRPr="008972C0">
        <w:rPr>
          <w:rStyle w:val="af"/>
          <w:rFonts w:asciiTheme="majorBidi" w:hAnsiTheme="majorBidi" w:cstheme="majorBidi"/>
          <w:color w:val="000000" w:themeColor="text1"/>
        </w:rPr>
        <w:t>可查阅</w:t>
      </w:r>
      <w:hyperlink r:id="rId20" w:history="1">
        <w:r w:rsidRPr="008972C0">
          <w:rPr>
            <w:rStyle w:val="af"/>
            <w:rFonts w:asciiTheme="majorBidi" w:hAnsiTheme="majorBidi" w:cstheme="majorBidi"/>
            <w:color w:val="000000" w:themeColor="text1"/>
            <w:szCs w:val="18"/>
          </w:rPr>
          <w:t>http://ec.europa.eu/echo/sites/echo-site/files/sendai_</w:t>
        </w:r>
        <w:r w:rsidRPr="008972C0">
          <w:rPr>
            <w:rStyle w:val="af"/>
            <w:rFonts w:asciiTheme="majorBidi" w:hAnsiTheme="majorBidi" w:cstheme="majorBidi" w:hint="eastAsia"/>
            <w:color w:val="000000" w:themeColor="text1"/>
            <w:szCs w:val="18"/>
          </w:rPr>
          <w:t xml:space="preserve"> </w:t>
        </w:r>
        <w:r w:rsidRPr="008972C0">
          <w:rPr>
            <w:rStyle w:val="af"/>
            <w:rFonts w:asciiTheme="majorBidi" w:hAnsiTheme="majorBidi" w:cstheme="majorBidi"/>
            <w:color w:val="000000" w:themeColor="text1"/>
            <w:szCs w:val="18"/>
          </w:rPr>
          <w:t>swd_2016_205_0.pdf</w:t>
        </w:r>
      </w:hyperlink>
      <w:r w:rsidRPr="008972C0">
        <w:rPr>
          <w:rStyle w:val="af"/>
          <w:rFonts w:asciiTheme="majorBidi" w:hAnsiTheme="majorBidi" w:cstheme="majorBidi"/>
          <w:color w:val="000000" w:themeColor="text1"/>
        </w:rPr>
        <w:t xml:space="preserve"> (2016</w:t>
      </w:r>
      <w:r w:rsidRPr="008972C0">
        <w:rPr>
          <w:rStyle w:val="af"/>
          <w:rFonts w:asciiTheme="majorBidi" w:hAnsiTheme="majorBidi" w:cstheme="majorBidi"/>
          <w:color w:val="000000" w:themeColor="text1"/>
        </w:rPr>
        <w:t>年</w:t>
      </w:r>
      <w:r w:rsidRPr="008972C0">
        <w:rPr>
          <w:rStyle w:val="af"/>
          <w:rFonts w:asciiTheme="majorBidi" w:hAnsiTheme="majorBidi" w:cstheme="majorBidi"/>
          <w:color w:val="000000" w:themeColor="text1"/>
        </w:rPr>
        <w:t>7</w:t>
      </w:r>
      <w:r w:rsidRPr="008972C0">
        <w:rPr>
          <w:rStyle w:val="af"/>
          <w:rFonts w:asciiTheme="majorBidi" w:hAnsiTheme="majorBidi" w:cstheme="majorBidi"/>
          <w:color w:val="000000" w:themeColor="text1"/>
        </w:rPr>
        <w:t>月</w:t>
      </w:r>
      <w:r w:rsidRPr="008972C0">
        <w:rPr>
          <w:rStyle w:val="af"/>
          <w:rFonts w:asciiTheme="majorBidi" w:hAnsiTheme="majorBidi" w:cstheme="majorBidi"/>
          <w:color w:val="000000" w:themeColor="text1"/>
        </w:rPr>
        <w:t>4</w:t>
      </w:r>
      <w:r w:rsidRPr="008972C0">
        <w:rPr>
          <w:rStyle w:val="af"/>
          <w:rFonts w:asciiTheme="majorBidi" w:hAnsiTheme="majorBidi" w:cstheme="majorBidi"/>
          <w:color w:val="000000" w:themeColor="text1"/>
        </w:rPr>
        <w:t>日上传</w:t>
      </w:r>
      <w:r w:rsidRPr="008972C0">
        <w:rPr>
          <w:rStyle w:val="af"/>
          <w:rFonts w:asciiTheme="majorBidi" w:hAnsiTheme="majorBidi" w:cstheme="majorBidi"/>
          <w:color w:val="000000" w:themeColor="text1"/>
        </w:rPr>
        <w:t>)</w:t>
      </w:r>
      <w:r w:rsidRPr="008972C0">
        <w:rPr>
          <w:rStyle w:val="af"/>
          <w:rFonts w:asciiTheme="majorBidi" w:hAnsiTheme="majorBidi" w:cstheme="majorBidi" w:hint="eastAsia"/>
          <w:color w:val="000000" w:themeColor="text1"/>
        </w:rPr>
        <w:t>。</w:t>
      </w:r>
    </w:p>
  </w:footnote>
  <w:footnote w:id="139">
    <w:p w:rsidR="00AB00DE" w:rsidRPr="008972C0" w:rsidRDefault="00AB00DE" w:rsidP="00267AB1">
      <w:pPr>
        <w:pStyle w:val="a4"/>
        <w:widowControl w:val="0"/>
        <w:autoSpaceDE w:val="0"/>
        <w:autoSpaceDN w:val="0"/>
        <w:rPr>
          <w:rFonts w:hAnsi="Songti SC Regular"/>
        </w:rPr>
      </w:pPr>
      <w:r w:rsidRPr="008972C0">
        <w:rPr>
          <w:rFonts w:hAnsi="Songti SC Regular" w:hint="eastAsia"/>
        </w:rPr>
        <w:tab/>
      </w:r>
      <w:r w:rsidRPr="008972C0">
        <w:rPr>
          <w:color w:val="0000FF"/>
          <w:sz w:val="21"/>
          <w:vertAlign w:val="superscript"/>
        </w:rPr>
        <w:footnoteRef/>
      </w:r>
      <w:r w:rsidRPr="008972C0">
        <w:rPr>
          <w:rFonts w:hAnsi="Songti SC Regular"/>
        </w:rPr>
        <w:tab/>
      </w:r>
      <w:r w:rsidRPr="008972C0">
        <w:rPr>
          <w:rFonts w:hAnsi="Songti SC Regular"/>
        </w:rPr>
        <w:t>《兵库行动框架</w:t>
      </w:r>
      <w:r w:rsidRPr="008972C0">
        <w:rPr>
          <w:rFonts w:hAnsi="Songti SC Regular" w:hint="eastAsia"/>
        </w:rPr>
        <w:t>》</w:t>
      </w:r>
      <w:r w:rsidRPr="008972C0">
        <w:rPr>
          <w:rFonts w:hAnsi="Songti SC Regular"/>
        </w:rPr>
        <w:t>，</w:t>
      </w:r>
      <w:r w:rsidRPr="008972C0">
        <w:rPr>
          <w:rFonts w:hAnsi="Songti SC Regular" w:hint="eastAsia"/>
        </w:rPr>
        <w:t>(</w:t>
      </w:r>
      <w:r w:rsidRPr="008972C0">
        <w:rPr>
          <w:rFonts w:hAnsi="Songti SC Regular" w:hint="eastAsia"/>
        </w:rPr>
        <w:t>见上文脚注</w:t>
      </w:r>
      <w:r>
        <w:rPr>
          <w:rFonts w:hAnsi="Songti SC Regular"/>
        </w:rPr>
        <w:fldChar w:fldCharType="begin"/>
      </w:r>
      <w:r>
        <w:rPr>
          <w:rFonts w:hAnsi="Songti SC Regular"/>
        </w:rPr>
        <w:instrText xml:space="preserve"> </w:instrText>
      </w:r>
      <w:r>
        <w:rPr>
          <w:rFonts w:hAnsi="Songti SC Regular" w:hint="eastAsia"/>
        </w:rPr>
        <w:instrText>NOTEREF _Ref455500083 \h</w:instrText>
      </w:r>
      <w:r>
        <w:rPr>
          <w:rFonts w:hAnsi="Songti SC Regular"/>
        </w:rPr>
        <w:instrText xml:space="preserve"> </w:instrText>
      </w:r>
      <w:r>
        <w:rPr>
          <w:rFonts w:hAnsi="Songti SC Regular"/>
        </w:rPr>
      </w:r>
      <w:r>
        <w:rPr>
          <w:rFonts w:hAnsi="Songti SC Regular"/>
        </w:rPr>
        <w:fldChar w:fldCharType="separate"/>
      </w:r>
      <w:r w:rsidR="00A73EB9">
        <w:rPr>
          <w:rFonts w:hAnsi="Songti SC Regular"/>
        </w:rPr>
        <w:t>78</w:t>
      </w:r>
      <w:r>
        <w:rPr>
          <w:rFonts w:hAnsi="Songti SC Regular"/>
        </w:rPr>
        <w:fldChar w:fldCharType="end"/>
      </w:r>
      <w:r w:rsidRPr="008972C0">
        <w:rPr>
          <w:rFonts w:hAnsi="Songti SC Regular" w:hint="eastAsia"/>
        </w:rPr>
        <w:t>)</w:t>
      </w:r>
      <w:r w:rsidRPr="008972C0">
        <w:rPr>
          <w:rFonts w:hAnsi="Songti SC Regular" w:hint="eastAsia"/>
        </w:rPr>
        <w:t>，</w:t>
      </w:r>
      <w:r w:rsidRPr="008972C0">
        <w:rPr>
          <w:rFonts w:hAnsi="Songti SC Regular"/>
        </w:rPr>
        <w:t>优先事项</w:t>
      </w:r>
      <w:r w:rsidRPr="008972C0">
        <w:rPr>
          <w:rFonts w:hAnsi="Songti SC Regular"/>
        </w:rPr>
        <w:t>1</w:t>
      </w:r>
      <w:r w:rsidRPr="008972C0">
        <w:rPr>
          <w:rFonts w:hAnsi="Songti SC Regular" w:hint="eastAsia"/>
        </w:rPr>
        <w:t>，</w:t>
      </w:r>
      <w:r w:rsidRPr="008972C0">
        <w:rPr>
          <w:rFonts w:hAnsi="Songti SC Regular"/>
        </w:rPr>
        <w:t>核心指标</w:t>
      </w:r>
      <w:r w:rsidRPr="008972C0">
        <w:rPr>
          <w:rFonts w:hAnsi="Songti SC Regular"/>
        </w:rPr>
        <w:t>1.1</w:t>
      </w:r>
      <w:r w:rsidRPr="008972C0">
        <w:rPr>
          <w:rFonts w:hAnsi="Songti SC Regular"/>
        </w:rPr>
        <w:t>。</w:t>
      </w:r>
    </w:p>
  </w:footnote>
  <w:footnote w:id="140">
    <w:p w:rsidR="00AB00DE" w:rsidRPr="008972C0" w:rsidRDefault="00AB00DE" w:rsidP="00765E0D">
      <w:pPr>
        <w:pStyle w:val="a4"/>
        <w:widowControl w:val="0"/>
        <w:autoSpaceDE w:val="0"/>
        <w:autoSpaceDN w:val="0"/>
        <w:rPr>
          <w:rFonts w:hAnsi="Songti SC Regular"/>
        </w:rPr>
      </w:pPr>
      <w:r w:rsidRPr="008972C0">
        <w:rPr>
          <w:rFonts w:hAnsi="Songti SC Regular" w:hint="eastAsia"/>
        </w:rPr>
        <w:tab/>
      </w:r>
      <w:r w:rsidRPr="008972C0">
        <w:rPr>
          <w:color w:val="0000FF"/>
          <w:sz w:val="21"/>
          <w:vertAlign w:val="superscript"/>
        </w:rPr>
        <w:footnoteRef/>
      </w:r>
      <w:r w:rsidRPr="008972C0">
        <w:rPr>
          <w:rFonts w:hAnsi="Songti SC Regular"/>
        </w:rPr>
        <w:tab/>
      </w:r>
      <w:r w:rsidRPr="008972C0">
        <w:rPr>
          <w:rFonts w:hAnsi="Songti SC Regular" w:hint="eastAsia"/>
        </w:rPr>
        <w:t>已</w:t>
      </w:r>
      <w:r w:rsidRPr="008972C0">
        <w:rPr>
          <w:rFonts w:hAnsi="Songti SC Regular"/>
        </w:rPr>
        <w:t>建立国家</w:t>
      </w:r>
      <w:r w:rsidRPr="008972C0">
        <w:rPr>
          <w:rFonts w:hAnsi="Songti SC Regular" w:hint="eastAsia"/>
        </w:rPr>
        <w:t>平台</w:t>
      </w:r>
      <w:r w:rsidRPr="008972C0">
        <w:rPr>
          <w:rFonts w:hAnsi="Songti SC Regular"/>
        </w:rPr>
        <w:t>的国家名单</w:t>
      </w:r>
      <w:r w:rsidRPr="008972C0">
        <w:rPr>
          <w:rFonts w:hAnsi="Songti SC Regular" w:hint="eastAsia"/>
        </w:rPr>
        <w:t>，</w:t>
      </w:r>
      <w:r w:rsidRPr="008972C0">
        <w:rPr>
          <w:rFonts w:hAnsi="Songti SC Regular"/>
        </w:rPr>
        <w:t>见</w:t>
      </w:r>
      <w:r w:rsidRPr="008972C0">
        <w:rPr>
          <w:rFonts w:hAnsi="Songti SC Regular"/>
        </w:rPr>
        <w:t>http://www.unisdr.org/partners/countries</w:t>
      </w:r>
      <w:r w:rsidRPr="008972C0">
        <w:rPr>
          <w:rFonts w:hAnsi="Songti SC Regular"/>
        </w:rPr>
        <w:t>。</w:t>
      </w:r>
    </w:p>
  </w:footnote>
  <w:footnote w:id="141">
    <w:p w:rsidR="00AB00DE" w:rsidRPr="008972C0" w:rsidRDefault="00AB00DE" w:rsidP="00765E0D">
      <w:pPr>
        <w:pStyle w:val="a4"/>
        <w:widowControl w:val="0"/>
        <w:autoSpaceDE w:val="0"/>
        <w:autoSpaceDN w:val="0"/>
      </w:pPr>
      <w:r w:rsidRPr="008972C0">
        <w:tab/>
      </w:r>
      <w:r w:rsidRPr="008972C0">
        <w:rPr>
          <w:color w:val="0000FF"/>
          <w:sz w:val="21"/>
          <w:vertAlign w:val="superscript"/>
        </w:rPr>
        <w:footnoteRef/>
      </w:r>
      <w:r w:rsidRPr="008972C0">
        <w:tab/>
      </w:r>
      <w:r w:rsidRPr="008972C0">
        <w:rPr>
          <w:rFonts w:hint="eastAsia"/>
        </w:rPr>
        <w:t>《仙台框架》，第</w:t>
      </w:r>
      <w:r w:rsidRPr="008972C0">
        <w:t>27(g)</w:t>
      </w:r>
      <w:r w:rsidRPr="008972C0">
        <w:rPr>
          <w:rFonts w:hint="eastAsia"/>
        </w:rPr>
        <w:t>段。</w:t>
      </w:r>
    </w:p>
  </w:footnote>
  <w:footnote w:id="142">
    <w:p w:rsidR="00AB00DE" w:rsidRPr="008972C0" w:rsidRDefault="00AB00DE" w:rsidP="00765E0D">
      <w:pPr>
        <w:pStyle w:val="a4"/>
        <w:widowControl w:val="0"/>
        <w:autoSpaceDE w:val="0"/>
        <w:autoSpaceDN w:val="0"/>
      </w:pPr>
      <w:r w:rsidRPr="008972C0">
        <w:tab/>
      </w:r>
      <w:r w:rsidRPr="008972C0">
        <w:rPr>
          <w:color w:val="0000FF"/>
          <w:sz w:val="21"/>
          <w:vertAlign w:val="superscript"/>
        </w:rPr>
        <w:footnoteRef/>
      </w:r>
      <w:r w:rsidRPr="008972C0">
        <w:tab/>
      </w:r>
      <w:r w:rsidRPr="008972C0">
        <w:rPr>
          <w:rStyle w:val="shorttext"/>
          <w:rFonts w:hint="eastAsia"/>
        </w:rPr>
        <w:t>2004</w:t>
      </w:r>
      <w:r w:rsidRPr="008972C0">
        <w:rPr>
          <w:rStyle w:val="shorttext"/>
          <w:rFonts w:hint="eastAsia"/>
        </w:rPr>
        <w:t>年</w:t>
      </w:r>
      <w:r w:rsidRPr="008972C0">
        <w:rPr>
          <w:rStyle w:val="shorttext"/>
          <w:rFonts w:hint="eastAsia"/>
        </w:rPr>
        <w:t>12</w:t>
      </w:r>
      <w:r w:rsidRPr="008972C0">
        <w:rPr>
          <w:rStyle w:val="shorttext"/>
          <w:rFonts w:hint="eastAsia"/>
        </w:rPr>
        <w:t>月</w:t>
      </w:r>
      <w:r w:rsidRPr="008972C0">
        <w:rPr>
          <w:rStyle w:val="shorttext"/>
          <w:rFonts w:hint="eastAsia"/>
        </w:rPr>
        <w:t>25</w:t>
      </w:r>
      <w:r w:rsidRPr="008972C0">
        <w:rPr>
          <w:rStyle w:val="shorttext"/>
          <w:rFonts w:hint="eastAsia"/>
        </w:rPr>
        <w:t>日关于在可持续发展框架内预防风险和灾害管理的第</w:t>
      </w:r>
      <w:r w:rsidRPr="008972C0">
        <w:rPr>
          <w:rStyle w:val="shorttext"/>
          <w:rFonts w:hint="eastAsia"/>
        </w:rPr>
        <w:t>04-20</w:t>
      </w:r>
      <w:r w:rsidRPr="008972C0">
        <w:rPr>
          <w:rStyle w:val="shorttext"/>
          <w:rFonts w:hint="eastAsia"/>
        </w:rPr>
        <w:t>号法律</w:t>
      </w:r>
      <w:r w:rsidRPr="008972C0">
        <w:t>。</w:t>
      </w:r>
    </w:p>
  </w:footnote>
  <w:footnote w:id="143">
    <w:p w:rsidR="00AB00DE" w:rsidRPr="008972C0" w:rsidRDefault="00AB00DE" w:rsidP="00765E0D">
      <w:pPr>
        <w:pStyle w:val="a4"/>
        <w:widowControl w:val="0"/>
        <w:autoSpaceDE w:val="0"/>
        <w:autoSpaceDN w:val="0"/>
      </w:pPr>
      <w:r w:rsidRPr="008972C0">
        <w:tab/>
      </w:r>
      <w:r w:rsidRPr="008972C0">
        <w:rPr>
          <w:color w:val="0000FF"/>
          <w:sz w:val="21"/>
          <w:vertAlign w:val="superscript"/>
        </w:rPr>
        <w:footnoteRef/>
      </w:r>
      <w:r w:rsidRPr="008972C0">
        <w:tab/>
      </w:r>
      <w:r w:rsidRPr="008972C0">
        <w:t>喀麦隆，</w:t>
      </w:r>
      <w:r w:rsidRPr="008972C0">
        <w:rPr>
          <w:rFonts w:hint="eastAsia"/>
        </w:rPr>
        <w:t>关于国家灾害观察站</w:t>
      </w:r>
      <w:r w:rsidRPr="008972C0">
        <w:rPr>
          <w:rStyle w:val="shorttext"/>
          <w:rFonts w:hint="eastAsia"/>
        </w:rPr>
        <w:t>建立、组织和运行的</w:t>
      </w:r>
      <w:r w:rsidRPr="008972C0">
        <w:rPr>
          <w:rFonts w:hint="eastAsia"/>
        </w:rPr>
        <w:t>2003</w:t>
      </w:r>
      <w:r w:rsidRPr="008972C0">
        <w:rPr>
          <w:rFonts w:hint="eastAsia"/>
        </w:rPr>
        <w:t>年</w:t>
      </w:r>
      <w:r w:rsidRPr="008972C0">
        <w:rPr>
          <w:rFonts w:hint="eastAsia"/>
        </w:rPr>
        <w:t>3</w:t>
      </w:r>
      <w:r w:rsidRPr="008972C0">
        <w:rPr>
          <w:rFonts w:hint="eastAsia"/>
        </w:rPr>
        <w:t>月</w:t>
      </w:r>
      <w:r w:rsidRPr="008972C0">
        <w:rPr>
          <w:rFonts w:hint="eastAsia"/>
        </w:rPr>
        <w:t>19</w:t>
      </w:r>
      <w:r w:rsidRPr="008972C0">
        <w:rPr>
          <w:rFonts w:hint="eastAsia"/>
        </w:rPr>
        <w:t>日</w:t>
      </w:r>
      <w:r w:rsidRPr="008972C0">
        <w:rPr>
          <w:rStyle w:val="shorttext"/>
          <w:rFonts w:hint="eastAsia"/>
        </w:rPr>
        <w:t>第</w:t>
      </w:r>
      <w:r w:rsidRPr="008972C0">
        <w:t>037/PM</w:t>
      </w:r>
      <w:r w:rsidRPr="008972C0">
        <w:rPr>
          <w:rFonts w:hint="eastAsia"/>
        </w:rPr>
        <w:t>号决定。</w:t>
      </w:r>
    </w:p>
  </w:footnote>
  <w:footnote w:id="144">
    <w:p w:rsidR="00AB00DE" w:rsidRPr="008972C0" w:rsidRDefault="00AB00DE" w:rsidP="00765E0D">
      <w:pPr>
        <w:pStyle w:val="a4"/>
        <w:widowControl w:val="0"/>
        <w:autoSpaceDE w:val="0"/>
        <w:autoSpaceDN w:val="0"/>
        <w:rPr>
          <w:rStyle w:val="af"/>
          <w:rFonts w:asciiTheme="majorBidi" w:hAnsiTheme="majorBidi" w:cstheme="majorBidi"/>
          <w:color w:val="000000" w:themeColor="text1"/>
          <w:szCs w:val="18"/>
        </w:rPr>
      </w:pPr>
      <w:r w:rsidRPr="008972C0">
        <w:tab/>
      </w:r>
      <w:r w:rsidRPr="008972C0">
        <w:rPr>
          <w:color w:val="0000FF"/>
          <w:sz w:val="21"/>
          <w:vertAlign w:val="superscript"/>
        </w:rPr>
        <w:footnoteRef/>
      </w:r>
      <w:r w:rsidRPr="008972C0">
        <w:tab/>
      </w:r>
      <w:r w:rsidRPr="008972C0">
        <w:t>中国</w:t>
      </w:r>
      <w:r w:rsidRPr="008972C0">
        <w:rPr>
          <w:rFonts w:hint="eastAsia"/>
        </w:rPr>
        <w:t>《</w:t>
      </w:r>
      <w:r w:rsidRPr="008972C0">
        <w:t>防灾救灾法</w:t>
      </w:r>
      <w:r w:rsidRPr="008972C0">
        <w:rPr>
          <w:rFonts w:hint="eastAsia"/>
        </w:rPr>
        <w:t>》</w:t>
      </w:r>
      <w:r w:rsidRPr="008972C0">
        <w:rPr>
          <w:rFonts w:hint="eastAsia"/>
        </w:rPr>
        <w:t>(2007</w:t>
      </w:r>
      <w:r w:rsidRPr="008972C0">
        <w:rPr>
          <w:rFonts w:hint="eastAsia"/>
        </w:rPr>
        <w:t>年</w:t>
      </w:r>
      <w:r w:rsidRPr="008972C0">
        <w:rPr>
          <w:rFonts w:hint="eastAsia"/>
        </w:rPr>
        <w:t>)</w:t>
      </w:r>
      <w:r w:rsidRPr="008972C0">
        <w:rPr>
          <w:rStyle w:val="af"/>
          <w:rFonts w:asciiTheme="majorBidi" w:hAnsiTheme="majorBidi" w:cstheme="majorBidi" w:hint="eastAsia"/>
          <w:color w:val="000000" w:themeColor="text1"/>
          <w:szCs w:val="18"/>
        </w:rPr>
        <w:t>，可查阅</w:t>
      </w:r>
      <w:hyperlink r:id="rId21" w:history="1">
        <w:r w:rsidRPr="008972C0">
          <w:rPr>
            <w:rStyle w:val="af"/>
            <w:rFonts w:asciiTheme="majorBidi" w:hAnsiTheme="majorBidi" w:cstheme="majorBidi"/>
            <w:color w:val="000000" w:themeColor="text1"/>
            <w:szCs w:val="18"/>
          </w:rPr>
          <w:t>www.npc.gov.cn/englishnpc/Law/2009-02/20/content_</w:t>
        </w:r>
        <w:r w:rsidRPr="008972C0">
          <w:rPr>
            <w:rStyle w:val="af"/>
            <w:rFonts w:asciiTheme="majorBidi" w:hAnsiTheme="majorBidi" w:cstheme="majorBidi" w:hint="eastAsia"/>
            <w:color w:val="000000" w:themeColor="text1"/>
            <w:szCs w:val="18"/>
          </w:rPr>
          <w:t xml:space="preserve"> </w:t>
        </w:r>
        <w:r w:rsidRPr="008972C0">
          <w:rPr>
            <w:rStyle w:val="af"/>
            <w:rFonts w:asciiTheme="majorBidi" w:hAnsiTheme="majorBidi" w:cstheme="majorBidi"/>
            <w:color w:val="000000" w:themeColor="text1"/>
            <w:szCs w:val="18"/>
          </w:rPr>
          <w:t>1471589.htm</w:t>
        </w:r>
      </w:hyperlink>
      <w:r w:rsidRPr="008972C0">
        <w:rPr>
          <w:rStyle w:val="af"/>
          <w:rFonts w:asciiTheme="majorBidi" w:hAnsiTheme="majorBidi" w:cstheme="majorBidi"/>
          <w:color w:val="000000" w:themeColor="text1"/>
          <w:szCs w:val="18"/>
        </w:rPr>
        <w:t xml:space="preserve"> (2016</w:t>
      </w:r>
      <w:r w:rsidRPr="008972C0">
        <w:rPr>
          <w:rStyle w:val="af"/>
          <w:rFonts w:asciiTheme="majorBidi" w:hAnsiTheme="majorBidi" w:cstheme="majorBidi"/>
          <w:color w:val="000000" w:themeColor="text1"/>
          <w:szCs w:val="18"/>
        </w:rPr>
        <w:t>年</w:t>
      </w:r>
      <w:r w:rsidRPr="008972C0">
        <w:rPr>
          <w:rStyle w:val="af"/>
          <w:rFonts w:asciiTheme="majorBidi" w:hAnsiTheme="majorBidi" w:cstheme="majorBidi"/>
          <w:color w:val="000000" w:themeColor="text1"/>
          <w:szCs w:val="18"/>
        </w:rPr>
        <w:t>7</w:t>
      </w:r>
      <w:r w:rsidRPr="008972C0">
        <w:rPr>
          <w:rStyle w:val="af"/>
          <w:rFonts w:asciiTheme="majorBidi" w:hAnsiTheme="majorBidi" w:cstheme="majorBidi"/>
          <w:color w:val="000000" w:themeColor="text1"/>
          <w:szCs w:val="18"/>
        </w:rPr>
        <w:t>月</w:t>
      </w:r>
      <w:r w:rsidRPr="008972C0">
        <w:rPr>
          <w:rStyle w:val="af"/>
          <w:rFonts w:asciiTheme="majorBidi" w:hAnsiTheme="majorBidi" w:cstheme="majorBidi"/>
          <w:color w:val="000000" w:themeColor="text1"/>
          <w:szCs w:val="18"/>
        </w:rPr>
        <w:t>4</w:t>
      </w:r>
      <w:r w:rsidRPr="008972C0">
        <w:rPr>
          <w:rStyle w:val="af"/>
          <w:rFonts w:asciiTheme="majorBidi" w:hAnsiTheme="majorBidi" w:cstheme="majorBidi"/>
          <w:color w:val="000000" w:themeColor="text1"/>
          <w:szCs w:val="18"/>
        </w:rPr>
        <w:t>日上传</w:t>
      </w:r>
      <w:r w:rsidRPr="008972C0">
        <w:rPr>
          <w:rStyle w:val="af"/>
          <w:rFonts w:asciiTheme="majorBidi" w:hAnsiTheme="majorBidi" w:cstheme="majorBidi"/>
          <w:color w:val="000000" w:themeColor="text1"/>
          <w:szCs w:val="18"/>
        </w:rPr>
        <w:t>)</w:t>
      </w:r>
      <w:r w:rsidRPr="008972C0">
        <w:rPr>
          <w:rStyle w:val="af"/>
          <w:rFonts w:asciiTheme="majorBidi" w:hAnsiTheme="majorBidi" w:cstheme="majorBidi" w:hint="eastAsia"/>
          <w:color w:val="000000" w:themeColor="text1"/>
          <w:szCs w:val="18"/>
        </w:rPr>
        <w:t>。</w:t>
      </w:r>
    </w:p>
  </w:footnote>
  <w:footnote w:id="145">
    <w:p w:rsidR="00AB00DE" w:rsidRPr="008972C0" w:rsidRDefault="00AB00DE" w:rsidP="00765E0D">
      <w:pPr>
        <w:pStyle w:val="a4"/>
        <w:widowControl w:val="0"/>
        <w:autoSpaceDE w:val="0"/>
        <w:autoSpaceDN w:val="0"/>
        <w:rPr>
          <w:szCs w:val="18"/>
        </w:rPr>
      </w:pPr>
      <w:r w:rsidRPr="008972C0">
        <w:rPr>
          <w:rFonts w:hint="eastAsia"/>
          <w:sz w:val="16"/>
          <w:szCs w:val="16"/>
        </w:rPr>
        <w:tab/>
      </w:r>
      <w:r w:rsidRPr="008972C0">
        <w:rPr>
          <w:rStyle w:val="a5"/>
          <w:szCs w:val="18"/>
        </w:rPr>
        <w:footnoteRef/>
      </w:r>
      <w:r w:rsidRPr="008972C0">
        <w:rPr>
          <w:rFonts w:hint="eastAsia"/>
          <w:szCs w:val="18"/>
        </w:rPr>
        <w:tab/>
      </w:r>
      <w:r w:rsidRPr="008972C0">
        <w:rPr>
          <w:rFonts w:hint="eastAsia"/>
          <w:spacing w:val="-4"/>
          <w:szCs w:val="18"/>
        </w:rPr>
        <w:t>《灾害管理法》，</w:t>
      </w:r>
      <w:r w:rsidRPr="008972C0">
        <w:rPr>
          <w:rStyle w:val="af"/>
          <w:rFonts w:asciiTheme="majorBidi" w:hAnsiTheme="majorBidi" w:cstheme="majorBidi"/>
          <w:color w:val="000000" w:themeColor="text1"/>
        </w:rPr>
        <w:t>NS/RKM/0715/007,</w:t>
      </w:r>
      <w:r w:rsidRPr="008972C0">
        <w:rPr>
          <w:rStyle w:val="af"/>
          <w:rFonts w:asciiTheme="majorBidi" w:hAnsiTheme="majorBidi" w:cstheme="majorBidi" w:hint="eastAsia"/>
          <w:color w:val="000000" w:themeColor="text1"/>
        </w:rPr>
        <w:t>参议院</w:t>
      </w:r>
      <w:r w:rsidRPr="008972C0">
        <w:rPr>
          <w:rStyle w:val="af"/>
          <w:rFonts w:asciiTheme="majorBidi" w:hAnsiTheme="majorBidi" w:cstheme="majorBidi"/>
          <w:color w:val="000000" w:themeColor="text1"/>
        </w:rPr>
        <w:t>2015</w:t>
      </w:r>
      <w:r w:rsidRPr="008972C0">
        <w:rPr>
          <w:rStyle w:val="af"/>
          <w:rFonts w:asciiTheme="majorBidi" w:hAnsiTheme="majorBidi" w:cstheme="majorBidi"/>
          <w:color w:val="000000" w:themeColor="text1"/>
        </w:rPr>
        <w:t>年</w:t>
      </w:r>
      <w:r w:rsidRPr="008972C0">
        <w:rPr>
          <w:rStyle w:val="af"/>
          <w:rFonts w:asciiTheme="majorBidi" w:hAnsiTheme="majorBidi" w:cstheme="majorBidi"/>
          <w:color w:val="000000" w:themeColor="text1"/>
        </w:rPr>
        <w:t>6</w:t>
      </w:r>
      <w:r w:rsidRPr="008972C0">
        <w:rPr>
          <w:rStyle w:val="af"/>
          <w:rFonts w:asciiTheme="majorBidi" w:hAnsiTheme="majorBidi" w:cstheme="majorBidi"/>
          <w:color w:val="000000" w:themeColor="text1"/>
        </w:rPr>
        <w:t>月</w:t>
      </w:r>
      <w:r w:rsidRPr="008972C0">
        <w:rPr>
          <w:rStyle w:val="af"/>
          <w:rFonts w:asciiTheme="majorBidi" w:hAnsiTheme="majorBidi" w:cstheme="majorBidi"/>
          <w:color w:val="000000" w:themeColor="text1"/>
        </w:rPr>
        <w:t>30</w:t>
      </w:r>
      <w:r w:rsidRPr="008972C0">
        <w:rPr>
          <w:rStyle w:val="af"/>
          <w:rFonts w:asciiTheme="majorBidi" w:hAnsiTheme="majorBidi" w:cstheme="majorBidi"/>
          <w:color w:val="000000" w:themeColor="text1"/>
        </w:rPr>
        <w:t>日</w:t>
      </w:r>
      <w:r w:rsidRPr="008972C0">
        <w:rPr>
          <w:rStyle w:val="af"/>
          <w:rFonts w:asciiTheme="majorBidi" w:hAnsiTheme="majorBidi" w:cstheme="majorBidi" w:hint="eastAsia"/>
          <w:color w:val="000000" w:themeColor="text1"/>
        </w:rPr>
        <w:t>批准，</w:t>
      </w:r>
      <w:r w:rsidRPr="008972C0">
        <w:rPr>
          <w:rStyle w:val="af"/>
          <w:rFonts w:asciiTheme="majorBidi" w:hAnsiTheme="majorBidi" w:cstheme="majorBidi"/>
          <w:color w:val="000000" w:themeColor="text1"/>
        </w:rPr>
        <w:t>可查阅</w:t>
      </w:r>
      <w:hyperlink r:id="rId22" w:history="1">
        <w:r w:rsidRPr="008972C0">
          <w:rPr>
            <w:rStyle w:val="af"/>
            <w:rFonts w:asciiTheme="majorBidi" w:hAnsiTheme="majorBidi" w:cstheme="majorBidi"/>
            <w:color w:val="000000" w:themeColor="text1"/>
            <w:szCs w:val="18"/>
          </w:rPr>
          <w:t>www.ifrc.org/</w:t>
        </w:r>
        <w:r w:rsidRPr="008972C0">
          <w:rPr>
            <w:rStyle w:val="af"/>
            <w:rFonts w:asciiTheme="majorBidi" w:hAnsiTheme="majorBidi" w:cstheme="majorBidi" w:hint="eastAsia"/>
            <w:color w:val="000000" w:themeColor="text1"/>
            <w:szCs w:val="18"/>
          </w:rPr>
          <w:t xml:space="preserve"> </w:t>
        </w:r>
        <w:r w:rsidRPr="008972C0">
          <w:rPr>
            <w:rStyle w:val="af"/>
            <w:rFonts w:asciiTheme="majorBidi" w:hAnsiTheme="majorBidi" w:cstheme="majorBidi"/>
            <w:color w:val="000000" w:themeColor="text1"/>
            <w:szCs w:val="18"/>
          </w:rPr>
          <w:t>Global/Publications/IDRL/DM%20acts/Cambodia%20DM%20Law_English.pdf</w:t>
        </w:r>
      </w:hyperlink>
      <w:r w:rsidRPr="008972C0">
        <w:rPr>
          <w:rStyle w:val="af"/>
          <w:rFonts w:asciiTheme="majorBidi" w:hAnsiTheme="majorBidi" w:cstheme="majorBidi" w:hint="eastAsia"/>
          <w:color w:val="000000" w:themeColor="text1"/>
          <w:szCs w:val="18"/>
        </w:rPr>
        <w:t xml:space="preserve"> </w:t>
      </w:r>
      <w:r w:rsidRPr="008972C0">
        <w:rPr>
          <w:rStyle w:val="af"/>
          <w:rFonts w:asciiTheme="majorBidi" w:hAnsiTheme="majorBidi" w:cstheme="majorBidi"/>
          <w:color w:val="000000" w:themeColor="text1"/>
        </w:rPr>
        <w:t>(2016</w:t>
      </w:r>
      <w:r w:rsidRPr="008972C0">
        <w:rPr>
          <w:spacing w:val="-4"/>
          <w:szCs w:val="18"/>
        </w:rPr>
        <w:t>年</w:t>
      </w:r>
      <w:r w:rsidRPr="008972C0">
        <w:rPr>
          <w:spacing w:val="-4"/>
          <w:szCs w:val="18"/>
        </w:rPr>
        <w:t>7</w:t>
      </w:r>
      <w:r w:rsidRPr="008972C0">
        <w:rPr>
          <w:spacing w:val="-4"/>
          <w:szCs w:val="18"/>
        </w:rPr>
        <w:t>月</w:t>
      </w:r>
      <w:r w:rsidRPr="008972C0">
        <w:rPr>
          <w:spacing w:val="-4"/>
          <w:szCs w:val="18"/>
        </w:rPr>
        <w:t>4</w:t>
      </w:r>
      <w:r w:rsidRPr="008972C0">
        <w:rPr>
          <w:spacing w:val="-4"/>
          <w:szCs w:val="18"/>
        </w:rPr>
        <w:t>日上传</w:t>
      </w:r>
      <w:r w:rsidRPr="008972C0">
        <w:rPr>
          <w:spacing w:val="-4"/>
          <w:szCs w:val="18"/>
        </w:rPr>
        <w:t>)</w:t>
      </w:r>
      <w:r w:rsidRPr="008972C0">
        <w:rPr>
          <w:rFonts w:hint="eastAsia"/>
          <w:szCs w:val="18"/>
        </w:rPr>
        <w:t>。</w:t>
      </w:r>
    </w:p>
  </w:footnote>
  <w:footnote w:id="146">
    <w:p w:rsidR="00AB00DE" w:rsidRPr="008972C0" w:rsidRDefault="00AB00DE" w:rsidP="00765E0D">
      <w:pPr>
        <w:pStyle w:val="a4"/>
        <w:widowControl w:val="0"/>
        <w:autoSpaceDE w:val="0"/>
        <w:autoSpaceDN w:val="0"/>
      </w:pPr>
      <w:r w:rsidRPr="008972C0">
        <w:tab/>
      </w:r>
      <w:r w:rsidRPr="008972C0">
        <w:rPr>
          <w:color w:val="0000FF"/>
          <w:sz w:val="21"/>
          <w:vertAlign w:val="superscript"/>
        </w:rPr>
        <w:footnoteRef/>
      </w:r>
      <w:r w:rsidRPr="008972C0">
        <w:tab/>
      </w:r>
      <w:r w:rsidRPr="008972C0">
        <w:t>多米尼加共和国，第</w:t>
      </w:r>
      <w:r w:rsidRPr="008972C0">
        <w:t>874-09</w:t>
      </w:r>
      <w:r w:rsidRPr="008972C0">
        <w:t>号法令，该法令批准关于风险管理的第</w:t>
      </w:r>
      <w:r w:rsidRPr="008972C0">
        <w:t>147-02</w:t>
      </w:r>
      <w:r w:rsidRPr="008972C0">
        <w:t>号法律实施条例并废除第</w:t>
      </w:r>
      <w:r w:rsidRPr="008972C0">
        <w:t>932-03</w:t>
      </w:r>
      <w:r w:rsidRPr="008972C0">
        <w:t>号法令</w:t>
      </w:r>
      <w:r w:rsidRPr="008972C0">
        <w:t>(2009</w:t>
      </w:r>
      <w:r w:rsidRPr="008972C0">
        <w:t>年</w:t>
      </w:r>
      <w:r w:rsidRPr="008972C0">
        <w:t>)</w:t>
      </w:r>
      <w:r w:rsidRPr="008972C0">
        <w:t>中的第</w:t>
      </w:r>
      <w:r w:rsidRPr="008972C0">
        <w:t>1</w:t>
      </w:r>
      <w:r w:rsidRPr="008972C0">
        <w:t>、</w:t>
      </w:r>
      <w:r w:rsidRPr="008972C0">
        <w:t>2</w:t>
      </w:r>
      <w:r w:rsidRPr="008972C0">
        <w:t>、</w:t>
      </w:r>
      <w:r w:rsidRPr="008972C0">
        <w:t>3</w:t>
      </w:r>
      <w:r w:rsidRPr="008972C0">
        <w:t>、</w:t>
      </w:r>
      <w:r w:rsidRPr="008972C0">
        <w:t>4</w:t>
      </w:r>
      <w:r w:rsidRPr="008972C0">
        <w:t>和</w:t>
      </w:r>
      <w:r w:rsidRPr="008972C0">
        <w:t>5</w:t>
      </w:r>
      <w:r w:rsidRPr="008972C0">
        <w:t>章。</w:t>
      </w:r>
    </w:p>
  </w:footnote>
  <w:footnote w:id="147">
    <w:p w:rsidR="00AB00DE" w:rsidRPr="008972C0" w:rsidRDefault="00AB00DE" w:rsidP="00765E0D">
      <w:pPr>
        <w:pStyle w:val="a4"/>
        <w:widowControl w:val="0"/>
        <w:autoSpaceDE w:val="0"/>
        <w:autoSpaceDN w:val="0"/>
      </w:pPr>
      <w:r w:rsidRPr="008972C0">
        <w:rPr>
          <w:rFonts w:hint="eastAsia"/>
        </w:rPr>
        <w:tab/>
      </w:r>
      <w:r w:rsidRPr="008972C0">
        <w:rPr>
          <w:color w:val="0000FF"/>
          <w:sz w:val="21"/>
          <w:vertAlign w:val="superscript"/>
        </w:rPr>
        <w:footnoteRef/>
      </w:r>
      <w:r w:rsidRPr="008972C0">
        <w:tab/>
      </w:r>
      <w:r w:rsidRPr="008972C0">
        <w:rPr>
          <w:rFonts w:hint="eastAsia"/>
        </w:rPr>
        <w:t>《民</w:t>
      </w:r>
      <w:r w:rsidRPr="008972C0">
        <w:t>防、防灾</w:t>
      </w:r>
      <w:r w:rsidRPr="008972C0">
        <w:rPr>
          <w:rFonts w:hint="eastAsia"/>
        </w:rPr>
        <w:t>和</w:t>
      </w:r>
      <w:r w:rsidRPr="008972C0">
        <w:t>减灾法</w:t>
      </w:r>
      <w:r w:rsidRPr="008972C0">
        <w:rPr>
          <w:rFonts w:hint="eastAsia"/>
        </w:rPr>
        <w:t>》</w:t>
      </w:r>
      <w:r w:rsidRPr="008972C0">
        <w:t>(2005</w:t>
      </w:r>
      <w:r w:rsidRPr="008972C0">
        <w:t>年</w:t>
      </w:r>
      <w:r w:rsidRPr="008972C0">
        <w:t>)</w:t>
      </w:r>
      <w:r w:rsidRPr="008972C0">
        <w:t>。</w:t>
      </w:r>
    </w:p>
  </w:footnote>
  <w:footnote w:id="148">
    <w:p w:rsidR="00AB00DE" w:rsidRPr="008972C0" w:rsidRDefault="00AB00DE" w:rsidP="00765E0D">
      <w:pPr>
        <w:pStyle w:val="a4"/>
        <w:widowControl w:val="0"/>
        <w:autoSpaceDE w:val="0"/>
        <w:autoSpaceDN w:val="0"/>
      </w:pPr>
      <w:r w:rsidRPr="008972C0">
        <w:rPr>
          <w:rFonts w:hint="eastAsia"/>
        </w:rPr>
        <w:tab/>
      </w:r>
      <w:r w:rsidRPr="008972C0">
        <w:rPr>
          <w:color w:val="0000FF"/>
          <w:sz w:val="21"/>
          <w:vertAlign w:val="superscript"/>
        </w:rPr>
        <w:footnoteRef/>
      </w:r>
      <w:r w:rsidRPr="008972C0">
        <w:tab/>
      </w:r>
      <w:r w:rsidRPr="008972C0">
        <w:rPr>
          <w:rFonts w:hint="eastAsia"/>
        </w:rPr>
        <w:t>《</w:t>
      </w:r>
      <w:r w:rsidRPr="008972C0">
        <w:t>防备紧急情况法</w:t>
      </w:r>
      <w:r w:rsidRPr="008972C0">
        <w:rPr>
          <w:rFonts w:hint="eastAsia"/>
        </w:rPr>
        <w:t>》</w:t>
      </w:r>
      <w:r w:rsidRPr="008972C0">
        <w:t>(2000</w:t>
      </w:r>
      <w:r w:rsidRPr="008972C0">
        <w:t>年</w:t>
      </w:r>
      <w:r w:rsidRPr="008972C0">
        <w:t>)</w:t>
      </w:r>
      <w:r w:rsidRPr="008972C0">
        <w:t>。</w:t>
      </w:r>
    </w:p>
  </w:footnote>
  <w:footnote w:id="149">
    <w:p w:rsidR="00AB00DE" w:rsidRPr="008972C0" w:rsidRDefault="00AB00DE" w:rsidP="00765E0D">
      <w:pPr>
        <w:pStyle w:val="a4"/>
        <w:widowControl w:val="0"/>
        <w:autoSpaceDE w:val="0"/>
        <w:autoSpaceDN w:val="0"/>
      </w:pPr>
      <w:r w:rsidRPr="008972C0">
        <w:rPr>
          <w:rFonts w:hint="eastAsia"/>
        </w:rPr>
        <w:tab/>
      </w:r>
      <w:r w:rsidRPr="008972C0">
        <w:rPr>
          <w:color w:val="0000FF"/>
          <w:sz w:val="21"/>
          <w:vertAlign w:val="superscript"/>
        </w:rPr>
        <w:footnoteRef/>
      </w:r>
      <w:r w:rsidRPr="008972C0">
        <w:tab/>
      </w:r>
      <w:r w:rsidRPr="008972C0">
        <w:rPr>
          <w:rFonts w:hint="eastAsia"/>
        </w:rPr>
        <w:t>《</w:t>
      </w:r>
      <w:r w:rsidRPr="008972C0">
        <w:t>关于预防技术和自然风险和损害赔偿法</w:t>
      </w:r>
      <w:r w:rsidRPr="008972C0">
        <w:rPr>
          <w:rFonts w:hint="eastAsia"/>
        </w:rPr>
        <w:t>》</w:t>
      </w:r>
      <w:r w:rsidRPr="008972C0">
        <w:t>的第</w:t>
      </w:r>
      <w:r w:rsidRPr="008972C0">
        <w:t>2003-699</w:t>
      </w:r>
      <w:r w:rsidRPr="008972C0">
        <w:t>号法律</w:t>
      </w:r>
      <w:r w:rsidRPr="008972C0">
        <w:t>(2003</w:t>
      </w:r>
      <w:r w:rsidRPr="008972C0">
        <w:t>年</w:t>
      </w:r>
      <w:r w:rsidRPr="008972C0">
        <w:t>)</w:t>
      </w:r>
      <w:r w:rsidRPr="008972C0">
        <w:t>。</w:t>
      </w:r>
    </w:p>
  </w:footnote>
  <w:footnote w:id="150">
    <w:p w:rsidR="00AB00DE" w:rsidRPr="008972C0" w:rsidRDefault="00AB00DE" w:rsidP="00765E0D">
      <w:pPr>
        <w:pStyle w:val="a4"/>
        <w:widowControl w:val="0"/>
        <w:autoSpaceDE w:val="0"/>
        <w:autoSpaceDN w:val="0"/>
        <w:rPr>
          <w:rStyle w:val="af"/>
          <w:rFonts w:asciiTheme="majorBidi" w:hAnsiTheme="majorBidi" w:cstheme="majorBidi"/>
          <w:color w:val="000000" w:themeColor="text1"/>
        </w:rPr>
      </w:pPr>
      <w:r w:rsidRPr="008972C0">
        <w:rPr>
          <w:rFonts w:hint="eastAsia"/>
          <w:sz w:val="16"/>
          <w:szCs w:val="16"/>
        </w:rPr>
        <w:tab/>
      </w:r>
      <w:r w:rsidRPr="008972C0">
        <w:rPr>
          <w:rStyle w:val="a5"/>
          <w:szCs w:val="16"/>
        </w:rPr>
        <w:footnoteRef/>
      </w:r>
      <w:r w:rsidRPr="008972C0">
        <w:rPr>
          <w:rFonts w:hint="eastAsia"/>
          <w:sz w:val="16"/>
          <w:szCs w:val="16"/>
        </w:rPr>
        <w:tab/>
      </w:r>
      <w:r w:rsidRPr="008972C0">
        <w:rPr>
          <w:rFonts w:hint="eastAsia"/>
          <w:spacing w:val="-4"/>
          <w:szCs w:val="18"/>
        </w:rPr>
        <w:t>《公共安全法》，第</w:t>
      </w:r>
      <w:r w:rsidRPr="008972C0">
        <w:rPr>
          <w:spacing w:val="-4"/>
          <w:szCs w:val="18"/>
        </w:rPr>
        <w:t>2467-II</w:t>
      </w:r>
      <w:r w:rsidRPr="008972C0">
        <w:rPr>
          <w:rFonts w:ascii="Sylfaen" w:hAnsi="Sylfaen" w:cs="Sylfaen"/>
          <w:spacing w:val="-4"/>
          <w:szCs w:val="18"/>
        </w:rPr>
        <w:t>ს</w:t>
      </w:r>
      <w:r w:rsidRPr="008972C0">
        <w:rPr>
          <w:spacing w:val="-4"/>
          <w:szCs w:val="18"/>
        </w:rPr>
        <w:t>.</w:t>
      </w:r>
      <w:r w:rsidRPr="008972C0">
        <w:rPr>
          <w:rFonts w:hint="eastAsia"/>
          <w:spacing w:val="-4"/>
          <w:szCs w:val="18"/>
        </w:rPr>
        <w:t>号</w:t>
      </w:r>
      <w:r w:rsidRPr="008972C0">
        <w:rPr>
          <w:rStyle w:val="af"/>
          <w:rFonts w:asciiTheme="majorBidi" w:hAnsiTheme="majorBidi" w:cstheme="majorBidi" w:hint="eastAsia"/>
          <w:color w:val="000000" w:themeColor="text1"/>
        </w:rPr>
        <w:t>，</w:t>
      </w:r>
      <w:r w:rsidRPr="008972C0">
        <w:rPr>
          <w:rStyle w:val="af"/>
          <w:rFonts w:asciiTheme="majorBidi" w:hAnsiTheme="majorBidi" w:cstheme="majorBidi"/>
          <w:color w:val="000000" w:themeColor="text1"/>
        </w:rPr>
        <w:t>可查阅</w:t>
      </w:r>
      <w:hyperlink r:id="rId23" w:history="1">
        <w:r w:rsidRPr="008972C0">
          <w:rPr>
            <w:rStyle w:val="af"/>
            <w:rFonts w:asciiTheme="majorBidi" w:hAnsiTheme="majorBidi" w:cstheme="majorBidi"/>
            <w:color w:val="000000" w:themeColor="text1"/>
            <w:szCs w:val="18"/>
          </w:rPr>
          <w:t>https://matsne.gov.ge/en/document/view/2363013</w:t>
        </w:r>
      </w:hyperlink>
      <w:r w:rsidRPr="008972C0">
        <w:rPr>
          <w:rStyle w:val="af"/>
          <w:rFonts w:asciiTheme="majorBidi" w:hAnsiTheme="majorBidi" w:cstheme="majorBidi"/>
          <w:color w:val="000000" w:themeColor="text1"/>
        </w:rPr>
        <w:t xml:space="preserve"> (2016</w:t>
      </w:r>
      <w:r w:rsidRPr="008972C0">
        <w:rPr>
          <w:rStyle w:val="af"/>
          <w:rFonts w:asciiTheme="majorBidi" w:hAnsiTheme="majorBidi" w:cstheme="majorBidi"/>
          <w:color w:val="000000" w:themeColor="text1"/>
        </w:rPr>
        <w:t>年</w:t>
      </w:r>
      <w:r w:rsidRPr="008972C0">
        <w:rPr>
          <w:rStyle w:val="af"/>
          <w:rFonts w:asciiTheme="majorBidi" w:hAnsiTheme="majorBidi" w:cstheme="majorBidi"/>
          <w:color w:val="000000" w:themeColor="text1"/>
        </w:rPr>
        <w:t>7</w:t>
      </w:r>
      <w:r w:rsidRPr="008972C0">
        <w:rPr>
          <w:rStyle w:val="af"/>
          <w:rFonts w:asciiTheme="majorBidi" w:hAnsiTheme="majorBidi" w:cstheme="majorBidi"/>
          <w:color w:val="000000" w:themeColor="text1"/>
        </w:rPr>
        <w:t>月</w:t>
      </w:r>
      <w:r w:rsidRPr="008972C0">
        <w:rPr>
          <w:rStyle w:val="af"/>
          <w:rFonts w:asciiTheme="majorBidi" w:hAnsiTheme="majorBidi" w:cstheme="majorBidi"/>
          <w:color w:val="000000" w:themeColor="text1"/>
        </w:rPr>
        <w:t>4</w:t>
      </w:r>
      <w:r w:rsidRPr="008972C0">
        <w:rPr>
          <w:rStyle w:val="af"/>
          <w:rFonts w:asciiTheme="majorBidi" w:hAnsiTheme="majorBidi" w:cstheme="majorBidi"/>
          <w:color w:val="000000" w:themeColor="text1"/>
        </w:rPr>
        <w:t>日上传</w:t>
      </w:r>
      <w:r w:rsidRPr="008972C0">
        <w:rPr>
          <w:rStyle w:val="af"/>
          <w:rFonts w:asciiTheme="majorBidi" w:hAnsiTheme="majorBidi" w:cstheme="majorBidi"/>
          <w:color w:val="000000" w:themeColor="text1"/>
        </w:rPr>
        <w:t>)</w:t>
      </w:r>
      <w:r w:rsidRPr="008972C0">
        <w:rPr>
          <w:rStyle w:val="af"/>
          <w:rFonts w:asciiTheme="majorBidi" w:hAnsiTheme="majorBidi" w:cstheme="majorBidi" w:hint="eastAsia"/>
          <w:color w:val="000000" w:themeColor="text1"/>
        </w:rPr>
        <w:t>。</w:t>
      </w:r>
    </w:p>
  </w:footnote>
  <w:footnote w:id="151">
    <w:p w:rsidR="00AB00DE" w:rsidRPr="008972C0" w:rsidRDefault="00AB00DE" w:rsidP="00765E0D">
      <w:pPr>
        <w:pStyle w:val="a4"/>
        <w:widowControl w:val="0"/>
        <w:autoSpaceDE w:val="0"/>
        <w:autoSpaceDN w:val="0"/>
      </w:pPr>
      <w:r w:rsidRPr="008972C0">
        <w:rPr>
          <w:rFonts w:hint="eastAsia"/>
        </w:rPr>
        <w:tab/>
      </w:r>
      <w:r w:rsidRPr="008972C0">
        <w:rPr>
          <w:color w:val="0000FF"/>
          <w:sz w:val="21"/>
          <w:vertAlign w:val="superscript"/>
        </w:rPr>
        <w:footnoteRef/>
      </w:r>
      <w:r w:rsidRPr="008972C0">
        <w:tab/>
      </w:r>
      <w:r w:rsidRPr="008972C0">
        <w:t>第</w:t>
      </w:r>
      <w:r w:rsidRPr="008972C0">
        <w:t>109-96</w:t>
      </w:r>
      <w:r w:rsidRPr="008972C0">
        <w:t>号法令，</w:t>
      </w:r>
      <w:r w:rsidRPr="008972C0">
        <w:rPr>
          <w:rFonts w:hint="eastAsia"/>
        </w:rPr>
        <w:t>《</w:t>
      </w:r>
      <w:r w:rsidRPr="008972C0">
        <w:t>减轻自然灾害和人为灾害全国协调员法</w:t>
      </w:r>
      <w:r w:rsidRPr="008972C0">
        <w:rPr>
          <w:rFonts w:hint="eastAsia"/>
        </w:rPr>
        <w:t>》</w:t>
      </w:r>
      <w:r w:rsidRPr="008972C0">
        <w:t>(1996</w:t>
      </w:r>
      <w:r w:rsidRPr="008972C0">
        <w:t>年</w:t>
      </w:r>
      <w:r w:rsidRPr="008972C0">
        <w:t>)</w:t>
      </w:r>
      <w:r w:rsidRPr="008972C0">
        <w:t>。</w:t>
      </w:r>
    </w:p>
  </w:footnote>
  <w:footnote w:id="152">
    <w:p w:rsidR="00AB00DE" w:rsidRPr="008972C0" w:rsidRDefault="00AB00DE" w:rsidP="00765E0D">
      <w:pPr>
        <w:pStyle w:val="a4"/>
        <w:widowControl w:val="0"/>
        <w:autoSpaceDE w:val="0"/>
        <w:autoSpaceDN w:val="0"/>
      </w:pPr>
      <w:r w:rsidRPr="008972C0">
        <w:rPr>
          <w:rFonts w:hint="eastAsia"/>
        </w:rPr>
        <w:tab/>
      </w:r>
      <w:r w:rsidRPr="008972C0">
        <w:rPr>
          <w:color w:val="0000FF"/>
          <w:sz w:val="21"/>
          <w:vertAlign w:val="superscript"/>
        </w:rPr>
        <w:footnoteRef/>
      </w:r>
      <w:r w:rsidRPr="008972C0">
        <w:tab/>
      </w:r>
      <w:r w:rsidRPr="008972C0">
        <w:rPr>
          <w:rFonts w:hint="eastAsia"/>
        </w:rPr>
        <w:t>《</w:t>
      </w:r>
      <w:r w:rsidRPr="008972C0">
        <w:t>全国风险和灾害管理计划</w:t>
      </w:r>
      <w:r w:rsidRPr="008972C0">
        <w:rPr>
          <w:rFonts w:hint="eastAsia"/>
        </w:rPr>
        <w:t>》</w:t>
      </w:r>
      <w:r w:rsidRPr="008972C0">
        <w:t>(</w:t>
      </w:r>
      <w:r w:rsidRPr="008972C0">
        <w:rPr>
          <w:rFonts w:hint="eastAsia"/>
        </w:rPr>
        <w:t>2001</w:t>
      </w:r>
      <w:r w:rsidRPr="008972C0">
        <w:t>年</w:t>
      </w:r>
      <w:r w:rsidRPr="008972C0">
        <w:t>)</w:t>
      </w:r>
      <w:r w:rsidRPr="008972C0">
        <w:t>。</w:t>
      </w:r>
    </w:p>
  </w:footnote>
  <w:footnote w:id="153">
    <w:p w:rsidR="00AB00DE" w:rsidRPr="008972C0" w:rsidRDefault="00AB00DE" w:rsidP="00765E0D">
      <w:pPr>
        <w:pStyle w:val="a4"/>
        <w:widowControl w:val="0"/>
        <w:autoSpaceDE w:val="0"/>
        <w:autoSpaceDN w:val="0"/>
      </w:pPr>
      <w:r w:rsidRPr="008972C0">
        <w:rPr>
          <w:rFonts w:hint="eastAsia"/>
        </w:rPr>
        <w:tab/>
      </w:r>
      <w:r w:rsidRPr="008972C0">
        <w:rPr>
          <w:color w:val="0000FF"/>
          <w:sz w:val="21"/>
          <w:vertAlign w:val="superscript"/>
        </w:rPr>
        <w:footnoteRef/>
      </w:r>
      <w:r w:rsidRPr="008972C0">
        <w:tab/>
      </w:r>
      <w:r w:rsidRPr="008972C0">
        <w:t>第七十四号法，</w:t>
      </w:r>
      <w:r w:rsidRPr="008972C0">
        <w:rPr>
          <w:rFonts w:hint="eastAsia"/>
        </w:rPr>
        <w:t>《</w:t>
      </w:r>
      <w:r w:rsidRPr="008972C0">
        <w:t>预防灾害和预防涉及危险物质重大事故的管理和组织法</w:t>
      </w:r>
      <w:r w:rsidRPr="008972C0">
        <w:rPr>
          <w:rFonts w:hint="eastAsia"/>
        </w:rPr>
        <w:t>》</w:t>
      </w:r>
      <w:r w:rsidRPr="008972C0">
        <w:t>(1999</w:t>
      </w:r>
      <w:r w:rsidRPr="008972C0">
        <w:t>年</w:t>
      </w:r>
      <w:r w:rsidRPr="008972C0">
        <w:t>)</w:t>
      </w:r>
      <w:r w:rsidRPr="008972C0">
        <w:t>。</w:t>
      </w:r>
    </w:p>
  </w:footnote>
  <w:footnote w:id="154">
    <w:p w:rsidR="00AB00DE" w:rsidRPr="008972C0" w:rsidRDefault="00AB00DE" w:rsidP="00765E0D">
      <w:pPr>
        <w:pStyle w:val="a4"/>
        <w:widowControl w:val="0"/>
        <w:autoSpaceDE w:val="0"/>
        <w:autoSpaceDN w:val="0"/>
      </w:pPr>
      <w:r w:rsidRPr="008972C0">
        <w:tab/>
      </w:r>
      <w:r w:rsidRPr="008972C0">
        <w:rPr>
          <w:color w:val="0000FF"/>
          <w:sz w:val="21"/>
          <w:vertAlign w:val="superscript"/>
        </w:rPr>
        <w:footnoteRef/>
      </w:r>
      <w:r w:rsidRPr="008972C0">
        <w:tab/>
      </w:r>
      <w:r w:rsidRPr="008972C0">
        <w:t>第</w:t>
      </w:r>
      <w:r w:rsidRPr="008972C0">
        <w:t>53</w:t>
      </w:r>
      <w:r w:rsidRPr="008972C0">
        <w:t>号灾害管理法</w:t>
      </w:r>
      <w:r w:rsidRPr="008972C0">
        <w:t>(2005</w:t>
      </w:r>
      <w:r w:rsidRPr="008972C0">
        <w:t>年</w:t>
      </w:r>
      <w:r w:rsidRPr="008972C0">
        <w:t>)</w:t>
      </w:r>
      <w:r w:rsidRPr="008972C0">
        <w:t>。</w:t>
      </w:r>
    </w:p>
  </w:footnote>
  <w:footnote w:id="155">
    <w:p w:rsidR="00AB00DE" w:rsidRPr="008972C0" w:rsidRDefault="00AB00DE" w:rsidP="00765E0D">
      <w:pPr>
        <w:pStyle w:val="a4"/>
        <w:widowControl w:val="0"/>
        <w:autoSpaceDE w:val="0"/>
        <w:autoSpaceDN w:val="0"/>
      </w:pPr>
      <w:r w:rsidRPr="008972C0">
        <w:tab/>
      </w:r>
      <w:r w:rsidRPr="008972C0">
        <w:rPr>
          <w:color w:val="0000FF"/>
          <w:sz w:val="21"/>
          <w:vertAlign w:val="superscript"/>
        </w:rPr>
        <w:footnoteRef/>
      </w:r>
      <w:r w:rsidRPr="008972C0">
        <w:rPr>
          <w:rFonts w:hint="eastAsia"/>
        </w:rPr>
        <w:tab/>
      </w:r>
      <w:r w:rsidRPr="008972C0">
        <w:t>2007</w:t>
      </w:r>
      <w:r w:rsidRPr="008972C0">
        <w:t>年关于灾害管理的第</w:t>
      </w:r>
      <w:r w:rsidRPr="008972C0">
        <w:t>24</w:t>
      </w:r>
      <w:r w:rsidRPr="008972C0">
        <w:t>号法律。</w:t>
      </w:r>
    </w:p>
  </w:footnote>
  <w:footnote w:id="156">
    <w:p w:rsidR="00AB00DE" w:rsidRPr="008972C0" w:rsidRDefault="00AB00DE" w:rsidP="00765E0D">
      <w:pPr>
        <w:pStyle w:val="a4"/>
        <w:widowControl w:val="0"/>
        <w:autoSpaceDE w:val="0"/>
        <w:autoSpaceDN w:val="0"/>
      </w:pPr>
      <w:r w:rsidRPr="008972C0">
        <w:tab/>
      </w:r>
      <w:r w:rsidRPr="008972C0">
        <w:rPr>
          <w:color w:val="0000FF"/>
          <w:sz w:val="21"/>
          <w:vertAlign w:val="superscript"/>
        </w:rPr>
        <w:footnoteRef/>
      </w:r>
      <w:r w:rsidRPr="008972C0">
        <w:tab/>
      </w:r>
      <w:r w:rsidRPr="008972C0">
        <w:t>关于建立国家减灾平台的总理令</w:t>
      </w:r>
      <w:r w:rsidRPr="008972C0">
        <w:t>(2008</w:t>
      </w:r>
      <w:r w:rsidRPr="008972C0">
        <w:t>年</w:t>
      </w:r>
      <w:r w:rsidRPr="008972C0">
        <w:t>)</w:t>
      </w:r>
      <w:r w:rsidRPr="008972C0">
        <w:t>。</w:t>
      </w:r>
    </w:p>
  </w:footnote>
  <w:footnote w:id="157">
    <w:p w:rsidR="00AB00DE" w:rsidRPr="008972C0" w:rsidRDefault="00AB00DE" w:rsidP="00765E0D">
      <w:pPr>
        <w:pStyle w:val="a4"/>
        <w:widowControl w:val="0"/>
        <w:autoSpaceDE w:val="0"/>
        <w:autoSpaceDN w:val="0"/>
        <w:rPr>
          <w:rStyle w:val="af"/>
          <w:rFonts w:asciiTheme="majorBidi" w:hAnsiTheme="majorBidi" w:cstheme="majorBidi"/>
          <w:color w:val="000000" w:themeColor="text1"/>
          <w:szCs w:val="18"/>
        </w:rPr>
      </w:pPr>
      <w:r w:rsidRPr="008972C0">
        <w:tab/>
      </w:r>
      <w:r w:rsidRPr="008972C0">
        <w:rPr>
          <w:color w:val="0000FF"/>
          <w:sz w:val="21"/>
          <w:vertAlign w:val="superscript"/>
        </w:rPr>
        <w:footnoteRef/>
      </w:r>
      <w:r w:rsidRPr="008972C0">
        <w:tab/>
      </w:r>
      <w:r w:rsidRPr="008972C0">
        <w:t>第</w:t>
      </w:r>
      <w:r w:rsidRPr="008972C0">
        <w:rPr>
          <w:rStyle w:val="af"/>
          <w:rFonts w:asciiTheme="majorBidi" w:hAnsiTheme="majorBidi" w:cstheme="majorBidi"/>
          <w:color w:val="000000" w:themeColor="text1"/>
          <w:szCs w:val="18"/>
        </w:rPr>
        <w:t>2005-866</w:t>
      </w:r>
      <w:r w:rsidRPr="008972C0">
        <w:rPr>
          <w:rStyle w:val="af"/>
          <w:rFonts w:asciiTheme="majorBidi" w:hAnsiTheme="majorBidi" w:cstheme="majorBidi"/>
          <w:color w:val="000000" w:themeColor="text1"/>
          <w:szCs w:val="18"/>
        </w:rPr>
        <w:t>号法令，该法令规定了实施</w:t>
      </w:r>
      <w:r w:rsidRPr="008972C0">
        <w:rPr>
          <w:rStyle w:val="af"/>
          <w:rFonts w:asciiTheme="majorBidi" w:hAnsiTheme="majorBidi" w:cstheme="majorBidi"/>
          <w:color w:val="000000" w:themeColor="text1"/>
          <w:szCs w:val="18"/>
        </w:rPr>
        <w:t>2003</w:t>
      </w:r>
      <w:r w:rsidRPr="008972C0">
        <w:rPr>
          <w:rStyle w:val="af"/>
          <w:rFonts w:asciiTheme="majorBidi" w:hAnsiTheme="majorBidi" w:cstheme="majorBidi"/>
          <w:color w:val="000000" w:themeColor="text1"/>
          <w:szCs w:val="18"/>
        </w:rPr>
        <w:t>年</w:t>
      </w:r>
      <w:r w:rsidRPr="008972C0">
        <w:rPr>
          <w:rStyle w:val="af"/>
          <w:rFonts w:asciiTheme="majorBidi" w:hAnsiTheme="majorBidi" w:cstheme="majorBidi"/>
          <w:color w:val="000000" w:themeColor="text1"/>
          <w:szCs w:val="18"/>
        </w:rPr>
        <w:t>9</w:t>
      </w:r>
      <w:r w:rsidRPr="008972C0">
        <w:rPr>
          <w:rStyle w:val="af"/>
          <w:rFonts w:asciiTheme="majorBidi" w:hAnsiTheme="majorBidi" w:cstheme="majorBidi"/>
          <w:color w:val="000000" w:themeColor="text1"/>
          <w:szCs w:val="18"/>
        </w:rPr>
        <w:t>月</w:t>
      </w:r>
      <w:r w:rsidRPr="008972C0">
        <w:rPr>
          <w:rStyle w:val="af"/>
          <w:rFonts w:asciiTheme="majorBidi" w:hAnsiTheme="majorBidi" w:cstheme="majorBidi"/>
          <w:color w:val="000000" w:themeColor="text1"/>
          <w:szCs w:val="18"/>
        </w:rPr>
        <w:t>5</w:t>
      </w:r>
      <w:r w:rsidRPr="008972C0">
        <w:rPr>
          <w:rStyle w:val="af"/>
          <w:rFonts w:asciiTheme="majorBidi" w:hAnsiTheme="majorBidi" w:cstheme="majorBidi"/>
          <w:color w:val="000000" w:themeColor="text1"/>
          <w:szCs w:val="18"/>
        </w:rPr>
        <w:t>日关于全国风险和灾害管理的第</w:t>
      </w:r>
      <w:r w:rsidRPr="008972C0">
        <w:rPr>
          <w:rStyle w:val="af"/>
          <w:rFonts w:asciiTheme="majorBidi" w:hAnsiTheme="majorBidi" w:cstheme="majorBidi"/>
          <w:color w:val="000000" w:themeColor="text1"/>
          <w:szCs w:val="18"/>
        </w:rPr>
        <w:t>2003-010</w:t>
      </w:r>
      <w:r w:rsidRPr="008972C0">
        <w:rPr>
          <w:rStyle w:val="af"/>
          <w:rFonts w:asciiTheme="majorBidi" w:hAnsiTheme="majorBidi" w:cstheme="majorBidi"/>
          <w:color w:val="000000" w:themeColor="text1"/>
          <w:szCs w:val="18"/>
        </w:rPr>
        <w:t>号法律的方式</w:t>
      </w:r>
      <w:r w:rsidRPr="008972C0">
        <w:rPr>
          <w:rStyle w:val="af"/>
          <w:rFonts w:asciiTheme="majorBidi" w:hAnsiTheme="majorBidi" w:cstheme="majorBidi"/>
          <w:color w:val="000000" w:themeColor="text1"/>
          <w:szCs w:val="18"/>
        </w:rPr>
        <w:t>(2005</w:t>
      </w:r>
      <w:r w:rsidRPr="008972C0">
        <w:rPr>
          <w:rStyle w:val="af"/>
          <w:rFonts w:asciiTheme="majorBidi" w:hAnsiTheme="majorBidi" w:cstheme="majorBidi"/>
          <w:color w:val="000000" w:themeColor="text1"/>
          <w:szCs w:val="18"/>
        </w:rPr>
        <w:t>年</w:t>
      </w:r>
      <w:r w:rsidRPr="008972C0">
        <w:rPr>
          <w:rStyle w:val="af"/>
          <w:rFonts w:asciiTheme="majorBidi" w:hAnsiTheme="majorBidi" w:cstheme="majorBidi"/>
          <w:color w:val="000000" w:themeColor="text1"/>
          <w:szCs w:val="18"/>
        </w:rPr>
        <w:t>)</w:t>
      </w:r>
      <w:r w:rsidRPr="008972C0">
        <w:rPr>
          <w:rStyle w:val="af"/>
          <w:rFonts w:asciiTheme="majorBidi" w:hAnsiTheme="majorBidi" w:cstheme="majorBidi"/>
          <w:color w:val="000000" w:themeColor="text1"/>
          <w:szCs w:val="18"/>
        </w:rPr>
        <w:t>。</w:t>
      </w:r>
    </w:p>
  </w:footnote>
  <w:footnote w:id="158">
    <w:p w:rsidR="00AB00DE" w:rsidRPr="008972C0" w:rsidRDefault="00AB00DE" w:rsidP="00765E0D">
      <w:pPr>
        <w:pStyle w:val="a4"/>
        <w:widowControl w:val="0"/>
        <w:autoSpaceDE w:val="0"/>
        <w:autoSpaceDN w:val="0"/>
      </w:pPr>
      <w:r w:rsidRPr="008972C0">
        <w:tab/>
      </w:r>
      <w:r w:rsidRPr="008972C0">
        <w:rPr>
          <w:color w:val="0000FF"/>
          <w:sz w:val="21"/>
          <w:vertAlign w:val="superscript"/>
        </w:rPr>
        <w:footnoteRef/>
      </w:r>
      <w:r w:rsidRPr="008972C0">
        <w:tab/>
      </w:r>
      <w:r w:rsidRPr="008972C0">
        <w:rPr>
          <w:rFonts w:hint="eastAsia"/>
        </w:rPr>
        <w:t>《</w:t>
      </w:r>
      <w:r w:rsidRPr="008972C0">
        <w:t>灾害风险管理法</w:t>
      </w:r>
      <w:r w:rsidRPr="008972C0">
        <w:rPr>
          <w:rFonts w:hint="eastAsia"/>
        </w:rPr>
        <w:t>》</w:t>
      </w:r>
      <w:r w:rsidRPr="008972C0">
        <w:t>(2012</w:t>
      </w:r>
      <w:r w:rsidRPr="008972C0">
        <w:t>年</w:t>
      </w:r>
      <w:r w:rsidRPr="008972C0">
        <w:t>)</w:t>
      </w:r>
      <w:r w:rsidRPr="008972C0">
        <w:t>。</w:t>
      </w:r>
    </w:p>
  </w:footnote>
  <w:footnote w:id="159">
    <w:p w:rsidR="00AB00DE" w:rsidRPr="008972C0" w:rsidRDefault="00AB00DE" w:rsidP="00765E0D">
      <w:pPr>
        <w:pStyle w:val="a4"/>
        <w:widowControl w:val="0"/>
        <w:autoSpaceDE w:val="0"/>
        <w:autoSpaceDN w:val="0"/>
      </w:pPr>
      <w:r w:rsidRPr="008972C0">
        <w:tab/>
      </w:r>
      <w:r w:rsidRPr="008972C0">
        <w:rPr>
          <w:color w:val="0000FF"/>
          <w:sz w:val="21"/>
          <w:vertAlign w:val="superscript"/>
        </w:rPr>
        <w:footnoteRef/>
      </w:r>
      <w:r w:rsidRPr="008972C0">
        <w:tab/>
        <w:t>2005</w:t>
      </w:r>
      <w:r w:rsidRPr="008972C0">
        <w:t>年全国民防应急管理计划令</w:t>
      </w:r>
      <w:r w:rsidRPr="008972C0">
        <w:t>(SR 2005/295)</w:t>
      </w:r>
      <w:r w:rsidRPr="008972C0">
        <w:t>。</w:t>
      </w:r>
    </w:p>
  </w:footnote>
  <w:footnote w:id="160">
    <w:p w:rsidR="00AB00DE" w:rsidRPr="008972C0" w:rsidRDefault="00AB00DE" w:rsidP="00765E0D">
      <w:pPr>
        <w:pStyle w:val="a4"/>
        <w:widowControl w:val="0"/>
        <w:autoSpaceDE w:val="0"/>
        <w:autoSpaceDN w:val="0"/>
        <w:rPr>
          <w:rStyle w:val="af"/>
          <w:rFonts w:asciiTheme="majorBidi" w:hAnsiTheme="majorBidi" w:cstheme="majorBidi"/>
          <w:color w:val="000000" w:themeColor="text1"/>
          <w:szCs w:val="18"/>
        </w:rPr>
      </w:pPr>
      <w:r w:rsidRPr="008972C0">
        <w:tab/>
      </w:r>
      <w:r w:rsidRPr="008972C0">
        <w:rPr>
          <w:color w:val="0000FF"/>
          <w:sz w:val="21"/>
          <w:vertAlign w:val="superscript"/>
        </w:rPr>
        <w:footnoteRef/>
      </w:r>
      <w:r w:rsidRPr="008972C0">
        <w:rPr>
          <w:rFonts w:hint="eastAsia"/>
        </w:rPr>
        <w:tab/>
      </w:r>
      <w:r w:rsidRPr="008972C0">
        <w:rPr>
          <w:rFonts w:hint="eastAsia"/>
        </w:rPr>
        <w:t>《</w:t>
      </w:r>
      <w:r w:rsidRPr="008972C0">
        <w:t>全国灾害管理法</w:t>
      </w:r>
      <w:r w:rsidRPr="008972C0">
        <w:rPr>
          <w:rFonts w:hint="eastAsia"/>
        </w:rPr>
        <w:t>》</w:t>
      </w:r>
      <w:r w:rsidRPr="008972C0">
        <w:t>(2010</w:t>
      </w:r>
      <w:r w:rsidRPr="008972C0">
        <w:t>年</w:t>
      </w:r>
      <w:r w:rsidRPr="008972C0">
        <w:t>)</w:t>
      </w:r>
      <w:r w:rsidRPr="008972C0">
        <w:t>。也见巴基斯坦政府在</w:t>
      </w:r>
      <w:r w:rsidRPr="008972C0">
        <w:t>2011</w:t>
      </w:r>
      <w:r w:rsidRPr="008972C0">
        <w:t>年第三届全球减灾平台会议上的正式声明，可查阅：</w:t>
      </w:r>
      <w:hyperlink r:id="rId24" w:history="1">
        <w:r w:rsidRPr="008972C0">
          <w:rPr>
            <w:rStyle w:val="af"/>
            <w:rFonts w:asciiTheme="majorBidi" w:hAnsiTheme="majorBidi" w:cstheme="majorBidi"/>
            <w:color w:val="000000" w:themeColor="text1"/>
            <w:szCs w:val="18"/>
          </w:rPr>
          <w:t>http://www.preventionweb.net/files/globalplatform/pakistan</w:t>
        </w:r>
        <w:r w:rsidRPr="008972C0">
          <w:rPr>
            <w:rStyle w:val="af"/>
            <w:rFonts w:asciiTheme="majorBidi" w:hAnsiTheme="majorBidi" w:cstheme="majorBidi" w:hint="eastAsia"/>
            <w:color w:val="000000" w:themeColor="text1"/>
            <w:szCs w:val="18"/>
          </w:rPr>
          <w:t>-</w:t>
        </w:r>
        <w:r w:rsidRPr="008972C0">
          <w:rPr>
            <w:rStyle w:val="af"/>
            <w:rFonts w:asciiTheme="majorBidi" w:hAnsiTheme="majorBidi" w:cstheme="majorBidi"/>
            <w:color w:val="000000" w:themeColor="text1"/>
            <w:szCs w:val="18"/>
          </w:rPr>
          <w:t>officialstatement</w:t>
        </w:r>
      </w:hyperlink>
      <w:r w:rsidRPr="008972C0">
        <w:rPr>
          <w:rStyle w:val="af"/>
          <w:rFonts w:asciiTheme="majorBidi" w:hAnsiTheme="majorBidi" w:cstheme="majorBidi"/>
          <w:color w:val="000000" w:themeColor="text1"/>
          <w:szCs w:val="18"/>
        </w:rPr>
        <w:t>.</w:t>
      </w:r>
      <w:r w:rsidRPr="008972C0">
        <w:rPr>
          <w:rStyle w:val="af"/>
          <w:rFonts w:asciiTheme="majorBidi" w:hAnsiTheme="majorBidi" w:cstheme="majorBidi" w:hint="eastAsia"/>
          <w:color w:val="000000" w:themeColor="text1"/>
          <w:szCs w:val="18"/>
        </w:rPr>
        <w:t xml:space="preserve"> </w:t>
      </w:r>
      <w:r w:rsidRPr="008972C0">
        <w:rPr>
          <w:rStyle w:val="af"/>
          <w:rFonts w:asciiTheme="majorBidi" w:hAnsiTheme="majorBidi" w:cstheme="majorBidi"/>
          <w:color w:val="000000" w:themeColor="text1"/>
          <w:szCs w:val="18"/>
        </w:rPr>
        <w:t>pdf</w:t>
      </w:r>
      <w:r w:rsidRPr="008972C0">
        <w:rPr>
          <w:rStyle w:val="af"/>
          <w:rFonts w:asciiTheme="majorBidi" w:hAnsiTheme="majorBidi" w:cstheme="majorBidi"/>
          <w:color w:val="000000" w:themeColor="text1"/>
          <w:szCs w:val="18"/>
        </w:rPr>
        <w:t>。</w:t>
      </w:r>
    </w:p>
  </w:footnote>
  <w:footnote w:id="161">
    <w:p w:rsidR="00AB00DE" w:rsidRPr="008972C0" w:rsidRDefault="00AB00DE" w:rsidP="00765E0D">
      <w:pPr>
        <w:pStyle w:val="a4"/>
        <w:widowControl w:val="0"/>
        <w:autoSpaceDE w:val="0"/>
        <w:autoSpaceDN w:val="0"/>
      </w:pPr>
      <w:r w:rsidRPr="008972C0">
        <w:tab/>
      </w:r>
      <w:r w:rsidRPr="008972C0">
        <w:rPr>
          <w:color w:val="0000FF"/>
          <w:sz w:val="21"/>
          <w:vertAlign w:val="superscript"/>
        </w:rPr>
        <w:footnoteRef/>
      </w:r>
      <w:r w:rsidRPr="008972C0">
        <w:tab/>
      </w:r>
      <w:r w:rsidRPr="008972C0">
        <w:t>第</w:t>
      </w:r>
      <w:r w:rsidRPr="008972C0">
        <w:t>29664</w:t>
      </w:r>
      <w:r w:rsidRPr="008972C0">
        <w:t>号法律，该法律创立了全国灾害风险管理系统</w:t>
      </w:r>
      <w:r w:rsidRPr="008972C0">
        <w:t>(2011</w:t>
      </w:r>
      <w:r w:rsidRPr="008972C0">
        <w:t>年</w:t>
      </w:r>
      <w:r w:rsidRPr="008972C0">
        <w:t>)</w:t>
      </w:r>
      <w:r w:rsidRPr="008972C0">
        <w:t>。</w:t>
      </w:r>
    </w:p>
  </w:footnote>
  <w:footnote w:id="162">
    <w:p w:rsidR="00AB00DE" w:rsidRPr="008972C0" w:rsidRDefault="00AB00DE" w:rsidP="00765E0D">
      <w:pPr>
        <w:pStyle w:val="a4"/>
        <w:widowControl w:val="0"/>
        <w:autoSpaceDE w:val="0"/>
        <w:autoSpaceDN w:val="0"/>
      </w:pPr>
      <w:r w:rsidRPr="008972C0">
        <w:tab/>
      </w:r>
      <w:r w:rsidRPr="008972C0">
        <w:rPr>
          <w:color w:val="0000FF"/>
          <w:sz w:val="21"/>
          <w:vertAlign w:val="superscript"/>
        </w:rPr>
        <w:footnoteRef/>
      </w:r>
      <w:r w:rsidRPr="008972C0">
        <w:tab/>
      </w:r>
      <w:r w:rsidRPr="008972C0">
        <w:rPr>
          <w:rFonts w:hint="eastAsia"/>
        </w:rPr>
        <w:t>《</w:t>
      </w:r>
      <w:r w:rsidRPr="008972C0">
        <w:t>菲律宾灾害风险管理法</w:t>
      </w:r>
      <w:r w:rsidRPr="008972C0">
        <w:rPr>
          <w:rFonts w:hint="eastAsia"/>
        </w:rPr>
        <w:t>》</w:t>
      </w:r>
      <w:r w:rsidRPr="008972C0">
        <w:t>(2006</w:t>
      </w:r>
      <w:r w:rsidRPr="008972C0">
        <w:t>年</w:t>
      </w:r>
      <w:r w:rsidRPr="008972C0">
        <w:t>)</w:t>
      </w:r>
      <w:r w:rsidRPr="008972C0">
        <w:t>。</w:t>
      </w:r>
    </w:p>
  </w:footnote>
  <w:footnote w:id="163">
    <w:p w:rsidR="00AB00DE" w:rsidRPr="008972C0" w:rsidRDefault="00AB00DE" w:rsidP="00765E0D">
      <w:pPr>
        <w:pStyle w:val="a4"/>
        <w:widowControl w:val="0"/>
        <w:autoSpaceDE w:val="0"/>
        <w:autoSpaceDN w:val="0"/>
      </w:pPr>
      <w:r w:rsidRPr="008972C0">
        <w:rPr>
          <w:rFonts w:hint="eastAsia"/>
        </w:rPr>
        <w:tab/>
      </w:r>
      <w:r w:rsidRPr="008972C0">
        <w:rPr>
          <w:color w:val="0000FF"/>
          <w:sz w:val="21"/>
          <w:vertAlign w:val="superscript"/>
        </w:rPr>
        <w:footnoteRef/>
      </w:r>
      <w:r w:rsidRPr="008972C0">
        <w:tab/>
      </w:r>
      <w:r w:rsidRPr="008972C0">
        <w:rPr>
          <w:rFonts w:hint="eastAsia"/>
        </w:rPr>
        <w:t>《国家</w:t>
      </w:r>
      <w:r w:rsidRPr="008972C0">
        <w:t>灾害应对法</w:t>
      </w:r>
      <w:r w:rsidRPr="008972C0">
        <w:rPr>
          <w:rFonts w:hint="eastAsia"/>
        </w:rPr>
        <w:t>》</w:t>
      </w:r>
      <w:r w:rsidRPr="008972C0">
        <w:t>(1995</w:t>
      </w:r>
      <w:r w:rsidRPr="008972C0">
        <w:t>年</w:t>
      </w:r>
      <w:r w:rsidRPr="008972C0">
        <w:t>)</w:t>
      </w:r>
      <w:r w:rsidRPr="008972C0">
        <w:t>；</w:t>
      </w:r>
      <w:r w:rsidRPr="008972C0">
        <w:rPr>
          <w:rFonts w:hint="eastAsia"/>
        </w:rPr>
        <w:t>《国家</w:t>
      </w:r>
      <w:r w:rsidRPr="008972C0">
        <w:t>灾害管理法</w:t>
      </w:r>
      <w:r w:rsidRPr="008972C0">
        <w:rPr>
          <w:rFonts w:hint="eastAsia"/>
        </w:rPr>
        <w:t>》</w:t>
      </w:r>
      <w:r w:rsidRPr="008972C0">
        <w:t>(2010</w:t>
      </w:r>
      <w:r w:rsidRPr="008972C0">
        <w:t>年</w:t>
      </w:r>
      <w:r w:rsidRPr="008972C0">
        <w:t>)</w:t>
      </w:r>
      <w:r w:rsidRPr="008972C0">
        <w:t>。</w:t>
      </w:r>
    </w:p>
  </w:footnote>
  <w:footnote w:id="164">
    <w:p w:rsidR="00AB00DE" w:rsidRPr="008972C0" w:rsidRDefault="00AB00DE" w:rsidP="00765E0D">
      <w:pPr>
        <w:pStyle w:val="a4"/>
        <w:widowControl w:val="0"/>
        <w:autoSpaceDE w:val="0"/>
        <w:autoSpaceDN w:val="0"/>
      </w:pPr>
      <w:r w:rsidRPr="008972C0">
        <w:rPr>
          <w:rFonts w:hint="eastAsia"/>
        </w:rPr>
        <w:tab/>
      </w:r>
      <w:r w:rsidRPr="008972C0">
        <w:rPr>
          <w:color w:val="0000FF"/>
          <w:sz w:val="21"/>
          <w:vertAlign w:val="superscript"/>
        </w:rPr>
        <w:footnoteRef/>
      </w:r>
      <w:r w:rsidRPr="008972C0">
        <w:tab/>
      </w:r>
      <w:r w:rsidRPr="008972C0">
        <w:rPr>
          <w:rFonts w:hint="eastAsia"/>
        </w:rPr>
        <w:t>《</w:t>
      </w:r>
      <w:r w:rsidRPr="008972C0">
        <w:t>自然灾害和其他灾害防护法</w:t>
      </w:r>
      <w:r w:rsidRPr="008972C0">
        <w:rPr>
          <w:rFonts w:hint="eastAsia"/>
        </w:rPr>
        <w:t>》</w:t>
      </w:r>
      <w:r w:rsidRPr="008972C0">
        <w:t>(2006</w:t>
      </w:r>
      <w:r w:rsidRPr="008972C0">
        <w:t>年</w:t>
      </w:r>
      <w:r w:rsidRPr="008972C0">
        <w:t>)</w:t>
      </w:r>
      <w:r w:rsidRPr="008972C0">
        <w:t>。</w:t>
      </w:r>
    </w:p>
  </w:footnote>
  <w:footnote w:id="165">
    <w:p w:rsidR="00AB00DE" w:rsidRPr="008972C0" w:rsidRDefault="00AB00DE" w:rsidP="00765E0D">
      <w:pPr>
        <w:pStyle w:val="a4"/>
        <w:widowControl w:val="0"/>
        <w:autoSpaceDE w:val="0"/>
        <w:autoSpaceDN w:val="0"/>
      </w:pPr>
      <w:r w:rsidRPr="008972C0">
        <w:rPr>
          <w:rFonts w:hint="eastAsia"/>
        </w:rPr>
        <w:tab/>
      </w:r>
      <w:r w:rsidRPr="008972C0">
        <w:rPr>
          <w:color w:val="0000FF"/>
          <w:sz w:val="21"/>
          <w:vertAlign w:val="superscript"/>
        </w:rPr>
        <w:footnoteRef/>
      </w:r>
      <w:r w:rsidRPr="008972C0">
        <w:tab/>
        <w:t>2002</w:t>
      </w:r>
      <w:r w:rsidRPr="008972C0">
        <w:t>年第</w:t>
      </w:r>
      <w:r w:rsidRPr="008972C0">
        <w:t>57</w:t>
      </w:r>
      <w:r w:rsidRPr="008972C0">
        <w:t>号灾害管理法。</w:t>
      </w:r>
    </w:p>
  </w:footnote>
  <w:footnote w:id="166">
    <w:p w:rsidR="00AB00DE" w:rsidRPr="008972C0" w:rsidRDefault="00AB00DE" w:rsidP="00765E0D">
      <w:pPr>
        <w:pStyle w:val="a4"/>
        <w:widowControl w:val="0"/>
        <w:autoSpaceDE w:val="0"/>
        <w:autoSpaceDN w:val="0"/>
      </w:pPr>
      <w:r w:rsidRPr="008972C0">
        <w:rPr>
          <w:rFonts w:hint="eastAsia"/>
        </w:rPr>
        <w:tab/>
      </w:r>
      <w:r w:rsidRPr="008972C0">
        <w:rPr>
          <w:color w:val="0000FF"/>
          <w:sz w:val="21"/>
          <w:vertAlign w:val="superscript"/>
        </w:rPr>
        <w:footnoteRef/>
      </w:r>
      <w:r w:rsidRPr="008972C0">
        <w:tab/>
      </w:r>
      <w:r w:rsidRPr="008972C0">
        <w:rPr>
          <w:rFonts w:hint="eastAsia"/>
        </w:rPr>
        <w:t>《</w:t>
      </w:r>
      <w:r w:rsidRPr="008972C0">
        <w:t>预防和减轻灾害法</w:t>
      </w:r>
      <w:r w:rsidRPr="008972C0">
        <w:rPr>
          <w:rFonts w:hint="eastAsia"/>
        </w:rPr>
        <w:t>》</w:t>
      </w:r>
      <w:r w:rsidRPr="008972C0">
        <w:t>(2007</w:t>
      </w:r>
      <w:r w:rsidRPr="008972C0">
        <w:t>年</w:t>
      </w:r>
      <w:r w:rsidRPr="008972C0">
        <w:t>)</w:t>
      </w:r>
      <w:r w:rsidRPr="008972C0">
        <w:t>。</w:t>
      </w:r>
    </w:p>
  </w:footnote>
  <w:footnote w:id="167">
    <w:p w:rsidR="00AB00DE" w:rsidRPr="008972C0" w:rsidRDefault="00AB00DE" w:rsidP="00765E0D">
      <w:pPr>
        <w:pStyle w:val="a4"/>
        <w:widowControl w:val="0"/>
        <w:autoSpaceDE w:val="0"/>
        <w:autoSpaceDN w:val="0"/>
      </w:pPr>
      <w:r w:rsidRPr="008972C0">
        <w:rPr>
          <w:rFonts w:hint="eastAsia"/>
        </w:rPr>
        <w:tab/>
      </w:r>
      <w:r w:rsidRPr="008972C0">
        <w:rPr>
          <w:color w:val="0000FF"/>
          <w:sz w:val="21"/>
          <w:vertAlign w:val="superscript"/>
        </w:rPr>
        <w:footnoteRef/>
      </w:r>
      <w:r w:rsidRPr="008972C0">
        <w:tab/>
      </w:r>
      <w:r w:rsidRPr="008972C0">
        <w:rPr>
          <w:rFonts w:hint="eastAsia"/>
        </w:rPr>
        <w:t>《</w:t>
      </w:r>
      <w:r w:rsidRPr="008972C0">
        <w:t>减灾法</w:t>
      </w:r>
      <w:r w:rsidRPr="008972C0">
        <w:rPr>
          <w:rFonts w:hint="eastAsia"/>
        </w:rPr>
        <w:t>》</w:t>
      </w:r>
      <w:r w:rsidRPr="008972C0">
        <w:t>(2000</w:t>
      </w:r>
      <w:r w:rsidRPr="008972C0">
        <w:t>年</w:t>
      </w:r>
      <w:r w:rsidRPr="008972C0">
        <w:t>)</w:t>
      </w:r>
      <w:r w:rsidRPr="008972C0">
        <w:t>。</w:t>
      </w:r>
    </w:p>
  </w:footnote>
  <w:footnote w:id="168">
    <w:p w:rsidR="00AB00DE" w:rsidRPr="000C77B3" w:rsidRDefault="00AB00DE" w:rsidP="00765E0D">
      <w:pPr>
        <w:pStyle w:val="a4"/>
        <w:widowControl w:val="0"/>
        <w:autoSpaceDE w:val="0"/>
        <w:autoSpaceDN w:val="0"/>
        <w:rPr>
          <w:rFonts w:hAnsi="Songti SC Regular"/>
        </w:rPr>
      </w:pPr>
      <w:r w:rsidRPr="000C77B3">
        <w:rPr>
          <w:rFonts w:hAnsi="Songti SC Regular"/>
        </w:rPr>
        <w:tab/>
      </w:r>
      <w:r w:rsidRPr="00DF5565">
        <w:rPr>
          <w:color w:val="0000FF"/>
          <w:sz w:val="21"/>
          <w:vertAlign w:val="superscript"/>
        </w:rPr>
        <w:footnoteRef/>
      </w:r>
      <w:r w:rsidRPr="000C77B3">
        <w:rPr>
          <w:rFonts w:hAnsi="Songti SC Regular"/>
        </w:rPr>
        <w:tab/>
      </w:r>
      <w:r w:rsidRPr="000C77B3">
        <w:rPr>
          <w:rFonts w:hAnsi="Songti SC Regular"/>
        </w:rPr>
        <w:t>见</w:t>
      </w:r>
      <w:hyperlink r:id="rId25" w:history="1">
        <w:r w:rsidRPr="000C77B3">
          <w:rPr>
            <w:rFonts w:hAnsi="Songti SC Regular"/>
          </w:rPr>
          <w:t>ht</w:t>
        </w:r>
        <w:r w:rsidRPr="008D4D14">
          <w:rPr>
            <w:rStyle w:val="Char9"/>
          </w:rPr>
          <w:t>t</w:t>
        </w:r>
        <w:r w:rsidRPr="000C77B3">
          <w:rPr>
            <w:rFonts w:hAnsi="Songti SC Regular"/>
          </w:rPr>
          <w:t>p</w:t>
        </w:r>
        <w:r>
          <w:rPr>
            <w:rFonts w:hAnsi="Songti SC Regular"/>
          </w:rPr>
          <w:t>://</w:t>
        </w:r>
        <w:r w:rsidRPr="000C77B3">
          <w:rPr>
            <w:rFonts w:hAnsi="Songti SC Regular"/>
          </w:rPr>
          <w:t>www.unisdr.org</w:t>
        </w:r>
        <w:r>
          <w:rPr>
            <w:rFonts w:hAnsi="Songti SC Regular"/>
          </w:rPr>
          <w:t>/</w:t>
        </w:r>
        <w:r w:rsidRPr="000C77B3">
          <w:rPr>
            <w:rFonts w:hAnsi="Songti SC Regular"/>
          </w:rPr>
          <w:t>we</w:t>
        </w:r>
        <w:r>
          <w:rPr>
            <w:rFonts w:hAnsi="Songti SC Regular"/>
          </w:rPr>
          <w:t>/</w:t>
        </w:r>
        <w:r w:rsidRPr="000C77B3">
          <w:rPr>
            <w:rFonts w:hAnsi="Songti SC Regular"/>
          </w:rPr>
          <w:t>inform</w:t>
        </w:r>
        <w:r>
          <w:rPr>
            <w:rFonts w:hAnsi="Songti SC Regular"/>
          </w:rPr>
          <w:t>/</w:t>
        </w:r>
        <w:r w:rsidRPr="000C77B3">
          <w:rPr>
            <w:rFonts w:hAnsi="Songti SC Regular"/>
          </w:rPr>
          <w:t>terminology</w:t>
        </w:r>
      </w:hyperlink>
      <w:r w:rsidRPr="000C77B3">
        <w:rPr>
          <w:rFonts w:hAnsi="Songti SC Regular"/>
        </w:rPr>
        <w:t>。</w:t>
      </w:r>
    </w:p>
  </w:footnote>
  <w:footnote w:id="169">
    <w:p w:rsidR="00AB00DE" w:rsidRPr="000C77B3" w:rsidRDefault="00AB00DE" w:rsidP="00765E0D">
      <w:pPr>
        <w:pStyle w:val="a4"/>
        <w:widowControl w:val="0"/>
        <w:autoSpaceDE w:val="0"/>
        <w:autoSpaceDN w:val="0"/>
      </w:pPr>
      <w:r>
        <w:rPr>
          <w:rFonts w:hint="eastAsia"/>
        </w:rPr>
        <w:tab/>
      </w:r>
      <w:r w:rsidRPr="00DF5565">
        <w:rPr>
          <w:color w:val="0000FF"/>
          <w:sz w:val="21"/>
          <w:vertAlign w:val="superscript"/>
        </w:rPr>
        <w:footnoteRef/>
      </w:r>
      <w:r w:rsidRPr="000C77B3">
        <w:tab/>
      </w:r>
      <w:r w:rsidRPr="000C77B3">
        <w:t>委员会意识到在联合国正式英文和法文本中对</w:t>
      </w:r>
      <w:r w:rsidRPr="008972C0">
        <w:rPr>
          <w:rFonts w:asciiTheme="majorBidi" w:hAnsiTheme="majorBidi" w:cstheme="majorBidi"/>
        </w:rPr>
        <w:t>“</w:t>
      </w:r>
      <w:r w:rsidRPr="000C77B3">
        <w:t>mitigation</w:t>
      </w:r>
      <w:r w:rsidRPr="008972C0">
        <w:rPr>
          <w:rFonts w:asciiTheme="majorBidi" w:hAnsiTheme="majorBidi" w:cstheme="majorBidi"/>
        </w:rPr>
        <w:t>”</w:t>
      </w:r>
      <w:r>
        <w:t>(</w:t>
      </w:r>
      <w:r w:rsidRPr="000C77B3">
        <w:t>减轻</w:t>
      </w:r>
      <w:r>
        <w:t>)</w:t>
      </w:r>
      <w:r w:rsidRPr="000C77B3">
        <w:t>一词的使用存在着差别。</w:t>
      </w:r>
    </w:p>
  </w:footnote>
  <w:footnote w:id="170">
    <w:p w:rsidR="00AB00DE" w:rsidRDefault="00AB00DE" w:rsidP="00765E0D">
      <w:pPr>
        <w:pStyle w:val="a4"/>
        <w:widowControl w:val="0"/>
        <w:autoSpaceDE w:val="0"/>
        <w:autoSpaceDN w:val="0"/>
      </w:pPr>
      <w:r>
        <w:rPr>
          <w:rFonts w:hint="eastAsia"/>
        </w:rPr>
        <w:tab/>
      </w:r>
      <w:r w:rsidRPr="00DF5565">
        <w:rPr>
          <w:rStyle w:val="a5"/>
        </w:rPr>
        <w:footnoteRef/>
      </w:r>
      <w:r>
        <w:rPr>
          <w:rFonts w:hint="eastAsia"/>
        </w:rPr>
        <w:tab/>
      </w:r>
      <w:r w:rsidRPr="00E02962">
        <w:rPr>
          <w:rFonts w:hint="eastAsia"/>
        </w:rPr>
        <w:t>《联合国宪章》</w:t>
      </w:r>
      <w:r>
        <w:rPr>
          <w:rFonts w:hint="eastAsia"/>
        </w:rPr>
        <w:t>，</w:t>
      </w:r>
      <w:r w:rsidRPr="00E02962">
        <w:rPr>
          <w:rFonts w:hint="eastAsia"/>
        </w:rPr>
        <w:t>第二条第一款</w:t>
      </w:r>
      <w:r w:rsidRPr="00A87A74">
        <w:rPr>
          <w:rFonts w:hint="eastAsia"/>
        </w:rPr>
        <w:t>(</w:t>
      </w:r>
      <w:r>
        <w:rPr>
          <w:rFonts w:hint="eastAsia"/>
        </w:rPr>
        <w:t>“</w:t>
      </w:r>
      <w:r w:rsidRPr="00E02962">
        <w:rPr>
          <w:rFonts w:hint="eastAsia"/>
        </w:rPr>
        <w:t>本组织系基于各会员国主权平等之原则</w:t>
      </w:r>
      <w:r>
        <w:rPr>
          <w:rFonts w:hint="eastAsia"/>
        </w:rPr>
        <w:t>”</w:t>
      </w:r>
      <w:r w:rsidRPr="00A87A74">
        <w:rPr>
          <w:rFonts w:hint="eastAsia"/>
        </w:rPr>
        <w:t>)</w:t>
      </w:r>
      <w:r>
        <w:rPr>
          <w:rFonts w:hint="eastAsia"/>
        </w:rPr>
        <w:t>；和</w:t>
      </w:r>
      <w:r w:rsidRPr="00E02962">
        <w:rPr>
          <w:rFonts w:hint="eastAsia"/>
        </w:rPr>
        <w:t>第二条第七款</w:t>
      </w:r>
      <w:r w:rsidRPr="00A87A74">
        <w:rPr>
          <w:rFonts w:hint="eastAsia"/>
        </w:rPr>
        <w:t>(</w:t>
      </w:r>
      <w:r w:rsidRPr="00A87A74">
        <w:rPr>
          <w:rFonts w:hint="eastAsia"/>
        </w:rPr>
        <w:t>“</w:t>
      </w:r>
      <w:r w:rsidRPr="00E02962">
        <w:rPr>
          <w:rFonts w:hint="eastAsia"/>
        </w:rPr>
        <w:t>本宪章不得认为授权联合国干涉在本质上属于任何国家国内管辖之事件</w:t>
      </w:r>
      <w:r>
        <w:rPr>
          <w:rFonts w:hint="eastAsia"/>
        </w:rPr>
        <w:t>，</w:t>
      </w:r>
      <w:r w:rsidRPr="00E02962">
        <w:rPr>
          <w:rFonts w:hint="eastAsia"/>
        </w:rPr>
        <w:t>且并不要求会员国将该项事件依本宪章提请解决</w:t>
      </w:r>
      <w:r>
        <w:rPr>
          <w:rFonts w:hint="eastAsia"/>
        </w:rPr>
        <w:t>；</w:t>
      </w:r>
      <w:r w:rsidRPr="00E02962">
        <w:rPr>
          <w:rFonts w:hint="eastAsia"/>
        </w:rPr>
        <w:t>但此项原则不妨碍第七章内执行办法之适用</w:t>
      </w:r>
      <w:r>
        <w:rPr>
          <w:rFonts w:hint="eastAsia"/>
        </w:rPr>
        <w:t>”</w:t>
      </w:r>
      <w:r w:rsidRPr="00A87A74">
        <w:rPr>
          <w:rFonts w:hint="eastAsia"/>
        </w:rPr>
        <w:t>)</w:t>
      </w:r>
      <w:r w:rsidRPr="00E02962">
        <w:rPr>
          <w:rFonts w:hint="eastAsia"/>
        </w:rPr>
        <w:t>。</w:t>
      </w:r>
    </w:p>
  </w:footnote>
  <w:footnote w:id="171">
    <w:p w:rsidR="00AB00DE" w:rsidRPr="00A87A74" w:rsidRDefault="00AB00DE" w:rsidP="00765E0D">
      <w:pPr>
        <w:pStyle w:val="a4"/>
        <w:widowControl w:val="0"/>
        <w:autoSpaceDE w:val="0"/>
        <w:autoSpaceDN w:val="0"/>
        <w:rPr>
          <w:lang w:bidi="x-none"/>
        </w:rPr>
      </w:pPr>
      <w:r w:rsidRPr="00A87A74">
        <w:tab/>
      </w:r>
      <w:r w:rsidRPr="00DF5565">
        <w:rPr>
          <w:rStyle w:val="a5"/>
        </w:rPr>
        <w:footnoteRef/>
      </w:r>
      <w:r w:rsidRPr="00A87A74">
        <w:tab/>
      </w:r>
      <w:r w:rsidRPr="00E02962">
        <w:rPr>
          <w:rFonts w:hint="eastAsia"/>
        </w:rPr>
        <w:t>例如见</w:t>
      </w:r>
      <w:r w:rsidRPr="00A87A74">
        <w:t>《关于各国依照联合国宪章建立友好关系和合作的国际法原则宣言》</w:t>
      </w:r>
      <w:r>
        <w:rPr>
          <w:rFonts w:hint="eastAsia"/>
        </w:rPr>
        <w:t>，大会第</w:t>
      </w:r>
      <w:r>
        <w:rPr>
          <w:rFonts w:hint="eastAsia"/>
        </w:rPr>
        <w:t>2625(XXV)</w:t>
      </w:r>
      <w:r>
        <w:rPr>
          <w:rFonts w:hint="eastAsia"/>
        </w:rPr>
        <w:t>号决议</w:t>
      </w:r>
      <w:r w:rsidRPr="00A87A74">
        <w:t>(</w:t>
      </w:r>
      <w:r>
        <w:rPr>
          <w:rFonts w:hint="eastAsia"/>
        </w:rPr>
        <w:t>其中指出：“</w:t>
      </w:r>
      <w:r w:rsidRPr="00E02962">
        <w:rPr>
          <w:rFonts w:hint="eastAsia"/>
        </w:rPr>
        <w:t>各国一律享有主权平等。它们均有平等权利与责任</w:t>
      </w:r>
      <w:r>
        <w:rPr>
          <w:rFonts w:hint="eastAsia"/>
        </w:rPr>
        <w:t>，</w:t>
      </w:r>
      <w:r w:rsidRPr="00E02962">
        <w:rPr>
          <w:rFonts w:hint="eastAsia"/>
        </w:rPr>
        <w:t>并为国际社会之平等会员国</w:t>
      </w:r>
      <w:r>
        <w:rPr>
          <w:rFonts w:hint="eastAsia"/>
        </w:rPr>
        <w:t>”；“</w:t>
      </w:r>
      <w:r w:rsidRPr="00E02962">
        <w:rPr>
          <w:rFonts w:hint="eastAsia"/>
        </w:rPr>
        <w:t>使用武力剥夺各民族之民族特性构成侵犯其不可移让之权利及不干涉原则之行为</w:t>
      </w:r>
      <w:r>
        <w:rPr>
          <w:rFonts w:hint="eastAsia"/>
        </w:rPr>
        <w:t>”；以及“</w:t>
      </w:r>
      <w:r w:rsidRPr="00E02962">
        <w:rPr>
          <w:rFonts w:hint="eastAsia"/>
        </w:rPr>
        <w:t>各国应依照主权平等及不干涉原则处理其在经济、社会、文化、技术及贸易方面之国际关系</w:t>
      </w:r>
      <w:r>
        <w:rPr>
          <w:rFonts w:hint="eastAsia"/>
        </w:rPr>
        <w:t>”</w:t>
      </w:r>
      <w:r w:rsidRPr="00A87A74">
        <w:rPr>
          <w:rFonts w:hint="eastAsia"/>
        </w:rPr>
        <w:t>)</w:t>
      </w:r>
      <w:r w:rsidRPr="00E02962">
        <w:rPr>
          <w:rFonts w:hint="eastAsia"/>
        </w:rPr>
        <w:t>。国际法院称</w:t>
      </w:r>
      <w:r>
        <w:rPr>
          <w:rFonts w:hint="eastAsia"/>
        </w:rPr>
        <w:t>，“</w:t>
      </w:r>
      <w:r w:rsidRPr="00E02962">
        <w:rPr>
          <w:rFonts w:hint="eastAsia"/>
        </w:rPr>
        <w:t>在各个独立国家间</w:t>
      </w:r>
      <w:r>
        <w:rPr>
          <w:rFonts w:hint="eastAsia"/>
        </w:rPr>
        <w:t>，</w:t>
      </w:r>
      <w:r w:rsidRPr="00E02962">
        <w:rPr>
          <w:rFonts w:hint="eastAsia"/>
        </w:rPr>
        <w:t>尊重领土主权是国际关系的一个重要基础</w:t>
      </w:r>
      <w:r>
        <w:rPr>
          <w:rFonts w:hint="eastAsia"/>
        </w:rPr>
        <w:t>”：</w:t>
      </w:r>
      <w:r>
        <w:rPr>
          <w:rFonts w:hint="eastAsia"/>
        </w:rPr>
        <w:t>(</w:t>
      </w:r>
      <w:r>
        <w:rPr>
          <w:rFonts w:hint="eastAsia"/>
        </w:rPr>
        <w:t>见</w:t>
      </w:r>
      <w:r w:rsidRPr="00E02962">
        <w:rPr>
          <w:rFonts w:hint="eastAsia"/>
        </w:rPr>
        <w:t>科孚海峡案</w:t>
      </w:r>
      <w:r w:rsidRPr="00A87A74">
        <w:rPr>
          <w:rFonts w:hint="eastAsia"/>
        </w:rPr>
        <w:t>(</w:t>
      </w:r>
      <w:r>
        <w:rPr>
          <w:rFonts w:hint="eastAsia"/>
        </w:rPr>
        <w:t>以上脚注</w:t>
      </w:r>
      <w:r w:rsidRPr="007D7A49">
        <w:fldChar w:fldCharType="begin"/>
      </w:r>
      <w:r w:rsidRPr="007D7A49">
        <w:instrText xml:space="preserve"> </w:instrText>
      </w:r>
      <w:r w:rsidRPr="007D7A49">
        <w:rPr>
          <w:rFonts w:hint="eastAsia"/>
        </w:rPr>
        <w:instrText>NOTEREF _Ref457232452 \h</w:instrText>
      </w:r>
      <w:r w:rsidRPr="007D7A49">
        <w:instrText xml:space="preserve">  \* MERGEFORMAT </w:instrText>
      </w:r>
      <w:r w:rsidRPr="007D7A49">
        <w:fldChar w:fldCharType="separate"/>
      </w:r>
      <w:r w:rsidR="00A73EB9">
        <w:t>66</w:t>
      </w:r>
      <w:r w:rsidRPr="007D7A49">
        <w:fldChar w:fldCharType="end"/>
      </w:r>
      <w:r>
        <w:t>)</w:t>
      </w:r>
      <w:r w:rsidRPr="00E02962">
        <w:rPr>
          <w:rFonts w:hint="eastAsia"/>
        </w:rPr>
        <w:t>第</w:t>
      </w:r>
      <w:r w:rsidRPr="00A87A74">
        <w:rPr>
          <w:rFonts w:hint="eastAsia"/>
        </w:rPr>
        <w:t>35</w:t>
      </w:r>
      <w:r w:rsidRPr="00E02962">
        <w:rPr>
          <w:rFonts w:hint="eastAsia"/>
        </w:rPr>
        <w:t>页</w:t>
      </w:r>
      <w:r>
        <w:rPr>
          <w:rFonts w:hint="eastAsia"/>
        </w:rPr>
        <w:t>)</w:t>
      </w:r>
      <w:r w:rsidRPr="00E02962">
        <w:rPr>
          <w:rFonts w:hint="eastAsia"/>
        </w:rPr>
        <w:t>。</w:t>
      </w:r>
    </w:p>
  </w:footnote>
  <w:footnote w:id="172">
    <w:p w:rsidR="00AB00DE" w:rsidRPr="00A87A74" w:rsidRDefault="00AB00DE" w:rsidP="00765E0D">
      <w:pPr>
        <w:pStyle w:val="a4"/>
        <w:widowControl w:val="0"/>
        <w:autoSpaceDE w:val="0"/>
        <w:autoSpaceDN w:val="0"/>
        <w:rPr>
          <w:lang w:bidi="x-none"/>
        </w:rPr>
      </w:pPr>
      <w:r w:rsidRPr="00A87A74">
        <w:tab/>
      </w:r>
      <w:r w:rsidRPr="00DF5565">
        <w:rPr>
          <w:rStyle w:val="a5"/>
        </w:rPr>
        <w:footnoteRef/>
      </w:r>
      <w:r w:rsidRPr="00A87A74">
        <w:tab/>
      </w:r>
      <w:r w:rsidRPr="006C567B">
        <w:rPr>
          <w:rFonts w:hint="eastAsia"/>
        </w:rPr>
        <w:t>附件</w:t>
      </w:r>
      <w:r>
        <w:rPr>
          <w:rFonts w:hint="eastAsia"/>
        </w:rPr>
        <w:t>，</w:t>
      </w:r>
      <w:r w:rsidRPr="006C567B">
        <w:rPr>
          <w:rFonts w:hint="eastAsia"/>
        </w:rPr>
        <w:t>第</w:t>
      </w:r>
      <w:r w:rsidRPr="00A87A74">
        <w:rPr>
          <w:rFonts w:hint="eastAsia"/>
        </w:rPr>
        <w:t>3</w:t>
      </w:r>
      <w:r w:rsidRPr="006C567B">
        <w:rPr>
          <w:rFonts w:hint="eastAsia"/>
        </w:rPr>
        <w:t>段。</w:t>
      </w:r>
    </w:p>
  </w:footnote>
  <w:footnote w:id="173">
    <w:p w:rsidR="00AB00DE" w:rsidRPr="00A87A74" w:rsidRDefault="00AB00DE" w:rsidP="00765E0D">
      <w:pPr>
        <w:pStyle w:val="a4"/>
        <w:widowControl w:val="0"/>
        <w:autoSpaceDE w:val="0"/>
        <w:autoSpaceDN w:val="0"/>
        <w:rPr>
          <w:lang w:bidi="x-none"/>
        </w:rPr>
      </w:pPr>
      <w:r w:rsidRPr="00A87A74">
        <w:tab/>
      </w:r>
      <w:r w:rsidRPr="00DF5565">
        <w:rPr>
          <w:rStyle w:val="a5"/>
        </w:rPr>
        <w:footnoteRef/>
      </w:r>
      <w:r w:rsidRPr="00A87A74">
        <w:tab/>
      </w:r>
      <w:r w:rsidRPr="00C86438">
        <w:rPr>
          <w:rFonts w:eastAsia="楷体" w:hint="eastAsia"/>
        </w:rPr>
        <w:t>科孚海峡</w:t>
      </w:r>
      <w:r w:rsidRPr="00291E75">
        <w:rPr>
          <w:rFonts w:hint="eastAsia"/>
        </w:rPr>
        <w:t>案</w:t>
      </w:r>
      <w:r w:rsidRPr="00A87A74">
        <w:t>(</w:t>
      </w:r>
      <w:r w:rsidRPr="00A87A74">
        <w:t>见以上脚注</w:t>
      </w:r>
      <w:r w:rsidRPr="00A87A74">
        <w:fldChar w:fldCharType="begin"/>
      </w:r>
      <w:r w:rsidRPr="00A87A74">
        <w:instrText xml:space="preserve"> NOTEREF _Ref457232452 \h </w:instrText>
      </w:r>
      <w:r>
        <w:instrText xml:space="preserve"> \* MERGEFORMAT </w:instrText>
      </w:r>
      <w:r w:rsidRPr="00A87A74">
        <w:fldChar w:fldCharType="separate"/>
      </w:r>
      <w:r w:rsidR="00A73EB9">
        <w:t>66</w:t>
      </w:r>
      <w:r w:rsidRPr="00A87A74">
        <w:fldChar w:fldCharType="end"/>
      </w:r>
      <w:r w:rsidRPr="00A87A74">
        <w:t>)</w:t>
      </w:r>
      <w:r w:rsidRPr="00A87A74">
        <w:t>，</w:t>
      </w:r>
      <w:r w:rsidRPr="00291E75">
        <w:rPr>
          <w:rFonts w:hint="eastAsia"/>
        </w:rPr>
        <w:t>阿尔瓦雷斯法官的个别意见</w:t>
      </w:r>
      <w:r>
        <w:rPr>
          <w:rFonts w:hint="eastAsia"/>
        </w:rPr>
        <w:t>，</w:t>
      </w:r>
      <w:r w:rsidRPr="00A87A74">
        <w:rPr>
          <w:rFonts w:hint="eastAsia"/>
        </w:rPr>
        <w:t>第</w:t>
      </w:r>
      <w:r w:rsidRPr="00A87A74">
        <w:rPr>
          <w:rFonts w:hint="eastAsia"/>
        </w:rPr>
        <w:t>39</w:t>
      </w:r>
      <w:r w:rsidRPr="00A87A74">
        <w:rPr>
          <w:rFonts w:hint="eastAsia"/>
        </w:rPr>
        <w:t>页起，见</w:t>
      </w:r>
      <w:r w:rsidRPr="00291E75">
        <w:rPr>
          <w:rFonts w:hint="eastAsia"/>
        </w:rPr>
        <w:t>第</w:t>
      </w:r>
      <w:r w:rsidRPr="00A87A74">
        <w:rPr>
          <w:rFonts w:hint="eastAsia"/>
        </w:rPr>
        <w:t>43</w:t>
      </w:r>
      <w:r w:rsidRPr="00291E75">
        <w:rPr>
          <w:rFonts w:hint="eastAsia"/>
        </w:rPr>
        <w:t>页。另参阅仲裁官</w:t>
      </w:r>
      <w:r w:rsidRPr="00A87A74">
        <w:rPr>
          <w:rFonts w:hint="eastAsia"/>
        </w:rPr>
        <w:t>Max Huber</w:t>
      </w:r>
      <w:r w:rsidRPr="00291E75">
        <w:rPr>
          <w:rFonts w:hint="eastAsia"/>
        </w:rPr>
        <w:t>在帕尔马斯岛仲裁案</w:t>
      </w:r>
      <w:r w:rsidRPr="00C86438">
        <w:t>(</w:t>
      </w:r>
      <w:r w:rsidRPr="00C86438">
        <w:t>荷兰</w:t>
      </w:r>
      <w:r w:rsidRPr="00C86438">
        <w:t>/</w:t>
      </w:r>
      <w:r w:rsidRPr="00C86438">
        <w:t>美利坚合众国</w:t>
      </w:r>
      <w:r>
        <w:rPr>
          <w:rFonts w:hint="eastAsia"/>
        </w:rPr>
        <w:t>)</w:t>
      </w:r>
      <w:r w:rsidRPr="00291E75">
        <w:rPr>
          <w:rFonts w:hint="eastAsia"/>
        </w:rPr>
        <w:t>中表达的意见</w:t>
      </w:r>
      <w:r>
        <w:rPr>
          <w:rFonts w:hint="eastAsia"/>
        </w:rPr>
        <w:t>，</w:t>
      </w:r>
      <w:r w:rsidRPr="00A87A74">
        <w:rPr>
          <w:rFonts w:hint="eastAsia"/>
        </w:rPr>
        <w:t>1928</w:t>
      </w:r>
      <w:r w:rsidRPr="00291E75">
        <w:rPr>
          <w:rFonts w:hint="eastAsia"/>
        </w:rPr>
        <w:t>年</w:t>
      </w:r>
      <w:r w:rsidRPr="00A87A74">
        <w:rPr>
          <w:rFonts w:hint="eastAsia"/>
        </w:rPr>
        <w:t>4</w:t>
      </w:r>
      <w:r w:rsidRPr="00291E75">
        <w:rPr>
          <w:rFonts w:hint="eastAsia"/>
        </w:rPr>
        <w:t>月</w:t>
      </w:r>
      <w:r w:rsidRPr="00A87A74">
        <w:rPr>
          <w:rFonts w:hint="eastAsia"/>
        </w:rPr>
        <w:t>4</w:t>
      </w:r>
      <w:r w:rsidRPr="00291E75">
        <w:rPr>
          <w:rFonts w:hint="eastAsia"/>
        </w:rPr>
        <w:t>日裁决</w:t>
      </w:r>
      <w:r>
        <w:rPr>
          <w:rFonts w:hint="eastAsia"/>
        </w:rPr>
        <w:t>，</w:t>
      </w:r>
      <w:r w:rsidRPr="00291E75">
        <w:rPr>
          <w:rFonts w:hint="eastAsia"/>
        </w:rPr>
        <w:t>《国际仲裁裁决汇编》</w:t>
      </w:r>
      <w:r>
        <w:rPr>
          <w:rFonts w:hint="eastAsia"/>
        </w:rPr>
        <w:t>，</w:t>
      </w:r>
      <w:r w:rsidRPr="00291E75">
        <w:rPr>
          <w:rFonts w:hint="eastAsia"/>
        </w:rPr>
        <w:t>第二卷</w:t>
      </w:r>
      <w:r>
        <w:rPr>
          <w:rFonts w:hint="eastAsia"/>
        </w:rPr>
        <w:t>，</w:t>
      </w:r>
      <w:r w:rsidRPr="00291E75">
        <w:rPr>
          <w:rFonts w:hint="eastAsia"/>
        </w:rPr>
        <w:t>第</w:t>
      </w:r>
      <w:r w:rsidRPr="00A87A74">
        <w:rPr>
          <w:rFonts w:hint="eastAsia"/>
        </w:rPr>
        <w:t>839</w:t>
      </w:r>
      <w:r w:rsidRPr="00291E75">
        <w:rPr>
          <w:rFonts w:hint="eastAsia"/>
        </w:rPr>
        <w:t>页</w:t>
      </w:r>
      <w:r w:rsidRPr="00A87A74">
        <w:rPr>
          <w:rFonts w:hint="eastAsia"/>
        </w:rPr>
        <w:t>(</w:t>
      </w:r>
      <w:r>
        <w:rPr>
          <w:rFonts w:hint="eastAsia"/>
        </w:rPr>
        <w:t>“</w:t>
      </w:r>
      <w:r w:rsidRPr="00291E75">
        <w:rPr>
          <w:rFonts w:hint="eastAsia"/>
        </w:rPr>
        <w:t>领土主权</w:t>
      </w:r>
      <w:r>
        <w:rPr>
          <w:rFonts w:hint="eastAsia"/>
        </w:rPr>
        <w:t>，</w:t>
      </w:r>
      <w:r w:rsidRPr="00291E75">
        <w:rPr>
          <w:rFonts w:hint="eastAsia"/>
        </w:rPr>
        <w:t>正如已经说过的</w:t>
      </w:r>
      <w:r>
        <w:rPr>
          <w:rFonts w:hint="eastAsia"/>
        </w:rPr>
        <w:t>，</w:t>
      </w:r>
      <w:r w:rsidRPr="00291E75">
        <w:rPr>
          <w:rFonts w:hint="eastAsia"/>
        </w:rPr>
        <w:t>涉及一国展示其活动的专属权。这一权利必要产生一项义务</w:t>
      </w:r>
      <w:r>
        <w:rPr>
          <w:rFonts w:hint="eastAsia"/>
        </w:rPr>
        <w:t>：</w:t>
      </w:r>
      <w:r w:rsidRPr="00291E75">
        <w:rPr>
          <w:rFonts w:hint="eastAsia"/>
        </w:rPr>
        <w:t>有义务保护在该领土内其他国家的权利</w:t>
      </w:r>
      <w:r>
        <w:rPr>
          <w:rFonts w:hint="eastAsia"/>
        </w:rPr>
        <w:t>……”</w:t>
      </w:r>
      <w:r w:rsidRPr="00A87A74">
        <w:rPr>
          <w:rFonts w:hint="eastAsia"/>
        </w:rPr>
        <w:t>)</w:t>
      </w:r>
      <w:r w:rsidRPr="00291E75">
        <w:rPr>
          <w:rFonts w:hint="eastAsia"/>
        </w:rPr>
        <w:t>。</w:t>
      </w:r>
    </w:p>
  </w:footnote>
  <w:footnote w:id="174">
    <w:p w:rsidR="00AB00DE" w:rsidRPr="00A87A74" w:rsidRDefault="00AB00DE" w:rsidP="00765E0D">
      <w:pPr>
        <w:pStyle w:val="a4"/>
        <w:widowControl w:val="0"/>
        <w:autoSpaceDE w:val="0"/>
        <w:autoSpaceDN w:val="0"/>
        <w:rPr>
          <w:lang w:bidi="x-none"/>
        </w:rPr>
      </w:pPr>
      <w:r w:rsidRPr="00A87A74">
        <w:tab/>
      </w:r>
      <w:r w:rsidRPr="00DF5565">
        <w:rPr>
          <w:rStyle w:val="a5"/>
        </w:rPr>
        <w:footnoteRef/>
      </w:r>
      <w:r w:rsidRPr="00A87A74">
        <w:tab/>
      </w:r>
      <w:r w:rsidRPr="001E69C2">
        <w:rPr>
          <w:rFonts w:hint="eastAsia"/>
        </w:rPr>
        <w:t>附件</w:t>
      </w:r>
      <w:r>
        <w:rPr>
          <w:rFonts w:hint="eastAsia"/>
        </w:rPr>
        <w:t>，</w:t>
      </w:r>
      <w:r w:rsidRPr="001E69C2">
        <w:rPr>
          <w:rFonts w:hint="eastAsia"/>
        </w:rPr>
        <w:t>第</w:t>
      </w:r>
      <w:r w:rsidRPr="00A87A74">
        <w:rPr>
          <w:rFonts w:hint="eastAsia"/>
        </w:rPr>
        <w:t>4</w:t>
      </w:r>
      <w:r w:rsidRPr="001E69C2">
        <w:rPr>
          <w:rFonts w:hint="eastAsia"/>
        </w:rPr>
        <w:t>段。</w:t>
      </w:r>
    </w:p>
  </w:footnote>
  <w:footnote w:id="175">
    <w:p w:rsidR="00AB00DE" w:rsidRPr="00A87A74" w:rsidRDefault="00AB00DE" w:rsidP="00765E0D">
      <w:pPr>
        <w:pStyle w:val="a4"/>
        <w:widowControl w:val="0"/>
        <w:autoSpaceDE w:val="0"/>
        <w:autoSpaceDN w:val="0"/>
        <w:rPr>
          <w:lang w:bidi="x-none"/>
        </w:rPr>
      </w:pPr>
      <w:r w:rsidRPr="00A87A74">
        <w:tab/>
      </w:r>
      <w:r w:rsidRPr="00DF5565">
        <w:rPr>
          <w:rStyle w:val="a5"/>
        </w:rPr>
        <w:footnoteRef/>
      </w:r>
      <w:r w:rsidRPr="00A87A74">
        <w:tab/>
      </w:r>
      <w:r w:rsidRPr="003B398B">
        <w:rPr>
          <w:rFonts w:hint="eastAsia"/>
        </w:rPr>
        <w:t>《坦佩雷公约》</w:t>
      </w:r>
      <w:r w:rsidRPr="00A87A74">
        <w:rPr>
          <w:rFonts w:hint="eastAsia"/>
        </w:rPr>
        <w:t>(</w:t>
      </w:r>
      <w:r>
        <w:rPr>
          <w:rFonts w:hint="eastAsia"/>
        </w:rPr>
        <w:t>其中指出：“</w:t>
      </w:r>
      <w:r w:rsidRPr="003B398B">
        <w:rPr>
          <w:rFonts w:hint="eastAsia"/>
        </w:rPr>
        <w:t>本公约的任何规定不应干涉缔约国根据本国法律拥有的指导、协调和监督依本公约在其领土上提供的电信援助的权力</w:t>
      </w:r>
      <w:r>
        <w:rPr>
          <w:rFonts w:hint="eastAsia"/>
        </w:rPr>
        <w:t>”</w:t>
      </w:r>
      <w:r w:rsidRPr="00A87A74">
        <w:rPr>
          <w:rFonts w:hint="eastAsia"/>
        </w:rPr>
        <w:t>)</w:t>
      </w:r>
      <w:r w:rsidRPr="003B398B">
        <w:rPr>
          <w:rFonts w:hint="eastAsia"/>
        </w:rPr>
        <w:t>。</w:t>
      </w:r>
    </w:p>
  </w:footnote>
  <w:footnote w:id="176">
    <w:p w:rsidR="00AB00DE" w:rsidRPr="00A87A74" w:rsidRDefault="00AB00DE" w:rsidP="00765E0D">
      <w:pPr>
        <w:pStyle w:val="a4"/>
        <w:widowControl w:val="0"/>
        <w:autoSpaceDE w:val="0"/>
        <w:autoSpaceDN w:val="0"/>
        <w:rPr>
          <w:lang w:bidi="x-none"/>
        </w:rPr>
      </w:pPr>
      <w:r w:rsidRPr="00A87A74">
        <w:tab/>
      </w:r>
      <w:r w:rsidRPr="00DF5565">
        <w:rPr>
          <w:rStyle w:val="a5"/>
        </w:rPr>
        <w:footnoteRef/>
      </w:r>
      <w:r w:rsidRPr="00A87A74">
        <w:rPr>
          <w:rFonts w:hint="eastAsia"/>
        </w:rPr>
        <w:tab/>
      </w:r>
      <w:r w:rsidRPr="00A556AC">
        <w:rPr>
          <w:rFonts w:hint="eastAsia"/>
        </w:rPr>
        <w:t>例如见《东盟协定》</w:t>
      </w:r>
      <w:r>
        <w:rPr>
          <w:rFonts w:hint="eastAsia"/>
        </w:rPr>
        <w:t>，</w:t>
      </w:r>
      <w:r w:rsidRPr="00A556AC">
        <w:rPr>
          <w:rFonts w:hint="eastAsia"/>
        </w:rPr>
        <w:t>第</w:t>
      </w:r>
      <w:r w:rsidRPr="00A87A74">
        <w:rPr>
          <w:rFonts w:hint="eastAsia"/>
        </w:rPr>
        <w:t>3</w:t>
      </w:r>
      <w:r w:rsidRPr="00A556AC">
        <w:rPr>
          <w:rFonts w:hint="eastAsia"/>
        </w:rPr>
        <w:t>条第</w:t>
      </w:r>
      <w:r w:rsidRPr="00A87A74">
        <w:rPr>
          <w:rFonts w:hint="eastAsia"/>
        </w:rPr>
        <w:t>2</w:t>
      </w:r>
      <w:r w:rsidRPr="00A556AC">
        <w:rPr>
          <w:rFonts w:hint="eastAsia"/>
        </w:rPr>
        <w:t>款</w:t>
      </w:r>
      <w:r w:rsidRPr="00A87A74">
        <w:rPr>
          <w:rFonts w:hint="eastAsia"/>
        </w:rPr>
        <w:t>(</w:t>
      </w:r>
      <w:r w:rsidRPr="00A556AC">
        <w:rPr>
          <w:rFonts w:hint="eastAsia"/>
        </w:rPr>
        <w:t>其中指出</w:t>
      </w:r>
      <w:r>
        <w:rPr>
          <w:rFonts w:hint="eastAsia"/>
        </w:rPr>
        <w:t>：“</w:t>
      </w:r>
      <w:r w:rsidRPr="00A556AC">
        <w:rPr>
          <w:rFonts w:hint="eastAsia"/>
        </w:rPr>
        <w:t>请求或接受援助的缔约国应全面指导、控制、协调和监督其境内的援助</w:t>
      </w:r>
      <w:r>
        <w:rPr>
          <w:rFonts w:hint="eastAsia"/>
        </w:rPr>
        <w:t>”</w:t>
      </w:r>
      <w:r w:rsidRPr="00A87A74">
        <w:rPr>
          <w:rFonts w:hint="eastAsia"/>
        </w:rPr>
        <w:t>)</w:t>
      </w:r>
      <w:r>
        <w:rPr>
          <w:rFonts w:hint="eastAsia"/>
        </w:rPr>
        <w:t>；</w:t>
      </w:r>
      <w:r w:rsidRPr="00A556AC">
        <w:rPr>
          <w:rFonts w:hint="eastAsia"/>
        </w:rPr>
        <w:t>《核事故或辐射紧急情况援助公约》</w:t>
      </w:r>
      <w:r>
        <w:rPr>
          <w:rFonts w:hint="eastAsia"/>
        </w:rPr>
        <w:t>，</w:t>
      </w:r>
      <w:r w:rsidRPr="00A556AC">
        <w:rPr>
          <w:rFonts w:hint="eastAsia"/>
        </w:rPr>
        <w:t>联合国</w:t>
      </w:r>
      <w:r>
        <w:rPr>
          <w:rFonts w:hint="eastAsia"/>
        </w:rPr>
        <w:t>，</w:t>
      </w:r>
      <w:r w:rsidRPr="00A556AC">
        <w:rPr>
          <w:rFonts w:hint="eastAsia"/>
        </w:rPr>
        <w:t>《条约汇编》</w:t>
      </w:r>
      <w:r>
        <w:rPr>
          <w:rFonts w:hint="eastAsia"/>
        </w:rPr>
        <w:t>，</w:t>
      </w:r>
      <w:r w:rsidRPr="00A556AC">
        <w:rPr>
          <w:rFonts w:hint="eastAsia"/>
        </w:rPr>
        <w:t>第</w:t>
      </w:r>
      <w:r w:rsidRPr="00A87A74">
        <w:rPr>
          <w:rFonts w:hint="eastAsia"/>
        </w:rPr>
        <w:t>1457</w:t>
      </w:r>
      <w:r w:rsidRPr="00A556AC">
        <w:rPr>
          <w:rFonts w:hint="eastAsia"/>
        </w:rPr>
        <w:t>卷</w:t>
      </w:r>
      <w:r>
        <w:rPr>
          <w:rFonts w:hint="eastAsia"/>
        </w:rPr>
        <w:t>，</w:t>
      </w:r>
      <w:r w:rsidRPr="00A556AC">
        <w:rPr>
          <w:rFonts w:hint="eastAsia"/>
        </w:rPr>
        <w:t>第</w:t>
      </w:r>
      <w:r w:rsidRPr="00A87A74">
        <w:rPr>
          <w:rFonts w:hint="eastAsia"/>
        </w:rPr>
        <w:t>24643</w:t>
      </w:r>
      <w:r w:rsidRPr="00A556AC">
        <w:rPr>
          <w:rFonts w:hint="eastAsia"/>
        </w:rPr>
        <w:t>号</w:t>
      </w:r>
      <w:r>
        <w:rPr>
          <w:rFonts w:hint="eastAsia"/>
        </w:rPr>
        <w:t>，</w:t>
      </w:r>
      <w:r w:rsidRPr="00A556AC">
        <w:rPr>
          <w:rFonts w:hint="eastAsia"/>
        </w:rPr>
        <w:t>第</w:t>
      </w:r>
      <w:r w:rsidRPr="00A87A74">
        <w:rPr>
          <w:rFonts w:hint="eastAsia"/>
        </w:rPr>
        <w:t>133</w:t>
      </w:r>
      <w:r w:rsidRPr="00A556AC">
        <w:rPr>
          <w:rFonts w:hint="eastAsia"/>
        </w:rPr>
        <w:t>页</w:t>
      </w:r>
      <w:r>
        <w:rPr>
          <w:rFonts w:hint="eastAsia"/>
        </w:rPr>
        <w:t>，</w:t>
      </w:r>
      <w:r w:rsidRPr="00A556AC">
        <w:rPr>
          <w:rFonts w:hint="eastAsia"/>
        </w:rPr>
        <w:t>第</w:t>
      </w:r>
      <w:r w:rsidRPr="00A87A74">
        <w:rPr>
          <w:rFonts w:hint="eastAsia"/>
        </w:rPr>
        <w:t>3(a)</w:t>
      </w:r>
      <w:r w:rsidRPr="00A556AC">
        <w:rPr>
          <w:rFonts w:hint="eastAsia"/>
        </w:rPr>
        <w:t>条</w:t>
      </w:r>
      <w:r w:rsidRPr="00A87A74">
        <w:rPr>
          <w:rFonts w:hint="eastAsia"/>
        </w:rPr>
        <w:t>(</w:t>
      </w:r>
      <w:r w:rsidRPr="00A556AC">
        <w:rPr>
          <w:rFonts w:hint="eastAsia"/>
        </w:rPr>
        <w:t>其中指出</w:t>
      </w:r>
      <w:r>
        <w:rPr>
          <w:rFonts w:hint="eastAsia"/>
        </w:rPr>
        <w:t>：</w:t>
      </w:r>
      <w:r w:rsidRPr="00A556AC">
        <w:rPr>
          <w:rFonts w:hint="eastAsia"/>
        </w:rPr>
        <w:t>除另有协定</w:t>
      </w:r>
      <w:r>
        <w:rPr>
          <w:rFonts w:hint="eastAsia"/>
        </w:rPr>
        <w:t>，“</w:t>
      </w:r>
      <w:r w:rsidRPr="00A556AC">
        <w:rPr>
          <w:rFonts w:hint="eastAsia"/>
        </w:rPr>
        <w:t>请求援助国应在其境内负责援助的全盘指导、控制、协调和监督</w:t>
      </w:r>
      <w:r>
        <w:rPr>
          <w:rFonts w:hint="eastAsia"/>
        </w:rPr>
        <w:t>”</w:t>
      </w:r>
      <w:r w:rsidRPr="00A87A74">
        <w:rPr>
          <w:rFonts w:hint="eastAsia"/>
        </w:rPr>
        <w:t>)</w:t>
      </w:r>
      <w:r w:rsidRPr="00A556AC">
        <w:rPr>
          <w:rFonts w:hint="eastAsia"/>
        </w:rPr>
        <w:t>。</w:t>
      </w:r>
    </w:p>
  </w:footnote>
  <w:footnote w:id="177">
    <w:p w:rsidR="00AB00DE" w:rsidRPr="00A87A74" w:rsidRDefault="00AB00DE" w:rsidP="00765E0D">
      <w:pPr>
        <w:pStyle w:val="a4"/>
        <w:widowControl w:val="0"/>
        <w:autoSpaceDE w:val="0"/>
        <w:autoSpaceDN w:val="0"/>
        <w:rPr>
          <w:lang w:bidi="x-none"/>
        </w:rPr>
      </w:pPr>
      <w:r w:rsidRPr="00A87A74">
        <w:tab/>
      </w:r>
      <w:r w:rsidRPr="00DF5565">
        <w:rPr>
          <w:rStyle w:val="a5"/>
        </w:rPr>
        <w:footnoteRef/>
      </w:r>
      <w:r w:rsidRPr="00A87A74">
        <w:tab/>
      </w:r>
      <w:r w:rsidRPr="000B1473">
        <w:rPr>
          <w:rFonts w:hint="eastAsia"/>
        </w:rPr>
        <w:t>见《</w:t>
      </w:r>
      <w:r w:rsidRPr="00A87A74">
        <w:t>2008</w:t>
      </w:r>
      <w:r w:rsidRPr="000B1473">
        <w:rPr>
          <w:rFonts w:hint="eastAsia"/>
        </w:rPr>
        <w:t>年……</w:t>
      </w:r>
      <w:r>
        <w:rPr>
          <w:rFonts w:hint="eastAsia"/>
        </w:rPr>
        <w:t>年鉴》第二卷第一</w:t>
      </w:r>
      <w:r w:rsidRPr="000B1473">
        <w:rPr>
          <w:rFonts w:hint="eastAsia"/>
        </w:rPr>
        <w:t>部分</w:t>
      </w:r>
      <w:r>
        <w:rPr>
          <w:rFonts w:hint="eastAsia"/>
        </w:rPr>
        <w:t>中</w:t>
      </w:r>
      <w:r w:rsidRPr="00A87A74">
        <w:rPr>
          <w:rFonts w:hint="eastAsia"/>
        </w:rPr>
        <w:t>A/CN.4/598</w:t>
      </w:r>
      <w:r w:rsidRPr="000B1473">
        <w:rPr>
          <w:rFonts w:hint="eastAsia"/>
        </w:rPr>
        <w:t>号文件第</w:t>
      </w:r>
      <w:r w:rsidRPr="00A87A74">
        <w:rPr>
          <w:rFonts w:hint="eastAsia"/>
        </w:rPr>
        <w:t>26</w:t>
      </w:r>
      <w:r w:rsidRPr="000B1473">
        <w:rPr>
          <w:rFonts w:hint="eastAsia"/>
        </w:rPr>
        <w:t>段所列的例子。</w:t>
      </w:r>
    </w:p>
  </w:footnote>
  <w:footnote w:id="178">
    <w:p w:rsidR="00AB00DE" w:rsidRPr="00A87A74" w:rsidRDefault="00AB00DE" w:rsidP="00765E0D">
      <w:pPr>
        <w:pStyle w:val="a4"/>
        <w:widowControl w:val="0"/>
        <w:autoSpaceDE w:val="0"/>
        <w:autoSpaceDN w:val="0"/>
        <w:rPr>
          <w:lang w:bidi="x-none"/>
        </w:rPr>
      </w:pPr>
      <w:r w:rsidRPr="00A87A74">
        <w:tab/>
      </w:r>
      <w:r w:rsidRPr="00DF5565">
        <w:rPr>
          <w:rStyle w:val="a5"/>
          <w:rFonts w:cs="Arial"/>
          <w:snapToGrid/>
          <w:lang w:eastAsia="en-US"/>
        </w:rPr>
        <w:footnoteRef/>
      </w:r>
      <w:r w:rsidRPr="00A87A74">
        <w:tab/>
      </w:r>
      <w:r w:rsidRPr="00A87A74">
        <w:rPr>
          <w:rFonts w:hint="eastAsia"/>
        </w:rPr>
        <w:t>人权事务委员会的报告，《大会正式记录，第三十七届会议，补编第</w:t>
      </w:r>
      <w:r w:rsidRPr="00A87A74">
        <w:t>40</w:t>
      </w:r>
      <w:r w:rsidRPr="00A87A74">
        <w:rPr>
          <w:rFonts w:hint="eastAsia"/>
        </w:rPr>
        <w:t>号》</w:t>
      </w:r>
      <w:r w:rsidRPr="00A87A74">
        <w:t>(A/37/40)</w:t>
      </w:r>
      <w:r w:rsidRPr="00A87A74">
        <w:rPr>
          <w:rFonts w:hint="eastAsia"/>
        </w:rPr>
        <w:t>，附件五，第</w:t>
      </w:r>
      <w:r w:rsidRPr="00A87A74">
        <w:t>5</w:t>
      </w:r>
      <w:r w:rsidRPr="00A87A74">
        <w:rPr>
          <w:rFonts w:hint="eastAsia"/>
        </w:rPr>
        <w:t>段。</w:t>
      </w:r>
    </w:p>
  </w:footnote>
  <w:footnote w:id="179">
    <w:p w:rsidR="00AB00DE" w:rsidRPr="00A87A74" w:rsidRDefault="00AB00DE" w:rsidP="00765E0D">
      <w:pPr>
        <w:pStyle w:val="a4"/>
        <w:widowControl w:val="0"/>
        <w:autoSpaceDE w:val="0"/>
        <w:autoSpaceDN w:val="0"/>
        <w:rPr>
          <w:lang w:bidi="x-none"/>
        </w:rPr>
      </w:pPr>
      <w:r w:rsidRPr="00A87A74">
        <w:tab/>
      </w:r>
      <w:r w:rsidRPr="00DF5565">
        <w:rPr>
          <w:rStyle w:val="a5"/>
        </w:rPr>
        <w:footnoteRef/>
      </w:r>
      <w:r w:rsidRPr="00A87A74">
        <w:rPr>
          <w:rFonts w:hint="eastAsia"/>
        </w:rPr>
        <w:tab/>
      </w:r>
      <w:r w:rsidRPr="00A87A74">
        <w:rPr>
          <w:rFonts w:ascii="宋体" w:hAnsi="宋体" w:hint="eastAsia"/>
        </w:rPr>
        <w:t>见第四条第一款。</w:t>
      </w:r>
    </w:p>
  </w:footnote>
  <w:footnote w:id="180">
    <w:p w:rsidR="00AB00DE" w:rsidRPr="00A87A74" w:rsidRDefault="00AB00DE" w:rsidP="00765E0D">
      <w:pPr>
        <w:pStyle w:val="a4"/>
        <w:widowControl w:val="0"/>
        <w:autoSpaceDE w:val="0"/>
        <w:autoSpaceDN w:val="0"/>
        <w:rPr>
          <w:lang w:bidi="x-none"/>
        </w:rPr>
      </w:pPr>
      <w:r w:rsidRPr="00A87A74">
        <w:tab/>
      </w:r>
      <w:r w:rsidRPr="00DF5565">
        <w:rPr>
          <w:rStyle w:val="a5"/>
        </w:rPr>
        <w:footnoteRef/>
      </w:r>
      <w:r w:rsidRPr="00A87A74">
        <w:tab/>
      </w:r>
      <w:r w:rsidRPr="002B0645">
        <w:rPr>
          <w:rFonts w:hint="eastAsia"/>
        </w:rPr>
        <w:t>人权事务委员会</w:t>
      </w:r>
      <w:r>
        <w:rPr>
          <w:rFonts w:hint="eastAsia"/>
        </w:rPr>
        <w:t>的报告，《大会正式记录，第五十六</w:t>
      </w:r>
      <w:r w:rsidRPr="002B0645">
        <w:rPr>
          <w:rFonts w:hint="eastAsia"/>
        </w:rPr>
        <w:t>届会议</w:t>
      </w:r>
      <w:r>
        <w:rPr>
          <w:rFonts w:hint="eastAsia"/>
        </w:rPr>
        <w:t>，</w:t>
      </w:r>
      <w:r w:rsidRPr="002B0645">
        <w:rPr>
          <w:rFonts w:hint="eastAsia"/>
        </w:rPr>
        <w:t>补编第</w:t>
      </w:r>
      <w:r w:rsidRPr="00A87A74">
        <w:t>40</w:t>
      </w:r>
      <w:r w:rsidRPr="002B0645">
        <w:rPr>
          <w:rFonts w:hint="eastAsia"/>
        </w:rPr>
        <w:t>号》</w:t>
      </w:r>
      <w:r w:rsidRPr="00A87A74">
        <w:t>(A</w:t>
      </w:r>
      <w:r w:rsidRPr="00A87A74">
        <w:rPr>
          <w:rFonts w:ascii="宋体" w:hAnsi="宋体" w:hint="eastAsia"/>
        </w:rPr>
        <w:t>/</w:t>
      </w:r>
      <w:r w:rsidRPr="00A87A74">
        <w:t>56/40)</w:t>
      </w:r>
      <w:r>
        <w:rPr>
          <w:rFonts w:hint="eastAsia"/>
        </w:rPr>
        <w:t>，第一卷，附件六，</w:t>
      </w:r>
      <w:r w:rsidRPr="002B0645">
        <w:rPr>
          <w:rFonts w:hint="eastAsia"/>
        </w:rPr>
        <w:t>第</w:t>
      </w:r>
      <w:r w:rsidRPr="00A87A74">
        <w:t>5</w:t>
      </w:r>
      <w:r w:rsidRPr="002B0645">
        <w:rPr>
          <w:rFonts w:hint="eastAsia"/>
        </w:rPr>
        <w:t>段。</w:t>
      </w:r>
    </w:p>
  </w:footnote>
  <w:footnote w:id="181">
    <w:p w:rsidR="00AB00DE" w:rsidRPr="00A87A74" w:rsidRDefault="00AB00DE" w:rsidP="00765E0D">
      <w:pPr>
        <w:pStyle w:val="a4"/>
        <w:widowControl w:val="0"/>
        <w:autoSpaceDE w:val="0"/>
        <w:autoSpaceDN w:val="0"/>
        <w:rPr>
          <w:lang w:bidi="x-none"/>
        </w:rPr>
      </w:pPr>
      <w:r>
        <w:rPr>
          <w:rFonts w:hint="eastAsia"/>
        </w:rPr>
        <w:tab/>
      </w:r>
      <w:r w:rsidRPr="00DF5565">
        <w:rPr>
          <w:rStyle w:val="a5"/>
        </w:rPr>
        <w:footnoteRef/>
      </w:r>
      <w:r w:rsidRPr="00DF5565">
        <w:rPr>
          <w:rStyle w:val="a5"/>
        </w:rPr>
        <w:tab/>
      </w:r>
      <w:r w:rsidRPr="00A87A74">
        <w:rPr>
          <w:rFonts w:ascii="宋体" w:hAnsi="宋体" w:hint="eastAsia"/>
        </w:rPr>
        <w:t>见第十一条。</w:t>
      </w:r>
    </w:p>
  </w:footnote>
  <w:footnote w:id="182">
    <w:p w:rsidR="00AB00DE" w:rsidRPr="009E581C" w:rsidRDefault="00AB00DE" w:rsidP="00765E0D">
      <w:pPr>
        <w:pStyle w:val="a4"/>
        <w:widowControl w:val="0"/>
        <w:autoSpaceDE w:val="0"/>
        <w:autoSpaceDN w:val="0"/>
      </w:pPr>
      <w:r w:rsidRPr="00A87A74">
        <w:tab/>
      </w:r>
      <w:r w:rsidRPr="00DF5565">
        <w:rPr>
          <w:rStyle w:val="a5"/>
        </w:rPr>
        <w:footnoteRef/>
      </w:r>
      <w:r w:rsidRPr="00A87A74">
        <w:tab/>
      </w:r>
      <w:r>
        <w:rPr>
          <w:rFonts w:hint="eastAsia"/>
        </w:rPr>
        <w:t>《经济及社会理事会正式记录，第二十一</w:t>
      </w:r>
      <w:r w:rsidRPr="002B0645">
        <w:rPr>
          <w:rFonts w:hint="eastAsia"/>
        </w:rPr>
        <w:t>届会议</w:t>
      </w:r>
      <w:r>
        <w:rPr>
          <w:rFonts w:hint="eastAsia"/>
        </w:rPr>
        <w:t>，</w:t>
      </w:r>
      <w:r w:rsidRPr="002B0645">
        <w:rPr>
          <w:rFonts w:hint="eastAsia"/>
        </w:rPr>
        <w:t>补编第</w:t>
      </w:r>
      <w:r w:rsidRPr="00A87A74">
        <w:rPr>
          <w:rFonts w:hint="eastAsia"/>
        </w:rPr>
        <w:t>2</w:t>
      </w:r>
      <w:r w:rsidRPr="002B0645">
        <w:rPr>
          <w:rFonts w:hint="eastAsia"/>
        </w:rPr>
        <w:t>号》</w:t>
      </w:r>
      <w:r w:rsidRPr="00A87A74">
        <w:t>(E/2000/22-E/C.12/1999/11)</w:t>
      </w:r>
      <w:r w:rsidRPr="009E581C">
        <w:rPr>
          <w:rFonts w:hint="eastAsia"/>
        </w:rPr>
        <w:t>，附件五，第</w:t>
      </w:r>
      <w:r w:rsidRPr="009E581C">
        <w:t>102</w:t>
      </w:r>
      <w:r w:rsidRPr="009E581C">
        <w:rPr>
          <w:rFonts w:hint="eastAsia"/>
        </w:rPr>
        <w:t>页，第</w:t>
      </w:r>
      <w:r w:rsidRPr="009E581C">
        <w:t>17</w:t>
      </w:r>
      <w:r w:rsidRPr="009E581C">
        <w:rPr>
          <w:rFonts w:hint="eastAsia"/>
        </w:rPr>
        <w:t>段。</w:t>
      </w:r>
    </w:p>
  </w:footnote>
  <w:footnote w:id="183">
    <w:p w:rsidR="00AB00DE" w:rsidRPr="00A87A74" w:rsidRDefault="00AB00DE" w:rsidP="00765E0D">
      <w:pPr>
        <w:pStyle w:val="a4"/>
        <w:widowControl w:val="0"/>
        <w:autoSpaceDE w:val="0"/>
        <w:autoSpaceDN w:val="0"/>
        <w:rPr>
          <w:lang w:bidi="x-none"/>
        </w:rPr>
      </w:pPr>
      <w:r w:rsidRPr="00A87A74">
        <w:tab/>
      </w:r>
      <w:r w:rsidRPr="00DF5565">
        <w:rPr>
          <w:rStyle w:val="a5"/>
        </w:rPr>
        <w:footnoteRef/>
      </w:r>
      <w:r w:rsidRPr="00A87A74">
        <w:tab/>
      </w:r>
      <w:r w:rsidRPr="00462909">
        <w:rPr>
          <w:rFonts w:hint="eastAsia"/>
        </w:rPr>
        <w:t>《</w:t>
      </w:r>
      <w:r>
        <w:rPr>
          <w:rFonts w:hint="eastAsia"/>
        </w:rPr>
        <w:t>人权：国际文书汇编</w:t>
      </w:r>
      <w:r w:rsidRPr="00462909">
        <w:rPr>
          <w:rFonts w:hint="eastAsia"/>
        </w:rPr>
        <w:t>》</w:t>
      </w:r>
      <w:r>
        <w:rPr>
          <w:rFonts w:hint="eastAsia"/>
        </w:rPr>
        <w:t>，第二卷，</w:t>
      </w:r>
      <w:r w:rsidRPr="00462909">
        <w:rPr>
          <w:rFonts w:hint="eastAsia"/>
        </w:rPr>
        <w:t>《</w:t>
      </w:r>
      <w:r>
        <w:rPr>
          <w:rFonts w:hint="eastAsia"/>
        </w:rPr>
        <w:t>区域文书</w:t>
      </w:r>
      <w:r w:rsidRPr="00462909">
        <w:rPr>
          <w:rFonts w:hint="eastAsia"/>
        </w:rPr>
        <w:t>》</w:t>
      </w:r>
      <w:r w:rsidRPr="00A87A74">
        <w:t>(</w:t>
      </w:r>
      <w:r w:rsidRPr="00A87A74">
        <w:rPr>
          <w:rFonts w:ascii="宋体" w:hAnsi="宋体" w:hint="eastAsia"/>
        </w:rPr>
        <w:t>联合国出版物，出售品编号</w:t>
      </w:r>
      <w:r w:rsidRPr="00A87A74">
        <w:t>E.97.XIV.1)</w:t>
      </w:r>
      <w:r w:rsidRPr="00A87A74">
        <w:rPr>
          <w:rFonts w:ascii="宋体" w:hAnsi="宋体" w:hint="eastAsia"/>
        </w:rPr>
        <w:t>，</w:t>
      </w:r>
      <w:r w:rsidRPr="00A87A74">
        <w:t xml:space="preserve"> C</w:t>
      </w:r>
      <w:r w:rsidRPr="00A87A74">
        <w:rPr>
          <w:rFonts w:hint="eastAsia"/>
        </w:rPr>
        <w:t>节，第</w:t>
      </w:r>
      <w:r w:rsidRPr="00A87A74">
        <w:t>39</w:t>
      </w:r>
      <w:r w:rsidRPr="00A87A74">
        <w:rPr>
          <w:rFonts w:hint="eastAsia"/>
        </w:rPr>
        <w:t>号。</w:t>
      </w:r>
    </w:p>
  </w:footnote>
  <w:footnote w:id="184">
    <w:p w:rsidR="00AB00DE" w:rsidRPr="00A87A74" w:rsidRDefault="00AB00DE" w:rsidP="00765E0D">
      <w:pPr>
        <w:pStyle w:val="a4"/>
        <w:widowControl w:val="0"/>
        <w:autoSpaceDE w:val="0"/>
        <w:autoSpaceDN w:val="0"/>
        <w:rPr>
          <w:lang w:bidi="x-none"/>
        </w:rPr>
      </w:pPr>
      <w:r w:rsidRPr="00A87A74">
        <w:tab/>
      </w:r>
      <w:r w:rsidRPr="00DF5565">
        <w:rPr>
          <w:rStyle w:val="a5"/>
        </w:rPr>
        <w:footnoteRef/>
      </w:r>
      <w:r w:rsidRPr="00A87A74">
        <w:tab/>
      </w:r>
      <w:r w:rsidRPr="00A87A74">
        <w:rPr>
          <w:rFonts w:ascii="宋体" w:hAnsi="宋体" w:hint="eastAsia"/>
        </w:rPr>
        <w:t>同上，第</w:t>
      </w:r>
      <w:r>
        <w:rPr>
          <w:rFonts w:hint="eastAsia"/>
        </w:rPr>
        <w:t>十一</w:t>
      </w:r>
      <w:r w:rsidRPr="00A87A74">
        <w:rPr>
          <w:rFonts w:hint="eastAsia"/>
        </w:rPr>
        <w:t>条。</w:t>
      </w:r>
    </w:p>
  </w:footnote>
  <w:footnote w:id="185">
    <w:p w:rsidR="00AB00DE" w:rsidRPr="00A87A74" w:rsidRDefault="00AB00DE" w:rsidP="00765E0D">
      <w:pPr>
        <w:pStyle w:val="a4"/>
        <w:widowControl w:val="0"/>
        <w:autoSpaceDE w:val="0"/>
        <w:autoSpaceDN w:val="0"/>
        <w:rPr>
          <w:lang w:bidi="x-none"/>
        </w:rPr>
      </w:pPr>
      <w:r w:rsidRPr="00A87A74">
        <w:tab/>
      </w:r>
      <w:r w:rsidRPr="00DF5565">
        <w:rPr>
          <w:rStyle w:val="a5"/>
        </w:rPr>
        <w:footnoteRef/>
      </w:r>
      <w:r w:rsidRPr="00A87A74">
        <w:tab/>
      </w:r>
      <w:r w:rsidRPr="00C86438">
        <w:rPr>
          <w:rFonts w:eastAsia="楷体" w:hint="eastAsia"/>
        </w:rPr>
        <w:t>科孚海峡</w:t>
      </w:r>
      <w:r w:rsidRPr="00C433DC">
        <w:rPr>
          <w:rFonts w:hint="eastAsia"/>
        </w:rPr>
        <w:t>案</w:t>
      </w:r>
      <w:r w:rsidRPr="00C86438">
        <w:t>(</w:t>
      </w:r>
      <w:r w:rsidRPr="00C86438">
        <w:t>见以上脚注</w:t>
      </w:r>
      <w:r w:rsidRPr="008972C0">
        <w:fldChar w:fldCharType="begin"/>
      </w:r>
      <w:r w:rsidRPr="008972C0">
        <w:instrText xml:space="preserve"> NOTEREF _Ref457232452 \h  \* MERGEFORMAT </w:instrText>
      </w:r>
      <w:r w:rsidRPr="008972C0">
        <w:fldChar w:fldCharType="separate"/>
      </w:r>
      <w:r w:rsidR="00A73EB9">
        <w:t>66</w:t>
      </w:r>
      <w:r w:rsidRPr="008972C0">
        <w:fldChar w:fldCharType="end"/>
      </w:r>
      <w:r w:rsidRPr="00C86438">
        <w:t>)</w:t>
      </w:r>
      <w:r>
        <w:rPr>
          <w:rFonts w:hint="eastAsia"/>
        </w:rPr>
        <w:t>，</w:t>
      </w:r>
      <w:r w:rsidRPr="00C433DC">
        <w:rPr>
          <w:rFonts w:hint="eastAsia"/>
        </w:rPr>
        <w:t>第</w:t>
      </w:r>
      <w:r w:rsidRPr="00A87A74">
        <w:rPr>
          <w:rFonts w:hint="eastAsia"/>
        </w:rPr>
        <w:t>22</w:t>
      </w:r>
      <w:r w:rsidRPr="00C433DC">
        <w:rPr>
          <w:rFonts w:hint="eastAsia"/>
        </w:rPr>
        <w:t>页</w:t>
      </w:r>
      <w:r w:rsidRPr="00A87A74">
        <w:rPr>
          <w:rFonts w:hint="eastAsia"/>
        </w:rPr>
        <w:t>(</w:t>
      </w:r>
      <w:r>
        <w:rPr>
          <w:rFonts w:hint="eastAsia"/>
        </w:rPr>
        <w:t>其中指出：“</w:t>
      </w:r>
      <w:r w:rsidRPr="00C433DC">
        <w:rPr>
          <w:rFonts w:hint="eastAsia"/>
        </w:rPr>
        <w:t>阿尔巴尼亚当局义不容辞的义务包括为了一般航行</w:t>
      </w:r>
      <w:r>
        <w:rPr>
          <w:rFonts w:hint="eastAsia"/>
        </w:rPr>
        <w:t>，</w:t>
      </w:r>
      <w:r w:rsidRPr="00C433DC">
        <w:rPr>
          <w:rFonts w:hint="eastAsia"/>
        </w:rPr>
        <w:t>通知在阿尔巴尼亚领海有一个雷区和警告接近的英国军舰注意雷区使它们暴露在迫在眉睫的危险之中。这些义务不是根据适用于战争时期的《</w:t>
      </w:r>
      <w:r w:rsidRPr="00A87A74">
        <w:rPr>
          <w:rFonts w:hint="eastAsia"/>
        </w:rPr>
        <w:t>1907</w:t>
      </w:r>
      <w:r>
        <w:rPr>
          <w:rFonts w:hint="eastAsia"/>
        </w:rPr>
        <w:t>年第八号海牙公约》的规定，而是根据某些普遍和</w:t>
      </w:r>
      <w:r w:rsidRPr="00C433DC">
        <w:rPr>
          <w:rFonts w:hint="eastAsia"/>
        </w:rPr>
        <w:t>公认的原则</w:t>
      </w:r>
      <w:r>
        <w:rPr>
          <w:rFonts w:hint="eastAsia"/>
        </w:rPr>
        <w:t>，</w:t>
      </w:r>
      <w:r w:rsidRPr="00C433DC">
        <w:rPr>
          <w:rFonts w:hint="eastAsia"/>
        </w:rPr>
        <w:t>即</w:t>
      </w:r>
      <w:r>
        <w:rPr>
          <w:rFonts w:hint="eastAsia"/>
        </w:rPr>
        <w:t>：</w:t>
      </w:r>
      <w:r w:rsidRPr="00C433DC">
        <w:rPr>
          <w:rFonts w:hint="eastAsia"/>
        </w:rPr>
        <w:t>基本的人道考虑</w:t>
      </w:r>
      <w:r>
        <w:rPr>
          <w:rFonts w:hint="eastAsia"/>
        </w:rPr>
        <w:t>，</w:t>
      </w:r>
      <w:r w:rsidRPr="00C433DC">
        <w:rPr>
          <w:rFonts w:hint="eastAsia"/>
        </w:rPr>
        <w:t>在和平时期比战争时期还要严格</w:t>
      </w:r>
      <w:r w:rsidRPr="000B1473">
        <w:rPr>
          <w:rFonts w:hint="eastAsia"/>
        </w:rPr>
        <w:t>……</w:t>
      </w:r>
      <w:r>
        <w:rPr>
          <w:rFonts w:hint="eastAsia"/>
        </w:rPr>
        <w:t>”</w:t>
      </w:r>
      <w:r w:rsidRPr="00A87A74">
        <w:rPr>
          <w:rFonts w:hint="eastAsia"/>
        </w:rPr>
        <w:t>)</w:t>
      </w:r>
      <w:r w:rsidRPr="00C433DC">
        <w:rPr>
          <w:rFonts w:hint="eastAsia"/>
        </w:rPr>
        <w:t>。</w:t>
      </w:r>
    </w:p>
  </w:footnote>
  <w:footnote w:id="186">
    <w:p w:rsidR="00AB00DE" w:rsidRPr="00A87A74" w:rsidRDefault="00AB00DE" w:rsidP="00765E0D">
      <w:pPr>
        <w:pStyle w:val="a4"/>
        <w:widowControl w:val="0"/>
        <w:autoSpaceDE w:val="0"/>
        <w:autoSpaceDN w:val="0"/>
        <w:rPr>
          <w:lang w:bidi="x-none"/>
        </w:rPr>
      </w:pPr>
      <w:r w:rsidRPr="00A87A74">
        <w:tab/>
      </w:r>
      <w:r w:rsidRPr="00DF5565">
        <w:rPr>
          <w:rStyle w:val="a5"/>
        </w:rPr>
        <w:footnoteRef/>
      </w:r>
      <w:r w:rsidRPr="00A87A74">
        <w:tab/>
      </w:r>
      <w:r w:rsidRPr="00C61BA6">
        <w:rPr>
          <w:rFonts w:hint="eastAsia"/>
        </w:rPr>
        <w:t>关于人道主义援助的决议</w:t>
      </w:r>
      <w:r w:rsidRPr="00C86438">
        <w:t>(</w:t>
      </w:r>
      <w:r w:rsidRPr="00C86438">
        <w:t>见以上脚注</w:t>
      </w:r>
      <w:r w:rsidRPr="00C46CB5">
        <w:fldChar w:fldCharType="begin"/>
      </w:r>
      <w:r w:rsidRPr="00C46CB5">
        <w:instrText xml:space="preserve"> NOTEREF _Ref450648805 \h  \* MERGEFORMAT </w:instrText>
      </w:r>
      <w:r w:rsidRPr="00C46CB5">
        <w:fldChar w:fldCharType="separate"/>
      </w:r>
      <w:r w:rsidR="00A73EB9">
        <w:t>18</w:t>
      </w:r>
      <w:r w:rsidRPr="00C46CB5">
        <w:fldChar w:fldCharType="end"/>
      </w:r>
      <w:r w:rsidRPr="00C86438">
        <w:t>)</w:t>
      </w:r>
      <w:r>
        <w:rPr>
          <w:rFonts w:hint="eastAsia"/>
        </w:rPr>
        <w:t>，</w:t>
      </w:r>
      <w:r w:rsidRPr="00C61BA6">
        <w:rPr>
          <w:rFonts w:hint="eastAsia"/>
        </w:rPr>
        <w:t>第</w:t>
      </w:r>
      <w:r w:rsidRPr="00A87A74">
        <w:rPr>
          <w:rFonts w:ascii="宋体" w:hAnsi="宋体" w:hint="eastAsia"/>
        </w:rPr>
        <w:t>三</w:t>
      </w:r>
      <w:r w:rsidRPr="00C61BA6">
        <w:rPr>
          <w:rFonts w:hint="eastAsia"/>
        </w:rPr>
        <w:t>条</w:t>
      </w:r>
      <w:r>
        <w:rPr>
          <w:rFonts w:hint="eastAsia"/>
        </w:rPr>
        <w:t>，</w:t>
      </w:r>
      <w:r w:rsidRPr="00C61BA6">
        <w:rPr>
          <w:rFonts w:hint="eastAsia"/>
        </w:rPr>
        <w:t>第</w:t>
      </w:r>
      <w:r w:rsidRPr="00A87A74">
        <w:rPr>
          <w:rFonts w:hint="eastAsia"/>
        </w:rPr>
        <w:t>3</w:t>
      </w:r>
      <w:r w:rsidRPr="00C61BA6">
        <w:rPr>
          <w:rFonts w:hint="eastAsia"/>
        </w:rPr>
        <w:t>段。</w:t>
      </w:r>
    </w:p>
  </w:footnote>
  <w:footnote w:id="187">
    <w:p w:rsidR="00AB00DE" w:rsidRPr="00A87A74" w:rsidRDefault="00AB00DE" w:rsidP="00765E0D">
      <w:pPr>
        <w:pStyle w:val="a4"/>
        <w:widowControl w:val="0"/>
        <w:autoSpaceDE w:val="0"/>
        <w:autoSpaceDN w:val="0"/>
        <w:rPr>
          <w:lang w:bidi="x-none"/>
        </w:rPr>
      </w:pPr>
      <w:r w:rsidRPr="00A87A74">
        <w:tab/>
      </w:r>
      <w:r w:rsidRPr="00DF5565">
        <w:rPr>
          <w:rStyle w:val="a5"/>
        </w:rPr>
        <w:footnoteRef/>
      </w:r>
      <w:r w:rsidRPr="00A87A74">
        <w:tab/>
      </w:r>
      <w:r w:rsidRPr="00C61BA6">
        <w:rPr>
          <w:rFonts w:hint="eastAsia"/>
        </w:rPr>
        <w:t>红十字与红新月联</w:t>
      </w:r>
      <w:r>
        <w:rPr>
          <w:rFonts w:hint="eastAsia"/>
        </w:rPr>
        <w:t>合</w:t>
      </w:r>
      <w:r w:rsidRPr="00C61BA6">
        <w:rPr>
          <w:rFonts w:hint="eastAsia"/>
        </w:rPr>
        <w:t>会《导则》</w:t>
      </w:r>
      <w:r w:rsidRPr="00C86438">
        <w:t>(</w:t>
      </w:r>
      <w:r w:rsidRPr="00C86438">
        <w:t>见以上脚注</w:t>
      </w:r>
      <w:r w:rsidRPr="00C46CB5">
        <w:fldChar w:fldCharType="begin"/>
      </w:r>
      <w:r w:rsidRPr="00C46CB5">
        <w:instrText xml:space="preserve"> NOTEREF _Ref450649159 \h  \* MERGEFORMAT </w:instrText>
      </w:r>
      <w:r w:rsidRPr="00C46CB5">
        <w:fldChar w:fldCharType="separate"/>
      </w:r>
      <w:r w:rsidR="00A73EB9">
        <w:t>17</w:t>
      </w:r>
      <w:r w:rsidRPr="00C46CB5">
        <w:fldChar w:fldCharType="end"/>
      </w:r>
      <w:r w:rsidRPr="00C86438">
        <w:t>)</w:t>
      </w:r>
      <w:r>
        <w:rPr>
          <w:rFonts w:hint="eastAsia"/>
        </w:rPr>
        <w:t>，</w:t>
      </w:r>
      <w:r w:rsidRPr="00C61BA6">
        <w:rPr>
          <w:rFonts w:hint="eastAsia"/>
        </w:rPr>
        <w:t>导则</w:t>
      </w:r>
      <w:r w:rsidRPr="00A87A74">
        <w:rPr>
          <w:rFonts w:hint="eastAsia"/>
        </w:rPr>
        <w:t>3</w:t>
      </w:r>
      <w:r w:rsidRPr="00A87A74">
        <w:rPr>
          <w:rFonts w:ascii="宋体" w:hAnsi="宋体" w:hint="eastAsia"/>
        </w:rPr>
        <w:t>第</w:t>
      </w:r>
      <w:r w:rsidRPr="00A87A74">
        <w:rPr>
          <w:rFonts w:hint="eastAsia"/>
        </w:rPr>
        <w:t>2</w:t>
      </w:r>
      <w:r w:rsidRPr="00A87A74">
        <w:rPr>
          <w:rFonts w:ascii="宋体" w:hAnsi="宋体" w:hint="eastAsia"/>
        </w:rPr>
        <w:t>段</w:t>
      </w:r>
      <w:r w:rsidRPr="00C61BA6">
        <w:rPr>
          <w:rFonts w:hint="eastAsia"/>
        </w:rPr>
        <w:t>。</w:t>
      </w:r>
    </w:p>
  </w:footnote>
  <w:footnote w:id="188">
    <w:p w:rsidR="00AB00DE" w:rsidRPr="00A87A74" w:rsidRDefault="00AB00DE" w:rsidP="00765E0D">
      <w:pPr>
        <w:pStyle w:val="a4"/>
        <w:widowControl w:val="0"/>
        <w:autoSpaceDE w:val="0"/>
        <w:autoSpaceDN w:val="0"/>
        <w:rPr>
          <w:lang w:bidi="x-none"/>
        </w:rPr>
      </w:pPr>
      <w:r>
        <w:rPr>
          <w:rFonts w:hint="eastAsia"/>
        </w:rPr>
        <w:tab/>
      </w:r>
      <w:r w:rsidRPr="00DF5565">
        <w:rPr>
          <w:rStyle w:val="a5"/>
        </w:rPr>
        <w:footnoteRef/>
      </w:r>
      <w:r w:rsidRPr="00A87A74">
        <w:tab/>
      </w:r>
      <w:r w:rsidRPr="00E36F37">
        <w:rPr>
          <w:rFonts w:hint="eastAsia"/>
        </w:rPr>
        <w:t>大会第</w:t>
      </w:r>
      <w:r w:rsidRPr="00A87A74">
        <w:rPr>
          <w:rFonts w:hint="eastAsia"/>
        </w:rPr>
        <w:t>46/182</w:t>
      </w:r>
      <w:r w:rsidRPr="00E36F37">
        <w:rPr>
          <w:rFonts w:hint="eastAsia"/>
        </w:rPr>
        <w:t>号决议</w:t>
      </w:r>
      <w:r>
        <w:rPr>
          <w:rFonts w:hint="eastAsia"/>
        </w:rPr>
        <w:t>，</w:t>
      </w:r>
      <w:r w:rsidRPr="00E36F37">
        <w:rPr>
          <w:rFonts w:hint="eastAsia"/>
        </w:rPr>
        <w:t>附件</w:t>
      </w:r>
      <w:r>
        <w:rPr>
          <w:rFonts w:hint="eastAsia"/>
        </w:rPr>
        <w:t>，</w:t>
      </w:r>
      <w:r w:rsidRPr="00E36F37">
        <w:rPr>
          <w:rFonts w:hint="eastAsia"/>
        </w:rPr>
        <w:t>第</w:t>
      </w:r>
      <w:r w:rsidRPr="00A87A74">
        <w:rPr>
          <w:rFonts w:hint="eastAsia"/>
        </w:rPr>
        <w:t>5</w:t>
      </w:r>
      <w:r w:rsidRPr="00E36F37">
        <w:rPr>
          <w:rFonts w:hint="eastAsia"/>
        </w:rPr>
        <w:t>段。</w:t>
      </w:r>
    </w:p>
  </w:footnote>
  <w:footnote w:id="189">
    <w:p w:rsidR="00AB00DE" w:rsidRPr="00A87A74" w:rsidRDefault="00AB00DE" w:rsidP="00765E0D">
      <w:pPr>
        <w:pStyle w:val="a4"/>
        <w:widowControl w:val="0"/>
        <w:autoSpaceDE w:val="0"/>
        <w:autoSpaceDN w:val="0"/>
        <w:rPr>
          <w:lang w:bidi="x-none"/>
        </w:rPr>
      </w:pPr>
      <w:r w:rsidRPr="00A87A74">
        <w:tab/>
      </w:r>
      <w:r w:rsidRPr="00DF5565">
        <w:rPr>
          <w:rStyle w:val="a5"/>
        </w:rPr>
        <w:footnoteRef/>
      </w:r>
      <w:r w:rsidRPr="00A87A74">
        <w:tab/>
      </w:r>
      <w:r w:rsidRPr="00E36F37">
        <w:rPr>
          <w:rFonts w:hint="eastAsia"/>
        </w:rPr>
        <w:t>《奥斯陆准则》</w:t>
      </w:r>
      <w:r w:rsidRPr="00C86438">
        <w:t>(</w:t>
      </w:r>
      <w:r w:rsidRPr="00C86438">
        <w:t>见以上脚注</w:t>
      </w:r>
      <w:r w:rsidRPr="00C46CB5">
        <w:fldChar w:fldCharType="begin"/>
      </w:r>
      <w:r w:rsidRPr="00C46CB5">
        <w:instrText xml:space="preserve"> NOTEREF _Ref450650190 \h  \* MERGEFORMAT </w:instrText>
      </w:r>
      <w:r w:rsidRPr="00C46CB5">
        <w:fldChar w:fldCharType="separate"/>
      </w:r>
      <w:r w:rsidR="00A73EB9">
        <w:t>28</w:t>
      </w:r>
      <w:r w:rsidRPr="00C46CB5">
        <w:fldChar w:fldCharType="end"/>
      </w:r>
      <w:r w:rsidRPr="00C86438">
        <w:t>)</w:t>
      </w:r>
      <w:r>
        <w:rPr>
          <w:rFonts w:hint="eastAsia"/>
        </w:rPr>
        <w:t>，</w:t>
      </w:r>
      <w:r w:rsidRPr="00E36F37">
        <w:rPr>
          <w:rFonts w:hint="eastAsia"/>
        </w:rPr>
        <w:t>第</w:t>
      </w:r>
      <w:r w:rsidRPr="00A87A74">
        <w:rPr>
          <w:rFonts w:hint="eastAsia"/>
        </w:rPr>
        <w:t>58</w:t>
      </w:r>
      <w:r w:rsidRPr="00E36F37">
        <w:rPr>
          <w:rFonts w:hint="eastAsia"/>
        </w:rPr>
        <w:t>段。</w:t>
      </w:r>
    </w:p>
  </w:footnote>
  <w:footnote w:id="190">
    <w:p w:rsidR="00AB00DE" w:rsidRPr="00A87A74" w:rsidRDefault="00AB00DE" w:rsidP="00765E0D">
      <w:pPr>
        <w:pStyle w:val="a4"/>
        <w:widowControl w:val="0"/>
        <w:autoSpaceDE w:val="0"/>
        <w:autoSpaceDN w:val="0"/>
        <w:rPr>
          <w:lang w:bidi="x-none"/>
        </w:rPr>
      </w:pPr>
      <w:r w:rsidRPr="00A87A74">
        <w:tab/>
      </w:r>
      <w:r w:rsidRPr="00DF5565">
        <w:rPr>
          <w:rStyle w:val="a5"/>
        </w:rPr>
        <w:footnoteRef/>
      </w:r>
      <w:r w:rsidRPr="00A87A74">
        <w:tab/>
      </w:r>
      <w:r w:rsidRPr="00E36F37">
        <w:rPr>
          <w:rFonts w:hint="eastAsia"/>
        </w:rPr>
        <w:t>大会第</w:t>
      </w:r>
      <w:r w:rsidRPr="00A87A74">
        <w:rPr>
          <w:rFonts w:hint="eastAsia"/>
        </w:rPr>
        <w:t>2625(XXV)</w:t>
      </w:r>
      <w:r w:rsidRPr="00E36F37">
        <w:rPr>
          <w:rFonts w:hint="eastAsia"/>
        </w:rPr>
        <w:t>号决议</w:t>
      </w:r>
      <w:r>
        <w:rPr>
          <w:rFonts w:hint="eastAsia"/>
        </w:rPr>
        <w:t>，</w:t>
      </w:r>
      <w:r w:rsidRPr="00E36F37">
        <w:rPr>
          <w:rFonts w:hint="eastAsia"/>
        </w:rPr>
        <w:t>附件。</w:t>
      </w:r>
    </w:p>
  </w:footnote>
  <w:footnote w:id="191">
    <w:p w:rsidR="00AB00DE" w:rsidRPr="00A87A74" w:rsidRDefault="00AB00DE" w:rsidP="00765E0D">
      <w:pPr>
        <w:pStyle w:val="a4"/>
        <w:widowControl w:val="0"/>
        <w:autoSpaceDE w:val="0"/>
        <w:autoSpaceDN w:val="0"/>
        <w:rPr>
          <w:lang w:bidi="x-none"/>
        </w:rPr>
      </w:pPr>
      <w:r w:rsidRPr="00A87A74">
        <w:tab/>
      </w:r>
      <w:r w:rsidRPr="00DF5565">
        <w:rPr>
          <w:rStyle w:val="a5"/>
        </w:rPr>
        <w:footnoteRef/>
      </w:r>
      <w:r w:rsidRPr="00A87A74">
        <w:tab/>
      </w:r>
      <w:r w:rsidRPr="00E36F37">
        <w:rPr>
          <w:rFonts w:hint="eastAsia"/>
        </w:rPr>
        <w:t>同上。</w:t>
      </w:r>
    </w:p>
  </w:footnote>
  <w:footnote w:id="192">
    <w:p w:rsidR="00AB00DE" w:rsidRPr="00A87A74" w:rsidRDefault="00AB00DE" w:rsidP="00765E0D">
      <w:pPr>
        <w:pStyle w:val="a4"/>
        <w:widowControl w:val="0"/>
        <w:autoSpaceDE w:val="0"/>
        <w:autoSpaceDN w:val="0"/>
        <w:rPr>
          <w:lang w:bidi="x-none"/>
        </w:rPr>
      </w:pPr>
      <w:r w:rsidRPr="00A87A74">
        <w:tab/>
      </w:r>
      <w:r w:rsidRPr="00DF5565">
        <w:rPr>
          <w:rStyle w:val="a5"/>
        </w:rPr>
        <w:footnoteRef/>
      </w:r>
      <w:r w:rsidRPr="00A87A74">
        <w:tab/>
      </w:r>
      <w:r w:rsidRPr="00E36F37">
        <w:rPr>
          <w:rFonts w:hint="eastAsia"/>
        </w:rPr>
        <w:t>同上。</w:t>
      </w:r>
    </w:p>
  </w:footnote>
  <w:footnote w:id="193">
    <w:p w:rsidR="00AB00DE" w:rsidRPr="00A87A74" w:rsidRDefault="00AB00DE" w:rsidP="00765E0D">
      <w:pPr>
        <w:pStyle w:val="a4"/>
        <w:widowControl w:val="0"/>
        <w:autoSpaceDE w:val="0"/>
        <w:autoSpaceDN w:val="0"/>
        <w:rPr>
          <w:lang w:bidi="x-none"/>
        </w:rPr>
      </w:pPr>
      <w:r w:rsidRPr="00A87A74">
        <w:tab/>
      </w:r>
      <w:r w:rsidRPr="00DF5565">
        <w:rPr>
          <w:rStyle w:val="a5"/>
        </w:rPr>
        <w:footnoteRef/>
      </w:r>
      <w:r w:rsidRPr="00A87A74">
        <w:tab/>
      </w:r>
      <w:r w:rsidRPr="00E36F37">
        <w:rPr>
          <w:rFonts w:hint="eastAsia"/>
        </w:rPr>
        <w:t>同上。</w:t>
      </w:r>
    </w:p>
  </w:footnote>
  <w:footnote w:id="194">
    <w:p w:rsidR="00AB00DE" w:rsidRPr="00A87A74" w:rsidRDefault="00AB00DE" w:rsidP="00765E0D">
      <w:pPr>
        <w:pStyle w:val="a4"/>
        <w:widowControl w:val="0"/>
        <w:autoSpaceDE w:val="0"/>
        <w:autoSpaceDN w:val="0"/>
        <w:rPr>
          <w:lang w:bidi="x-none"/>
        </w:rPr>
      </w:pPr>
      <w:r>
        <w:rPr>
          <w:rFonts w:hint="eastAsia"/>
        </w:rPr>
        <w:tab/>
      </w:r>
      <w:r w:rsidRPr="00DF5565">
        <w:rPr>
          <w:rStyle w:val="a5"/>
        </w:rPr>
        <w:footnoteRef/>
      </w:r>
      <w:r w:rsidRPr="00A87A74">
        <w:tab/>
      </w:r>
      <w:r w:rsidRPr="00105B64">
        <w:rPr>
          <w:rFonts w:hint="eastAsia"/>
        </w:rPr>
        <w:t>国际法学会</w:t>
      </w:r>
      <w:r>
        <w:rPr>
          <w:rFonts w:hint="eastAsia"/>
        </w:rPr>
        <w:t>，</w:t>
      </w:r>
      <w:r w:rsidRPr="000B1473">
        <w:rPr>
          <w:rFonts w:hint="eastAsia"/>
        </w:rPr>
        <w:t>《</w:t>
      </w:r>
      <w:r>
        <w:rPr>
          <w:rFonts w:hint="eastAsia"/>
        </w:rPr>
        <w:t>年鉴》，第</w:t>
      </w:r>
      <w:r w:rsidRPr="00A87A74">
        <w:t>63</w:t>
      </w:r>
      <w:r>
        <w:rPr>
          <w:rFonts w:hint="eastAsia"/>
        </w:rPr>
        <w:t>卷第二</w:t>
      </w:r>
      <w:r w:rsidRPr="000B1473">
        <w:rPr>
          <w:rFonts w:hint="eastAsia"/>
        </w:rPr>
        <w:t>部分</w:t>
      </w:r>
      <w:r w:rsidRPr="00A87A74">
        <w:rPr>
          <w:rFonts w:ascii="宋体" w:hAnsi="宋体" w:hint="eastAsia"/>
        </w:rPr>
        <w:t>，</w:t>
      </w:r>
      <w:r w:rsidRPr="00105B64">
        <w:rPr>
          <w:rFonts w:hint="eastAsia"/>
        </w:rPr>
        <w:t>圣地亚哥德孔波斯特拉会议</w:t>
      </w:r>
      <w:r w:rsidRPr="00A87A74">
        <w:t>(1989</w:t>
      </w:r>
      <w:r w:rsidRPr="00A87A74">
        <w:rPr>
          <w:rFonts w:ascii="宋体" w:hAnsi="宋体" w:hint="eastAsia"/>
        </w:rPr>
        <w:t>年</w:t>
      </w:r>
      <w:r w:rsidRPr="00A87A74">
        <w:t>)</w:t>
      </w:r>
      <w:r w:rsidRPr="00A87A74">
        <w:rPr>
          <w:rFonts w:hint="eastAsia"/>
        </w:rPr>
        <w:t>，</w:t>
      </w:r>
      <w:r w:rsidRPr="00A87A74">
        <w:rPr>
          <w:rFonts w:ascii="宋体" w:hAnsi="宋体" w:hint="eastAsia"/>
        </w:rPr>
        <w:t>第</w:t>
      </w:r>
      <w:r w:rsidRPr="00A87A74">
        <w:t>339</w:t>
      </w:r>
      <w:r w:rsidRPr="00A87A74">
        <w:rPr>
          <w:rFonts w:hint="eastAsia"/>
        </w:rPr>
        <w:t>页起，见第</w:t>
      </w:r>
      <w:r w:rsidRPr="00A87A74">
        <w:t>345</w:t>
      </w:r>
      <w:r w:rsidRPr="00A87A74">
        <w:rPr>
          <w:rFonts w:hint="eastAsia"/>
        </w:rPr>
        <w:t>页，第</w:t>
      </w:r>
      <w:r w:rsidRPr="00A87A74">
        <w:t>5</w:t>
      </w:r>
      <w:r w:rsidRPr="00A87A74">
        <w:rPr>
          <w:rFonts w:hint="eastAsia"/>
        </w:rPr>
        <w:t>条。</w:t>
      </w:r>
    </w:p>
  </w:footnote>
  <w:footnote w:id="195">
    <w:p w:rsidR="00AB00DE" w:rsidRPr="00A87A74" w:rsidRDefault="00AB00DE" w:rsidP="00765E0D">
      <w:pPr>
        <w:pStyle w:val="a4"/>
        <w:widowControl w:val="0"/>
        <w:autoSpaceDE w:val="0"/>
        <w:autoSpaceDN w:val="0"/>
        <w:rPr>
          <w:lang w:bidi="x-none"/>
        </w:rPr>
      </w:pPr>
      <w:r w:rsidRPr="00A87A74">
        <w:tab/>
      </w:r>
      <w:r w:rsidRPr="00DF5565">
        <w:rPr>
          <w:rStyle w:val="a5"/>
        </w:rPr>
        <w:footnoteRef/>
      </w:r>
      <w:r w:rsidRPr="00A87A74">
        <w:tab/>
      </w:r>
      <w:r w:rsidRPr="00105B64">
        <w:rPr>
          <w:rFonts w:hint="eastAsia"/>
        </w:rPr>
        <w:t>例如见《日内瓦公约》</w:t>
      </w:r>
      <w:r>
        <w:rPr>
          <w:rFonts w:hint="eastAsia"/>
        </w:rPr>
        <w:t>，</w:t>
      </w:r>
      <w:r w:rsidRPr="00105B64">
        <w:rPr>
          <w:rFonts w:hint="eastAsia"/>
        </w:rPr>
        <w:t>第三条第</w:t>
      </w:r>
      <w:r w:rsidRPr="00A87A74">
        <w:rPr>
          <w:rFonts w:hint="eastAsia"/>
        </w:rPr>
        <w:t>(</w:t>
      </w:r>
      <w:r w:rsidRPr="00105B64">
        <w:rPr>
          <w:rFonts w:hint="eastAsia"/>
        </w:rPr>
        <w:t>二</w:t>
      </w:r>
      <w:r w:rsidRPr="00A87A74">
        <w:rPr>
          <w:rFonts w:hint="eastAsia"/>
        </w:rPr>
        <w:t>)</w:t>
      </w:r>
      <w:r w:rsidRPr="00105B64">
        <w:rPr>
          <w:rFonts w:hint="eastAsia"/>
        </w:rPr>
        <w:t>款。</w:t>
      </w:r>
    </w:p>
  </w:footnote>
  <w:footnote w:id="196">
    <w:p w:rsidR="00AB00DE" w:rsidRPr="00A87A74" w:rsidRDefault="00AB00DE" w:rsidP="00765E0D">
      <w:pPr>
        <w:pStyle w:val="a4"/>
        <w:widowControl w:val="0"/>
        <w:autoSpaceDE w:val="0"/>
        <w:autoSpaceDN w:val="0"/>
        <w:rPr>
          <w:lang w:bidi="x-none"/>
        </w:rPr>
      </w:pPr>
      <w:r w:rsidRPr="00A87A74">
        <w:tab/>
      </w:r>
      <w:r w:rsidRPr="00DF5565">
        <w:rPr>
          <w:rStyle w:val="a5"/>
        </w:rPr>
        <w:footnoteRef/>
      </w:r>
      <w:r w:rsidRPr="00A87A74">
        <w:tab/>
      </w:r>
      <w:r w:rsidRPr="00A87A74">
        <w:rPr>
          <w:rFonts w:ascii="宋体" w:hAnsi="宋体" w:hint="eastAsia"/>
        </w:rPr>
        <w:t>见第十八条第一款。</w:t>
      </w:r>
    </w:p>
  </w:footnote>
  <w:footnote w:id="197">
    <w:p w:rsidR="00AB00DE" w:rsidRPr="00A87A74" w:rsidRDefault="00AB00DE" w:rsidP="00765E0D">
      <w:pPr>
        <w:pStyle w:val="a4"/>
        <w:widowControl w:val="0"/>
        <w:autoSpaceDE w:val="0"/>
        <w:autoSpaceDN w:val="0"/>
      </w:pPr>
      <w:r w:rsidRPr="00A87A74">
        <w:tab/>
      </w:r>
      <w:r w:rsidRPr="00DF5565">
        <w:rPr>
          <w:rStyle w:val="a5"/>
        </w:rPr>
        <w:footnoteRef/>
      </w:r>
      <w:r w:rsidRPr="00A87A74">
        <w:tab/>
      </w:r>
      <w:r w:rsidRPr="00105B64">
        <w:rPr>
          <w:rFonts w:hint="eastAsia"/>
        </w:rPr>
        <w:t>见大会第</w:t>
      </w:r>
      <w:r w:rsidRPr="00A87A74">
        <w:rPr>
          <w:rFonts w:hint="eastAsia"/>
        </w:rPr>
        <w:t>43/131</w:t>
      </w:r>
      <w:r w:rsidRPr="00105B64">
        <w:rPr>
          <w:rFonts w:hint="eastAsia"/>
        </w:rPr>
        <w:t>号决议</w:t>
      </w:r>
      <w:r>
        <w:rPr>
          <w:rFonts w:hint="eastAsia"/>
        </w:rPr>
        <w:t>，</w:t>
      </w:r>
      <w:r w:rsidRPr="00105B64">
        <w:rPr>
          <w:rFonts w:hint="eastAsia"/>
        </w:rPr>
        <w:t>第</w:t>
      </w:r>
      <w:r w:rsidRPr="00A87A74">
        <w:rPr>
          <w:rFonts w:hint="eastAsia"/>
        </w:rPr>
        <w:t>4-5</w:t>
      </w:r>
      <w:r w:rsidRPr="00105B64">
        <w:rPr>
          <w:rFonts w:hint="eastAsia"/>
        </w:rPr>
        <w:t>段。</w:t>
      </w:r>
    </w:p>
  </w:footnote>
  <w:footnote w:id="198">
    <w:p w:rsidR="00AB00DE" w:rsidRPr="00A87A74" w:rsidRDefault="00AB00DE" w:rsidP="00765E0D">
      <w:pPr>
        <w:pStyle w:val="a4"/>
        <w:widowControl w:val="0"/>
        <w:autoSpaceDE w:val="0"/>
        <w:autoSpaceDN w:val="0"/>
        <w:rPr>
          <w:lang w:bidi="x-none"/>
        </w:rPr>
      </w:pPr>
      <w:r w:rsidRPr="00A87A74">
        <w:tab/>
      </w:r>
      <w:r w:rsidRPr="00DF5565">
        <w:rPr>
          <w:rStyle w:val="a5"/>
        </w:rPr>
        <w:footnoteRef/>
      </w:r>
      <w:r w:rsidRPr="00DF5565">
        <w:rPr>
          <w:rStyle w:val="a5"/>
        </w:rPr>
        <w:tab/>
      </w:r>
      <w:r w:rsidRPr="00A87A74">
        <w:rPr>
          <w:rFonts w:ascii="宋体" w:hAnsi="宋体" w:hint="eastAsia"/>
        </w:rPr>
        <w:t>另见《东盟协定》第</w:t>
      </w:r>
      <w:r w:rsidRPr="00A87A74">
        <w:t>4</w:t>
      </w:r>
      <w:r w:rsidRPr="00A87A74">
        <w:rPr>
          <w:rFonts w:ascii="宋体" w:hAnsi="宋体" w:hint="eastAsia"/>
        </w:rPr>
        <w:t>条</w:t>
      </w:r>
      <w:r w:rsidRPr="00A87A74">
        <w:t>(c)</w:t>
      </w:r>
      <w:r w:rsidRPr="00A87A74">
        <w:rPr>
          <w:rFonts w:ascii="宋体" w:hAnsi="宋体" w:hint="eastAsia"/>
        </w:rPr>
        <w:t>项</w:t>
      </w:r>
      <w:r w:rsidRPr="00A87A74">
        <w:t>(</w:t>
      </w:r>
      <w:r w:rsidRPr="00A87A74">
        <w:rPr>
          <w:rFonts w:ascii="宋体" w:hAnsi="宋体" w:hint="eastAsia"/>
        </w:rPr>
        <w:t>“为实现本协定的目标，缔约方应</w:t>
      </w:r>
      <w:r w:rsidRPr="000B1473">
        <w:rPr>
          <w:rFonts w:hint="eastAsia"/>
        </w:rPr>
        <w:t>……</w:t>
      </w:r>
      <w:r w:rsidRPr="00A87A74">
        <w:rPr>
          <w:rFonts w:ascii="宋体" w:hAnsi="宋体" w:hint="eastAsia"/>
        </w:rPr>
        <w:t>对受灾缔约方的援助请求迅速作出反应”</w:t>
      </w:r>
      <w:r w:rsidRPr="00A87A74">
        <w:t>)</w:t>
      </w:r>
      <w:r w:rsidRPr="00A87A74">
        <w:rPr>
          <w:rFonts w:hint="eastAsia"/>
        </w:rPr>
        <w:t>；</w:t>
      </w:r>
      <w:r w:rsidRPr="00A87A74">
        <w:rPr>
          <w:rFonts w:ascii="宋体" w:hAnsi="宋体" w:hint="eastAsia"/>
        </w:rPr>
        <w:t>和《南亚区域合作联盟快速应对自然灾害协定》</w:t>
      </w:r>
      <w:r w:rsidRPr="00A87A74">
        <w:t>(2011</w:t>
      </w:r>
      <w:r w:rsidRPr="00A87A74">
        <w:rPr>
          <w:rFonts w:hint="eastAsia"/>
        </w:rPr>
        <w:t>年</w:t>
      </w:r>
      <w:r w:rsidRPr="00A87A74">
        <w:t>5</w:t>
      </w:r>
      <w:r w:rsidRPr="00A87A74">
        <w:rPr>
          <w:rFonts w:hint="eastAsia"/>
        </w:rPr>
        <w:t>月</w:t>
      </w:r>
      <w:r w:rsidRPr="00A87A74">
        <w:t>26</w:t>
      </w:r>
      <w:r w:rsidRPr="00A87A74">
        <w:rPr>
          <w:rFonts w:hint="eastAsia"/>
        </w:rPr>
        <w:t>日</w:t>
      </w:r>
      <w:r w:rsidRPr="00A87A74">
        <w:rPr>
          <w:rFonts w:ascii="宋体" w:hAnsi="宋体" w:hint="eastAsia"/>
        </w:rPr>
        <w:t>，马莱</w:t>
      </w:r>
      <w:r w:rsidRPr="00A87A74">
        <w:t>)</w:t>
      </w:r>
      <w:r w:rsidRPr="00A87A74">
        <w:rPr>
          <w:rFonts w:ascii="宋体" w:hAnsi="宋体" w:hint="eastAsia"/>
        </w:rPr>
        <w:t>，第</w:t>
      </w:r>
      <w:r w:rsidRPr="00A87A74">
        <w:t>4</w:t>
      </w:r>
      <w:r w:rsidRPr="00A87A74">
        <w:rPr>
          <w:rFonts w:hint="eastAsia"/>
        </w:rPr>
        <w:t>条。</w:t>
      </w:r>
    </w:p>
  </w:footnote>
  <w:footnote w:id="199">
    <w:p w:rsidR="00AB00DE" w:rsidRPr="00897217" w:rsidRDefault="00AB00DE" w:rsidP="00765E0D">
      <w:pPr>
        <w:pStyle w:val="a4"/>
        <w:widowControl w:val="0"/>
        <w:autoSpaceDE w:val="0"/>
        <w:autoSpaceDN w:val="0"/>
      </w:pPr>
      <w:r w:rsidRPr="00A87A74">
        <w:tab/>
      </w:r>
      <w:r w:rsidRPr="00DF5565">
        <w:rPr>
          <w:rStyle w:val="a5"/>
        </w:rPr>
        <w:footnoteRef/>
      </w:r>
      <w:r w:rsidRPr="00A87A74">
        <w:tab/>
      </w:r>
      <w:r w:rsidRPr="00A87A74">
        <w:rPr>
          <w:rFonts w:ascii="宋体" w:hAnsi="宋体" w:hint="eastAsia"/>
        </w:rPr>
        <w:t>大会</w:t>
      </w:r>
      <w:r w:rsidRPr="00A87A74">
        <w:t>2007</w:t>
      </w:r>
      <w:r w:rsidRPr="00A87A74">
        <w:rPr>
          <w:rFonts w:hint="eastAsia"/>
        </w:rPr>
        <w:t>年</w:t>
      </w:r>
      <w:r w:rsidRPr="00A87A74">
        <w:t>12</w:t>
      </w:r>
      <w:r w:rsidRPr="00A87A74">
        <w:rPr>
          <w:rFonts w:hint="eastAsia"/>
        </w:rPr>
        <w:t>月</w:t>
      </w:r>
      <w:r w:rsidRPr="00A87A74">
        <w:t>6</w:t>
      </w:r>
      <w:r w:rsidRPr="00A87A74">
        <w:rPr>
          <w:rFonts w:hint="eastAsia"/>
        </w:rPr>
        <w:t>日</w:t>
      </w:r>
      <w:r w:rsidRPr="008C47C6">
        <w:t>第</w:t>
      </w:r>
      <w:r w:rsidRPr="008C47C6">
        <w:t>62/67</w:t>
      </w:r>
      <w:r w:rsidRPr="00A87A74">
        <w:rPr>
          <w:rFonts w:ascii="宋体" w:hAnsi="宋体" w:hint="eastAsia"/>
        </w:rPr>
        <w:t>号决议</w:t>
      </w:r>
      <w:r w:rsidRPr="00897217">
        <w:t>(</w:t>
      </w:r>
      <w:r w:rsidRPr="00897217">
        <w:t>其评注见《</w:t>
      </w:r>
      <w:r w:rsidRPr="00897217">
        <w:t>2006</w:t>
      </w:r>
      <w:r w:rsidRPr="00897217">
        <w:t>年</w:t>
      </w:r>
      <w:r w:rsidRPr="000B1473">
        <w:rPr>
          <w:rFonts w:hint="eastAsia"/>
        </w:rPr>
        <w:t>……</w:t>
      </w:r>
      <w:r w:rsidRPr="00897217">
        <w:t>年鉴》第二卷第二部分，第四章，</w:t>
      </w:r>
      <w:r w:rsidRPr="00897217">
        <w:t>E</w:t>
      </w:r>
      <w:r w:rsidRPr="00897217">
        <w:t>节</w:t>
      </w:r>
      <w:r w:rsidRPr="00897217">
        <w:t>)</w:t>
      </w:r>
      <w:r w:rsidRPr="00897217">
        <w:t>。</w:t>
      </w:r>
    </w:p>
  </w:footnote>
  <w:footnote w:id="200">
    <w:p w:rsidR="00AB00DE" w:rsidRPr="00A87A74" w:rsidRDefault="00AB00DE" w:rsidP="00765E0D">
      <w:pPr>
        <w:pStyle w:val="a4"/>
        <w:widowControl w:val="0"/>
        <w:autoSpaceDE w:val="0"/>
        <w:autoSpaceDN w:val="0"/>
        <w:rPr>
          <w:lang w:bidi="x-none"/>
        </w:rPr>
      </w:pPr>
      <w:r w:rsidRPr="00A87A74">
        <w:tab/>
      </w:r>
      <w:r w:rsidRPr="00DF5565">
        <w:rPr>
          <w:rStyle w:val="a5"/>
        </w:rPr>
        <w:footnoteRef/>
      </w:r>
      <w:r w:rsidRPr="00A87A74">
        <w:tab/>
      </w:r>
      <w:r w:rsidRPr="00886D46">
        <w:rPr>
          <w:rFonts w:hint="eastAsia"/>
        </w:rPr>
        <w:t>大会第</w:t>
      </w:r>
      <w:r w:rsidRPr="00A87A74">
        <w:rPr>
          <w:rFonts w:hint="eastAsia"/>
        </w:rPr>
        <w:t>46/182</w:t>
      </w:r>
      <w:r w:rsidRPr="00886D46">
        <w:rPr>
          <w:rFonts w:hint="eastAsia"/>
        </w:rPr>
        <w:t>号决议</w:t>
      </w:r>
      <w:r>
        <w:rPr>
          <w:rFonts w:hint="eastAsia"/>
        </w:rPr>
        <w:t>，</w:t>
      </w:r>
      <w:r w:rsidRPr="00886D46">
        <w:rPr>
          <w:rFonts w:hint="eastAsia"/>
        </w:rPr>
        <w:t>附件</w:t>
      </w:r>
      <w:r>
        <w:rPr>
          <w:rFonts w:hint="eastAsia"/>
        </w:rPr>
        <w:t>，</w:t>
      </w:r>
      <w:r w:rsidRPr="00886D46">
        <w:rPr>
          <w:rFonts w:hint="eastAsia"/>
        </w:rPr>
        <w:t>第</w:t>
      </w:r>
      <w:r w:rsidRPr="00A87A74">
        <w:rPr>
          <w:rFonts w:hint="eastAsia"/>
        </w:rPr>
        <w:t>3</w:t>
      </w:r>
      <w:r w:rsidRPr="00886D46">
        <w:rPr>
          <w:rFonts w:hint="eastAsia"/>
        </w:rPr>
        <w:t>段。</w:t>
      </w:r>
    </w:p>
  </w:footnote>
  <w:footnote w:id="201">
    <w:p w:rsidR="00AB00DE" w:rsidRPr="00A87A74" w:rsidRDefault="00AB00DE" w:rsidP="00765E0D">
      <w:pPr>
        <w:pStyle w:val="a4"/>
        <w:widowControl w:val="0"/>
        <w:autoSpaceDE w:val="0"/>
        <w:autoSpaceDN w:val="0"/>
        <w:rPr>
          <w:lang w:bidi="x-none"/>
        </w:rPr>
      </w:pPr>
      <w:r w:rsidRPr="00A87A74">
        <w:tab/>
      </w:r>
      <w:r w:rsidRPr="00DF5565">
        <w:rPr>
          <w:rStyle w:val="a5"/>
        </w:rPr>
        <w:footnoteRef/>
      </w:r>
      <w:r w:rsidRPr="00A87A74">
        <w:tab/>
      </w:r>
      <w:r w:rsidRPr="00A87A74">
        <w:rPr>
          <w:rFonts w:ascii="宋体" w:hAnsi="宋体" w:hint="eastAsia"/>
        </w:rPr>
        <w:t>见</w:t>
      </w:r>
      <w:r w:rsidRPr="00C41806">
        <w:rPr>
          <w:rFonts w:hint="eastAsia"/>
        </w:rPr>
        <w:t>第</w:t>
      </w:r>
      <w:r>
        <w:t>4</w:t>
      </w:r>
      <w:r w:rsidRPr="00C41806">
        <w:rPr>
          <w:rFonts w:hint="eastAsia"/>
        </w:rPr>
        <w:t>条第</w:t>
      </w:r>
      <w:r>
        <w:t>5</w:t>
      </w:r>
      <w:r w:rsidRPr="00C41806">
        <w:rPr>
          <w:rFonts w:hint="eastAsia"/>
        </w:rPr>
        <w:t>款。</w:t>
      </w:r>
    </w:p>
  </w:footnote>
  <w:footnote w:id="202">
    <w:p w:rsidR="00AB00DE" w:rsidRPr="00A87A74" w:rsidRDefault="00AB00DE" w:rsidP="00765E0D">
      <w:pPr>
        <w:pStyle w:val="a4"/>
        <w:widowControl w:val="0"/>
        <w:autoSpaceDE w:val="0"/>
        <w:autoSpaceDN w:val="0"/>
        <w:rPr>
          <w:lang w:bidi="x-none"/>
        </w:rPr>
      </w:pPr>
      <w:r w:rsidRPr="00A87A74">
        <w:tab/>
      </w:r>
      <w:r w:rsidRPr="00DF5565">
        <w:rPr>
          <w:rStyle w:val="a5"/>
        </w:rPr>
        <w:footnoteRef/>
      </w:r>
      <w:r w:rsidRPr="00A87A74">
        <w:tab/>
      </w:r>
      <w:r w:rsidRPr="00A87A74">
        <w:rPr>
          <w:rFonts w:hint="eastAsia"/>
        </w:rPr>
        <w:t>见第</w:t>
      </w:r>
      <w:r w:rsidRPr="00A87A74">
        <w:t>3</w:t>
      </w:r>
      <w:r w:rsidRPr="00A87A74">
        <w:rPr>
          <w:rFonts w:hint="eastAsia"/>
        </w:rPr>
        <w:t>条第</w:t>
      </w:r>
      <w:r w:rsidRPr="00A87A74">
        <w:t>1</w:t>
      </w:r>
      <w:r w:rsidRPr="00A87A74">
        <w:rPr>
          <w:rFonts w:hint="eastAsia"/>
        </w:rPr>
        <w:t>款</w:t>
      </w:r>
      <w:r w:rsidRPr="001E5631">
        <w:rPr>
          <w:rFonts w:hint="eastAsia"/>
        </w:rPr>
        <w:t>。</w:t>
      </w:r>
    </w:p>
  </w:footnote>
  <w:footnote w:id="203">
    <w:p w:rsidR="00AB00DE" w:rsidRPr="00A87A74" w:rsidRDefault="00AB00DE" w:rsidP="00765E0D">
      <w:pPr>
        <w:pStyle w:val="a4"/>
        <w:widowControl w:val="0"/>
        <w:autoSpaceDE w:val="0"/>
        <w:autoSpaceDN w:val="0"/>
        <w:rPr>
          <w:lang w:bidi="x-none"/>
        </w:rPr>
      </w:pPr>
      <w:r w:rsidRPr="00A87A74">
        <w:tab/>
      </w:r>
      <w:r w:rsidRPr="00DF5565">
        <w:rPr>
          <w:rStyle w:val="a5"/>
        </w:rPr>
        <w:footnoteRef/>
      </w:r>
      <w:r w:rsidRPr="00A87A74">
        <w:tab/>
      </w:r>
      <w:r w:rsidRPr="00A87A74">
        <w:rPr>
          <w:rFonts w:ascii="宋体" w:hAnsi="宋体" w:hint="eastAsia"/>
        </w:rPr>
        <w:t>见《公民权利和政治权利国际公约》第六条第一款。</w:t>
      </w:r>
    </w:p>
  </w:footnote>
  <w:footnote w:id="204">
    <w:p w:rsidR="00AB00DE" w:rsidRPr="00A87A74" w:rsidRDefault="00AB00DE" w:rsidP="00765E0D">
      <w:pPr>
        <w:pStyle w:val="a4"/>
        <w:widowControl w:val="0"/>
        <w:autoSpaceDE w:val="0"/>
        <w:autoSpaceDN w:val="0"/>
        <w:rPr>
          <w:lang w:bidi="x-none"/>
        </w:rPr>
      </w:pPr>
      <w:r w:rsidRPr="00A87A74">
        <w:tab/>
      </w:r>
      <w:r w:rsidRPr="00DF5565">
        <w:rPr>
          <w:rStyle w:val="a5"/>
        </w:rPr>
        <w:footnoteRef/>
      </w:r>
      <w:r w:rsidRPr="00A87A74">
        <w:tab/>
      </w:r>
      <w:r w:rsidRPr="00E342EE">
        <w:rPr>
          <w:rFonts w:hint="eastAsia"/>
        </w:rPr>
        <w:t>第</w:t>
      </w:r>
      <w:r w:rsidRPr="00A87A74">
        <w:rPr>
          <w:rFonts w:hint="eastAsia"/>
        </w:rPr>
        <w:t>6</w:t>
      </w:r>
      <w:r w:rsidRPr="00E342EE">
        <w:rPr>
          <w:rFonts w:hint="eastAsia"/>
        </w:rPr>
        <w:t>号一般性意见</w:t>
      </w:r>
      <w:r w:rsidRPr="00A87A74">
        <w:rPr>
          <w:rFonts w:hint="eastAsia"/>
        </w:rPr>
        <w:t>(</w:t>
      </w:r>
      <w:r>
        <w:rPr>
          <w:rFonts w:hint="eastAsia"/>
        </w:rPr>
        <w:t>见以上脚注</w:t>
      </w:r>
      <w:r w:rsidRPr="00A87A74">
        <w:fldChar w:fldCharType="begin"/>
      </w:r>
      <w:r>
        <w:instrText xml:space="preserve"> </w:instrText>
      </w:r>
      <w:r>
        <w:rPr>
          <w:rFonts w:hint="eastAsia"/>
        </w:rPr>
        <w:instrText>NOTEREF _Ref457295645 \h</w:instrText>
      </w:r>
      <w:r>
        <w:instrText xml:space="preserve">  \* MERGEFORMAT </w:instrText>
      </w:r>
      <w:r w:rsidRPr="00A87A74">
        <w:fldChar w:fldCharType="separate"/>
      </w:r>
      <w:r w:rsidR="00A73EB9">
        <w:t>177</w:t>
      </w:r>
      <w:r w:rsidRPr="00A87A74">
        <w:fldChar w:fldCharType="end"/>
      </w:r>
      <w:r w:rsidRPr="00A87A74">
        <w:rPr>
          <w:rFonts w:hint="eastAsia"/>
        </w:rPr>
        <w:t>)</w:t>
      </w:r>
      <w:r>
        <w:rPr>
          <w:rFonts w:hint="eastAsia"/>
        </w:rPr>
        <w:t>，</w:t>
      </w:r>
      <w:r w:rsidRPr="00E342EE">
        <w:rPr>
          <w:rFonts w:hint="eastAsia"/>
        </w:rPr>
        <w:t>第</w:t>
      </w:r>
      <w:r w:rsidRPr="00A87A74">
        <w:rPr>
          <w:rFonts w:hint="eastAsia"/>
        </w:rPr>
        <w:t>5</w:t>
      </w:r>
      <w:r w:rsidRPr="00E342EE">
        <w:rPr>
          <w:rFonts w:hint="eastAsia"/>
        </w:rPr>
        <w:t>段</w:t>
      </w:r>
      <w:r>
        <w:rPr>
          <w:rFonts w:hint="eastAsia"/>
        </w:rPr>
        <w:t>：“‘</w:t>
      </w:r>
      <w:r w:rsidRPr="00E342EE">
        <w:rPr>
          <w:rFonts w:hint="eastAsia"/>
        </w:rPr>
        <w:t>固有生命权</w:t>
      </w:r>
      <w:r>
        <w:rPr>
          <w:rFonts w:hint="eastAsia"/>
        </w:rPr>
        <w:t>’</w:t>
      </w:r>
      <w:r w:rsidRPr="00E342EE">
        <w:rPr>
          <w:rFonts w:hint="eastAsia"/>
        </w:rPr>
        <w:t>一语不能以狭隘的方式加以理解</w:t>
      </w:r>
      <w:r>
        <w:rPr>
          <w:rFonts w:hint="eastAsia"/>
        </w:rPr>
        <w:t>，</w:t>
      </w:r>
      <w:r w:rsidRPr="00E342EE">
        <w:rPr>
          <w:rFonts w:hint="eastAsia"/>
        </w:rPr>
        <w:t>保护这一权利要求各国采取积极措施。</w:t>
      </w:r>
      <w:r w:rsidRPr="00A87A74">
        <w:rPr>
          <w:rFonts w:hint="eastAsia"/>
        </w:rPr>
        <w:t>”</w:t>
      </w:r>
    </w:p>
  </w:footnote>
  <w:footnote w:id="205">
    <w:p w:rsidR="00AB00DE" w:rsidRPr="00A87A74" w:rsidRDefault="00AB00DE" w:rsidP="00765E0D">
      <w:pPr>
        <w:pStyle w:val="a4"/>
        <w:widowControl w:val="0"/>
        <w:autoSpaceDE w:val="0"/>
        <w:autoSpaceDN w:val="0"/>
        <w:rPr>
          <w:lang w:bidi="x-none"/>
        </w:rPr>
      </w:pPr>
      <w:r w:rsidRPr="00A87A74">
        <w:tab/>
      </w:r>
      <w:r w:rsidRPr="00DF5565">
        <w:rPr>
          <w:rStyle w:val="a5"/>
        </w:rPr>
        <w:footnoteRef/>
      </w:r>
      <w:r w:rsidRPr="00A87A74">
        <w:tab/>
      </w:r>
      <w:r w:rsidRPr="00E342EE">
        <w:rPr>
          <w:rFonts w:hint="eastAsia"/>
        </w:rPr>
        <w:t>大会第</w:t>
      </w:r>
      <w:r w:rsidRPr="00A87A74">
        <w:rPr>
          <w:rFonts w:hint="eastAsia"/>
        </w:rPr>
        <w:t>43/131</w:t>
      </w:r>
      <w:r w:rsidRPr="00E342EE">
        <w:rPr>
          <w:rFonts w:hint="eastAsia"/>
        </w:rPr>
        <w:t>号决议</w:t>
      </w:r>
      <w:r>
        <w:rPr>
          <w:rFonts w:hint="eastAsia"/>
        </w:rPr>
        <w:t>，</w:t>
      </w:r>
      <w:r w:rsidRPr="00E342EE">
        <w:rPr>
          <w:rFonts w:hint="eastAsia"/>
        </w:rPr>
        <w:t>第</w:t>
      </w:r>
      <w:r w:rsidRPr="00A87A74">
        <w:rPr>
          <w:rFonts w:hint="eastAsia"/>
        </w:rPr>
        <w:t>8</w:t>
      </w:r>
      <w:r w:rsidRPr="00E342EE">
        <w:rPr>
          <w:rFonts w:hint="eastAsia"/>
        </w:rPr>
        <w:t>序言段</w:t>
      </w:r>
      <w:r>
        <w:rPr>
          <w:rFonts w:hint="eastAsia"/>
        </w:rPr>
        <w:t>；</w:t>
      </w:r>
      <w:r w:rsidRPr="00E342EE">
        <w:rPr>
          <w:rFonts w:hint="eastAsia"/>
        </w:rPr>
        <w:t>大会第</w:t>
      </w:r>
      <w:r w:rsidRPr="00A87A74">
        <w:rPr>
          <w:rFonts w:hint="eastAsia"/>
        </w:rPr>
        <w:t>45/100</w:t>
      </w:r>
      <w:r w:rsidRPr="00E342EE">
        <w:rPr>
          <w:rFonts w:hint="eastAsia"/>
        </w:rPr>
        <w:t>号决议</w:t>
      </w:r>
      <w:r>
        <w:rPr>
          <w:rFonts w:hint="eastAsia"/>
        </w:rPr>
        <w:t>，</w:t>
      </w:r>
      <w:r w:rsidRPr="00E342EE">
        <w:rPr>
          <w:rFonts w:hint="eastAsia"/>
        </w:rPr>
        <w:t>第</w:t>
      </w:r>
      <w:r w:rsidRPr="00A87A74">
        <w:rPr>
          <w:rFonts w:hint="eastAsia"/>
        </w:rPr>
        <w:t>6</w:t>
      </w:r>
      <w:r w:rsidRPr="00E342EE">
        <w:rPr>
          <w:rFonts w:hint="eastAsia"/>
        </w:rPr>
        <w:t>序言段。</w:t>
      </w:r>
    </w:p>
  </w:footnote>
  <w:footnote w:id="206">
    <w:p w:rsidR="00AB00DE" w:rsidRPr="00A87A74" w:rsidRDefault="00AB00DE" w:rsidP="00765E0D">
      <w:pPr>
        <w:pStyle w:val="a4"/>
        <w:widowControl w:val="0"/>
        <w:autoSpaceDE w:val="0"/>
        <w:autoSpaceDN w:val="0"/>
        <w:rPr>
          <w:lang w:val="es-ES_tradnl" w:bidi="x-none"/>
        </w:rPr>
      </w:pPr>
      <w:r w:rsidRPr="00A87A74">
        <w:tab/>
      </w:r>
      <w:r w:rsidRPr="00DF5565">
        <w:rPr>
          <w:rStyle w:val="a5"/>
        </w:rPr>
        <w:footnoteRef/>
      </w:r>
      <w:r w:rsidRPr="00A87A74">
        <w:rPr>
          <w:lang w:val="es-ES_tradnl"/>
        </w:rPr>
        <w:tab/>
        <w:t>E/CN.4/1998/53/Add.2,</w:t>
      </w:r>
      <w:r w:rsidRPr="00A87A74">
        <w:rPr>
          <w:rFonts w:hint="eastAsia"/>
          <w:lang w:val="es-ES_tradnl"/>
        </w:rPr>
        <w:t xml:space="preserve"> </w:t>
      </w:r>
      <w:r w:rsidRPr="00A87A74">
        <w:rPr>
          <w:rFonts w:hint="eastAsia"/>
          <w:lang w:val="es-ES_tradnl"/>
        </w:rPr>
        <w:t>附件。</w:t>
      </w:r>
    </w:p>
  </w:footnote>
  <w:footnote w:id="207">
    <w:p w:rsidR="00AB00DE" w:rsidRPr="00A87A74" w:rsidRDefault="00AB00DE" w:rsidP="00765E0D">
      <w:pPr>
        <w:pStyle w:val="a4"/>
        <w:widowControl w:val="0"/>
        <w:autoSpaceDE w:val="0"/>
        <w:autoSpaceDN w:val="0"/>
        <w:rPr>
          <w:lang w:val="es-ES_tradnl" w:bidi="x-none"/>
        </w:rPr>
      </w:pPr>
      <w:r w:rsidRPr="00A87A74">
        <w:rPr>
          <w:lang w:val="es-ES_tradnl"/>
        </w:rPr>
        <w:tab/>
      </w:r>
      <w:r w:rsidRPr="00DF5565">
        <w:rPr>
          <w:rStyle w:val="a5"/>
        </w:rPr>
        <w:footnoteRef/>
      </w:r>
      <w:r w:rsidRPr="00A87A74">
        <w:rPr>
          <w:lang w:val="es-ES_tradnl"/>
        </w:rPr>
        <w:tab/>
        <w:t>A/59/2005,</w:t>
      </w:r>
      <w:r w:rsidRPr="00A87A74">
        <w:rPr>
          <w:rFonts w:hint="eastAsia"/>
          <w:lang w:val="es-ES_tradnl"/>
        </w:rPr>
        <w:t xml:space="preserve"> </w:t>
      </w:r>
      <w:r w:rsidRPr="00A87A74">
        <w:rPr>
          <w:rFonts w:hint="eastAsia"/>
          <w:lang w:val="es-ES_tradnl"/>
        </w:rPr>
        <w:t>第</w:t>
      </w:r>
      <w:r w:rsidRPr="00A87A74">
        <w:rPr>
          <w:lang w:val="es-ES_tradnl"/>
        </w:rPr>
        <w:t>210</w:t>
      </w:r>
      <w:r w:rsidRPr="00A87A74">
        <w:rPr>
          <w:rFonts w:hint="eastAsia"/>
          <w:lang w:val="es-ES_tradnl"/>
        </w:rPr>
        <w:t>段。</w:t>
      </w:r>
    </w:p>
  </w:footnote>
  <w:footnote w:id="208">
    <w:p w:rsidR="00AB00DE" w:rsidRPr="00A87A74" w:rsidRDefault="00AB00DE" w:rsidP="00765E0D">
      <w:pPr>
        <w:pStyle w:val="a4"/>
        <w:widowControl w:val="0"/>
        <w:autoSpaceDE w:val="0"/>
        <w:autoSpaceDN w:val="0"/>
        <w:rPr>
          <w:lang w:bidi="x-none"/>
        </w:rPr>
      </w:pPr>
      <w:r w:rsidRPr="00A87A74">
        <w:rPr>
          <w:lang w:val="es-ES_tradnl"/>
        </w:rPr>
        <w:tab/>
      </w:r>
      <w:r w:rsidRPr="00DF5565">
        <w:rPr>
          <w:rStyle w:val="a5"/>
        </w:rPr>
        <w:footnoteRef/>
      </w:r>
      <w:r>
        <w:rPr>
          <w:lang w:val="es-ES_tradnl"/>
        </w:rPr>
        <w:tab/>
        <w:t>E/CN.4/1998/53/Add.2</w:t>
      </w:r>
      <w:r>
        <w:rPr>
          <w:rFonts w:hint="eastAsia"/>
          <w:lang w:val="es-ES_tradnl"/>
        </w:rPr>
        <w:t>，附件，</w:t>
      </w:r>
      <w:r w:rsidRPr="00A87A74">
        <w:rPr>
          <w:rFonts w:ascii="宋体" w:hAnsi="宋体" w:hint="eastAsia"/>
          <w:lang w:val="es-ES_tradnl"/>
        </w:rPr>
        <w:t>原则</w:t>
      </w:r>
      <w:r w:rsidRPr="00A87A74">
        <w:rPr>
          <w:lang w:val="es-ES_tradnl"/>
        </w:rPr>
        <w:t>25,</w:t>
      </w:r>
      <w:r w:rsidRPr="00A87A74">
        <w:rPr>
          <w:rFonts w:hint="eastAsia"/>
          <w:lang w:val="es-ES_tradnl"/>
        </w:rPr>
        <w:t xml:space="preserve"> </w:t>
      </w:r>
      <w:r w:rsidRPr="00A87A74">
        <w:rPr>
          <w:rFonts w:ascii="宋体" w:hAnsi="宋体" w:hint="eastAsia"/>
          <w:lang w:val="es-ES_tradnl"/>
        </w:rPr>
        <w:t>第</w:t>
      </w:r>
      <w:r w:rsidRPr="00A87A74">
        <w:t>2</w:t>
      </w:r>
      <w:r w:rsidRPr="00A87A74">
        <w:rPr>
          <w:rFonts w:hint="eastAsia"/>
        </w:rPr>
        <w:t>段。</w:t>
      </w:r>
    </w:p>
  </w:footnote>
  <w:footnote w:id="209">
    <w:p w:rsidR="00AB00DE" w:rsidRPr="00A87A74" w:rsidRDefault="00AB00DE" w:rsidP="00765E0D">
      <w:pPr>
        <w:pStyle w:val="a4"/>
        <w:widowControl w:val="0"/>
        <w:autoSpaceDE w:val="0"/>
        <w:autoSpaceDN w:val="0"/>
        <w:rPr>
          <w:lang w:bidi="x-none"/>
        </w:rPr>
      </w:pPr>
      <w:r w:rsidRPr="00A87A74">
        <w:tab/>
      </w:r>
      <w:r w:rsidRPr="00DF5565">
        <w:rPr>
          <w:rStyle w:val="a5"/>
        </w:rPr>
        <w:footnoteRef/>
      </w:r>
      <w:r w:rsidRPr="00A87A74">
        <w:tab/>
      </w:r>
      <w:r w:rsidRPr="00E342EE">
        <w:rPr>
          <w:rFonts w:hint="eastAsia"/>
        </w:rPr>
        <w:t>国际法学会</w:t>
      </w:r>
      <w:r>
        <w:rPr>
          <w:rFonts w:hint="eastAsia"/>
          <w:lang w:val="fr-FR"/>
        </w:rPr>
        <w:t>，</w:t>
      </w:r>
      <w:r w:rsidRPr="000B1473">
        <w:rPr>
          <w:rFonts w:hint="eastAsia"/>
        </w:rPr>
        <w:t>《</w:t>
      </w:r>
      <w:r>
        <w:rPr>
          <w:rFonts w:hint="eastAsia"/>
        </w:rPr>
        <w:t>年鉴》第</w:t>
      </w:r>
      <w:r w:rsidRPr="00A87A74">
        <w:t>63</w:t>
      </w:r>
      <w:r>
        <w:rPr>
          <w:rFonts w:hint="eastAsia"/>
        </w:rPr>
        <w:t>卷第二</w:t>
      </w:r>
      <w:r w:rsidRPr="000B1473">
        <w:rPr>
          <w:rFonts w:hint="eastAsia"/>
        </w:rPr>
        <w:t>部分</w:t>
      </w:r>
      <w:r w:rsidRPr="00A87A74">
        <w:t>(</w:t>
      </w:r>
      <w:r w:rsidRPr="00105B64">
        <w:rPr>
          <w:rFonts w:hint="eastAsia"/>
        </w:rPr>
        <w:t>国际法学会</w:t>
      </w:r>
      <w:r>
        <w:rPr>
          <w:rFonts w:hint="eastAsia"/>
        </w:rPr>
        <w:t>全体会议议事情况</w:t>
      </w:r>
      <w:r w:rsidRPr="00A87A74">
        <w:t>)</w:t>
      </w:r>
      <w:r w:rsidRPr="00A87A74">
        <w:rPr>
          <w:rFonts w:ascii="宋体" w:hAnsi="宋体" w:hint="eastAsia"/>
        </w:rPr>
        <w:t>，</w:t>
      </w:r>
      <w:r w:rsidRPr="00105B64">
        <w:rPr>
          <w:rFonts w:hint="eastAsia"/>
        </w:rPr>
        <w:t>圣地亚哥德孔波斯特拉会议</w:t>
      </w:r>
      <w:r w:rsidRPr="00A87A74">
        <w:t>(1989</w:t>
      </w:r>
      <w:r w:rsidRPr="00A87A74">
        <w:rPr>
          <w:rFonts w:ascii="宋体" w:hAnsi="宋体" w:hint="eastAsia"/>
        </w:rPr>
        <w:t>年</w:t>
      </w:r>
      <w:r w:rsidRPr="00A87A74">
        <w:t>)</w:t>
      </w:r>
      <w:r w:rsidRPr="00A87A74">
        <w:rPr>
          <w:rFonts w:hint="eastAsia"/>
        </w:rPr>
        <w:t>，</w:t>
      </w:r>
      <w:r w:rsidRPr="00A87A74">
        <w:rPr>
          <w:rFonts w:ascii="宋体" w:hAnsi="宋体" w:hint="eastAsia"/>
        </w:rPr>
        <w:t>第</w:t>
      </w:r>
      <w:r w:rsidRPr="00A87A74">
        <w:t>339</w:t>
      </w:r>
      <w:r w:rsidRPr="00A87A74">
        <w:rPr>
          <w:rFonts w:hint="eastAsia"/>
        </w:rPr>
        <w:t>页起，见第</w:t>
      </w:r>
      <w:r w:rsidRPr="00A87A74">
        <w:t>345</w:t>
      </w:r>
      <w:r w:rsidRPr="00A87A74">
        <w:rPr>
          <w:rFonts w:hint="eastAsia"/>
        </w:rPr>
        <w:t>页</w:t>
      </w:r>
      <w:r w:rsidRPr="00E342EE">
        <w:rPr>
          <w:rFonts w:hint="eastAsia"/>
        </w:rPr>
        <w:t>。</w:t>
      </w:r>
      <w:r>
        <w:rPr>
          <w:rFonts w:hint="eastAsia"/>
        </w:rPr>
        <w:t>法文本中使用强制性语言，而英文译文是：“</w:t>
      </w:r>
      <w:r w:rsidRPr="00A87A74">
        <w:rPr>
          <w:rFonts w:hint="eastAsia"/>
        </w:rPr>
        <w:t>States in whose territories these emergency situations exist should not arbitrarily reject such offers of humanitarian assistance</w:t>
      </w:r>
      <w:r w:rsidRPr="00A87A74">
        <w:rPr>
          <w:rFonts w:hint="eastAsia"/>
        </w:rPr>
        <w:t>”</w:t>
      </w:r>
      <w:r w:rsidRPr="00A87A74">
        <w:rPr>
          <w:rFonts w:hint="eastAsia"/>
        </w:rPr>
        <w:t>(</w:t>
      </w:r>
      <w:r w:rsidRPr="00E342EE">
        <w:rPr>
          <w:rFonts w:hint="eastAsia"/>
        </w:rPr>
        <w:t>在其领土上存在这些紧急情况的国家不应该任意拒绝此种人道主义援助的提议</w:t>
      </w:r>
      <w:r w:rsidRPr="00A87A74">
        <w:rPr>
          <w:rFonts w:hint="eastAsia"/>
        </w:rPr>
        <w:t>)</w:t>
      </w:r>
      <w:r w:rsidRPr="00E342EE">
        <w:rPr>
          <w:rFonts w:hint="eastAsia"/>
        </w:rPr>
        <w:t>。解释性文字</w:t>
      </w:r>
      <w:r>
        <w:rPr>
          <w:rFonts w:hint="eastAsia"/>
        </w:rPr>
        <w:t>“</w:t>
      </w:r>
      <w:r w:rsidRPr="00A87A74">
        <w:rPr>
          <w:rFonts w:hint="eastAsia"/>
        </w:rPr>
        <w:t>o</w:t>
      </w:r>
      <w:r w:rsidRPr="00E342EE">
        <w:t>ù</w:t>
      </w:r>
      <w:r w:rsidRPr="00A87A74">
        <w:rPr>
          <w:rFonts w:hint="eastAsia"/>
        </w:rPr>
        <w:t xml:space="preserve"> la population est gravement menac</w:t>
      </w:r>
      <w:r w:rsidRPr="00E342EE">
        <w:t>é</w:t>
      </w:r>
      <w:r w:rsidRPr="00A87A74">
        <w:rPr>
          <w:rFonts w:hint="eastAsia"/>
        </w:rPr>
        <w:t>e dans sa vie ou sa sant</w:t>
      </w:r>
      <w:r w:rsidRPr="00E342EE">
        <w:t>é</w:t>
      </w:r>
      <w:r w:rsidRPr="00A87A74">
        <w:rPr>
          <w:rFonts w:hint="eastAsia"/>
        </w:rPr>
        <w:t>(</w:t>
      </w:r>
      <w:r w:rsidRPr="00E342EE">
        <w:rPr>
          <w:rFonts w:hint="eastAsia"/>
        </w:rPr>
        <w:t>人民的生命或健康受到严重威胁</w:t>
      </w:r>
      <w:r w:rsidRPr="00A87A74">
        <w:rPr>
          <w:rFonts w:hint="eastAsia"/>
        </w:rPr>
        <w:t>)</w:t>
      </w:r>
      <w:r>
        <w:rPr>
          <w:rFonts w:hint="eastAsia"/>
        </w:rPr>
        <w:t>”</w:t>
      </w:r>
      <w:r w:rsidRPr="00E342EE">
        <w:rPr>
          <w:rFonts w:hint="eastAsia"/>
        </w:rPr>
        <w:t>摘自该决议第</w:t>
      </w:r>
      <w:r w:rsidRPr="00A87A74">
        <w:rPr>
          <w:rFonts w:hint="eastAsia"/>
        </w:rPr>
        <w:t>5</w:t>
      </w:r>
      <w:r w:rsidRPr="00E342EE">
        <w:rPr>
          <w:rFonts w:hint="eastAsia"/>
        </w:rPr>
        <w:t>条第</w:t>
      </w:r>
      <w:r w:rsidRPr="00A87A74">
        <w:rPr>
          <w:rFonts w:hint="eastAsia"/>
        </w:rPr>
        <w:t>1</w:t>
      </w:r>
      <w:r w:rsidRPr="00E342EE">
        <w:rPr>
          <w:rFonts w:hint="eastAsia"/>
        </w:rPr>
        <w:t>段。</w:t>
      </w:r>
    </w:p>
  </w:footnote>
  <w:footnote w:id="210">
    <w:p w:rsidR="00AB00DE" w:rsidRPr="00A87A74" w:rsidRDefault="00AB00DE" w:rsidP="00765E0D">
      <w:pPr>
        <w:pStyle w:val="a4"/>
        <w:widowControl w:val="0"/>
        <w:autoSpaceDE w:val="0"/>
        <w:autoSpaceDN w:val="0"/>
        <w:rPr>
          <w:lang w:bidi="x-none"/>
        </w:rPr>
      </w:pPr>
      <w:r>
        <w:rPr>
          <w:rFonts w:hint="eastAsia"/>
        </w:rPr>
        <w:tab/>
      </w:r>
      <w:r w:rsidRPr="00DF5565">
        <w:rPr>
          <w:rStyle w:val="a5"/>
        </w:rPr>
        <w:footnoteRef/>
      </w:r>
      <w:r w:rsidRPr="00A87A74">
        <w:tab/>
      </w:r>
      <w:r w:rsidRPr="00756A72">
        <w:rPr>
          <w:rFonts w:hint="eastAsia"/>
        </w:rPr>
        <w:t>关于人道主义援助的决议</w:t>
      </w:r>
      <w:r w:rsidRPr="00C86438">
        <w:t>(</w:t>
      </w:r>
      <w:r w:rsidRPr="00C86438">
        <w:t>见以上脚注</w:t>
      </w:r>
      <w:r w:rsidRPr="00C46CB5">
        <w:fldChar w:fldCharType="begin"/>
      </w:r>
      <w:r w:rsidRPr="00C46CB5">
        <w:instrText xml:space="preserve"> NOTEREF _Ref450648805 \h  \* MERGEFORMAT </w:instrText>
      </w:r>
      <w:r w:rsidRPr="00C46CB5">
        <w:fldChar w:fldCharType="separate"/>
      </w:r>
      <w:r w:rsidR="00A73EB9">
        <w:t>18</w:t>
      </w:r>
      <w:r w:rsidRPr="00C46CB5">
        <w:fldChar w:fldCharType="end"/>
      </w:r>
      <w:r w:rsidRPr="00C46CB5">
        <w:t>)</w:t>
      </w:r>
      <w:r>
        <w:rPr>
          <w:rFonts w:hint="eastAsia"/>
        </w:rPr>
        <w:t>，</w:t>
      </w:r>
      <w:r w:rsidRPr="00756A72">
        <w:rPr>
          <w:rFonts w:hint="eastAsia"/>
        </w:rPr>
        <w:t>第八条第</w:t>
      </w:r>
      <w:r w:rsidRPr="00A87A74">
        <w:rPr>
          <w:rFonts w:hint="eastAsia"/>
        </w:rPr>
        <w:t>1</w:t>
      </w:r>
      <w:r w:rsidRPr="00756A72">
        <w:rPr>
          <w:rFonts w:hint="eastAsia"/>
        </w:rPr>
        <w:t>款。</w:t>
      </w:r>
    </w:p>
  </w:footnote>
  <w:footnote w:id="211">
    <w:p w:rsidR="00AB00DE" w:rsidRPr="00A87A74" w:rsidRDefault="00AB00DE" w:rsidP="00765E0D">
      <w:pPr>
        <w:pStyle w:val="a4"/>
        <w:widowControl w:val="0"/>
        <w:autoSpaceDE w:val="0"/>
        <w:autoSpaceDN w:val="0"/>
      </w:pPr>
      <w:r>
        <w:rPr>
          <w:rFonts w:hint="eastAsia"/>
        </w:rPr>
        <w:tab/>
      </w:r>
      <w:r w:rsidRPr="00DF5565">
        <w:rPr>
          <w:rStyle w:val="a5"/>
        </w:rPr>
        <w:footnoteRef/>
      </w:r>
      <w:r w:rsidRPr="00A87A74">
        <w:rPr>
          <w:rFonts w:hint="eastAsia"/>
        </w:rPr>
        <w:tab/>
      </w:r>
      <w:r w:rsidRPr="00A87A74">
        <w:rPr>
          <w:rFonts w:ascii="宋体" w:hAnsi="宋体" w:hint="eastAsia"/>
        </w:rPr>
        <w:t>关于伊拉克北部，</w:t>
      </w:r>
      <w:r w:rsidRPr="00A87A74">
        <w:rPr>
          <w:rFonts w:hint="eastAsia"/>
        </w:rPr>
        <w:t>见安全理事会</w:t>
      </w:r>
      <w:r w:rsidRPr="00A87A74">
        <w:t>1991</w:t>
      </w:r>
      <w:r w:rsidRPr="00A87A74">
        <w:rPr>
          <w:rFonts w:hint="eastAsia"/>
        </w:rPr>
        <w:t>年</w:t>
      </w:r>
      <w:r w:rsidRPr="00A87A74">
        <w:t>4</w:t>
      </w:r>
      <w:r w:rsidRPr="00A87A74">
        <w:rPr>
          <w:rFonts w:hint="eastAsia"/>
        </w:rPr>
        <w:t>月</w:t>
      </w:r>
      <w:r w:rsidRPr="00A87A74">
        <w:t>5</w:t>
      </w:r>
      <w:r w:rsidRPr="00A87A74">
        <w:rPr>
          <w:rFonts w:hint="eastAsia"/>
        </w:rPr>
        <w:t>日第</w:t>
      </w:r>
      <w:r w:rsidRPr="00A87A74">
        <w:t>688(1991)</w:t>
      </w:r>
      <w:r w:rsidRPr="00A87A74">
        <w:rPr>
          <w:rFonts w:hint="eastAsia"/>
        </w:rPr>
        <w:t>号决议；关于波斯尼亚和黑塞哥维那，见</w:t>
      </w:r>
      <w:r w:rsidRPr="00A87A74">
        <w:t>1992</w:t>
      </w:r>
      <w:r w:rsidRPr="00A87A74">
        <w:rPr>
          <w:rFonts w:hint="eastAsia"/>
        </w:rPr>
        <w:t>年</w:t>
      </w:r>
      <w:r w:rsidRPr="00A87A74">
        <w:t>8</w:t>
      </w:r>
      <w:r w:rsidRPr="00A87A74">
        <w:rPr>
          <w:rFonts w:hint="eastAsia"/>
        </w:rPr>
        <w:t>月</w:t>
      </w:r>
      <w:r w:rsidRPr="00A87A74">
        <w:t>13</w:t>
      </w:r>
      <w:r w:rsidRPr="00A87A74">
        <w:rPr>
          <w:rFonts w:hint="eastAsia"/>
        </w:rPr>
        <w:t>日第</w:t>
      </w:r>
      <w:r w:rsidRPr="00A87A74">
        <w:t>770(1992)</w:t>
      </w:r>
      <w:r w:rsidRPr="00A87A74">
        <w:rPr>
          <w:rFonts w:hint="eastAsia"/>
        </w:rPr>
        <w:t>号决议和</w:t>
      </w:r>
      <w:r w:rsidRPr="00A87A74">
        <w:t>1992</w:t>
      </w:r>
      <w:r w:rsidRPr="00A87A74">
        <w:rPr>
          <w:rFonts w:hint="eastAsia"/>
        </w:rPr>
        <w:t>年</w:t>
      </w:r>
      <w:r w:rsidRPr="00A87A74">
        <w:t>10</w:t>
      </w:r>
      <w:r w:rsidRPr="00A87A74">
        <w:rPr>
          <w:rFonts w:hint="eastAsia"/>
        </w:rPr>
        <w:t>月</w:t>
      </w:r>
      <w:r w:rsidRPr="00A87A74">
        <w:t>9</w:t>
      </w:r>
      <w:r w:rsidRPr="00A87A74">
        <w:rPr>
          <w:rFonts w:hint="eastAsia"/>
        </w:rPr>
        <w:t>日第</w:t>
      </w:r>
      <w:r w:rsidRPr="00A87A74">
        <w:t>781(1992)</w:t>
      </w:r>
      <w:r w:rsidRPr="00A87A74">
        <w:rPr>
          <w:rFonts w:hint="eastAsia"/>
        </w:rPr>
        <w:t>号决议；关于索马里，见</w:t>
      </w:r>
      <w:r w:rsidRPr="00A87A74">
        <w:t>1992</w:t>
      </w:r>
      <w:r w:rsidRPr="00A87A74">
        <w:rPr>
          <w:rFonts w:hint="eastAsia"/>
        </w:rPr>
        <w:t>年</w:t>
      </w:r>
      <w:r w:rsidRPr="00A87A74">
        <w:t>12</w:t>
      </w:r>
      <w:r w:rsidRPr="00A87A74">
        <w:rPr>
          <w:rFonts w:hint="eastAsia"/>
        </w:rPr>
        <w:t>月</w:t>
      </w:r>
      <w:r w:rsidRPr="00A87A74">
        <w:t>3</w:t>
      </w:r>
      <w:r w:rsidRPr="00A87A74">
        <w:rPr>
          <w:rFonts w:hint="eastAsia"/>
        </w:rPr>
        <w:t>日第</w:t>
      </w:r>
      <w:r w:rsidRPr="00A87A74">
        <w:t>794(1992)</w:t>
      </w:r>
      <w:r w:rsidRPr="00A87A74">
        <w:rPr>
          <w:rFonts w:hint="eastAsia"/>
        </w:rPr>
        <w:t>号决议</w:t>
      </w:r>
      <w:r w:rsidRPr="00A87A74">
        <w:rPr>
          <w:rFonts w:ascii="宋体" w:hAnsi="宋体" w:hint="eastAsia"/>
        </w:rPr>
        <w:t>。</w:t>
      </w:r>
    </w:p>
  </w:footnote>
  <w:footnote w:id="212">
    <w:p w:rsidR="00AB00DE" w:rsidRPr="00A87A74" w:rsidRDefault="00AB00DE" w:rsidP="00765E0D">
      <w:pPr>
        <w:pStyle w:val="a4"/>
        <w:widowControl w:val="0"/>
        <w:autoSpaceDE w:val="0"/>
        <w:autoSpaceDN w:val="0"/>
      </w:pPr>
      <w:r>
        <w:rPr>
          <w:rFonts w:hint="eastAsia"/>
        </w:rPr>
        <w:tab/>
      </w:r>
      <w:r w:rsidRPr="00DF5565">
        <w:rPr>
          <w:rStyle w:val="a5"/>
        </w:rPr>
        <w:footnoteRef/>
      </w:r>
      <w:r w:rsidRPr="00A87A74">
        <w:rPr>
          <w:rFonts w:hint="eastAsia"/>
        </w:rPr>
        <w:tab/>
      </w:r>
      <w:r w:rsidRPr="00A87A74">
        <w:t>安全理事会</w:t>
      </w:r>
      <w:r w:rsidRPr="00A87A74">
        <w:rPr>
          <w:rFonts w:hint="eastAsia"/>
        </w:rPr>
        <w:t>2014</w:t>
      </w:r>
      <w:r w:rsidRPr="00A87A74">
        <w:t>年</w:t>
      </w:r>
      <w:r w:rsidRPr="00A87A74">
        <w:rPr>
          <w:rFonts w:hint="eastAsia"/>
        </w:rPr>
        <w:t>2</w:t>
      </w:r>
      <w:r w:rsidRPr="00A87A74">
        <w:t>月</w:t>
      </w:r>
      <w:r w:rsidRPr="00A87A74">
        <w:rPr>
          <w:rFonts w:hint="eastAsia"/>
        </w:rPr>
        <w:t>22</w:t>
      </w:r>
      <w:r w:rsidRPr="00A87A74">
        <w:t>日第</w:t>
      </w:r>
      <w:r w:rsidRPr="00A87A74">
        <w:t>2139(2014)</w:t>
      </w:r>
      <w:r w:rsidRPr="007D1F56">
        <w:rPr>
          <w:rFonts w:hint="eastAsia"/>
        </w:rPr>
        <w:t>号决议</w:t>
      </w:r>
      <w:r>
        <w:rPr>
          <w:rFonts w:hint="eastAsia"/>
        </w:rPr>
        <w:t>，第</w:t>
      </w:r>
      <w:r w:rsidRPr="00A87A74">
        <w:t>10</w:t>
      </w:r>
      <w:r>
        <w:rPr>
          <w:rFonts w:hint="eastAsia"/>
        </w:rPr>
        <w:t>序言段。</w:t>
      </w:r>
    </w:p>
  </w:footnote>
  <w:footnote w:id="213">
    <w:p w:rsidR="00AB00DE" w:rsidRPr="00A87A74" w:rsidRDefault="00AB00DE" w:rsidP="00765E0D">
      <w:pPr>
        <w:pStyle w:val="a4"/>
        <w:widowControl w:val="0"/>
        <w:autoSpaceDE w:val="0"/>
        <w:autoSpaceDN w:val="0"/>
      </w:pPr>
      <w:r>
        <w:rPr>
          <w:rFonts w:hint="eastAsia"/>
        </w:rPr>
        <w:tab/>
      </w:r>
      <w:r w:rsidRPr="00DF5565">
        <w:rPr>
          <w:rStyle w:val="a5"/>
        </w:rPr>
        <w:footnoteRef/>
      </w:r>
      <w:r w:rsidRPr="00A87A74">
        <w:rPr>
          <w:rFonts w:hint="eastAsia"/>
        </w:rPr>
        <w:tab/>
      </w:r>
      <w:r w:rsidRPr="00A87A74">
        <w:t>安全理事会</w:t>
      </w:r>
      <w:r w:rsidRPr="00A87A74">
        <w:rPr>
          <w:rFonts w:hint="eastAsia"/>
        </w:rPr>
        <w:t>2014</w:t>
      </w:r>
      <w:r w:rsidRPr="00A87A74">
        <w:t>年</w:t>
      </w:r>
      <w:r w:rsidRPr="00A87A74">
        <w:rPr>
          <w:rFonts w:hint="eastAsia"/>
        </w:rPr>
        <w:t>7</w:t>
      </w:r>
      <w:r w:rsidRPr="00A87A74">
        <w:t>月</w:t>
      </w:r>
      <w:r w:rsidRPr="00A87A74">
        <w:rPr>
          <w:rFonts w:hint="eastAsia"/>
        </w:rPr>
        <w:t>14</w:t>
      </w:r>
      <w:r w:rsidRPr="00A87A74">
        <w:t>日第</w:t>
      </w:r>
      <w:r w:rsidRPr="00A87A74">
        <w:t>2165(2014)</w:t>
      </w:r>
      <w:r w:rsidRPr="007D1F56">
        <w:rPr>
          <w:rFonts w:hint="eastAsia"/>
        </w:rPr>
        <w:t>号决议</w:t>
      </w:r>
      <w:r>
        <w:rPr>
          <w:rFonts w:hint="eastAsia"/>
        </w:rPr>
        <w:t>，第</w:t>
      </w:r>
      <w:r w:rsidRPr="00A87A74">
        <w:rPr>
          <w:rFonts w:hint="eastAsia"/>
        </w:rPr>
        <w:t>2</w:t>
      </w:r>
      <w:r>
        <w:rPr>
          <w:rFonts w:hint="eastAsia"/>
        </w:rPr>
        <w:t>执行段。</w:t>
      </w:r>
    </w:p>
  </w:footnote>
  <w:footnote w:id="214">
    <w:p w:rsidR="00AB00DE" w:rsidRPr="00A87A74" w:rsidRDefault="00AB00DE" w:rsidP="00765E0D">
      <w:pPr>
        <w:pStyle w:val="a4"/>
        <w:widowControl w:val="0"/>
        <w:autoSpaceDE w:val="0"/>
        <w:autoSpaceDN w:val="0"/>
        <w:rPr>
          <w:lang w:eastAsia="en-GB" w:bidi="x-none"/>
        </w:rPr>
      </w:pPr>
      <w:r>
        <w:rPr>
          <w:rFonts w:hint="eastAsia"/>
        </w:rPr>
        <w:tab/>
      </w:r>
      <w:r w:rsidRPr="00DF5565">
        <w:rPr>
          <w:rStyle w:val="a5"/>
        </w:rPr>
        <w:footnoteRef/>
      </w:r>
      <w:r w:rsidRPr="00A87A74">
        <w:tab/>
      </w:r>
      <w:r w:rsidRPr="00756A72">
        <w:rPr>
          <w:rFonts w:hint="eastAsia"/>
        </w:rPr>
        <w:t>第</w:t>
      </w:r>
      <w:r w:rsidRPr="00A87A74">
        <w:rPr>
          <w:rFonts w:hint="eastAsia"/>
        </w:rPr>
        <w:t>9</w:t>
      </w:r>
      <w:r w:rsidRPr="00756A72">
        <w:rPr>
          <w:rFonts w:hint="eastAsia"/>
        </w:rPr>
        <w:t>和第</w:t>
      </w:r>
      <w:r w:rsidRPr="00A87A74">
        <w:rPr>
          <w:rFonts w:hint="eastAsia"/>
        </w:rPr>
        <w:t>10</w:t>
      </w:r>
      <w:r w:rsidRPr="00756A72">
        <w:rPr>
          <w:rFonts w:hint="eastAsia"/>
        </w:rPr>
        <w:t>序言段。</w:t>
      </w:r>
    </w:p>
  </w:footnote>
  <w:footnote w:id="215">
    <w:p w:rsidR="00AB00DE" w:rsidRPr="00A87A74" w:rsidRDefault="00AB00DE" w:rsidP="00765E0D">
      <w:pPr>
        <w:pStyle w:val="a4"/>
        <w:widowControl w:val="0"/>
        <w:autoSpaceDE w:val="0"/>
        <w:autoSpaceDN w:val="0"/>
        <w:rPr>
          <w:lang w:eastAsia="en-GB" w:bidi="x-none"/>
        </w:rPr>
      </w:pPr>
      <w:r w:rsidRPr="00A87A74">
        <w:tab/>
      </w:r>
      <w:r w:rsidRPr="00DF5565">
        <w:rPr>
          <w:rStyle w:val="a5"/>
        </w:rPr>
        <w:footnoteRef/>
      </w:r>
      <w:r w:rsidRPr="00DF5565">
        <w:rPr>
          <w:rStyle w:val="a5"/>
        </w:rPr>
        <w:tab/>
      </w:r>
      <w:r w:rsidRPr="00756A72">
        <w:rPr>
          <w:rFonts w:hint="eastAsia"/>
        </w:rPr>
        <w:t>第</w:t>
      </w:r>
      <w:r w:rsidRPr="00A87A74">
        <w:rPr>
          <w:rFonts w:hint="eastAsia"/>
        </w:rPr>
        <w:t>8</w:t>
      </w:r>
      <w:r w:rsidRPr="00756A72">
        <w:rPr>
          <w:rFonts w:hint="eastAsia"/>
        </w:rPr>
        <w:t>和第</w:t>
      </w:r>
      <w:r w:rsidRPr="00A87A74">
        <w:rPr>
          <w:rFonts w:hint="eastAsia"/>
        </w:rPr>
        <w:t>9</w:t>
      </w:r>
      <w:r w:rsidRPr="00756A72">
        <w:rPr>
          <w:rFonts w:hint="eastAsia"/>
        </w:rPr>
        <w:t>序言段。</w:t>
      </w:r>
    </w:p>
  </w:footnote>
  <w:footnote w:id="216">
    <w:p w:rsidR="00AB00DE" w:rsidRPr="00A87A74" w:rsidRDefault="00AB00DE" w:rsidP="00765E0D">
      <w:pPr>
        <w:pStyle w:val="a4"/>
        <w:widowControl w:val="0"/>
        <w:autoSpaceDE w:val="0"/>
        <w:autoSpaceDN w:val="0"/>
        <w:rPr>
          <w:lang w:bidi="x-none"/>
        </w:rPr>
      </w:pPr>
      <w:r>
        <w:rPr>
          <w:rFonts w:hint="eastAsia"/>
        </w:rPr>
        <w:tab/>
      </w:r>
      <w:r w:rsidRPr="00DF5565">
        <w:rPr>
          <w:rStyle w:val="a5"/>
        </w:rPr>
        <w:footnoteRef/>
      </w:r>
      <w:r w:rsidRPr="00DF5565">
        <w:rPr>
          <w:rStyle w:val="a5"/>
        </w:rPr>
        <w:tab/>
      </w:r>
      <w:r w:rsidRPr="00756A72">
        <w:rPr>
          <w:rFonts w:hint="eastAsia"/>
        </w:rPr>
        <w:t>《民防援助框架公约》</w:t>
      </w:r>
      <w:r>
        <w:rPr>
          <w:rFonts w:hint="eastAsia"/>
        </w:rPr>
        <w:t>，</w:t>
      </w:r>
      <w:r w:rsidRPr="00756A72">
        <w:rPr>
          <w:rFonts w:hint="eastAsia"/>
        </w:rPr>
        <w:t>第</w:t>
      </w:r>
      <w:r w:rsidRPr="00A87A74">
        <w:rPr>
          <w:rFonts w:hint="eastAsia"/>
        </w:rPr>
        <w:t>3</w:t>
      </w:r>
      <w:r w:rsidRPr="00756A72">
        <w:rPr>
          <w:rFonts w:hint="eastAsia"/>
        </w:rPr>
        <w:t>条</w:t>
      </w:r>
      <w:r w:rsidRPr="00A87A74">
        <w:rPr>
          <w:rFonts w:hint="eastAsia"/>
        </w:rPr>
        <w:t>(e)</w:t>
      </w:r>
      <w:r w:rsidRPr="00756A72">
        <w:rPr>
          <w:rFonts w:hint="eastAsia"/>
        </w:rPr>
        <w:t>项</w:t>
      </w:r>
      <w:r>
        <w:rPr>
          <w:rFonts w:hint="eastAsia"/>
        </w:rPr>
        <w:t>，第</w:t>
      </w:r>
      <w:r>
        <w:t>12</w:t>
      </w:r>
      <w:r>
        <w:rPr>
          <w:rFonts w:hint="eastAsia"/>
        </w:rPr>
        <w:t>条草案评注</w:t>
      </w:r>
      <w:r w:rsidRPr="00A87A74">
        <w:rPr>
          <w:rFonts w:ascii="宋体" w:hAnsi="宋体" w:hint="eastAsia"/>
        </w:rPr>
        <w:t>第</w:t>
      </w:r>
      <w:r w:rsidRPr="00A87A74">
        <w:t>(7)</w:t>
      </w:r>
      <w:r w:rsidRPr="00A87A74">
        <w:rPr>
          <w:rFonts w:ascii="宋体" w:hAnsi="宋体" w:hint="eastAsia"/>
        </w:rPr>
        <w:t>段中也曾引述。</w:t>
      </w:r>
    </w:p>
  </w:footnote>
  <w:footnote w:id="217">
    <w:p w:rsidR="00AB00DE" w:rsidRPr="009E581C" w:rsidRDefault="00AB00DE" w:rsidP="00765E0D">
      <w:pPr>
        <w:pStyle w:val="a4"/>
        <w:widowControl w:val="0"/>
        <w:autoSpaceDE w:val="0"/>
        <w:autoSpaceDN w:val="0"/>
        <w:rPr>
          <w:iCs/>
        </w:rPr>
      </w:pPr>
      <w:r>
        <w:rPr>
          <w:rFonts w:hint="eastAsia"/>
        </w:rPr>
        <w:tab/>
      </w:r>
      <w:r w:rsidRPr="00DF5565">
        <w:rPr>
          <w:rStyle w:val="a5"/>
        </w:rPr>
        <w:footnoteRef/>
      </w:r>
      <w:r w:rsidRPr="00A87A74">
        <w:tab/>
        <w:t>D. Akande</w:t>
      </w:r>
      <w:r w:rsidRPr="00A87A74">
        <w:t>和</w:t>
      </w:r>
      <w:r w:rsidRPr="00A87A74">
        <w:t xml:space="preserve">E. Gillard, </w:t>
      </w:r>
      <w:r>
        <w:rPr>
          <w:rFonts w:hint="eastAsia"/>
        </w:rPr>
        <w:t>“</w:t>
      </w:r>
      <w:r w:rsidRPr="00A87A74">
        <w:rPr>
          <w:iCs/>
        </w:rPr>
        <w:t>Oxford Guidance on the Law Regulating Humanitarian Relief Operations in Situations of Armed Conflict</w:t>
      </w:r>
      <w:r w:rsidRPr="00A87A74">
        <w:t>(</w:t>
      </w:r>
      <w:r w:rsidRPr="00A87A74">
        <w:t>武装冲突</w:t>
      </w:r>
      <w:r w:rsidRPr="009E581C">
        <w:rPr>
          <w:iCs/>
        </w:rPr>
        <w:t>情况下人道主义救济行动法牛津准则</w:t>
      </w:r>
      <w:r w:rsidRPr="009E581C">
        <w:rPr>
          <w:iCs/>
        </w:rPr>
        <w:t>)</w:t>
      </w:r>
      <w:r w:rsidRPr="009E581C">
        <w:rPr>
          <w:rFonts w:hint="eastAsia"/>
          <w:iCs/>
        </w:rPr>
        <w:t>”</w:t>
      </w:r>
      <w:r w:rsidRPr="009E581C">
        <w:rPr>
          <w:iCs/>
        </w:rPr>
        <w:t>，联合国人道主义事务协调厅约请编写，将于</w:t>
      </w:r>
      <w:r w:rsidRPr="009E581C">
        <w:rPr>
          <w:iCs/>
        </w:rPr>
        <w:t>2016</w:t>
      </w:r>
      <w:r w:rsidRPr="009E581C">
        <w:rPr>
          <w:iCs/>
        </w:rPr>
        <w:t>年较后的时间出版</w:t>
      </w:r>
      <w:r w:rsidRPr="009E581C">
        <w:rPr>
          <w:rFonts w:hint="eastAsia"/>
          <w:iCs/>
        </w:rPr>
        <w:t>。</w:t>
      </w:r>
      <w:r w:rsidRPr="009E581C">
        <w:rPr>
          <w:iCs/>
        </w:rPr>
        <w:t xml:space="preserve"> </w:t>
      </w:r>
    </w:p>
  </w:footnote>
  <w:footnote w:id="218">
    <w:p w:rsidR="00AB00DE" w:rsidRPr="00A87A74" w:rsidRDefault="00AB00DE" w:rsidP="00765E0D">
      <w:pPr>
        <w:pStyle w:val="a4"/>
        <w:widowControl w:val="0"/>
        <w:autoSpaceDE w:val="0"/>
        <w:autoSpaceDN w:val="0"/>
        <w:rPr>
          <w:lang w:bidi="x-none"/>
        </w:rPr>
      </w:pPr>
      <w:r>
        <w:rPr>
          <w:rFonts w:hint="eastAsia"/>
        </w:rPr>
        <w:tab/>
      </w:r>
      <w:r w:rsidRPr="00DF5565">
        <w:rPr>
          <w:rStyle w:val="a5"/>
        </w:rPr>
        <w:footnoteRef/>
      </w:r>
      <w:r w:rsidRPr="00A87A74">
        <w:tab/>
      </w:r>
      <w:r w:rsidRPr="00756A72">
        <w:rPr>
          <w:rFonts w:hint="eastAsia"/>
        </w:rPr>
        <w:t>例如见</w:t>
      </w:r>
      <w:r>
        <w:rPr>
          <w:rFonts w:hint="eastAsia"/>
        </w:rPr>
        <w:t>《</w:t>
      </w:r>
      <w:r w:rsidRPr="00D519A2">
        <w:t>关于各国依联合国宪章建立友好关系和合作的国际法原则宣言</w:t>
      </w:r>
      <w:r>
        <w:rPr>
          <w:rFonts w:hint="eastAsia"/>
        </w:rPr>
        <w:t>》，</w:t>
      </w:r>
      <w:r w:rsidRPr="00756A72">
        <w:rPr>
          <w:rFonts w:hint="eastAsia"/>
        </w:rPr>
        <w:t>大会第</w:t>
      </w:r>
      <w:r w:rsidRPr="00A87A74">
        <w:rPr>
          <w:rFonts w:hint="eastAsia"/>
        </w:rPr>
        <w:t>2625(XXV)</w:t>
      </w:r>
      <w:r w:rsidRPr="00756A72">
        <w:rPr>
          <w:rFonts w:hint="eastAsia"/>
        </w:rPr>
        <w:t>号决议</w:t>
      </w:r>
      <w:r>
        <w:rPr>
          <w:rFonts w:hint="eastAsia"/>
        </w:rPr>
        <w:t>，</w:t>
      </w:r>
      <w:r w:rsidRPr="00756A72">
        <w:rPr>
          <w:rFonts w:hint="eastAsia"/>
        </w:rPr>
        <w:t>附件</w:t>
      </w:r>
      <w:r>
        <w:rPr>
          <w:rFonts w:hint="eastAsia"/>
        </w:rPr>
        <w:t>，</w:t>
      </w:r>
      <w:r w:rsidRPr="00756A72">
        <w:rPr>
          <w:rFonts w:hint="eastAsia"/>
        </w:rPr>
        <w:t>第</w:t>
      </w:r>
      <w:r w:rsidRPr="00A87A74">
        <w:rPr>
          <w:rFonts w:hint="eastAsia"/>
        </w:rPr>
        <w:t>1</w:t>
      </w:r>
      <w:r w:rsidRPr="00756A72">
        <w:rPr>
          <w:rFonts w:hint="eastAsia"/>
        </w:rPr>
        <w:t>段</w:t>
      </w:r>
      <w:r w:rsidRPr="00A87A74">
        <w:rPr>
          <w:rFonts w:hint="eastAsia"/>
        </w:rPr>
        <w:t>(</w:t>
      </w:r>
      <w:r>
        <w:rPr>
          <w:rFonts w:hint="eastAsia"/>
        </w:rPr>
        <w:t>其中指出：“</w:t>
      </w:r>
      <w:r w:rsidRPr="00756A72">
        <w:rPr>
          <w:rFonts w:hint="eastAsia"/>
        </w:rPr>
        <w:t>每一国家有义务诚意履行</w:t>
      </w:r>
      <w:r>
        <w:rPr>
          <w:rFonts w:hint="eastAsia"/>
        </w:rPr>
        <w:t>”</w:t>
      </w:r>
      <w:r w:rsidRPr="00756A72">
        <w:rPr>
          <w:rFonts w:hint="eastAsia"/>
        </w:rPr>
        <w:t>、</w:t>
      </w:r>
      <w:r>
        <w:rPr>
          <w:rFonts w:hint="eastAsia"/>
        </w:rPr>
        <w:t>“</w:t>
      </w:r>
      <w:r w:rsidRPr="00756A72">
        <w:rPr>
          <w:rFonts w:hint="eastAsia"/>
        </w:rPr>
        <w:t>按照《联合国宪章》</w:t>
      </w:r>
      <w:r>
        <w:rPr>
          <w:rFonts w:hint="eastAsia"/>
        </w:rPr>
        <w:t>”</w:t>
      </w:r>
      <w:r w:rsidRPr="00756A72">
        <w:rPr>
          <w:rFonts w:hint="eastAsia"/>
        </w:rPr>
        <w:t>承担的义务、</w:t>
      </w:r>
      <w:r>
        <w:rPr>
          <w:rFonts w:hint="eastAsia"/>
        </w:rPr>
        <w:t>“</w:t>
      </w:r>
      <w:r w:rsidRPr="00756A72">
        <w:rPr>
          <w:rFonts w:hint="eastAsia"/>
        </w:rPr>
        <w:t>普遍承认的国际法原则和规则下的义务</w:t>
      </w:r>
      <w:r>
        <w:rPr>
          <w:rFonts w:hint="eastAsia"/>
        </w:rPr>
        <w:t>”</w:t>
      </w:r>
      <w:r w:rsidRPr="00756A72">
        <w:rPr>
          <w:rFonts w:hint="eastAsia"/>
        </w:rPr>
        <w:t>和</w:t>
      </w:r>
      <w:r>
        <w:rPr>
          <w:rFonts w:hint="eastAsia"/>
        </w:rPr>
        <w:t>“</w:t>
      </w:r>
      <w:r w:rsidRPr="00756A72">
        <w:rPr>
          <w:rFonts w:hint="eastAsia"/>
        </w:rPr>
        <w:t>根据普遍承认的国际法原则和规则缔结的有效国际协定所规定的义务</w:t>
      </w:r>
      <w:r>
        <w:rPr>
          <w:rFonts w:hint="eastAsia"/>
        </w:rPr>
        <w:t>”</w:t>
      </w:r>
      <w:r w:rsidRPr="00A87A74">
        <w:rPr>
          <w:rFonts w:hint="eastAsia"/>
        </w:rPr>
        <w:t>)</w:t>
      </w:r>
      <w:r w:rsidRPr="00756A72">
        <w:rPr>
          <w:rFonts w:hint="eastAsia"/>
        </w:rPr>
        <w:t>。</w:t>
      </w:r>
    </w:p>
  </w:footnote>
  <w:footnote w:id="219">
    <w:p w:rsidR="00AB00DE" w:rsidRPr="00D82E09" w:rsidRDefault="00AB00DE" w:rsidP="00765E0D">
      <w:pPr>
        <w:pStyle w:val="a4"/>
        <w:widowControl w:val="0"/>
        <w:autoSpaceDE w:val="0"/>
        <w:autoSpaceDN w:val="0"/>
        <w:rPr>
          <w:rFonts w:eastAsiaTheme="minorEastAsia"/>
        </w:rPr>
      </w:pPr>
      <w:r w:rsidRPr="00A87A74">
        <w:tab/>
      </w:r>
      <w:r w:rsidRPr="00DF5565">
        <w:rPr>
          <w:rStyle w:val="a5"/>
        </w:rPr>
        <w:footnoteRef/>
      </w:r>
      <w:r w:rsidRPr="00A87A74">
        <w:tab/>
      </w:r>
      <w:r w:rsidRPr="00D82E09">
        <w:rPr>
          <w:rFonts w:eastAsiaTheme="minorEastAsia"/>
          <w:iCs/>
        </w:rPr>
        <w:t>接纳一国加入联合国</w:t>
      </w:r>
      <w:r w:rsidRPr="00D82E09">
        <w:rPr>
          <w:rFonts w:eastAsiaTheme="minorEastAsia"/>
          <w:iCs/>
        </w:rPr>
        <w:t>(</w:t>
      </w:r>
      <w:r w:rsidRPr="00D82E09">
        <w:rPr>
          <w:rFonts w:eastAsiaTheme="minorEastAsia"/>
          <w:iCs/>
        </w:rPr>
        <w:t>《宪章》第四条</w:t>
      </w:r>
      <w:r w:rsidRPr="00D82E09">
        <w:rPr>
          <w:rFonts w:eastAsiaTheme="minorEastAsia"/>
          <w:iCs/>
        </w:rPr>
        <w:t>)</w:t>
      </w:r>
      <w:r w:rsidRPr="00D82E09">
        <w:rPr>
          <w:rFonts w:eastAsiaTheme="minorEastAsia"/>
          <w:iCs/>
        </w:rPr>
        <w:t>，咨询意见：《</w:t>
      </w:r>
      <w:r w:rsidRPr="00D82E09">
        <w:rPr>
          <w:rFonts w:eastAsiaTheme="minorEastAsia"/>
          <w:iCs/>
        </w:rPr>
        <w:t>1948</w:t>
      </w:r>
      <w:r w:rsidRPr="00D82E09">
        <w:rPr>
          <w:rFonts w:eastAsiaTheme="minorEastAsia"/>
          <w:iCs/>
        </w:rPr>
        <w:t>年国际法院案例汇编》，第</w:t>
      </w:r>
      <w:r w:rsidRPr="00D82E09">
        <w:rPr>
          <w:rFonts w:eastAsiaTheme="minorEastAsia"/>
          <w:iCs/>
        </w:rPr>
        <w:t>57</w:t>
      </w:r>
      <w:r w:rsidRPr="00D82E09">
        <w:rPr>
          <w:rFonts w:eastAsiaTheme="minorEastAsia"/>
          <w:iCs/>
        </w:rPr>
        <w:t>页起，引文见第</w:t>
      </w:r>
      <w:r w:rsidRPr="00D82E09">
        <w:rPr>
          <w:rFonts w:eastAsiaTheme="minorEastAsia"/>
        </w:rPr>
        <w:t>63-64</w:t>
      </w:r>
      <w:r w:rsidRPr="00D82E09">
        <w:rPr>
          <w:rFonts w:eastAsiaTheme="minorEastAsia"/>
        </w:rPr>
        <w:t>页；美利坚合众国国民在摩洛哥的权利一案，</w:t>
      </w:r>
      <w:r w:rsidRPr="00D82E09">
        <w:rPr>
          <w:rFonts w:eastAsiaTheme="minorEastAsia"/>
          <w:iCs/>
        </w:rPr>
        <w:t>1952</w:t>
      </w:r>
      <w:r w:rsidRPr="00D82E09">
        <w:rPr>
          <w:rFonts w:eastAsiaTheme="minorEastAsia"/>
          <w:iCs/>
        </w:rPr>
        <w:t>年</w:t>
      </w:r>
      <w:r w:rsidRPr="00D82E09">
        <w:rPr>
          <w:rFonts w:eastAsiaTheme="minorEastAsia"/>
          <w:iCs/>
        </w:rPr>
        <w:t>8</w:t>
      </w:r>
      <w:r w:rsidRPr="00D82E09">
        <w:rPr>
          <w:rFonts w:eastAsiaTheme="minorEastAsia"/>
          <w:iCs/>
        </w:rPr>
        <w:t>月</w:t>
      </w:r>
      <w:r w:rsidRPr="00D82E09">
        <w:rPr>
          <w:rFonts w:eastAsiaTheme="minorEastAsia"/>
          <w:iCs/>
        </w:rPr>
        <w:t>27</w:t>
      </w:r>
      <w:r w:rsidRPr="00D82E09">
        <w:rPr>
          <w:rFonts w:eastAsiaTheme="minorEastAsia"/>
          <w:iCs/>
        </w:rPr>
        <w:t>日裁决，《</w:t>
      </w:r>
      <w:r w:rsidRPr="00D82E09">
        <w:rPr>
          <w:rFonts w:eastAsiaTheme="minorEastAsia"/>
          <w:iCs/>
        </w:rPr>
        <w:t>1952</w:t>
      </w:r>
      <w:r w:rsidRPr="00D82E09">
        <w:rPr>
          <w:rFonts w:eastAsiaTheme="minorEastAsia"/>
          <w:iCs/>
        </w:rPr>
        <w:t>年国际法院案例汇编》，第</w:t>
      </w:r>
      <w:r w:rsidRPr="00D82E09">
        <w:rPr>
          <w:rFonts w:eastAsiaTheme="minorEastAsia"/>
          <w:iCs/>
        </w:rPr>
        <w:t>176</w:t>
      </w:r>
      <w:r w:rsidRPr="00D82E09">
        <w:rPr>
          <w:rFonts w:eastAsiaTheme="minorEastAsia"/>
          <w:iCs/>
        </w:rPr>
        <w:t>页起，引文见第</w:t>
      </w:r>
      <w:r w:rsidRPr="00D82E09">
        <w:rPr>
          <w:rFonts w:eastAsiaTheme="minorEastAsia"/>
          <w:iCs/>
        </w:rPr>
        <w:t>212</w:t>
      </w:r>
      <w:r w:rsidRPr="00D82E09">
        <w:rPr>
          <w:rFonts w:eastAsiaTheme="minorEastAsia"/>
          <w:iCs/>
        </w:rPr>
        <w:t>页；刑事事项互助的若干问题案</w:t>
      </w:r>
      <w:r w:rsidRPr="00D82E09">
        <w:rPr>
          <w:rFonts w:eastAsiaTheme="minorEastAsia"/>
          <w:iCs/>
        </w:rPr>
        <w:t>(</w:t>
      </w:r>
      <w:r w:rsidRPr="00D82E09">
        <w:rPr>
          <w:rFonts w:eastAsiaTheme="minorEastAsia"/>
          <w:iCs/>
        </w:rPr>
        <w:t>吉布提诉法国</w:t>
      </w:r>
      <w:r w:rsidRPr="00D82E09">
        <w:rPr>
          <w:rFonts w:eastAsiaTheme="minorEastAsia"/>
          <w:iCs/>
        </w:rPr>
        <w:t>)</w:t>
      </w:r>
      <w:r w:rsidRPr="00D82E09">
        <w:rPr>
          <w:rFonts w:eastAsiaTheme="minorEastAsia" w:hint="eastAsia"/>
          <w:iCs/>
        </w:rPr>
        <w:t>，裁决，</w:t>
      </w:r>
      <w:r w:rsidRPr="00D82E09">
        <w:rPr>
          <w:rFonts w:eastAsiaTheme="minorEastAsia"/>
          <w:iCs/>
        </w:rPr>
        <w:t>《</w:t>
      </w:r>
      <w:r w:rsidRPr="00D82E09">
        <w:rPr>
          <w:rFonts w:eastAsiaTheme="minorEastAsia" w:hint="eastAsia"/>
          <w:iCs/>
        </w:rPr>
        <w:t>200</w:t>
      </w:r>
      <w:r w:rsidRPr="00D82E09">
        <w:rPr>
          <w:rFonts w:eastAsiaTheme="minorEastAsia"/>
          <w:iCs/>
        </w:rPr>
        <w:t>8</w:t>
      </w:r>
      <w:r w:rsidRPr="00D82E09">
        <w:rPr>
          <w:rFonts w:eastAsiaTheme="minorEastAsia"/>
          <w:iCs/>
        </w:rPr>
        <w:t>年国际法院案例汇编》，第</w:t>
      </w:r>
      <w:r w:rsidRPr="00D82E09">
        <w:rPr>
          <w:rFonts w:eastAsiaTheme="minorEastAsia" w:hint="eastAsia"/>
          <w:iCs/>
        </w:rPr>
        <w:t>177</w:t>
      </w:r>
      <w:r w:rsidRPr="00D82E09">
        <w:rPr>
          <w:rFonts w:eastAsiaTheme="minorEastAsia"/>
          <w:iCs/>
        </w:rPr>
        <w:t>页起，见第</w:t>
      </w:r>
      <w:r w:rsidRPr="00D82E09">
        <w:rPr>
          <w:rFonts w:eastAsiaTheme="minorEastAsia" w:hint="eastAsia"/>
        </w:rPr>
        <w:t>229</w:t>
      </w:r>
      <w:r w:rsidRPr="00D82E09">
        <w:rPr>
          <w:rFonts w:eastAsiaTheme="minorEastAsia"/>
        </w:rPr>
        <w:t>页</w:t>
      </w:r>
      <w:r>
        <w:rPr>
          <w:rFonts w:eastAsiaTheme="minorEastAsia" w:hint="eastAsia"/>
        </w:rPr>
        <w:t>，第</w:t>
      </w:r>
      <w:r>
        <w:rPr>
          <w:rFonts w:eastAsiaTheme="minorEastAsia" w:hint="eastAsia"/>
        </w:rPr>
        <w:t>145</w:t>
      </w:r>
      <w:r>
        <w:rPr>
          <w:rFonts w:eastAsiaTheme="minorEastAsia" w:hint="eastAsia"/>
        </w:rPr>
        <w:t>段</w:t>
      </w:r>
      <w:r w:rsidRPr="00D82E09">
        <w:rPr>
          <w:rFonts w:eastAsiaTheme="minorEastAsia" w:hint="eastAsia"/>
        </w:rPr>
        <w:t>；以及</w:t>
      </w:r>
      <w:r w:rsidRPr="00D82E09">
        <w:rPr>
          <w:rFonts w:eastAsiaTheme="minorEastAsia"/>
          <w:iCs/>
        </w:rPr>
        <w:t>北大西洋沿岸渔业一案</w:t>
      </w:r>
      <w:r w:rsidRPr="00D82E09">
        <w:rPr>
          <w:rFonts w:eastAsiaTheme="minorEastAsia"/>
          <w:iCs/>
        </w:rPr>
        <w:t>(</w:t>
      </w:r>
      <w:r w:rsidRPr="00D82E09">
        <w:rPr>
          <w:rFonts w:eastAsiaTheme="minorEastAsia"/>
          <w:iCs/>
        </w:rPr>
        <w:t>大不列颠，美利坚合众国</w:t>
      </w:r>
      <w:r w:rsidRPr="00D82E09">
        <w:rPr>
          <w:rFonts w:eastAsiaTheme="minorEastAsia"/>
          <w:iCs/>
        </w:rPr>
        <w:t>)</w:t>
      </w:r>
      <w:r w:rsidRPr="00D82E09">
        <w:rPr>
          <w:rFonts w:eastAsiaTheme="minorEastAsia"/>
          <w:iCs/>
        </w:rPr>
        <w:t>，</w:t>
      </w:r>
      <w:r w:rsidRPr="00D82E09">
        <w:rPr>
          <w:rFonts w:eastAsiaTheme="minorEastAsia"/>
          <w:iCs/>
        </w:rPr>
        <w:t>1910</w:t>
      </w:r>
      <w:r w:rsidRPr="00D82E09">
        <w:rPr>
          <w:rFonts w:eastAsiaTheme="minorEastAsia"/>
          <w:iCs/>
        </w:rPr>
        <w:t>年</w:t>
      </w:r>
      <w:r w:rsidRPr="00D82E09">
        <w:rPr>
          <w:rFonts w:eastAsiaTheme="minorEastAsia"/>
          <w:iCs/>
        </w:rPr>
        <w:t>9</w:t>
      </w:r>
      <w:r w:rsidRPr="00D82E09">
        <w:rPr>
          <w:rFonts w:eastAsiaTheme="minorEastAsia"/>
          <w:iCs/>
        </w:rPr>
        <w:t>月</w:t>
      </w:r>
      <w:r w:rsidRPr="00D82E09">
        <w:rPr>
          <w:rFonts w:eastAsiaTheme="minorEastAsia"/>
          <w:iCs/>
        </w:rPr>
        <w:t>7</w:t>
      </w:r>
      <w:r w:rsidRPr="00D82E09">
        <w:rPr>
          <w:rFonts w:eastAsiaTheme="minorEastAsia"/>
          <w:iCs/>
        </w:rPr>
        <w:t>日，</w:t>
      </w:r>
      <w:r w:rsidRPr="00D82E09">
        <w:rPr>
          <w:rFonts w:eastAsiaTheme="minorEastAsia"/>
        </w:rPr>
        <w:t>《国际仲裁裁决汇编》，第十一卷，第</w:t>
      </w:r>
      <w:r w:rsidRPr="00D82E09">
        <w:rPr>
          <w:rFonts w:eastAsiaTheme="minorEastAsia"/>
        </w:rPr>
        <w:t>188</w:t>
      </w:r>
      <w:r w:rsidRPr="00D82E09">
        <w:rPr>
          <w:rFonts w:eastAsiaTheme="minorEastAsia"/>
        </w:rPr>
        <w:t>页。</w:t>
      </w:r>
    </w:p>
  </w:footnote>
  <w:footnote w:id="220">
    <w:p w:rsidR="00AB00DE" w:rsidRPr="00C9480D" w:rsidRDefault="00AB00DE" w:rsidP="00765E0D">
      <w:pPr>
        <w:pStyle w:val="a4"/>
        <w:widowControl w:val="0"/>
        <w:autoSpaceDE w:val="0"/>
        <w:autoSpaceDN w:val="0"/>
      </w:pPr>
      <w:r w:rsidRPr="00C9480D">
        <w:tab/>
      </w:r>
      <w:r w:rsidRPr="00DF5565">
        <w:rPr>
          <w:rStyle w:val="a5"/>
        </w:rPr>
        <w:footnoteRef/>
      </w:r>
      <w:r>
        <w:tab/>
      </w:r>
      <w:r w:rsidRPr="00C9480D">
        <w:t>例如，见《美洲便利灾难援助公约》。《美洲国家组织正式记录》</w:t>
      </w:r>
      <w:r w:rsidRPr="00C9480D">
        <w:t>(OEA/Ser.A/49 (SEPF) )</w:t>
      </w:r>
      <w:r w:rsidRPr="00C9480D">
        <w:t>，英文第</w:t>
      </w:r>
      <w:r w:rsidRPr="00C9480D">
        <w:t>15</w:t>
      </w:r>
      <w:r w:rsidRPr="00C9480D">
        <w:t>页，第八条和第十一条</w:t>
      </w:r>
      <w:r w:rsidRPr="00C9480D">
        <w:t>d</w:t>
      </w:r>
      <w:r w:rsidRPr="00C9480D">
        <w:t>款，以及《核事故或辐射紧急情况援助公约》第</w:t>
      </w:r>
      <w:r w:rsidRPr="00C9480D">
        <w:t>8</w:t>
      </w:r>
      <w:r w:rsidRPr="00C9480D">
        <w:t>条第</w:t>
      </w:r>
      <w:r w:rsidRPr="00C9480D">
        <w:t>7</w:t>
      </w:r>
      <w:r w:rsidRPr="00C9480D">
        <w:t>款。</w:t>
      </w:r>
    </w:p>
  </w:footnote>
  <w:footnote w:id="221">
    <w:p w:rsidR="00AB00DE" w:rsidRPr="00C9480D" w:rsidRDefault="00AB00DE" w:rsidP="00B95A94">
      <w:pPr>
        <w:pStyle w:val="a4"/>
        <w:widowControl w:val="0"/>
        <w:autoSpaceDE w:val="0"/>
        <w:autoSpaceDN w:val="0"/>
        <w:rPr>
          <w:lang w:bidi="x-none"/>
        </w:rPr>
      </w:pPr>
      <w:r w:rsidRPr="00C9480D">
        <w:tab/>
      </w:r>
      <w:r w:rsidRPr="00DF5565">
        <w:rPr>
          <w:rStyle w:val="a5"/>
        </w:rPr>
        <w:footnoteRef/>
      </w:r>
      <w:r>
        <w:tab/>
      </w:r>
      <w:r w:rsidRPr="00C9480D">
        <w:rPr>
          <w:color w:val="000000"/>
        </w:rPr>
        <w:t>同上，以及《黑海经济合作组织</w:t>
      </w:r>
      <w:r w:rsidRPr="00C9480D">
        <w:rPr>
          <w:color w:val="000000"/>
        </w:rPr>
        <w:t>(</w:t>
      </w:r>
      <w:r w:rsidRPr="00C9480D">
        <w:rPr>
          <w:color w:val="000000"/>
        </w:rPr>
        <w:t>黑海经合组织</w:t>
      </w:r>
      <w:r w:rsidRPr="00C9480D">
        <w:rPr>
          <w:color w:val="000000"/>
        </w:rPr>
        <w:t>)</w:t>
      </w:r>
      <w:r w:rsidRPr="00C9480D">
        <w:rPr>
          <w:color w:val="000000"/>
        </w:rPr>
        <w:t>参加国政府关于就自然灾害和人为灾害提供紧急援助做出紧急反应的合作</w:t>
      </w:r>
      <w:r w:rsidRPr="00C84DAC">
        <w:rPr>
          <w:iCs/>
        </w:rPr>
        <w:t>协定》</w:t>
      </w:r>
      <w:r w:rsidRPr="00C84DAC">
        <w:rPr>
          <w:iCs/>
        </w:rPr>
        <w:t>(1998</w:t>
      </w:r>
      <w:r w:rsidRPr="00C84DAC">
        <w:rPr>
          <w:iCs/>
        </w:rPr>
        <w:t>年</w:t>
      </w:r>
      <w:r w:rsidRPr="00C84DAC">
        <w:rPr>
          <w:iCs/>
        </w:rPr>
        <w:t>)</w:t>
      </w:r>
      <w:r w:rsidRPr="00C84DAC">
        <w:rPr>
          <w:iCs/>
        </w:rPr>
        <w:t>第</w:t>
      </w:r>
      <w:r w:rsidRPr="00C84DAC">
        <w:rPr>
          <w:iCs/>
        </w:rPr>
        <w:t>5</w:t>
      </w:r>
      <w:r w:rsidRPr="00C84DAC">
        <w:rPr>
          <w:iCs/>
        </w:rPr>
        <w:t>条</w:t>
      </w:r>
      <w:r>
        <w:rPr>
          <w:rFonts w:hint="eastAsia"/>
          <w:iCs/>
        </w:rPr>
        <w:t>和</w:t>
      </w:r>
      <w:r w:rsidRPr="00C84DAC">
        <w:rPr>
          <w:iCs/>
        </w:rPr>
        <w:t>第</w:t>
      </w:r>
      <w:r w:rsidRPr="00C84DAC">
        <w:rPr>
          <w:iCs/>
        </w:rPr>
        <w:t>9</w:t>
      </w:r>
      <w:r>
        <w:rPr>
          <w:rFonts w:hint="eastAsia"/>
          <w:iCs/>
        </w:rPr>
        <w:t>条</w:t>
      </w:r>
      <w:r w:rsidRPr="00C84DAC">
        <w:rPr>
          <w:iCs/>
        </w:rPr>
        <w:t>。见</w:t>
      </w:r>
      <w:hyperlink r:id="rId26" w:history="1">
        <w:r w:rsidRPr="00C84DAC">
          <w:rPr>
            <w:iCs/>
          </w:rPr>
          <w:t>www.bsec-organization.org/</w:t>
        </w:r>
        <w:r w:rsidRPr="00C84DAC">
          <w:rPr>
            <w:rFonts w:hint="eastAsia"/>
            <w:iCs/>
          </w:rPr>
          <w:t xml:space="preserve"> </w:t>
        </w:r>
        <w:r w:rsidRPr="00C84DAC">
          <w:rPr>
            <w:iCs/>
          </w:rPr>
          <w:t>documents/LegalDocuments/agreementmous/agr4/Documents/Emergencyagreement%20071116.pdf</w:t>
        </w:r>
      </w:hyperlink>
      <w:r w:rsidRPr="00C9480D">
        <w:t xml:space="preserve"> </w:t>
      </w:r>
      <w:r>
        <w:t>(</w:t>
      </w:r>
      <w:r w:rsidRPr="00C9480D">
        <w:rPr>
          <w:color w:val="000000"/>
        </w:rPr>
        <w:t>2016</w:t>
      </w:r>
      <w:r w:rsidRPr="00C9480D">
        <w:rPr>
          <w:color w:val="000000"/>
        </w:rPr>
        <w:t>年</w:t>
      </w:r>
      <w:r w:rsidRPr="00C9480D">
        <w:rPr>
          <w:color w:val="000000"/>
        </w:rPr>
        <w:t>7</w:t>
      </w:r>
      <w:r w:rsidRPr="00C9480D">
        <w:rPr>
          <w:color w:val="000000"/>
        </w:rPr>
        <w:t>月</w:t>
      </w:r>
      <w:r w:rsidRPr="00C9480D">
        <w:rPr>
          <w:color w:val="000000"/>
        </w:rPr>
        <w:t>4</w:t>
      </w:r>
      <w:r>
        <w:rPr>
          <w:color w:val="000000"/>
        </w:rPr>
        <w:t>日查阅</w:t>
      </w:r>
      <w:r>
        <w:rPr>
          <w:color w:val="000000"/>
        </w:rPr>
        <w:t>)</w:t>
      </w:r>
      <w:r w:rsidRPr="00C9480D">
        <w:rPr>
          <w:color w:val="000000"/>
        </w:rPr>
        <w:t>。</w:t>
      </w:r>
    </w:p>
  </w:footnote>
  <w:footnote w:id="222">
    <w:p w:rsidR="00AB00DE" w:rsidRPr="00C9480D" w:rsidRDefault="00AB00DE" w:rsidP="00765E0D">
      <w:pPr>
        <w:pStyle w:val="a4"/>
        <w:widowControl w:val="0"/>
        <w:autoSpaceDE w:val="0"/>
        <w:autoSpaceDN w:val="0"/>
        <w:rPr>
          <w:color w:val="000000"/>
        </w:rPr>
      </w:pPr>
      <w:r w:rsidRPr="00C9480D">
        <w:tab/>
      </w:r>
      <w:r w:rsidRPr="00DF5565">
        <w:rPr>
          <w:rStyle w:val="a5"/>
        </w:rPr>
        <w:footnoteRef/>
      </w:r>
      <w:r w:rsidRPr="00C9480D">
        <w:tab/>
      </w:r>
      <w:r w:rsidRPr="00C9480D">
        <w:rPr>
          <w:color w:val="000000"/>
        </w:rPr>
        <w:t>例如，见《关于工业事故越境影响的公约》，</w:t>
      </w:r>
      <w:r w:rsidRPr="00C9480D">
        <w:rPr>
          <w:color w:val="000000"/>
        </w:rPr>
        <w:t>1992</w:t>
      </w:r>
      <w:r w:rsidRPr="00C9480D">
        <w:rPr>
          <w:color w:val="000000"/>
        </w:rPr>
        <w:t>年</w:t>
      </w:r>
      <w:r w:rsidRPr="00C9480D">
        <w:rPr>
          <w:color w:val="000000"/>
        </w:rPr>
        <w:t>3</w:t>
      </w:r>
      <w:r w:rsidRPr="00C9480D">
        <w:rPr>
          <w:color w:val="000000"/>
        </w:rPr>
        <w:t>月</w:t>
      </w:r>
      <w:r w:rsidRPr="00C9480D">
        <w:rPr>
          <w:color w:val="000000"/>
        </w:rPr>
        <w:t>17</w:t>
      </w:r>
      <w:r w:rsidRPr="00C9480D">
        <w:rPr>
          <w:color w:val="000000"/>
        </w:rPr>
        <w:t>日，联合国，《条约汇编》，第</w:t>
      </w:r>
      <w:r w:rsidRPr="00C9480D">
        <w:rPr>
          <w:color w:val="000000"/>
        </w:rPr>
        <w:t>2105</w:t>
      </w:r>
      <w:r w:rsidRPr="00C9480D">
        <w:rPr>
          <w:color w:val="000000"/>
        </w:rPr>
        <w:t>卷，第</w:t>
      </w:r>
      <w:r w:rsidRPr="00C9480D">
        <w:rPr>
          <w:color w:val="000000"/>
        </w:rPr>
        <w:t>36605</w:t>
      </w:r>
      <w:r w:rsidRPr="00C9480D">
        <w:rPr>
          <w:color w:val="000000"/>
        </w:rPr>
        <w:t>号，英文第</w:t>
      </w:r>
      <w:r w:rsidRPr="00C9480D">
        <w:rPr>
          <w:color w:val="000000"/>
        </w:rPr>
        <w:t>457</w:t>
      </w:r>
      <w:r w:rsidRPr="00C9480D">
        <w:rPr>
          <w:color w:val="000000"/>
        </w:rPr>
        <w:t>页，附件十，第</w:t>
      </w:r>
      <w:r w:rsidRPr="00C9480D">
        <w:rPr>
          <w:color w:val="000000"/>
        </w:rPr>
        <w:t>1</w:t>
      </w:r>
      <w:r w:rsidRPr="00C9480D">
        <w:rPr>
          <w:color w:val="000000"/>
        </w:rPr>
        <w:t>款</w:t>
      </w:r>
      <w:r>
        <w:rPr>
          <w:rFonts w:hint="eastAsia"/>
          <w:color w:val="000000"/>
        </w:rPr>
        <w:t>(</w:t>
      </w:r>
      <w:r w:rsidRPr="00C9480D">
        <w:rPr>
          <w:color w:val="000000"/>
        </w:rPr>
        <w:t>“</w:t>
      </w:r>
      <w:r w:rsidRPr="00C9480D">
        <w:rPr>
          <w:color w:val="000000"/>
        </w:rPr>
        <w:t>参加援助行动的人员需依据求助国家的相关法律开展活动</w:t>
      </w:r>
      <w:r w:rsidRPr="00C9480D">
        <w:rPr>
          <w:color w:val="000000"/>
        </w:rPr>
        <w:t>”</w:t>
      </w:r>
      <w:r>
        <w:rPr>
          <w:rFonts w:hint="eastAsia"/>
          <w:color w:val="000000"/>
        </w:rPr>
        <w:t>)</w:t>
      </w:r>
      <w:r w:rsidRPr="00C9480D">
        <w:rPr>
          <w:color w:val="000000"/>
        </w:rPr>
        <w:t>。</w:t>
      </w:r>
    </w:p>
  </w:footnote>
  <w:footnote w:id="223">
    <w:p w:rsidR="00AB00DE" w:rsidRPr="00C9480D" w:rsidRDefault="00AB00DE" w:rsidP="00765E0D">
      <w:pPr>
        <w:pStyle w:val="a4"/>
        <w:widowControl w:val="0"/>
        <w:autoSpaceDE w:val="0"/>
        <w:autoSpaceDN w:val="0"/>
        <w:rPr>
          <w:lang w:bidi="x-none"/>
        </w:rPr>
      </w:pPr>
      <w:r>
        <w:rPr>
          <w:rFonts w:hint="eastAsia"/>
        </w:rPr>
        <w:tab/>
      </w:r>
      <w:r w:rsidRPr="00DF5565">
        <w:rPr>
          <w:rStyle w:val="a5"/>
        </w:rPr>
        <w:footnoteRef/>
      </w:r>
      <w:r w:rsidRPr="00C9480D">
        <w:tab/>
      </w:r>
      <w:r w:rsidRPr="00C9480D">
        <w:rPr>
          <w:color w:val="000000"/>
        </w:rPr>
        <w:t>例如，见《东盟协定》第</w:t>
      </w:r>
      <w:r w:rsidRPr="00C9480D">
        <w:rPr>
          <w:color w:val="000000"/>
        </w:rPr>
        <w:t>13</w:t>
      </w:r>
      <w:r w:rsidRPr="00C9480D">
        <w:rPr>
          <w:color w:val="000000"/>
        </w:rPr>
        <w:t>条第</w:t>
      </w:r>
      <w:r w:rsidRPr="00C9480D">
        <w:rPr>
          <w:color w:val="000000"/>
        </w:rPr>
        <w:t>2</w:t>
      </w:r>
      <w:r w:rsidRPr="00C9480D">
        <w:rPr>
          <w:color w:val="000000"/>
        </w:rPr>
        <w:t>款</w:t>
      </w:r>
      <w:r>
        <w:rPr>
          <w:rFonts w:hint="eastAsia"/>
          <w:color w:val="000000"/>
        </w:rPr>
        <w:t>(</w:t>
      </w:r>
      <w:r w:rsidRPr="00C9480D">
        <w:rPr>
          <w:color w:val="000000"/>
        </w:rPr>
        <w:t>“</w:t>
      </w:r>
      <w:r w:rsidRPr="00C9480D">
        <w:rPr>
          <w:color w:val="000000"/>
        </w:rPr>
        <w:t>援助行动负责人应采取一切适当措施，确保遵守国内法律和规章</w:t>
      </w:r>
      <w:r w:rsidRPr="00C9480D">
        <w:rPr>
          <w:color w:val="000000"/>
        </w:rPr>
        <w:t>”</w:t>
      </w:r>
      <w:r>
        <w:rPr>
          <w:rFonts w:hint="eastAsia"/>
          <w:color w:val="000000"/>
        </w:rPr>
        <w:t>)</w:t>
      </w:r>
      <w:r w:rsidRPr="00C9480D">
        <w:rPr>
          <w:color w:val="000000"/>
        </w:rPr>
        <w:t>。</w:t>
      </w:r>
    </w:p>
  </w:footnote>
  <w:footnote w:id="224">
    <w:p w:rsidR="00AB00DE" w:rsidRPr="00C9480D" w:rsidRDefault="00AB00DE" w:rsidP="00765E0D">
      <w:pPr>
        <w:pStyle w:val="a4"/>
        <w:widowControl w:val="0"/>
        <w:autoSpaceDE w:val="0"/>
        <w:autoSpaceDN w:val="0"/>
        <w:rPr>
          <w:lang w:bidi="x-none"/>
        </w:rPr>
      </w:pPr>
      <w:r w:rsidRPr="00C9480D">
        <w:tab/>
      </w:r>
      <w:r w:rsidRPr="00DF5565">
        <w:rPr>
          <w:rStyle w:val="a5"/>
        </w:rPr>
        <w:footnoteRef/>
      </w:r>
      <w:r w:rsidRPr="00C9480D">
        <w:tab/>
      </w:r>
      <w:r w:rsidRPr="00C9480D">
        <w:rPr>
          <w:color w:val="000000"/>
        </w:rPr>
        <w:t>例如，见</w:t>
      </w:r>
      <w:r w:rsidRPr="00C9480D">
        <w:rPr>
          <w:color w:val="000000"/>
        </w:rPr>
        <w:t>MacAlister-Smith</w:t>
      </w:r>
      <w:r w:rsidRPr="00C9480D">
        <w:rPr>
          <w:color w:val="000000"/>
        </w:rPr>
        <w:t>著，《国际指南》</w:t>
      </w:r>
      <w:r w:rsidRPr="00C9480D">
        <w:rPr>
          <w:color w:val="000000"/>
        </w:rPr>
        <w:t>(</w:t>
      </w:r>
      <w:r w:rsidRPr="00C9480D">
        <w:rPr>
          <w:color w:val="000000"/>
        </w:rPr>
        <w:t>上文脚注</w:t>
      </w:r>
      <w:r>
        <w:rPr>
          <w:color w:val="000000"/>
        </w:rPr>
        <w:fldChar w:fldCharType="begin"/>
      </w:r>
      <w:r>
        <w:rPr>
          <w:color w:val="000000"/>
        </w:rPr>
        <w:instrText xml:space="preserve"> NOTEREF _Ref457232225 \h </w:instrText>
      </w:r>
      <w:r>
        <w:rPr>
          <w:color w:val="000000"/>
        </w:rPr>
      </w:r>
      <w:r>
        <w:rPr>
          <w:color w:val="000000"/>
        </w:rPr>
        <w:fldChar w:fldCharType="separate"/>
      </w:r>
      <w:r w:rsidR="00A73EB9">
        <w:rPr>
          <w:color w:val="000000"/>
        </w:rPr>
        <w:t>71</w:t>
      </w:r>
      <w:r>
        <w:rPr>
          <w:color w:val="000000"/>
        </w:rPr>
        <w:fldChar w:fldCharType="end"/>
      </w:r>
      <w:r w:rsidRPr="00C9480D">
        <w:rPr>
          <w:color w:val="000000"/>
        </w:rPr>
        <w:t>)</w:t>
      </w:r>
      <w:r w:rsidRPr="00C9480D">
        <w:rPr>
          <w:color w:val="000000"/>
        </w:rPr>
        <w:t>，第</w:t>
      </w:r>
      <w:r w:rsidRPr="00C9480D">
        <w:rPr>
          <w:color w:val="000000"/>
        </w:rPr>
        <w:t>22(b)</w:t>
      </w:r>
      <w:r w:rsidRPr="00C9480D">
        <w:rPr>
          <w:color w:val="000000"/>
        </w:rPr>
        <w:t>段</w:t>
      </w:r>
      <w:r>
        <w:rPr>
          <w:color w:val="000000"/>
        </w:rPr>
        <w:t>(</w:t>
      </w:r>
      <w:r>
        <w:rPr>
          <w:rFonts w:hint="eastAsia"/>
          <w:color w:val="000000"/>
        </w:rPr>
        <w:t>“</w:t>
      </w:r>
      <w:r w:rsidRPr="00C9480D">
        <w:rPr>
          <w:color w:val="000000"/>
        </w:rPr>
        <w:t>在人道主义援助行动的任何时候，援助人员都应</w:t>
      </w:r>
      <w:r>
        <w:rPr>
          <w:rFonts w:eastAsiaTheme="minorEastAsia" w:hint="eastAsia"/>
          <w:szCs w:val="21"/>
          <w:lang w:val="zh-CN"/>
        </w:rPr>
        <w:t>……</w:t>
      </w:r>
      <w:r w:rsidRPr="00C9480D">
        <w:rPr>
          <w:color w:val="000000"/>
        </w:rPr>
        <w:t>与受援国的指定主管部门合作</w:t>
      </w:r>
      <w:r>
        <w:rPr>
          <w:rFonts w:hint="eastAsia"/>
          <w:color w:val="000000"/>
        </w:rPr>
        <w:t>”</w:t>
      </w:r>
      <w:r>
        <w:rPr>
          <w:rFonts w:hint="eastAsia"/>
          <w:color w:val="000000"/>
        </w:rPr>
        <w:t>)</w:t>
      </w:r>
      <w:r w:rsidRPr="00C9480D">
        <w:rPr>
          <w:color w:val="000000"/>
        </w:rPr>
        <w:t>。</w:t>
      </w:r>
    </w:p>
  </w:footnote>
  <w:footnote w:id="225">
    <w:p w:rsidR="00AB00DE" w:rsidRPr="00C9480D" w:rsidRDefault="00AB00DE" w:rsidP="00765E0D">
      <w:pPr>
        <w:pStyle w:val="a4"/>
        <w:widowControl w:val="0"/>
        <w:tabs>
          <w:tab w:val="clear" w:pos="1021"/>
          <w:tab w:val="right" w:pos="1020"/>
        </w:tabs>
        <w:autoSpaceDE w:val="0"/>
        <w:autoSpaceDN w:val="0"/>
        <w:rPr>
          <w:lang w:bidi="x-none"/>
        </w:rPr>
      </w:pPr>
      <w:r w:rsidRPr="00C9480D">
        <w:tab/>
      </w:r>
      <w:r w:rsidRPr="00DF5565">
        <w:rPr>
          <w:rStyle w:val="a5"/>
        </w:rPr>
        <w:footnoteRef/>
      </w:r>
      <w:r>
        <w:tab/>
      </w:r>
      <w:r w:rsidRPr="00C9480D">
        <w:t>例如，见《坦佩雷公约》第</w:t>
      </w:r>
      <w:r w:rsidRPr="00C9480D">
        <w:t>4</w:t>
      </w:r>
      <w:r w:rsidRPr="00C9480D">
        <w:t>条第</w:t>
      </w:r>
      <w:r w:rsidRPr="00C9480D">
        <w:t>2</w:t>
      </w:r>
      <w:r w:rsidRPr="00C9480D">
        <w:t>款</w:t>
      </w:r>
      <w:r>
        <w:t>(</w:t>
      </w:r>
      <w:r w:rsidRPr="00C9480D">
        <w:t>[a]</w:t>
      </w:r>
      <w:r>
        <w:rPr>
          <w:rFonts w:hint="eastAsia"/>
        </w:rPr>
        <w:t>“</w:t>
      </w:r>
      <w:r w:rsidRPr="00C9480D">
        <w:t>请求提供电信援助的缔约国应具体说明所需援助的范围和类型</w:t>
      </w:r>
      <w:r>
        <w:rPr>
          <w:rFonts w:hint="eastAsia"/>
        </w:rPr>
        <w:t>”</w:t>
      </w:r>
      <w:r w:rsidRPr="00C9480D">
        <w:t>)</w:t>
      </w:r>
      <w:r w:rsidRPr="00C9480D">
        <w:t>。</w:t>
      </w:r>
    </w:p>
  </w:footnote>
  <w:footnote w:id="226">
    <w:p w:rsidR="00AB00DE" w:rsidRPr="00C9480D" w:rsidRDefault="00AB00DE" w:rsidP="00765E0D">
      <w:pPr>
        <w:pStyle w:val="a4"/>
        <w:widowControl w:val="0"/>
        <w:autoSpaceDE w:val="0"/>
        <w:autoSpaceDN w:val="0"/>
      </w:pPr>
      <w:r w:rsidRPr="00C9480D">
        <w:tab/>
      </w:r>
      <w:r w:rsidRPr="00DF5565">
        <w:rPr>
          <w:rStyle w:val="a5"/>
        </w:rPr>
        <w:footnoteRef/>
      </w:r>
      <w:r>
        <w:tab/>
      </w:r>
      <w:r w:rsidRPr="00C9480D">
        <w:t>由红十字会与红新月会国际联合会、人道主义事务协调厅和各国议会联盟拟定，</w:t>
      </w:r>
      <w:r w:rsidRPr="00C9480D">
        <w:t>2013</w:t>
      </w:r>
      <w:r w:rsidRPr="00C9480D">
        <w:t>年。</w:t>
      </w:r>
    </w:p>
  </w:footnote>
  <w:footnote w:id="227">
    <w:p w:rsidR="00AB00DE" w:rsidRPr="00C9480D" w:rsidRDefault="00AB00DE" w:rsidP="00B95A94">
      <w:pPr>
        <w:pStyle w:val="a4"/>
        <w:widowControl w:val="0"/>
        <w:autoSpaceDE w:val="0"/>
        <w:autoSpaceDN w:val="0"/>
      </w:pPr>
      <w:r w:rsidRPr="00C9480D">
        <w:tab/>
      </w:r>
      <w:r w:rsidRPr="00DF5565">
        <w:rPr>
          <w:rStyle w:val="a5"/>
        </w:rPr>
        <w:footnoteRef/>
      </w:r>
      <w:r>
        <w:tab/>
      </w:r>
      <w:r w:rsidRPr="00C9480D">
        <w:t>例如，见《框架公约》第</w:t>
      </w:r>
      <w:r w:rsidRPr="00C9480D">
        <w:t>4</w:t>
      </w:r>
      <w:r w:rsidRPr="00C9480D">
        <w:t>条第</w:t>
      </w:r>
      <w:r w:rsidRPr="00C9480D">
        <w:t>5</w:t>
      </w:r>
      <w:r w:rsidRPr="00C9480D">
        <w:t>款</w:t>
      </w:r>
      <w:r>
        <w:t>(</w:t>
      </w:r>
      <w:r>
        <w:rPr>
          <w:rFonts w:hint="eastAsia"/>
        </w:rPr>
        <w:t>“</w:t>
      </w:r>
      <w:r w:rsidRPr="00C9480D">
        <w:t>受益国应在国家法律的框架之内，提供实施援助所必需的所有特权、豁免和便利</w:t>
      </w:r>
      <w:r>
        <w:rPr>
          <w:rFonts w:hint="eastAsia"/>
        </w:rPr>
        <w:t>”</w:t>
      </w:r>
      <w:r>
        <w:t>)</w:t>
      </w:r>
      <w:r w:rsidRPr="00C9480D">
        <w:t>。</w:t>
      </w:r>
    </w:p>
  </w:footnote>
  <w:footnote w:id="228">
    <w:p w:rsidR="00AB00DE" w:rsidRPr="00C9480D" w:rsidRDefault="00AB00DE" w:rsidP="00B95A94">
      <w:pPr>
        <w:pStyle w:val="a4"/>
        <w:widowControl w:val="0"/>
        <w:autoSpaceDE w:val="0"/>
        <w:autoSpaceDN w:val="0"/>
        <w:rPr>
          <w:lang w:bidi="x-none"/>
        </w:rPr>
      </w:pPr>
      <w:r w:rsidRPr="00C9480D">
        <w:tab/>
      </w:r>
      <w:r w:rsidRPr="00DF5565">
        <w:rPr>
          <w:rStyle w:val="a5"/>
        </w:rPr>
        <w:footnoteRef/>
      </w:r>
      <w:r w:rsidRPr="00C9480D">
        <w:tab/>
      </w:r>
      <w:r w:rsidRPr="00C9480D">
        <w:t>红十字会协会早就指出，</w:t>
      </w:r>
      <w:r>
        <w:rPr>
          <w:rFonts w:hint="eastAsia"/>
        </w:rPr>
        <w:t>“</w:t>
      </w:r>
      <w:r w:rsidRPr="00C9480D">
        <w:t>救灾代表和团队获得签证的程序仍然十分耗时，往往延误了派遣这些代表和团队的时间</w:t>
      </w:r>
      <w:r>
        <w:rPr>
          <w:rFonts w:hint="eastAsia"/>
        </w:rPr>
        <w:t>”</w:t>
      </w:r>
      <w:r w:rsidRPr="00C9480D">
        <w:t>，因此延误受灾国有义务提供的重要援助。</w:t>
      </w:r>
      <w:r w:rsidRPr="00C9480D">
        <w:t>1975</w:t>
      </w:r>
      <w:r w:rsidRPr="00C9480D">
        <w:t>年</w:t>
      </w:r>
      <w:r w:rsidRPr="00C9480D">
        <w:t>10</w:t>
      </w:r>
      <w:r w:rsidRPr="00C9480D">
        <w:t>月</w:t>
      </w:r>
      <w:r w:rsidRPr="00C9480D">
        <w:t>28</w:t>
      </w:r>
      <w:r w:rsidRPr="00C9480D">
        <w:t>日至</w:t>
      </w:r>
      <w:r w:rsidRPr="00C9480D">
        <w:t>11</w:t>
      </w:r>
      <w:r w:rsidRPr="00C9480D">
        <w:t>月</w:t>
      </w:r>
      <w:r w:rsidRPr="00C9480D">
        <w:t>1</w:t>
      </w:r>
      <w:r w:rsidRPr="00C9480D">
        <w:t>日在日内瓦举行的红十字会协会理事会第三十三届会议通过的第</w:t>
      </w:r>
      <w:r w:rsidRPr="00C9480D">
        <w:t>13</w:t>
      </w:r>
      <w:r w:rsidRPr="00C9480D">
        <w:t>号决议。</w:t>
      </w:r>
    </w:p>
  </w:footnote>
  <w:footnote w:id="229">
    <w:p w:rsidR="00AB00DE" w:rsidRPr="00C9480D" w:rsidRDefault="00AB00DE" w:rsidP="00B95A94">
      <w:pPr>
        <w:pStyle w:val="a4"/>
        <w:widowControl w:val="0"/>
        <w:autoSpaceDE w:val="0"/>
        <w:autoSpaceDN w:val="0"/>
        <w:rPr>
          <w:lang w:bidi="x-none"/>
        </w:rPr>
      </w:pPr>
      <w:r w:rsidRPr="00C9480D">
        <w:tab/>
      </w:r>
      <w:r w:rsidRPr="00DF5565">
        <w:rPr>
          <w:rStyle w:val="a5"/>
        </w:rPr>
        <w:footnoteRef/>
      </w:r>
      <w:r>
        <w:tab/>
      </w:r>
      <w:r w:rsidRPr="00C9480D">
        <w:t>见</w:t>
      </w:r>
      <w:r>
        <w:t>M</w:t>
      </w:r>
      <w:r>
        <w:rPr>
          <w:rFonts w:hint="eastAsia"/>
        </w:rPr>
        <w:t>.</w:t>
      </w:r>
      <w:r w:rsidRPr="00C9480D">
        <w:t xml:space="preserve"> El Baradei</w:t>
      </w:r>
      <w:r w:rsidRPr="00C9480D">
        <w:t>等著，《救灾行动示范规则》，政策和效能研究丛书第</w:t>
      </w:r>
      <w:r w:rsidRPr="00C9480D">
        <w:t>8</w:t>
      </w:r>
      <w:r>
        <w:t>号</w:t>
      </w:r>
      <w:r>
        <w:t>(</w:t>
      </w:r>
      <w:r w:rsidRPr="00C9480D">
        <w:t>联合国出售品编号</w:t>
      </w:r>
      <w:r w:rsidRPr="00C9480D">
        <w:t>E.82.XV.PE/8)</w:t>
      </w:r>
      <w:r w:rsidRPr="00C9480D">
        <w:t>，附件</w:t>
      </w:r>
      <w:r w:rsidRPr="00C9480D">
        <w:t>A</w:t>
      </w:r>
      <w:r w:rsidRPr="00C9480D">
        <w:t>规则</w:t>
      </w:r>
      <w:r w:rsidRPr="00C9480D">
        <w:t>16</w:t>
      </w:r>
      <w:r w:rsidRPr="00C9480D">
        <w:t>称，受灾国必须允许援助</w:t>
      </w:r>
      <w:r>
        <w:rPr>
          <w:rFonts w:hint="eastAsia"/>
        </w:rPr>
        <w:t>“</w:t>
      </w:r>
      <w:r w:rsidRPr="00C9480D">
        <w:t>人员自由进入履行其专门商定的职责而必须进入的灾区，并在灾区内自由通行</w:t>
      </w:r>
      <w:r>
        <w:rPr>
          <w:rFonts w:hint="eastAsia"/>
        </w:rPr>
        <w:t>”</w:t>
      </w:r>
      <w:r w:rsidRPr="00C9480D">
        <w:t>。</w:t>
      </w:r>
    </w:p>
  </w:footnote>
  <w:footnote w:id="230">
    <w:p w:rsidR="00AB00DE" w:rsidRPr="00C9480D" w:rsidRDefault="00AB00DE" w:rsidP="00765E0D">
      <w:pPr>
        <w:pStyle w:val="a4"/>
        <w:widowControl w:val="0"/>
        <w:autoSpaceDE w:val="0"/>
        <w:autoSpaceDN w:val="0"/>
        <w:rPr>
          <w:lang w:bidi="x-none"/>
        </w:rPr>
      </w:pPr>
      <w:r w:rsidRPr="00C9480D">
        <w:tab/>
      </w:r>
      <w:r w:rsidRPr="00DF5565">
        <w:rPr>
          <w:rStyle w:val="a5"/>
        </w:rPr>
        <w:footnoteRef/>
      </w:r>
      <w:r>
        <w:tab/>
      </w:r>
      <w:r w:rsidRPr="00C9480D">
        <w:t>各项国际条约都强调了这一点。例如，见《坦佩雷公约》第</w:t>
      </w:r>
      <w:r w:rsidRPr="00C9480D">
        <w:t>9</w:t>
      </w:r>
      <w:r w:rsidRPr="00C9480D">
        <w:t>条第</w:t>
      </w:r>
      <w:r w:rsidRPr="00C9480D">
        <w:t>4</w:t>
      </w:r>
      <w:r w:rsidRPr="00C9480D">
        <w:t>款以及《东盟协定》第</w:t>
      </w:r>
      <w:r w:rsidRPr="00C9480D">
        <w:t>14</w:t>
      </w:r>
      <w:r w:rsidRPr="00C9480D">
        <w:t>条</w:t>
      </w:r>
      <w:r w:rsidRPr="00C9480D">
        <w:t>b</w:t>
      </w:r>
      <w:r w:rsidRPr="00C9480D">
        <w:t>项。</w:t>
      </w:r>
    </w:p>
  </w:footnote>
  <w:footnote w:id="231">
    <w:p w:rsidR="00AB00DE" w:rsidRPr="00C9480D" w:rsidRDefault="00AB00DE" w:rsidP="00765E0D">
      <w:pPr>
        <w:pStyle w:val="a4"/>
        <w:widowControl w:val="0"/>
        <w:autoSpaceDE w:val="0"/>
        <w:autoSpaceDN w:val="0"/>
      </w:pPr>
      <w:r w:rsidRPr="00C9480D">
        <w:tab/>
      </w:r>
      <w:r w:rsidRPr="00DF5565">
        <w:rPr>
          <w:rStyle w:val="a5"/>
        </w:rPr>
        <w:footnoteRef/>
      </w:r>
      <w:r w:rsidRPr="00C9480D">
        <w:tab/>
      </w:r>
      <w:r w:rsidRPr="00C9480D">
        <w:t>经机构间常设委员会</w:t>
      </w:r>
      <w:r w:rsidRPr="00C9480D">
        <w:t>2013</w:t>
      </w:r>
      <w:r w:rsidRPr="00C9480D">
        <w:t>年</w:t>
      </w:r>
      <w:r w:rsidRPr="00C9480D">
        <w:t>2</w:t>
      </w:r>
      <w:r w:rsidRPr="00C9480D">
        <w:t>月</w:t>
      </w:r>
      <w:r w:rsidRPr="00C9480D">
        <w:t>27</w:t>
      </w:r>
      <w:r w:rsidRPr="00C9480D">
        <w:t>日核可。</w:t>
      </w:r>
    </w:p>
  </w:footnote>
  <w:footnote w:id="232">
    <w:p w:rsidR="00AB00DE" w:rsidRPr="00C9480D" w:rsidRDefault="00AB00DE" w:rsidP="00765E0D">
      <w:pPr>
        <w:pStyle w:val="a4"/>
        <w:widowControl w:val="0"/>
        <w:autoSpaceDE w:val="0"/>
        <w:autoSpaceDN w:val="0"/>
      </w:pPr>
      <w:r w:rsidRPr="00C9480D">
        <w:tab/>
      </w:r>
      <w:r w:rsidRPr="00DF5565">
        <w:rPr>
          <w:rStyle w:val="a5"/>
        </w:rPr>
        <w:footnoteRef/>
      </w:r>
      <w:r>
        <w:tab/>
      </w:r>
      <w:r w:rsidRPr="00C9480D">
        <w:t>见上文第</w:t>
      </w:r>
      <w:r w:rsidRPr="00C9480D">
        <w:t>14</w:t>
      </w:r>
      <w:r>
        <w:t>条草案的评注第</w:t>
      </w:r>
      <w:r>
        <w:t>(</w:t>
      </w:r>
      <w:r w:rsidRPr="00C9480D">
        <w:t>2</w:t>
      </w:r>
      <w:r>
        <w:t>)</w:t>
      </w:r>
      <w:r w:rsidRPr="00C9480D">
        <w:t>段。</w:t>
      </w:r>
    </w:p>
  </w:footnote>
  <w:footnote w:id="233">
    <w:p w:rsidR="00AB00DE" w:rsidRPr="00C41806" w:rsidRDefault="00AB00DE" w:rsidP="00765E0D">
      <w:pPr>
        <w:pStyle w:val="a4"/>
        <w:widowControl w:val="0"/>
        <w:autoSpaceDE w:val="0"/>
        <w:autoSpaceDN w:val="0"/>
      </w:pPr>
      <w:r>
        <w:tab/>
      </w:r>
      <w:r w:rsidRPr="00DF5565">
        <w:rPr>
          <w:rStyle w:val="a5"/>
        </w:rPr>
        <w:footnoteRef/>
      </w:r>
      <w:r>
        <w:tab/>
      </w:r>
      <w:r w:rsidRPr="000B1473">
        <w:rPr>
          <w:rFonts w:hint="eastAsia"/>
        </w:rPr>
        <w:t>《</w:t>
      </w:r>
      <w:r w:rsidRPr="00A87A74">
        <w:rPr>
          <w:rFonts w:hint="eastAsia"/>
        </w:rPr>
        <w:t>1989</w:t>
      </w:r>
      <w:r w:rsidRPr="000B1473">
        <w:rPr>
          <w:rFonts w:hint="eastAsia"/>
        </w:rPr>
        <w:t>年</w:t>
      </w:r>
      <w:r>
        <w:rPr>
          <w:rFonts w:hint="eastAsia"/>
        </w:rPr>
        <w:t>……年鉴》第二卷第二</w:t>
      </w:r>
      <w:r w:rsidRPr="000B1473">
        <w:rPr>
          <w:rFonts w:hint="eastAsia"/>
        </w:rPr>
        <w:t>部</w:t>
      </w:r>
      <w:r>
        <w:rPr>
          <w:rFonts w:hint="eastAsia"/>
        </w:rPr>
        <w:t>，第</w:t>
      </w:r>
      <w:r w:rsidRPr="00CC43E2">
        <w:t>72</w:t>
      </w:r>
      <w:r>
        <w:rPr>
          <w:rFonts w:hint="eastAsia"/>
        </w:rPr>
        <w:t>段。</w:t>
      </w:r>
    </w:p>
  </w:footnote>
  <w:footnote w:id="234">
    <w:p w:rsidR="00AB00DE" w:rsidRPr="00CC43E2" w:rsidRDefault="00AB00DE" w:rsidP="00765E0D">
      <w:pPr>
        <w:pStyle w:val="a4"/>
        <w:widowControl w:val="0"/>
        <w:autoSpaceDE w:val="0"/>
        <w:autoSpaceDN w:val="0"/>
      </w:pPr>
      <w:r>
        <w:tab/>
      </w:r>
      <w:r w:rsidRPr="00DF5565">
        <w:rPr>
          <w:rStyle w:val="a5"/>
        </w:rPr>
        <w:footnoteRef/>
      </w:r>
      <w:r>
        <w:tab/>
      </w:r>
      <w:r w:rsidRPr="00C41806">
        <w:rPr>
          <w:rFonts w:hint="eastAsia"/>
        </w:rPr>
        <w:t>同上</w:t>
      </w:r>
      <w:r>
        <w:rPr>
          <w:rFonts w:hint="eastAsia"/>
        </w:rPr>
        <w:t>，</w:t>
      </w:r>
      <w:r w:rsidRPr="00CC43E2">
        <w:t>第</w:t>
      </w:r>
      <w:r w:rsidRPr="00CC43E2">
        <w:t>9</w:t>
      </w:r>
      <w:r w:rsidRPr="00CC43E2">
        <w:t>条草案评注第</w:t>
      </w:r>
      <w:r w:rsidRPr="00CC43E2">
        <w:t>(4)</w:t>
      </w:r>
      <w:r w:rsidRPr="00CC43E2">
        <w:t>段。</w:t>
      </w:r>
    </w:p>
  </w:footnote>
  <w:footnote w:id="235">
    <w:p w:rsidR="00AB00DE" w:rsidRPr="00C9480D" w:rsidRDefault="00AB00DE" w:rsidP="00765E0D">
      <w:pPr>
        <w:pStyle w:val="a4"/>
        <w:widowControl w:val="0"/>
        <w:autoSpaceDE w:val="0"/>
        <w:autoSpaceDN w:val="0"/>
      </w:pPr>
      <w:r w:rsidRPr="00C9480D">
        <w:tab/>
      </w:r>
      <w:r w:rsidRPr="00DF5565">
        <w:rPr>
          <w:rStyle w:val="a5"/>
        </w:rPr>
        <w:footnoteRef/>
      </w:r>
      <w:r w:rsidRPr="00DF5565">
        <w:rPr>
          <w:rStyle w:val="a5"/>
        </w:rPr>
        <w:tab/>
      </w:r>
      <w:r w:rsidRPr="00C9480D">
        <w:t>例如，见</w:t>
      </w:r>
      <w:r w:rsidRPr="00C9480D">
        <w:t>1965</w:t>
      </w:r>
      <w:r>
        <w:t>年《便利国际海上运输公约》</w:t>
      </w:r>
      <w:r>
        <w:t>(</w:t>
      </w:r>
      <w:r w:rsidRPr="00C9480D">
        <w:t>1978</w:t>
      </w:r>
      <w:r w:rsidRPr="00C9480D">
        <w:t>年修订</w:t>
      </w:r>
      <w:r>
        <w:t>)</w:t>
      </w:r>
      <w:r w:rsidRPr="00C9480D">
        <w:t>附件第</w:t>
      </w:r>
      <w:r w:rsidRPr="00C9480D">
        <w:t>5</w:t>
      </w:r>
      <w:r w:rsidRPr="00C9480D">
        <w:t>节</w:t>
      </w:r>
      <w:r w:rsidRPr="00C9480D">
        <w:t>F</w:t>
      </w:r>
      <w:r w:rsidRPr="00C9480D">
        <w:t>小节，联合国，《条约汇编》，第</w:t>
      </w:r>
      <w:r w:rsidRPr="00C9480D">
        <w:t>1110</w:t>
      </w:r>
      <w:r w:rsidRPr="00C9480D">
        <w:t>卷，第</w:t>
      </w:r>
      <w:r w:rsidRPr="00C9480D">
        <w:t>8564</w:t>
      </w:r>
      <w:r w:rsidRPr="00C9480D">
        <w:t>号，英文第</w:t>
      </w:r>
      <w:r w:rsidRPr="00C9480D">
        <w:t>318</w:t>
      </w:r>
      <w:r w:rsidRPr="00C9480D">
        <w:t>和第</w:t>
      </w:r>
      <w:r w:rsidRPr="00C9480D">
        <w:t>320</w:t>
      </w:r>
      <w:r w:rsidRPr="00C9480D">
        <w:t>页。</w:t>
      </w:r>
    </w:p>
  </w:footnote>
  <w:footnote w:id="236">
    <w:p w:rsidR="00AB00DE" w:rsidRPr="00C9480D" w:rsidRDefault="00AB00DE" w:rsidP="00765E0D">
      <w:pPr>
        <w:pStyle w:val="a4"/>
        <w:widowControl w:val="0"/>
        <w:autoSpaceDE w:val="0"/>
        <w:autoSpaceDN w:val="0"/>
      </w:pPr>
      <w:r>
        <w:rPr>
          <w:rFonts w:hint="eastAsia"/>
        </w:rPr>
        <w:tab/>
      </w:r>
      <w:r w:rsidRPr="00DF5565">
        <w:rPr>
          <w:rStyle w:val="a5"/>
        </w:rPr>
        <w:footnoteRef/>
      </w:r>
      <w:r w:rsidRPr="00C9480D">
        <w:tab/>
      </w:r>
      <w:r w:rsidRPr="00C9480D">
        <w:t>联合国，《条约汇编》，第</w:t>
      </w:r>
      <w:r w:rsidRPr="00C9480D">
        <w:t>1155</w:t>
      </w:r>
      <w:r w:rsidRPr="00C9480D">
        <w:t>卷，第</w:t>
      </w:r>
      <w:r w:rsidRPr="00C9480D">
        <w:t>18232</w:t>
      </w:r>
      <w:r w:rsidRPr="00C9480D">
        <w:t>号，英文第</w:t>
      </w:r>
      <w:r w:rsidRPr="00C9480D">
        <w:t>331</w:t>
      </w:r>
      <w:r w:rsidRPr="00C9480D">
        <w:t>页。</w:t>
      </w:r>
    </w:p>
  </w:footnote>
  <w:footnote w:id="237">
    <w:p w:rsidR="00AB00DE" w:rsidRPr="00C9480D" w:rsidRDefault="00AB00DE" w:rsidP="00765E0D">
      <w:pPr>
        <w:pStyle w:val="a4"/>
        <w:widowControl w:val="0"/>
        <w:autoSpaceDE w:val="0"/>
        <w:autoSpaceDN w:val="0"/>
      </w:pPr>
      <w:r>
        <w:rPr>
          <w:rFonts w:hint="eastAsia"/>
        </w:rPr>
        <w:tab/>
      </w:r>
      <w:r w:rsidRPr="00DF5565">
        <w:rPr>
          <w:rStyle w:val="a5"/>
        </w:rPr>
        <w:footnoteRef/>
      </w:r>
      <w:r>
        <w:tab/>
      </w:r>
      <w:r w:rsidRPr="00C9480D">
        <w:t>还见第</w:t>
      </w:r>
      <w:r w:rsidRPr="00C9480D">
        <w:t>3</w:t>
      </w:r>
      <w:r w:rsidRPr="00C9480D">
        <w:t>条</w:t>
      </w:r>
      <w:r w:rsidRPr="00C9480D">
        <w:t>(a)</w:t>
      </w:r>
      <w:r w:rsidRPr="00C9480D">
        <w:t>项草案评注第</w:t>
      </w:r>
      <w:r>
        <w:t>(10)</w:t>
      </w:r>
      <w:r w:rsidRPr="00C9480D">
        <w:t>段。</w:t>
      </w:r>
    </w:p>
  </w:footnote>
  <w:footnote w:id="238">
    <w:p w:rsidR="00AB00DE" w:rsidRPr="00C64929" w:rsidRDefault="00AB00DE" w:rsidP="00F709E3">
      <w:pPr>
        <w:pStyle w:val="a4"/>
        <w:rPr>
          <w:szCs w:val="18"/>
        </w:rPr>
      </w:pPr>
      <w:r w:rsidRPr="00C64929">
        <w:rPr>
          <w:szCs w:val="18"/>
        </w:rPr>
        <w:tab/>
      </w:r>
      <w:r w:rsidRPr="00C64929">
        <w:rPr>
          <w:rStyle w:val="a5"/>
        </w:rPr>
        <w:footnoteRef/>
      </w:r>
      <w:r w:rsidRPr="00C64929">
        <w:rPr>
          <w:szCs w:val="18"/>
        </w:rPr>
        <w:tab/>
      </w:r>
      <w:r w:rsidRPr="00C64929">
        <w:rPr>
          <w:szCs w:val="18"/>
        </w:rPr>
        <w:t>在</w:t>
      </w:r>
      <w:r w:rsidRPr="00C64929">
        <w:rPr>
          <w:szCs w:val="18"/>
        </w:rPr>
        <w:t>2012</w:t>
      </w:r>
      <w:r w:rsidRPr="00C64929">
        <w:rPr>
          <w:szCs w:val="18"/>
        </w:rPr>
        <w:t>年</w:t>
      </w:r>
      <w:r w:rsidRPr="00C64929">
        <w:rPr>
          <w:szCs w:val="18"/>
        </w:rPr>
        <w:t>5</w:t>
      </w:r>
      <w:r w:rsidRPr="00C64929">
        <w:rPr>
          <w:szCs w:val="18"/>
        </w:rPr>
        <w:t>月</w:t>
      </w:r>
      <w:r w:rsidRPr="00C64929">
        <w:rPr>
          <w:szCs w:val="18"/>
        </w:rPr>
        <w:t>22</w:t>
      </w:r>
      <w:r w:rsidRPr="00C64929">
        <w:rPr>
          <w:szCs w:val="18"/>
        </w:rPr>
        <w:t>日举行的第</w:t>
      </w:r>
      <w:r w:rsidRPr="00C64929">
        <w:rPr>
          <w:szCs w:val="18"/>
        </w:rPr>
        <w:t>3132</w:t>
      </w:r>
      <w:r w:rsidRPr="00C64929">
        <w:rPr>
          <w:szCs w:val="18"/>
        </w:rPr>
        <w:t>次会议上</w:t>
      </w:r>
      <w:r w:rsidRPr="00C64929">
        <w:rPr>
          <w:szCs w:val="18"/>
        </w:rPr>
        <w:t>(</w:t>
      </w:r>
      <w:r w:rsidRPr="00C64929">
        <w:rPr>
          <w:szCs w:val="18"/>
        </w:rPr>
        <w:t>《</w:t>
      </w:r>
      <w:r w:rsidRPr="00C64929">
        <w:rPr>
          <w:rFonts w:ascii="Time New Roman" w:eastAsia="楷体" w:hAnsi="Time New Roman"/>
          <w:szCs w:val="18"/>
        </w:rPr>
        <w:t>大会正式记录，第六十七届会议，补编第</w:t>
      </w:r>
      <w:r w:rsidRPr="00C64929">
        <w:rPr>
          <w:rFonts w:ascii="Time New Roman" w:eastAsia="楷体" w:hAnsi="Time New Roman"/>
          <w:szCs w:val="18"/>
        </w:rPr>
        <w:t>10</w:t>
      </w:r>
      <w:r w:rsidRPr="00C64929">
        <w:rPr>
          <w:rFonts w:ascii="Time New Roman" w:eastAsia="楷体" w:hAnsi="Time New Roman"/>
          <w:szCs w:val="18"/>
        </w:rPr>
        <w:t>号</w:t>
      </w:r>
      <w:r w:rsidRPr="00C64929">
        <w:rPr>
          <w:szCs w:val="18"/>
        </w:rPr>
        <w:t>》</w:t>
      </w:r>
      <w:r w:rsidRPr="00C64929">
        <w:rPr>
          <w:szCs w:val="18"/>
        </w:rPr>
        <w:t>(</w:t>
      </w:r>
      <w:hyperlink r:id="rId27" w:history="1">
        <w:r w:rsidRPr="00C64929">
          <w:rPr>
            <w:rStyle w:val="af"/>
            <w:szCs w:val="18"/>
          </w:rPr>
          <w:t>A/67/10</w:t>
        </w:r>
      </w:hyperlink>
      <w:r w:rsidRPr="00C64929">
        <w:rPr>
          <w:szCs w:val="18"/>
        </w:rPr>
        <w:t>)</w:t>
      </w:r>
      <w:r w:rsidRPr="00C64929">
        <w:rPr>
          <w:szCs w:val="18"/>
        </w:rPr>
        <w:t>，第</w:t>
      </w:r>
      <w:r w:rsidRPr="00C64929">
        <w:rPr>
          <w:szCs w:val="18"/>
        </w:rPr>
        <w:t>157</w:t>
      </w:r>
      <w:r w:rsidRPr="00C64929">
        <w:rPr>
          <w:szCs w:val="18"/>
        </w:rPr>
        <w:t>段</w:t>
      </w:r>
      <w:r w:rsidRPr="00C64929">
        <w:rPr>
          <w:szCs w:val="18"/>
        </w:rPr>
        <w:t>)</w:t>
      </w:r>
      <w:r w:rsidRPr="00C64929">
        <w:rPr>
          <w:szCs w:val="18"/>
        </w:rPr>
        <w:t>。大会在</w:t>
      </w:r>
      <w:r w:rsidRPr="00C64929">
        <w:rPr>
          <w:szCs w:val="18"/>
        </w:rPr>
        <w:t>2012</w:t>
      </w:r>
      <w:r w:rsidRPr="00C64929">
        <w:rPr>
          <w:szCs w:val="18"/>
        </w:rPr>
        <w:t>年</w:t>
      </w:r>
      <w:r w:rsidRPr="00C64929">
        <w:rPr>
          <w:szCs w:val="18"/>
        </w:rPr>
        <w:t>12</w:t>
      </w:r>
      <w:r w:rsidRPr="00C64929">
        <w:rPr>
          <w:szCs w:val="18"/>
        </w:rPr>
        <w:t>月</w:t>
      </w:r>
      <w:r w:rsidRPr="00C64929">
        <w:rPr>
          <w:szCs w:val="18"/>
        </w:rPr>
        <w:t>14</w:t>
      </w:r>
      <w:r w:rsidRPr="00C64929">
        <w:rPr>
          <w:szCs w:val="18"/>
        </w:rPr>
        <w:t>日第</w:t>
      </w:r>
      <w:r w:rsidRPr="00C64929">
        <w:rPr>
          <w:szCs w:val="18"/>
        </w:rPr>
        <w:t>67/92</w:t>
      </w:r>
      <w:r w:rsidRPr="00C64929">
        <w:rPr>
          <w:szCs w:val="18"/>
        </w:rPr>
        <w:t>号决议第</w:t>
      </w:r>
      <w:r w:rsidRPr="00C64929">
        <w:rPr>
          <w:szCs w:val="18"/>
        </w:rPr>
        <w:t>7</w:t>
      </w:r>
      <w:r w:rsidRPr="00C64929">
        <w:rPr>
          <w:szCs w:val="18"/>
        </w:rPr>
        <w:t>段中赞赏地注意到委员会决定将该专题列入工作方案。委员会第六十三届会议</w:t>
      </w:r>
      <w:r w:rsidRPr="00C64929">
        <w:rPr>
          <w:szCs w:val="18"/>
        </w:rPr>
        <w:t>(2011</w:t>
      </w:r>
      <w:r w:rsidRPr="00C64929">
        <w:rPr>
          <w:szCs w:val="18"/>
        </w:rPr>
        <w:t>年</w:t>
      </w:r>
      <w:r w:rsidRPr="00C64929">
        <w:rPr>
          <w:szCs w:val="18"/>
        </w:rPr>
        <w:t>)</w:t>
      </w:r>
      <w:r w:rsidRPr="00C64929">
        <w:rPr>
          <w:szCs w:val="18"/>
        </w:rPr>
        <w:t>按照委员会报告附件</w:t>
      </w:r>
      <w:r w:rsidRPr="00C64929">
        <w:rPr>
          <w:szCs w:val="18"/>
        </w:rPr>
        <w:t>A</w:t>
      </w:r>
      <w:r w:rsidRPr="00C64929">
        <w:rPr>
          <w:szCs w:val="18"/>
        </w:rPr>
        <w:t>所载的建议</w:t>
      </w:r>
      <w:r w:rsidRPr="00C64929">
        <w:rPr>
          <w:szCs w:val="18"/>
        </w:rPr>
        <w:t>(</w:t>
      </w:r>
      <w:r w:rsidRPr="00C64929">
        <w:rPr>
          <w:szCs w:val="18"/>
        </w:rPr>
        <w:t>《</w:t>
      </w:r>
      <w:r w:rsidRPr="00C64929">
        <w:rPr>
          <w:rFonts w:ascii="Time New Roman" w:eastAsia="楷体" w:hAnsi="Time New Roman"/>
          <w:szCs w:val="18"/>
        </w:rPr>
        <w:t>大会正式记录，第六十六届会议，补编第</w:t>
      </w:r>
      <w:r w:rsidRPr="00C64929">
        <w:rPr>
          <w:rFonts w:ascii="Time New Roman" w:eastAsia="楷体" w:hAnsi="Time New Roman"/>
          <w:szCs w:val="18"/>
        </w:rPr>
        <w:t>10</w:t>
      </w:r>
      <w:r w:rsidRPr="00C64929">
        <w:rPr>
          <w:rFonts w:ascii="Time New Roman" w:eastAsia="楷体" w:hAnsi="Time New Roman"/>
          <w:szCs w:val="18"/>
        </w:rPr>
        <w:t>号</w:t>
      </w:r>
      <w:r w:rsidRPr="00C64929">
        <w:rPr>
          <w:szCs w:val="18"/>
        </w:rPr>
        <w:t>》</w:t>
      </w:r>
      <w:r w:rsidRPr="00C64929">
        <w:rPr>
          <w:szCs w:val="18"/>
        </w:rPr>
        <w:t>(</w:t>
      </w:r>
      <w:hyperlink r:id="rId28" w:history="1">
        <w:r w:rsidRPr="00C64929">
          <w:rPr>
            <w:rStyle w:val="af"/>
            <w:szCs w:val="18"/>
          </w:rPr>
          <w:t>A/66/10</w:t>
        </w:r>
      </w:hyperlink>
      <w:r w:rsidRPr="00C64929">
        <w:rPr>
          <w:szCs w:val="18"/>
        </w:rPr>
        <w:t>)</w:t>
      </w:r>
      <w:r w:rsidRPr="00C64929">
        <w:rPr>
          <w:rFonts w:hint="eastAsia"/>
          <w:szCs w:val="18"/>
        </w:rPr>
        <w:t>，第</w:t>
      </w:r>
      <w:r w:rsidRPr="00C64929">
        <w:rPr>
          <w:rFonts w:hint="eastAsia"/>
          <w:szCs w:val="18"/>
        </w:rPr>
        <w:t>305-314</w:t>
      </w:r>
      <w:r w:rsidRPr="00C64929">
        <w:rPr>
          <w:rFonts w:hint="eastAsia"/>
          <w:szCs w:val="18"/>
        </w:rPr>
        <w:t>页</w:t>
      </w:r>
      <w:r w:rsidRPr="00C64929">
        <w:rPr>
          <w:szCs w:val="18"/>
        </w:rPr>
        <w:t>)</w:t>
      </w:r>
      <w:r w:rsidRPr="00C64929">
        <w:rPr>
          <w:szCs w:val="18"/>
        </w:rPr>
        <w:t>将该专题列入长期工作方案。</w:t>
      </w:r>
    </w:p>
  </w:footnote>
  <w:footnote w:id="239">
    <w:p w:rsidR="00AB00DE" w:rsidRPr="00C64929" w:rsidRDefault="00AB00DE" w:rsidP="00F709E3">
      <w:pPr>
        <w:pStyle w:val="a4"/>
        <w:rPr>
          <w:szCs w:val="18"/>
        </w:rPr>
      </w:pPr>
      <w:r w:rsidRPr="00C64929">
        <w:rPr>
          <w:szCs w:val="18"/>
        </w:rPr>
        <w:tab/>
      </w:r>
      <w:r w:rsidRPr="00C64929">
        <w:rPr>
          <w:rStyle w:val="a5"/>
        </w:rPr>
        <w:footnoteRef/>
      </w:r>
      <w:r w:rsidRPr="00C64929">
        <w:rPr>
          <w:szCs w:val="18"/>
        </w:rPr>
        <w:tab/>
      </w:r>
      <w:r w:rsidRPr="00C64929">
        <w:rPr>
          <w:szCs w:val="18"/>
        </w:rPr>
        <w:t>《</w:t>
      </w:r>
      <w:r w:rsidRPr="00C64929">
        <w:rPr>
          <w:rFonts w:ascii="Time New Roman" w:eastAsia="楷体" w:hAnsi="Time New Roman"/>
          <w:szCs w:val="18"/>
        </w:rPr>
        <w:t>大会正式记录，第六十七届会议，补编第</w:t>
      </w:r>
      <w:r w:rsidRPr="00C64929">
        <w:rPr>
          <w:rFonts w:ascii="Time New Roman" w:eastAsia="楷体" w:hAnsi="Time New Roman"/>
          <w:szCs w:val="18"/>
        </w:rPr>
        <w:t>10</w:t>
      </w:r>
      <w:r w:rsidRPr="00C64929">
        <w:rPr>
          <w:rFonts w:ascii="Time New Roman" w:eastAsia="楷体" w:hAnsi="Time New Roman"/>
          <w:szCs w:val="18"/>
        </w:rPr>
        <w:t>号</w:t>
      </w:r>
      <w:r w:rsidRPr="00C64929">
        <w:rPr>
          <w:szCs w:val="18"/>
        </w:rPr>
        <w:t>》</w:t>
      </w:r>
      <w:r w:rsidRPr="00C64929">
        <w:rPr>
          <w:szCs w:val="18"/>
        </w:rPr>
        <w:t>(</w:t>
      </w:r>
      <w:hyperlink r:id="rId29" w:history="1">
        <w:r w:rsidRPr="00C64929">
          <w:rPr>
            <w:rStyle w:val="af"/>
            <w:szCs w:val="18"/>
          </w:rPr>
          <w:t>A/67/10</w:t>
        </w:r>
      </w:hyperlink>
      <w:r w:rsidRPr="00C64929">
        <w:rPr>
          <w:szCs w:val="18"/>
        </w:rPr>
        <w:t>)</w:t>
      </w:r>
      <w:r w:rsidRPr="00C64929">
        <w:rPr>
          <w:szCs w:val="18"/>
        </w:rPr>
        <w:t>，第</w:t>
      </w:r>
      <w:r w:rsidRPr="00C64929">
        <w:rPr>
          <w:szCs w:val="18"/>
        </w:rPr>
        <w:t>157-202</w:t>
      </w:r>
      <w:r w:rsidRPr="00C64929">
        <w:rPr>
          <w:szCs w:val="18"/>
        </w:rPr>
        <w:t>段。</w:t>
      </w:r>
    </w:p>
  </w:footnote>
  <w:footnote w:id="240">
    <w:p w:rsidR="00AB00DE" w:rsidRPr="00C64929" w:rsidRDefault="00AB00DE" w:rsidP="00F709E3">
      <w:pPr>
        <w:pStyle w:val="a4"/>
        <w:rPr>
          <w:szCs w:val="18"/>
        </w:rPr>
      </w:pPr>
      <w:r w:rsidRPr="00C64929">
        <w:rPr>
          <w:szCs w:val="18"/>
        </w:rPr>
        <w:tab/>
      </w:r>
      <w:r w:rsidRPr="00C64929">
        <w:rPr>
          <w:rStyle w:val="a5"/>
        </w:rPr>
        <w:footnoteRef/>
      </w:r>
      <w:r w:rsidRPr="00C64929">
        <w:rPr>
          <w:szCs w:val="18"/>
        </w:rPr>
        <w:tab/>
      </w:r>
      <w:r w:rsidRPr="00C64929">
        <w:rPr>
          <w:rFonts w:ascii="Time New Roman" w:eastAsia="楷体" w:hAnsi="Time New Roman"/>
          <w:szCs w:val="18"/>
        </w:rPr>
        <w:t>同上</w:t>
      </w:r>
      <w:r w:rsidRPr="00C64929">
        <w:rPr>
          <w:szCs w:val="18"/>
        </w:rPr>
        <w:t>，第</w:t>
      </w:r>
      <w:r w:rsidRPr="00C64929">
        <w:rPr>
          <w:szCs w:val="18"/>
        </w:rPr>
        <w:t>159</w:t>
      </w:r>
      <w:r w:rsidRPr="00C64929">
        <w:rPr>
          <w:szCs w:val="18"/>
        </w:rPr>
        <w:t>段。</w:t>
      </w:r>
    </w:p>
  </w:footnote>
  <w:footnote w:id="241">
    <w:p w:rsidR="00AB00DE" w:rsidRPr="00C64929" w:rsidRDefault="00AB00DE" w:rsidP="00F709E3">
      <w:pPr>
        <w:pStyle w:val="a4"/>
        <w:rPr>
          <w:szCs w:val="18"/>
        </w:rPr>
      </w:pPr>
      <w:r w:rsidRPr="00C64929">
        <w:rPr>
          <w:szCs w:val="18"/>
        </w:rPr>
        <w:tab/>
      </w:r>
      <w:r w:rsidRPr="00C64929">
        <w:rPr>
          <w:rStyle w:val="a5"/>
        </w:rPr>
        <w:footnoteRef/>
      </w:r>
      <w:r w:rsidRPr="00C64929">
        <w:rPr>
          <w:szCs w:val="18"/>
        </w:rPr>
        <w:tab/>
      </w:r>
      <w:r w:rsidRPr="00C64929">
        <w:rPr>
          <w:szCs w:val="18"/>
        </w:rPr>
        <w:t>《</w:t>
      </w:r>
      <w:r w:rsidRPr="00C64929">
        <w:rPr>
          <w:rFonts w:ascii="Time New Roman" w:eastAsia="楷体" w:hAnsi="Time New Roman"/>
          <w:szCs w:val="18"/>
        </w:rPr>
        <w:t>大会正式记录，第六十八届会议，补编第</w:t>
      </w:r>
      <w:r w:rsidRPr="00C64929">
        <w:rPr>
          <w:rFonts w:ascii="Time New Roman" w:eastAsia="楷体" w:hAnsi="Time New Roman"/>
          <w:szCs w:val="18"/>
        </w:rPr>
        <w:t>10</w:t>
      </w:r>
      <w:r w:rsidRPr="00C64929">
        <w:rPr>
          <w:rFonts w:ascii="Time New Roman" w:eastAsia="楷体" w:hAnsi="Time New Roman"/>
          <w:szCs w:val="18"/>
        </w:rPr>
        <w:t>号</w:t>
      </w:r>
      <w:r w:rsidRPr="00C64929">
        <w:rPr>
          <w:szCs w:val="18"/>
        </w:rPr>
        <w:t>》</w:t>
      </w:r>
      <w:r w:rsidRPr="00C64929">
        <w:rPr>
          <w:szCs w:val="18"/>
        </w:rPr>
        <w:t>(</w:t>
      </w:r>
      <w:hyperlink r:id="rId30" w:history="1">
        <w:r w:rsidRPr="00C64929">
          <w:rPr>
            <w:rStyle w:val="af"/>
            <w:szCs w:val="18"/>
          </w:rPr>
          <w:t>A/68/10</w:t>
        </w:r>
      </w:hyperlink>
      <w:r w:rsidRPr="00C64929">
        <w:rPr>
          <w:szCs w:val="18"/>
        </w:rPr>
        <w:t>)</w:t>
      </w:r>
      <w:r w:rsidRPr="00C64929">
        <w:rPr>
          <w:szCs w:val="18"/>
        </w:rPr>
        <w:t>，第</w:t>
      </w:r>
      <w:r w:rsidRPr="00C64929">
        <w:rPr>
          <w:szCs w:val="18"/>
        </w:rPr>
        <w:t>64</w:t>
      </w:r>
      <w:r w:rsidRPr="00C64929">
        <w:rPr>
          <w:szCs w:val="18"/>
        </w:rPr>
        <w:t>段。</w:t>
      </w:r>
    </w:p>
  </w:footnote>
  <w:footnote w:id="242">
    <w:p w:rsidR="00AB00DE" w:rsidRPr="00C64929" w:rsidRDefault="00AB00DE" w:rsidP="00F709E3">
      <w:pPr>
        <w:pStyle w:val="a4"/>
        <w:rPr>
          <w:szCs w:val="18"/>
        </w:rPr>
      </w:pPr>
      <w:r w:rsidRPr="00C64929">
        <w:rPr>
          <w:szCs w:val="18"/>
        </w:rPr>
        <w:tab/>
      </w:r>
      <w:r w:rsidRPr="00C64929">
        <w:rPr>
          <w:rStyle w:val="a5"/>
        </w:rPr>
        <w:footnoteRef/>
      </w:r>
      <w:r w:rsidRPr="00C64929">
        <w:rPr>
          <w:szCs w:val="18"/>
        </w:rPr>
        <w:tab/>
      </w:r>
      <w:r w:rsidRPr="00C64929">
        <w:rPr>
          <w:szCs w:val="18"/>
        </w:rPr>
        <w:t>《</w:t>
      </w:r>
      <w:r w:rsidRPr="00C64929">
        <w:rPr>
          <w:rFonts w:ascii="Time New Roman" w:eastAsia="楷体" w:hAnsi="Time New Roman"/>
          <w:szCs w:val="18"/>
        </w:rPr>
        <w:t>大会正式记录，第六十九届会议，补编第</w:t>
      </w:r>
      <w:r w:rsidRPr="00C64929">
        <w:rPr>
          <w:rFonts w:ascii="Time New Roman" w:eastAsia="楷体" w:hAnsi="Time New Roman"/>
          <w:szCs w:val="18"/>
        </w:rPr>
        <w:t>10</w:t>
      </w:r>
      <w:r w:rsidRPr="00C64929">
        <w:rPr>
          <w:rFonts w:ascii="Time New Roman" w:eastAsia="楷体" w:hAnsi="Time New Roman"/>
          <w:szCs w:val="18"/>
        </w:rPr>
        <w:t>号</w:t>
      </w:r>
      <w:r w:rsidRPr="00C64929">
        <w:rPr>
          <w:szCs w:val="18"/>
        </w:rPr>
        <w:t>》</w:t>
      </w:r>
      <w:r w:rsidRPr="00C64929">
        <w:rPr>
          <w:szCs w:val="18"/>
        </w:rPr>
        <w:t>(</w:t>
      </w:r>
      <w:hyperlink r:id="rId31" w:history="1">
        <w:r w:rsidRPr="00C64929">
          <w:rPr>
            <w:rStyle w:val="af"/>
            <w:szCs w:val="18"/>
          </w:rPr>
          <w:t>A/69/10</w:t>
        </w:r>
      </w:hyperlink>
      <w:r w:rsidRPr="00C64929">
        <w:rPr>
          <w:szCs w:val="18"/>
        </w:rPr>
        <w:t>)</w:t>
      </w:r>
      <w:r w:rsidRPr="00C64929">
        <w:rPr>
          <w:szCs w:val="18"/>
        </w:rPr>
        <w:t>，第</w:t>
      </w:r>
      <w:r w:rsidRPr="00C64929">
        <w:rPr>
          <w:szCs w:val="18"/>
        </w:rPr>
        <w:t>135</w:t>
      </w:r>
      <w:r w:rsidRPr="00C64929">
        <w:rPr>
          <w:szCs w:val="18"/>
        </w:rPr>
        <w:t>段。</w:t>
      </w:r>
    </w:p>
  </w:footnote>
  <w:footnote w:id="243">
    <w:p w:rsidR="00AB00DE" w:rsidRPr="00C64929" w:rsidRDefault="00AB00DE" w:rsidP="00F709E3">
      <w:pPr>
        <w:pStyle w:val="a4"/>
        <w:rPr>
          <w:szCs w:val="18"/>
        </w:rPr>
      </w:pPr>
      <w:r w:rsidRPr="00C64929">
        <w:rPr>
          <w:rFonts w:hint="eastAsia"/>
          <w:szCs w:val="18"/>
        </w:rPr>
        <w:tab/>
      </w:r>
      <w:r w:rsidRPr="00C64929">
        <w:rPr>
          <w:rStyle w:val="a5"/>
        </w:rPr>
        <w:footnoteRef/>
      </w:r>
      <w:r w:rsidRPr="00C64929">
        <w:rPr>
          <w:rFonts w:hint="eastAsia"/>
          <w:szCs w:val="18"/>
        </w:rPr>
        <w:tab/>
      </w:r>
      <w:r w:rsidRPr="00C64929">
        <w:rPr>
          <w:szCs w:val="18"/>
        </w:rPr>
        <w:t>《</w:t>
      </w:r>
      <w:r w:rsidRPr="00C64929">
        <w:rPr>
          <w:rFonts w:ascii="Time New Roman" w:eastAsia="楷体" w:hAnsi="Time New Roman"/>
          <w:szCs w:val="18"/>
        </w:rPr>
        <w:t>大会正式记录，第</w:t>
      </w:r>
      <w:r w:rsidRPr="00C64929">
        <w:rPr>
          <w:rFonts w:ascii="Time New Roman" w:eastAsia="楷体" w:hAnsi="Time New Roman" w:hint="eastAsia"/>
          <w:szCs w:val="18"/>
        </w:rPr>
        <w:t>七</w:t>
      </w:r>
      <w:r w:rsidRPr="00C64929">
        <w:rPr>
          <w:rFonts w:ascii="Time New Roman" w:eastAsia="楷体" w:hAnsi="Time New Roman"/>
          <w:szCs w:val="18"/>
        </w:rPr>
        <w:t>十届会议，补编第</w:t>
      </w:r>
      <w:r w:rsidRPr="00C64929">
        <w:rPr>
          <w:rFonts w:ascii="Time New Roman" w:eastAsia="楷体" w:hAnsi="Time New Roman"/>
          <w:szCs w:val="18"/>
        </w:rPr>
        <w:t>10</w:t>
      </w:r>
      <w:r w:rsidRPr="00C64929">
        <w:rPr>
          <w:rFonts w:ascii="Time New Roman" w:eastAsia="楷体" w:hAnsi="Time New Roman"/>
          <w:szCs w:val="18"/>
        </w:rPr>
        <w:t>号</w:t>
      </w:r>
      <w:r w:rsidRPr="00C64929">
        <w:rPr>
          <w:szCs w:val="18"/>
        </w:rPr>
        <w:t>》</w:t>
      </w:r>
      <w:r w:rsidRPr="00C64929">
        <w:rPr>
          <w:szCs w:val="18"/>
        </w:rPr>
        <w:t>(</w:t>
      </w:r>
      <w:hyperlink r:id="rId32" w:history="1">
        <w:r w:rsidRPr="00C64929">
          <w:rPr>
            <w:rStyle w:val="af"/>
            <w:szCs w:val="18"/>
          </w:rPr>
          <w:t>A/</w:t>
        </w:r>
        <w:r w:rsidRPr="00C64929">
          <w:rPr>
            <w:rStyle w:val="af"/>
            <w:rFonts w:hint="eastAsia"/>
            <w:szCs w:val="18"/>
          </w:rPr>
          <w:t>70</w:t>
        </w:r>
        <w:r w:rsidRPr="00C64929">
          <w:rPr>
            <w:rStyle w:val="af"/>
            <w:szCs w:val="18"/>
          </w:rPr>
          <w:t>/10</w:t>
        </w:r>
      </w:hyperlink>
      <w:r w:rsidRPr="00C64929">
        <w:rPr>
          <w:szCs w:val="18"/>
        </w:rPr>
        <w:t>)</w:t>
      </w:r>
      <w:r w:rsidRPr="00C64929">
        <w:rPr>
          <w:szCs w:val="18"/>
        </w:rPr>
        <w:t>，第</w:t>
      </w:r>
      <w:r w:rsidRPr="00C64929">
        <w:rPr>
          <w:rFonts w:hint="eastAsia"/>
          <w:szCs w:val="18"/>
        </w:rPr>
        <w:t>60</w:t>
      </w:r>
      <w:r w:rsidRPr="00C64929">
        <w:rPr>
          <w:szCs w:val="18"/>
        </w:rPr>
        <w:t>段。</w:t>
      </w:r>
    </w:p>
  </w:footnote>
  <w:footnote w:id="244">
    <w:p w:rsidR="00AB00DE" w:rsidRPr="00C64929" w:rsidRDefault="00AB00DE" w:rsidP="00F709E3">
      <w:pPr>
        <w:pStyle w:val="a4"/>
        <w:rPr>
          <w:szCs w:val="18"/>
        </w:rPr>
      </w:pPr>
      <w:r w:rsidRPr="00C64929">
        <w:rPr>
          <w:rFonts w:hint="eastAsia"/>
          <w:szCs w:val="18"/>
        </w:rPr>
        <w:tab/>
      </w:r>
      <w:r w:rsidRPr="00C64929">
        <w:rPr>
          <w:rStyle w:val="a5"/>
        </w:rPr>
        <w:footnoteRef/>
      </w:r>
      <w:r w:rsidRPr="00C64929">
        <w:rPr>
          <w:rFonts w:hint="eastAsia"/>
          <w:szCs w:val="18"/>
        </w:rPr>
        <w:tab/>
      </w:r>
      <w:r w:rsidRPr="00C64929">
        <w:rPr>
          <w:rFonts w:hint="eastAsia"/>
          <w:szCs w:val="18"/>
        </w:rPr>
        <w:t>同上，第</w:t>
      </w:r>
      <w:r w:rsidRPr="00C64929">
        <w:rPr>
          <w:rFonts w:hint="eastAsia"/>
          <w:szCs w:val="18"/>
        </w:rPr>
        <w:t>61</w:t>
      </w:r>
      <w:r w:rsidRPr="00C64929">
        <w:rPr>
          <w:rFonts w:hint="eastAsia"/>
          <w:szCs w:val="18"/>
        </w:rPr>
        <w:t>段。</w:t>
      </w:r>
    </w:p>
  </w:footnote>
  <w:footnote w:id="245">
    <w:p w:rsidR="00AB00DE" w:rsidRPr="00F709E3" w:rsidRDefault="00AB00DE" w:rsidP="00F709E3">
      <w:pPr>
        <w:pStyle w:val="a4"/>
        <w:rPr>
          <w:szCs w:val="18"/>
        </w:rPr>
      </w:pPr>
      <w:r w:rsidRPr="00F709E3">
        <w:rPr>
          <w:szCs w:val="18"/>
        </w:rPr>
        <w:tab/>
      </w:r>
      <w:r w:rsidRPr="00DF5565">
        <w:rPr>
          <w:rStyle w:val="a5"/>
        </w:rPr>
        <w:footnoteRef/>
      </w:r>
      <w:r w:rsidRPr="00F709E3">
        <w:rPr>
          <w:szCs w:val="18"/>
        </w:rPr>
        <w:tab/>
      </w:r>
      <w:r w:rsidRPr="00F709E3">
        <w:rPr>
          <w:rFonts w:hint="eastAsia"/>
          <w:szCs w:val="18"/>
        </w:rPr>
        <w:t>见关于习惯国际法的</w:t>
      </w:r>
      <w:r w:rsidRPr="00C64929">
        <w:rPr>
          <w:rFonts w:hint="eastAsia"/>
          <w:szCs w:val="18"/>
        </w:rPr>
        <w:t>识别的第四次报告</w:t>
      </w:r>
      <w:r w:rsidRPr="00C64929">
        <w:rPr>
          <w:szCs w:val="18"/>
        </w:rPr>
        <w:t>(</w:t>
      </w:r>
      <w:hyperlink r:id="rId33" w:history="1">
        <w:r w:rsidRPr="00C64929">
          <w:rPr>
            <w:rStyle w:val="af"/>
            <w:szCs w:val="18"/>
          </w:rPr>
          <w:t>A/CN.4/695</w:t>
        </w:r>
      </w:hyperlink>
      <w:r w:rsidRPr="00C64929">
        <w:rPr>
          <w:szCs w:val="18"/>
        </w:rPr>
        <w:t>)</w:t>
      </w:r>
      <w:r w:rsidRPr="00C64929">
        <w:rPr>
          <w:rFonts w:hint="eastAsia"/>
          <w:szCs w:val="18"/>
        </w:rPr>
        <w:t>，附件结论草案</w:t>
      </w:r>
      <w:r w:rsidRPr="00C64929">
        <w:rPr>
          <w:szCs w:val="18"/>
        </w:rPr>
        <w:t>3(</w:t>
      </w:r>
      <w:r w:rsidRPr="00C64929">
        <w:rPr>
          <w:rFonts w:ascii="宋体" w:hAnsi="宋体" w:cs="宋体" w:hint="eastAsia"/>
          <w:szCs w:val="18"/>
        </w:rPr>
        <w:t>评估两个要素的证据</w:t>
      </w:r>
      <w:r w:rsidRPr="00C64929">
        <w:rPr>
          <w:szCs w:val="18"/>
        </w:rPr>
        <w:t>)</w:t>
      </w:r>
      <w:r w:rsidRPr="00C64929">
        <w:rPr>
          <w:rFonts w:hint="eastAsia"/>
          <w:szCs w:val="18"/>
        </w:rPr>
        <w:t>、结论草案</w:t>
      </w:r>
      <w:r w:rsidRPr="00C64929">
        <w:rPr>
          <w:szCs w:val="18"/>
        </w:rPr>
        <w:t>4(</w:t>
      </w:r>
      <w:r w:rsidRPr="00C64929">
        <w:rPr>
          <w:rFonts w:ascii="宋体" w:hAnsi="宋体" w:cs="宋体" w:hint="eastAsia"/>
          <w:szCs w:val="18"/>
        </w:rPr>
        <w:t>惯例的要求</w:t>
      </w:r>
      <w:r w:rsidRPr="00C64929">
        <w:rPr>
          <w:rFonts w:hint="eastAsia"/>
          <w:szCs w:val="18"/>
        </w:rPr>
        <w:t>)</w:t>
      </w:r>
      <w:r w:rsidRPr="00C64929">
        <w:rPr>
          <w:rFonts w:ascii="宋体" w:hAnsi="宋体" w:cs="宋体" w:hint="eastAsia"/>
          <w:szCs w:val="18"/>
        </w:rPr>
        <w:t>、</w:t>
      </w:r>
      <w:r w:rsidRPr="00C64929">
        <w:rPr>
          <w:rFonts w:hint="eastAsia"/>
          <w:szCs w:val="18"/>
        </w:rPr>
        <w:t>结论草案</w:t>
      </w:r>
      <w:r w:rsidRPr="00C64929">
        <w:rPr>
          <w:szCs w:val="18"/>
        </w:rPr>
        <w:t>6(</w:t>
      </w:r>
      <w:r w:rsidRPr="00C64929">
        <w:rPr>
          <w:rFonts w:ascii="宋体" w:hAnsi="宋体" w:cs="宋体" w:hint="eastAsia"/>
          <w:szCs w:val="18"/>
        </w:rPr>
        <w:t>惯例的形式</w:t>
      </w:r>
      <w:r w:rsidRPr="00C64929">
        <w:rPr>
          <w:szCs w:val="18"/>
        </w:rPr>
        <w:t>)</w:t>
      </w:r>
      <w:r w:rsidRPr="00F709E3">
        <w:rPr>
          <w:rFonts w:hint="eastAsia"/>
          <w:szCs w:val="18"/>
        </w:rPr>
        <w:t>、结论草案</w:t>
      </w:r>
      <w:r w:rsidRPr="00F709E3">
        <w:rPr>
          <w:szCs w:val="18"/>
        </w:rPr>
        <w:t>9(</w:t>
      </w:r>
      <w:r w:rsidRPr="00F709E3">
        <w:rPr>
          <w:rFonts w:hint="eastAsia"/>
          <w:szCs w:val="18"/>
        </w:rPr>
        <w:t>被</w:t>
      </w:r>
      <w:r w:rsidRPr="00F709E3">
        <w:rPr>
          <w:rFonts w:ascii="宋体" w:hAnsi="宋体" w:cs="宋体" w:hint="eastAsia"/>
          <w:szCs w:val="18"/>
        </w:rPr>
        <w:t>接受为法律</w:t>
      </w:r>
      <w:r w:rsidRPr="00F709E3">
        <w:rPr>
          <w:szCs w:val="18"/>
        </w:rPr>
        <w:t>(</w:t>
      </w:r>
      <w:r w:rsidRPr="00F709E3">
        <w:rPr>
          <w:rFonts w:ascii="Time New Roman" w:eastAsia="楷体" w:hAnsi="Time New Roman" w:cs="宋体" w:hint="eastAsia"/>
          <w:szCs w:val="18"/>
        </w:rPr>
        <w:t>法律确信</w:t>
      </w:r>
      <w:r w:rsidRPr="00F709E3">
        <w:rPr>
          <w:szCs w:val="18"/>
        </w:rPr>
        <w:t>)</w:t>
      </w:r>
      <w:r w:rsidRPr="00F709E3">
        <w:rPr>
          <w:rFonts w:ascii="宋体" w:hAnsi="宋体" w:cs="宋体" w:hint="eastAsia"/>
          <w:szCs w:val="18"/>
        </w:rPr>
        <w:t>的要求</w:t>
      </w:r>
      <w:r w:rsidRPr="00F709E3">
        <w:rPr>
          <w:szCs w:val="18"/>
        </w:rPr>
        <w:t>)</w:t>
      </w:r>
      <w:r w:rsidRPr="00F709E3">
        <w:rPr>
          <w:rFonts w:hint="eastAsia"/>
          <w:szCs w:val="18"/>
        </w:rPr>
        <w:t>和结论草案</w:t>
      </w:r>
      <w:r w:rsidRPr="00F709E3">
        <w:rPr>
          <w:szCs w:val="18"/>
        </w:rPr>
        <w:t>12(</w:t>
      </w:r>
      <w:r w:rsidRPr="00F709E3">
        <w:rPr>
          <w:rFonts w:ascii="宋体" w:hAnsi="宋体" w:cs="宋体" w:hint="eastAsia"/>
          <w:szCs w:val="18"/>
        </w:rPr>
        <w:t>国际组织和政府间会议的决议</w:t>
      </w:r>
      <w:r w:rsidRPr="00F709E3">
        <w:rPr>
          <w:szCs w:val="18"/>
        </w:rPr>
        <w:t>)</w:t>
      </w:r>
      <w:r w:rsidRPr="00F709E3">
        <w:rPr>
          <w:rFonts w:hint="eastAsia"/>
          <w:szCs w:val="18"/>
        </w:rPr>
        <w:t>的拟议修正案</w:t>
      </w:r>
      <w:r w:rsidRPr="00F709E3">
        <w:rPr>
          <w:rFonts w:hint="eastAsia"/>
          <w:szCs w:val="18"/>
        </w:rPr>
        <w:t>)</w:t>
      </w:r>
      <w:r w:rsidRPr="00F709E3">
        <w:rPr>
          <w:rFonts w:hint="eastAsia"/>
          <w:szCs w:val="18"/>
        </w:rPr>
        <w:t>。</w:t>
      </w:r>
    </w:p>
  </w:footnote>
  <w:footnote w:id="246">
    <w:p w:rsidR="00AB00DE" w:rsidRPr="00F709E3" w:rsidRDefault="00AB00DE" w:rsidP="00F709E3">
      <w:pPr>
        <w:pStyle w:val="a4"/>
        <w:rPr>
          <w:szCs w:val="18"/>
        </w:rPr>
      </w:pPr>
      <w:r w:rsidRPr="00F709E3">
        <w:rPr>
          <w:szCs w:val="18"/>
        </w:rPr>
        <w:tab/>
      </w:r>
      <w:r w:rsidRPr="00DF5565">
        <w:rPr>
          <w:rStyle w:val="a5"/>
        </w:rPr>
        <w:footnoteRef/>
      </w:r>
      <w:r w:rsidRPr="00F709E3">
        <w:rPr>
          <w:szCs w:val="18"/>
        </w:rPr>
        <w:tab/>
      </w:r>
      <w:r w:rsidRPr="00F709E3">
        <w:rPr>
          <w:rFonts w:hint="eastAsia"/>
          <w:szCs w:val="18"/>
        </w:rPr>
        <w:t>与委员会以往工作成果一样，本结论草案应结合评注来解读。</w:t>
      </w:r>
    </w:p>
  </w:footnote>
  <w:footnote w:id="247">
    <w:p w:rsidR="00AB00DE" w:rsidRPr="00F709E3" w:rsidRDefault="00AB00DE" w:rsidP="00F709E3">
      <w:pPr>
        <w:pStyle w:val="a4"/>
        <w:rPr>
          <w:szCs w:val="18"/>
          <w:lang w:bidi="he-IL"/>
        </w:rPr>
      </w:pPr>
      <w:r w:rsidRPr="00F709E3">
        <w:rPr>
          <w:rFonts w:hint="eastAsia"/>
          <w:szCs w:val="18"/>
        </w:rPr>
        <w:tab/>
      </w:r>
      <w:r w:rsidRPr="00DF5565">
        <w:rPr>
          <w:rStyle w:val="a5"/>
        </w:rPr>
        <w:footnoteRef/>
      </w:r>
      <w:r w:rsidRPr="00F709E3">
        <w:rPr>
          <w:rFonts w:hint="eastAsia"/>
          <w:szCs w:val="18"/>
        </w:rPr>
        <w:tab/>
      </w:r>
      <w:r w:rsidRPr="00F709E3">
        <w:rPr>
          <w:rFonts w:hint="eastAsia"/>
          <w:szCs w:val="18"/>
        </w:rPr>
        <w:t>国际法的一些重要领域因几乎没有适用的条约，仍然主要由习惯国际法加以规范。即便有时存在着有效条约，但对条约没有规范到的问题仍然执行习惯国际法规则；在涉及条约非缔约方时以及在非缔约方之间，习惯国际法规则也仍然适用。此外，条约可能会提到习惯国际法规则；在按照《维也纳条约法公约》</w:t>
      </w:r>
      <w:r w:rsidRPr="00F709E3">
        <w:rPr>
          <w:szCs w:val="18"/>
          <w:lang w:bidi="he-IL"/>
        </w:rPr>
        <w:t>(</w:t>
      </w:r>
      <w:r w:rsidRPr="00F709E3">
        <w:rPr>
          <w:szCs w:val="18"/>
          <w:lang w:bidi="he-IL"/>
        </w:rPr>
        <w:t>联合国，《条约汇编》，</w:t>
      </w:r>
      <w:r w:rsidRPr="00F709E3">
        <w:rPr>
          <w:rFonts w:hint="eastAsia"/>
          <w:szCs w:val="18"/>
          <w:lang w:bidi="he-IL"/>
        </w:rPr>
        <w:t>第</w:t>
      </w:r>
      <w:r w:rsidRPr="00F709E3">
        <w:rPr>
          <w:szCs w:val="18"/>
          <w:lang w:bidi="he-IL"/>
        </w:rPr>
        <w:t>1155</w:t>
      </w:r>
      <w:r w:rsidRPr="00F709E3">
        <w:rPr>
          <w:rFonts w:hint="eastAsia"/>
          <w:szCs w:val="18"/>
          <w:lang w:bidi="he-IL"/>
        </w:rPr>
        <w:t>卷，第</w:t>
      </w:r>
      <w:r w:rsidRPr="00F709E3">
        <w:rPr>
          <w:szCs w:val="18"/>
          <w:lang w:bidi="he-IL"/>
        </w:rPr>
        <w:t>18232</w:t>
      </w:r>
      <w:r w:rsidRPr="00F709E3">
        <w:rPr>
          <w:rFonts w:hint="eastAsia"/>
          <w:szCs w:val="18"/>
          <w:lang w:bidi="he-IL"/>
        </w:rPr>
        <w:t>号，第</w:t>
      </w:r>
      <w:r w:rsidRPr="00F709E3">
        <w:rPr>
          <w:szCs w:val="18"/>
          <w:lang w:bidi="he-IL"/>
        </w:rPr>
        <w:t>331</w:t>
      </w:r>
      <w:r w:rsidRPr="00F709E3">
        <w:rPr>
          <w:rFonts w:hint="eastAsia"/>
          <w:szCs w:val="18"/>
          <w:lang w:bidi="he-IL"/>
        </w:rPr>
        <w:t>页</w:t>
      </w:r>
      <w:r w:rsidRPr="00F709E3">
        <w:rPr>
          <w:szCs w:val="18"/>
          <w:lang w:bidi="he-IL"/>
        </w:rPr>
        <w:t>(</w:t>
      </w:r>
      <w:r w:rsidRPr="00F709E3">
        <w:rPr>
          <w:rFonts w:hint="eastAsia"/>
          <w:szCs w:val="18"/>
          <w:lang w:bidi="he-IL"/>
        </w:rPr>
        <w:t>下称“</w:t>
      </w:r>
      <w:r w:rsidRPr="00F709E3">
        <w:rPr>
          <w:rFonts w:hint="eastAsia"/>
          <w:szCs w:val="18"/>
          <w:lang w:bidi="he-IL"/>
        </w:rPr>
        <w:t>1969</w:t>
      </w:r>
      <w:r w:rsidRPr="00F709E3">
        <w:rPr>
          <w:rFonts w:hint="eastAsia"/>
          <w:szCs w:val="18"/>
          <w:lang w:bidi="he-IL"/>
        </w:rPr>
        <w:t>年《维也纳公约》”</w:t>
      </w:r>
      <w:r w:rsidRPr="00F709E3">
        <w:rPr>
          <w:szCs w:val="18"/>
          <w:lang w:bidi="he-IL"/>
        </w:rPr>
        <w:t>))</w:t>
      </w:r>
      <w:r w:rsidRPr="00F709E3">
        <w:rPr>
          <w:rFonts w:hint="eastAsia"/>
          <w:szCs w:val="18"/>
        </w:rPr>
        <w:t>第三十一条第三款</w:t>
      </w:r>
      <w:r w:rsidRPr="00F709E3">
        <w:rPr>
          <w:rFonts w:hint="eastAsia"/>
          <w:szCs w:val="18"/>
        </w:rPr>
        <w:t>(c)</w:t>
      </w:r>
      <w:r w:rsidRPr="00F709E3">
        <w:rPr>
          <w:rFonts w:hint="eastAsia"/>
          <w:szCs w:val="18"/>
        </w:rPr>
        <w:t>项解释条约时，也可将这种规则纳入考虑</w:t>
      </w:r>
      <w:r w:rsidRPr="00F709E3">
        <w:rPr>
          <w:rFonts w:hint="eastAsia"/>
          <w:szCs w:val="18"/>
          <w:lang w:bidi="he-IL"/>
        </w:rPr>
        <w:t>。另外，有时候，即便现在已经有了生效的条约，但可能有必要确定在某些行为发生时当时适用的法律</w:t>
      </w:r>
      <w:r w:rsidRPr="00F709E3">
        <w:rPr>
          <w:rFonts w:hint="eastAsia"/>
          <w:szCs w:val="18"/>
          <w:lang w:bidi="he-IL"/>
        </w:rPr>
        <w:t>(</w:t>
      </w:r>
      <w:r w:rsidRPr="00F709E3">
        <w:rPr>
          <w:rFonts w:hint="eastAsia"/>
          <w:szCs w:val="18"/>
          <w:lang w:bidi="he-IL"/>
        </w:rPr>
        <w:t>“时际法”</w:t>
      </w:r>
      <w:r w:rsidRPr="00F709E3">
        <w:rPr>
          <w:rFonts w:hint="eastAsia"/>
          <w:szCs w:val="18"/>
          <w:lang w:bidi="he-IL"/>
        </w:rPr>
        <w:t>)</w:t>
      </w:r>
      <w:r w:rsidRPr="00F709E3">
        <w:rPr>
          <w:rFonts w:hint="eastAsia"/>
          <w:szCs w:val="18"/>
          <w:lang w:bidi="he-IL"/>
        </w:rPr>
        <w:t>，而这种法律可能属于习惯国际法。即便习惯国际法的规则与条约具备相同的内容，这种规则也可独立于条约而继续存在和适用，甚至是在条约的缔约方之间继续存在和适用</w:t>
      </w:r>
      <w:r w:rsidRPr="00F709E3">
        <w:rPr>
          <w:szCs w:val="18"/>
          <w:lang w:bidi="he-IL"/>
        </w:rPr>
        <w:t>(</w:t>
      </w:r>
      <w:r w:rsidRPr="00F709E3">
        <w:rPr>
          <w:rFonts w:hint="eastAsia"/>
          <w:szCs w:val="18"/>
          <w:lang w:bidi="he-IL"/>
        </w:rPr>
        <w:t>见</w:t>
      </w:r>
      <w:r w:rsidRPr="00F709E3">
        <w:rPr>
          <w:rFonts w:eastAsia="楷体" w:hint="eastAsia"/>
          <w:szCs w:val="18"/>
          <w:lang w:bidi="he-IL"/>
        </w:rPr>
        <w:t>尼加拉瓜境内和针对尼加拉瓜的军事和准军事活动案</w:t>
      </w:r>
      <w:r w:rsidRPr="00F709E3">
        <w:rPr>
          <w:rFonts w:eastAsia="楷体"/>
          <w:szCs w:val="18"/>
          <w:lang w:bidi="he-IL"/>
        </w:rPr>
        <w:t>(</w:t>
      </w:r>
      <w:r w:rsidRPr="00F709E3">
        <w:rPr>
          <w:rFonts w:eastAsia="楷体" w:hint="eastAsia"/>
          <w:szCs w:val="18"/>
          <w:lang w:bidi="he-IL"/>
        </w:rPr>
        <w:t>尼加拉瓜诉美利坚合众国</w:t>
      </w:r>
      <w:r w:rsidRPr="00F709E3">
        <w:rPr>
          <w:rFonts w:eastAsia="楷体"/>
          <w:szCs w:val="18"/>
          <w:lang w:bidi="he-IL"/>
        </w:rPr>
        <w:t>)</w:t>
      </w:r>
      <w:r w:rsidRPr="00F709E3">
        <w:rPr>
          <w:rFonts w:hint="eastAsia"/>
          <w:szCs w:val="18"/>
          <w:lang w:bidi="he-IL"/>
        </w:rPr>
        <w:t>，实质问题，判决，《</w:t>
      </w:r>
      <w:r w:rsidRPr="00F709E3">
        <w:rPr>
          <w:rFonts w:hint="eastAsia"/>
          <w:szCs w:val="18"/>
          <w:lang w:bidi="he-IL"/>
        </w:rPr>
        <w:t>1986</w:t>
      </w:r>
      <w:r w:rsidRPr="00F709E3">
        <w:rPr>
          <w:rFonts w:hint="eastAsia"/>
          <w:szCs w:val="18"/>
          <w:lang w:bidi="he-IL"/>
        </w:rPr>
        <w:t>年国际法院案例汇编》，第</w:t>
      </w:r>
      <w:r w:rsidRPr="00F709E3">
        <w:rPr>
          <w:szCs w:val="18"/>
          <w:lang w:bidi="he-IL"/>
        </w:rPr>
        <w:t>14</w:t>
      </w:r>
      <w:r w:rsidRPr="00F709E3">
        <w:rPr>
          <w:rFonts w:hint="eastAsia"/>
          <w:szCs w:val="18"/>
          <w:lang w:bidi="he-IL"/>
        </w:rPr>
        <w:t>页起，见第</w:t>
      </w:r>
      <w:r w:rsidRPr="00F709E3">
        <w:rPr>
          <w:szCs w:val="18"/>
          <w:lang w:bidi="he-IL"/>
        </w:rPr>
        <w:t>93-96</w:t>
      </w:r>
      <w:r w:rsidRPr="00F709E3">
        <w:rPr>
          <w:rFonts w:hint="eastAsia"/>
          <w:szCs w:val="18"/>
          <w:lang w:bidi="he-IL"/>
        </w:rPr>
        <w:t>页，第</w:t>
      </w:r>
      <w:r w:rsidRPr="00F709E3">
        <w:rPr>
          <w:szCs w:val="18"/>
          <w:lang w:bidi="he-IL"/>
        </w:rPr>
        <w:t>174-179</w:t>
      </w:r>
      <w:r w:rsidRPr="00F709E3">
        <w:rPr>
          <w:rFonts w:hint="eastAsia"/>
          <w:szCs w:val="18"/>
          <w:lang w:bidi="he-IL"/>
        </w:rPr>
        <w:t>段；</w:t>
      </w:r>
      <w:r w:rsidRPr="00F709E3">
        <w:rPr>
          <w:rFonts w:eastAsia="楷体" w:hint="eastAsia"/>
          <w:szCs w:val="18"/>
        </w:rPr>
        <w:t>《防止及惩治灭绝种族罪公约》的适用案</w:t>
      </w:r>
      <w:r w:rsidRPr="00F709E3">
        <w:rPr>
          <w:szCs w:val="18"/>
        </w:rPr>
        <w:t>(</w:t>
      </w:r>
      <w:r w:rsidRPr="00F709E3">
        <w:rPr>
          <w:rFonts w:eastAsia="楷体" w:hint="eastAsia"/>
          <w:szCs w:val="18"/>
        </w:rPr>
        <w:t>克罗地亚诉塞尔维亚</w:t>
      </w:r>
      <w:r w:rsidRPr="00F709E3">
        <w:rPr>
          <w:szCs w:val="18"/>
        </w:rPr>
        <w:t>)</w:t>
      </w:r>
      <w:r w:rsidRPr="00F709E3">
        <w:rPr>
          <w:rFonts w:hint="eastAsia"/>
          <w:szCs w:val="18"/>
        </w:rPr>
        <w:t>，国际法院的判决，</w:t>
      </w:r>
      <w:r w:rsidRPr="00F709E3">
        <w:rPr>
          <w:szCs w:val="18"/>
        </w:rPr>
        <w:t>2015</w:t>
      </w:r>
      <w:r w:rsidRPr="00F709E3">
        <w:rPr>
          <w:rFonts w:hint="eastAsia"/>
          <w:szCs w:val="18"/>
        </w:rPr>
        <w:t>年</w:t>
      </w:r>
      <w:r w:rsidRPr="00F709E3">
        <w:rPr>
          <w:rFonts w:hint="eastAsia"/>
          <w:szCs w:val="18"/>
        </w:rPr>
        <w:t>2</w:t>
      </w:r>
      <w:r w:rsidRPr="00F709E3">
        <w:rPr>
          <w:rFonts w:hint="eastAsia"/>
          <w:szCs w:val="18"/>
        </w:rPr>
        <w:t>月</w:t>
      </w:r>
      <w:r w:rsidRPr="00F709E3">
        <w:rPr>
          <w:rFonts w:hint="eastAsia"/>
          <w:szCs w:val="18"/>
        </w:rPr>
        <w:t>3</w:t>
      </w:r>
      <w:r w:rsidRPr="00F709E3">
        <w:rPr>
          <w:rFonts w:hint="eastAsia"/>
          <w:szCs w:val="18"/>
        </w:rPr>
        <w:t>日，第</w:t>
      </w:r>
      <w:r w:rsidRPr="00F709E3">
        <w:rPr>
          <w:szCs w:val="18"/>
        </w:rPr>
        <w:t>88</w:t>
      </w:r>
      <w:r w:rsidRPr="00F709E3">
        <w:rPr>
          <w:rFonts w:hint="eastAsia"/>
          <w:szCs w:val="18"/>
        </w:rPr>
        <w:t>段</w:t>
      </w:r>
      <w:r w:rsidRPr="00F709E3">
        <w:rPr>
          <w:szCs w:val="18"/>
          <w:lang w:bidi="he-IL"/>
        </w:rPr>
        <w:t>)</w:t>
      </w:r>
      <w:r w:rsidRPr="00F709E3">
        <w:rPr>
          <w:rFonts w:hint="eastAsia"/>
          <w:szCs w:val="18"/>
          <w:lang w:bidi="he-IL"/>
        </w:rPr>
        <w:t>。</w:t>
      </w:r>
    </w:p>
  </w:footnote>
  <w:footnote w:id="248">
    <w:p w:rsidR="00AB00DE" w:rsidRPr="00F709E3" w:rsidRDefault="00AB00DE" w:rsidP="00F709E3">
      <w:pPr>
        <w:pStyle w:val="a4"/>
        <w:rPr>
          <w:szCs w:val="18"/>
        </w:rPr>
      </w:pPr>
      <w:r w:rsidRPr="00F709E3">
        <w:rPr>
          <w:rFonts w:hint="eastAsia"/>
          <w:szCs w:val="18"/>
        </w:rPr>
        <w:tab/>
      </w:r>
      <w:r w:rsidRPr="00DF5565">
        <w:rPr>
          <w:rStyle w:val="a5"/>
        </w:rPr>
        <w:footnoteRef/>
      </w:r>
      <w:r w:rsidRPr="00F709E3">
        <w:rPr>
          <w:rFonts w:hint="eastAsia"/>
          <w:szCs w:val="18"/>
        </w:rPr>
        <w:tab/>
        <w:t>1920</w:t>
      </w:r>
      <w:r w:rsidRPr="00F709E3">
        <w:rPr>
          <w:rFonts w:hint="eastAsia"/>
          <w:szCs w:val="18"/>
        </w:rPr>
        <w:t>年，国际联盟设立了法学家咨询委员会以编写《常设国际法院规约》草案，该委员会提出了这一措辞；</w:t>
      </w:r>
      <w:r w:rsidRPr="00F709E3">
        <w:rPr>
          <w:szCs w:val="18"/>
        </w:rPr>
        <w:t>1945</w:t>
      </w:r>
      <w:r w:rsidRPr="00F709E3">
        <w:rPr>
          <w:rFonts w:hint="eastAsia"/>
          <w:szCs w:val="18"/>
        </w:rPr>
        <w:t>年《国际法院规约》中原样保留了这一措辞。虽然这种起草方式曾被批评为不准确，但这一程式化语句仍被广泛视为抓住了习惯国际法的实质所在。</w:t>
      </w:r>
    </w:p>
  </w:footnote>
  <w:footnote w:id="249">
    <w:p w:rsidR="00AB00DE" w:rsidRPr="00F709E3" w:rsidRDefault="00AB00DE" w:rsidP="00F709E3">
      <w:pPr>
        <w:pStyle w:val="a4"/>
        <w:rPr>
          <w:szCs w:val="18"/>
        </w:rPr>
      </w:pPr>
      <w:r w:rsidRPr="00F709E3">
        <w:rPr>
          <w:rFonts w:hint="eastAsia"/>
          <w:szCs w:val="18"/>
        </w:rPr>
        <w:tab/>
      </w:r>
      <w:r w:rsidRPr="00DF5565">
        <w:rPr>
          <w:rStyle w:val="a5"/>
        </w:rPr>
        <w:footnoteRef/>
      </w:r>
      <w:r w:rsidRPr="00F709E3">
        <w:rPr>
          <w:rFonts w:hint="eastAsia"/>
          <w:szCs w:val="18"/>
        </w:rPr>
        <w:tab/>
      </w:r>
      <w:r w:rsidRPr="00F709E3">
        <w:rPr>
          <w:rFonts w:hint="eastAsia"/>
          <w:szCs w:val="18"/>
        </w:rPr>
        <w:t>习惯国际法方面的文献目录，包括对应一些结论草案所涵盖问题的文献，以及论及习惯国际法在各领域应用情况的文献，见特别</w:t>
      </w:r>
      <w:r w:rsidRPr="00C64929">
        <w:rPr>
          <w:rFonts w:hint="eastAsia"/>
          <w:szCs w:val="18"/>
        </w:rPr>
        <w:t>报告员的第四次报告</w:t>
      </w:r>
      <w:r w:rsidRPr="00C64929">
        <w:rPr>
          <w:szCs w:val="18"/>
        </w:rPr>
        <w:t>(</w:t>
      </w:r>
      <w:hyperlink r:id="rId34" w:history="1">
        <w:r w:rsidRPr="00C64929">
          <w:rPr>
            <w:rStyle w:val="af"/>
            <w:szCs w:val="18"/>
          </w:rPr>
          <w:t>A/CN.4/695/Add.1)</w:t>
        </w:r>
      </w:hyperlink>
      <w:r w:rsidRPr="00C64929">
        <w:rPr>
          <w:rFonts w:hint="eastAsia"/>
          <w:szCs w:val="18"/>
        </w:rPr>
        <w:t>，附件</w:t>
      </w:r>
      <w:r w:rsidRPr="00F709E3">
        <w:rPr>
          <w:rFonts w:hint="eastAsia"/>
          <w:szCs w:val="18"/>
        </w:rPr>
        <w:t>二。</w:t>
      </w:r>
    </w:p>
  </w:footnote>
  <w:footnote w:id="250">
    <w:p w:rsidR="00AB00DE" w:rsidRPr="00F709E3" w:rsidRDefault="00AB00DE" w:rsidP="00F709E3">
      <w:pPr>
        <w:pStyle w:val="a4"/>
        <w:rPr>
          <w:szCs w:val="18"/>
        </w:rPr>
      </w:pPr>
      <w:r w:rsidRPr="00F709E3">
        <w:rPr>
          <w:rFonts w:hint="eastAsia"/>
          <w:szCs w:val="18"/>
        </w:rPr>
        <w:tab/>
      </w:r>
      <w:r w:rsidRPr="00DF5565">
        <w:rPr>
          <w:rStyle w:val="a5"/>
        </w:rPr>
        <w:footnoteRef/>
      </w:r>
      <w:r w:rsidRPr="00F709E3">
        <w:rPr>
          <w:rFonts w:hint="eastAsia"/>
          <w:szCs w:val="18"/>
        </w:rPr>
        <w:tab/>
      </w:r>
      <w:r w:rsidRPr="00F709E3">
        <w:rPr>
          <w:rFonts w:hint="eastAsia"/>
          <w:szCs w:val="18"/>
        </w:rPr>
        <w:t>其中一些术语可能在使用上具有其他含义；特定是，“一般国际法”有多种不同用法</w:t>
      </w:r>
      <w:r w:rsidRPr="00F709E3">
        <w:rPr>
          <w:rFonts w:eastAsia="Times New Roman"/>
          <w:szCs w:val="18"/>
        </w:rPr>
        <w:t>(</w:t>
      </w:r>
      <w:r w:rsidRPr="00F709E3">
        <w:rPr>
          <w:rFonts w:hint="eastAsia"/>
          <w:szCs w:val="18"/>
        </w:rPr>
        <w:t>含义并非始终明确</w:t>
      </w:r>
      <w:r w:rsidRPr="00F709E3">
        <w:rPr>
          <w:rFonts w:eastAsia="Times New Roman"/>
          <w:szCs w:val="18"/>
        </w:rPr>
        <w:t>)</w:t>
      </w:r>
      <w:r w:rsidRPr="00F709E3">
        <w:rPr>
          <w:rFonts w:hint="eastAsia"/>
          <w:szCs w:val="18"/>
        </w:rPr>
        <w:t>，包括用于指代通用国际法规则，不论是条约法、习惯国际法，还是一般法律原则。有关“一般国际法”这一术语的司法讨论，见</w:t>
      </w:r>
      <w:r w:rsidRPr="00F709E3">
        <w:rPr>
          <w:rFonts w:eastAsia="楷体" w:hint="eastAsia"/>
          <w:szCs w:val="18"/>
        </w:rPr>
        <w:t>尼加拉瓜在边界地区开展的某些活动案</w:t>
      </w:r>
      <w:r w:rsidRPr="00F709E3">
        <w:rPr>
          <w:rFonts w:eastAsia="楷体"/>
          <w:szCs w:val="18"/>
        </w:rPr>
        <w:t>(</w:t>
      </w:r>
      <w:r w:rsidRPr="00F709E3">
        <w:rPr>
          <w:rFonts w:ascii="宋体" w:eastAsia="楷体" w:hAnsi="宋体" w:cs="宋体" w:hint="eastAsia"/>
          <w:szCs w:val="18"/>
        </w:rPr>
        <w:t>哥斯达黎加</w:t>
      </w:r>
      <w:r w:rsidRPr="00F709E3">
        <w:rPr>
          <w:rFonts w:eastAsia="楷体" w:hint="eastAsia"/>
          <w:szCs w:val="18"/>
        </w:rPr>
        <w:t>诉</w:t>
      </w:r>
      <w:r w:rsidRPr="00F709E3">
        <w:rPr>
          <w:rFonts w:ascii="宋体" w:eastAsia="楷体" w:hAnsi="宋体" w:cs="宋体" w:hint="eastAsia"/>
          <w:szCs w:val="18"/>
        </w:rPr>
        <w:t>尼加拉瓜</w:t>
      </w:r>
      <w:r w:rsidRPr="00F709E3">
        <w:rPr>
          <w:rFonts w:eastAsia="楷体"/>
          <w:szCs w:val="18"/>
        </w:rPr>
        <w:t>)</w:t>
      </w:r>
      <w:r w:rsidRPr="00F709E3">
        <w:rPr>
          <w:rFonts w:eastAsia="楷体" w:hint="eastAsia"/>
          <w:szCs w:val="18"/>
        </w:rPr>
        <w:t>和</w:t>
      </w:r>
      <w:r w:rsidRPr="00F709E3">
        <w:rPr>
          <w:rFonts w:ascii="宋体" w:eastAsia="楷体" w:hAnsi="宋体" w:cs="宋体" w:hint="eastAsia"/>
          <w:szCs w:val="18"/>
        </w:rPr>
        <w:t>哥斯达黎加圣胡安河沿线修建道路案</w:t>
      </w:r>
      <w:r w:rsidRPr="00F709E3">
        <w:rPr>
          <w:rFonts w:eastAsia="楷体"/>
          <w:szCs w:val="18"/>
        </w:rPr>
        <w:t>(</w:t>
      </w:r>
      <w:r w:rsidRPr="00F709E3">
        <w:rPr>
          <w:rFonts w:ascii="宋体" w:eastAsia="楷体" w:hAnsi="宋体" w:cs="宋体" w:hint="eastAsia"/>
          <w:szCs w:val="18"/>
        </w:rPr>
        <w:t>尼加拉瓜</w:t>
      </w:r>
      <w:r w:rsidRPr="00F709E3">
        <w:rPr>
          <w:rFonts w:eastAsia="楷体" w:hint="eastAsia"/>
          <w:szCs w:val="18"/>
        </w:rPr>
        <w:t>诉</w:t>
      </w:r>
      <w:r w:rsidRPr="00F709E3">
        <w:rPr>
          <w:rFonts w:ascii="宋体" w:eastAsia="楷体" w:hAnsi="宋体" w:cs="宋体" w:hint="eastAsia"/>
          <w:szCs w:val="18"/>
        </w:rPr>
        <w:t>哥斯达黎加</w:t>
      </w:r>
      <w:r w:rsidRPr="00F709E3">
        <w:rPr>
          <w:rFonts w:eastAsia="楷体"/>
          <w:szCs w:val="18"/>
        </w:rPr>
        <w:t>)</w:t>
      </w:r>
      <w:r w:rsidRPr="00F709E3">
        <w:rPr>
          <w:rFonts w:hint="eastAsia"/>
          <w:szCs w:val="18"/>
        </w:rPr>
        <w:t>，国际法院判决</w:t>
      </w:r>
      <w:r w:rsidRPr="00F709E3">
        <w:rPr>
          <w:rFonts w:eastAsia="Times New Roman"/>
          <w:szCs w:val="18"/>
        </w:rPr>
        <w:t>(</w:t>
      </w:r>
      <w:r w:rsidRPr="00F709E3">
        <w:rPr>
          <w:szCs w:val="18"/>
        </w:rPr>
        <w:t>2015</w:t>
      </w:r>
      <w:r w:rsidRPr="00F709E3">
        <w:rPr>
          <w:rFonts w:hint="eastAsia"/>
          <w:szCs w:val="18"/>
        </w:rPr>
        <w:t>年</w:t>
      </w:r>
      <w:r w:rsidRPr="00F709E3">
        <w:rPr>
          <w:rFonts w:hint="eastAsia"/>
          <w:szCs w:val="18"/>
        </w:rPr>
        <w:t>12</w:t>
      </w:r>
      <w:r w:rsidRPr="00F709E3">
        <w:rPr>
          <w:rFonts w:hint="eastAsia"/>
          <w:szCs w:val="18"/>
        </w:rPr>
        <w:t>月</w:t>
      </w:r>
      <w:r w:rsidRPr="00F709E3">
        <w:rPr>
          <w:rFonts w:hint="eastAsia"/>
          <w:szCs w:val="18"/>
        </w:rPr>
        <w:t>16</w:t>
      </w:r>
      <w:r w:rsidRPr="00F709E3">
        <w:rPr>
          <w:rFonts w:hint="eastAsia"/>
          <w:szCs w:val="18"/>
        </w:rPr>
        <w:t>日</w:t>
      </w:r>
      <w:r w:rsidRPr="00F709E3">
        <w:rPr>
          <w:szCs w:val="18"/>
        </w:rPr>
        <w:t>)</w:t>
      </w:r>
      <w:r w:rsidRPr="00F709E3">
        <w:rPr>
          <w:rFonts w:hint="eastAsia"/>
          <w:szCs w:val="18"/>
        </w:rPr>
        <w:t>，多诺霍法官的个别意见</w:t>
      </w:r>
      <w:r w:rsidRPr="00F709E3">
        <w:rPr>
          <w:szCs w:val="18"/>
        </w:rPr>
        <w:t>(</w:t>
      </w:r>
      <w:r w:rsidRPr="00F709E3">
        <w:rPr>
          <w:rFonts w:hint="eastAsia"/>
          <w:szCs w:val="18"/>
        </w:rPr>
        <w:t>第</w:t>
      </w:r>
      <w:r w:rsidRPr="00F709E3">
        <w:rPr>
          <w:szCs w:val="18"/>
        </w:rPr>
        <w:t>2</w:t>
      </w:r>
      <w:r w:rsidRPr="00F709E3">
        <w:rPr>
          <w:rFonts w:hint="eastAsia"/>
          <w:szCs w:val="18"/>
        </w:rPr>
        <w:t>段</w:t>
      </w:r>
      <w:r w:rsidRPr="00F709E3">
        <w:rPr>
          <w:szCs w:val="18"/>
        </w:rPr>
        <w:t>)</w:t>
      </w:r>
      <w:r w:rsidRPr="00F709E3">
        <w:rPr>
          <w:rFonts w:hint="eastAsia"/>
          <w:szCs w:val="18"/>
        </w:rPr>
        <w:t>，杜加尔德专案法官的个别意见</w:t>
      </w:r>
      <w:r w:rsidRPr="00F709E3">
        <w:rPr>
          <w:szCs w:val="18"/>
        </w:rPr>
        <w:t>(</w:t>
      </w:r>
      <w:r w:rsidRPr="00F709E3">
        <w:rPr>
          <w:rFonts w:hint="eastAsia"/>
          <w:szCs w:val="18"/>
        </w:rPr>
        <w:t>第</w:t>
      </w:r>
      <w:r w:rsidRPr="00F709E3">
        <w:rPr>
          <w:szCs w:val="18"/>
        </w:rPr>
        <w:t>12-17</w:t>
      </w:r>
      <w:r w:rsidRPr="00F709E3">
        <w:rPr>
          <w:rFonts w:hint="eastAsia"/>
          <w:szCs w:val="18"/>
        </w:rPr>
        <w:t>段</w:t>
      </w:r>
      <w:r w:rsidRPr="00F709E3">
        <w:rPr>
          <w:szCs w:val="18"/>
        </w:rPr>
        <w:t>)</w:t>
      </w:r>
      <w:r w:rsidRPr="00F709E3">
        <w:rPr>
          <w:rFonts w:hint="eastAsia"/>
          <w:szCs w:val="18"/>
        </w:rPr>
        <w:t>。</w:t>
      </w:r>
    </w:p>
  </w:footnote>
  <w:footnote w:id="251">
    <w:p w:rsidR="00AB00DE" w:rsidRPr="00F709E3" w:rsidRDefault="00AB00DE" w:rsidP="00F709E3">
      <w:pPr>
        <w:pStyle w:val="a4"/>
        <w:rPr>
          <w:szCs w:val="18"/>
        </w:rPr>
      </w:pPr>
      <w:r w:rsidRPr="00F709E3">
        <w:rPr>
          <w:rFonts w:hint="eastAsia"/>
          <w:szCs w:val="18"/>
        </w:rPr>
        <w:tab/>
      </w:r>
      <w:r w:rsidRPr="00DF5565">
        <w:rPr>
          <w:rStyle w:val="a5"/>
        </w:rPr>
        <w:footnoteRef/>
      </w:r>
      <w:r w:rsidRPr="00F709E3">
        <w:rPr>
          <w:rFonts w:hint="eastAsia"/>
          <w:szCs w:val="18"/>
        </w:rPr>
        <w:tab/>
      </w:r>
      <w:r w:rsidRPr="00F709E3">
        <w:rPr>
          <w:rFonts w:hint="eastAsia"/>
          <w:szCs w:val="18"/>
        </w:rPr>
        <w:t>见</w:t>
      </w:r>
      <w:r w:rsidRPr="00F709E3">
        <w:rPr>
          <w:rFonts w:eastAsia="楷体" w:hint="eastAsia"/>
          <w:szCs w:val="18"/>
        </w:rPr>
        <w:t>缅因湾区域海洋边界划界案</w:t>
      </w:r>
      <w:r w:rsidRPr="00F709E3">
        <w:rPr>
          <w:rFonts w:eastAsia="楷体"/>
          <w:szCs w:val="18"/>
        </w:rPr>
        <w:t>，</w:t>
      </w:r>
      <w:r w:rsidRPr="00F709E3">
        <w:rPr>
          <w:szCs w:val="18"/>
        </w:rPr>
        <w:t>判决，《</w:t>
      </w:r>
      <w:r w:rsidRPr="00F709E3">
        <w:rPr>
          <w:szCs w:val="18"/>
        </w:rPr>
        <w:t>1984</w:t>
      </w:r>
      <w:r w:rsidRPr="00F709E3">
        <w:rPr>
          <w:szCs w:val="18"/>
        </w:rPr>
        <w:t>年国际法院案例汇编》，</w:t>
      </w:r>
      <w:r w:rsidRPr="00F709E3">
        <w:rPr>
          <w:rFonts w:hint="eastAsia"/>
          <w:szCs w:val="18"/>
        </w:rPr>
        <w:t>第</w:t>
      </w:r>
      <w:r w:rsidRPr="00F709E3">
        <w:rPr>
          <w:szCs w:val="18"/>
        </w:rPr>
        <w:t>246</w:t>
      </w:r>
      <w:r w:rsidRPr="00F709E3">
        <w:rPr>
          <w:rFonts w:hint="eastAsia"/>
          <w:szCs w:val="18"/>
        </w:rPr>
        <w:t>页起，见第</w:t>
      </w:r>
      <w:r w:rsidRPr="00F709E3">
        <w:rPr>
          <w:rFonts w:eastAsia="Times New Roman"/>
          <w:szCs w:val="18"/>
        </w:rPr>
        <w:t>288-290</w:t>
      </w:r>
      <w:r w:rsidRPr="00F709E3">
        <w:rPr>
          <w:rFonts w:hint="eastAsia"/>
          <w:szCs w:val="18"/>
        </w:rPr>
        <w:t>页，第</w:t>
      </w:r>
      <w:r w:rsidRPr="00F709E3">
        <w:rPr>
          <w:rFonts w:eastAsia="Times New Roman"/>
          <w:szCs w:val="18"/>
        </w:rPr>
        <w:t>79</w:t>
      </w:r>
      <w:r w:rsidRPr="00F709E3">
        <w:rPr>
          <w:rFonts w:hint="eastAsia"/>
          <w:szCs w:val="18"/>
        </w:rPr>
        <w:t>段</w:t>
      </w:r>
      <w:r w:rsidRPr="00F709E3">
        <w:rPr>
          <w:rFonts w:eastAsia="Times New Roman"/>
          <w:szCs w:val="18"/>
        </w:rPr>
        <w:t>(</w:t>
      </w:r>
      <w:r w:rsidRPr="00F709E3">
        <w:rPr>
          <w:rFonts w:hint="eastAsia"/>
          <w:szCs w:val="18"/>
        </w:rPr>
        <w:t>“‘规则’与‘原则’之间的关系只不过是用两个用语表达同一概念，因为在</w:t>
      </w:r>
      <w:r w:rsidRPr="00F709E3">
        <w:rPr>
          <w:rFonts w:hint="eastAsia"/>
          <w:szCs w:val="18"/>
        </w:rPr>
        <w:t>[</w:t>
      </w:r>
      <w:r w:rsidRPr="00F709E3">
        <w:rPr>
          <w:rFonts w:hint="eastAsia"/>
          <w:szCs w:val="18"/>
        </w:rPr>
        <w:t>确定适用的国际法的</w:t>
      </w:r>
      <w:r w:rsidRPr="00F709E3">
        <w:rPr>
          <w:rFonts w:hint="eastAsia"/>
          <w:szCs w:val="18"/>
        </w:rPr>
        <w:t>]</w:t>
      </w:r>
      <w:r w:rsidRPr="00F709E3">
        <w:rPr>
          <w:rFonts w:hint="eastAsia"/>
          <w:szCs w:val="18"/>
        </w:rPr>
        <w:t>背景下，‘原则’显然指的是法律原则，也就是说，它也包括国际法规则，在国际法规则中，使用‘原则’一词可能是合理的，因为原则具有更加通用、更加基本的特点”；</w:t>
      </w:r>
      <w:r w:rsidRPr="00F709E3">
        <w:rPr>
          <w:rFonts w:eastAsia="楷体" w:hint="eastAsia"/>
          <w:szCs w:val="18"/>
        </w:rPr>
        <w:t>“莲花号”案</w:t>
      </w:r>
      <w:r w:rsidRPr="00F709E3">
        <w:rPr>
          <w:rFonts w:hint="eastAsia"/>
          <w:szCs w:val="18"/>
        </w:rPr>
        <w:t>，常设国际法院，</w:t>
      </w:r>
      <w:r w:rsidRPr="00F709E3">
        <w:rPr>
          <w:rFonts w:hint="eastAsia"/>
          <w:szCs w:val="18"/>
        </w:rPr>
        <w:t>A</w:t>
      </w:r>
      <w:r w:rsidRPr="00F709E3">
        <w:rPr>
          <w:rFonts w:hint="eastAsia"/>
          <w:szCs w:val="18"/>
        </w:rPr>
        <w:t>辑，第</w:t>
      </w:r>
      <w:r w:rsidRPr="00F709E3">
        <w:rPr>
          <w:rFonts w:eastAsia="Times New Roman"/>
          <w:szCs w:val="18"/>
        </w:rPr>
        <w:t>10</w:t>
      </w:r>
      <w:r w:rsidRPr="00F709E3">
        <w:rPr>
          <w:rFonts w:hint="eastAsia"/>
          <w:szCs w:val="18"/>
        </w:rPr>
        <w:t>号</w:t>
      </w:r>
      <w:r w:rsidRPr="00F709E3">
        <w:rPr>
          <w:rFonts w:eastAsia="Times New Roman"/>
          <w:szCs w:val="18"/>
        </w:rPr>
        <w:t>(1927</w:t>
      </w:r>
      <w:r w:rsidRPr="00F709E3">
        <w:rPr>
          <w:rFonts w:hint="eastAsia"/>
          <w:szCs w:val="18"/>
        </w:rPr>
        <w:t>年</w:t>
      </w:r>
      <w:r w:rsidRPr="00F709E3">
        <w:rPr>
          <w:rFonts w:eastAsia="Times New Roman"/>
          <w:szCs w:val="18"/>
        </w:rPr>
        <w:t>)</w:t>
      </w:r>
      <w:r w:rsidRPr="00F709E3">
        <w:rPr>
          <w:rFonts w:hint="eastAsia"/>
          <w:szCs w:val="18"/>
        </w:rPr>
        <w:t>，第</w:t>
      </w:r>
      <w:r w:rsidRPr="00F709E3">
        <w:rPr>
          <w:rFonts w:eastAsia="Times New Roman"/>
          <w:szCs w:val="18"/>
        </w:rPr>
        <w:t>16</w:t>
      </w:r>
      <w:r w:rsidRPr="00F709E3">
        <w:rPr>
          <w:rFonts w:hint="eastAsia"/>
          <w:szCs w:val="18"/>
        </w:rPr>
        <w:t>页</w:t>
      </w:r>
      <w:r w:rsidRPr="00F709E3">
        <w:rPr>
          <w:rFonts w:eastAsia="Times New Roman"/>
          <w:szCs w:val="18"/>
        </w:rPr>
        <w:t>(</w:t>
      </w:r>
      <w:r w:rsidRPr="00F709E3">
        <w:rPr>
          <w:rFonts w:hint="eastAsia"/>
          <w:szCs w:val="18"/>
        </w:rPr>
        <w:t>“本法院认为，‘国际法原则’一词就常用含义而言只能表示属于国际社会的所有国家之间适用的国际法”</w:t>
      </w:r>
      <w:r w:rsidRPr="00F709E3">
        <w:rPr>
          <w:szCs w:val="18"/>
        </w:rPr>
        <w:t>)</w:t>
      </w:r>
      <w:r w:rsidRPr="00F709E3">
        <w:rPr>
          <w:rFonts w:hint="eastAsia"/>
          <w:szCs w:val="18"/>
        </w:rPr>
        <w:t>。</w:t>
      </w:r>
    </w:p>
  </w:footnote>
  <w:footnote w:id="252">
    <w:p w:rsidR="00AB00DE" w:rsidRPr="00F709E3" w:rsidRDefault="00AB00DE" w:rsidP="00F709E3">
      <w:pPr>
        <w:pStyle w:val="a4"/>
        <w:rPr>
          <w:szCs w:val="18"/>
        </w:rPr>
      </w:pPr>
      <w:r w:rsidRPr="00F709E3">
        <w:rPr>
          <w:rFonts w:hint="eastAsia"/>
          <w:szCs w:val="18"/>
        </w:rPr>
        <w:tab/>
      </w:r>
      <w:r w:rsidRPr="00DF5565">
        <w:rPr>
          <w:rStyle w:val="a5"/>
        </w:rPr>
        <w:footnoteRef/>
      </w:r>
      <w:r w:rsidRPr="00F709E3">
        <w:rPr>
          <w:rFonts w:hint="eastAsia"/>
          <w:szCs w:val="18"/>
        </w:rPr>
        <w:tab/>
      </w:r>
      <w:r w:rsidRPr="00F709E3">
        <w:rPr>
          <w:rFonts w:hint="eastAsia"/>
          <w:szCs w:val="18"/>
        </w:rPr>
        <w:t>在这方面必须指出，在这些评注中提到各法院和法庭的具体判决是为了说明所用方法，而不是为了介绍判决的实质内容。</w:t>
      </w:r>
    </w:p>
  </w:footnote>
  <w:footnote w:id="253">
    <w:p w:rsidR="00AB00DE" w:rsidRPr="00F709E3" w:rsidRDefault="00AB00DE" w:rsidP="00F709E3">
      <w:pPr>
        <w:pStyle w:val="a4"/>
        <w:rPr>
          <w:szCs w:val="18"/>
        </w:rPr>
      </w:pPr>
      <w:r w:rsidRPr="00F709E3">
        <w:rPr>
          <w:rFonts w:hint="eastAsia"/>
          <w:szCs w:val="18"/>
        </w:rPr>
        <w:tab/>
      </w:r>
      <w:r w:rsidRPr="00DF5565">
        <w:rPr>
          <w:rStyle w:val="a5"/>
        </w:rPr>
        <w:footnoteRef/>
      </w:r>
      <w:r w:rsidRPr="00F709E3">
        <w:rPr>
          <w:rFonts w:hint="eastAsia"/>
          <w:szCs w:val="18"/>
        </w:rPr>
        <w:tab/>
      </w:r>
      <w:r w:rsidRPr="00F709E3">
        <w:rPr>
          <w:rFonts w:hint="eastAsia"/>
          <w:szCs w:val="18"/>
        </w:rPr>
        <w:t>该拉丁文术语与“被接受为法律”一同保留，这不仅是因为该术语常见于法律话语，这包括国际法院判例将这两个术语作同义词使用，而且是因为该术语可能更好地体现出习惯国际法的这一主观要素的实质在于法律信念而非正式同意。</w:t>
      </w:r>
    </w:p>
  </w:footnote>
  <w:footnote w:id="254">
    <w:p w:rsidR="00AB00DE" w:rsidRPr="00F709E3" w:rsidRDefault="00AB00DE" w:rsidP="00267AB1">
      <w:pPr>
        <w:pStyle w:val="a4"/>
        <w:rPr>
          <w:szCs w:val="18"/>
          <w:lang w:bidi="he-IL"/>
        </w:rPr>
      </w:pPr>
      <w:r w:rsidRPr="00F709E3">
        <w:rPr>
          <w:rFonts w:hint="eastAsia"/>
          <w:szCs w:val="18"/>
        </w:rPr>
        <w:tab/>
      </w:r>
      <w:r w:rsidRPr="00DF5565">
        <w:rPr>
          <w:rStyle w:val="a5"/>
        </w:rPr>
        <w:footnoteRef/>
      </w:r>
      <w:r w:rsidRPr="00F709E3">
        <w:rPr>
          <w:rFonts w:hint="eastAsia"/>
          <w:szCs w:val="18"/>
        </w:rPr>
        <w:tab/>
      </w:r>
      <w:r w:rsidRPr="00F709E3">
        <w:rPr>
          <w:rFonts w:hint="eastAsia"/>
          <w:szCs w:val="18"/>
          <w:lang w:bidi="he-IL"/>
        </w:rPr>
        <w:t>仅案件当事各方就其认为的习惯国际法规则的存在和内容持一致意见不足以作为识别依据，必须确定确实存在被接受为法律的一般惯例：</w:t>
      </w:r>
      <w:r w:rsidRPr="00F709E3">
        <w:rPr>
          <w:rFonts w:eastAsia="楷体" w:hint="eastAsia"/>
          <w:szCs w:val="18"/>
          <w:lang w:bidi="he-IL"/>
        </w:rPr>
        <w:t>尼加拉瓜境内和针对尼加拉瓜的军事和准军事活动案</w:t>
      </w:r>
      <w:r w:rsidRPr="00F709E3">
        <w:rPr>
          <w:i/>
          <w:iCs/>
          <w:szCs w:val="18"/>
          <w:lang w:bidi="he-IL"/>
        </w:rPr>
        <w:t xml:space="preserve"> </w:t>
      </w:r>
      <w:r w:rsidRPr="00F709E3">
        <w:rPr>
          <w:szCs w:val="18"/>
          <w:lang w:bidi="he-IL"/>
        </w:rPr>
        <w:t>(</w:t>
      </w:r>
      <w:r w:rsidRPr="00F709E3">
        <w:rPr>
          <w:rFonts w:hint="eastAsia"/>
          <w:szCs w:val="18"/>
          <w:lang w:bidi="he-IL"/>
        </w:rPr>
        <w:t>见上文脚注</w:t>
      </w:r>
      <w:r>
        <w:fldChar w:fldCharType="begin"/>
      </w:r>
      <w:r>
        <w:instrText xml:space="preserve"> </w:instrText>
      </w:r>
      <w:r>
        <w:rPr>
          <w:rFonts w:hint="eastAsia"/>
        </w:rPr>
        <w:instrText>NOTEREF _Ref461975037 \h</w:instrText>
      </w:r>
      <w:r>
        <w:instrText xml:space="preserve"> </w:instrText>
      </w:r>
      <w:r>
        <w:fldChar w:fldCharType="separate"/>
      </w:r>
      <w:r w:rsidR="00A73EB9">
        <w:t>246</w:t>
      </w:r>
      <w:r>
        <w:fldChar w:fldCharType="end"/>
      </w:r>
      <w:r w:rsidRPr="00F709E3">
        <w:rPr>
          <w:szCs w:val="18"/>
          <w:lang w:bidi="he-IL"/>
        </w:rPr>
        <w:t>)</w:t>
      </w:r>
      <w:r w:rsidRPr="00F709E3">
        <w:rPr>
          <w:rFonts w:hint="eastAsia"/>
          <w:szCs w:val="18"/>
          <w:lang w:bidi="he-IL"/>
        </w:rPr>
        <w:t>，见第</w:t>
      </w:r>
      <w:r w:rsidRPr="00F709E3">
        <w:rPr>
          <w:szCs w:val="18"/>
          <w:lang w:bidi="he-IL"/>
        </w:rPr>
        <w:t>97-98</w:t>
      </w:r>
      <w:r w:rsidRPr="00F709E3">
        <w:rPr>
          <w:rFonts w:hint="eastAsia"/>
          <w:szCs w:val="18"/>
          <w:lang w:bidi="he-IL"/>
        </w:rPr>
        <w:t>页，第</w:t>
      </w:r>
      <w:r w:rsidRPr="00F709E3">
        <w:rPr>
          <w:szCs w:val="18"/>
          <w:lang w:bidi="he-IL"/>
        </w:rPr>
        <w:t>184</w:t>
      </w:r>
      <w:r w:rsidRPr="00F709E3">
        <w:rPr>
          <w:rFonts w:hint="eastAsia"/>
          <w:szCs w:val="18"/>
          <w:lang w:bidi="he-IL"/>
        </w:rPr>
        <w:t>段。</w:t>
      </w:r>
    </w:p>
  </w:footnote>
  <w:footnote w:id="255">
    <w:p w:rsidR="00AB00DE" w:rsidRPr="00F709E3" w:rsidRDefault="00AB00DE" w:rsidP="00F709E3">
      <w:pPr>
        <w:pStyle w:val="a4"/>
        <w:rPr>
          <w:szCs w:val="18"/>
        </w:rPr>
      </w:pPr>
      <w:r w:rsidRPr="00F709E3">
        <w:rPr>
          <w:rFonts w:eastAsia="楷体" w:hint="eastAsia"/>
          <w:szCs w:val="18"/>
        </w:rPr>
        <w:tab/>
      </w:r>
      <w:r w:rsidRPr="00DF5565">
        <w:rPr>
          <w:rStyle w:val="a5"/>
        </w:rPr>
        <w:footnoteRef/>
      </w:r>
      <w:r w:rsidRPr="00F709E3">
        <w:rPr>
          <w:rFonts w:eastAsia="楷体" w:hint="eastAsia"/>
          <w:szCs w:val="18"/>
        </w:rPr>
        <w:tab/>
      </w:r>
      <w:r w:rsidRPr="00F709E3">
        <w:rPr>
          <w:rFonts w:eastAsia="楷体" w:hint="eastAsia"/>
          <w:szCs w:val="18"/>
        </w:rPr>
        <w:t>北海大陆架案</w:t>
      </w:r>
      <w:r w:rsidRPr="00F709E3">
        <w:rPr>
          <w:szCs w:val="18"/>
        </w:rPr>
        <w:t>，判决，《</w:t>
      </w:r>
      <w:r w:rsidRPr="00F709E3">
        <w:rPr>
          <w:szCs w:val="18"/>
        </w:rPr>
        <w:t>1969</w:t>
      </w:r>
      <w:r w:rsidRPr="00F709E3">
        <w:rPr>
          <w:szCs w:val="18"/>
        </w:rPr>
        <w:t>年国际法院案例汇编》，</w:t>
      </w:r>
      <w:r w:rsidRPr="00F709E3">
        <w:rPr>
          <w:rFonts w:hint="eastAsia"/>
          <w:szCs w:val="18"/>
        </w:rPr>
        <w:t>第</w:t>
      </w:r>
      <w:r w:rsidRPr="00F709E3">
        <w:rPr>
          <w:szCs w:val="18"/>
        </w:rPr>
        <w:t>3</w:t>
      </w:r>
      <w:r w:rsidRPr="00F709E3">
        <w:rPr>
          <w:rFonts w:hint="eastAsia"/>
          <w:szCs w:val="18"/>
        </w:rPr>
        <w:t>页起，见第</w:t>
      </w:r>
      <w:r w:rsidRPr="00F709E3">
        <w:rPr>
          <w:szCs w:val="18"/>
        </w:rPr>
        <w:t>44</w:t>
      </w:r>
      <w:r w:rsidRPr="00F709E3">
        <w:rPr>
          <w:rFonts w:hint="eastAsia"/>
          <w:szCs w:val="18"/>
        </w:rPr>
        <w:t>页，第</w:t>
      </w:r>
      <w:r w:rsidRPr="00F709E3">
        <w:rPr>
          <w:szCs w:val="18"/>
        </w:rPr>
        <w:t>77</w:t>
      </w:r>
      <w:r w:rsidRPr="00F709E3">
        <w:rPr>
          <w:rFonts w:hint="eastAsia"/>
          <w:szCs w:val="18"/>
        </w:rPr>
        <w:t>段。</w:t>
      </w:r>
    </w:p>
  </w:footnote>
  <w:footnote w:id="256">
    <w:p w:rsidR="00AB00DE" w:rsidRPr="00F709E3" w:rsidRDefault="00AB00DE" w:rsidP="00F709E3">
      <w:pPr>
        <w:pStyle w:val="a4"/>
        <w:rPr>
          <w:i/>
          <w:iCs/>
          <w:szCs w:val="18"/>
        </w:rPr>
      </w:pPr>
      <w:r w:rsidRPr="00F709E3">
        <w:rPr>
          <w:rFonts w:hint="eastAsia"/>
          <w:szCs w:val="18"/>
        </w:rPr>
        <w:tab/>
      </w:r>
      <w:r w:rsidRPr="00DF5565">
        <w:rPr>
          <w:rStyle w:val="a5"/>
        </w:rPr>
        <w:footnoteRef/>
      </w:r>
      <w:r w:rsidRPr="00F709E3">
        <w:rPr>
          <w:rFonts w:hint="eastAsia"/>
          <w:szCs w:val="18"/>
        </w:rPr>
        <w:tab/>
      </w:r>
      <w:r w:rsidRPr="00F709E3">
        <w:rPr>
          <w:rFonts w:hint="eastAsia"/>
          <w:szCs w:val="18"/>
        </w:rPr>
        <w:t>例如，见</w:t>
      </w:r>
      <w:r w:rsidRPr="00F709E3">
        <w:rPr>
          <w:rFonts w:eastAsia="楷体" w:hint="eastAsia"/>
          <w:szCs w:val="18"/>
        </w:rPr>
        <w:t>国家的管辖豁免案</w:t>
      </w:r>
      <w:r w:rsidRPr="00F709E3">
        <w:rPr>
          <w:rFonts w:eastAsia="楷体"/>
          <w:szCs w:val="18"/>
        </w:rPr>
        <w:t>(</w:t>
      </w:r>
      <w:r w:rsidRPr="00F709E3">
        <w:rPr>
          <w:rFonts w:eastAsia="楷体"/>
          <w:szCs w:val="18"/>
        </w:rPr>
        <w:t>德国</w:t>
      </w:r>
      <w:r w:rsidRPr="00F709E3">
        <w:rPr>
          <w:rFonts w:eastAsia="楷体" w:hint="eastAsia"/>
          <w:szCs w:val="18"/>
        </w:rPr>
        <w:t>诉</w:t>
      </w:r>
      <w:r w:rsidRPr="00F709E3">
        <w:rPr>
          <w:rFonts w:eastAsia="楷体"/>
          <w:szCs w:val="18"/>
        </w:rPr>
        <w:t>意大利</w:t>
      </w:r>
      <w:r w:rsidRPr="00F709E3">
        <w:rPr>
          <w:rFonts w:eastAsia="楷体" w:hint="eastAsia"/>
          <w:szCs w:val="18"/>
        </w:rPr>
        <w:t>：</w:t>
      </w:r>
      <w:r w:rsidRPr="00F709E3">
        <w:rPr>
          <w:rFonts w:eastAsia="楷体"/>
          <w:szCs w:val="18"/>
        </w:rPr>
        <w:t>希腊</w:t>
      </w:r>
      <w:r w:rsidRPr="00F709E3">
        <w:rPr>
          <w:rFonts w:eastAsia="楷体" w:hint="eastAsia"/>
          <w:szCs w:val="18"/>
        </w:rPr>
        <w:t>参加诉讼</w:t>
      </w:r>
      <w:r w:rsidRPr="00F709E3">
        <w:rPr>
          <w:rFonts w:eastAsia="楷体"/>
          <w:szCs w:val="18"/>
        </w:rPr>
        <w:t>)</w:t>
      </w:r>
      <w:r w:rsidRPr="00F709E3">
        <w:rPr>
          <w:szCs w:val="18"/>
        </w:rPr>
        <w:t>，判决，《</w:t>
      </w:r>
      <w:r w:rsidRPr="00F709E3">
        <w:rPr>
          <w:szCs w:val="18"/>
        </w:rPr>
        <w:t>2012</w:t>
      </w:r>
      <w:r w:rsidRPr="00F709E3">
        <w:rPr>
          <w:szCs w:val="18"/>
        </w:rPr>
        <w:t>年国际法院案例汇编》，</w:t>
      </w:r>
      <w:r w:rsidRPr="00F709E3">
        <w:rPr>
          <w:rFonts w:hint="eastAsia"/>
          <w:szCs w:val="18"/>
        </w:rPr>
        <w:t>第</w:t>
      </w:r>
      <w:r w:rsidRPr="00F709E3">
        <w:rPr>
          <w:szCs w:val="18"/>
        </w:rPr>
        <w:t>99</w:t>
      </w:r>
      <w:r w:rsidRPr="00F709E3">
        <w:rPr>
          <w:rFonts w:hint="eastAsia"/>
          <w:szCs w:val="18"/>
        </w:rPr>
        <w:t>页起，见第</w:t>
      </w:r>
      <w:r w:rsidRPr="00F709E3">
        <w:rPr>
          <w:szCs w:val="18"/>
        </w:rPr>
        <w:t>122-123</w:t>
      </w:r>
      <w:r w:rsidRPr="00F709E3">
        <w:rPr>
          <w:rFonts w:hint="eastAsia"/>
          <w:szCs w:val="18"/>
        </w:rPr>
        <w:t>页，第</w:t>
      </w:r>
      <w:r w:rsidRPr="00F709E3">
        <w:rPr>
          <w:szCs w:val="18"/>
        </w:rPr>
        <w:t>55</w:t>
      </w:r>
      <w:r w:rsidRPr="00F709E3">
        <w:rPr>
          <w:rFonts w:hint="eastAsia"/>
          <w:szCs w:val="18"/>
        </w:rPr>
        <w:t>段；</w:t>
      </w:r>
      <w:r w:rsidRPr="00F709E3">
        <w:rPr>
          <w:rFonts w:eastAsia="楷体" w:hint="eastAsia"/>
          <w:szCs w:val="18"/>
        </w:rPr>
        <w:t>大陆架案</w:t>
      </w:r>
      <w:r w:rsidRPr="00F709E3">
        <w:rPr>
          <w:rFonts w:eastAsia="楷体"/>
          <w:szCs w:val="18"/>
        </w:rPr>
        <w:t>(</w:t>
      </w:r>
      <w:r w:rsidRPr="00F709E3">
        <w:rPr>
          <w:rFonts w:eastAsia="楷体"/>
          <w:szCs w:val="18"/>
        </w:rPr>
        <w:t>阿拉伯利比亚民众国</w:t>
      </w:r>
      <w:r w:rsidRPr="00F709E3">
        <w:rPr>
          <w:rFonts w:eastAsia="楷体"/>
          <w:szCs w:val="18"/>
        </w:rPr>
        <w:t>/</w:t>
      </w:r>
      <w:r w:rsidRPr="00F709E3">
        <w:rPr>
          <w:rFonts w:eastAsia="楷体"/>
          <w:szCs w:val="18"/>
        </w:rPr>
        <w:t>马耳他</w:t>
      </w:r>
      <w:r w:rsidRPr="00F709E3">
        <w:rPr>
          <w:rFonts w:eastAsia="楷体"/>
          <w:szCs w:val="18"/>
        </w:rPr>
        <w:t>)</w:t>
      </w:r>
      <w:r w:rsidRPr="00F709E3">
        <w:rPr>
          <w:szCs w:val="18"/>
        </w:rPr>
        <w:t>，判决，《</w:t>
      </w:r>
      <w:r w:rsidRPr="00F709E3">
        <w:rPr>
          <w:szCs w:val="18"/>
        </w:rPr>
        <w:t>1985</w:t>
      </w:r>
      <w:r w:rsidRPr="00F709E3">
        <w:rPr>
          <w:szCs w:val="18"/>
        </w:rPr>
        <w:t>年国际法院案例汇编》，</w:t>
      </w:r>
      <w:r w:rsidRPr="00F709E3">
        <w:rPr>
          <w:rFonts w:hint="eastAsia"/>
          <w:szCs w:val="18"/>
        </w:rPr>
        <w:t>第</w:t>
      </w:r>
      <w:r w:rsidRPr="00F709E3">
        <w:rPr>
          <w:szCs w:val="18"/>
        </w:rPr>
        <w:t>13</w:t>
      </w:r>
      <w:r w:rsidRPr="00F709E3">
        <w:rPr>
          <w:rFonts w:hint="eastAsia"/>
          <w:szCs w:val="18"/>
        </w:rPr>
        <w:t>页起，见第</w:t>
      </w:r>
      <w:r w:rsidRPr="00F709E3">
        <w:rPr>
          <w:szCs w:val="18"/>
        </w:rPr>
        <w:t>29-30</w:t>
      </w:r>
      <w:r w:rsidRPr="00F709E3">
        <w:rPr>
          <w:rFonts w:hint="eastAsia"/>
          <w:szCs w:val="18"/>
        </w:rPr>
        <w:t>页，第</w:t>
      </w:r>
      <w:r w:rsidRPr="00F709E3">
        <w:rPr>
          <w:szCs w:val="18"/>
        </w:rPr>
        <w:t>27</w:t>
      </w:r>
      <w:r w:rsidRPr="00F709E3">
        <w:rPr>
          <w:rFonts w:hint="eastAsia"/>
          <w:szCs w:val="18"/>
        </w:rPr>
        <w:t>段；</w:t>
      </w:r>
      <w:r w:rsidRPr="00F709E3">
        <w:rPr>
          <w:rFonts w:eastAsia="楷体" w:hint="eastAsia"/>
          <w:szCs w:val="18"/>
        </w:rPr>
        <w:t>北海大陆架案</w:t>
      </w:r>
      <w:r w:rsidRPr="00F709E3">
        <w:rPr>
          <w:szCs w:val="18"/>
        </w:rPr>
        <w:t>(</w:t>
      </w:r>
      <w:r w:rsidRPr="00F709E3">
        <w:rPr>
          <w:rFonts w:hint="eastAsia"/>
          <w:szCs w:val="18"/>
        </w:rPr>
        <w:t>见上文脚注</w:t>
      </w:r>
      <w:r w:rsidRPr="00F709E3">
        <w:rPr>
          <w:szCs w:val="18"/>
        </w:rPr>
        <w:fldChar w:fldCharType="begin"/>
      </w:r>
      <w:r w:rsidRPr="00F709E3">
        <w:rPr>
          <w:szCs w:val="18"/>
        </w:rPr>
        <w:instrText xml:space="preserve"> NOTEREF _Ref453666652 \h  \* MERGEFORMAT </w:instrText>
      </w:r>
      <w:r w:rsidRPr="00F709E3">
        <w:rPr>
          <w:szCs w:val="18"/>
        </w:rPr>
      </w:r>
      <w:r w:rsidRPr="00F709E3">
        <w:rPr>
          <w:szCs w:val="18"/>
        </w:rPr>
        <w:fldChar w:fldCharType="separate"/>
      </w:r>
      <w:r w:rsidR="00A73EB9">
        <w:rPr>
          <w:szCs w:val="18"/>
        </w:rPr>
        <w:t>254</w:t>
      </w:r>
      <w:r w:rsidRPr="00F709E3">
        <w:rPr>
          <w:szCs w:val="18"/>
        </w:rPr>
        <w:fldChar w:fldCharType="end"/>
      </w:r>
      <w:r w:rsidRPr="00F709E3">
        <w:rPr>
          <w:szCs w:val="18"/>
        </w:rPr>
        <w:t>)</w:t>
      </w:r>
      <w:r w:rsidRPr="00F709E3">
        <w:rPr>
          <w:rFonts w:hint="eastAsia"/>
          <w:szCs w:val="18"/>
        </w:rPr>
        <w:t>，见第</w:t>
      </w:r>
      <w:r w:rsidRPr="00F709E3">
        <w:rPr>
          <w:szCs w:val="18"/>
        </w:rPr>
        <w:t>44</w:t>
      </w:r>
      <w:r w:rsidRPr="00F709E3">
        <w:rPr>
          <w:rFonts w:hint="eastAsia"/>
          <w:szCs w:val="18"/>
        </w:rPr>
        <w:t>页，第</w:t>
      </w:r>
      <w:r w:rsidRPr="00F709E3">
        <w:rPr>
          <w:szCs w:val="18"/>
        </w:rPr>
        <w:t>77</w:t>
      </w:r>
      <w:r w:rsidRPr="00F709E3">
        <w:rPr>
          <w:rFonts w:hint="eastAsia"/>
          <w:szCs w:val="18"/>
        </w:rPr>
        <w:t>段。</w:t>
      </w:r>
    </w:p>
  </w:footnote>
  <w:footnote w:id="257">
    <w:p w:rsidR="00AB00DE" w:rsidRPr="00F709E3" w:rsidRDefault="00AB00DE" w:rsidP="00F709E3">
      <w:pPr>
        <w:pStyle w:val="a4"/>
        <w:rPr>
          <w:szCs w:val="18"/>
        </w:rPr>
      </w:pPr>
      <w:r w:rsidRPr="00F709E3">
        <w:rPr>
          <w:rFonts w:hint="eastAsia"/>
          <w:szCs w:val="18"/>
        </w:rPr>
        <w:tab/>
      </w:r>
      <w:r w:rsidRPr="00DF5565">
        <w:rPr>
          <w:rStyle w:val="a5"/>
        </w:rPr>
        <w:footnoteRef/>
      </w:r>
      <w:r w:rsidRPr="00F709E3">
        <w:rPr>
          <w:rFonts w:hint="eastAsia"/>
          <w:szCs w:val="18"/>
        </w:rPr>
        <w:tab/>
      </w:r>
      <w:r w:rsidRPr="00F709E3">
        <w:rPr>
          <w:rFonts w:hint="eastAsia"/>
          <w:szCs w:val="18"/>
        </w:rPr>
        <w:t>例如，在</w:t>
      </w:r>
      <w:r w:rsidRPr="00F709E3">
        <w:rPr>
          <w:rFonts w:eastAsia="楷体" w:hint="eastAsia"/>
          <w:szCs w:val="18"/>
        </w:rPr>
        <w:t>国家的管辖豁免案</w:t>
      </w:r>
      <w:r w:rsidRPr="00F709E3">
        <w:rPr>
          <w:rFonts w:hint="eastAsia"/>
          <w:szCs w:val="18"/>
        </w:rPr>
        <w:t>中，对国内法律、司法判决以及主张和其他官方声明等形式的国家惯例进行了广泛的调查，发现这种国家惯例伴有法律确信，从而识别了习惯国际法规定的国家豁免的范围</w:t>
      </w:r>
      <w:r w:rsidRPr="00F709E3">
        <w:rPr>
          <w:szCs w:val="18"/>
        </w:rPr>
        <w:t>(</w:t>
      </w:r>
      <w:r w:rsidRPr="00F709E3">
        <w:rPr>
          <w:rFonts w:eastAsia="楷体" w:hint="eastAsia"/>
          <w:szCs w:val="18"/>
        </w:rPr>
        <w:t>国家的管辖豁免案</w:t>
      </w:r>
      <w:r w:rsidRPr="00F709E3">
        <w:rPr>
          <w:szCs w:val="18"/>
        </w:rPr>
        <w:t>(</w:t>
      </w:r>
      <w:r w:rsidRPr="00F709E3">
        <w:rPr>
          <w:rFonts w:hint="eastAsia"/>
          <w:szCs w:val="18"/>
        </w:rPr>
        <w:t>见上文脚注</w:t>
      </w:r>
      <w:r w:rsidRPr="00F709E3">
        <w:rPr>
          <w:szCs w:val="18"/>
        </w:rPr>
        <w:fldChar w:fldCharType="begin"/>
      </w:r>
      <w:r w:rsidRPr="00F709E3">
        <w:rPr>
          <w:szCs w:val="18"/>
        </w:rPr>
        <w:instrText xml:space="preserve"> NOTEREF _Ref453667027 \h  \* MERGEFORMAT </w:instrText>
      </w:r>
      <w:r w:rsidRPr="00F709E3">
        <w:rPr>
          <w:szCs w:val="18"/>
        </w:rPr>
      </w:r>
      <w:r w:rsidRPr="00F709E3">
        <w:rPr>
          <w:szCs w:val="18"/>
        </w:rPr>
        <w:fldChar w:fldCharType="separate"/>
      </w:r>
      <w:r w:rsidR="00A73EB9">
        <w:rPr>
          <w:szCs w:val="18"/>
        </w:rPr>
        <w:t>255</w:t>
      </w:r>
      <w:r w:rsidRPr="00F709E3">
        <w:rPr>
          <w:szCs w:val="18"/>
        </w:rPr>
        <w:fldChar w:fldCharType="end"/>
      </w:r>
      <w:r w:rsidRPr="00F709E3">
        <w:rPr>
          <w:szCs w:val="18"/>
        </w:rPr>
        <w:t>)</w:t>
      </w:r>
      <w:r w:rsidRPr="00F709E3">
        <w:rPr>
          <w:rFonts w:hint="eastAsia"/>
          <w:szCs w:val="18"/>
        </w:rPr>
        <w:t>，见第</w:t>
      </w:r>
      <w:r w:rsidRPr="00F709E3">
        <w:rPr>
          <w:szCs w:val="18"/>
        </w:rPr>
        <w:t>122-139</w:t>
      </w:r>
      <w:r w:rsidRPr="00F709E3">
        <w:rPr>
          <w:rFonts w:hint="eastAsia"/>
          <w:szCs w:val="18"/>
        </w:rPr>
        <w:t>页，第</w:t>
      </w:r>
      <w:r w:rsidRPr="00F709E3">
        <w:rPr>
          <w:szCs w:val="18"/>
        </w:rPr>
        <w:t>55-91</w:t>
      </w:r>
      <w:r w:rsidRPr="00F709E3">
        <w:rPr>
          <w:rFonts w:hint="eastAsia"/>
          <w:szCs w:val="18"/>
        </w:rPr>
        <w:t>段</w:t>
      </w:r>
      <w:r w:rsidRPr="00F709E3">
        <w:rPr>
          <w:szCs w:val="18"/>
        </w:rPr>
        <w:t>)</w:t>
      </w:r>
      <w:r w:rsidRPr="00F709E3">
        <w:rPr>
          <w:rFonts w:hint="eastAsia"/>
          <w:szCs w:val="18"/>
        </w:rPr>
        <w:t>。</w:t>
      </w:r>
    </w:p>
  </w:footnote>
  <w:footnote w:id="258">
    <w:p w:rsidR="00AB00DE" w:rsidRPr="00F709E3" w:rsidRDefault="00AB00DE" w:rsidP="00F709E3">
      <w:pPr>
        <w:pStyle w:val="a4"/>
        <w:rPr>
          <w:szCs w:val="18"/>
        </w:rPr>
      </w:pPr>
      <w:r w:rsidRPr="00F709E3">
        <w:rPr>
          <w:rFonts w:hint="eastAsia"/>
          <w:szCs w:val="18"/>
        </w:rPr>
        <w:tab/>
      </w:r>
      <w:r w:rsidRPr="00DF5565">
        <w:rPr>
          <w:rStyle w:val="a5"/>
        </w:rPr>
        <w:footnoteRef/>
      </w:r>
      <w:r w:rsidRPr="00F709E3">
        <w:rPr>
          <w:rFonts w:hint="eastAsia"/>
          <w:szCs w:val="18"/>
        </w:rPr>
        <w:tab/>
      </w:r>
      <w:r w:rsidRPr="00F709E3">
        <w:rPr>
          <w:rFonts w:eastAsia="楷体" w:hint="eastAsia"/>
          <w:szCs w:val="18"/>
        </w:rPr>
        <w:t>哥伦比亚－秘鲁庇护权案</w:t>
      </w:r>
      <w:r w:rsidRPr="00F709E3">
        <w:rPr>
          <w:rFonts w:hint="eastAsia"/>
          <w:szCs w:val="18"/>
        </w:rPr>
        <w:t>，</w:t>
      </w:r>
      <w:r w:rsidRPr="00F709E3">
        <w:rPr>
          <w:szCs w:val="18"/>
        </w:rPr>
        <w:t>1950</w:t>
      </w:r>
      <w:r w:rsidRPr="00F709E3">
        <w:rPr>
          <w:rFonts w:hint="eastAsia"/>
          <w:szCs w:val="18"/>
        </w:rPr>
        <w:t>年</w:t>
      </w:r>
      <w:r w:rsidRPr="00F709E3">
        <w:rPr>
          <w:rFonts w:hint="eastAsia"/>
          <w:szCs w:val="18"/>
        </w:rPr>
        <w:t>11</w:t>
      </w:r>
      <w:r w:rsidRPr="00F709E3">
        <w:rPr>
          <w:rFonts w:hint="eastAsia"/>
          <w:szCs w:val="18"/>
        </w:rPr>
        <w:t>月</w:t>
      </w:r>
      <w:r w:rsidRPr="00F709E3">
        <w:rPr>
          <w:rFonts w:hint="eastAsia"/>
          <w:szCs w:val="18"/>
        </w:rPr>
        <w:t>20</w:t>
      </w:r>
      <w:r w:rsidRPr="00F709E3">
        <w:rPr>
          <w:rFonts w:hint="eastAsia"/>
          <w:szCs w:val="18"/>
        </w:rPr>
        <w:t>日的判决：</w:t>
      </w:r>
      <w:r w:rsidRPr="00F709E3">
        <w:rPr>
          <w:szCs w:val="18"/>
        </w:rPr>
        <w:t>《</w:t>
      </w:r>
      <w:r w:rsidRPr="00F709E3">
        <w:rPr>
          <w:szCs w:val="18"/>
        </w:rPr>
        <w:t>19</w:t>
      </w:r>
      <w:r w:rsidRPr="00F709E3">
        <w:rPr>
          <w:rFonts w:hint="eastAsia"/>
          <w:szCs w:val="18"/>
        </w:rPr>
        <w:t>50</w:t>
      </w:r>
      <w:r w:rsidRPr="00F709E3">
        <w:rPr>
          <w:szCs w:val="18"/>
        </w:rPr>
        <w:t>年国际法院案例汇编》，</w:t>
      </w:r>
      <w:r w:rsidRPr="00F709E3">
        <w:rPr>
          <w:rFonts w:hint="eastAsia"/>
          <w:szCs w:val="18"/>
        </w:rPr>
        <w:t>第</w:t>
      </w:r>
      <w:r w:rsidRPr="00F709E3">
        <w:rPr>
          <w:szCs w:val="18"/>
        </w:rPr>
        <w:t>266</w:t>
      </w:r>
      <w:r w:rsidRPr="00F709E3">
        <w:rPr>
          <w:rFonts w:hint="eastAsia"/>
          <w:szCs w:val="18"/>
        </w:rPr>
        <w:t>页起，见第</w:t>
      </w:r>
      <w:r w:rsidRPr="00F709E3">
        <w:rPr>
          <w:szCs w:val="18"/>
        </w:rPr>
        <w:t>277</w:t>
      </w:r>
      <w:r w:rsidRPr="00F709E3">
        <w:rPr>
          <w:rFonts w:hint="eastAsia"/>
          <w:szCs w:val="18"/>
        </w:rPr>
        <w:t>页。</w:t>
      </w:r>
    </w:p>
  </w:footnote>
  <w:footnote w:id="259">
    <w:p w:rsidR="00AB00DE" w:rsidRPr="00F709E3" w:rsidRDefault="00AB00DE" w:rsidP="00F709E3">
      <w:pPr>
        <w:pStyle w:val="a4"/>
        <w:rPr>
          <w:szCs w:val="18"/>
        </w:rPr>
      </w:pPr>
      <w:r w:rsidRPr="00F709E3">
        <w:rPr>
          <w:rFonts w:hint="eastAsia"/>
          <w:szCs w:val="18"/>
        </w:rPr>
        <w:tab/>
      </w:r>
      <w:r w:rsidRPr="00DF5565">
        <w:rPr>
          <w:rStyle w:val="a5"/>
        </w:rPr>
        <w:footnoteRef/>
      </w:r>
      <w:r w:rsidRPr="00F709E3">
        <w:rPr>
          <w:rFonts w:hint="eastAsia"/>
          <w:szCs w:val="18"/>
        </w:rPr>
        <w:tab/>
      </w:r>
      <w:r w:rsidRPr="00F709E3">
        <w:rPr>
          <w:rFonts w:hint="eastAsia"/>
          <w:szCs w:val="18"/>
        </w:rPr>
        <w:t>例如，在</w:t>
      </w:r>
      <w:r w:rsidRPr="00F709E3">
        <w:rPr>
          <w:rFonts w:eastAsia="楷体" w:hint="eastAsia"/>
          <w:szCs w:val="18"/>
        </w:rPr>
        <w:t>通行权案</w:t>
      </w:r>
      <w:r w:rsidRPr="00F709E3">
        <w:rPr>
          <w:rFonts w:hint="eastAsia"/>
          <w:szCs w:val="18"/>
        </w:rPr>
        <w:t>中，法院认为没有证据表明，葡萄牙武装部队和武装警察经印度领土在达曼与葡属印度飞地之间以及在两个飞地本身之间反复通行的惯例是依法当然许可或依法当然行使的。法院解释称：“考虑到本案的特殊情况，法院认为，通行前必须获得许可的这一情况依法当然构成通行权谈判。该惯例意味着，领土主权享有撤回或拒绝许可的酌处权。有人辩称，通行一贯可以得到许可，但法院认为这不影响法律立场。没有任何记录表明，给予许可是英国或印度负有的义务”</w:t>
      </w:r>
      <w:r w:rsidRPr="00F709E3">
        <w:rPr>
          <w:szCs w:val="18"/>
        </w:rPr>
        <w:t>(</w:t>
      </w:r>
      <w:r w:rsidRPr="00F709E3">
        <w:rPr>
          <w:rFonts w:eastAsia="楷体" w:hint="eastAsia"/>
          <w:szCs w:val="18"/>
        </w:rPr>
        <w:t>在印度领土上的通行权案</w:t>
      </w:r>
      <w:r w:rsidRPr="00F709E3">
        <w:rPr>
          <w:rFonts w:eastAsia="楷体" w:hint="eastAsia"/>
          <w:szCs w:val="18"/>
        </w:rPr>
        <w:t>(</w:t>
      </w:r>
      <w:r w:rsidRPr="00F709E3">
        <w:rPr>
          <w:rFonts w:eastAsia="楷体" w:hint="eastAsia"/>
          <w:szCs w:val="18"/>
        </w:rPr>
        <w:t>实质问题</w:t>
      </w:r>
      <w:r w:rsidRPr="00F709E3">
        <w:rPr>
          <w:rFonts w:eastAsia="楷体" w:hint="eastAsia"/>
          <w:szCs w:val="18"/>
        </w:rPr>
        <w:t>)</w:t>
      </w:r>
      <w:r w:rsidRPr="00F709E3">
        <w:rPr>
          <w:rFonts w:hint="eastAsia"/>
          <w:szCs w:val="18"/>
        </w:rPr>
        <w:t>，</w:t>
      </w:r>
      <w:r w:rsidRPr="00F709E3">
        <w:rPr>
          <w:szCs w:val="18"/>
        </w:rPr>
        <w:t>1960</w:t>
      </w:r>
      <w:r w:rsidRPr="00F709E3">
        <w:rPr>
          <w:rFonts w:hint="eastAsia"/>
          <w:szCs w:val="18"/>
        </w:rPr>
        <w:t>年</w:t>
      </w:r>
      <w:r w:rsidRPr="00F709E3">
        <w:rPr>
          <w:rFonts w:hint="eastAsia"/>
          <w:szCs w:val="18"/>
        </w:rPr>
        <w:t>4</w:t>
      </w:r>
      <w:r w:rsidRPr="00F709E3">
        <w:rPr>
          <w:rFonts w:hint="eastAsia"/>
          <w:szCs w:val="18"/>
        </w:rPr>
        <w:t>月</w:t>
      </w:r>
      <w:r w:rsidRPr="00F709E3">
        <w:rPr>
          <w:rFonts w:hint="eastAsia"/>
          <w:szCs w:val="18"/>
        </w:rPr>
        <w:t>12</w:t>
      </w:r>
      <w:r w:rsidRPr="00F709E3">
        <w:rPr>
          <w:rFonts w:hint="eastAsia"/>
          <w:szCs w:val="18"/>
        </w:rPr>
        <w:t>日的判决：</w:t>
      </w:r>
      <w:r w:rsidRPr="00F709E3">
        <w:rPr>
          <w:szCs w:val="18"/>
        </w:rPr>
        <w:t>《</w:t>
      </w:r>
      <w:r w:rsidRPr="00F709E3">
        <w:rPr>
          <w:szCs w:val="18"/>
        </w:rPr>
        <w:t>19</w:t>
      </w:r>
      <w:r w:rsidRPr="00F709E3">
        <w:rPr>
          <w:rFonts w:hint="eastAsia"/>
          <w:szCs w:val="18"/>
        </w:rPr>
        <w:t>60</w:t>
      </w:r>
      <w:r w:rsidRPr="00F709E3">
        <w:rPr>
          <w:szCs w:val="18"/>
        </w:rPr>
        <w:t>年国际法院案例汇编》，</w:t>
      </w:r>
      <w:r w:rsidRPr="00F709E3">
        <w:rPr>
          <w:rFonts w:hint="eastAsia"/>
          <w:szCs w:val="18"/>
        </w:rPr>
        <w:t>第</w:t>
      </w:r>
      <w:r w:rsidRPr="00F709E3">
        <w:rPr>
          <w:szCs w:val="18"/>
        </w:rPr>
        <w:t>6</w:t>
      </w:r>
      <w:r w:rsidRPr="00F709E3">
        <w:rPr>
          <w:rFonts w:hint="eastAsia"/>
          <w:szCs w:val="18"/>
        </w:rPr>
        <w:t>页起，见第</w:t>
      </w:r>
      <w:r w:rsidRPr="00F709E3">
        <w:rPr>
          <w:szCs w:val="18"/>
        </w:rPr>
        <w:t>4</w:t>
      </w:r>
      <w:r w:rsidRPr="00F709E3">
        <w:rPr>
          <w:rFonts w:hint="eastAsia"/>
          <w:szCs w:val="18"/>
        </w:rPr>
        <w:t>0</w:t>
      </w:r>
      <w:r w:rsidRPr="00F709E3">
        <w:rPr>
          <w:szCs w:val="18"/>
        </w:rPr>
        <w:t>-43</w:t>
      </w:r>
      <w:r w:rsidRPr="00F709E3">
        <w:rPr>
          <w:rFonts w:hint="eastAsia"/>
          <w:szCs w:val="18"/>
        </w:rPr>
        <w:t>页</w:t>
      </w:r>
      <w:r w:rsidRPr="00F709E3">
        <w:rPr>
          <w:szCs w:val="18"/>
        </w:rPr>
        <w:t>)</w:t>
      </w:r>
      <w:r w:rsidRPr="00F709E3">
        <w:rPr>
          <w:rFonts w:hint="eastAsia"/>
          <w:szCs w:val="18"/>
        </w:rPr>
        <w:t>。在</w:t>
      </w:r>
      <w:r w:rsidRPr="00F709E3">
        <w:rPr>
          <w:rFonts w:eastAsia="楷体"/>
          <w:iCs/>
          <w:szCs w:val="18"/>
        </w:rPr>
        <w:t>以核武器相威胁或使用核武器的合法性</w:t>
      </w:r>
      <w:r w:rsidRPr="00F709E3">
        <w:rPr>
          <w:rFonts w:hint="eastAsia"/>
          <w:szCs w:val="18"/>
        </w:rPr>
        <w:t>一案中，法院认为：“一方面，有了新生的法律确信，而另一方面，仍存在对威慑做法的强烈坚持，这二者之间的关系持续紧张，使专门禁止使用核武器的习惯规则难以作为现行法出现。”</w:t>
      </w:r>
      <w:r w:rsidRPr="00F709E3">
        <w:rPr>
          <w:szCs w:val="18"/>
        </w:rPr>
        <w:t>(</w:t>
      </w:r>
      <w:r w:rsidRPr="00F709E3">
        <w:rPr>
          <w:rFonts w:eastAsia="楷体" w:hint="eastAsia"/>
          <w:szCs w:val="18"/>
        </w:rPr>
        <w:t>以核武器相威胁或使用核武器的合法性</w:t>
      </w:r>
      <w:r w:rsidRPr="00F709E3">
        <w:rPr>
          <w:rFonts w:hint="eastAsia"/>
          <w:szCs w:val="18"/>
        </w:rPr>
        <w:t>，咨询意见，</w:t>
      </w:r>
      <w:r w:rsidRPr="00F709E3">
        <w:rPr>
          <w:szCs w:val="18"/>
        </w:rPr>
        <w:t>《</w:t>
      </w:r>
      <w:r w:rsidRPr="00F709E3">
        <w:rPr>
          <w:szCs w:val="18"/>
        </w:rPr>
        <w:t>1996</w:t>
      </w:r>
      <w:r w:rsidRPr="00F709E3">
        <w:rPr>
          <w:szCs w:val="18"/>
        </w:rPr>
        <w:t>年国际法院案例汇编》，</w:t>
      </w:r>
      <w:r w:rsidRPr="00F709E3">
        <w:rPr>
          <w:rFonts w:hint="eastAsia"/>
          <w:szCs w:val="18"/>
        </w:rPr>
        <w:t>第</w:t>
      </w:r>
      <w:r w:rsidRPr="00F709E3">
        <w:rPr>
          <w:szCs w:val="18"/>
        </w:rPr>
        <w:t>226</w:t>
      </w:r>
      <w:r w:rsidRPr="00F709E3">
        <w:rPr>
          <w:rFonts w:hint="eastAsia"/>
          <w:szCs w:val="18"/>
        </w:rPr>
        <w:t>页起，见第</w:t>
      </w:r>
      <w:r w:rsidRPr="00F709E3">
        <w:rPr>
          <w:szCs w:val="18"/>
        </w:rPr>
        <w:t>255</w:t>
      </w:r>
      <w:r w:rsidRPr="00F709E3">
        <w:rPr>
          <w:rFonts w:hint="eastAsia"/>
          <w:szCs w:val="18"/>
        </w:rPr>
        <w:t>页，第</w:t>
      </w:r>
      <w:r w:rsidRPr="00F709E3">
        <w:rPr>
          <w:szCs w:val="18"/>
        </w:rPr>
        <w:t>73</w:t>
      </w:r>
      <w:r w:rsidRPr="00F709E3">
        <w:rPr>
          <w:rFonts w:hint="eastAsia"/>
          <w:szCs w:val="18"/>
        </w:rPr>
        <w:t>段</w:t>
      </w:r>
      <w:r w:rsidRPr="00F709E3">
        <w:rPr>
          <w:szCs w:val="18"/>
        </w:rPr>
        <w:t>)</w:t>
      </w:r>
      <w:r w:rsidRPr="00F709E3">
        <w:rPr>
          <w:rFonts w:hint="eastAsia"/>
          <w:szCs w:val="18"/>
        </w:rPr>
        <w:t>。另见</w:t>
      </w:r>
      <w:r w:rsidRPr="00F709E3">
        <w:rPr>
          <w:rFonts w:eastAsia="楷体" w:hint="eastAsia"/>
          <w:szCs w:val="18"/>
        </w:rPr>
        <w:t>检察官诉萨姆·辛加·诺曼案</w:t>
      </w:r>
      <w:r w:rsidRPr="00F709E3">
        <w:rPr>
          <w:szCs w:val="18"/>
        </w:rPr>
        <w:t>，塞拉利昂特别法庭，</w:t>
      </w:r>
      <w:r w:rsidRPr="00F709E3">
        <w:rPr>
          <w:rFonts w:hint="eastAsia"/>
          <w:szCs w:val="18"/>
          <w:lang w:bidi="he-IL"/>
        </w:rPr>
        <w:t>案件号</w:t>
      </w:r>
      <w:r w:rsidRPr="00F709E3">
        <w:rPr>
          <w:szCs w:val="18"/>
          <w:lang w:bidi="he-IL"/>
        </w:rPr>
        <w:t>SCSL-2004-14-AR72(E)</w:t>
      </w:r>
      <w:r w:rsidRPr="00F709E3">
        <w:rPr>
          <w:rFonts w:hint="eastAsia"/>
          <w:szCs w:val="18"/>
          <w:lang w:bidi="he-IL"/>
        </w:rPr>
        <w:t>，对以缺乏管辖权为由提出的初步请求所作裁定</w:t>
      </w:r>
      <w:r w:rsidRPr="00F709E3">
        <w:rPr>
          <w:rFonts w:hint="eastAsia"/>
          <w:szCs w:val="18"/>
          <w:lang w:bidi="he-IL"/>
        </w:rPr>
        <w:t>(</w:t>
      </w:r>
      <w:r w:rsidRPr="00F709E3">
        <w:rPr>
          <w:rFonts w:hint="eastAsia"/>
          <w:szCs w:val="18"/>
          <w:lang w:bidi="he-IL"/>
        </w:rPr>
        <w:t>招募儿童</w:t>
      </w:r>
      <w:r w:rsidRPr="00F709E3">
        <w:rPr>
          <w:szCs w:val="18"/>
          <w:lang w:bidi="he-IL"/>
        </w:rPr>
        <w:t>)</w:t>
      </w:r>
      <w:r w:rsidRPr="00F709E3">
        <w:rPr>
          <w:rFonts w:hint="eastAsia"/>
          <w:szCs w:val="18"/>
          <w:lang w:bidi="he-IL"/>
        </w:rPr>
        <w:t>，</w:t>
      </w:r>
      <w:r w:rsidRPr="00F709E3">
        <w:rPr>
          <w:szCs w:val="18"/>
          <w:lang w:bidi="he-IL"/>
        </w:rPr>
        <w:t>2004</w:t>
      </w:r>
      <w:r w:rsidRPr="00F709E3">
        <w:rPr>
          <w:rFonts w:hint="eastAsia"/>
          <w:szCs w:val="18"/>
          <w:lang w:bidi="he-IL"/>
        </w:rPr>
        <w:t>年</w:t>
      </w:r>
      <w:r w:rsidRPr="00F709E3">
        <w:rPr>
          <w:rFonts w:hint="eastAsia"/>
          <w:szCs w:val="18"/>
          <w:lang w:bidi="he-IL"/>
        </w:rPr>
        <w:t>5</w:t>
      </w:r>
      <w:r w:rsidRPr="00F709E3">
        <w:rPr>
          <w:rFonts w:hint="eastAsia"/>
          <w:szCs w:val="18"/>
          <w:lang w:bidi="he-IL"/>
        </w:rPr>
        <w:t>月</w:t>
      </w:r>
      <w:r w:rsidRPr="00F709E3">
        <w:rPr>
          <w:rFonts w:hint="eastAsia"/>
          <w:szCs w:val="18"/>
          <w:lang w:bidi="he-IL"/>
        </w:rPr>
        <w:t>31</w:t>
      </w:r>
      <w:r w:rsidRPr="00F709E3">
        <w:rPr>
          <w:rFonts w:hint="eastAsia"/>
          <w:szCs w:val="18"/>
          <w:lang w:bidi="he-IL"/>
        </w:rPr>
        <w:t>日，第</w:t>
      </w:r>
      <w:r w:rsidRPr="00F709E3">
        <w:rPr>
          <w:szCs w:val="18"/>
          <w:lang w:bidi="he-IL"/>
        </w:rPr>
        <w:t>13</w:t>
      </w:r>
      <w:r w:rsidRPr="00F709E3">
        <w:rPr>
          <w:rFonts w:hint="eastAsia"/>
          <w:szCs w:val="18"/>
          <w:lang w:bidi="he-IL"/>
        </w:rPr>
        <w:t>页，第</w:t>
      </w:r>
      <w:r w:rsidRPr="00F709E3">
        <w:rPr>
          <w:szCs w:val="18"/>
          <w:lang w:bidi="he-IL"/>
        </w:rPr>
        <w:t>17</w:t>
      </w:r>
      <w:r w:rsidRPr="00F709E3">
        <w:rPr>
          <w:rFonts w:hint="eastAsia"/>
          <w:szCs w:val="18"/>
          <w:lang w:bidi="he-IL"/>
        </w:rPr>
        <w:t>段。</w:t>
      </w:r>
    </w:p>
  </w:footnote>
  <w:footnote w:id="260">
    <w:p w:rsidR="00AB00DE" w:rsidRPr="00F709E3" w:rsidRDefault="00AB00DE" w:rsidP="00F709E3">
      <w:pPr>
        <w:pStyle w:val="a4"/>
        <w:rPr>
          <w:szCs w:val="18"/>
        </w:rPr>
      </w:pPr>
      <w:r w:rsidRPr="00F709E3">
        <w:rPr>
          <w:rFonts w:hint="eastAsia"/>
          <w:szCs w:val="18"/>
        </w:rPr>
        <w:tab/>
      </w:r>
      <w:r w:rsidRPr="00DF5565">
        <w:rPr>
          <w:rStyle w:val="a5"/>
        </w:rPr>
        <w:footnoteRef/>
      </w:r>
      <w:r w:rsidRPr="00F709E3">
        <w:rPr>
          <w:rFonts w:hint="eastAsia"/>
          <w:szCs w:val="18"/>
        </w:rPr>
        <w:tab/>
      </w:r>
      <w:r w:rsidRPr="00F709E3">
        <w:rPr>
          <w:rFonts w:hint="eastAsia"/>
          <w:szCs w:val="18"/>
        </w:rPr>
        <w:t>以下案件看上去就使用了这一方法：</w:t>
      </w:r>
      <w:r w:rsidRPr="00F709E3">
        <w:rPr>
          <w:rFonts w:eastAsia="楷体" w:hint="eastAsia"/>
          <w:szCs w:val="18"/>
        </w:rPr>
        <w:t>乌拉圭河沿岸的纸浆厂案</w:t>
      </w:r>
      <w:r w:rsidRPr="00F709E3">
        <w:rPr>
          <w:rFonts w:eastAsia="楷体"/>
          <w:szCs w:val="18"/>
        </w:rPr>
        <w:t>(</w:t>
      </w:r>
      <w:r w:rsidRPr="00F709E3">
        <w:rPr>
          <w:rFonts w:eastAsia="楷体"/>
          <w:szCs w:val="18"/>
        </w:rPr>
        <w:t>阿根廷</w:t>
      </w:r>
      <w:r w:rsidRPr="00F709E3">
        <w:rPr>
          <w:rFonts w:eastAsia="楷体" w:hint="eastAsia"/>
          <w:szCs w:val="18"/>
        </w:rPr>
        <w:t>诉</w:t>
      </w:r>
      <w:r w:rsidRPr="00F709E3">
        <w:rPr>
          <w:rFonts w:eastAsia="楷体"/>
          <w:szCs w:val="18"/>
        </w:rPr>
        <w:t>乌拉圭</w:t>
      </w:r>
      <w:r w:rsidRPr="00F709E3">
        <w:rPr>
          <w:rFonts w:eastAsia="楷体"/>
          <w:szCs w:val="18"/>
        </w:rPr>
        <w:t>)</w:t>
      </w:r>
      <w:r w:rsidRPr="00F709E3">
        <w:rPr>
          <w:szCs w:val="18"/>
        </w:rPr>
        <w:t>，判决，《</w:t>
      </w:r>
      <w:r w:rsidRPr="00F709E3">
        <w:rPr>
          <w:szCs w:val="18"/>
        </w:rPr>
        <w:t>2010</w:t>
      </w:r>
      <w:r w:rsidRPr="00F709E3">
        <w:rPr>
          <w:szCs w:val="18"/>
        </w:rPr>
        <w:t>年国际法院案例汇编》，</w:t>
      </w:r>
      <w:r w:rsidRPr="00F709E3">
        <w:rPr>
          <w:rFonts w:hint="eastAsia"/>
          <w:szCs w:val="18"/>
        </w:rPr>
        <w:t>第</w:t>
      </w:r>
      <w:r w:rsidRPr="00F709E3">
        <w:rPr>
          <w:rFonts w:hint="eastAsia"/>
          <w:szCs w:val="18"/>
        </w:rPr>
        <w:t>14</w:t>
      </w:r>
      <w:r w:rsidRPr="00F709E3">
        <w:rPr>
          <w:rFonts w:hint="eastAsia"/>
          <w:szCs w:val="18"/>
        </w:rPr>
        <w:t>页起，见第</w:t>
      </w:r>
      <w:r w:rsidRPr="00F709E3">
        <w:rPr>
          <w:szCs w:val="18"/>
        </w:rPr>
        <w:t>55-56</w:t>
      </w:r>
      <w:r w:rsidRPr="00F709E3">
        <w:rPr>
          <w:rFonts w:hint="eastAsia"/>
          <w:szCs w:val="18"/>
        </w:rPr>
        <w:t>页，第</w:t>
      </w:r>
      <w:r w:rsidRPr="00F709E3">
        <w:rPr>
          <w:szCs w:val="18"/>
        </w:rPr>
        <w:t>101</w:t>
      </w:r>
      <w:r w:rsidRPr="00F709E3">
        <w:rPr>
          <w:rFonts w:hint="eastAsia"/>
          <w:szCs w:val="18"/>
        </w:rPr>
        <w:t>段。</w:t>
      </w:r>
    </w:p>
  </w:footnote>
  <w:footnote w:id="261">
    <w:p w:rsidR="00AB00DE" w:rsidRPr="00F709E3" w:rsidRDefault="00AB00DE" w:rsidP="00F709E3">
      <w:pPr>
        <w:pStyle w:val="a4"/>
        <w:rPr>
          <w:szCs w:val="18"/>
        </w:rPr>
      </w:pPr>
      <w:r w:rsidRPr="00F709E3">
        <w:rPr>
          <w:rFonts w:hint="eastAsia"/>
          <w:szCs w:val="18"/>
        </w:rPr>
        <w:tab/>
      </w:r>
      <w:r w:rsidRPr="00DF5565">
        <w:rPr>
          <w:rStyle w:val="a5"/>
        </w:rPr>
        <w:footnoteRef/>
      </w:r>
      <w:r w:rsidRPr="00F709E3">
        <w:rPr>
          <w:rFonts w:hint="eastAsia"/>
          <w:szCs w:val="18"/>
        </w:rPr>
        <w:tab/>
      </w:r>
      <w:r w:rsidRPr="00F709E3">
        <w:rPr>
          <w:rFonts w:eastAsia="楷体" w:hint="eastAsia"/>
          <w:szCs w:val="18"/>
        </w:rPr>
        <w:t>领土争端和海洋划界案</w:t>
      </w:r>
      <w:r w:rsidRPr="00F709E3">
        <w:rPr>
          <w:rFonts w:eastAsia="楷体" w:hint="eastAsia"/>
          <w:szCs w:val="18"/>
        </w:rPr>
        <w:t>(</w:t>
      </w:r>
      <w:r w:rsidRPr="00F709E3">
        <w:rPr>
          <w:rFonts w:eastAsia="楷体" w:hint="eastAsia"/>
          <w:szCs w:val="18"/>
        </w:rPr>
        <w:t>尼加拉瓜诉哥伦比亚</w:t>
      </w:r>
      <w:r w:rsidRPr="00F709E3">
        <w:rPr>
          <w:rFonts w:eastAsia="楷体" w:hint="eastAsia"/>
          <w:szCs w:val="18"/>
        </w:rPr>
        <w:t>)</w:t>
      </w:r>
      <w:r w:rsidRPr="00F709E3">
        <w:rPr>
          <w:szCs w:val="18"/>
        </w:rPr>
        <w:t>，判决，《</w:t>
      </w:r>
      <w:r w:rsidRPr="00F709E3">
        <w:rPr>
          <w:szCs w:val="18"/>
        </w:rPr>
        <w:t>2012</w:t>
      </w:r>
      <w:r w:rsidRPr="00F709E3">
        <w:rPr>
          <w:szCs w:val="18"/>
        </w:rPr>
        <w:t>年国际法院案例汇编》，</w:t>
      </w:r>
      <w:r w:rsidRPr="00F709E3">
        <w:rPr>
          <w:rFonts w:hint="eastAsia"/>
          <w:szCs w:val="18"/>
        </w:rPr>
        <w:t>第</w:t>
      </w:r>
      <w:r w:rsidRPr="00F709E3">
        <w:rPr>
          <w:szCs w:val="18"/>
        </w:rPr>
        <w:t>624</w:t>
      </w:r>
      <w:r w:rsidRPr="00F709E3">
        <w:rPr>
          <w:rFonts w:hint="eastAsia"/>
          <w:szCs w:val="18"/>
        </w:rPr>
        <w:t>页起，见第</w:t>
      </w:r>
      <w:r w:rsidRPr="00F709E3">
        <w:rPr>
          <w:szCs w:val="18"/>
        </w:rPr>
        <w:t>674</w:t>
      </w:r>
      <w:r w:rsidRPr="00F709E3">
        <w:rPr>
          <w:rFonts w:hint="eastAsia"/>
          <w:szCs w:val="18"/>
        </w:rPr>
        <w:t>页，第</w:t>
      </w:r>
      <w:r w:rsidRPr="00F709E3">
        <w:rPr>
          <w:szCs w:val="18"/>
        </w:rPr>
        <w:t>139</w:t>
      </w:r>
      <w:r w:rsidRPr="00F709E3">
        <w:rPr>
          <w:rFonts w:hint="eastAsia"/>
          <w:szCs w:val="18"/>
        </w:rPr>
        <w:t>段。</w:t>
      </w:r>
    </w:p>
  </w:footnote>
  <w:footnote w:id="262">
    <w:p w:rsidR="00AB00DE" w:rsidRPr="00F709E3" w:rsidRDefault="00AB00DE" w:rsidP="00F709E3">
      <w:pPr>
        <w:pStyle w:val="a4"/>
        <w:rPr>
          <w:szCs w:val="18"/>
        </w:rPr>
      </w:pPr>
      <w:r w:rsidRPr="00F709E3">
        <w:rPr>
          <w:rFonts w:hint="eastAsia"/>
          <w:szCs w:val="18"/>
        </w:rPr>
        <w:tab/>
      </w:r>
      <w:r w:rsidRPr="00DF5565">
        <w:rPr>
          <w:rStyle w:val="a5"/>
        </w:rPr>
        <w:footnoteRef/>
      </w:r>
      <w:r w:rsidRPr="00F709E3">
        <w:rPr>
          <w:rFonts w:hint="eastAsia"/>
          <w:szCs w:val="18"/>
        </w:rPr>
        <w:tab/>
      </w:r>
      <w:r w:rsidRPr="00F709E3">
        <w:rPr>
          <w:rFonts w:hint="eastAsia"/>
          <w:szCs w:val="18"/>
        </w:rPr>
        <w:t>见国际法不成体系问题研究组的工作结论，《</w:t>
      </w:r>
      <w:r w:rsidRPr="00F709E3">
        <w:rPr>
          <w:rFonts w:hint="eastAsia"/>
          <w:szCs w:val="18"/>
        </w:rPr>
        <w:t>2006</w:t>
      </w:r>
      <w:r w:rsidRPr="00F709E3">
        <w:rPr>
          <w:rFonts w:hint="eastAsia"/>
          <w:szCs w:val="18"/>
        </w:rPr>
        <w:t>年……年鉴》，第二卷</w:t>
      </w:r>
      <w:r w:rsidRPr="00F709E3">
        <w:rPr>
          <w:rFonts w:hint="eastAsia"/>
          <w:szCs w:val="18"/>
        </w:rPr>
        <w:t>(</w:t>
      </w:r>
      <w:r w:rsidRPr="00F709E3">
        <w:rPr>
          <w:rFonts w:hint="eastAsia"/>
          <w:szCs w:val="18"/>
        </w:rPr>
        <w:t>第二部分</w:t>
      </w:r>
      <w:r w:rsidRPr="00F709E3">
        <w:rPr>
          <w:rFonts w:hint="eastAsia"/>
          <w:szCs w:val="18"/>
        </w:rPr>
        <w:t>)</w:t>
      </w:r>
      <w:r w:rsidRPr="00F709E3">
        <w:rPr>
          <w:rFonts w:hint="eastAsia"/>
          <w:szCs w:val="18"/>
        </w:rPr>
        <w:t>，第</w:t>
      </w:r>
      <w:r w:rsidRPr="00F709E3">
        <w:rPr>
          <w:szCs w:val="18"/>
        </w:rPr>
        <w:t>251 (1)</w:t>
      </w:r>
      <w:r w:rsidRPr="00F709E3">
        <w:rPr>
          <w:rFonts w:hint="eastAsia"/>
          <w:szCs w:val="18"/>
        </w:rPr>
        <w:t>段。</w:t>
      </w:r>
    </w:p>
  </w:footnote>
  <w:footnote w:id="263">
    <w:p w:rsidR="00AB00DE" w:rsidRPr="00F709E3" w:rsidRDefault="00AB00DE" w:rsidP="00F709E3">
      <w:pPr>
        <w:pStyle w:val="a4"/>
        <w:rPr>
          <w:szCs w:val="18"/>
        </w:rPr>
      </w:pPr>
      <w:r w:rsidRPr="00F709E3">
        <w:rPr>
          <w:rFonts w:hint="eastAsia"/>
          <w:szCs w:val="18"/>
        </w:rPr>
        <w:tab/>
      </w:r>
      <w:r w:rsidRPr="00DF5565">
        <w:rPr>
          <w:rStyle w:val="a5"/>
        </w:rPr>
        <w:footnoteRef/>
      </w:r>
      <w:r w:rsidRPr="00F709E3">
        <w:rPr>
          <w:rFonts w:hint="eastAsia"/>
          <w:szCs w:val="18"/>
        </w:rPr>
        <w:tab/>
      </w:r>
      <w:r w:rsidRPr="00F709E3">
        <w:rPr>
          <w:rFonts w:hint="eastAsia"/>
          <w:szCs w:val="18"/>
        </w:rPr>
        <w:t>见下文结论草案</w:t>
      </w:r>
      <w:r w:rsidRPr="00F709E3">
        <w:rPr>
          <w:rFonts w:hint="eastAsia"/>
          <w:szCs w:val="18"/>
        </w:rPr>
        <w:t>3</w:t>
      </w:r>
      <w:r w:rsidRPr="00F709E3">
        <w:rPr>
          <w:rFonts w:hint="eastAsia"/>
          <w:szCs w:val="18"/>
        </w:rPr>
        <w:t>。</w:t>
      </w:r>
    </w:p>
  </w:footnote>
  <w:footnote w:id="264">
    <w:p w:rsidR="00AB00DE" w:rsidRPr="00F709E3" w:rsidRDefault="00AB00DE" w:rsidP="00F709E3">
      <w:pPr>
        <w:pStyle w:val="a4"/>
        <w:rPr>
          <w:szCs w:val="18"/>
        </w:rPr>
      </w:pPr>
      <w:r w:rsidRPr="00F709E3">
        <w:rPr>
          <w:rFonts w:hint="eastAsia"/>
          <w:szCs w:val="18"/>
        </w:rPr>
        <w:tab/>
      </w:r>
      <w:r w:rsidRPr="00DF5565">
        <w:rPr>
          <w:rStyle w:val="a5"/>
        </w:rPr>
        <w:footnoteRef/>
      </w:r>
      <w:r w:rsidRPr="00F709E3">
        <w:rPr>
          <w:rFonts w:hint="eastAsia"/>
          <w:szCs w:val="18"/>
        </w:rPr>
        <w:tab/>
      </w:r>
      <w:r w:rsidRPr="00F709E3">
        <w:rPr>
          <w:rFonts w:hint="eastAsia"/>
          <w:szCs w:val="18"/>
        </w:rPr>
        <w:t>此处使用的“证据”一词为广义，涉及可被视为习惯国际法识别依据的所有材料，而非具体法院或具体法律系统中使用的技术性含义。</w:t>
      </w:r>
    </w:p>
  </w:footnote>
  <w:footnote w:id="265">
    <w:p w:rsidR="00AB00DE" w:rsidRPr="00F709E3" w:rsidRDefault="00AB00DE" w:rsidP="00267AB1">
      <w:pPr>
        <w:pStyle w:val="a4"/>
        <w:rPr>
          <w:szCs w:val="18"/>
        </w:rPr>
      </w:pPr>
      <w:r w:rsidRPr="00F709E3">
        <w:rPr>
          <w:rFonts w:hint="eastAsia"/>
          <w:szCs w:val="18"/>
        </w:rPr>
        <w:tab/>
      </w:r>
      <w:r w:rsidRPr="00DF5565">
        <w:rPr>
          <w:rStyle w:val="a5"/>
        </w:rPr>
        <w:footnoteRef/>
      </w:r>
      <w:r w:rsidRPr="00F709E3">
        <w:rPr>
          <w:rFonts w:hint="eastAsia"/>
          <w:szCs w:val="18"/>
        </w:rPr>
        <w:tab/>
      </w:r>
      <w:r w:rsidRPr="00F709E3">
        <w:rPr>
          <w:rFonts w:hint="eastAsia"/>
          <w:szCs w:val="18"/>
        </w:rPr>
        <w:t>另见</w:t>
      </w:r>
      <w:r w:rsidRPr="00F709E3">
        <w:rPr>
          <w:rFonts w:eastAsia="楷体"/>
          <w:iCs/>
          <w:szCs w:val="18"/>
        </w:rPr>
        <w:t>北海大陆架案</w:t>
      </w:r>
      <w:r w:rsidRPr="00F709E3">
        <w:rPr>
          <w:rFonts w:eastAsia="楷体" w:hint="eastAsia"/>
          <w:iCs/>
          <w:szCs w:val="18"/>
        </w:rPr>
        <w:t xml:space="preserve"> </w:t>
      </w:r>
      <w:r w:rsidRPr="00F709E3">
        <w:rPr>
          <w:szCs w:val="18"/>
        </w:rPr>
        <w:t>(</w:t>
      </w:r>
      <w:r w:rsidRPr="00F709E3">
        <w:rPr>
          <w:rFonts w:hint="eastAsia"/>
          <w:szCs w:val="18"/>
        </w:rPr>
        <w:t>上文脚注</w:t>
      </w:r>
      <w:r>
        <w:rPr>
          <w:szCs w:val="18"/>
        </w:rPr>
        <w:fldChar w:fldCharType="begin"/>
      </w:r>
      <w:r>
        <w:rPr>
          <w:szCs w:val="18"/>
        </w:rPr>
        <w:instrText xml:space="preserve"> </w:instrText>
      </w:r>
      <w:r>
        <w:rPr>
          <w:rFonts w:hint="eastAsia"/>
          <w:szCs w:val="18"/>
        </w:rPr>
        <w:instrText>NOTEREF _Ref453666652 \h</w:instrText>
      </w:r>
      <w:r>
        <w:rPr>
          <w:szCs w:val="18"/>
        </w:rPr>
        <w:instrText xml:space="preserve"> </w:instrText>
      </w:r>
      <w:r>
        <w:rPr>
          <w:szCs w:val="18"/>
        </w:rPr>
      </w:r>
      <w:r>
        <w:rPr>
          <w:szCs w:val="18"/>
        </w:rPr>
        <w:fldChar w:fldCharType="separate"/>
      </w:r>
      <w:r w:rsidR="00A73EB9">
        <w:rPr>
          <w:szCs w:val="18"/>
        </w:rPr>
        <w:t>254</w:t>
      </w:r>
      <w:r>
        <w:rPr>
          <w:szCs w:val="18"/>
        </w:rPr>
        <w:fldChar w:fldCharType="end"/>
      </w:r>
      <w:r w:rsidRPr="00F709E3">
        <w:rPr>
          <w:szCs w:val="18"/>
        </w:rPr>
        <w:t>)</w:t>
      </w:r>
      <w:r w:rsidRPr="00F709E3">
        <w:rPr>
          <w:rFonts w:hint="eastAsia"/>
          <w:szCs w:val="18"/>
        </w:rPr>
        <w:t>，田中法官的反对意见，见第</w:t>
      </w:r>
      <w:r w:rsidRPr="00F709E3">
        <w:rPr>
          <w:szCs w:val="18"/>
        </w:rPr>
        <w:t>175</w:t>
      </w:r>
      <w:r w:rsidRPr="00F709E3">
        <w:rPr>
          <w:rFonts w:hint="eastAsia"/>
          <w:szCs w:val="18"/>
        </w:rPr>
        <w:t>页：</w:t>
      </w:r>
      <w:r w:rsidRPr="00F709E3">
        <w:rPr>
          <w:rFonts w:hint="eastAsia"/>
          <w:szCs w:val="18"/>
          <w:lang w:bidi="he-IL"/>
        </w:rPr>
        <w:t>“</w:t>
      </w:r>
      <w:r w:rsidRPr="00F709E3">
        <w:rPr>
          <w:rFonts w:hint="eastAsia"/>
          <w:szCs w:val="18"/>
        </w:rPr>
        <w:t>要决定在习惯法的形成过程中是否存在这两个因素，是一项棘手和困难的工作。对重复的情况、国家惯例例证的数量、习惯法产生所需的时间都无法以数学方法、以统一标准决定。对每项因素，都需要结合不同的场景和情况相对地进行评估。</w:t>
      </w:r>
      <w:r w:rsidRPr="00F709E3">
        <w:rPr>
          <w:rFonts w:hint="eastAsia"/>
          <w:szCs w:val="18"/>
          <w:lang w:bidi="he-IL"/>
        </w:rPr>
        <w:t>”</w:t>
      </w:r>
    </w:p>
  </w:footnote>
  <w:footnote w:id="266">
    <w:p w:rsidR="00AB00DE" w:rsidRPr="00F709E3" w:rsidRDefault="00AB00DE" w:rsidP="00267AB1">
      <w:pPr>
        <w:pStyle w:val="a4"/>
        <w:rPr>
          <w:szCs w:val="18"/>
        </w:rPr>
      </w:pPr>
      <w:r w:rsidRPr="00F709E3">
        <w:rPr>
          <w:rFonts w:hint="eastAsia"/>
          <w:szCs w:val="18"/>
        </w:rPr>
        <w:tab/>
      </w:r>
      <w:r w:rsidRPr="00DF5565">
        <w:rPr>
          <w:rStyle w:val="a5"/>
        </w:rPr>
        <w:footnoteRef/>
      </w:r>
      <w:r w:rsidRPr="00F709E3">
        <w:rPr>
          <w:rFonts w:hint="eastAsia"/>
          <w:szCs w:val="18"/>
        </w:rPr>
        <w:tab/>
      </w:r>
      <w:r w:rsidRPr="00F709E3">
        <w:rPr>
          <w:rFonts w:hint="eastAsia"/>
          <w:szCs w:val="18"/>
        </w:rPr>
        <w:t>在</w:t>
      </w:r>
      <w:r w:rsidRPr="00F709E3">
        <w:rPr>
          <w:rFonts w:eastAsia="楷体"/>
          <w:iCs/>
          <w:szCs w:val="18"/>
        </w:rPr>
        <w:t>国家的管辖豁免案</w:t>
      </w:r>
      <w:r w:rsidRPr="00F709E3">
        <w:rPr>
          <w:rFonts w:hint="eastAsia"/>
          <w:szCs w:val="18"/>
        </w:rPr>
        <w:t>中，国际法院认为，国家豁免的习惯规则源于国家主权平等原则，在此背景下，审视这一规则时必须结合每个国家对其领土拥有主权的原则；国家法院还认为，源自上述主权，国家对上述领土内的事件和人员享有管辖权</w:t>
      </w:r>
      <w:r w:rsidRPr="00F709E3">
        <w:rPr>
          <w:szCs w:val="18"/>
        </w:rPr>
        <w:t>(</w:t>
      </w:r>
      <w:r w:rsidRPr="00F709E3">
        <w:rPr>
          <w:rFonts w:eastAsia="楷体"/>
          <w:iCs/>
          <w:szCs w:val="18"/>
        </w:rPr>
        <w:t>国家的管辖豁免案</w:t>
      </w:r>
      <w:r w:rsidRPr="00F709E3">
        <w:rPr>
          <w:szCs w:val="18"/>
        </w:rPr>
        <w:t>(</w:t>
      </w:r>
      <w:r w:rsidRPr="00F709E3">
        <w:rPr>
          <w:rFonts w:hint="eastAsia"/>
          <w:szCs w:val="18"/>
        </w:rPr>
        <w:t>见上文脚注</w:t>
      </w:r>
      <w:r>
        <w:rPr>
          <w:szCs w:val="18"/>
        </w:rPr>
        <w:fldChar w:fldCharType="begin"/>
      </w:r>
      <w:r>
        <w:rPr>
          <w:szCs w:val="18"/>
        </w:rPr>
        <w:instrText xml:space="preserve"> </w:instrText>
      </w:r>
      <w:r>
        <w:rPr>
          <w:rFonts w:hint="eastAsia"/>
          <w:szCs w:val="18"/>
        </w:rPr>
        <w:instrText>NOTEREF _Ref453667027 \h</w:instrText>
      </w:r>
      <w:r>
        <w:rPr>
          <w:szCs w:val="18"/>
        </w:rPr>
        <w:instrText xml:space="preserve"> </w:instrText>
      </w:r>
      <w:r>
        <w:rPr>
          <w:szCs w:val="18"/>
        </w:rPr>
      </w:r>
      <w:r>
        <w:rPr>
          <w:szCs w:val="18"/>
        </w:rPr>
        <w:fldChar w:fldCharType="separate"/>
      </w:r>
      <w:r w:rsidR="00A73EB9">
        <w:rPr>
          <w:szCs w:val="18"/>
        </w:rPr>
        <w:t>255</w:t>
      </w:r>
      <w:r>
        <w:rPr>
          <w:szCs w:val="18"/>
        </w:rPr>
        <w:fldChar w:fldCharType="end"/>
      </w:r>
      <w:r w:rsidRPr="00F709E3">
        <w:rPr>
          <w:szCs w:val="18"/>
        </w:rPr>
        <w:t>)</w:t>
      </w:r>
      <w:r w:rsidRPr="00F709E3">
        <w:rPr>
          <w:rFonts w:hint="eastAsia"/>
          <w:szCs w:val="18"/>
        </w:rPr>
        <w:t>，见第</w:t>
      </w:r>
      <w:r w:rsidRPr="00F709E3">
        <w:rPr>
          <w:szCs w:val="18"/>
        </w:rPr>
        <w:t>123-124</w:t>
      </w:r>
      <w:r w:rsidRPr="00F709E3">
        <w:rPr>
          <w:rFonts w:hint="eastAsia"/>
          <w:szCs w:val="18"/>
        </w:rPr>
        <w:t>页，第</w:t>
      </w:r>
      <w:r w:rsidRPr="00F709E3">
        <w:rPr>
          <w:szCs w:val="18"/>
        </w:rPr>
        <w:t>57</w:t>
      </w:r>
      <w:r w:rsidRPr="00F709E3">
        <w:rPr>
          <w:rFonts w:hint="eastAsia"/>
          <w:szCs w:val="18"/>
        </w:rPr>
        <w:t>段</w:t>
      </w:r>
      <w:r w:rsidRPr="00F709E3">
        <w:rPr>
          <w:szCs w:val="18"/>
        </w:rPr>
        <w:t>)</w:t>
      </w:r>
      <w:r w:rsidRPr="00F709E3">
        <w:rPr>
          <w:rFonts w:hint="eastAsia"/>
          <w:szCs w:val="18"/>
        </w:rPr>
        <w:t>。另见</w:t>
      </w:r>
      <w:r w:rsidRPr="00F709E3">
        <w:rPr>
          <w:rFonts w:eastAsia="楷体"/>
          <w:iCs/>
          <w:szCs w:val="18"/>
        </w:rPr>
        <w:t>尼加拉瓜在边界地区开展的某些活动案</w:t>
      </w:r>
      <w:r w:rsidRPr="00F709E3">
        <w:rPr>
          <w:rFonts w:hint="eastAsia"/>
          <w:szCs w:val="18"/>
        </w:rPr>
        <w:t>和</w:t>
      </w:r>
      <w:r w:rsidRPr="00F709E3">
        <w:rPr>
          <w:rFonts w:ascii="宋体" w:eastAsia="楷体" w:hAnsi="宋体" w:cs="宋体" w:hint="eastAsia"/>
          <w:szCs w:val="18"/>
        </w:rPr>
        <w:t>哥斯达黎加圣胡安河沿线修建公路案</w:t>
      </w:r>
      <w:r w:rsidRPr="00F709E3">
        <w:rPr>
          <w:rFonts w:eastAsia="Times New Roman"/>
          <w:szCs w:val="18"/>
        </w:rPr>
        <w:t>(</w:t>
      </w:r>
      <w:r w:rsidRPr="00F709E3">
        <w:rPr>
          <w:rFonts w:hint="eastAsia"/>
          <w:szCs w:val="18"/>
        </w:rPr>
        <w:t>上文脚注</w:t>
      </w:r>
      <w:r>
        <w:rPr>
          <w:szCs w:val="18"/>
        </w:rPr>
        <w:fldChar w:fldCharType="begin"/>
      </w:r>
      <w:r>
        <w:rPr>
          <w:szCs w:val="18"/>
        </w:rPr>
        <w:instrText xml:space="preserve"> </w:instrText>
      </w:r>
      <w:r>
        <w:rPr>
          <w:rFonts w:hint="eastAsia"/>
          <w:szCs w:val="18"/>
        </w:rPr>
        <w:instrText>NOTEREF _Ref461974724 \h</w:instrText>
      </w:r>
      <w:r>
        <w:rPr>
          <w:szCs w:val="18"/>
        </w:rPr>
        <w:instrText xml:space="preserve"> </w:instrText>
      </w:r>
      <w:r>
        <w:rPr>
          <w:szCs w:val="18"/>
        </w:rPr>
      </w:r>
      <w:r>
        <w:rPr>
          <w:szCs w:val="18"/>
        </w:rPr>
        <w:fldChar w:fldCharType="separate"/>
      </w:r>
      <w:r w:rsidR="00A73EB9">
        <w:rPr>
          <w:szCs w:val="18"/>
        </w:rPr>
        <w:t>249</w:t>
      </w:r>
      <w:r>
        <w:rPr>
          <w:szCs w:val="18"/>
        </w:rPr>
        <w:fldChar w:fldCharType="end"/>
      </w:r>
      <w:r w:rsidRPr="00F709E3">
        <w:rPr>
          <w:rFonts w:eastAsia="Times New Roman"/>
          <w:szCs w:val="18"/>
        </w:rPr>
        <w:t>)</w:t>
      </w:r>
      <w:r w:rsidRPr="00F709E3">
        <w:rPr>
          <w:rFonts w:hint="eastAsia"/>
          <w:szCs w:val="18"/>
        </w:rPr>
        <w:t>，多诺霍法官的个别意见</w:t>
      </w:r>
      <w:r w:rsidRPr="00F709E3">
        <w:rPr>
          <w:szCs w:val="18"/>
        </w:rPr>
        <w:t>(</w:t>
      </w:r>
      <w:r w:rsidRPr="00F709E3">
        <w:rPr>
          <w:rFonts w:hint="eastAsia"/>
          <w:szCs w:val="18"/>
        </w:rPr>
        <w:t>第</w:t>
      </w:r>
      <w:r w:rsidRPr="00F709E3">
        <w:rPr>
          <w:szCs w:val="18"/>
        </w:rPr>
        <w:t>3-10</w:t>
      </w:r>
      <w:r w:rsidRPr="00F709E3">
        <w:rPr>
          <w:rFonts w:hint="eastAsia"/>
          <w:szCs w:val="18"/>
        </w:rPr>
        <w:t>段</w:t>
      </w:r>
      <w:r w:rsidRPr="00F709E3">
        <w:rPr>
          <w:szCs w:val="18"/>
        </w:rPr>
        <w:t>)</w:t>
      </w:r>
      <w:r w:rsidRPr="00F709E3">
        <w:rPr>
          <w:rFonts w:hint="eastAsia"/>
          <w:szCs w:val="18"/>
        </w:rPr>
        <w:t>。</w:t>
      </w:r>
    </w:p>
  </w:footnote>
  <w:footnote w:id="267">
    <w:p w:rsidR="00AB00DE" w:rsidRPr="00F709E3" w:rsidRDefault="00AB00DE" w:rsidP="00F709E3">
      <w:pPr>
        <w:pStyle w:val="a4"/>
        <w:rPr>
          <w:szCs w:val="18"/>
          <w:lang w:bidi="he-IL"/>
        </w:rPr>
      </w:pPr>
      <w:r w:rsidRPr="00F709E3">
        <w:rPr>
          <w:rFonts w:hint="eastAsia"/>
          <w:szCs w:val="18"/>
        </w:rPr>
        <w:tab/>
      </w:r>
      <w:r w:rsidRPr="00DF5565">
        <w:rPr>
          <w:rStyle w:val="a5"/>
        </w:rPr>
        <w:footnoteRef/>
      </w:r>
      <w:r w:rsidRPr="00F709E3">
        <w:rPr>
          <w:rFonts w:hint="eastAsia"/>
          <w:szCs w:val="18"/>
        </w:rPr>
        <w:tab/>
      </w:r>
      <w:r w:rsidRPr="00F709E3">
        <w:rPr>
          <w:rFonts w:eastAsia="楷体"/>
          <w:iCs/>
          <w:szCs w:val="18"/>
        </w:rPr>
        <w:t>国家的管辖豁免案</w:t>
      </w:r>
      <w:r w:rsidRPr="00F709E3">
        <w:rPr>
          <w:rFonts w:eastAsia="楷体" w:hint="eastAsia"/>
          <w:iCs/>
          <w:szCs w:val="18"/>
        </w:rPr>
        <w:t xml:space="preserve"> </w:t>
      </w:r>
      <w:r w:rsidRPr="00F709E3">
        <w:rPr>
          <w:szCs w:val="18"/>
        </w:rPr>
        <w:t>(</w:t>
      </w:r>
      <w:r w:rsidRPr="00F709E3">
        <w:rPr>
          <w:rFonts w:hint="eastAsia"/>
          <w:szCs w:val="18"/>
        </w:rPr>
        <w:t>见上文脚注</w:t>
      </w:r>
      <w:r w:rsidRPr="00F709E3">
        <w:rPr>
          <w:szCs w:val="18"/>
        </w:rPr>
        <w:fldChar w:fldCharType="begin"/>
      </w:r>
      <w:r w:rsidRPr="00F709E3">
        <w:rPr>
          <w:szCs w:val="18"/>
        </w:rPr>
        <w:instrText xml:space="preserve"> NOTEREF _Ref453667027 \h  \* MERGEFORMAT </w:instrText>
      </w:r>
      <w:r w:rsidRPr="00F709E3">
        <w:rPr>
          <w:szCs w:val="18"/>
        </w:rPr>
      </w:r>
      <w:r w:rsidRPr="00F709E3">
        <w:rPr>
          <w:szCs w:val="18"/>
        </w:rPr>
        <w:fldChar w:fldCharType="separate"/>
      </w:r>
      <w:r w:rsidR="00A73EB9">
        <w:rPr>
          <w:szCs w:val="18"/>
        </w:rPr>
        <w:t>255</w:t>
      </w:r>
      <w:r w:rsidRPr="00F709E3">
        <w:rPr>
          <w:szCs w:val="18"/>
        </w:rPr>
        <w:fldChar w:fldCharType="end"/>
      </w:r>
      <w:r w:rsidRPr="00F709E3">
        <w:rPr>
          <w:szCs w:val="18"/>
        </w:rPr>
        <w:t>)</w:t>
      </w:r>
      <w:r w:rsidRPr="00F709E3">
        <w:rPr>
          <w:rFonts w:hint="eastAsia"/>
          <w:szCs w:val="18"/>
        </w:rPr>
        <w:t>，见第</w:t>
      </w:r>
      <w:r w:rsidRPr="00F709E3">
        <w:rPr>
          <w:szCs w:val="18"/>
        </w:rPr>
        <w:t>123</w:t>
      </w:r>
      <w:r w:rsidRPr="00F709E3">
        <w:rPr>
          <w:rFonts w:hint="eastAsia"/>
          <w:szCs w:val="18"/>
        </w:rPr>
        <w:t>页，第</w:t>
      </w:r>
      <w:r w:rsidRPr="00F709E3">
        <w:rPr>
          <w:szCs w:val="18"/>
        </w:rPr>
        <w:t>55</w:t>
      </w:r>
      <w:r w:rsidRPr="00F709E3">
        <w:rPr>
          <w:rFonts w:hint="eastAsia"/>
          <w:szCs w:val="18"/>
        </w:rPr>
        <w:t>段。在</w:t>
      </w:r>
      <w:r w:rsidRPr="00F709E3">
        <w:rPr>
          <w:rFonts w:eastAsia="楷体"/>
          <w:iCs/>
          <w:szCs w:val="18"/>
        </w:rPr>
        <w:t>航行权利和相关权利案</w:t>
      </w:r>
      <w:r w:rsidRPr="00F709E3">
        <w:rPr>
          <w:rFonts w:hint="eastAsia"/>
          <w:szCs w:val="18"/>
        </w:rPr>
        <w:t>中，一个问题是</w:t>
      </w:r>
      <w:r w:rsidRPr="00F709E3">
        <w:rPr>
          <w:szCs w:val="18"/>
        </w:rPr>
        <w:t>(</w:t>
      </w:r>
      <w:r w:rsidRPr="00F709E3">
        <w:rPr>
          <w:rFonts w:hint="eastAsia"/>
          <w:szCs w:val="18"/>
        </w:rPr>
        <w:t>案件当事双方均承认</w:t>
      </w:r>
      <w:r w:rsidRPr="00F709E3">
        <w:rPr>
          <w:szCs w:val="18"/>
        </w:rPr>
        <w:t>)</w:t>
      </w:r>
      <w:r w:rsidRPr="00F709E3">
        <w:rPr>
          <w:rFonts w:hint="eastAsia"/>
          <w:szCs w:val="18"/>
        </w:rPr>
        <w:t>由来已久的自给性捕鱼惯例是否已演变为一项</w:t>
      </w:r>
      <w:r w:rsidRPr="00F709E3">
        <w:rPr>
          <w:rFonts w:hint="eastAsia"/>
          <w:szCs w:val="18"/>
        </w:rPr>
        <w:t>(</w:t>
      </w:r>
      <w:r w:rsidRPr="00F709E3">
        <w:rPr>
          <w:rFonts w:hint="eastAsia"/>
          <w:szCs w:val="18"/>
        </w:rPr>
        <w:t>特别</w:t>
      </w:r>
      <w:r w:rsidRPr="00F709E3">
        <w:rPr>
          <w:rFonts w:hint="eastAsia"/>
          <w:szCs w:val="18"/>
        </w:rPr>
        <w:t>)</w:t>
      </w:r>
      <w:r w:rsidRPr="00F709E3">
        <w:rPr>
          <w:rFonts w:hint="eastAsia"/>
          <w:szCs w:val="18"/>
        </w:rPr>
        <w:t>习惯国际法规则，对此国际法院指出：“就该惯例的性质而言，尤其是考虑到该地区地处偏远、人口较少且分布松散，该惯例不太可能以任何正式形式载入官方记录。在法院看来，尼加拉瓜未能否认源自长期以来未受扰乱和质疑的惯例的权利之存在，这一点十分重要”</w:t>
      </w:r>
      <w:r w:rsidRPr="00F709E3">
        <w:rPr>
          <w:szCs w:val="18"/>
        </w:rPr>
        <w:t>(</w:t>
      </w:r>
      <w:r w:rsidRPr="00F709E3">
        <w:rPr>
          <w:rFonts w:eastAsia="楷体" w:hint="eastAsia"/>
          <w:szCs w:val="18"/>
        </w:rPr>
        <w:t>航行权利和相关权利争端案</w:t>
      </w:r>
      <w:r w:rsidRPr="00F709E3">
        <w:rPr>
          <w:rFonts w:eastAsia="楷体" w:hint="eastAsia"/>
          <w:szCs w:val="18"/>
        </w:rPr>
        <w:t>(</w:t>
      </w:r>
      <w:r w:rsidRPr="00F709E3">
        <w:rPr>
          <w:rFonts w:eastAsia="楷体" w:hint="eastAsia"/>
          <w:szCs w:val="18"/>
        </w:rPr>
        <w:t>哥斯达黎加诉尼加拉瓜</w:t>
      </w:r>
      <w:r w:rsidRPr="00F709E3">
        <w:rPr>
          <w:rFonts w:eastAsia="楷体" w:hint="eastAsia"/>
          <w:szCs w:val="18"/>
        </w:rPr>
        <w:t>)</w:t>
      </w:r>
      <w:r w:rsidRPr="00F709E3">
        <w:rPr>
          <w:rFonts w:eastAsia="楷体" w:hint="eastAsia"/>
          <w:szCs w:val="18"/>
        </w:rPr>
        <w:t>，</w:t>
      </w:r>
      <w:r w:rsidRPr="00F709E3">
        <w:rPr>
          <w:szCs w:val="18"/>
        </w:rPr>
        <w:t>判决，《</w:t>
      </w:r>
      <w:r w:rsidRPr="00F709E3">
        <w:rPr>
          <w:szCs w:val="18"/>
        </w:rPr>
        <w:t>2009</w:t>
      </w:r>
      <w:r w:rsidRPr="00F709E3">
        <w:rPr>
          <w:szCs w:val="18"/>
        </w:rPr>
        <w:t>年国际法院案例汇编》，</w:t>
      </w:r>
      <w:r w:rsidRPr="00F709E3">
        <w:rPr>
          <w:rFonts w:hint="eastAsia"/>
          <w:szCs w:val="18"/>
        </w:rPr>
        <w:t>第</w:t>
      </w:r>
      <w:r w:rsidRPr="00F709E3">
        <w:rPr>
          <w:szCs w:val="18"/>
        </w:rPr>
        <w:t>213</w:t>
      </w:r>
      <w:r w:rsidRPr="00F709E3">
        <w:rPr>
          <w:rFonts w:hint="eastAsia"/>
          <w:szCs w:val="18"/>
        </w:rPr>
        <w:t>页起，见第</w:t>
      </w:r>
      <w:r w:rsidRPr="00F709E3">
        <w:rPr>
          <w:szCs w:val="18"/>
        </w:rPr>
        <w:t>265-266</w:t>
      </w:r>
      <w:r w:rsidRPr="00F709E3">
        <w:rPr>
          <w:rFonts w:hint="eastAsia"/>
          <w:szCs w:val="18"/>
        </w:rPr>
        <w:t>页，第</w:t>
      </w:r>
      <w:r w:rsidRPr="00F709E3">
        <w:rPr>
          <w:szCs w:val="18"/>
        </w:rPr>
        <w:t>141</w:t>
      </w:r>
      <w:r w:rsidRPr="00F709E3">
        <w:rPr>
          <w:rFonts w:hint="eastAsia"/>
          <w:szCs w:val="18"/>
        </w:rPr>
        <w:t>段</w:t>
      </w:r>
      <w:r w:rsidRPr="00F709E3">
        <w:rPr>
          <w:szCs w:val="18"/>
        </w:rPr>
        <w:t>)</w:t>
      </w:r>
      <w:r w:rsidRPr="00F709E3">
        <w:rPr>
          <w:rFonts w:hint="eastAsia"/>
          <w:szCs w:val="18"/>
        </w:rPr>
        <w:t>。前南斯拉夫问题国际刑事法庭上诉分庭指出过观察国家战地惯例的难度：</w:t>
      </w:r>
      <w:r w:rsidRPr="00F709E3">
        <w:rPr>
          <w:rFonts w:eastAsia="楷体" w:hint="eastAsia"/>
          <w:szCs w:val="18"/>
        </w:rPr>
        <w:t>检察官诉</w:t>
      </w:r>
      <w:r w:rsidRPr="00F709E3">
        <w:rPr>
          <w:rFonts w:eastAsia="楷体" w:hint="eastAsia"/>
          <w:szCs w:val="18"/>
          <w:lang w:bidi="he-IL"/>
        </w:rPr>
        <w:t>塔迪奇</w:t>
      </w:r>
      <w:r w:rsidRPr="00F709E3">
        <w:rPr>
          <w:rFonts w:hint="eastAsia"/>
          <w:szCs w:val="18"/>
          <w:lang w:bidi="he-IL"/>
        </w:rPr>
        <w:t>，案件号</w:t>
      </w:r>
      <w:r w:rsidRPr="00F709E3">
        <w:rPr>
          <w:szCs w:val="18"/>
          <w:lang w:bidi="he-IL"/>
        </w:rPr>
        <w:t>IT-94-1-AR72</w:t>
      </w:r>
      <w:r w:rsidRPr="00F709E3">
        <w:rPr>
          <w:rFonts w:hint="eastAsia"/>
          <w:szCs w:val="18"/>
          <w:lang w:bidi="he-IL"/>
        </w:rPr>
        <w:t>，</w:t>
      </w:r>
      <w:r w:rsidRPr="00F709E3">
        <w:rPr>
          <w:szCs w:val="18"/>
          <w:lang w:bidi="he-IL"/>
        </w:rPr>
        <w:t>1995</w:t>
      </w:r>
      <w:r w:rsidRPr="00F709E3">
        <w:rPr>
          <w:rFonts w:hint="eastAsia"/>
          <w:szCs w:val="18"/>
          <w:lang w:bidi="he-IL"/>
        </w:rPr>
        <w:t>年</w:t>
      </w:r>
      <w:r w:rsidRPr="00F709E3">
        <w:rPr>
          <w:rFonts w:hint="eastAsia"/>
          <w:szCs w:val="18"/>
          <w:lang w:bidi="he-IL"/>
        </w:rPr>
        <w:t>10</w:t>
      </w:r>
      <w:r w:rsidRPr="00F709E3">
        <w:rPr>
          <w:rFonts w:hint="eastAsia"/>
          <w:szCs w:val="18"/>
          <w:lang w:bidi="he-IL"/>
        </w:rPr>
        <w:t>月</w:t>
      </w:r>
      <w:r w:rsidRPr="00F709E3">
        <w:rPr>
          <w:rFonts w:hint="eastAsia"/>
          <w:szCs w:val="18"/>
          <w:lang w:bidi="he-IL"/>
        </w:rPr>
        <w:t>2</w:t>
      </w:r>
      <w:r w:rsidRPr="00F709E3">
        <w:rPr>
          <w:rFonts w:hint="eastAsia"/>
          <w:szCs w:val="18"/>
          <w:lang w:bidi="he-IL"/>
        </w:rPr>
        <w:t>日对辩方就管辖权问题提出的中间上诉申请作出的裁决，第</w:t>
      </w:r>
      <w:r w:rsidRPr="00F709E3">
        <w:rPr>
          <w:szCs w:val="18"/>
          <w:lang w:bidi="he-IL"/>
        </w:rPr>
        <w:t>99</w:t>
      </w:r>
      <w:r w:rsidRPr="00F709E3">
        <w:rPr>
          <w:rFonts w:hint="eastAsia"/>
          <w:szCs w:val="18"/>
          <w:lang w:bidi="he-IL"/>
        </w:rPr>
        <w:t>段。</w:t>
      </w:r>
    </w:p>
  </w:footnote>
  <w:footnote w:id="268">
    <w:p w:rsidR="00AB00DE" w:rsidRPr="00F709E3" w:rsidRDefault="00AB00DE" w:rsidP="00F709E3">
      <w:pPr>
        <w:pStyle w:val="a4"/>
        <w:rPr>
          <w:szCs w:val="18"/>
        </w:rPr>
      </w:pPr>
      <w:r w:rsidRPr="00F709E3">
        <w:rPr>
          <w:rFonts w:hint="eastAsia"/>
          <w:szCs w:val="18"/>
        </w:rPr>
        <w:tab/>
      </w:r>
      <w:r w:rsidRPr="00DF5565">
        <w:rPr>
          <w:rStyle w:val="a5"/>
        </w:rPr>
        <w:footnoteRef/>
      </w:r>
      <w:r w:rsidRPr="00F709E3">
        <w:rPr>
          <w:rFonts w:hint="eastAsia"/>
          <w:szCs w:val="18"/>
        </w:rPr>
        <w:tab/>
      </w:r>
      <w:r w:rsidRPr="00F709E3">
        <w:rPr>
          <w:rFonts w:hint="eastAsia"/>
          <w:szCs w:val="18"/>
        </w:rPr>
        <w:t>关于不作为这种形式的惯例，见结论草案</w:t>
      </w:r>
      <w:r w:rsidRPr="00F709E3">
        <w:rPr>
          <w:rFonts w:hint="eastAsia"/>
          <w:szCs w:val="18"/>
        </w:rPr>
        <w:t>6</w:t>
      </w:r>
      <w:r w:rsidRPr="00F709E3">
        <w:rPr>
          <w:rFonts w:hint="eastAsia"/>
          <w:szCs w:val="18"/>
        </w:rPr>
        <w:t>及其评注第</w:t>
      </w:r>
      <w:r w:rsidRPr="00F709E3">
        <w:rPr>
          <w:szCs w:val="18"/>
        </w:rPr>
        <w:t>(</w:t>
      </w:r>
      <w:r w:rsidRPr="00F709E3">
        <w:rPr>
          <w:rFonts w:hint="eastAsia"/>
          <w:szCs w:val="18"/>
        </w:rPr>
        <w:t>3</w:t>
      </w:r>
      <w:r w:rsidRPr="00F709E3">
        <w:rPr>
          <w:szCs w:val="18"/>
        </w:rPr>
        <w:t>)</w:t>
      </w:r>
      <w:r w:rsidRPr="00F709E3">
        <w:rPr>
          <w:rFonts w:hint="eastAsia"/>
          <w:szCs w:val="18"/>
        </w:rPr>
        <w:t>段。</w:t>
      </w:r>
    </w:p>
  </w:footnote>
  <w:footnote w:id="269">
    <w:p w:rsidR="00AB00DE" w:rsidRPr="00F709E3" w:rsidRDefault="00AB00DE" w:rsidP="00F709E3">
      <w:pPr>
        <w:pStyle w:val="a4"/>
        <w:rPr>
          <w:szCs w:val="18"/>
        </w:rPr>
      </w:pPr>
      <w:r w:rsidRPr="00F709E3">
        <w:rPr>
          <w:rFonts w:hint="eastAsia"/>
          <w:szCs w:val="18"/>
        </w:rPr>
        <w:tab/>
      </w:r>
      <w:r w:rsidRPr="00DF5565">
        <w:rPr>
          <w:rStyle w:val="a5"/>
        </w:rPr>
        <w:footnoteRef/>
      </w:r>
      <w:r w:rsidRPr="00F709E3">
        <w:rPr>
          <w:rFonts w:hint="eastAsia"/>
          <w:szCs w:val="18"/>
        </w:rPr>
        <w:tab/>
      </w:r>
      <w:r w:rsidRPr="00F709E3">
        <w:rPr>
          <w:rFonts w:eastAsia="楷体" w:hint="eastAsia"/>
          <w:szCs w:val="18"/>
        </w:rPr>
        <w:t>摩洛哥境内美利坚合众国国民的权利案</w:t>
      </w:r>
      <w:r w:rsidRPr="00F709E3">
        <w:rPr>
          <w:rFonts w:hint="eastAsia"/>
          <w:szCs w:val="18"/>
        </w:rPr>
        <w:t>，</w:t>
      </w:r>
      <w:r w:rsidRPr="00F709E3">
        <w:rPr>
          <w:szCs w:val="18"/>
        </w:rPr>
        <w:t>1952</w:t>
      </w:r>
      <w:r w:rsidRPr="00F709E3">
        <w:rPr>
          <w:rFonts w:hint="eastAsia"/>
          <w:szCs w:val="18"/>
        </w:rPr>
        <w:t>年</w:t>
      </w:r>
      <w:r w:rsidRPr="00F709E3">
        <w:rPr>
          <w:rFonts w:hint="eastAsia"/>
          <w:szCs w:val="18"/>
        </w:rPr>
        <w:t>8</w:t>
      </w:r>
      <w:r w:rsidRPr="00F709E3">
        <w:rPr>
          <w:rFonts w:hint="eastAsia"/>
          <w:szCs w:val="18"/>
        </w:rPr>
        <w:t>月</w:t>
      </w:r>
      <w:r w:rsidRPr="00F709E3">
        <w:rPr>
          <w:rFonts w:hint="eastAsia"/>
          <w:szCs w:val="18"/>
        </w:rPr>
        <w:t>27</w:t>
      </w:r>
      <w:r w:rsidRPr="00F709E3">
        <w:rPr>
          <w:rFonts w:hint="eastAsia"/>
          <w:szCs w:val="18"/>
        </w:rPr>
        <w:t>日的判决：《</w:t>
      </w:r>
      <w:r w:rsidRPr="00F709E3">
        <w:rPr>
          <w:szCs w:val="18"/>
        </w:rPr>
        <w:t>1952</w:t>
      </w:r>
      <w:r w:rsidRPr="00F709E3">
        <w:rPr>
          <w:rFonts w:hint="eastAsia"/>
          <w:szCs w:val="18"/>
        </w:rPr>
        <w:t>年国际法院案例汇编》，第</w:t>
      </w:r>
      <w:r w:rsidRPr="00F709E3">
        <w:rPr>
          <w:szCs w:val="18"/>
        </w:rPr>
        <w:t>176</w:t>
      </w:r>
      <w:r w:rsidRPr="00F709E3">
        <w:rPr>
          <w:rFonts w:hint="eastAsia"/>
          <w:szCs w:val="18"/>
        </w:rPr>
        <w:t>页起，见第</w:t>
      </w:r>
      <w:r w:rsidRPr="00F709E3">
        <w:rPr>
          <w:szCs w:val="18"/>
        </w:rPr>
        <w:t>200</w:t>
      </w:r>
      <w:r w:rsidRPr="00F709E3">
        <w:rPr>
          <w:rFonts w:hint="eastAsia"/>
          <w:szCs w:val="18"/>
        </w:rPr>
        <w:t>页。</w:t>
      </w:r>
    </w:p>
  </w:footnote>
  <w:footnote w:id="270">
    <w:p w:rsidR="00AB00DE" w:rsidRPr="00F709E3" w:rsidRDefault="00AB00DE" w:rsidP="00267AB1">
      <w:pPr>
        <w:pStyle w:val="a4"/>
        <w:rPr>
          <w:szCs w:val="18"/>
        </w:rPr>
      </w:pPr>
      <w:r w:rsidRPr="00F709E3">
        <w:rPr>
          <w:rFonts w:hint="eastAsia"/>
          <w:szCs w:val="18"/>
        </w:rPr>
        <w:tab/>
      </w:r>
      <w:r w:rsidRPr="00DF5565">
        <w:rPr>
          <w:rStyle w:val="a5"/>
        </w:rPr>
        <w:footnoteRef/>
      </w:r>
      <w:r w:rsidRPr="00F709E3">
        <w:rPr>
          <w:rFonts w:hint="eastAsia"/>
          <w:szCs w:val="18"/>
        </w:rPr>
        <w:tab/>
      </w:r>
      <w:r w:rsidRPr="00F709E3">
        <w:rPr>
          <w:rFonts w:eastAsia="楷体"/>
          <w:iCs/>
          <w:szCs w:val="18"/>
        </w:rPr>
        <w:t>北海大陆架案</w:t>
      </w:r>
      <w:r w:rsidRPr="00F709E3">
        <w:rPr>
          <w:szCs w:val="18"/>
        </w:rPr>
        <w:t>(</w:t>
      </w:r>
      <w:r w:rsidRPr="00F709E3">
        <w:rPr>
          <w:rFonts w:hint="eastAsia"/>
          <w:szCs w:val="18"/>
        </w:rPr>
        <w:t>见脚注</w:t>
      </w:r>
      <w:r>
        <w:rPr>
          <w:szCs w:val="18"/>
        </w:rPr>
        <w:fldChar w:fldCharType="begin"/>
      </w:r>
      <w:r>
        <w:rPr>
          <w:szCs w:val="18"/>
        </w:rPr>
        <w:instrText xml:space="preserve"> </w:instrText>
      </w:r>
      <w:r>
        <w:rPr>
          <w:rFonts w:hint="eastAsia"/>
          <w:szCs w:val="18"/>
        </w:rPr>
        <w:instrText>NOTEREF _Ref453666652 \h</w:instrText>
      </w:r>
      <w:r>
        <w:rPr>
          <w:szCs w:val="18"/>
        </w:rPr>
        <w:instrText xml:space="preserve"> </w:instrText>
      </w:r>
      <w:r>
        <w:rPr>
          <w:szCs w:val="18"/>
        </w:rPr>
      </w:r>
      <w:r>
        <w:rPr>
          <w:szCs w:val="18"/>
        </w:rPr>
        <w:fldChar w:fldCharType="separate"/>
      </w:r>
      <w:r w:rsidR="00A73EB9">
        <w:rPr>
          <w:szCs w:val="18"/>
        </w:rPr>
        <w:t>254</w:t>
      </w:r>
      <w:r>
        <w:rPr>
          <w:szCs w:val="18"/>
        </w:rPr>
        <w:fldChar w:fldCharType="end"/>
      </w:r>
      <w:r w:rsidRPr="00F709E3">
        <w:rPr>
          <w:szCs w:val="18"/>
        </w:rPr>
        <w:t>)</w:t>
      </w:r>
      <w:r w:rsidRPr="00F709E3">
        <w:rPr>
          <w:rFonts w:hint="eastAsia"/>
          <w:szCs w:val="18"/>
        </w:rPr>
        <w:t>，见第</w:t>
      </w:r>
      <w:r w:rsidRPr="00F709E3">
        <w:rPr>
          <w:szCs w:val="18"/>
        </w:rPr>
        <w:t>44</w:t>
      </w:r>
      <w:r w:rsidRPr="00F709E3">
        <w:rPr>
          <w:rFonts w:hint="eastAsia"/>
          <w:szCs w:val="18"/>
        </w:rPr>
        <w:t>页，第</w:t>
      </w:r>
      <w:r w:rsidRPr="00F709E3">
        <w:rPr>
          <w:szCs w:val="18"/>
        </w:rPr>
        <w:t>76</w:t>
      </w:r>
      <w:r w:rsidRPr="00F709E3">
        <w:rPr>
          <w:rFonts w:hint="eastAsia"/>
          <w:szCs w:val="18"/>
        </w:rPr>
        <w:t>段。在</w:t>
      </w:r>
      <w:r w:rsidRPr="00F709E3">
        <w:rPr>
          <w:rFonts w:eastAsia="楷体" w:hint="eastAsia"/>
          <w:szCs w:val="18"/>
        </w:rPr>
        <w:t>“莲花号”案</w:t>
      </w:r>
      <w:r w:rsidRPr="00F709E3">
        <w:rPr>
          <w:rFonts w:hint="eastAsia"/>
          <w:szCs w:val="18"/>
        </w:rPr>
        <w:t>中，常设国际法院也认为：</w:t>
      </w:r>
      <w:r w:rsidRPr="00F709E3">
        <w:rPr>
          <w:rFonts w:hint="eastAsia"/>
          <w:szCs w:val="18"/>
          <w:lang w:bidi="he-IL"/>
        </w:rPr>
        <w:t>“在报告的案件中，判决十分少见，这一点足以从事实上证明所称的情况，尽管如此，……这只能显示各国在实践中往往不提起刑事诉讼，而非各国承认自己有义务不提起刑事诉讼；因为，除非各国不诉讼的原因是认识到自身有不诉讼的义务，否则谈不上国际习惯。所称的事实无法推断出各国已认识到存在着这种义务”</w:t>
      </w:r>
      <w:r w:rsidRPr="00F709E3">
        <w:rPr>
          <w:szCs w:val="18"/>
          <w:lang w:bidi="he-IL"/>
        </w:rPr>
        <w:t>(</w:t>
      </w:r>
      <w:r w:rsidRPr="00F709E3">
        <w:rPr>
          <w:rFonts w:eastAsia="楷体" w:hint="eastAsia"/>
          <w:szCs w:val="18"/>
        </w:rPr>
        <w:t>“莲花号”案</w:t>
      </w:r>
      <w:r w:rsidRPr="00F709E3">
        <w:rPr>
          <w:rFonts w:eastAsia="楷体" w:hint="eastAsia"/>
          <w:szCs w:val="18"/>
        </w:rPr>
        <w:t xml:space="preserve"> </w:t>
      </w:r>
      <w:r w:rsidRPr="00F709E3">
        <w:rPr>
          <w:rFonts w:eastAsia="Times New Roman"/>
          <w:szCs w:val="18"/>
        </w:rPr>
        <w:t>(</w:t>
      </w:r>
      <w:r w:rsidRPr="00F709E3">
        <w:rPr>
          <w:rFonts w:hint="eastAsia"/>
          <w:szCs w:val="18"/>
        </w:rPr>
        <w:t>见上文脚注</w:t>
      </w:r>
      <w:r>
        <w:rPr>
          <w:szCs w:val="18"/>
        </w:rPr>
        <w:fldChar w:fldCharType="begin"/>
      </w:r>
      <w:r>
        <w:rPr>
          <w:szCs w:val="18"/>
        </w:rPr>
        <w:instrText xml:space="preserve"> </w:instrText>
      </w:r>
      <w:r>
        <w:rPr>
          <w:rFonts w:hint="eastAsia"/>
          <w:szCs w:val="18"/>
        </w:rPr>
        <w:instrText>NOTEREF _Ref461974739 \h</w:instrText>
      </w:r>
      <w:r>
        <w:rPr>
          <w:szCs w:val="18"/>
        </w:rPr>
        <w:instrText xml:space="preserve"> </w:instrText>
      </w:r>
      <w:r>
        <w:rPr>
          <w:szCs w:val="18"/>
        </w:rPr>
      </w:r>
      <w:r>
        <w:rPr>
          <w:szCs w:val="18"/>
        </w:rPr>
        <w:fldChar w:fldCharType="separate"/>
      </w:r>
      <w:r w:rsidR="00A73EB9">
        <w:rPr>
          <w:szCs w:val="18"/>
        </w:rPr>
        <w:t>250</w:t>
      </w:r>
      <w:r>
        <w:rPr>
          <w:szCs w:val="18"/>
        </w:rPr>
        <w:fldChar w:fldCharType="end"/>
      </w:r>
      <w:r w:rsidRPr="00F709E3">
        <w:rPr>
          <w:rFonts w:eastAsia="Times New Roman"/>
          <w:szCs w:val="18"/>
        </w:rPr>
        <w:t>)</w:t>
      </w:r>
      <w:r w:rsidRPr="00F709E3">
        <w:rPr>
          <w:rFonts w:hint="eastAsia"/>
          <w:szCs w:val="18"/>
        </w:rPr>
        <w:t>，见第</w:t>
      </w:r>
      <w:r w:rsidRPr="00F709E3">
        <w:rPr>
          <w:szCs w:val="18"/>
          <w:lang w:bidi="he-IL"/>
        </w:rPr>
        <w:t>28</w:t>
      </w:r>
      <w:r w:rsidRPr="00F709E3">
        <w:rPr>
          <w:rFonts w:hint="eastAsia"/>
          <w:szCs w:val="18"/>
          <w:lang w:bidi="he-IL"/>
        </w:rPr>
        <w:t>页</w:t>
      </w:r>
      <w:r w:rsidRPr="00F709E3">
        <w:rPr>
          <w:szCs w:val="18"/>
          <w:lang w:bidi="he-IL"/>
        </w:rPr>
        <w:t>)</w:t>
      </w:r>
      <w:r w:rsidRPr="00F709E3">
        <w:rPr>
          <w:rFonts w:hint="eastAsia"/>
          <w:szCs w:val="18"/>
        </w:rPr>
        <w:t>。另见下文结论草案</w:t>
      </w:r>
      <w:r w:rsidRPr="00F709E3">
        <w:rPr>
          <w:rFonts w:hint="eastAsia"/>
          <w:szCs w:val="18"/>
        </w:rPr>
        <w:t>10</w:t>
      </w:r>
      <w:r w:rsidRPr="00F709E3">
        <w:rPr>
          <w:rFonts w:hint="eastAsia"/>
          <w:szCs w:val="18"/>
        </w:rPr>
        <w:t>，第</w:t>
      </w:r>
      <w:r w:rsidRPr="00F709E3">
        <w:rPr>
          <w:szCs w:val="18"/>
        </w:rPr>
        <w:t>(</w:t>
      </w:r>
      <w:r w:rsidRPr="00F709E3">
        <w:rPr>
          <w:rFonts w:hint="eastAsia"/>
          <w:szCs w:val="18"/>
        </w:rPr>
        <w:t>2</w:t>
      </w:r>
      <w:r w:rsidRPr="00F709E3">
        <w:rPr>
          <w:szCs w:val="18"/>
        </w:rPr>
        <w:t>)</w:t>
      </w:r>
      <w:r w:rsidRPr="00F709E3">
        <w:rPr>
          <w:rFonts w:hint="eastAsia"/>
          <w:szCs w:val="18"/>
        </w:rPr>
        <w:t>段。</w:t>
      </w:r>
    </w:p>
  </w:footnote>
  <w:footnote w:id="271">
    <w:p w:rsidR="00AB00DE" w:rsidRPr="00F709E3" w:rsidRDefault="00AB00DE" w:rsidP="00F709E3">
      <w:pPr>
        <w:pStyle w:val="a4"/>
        <w:rPr>
          <w:szCs w:val="18"/>
        </w:rPr>
      </w:pPr>
      <w:r w:rsidRPr="00F709E3">
        <w:rPr>
          <w:rFonts w:hint="eastAsia"/>
          <w:szCs w:val="18"/>
        </w:rPr>
        <w:tab/>
      </w:r>
      <w:r w:rsidRPr="00DF5565">
        <w:rPr>
          <w:rStyle w:val="a5"/>
        </w:rPr>
        <w:footnoteRef/>
      </w:r>
      <w:r w:rsidRPr="00F709E3">
        <w:rPr>
          <w:rFonts w:hint="eastAsia"/>
          <w:szCs w:val="18"/>
        </w:rPr>
        <w:tab/>
      </w:r>
      <w:r w:rsidRPr="00F709E3">
        <w:rPr>
          <w:rFonts w:hint="eastAsia"/>
          <w:szCs w:val="18"/>
        </w:rPr>
        <w:t>有时也称“做法”，但这可能与“单纯的常例或习惯”相混淆，后者与习惯国际法不同：见下文结论草案</w:t>
      </w:r>
      <w:r w:rsidRPr="00F709E3">
        <w:rPr>
          <w:rFonts w:hint="eastAsia"/>
          <w:szCs w:val="18"/>
        </w:rPr>
        <w:t>9</w:t>
      </w:r>
      <w:r w:rsidRPr="00F709E3">
        <w:rPr>
          <w:rFonts w:hint="eastAsia"/>
          <w:szCs w:val="18"/>
        </w:rPr>
        <w:t>，第</w:t>
      </w:r>
      <w:r w:rsidRPr="00F709E3">
        <w:rPr>
          <w:rFonts w:hint="eastAsia"/>
          <w:szCs w:val="18"/>
        </w:rPr>
        <w:t>2</w:t>
      </w:r>
      <w:r w:rsidRPr="00F709E3">
        <w:rPr>
          <w:rFonts w:hint="eastAsia"/>
          <w:szCs w:val="18"/>
        </w:rPr>
        <w:t>段。</w:t>
      </w:r>
    </w:p>
  </w:footnote>
  <w:footnote w:id="272">
    <w:p w:rsidR="00AB00DE" w:rsidRPr="00F709E3" w:rsidRDefault="00AB00DE" w:rsidP="008B3302">
      <w:pPr>
        <w:pStyle w:val="a4"/>
        <w:rPr>
          <w:szCs w:val="18"/>
        </w:rPr>
      </w:pPr>
      <w:r w:rsidRPr="00F709E3">
        <w:rPr>
          <w:rFonts w:hint="eastAsia"/>
          <w:szCs w:val="18"/>
        </w:rPr>
        <w:tab/>
      </w:r>
      <w:r w:rsidRPr="00DF5565">
        <w:rPr>
          <w:rStyle w:val="a5"/>
        </w:rPr>
        <w:footnoteRef/>
      </w:r>
      <w:r w:rsidRPr="00F709E3">
        <w:rPr>
          <w:rFonts w:hint="eastAsia"/>
          <w:szCs w:val="18"/>
        </w:rPr>
        <w:tab/>
      </w:r>
      <w:r w:rsidRPr="00F709E3">
        <w:rPr>
          <w:rFonts w:hint="eastAsia"/>
          <w:szCs w:val="18"/>
        </w:rPr>
        <w:t>国家惯例在国际公法中还具有其他重要作用，包括与条约解释有关的作用</w:t>
      </w:r>
      <w:r>
        <w:rPr>
          <w:rFonts w:hint="eastAsia"/>
          <w:szCs w:val="18"/>
        </w:rPr>
        <w:t>(</w:t>
      </w:r>
      <w:r w:rsidRPr="00F709E3">
        <w:rPr>
          <w:rFonts w:hint="eastAsia"/>
          <w:szCs w:val="18"/>
        </w:rPr>
        <w:t>见关于“与条约解释相关的嗣后协定和嗣后惯例”的本报告第六章</w:t>
      </w:r>
      <w:r>
        <w:rPr>
          <w:rFonts w:hint="eastAsia"/>
          <w:szCs w:val="18"/>
        </w:rPr>
        <w:t>)</w:t>
      </w:r>
      <w:r w:rsidRPr="00F709E3">
        <w:rPr>
          <w:rFonts w:hint="eastAsia"/>
          <w:szCs w:val="18"/>
        </w:rPr>
        <w:t>。</w:t>
      </w:r>
    </w:p>
  </w:footnote>
  <w:footnote w:id="273">
    <w:p w:rsidR="00AB00DE" w:rsidRPr="00F709E3" w:rsidRDefault="00AB00DE" w:rsidP="00267AB1">
      <w:pPr>
        <w:pStyle w:val="a4"/>
        <w:rPr>
          <w:szCs w:val="18"/>
        </w:rPr>
      </w:pPr>
      <w:r w:rsidRPr="00F709E3">
        <w:rPr>
          <w:rFonts w:hint="eastAsia"/>
          <w:szCs w:val="18"/>
        </w:rPr>
        <w:tab/>
      </w:r>
      <w:r w:rsidRPr="00DF5565">
        <w:rPr>
          <w:rStyle w:val="a5"/>
        </w:rPr>
        <w:footnoteRef/>
      </w:r>
      <w:r w:rsidRPr="00F709E3">
        <w:rPr>
          <w:rFonts w:hint="eastAsia"/>
          <w:szCs w:val="18"/>
        </w:rPr>
        <w:tab/>
      </w:r>
      <w:r w:rsidRPr="00F709E3">
        <w:rPr>
          <w:rFonts w:eastAsia="楷体"/>
          <w:iCs/>
          <w:szCs w:val="18"/>
          <w:lang w:bidi="he-IL"/>
        </w:rPr>
        <w:t>尼加拉瓜境内和针对尼加拉瓜的军事和准军事活动案</w:t>
      </w:r>
      <w:r w:rsidRPr="00F709E3">
        <w:rPr>
          <w:szCs w:val="18"/>
          <w:lang w:bidi="he-IL"/>
        </w:rPr>
        <w:t>(</w:t>
      </w:r>
      <w:r w:rsidRPr="00F709E3">
        <w:rPr>
          <w:rFonts w:hint="eastAsia"/>
          <w:szCs w:val="18"/>
          <w:lang w:bidi="he-IL"/>
        </w:rPr>
        <w:t>见上文脚注</w:t>
      </w:r>
      <w:r>
        <w:fldChar w:fldCharType="begin"/>
      </w:r>
      <w:r>
        <w:instrText xml:space="preserve"> </w:instrText>
      </w:r>
      <w:r>
        <w:rPr>
          <w:rFonts w:hint="eastAsia"/>
        </w:rPr>
        <w:instrText>NOTEREF _Ref461975037 \h</w:instrText>
      </w:r>
      <w:r>
        <w:instrText xml:space="preserve"> </w:instrText>
      </w:r>
      <w:r>
        <w:fldChar w:fldCharType="separate"/>
      </w:r>
      <w:r w:rsidR="00A73EB9">
        <w:t>246</w:t>
      </w:r>
      <w:r>
        <w:fldChar w:fldCharType="end"/>
      </w:r>
      <w:r w:rsidRPr="00F709E3">
        <w:rPr>
          <w:szCs w:val="18"/>
          <w:lang w:bidi="he-IL"/>
        </w:rPr>
        <w:t>)</w:t>
      </w:r>
      <w:r w:rsidRPr="00F709E3">
        <w:rPr>
          <w:rFonts w:hint="eastAsia"/>
          <w:szCs w:val="18"/>
          <w:lang w:bidi="he-IL"/>
        </w:rPr>
        <w:t>，见第</w:t>
      </w:r>
      <w:r w:rsidRPr="00F709E3">
        <w:rPr>
          <w:szCs w:val="18"/>
          <w:lang w:bidi="he-IL"/>
        </w:rPr>
        <w:t>97</w:t>
      </w:r>
      <w:r w:rsidRPr="00F709E3">
        <w:rPr>
          <w:rFonts w:hint="eastAsia"/>
          <w:szCs w:val="18"/>
          <w:lang w:bidi="he-IL"/>
        </w:rPr>
        <w:t>页，第</w:t>
      </w:r>
      <w:r w:rsidRPr="00F709E3">
        <w:rPr>
          <w:szCs w:val="18"/>
          <w:lang w:bidi="he-IL"/>
        </w:rPr>
        <w:t>183</w:t>
      </w:r>
      <w:r w:rsidRPr="00F709E3">
        <w:rPr>
          <w:rFonts w:hint="eastAsia"/>
          <w:szCs w:val="18"/>
          <w:lang w:bidi="he-IL"/>
        </w:rPr>
        <w:t>段。在</w:t>
      </w:r>
      <w:r w:rsidRPr="00F709E3">
        <w:rPr>
          <w:rFonts w:eastAsia="楷体"/>
          <w:iCs/>
          <w:szCs w:val="18"/>
          <w:lang w:bidi="he-IL"/>
        </w:rPr>
        <w:t>国家的管辖豁免案</w:t>
      </w:r>
      <w:r w:rsidRPr="00F709E3">
        <w:rPr>
          <w:rFonts w:hint="eastAsia"/>
          <w:szCs w:val="18"/>
          <w:lang w:bidi="he-IL"/>
        </w:rPr>
        <w:t>中，法院证实，“习惯国际法源自国家惯例</w:t>
      </w:r>
      <w:r w:rsidRPr="00F709E3">
        <w:rPr>
          <w:rFonts w:hint="eastAsia"/>
          <w:szCs w:val="18"/>
        </w:rPr>
        <w:t>”</w:t>
      </w:r>
      <w:r w:rsidRPr="00F709E3">
        <w:rPr>
          <w:szCs w:val="18"/>
        </w:rPr>
        <w:t>(</w:t>
      </w:r>
      <w:r w:rsidRPr="00F709E3">
        <w:rPr>
          <w:rFonts w:eastAsia="楷体"/>
          <w:iCs/>
          <w:szCs w:val="18"/>
        </w:rPr>
        <w:t>国家的管辖豁免案</w:t>
      </w:r>
      <w:r w:rsidRPr="00F709E3">
        <w:rPr>
          <w:rFonts w:eastAsia="楷体" w:hint="eastAsia"/>
          <w:iCs/>
          <w:szCs w:val="18"/>
        </w:rPr>
        <w:t xml:space="preserve"> </w:t>
      </w:r>
      <w:r w:rsidRPr="00F709E3">
        <w:rPr>
          <w:szCs w:val="18"/>
        </w:rPr>
        <w:t>(</w:t>
      </w:r>
      <w:r w:rsidRPr="00F709E3">
        <w:rPr>
          <w:rFonts w:hint="eastAsia"/>
          <w:szCs w:val="18"/>
        </w:rPr>
        <w:t>见上文脚注</w:t>
      </w:r>
      <w:r w:rsidRPr="00F709E3">
        <w:rPr>
          <w:szCs w:val="18"/>
        </w:rPr>
        <w:fldChar w:fldCharType="begin"/>
      </w:r>
      <w:r w:rsidRPr="00F709E3">
        <w:rPr>
          <w:szCs w:val="18"/>
        </w:rPr>
        <w:instrText xml:space="preserve"> NOTEREF _Ref453667027 \h  \* MERGEFORMAT </w:instrText>
      </w:r>
      <w:r w:rsidRPr="00F709E3">
        <w:rPr>
          <w:szCs w:val="18"/>
        </w:rPr>
      </w:r>
      <w:r w:rsidRPr="00F709E3">
        <w:rPr>
          <w:szCs w:val="18"/>
        </w:rPr>
        <w:fldChar w:fldCharType="separate"/>
      </w:r>
      <w:r w:rsidR="00A73EB9">
        <w:rPr>
          <w:szCs w:val="18"/>
        </w:rPr>
        <w:t>255</w:t>
      </w:r>
      <w:r w:rsidRPr="00F709E3">
        <w:rPr>
          <w:szCs w:val="18"/>
        </w:rPr>
        <w:fldChar w:fldCharType="end"/>
      </w:r>
      <w:r w:rsidRPr="00F709E3">
        <w:rPr>
          <w:szCs w:val="18"/>
        </w:rPr>
        <w:t>)</w:t>
      </w:r>
      <w:r w:rsidRPr="00F709E3">
        <w:rPr>
          <w:rFonts w:hint="eastAsia"/>
          <w:szCs w:val="18"/>
        </w:rPr>
        <w:t>，第</w:t>
      </w:r>
      <w:r w:rsidRPr="00F709E3">
        <w:rPr>
          <w:szCs w:val="18"/>
        </w:rPr>
        <w:t>143</w:t>
      </w:r>
      <w:r w:rsidRPr="00F709E3">
        <w:rPr>
          <w:rFonts w:hint="eastAsia"/>
          <w:szCs w:val="18"/>
        </w:rPr>
        <w:t>页，第</w:t>
      </w:r>
      <w:r w:rsidRPr="00F709E3">
        <w:rPr>
          <w:szCs w:val="18"/>
        </w:rPr>
        <w:t>101</w:t>
      </w:r>
      <w:r w:rsidRPr="00F709E3">
        <w:rPr>
          <w:rFonts w:hint="eastAsia"/>
          <w:szCs w:val="18"/>
        </w:rPr>
        <w:t>段</w:t>
      </w:r>
      <w:r w:rsidRPr="00F709E3">
        <w:rPr>
          <w:szCs w:val="18"/>
        </w:rPr>
        <w:t>)</w:t>
      </w:r>
      <w:r w:rsidRPr="00F709E3">
        <w:rPr>
          <w:rFonts w:hint="eastAsia"/>
          <w:szCs w:val="18"/>
        </w:rPr>
        <w:t>。</w:t>
      </w:r>
    </w:p>
  </w:footnote>
  <w:footnote w:id="274">
    <w:p w:rsidR="00AB00DE" w:rsidRPr="00F709E3" w:rsidRDefault="00AB00DE" w:rsidP="00F709E3">
      <w:pPr>
        <w:pStyle w:val="a4"/>
        <w:rPr>
          <w:szCs w:val="18"/>
        </w:rPr>
      </w:pPr>
      <w:r w:rsidRPr="00F709E3">
        <w:rPr>
          <w:rFonts w:hint="eastAsia"/>
          <w:szCs w:val="18"/>
        </w:rPr>
        <w:tab/>
      </w:r>
      <w:r w:rsidRPr="00DF5565">
        <w:rPr>
          <w:rStyle w:val="a5"/>
        </w:rPr>
        <w:footnoteRef/>
      </w:r>
      <w:r w:rsidRPr="00F709E3">
        <w:rPr>
          <w:rFonts w:hint="eastAsia"/>
          <w:szCs w:val="18"/>
        </w:rPr>
        <w:tab/>
      </w:r>
      <w:r w:rsidRPr="00F709E3">
        <w:rPr>
          <w:rFonts w:hint="eastAsia"/>
          <w:szCs w:val="18"/>
        </w:rPr>
        <w:t>另见下文结论草案下文结论草案</w:t>
      </w:r>
      <w:r w:rsidRPr="00F709E3">
        <w:rPr>
          <w:rFonts w:hint="eastAsia"/>
          <w:szCs w:val="18"/>
        </w:rPr>
        <w:t>6</w:t>
      </w:r>
      <w:r w:rsidRPr="00F709E3">
        <w:rPr>
          <w:rFonts w:hint="eastAsia"/>
          <w:szCs w:val="18"/>
        </w:rPr>
        <w:t>、</w:t>
      </w:r>
      <w:r w:rsidRPr="00F709E3">
        <w:rPr>
          <w:rFonts w:hint="eastAsia"/>
          <w:szCs w:val="18"/>
        </w:rPr>
        <w:t>10</w:t>
      </w:r>
      <w:r w:rsidRPr="00F709E3">
        <w:rPr>
          <w:rFonts w:hint="eastAsia"/>
          <w:szCs w:val="18"/>
        </w:rPr>
        <w:t>和</w:t>
      </w:r>
      <w:r w:rsidRPr="00F709E3">
        <w:rPr>
          <w:rFonts w:hint="eastAsia"/>
          <w:szCs w:val="18"/>
        </w:rPr>
        <w:t>12</w:t>
      </w:r>
      <w:r w:rsidRPr="00F709E3">
        <w:rPr>
          <w:rFonts w:hint="eastAsia"/>
          <w:szCs w:val="18"/>
        </w:rPr>
        <w:t>，这些草案除其他外，提到了国际组织内部的国家</w:t>
      </w:r>
      <w:r w:rsidRPr="00F709E3">
        <w:rPr>
          <w:rFonts w:hint="eastAsia"/>
          <w:szCs w:val="18"/>
        </w:rPr>
        <w:t>(</w:t>
      </w:r>
      <w:r w:rsidRPr="00F709E3">
        <w:rPr>
          <w:rFonts w:hint="eastAsia"/>
          <w:szCs w:val="18"/>
        </w:rPr>
        <w:t>被接受为法律的</w:t>
      </w:r>
      <w:r w:rsidRPr="00F709E3">
        <w:rPr>
          <w:rFonts w:hint="eastAsia"/>
          <w:szCs w:val="18"/>
        </w:rPr>
        <w:t>)</w:t>
      </w:r>
      <w:r w:rsidRPr="00F709E3">
        <w:rPr>
          <w:rFonts w:hint="eastAsia"/>
          <w:szCs w:val="18"/>
        </w:rPr>
        <w:t>惯例。</w:t>
      </w:r>
    </w:p>
  </w:footnote>
  <w:footnote w:id="275">
    <w:p w:rsidR="00AB00DE" w:rsidRPr="00F709E3" w:rsidRDefault="00AB00DE" w:rsidP="00F709E3">
      <w:pPr>
        <w:pStyle w:val="a4"/>
        <w:rPr>
          <w:szCs w:val="18"/>
        </w:rPr>
      </w:pPr>
      <w:r w:rsidRPr="00F709E3">
        <w:rPr>
          <w:rFonts w:hint="eastAsia"/>
          <w:szCs w:val="18"/>
        </w:rPr>
        <w:tab/>
      </w:r>
      <w:r w:rsidRPr="00DF5565">
        <w:rPr>
          <w:rStyle w:val="a5"/>
        </w:rPr>
        <w:footnoteRef/>
      </w:r>
      <w:r w:rsidRPr="00F709E3">
        <w:rPr>
          <w:rFonts w:hint="eastAsia"/>
          <w:szCs w:val="18"/>
        </w:rPr>
        <w:tab/>
      </w:r>
      <w:r w:rsidRPr="00F709E3">
        <w:rPr>
          <w:rFonts w:hint="eastAsia"/>
          <w:szCs w:val="18"/>
        </w:rPr>
        <w:t>另见委员会于</w:t>
      </w:r>
      <w:r w:rsidRPr="00F709E3">
        <w:rPr>
          <w:rFonts w:hint="eastAsia"/>
          <w:szCs w:val="18"/>
        </w:rPr>
        <w:t>2011</w:t>
      </w:r>
      <w:r w:rsidRPr="00F709E3">
        <w:rPr>
          <w:rFonts w:hint="eastAsia"/>
          <w:szCs w:val="18"/>
        </w:rPr>
        <w:t>年通过的关于国际组织责任的条款草案，总评注，第</w:t>
      </w:r>
      <w:r w:rsidRPr="00F709E3">
        <w:rPr>
          <w:szCs w:val="18"/>
        </w:rPr>
        <w:t>(7)</w:t>
      </w:r>
      <w:r w:rsidRPr="00F709E3">
        <w:rPr>
          <w:rFonts w:hint="eastAsia"/>
          <w:szCs w:val="18"/>
        </w:rPr>
        <w:t>段：“国际组织与国家相当不同，此外国际组织相互之间也有很大的差别。与国家相对的是，国际组织不具有一般性权能，其建立是为了行使专门的职能</w:t>
      </w:r>
      <w:r w:rsidRPr="00F709E3">
        <w:rPr>
          <w:rFonts w:hint="eastAsia"/>
          <w:szCs w:val="18"/>
        </w:rPr>
        <w:t>(</w:t>
      </w:r>
      <w:r w:rsidRPr="00F709E3">
        <w:rPr>
          <w:rFonts w:ascii="宋体" w:hAnsi="宋体" w:cs="Calibri" w:hint="eastAsia"/>
          <w:szCs w:val="18"/>
        </w:rPr>
        <w:t>‘</w:t>
      </w:r>
      <w:r w:rsidRPr="00F709E3">
        <w:rPr>
          <w:rFonts w:ascii="宋体" w:hAnsi="宋体" w:cs="宋体" w:hint="eastAsia"/>
          <w:szCs w:val="18"/>
        </w:rPr>
        <w:t>特定性原则</w:t>
      </w:r>
      <w:r w:rsidRPr="00F709E3">
        <w:rPr>
          <w:rFonts w:ascii="宋体" w:hAnsi="宋体" w:cs="Calibri" w:hint="eastAsia"/>
          <w:szCs w:val="18"/>
        </w:rPr>
        <w:t>’</w:t>
      </w:r>
      <w:r w:rsidRPr="00F709E3">
        <w:rPr>
          <w:rFonts w:hint="eastAsia"/>
          <w:szCs w:val="18"/>
        </w:rPr>
        <w:t>)</w:t>
      </w:r>
      <w:r w:rsidRPr="00F709E3">
        <w:rPr>
          <w:rFonts w:hint="eastAsia"/>
          <w:szCs w:val="18"/>
        </w:rPr>
        <w:t>。各国际组织在下列方面相互之间有很大的不同：在其权力和职能、成员国数量、该组织与成员的关系、辩论程序、结构和设施以及国际组织受其约束的主要规则包括条约义务等”</w:t>
      </w:r>
      <w:r w:rsidRPr="00F709E3">
        <w:rPr>
          <w:szCs w:val="18"/>
        </w:rPr>
        <w:t>(</w:t>
      </w:r>
      <w:r w:rsidRPr="00F709E3">
        <w:rPr>
          <w:rFonts w:hint="eastAsia"/>
          <w:szCs w:val="18"/>
        </w:rPr>
        <w:t>《大会正式记录，第六十六届会议，补编第</w:t>
      </w:r>
      <w:r w:rsidRPr="00F709E3">
        <w:rPr>
          <w:rFonts w:hint="eastAsia"/>
          <w:szCs w:val="18"/>
        </w:rPr>
        <w:t>10</w:t>
      </w:r>
      <w:r w:rsidRPr="00F709E3">
        <w:rPr>
          <w:rFonts w:hint="eastAsia"/>
          <w:szCs w:val="18"/>
        </w:rPr>
        <w:t>号》</w:t>
      </w:r>
      <w:r w:rsidRPr="00F709E3">
        <w:rPr>
          <w:szCs w:val="18"/>
        </w:rPr>
        <w:t>(A/66/10)</w:t>
      </w:r>
      <w:r w:rsidRPr="00F709E3">
        <w:rPr>
          <w:rFonts w:hint="eastAsia"/>
          <w:szCs w:val="18"/>
        </w:rPr>
        <w:t>，第</w:t>
      </w:r>
      <w:r w:rsidRPr="00F709E3">
        <w:rPr>
          <w:szCs w:val="18"/>
        </w:rPr>
        <w:t>88</w:t>
      </w:r>
      <w:r w:rsidRPr="00F709E3">
        <w:rPr>
          <w:rFonts w:hint="eastAsia"/>
          <w:szCs w:val="18"/>
        </w:rPr>
        <w:t>段</w:t>
      </w:r>
      <w:r w:rsidRPr="00F709E3">
        <w:rPr>
          <w:szCs w:val="18"/>
        </w:rPr>
        <w:t>)</w:t>
      </w:r>
      <w:r w:rsidRPr="00F709E3">
        <w:rPr>
          <w:rFonts w:hint="eastAsia"/>
          <w:szCs w:val="18"/>
        </w:rPr>
        <w:t>。</w:t>
      </w:r>
    </w:p>
  </w:footnote>
  <w:footnote w:id="276">
    <w:p w:rsidR="00AB00DE" w:rsidRPr="00F709E3" w:rsidRDefault="00AB00DE" w:rsidP="00F709E3">
      <w:pPr>
        <w:pStyle w:val="a4"/>
        <w:rPr>
          <w:szCs w:val="18"/>
        </w:rPr>
      </w:pPr>
      <w:r w:rsidRPr="00F709E3">
        <w:rPr>
          <w:rFonts w:hint="eastAsia"/>
          <w:szCs w:val="18"/>
        </w:rPr>
        <w:tab/>
      </w:r>
      <w:r w:rsidRPr="00DF5565">
        <w:rPr>
          <w:rStyle w:val="a5"/>
        </w:rPr>
        <w:footnoteRef/>
      </w:r>
      <w:r w:rsidRPr="00F709E3">
        <w:rPr>
          <w:rFonts w:hint="eastAsia"/>
          <w:szCs w:val="18"/>
        </w:rPr>
        <w:tab/>
      </w:r>
      <w:r w:rsidRPr="00F709E3">
        <w:rPr>
          <w:rFonts w:hint="eastAsia"/>
          <w:szCs w:val="18"/>
        </w:rPr>
        <w:t>国际组织外部的惯例</w:t>
      </w:r>
      <w:r w:rsidRPr="00F709E3">
        <w:rPr>
          <w:szCs w:val="18"/>
        </w:rPr>
        <w:t>(</w:t>
      </w:r>
      <w:r w:rsidRPr="00F709E3">
        <w:rPr>
          <w:rFonts w:hint="eastAsia"/>
          <w:szCs w:val="18"/>
        </w:rPr>
        <w:t>即国际组织与国家、国际组织和其他方面关系中的惯例</w:t>
      </w:r>
      <w:r w:rsidRPr="00F709E3">
        <w:rPr>
          <w:szCs w:val="18"/>
        </w:rPr>
        <w:t>)</w:t>
      </w:r>
      <w:r w:rsidRPr="00F709E3">
        <w:rPr>
          <w:rFonts w:hint="eastAsia"/>
          <w:szCs w:val="18"/>
        </w:rPr>
        <w:t>可能与习惯国际法的识别尤为相关。</w:t>
      </w:r>
    </w:p>
  </w:footnote>
  <w:footnote w:id="277">
    <w:p w:rsidR="00AB00DE" w:rsidRPr="00F709E3" w:rsidRDefault="00AB00DE" w:rsidP="00F709E3">
      <w:pPr>
        <w:pStyle w:val="a4"/>
        <w:rPr>
          <w:szCs w:val="18"/>
        </w:rPr>
      </w:pPr>
      <w:r w:rsidRPr="00F709E3">
        <w:rPr>
          <w:rFonts w:hint="eastAsia"/>
          <w:szCs w:val="18"/>
        </w:rPr>
        <w:tab/>
      </w:r>
      <w:r w:rsidRPr="00DF5565">
        <w:rPr>
          <w:rStyle w:val="a5"/>
        </w:rPr>
        <w:footnoteRef/>
      </w:r>
      <w:r w:rsidRPr="00F709E3">
        <w:rPr>
          <w:rFonts w:hint="eastAsia"/>
          <w:szCs w:val="18"/>
        </w:rPr>
        <w:tab/>
      </w:r>
      <w:r w:rsidRPr="00F709E3">
        <w:rPr>
          <w:rFonts w:hint="eastAsia"/>
          <w:szCs w:val="18"/>
        </w:rPr>
        <w:t>另见</w:t>
      </w:r>
      <w:r w:rsidRPr="00F709E3">
        <w:rPr>
          <w:rFonts w:eastAsia="楷体" w:hint="eastAsia"/>
          <w:szCs w:val="18"/>
        </w:rPr>
        <w:t>执行联合国职务时所受损害的赔偿</w:t>
      </w:r>
      <w:r w:rsidRPr="00F709E3">
        <w:rPr>
          <w:rFonts w:hint="eastAsia"/>
          <w:szCs w:val="18"/>
        </w:rPr>
        <w:t>，咨询意见：《</w:t>
      </w:r>
      <w:r w:rsidRPr="00F709E3">
        <w:rPr>
          <w:rFonts w:hint="eastAsia"/>
          <w:szCs w:val="18"/>
        </w:rPr>
        <w:t>1949</w:t>
      </w:r>
      <w:r w:rsidRPr="00F709E3">
        <w:rPr>
          <w:rFonts w:hint="eastAsia"/>
          <w:szCs w:val="18"/>
        </w:rPr>
        <w:t>年国际法院案例汇编》，第</w:t>
      </w:r>
      <w:r w:rsidRPr="00F709E3">
        <w:rPr>
          <w:szCs w:val="18"/>
        </w:rPr>
        <w:t>174</w:t>
      </w:r>
      <w:r w:rsidRPr="00F709E3">
        <w:rPr>
          <w:rFonts w:hint="eastAsia"/>
          <w:szCs w:val="18"/>
        </w:rPr>
        <w:t>页起，见第</w:t>
      </w:r>
      <w:r w:rsidRPr="00F709E3">
        <w:rPr>
          <w:szCs w:val="18"/>
        </w:rPr>
        <w:t>178</w:t>
      </w:r>
      <w:r w:rsidRPr="00F709E3">
        <w:rPr>
          <w:rFonts w:hint="eastAsia"/>
          <w:szCs w:val="18"/>
        </w:rPr>
        <w:t>页</w:t>
      </w:r>
      <w:r w:rsidRPr="00F709E3">
        <w:rPr>
          <w:szCs w:val="18"/>
        </w:rPr>
        <w:t>(</w:t>
      </w:r>
      <w:r w:rsidRPr="00F709E3">
        <w:rPr>
          <w:rFonts w:hint="eastAsia"/>
          <w:szCs w:val="18"/>
        </w:rPr>
        <w:t>“在任何法律体系中，各法律主体的性质或权利范围并不一定相同”</w:t>
      </w:r>
      <w:r w:rsidRPr="00F709E3">
        <w:rPr>
          <w:szCs w:val="18"/>
        </w:rPr>
        <w:t>)</w:t>
      </w:r>
      <w:r w:rsidRPr="00F709E3">
        <w:rPr>
          <w:rFonts w:hint="eastAsia"/>
          <w:szCs w:val="18"/>
        </w:rPr>
        <w:t>。</w:t>
      </w:r>
    </w:p>
  </w:footnote>
  <w:footnote w:id="278">
    <w:p w:rsidR="00AB00DE" w:rsidRPr="00F709E3" w:rsidRDefault="00AB00DE" w:rsidP="00F709E3">
      <w:pPr>
        <w:pStyle w:val="a4"/>
        <w:rPr>
          <w:szCs w:val="18"/>
        </w:rPr>
      </w:pPr>
      <w:r w:rsidRPr="00F709E3">
        <w:rPr>
          <w:rFonts w:hint="eastAsia"/>
          <w:szCs w:val="18"/>
        </w:rPr>
        <w:tab/>
      </w:r>
      <w:r w:rsidRPr="00DF5565">
        <w:rPr>
          <w:rStyle w:val="a5"/>
        </w:rPr>
        <w:footnoteRef/>
      </w:r>
      <w:r w:rsidRPr="00F709E3">
        <w:rPr>
          <w:rFonts w:hint="eastAsia"/>
          <w:szCs w:val="18"/>
        </w:rPr>
        <w:tab/>
      </w:r>
      <w:r w:rsidRPr="00F709E3">
        <w:rPr>
          <w:rFonts w:hint="eastAsia"/>
          <w:szCs w:val="18"/>
        </w:rPr>
        <w:t>在发挥后面这种作用时，其成果可能属于结论草案</w:t>
      </w:r>
      <w:r w:rsidRPr="00F709E3">
        <w:rPr>
          <w:rFonts w:hint="eastAsia"/>
          <w:szCs w:val="18"/>
        </w:rPr>
        <w:t>14</w:t>
      </w:r>
      <w:r w:rsidRPr="00F709E3">
        <w:rPr>
          <w:rFonts w:hint="eastAsia"/>
          <w:szCs w:val="18"/>
        </w:rPr>
        <w:t>的范围。委员会在“与条约解释相关的嗣后协定和嗣后惯例”这一专题下审议了涉及“非国家行为者”类似论点：见本报告第六章，第</w:t>
      </w:r>
      <w:r w:rsidRPr="00F709E3">
        <w:rPr>
          <w:rFonts w:hint="eastAsia"/>
          <w:szCs w:val="18"/>
        </w:rPr>
        <w:t>73</w:t>
      </w:r>
      <w:r w:rsidRPr="00F709E3">
        <w:rPr>
          <w:rFonts w:hint="eastAsia"/>
          <w:szCs w:val="18"/>
        </w:rPr>
        <w:t>段</w:t>
      </w:r>
      <w:r w:rsidRPr="00F709E3">
        <w:rPr>
          <w:szCs w:val="18"/>
        </w:rPr>
        <w:t>(</w:t>
      </w:r>
      <w:r w:rsidRPr="00F709E3">
        <w:rPr>
          <w:rFonts w:hint="eastAsia"/>
          <w:szCs w:val="18"/>
        </w:rPr>
        <w:t>结论草案</w:t>
      </w:r>
      <w:r w:rsidRPr="00F709E3">
        <w:rPr>
          <w:szCs w:val="18"/>
        </w:rPr>
        <w:t>5</w:t>
      </w:r>
      <w:r w:rsidRPr="00F709E3">
        <w:rPr>
          <w:rFonts w:hint="eastAsia"/>
          <w:szCs w:val="18"/>
        </w:rPr>
        <w:t>，第</w:t>
      </w:r>
      <w:r w:rsidRPr="00F709E3">
        <w:rPr>
          <w:szCs w:val="18"/>
        </w:rPr>
        <w:t>2</w:t>
      </w:r>
      <w:r w:rsidRPr="00F709E3">
        <w:rPr>
          <w:rFonts w:hint="eastAsia"/>
          <w:szCs w:val="18"/>
        </w:rPr>
        <w:t>段</w:t>
      </w:r>
      <w:r w:rsidRPr="00F709E3">
        <w:rPr>
          <w:szCs w:val="18"/>
        </w:rPr>
        <w:t>)</w:t>
      </w:r>
      <w:r w:rsidRPr="00F709E3">
        <w:rPr>
          <w:rFonts w:hint="eastAsia"/>
          <w:szCs w:val="18"/>
        </w:rPr>
        <w:t>。</w:t>
      </w:r>
    </w:p>
  </w:footnote>
  <w:footnote w:id="279">
    <w:p w:rsidR="00AB00DE" w:rsidRPr="00F709E3" w:rsidRDefault="00AB00DE" w:rsidP="00267AB1">
      <w:pPr>
        <w:pStyle w:val="a4"/>
        <w:rPr>
          <w:szCs w:val="18"/>
        </w:rPr>
      </w:pPr>
      <w:r w:rsidRPr="00F709E3">
        <w:rPr>
          <w:rFonts w:hint="eastAsia"/>
          <w:szCs w:val="18"/>
        </w:rPr>
        <w:tab/>
      </w:r>
      <w:r w:rsidRPr="00DF5565">
        <w:rPr>
          <w:rStyle w:val="a5"/>
        </w:rPr>
        <w:footnoteRef/>
      </w:r>
      <w:r w:rsidRPr="00F709E3">
        <w:rPr>
          <w:rFonts w:hint="eastAsia"/>
          <w:szCs w:val="18"/>
        </w:rPr>
        <w:tab/>
      </w:r>
      <w:r w:rsidRPr="00F709E3">
        <w:rPr>
          <w:rFonts w:hint="eastAsia"/>
          <w:szCs w:val="18"/>
        </w:rPr>
        <w:t>例如，见</w:t>
      </w:r>
      <w:r w:rsidRPr="00F709E3">
        <w:rPr>
          <w:rFonts w:eastAsia="楷体" w:hint="eastAsia"/>
          <w:szCs w:val="18"/>
        </w:rPr>
        <w:t>航行权利和相关权利争端案</w:t>
      </w:r>
      <w:r w:rsidRPr="00F709E3">
        <w:rPr>
          <w:szCs w:val="18"/>
        </w:rPr>
        <w:t>(</w:t>
      </w:r>
      <w:r w:rsidRPr="00F709E3">
        <w:rPr>
          <w:rFonts w:hint="eastAsia"/>
          <w:szCs w:val="18"/>
        </w:rPr>
        <w:t>上文脚注</w:t>
      </w:r>
      <w:r>
        <w:rPr>
          <w:szCs w:val="18"/>
        </w:rPr>
        <w:fldChar w:fldCharType="begin"/>
      </w:r>
      <w:r>
        <w:rPr>
          <w:szCs w:val="18"/>
        </w:rPr>
        <w:instrText xml:space="preserve"> </w:instrText>
      </w:r>
      <w:r>
        <w:rPr>
          <w:rFonts w:hint="eastAsia"/>
          <w:szCs w:val="18"/>
        </w:rPr>
        <w:instrText>NOTEREF _Ref461974753 \h</w:instrText>
      </w:r>
      <w:r>
        <w:rPr>
          <w:szCs w:val="18"/>
        </w:rPr>
        <w:instrText xml:space="preserve"> </w:instrText>
      </w:r>
      <w:r>
        <w:rPr>
          <w:szCs w:val="18"/>
        </w:rPr>
      </w:r>
      <w:r>
        <w:rPr>
          <w:szCs w:val="18"/>
        </w:rPr>
        <w:fldChar w:fldCharType="separate"/>
      </w:r>
      <w:r w:rsidR="00A73EB9">
        <w:rPr>
          <w:szCs w:val="18"/>
        </w:rPr>
        <w:t>266</w:t>
      </w:r>
      <w:r>
        <w:rPr>
          <w:szCs w:val="18"/>
        </w:rPr>
        <w:fldChar w:fldCharType="end"/>
      </w:r>
      <w:r w:rsidRPr="00F709E3">
        <w:rPr>
          <w:rFonts w:hint="eastAsia"/>
          <w:szCs w:val="18"/>
        </w:rPr>
        <w:t>)</w:t>
      </w:r>
      <w:r w:rsidRPr="00F709E3">
        <w:rPr>
          <w:rFonts w:hint="eastAsia"/>
          <w:szCs w:val="18"/>
        </w:rPr>
        <w:t>，见第</w:t>
      </w:r>
      <w:r w:rsidRPr="00F709E3">
        <w:rPr>
          <w:szCs w:val="18"/>
        </w:rPr>
        <w:t>265-266</w:t>
      </w:r>
      <w:r w:rsidRPr="00F709E3">
        <w:rPr>
          <w:rFonts w:hint="eastAsia"/>
          <w:szCs w:val="18"/>
        </w:rPr>
        <w:t>页，第</w:t>
      </w:r>
      <w:r w:rsidRPr="00F709E3">
        <w:rPr>
          <w:szCs w:val="18"/>
        </w:rPr>
        <w:t>141</w:t>
      </w:r>
      <w:r w:rsidRPr="00F709E3">
        <w:rPr>
          <w:rFonts w:hint="eastAsia"/>
          <w:szCs w:val="18"/>
        </w:rPr>
        <w:t>段。</w:t>
      </w:r>
    </w:p>
  </w:footnote>
  <w:footnote w:id="280">
    <w:p w:rsidR="00AB00DE" w:rsidRPr="00F709E3" w:rsidRDefault="00AB00DE" w:rsidP="00F709E3">
      <w:pPr>
        <w:pStyle w:val="a4"/>
        <w:rPr>
          <w:szCs w:val="18"/>
        </w:rPr>
      </w:pPr>
      <w:r w:rsidRPr="00F709E3">
        <w:rPr>
          <w:szCs w:val="18"/>
        </w:rPr>
        <w:tab/>
      </w:r>
      <w:r w:rsidRPr="00DF5565">
        <w:rPr>
          <w:rStyle w:val="a5"/>
        </w:rPr>
        <w:footnoteRef/>
      </w:r>
      <w:r w:rsidRPr="00F709E3">
        <w:rPr>
          <w:szCs w:val="18"/>
        </w:rPr>
        <w:t xml:space="preserve"> </w:t>
      </w:r>
      <w:r w:rsidRPr="00F709E3">
        <w:rPr>
          <w:szCs w:val="18"/>
        </w:rPr>
        <w:tab/>
      </w:r>
      <w:r w:rsidRPr="00F709E3">
        <w:rPr>
          <w:rFonts w:hint="eastAsia"/>
          <w:szCs w:val="18"/>
        </w:rPr>
        <w:t>这不妨碍红十字国际委员会履行尤其由</w:t>
      </w:r>
      <w:r w:rsidRPr="00F709E3">
        <w:rPr>
          <w:rFonts w:hint="eastAsia"/>
          <w:szCs w:val="18"/>
        </w:rPr>
        <w:t>1949</w:t>
      </w:r>
      <w:r w:rsidRPr="00F709E3">
        <w:rPr>
          <w:rFonts w:hint="eastAsia"/>
          <w:szCs w:val="18"/>
        </w:rPr>
        <w:t>年《日内瓦公约》赋予它的特定职责而采取的行动的意义。</w:t>
      </w:r>
    </w:p>
  </w:footnote>
  <w:footnote w:id="281">
    <w:p w:rsidR="00AB00DE" w:rsidRPr="00F709E3" w:rsidRDefault="00AB00DE" w:rsidP="00F709E3">
      <w:pPr>
        <w:pStyle w:val="a4"/>
        <w:rPr>
          <w:szCs w:val="18"/>
        </w:rPr>
      </w:pPr>
      <w:r w:rsidRPr="00F709E3">
        <w:rPr>
          <w:rFonts w:hint="eastAsia"/>
          <w:szCs w:val="18"/>
        </w:rPr>
        <w:tab/>
      </w:r>
      <w:r w:rsidRPr="00DF5565">
        <w:rPr>
          <w:rStyle w:val="a5"/>
        </w:rPr>
        <w:footnoteRef/>
      </w:r>
      <w:r w:rsidRPr="00DF5565">
        <w:rPr>
          <w:rStyle w:val="a5"/>
          <w:rFonts w:hint="eastAsia"/>
        </w:rPr>
        <w:tab/>
      </w:r>
      <w:r w:rsidRPr="00F709E3">
        <w:rPr>
          <w:rFonts w:hint="eastAsia"/>
          <w:szCs w:val="18"/>
        </w:rPr>
        <w:t>参见国家对国际不法行为的责任的第</w:t>
      </w:r>
      <w:r w:rsidRPr="00F709E3">
        <w:rPr>
          <w:rFonts w:hint="eastAsia"/>
          <w:szCs w:val="18"/>
        </w:rPr>
        <w:t>4</w:t>
      </w:r>
      <w:r w:rsidRPr="00F709E3">
        <w:rPr>
          <w:rFonts w:hint="eastAsia"/>
          <w:szCs w:val="18"/>
        </w:rPr>
        <w:t>和第</w:t>
      </w:r>
      <w:r w:rsidRPr="00F709E3">
        <w:rPr>
          <w:rFonts w:hint="eastAsia"/>
          <w:szCs w:val="18"/>
        </w:rPr>
        <w:t>5</w:t>
      </w:r>
      <w:r w:rsidRPr="00F709E3">
        <w:rPr>
          <w:rFonts w:hint="eastAsia"/>
          <w:szCs w:val="18"/>
        </w:rPr>
        <w:t>条，大会</w:t>
      </w:r>
      <w:r w:rsidRPr="00F709E3">
        <w:rPr>
          <w:rFonts w:hint="eastAsia"/>
          <w:szCs w:val="18"/>
        </w:rPr>
        <w:t>2001</w:t>
      </w:r>
      <w:r w:rsidRPr="00F709E3">
        <w:rPr>
          <w:rFonts w:hint="eastAsia"/>
          <w:szCs w:val="18"/>
        </w:rPr>
        <w:t>年</w:t>
      </w:r>
      <w:r w:rsidRPr="00F709E3">
        <w:rPr>
          <w:rFonts w:hint="eastAsia"/>
          <w:szCs w:val="18"/>
        </w:rPr>
        <w:t>12</w:t>
      </w:r>
      <w:r w:rsidRPr="00F709E3">
        <w:rPr>
          <w:rFonts w:hint="eastAsia"/>
          <w:szCs w:val="18"/>
        </w:rPr>
        <w:t>月</w:t>
      </w:r>
      <w:r w:rsidRPr="00F709E3">
        <w:rPr>
          <w:rFonts w:hint="eastAsia"/>
          <w:szCs w:val="18"/>
        </w:rPr>
        <w:t>12</w:t>
      </w:r>
      <w:r w:rsidRPr="00F709E3">
        <w:rPr>
          <w:rFonts w:hint="eastAsia"/>
          <w:szCs w:val="18"/>
        </w:rPr>
        <w:t>日第</w:t>
      </w:r>
      <w:r w:rsidRPr="00F709E3">
        <w:rPr>
          <w:szCs w:val="18"/>
        </w:rPr>
        <w:t>56/83</w:t>
      </w:r>
      <w:r w:rsidRPr="00F709E3">
        <w:rPr>
          <w:rFonts w:hint="eastAsia"/>
          <w:szCs w:val="18"/>
        </w:rPr>
        <w:t>号决议，附件。委员会通过的条款草案及其评注，见《</w:t>
      </w:r>
      <w:r w:rsidRPr="00F709E3">
        <w:rPr>
          <w:rFonts w:hint="eastAsia"/>
          <w:szCs w:val="18"/>
        </w:rPr>
        <w:t>2001</w:t>
      </w:r>
      <w:r w:rsidRPr="00F709E3">
        <w:rPr>
          <w:rFonts w:hint="eastAsia"/>
          <w:szCs w:val="18"/>
        </w:rPr>
        <w:t>年……年鉴》，第二卷</w:t>
      </w:r>
      <w:r w:rsidRPr="00F709E3">
        <w:rPr>
          <w:szCs w:val="18"/>
        </w:rPr>
        <w:t>(</w:t>
      </w:r>
      <w:r w:rsidRPr="00F709E3">
        <w:rPr>
          <w:rFonts w:hint="eastAsia"/>
          <w:szCs w:val="18"/>
        </w:rPr>
        <w:t>第二部分</w:t>
      </w:r>
      <w:r w:rsidRPr="00F709E3">
        <w:rPr>
          <w:szCs w:val="18"/>
        </w:rPr>
        <w:t>)</w:t>
      </w:r>
      <w:r w:rsidRPr="00F709E3">
        <w:rPr>
          <w:rFonts w:hint="eastAsia"/>
          <w:szCs w:val="18"/>
        </w:rPr>
        <w:t>和更正，第</w:t>
      </w:r>
      <w:r w:rsidRPr="00F709E3">
        <w:rPr>
          <w:szCs w:val="18"/>
        </w:rPr>
        <w:t>76-77</w:t>
      </w:r>
      <w:r w:rsidRPr="00F709E3">
        <w:rPr>
          <w:rFonts w:hint="eastAsia"/>
          <w:szCs w:val="18"/>
        </w:rPr>
        <w:t>段。</w:t>
      </w:r>
    </w:p>
  </w:footnote>
  <w:footnote w:id="282">
    <w:p w:rsidR="00AB00DE" w:rsidRPr="00F709E3" w:rsidRDefault="00AB00DE" w:rsidP="00F709E3">
      <w:pPr>
        <w:pStyle w:val="a4"/>
        <w:rPr>
          <w:szCs w:val="18"/>
        </w:rPr>
      </w:pPr>
      <w:r w:rsidRPr="00F709E3">
        <w:rPr>
          <w:rFonts w:hint="eastAsia"/>
          <w:szCs w:val="18"/>
        </w:rPr>
        <w:tab/>
      </w:r>
      <w:r w:rsidRPr="00DF5565">
        <w:rPr>
          <w:rStyle w:val="a5"/>
        </w:rPr>
        <w:footnoteRef/>
      </w:r>
      <w:r w:rsidRPr="00F709E3">
        <w:rPr>
          <w:rFonts w:hint="eastAsia"/>
          <w:szCs w:val="18"/>
        </w:rPr>
        <w:tab/>
      </w:r>
      <w:r w:rsidRPr="00F709E3">
        <w:rPr>
          <w:rFonts w:hint="eastAsia"/>
          <w:szCs w:val="18"/>
        </w:rPr>
        <w:t>另见上文结论草案</w:t>
      </w:r>
      <w:r w:rsidRPr="00F709E3">
        <w:rPr>
          <w:rFonts w:hint="eastAsia"/>
          <w:szCs w:val="18"/>
        </w:rPr>
        <w:t>4</w:t>
      </w:r>
      <w:r w:rsidRPr="00F709E3">
        <w:rPr>
          <w:rFonts w:hint="eastAsia"/>
          <w:szCs w:val="18"/>
        </w:rPr>
        <w:t>第</w:t>
      </w:r>
      <w:r w:rsidRPr="00F709E3">
        <w:rPr>
          <w:rFonts w:hint="eastAsia"/>
          <w:szCs w:val="18"/>
        </w:rPr>
        <w:t>2</w:t>
      </w:r>
      <w:r w:rsidRPr="00F709E3">
        <w:rPr>
          <w:rFonts w:hint="eastAsia"/>
          <w:szCs w:val="18"/>
        </w:rPr>
        <w:t>段及所附评注。</w:t>
      </w:r>
    </w:p>
  </w:footnote>
  <w:footnote w:id="283">
    <w:p w:rsidR="00AB00DE" w:rsidRPr="00F709E3" w:rsidRDefault="00AB00DE" w:rsidP="00F709E3">
      <w:pPr>
        <w:pStyle w:val="a4"/>
        <w:rPr>
          <w:szCs w:val="18"/>
        </w:rPr>
      </w:pPr>
      <w:r w:rsidRPr="00F709E3">
        <w:rPr>
          <w:rFonts w:hint="eastAsia"/>
          <w:szCs w:val="18"/>
        </w:rPr>
        <w:tab/>
      </w:r>
      <w:r w:rsidRPr="00DF5565">
        <w:rPr>
          <w:rStyle w:val="a5"/>
        </w:rPr>
        <w:footnoteRef/>
      </w:r>
      <w:r w:rsidRPr="00F709E3">
        <w:rPr>
          <w:rFonts w:hint="eastAsia"/>
          <w:szCs w:val="18"/>
        </w:rPr>
        <w:tab/>
      </w:r>
      <w:r w:rsidRPr="00F709E3">
        <w:rPr>
          <w:rFonts w:hint="eastAsia"/>
          <w:szCs w:val="18"/>
        </w:rPr>
        <w:t>就特别习惯国际法而言，应至少有另一个国家或一组国家知晓</w:t>
      </w:r>
      <w:r w:rsidRPr="00F709E3">
        <w:rPr>
          <w:rFonts w:hint="eastAsia"/>
          <w:szCs w:val="18"/>
        </w:rPr>
        <w:t>(</w:t>
      </w:r>
      <w:r w:rsidRPr="00F709E3">
        <w:rPr>
          <w:rFonts w:hint="eastAsia"/>
          <w:szCs w:val="18"/>
        </w:rPr>
        <w:t>见下文结论草案</w:t>
      </w:r>
      <w:r w:rsidRPr="00F709E3">
        <w:rPr>
          <w:rFonts w:hint="eastAsia"/>
          <w:szCs w:val="18"/>
        </w:rPr>
        <w:t>16)</w:t>
      </w:r>
      <w:r w:rsidRPr="00F709E3">
        <w:rPr>
          <w:rFonts w:hint="eastAsia"/>
          <w:szCs w:val="18"/>
        </w:rPr>
        <w:t>。</w:t>
      </w:r>
    </w:p>
  </w:footnote>
  <w:footnote w:id="284">
    <w:p w:rsidR="00AB00DE" w:rsidRPr="00F709E3" w:rsidRDefault="00AB00DE" w:rsidP="00267AB1">
      <w:pPr>
        <w:pStyle w:val="a4"/>
        <w:tabs>
          <w:tab w:val="left" w:pos="4253"/>
        </w:tabs>
        <w:rPr>
          <w:szCs w:val="18"/>
        </w:rPr>
      </w:pPr>
      <w:r w:rsidRPr="00F709E3">
        <w:rPr>
          <w:rFonts w:hint="eastAsia"/>
          <w:szCs w:val="18"/>
        </w:rPr>
        <w:tab/>
      </w:r>
      <w:r w:rsidRPr="00DF5565">
        <w:rPr>
          <w:rStyle w:val="a5"/>
        </w:rPr>
        <w:footnoteRef/>
      </w:r>
      <w:r w:rsidRPr="00F709E3">
        <w:rPr>
          <w:rFonts w:hint="eastAsia"/>
          <w:szCs w:val="18"/>
        </w:rPr>
        <w:tab/>
      </w:r>
      <w:r w:rsidRPr="00F709E3">
        <w:rPr>
          <w:rFonts w:hint="eastAsia"/>
          <w:szCs w:val="18"/>
        </w:rPr>
        <w:t>例证见</w:t>
      </w:r>
      <w:r w:rsidRPr="00F709E3">
        <w:rPr>
          <w:rFonts w:eastAsia="楷体" w:hint="eastAsia"/>
          <w:szCs w:val="18"/>
        </w:rPr>
        <w:t>“莲花号”案</w:t>
      </w:r>
      <w:r w:rsidRPr="00F709E3">
        <w:rPr>
          <w:rFonts w:eastAsia="Times New Roman"/>
          <w:szCs w:val="18"/>
        </w:rPr>
        <w:t>(</w:t>
      </w:r>
      <w:r w:rsidRPr="00F709E3">
        <w:rPr>
          <w:rFonts w:hint="eastAsia"/>
          <w:szCs w:val="18"/>
        </w:rPr>
        <w:t>上文脚注</w:t>
      </w:r>
      <w:r>
        <w:rPr>
          <w:szCs w:val="18"/>
        </w:rPr>
        <w:fldChar w:fldCharType="begin"/>
      </w:r>
      <w:r>
        <w:rPr>
          <w:szCs w:val="18"/>
        </w:rPr>
        <w:instrText xml:space="preserve"> </w:instrText>
      </w:r>
      <w:r>
        <w:rPr>
          <w:rFonts w:hint="eastAsia"/>
          <w:szCs w:val="18"/>
        </w:rPr>
        <w:instrText>NOTEREF _Ref461974739 \h</w:instrText>
      </w:r>
      <w:r>
        <w:rPr>
          <w:szCs w:val="18"/>
        </w:rPr>
        <w:instrText xml:space="preserve"> </w:instrText>
      </w:r>
      <w:r>
        <w:rPr>
          <w:szCs w:val="18"/>
        </w:rPr>
      </w:r>
      <w:r>
        <w:rPr>
          <w:szCs w:val="18"/>
        </w:rPr>
        <w:fldChar w:fldCharType="separate"/>
      </w:r>
      <w:r w:rsidR="00A73EB9">
        <w:rPr>
          <w:szCs w:val="18"/>
        </w:rPr>
        <w:t>250</w:t>
      </w:r>
      <w:r>
        <w:rPr>
          <w:szCs w:val="18"/>
        </w:rPr>
        <w:fldChar w:fldCharType="end"/>
      </w:r>
      <w:r w:rsidRPr="00F709E3">
        <w:rPr>
          <w:rFonts w:eastAsia="Times New Roman"/>
          <w:szCs w:val="18"/>
        </w:rPr>
        <w:t>)</w:t>
      </w:r>
      <w:r w:rsidRPr="00F709E3">
        <w:rPr>
          <w:rFonts w:hint="eastAsia"/>
          <w:szCs w:val="18"/>
        </w:rPr>
        <w:t>，见第</w:t>
      </w:r>
      <w:r w:rsidRPr="00F709E3">
        <w:rPr>
          <w:rFonts w:eastAsia="Times New Roman"/>
          <w:szCs w:val="18"/>
        </w:rPr>
        <w:t>28</w:t>
      </w:r>
      <w:r w:rsidRPr="00F709E3">
        <w:rPr>
          <w:rFonts w:hint="eastAsia"/>
          <w:szCs w:val="18"/>
        </w:rPr>
        <w:t>页；</w:t>
      </w:r>
      <w:r w:rsidRPr="00F709E3">
        <w:rPr>
          <w:rFonts w:eastAsia="楷体" w:hint="eastAsia"/>
          <w:szCs w:val="18"/>
        </w:rPr>
        <w:t>诺特波姆案</w:t>
      </w:r>
      <w:r w:rsidRPr="00F709E3">
        <w:rPr>
          <w:rFonts w:eastAsia="楷体" w:hint="eastAsia"/>
          <w:szCs w:val="18"/>
        </w:rPr>
        <w:t>(</w:t>
      </w:r>
      <w:r w:rsidRPr="00F709E3">
        <w:rPr>
          <w:rFonts w:eastAsia="楷体" w:hint="eastAsia"/>
          <w:szCs w:val="18"/>
        </w:rPr>
        <w:t>第二阶段</w:t>
      </w:r>
      <w:r w:rsidRPr="00F709E3">
        <w:rPr>
          <w:rFonts w:eastAsia="楷体" w:hint="eastAsia"/>
          <w:szCs w:val="18"/>
        </w:rPr>
        <w:t>)</w:t>
      </w:r>
      <w:r w:rsidRPr="00F709E3">
        <w:rPr>
          <w:rFonts w:hint="eastAsia"/>
          <w:szCs w:val="18"/>
        </w:rPr>
        <w:t>，</w:t>
      </w:r>
      <w:r w:rsidRPr="00F709E3">
        <w:rPr>
          <w:rFonts w:hint="eastAsia"/>
          <w:szCs w:val="18"/>
        </w:rPr>
        <w:t>1955</w:t>
      </w:r>
      <w:r w:rsidRPr="00F709E3">
        <w:rPr>
          <w:rFonts w:hint="eastAsia"/>
          <w:szCs w:val="18"/>
        </w:rPr>
        <w:t>年</w:t>
      </w:r>
      <w:r w:rsidRPr="00F709E3">
        <w:rPr>
          <w:rFonts w:hint="eastAsia"/>
          <w:szCs w:val="18"/>
        </w:rPr>
        <w:t>4</w:t>
      </w:r>
      <w:r w:rsidRPr="00F709E3">
        <w:rPr>
          <w:rFonts w:hint="eastAsia"/>
          <w:szCs w:val="18"/>
        </w:rPr>
        <w:t>月</w:t>
      </w:r>
      <w:r w:rsidRPr="00F709E3">
        <w:rPr>
          <w:rFonts w:hint="eastAsia"/>
          <w:szCs w:val="18"/>
        </w:rPr>
        <w:t>6</w:t>
      </w:r>
      <w:r w:rsidRPr="00F709E3">
        <w:rPr>
          <w:rFonts w:hint="eastAsia"/>
          <w:szCs w:val="18"/>
        </w:rPr>
        <w:t>日的判决：</w:t>
      </w:r>
      <w:r w:rsidRPr="00F709E3">
        <w:rPr>
          <w:rFonts w:hint="eastAsia"/>
          <w:szCs w:val="18"/>
          <w:lang w:bidi="he-IL"/>
        </w:rPr>
        <w:t>《</w:t>
      </w:r>
      <w:r w:rsidRPr="00F709E3">
        <w:rPr>
          <w:szCs w:val="18"/>
          <w:lang w:bidi="he-IL"/>
        </w:rPr>
        <w:t>1955</w:t>
      </w:r>
      <w:r w:rsidRPr="00F709E3">
        <w:rPr>
          <w:rFonts w:hint="eastAsia"/>
          <w:szCs w:val="18"/>
          <w:lang w:bidi="he-IL"/>
        </w:rPr>
        <w:t>年国际法院案例汇编》，第</w:t>
      </w:r>
      <w:r w:rsidRPr="00F709E3">
        <w:rPr>
          <w:szCs w:val="18"/>
          <w:lang w:bidi="he-IL"/>
        </w:rPr>
        <w:t>4</w:t>
      </w:r>
      <w:r w:rsidRPr="00F709E3">
        <w:rPr>
          <w:rFonts w:hint="eastAsia"/>
          <w:szCs w:val="18"/>
          <w:lang w:bidi="he-IL"/>
        </w:rPr>
        <w:t>页起，见第</w:t>
      </w:r>
      <w:r w:rsidRPr="00F709E3">
        <w:rPr>
          <w:szCs w:val="18"/>
          <w:lang w:bidi="he-IL"/>
        </w:rPr>
        <w:t>22</w:t>
      </w:r>
      <w:r w:rsidRPr="00F709E3">
        <w:rPr>
          <w:rFonts w:hint="eastAsia"/>
          <w:szCs w:val="18"/>
          <w:lang w:bidi="he-IL"/>
        </w:rPr>
        <w:t>页；</w:t>
      </w:r>
      <w:r w:rsidRPr="00F709E3">
        <w:rPr>
          <w:rFonts w:eastAsia="楷体"/>
          <w:iCs/>
          <w:szCs w:val="18"/>
        </w:rPr>
        <w:t>国家的管辖豁免案</w:t>
      </w:r>
      <w:r w:rsidRPr="00F709E3">
        <w:rPr>
          <w:szCs w:val="18"/>
        </w:rPr>
        <w:t>(</w:t>
      </w:r>
      <w:r w:rsidRPr="00F709E3">
        <w:rPr>
          <w:rFonts w:hint="eastAsia"/>
          <w:szCs w:val="18"/>
        </w:rPr>
        <w:t>见上文脚注</w:t>
      </w:r>
      <w:r w:rsidRPr="00F709E3">
        <w:rPr>
          <w:szCs w:val="18"/>
        </w:rPr>
        <w:fldChar w:fldCharType="begin"/>
      </w:r>
      <w:r w:rsidRPr="00F709E3">
        <w:rPr>
          <w:szCs w:val="18"/>
        </w:rPr>
        <w:instrText xml:space="preserve"> NOTEREF _Ref453667027 \h  \* MERGEFORMAT </w:instrText>
      </w:r>
      <w:r w:rsidRPr="00F709E3">
        <w:rPr>
          <w:szCs w:val="18"/>
        </w:rPr>
      </w:r>
      <w:r w:rsidRPr="00F709E3">
        <w:rPr>
          <w:szCs w:val="18"/>
        </w:rPr>
        <w:fldChar w:fldCharType="separate"/>
      </w:r>
      <w:r w:rsidR="00A73EB9">
        <w:rPr>
          <w:szCs w:val="18"/>
        </w:rPr>
        <w:t>255</w:t>
      </w:r>
      <w:r w:rsidRPr="00F709E3">
        <w:rPr>
          <w:szCs w:val="18"/>
        </w:rPr>
        <w:fldChar w:fldCharType="end"/>
      </w:r>
      <w:r w:rsidRPr="00F709E3">
        <w:rPr>
          <w:szCs w:val="18"/>
        </w:rPr>
        <w:t>)</w:t>
      </w:r>
      <w:r w:rsidRPr="00F709E3">
        <w:rPr>
          <w:rFonts w:hint="eastAsia"/>
          <w:szCs w:val="18"/>
        </w:rPr>
        <w:t>，见第</w:t>
      </w:r>
      <w:r w:rsidRPr="00F709E3">
        <w:rPr>
          <w:szCs w:val="18"/>
        </w:rPr>
        <w:t>135</w:t>
      </w:r>
      <w:r w:rsidRPr="00F709E3">
        <w:rPr>
          <w:rFonts w:hint="eastAsia"/>
          <w:szCs w:val="18"/>
        </w:rPr>
        <w:t>页，第</w:t>
      </w:r>
      <w:r w:rsidRPr="00F709E3">
        <w:rPr>
          <w:szCs w:val="18"/>
        </w:rPr>
        <w:t>77</w:t>
      </w:r>
      <w:r w:rsidRPr="00F709E3">
        <w:rPr>
          <w:rFonts w:hint="eastAsia"/>
          <w:szCs w:val="18"/>
        </w:rPr>
        <w:t>段。</w:t>
      </w:r>
    </w:p>
  </w:footnote>
  <w:footnote w:id="285">
    <w:p w:rsidR="00AB00DE" w:rsidRPr="00F709E3" w:rsidRDefault="00AB00DE" w:rsidP="00F709E3">
      <w:pPr>
        <w:pStyle w:val="a4"/>
        <w:rPr>
          <w:szCs w:val="18"/>
        </w:rPr>
      </w:pPr>
      <w:r w:rsidRPr="00F709E3">
        <w:rPr>
          <w:rFonts w:hint="eastAsia"/>
          <w:szCs w:val="18"/>
        </w:rPr>
        <w:tab/>
      </w:r>
      <w:r w:rsidRPr="00DF5565">
        <w:rPr>
          <w:rStyle w:val="a5"/>
        </w:rPr>
        <w:footnoteRef/>
      </w:r>
      <w:r w:rsidRPr="00F709E3">
        <w:rPr>
          <w:rFonts w:hint="eastAsia"/>
          <w:szCs w:val="18"/>
        </w:rPr>
        <w:tab/>
      </w:r>
      <w:r w:rsidRPr="00F709E3">
        <w:rPr>
          <w:rFonts w:hint="eastAsia"/>
          <w:szCs w:val="18"/>
        </w:rPr>
        <w:t>另见“使习惯国际法的证据更易于查考的方法和手段</w:t>
      </w:r>
      <w:r w:rsidRPr="00F709E3">
        <w:rPr>
          <w:rFonts w:hint="eastAsia"/>
          <w:szCs w:val="18"/>
          <w:lang w:bidi="he-IL"/>
        </w:rPr>
        <w:t>”，《</w:t>
      </w:r>
      <w:r w:rsidRPr="00F709E3">
        <w:rPr>
          <w:rFonts w:hint="eastAsia"/>
          <w:szCs w:val="18"/>
          <w:lang w:bidi="he-IL"/>
        </w:rPr>
        <w:t>1950</w:t>
      </w:r>
      <w:r w:rsidRPr="00F709E3">
        <w:rPr>
          <w:rFonts w:hint="eastAsia"/>
          <w:szCs w:val="18"/>
          <w:lang w:bidi="he-IL"/>
        </w:rPr>
        <w:t>年……年鉴》，第二卷，</w:t>
      </w:r>
      <w:r w:rsidRPr="00F709E3">
        <w:rPr>
          <w:szCs w:val="18"/>
          <w:lang w:bidi="he-IL"/>
        </w:rPr>
        <w:t>A/1316</w:t>
      </w:r>
      <w:r w:rsidRPr="00F709E3">
        <w:rPr>
          <w:rFonts w:hint="eastAsia"/>
          <w:szCs w:val="18"/>
          <w:lang w:bidi="he-IL"/>
        </w:rPr>
        <w:t>号文件，第二部分，第</w:t>
      </w:r>
      <w:r w:rsidRPr="00F709E3">
        <w:rPr>
          <w:szCs w:val="18"/>
          <w:lang w:bidi="he-IL"/>
        </w:rPr>
        <w:t>368</w:t>
      </w:r>
      <w:r w:rsidRPr="00F709E3">
        <w:rPr>
          <w:rFonts w:hint="eastAsia"/>
          <w:szCs w:val="18"/>
          <w:lang w:bidi="he-IL"/>
        </w:rPr>
        <w:t>页，第</w:t>
      </w:r>
      <w:r w:rsidRPr="00F709E3">
        <w:rPr>
          <w:szCs w:val="18"/>
          <w:lang w:bidi="he-IL"/>
        </w:rPr>
        <w:t>31</w:t>
      </w:r>
      <w:r w:rsidRPr="00F709E3">
        <w:rPr>
          <w:rFonts w:hint="eastAsia"/>
          <w:szCs w:val="18"/>
          <w:lang w:bidi="he-IL"/>
        </w:rPr>
        <w:t>段。</w:t>
      </w:r>
    </w:p>
  </w:footnote>
  <w:footnote w:id="286">
    <w:p w:rsidR="00AB00DE" w:rsidRPr="00F709E3" w:rsidRDefault="00AB00DE" w:rsidP="00F709E3">
      <w:pPr>
        <w:pStyle w:val="a4"/>
        <w:rPr>
          <w:szCs w:val="18"/>
        </w:rPr>
      </w:pPr>
      <w:r w:rsidRPr="00F709E3">
        <w:rPr>
          <w:rFonts w:hint="eastAsia"/>
          <w:szCs w:val="18"/>
        </w:rPr>
        <w:tab/>
      </w:r>
      <w:r w:rsidRPr="00DF5565">
        <w:rPr>
          <w:rStyle w:val="a5"/>
        </w:rPr>
        <w:footnoteRef/>
      </w:r>
      <w:r w:rsidRPr="00F709E3">
        <w:rPr>
          <w:rFonts w:hint="eastAsia"/>
          <w:szCs w:val="18"/>
        </w:rPr>
        <w:tab/>
      </w:r>
      <w:r w:rsidRPr="00F709E3">
        <w:rPr>
          <w:rFonts w:hint="eastAsia"/>
          <w:szCs w:val="18"/>
        </w:rPr>
        <w:t>见结论草案</w:t>
      </w:r>
      <w:r w:rsidRPr="00F709E3">
        <w:rPr>
          <w:rFonts w:hint="eastAsia"/>
          <w:szCs w:val="18"/>
        </w:rPr>
        <w:t>3</w:t>
      </w:r>
      <w:r w:rsidRPr="00F709E3">
        <w:rPr>
          <w:rFonts w:hint="eastAsia"/>
          <w:szCs w:val="18"/>
        </w:rPr>
        <w:t>的评注第</w:t>
      </w:r>
      <w:r w:rsidRPr="00F709E3">
        <w:rPr>
          <w:rFonts w:hint="eastAsia"/>
          <w:szCs w:val="18"/>
        </w:rPr>
        <w:t>(3)</w:t>
      </w:r>
      <w:r w:rsidRPr="00F709E3">
        <w:rPr>
          <w:rFonts w:hint="eastAsia"/>
          <w:szCs w:val="18"/>
        </w:rPr>
        <w:t>段。</w:t>
      </w:r>
    </w:p>
  </w:footnote>
  <w:footnote w:id="287">
    <w:p w:rsidR="00AB00DE" w:rsidRPr="00F709E3" w:rsidRDefault="00AB00DE" w:rsidP="00F709E3">
      <w:pPr>
        <w:pStyle w:val="a4"/>
        <w:rPr>
          <w:szCs w:val="18"/>
        </w:rPr>
      </w:pPr>
      <w:r w:rsidRPr="00F709E3">
        <w:rPr>
          <w:rFonts w:hint="eastAsia"/>
          <w:szCs w:val="18"/>
        </w:rPr>
        <w:tab/>
      </w:r>
      <w:r w:rsidRPr="00DF5565">
        <w:rPr>
          <w:rStyle w:val="a5"/>
        </w:rPr>
        <w:footnoteRef/>
      </w:r>
      <w:r w:rsidRPr="00F709E3">
        <w:rPr>
          <w:rFonts w:hint="eastAsia"/>
          <w:szCs w:val="18"/>
        </w:rPr>
        <w:tab/>
      </w:r>
      <w:r w:rsidRPr="00F709E3">
        <w:rPr>
          <w:rFonts w:hint="eastAsia"/>
          <w:szCs w:val="18"/>
        </w:rPr>
        <w:t>例如，见</w:t>
      </w:r>
      <w:r w:rsidRPr="00F709E3">
        <w:rPr>
          <w:rFonts w:eastAsia="楷体"/>
          <w:iCs/>
          <w:szCs w:val="18"/>
        </w:rPr>
        <w:t>国家的管辖豁免案</w:t>
      </w:r>
      <w:r w:rsidRPr="00F709E3">
        <w:rPr>
          <w:szCs w:val="18"/>
        </w:rPr>
        <w:t>(</w:t>
      </w:r>
      <w:r w:rsidRPr="00F709E3">
        <w:rPr>
          <w:rFonts w:hint="eastAsia"/>
          <w:szCs w:val="18"/>
        </w:rPr>
        <w:t>上文脚注</w:t>
      </w:r>
      <w:r w:rsidRPr="00F709E3">
        <w:rPr>
          <w:szCs w:val="18"/>
        </w:rPr>
        <w:fldChar w:fldCharType="begin"/>
      </w:r>
      <w:r w:rsidRPr="00F709E3">
        <w:rPr>
          <w:szCs w:val="18"/>
        </w:rPr>
        <w:instrText xml:space="preserve"> NOTEREF _Ref453667027 \h  \* MERGEFORMAT </w:instrText>
      </w:r>
      <w:r w:rsidRPr="00F709E3">
        <w:rPr>
          <w:szCs w:val="18"/>
        </w:rPr>
      </w:r>
      <w:r w:rsidRPr="00F709E3">
        <w:rPr>
          <w:szCs w:val="18"/>
        </w:rPr>
        <w:fldChar w:fldCharType="separate"/>
      </w:r>
      <w:r w:rsidR="00A73EB9">
        <w:rPr>
          <w:szCs w:val="18"/>
        </w:rPr>
        <w:t>255</w:t>
      </w:r>
      <w:r w:rsidRPr="00F709E3">
        <w:rPr>
          <w:szCs w:val="18"/>
        </w:rPr>
        <w:fldChar w:fldCharType="end"/>
      </w:r>
      <w:r w:rsidRPr="00F709E3">
        <w:rPr>
          <w:szCs w:val="18"/>
        </w:rPr>
        <w:t>)</w:t>
      </w:r>
      <w:r w:rsidRPr="00F709E3">
        <w:rPr>
          <w:rFonts w:hint="eastAsia"/>
          <w:szCs w:val="18"/>
        </w:rPr>
        <w:t>，见第</w:t>
      </w:r>
      <w:r w:rsidRPr="00F709E3">
        <w:rPr>
          <w:szCs w:val="18"/>
        </w:rPr>
        <w:t>131-135</w:t>
      </w:r>
      <w:r w:rsidRPr="00F709E3">
        <w:rPr>
          <w:rFonts w:hint="eastAsia"/>
          <w:szCs w:val="18"/>
        </w:rPr>
        <w:t>页，第</w:t>
      </w:r>
      <w:r w:rsidRPr="00F709E3">
        <w:rPr>
          <w:szCs w:val="18"/>
        </w:rPr>
        <w:t>72-77</w:t>
      </w:r>
      <w:r w:rsidRPr="00F709E3">
        <w:rPr>
          <w:rFonts w:hint="eastAsia"/>
          <w:szCs w:val="18"/>
        </w:rPr>
        <w:t>段；</w:t>
      </w:r>
      <w:r w:rsidRPr="00F709E3">
        <w:rPr>
          <w:rFonts w:eastAsia="楷体" w:hint="eastAsia"/>
          <w:szCs w:val="18"/>
        </w:rPr>
        <w:t>2000</w:t>
      </w:r>
      <w:r w:rsidRPr="00F709E3">
        <w:rPr>
          <w:rFonts w:eastAsia="楷体" w:hint="eastAsia"/>
          <w:szCs w:val="18"/>
        </w:rPr>
        <w:t>年</w:t>
      </w:r>
      <w:r w:rsidRPr="00F709E3">
        <w:rPr>
          <w:rFonts w:eastAsia="楷体" w:hint="eastAsia"/>
          <w:szCs w:val="18"/>
        </w:rPr>
        <w:t>4</w:t>
      </w:r>
      <w:r w:rsidRPr="00F709E3">
        <w:rPr>
          <w:rFonts w:eastAsia="楷体" w:hint="eastAsia"/>
          <w:szCs w:val="18"/>
        </w:rPr>
        <w:t>月</w:t>
      </w:r>
      <w:r w:rsidRPr="00F709E3">
        <w:rPr>
          <w:rFonts w:eastAsia="楷体" w:hint="eastAsia"/>
          <w:szCs w:val="18"/>
        </w:rPr>
        <w:t>11</w:t>
      </w:r>
      <w:r w:rsidRPr="00F709E3">
        <w:rPr>
          <w:rFonts w:eastAsia="楷体" w:hint="eastAsia"/>
          <w:szCs w:val="18"/>
        </w:rPr>
        <w:t>日逮捕令案</w:t>
      </w:r>
      <w:r w:rsidRPr="00F709E3">
        <w:rPr>
          <w:rFonts w:eastAsia="楷体"/>
          <w:szCs w:val="18"/>
        </w:rPr>
        <w:t>(</w:t>
      </w:r>
      <w:r w:rsidRPr="00F709E3">
        <w:rPr>
          <w:rFonts w:eastAsia="楷体"/>
          <w:szCs w:val="18"/>
        </w:rPr>
        <w:t>刚果民主共和国</w:t>
      </w:r>
      <w:r w:rsidRPr="00F709E3">
        <w:rPr>
          <w:rFonts w:eastAsia="楷体" w:hint="eastAsia"/>
          <w:szCs w:val="18"/>
        </w:rPr>
        <w:t>诉</w:t>
      </w:r>
      <w:r w:rsidRPr="00F709E3">
        <w:rPr>
          <w:rFonts w:eastAsia="楷体"/>
          <w:szCs w:val="18"/>
        </w:rPr>
        <w:t>比利时</w:t>
      </w:r>
      <w:r w:rsidRPr="00F709E3">
        <w:rPr>
          <w:rFonts w:eastAsia="楷体"/>
          <w:szCs w:val="18"/>
        </w:rPr>
        <w:t>)</w:t>
      </w:r>
      <w:r w:rsidRPr="00F709E3">
        <w:rPr>
          <w:szCs w:val="18"/>
        </w:rPr>
        <w:t>，判决，《</w:t>
      </w:r>
      <w:r w:rsidRPr="00F709E3">
        <w:rPr>
          <w:szCs w:val="18"/>
        </w:rPr>
        <w:t>2002</w:t>
      </w:r>
      <w:r w:rsidRPr="00F709E3">
        <w:rPr>
          <w:szCs w:val="18"/>
        </w:rPr>
        <w:t>年国际法院案例汇编》，</w:t>
      </w:r>
      <w:r w:rsidRPr="00F709E3">
        <w:rPr>
          <w:rFonts w:hint="eastAsia"/>
          <w:noProof/>
          <w:szCs w:val="18"/>
        </w:rPr>
        <w:t>第</w:t>
      </w:r>
      <w:r w:rsidRPr="00F709E3">
        <w:rPr>
          <w:noProof/>
          <w:szCs w:val="18"/>
        </w:rPr>
        <w:t>3</w:t>
      </w:r>
      <w:r w:rsidRPr="00F709E3">
        <w:rPr>
          <w:rFonts w:hint="eastAsia"/>
          <w:noProof/>
          <w:szCs w:val="18"/>
        </w:rPr>
        <w:t>页起，见第</w:t>
      </w:r>
      <w:r w:rsidRPr="00F709E3">
        <w:rPr>
          <w:noProof/>
          <w:szCs w:val="18"/>
        </w:rPr>
        <w:t>24</w:t>
      </w:r>
      <w:r w:rsidRPr="00F709E3">
        <w:rPr>
          <w:rFonts w:hint="eastAsia"/>
          <w:noProof/>
          <w:szCs w:val="18"/>
        </w:rPr>
        <w:t>页，第</w:t>
      </w:r>
      <w:r w:rsidRPr="00F709E3">
        <w:rPr>
          <w:szCs w:val="18"/>
        </w:rPr>
        <w:t>58</w:t>
      </w:r>
      <w:r w:rsidRPr="00F709E3">
        <w:rPr>
          <w:rFonts w:hint="eastAsia"/>
          <w:szCs w:val="18"/>
        </w:rPr>
        <w:t>段。</w:t>
      </w:r>
      <w:r w:rsidRPr="00F709E3">
        <w:rPr>
          <w:rFonts w:hint="eastAsia"/>
          <w:bCs/>
          <w:szCs w:val="18"/>
        </w:rPr>
        <w:t>“各国法院”这一术语也可包括在一个或多个国内法律体系内运作、具备国际要素的法院，例如由本国法官和国际法官混合组成的法院或法庭。</w:t>
      </w:r>
    </w:p>
  </w:footnote>
  <w:footnote w:id="288">
    <w:p w:rsidR="00AB00DE" w:rsidRPr="00F709E3" w:rsidRDefault="00AB00DE" w:rsidP="00F709E3">
      <w:pPr>
        <w:pStyle w:val="a4"/>
        <w:rPr>
          <w:szCs w:val="18"/>
        </w:rPr>
      </w:pPr>
      <w:r w:rsidRPr="00F709E3">
        <w:rPr>
          <w:rFonts w:hint="eastAsia"/>
          <w:szCs w:val="18"/>
        </w:rPr>
        <w:tab/>
      </w:r>
      <w:r w:rsidRPr="00DF5565">
        <w:rPr>
          <w:rStyle w:val="a5"/>
        </w:rPr>
        <w:footnoteRef/>
      </w:r>
      <w:r w:rsidRPr="00F709E3">
        <w:rPr>
          <w:rFonts w:hint="eastAsia"/>
          <w:szCs w:val="18"/>
        </w:rPr>
        <w:tab/>
      </w:r>
      <w:r w:rsidRPr="00F709E3">
        <w:rPr>
          <w:rFonts w:hint="eastAsia"/>
          <w:szCs w:val="18"/>
        </w:rPr>
        <w:t>见下文结论草案</w:t>
      </w:r>
      <w:r w:rsidRPr="00F709E3">
        <w:rPr>
          <w:rFonts w:hint="eastAsia"/>
          <w:szCs w:val="18"/>
        </w:rPr>
        <w:t>13</w:t>
      </w:r>
      <w:r w:rsidRPr="00F709E3">
        <w:rPr>
          <w:rFonts w:hint="eastAsia"/>
          <w:szCs w:val="18"/>
        </w:rPr>
        <w:t>第</w:t>
      </w:r>
      <w:r w:rsidRPr="00F709E3">
        <w:rPr>
          <w:szCs w:val="18"/>
        </w:rPr>
        <w:t>2</w:t>
      </w:r>
      <w:r w:rsidRPr="00F709E3">
        <w:rPr>
          <w:rFonts w:hint="eastAsia"/>
          <w:szCs w:val="18"/>
        </w:rPr>
        <w:t>段。各国法院的判决也可成为被接受为法律</w:t>
      </w:r>
      <w:r w:rsidRPr="00F709E3">
        <w:rPr>
          <w:szCs w:val="18"/>
        </w:rPr>
        <w:t>(</w:t>
      </w:r>
      <w:r w:rsidRPr="00F709E3">
        <w:rPr>
          <w:iCs/>
          <w:szCs w:val="18"/>
        </w:rPr>
        <w:t>法律确信</w:t>
      </w:r>
      <w:r w:rsidRPr="00F709E3">
        <w:rPr>
          <w:szCs w:val="18"/>
        </w:rPr>
        <w:t>)</w:t>
      </w:r>
      <w:r w:rsidRPr="00F709E3">
        <w:rPr>
          <w:rFonts w:hint="eastAsia"/>
          <w:szCs w:val="18"/>
        </w:rPr>
        <w:t>的证据，有关内容见下文结论草案</w:t>
      </w:r>
      <w:r w:rsidRPr="00F709E3">
        <w:rPr>
          <w:rFonts w:hint="eastAsia"/>
          <w:szCs w:val="18"/>
        </w:rPr>
        <w:t>10</w:t>
      </w:r>
      <w:r w:rsidRPr="00F709E3">
        <w:rPr>
          <w:rFonts w:hint="eastAsia"/>
          <w:szCs w:val="18"/>
        </w:rPr>
        <w:t>第</w:t>
      </w:r>
      <w:r w:rsidRPr="00F709E3">
        <w:rPr>
          <w:rFonts w:hint="eastAsia"/>
          <w:szCs w:val="18"/>
        </w:rPr>
        <w:t>2</w:t>
      </w:r>
      <w:r w:rsidRPr="00F709E3">
        <w:rPr>
          <w:rFonts w:hint="eastAsia"/>
          <w:szCs w:val="18"/>
        </w:rPr>
        <w:t>段。</w:t>
      </w:r>
    </w:p>
  </w:footnote>
  <w:footnote w:id="289">
    <w:p w:rsidR="00AB00DE" w:rsidRPr="00F709E3" w:rsidRDefault="00AB00DE" w:rsidP="00267AB1">
      <w:pPr>
        <w:pStyle w:val="a4"/>
        <w:rPr>
          <w:szCs w:val="18"/>
        </w:rPr>
      </w:pPr>
      <w:r w:rsidRPr="00F709E3">
        <w:rPr>
          <w:rFonts w:hint="eastAsia"/>
          <w:szCs w:val="18"/>
        </w:rPr>
        <w:tab/>
      </w:r>
      <w:r w:rsidRPr="00DF5565">
        <w:rPr>
          <w:rStyle w:val="a5"/>
        </w:rPr>
        <w:footnoteRef/>
      </w:r>
      <w:r w:rsidRPr="00F709E3">
        <w:rPr>
          <w:rFonts w:hint="eastAsia"/>
          <w:szCs w:val="18"/>
        </w:rPr>
        <w:tab/>
      </w:r>
      <w:r w:rsidRPr="00F709E3">
        <w:rPr>
          <w:rFonts w:eastAsia="楷体"/>
          <w:iCs/>
          <w:szCs w:val="18"/>
        </w:rPr>
        <w:t>国家的管辖豁免案</w:t>
      </w:r>
      <w:r w:rsidRPr="00F709E3">
        <w:rPr>
          <w:szCs w:val="18"/>
        </w:rPr>
        <w:t>(</w:t>
      </w:r>
      <w:r w:rsidRPr="00F709E3">
        <w:rPr>
          <w:rFonts w:hint="eastAsia"/>
          <w:szCs w:val="18"/>
        </w:rPr>
        <w:t>见上文脚注</w:t>
      </w:r>
      <w:r w:rsidRPr="00F709E3">
        <w:rPr>
          <w:szCs w:val="18"/>
        </w:rPr>
        <w:fldChar w:fldCharType="begin"/>
      </w:r>
      <w:r w:rsidRPr="00F709E3">
        <w:rPr>
          <w:szCs w:val="18"/>
        </w:rPr>
        <w:instrText xml:space="preserve"> NOTEREF _Ref453667027 \h  \* MERGEFORMAT </w:instrText>
      </w:r>
      <w:r w:rsidRPr="00F709E3">
        <w:rPr>
          <w:szCs w:val="18"/>
        </w:rPr>
      </w:r>
      <w:r w:rsidRPr="00F709E3">
        <w:rPr>
          <w:szCs w:val="18"/>
        </w:rPr>
        <w:fldChar w:fldCharType="separate"/>
      </w:r>
      <w:r w:rsidR="00A73EB9">
        <w:rPr>
          <w:szCs w:val="18"/>
        </w:rPr>
        <w:t>255</w:t>
      </w:r>
      <w:r w:rsidRPr="00F709E3">
        <w:rPr>
          <w:szCs w:val="18"/>
        </w:rPr>
        <w:fldChar w:fldCharType="end"/>
      </w:r>
      <w:r w:rsidRPr="00F709E3">
        <w:rPr>
          <w:szCs w:val="18"/>
        </w:rPr>
        <w:t>)</w:t>
      </w:r>
      <w:r w:rsidRPr="00F709E3">
        <w:rPr>
          <w:rFonts w:hint="eastAsia"/>
          <w:szCs w:val="18"/>
        </w:rPr>
        <w:t>，见第</w:t>
      </w:r>
      <w:r w:rsidRPr="00F709E3">
        <w:rPr>
          <w:szCs w:val="18"/>
        </w:rPr>
        <w:t>134</w:t>
      </w:r>
      <w:r w:rsidRPr="00F709E3">
        <w:rPr>
          <w:rFonts w:hint="eastAsia"/>
          <w:szCs w:val="18"/>
        </w:rPr>
        <w:t>页，第</w:t>
      </w:r>
      <w:r w:rsidRPr="00F709E3">
        <w:rPr>
          <w:szCs w:val="18"/>
        </w:rPr>
        <w:t>76</w:t>
      </w:r>
      <w:r w:rsidRPr="00F709E3">
        <w:rPr>
          <w:rFonts w:hint="eastAsia"/>
          <w:szCs w:val="18"/>
        </w:rPr>
        <w:t>段。另见</w:t>
      </w:r>
      <w:r w:rsidRPr="00F709E3">
        <w:rPr>
          <w:rFonts w:eastAsia="楷体"/>
          <w:iCs/>
          <w:szCs w:val="18"/>
        </w:rPr>
        <w:t>尼加拉瓜境内和针对尼加拉瓜的军事和准军事活动案</w:t>
      </w:r>
      <w:r w:rsidRPr="00F709E3">
        <w:rPr>
          <w:szCs w:val="18"/>
        </w:rPr>
        <w:t>(</w:t>
      </w:r>
      <w:r w:rsidRPr="00F709E3">
        <w:rPr>
          <w:rFonts w:hint="eastAsia"/>
          <w:szCs w:val="18"/>
        </w:rPr>
        <w:t>上文脚注</w:t>
      </w:r>
      <w:r>
        <w:fldChar w:fldCharType="begin"/>
      </w:r>
      <w:r>
        <w:instrText xml:space="preserve"> </w:instrText>
      </w:r>
      <w:r>
        <w:rPr>
          <w:rFonts w:hint="eastAsia"/>
        </w:rPr>
        <w:instrText>NOTEREF _Ref461975037 \h</w:instrText>
      </w:r>
      <w:r>
        <w:instrText xml:space="preserve"> </w:instrText>
      </w:r>
      <w:r>
        <w:fldChar w:fldCharType="separate"/>
      </w:r>
      <w:r w:rsidR="00A73EB9">
        <w:t>246</w:t>
      </w:r>
      <w:r>
        <w:fldChar w:fldCharType="end"/>
      </w:r>
      <w:r w:rsidRPr="00F709E3">
        <w:rPr>
          <w:szCs w:val="18"/>
        </w:rPr>
        <w:t>)</w:t>
      </w:r>
      <w:r w:rsidRPr="00F709E3">
        <w:rPr>
          <w:rFonts w:hint="eastAsia"/>
          <w:szCs w:val="18"/>
        </w:rPr>
        <w:t>，见第</w:t>
      </w:r>
      <w:r w:rsidRPr="00F709E3">
        <w:rPr>
          <w:szCs w:val="18"/>
        </w:rPr>
        <w:t>98</w:t>
      </w:r>
      <w:r w:rsidRPr="00F709E3">
        <w:rPr>
          <w:rFonts w:hint="eastAsia"/>
          <w:szCs w:val="18"/>
        </w:rPr>
        <w:t>页，第</w:t>
      </w:r>
      <w:r w:rsidRPr="00F709E3">
        <w:rPr>
          <w:szCs w:val="18"/>
        </w:rPr>
        <w:t>186</w:t>
      </w:r>
      <w:r w:rsidRPr="00F709E3">
        <w:rPr>
          <w:rFonts w:hint="eastAsia"/>
          <w:szCs w:val="18"/>
        </w:rPr>
        <w:t>段。</w:t>
      </w:r>
    </w:p>
  </w:footnote>
  <w:footnote w:id="290">
    <w:p w:rsidR="00AB00DE" w:rsidRPr="00F709E3" w:rsidRDefault="00AB00DE" w:rsidP="00F709E3">
      <w:pPr>
        <w:pStyle w:val="a4"/>
        <w:rPr>
          <w:szCs w:val="18"/>
        </w:rPr>
      </w:pPr>
      <w:r w:rsidRPr="00F709E3">
        <w:rPr>
          <w:rFonts w:eastAsia="楷体" w:hint="eastAsia"/>
          <w:szCs w:val="18"/>
        </w:rPr>
        <w:tab/>
      </w:r>
      <w:r w:rsidRPr="00DF5565">
        <w:rPr>
          <w:rStyle w:val="a5"/>
        </w:rPr>
        <w:footnoteRef/>
      </w:r>
      <w:r w:rsidRPr="00F709E3">
        <w:rPr>
          <w:rFonts w:eastAsia="楷体" w:hint="eastAsia"/>
          <w:szCs w:val="18"/>
        </w:rPr>
        <w:tab/>
      </w:r>
      <w:r w:rsidRPr="00F709E3">
        <w:rPr>
          <w:rFonts w:eastAsia="楷体" w:hint="eastAsia"/>
          <w:szCs w:val="18"/>
        </w:rPr>
        <w:t>渔业案，</w:t>
      </w:r>
      <w:r w:rsidRPr="00F709E3">
        <w:rPr>
          <w:rFonts w:hint="eastAsia"/>
          <w:szCs w:val="18"/>
        </w:rPr>
        <w:t>1951</w:t>
      </w:r>
      <w:r w:rsidRPr="00F709E3">
        <w:rPr>
          <w:rFonts w:hint="eastAsia"/>
          <w:szCs w:val="18"/>
        </w:rPr>
        <w:t>年</w:t>
      </w:r>
      <w:r w:rsidRPr="00F709E3">
        <w:rPr>
          <w:rFonts w:hint="eastAsia"/>
          <w:szCs w:val="18"/>
        </w:rPr>
        <w:t>12</w:t>
      </w:r>
      <w:r w:rsidRPr="00F709E3">
        <w:rPr>
          <w:rFonts w:hint="eastAsia"/>
          <w:szCs w:val="18"/>
        </w:rPr>
        <w:t>月</w:t>
      </w:r>
      <w:r w:rsidRPr="00F709E3">
        <w:rPr>
          <w:rFonts w:hint="eastAsia"/>
          <w:szCs w:val="18"/>
        </w:rPr>
        <w:t>18</w:t>
      </w:r>
      <w:r w:rsidRPr="00F709E3">
        <w:rPr>
          <w:rFonts w:hint="eastAsia"/>
          <w:szCs w:val="18"/>
        </w:rPr>
        <w:t>日的判决：《</w:t>
      </w:r>
      <w:r w:rsidRPr="00F709E3">
        <w:rPr>
          <w:rFonts w:hint="eastAsia"/>
          <w:szCs w:val="18"/>
        </w:rPr>
        <w:t>1951</w:t>
      </w:r>
      <w:r w:rsidRPr="00F709E3">
        <w:rPr>
          <w:rFonts w:hint="eastAsia"/>
          <w:szCs w:val="18"/>
        </w:rPr>
        <w:t>年国际法院案例汇编》，第</w:t>
      </w:r>
      <w:r w:rsidRPr="00F709E3">
        <w:rPr>
          <w:szCs w:val="18"/>
        </w:rPr>
        <w:t>116</w:t>
      </w:r>
      <w:r w:rsidRPr="00F709E3">
        <w:rPr>
          <w:rFonts w:hint="eastAsia"/>
          <w:szCs w:val="18"/>
        </w:rPr>
        <w:t>页起，见第</w:t>
      </w:r>
      <w:r w:rsidRPr="00F709E3">
        <w:rPr>
          <w:szCs w:val="18"/>
        </w:rPr>
        <w:t>138</w:t>
      </w:r>
      <w:r w:rsidRPr="00F709E3">
        <w:rPr>
          <w:rFonts w:hint="eastAsia"/>
          <w:szCs w:val="18"/>
        </w:rPr>
        <w:t>页。</w:t>
      </w:r>
    </w:p>
  </w:footnote>
  <w:footnote w:id="291">
    <w:p w:rsidR="00AB00DE" w:rsidRPr="00F709E3" w:rsidRDefault="00AB00DE" w:rsidP="00F709E3">
      <w:pPr>
        <w:pStyle w:val="a4"/>
        <w:rPr>
          <w:szCs w:val="18"/>
        </w:rPr>
      </w:pPr>
      <w:r w:rsidRPr="00F709E3">
        <w:rPr>
          <w:rFonts w:hint="eastAsia"/>
          <w:szCs w:val="18"/>
        </w:rPr>
        <w:tab/>
      </w:r>
      <w:r w:rsidRPr="00DF5565">
        <w:rPr>
          <w:rStyle w:val="a5"/>
        </w:rPr>
        <w:footnoteRef/>
      </w:r>
      <w:r w:rsidRPr="00F709E3">
        <w:rPr>
          <w:rFonts w:hint="eastAsia"/>
          <w:szCs w:val="18"/>
        </w:rPr>
        <w:tab/>
      </w:r>
      <w:r w:rsidRPr="00F709E3">
        <w:rPr>
          <w:rFonts w:hint="eastAsia"/>
          <w:szCs w:val="18"/>
        </w:rPr>
        <w:t>例如，见</w:t>
      </w:r>
      <w:r w:rsidRPr="00F709E3">
        <w:rPr>
          <w:rFonts w:eastAsia="楷体"/>
          <w:iCs/>
          <w:szCs w:val="18"/>
        </w:rPr>
        <w:t>国家的管辖豁免案</w:t>
      </w:r>
      <w:r w:rsidRPr="00F709E3">
        <w:rPr>
          <w:szCs w:val="18"/>
        </w:rPr>
        <w:t>(</w:t>
      </w:r>
      <w:r w:rsidRPr="00F709E3">
        <w:rPr>
          <w:rFonts w:hint="eastAsia"/>
          <w:szCs w:val="18"/>
        </w:rPr>
        <w:t>上文脚注</w:t>
      </w:r>
      <w:r w:rsidRPr="00F709E3">
        <w:rPr>
          <w:szCs w:val="18"/>
        </w:rPr>
        <w:fldChar w:fldCharType="begin"/>
      </w:r>
      <w:r w:rsidRPr="00F709E3">
        <w:rPr>
          <w:szCs w:val="18"/>
        </w:rPr>
        <w:instrText xml:space="preserve"> NOTEREF _Ref453667027 \h  \* MERGEFORMAT </w:instrText>
      </w:r>
      <w:r w:rsidRPr="00F709E3">
        <w:rPr>
          <w:szCs w:val="18"/>
        </w:rPr>
      </w:r>
      <w:r w:rsidRPr="00F709E3">
        <w:rPr>
          <w:szCs w:val="18"/>
        </w:rPr>
        <w:fldChar w:fldCharType="separate"/>
      </w:r>
      <w:r w:rsidR="00A73EB9">
        <w:rPr>
          <w:szCs w:val="18"/>
        </w:rPr>
        <w:t>255</w:t>
      </w:r>
      <w:r w:rsidRPr="00F709E3">
        <w:rPr>
          <w:szCs w:val="18"/>
        </w:rPr>
        <w:fldChar w:fldCharType="end"/>
      </w:r>
      <w:r w:rsidRPr="00F709E3">
        <w:rPr>
          <w:szCs w:val="18"/>
        </w:rPr>
        <w:t>)</w:t>
      </w:r>
      <w:r w:rsidRPr="00F709E3">
        <w:rPr>
          <w:rFonts w:hint="eastAsia"/>
          <w:szCs w:val="18"/>
        </w:rPr>
        <w:t>，见第</w:t>
      </w:r>
      <w:r w:rsidRPr="00F709E3">
        <w:rPr>
          <w:szCs w:val="18"/>
        </w:rPr>
        <w:t>136</w:t>
      </w:r>
      <w:r w:rsidRPr="00F709E3">
        <w:rPr>
          <w:rFonts w:hint="eastAsia"/>
          <w:szCs w:val="18"/>
        </w:rPr>
        <w:t>页，第</w:t>
      </w:r>
      <w:r w:rsidRPr="00F709E3">
        <w:rPr>
          <w:szCs w:val="18"/>
        </w:rPr>
        <w:t>83</w:t>
      </w:r>
      <w:r w:rsidRPr="00F709E3">
        <w:rPr>
          <w:rFonts w:hint="eastAsia"/>
          <w:szCs w:val="18"/>
        </w:rPr>
        <w:t>段</w:t>
      </w:r>
      <w:r w:rsidRPr="00F709E3">
        <w:rPr>
          <w:szCs w:val="18"/>
        </w:rPr>
        <w:t>(</w:t>
      </w:r>
      <w:r w:rsidRPr="00F709E3">
        <w:rPr>
          <w:rFonts w:hint="eastAsia"/>
          <w:szCs w:val="18"/>
        </w:rPr>
        <w:t>国际法院指出，“根据希腊法律”，特别最高法院的意见高于希腊最高法院的意见</w:t>
      </w:r>
      <w:r w:rsidRPr="00F709E3">
        <w:rPr>
          <w:szCs w:val="18"/>
        </w:rPr>
        <w:t>)</w:t>
      </w:r>
      <w:r w:rsidRPr="00F709E3">
        <w:rPr>
          <w:rFonts w:hint="eastAsia"/>
          <w:szCs w:val="18"/>
        </w:rPr>
        <w:t>。</w:t>
      </w:r>
    </w:p>
  </w:footnote>
  <w:footnote w:id="292">
    <w:p w:rsidR="00AB00DE" w:rsidRPr="00F709E3" w:rsidRDefault="00AB00DE" w:rsidP="00F709E3">
      <w:pPr>
        <w:pStyle w:val="a4"/>
        <w:rPr>
          <w:szCs w:val="18"/>
        </w:rPr>
      </w:pPr>
      <w:r w:rsidRPr="00F709E3">
        <w:rPr>
          <w:rFonts w:hint="eastAsia"/>
          <w:szCs w:val="18"/>
        </w:rPr>
        <w:tab/>
      </w:r>
      <w:r w:rsidRPr="00DF5565">
        <w:rPr>
          <w:rStyle w:val="a5"/>
        </w:rPr>
        <w:footnoteRef/>
      </w:r>
      <w:r w:rsidRPr="00F709E3">
        <w:rPr>
          <w:rFonts w:hint="eastAsia"/>
          <w:szCs w:val="18"/>
        </w:rPr>
        <w:tab/>
      </w:r>
      <w:r w:rsidRPr="00F709E3">
        <w:rPr>
          <w:rFonts w:eastAsia="楷体"/>
          <w:iCs/>
          <w:szCs w:val="18"/>
        </w:rPr>
        <w:t>北海大陆架案</w:t>
      </w:r>
      <w:r w:rsidRPr="00F709E3">
        <w:rPr>
          <w:szCs w:val="18"/>
        </w:rPr>
        <w:t>(</w:t>
      </w:r>
      <w:r w:rsidRPr="00F709E3">
        <w:rPr>
          <w:rFonts w:hint="eastAsia"/>
          <w:szCs w:val="18"/>
        </w:rPr>
        <w:t>见上文脚注</w:t>
      </w:r>
      <w:r w:rsidRPr="00F709E3">
        <w:rPr>
          <w:szCs w:val="18"/>
        </w:rPr>
        <w:fldChar w:fldCharType="begin"/>
      </w:r>
      <w:r w:rsidRPr="00F709E3">
        <w:rPr>
          <w:szCs w:val="18"/>
        </w:rPr>
        <w:instrText xml:space="preserve"> NOTEREF _Ref453666652 \h  \* MERGEFORMAT </w:instrText>
      </w:r>
      <w:r w:rsidRPr="00F709E3">
        <w:rPr>
          <w:szCs w:val="18"/>
        </w:rPr>
      </w:r>
      <w:r w:rsidRPr="00F709E3">
        <w:rPr>
          <w:szCs w:val="18"/>
        </w:rPr>
        <w:fldChar w:fldCharType="separate"/>
      </w:r>
      <w:r w:rsidR="00A73EB9">
        <w:rPr>
          <w:szCs w:val="18"/>
        </w:rPr>
        <w:t>254</w:t>
      </w:r>
      <w:r w:rsidRPr="00F709E3">
        <w:rPr>
          <w:szCs w:val="18"/>
        </w:rPr>
        <w:fldChar w:fldCharType="end"/>
      </w:r>
      <w:r w:rsidRPr="00F709E3">
        <w:rPr>
          <w:szCs w:val="18"/>
        </w:rPr>
        <w:t>)</w:t>
      </w:r>
      <w:r w:rsidRPr="00F709E3">
        <w:rPr>
          <w:rFonts w:hint="eastAsia"/>
          <w:szCs w:val="18"/>
        </w:rPr>
        <w:t>，见第</w:t>
      </w:r>
      <w:r w:rsidRPr="00F709E3">
        <w:rPr>
          <w:szCs w:val="18"/>
        </w:rPr>
        <w:t>43</w:t>
      </w:r>
      <w:r w:rsidRPr="00F709E3">
        <w:rPr>
          <w:rFonts w:hint="eastAsia"/>
          <w:szCs w:val="18"/>
        </w:rPr>
        <w:t>页，第</w:t>
      </w:r>
      <w:r w:rsidRPr="00F709E3">
        <w:rPr>
          <w:szCs w:val="18"/>
        </w:rPr>
        <w:t>74</w:t>
      </w:r>
      <w:r w:rsidRPr="00F709E3">
        <w:rPr>
          <w:rFonts w:hint="eastAsia"/>
          <w:szCs w:val="18"/>
        </w:rPr>
        <w:t>段。包括国际法院在内，各方使用过许多种术语来描述一般性的要求，这些术语在所指含义上不存在真正的区别。</w:t>
      </w:r>
    </w:p>
  </w:footnote>
  <w:footnote w:id="293">
    <w:p w:rsidR="00AB00DE" w:rsidRPr="00F709E3" w:rsidRDefault="00AB00DE" w:rsidP="00F709E3">
      <w:pPr>
        <w:pStyle w:val="a4"/>
        <w:rPr>
          <w:szCs w:val="18"/>
        </w:rPr>
      </w:pPr>
      <w:r w:rsidRPr="00F709E3">
        <w:rPr>
          <w:rFonts w:hint="eastAsia"/>
          <w:szCs w:val="18"/>
        </w:rPr>
        <w:tab/>
      </w:r>
      <w:r w:rsidRPr="00DF5565">
        <w:rPr>
          <w:rStyle w:val="a5"/>
        </w:rPr>
        <w:footnoteRef/>
      </w:r>
      <w:r w:rsidRPr="00F709E3">
        <w:rPr>
          <w:rFonts w:hint="eastAsia"/>
          <w:szCs w:val="18"/>
        </w:rPr>
        <w:tab/>
      </w:r>
      <w:r w:rsidRPr="00F709E3">
        <w:rPr>
          <w:rFonts w:hint="eastAsia"/>
          <w:szCs w:val="18"/>
          <w:lang w:bidi="he-IL"/>
        </w:rPr>
        <w:t>同上，见第</w:t>
      </w:r>
      <w:r w:rsidRPr="00F709E3">
        <w:rPr>
          <w:szCs w:val="18"/>
          <w:lang w:bidi="he-IL"/>
        </w:rPr>
        <w:t>44</w:t>
      </w:r>
      <w:r w:rsidRPr="00F709E3">
        <w:rPr>
          <w:rFonts w:hint="eastAsia"/>
          <w:szCs w:val="18"/>
          <w:lang w:bidi="he-IL"/>
        </w:rPr>
        <w:t>页，第</w:t>
      </w:r>
      <w:r w:rsidRPr="00F709E3">
        <w:rPr>
          <w:szCs w:val="18"/>
          <w:lang w:bidi="he-IL"/>
        </w:rPr>
        <w:t>77</w:t>
      </w:r>
      <w:r w:rsidRPr="00F709E3">
        <w:rPr>
          <w:rFonts w:hint="eastAsia"/>
          <w:szCs w:val="18"/>
          <w:lang w:bidi="he-IL"/>
        </w:rPr>
        <w:t>段。</w:t>
      </w:r>
    </w:p>
  </w:footnote>
  <w:footnote w:id="294">
    <w:p w:rsidR="00AB00DE" w:rsidRPr="00F709E3" w:rsidRDefault="00AB00DE" w:rsidP="00F709E3">
      <w:pPr>
        <w:pStyle w:val="a4"/>
        <w:rPr>
          <w:szCs w:val="18"/>
        </w:rPr>
      </w:pPr>
      <w:r w:rsidRPr="00F709E3">
        <w:rPr>
          <w:rFonts w:hint="eastAsia"/>
          <w:szCs w:val="18"/>
        </w:rPr>
        <w:tab/>
      </w:r>
      <w:r w:rsidRPr="00DF5565">
        <w:rPr>
          <w:rStyle w:val="a5"/>
        </w:rPr>
        <w:footnoteRef/>
      </w:r>
      <w:r w:rsidRPr="00F709E3">
        <w:rPr>
          <w:rFonts w:hint="eastAsia"/>
          <w:szCs w:val="18"/>
        </w:rPr>
        <w:tab/>
      </w:r>
      <w:r w:rsidRPr="00F709E3">
        <w:rPr>
          <w:rFonts w:hint="eastAsia"/>
          <w:szCs w:val="18"/>
        </w:rPr>
        <w:t>另见上文结论草案</w:t>
      </w:r>
      <w:r w:rsidRPr="00F709E3">
        <w:rPr>
          <w:rFonts w:hint="eastAsia"/>
          <w:szCs w:val="18"/>
        </w:rPr>
        <w:t>3</w:t>
      </w:r>
      <w:r w:rsidRPr="00F709E3">
        <w:rPr>
          <w:rFonts w:hint="eastAsia"/>
          <w:szCs w:val="18"/>
        </w:rPr>
        <w:t>。</w:t>
      </w:r>
    </w:p>
  </w:footnote>
  <w:footnote w:id="295">
    <w:p w:rsidR="00AB00DE" w:rsidRPr="00F709E3" w:rsidRDefault="00AB00DE" w:rsidP="00F709E3">
      <w:pPr>
        <w:pStyle w:val="a4"/>
        <w:rPr>
          <w:szCs w:val="18"/>
        </w:rPr>
      </w:pPr>
      <w:r w:rsidRPr="00F709E3">
        <w:rPr>
          <w:rFonts w:hint="eastAsia"/>
          <w:szCs w:val="18"/>
        </w:rPr>
        <w:tab/>
      </w:r>
      <w:r w:rsidRPr="00DF5565">
        <w:rPr>
          <w:rStyle w:val="a5"/>
        </w:rPr>
        <w:footnoteRef/>
      </w:r>
      <w:r w:rsidRPr="00F709E3">
        <w:rPr>
          <w:rFonts w:hint="eastAsia"/>
          <w:szCs w:val="18"/>
        </w:rPr>
        <w:tab/>
      </w:r>
      <w:r w:rsidRPr="00F709E3">
        <w:rPr>
          <w:rFonts w:hint="eastAsia"/>
          <w:szCs w:val="18"/>
        </w:rPr>
        <w:t>另见</w:t>
      </w:r>
      <w:r w:rsidRPr="00F709E3">
        <w:rPr>
          <w:szCs w:val="18"/>
        </w:rPr>
        <w:t>澳大利亚</w:t>
      </w:r>
      <w:r w:rsidRPr="00F709E3">
        <w:rPr>
          <w:rFonts w:hint="eastAsia"/>
          <w:szCs w:val="18"/>
        </w:rPr>
        <w:t>联邦法院</w:t>
      </w:r>
      <w:r w:rsidRPr="00F709E3">
        <w:rPr>
          <w:rFonts w:hint="eastAsia"/>
          <w:szCs w:val="18"/>
        </w:rPr>
        <w:t>2016</w:t>
      </w:r>
      <w:r w:rsidRPr="00F709E3">
        <w:rPr>
          <w:rFonts w:hint="eastAsia"/>
          <w:szCs w:val="18"/>
        </w:rPr>
        <w:t>年</w:t>
      </w:r>
      <w:r w:rsidRPr="00F709E3">
        <w:rPr>
          <w:rFonts w:hint="eastAsia"/>
          <w:szCs w:val="18"/>
        </w:rPr>
        <w:t>2</w:t>
      </w:r>
      <w:r w:rsidRPr="00F709E3">
        <w:rPr>
          <w:rFonts w:hint="eastAsia"/>
          <w:szCs w:val="18"/>
        </w:rPr>
        <w:t>月</w:t>
      </w:r>
      <w:r w:rsidRPr="00F709E3">
        <w:rPr>
          <w:rFonts w:hint="eastAsia"/>
          <w:szCs w:val="18"/>
        </w:rPr>
        <w:t>4</w:t>
      </w:r>
      <w:r w:rsidRPr="00F709E3">
        <w:rPr>
          <w:rFonts w:hint="eastAsia"/>
          <w:szCs w:val="18"/>
        </w:rPr>
        <w:t>日的判决，</w:t>
      </w:r>
      <w:r w:rsidRPr="00F709E3">
        <w:rPr>
          <w:rFonts w:eastAsia="楷体"/>
          <w:szCs w:val="18"/>
        </w:rPr>
        <w:t>Ure</w:t>
      </w:r>
      <w:r w:rsidRPr="00F709E3">
        <w:rPr>
          <w:rFonts w:eastAsia="楷体" w:hint="eastAsia"/>
          <w:szCs w:val="18"/>
        </w:rPr>
        <w:t>诉澳大利亚联邦</w:t>
      </w:r>
      <w:r w:rsidRPr="00F709E3">
        <w:rPr>
          <w:szCs w:val="18"/>
        </w:rPr>
        <w:t xml:space="preserve"> [2016] FCAFC 8</w:t>
      </w:r>
      <w:r w:rsidRPr="00F709E3">
        <w:rPr>
          <w:rFonts w:hint="eastAsia"/>
          <w:szCs w:val="18"/>
        </w:rPr>
        <w:t>，第</w:t>
      </w:r>
      <w:r w:rsidRPr="00F709E3">
        <w:rPr>
          <w:szCs w:val="18"/>
        </w:rPr>
        <w:t>37</w:t>
      </w:r>
      <w:r w:rsidRPr="00F709E3">
        <w:rPr>
          <w:rFonts w:hint="eastAsia"/>
          <w:szCs w:val="18"/>
        </w:rPr>
        <w:t>段</w:t>
      </w:r>
      <w:r w:rsidRPr="00F709E3">
        <w:rPr>
          <w:szCs w:val="18"/>
        </w:rPr>
        <w:t>(</w:t>
      </w:r>
      <w:r w:rsidRPr="00F709E3">
        <w:rPr>
          <w:rFonts w:hint="eastAsia"/>
          <w:szCs w:val="18"/>
        </w:rPr>
        <w:t>“我们不愿作出这样的表态，即国家惯例实例数量较少就无法证明习惯国际</w:t>
      </w:r>
      <w:r w:rsidRPr="00F709E3">
        <w:rPr>
          <w:rFonts w:hint="eastAsia"/>
          <w:szCs w:val="18"/>
        </w:rPr>
        <w:t>[</w:t>
      </w:r>
      <w:r w:rsidRPr="00F709E3">
        <w:rPr>
          <w:rFonts w:hint="eastAsia"/>
          <w:szCs w:val="18"/>
        </w:rPr>
        <w:t>法</w:t>
      </w:r>
      <w:r w:rsidRPr="00F709E3">
        <w:rPr>
          <w:rFonts w:hint="eastAsia"/>
          <w:szCs w:val="18"/>
        </w:rPr>
        <w:t>]</w:t>
      </w:r>
      <w:r w:rsidRPr="00F709E3">
        <w:rPr>
          <w:rFonts w:hint="eastAsia"/>
          <w:szCs w:val="18"/>
        </w:rPr>
        <w:t>规则的存在。我们接受规范性较弱的立场，即国家惯例实例数量越少，就越难完成这一任务”</w:t>
      </w:r>
      <w:r w:rsidRPr="00F709E3">
        <w:rPr>
          <w:szCs w:val="18"/>
        </w:rPr>
        <w:t>)</w:t>
      </w:r>
      <w:r w:rsidRPr="00F709E3">
        <w:rPr>
          <w:rFonts w:hint="eastAsia"/>
          <w:szCs w:val="18"/>
        </w:rPr>
        <w:t>。</w:t>
      </w:r>
    </w:p>
  </w:footnote>
  <w:footnote w:id="296">
    <w:p w:rsidR="00AB00DE" w:rsidRPr="00F709E3" w:rsidRDefault="00AB00DE" w:rsidP="00F709E3">
      <w:pPr>
        <w:pStyle w:val="a4"/>
        <w:rPr>
          <w:szCs w:val="18"/>
        </w:rPr>
      </w:pPr>
      <w:r w:rsidRPr="00F709E3">
        <w:rPr>
          <w:rFonts w:hint="eastAsia"/>
          <w:szCs w:val="18"/>
        </w:rPr>
        <w:tab/>
      </w:r>
      <w:r w:rsidRPr="00DF5565">
        <w:rPr>
          <w:rStyle w:val="a5"/>
        </w:rPr>
        <w:footnoteRef/>
      </w:r>
      <w:r w:rsidRPr="00F709E3">
        <w:rPr>
          <w:rFonts w:hint="eastAsia"/>
          <w:szCs w:val="18"/>
        </w:rPr>
        <w:tab/>
      </w:r>
      <w:r w:rsidRPr="00F709E3">
        <w:rPr>
          <w:rFonts w:hint="eastAsia"/>
          <w:szCs w:val="18"/>
        </w:rPr>
        <w:t>例如，见</w:t>
      </w:r>
      <w:r w:rsidRPr="00F709E3">
        <w:rPr>
          <w:szCs w:val="18"/>
          <w:lang w:bidi="he-IL"/>
        </w:rPr>
        <w:t>2 BvR 1506/03</w:t>
      </w:r>
      <w:r w:rsidRPr="00F709E3">
        <w:rPr>
          <w:rFonts w:hint="eastAsia"/>
          <w:szCs w:val="18"/>
          <w:lang w:bidi="he-IL"/>
        </w:rPr>
        <w:t>，德国联邦宪法法院，</w:t>
      </w:r>
      <w:r w:rsidRPr="00F709E3">
        <w:rPr>
          <w:rFonts w:hint="eastAsia"/>
          <w:szCs w:val="18"/>
          <w:lang w:bidi="he-IL"/>
        </w:rPr>
        <w:t>2003</w:t>
      </w:r>
      <w:r w:rsidRPr="00F709E3">
        <w:rPr>
          <w:rFonts w:hint="eastAsia"/>
          <w:szCs w:val="18"/>
          <w:lang w:bidi="he-IL"/>
        </w:rPr>
        <w:t>年</w:t>
      </w:r>
      <w:r w:rsidRPr="00F709E3">
        <w:rPr>
          <w:rFonts w:hint="eastAsia"/>
          <w:szCs w:val="18"/>
          <w:lang w:bidi="he-IL"/>
        </w:rPr>
        <w:t>11</w:t>
      </w:r>
      <w:r w:rsidRPr="00F709E3">
        <w:rPr>
          <w:rFonts w:hint="eastAsia"/>
          <w:szCs w:val="18"/>
          <w:lang w:bidi="he-IL"/>
        </w:rPr>
        <w:t>月</w:t>
      </w:r>
      <w:r w:rsidRPr="00F709E3">
        <w:rPr>
          <w:rFonts w:hint="eastAsia"/>
          <w:szCs w:val="18"/>
          <w:lang w:bidi="he-IL"/>
        </w:rPr>
        <w:t>5</w:t>
      </w:r>
      <w:r w:rsidRPr="00F709E3">
        <w:rPr>
          <w:rFonts w:hint="eastAsia"/>
          <w:szCs w:val="18"/>
          <w:lang w:bidi="he-IL"/>
        </w:rPr>
        <w:t>日第二庭的命令，第</w:t>
      </w:r>
      <w:r w:rsidRPr="00F709E3">
        <w:rPr>
          <w:szCs w:val="18"/>
          <w:lang w:bidi="he-IL"/>
        </w:rPr>
        <w:t>59</w:t>
      </w:r>
      <w:r w:rsidRPr="00F709E3">
        <w:rPr>
          <w:rFonts w:hint="eastAsia"/>
          <w:szCs w:val="18"/>
          <w:lang w:bidi="he-IL"/>
        </w:rPr>
        <w:t>段</w:t>
      </w:r>
      <w:r w:rsidRPr="00F709E3">
        <w:rPr>
          <w:szCs w:val="18"/>
          <w:lang w:bidi="he-IL"/>
        </w:rPr>
        <w:t>(</w:t>
      </w:r>
      <w:r w:rsidRPr="00F709E3">
        <w:rPr>
          <w:rFonts w:hint="eastAsia"/>
          <w:szCs w:val="18"/>
          <w:lang w:bidi="he-IL"/>
        </w:rPr>
        <w:t>“但是，这种惯例普及程度不够，不足以被视为产生习惯国际法的统一惯例”</w:t>
      </w:r>
      <w:r w:rsidRPr="00F709E3">
        <w:rPr>
          <w:szCs w:val="18"/>
          <w:lang w:bidi="he-IL"/>
        </w:rPr>
        <w:t>)</w:t>
      </w:r>
      <w:r w:rsidRPr="00F709E3">
        <w:rPr>
          <w:rFonts w:hint="eastAsia"/>
          <w:szCs w:val="18"/>
          <w:lang w:bidi="he-IL"/>
        </w:rPr>
        <w:t>。</w:t>
      </w:r>
    </w:p>
  </w:footnote>
  <w:footnote w:id="297">
    <w:p w:rsidR="00AB00DE" w:rsidRPr="00F709E3" w:rsidRDefault="00AB00DE" w:rsidP="00F709E3">
      <w:pPr>
        <w:pStyle w:val="a4"/>
        <w:rPr>
          <w:szCs w:val="18"/>
        </w:rPr>
      </w:pPr>
      <w:r w:rsidRPr="00F709E3">
        <w:rPr>
          <w:rFonts w:hint="eastAsia"/>
          <w:szCs w:val="18"/>
        </w:rPr>
        <w:tab/>
      </w:r>
      <w:r w:rsidRPr="00DF5565">
        <w:rPr>
          <w:rStyle w:val="a5"/>
        </w:rPr>
        <w:footnoteRef/>
      </w:r>
      <w:r w:rsidRPr="00F709E3">
        <w:rPr>
          <w:rFonts w:hint="eastAsia"/>
          <w:szCs w:val="18"/>
        </w:rPr>
        <w:tab/>
      </w:r>
      <w:r w:rsidRPr="00F709E3">
        <w:rPr>
          <w:rFonts w:hint="eastAsia"/>
          <w:szCs w:val="18"/>
        </w:rPr>
        <w:t>因此，如果某具体惯例以及其他国家在回应方面的不作为确实已被普遍接受为法律</w:t>
      </w:r>
      <w:r w:rsidRPr="00F709E3">
        <w:rPr>
          <w:szCs w:val="18"/>
        </w:rPr>
        <w:t>(</w:t>
      </w:r>
      <w:r w:rsidRPr="00F709E3">
        <w:rPr>
          <w:iCs/>
          <w:szCs w:val="18"/>
        </w:rPr>
        <w:t>法律确信</w:t>
      </w:r>
      <w:r w:rsidRPr="00F709E3">
        <w:rPr>
          <w:szCs w:val="18"/>
        </w:rPr>
        <w:t>)</w:t>
      </w:r>
      <w:r w:rsidRPr="00F709E3">
        <w:rPr>
          <w:rFonts w:hint="eastAsia"/>
          <w:szCs w:val="18"/>
        </w:rPr>
        <w:t>，则有较少国家参与这种惯例就足够了。</w:t>
      </w:r>
    </w:p>
  </w:footnote>
  <w:footnote w:id="298">
    <w:p w:rsidR="00AB00DE" w:rsidRPr="00F709E3" w:rsidRDefault="00AB00DE" w:rsidP="00F709E3">
      <w:pPr>
        <w:pStyle w:val="a4"/>
        <w:rPr>
          <w:szCs w:val="18"/>
        </w:rPr>
      </w:pPr>
      <w:r w:rsidRPr="00F709E3">
        <w:rPr>
          <w:rFonts w:hint="eastAsia"/>
          <w:szCs w:val="18"/>
        </w:rPr>
        <w:tab/>
      </w:r>
      <w:r w:rsidRPr="00DF5565">
        <w:rPr>
          <w:rStyle w:val="a5"/>
        </w:rPr>
        <w:footnoteRef/>
      </w:r>
      <w:r w:rsidRPr="00F709E3">
        <w:rPr>
          <w:rFonts w:hint="eastAsia"/>
          <w:szCs w:val="18"/>
        </w:rPr>
        <w:tab/>
      </w:r>
      <w:r w:rsidRPr="00F709E3">
        <w:rPr>
          <w:rFonts w:hint="eastAsia"/>
          <w:szCs w:val="18"/>
        </w:rPr>
        <w:t>国际法院曾表示，“一项必要要求是，在所涉时期内，即便该时期较短，国家惯例，包括利益特别受到影响的国家的惯例，必须是既广泛又基本上统一的”，</w:t>
      </w:r>
      <w:r w:rsidRPr="00F709E3">
        <w:rPr>
          <w:rFonts w:eastAsia="楷体"/>
          <w:iCs/>
          <w:szCs w:val="18"/>
        </w:rPr>
        <w:t>北海大陆架案</w:t>
      </w:r>
      <w:r w:rsidRPr="00F709E3">
        <w:rPr>
          <w:szCs w:val="18"/>
        </w:rPr>
        <w:t>(</w:t>
      </w:r>
      <w:r w:rsidRPr="00F709E3">
        <w:rPr>
          <w:rFonts w:hint="eastAsia"/>
          <w:szCs w:val="18"/>
        </w:rPr>
        <w:t>见上文脚注</w:t>
      </w:r>
      <w:r w:rsidRPr="00F709E3">
        <w:rPr>
          <w:szCs w:val="18"/>
        </w:rPr>
        <w:fldChar w:fldCharType="begin"/>
      </w:r>
      <w:r w:rsidRPr="00F709E3">
        <w:rPr>
          <w:szCs w:val="18"/>
        </w:rPr>
        <w:instrText xml:space="preserve"> NOTEREF _Ref453666652 \h  \* MERGEFORMAT </w:instrText>
      </w:r>
      <w:r w:rsidRPr="00F709E3">
        <w:rPr>
          <w:szCs w:val="18"/>
        </w:rPr>
      </w:r>
      <w:r w:rsidRPr="00F709E3">
        <w:rPr>
          <w:szCs w:val="18"/>
        </w:rPr>
        <w:fldChar w:fldCharType="separate"/>
      </w:r>
      <w:r w:rsidR="00A73EB9">
        <w:rPr>
          <w:szCs w:val="18"/>
        </w:rPr>
        <w:t>254</w:t>
      </w:r>
      <w:r w:rsidRPr="00F709E3">
        <w:rPr>
          <w:szCs w:val="18"/>
        </w:rPr>
        <w:fldChar w:fldCharType="end"/>
      </w:r>
      <w:r w:rsidRPr="00F709E3">
        <w:rPr>
          <w:szCs w:val="18"/>
        </w:rPr>
        <w:t>)</w:t>
      </w:r>
      <w:r w:rsidRPr="00F709E3">
        <w:rPr>
          <w:rFonts w:hint="eastAsia"/>
          <w:szCs w:val="18"/>
        </w:rPr>
        <w:t>，见第</w:t>
      </w:r>
      <w:r w:rsidRPr="00F709E3">
        <w:rPr>
          <w:szCs w:val="18"/>
        </w:rPr>
        <w:t>43</w:t>
      </w:r>
      <w:r w:rsidRPr="00F709E3">
        <w:rPr>
          <w:rFonts w:hint="eastAsia"/>
          <w:szCs w:val="18"/>
        </w:rPr>
        <w:t>页，第</w:t>
      </w:r>
      <w:r w:rsidRPr="00F709E3">
        <w:rPr>
          <w:szCs w:val="18"/>
        </w:rPr>
        <w:t>74</w:t>
      </w:r>
      <w:r w:rsidRPr="00F709E3">
        <w:rPr>
          <w:rFonts w:hint="eastAsia"/>
          <w:szCs w:val="18"/>
        </w:rPr>
        <w:t>段。</w:t>
      </w:r>
    </w:p>
  </w:footnote>
  <w:footnote w:id="299">
    <w:p w:rsidR="00AB00DE" w:rsidRPr="00F709E3" w:rsidRDefault="00AB00DE" w:rsidP="00F709E3">
      <w:pPr>
        <w:pStyle w:val="a4"/>
        <w:rPr>
          <w:szCs w:val="18"/>
        </w:rPr>
      </w:pPr>
      <w:r w:rsidRPr="00F709E3">
        <w:rPr>
          <w:rFonts w:eastAsia="楷体" w:hint="eastAsia"/>
          <w:iCs/>
          <w:szCs w:val="18"/>
          <w:lang w:bidi="he-IL"/>
        </w:rPr>
        <w:tab/>
      </w:r>
      <w:r w:rsidRPr="00DF5565">
        <w:rPr>
          <w:rStyle w:val="a5"/>
        </w:rPr>
        <w:footnoteRef/>
      </w:r>
      <w:r w:rsidRPr="00F709E3">
        <w:rPr>
          <w:rFonts w:eastAsia="楷体" w:hint="eastAsia"/>
          <w:iCs/>
          <w:szCs w:val="18"/>
          <w:lang w:bidi="he-IL"/>
        </w:rPr>
        <w:tab/>
      </w:r>
      <w:r w:rsidRPr="00F709E3">
        <w:rPr>
          <w:rFonts w:eastAsia="楷体" w:hint="eastAsia"/>
          <w:iCs/>
          <w:szCs w:val="18"/>
          <w:lang w:bidi="he-IL"/>
        </w:rPr>
        <w:t>渔业案</w:t>
      </w:r>
      <w:r w:rsidRPr="00F709E3">
        <w:rPr>
          <w:szCs w:val="18"/>
        </w:rPr>
        <w:t>(</w:t>
      </w:r>
      <w:r w:rsidRPr="00F709E3">
        <w:rPr>
          <w:rFonts w:hint="eastAsia"/>
          <w:szCs w:val="18"/>
        </w:rPr>
        <w:t>见上文脚注</w:t>
      </w:r>
      <w:r w:rsidRPr="00F709E3">
        <w:rPr>
          <w:szCs w:val="18"/>
        </w:rPr>
        <w:fldChar w:fldCharType="begin"/>
      </w:r>
      <w:r w:rsidRPr="00F709E3">
        <w:rPr>
          <w:szCs w:val="18"/>
        </w:rPr>
        <w:instrText xml:space="preserve"> NOTEREF _Ref453682888 \h  \* MERGEFORMAT </w:instrText>
      </w:r>
      <w:r w:rsidRPr="00F709E3">
        <w:rPr>
          <w:szCs w:val="18"/>
        </w:rPr>
      </w:r>
      <w:r w:rsidRPr="00F709E3">
        <w:rPr>
          <w:szCs w:val="18"/>
        </w:rPr>
        <w:fldChar w:fldCharType="separate"/>
      </w:r>
      <w:r w:rsidR="00A73EB9">
        <w:rPr>
          <w:szCs w:val="18"/>
        </w:rPr>
        <w:t>289</w:t>
      </w:r>
      <w:r w:rsidRPr="00F709E3">
        <w:rPr>
          <w:szCs w:val="18"/>
        </w:rPr>
        <w:fldChar w:fldCharType="end"/>
      </w:r>
      <w:r w:rsidRPr="00F709E3">
        <w:rPr>
          <w:szCs w:val="18"/>
        </w:rPr>
        <w:t>)</w:t>
      </w:r>
      <w:r w:rsidRPr="00F709E3">
        <w:rPr>
          <w:rFonts w:hint="eastAsia"/>
          <w:szCs w:val="18"/>
        </w:rPr>
        <w:t>，见第</w:t>
      </w:r>
      <w:r w:rsidRPr="00F709E3">
        <w:rPr>
          <w:szCs w:val="18"/>
        </w:rPr>
        <w:t>131</w:t>
      </w:r>
      <w:r w:rsidRPr="00F709E3">
        <w:rPr>
          <w:rFonts w:hint="eastAsia"/>
          <w:szCs w:val="18"/>
        </w:rPr>
        <w:t>页。国际法院分庭在</w:t>
      </w:r>
      <w:r w:rsidRPr="00F709E3">
        <w:rPr>
          <w:rFonts w:eastAsia="楷体"/>
          <w:iCs/>
          <w:szCs w:val="18"/>
          <w:lang w:bidi="he-IL"/>
        </w:rPr>
        <w:t>缅因湾</w:t>
      </w:r>
      <w:r w:rsidRPr="00F709E3">
        <w:rPr>
          <w:rFonts w:eastAsia="楷体" w:hint="eastAsia"/>
          <w:iCs/>
          <w:szCs w:val="18"/>
          <w:lang w:bidi="he-IL"/>
        </w:rPr>
        <w:t>案</w:t>
      </w:r>
      <w:r w:rsidRPr="00F709E3">
        <w:rPr>
          <w:rFonts w:hint="eastAsia"/>
          <w:iCs/>
          <w:szCs w:val="18"/>
          <w:lang w:bidi="he-IL"/>
        </w:rPr>
        <w:t>中认定，</w:t>
      </w:r>
      <w:r w:rsidRPr="00F709E3">
        <w:rPr>
          <w:rFonts w:hint="eastAsia"/>
          <w:szCs w:val="18"/>
        </w:rPr>
        <w:t>若惯例显示“每宗具体案件在最终的分析中都与其他案件不同……就不可能具备形成习惯法原则和规则所必需的条件”</w:t>
      </w:r>
      <w:r w:rsidRPr="00F709E3">
        <w:rPr>
          <w:szCs w:val="18"/>
        </w:rPr>
        <w:t>(</w:t>
      </w:r>
      <w:r w:rsidRPr="00F709E3">
        <w:rPr>
          <w:rFonts w:eastAsia="楷体"/>
          <w:iCs/>
          <w:szCs w:val="18"/>
          <w:lang w:bidi="he-IL"/>
        </w:rPr>
        <w:t>缅因湾区域海洋边界划界案</w:t>
      </w:r>
      <w:r w:rsidRPr="00F709E3">
        <w:rPr>
          <w:szCs w:val="18"/>
          <w:lang w:bidi="he-IL"/>
        </w:rPr>
        <w:t>(</w:t>
      </w:r>
      <w:r w:rsidRPr="00F709E3">
        <w:rPr>
          <w:rFonts w:hint="eastAsia"/>
          <w:szCs w:val="18"/>
          <w:lang w:bidi="he-IL"/>
        </w:rPr>
        <w:t>见上文脚注</w:t>
      </w:r>
      <w:r w:rsidRPr="00F709E3">
        <w:rPr>
          <w:szCs w:val="18"/>
          <w:lang w:bidi="he-IL"/>
        </w:rPr>
        <w:fldChar w:fldCharType="begin"/>
      </w:r>
      <w:r w:rsidRPr="00F709E3">
        <w:rPr>
          <w:szCs w:val="18"/>
          <w:lang w:bidi="he-IL"/>
        </w:rPr>
        <w:instrText xml:space="preserve"> NOTEREF _Ref453677007 \h  \* MERGEFORMAT </w:instrText>
      </w:r>
      <w:r w:rsidRPr="00F709E3">
        <w:rPr>
          <w:szCs w:val="18"/>
          <w:lang w:bidi="he-IL"/>
        </w:rPr>
      </w:r>
      <w:r w:rsidRPr="00F709E3">
        <w:rPr>
          <w:szCs w:val="18"/>
          <w:lang w:bidi="he-IL"/>
        </w:rPr>
        <w:fldChar w:fldCharType="separate"/>
      </w:r>
      <w:r w:rsidR="00A73EB9">
        <w:rPr>
          <w:szCs w:val="18"/>
          <w:lang w:bidi="he-IL"/>
        </w:rPr>
        <w:t>250</w:t>
      </w:r>
      <w:r w:rsidRPr="00F709E3">
        <w:rPr>
          <w:szCs w:val="18"/>
          <w:lang w:bidi="he-IL"/>
        </w:rPr>
        <w:fldChar w:fldCharType="end"/>
      </w:r>
      <w:r w:rsidRPr="00F709E3">
        <w:rPr>
          <w:szCs w:val="18"/>
          <w:lang w:bidi="he-IL"/>
        </w:rPr>
        <w:t>)</w:t>
      </w:r>
      <w:r w:rsidRPr="00F709E3">
        <w:rPr>
          <w:rFonts w:hint="eastAsia"/>
          <w:szCs w:val="18"/>
          <w:lang w:bidi="he-IL"/>
        </w:rPr>
        <w:t>，见第</w:t>
      </w:r>
      <w:r w:rsidRPr="00F709E3">
        <w:rPr>
          <w:rFonts w:hint="eastAsia"/>
          <w:szCs w:val="18"/>
          <w:lang w:bidi="he-IL"/>
        </w:rPr>
        <w:t>2</w:t>
      </w:r>
      <w:r w:rsidRPr="00F709E3">
        <w:rPr>
          <w:szCs w:val="18"/>
          <w:lang w:bidi="he-IL"/>
        </w:rPr>
        <w:t>90</w:t>
      </w:r>
      <w:r w:rsidRPr="00F709E3">
        <w:rPr>
          <w:rFonts w:hint="eastAsia"/>
          <w:szCs w:val="18"/>
          <w:lang w:bidi="he-IL"/>
        </w:rPr>
        <w:t>页，第</w:t>
      </w:r>
      <w:r w:rsidRPr="00F709E3">
        <w:rPr>
          <w:szCs w:val="18"/>
          <w:lang w:bidi="he-IL"/>
        </w:rPr>
        <w:t>81</w:t>
      </w:r>
      <w:r w:rsidRPr="00F709E3">
        <w:rPr>
          <w:rFonts w:hint="eastAsia"/>
          <w:szCs w:val="18"/>
          <w:lang w:bidi="he-IL"/>
        </w:rPr>
        <w:t>段</w:t>
      </w:r>
      <w:r w:rsidRPr="00F709E3">
        <w:rPr>
          <w:szCs w:val="18"/>
        </w:rPr>
        <w:t>)</w:t>
      </w:r>
      <w:r w:rsidRPr="00F709E3">
        <w:rPr>
          <w:rFonts w:hint="eastAsia"/>
          <w:szCs w:val="18"/>
        </w:rPr>
        <w:t>。例如，另见，</w:t>
      </w:r>
      <w:r w:rsidRPr="00F709E3">
        <w:rPr>
          <w:rFonts w:eastAsia="楷体"/>
          <w:iCs/>
          <w:szCs w:val="18"/>
        </w:rPr>
        <w:t>哥伦比亚</w:t>
      </w:r>
      <w:r w:rsidRPr="00F709E3">
        <w:rPr>
          <w:rFonts w:eastAsia="楷体" w:hint="eastAsia"/>
          <w:iCs/>
          <w:szCs w:val="18"/>
        </w:rPr>
        <w:t>－</w:t>
      </w:r>
      <w:r w:rsidRPr="00F709E3">
        <w:rPr>
          <w:rFonts w:eastAsia="楷体"/>
          <w:iCs/>
          <w:szCs w:val="18"/>
        </w:rPr>
        <w:t>秘鲁庇护权案</w:t>
      </w:r>
      <w:r w:rsidRPr="00F709E3">
        <w:rPr>
          <w:szCs w:val="18"/>
        </w:rPr>
        <w:t>(</w:t>
      </w:r>
      <w:r w:rsidRPr="00F709E3">
        <w:rPr>
          <w:rFonts w:hint="eastAsia"/>
          <w:szCs w:val="18"/>
        </w:rPr>
        <w:t>上文脚注</w:t>
      </w:r>
      <w:r w:rsidRPr="00F709E3">
        <w:rPr>
          <w:szCs w:val="18"/>
        </w:rPr>
        <w:fldChar w:fldCharType="begin"/>
      </w:r>
      <w:r w:rsidRPr="00F709E3">
        <w:rPr>
          <w:szCs w:val="18"/>
        </w:rPr>
        <w:instrText xml:space="preserve"> NOTEREF _Ref453683184 \h  \* MERGEFORMAT </w:instrText>
      </w:r>
      <w:r w:rsidRPr="00F709E3">
        <w:rPr>
          <w:szCs w:val="18"/>
        </w:rPr>
      </w:r>
      <w:r w:rsidRPr="00F709E3">
        <w:rPr>
          <w:szCs w:val="18"/>
        </w:rPr>
        <w:fldChar w:fldCharType="separate"/>
      </w:r>
      <w:r w:rsidR="00A73EB9">
        <w:rPr>
          <w:szCs w:val="18"/>
        </w:rPr>
        <w:t>257</w:t>
      </w:r>
      <w:r w:rsidRPr="00F709E3">
        <w:rPr>
          <w:szCs w:val="18"/>
        </w:rPr>
        <w:fldChar w:fldCharType="end"/>
      </w:r>
      <w:r w:rsidRPr="00F709E3">
        <w:rPr>
          <w:szCs w:val="18"/>
        </w:rPr>
        <w:t>)</w:t>
      </w:r>
      <w:r w:rsidRPr="00F709E3">
        <w:rPr>
          <w:rFonts w:hint="eastAsia"/>
          <w:szCs w:val="18"/>
        </w:rPr>
        <w:t>，见第</w:t>
      </w:r>
      <w:r w:rsidRPr="00F709E3">
        <w:rPr>
          <w:szCs w:val="18"/>
        </w:rPr>
        <w:t>277</w:t>
      </w:r>
      <w:r w:rsidRPr="00F709E3">
        <w:rPr>
          <w:rFonts w:hint="eastAsia"/>
          <w:szCs w:val="18"/>
        </w:rPr>
        <w:t>页</w:t>
      </w:r>
      <w:r w:rsidRPr="00F709E3">
        <w:rPr>
          <w:szCs w:val="18"/>
        </w:rPr>
        <w:t>(</w:t>
      </w:r>
      <w:r w:rsidRPr="00F709E3">
        <w:rPr>
          <w:rFonts w:hint="eastAsia"/>
          <w:szCs w:val="18"/>
        </w:rPr>
        <w:t>“法院所掌握的事实显示，在外交庇护的使用方面，存在太多不确定与矛盾之处，也存在太多变动与差异之处……无法从中观察出任何与所称的单方面确定犯罪性质的规则有关的恒定和统一的做法……”</w:t>
      </w:r>
      <w:r w:rsidRPr="00F709E3">
        <w:rPr>
          <w:rFonts w:eastAsia="Calibri"/>
          <w:szCs w:val="18"/>
        </w:rPr>
        <w:t>)</w:t>
      </w:r>
      <w:r w:rsidRPr="00F709E3">
        <w:rPr>
          <w:rFonts w:hint="eastAsia"/>
          <w:szCs w:val="18"/>
        </w:rPr>
        <w:t>；</w:t>
      </w:r>
      <w:r w:rsidRPr="00F709E3">
        <w:rPr>
          <w:rFonts w:eastAsia="楷体" w:hint="eastAsia"/>
          <w:szCs w:val="18"/>
        </w:rPr>
        <w:t>对美利坚合众国与意大利航空运输服务协定的解释，</w:t>
      </w:r>
      <w:r w:rsidRPr="00F709E3">
        <w:rPr>
          <w:szCs w:val="18"/>
        </w:rPr>
        <w:t>1965</w:t>
      </w:r>
      <w:r w:rsidRPr="00F709E3">
        <w:rPr>
          <w:rFonts w:hint="eastAsia"/>
          <w:szCs w:val="18"/>
        </w:rPr>
        <w:t>年</w:t>
      </w:r>
      <w:r w:rsidRPr="00F709E3">
        <w:rPr>
          <w:rFonts w:hint="eastAsia"/>
          <w:szCs w:val="18"/>
        </w:rPr>
        <w:t>7</w:t>
      </w:r>
      <w:r w:rsidRPr="00F709E3">
        <w:rPr>
          <w:rFonts w:hint="eastAsia"/>
          <w:szCs w:val="18"/>
        </w:rPr>
        <w:t>月</w:t>
      </w:r>
      <w:r w:rsidRPr="00F709E3">
        <w:rPr>
          <w:rFonts w:hint="eastAsia"/>
          <w:szCs w:val="18"/>
        </w:rPr>
        <w:t>17</w:t>
      </w:r>
      <w:r w:rsidRPr="00F709E3">
        <w:rPr>
          <w:rFonts w:hint="eastAsia"/>
          <w:szCs w:val="18"/>
        </w:rPr>
        <w:t>日的咨询意见，联合国，《国际仲裁裁决汇编》，第十六卷</w:t>
      </w:r>
      <w:r w:rsidRPr="00F709E3">
        <w:rPr>
          <w:szCs w:val="18"/>
        </w:rPr>
        <w:t>(</w:t>
      </w:r>
      <w:r w:rsidRPr="00F709E3">
        <w:rPr>
          <w:rFonts w:hint="eastAsia"/>
          <w:szCs w:val="18"/>
        </w:rPr>
        <w:t>出售品编号</w:t>
      </w:r>
      <w:r w:rsidRPr="00F709E3">
        <w:rPr>
          <w:szCs w:val="18"/>
        </w:rPr>
        <w:t>E/F.69.V.1)</w:t>
      </w:r>
      <w:r w:rsidRPr="00F709E3">
        <w:rPr>
          <w:rFonts w:hint="eastAsia"/>
          <w:szCs w:val="18"/>
        </w:rPr>
        <w:t>，第</w:t>
      </w:r>
      <w:r w:rsidRPr="00F709E3">
        <w:rPr>
          <w:szCs w:val="18"/>
        </w:rPr>
        <w:t>75-108</w:t>
      </w:r>
      <w:r w:rsidRPr="00F709E3">
        <w:rPr>
          <w:rFonts w:hint="eastAsia"/>
          <w:szCs w:val="18"/>
        </w:rPr>
        <w:t>页，见第</w:t>
      </w:r>
      <w:r w:rsidRPr="00F709E3">
        <w:rPr>
          <w:szCs w:val="18"/>
        </w:rPr>
        <w:t>100</w:t>
      </w:r>
      <w:r w:rsidRPr="00F709E3">
        <w:rPr>
          <w:rFonts w:hint="eastAsia"/>
          <w:szCs w:val="18"/>
        </w:rPr>
        <w:t>页</w:t>
      </w:r>
      <w:r w:rsidRPr="00F709E3">
        <w:rPr>
          <w:szCs w:val="18"/>
        </w:rPr>
        <w:t>(</w:t>
      </w:r>
      <w:r w:rsidRPr="00F709E3">
        <w:rPr>
          <w:rFonts w:hint="eastAsia"/>
          <w:szCs w:val="18"/>
        </w:rPr>
        <w:t>“只有在事实上观察到的没有变化的恒定惯例可以构成一项习惯国际法规则，这是正确的”</w:t>
      </w:r>
      <w:r w:rsidRPr="00F709E3">
        <w:rPr>
          <w:szCs w:val="18"/>
        </w:rPr>
        <w:t>)</w:t>
      </w:r>
      <w:r w:rsidRPr="00F709E3">
        <w:rPr>
          <w:rFonts w:hint="eastAsia"/>
          <w:szCs w:val="18"/>
          <w:lang w:bidi="he-IL"/>
        </w:rPr>
        <w:t>。</w:t>
      </w:r>
    </w:p>
  </w:footnote>
  <w:footnote w:id="300">
    <w:p w:rsidR="00AB00DE" w:rsidRPr="00F709E3" w:rsidRDefault="00AB00DE" w:rsidP="00267AB1">
      <w:pPr>
        <w:pStyle w:val="a4"/>
        <w:tabs>
          <w:tab w:val="left" w:pos="2694"/>
        </w:tabs>
        <w:rPr>
          <w:szCs w:val="18"/>
        </w:rPr>
      </w:pPr>
      <w:r w:rsidRPr="00F709E3">
        <w:rPr>
          <w:rFonts w:hint="eastAsia"/>
          <w:szCs w:val="18"/>
        </w:rPr>
        <w:tab/>
      </w:r>
      <w:r w:rsidRPr="00DF5565">
        <w:rPr>
          <w:rStyle w:val="a5"/>
        </w:rPr>
        <w:footnoteRef/>
      </w:r>
      <w:r w:rsidRPr="00F709E3">
        <w:rPr>
          <w:rFonts w:hint="eastAsia"/>
          <w:szCs w:val="18"/>
        </w:rPr>
        <w:tab/>
      </w:r>
      <w:r w:rsidRPr="00F709E3">
        <w:rPr>
          <w:rFonts w:eastAsia="楷体" w:hint="eastAsia"/>
          <w:szCs w:val="18"/>
        </w:rPr>
        <w:t>“莲花号”案</w:t>
      </w:r>
      <w:r w:rsidRPr="00F709E3">
        <w:rPr>
          <w:szCs w:val="18"/>
        </w:rPr>
        <w:t>(</w:t>
      </w:r>
      <w:r w:rsidRPr="00F709E3">
        <w:rPr>
          <w:rFonts w:hint="eastAsia"/>
          <w:szCs w:val="18"/>
        </w:rPr>
        <w:t>见上文脚注</w:t>
      </w:r>
      <w:r>
        <w:rPr>
          <w:szCs w:val="18"/>
        </w:rPr>
        <w:fldChar w:fldCharType="begin"/>
      </w:r>
      <w:r>
        <w:rPr>
          <w:szCs w:val="18"/>
        </w:rPr>
        <w:instrText xml:space="preserve"> </w:instrText>
      </w:r>
      <w:r>
        <w:rPr>
          <w:rFonts w:hint="eastAsia"/>
          <w:szCs w:val="18"/>
        </w:rPr>
        <w:instrText>NOTEREF _Ref461974739 \h</w:instrText>
      </w:r>
      <w:r>
        <w:rPr>
          <w:szCs w:val="18"/>
        </w:rPr>
        <w:instrText xml:space="preserve"> </w:instrText>
      </w:r>
      <w:r>
        <w:rPr>
          <w:szCs w:val="18"/>
        </w:rPr>
      </w:r>
      <w:r>
        <w:rPr>
          <w:szCs w:val="18"/>
        </w:rPr>
        <w:fldChar w:fldCharType="separate"/>
      </w:r>
      <w:r w:rsidR="00A73EB9">
        <w:rPr>
          <w:szCs w:val="18"/>
        </w:rPr>
        <w:t>250</w:t>
      </w:r>
      <w:r>
        <w:rPr>
          <w:szCs w:val="18"/>
        </w:rPr>
        <w:fldChar w:fldCharType="end"/>
      </w:r>
      <w:r w:rsidRPr="00F709E3">
        <w:rPr>
          <w:szCs w:val="18"/>
        </w:rPr>
        <w:t>)</w:t>
      </w:r>
      <w:r w:rsidRPr="00F709E3">
        <w:rPr>
          <w:rFonts w:hint="eastAsia"/>
          <w:szCs w:val="18"/>
        </w:rPr>
        <w:t>，见第</w:t>
      </w:r>
      <w:r w:rsidRPr="00F709E3">
        <w:rPr>
          <w:rFonts w:hint="eastAsia"/>
          <w:szCs w:val="18"/>
        </w:rPr>
        <w:t>21</w:t>
      </w:r>
      <w:r w:rsidRPr="00F709E3">
        <w:rPr>
          <w:rFonts w:hint="eastAsia"/>
          <w:szCs w:val="18"/>
        </w:rPr>
        <w:t>页。另见</w:t>
      </w:r>
      <w:r w:rsidRPr="00F709E3">
        <w:rPr>
          <w:rFonts w:eastAsia="楷体"/>
          <w:iCs/>
          <w:szCs w:val="18"/>
        </w:rPr>
        <w:t>北海大陆架案</w:t>
      </w:r>
      <w:r w:rsidRPr="00F709E3">
        <w:rPr>
          <w:szCs w:val="18"/>
        </w:rPr>
        <w:t>(</w:t>
      </w:r>
      <w:r w:rsidRPr="00F709E3">
        <w:rPr>
          <w:rFonts w:hint="eastAsia"/>
          <w:szCs w:val="18"/>
        </w:rPr>
        <w:t>上文脚注</w:t>
      </w:r>
      <w:r>
        <w:rPr>
          <w:szCs w:val="18"/>
        </w:rPr>
        <w:fldChar w:fldCharType="begin"/>
      </w:r>
      <w:r>
        <w:rPr>
          <w:szCs w:val="18"/>
        </w:rPr>
        <w:instrText xml:space="preserve"> </w:instrText>
      </w:r>
      <w:r>
        <w:rPr>
          <w:rFonts w:hint="eastAsia"/>
          <w:szCs w:val="18"/>
        </w:rPr>
        <w:instrText>NOTEREF _Ref453666652 \h</w:instrText>
      </w:r>
      <w:r>
        <w:rPr>
          <w:szCs w:val="18"/>
        </w:rPr>
        <w:instrText xml:space="preserve"> </w:instrText>
      </w:r>
      <w:r>
        <w:rPr>
          <w:szCs w:val="18"/>
        </w:rPr>
      </w:r>
      <w:r>
        <w:rPr>
          <w:szCs w:val="18"/>
        </w:rPr>
        <w:fldChar w:fldCharType="separate"/>
      </w:r>
      <w:r w:rsidR="00A73EB9">
        <w:rPr>
          <w:szCs w:val="18"/>
        </w:rPr>
        <w:t>254</w:t>
      </w:r>
      <w:r>
        <w:rPr>
          <w:szCs w:val="18"/>
        </w:rPr>
        <w:fldChar w:fldCharType="end"/>
      </w:r>
      <w:r w:rsidRPr="00F709E3">
        <w:rPr>
          <w:szCs w:val="18"/>
        </w:rPr>
        <w:t>)</w:t>
      </w:r>
      <w:r w:rsidRPr="00F709E3">
        <w:rPr>
          <w:rFonts w:hint="eastAsia"/>
          <w:szCs w:val="18"/>
        </w:rPr>
        <w:t>，见第</w:t>
      </w:r>
      <w:r w:rsidRPr="00F709E3">
        <w:rPr>
          <w:szCs w:val="18"/>
        </w:rPr>
        <w:t>45</w:t>
      </w:r>
      <w:r w:rsidRPr="00F709E3">
        <w:rPr>
          <w:rFonts w:hint="eastAsia"/>
          <w:szCs w:val="18"/>
        </w:rPr>
        <w:t>页，第</w:t>
      </w:r>
      <w:r w:rsidRPr="00F709E3">
        <w:rPr>
          <w:szCs w:val="18"/>
        </w:rPr>
        <w:t>79</w:t>
      </w:r>
      <w:r w:rsidRPr="00F709E3">
        <w:rPr>
          <w:rFonts w:hint="eastAsia"/>
          <w:szCs w:val="18"/>
        </w:rPr>
        <w:t>段；</w:t>
      </w:r>
      <w:r w:rsidRPr="00F709E3">
        <w:rPr>
          <w:szCs w:val="18"/>
        </w:rPr>
        <w:t>塞拉利昂特别法庭，</w:t>
      </w:r>
      <w:r w:rsidRPr="00F709E3">
        <w:rPr>
          <w:rFonts w:eastAsia="楷体" w:hint="eastAsia"/>
          <w:szCs w:val="18"/>
        </w:rPr>
        <w:t>检察官诉</w:t>
      </w:r>
      <w:r w:rsidRPr="00F709E3">
        <w:rPr>
          <w:rFonts w:eastAsia="楷体"/>
          <w:szCs w:val="18"/>
        </w:rPr>
        <w:t>Moinina Fofana</w:t>
      </w:r>
      <w:r w:rsidRPr="00F709E3">
        <w:rPr>
          <w:rFonts w:eastAsia="楷体" w:hint="eastAsia"/>
          <w:szCs w:val="18"/>
        </w:rPr>
        <w:t>和</w:t>
      </w:r>
      <w:r w:rsidRPr="00F709E3">
        <w:rPr>
          <w:rFonts w:eastAsia="楷体"/>
          <w:szCs w:val="18"/>
        </w:rPr>
        <w:t>Allieu Kondewa</w:t>
      </w:r>
      <w:r w:rsidRPr="00F709E3">
        <w:rPr>
          <w:rFonts w:eastAsia="楷体" w:hint="eastAsia"/>
          <w:szCs w:val="18"/>
        </w:rPr>
        <w:t>案</w:t>
      </w:r>
      <w:r w:rsidRPr="00F709E3">
        <w:rPr>
          <w:szCs w:val="18"/>
        </w:rPr>
        <w:t>，</w:t>
      </w:r>
      <w:r w:rsidRPr="00F709E3">
        <w:rPr>
          <w:rFonts w:hint="eastAsia"/>
          <w:szCs w:val="18"/>
        </w:rPr>
        <w:t>案件号</w:t>
      </w:r>
      <w:r w:rsidRPr="00F709E3">
        <w:rPr>
          <w:szCs w:val="18"/>
        </w:rPr>
        <w:t>SCSL-04-14-A</w:t>
      </w:r>
      <w:r w:rsidRPr="00F709E3">
        <w:rPr>
          <w:rFonts w:hint="eastAsia"/>
          <w:szCs w:val="18"/>
        </w:rPr>
        <w:t>，判决</w:t>
      </w:r>
      <w:r w:rsidRPr="00F709E3">
        <w:rPr>
          <w:szCs w:val="18"/>
        </w:rPr>
        <w:t>(</w:t>
      </w:r>
      <w:r w:rsidRPr="00F709E3">
        <w:rPr>
          <w:rFonts w:hint="eastAsia"/>
          <w:szCs w:val="18"/>
        </w:rPr>
        <w:t>上诉分庭</w:t>
      </w:r>
      <w:r w:rsidRPr="00F709E3">
        <w:rPr>
          <w:szCs w:val="18"/>
        </w:rPr>
        <w:t>)</w:t>
      </w:r>
      <w:r w:rsidRPr="00F709E3">
        <w:rPr>
          <w:rFonts w:hint="eastAsia"/>
          <w:szCs w:val="18"/>
        </w:rPr>
        <w:t>，</w:t>
      </w:r>
      <w:r w:rsidRPr="00F709E3">
        <w:rPr>
          <w:szCs w:val="18"/>
        </w:rPr>
        <w:t>2008</w:t>
      </w:r>
      <w:r w:rsidRPr="00F709E3">
        <w:rPr>
          <w:rFonts w:hint="eastAsia"/>
          <w:szCs w:val="18"/>
        </w:rPr>
        <w:t>年</w:t>
      </w:r>
      <w:r w:rsidRPr="00F709E3">
        <w:rPr>
          <w:rFonts w:hint="eastAsia"/>
          <w:szCs w:val="18"/>
        </w:rPr>
        <w:t>5</w:t>
      </w:r>
      <w:r w:rsidRPr="00F709E3">
        <w:rPr>
          <w:rFonts w:hint="eastAsia"/>
          <w:szCs w:val="18"/>
        </w:rPr>
        <w:t>月</w:t>
      </w:r>
      <w:r w:rsidRPr="00F709E3">
        <w:rPr>
          <w:rFonts w:hint="eastAsia"/>
          <w:szCs w:val="18"/>
        </w:rPr>
        <w:t>28</w:t>
      </w:r>
      <w:r w:rsidRPr="00F709E3">
        <w:rPr>
          <w:rFonts w:hint="eastAsia"/>
          <w:szCs w:val="18"/>
        </w:rPr>
        <w:t>日，第</w:t>
      </w:r>
      <w:r w:rsidRPr="00F709E3">
        <w:rPr>
          <w:rFonts w:hint="eastAsia"/>
          <w:szCs w:val="18"/>
        </w:rPr>
        <w:t>406</w:t>
      </w:r>
      <w:r w:rsidRPr="00F709E3">
        <w:rPr>
          <w:rFonts w:hint="eastAsia"/>
          <w:szCs w:val="18"/>
        </w:rPr>
        <w:t>段。</w:t>
      </w:r>
    </w:p>
  </w:footnote>
  <w:footnote w:id="301">
    <w:p w:rsidR="00AB00DE" w:rsidRPr="00F709E3" w:rsidRDefault="00AB00DE" w:rsidP="00267AB1">
      <w:pPr>
        <w:pStyle w:val="a4"/>
        <w:rPr>
          <w:szCs w:val="18"/>
        </w:rPr>
      </w:pPr>
      <w:r w:rsidRPr="00F709E3">
        <w:rPr>
          <w:rFonts w:hint="eastAsia"/>
          <w:szCs w:val="18"/>
        </w:rPr>
        <w:tab/>
      </w:r>
      <w:r w:rsidRPr="00DF5565">
        <w:rPr>
          <w:rStyle w:val="a5"/>
        </w:rPr>
        <w:footnoteRef/>
      </w:r>
      <w:r w:rsidRPr="00F709E3">
        <w:rPr>
          <w:rFonts w:hint="eastAsia"/>
          <w:szCs w:val="18"/>
        </w:rPr>
        <w:tab/>
      </w:r>
      <w:r w:rsidRPr="00F709E3">
        <w:rPr>
          <w:rFonts w:eastAsia="楷体"/>
          <w:iCs/>
          <w:szCs w:val="18"/>
        </w:rPr>
        <w:t>尼加拉瓜境内和针对尼加拉瓜的军事和准军事活动案</w:t>
      </w:r>
      <w:r w:rsidRPr="00F709E3">
        <w:rPr>
          <w:szCs w:val="18"/>
        </w:rPr>
        <w:t>(</w:t>
      </w:r>
      <w:r w:rsidRPr="00F709E3">
        <w:rPr>
          <w:rFonts w:hint="eastAsia"/>
          <w:szCs w:val="18"/>
        </w:rPr>
        <w:t>见上文脚注</w:t>
      </w:r>
      <w:r>
        <w:fldChar w:fldCharType="begin"/>
      </w:r>
      <w:r>
        <w:instrText xml:space="preserve"> </w:instrText>
      </w:r>
      <w:r>
        <w:rPr>
          <w:rFonts w:hint="eastAsia"/>
        </w:rPr>
        <w:instrText>NOTEREF _Ref461975037 \h</w:instrText>
      </w:r>
      <w:r>
        <w:instrText xml:space="preserve"> </w:instrText>
      </w:r>
      <w:r>
        <w:fldChar w:fldCharType="separate"/>
      </w:r>
      <w:r w:rsidR="00A73EB9">
        <w:t>246</w:t>
      </w:r>
      <w:r>
        <w:fldChar w:fldCharType="end"/>
      </w:r>
      <w:r w:rsidRPr="00F709E3">
        <w:rPr>
          <w:szCs w:val="18"/>
        </w:rPr>
        <w:t>)</w:t>
      </w:r>
      <w:r w:rsidRPr="00F709E3">
        <w:rPr>
          <w:rFonts w:hint="eastAsia"/>
          <w:szCs w:val="18"/>
        </w:rPr>
        <w:t>，见第</w:t>
      </w:r>
      <w:r w:rsidRPr="00F709E3">
        <w:rPr>
          <w:szCs w:val="18"/>
        </w:rPr>
        <w:t>98</w:t>
      </w:r>
      <w:r w:rsidRPr="00F709E3">
        <w:rPr>
          <w:rFonts w:hint="eastAsia"/>
          <w:szCs w:val="18"/>
        </w:rPr>
        <w:t>页，第</w:t>
      </w:r>
      <w:r w:rsidRPr="00F709E3">
        <w:rPr>
          <w:szCs w:val="18"/>
        </w:rPr>
        <w:t>186</w:t>
      </w:r>
      <w:r w:rsidRPr="00F709E3">
        <w:rPr>
          <w:rFonts w:hint="eastAsia"/>
          <w:szCs w:val="18"/>
        </w:rPr>
        <w:t>段。</w:t>
      </w:r>
    </w:p>
  </w:footnote>
  <w:footnote w:id="302">
    <w:p w:rsidR="00AB00DE" w:rsidRPr="00F709E3" w:rsidRDefault="00AB00DE" w:rsidP="00F709E3">
      <w:pPr>
        <w:pStyle w:val="a4"/>
        <w:rPr>
          <w:szCs w:val="18"/>
        </w:rPr>
      </w:pPr>
      <w:r w:rsidRPr="00F709E3">
        <w:rPr>
          <w:rFonts w:hint="eastAsia"/>
          <w:szCs w:val="18"/>
        </w:rPr>
        <w:tab/>
      </w:r>
      <w:r w:rsidRPr="00DF5565">
        <w:rPr>
          <w:rStyle w:val="a5"/>
        </w:rPr>
        <w:footnoteRef/>
      </w:r>
      <w:r w:rsidRPr="00F709E3">
        <w:rPr>
          <w:rFonts w:hint="eastAsia"/>
          <w:szCs w:val="18"/>
        </w:rPr>
        <w:tab/>
      </w:r>
      <w:r w:rsidRPr="00F709E3">
        <w:rPr>
          <w:rFonts w:hint="eastAsia"/>
          <w:szCs w:val="18"/>
        </w:rPr>
        <w:t>同上。例如，另见</w:t>
      </w:r>
      <w:r w:rsidRPr="00F709E3">
        <w:rPr>
          <w:rFonts w:eastAsia="楷体" w:hint="eastAsia"/>
          <w:szCs w:val="18"/>
        </w:rPr>
        <w:t>检察官诉萨姆·辛加·诺曼案</w:t>
      </w:r>
      <w:r w:rsidRPr="00F709E3">
        <w:rPr>
          <w:szCs w:val="18"/>
        </w:rPr>
        <w:t>(</w:t>
      </w:r>
      <w:r w:rsidRPr="00F709E3">
        <w:rPr>
          <w:rFonts w:hint="eastAsia"/>
          <w:szCs w:val="18"/>
        </w:rPr>
        <w:t>上文脚注</w:t>
      </w:r>
      <w:r w:rsidRPr="00F709E3">
        <w:rPr>
          <w:szCs w:val="18"/>
        </w:rPr>
        <w:fldChar w:fldCharType="begin"/>
      </w:r>
      <w:r w:rsidRPr="00F709E3">
        <w:rPr>
          <w:szCs w:val="18"/>
        </w:rPr>
        <w:instrText xml:space="preserve"> NOTEREF _Ref453683819 \h  \* MERGEFORMAT </w:instrText>
      </w:r>
      <w:r w:rsidRPr="00F709E3">
        <w:rPr>
          <w:szCs w:val="18"/>
        </w:rPr>
      </w:r>
      <w:r w:rsidRPr="00F709E3">
        <w:rPr>
          <w:szCs w:val="18"/>
        </w:rPr>
        <w:fldChar w:fldCharType="separate"/>
      </w:r>
      <w:r w:rsidR="00A73EB9">
        <w:rPr>
          <w:szCs w:val="18"/>
        </w:rPr>
        <w:t>258</w:t>
      </w:r>
      <w:r w:rsidRPr="00F709E3">
        <w:rPr>
          <w:szCs w:val="18"/>
        </w:rPr>
        <w:fldChar w:fldCharType="end"/>
      </w:r>
      <w:r w:rsidRPr="00F709E3">
        <w:rPr>
          <w:szCs w:val="18"/>
        </w:rPr>
        <w:t>)</w:t>
      </w:r>
      <w:r w:rsidRPr="00F709E3">
        <w:rPr>
          <w:rFonts w:hint="eastAsia"/>
          <w:szCs w:val="18"/>
          <w:lang w:bidi="he-IL"/>
        </w:rPr>
        <w:t>，第</w:t>
      </w:r>
      <w:r w:rsidRPr="00F709E3">
        <w:rPr>
          <w:szCs w:val="18"/>
          <w:lang w:bidi="he-IL"/>
        </w:rPr>
        <w:t>51</w:t>
      </w:r>
      <w:r w:rsidRPr="00F709E3">
        <w:rPr>
          <w:rFonts w:hint="eastAsia"/>
          <w:szCs w:val="18"/>
          <w:lang w:bidi="he-IL"/>
        </w:rPr>
        <w:t>段。</w:t>
      </w:r>
      <w:r w:rsidRPr="00F709E3">
        <w:rPr>
          <w:rFonts w:hint="eastAsia"/>
          <w:szCs w:val="18"/>
        </w:rPr>
        <w:t>在评估具体国家的惯例时同理：见上文结论草案</w:t>
      </w:r>
      <w:r w:rsidRPr="00F709E3">
        <w:rPr>
          <w:rFonts w:hint="eastAsia"/>
          <w:szCs w:val="18"/>
        </w:rPr>
        <w:t>7</w:t>
      </w:r>
      <w:r w:rsidRPr="00F709E3">
        <w:rPr>
          <w:rFonts w:hint="eastAsia"/>
          <w:szCs w:val="18"/>
        </w:rPr>
        <w:t>。</w:t>
      </w:r>
    </w:p>
  </w:footnote>
  <w:footnote w:id="303">
    <w:p w:rsidR="00AB00DE" w:rsidRPr="00F709E3" w:rsidRDefault="00AB00DE" w:rsidP="00F709E3">
      <w:pPr>
        <w:pStyle w:val="a4"/>
        <w:rPr>
          <w:szCs w:val="18"/>
        </w:rPr>
      </w:pPr>
      <w:r w:rsidRPr="00F709E3">
        <w:rPr>
          <w:rFonts w:hint="eastAsia"/>
          <w:szCs w:val="18"/>
        </w:rPr>
        <w:tab/>
      </w:r>
      <w:r w:rsidRPr="00DF5565">
        <w:rPr>
          <w:rStyle w:val="a5"/>
        </w:rPr>
        <w:footnoteRef/>
      </w:r>
      <w:r w:rsidRPr="00F709E3">
        <w:rPr>
          <w:rFonts w:hint="eastAsia"/>
          <w:szCs w:val="18"/>
        </w:rPr>
        <w:tab/>
      </w:r>
      <w:r w:rsidRPr="00F709E3">
        <w:rPr>
          <w:rFonts w:hint="eastAsia"/>
          <w:szCs w:val="18"/>
        </w:rPr>
        <w:t>举例而言，在国际空间法或海洋法等领域，习惯国际法在若干场合发展迅速。</w:t>
      </w:r>
    </w:p>
  </w:footnote>
  <w:footnote w:id="304">
    <w:p w:rsidR="00AB00DE" w:rsidRPr="00F709E3" w:rsidRDefault="00AB00DE" w:rsidP="00F709E3">
      <w:pPr>
        <w:pStyle w:val="a4"/>
        <w:rPr>
          <w:szCs w:val="18"/>
        </w:rPr>
      </w:pPr>
      <w:r w:rsidRPr="00F709E3">
        <w:rPr>
          <w:rFonts w:hint="eastAsia"/>
          <w:szCs w:val="18"/>
        </w:rPr>
        <w:tab/>
      </w:r>
      <w:r w:rsidRPr="00DF5565">
        <w:rPr>
          <w:rStyle w:val="a5"/>
        </w:rPr>
        <w:footnoteRef/>
      </w:r>
      <w:r w:rsidRPr="00F709E3">
        <w:rPr>
          <w:rFonts w:hint="eastAsia"/>
          <w:szCs w:val="18"/>
        </w:rPr>
        <w:tab/>
      </w:r>
      <w:r w:rsidRPr="00F709E3">
        <w:rPr>
          <w:rFonts w:eastAsia="楷体"/>
          <w:iCs/>
          <w:szCs w:val="18"/>
        </w:rPr>
        <w:t>北海大陆架案</w:t>
      </w:r>
      <w:r w:rsidRPr="00F709E3">
        <w:rPr>
          <w:szCs w:val="18"/>
        </w:rPr>
        <w:t>(</w:t>
      </w:r>
      <w:r w:rsidRPr="00F709E3">
        <w:rPr>
          <w:rFonts w:hint="eastAsia"/>
          <w:szCs w:val="18"/>
        </w:rPr>
        <w:t>见上文脚注</w:t>
      </w:r>
      <w:r w:rsidRPr="00F709E3">
        <w:rPr>
          <w:szCs w:val="18"/>
        </w:rPr>
        <w:fldChar w:fldCharType="begin"/>
      </w:r>
      <w:r w:rsidRPr="00F709E3">
        <w:rPr>
          <w:szCs w:val="18"/>
        </w:rPr>
        <w:instrText xml:space="preserve"> NOTEREF _Ref453666652 \h  \* MERGEFORMAT </w:instrText>
      </w:r>
      <w:r w:rsidRPr="00F709E3">
        <w:rPr>
          <w:szCs w:val="18"/>
        </w:rPr>
      </w:r>
      <w:r w:rsidRPr="00F709E3">
        <w:rPr>
          <w:szCs w:val="18"/>
        </w:rPr>
        <w:fldChar w:fldCharType="separate"/>
      </w:r>
      <w:r w:rsidR="00A73EB9">
        <w:rPr>
          <w:szCs w:val="18"/>
        </w:rPr>
        <w:t>254</w:t>
      </w:r>
      <w:r w:rsidRPr="00F709E3">
        <w:rPr>
          <w:szCs w:val="18"/>
        </w:rPr>
        <w:fldChar w:fldCharType="end"/>
      </w:r>
      <w:r w:rsidRPr="00F709E3">
        <w:rPr>
          <w:szCs w:val="18"/>
        </w:rPr>
        <w:t>)</w:t>
      </w:r>
      <w:r w:rsidRPr="00F709E3">
        <w:rPr>
          <w:rFonts w:hint="eastAsia"/>
          <w:szCs w:val="18"/>
        </w:rPr>
        <w:t>，见第</w:t>
      </w:r>
      <w:r w:rsidRPr="00F709E3">
        <w:rPr>
          <w:szCs w:val="18"/>
        </w:rPr>
        <w:t>43</w:t>
      </w:r>
      <w:r w:rsidRPr="00F709E3">
        <w:rPr>
          <w:rFonts w:hint="eastAsia"/>
          <w:szCs w:val="18"/>
        </w:rPr>
        <w:t>页，第</w:t>
      </w:r>
      <w:r w:rsidRPr="00F709E3">
        <w:rPr>
          <w:szCs w:val="18"/>
        </w:rPr>
        <w:t>74</w:t>
      </w:r>
      <w:r w:rsidRPr="00F709E3">
        <w:rPr>
          <w:rFonts w:hint="eastAsia"/>
          <w:szCs w:val="18"/>
        </w:rPr>
        <w:t>段。</w:t>
      </w:r>
    </w:p>
  </w:footnote>
  <w:footnote w:id="305">
    <w:p w:rsidR="00AB00DE" w:rsidRPr="00F709E3" w:rsidRDefault="00AB00DE" w:rsidP="00F709E3">
      <w:pPr>
        <w:pStyle w:val="a4"/>
        <w:rPr>
          <w:szCs w:val="18"/>
        </w:rPr>
      </w:pPr>
      <w:r w:rsidRPr="00F709E3">
        <w:rPr>
          <w:rFonts w:hint="eastAsia"/>
          <w:szCs w:val="18"/>
        </w:rPr>
        <w:tab/>
      </w:r>
      <w:r w:rsidRPr="00DF5565">
        <w:rPr>
          <w:rStyle w:val="a5"/>
        </w:rPr>
        <w:footnoteRef/>
      </w:r>
      <w:r w:rsidRPr="00F709E3">
        <w:rPr>
          <w:rFonts w:hint="eastAsia"/>
          <w:szCs w:val="18"/>
        </w:rPr>
        <w:tab/>
      </w:r>
      <w:r w:rsidRPr="00F709E3">
        <w:rPr>
          <w:rFonts w:hint="eastAsia"/>
          <w:szCs w:val="18"/>
        </w:rPr>
        <w:t>同上，见第</w:t>
      </w:r>
      <w:r w:rsidRPr="00F709E3">
        <w:rPr>
          <w:rFonts w:hint="eastAsia"/>
          <w:szCs w:val="18"/>
        </w:rPr>
        <w:t>77</w:t>
      </w:r>
      <w:r w:rsidRPr="00F709E3">
        <w:rPr>
          <w:rFonts w:hint="eastAsia"/>
          <w:szCs w:val="18"/>
        </w:rPr>
        <w:t>段；另同上，见第</w:t>
      </w:r>
      <w:r w:rsidRPr="00F709E3">
        <w:rPr>
          <w:rFonts w:hint="eastAsia"/>
          <w:szCs w:val="18"/>
        </w:rPr>
        <w:t>76</w:t>
      </w:r>
      <w:r w:rsidRPr="00F709E3">
        <w:rPr>
          <w:rFonts w:hint="eastAsia"/>
          <w:szCs w:val="18"/>
        </w:rPr>
        <w:t>段</w:t>
      </w:r>
      <w:r w:rsidRPr="00F709E3">
        <w:rPr>
          <w:rFonts w:hint="eastAsia"/>
          <w:szCs w:val="18"/>
        </w:rPr>
        <w:t>(</w:t>
      </w:r>
      <w:r w:rsidRPr="00F709E3">
        <w:rPr>
          <w:rFonts w:hint="eastAsia"/>
          <w:szCs w:val="18"/>
        </w:rPr>
        <w:t>提及一项要求，即各国“相信自己是在适用习惯国际法的一项强制性规则”</w:t>
      </w:r>
      <w:r w:rsidRPr="00F709E3">
        <w:rPr>
          <w:rFonts w:hint="eastAsia"/>
          <w:szCs w:val="18"/>
        </w:rPr>
        <w:t>)</w:t>
      </w:r>
      <w:r w:rsidRPr="00F709E3">
        <w:rPr>
          <w:rFonts w:hint="eastAsia"/>
          <w:szCs w:val="18"/>
        </w:rPr>
        <w:t>。</w:t>
      </w:r>
    </w:p>
  </w:footnote>
  <w:footnote w:id="306">
    <w:p w:rsidR="00AB00DE" w:rsidRPr="00F709E3" w:rsidRDefault="00AB00DE" w:rsidP="00267AB1">
      <w:pPr>
        <w:pStyle w:val="a4"/>
        <w:rPr>
          <w:szCs w:val="18"/>
        </w:rPr>
      </w:pPr>
      <w:r w:rsidRPr="00F709E3">
        <w:rPr>
          <w:snapToGrid/>
          <w:szCs w:val="18"/>
        </w:rPr>
        <w:tab/>
      </w:r>
      <w:r w:rsidRPr="00DF5565">
        <w:rPr>
          <w:rStyle w:val="a5"/>
        </w:rPr>
        <w:footnoteRef/>
      </w:r>
      <w:r w:rsidRPr="00F709E3">
        <w:rPr>
          <w:snapToGrid/>
          <w:szCs w:val="18"/>
        </w:rPr>
        <w:tab/>
      </w:r>
      <w:r w:rsidRPr="00F709E3">
        <w:rPr>
          <w:rFonts w:ascii="Time New Roman" w:eastAsia="楷体" w:hAnsi="Time New Roman" w:hint="eastAsia"/>
          <w:szCs w:val="18"/>
        </w:rPr>
        <w:t>哥伦比亚</w:t>
      </w:r>
      <w:r w:rsidRPr="00F709E3">
        <w:rPr>
          <w:rFonts w:ascii="Time New Roman" w:eastAsia="楷体" w:hAnsi="Time New Roman" w:hint="eastAsia"/>
          <w:snapToGrid/>
          <w:szCs w:val="18"/>
        </w:rPr>
        <w:t>－</w:t>
      </w:r>
      <w:r w:rsidRPr="00F709E3">
        <w:rPr>
          <w:rFonts w:ascii="Time New Roman" w:eastAsia="楷体" w:hAnsi="Time New Roman" w:hint="eastAsia"/>
          <w:szCs w:val="18"/>
        </w:rPr>
        <w:t>秘鲁庇护权案</w:t>
      </w:r>
      <w:r w:rsidRPr="00F709E3">
        <w:rPr>
          <w:rFonts w:hint="eastAsia"/>
          <w:szCs w:val="18"/>
        </w:rPr>
        <w:t>(</w:t>
      </w:r>
      <w:r w:rsidRPr="00F709E3">
        <w:rPr>
          <w:rFonts w:hint="eastAsia"/>
          <w:szCs w:val="18"/>
        </w:rPr>
        <w:t>见上文脚注</w:t>
      </w:r>
      <w:r>
        <w:rPr>
          <w:szCs w:val="18"/>
        </w:rPr>
        <w:fldChar w:fldCharType="begin"/>
      </w:r>
      <w:r>
        <w:rPr>
          <w:szCs w:val="18"/>
        </w:rPr>
        <w:instrText xml:space="preserve"> </w:instrText>
      </w:r>
      <w:r>
        <w:rPr>
          <w:rFonts w:hint="eastAsia"/>
          <w:szCs w:val="18"/>
        </w:rPr>
        <w:instrText>NOTEREF _Ref461975016 \h</w:instrText>
      </w:r>
      <w:r>
        <w:rPr>
          <w:szCs w:val="18"/>
        </w:rPr>
        <w:instrText xml:space="preserve"> </w:instrText>
      </w:r>
      <w:r>
        <w:rPr>
          <w:szCs w:val="18"/>
        </w:rPr>
      </w:r>
      <w:r>
        <w:rPr>
          <w:szCs w:val="18"/>
        </w:rPr>
        <w:fldChar w:fldCharType="separate"/>
      </w:r>
      <w:r w:rsidR="00A73EB9">
        <w:rPr>
          <w:szCs w:val="18"/>
        </w:rPr>
        <w:t>257</w:t>
      </w:r>
      <w:r>
        <w:rPr>
          <w:szCs w:val="18"/>
        </w:rPr>
        <w:fldChar w:fldCharType="end"/>
      </w:r>
      <w:r w:rsidRPr="00F709E3">
        <w:rPr>
          <w:rFonts w:hint="eastAsia"/>
          <w:szCs w:val="18"/>
        </w:rPr>
        <w:t>)</w:t>
      </w:r>
      <w:r w:rsidRPr="00F709E3">
        <w:rPr>
          <w:rFonts w:hint="eastAsia"/>
          <w:szCs w:val="18"/>
        </w:rPr>
        <w:t>，见第</w:t>
      </w:r>
      <w:r w:rsidRPr="00F709E3">
        <w:rPr>
          <w:rFonts w:hint="eastAsia"/>
          <w:szCs w:val="18"/>
        </w:rPr>
        <w:t>277</w:t>
      </w:r>
      <w:r w:rsidRPr="00F709E3">
        <w:rPr>
          <w:rFonts w:hint="eastAsia"/>
          <w:szCs w:val="18"/>
        </w:rPr>
        <w:t>和第</w:t>
      </w:r>
      <w:r w:rsidRPr="00F709E3">
        <w:rPr>
          <w:rFonts w:hint="eastAsia"/>
          <w:szCs w:val="18"/>
        </w:rPr>
        <w:t>286</w:t>
      </w:r>
      <w:r w:rsidRPr="00F709E3">
        <w:rPr>
          <w:rFonts w:hint="eastAsia"/>
          <w:szCs w:val="18"/>
        </w:rPr>
        <w:t>页。另见“</w:t>
      </w:r>
      <w:r w:rsidRPr="00F709E3">
        <w:rPr>
          <w:rFonts w:ascii="Time New Roman" w:eastAsia="楷体" w:hAnsi="Time New Roman" w:hint="eastAsia"/>
          <w:szCs w:val="18"/>
        </w:rPr>
        <w:t>莲花号</w:t>
      </w:r>
      <w:r w:rsidRPr="00F709E3">
        <w:rPr>
          <w:rFonts w:hint="eastAsia"/>
          <w:szCs w:val="18"/>
        </w:rPr>
        <w:t>”</w:t>
      </w:r>
      <w:r w:rsidRPr="00F709E3">
        <w:rPr>
          <w:rFonts w:ascii="Time New Roman" w:eastAsia="楷体" w:hAnsi="Time New Roman" w:hint="eastAsia"/>
          <w:szCs w:val="18"/>
        </w:rPr>
        <w:t>案</w:t>
      </w:r>
      <w:r w:rsidRPr="00F709E3">
        <w:rPr>
          <w:rFonts w:hint="eastAsia"/>
          <w:szCs w:val="18"/>
        </w:rPr>
        <w:t>(</w:t>
      </w:r>
      <w:r w:rsidRPr="00F709E3">
        <w:rPr>
          <w:rFonts w:hint="eastAsia"/>
          <w:szCs w:val="18"/>
        </w:rPr>
        <w:t>上文脚注</w:t>
      </w:r>
      <w:r>
        <w:rPr>
          <w:szCs w:val="18"/>
        </w:rPr>
        <w:fldChar w:fldCharType="begin"/>
      </w:r>
      <w:r>
        <w:rPr>
          <w:szCs w:val="18"/>
        </w:rPr>
        <w:instrText xml:space="preserve"> </w:instrText>
      </w:r>
      <w:r>
        <w:rPr>
          <w:rFonts w:hint="eastAsia"/>
          <w:szCs w:val="18"/>
        </w:rPr>
        <w:instrText>NOTEREF _Ref461974739 \h</w:instrText>
      </w:r>
      <w:r>
        <w:rPr>
          <w:szCs w:val="18"/>
        </w:rPr>
        <w:instrText xml:space="preserve"> </w:instrText>
      </w:r>
      <w:r>
        <w:rPr>
          <w:szCs w:val="18"/>
        </w:rPr>
      </w:r>
      <w:r>
        <w:rPr>
          <w:szCs w:val="18"/>
        </w:rPr>
        <w:fldChar w:fldCharType="separate"/>
      </w:r>
      <w:r w:rsidR="00A73EB9">
        <w:rPr>
          <w:szCs w:val="18"/>
        </w:rPr>
        <w:t>250</w:t>
      </w:r>
      <w:r>
        <w:rPr>
          <w:szCs w:val="18"/>
        </w:rPr>
        <w:fldChar w:fldCharType="end"/>
      </w:r>
      <w:r w:rsidRPr="00F709E3">
        <w:rPr>
          <w:rFonts w:hint="eastAsia"/>
          <w:szCs w:val="18"/>
        </w:rPr>
        <w:t>)</w:t>
      </w:r>
      <w:r w:rsidRPr="00F709E3">
        <w:rPr>
          <w:rFonts w:hint="eastAsia"/>
          <w:szCs w:val="18"/>
        </w:rPr>
        <w:t>，见第</w:t>
      </w:r>
      <w:r w:rsidRPr="00F709E3">
        <w:rPr>
          <w:rFonts w:hint="eastAsia"/>
          <w:szCs w:val="18"/>
        </w:rPr>
        <w:t>28</w:t>
      </w:r>
      <w:r w:rsidRPr="00F709E3">
        <w:rPr>
          <w:rFonts w:hint="eastAsia"/>
          <w:szCs w:val="18"/>
        </w:rPr>
        <w:t>页</w:t>
      </w:r>
      <w:r w:rsidRPr="00F709E3">
        <w:rPr>
          <w:rFonts w:hint="eastAsia"/>
          <w:szCs w:val="18"/>
        </w:rPr>
        <w:t>(</w:t>
      </w:r>
      <w:r w:rsidRPr="00F709E3">
        <w:rPr>
          <w:rFonts w:hint="eastAsia"/>
          <w:szCs w:val="18"/>
        </w:rPr>
        <w:t>“即使在所报告的案件中罕见的司法裁决足以证明实际情形……这也只会表明，各国常常在实践中放弃刑事诉讼，而不是它们认为自己有义务这样做；因为只有此种放弃行为是基于它们意识到有责任放弃，才有可能称得上国际习惯。声称的事实无法使人推断国家意识到有此种义务；另一方面……有被认为能够证明情况恰恰相反的其他情形”</w:t>
      </w:r>
      <w:r w:rsidRPr="00F709E3">
        <w:rPr>
          <w:rFonts w:hint="eastAsia"/>
          <w:szCs w:val="18"/>
        </w:rPr>
        <w:t>)</w:t>
      </w:r>
      <w:r w:rsidRPr="00F709E3">
        <w:rPr>
          <w:rFonts w:hint="eastAsia"/>
          <w:szCs w:val="18"/>
        </w:rPr>
        <w:t>；</w:t>
      </w:r>
      <w:r w:rsidRPr="00F709E3">
        <w:rPr>
          <w:rFonts w:ascii="Time New Roman" w:eastAsia="楷体" w:hAnsi="Time New Roman" w:hint="eastAsia"/>
          <w:szCs w:val="18"/>
        </w:rPr>
        <w:t>在尼加拉瓜和针对尼加拉瓜的军事和准军事活动案</w:t>
      </w:r>
      <w:r w:rsidRPr="00F709E3">
        <w:rPr>
          <w:rFonts w:hint="eastAsia"/>
          <w:szCs w:val="18"/>
        </w:rPr>
        <w:t>(</w:t>
      </w:r>
      <w:r w:rsidRPr="00F709E3">
        <w:rPr>
          <w:rFonts w:hint="eastAsia"/>
          <w:szCs w:val="18"/>
        </w:rPr>
        <w:t>见上文脚注</w:t>
      </w:r>
      <w:r>
        <w:fldChar w:fldCharType="begin"/>
      </w:r>
      <w:r>
        <w:instrText xml:space="preserve"> </w:instrText>
      </w:r>
      <w:r>
        <w:rPr>
          <w:rFonts w:hint="eastAsia"/>
        </w:rPr>
        <w:instrText>NOTEREF _Ref461975037 \h</w:instrText>
      </w:r>
      <w:r>
        <w:instrText xml:space="preserve"> </w:instrText>
      </w:r>
      <w:r>
        <w:fldChar w:fldCharType="separate"/>
      </w:r>
      <w:r w:rsidR="00A73EB9">
        <w:t>246</w:t>
      </w:r>
      <w:r>
        <w:fldChar w:fldCharType="end"/>
      </w:r>
      <w:r w:rsidRPr="00F709E3">
        <w:rPr>
          <w:rFonts w:hint="eastAsia"/>
          <w:szCs w:val="18"/>
        </w:rPr>
        <w:t>)</w:t>
      </w:r>
      <w:r w:rsidRPr="00F709E3">
        <w:rPr>
          <w:rFonts w:hint="eastAsia"/>
          <w:szCs w:val="18"/>
        </w:rPr>
        <w:t>；第</w:t>
      </w:r>
      <w:r w:rsidRPr="00F709E3">
        <w:rPr>
          <w:rFonts w:hint="eastAsia"/>
          <w:szCs w:val="18"/>
        </w:rPr>
        <w:t>108-110</w:t>
      </w:r>
      <w:r w:rsidRPr="00F709E3">
        <w:rPr>
          <w:rFonts w:hint="eastAsia"/>
          <w:szCs w:val="18"/>
        </w:rPr>
        <w:t>页，第</w:t>
      </w:r>
      <w:r w:rsidRPr="00F709E3">
        <w:rPr>
          <w:rFonts w:hint="eastAsia"/>
          <w:szCs w:val="18"/>
        </w:rPr>
        <w:t>206-209</w:t>
      </w:r>
      <w:r w:rsidRPr="00F709E3">
        <w:rPr>
          <w:rFonts w:hint="eastAsia"/>
          <w:szCs w:val="18"/>
        </w:rPr>
        <w:t>段。</w:t>
      </w:r>
    </w:p>
  </w:footnote>
  <w:footnote w:id="307">
    <w:p w:rsidR="00AB00DE" w:rsidRPr="00F709E3" w:rsidRDefault="00AB00DE" w:rsidP="00267AB1">
      <w:pPr>
        <w:pStyle w:val="a4"/>
        <w:rPr>
          <w:szCs w:val="18"/>
        </w:rPr>
      </w:pPr>
      <w:r w:rsidRPr="00F709E3">
        <w:rPr>
          <w:snapToGrid/>
          <w:szCs w:val="18"/>
        </w:rPr>
        <w:tab/>
      </w:r>
      <w:r w:rsidRPr="00DF5565">
        <w:rPr>
          <w:rStyle w:val="a5"/>
        </w:rPr>
        <w:footnoteRef/>
      </w:r>
      <w:r w:rsidRPr="00F709E3">
        <w:rPr>
          <w:snapToGrid/>
          <w:szCs w:val="18"/>
        </w:rPr>
        <w:tab/>
      </w:r>
      <w:r w:rsidRPr="00F709E3">
        <w:rPr>
          <w:rFonts w:hint="eastAsia"/>
          <w:snapToGrid/>
          <w:szCs w:val="18"/>
        </w:rPr>
        <w:t>例如</w:t>
      </w:r>
      <w:r w:rsidRPr="00F709E3">
        <w:rPr>
          <w:rFonts w:hint="eastAsia"/>
          <w:szCs w:val="18"/>
        </w:rPr>
        <w:t>另见</w:t>
      </w:r>
      <w:r w:rsidRPr="00F709E3">
        <w:rPr>
          <w:rFonts w:ascii="Time New Roman" w:eastAsia="楷体" w:hAnsi="Time New Roman" w:hint="eastAsia"/>
          <w:szCs w:val="18"/>
        </w:rPr>
        <w:t>北海大陆架案</w:t>
      </w:r>
      <w:r w:rsidRPr="00F709E3">
        <w:rPr>
          <w:rFonts w:hint="eastAsia"/>
          <w:szCs w:val="18"/>
        </w:rPr>
        <w:t>(</w:t>
      </w:r>
      <w:r w:rsidRPr="00F709E3">
        <w:rPr>
          <w:rFonts w:hint="eastAsia"/>
          <w:szCs w:val="18"/>
        </w:rPr>
        <w:t>上文脚注</w:t>
      </w:r>
      <w:r>
        <w:rPr>
          <w:szCs w:val="18"/>
        </w:rPr>
        <w:fldChar w:fldCharType="begin"/>
      </w:r>
      <w:r>
        <w:rPr>
          <w:szCs w:val="18"/>
        </w:rPr>
        <w:instrText xml:space="preserve"> </w:instrText>
      </w:r>
      <w:r>
        <w:rPr>
          <w:rFonts w:hint="eastAsia"/>
          <w:szCs w:val="18"/>
        </w:rPr>
        <w:instrText>NOTEREF _Ref453666652 \h</w:instrText>
      </w:r>
      <w:r>
        <w:rPr>
          <w:szCs w:val="18"/>
        </w:rPr>
        <w:instrText xml:space="preserve"> </w:instrText>
      </w:r>
      <w:r>
        <w:rPr>
          <w:szCs w:val="18"/>
        </w:rPr>
      </w:r>
      <w:r>
        <w:rPr>
          <w:szCs w:val="18"/>
        </w:rPr>
        <w:fldChar w:fldCharType="separate"/>
      </w:r>
      <w:r w:rsidR="00A73EB9">
        <w:rPr>
          <w:szCs w:val="18"/>
        </w:rPr>
        <w:t>254</w:t>
      </w:r>
      <w:r>
        <w:rPr>
          <w:szCs w:val="18"/>
        </w:rPr>
        <w:fldChar w:fldCharType="end"/>
      </w:r>
      <w:r w:rsidRPr="00F709E3">
        <w:rPr>
          <w:rFonts w:hint="eastAsia"/>
          <w:szCs w:val="18"/>
        </w:rPr>
        <w:t>)</w:t>
      </w:r>
      <w:r w:rsidRPr="00F709E3">
        <w:rPr>
          <w:rFonts w:hint="eastAsia"/>
          <w:szCs w:val="18"/>
        </w:rPr>
        <w:t>；第</w:t>
      </w:r>
      <w:r w:rsidRPr="00F709E3">
        <w:rPr>
          <w:rFonts w:hint="eastAsia"/>
          <w:szCs w:val="18"/>
        </w:rPr>
        <w:t>43</w:t>
      </w:r>
      <w:r w:rsidRPr="00F709E3">
        <w:rPr>
          <w:rFonts w:hint="eastAsia"/>
          <w:szCs w:val="18"/>
        </w:rPr>
        <w:t>页，第</w:t>
      </w:r>
      <w:r w:rsidRPr="00F709E3">
        <w:rPr>
          <w:rFonts w:hint="eastAsia"/>
          <w:szCs w:val="18"/>
        </w:rPr>
        <w:t>76</w:t>
      </w:r>
      <w:r w:rsidRPr="00F709E3">
        <w:rPr>
          <w:rFonts w:hint="eastAsia"/>
          <w:szCs w:val="18"/>
        </w:rPr>
        <w:t>段。在一项非宣誓性条约几乎吸引到普遍参与时，这一点可对确定是否已经形成一项习惯国际法规则造成特别的困难。</w:t>
      </w:r>
    </w:p>
  </w:footnote>
  <w:footnote w:id="308">
    <w:p w:rsidR="00AB00DE" w:rsidRPr="00F709E3" w:rsidRDefault="00AB00DE" w:rsidP="00267AB1">
      <w:pPr>
        <w:pStyle w:val="a4"/>
        <w:rPr>
          <w:szCs w:val="18"/>
        </w:rPr>
      </w:pPr>
      <w:r w:rsidRPr="00F709E3">
        <w:rPr>
          <w:snapToGrid/>
          <w:szCs w:val="18"/>
        </w:rPr>
        <w:tab/>
      </w:r>
      <w:r w:rsidRPr="00DF5565">
        <w:rPr>
          <w:rStyle w:val="a5"/>
        </w:rPr>
        <w:footnoteRef/>
      </w:r>
      <w:r w:rsidRPr="00DF5565">
        <w:rPr>
          <w:rStyle w:val="a5"/>
        </w:rPr>
        <w:tab/>
      </w:r>
      <w:r w:rsidRPr="00F709E3">
        <w:rPr>
          <w:rFonts w:hint="eastAsia"/>
          <w:szCs w:val="18"/>
        </w:rPr>
        <w:t>见</w:t>
      </w:r>
      <w:r w:rsidRPr="00F709E3">
        <w:rPr>
          <w:rFonts w:ascii="Time New Roman" w:eastAsia="楷体" w:hAnsi="Time New Roman" w:hint="eastAsia"/>
          <w:szCs w:val="18"/>
        </w:rPr>
        <w:t>在尼加拉瓜和针对尼加拉瓜的军事和准军事活动案</w:t>
      </w:r>
      <w:r w:rsidRPr="00F709E3">
        <w:rPr>
          <w:rFonts w:hint="eastAsia"/>
          <w:szCs w:val="18"/>
        </w:rPr>
        <w:t>(</w:t>
      </w:r>
      <w:r w:rsidRPr="00F709E3">
        <w:rPr>
          <w:rFonts w:hint="eastAsia"/>
          <w:szCs w:val="18"/>
        </w:rPr>
        <w:t>上文脚注</w:t>
      </w:r>
      <w:r>
        <w:fldChar w:fldCharType="begin"/>
      </w:r>
      <w:r>
        <w:instrText xml:space="preserve"> </w:instrText>
      </w:r>
      <w:r>
        <w:rPr>
          <w:rFonts w:hint="eastAsia"/>
        </w:rPr>
        <w:instrText>NOTEREF _Ref461975037 \h</w:instrText>
      </w:r>
      <w:r>
        <w:instrText xml:space="preserve"> </w:instrText>
      </w:r>
      <w:r>
        <w:fldChar w:fldCharType="separate"/>
      </w:r>
      <w:r w:rsidR="00A73EB9">
        <w:t>246</w:t>
      </w:r>
      <w:r>
        <w:fldChar w:fldCharType="end"/>
      </w:r>
      <w:r w:rsidRPr="00F709E3">
        <w:rPr>
          <w:rFonts w:hint="eastAsia"/>
          <w:szCs w:val="18"/>
        </w:rPr>
        <w:t>)</w:t>
      </w:r>
      <w:r w:rsidRPr="00F709E3">
        <w:rPr>
          <w:rFonts w:hint="eastAsia"/>
          <w:szCs w:val="18"/>
        </w:rPr>
        <w:t>，第</w:t>
      </w:r>
      <w:r w:rsidRPr="00F709E3">
        <w:rPr>
          <w:rFonts w:hint="eastAsia"/>
          <w:szCs w:val="18"/>
        </w:rPr>
        <w:t>109</w:t>
      </w:r>
      <w:r w:rsidRPr="00F709E3">
        <w:rPr>
          <w:rFonts w:hint="eastAsia"/>
          <w:szCs w:val="18"/>
        </w:rPr>
        <w:t>页，第</w:t>
      </w:r>
      <w:r w:rsidRPr="00F709E3">
        <w:rPr>
          <w:rFonts w:hint="eastAsia"/>
          <w:szCs w:val="18"/>
        </w:rPr>
        <w:t>207</w:t>
      </w:r>
      <w:r w:rsidRPr="00F709E3">
        <w:rPr>
          <w:rFonts w:hint="eastAsia"/>
          <w:szCs w:val="18"/>
        </w:rPr>
        <w:t>段</w:t>
      </w:r>
      <w:r w:rsidRPr="00F709E3">
        <w:rPr>
          <w:rFonts w:hint="eastAsia"/>
          <w:szCs w:val="18"/>
        </w:rPr>
        <w:t>(</w:t>
      </w:r>
      <w:r w:rsidRPr="00F709E3">
        <w:rPr>
          <w:rFonts w:hint="eastAsia"/>
          <w:szCs w:val="18"/>
        </w:rPr>
        <w:t>“无论是那些采取这种行动的国家还是那些有能力对其做出反应的国家，其行为方式都必须使它们的行为可以证明这一信念，即这种惯例是由于存在着要求将其付诸实施的法律规则而变得具有强制性”</w:t>
      </w:r>
      <w:r w:rsidRPr="00F709E3">
        <w:rPr>
          <w:rFonts w:hint="eastAsia"/>
          <w:szCs w:val="18"/>
        </w:rPr>
        <w:t>(</w:t>
      </w:r>
      <w:r w:rsidRPr="00F709E3">
        <w:rPr>
          <w:rFonts w:hint="eastAsia"/>
          <w:szCs w:val="18"/>
        </w:rPr>
        <w:t>援引</w:t>
      </w:r>
      <w:r w:rsidRPr="00F709E3">
        <w:rPr>
          <w:rFonts w:ascii="Time New Roman" w:eastAsia="楷体" w:hAnsi="Time New Roman" w:hint="eastAsia"/>
          <w:szCs w:val="18"/>
        </w:rPr>
        <w:t>北海大陆架案</w:t>
      </w:r>
      <w:r w:rsidRPr="00F709E3">
        <w:rPr>
          <w:rFonts w:ascii="Time New Roman" w:hAnsi="Time New Roman" w:hint="eastAsia"/>
          <w:szCs w:val="18"/>
        </w:rPr>
        <w:t>判决</w:t>
      </w:r>
      <w:r w:rsidRPr="00F709E3">
        <w:rPr>
          <w:rFonts w:hint="eastAsia"/>
          <w:szCs w:val="18"/>
        </w:rPr>
        <w:t>)</w:t>
      </w:r>
      <w:r w:rsidRPr="00F709E3">
        <w:rPr>
          <w:rFonts w:hint="eastAsia"/>
          <w:szCs w:val="18"/>
        </w:rPr>
        <w:t>。</w:t>
      </w:r>
    </w:p>
  </w:footnote>
  <w:footnote w:id="309">
    <w:p w:rsidR="00AB00DE" w:rsidRPr="00F709E3" w:rsidRDefault="00AB00DE" w:rsidP="00267AB1">
      <w:pPr>
        <w:pStyle w:val="a4"/>
        <w:rPr>
          <w:szCs w:val="18"/>
        </w:rPr>
      </w:pPr>
      <w:r w:rsidRPr="00F709E3">
        <w:rPr>
          <w:snapToGrid/>
          <w:szCs w:val="18"/>
        </w:rPr>
        <w:tab/>
      </w:r>
      <w:r w:rsidRPr="00DF5565">
        <w:rPr>
          <w:rStyle w:val="a5"/>
        </w:rPr>
        <w:footnoteRef/>
      </w:r>
      <w:r w:rsidRPr="00DF5565">
        <w:rPr>
          <w:rStyle w:val="a5"/>
        </w:rPr>
        <w:t xml:space="preserve"> </w:t>
      </w:r>
      <w:r w:rsidRPr="00F709E3">
        <w:rPr>
          <w:snapToGrid/>
          <w:szCs w:val="18"/>
        </w:rPr>
        <w:tab/>
      </w:r>
      <w:r w:rsidRPr="00F709E3">
        <w:rPr>
          <w:rFonts w:hint="eastAsia"/>
          <w:szCs w:val="18"/>
        </w:rPr>
        <w:t>因此，在有关某项惯例是否伴有被接受为法律</w:t>
      </w:r>
      <w:r w:rsidRPr="00F709E3">
        <w:rPr>
          <w:rFonts w:hint="eastAsia"/>
          <w:szCs w:val="18"/>
        </w:rPr>
        <w:t>(</w:t>
      </w:r>
      <w:r w:rsidRPr="00F709E3">
        <w:rPr>
          <w:rFonts w:hint="eastAsia"/>
          <w:szCs w:val="18"/>
        </w:rPr>
        <w:t>法律确信</w:t>
      </w:r>
      <w:r w:rsidRPr="00F709E3">
        <w:rPr>
          <w:rFonts w:hint="eastAsia"/>
          <w:szCs w:val="18"/>
        </w:rPr>
        <w:t>)</w:t>
      </w:r>
      <w:r w:rsidRPr="00F709E3">
        <w:rPr>
          <w:rFonts w:hint="eastAsia"/>
          <w:szCs w:val="18"/>
        </w:rPr>
        <w:t>问题上“国际社会的成员意见极为分歧”时，不能说存在此种被接受为法律：见</w:t>
      </w:r>
      <w:r w:rsidRPr="00F709E3">
        <w:rPr>
          <w:rFonts w:ascii="Time New Roman" w:eastAsia="楷体" w:hAnsi="Time New Roman" w:hint="eastAsia"/>
          <w:szCs w:val="18"/>
        </w:rPr>
        <w:t>以核武器进行威胁或使用核武器的合法性案</w:t>
      </w:r>
      <w:r w:rsidRPr="00F709E3">
        <w:rPr>
          <w:rFonts w:hint="eastAsia"/>
          <w:szCs w:val="18"/>
        </w:rPr>
        <w:t>(</w:t>
      </w:r>
      <w:r w:rsidRPr="00F709E3">
        <w:rPr>
          <w:rFonts w:hint="eastAsia"/>
          <w:szCs w:val="18"/>
        </w:rPr>
        <w:t>上文脚注</w:t>
      </w:r>
      <w:r>
        <w:rPr>
          <w:szCs w:val="18"/>
        </w:rPr>
        <w:fldChar w:fldCharType="begin"/>
      </w:r>
      <w:r>
        <w:rPr>
          <w:szCs w:val="18"/>
        </w:rPr>
        <w:instrText xml:space="preserve"> </w:instrText>
      </w:r>
      <w:r>
        <w:rPr>
          <w:rFonts w:hint="eastAsia"/>
          <w:szCs w:val="18"/>
        </w:rPr>
        <w:instrText>NOTEREF _Ref461975062 \h</w:instrText>
      </w:r>
      <w:r>
        <w:rPr>
          <w:szCs w:val="18"/>
        </w:rPr>
        <w:instrText xml:space="preserve"> </w:instrText>
      </w:r>
      <w:r>
        <w:rPr>
          <w:szCs w:val="18"/>
        </w:rPr>
      </w:r>
      <w:r>
        <w:rPr>
          <w:szCs w:val="18"/>
        </w:rPr>
        <w:fldChar w:fldCharType="separate"/>
      </w:r>
      <w:r w:rsidR="00A73EB9">
        <w:rPr>
          <w:szCs w:val="18"/>
        </w:rPr>
        <w:t>258</w:t>
      </w:r>
      <w:r>
        <w:rPr>
          <w:szCs w:val="18"/>
        </w:rPr>
        <w:fldChar w:fldCharType="end"/>
      </w:r>
      <w:r w:rsidRPr="00F709E3">
        <w:rPr>
          <w:rFonts w:hint="eastAsia"/>
          <w:szCs w:val="18"/>
        </w:rPr>
        <w:t>)</w:t>
      </w:r>
      <w:r w:rsidRPr="00F709E3">
        <w:rPr>
          <w:rFonts w:hint="eastAsia"/>
          <w:szCs w:val="18"/>
        </w:rPr>
        <w:t>，第</w:t>
      </w:r>
      <w:r w:rsidRPr="00F709E3">
        <w:rPr>
          <w:rFonts w:hint="eastAsia"/>
          <w:szCs w:val="18"/>
        </w:rPr>
        <w:t>254</w:t>
      </w:r>
      <w:r w:rsidRPr="00F709E3">
        <w:rPr>
          <w:rFonts w:hint="eastAsia"/>
          <w:szCs w:val="18"/>
        </w:rPr>
        <w:t>页，第</w:t>
      </w:r>
      <w:r w:rsidRPr="00F709E3">
        <w:rPr>
          <w:rFonts w:hint="eastAsia"/>
          <w:szCs w:val="18"/>
        </w:rPr>
        <w:t>67</w:t>
      </w:r>
      <w:r w:rsidRPr="00F709E3">
        <w:rPr>
          <w:rFonts w:hint="eastAsia"/>
          <w:szCs w:val="18"/>
        </w:rPr>
        <w:t>段。</w:t>
      </w:r>
    </w:p>
  </w:footnote>
  <w:footnote w:id="310">
    <w:p w:rsidR="00AB00DE" w:rsidRPr="00F709E3" w:rsidRDefault="00AB00DE" w:rsidP="00560424">
      <w:pPr>
        <w:pStyle w:val="a4"/>
        <w:rPr>
          <w:szCs w:val="18"/>
        </w:rPr>
      </w:pPr>
      <w:r w:rsidRPr="00F709E3">
        <w:rPr>
          <w:snapToGrid/>
          <w:szCs w:val="18"/>
        </w:rPr>
        <w:tab/>
      </w:r>
      <w:r w:rsidRPr="00DF5565">
        <w:rPr>
          <w:rStyle w:val="a5"/>
        </w:rPr>
        <w:footnoteRef/>
      </w:r>
      <w:r w:rsidRPr="00DF5565">
        <w:rPr>
          <w:rStyle w:val="a5"/>
        </w:rPr>
        <w:t xml:space="preserve"> </w:t>
      </w:r>
      <w:r w:rsidRPr="00F709E3">
        <w:rPr>
          <w:snapToGrid/>
          <w:szCs w:val="18"/>
        </w:rPr>
        <w:tab/>
      </w:r>
      <w:r w:rsidRPr="00F709E3">
        <w:rPr>
          <w:rFonts w:ascii="Time New Roman" w:hAnsi="Time New Roman" w:hint="eastAsia"/>
          <w:szCs w:val="18"/>
        </w:rPr>
        <w:t>在</w:t>
      </w:r>
      <w:r w:rsidRPr="00F709E3">
        <w:rPr>
          <w:rFonts w:ascii="Time New Roman" w:eastAsia="楷体" w:hAnsi="Time New Roman" w:hint="eastAsia"/>
          <w:szCs w:val="18"/>
        </w:rPr>
        <w:t>印度领土上的通行权</w:t>
      </w:r>
      <w:r w:rsidRPr="008B3302">
        <w:rPr>
          <w:rFonts w:ascii="Time New Roman" w:hAnsi="Time New Roman" w:hint="eastAsia"/>
          <w:szCs w:val="18"/>
        </w:rPr>
        <w:t>案</w:t>
      </w:r>
      <w:r w:rsidRPr="00F709E3">
        <w:rPr>
          <w:rFonts w:hint="eastAsia"/>
          <w:szCs w:val="18"/>
        </w:rPr>
        <w:t>中，国际法院就武装部队和武装警察通过的问题指出，“该惯例意味着领土主权享有撤销或拒绝许可的酌处权。有人争辩说，这种许可总是可以得到的，但法院认为，这不影响法律立场。没有任何记录表明，给予许可是英国或印度负有的义务”</w:t>
      </w:r>
      <w:r w:rsidRPr="00F709E3">
        <w:rPr>
          <w:rFonts w:hint="eastAsia"/>
          <w:szCs w:val="18"/>
        </w:rPr>
        <w:t>(</w:t>
      </w:r>
      <w:r w:rsidRPr="00F709E3">
        <w:rPr>
          <w:rFonts w:ascii="Time New Roman" w:eastAsia="楷体" w:hAnsi="Time New Roman" w:hint="eastAsia"/>
          <w:szCs w:val="18"/>
        </w:rPr>
        <w:t>在印度领土上的通行权案</w:t>
      </w:r>
      <w:r w:rsidRPr="00F709E3">
        <w:rPr>
          <w:rFonts w:hint="eastAsia"/>
          <w:szCs w:val="18"/>
        </w:rPr>
        <w:t>(</w:t>
      </w:r>
      <w:r w:rsidRPr="00F709E3">
        <w:rPr>
          <w:rFonts w:hint="eastAsia"/>
          <w:szCs w:val="18"/>
        </w:rPr>
        <w:t>见上文脚注</w:t>
      </w:r>
      <w:r>
        <w:rPr>
          <w:szCs w:val="18"/>
        </w:rPr>
        <w:fldChar w:fldCharType="begin"/>
      </w:r>
      <w:r>
        <w:rPr>
          <w:szCs w:val="18"/>
        </w:rPr>
        <w:instrText xml:space="preserve"> </w:instrText>
      </w:r>
      <w:r>
        <w:rPr>
          <w:rFonts w:hint="eastAsia"/>
          <w:szCs w:val="18"/>
        </w:rPr>
        <w:instrText>NOTEREF _Ref461975062 \h</w:instrText>
      </w:r>
      <w:r>
        <w:rPr>
          <w:szCs w:val="18"/>
        </w:rPr>
        <w:instrText xml:space="preserve"> </w:instrText>
      </w:r>
      <w:r>
        <w:rPr>
          <w:szCs w:val="18"/>
        </w:rPr>
      </w:r>
      <w:r>
        <w:rPr>
          <w:szCs w:val="18"/>
        </w:rPr>
        <w:fldChar w:fldCharType="separate"/>
      </w:r>
      <w:r w:rsidR="00A73EB9">
        <w:rPr>
          <w:szCs w:val="18"/>
        </w:rPr>
        <w:t>258</w:t>
      </w:r>
      <w:r>
        <w:rPr>
          <w:szCs w:val="18"/>
        </w:rPr>
        <w:fldChar w:fldCharType="end"/>
      </w:r>
      <w:r w:rsidRPr="00F709E3">
        <w:rPr>
          <w:rFonts w:hint="eastAsia"/>
          <w:szCs w:val="18"/>
        </w:rPr>
        <w:t>)</w:t>
      </w:r>
      <w:r w:rsidRPr="00F709E3">
        <w:rPr>
          <w:rFonts w:hint="eastAsia"/>
          <w:szCs w:val="18"/>
        </w:rPr>
        <w:t>，第</w:t>
      </w:r>
      <w:r w:rsidRPr="00F709E3">
        <w:rPr>
          <w:rFonts w:hint="eastAsia"/>
          <w:szCs w:val="18"/>
        </w:rPr>
        <w:t>42-43</w:t>
      </w:r>
      <w:r w:rsidRPr="00F709E3">
        <w:rPr>
          <w:rFonts w:hint="eastAsia"/>
          <w:szCs w:val="18"/>
        </w:rPr>
        <w:t>页</w:t>
      </w:r>
      <w:r w:rsidRPr="00F709E3">
        <w:rPr>
          <w:rFonts w:hint="eastAsia"/>
          <w:szCs w:val="18"/>
        </w:rPr>
        <w:t>)</w:t>
      </w:r>
      <w:r w:rsidRPr="00F709E3">
        <w:rPr>
          <w:rFonts w:hint="eastAsia"/>
          <w:szCs w:val="18"/>
        </w:rPr>
        <w:t>。在</w:t>
      </w:r>
      <w:r w:rsidRPr="00F709E3">
        <w:rPr>
          <w:rFonts w:ascii="Time New Roman" w:eastAsia="楷体" w:hAnsi="Time New Roman" w:hint="eastAsia"/>
          <w:szCs w:val="18"/>
        </w:rPr>
        <w:t>国家的管辖豁免案</w:t>
      </w:r>
      <w:r w:rsidRPr="00F709E3">
        <w:rPr>
          <w:rFonts w:hint="eastAsia"/>
          <w:szCs w:val="18"/>
        </w:rPr>
        <w:t>中，国际法院同样认为，在试图确定一项习惯国际法规则的内容时“虽然各国有时的确可能会决定给予比国际法要求更广泛的豁免，但就当前目的而言，要点是在这一个案例中豁免的给予并不伴有必要的法律确信，因此无助于说明法院目前正在审议的问题</w:t>
      </w:r>
      <w:r w:rsidRPr="00F709E3">
        <w:rPr>
          <w:rFonts w:hint="eastAsia"/>
          <w:szCs w:val="18"/>
        </w:rPr>
        <w:t>(</w:t>
      </w:r>
      <w:r w:rsidRPr="00F709E3">
        <w:rPr>
          <w:rFonts w:ascii="Time New Roman" w:eastAsia="楷体" w:hAnsi="Time New Roman" w:hint="eastAsia"/>
          <w:szCs w:val="18"/>
        </w:rPr>
        <w:t>国家的管辖豁免案</w:t>
      </w:r>
      <w:r w:rsidRPr="00F709E3">
        <w:rPr>
          <w:rFonts w:hint="eastAsia"/>
          <w:szCs w:val="18"/>
        </w:rPr>
        <w:t>(</w:t>
      </w:r>
      <w:r w:rsidRPr="00F709E3">
        <w:rPr>
          <w:rFonts w:hint="eastAsia"/>
          <w:szCs w:val="18"/>
        </w:rPr>
        <w:t>见上文脚注</w:t>
      </w:r>
      <w:r>
        <w:rPr>
          <w:szCs w:val="18"/>
        </w:rPr>
        <w:fldChar w:fldCharType="begin"/>
      </w:r>
      <w:r>
        <w:rPr>
          <w:szCs w:val="18"/>
        </w:rPr>
        <w:instrText xml:space="preserve"> </w:instrText>
      </w:r>
      <w:r>
        <w:rPr>
          <w:rFonts w:hint="eastAsia"/>
          <w:szCs w:val="18"/>
        </w:rPr>
        <w:instrText>NOTEREF _Ref453667027 \h</w:instrText>
      </w:r>
      <w:r>
        <w:rPr>
          <w:szCs w:val="18"/>
        </w:rPr>
        <w:instrText xml:space="preserve"> </w:instrText>
      </w:r>
      <w:r>
        <w:rPr>
          <w:szCs w:val="18"/>
        </w:rPr>
      </w:r>
      <w:r>
        <w:rPr>
          <w:szCs w:val="18"/>
        </w:rPr>
        <w:fldChar w:fldCharType="separate"/>
      </w:r>
      <w:r w:rsidR="00A73EB9">
        <w:rPr>
          <w:szCs w:val="18"/>
        </w:rPr>
        <w:t>255</w:t>
      </w:r>
      <w:r>
        <w:rPr>
          <w:szCs w:val="18"/>
        </w:rPr>
        <w:fldChar w:fldCharType="end"/>
      </w:r>
      <w:r w:rsidRPr="00F709E3">
        <w:rPr>
          <w:rFonts w:hint="eastAsia"/>
          <w:szCs w:val="18"/>
        </w:rPr>
        <w:t>)</w:t>
      </w:r>
      <w:r w:rsidRPr="00F709E3">
        <w:rPr>
          <w:rFonts w:hint="eastAsia"/>
          <w:szCs w:val="18"/>
        </w:rPr>
        <w:t>，第</w:t>
      </w:r>
      <w:r w:rsidRPr="00F709E3">
        <w:rPr>
          <w:rFonts w:hint="eastAsia"/>
          <w:szCs w:val="18"/>
        </w:rPr>
        <w:t>123</w:t>
      </w:r>
      <w:r w:rsidRPr="00F709E3">
        <w:rPr>
          <w:rFonts w:hint="eastAsia"/>
          <w:szCs w:val="18"/>
        </w:rPr>
        <w:t>页，第</w:t>
      </w:r>
      <w:r w:rsidRPr="00F709E3">
        <w:rPr>
          <w:rFonts w:hint="eastAsia"/>
          <w:szCs w:val="18"/>
        </w:rPr>
        <w:t>55</w:t>
      </w:r>
      <w:r w:rsidRPr="00F709E3">
        <w:rPr>
          <w:rFonts w:hint="eastAsia"/>
          <w:szCs w:val="18"/>
        </w:rPr>
        <w:t>段</w:t>
      </w:r>
      <w:r w:rsidRPr="00F709E3">
        <w:rPr>
          <w:rFonts w:hint="eastAsia"/>
          <w:szCs w:val="18"/>
        </w:rPr>
        <w:t>)</w:t>
      </w:r>
      <w:r w:rsidRPr="00F709E3">
        <w:rPr>
          <w:rFonts w:hint="eastAsia"/>
          <w:szCs w:val="18"/>
        </w:rPr>
        <w:t>。另见</w:t>
      </w:r>
      <w:r w:rsidRPr="00F709E3">
        <w:rPr>
          <w:rFonts w:ascii="Time New Roman" w:eastAsia="楷体" w:hAnsi="Time New Roman" w:hint="eastAsia"/>
          <w:szCs w:val="18"/>
        </w:rPr>
        <w:t>北海大陆架案</w:t>
      </w:r>
      <w:r w:rsidRPr="00F709E3">
        <w:rPr>
          <w:rFonts w:hint="eastAsia"/>
          <w:szCs w:val="18"/>
        </w:rPr>
        <w:t>(</w:t>
      </w:r>
      <w:r w:rsidRPr="00F709E3">
        <w:rPr>
          <w:rFonts w:hint="eastAsia"/>
          <w:szCs w:val="18"/>
        </w:rPr>
        <w:t>上文脚注</w:t>
      </w:r>
      <w:r>
        <w:rPr>
          <w:szCs w:val="18"/>
        </w:rPr>
        <w:fldChar w:fldCharType="begin"/>
      </w:r>
      <w:r>
        <w:rPr>
          <w:szCs w:val="18"/>
        </w:rPr>
        <w:instrText xml:space="preserve"> </w:instrText>
      </w:r>
      <w:r>
        <w:rPr>
          <w:rFonts w:hint="eastAsia"/>
          <w:szCs w:val="18"/>
        </w:rPr>
        <w:instrText>NOTEREF _Ref453666652 \h</w:instrText>
      </w:r>
      <w:r>
        <w:rPr>
          <w:szCs w:val="18"/>
        </w:rPr>
        <w:instrText xml:space="preserve"> </w:instrText>
      </w:r>
      <w:r>
        <w:rPr>
          <w:szCs w:val="18"/>
        </w:rPr>
      </w:r>
      <w:r>
        <w:rPr>
          <w:szCs w:val="18"/>
        </w:rPr>
        <w:fldChar w:fldCharType="separate"/>
      </w:r>
      <w:r w:rsidR="00A73EB9">
        <w:rPr>
          <w:szCs w:val="18"/>
        </w:rPr>
        <w:t>254</w:t>
      </w:r>
      <w:r>
        <w:rPr>
          <w:szCs w:val="18"/>
        </w:rPr>
        <w:fldChar w:fldCharType="end"/>
      </w:r>
      <w:r w:rsidRPr="00F709E3">
        <w:rPr>
          <w:rFonts w:hint="eastAsia"/>
          <w:szCs w:val="18"/>
        </w:rPr>
        <w:t>)</w:t>
      </w:r>
      <w:r w:rsidRPr="00F709E3">
        <w:rPr>
          <w:rFonts w:hint="eastAsia"/>
          <w:szCs w:val="18"/>
        </w:rPr>
        <w:t>，第</w:t>
      </w:r>
      <w:r w:rsidRPr="00F709E3">
        <w:rPr>
          <w:rFonts w:hint="eastAsia"/>
          <w:szCs w:val="18"/>
        </w:rPr>
        <w:t>43-44</w:t>
      </w:r>
      <w:r w:rsidRPr="00F709E3">
        <w:rPr>
          <w:rFonts w:hint="eastAsia"/>
          <w:szCs w:val="18"/>
        </w:rPr>
        <w:t>页，第</w:t>
      </w:r>
      <w:r w:rsidRPr="00F709E3">
        <w:rPr>
          <w:rFonts w:hint="eastAsia"/>
          <w:szCs w:val="18"/>
        </w:rPr>
        <w:t>76</w:t>
      </w:r>
      <w:r w:rsidRPr="00F709E3">
        <w:rPr>
          <w:rFonts w:hint="eastAsia"/>
          <w:szCs w:val="18"/>
        </w:rPr>
        <w:t>段。</w:t>
      </w:r>
    </w:p>
  </w:footnote>
  <w:footnote w:id="311">
    <w:p w:rsidR="00AB00DE" w:rsidRPr="00F709E3" w:rsidRDefault="00AB00DE" w:rsidP="00267AB1">
      <w:pPr>
        <w:pStyle w:val="a4"/>
        <w:rPr>
          <w:szCs w:val="18"/>
        </w:rPr>
      </w:pPr>
      <w:r w:rsidRPr="00F709E3">
        <w:rPr>
          <w:snapToGrid/>
          <w:szCs w:val="18"/>
        </w:rPr>
        <w:tab/>
      </w:r>
      <w:r w:rsidRPr="00DF5565">
        <w:rPr>
          <w:rStyle w:val="a5"/>
        </w:rPr>
        <w:footnoteRef/>
      </w:r>
      <w:r w:rsidRPr="00DF5565">
        <w:rPr>
          <w:rStyle w:val="a5"/>
        </w:rPr>
        <w:t xml:space="preserve"> </w:t>
      </w:r>
      <w:r w:rsidRPr="00DF5565">
        <w:rPr>
          <w:rStyle w:val="a5"/>
        </w:rPr>
        <w:tab/>
      </w:r>
      <w:r w:rsidRPr="00F709E3">
        <w:rPr>
          <w:rFonts w:hint="eastAsia"/>
          <w:szCs w:val="18"/>
        </w:rPr>
        <w:t>国际法院指出，事实上：“有许多国际行为，例如在礼仪和礼宾方面，几乎总是得到实施，但其动机仅仅是出于礼貌、方便或传统的考虑，而不是出于任何法律义务感”</w:t>
      </w:r>
      <w:r w:rsidRPr="00F709E3">
        <w:rPr>
          <w:rFonts w:hint="eastAsia"/>
          <w:szCs w:val="18"/>
        </w:rPr>
        <w:t>(</w:t>
      </w:r>
      <w:r w:rsidRPr="00F709E3">
        <w:rPr>
          <w:rFonts w:ascii="Time New Roman" w:eastAsia="楷体" w:hAnsi="Time New Roman" w:hint="eastAsia"/>
          <w:szCs w:val="18"/>
        </w:rPr>
        <w:t>北海大陆架案</w:t>
      </w:r>
      <w:r w:rsidRPr="00F709E3">
        <w:rPr>
          <w:rFonts w:hint="eastAsia"/>
          <w:szCs w:val="18"/>
        </w:rPr>
        <w:t>(</w:t>
      </w:r>
      <w:r w:rsidRPr="00F709E3">
        <w:rPr>
          <w:rFonts w:hint="eastAsia"/>
          <w:szCs w:val="18"/>
        </w:rPr>
        <w:t>见上文脚注</w:t>
      </w:r>
      <w:r>
        <w:rPr>
          <w:szCs w:val="18"/>
        </w:rPr>
        <w:fldChar w:fldCharType="begin"/>
      </w:r>
      <w:r>
        <w:rPr>
          <w:szCs w:val="18"/>
        </w:rPr>
        <w:instrText xml:space="preserve"> </w:instrText>
      </w:r>
      <w:r>
        <w:rPr>
          <w:rFonts w:hint="eastAsia"/>
          <w:szCs w:val="18"/>
        </w:rPr>
        <w:instrText>NOTEREF _Ref453666652 \h</w:instrText>
      </w:r>
      <w:r>
        <w:rPr>
          <w:szCs w:val="18"/>
        </w:rPr>
        <w:instrText xml:space="preserve"> </w:instrText>
      </w:r>
      <w:r>
        <w:rPr>
          <w:szCs w:val="18"/>
        </w:rPr>
      </w:r>
      <w:r>
        <w:rPr>
          <w:szCs w:val="18"/>
        </w:rPr>
        <w:fldChar w:fldCharType="separate"/>
      </w:r>
      <w:r w:rsidR="00A73EB9">
        <w:rPr>
          <w:szCs w:val="18"/>
        </w:rPr>
        <w:t>254</w:t>
      </w:r>
      <w:r>
        <w:rPr>
          <w:szCs w:val="18"/>
        </w:rPr>
        <w:fldChar w:fldCharType="end"/>
      </w:r>
      <w:r w:rsidRPr="00F709E3">
        <w:rPr>
          <w:rFonts w:hint="eastAsia"/>
          <w:szCs w:val="18"/>
        </w:rPr>
        <w:t>)</w:t>
      </w:r>
      <w:r w:rsidRPr="00F709E3">
        <w:rPr>
          <w:rFonts w:hint="eastAsia"/>
          <w:szCs w:val="18"/>
        </w:rPr>
        <w:t>，第</w:t>
      </w:r>
      <w:r w:rsidRPr="00F709E3">
        <w:rPr>
          <w:rFonts w:hint="eastAsia"/>
          <w:szCs w:val="18"/>
        </w:rPr>
        <w:t>44</w:t>
      </w:r>
      <w:r w:rsidRPr="00F709E3">
        <w:rPr>
          <w:rFonts w:hint="eastAsia"/>
          <w:szCs w:val="18"/>
        </w:rPr>
        <w:t>页，第</w:t>
      </w:r>
      <w:r w:rsidRPr="00F709E3">
        <w:rPr>
          <w:rFonts w:hint="eastAsia"/>
          <w:szCs w:val="18"/>
        </w:rPr>
        <w:t>77</w:t>
      </w:r>
      <w:r w:rsidRPr="00F709E3">
        <w:rPr>
          <w:rFonts w:hint="eastAsia"/>
          <w:szCs w:val="18"/>
        </w:rPr>
        <w:t>段</w:t>
      </w:r>
      <w:r w:rsidRPr="00F709E3">
        <w:rPr>
          <w:rFonts w:hint="eastAsia"/>
          <w:szCs w:val="18"/>
        </w:rPr>
        <w:t>)</w:t>
      </w:r>
      <w:r w:rsidRPr="00F709E3">
        <w:rPr>
          <w:rFonts w:hint="eastAsia"/>
          <w:szCs w:val="18"/>
        </w:rPr>
        <w:t>。</w:t>
      </w:r>
    </w:p>
  </w:footnote>
  <w:footnote w:id="312">
    <w:p w:rsidR="00AB00DE" w:rsidRPr="00F709E3" w:rsidRDefault="00AB00DE" w:rsidP="00F709E3">
      <w:pPr>
        <w:pStyle w:val="a4"/>
        <w:rPr>
          <w:szCs w:val="18"/>
        </w:rPr>
      </w:pPr>
      <w:r w:rsidRPr="00F709E3">
        <w:rPr>
          <w:snapToGrid/>
          <w:szCs w:val="18"/>
        </w:rPr>
        <w:tab/>
      </w:r>
      <w:r w:rsidRPr="00DF5565">
        <w:rPr>
          <w:rStyle w:val="a5"/>
        </w:rPr>
        <w:footnoteRef/>
      </w:r>
      <w:r w:rsidRPr="00DF5565">
        <w:rPr>
          <w:rStyle w:val="a5"/>
        </w:rPr>
        <w:t xml:space="preserve"> </w:t>
      </w:r>
      <w:r w:rsidRPr="00F709E3">
        <w:rPr>
          <w:snapToGrid/>
          <w:szCs w:val="18"/>
        </w:rPr>
        <w:tab/>
      </w:r>
      <w:r w:rsidRPr="00F709E3">
        <w:rPr>
          <w:rFonts w:hint="eastAsia"/>
          <w:szCs w:val="18"/>
        </w:rPr>
        <w:t>见上文结论草案</w:t>
      </w:r>
      <w:r w:rsidRPr="00F709E3">
        <w:rPr>
          <w:rFonts w:hint="eastAsia"/>
          <w:szCs w:val="18"/>
        </w:rPr>
        <w:t>3</w:t>
      </w:r>
      <w:r w:rsidRPr="00F709E3">
        <w:rPr>
          <w:rFonts w:hint="eastAsia"/>
          <w:szCs w:val="18"/>
        </w:rPr>
        <w:t>。</w:t>
      </w:r>
    </w:p>
  </w:footnote>
  <w:footnote w:id="313">
    <w:p w:rsidR="00AB00DE" w:rsidRPr="00F709E3" w:rsidRDefault="00AB00DE" w:rsidP="00F709E3">
      <w:pPr>
        <w:pStyle w:val="a4"/>
        <w:rPr>
          <w:szCs w:val="18"/>
        </w:rPr>
      </w:pPr>
      <w:r w:rsidRPr="00F709E3">
        <w:rPr>
          <w:snapToGrid/>
          <w:szCs w:val="18"/>
        </w:rPr>
        <w:tab/>
      </w:r>
      <w:r w:rsidRPr="00DF5565">
        <w:rPr>
          <w:rStyle w:val="a5"/>
        </w:rPr>
        <w:footnoteRef/>
      </w:r>
      <w:r w:rsidRPr="00DF5565">
        <w:rPr>
          <w:rStyle w:val="a5"/>
        </w:rPr>
        <w:t xml:space="preserve"> </w:t>
      </w:r>
      <w:r w:rsidRPr="00F709E3">
        <w:rPr>
          <w:snapToGrid/>
          <w:szCs w:val="18"/>
        </w:rPr>
        <w:tab/>
      </w:r>
      <w:r w:rsidRPr="00F709E3">
        <w:rPr>
          <w:rFonts w:hint="eastAsia"/>
          <w:szCs w:val="18"/>
        </w:rPr>
        <w:t>有时，惯例本身伴有对法律义务的明确否认，例如国家向对外国外交财产造成的损害支付特惠赔偿的情况。</w:t>
      </w:r>
    </w:p>
  </w:footnote>
  <w:footnote w:id="314">
    <w:p w:rsidR="00AB00DE" w:rsidRPr="00F709E3" w:rsidRDefault="00AB00DE" w:rsidP="00267AB1">
      <w:pPr>
        <w:pStyle w:val="a4"/>
        <w:tabs>
          <w:tab w:val="left" w:pos="5245"/>
        </w:tabs>
        <w:rPr>
          <w:szCs w:val="18"/>
        </w:rPr>
      </w:pPr>
      <w:r w:rsidRPr="00F709E3">
        <w:rPr>
          <w:szCs w:val="18"/>
        </w:rPr>
        <w:tab/>
      </w:r>
      <w:r w:rsidRPr="00DF5565">
        <w:rPr>
          <w:rStyle w:val="a5"/>
        </w:rPr>
        <w:footnoteRef/>
      </w:r>
      <w:r w:rsidRPr="00DF5565">
        <w:rPr>
          <w:rStyle w:val="a5"/>
        </w:rPr>
        <w:t xml:space="preserve"> </w:t>
      </w:r>
      <w:r w:rsidRPr="00F709E3">
        <w:rPr>
          <w:szCs w:val="18"/>
        </w:rPr>
        <w:tab/>
      </w:r>
      <w:r w:rsidRPr="00F709E3">
        <w:rPr>
          <w:rFonts w:ascii="Time New Roman" w:eastAsia="楷体" w:hAnsi="Time New Roman" w:hint="eastAsia"/>
          <w:szCs w:val="18"/>
        </w:rPr>
        <w:t>渔业案</w:t>
      </w:r>
      <w:r w:rsidRPr="00F709E3">
        <w:rPr>
          <w:rFonts w:hint="eastAsia"/>
          <w:szCs w:val="18"/>
        </w:rPr>
        <w:t>(</w:t>
      </w:r>
      <w:r w:rsidRPr="00F709E3">
        <w:rPr>
          <w:rFonts w:hint="eastAsia"/>
          <w:szCs w:val="18"/>
        </w:rPr>
        <w:t>见上文脚注</w:t>
      </w:r>
      <w:r>
        <w:rPr>
          <w:szCs w:val="18"/>
        </w:rPr>
        <w:fldChar w:fldCharType="begin"/>
      </w:r>
      <w:r>
        <w:rPr>
          <w:szCs w:val="18"/>
        </w:rPr>
        <w:instrText xml:space="preserve"> </w:instrText>
      </w:r>
      <w:r>
        <w:rPr>
          <w:rFonts w:hint="eastAsia"/>
          <w:szCs w:val="18"/>
        </w:rPr>
        <w:instrText>NOTEREF _Ref461897013 \h</w:instrText>
      </w:r>
      <w:r>
        <w:rPr>
          <w:szCs w:val="18"/>
        </w:rPr>
        <w:instrText xml:space="preserve"> </w:instrText>
      </w:r>
      <w:r>
        <w:rPr>
          <w:szCs w:val="18"/>
        </w:rPr>
      </w:r>
      <w:r>
        <w:rPr>
          <w:szCs w:val="18"/>
        </w:rPr>
        <w:fldChar w:fldCharType="separate"/>
      </w:r>
      <w:r w:rsidR="00A73EB9">
        <w:rPr>
          <w:szCs w:val="18"/>
        </w:rPr>
        <w:t>289</w:t>
      </w:r>
      <w:r>
        <w:rPr>
          <w:szCs w:val="18"/>
        </w:rPr>
        <w:fldChar w:fldCharType="end"/>
      </w:r>
      <w:r w:rsidRPr="00F709E3">
        <w:rPr>
          <w:rFonts w:hint="eastAsia"/>
          <w:szCs w:val="18"/>
        </w:rPr>
        <w:t>)</w:t>
      </w:r>
      <w:r w:rsidRPr="00F709E3">
        <w:rPr>
          <w:rFonts w:hint="eastAsia"/>
          <w:szCs w:val="18"/>
        </w:rPr>
        <w:t>，第</w:t>
      </w:r>
      <w:r w:rsidRPr="00F709E3">
        <w:rPr>
          <w:rFonts w:hint="eastAsia"/>
          <w:szCs w:val="18"/>
        </w:rPr>
        <w:t>139</w:t>
      </w:r>
      <w:r w:rsidRPr="00F709E3">
        <w:rPr>
          <w:rFonts w:hint="eastAsia"/>
          <w:szCs w:val="18"/>
        </w:rPr>
        <w:t>页。另见“</w:t>
      </w:r>
      <w:r w:rsidRPr="00F709E3">
        <w:rPr>
          <w:rFonts w:ascii="Time New Roman" w:eastAsia="楷体" w:hAnsi="Time New Roman" w:hint="eastAsia"/>
          <w:szCs w:val="18"/>
        </w:rPr>
        <w:t>莲花号</w:t>
      </w:r>
      <w:r w:rsidRPr="00F709E3">
        <w:rPr>
          <w:rFonts w:hint="eastAsia"/>
          <w:szCs w:val="18"/>
        </w:rPr>
        <w:t>”</w:t>
      </w:r>
      <w:r w:rsidRPr="00F709E3">
        <w:rPr>
          <w:rFonts w:ascii="Time New Roman" w:eastAsia="楷体" w:hAnsi="Time New Roman" w:hint="eastAsia"/>
          <w:szCs w:val="18"/>
        </w:rPr>
        <w:t>案</w:t>
      </w:r>
      <w:r w:rsidRPr="00F709E3">
        <w:rPr>
          <w:rFonts w:hint="eastAsia"/>
          <w:szCs w:val="18"/>
        </w:rPr>
        <w:t>(</w:t>
      </w:r>
      <w:r w:rsidRPr="00F709E3">
        <w:rPr>
          <w:rFonts w:hint="eastAsia"/>
          <w:szCs w:val="18"/>
        </w:rPr>
        <w:t>上文脚注</w:t>
      </w:r>
      <w:r>
        <w:rPr>
          <w:szCs w:val="18"/>
        </w:rPr>
        <w:fldChar w:fldCharType="begin"/>
      </w:r>
      <w:r>
        <w:rPr>
          <w:szCs w:val="18"/>
        </w:rPr>
        <w:instrText xml:space="preserve"> </w:instrText>
      </w:r>
      <w:r>
        <w:rPr>
          <w:rFonts w:hint="eastAsia"/>
          <w:szCs w:val="18"/>
        </w:rPr>
        <w:instrText>NOTEREF _Ref461974739 \h</w:instrText>
      </w:r>
      <w:r>
        <w:rPr>
          <w:szCs w:val="18"/>
        </w:rPr>
        <w:instrText xml:space="preserve"> </w:instrText>
      </w:r>
      <w:r>
        <w:rPr>
          <w:szCs w:val="18"/>
        </w:rPr>
      </w:r>
      <w:r>
        <w:rPr>
          <w:szCs w:val="18"/>
        </w:rPr>
        <w:fldChar w:fldCharType="separate"/>
      </w:r>
      <w:r w:rsidR="00A73EB9">
        <w:rPr>
          <w:szCs w:val="18"/>
        </w:rPr>
        <w:t>250</w:t>
      </w:r>
      <w:r>
        <w:rPr>
          <w:szCs w:val="18"/>
        </w:rPr>
        <w:fldChar w:fldCharType="end"/>
      </w:r>
      <w:r w:rsidRPr="00F709E3">
        <w:rPr>
          <w:rFonts w:hint="eastAsia"/>
          <w:szCs w:val="18"/>
        </w:rPr>
        <w:t>)</w:t>
      </w:r>
      <w:r w:rsidRPr="00F709E3">
        <w:rPr>
          <w:rFonts w:hint="eastAsia"/>
          <w:szCs w:val="18"/>
        </w:rPr>
        <w:t>，第</w:t>
      </w:r>
      <w:r w:rsidRPr="00F709E3">
        <w:rPr>
          <w:rFonts w:hint="eastAsia"/>
          <w:szCs w:val="18"/>
        </w:rPr>
        <w:t>29</w:t>
      </w:r>
      <w:r w:rsidRPr="00F709E3">
        <w:rPr>
          <w:rFonts w:hint="eastAsia"/>
          <w:szCs w:val="18"/>
        </w:rPr>
        <w:t>页</w:t>
      </w:r>
      <w:r w:rsidRPr="00F709E3">
        <w:rPr>
          <w:rFonts w:hint="eastAsia"/>
          <w:szCs w:val="18"/>
        </w:rPr>
        <w:t>(</w:t>
      </w:r>
      <w:r w:rsidRPr="00F709E3">
        <w:rPr>
          <w:rFonts w:hint="eastAsia"/>
          <w:szCs w:val="18"/>
        </w:rPr>
        <w:t>“法院认为有强调以下事实的要求：有关国家似乎没有反对在船旗国以外国家的法庭进行有关碰撞案件的刑事诉讼程序，它们似乎也没有提出抗议：它们的行为似乎没有明显不同于它们在所有共同管辖权案件中遵守的行为。这一事实与存在国家对船旗国的专属管辖权的默示同意直接相反，例如法国政府人员认为，从刑事法院很少审理管辖权问题这一事实可以推断出这一点。如果它们真的认为这种情况违反了国际法，那么法国政府在</w:t>
      </w:r>
      <w:r w:rsidRPr="00F709E3">
        <w:rPr>
          <w:rFonts w:hint="eastAsia"/>
          <w:szCs w:val="18"/>
        </w:rPr>
        <w:t>Ortigia-Oncle-Joseph</w:t>
      </w:r>
      <w:r w:rsidRPr="00F709E3">
        <w:rPr>
          <w:rFonts w:ascii="Time New Roman" w:eastAsia="楷体" w:hAnsi="Time New Roman" w:hint="eastAsia"/>
          <w:szCs w:val="18"/>
        </w:rPr>
        <w:t>案</w:t>
      </w:r>
      <w:r w:rsidRPr="00F709E3">
        <w:rPr>
          <w:rFonts w:hint="eastAsia"/>
          <w:szCs w:val="18"/>
        </w:rPr>
        <w:t>及德国政府在</w:t>
      </w:r>
      <w:r w:rsidRPr="00F709E3">
        <w:rPr>
          <w:rFonts w:hint="eastAsia"/>
          <w:szCs w:val="18"/>
        </w:rPr>
        <w:t>Ekbatana-West-Hinder</w:t>
      </w:r>
      <w:r w:rsidRPr="00F709E3">
        <w:rPr>
          <w:rFonts w:ascii="Time New Roman" w:eastAsia="楷体" w:hAnsi="Time New Roman" w:hint="eastAsia"/>
          <w:szCs w:val="18"/>
        </w:rPr>
        <w:t>案</w:t>
      </w:r>
      <w:r w:rsidRPr="00F709E3">
        <w:rPr>
          <w:rFonts w:hint="eastAsia"/>
          <w:szCs w:val="18"/>
        </w:rPr>
        <w:t>中都没有抗议意大利和比利时法院行使刑事管辖权似乎是不可能的，也不符合国际惯例”</w:t>
      </w:r>
      <w:r w:rsidRPr="00F709E3">
        <w:rPr>
          <w:rFonts w:hint="eastAsia"/>
          <w:szCs w:val="18"/>
        </w:rPr>
        <w:t>)</w:t>
      </w:r>
      <w:r w:rsidRPr="00F709E3">
        <w:rPr>
          <w:rFonts w:hint="eastAsia"/>
          <w:szCs w:val="18"/>
        </w:rPr>
        <w:t>；</w:t>
      </w:r>
      <w:r w:rsidRPr="00F709E3">
        <w:rPr>
          <w:szCs w:val="18"/>
        </w:rPr>
        <w:t>Priebke, Erich s/ solicitud de extradición</w:t>
      </w:r>
      <w:r w:rsidRPr="00F709E3">
        <w:rPr>
          <w:rFonts w:ascii="Time New Roman" w:eastAsia="楷体" w:hAnsi="Time New Roman" w:hint="eastAsia"/>
          <w:szCs w:val="18"/>
        </w:rPr>
        <w:t>案</w:t>
      </w:r>
      <w:r w:rsidRPr="00F709E3">
        <w:rPr>
          <w:rFonts w:hint="eastAsia"/>
          <w:szCs w:val="18"/>
        </w:rPr>
        <w:t>，第</w:t>
      </w:r>
      <w:r w:rsidRPr="00F709E3">
        <w:rPr>
          <w:rFonts w:hint="eastAsia"/>
          <w:szCs w:val="18"/>
        </w:rPr>
        <w:t>16.063/94</w:t>
      </w:r>
      <w:r w:rsidRPr="00F709E3">
        <w:rPr>
          <w:rFonts w:hint="eastAsia"/>
          <w:szCs w:val="18"/>
        </w:rPr>
        <w:t>号案件，阿根廷最高法院，</w:t>
      </w:r>
      <w:r w:rsidRPr="00F709E3">
        <w:rPr>
          <w:rFonts w:hint="eastAsia"/>
          <w:szCs w:val="18"/>
        </w:rPr>
        <w:t>1995</w:t>
      </w:r>
      <w:r w:rsidRPr="00F709E3">
        <w:rPr>
          <w:rFonts w:hint="eastAsia"/>
          <w:szCs w:val="18"/>
        </w:rPr>
        <w:t>年</w:t>
      </w:r>
      <w:r w:rsidRPr="00F709E3">
        <w:rPr>
          <w:rFonts w:hint="eastAsia"/>
          <w:szCs w:val="18"/>
        </w:rPr>
        <w:t>11</w:t>
      </w:r>
      <w:r w:rsidRPr="00F709E3">
        <w:rPr>
          <w:rFonts w:hint="eastAsia"/>
          <w:szCs w:val="18"/>
        </w:rPr>
        <w:t>月</w:t>
      </w:r>
      <w:r w:rsidRPr="00F709E3">
        <w:rPr>
          <w:rFonts w:hint="eastAsia"/>
          <w:szCs w:val="18"/>
        </w:rPr>
        <w:t>2</w:t>
      </w:r>
      <w:r w:rsidRPr="00F709E3">
        <w:rPr>
          <w:rFonts w:hint="eastAsia"/>
          <w:szCs w:val="18"/>
        </w:rPr>
        <w:t>日的判决，</w:t>
      </w:r>
      <w:r w:rsidRPr="00F709E3">
        <w:rPr>
          <w:rFonts w:hint="eastAsia"/>
          <w:szCs w:val="18"/>
        </w:rPr>
        <w:t>Gustavo A. Bossert</w:t>
      </w:r>
      <w:r w:rsidRPr="00F709E3">
        <w:rPr>
          <w:rFonts w:hint="eastAsia"/>
          <w:szCs w:val="18"/>
        </w:rPr>
        <w:t>法官的投票，第</w:t>
      </w:r>
      <w:r w:rsidRPr="00F709E3">
        <w:rPr>
          <w:rFonts w:hint="eastAsia"/>
          <w:szCs w:val="18"/>
        </w:rPr>
        <w:t>40</w:t>
      </w:r>
      <w:r w:rsidRPr="00F709E3">
        <w:rPr>
          <w:rFonts w:hint="eastAsia"/>
          <w:szCs w:val="18"/>
        </w:rPr>
        <w:t>页，第</w:t>
      </w:r>
      <w:r w:rsidRPr="00F709E3">
        <w:rPr>
          <w:rFonts w:hint="eastAsia"/>
          <w:szCs w:val="18"/>
        </w:rPr>
        <w:t>90</w:t>
      </w:r>
      <w:r w:rsidRPr="00F709E3">
        <w:rPr>
          <w:rFonts w:hint="eastAsia"/>
          <w:szCs w:val="18"/>
        </w:rPr>
        <w:t>段。</w:t>
      </w:r>
    </w:p>
  </w:footnote>
  <w:footnote w:id="315">
    <w:p w:rsidR="00AB00DE" w:rsidRPr="00F709E3" w:rsidRDefault="00AB00DE" w:rsidP="00267AB1">
      <w:pPr>
        <w:pStyle w:val="a4"/>
        <w:rPr>
          <w:szCs w:val="18"/>
        </w:rPr>
      </w:pPr>
      <w:r w:rsidRPr="00F709E3">
        <w:rPr>
          <w:snapToGrid/>
          <w:szCs w:val="18"/>
        </w:rPr>
        <w:tab/>
      </w:r>
      <w:r w:rsidRPr="00DF5565">
        <w:rPr>
          <w:rStyle w:val="a5"/>
        </w:rPr>
        <w:footnoteRef/>
      </w:r>
      <w:r w:rsidRPr="00DF5565">
        <w:rPr>
          <w:snapToGrid/>
          <w:color w:val="0000FF"/>
          <w:sz w:val="21"/>
          <w:szCs w:val="18"/>
          <w:vertAlign w:val="superscript"/>
        </w:rPr>
        <w:t xml:space="preserve"> </w:t>
      </w:r>
      <w:r w:rsidRPr="00F709E3">
        <w:rPr>
          <w:snapToGrid/>
          <w:szCs w:val="18"/>
        </w:rPr>
        <w:tab/>
      </w:r>
      <w:r w:rsidRPr="00F709E3">
        <w:rPr>
          <w:rFonts w:hint="eastAsia"/>
          <w:szCs w:val="18"/>
        </w:rPr>
        <w:t>另见，从更一般性的意义上，</w:t>
      </w:r>
      <w:r w:rsidRPr="00F709E3">
        <w:rPr>
          <w:rFonts w:ascii="Time New Roman" w:eastAsia="楷体" w:hAnsi="Time New Roman" w:hint="eastAsia"/>
          <w:szCs w:val="18"/>
        </w:rPr>
        <w:t>北海大陆架案</w:t>
      </w:r>
      <w:r w:rsidRPr="00F709E3">
        <w:rPr>
          <w:rFonts w:hint="eastAsia"/>
          <w:szCs w:val="18"/>
        </w:rPr>
        <w:t>(</w:t>
      </w:r>
      <w:r w:rsidRPr="00F709E3">
        <w:rPr>
          <w:rFonts w:hint="eastAsia"/>
          <w:szCs w:val="18"/>
        </w:rPr>
        <w:t>上文脚注</w:t>
      </w:r>
      <w:r>
        <w:rPr>
          <w:szCs w:val="18"/>
        </w:rPr>
        <w:fldChar w:fldCharType="begin"/>
      </w:r>
      <w:r>
        <w:rPr>
          <w:szCs w:val="18"/>
        </w:rPr>
        <w:instrText xml:space="preserve"> </w:instrText>
      </w:r>
      <w:r>
        <w:rPr>
          <w:rFonts w:hint="eastAsia"/>
          <w:szCs w:val="18"/>
        </w:rPr>
        <w:instrText>NOTEREF _Ref453666652 \h</w:instrText>
      </w:r>
      <w:r>
        <w:rPr>
          <w:szCs w:val="18"/>
        </w:rPr>
        <w:instrText xml:space="preserve"> </w:instrText>
      </w:r>
      <w:r>
        <w:rPr>
          <w:szCs w:val="18"/>
        </w:rPr>
      </w:r>
      <w:r>
        <w:rPr>
          <w:szCs w:val="18"/>
        </w:rPr>
        <w:fldChar w:fldCharType="separate"/>
      </w:r>
      <w:r w:rsidR="00A73EB9">
        <w:rPr>
          <w:szCs w:val="18"/>
        </w:rPr>
        <w:t>254</w:t>
      </w:r>
      <w:r>
        <w:rPr>
          <w:szCs w:val="18"/>
        </w:rPr>
        <w:fldChar w:fldCharType="end"/>
      </w:r>
      <w:r w:rsidRPr="00F709E3">
        <w:rPr>
          <w:rFonts w:hint="eastAsia"/>
          <w:szCs w:val="18"/>
        </w:rPr>
        <w:t>)</w:t>
      </w:r>
      <w:r w:rsidRPr="00F709E3">
        <w:rPr>
          <w:rFonts w:hint="eastAsia"/>
          <w:szCs w:val="18"/>
        </w:rPr>
        <w:t>，第</w:t>
      </w:r>
      <w:r w:rsidRPr="00F709E3">
        <w:rPr>
          <w:rFonts w:hint="eastAsia"/>
          <w:szCs w:val="18"/>
        </w:rPr>
        <w:t>27</w:t>
      </w:r>
      <w:r w:rsidRPr="00F709E3">
        <w:rPr>
          <w:rFonts w:hint="eastAsia"/>
          <w:szCs w:val="18"/>
        </w:rPr>
        <w:t>页，第</w:t>
      </w:r>
      <w:r w:rsidRPr="00F709E3">
        <w:rPr>
          <w:rFonts w:hint="eastAsia"/>
          <w:szCs w:val="18"/>
        </w:rPr>
        <w:t>33</w:t>
      </w:r>
      <w:r w:rsidRPr="00F709E3">
        <w:rPr>
          <w:rFonts w:hint="eastAsia"/>
          <w:szCs w:val="18"/>
        </w:rPr>
        <w:t>段。</w:t>
      </w:r>
    </w:p>
  </w:footnote>
  <w:footnote w:id="316">
    <w:p w:rsidR="00AB00DE" w:rsidRPr="00F709E3" w:rsidRDefault="00AB00DE" w:rsidP="00267AB1">
      <w:pPr>
        <w:pStyle w:val="a4"/>
        <w:rPr>
          <w:szCs w:val="18"/>
        </w:rPr>
      </w:pPr>
      <w:r w:rsidRPr="00F709E3">
        <w:rPr>
          <w:snapToGrid/>
          <w:szCs w:val="18"/>
        </w:rPr>
        <w:tab/>
      </w:r>
      <w:r w:rsidRPr="00DF5565">
        <w:rPr>
          <w:rStyle w:val="a5"/>
        </w:rPr>
        <w:footnoteRef/>
      </w:r>
      <w:r w:rsidRPr="00DF5565">
        <w:rPr>
          <w:snapToGrid/>
          <w:color w:val="0000FF"/>
          <w:sz w:val="21"/>
          <w:szCs w:val="18"/>
          <w:vertAlign w:val="superscript"/>
        </w:rPr>
        <w:t xml:space="preserve"> </w:t>
      </w:r>
      <w:r w:rsidRPr="00F709E3">
        <w:rPr>
          <w:snapToGrid/>
          <w:szCs w:val="18"/>
        </w:rPr>
        <w:tab/>
      </w:r>
      <w:r w:rsidRPr="00F709E3">
        <w:rPr>
          <w:rFonts w:hint="eastAsia"/>
          <w:szCs w:val="18"/>
        </w:rPr>
        <w:t>国际法院曾在不同情况下指出：“没有做出反应很有可能构成默认……换言之，沉默也可表达意思，但只有在其他国家的行为要求做出回应的情形下才会如此”。</w:t>
      </w:r>
      <w:r w:rsidRPr="00F709E3">
        <w:rPr>
          <w:rFonts w:ascii="Time New Roman" w:eastAsia="楷体" w:hAnsi="Time New Roman" w:hint="eastAsia"/>
          <w:szCs w:val="18"/>
        </w:rPr>
        <w:t>白礁岛、中岩礁和南礁的主权归属案</w:t>
      </w:r>
      <w:r w:rsidRPr="00F709E3">
        <w:rPr>
          <w:rFonts w:hint="eastAsia"/>
          <w:szCs w:val="18"/>
        </w:rPr>
        <w:t>(</w:t>
      </w:r>
      <w:r w:rsidRPr="00F709E3">
        <w:rPr>
          <w:rFonts w:ascii="Time New Roman" w:eastAsia="楷体" w:hAnsi="Time New Roman" w:hint="eastAsia"/>
          <w:szCs w:val="18"/>
        </w:rPr>
        <w:t>马来西亚</w:t>
      </w:r>
      <w:r w:rsidRPr="00F709E3">
        <w:rPr>
          <w:rFonts w:ascii="Time New Roman" w:eastAsia="楷体" w:hAnsi="Time New Roman" w:hint="eastAsia"/>
          <w:szCs w:val="18"/>
        </w:rPr>
        <w:t>/</w:t>
      </w:r>
      <w:r w:rsidRPr="00F709E3">
        <w:rPr>
          <w:rFonts w:ascii="Time New Roman" w:eastAsia="楷体" w:hAnsi="Time New Roman" w:hint="eastAsia"/>
          <w:szCs w:val="18"/>
        </w:rPr>
        <w:t>新加坡</w:t>
      </w:r>
      <w:r w:rsidRPr="00F709E3">
        <w:rPr>
          <w:rFonts w:hint="eastAsia"/>
          <w:szCs w:val="18"/>
        </w:rPr>
        <w:t>)</w:t>
      </w:r>
      <w:r w:rsidRPr="00F709E3">
        <w:rPr>
          <w:rFonts w:hint="eastAsia"/>
          <w:szCs w:val="18"/>
        </w:rPr>
        <w:t>，判决，《</w:t>
      </w:r>
      <w:r w:rsidRPr="00F709E3">
        <w:rPr>
          <w:rFonts w:hint="eastAsia"/>
          <w:szCs w:val="18"/>
        </w:rPr>
        <w:t>2008</w:t>
      </w:r>
      <w:r w:rsidRPr="00F709E3">
        <w:rPr>
          <w:rFonts w:hint="eastAsia"/>
          <w:szCs w:val="18"/>
        </w:rPr>
        <w:t>年国际法院案例汇编》，第</w:t>
      </w:r>
      <w:r w:rsidRPr="00F709E3">
        <w:rPr>
          <w:rFonts w:hint="eastAsia"/>
          <w:szCs w:val="18"/>
        </w:rPr>
        <w:t>12</w:t>
      </w:r>
      <w:r w:rsidRPr="00F709E3">
        <w:rPr>
          <w:rFonts w:hint="eastAsia"/>
          <w:szCs w:val="18"/>
        </w:rPr>
        <w:t>页起，见第</w:t>
      </w:r>
      <w:r w:rsidRPr="00F709E3">
        <w:rPr>
          <w:rFonts w:hint="eastAsia"/>
          <w:szCs w:val="18"/>
        </w:rPr>
        <w:t>50-51</w:t>
      </w:r>
      <w:r w:rsidRPr="00F709E3">
        <w:rPr>
          <w:rFonts w:hint="eastAsia"/>
          <w:szCs w:val="18"/>
        </w:rPr>
        <w:t>页，第</w:t>
      </w:r>
      <w:r w:rsidRPr="00F709E3">
        <w:rPr>
          <w:rFonts w:hint="eastAsia"/>
          <w:szCs w:val="18"/>
        </w:rPr>
        <w:t>121</w:t>
      </w:r>
      <w:r w:rsidRPr="00F709E3">
        <w:rPr>
          <w:rFonts w:hint="eastAsia"/>
          <w:szCs w:val="18"/>
        </w:rPr>
        <w:t>段</w:t>
      </w:r>
      <w:r w:rsidRPr="00F709E3">
        <w:rPr>
          <w:rFonts w:hint="eastAsia"/>
          <w:szCs w:val="18"/>
        </w:rPr>
        <w:t>)</w:t>
      </w:r>
      <w:r w:rsidRPr="00F709E3">
        <w:rPr>
          <w:rFonts w:hint="eastAsia"/>
          <w:szCs w:val="18"/>
        </w:rPr>
        <w:t>。另见</w:t>
      </w:r>
      <w:r w:rsidRPr="00F709E3">
        <w:rPr>
          <w:rFonts w:ascii="Time New Roman" w:eastAsia="楷体" w:hAnsi="Time New Roman" w:hint="eastAsia"/>
          <w:szCs w:val="18"/>
        </w:rPr>
        <w:t>航行权利和相关权利争端案</w:t>
      </w:r>
      <w:r w:rsidRPr="00F709E3">
        <w:rPr>
          <w:rFonts w:hint="eastAsia"/>
          <w:szCs w:val="18"/>
        </w:rPr>
        <w:t>(</w:t>
      </w:r>
      <w:r w:rsidRPr="00F709E3">
        <w:rPr>
          <w:rFonts w:hint="eastAsia"/>
          <w:szCs w:val="18"/>
        </w:rPr>
        <w:t>见上文脚注</w:t>
      </w:r>
      <w:r>
        <w:rPr>
          <w:szCs w:val="18"/>
        </w:rPr>
        <w:fldChar w:fldCharType="begin"/>
      </w:r>
      <w:r>
        <w:rPr>
          <w:szCs w:val="18"/>
        </w:rPr>
        <w:instrText xml:space="preserve"> </w:instrText>
      </w:r>
      <w:r>
        <w:rPr>
          <w:rFonts w:hint="eastAsia"/>
          <w:szCs w:val="18"/>
        </w:rPr>
        <w:instrText>NOTEREF _Ref461974753 \h</w:instrText>
      </w:r>
      <w:r>
        <w:rPr>
          <w:szCs w:val="18"/>
        </w:rPr>
        <w:instrText xml:space="preserve"> </w:instrText>
      </w:r>
      <w:r>
        <w:rPr>
          <w:szCs w:val="18"/>
        </w:rPr>
      </w:r>
      <w:r>
        <w:rPr>
          <w:szCs w:val="18"/>
        </w:rPr>
        <w:fldChar w:fldCharType="separate"/>
      </w:r>
      <w:r w:rsidR="00A73EB9">
        <w:rPr>
          <w:szCs w:val="18"/>
        </w:rPr>
        <w:t>266</w:t>
      </w:r>
      <w:r>
        <w:rPr>
          <w:szCs w:val="18"/>
        </w:rPr>
        <w:fldChar w:fldCharType="end"/>
      </w:r>
      <w:r w:rsidRPr="00F709E3">
        <w:rPr>
          <w:rFonts w:hint="eastAsia"/>
          <w:szCs w:val="18"/>
        </w:rPr>
        <w:t>)</w:t>
      </w:r>
      <w:r w:rsidRPr="00F709E3">
        <w:rPr>
          <w:rFonts w:hint="eastAsia"/>
          <w:szCs w:val="18"/>
        </w:rPr>
        <w:t>，第</w:t>
      </w:r>
      <w:r w:rsidRPr="00F709E3">
        <w:rPr>
          <w:rFonts w:hint="eastAsia"/>
          <w:szCs w:val="18"/>
        </w:rPr>
        <w:t>265-266</w:t>
      </w:r>
      <w:r w:rsidRPr="00F709E3">
        <w:rPr>
          <w:rFonts w:hint="eastAsia"/>
          <w:szCs w:val="18"/>
        </w:rPr>
        <w:t>页，第</w:t>
      </w:r>
      <w:r w:rsidRPr="00F709E3">
        <w:rPr>
          <w:rFonts w:hint="eastAsia"/>
          <w:szCs w:val="18"/>
        </w:rPr>
        <w:t>141</w:t>
      </w:r>
      <w:r w:rsidRPr="00F709E3">
        <w:rPr>
          <w:rFonts w:hint="eastAsia"/>
          <w:szCs w:val="18"/>
        </w:rPr>
        <w:t>段</w:t>
      </w:r>
      <w:r w:rsidRPr="00F709E3">
        <w:rPr>
          <w:rFonts w:hint="eastAsia"/>
          <w:szCs w:val="18"/>
        </w:rPr>
        <w:t>(</w:t>
      </w:r>
      <w:r w:rsidRPr="00F709E3">
        <w:rPr>
          <w:rFonts w:hint="eastAsia"/>
          <w:szCs w:val="18"/>
        </w:rPr>
        <w:t>“在法院看来，尼加拉瓜未能否认源自长期以来未受扰乱和质疑的惯例的权利之存在，这一点十分重要”</w:t>
      </w:r>
      <w:r w:rsidRPr="00F709E3">
        <w:rPr>
          <w:rFonts w:hint="eastAsia"/>
          <w:szCs w:val="18"/>
        </w:rPr>
        <w:t>)</w:t>
      </w:r>
      <w:r w:rsidRPr="00F709E3">
        <w:rPr>
          <w:rFonts w:hint="eastAsia"/>
          <w:szCs w:val="18"/>
        </w:rPr>
        <w:t>。</w:t>
      </w:r>
    </w:p>
  </w:footnote>
  <w:footnote w:id="317">
    <w:p w:rsidR="00AB00DE" w:rsidRPr="009D48A5" w:rsidRDefault="00AB00DE" w:rsidP="00F709E3">
      <w:pPr>
        <w:pStyle w:val="a4"/>
        <w:rPr>
          <w:sz w:val="22"/>
          <w:szCs w:val="22"/>
        </w:rPr>
      </w:pPr>
      <w:r w:rsidRPr="00F709E3">
        <w:rPr>
          <w:snapToGrid/>
          <w:szCs w:val="18"/>
        </w:rPr>
        <w:tab/>
      </w:r>
      <w:r w:rsidRPr="00DF5565">
        <w:rPr>
          <w:rStyle w:val="a5"/>
        </w:rPr>
        <w:footnoteRef/>
      </w:r>
      <w:r w:rsidRPr="00DF5565">
        <w:rPr>
          <w:snapToGrid/>
          <w:color w:val="0000FF"/>
          <w:sz w:val="21"/>
          <w:szCs w:val="18"/>
          <w:vertAlign w:val="superscript"/>
        </w:rPr>
        <w:t xml:space="preserve"> </w:t>
      </w:r>
      <w:r w:rsidRPr="00F709E3">
        <w:rPr>
          <w:snapToGrid/>
          <w:szCs w:val="18"/>
        </w:rPr>
        <w:tab/>
      </w:r>
      <w:r w:rsidRPr="00F709E3">
        <w:rPr>
          <w:rFonts w:hint="eastAsia"/>
          <w:szCs w:val="18"/>
        </w:rPr>
        <w:t>某种惯例很可能被视为影响到所有或几乎所有国家。</w:t>
      </w:r>
    </w:p>
  </w:footnote>
  <w:footnote w:id="318">
    <w:p w:rsidR="00AB00DE" w:rsidRPr="009D48A5" w:rsidRDefault="00AB00DE" w:rsidP="008D7906">
      <w:pPr>
        <w:pStyle w:val="a4"/>
      </w:pPr>
      <w:r w:rsidRPr="009D48A5">
        <w:rPr>
          <w:snapToGrid/>
        </w:rPr>
        <w:tab/>
      </w:r>
      <w:r w:rsidRPr="00DF5565">
        <w:rPr>
          <w:snapToGrid/>
          <w:color w:val="0000FF"/>
          <w:sz w:val="21"/>
          <w:vertAlign w:val="superscript"/>
        </w:rPr>
        <w:footnoteRef/>
      </w:r>
      <w:r w:rsidRPr="009D48A5">
        <w:rPr>
          <w:snapToGrid/>
        </w:rPr>
        <w:tab/>
      </w:r>
      <w:r w:rsidRPr="009D48A5">
        <w:rPr>
          <w:rFonts w:hint="eastAsia"/>
        </w:rPr>
        <w:t>例如</w:t>
      </w:r>
      <w:r>
        <w:rPr>
          <w:rFonts w:hint="eastAsia"/>
        </w:rPr>
        <w:t>，</w:t>
      </w:r>
      <w:r w:rsidRPr="009D48A5">
        <w:rPr>
          <w:rFonts w:hint="eastAsia"/>
        </w:rPr>
        <w:t>见</w:t>
      </w:r>
      <w:r w:rsidRPr="009D48A5">
        <w:t>加布奇科沃</w:t>
      </w:r>
      <w:r w:rsidRPr="009D48A5">
        <w:rPr>
          <w:rFonts w:hint="eastAsia"/>
          <w:snapToGrid/>
        </w:rPr>
        <w:t>－</w:t>
      </w:r>
      <w:r w:rsidRPr="009D48A5">
        <w:t>大毛罗斯项目</w:t>
      </w:r>
      <w:r>
        <w:t>(</w:t>
      </w:r>
      <w:r w:rsidRPr="009D48A5">
        <w:t>匈牙利</w:t>
      </w:r>
      <w:r>
        <w:t>/</w:t>
      </w:r>
      <w:r w:rsidRPr="009D48A5">
        <w:t>斯洛伐克</w:t>
      </w:r>
      <w:r>
        <w:t>)</w:t>
      </w:r>
      <w:r>
        <w:t>，</w:t>
      </w:r>
      <w:r w:rsidRPr="009D48A5">
        <w:t>判决书</w:t>
      </w:r>
      <w:r>
        <w:t>，</w:t>
      </w:r>
      <w:r w:rsidRPr="009D48A5">
        <w:t>《</w:t>
      </w:r>
      <w:r w:rsidRPr="009D48A5">
        <w:rPr>
          <w:rFonts w:hint="eastAsia"/>
        </w:rPr>
        <w:t>1997</w:t>
      </w:r>
      <w:r w:rsidRPr="009D48A5">
        <w:rPr>
          <w:rFonts w:hint="eastAsia"/>
        </w:rPr>
        <w:t>年</w:t>
      </w:r>
      <w:r w:rsidRPr="009D48A5">
        <w:t>国际法院案例汇编》</w:t>
      </w:r>
      <w:r>
        <w:t>，</w:t>
      </w:r>
      <w:r w:rsidRPr="009D48A5">
        <w:t>第</w:t>
      </w:r>
      <w:r w:rsidRPr="009D48A5">
        <w:t>7</w:t>
      </w:r>
      <w:r w:rsidRPr="009D48A5">
        <w:t>页</w:t>
      </w:r>
      <w:r w:rsidRPr="009D48A5">
        <w:rPr>
          <w:rFonts w:hint="eastAsia"/>
        </w:rPr>
        <w:t>起</w:t>
      </w:r>
      <w:r>
        <w:t>，</w:t>
      </w:r>
      <w:r w:rsidRPr="009D48A5">
        <w:t>见第</w:t>
      </w:r>
      <w:r w:rsidRPr="009D48A5">
        <w:rPr>
          <w:rFonts w:hint="eastAsia"/>
        </w:rPr>
        <w:t>40</w:t>
      </w:r>
      <w:r w:rsidRPr="009D48A5">
        <w:t>页</w:t>
      </w:r>
      <w:r>
        <w:rPr>
          <w:rFonts w:hint="eastAsia"/>
        </w:rPr>
        <w:t>，</w:t>
      </w:r>
      <w:r w:rsidRPr="009D48A5">
        <w:rPr>
          <w:rFonts w:hint="eastAsia"/>
        </w:rPr>
        <w:t>第</w:t>
      </w:r>
      <w:r w:rsidRPr="009D48A5">
        <w:rPr>
          <w:rFonts w:hint="eastAsia"/>
        </w:rPr>
        <w:t>51</w:t>
      </w:r>
      <w:r w:rsidRPr="009D48A5">
        <w:rPr>
          <w:rFonts w:hint="eastAsia"/>
        </w:rPr>
        <w:t>段</w:t>
      </w:r>
      <w:r>
        <w:rPr>
          <w:rFonts w:hint="eastAsia"/>
        </w:rPr>
        <w:t>；</w:t>
      </w:r>
      <w:r w:rsidRPr="009D48A5">
        <w:t>国家关于</w:t>
      </w:r>
      <w:r w:rsidRPr="009D48A5">
        <w:rPr>
          <w:rFonts w:hint="eastAsia"/>
        </w:rPr>
        <w:t>“</w:t>
      </w:r>
      <w:r w:rsidRPr="009D48A5">
        <w:t>区域</w:t>
      </w:r>
      <w:r w:rsidRPr="009D48A5">
        <w:rPr>
          <w:rFonts w:hint="eastAsia"/>
        </w:rPr>
        <w:t>”</w:t>
      </w:r>
      <w:r w:rsidRPr="009D48A5">
        <w:t>内活动的责任和义务</w:t>
      </w:r>
      <w:r>
        <w:t>，</w:t>
      </w:r>
      <w:r w:rsidRPr="009D48A5">
        <w:t>咨询意见</w:t>
      </w:r>
      <w:r>
        <w:t>，</w:t>
      </w:r>
      <w:r w:rsidRPr="009D48A5">
        <w:t>2011</w:t>
      </w:r>
      <w:r w:rsidRPr="009D48A5">
        <w:t>年</w:t>
      </w:r>
      <w:r w:rsidRPr="009D48A5">
        <w:t>2</w:t>
      </w:r>
      <w:r w:rsidRPr="009D48A5">
        <w:t>月</w:t>
      </w:r>
      <w:r w:rsidRPr="009D48A5">
        <w:t>1</w:t>
      </w:r>
      <w:r w:rsidRPr="009D48A5">
        <w:t>日</w:t>
      </w:r>
      <w:r>
        <w:t>，</w:t>
      </w:r>
      <w:r w:rsidRPr="009D48A5">
        <w:t>《</w:t>
      </w:r>
      <w:r w:rsidRPr="009D48A5">
        <w:t>2011</w:t>
      </w:r>
      <w:r w:rsidRPr="009D48A5">
        <w:t>年国际海洋法法庭案例汇编》</w:t>
      </w:r>
      <w:r>
        <w:t>，</w:t>
      </w:r>
      <w:r w:rsidRPr="009D48A5">
        <w:t>第</w:t>
      </w:r>
      <w:r w:rsidRPr="009D48A5">
        <w:t>10</w:t>
      </w:r>
      <w:r w:rsidRPr="009D48A5">
        <w:t>页</w:t>
      </w:r>
      <w:r w:rsidRPr="009D48A5">
        <w:rPr>
          <w:rFonts w:hint="eastAsia"/>
        </w:rPr>
        <w:t>起</w:t>
      </w:r>
      <w:r>
        <w:t>，</w:t>
      </w:r>
      <w:r w:rsidRPr="009D48A5">
        <w:rPr>
          <w:rFonts w:hint="eastAsia"/>
        </w:rPr>
        <w:t>见第</w:t>
      </w:r>
      <w:r w:rsidRPr="009D48A5">
        <w:rPr>
          <w:rFonts w:hint="eastAsia"/>
        </w:rPr>
        <w:t>56</w:t>
      </w:r>
      <w:r w:rsidRPr="009D48A5">
        <w:rPr>
          <w:rFonts w:hint="eastAsia"/>
        </w:rPr>
        <w:t>页</w:t>
      </w:r>
      <w:r>
        <w:rPr>
          <w:rFonts w:hint="eastAsia"/>
        </w:rPr>
        <w:t>，</w:t>
      </w:r>
      <w:r w:rsidRPr="009D48A5">
        <w:rPr>
          <w:rFonts w:hint="eastAsia"/>
        </w:rPr>
        <w:t>第</w:t>
      </w:r>
      <w:r w:rsidRPr="009D48A5">
        <w:rPr>
          <w:rFonts w:hint="eastAsia"/>
        </w:rPr>
        <w:t>169</w:t>
      </w:r>
      <w:r w:rsidRPr="009D48A5">
        <w:rPr>
          <w:rFonts w:hint="eastAsia"/>
        </w:rPr>
        <w:t>段</w:t>
      </w:r>
      <w:r>
        <w:rPr>
          <w:rFonts w:hint="eastAsia"/>
        </w:rPr>
        <w:t>；</w:t>
      </w:r>
      <w:r w:rsidRPr="009D48A5">
        <w:t>检察官诉</w:t>
      </w:r>
      <w:r w:rsidRPr="009D48A5">
        <w:t>Elizaphan Ntakirutimana</w:t>
      </w:r>
      <w:r w:rsidRPr="009D48A5">
        <w:t>和</w:t>
      </w:r>
      <w:r w:rsidRPr="009D48A5">
        <w:t>Gérard Ntakirutiman</w:t>
      </w:r>
      <w:r>
        <w:t>a,</w:t>
      </w:r>
      <w:r w:rsidRPr="009D48A5">
        <w:t>卢旺达问题国际刑事法庭</w:t>
      </w:r>
      <w:r>
        <w:rPr>
          <w:rFonts w:hint="eastAsia"/>
        </w:rPr>
        <w:t>，</w:t>
      </w:r>
      <w:r w:rsidRPr="009D48A5">
        <w:t>ICTR-96-10-A</w:t>
      </w:r>
      <w:r w:rsidRPr="009D48A5">
        <w:rPr>
          <w:rFonts w:hint="eastAsia"/>
        </w:rPr>
        <w:t>号案件和</w:t>
      </w:r>
      <w:r w:rsidRPr="009D48A5">
        <w:t>ICTR-96-17-A</w:t>
      </w:r>
      <w:r w:rsidRPr="009D48A5">
        <w:rPr>
          <w:rFonts w:hint="eastAsia"/>
        </w:rPr>
        <w:t>号案件</w:t>
      </w:r>
      <w:r>
        <w:rPr>
          <w:rFonts w:hint="eastAsia"/>
        </w:rPr>
        <w:t>，</w:t>
      </w:r>
      <w:r w:rsidRPr="009D48A5">
        <w:rPr>
          <w:rFonts w:hint="eastAsia"/>
        </w:rPr>
        <w:t>判决书</w:t>
      </w:r>
      <w:r>
        <w:rPr>
          <w:rFonts w:hint="eastAsia"/>
        </w:rPr>
        <w:t>(</w:t>
      </w:r>
      <w:r w:rsidRPr="009D48A5">
        <w:rPr>
          <w:rFonts w:hint="eastAsia"/>
        </w:rPr>
        <w:t>上诉分庭</w:t>
      </w:r>
      <w:r>
        <w:rPr>
          <w:rFonts w:hint="eastAsia"/>
        </w:rPr>
        <w:t>)</w:t>
      </w:r>
      <w:r>
        <w:rPr>
          <w:rFonts w:hint="eastAsia"/>
        </w:rPr>
        <w:t>，</w:t>
      </w:r>
      <w:r w:rsidRPr="009D48A5">
        <w:rPr>
          <w:rFonts w:hint="eastAsia"/>
        </w:rPr>
        <w:t>2004</w:t>
      </w:r>
      <w:r w:rsidRPr="009D48A5">
        <w:rPr>
          <w:rFonts w:hint="eastAsia"/>
        </w:rPr>
        <w:t>年</w:t>
      </w:r>
      <w:r w:rsidRPr="009D48A5">
        <w:rPr>
          <w:rFonts w:hint="eastAsia"/>
        </w:rPr>
        <w:t>12</w:t>
      </w:r>
      <w:r w:rsidRPr="009D48A5">
        <w:rPr>
          <w:rFonts w:hint="eastAsia"/>
        </w:rPr>
        <w:t>月</w:t>
      </w:r>
      <w:r w:rsidRPr="009D48A5">
        <w:rPr>
          <w:rFonts w:hint="eastAsia"/>
        </w:rPr>
        <w:t>13</w:t>
      </w:r>
      <w:r w:rsidRPr="009D48A5">
        <w:rPr>
          <w:rFonts w:hint="eastAsia"/>
        </w:rPr>
        <w:t>日</w:t>
      </w:r>
      <w:r>
        <w:rPr>
          <w:rFonts w:hint="eastAsia"/>
        </w:rPr>
        <w:t>，</w:t>
      </w:r>
      <w:r w:rsidRPr="009D48A5">
        <w:rPr>
          <w:rFonts w:hint="eastAsia"/>
        </w:rPr>
        <w:t>第</w:t>
      </w:r>
      <w:r w:rsidRPr="009D48A5">
        <w:rPr>
          <w:rFonts w:hint="eastAsia"/>
        </w:rPr>
        <w:t>518</w:t>
      </w:r>
      <w:r w:rsidRPr="009D48A5">
        <w:rPr>
          <w:rFonts w:hint="eastAsia"/>
        </w:rPr>
        <w:t>段</w:t>
      </w:r>
      <w:r>
        <w:rPr>
          <w:rFonts w:hint="eastAsia"/>
        </w:rPr>
        <w:t>；</w:t>
      </w:r>
      <w:r w:rsidRPr="009D48A5">
        <w:rPr>
          <w:rFonts w:hint="eastAsia"/>
        </w:rPr>
        <w:t>迪拜</w:t>
      </w:r>
      <w:r w:rsidRPr="009D48A5">
        <w:rPr>
          <w:rFonts w:hint="eastAsia"/>
          <w:snapToGrid/>
        </w:rPr>
        <w:t>－</w:t>
      </w:r>
      <w:r w:rsidRPr="009D48A5">
        <w:rPr>
          <w:rFonts w:hint="eastAsia"/>
        </w:rPr>
        <w:t>沙迦边境仲裁</w:t>
      </w:r>
      <w:r>
        <w:rPr>
          <w:rFonts w:hint="eastAsia"/>
        </w:rPr>
        <w:t>(</w:t>
      </w:r>
      <w:r w:rsidRPr="009D48A5">
        <w:rPr>
          <w:rFonts w:hint="eastAsia"/>
        </w:rPr>
        <w:t>1981</w:t>
      </w:r>
      <w:r w:rsidRPr="009D48A5">
        <w:rPr>
          <w:rFonts w:hint="eastAsia"/>
        </w:rPr>
        <w:t>年</w:t>
      </w:r>
      <w:r>
        <w:rPr>
          <w:rFonts w:hint="eastAsia"/>
        </w:rPr>
        <w:t>)</w:t>
      </w:r>
      <w:r>
        <w:rPr>
          <w:rFonts w:hint="eastAsia"/>
        </w:rPr>
        <w:t>，</w:t>
      </w:r>
      <w:r w:rsidRPr="009D48A5">
        <w:rPr>
          <w:rFonts w:hint="eastAsia"/>
        </w:rPr>
        <w:t>《国际法报告》</w:t>
      </w:r>
      <w:r>
        <w:rPr>
          <w:rFonts w:hint="eastAsia"/>
        </w:rPr>
        <w:t>，</w:t>
      </w:r>
      <w:r w:rsidRPr="009D48A5">
        <w:rPr>
          <w:rFonts w:hint="eastAsia"/>
        </w:rPr>
        <w:t>第</w:t>
      </w:r>
      <w:r w:rsidRPr="009D48A5">
        <w:rPr>
          <w:rFonts w:hint="eastAsia"/>
        </w:rPr>
        <w:t>91</w:t>
      </w:r>
      <w:r w:rsidRPr="009D48A5">
        <w:rPr>
          <w:rFonts w:hint="eastAsia"/>
        </w:rPr>
        <w:t>卷</w:t>
      </w:r>
      <w:r>
        <w:rPr>
          <w:rFonts w:hint="eastAsia"/>
        </w:rPr>
        <w:t>，</w:t>
      </w:r>
      <w:r w:rsidRPr="009D48A5">
        <w:rPr>
          <w:rFonts w:hint="eastAsia"/>
        </w:rPr>
        <w:t>第</w:t>
      </w:r>
      <w:r w:rsidRPr="009D48A5">
        <w:rPr>
          <w:rFonts w:hint="eastAsia"/>
        </w:rPr>
        <w:t>543-701</w:t>
      </w:r>
      <w:r w:rsidRPr="009D48A5">
        <w:rPr>
          <w:rFonts w:hint="eastAsia"/>
        </w:rPr>
        <w:t>页</w:t>
      </w:r>
      <w:r>
        <w:rPr>
          <w:rFonts w:hint="eastAsia"/>
        </w:rPr>
        <w:t>，</w:t>
      </w:r>
      <w:r w:rsidRPr="009D48A5">
        <w:rPr>
          <w:rFonts w:hint="eastAsia"/>
        </w:rPr>
        <w:t>见第</w:t>
      </w:r>
      <w:r w:rsidRPr="009D48A5">
        <w:rPr>
          <w:rFonts w:hint="eastAsia"/>
        </w:rPr>
        <w:t>575</w:t>
      </w:r>
      <w:r w:rsidRPr="009D48A5">
        <w:rPr>
          <w:rFonts w:hint="eastAsia"/>
        </w:rPr>
        <w:t>页</w:t>
      </w:r>
      <w:r>
        <w:rPr>
          <w:rFonts w:hint="eastAsia"/>
        </w:rPr>
        <w:t>；</w:t>
      </w:r>
      <w:r w:rsidRPr="009D48A5">
        <w:rPr>
          <w:rFonts w:hint="eastAsia"/>
        </w:rPr>
        <w:t>2 BvR 1506</w:t>
      </w:r>
      <w:r>
        <w:rPr>
          <w:rFonts w:hint="eastAsia"/>
        </w:rPr>
        <w:t>/</w:t>
      </w:r>
      <w:r w:rsidRPr="009D48A5">
        <w:rPr>
          <w:rFonts w:hint="eastAsia"/>
        </w:rPr>
        <w:t>0</w:t>
      </w:r>
      <w:r>
        <w:rPr>
          <w:rFonts w:hint="eastAsia"/>
        </w:rPr>
        <w:t>3,</w:t>
      </w:r>
      <w:r w:rsidRPr="009D48A5">
        <w:rPr>
          <w:rFonts w:hint="eastAsia"/>
        </w:rPr>
        <w:t xml:space="preserve"> </w:t>
      </w:r>
      <w:r w:rsidRPr="009D48A5">
        <w:rPr>
          <w:rFonts w:hint="eastAsia"/>
        </w:rPr>
        <w:t>德国联邦宪法法院</w:t>
      </w:r>
      <w:r>
        <w:rPr>
          <w:rFonts w:hint="eastAsia"/>
        </w:rPr>
        <w:t>，</w:t>
      </w:r>
      <w:r w:rsidRPr="009D48A5">
        <w:rPr>
          <w:rFonts w:hint="eastAsia"/>
        </w:rPr>
        <w:t>2003</w:t>
      </w:r>
      <w:r w:rsidRPr="009D48A5">
        <w:rPr>
          <w:rFonts w:hint="eastAsia"/>
        </w:rPr>
        <w:t>年</w:t>
      </w:r>
      <w:r w:rsidRPr="009D48A5">
        <w:rPr>
          <w:rFonts w:hint="eastAsia"/>
        </w:rPr>
        <w:t>11</w:t>
      </w:r>
      <w:r w:rsidRPr="009D48A5">
        <w:rPr>
          <w:rFonts w:hint="eastAsia"/>
        </w:rPr>
        <w:t>月</w:t>
      </w:r>
      <w:r w:rsidRPr="009D48A5">
        <w:rPr>
          <w:rFonts w:hint="eastAsia"/>
        </w:rPr>
        <w:t>5</w:t>
      </w:r>
      <w:r w:rsidRPr="009D48A5">
        <w:rPr>
          <w:rFonts w:hint="eastAsia"/>
        </w:rPr>
        <w:t>日第二审判庭的命令</w:t>
      </w:r>
      <w:r>
        <w:rPr>
          <w:rFonts w:hint="eastAsia"/>
        </w:rPr>
        <w:t>，</w:t>
      </w:r>
      <w:r w:rsidRPr="009D48A5">
        <w:rPr>
          <w:rFonts w:hint="eastAsia"/>
        </w:rPr>
        <w:t>第</w:t>
      </w:r>
      <w:r w:rsidRPr="009D48A5">
        <w:rPr>
          <w:rFonts w:hint="eastAsia"/>
        </w:rPr>
        <w:t>47</w:t>
      </w:r>
      <w:r w:rsidRPr="009D48A5">
        <w:rPr>
          <w:rFonts w:hint="eastAsia"/>
        </w:rPr>
        <w:t>段。</w:t>
      </w:r>
    </w:p>
  </w:footnote>
  <w:footnote w:id="319">
    <w:p w:rsidR="00AB00DE" w:rsidRPr="009D48A5" w:rsidRDefault="00AB00DE" w:rsidP="008D7906">
      <w:pPr>
        <w:pStyle w:val="a4"/>
      </w:pPr>
      <w:r w:rsidRPr="009D48A5">
        <w:rPr>
          <w:snapToGrid/>
        </w:rPr>
        <w:tab/>
      </w:r>
      <w:r w:rsidRPr="00DF5565">
        <w:rPr>
          <w:snapToGrid/>
          <w:color w:val="0000FF"/>
          <w:sz w:val="21"/>
          <w:vertAlign w:val="superscript"/>
        </w:rPr>
        <w:footnoteRef/>
      </w:r>
      <w:r w:rsidRPr="009D48A5">
        <w:rPr>
          <w:snapToGrid/>
        </w:rPr>
        <w:tab/>
      </w:r>
      <w:r w:rsidRPr="009D48A5">
        <w:rPr>
          <w:rFonts w:hint="eastAsia"/>
        </w:rPr>
        <w:t>见《国际法委员会章程》</w:t>
      </w:r>
      <w:r>
        <w:t>(</w:t>
      </w:r>
      <w:r w:rsidRPr="009D48A5">
        <w:t>1947</w:t>
      </w:r>
      <w:r>
        <w:t>)</w:t>
      </w:r>
      <w:r>
        <w:rPr>
          <w:rFonts w:hint="eastAsia"/>
        </w:rPr>
        <w:t>，</w:t>
      </w:r>
      <w:r w:rsidRPr="009D48A5">
        <w:rPr>
          <w:rFonts w:hint="eastAsia"/>
        </w:rPr>
        <w:t>大会</w:t>
      </w:r>
      <w:r w:rsidRPr="009D48A5">
        <w:rPr>
          <w:rFonts w:hint="eastAsia"/>
        </w:rPr>
        <w:t>1947</w:t>
      </w:r>
      <w:r w:rsidRPr="009D48A5">
        <w:rPr>
          <w:rFonts w:hint="eastAsia"/>
        </w:rPr>
        <w:t>年</w:t>
      </w:r>
      <w:r w:rsidRPr="009D48A5">
        <w:rPr>
          <w:rFonts w:hint="eastAsia"/>
        </w:rPr>
        <w:t>11</w:t>
      </w:r>
      <w:r w:rsidRPr="009D48A5">
        <w:rPr>
          <w:rFonts w:hint="eastAsia"/>
        </w:rPr>
        <w:t>月</w:t>
      </w:r>
      <w:r w:rsidRPr="009D48A5">
        <w:rPr>
          <w:rFonts w:hint="eastAsia"/>
        </w:rPr>
        <w:t>21</w:t>
      </w:r>
      <w:r w:rsidRPr="009D48A5">
        <w:rPr>
          <w:rFonts w:hint="eastAsia"/>
        </w:rPr>
        <w:t>日第</w:t>
      </w:r>
      <w:r w:rsidRPr="009D48A5">
        <w:t>174</w:t>
      </w:r>
      <w:r>
        <w:t>(</w:t>
      </w:r>
      <w:r w:rsidRPr="009D48A5">
        <w:t>II</w:t>
      </w:r>
      <w:r>
        <w:t>)</w:t>
      </w:r>
      <w:r w:rsidRPr="009D48A5">
        <w:rPr>
          <w:rFonts w:hint="eastAsia"/>
        </w:rPr>
        <w:t>号决议通过。</w:t>
      </w:r>
    </w:p>
  </w:footnote>
  <w:footnote w:id="320">
    <w:p w:rsidR="00AB00DE" w:rsidRPr="009D48A5" w:rsidRDefault="00AB00DE" w:rsidP="008D7906">
      <w:pPr>
        <w:pStyle w:val="a4"/>
      </w:pPr>
      <w:r w:rsidRPr="009D48A5">
        <w:rPr>
          <w:snapToGrid/>
        </w:rPr>
        <w:tab/>
      </w:r>
      <w:r w:rsidRPr="00DF5565">
        <w:rPr>
          <w:snapToGrid/>
          <w:color w:val="0000FF"/>
          <w:sz w:val="21"/>
          <w:vertAlign w:val="superscript"/>
        </w:rPr>
        <w:footnoteRef/>
      </w:r>
      <w:r w:rsidRPr="009D48A5">
        <w:rPr>
          <w:snapToGrid/>
        </w:rPr>
        <w:tab/>
      </w:r>
      <w:r w:rsidRPr="009D48A5">
        <w:rPr>
          <w:rFonts w:hint="eastAsia"/>
        </w:rPr>
        <w:t>一旦大会已就委员会的一项最终草案采取行动</w:t>
      </w:r>
      <w:r>
        <w:rPr>
          <w:rFonts w:hint="eastAsia"/>
        </w:rPr>
        <w:t>，</w:t>
      </w:r>
      <w:r w:rsidRPr="009D48A5">
        <w:rPr>
          <w:rFonts w:hint="eastAsia"/>
        </w:rPr>
        <w:t>例如在决议中加以评述或将其作为附件载于一项决议</w:t>
      </w:r>
      <w:r>
        <w:rPr>
          <w:rFonts w:hint="eastAsia"/>
        </w:rPr>
        <w:t>，</w:t>
      </w:r>
      <w:r w:rsidRPr="009D48A5">
        <w:rPr>
          <w:rFonts w:hint="eastAsia"/>
        </w:rPr>
        <w:t>委员会的工作成果也可在结论草案</w:t>
      </w:r>
      <w:r w:rsidRPr="009D48A5">
        <w:fldChar w:fldCharType="begin"/>
      </w:r>
      <w:r w:rsidRPr="009D48A5">
        <w:instrText xml:space="preserve"> REF DC12 \h  \* MERGEFORMAT </w:instrText>
      </w:r>
      <w:r w:rsidRPr="009D48A5">
        <w:fldChar w:fldCharType="separate"/>
      </w:r>
      <w:r w:rsidR="00A73EB9" w:rsidRPr="00A73EB9">
        <w:t>12</w:t>
      </w:r>
      <w:r w:rsidRPr="009D48A5">
        <w:fldChar w:fldCharType="end"/>
      </w:r>
      <w:r w:rsidRPr="009D48A5">
        <w:rPr>
          <w:rFonts w:hint="eastAsia"/>
        </w:rPr>
        <w:t>下进行考虑。</w:t>
      </w:r>
    </w:p>
  </w:footnote>
  <w:footnote w:id="321">
    <w:p w:rsidR="00AB00DE" w:rsidRPr="009D48A5" w:rsidRDefault="00AB00DE" w:rsidP="00267AB1">
      <w:pPr>
        <w:pStyle w:val="a4"/>
      </w:pPr>
      <w:r w:rsidRPr="009D48A5">
        <w:rPr>
          <w:snapToGrid/>
        </w:rPr>
        <w:tab/>
      </w:r>
      <w:r w:rsidRPr="00DF5565">
        <w:rPr>
          <w:snapToGrid/>
          <w:color w:val="0000FF"/>
          <w:sz w:val="21"/>
          <w:vertAlign w:val="superscript"/>
        </w:rPr>
        <w:footnoteRef/>
      </w:r>
      <w:r w:rsidRPr="009D48A5">
        <w:rPr>
          <w:snapToGrid/>
        </w:rPr>
        <w:tab/>
      </w:r>
      <w:r w:rsidRPr="009D48A5">
        <w:rPr>
          <w:rFonts w:ascii="Time New Roman" w:eastAsia="楷体" w:hAnsi="Time New Roman"/>
        </w:rPr>
        <w:t>大陆架案</w:t>
      </w:r>
      <w:r>
        <w:t>(</w:t>
      </w:r>
      <w:r w:rsidRPr="009D48A5">
        <w:rPr>
          <w:rFonts w:hint="eastAsia"/>
        </w:rPr>
        <w:t>见上文脚注</w:t>
      </w:r>
      <w:r>
        <w:fldChar w:fldCharType="begin"/>
      </w:r>
      <w:r>
        <w:instrText xml:space="preserve"> </w:instrText>
      </w:r>
      <w:r>
        <w:rPr>
          <w:rFonts w:hint="eastAsia"/>
        </w:rPr>
        <w:instrText>NOTEREF _Ref453667027 \h</w:instrText>
      </w:r>
      <w:r>
        <w:instrText xml:space="preserve"> </w:instrText>
      </w:r>
      <w:r>
        <w:fldChar w:fldCharType="separate"/>
      </w:r>
      <w:r w:rsidR="00A73EB9">
        <w:t>255</w:t>
      </w:r>
      <w:r>
        <w:fldChar w:fldCharType="end"/>
      </w:r>
      <w:r>
        <w:t>)</w:t>
      </w:r>
      <w:r>
        <w:rPr>
          <w:rFonts w:hint="eastAsia"/>
        </w:rPr>
        <w:t>，</w:t>
      </w:r>
      <w:r w:rsidRPr="009D48A5">
        <w:rPr>
          <w:rFonts w:hint="eastAsia"/>
        </w:rPr>
        <w:t>第</w:t>
      </w:r>
      <w:r w:rsidRPr="009D48A5">
        <w:t>29-30</w:t>
      </w:r>
      <w:r w:rsidRPr="009D48A5">
        <w:rPr>
          <w:rFonts w:hint="eastAsia"/>
        </w:rPr>
        <w:t>页</w:t>
      </w:r>
      <w:r>
        <w:rPr>
          <w:rFonts w:hint="eastAsia"/>
        </w:rPr>
        <w:t>，</w:t>
      </w:r>
      <w:r w:rsidRPr="009D48A5">
        <w:rPr>
          <w:rFonts w:hint="eastAsia"/>
        </w:rPr>
        <w:t>第</w:t>
      </w:r>
      <w:r w:rsidRPr="009D48A5">
        <w:t>27</w:t>
      </w:r>
      <w:r w:rsidRPr="009D48A5">
        <w:rPr>
          <w:rFonts w:hint="eastAsia"/>
        </w:rPr>
        <w:t>段</w:t>
      </w:r>
      <w:r>
        <w:t>(</w:t>
      </w:r>
      <w:r w:rsidRPr="009D48A5">
        <w:rPr>
          <w:rFonts w:hint="eastAsia"/>
        </w:rPr>
        <w:t>“</w:t>
      </w:r>
      <w:r w:rsidRPr="009D48A5">
        <w:t>当然</w:t>
      </w:r>
      <w:r>
        <w:t>，</w:t>
      </w:r>
      <w:r w:rsidRPr="009D48A5">
        <w:t>不言而喻</w:t>
      </w:r>
      <w:r>
        <w:t>，</w:t>
      </w:r>
      <w:r w:rsidRPr="009D48A5">
        <w:t>尽管多边公约在记录和界定</w:t>
      </w:r>
      <w:r>
        <w:t>，</w:t>
      </w:r>
      <w:r w:rsidRPr="009D48A5">
        <w:t>甚至发展源于习惯的规则方面可发挥重要作用</w:t>
      </w:r>
      <w:r>
        <w:t>，</w:t>
      </w:r>
      <w:r w:rsidRPr="009D48A5">
        <w:t>但习惯国际法的材料还是应主要在各国的实际惯例和法律确</w:t>
      </w:r>
      <w:r w:rsidRPr="009D48A5">
        <w:rPr>
          <w:rFonts w:hint="eastAsia"/>
        </w:rPr>
        <w:t>信</w:t>
      </w:r>
      <w:r w:rsidRPr="009D48A5">
        <w:t>中寻找</w:t>
      </w:r>
      <w:r w:rsidRPr="009D48A5">
        <w:rPr>
          <w:rFonts w:hint="eastAsia"/>
        </w:rPr>
        <w:t>”</w:t>
      </w:r>
      <w:r>
        <w:t>)</w:t>
      </w:r>
      <w:r w:rsidRPr="009D48A5">
        <w:rPr>
          <w:rFonts w:hint="eastAsia"/>
        </w:rPr>
        <w:t>。</w:t>
      </w:r>
      <w:r w:rsidRPr="009D48A5">
        <w:t>1969</w:t>
      </w:r>
      <w:r w:rsidRPr="009D48A5">
        <w:t>年《维也纳公约》第</w:t>
      </w:r>
      <w:r w:rsidRPr="009D48A5">
        <w:rPr>
          <w:rFonts w:hint="eastAsia"/>
        </w:rPr>
        <w:t>三十八</w:t>
      </w:r>
      <w:r w:rsidRPr="009D48A5">
        <w:t>条</w:t>
      </w:r>
      <w:r w:rsidRPr="009D48A5">
        <w:rPr>
          <w:rFonts w:hint="eastAsia"/>
        </w:rPr>
        <w:t>提到“</w:t>
      </w:r>
      <w:r w:rsidRPr="009D48A5">
        <w:t>条约所载规则成为对第三国有拘束力之公认国际法习惯规则</w:t>
      </w:r>
      <w:r w:rsidRPr="009D48A5">
        <w:rPr>
          <w:rFonts w:hint="eastAsia"/>
        </w:rPr>
        <w:t>”的可能性。</w:t>
      </w:r>
    </w:p>
  </w:footnote>
  <w:footnote w:id="322">
    <w:p w:rsidR="00AB00DE" w:rsidRPr="009D48A5" w:rsidRDefault="00AB00DE" w:rsidP="00267AB1">
      <w:pPr>
        <w:pStyle w:val="a4"/>
      </w:pPr>
      <w:r w:rsidRPr="009D48A5">
        <w:rPr>
          <w:snapToGrid/>
        </w:rPr>
        <w:tab/>
      </w:r>
      <w:r w:rsidRPr="00DF5565">
        <w:rPr>
          <w:snapToGrid/>
          <w:color w:val="0000FF"/>
          <w:sz w:val="21"/>
          <w:vertAlign w:val="superscript"/>
        </w:rPr>
        <w:footnoteRef/>
      </w:r>
      <w:r w:rsidRPr="009D48A5">
        <w:rPr>
          <w:snapToGrid/>
        </w:rPr>
        <w:tab/>
      </w:r>
      <w:r w:rsidRPr="009D48A5">
        <w:rPr>
          <w:rFonts w:hint="eastAsia"/>
        </w:rPr>
        <w:t>见</w:t>
      </w:r>
      <w:r w:rsidRPr="009D48A5">
        <w:rPr>
          <w:rFonts w:ascii="Time New Roman" w:eastAsia="楷体" w:hAnsi="Time New Roman"/>
        </w:rPr>
        <w:t>国家的司法管辖豁免</w:t>
      </w:r>
      <w:r>
        <w:t>(</w:t>
      </w:r>
      <w:r w:rsidRPr="009D48A5">
        <w:rPr>
          <w:rFonts w:hint="eastAsia"/>
        </w:rPr>
        <w:t>上文脚注</w:t>
      </w:r>
      <w:r>
        <w:fldChar w:fldCharType="begin"/>
      </w:r>
      <w:r>
        <w:instrText xml:space="preserve"> </w:instrText>
      </w:r>
      <w:r>
        <w:rPr>
          <w:rFonts w:hint="eastAsia"/>
        </w:rPr>
        <w:instrText>NOTEREF _Ref453667027 \h</w:instrText>
      </w:r>
      <w:r>
        <w:instrText xml:space="preserve"> </w:instrText>
      </w:r>
      <w:r>
        <w:fldChar w:fldCharType="separate"/>
      </w:r>
      <w:r w:rsidR="00A73EB9">
        <w:t>255</w:t>
      </w:r>
      <w:r>
        <w:fldChar w:fldCharType="end"/>
      </w:r>
      <w:r>
        <w:t>)</w:t>
      </w:r>
      <w:r>
        <w:rPr>
          <w:rFonts w:hint="eastAsia"/>
        </w:rPr>
        <w:t>，</w:t>
      </w:r>
      <w:r w:rsidRPr="009D48A5">
        <w:rPr>
          <w:rFonts w:hint="eastAsia"/>
        </w:rPr>
        <w:t>第</w:t>
      </w:r>
      <w:r w:rsidRPr="009D48A5">
        <w:t>128</w:t>
      </w:r>
      <w:r w:rsidRPr="009D48A5">
        <w:rPr>
          <w:rFonts w:hint="eastAsia"/>
        </w:rPr>
        <w:t>页</w:t>
      </w:r>
      <w:r>
        <w:rPr>
          <w:rFonts w:hint="eastAsia"/>
        </w:rPr>
        <w:t>，</w:t>
      </w:r>
      <w:r w:rsidRPr="009D48A5">
        <w:rPr>
          <w:rFonts w:hint="eastAsia"/>
        </w:rPr>
        <w:t>第</w:t>
      </w:r>
      <w:r w:rsidRPr="009D48A5">
        <w:t>66</w:t>
      </w:r>
      <w:r w:rsidRPr="009D48A5">
        <w:rPr>
          <w:rFonts w:hint="eastAsia"/>
        </w:rPr>
        <w:t>段</w:t>
      </w:r>
      <w:r>
        <w:rPr>
          <w:rFonts w:hint="eastAsia"/>
        </w:rPr>
        <w:t>；</w:t>
      </w:r>
      <w:r w:rsidRPr="009D48A5">
        <w:rPr>
          <w:rFonts w:hint="eastAsia"/>
        </w:rPr>
        <w:t>“</w:t>
      </w:r>
      <w:r w:rsidRPr="009D48A5">
        <w:t>便利各方利用国际习惯法</w:t>
      </w:r>
      <w:r w:rsidRPr="009D48A5">
        <w:rPr>
          <w:rFonts w:hint="eastAsia"/>
        </w:rPr>
        <w:t>的证据的方式和方法”</w:t>
      </w:r>
      <w:r>
        <w:rPr>
          <w:rFonts w:hint="eastAsia"/>
        </w:rPr>
        <w:t>，</w:t>
      </w:r>
      <w:r w:rsidRPr="009D48A5">
        <w:rPr>
          <w:rFonts w:ascii="Time New Roman" w:hAnsi="Time New Roman" w:hint="eastAsia"/>
        </w:rPr>
        <w:t>《</w:t>
      </w:r>
      <w:r w:rsidRPr="009D48A5">
        <w:rPr>
          <w:rFonts w:ascii="Time New Roman" w:hAnsi="Time New Roman"/>
        </w:rPr>
        <w:t>1950</w:t>
      </w:r>
      <w:r w:rsidRPr="009D48A5">
        <w:rPr>
          <w:rFonts w:ascii="Time New Roman" w:hAnsi="Time New Roman"/>
        </w:rPr>
        <w:t>年年鉴</w:t>
      </w:r>
      <w:r w:rsidRPr="009D48A5">
        <w:rPr>
          <w:rFonts w:ascii="Time New Roman" w:hAnsi="Time New Roman" w:hint="eastAsia"/>
        </w:rPr>
        <w:t>》</w:t>
      </w:r>
      <w:r>
        <w:rPr>
          <w:rFonts w:ascii="Time New Roman" w:hAnsi="Time New Roman" w:hint="eastAsia"/>
        </w:rPr>
        <w:t>，</w:t>
      </w:r>
      <w:r w:rsidRPr="009D48A5">
        <w:rPr>
          <w:rFonts w:ascii="Time New Roman" w:hAnsi="Time New Roman" w:hint="eastAsia"/>
        </w:rPr>
        <w:t>第二卷</w:t>
      </w:r>
      <w:r>
        <w:rPr>
          <w:rFonts w:hint="eastAsia"/>
        </w:rPr>
        <w:t>，</w:t>
      </w:r>
      <w:r w:rsidRPr="009D48A5">
        <w:t>A</w:t>
      </w:r>
      <w:r>
        <w:t>/</w:t>
      </w:r>
      <w:r w:rsidRPr="009D48A5">
        <w:t>1316</w:t>
      </w:r>
      <w:r w:rsidRPr="009D48A5">
        <w:rPr>
          <w:rFonts w:hint="eastAsia"/>
        </w:rPr>
        <w:t>号文件</w:t>
      </w:r>
      <w:r>
        <w:rPr>
          <w:rFonts w:hint="eastAsia"/>
        </w:rPr>
        <w:t>，</w:t>
      </w:r>
      <w:r w:rsidRPr="009D48A5">
        <w:rPr>
          <w:rFonts w:hint="eastAsia"/>
        </w:rPr>
        <w:t>第二篇</w:t>
      </w:r>
      <w:r>
        <w:rPr>
          <w:rFonts w:hint="eastAsia"/>
        </w:rPr>
        <w:t>，</w:t>
      </w:r>
      <w:r w:rsidRPr="009D48A5">
        <w:rPr>
          <w:rFonts w:hint="eastAsia"/>
        </w:rPr>
        <w:t>第</w:t>
      </w:r>
      <w:r w:rsidRPr="009D48A5">
        <w:rPr>
          <w:rFonts w:hint="eastAsia"/>
        </w:rPr>
        <w:t>368</w:t>
      </w:r>
      <w:r w:rsidRPr="009D48A5">
        <w:rPr>
          <w:rFonts w:hint="eastAsia"/>
        </w:rPr>
        <w:t>页</w:t>
      </w:r>
      <w:r>
        <w:rPr>
          <w:rFonts w:hint="eastAsia"/>
        </w:rPr>
        <w:t>，</w:t>
      </w:r>
      <w:r w:rsidRPr="009D48A5">
        <w:rPr>
          <w:rFonts w:hint="eastAsia"/>
        </w:rPr>
        <w:t>第</w:t>
      </w:r>
      <w:r w:rsidRPr="009D48A5">
        <w:rPr>
          <w:rFonts w:hint="eastAsia"/>
        </w:rPr>
        <w:t>29</w:t>
      </w:r>
      <w:r w:rsidRPr="009D48A5">
        <w:rPr>
          <w:rFonts w:hint="eastAsia"/>
        </w:rPr>
        <w:t>段</w:t>
      </w:r>
      <w:r>
        <w:rPr>
          <w:rFonts w:hint="eastAsia"/>
        </w:rPr>
        <w:t>，</w:t>
      </w:r>
      <w:r>
        <w:t>(</w:t>
      </w:r>
      <w:r w:rsidRPr="009D48A5">
        <w:rPr>
          <w:rFonts w:hint="eastAsia"/>
        </w:rPr>
        <w:t>“若干国家为力求确定国际习惯法中某项法则之存在</w:t>
      </w:r>
      <w:r>
        <w:rPr>
          <w:rFonts w:hint="eastAsia"/>
        </w:rPr>
        <w:t>，</w:t>
      </w:r>
      <w:r w:rsidRPr="009D48A5">
        <w:rPr>
          <w:rFonts w:hint="eastAsia"/>
        </w:rPr>
        <w:t>辄有将为他国所遵行之惯例订为协约者</w:t>
      </w:r>
      <w:r>
        <w:rPr>
          <w:rFonts w:hint="eastAsia"/>
        </w:rPr>
        <w:t>，</w:t>
      </w:r>
      <w:r w:rsidRPr="009D48A5">
        <w:rPr>
          <w:rFonts w:hint="eastAsia"/>
        </w:rPr>
        <w:t>甚至有将虽经签字而尚未生效之多边协约视为具有证明国际习惯法之价值者。”</w:t>
      </w:r>
      <w:r>
        <w:t>)</w:t>
      </w:r>
      <w:r w:rsidRPr="009D48A5">
        <w:rPr>
          <w:rFonts w:hint="eastAsia"/>
        </w:rPr>
        <w:t>。</w:t>
      </w:r>
    </w:p>
  </w:footnote>
  <w:footnote w:id="323">
    <w:p w:rsidR="00AB00DE" w:rsidRPr="009D48A5" w:rsidRDefault="00AB00DE" w:rsidP="008D7906">
      <w:pPr>
        <w:pStyle w:val="a4"/>
      </w:pPr>
      <w:r w:rsidRPr="009D48A5">
        <w:rPr>
          <w:snapToGrid/>
        </w:rPr>
        <w:tab/>
      </w:r>
      <w:r w:rsidRPr="00DF5565">
        <w:rPr>
          <w:snapToGrid/>
          <w:color w:val="0000FF"/>
          <w:sz w:val="21"/>
          <w:vertAlign w:val="superscript"/>
        </w:rPr>
        <w:footnoteRef/>
      </w:r>
      <w:r w:rsidRPr="009D48A5">
        <w:rPr>
          <w:snapToGrid/>
        </w:rPr>
        <w:tab/>
      </w:r>
      <w:r w:rsidRPr="009D48A5">
        <w:rPr>
          <w:rFonts w:hint="eastAsia"/>
        </w:rPr>
        <w:t>也有可能某单一条款仅部分宣示了习惯国际法。</w:t>
      </w:r>
    </w:p>
  </w:footnote>
  <w:footnote w:id="324">
    <w:p w:rsidR="00AB00DE" w:rsidRPr="009D48A5" w:rsidRDefault="00AB00DE" w:rsidP="00267AB1">
      <w:pPr>
        <w:pStyle w:val="a4"/>
      </w:pPr>
      <w:r w:rsidRPr="009D48A5">
        <w:rPr>
          <w:snapToGrid/>
        </w:rPr>
        <w:tab/>
      </w:r>
      <w:r w:rsidRPr="00DF5565">
        <w:rPr>
          <w:snapToGrid/>
          <w:color w:val="0000FF"/>
          <w:sz w:val="21"/>
          <w:vertAlign w:val="superscript"/>
        </w:rPr>
        <w:footnoteRef/>
      </w:r>
      <w:r w:rsidRPr="009D48A5">
        <w:rPr>
          <w:snapToGrid/>
        </w:rPr>
        <w:tab/>
      </w:r>
      <w:r w:rsidRPr="009D48A5">
        <w:rPr>
          <w:rFonts w:hint="eastAsia"/>
        </w:rPr>
        <w:t>例如见</w:t>
      </w:r>
      <w:r w:rsidRPr="009D48A5">
        <w:t>厄立特里亚</w:t>
      </w:r>
      <w:r w:rsidRPr="009D48A5">
        <w:rPr>
          <w:rFonts w:ascii="Time New Roman" w:eastAsia="楷体" w:hAnsi="Time New Roman" w:hint="eastAsia"/>
          <w:snapToGrid/>
        </w:rPr>
        <w:t>－</w:t>
      </w:r>
      <w:r w:rsidRPr="009D48A5">
        <w:t>埃塞俄比亚</w:t>
      </w:r>
      <w:r w:rsidRPr="009D48A5">
        <w:rPr>
          <w:rFonts w:hint="eastAsia"/>
        </w:rPr>
        <w:t>混合索赔委员会</w:t>
      </w:r>
      <w:r>
        <w:rPr>
          <w:rFonts w:hint="eastAsia"/>
        </w:rPr>
        <w:t>，</w:t>
      </w:r>
      <w:r w:rsidRPr="009D48A5">
        <w:rPr>
          <w:rFonts w:ascii="Time New Roman" w:eastAsia="楷体" w:hAnsi="Time New Roman"/>
        </w:rPr>
        <w:t>部分裁决</w:t>
      </w:r>
      <w:r>
        <w:rPr>
          <w:rFonts w:ascii="Time New Roman" w:eastAsia="楷体" w:hAnsi="Time New Roman"/>
        </w:rPr>
        <w:t>：</w:t>
      </w:r>
      <w:r w:rsidRPr="009D48A5">
        <w:rPr>
          <w:rFonts w:ascii="Time New Roman" w:eastAsia="楷体" w:hAnsi="Time New Roman"/>
        </w:rPr>
        <w:t>战俘</w:t>
      </w:r>
      <w:r>
        <w:rPr>
          <w:rFonts w:ascii="Time New Roman" w:eastAsia="楷体" w:hAnsi="Time New Roman"/>
        </w:rPr>
        <w:t>，</w:t>
      </w:r>
      <w:r w:rsidRPr="009D48A5">
        <w:rPr>
          <w:rFonts w:ascii="Time New Roman" w:eastAsia="楷体" w:hAnsi="Time New Roman"/>
        </w:rPr>
        <w:t>埃塞俄比亚的第</w:t>
      </w:r>
      <w:r w:rsidRPr="009D48A5">
        <w:rPr>
          <w:rFonts w:ascii="Time New Roman" w:eastAsia="楷体" w:hAnsi="Time New Roman"/>
        </w:rPr>
        <w:t>4</w:t>
      </w:r>
      <w:r w:rsidRPr="009D48A5">
        <w:rPr>
          <w:rFonts w:ascii="Time New Roman" w:eastAsia="楷体" w:hAnsi="Time New Roman"/>
        </w:rPr>
        <w:t>号索赔</w:t>
      </w:r>
      <w:r>
        <w:rPr>
          <w:rFonts w:hint="eastAsia"/>
        </w:rPr>
        <w:t>，</w:t>
      </w:r>
      <w:r w:rsidRPr="009D48A5">
        <w:rPr>
          <w:rFonts w:hint="eastAsia"/>
        </w:rPr>
        <w:t>2003</w:t>
      </w:r>
      <w:r w:rsidRPr="009D48A5">
        <w:rPr>
          <w:rFonts w:hint="eastAsia"/>
        </w:rPr>
        <w:t>年</w:t>
      </w:r>
      <w:r w:rsidRPr="009D48A5">
        <w:rPr>
          <w:rFonts w:hint="eastAsia"/>
        </w:rPr>
        <w:t>7</w:t>
      </w:r>
      <w:r w:rsidRPr="009D48A5">
        <w:rPr>
          <w:rFonts w:hint="eastAsia"/>
        </w:rPr>
        <w:t>月</w:t>
      </w:r>
      <w:r w:rsidRPr="009D48A5">
        <w:rPr>
          <w:rFonts w:hint="eastAsia"/>
        </w:rPr>
        <w:t>1</w:t>
      </w:r>
      <w:r w:rsidRPr="009D48A5">
        <w:rPr>
          <w:rFonts w:hint="eastAsia"/>
        </w:rPr>
        <w:t>日</w:t>
      </w:r>
      <w:r>
        <w:rPr>
          <w:rFonts w:hint="eastAsia"/>
        </w:rPr>
        <w:t>，</w:t>
      </w:r>
      <w:r w:rsidRPr="009D48A5">
        <w:rPr>
          <w:rFonts w:hint="eastAsia"/>
        </w:rPr>
        <w:t>联合国</w:t>
      </w:r>
      <w:r>
        <w:rPr>
          <w:rFonts w:hint="eastAsia"/>
        </w:rPr>
        <w:t>，</w:t>
      </w:r>
      <w:r w:rsidRPr="009D48A5">
        <w:rPr>
          <w:rFonts w:hint="eastAsia"/>
        </w:rPr>
        <w:t>《国际仲裁裁决汇编》</w:t>
      </w:r>
      <w:r>
        <w:rPr>
          <w:rFonts w:hint="eastAsia"/>
        </w:rPr>
        <w:t>，</w:t>
      </w:r>
      <w:r w:rsidRPr="009D48A5">
        <w:rPr>
          <w:rFonts w:hint="eastAsia"/>
        </w:rPr>
        <w:t>第二十六卷</w:t>
      </w:r>
      <w:r>
        <w:t>(</w:t>
      </w:r>
      <w:r w:rsidRPr="009D48A5">
        <w:rPr>
          <w:rFonts w:hint="eastAsia"/>
        </w:rPr>
        <w:t>出售品编号</w:t>
      </w:r>
      <w:r w:rsidRPr="009D48A5">
        <w:t>E</w:t>
      </w:r>
      <w:r>
        <w:t>/</w:t>
      </w:r>
      <w:r w:rsidRPr="009D48A5">
        <w:t>F.0</w:t>
      </w:r>
      <w:r>
        <w:t>6.</w:t>
      </w:r>
      <w:r w:rsidRPr="009D48A5">
        <w:t>V.7</w:t>
      </w:r>
      <w:r>
        <w:t>)</w:t>
      </w:r>
      <w:r>
        <w:rPr>
          <w:rFonts w:hint="eastAsia"/>
        </w:rPr>
        <w:t>，</w:t>
      </w:r>
      <w:r w:rsidRPr="009D48A5">
        <w:rPr>
          <w:rFonts w:hint="eastAsia"/>
        </w:rPr>
        <w:t>第</w:t>
      </w:r>
      <w:r w:rsidRPr="009D48A5">
        <w:rPr>
          <w:rFonts w:hint="eastAsia"/>
        </w:rPr>
        <w:t>73-114</w:t>
      </w:r>
      <w:r w:rsidRPr="009D48A5">
        <w:rPr>
          <w:rFonts w:hint="eastAsia"/>
        </w:rPr>
        <w:t>页</w:t>
      </w:r>
      <w:r>
        <w:rPr>
          <w:rFonts w:hint="eastAsia"/>
        </w:rPr>
        <w:t>，</w:t>
      </w:r>
      <w:r w:rsidRPr="009D48A5">
        <w:rPr>
          <w:rFonts w:hint="eastAsia"/>
        </w:rPr>
        <w:t>见第</w:t>
      </w:r>
      <w:r w:rsidRPr="009D48A5">
        <w:rPr>
          <w:rFonts w:hint="eastAsia"/>
        </w:rPr>
        <w:t>86-97</w:t>
      </w:r>
      <w:r w:rsidRPr="009D48A5">
        <w:rPr>
          <w:rFonts w:hint="eastAsia"/>
        </w:rPr>
        <w:t>页</w:t>
      </w:r>
      <w:r>
        <w:rPr>
          <w:rFonts w:hint="eastAsia"/>
        </w:rPr>
        <w:t>，</w:t>
      </w:r>
      <w:r w:rsidRPr="009D48A5">
        <w:rPr>
          <w:rFonts w:hint="eastAsia"/>
        </w:rPr>
        <w:t>第</w:t>
      </w:r>
      <w:r w:rsidRPr="009D48A5">
        <w:rPr>
          <w:rFonts w:hint="eastAsia"/>
        </w:rPr>
        <w:t>31</w:t>
      </w:r>
      <w:r w:rsidRPr="009D48A5">
        <w:rPr>
          <w:rFonts w:hint="eastAsia"/>
        </w:rPr>
        <w:t>段</w:t>
      </w:r>
      <w:r>
        <w:rPr>
          <w:rFonts w:hint="eastAsia"/>
        </w:rPr>
        <w:t>(</w:t>
      </w:r>
      <w:r w:rsidRPr="009D48A5">
        <w:rPr>
          <w:rFonts w:hint="eastAsia"/>
        </w:rPr>
        <w:t>“当然</w:t>
      </w:r>
      <w:r>
        <w:rPr>
          <w:rFonts w:hint="eastAsia"/>
        </w:rPr>
        <w:t>，</w:t>
      </w:r>
      <w:r w:rsidRPr="009D48A5">
        <w:rPr>
          <w:rFonts w:hint="eastAsia"/>
        </w:rPr>
        <w:t>关于</w:t>
      </w:r>
      <w:r w:rsidRPr="009D48A5">
        <w:rPr>
          <w:rFonts w:hint="eastAsia"/>
        </w:rPr>
        <w:t>1949</w:t>
      </w:r>
      <w:r w:rsidRPr="009D48A5">
        <w:rPr>
          <w:rFonts w:hint="eastAsia"/>
        </w:rPr>
        <w:t>年日内瓦四公约已大体上成为习惯国际法表述的主张具有重要的现代效力</w:t>
      </w:r>
      <w:r>
        <w:rPr>
          <w:rFonts w:hint="eastAsia"/>
        </w:rPr>
        <w:t>，</w:t>
      </w:r>
      <w:r w:rsidRPr="009D48A5">
        <w:rPr>
          <w:rFonts w:hint="eastAsia"/>
        </w:rPr>
        <w:t>并且本案中的双方均赞同这一点。这些公约获得了几乎普遍的接受这一事实本身也支持这项结论”</w:t>
      </w:r>
      <w:r>
        <w:rPr>
          <w:rFonts w:hint="eastAsia"/>
        </w:rPr>
        <w:t>(</w:t>
      </w:r>
      <w:r w:rsidRPr="009D48A5">
        <w:rPr>
          <w:rFonts w:hint="eastAsia"/>
        </w:rPr>
        <w:t>脚注省略</w:t>
      </w:r>
      <w:r>
        <w:rPr>
          <w:rFonts w:hint="eastAsia"/>
        </w:rPr>
        <w:t>))</w:t>
      </w:r>
      <w:r>
        <w:rPr>
          <w:rFonts w:hint="eastAsia"/>
        </w:rPr>
        <w:t>；</w:t>
      </w:r>
      <w:r w:rsidRPr="009D48A5">
        <w:rPr>
          <w:rFonts w:ascii="Time New Roman" w:eastAsia="楷体" w:hAnsi="Time New Roman"/>
        </w:rPr>
        <w:t>检察官诉萨姆</w:t>
      </w:r>
      <w:r>
        <w:rPr>
          <w:rFonts w:hint="eastAsia"/>
          <w:lang w:val="fr-CH"/>
        </w:rPr>
        <w:t>·</w:t>
      </w:r>
      <w:r w:rsidRPr="009D48A5">
        <w:rPr>
          <w:rFonts w:ascii="Time New Roman" w:eastAsia="楷体" w:hAnsi="Time New Roman"/>
        </w:rPr>
        <w:t>欣加</w:t>
      </w:r>
      <w:r>
        <w:rPr>
          <w:rFonts w:hint="eastAsia"/>
          <w:lang w:val="fr-CH"/>
        </w:rPr>
        <w:t>·</w:t>
      </w:r>
      <w:r w:rsidRPr="009D48A5">
        <w:rPr>
          <w:rFonts w:ascii="Time New Roman" w:eastAsia="楷体" w:hAnsi="Time New Roman"/>
        </w:rPr>
        <w:t>诺曼案</w:t>
      </w:r>
      <w:r>
        <w:t>(</w:t>
      </w:r>
      <w:r w:rsidRPr="009D48A5">
        <w:rPr>
          <w:rFonts w:hint="eastAsia"/>
        </w:rPr>
        <w:t>见上文脚注</w:t>
      </w:r>
      <w:r>
        <w:fldChar w:fldCharType="begin"/>
      </w:r>
      <w:r>
        <w:instrText xml:space="preserve"> </w:instrText>
      </w:r>
      <w:r>
        <w:rPr>
          <w:rFonts w:hint="eastAsia"/>
        </w:rPr>
        <w:instrText>NOTEREF _Ref461975062 \h</w:instrText>
      </w:r>
      <w:r>
        <w:instrText xml:space="preserve"> </w:instrText>
      </w:r>
      <w:r>
        <w:fldChar w:fldCharType="separate"/>
      </w:r>
      <w:r w:rsidR="00A73EB9">
        <w:t>258</w:t>
      </w:r>
      <w:r>
        <w:fldChar w:fldCharType="end"/>
      </w:r>
      <w:r>
        <w:t>)</w:t>
      </w:r>
      <w:r>
        <w:rPr>
          <w:rFonts w:hint="eastAsia"/>
        </w:rPr>
        <w:t>，</w:t>
      </w:r>
      <w:r w:rsidRPr="009D48A5">
        <w:rPr>
          <w:rFonts w:hint="eastAsia"/>
        </w:rPr>
        <w:t>见第</w:t>
      </w:r>
      <w:r w:rsidRPr="009D48A5">
        <w:rPr>
          <w:rFonts w:hint="eastAsia"/>
        </w:rPr>
        <w:t>17-20</w:t>
      </w:r>
      <w:r w:rsidRPr="009D48A5">
        <w:rPr>
          <w:rFonts w:hint="eastAsia"/>
        </w:rPr>
        <w:t>段</w:t>
      </w:r>
      <w:r>
        <w:t>(</w:t>
      </w:r>
      <w:r w:rsidRPr="009D48A5">
        <w:rPr>
          <w:rFonts w:hint="eastAsia"/>
        </w:rPr>
        <w:t>除其他外</w:t>
      </w:r>
      <w:r>
        <w:rPr>
          <w:rFonts w:hint="eastAsia"/>
        </w:rPr>
        <w:t>，</w:t>
      </w:r>
      <w:r w:rsidRPr="009D48A5">
        <w:rPr>
          <w:rFonts w:hint="eastAsia"/>
        </w:rPr>
        <w:t>提到“极大的认可</w:t>
      </w:r>
      <w:r>
        <w:rPr>
          <w:rFonts w:hint="eastAsia"/>
        </w:rPr>
        <w:t>，</w:t>
      </w:r>
      <w:r w:rsidRPr="009D48A5">
        <w:rPr>
          <w:rFonts w:hint="eastAsia"/>
        </w:rPr>
        <w:t>所有国际文书中程度最高的接受程度”来说明《儿童权利公约》的有关条款已反映习惯国际法</w:t>
      </w:r>
      <w:r>
        <w:t>)</w:t>
      </w:r>
      <w:r>
        <w:rPr>
          <w:rFonts w:hint="eastAsia"/>
        </w:rPr>
        <w:t>；</w:t>
      </w:r>
      <w:r w:rsidRPr="009D48A5">
        <w:rPr>
          <w:rFonts w:ascii="Time New Roman" w:eastAsia="楷体" w:hAnsi="Time New Roman"/>
        </w:rPr>
        <w:t>南非不顾安全理事会第</w:t>
      </w:r>
      <w:r w:rsidRPr="009D48A5">
        <w:rPr>
          <w:rFonts w:ascii="Time New Roman" w:eastAsia="楷体" w:hAnsi="Time New Roman"/>
        </w:rPr>
        <w:t>276</w:t>
      </w:r>
      <w:r>
        <w:rPr>
          <w:rFonts w:ascii="Time New Roman" w:eastAsia="楷体" w:hAnsi="Time New Roman"/>
        </w:rPr>
        <w:t>(</w:t>
      </w:r>
      <w:r w:rsidRPr="009D48A5">
        <w:rPr>
          <w:rFonts w:ascii="Time New Roman" w:eastAsia="楷体" w:hAnsi="Time New Roman"/>
        </w:rPr>
        <w:t>1970</w:t>
      </w:r>
      <w:r>
        <w:rPr>
          <w:rFonts w:ascii="Time New Roman" w:eastAsia="楷体" w:hAnsi="Time New Roman"/>
        </w:rPr>
        <w:t>)</w:t>
      </w:r>
      <w:r w:rsidRPr="009D48A5">
        <w:rPr>
          <w:rFonts w:ascii="Time New Roman" w:eastAsia="楷体" w:hAnsi="Time New Roman"/>
        </w:rPr>
        <w:t>号决议继续留驻纳米比亚</w:t>
      </w:r>
      <w:r>
        <w:rPr>
          <w:rFonts w:ascii="Time New Roman" w:eastAsia="楷体" w:hAnsi="Time New Roman"/>
        </w:rPr>
        <w:t>(</w:t>
      </w:r>
      <w:r w:rsidRPr="009D48A5">
        <w:rPr>
          <w:rFonts w:ascii="Time New Roman" w:eastAsia="楷体" w:hAnsi="Time New Roman"/>
        </w:rPr>
        <w:t>西南非洲</w:t>
      </w:r>
      <w:r>
        <w:rPr>
          <w:rFonts w:ascii="Time New Roman" w:eastAsia="楷体" w:hAnsi="Time New Roman"/>
        </w:rPr>
        <w:t>)</w:t>
      </w:r>
      <w:r w:rsidRPr="009D48A5">
        <w:rPr>
          <w:rFonts w:ascii="Time New Roman" w:eastAsia="楷体" w:hAnsi="Time New Roman"/>
        </w:rPr>
        <w:t>对各国的法律后果</w:t>
      </w:r>
      <w:r>
        <w:rPr>
          <w:rFonts w:ascii="Time New Roman" w:eastAsia="楷体" w:hAnsi="Time New Roman"/>
        </w:rPr>
        <w:t>，</w:t>
      </w:r>
      <w:r w:rsidRPr="009D48A5">
        <w:rPr>
          <w:rFonts w:ascii="Time New Roman" w:eastAsia="楷体" w:hAnsi="Time New Roman"/>
        </w:rPr>
        <w:t>咨询意见</w:t>
      </w:r>
      <w:r>
        <w:t>，</w:t>
      </w:r>
      <w:r w:rsidRPr="009D48A5">
        <w:t>《</w:t>
      </w:r>
      <w:r w:rsidRPr="009D48A5">
        <w:t>1971</w:t>
      </w:r>
      <w:r w:rsidRPr="009D48A5">
        <w:t>年国际法院案例汇编》</w:t>
      </w:r>
      <w:r>
        <w:t>，</w:t>
      </w:r>
      <w:r w:rsidRPr="009D48A5">
        <w:t>第</w:t>
      </w:r>
      <w:r w:rsidRPr="009D48A5">
        <w:t>16</w:t>
      </w:r>
      <w:r w:rsidRPr="009D48A5">
        <w:t>页</w:t>
      </w:r>
      <w:r w:rsidRPr="009D48A5">
        <w:rPr>
          <w:rFonts w:hint="eastAsia"/>
        </w:rPr>
        <w:t>起</w:t>
      </w:r>
      <w:r>
        <w:t>，</w:t>
      </w:r>
      <w:r w:rsidRPr="009D48A5">
        <w:t>见第</w:t>
      </w:r>
      <w:r w:rsidRPr="009D48A5">
        <w:t>47</w:t>
      </w:r>
      <w:r w:rsidRPr="009D48A5">
        <w:t>页</w:t>
      </w:r>
      <w:r>
        <w:t>，</w:t>
      </w:r>
      <w:r w:rsidRPr="009D48A5">
        <w:t>第</w:t>
      </w:r>
      <w:r w:rsidRPr="009D48A5">
        <w:t>94</w:t>
      </w:r>
      <w:r w:rsidRPr="009D48A5">
        <w:t>段</w:t>
      </w:r>
      <w:r>
        <w:t>(</w:t>
      </w:r>
      <w:r w:rsidRPr="009D48A5">
        <w:rPr>
          <w:rFonts w:hint="eastAsia"/>
        </w:rPr>
        <w:t>“</w:t>
      </w:r>
      <w:r w:rsidRPr="009D48A5">
        <w:t>《维也纳条约法公约》规定的关于因违约而终止条约关系的各项规则</w:t>
      </w:r>
      <w:r>
        <w:t>(</w:t>
      </w:r>
      <w:r w:rsidRPr="009D48A5">
        <w:t>无反对票</w:t>
      </w:r>
      <w:r>
        <w:t>，</w:t>
      </w:r>
      <w:r w:rsidRPr="009D48A5">
        <w:t>获得通过</w:t>
      </w:r>
      <w:r>
        <w:t>)</w:t>
      </w:r>
      <w:r w:rsidRPr="009D48A5">
        <w:t>可能在许多方面被认为是编纂关于这一主题的现有习惯法</w:t>
      </w:r>
      <w:r w:rsidRPr="009D48A5">
        <w:rPr>
          <w:rFonts w:hint="eastAsia"/>
        </w:rPr>
        <w:t>”</w:t>
      </w:r>
      <w:r>
        <w:t>)</w:t>
      </w:r>
      <w:r w:rsidRPr="009D48A5">
        <w:t>。</w:t>
      </w:r>
    </w:p>
  </w:footnote>
  <w:footnote w:id="325">
    <w:p w:rsidR="00AB00DE" w:rsidRPr="009D48A5" w:rsidRDefault="00AB00DE" w:rsidP="00267AB1">
      <w:pPr>
        <w:pStyle w:val="a4"/>
      </w:pPr>
      <w:r w:rsidRPr="009D48A5">
        <w:rPr>
          <w:snapToGrid/>
        </w:rPr>
        <w:tab/>
      </w:r>
      <w:r w:rsidRPr="00DF5565">
        <w:rPr>
          <w:snapToGrid/>
          <w:color w:val="0000FF"/>
          <w:sz w:val="21"/>
          <w:vertAlign w:val="superscript"/>
        </w:rPr>
        <w:footnoteRef/>
      </w:r>
      <w:r w:rsidRPr="009D48A5">
        <w:rPr>
          <w:snapToGrid/>
        </w:rPr>
        <w:tab/>
      </w:r>
      <w:r w:rsidRPr="009D48A5">
        <w:rPr>
          <w:rFonts w:hint="eastAsia"/>
        </w:rPr>
        <w:t>例如</w:t>
      </w:r>
      <w:r>
        <w:rPr>
          <w:rFonts w:hint="eastAsia"/>
        </w:rPr>
        <w:t>，</w:t>
      </w:r>
      <w:r w:rsidRPr="009D48A5">
        <w:rPr>
          <w:rFonts w:hint="eastAsia"/>
        </w:rPr>
        <w:t>见</w:t>
      </w:r>
      <w:r w:rsidRPr="009D48A5">
        <w:rPr>
          <w:rFonts w:ascii="Time New Roman" w:eastAsia="楷体" w:hAnsi="Time New Roman"/>
        </w:rPr>
        <w:t>大陆架案</w:t>
      </w:r>
      <w:r>
        <w:t>(</w:t>
      </w:r>
      <w:r w:rsidRPr="009D48A5">
        <w:rPr>
          <w:rFonts w:hint="eastAsia"/>
        </w:rPr>
        <w:t>上文脚注</w:t>
      </w:r>
      <w:r>
        <w:fldChar w:fldCharType="begin"/>
      </w:r>
      <w:r>
        <w:instrText xml:space="preserve"> </w:instrText>
      </w:r>
      <w:r>
        <w:rPr>
          <w:rFonts w:hint="eastAsia"/>
        </w:rPr>
        <w:instrText>NOTEREF _Ref453667027 \h</w:instrText>
      </w:r>
      <w:r>
        <w:instrText xml:space="preserve"> </w:instrText>
      </w:r>
      <w:r>
        <w:fldChar w:fldCharType="separate"/>
      </w:r>
      <w:r w:rsidR="00A73EB9">
        <w:t>255</w:t>
      </w:r>
      <w:r>
        <w:fldChar w:fldCharType="end"/>
      </w:r>
      <w:r>
        <w:t>)</w:t>
      </w:r>
      <w:r>
        <w:rPr>
          <w:rFonts w:hint="eastAsia"/>
        </w:rPr>
        <w:t>，</w:t>
      </w:r>
      <w:r w:rsidRPr="009D48A5">
        <w:rPr>
          <w:rFonts w:hint="eastAsia"/>
        </w:rPr>
        <w:t>见第</w:t>
      </w:r>
      <w:r w:rsidRPr="009D48A5">
        <w:rPr>
          <w:rFonts w:hint="eastAsia"/>
        </w:rPr>
        <w:t>30</w:t>
      </w:r>
      <w:r w:rsidRPr="009D48A5">
        <w:rPr>
          <w:rFonts w:hint="eastAsia"/>
        </w:rPr>
        <w:t>页</w:t>
      </w:r>
      <w:r>
        <w:rPr>
          <w:rFonts w:hint="eastAsia"/>
        </w:rPr>
        <w:t>，</w:t>
      </w:r>
      <w:r w:rsidRPr="009D48A5">
        <w:rPr>
          <w:rFonts w:hint="eastAsia"/>
        </w:rPr>
        <w:t>第</w:t>
      </w:r>
      <w:r w:rsidRPr="009D48A5">
        <w:rPr>
          <w:rFonts w:hint="eastAsia"/>
        </w:rPr>
        <w:t>27</w:t>
      </w:r>
      <w:r w:rsidRPr="009D48A5">
        <w:rPr>
          <w:rFonts w:hint="eastAsia"/>
        </w:rPr>
        <w:t>段</w:t>
      </w:r>
      <w:r>
        <w:rPr>
          <w:rFonts w:hint="eastAsia"/>
        </w:rPr>
        <w:t>(</w:t>
      </w:r>
      <w:r w:rsidRPr="009D48A5">
        <w:rPr>
          <w:rFonts w:hint="eastAsia"/>
        </w:rPr>
        <w:t>“</w:t>
      </w:r>
      <w:r w:rsidRPr="009D48A5">
        <w:t>不可否认</w:t>
      </w:r>
      <w:r>
        <w:t>，</w:t>
      </w:r>
      <w:r w:rsidRPr="009D48A5">
        <w:t>1982</w:t>
      </w:r>
      <w:r w:rsidRPr="009D48A5">
        <w:t>年的《公约》</w:t>
      </w:r>
      <w:r>
        <w:rPr>
          <w:rFonts w:hint="eastAsia"/>
        </w:rPr>
        <w:t>[</w:t>
      </w:r>
      <w:r w:rsidRPr="009D48A5">
        <w:rPr>
          <w:rFonts w:hint="eastAsia"/>
        </w:rPr>
        <w:t>《海洋法公约》</w:t>
      </w:r>
      <w:r w:rsidRPr="009D48A5">
        <w:rPr>
          <w:rFonts w:hint="eastAsia"/>
          <w:spacing w:val="-50"/>
        </w:rPr>
        <w:t>―</w:t>
      </w:r>
      <w:r w:rsidRPr="009D48A5">
        <w:rPr>
          <w:rFonts w:hint="eastAsia"/>
        </w:rPr>
        <w:t>―当时尚未生效</w:t>
      </w:r>
      <w:r>
        <w:rPr>
          <w:rFonts w:hint="eastAsia"/>
        </w:rPr>
        <w:t>]</w:t>
      </w:r>
      <w:r w:rsidRPr="009D48A5">
        <w:t>已被绝大多数国家通过</w:t>
      </w:r>
      <w:r>
        <w:t>，</w:t>
      </w:r>
      <w:r w:rsidRPr="009D48A5">
        <w:t>具有十分重要的意义</w:t>
      </w:r>
      <w:r>
        <w:t>；</w:t>
      </w:r>
      <w:r w:rsidRPr="009D48A5">
        <w:t>因此</w:t>
      </w:r>
      <w:r>
        <w:t>，</w:t>
      </w:r>
      <w:r w:rsidRPr="009D48A5">
        <w:t>即便当事方没有提到《公约》</w:t>
      </w:r>
      <w:r>
        <w:t>，</w:t>
      </w:r>
      <w:r w:rsidRPr="009D48A5">
        <w:t>法院显然也有义务考虑《公约》任何相关条款作为习惯国际法规则在何种程度上对当事方具有约束力</w:t>
      </w:r>
      <w:r w:rsidRPr="009D48A5">
        <w:rPr>
          <w:rFonts w:hint="eastAsia"/>
        </w:rPr>
        <w:t>”</w:t>
      </w:r>
      <w:r>
        <w:rPr>
          <w:rFonts w:hint="eastAsia"/>
        </w:rPr>
        <w:t>)</w:t>
      </w:r>
      <w:r w:rsidRPr="009D48A5">
        <w:rPr>
          <w:rFonts w:hint="eastAsia"/>
        </w:rPr>
        <w:t>。</w:t>
      </w:r>
    </w:p>
  </w:footnote>
  <w:footnote w:id="326">
    <w:p w:rsidR="00AB00DE" w:rsidRPr="009D48A5" w:rsidRDefault="00AB00DE" w:rsidP="00267AB1">
      <w:pPr>
        <w:pStyle w:val="a4"/>
      </w:pPr>
      <w:r w:rsidRPr="009D48A5">
        <w:rPr>
          <w:snapToGrid/>
        </w:rPr>
        <w:tab/>
      </w:r>
      <w:r w:rsidRPr="00DF5565">
        <w:rPr>
          <w:snapToGrid/>
          <w:color w:val="0000FF"/>
          <w:sz w:val="21"/>
          <w:vertAlign w:val="superscript"/>
        </w:rPr>
        <w:footnoteRef/>
      </w:r>
      <w:r w:rsidRPr="009D48A5">
        <w:rPr>
          <w:snapToGrid/>
        </w:rPr>
        <w:tab/>
      </w:r>
      <w:r w:rsidRPr="009D48A5">
        <w:rPr>
          <w:rFonts w:hint="eastAsia"/>
        </w:rPr>
        <w:t>在</w:t>
      </w:r>
      <w:r w:rsidRPr="009D48A5">
        <w:rPr>
          <w:rFonts w:ascii="Time New Roman" w:eastAsia="楷体" w:hAnsi="Time New Roman" w:hint="eastAsia"/>
        </w:rPr>
        <w:t>北海大陆架案</w:t>
      </w:r>
      <w:r w:rsidRPr="009D48A5">
        <w:rPr>
          <w:rFonts w:hint="eastAsia"/>
        </w:rPr>
        <w:t>中</w:t>
      </w:r>
      <w:r>
        <w:rPr>
          <w:rFonts w:hint="eastAsia"/>
        </w:rPr>
        <w:t>，</w:t>
      </w:r>
      <w:r w:rsidRPr="009D48A5">
        <w:rPr>
          <w:rFonts w:hint="eastAsia"/>
        </w:rPr>
        <w:t>这种考虑致使所引述的若干国家惯例被视为不充分的证据</w:t>
      </w:r>
      <w:r>
        <w:t>(</w:t>
      </w:r>
      <w:r w:rsidRPr="009D48A5">
        <w:rPr>
          <w:rFonts w:ascii="Time New Roman" w:eastAsia="楷体" w:hAnsi="Time New Roman" w:hint="eastAsia"/>
        </w:rPr>
        <w:t>北海大陆架</w:t>
      </w:r>
      <w:r>
        <w:t>(</w:t>
      </w:r>
      <w:r w:rsidRPr="009D48A5">
        <w:rPr>
          <w:rFonts w:hint="eastAsia"/>
        </w:rPr>
        <w:t>见上文脚注</w:t>
      </w:r>
      <w:r>
        <w:rPr>
          <w:szCs w:val="18"/>
        </w:rPr>
        <w:fldChar w:fldCharType="begin"/>
      </w:r>
      <w:r>
        <w:rPr>
          <w:szCs w:val="18"/>
        </w:rPr>
        <w:instrText xml:space="preserve"> </w:instrText>
      </w:r>
      <w:r>
        <w:rPr>
          <w:rFonts w:hint="eastAsia"/>
          <w:szCs w:val="18"/>
        </w:rPr>
        <w:instrText>NOTEREF _Ref453666652 \h</w:instrText>
      </w:r>
      <w:r>
        <w:rPr>
          <w:szCs w:val="18"/>
        </w:rPr>
        <w:instrText xml:space="preserve"> </w:instrText>
      </w:r>
      <w:r>
        <w:rPr>
          <w:szCs w:val="18"/>
        </w:rPr>
      </w:r>
      <w:r>
        <w:rPr>
          <w:szCs w:val="18"/>
        </w:rPr>
        <w:fldChar w:fldCharType="separate"/>
      </w:r>
      <w:r w:rsidR="00A73EB9">
        <w:rPr>
          <w:szCs w:val="18"/>
        </w:rPr>
        <w:t>254</w:t>
      </w:r>
      <w:r>
        <w:rPr>
          <w:szCs w:val="18"/>
        </w:rPr>
        <w:fldChar w:fldCharType="end"/>
      </w:r>
      <w:r>
        <w:rPr>
          <w:rFonts w:hint="eastAsia"/>
        </w:rPr>
        <w:t>)</w:t>
      </w:r>
      <w:r>
        <w:rPr>
          <w:rFonts w:hint="eastAsia"/>
        </w:rPr>
        <w:t>，</w:t>
      </w:r>
      <w:r w:rsidRPr="009D48A5">
        <w:rPr>
          <w:rFonts w:hint="eastAsia"/>
        </w:rPr>
        <w:t>第</w:t>
      </w:r>
      <w:r w:rsidRPr="009D48A5">
        <w:t>43</w:t>
      </w:r>
      <w:r w:rsidRPr="009D48A5">
        <w:rPr>
          <w:rFonts w:hint="eastAsia"/>
        </w:rPr>
        <w:t>页</w:t>
      </w:r>
      <w:r>
        <w:rPr>
          <w:rFonts w:hint="eastAsia"/>
        </w:rPr>
        <w:t>，</w:t>
      </w:r>
      <w:r w:rsidRPr="009D48A5">
        <w:rPr>
          <w:rFonts w:hint="eastAsia"/>
        </w:rPr>
        <w:t>第</w:t>
      </w:r>
      <w:r w:rsidRPr="009D48A5">
        <w:rPr>
          <w:rFonts w:hint="eastAsia"/>
        </w:rPr>
        <w:t>76</w:t>
      </w:r>
      <w:r w:rsidRPr="009D48A5">
        <w:rPr>
          <w:rFonts w:hint="eastAsia"/>
        </w:rPr>
        <w:t>段</w:t>
      </w:r>
      <w:r>
        <w:t>)</w:t>
      </w:r>
      <w:r w:rsidRPr="009D48A5">
        <w:rPr>
          <w:rFonts w:hint="eastAsia"/>
        </w:rPr>
        <w:t>。</w:t>
      </w:r>
    </w:p>
  </w:footnote>
  <w:footnote w:id="327">
    <w:p w:rsidR="00AB00DE" w:rsidRPr="009D48A5" w:rsidRDefault="00AB00DE" w:rsidP="008D7906">
      <w:pPr>
        <w:pStyle w:val="a4"/>
      </w:pPr>
      <w:r w:rsidRPr="009D48A5">
        <w:rPr>
          <w:snapToGrid/>
        </w:rPr>
        <w:tab/>
      </w:r>
      <w:r w:rsidRPr="00DF5565">
        <w:rPr>
          <w:snapToGrid/>
          <w:color w:val="0000FF"/>
          <w:sz w:val="21"/>
          <w:vertAlign w:val="superscript"/>
        </w:rPr>
        <w:footnoteRef/>
      </w:r>
      <w:r w:rsidRPr="009D48A5">
        <w:rPr>
          <w:snapToGrid/>
        </w:rPr>
        <w:tab/>
      </w:r>
      <w:r w:rsidRPr="009D48A5">
        <w:rPr>
          <w:rFonts w:hint="eastAsia"/>
        </w:rPr>
        <w:t>例如</w:t>
      </w:r>
      <w:r>
        <w:rPr>
          <w:rFonts w:hint="eastAsia"/>
        </w:rPr>
        <w:t>，</w:t>
      </w:r>
      <w:r w:rsidRPr="009D48A5">
        <w:rPr>
          <w:rFonts w:hint="eastAsia"/>
        </w:rPr>
        <w:t>见《</w:t>
      </w:r>
      <w:r w:rsidRPr="009D48A5">
        <w:rPr>
          <w:rFonts w:ascii="Time New Roman" w:eastAsia="楷体" w:hAnsi="Time New Roman"/>
        </w:rPr>
        <w:t>防止及惩治灭绝种族罪公约</w:t>
      </w:r>
      <w:r w:rsidRPr="009D48A5">
        <w:rPr>
          <w:rFonts w:hint="eastAsia"/>
        </w:rPr>
        <w:t>》</w:t>
      </w:r>
      <w:r w:rsidRPr="009D48A5">
        <w:rPr>
          <w:rFonts w:ascii="Time New Roman" w:eastAsia="楷体" w:hAnsi="Time New Roman"/>
        </w:rPr>
        <w:t>的适用</w:t>
      </w:r>
      <w:r>
        <w:rPr>
          <w:rFonts w:ascii="Time New Roman" w:eastAsia="楷体" w:hAnsi="Time New Roman"/>
        </w:rPr>
        <w:t>(</w:t>
      </w:r>
      <w:r w:rsidRPr="009D48A5">
        <w:rPr>
          <w:rFonts w:ascii="Time New Roman" w:eastAsia="楷体" w:hAnsi="Time New Roman"/>
        </w:rPr>
        <w:t>克罗地亚诉塞尔维亚</w:t>
      </w:r>
      <w:r>
        <w:t>)</w:t>
      </w:r>
      <w:r>
        <w:t>，</w:t>
      </w:r>
      <w:r w:rsidRPr="009D48A5">
        <w:rPr>
          <w:rFonts w:hint="eastAsia"/>
        </w:rPr>
        <w:t>国际法院的判决</w:t>
      </w:r>
      <w:r>
        <w:rPr>
          <w:rFonts w:hint="eastAsia"/>
        </w:rPr>
        <w:t>，</w:t>
      </w:r>
      <w:r w:rsidRPr="009D48A5">
        <w:t>2015</w:t>
      </w:r>
      <w:r w:rsidRPr="009D48A5">
        <w:t>年</w:t>
      </w:r>
      <w:r w:rsidRPr="009D48A5">
        <w:t>2</w:t>
      </w:r>
      <w:r w:rsidRPr="009D48A5">
        <w:t>月</w:t>
      </w:r>
      <w:r w:rsidRPr="009D48A5">
        <w:t>3</w:t>
      </w:r>
      <w:r w:rsidRPr="009D48A5">
        <w:t>日</w:t>
      </w:r>
      <w:r>
        <w:rPr>
          <w:rFonts w:hint="eastAsia"/>
        </w:rPr>
        <w:t>，</w:t>
      </w:r>
      <w:r w:rsidRPr="009D48A5">
        <w:rPr>
          <w:rFonts w:hint="eastAsia"/>
        </w:rPr>
        <w:t>第</w:t>
      </w:r>
      <w:r w:rsidRPr="009D48A5">
        <w:rPr>
          <w:rFonts w:hint="eastAsia"/>
        </w:rPr>
        <w:t>87</w:t>
      </w:r>
      <w:r w:rsidRPr="009D48A5">
        <w:rPr>
          <w:rFonts w:hint="eastAsia"/>
        </w:rPr>
        <w:t>段。</w:t>
      </w:r>
    </w:p>
  </w:footnote>
  <w:footnote w:id="328">
    <w:p w:rsidR="00AB00DE" w:rsidRPr="009D48A5" w:rsidRDefault="00AB00DE" w:rsidP="00267AB1">
      <w:pPr>
        <w:pStyle w:val="a4"/>
      </w:pPr>
      <w:r w:rsidRPr="009D48A5">
        <w:rPr>
          <w:snapToGrid/>
        </w:rPr>
        <w:tab/>
      </w:r>
      <w:r w:rsidRPr="00DF5565">
        <w:rPr>
          <w:snapToGrid/>
          <w:color w:val="0000FF"/>
          <w:sz w:val="21"/>
          <w:vertAlign w:val="superscript"/>
        </w:rPr>
        <w:footnoteRef/>
      </w:r>
      <w:r w:rsidRPr="009D48A5">
        <w:rPr>
          <w:snapToGrid/>
        </w:rPr>
        <w:tab/>
      </w:r>
      <w:r w:rsidRPr="009D48A5">
        <w:rPr>
          <w:rFonts w:hint="eastAsia"/>
        </w:rPr>
        <w:t>例如</w:t>
      </w:r>
      <w:r>
        <w:rPr>
          <w:rFonts w:hint="eastAsia"/>
        </w:rPr>
        <w:t>，</w:t>
      </w:r>
      <w:r w:rsidRPr="009D48A5">
        <w:rPr>
          <w:rFonts w:hint="eastAsia"/>
        </w:rPr>
        <w:t>在</w:t>
      </w:r>
      <w:r w:rsidRPr="009D48A5">
        <w:rPr>
          <w:rFonts w:hint="eastAsia"/>
        </w:rPr>
        <w:t>1948</w:t>
      </w:r>
      <w:r w:rsidRPr="009D48A5">
        <w:rPr>
          <w:rFonts w:hint="eastAsia"/>
        </w:rPr>
        <w:t>年《</w:t>
      </w:r>
      <w:r w:rsidRPr="009D48A5">
        <w:t>防止及惩治灭绝种族罪公约</w:t>
      </w:r>
      <w:r w:rsidRPr="009D48A5">
        <w:rPr>
          <w:rFonts w:hint="eastAsia"/>
        </w:rPr>
        <w:t>》</w:t>
      </w:r>
      <w:r>
        <w:rPr>
          <w:rFonts w:hint="eastAsia"/>
        </w:rPr>
        <w:t>(</w:t>
      </w:r>
      <w:r w:rsidRPr="009D48A5">
        <w:rPr>
          <w:rFonts w:hint="eastAsia"/>
        </w:rPr>
        <w:t>联合国</w:t>
      </w:r>
      <w:r>
        <w:rPr>
          <w:rFonts w:hint="eastAsia"/>
        </w:rPr>
        <w:t>，</w:t>
      </w:r>
      <w:r w:rsidRPr="009D48A5">
        <w:rPr>
          <w:rFonts w:hint="eastAsia"/>
        </w:rPr>
        <w:t>《条约汇编》</w:t>
      </w:r>
      <w:r>
        <w:rPr>
          <w:rFonts w:hint="eastAsia"/>
        </w:rPr>
        <w:t>，</w:t>
      </w:r>
      <w:r w:rsidRPr="009D48A5">
        <w:rPr>
          <w:rFonts w:hint="eastAsia"/>
        </w:rPr>
        <w:t>第</w:t>
      </w:r>
      <w:r w:rsidRPr="009D48A5">
        <w:rPr>
          <w:rFonts w:hint="eastAsia"/>
        </w:rPr>
        <w:t>78</w:t>
      </w:r>
      <w:r w:rsidRPr="009D48A5">
        <w:rPr>
          <w:rFonts w:hint="eastAsia"/>
        </w:rPr>
        <w:t>卷</w:t>
      </w:r>
      <w:r>
        <w:rPr>
          <w:rFonts w:hint="eastAsia"/>
        </w:rPr>
        <w:t>，</w:t>
      </w:r>
      <w:r w:rsidRPr="009D48A5">
        <w:rPr>
          <w:rFonts w:hint="eastAsia"/>
        </w:rPr>
        <w:t>第</w:t>
      </w:r>
      <w:r w:rsidRPr="009D48A5">
        <w:rPr>
          <w:rFonts w:hint="eastAsia"/>
        </w:rPr>
        <w:t>1021</w:t>
      </w:r>
      <w:r w:rsidRPr="009D48A5">
        <w:rPr>
          <w:rFonts w:hint="eastAsia"/>
        </w:rPr>
        <w:t>号</w:t>
      </w:r>
      <w:r>
        <w:rPr>
          <w:rFonts w:hint="eastAsia"/>
        </w:rPr>
        <w:t>，</w:t>
      </w:r>
      <w:r w:rsidRPr="009D48A5">
        <w:rPr>
          <w:rFonts w:hint="eastAsia"/>
        </w:rPr>
        <w:t>第</w:t>
      </w:r>
      <w:r w:rsidRPr="009D48A5">
        <w:rPr>
          <w:rFonts w:hint="eastAsia"/>
        </w:rPr>
        <w:t>277</w:t>
      </w:r>
      <w:r w:rsidRPr="009D48A5">
        <w:rPr>
          <w:rFonts w:hint="eastAsia"/>
        </w:rPr>
        <w:t>页</w:t>
      </w:r>
      <w:r>
        <w:rPr>
          <w:rFonts w:hint="eastAsia"/>
        </w:rPr>
        <w:t>)</w:t>
      </w:r>
      <w:r w:rsidRPr="009D48A5">
        <w:rPr>
          <w:rFonts w:hint="eastAsia"/>
        </w:rPr>
        <w:t>中</w:t>
      </w:r>
      <w:r>
        <w:rPr>
          <w:rFonts w:hint="eastAsia"/>
        </w:rPr>
        <w:t>，</w:t>
      </w:r>
      <w:r w:rsidRPr="009D48A5">
        <w:rPr>
          <w:rFonts w:hint="eastAsia"/>
        </w:rPr>
        <w:t>各缔约国“确认灭绝种族之行为</w:t>
      </w:r>
      <w:r>
        <w:rPr>
          <w:rFonts w:hint="eastAsia"/>
        </w:rPr>
        <w:t>，</w:t>
      </w:r>
      <w:r w:rsidRPr="009D48A5">
        <w:rPr>
          <w:rFonts w:hint="eastAsia"/>
        </w:rPr>
        <w:t>不论出于平时或战时</w:t>
      </w:r>
      <w:r>
        <w:rPr>
          <w:rFonts w:hint="eastAsia"/>
        </w:rPr>
        <w:t>，</w:t>
      </w:r>
      <w:r w:rsidRPr="009D48A5">
        <w:rPr>
          <w:rFonts w:hint="eastAsia"/>
        </w:rPr>
        <w:t>均属国际法下之一种罪行”</w:t>
      </w:r>
      <w:r>
        <w:rPr>
          <w:rFonts w:hint="eastAsia"/>
        </w:rPr>
        <w:t>(</w:t>
      </w:r>
      <w:r w:rsidRPr="009D48A5">
        <w:rPr>
          <w:rFonts w:hint="eastAsia"/>
        </w:rPr>
        <w:t>第一条</w:t>
      </w:r>
      <w:r>
        <w:rPr>
          <w:rFonts w:hint="eastAsia"/>
        </w:rPr>
        <w:t>)(</w:t>
      </w:r>
      <w:r w:rsidRPr="009D48A5">
        <w:t>强调系本文所加</w:t>
      </w:r>
      <w:r>
        <w:rPr>
          <w:rFonts w:hint="eastAsia"/>
        </w:rPr>
        <w:t>)</w:t>
      </w:r>
      <w:r>
        <w:rPr>
          <w:rFonts w:hint="eastAsia"/>
        </w:rPr>
        <w:t>；</w:t>
      </w:r>
      <w:r w:rsidRPr="009D48A5">
        <w:rPr>
          <w:rFonts w:hint="eastAsia"/>
        </w:rPr>
        <w:t>而</w:t>
      </w:r>
      <w:r w:rsidRPr="009D48A5">
        <w:rPr>
          <w:rFonts w:hint="eastAsia"/>
        </w:rPr>
        <w:t>1958</w:t>
      </w:r>
      <w:r w:rsidRPr="009D48A5">
        <w:rPr>
          <w:rFonts w:hint="eastAsia"/>
        </w:rPr>
        <w:t>年《日内瓦公海公约》载有如下序言段落</w:t>
      </w:r>
      <w:r>
        <w:rPr>
          <w:rFonts w:hint="eastAsia"/>
        </w:rPr>
        <w:t>：</w:t>
      </w:r>
      <w:r w:rsidRPr="009D48A5">
        <w:rPr>
          <w:rFonts w:hint="eastAsia"/>
        </w:rPr>
        <w:t>“深愿编纂关于公海之国际法规则”</w:t>
      </w:r>
      <w:r>
        <w:t>(</w:t>
      </w:r>
      <w:r w:rsidRPr="009D48A5">
        <w:rPr>
          <w:rFonts w:hint="eastAsia"/>
        </w:rPr>
        <w:t>同上</w:t>
      </w:r>
      <w:r>
        <w:rPr>
          <w:rFonts w:hint="eastAsia"/>
        </w:rPr>
        <w:t>，</w:t>
      </w:r>
      <w:r w:rsidRPr="009D48A5">
        <w:rPr>
          <w:rFonts w:hint="eastAsia"/>
        </w:rPr>
        <w:t>第</w:t>
      </w:r>
      <w:r w:rsidRPr="009D48A5">
        <w:t>450</w:t>
      </w:r>
      <w:r w:rsidRPr="009D48A5">
        <w:rPr>
          <w:rFonts w:hint="eastAsia"/>
        </w:rPr>
        <w:t>卷</w:t>
      </w:r>
      <w:r>
        <w:rPr>
          <w:rFonts w:hint="eastAsia"/>
        </w:rPr>
        <w:t>，</w:t>
      </w:r>
      <w:r w:rsidRPr="009D48A5">
        <w:rPr>
          <w:rFonts w:hint="eastAsia"/>
        </w:rPr>
        <w:t>第</w:t>
      </w:r>
      <w:r w:rsidRPr="009D48A5">
        <w:t>6465</w:t>
      </w:r>
      <w:r w:rsidRPr="009D48A5">
        <w:rPr>
          <w:rFonts w:hint="eastAsia"/>
        </w:rPr>
        <w:t>号</w:t>
      </w:r>
      <w:r>
        <w:rPr>
          <w:rFonts w:hint="eastAsia"/>
        </w:rPr>
        <w:t>，</w:t>
      </w:r>
      <w:r w:rsidRPr="009D48A5">
        <w:rPr>
          <w:rFonts w:hint="eastAsia"/>
        </w:rPr>
        <w:t>见第</w:t>
      </w:r>
      <w:r w:rsidRPr="009D48A5">
        <w:t>82</w:t>
      </w:r>
      <w:r w:rsidRPr="009D48A5">
        <w:rPr>
          <w:rFonts w:hint="eastAsia"/>
        </w:rPr>
        <w:t>页</w:t>
      </w:r>
      <w:r>
        <w:t>)</w:t>
      </w:r>
      <w:r w:rsidRPr="009D48A5">
        <w:rPr>
          <w:rFonts w:hint="eastAsia"/>
        </w:rPr>
        <w:t>。某一条约同样可能表明其体现了逐渐发展而不是对法律的编纂</w:t>
      </w:r>
      <w:r>
        <w:rPr>
          <w:rFonts w:hint="eastAsia"/>
        </w:rPr>
        <w:t>；</w:t>
      </w:r>
      <w:r w:rsidRPr="009D48A5">
        <w:rPr>
          <w:rFonts w:hint="eastAsia"/>
        </w:rPr>
        <w:t>例如</w:t>
      </w:r>
      <w:r>
        <w:rPr>
          <w:rFonts w:hint="eastAsia"/>
        </w:rPr>
        <w:t>，</w:t>
      </w:r>
      <w:r w:rsidRPr="009D48A5">
        <w:rPr>
          <w:rFonts w:hint="eastAsia"/>
        </w:rPr>
        <w:t>在</w:t>
      </w:r>
      <w:r w:rsidRPr="009D48A5">
        <w:rPr>
          <w:rFonts w:ascii="Time New Roman" w:eastAsia="楷体" w:hAnsi="Time New Roman" w:hint="eastAsia"/>
        </w:rPr>
        <w:t>哥伦比亚－秘鲁庇护权案</w:t>
      </w:r>
      <w:r w:rsidRPr="009D48A5">
        <w:rPr>
          <w:rFonts w:hint="eastAsia"/>
        </w:rPr>
        <w:t>中</w:t>
      </w:r>
      <w:r>
        <w:rPr>
          <w:rFonts w:hint="eastAsia"/>
        </w:rPr>
        <w:t>，</w:t>
      </w:r>
      <w:r w:rsidRPr="009D48A5">
        <w:rPr>
          <w:rFonts w:hint="eastAsia"/>
        </w:rPr>
        <w:t>国际法院裁定</w:t>
      </w:r>
      <w:r w:rsidRPr="009D48A5">
        <w:rPr>
          <w:rFonts w:hint="eastAsia"/>
        </w:rPr>
        <w:t>1933</w:t>
      </w:r>
      <w:r w:rsidRPr="009D48A5">
        <w:rPr>
          <w:rFonts w:hint="eastAsia"/>
        </w:rPr>
        <w:t>年</w:t>
      </w:r>
      <w:r w:rsidRPr="009D48A5">
        <w:t>《</w:t>
      </w:r>
      <w:r w:rsidRPr="009D48A5">
        <w:rPr>
          <w:rFonts w:hint="eastAsia"/>
        </w:rPr>
        <w:t>蒙得维的亚</w:t>
      </w:r>
      <w:r w:rsidRPr="009D48A5">
        <w:t>国家权利与义务公约》</w:t>
      </w:r>
      <w:r>
        <w:rPr>
          <w:rFonts w:hint="eastAsia"/>
        </w:rPr>
        <w:t>(</w:t>
      </w:r>
      <w:r w:rsidRPr="009D48A5">
        <w:rPr>
          <w:rFonts w:hint="eastAsia"/>
        </w:rPr>
        <w:t>国际联盟</w:t>
      </w:r>
      <w:r>
        <w:rPr>
          <w:rFonts w:hint="eastAsia"/>
        </w:rPr>
        <w:t>，</w:t>
      </w:r>
      <w:r w:rsidRPr="009D48A5">
        <w:rPr>
          <w:rFonts w:hint="eastAsia"/>
        </w:rPr>
        <w:t>《条约汇编》</w:t>
      </w:r>
      <w:r>
        <w:rPr>
          <w:rFonts w:hint="eastAsia"/>
        </w:rPr>
        <w:t>，</w:t>
      </w:r>
      <w:r w:rsidRPr="009D48A5">
        <w:rPr>
          <w:rFonts w:hint="eastAsia"/>
        </w:rPr>
        <w:t>第</w:t>
      </w:r>
      <w:r w:rsidRPr="009D48A5">
        <w:rPr>
          <w:rFonts w:hint="eastAsia"/>
        </w:rPr>
        <w:t>165</w:t>
      </w:r>
      <w:r w:rsidRPr="009D48A5">
        <w:rPr>
          <w:rFonts w:hint="eastAsia"/>
        </w:rPr>
        <w:t>卷</w:t>
      </w:r>
      <w:r>
        <w:rPr>
          <w:rFonts w:hint="eastAsia"/>
        </w:rPr>
        <w:t>，</w:t>
      </w:r>
      <w:r w:rsidRPr="009D48A5">
        <w:rPr>
          <w:rFonts w:hint="eastAsia"/>
        </w:rPr>
        <w:t>第</w:t>
      </w:r>
      <w:r w:rsidRPr="009D48A5">
        <w:rPr>
          <w:rFonts w:hint="eastAsia"/>
        </w:rPr>
        <w:t>3802</w:t>
      </w:r>
      <w:r w:rsidRPr="009D48A5">
        <w:rPr>
          <w:rFonts w:hint="eastAsia"/>
        </w:rPr>
        <w:t>号</w:t>
      </w:r>
      <w:r>
        <w:rPr>
          <w:rFonts w:hint="eastAsia"/>
        </w:rPr>
        <w:t>，</w:t>
      </w:r>
      <w:r w:rsidRPr="009D48A5">
        <w:rPr>
          <w:rFonts w:hint="eastAsia"/>
        </w:rPr>
        <w:t>第</w:t>
      </w:r>
      <w:r w:rsidRPr="009D48A5">
        <w:rPr>
          <w:rFonts w:hint="eastAsia"/>
        </w:rPr>
        <w:t>19</w:t>
      </w:r>
      <w:r w:rsidRPr="009D48A5">
        <w:rPr>
          <w:rFonts w:hint="eastAsia"/>
        </w:rPr>
        <w:t>页</w:t>
      </w:r>
      <w:r>
        <w:rPr>
          <w:rFonts w:hint="eastAsia"/>
        </w:rPr>
        <w:t>)</w:t>
      </w:r>
      <w:r w:rsidRPr="009D48A5">
        <w:rPr>
          <w:rFonts w:hint="eastAsia"/>
        </w:rPr>
        <w:t>的序言称该公约是对先前一份公约的更改</w:t>
      </w:r>
      <w:r>
        <w:rPr>
          <w:rFonts w:hint="eastAsia"/>
        </w:rPr>
        <w:t>(</w:t>
      </w:r>
      <w:r w:rsidRPr="009D48A5">
        <w:rPr>
          <w:rFonts w:hint="eastAsia"/>
        </w:rPr>
        <w:t>并且批准前一份公约的国家数量有限</w:t>
      </w:r>
      <w:r>
        <w:rPr>
          <w:rFonts w:hint="eastAsia"/>
        </w:rPr>
        <w:t>)</w:t>
      </w:r>
      <w:r w:rsidRPr="009D48A5">
        <w:rPr>
          <w:rFonts w:hint="eastAsia"/>
        </w:rPr>
        <w:t>有悖于公约“仅编纂了已被认定为习惯的原则”的论点</w:t>
      </w:r>
      <w:r>
        <w:rPr>
          <w:rFonts w:hint="eastAsia"/>
        </w:rPr>
        <w:t>(</w:t>
      </w:r>
      <w:r w:rsidRPr="009D48A5">
        <w:rPr>
          <w:rFonts w:ascii="Time New Roman" w:eastAsia="楷体" w:hAnsi="Time New Roman"/>
        </w:rPr>
        <w:t>哥伦比亚</w:t>
      </w:r>
      <w:r w:rsidRPr="009D48A5">
        <w:rPr>
          <w:rFonts w:ascii="Time New Roman" w:eastAsia="楷体" w:hAnsi="Time New Roman" w:hint="eastAsia"/>
        </w:rPr>
        <w:t>－</w:t>
      </w:r>
      <w:r w:rsidRPr="009D48A5">
        <w:rPr>
          <w:rFonts w:ascii="Time New Roman" w:eastAsia="楷体" w:hAnsi="Time New Roman"/>
        </w:rPr>
        <w:t>秘鲁庇护</w:t>
      </w:r>
      <w:r w:rsidRPr="009D48A5">
        <w:rPr>
          <w:rFonts w:ascii="Time New Roman" w:eastAsia="楷体" w:hAnsi="Time New Roman" w:hint="eastAsia"/>
        </w:rPr>
        <w:t>权</w:t>
      </w:r>
      <w:r w:rsidRPr="009D48A5">
        <w:rPr>
          <w:rFonts w:ascii="Time New Roman" w:eastAsia="楷体" w:hAnsi="Time New Roman"/>
        </w:rPr>
        <w:t>案</w:t>
      </w:r>
      <w:r>
        <w:t>(</w:t>
      </w:r>
      <w:r w:rsidRPr="009D48A5">
        <w:rPr>
          <w:rFonts w:hint="eastAsia"/>
        </w:rPr>
        <w:t>见上文脚注</w:t>
      </w:r>
      <w:r>
        <w:fldChar w:fldCharType="begin"/>
      </w:r>
      <w:r>
        <w:instrText xml:space="preserve"> </w:instrText>
      </w:r>
      <w:r>
        <w:rPr>
          <w:rFonts w:hint="eastAsia"/>
        </w:rPr>
        <w:instrText>NOTEREF _Ref461975016 \h</w:instrText>
      </w:r>
      <w:r>
        <w:instrText xml:space="preserve"> </w:instrText>
      </w:r>
      <w:r>
        <w:fldChar w:fldCharType="separate"/>
      </w:r>
      <w:r w:rsidR="00A73EB9">
        <w:t>257</w:t>
      </w:r>
      <w:r>
        <w:fldChar w:fldCharType="end"/>
      </w:r>
      <w:r>
        <w:t>)</w:t>
      </w:r>
      <w:r>
        <w:rPr>
          <w:rFonts w:hint="eastAsia"/>
        </w:rPr>
        <w:t>，</w:t>
      </w:r>
      <w:r w:rsidRPr="009D48A5">
        <w:rPr>
          <w:rFonts w:hint="eastAsia"/>
        </w:rPr>
        <w:t>见第</w:t>
      </w:r>
      <w:r w:rsidRPr="009D48A5">
        <w:rPr>
          <w:rFonts w:hint="eastAsia"/>
        </w:rPr>
        <w:t>277</w:t>
      </w:r>
      <w:r w:rsidRPr="009D48A5">
        <w:rPr>
          <w:rFonts w:hint="eastAsia"/>
        </w:rPr>
        <w:t>页</w:t>
      </w:r>
      <w:r>
        <w:rPr>
          <w:rFonts w:hint="eastAsia"/>
        </w:rPr>
        <w:t>)</w:t>
      </w:r>
      <w:r w:rsidRPr="009D48A5">
        <w:rPr>
          <w:rFonts w:hint="eastAsia"/>
        </w:rPr>
        <w:t>。</w:t>
      </w:r>
    </w:p>
  </w:footnote>
  <w:footnote w:id="329">
    <w:p w:rsidR="00AB00DE" w:rsidRPr="009D48A5" w:rsidRDefault="00AB00DE" w:rsidP="008D7906">
      <w:pPr>
        <w:pStyle w:val="a4"/>
      </w:pPr>
      <w:r w:rsidRPr="009D48A5">
        <w:rPr>
          <w:snapToGrid/>
        </w:rPr>
        <w:tab/>
      </w:r>
      <w:r w:rsidRPr="00DF5565">
        <w:rPr>
          <w:snapToGrid/>
          <w:color w:val="0000FF"/>
          <w:sz w:val="21"/>
          <w:vertAlign w:val="superscript"/>
        </w:rPr>
        <w:footnoteRef/>
      </w:r>
      <w:r>
        <w:rPr>
          <w:rFonts w:hint="eastAsia"/>
          <w:snapToGrid/>
        </w:rPr>
        <w:tab/>
      </w:r>
      <w:r w:rsidRPr="009D48A5">
        <w:rPr>
          <w:rFonts w:hint="eastAsia"/>
        </w:rPr>
        <w:t>另见委员会《对条约的保留实践指南》</w:t>
      </w:r>
      <w:r>
        <w:rPr>
          <w:rFonts w:hint="eastAsia"/>
        </w:rPr>
        <w:t>，</w:t>
      </w:r>
      <w:r w:rsidRPr="009D48A5">
        <w:rPr>
          <w:rFonts w:hint="eastAsia"/>
        </w:rPr>
        <w:t>准则</w:t>
      </w:r>
      <w:r>
        <w:rPr>
          <w:rFonts w:hint="eastAsia"/>
        </w:rPr>
        <w:t>3.1.5.</w:t>
      </w:r>
      <w:r w:rsidRPr="009D48A5">
        <w:rPr>
          <w:rFonts w:hint="eastAsia"/>
        </w:rPr>
        <w:t>3</w:t>
      </w:r>
      <w:r>
        <w:rPr>
          <w:rFonts w:hint="eastAsia"/>
        </w:rPr>
        <w:t>(</w:t>
      </w:r>
      <w:r w:rsidRPr="009D48A5">
        <w:rPr>
          <w:rFonts w:hint="eastAsia"/>
        </w:rPr>
        <w:t>对反映习惯规则的规定的保留</w:t>
      </w:r>
      <w:r>
        <w:rPr>
          <w:rFonts w:hint="eastAsia"/>
        </w:rPr>
        <w:t>)</w:t>
      </w:r>
      <w:r w:rsidRPr="009D48A5">
        <w:rPr>
          <w:rFonts w:hint="eastAsia"/>
        </w:rPr>
        <w:t>和</w:t>
      </w:r>
      <w:r>
        <w:rPr>
          <w:rFonts w:hint="eastAsia"/>
        </w:rPr>
        <w:t>4.4.</w:t>
      </w:r>
      <w:r w:rsidRPr="009D48A5">
        <w:rPr>
          <w:rFonts w:hint="eastAsia"/>
        </w:rPr>
        <w:t>2</w:t>
      </w:r>
      <w:r>
        <w:rPr>
          <w:rFonts w:hint="eastAsia"/>
        </w:rPr>
        <w:t>(</w:t>
      </w:r>
      <w:r w:rsidRPr="009D48A5">
        <w:rPr>
          <w:rFonts w:hint="eastAsia"/>
        </w:rPr>
        <w:t>对习惯国际法之下的权利和义务不产生效果</w:t>
      </w:r>
      <w:r>
        <w:rPr>
          <w:rFonts w:hint="eastAsia"/>
        </w:rPr>
        <w:t>)</w:t>
      </w:r>
      <w:r>
        <w:rPr>
          <w:rFonts w:hint="eastAsia"/>
        </w:rPr>
        <w:t>，</w:t>
      </w:r>
      <w:r w:rsidRPr="009D48A5">
        <w:rPr>
          <w:rFonts w:hint="eastAsia"/>
        </w:rPr>
        <w:t>《大会正式记录</w:t>
      </w:r>
      <w:r>
        <w:rPr>
          <w:rFonts w:hint="eastAsia"/>
        </w:rPr>
        <w:t>，</w:t>
      </w:r>
      <w:r w:rsidRPr="009D48A5">
        <w:rPr>
          <w:rFonts w:hint="eastAsia"/>
        </w:rPr>
        <w:t>第六十六届会议</w:t>
      </w:r>
      <w:r>
        <w:rPr>
          <w:rFonts w:hint="eastAsia"/>
        </w:rPr>
        <w:t>，</w:t>
      </w:r>
      <w:r w:rsidRPr="009D48A5">
        <w:rPr>
          <w:rFonts w:hint="eastAsia"/>
        </w:rPr>
        <w:t>补编第</w:t>
      </w:r>
      <w:r w:rsidRPr="009D48A5">
        <w:rPr>
          <w:rFonts w:hint="eastAsia"/>
        </w:rPr>
        <w:t>10</w:t>
      </w:r>
      <w:r w:rsidRPr="009D48A5">
        <w:rPr>
          <w:rFonts w:hint="eastAsia"/>
        </w:rPr>
        <w:t>号》</w:t>
      </w:r>
      <w:r>
        <w:rPr>
          <w:rFonts w:hint="eastAsia"/>
        </w:rPr>
        <w:t>(</w:t>
      </w:r>
      <w:r w:rsidRPr="009D48A5">
        <w:t>A</w:t>
      </w:r>
      <w:r>
        <w:t>/</w:t>
      </w:r>
      <w:r w:rsidRPr="009D48A5">
        <w:t>66</w:t>
      </w:r>
      <w:r>
        <w:t>/</w:t>
      </w:r>
      <w:r w:rsidRPr="009D48A5">
        <w:t>10</w:t>
      </w:r>
      <w:r>
        <w:t>/</w:t>
      </w:r>
      <w:r w:rsidRPr="009D48A5">
        <w:t>Add.1</w:t>
      </w:r>
      <w:r>
        <w:rPr>
          <w:rFonts w:hint="eastAsia"/>
        </w:rPr>
        <w:t>)</w:t>
      </w:r>
      <w:r w:rsidRPr="009D48A5">
        <w:rPr>
          <w:rFonts w:hint="eastAsia"/>
        </w:rPr>
        <w:t>。</w:t>
      </w:r>
    </w:p>
  </w:footnote>
  <w:footnote w:id="330">
    <w:p w:rsidR="00AB00DE" w:rsidRPr="009D48A5" w:rsidRDefault="00AB00DE" w:rsidP="008D7906">
      <w:pPr>
        <w:pStyle w:val="a4"/>
      </w:pPr>
      <w:r w:rsidRPr="009D48A5">
        <w:rPr>
          <w:snapToGrid/>
        </w:rPr>
        <w:tab/>
      </w:r>
      <w:r w:rsidRPr="00DF5565">
        <w:rPr>
          <w:snapToGrid/>
          <w:color w:val="0000FF"/>
          <w:sz w:val="21"/>
          <w:vertAlign w:val="superscript"/>
        </w:rPr>
        <w:footnoteRef/>
      </w:r>
      <w:r w:rsidRPr="009D48A5">
        <w:rPr>
          <w:snapToGrid/>
        </w:rPr>
        <w:tab/>
      </w:r>
      <w:r w:rsidRPr="009D48A5">
        <w:rPr>
          <w:rFonts w:hint="eastAsia"/>
        </w:rPr>
        <w:t>例如</w:t>
      </w:r>
      <w:r>
        <w:rPr>
          <w:rFonts w:hint="eastAsia"/>
        </w:rPr>
        <w:t>，</w:t>
      </w:r>
      <w:r w:rsidRPr="009D48A5">
        <w:rPr>
          <w:rFonts w:hint="eastAsia"/>
        </w:rPr>
        <w:t>1930</w:t>
      </w:r>
      <w:r w:rsidRPr="009D48A5">
        <w:rPr>
          <w:rFonts w:hint="eastAsia"/>
        </w:rPr>
        <w:t>年《</w:t>
      </w:r>
      <w:r w:rsidRPr="009D48A5">
        <w:t>关于国籍法冲突的若干问题的公约</w:t>
      </w:r>
      <w:r w:rsidRPr="009D48A5">
        <w:rPr>
          <w:rFonts w:hint="eastAsia"/>
        </w:rPr>
        <w:t>》</w:t>
      </w:r>
      <w:r>
        <w:rPr>
          <w:rFonts w:hint="eastAsia"/>
        </w:rPr>
        <w:t>(</w:t>
      </w:r>
      <w:r w:rsidRPr="009D48A5">
        <w:rPr>
          <w:rFonts w:hint="eastAsia"/>
        </w:rPr>
        <w:t>国际联盟</w:t>
      </w:r>
      <w:r>
        <w:rPr>
          <w:rFonts w:hint="eastAsia"/>
        </w:rPr>
        <w:t>，</w:t>
      </w:r>
      <w:r w:rsidRPr="009D48A5">
        <w:rPr>
          <w:rFonts w:hint="eastAsia"/>
        </w:rPr>
        <w:t>《条约汇编》</w:t>
      </w:r>
      <w:r>
        <w:rPr>
          <w:rFonts w:hint="eastAsia"/>
        </w:rPr>
        <w:t>，</w:t>
      </w:r>
      <w:r w:rsidRPr="009D48A5">
        <w:rPr>
          <w:rFonts w:hint="eastAsia"/>
        </w:rPr>
        <w:t>第</w:t>
      </w:r>
      <w:r w:rsidRPr="009D48A5">
        <w:rPr>
          <w:rFonts w:hint="eastAsia"/>
        </w:rPr>
        <w:t>179</w:t>
      </w:r>
      <w:r w:rsidRPr="009D48A5">
        <w:rPr>
          <w:rFonts w:hint="eastAsia"/>
        </w:rPr>
        <w:t>卷</w:t>
      </w:r>
      <w:r>
        <w:rPr>
          <w:rFonts w:hint="eastAsia"/>
        </w:rPr>
        <w:t>，</w:t>
      </w:r>
      <w:r w:rsidRPr="009D48A5">
        <w:rPr>
          <w:rFonts w:hint="eastAsia"/>
        </w:rPr>
        <w:t>第</w:t>
      </w:r>
      <w:r w:rsidRPr="009D48A5">
        <w:rPr>
          <w:rFonts w:hint="eastAsia"/>
        </w:rPr>
        <w:t>4137</w:t>
      </w:r>
      <w:r w:rsidRPr="009D48A5">
        <w:rPr>
          <w:rFonts w:hint="eastAsia"/>
        </w:rPr>
        <w:t>号</w:t>
      </w:r>
      <w:r>
        <w:rPr>
          <w:rFonts w:hint="eastAsia"/>
        </w:rPr>
        <w:t>，</w:t>
      </w:r>
      <w:r w:rsidRPr="009D48A5">
        <w:rPr>
          <w:rFonts w:hint="eastAsia"/>
        </w:rPr>
        <w:t>第</w:t>
      </w:r>
      <w:r w:rsidRPr="009D48A5">
        <w:rPr>
          <w:rFonts w:hint="eastAsia"/>
        </w:rPr>
        <w:t>89</w:t>
      </w:r>
      <w:r w:rsidRPr="009D48A5">
        <w:rPr>
          <w:rFonts w:hint="eastAsia"/>
        </w:rPr>
        <w:t>页</w:t>
      </w:r>
      <w:r>
        <w:rPr>
          <w:rFonts w:hint="eastAsia"/>
        </w:rPr>
        <w:t>)</w:t>
      </w:r>
      <w:r w:rsidRPr="009D48A5">
        <w:rPr>
          <w:rFonts w:hint="eastAsia"/>
        </w:rPr>
        <w:t>规定“</w:t>
      </w:r>
      <w:r w:rsidRPr="009D48A5">
        <w:t>将上述原则和规则纳入</w:t>
      </w:r>
      <w:r w:rsidRPr="009D48A5">
        <w:rPr>
          <w:rFonts w:hint="eastAsia"/>
        </w:rPr>
        <w:t>公约</w:t>
      </w:r>
      <w:r>
        <w:t>，</w:t>
      </w:r>
      <w:r w:rsidRPr="009D48A5">
        <w:t>无论如何不得视为预断这些原则和规则是否已经构成国际法一部分的问题</w:t>
      </w:r>
      <w:r w:rsidRPr="009D48A5">
        <w:rPr>
          <w:rFonts w:hint="eastAsia"/>
        </w:rPr>
        <w:t>”</w:t>
      </w:r>
      <w:r>
        <w:rPr>
          <w:rFonts w:hint="eastAsia"/>
        </w:rPr>
        <w:t>(</w:t>
      </w:r>
      <w:r w:rsidRPr="009D48A5">
        <w:rPr>
          <w:rFonts w:hint="eastAsia"/>
        </w:rPr>
        <w:t>第</w:t>
      </w:r>
      <w:r w:rsidRPr="009D48A5">
        <w:rPr>
          <w:rFonts w:hint="eastAsia"/>
        </w:rPr>
        <w:t>18</w:t>
      </w:r>
      <w:r w:rsidRPr="009D48A5">
        <w:rPr>
          <w:rFonts w:hint="eastAsia"/>
        </w:rPr>
        <w:t>条</w:t>
      </w:r>
      <w:r>
        <w:rPr>
          <w:rFonts w:hint="eastAsia"/>
        </w:rPr>
        <w:t>)</w:t>
      </w:r>
      <w:r w:rsidRPr="009D48A5">
        <w:rPr>
          <w:rFonts w:hint="eastAsia"/>
        </w:rPr>
        <w:t>。有时</w:t>
      </w:r>
      <w:r>
        <w:rPr>
          <w:rFonts w:hint="eastAsia"/>
        </w:rPr>
        <w:t>，</w:t>
      </w:r>
      <w:r w:rsidRPr="009D48A5">
        <w:rPr>
          <w:rFonts w:hint="eastAsia"/>
        </w:rPr>
        <w:t>会笼统地同时提及编纂和发展</w:t>
      </w:r>
      <w:r>
        <w:rPr>
          <w:rFonts w:hint="eastAsia"/>
        </w:rPr>
        <w:t>：</w:t>
      </w:r>
      <w:r w:rsidRPr="009D48A5">
        <w:rPr>
          <w:rFonts w:hint="eastAsia"/>
        </w:rPr>
        <w:t>例如</w:t>
      </w:r>
      <w:r>
        <w:rPr>
          <w:rFonts w:hint="eastAsia"/>
        </w:rPr>
        <w:t>，</w:t>
      </w:r>
      <w:r w:rsidRPr="009D48A5">
        <w:rPr>
          <w:rFonts w:hint="eastAsia"/>
        </w:rPr>
        <w:t>在</w:t>
      </w:r>
      <w:r w:rsidRPr="009D48A5">
        <w:rPr>
          <w:rFonts w:hint="eastAsia"/>
        </w:rPr>
        <w:t>1969</w:t>
      </w:r>
      <w:r w:rsidRPr="009D48A5">
        <w:rPr>
          <w:rFonts w:hint="eastAsia"/>
        </w:rPr>
        <w:t>年《维也纳公约》中</w:t>
      </w:r>
      <w:r>
        <w:rPr>
          <w:rFonts w:hint="eastAsia"/>
        </w:rPr>
        <w:t>，</w:t>
      </w:r>
      <w:r w:rsidRPr="009D48A5">
        <w:rPr>
          <w:rFonts w:hint="eastAsia"/>
        </w:rPr>
        <w:t>各缔约国在序言中表示它们深信“</w:t>
      </w:r>
      <w:r w:rsidRPr="009D48A5">
        <w:t>本公约</w:t>
      </w:r>
      <w:r>
        <w:rPr>
          <w:rFonts w:hint="eastAsia"/>
        </w:rPr>
        <w:t>[</w:t>
      </w:r>
      <w:r w:rsidRPr="009D48A5">
        <w:t>达成</w:t>
      </w:r>
      <w:r w:rsidRPr="009D48A5">
        <w:rPr>
          <w:rFonts w:hint="eastAsia"/>
        </w:rPr>
        <w:t>了</w:t>
      </w:r>
      <w:r>
        <w:t>]</w:t>
      </w:r>
      <w:r w:rsidRPr="009D48A5">
        <w:t>条约法之编纂及逐渐发展</w:t>
      </w:r>
      <w:r w:rsidRPr="009D48A5">
        <w:rPr>
          <w:rFonts w:hint="eastAsia"/>
        </w:rPr>
        <w:t>”</w:t>
      </w:r>
      <w:r>
        <w:rPr>
          <w:rFonts w:hint="eastAsia"/>
        </w:rPr>
        <w:t>；</w:t>
      </w:r>
      <w:r w:rsidRPr="009D48A5">
        <w:rPr>
          <w:rFonts w:hint="eastAsia"/>
        </w:rPr>
        <w:t>在</w:t>
      </w:r>
      <w:r w:rsidRPr="009D48A5">
        <w:rPr>
          <w:rFonts w:hint="eastAsia"/>
        </w:rPr>
        <w:t>2004</w:t>
      </w:r>
      <w:r w:rsidRPr="009D48A5">
        <w:rPr>
          <w:rFonts w:hint="eastAsia"/>
        </w:rPr>
        <w:t>年《联合国国家及其财产管辖豁免公约》</w:t>
      </w:r>
      <w:r>
        <w:rPr>
          <w:rFonts w:hint="eastAsia"/>
        </w:rPr>
        <w:t>(</w:t>
      </w:r>
      <w:r w:rsidRPr="009D48A5">
        <w:rPr>
          <w:rFonts w:hint="eastAsia"/>
        </w:rPr>
        <w:t>2004</w:t>
      </w:r>
      <w:r w:rsidRPr="009D48A5">
        <w:rPr>
          <w:rFonts w:hint="eastAsia"/>
        </w:rPr>
        <w:t>年</w:t>
      </w:r>
      <w:r w:rsidRPr="009D48A5">
        <w:rPr>
          <w:rFonts w:hint="eastAsia"/>
        </w:rPr>
        <w:t>12</w:t>
      </w:r>
      <w:r w:rsidRPr="009D48A5">
        <w:rPr>
          <w:rFonts w:hint="eastAsia"/>
        </w:rPr>
        <w:t>月</w:t>
      </w:r>
      <w:r w:rsidRPr="009D48A5">
        <w:rPr>
          <w:rFonts w:hint="eastAsia"/>
        </w:rPr>
        <w:t>2</w:t>
      </w:r>
      <w:r w:rsidRPr="009D48A5">
        <w:rPr>
          <w:rFonts w:hint="eastAsia"/>
        </w:rPr>
        <w:t>日大会第</w:t>
      </w:r>
      <w:r w:rsidRPr="009D48A5">
        <w:rPr>
          <w:rFonts w:hint="eastAsia"/>
        </w:rPr>
        <w:t>59</w:t>
      </w:r>
      <w:r>
        <w:rPr>
          <w:rFonts w:hint="eastAsia"/>
        </w:rPr>
        <w:t>/</w:t>
      </w:r>
      <w:r w:rsidRPr="009D48A5">
        <w:rPr>
          <w:rFonts w:hint="eastAsia"/>
        </w:rPr>
        <w:t>38</w:t>
      </w:r>
      <w:r w:rsidRPr="009D48A5">
        <w:rPr>
          <w:rFonts w:hint="eastAsia"/>
        </w:rPr>
        <w:t>号决议</w:t>
      </w:r>
      <w:r>
        <w:rPr>
          <w:rFonts w:hint="eastAsia"/>
        </w:rPr>
        <w:t>)</w:t>
      </w:r>
      <w:r w:rsidRPr="009D48A5">
        <w:rPr>
          <w:rFonts w:hint="eastAsia"/>
        </w:rPr>
        <w:t>中</w:t>
      </w:r>
      <w:r>
        <w:rPr>
          <w:rFonts w:hint="eastAsia"/>
        </w:rPr>
        <w:t>，</w:t>
      </w:r>
      <w:r w:rsidRPr="009D48A5">
        <w:rPr>
          <w:rFonts w:hint="eastAsia"/>
        </w:rPr>
        <w:t>各缔约国在序言中考虑到“国家及其财产的管辖豁免为一项普遍接受的习惯国际法原则”</w:t>
      </w:r>
      <w:r>
        <w:rPr>
          <w:rFonts w:hint="eastAsia"/>
        </w:rPr>
        <w:t>，</w:t>
      </w:r>
      <w:r w:rsidRPr="009D48A5">
        <w:rPr>
          <w:rFonts w:hint="eastAsia"/>
        </w:rPr>
        <w:t>并表示相信《公约》“将有助于国际法的编纂与发展及此领域实践的协调”。</w:t>
      </w:r>
    </w:p>
  </w:footnote>
  <w:footnote w:id="331">
    <w:p w:rsidR="00AB00DE" w:rsidRPr="009D48A5" w:rsidRDefault="00AB00DE" w:rsidP="00267AB1">
      <w:pPr>
        <w:pStyle w:val="a4"/>
      </w:pPr>
      <w:r w:rsidRPr="009D48A5">
        <w:rPr>
          <w:snapToGrid/>
        </w:rPr>
        <w:tab/>
      </w:r>
      <w:r w:rsidRPr="00DF5565">
        <w:rPr>
          <w:snapToGrid/>
          <w:color w:val="0000FF"/>
          <w:sz w:val="21"/>
          <w:vertAlign w:val="superscript"/>
        </w:rPr>
        <w:footnoteRef/>
      </w:r>
      <w:r w:rsidRPr="009D48A5">
        <w:rPr>
          <w:snapToGrid/>
        </w:rPr>
        <w:tab/>
      </w:r>
      <w:r w:rsidRPr="009D48A5">
        <w:t>在</w:t>
      </w:r>
      <w:r w:rsidRPr="009D48A5">
        <w:rPr>
          <w:rFonts w:ascii="Time New Roman" w:eastAsia="楷体" w:hAnsi="Time New Roman"/>
        </w:rPr>
        <w:t>北海大陆架案</w:t>
      </w:r>
      <w:r w:rsidRPr="009D48A5">
        <w:t>中</w:t>
      </w:r>
      <w:r>
        <w:rPr>
          <w:rFonts w:hint="eastAsia"/>
        </w:rPr>
        <w:t>，</w:t>
      </w:r>
      <w:r w:rsidRPr="009D48A5">
        <w:rPr>
          <w:rFonts w:hint="eastAsia"/>
        </w:rPr>
        <w:t>国际法院</w:t>
      </w:r>
      <w:r w:rsidRPr="009D48A5">
        <w:t>审查</w:t>
      </w:r>
      <w:r w:rsidRPr="009D48A5">
        <w:rPr>
          <w:rFonts w:hint="eastAsia"/>
        </w:rPr>
        <w:t>了</w:t>
      </w:r>
      <w:r w:rsidRPr="009D48A5">
        <w:t>1958</w:t>
      </w:r>
      <w:r w:rsidRPr="009D48A5">
        <w:t>年《大陆架公约》</w:t>
      </w:r>
      <w:r>
        <w:t>(</w:t>
      </w:r>
      <w:r w:rsidRPr="009D48A5">
        <w:t>联合国</w:t>
      </w:r>
      <w:r>
        <w:t>，</w:t>
      </w:r>
      <w:r w:rsidRPr="009D48A5">
        <w:t>《条约汇编》</w:t>
      </w:r>
      <w:r>
        <w:t>，</w:t>
      </w:r>
      <w:r w:rsidRPr="009D48A5">
        <w:t>第</w:t>
      </w:r>
      <w:r w:rsidRPr="009D48A5">
        <w:t>499</w:t>
      </w:r>
      <w:r w:rsidRPr="009D48A5">
        <w:t>卷</w:t>
      </w:r>
      <w:r>
        <w:t>，</w:t>
      </w:r>
      <w:r w:rsidRPr="009D48A5">
        <w:t>第</w:t>
      </w:r>
      <w:r w:rsidRPr="009D48A5">
        <w:t>7302</w:t>
      </w:r>
      <w:r w:rsidRPr="009D48A5">
        <w:t>号</w:t>
      </w:r>
      <w:r>
        <w:t>，</w:t>
      </w:r>
      <w:r w:rsidRPr="009D48A5">
        <w:t>第</w:t>
      </w:r>
      <w:r w:rsidRPr="009D48A5">
        <w:t>311</w:t>
      </w:r>
      <w:r w:rsidRPr="009D48A5">
        <w:t>段</w:t>
      </w:r>
      <w:r>
        <w:t>)</w:t>
      </w:r>
      <w:r w:rsidRPr="009D48A5">
        <w:rPr>
          <w:rFonts w:hint="eastAsia"/>
        </w:rPr>
        <w:t>第</w:t>
      </w:r>
      <w:r w:rsidRPr="009D48A5">
        <w:rPr>
          <w:rFonts w:hint="eastAsia"/>
        </w:rPr>
        <w:t>6</w:t>
      </w:r>
      <w:r w:rsidRPr="009D48A5">
        <w:rPr>
          <w:rFonts w:hint="eastAsia"/>
        </w:rPr>
        <w:t>条</w:t>
      </w:r>
      <w:r w:rsidRPr="009D48A5">
        <w:t>在起草时是否反映了习惯国际法</w:t>
      </w:r>
      <w:r>
        <w:t>，</w:t>
      </w:r>
      <w:r w:rsidRPr="009D48A5">
        <w:rPr>
          <w:rFonts w:hint="eastAsia"/>
        </w:rPr>
        <w:t>并</w:t>
      </w:r>
      <w:r w:rsidRPr="009D48A5">
        <w:t>判定</w:t>
      </w:r>
      <w:r>
        <w:t>：</w:t>
      </w:r>
      <w:r w:rsidRPr="009D48A5">
        <w:rPr>
          <w:rFonts w:hint="eastAsia"/>
        </w:rPr>
        <w:t>“因此</w:t>
      </w:r>
      <w:r>
        <w:rPr>
          <w:rFonts w:hint="eastAsia"/>
        </w:rPr>
        <w:t>，</w:t>
      </w:r>
      <w:r w:rsidRPr="009D48A5">
        <w:rPr>
          <w:rFonts w:hint="eastAsia"/>
        </w:rPr>
        <w:t>《公约》中规则的法律地位主要取决于致使</w:t>
      </w:r>
      <w:r>
        <w:rPr>
          <w:rFonts w:hint="eastAsia"/>
        </w:rPr>
        <w:t>[</w:t>
      </w:r>
      <w:r w:rsidRPr="009D48A5">
        <w:rPr>
          <w:rFonts w:hint="eastAsia"/>
        </w:rPr>
        <w:t>国际法</w:t>
      </w:r>
      <w:r>
        <w:rPr>
          <w:rFonts w:hint="eastAsia"/>
        </w:rPr>
        <w:t>]</w:t>
      </w:r>
      <w:r w:rsidRPr="009D48A5">
        <w:rPr>
          <w:rFonts w:hint="eastAsia"/>
        </w:rPr>
        <w:t>委员会提出该规则的程序。已经结合丹麦</w:t>
      </w:r>
      <w:r>
        <w:rPr>
          <w:rFonts w:hint="eastAsia"/>
        </w:rPr>
        <w:t>－</w:t>
      </w:r>
      <w:r w:rsidRPr="009D48A5">
        <w:rPr>
          <w:rFonts w:hint="eastAsia"/>
        </w:rPr>
        <w:t>荷兰关于等距离测量的先验必要性的主张对这些程序进行了审查</w:t>
      </w:r>
      <w:r>
        <w:rPr>
          <w:rFonts w:hint="eastAsia"/>
        </w:rPr>
        <w:t>，</w:t>
      </w:r>
      <w:r w:rsidRPr="009D48A5">
        <w:rPr>
          <w:rFonts w:hint="eastAsia"/>
        </w:rPr>
        <w:t>并且法院认为这种审查在此也能满足要求</w:t>
      </w:r>
      <w:r>
        <w:rPr>
          <w:rFonts w:hint="eastAsia"/>
        </w:rPr>
        <w:t>，</w:t>
      </w:r>
      <w:r w:rsidRPr="009D48A5">
        <w:rPr>
          <w:rFonts w:hint="eastAsia"/>
        </w:rPr>
        <w:t>显示委员会在提出《公约》第</w:t>
      </w:r>
      <w:r w:rsidRPr="009D48A5">
        <w:rPr>
          <w:rFonts w:hint="eastAsia"/>
        </w:rPr>
        <w:t>6</w:t>
      </w:r>
      <w:r w:rsidRPr="009D48A5">
        <w:rPr>
          <w:rFonts w:hint="eastAsia"/>
        </w:rPr>
        <w:t>条中出现的等距离原则时相当犹豫</w:t>
      </w:r>
      <w:r>
        <w:rPr>
          <w:rFonts w:hint="eastAsia"/>
        </w:rPr>
        <w:t>，</w:t>
      </w:r>
      <w:r w:rsidRPr="009D48A5">
        <w:rPr>
          <w:rFonts w:hint="eastAsia"/>
        </w:rPr>
        <w:t>在某种程度上是一种试验</w:t>
      </w:r>
      <w:r>
        <w:rPr>
          <w:rFonts w:hint="eastAsia"/>
        </w:rPr>
        <w:t>，</w:t>
      </w:r>
      <w:r w:rsidRPr="009D48A5">
        <w:rPr>
          <w:rFonts w:hint="eastAsia"/>
        </w:rPr>
        <w:t>充其量是拟议法</w:t>
      </w:r>
      <w:r>
        <w:rPr>
          <w:rFonts w:hint="eastAsia"/>
        </w:rPr>
        <w:t>，</w:t>
      </w:r>
      <w:r w:rsidRPr="009D48A5">
        <w:rPr>
          <w:rFonts w:hint="eastAsia"/>
        </w:rPr>
        <w:t>绝不是现行法或是正在出现的新习惯国际法规则。显然不能以此为基础来说《公约》第</w:t>
      </w:r>
      <w:r w:rsidRPr="009D48A5">
        <w:rPr>
          <w:rFonts w:hint="eastAsia"/>
        </w:rPr>
        <w:t>6</w:t>
      </w:r>
      <w:r w:rsidRPr="009D48A5">
        <w:rPr>
          <w:rFonts w:hint="eastAsia"/>
        </w:rPr>
        <w:t>条反映或具体化了这样的规则”</w:t>
      </w:r>
      <w:r>
        <w:rPr>
          <w:rFonts w:hint="eastAsia"/>
        </w:rPr>
        <w:t>(</w:t>
      </w:r>
      <w:r w:rsidRPr="009D48A5">
        <w:rPr>
          <w:rFonts w:ascii="Time New Roman" w:eastAsia="楷体" w:hAnsi="Time New Roman"/>
        </w:rPr>
        <w:t>北海大陆架案</w:t>
      </w:r>
      <w:r>
        <w:t>(</w:t>
      </w:r>
      <w:r w:rsidRPr="009D48A5">
        <w:rPr>
          <w:rFonts w:hint="eastAsia"/>
        </w:rPr>
        <w:t>见上文脚注</w:t>
      </w:r>
      <w:r>
        <w:rPr>
          <w:szCs w:val="18"/>
        </w:rPr>
        <w:fldChar w:fldCharType="begin"/>
      </w:r>
      <w:r>
        <w:rPr>
          <w:szCs w:val="18"/>
        </w:rPr>
        <w:instrText xml:space="preserve"> </w:instrText>
      </w:r>
      <w:r>
        <w:rPr>
          <w:rFonts w:hint="eastAsia"/>
          <w:szCs w:val="18"/>
        </w:rPr>
        <w:instrText>NOTEREF _Ref453666652 \h</w:instrText>
      </w:r>
      <w:r>
        <w:rPr>
          <w:szCs w:val="18"/>
        </w:rPr>
        <w:instrText xml:space="preserve"> </w:instrText>
      </w:r>
      <w:r>
        <w:rPr>
          <w:szCs w:val="18"/>
        </w:rPr>
      </w:r>
      <w:r>
        <w:rPr>
          <w:szCs w:val="18"/>
        </w:rPr>
        <w:fldChar w:fldCharType="separate"/>
      </w:r>
      <w:r w:rsidR="00A73EB9">
        <w:rPr>
          <w:szCs w:val="18"/>
        </w:rPr>
        <w:t>254</w:t>
      </w:r>
      <w:r>
        <w:rPr>
          <w:szCs w:val="18"/>
        </w:rPr>
        <w:fldChar w:fldCharType="end"/>
      </w:r>
      <w:r>
        <w:rPr>
          <w:rFonts w:hint="eastAsia"/>
        </w:rPr>
        <w:t>)</w:t>
      </w:r>
      <w:r>
        <w:rPr>
          <w:rFonts w:hint="eastAsia"/>
        </w:rPr>
        <w:t>，</w:t>
      </w:r>
      <w:r w:rsidRPr="009D48A5">
        <w:rPr>
          <w:rFonts w:hint="eastAsia"/>
        </w:rPr>
        <w:t>见第</w:t>
      </w:r>
      <w:r w:rsidRPr="009D48A5">
        <w:rPr>
          <w:rFonts w:hint="eastAsia"/>
        </w:rPr>
        <w:t>38</w:t>
      </w:r>
      <w:r w:rsidRPr="009D48A5">
        <w:rPr>
          <w:rFonts w:hint="eastAsia"/>
        </w:rPr>
        <w:t>页</w:t>
      </w:r>
      <w:r>
        <w:rPr>
          <w:rFonts w:hint="eastAsia"/>
        </w:rPr>
        <w:t>，</w:t>
      </w:r>
      <w:r w:rsidRPr="009D48A5">
        <w:rPr>
          <w:rFonts w:hint="eastAsia"/>
        </w:rPr>
        <w:t>第</w:t>
      </w:r>
      <w:r w:rsidRPr="009D48A5">
        <w:rPr>
          <w:rFonts w:hint="eastAsia"/>
        </w:rPr>
        <w:t>62</w:t>
      </w:r>
      <w:r w:rsidRPr="009D48A5">
        <w:rPr>
          <w:rFonts w:hint="eastAsia"/>
        </w:rPr>
        <w:t>段</w:t>
      </w:r>
      <w:r>
        <w:rPr>
          <w:rFonts w:hint="eastAsia"/>
        </w:rPr>
        <w:t>)</w:t>
      </w:r>
      <w:r w:rsidRPr="009D48A5">
        <w:rPr>
          <w:rFonts w:hint="eastAsia"/>
        </w:rPr>
        <w:t>。另见</w:t>
      </w:r>
      <w:r w:rsidRPr="009D48A5">
        <w:rPr>
          <w:rFonts w:ascii="Time New Roman" w:eastAsia="楷体" w:hAnsi="Time New Roman"/>
        </w:rPr>
        <w:t>国家的司法管辖豁免</w:t>
      </w:r>
      <w:r>
        <w:t>(</w:t>
      </w:r>
      <w:r w:rsidRPr="009D48A5">
        <w:rPr>
          <w:rFonts w:hint="eastAsia"/>
        </w:rPr>
        <w:t>上文脚注</w:t>
      </w:r>
      <w:r>
        <w:fldChar w:fldCharType="begin"/>
      </w:r>
      <w:r>
        <w:instrText xml:space="preserve"> </w:instrText>
      </w:r>
      <w:r>
        <w:rPr>
          <w:rFonts w:hint="eastAsia"/>
        </w:rPr>
        <w:instrText>NOTEREF _Ref453667027 \h</w:instrText>
      </w:r>
      <w:r>
        <w:instrText xml:space="preserve"> </w:instrText>
      </w:r>
      <w:r>
        <w:fldChar w:fldCharType="separate"/>
      </w:r>
      <w:r w:rsidR="00A73EB9">
        <w:t>255</w:t>
      </w:r>
      <w:r>
        <w:fldChar w:fldCharType="end"/>
      </w:r>
      <w:r>
        <w:t>)</w:t>
      </w:r>
      <w:r>
        <w:rPr>
          <w:rFonts w:hint="eastAsia"/>
        </w:rPr>
        <w:t>，</w:t>
      </w:r>
      <w:r w:rsidRPr="009D48A5">
        <w:rPr>
          <w:rFonts w:hint="eastAsia"/>
        </w:rPr>
        <w:t>第</w:t>
      </w:r>
      <w:r w:rsidRPr="009D48A5">
        <w:t>1</w:t>
      </w:r>
      <w:r w:rsidRPr="009D48A5">
        <w:rPr>
          <w:rFonts w:hint="eastAsia"/>
        </w:rPr>
        <w:t>38-139</w:t>
      </w:r>
      <w:r w:rsidRPr="009D48A5">
        <w:rPr>
          <w:rFonts w:hint="eastAsia"/>
        </w:rPr>
        <w:t>页</w:t>
      </w:r>
      <w:r>
        <w:rPr>
          <w:rFonts w:hint="eastAsia"/>
        </w:rPr>
        <w:t>，</w:t>
      </w:r>
      <w:r w:rsidRPr="009D48A5">
        <w:rPr>
          <w:rFonts w:hint="eastAsia"/>
        </w:rPr>
        <w:t>第</w:t>
      </w:r>
      <w:r w:rsidRPr="009D48A5">
        <w:rPr>
          <w:rFonts w:hint="eastAsia"/>
        </w:rPr>
        <w:t>89</w:t>
      </w:r>
      <w:r w:rsidRPr="009D48A5">
        <w:rPr>
          <w:rFonts w:hint="eastAsia"/>
        </w:rPr>
        <w:t>段。</w:t>
      </w:r>
    </w:p>
  </w:footnote>
  <w:footnote w:id="332">
    <w:p w:rsidR="00AB00DE" w:rsidRPr="009D48A5" w:rsidRDefault="00AB00DE" w:rsidP="008D7906">
      <w:pPr>
        <w:pStyle w:val="a4"/>
      </w:pPr>
      <w:r w:rsidRPr="009D48A5">
        <w:rPr>
          <w:snapToGrid/>
        </w:rPr>
        <w:tab/>
      </w:r>
      <w:r w:rsidRPr="00DF5565">
        <w:rPr>
          <w:snapToGrid/>
          <w:color w:val="0000FF"/>
          <w:sz w:val="21"/>
          <w:vertAlign w:val="superscript"/>
        </w:rPr>
        <w:footnoteRef/>
      </w:r>
      <w:r w:rsidRPr="009D48A5">
        <w:rPr>
          <w:snapToGrid/>
        </w:rPr>
        <w:tab/>
      </w:r>
      <w:r w:rsidRPr="009D48A5">
        <w:rPr>
          <w:rFonts w:hint="eastAsia"/>
        </w:rPr>
        <w:t>即便最终无法商定某一条约条款</w:t>
      </w:r>
      <w:r>
        <w:rPr>
          <w:rFonts w:hint="eastAsia"/>
        </w:rPr>
        <w:t>，</w:t>
      </w:r>
      <w:r w:rsidRPr="009D48A5">
        <w:rPr>
          <w:rFonts w:hint="eastAsia"/>
        </w:rPr>
        <w:t>习惯国际法仍有可能稍后“</w:t>
      </w:r>
      <w:r w:rsidRPr="009D48A5">
        <w:t>在</w:t>
      </w:r>
      <w:r>
        <w:rPr>
          <w:rFonts w:hint="eastAsia"/>
        </w:rPr>
        <w:t>[</w:t>
      </w:r>
      <w:r w:rsidRPr="009D48A5">
        <w:rPr>
          <w:rFonts w:hint="eastAsia"/>
        </w:rPr>
        <w:t>谈判条约的</w:t>
      </w:r>
      <w:r>
        <w:rPr>
          <w:rFonts w:hint="eastAsia"/>
        </w:rPr>
        <w:t>]</w:t>
      </w:r>
      <w:r w:rsidRPr="009D48A5">
        <w:t>会议的辩论和接近协定的基础上通过各国惯例</w:t>
      </w:r>
      <w:r w:rsidRPr="009D48A5">
        <w:rPr>
          <w:rFonts w:hint="eastAsia"/>
        </w:rPr>
        <w:t>”而演变出来</w:t>
      </w:r>
      <w:r>
        <w:rPr>
          <w:rFonts w:hint="eastAsia"/>
        </w:rPr>
        <w:t>，</w:t>
      </w:r>
      <w:r w:rsidRPr="009D48A5">
        <w:rPr>
          <w:rFonts w:ascii="Time New Roman" w:eastAsia="楷体" w:hAnsi="Time New Roman" w:hint="eastAsia"/>
        </w:rPr>
        <w:t>捕鱼</w:t>
      </w:r>
      <w:r w:rsidRPr="009D48A5">
        <w:rPr>
          <w:rFonts w:ascii="Time New Roman" w:eastAsia="楷体" w:hAnsi="Time New Roman"/>
        </w:rPr>
        <w:t>管辖权</w:t>
      </w:r>
      <w:r w:rsidRPr="009D48A5">
        <w:rPr>
          <w:rFonts w:ascii="Time New Roman" w:eastAsia="楷体" w:hAnsi="Time New Roman" w:hint="eastAsia"/>
        </w:rPr>
        <w:t>案</w:t>
      </w:r>
      <w:r>
        <w:rPr>
          <w:rFonts w:ascii="Time New Roman" w:eastAsia="楷体" w:hAnsi="Time New Roman"/>
        </w:rPr>
        <w:t>(</w:t>
      </w:r>
      <w:r w:rsidRPr="009D48A5">
        <w:rPr>
          <w:rFonts w:ascii="Time New Roman" w:eastAsia="楷体" w:hAnsi="Time New Roman"/>
        </w:rPr>
        <w:t>联合王国诉冰岛</w:t>
      </w:r>
      <w:r>
        <w:rPr>
          <w:rFonts w:ascii="Time New Roman" w:eastAsia="楷体" w:hAnsi="Time New Roman"/>
        </w:rPr>
        <w:t>)</w:t>
      </w:r>
      <w:r>
        <w:rPr>
          <w:rFonts w:ascii="Time New Roman" w:eastAsia="楷体" w:hAnsi="Time New Roman"/>
        </w:rPr>
        <w:t>，</w:t>
      </w:r>
      <w:r w:rsidRPr="009D48A5">
        <w:rPr>
          <w:rFonts w:ascii="Time New Roman" w:eastAsia="楷体" w:hAnsi="Time New Roman"/>
        </w:rPr>
        <w:t>案情实质</w:t>
      </w:r>
      <w:r>
        <w:rPr>
          <w:rFonts w:ascii="Time New Roman" w:eastAsia="楷体" w:hAnsi="Time New Roman"/>
        </w:rPr>
        <w:t>，</w:t>
      </w:r>
      <w:r w:rsidRPr="009D48A5">
        <w:rPr>
          <w:rFonts w:ascii="Time New Roman" w:eastAsia="楷体" w:hAnsi="Time New Roman"/>
        </w:rPr>
        <w:t>判决书</w:t>
      </w:r>
      <w:r>
        <w:t>，</w:t>
      </w:r>
      <w:r w:rsidRPr="009D48A5">
        <w:t>《</w:t>
      </w:r>
      <w:r w:rsidRPr="009D48A5">
        <w:t>1974</w:t>
      </w:r>
      <w:r w:rsidRPr="009D48A5">
        <w:t>年国际法院案例汇编》</w:t>
      </w:r>
      <w:r>
        <w:t>，</w:t>
      </w:r>
      <w:r w:rsidRPr="009D48A5">
        <w:t>第</w:t>
      </w:r>
      <w:r w:rsidRPr="009D48A5">
        <w:t>3</w:t>
      </w:r>
      <w:r w:rsidRPr="009D48A5">
        <w:t>页</w:t>
      </w:r>
      <w:r w:rsidRPr="009D48A5">
        <w:rPr>
          <w:rFonts w:hint="eastAsia"/>
        </w:rPr>
        <w:t>起</w:t>
      </w:r>
      <w:r>
        <w:t>，</w:t>
      </w:r>
      <w:r w:rsidRPr="009D48A5">
        <w:t>见第</w:t>
      </w:r>
      <w:r w:rsidRPr="009D48A5">
        <w:t>23</w:t>
      </w:r>
      <w:r w:rsidRPr="009D48A5">
        <w:t>页</w:t>
      </w:r>
      <w:r>
        <w:t>，</w:t>
      </w:r>
      <w:r w:rsidRPr="009D48A5">
        <w:t>第</w:t>
      </w:r>
      <w:r w:rsidRPr="009D48A5">
        <w:t>52</w:t>
      </w:r>
      <w:r w:rsidRPr="009D48A5">
        <w:t>段</w:t>
      </w:r>
      <w:r w:rsidRPr="009D48A5">
        <w:rPr>
          <w:rFonts w:hint="eastAsia"/>
        </w:rPr>
        <w:t>。</w:t>
      </w:r>
    </w:p>
  </w:footnote>
  <w:footnote w:id="333">
    <w:p w:rsidR="00AB00DE" w:rsidRPr="009D48A5" w:rsidRDefault="00AB00DE" w:rsidP="00267AB1">
      <w:pPr>
        <w:pStyle w:val="a4"/>
      </w:pPr>
      <w:r w:rsidRPr="009D48A5">
        <w:rPr>
          <w:snapToGrid/>
        </w:rPr>
        <w:tab/>
      </w:r>
      <w:r w:rsidRPr="00DF5565">
        <w:rPr>
          <w:snapToGrid/>
          <w:color w:val="0000FF"/>
          <w:sz w:val="21"/>
          <w:vertAlign w:val="superscript"/>
        </w:rPr>
        <w:footnoteRef/>
      </w:r>
      <w:r w:rsidRPr="009D48A5">
        <w:rPr>
          <w:snapToGrid/>
        </w:rPr>
        <w:tab/>
      </w:r>
      <w:r w:rsidRPr="009D48A5">
        <w:rPr>
          <w:rFonts w:hint="eastAsia"/>
        </w:rPr>
        <w:t>例如</w:t>
      </w:r>
      <w:r>
        <w:rPr>
          <w:rFonts w:hint="eastAsia"/>
        </w:rPr>
        <w:t>，</w:t>
      </w:r>
      <w:r w:rsidRPr="009D48A5">
        <w:rPr>
          <w:rFonts w:hint="eastAsia"/>
        </w:rPr>
        <w:t>见</w:t>
      </w:r>
      <w:r w:rsidRPr="009D48A5">
        <w:rPr>
          <w:rFonts w:ascii="Time New Roman" w:eastAsia="楷体" w:hAnsi="Time New Roman"/>
        </w:rPr>
        <w:t>大陆架案</w:t>
      </w:r>
      <w:r>
        <w:t>(</w:t>
      </w:r>
      <w:r w:rsidRPr="009D48A5">
        <w:rPr>
          <w:rFonts w:hint="eastAsia"/>
        </w:rPr>
        <w:t>上文脚注</w:t>
      </w:r>
      <w:r>
        <w:fldChar w:fldCharType="begin"/>
      </w:r>
      <w:r>
        <w:instrText xml:space="preserve"> </w:instrText>
      </w:r>
      <w:r>
        <w:rPr>
          <w:rFonts w:hint="eastAsia"/>
        </w:rPr>
        <w:instrText>NOTEREF _Ref453667027 \h</w:instrText>
      </w:r>
      <w:r>
        <w:instrText xml:space="preserve"> </w:instrText>
      </w:r>
      <w:r>
        <w:fldChar w:fldCharType="separate"/>
      </w:r>
      <w:r w:rsidR="00A73EB9">
        <w:t>255</w:t>
      </w:r>
      <w:r>
        <w:fldChar w:fldCharType="end"/>
      </w:r>
      <w:r>
        <w:t>)</w:t>
      </w:r>
      <w:r>
        <w:rPr>
          <w:rFonts w:hint="eastAsia"/>
        </w:rPr>
        <w:t>，</w:t>
      </w:r>
      <w:r w:rsidRPr="009D48A5">
        <w:rPr>
          <w:rFonts w:hint="eastAsia"/>
        </w:rPr>
        <w:t>第</w:t>
      </w:r>
      <w:r w:rsidRPr="009D48A5">
        <w:t>33</w:t>
      </w:r>
      <w:r w:rsidRPr="009D48A5">
        <w:rPr>
          <w:rFonts w:hint="eastAsia"/>
        </w:rPr>
        <w:t>页</w:t>
      </w:r>
      <w:r>
        <w:rPr>
          <w:rFonts w:hint="eastAsia"/>
        </w:rPr>
        <w:t>，</w:t>
      </w:r>
      <w:r w:rsidRPr="009D48A5">
        <w:rPr>
          <w:rFonts w:hint="eastAsia"/>
        </w:rPr>
        <w:t>第</w:t>
      </w:r>
      <w:r w:rsidRPr="009D48A5">
        <w:t>34</w:t>
      </w:r>
      <w:r w:rsidRPr="009D48A5">
        <w:rPr>
          <w:rFonts w:hint="eastAsia"/>
        </w:rPr>
        <w:t>段</w:t>
      </w:r>
      <w:r>
        <w:t>(</w:t>
      </w:r>
      <w:r w:rsidRPr="009D48A5">
        <w:rPr>
          <w:rFonts w:hint="eastAsia"/>
        </w:rPr>
        <w:t>“</w:t>
      </w:r>
      <w:r w:rsidRPr="009D48A5">
        <w:t>法院认为</w:t>
      </w:r>
      <w:r>
        <w:t>，</w:t>
      </w:r>
      <w:r w:rsidRPr="009D48A5">
        <w:t>毫无疑问</w:t>
      </w:r>
      <w:r>
        <w:t>，</w:t>
      </w:r>
      <w:r w:rsidRPr="009D48A5">
        <w:t>各国惯例显示</w:t>
      </w:r>
      <w:r>
        <w:t>，</w:t>
      </w:r>
      <w:r w:rsidRPr="009D48A5">
        <w:t>根据距离确定应享权利的专属经济区制度已成为习惯法的一部分</w:t>
      </w:r>
      <w:r w:rsidRPr="009D48A5">
        <w:rPr>
          <w:rFonts w:hint="eastAsia"/>
        </w:rPr>
        <w:t>”</w:t>
      </w:r>
      <w:r>
        <w:t>(</w:t>
      </w:r>
      <w:r w:rsidRPr="009D48A5">
        <w:t>强调系本文所加</w:t>
      </w:r>
      <w:r>
        <w:t>))</w:t>
      </w:r>
      <w:r w:rsidRPr="009D48A5">
        <w:rPr>
          <w:rFonts w:hint="eastAsia"/>
        </w:rPr>
        <w:t>。</w:t>
      </w:r>
    </w:p>
  </w:footnote>
  <w:footnote w:id="334">
    <w:p w:rsidR="00AB00DE" w:rsidRPr="009D48A5" w:rsidRDefault="00AB00DE" w:rsidP="00267AB1">
      <w:pPr>
        <w:pStyle w:val="a4"/>
      </w:pPr>
      <w:r w:rsidRPr="009D48A5">
        <w:rPr>
          <w:snapToGrid/>
        </w:rPr>
        <w:tab/>
      </w:r>
      <w:r w:rsidRPr="00DF5565">
        <w:rPr>
          <w:snapToGrid/>
          <w:color w:val="0000FF"/>
          <w:sz w:val="21"/>
          <w:vertAlign w:val="superscript"/>
        </w:rPr>
        <w:footnoteRef/>
      </w:r>
      <w:r w:rsidRPr="009D48A5">
        <w:rPr>
          <w:snapToGrid/>
        </w:rPr>
        <w:tab/>
      </w:r>
      <w:r w:rsidRPr="009D48A5">
        <w:rPr>
          <w:rFonts w:hint="eastAsia"/>
        </w:rPr>
        <w:t>正如国际法院所确认的</w:t>
      </w:r>
      <w:r>
        <w:rPr>
          <w:rFonts w:hint="eastAsia"/>
        </w:rPr>
        <w:t>，</w:t>
      </w:r>
      <w:r w:rsidRPr="009D48A5">
        <w:rPr>
          <w:rFonts w:hint="eastAsia"/>
        </w:rPr>
        <w:t>“这个过程完全有可能发生</w:t>
      </w:r>
      <w:r>
        <w:rPr>
          <w:rFonts w:hint="eastAsia"/>
        </w:rPr>
        <w:t>，</w:t>
      </w:r>
      <w:r w:rsidRPr="009D48A5">
        <w:rPr>
          <w:rFonts w:hint="eastAsia"/>
        </w:rPr>
        <w:t>且实际上不时发生</w:t>
      </w:r>
      <w:r>
        <w:rPr>
          <w:rFonts w:hint="eastAsia"/>
        </w:rPr>
        <w:t>：</w:t>
      </w:r>
      <w:r w:rsidRPr="009D48A5">
        <w:rPr>
          <w:rFonts w:hint="eastAsia"/>
        </w:rPr>
        <w:t>这已构成公认的习惯国际法新规则形成的方法之一”</w:t>
      </w:r>
      <w:r>
        <w:t>(</w:t>
      </w:r>
      <w:r w:rsidRPr="009D48A5">
        <w:rPr>
          <w:rFonts w:ascii="Time New Roman" w:eastAsia="楷体" w:hAnsi="Time New Roman"/>
        </w:rPr>
        <w:t>北海大陆架案</w:t>
      </w:r>
      <w:r>
        <w:t>(</w:t>
      </w:r>
      <w:r w:rsidRPr="009D48A5">
        <w:rPr>
          <w:rFonts w:hint="eastAsia"/>
        </w:rPr>
        <w:t>见上文脚注</w:t>
      </w:r>
      <w:r>
        <w:rPr>
          <w:szCs w:val="18"/>
        </w:rPr>
        <w:fldChar w:fldCharType="begin"/>
      </w:r>
      <w:r>
        <w:rPr>
          <w:szCs w:val="18"/>
        </w:rPr>
        <w:instrText xml:space="preserve"> </w:instrText>
      </w:r>
      <w:r>
        <w:rPr>
          <w:rFonts w:hint="eastAsia"/>
          <w:szCs w:val="18"/>
        </w:rPr>
        <w:instrText>NOTEREF _Ref453666652 \h</w:instrText>
      </w:r>
      <w:r>
        <w:rPr>
          <w:szCs w:val="18"/>
        </w:rPr>
        <w:instrText xml:space="preserve"> </w:instrText>
      </w:r>
      <w:r>
        <w:rPr>
          <w:szCs w:val="18"/>
        </w:rPr>
      </w:r>
      <w:r>
        <w:rPr>
          <w:szCs w:val="18"/>
        </w:rPr>
        <w:fldChar w:fldCharType="separate"/>
      </w:r>
      <w:r w:rsidR="00A73EB9">
        <w:rPr>
          <w:szCs w:val="18"/>
        </w:rPr>
        <w:t>254</w:t>
      </w:r>
      <w:r>
        <w:rPr>
          <w:szCs w:val="18"/>
        </w:rPr>
        <w:fldChar w:fldCharType="end"/>
      </w:r>
      <w:r>
        <w:rPr>
          <w:rFonts w:hint="eastAsia"/>
        </w:rPr>
        <w:t>)</w:t>
      </w:r>
      <w:r>
        <w:rPr>
          <w:rFonts w:hint="eastAsia"/>
        </w:rPr>
        <w:t>，</w:t>
      </w:r>
      <w:r w:rsidRPr="009D48A5">
        <w:rPr>
          <w:rFonts w:hint="eastAsia"/>
        </w:rPr>
        <w:t>见第</w:t>
      </w:r>
      <w:r w:rsidRPr="009D48A5">
        <w:t>41</w:t>
      </w:r>
      <w:r w:rsidRPr="009D48A5">
        <w:rPr>
          <w:rFonts w:hint="eastAsia"/>
        </w:rPr>
        <w:t>页</w:t>
      </w:r>
      <w:r>
        <w:rPr>
          <w:rFonts w:hint="eastAsia"/>
        </w:rPr>
        <w:t>，</w:t>
      </w:r>
      <w:r w:rsidRPr="009D48A5">
        <w:rPr>
          <w:rFonts w:hint="eastAsia"/>
        </w:rPr>
        <w:t>第</w:t>
      </w:r>
      <w:r w:rsidRPr="009D48A5">
        <w:t>71</w:t>
      </w:r>
      <w:r w:rsidRPr="009D48A5">
        <w:rPr>
          <w:rFonts w:hint="eastAsia"/>
        </w:rPr>
        <w:t>段</w:t>
      </w:r>
      <w:r>
        <w:t>)</w:t>
      </w:r>
      <w:r w:rsidRPr="009D48A5">
        <w:rPr>
          <w:rFonts w:hint="eastAsia"/>
        </w:rPr>
        <w:t>。在</w:t>
      </w:r>
      <w:r w:rsidRPr="009D48A5">
        <w:rPr>
          <w:rFonts w:hint="eastAsia"/>
        </w:rPr>
        <w:t>1907</w:t>
      </w:r>
      <w:r w:rsidRPr="009D48A5">
        <w:rPr>
          <w:rFonts w:hint="eastAsia"/>
        </w:rPr>
        <w:t>年海牙第四公约《陆战法规和习惯公约》附件《海牙章程》</w:t>
      </w:r>
      <w:r>
        <w:t>(</w:t>
      </w:r>
      <w:r w:rsidRPr="009D48A5">
        <w:rPr>
          <w:rFonts w:hint="eastAsia"/>
        </w:rPr>
        <w:t>《</w:t>
      </w:r>
      <w:r w:rsidRPr="009D48A5">
        <w:rPr>
          <w:rFonts w:hint="eastAsia"/>
        </w:rPr>
        <w:t>1899</w:t>
      </w:r>
      <w:r w:rsidRPr="009D48A5">
        <w:rPr>
          <w:rFonts w:hint="eastAsia"/>
        </w:rPr>
        <w:t>年和</w:t>
      </w:r>
      <w:r w:rsidRPr="009D48A5">
        <w:rPr>
          <w:rFonts w:hint="eastAsia"/>
        </w:rPr>
        <w:t>1907</w:t>
      </w:r>
      <w:r w:rsidRPr="009D48A5">
        <w:rPr>
          <w:rFonts w:hint="eastAsia"/>
        </w:rPr>
        <w:t>年的海牙公约和宣言》可以找到一个例子</w:t>
      </w:r>
      <w:r>
        <w:rPr>
          <w:rFonts w:hint="eastAsia"/>
        </w:rPr>
        <w:t>：</w:t>
      </w:r>
      <w:r w:rsidRPr="009D48A5">
        <w:rPr>
          <w:rFonts w:hint="eastAsia"/>
        </w:rPr>
        <w:t>尽管根据《公约》</w:t>
      </w:r>
      <w:r>
        <w:rPr>
          <w:rFonts w:hint="eastAsia"/>
        </w:rPr>
        <w:t>，</w:t>
      </w:r>
      <w:r w:rsidRPr="009D48A5">
        <w:rPr>
          <w:rFonts w:hint="eastAsia"/>
        </w:rPr>
        <w:t>起草这些条款</w:t>
      </w:r>
      <w:r>
        <w:rPr>
          <w:rFonts w:hint="eastAsia"/>
        </w:rPr>
        <w:t>，</w:t>
      </w:r>
      <w:r w:rsidRPr="009D48A5">
        <w:rPr>
          <w:rFonts w:hint="eastAsia"/>
        </w:rPr>
        <w:t>是为“修改</w:t>
      </w:r>
      <w:r>
        <w:rPr>
          <w:rFonts w:hint="eastAsia"/>
        </w:rPr>
        <w:t>[</w:t>
      </w:r>
      <w:r w:rsidRPr="009D48A5">
        <w:rPr>
          <w:rFonts w:hint="eastAsia"/>
        </w:rPr>
        <w:t>当时存在的</w:t>
      </w:r>
      <w:r>
        <w:rPr>
          <w:rFonts w:hint="eastAsia"/>
        </w:rPr>
        <w:t>]</w:t>
      </w:r>
      <w:r w:rsidRPr="009D48A5">
        <w:rPr>
          <w:rFonts w:hint="eastAsia"/>
        </w:rPr>
        <w:t>一般战争法规和惯例”</w:t>
      </w:r>
      <w:r>
        <w:rPr>
          <w:rFonts w:hint="eastAsia"/>
        </w:rPr>
        <w:t>(</w:t>
      </w:r>
      <w:r w:rsidRPr="009D48A5">
        <w:rPr>
          <w:rFonts w:hint="eastAsia"/>
        </w:rPr>
        <w:t>因此不是编纂现有的习惯国际法</w:t>
      </w:r>
      <w:r>
        <w:rPr>
          <w:rFonts w:hint="eastAsia"/>
        </w:rPr>
        <w:t>)</w:t>
      </w:r>
      <w:r>
        <w:rPr>
          <w:rFonts w:hint="eastAsia"/>
        </w:rPr>
        <w:t>，</w:t>
      </w:r>
      <w:r w:rsidRPr="009D48A5">
        <w:rPr>
          <w:rFonts w:hint="eastAsia"/>
        </w:rPr>
        <w:t>但后来它们被视为反映了习惯国际法</w:t>
      </w:r>
      <w:r>
        <w:rPr>
          <w:rFonts w:hint="eastAsia"/>
        </w:rPr>
        <w:t>(</w:t>
      </w:r>
      <w:r w:rsidRPr="009D48A5">
        <w:rPr>
          <w:rFonts w:hint="eastAsia"/>
        </w:rPr>
        <w:t>见</w:t>
      </w:r>
      <w:r w:rsidRPr="009D48A5">
        <w:rPr>
          <w:rFonts w:ascii="Time New Roman" w:eastAsia="楷体" w:hAnsi="Time New Roman"/>
        </w:rPr>
        <w:t>在被占领巴勒斯坦领土修建隔离墙的法律后果</w:t>
      </w:r>
      <w:r>
        <w:rPr>
          <w:rFonts w:ascii="Time New Roman" w:eastAsia="楷体" w:hAnsi="Time New Roman"/>
        </w:rPr>
        <w:t>，</w:t>
      </w:r>
      <w:r w:rsidRPr="009D48A5">
        <w:rPr>
          <w:rFonts w:ascii="Time New Roman" w:eastAsia="楷体" w:hAnsi="Time New Roman"/>
        </w:rPr>
        <w:t>咨询意见</w:t>
      </w:r>
      <w:r>
        <w:t>，</w:t>
      </w:r>
      <w:r w:rsidRPr="009D48A5">
        <w:t>《</w:t>
      </w:r>
      <w:r w:rsidRPr="009D48A5">
        <w:t>2004</w:t>
      </w:r>
      <w:r w:rsidRPr="009D48A5">
        <w:t>年国际法院案例汇编》</w:t>
      </w:r>
      <w:r>
        <w:t>，</w:t>
      </w:r>
      <w:r w:rsidRPr="009D48A5">
        <w:t>第</w:t>
      </w:r>
      <w:r w:rsidRPr="009D48A5">
        <w:t>136</w:t>
      </w:r>
      <w:r w:rsidRPr="009D48A5">
        <w:t>页</w:t>
      </w:r>
      <w:r w:rsidRPr="009D48A5">
        <w:rPr>
          <w:rFonts w:hint="eastAsia"/>
        </w:rPr>
        <w:t>起</w:t>
      </w:r>
      <w:r>
        <w:t>，</w:t>
      </w:r>
      <w:r w:rsidRPr="009D48A5">
        <w:t>见第</w:t>
      </w:r>
      <w:r w:rsidRPr="009D48A5">
        <w:t>1</w:t>
      </w:r>
      <w:r w:rsidRPr="009D48A5">
        <w:rPr>
          <w:rFonts w:hint="eastAsia"/>
        </w:rPr>
        <w:t>72</w:t>
      </w:r>
      <w:r w:rsidRPr="009D48A5">
        <w:t>页</w:t>
      </w:r>
      <w:r>
        <w:rPr>
          <w:rFonts w:hint="eastAsia"/>
        </w:rPr>
        <w:t>，</w:t>
      </w:r>
      <w:r w:rsidRPr="009D48A5">
        <w:rPr>
          <w:rFonts w:hint="eastAsia"/>
        </w:rPr>
        <w:t>第</w:t>
      </w:r>
      <w:r w:rsidRPr="009D48A5">
        <w:rPr>
          <w:rFonts w:hint="eastAsia"/>
        </w:rPr>
        <w:t>89</w:t>
      </w:r>
      <w:r w:rsidRPr="009D48A5">
        <w:rPr>
          <w:rFonts w:hint="eastAsia"/>
        </w:rPr>
        <w:t>段</w:t>
      </w:r>
      <w:r>
        <w:rPr>
          <w:rFonts w:hint="eastAsia"/>
        </w:rPr>
        <w:t>)</w:t>
      </w:r>
      <w:r w:rsidRPr="009D48A5">
        <w:rPr>
          <w:rFonts w:hint="eastAsia"/>
        </w:rPr>
        <w:t>。</w:t>
      </w:r>
    </w:p>
  </w:footnote>
  <w:footnote w:id="335">
    <w:p w:rsidR="00AB00DE" w:rsidRPr="009D48A5" w:rsidRDefault="00AB00DE" w:rsidP="00267AB1">
      <w:pPr>
        <w:pStyle w:val="a4"/>
      </w:pPr>
      <w:r w:rsidRPr="009D48A5">
        <w:rPr>
          <w:snapToGrid/>
        </w:rPr>
        <w:tab/>
      </w:r>
      <w:r w:rsidRPr="00DF5565">
        <w:rPr>
          <w:snapToGrid/>
          <w:color w:val="0000FF"/>
          <w:sz w:val="21"/>
          <w:vertAlign w:val="superscript"/>
        </w:rPr>
        <w:footnoteRef/>
      </w:r>
      <w:r w:rsidRPr="009D48A5">
        <w:rPr>
          <w:snapToGrid/>
        </w:rPr>
        <w:tab/>
      </w:r>
      <w:r w:rsidRPr="009D48A5">
        <w:rPr>
          <w:rFonts w:ascii="Time New Roman" w:eastAsia="楷体" w:hAnsi="Time New Roman"/>
        </w:rPr>
        <w:t>北海大陆架案</w:t>
      </w:r>
      <w:r>
        <w:t>(</w:t>
      </w:r>
      <w:r w:rsidRPr="009D48A5">
        <w:rPr>
          <w:rFonts w:hint="eastAsia"/>
        </w:rPr>
        <w:t>见上文脚注</w:t>
      </w:r>
      <w:r>
        <w:rPr>
          <w:szCs w:val="18"/>
        </w:rPr>
        <w:fldChar w:fldCharType="begin"/>
      </w:r>
      <w:r>
        <w:rPr>
          <w:szCs w:val="18"/>
        </w:rPr>
        <w:instrText xml:space="preserve"> </w:instrText>
      </w:r>
      <w:r>
        <w:rPr>
          <w:rFonts w:hint="eastAsia"/>
          <w:szCs w:val="18"/>
        </w:rPr>
        <w:instrText>NOTEREF _Ref453666652 \h</w:instrText>
      </w:r>
      <w:r>
        <w:rPr>
          <w:szCs w:val="18"/>
        </w:rPr>
        <w:instrText xml:space="preserve"> </w:instrText>
      </w:r>
      <w:r>
        <w:rPr>
          <w:szCs w:val="18"/>
        </w:rPr>
      </w:r>
      <w:r>
        <w:rPr>
          <w:szCs w:val="18"/>
        </w:rPr>
        <w:fldChar w:fldCharType="separate"/>
      </w:r>
      <w:r w:rsidR="00A73EB9">
        <w:rPr>
          <w:szCs w:val="18"/>
        </w:rPr>
        <w:t>254</w:t>
      </w:r>
      <w:r>
        <w:rPr>
          <w:szCs w:val="18"/>
        </w:rPr>
        <w:fldChar w:fldCharType="end"/>
      </w:r>
      <w:r>
        <w:rPr>
          <w:rFonts w:hint="eastAsia"/>
        </w:rPr>
        <w:t>)</w:t>
      </w:r>
      <w:r>
        <w:rPr>
          <w:rFonts w:hint="eastAsia"/>
        </w:rPr>
        <w:t>，</w:t>
      </w:r>
      <w:r w:rsidRPr="009D48A5">
        <w:rPr>
          <w:rFonts w:hint="eastAsia"/>
        </w:rPr>
        <w:t>见第</w:t>
      </w:r>
      <w:r w:rsidRPr="009D48A5">
        <w:t>41-42</w:t>
      </w:r>
      <w:r w:rsidRPr="009D48A5">
        <w:rPr>
          <w:rFonts w:hint="eastAsia"/>
        </w:rPr>
        <w:t>页和第</w:t>
      </w:r>
      <w:r w:rsidRPr="009D48A5">
        <w:t>43</w:t>
      </w:r>
      <w:r w:rsidRPr="009D48A5">
        <w:rPr>
          <w:rFonts w:hint="eastAsia"/>
        </w:rPr>
        <w:t>页</w:t>
      </w:r>
      <w:r>
        <w:rPr>
          <w:rFonts w:hint="eastAsia"/>
        </w:rPr>
        <w:t>，</w:t>
      </w:r>
      <w:r w:rsidRPr="009D48A5">
        <w:rPr>
          <w:rFonts w:hint="eastAsia"/>
        </w:rPr>
        <w:t>第</w:t>
      </w:r>
      <w:r w:rsidRPr="009D48A5">
        <w:t>72</w:t>
      </w:r>
      <w:r w:rsidRPr="009D48A5">
        <w:rPr>
          <w:rFonts w:hint="eastAsia"/>
        </w:rPr>
        <w:t>和第</w:t>
      </w:r>
      <w:r w:rsidRPr="009D48A5">
        <w:rPr>
          <w:rFonts w:hint="eastAsia"/>
        </w:rPr>
        <w:t>74</w:t>
      </w:r>
      <w:r w:rsidRPr="009D48A5">
        <w:rPr>
          <w:rFonts w:hint="eastAsia"/>
        </w:rPr>
        <w:t>段</w:t>
      </w:r>
      <w:r>
        <w:t>(</w:t>
      </w:r>
      <w:r w:rsidRPr="009D48A5">
        <w:rPr>
          <w:rFonts w:hint="eastAsia"/>
        </w:rPr>
        <w:t>在第</w:t>
      </w:r>
      <w:r w:rsidRPr="009D48A5">
        <w:rPr>
          <w:rFonts w:hint="eastAsia"/>
        </w:rPr>
        <w:t>71</w:t>
      </w:r>
      <w:r w:rsidRPr="009D48A5">
        <w:rPr>
          <w:rFonts w:hint="eastAsia"/>
        </w:rPr>
        <w:t>段提醒“这种结果不能轻率地视为已经达成”</w:t>
      </w:r>
      <w:r>
        <w:t>)</w:t>
      </w:r>
      <w:r w:rsidRPr="009D48A5">
        <w:rPr>
          <w:rFonts w:hint="eastAsia"/>
        </w:rPr>
        <w:t>。另见</w:t>
      </w:r>
      <w:r w:rsidRPr="009D48A5">
        <w:rPr>
          <w:rFonts w:ascii="Time New Roman" w:eastAsia="楷体" w:hAnsi="Time New Roman" w:hint="eastAsia"/>
        </w:rPr>
        <w:t>在</w:t>
      </w:r>
      <w:r w:rsidRPr="009D48A5">
        <w:rPr>
          <w:rFonts w:ascii="Time New Roman" w:eastAsia="楷体" w:hAnsi="Time New Roman"/>
        </w:rPr>
        <w:t>尼加拉瓜和针对尼加拉瓜的军事和准军事活动</w:t>
      </w:r>
      <w:r>
        <w:t>(</w:t>
      </w:r>
      <w:r w:rsidRPr="009D48A5">
        <w:rPr>
          <w:rFonts w:hint="eastAsia"/>
        </w:rPr>
        <w:t>上文脚注</w:t>
      </w:r>
      <w:r>
        <w:fldChar w:fldCharType="begin"/>
      </w:r>
      <w:r>
        <w:instrText xml:space="preserve"> </w:instrText>
      </w:r>
      <w:r>
        <w:rPr>
          <w:rFonts w:hint="eastAsia"/>
        </w:rPr>
        <w:instrText>NOTEREF _Ref461975037 \h</w:instrText>
      </w:r>
      <w:r>
        <w:instrText xml:space="preserve"> </w:instrText>
      </w:r>
      <w:r>
        <w:fldChar w:fldCharType="separate"/>
      </w:r>
      <w:r w:rsidR="00A73EB9">
        <w:t>246</w:t>
      </w:r>
      <w:r>
        <w:fldChar w:fldCharType="end"/>
      </w:r>
      <w:r>
        <w:t>)</w:t>
      </w:r>
      <w:r>
        <w:rPr>
          <w:rFonts w:hint="eastAsia"/>
        </w:rPr>
        <w:t>，</w:t>
      </w:r>
      <w:r w:rsidRPr="009D48A5">
        <w:t>见第</w:t>
      </w:r>
      <w:r w:rsidRPr="009D48A5">
        <w:t>98</w:t>
      </w:r>
      <w:r w:rsidRPr="009D48A5">
        <w:t>页</w:t>
      </w:r>
      <w:r>
        <w:t>，</w:t>
      </w:r>
      <w:r w:rsidRPr="009D48A5">
        <w:t>第</w:t>
      </w:r>
      <w:r w:rsidRPr="009D48A5">
        <w:t>184</w:t>
      </w:r>
      <w:r w:rsidRPr="009D48A5">
        <w:t>段</w:t>
      </w:r>
      <w:r>
        <w:t>(</w:t>
      </w:r>
      <w:r w:rsidRPr="009D48A5">
        <w:rPr>
          <w:rFonts w:hint="eastAsia"/>
        </w:rPr>
        <w:t>“</w:t>
      </w:r>
      <w:r w:rsidRPr="009D48A5">
        <w:t>如果两国商定将某项规则纳入条约</w:t>
      </w:r>
      <w:r>
        <w:t>，</w:t>
      </w:r>
      <w:r w:rsidRPr="009D48A5">
        <w:t>其商定协议足以使这一规则成为约束双方的法律规则</w:t>
      </w:r>
      <w:r>
        <w:t>；</w:t>
      </w:r>
      <w:r w:rsidRPr="009D48A5">
        <w:t>但在习惯国际法领域中</w:t>
      </w:r>
      <w:r>
        <w:t>，</w:t>
      </w:r>
      <w:r w:rsidRPr="009D48A5">
        <w:t>仅缔约方就规则内容达成共识还不够。法院必须确定各国惯例的确证实该规则存在于国家</w:t>
      </w:r>
      <w:r w:rsidRPr="009D48A5">
        <w:rPr>
          <w:rFonts w:ascii="Time New Roman" w:hAnsi="Time New Roman"/>
        </w:rPr>
        <w:t>法律</w:t>
      </w:r>
      <w:r w:rsidRPr="009D48A5">
        <w:rPr>
          <w:rFonts w:ascii="Time New Roman" w:hAnsi="Time New Roman" w:hint="eastAsia"/>
        </w:rPr>
        <w:t>确信</w:t>
      </w:r>
      <w:r w:rsidRPr="009D48A5">
        <w:t>中</w:t>
      </w:r>
      <w:r w:rsidRPr="009D48A5">
        <w:rPr>
          <w:rFonts w:hint="eastAsia"/>
        </w:rPr>
        <w:t>”</w:t>
      </w:r>
      <w:r>
        <w:rPr>
          <w:rFonts w:hint="eastAsia"/>
        </w:rPr>
        <w:t>)</w:t>
      </w:r>
      <w:r w:rsidRPr="009D48A5">
        <w:rPr>
          <w:rFonts w:hint="eastAsia"/>
        </w:rPr>
        <w:t>。</w:t>
      </w:r>
    </w:p>
  </w:footnote>
  <w:footnote w:id="336">
    <w:p w:rsidR="00AB00DE" w:rsidRPr="009D48A5" w:rsidRDefault="00AB00DE" w:rsidP="009B5A10">
      <w:pPr>
        <w:pStyle w:val="a4"/>
      </w:pPr>
      <w:r w:rsidRPr="009D48A5">
        <w:rPr>
          <w:snapToGrid/>
        </w:rPr>
        <w:tab/>
      </w:r>
      <w:r w:rsidRPr="00DF5565">
        <w:rPr>
          <w:snapToGrid/>
          <w:color w:val="0000FF"/>
          <w:sz w:val="21"/>
          <w:vertAlign w:val="superscript"/>
        </w:rPr>
        <w:footnoteRef/>
      </w:r>
      <w:r w:rsidRPr="009D48A5">
        <w:rPr>
          <w:snapToGrid/>
        </w:rPr>
        <w:tab/>
      </w:r>
      <w:r w:rsidRPr="009D48A5">
        <w:t>见</w:t>
      </w:r>
      <w:r w:rsidRPr="009D48A5">
        <w:rPr>
          <w:rFonts w:ascii="Time New Roman" w:eastAsia="楷体" w:hAnsi="Time New Roman"/>
        </w:rPr>
        <w:t>艾哈迈杜</w:t>
      </w:r>
      <w:r>
        <w:rPr>
          <w:rFonts w:ascii="Time New Roman" w:hAnsi="Time New Roman" w:hint="eastAsia"/>
        </w:rPr>
        <w:t>·</w:t>
      </w:r>
      <w:r w:rsidRPr="009D48A5">
        <w:rPr>
          <w:rFonts w:ascii="Time New Roman" w:eastAsia="楷体" w:hAnsi="Time New Roman"/>
        </w:rPr>
        <w:t>萨迪奥</w:t>
      </w:r>
      <w:r>
        <w:rPr>
          <w:rFonts w:ascii="Time New Roman" w:hAnsi="Time New Roman" w:hint="eastAsia"/>
        </w:rPr>
        <w:t>·</w:t>
      </w:r>
      <w:r w:rsidRPr="009D48A5">
        <w:rPr>
          <w:rFonts w:ascii="Time New Roman" w:eastAsia="楷体" w:hAnsi="Time New Roman"/>
        </w:rPr>
        <w:t>迪亚洛</w:t>
      </w:r>
      <w:r>
        <w:t>(</w:t>
      </w:r>
      <w:r w:rsidRPr="009D48A5">
        <w:rPr>
          <w:rFonts w:ascii="Time New Roman" w:eastAsia="楷体" w:hAnsi="Time New Roman"/>
        </w:rPr>
        <w:t>几内亚共和国诉刚果民主共和国</w:t>
      </w:r>
      <w:r>
        <w:rPr>
          <w:rFonts w:ascii="Time New Roman" w:eastAsia="楷体" w:hAnsi="Time New Roman"/>
        </w:rPr>
        <w:t>)</w:t>
      </w:r>
      <w:r>
        <w:rPr>
          <w:rFonts w:ascii="Time New Roman" w:eastAsia="楷体" w:hAnsi="Time New Roman"/>
        </w:rPr>
        <w:t>，</w:t>
      </w:r>
      <w:r w:rsidRPr="009D48A5">
        <w:rPr>
          <w:rFonts w:ascii="Time New Roman" w:eastAsia="楷体" w:hAnsi="Time New Roman"/>
        </w:rPr>
        <w:t>初步异议</w:t>
      </w:r>
      <w:r>
        <w:rPr>
          <w:rFonts w:ascii="Time New Roman" w:eastAsia="楷体" w:hAnsi="Time New Roman"/>
        </w:rPr>
        <w:t>，</w:t>
      </w:r>
      <w:r w:rsidRPr="009D48A5">
        <w:rPr>
          <w:rFonts w:ascii="Time New Roman" w:eastAsia="楷体" w:hAnsi="Time New Roman"/>
        </w:rPr>
        <w:t>判决书</w:t>
      </w:r>
      <w:r>
        <w:t>，</w:t>
      </w:r>
      <w:r w:rsidRPr="009D48A5">
        <w:t>《</w:t>
      </w:r>
      <w:r w:rsidRPr="009D48A5">
        <w:t>2007</w:t>
      </w:r>
      <w:r w:rsidRPr="009D48A5">
        <w:t>年国际法院案例汇编》</w:t>
      </w:r>
      <w:r>
        <w:t>，</w:t>
      </w:r>
      <w:r w:rsidRPr="009D48A5">
        <w:t>第</w:t>
      </w:r>
      <w:r w:rsidRPr="009D48A5">
        <w:t>582</w:t>
      </w:r>
      <w:r w:rsidRPr="009D48A5">
        <w:t>页</w:t>
      </w:r>
      <w:r w:rsidRPr="009D48A5">
        <w:rPr>
          <w:rFonts w:hint="eastAsia"/>
        </w:rPr>
        <w:t>起</w:t>
      </w:r>
      <w:r>
        <w:t>，</w:t>
      </w:r>
      <w:r w:rsidRPr="009D48A5">
        <w:t>见第</w:t>
      </w:r>
      <w:r w:rsidRPr="009D48A5">
        <w:t>615</w:t>
      </w:r>
      <w:r w:rsidRPr="009D48A5">
        <w:t>页</w:t>
      </w:r>
      <w:r>
        <w:rPr>
          <w:rFonts w:hint="eastAsia"/>
        </w:rPr>
        <w:t>，</w:t>
      </w:r>
      <w:r w:rsidRPr="009D48A5">
        <w:rPr>
          <w:rFonts w:hint="eastAsia"/>
        </w:rPr>
        <w:t>第</w:t>
      </w:r>
      <w:r w:rsidRPr="009D48A5">
        <w:rPr>
          <w:rFonts w:hint="eastAsia"/>
        </w:rPr>
        <w:t>90</w:t>
      </w:r>
      <w:r w:rsidRPr="009D48A5">
        <w:rPr>
          <w:rFonts w:hint="eastAsia"/>
        </w:rPr>
        <w:t>段</w:t>
      </w:r>
      <w:r>
        <w:t>(</w:t>
      </w:r>
      <w:r w:rsidRPr="009D48A5">
        <w:rPr>
          <w:rFonts w:hint="eastAsia"/>
        </w:rPr>
        <w:t>“</w:t>
      </w:r>
      <w:r w:rsidRPr="009D48A5">
        <w:t>据几内亚援引</w:t>
      </w:r>
      <w:r>
        <w:t>，</w:t>
      </w:r>
      <w:r w:rsidRPr="009D48A5">
        <w:t>促进和保护外国投资协定以及《华盛顿公约》等各项国际协定制定了保护投资的特别法律制度</w:t>
      </w:r>
      <w:r>
        <w:t>，</w:t>
      </w:r>
      <w:r w:rsidRPr="009D48A5">
        <w:t>或这方面的规定通常被列入国家与外国投资者之间直接签订的合同</w:t>
      </w:r>
      <w:r>
        <w:t>，</w:t>
      </w:r>
      <w:r w:rsidRPr="009D48A5">
        <w:t>这些事实不足以证明外交保护的习惯规则发生了变化</w:t>
      </w:r>
      <w:r>
        <w:t>，</w:t>
      </w:r>
      <w:r w:rsidRPr="009D48A5">
        <w:t>因为这同样可以证明事实正好相反</w:t>
      </w:r>
      <w:r w:rsidRPr="009D48A5">
        <w:rPr>
          <w:rFonts w:hint="eastAsia"/>
        </w:rPr>
        <w:t>”</w:t>
      </w:r>
      <w:r>
        <w:t>)</w:t>
      </w:r>
      <w:r w:rsidRPr="009D48A5">
        <w:t>。</w:t>
      </w:r>
    </w:p>
  </w:footnote>
  <w:footnote w:id="337">
    <w:p w:rsidR="00AB00DE" w:rsidRPr="009D48A5" w:rsidRDefault="00AB00DE" w:rsidP="00267AB1">
      <w:pPr>
        <w:pStyle w:val="a4"/>
      </w:pPr>
      <w:r w:rsidRPr="009D48A5">
        <w:rPr>
          <w:snapToGrid/>
        </w:rPr>
        <w:tab/>
      </w:r>
      <w:r w:rsidRPr="00DF5565">
        <w:rPr>
          <w:snapToGrid/>
          <w:color w:val="0000FF"/>
          <w:sz w:val="21"/>
          <w:vertAlign w:val="superscript"/>
        </w:rPr>
        <w:footnoteRef/>
      </w:r>
      <w:r w:rsidRPr="009D48A5">
        <w:rPr>
          <w:snapToGrid/>
        </w:rPr>
        <w:tab/>
      </w:r>
      <w:r w:rsidRPr="009D48A5">
        <w:rPr>
          <w:rFonts w:hint="eastAsia"/>
        </w:rPr>
        <w:t>见</w:t>
      </w:r>
      <w:r w:rsidRPr="009D48A5">
        <w:rPr>
          <w:rFonts w:ascii="Time New Roman" w:eastAsia="楷体" w:hAnsi="Time New Roman" w:hint="eastAsia"/>
        </w:rPr>
        <w:t>以核武器进行威胁或使用核武器的合法性</w:t>
      </w:r>
      <w:r>
        <w:t>(</w:t>
      </w:r>
      <w:r w:rsidRPr="009D48A5">
        <w:rPr>
          <w:rFonts w:hint="eastAsia"/>
        </w:rPr>
        <w:t>上文脚注</w:t>
      </w:r>
      <w:r>
        <w:fldChar w:fldCharType="begin"/>
      </w:r>
      <w:r>
        <w:instrText xml:space="preserve"> </w:instrText>
      </w:r>
      <w:r>
        <w:rPr>
          <w:rFonts w:hint="eastAsia"/>
        </w:rPr>
        <w:instrText>NOTEREF _Ref461975062 \h</w:instrText>
      </w:r>
      <w:r>
        <w:instrText xml:space="preserve"> </w:instrText>
      </w:r>
      <w:r>
        <w:fldChar w:fldCharType="separate"/>
      </w:r>
      <w:r w:rsidR="00A73EB9">
        <w:t>258</w:t>
      </w:r>
      <w:r>
        <w:fldChar w:fldCharType="end"/>
      </w:r>
      <w:r>
        <w:rPr>
          <w:rFonts w:hint="eastAsia"/>
        </w:rPr>
        <w:t>)</w:t>
      </w:r>
      <w:r>
        <w:rPr>
          <w:rFonts w:hint="eastAsia"/>
        </w:rPr>
        <w:t>，</w:t>
      </w:r>
      <w:r w:rsidRPr="009D48A5">
        <w:rPr>
          <w:rFonts w:hint="eastAsia"/>
        </w:rPr>
        <w:t>见第</w:t>
      </w:r>
      <w:r w:rsidRPr="009D48A5">
        <w:t>254-255</w:t>
      </w:r>
      <w:r w:rsidRPr="009D48A5">
        <w:rPr>
          <w:rFonts w:hint="eastAsia"/>
        </w:rPr>
        <w:t>页</w:t>
      </w:r>
      <w:r>
        <w:rPr>
          <w:rFonts w:hint="eastAsia"/>
        </w:rPr>
        <w:t>，</w:t>
      </w:r>
      <w:r w:rsidRPr="009D48A5">
        <w:rPr>
          <w:rFonts w:hint="eastAsia"/>
        </w:rPr>
        <w:t>第</w:t>
      </w:r>
      <w:r w:rsidRPr="009D48A5">
        <w:t>70</w:t>
      </w:r>
      <w:r w:rsidRPr="009D48A5">
        <w:rPr>
          <w:rFonts w:hint="eastAsia"/>
        </w:rPr>
        <w:t>段</w:t>
      </w:r>
      <w:r>
        <w:rPr>
          <w:rFonts w:hint="eastAsia"/>
        </w:rPr>
        <w:t>；</w:t>
      </w:r>
      <w:r w:rsidRPr="009D48A5">
        <w:t>SEDCO</w:t>
      </w:r>
      <w:r w:rsidRPr="009D48A5">
        <w:rPr>
          <w:rFonts w:ascii="Time New Roman" w:eastAsia="楷体" w:hAnsi="Time New Roman"/>
        </w:rPr>
        <w:t>公司诉伊朗国家石油公司和伊朗</w:t>
      </w:r>
      <w:r>
        <w:t>，</w:t>
      </w:r>
      <w:r w:rsidRPr="009D48A5">
        <w:rPr>
          <w:rFonts w:hint="eastAsia"/>
        </w:rPr>
        <w:t>中间裁决</w:t>
      </w:r>
      <w:r>
        <w:rPr>
          <w:rFonts w:hint="eastAsia"/>
        </w:rPr>
        <w:t>，</w:t>
      </w:r>
      <w:r w:rsidRPr="009D48A5">
        <w:rPr>
          <w:rFonts w:hint="eastAsia"/>
        </w:rPr>
        <w:t>第</w:t>
      </w:r>
      <w:r w:rsidRPr="009D48A5">
        <w:t>ITL 59-129-3</w:t>
      </w:r>
      <w:r w:rsidRPr="009D48A5">
        <w:rPr>
          <w:rFonts w:hint="eastAsia"/>
        </w:rPr>
        <w:t>号裁决</w:t>
      </w:r>
      <w:r>
        <w:rPr>
          <w:rFonts w:hint="eastAsia"/>
        </w:rPr>
        <w:t>，</w:t>
      </w:r>
      <w:r w:rsidRPr="009D48A5">
        <w:rPr>
          <w:rFonts w:hint="eastAsia"/>
        </w:rPr>
        <w:t>1986</w:t>
      </w:r>
      <w:r w:rsidRPr="009D48A5">
        <w:rPr>
          <w:rFonts w:hint="eastAsia"/>
        </w:rPr>
        <w:t>年</w:t>
      </w:r>
      <w:r w:rsidRPr="009D48A5">
        <w:rPr>
          <w:rFonts w:hint="eastAsia"/>
        </w:rPr>
        <w:t>3</w:t>
      </w:r>
      <w:r w:rsidRPr="009D48A5">
        <w:rPr>
          <w:rFonts w:hint="eastAsia"/>
        </w:rPr>
        <w:t>月</w:t>
      </w:r>
      <w:r w:rsidRPr="009D48A5">
        <w:rPr>
          <w:rFonts w:hint="eastAsia"/>
        </w:rPr>
        <w:t>27</w:t>
      </w:r>
      <w:r w:rsidRPr="009D48A5">
        <w:rPr>
          <w:rFonts w:hint="eastAsia"/>
        </w:rPr>
        <w:t>日</w:t>
      </w:r>
      <w:r>
        <w:rPr>
          <w:rFonts w:hint="eastAsia"/>
        </w:rPr>
        <w:t>，</w:t>
      </w:r>
      <w:r w:rsidRPr="009D48A5">
        <w:rPr>
          <w:rFonts w:hint="eastAsia"/>
        </w:rPr>
        <w:t>《国际法报告》</w:t>
      </w:r>
      <w:r>
        <w:rPr>
          <w:rFonts w:hint="eastAsia"/>
        </w:rPr>
        <w:t>，</w:t>
      </w:r>
      <w:r w:rsidRPr="009D48A5">
        <w:rPr>
          <w:rFonts w:hint="eastAsia"/>
        </w:rPr>
        <w:t>第</w:t>
      </w:r>
      <w:r w:rsidRPr="009D48A5">
        <w:rPr>
          <w:rFonts w:hint="eastAsia"/>
        </w:rPr>
        <w:t>84</w:t>
      </w:r>
      <w:r w:rsidRPr="009D48A5">
        <w:rPr>
          <w:rFonts w:hint="eastAsia"/>
        </w:rPr>
        <w:t>卷</w:t>
      </w:r>
      <w:r>
        <w:rPr>
          <w:rFonts w:hint="eastAsia"/>
        </w:rPr>
        <w:t>，</w:t>
      </w:r>
      <w:r w:rsidRPr="009D48A5">
        <w:rPr>
          <w:rFonts w:hint="eastAsia"/>
        </w:rPr>
        <w:t>第</w:t>
      </w:r>
      <w:r w:rsidRPr="009D48A5">
        <w:rPr>
          <w:rFonts w:hint="eastAsia"/>
        </w:rPr>
        <w:t>483-592</w:t>
      </w:r>
      <w:r w:rsidRPr="009D48A5">
        <w:rPr>
          <w:rFonts w:hint="eastAsia"/>
        </w:rPr>
        <w:t>页</w:t>
      </w:r>
      <w:r>
        <w:rPr>
          <w:rFonts w:hint="eastAsia"/>
        </w:rPr>
        <w:t>，</w:t>
      </w:r>
      <w:r w:rsidRPr="009D48A5">
        <w:rPr>
          <w:rFonts w:hint="eastAsia"/>
        </w:rPr>
        <w:t>见第</w:t>
      </w:r>
      <w:r w:rsidRPr="009D48A5">
        <w:rPr>
          <w:rFonts w:hint="eastAsia"/>
        </w:rPr>
        <w:t>526</w:t>
      </w:r>
      <w:r w:rsidRPr="009D48A5">
        <w:rPr>
          <w:rFonts w:hint="eastAsia"/>
        </w:rPr>
        <w:t>页。</w:t>
      </w:r>
    </w:p>
  </w:footnote>
  <w:footnote w:id="338">
    <w:p w:rsidR="00AB00DE" w:rsidRPr="009D48A5" w:rsidRDefault="00AB00DE" w:rsidP="008D7906">
      <w:pPr>
        <w:pStyle w:val="a4"/>
      </w:pPr>
      <w:r w:rsidRPr="009D48A5">
        <w:rPr>
          <w:snapToGrid/>
        </w:rPr>
        <w:tab/>
      </w:r>
      <w:r w:rsidRPr="00DF5565">
        <w:rPr>
          <w:snapToGrid/>
          <w:color w:val="0000FF"/>
          <w:sz w:val="21"/>
          <w:vertAlign w:val="superscript"/>
        </w:rPr>
        <w:footnoteRef/>
      </w:r>
      <w:r w:rsidRPr="009D48A5">
        <w:rPr>
          <w:snapToGrid/>
        </w:rPr>
        <w:tab/>
      </w:r>
      <w:r w:rsidRPr="009D48A5">
        <w:rPr>
          <w:rFonts w:hint="eastAsia"/>
        </w:rPr>
        <w:t>其名称众多</w:t>
      </w:r>
      <w:r>
        <w:rPr>
          <w:rFonts w:hint="eastAsia"/>
        </w:rPr>
        <w:t>，</w:t>
      </w:r>
      <w:r w:rsidRPr="009D48A5">
        <w:rPr>
          <w:rFonts w:hint="eastAsia"/>
        </w:rPr>
        <w:t>例如“宣言”或“原则宣言”。</w:t>
      </w:r>
    </w:p>
  </w:footnote>
  <w:footnote w:id="339">
    <w:p w:rsidR="00AB00DE" w:rsidRPr="009D48A5" w:rsidRDefault="00AB00DE" w:rsidP="00267AB1">
      <w:pPr>
        <w:pStyle w:val="a4"/>
      </w:pPr>
      <w:r w:rsidRPr="009D48A5">
        <w:rPr>
          <w:snapToGrid/>
        </w:rPr>
        <w:tab/>
      </w:r>
      <w:r w:rsidRPr="00DF5565">
        <w:rPr>
          <w:snapToGrid/>
          <w:color w:val="0000FF"/>
          <w:sz w:val="21"/>
          <w:vertAlign w:val="superscript"/>
        </w:rPr>
        <w:footnoteRef/>
      </w:r>
      <w:r w:rsidRPr="009D48A5">
        <w:rPr>
          <w:snapToGrid/>
        </w:rPr>
        <w:tab/>
      </w:r>
      <w:r w:rsidRPr="009D48A5">
        <w:rPr>
          <w:rFonts w:ascii="Time New Roman" w:eastAsia="楷体" w:hAnsi="Time New Roman" w:hint="eastAsia"/>
        </w:rPr>
        <w:t>以核武器进行威胁或使用核武器的合法性</w:t>
      </w:r>
      <w:r>
        <w:t>(</w:t>
      </w:r>
      <w:r w:rsidRPr="009D48A5">
        <w:rPr>
          <w:rFonts w:hint="eastAsia"/>
        </w:rPr>
        <w:t>上文脚注</w:t>
      </w:r>
      <w:r>
        <w:fldChar w:fldCharType="begin"/>
      </w:r>
      <w:r>
        <w:instrText xml:space="preserve"> </w:instrText>
      </w:r>
      <w:r>
        <w:rPr>
          <w:rFonts w:hint="eastAsia"/>
        </w:rPr>
        <w:instrText>NOTEREF _Ref461975062 \h</w:instrText>
      </w:r>
      <w:r>
        <w:instrText xml:space="preserve"> </w:instrText>
      </w:r>
      <w:r>
        <w:fldChar w:fldCharType="separate"/>
      </w:r>
      <w:r w:rsidR="00A73EB9">
        <w:t>258</w:t>
      </w:r>
      <w:r>
        <w:fldChar w:fldCharType="end"/>
      </w:r>
      <w:r>
        <w:t>)</w:t>
      </w:r>
      <w:r>
        <w:rPr>
          <w:rFonts w:hint="eastAsia"/>
        </w:rPr>
        <w:t>，</w:t>
      </w:r>
      <w:r w:rsidRPr="009D48A5">
        <w:rPr>
          <w:rFonts w:hint="eastAsia"/>
        </w:rPr>
        <w:t>见第</w:t>
      </w:r>
      <w:r w:rsidRPr="009D48A5">
        <w:t>254-255</w:t>
      </w:r>
      <w:r w:rsidRPr="009D48A5">
        <w:rPr>
          <w:rFonts w:hint="eastAsia"/>
        </w:rPr>
        <w:t>页</w:t>
      </w:r>
      <w:r>
        <w:rPr>
          <w:rFonts w:hint="eastAsia"/>
        </w:rPr>
        <w:t>，</w:t>
      </w:r>
      <w:r w:rsidRPr="009D48A5">
        <w:rPr>
          <w:rFonts w:hint="eastAsia"/>
        </w:rPr>
        <w:t>第</w:t>
      </w:r>
      <w:r w:rsidRPr="009D48A5">
        <w:t>70</w:t>
      </w:r>
      <w:r w:rsidRPr="009D48A5">
        <w:rPr>
          <w:rFonts w:hint="eastAsia"/>
        </w:rPr>
        <w:t>段</w:t>
      </w:r>
      <w:r>
        <w:rPr>
          <w:rFonts w:hint="eastAsia"/>
        </w:rPr>
        <w:t>(</w:t>
      </w:r>
      <w:r w:rsidRPr="009D48A5">
        <w:rPr>
          <w:rFonts w:hint="eastAsia"/>
        </w:rPr>
        <w:t>提及大会的决议</w:t>
      </w:r>
      <w:r>
        <w:rPr>
          <w:rFonts w:hint="eastAsia"/>
        </w:rPr>
        <w:t>)</w:t>
      </w:r>
      <w:r w:rsidRPr="009D48A5">
        <w:rPr>
          <w:rFonts w:hint="eastAsia"/>
        </w:rPr>
        <w:t>。</w:t>
      </w:r>
    </w:p>
  </w:footnote>
  <w:footnote w:id="340">
    <w:p w:rsidR="00AB00DE" w:rsidRPr="009D48A5" w:rsidRDefault="00AB00DE" w:rsidP="00267AB1">
      <w:pPr>
        <w:pStyle w:val="a4"/>
      </w:pPr>
      <w:r w:rsidRPr="009D48A5">
        <w:rPr>
          <w:snapToGrid/>
        </w:rPr>
        <w:tab/>
      </w:r>
      <w:r w:rsidRPr="00DF5565">
        <w:rPr>
          <w:snapToGrid/>
          <w:color w:val="0000FF"/>
          <w:sz w:val="21"/>
          <w:vertAlign w:val="superscript"/>
        </w:rPr>
        <w:footnoteRef/>
      </w:r>
      <w:r w:rsidRPr="009D48A5">
        <w:rPr>
          <w:snapToGrid/>
        </w:rPr>
        <w:tab/>
      </w:r>
      <w:r w:rsidRPr="009D48A5">
        <w:rPr>
          <w:rFonts w:ascii="Time New Roman" w:eastAsia="楷体" w:hAnsi="Time New Roman" w:hint="eastAsia"/>
        </w:rPr>
        <w:t>在</w:t>
      </w:r>
      <w:r w:rsidRPr="009D48A5">
        <w:rPr>
          <w:rFonts w:ascii="Time New Roman" w:eastAsia="楷体" w:hAnsi="Time New Roman"/>
        </w:rPr>
        <w:t>尼加拉瓜和针对尼加拉瓜的军事和准军事活动</w:t>
      </w:r>
      <w:r>
        <w:t>(</w:t>
      </w:r>
      <w:r w:rsidRPr="009D48A5">
        <w:rPr>
          <w:rFonts w:hint="eastAsia"/>
        </w:rPr>
        <w:t>见上文脚注</w:t>
      </w:r>
      <w:r>
        <w:fldChar w:fldCharType="begin"/>
      </w:r>
      <w:r>
        <w:instrText xml:space="preserve"> </w:instrText>
      </w:r>
      <w:r>
        <w:rPr>
          <w:rFonts w:hint="eastAsia"/>
        </w:rPr>
        <w:instrText>NOTEREF _Ref461975037 \h</w:instrText>
      </w:r>
      <w:r>
        <w:instrText xml:space="preserve"> </w:instrText>
      </w:r>
      <w:r>
        <w:fldChar w:fldCharType="separate"/>
      </w:r>
      <w:r w:rsidR="00A73EB9">
        <w:t>246</w:t>
      </w:r>
      <w:r>
        <w:fldChar w:fldCharType="end"/>
      </w:r>
      <w:r>
        <w:t>)</w:t>
      </w:r>
      <w:r>
        <w:rPr>
          <w:rFonts w:hint="eastAsia"/>
        </w:rPr>
        <w:t>，</w:t>
      </w:r>
      <w:r w:rsidRPr="009D48A5">
        <w:rPr>
          <w:rFonts w:hint="eastAsia"/>
        </w:rPr>
        <w:t>见第</w:t>
      </w:r>
      <w:r w:rsidRPr="009D48A5">
        <w:t>100</w:t>
      </w:r>
      <w:r w:rsidRPr="009D48A5">
        <w:rPr>
          <w:rFonts w:hint="eastAsia"/>
        </w:rPr>
        <w:t>页</w:t>
      </w:r>
      <w:r>
        <w:rPr>
          <w:rFonts w:hint="eastAsia"/>
        </w:rPr>
        <w:t>，</w:t>
      </w:r>
      <w:r w:rsidRPr="009D48A5">
        <w:rPr>
          <w:rFonts w:hint="eastAsia"/>
        </w:rPr>
        <w:t>第</w:t>
      </w:r>
      <w:r w:rsidRPr="009D48A5">
        <w:rPr>
          <w:rFonts w:hint="eastAsia"/>
        </w:rPr>
        <w:t>188</w:t>
      </w:r>
      <w:r w:rsidRPr="009D48A5">
        <w:rPr>
          <w:rFonts w:hint="eastAsia"/>
        </w:rPr>
        <w:t>段。另见</w:t>
      </w:r>
      <w:r w:rsidRPr="009D48A5">
        <w:rPr>
          <w:rFonts w:ascii="Time New Roman" w:eastAsia="楷体" w:hAnsi="Time New Roman" w:hint="eastAsia"/>
        </w:rPr>
        <w:t>科威特政府诉美国独立石油公司</w:t>
      </w:r>
      <w:r>
        <w:rPr>
          <w:rFonts w:hint="eastAsia"/>
        </w:rPr>
        <w:t>(</w:t>
      </w:r>
      <w:r w:rsidRPr="009D48A5">
        <w:t>AMINOIL</w:t>
      </w:r>
      <w:r>
        <w:rPr>
          <w:rFonts w:hint="eastAsia"/>
        </w:rPr>
        <w:t>)</w:t>
      </w:r>
      <w:r>
        <w:rPr>
          <w:rFonts w:hint="eastAsia"/>
        </w:rPr>
        <w:t>，</w:t>
      </w:r>
      <w:r w:rsidRPr="009D48A5">
        <w:rPr>
          <w:rFonts w:hint="eastAsia"/>
        </w:rPr>
        <w:t>1982</w:t>
      </w:r>
      <w:r w:rsidRPr="009D48A5">
        <w:rPr>
          <w:rFonts w:hint="eastAsia"/>
        </w:rPr>
        <w:t>年</w:t>
      </w:r>
      <w:r w:rsidRPr="009D48A5">
        <w:rPr>
          <w:rFonts w:hint="eastAsia"/>
        </w:rPr>
        <w:t>3</w:t>
      </w:r>
      <w:r w:rsidRPr="009D48A5">
        <w:rPr>
          <w:rFonts w:hint="eastAsia"/>
        </w:rPr>
        <w:t>月</w:t>
      </w:r>
      <w:r w:rsidRPr="009D48A5">
        <w:rPr>
          <w:rFonts w:hint="eastAsia"/>
        </w:rPr>
        <w:t>24</w:t>
      </w:r>
      <w:r w:rsidRPr="009D48A5">
        <w:rPr>
          <w:rFonts w:hint="eastAsia"/>
        </w:rPr>
        <w:t>日最终裁决</w:t>
      </w:r>
      <w:r>
        <w:rPr>
          <w:rFonts w:hint="eastAsia"/>
        </w:rPr>
        <w:t>，</w:t>
      </w:r>
      <w:r w:rsidRPr="009D48A5">
        <w:rPr>
          <w:rFonts w:hint="eastAsia"/>
        </w:rPr>
        <w:t>《国际法报告》</w:t>
      </w:r>
      <w:r>
        <w:rPr>
          <w:rFonts w:hint="eastAsia"/>
        </w:rPr>
        <w:t>，</w:t>
      </w:r>
      <w:r w:rsidRPr="009D48A5">
        <w:rPr>
          <w:rFonts w:hint="eastAsia"/>
        </w:rPr>
        <w:t>第</w:t>
      </w:r>
      <w:r w:rsidRPr="009D48A5">
        <w:rPr>
          <w:rFonts w:hint="eastAsia"/>
        </w:rPr>
        <w:t>66</w:t>
      </w:r>
      <w:r w:rsidRPr="009D48A5">
        <w:rPr>
          <w:rFonts w:hint="eastAsia"/>
        </w:rPr>
        <w:t>卷</w:t>
      </w:r>
      <w:r>
        <w:rPr>
          <w:rFonts w:hint="eastAsia"/>
        </w:rPr>
        <w:t>，</w:t>
      </w:r>
      <w:r w:rsidRPr="009D48A5">
        <w:rPr>
          <w:rFonts w:hint="eastAsia"/>
        </w:rPr>
        <w:t>第</w:t>
      </w:r>
      <w:r w:rsidRPr="009D48A5">
        <w:rPr>
          <w:rFonts w:hint="eastAsia"/>
        </w:rPr>
        <w:t>518-627</w:t>
      </w:r>
      <w:r w:rsidRPr="009D48A5">
        <w:rPr>
          <w:rFonts w:hint="eastAsia"/>
        </w:rPr>
        <w:t>页</w:t>
      </w:r>
      <w:r>
        <w:rPr>
          <w:rFonts w:hint="eastAsia"/>
        </w:rPr>
        <w:t>，</w:t>
      </w:r>
      <w:r w:rsidRPr="009D48A5">
        <w:rPr>
          <w:rFonts w:hint="eastAsia"/>
        </w:rPr>
        <w:t>见第</w:t>
      </w:r>
      <w:r w:rsidRPr="009D48A5">
        <w:rPr>
          <w:rFonts w:hint="eastAsia"/>
        </w:rPr>
        <w:t>601-602</w:t>
      </w:r>
      <w:r w:rsidRPr="009D48A5">
        <w:rPr>
          <w:rFonts w:hint="eastAsia"/>
        </w:rPr>
        <w:t>页</w:t>
      </w:r>
      <w:r>
        <w:rPr>
          <w:rFonts w:hint="eastAsia"/>
        </w:rPr>
        <w:t>，</w:t>
      </w:r>
      <w:r w:rsidRPr="009D48A5">
        <w:rPr>
          <w:rFonts w:hint="eastAsia"/>
        </w:rPr>
        <w:t>第</w:t>
      </w:r>
      <w:r w:rsidRPr="009D48A5">
        <w:rPr>
          <w:rFonts w:hint="eastAsia"/>
        </w:rPr>
        <w:t>143</w:t>
      </w:r>
      <w:r w:rsidRPr="009D48A5">
        <w:rPr>
          <w:rFonts w:hint="eastAsia"/>
        </w:rPr>
        <w:t>段。</w:t>
      </w:r>
    </w:p>
  </w:footnote>
  <w:footnote w:id="341">
    <w:p w:rsidR="00AB00DE" w:rsidRPr="009D48A5" w:rsidRDefault="00AB00DE" w:rsidP="00267AB1">
      <w:pPr>
        <w:pStyle w:val="a4"/>
      </w:pPr>
      <w:r w:rsidRPr="009D48A5">
        <w:rPr>
          <w:snapToGrid/>
        </w:rPr>
        <w:tab/>
      </w:r>
      <w:r w:rsidRPr="00DF5565">
        <w:rPr>
          <w:snapToGrid/>
          <w:color w:val="0000FF"/>
          <w:sz w:val="21"/>
          <w:vertAlign w:val="superscript"/>
        </w:rPr>
        <w:footnoteRef/>
      </w:r>
      <w:r w:rsidRPr="009D48A5">
        <w:rPr>
          <w:snapToGrid/>
        </w:rPr>
        <w:tab/>
      </w:r>
      <w:r w:rsidRPr="009D48A5">
        <w:rPr>
          <w:rFonts w:ascii="Time New Roman" w:eastAsia="楷体" w:hAnsi="Time New Roman" w:hint="eastAsia"/>
        </w:rPr>
        <w:t>在</w:t>
      </w:r>
      <w:r w:rsidRPr="009D48A5">
        <w:rPr>
          <w:rFonts w:ascii="Time New Roman" w:eastAsia="楷体" w:hAnsi="Time New Roman"/>
        </w:rPr>
        <w:t>尼加拉瓜和针对尼加拉瓜的军事和准军事活动</w:t>
      </w:r>
      <w:r>
        <w:t>(</w:t>
      </w:r>
      <w:r w:rsidRPr="009D48A5">
        <w:rPr>
          <w:rFonts w:hint="eastAsia"/>
        </w:rPr>
        <w:t>见上文脚注</w:t>
      </w:r>
      <w:r>
        <w:fldChar w:fldCharType="begin"/>
      </w:r>
      <w:r>
        <w:instrText xml:space="preserve"> </w:instrText>
      </w:r>
      <w:r>
        <w:rPr>
          <w:rFonts w:hint="eastAsia"/>
        </w:rPr>
        <w:instrText>NOTEREF _Ref461975037 \h</w:instrText>
      </w:r>
      <w:r>
        <w:instrText xml:space="preserve"> </w:instrText>
      </w:r>
      <w:r>
        <w:fldChar w:fldCharType="separate"/>
      </w:r>
      <w:r w:rsidR="00A73EB9">
        <w:t>246</w:t>
      </w:r>
      <w:r>
        <w:fldChar w:fldCharType="end"/>
      </w:r>
      <w:r>
        <w:t>)</w:t>
      </w:r>
      <w:r>
        <w:rPr>
          <w:rFonts w:hint="eastAsia"/>
        </w:rPr>
        <w:t>，</w:t>
      </w:r>
      <w:r w:rsidRPr="009D48A5">
        <w:rPr>
          <w:rFonts w:hint="eastAsia"/>
        </w:rPr>
        <w:t>见第</w:t>
      </w:r>
      <w:r w:rsidRPr="009D48A5">
        <w:t>99</w:t>
      </w:r>
      <w:r w:rsidRPr="009D48A5">
        <w:rPr>
          <w:rFonts w:hint="eastAsia"/>
        </w:rPr>
        <w:t>页</w:t>
      </w:r>
      <w:r>
        <w:rPr>
          <w:rFonts w:hint="eastAsia"/>
        </w:rPr>
        <w:t>，</w:t>
      </w:r>
      <w:r w:rsidRPr="009D48A5">
        <w:rPr>
          <w:rFonts w:hint="eastAsia"/>
        </w:rPr>
        <w:t>第</w:t>
      </w:r>
      <w:r w:rsidRPr="009D48A5">
        <w:t>188</w:t>
      </w:r>
      <w:r w:rsidRPr="009D48A5">
        <w:rPr>
          <w:rFonts w:hint="eastAsia"/>
        </w:rPr>
        <w:t>段。</w:t>
      </w:r>
    </w:p>
  </w:footnote>
  <w:footnote w:id="342">
    <w:p w:rsidR="00AB00DE" w:rsidRPr="009D48A5" w:rsidRDefault="00AB00DE" w:rsidP="00267AB1">
      <w:pPr>
        <w:pStyle w:val="a4"/>
      </w:pPr>
      <w:r w:rsidRPr="009D48A5">
        <w:rPr>
          <w:snapToGrid/>
        </w:rPr>
        <w:tab/>
      </w:r>
      <w:r w:rsidRPr="00DF5565">
        <w:rPr>
          <w:snapToGrid/>
          <w:color w:val="0000FF"/>
          <w:sz w:val="21"/>
          <w:vertAlign w:val="superscript"/>
        </w:rPr>
        <w:footnoteRef/>
      </w:r>
      <w:r w:rsidRPr="009D48A5">
        <w:rPr>
          <w:snapToGrid/>
        </w:rPr>
        <w:tab/>
      </w:r>
      <w:r w:rsidRPr="009D48A5">
        <w:rPr>
          <w:rFonts w:ascii="Time New Roman" w:eastAsia="楷体" w:hAnsi="Time New Roman" w:hint="eastAsia"/>
        </w:rPr>
        <w:t>以核武器进行威胁或使用核武器的合法性</w:t>
      </w:r>
      <w:r>
        <w:t>(</w:t>
      </w:r>
      <w:r w:rsidRPr="009D48A5">
        <w:rPr>
          <w:rFonts w:hint="eastAsia"/>
        </w:rPr>
        <w:t>见上文脚注</w:t>
      </w:r>
      <w:r>
        <w:fldChar w:fldCharType="begin"/>
      </w:r>
      <w:r>
        <w:instrText xml:space="preserve"> </w:instrText>
      </w:r>
      <w:r>
        <w:rPr>
          <w:rFonts w:hint="eastAsia"/>
        </w:rPr>
        <w:instrText>NOTEREF _Ref461975062 \h</w:instrText>
      </w:r>
      <w:r>
        <w:instrText xml:space="preserve"> </w:instrText>
      </w:r>
      <w:r>
        <w:fldChar w:fldCharType="separate"/>
      </w:r>
      <w:r w:rsidR="00A73EB9">
        <w:t>258</w:t>
      </w:r>
      <w:r>
        <w:fldChar w:fldCharType="end"/>
      </w:r>
      <w:r>
        <w:t>)</w:t>
      </w:r>
      <w:r>
        <w:rPr>
          <w:rFonts w:hint="eastAsia"/>
        </w:rPr>
        <w:t>，</w:t>
      </w:r>
      <w:r w:rsidRPr="009D48A5">
        <w:rPr>
          <w:rFonts w:hint="eastAsia"/>
        </w:rPr>
        <w:t>见第</w:t>
      </w:r>
      <w:r w:rsidRPr="009D48A5">
        <w:rPr>
          <w:rFonts w:hint="eastAsia"/>
        </w:rPr>
        <w:t>255</w:t>
      </w:r>
      <w:r w:rsidRPr="009D48A5">
        <w:rPr>
          <w:rFonts w:hint="eastAsia"/>
        </w:rPr>
        <w:t>页</w:t>
      </w:r>
      <w:r>
        <w:rPr>
          <w:rFonts w:hint="eastAsia"/>
        </w:rPr>
        <w:t>，</w:t>
      </w:r>
      <w:r w:rsidRPr="009D48A5">
        <w:rPr>
          <w:rFonts w:hint="eastAsia"/>
        </w:rPr>
        <w:t>第</w:t>
      </w:r>
      <w:r w:rsidRPr="009D48A5">
        <w:rPr>
          <w:rFonts w:hint="eastAsia"/>
        </w:rPr>
        <w:t>70</w:t>
      </w:r>
      <w:r w:rsidRPr="009D48A5">
        <w:rPr>
          <w:rFonts w:hint="eastAsia"/>
        </w:rPr>
        <w:t>段。</w:t>
      </w:r>
    </w:p>
  </w:footnote>
  <w:footnote w:id="343">
    <w:p w:rsidR="00AB00DE" w:rsidRPr="009D48A5" w:rsidRDefault="00AB00DE" w:rsidP="008D7906">
      <w:pPr>
        <w:pStyle w:val="a4"/>
      </w:pPr>
      <w:r w:rsidRPr="009D48A5">
        <w:rPr>
          <w:snapToGrid/>
        </w:rPr>
        <w:tab/>
      </w:r>
      <w:r w:rsidRPr="00DF5565">
        <w:rPr>
          <w:snapToGrid/>
          <w:color w:val="0000FF"/>
          <w:sz w:val="21"/>
          <w:vertAlign w:val="superscript"/>
        </w:rPr>
        <w:footnoteRef/>
      </w:r>
      <w:r w:rsidRPr="009D48A5">
        <w:rPr>
          <w:snapToGrid/>
        </w:rPr>
        <w:tab/>
      </w:r>
      <w:r w:rsidRPr="009D48A5">
        <w:rPr>
          <w:rFonts w:hint="eastAsia"/>
        </w:rPr>
        <w:t>例如</w:t>
      </w:r>
      <w:r>
        <w:rPr>
          <w:rFonts w:hint="eastAsia"/>
        </w:rPr>
        <w:t>，</w:t>
      </w:r>
      <w:r w:rsidRPr="009D48A5">
        <w:rPr>
          <w:rFonts w:hint="eastAsia"/>
        </w:rPr>
        <w:t>在</w:t>
      </w:r>
      <w:r w:rsidRPr="009D48A5">
        <w:rPr>
          <w:rFonts w:hint="eastAsia"/>
        </w:rPr>
        <w:t>1946</w:t>
      </w:r>
      <w:r w:rsidRPr="009D48A5">
        <w:rPr>
          <w:rFonts w:hint="eastAsia"/>
        </w:rPr>
        <w:t>年</w:t>
      </w:r>
      <w:r w:rsidRPr="009D48A5">
        <w:rPr>
          <w:rFonts w:hint="eastAsia"/>
        </w:rPr>
        <w:t>12</w:t>
      </w:r>
      <w:r w:rsidRPr="009D48A5">
        <w:rPr>
          <w:rFonts w:hint="eastAsia"/>
        </w:rPr>
        <w:t>月</w:t>
      </w:r>
      <w:r w:rsidRPr="009D48A5">
        <w:rPr>
          <w:rFonts w:hint="eastAsia"/>
        </w:rPr>
        <w:t>11</w:t>
      </w:r>
      <w:r w:rsidRPr="009D48A5">
        <w:rPr>
          <w:rFonts w:hint="eastAsia"/>
        </w:rPr>
        <w:t>日第九十六</w:t>
      </w:r>
      <w:r>
        <w:rPr>
          <w:rFonts w:hint="eastAsia"/>
        </w:rPr>
        <w:t>(</w:t>
      </w:r>
      <w:r w:rsidRPr="009D48A5">
        <w:rPr>
          <w:rFonts w:hint="eastAsia"/>
        </w:rPr>
        <w:t>一</w:t>
      </w:r>
      <w:r>
        <w:rPr>
          <w:rFonts w:hint="eastAsia"/>
        </w:rPr>
        <w:t>)</w:t>
      </w:r>
      <w:r w:rsidRPr="009D48A5">
        <w:rPr>
          <w:rFonts w:hint="eastAsia"/>
        </w:rPr>
        <w:t>号决议中</w:t>
      </w:r>
      <w:r>
        <w:rPr>
          <w:rFonts w:hint="eastAsia"/>
        </w:rPr>
        <w:t>，</w:t>
      </w:r>
      <w:r w:rsidRPr="009D48A5">
        <w:rPr>
          <w:rFonts w:hint="eastAsia"/>
        </w:rPr>
        <w:t>大会“确认灭绝种族为国际法下之一种犯罪行为”</w:t>
      </w:r>
      <w:r>
        <w:rPr>
          <w:rFonts w:hint="eastAsia"/>
        </w:rPr>
        <w:t>，</w:t>
      </w:r>
      <w:r w:rsidRPr="009D48A5">
        <w:rPr>
          <w:rFonts w:hint="eastAsia"/>
        </w:rPr>
        <w:t>这种措辞表明该段宣示了现有习惯国际法。</w:t>
      </w:r>
    </w:p>
  </w:footnote>
  <w:footnote w:id="344">
    <w:p w:rsidR="00AB00DE" w:rsidRPr="009D48A5" w:rsidRDefault="00AB00DE" w:rsidP="008D7906">
      <w:pPr>
        <w:pStyle w:val="a4"/>
      </w:pPr>
      <w:r w:rsidRPr="009D48A5">
        <w:rPr>
          <w:snapToGrid/>
        </w:rPr>
        <w:tab/>
      </w:r>
      <w:r w:rsidRPr="00DF5565">
        <w:rPr>
          <w:snapToGrid/>
          <w:color w:val="0000FF"/>
          <w:sz w:val="21"/>
          <w:vertAlign w:val="superscript"/>
        </w:rPr>
        <w:footnoteRef/>
      </w:r>
      <w:r w:rsidRPr="009D48A5">
        <w:rPr>
          <w:snapToGrid/>
        </w:rPr>
        <w:tab/>
      </w:r>
      <w:r w:rsidRPr="009D48A5">
        <w:rPr>
          <w:rFonts w:hint="eastAsia"/>
        </w:rPr>
        <w:t>在大会中</w:t>
      </w:r>
      <w:r>
        <w:rPr>
          <w:rFonts w:hint="eastAsia"/>
        </w:rPr>
        <w:t>，</w:t>
      </w:r>
      <w:r w:rsidRPr="009D48A5">
        <w:rPr>
          <w:rFonts w:hint="eastAsia"/>
        </w:rPr>
        <w:t>对投票的解释往往在某一主要委员会通过决议时作出</w:t>
      </w:r>
      <w:r>
        <w:rPr>
          <w:rFonts w:hint="eastAsia"/>
        </w:rPr>
        <w:t>，</w:t>
      </w:r>
      <w:r w:rsidRPr="009D48A5">
        <w:rPr>
          <w:rFonts w:hint="eastAsia"/>
        </w:rPr>
        <w:t>在全体会议中通常不再重复。</w:t>
      </w:r>
    </w:p>
  </w:footnote>
  <w:footnote w:id="345">
    <w:p w:rsidR="00AB00DE" w:rsidRPr="009D48A5" w:rsidRDefault="00AB00DE" w:rsidP="00267AB1">
      <w:pPr>
        <w:pStyle w:val="a4"/>
      </w:pPr>
      <w:r w:rsidRPr="009D48A5">
        <w:rPr>
          <w:snapToGrid/>
        </w:rPr>
        <w:tab/>
      </w:r>
      <w:r w:rsidRPr="00DF5565">
        <w:rPr>
          <w:snapToGrid/>
          <w:color w:val="0000FF"/>
          <w:sz w:val="21"/>
          <w:vertAlign w:val="superscript"/>
        </w:rPr>
        <w:footnoteRef/>
      </w:r>
      <w:r w:rsidRPr="009D48A5">
        <w:rPr>
          <w:snapToGrid/>
        </w:rPr>
        <w:tab/>
      </w:r>
      <w:r w:rsidRPr="009D48A5">
        <w:rPr>
          <w:rFonts w:hint="eastAsia"/>
        </w:rPr>
        <w:t>例如</w:t>
      </w:r>
      <w:r>
        <w:rPr>
          <w:rFonts w:hint="eastAsia"/>
        </w:rPr>
        <w:t>，</w:t>
      </w:r>
      <w:r w:rsidRPr="009D48A5">
        <w:rPr>
          <w:rFonts w:hint="eastAsia"/>
        </w:rPr>
        <w:t>见</w:t>
      </w:r>
      <w:r w:rsidRPr="009D48A5">
        <w:rPr>
          <w:rFonts w:ascii="Time New Roman" w:eastAsia="楷体" w:hAnsi="Time New Roman" w:hint="eastAsia"/>
        </w:rPr>
        <w:t>以核武器进行威胁或使用核武器的合法性</w:t>
      </w:r>
      <w:r>
        <w:t>(</w:t>
      </w:r>
      <w:r w:rsidRPr="009D48A5">
        <w:rPr>
          <w:rFonts w:hint="eastAsia"/>
        </w:rPr>
        <w:t>见上文脚注</w:t>
      </w:r>
      <w:r>
        <w:fldChar w:fldCharType="begin"/>
      </w:r>
      <w:r>
        <w:instrText xml:space="preserve"> </w:instrText>
      </w:r>
      <w:r>
        <w:rPr>
          <w:rFonts w:hint="eastAsia"/>
        </w:rPr>
        <w:instrText>NOTEREF _Ref461975062 \h</w:instrText>
      </w:r>
      <w:r>
        <w:instrText xml:space="preserve"> </w:instrText>
      </w:r>
      <w:r>
        <w:fldChar w:fldCharType="separate"/>
      </w:r>
      <w:r w:rsidR="00A73EB9">
        <w:t>258</w:t>
      </w:r>
      <w:r>
        <w:fldChar w:fldCharType="end"/>
      </w:r>
      <w:r>
        <w:t>)</w:t>
      </w:r>
      <w:r>
        <w:rPr>
          <w:rFonts w:hint="eastAsia"/>
        </w:rPr>
        <w:t>，</w:t>
      </w:r>
      <w:r w:rsidRPr="009D48A5">
        <w:rPr>
          <w:rFonts w:hint="eastAsia"/>
        </w:rPr>
        <w:t>见第</w:t>
      </w:r>
      <w:r w:rsidRPr="009D48A5">
        <w:rPr>
          <w:rFonts w:hint="eastAsia"/>
        </w:rPr>
        <w:t>255</w:t>
      </w:r>
      <w:r w:rsidRPr="009D48A5">
        <w:rPr>
          <w:rFonts w:hint="eastAsia"/>
        </w:rPr>
        <w:t>页</w:t>
      </w:r>
      <w:r>
        <w:rPr>
          <w:rFonts w:hint="eastAsia"/>
        </w:rPr>
        <w:t>，</w:t>
      </w:r>
      <w:r w:rsidRPr="009D48A5">
        <w:rPr>
          <w:rFonts w:hint="eastAsia"/>
        </w:rPr>
        <w:t>第</w:t>
      </w:r>
      <w:r w:rsidRPr="009D48A5">
        <w:rPr>
          <w:rFonts w:hint="eastAsia"/>
        </w:rPr>
        <w:t>71</w:t>
      </w:r>
      <w:r w:rsidRPr="009D48A5">
        <w:rPr>
          <w:rFonts w:hint="eastAsia"/>
        </w:rPr>
        <w:t>段</w:t>
      </w:r>
      <w:r>
        <w:rPr>
          <w:rFonts w:hint="eastAsia"/>
        </w:rPr>
        <w:t>(</w:t>
      </w:r>
      <w:r w:rsidRPr="009D48A5">
        <w:rPr>
          <w:rFonts w:hint="eastAsia"/>
        </w:rPr>
        <w:t>“本案所审查的决议之中有几项决议在通过时</w:t>
      </w:r>
      <w:r>
        <w:rPr>
          <w:rFonts w:hint="eastAsia"/>
        </w:rPr>
        <w:t>，</w:t>
      </w:r>
      <w:r w:rsidRPr="009D48A5">
        <w:rPr>
          <w:rFonts w:hint="eastAsia"/>
        </w:rPr>
        <w:t>相当多的国家投反对票或弃权</w:t>
      </w:r>
      <w:r>
        <w:rPr>
          <w:rFonts w:hint="eastAsia"/>
        </w:rPr>
        <w:t>；</w:t>
      </w:r>
      <w:r w:rsidRPr="009D48A5">
        <w:rPr>
          <w:rFonts w:hint="eastAsia"/>
        </w:rPr>
        <w:t>因此</w:t>
      </w:r>
      <w:r>
        <w:rPr>
          <w:rFonts w:hint="eastAsia"/>
        </w:rPr>
        <w:t>，</w:t>
      </w:r>
      <w:r w:rsidRPr="009D48A5">
        <w:rPr>
          <w:rFonts w:hint="eastAsia"/>
        </w:rPr>
        <w:t>这些决议虽然显示各方对核武器问题深感关切</w:t>
      </w:r>
      <w:r>
        <w:rPr>
          <w:rFonts w:hint="eastAsia"/>
        </w:rPr>
        <w:t>，</w:t>
      </w:r>
      <w:r w:rsidRPr="009D48A5">
        <w:rPr>
          <w:rFonts w:hint="eastAsia"/>
        </w:rPr>
        <w:t>仍然不足以确立定有一种认为使用核武器为非法的法律意见存在”</w:t>
      </w:r>
      <w:r>
        <w:rPr>
          <w:rFonts w:hint="eastAsia"/>
        </w:rPr>
        <w:t>)</w:t>
      </w:r>
      <w:r w:rsidRPr="009D48A5">
        <w:rPr>
          <w:rFonts w:hint="eastAsia"/>
        </w:rPr>
        <w:t>。</w:t>
      </w:r>
    </w:p>
  </w:footnote>
  <w:footnote w:id="346">
    <w:p w:rsidR="00AB00DE" w:rsidRPr="009D48A5" w:rsidRDefault="00AB00DE" w:rsidP="008D7906">
      <w:pPr>
        <w:pStyle w:val="a4"/>
      </w:pPr>
      <w:r w:rsidRPr="009D48A5">
        <w:rPr>
          <w:snapToGrid/>
        </w:rPr>
        <w:tab/>
      </w:r>
      <w:r w:rsidRPr="00DF5565">
        <w:rPr>
          <w:snapToGrid/>
          <w:color w:val="0000FF"/>
          <w:sz w:val="21"/>
          <w:vertAlign w:val="superscript"/>
        </w:rPr>
        <w:footnoteRef/>
      </w:r>
      <w:r w:rsidRPr="009D48A5">
        <w:rPr>
          <w:snapToGrid/>
        </w:rPr>
        <w:tab/>
      </w:r>
      <w:r w:rsidRPr="009D48A5">
        <w:rPr>
          <w:rFonts w:hint="eastAsia"/>
        </w:rPr>
        <w:t>例如</w:t>
      </w:r>
      <w:r>
        <w:rPr>
          <w:rFonts w:hint="eastAsia"/>
        </w:rPr>
        <w:t>，</w:t>
      </w:r>
      <w:r w:rsidRPr="009D48A5">
        <w:rPr>
          <w:rFonts w:hint="eastAsia"/>
        </w:rPr>
        <w:t>见</w:t>
      </w:r>
      <w:r w:rsidRPr="009D48A5">
        <w:rPr>
          <w:rFonts w:ascii="Time New Roman" w:eastAsia="楷体" w:hAnsi="Time New Roman"/>
        </w:rPr>
        <w:t>康克由</w:t>
      </w:r>
      <w:r>
        <w:rPr>
          <w:rFonts w:ascii="Time New Roman" w:eastAsia="楷体" w:hAnsi="Time New Roman"/>
        </w:rPr>
        <w:t>，</w:t>
      </w:r>
      <w:r w:rsidRPr="009D48A5">
        <w:rPr>
          <w:rFonts w:ascii="Time New Roman" w:eastAsia="楷体" w:hAnsi="Time New Roman"/>
        </w:rPr>
        <w:t>别名</w:t>
      </w:r>
      <w:r w:rsidRPr="009D48A5">
        <w:rPr>
          <w:rFonts w:hint="eastAsia"/>
        </w:rPr>
        <w:t>“</w:t>
      </w:r>
      <w:r w:rsidRPr="009D48A5">
        <w:rPr>
          <w:rFonts w:ascii="Time New Roman" w:eastAsia="楷体" w:hAnsi="Time New Roman"/>
        </w:rPr>
        <w:t>杜赫</w:t>
      </w:r>
      <w:r w:rsidRPr="009D48A5">
        <w:rPr>
          <w:rFonts w:hint="eastAsia"/>
        </w:rPr>
        <w:t>”</w:t>
      </w:r>
      <w:r w:rsidRPr="009D48A5">
        <w:rPr>
          <w:rFonts w:ascii="Time New Roman" w:eastAsia="楷体" w:hAnsi="Time New Roman"/>
        </w:rPr>
        <w:t>案</w:t>
      </w:r>
      <w:r>
        <w:t>，</w:t>
      </w:r>
      <w:r w:rsidRPr="009D48A5">
        <w:t>001</w:t>
      </w:r>
      <w:r>
        <w:t>/</w:t>
      </w:r>
      <w:r w:rsidRPr="009D48A5">
        <w:t>18-07-2007-ECCC</w:t>
      </w:r>
      <w:r>
        <w:t>/</w:t>
      </w:r>
      <w:r w:rsidRPr="009D48A5">
        <w:t>SC</w:t>
      </w:r>
      <w:r w:rsidRPr="009D48A5">
        <w:t>号案件</w:t>
      </w:r>
      <w:r>
        <w:t>，</w:t>
      </w:r>
      <w:r w:rsidRPr="009D48A5">
        <w:t>上诉判决</w:t>
      </w:r>
      <w:r>
        <w:t>，</w:t>
      </w:r>
      <w:r w:rsidRPr="009D48A5">
        <w:t>柬埔寨法院特别法庭</w:t>
      </w:r>
      <w:r>
        <w:t>，</w:t>
      </w:r>
      <w:r w:rsidRPr="009D48A5">
        <w:t>最高法院分庭</w:t>
      </w:r>
      <w:r>
        <w:t>(</w:t>
      </w:r>
      <w:r w:rsidRPr="009D48A5">
        <w:t>2012</w:t>
      </w:r>
      <w:r w:rsidRPr="009D48A5">
        <w:t>年</w:t>
      </w:r>
      <w:r w:rsidRPr="009D48A5">
        <w:t>2</w:t>
      </w:r>
      <w:r w:rsidRPr="009D48A5">
        <w:t>月</w:t>
      </w:r>
      <w:r w:rsidRPr="009D48A5">
        <w:t>3</w:t>
      </w:r>
      <w:r w:rsidRPr="009D48A5">
        <w:t>日</w:t>
      </w:r>
      <w:r>
        <w:t>)</w:t>
      </w:r>
      <w:r>
        <w:t>，</w:t>
      </w:r>
      <w:r w:rsidRPr="009D48A5">
        <w:rPr>
          <w:rFonts w:hint="eastAsia"/>
        </w:rPr>
        <w:t>第</w:t>
      </w:r>
      <w:r w:rsidRPr="009D48A5">
        <w:rPr>
          <w:rFonts w:hint="eastAsia"/>
        </w:rPr>
        <w:t>194</w:t>
      </w:r>
      <w:r w:rsidRPr="009D48A5">
        <w:rPr>
          <w:rFonts w:hint="eastAsia"/>
        </w:rPr>
        <w:t>段</w:t>
      </w:r>
      <w:r>
        <w:rPr>
          <w:rFonts w:hint="eastAsia"/>
        </w:rPr>
        <w:t>(</w:t>
      </w:r>
      <w:r w:rsidRPr="009D48A5">
        <w:rPr>
          <w:rFonts w:hint="eastAsia"/>
        </w:rPr>
        <w:t>“</w:t>
      </w:r>
      <w:r w:rsidRPr="009D48A5">
        <w:t>1975</w:t>
      </w:r>
      <w:r w:rsidRPr="009D48A5">
        <w:t>年《酷刑宣言》</w:t>
      </w:r>
      <w:r>
        <w:rPr>
          <w:rFonts w:hint="eastAsia"/>
        </w:rPr>
        <w:t>[</w:t>
      </w:r>
      <w:r w:rsidRPr="009D48A5">
        <w:rPr>
          <w:rFonts w:hint="eastAsia"/>
        </w:rPr>
        <w:t>1975</w:t>
      </w:r>
      <w:r w:rsidRPr="009D48A5">
        <w:rPr>
          <w:rFonts w:hint="eastAsia"/>
        </w:rPr>
        <w:t>年</w:t>
      </w:r>
      <w:r w:rsidRPr="009D48A5">
        <w:rPr>
          <w:rFonts w:hint="eastAsia"/>
        </w:rPr>
        <w:t>12</w:t>
      </w:r>
      <w:r w:rsidRPr="009D48A5">
        <w:rPr>
          <w:rFonts w:hint="eastAsia"/>
        </w:rPr>
        <w:t>月</w:t>
      </w:r>
      <w:r w:rsidRPr="009D48A5">
        <w:rPr>
          <w:rFonts w:hint="eastAsia"/>
        </w:rPr>
        <w:t>9</w:t>
      </w:r>
      <w:r w:rsidRPr="009D48A5">
        <w:rPr>
          <w:rFonts w:hint="eastAsia"/>
        </w:rPr>
        <w:t>日第</w:t>
      </w:r>
      <w:r w:rsidRPr="009D48A5">
        <w:t>3452</w:t>
      </w:r>
      <w:r>
        <w:t>(</w:t>
      </w:r>
      <w:r w:rsidRPr="009D48A5">
        <w:t>XXX</w:t>
      </w:r>
      <w:r>
        <w:t>)</w:t>
      </w:r>
      <w:r w:rsidRPr="009D48A5">
        <w:rPr>
          <w:rFonts w:hint="eastAsia"/>
        </w:rPr>
        <w:t>号决议</w:t>
      </w:r>
      <w:r>
        <w:rPr>
          <w:rFonts w:hint="eastAsia"/>
        </w:rPr>
        <w:t>，</w:t>
      </w:r>
      <w:r w:rsidRPr="009D48A5">
        <w:rPr>
          <w:rFonts w:hint="eastAsia"/>
        </w:rPr>
        <w:t>保护人人不受酷刑和其他残忍、不人道和有辱人格待遇或处罚宣言</w:t>
      </w:r>
      <w:r>
        <w:rPr>
          <w:rFonts w:hint="eastAsia"/>
        </w:rPr>
        <w:t>]</w:t>
      </w:r>
      <w:r w:rsidRPr="009D48A5">
        <w:t>是一项不具约束力的大会决议</w:t>
      </w:r>
      <w:r>
        <w:t>，</w:t>
      </w:r>
      <w:r w:rsidRPr="009D48A5">
        <w:t>因而需要有进一步的证据</w:t>
      </w:r>
      <w:r>
        <w:t>，</w:t>
      </w:r>
      <w:r w:rsidRPr="009D48A5">
        <w:t>才能确定其中对酷刑的定义反映了相关时期的习惯国际法</w:t>
      </w:r>
      <w:r w:rsidRPr="009D48A5">
        <w:rPr>
          <w:rFonts w:hint="eastAsia"/>
        </w:rPr>
        <w:t>”</w:t>
      </w:r>
      <w:r>
        <w:rPr>
          <w:rFonts w:hint="eastAsia"/>
        </w:rPr>
        <w:t>)</w:t>
      </w:r>
      <w:r w:rsidRPr="009D48A5">
        <w:rPr>
          <w:rFonts w:hint="eastAsia"/>
        </w:rPr>
        <w:t>。</w:t>
      </w:r>
    </w:p>
  </w:footnote>
  <w:footnote w:id="347">
    <w:p w:rsidR="00AB00DE" w:rsidRPr="009D48A5" w:rsidRDefault="00AB00DE" w:rsidP="008D7906">
      <w:pPr>
        <w:pStyle w:val="a4"/>
      </w:pPr>
      <w:r w:rsidRPr="009D48A5">
        <w:rPr>
          <w:snapToGrid/>
        </w:rPr>
        <w:tab/>
      </w:r>
      <w:r w:rsidRPr="00DF5565">
        <w:rPr>
          <w:snapToGrid/>
          <w:color w:val="0000FF"/>
          <w:sz w:val="21"/>
          <w:vertAlign w:val="superscript"/>
        </w:rPr>
        <w:footnoteRef/>
      </w:r>
      <w:r w:rsidRPr="009D48A5">
        <w:rPr>
          <w:snapToGrid/>
        </w:rPr>
        <w:tab/>
      </w:r>
      <w:r w:rsidRPr="009D48A5">
        <w:rPr>
          <w:rFonts w:hint="eastAsia"/>
        </w:rPr>
        <w:t>因此</w:t>
      </w:r>
      <w:r>
        <w:rPr>
          <w:rFonts w:hint="eastAsia"/>
        </w:rPr>
        <w:t>，</w:t>
      </w:r>
      <w:r w:rsidRPr="009D48A5">
        <w:rPr>
          <w:rFonts w:hint="eastAsia"/>
        </w:rPr>
        <w:t>也不能说国际性法院和法庭的判决是识别这方面国际法规则的确凿证据。</w:t>
      </w:r>
    </w:p>
  </w:footnote>
  <w:footnote w:id="348">
    <w:p w:rsidR="00AB00DE" w:rsidRPr="009D48A5" w:rsidRDefault="00AB00DE" w:rsidP="008D7906">
      <w:pPr>
        <w:pStyle w:val="a4"/>
      </w:pPr>
      <w:r w:rsidRPr="009D48A5">
        <w:rPr>
          <w:snapToGrid/>
        </w:rPr>
        <w:tab/>
      </w:r>
      <w:r w:rsidRPr="00DF5565">
        <w:rPr>
          <w:snapToGrid/>
          <w:color w:val="0000FF"/>
          <w:sz w:val="21"/>
          <w:vertAlign w:val="superscript"/>
        </w:rPr>
        <w:footnoteRef/>
      </w:r>
      <w:r w:rsidRPr="009D48A5">
        <w:rPr>
          <w:snapToGrid/>
        </w:rPr>
        <w:tab/>
      </w:r>
      <w:r w:rsidRPr="009D48A5">
        <w:t>尽管国际性法院和法庭不存在等级关系</w:t>
      </w:r>
      <w:r>
        <w:t>，</w:t>
      </w:r>
      <w:r w:rsidRPr="009D48A5">
        <w:t>其他法院和法庭往往认为国际法院的判决令人信服。例如</w:t>
      </w:r>
      <w:r>
        <w:t>，</w:t>
      </w:r>
      <w:r w:rsidRPr="009D48A5">
        <w:t>见欧洲人权法院</w:t>
      </w:r>
      <w:r>
        <w:t>，</w:t>
      </w:r>
      <w:r w:rsidRPr="009D48A5">
        <w:t>Jones</w:t>
      </w:r>
      <w:r w:rsidRPr="009D48A5">
        <w:rPr>
          <w:rFonts w:ascii="Time New Roman" w:eastAsia="楷体" w:hAnsi="Time New Roman"/>
        </w:rPr>
        <w:t>等人诉联合王国</w:t>
      </w:r>
      <w:r>
        <w:t>，</w:t>
      </w:r>
      <w:r w:rsidRPr="009D48A5">
        <w:t>第</w:t>
      </w:r>
      <w:r w:rsidRPr="009D48A5">
        <w:t>34356</w:t>
      </w:r>
      <w:r>
        <w:t>/</w:t>
      </w:r>
      <w:r w:rsidRPr="009D48A5">
        <w:t>06</w:t>
      </w:r>
      <w:r w:rsidRPr="009D48A5">
        <w:t>号和第</w:t>
      </w:r>
      <w:r w:rsidRPr="009D48A5">
        <w:t>40528</w:t>
      </w:r>
      <w:r>
        <w:t>/</w:t>
      </w:r>
      <w:r w:rsidRPr="009D48A5">
        <w:t>06</w:t>
      </w:r>
      <w:r w:rsidRPr="009D48A5">
        <w:t>号</w:t>
      </w:r>
      <w:r>
        <w:t>，</w:t>
      </w:r>
      <w:r w:rsidRPr="009D48A5">
        <w:t>ECHR 201</w:t>
      </w:r>
      <w:r>
        <w:t>4,</w:t>
      </w:r>
      <w:r w:rsidRPr="009D48A5">
        <w:rPr>
          <w:rFonts w:hint="eastAsia"/>
        </w:rPr>
        <w:t xml:space="preserve"> </w:t>
      </w:r>
      <w:r w:rsidRPr="009D48A5">
        <w:t>第</w:t>
      </w:r>
      <w:r w:rsidRPr="009D48A5">
        <w:t>198</w:t>
      </w:r>
      <w:r w:rsidRPr="009D48A5">
        <w:t>段</w:t>
      </w:r>
      <w:r>
        <w:t>；</w:t>
      </w:r>
      <w:r w:rsidRPr="009D48A5">
        <w:rPr>
          <w:rFonts w:hint="eastAsia"/>
        </w:rPr>
        <w:t>“</w:t>
      </w:r>
      <w:r w:rsidRPr="009D48A5">
        <w:rPr>
          <w:rFonts w:ascii="Time New Roman" w:eastAsia="楷体" w:hAnsi="Time New Roman"/>
        </w:rPr>
        <w:t>赛加羚羊</w:t>
      </w:r>
      <w:r w:rsidRPr="009D48A5">
        <w:rPr>
          <w:rFonts w:hint="eastAsia"/>
        </w:rPr>
        <w:t>”</w:t>
      </w:r>
      <w:r w:rsidRPr="009D48A5">
        <w:rPr>
          <w:rFonts w:ascii="Time New Roman" w:eastAsia="楷体" w:hAnsi="Time New Roman"/>
        </w:rPr>
        <w:t>号轮案</w:t>
      </w:r>
      <w:r>
        <w:rPr>
          <w:rFonts w:ascii="Time New Roman" w:eastAsia="楷体" w:hAnsi="Time New Roman"/>
        </w:rPr>
        <w:t>(</w:t>
      </w:r>
      <w:r w:rsidRPr="009D48A5">
        <w:rPr>
          <w:rFonts w:ascii="Time New Roman" w:eastAsia="楷体" w:hAnsi="Time New Roman"/>
        </w:rPr>
        <w:t>第</w:t>
      </w:r>
      <w:r w:rsidRPr="009D48A5">
        <w:rPr>
          <w:rFonts w:ascii="Time New Roman" w:eastAsia="楷体" w:hAnsi="Time New Roman"/>
        </w:rPr>
        <w:t>2</w:t>
      </w:r>
      <w:r w:rsidRPr="009D48A5">
        <w:rPr>
          <w:rFonts w:ascii="Time New Roman" w:eastAsia="楷体" w:hAnsi="Time New Roman"/>
        </w:rPr>
        <w:t>号</w:t>
      </w:r>
      <w:r>
        <w:rPr>
          <w:rFonts w:ascii="Time New Roman" w:eastAsia="楷体" w:hAnsi="Time New Roman"/>
        </w:rPr>
        <w:t>)(</w:t>
      </w:r>
      <w:r w:rsidRPr="009D48A5">
        <w:rPr>
          <w:rFonts w:ascii="Time New Roman" w:eastAsia="楷体" w:hAnsi="Time New Roman"/>
        </w:rPr>
        <w:t>圣文森特和格林那丁斯诉几内亚</w:t>
      </w:r>
      <w:r>
        <w:rPr>
          <w:rFonts w:ascii="Time New Roman" w:eastAsia="楷体" w:hAnsi="Time New Roman"/>
        </w:rPr>
        <w:t>)</w:t>
      </w:r>
      <w:r>
        <w:t>，</w:t>
      </w:r>
      <w:r w:rsidRPr="009D48A5">
        <w:t>判决</w:t>
      </w:r>
      <w:r>
        <w:t>，</w:t>
      </w:r>
      <w:r w:rsidRPr="009D48A5">
        <w:t>《</w:t>
      </w:r>
      <w:r w:rsidRPr="009D48A5">
        <w:t xml:space="preserve">1999 </w:t>
      </w:r>
      <w:r w:rsidRPr="009D48A5">
        <w:t>年海洋法法庭汇编》</w:t>
      </w:r>
      <w:r>
        <w:t>，</w:t>
      </w:r>
      <w:r w:rsidRPr="009D48A5">
        <w:t>第</w:t>
      </w:r>
      <w:r w:rsidRPr="009D48A5">
        <w:t>10</w:t>
      </w:r>
      <w:r w:rsidRPr="009D48A5">
        <w:t>页</w:t>
      </w:r>
      <w:r>
        <w:t>，</w:t>
      </w:r>
      <w:r w:rsidRPr="009D48A5">
        <w:t>见第</w:t>
      </w:r>
      <w:r w:rsidRPr="009D48A5">
        <w:t>133-134</w:t>
      </w:r>
      <w:r w:rsidRPr="009D48A5">
        <w:t>段</w:t>
      </w:r>
      <w:r>
        <w:t>；</w:t>
      </w:r>
      <w:r w:rsidRPr="009D48A5">
        <w:rPr>
          <w:rFonts w:ascii="Time New Roman" w:eastAsia="楷体" w:hAnsi="Time New Roman"/>
        </w:rPr>
        <w:t>日本</w:t>
      </w:r>
      <w:r w:rsidRPr="009D48A5">
        <w:rPr>
          <w:rFonts w:ascii="Time New Roman" w:eastAsia="楷体" w:hAnsi="Time New Roman" w:hint="eastAsia"/>
        </w:rPr>
        <w:t>－</w:t>
      </w:r>
      <w:r w:rsidRPr="009D48A5">
        <w:rPr>
          <w:rFonts w:ascii="Time New Roman" w:eastAsia="楷体" w:hAnsi="Time New Roman"/>
        </w:rPr>
        <w:t>酒精饮料税</w:t>
      </w:r>
      <w:r>
        <w:t>，</w:t>
      </w:r>
      <w:r w:rsidRPr="009D48A5">
        <w:t>世贸组织上诉机构报告</w:t>
      </w:r>
      <w:r>
        <w:t>，</w:t>
      </w:r>
      <w:r w:rsidRPr="009D48A5">
        <w:t>WT</w:t>
      </w:r>
      <w:r>
        <w:t>/</w:t>
      </w:r>
      <w:r w:rsidRPr="009D48A5">
        <w:t>DS8</w:t>
      </w:r>
      <w:r>
        <w:t>/</w:t>
      </w:r>
      <w:r w:rsidRPr="009D48A5">
        <w:t>AB</w:t>
      </w:r>
      <w:r>
        <w:t xml:space="preserve">/R, </w:t>
      </w:r>
      <w:r w:rsidRPr="009D48A5">
        <w:t>WT</w:t>
      </w:r>
      <w:r>
        <w:t>/</w:t>
      </w:r>
      <w:r w:rsidRPr="009D48A5">
        <w:t>DS10</w:t>
      </w:r>
      <w:r>
        <w:t>/</w:t>
      </w:r>
      <w:r w:rsidRPr="009D48A5">
        <w:t>AB</w:t>
      </w:r>
      <w:r>
        <w:t>/</w:t>
      </w:r>
      <w:r w:rsidRPr="009D48A5">
        <w:t>R</w:t>
      </w:r>
      <w:r w:rsidRPr="009D48A5">
        <w:t>和</w:t>
      </w:r>
      <w:r w:rsidRPr="009D48A5">
        <w:t>WT</w:t>
      </w:r>
      <w:r>
        <w:t>/</w:t>
      </w:r>
      <w:r w:rsidRPr="009D48A5">
        <w:t>DS11</w:t>
      </w:r>
      <w:r>
        <w:t>/</w:t>
      </w:r>
      <w:r w:rsidRPr="009D48A5">
        <w:t>AB</w:t>
      </w:r>
      <w:r>
        <w:t xml:space="preserve">/R, </w:t>
      </w:r>
      <w:r w:rsidRPr="009D48A5">
        <w:t>1996</w:t>
      </w:r>
      <w:r w:rsidRPr="009D48A5">
        <w:t>年</w:t>
      </w:r>
      <w:r w:rsidRPr="009D48A5">
        <w:t>11</w:t>
      </w:r>
      <w:r w:rsidRPr="009D48A5">
        <w:t>月</w:t>
      </w:r>
      <w:r w:rsidRPr="009D48A5">
        <w:t>1</w:t>
      </w:r>
      <w:r w:rsidRPr="009D48A5">
        <w:t>日通过</w:t>
      </w:r>
      <w:r>
        <w:t>，</w:t>
      </w:r>
      <w:r w:rsidRPr="009D48A5">
        <w:t>D</w:t>
      </w:r>
      <w:r w:rsidRPr="009D48A5">
        <w:t>节。</w:t>
      </w:r>
    </w:p>
  </w:footnote>
  <w:footnote w:id="349">
    <w:p w:rsidR="00AB00DE" w:rsidRPr="009D48A5" w:rsidRDefault="00AB00DE" w:rsidP="00D522D8">
      <w:pPr>
        <w:pStyle w:val="a4"/>
      </w:pPr>
      <w:r w:rsidRPr="009D48A5">
        <w:rPr>
          <w:snapToGrid/>
        </w:rPr>
        <w:tab/>
      </w:r>
      <w:r w:rsidRPr="00DF5565">
        <w:rPr>
          <w:snapToGrid/>
          <w:color w:val="0000FF"/>
          <w:sz w:val="21"/>
          <w:vertAlign w:val="superscript"/>
        </w:rPr>
        <w:footnoteRef/>
      </w:r>
      <w:r w:rsidRPr="009D48A5">
        <w:rPr>
          <w:snapToGrid/>
        </w:rPr>
        <w:tab/>
      </w:r>
      <w:r w:rsidRPr="009D48A5">
        <w:rPr>
          <w:rFonts w:hint="eastAsia"/>
        </w:rPr>
        <w:t>关于作为确定习惯国际法规则的辅助手段的各国法院的判决</w:t>
      </w:r>
      <w:r>
        <w:rPr>
          <w:rFonts w:hint="eastAsia"/>
        </w:rPr>
        <w:t>，</w:t>
      </w:r>
      <w:r w:rsidRPr="009D48A5">
        <w:rPr>
          <w:rFonts w:hint="eastAsia"/>
        </w:rPr>
        <w:t>例如</w:t>
      </w:r>
      <w:r>
        <w:rPr>
          <w:rFonts w:hint="eastAsia"/>
        </w:rPr>
        <w:t>，</w:t>
      </w:r>
      <w:r w:rsidRPr="009D48A5">
        <w:rPr>
          <w:rFonts w:hint="eastAsia"/>
        </w:rPr>
        <w:t>另见前南斯拉夫问题国际刑事法庭</w:t>
      </w:r>
      <w:r>
        <w:rPr>
          <w:rFonts w:hint="eastAsia"/>
        </w:rPr>
        <w:t>，</w:t>
      </w:r>
      <w:r w:rsidRPr="009D48A5">
        <w:rPr>
          <w:rFonts w:ascii="Time New Roman" w:eastAsia="楷体" w:hAnsi="Time New Roman"/>
        </w:rPr>
        <w:t>检察官诉</w:t>
      </w:r>
      <w:r w:rsidRPr="009D48A5">
        <w:t>Zejnil Delalić</w:t>
      </w:r>
      <w:r w:rsidRPr="009D48A5">
        <w:rPr>
          <w:rFonts w:hint="eastAsia"/>
        </w:rPr>
        <w:t>、</w:t>
      </w:r>
      <w:r w:rsidRPr="009D48A5">
        <w:t>Zdravko Mucić</w:t>
      </w:r>
      <w:r>
        <w:rPr>
          <w:rFonts w:hint="eastAsia"/>
        </w:rPr>
        <w:t>(</w:t>
      </w:r>
      <w:r w:rsidRPr="009D48A5">
        <w:rPr>
          <w:rFonts w:hint="eastAsia"/>
        </w:rPr>
        <w:t>又称</w:t>
      </w:r>
      <w:r w:rsidRPr="009D48A5">
        <w:rPr>
          <w:rFonts w:hint="eastAsia"/>
        </w:rPr>
        <w:t>Pavo</w:t>
      </w:r>
      <w:r>
        <w:rPr>
          <w:rFonts w:hint="eastAsia"/>
        </w:rPr>
        <w:t>)</w:t>
      </w:r>
      <w:r>
        <w:rPr>
          <w:rFonts w:hint="eastAsia"/>
        </w:rPr>
        <w:t>，</w:t>
      </w:r>
      <w:r w:rsidRPr="009D48A5">
        <w:t>Hazim Delić</w:t>
      </w:r>
      <w:r>
        <w:rPr>
          <w:rFonts w:hint="eastAsia"/>
        </w:rPr>
        <w:t>，</w:t>
      </w:r>
      <w:r w:rsidRPr="009D48A5">
        <w:t>Esad Landžo</w:t>
      </w:r>
      <w:r>
        <w:rPr>
          <w:rFonts w:hint="eastAsia"/>
        </w:rPr>
        <w:t>(</w:t>
      </w:r>
      <w:r w:rsidRPr="009D48A5">
        <w:rPr>
          <w:rFonts w:hint="eastAsia"/>
        </w:rPr>
        <w:t>又称</w:t>
      </w:r>
      <w:r w:rsidRPr="009D48A5">
        <w:t>Zenga</w:t>
      </w:r>
      <w:r>
        <w:rPr>
          <w:rFonts w:hint="eastAsia"/>
        </w:rPr>
        <w:t>)</w:t>
      </w:r>
      <w:r>
        <w:rPr>
          <w:rFonts w:hint="eastAsia"/>
        </w:rPr>
        <w:t>，</w:t>
      </w:r>
      <w:r w:rsidRPr="009D48A5">
        <w:rPr>
          <w:rFonts w:hint="eastAsia"/>
        </w:rPr>
        <w:t>第</w:t>
      </w:r>
      <w:r w:rsidRPr="009D48A5">
        <w:t>IT-96-21-T</w:t>
      </w:r>
      <w:r w:rsidRPr="009D48A5">
        <w:rPr>
          <w:rFonts w:hint="eastAsia"/>
        </w:rPr>
        <w:t>号案件</w:t>
      </w:r>
      <w:r>
        <w:rPr>
          <w:rFonts w:hint="eastAsia"/>
        </w:rPr>
        <w:t>，</w:t>
      </w:r>
      <w:r w:rsidRPr="009D48A5">
        <w:rPr>
          <w:rFonts w:hint="eastAsia"/>
        </w:rPr>
        <w:t>1998</w:t>
      </w:r>
      <w:r w:rsidRPr="009D48A5">
        <w:rPr>
          <w:rFonts w:hint="eastAsia"/>
        </w:rPr>
        <w:t>年</w:t>
      </w:r>
      <w:r w:rsidRPr="009D48A5">
        <w:rPr>
          <w:rFonts w:hint="eastAsia"/>
        </w:rPr>
        <w:t>11</w:t>
      </w:r>
      <w:r w:rsidRPr="009D48A5">
        <w:rPr>
          <w:rFonts w:hint="eastAsia"/>
        </w:rPr>
        <w:t>月</w:t>
      </w:r>
      <w:r w:rsidRPr="009D48A5">
        <w:rPr>
          <w:rFonts w:hint="eastAsia"/>
        </w:rPr>
        <w:t>16</w:t>
      </w:r>
      <w:r w:rsidRPr="009D48A5">
        <w:rPr>
          <w:rFonts w:hint="eastAsia"/>
        </w:rPr>
        <w:t>日的判决</w:t>
      </w:r>
      <w:r>
        <w:rPr>
          <w:rFonts w:hint="eastAsia"/>
        </w:rPr>
        <w:t>，</w:t>
      </w:r>
      <w:r w:rsidRPr="009D48A5">
        <w:rPr>
          <w:rFonts w:hint="eastAsia"/>
        </w:rPr>
        <w:t>见第</w:t>
      </w:r>
      <w:r w:rsidRPr="009D48A5">
        <w:rPr>
          <w:rFonts w:hint="eastAsia"/>
        </w:rPr>
        <w:t>414</w:t>
      </w:r>
      <w:r w:rsidRPr="009D48A5">
        <w:rPr>
          <w:rFonts w:hint="eastAsia"/>
        </w:rPr>
        <w:t>段。</w:t>
      </w:r>
    </w:p>
  </w:footnote>
  <w:footnote w:id="350">
    <w:p w:rsidR="00AB00DE" w:rsidRPr="009D48A5" w:rsidRDefault="00AB00DE" w:rsidP="008D7906">
      <w:pPr>
        <w:pStyle w:val="a4"/>
      </w:pPr>
      <w:r w:rsidRPr="009D48A5">
        <w:rPr>
          <w:snapToGrid/>
        </w:rPr>
        <w:tab/>
      </w:r>
      <w:r w:rsidRPr="00DF5565">
        <w:rPr>
          <w:snapToGrid/>
          <w:color w:val="0000FF"/>
          <w:sz w:val="21"/>
          <w:vertAlign w:val="superscript"/>
        </w:rPr>
        <w:footnoteRef/>
      </w:r>
      <w:r w:rsidRPr="009D48A5">
        <w:rPr>
          <w:snapToGrid/>
        </w:rPr>
        <w:tab/>
      </w:r>
      <w:r w:rsidRPr="009D48A5">
        <w:rPr>
          <w:rFonts w:hint="eastAsia"/>
        </w:rPr>
        <w:t>另见“便利各方利用国际习惯法的证据的方式和方法”</w:t>
      </w:r>
      <w:r>
        <w:rPr>
          <w:rFonts w:hint="eastAsia"/>
        </w:rPr>
        <w:t>，</w:t>
      </w:r>
      <w:r w:rsidRPr="009D48A5">
        <w:rPr>
          <w:rFonts w:ascii="Time New Roman" w:hAnsi="Time New Roman" w:hint="eastAsia"/>
        </w:rPr>
        <w:t>《</w:t>
      </w:r>
      <w:r w:rsidRPr="009D48A5">
        <w:rPr>
          <w:rFonts w:ascii="Time New Roman" w:hAnsi="Time New Roman"/>
        </w:rPr>
        <w:t>1950</w:t>
      </w:r>
      <w:r w:rsidRPr="009D48A5">
        <w:rPr>
          <w:rFonts w:ascii="Time New Roman" w:hAnsi="Time New Roman"/>
        </w:rPr>
        <w:t>年</w:t>
      </w:r>
      <w:r w:rsidRPr="009D48A5">
        <w:rPr>
          <w:rFonts w:ascii="Time New Roman" w:hAnsi="Time New Roman" w:hint="eastAsia"/>
        </w:rPr>
        <w:t>……</w:t>
      </w:r>
      <w:r w:rsidRPr="009D48A5">
        <w:rPr>
          <w:rFonts w:ascii="Time New Roman" w:hAnsi="Time New Roman"/>
        </w:rPr>
        <w:t>年鉴</w:t>
      </w:r>
      <w:r w:rsidRPr="009D48A5">
        <w:rPr>
          <w:rFonts w:ascii="Time New Roman" w:hAnsi="Time New Roman" w:hint="eastAsia"/>
        </w:rPr>
        <w:t>》</w:t>
      </w:r>
      <w:r>
        <w:rPr>
          <w:rFonts w:ascii="Time New Roman" w:eastAsia="楷体" w:hAnsi="Time New Roman" w:hint="eastAsia"/>
        </w:rPr>
        <w:t>，</w:t>
      </w:r>
      <w:r w:rsidRPr="009D48A5">
        <w:rPr>
          <w:rFonts w:ascii="Time New Roman" w:hAnsi="Time New Roman" w:hint="eastAsia"/>
        </w:rPr>
        <w:t>第二卷</w:t>
      </w:r>
      <w:r>
        <w:rPr>
          <w:rFonts w:hint="eastAsia"/>
        </w:rPr>
        <w:t>，</w:t>
      </w:r>
      <w:r w:rsidRPr="009D48A5">
        <w:t>A</w:t>
      </w:r>
      <w:r>
        <w:t>/</w:t>
      </w:r>
      <w:r w:rsidRPr="009D48A5">
        <w:t>1316</w:t>
      </w:r>
      <w:r w:rsidRPr="009D48A5">
        <w:rPr>
          <w:rFonts w:hint="eastAsia"/>
        </w:rPr>
        <w:t>号文件</w:t>
      </w:r>
      <w:r>
        <w:rPr>
          <w:rFonts w:hint="eastAsia"/>
        </w:rPr>
        <w:t>，</w:t>
      </w:r>
      <w:r w:rsidRPr="009D48A5">
        <w:rPr>
          <w:rFonts w:hint="eastAsia"/>
        </w:rPr>
        <w:t>第二编</w:t>
      </w:r>
      <w:r>
        <w:rPr>
          <w:rFonts w:hint="eastAsia"/>
        </w:rPr>
        <w:t>，</w:t>
      </w:r>
      <w:r w:rsidRPr="009D48A5">
        <w:rPr>
          <w:rFonts w:hint="eastAsia"/>
        </w:rPr>
        <w:t>第</w:t>
      </w:r>
      <w:r w:rsidRPr="009D48A5">
        <w:rPr>
          <w:rFonts w:hint="eastAsia"/>
        </w:rPr>
        <w:t>370</w:t>
      </w:r>
      <w:r w:rsidRPr="009D48A5">
        <w:rPr>
          <w:rFonts w:hint="eastAsia"/>
        </w:rPr>
        <w:t>页</w:t>
      </w:r>
      <w:r>
        <w:rPr>
          <w:rFonts w:hint="eastAsia"/>
        </w:rPr>
        <w:t>，</w:t>
      </w:r>
      <w:r w:rsidRPr="009D48A5">
        <w:rPr>
          <w:rFonts w:hint="eastAsia"/>
        </w:rPr>
        <w:t>第</w:t>
      </w:r>
      <w:r w:rsidRPr="009D48A5">
        <w:rPr>
          <w:rFonts w:hint="eastAsia"/>
        </w:rPr>
        <w:t>53</w:t>
      </w:r>
      <w:r w:rsidRPr="009D48A5">
        <w:rPr>
          <w:rFonts w:hint="eastAsia"/>
        </w:rPr>
        <w:t>段。</w:t>
      </w:r>
    </w:p>
  </w:footnote>
  <w:footnote w:id="351">
    <w:p w:rsidR="00AB00DE" w:rsidRPr="009D48A5" w:rsidRDefault="00AB00DE" w:rsidP="00267AB1">
      <w:pPr>
        <w:pStyle w:val="a4"/>
      </w:pPr>
      <w:r w:rsidRPr="009D48A5">
        <w:rPr>
          <w:snapToGrid/>
        </w:rPr>
        <w:tab/>
      </w:r>
      <w:r w:rsidRPr="00DF5565">
        <w:rPr>
          <w:snapToGrid/>
          <w:color w:val="0000FF"/>
          <w:sz w:val="21"/>
          <w:vertAlign w:val="superscript"/>
        </w:rPr>
        <w:footnoteRef/>
      </w:r>
      <w:r w:rsidRPr="009D48A5">
        <w:rPr>
          <w:snapToGrid/>
        </w:rPr>
        <w:tab/>
      </w:r>
      <w:r w:rsidRPr="009D48A5">
        <w:t>Paquete Habana</w:t>
      </w:r>
      <w:r w:rsidRPr="009D48A5">
        <w:rPr>
          <w:rFonts w:ascii="Time New Roman" w:eastAsia="楷体" w:hAnsi="Time New Roman"/>
        </w:rPr>
        <w:t>和</w:t>
      </w:r>
      <w:r w:rsidRPr="009D48A5">
        <w:rPr>
          <w:rFonts w:ascii="Time New Roman" w:eastAsia="楷体" w:hAnsi="Time New Roman"/>
        </w:rPr>
        <w:t>Lola</w:t>
      </w:r>
      <w:r w:rsidRPr="009D48A5">
        <w:rPr>
          <w:rFonts w:ascii="Time New Roman" w:eastAsia="楷体" w:hAnsi="Time New Roman"/>
        </w:rPr>
        <w:t>案</w:t>
      </w:r>
      <w:r>
        <w:rPr>
          <w:rFonts w:hint="eastAsia"/>
        </w:rPr>
        <w:t>，</w:t>
      </w:r>
      <w:r w:rsidRPr="009D48A5">
        <w:rPr>
          <w:rFonts w:hint="eastAsia"/>
        </w:rPr>
        <w:t>美国最高法院</w:t>
      </w:r>
      <w:r w:rsidRPr="009D48A5">
        <w:t>175 US 677</w:t>
      </w:r>
      <w:r>
        <w:t>(</w:t>
      </w:r>
      <w:r w:rsidRPr="009D48A5">
        <w:t>1900</w:t>
      </w:r>
      <w:r>
        <w:t>)</w:t>
      </w:r>
      <w:r>
        <w:rPr>
          <w:rFonts w:hint="eastAsia"/>
        </w:rPr>
        <w:t>，</w:t>
      </w:r>
      <w:r w:rsidRPr="009D48A5">
        <w:rPr>
          <w:rFonts w:hint="eastAsia"/>
        </w:rPr>
        <w:t>见第</w:t>
      </w:r>
      <w:r w:rsidRPr="009D48A5">
        <w:t>700</w:t>
      </w:r>
      <w:r w:rsidRPr="009D48A5">
        <w:rPr>
          <w:rFonts w:hint="eastAsia"/>
        </w:rPr>
        <w:t>页。另见“</w:t>
      </w:r>
      <w:r w:rsidRPr="009D48A5">
        <w:rPr>
          <w:rFonts w:ascii="Time New Roman" w:eastAsia="楷体" w:hAnsi="Time New Roman" w:hint="eastAsia"/>
        </w:rPr>
        <w:t>莲花号</w:t>
      </w:r>
      <w:r w:rsidRPr="009D48A5">
        <w:rPr>
          <w:rFonts w:hint="eastAsia"/>
        </w:rPr>
        <w:t>”</w:t>
      </w:r>
      <w:r w:rsidRPr="009D48A5">
        <w:rPr>
          <w:rFonts w:ascii="Time New Roman" w:eastAsia="楷体" w:hAnsi="Time New Roman" w:hint="eastAsia"/>
        </w:rPr>
        <w:t>案</w:t>
      </w:r>
      <w:r>
        <w:t>(</w:t>
      </w:r>
      <w:r w:rsidRPr="009D48A5">
        <w:rPr>
          <w:rFonts w:hint="eastAsia"/>
        </w:rPr>
        <w:t>上文脚注</w:t>
      </w:r>
      <w:r>
        <w:rPr>
          <w:szCs w:val="18"/>
        </w:rPr>
        <w:fldChar w:fldCharType="begin"/>
      </w:r>
      <w:r>
        <w:rPr>
          <w:szCs w:val="18"/>
        </w:rPr>
        <w:instrText xml:space="preserve"> </w:instrText>
      </w:r>
      <w:r>
        <w:rPr>
          <w:rFonts w:hint="eastAsia"/>
          <w:szCs w:val="18"/>
        </w:rPr>
        <w:instrText>NOTEREF _Ref461974739 \h</w:instrText>
      </w:r>
      <w:r>
        <w:rPr>
          <w:szCs w:val="18"/>
        </w:rPr>
        <w:instrText xml:space="preserve"> </w:instrText>
      </w:r>
      <w:r>
        <w:rPr>
          <w:szCs w:val="18"/>
        </w:rPr>
      </w:r>
      <w:r>
        <w:rPr>
          <w:szCs w:val="18"/>
        </w:rPr>
        <w:fldChar w:fldCharType="separate"/>
      </w:r>
      <w:r w:rsidR="00A73EB9">
        <w:rPr>
          <w:szCs w:val="18"/>
        </w:rPr>
        <w:t>250</w:t>
      </w:r>
      <w:r>
        <w:rPr>
          <w:szCs w:val="18"/>
        </w:rPr>
        <w:fldChar w:fldCharType="end"/>
      </w:r>
      <w:r>
        <w:t>)</w:t>
      </w:r>
      <w:r>
        <w:rPr>
          <w:rFonts w:hint="eastAsia"/>
        </w:rPr>
        <w:t>，</w:t>
      </w:r>
      <w:r w:rsidRPr="009D48A5">
        <w:rPr>
          <w:rFonts w:hint="eastAsia"/>
        </w:rPr>
        <w:t>第</w:t>
      </w:r>
      <w:r w:rsidRPr="009D48A5">
        <w:rPr>
          <w:rFonts w:hint="eastAsia"/>
        </w:rPr>
        <w:t>26</w:t>
      </w:r>
      <w:r w:rsidRPr="009D48A5">
        <w:rPr>
          <w:rFonts w:hint="eastAsia"/>
        </w:rPr>
        <w:t>和第</w:t>
      </w:r>
      <w:r w:rsidRPr="009D48A5">
        <w:rPr>
          <w:rFonts w:hint="eastAsia"/>
        </w:rPr>
        <w:t>31</w:t>
      </w:r>
      <w:r w:rsidRPr="009D48A5">
        <w:rPr>
          <w:rFonts w:hint="eastAsia"/>
        </w:rPr>
        <w:t>页。</w:t>
      </w:r>
    </w:p>
  </w:footnote>
  <w:footnote w:id="352">
    <w:p w:rsidR="00AB00DE" w:rsidRPr="009D48A5" w:rsidRDefault="00AB00DE" w:rsidP="00D522D8">
      <w:pPr>
        <w:pStyle w:val="a4"/>
      </w:pPr>
      <w:r w:rsidRPr="009D48A5">
        <w:rPr>
          <w:snapToGrid/>
        </w:rPr>
        <w:tab/>
      </w:r>
      <w:r w:rsidRPr="00DF5565">
        <w:rPr>
          <w:snapToGrid/>
          <w:color w:val="0000FF"/>
          <w:sz w:val="21"/>
          <w:vertAlign w:val="superscript"/>
        </w:rPr>
        <w:footnoteRef/>
      </w:r>
      <w:r w:rsidRPr="009D48A5">
        <w:rPr>
          <w:snapToGrid/>
        </w:rPr>
        <w:tab/>
      </w:r>
      <w:r w:rsidRPr="009D48A5">
        <w:rPr>
          <w:rFonts w:ascii="Time New Roman" w:eastAsia="楷体" w:hAnsi="Time New Roman" w:hint="eastAsia"/>
        </w:rPr>
        <w:t>北海大陆架案</w:t>
      </w:r>
      <w:r>
        <w:rPr>
          <w:rFonts w:hint="eastAsia"/>
        </w:rPr>
        <w:t>(</w:t>
      </w:r>
      <w:r w:rsidRPr="009D48A5">
        <w:rPr>
          <w:rFonts w:hint="eastAsia"/>
        </w:rPr>
        <w:t>见上文脚注</w:t>
      </w:r>
      <w:r>
        <w:fldChar w:fldCharType="begin"/>
      </w:r>
      <w:r>
        <w:instrText xml:space="preserve"> </w:instrText>
      </w:r>
      <w:r>
        <w:rPr>
          <w:rFonts w:hint="eastAsia"/>
        </w:rPr>
        <w:instrText>NOTEREF _Ref453666652 \h</w:instrText>
      </w:r>
      <w:r>
        <w:instrText xml:space="preserve"> </w:instrText>
      </w:r>
      <w:r>
        <w:fldChar w:fldCharType="separate"/>
      </w:r>
      <w:r w:rsidR="00A73EB9">
        <w:t>254</w:t>
      </w:r>
      <w:r>
        <w:fldChar w:fldCharType="end"/>
      </w:r>
      <w:r>
        <w:rPr>
          <w:rFonts w:hint="eastAsia"/>
        </w:rPr>
        <w:t>)</w:t>
      </w:r>
      <w:r>
        <w:rPr>
          <w:rFonts w:hint="eastAsia"/>
        </w:rPr>
        <w:t>，</w:t>
      </w:r>
      <w:r w:rsidRPr="009D48A5">
        <w:rPr>
          <w:rFonts w:hint="eastAsia"/>
        </w:rPr>
        <w:t>第</w:t>
      </w:r>
      <w:r w:rsidRPr="009D48A5">
        <w:t>38-39</w:t>
      </w:r>
      <w:r w:rsidRPr="009D48A5">
        <w:rPr>
          <w:rFonts w:hint="eastAsia"/>
        </w:rPr>
        <w:t>页</w:t>
      </w:r>
      <w:r>
        <w:rPr>
          <w:rFonts w:hint="eastAsia"/>
        </w:rPr>
        <w:t>，</w:t>
      </w:r>
      <w:r w:rsidRPr="009D48A5">
        <w:rPr>
          <w:rFonts w:hint="eastAsia"/>
        </w:rPr>
        <w:t>第</w:t>
      </w:r>
      <w:r w:rsidRPr="009D48A5">
        <w:rPr>
          <w:rFonts w:hint="eastAsia"/>
        </w:rPr>
        <w:t>63</w:t>
      </w:r>
      <w:r w:rsidRPr="009D48A5">
        <w:rPr>
          <w:rFonts w:hint="eastAsia"/>
        </w:rPr>
        <w:t>段。这对于“一般”习惯国际法成立</w:t>
      </w:r>
      <w:r>
        <w:rPr>
          <w:rFonts w:hint="eastAsia"/>
        </w:rPr>
        <w:t>，</w:t>
      </w:r>
      <w:r w:rsidRPr="009D48A5">
        <w:rPr>
          <w:rFonts w:hint="eastAsia"/>
        </w:rPr>
        <w:t>与“特别”习惯国际法</w:t>
      </w:r>
      <w:r>
        <w:rPr>
          <w:rFonts w:hint="eastAsia"/>
        </w:rPr>
        <w:t>相对</w:t>
      </w:r>
      <w:r>
        <w:rPr>
          <w:rFonts w:hint="eastAsia"/>
        </w:rPr>
        <w:t>(</w:t>
      </w:r>
      <w:r w:rsidRPr="009D48A5">
        <w:rPr>
          <w:rFonts w:hint="eastAsia"/>
        </w:rPr>
        <w:t>见下文结论草案</w:t>
      </w:r>
      <w:bookmarkStart w:id="84" w:name="DC14"/>
      <w:bookmarkEnd w:id="84"/>
      <w:r>
        <w:fldChar w:fldCharType="begin"/>
      </w:r>
      <w:r>
        <w:instrText xml:space="preserve"> </w:instrText>
      </w:r>
      <w:r>
        <w:rPr>
          <w:rFonts w:hint="eastAsia"/>
        </w:rPr>
        <w:instrText>REF DC16 \h</w:instrText>
      </w:r>
      <w:r>
        <w:instrText xml:space="preserve"> </w:instrText>
      </w:r>
      <w:r>
        <w:fldChar w:fldCharType="end"/>
      </w:r>
      <w:r>
        <w:fldChar w:fldCharType="begin"/>
      </w:r>
      <w:r>
        <w:instrText xml:space="preserve"> REF DC16 </w:instrText>
      </w:r>
      <w:r>
        <w:fldChar w:fldCharType="end"/>
      </w:r>
      <w:r>
        <w:fldChar w:fldCharType="begin"/>
      </w:r>
      <w:r>
        <w:instrText xml:space="preserve"> </w:instrText>
      </w:r>
      <w:r>
        <w:rPr>
          <w:rFonts w:hint="eastAsia"/>
        </w:rPr>
        <w:instrText>REF DC16 \h</w:instrText>
      </w:r>
      <w:r>
        <w:instrText xml:space="preserve"> </w:instrText>
      </w:r>
      <w:r>
        <w:fldChar w:fldCharType="end"/>
      </w:r>
      <w:r>
        <w:fldChar w:fldCharType="begin"/>
      </w:r>
      <w:r>
        <w:instrText xml:space="preserve"> </w:instrText>
      </w:r>
      <w:r>
        <w:rPr>
          <w:rFonts w:hint="eastAsia"/>
        </w:rPr>
        <w:instrText>REF DC16 \h</w:instrText>
      </w:r>
      <w:r>
        <w:instrText xml:space="preserve"> </w:instrText>
      </w:r>
      <w:r>
        <w:fldChar w:fldCharType="end"/>
      </w:r>
      <w:r w:rsidRPr="009D48A5">
        <w:rPr>
          <w:rFonts w:hint="eastAsia"/>
        </w:rPr>
        <w:t>16</w:t>
      </w:r>
      <w:r>
        <w:t>)</w:t>
      </w:r>
      <w:r w:rsidRPr="009D48A5">
        <w:rPr>
          <w:rFonts w:hint="eastAsia"/>
        </w:rPr>
        <w:t>。</w:t>
      </w:r>
    </w:p>
  </w:footnote>
  <w:footnote w:id="353">
    <w:p w:rsidR="00AB00DE" w:rsidRPr="009D48A5" w:rsidRDefault="00AB00DE" w:rsidP="00807B36">
      <w:pPr>
        <w:pStyle w:val="a4"/>
      </w:pPr>
      <w:r w:rsidRPr="009D48A5">
        <w:rPr>
          <w:snapToGrid/>
        </w:rPr>
        <w:tab/>
      </w:r>
      <w:r w:rsidRPr="00DF5565">
        <w:rPr>
          <w:snapToGrid/>
          <w:color w:val="0000FF"/>
          <w:sz w:val="21"/>
          <w:vertAlign w:val="superscript"/>
        </w:rPr>
        <w:footnoteRef/>
      </w:r>
      <w:r w:rsidRPr="009D48A5">
        <w:rPr>
          <w:snapToGrid/>
        </w:rPr>
        <w:tab/>
      </w:r>
      <w:r w:rsidRPr="009D48A5">
        <w:rPr>
          <w:rFonts w:hint="eastAsia"/>
        </w:rPr>
        <w:t>例如</w:t>
      </w:r>
      <w:r>
        <w:rPr>
          <w:rFonts w:hint="eastAsia"/>
        </w:rPr>
        <w:t>，</w:t>
      </w:r>
      <w:r w:rsidRPr="009D48A5">
        <w:rPr>
          <w:rFonts w:hint="eastAsia"/>
        </w:rPr>
        <w:t>见德国</w:t>
      </w:r>
      <w:r w:rsidRPr="009D48A5">
        <w:t>联邦宪法法院</w:t>
      </w:r>
      <w:r w:rsidRPr="009D48A5">
        <w:rPr>
          <w:rFonts w:hint="eastAsia"/>
        </w:rPr>
        <w:t>的判决</w:t>
      </w:r>
      <w:r>
        <w:rPr>
          <w:rFonts w:hint="eastAsia"/>
        </w:rPr>
        <w:t>，</w:t>
      </w:r>
      <w:r w:rsidRPr="009D48A5">
        <w:rPr>
          <w:rFonts w:hint="eastAsia"/>
        </w:rPr>
        <w:t>第</w:t>
      </w:r>
      <w:r w:rsidRPr="009D48A5">
        <w:t>46</w:t>
      </w:r>
      <w:r w:rsidRPr="009D48A5">
        <w:rPr>
          <w:rFonts w:hint="eastAsia"/>
        </w:rPr>
        <w:t>卷</w:t>
      </w:r>
      <w:r>
        <w:t>(</w:t>
      </w:r>
      <w:r w:rsidRPr="009D48A5">
        <w:t>1978</w:t>
      </w:r>
      <w:r w:rsidRPr="009D48A5">
        <w:rPr>
          <w:rFonts w:hint="eastAsia"/>
        </w:rPr>
        <w:t>年</w:t>
      </w:r>
      <w:r>
        <w:t>)</w:t>
      </w:r>
      <w:r>
        <w:t>，</w:t>
      </w:r>
      <w:r w:rsidRPr="009D48A5">
        <w:rPr>
          <w:rFonts w:hint="eastAsia"/>
        </w:rPr>
        <w:t>1977</w:t>
      </w:r>
      <w:r w:rsidRPr="009D48A5">
        <w:rPr>
          <w:rFonts w:hint="eastAsia"/>
        </w:rPr>
        <w:t>年</w:t>
      </w:r>
      <w:r w:rsidRPr="009D48A5">
        <w:rPr>
          <w:rFonts w:hint="eastAsia"/>
        </w:rPr>
        <w:t>12</w:t>
      </w:r>
      <w:r w:rsidRPr="009D48A5">
        <w:rPr>
          <w:rFonts w:hint="eastAsia"/>
        </w:rPr>
        <w:t>月</w:t>
      </w:r>
      <w:r w:rsidRPr="009D48A5">
        <w:rPr>
          <w:rFonts w:hint="eastAsia"/>
        </w:rPr>
        <w:t>13</w:t>
      </w:r>
      <w:r w:rsidRPr="009D48A5">
        <w:rPr>
          <w:rFonts w:hint="eastAsia"/>
        </w:rPr>
        <w:t>日的判决</w:t>
      </w:r>
      <w:r>
        <w:t>，</w:t>
      </w:r>
      <w:r w:rsidRPr="009D48A5">
        <w:t>2 BvM 1</w:t>
      </w:r>
      <w:r>
        <w:t>/</w:t>
      </w:r>
      <w:r w:rsidRPr="009D48A5">
        <w:t>7</w:t>
      </w:r>
      <w:r>
        <w:t>6,</w:t>
      </w:r>
      <w:r w:rsidRPr="009D48A5">
        <w:t xml:space="preserve"> No. 3</w:t>
      </w:r>
      <w:r>
        <w:t>2,</w:t>
      </w:r>
      <w:r w:rsidRPr="009D48A5">
        <w:t xml:space="preserve"> </w:t>
      </w:r>
      <w:r w:rsidRPr="009D48A5">
        <w:rPr>
          <w:rFonts w:hint="eastAsia"/>
        </w:rPr>
        <w:t>第</w:t>
      </w:r>
      <w:r w:rsidRPr="009D48A5">
        <w:t>342-404</w:t>
      </w:r>
      <w:r w:rsidRPr="009D48A5">
        <w:rPr>
          <w:rFonts w:hint="eastAsia"/>
        </w:rPr>
        <w:t>页</w:t>
      </w:r>
      <w:r>
        <w:rPr>
          <w:rFonts w:hint="eastAsia"/>
        </w:rPr>
        <w:t>，</w:t>
      </w:r>
      <w:r w:rsidRPr="009D48A5">
        <w:rPr>
          <w:rFonts w:hint="eastAsia"/>
        </w:rPr>
        <w:t>见</w:t>
      </w:r>
      <w:r w:rsidRPr="009D48A5">
        <w:t>388-389</w:t>
      </w:r>
      <w:r w:rsidRPr="009D48A5">
        <w:rPr>
          <w:rFonts w:hint="eastAsia"/>
        </w:rPr>
        <w:t>页</w:t>
      </w:r>
      <w:r>
        <w:rPr>
          <w:rFonts w:hint="eastAsia"/>
        </w:rPr>
        <w:t>，</w:t>
      </w:r>
      <w:r w:rsidRPr="009D48A5">
        <w:rPr>
          <w:rFonts w:hint="eastAsia"/>
        </w:rPr>
        <w:t>第</w:t>
      </w:r>
      <w:r w:rsidRPr="009D48A5">
        <w:t>6</w:t>
      </w:r>
      <w:r w:rsidRPr="009D48A5">
        <w:rPr>
          <w:rFonts w:hint="eastAsia"/>
        </w:rPr>
        <w:t>段</w:t>
      </w:r>
      <w:r>
        <w:rPr>
          <w:rFonts w:hint="eastAsia"/>
        </w:rPr>
        <w:t>(</w:t>
      </w:r>
      <w:r w:rsidRPr="009D48A5">
        <w:rPr>
          <w:rFonts w:hint="eastAsia"/>
        </w:rPr>
        <w:t>“这不只是说一国可采取行动</w:t>
      </w:r>
      <w:r>
        <w:rPr>
          <w:rFonts w:hint="eastAsia"/>
        </w:rPr>
        <w:t>，</w:t>
      </w:r>
      <w:r w:rsidRPr="009D48A5">
        <w:rPr>
          <w:rFonts w:hint="eastAsia"/>
        </w:rPr>
        <w:t>从一开始就坚持主张权利</w:t>
      </w:r>
      <w:r>
        <w:rPr>
          <w:rFonts w:hint="eastAsia"/>
        </w:rPr>
        <w:t>，</w:t>
      </w:r>
      <w:r w:rsidRPr="009D48A5">
        <w:rPr>
          <w:rFonts w:hint="eastAsia"/>
        </w:rPr>
        <w:t>从而成功地坚持对一条国际法现有规则的适用表示反对</w:t>
      </w:r>
      <w:r>
        <w:t>(</w:t>
      </w:r>
      <w:r w:rsidRPr="009D48A5">
        <w:t>就国际法院在挪威</w:t>
      </w:r>
      <w:r w:rsidRPr="009D48A5">
        <w:rPr>
          <w:rFonts w:ascii="Time New Roman" w:eastAsia="楷体" w:hAnsi="Time New Roman"/>
        </w:rPr>
        <w:t>渔业案</w:t>
      </w:r>
      <w:r>
        <w:t>(</w:t>
      </w:r>
      <w:r w:rsidRPr="009D48A5">
        <w:t>见上文脚注</w:t>
      </w:r>
      <w:fldSimple w:instr=" NOTEREF _Ref461897013 ">
        <w:r w:rsidR="00A73EB9">
          <w:t>289</w:t>
        </w:r>
      </w:fldSimple>
      <w:r>
        <w:rPr>
          <w:rFonts w:hint="eastAsia"/>
        </w:rPr>
        <w:t xml:space="preserve">, </w:t>
      </w:r>
      <w:r w:rsidRPr="009D48A5">
        <w:t>第</w:t>
      </w:r>
      <w:r w:rsidRPr="009D48A5">
        <w:rPr>
          <w:rFonts w:hint="eastAsia"/>
        </w:rPr>
        <w:t>131</w:t>
      </w:r>
      <w:r w:rsidRPr="009D48A5">
        <w:rPr>
          <w:rFonts w:hint="eastAsia"/>
        </w:rPr>
        <w:t>页</w:t>
      </w:r>
      <w:r>
        <w:rPr>
          <w:rFonts w:hint="eastAsia"/>
        </w:rPr>
        <w:t>)</w:t>
      </w:r>
      <w:r w:rsidRPr="009D48A5">
        <w:rPr>
          <w:rFonts w:hint="eastAsia"/>
        </w:rPr>
        <w:t>中的判决而言</w:t>
      </w:r>
      <w:r>
        <w:t>)</w:t>
      </w:r>
      <w:r>
        <w:rPr>
          <w:rFonts w:hint="eastAsia"/>
        </w:rPr>
        <w:t>；</w:t>
      </w:r>
      <w:r w:rsidRPr="009D48A5">
        <w:rPr>
          <w:rFonts w:hint="eastAsia"/>
        </w:rPr>
        <w:t>而是说</w:t>
      </w:r>
      <w:r>
        <w:rPr>
          <w:rFonts w:hint="eastAsia"/>
        </w:rPr>
        <w:t>，</w:t>
      </w:r>
      <w:r w:rsidRPr="009D48A5">
        <w:rPr>
          <w:rFonts w:hint="eastAsia"/>
        </w:rPr>
        <w:t>目前不能假定存在一条对应的国际法一般规则”</w:t>
      </w:r>
      <w:r>
        <w:rPr>
          <w:rFonts w:hint="eastAsia"/>
        </w:rPr>
        <w:t>)</w:t>
      </w:r>
      <w:r w:rsidRPr="009D48A5">
        <w:rPr>
          <w:rFonts w:hint="eastAsia"/>
        </w:rPr>
        <w:t>。</w:t>
      </w:r>
    </w:p>
  </w:footnote>
  <w:footnote w:id="354">
    <w:p w:rsidR="00AB00DE" w:rsidRPr="009D48A5" w:rsidRDefault="00AB00DE" w:rsidP="008D7906">
      <w:pPr>
        <w:pStyle w:val="a4"/>
      </w:pPr>
      <w:r w:rsidRPr="009D48A5">
        <w:rPr>
          <w:snapToGrid/>
        </w:rPr>
        <w:tab/>
      </w:r>
      <w:r w:rsidRPr="00DF5565">
        <w:rPr>
          <w:snapToGrid/>
          <w:color w:val="0000FF"/>
          <w:sz w:val="21"/>
          <w:vertAlign w:val="superscript"/>
        </w:rPr>
        <w:footnoteRef/>
      </w:r>
      <w:r w:rsidRPr="009D48A5">
        <w:rPr>
          <w:snapToGrid/>
        </w:rPr>
        <w:tab/>
      </w:r>
      <w:r w:rsidRPr="009D48A5">
        <w:rPr>
          <w:rFonts w:hint="eastAsia"/>
        </w:rPr>
        <w:t>在这一过程中</w:t>
      </w:r>
      <w:r>
        <w:rPr>
          <w:rFonts w:hint="eastAsia"/>
        </w:rPr>
        <w:t>，</w:t>
      </w:r>
      <w:r w:rsidRPr="009D48A5">
        <w:rPr>
          <w:rFonts w:hint="eastAsia"/>
        </w:rPr>
        <w:t>而且作为一揽子海洋法的一部分</w:t>
      </w:r>
      <w:r>
        <w:rPr>
          <w:rFonts w:hint="eastAsia"/>
        </w:rPr>
        <w:t>，</w:t>
      </w:r>
      <w:r w:rsidRPr="009D48A5">
        <w:rPr>
          <w:rFonts w:hint="eastAsia"/>
        </w:rPr>
        <w:t>国家实际上没有维持其反对立场。虽然要长期地有效保持一贯反对者地位有时证明是很难的</w:t>
      </w:r>
      <w:r>
        <w:rPr>
          <w:rFonts w:hint="eastAsia"/>
        </w:rPr>
        <w:t>，</w:t>
      </w:r>
      <w:r w:rsidRPr="009D48A5">
        <w:rPr>
          <w:rFonts w:hint="eastAsia"/>
        </w:rPr>
        <w:t>但这不会对这项规则的存在提出疑问。</w:t>
      </w:r>
    </w:p>
  </w:footnote>
  <w:footnote w:id="355">
    <w:p w:rsidR="00AB00DE" w:rsidRPr="009D48A5" w:rsidRDefault="00AB00DE" w:rsidP="00E83B81">
      <w:pPr>
        <w:pStyle w:val="a4"/>
      </w:pPr>
      <w:r w:rsidRPr="009D48A5">
        <w:rPr>
          <w:snapToGrid/>
        </w:rPr>
        <w:tab/>
      </w:r>
      <w:r w:rsidRPr="00DF5565">
        <w:rPr>
          <w:snapToGrid/>
          <w:color w:val="0000FF"/>
          <w:sz w:val="21"/>
          <w:vertAlign w:val="superscript"/>
        </w:rPr>
        <w:footnoteRef/>
      </w:r>
      <w:r w:rsidRPr="009D48A5">
        <w:rPr>
          <w:snapToGrid/>
        </w:rPr>
        <w:tab/>
      </w:r>
      <w:r w:rsidRPr="009D48A5">
        <w:rPr>
          <w:rFonts w:hint="eastAsia"/>
        </w:rPr>
        <w:t>例见</w:t>
      </w:r>
      <w:r w:rsidRPr="009D48A5">
        <w:rPr>
          <w:rFonts w:ascii="Time New Roman" w:eastAsia="楷体" w:hAnsi="Time New Roman"/>
        </w:rPr>
        <w:t>渔业案</w:t>
      </w:r>
      <w:r>
        <w:t>(</w:t>
      </w:r>
      <w:r w:rsidRPr="009D48A5">
        <w:rPr>
          <w:rFonts w:hint="eastAsia"/>
        </w:rPr>
        <w:t>上文</w:t>
      </w:r>
      <w:r w:rsidRPr="009D48A5">
        <w:t>脚注</w:t>
      </w:r>
      <w:r>
        <w:fldChar w:fldCharType="begin"/>
      </w:r>
      <w:r>
        <w:instrText xml:space="preserve"> NOTEREF _Ref461897013 \h </w:instrText>
      </w:r>
      <w:r>
        <w:fldChar w:fldCharType="separate"/>
      </w:r>
      <w:r w:rsidR="00A73EB9">
        <w:t>289</w:t>
      </w:r>
      <w:r>
        <w:fldChar w:fldCharType="end"/>
      </w:r>
      <w:r w:rsidRPr="00646EDC">
        <w:t>)</w:t>
      </w:r>
      <w:r w:rsidRPr="00646EDC">
        <w:rPr>
          <w:rFonts w:hint="eastAsia"/>
        </w:rPr>
        <w:t>，见第</w:t>
      </w:r>
      <w:r w:rsidRPr="00646EDC">
        <w:t>131</w:t>
      </w:r>
      <w:r w:rsidRPr="00646EDC">
        <w:rPr>
          <w:rFonts w:hint="eastAsia"/>
        </w:rPr>
        <w:t>页；</w:t>
      </w:r>
      <w:r w:rsidRPr="00646EDC">
        <w:rPr>
          <w:i/>
          <w:iCs/>
        </w:rPr>
        <w:t>Michael Domingues v.United States,</w:t>
      </w:r>
      <w:r w:rsidRPr="00646EDC">
        <w:t xml:space="preserve"> Case No. 12.285 (2002)</w:t>
      </w:r>
      <w:r w:rsidRPr="00646EDC">
        <w:rPr>
          <w:rFonts w:hint="eastAsia"/>
        </w:rPr>
        <w:t>，美洲人权委员会报告，第</w:t>
      </w:r>
      <w:r w:rsidRPr="00646EDC">
        <w:t>62/02</w:t>
      </w:r>
      <w:r w:rsidRPr="00646EDC">
        <w:rPr>
          <w:rFonts w:hint="eastAsia"/>
        </w:rPr>
        <w:t>号第</w:t>
      </w:r>
      <w:r w:rsidRPr="00646EDC">
        <w:t>48</w:t>
      </w:r>
      <w:r w:rsidRPr="00646EDC">
        <w:rPr>
          <w:rFonts w:hint="eastAsia"/>
        </w:rPr>
        <w:t>和</w:t>
      </w:r>
      <w:r w:rsidRPr="00646EDC">
        <w:t>49</w:t>
      </w:r>
      <w:r w:rsidRPr="00646EDC">
        <w:rPr>
          <w:rFonts w:hint="eastAsia"/>
        </w:rPr>
        <w:t>段；</w:t>
      </w:r>
      <w:r w:rsidRPr="00646EDC">
        <w:rPr>
          <w:i/>
          <w:iCs/>
        </w:rPr>
        <w:t>Sabeh El Leil v. France</w:t>
      </w:r>
      <w:r w:rsidRPr="00646EDC">
        <w:t xml:space="preserve"> [GC]</w:t>
      </w:r>
      <w:r w:rsidRPr="00646EDC">
        <w:rPr>
          <w:rFonts w:hint="eastAsia"/>
        </w:rPr>
        <w:t>，</w:t>
      </w:r>
      <w:r w:rsidRPr="00646EDC">
        <w:t xml:space="preserve">no. 34869/05, </w:t>
      </w:r>
      <w:r w:rsidRPr="00646EDC">
        <w:rPr>
          <w:rFonts w:hint="eastAsia"/>
        </w:rPr>
        <w:t>欧洲</w:t>
      </w:r>
      <w:r w:rsidRPr="00646EDC">
        <w:t xml:space="preserve"> </w:t>
      </w:r>
      <w:r w:rsidRPr="00646EDC">
        <w:rPr>
          <w:rFonts w:hint="eastAsia"/>
        </w:rPr>
        <w:t>人权法院，</w:t>
      </w:r>
      <w:r w:rsidRPr="00646EDC">
        <w:t>2011</w:t>
      </w:r>
      <w:r w:rsidRPr="00646EDC">
        <w:rPr>
          <w:rFonts w:hint="eastAsia"/>
        </w:rPr>
        <w:t>年</w:t>
      </w:r>
      <w:r w:rsidRPr="00646EDC">
        <w:t>6</w:t>
      </w:r>
      <w:r w:rsidRPr="00646EDC">
        <w:rPr>
          <w:rFonts w:hint="eastAsia"/>
        </w:rPr>
        <w:t>月</w:t>
      </w:r>
      <w:r w:rsidRPr="00646EDC">
        <w:t>29</w:t>
      </w:r>
      <w:r w:rsidRPr="00646EDC">
        <w:rPr>
          <w:rFonts w:hint="eastAsia"/>
        </w:rPr>
        <w:t>日，第</w:t>
      </w:r>
      <w:r w:rsidRPr="00646EDC">
        <w:t>54</w:t>
      </w:r>
      <w:r w:rsidRPr="00646EDC">
        <w:rPr>
          <w:rFonts w:hint="eastAsia"/>
        </w:rPr>
        <w:t>段；</w:t>
      </w:r>
      <w:r w:rsidRPr="00646EDC">
        <w:t>.</w:t>
      </w:r>
      <w:r>
        <w:rPr>
          <w:rFonts w:hint="eastAsia"/>
        </w:rPr>
        <w:t>,</w:t>
      </w:r>
      <w:r w:rsidRPr="009D48A5">
        <w:t>世贸组织小组报告</w:t>
      </w:r>
      <w:r>
        <w:rPr>
          <w:rFonts w:hint="eastAsia"/>
        </w:rPr>
        <w:t>，</w:t>
      </w:r>
      <w:r w:rsidRPr="009D48A5">
        <w:rPr>
          <w:rFonts w:hint="eastAsia"/>
        </w:rPr>
        <w:t>“欧洲共同体</w:t>
      </w:r>
      <w:r w:rsidRPr="00E83B81">
        <w:rPr>
          <w:rFonts w:ascii="Time New Roman" w:hAnsi="Time New Roman" w:hint="eastAsia"/>
          <w:spacing w:val="-50"/>
        </w:rPr>
        <w:t>―</w:t>
      </w:r>
      <w:r w:rsidRPr="00E83B81">
        <w:rPr>
          <w:rFonts w:ascii="Time New Roman" w:hAnsi="Time New Roman" w:hint="eastAsia"/>
        </w:rPr>
        <w:t>―</w:t>
      </w:r>
      <w:r w:rsidRPr="009D48A5">
        <w:rPr>
          <w:rFonts w:hint="eastAsia"/>
        </w:rPr>
        <w:t>影响生物技术产品批准和营销的措施”</w:t>
      </w:r>
      <w:r>
        <w:rPr>
          <w:rFonts w:hint="eastAsia"/>
        </w:rPr>
        <w:t>，</w:t>
      </w:r>
      <w:r w:rsidRPr="00646EDC">
        <w:t>WT/DS291/R, WT/DS292/R</w:t>
      </w:r>
      <w:r w:rsidRPr="00646EDC">
        <w:rPr>
          <w:rFonts w:hint="eastAsia"/>
        </w:rPr>
        <w:t>和</w:t>
      </w:r>
      <w:r w:rsidRPr="00646EDC">
        <w:t>WT/DS293/R, 2006</w:t>
      </w:r>
      <w:r w:rsidRPr="00646EDC">
        <w:rPr>
          <w:rFonts w:hint="eastAsia"/>
        </w:rPr>
        <w:t>年</w:t>
      </w:r>
      <w:r w:rsidRPr="00646EDC">
        <w:t>11</w:t>
      </w:r>
      <w:r w:rsidRPr="00646EDC">
        <w:rPr>
          <w:rFonts w:hint="eastAsia"/>
        </w:rPr>
        <w:t>月</w:t>
      </w:r>
      <w:r w:rsidRPr="00646EDC">
        <w:t>21</w:t>
      </w:r>
      <w:r w:rsidRPr="00646EDC">
        <w:rPr>
          <w:rFonts w:hint="eastAsia"/>
        </w:rPr>
        <w:t>日通过，见第</w:t>
      </w:r>
      <w:r w:rsidRPr="00646EDC">
        <w:t>335</w:t>
      </w:r>
      <w:r w:rsidRPr="00646EDC">
        <w:rPr>
          <w:rFonts w:hint="eastAsia"/>
        </w:rPr>
        <w:t>页，脚注</w:t>
      </w:r>
      <w:r w:rsidRPr="00646EDC">
        <w:t>248</w:t>
      </w:r>
      <w:r w:rsidRPr="00646EDC">
        <w:rPr>
          <w:rFonts w:hint="eastAsia"/>
        </w:rPr>
        <w:t>；</w:t>
      </w:r>
      <w:r w:rsidRPr="00646EDC">
        <w:rPr>
          <w:i/>
          <w:iCs/>
        </w:rPr>
        <w:t>Siderman de Blake v. Republic of Argentina</w:t>
      </w:r>
      <w:r w:rsidRPr="00646EDC">
        <w:t>, United States Court of Appeals for the Ninth Circuit, 965 F.2d 699</w:t>
      </w:r>
      <w:r>
        <w:rPr>
          <w:rFonts w:hint="eastAsia"/>
        </w:rPr>
        <w:t xml:space="preserve">; </w:t>
      </w:r>
      <w:r w:rsidRPr="00646EDC">
        <w:t>1992 U.S. App.</w:t>
      </w:r>
      <w:r>
        <w:rPr>
          <w:rFonts w:hint="eastAsia"/>
        </w:rPr>
        <w:t xml:space="preserve">, </w:t>
      </w:r>
      <w:r>
        <w:t>at p. 715, para. 54</w:t>
      </w:r>
      <w:r w:rsidRPr="009D48A5">
        <w:rPr>
          <w:rFonts w:hint="eastAsia"/>
        </w:rPr>
        <w:t>。</w:t>
      </w:r>
    </w:p>
  </w:footnote>
  <w:footnote w:id="356">
    <w:p w:rsidR="00AB00DE" w:rsidRPr="009D48A5" w:rsidRDefault="00AB00DE" w:rsidP="008D7906">
      <w:pPr>
        <w:pStyle w:val="a4"/>
      </w:pPr>
      <w:r w:rsidRPr="009D48A5">
        <w:rPr>
          <w:snapToGrid/>
        </w:rPr>
        <w:tab/>
      </w:r>
      <w:r w:rsidRPr="00DF5565">
        <w:rPr>
          <w:snapToGrid/>
          <w:color w:val="0000FF"/>
          <w:sz w:val="21"/>
          <w:vertAlign w:val="superscript"/>
        </w:rPr>
        <w:footnoteRef/>
      </w:r>
      <w:r w:rsidRPr="009D48A5">
        <w:rPr>
          <w:snapToGrid/>
        </w:rPr>
        <w:tab/>
      </w:r>
      <w:r w:rsidRPr="009D48A5">
        <w:t>例见土耳其于</w:t>
      </w:r>
      <w:r w:rsidRPr="009D48A5">
        <w:rPr>
          <w:rFonts w:hint="eastAsia"/>
        </w:rPr>
        <w:t>1982</w:t>
      </w:r>
      <w:r w:rsidRPr="009D48A5">
        <w:rPr>
          <w:rFonts w:hint="eastAsia"/>
        </w:rPr>
        <w:t>年</w:t>
      </w:r>
      <w:r w:rsidRPr="009D48A5">
        <w:t>在第三次联合国海洋法会议上的发言</w:t>
      </w:r>
      <w:r>
        <w:rPr>
          <w:rFonts w:hint="eastAsia"/>
        </w:rPr>
        <w:t>，</w:t>
      </w:r>
      <w:r w:rsidRPr="009D48A5">
        <w:t>第</w:t>
      </w:r>
      <w:r w:rsidRPr="009D48A5">
        <w:t>A</w:t>
      </w:r>
      <w:r>
        <w:t>/</w:t>
      </w:r>
      <w:r w:rsidRPr="009D48A5">
        <w:t>CONF.62</w:t>
      </w:r>
      <w:r>
        <w:t>/</w:t>
      </w:r>
      <w:r w:rsidRPr="009D48A5">
        <w:t>SR.189</w:t>
      </w:r>
      <w:r w:rsidRPr="009D48A5">
        <w:t>号文件</w:t>
      </w:r>
      <w:r>
        <w:rPr>
          <w:rFonts w:hint="eastAsia"/>
        </w:rPr>
        <w:t>，</w:t>
      </w:r>
      <w:r w:rsidRPr="009D48A5">
        <w:t>第</w:t>
      </w:r>
      <w:r w:rsidRPr="009D48A5">
        <w:t>76</w:t>
      </w:r>
      <w:r w:rsidRPr="009D48A5">
        <w:t>页</w:t>
      </w:r>
      <w:r>
        <w:rPr>
          <w:rFonts w:hint="eastAsia"/>
        </w:rPr>
        <w:t>，</w:t>
      </w:r>
      <w:r w:rsidRPr="009D48A5">
        <w:t>第</w:t>
      </w:r>
      <w:r w:rsidRPr="009D48A5">
        <w:t>150</w:t>
      </w:r>
      <w:r w:rsidRPr="009D48A5">
        <w:t>段</w:t>
      </w:r>
      <w:r>
        <w:rPr>
          <w:rFonts w:hint="eastAsia"/>
        </w:rPr>
        <w:t>(</w:t>
      </w:r>
      <w:r w:rsidRPr="009D48A5">
        <w:rPr>
          <w:rFonts w:hint="eastAsia"/>
        </w:rPr>
        <w:t>可</w:t>
      </w:r>
      <w:r w:rsidRPr="009D48A5">
        <w:t>访问</w:t>
      </w:r>
      <w:hyperlink r:id="rId35" w:history="1">
        <w:r w:rsidRPr="009D48A5">
          <w:t>http</w:t>
        </w:r>
        <w:r>
          <w:t>://</w:t>
        </w:r>
        <w:r w:rsidRPr="009D48A5">
          <w:t>legal.un.org</w:t>
        </w:r>
        <w:r>
          <w:t>/</w:t>
        </w:r>
        <w:r w:rsidRPr="009D48A5">
          <w:t>diplomaticconferences</w:t>
        </w:r>
        <w:r>
          <w:t>/</w:t>
        </w:r>
        <w:r w:rsidRPr="009D48A5">
          <w:t>lawofthesea-1982</w:t>
        </w:r>
        <w:r>
          <w:t>/</w:t>
        </w:r>
        <w:r w:rsidRPr="009D48A5">
          <w:t>Vol1</w:t>
        </w:r>
        <w:r>
          <w:t>7.</w:t>
        </w:r>
        <w:r w:rsidRPr="009D48A5">
          <w:t>html</w:t>
        </w:r>
      </w:hyperlink>
      <w:r>
        <w:t>)</w:t>
      </w:r>
      <w:r>
        <w:rPr>
          <w:rFonts w:hint="eastAsia"/>
        </w:rPr>
        <w:t>；</w:t>
      </w:r>
      <w:r w:rsidRPr="009D48A5">
        <w:t>United States</w:t>
      </w:r>
      <w:r w:rsidRPr="009D48A5">
        <w:rPr>
          <w:rFonts w:hint="eastAsia"/>
        </w:rPr>
        <w:t xml:space="preserve"> </w:t>
      </w:r>
      <w:r w:rsidRPr="009D48A5">
        <w:t>Department of Defens</w:t>
      </w:r>
      <w:r>
        <w:t xml:space="preserve">e, </w:t>
      </w:r>
      <w:r w:rsidRPr="009D48A5">
        <w:rPr>
          <w:i/>
          <w:iCs/>
        </w:rPr>
        <w:t>Law of War Manua</w:t>
      </w:r>
      <w:r>
        <w:rPr>
          <w:i/>
          <w:iCs/>
        </w:rPr>
        <w:t xml:space="preserve">l, </w:t>
      </w:r>
      <w:r w:rsidRPr="009D48A5">
        <w:t>Office of General Counse</w:t>
      </w:r>
      <w:r>
        <w:t xml:space="preserve">l, </w:t>
      </w:r>
      <w:r w:rsidRPr="009D48A5">
        <w:t>Washington D.C.</w:t>
      </w:r>
      <w:r>
        <w:t>，</w:t>
      </w:r>
      <w:r w:rsidRPr="009D48A5">
        <w:t>June 201</w:t>
      </w:r>
      <w:r>
        <w:t>5,</w:t>
      </w:r>
      <w:r w:rsidRPr="009D48A5">
        <w:t xml:space="preserve"> at pp. 29-3</w:t>
      </w:r>
      <w:r>
        <w:t>4,</w:t>
      </w:r>
      <w:r w:rsidRPr="009D48A5">
        <w:t xml:space="preserve"> sect. </w:t>
      </w:r>
      <w:r>
        <w:t>1.</w:t>
      </w:r>
      <w:r w:rsidRPr="009D48A5">
        <w:t>8</w:t>
      </w:r>
      <w:r>
        <w:t>(</w:t>
      </w:r>
      <w:r w:rsidRPr="009D48A5">
        <w:t>Customary international law</w:t>
      </w:r>
      <w:r>
        <w:t>)</w:t>
      </w:r>
      <w:r>
        <w:rPr>
          <w:rFonts w:hint="eastAsia"/>
        </w:rPr>
        <w:t>，</w:t>
      </w:r>
      <w:r w:rsidRPr="009D48A5">
        <w:t>尤其参见</w:t>
      </w:r>
      <w:r w:rsidRPr="009D48A5">
        <w:rPr>
          <w:rFonts w:hint="eastAsia"/>
        </w:rPr>
        <w:t>第</w:t>
      </w:r>
      <w:r w:rsidRPr="009D48A5">
        <w:t>30</w:t>
      </w:r>
      <w:r w:rsidRPr="009D48A5">
        <w:rPr>
          <w:rFonts w:hint="eastAsia"/>
        </w:rPr>
        <w:t>页</w:t>
      </w:r>
      <w:r>
        <w:rPr>
          <w:rFonts w:hint="eastAsia"/>
        </w:rPr>
        <w:t>，</w:t>
      </w:r>
      <w:r w:rsidRPr="009D48A5">
        <w:rPr>
          <w:rFonts w:hint="eastAsia"/>
        </w:rPr>
        <w:t>第</w:t>
      </w:r>
      <w:r>
        <w:t>1.</w:t>
      </w:r>
      <w:r w:rsidRPr="009D48A5">
        <w:t>8</w:t>
      </w:r>
      <w:r w:rsidRPr="009D48A5">
        <w:rPr>
          <w:rFonts w:hint="eastAsia"/>
        </w:rPr>
        <w:t>段</w:t>
      </w:r>
      <w:r>
        <w:t>(</w:t>
      </w:r>
      <w:r w:rsidRPr="009D48A5">
        <w:rPr>
          <w:rFonts w:hint="eastAsia"/>
        </w:rPr>
        <w:t>“习惯国际法在总体上对各国均有约束力</w:t>
      </w:r>
      <w:r>
        <w:rPr>
          <w:rFonts w:hint="eastAsia"/>
        </w:rPr>
        <w:t>，</w:t>
      </w:r>
      <w:r w:rsidRPr="009D48A5">
        <w:rPr>
          <w:rFonts w:hint="eastAsia"/>
        </w:rPr>
        <w:t>但在一条习惯国际法规则的发展过程中一贯对其反对的国家不受该规则约束”以及第</w:t>
      </w:r>
      <w:r w:rsidRPr="009D48A5">
        <w:t>34</w:t>
      </w:r>
      <w:r w:rsidRPr="009D48A5">
        <w:rPr>
          <w:rFonts w:hint="eastAsia"/>
        </w:rPr>
        <w:t>页</w:t>
      </w:r>
      <w:r>
        <w:rPr>
          <w:rFonts w:hint="eastAsia"/>
        </w:rPr>
        <w:t>，</w:t>
      </w:r>
      <w:r w:rsidRPr="009D48A5">
        <w:rPr>
          <w:rFonts w:hint="eastAsia"/>
        </w:rPr>
        <w:t>第</w:t>
      </w:r>
      <w:r>
        <w:t>1.8.</w:t>
      </w:r>
      <w:r w:rsidRPr="009D48A5">
        <w:t>4</w:t>
      </w:r>
      <w:r w:rsidRPr="009D48A5">
        <w:rPr>
          <w:rFonts w:hint="eastAsia"/>
        </w:rPr>
        <w:t>段</w:t>
      </w:r>
      <w:r>
        <w:rPr>
          <w:rFonts w:hint="eastAsia"/>
        </w:rPr>
        <w:t>；</w:t>
      </w:r>
      <w:r w:rsidRPr="009D48A5">
        <w:rPr>
          <w:rFonts w:ascii="Time New Roman" w:eastAsia="楷体" w:hAnsi="Time New Roman" w:hint="eastAsia"/>
        </w:rPr>
        <w:t>毛里求斯共和国诉大不列颠及北爱尔兰联合王国案</w:t>
      </w:r>
      <w:r>
        <w:t>(</w:t>
      </w:r>
      <w:r w:rsidRPr="009D48A5">
        <w:rPr>
          <w:rFonts w:hint="eastAsia"/>
        </w:rPr>
        <w:t>根据</w:t>
      </w:r>
      <w:r w:rsidRPr="009D48A5">
        <w:rPr>
          <w:rFonts w:hint="eastAsia"/>
        </w:rPr>
        <w:t>1982</w:t>
      </w:r>
      <w:r w:rsidRPr="009D48A5">
        <w:rPr>
          <w:rFonts w:hint="eastAsia"/>
        </w:rPr>
        <w:t>年《联合国海洋法公约》附件七进行的仲裁</w:t>
      </w:r>
      <w:r>
        <w:t>)</w:t>
      </w:r>
      <w:r>
        <w:rPr>
          <w:rFonts w:hint="eastAsia"/>
        </w:rPr>
        <w:t>，</w:t>
      </w:r>
      <w:r w:rsidRPr="009D48A5">
        <w:rPr>
          <w:rFonts w:hint="eastAsia"/>
        </w:rPr>
        <w:t>毛里求斯共和国的答辩状</w:t>
      </w:r>
      <w:r>
        <w:rPr>
          <w:rFonts w:hint="eastAsia"/>
        </w:rPr>
        <w:t>，</w:t>
      </w:r>
      <w:r w:rsidRPr="009D48A5">
        <w:rPr>
          <w:rFonts w:hint="eastAsia"/>
        </w:rPr>
        <w:t>第</w:t>
      </w:r>
      <w:r w:rsidRPr="009D48A5">
        <w:t>1</w:t>
      </w:r>
      <w:r w:rsidRPr="009D48A5">
        <w:rPr>
          <w:rFonts w:hint="eastAsia"/>
        </w:rPr>
        <w:t>卷</w:t>
      </w:r>
      <w:r>
        <w:rPr>
          <w:rFonts w:hint="eastAsia"/>
        </w:rPr>
        <w:t>(</w:t>
      </w:r>
      <w:r w:rsidRPr="009D48A5">
        <w:rPr>
          <w:rFonts w:hint="eastAsia"/>
        </w:rPr>
        <w:t>2013</w:t>
      </w:r>
      <w:r w:rsidRPr="009D48A5">
        <w:rPr>
          <w:rFonts w:hint="eastAsia"/>
        </w:rPr>
        <w:t>年</w:t>
      </w:r>
      <w:r w:rsidRPr="009D48A5">
        <w:rPr>
          <w:rFonts w:hint="eastAsia"/>
        </w:rPr>
        <w:t>11</w:t>
      </w:r>
      <w:r w:rsidRPr="009D48A5">
        <w:rPr>
          <w:rFonts w:hint="eastAsia"/>
        </w:rPr>
        <w:t>月</w:t>
      </w:r>
      <w:r w:rsidRPr="009D48A5">
        <w:rPr>
          <w:rFonts w:hint="eastAsia"/>
        </w:rPr>
        <w:t>18</w:t>
      </w:r>
      <w:r w:rsidRPr="009D48A5">
        <w:rPr>
          <w:rFonts w:hint="eastAsia"/>
        </w:rPr>
        <w:t>日</w:t>
      </w:r>
      <w:r>
        <w:rPr>
          <w:rFonts w:hint="eastAsia"/>
        </w:rPr>
        <w:t>)</w:t>
      </w:r>
      <w:r>
        <w:rPr>
          <w:rFonts w:hint="eastAsia"/>
        </w:rPr>
        <w:t>，</w:t>
      </w:r>
      <w:r w:rsidRPr="009D48A5">
        <w:rPr>
          <w:rFonts w:hint="eastAsia"/>
        </w:rPr>
        <w:t>第</w:t>
      </w:r>
      <w:r w:rsidRPr="009D48A5">
        <w:rPr>
          <w:rFonts w:hint="eastAsia"/>
        </w:rPr>
        <w:t>124</w:t>
      </w:r>
      <w:r w:rsidRPr="009D48A5">
        <w:rPr>
          <w:rFonts w:hint="eastAsia"/>
        </w:rPr>
        <w:t>页</w:t>
      </w:r>
      <w:r>
        <w:rPr>
          <w:rFonts w:hint="eastAsia"/>
        </w:rPr>
        <w:t>，</w:t>
      </w:r>
      <w:r w:rsidRPr="009D48A5">
        <w:rPr>
          <w:rFonts w:hint="eastAsia"/>
        </w:rPr>
        <w:t>第</w:t>
      </w:r>
      <w:r>
        <w:t>5.</w:t>
      </w:r>
      <w:r w:rsidRPr="009D48A5">
        <w:t>11</w:t>
      </w:r>
      <w:r w:rsidRPr="009D48A5">
        <w:rPr>
          <w:rFonts w:hint="eastAsia"/>
        </w:rPr>
        <w:t>段。</w:t>
      </w:r>
    </w:p>
  </w:footnote>
  <w:footnote w:id="357">
    <w:p w:rsidR="00AB00DE" w:rsidRPr="009D48A5" w:rsidRDefault="00AB00DE" w:rsidP="008D7906">
      <w:pPr>
        <w:pStyle w:val="a4"/>
      </w:pPr>
      <w:r w:rsidRPr="009D48A5">
        <w:rPr>
          <w:snapToGrid/>
        </w:rPr>
        <w:tab/>
      </w:r>
      <w:r w:rsidRPr="00DF5565">
        <w:rPr>
          <w:snapToGrid/>
          <w:color w:val="0000FF"/>
          <w:sz w:val="21"/>
          <w:vertAlign w:val="superscript"/>
        </w:rPr>
        <w:footnoteRef/>
      </w:r>
      <w:r w:rsidRPr="009D48A5">
        <w:rPr>
          <w:snapToGrid/>
        </w:rPr>
        <w:tab/>
      </w:r>
      <w:r w:rsidRPr="009D48A5">
        <w:rPr>
          <w:rFonts w:hint="eastAsia"/>
        </w:rPr>
        <w:t>委员会最近在“对条约的保留实践指南”中提到了这条规则</w:t>
      </w:r>
      <w:r>
        <w:rPr>
          <w:rFonts w:hint="eastAsia"/>
        </w:rPr>
        <w:t>，</w:t>
      </w:r>
      <w:r w:rsidRPr="009D48A5">
        <w:rPr>
          <w:rFonts w:hint="eastAsia"/>
        </w:rPr>
        <w:t>委员会说“保留可能是‘一贯反对者’表示坚持反对的一种手段</w:t>
      </w:r>
      <w:r>
        <w:rPr>
          <w:rFonts w:hint="eastAsia"/>
        </w:rPr>
        <w:t>；</w:t>
      </w:r>
      <w:r w:rsidRPr="009D48A5">
        <w:rPr>
          <w:rFonts w:hint="eastAsia"/>
        </w:rPr>
        <w:t>该反对者肯定可以拒绝通过一项条约适用某项规范</w:t>
      </w:r>
      <w:r>
        <w:rPr>
          <w:rFonts w:hint="eastAsia"/>
        </w:rPr>
        <w:t>，</w:t>
      </w:r>
      <w:r w:rsidRPr="009D48A5">
        <w:rPr>
          <w:rFonts w:hint="eastAsia"/>
        </w:rPr>
        <w:t>这样</w:t>
      </w:r>
      <w:r>
        <w:rPr>
          <w:rFonts w:hint="eastAsia"/>
        </w:rPr>
        <w:t>，</w:t>
      </w:r>
      <w:r w:rsidRPr="009D48A5">
        <w:rPr>
          <w:rFonts w:hint="eastAsia"/>
        </w:rPr>
        <w:t>其他国家便无法依一般国际法援引此项规范来指控他了”</w:t>
      </w:r>
      <w:r>
        <w:t>(</w:t>
      </w:r>
      <w:r w:rsidRPr="009D48A5">
        <w:rPr>
          <w:rFonts w:hint="eastAsia"/>
        </w:rPr>
        <w:t>见指南</w:t>
      </w:r>
      <w:r>
        <w:t>3.1.5.</w:t>
      </w:r>
      <w:r w:rsidRPr="009D48A5">
        <w:t>3</w:t>
      </w:r>
      <w:r w:rsidRPr="009D48A5">
        <w:rPr>
          <w:rFonts w:hint="eastAsia"/>
        </w:rPr>
        <w:t>的评注第</w:t>
      </w:r>
      <w:r>
        <w:rPr>
          <w:rFonts w:hint="eastAsia"/>
        </w:rPr>
        <w:t>(</w:t>
      </w:r>
      <w:r w:rsidRPr="009D48A5">
        <w:rPr>
          <w:rFonts w:hint="eastAsia"/>
        </w:rPr>
        <w:t>7</w:t>
      </w:r>
      <w:r>
        <w:rPr>
          <w:rFonts w:hint="eastAsia"/>
        </w:rPr>
        <w:t>)</w:t>
      </w:r>
      <w:r w:rsidRPr="009D48A5">
        <w:rPr>
          <w:rFonts w:hint="eastAsia"/>
        </w:rPr>
        <w:t>段</w:t>
      </w:r>
      <w:r>
        <w:rPr>
          <w:rFonts w:hint="eastAsia"/>
        </w:rPr>
        <w:t>，</w:t>
      </w:r>
      <w:r w:rsidRPr="009D48A5">
        <w:rPr>
          <w:rFonts w:hint="eastAsia"/>
        </w:rPr>
        <w:t>《大会正式记录</w:t>
      </w:r>
      <w:r>
        <w:rPr>
          <w:rFonts w:hint="eastAsia"/>
        </w:rPr>
        <w:t>，</w:t>
      </w:r>
      <w:r w:rsidRPr="009D48A5">
        <w:rPr>
          <w:rFonts w:hint="eastAsia"/>
        </w:rPr>
        <w:t>第六十六届会议</w:t>
      </w:r>
      <w:r>
        <w:rPr>
          <w:rFonts w:hint="eastAsia"/>
        </w:rPr>
        <w:t>，</w:t>
      </w:r>
      <w:r w:rsidRPr="009D48A5">
        <w:rPr>
          <w:rFonts w:hint="eastAsia"/>
        </w:rPr>
        <w:t>补编第</w:t>
      </w:r>
      <w:r w:rsidRPr="009D48A5">
        <w:rPr>
          <w:rFonts w:hint="eastAsia"/>
        </w:rPr>
        <w:t>10</w:t>
      </w:r>
      <w:r w:rsidRPr="009D48A5">
        <w:rPr>
          <w:rFonts w:hint="eastAsia"/>
        </w:rPr>
        <w:t>号》</w:t>
      </w:r>
      <w:r>
        <w:t>(</w:t>
      </w:r>
      <w:r w:rsidRPr="009D48A5">
        <w:t>A</w:t>
      </w:r>
      <w:r>
        <w:t>/</w:t>
      </w:r>
      <w:r w:rsidRPr="009D48A5">
        <w:t>66</w:t>
      </w:r>
      <w:r>
        <w:t>/</w:t>
      </w:r>
      <w:r w:rsidRPr="009D48A5">
        <w:t>10</w:t>
      </w:r>
      <w:r>
        <w:t>/</w:t>
      </w:r>
      <w:r w:rsidRPr="009D48A5">
        <w:t>Add.1</w:t>
      </w:r>
      <w:r>
        <w:t>)</w:t>
      </w:r>
      <w:r w:rsidRPr="009D48A5">
        <w:rPr>
          <w:rFonts w:hint="eastAsia"/>
        </w:rPr>
        <w:t>。</w:t>
      </w:r>
    </w:p>
  </w:footnote>
  <w:footnote w:id="358">
    <w:p w:rsidR="00AB00DE" w:rsidRPr="00A21AAF" w:rsidRDefault="00AB00DE" w:rsidP="008D7906">
      <w:pPr>
        <w:pStyle w:val="a4"/>
      </w:pPr>
      <w:r w:rsidRPr="009D48A5">
        <w:rPr>
          <w:snapToGrid/>
        </w:rPr>
        <w:tab/>
      </w:r>
      <w:r w:rsidRPr="00DF5565">
        <w:rPr>
          <w:snapToGrid/>
          <w:color w:val="0000FF"/>
          <w:sz w:val="21"/>
          <w:vertAlign w:val="superscript"/>
        </w:rPr>
        <w:footnoteRef/>
      </w:r>
      <w:r w:rsidRPr="00A21AAF">
        <w:tab/>
      </w:r>
      <w:r w:rsidRPr="00A21AAF">
        <w:rPr>
          <w:rFonts w:hint="eastAsia"/>
        </w:rPr>
        <w:t>例见</w:t>
      </w:r>
      <w:r w:rsidRPr="00A21AAF">
        <w:t>C v.Director of Immigration and another, Hong Kong Court of Appeal [2011] HKCA 159, CACV 132-137/</w:t>
      </w:r>
      <w:hyperlink r:id="rId36" w:history="1">
        <w:r w:rsidRPr="00A21AAF">
          <w:t>2008</w:t>
        </w:r>
        <w:r>
          <w:t>(</w:t>
        </w:r>
        <w:r w:rsidRPr="00A21AAF">
          <w:t>2011)</w:t>
        </w:r>
      </w:hyperlink>
      <w:r w:rsidRPr="00A21AAF">
        <w:t>，</w:t>
      </w:r>
      <w:r w:rsidRPr="00A21AAF">
        <w:t>at para. 68</w:t>
      </w:r>
      <w:r>
        <w:t>(</w:t>
      </w:r>
      <w:r w:rsidRPr="00A21AAF">
        <w:rPr>
          <w:rFonts w:hint="eastAsia"/>
        </w:rPr>
        <w:t>“反对的证据必须清楚”</w:t>
      </w:r>
      <w:r w:rsidRPr="00A21AAF">
        <w:t>)</w:t>
      </w:r>
      <w:r w:rsidRPr="00A21AAF">
        <w:rPr>
          <w:rFonts w:hint="eastAsia"/>
        </w:rPr>
        <w:t>。</w:t>
      </w:r>
    </w:p>
  </w:footnote>
  <w:footnote w:id="359">
    <w:p w:rsidR="00AB00DE" w:rsidRPr="009D48A5" w:rsidRDefault="00AB00DE" w:rsidP="008D7906">
      <w:pPr>
        <w:pStyle w:val="a4"/>
      </w:pPr>
      <w:r w:rsidRPr="009D48A5">
        <w:rPr>
          <w:snapToGrid/>
        </w:rPr>
        <w:tab/>
      </w:r>
      <w:r w:rsidRPr="00DF5565">
        <w:rPr>
          <w:snapToGrid/>
          <w:color w:val="0000FF"/>
          <w:sz w:val="21"/>
          <w:vertAlign w:val="superscript"/>
        </w:rPr>
        <w:footnoteRef/>
      </w:r>
      <w:r>
        <w:rPr>
          <w:rFonts w:hint="eastAsia"/>
          <w:snapToGrid/>
        </w:rPr>
        <w:tab/>
      </w:r>
      <w:r w:rsidRPr="009D48A5">
        <w:rPr>
          <w:rFonts w:hint="eastAsia"/>
        </w:rPr>
        <w:t>不能排除的是</w:t>
      </w:r>
      <w:r>
        <w:rPr>
          <w:rFonts w:hint="eastAsia"/>
        </w:rPr>
        <w:t>，</w:t>
      </w:r>
      <w:r w:rsidRPr="009D48A5">
        <w:rPr>
          <w:rFonts w:hint="eastAsia"/>
        </w:rPr>
        <w:t>这类规则可能随时间推移演变为一般习惯国际法规则。</w:t>
      </w:r>
    </w:p>
  </w:footnote>
  <w:footnote w:id="360">
    <w:p w:rsidR="00AB00DE" w:rsidRPr="009D48A5" w:rsidRDefault="00AB00DE" w:rsidP="00267AB1">
      <w:pPr>
        <w:pStyle w:val="a4"/>
      </w:pPr>
      <w:r w:rsidRPr="009D48A5">
        <w:rPr>
          <w:snapToGrid/>
        </w:rPr>
        <w:tab/>
      </w:r>
      <w:r w:rsidRPr="00DF5565">
        <w:rPr>
          <w:snapToGrid/>
          <w:color w:val="0000FF"/>
          <w:sz w:val="21"/>
          <w:vertAlign w:val="superscript"/>
        </w:rPr>
        <w:footnoteRef/>
      </w:r>
      <w:r w:rsidRPr="009D48A5">
        <w:rPr>
          <w:snapToGrid/>
        </w:rPr>
        <w:tab/>
      </w:r>
      <w:r w:rsidRPr="009D48A5">
        <w:rPr>
          <w:rFonts w:ascii="Time New Roman" w:eastAsia="楷体" w:hAnsi="Time New Roman" w:hint="eastAsia"/>
        </w:rPr>
        <w:t>尼加拉瓜境内和针对尼加拉瓜的军事和准军事活动案</w:t>
      </w:r>
      <w:r>
        <w:t>(</w:t>
      </w:r>
      <w:r w:rsidRPr="009D48A5">
        <w:rPr>
          <w:rFonts w:hint="eastAsia"/>
        </w:rPr>
        <w:t>见上文脚注</w:t>
      </w:r>
      <w:r>
        <w:fldChar w:fldCharType="begin"/>
      </w:r>
      <w:r>
        <w:instrText xml:space="preserve"> </w:instrText>
      </w:r>
      <w:r>
        <w:rPr>
          <w:rFonts w:hint="eastAsia"/>
        </w:rPr>
        <w:instrText>NOTEREF _Ref461975037 \h</w:instrText>
      </w:r>
      <w:r>
        <w:instrText xml:space="preserve"> </w:instrText>
      </w:r>
      <w:r>
        <w:fldChar w:fldCharType="separate"/>
      </w:r>
      <w:r w:rsidR="00A73EB9">
        <w:t>246</w:t>
      </w:r>
      <w:r>
        <w:fldChar w:fldCharType="end"/>
      </w:r>
      <w:r>
        <w:t>)</w:t>
      </w:r>
      <w:r>
        <w:rPr>
          <w:rFonts w:hint="eastAsia"/>
        </w:rPr>
        <w:t>，</w:t>
      </w:r>
      <w:r w:rsidRPr="009D48A5">
        <w:rPr>
          <w:rFonts w:hint="eastAsia"/>
        </w:rPr>
        <w:t>相见第</w:t>
      </w:r>
      <w:r w:rsidRPr="009D48A5">
        <w:t>105</w:t>
      </w:r>
      <w:r w:rsidRPr="009D48A5">
        <w:rPr>
          <w:rFonts w:hint="eastAsia"/>
        </w:rPr>
        <w:t>页</w:t>
      </w:r>
      <w:r>
        <w:rPr>
          <w:rFonts w:hint="eastAsia"/>
        </w:rPr>
        <w:t>，</w:t>
      </w:r>
      <w:r w:rsidRPr="009D48A5">
        <w:rPr>
          <w:rFonts w:hint="eastAsia"/>
        </w:rPr>
        <w:t>第</w:t>
      </w:r>
      <w:r w:rsidRPr="009D48A5">
        <w:rPr>
          <w:rFonts w:hint="eastAsia"/>
        </w:rPr>
        <w:t>199</w:t>
      </w:r>
      <w:r w:rsidRPr="009D48A5">
        <w:rPr>
          <w:rFonts w:hint="eastAsia"/>
        </w:rPr>
        <w:t>段。</w:t>
      </w:r>
    </w:p>
  </w:footnote>
  <w:footnote w:id="361">
    <w:p w:rsidR="00AB00DE" w:rsidRPr="009D48A5" w:rsidRDefault="00AB00DE" w:rsidP="008D7906">
      <w:pPr>
        <w:pStyle w:val="a4"/>
      </w:pPr>
      <w:r w:rsidRPr="009D48A5">
        <w:rPr>
          <w:snapToGrid/>
        </w:rPr>
        <w:tab/>
      </w:r>
      <w:r w:rsidRPr="00DF5565">
        <w:rPr>
          <w:snapToGrid/>
          <w:color w:val="0000FF"/>
          <w:sz w:val="21"/>
          <w:vertAlign w:val="superscript"/>
        </w:rPr>
        <w:footnoteRef/>
      </w:r>
      <w:r w:rsidRPr="009D48A5">
        <w:rPr>
          <w:snapToGrid/>
        </w:rPr>
        <w:tab/>
      </w:r>
      <w:r w:rsidRPr="009D48A5">
        <w:rPr>
          <w:rFonts w:ascii="Time New Roman" w:eastAsia="楷体" w:hAnsi="Time New Roman" w:hint="eastAsia"/>
        </w:rPr>
        <w:t>边界争端案</w:t>
      </w:r>
      <w:r>
        <w:rPr>
          <w:rFonts w:hint="eastAsia"/>
        </w:rPr>
        <w:t>，</w:t>
      </w:r>
      <w:r w:rsidRPr="009D48A5">
        <w:rPr>
          <w:rFonts w:ascii="Time New Roman" w:eastAsia="楷体" w:hAnsi="Time New Roman" w:hint="eastAsia"/>
        </w:rPr>
        <w:t>判决</w:t>
      </w:r>
      <w:r>
        <w:rPr>
          <w:rFonts w:hint="eastAsia"/>
        </w:rPr>
        <w:t>，</w:t>
      </w:r>
      <w:r w:rsidRPr="009D48A5">
        <w:rPr>
          <w:rFonts w:hint="eastAsia"/>
        </w:rPr>
        <w:t>《</w:t>
      </w:r>
      <w:r w:rsidRPr="009D48A5">
        <w:rPr>
          <w:rFonts w:hint="eastAsia"/>
        </w:rPr>
        <w:t>1986</w:t>
      </w:r>
      <w:r w:rsidRPr="009D48A5">
        <w:rPr>
          <w:rFonts w:hint="eastAsia"/>
        </w:rPr>
        <w:t>年国际法院案例汇编》</w:t>
      </w:r>
      <w:r>
        <w:rPr>
          <w:rFonts w:hint="eastAsia"/>
        </w:rPr>
        <w:t>，</w:t>
      </w:r>
      <w:r w:rsidRPr="009D48A5">
        <w:t>第</w:t>
      </w:r>
      <w:r w:rsidRPr="009D48A5">
        <w:t>554</w:t>
      </w:r>
      <w:r w:rsidRPr="009D48A5">
        <w:t>页起</w:t>
      </w:r>
      <w:r>
        <w:t>，</w:t>
      </w:r>
      <w:r w:rsidRPr="009D48A5">
        <w:t>见第</w:t>
      </w:r>
      <w:r w:rsidRPr="009D48A5">
        <w:t>565</w:t>
      </w:r>
      <w:r w:rsidRPr="009D48A5">
        <w:t>页</w:t>
      </w:r>
      <w:r>
        <w:t>，</w:t>
      </w:r>
      <w:r w:rsidRPr="009D48A5">
        <w:t>第</w:t>
      </w:r>
      <w:r w:rsidRPr="009D48A5">
        <w:t>21</w:t>
      </w:r>
      <w:r w:rsidRPr="009D48A5">
        <w:t>段。</w:t>
      </w:r>
    </w:p>
  </w:footnote>
  <w:footnote w:id="362">
    <w:p w:rsidR="00AB00DE" w:rsidRPr="009D48A5" w:rsidRDefault="00AB00DE" w:rsidP="00560424">
      <w:pPr>
        <w:pStyle w:val="a4"/>
      </w:pPr>
      <w:r w:rsidRPr="009D48A5">
        <w:rPr>
          <w:snapToGrid/>
        </w:rPr>
        <w:tab/>
      </w:r>
      <w:r w:rsidRPr="00DF5565">
        <w:rPr>
          <w:snapToGrid/>
          <w:color w:val="0000FF"/>
          <w:sz w:val="21"/>
          <w:vertAlign w:val="superscript"/>
        </w:rPr>
        <w:footnoteRef/>
      </w:r>
      <w:r w:rsidRPr="009D48A5">
        <w:rPr>
          <w:snapToGrid/>
        </w:rPr>
        <w:tab/>
      </w:r>
      <w:r w:rsidRPr="009D48A5">
        <w:rPr>
          <w:rFonts w:ascii="Time New Roman" w:eastAsia="楷体" w:hAnsi="Time New Roman" w:hint="eastAsia"/>
        </w:rPr>
        <w:t>摩洛哥境内美利坚合众国国民的权利案</w:t>
      </w:r>
      <w:r>
        <w:t>(</w:t>
      </w:r>
      <w:r w:rsidRPr="009D48A5">
        <w:rPr>
          <w:rFonts w:hint="eastAsia"/>
        </w:rPr>
        <w:t>见上文脚注</w:t>
      </w:r>
      <w:r>
        <w:fldChar w:fldCharType="begin"/>
      </w:r>
      <w:r>
        <w:instrText xml:space="preserve"> </w:instrText>
      </w:r>
      <w:r>
        <w:rPr>
          <w:rFonts w:hint="eastAsia"/>
        </w:rPr>
        <w:instrText>NOTEREF _Ref461975485 \h</w:instrText>
      </w:r>
      <w:r>
        <w:instrText xml:space="preserve"> </w:instrText>
      </w:r>
      <w:r>
        <w:fldChar w:fldCharType="separate"/>
      </w:r>
      <w:r w:rsidR="00A73EB9">
        <w:t>268</w:t>
      </w:r>
      <w:r>
        <w:fldChar w:fldCharType="end"/>
      </w:r>
      <w:r>
        <w:t>)</w:t>
      </w:r>
      <w:r>
        <w:rPr>
          <w:rFonts w:hint="eastAsia"/>
        </w:rPr>
        <w:t>，</w:t>
      </w:r>
      <w:r w:rsidRPr="009D48A5">
        <w:rPr>
          <w:rFonts w:hint="eastAsia"/>
        </w:rPr>
        <w:t>见第</w:t>
      </w:r>
      <w:r w:rsidRPr="009D48A5">
        <w:rPr>
          <w:rFonts w:hint="eastAsia"/>
        </w:rPr>
        <w:t>200</w:t>
      </w:r>
      <w:r w:rsidRPr="009D48A5">
        <w:rPr>
          <w:rFonts w:hint="eastAsia"/>
        </w:rPr>
        <w:t>页</w:t>
      </w:r>
      <w:r>
        <w:rPr>
          <w:rFonts w:hint="eastAsia"/>
        </w:rPr>
        <w:t>；</w:t>
      </w:r>
      <w:r w:rsidRPr="009D48A5">
        <w:rPr>
          <w:rFonts w:ascii="Time New Roman" w:eastAsia="楷体" w:hAnsi="Time New Roman" w:hint="eastAsia"/>
        </w:rPr>
        <w:t>在印度领土上的通行权案</w:t>
      </w:r>
      <w:r>
        <w:t>(</w:t>
      </w:r>
      <w:r w:rsidRPr="009D48A5">
        <w:rPr>
          <w:rFonts w:hint="eastAsia"/>
        </w:rPr>
        <w:t>见上文脚注</w:t>
      </w:r>
      <w:r>
        <w:fldChar w:fldCharType="begin"/>
      </w:r>
      <w:r>
        <w:instrText xml:space="preserve"> </w:instrText>
      </w:r>
      <w:r>
        <w:rPr>
          <w:rFonts w:hint="eastAsia"/>
        </w:rPr>
        <w:instrText>NOTEREF _Ref461975062 \h</w:instrText>
      </w:r>
      <w:r>
        <w:instrText xml:space="preserve"> </w:instrText>
      </w:r>
      <w:r>
        <w:fldChar w:fldCharType="separate"/>
      </w:r>
      <w:r w:rsidR="00A73EB9">
        <w:t>258</w:t>
      </w:r>
      <w:r>
        <w:fldChar w:fldCharType="end"/>
      </w:r>
      <w:r>
        <w:rPr>
          <w:rFonts w:hint="eastAsia"/>
        </w:rPr>
        <w:t>)</w:t>
      </w:r>
      <w:r>
        <w:rPr>
          <w:rFonts w:hint="eastAsia"/>
        </w:rPr>
        <w:t>，</w:t>
      </w:r>
      <w:r w:rsidRPr="009D48A5">
        <w:rPr>
          <w:rFonts w:hint="eastAsia"/>
        </w:rPr>
        <w:t>见第</w:t>
      </w:r>
      <w:r w:rsidRPr="009D48A5">
        <w:rPr>
          <w:rFonts w:hint="eastAsia"/>
        </w:rPr>
        <w:t>39</w:t>
      </w:r>
      <w:r w:rsidRPr="009D48A5">
        <w:rPr>
          <w:rFonts w:hint="eastAsia"/>
        </w:rPr>
        <w:t>页。</w:t>
      </w:r>
    </w:p>
  </w:footnote>
  <w:footnote w:id="363">
    <w:p w:rsidR="00AB00DE" w:rsidRPr="009D48A5" w:rsidRDefault="00AB00DE" w:rsidP="00560424">
      <w:pPr>
        <w:pStyle w:val="a4"/>
      </w:pPr>
      <w:r w:rsidRPr="009D48A5">
        <w:rPr>
          <w:snapToGrid/>
        </w:rPr>
        <w:tab/>
      </w:r>
      <w:r w:rsidRPr="00DF5565">
        <w:rPr>
          <w:snapToGrid/>
          <w:color w:val="0000FF"/>
          <w:sz w:val="21"/>
          <w:vertAlign w:val="superscript"/>
        </w:rPr>
        <w:footnoteRef/>
      </w:r>
      <w:r w:rsidRPr="009D48A5">
        <w:rPr>
          <w:snapToGrid/>
        </w:rPr>
        <w:tab/>
      </w:r>
      <w:r w:rsidRPr="009D48A5">
        <w:rPr>
          <w:rFonts w:ascii="Time New Roman" w:eastAsia="楷体" w:hAnsi="Time New Roman" w:hint="eastAsia"/>
        </w:rPr>
        <w:t>航行权利和相关权利争端案</w:t>
      </w:r>
      <w:r>
        <w:t>(</w:t>
      </w:r>
      <w:r w:rsidRPr="009D48A5">
        <w:rPr>
          <w:rFonts w:hint="eastAsia"/>
        </w:rPr>
        <w:t>见上文脚注</w:t>
      </w:r>
      <w:r>
        <w:fldChar w:fldCharType="begin"/>
      </w:r>
      <w:r>
        <w:instrText xml:space="preserve"> </w:instrText>
      </w:r>
      <w:r>
        <w:rPr>
          <w:rFonts w:hint="eastAsia"/>
        </w:rPr>
        <w:instrText>NOTEREF _Ref461974753 \h</w:instrText>
      </w:r>
      <w:r>
        <w:instrText xml:space="preserve"> </w:instrText>
      </w:r>
      <w:r>
        <w:fldChar w:fldCharType="separate"/>
      </w:r>
      <w:r w:rsidR="00A73EB9">
        <w:t>266</w:t>
      </w:r>
      <w:r>
        <w:fldChar w:fldCharType="end"/>
      </w:r>
      <w:r>
        <w:rPr>
          <w:rFonts w:hint="eastAsia"/>
        </w:rPr>
        <w:t>)</w:t>
      </w:r>
      <w:r>
        <w:rPr>
          <w:rFonts w:hint="eastAsia"/>
        </w:rPr>
        <w:t>，</w:t>
      </w:r>
      <w:r w:rsidRPr="009D48A5">
        <w:rPr>
          <w:rFonts w:hint="eastAsia"/>
        </w:rPr>
        <w:t>见第</w:t>
      </w:r>
      <w:r w:rsidRPr="009D48A5">
        <w:rPr>
          <w:rFonts w:hint="eastAsia"/>
        </w:rPr>
        <w:t>233</w:t>
      </w:r>
      <w:r w:rsidRPr="009D48A5">
        <w:rPr>
          <w:rFonts w:hint="eastAsia"/>
        </w:rPr>
        <w:t>页</w:t>
      </w:r>
      <w:r>
        <w:rPr>
          <w:rFonts w:hint="eastAsia"/>
        </w:rPr>
        <w:t>，</w:t>
      </w:r>
      <w:r w:rsidRPr="009D48A5">
        <w:rPr>
          <w:rFonts w:hint="eastAsia"/>
        </w:rPr>
        <w:t>第</w:t>
      </w:r>
      <w:r w:rsidRPr="009D48A5">
        <w:rPr>
          <w:rFonts w:hint="eastAsia"/>
        </w:rPr>
        <w:t>34</w:t>
      </w:r>
      <w:r w:rsidRPr="009D48A5">
        <w:rPr>
          <w:rFonts w:hint="eastAsia"/>
        </w:rPr>
        <w:t>段。</w:t>
      </w:r>
    </w:p>
  </w:footnote>
  <w:footnote w:id="364">
    <w:p w:rsidR="00AB00DE" w:rsidRPr="009D48A5" w:rsidRDefault="00AB00DE" w:rsidP="00560424">
      <w:pPr>
        <w:pStyle w:val="a4"/>
      </w:pPr>
      <w:r w:rsidRPr="009D48A5">
        <w:rPr>
          <w:snapToGrid/>
        </w:rPr>
        <w:tab/>
      </w:r>
      <w:r w:rsidRPr="00DF5565">
        <w:rPr>
          <w:snapToGrid/>
          <w:color w:val="0000FF"/>
          <w:sz w:val="21"/>
          <w:vertAlign w:val="superscript"/>
        </w:rPr>
        <w:footnoteRef/>
      </w:r>
      <w:r w:rsidRPr="009D48A5">
        <w:rPr>
          <w:snapToGrid/>
        </w:rPr>
        <w:tab/>
      </w:r>
      <w:r w:rsidRPr="009D48A5">
        <w:rPr>
          <w:rFonts w:ascii="Time New Roman" w:eastAsia="楷体" w:hAnsi="Time New Roman" w:hint="eastAsia"/>
        </w:rPr>
        <w:t>哥伦比亚</w:t>
      </w:r>
      <w:r w:rsidRPr="009D48A5">
        <w:rPr>
          <w:rFonts w:ascii="Time New Roman" w:eastAsia="楷体" w:hAnsi="Time New Roman" w:hint="eastAsia"/>
          <w:snapToGrid/>
        </w:rPr>
        <w:t>－</w:t>
      </w:r>
      <w:r w:rsidRPr="009D48A5">
        <w:rPr>
          <w:rFonts w:ascii="Time New Roman" w:eastAsia="楷体" w:hAnsi="Time New Roman" w:hint="eastAsia"/>
        </w:rPr>
        <w:t>秘鲁庇护权案</w:t>
      </w:r>
      <w:r>
        <w:t>(</w:t>
      </w:r>
      <w:r w:rsidRPr="009D48A5">
        <w:rPr>
          <w:rFonts w:hint="eastAsia"/>
        </w:rPr>
        <w:t>见上文脚注</w:t>
      </w:r>
      <w:r>
        <w:fldChar w:fldCharType="begin"/>
      </w:r>
      <w:r>
        <w:instrText xml:space="preserve"> </w:instrText>
      </w:r>
      <w:r>
        <w:rPr>
          <w:rFonts w:hint="eastAsia"/>
        </w:rPr>
        <w:instrText>NOTEREF _Ref461975016 \h</w:instrText>
      </w:r>
      <w:r>
        <w:instrText xml:space="preserve"> </w:instrText>
      </w:r>
      <w:r>
        <w:fldChar w:fldCharType="separate"/>
      </w:r>
      <w:r w:rsidR="00A73EB9">
        <w:t>257</w:t>
      </w:r>
      <w:r>
        <w:fldChar w:fldCharType="end"/>
      </w:r>
      <w:r>
        <w:t>)</w:t>
      </w:r>
      <w:r w:rsidRPr="009D48A5">
        <w:rPr>
          <w:rFonts w:hint="eastAsia"/>
        </w:rPr>
        <w:t>。</w:t>
      </w:r>
    </w:p>
  </w:footnote>
  <w:footnote w:id="365">
    <w:p w:rsidR="00AB00DE" w:rsidRPr="009D48A5" w:rsidRDefault="00AB00DE" w:rsidP="00560424">
      <w:pPr>
        <w:pStyle w:val="a4"/>
      </w:pPr>
      <w:r w:rsidRPr="009D48A5">
        <w:rPr>
          <w:snapToGrid/>
        </w:rPr>
        <w:tab/>
      </w:r>
      <w:r w:rsidRPr="00DF5565">
        <w:rPr>
          <w:snapToGrid/>
          <w:color w:val="0000FF"/>
          <w:sz w:val="21"/>
          <w:vertAlign w:val="superscript"/>
        </w:rPr>
        <w:footnoteRef/>
      </w:r>
      <w:r w:rsidRPr="009D48A5">
        <w:rPr>
          <w:snapToGrid/>
        </w:rPr>
        <w:tab/>
      </w:r>
      <w:r w:rsidRPr="009D48A5">
        <w:rPr>
          <w:rFonts w:ascii="Time New Roman" w:eastAsia="楷体" w:hAnsi="Time New Roman" w:hint="eastAsia"/>
        </w:rPr>
        <w:t>在印度领土上的通行权案</w:t>
      </w:r>
      <w:r>
        <w:t>(</w:t>
      </w:r>
      <w:r w:rsidRPr="009D48A5">
        <w:rPr>
          <w:rFonts w:hint="eastAsia"/>
        </w:rPr>
        <w:t>见上文脚注</w:t>
      </w:r>
      <w:r>
        <w:fldChar w:fldCharType="begin"/>
      </w:r>
      <w:r>
        <w:instrText xml:space="preserve"> </w:instrText>
      </w:r>
      <w:r>
        <w:rPr>
          <w:rFonts w:hint="eastAsia"/>
        </w:rPr>
        <w:instrText>NOTEREF _Ref461975062 \h</w:instrText>
      </w:r>
      <w:r>
        <w:instrText xml:space="preserve"> </w:instrText>
      </w:r>
      <w:r>
        <w:fldChar w:fldCharType="separate"/>
      </w:r>
      <w:r w:rsidR="00A73EB9">
        <w:t>258</w:t>
      </w:r>
      <w:r>
        <w:fldChar w:fldCharType="end"/>
      </w:r>
      <w:r>
        <w:rPr>
          <w:rFonts w:hint="eastAsia"/>
        </w:rPr>
        <w:t>)</w:t>
      </w:r>
      <w:r w:rsidRPr="009D48A5">
        <w:rPr>
          <w:rFonts w:hint="eastAsia"/>
        </w:rPr>
        <w:t>。</w:t>
      </w:r>
    </w:p>
  </w:footnote>
  <w:footnote w:id="366">
    <w:p w:rsidR="00AB00DE" w:rsidRPr="009D48A5" w:rsidRDefault="00AB00DE" w:rsidP="008D7906">
      <w:pPr>
        <w:pStyle w:val="a4"/>
      </w:pPr>
      <w:r w:rsidRPr="009D48A5">
        <w:rPr>
          <w:snapToGrid/>
        </w:rPr>
        <w:tab/>
      </w:r>
      <w:r w:rsidRPr="00DF5565">
        <w:rPr>
          <w:snapToGrid/>
          <w:color w:val="0000FF"/>
          <w:sz w:val="21"/>
          <w:vertAlign w:val="superscript"/>
        </w:rPr>
        <w:footnoteRef/>
      </w:r>
      <w:r w:rsidRPr="009D48A5">
        <w:rPr>
          <w:snapToGrid/>
        </w:rPr>
        <w:tab/>
      </w:r>
      <w:r w:rsidRPr="009D48A5">
        <w:rPr>
          <w:rFonts w:hint="eastAsia"/>
        </w:rPr>
        <w:t>另见上文结论草案</w:t>
      </w:r>
      <w:r>
        <w:rPr>
          <w:rFonts w:hint="eastAsia"/>
        </w:rPr>
        <w:t>9,</w:t>
      </w:r>
      <w:r w:rsidRPr="009D48A5">
        <w:rPr>
          <w:rFonts w:hint="eastAsia"/>
        </w:rPr>
        <w:t xml:space="preserve"> </w:t>
      </w:r>
      <w:r w:rsidRPr="009D48A5">
        <w:rPr>
          <w:rFonts w:hint="eastAsia"/>
        </w:rPr>
        <w:t>第</w:t>
      </w:r>
      <w:r w:rsidRPr="009D48A5">
        <w:rPr>
          <w:rFonts w:hint="eastAsia"/>
        </w:rPr>
        <w:t>2</w:t>
      </w:r>
      <w:r w:rsidRPr="009D48A5">
        <w:rPr>
          <w:rFonts w:hint="eastAsia"/>
        </w:rPr>
        <w:t>段。</w:t>
      </w:r>
    </w:p>
  </w:footnote>
  <w:footnote w:id="367">
    <w:p w:rsidR="00AB00DE" w:rsidRPr="009D48A5" w:rsidRDefault="00AB00DE" w:rsidP="00560424">
      <w:pPr>
        <w:pStyle w:val="a4"/>
      </w:pPr>
      <w:r w:rsidRPr="009D48A5">
        <w:rPr>
          <w:snapToGrid/>
        </w:rPr>
        <w:tab/>
      </w:r>
      <w:r w:rsidRPr="00DF5565">
        <w:rPr>
          <w:snapToGrid/>
          <w:color w:val="0000FF"/>
          <w:sz w:val="21"/>
          <w:vertAlign w:val="superscript"/>
        </w:rPr>
        <w:footnoteRef/>
      </w:r>
      <w:r w:rsidRPr="009D48A5">
        <w:rPr>
          <w:snapToGrid/>
        </w:rPr>
        <w:tab/>
      </w:r>
      <w:r w:rsidRPr="009D48A5">
        <w:rPr>
          <w:rFonts w:hint="eastAsia"/>
        </w:rPr>
        <w:t>国际法院已把特别习惯国际法处理为源于其《规约》第</w:t>
      </w:r>
      <w:r w:rsidRPr="009D48A5">
        <w:rPr>
          <w:rFonts w:hint="eastAsia"/>
        </w:rPr>
        <w:t>38</w:t>
      </w:r>
      <w:r w:rsidRPr="009D48A5">
        <w:rPr>
          <w:rFonts w:hint="eastAsia"/>
        </w:rPr>
        <w:t>段第</w:t>
      </w:r>
      <w:r w:rsidRPr="009D48A5">
        <w:rPr>
          <w:rFonts w:hint="eastAsia"/>
        </w:rPr>
        <w:t>1</w:t>
      </w:r>
      <w:r w:rsidRPr="009D48A5">
        <w:rPr>
          <w:rFonts w:hint="eastAsia"/>
        </w:rPr>
        <w:t>款</w:t>
      </w:r>
      <w:r>
        <w:rPr>
          <w:rFonts w:hint="eastAsia"/>
        </w:rPr>
        <w:t>(</w:t>
      </w:r>
      <w:r w:rsidRPr="009D48A5">
        <w:rPr>
          <w:rFonts w:hint="eastAsia"/>
        </w:rPr>
        <w:t>b</w:t>
      </w:r>
      <w:r>
        <w:rPr>
          <w:rFonts w:hint="eastAsia"/>
        </w:rPr>
        <w:t>)</w:t>
      </w:r>
      <w:r w:rsidRPr="009D48A5">
        <w:rPr>
          <w:rFonts w:hint="eastAsia"/>
        </w:rPr>
        <w:t>项</w:t>
      </w:r>
      <w:r>
        <w:rPr>
          <w:rFonts w:hint="eastAsia"/>
        </w:rPr>
        <w:t>；</w:t>
      </w:r>
      <w:r w:rsidRPr="009D48A5">
        <w:rPr>
          <w:rFonts w:ascii="Time New Roman" w:eastAsia="楷体" w:hAnsi="Time New Roman" w:hint="eastAsia"/>
        </w:rPr>
        <w:t>哥伦比亚</w:t>
      </w:r>
      <w:r w:rsidRPr="009D48A5">
        <w:rPr>
          <w:rFonts w:ascii="Time New Roman" w:eastAsia="楷体" w:hAnsi="Time New Roman" w:hint="eastAsia"/>
          <w:snapToGrid/>
        </w:rPr>
        <w:t>－</w:t>
      </w:r>
      <w:r w:rsidRPr="009D48A5">
        <w:rPr>
          <w:rFonts w:ascii="Time New Roman" w:eastAsia="楷体" w:hAnsi="Time New Roman" w:hint="eastAsia"/>
        </w:rPr>
        <w:t>秘鲁庇护权案</w:t>
      </w:r>
      <w:r>
        <w:t>(</w:t>
      </w:r>
      <w:r w:rsidRPr="009D48A5">
        <w:rPr>
          <w:rFonts w:hint="eastAsia"/>
        </w:rPr>
        <w:t>见上文脚注</w:t>
      </w:r>
      <w:r>
        <w:fldChar w:fldCharType="begin"/>
      </w:r>
      <w:r>
        <w:instrText xml:space="preserve"> </w:instrText>
      </w:r>
      <w:r>
        <w:rPr>
          <w:rFonts w:hint="eastAsia"/>
        </w:rPr>
        <w:instrText>NOTEREF _Ref461975016 \h</w:instrText>
      </w:r>
      <w:r>
        <w:instrText xml:space="preserve"> </w:instrText>
      </w:r>
      <w:r>
        <w:fldChar w:fldCharType="separate"/>
      </w:r>
      <w:r w:rsidR="00A73EB9">
        <w:t>257</w:t>
      </w:r>
      <w:r>
        <w:fldChar w:fldCharType="end"/>
      </w:r>
      <w:r>
        <w:t>)</w:t>
      </w:r>
      <w:r>
        <w:rPr>
          <w:rFonts w:hint="eastAsia"/>
        </w:rPr>
        <w:t>，</w:t>
      </w:r>
      <w:r w:rsidRPr="009D48A5">
        <w:rPr>
          <w:rFonts w:hint="eastAsia"/>
        </w:rPr>
        <w:t>见第</w:t>
      </w:r>
      <w:r w:rsidRPr="009D48A5">
        <w:rPr>
          <w:rFonts w:hint="eastAsia"/>
        </w:rPr>
        <w:t>276</w:t>
      </w:r>
      <w:r w:rsidRPr="009D48A5">
        <w:rPr>
          <w:rFonts w:hint="eastAsia"/>
        </w:rPr>
        <w:t>页。</w:t>
      </w:r>
    </w:p>
  </w:footnote>
  <w:footnote w:id="368">
    <w:p w:rsidR="00AB00DE" w:rsidRPr="009D48A5" w:rsidRDefault="00AB00DE" w:rsidP="008D7906">
      <w:pPr>
        <w:pStyle w:val="a4"/>
      </w:pPr>
      <w:r w:rsidRPr="009D48A5">
        <w:rPr>
          <w:snapToGrid/>
        </w:rPr>
        <w:tab/>
      </w:r>
      <w:r w:rsidRPr="00DF5565">
        <w:rPr>
          <w:snapToGrid/>
          <w:color w:val="0000FF"/>
          <w:sz w:val="21"/>
          <w:vertAlign w:val="superscript"/>
        </w:rPr>
        <w:footnoteRef/>
      </w:r>
      <w:r w:rsidRPr="009D48A5">
        <w:rPr>
          <w:snapToGrid/>
        </w:rPr>
        <w:tab/>
      </w:r>
      <w:r w:rsidRPr="009D48A5">
        <w:rPr>
          <w:rFonts w:hint="eastAsia"/>
        </w:rPr>
        <w:t>这一立场与</w:t>
      </w:r>
      <w:r w:rsidRPr="009D48A5">
        <w:rPr>
          <w:rFonts w:hint="eastAsia"/>
        </w:rPr>
        <w:t>1969</w:t>
      </w:r>
      <w:r w:rsidRPr="009D48A5">
        <w:rPr>
          <w:rFonts w:hint="eastAsia"/>
        </w:rPr>
        <w:t>年《维也纳公约》关于条约与第三国的规定</w:t>
      </w:r>
      <w:r>
        <w:rPr>
          <w:rFonts w:hint="eastAsia"/>
        </w:rPr>
        <w:t>(</w:t>
      </w:r>
      <w:r w:rsidRPr="009D48A5">
        <w:rPr>
          <w:rFonts w:hint="eastAsia"/>
        </w:rPr>
        <w:t>第三部分</w:t>
      </w:r>
      <w:r>
        <w:rPr>
          <w:rFonts w:hint="eastAsia"/>
        </w:rPr>
        <w:t>，</w:t>
      </w:r>
      <w:r w:rsidRPr="009D48A5">
        <w:rPr>
          <w:rFonts w:hint="eastAsia"/>
        </w:rPr>
        <w:t>第四节</w:t>
      </w:r>
      <w:r>
        <w:rPr>
          <w:rFonts w:hint="eastAsia"/>
        </w:rPr>
        <w:t>)</w:t>
      </w:r>
      <w:r w:rsidRPr="009D48A5">
        <w:rPr>
          <w:rFonts w:hint="eastAsia"/>
        </w:rPr>
        <w:t>中的立场相似。</w:t>
      </w:r>
    </w:p>
  </w:footnote>
  <w:footnote w:id="369">
    <w:p w:rsidR="00AB00DE" w:rsidRPr="009D48A5" w:rsidRDefault="00AB00DE" w:rsidP="00560424">
      <w:pPr>
        <w:pStyle w:val="a4"/>
      </w:pPr>
      <w:r w:rsidRPr="009D48A5">
        <w:rPr>
          <w:snapToGrid/>
        </w:rPr>
        <w:tab/>
      </w:r>
      <w:r w:rsidRPr="00DF5565">
        <w:rPr>
          <w:snapToGrid/>
          <w:color w:val="0000FF"/>
          <w:sz w:val="21"/>
          <w:vertAlign w:val="superscript"/>
        </w:rPr>
        <w:footnoteRef/>
      </w:r>
      <w:r w:rsidRPr="009D48A5">
        <w:rPr>
          <w:snapToGrid/>
        </w:rPr>
        <w:tab/>
      </w:r>
      <w:r w:rsidRPr="009D48A5">
        <w:rPr>
          <w:rFonts w:ascii="Time New Roman" w:eastAsia="楷体" w:hAnsi="Time New Roman" w:hint="eastAsia"/>
        </w:rPr>
        <w:t>哥伦比亚</w:t>
      </w:r>
      <w:r w:rsidRPr="009D48A5">
        <w:rPr>
          <w:rFonts w:ascii="Time New Roman" w:eastAsia="楷体" w:hAnsi="Time New Roman" w:hint="eastAsia"/>
          <w:snapToGrid/>
        </w:rPr>
        <w:t>－</w:t>
      </w:r>
      <w:r w:rsidRPr="009D48A5">
        <w:rPr>
          <w:rFonts w:ascii="Time New Roman" w:eastAsia="楷体" w:hAnsi="Time New Roman" w:hint="eastAsia"/>
        </w:rPr>
        <w:t>秘鲁庇护权案</w:t>
      </w:r>
      <w:r>
        <w:t>(</w:t>
      </w:r>
      <w:r w:rsidRPr="009D48A5">
        <w:rPr>
          <w:rFonts w:hint="eastAsia"/>
        </w:rPr>
        <w:t>见上文脚注</w:t>
      </w:r>
      <w:r>
        <w:fldChar w:fldCharType="begin"/>
      </w:r>
      <w:r>
        <w:instrText xml:space="preserve"> </w:instrText>
      </w:r>
      <w:r>
        <w:rPr>
          <w:rFonts w:hint="eastAsia"/>
        </w:rPr>
        <w:instrText>NOTEREF _Ref461975016 \h</w:instrText>
      </w:r>
      <w:r>
        <w:instrText xml:space="preserve"> </w:instrText>
      </w:r>
      <w:r>
        <w:fldChar w:fldCharType="separate"/>
      </w:r>
      <w:r w:rsidR="00A73EB9">
        <w:t>257</w:t>
      </w:r>
      <w:r>
        <w:fldChar w:fldCharType="end"/>
      </w:r>
      <w:r>
        <w:t>)</w:t>
      </w:r>
      <w:r>
        <w:rPr>
          <w:rFonts w:hint="eastAsia"/>
        </w:rPr>
        <w:t>，</w:t>
      </w:r>
      <w:r w:rsidRPr="009D48A5">
        <w:rPr>
          <w:rFonts w:hint="eastAsia"/>
        </w:rPr>
        <w:t>见第</w:t>
      </w:r>
      <w:r w:rsidRPr="009D48A5">
        <w:rPr>
          <w:rFonts w:hint="eastAsia"/>
        </w:rPr>
        <w:t>276</w:t>
      </w:r>
      <w:r w:rsidRPr="009D48A5">
        <w:rPr>
          <w:rFonts w:hint="eastAsia"/>
        </w:rPr>
        <w:t>页。</w:t>
      </w:r>
    </w:p>
  </w:footnote>
  <w:footnote w:id="370">
    <w:p w:rsidR="00AB00DE" w:rsidRPr="009D48A5" w:rsidRDefault="00AB00DE" w:rsidP="00560424">
      <w:pPr>
        <w:pStyle w:val="a4"/>
      </w:pPr>
      <w:r w:rsidRPr="009D48A5">
        <w:rPr>
          <w:snapToGrid/>
        </w:rPr>
        <w:tab/>
      </w:r>
      <w:r w:rsidRPr="00DF5565">
        <w:rPr>
          <w:snapToGrid/>
          <w:color w:val="0000FF"/>
          <w:sz w:val="21"/>
          <w:vertAlign w:val="superscript"/>
        </w:rPr>
        <w:footnoteRef/>
      </w:r>
      <w:r w:rsidRPr="009D48A5">
        <w:rPr>
          <w:snapToGrid/>
        </w:rPr>
        <w:tab/>
      </w:r>
      <w:r w:rsidRPr="009D48A5">
        <w:rPr>
          <w:rFonts w:ascii="Time New Roman" w:eastAsia="楷体" w:hAnsi="Time New Roman" w:hint="eastAsia"/>
        </w:rPr>
        <w:t>在印度领土上的通行权案</w:t>
      </w:r>
      <w:r>
        <w:t>(</w:t>
      </w:r>
      <w:r w:rsidRPr="009D48A5">
        <w:rPr>
          <w:rFonts w:hint="eastAsia"/>
        </w:rPr>
        <w:t>见上文脚注</w:t>
      </w:r>
      <w:r>
        <w:fldChar w:fldCharType="begin"/>
      </w:r>
      <w:r>
        <w:instrText xml:space="preserve"> </w:instrText>
      </w:r>
      <w:r>
        <w:rPr>
          <w:rFonts w:hint="eastAsia"/>
        </w:rPr>
        <w:instrText>NOTEREF _Ref461975062 \h</w:instrText>
      </w:r>
      <w:r>
        <w:instrText xml:space="preserve"> </w:instrText>
      </w:r>
      <w:r>
        <w:fldChar w:fldCharType="separate"/>
      </w:r>
      <w:r w:rsidR="00A73EB9">
        <w:t>258</w:t>
      </w:r>
      <w:r>
        <w:fldChar w:fldCharType="end"/>
      </w:r>
      <w:r>
        <w:rPr>
          <w:rFonts w:hint="eastAsia"/>
        </w:rPr>
        <w:t>)</w:t>
      </w:r>
      <w:r>
        <w:rPr>
          <w:rFonts w:hint="eastAsia"/>
        </w:rPr>
        <w:t>，</w:t>
      </w:r>
      <w:r w:rsidRPr="009D48A5">
        <w:rPr>
          <w:rFonts w:hint="eastAsia"/>
        </w:rPr>
        <w:t>见第</w:t>
      </w:r>
      <w:r w:rsidRPr="009D48A5">
        <w:rPr>
          <w:rFonts w:hint="eastAsia"/>
        </w:rPr>
        <w:t>39</w:t>
      </w:r>
      <w:r w:rsidRPr="009D48A5">
        <w:rPr>
          <w:rFonts w:hint="eastAsia"/>
        </w:rPr>
        <w:t>页。</w:t>
      </w:r>
    </w:p>
  </w:footnote>
  <w:footnote w:id="371">
    <w:p w:rsidR="00AB00DE" w:rsidRPr="009D48A5" w:rsidRDefault="00AB00DE" w:rsidP="008D7906">
      <w:pPr>
        <w:pStyle w:val="a4"/>
      </w:pPr>
      <w:r w:rsidRPr="009D48A5">
        <w:rPr>
          <w:snapToGrid/>
        </w:rPr>
        <w:tab/>
      </w:r>
      <w:r w:rsidRPr="00DF5565">
        <w:rPr>
          <w:snapToGrid/>
          <w:color w:val="0000FF"/>
          <w:sz w:val="21"/>
          <w:vertAlign w:val="superscript"/>
        </w:rPr>
        <w:footnoteRef/>
      </w:r>
      <w:r w:rsidRPr="009D48A5">
        <w:rPr>
          <w:snapToGrid/>
        </w:rPr>
        <w:tab/>
      </w:r>
      <w:r w:rsidRPr="009D48A5">
        <w:rPr>
          <w:rFonts w:hint="eastAsia"/>
        </w:rPr>
        <w:t>同上</w:t>
      </w:r>
      <w:r>
        <w:rPr>
          <w:rFonts w:hint="eastAsia"/>
        </w:rPr>
        <w:t>，</w:t>
      </w:r>
      <w:r w:rsidRPr="009D48A5">
        <w:rPr>
          <w:rFonts w:hint="eastAsia"/>
        </w:rPr>
        <w:t>第</w:t>
      </w:r>
      <w:r w:rsidRPr="009D48A5">
        <w:rPr>
          <w:rFonts w:hint="eastAsia"/>
        </w:rPr>
        <w:t>6</w:t>
      </w:r>
      <w:r w:rsidRPr="009D48A5">
        <w:rPr>
          <w:rFonts w:hint="eastAsia"/>
        </w:rPr>
        <w:t>页。</w:t>
      </w:r>
    </w:p>
  </w:footnote>
  <w:footnote w:id="372">
    <w:p w:rsidR="00AB00DE" w:rsidRPr="009D48A5" w:rsidRDefault="00AB00DE" w:rsidP="008D7906">
      <w:pPr>
        <w:pStyle w:val="a4"/>
      </w:pPr>
      <w:r w:rsidRPr="009D48A5">
        <w:rPr>
          <w:snapToGrid/>
        </w:rPr>
        <w:tab/>
      </w:r>
      <w:r w:rsidRPr="00DF5565">
        <w:rPr>
          <w:snapToGrid/>
          <w:color w:val="0000FF"/>
          <w:sz w:val="21"/>
          <w:vertAlign w:val="superscript"/>
        </w:rPr>
        <w:footnoteRef/>
      </w:r>
      <w:r w:rsidRPr="009D48A5">
        <w:rPr>
          <w:snapToGrid/>
        </w:rPr>
        <w:tab/>
      </w:r>
      <w:r w:rsidRPr="009D48A5">
        <w:rPr>
          <w:rFonts w:hint="eastAsia"/>
        </w:rPr>
        <w:t>见洪都拉斯在关于土地、岛屿和海洋边界争端案</w:t>
      </w:r>
      <w:r>
        <w:rPr>
          <w:rFonts w:hint="eastAsia"/>
        </w:rPr>
        <w:t>(</w:t>
      </w:r>
      <w:r w:rsidRPr="009D48A5">
        <w:rPr>
          <w:rFonts w:hint="eastAsia"/>
        </w:rPr>
        <w:t>萨尔瓦多</w:t>
      </w:r>
      <w:r>
        <w:rPr>
          <w:rFonts w:hint="eastAsia"/>
        </w:rPr>
        <w:t>/</w:t>
      </w:r>
      <w:r w:rsidRPr="009D48A5">
        <w:rPr>
          <w:rFonts w:hint="eastAsia"/>
        </w:rPr>
        <w:t>洪都拉斯</w:t>
      </w:r>
      <w:r>
        <w:rPr>
          <w:rFonts w:hint="eastAsia"/>
        </w:rPr>
        <w:t>：</w:t>
      </w:r>
      <w:r w:rsidRPr="009D48A5">
        <w:rPr>
          <w:rFonts w:hint="eastAsia"/>
        </w:rPr>
        <w:t>尼加拉瓜参加诉讼</w:t>
      </w:r>
      <w:r>
        <w:rPr>
          <w:rFonts w:hint="eastAsia"/>
        </w:rPr>
        <w:t>)</w:t>
      </w:r>
      <w:r w:rsidRPr="009D48A5">
        <w:rPr>
          <w:rFonts w:hint="eastAsia"/>
        </w:rPr>
        <w:t>中的主张</w:t>
      </w:r>
      <w:r>
        <w:rPr>
          <w:rFonts w:hint="eastAsia"/>
        </w:rPr>
        <w:t>，</w:t>
      </w:r>
      <w:r w:rsidRPr="009D48A5">
        <w:t>1992</w:t>
      </w:r>
      <w:r w:rsidRPr="009D48A5">
        <w:t>年</w:t>
      </w:r>
      <w:r w:rsidRPr="009D48A5">
        <w:t>9</w:t>
      </w:r>
      <w:r w:rsidRPr="009D48A5">
        <w:t>月</w:t>
      </w:r>
      <w:r w:rsidRPr="009D48A5">
        <w:t>11</w:t>
      </w:r>
      <w:r w:rsidRPr="009D48A5">
        <w:t>日的判决</w:t>
      </w:r>
      <w:r>
        <w:t>，</w:t>
      </w:r>
      <w:r w:rsidRPr="009D48A5">
        <w:t>第</w:t>
      </w:r>
      <w:r w:rsidRPr="009D48A5">
        <w:t>351</w:t>
      </w:r>
      <w:r w:rsidRPr="009D48A5">
        <w:t>页起</w:t>
      </w:r>
      <w:r>
        <w:t>，</w:t>
      </w:r>
      <w:r w:rsidRPr="009D48A5">
        <w:t>见第</w:t>
      </w:r>
      <w:r w:rsidRPr="009D48A5">
        <w:t>597</w:t>
      </w:r>
      <w:r w:rsidRPr="009D48A5">
        <w:t>页</w:t>
      </w:r>
      <w:r>
        <w:t>，</w:t>
      </w:r>
      <w:r w:rsidRPr="009D48A5">
        <w:t>第</w:t>
      </w:r>
      <w:r w:rsidRPr="009D48A5">
        <w:t>399</w:t>
      </w:r>
      <w:r w:rsidRPr="009D48A5">
        <w:t>段。</w:t>
      </w:r>
    </w:p>
  </w:footnote>
  <w:footnote w:id="373">
    <w:p w:rsidR="00AB00DE" w:rsidRPr="009D48A5" w:rsidRDefault="00AB00DE" w:rsidP="00560424">
      <w:pPr>
        <w:pStyle w:val="a4"/>
      </w:pPr>
      <w:r w:rsidRPr="009D48A5">
        <w:rPr>
          <w:snapToGrid/>
        </w:rPr>
        <w:tab/>
      </w:r>
      <w:r w:rsidRPr="00DF5565">
        <w:rPr>
          <w:snapToGrid/>
          <w:color w:val="0000FF"/>
          <w:sz w:val="21"/>
          <w:vertAlign w:val="superscript"/>
        </w:rPr>
        <w:footnoteRef/>
      </w:r>
      <w:r w:rsidRPr="009D48A5">
        <w:rPr>
          <w:snapToGrid/>
        </w:rPr>
        <w:tab/>
      </w:r>
      <w:r w:rsidRPr="009D48A5">
        <w:rPr>
          <w:rFonts w:hint="eastAsia"/>
        </w:rPr>
        <w:t>航行权利和相关权利争端案</w:t>
      </w:r>
      <w:r>
        <w:t>(</w:t>
      </w:r>
      <w:r w:rsidRPr="009D48A5">
        <w:rPr>
          <w:rFonts w:hint="eastAsia"/>
        </w:rPr>
        <w:t>见上文脚注</w:t>
      </w:r>
      <w:r>
        <w:fldChar w:fldCharType="begin"/>
      </w:r>
      <w:r>
        <w:instrText xml:space="preserve"> </w:instrText>
      </w:r>
      <w:r>
        <w:rPr>
          <w:rFonts w:hint="eastAsia"/>
        </w:rPr>
        <w:instrText>NOTEREF _Ref461974753 \h</w:instrText>
      </w:r>
      <w:r>
        <w:instrText xml:space="preserve"> </w:instrText>
      </w:r>
      <w:r>
        <w:fldChar w:fldCharType="separate"/>
      </w:r>
      <w:r w:rsidR="00A73EB9">
        <w:t>266</w:t>
      </w:r>
      <w:r>
        <w:fldChar w:fldCharType="end"/>
      </w:r>
      <w:r>
        <w:rPr>
          <w:rFonts w:hint="eastAsia"/>
        </w:rPr>
        <w:t>)</w:t>
      </w:r>
      <w:r>
        <w:rPr>
          <w:rFonts w:hint="eastAsia"/>
        </w:rPr>
        <w:t>，</w:t>
      </w:r>
      <w:r w:rsidRPr="009D48A5">
        <w:rPr>
          <w:rFonts w:hint="eastAsia"/>
        </w:rPr>
        <w:t>见第</w:t>
      </w:r>
      <w:r w:rsidRPr="009D48A5">
        <w:t>265-266</w:t>
      </w:r>
      <w:r w:rsidRPr="009D48A5">
        <w:rPr>
          <w:rFonts w:hint="eastAsia"/>
        </w:rPr>
        <w:t>页</w:t>
      </w:r>
      <w:r>
        <w:t>，</w:t>
      </w:r>
      <w:r w:rsidRPr="009D48A5">
        <w:rPr>
          <w:rFonts w:hint="eastAsia"/>
        </w:rPr>
        <w:t>第</w:t>
      </w:r>
      <w:r w:rsidRPr="009D48A5">
        <w:t>140-144</w:t>
      </w:r>
      <w:r w:rsidRPr="009D48A5">
        <w:rPr>
          <w:rFonts w:hint="eastAsia"/>
        </w:rPr>
        <w:t>段</w:t>
      </w:r>
      <w:r>
        <w:rPr>
          <w:rFonts w:hint="eastAsia"/>
        </w:rPr>
        <w:t>；</w:t>
      </w:r>
      <w:r w:rsidRPr="009D48A5">
        <w:rPr>
          <w:rFonts w:hint="eastAsia"/>
        </w:rPr>
        <w:t>另见塞普尔伟达</w:t>
      </w:r>
      <w:r w:rsidRPr="009D48A5">
        <w:rPr>
          <w:rFonts w:ascii="MS Mincho" w:eastAsia="MS Mincho" w:hAnsi="MS Mincho" w:cs="MS Mincho" w:hint="eastAsia"/>
        </w:rPr>
        <w:t>‒</w:t>
      </w:r>
      <w:r w:rsidRPr="009D48A5">
        <w:rPr>
          <w:rFonts w:ascii="宋体" w:hAnsi="宋体" w:cs="宋体" w:hint="eastAsia"/>
        </w:rPr>
        <w:t>阿莫尔法官的个别意见</w:t>
      </w:r>
      <w:r>
        <w:rPr>
          <w:rFonts w:hint="eastAsia"/>
        </w:rPr>
        <w:t>，</w:t>
      </w:r>
      <w:r w:rsidRPr="009D48A5">
        <w:rPr>
          <w:rFonts w:hint="eastAsia"/>
        </w:rPr>
        <w:t>见第</w:t>
      </w:r>
      <w:r w:rsidRPr="009D48A5">
        <w:t>278-282</w:t>
      </w:r>
      <w:r w:rsidRPr="009D48A5">
        <w:rPr>
          <w:rFonts w:hint="eastAsia"/>
        </w:rPr>
        <w:t>页</w:t>
      </w:r>
      <w:r>
        <w:rPr>
          <w:rFonts w:hint="eastAsia"/>
        </w:rPr>
        <w:t>，</w:t>
      </w:r>
      <w:r w:rsidRPr="009D48A5">
        <w:rPr>
          <w:rFonts w:hint="eastAsia"/>
        </w:rPr>
        <w:t>第</w:t>
      </w:r>
      <w:r w:rsidRPr="009D48A5">
        <w:t>20-36</w:t>
      </w:r>
      <w:r w:rsidRPr="009D48A5">
        <w:rPr>
          <w:rFonts w:hint="eastAsia"/>
        </w:rPr>
        <w:t>段。</w:t>
      </w:r>
    </w:p>
  </w:footnote>
  <w:footnote w:id="374">
    <w:p w:rsidR="00AB00DE" w:rsidRPr="009D48A5" w:rsidRDefault="00AB00DE" w:rsidP="00646EDC">
      <w:pPr>
        <w:pStyle w:val="a4"/>
      </w:pPr>
      <w:r w:rsidRPr="009D48A5">
        <w:rPr>
          <w:snapToGrid/>
        </w:rPr>
        <w:tab/>
      </w:r>
      <w:r w:rsidRPr="00DF5565">
        <w:rPr>
          <w:snapToGrid/>
          <w:color w:val="0000FF"/>
          <w:sz w:val="21"/>
          <w:vertAlign w:val="superscript"/>
        </w:rPr>
        <w:footnoteRef/>
      </w:r>
      <w:r w:rsidRPr="009D48A5">
        <w:rPr>
          <w:snapToGrid/>
        </w:rPr>
        <w:tab/>
      </w:r>
      <w:r w:rsidRPr="00646EDC">
        <w:rPr>
          <w:i/>
          <w:iCs/>
        </w:rPr>
        <w:t>Nkondo v. Minister of Police and Another</w:t>
      </w:r>
      <w:r w:rsidRPr="00646EDC">
        <w:t xml:space="preserve">, South African Supreme Court, 1980(2) SA 894(O), 7 March 1980, </w:t>
      </w:r>
      <w:r w:rsidRPr="00646EDC">
        <w:rPr>
          <w:i/>
          <w:iCs/>
        </w:rPr>
        <w:t>International Law Reports</w:t>
      </w:r>
      <w:r w:rsidRPr="00646EDC">
        <w:t>, vol. 82, pp. 358-375, at pp. 368-375(Smuts</w:t>
      </w:r>
      <w:r w:rsidRPr="00646EDC">
        <w:rPr>
          <w:rFonts w:hint="eastAsia"/>
        </w:rPr>
        <w:t>法官认定：“没有证据表明，南非共和国与莱索托之间存在长期有效的惯例，已具体化为免于移民手续过境的地方习惯权利”</w:t>
      </w:r>
      <w:r w:rsidRPr="00646EDC">
        <w:t>(</w:t>
      </w:r>
      <w:r w:rsidRPr="00646EDC">
        <w:rPr>
          <w:rFonts w:hint="eastAsia"/>
        </w:rPr>
        <w:t>见第</w:t>
      </w:r>
      <w:r w:rsidRPr="00646EDC">
        <w:t>359</w:t>
      </w:r>
      <w:r w:rsidRPr="00646EDC">
        <w:rPr>
          <w:rFonts w:hint="eastAsia"/>
        </w:rPr>
        <w:t>页</w:t>
      </w:r>
      <w:r w:rsidRPr="00646EDC">
        <w:t>))</w:t>
      </w:r>
      <w:r w:rsidRPr="00646EDC">
        <w:rPr>
          <w:rFonts w:hint="eastAsia"/>
        </w:rPr>
        <w:t>。</w:t>
      </w:r>
      <w:r w:rsidRPr="009D48A5">
        <w:rPr>
          <w:rFonts w:hint="eastAsia"/>
        </w:rPr>
        <w:t>。</w:t>
      </w:r>
    </w:p>
  </w:footnote>
  <w:footnote w:id="375">
    <w:p w:rsidR="00AB00DE" w:rsidRPr="009D48A5" w:rsidRDefault="00AB00DE" w:rsidP="008D7906">
      <w:pPr>
        <w:pStyle w:val="a4"/>
      </w:pPr>
      <w:r w:rsidRPr="009D48A5">
        <w:rPr>
          <w:snapToGrid/>
        </w:rPr>
        <w:tab/>
      </w:r>
      <w:r w:rsidRPr="00DF5565">
        <w:rPr>
          <w:snapToGrid/>
          <w:color w:val="0000FF"/>
          <w:sz w:val="21"/>
          <w:vertAlign w:val="superscript"/>
        </w:rPr>
        <w:footnoteRef/>
      </w:r>
      <w:r w:rsidRPr="009D48A5">
        <w:rPr>
          <w:snapToGrid/>
        </w:rPr>
        <w:tab/>
      </w:r>
      <w:r w:rsidRPr="009D48A5">
        <w:rPr>
          <w:i/>
          <w:iCs/>
        </w:rPr>
        <w:t>Kraftwerk</w:t>
      </w:r>
      <w:r w:rsidRPr="009D48A5">
        <w:rPr>
          <w:rFonts w:hint="eastAsia"/>
          <w:i/>
          <w:iCs/>
        </w:rPr>
        <w:t xml:space="preserve"> </w:t>
      </w:r>
      <w:r w:rsidRPr="009D48A5">
        <w:rPr>
          <w:i/>
          <w:iCs/>
        </w:rPr>
        <w:t>Reckingen AG v. Canton of Zurich and other</w:t>
      </w:r>
      <w:r>
        <w:rPr>
          <w:i/>
          <w:iCs/>
        </w:rPr>
        <w:t xml:space="preserve">s, </w:t>
      </w:r>
      <w:r w:rsidRPr="009D48A5">
        <w:t>Appeal Judgmen</w:t>
      </w:r>
      <w:r>
        <w:t xml:space="preserve">t, </w:t>
      </w:r>
      <w:r w:rsidRPr="009D48A5">
        <w:t>BGE 129 II 11</w:t>
      </w:r>
      <w:r>
        <w:t>4,</w:t>
      </w:r>
      <w:r w:rsidRPr="009D48A5">
        <w:t xml:space="preserve"> ILDC 346</w:t>
      </w:r>
      <w:r>
        <w:t>(</w:t>
      </w:r>
      <w:r w:rsidRPr="009D48A5">
        <w:t>CH 2002</w:t>
      </w:r>
      <w:r>
        <w:t>)</w:t>
      </w:r>
      <w:r>
        <w:t>，</w:t>
      </w:r>
      <w:r w:rsidRPr="009D48A5">
        <w:t>10 October 200</w:t>
      </w:r>
      <w:r>
        <w:t>2,</w:t>
      </w:r>
      <w:r w:rsidRPr="009D48A5">
        <w:t xml:space="preserve"> Switzerlan</w:t>
      </w:r>
      <w:r>
        <w:t xml:space="preserve">d, </w:t>
      </w:r>
      <w:r w:rsidRPr="009D48A5">
        <w:t xml:space="preserve">Federal Supreme Court </w:t>
      </w:r>
      <w:r>
        <w:t>[</w:t>
      </w:r>
      <w:r w:rsidRPr="009D48A5">
        <w:t>BGer</w:t>
      </w:r>
      <w:r>
        <w:t>]</w:t>
      </w:r>
      <w:r>
        <w:t>；</w:t>
      </w:r>
      <w:r w:rsidRPr="009D48A5">
        <w:t>Public Law Chamber I</w:t>
      </w:r>
      <w:r>
        <w:t xml:space="preserve">I, </w:t>
      </w:r>
      <w:r w:rsidRPr="009D48A5">
        <w:t xml:space="preserve">para. </w:t>
      </w:r>
      <w:r>
        <w:t>4.</w:t>
      </w:r>
    </w:p>
  </w:footnote>
  <w:footnote w:id="376">
    <w:p w:rsidR="00AB00DE" w:rsidRPr="009D48A5" w:rsidRDefault="00AB00DE" w:rsidP="00560424">
      <w:pPr>
        <w:pStyle w:val="a4"/>
        <w:rPr>
          <w:snapToGrid/>
        </w:rPr>
      </w:pPr>
      <w:r w:rsidRPr="00DF5565">
        <w:rPr>
          <w:rStyle w:val="a5"/>
          <w:szCs w:val="22"/>
        </w:rPr>
        <w:tab/>
      </w:r>
      <w:r w:rsidRPr="00DF5565">
        <w:rPr>
          <w:rStyle w:val="a5"/>
          <w:szCs w:val="22"/>
        </w:rPr>
        <w:footnoteRef/>
      </w:r>
      <w:r w:rsidRPr="00DF5565">
        <w:rPr>
          <w:rStyle w:val="a5"/>
          <w:rFonts w:hint="eastAsia"/>
          <w:szCs w:val="22"/>
        </w:rPr>
        <w:tab/>
      </w:r>
      <w:r w:rsidRPr="009D48A5">
        <w:rPr>
          <w:rFonts w:hint="eastAsia"/>
          <w:snapToGrid/>
        </w:rPr>
        <w:t>哥伦比亚－秘鲁庇护权案</w:t>
      </w:r>
      <w:r>
        <w:rPr>
          <w:snapToGrid/>
        </w:rPr>
        <w:t>(</w:t>
      </w:r>
      <w:r w:rsidRPr="009D48A5">
        <w:rPr>
          <w:rFonts w:hint="eastAsia"/>
          <w:snapToGrid/>
        </w:rPr>
        <w:t>见上文脚注</w:t>
      </w:r>
      <w:r>
        <w:rPr>
          <w:snapToGrid/>
        </w:rPr>
        <w:fldChar w:fldCharType="begin"/>
      </w:r>
      <w:r>
        <w:rPr>
          <w:snapToGrid/>
        </w:rPr>
        <w:instrText xml:space="preserve"> </w:instrText>
      </w:r>
      <w:r>
        <w:rPr>
          <w:rFonts w:hint="eastAsia"/>
          <w:snapToGrid/>
        </w:rPr>
        <w:instrText>NOTEREF _Ref461975016 \h</w:instrText>
      </w:r>
      <w:r>
        <w:rPr>
          <w:snapToGrid/>
        </w:rPr>
        <w:instrText xml:space="preserve"> </w:instrText>
      </w:r>
      <w:r>
        <w:rPr>
          <w:snapToGrid/>
        </w:rPr>
      </w:r>
      <w:r>
        <w:rPr>
          <w:snapToGrid/>
        </w:rPr>
        <w:fldChar w:fldCharType="separate"/>
      </w:r>
      <w:r w:rsidR="00A73EB9">
        <w:rPr>
          <w:snapToGrid/>
        </w:rPr>
        <w:t>257</w:t>
      </w:r>
      <w:r>
        <w:rPr>
          <w:snapToGrid/>
        </w:rPr>
        <w:fldChar w:fldCharType="end"/>
      </w:r>
      <w:r>
        <w:rPr>
          <w:snapToGrid/>
        </w:rPr>
        <w:t>)</w:t>
      </w:r>
      <w:r>
        <w:rPr>
          <w:rFonts w:hint="eastAsia"/>
          <w:snapToGrid/>
        </w:rPr>
        <w:t>，</w:t>
      </w:r>
      <w:r w:rsidRPr="009D48A5">
        <w:rPr>
          <w:rFonts w:hint="eastAsia"/>
          <w:snapToGrid/>
        </w:rPr>
        <w:t>见第</w:t>
      </w:r>
      <w:r w:rsidRPr="009D48A5">
        <w:rPr>
          <w:snapToGrid/>
        </w:rPr>
        <w:t>276-277</w:t>
      </w:r>
      <w:r w:rsidRPr="009D48A5">
        <w:rPr>
          <w:rFonts w:hint="eastAsia"/>
          <w:snapToGrid/>
        </w:rPr>
        <w:t>页。</w:t>
      </w:r>
    </w:p>
  </w:footnote>
  <w:footnote w:id="377">
    <w:p w:rsidR="00AB00DE" w:rsidRPr="00907858" w:rsidRDefault="00AB00DE" w:rsidP="008D7906">
      <w:pPr>
        <w:pStyle w:val="a4"/>
      </w:pPr>
      <w:r w:rsidRPr="00907858">
        <w:rPr>
          <w:lang w:val="zh-CN"/>
        </w:rPr>
        <w:tab/>
      </w:r>
      <w:r w:rsidRPr="00907858">
        <w:rPr>
          <w:rStyle w:val="a5"/>
          <w:szCs w:val="21"/>
          <w:lang w:val="zh-CN"/>
        </w:rPr>
        <w:footnoteRef/>
      </w:r>
      <w:r w:rsidRPr="00907858">
        <w:rPr>
          <w:lang w:val="zh-CN"/>
        </w:rPr>
        <w:tab/>
        <w:t>2008</w:t>
      </w:r>
      <w:r w:rsidRPr="00907858">
        <w:rPr>
          <w:lang w:val="zh-CN"/>
        </w:rPr>
        <w:t>年</w:t>
      </w:r>
      <w:r w:rsidRPr="00907858">
        <w:rPr>
          <w:lang w:val="zh-CN"/>
        </w:rPr>
        <w:t>8</w:t>
      </w:r>
      <w:r w:rsidRPr="00907858">
        <w:rPr>
          <w:lang w:val="zh-CN"/>
        </w:rPr>
        <w:t>月</w:t>
      </w:r>
      <w:r w:rsidRPr="00907858">
        <w:rPr>
          <w:lang w:val="zh-CN"/>
        </w:rPr>
        <w:t>8</w:t>
      </w:r>
      <w:r w:rsidRPr="00907858">
        <w:rPr>
          <w:lang w:val="zh-CN"/>
        </w:rPr>
        <w:t>日第</w:t>
      </w:r>
      <w:r w:rsidRPr="00907858">
        <w:rPr>
          <w:lang w:val="zh-CN"/>
        </w:rPr>
        <w:t>2997</w:t>
      </w:r>
      <w:r w:rsidRPr="00907858">
        <w:rPr>
          <w:lang w:val="zh-CN"/>
        </w:rPr>
        <w:t>次会议。见《</w:t>
      </w:r>
      <w:r w:rsidRPr="00907858">
        <w:rPr>
          <w:lang w:val="zh-CN"/>
        </w:rPr>
        <w:t>2008</w:t>
      </w:r>
      <w:r w:rsidRPr="00907858">
        <w:rPr>
          <w:lang w:val="zh-CN"/>
        </w:rPr>
        <w:t>年</w:t>
      </w:r>
      <w:r w:rsidRPr="00907858">
        <w:rPr>
          <w:rFonts w:hint="eastAsia"/>
          <w:lang w:val="zh-CN"/>
        </w:rPr>
        <w:t>……</w:t>
      </w:r>
      <w:r w:rsidRPr="00907858">
        <w:rPr>
          <w:lang w:val="zh-CN"/>
        </w:rPr>
        <w:t>年鉴》，第二卷</w:t>
      </w:r>
      <w:r w:rsidRPr="00907858">
        <w:rPr>
          <w:lang w:val="zh-CN"/>
        </w:rPr>
        <w:t>(</w:t>
      </w:r>
      <w:r w:rsidRPr="00907858">
        <w:rPr>
          <w:lang w:val="zh-CN"/>
        </w:rPr>
        <w:t>第二部分</w:t>
      </w:r>
      <w:r w:rsidRPr="00907858">
        <w:rPr>
          <w:lang w:val="zh-CN"/>
        </w:rPr>
        <w:t>)</w:t>
      </w:r>
      <w:r w:rsidRPr="00907858">
        <w:rPr>
          <w:lang w:val="zh-CN"/>
        </w:rPr>
        <w:t>，第</w:t>
      </w:r>
      <w:r w:rsidRPr="00907858">
        <w:rPr>
          <w:lang w:val="zh-CN"/>
        </w:rPr>
        <w:t>353</w:t>
      </w:r>
      <w:r w:rsidRPr="00907858">
        <w:rPr>
          <w:lang w:val="zh-CN"/>
        </w:rPr>
        <w:t>段；</w:t>
      </w:r>
      <w:r w:rsidRPr="00907858">
        <w:rPr>
          <w:rFonts w:hint="eastAsia"/>
          <w:lang w:val="zh-CN"/>
        </w:rPr>
        <w:t>专题提纲见同上，</w:t>
      </w:r>
      <w:r w:rsidRPr="00907858">
        <w:rPr>
          <w:lang w:val="zh-CN"/>
        </w:rPr>
        <w:t>附件</w:t>
      </w:r>
      <w:r w:rsidRPr="00907858">
        <w:rPr>
          <w:rFonts w:hint="eastAsia"/>
          <w:lang w:val="zh-CN"/>
        </w:rPr>
        <w:t>一</w:t>
      </w:r>
      <w:r w:rsidRPr="00907858">
        <w:rPr>
          <w:lang w:val="zh-CN"/>
        </w:rPr>
        <w:t>。</w:t>
      </w:r>
      <w:r w:rsidRPr="00907858">
        <w:rPr>
          <w:rFonts w:hint="eastAsia"/>
          <w:lang w:val="zh-CN"/>
        </w:rPr>
        <w:t>2008</w:t>
      </w:r>
      <w:r w:rsidRPr="00907858">
        <w:rPr>
          <w:rFonts w:hint="eastAsia"/>
          <w:lang w:val="zh-CN"/>
        </w:rPr>
        <w:t>年</w:t>
      </w:r>
      <w:r w:rsidRPr="00907858">
        <w:rPr>
          <w:rFonts w:hint="eastAsia"/>
          <w:lang w:val="zh-CN"/>
        </w:rPr>
        <w:t>12</w:t>
      </w:r>
      <w:r w:rsidRPr="00907858">
        <w:rPr>
          <w:rFonts w:hint="eastAsia"/>
          <w:lang w:val="zh-CN"/>
        </w:rPr>
        <w:t>月</w:t>
      </w:r>
      <w:r w:rsidRPr="00907858">
        <w:rPr>
          <w:rFonts w:hint="eastAsia"/>
          <w:lang w:val="zh-CN"/>
        </w:rPr>
        <w:t>11</w:t>
      </w:r>
      <w:r w:rsidRPr="00907858">
        <w:rPr>
          <w:rFonts w:hint="eastAsia"/>
          <w:lang w:val="zh-CN"/>
        </w:rPr>
        <w:t>日</w:t>
      </w:r>
      <w:r w:rsidRPr="00907858">
        <w:rPr>
          <w:lang w:val="zh-CN"/>
        </w:rPr>
        <w:t>大会第</w:t>
      </w:r>
      <w:r w:rsidRPr="00907858">
        <w:rPr>
          <w:lang w:val="zh-CN"/>
        </w:rPr>
        <w:t>63/123</w:t>
      </w:r>
      <w:r w:rsidRPr="00907858">
        <w:rPr>
          <w:lang w:val="zh-CN"/>
        </w:rPr>
        <w:t>号决议第</w:t>
      </w:r>
      <w:r w:rsidRPr="00907858">
        <w:rPr>
          <w:lang w:val="zh-CN"/>
        </w:rPr>
        <w:t>6</w:t>
      </w:r>
      <w:r w:rsidRPr="00907858">
        <w:rPr>
          <w:lang w:val="zh-CN"/>
        </w:rPr>
        <w:t>段注意到该决定。</w:t>
      </w:r>
    </w:p>
  </w:footnote>
  <w:footnote w:id="378">
    <w:p w:rsidR="00AB00DE" w:rsidRPr="00907858" w:rsidRDefault="00AB00DE" w:rsidP="008D7906">
      <w:pPr>
        <w:pStyle w:val="a4"/>
      </w:pPr>
      <w:r w:rsidRPr="00907858">
        <w:rPr>
          <w:lang w:val="zh-CN"/>
        </w:rPr>
        <w:tab/>
      </w:r>
      <w:r w:rsidRPr="00907858">
        <w:rPr>
          <w:rStyle w:val="a5"/>
          <w:szCs w:val="21"/>
          <w:lang w:val="zh-CN"/>
        </w:rPr>
        <w:footnoteRef/>
      </w:r>
      <w:r w:rsidRPr="00907858">
        <w:rPr>
          <w:lang w:val="zh-CN"/>
        </w:rPr>
        <w:tab/>
      </w:r>
      <w:r w:rsidRPr="00907858">
        <w:rPr>
          <w:lang w:val="zh-CN"/>
        </w:rPr>
        <w:t>《</w:t>
      </w:r>
      <w:r w:rsidRPr="00907858">
        <w:rPr>
          <w:lang w:val="zh-CN"/>
        </w:rPr>
        <w:t>200</w:t>
      </w:r>
      <w:r w:rsidRPr="00907858">
        <w:rPr>
          <w:rFonts w:hint="eastAsia"/>
          <w:lang w:val="zh-CN"/>
        </w:rPr>
        <w:t>9</w:t>
      </w:r>
      <w:r w:rsidRPr="00907858">
        <w:rPr>
          <w:lang w:val="zh-CN"/>
        </w:rPr>
        <w:t>年</w:t>
      </w:r>
      <w:r w:rsidRPr="00907858">
        <w:rPr>
          <w:rFonts w:hint="eastAsia"/>
          <w:lang w:val="zh-CN"/>
        </w:rPr>
        <w:t>……</w:t>
      </w:r>
      <w:r w:rsidRPr="00907858">
        <w:rPr>
          <w:lang w:val="zh-CN"/>
        </w:rPr>
        <w:t>年鉴》，第二卷</w:t>
      </w:r>
      <w:r w:rsidRPr="00907858">
        <w:rPr>
          <w:lang w:val="zh-CN"/>
        </w:rPr>
        <w:t>(</w:t>
      </w:r>
      <w:r w:rsidRPr="00907858">
        <w:rPr>
          <w:lang w:val="zh-CN"/>
        </w:rPr>
        <w:t>第二部分</w:t>
      </w:r>
      <w:r w:rsidRPr="00907858">
        <w:rPr>
          <w:lang w:val="zh-CN"/>
        </w:rPr>
        <w:t>)</w:t>
      </w:r>
      <w:r w:rsidRPr="00907858">
        <w:rPr>
          <w:lang w:val="zh-CN"/>
        </w:rPr>
        <w:t>，第</w:t>
      </w:r>
      <w:r w:rsidRPr="00907858">
        <w:rPr>
          <w:lang w:val="zh-CN"/>
        </w:rPr>
        <w:t>220</w:t>
      </w:r>
      <w:r w:rsidRPr="00907858">
        <w:rPr>
          <w:rFonts w:hint="eastAsia"/>
          <w:lang w:val="zh-CN"/>
        </w:rPr>
        <w:t>-</w:t>
      </w:r>
      <w:r w:rsidRPr="00907858">
        <w:rPr>
          <w:lang w:val="zh-CN"/>
        </w:rPr>
        <w:t>2</w:t>
      </w:r>
      <w:r w:rsidRPr="00907858">
        <w:rPr>
          <w:rFonts w:hint="eastAsia"/>
          <w:lang w:val="zh-CN"/>
        </w:rPr>
        <w:t>2</w:t>
      </w:r>
      <w:r w:rsidRPr="00907858">
        <w:rPr>
          <w:lang w:val="zh-CN"/>
        </w:rPr>
        <w:t>6</w:t>
      </w:r>
      <w:r w:rsidRPr="00907858">
        <w:rPr>
          <w:lang w:val="zh-CN"/>
        </w:rPr>
        <w:t>段。</w:t>
      </w:r>
    </w:p>
  </w:footnote>
  <w:footnote w:id="379">
    <w:p w:rsidR="00AB00DE" w:rsidRPr="00907858" w:rsidRDefault="00AB00DE" w:rsidP="008D7906">
      <w:pPr>
        <w:pStyle w:val="a4"/>
      </w:pPr>
      <w:r w:rsidRPr="00907858">
        <w:rPr>
          <w:lang w:val="zh-CN"/>
        </w:rPr>
        <w:tab/>
      </w:r>
      <w:r w:rsidRPr="00907858">
        <w:rPr>
          <w:rStyle w:val="a5"/>
          <w:szCs w:val="21"/>
          <w:lang w:val="zh-CN"/>
        </w:rPr>
        <w:footnoteRef/>
      </w:r>
      <w:r w:rsidRPr="00907858">
        <w:rPr>
          <w:lang w:val="zh-CN"/>
        </w:rPr>
        <w:tab/>
      </w:r>
      <w:r w:rsidRPr="00907858">
        <w:rPr>
          <w:lang w:val="zh-CN"/>
        </w:rPr>
        <w:t>《大会正式记录，第六十五届会议，补编第</w:t>
      </w:r>
      <w:r w:rsidRPr="00907858">
        <w:rPr>
          <w:lang w:val="zh-CN"/>
        </w:rPr>
        <w:t>10</w:t>
      </w:r>
      <w:r w:rsidRPr="00907858">
        <w:rPr>
          <w:lang w:val="zh-CN"/>
        </w:rPr>
        <w:t>号》</w:t>
      </w:r>
      <w:r w:rsidRPr="00907858">
        <w:rPr>
          <w:lang w:val="zh-CN"/>
        </w:rPr>
        <w:t>(</w:t>
      </w:r>
      <w:hyperlink r:id="rId37" w:history="1">
        <w:r w:rsidRPr="00907858">
          <w:rPr>
            <w:rStyle w:val="af"/>
          </w:rPr>
          <w:t>A/65/10</w:t>
        </w:r>
      </w:hyperlink>
      <w:r w:rsidRPr="00907858">
        <w:rPr>
          <w:lang w:val="zh-CN"/>
        </w:rPr>
        <w:t>)</w:t>
      </w:r>
      <w:r w:rsidRPr="00907858">
        <w:rPr>
          <w:lang w:val="zh-CN"/>
        </w:rPr>
        <w:t>，第</w:t>
      </w:r>
      <w:r w:rsidRPr="00907858">
        <w:rPr>
          <w:lang w:val="zh-CN"/>
        </w:rPr>
        <w:t>344</w:t>
      </w:r>
      <w:r w:rsidRPr="00907858">
        <w:rPr>
          <w:rFonts w:hint="eastAsia"/>
          <w:lang w:val="zh-CN"/>
        </w:rPr>
        <w:t>-</w:t>
      </w:r>
      <w:r w:rsidRPr="00907858">
        <w:rPr>
          <w:lang w:val="zh-CN"/>
        </w:rPr>
        <w:t>354</w:t>
      </w:r>
      <w:r w:rsidRPr="00907858">
        <w:rPr>
          <w:lang w:val="zh-CN"/>
        </w:rPr>
        <w:t>段；同上，《第六十六届会议，补编第</w:t>
      </w:r>
      <w:r w:rsidRPr="00907858">
        <w:rPr>
          <w:lang w:val="zh-CN"/>
        </w:rPr>
        <w:t>10</w:t>
      </w:r>
      <w:r w:rsidRPr="00907858">
        <w:rPr>
          <w:lang w:val="zh-CN"/>
        </w:rPr>
        <w:t>号》</w:t>
      </w:r>
      <w:r w:rsidRPr="00907858">
        <w:rPr>
          <w:lang w:val="zh-CN"/>
        </w:rPr>
        <w:t>(</w:t>
      </w:r>
      <w:hyperlink r:id="rId38" w:history="1">
        <w:r w:rsidRPr="00907858">
          <w:rPr>
            <w:rStyle w:val="af"/>
          </w:rPr>
          <w:t>A/66/10</w:t>
        </w:r>
      </w:hyperlink>
      <w:r w:rsidRPr="00907858">
        <w:rPr>
          <w:lang w:val="zh-CN"/>
        </w:rPr>
        <w:t>)</w:t>
      </w:r>
      <w:r w:rsidRPr="00907858">
        <w:rPr>
          <w:lang w:val="zh-CN"/>
        </w:rPr>
        <w:t>，第</w:t>
      </w:r>
      <w:r w:rsidRPr="00907858">
        <w:rPr>
          <w:lang w:val="zh-CN"/>
        </w:rPr>
        <w:t>337</w:t>
      </w:r>
      <w:r w:rsidRPr="00907858">
        <w:rPr>
          <w:lang w:val="zh-CN"/>
        </w:rPr>
        <w:t>段。</w:t>
      </w:r>
    </w:p>
  </w:footnote>
  <w:footnote w:id="380">
    <w:p w:rsidR="00AB00DE" w:rsidRPr="00907858" w:rsidRDefault="00AB00DE" w:rsidP="008D7906">
      <w:pPr>
        <w:pStyle w:val="a4"/>
      </w:pPr>
      <w:r w:rsidRPr="00907858">
        <w:rPr>
          <w:lang w:val="zh-CN"/>
        </w:rPr>
        <w:tab/>
      </w:r>
      <w:r w:rsidRPr="00907858">
        <w:rPr>
          <w:rStyle w:val="a5"/>
          <w:szCs w:val="21"/>
          <w:lang w:val="zh-CN"/>
        </w:rPr>
        <w:footnoteRef/>
      </w:r>
      <w:r w:rsidRPr="00907858">
        <w:rPr>
          <w:lang w:val="zh-CN"/>
        </w:rPr>
        <w:tab/>
      </w:r>
      <w:r w:rsidRPr="00907858">
        <w:rPr>
          <w:lang w:val="zh-CN"/>
        </w:rPr>
        <w:t>同上，《第六十六届会议，补编第</w:t>
      </w:r>
      <w:r w:rsidRPr="00907858">
        <w:rPr>
          <w:lang w:val="zh-CN"/>
        </w:rPr>
        <w:t>10</w:t>
      </w:r>
      <w:r w:rsidRPr="00907858">
        <w:rPr>
          <w:lang w:val="zh-CN"/>
        </w:rPr>
        <w:t>号》</w:t>
      </w:r>
      <w:r w:rsidRPr="00907858">
        <w:rPr>
          <w:lang w:val="zh-CN"/>
        </w:rPr>
        <w:t>(</w:t>
      </w:r>
      <w:hyperlink r:id="rId39" w:history="1">
        <w:r w:rsidRPr="00907858">
          <w:rPr>
            <w:rStyle w:val="af"/>
          </w:rPr>
          <w:t>A/66/10</w:t>
        </w:r>
      </w:hyperlink>
      <w:r w:rsidRPr="00907858">
        <w:rPr>
          <w:lang w:val="zh-CN"/>
        </w:rPr>
        <w:t>)</w:t>
      </w:r>
      <w:r w:rsidRPr="00907858">
        <w:rPr>
          <w:lang w:val="zh-CN"/>
        </w:rPr>
        <w:t>，第</w:t>
      </w:r>
      <w:r w:rsidRPr="00907858">
        <w:rPr>
          <w:lang w:val="zh-CN"/>
        </w:rPr>
        <w:t>338</w:t>
      </w:r>
      <w:r w:rsidRPr="00907858">
        <w:rPr>
          <w:rFonts w:hint="eastAsia"/>
          <w:lang w:val="zh-CN"/>
        </w:rPr>
        <w:t>-</w:t>
      </w:r>
      <w:r w:rsidRPr="00907858">
        <w:rPr>
          <w:lang w:val="zh-CN"/>
        </w:rPr>
        <w:t>341</w:t>
      </w:r>
      <w:r w:rsidRPr="00907858">
        <w:rPr>
          <w:lang w:val="zh-CN"/>
        </w:rPr>
        <w:t>段；同上，《第六十七届会议，补编第</w:t>
      </w:r>
      <w:r w:rsidRPr="00907858">
        <w:rPr>
          <w:lang w:val="zh-CN"/>
        </w:rPr>
        <w:t>10</w:t>
      </w:r>
      <w:r w:rsidRPr="00907858">
        <w:rPr>
          <w:lang w:val="zh-CN"/>
        </w:rPr>
        <w:t>号》</w:t>
      </w:r>
      <w:r w:rsidRPr="00907858">
        <w:rPr>
          <w:lang w:val="zh-CN"/>
        </w:rPr>
        <w:t>(</w:t>
      </w:r>
      <w:hyperlink r:id="rId40" w:history="1">
        <w:r w:rsidRPr="00907858">
          <w:rPr>
            <w:rStyle w:val="af"/>
          </w:rPr>
          <w:t>A/67/10</w:t>
        </w:r>
      </w:hyperlink>
      <w:r w:rsidRPr="00907858">
        <w:rPr>
          <w:lang w:val="zh-CN"/>
        </w:rPr>
        <w:t>)</w:t>
      </w:r>
      <w:r w:rsidRPr="00907858">
        <w:rPr>
          <w:lang w:val="zh-CN"/>
        </w:rPr>
        <w:t>，第</w:t>
      </w:r>
      <w:r w:rsidRPr="00907858">
        <w:rPr>
          <w:lang w:val="zh-CN"/>
        </w:rPr>
        <w:t>230</w:t>
      </w:r>
      <w:r w:rsidRPr="00907858">
        <w:rPr>
          <w:rFonts w:hint="eastAsia"/>
          <w:lang w:val="zh-CN"/>
        </w:rPr>
        <w:t>-</w:t>
      </w:r>
      <w:r w:rsidRPr="00907858">
        <w:rPr>
          <w:lang w:val="zh-CN"/>
        </w:rPr>
        <w:t>231</w:t>
      </w:r>
      <w:r w:rsidRPr="00907858">
        <w:rPr>
          <w:lang w:val="zh-CN"/>
        </w:rPr>
        <w:t>段。</w:t>
      </w:r>
    </w:p>
  </w:footnote>
  <w:footnote w:id="381">
    <w:p w:rsidR="00AB00DE" w:rsidRPr="00907858" w:rsidRDefault="00AB00DE" w:rsidP="008D7906">
      <w:pPr>
        <w:pStyle w:val="a4"/>
      </w:pPr>
      <w:r w:rsidRPr="00907858">
        <w:rPr>
          <w:lang w:val="zh-CN"/>
        </w:rPr>
        <w:tab/>
      </w:r>
      <w:r w:rsidRPr="00907858">
        <w:rPr>
          <w:rStyle w:val="a5"/>
          <w:szCs w:val="21"/>
          <w:lang w:val="zh-CN"/>
        </w:rPr>
        <w:footnoteRef/>
      </w:r>
      <w:r w:rsidRPr="00907858">
        <w:rPr>
          <w:lang w:val="zh-CN"/>
        </w:rPr>
        <w:tab/>
      </w:r>
      <w:r w:rsidRPr="00907858">
        <w:rPr>
          <w:lang w:val="zh-CN"/>
        </w:rPr>
        <w:t>同上，《第六十七届会议，补编第</w:t>
      </w:r>
      <w:r w:rsidRPr="00907858">
        <w:rPr>
          <w:lang w:val="zh-CN"/>
        </w:rPr>
        <w:t>10</w:t>
      </w:r>
      <w:r w:rsidRPr="00907858">
        <w:rPr>
          <w:lang w:val="zh-CN"/>
        </w:rPr>
        <w:t>号》</w:t>
      </w:r>
      <w:r w:rsidRPr="00907858">
        <w:rPr>
          <w:lang w:val="zh-CN"/>
        </w:rPr>
        <w:t>(</w:t>
      </w:r>
      <w:hyperlink r:id="rId41" w:history="1">
        <w:r w:rsidRPr="00907858">
          <w:rPr>
            <w:rStyle w:val="af"/>
          </w:rPr>
          <w:t>A/67/10</w:t>
        </w:r>
      </w:hyperlink>
      <w:r w:rsidRPr="00907858">
        <w:rPr>
          <w:lang w:val="zh-CN"/>
        </w:rPr>
        <w:t>)</w:t>
      </w:r>
      <w:r w:rsidRPr="00907858">
        <w:rPr>
          <w:lang w:val="zh-CN"/>
        </w:rPr>
        <w:t>，第</w:t>
      </w:r>
      <w:r w:rsidRPr="00907858">
        <w:rPr>
          <w:lang w:val="zh-CN"/>
        </w:rPr>
        <w:t>232</w:t>
      </w:r>
      <w:r w:rsidRPr="00907858">
        <w:rPr>
          <w:rFonts w:hint="eastAsia"/>
          <w:lang w:val="zh-CN"/>
        </w:rPr>
        <w:t>-</w:t>
      </w:r>
      <w:r w:rsidRPr="00907858">
        <w:rPr>
          <w:lang w:val="zh-CN"/>
        </w:rPr>
        <w:t>234</w:t>
      </w:r>
      <w:r w:rsidRPr="00907858">
        <w:rPr>
          <w:lang w:val="zh-CN"/>
        </w:rPr>
        <w:t>段。在第六十三届会议上</w:t>
      </w:r>
      <w:r w:rsidRPr="00907858">
        <w:rPr>
          <w:lang w:val="zh-CN"/>
        </w:rPr>
        <w:t>(2011</w:t>
      </w:r>
      <w:r w:rsidRPr="00907858">
        <w:rPr>
          <w:lang w:val="zh-CN"/>
        </w:rPr>
        <w:t>年</w:t>
      </w:r>
      <w:r w:rsidRPr="00907858">
        <w:rPr>
          <w:lang w:val="zh-CN"/>
        </w:rPr>
        <w:t>)</w:t>
      </w:r>
      <w:r w:rsidRPr="00907858">
        <w:rPr>
          <w:lang w:val="zh-CN"/>
        </w:rPr>
        <w:t>，研究组主席提交了参照研究组讨论情况重新拟订的九项初步结论</w:t>
      </w:r>
      <w:r w:rsidRPr="00907858">
        <w:rPr>
          <w:lang w:val="zh-CN"/>
        </w:rPr>
        <w:t>(</w:t>
      </w:r>
      <w:r w:rsidRPr="00907858">
        <w:rPr>
          <w:lang w:val="zh-CN"/>
        </w:rPr>
        <w:t>同上，《第六十六届会议，补编第</w:t>
      </w:r>
      <w:r w:rsidRPr="00907858">
        <w:rPr>
          <w:lang w:val="zh-CN"/>
        </w:rPr>
        <w:t>10</w:t>
      </w:r>
      <w:r w:rsidRPr="00907858">
        <w:rPr>
          <w:lang w:val="zh-CN"/>
        </w:rPr>
        <w:t>号》</w:t>
      </w:r>
      <w:r w:rsidRPr="00907858">
        <w:rPr>
          <w:lang w:val="zh-CN"/>
        </w:rPr>
        <w:t>(</w:t>
      </w:r>
      <w:hyperlink r:id="rId42" w:history="1">
        <w:r w:rsidRPr="00907858">
          <w:rPr>
            <w:rStyle w:val="af"/>
          </w:rPr>
          <w:t>A/66/10</w:t>
        </w:r>
      </w:hyperlink>
      <w:r w:rsidRPr="00907858">
        <w:rPr>
          <w:lang w:val="zh-CN"/>
        </w:rPr>
        <w:t>)</w:t>
      </w:r>
      <w:r w:rsidRPr="00907858">
        <w:rPr>
          <w:lang w:val="zh-CN"/>
        </w:rPr>
        <w:t>，第</w:t>
      </w:r>
      <w:r w:rsidRPr="00907858">
        <w:rPr>
          <w:lang w:val="zh-CN"/>
        </w:rPr>
        <w:t>344</w:t>
      </w:r>
      <w:r w:rsidRPr="00907858">
        <w:rPr>
          <w:lang w:val="zh-CN"/>
        </w:rPr>
        <w:t>段</w:t>
      </w:r>
      <w:r w:rsidRPr="00907858">
        <w:rPr>
          <w:lang w:val="zh-CN"/>
        </w:rPr>
        <w:t>)</w:t>
      </w:r>
      <w:r w:rsidRPr="00907858">
        <w:rPr>
          <w:lang w:val="zh-CN"/>
        </w:rPr>
        <w:t>。在第六十四届会议上</w:t>
      </w:r>
      <w:r w:rsidRPr="00907858">
        <w:rPr>
          <w:lang w:val="zh-CN"/>
        </w:rPr>
        <w:t>(2012</w:t>
      </w:r>
      <w:r w:rsidRPr="00907858">
        <w:rPr>
          <w:lang w:val="zh-CN"/>
        </w:rPr>
        <w:t>年</w:t>
      </w:r>
      <w:r w:rsidRPr="00907858">
        <w:rPr>
          <w:lang w:val="zh-CN"/>
        </w:rPr>
        <w:t>)</w:t>
      </w:r>
      <w:r w:rsidRPr="00907858">
        <w:rPr>
          <w:lang w:val="zh-CN"/>
        </w:rPr>
        <w:t>，研究组主席提交了也是参照研究组讨论情况重新拟订的另外六项初步结论</w:t>
      </w:r>
      <w:r w:rsidRPr="00907858">
        <w:rPr>
          <w:lang w:val="zh-CN"/>
        </w:rPr>
        <w:t>(</w:t>
      </w:r>
      <w:r w:rsidRPr="00907858">
        <w:rPr>
          <w:lang w:val="zh-CN"/>
        </w:rPr>
        <w:t>同上，《第六十七届会议，补编第</w:t>
      </w:r>
      <w:r w:rsidRPr="00907858">
        <w:rPr>
          <w:lang w:val="zh-CN"/>
        </w:rPr>
        <w:t>10</w:t>
      </w:r>
      <w:r w:rsidRPr="00907858">
        <w:rPr>
          <w:lang w:val="zh-CN"/>
        </w:rPr>
        <w:t>号》</w:t>
      </w:r>
      <w:r w:rsidRPr="00907858">
        <w:rPr>
          <w:lang w:val="zh-CN"/>
        </w:rPr>
        <w:t>(</w:t>
      </w:r>
      <w:hyperlink r:id="rId43" w:history="1">
        <w:r w:rsidRPr="00907858">
          <w:rPr>
            <w:rStyle w:val="af"/>
          </w:rPr>
          <w:t>A/67/10</w:t>
        </w:r>
      </w:hyperlink>
      <w:r w:rsidRPr="00907858">
        <w:rPr>
          <w:lang w:val="zh-CN"/>
        </w:rPr>
        <w:t>)</w:t>
      </w:r>
      <w:r w:rsidRPr="00907858">
        <w:rPr>
          <w:lang w:val="zh-CN"/>
        </w:rPr>
        <w:t>，第</w:t>
      </w:r>
      <w:r w:rsidRPr="00907858">
        <w:rPr>
          <w:lang w:val="zh-CN"/>
        </w:rPr>
        <w:t>240</w:t>
      </w:r>
      <w:r w:rsidRPr="00907858">
        <w:rPr>
          <w:lang w:val="zh-CN"/>
        </w:rPr>
        <w:t>段</w:t>
      </w:r>
      <w:r w:rsidRPr="00907858">
        <w:rPr>
          <w:lang w:val="zh-CN"/>
        </w:rPr>
        <w:t>)</w:t>
      </w:r>
      <w:r w:rsidRPr="00907858">
        <w:rPr>
          <w:lang w:val="zh-CN"/>
        </w:rPr>
        <w:t>。研究组还讨论了此专题进一步工作应采取的形式以及工作的可能成果。研究组主席提出了若干建议并得到研究组的赞同</w:t>
      </w:r>
      <w:r w:rsidRPr="00907858">
        <w:rPr>
          <w:lang w:val="zh-CN"/>
        </w:rPr>
        <w:t>(</w:t>
      </w:r>
      <w:r w:rsidRPr="00907858">
        <w:rPr>
          <w:lang w:val="zh-CN"/>
        </w:rPr>
        <w:t>同上，第</w:t>
      </w:r>
      <w:r w:rsidRPr="00907858">
        <w:rPr>
          <w:lang w:val="zh-CN"/>
        </w:rPr>
        <w:t>235</w:t>
      </w:r>
      <w:r w:rsidRPr="00907858">
        <w:rPr>
          <w:rFonts w:hint="eastAsia"/>
          <w:lang w:val="zh-CN"/>
        </w:rPr>
        <w:t>-</w:t>
      </w:r>
      <w:r w:rsidRPr="00907858">
        <w:rPr>
          <w:lang w:val="zh-CN"/>
        </w:rPr>
        <w:t>239</w:t>
      </w:r>
      <w:r w:rsidRPr="00907858">
        <w:rPr>
          <w:lang w:val="zh-CN"/>
        </w:rPr>
        <w:t>段</w:t>
      </w:r>
      <w:r w:rsidRPr="00907858">
        <w:rPr>
          <w:lang w:val="zh-CN"/>
        </w:rPr>
        <w:t>)</w:t>
      </w:r>
      <w:r w:rsidRPr="00907858">
        <w:rPr>
          <w:lang w:val="zh-CN"/>
        </w:rPr>
        <w:t>。</w:t>
      </w:r>
    </w:p>
  </w:footnote>
  <w:footnote w:id="382">
    <w:p w:rsidR="00AB00DE" w:rsidRPr="00907858" w:rsidRDefault="00AB00DE" w:rsidP="008D7906">
      <w:pPr>
        <w:pStyle w:val="a4"/>
      </w:pPr>
      <w:r w:rsidRPr="00907858">
        <w:rPr>
          <w:lang w:val="zh-CN"/>
        </w:rPr>
        <w:tab/>
      </w:r>
      <w:r w:rsidRPr="00907858">
        <w:rPr>
          <w:rStyle w:val="a5"/>
          <w:szCs w:val="21"/>
          <w:lang w:val="zh-CN"/>
        </w:rPr>
        <w:footnoteRef/>
      </w:r>
      <w:r w:rsidRPr="00907858">
        <w:rPr>
          <w:lang w:val="zh-CN"/>
        </w:rPr>
        <w:tab/>
      </w:r>
      <w:r w:rsidRPr="00907858">
        <w:rPr>
          <w:lang w:val="zh-CN"/>
        </w:rPr>
        <w:t>同上，《第六十七届会议，补编第</w:t>
      </w:r>
      <w:r w:rsidRPr="00907858">
        <w:rPr>
          <w:lang w:val="zh-CN"/>
        </w:rPr>
        <w:t>10</w:t>
      </w:r>
      <w:r w:rsidRPr="00907858">
        <w:rPr>
          <w:lang w:val="zh-CN"/>
        </w:rPr>
        <w:t>号》</w:t>
      </w:r>
      <w:r w:rsidRPr="00907858">
        <w:rPr>
          <w:lang w:val="zh-CN"/>
        </w:rPr>
        <w:t>(</w:t>
      </w:r>
      <w:hyperlink r:id="rId44" w:history="1">
        <w:r w:rsidRPr="00907858">
          <w:rPr>
            <w:rStyle w:val="af"/>
          </w:rPr>
          <w:t>A/67/10</w:t>
        </w:r>
      </w:hyperlink>
      <w:r w:rsidRPr="00907858">
        <w:rPr>
          <w:lang w:val="zh-CN"/>
        </w:rPr>
        <w:t>)</w:t>
      </w:r>
      <w:r w:rsidRPr="00907858">
        <w:rPr>
          <w:lang w:val="zh-CN"/>
        </w:rPr>
        <w:t>，第</w:t>
      </w:r>
      <w:r w:rsidRPr="00907858">
        <w:rPr>
          <w:lang w:val="zh-CN"/>
        </w:rPr>
        <w:t>226</w:t>
      </w:r>
      <w:r w:rsidRPr="00907858">
        <w:rPr>
          <w:lang w:val="zh-CN"/>
        </w:rPr>
        <w:t>和第</w:t>
      </w:r>
      <w:r w:rsidRPr="00907858">
        <w:rPr>
          <w:lang w:val="zh-CN"/>
        </w:rPr>
        <w:t>239</w:t>
      </w:r>
      <w:r w:rsidRPr="00907858">
        <w:rPr>
          <w:lang w:val="zh-CN"/>
        </w:rPr>
        <w:t>段。</w:t>
      </w:r>
    </w:p>
  </w:footnote>
  <w:footnote w:id="383">
    <w:p w:rsidR="00AB00DE" w:rsidRPr="00907858" w:rsidRDefault="00AB00DE" w:rsidP="008D7906">
      <w:pPr>
        <w:pStyle w:val="a4"/>
      </w:pPr>
      <w:r w:rsidRPr="00907858">
        <w:rPr>
          <w:lang w:val="zh-CN"/>
        </w:rPr>
        <w:tab/>
      </w:r>
      <w:r w:rsidRPr="00907858">
        <w:rPr>
          <w:rStyle w:val="a5"/>
          <w:szCs w:val="21"/>
          <w:lang w:val="zh-CN"/>
        </w:rPr>
        <w:footnoteRef/>
      </w:r>
      <w:r w:rsidRPr="00907858">
        <w:rPr>
          <w:rStyle w:val="a5"/>
          <w:szCs w:val="21"/>
        </w:rPr>
        <w:tab/>
      </w:r>
      <w:r w:rsidRPr="00907858">
        <w:rPr>
          <w:lang w:val="zh-CN"/>
        </w:rPr>
        <w:t>同上，第</w:t>
      </w:r>
      <w:r w:rsidRPr="00907858">
        <w:rPr>
          <w:lang w:val="zh-CN"/>
        </w:rPr>
        <w:t>227</w:t>
      </w:r>
      <w:r w:rsidRPr="00907858">
        <w:rPr>
          <w:lang w:val="zh-CN"/>
        </w:rPr>
        <w:t>段。</w:t>
      </w:r>
    </w:p>
  </w:footnote>
  <w:footnote w:id="384">
    <w:p w:rsidR="00AB00DE" w:rsidRPr="00907858" w:rsidRDefault="00AB00DE" w:rsidP="008D7906">
      <w:pPr>
        <w:pStyle w:val="a4"/>
      </w:pPr>
      <w:r w:rsidRPr="00907858">
        <w:rPr>
          <w:lang w:val="zh-CN"/>
        </w:rPr>
        <w:tab/>
      </w:r>
      <w:r w:rsidRPr="00907858">
        <w:rPr>
          <w:rStyle w:val="a5"/>
          <w:szCs w:val="21"/>
          <w:lang w:val="zh-CN"/>
        </w:rPr>
        <w:footnoteRef/>
      </w:r>
      <w:r w:rsidRPr="00907858">
        <w:rPr>
          <w:lang w:val="zh-CN"/>
        </w:rPr>
        <w:tab/>
      </w:r>
      <w:r w:rsidRPr="00907858">
        <w:rPr>
          <w:lang w:val="zh-CN"/>
        </w:rPr>
        <w:t>同上，《第六十八届会议，补编第</w:t>
      </w:r>
      <w:r w:rsidRPr="00907858">
        <w:rPr>
          <w:lang w:val="zh-CN"/>
        </w:rPr>
        <w:t>10</w:t>
      </w:r>
      <w:r w:rsidRPr="00907858">
        <w:rPr>
          <w:lang w:val="zh-CN"/>
        </w:rPr>
        <w:t>号》</w:t>
      </w:r>
      <w:r w:rsidRPr="00907858">
        <w:rPr>
          <w:lang w:val="zh-CN"/>
        </w:rPr>
        <w:t>(</w:t>
      </w:r>
      <w:hyperlink r:id="rId45" w:history="1">
        <w:r w:rsidRPr="00907858">
          <w:rPr>
            <w:rStyle w:val="af"/>
          </w:rPr>
          <w:t>A/68/10</w:t>
        </w:r>
      </w:hyperlink>
      <w:r w:rsidRPr="00907858">
        <w:rPr>
          <w:lang w:val="zh-CN"/>
        </w:rPr>
        <w:t>)</w:t>
      </w:r>
      <w:r w:rsidRPr="00907858">
        <w:rPr>
          <w:lang w:val="zh-CN"/>
        </w:rPr>
        <w:t>，第</w:t>
      </w:r>
      <w:r w:rsidRPr="00907858">
        <w:rPr>
          <w:lang w:val="zh-CN"/>
        </w:rPr>
        <w:t>3</w:t>
      </w:r>
      <w:r w:rsidRPr="00907858">
        <w:rPr>
          <w:rFonts w:hint="eastAsia"/>
          <w:lang w:val="zh-CN"/>
        </w:rPr>
        <w:t>3-</w:t>
      </w:r>
      <w:r w:rsidRPr="00907858">
        <w:rPr>
          <w:lang w:val="zh-CN"/>
        </w:rPr>
        <w:t>39</w:t>
      </w:r>
      <w:r w:rsidRPr="00907858">
        <w:rPr>
          <w:lang w:val="zh-CN"/>
        </w:rPr>
        <w:t>段。委员会暂时通过了结论草案</w:t>
      </w:r>
      <w:r w:rsidRPr="00907858">
        <w:rPr>
          <w:lang w:val="zh-CN"/>
        </w:rPr>
        <w:t>1(</w:t>
      </w:r>
      <w:r w:rsidRPr="00907858">
        <w:rPr>
          <w:lang w:val="zh-CN"/>
        </w:rPr>
        <w:t>条约解释通则和资料</w:t>
      </w:r>
      <w:r w:rsidRPr="00907858">
        <w:rPr>
          <w:lang w:val="zh-CN"/>
        </w:rPr>
        <w:t>)</w:t>
      </w:r>
      <w:r w:rsidRPr="00907858">
        <w:rPr>
          <w:lang w:val="zh-CN"/>
        </w:rPr>
        <w:t>、结论草案</w:t>
      </w:r>
      <w:r w:rsidRPr="00907858">
        <w:rPr>
          <w:lang w:val="zh-CN"/>
        </w:rPr>
        <w:t>2(</w:t>
      </w:r>
      <w:r w:rsidRPr="00907858">
        <w:rPr>
          <w:lang w:val="zh-CN"/>
        </w:rPr>
        <w:t>以嗣后协定和嗣后惯例作为作准的解释资料</w:t>
      </w:r>
      <w:r w:rsidRPr="00907858">
        <w:rPr>
          <w:lang w:val="zh-CN"/>
        </w:rPr>
        <w:t>)</w:t>
      </w:r>
      <w:r w:rsidRPr="00907858">
        <w:rPr>
          <w:lang w:val="zh-CN"/>
        </w:rPr>
        <w:t>、结论草案</w:t>
      </w:r>
      <w:r w:rsidRPr="00907858">
        <w:rPr>
          <w:lang w:val="zh-CN"/>
        </w:rPr>
        <w:t>3(</w:t>
      </w:r>
      <w:r w:rsidRPr="00907858">
        <w:rPr>
          <w:lang w:val="zh-CN"/>
        </w:rPr>
        <w:t>能够随时间演变的条约用语的解释</w:t>
      </w:r>
      <w:r w:rsidRPr="00907858">
        <w:rPr>
          <w:lang w:val="zh-CN"/>
        </w:rPr>
        <w:t>)</w:t>
      </w:r>
      <w:r w:rsidRPr="00907858">
        <w:rPr>
          <w:lang w:val="zh-CN"/>
        </w:rPr>
        <w:t>、结论草案</w:t>
      </w:r>
      <w:r w:rsidRPr="00907858">
        <w:rPr>
          <w:lang w:val="zh-CN"/>
        </w:rPr>
        <w:t>4(</w:t>
      </w:r>
      <w:r w:rsidRPr="00907858">
        <w:rPr>
          <w:lang w:val="zh-CN"/>
        </w:rPr>
        <w:t>嗣后协定和嗣后惯例的定义</w:t>
      </w:r>
      <w:r w:rsidRPr="00907858">
        <w:rPr>
          <w:lang w:val="zh-CN"/>
        </w:rPr>
        <w:t>)</w:t>
      </w:r>
      <w:r w:rsidRPr="00907858">
        <w:rPr>
          <w:lang w:val="zh-CN"/>
        </w:rPr>
        <w:t>和结论草案</w:t>
      </w:r>
      <w:r w:rsidRPr="00907858">
        <w:rPr>
          <w:lang w:val="zh-CN"/>
        </w:rPr>
        <w:t>5(</w:t>
      </w:r>
      <w:r w:rsidRPr="00907858">
        <w:rPr>
          <w:lang w:val="zh-CN"/>
        </w:rPr>
        <w:t>嗣后惯例的归属</w:t>
      </w:r>
      <w:r w:rsidRPr="00907858">
        <w:rPr>
          <w:lang w:val="zh-CN"/>
        </w:rPr>
        <w:t>)</w:t>
      </w:r>
      <w:r w:rsidRPr="00907858">
        <w:rPr>
          <w:lang w:val="zh-CN"/>
        </w:rPr>
        <w:t>。</w:t>
      </w:r>
    </w:p>
  </w:footnote>
  <w:footnote w:id="385">
    <w:p w:rsidR="00AB00DE" w:rsidRPr="00907858" w:rsidRDefault="00AB00DE" w:rsidP="008D7906">
      <w:pPr>
        <w:pStyle w:val="a4"/>
      </w:pPr>
      <w:r w:rsidRPr="00907858">
        <w:rPr>
          <w:lang w:val="zh-CN"/>
        </w:rPr>
        <w:tab/>
      </w:r>
      <w:r w:rsidRPr="00907858">
        <w:rPr>
          <w:rStyle w:val="a5"/>
          <w:szCs w:val="21"/>
          <w:lang w:val="zh-CN"/>
        </w:rPr>
        <w:footnoteRef/>
      </w:r>
      <w:r w:rsidRPr="00907858">
        <w:rPr>
          <w:lang w:val="zh-CN"/>
        </w:rPr>
        <w:tab/>
      </w:r>
      <w:r w:rsidRPr="00907858">
        <w:rPr>
          <w:lang w:val="zh-CN"/>
        </w:rPr>
        <w:t>同上，《第六十九届会议，补编第</w:t>
      </w:r>
      <w:r w:rsidRPr="00907858">
        <w:rPr>
          <w:lang w:val="zh-CN"/>
        </w:rPr>
        <w:t>10</w:t>
      </w:r>
      <w:r w:rsidRPr="00907858">
        <w:rPr>
          <w:lang w:val="zh-CN"/>
        </w:rPr>
        <w:t>号》</w:t>
      </w:r>
      <w:r w:rsidRPr="00907858">
        <w:rPr>
          <w:lang w:val="zh-CN"/>
        </w:rPr>
        <w:t>(</w:t>
      </w:r>
      <w:hyperlink r:id="rId46" w:history="1">
        <w:r w:rsidRPr="00907858">
          <w:rPr>
            <w:rStyle w:val="af"/>
          </w:rPr>
          <w:t>A/69/10</w:t>
        </w:r>
      </w:hyperlink>
      <w:r w:rsidRPr="00907858">
        <w:rPr>
          <w:lang w:val="zh-CN"/>
        </w:rPr>
        <w:t>)</w:t>
      </w:r>
      <w:r w:rsidRPr="00907858">
        <w:rPr>
          <w:lang w:val="zh-CN"/>
        </w:rPr>
        <w:t>，第</w:t>
      </w:r>
      <w:r w:rsidRPr="00907858">
        <w:rPr>
          <w:lang w:val="zh-CN"/>
        </w:rPr>
        <w:t>70</w:t>
      </w:r>
      <w:r w:rsidRPr="00907858">
        <w:rPr>
          <w:rFonts w:hint="eastAsia"/>
          <w:lang w:val="zh-CN"/>
        </w:rPr>
        <w:t>-</w:t>
      </w:r>
      <w:r w:rsidRPr="00907858">
        <w:rPr>
          <w:lang w:val="zh-CN"/>
        </w:rPr>
        <w:t>76</w:t>
      </w:r>
      <w:r w:rsidRPr="00907858">
        <w:rPr>
          <w:lang w:val="zh-CN"/>
        </w:rPr>
        <w:t>段。委员会暂时通过了结论草案</w:t>
      </w:r>
      <w:r w:rsidRPr="00907858">
        <w:rPr>
          <w:lang w:val="zh-CN"/>
        </w:rPr>
        <w:t>6(</w:t>
      </w:r>
      <w:r w:rsidRPr="00907858">
        <w:rPr>
          <w:lang w:val="zh-CN"/>
        </w:rPr>
        <w:t>嗣后协定和嗣后惯例的识别</w:t>
      </w:r>
      <w:r w:rsidRPr="00907858">
        <w:rPr>
          <w:lang w:val="zh-CN"/>
        </w:rPr>
        <w:t>)</w:t>
      </w:r>
      <w:r w:rsidRPr="00907858">
        <w:rPr>
          <w:lang w:val="zh-CN"/>
        </w:rPr>
        <w:t>、结论草案</w:t>
      </w:r>
      <w:r w:rsidRPr="00907858">
        <w:rPr>
          <w:lang w:val="zh-CN"/>
        </w:rPr>
        <w:t>7(</w:t>
      </w:r>
      <w:r w:rsidRPr="00907858">
        <w:rPr>
          <w:lang w:val="zh-CN"/>
        </w:rPr>
        <w:t>嗣后协定和嗣后惯例可能对解释产生的影响</w:t>
      </w:r>
      <w:r w:rsidRPr="00907858">
        <w:rPr>
          <w:lang w:val="zh-CN"/>
        </w:rPr>
        <w:t>)</w:t>
      </w:r>
      <w:r w:rsidRPr="00907858">
        <w:rPr>
          <w:lang w:val="zh-CN"/>
        </w:rPr>
        <w:t>、结论草案</w:t>
      </w:r>
      <w:r w:rsidRPr="00907858">
        <w:rPr>
          <w:lang w:val="zh-CN"/>
        </w:rPr>
        <w:t>8(</w:t>
      </w:r>
      <w:r w:rsidRPr="00907858">
        <w:rPr>
          <w:lang w:val="zh-CN"/>
        </w:rPr>
        <w:t>嗣后协定和嗣后惯例作为解释资料的权重</w:t>
      </w:r>
      <w:r w:rsidRPr="00907858">
        <w:rPr>
          <w:lang w:val="zh-CN"/>
        </w:rPr>
        <w:t>)</w:t>
      </w:r>
      <w:r w:rsidRPr="00907858">
        <w:rPr>
          <w:lang w:val="zh-CN"/>
        </w:rPr>
        <w:t>、结论草案</w:t>
      </w:r>
      <w:r w:rsidRPr="00907858">
        <w:rPr>
          <w:lang w:val="zh-CN"/>
        </w:rPr>
        <w:t>9(</w:t>
      </w:r>
      <w:r w:rsidRPr="00907858">
        <w:rPr>
          <w:lang w:val="zh-CN"/>
        </w:rPr>
        <w:t>与条约解释有关的缔约方协定</w:t>
      </w:r>
      <w:r w:rsidRPr="00907858">
        <w:rPr>
          <w:lang w:val="zh-CN"/>
        </w:rPr>
        <w:t>)</w:t>
      </w:r>
      <w:r w:rsidRPr="00907858">
        <w:rPr>
          <w:lang w:val="zh-CN"/>
        </w:rPr>
        <w:t>和结论草案</w:t>
      </w:r>
      <w:r w:rsidRPr="00907858">
        <w:rPr>
          <w:lang w:val="zh-CN"/>
        </w:rPr>
        <w:t>10(</w:t>
      </w:r>
      <w:r w:rsidRPr="00907858">
        <w:rPr>
          <w:lang w:val="zh-CN"/>
        </w:rPr>
        <w:t>在缔约国大会框架内通过的决定</w:t>
      </w:r>
      <w:r w:rsidRPr="00907858">
        <w:rPr>
          <w:lang w:val="zh-CN"/>
        </w:rPr>
        <w:t>)</w:t>
      </w:r>
      <w:r w:rsidRPr="00907858">
        <w:rPr>
          <w:lang w:val="zh-CN"/>
        </w:rPr>
        <w:t>。</w:t>
      </w:r>
    </w:p>
  </w:footnote>
  <w:footnote w:id="386">
    <w:p w:rsidR="00AB00DE" w:rsidRPr="00907858" w:rsidRDefault="00AB00DE" w:rsidP="008D7906">
      <w:pPr>
        <w:pStyle w:val="a4"/>
      </w:pPr>
      <w:r w:rsidRPr="00907858">
        <w:rPr>
          <w:rFonts w:hint="eastAsia"/>
          <w:lang w:val="zh-CN"/>
        </w:rPr>
        <w:tab/>
      </w:r>
      <w:r w:rsidRPr="00907858">
        <w:rPr>
          <w:rStyle w:val="a5"/>
          <w:szCs w:val="21"/>
          <w:lang w:val="zh-CN"/>
        </w:rPr>
        <w:footnoteRef/>
      </w:r>
      <w:r w:rsidRPr="00907858">
        <w:rPr>
          <w:rStyle w:val="a5"/>
          <w:szCs w:val="21"/>
        </w:rPr>
        <w:tab/>
      </w:r>
      <w:r w:rsidRPr="00907858">
        <w:rPr>
          <w:lang w:val="zh-CN"/>
        </w:rPr>
        <w:t>同上，《第七十届会议，补编第</w:t>
      </w:r>
      <w:r w:rsidRPr="00907858">
        <w:rPr>
          <w:lang w:val="zh-CN"/>
        </w:rPr>
        <w:t>10</w:t>
      </w:r>
      <w:r w:rsidRPr="00907858">
        <w:rPr>
          <w:lang w:val="zh-CN"/>
        </w:rPr>
        <w:t>号》</w:t>
      </w:r>
      <w:r w:rsidRPr="00907858">
        <w:rPr>
          <w:lang w:val="zh-CN"/>
        </w:rPr>
        <w:t>(</w:t>
      </w:r>
      <w:hyperlink r:id="rId47" w:history="1">
        <w:r w:rsidRPr="00907858">
          <w:rPr>
            <w:rStyle w:val="af"/>
          </w:rPr>
          <w:t>A/70/10</w:t>
        </w:r>
      </w:hyperlink>
      <w:r w:rsidRPr="00907858">
        <w:rPr>
          <w:lang w:val="zh-CN"/>
        </w:rPr>
        <w:t>)</w:t>
      </w:r>
      <w:r w:rsidRPr="00907858">
        <w:rPr>
          <w:lang w:val="zh-CN"/>
        </w:rPr>
        <w:t>，第</w:t>
      </w:r>
      <w:r w:rsidRPr="00907858">
        <w:rPr>
          <w:lang w:val="zh-CN"/>
        </w:rPr>
        <w:t>12</w:t>
      </w:r>
      <w:r w:rsidRPr="00907858">
        <w:rPr>
          <w:rFonts w:hint="eastAsia"/>
          <w:lang w:val="zh-CN"/>
        </w:rPr>
        <w:t>3-</w:t>
      </w:r>
      <w:r w:rsidRPr="00907858">
        <w:rPr>
          <w:lang w:val="zh-CN"/>
        </w:rPr>
        <w:t>129</w:t>
      </w:r>
      <w:r w:rsidRPr="00907858">
        <w:rPr>
          <w:lang w:val="zh-CN"/>
        </w:rPr>
        <w:t>段。委员会暂时通过了结论草案</w:t>
      </w:r>
      <w:r w:rsidRPr="00907858">
        <w:rPr>
          <w:lang w:val="zh-CN"/>
        </w:rPr>
        <w:t>11(</w:t>
      </w:r>
      <w:r w:rsidRPr="00907858">
        <w:rPr>
          <w:lang w:val="zh-CN"/>
        </w:rPr>
        <w:t>国际组织的组成</w:t>
      </w:r>
      <w:r w:rsidRPr="00907858">
        <w:rPr>
          <w:rFonts w:hint="eastAsia"/>
          <w:lang w:val="zh-CN"/>
        </w:rPr>
        <w:t>文书</w:t>
      </w:r>
      <w:r w:rsidRPr="00907858">
        <w:rPr>
          <w:lang w:val="zh-CN"/>
        </w:rPr>
        <w:t>)</w:t>
      </w:r>
      <w:r w:rsidRPr="00907858">
        <w:rPr>
          <w:lang w:val="zh-CN"/>
        </w:rPr>
        <w:t>。</w:t>
      </w:r>
    </w:p>
  </w:footnote>
  <w:footnote w:id="387">
    <w:p w:rsidR="00AB00DE" w:rsidRPr="009D48A5" w:rsidRDefault="00AB00DE" w:rsidP="008D7906">
      <w:pPr>
        <w:pStyle w:val="a4"/>
      </w:pPr>
      <w:r w:rsidRPr="009D48A5">
        <w:rPr>
          <w:rFonts w:hint="eastAsia"/>
          <w:lang w:val="zh-CN"/>
        </w:rPr>
        <w:tab/>
      </w:r>
      <w:r w:rsidRPr="00DF5565">
        <w:rPr>
          <w:rStyle w:val="a5"/>
          <w:szCs w:val="22"/>
          <w:lang w:val="zh-CN"/>
        </w:rPr>
        <w:footnoteRef/>
      </w:r>
      <w:r w:rsidRPr="009D48A5">
        <w:rPr>
          <w:rFonts w:hint="eastAsia"/>
          <w:lang w:val="zh-CN"/>
        </w:rPr>
        <w:tab/>
      </w:r>
      <w:r w:rsidRPr="009D48A5">
        <w:rPr>
          <w:lang w:val="zh-CN"/>
        </w:rPr>
        <w:t>委员会先前通过的结论草案编号列于方括号内。</w:t>
      </w:r>
    </w:p>
  </w:footnote>
  <w:footnote w:id="388">
    <w:p w:rsidR="00AB00DE" w:rsidRPr="009D48A5" w:rsidRDefault="00AB00DE" w:rsidP="008D7906">
      <w:pPr>
        <w:pStyle w:val="a4"/>
      </w:pPr>
      <w:r w:rsidRPr="009D48A5">
        <w:tab/>
      </w:r>
      <w:r w:rsidRPr="00DF5565">
        <w:rPr>
          <w:rStyle w:val="a5"/>
          <w:szCs w:val="22"/>
        </w:rPr>
        <w:footnoteRef/>
      </w:r>
      <w:r w:rsidRPr="009D48A5">
        <w:rPr>
          <w:rFonts w:hint="eastAsia"/>
        </w:rPr>
        <w:tab/>
      </w:r>
      <w:r w:rsidRPr="009D48A5">
        <w:rPr>
          <w:rFonts w:hint="eastAsia"/>
        </w:rPr>
        <w:t>《维也纳条约法公约》</w:t>
      </w:r>
      <w:r>
        <w:t>(</w:t>
      </w:r>
      <w:r w:rsidRPr="009D48A5">
        <w:t>1969</w:t>
      </w:r>
      <w:r w:rsidRPr="009D48A5">
        <w:rPr>
          <w:rFonts w:hint="eastAsia"/>
        </w:rPr>
        <w:t>年</w:t>
      </w:r>
      <w:r w:rsidRPr="009D48A5">
        <w:rPr>
          <w:rFonts w:hint="eastAsia"/>
        </w:rPr>
        <w:t>5</w:t>
      </w:r>
      <w:r w:rsidRPr="009D48A5">
        <w:rPr>
          <w:rFonts w:hint="eastAsia"/>
        </w:rPr>
        <w:t>月</w:t>
      </w:r>
      <w:r w:rsidRPr="009D48A5">
        <w:rPr>
          <w:rFonts w:hint="eastAsia"/>
        </w:rPr>
        <w:t>23</w:t>
      </w:r>
      <w:r w:rsidRPr="009D48A5">
        <w:rPr>
          <w:rFonts w:hint="eastAsia"/>
        </w:rPr>
        <w:t>日</w:t>
      </w:r>
      <w:r>
        <w:rPr>
          <w:rFonts w:hint="eastAsia"/>
        </w:rPr>
        <w:t>，</w:t>
      </w:r>
      <w:r w:rsidRPr="009D48A5">
        <w:rPr>
          <w:rFonts w:hint="eastAsia"/>
        </w:rPr>
        <w:t>维也纳</w:t>
      </w:r>
      <w:r>
        <w:t>)</w:t>
      </w:r>
      <w:r>
        <w:t>，</w:t>
      </w:r>
      <w:r w:rsidRPr="009D48A5">
        <w:t>联合国</w:t>
      </w:r>
      <w:r>
        <w:t>，</w:t>
      </w:r>
      <w:r w:rsidRPr="009D48A5">
        <w:t>《条约汇编》</w:t>
      </w:r>
      <w:r>
        <w:t>，</w:t>
      </w:r>
      <w:r w:rsidRPr="009D48A5">
        <w:t>第</w:t>
      </w:r>
      <w:r w:rsidRPr="009D48A5">
        <w:t>1155</w:t>
      </w:r>
      <w:r w:rsidRPr="009D48A5">
        <w:t>卷</w:t>
      </w:r>
      <w:r>
        <w:t>，</w:t>
      </w:r>
      <w:r w:rsidRPr="009D48A5">
        <w:t>第</w:t>
      </w:r>
      <w:r w:rsidRPr="009D48A5">
        <w:t>18232</w:t>
      </w:r>
      <w:r w:rsidRPr="009D48A5">
        <w:t>号</w:t>
      </w:r>
      <w:r>
        <w:t>，</w:t>
      </w:r>
      <w:r w:rsidRPr="009D48A5">
        <w:t>第</w:t>
      </w:r>
      <w:r w:rsidRPr="009D48A5">
        <w:t>331</w:t>
      </w:r>
      <w:r w:rsidRPr="009D48A5">
        <w:t>页</w:t>
      </w:r>
      <w:r w:rsidRPr="009D48A5">
        <w:rPr>
          <w:rFonts w:hint="eastAsia"/>
        </w:rPr>
        <w:t>。</w:t>
      </w:r>
    </w:p>
  </w:footnote>
  <w:footnote w:id="389">
    <w:p w:rsidR="00AB00DE" w:rsidRPr="009D48A5" w:rsidRDefault="00AB00DE" w:rsidP="008D7906">
      <w:pPr>
        <w:pStyle w:val="a4"/>
      </w:pPr>
      <w:r w:rsidRPr="009D48A5">
        <w:tab/>
      </w:r>
      <w:r w:rsidRPr="00DF5565">
        <w:rPr>
          <w:rStyle w:val="a5"/>
          <w:szCs w:val="22"/>
        </w:rPr>
        <w:footnoteRef/>
      </w:r>
      <w:r w:rsidRPr="009D48A5">
        <w:tab/>
      </w:r>
      <w:r w:rsidRPr="009D48A5">
        <w:rPr>
          <w:rFonts w:hint="eastAsia"/>
        </w:rPr>
        <w:t>与委员会以往工作成果一样</w:t>
      </w:r>
      <w:r>
        <w:rPr>
          <w:rFonts w:hint="eastAsia"/>
        </w:rPr>
        <w:t>，</w:t>
      </w:r>
      <w:r w:rsidRPr="009D48A5">
        <w:rPr>
          <w:rFonts w:hint="eastAsia"/>
        </w:rPr>
        <w:t>本结论草案应结合评注来解读。</w:t>
      </w:r>
    </w:p>
  </w:footnote>
  <w:footnote w:id="390">
    <w:p w:rsidR="00AB00DE" w:rsidRPr="009D48A5" w:rsidRDefault="00AB00DE" w:rsidP="008D7906">
      <w:pPr>
        <w:pStyle w:val="a4"/>
      </w:pPr>
      <w:r w:rsidRPr="009D48A5">
        <w:tab/>
      </w:r>
      <w:r w:rsidRPr="00DF5565">
        <w:rPr>
          <w:rStyle w:val="a5"/>
          <w:szCs w:val="22"/>
        </w:rPr>
        <w:footnoteRef/>
      </w:r>
      <w:r w:rsidRPr="009D48A5">
        <w:rPr>
          <w:rFonts w:hint="eastAsia"/>
        </w:rPr>
        <w:tab/>
      </w:r>
      <w:r w:rsidRPr="009D48A5">
        <w:rPr>
          <w:rFonts w:hint="eastAsia"/>
        </w:rPr>
        <w:t>见《关于国家和国际组织间或国际组织相互间条约的维也纳公约》</w:t>
      </w:r>
      <w:r>
        <w:t>(</w:t>
      </w:r>
      <w:r w:rsidRPr="009D48A5">
        <w:t>1986</w:t>
      </w:r>
      <w:r w:rsidRPr="009D48A5">
        <w:rPr>
          <w:rFonts w:hint="eastAsia"/>
        </w:rPr>
        <w:t>年</w:t>
      </w:r>
      <w:r w:rsidRPr="009D48A5">
        <w:rPr>
          <w:rFonts w:hint="eastAsia"/>
        </w:rPr>
        <w:t>3</w:t>
      </w:r>
      <w:r w:rsidRPr="009D48A5">
        <w:rPr>
          <w:rFonts w:hint="eastAsia"/>
        </w:rPr>
        <w:t>月</w:t>
      </w:r>
      <w:r w:rsidRPr="009D48A5">
        <w:rPr>
          <w:rFonts w:hint="eastAsia"/>
        </w:rPr>
        <w:t>21</w:t>
      </w:r>
      <w:r w:rsidRPr="009D48A5">
        <w:rPr>
          <w:rFonts w:hint="eastAsia"/>
        </w:rPr>
        <w:t>日</w:t>
      </w:r>
      <w:r>
        <w:rPr>
          <w:rFonts w:hint="eastAsia"/>
        </w:rPr>
        <w:t>，</w:t>
      </w:r>
      <w:r w:rsidRPr="009D48A5">
        <w:rPr>
          <w:rFonts w:hint="eastAsia"/>
        </w:rPr>
        <w:t>维也纳</w:t>
      </w:r>
      <w:r>
        <w:rPr>
          <w:rFonts w:hint="eastAsia"/>
        </w:rPr>
        <w:t>，</w:t>
      </w:r>
      <w:r w:rsidRPr="009D48A5">
        <w:rPr>
          <w:rFonts w:hint="eastAsia"/>
        </w:rPr>
        <w:t>尚未生效</w:t>
      </w:r>
      <w:r>
        <w:t>)(</w:t>
      </w:r>
      <w:r w:rsidRPr="009D48A5">
        <w:t>A</w:t>
      </w:r>
      <w:r>
        <w:t>/</w:t>
      </w:r>
      <w:r w:rsidRPr="009D48A5">
        <w:t>CONF.129</w:t>
      </w:r>
      <w:r>
        <w:t>/</w:t>
      </w:r>
      <w:r w:rsidRPr="009D48A5">
        <w:t>15</w:t>
      </w:r>
      <w:r>
        <w:t>)</w:t>
      </w:r>
      <w:r>
        <w:rPr>
          <w:rFonts w:hint="eastAsia"/>
        </w:rPr>
        <w:t>；</w:t>
      </w:r>
      <w:r w:rsidRPr="009D48A5">
        <w:rPr>
          <w:rFonts w:hint="eastAsia"/>
        </w:rPr>
        <w:t>不排除在评注中使用一些可能涉及这种条约但属于一般相关的材料。</w:t>
      </w:r>
    </w:p>
  </w:footnote>
  <w:footnote w:id="391">
    <w:p w:rsidR="00AB00DE" w:rsidRPr="009D48A5" w:rsidRDefault="00AB00DE" w:rsidP="008D7906">
      <w:pPr>
        <w:pStyle w:val="a4"/>
      </w:pPr>
      <w:r w:rsidRPr="009D48A5">
        <w:rPr>
          <w:lang w:val="zh-CN"/>
        </w:rPr>
        <w:tab/>
      </w:r>
      <w:r w:rsidRPr="00DF5565">
        <w:rPr>
          <w:rStyle w:val="a5"/>
          <w:szCs w:val="22"/>
          <w:lang w:val="zh-CN"/>
        </w:rPr>
        <w:footnoteRef/>
      </w:r>
      <w:r w:rsidRPr="009D48A5">
        <w:rPr>
          <w:lang w:val="zh-CN"/>
        </w:rPr>
        <w:tab/>
        <w:t>1969</w:t>
      </w:r>
      <w:r w:rsidRPr="009D48A5">
        <w:rPr>
          <w:lang w:val="zh-CN"/>
        </w:rPr>
        <w:t>年</w:t>
      </w:r>
      <w:r w:rsidRPr="009D48A5">
        <w:t>《维也纳公约》</w:t>
      </w:r>
      <w:r w:rsidRPr="009D48A5">
        <w:rPr>
          <w:lang w:val="zh-CN"/>
        </w:rPr>
        <w:t>第三十一条标题。</w:t>
      </w:r>
    </w:p>
  </w:footnote>
  <w:footnote w:id="392">
    <w:p w:rsidR="00AB00DE" w:rsidRPr="009D48A5" w:rsidRDefault="00AB00DE" w:rsidP="008D7906">
      <w:pPr>
        <w:pStyle w:val="a4"/>
      </w:pPr>
      <w:r w:rsidRPr="009D48A5">
        <w:rPr>
          <w:lang w:val="zh-CN"/>
        </w:rPr>
        <w:tab/>
      </w:r>
      <w:r w:rsidRPr="00DF5565">
        <w:rPr>
          <w:rStyle w:val="a5"/>
          <w:szCs w:val="22"/>
          <w:lang w:val="zh-CN"/>
        </w:rPr>
        <w:footnoteRef/>
      </w:r>
      <w:r w:rsidRPr="009D48A5">
        <w:rPr>
          <w:lang w:val="zh-CN"/>
        </w:rPr>
        <w:tab/>
      </w:r>
      <w:r w:rsidRPr="009D48A5">
        <w:rPr>
          <w:lang w:val="zh-CN"/>
        </w:rPr>
        <w:t>见与条约解释相关的嗣后协定和嗣后惯例第一次报告</w:t>
      </w:r>
      <w:r w:rsidRPr="00140CA6">
        <w:rPr>
          <w:lang w:val="zh-CN"/>
        </w:rPr>
        <w:t>(</w:t>
      </w:r>
      <w:hyperlink r:id="rId48" w:history="1">
        <w:r w:rsidRPr="00140CA6">
          <w:rPr>
            <w:rStyle w:val="af"/>
            <w:lang w:val="zh-CN"/>
          </w:rPr>
          <w:t>A/CN.4/660</w:t>
        </w:r>
      </w:hyperlink>
      <w:r w:rsidRPr="00140CA6">
        <w:rPr>
          <w:lang w:val="zh-CN"/>
        </w:rPr>
        <w:t>)</w:t>
      </w:r>
      <w:r w:rsidRPr="00140CA6">
        <w:rPr>
          <w:lang w:val="zh-CN"/>
        </w:rPr>
        <w:t>，</w:t>
      </w:r>
      <w:r w:rsidRPr="009D48A5">
        <w:rPr>
          <w:lang w:val="zh-CN"/>
        </w:rPr>
        <w:t>第</w:t>
      </w:r>
      <w:r w:rsidRPr="009D48A5">
        <w:rPr>
          <w:lang w:val="zh-CN"/>
        </w:rPr>
        <w:t>8</w:t>
      </w:r>
      <w:r w:rsidRPr="009D48A5">
        <w:rPr>
          <w:lang w:val="zh-CN"/>
        </w:rPr>
        <w:t>段</w:t>
      </w:r>
      <w:r>
        <w:rPr>
          <w:lang w:val="zh-CN"/>
        </w:rPr>
        <w:t>；</w:t>
      </w:r>
      <w:r w:rsidRPr="009D48A5">
        <w:rPr>
          <w:lang w:val="zh-CN"/>
        </w:rPr>
        <w:t>M.E. Villige</w:t>
      </w:r>
      <w:r>
        <w:rPr>
          <w:lang w:val="zh-CN"/>
        </w:rPr>
        <w:t xml:space="preserve">r, </w:t>
      </w:r>
      <w:r w:rsidRPr="009D48A5">
        <w:rPr>
          <w:rFonts w:hint="eastAsia"/>
          <w:lang w:val="zh-CN"/>
        </w:rPr>
        <w:t>“</w:t>
      </w:r>
      <w:r w:rsidRPr="009D48A5">
        <w:rPr>
          <w:lang w:val="zh-CN"/>
        </w:rPr>
        <w:t>1969</w:t>
      </w:r>
      <w:r w:rsidRPr="009D48A5">
        <w:rPr>
          <w:lang w:val="zh-CN"/>
        </w:rPr>
        <w:t>年</w:t>
      </w:r>
      <w:r w:rsidRPr="009D48A5">
        <w:t>《维也纳条约法公约》</w:t>
      </w:r>
      <w:r>
        <w:rPr>
          <w:lang w:val="zh-CN"/>
        </w:rPr>
        <w:t>：</w:t>
      </w:r>
      <w:r w:rsidRPr="009D48A5">
        <w:rPr>
          <w:lang w:val="zh-CN"/>
        </w:rPr>
        <w:t>40</w:t>
      </w:r>
      <w:r w:rsidRPr="009D48A5">
        <w:rPr>
          <w:lang w:val="zh-CN"/>
        </w:rPr>
        <w:t>年之后</w:t>
      </w:r>
      <w:r w:rsidRPr="009D48A5">
        <w:rPr>
          <w:rFonts w:hint="eastAsia"/>
          <w:lang w:val="zh-CN"/>
        </w:rPr>
        <w:t>”</w:t>
      </w:r>
      <w:r>
        <w:rPr>
          <w:lang w:val="zh-CN"/>
        </w:rPr>
        <w:t>，</w:t>
      </w:r>
      <w:r w:rsidRPr="009D48A5">
        <w:rPr>
          <w:lang w:val="zh-CN"/>
        </w:rPr>
        <w:t>《</w:t>
      </w:r>
      <w:r w:rsidRPr="009D48A5">
        <w:rPr>
          <w:lang w:val="zh-CN"/>
        </w:rPr>
        <w:t>2009</w:t>
      </w:r>
      <w:r w:rsidRPr="009D48A5">
        <w:rPr>
          <w:lang w:val="zh-CN"/>
        </w:rPr>
        <w:t>年海牙国际法学院教程汇编》</w:t>
      </w:r>
      <w:r>
        <w:rPr>
          <w:lang w:val="zh-CN"/>
        </w:rPr>
        <w:t>(</w:t>
      </w:r>
      <w:r w:rsidRPr="009D48A5">
        <w:rPr>
          <w:lang w:val="zh-CN"/>
        </w:rPr>
        <w:t>下称</w:t>
      </w:r>
      <w:r w:rsidRPr="009D48A5">
        <w:rPr>
          <w:rFonts w:hint="eastAsia"/>
          <w:lang w:val="zh-CN"/>
        </w:rPr>
        <w:t>“《</w:t>
      </w:r>
      <w:r w:rsidRPr="009D48A5">
        <w:rPr>
          <w:rFonts w:hint="eastAsia"/>
        </w:rPr>
        <w:t>……</w:t>
      </w:r>
      <w:r w:rsidRPr="009D48A5">
        <w:rPr>
          <w:lang w:val="zh-CN"/>
        </w:rPr>
        <w:t>教程汇编</w:t>
      </w:r>
      <w:r w:rsidRPr="009D48A5">
        <w:rPr>
          <w:rFonts w:hint="eastAsia"/>
          <w:lang w:val="zh-CN"/>
        </w:rPr>
        <w:t>》”</w:t>
      </w:r>
      <w:r>
        <w:rPr>
          <w:lang w:val="zh-CN"/>
        </w:rPr>
        <w:t>)</w:t>
      </w:r>
      <w:r>
        <w:rPr>
          <w:lang w:val="zh-CN"/>
        </w:rPr>
        <w:t>，</w:t>
      </w:r>
      <w:r w:rsidRPr="009D48A5">
        <w:rPr>
          <w:lang w:val="zh-CN"/>
        </w:rPr>
        <w:t>第</w:t>
      </w:r>
      <w:r w:rsidRPr="009D48A5">
        <w:rPr>
          <w:lang w:val="zh-CN"/>
        </w:rPr>
        <w:t>344</w:t>
      </w:r>
      <w:r w:rsidRPr="009D48A5">
        <w:rPr>
          <w:lang w:val="zh-CN"/>
        </w:rPr>
        <w:t>卷</w:t>
      </w:r>
      <w:r>
        <w:rPr>
          <w:lang w:val="zh-CN"/>
        </w:rPr>
        <w:t>，</w:t>
      </w:r>
      <w:r w:rsidRPr="009D48A5">
        <w:rPr>
          <w:lang w:val="zh-CN"/>
        </w:rPr>
        <w:t>第</w:t>
      </w:r>
      <w:r w:rsidRPr="009D48A5">
        <w:rPr>
          <w:lang w:val="zh-CN"/>
        </w:rPr>
        <w:t>9-133</w:t>
      </w:r>
      <w:r w:rsidRPr="009D48A5">
        <w:rPr>
          <w:lang w:val="zh-CN"/>
        </w:rPr>
        <w:t>页</w:t>
      </w:r>
      <w:r>
        <w:rPr>
          <w:lang w:val="zh-CN"/>
        </w:rPr>
        <w:t>，</w:t>
      </w:r>
      <w:r w:rsidRPr="009D48A5">
        <w:rPr>
          <w:lang w:val="zh-CN"/>
        </w:rPr>
        <w:t>见第</w:t>
      </w:r>
      <w:r w:rsidRPr="009D48A5">
        <w:rPr>
          <w:lang w:val="zh-CN"/>
        </w:rPr>
        <w:t>118-119</w:t>
      </w:r>
      <w:r w:rsidRPr="009D48A5">
        <w:rPr>
          <w:lang w:val="zh-CN"/>
        </w:rPr>
        <w:t>页和第</w:t>
      </w:r>
      <w:r w:rsidRPr="009D48A5">
        <w:rPr>
          <w:lang w:val="zh-CN"/>
        </w:rPr>
        <w:t>126-128</w:t>
      </w:r>
      <w:r w:rsidRPr="009D48A5">
        <w:rPr>
          <w:lang w:val="zh-CN"/>
        </w:rPr>
        <w:t>页。</w:t>
      </w:r>
    </w:p>
  </w:footnote>
  <w:footnote w:id="393">
    <w:p w:rsidR="00AB00DE" w:rsidRPr="009D48A5" w:rsidRDefault="00AB00DE" w:rsidP="0049004C">
      <w:pPr>
        <w:pStyle w:val="a4"/>
        <w:spacing w:after="100"/>
      </w:pPr>
      <w:r w:rsidRPr="009D48A5">
        <w:rPr>
          <w:lang w:val="zh-CN"/>
        </w:rPr>
        <w:tab/>
      </w:r>
      <w:r w:rsidRPr="00DF5565">
        <w:rPr>
          <w:rStyle w:val="a5"/>
          <w:szCs w:val="22"/>
          <w:lang w:val="zh-CN"/>
        </w:rPr>
        <w:footnoteRef/>
      </w:r>
      <w:r w:rsidRPr="009D48A5">
        <w:rPr>
          <w:lang w:val="zh-CN"/>
        </w:rPr>
        <w:tab/>
      </w:r>
      <w:r w:rsidRPr="009D48A5">
        <w:rPr>
          <w:lang w:val="zh-CN"/>
        </w:rPr>
        <w:t>关于这一</w:t>
      </w:r>
      <w:r w:rsidRPr="009D48A5">
        <w:t>上下文</w:t>
      </w:r>
      <w:r w:rsidRPr="009D48A5">
        <w:rPr>
          <w:lang w:val="zh-CN"/>
        </w:rPr>
        <w:t>中</w:t>
      </w:r>
      <w:r w:rsidRPr="009D48A5">
        <w:rPr>
          <w:rFonts w:hint="eastAsia"/>
          <w:lang w:val="zh-CN"/>
        </w:rPr>
        <w:t>“</w:t>
      </w:r>
      <w:r w:rsidRPr="009D48A5">
        <w:rPr>
          <w:lang w:val="zh-CN"/>
        </w:rPr>
        <w:t>规则</w:t>
      </w:r>
      <w:r w:rsidRPr="009D48A5">
        <w:rPr>
          <w:rFonts w:hint="eastAsia"/>
          <w:lang w:val="zh-CN"/>
        </w:rPr>
        <w:t>”</w:t>
      </w:r>
      <w:r w:rsidRPr="009D48A5">
        <w:rPr>
          <w:lang w:val="zh-CN"/>
        </w:rPr>
        <w:t>一词的含义</w:t>
      </w:r>
      <w:r>
        <w:rPr>
          <w:lang w:val="zh-CN"/>
        </w:rPr>
        <w:t>：</w:t>
      </w:r>
      <w:r w:rsidRPr="009D48A5">
        <w:rPr>
          <w:lang w:val="zh-CN"/>
        </w:rPr>
        <w:t>见《</w:t>
      </w:r>
      <w:r w:rsidRPr="009D48A5">
        <w:rPr>
          <w:lang w:val="zh-CN"/>
        </w:rPr>
        <w:t>1966</w:t>
      </w:r>
      <w:r w:rsidRPr="009D48A5">
        <w:rPr>
          <w:lang w:val="zh-CN"/>
        </w:rPr>
        <w:t>年</w:t>
      </w:r>
      <w:r w:rsidRPr="009D48A5">
        <w:rPr>
          <w:rFonts w:hint="eastAsia"/>
        </w:rPr>
        <w:t>……</w:t>
      </w:r>
      <w:r w:rsidRPr="009D48A5">
        <w:rPr>
          <w:lang w:val="zh-CN"/>
        </w:rPr>
        <w:t>年鉴》</w:t>
      </w:r>
      <w:r>
        <w:rPr>
          <w:lang w:val="zh-CN"/>
        </w:rPr>
        <w:t>，</w:t>
      </w:r>
      <w:r w:rsidRPr="009D48A5">
        <w:rPr>
          <w:lang w:val="zh-CN"/>
        </w:rPr>
        <w:t>第二卷</w:t>
      </w:r>
      <w:r>
        <w:rPr>
          <w:lang w:val="zh-CN"/>
        </w:rPr>
        <w:t>，</w:t>
      </w:r>
      <w:r w:rsidRPr="009D48A5">
        <w:rPr>
          <w:lang w:val="zh-CN"/>
        </w:rPr>
        <w:t>A</w:t>
      </w:r>
      <w:r>
        <w:rPr>
          <w:lang w:val="zh-CN"/>
        </w:rPr>
        <w:t>/</w:t>
      </w:r>
      <w:r w:rsidRPr="009D48A5">
        <w:rPr>
          <w:lang w:val="zh-CN"/>
        </w:rPr>
        <w:t>6309</w:t>
      </w:r>
      <w:r>
        <w:rPr>
          <w:lang w:val="zh-CN"/>
        </w:rPr>
        <w:t>/</w:t>
      </w:r>
      <w:r w:rsidRPr="009D48A5">
        <w:rPr>
          <w:lang w:val="zh-CN"/>
        </w:rPr>
        <w:t>Rev.1</w:t>
      </w:r>
      <w:r w:rsidRPr="009D48A5">
        <w:rPr>
          <w:lang w:val="zh-CN"/>
        </w:rPr>
        <w:t>号文件</w:t>
      </w:r>
      <w:r>
        <w:rPr>
          <w:lang w:val="zh-CN"/>
        </w:rPr>
        <w:t>，</w:t>
      </w:r>
      <w:r w:rsidRPr="009D48A5">
        <w:rPr>
          <w:lang w:val="zh-CN"/>
        </w:rPr>
        <w:t>第</w:t>
      </w:r>
      <w:r w:rsidRPr="009D48A5">
        <w:rPr>
          <w:lang w:val="zh-CN"/>
        </w:rPr>
        <w:t>217-220</w:t>
      </w:r>
      <w:r w:rsidRPr="009D48A5">
        <w:rPr>
          <w:lang w:val="zh-CN"/>
        </w:rPr>
        <w:t>页</w:t>
      </w:r>
      <w:r>
        <w:rPr>
          <w:rFonts w:hint="eastAsia"/>
          <w:lang w:val="zh-CN"/>
        </w:rPr>
        <w:t>(</w:t>
      </w:r>
      <w:r w:rsidRPr="009D48A5">
        <w:rPr>
          <w:lang w:val="zh-CN"/>
        </w:rPr>
        <w:t>评注</w:t>
      </w:r>
      <w:r>
        <w:rPr>
          <w:lang w:val="zh-CN"/>
        </w:rPr>
        <w:t>，</w:t>
      </w:r>
      <w:r w:rsidRPr="009D48A5">
        <w:rPr>
          <w:lang w:val="zh-CN"/>
        </w:rPr>
        <w:t>导言</w:t>
      </w:r>
      <w:r>
        <w:rPr>
          <w:lang w:val="zh-CN"/>
        </w:rPr>
        <w:t>)</w:t>
      </w:r>
      <w:r>
        <w:rPr>
          <w:lang w:val="zh-CN"/>
        </w:rPr>
        <w:t>；</w:t>
      </w:r>
      <w:r w:rsidRPr="009D48A5">
        <w:rPr>
          <w:lang w:val="zh-CN"/>
        </w:rPr>
        <w:t>R.K. Gardine</w:t>
      </w:r>
      <w:r>
        <w:rPr>
          <w:lang w:val="zh-CN"/>
        </w:rPr>
        <w:t xml:space="preserve">r, </w:t>
      </w:r>
      <w:r w:rsidRPr="009D48A5">
        <w:rPr>
          <w:lang w:val="zh-CN"/>
        </w:rPr>
        <w:t>《条约解释》第二版</w:t>
      </w:r>
      <w:r>
        <w:rPr>
          <w:lang w:val="zh-CN"/>
        </w:rPr>
        <w:t>(</w:t>
      </w:r>
      <w:r w:rsidRPr="009D48A5">
        <w:rPr>
          <w:lang w:val="zh-CN"/>
        </w:rPr>
        <w:t>牛津</w:t>
      </w:r>
      <w:r>
        <w:rPr>
          <w:lang w:val="zh-CN"/>
        </w:rPr>
        <w:t>，</w:t>
      </w:r>
      <w:r w:rsidRPr="009D48A5">
        <w:rPr>
          <w:lang w:val="zh-CN"/>
        </w:rPr>
        <w:t>牛津大学出版社</w:t>
      </w:r>
      <w:r>
        <w:rPr>
          <w:lang w:val="zh-CN"/>
        </w:rPr>
        <w:t>，</w:t>
      </w:r>
      <w:r w:rsidRPr="009D48A5">
        <w:rPr>
          <w:lang w:val="zh-CN"/>
        </w:rPr>
        <w:t>2015</w:t>
      </w:r>
      <w:r w:rsidRPr="009D48A5">
        <w:rPr>
          <w:lang w:val="zh-CN"/>
        </w:rPr>
        <w:t>年</w:t>
      </w:r>
      <w:r>
        <w:rPr>
          <w:lang w:val="zh-CN"/>
        </w:rPr>
        <w:t>)</w:t>
      </w:r>
      <w:r>
        <w:rPr>
          <w:lang w:val="zh-CN"/>
        </w:rPr>
        <w:t>，</w:t>
      </w:r>
      <w:r w:rsidRPr="009D48A5">
        <w:rPr>
          <w:lang w:val="zh-CN"/>
        </w:rPr>
        <w:t>第</w:t>
      </w:r>
      <w:r w:rsidRPr="009D48A5">
        <w:rPr>
          <w:lang w:val="zh-CN"/>
        </w:rPr>
        <w:t>36-38</w:t>
      </w:r>
      <w:r w:rsidRPr="009D48A5">
        <w:rPr>
          <w:lang w:val="zh-CN"/>
        </w:rPr>
        <w:t>页。</w:t>
      </w:r>
    </w:p>
  </w:footnote>
  <w:footnote w:id="394">
    <w:p w:rsidR="00AB00DE" w:rsidRPr="009D48A5" w:rsidRDefault="00AB00DE" w:rsidP="0049004C">
      <w:pPr>
        <w:pStyle w:val="a4"/>
        <w:spacing w:after="100"/>
      </w:pPr>
      <w:r w:rsidRPr="009D48A5">
        <w:rPr>
          <w:lang w:val="zh-CN"/>
        </w:rPr>
        <w:tab/>
      </w:r>
      <w:r w:rsidRPr="00DF5565">
        <w:rPr>
          <w:rStyle w:val="a5"/>
          <w:szCs w:val="22"/>
          <w:lang w:val="zh-CN"/>
        </w:rPr>
        <w:footnoteRef/>
      </w:r>
      <w:r w:rsidRPr="009D48A5">
        <w:rPr>
          <w:lang w:val="zh-CN"/>
        </w:rPr>
        <w:tab/>
      </w:r>
      <w:r w:rsidRPr="009D48A5">
        <w:t>《</w:t>
      </w:r>
      <w:r w:rsidRPr="009D48A5">
        <w:t>1966</w:t>
      </w:r>
      <w:r w:rsidRPr="009D48A5">
        <w:t>年</w:t>
      </w:r>
      <w:r w:rsidRPr="009D48A5">
        <w:rPr>
          <w:rFonts w:hint="eastAsia"/>
        </w:rPr>
        <w:t>……</w:t>
      </w:r>
      <w:r w:rsidRPr="009D48A5">
        <w:t>年鉴》</w:t>
      </w:r>
      <w:r>
        <w:rPr>
          <w:lang w:val="zh-CN"/>
        </w:rPr>
        <w:t>，</w:t>
      </w:r>
      <w:r w:rsidRPr="009D48A5">
        <w:rPr>
          <w:lang w:val="zh-CN"/>
        </w:rPr>
        <w:t>第二卷</w:t>
      </w:r>
      <w:r>
        <w:rPr>
          <w:lang w:val="zh-CN"/>
        </w:rPr>
        <w:t>，</w:t>
      </w:r>
      <w:r w:rsidRPr="009D48A5">
        <w:rPr>
          <w:lang w:val="zh-CN"/>
        </w:rPr>
        <w:t>A</w:t>
      </w:r>
      <w:r>
        <w:rPr>
          <w:lang w:val="zh-CN"/>
        </w:rPr>
        <w:t>/</w:t>
      </w:r>
      <w:r w:rsidRPr="009D48A5">
        <w:rPr>
          <w:lang w:val="zh-CN"/>
        </w:rPr>
        <w:t>6309</w:t>
      </w:r>
      <w:r>
        <w:rPr>
          <w:lang w:val="zh-CN"/>
        </w:rPr>
        <w:t>/</w:t>
      </w:r>
      <w:r w:rsidRPr="009D48A5">
        <w:rPr>
          <w:lang w:val="zh-CN"/>
        </w:rPr>
        <w:t>Rev.1</w:t>
      </w:r>
      <w:r w:rsidRPr="009D48A5">
        <w:rPr>
          <w:lang w:val="zh-CN"/>
        </w:rPr>
        <w:t>号文件</w:t>
      </w:r>
      <w:r>
        <w:rPr>
          <w:lang w:val="zh-CN"/>
        </w:rPr>
        <w:t>，</w:t>
      </w:r>
      <w:r w:rsidRPr="009D48A5">
        <w:rPr>
          <w:lang w:val="zh-CN"/>
        </w:rPr>
        <w:t>第</w:t>
      </w:r>
      <w:r w:rsidRPr="009D48A5">
        <w:rPr>
          <w:lang w:val="zh-CN"/>
        </w:rPr>
        <w:t>223</w:t>
      </w:r>
      <w:r w:rsidRPr="009D48A5">
        <w:rPr>
          <w:lang w:val="zh-CN"/>
        </w:rPr>
        <w:t>页</w:t>
      </w:r>
      <w:r>
        <w:rPr>
          <w:lang w:val="zh-CN"/>
        </w:rPr>
        <w:t>，</w:t>
      </w:r>
      <w:r w:rsidRPr="009D48A5">
        <w:rPr>
          <w:lang w:val="zh-CN"/>
        </w:rPr>
        <w:t>第</w:t>
      </w:r>
      <w:r w:rsidRPr="009D48A5">
        <w:rPr>
          <w:lang w:val="zh-CN"/>
        </w:rPr>
        <w:t>28</w:t>
      </w:r>
      <w:r w:rsidRPr="009D48A5">
        <w:rPr>
          <w:lang w:val="zh-CN"/>
        </w:rPr>
        <w:t>条草案的评注</w:t>
      </w:r>
      <w:r>
        <w:rPr>
          <w:lang w:val="zh-CN"/>
        </w:rPr>
        <w:t>，</w:t>
      </w:r>
      <w:r w:rsidRPr="009D48A5">
        <w:rPr>
          <w:lang w:val="zh-CN"/>
        </w:rPr>
        <w:t>第</w:t>
      </w:r>
      <w:r>
        <w:rPr>
          <w:lang w:val="zh-CN"/>
        </w:rPr>
        <w:t>(</w:t>
      </w:r>
      <w:r w:rsidRPr="009D48A5">
        <w:rPr>
          <w:lang w:val="zh-CN"/>
        </w:rPr>
        <w:t>19</w:t>
      </w:r>
      <w:r>
        <w:rPr>
          <w:lang w:val="zh-CN"/>
        </w:rPr>
        <w:t>)</w:t>
      </w:r>
      <w:r w:rsidRPr="009D48A5">
        <w:rPr>
          <w:lang w:val="zh-CN"/>
        </w:rPr>
        <w:t>段</w:t>
      </w:r>
      <w:r>
        <w:rPr>
          <w:lang w:val="zh-CN"/>
        </w:rPr>
        <w:t>；</w:t>
      </w:r>
      <w:r w:rsidRPr="009D48A5">
        <w:rPr>
          <w:lang w:val="zh-CN"/>
        </w:rPr>
        <w:t>Waldoc</w:t>
      </w:r>
      <w:r>
        <w:rPr>
          <w:lang w:val="zh-CN"/>
        </w:rPr>
        <w:t xml:space="preserve">k, </w:t>
      </w:r>
      <w:r w:rsidRPr="009D48A5">
        <w:rPr>
          <w:lang w:val="zh-CN"/>
        </w:rPr>
        <w:t>关于条约法的第三次报告</w:t>
      </w:r>
      <w:r>
        <w:rPr>
          <w:lang w:val="zh-CN"/>
        </w:rPr>
        <w:t>，</w:t>
      </w:r>
      <w:r w:rsidRPr="009D48A5">
        <w:rPr>
          <w:lang w:val="zh-CN"/>
        </w:rPr>
        <w:t>《</w:t>
      </w:r>
      <w:r w:rsidRPr="009D48A5">
        <w:rPr>
          <w:lang w:val="zh-CN"/>
        </w:rPr>
        <w:t>1964</w:t>
      </w:r>
      <w:r w:rsidRPr="009D48A5">
        <w:rPr>
          <w:lang w:val="zh-CN"/>
        </w:rPr>
        <w:t>年</w:t>
      </w:r>
      <w:r w:rsidRPr="009D48A5">
        <w:rPr>
          <w:rFonts w:hint="eastAsia"/>
        </w:rPr>
        <w:t>……</w:t>
      </w:r>
      <w:r w:rsidRPr="009D48A5">
        <w:rPr>
          <w:lang w:val="zh-CN"/>
        </w:rPr>
        <w:t>年鉴》</w:t>
      </w:r>
      <w:r>
        <w:rPr>
          <w:lang w:val="zh-CN"/>
        </w:rPr>
        <w:t>，</w:t>
      </w:r>
      <w:r w:rsidRPr="009D48A5">
        <w:rPr>
          <w:lang w:val="zh-CN"/>
        </w:rPr>
        <w:t>第二卷</w:t>
      </w:r>
      <w:r>
        <w:rPr>
          <w:lang w:val="zh-CN"/>
        </w:rPr>
        <w:t>，</w:t>
      </w:r>
      <w:r w:rsidRPr="009D48A5">
        <w:rPr>
          <w:lang w:val="zh-CN"/>
        </w:rPr>
        <w:t>A</w:t>
      </w:r>
      <w:r>
        <w:rPr>
          <w:lang w:val="zh-CN"/>
        </w:rPr>
        <w:t>/</w:t>
      </w:r>
      <w:r w:rsidRPr="009D48A5">
        <w:rPr>
          <w:lang w:val="zh-CN"/>
        </w:rPr>
        <w:t>CN.4</w:t>
      </w:r>
      <w:r>
        <w:rPr>
          <w:lang w:val="zh-CN"/>
        </w:rPr>
        <w:t>/</w:t>
      </w:r>
      <w:r w:rsidRPr="009D48A5">
        <w:rPr>
          <w:lang w:val="zh-CN"/>
        </w:rPr>
        <w:t>167</w:t>
      </w:r>
      <w:r w:rsidRPr="009D48A5">
        <w:rPr>
          <w:lang w:val="zh-CN"/>
        </w:rPr>
        <w:t>和</w:t>
      </w:r>
      <w:r>
        <w:rPr>
          <w:lang w:val="zh-CN"/>
        </w:rPr>
        <w:t>Add.</w:t>
      </w:r>
      <w:r w:rsidRPr="009D48A5">
        <w:rPr>
          <w:lang w:val="zh-CN"/>
        </w:rPr>
        <w:t>1-3</w:t>
      </w:r>
      <w:r w:rsidRPr="009D48A5">
        <w:rPr>
          <w:lang w:val="zh-CN"/>
        </w:rPr>
        <w:t>号文件</w:t>
      </w:r>
      <w:r>
        <w:rPr>
          <w:lang w:val="zh-CN"/>
        </w:rPr>
        <w:t>，</w:t>
      </w:r>
      <w:r w:rsidRPr="009D48A5">
        <w:rPr>
          <w:lang w:val="zh-CN"/>
        </w:rPr>
        <w:t>第</w:t>
      </w:r>
      <w:r w:rsidRPr="009D48A5">
        <w:rPr>
          <w:lang w:val="zh-CN"/>
        </w:rPr>
        <w:t>58-59</w:t>
      </w:r>
      <w:r w:rsidRPr="009D48A5">
        <w:rPr>
          <w:lang w:val="zh-CN"/>
        </w:rPr>
        <w:t>页</w:t>
      </w:r>
      <w:r>
        <w:rPr>
          <w:lang w:val="zh-CN"/>
        </w:rPr>
        <w:t>，</w:t>
      </w:r>
      <w:r w:rsidRPr="009D48A5">
        <w:rPr>
          <w:lang w:val="zh-CN"/>
        </w:rPr>
        <w:t>第</w:t>
      </w:r>
      <w:r w:rsidRPr="009D48A5">
        <w:rPr>
          <w:lang w:val="zh-CN"/>
        </w:rPr>
        <w:t>21</w:t>
      </w:r>
      <w:r w:rsidRPr="009D48A5">
        <w:rPr>
          <w:lang w:val="zh-CN"/>
        </w:rPr>
        <w:t>段。</w:t>
      </w:r>
      <w:r w:rsidRPr="009D48A5">
        <w:rPr>
          <w:lang w:val="zh-CN"/>
        </w:rPr>
        <w:t>M.K. Yassee</w:t>
      </w:r>
      <w:r>
        <w:rPr>
          <w:lang w:val="zh-CN"/>
        </w:rPr>
        <w:t xml:space="preserve">n, </w:t>
      </w:r>
      <w:r w:rsidRPr="009D48A5">
        <w:rPr>
          <w:rFonts w:hint="eastAsia"/>
          <w:lang w:val="zh-CN"/>
        </w:rPr>
        <w:t>“</w:t>
      </w:r>
      <w:r w:rsidRPr="009D48A5">
        <w:rPr>
          <w:lang w:val="zh-CN"/>
        </w:rPr>
        <w:t>根据《维也纳条约法公约》对条约进行解释</w:t>
      </w:r>
      <w:r w:rsidRPr="009D48A5">
        <w:rPr>
          <w:rFonts w:hint="eastAsia"/>
          <w:lang w:val="zh-CN"/>
        </w:rPr>
        <w:t>”</w:t>
      </w:r>
      <w:r>
        <w:rPr>
          <w:lang w:val="zh-CN"/>
        </w:rPr>
        <w:t>，</w:t>
      </w:r>
      <w:r w:rsidRPr="009D48A5">
        <w:rPr>
          <w:lang w:val="zh-CN"/>
        </w:rPr>
        <w:t>《</w:t>
      </w:r>
      <w:r w:rsidRPr="009D48A5">
        <w:rPr>
          <w:lang w:val="zh-CN"/>
        </w:rPr>
        <w:t>1976</w:t>
      </w:r>
      <w:r w:rsidRPr="009D48A5">
        <w:rPr>
          <w:lang w:val="zh-CN"/>
        </w:rPr>
        <w:t>年</w:t>
      </w:r>
      <w:r w:rsidRPr="009D48A5">
        <w:rPr>
          <w:rFonts w:hint="eastAsia"/>
        </w:rPr>
        <w:t>……</w:t>
      </w:r>
      <w:r w:rsidRPr="009D48A5">
        <w:rPr>
          <w:lang w:val="zh-CN"/>
        </w:rPr>
        <w:t>教程汇编》</w:t>
      </w:r>
      <w:r w:rsidRPr="009D48A5">
        <w:rPr>
          <w:rFonts w:hint="eastAsia"/>
          <w:lang w:val="zh-CN"/>
        </w:rPr>
        <w:t>第三卷</w:t>
      </w:r>
      <w:r>
        <w:rPr>
          <w:lang w:val="zh-CN"/>
        </w:rPr>
        <w:t>，</w:t>
      </w:r>
      <w:r w:rsidRPr="009D48A5">
        <w:rPr>
          <w:lang w:val="zh-CN"/>
        </w:rPr>
        <w:t>第</w:t>
      </w:r>
      <w:r w:rsidRPr="009D48A5">
        <w:rPr>
          <w:lang w:val="zh-CN"/>
        </w:rPr>
        <w:t>151</w:t>
      </w:r>
      <w:r w:rsidRPr="009D48A5">
        <w:rPr>
          <w:lang w:val="zh-CN"/>
        </w:rPr>
        <w:t>卷</w:t>
      </w:r>
      <w:r>
        <w:rPr>
          <w:lang w:val="zh-CN"/>
        </w:rPr>
        <w:t>，</w:t>
      </w:r>
      <w:r w:rsidRPr="009D48A5">
        <w:rPr>
          <w:lang w:val="zh-CN"/>
        </w:rPr>
        <w:t>第</w:t>
      </w:r>
      <w:r w:rsidRPr="009D48A5">
        <w:rPr>
          <w:lang w:val="zh-CN"/>
        </w:rPr>
        <w:t>1-114</w:t>
      </w:r>
      <w:r w:rsidRPr="009D48A5">
        <w:rPr>
          <w:lang w:val="zh-CN"/>
        </w:rPr>
        <w:t>页</w:t>
      </w:r>
      <w:r>
        <w:rPr>
          <w:lang w:val="zh-CN"/>
        </w:rPr>
        <w:t>，</w:t>
      </w:r>
      <w:r w:rsidRPr="009D48A5">
        <w:rPr>
          <w:lang w:val="zh-CN"/>
        </w:rPr>
        <w:t>见第</w:t>
      </w:r>
      <w:r w:rsidRPr="009D48A5">
        <w:rPr>
          <w:lang w:val="zh-CN"/>
        </w:rPr>
        <w:t>78</w:t>
      </w:r>
      <w:r w:rsidRPr="009D48A5">
        <w:rPr>
          <w:lang w:val="zh-CN"/>
        </w:rPr>
        <w:t>页</w:t>
      </w:r>
      <w:r>
        <w:rPr>
          <w:lang w:val="zh-CN"/>
        </w:rPr>
        <w:t>；</w:t>
      </w:r>
      <w:r w:rsidRPr="009D48A5">
        <w:rPr>
          <w:lang w:val="zh-CN"/>
        </w:rPr>
        <w:t>I. Sinclai</w:t>
      </w:r>
      <w:r>
        <w:rPr>
          <w:lang w:val="zh-CN"/>
        </w:rPr>
        <w:t xml:space="preserve">r, </w:t>
      </w:r>
      <w:r w:rsidRPr="009D48A5">
        <w:rPr>
          <w:lang w:val="zh-CN"/>
        </w:rPr>
        <w:t>《维也纳条约法公约》</w:t>
      </w:r>
      <w:r>
        <w:rPr>
          <w:lang w:val="zh-CN"/>
        </w:rPr>
        <w:t>(</w:t>
      </w:r>
      <w:r w:rsidRPr="009D48A5">
        <w:rPr>
          <w:rFonts w:hint="eastAsia"/>
          <w:lang w:val="zh-CN"/>
        </w:rPr>
        <w:t>曼切斯特</w:t>
      </w:r>
      <w:r>
        <w:rPr>
          <w:rFonts w:hint="eastAsia"/>
          <w:lang w:val="zh-CN"/>
        </w:rPr>
        <w:t>，</w:t>
      </w:r>
      <w:r w:rsidRPr="009D48A5">
        <w:rPr>
          <w:lang w:val="zh-CN"/>
        </w:rPr>
        <w:t>曼彻斯特大学出版社</w:t>
      </w:r>
      <w:r>
        <w:rPr>
          <w:lang w:val="zh-CN"/>
        </w:rPr>
        <w:t>，</w:t>
      </w:r>
      <w:r w:rsidRPr="009D48A5">
        <w:rPr>
          <w:lang w:val="zh-CN"/>
        </w:rPr>
        <w:t>1984</w:t>
      </w:r>
      <w:r w:rsidRPr="009D48A5">
        <w:rPr>
          <w:lang w:val="zh-CN"/>
        </w:rPr>
        <w:t>年</w:t>
      </w:r>
      <w:r>
        <w:rPr>
          <w:lang w:val="zh-CN"/>
        </w:rPr>
        <w:t>)</w:t>
      </w:r>
      <w:r>
        <w:rPr>
          <w:lang w:val="zh-CN"/>
        </w:rPr>
        <w:t>，</w:t>
      </w:r>
      <w:r w:rsidRPr="009D48A5">
        <w:rPr>
          <w:lang w:val="zh-CN"/>
        </w:rPr>
        <w:t>第</w:t>
      </w:r>
      <w:r w:rsidRPr="009D48A5">
        <w:rPr>
          <w:lang w:val="zh-CN"/>
        </w:rPr>
        <w:t>141-142</w:t>
      </w:r>
      <w:r w:rsidRPr="009D48A5">
        <w:rPr>
          <w:lang w:val="zh-CN"/>
        </w:rPr>
        <w:t>页</w:t>
      </w:r>
      <w:r>
        <w:rPr>
          <w:lang w:val="zh-CN"/>
        </w:rPr>
        <w:t>；</w:t>
      </w:r>
      <w:r w:rsidRPr="009D48A5">
        <w:rPr>
          <w:lang w:val="zh-CN"/>
        </w:rPr>
        <w:t>Villige</w:t>
      </w:r>
      <w:r>
        <w:rPr>
          <w:lang w:val="zh-CN"/>
        </w:rPr>
        <w:t xml:space="preserve">r, </w:t>
      </w:r>
      <w:r w:rsidRPr="009D48A5">
        <w:rPr>
          <w:rFonts w:hint="eastAsia"/>
          <w:lang w:val="zh-CN"/>
        </w:rPr>
        <w:t>“</w:t>
      </w:r>
      <w:r w:rsidRPr="009D48A5">
        <w:rPr>
          <w:lang w:val="zh-CN"/>
        </w:rPr>
        <w:t>1969</w:t>
      </w:r>
      <w:r w:rsidRPr="009D48A5">
        <w:rPr>
          <w:lang w:val="zh-CN"/>
        </w:rPr>
        <w:t>年《维也纳</w:t>
      </w:r>
      <w:r w:rsidRPr="009D48A5">
        <w:rPr>
          <w:rFonts w:hint="eastAsia"/>
        </w:rPr>
        <w:t>……</w:t>
      </w:r>
      <w:r w:rsidRPr="009D48A5">
        <w:rPr>
          <w:lang w:val="zh-CN"/>
        </w:rPr>
        <w:t>公约》</w:t>
      </w:r>
      <w:r w:rsidRPr="009D48A5">
        <w:rPr>
          <w:rFonts w:hint="eastAsia"/>
          <w:lang w:val="zh-CN"/>
        </w:rPr>
        <w:t>”</w:t>
      </w:r>
      <w:r>
        <w:rPr>
          <w:lang w:val="zh-CN"/>
        </w:rPr>
        <w:t>(</w:t>
      </w:r>
      <w:r w:rsidRPr="009D48A5">
        <w:rPr>
          <w:lang w:val="zh-CN"/>
        </w:rPr>
        <w:t>见上文脚注</w:t>
      </w:r>
      <w:r>
        <w:rPr>
          <w:lang w:val="zh-CN"/>
        </w:rPr>
        <w:fldChar w:fldCharType="begin"/>
      </w:r>
      <w:r>
        <w:rPr>
          <w:lang w:val="zh-CN"/>
        </w:rPr>
        <w:instrText xml:space="preserve"> NOTEREF _Ref461975596 \h </w:instrText>
      </w:r>
      <w:r>
        <w:rPr>
          <w:lang w:val="zh-CN"/>
        </w:rPr>
      </w:r>
      <w:r>
        <w:rPr>
          <w:lang w:val="zh-CN"/>
        </w:rPr>
        <w:fldChar w:fldCharType="separate"/>
      </w:r>
      <w:r w:rsidR="00A73EB9">
        <w:rPr>
          <w:lang w:val="zh-CN"/>
        </w:rPr>
        <w:t>391</w:t>
      </w:r>
      <w:r>
        <w:rPr>
          <w:lang w:val="zh-CN"/>
        </w:rPr>
        <w:fldChar w:fldCharType="end"/>
      </w:r>
      <w:r>
        <w:rPr>
          <w:lang w:val="zh-CN"/>
        </w:rPr>
        <w:t>)</w:t>
      </w:r>
      <w:r>
        <w:rPr>
          <w:lang w:val="zh-CN"/>
        </w:rPr>
        <w:t>，</w:t>
      </w:r>
      <w:r w:rsidRPr="009D48A5">
        <w:rPr>
          <w:lang w:val="zh-CN"/>
        </w:rPr>
        <w:t>第</w:t>
      </w:r>
      <w:r w:rsidRPr="009D48A5">
        <w:rPr>
          <w:lang w:val="zh-CN"/>
        </w:rPr>
        <w:t>127-128</w:t>
      </w:r>
      <w:r w:rsidRPr="009D48A5">
        <w:rPr>
          <w:lang w:val="zh-CN"/>
        </w:rPr>
        <w:t>页。</w:t>
      </w:r>
    </w:p>
  </w:footnote>
  <w:footnote w:id="395">
    <w:p w:rsidR="00AB00DE" w:rsidRPr="009D48A5" w:rsidRDefault="00AB00DE" w:rsidP="0049004C">
      <w:pPr>
        <w:pStyle w:val="a4"/>
        <w:spacing w:after="100"/>
      </w:pPr>
      <w:r w:rsidRPr="009D48A5">
        <w:rPr>
          <w:lang w:val="zh-CN"/>
        </w:rPr>
        <w:tab/>
      </w:r>
      <w:r w:rsidRPr="00DF5565">
        <w:rPr>
          <w:rStyle w:val="a5"/>
          <w:szCs w:val="22"/>
          <w:lang w:val="zh-CN"/>
        </w:rPr>
        <w:footnoteRef/>
      </w:r>
      <w:r w:rsidRPr="009D48A5">
        <w:rPr>
          <w:lang w:val="zh-CN"/>
        </w:rPr>
        <w:tab/>
        <w:t>Y. le Bouthillie</w:t>
      </w:r>
      <w:r>
        <w:rPr>
          <w:lang w:val="zh-CN"/>
        </w:rPr>
        <w:t xml:space="preserve">r, </w:t>
      </w:r>
      <w:r w:rsidRPr="009D48A5">
        <w:rPr>
          <w:rFonts w:hint="eastAsia"/>
          <w:lang w:val="zh-CN"/>
        </w:rPr>
        <w:t>“</w:t>
      </w:r>
      <w:r w:rsidRPr="009D48A5">
        <w:rPr>
          <w:lang w:val="zh-CN"/>
        </w:rPr>
        <w:t>对《维也纳公约》第三十二条的评注</w:t>
      </w:r>
      <w:r w:rsidRPr="009D48A5">
        <w:rPr>
          <w:rFonts w:hint="eastAsia"/>
          <w:lang w:val="zh-CN"/>
        </w:rPr>
        <w:t>”</w:t>
      </w:r>
      <w:r>
        <w:rPr>
          <w:lang w:val="zh-CN"/>
        </w:rPr>
        <w:t>，</w:t>
      </w:r>
      <w:r w:rsidRPr="009D48A5">
        <w:rPr>
          <w:lang w:val="zh-CN"/>
        </w:rPr>
        <w:t>O. Corten</w:t>
      </w:r>
      <w:r w:rsidRPr="009D48A5">
        <w:rPr>
          <w:lang w:val="zh-CN"/>
        </w:rPr>
        <w:t>和</w:t>
      </w:r>
      <w:r w:rsidRPr="009D48A5">
        <w:rPr>
          <w:lang w:val="zh-CN"/>
        </w:rPr>
        <w:t>P. Klein</w:t>
      </w:r>
      <w:r>
        <w:rPr>
          <w:lang w:val="zh-CN"/>
        </w:rPr>
        <w:t>(</w:t>
      </w:r>
      <w:r w:rsidRPr="009D48A5">
        <w:rPr>
          <w:lang w:val="zh-CN"/>
        </w:rPr>
        <w:t>编</w:t>
      </w:r>
      <w:r>
        <w:rPr>
          <w:lang w:val="zh-CN"/>
        </w:rPr>
        <w:t>)</w:t>
      </w:r>
      <w:r w:rsidRPr="009D48A5">
        <w:rPr>
          <w:lang w:val="zh-CN"/>
        </w:rPr>
        <w:t>《〈维也纳条约法公约〉评注》</w:t>
      </w:r>
      <w:r>
        <w:rPr>
          <w:lang w:val="zh-CN"/>
        </w:rPr>
        <w:t>(</w:t>
      </w:r>
      <w:r w:rsidRPr="009D48A5">
        <w:rPr>
          <w:lang w:val="zh-CN"/>
        </w:rPr>
        <w:t>牛津</w:t>
      </w:r>
      <w:r>
        <w:rPr>
          <w:lang w:val="zh-CN"/>
        </w:rPr>
        <w:t>，</w:t>
      </w:r>
      <w:r w:rsidRPr="009D48A5">
        <w:rPr>
          <w:lang w:val="zh-CN"/>
        </w:rPr>
        <w:t>牛津大学出版社</w:t>
      </w:r>
      <w:r>
        <w:rPr>
          <w:lang w:val="zh-CN"/>
        </w:rPr>
        <w:t>，</w:t>
      </w:r>
      <w:r w:rsidRPr="009D48A5">
        <w:rPr>
          <w:lang w:val="zh-CN"/>
        </w:rPr>
        <w:t>2011</w:t>
      </w:r>
      <w:r w:rsidRPr="009D48A5">
        <w:rPr>
          <w:lang w:val="zh-CN"/>
        </w:rPr>
        <w:t>年</w:t>
      </w:r>
      <w:r>
        <w:rPr>
          <w:lang w:val="zh-CN"/>
        </w:rPr>
        <w:t>)</w:t>
      </w:r>
      <w:r>
        <w:rPr>
          <w:lang w:val="zh-CN"/>
        </w:rPr>
        <w:t>，</w:t>
      </w:r>
      <w:r w:rsidRPr="009D48A5">
        <w:rPr>
          <w:lang w:val="zh-CN"/>
        </w:rPr>
        <w:t>第</w:t>
      </w:r>
      <w:r w:rsidRPr="009D48A5">
        <w:rPr>
          <w:lang w:val="zh-CN"/>
        </w:rPr>
        <w:t>841-865</w:t>
      </w:r>
      <w:r w:rsidRPr="009D48A5">
        <w:rPr>
          <w:lang w:val="zh-CN"/>
        </w:rPr>
        <w:t>页</w:t>
      </w:r>
      <w:r>
        <w:rPr>
          <w:lang w:val="zh-CN"/>
        </w:rPr>
        <w:t>，</w:t>
      </w:r>
      <w:r w:rsidRPr="009D48A5">
        <w:rPr>
          <w:lang w:val="zh-CN"/>
        </w:rPr>
        <w:t>见</w:t>
      </w:r>
      <w:r w:rsidRPr="009D48A5">
        <w:rPr>
          <w:lang w:val="zh-CN"/>
        </w:rPr>
        <w:t>843-846</w:t>
      </w:r>
      <w:r w:rsidRPr="009D48A5">
        <w:rPr>
          <w:lang w:val="zh-CN"/>
        </w:rPr>
        <w:t>页</w:t>
      </w:r>
      <w:r>
        <w:rPr>
          <w:lang w:val="zh-CN"/>
        </w:rPr>
        <w:t>，</w:t>
      </w:r>
      <w:r w:rsidRPr="009D48A5">
        <w:rPr>
          <w:lang w:val="zh-CN"/>
        </w:rPr>
        <w:t>第</w:t>
      </w:r>
      <w:r w:rsidRPr="009D48A5">
        <w:rPr>
          <w:lang w:val="zh-CN"/>
        </w:rPr>
        <w:t>4–8</w:t>
      </w:r>
      <w:r w:rsidRPr="009D48A5">
        <w:rPr>
          <w:lang w:val="zh-CN"/>
        </w:rPr>
        <w:t>段</w:t>
      </w:r>
      <w:r>
        <w:rPr>
          <w:lang w:val="zh-CN"/>
        </w:rPr>
        <w:t>；</w:t>
      </w:r>
      <w:r w:rsidRPr="009D48A5">
        <w:rPr>
          <w:lang w:val="zh-CN"/>
        </w:rPr>
        <w:t>P. Daillier</w:t>
      </w:r>
      <w:r w:rsidRPr="009D48A5">
        <w:rPr>
          <w:lang w:val="zh-CN"/>
        </w:rPr>
        <w:t>、</w:t>
      </w:r>
      <w:r w:rsidRPr="009D48A5">
        <w:rPr>
          <w:lang w:val="zh-CN"/>
        </w:rPr>
        <w:t>M. Forteau</w:t>
      </w:r>
      <w:r w:rsidRPr="009D48A5">
        <w:rPr>
          <w:lang w:val="zh-CN"/>
        </w:rPr>
        <w:t>和</w:t>
      </w:r>
      <w:r w:rsidRPr="009D48A5">
        <w:rPr>
          <w:lang w:val="zh-CN"/>
        </w:rPr>
        <w:t>A. Pelle</w:t>
      </w:r>
      <w:r>
        <w:rPr>
          <w:lang w:val="zh-CN"/>
        </w:rPr>
        <w:t xml:space="preserve">t, </w:t>
      </w:r>
      <w:r w:rsidRPr="009D48A5">
        <w:rPr>
          <w:lang w:val="zh-CN"/>
        </w:rPr>
        <w:t>《国际公法》</w:t>
      </w:r>
      <w:r>
        <w:rPr>
          <w:lang w:val="zh-CN"/>
        </w:rPr>
        <w:t>，</w:t>
      </w:r>
      <w:r w:rsidRPr="009D48A5">
        <w:rPr>
          <w:lang w:val="zh-CN"/>
        </w:rPr>
        <w:t>第</w:t>
      </w:r>
      <w:r w:rsidRPr="009D48A5">
        <w:rPr>
          <w:lang w:val="zh-CN"/>
        </w:rPr>
        <w:t>8</w:t>
      </w:r>
      <w:r w:rsidRPr="009D48A5">
        <w:rPr>
          <w:lang w:val="zh-CN"/>
        </w:rPr>
        <w:t>版</w:t>
      </w:r>
      <w:r>
        <w:rPr>
          <w:lang w:val="zh-CN"/>
        </w:rPr>
        <w:t>(</w:t>
      </w:r>
      <w:r w:rsidRPr="009D48A5">
        <w:rPr>
          <w:lang w:val="zh-CN"/>
        </w:rPr>
        <w:t>巴黎</w:t>
      </w:r>
      <w:r>
        <w:rPr>
          <w:lang w:val="zh-CN"/>
        </w:rPr>
        <w:t>，</w:t>
      </w:r>
      <w:r w:rsidRPr="009D48A5">
        <w:rPr>
          <w:lang w:val="zh-CN"/>
        </w:rPr>
        <w:t>L.G.D.J.</w:t>
      </w:r>
      <w:r>
        <w:rPr>
          <w:lang w:val="zh-CN"/>
        </w:rPr>
        <w:t>，</w:t>
      </w:r>
      <w:r w:rsidRPr="009D48A5">
        <w:rPr>
          <w:lang w:val="zh-CN"/>
        </w:rPr>
        <w:t>2009</w:t>
      </w:r>
      <w:r w:rsidRPr="009D48A5">
        <w:rPr>
          <w:lang w:val="zh-CN"/>
        </w:rPr>
        <w:t>年</w:t>
      </w:r>
      <w:r>
        <w:rPr>
          <w:lang w:val="zh-CN"/>
        </w:rPr>
        <w:t>)</w:t>
      </w:r>
      <w:r>
        <w:rPr>
          <w:lang w:val="zh-CN"/>
        </w:rPr>
        <w:t>，</w:t>
      </w:r>
      <w:r w:rsidRPr="009D48A5">
        <w:rPr>
          <w:lang w:val="zh-CN"/>
        </w:rPr>
        <w:t>见</w:t>
      </w:r>
      <w:r w:rsidRPr="009D48A5">
        <w:rPr>
          <w:lang w:val="zh-CN"/>
        </w:rPr>
        <w:t>285-286</w:t>
      </w:r>
      <w:r w:rsidRPr="009D48A5">
        <w:rPr>
          <w:lang w:val="zh-CN"/>
        </w:rPr>
        <w:t>页</w:t>
      </w:r>
      <w:r>
        <w:rPr>
          <w:lang w:val="zh-CN"/>
        </w:rPr>
        <w:t>；</w:t>
      </w:r>
      <w:r w:rsidRPr="009D48A5">
        <w:rPr>
          <w:lang w:val="zh-CN"/>
        </w:rPr>
        <w:t>Gardine</w:t>
      </w:r>
      <w:r>
        <w:rPr>
          <w:lang w:val="zh-CN"/>
        </w:rPr>
        <w:t xml:space="preserve">r, </w:t>
      </w:r>
      <w:r w:rsidRPr="009D48A5">
        <w:rPr>
          <w:lang w:val="zh-CN"/>
        </w:rPr>
        <w:t>《条约解释》</w:t>
      </w:r>
      <w:r>
        <w:rPr>
          <w:lang w:val="zh-CN"/>
        </w:rPr>
        <w:t>(</w:t>
      </w:r>
      <w:r w:rsidRPr="009D48A5">
        <w:rPr>
          <w:lang w:val="zh-CN"/>
        </w:rPr>
        <w:t>见上文脚注</w:t>
      </w:r>
      <w:r w:rsidRPr="00D90936">
        <w:rPr>
          <w:rFonts w:asciiTheme="majorBidi" w:hAnsiTheme="majorBidi" w:cstheme="majorBidi"/>
        </w:rPr>
        <w:fldChar w:fldCharType="begin"/>
      </w:r>
      <w:r w:rsidRPr="00D90936">
        <w:rPr>
          <w:rFonts w:asciiTheme="majorBidi" w:hAnsiTheme="majorBidi" w:cstheme="majorBidi"/>
        </w:rPr>
        <w:instrText xml:space="preserve"> NOTEREF _Ref461971974 \h </w:instrText>
      </w:r>
      <w:r>
        <w:rPr>
          <w:rFonts w:asciiTheme="majorBidi" w:hAnsiTheme="majorBidi" w:cstheme="majorBidi"/>
        </w:rPr>
        <w:instrText xml:space="preserve"> \* MERGEFORMAT </w:instrText>
      </w:r>
      <w:r w:rsidRPr="00D90936">
        <w:rPr>
          <w:rFonts w:asciiTheme="majorBidi" w:hAnsiTheme="majorBidi" w:cstheme="majorBidi"/>
        </w:rPr>
      </w:r>
      <w:r w:rsidRPr="00D90936">
        <w:rPr>
          <w:rFonts w:asciiTheme="majorBidi" w:hAnsiTheme="majorBidi" w:cstheme="majorBidi"/>
        </w:rPr>
        <w:fldChar w:fldCharType="separate"/>
      </w:r>
      <w:r w:rsidR="00A73EB9">
        <w:rPr>
          <w:rFonts w:asciiTheme="majorBidi" w:hAnsiTheme="majorBidi" w:cstheme="majorBidi"/>
        </w:rPr>
        <w:t>392</w:t>
      </w:r>
      <w:r w:rsidRPr="00D90936">
        <w:rPr>
          <w:rFonts w:asciiTheme="majorBidi" w:hAnsiTheme="majorBidi" w:cstheme="majorBidi"/>
        </w:rPr>
        <w:fldChar w:fldCharType="end"/>
      </w:r>
      <w:r>
        <w:rPr>
          <w:lang w:val="zh-CN"/>
        </w:rPr>
        <w:t>)</w:t>
      </w:r>
      <w:r>
        <w:rPr>
          <w:lang w:val="zh-CN"/>
        </w:rPr>
        <w:t>，</w:t>
      </w:r>
      <w:r w:rsidRPr="009D48A5">
        <w:rPr>
          <w:rFonts w:hint="eastAsia"/>
          <w:lang w:val="zh-CN"/>
        </w:rPr>
        <w:t>见</w:t>
      </w:r>
      <w:r w:rsidRPr="009D48A5">
        <w:rPr>
          <w:lang w:val="zh-CN"/>
        </w:rPr>
        <w:t>第</w:t>
      </w:r>
      <w:r w:rsidRPr="009D48A5">
        <w:rPr>
          <w:lang w:val="zh-CN"/>
        </w:rPr>
        <w:t>13-20</w:t>
      </w:r>
      <w:r w:rsidRPr="009D48A5">
        <w:rPr>
          <w:lang w:val="zh-CN"/>
        </w:rPr>
        <w:t>页</w:t>
      </w:r>
      <w:r>
        <w:rPr>
          <w:lang w:val="zh-CN"/>
        </w:rPr>
        <w:t>；</w:t>
      </w:r>
      <w:r w:rsidRPr="009D48A5">
        <w:rPr>
          <w:lang w:val="zh-CN"/>
        </w:rPr>
        <w:t>Villige</w:t>
      </w:r>
      <w:r>
        <w:rPr>
          <w:lang w:val="zh-CN"/>
        </w:rPr>
        <w:t xml:space="preserve">r, </w:t>
      </w:r>
      <w:r w:rsidRPr="009D48A5">
        <w:rPr>
          <w:lang w:val="zh-CN"/>
        </w:rPr>
        <w:t>1969</w:t>
      </w:r>
      <w:r w:rsidRPr="009D48A5">
        <w:rPr>
          <w:lang w:val="zh-CN"/>
        </w:rPr>
        <w:t>年《维也纳公约》</w:t>
      </w:r>
      <w:r w:rsidRPr="009D48A5">
        <w:rPr>
          <w:rFonts w:hint="eastAsia"/>
          <w:lang w:val="zh-CN"/>
        </w:rPr>
        <w:t>”</w:t>
      </w:r>
      <w:r>
        <w:rPr>
          <w:lang w:val="zh-CN"/>
        </w:rPr>
        <w:t>(</w:t>
      </w:r>
      <w:r w:rsidRPr="009D48A5">
        <w:rPr>
          <w:lang w:val="zh-CN"/>
        </w:rPr>
        <w:t>见上文脚注</w:t>
      </w:r>
      <w:r>
        <w:rPr>
          <w:lang w:val="zh-CN"/>
        </w:rPr>
        <w:fldChar w:fldCharType="begin"/>
      </w:r>
      <w:r>
        <w:rPr>
          <w:lang w:val="zh-CN"/>
        </w:rPr>
        <w:instrText xml:space="preserve"> NOTEREF _Ref461975596 \h </w:instrText>
      </w:r>
      <w:r>
        <w:rPr>
          <w:lang w:val="zh-CN"/>
        </w:rPr>
      </w:r>
      <w:r>
        <w:rPr>
          <w:lang w:val="zh-CN"/>
        </w:rPr>
        <w:fldChar w:fldCharType="separate"/>
      </w:r>
      <w:r w:rsidR="00A73EB9">
        <w:rPr>
          <w:lang w:val="zh-CN"/>
        </w:rPr>
        <w:t>391</w:t>
      </w:r>
      <w:r>
        <w:rPr>
          <w:lang w:val="zh-CN"/>
        </w:rPr>
        <w:fldChar w:fldCharType="end"/>
      </w:r>
      <w:r>
        <w:rPr>
          <w:lang w:val="zh-CN"/>
        </w:rPr>
        <w:t>)</w:t>
      </w:r>
      <w:r>
        <w:rPr>
          <w:lang w:val="zh-CN"/>
        </w:rPr>
        <w:t>，</w:t>
      </w:r>
      <w:r w:rsidRPr="009D48A5">
        <w:rPr>
          <w:lang w:val="zh-CN"/>
        </w:rPr>
        <w:t>第</w:t>
      </w:r>
      <w:r w:rsidRPr="009D48A5">
        <w:rPr>
          <w:lang w:val="zh-CN"/>
        </w:rPr>
        <w:t>132-133</w:t>
      </w:r>
      <w:r w:rsidRPr="009D48A5">
        <w:rPr>
          <w:lang w:val="zh-CN"/>
        </w:rPr>
        <w:t>页。</w:t>
      </w:r>
    </w:p>
  </w:footnote>
  <w:footnote w:id="396">
    <w:p w:rsidR="00AB00DE" w:rsidRPr="009D48A5" w:rsidRDefault="00AB00DE" w:rsidP="0049004C">
      <w:pPr>
        <w:pStyle w:val="a4"/>
        <w:spacing w:after="100"/>
      </w:pPr>
      <w:r w:rsidRPr="009D48A5">
        <w:rPr>
          <w:lang w:val="zh-CN"/>
        </w:rPr>
        <w:tab/>
      </w:r>
      <w:r w:rsidRPr="00DF5565">
        <w:rPr>
          <w:rStyle w:val="a5"/>
          <w:szCs w:val="22"/>
          <w:lang w:val="zh-CN"/>
        </w:rPr>
        <w:footnoteRef/>
      </w:r>
      <w:r w:rsidRPr="009D48A5">
        <w:rPr>
          <w:lang w:val="zh-CN"/>
        </w:rPr>
        <w:tab/>
      </w:r>
      <w:r w:rsidRPr="009D48A5">
        <w:rPr>
          <w:rFonts w:ascii="Time New Roman" w:eastAsia="楷体" w:hAnsi="Time New Roman"/>
          <w:lang w:val="zh-CN"/>
        </w:rPr>
        <w:t>乌拉圭河纸浆厂案</w:t>
      </w:r>
      <w:r>
        <w:rPr>
          <w:rFonts w:ascii="Time New Roman" w:eastAsia="楷体" w:hAnsi="Time New Roman"/>
          <w:lang w:val="zh-CN"/>
        </w:rPr>
        <w:t>(</w:t>
      </w:r>
      <w:r w:rsidRPr="009D48A5">
        <w:rPr>
          <w:rFonts w:ascii="Time New Roman" w:eastAsia="楷体" w:hAnsi="Time New Roman"/>
          <w:lang w:val="zh-CN"/>
        </w:rPr>
        <w:t>阿根廷诉乌拉圭</w:t>
      </w:r>
      <w:r>
        <w:rPr>
          <w:rFonts w:ascii="Time New Roman" w:eastAsia="楷体" w:hAnsi="Time New Roman"/>
          <w:lang w:val="zh-CN"/>
        </w:rPr>
        <w:t>)</w:t>
      </w:r>
      <w:r>
        <w:rPr>
          <w:rFonts w:ascii="Time New Roman" w:eastAsia="楷体" w:hAnsi="Time New Roman"/>
          <w:lang w:val="zh-CN"/>
        </w:rPr>
        <w:t>，</w:t>
      </w:r>
      <w:r w:rsidRPr="009D48A5">
        <w:rPr>
          <w:rFonts w:ascii="Time New Roman" w:eastAsia="楷体" w:hAnsi="Time New Roman"/>
          <w:lang w:val="zh-CN"/>
        </w:rPr>
        <w:t>判决</w:t>
      </w:r>
      <w:r>
        <w:rPr>
          <w:lang w:val="zh-CN"/>
        </w:rPr>
        <w:t>，</w:t>
      </w:r>
      <w:r w:rsidRPr="009D48A5">
        <w:rPr>
          <w:lang w:val="zh-CN"/>
        </w:rPr>
        <w:t>《</w:t>
      </w:r>
      <w:r w:rsidRPr="009D48A5">
        <w:rPr>
          <w:lang w:val="zh-CN"/>
        </w:rPr>
        <w:t>2010</w:t>
      </w:r>
      <w:r w:rsidRPr="009D48A5">
        <w:rPr>
          <w:lang w:val="zh-CN"/>
        </w:rPr>
        <w:t>年国际法院案例汇编》</w:t>
      </w:r>
      <w:r>
        <w:rPr>
          <w:lang w:val="zh-CN"/>
        </w:rPr>
        <w:t>，</w:t>
      </w:r>
      <w:r w:rsidRPr="009D48A5">
        <w:rPr>
          <w:lang w:val="zh-CN"/>
        </w:rPr>
        <w:t>第</w:t>
      </w:r>
      <w:r w:rsidRPr="009D48A5">
        <w:rPr>
          <w:lang w:val="zh-CN"/>
        </w:rPr>
        <w:t>14</w:t>
      </w:r>
      <w:r w:rsidRPr="009D48A5">
        <w:rPr>
          <w:lang w:val="zh-CN"/>
        </w:rPr>
        <w:t>页起</w:t>
      </w:r>
      <w:r>
        <w:rPr>
          <w:lang w:val="zh-CN"/>
        </w:rPr>
        <w:t>，</w:t>
      </w:r>
      <w:r w:rsidRPr="009D48A5">
        <w:rPr>
          <w:lang w:val="zh-CN"/>
        </w:rPr>
        <w:t>见第</w:t>
      </w:r>
      <w:r w:rsidRPr="009D48A5">
        <w:rPr>
          <w:lang w:val="zh-CN"/>
        </w:rPr>
        <w:t>46</w:t>
      </w:r>
      <w:r w:rsidRPr="009D48A5">
        <w:rPr>
          <w:lang w:val="zh-CN"/>
        </w:rPr>
        <w:t>页</w:t>
      </w:r>
      <w:r>
        <w:rPr>
          <w:lang w:val="zh-CN"/>
        </w:rPr>
        <w:t>，</w:t>
      </w:r>
      <w:r w:rsidRPr="009D48A5">
        <w:rPr>
          <w:lang w:val="zh-CN"/>
        </w:rPr>
        <w:t>第</w:t>
      </w:r>
      <w:r w:rsidRPr="009D48A5">
        <w:rPr>
          <w:lang w:val="zh-CN"/>
        </w:rPr>
        <w:t>65</w:t>
      </w:r>
      <w:r w:rsidRPr="009D48A5">
        <w:rPr>
          <w:lang w:val="zh-CN"/>
        </w:rPr>
        <w:t>段</w:t>
      </w:r>
      <w:r>
        <w:rPr>
          <w:lang w:val="zh-CN"/>
        </w:rPr>
        <w:t>(</w:t>
      </w:r>
      <w:r w:rsidRPr="009D48A5">
        <w:rPr>
          <w:lang w:val="zh-CN"/>
        </w:rPr>
        <w:t>1969</w:t>
      </w:r>
      <w:r w:rsidRPr="009D48A5">
        <w:rPr>
          <w:lang w:val="zh-CN"/>
        </w:rPr>
        <w:t>年《维也纳公约》第三十一条</w:t>
      </w:r>
      <w:r>
        <w:rPr>
          <w:lang w:val="zh-CN"/>
        </w:rPr>
        <w:t>)</w:t>
      </w:r>
      <w:r>
        <w:rPr>
          <w:lang w:val="zh-CN"/>
        </w:rPr>
        <w:t>；</w:t>
      </w:r>
      <w:r w:rsidRPr="009D48A5">
        <w:rPr>
          <w:rFonts w:ascii="Time New Roman" w:eastAsia="楷体" w:hAnsi="Time New Roman"/>
          <w:lang w:val="zh-CN"/>
        </w:rPr>
        <w:t>关于</w:t>
      </w:r>
      <w:r w:rsidRPr="009D48A5">
        <w:rPr>
          <w:rFonts w:ascii="Time New Roman" w:eastAsia="楷体" w:hAnsi="Time New Roman" w:hint="eastAsia"/>
          <w:lang w:val="zh-CN"/>
        </w:rPr>
        <w:t>航行</w:t>
      </w:r>
      <w:r w:rsidRPr="009D48A5">
        <w:rPr>
          <w:rFonts w:ascii="Time New Roman" w:eastAsia="楷体" w:hAnsi="Time New Roman"/>
          <w:lang w:val="zh-CN"/>
        </w:rPr>
        <w:t>权和相关权利的争端案</w:t>
      </w:r>
      <w:r>
        <w:rPr>
          <w:rFonts w:ascii="Time New Roman" w:eastAsia="楷体" w:hAnsi="Time New Roman"/>
          <w:lang w:val="zh-CN"/>
        </w:rPr>
        <w:t>(</w:t>
      </w:r>
      <w:r w:rsidRPr="009D48A5">
        <w:rPr>
          <w:rFonts w:ascii="Time New Roman" w:eastAsia="楷体" w:hAnsi="Time New Roman"/>
          <w:lang w:val="zh-CN"/>
        </w:rPr>
        <w:t>哥斯达黎加诉尼加拉瓜</w:t>
      </w:r>
      <w:r>
        <w:rPr>
          <w:rFonts w:ascii="Time New Roman" w:eastAsia="楷体" w:hAnsi="Time New Roman"/>
          <w:lang w:val="zh-CN"/>
        </w:rPr>
        <w:t>)</w:t>
      </w:r>
      <w:r>
        <w:rPr>
          <w:rFonts w:ascii="Time New Roman" w:eastAsia="楷体" w:hAnsi="Time New Roman"/>
          <w:lang w:val="zh-CN"/>
        </w:rPr>
        <w:t>，</w:t>
      </w:r>
      <w:r w:rsidRPr="009D48A5">
        <w:rPr>
          <w:rFonts w:ascii="Time New Roman" w:eastAsia="楷体" w:hAnsi="Time New Roman"/>
          <w:lang w:val="zh-CN"/>
        </w:rPr>
        <w:t>判决</w:t>
      </w:r>
      <w:r>
        <w:rPr>
          <w:lang w:val="zh-CN"/>
        </w:rPr>
        <w:t>，</w:t>
      </w:r>
      <w:r w:rsidRPr="009D48A5">
        <w:rPr>
          <w:lang w:val="zh-CN"/>
        </w:rPr>
        <w:t>《</w:t>
      </w:r>
      <w:r w:rsidRPr="009D48A5">
        <w:rPr>
          <w:lang w:val="zh-CN"/>
        </w:rPr>
        <w:t>2009</w:t>
      </w:r>
      <w:r w:rsidRPr="009D48A5">
        <w:rPr>
          <w:lang w:val="zh-CN"/>
        </w:rPr>
        <w:t>年国际法院案例汇编》</w:t>
      </w:r>
      <w:r>
        <w:rPr>
          <w:lang w:val="zh-CN"/>
        </w:rPr>
        <w:t>，</w:t>
      </w:r>
      <w:r w:rsidRPr="009D48A5">
        <w:rPr>
          <w:lang w:val="zh-CN"/>
        </w:rPr>
        <w:t>第</w:t>
      </w:r>
      <w:r w:rsidRPr="009D48A5">
        <w:rPr>
          <w:lang w:val="zh-CN"/>
        </w:rPr>
        <w:t>213</w:t>
      </w:r>
      <w:r w:rsidRPr="009D48A5">
        <w:rPr>
          <w:lang w:val="zh-CN"/>
        </w:rPr>
        <w:t>页起</w:t>
      </w:r>
      <w:r>
        <w:rPr>
          <w:lang w:val="zh-CN"/>
        </w:rPr>
        <w:t>，</w:t>
      </w:r>
      <w:r w:rsidRPr="009D48A5">
        <w:rPr>
          <w:lang w:val="zh-CN"/>
        </w:rPr>
        <w:t>见第</w:t>
      </w:r>
      <w:r w:rsidRPr="009D48A5">
        <w:rPr>
          <w:lang w:val="zh-CN"/>
        </w:rPr>
        <w:t>237</w:t>
      </w:r>
      <w:r w:rsidRPr="009D48A5">
        <w:rPr>
          <w:lang w:val="zh-CN"/>
        </w:rPr>
        <w:t>页</w:t>
      </w:r>
      <w:r>
        <w:rPr>
          <w:lang w:val="zh-CN"/>
        </w:rPr>
        <w:t>，</w:t>
      </w:r>
      <w:r w:rsidRPr="009D48A5">
        <w:rPr>
          <w:lang w:val="zh-CN"/>
        </w:rPr>
        <w:t>第</w:t>
      </w:r>
      <w:r w:rsidRPr="009D48A5">
        <w:rPr>
          <w:lang w:val="zh-CN"/>
        </w:rPr>
        <w:t>47</w:t>
      </w:r>
      <w:r w:rsidRPr="009D48A5">
        <w:rPr>
          <w:lang w:val="zh-CN"/>
        </w:rPr>
        <w:t>段。《防止及惩治灭绝种族罪公约》</w:t>
      </w:r>
      <w:r w:rsidRPr="009D48A5">
        <w:rPr>
          <w:rFonts w:ascii="Time New Roman" w:eastAsia="楷体" w:hAnsi="Time New Roman"/>
          <w:lang w:val="zh-CN"/>
        </w:rPr>
        <w:t>的适用</w:t>
      </w:r>
      <w:r>
        <w:rPr>
          <w:rFonts w:hint="eastAsia"/>
          <w:lang w:val="zh-CN"/>
        </w:rPr>
        <w:t>(</w:t>
      </w:r>
      <w:r w:rsidRPr="009D48A5">
        <w:rPr>
          <w:rFonts w:ascii="Time New Roman" w:eastAsia="楷体" w:hAnsi="Time New Roman"/>
          <w:lang w:val="zh-CN"/>
        </w:rPr>
        <w:t>波斯尼亚和黑塞哥维那诉塞尔维亚和黑山</w:t>
      </w:r>
      <w:r>
        <w:rPr>
          <w:lang w:val="zh-CN"/>
        </w:rPr>
        <w:t>)</w:t>
      </w:r>
      <w:r>
        <w:rPr>
          <w:lang w:val="zh-CN"/>
        </w:rPr>
        <w:t>，</w:t>
      </w:r>
      <w:r w:rsidRPr="009D48A5">
        <w:rPr>
          <w:lang w:val="zh-CN"/>
        </w:rPr>
        <w:t>判决</w:t>
      </w:r>
      <w:r>
        <w:rPr>
          <w:lang w:val="zh-CN"/>
        </w:rPr>
        <w:t>，</w:t>
      </w:r>
      <w:r w:rsidRPr="009D48A5">
        <w:rPr>
          <w:lang w:val="zh-CN"/>
        </w:rPr>
        <w:t>《</w:t>
      </w:r>
      <w:r w:rsidRPr="009D48A5">
        <w:rPr>
          <w:lang w:val="zh-CN"/>
        </w:rPr>
        <w:t>2007</w:t>
      </w:r>
      <w:r w:rsidRPr="009D48A5">
        <w:rPr>
          <w:lang w:val="zh-CN"/>
        </w:rPr>
        <w:t>年国际法院案例汇编》</w:t>
      </w:r>
      <w:r>
        <w:rPr>
          <w:lang w:val="zh-CN"/>
        </w:rPr>
        <w:t>，</w:t>
      </w:r>
      <w:r w:rsidRPr="009D48A5">
        <w:rPr>
          <w:lang w:val="zh-CN"/>
        </w:rPr>
        <w:t>第</w:t>
      </w:r>
      <w:r w:rsidRPr="009D48A5">
        <w:rPr>
          <w:lang w:val="zh-CN"/>
        </w:rPr>
        <w:t>43</w:t>
      </w:r>
      <w:r w:rsidRPr="009D48A5">
        <w:rPr>
          <w:lang w:val="zh-CN"/>
        </w:rPr>
        <w:t>页起</w:t>
      </w:r>
      <w:r>
        <w:rPr>
          <w:lang w:val="zh-CN"/>
        </w:rPr>
        <w:t>，</w:t>
      </w:r>
      <w:r w:rsidRPr="009D48A5">
        <w:rPr>
          <w:lang w:val="zh-CN"/>
        </w:rPr>
        <w:t>见第</w:t>
      </w:r>
      <w:r w:rsidRPr="009D48A5">
        <w:rPr>
          <w:lang w:val="zh-CN"/>
        </w:rPr>
        <w:t>109-110</w:t>
      </w:r>
      <w:r w:rsidRPr="009D48A5">
        <w:rPr>
          <w:lang w:val="zh-CN"/>
        </w:rPr>
        <w:t>页</w:t>
      </w:r>
      <w:r>
        <w:rPr>
          <w:lang w:val="zh-CN"/>
        </w:rPr>
        <w:t>，</w:t>
      </w:r>
      <w:r w:rsidRPr="009D48A5">
        <w:rPr>
          <w:lang w:val="zh-CN"/>
        </w:rPr>
        <w:t>第</w:t>
      </w:r>
      <w:r w:rsidRPr="009D48A5">
        <w:rPr>
          <w:lang w:val="zh-CN"/>
        </w:rPr>
        <w:t>160</w:t>
      </w:r>
      <w:r w:rsidRPr="009D48A5">
        <w:rPr>
          <w:lang w:val="zh-CN"/>
        </w:rPr>
        <w:t>段</w:t>
      </w:r>
      <w:r>
        <w:rPr>
          <w:lang w:val="zh-CN"/>
        </w:rPr>
        <w:t>；</w:t>
      </w:r>
      <w:r w:rsidRPr="009D48A5">
        <w:rPr>
          <w:rFonts w:hint="eastAsia"/>
          <w:lang w:val="zh-CN"/>
        </w:rPr>
        <w:t>“</w:t>
      </w:r>
      <w:r w:rsidRPr="009D48A5">
        <w:rPr>
          <w:lang w:val="zh-CN"/>
        </w:rPr>
        <w:t>在被占领巴勒斯坦领土修建隔离墙的法律后果</w:t>
      </w:r>
      <w:r w:rsidRPr="009D48A5">
        <w:rPr>
          <w:rFonts w:hint="eastAsia"/>
          <w:lang w:val="zh-CN"/>
        </w:rPr>
        <w:t>”</w:t>
      </w:r>
      <w:r>
        <w:rPr>
          <w:lang w:val="zh-CN"/>
        </w:rPr>
        <w:t>，</w:t>
      </w:r>
      <w:r w:rsidRPr="009D48A5">
        <w:rPr>
          <w:lang w:val="zh-CN"/>
        </w:rPr>
        <w:t>咨询意见</w:t>
      </w:r>
      <w:r>
        <w:rPr>
          <w:lang w:val="zh-CN"/>
        </w:rPr>
        <w:t>，</w:t>
      </w:r>
      <w:r w:rsidRPr="009D48A5">
        <w:rPr>
          <w:lang w:val="zh-CN"/>
        </w:rPr>
        <w:t>《</w:t>
      </w:r>
      <w:r w:rsidRPr="009D48A5">
        <w:rPr>
          <w:lang w:val="zh-CN"/>
        </w:rPr>
        <w:t>2004</w:t>
      </w:r>
      <w:r w:rsidRPr="009D48A5">
        <w:rPr>
          <w:lang w:val="zh-CN"/>
        </w:rPr>
        <w:t>年国际法院案例汇编》</w:t>
      </w:r>
      <w:r>
        <w:rPr>
          <w:lang w:val="zh-CN"/>
        </w:rPr>
        <w:t>，</w:t>
      </w:r>
      <w:r w:rsidRPr="009D48A5">
        <w:rPr>
          <w:lang w:val="zh-CN"/>
        </w:rPr>
        <w:t>第</w:t>
      </w:r>
      <w:r w:rsidRPr="009D48A5">
        <w:rPr>
          <w:lang w:val="zh-CN"/>
        </w:rPr>
        <w:t>136</w:t>
      </w:r>
      <w:r w:rsidRPr="009D48A5">
        <w:rPr>
          <w:lang w:val="zh-CN"/>
        </w:rPr>
        <w:t>页起</w:t>
      </w:r>
      <w:r>
        <w:rPr>
          <w:lang w:val="zh-CN"/>
        </w:rPr>
        <w:t>，</w:t>
      </w:r>
      <w:r w:rsidRPr="009D48A5">
        <w:rPr>
          <w:lang w:val="zh-CN"/>
        </w:rPr>
        <w:t>见第</w:t>
      </w:r>
      <w:r w:rsidRPr="009D48A5">
        <w:rPr>
          <w:lang w:val="zh-CN"/>
        </w:rPr>
        <w:t>174</w:t>
      </w:r>
      <w:r w:rsidRPr="009D48A5">
        <w:rPr>
          <w:lang w:val="zh-CN"/>
        </w:rPr>
        <w:t>页</w:t>
      </w:r>
      <w:r>
        <w:rPr>
          <w:lang w:val="zh-CN"/>
        </w:rPr>
        <w:t>，</w:t>
      </w:r>
      <w:r w:rsidRPr="009D48A5">
        <w:rPr>
          <w:lang w:val="zh-CN"/>
        </w:rPr>
        <w:t>第</w:t>
      </w:r>
      <w:r w:rsidRPr="009D48A5">
        <w:rPr>
          <w:lang w:val="zh-CN"/>
        </w:rPr>
        <w:t>94</w:t>
      </w:r>
      <w:r w:rsidRPr="009D48A5">
        <w:rPr>
          <w:lang w:val="zh-CN"/>
        </w:rPr>
        <w:t>段</w:t>
      </w:r>
      <w:r>
        <w:rPr>
          <w:lang w:val="zh-CN"/>
        </w:rPr>
        <w:t>；</w:t>
      </w:r>
      <w:r w:rsidRPr="009D48A5">
        <w:rPr>
          <w:rFonts w:ascii="Time New Roman" w:eastAsia="楷体" w:hAnsi="Time New Roman"/>
          <w:lang w:val="zh-CN"/>
        </w:rPr>
        <w:t>阿韦纳和其他墨西哥国民案</w:t>
      </w:r>
      <w:r>
        <w:rPr>
          <w:rFonts w:ascii="Time New Roman" w:eastAsia="楷体" w:hAnsi="Time New Roman" w:hint="eastAsia"/>
          <w:lang w:val="zh-CN"/>
        </w:rPr>
        <w:t>(</w:t>
      </w:r>
      <w:r w:rsidRPr="009D48A5">
        <w:rPr>
          <w:rFonts w:ascii="Time New Roman" w:eastAsia="楷体" w:hAnsi="Time New Roman"/>
          <w:lang w:val="zh-CN"/>
        </w:rPr>
        <w:t>墨西哥诉美利坚合众国</w:t>
      </w:r>
      <w:r>
        <w:rPr>
          <w:lang w:val="zh-CN"/>
        </w:rPr>
        <w:t>)</w:t>
      </w:r>
      <w:r>
        <w:rPr>
          <w:lang w:val="zh-CN"/>
        </w:rPr>
        <w:t>，</w:t>
      </w:r>
      <w:r w:rsidRPr="009D48A5">
        <w:rPr>
          <w:rFonts w:ascii="Time New Roman" w:eastAsia="楷体" w:hAnsi="Time New Roman"/>
          <w:lang w:val="zh-CN"/>
        </w:rPr>
        <w:t>判决</w:t>
      </w:r>
      <w:r>
        <w:rPr>
          <w:lang w:val="zh-CN"/>
        </w:rPr>
        <w:t>，</w:t>
      </w:r>
      <w:r w:rsidRPr="009D48A5">
        <w:rPr>
          <w:lang w:val="zh-CN"/>
        </w:rPr>
        <w:t>《</w:t>
      </w:r>
      <w:r w:rsidRPr="009D48A5">
        <w:rPr>
          <w:lang w:val="zh-CN"/>
        </w:rPr>
        <w:t>2004</w:t>
      </w:r>
      <w:r w:rsidRPr="009D48A5">
        <w:rPr>
          <w:lang w:val="zh-CN"/>
        </w:rPr>
        <w:t>年国际法院案例汇编》</w:t>
      </w:r>
      <w:r>
        <w:rPr>
          <w:lang w:val="zh-CN"/>
        </w:rPr>
        <w:t>，</w:t>
      </w:r>
      <w:r w:rsidRPr="009D48A5">
        <w:rPr>
          <w:lang w:val="zh-CN"/>
        </w:rPr>
        <w:t>第</w:t>
      </w:r>
      <w:r w:rsidRPr="009D48A5">
        <w:rPr>
          <w:lang w:val="zh-CN"/>
        </w:rPr>
        <w:t>12</w:t>
      </w:r>
      <w:r w:rsidRPr="009D48A5">
        <w:rPr>
          <w:lang w:val="zh-CN"/>
        </w:rPr>
        <w:t>页起</w:t>
      </w:r>
      <w:r>
        <w:rPr>
          <w:lang w:val="zh-CN"/>
        </w:rPr>
        <w:t>，</w:t>
      </w:r>
      <w:r w:rsidRPr="009D48A5">
        <w:rPr>
          <w:lang w:val="zh-CN"/>
        </w:rPr>
        <w:t>见第</w:t>
      </w:r>
      <w:r w:rsidRPr="009D48A5">
        <w:rPr>
          <w:lang w:val="zh-CN"/>
        </w:rPr>
        <w:t>48</w:t>
      </w:r>
      <w:r w:rsidRPr="009D48A5">
        <w:rPr>
          <w:lang w:val="zh-CN"/>
        </w:rPr>
        <w:t>页</w:t>
      </w:r>
      <w:r>
        <w:rPr>
          <w:lang w:val="zh-CN"/>
        </w:rPr>
        <w:t>，</w:t>
      </w:r>
      <w:r w:rsidRPr="009D48A5">
        <w:rPr>
          <w:lang w:val="zh-CN"/>
        </w:rPr>
        <w:t>第</w:t>
      </w:r>
      <w:r w:rsidRPr="009D48A5">
        <w:rPr>
          <w:lang w:val="zh-CN"/>
        </w:rPr>
        <w:t>83</w:t>
      </w:r>
      <w:r w:rsidRPr="009D48A5">
        <w:rPr>
          <w:lang w:val="zh-CN"/>
        </w:rPr>
        <w:t>段</w:t>
      </w:r>
      <w:r>
        <w:rPr>
          <w:lang w:val="zh-CN"/>
        </w:rPr>
        <w:t>；</w:t>
      </w:r>
      <w:r w:rsidRPr="009D48A5">
        <w:rPr>
          <w:rFonts w:ascii="Time New Roman" w:eastAsia="楷体" w:hAnsi="Time New Roman"/>
          <w:lang w:val="zh-CN"/>
        </w:rPr>
        <w:t>利吉丹岛和西巴丹岛的主权归属案</w:t>
      </w:r>
      <w:r>
        <w:rPr>
          <w:rFonts w:ascii="Time New Roman" w:eastAsia="楷体" w:hAnsi="Time New Roman"/>
          <w:lang w:val="zh-CN"/>
        </w:rPr>
        <w:t>(</w:t>
      </w:r>
      <w:r w:rsidRPr="009D48A5">
        <w:rPr>
          <w:rFonts w:ascii="Time New Roman" w:eastAsia="楷体" w:hAnsi="Time New Roman"/>
          <w:lang w:val="zh-CN"/>
        </w:rPr>
        <w:t>印度尼西亚诉马来西亚</w:t>
      </w:r>
      <w:r>
        <w:rPr>
          <w:rFonts w:ascii="Time New Roman" w:eastAsia="楷体" w:hAnsi="Time New Roman"/>
          <w:lang w:val="zh-CN"/>
        </w:rPr>
        <w:t>)</w:t>
      </w:r>
      <w:r>
        <w:rPr>
          <w:rFonts w:ascii="Time New Roman" w:eastAsia="楷体" w:hAnsi="Time New Roman"/>
          <w:lang w:val="zh-CN"/>
        </w:rPr>
        <w:t>，</w:t>
      </w:r>
      <w:r w:rsidRPr="009D48A5">
        <w:rPr>
          <w:rFonts w:ascii="Time New Roman" w:eastAsia="楷体" w:hAnsi="Time New Roman"/>
          <w:lang w:val="zh-CN"/>
        </w:rPr>
        <w:t>判决</w:t>
      </w:r>
      <w:r>
        <w:rPr>
          <w:lang w:val="zh-CN"/>
        </w:rPr>
        <w:t>，</w:t>
      </w:r>
      <w:r w:rsidRPr="009D48A5">
        <w:rPr>
          <w:lang w:val="zh-CN"/>
        </w:rPr>
        <w:t>《</w:t>
      </w:r>
      <w:r w:rsidRPr="009D48A5">
        <w:rPr>
          <w:lang w:val="zh-CN"/>
        </w:rPr>
        <w:t>2002</w:t>
      </w:r>
      <w:r w:rsidRPr="009D48A5">
        <w:rPr>
          <w:lang w:val="zh-CN"/>
        </w:rPr>
        <w:t>年国际法院案例汇编》</w:t>
      </w:r>
      <w:r>
        <w:rPr>
          <w:lang w:val="zh-CN"/>
        </w:rPr>
        <w:t>，</w:t>
      </w:r>
      <w:r w:rsidRPr="009D48A5">
        <w:rPr>
          <w:lang w:val="zh-CN"/>
        </w:rPr>
        <w:t>第</w:t>
      </w:r>
      <w:r w:rsidRPr="009D48A5">
        <w:rPr>
          <w:lang w:val="zh-CN"/>
        </w:rPr>
        <w:t>652</w:t>
      </w:r>
      <w:r w:rsidRPr="009D48A5">
        <w:rPr>
          <w:lang w:val="zh-CN"/>
        </w:rPr>
        <w:t>页起</w:t>
      </w:r>
      <w:r>
        <w:rPr>
          <w:lang w:val="zh-CN"/>
        </w:rPr>
        <w:t>，</w:t>
      </w:r>
      <w:r w:rsidRPr="009D48A5">
        <w:rPr>
          <w:lang w:val="zh-CN"/>
        </w:rPr>
        <w:t>见第</w:t>
      </w:r>
      <w:r w:rsidRPr="009D48A5">
        <w:rPr>
          <w:lang w:val="zh-CN"/>
        </w:rPr>
        <w:t>645</w:t>
      </w:r>
      <w:r w:rsidRPr="009D48A5">
        <w:rPr>
          <w:lang w:val="zh-CN"/>
        </w:rPr>
        <w:t>页</w:t>
      </w:r>
      <w:r>
        <w:rPr>
          <w:lang w:val="zh-CN"/>
        </w:rPr>
        <w:t>，</w:t>
      </w:r>
      <w:r w:rsidRPr="009D48A5">
        <w:rPr>
          <w:lang w:val="zh-CN"/>
        </w:rPr>
        <w:t>第</w:t>
      </w:r>
      <w:r w:rsidRPr="009D48A5">
        <w:rPr>
          <w:lang w:val="zh-CN"/>
        </w:rPr>
        <w:t>37</w:t>
      </w:r>
      <w:r w:rsidRPr="009D48A5">
        <w:rPr>
          <w:lang w:val="zh-CN"/>
        </w:rPr>
        <w:t>段</w:t>
      </w:r>
      <w:r>
        <w:rPr>
          <w:lang w:val="zh-CN"/>
        </w:rPr>
        <w:t>；</w:t>
      </w:r>
      <w:r w:rsidRPr="009D48A5">
        <w:rPr>
          <w:rFonts w:ascii="Time New Roman" w:eastAsia="楷体" w:hAnsi="Time New Roman"/>
          <w:lang w:val="zh-CN"/>
        </w:rPr>
        <w:t>拉格朗案</w:t>
      </w:r>
      <w:r>
        <w:rPr>
          <w:rFonts w:ascii="Time New Roman" w:eastAsia="楷体" w:hAnsi="Time New Roman"/>
          <w:lang w:val="zh-CN"/>
        </w:rPr>
        <w:t>(</w:t>
      </w:r>
      <w:r w:rsidRPr="009D48A5">
        <w:rPr>
          <w:rFonts w:ascii="Time New Roman" w:eastAsia="楷体" w:hAnsi="Time New Roman"/>
          <w:lang w:val="zh-CN"/>
        </w:rPr>
        <w:t>德国诉美利坚合众国</w:t>
      </w:r>
      <w:r>
        <w:rPr>
          <w:lang w:val="zh-CN"/>
        </w:rPr>
        <w:t>)</w:t>
      </w:r>
      <w:r>
        <w:rPr>
          <w:lang w:val="zh-CN"/>
        </w:rPr>
        <w:t>，</w:t>
      </w:r>
      <w:r w:rsidRPr="009D48A5">
        <w:rPr>
          <w:rFonts w:ascii="Time New Roman" w:eastAsia="楷体" w:hAnsi="Time New Roman"/>
          <w:lang w:val="zh-CN"/>
        </w:rPr>
        <w:t>判决</w:t>
      </w:r>
      <w:r>
        <w:rPr>
          <w:lang w:val="zh-CN"/>
        </w:rPr>
        <w:t>，</w:t>
      </w:r>
      <w:r w:rsidRPr="009D48A5">
        <w:rPr>
          <w:lang w:val="zh-CN"/>
        </w:rPr>
        <w:t>《</w:t>
      </w:r>
      <w:r w:rsidRPr="009D48A5">
        <w:rPr>
          <w:lang w:val="zh-CN"/>
        </w:rPr>
        <w:t>2001</w:t>
      </w:r>
      <w:r w:rsidRPr="009D48A5">
        <w:rPr>
          <w:lang w:val="zh-CN"/>
        </w:rPr>
        <w:t>年国际法院案例汇编》</w:t>
      </w:r>
      <w:r>
        <w:rPr>
          <w:lang w:val="zh-CN"/>
        </w:rPr>
        <w:t>，</w:t>
      </w:r>
      <w:r w:rsidRPr="009D48A5">
        <w:rPr>
          <w:lang w:val="zh-CN"/>
        </w:rPr>
        <w:t>第</w:t>
      </w:r>
      <w:r w:rsidRPr="009D48A5">
        <w:rPr>
          <w:lang w:val="zh-CN"/>
        </w:rPr>
        <w:t>466</w:t>
      </w:r>
      <w:r w:rsidRPr="009D48A5">
        <w:rPr>
          <w:lang w:val="zh-CN"/>
        </w:rPr>
        <w:t>页起</w:t>
      </w:r>
      <w:r>
        <w:rPr>
          <w:lang w:val="zh-CN"/>
        </w:rPr>
        <w:t>，</w:t>
      </w:r>
      <w:r w:rsidRPr="009D48A5">
        <w:rPr>
          <w:lang w:val="zh-CN"/>
        </w:rPr>
        <w:t>见第</w:t>
      </w:r>
      <w:r w:rsidRPr="009D48A5">
        <w:rPr>
          <w:lang w:val="zh-CN"/>
        </w:rPr>
        <w:t>501</w:t>
      </w:r>
      <w:r w:rsidRPr="009D48A5">
        <w:rPr>
          <w:lang w:val="zh-CN"/>
        </w:rPr>
        <w:t>页</w:t>
      </w:r>
      <w:r>
        <w:rPr>
          <w:lang w:val="zh-CN"/>
        </w:rPr>
        <w:t>，</w:t>
      </w:r>
      <w:r w:rsidRPr="009D48A5">
        <w:rPr>
          <w:lang w:val="zh-CN"/>
        </w:rPr>
        <w:t>第</w:t>
      </w:r>
      <w:r w:rsidRPr="009D48A5">
        <w:rPr>
          <w:lang w:val="zh-CN"/>
        </w:rPr>
        <w:t>99</w:t>
      </w:r>
      <w:r w:rsidRPr="009D48A5">
        <w:rPr>
          <w:lang w:val="zh-CN"/>
        </w:rPr>
        <w:t>段</w:t>
      </w:r>
      <w:r>
        <w:rPr>
          <w:lang w:val="zh-CN"/>
        </w:rPr>
        <w:t>(</w:t>
      </w:r>
      <w:r w:rsidRPr="009D48A5">
        <w:rPr>
          <w:lang w:val="zh-CN"/>
        </w:rPr>
        <w:t>1969</w:t>
      </w:r>
      <w:r w:rsidRPr="009D48A5">
        <w:rPr>
          <w:lang w:val="zh-CN"/>
        </w:rPr>
        <w:t>年《维也纳公约》第三十一条</w:t>
      </w:r>
      <w:r>
        <w:rPr>
          <w:lang w:val="zh-CN"/>
        </w:rPr>
        <w:t>)</w:t>
      </w:r>
      <w:r>
        <w:rPr>
          <w:lang w:val="zh-CN"/>
        </w:rPr>
        <w:t>；</w:t>
      </w:r>
      <w:r w:rsidRPr="009D48A5">
        <w:rPr>
          <w:rFonts w:ascii="Time New Roman" w:eastAsia="楷体" w:hAnsi="Time New Roman"/>
          <w:lang w:val="zh-CN"/>
        </w:rPr>
        <w:t>卡西基里</w:t>
      </w:r>
      <w:r>
        <w:rPr>
          <w:rFonts w:ascii="Time New Roman" w:eastAsia="楷体" w:hAnsi="Time New Roman"/>
          <w:lang w:val="zh-CN"/>
        </w:rPr>
        <w:t>/</w:t>
      </w:r>
      <w:r w:rsidRPr="009D48A5">
        <w:rPr>
          <w:rFonts w:ascii="Time New Roman" w:eastAsia="楷体" w:hAnsi="Time New Roman"/>
          <w:lang w:val="zh-CN"/>
        </w:rPr>
        <w:t>塞杜杜岛案</w:t>
      </w:r>
      <w:r>
        <w:rPr>
          <w:rFonts w:ascii="Time New Roman" w:eastAsia="楷体" w:hAnsi="Time New Roman"/>
          <w:lang w:val="zh-CN"/>
        </w:rPr>
        <w:t>(</w:t>
      </w:r>
      <w:r w:rsidRPr="009D48A5">
        <w:rPr>
          <w:rFonts w:ascii="Time New Roman" w:eastAsia="楷体" w:hAnsi="Time New Roman"/>
          <w:lang w:val="zh-CN"/>
        </w:rPr>
        <w:t>博茨瓦纳</w:t>
      </w:r>
      <w:r>
        <w:rPr>
          <w:rFonts w:ascii="Time New Roman" w:eastAsia="楷体" w:hAnsi="Time New Roman"/>
          <w:lang w:val="zh-CN"/>
        </w:rPr>
        <w:t>/</w:t>
      </w:r>
      <w:r w:rsidRPr="009D48A5">
        <w:rPr>
          <w:rFonts w:ascii="Time New Roman" w:eastAsia="楷体" w:hAnsi="Time New Roman"/>
          <w:lang w:val="zh-CN"/>
        </w:rPr>
        <w:t>纳米比亚</w:t>
      </w:r>
      <w:r>
        <w:rPr>
          <w:lang w:val="zh-CN"/>
        </w:rPr>
        <w:t>)</w:t>
      </w:r>
      <w:r>
        <w:rPr>
          <w:lang w:val="zh-CN"/>
        </w:rPr>
        <w:t>，</w:t>
      </w:r>
      <w:r w:rsidRPr="009D48A5">
        <w:rPr>
          <w:rFonts w:ascii="Time New Roman" w:eastAsia="楷体" w:hAnsi="Time New Roman"/>
          <w:lang w:val="zh-CN"/>
        </w:rPr>
        <w:t>判决</w:t>
      </w:r>
      <w:r>
        <w:rPr>
          <w:lang w:val="zh-CN"/>
        </w:rPr>
        <w:t>，</w:t>
      </w:r>
      <w:r w:rsidRPr="009D48A5">
        <w:rPr>
          <w:lang w:val="zh-CN"/>
        </w:rPr>
        <w:t>《</w:t>
      </w:r>
      <w:r w:rsidRPr="009D48A5">
        <w:rPr>
          <w:lang w:val="zh-CN"/>
        </w:rPr>
        <w:t>1999</w:t>
      </w:r>
      <w:r w:rsidRPr="009D48A5">
        <w:rPr>
          <w:rFonts w:hint="eastAsia"/>
          <w:lang w:val="zh-CN"/>
        </w:rPr>
        <w:t>年</w:t>
      </w:r>
      <w:r w:rsidRPr="009D48A5">
        <w:rPr>
          <w:lang w:val="zh-CN"/>
        </w:rPr>
        <w:t>国际法院案例汇编》</w:t>
      </w:r>
      <w:r>
        <w:rPr>
          <w:lang w:val="zh-CN"/>
        </w:rPr>
        <w:t>，</w:t>
      </w:r>
      <w:r w:rsidRPr="009D48A5">
        <w:rPr>
          <w:lang w:val="zh-CN"/>
        </w:rPr>
        <w:t>第</w:t>
      </w:r>
      <w:r w:rsidRPr="009D48A5">
        <w:rPr>
          <w:lang w:val="zh-CN"/>
        </w:rPr>
        <w:t>1045</w:t>
      </w:r>
      <w:r w:rsidRPr="009D48A5">
        <w:rPr>
          <w:lang w:val="zh-CN"/>
        </w:rPr>
        <w:t>页起</w:t>
      </w:r>
      <w:r>
        <w:rPr>
          <w:lang w:val="zh-CN"/>
        </w:rPr>
        <w:t>，</w:t>
      </w:r>
      <w:r w:rsidRPr="009D48A5">
        <w:rPr>
          <w:lang w:val="zh-CN"/>
        </w:rPr>
        <w:t>见第</w:t>
      </w:r>
      <w:r w:rsidRPr="009D48A5">
        <w:rPr>
          <w:lang w:val="zh-CN"/>
        </w:rPr>
        <w:t>1059</w:t>
      </w:r>
      <w:r w:rsidRPr="009D48A5">
        <w:rPr>
          <w:lang w:val="zh-CN"/>
        </w:rPr>
        <w:t>页</w:t>
      </w:r>
      <w:r>
        <w:rPr>
          <w:lang w:val="zh-CN"/>
        </w:rPr>
        <w:t>，</w:t>
      </w:r>
      <w:r w:rsidRPr="009D48A5">
        <w:rPr>
          <w:lang w:val="zh-CN"/>
        </w:rPr>
        <w:t>第</w:t>
      </w:r>
      <w:r w:rsidRPr="009D48A5">
        <w:rPr>
          <w:lang w:val="zh-CN"/>
        </w:rPr>
        <w:t>18</w:t>
      </w:r>
      <w:r w:rsidRPr="009D48A5">
        <w:rPr>
          <w:lang w:val="zh-CN"/>
        </w:rPr>
        <w:t>段</w:t>
      </w:r>
      <w:r>
        <w:rPr>
          <w:lang w:val="zh-CN"/>
        </w:rPr>
        <w:t>(</w:t>
      </w:r>
      <w:r w:rsidRPr="009D48A5">
        <w:rPr>
          <w:lang w:val="zh-CN"/>
        </w:rPr>
        <w:t>1969</w:t>
      </w:r>
      <w:r w:rsidRPr="009D48A5">
        <w:rPr>
          <w:lang w:val="zh-CN"/>
        </w:rPr>
        <w:t>年《维也纳公约》第三十一条</w:t>
      </w:r>
      <w:r>
        <w:rPr>
          <w:lang w:val="zh-CN"/>
        </w:rPr>
        <w:t>)</w:t>
      </w:r>
      <w:r>
        <w:rPr>
          <w:lang w:val="zh-CN"/>
        </w:rPr>
        <w:t>；</w:t>
      </w:r>
      <w:r w:rsidRPr="009D48A5">
        <w:rPr>
          <w:rFonts w:ascii="Time New Roman" w:eastAsia="楷体" w:hAnsi="Time New Roman"/>
          <w:lang w:val="zh-CN"/>
        </w:rPr>
        <w:t>领土争端案</w:t>
      </w:r>
      <w:r>
        <w:rPr>
          <w:rFonts w:ascii="Time New Roman" w:eastAsia="楷体" w:hAnsi="Time New Roman"/>
          <w:lang w:val="zh-CN"/>
        </w:rPr>
        <w:t>(</w:t>
      </w:r>
      <w:r w:rsidRPr="009D48A5">
        <w:rPr>
          <w:rFonts w:ascii="Time New Roman" w:eastAsia="楷体" w:hAnsi="Time New Roman"/>
          <w:lang w:val="zh-CN"/>
        </w:rPr>
        <w:t>阿拉伯利比亚民众国诉乍得</w:t>
      </w:r>
      <w:r>
        <w:rPr>
          <w:lang w:val="zh-CN"/>
        </w:rPr>
        <w:t>)</w:t>
      </w:r>
      <w:r>
        <w:rPr>
          <w:lang w:val="zh-CN"/>
        </w:rPr>
        <w:t>，</w:t>
      </w:r>
      <w:r w:rsidRPr="009D48A5">
        <w:rPr>
          <w:rFonts w:ascii="Time New Roman" w:eastAsia="楷体" w:hAnsi="Time New Roman"/>
          <w:lang w:val="zh-CN"/>
        </w:rPr>
        <w:t>判决</w:t>
      </w:r>
      <w:r>
        <w:rPr>
          <w:lang w:val="zh-CN"/>
        </w:rPr>
        <w:t>，</w:t>
      </w:r>
      <w:r w:rsidRPr="009D48A5">
        <w:rPr>
          <w:lang w:val="zh-CN"/>
        </w:rPr>
        <w:t>《</w:t>
      </w:r>
      <w:r w:rsidRPr="009D48A5">
        <w:rPr>
          <w:lang w:val="zh-CN"/>
        </w:rPr>
        <w:t>1994</w:t>
      </w:r>
      <w:r w:rsidRPr="009D48A5">
        <w:rPr>
          <w:lang w:val="zh-CN"/>
        </w:rPr>
        <w:t>年国际法院案例汇编》</w:t>
      </w:r>
      <w:r>
        <w:rPr>
          <w:lang w:val="zh-CN"/>
        </w:rPr>
        <w:t>，</w:t>
      </w:r>
      <w:r w:rsidRPr="009D48A5">
        <w:rPr>
          <w:lang w:val="zh-CN"/>
        </w:rPr>
        <w:t>第</w:t>
      </w:r>
      <w:r w:rsidRPr="009D48A5">
        <w:rPr>
          <w:lang w:val="zh-CN"/>
        </w:rPr>
        <w:t>6</w:t>
      </w:r>
      <w:r w:rsidRPr="009D48A5">
        <w:rPr>
          <w:lang w:val="zh-CN"/>
        </w:rPr>
        <w:t>页起</w:t>
      </w:r>
      <w:r>
        <w:rPr>
          <w:lang w:val="zh-CN"/>
        </w:rPr>
        <w:t>，</w:t>
      </w:r>
      <w:r w:rsidRPr="009D48A5">
        <w:rPr>
          <w:lang w:val="zh-CN"/>
        </w:rPr>
        <w:t>见第</w:t>
      </w:r>
      <w:r w:rsidRPr="009D48A5">
        <w:rPr>
          <w:lang w:val="zh-CN"/>
        </w:rPr>
        <w:t>21-22</w:t>
      </w:r>
      <w:r w:rsidRPr="009D48A5">
        <w:rPr>
          <w:lang w:val="zh-CN"/>
        </w:rPr>
        <w:t>页</w:t>
      </w:r>
      <w:r>
        <w:rPr>
          <w:lang w:val="zh-CN"/>
        </w:rPr>
        <w:t>，</w:t>
      </w:r>
      <w:r w:rsidRPr="009D48A5">
        <w:rPr>
          <w:lang w:val="zh-CN"/>
        </w:rPr>
        <w:t>第</w:t>
      </w:r>
      <w:r w:rsidRPr="009D48A5">
        <w:rPr>
          <w:lang w:val="zh-CN"/>
        </w:rPr>
        <w:t>41</w:t>
      </w:r>
      <w:r w:rsidRPr="009D48A5">
        <w:rPr>
          <w:lang w:val="zh-CN"/>
        </w:rPr>
        <w:t>段</w:t>
      </w:r>
      <w:r>
        <w:rPr>
          <w:lang w:val="zh-CN"/>
        </w:rPr>
        <w:t>(</w:t>
      </w:r>
      <w:r w:rsidRPr="009D48A5">
        <w:rPr>
          <w:lang w:val="zh-CN"/>
        </w:rPr>
        <w:t>《维也纳公约》第三十一条</w:t>
      </w:r>
      <w:r>
        <w:rPr>
          <w:lang w:val="zh-CN"/>
        </w:rPr>
        <w:t>，</w:t>
      </w:r>
      <w:r w:rsidRPr="009D48A5">
        <w:rPr>
          <w:lang w:val="zh-CN"/>
        </w:rPr>
        <w:t>未明确提到</w:t>
      </w:r>
      <w:r w:rsidRPr="009D48A5">
        <w:rPr>
          <w:lang w:val="zh-CN"/>
        </w:rPr>
        <w:t>1969</w:t>
      </w:r>
      <w:r w:rsidRPr="009D48A5">
        <w:rPr>
          <w:lang w:val="zh-CN"/>
        </w:rPr>
        <w:t>年《维也纳公约》第三十二条</w:t>
      </w:r>
      <w:r>
        <w:rPr>
          <w:lang w:val="zh-CN"/>
        </w:rPr>
        <w:t>，</w:t>
      </w:r>
      <w:r w:rsidRPr="009D48A5">
        <w:rPr>
          <w:lang w:val="zh-CN"/>
        </w:rPr>
        <w:t>但提到补充解释资料</w:t>
      </w:r>
      <w:r>
        <w:rPr>
          <w:lang w:val="zh-CN"/>
        </w:rPr>
        <w:t>)</w:t>
      </w:r>
      <w:r w:rsidRPr="009D48A5">
        <w:rPr>
          <w:lang w:val="zh-CN"/>
        </w:rPr>
        <w:t>。</w:t>
      </w:r>
    </w:p>
  </w:footnote>
  <w:footnote w:id="397">
    <w:p w:rsidR="00AB00DE" w:rsidRPr="009D48A5" w:rsidRDefault="00AB00DE" w:rsidP="0049004C">
      <w:pPr>
        <w:pStyle w:val="a4"/>
        <w:spacing w:after="100"/>
      </w:pPr>
      <w:r w:rsidRPr="009D48A5">
        <w:rPr>
          <w:lang w:val="zh-CN"/>
        </w:rPr>
        <w:tab/>
      </w:r>
      <w:r w:rsidRPr="00DF5565">
        <w:rPr>
          <w:rStyle w:val="a5"/>
          <w:szCs w:val="22"/>
          <w:lang w:val="zh-CN"/>
        </w:rPr>
        <w:footnoteRef/>
      </w:r>
      <w:r w:rsidRPr="009D48A5">
        <w:rPr>
          <w:lang w:val="zh-CN"/>
        </w:rPr>
        <w:tab/>
      </w:r>
      <w:r w:rsidRPr="009D48A5">
        <w:rPr>
          <w:rFonts w:ascii="Time New Roman" w:eastAsia="楷体" w:hAnsi="Time New Roman" w:hint="eastAsia"/>
          <w:lang w:val="zh-CN"/>
        </w:rPr>
        <w:t>担保个人和实体从事区域内活动的国家所负责任和义务</w:t>
      </w:r>
      <w:r>
        <w:rPr>
          <w:lang w:val="zh-CN"/>
        </w:rPr>
        <w:t>，</w:t>
      </w:r>
      <w:r w:rsidRPr="009D48A5">
        <w:rPr>
          <w:lang w:val="zh-CN"/>
        </w:rPr>
        <w:t>第</w:t>
      </w:r>
      <w:r w:rsidRPr="009D48A5">
        <w:rPr>
          <w:lang w:val="zh-CN"/>
        </w:rPr>
        <w:t>17</w:t>
      </w:r>
      <w:r w:rsidRPr="009D48A5">
        <w:rPr>
          <w:lang w:val="zh-CN"/>
        </w:rPr>
        <w:t>号案件</w:t>
      </w:r>
      <w:r>
        <w:rPr>
          <w:lang w:val="zh-CN"/>
        </w:rPr>
        <w:t>，</w:t>
      </w:r>
      <w:r w:rsidRPr="009D48A5">
        <w:rPr>
          <w:lang w:val="zh-CN"/>
        </w:rPr>
        <w:t>咨询意见</w:t>
      </w:r>
      <w:r>
        <w:rPr>
          <w:lang w:val="zh-CN"/>
        </w:rPr>
        <w:t>，</w:t>
      </w:r>
      <w:r w:rsidRPr="009D48A5">
        <w:rPr>
          <w:lang w:val="zh-CN"/>
        </w:rPr>
        <w:t>2011</w:t>
      </w:r>
      <w:r w:rsidRPr="009D48A5">
        <w:rPr>
          <w:lang w:val="zh-CN"/>
        </w:rPr>
        <w:t>年</w:t>
      </w:r>
      <w:r w:rsidRPr="009D48A5">
        <w:rPr>
          <w:lang w:val="zh-CN"/>
        </w:rPr>
        <w:t>2</w:t>
      </w:r>
      <w:r w:rsidRPr="009D48A5">
        <w:rPr>
          <w:lang w:val="zh-CN"/>
        </w:rPr>
        <w:t>月</w:t>
      </w:r>
      <w:r w:rsidRPr="009D48A5">
        <w:rPr>
          <w:lang w:val="zh-CN"/>
        </w:rPr>
        <w:t>1</w:t>
      </w:r>
      <w:r w:rsidRPr="009D48A5">
        <w:rPr>
          <w:lang w:val="zh-CN"/>
        </w:rPr>
        <w:t>日</w:t>
      </w:r>
      <w:r>
        <w:rPr>
          <w:lang w:val="zh-CN"/>
        </w:rPr>
        <w:t>，</w:t>
      </w:r>
      <w:r w:rsidRPr="009D48A5">
        <w:rPr>
          <w:lang w:val="zh-CN"/>
        </w:rPr>
        <w:t>《</w:t>
      </w:r>
      <w:r w:rsidRPr="009D48A5">
        <w:rPr>
          <w:lang w:val="zh-CN"/>
        </w:rPr>
        <w:t>2011</w:t>
      </w:r>
      <w:r w:rsidRPr="009D48A5">
        <w:rPr>
          <w:lang w:val="zh-CN"/>
        </w:rPr>
        <w:t>年海洋法法庭案例汇编》</w:t>
      </w:r>
      <w:r>
        <w:rPr>
          <w:lang w:val="zh-CN"/>
        </w:rPr>
        <w:t>，</w:t>
      </w:r>
      <w:r w:rsidRPr="009D48A5">
        <w:rPr>
          <w:lang w:val="zh-CN"/>
        </w:rPr>
        <w:t>第</w:t>
      </w:r>
      <w:r>
        <w:t>10</w:t>
      </w:r>
      <w:r w:rsidRPr="009D48A5">
        <w:rPr>
          <w:lang w:val="zh-CN"/>
        </w:rPr>
        <w:t>页</w:t>
      </w:r>
      <w:r>
        <w:rPr>
          <w:lang w:val="zh-CN"/>
        </w:rPr>
        <w:t>，</w:t>
      </w:r>
      <w:r w:rsidRPr="009D48A5">
        <w:rPr>
          <w:lang w:val="zh-CN"/>
        </w:rPr>
        <w:t>见第</w:t>
      </w:r>
      <w:r w:rsidRPr="009D48A5">
        <w:rPr>
          <w:lang w:val="zh-CN"/>
        </w:rPr>
        <w:t>57</w:t>
      </w:r>
      <w:r w:rsidRPr="009D48A5">
        <w:rPr>
          <w:lang w:val="zh-CN"/>
        </w:rPr>
        <w:t>段。</w:t>
      </w:r>
    </w:p>
  </w:footnote>
  <w:footnote w:id="398">
    <w:p w:rsidR="00AB00DE" w:rsidRPr="009D48A5" w:rsidRDefault="00AB00DE" w:rsidP="008D7906">
      <w:pPr>
        <w:pStyle w:val="a4"/>
      </w:pPr>
      <w:r w:rsidRPr="009D48A5">
        <w:rPr>
          <w:lang w:val="zh-CN"/>
        </w:rPr>
        <w:tab/>
      </w:r>
      <w:r w:rsidRPr="00DF5565">
        <w:rPr>
          <w:rStyle w:val="a5"/>
          <w:szCs w:val="22"/>
          <w:lang w:val="zh-CN"/>
        </w:rPr>
        <w:footnoteRef/>
      </w:r>
      <w:r w:rsidRPr="009D48A5">
        <w:rPr>
          <w:lang w:val="zh-CN"/>
        </w:rPr>
        <w:tab/>
      </w:r>
      <w:r w:rsidRPr="009D48A5">
        <w:rPr>
          <w:rFonts w:ascii="Time New Roman" w:eastAsia="楷体" w:hAnsi="Time New Roman"/>
          <w:lang w:val="zh-CN"/>
        </w:rPr>
        <w:t>比利时王国与荷兰王国间莱茵铁路公司案仲裁裁决</w:t>
      </w:r>
      <w:r>
        <w:rPr>
          <w:lang w:val="zh-CN"/>
        </w:rPr>
        <w:t>，</w:t>
      </w:r>
      <w:r w:rsidRPr="009D48A5">
        <w:rPr>
          <w:lang w:val="zh-CN"/>
        </w:rPr>
        <w:t>2005</w:t>
      </w:r>
      <w:r w:rsidRPr="009D48A5">
        <w:rPr>
          <w:lang w:val="zh-CN"/>
        </w:rPr>
        <w:t>年</w:t>
      </w:r>
      <w:r w:rsidRPr="009D48A5">
        <w:rPr>
          <w:lang w:val="zh-CN"/>
        </w:rPr>
        <w:t>5</w:t>
      </w:r>
      <w:r w:rsidRPr="009D48A5">
        <w:rPr>
          <w:lang w:val="zh-CN"/>
        </w:rPr>
        <w:t>月</w:t>
      </w:r>
      <w:r w:rsidRPr="009D48A5">
        <w:rPr>
          <w:lang w:val="zh-CN"/>
        </w:rPr>
        <w:t>24</w:t>
      </w:r>
      <w:r w:rsidRPr="009D48A5">
        <w:rPr>
          <w:lang w:val="zh-CN"/>
        </w:rPr>
        <w:t>日的决定</w:t>
      </w:r>
      <w:r>
        <w:rPr>
          <w:lang w:val="zh-CN"/>
        </w:rPr>
        <w:t>，</w:t>
      </w:r>
      <w:r w:rsidRPr="009D48A5">
        <w:rPr>
          <w:lang w:val="zh-CN"/>
        </w:rPr>
        <w:t>联合国</w:t>
      </w:r>
      <w:r>
        <w:rPr>
          <w:lang w:val="zh-CN"/>
        </w:rPr>
        <w:t>，</w:t>
      </w:r>
      <w:r w:rsidRPr="009D48A5">
        <w:rPr>
          <w:lang w:val="zh-CN"/>
        </w:rPr>
        <w:t>《联合国国际仲裁裁决汇编》</w:t>
      </w:r>
      <w:r>
        <w:rPr>
          <w:lang w:val="zh-CN"/>
        </w:rPr>
        <w:t>(</w:t>
      </w:r>
      <w:r w:rsidRPr="009D48A5">
        <w:rPr>
          <w:lang w:val="zh-CN"/>
        </w:rPr>
        <w:t>《国际仲裁裁决汇编》</w:t>
      </w:r>
      <w:r>
        <w:rPr>
          <w:lang w:val="zh-CN"/>
        </w:rPr>
        <w:t>)</w:t>
      </w:r>
      <w:r>
        <w:rPr>
          <w:lang w:val="zh-CN"/>
        </w:rPr>
        <w:t>，</w:t>
      </w:r>
      <w:r w:rsidRPr="009D48A5">
        <w:rPr>
          <w:lang w:val="zh-CN"/>
        </w:rPr>
        <w:t>第二十七卷</w:t>
      </w:r>
      <w:r>
        <w:rPr>
          <w:lang w:val="zh-CN"/>
        </w:rPr>
        <w:t>(</w:t>
      </w:r>
      <w:r w:rsidRPr="009D48A5">
        <w:rPr>
          <w:lang w:val="zh-CN"/>
        </w:rPr>
        <w:t>出售品编号</w:t>
      </w:r>
      <w:r w:rsidRPr="009D48A5">
        <w:rPr>
          <w:lang w:val="zh-CN"/>
        </w:rPr>
        <w:t>E</w:t>
      </w:r>
      <w:r>
        <w:rPr>
          <w:lang w:val="zh-CN"/>
        </w:rPr>
        <w:t>/</w:t>
      </w:r>
      <w:r w:rsidRPr="009D48A5">
        <w:rPr>
          <w:lang w:val="zh-CN"/>
        </w:rPr>
        <w:t>F.0</w:t>
      </w:r>
      <w:r>
        <w:rPr>
          <w:lang w:val="zh-CN"/>
        </w:rPr>
        <w:t>6.</w:t>
      </w:r>
      <w:r w:rsidRPr="009D48A5">
        <w:rPr>
          <w:lang w:val="zh-CN"/>
        </w:rPr>
        <w:t>V.8</w:t>
      </w:r>
      <w:r>
        <w:rPr>
          <w:lang w:val="zh-CN"/>
        </w:rPr>
        <w:t>)</w:t>
      </w:r>
      <w:r>
        <w:rPr>
          <w:lang w:val="zh-CN"/>
        </w:rPr>
        <w:t>，</w:t>
      </w:r>
      <w:r w:rsidRPr="009D48A5">
        <w:rPr>
          <w:lang w:val="zh-CN"/>
        </w:rPr>
        <w:t>第</w:t>
      </w:r>
      <w:r w:rsidRPr="009D48A5">
        <w:rPr>
          <w:lang w:val="zh-CN"/>
        </w:rPr>
        <w:t>35</w:t>
      </w:r>
      <w:r w:rsidRPr="009D48A5">
        <w:rPr>
          <w:rFonts w:hint="eastAsia"/>
          <w:lang w:val="zh-CN"/>
        </w:rPr>
        <w:t>-125</w:t>
      </w:r>
      <w:r w:rsidRPr="009D48A5">
        <w:rPr>
          <w:lang w:val="zh-CN"/>
        </w:rPr>
        <w:t>页</w:t>
      </w:r>
      <w:r>
        <w:rPr>
          <w:lang w:val="zh-CN"/>
        </w:rPr>
        <w:t>，</w:t>
      </w:r>
      <w:r w:rsidRPr="009D48A5">
        <w:rPr>
          <w:lang w:val="zh-CN"/>
        </w:rPr>
        <w:t>见第</w:t>
      </w:r>
      <w:r w:rsidRPr="009D48A5">
        <w:rPr>
          <w:lang w:val="zh-CN"/>
        </w:rPr>
        <w:t>45</w:t>
      </w:r>
      <w:r w:rsidRPr="009D48A5">
        <w:rPr>
          <w:lang w:val="zh-CN"/>
        </w:rPr>
        <w:t>段</w:t>
      </w:r>
      <w:r>
        <w:rPr>
          <w:lang w:val="zh-CN"/>
        </w:rPr>
        <w:t>(</w:t>
      </w:r>
      <w:r w:rsidRPr="009D48A5">
        <w:rPr>
          <w:lang w:val="zh-CN"/>
        </w:rPr>
        <w:t>1969</w:t>
      </w:r>
      <w:r w:rsidRPr="009D48A5">
        <w:rPr>
          <w:lang w:val="zh-CN"/>
        </w:rPr>
        <w:t>年《维也纳公约》第三十一至第三十二条</w:t>
      </w:r>
      <w:r>
        <w:rPr>
          <w:lang w:val="zh-CN"/>
        </w:rPr>
        <w:t>)</w:t>
      </w:r>
      <w:r w:rsidRPr="009D48A5">
        <w:rPr>
          <w:lang w:val="zh-CN"/>
        </w:rPr>
        <w:t>。</w:t>
      </w:r>
    </w:p>
  </w:footnote>
  <w:footnote w:id="399">
    <w:p w:rsidR="00AB00DE" w:rsidRPr="009D48A5" w:rsidRDefault="00AB00DE" w:rsidP="008D7906">
      <w:pPr>
        <w:pStyle w:val="a4"/>
      </w:pPr>
      <w:r w:rsidRPr="009D48A5">
        <w:rPr>
          <w:lang w:val="zh-CN"/>
        </w:rPr>
        <w:tab/>
      </w:r>
      <w:r w:rsidRPr="00DF5565">
        <w:rPr>
          <w:rStyle w:val="a5"/>
          <w:szCs w:val="22"/>
          <w:lang w:val="zh-CN"/>
        </w:rPr>
        <w:footnoteRef/>
      </w:r>
      <w:r w:rsidRPr="009D48A5">
        <w:rPr>
          <w:lang w:val="zh-CN"/>
        </w:rPr>
        <w:tab/>
      </w:r>
      <w:r w:rsidRPr="009D48A5">
        <w:rPr>
          <w:lang w:val="zh-CN"/>
        </w:rPr>
        <w:t>世贸组织《关于争端解决规则与程序的谅解》第</w:t>
      </w:r>
      <w:r w:rsidRPr="009D48A5">
        <w:rPr>
          <w:lang w:val="zh-CN"/>
        </w:rPr>
        <w:t>3</w:t>
      </w:r>
      <w:r w:rsidRPr="009D48A5">
        <w:rPr>
          <w:lang w:val="zh-CN"/>
        </w:rPr>
        <w:t>条第</w:t>
      </w:r>
      <w:r w:rsidRPr="009D48A5">
        <w:rPr>
          <w:lang w:val="zh-CN"/>
        </w:rPr>
        <w:t>2</w:t>
      </w:r>
      <w:r w:rsidRPr="009D48A5">
        <w:rPr>
          <w:lang w:val="zh-CN"/>
        </w:rPr>
        <w:t>款规定</w:t>
      </w:r>
      <w:r>
        <w:rPr>
          <w:lang w:val="zh-CN"/>
        </w:rPr>
        <w:t>，</w:t>
      </w:r>
      <w:r w:rsidRPr="009D48A5">
        <w:rPr>
          <w:rFonts w:hint="eastAsia"/>
          <w:lang w:val="zh-CN"/>
        </w:rPr>
        <w:t>“</w:t>
      </w:r>
      <w:r w:rsidRPr="009D48A5">
        <w:rPr>
          <w:rFonts w:hint="eastAsia"/>
        </w:rPr>
        <w:t>……</w:t>
      </w:r>
      <w:r w:rsidRPr="009D48A5">
        <w:rPr>
          <w:lang w:val="zh-CN"/>
        </w:rPr>
        <w:t>该体制适于</w:t>
      </w:r>
      <w:r w:rsidRPr="009D48A5">
        <w:rPr>
          <w:rFonts w:hint="eastAsia"/>
        </w:rPr>
        <w:t>……</w:t>
      </w:r>
      <w:r w:rsidRPr="009D48A5">
        <w:rPr>
          <w:lang w:val="zh-CN"/>
        </w:rPr>
        <w:t>依照解释国际公法的惯例澄清</w:t>
      </w:r>
      <w:r>
        <w:rPr>
          <w:lang w:val="zh-CN"/>
        </w:rPr>
        <w:t>[</w:t>
      </w:r>
      <w:r w:rsidRPr="009D48A5">
        <w:rPr>
          <w:lang w:val="zh-CN"/>
        </w:rPr>
        <w:t>世贸组织所涵盖的</w:t>
      </w:r>
      <w:r>
        <w:rPr>
          <w:lang w:val="zh-CN"/>
        </w:rPr>
        <w:t>]</w:t>
      </w:r>
      <w:r w:rsidRPr="009D48A5">
        <w:rPr>
          <w:lang w:val="zh-CN"/>
        </w:rPr>
        <w:t>协定的现有规定</w:t>
      </w:r>
      <w:r w:rsidRPr="009D48A5">
        <w:rPr>
          <w:rFonts w:hint="eastAsia"/>
          <w:lang w:val="zh-CN"/>
        </w:rPr>
        <w:t>”</w:t>
      </w:r>
      <w:r>
        <w:rPr>
          <w:lang w:val="zh-CN"/>
        </w:rPr>
        <w:t>(</w:t>
      </w:r>
      <w:r w:rsidRPr="009D48A5">
        <w:rPr>
          <w:lang w:val="zh-CN"/>
        </w:rPr>
        <w:t>联合国</w:t>
      </w:r>
      <w:r>
        <w:rPr>
          <w:lang w:val="zh-CN"/>
        </w:rPr>
        <w:t>，</w:t>
      </w:r>
      <w:r w:rsidRPr="009D48A5">
        <w:rPr>
          <w:lang w:val="zh-CN"/>
        </w:rPr>
        <w:t>《条约汇编》</w:t>
      </w:r>
      <w:r>
        <w:rPr>
          <w:lang w:val="zh-CN"/>
        </w:rPr>
        <w:t>，</w:t>
      </w:r>
      <w:r w:rsidRPr="009D48A5">
        <w:rPr>
          <w:lang w:val="zh-CN"/>
        </w:rPr>
        <w:t>第</w:t>
      </w:r>
      <w:r w:rsidRPr="009D48A5">
        <w:rPr>
          <w:lang w:val="zh-CN"/>
        </w:rPr>
        <w:t>1869</w:t>
      </w:r>
      <w:r w:rsidRPr="009D48A5">
        <w:rPr>
          <w:lang w:val="zh-CN"/>
        </w:rPr>
        <w:t>卷</w:t>
      </w:r>
      <w:r>
        <w:rPr>
          <w:lang w:val="zh-CN"/>
        </w:rPr>
        <w:t>，</w:t>
      </w:r>
      <w:r w:rsidRPr="009D48A5">
        <w:rPr>
          <w:lang w:val="zh-CN"/>
        </w:rPr>
        <w:t>第</w:t>
      </w:r>
      <w:r w:rsidRPr="009D48A5">
        <w:rPr>
          <w:lang w:val="zh-CN"/>
        </w:rPr>
        <w:t>31874</w:t>
      </w:r>
      <w:r w:rsidRPr="009D48A5">
        <w:rPr>
          <w:lang w:val="zh-CN"/>
        </w:rPr>
        <w:t>号</w:t>
      </w:r>
      <w:r>
        <w:rPr>
          <w:lang w:val="zh-CN"/>
        </w:rPr>
        <w:t>，</w:t>
      </w:r>
      <w:r w:rsidRPr="009D48A5">
        <w:rPr>
          <w:lang w:val="zh-CN"/>
        </w:rPr>
        <w:t>第</w:t>
      </w:r>
      <w:r w:rsidRPr="009D48A5">
        <w:rPr>
          <w:lang w:val="zh-CN"/>
        </w:rPr>
        <w:t>402</w:t>
      </w:r>
      <w:r w:rsidRPr="009D48A5">
        <w:rPr>
          <w:lang w:val="zh-CN"/>
        </w:rPr>
        <w:t>页</w:t>
      </w:r>
      <w:r>
        <w:rPr>
          <w:lang w:val="zh-CN"/>
        </w:rPr>
        <w:t>)</w:t>
      </w:r>
      <w:r>
        <w:rPr>
          <w:lang w:val="zh-CN"/>
        </w:rPr>
        <w:t>，</w:t>
      </w:r>
      <w:r w:rsidRPr="009D48A5">
        <w:rPr>
          <w:lang w:val="zh-CN"/>
        </w:rPr>
        <w:t>但并未具体提到</w:t>
      </w:r>
      <w:r w:rsidRPr="009D48A5">
        <w:rPr>
          <w:lang w:val="zh-CN"/>
        </w:rPr>
        <w:t>1969</w:t>
      </w:r>
      <w:r w:rsidRPr="009D48A5">
        <w:rPr>
          <w:lang w:val="zh-CN"/>
        </w:rPr>
        <w:t>年《维也纳公约》第三十一条和第三十二条。然而</w:t>
      </w:r>
      <w:r>
        <w:rPr>
          <w:lang w:val="zh-CN"/>
        </w:rPr>
        <w:t>，</w:t>
      </w:r>
      <w:r w:rsidRPr="009D48A5">
        <w:rPr>
          <w:lang w:val="zh-CN"/>
        </w:rPr>
        <w:t>上述机构历来承认第三十一条和第三十二条反映了习惯国际法的规则</w:t>
      </w:r>
      <w:r>
        <w:rPr>
          <w:lang w:val="zh-CN"/>
        </w:rPr>
        <w:t>，</w:t>
      </w:r>
      <w:r w:rsidRPr="009D48A5">
        <w:rPr>
          <w:lang w:val="zh-CN"/>
        </w:rPr>
        <w:t>并通过《关于争端解决规则与程序的谅解》第</w:t>
      </w:r>
      <w:r w:rsidRPr="009D48A5">
        <w:rPr>
          <w:lang w:val="zh-CN"/>
        </w:rPr>
        <w:t>3</w:t>
      </w:r>
      <w:r w:rsidRPr="009D48A5">
        <w:rPr>
          <w:lang w:val="zh-CN"/>
        </w:rPr>
        <w:t>条第</w:t>
      </w:r>
      <w:r w:rsidRPr="009D48A5">
        <w:rPr>
          <w:lang w:val="zh-CN"/>
        </w:rPr>
        <w:t>2</w:t>
      </w:r>
      <w:r w:rsidRPr="009D48A5">
        <w:rPr>
          <w:lang w:val="zh-CN"/>
        </w:rPr>
        <w:t>款诉诸这些规则。例如</w:t>
      </w:r>
      <w:r>
        <w:rPr>
          <w:lang w:val="zh-CN"/>
        </w:rPr>
        <w:t>，</w:t>
      </w:r>
      <w:r w:rsidRPr="009D48A5">
        <w:rPr>
          <w:lang w:val="zh-CN"/>
        </w:rPr>
        <w:t>见世贸组织上诉机构报告</w:t>
      </w:r>
      <w:r>
        <w:rPr>
          <w:lang w:val="zh-CN"/>
        </w:rPr>
        <w:t>，</w:t>
      </w:r>
      <w:r w:rsidRPr="009D48A5">
        <w:rPr>
          <w:rFonts w:ascii="Time New Roman" w:eastAsia="楷体" w:hAnsi="Time New Roman"/>
          <w:lang w:val="zh-CN"/>
        </w:rPr>
        <w:t>美国－新配方汽油和常规汽油标准</w:t>
      </w:r>
      <w:r w:rsidRPr="009D48A5">
        <w:rPr>
          <w:rFonts w:ascii="Time New Roman" w:eastAsia="楷体" w:hAnsi="Time New Roman" w:hint="eastAsia"/>
          <w:lang w:val="zh-CN"/>
        </w:rPr>
        <w:t>案</w:t>
      </w:r>
      <w:r>
        <w:rPr>
          <w:rFonts w:ascii="Time New Roman" w:eastAsia="楷体" w:hAnsi="Time New Roman"/>
          <w:lang w:val="zh-CN"/>
        </w:rPr>
        <w:t>(</w:t>
      </w:r>
      <w:r w:rsidRPr="009D48A5">
        <w:rPr>
          <w:rFonts w:ascii="Time New Roman" w:eastAsia="楷体" w:hAnsi="Time New Roman"/>
          <w:lang w:val="zh-CN"/>
        </w:rPr>
        <w:t>美国－汽油案</w:t>
      </w:r>
      <w:r>
        <w:rPr>
          <w:lang w:val="zh-CN"/>
        </w:rPr>
        <w:t>)</w:t>
      </w:r>
      <w:r>
        <w:rPr>
          <w:lang w:val="zh-CN"/>
        </w:rPr>
        <w:t>，</w:t>
      </w:r>
      <w:r w:rsidRPr="009D48A5">
        <w:rPr>
          <w:lang w:val="zh-CN"/>
        </w:rPr>
        <w:t>WT</w:t>
      </w:r>
      <w:r>
        <w:rPr>
          <w:lang w:val="zh-CN"/>
        </w:rPr>
        <w:t>/</w:t>
      </w:r>
      <w:r w:rsidRPr="009D48A5">
        <w:rPr>
          <w:lang w:val="zh-CN"/>
        </w:rPr>
        <w:t>DS2</w:t>
      </w:r>
      <w:r>
        <w:rPr>
          <w:lang w:val="zh-CN"/>
        </w:rPr>
        <w:t>/</w:t>
      </w:r>
      <w:r w:rsidRPr="009D48A5">
        <w:rPr>
          <w:lang w:val="zh-CN"/>
        </w:rPr>
        <w:t>AB</w:t>
      </w:r>
      <w:r>
        <w:rPr>
          <w:lang w:val="zh-CN"/>
        </w:rPr>
        <w:t xml:space="preserve">/R, </w:t>
      </w:r>
      <w:r w:rsidRPr="009D48A5">
        <w:rPr>
          <w:lang w:val="zh-CN"/>
        </w:rPr>
        <w:t>1996</w:t>
      </w:r>
      <w:r w:rsidRPr="009D48A5">
        <w:rPr>
          <w:lang w:val="zh-CN"/>
        </w:rPr>
        <w:t>年</w:t>
      </w:r>
      <w:r w:rsidRPr="009D48A5">
        <w:rPr>
          <w:lang w:val="zh-CN"/>
        </w:rPr>
        <w:t>5</w:t>
      </w:r>
      <w:r w:rsidRPr="009D48A5">
        <w:rPr>
          <w:lang w:val="zh-CN"/>
        </w:rPr>
        <w:t>月</w:t>
      </w:r>
      <w:r w:rsidRPr="009D48A5">
        <w:rPr>
          <w:lang w:val="zh-CN"/>
        </w:rPr>
        <w:t>20</w:t>
      </w:r>
      <w:r w:rsidRPr="009D48A5">
        <w:rPr>
          <w:lang w:val="zh-CN"/>
        </w:rPr>
        <w:t>日通过</w:t>
      </w:r>
      <w:r>
        <w:rPr>
          <w:lang w:val="zh-CN"/>
        </w:rPr>
        <w:t>，</w:t>
      </w:r>
      <w:r w:rsidRPr="009D48A5">
        <w:rPr>
          <w:lang w:val="zh-CN"/>
        </w:rPr>
        <w:t>第三节</w:t>
      </w:r>
      <w:r w:rsidRPr="009D48A5">
        <w:rPr>
          <w:lang w:val="zh-CN"/>
        </w:rPr>
        <w:t>B</w:t>
      </w:r>
      <w:r>
        <w:rPr>
          <w:lang w:val="zh-CN"/>
        </w:rPr>
        <w:t>(</w:t>
      </w:r>
      <w:r w:rsidRPr="009D48A5">
        <w:rPr>
          <w:lang w:val="zh-CN"/>
        </w:rPr>
        <w:t>1969</w:t>
      </w:r>
      <w:r w:rsidRPr="009D48A5">
        <w:rPr>
          <w:lang w:val="zh-CN"/>
        </w:rPr>
        <w:t>年《维也纳公约》第三十一条第一款</w:t>
      </w:r>
      <w:r>
        <w:rPr>
          <w:lang w:val="zh-CN"/>
        </w:rPr>
        <w:t>)</w:t>
      </w:r>
      <w:r>
        <w:rPr>
          <w:lang w:val="zh-CN"/>
        </w:rPr>
        <w:t>；</w:t>
      </w:r>
      <w:r w:rsidRPr="009D48A5">
        <w:rPr>
          <w:lang w:val="zh-CN"/>
        </w:rPr>
        <w:t>世贸组织上诉机构报告</w:t>
      </w:r>
      <w:r>
        <w:rPr>
          <w:lang w:val="zh-CN"/>
        </w:rPr>
        <w:t>，</w:t>
      </w:r>
      <w:r w:rsidRPr="009D48A5">
        <w:rPr>
          <w:rFonts w:ascii="Time New Roman" w:eastAsia="楷体" w:hAnsi="Time New Roman"/>
          <w:lang w:val="zh-CN"/>
        </w:rPr>
        <w:t>日本－酒精饮料税</w:t>
      </w:r>
      <w:r w:rsidRPr="009D48A5">
        <w:rPr>
          <w:rFonts w:ascii="Time New Roman" w:eastAsia="楷体" w:hAnsi="Time New Roman" w:hint="eastAsia"/>
          <w:lang w:val="zh-CN"/>
        </w:rPr>
        <w:t>案</w:t>
      </w:r>
      <w:r>
        <w:rPr>
          <w:rFonts w:ascii="Time New Roman" w:eastAsia="楷体" w:hAnsi="Time New Roman"/>
          <w:lang w:val="zh-CN"/>
        </w:rPr>
        <w:t>(</w:t>
      </w:r>
      <w:r w:rsidRPr="009D48A5">
        <w:rPr>
          <w:rFonts w:ascii="Time New Roman" w:eastAsia="楷体" w:hAnsi="Time New Roman"/>
          <w:lang w:val="zh-CN"/>
        </w:rPr>
        <w:t>日本－酒精饮料案</w:t>
      </w:r>
      <w:r w:rsidRPr="009D48A5">
        <w:rPr>
          <w:rFonts w:ascii="Time New Roman" w:eastAsia="楷体" w:hAnsi="Time New Roman" w:hint="eastAsia"/>
          <w:lang w:val="zh-CN"/>
        </w:rPr>
        <w:t>二</w:t>
      </w:r>
      <w:r>
        <w:rPr>
          <w:lang w:val="zh-CN"/>
        </w:rPr>
        <w:t>)</w:t>
      </w:r>
      <w:r>
        <w:rPr>
          <w:lang w:val="zh-CN"/>
        </w:rPr>
        <w:t>，</w:t>
      </w:r>
      <w:r w:rsidRPr="009D48A5">
        <w:rPr>
          <w:lang w:val="zh-CN"/>
        </w:rPr>
        <w:t>WT</w:t>
      </w:r>
      <w:r>
        <w:rPr>
          <w:lang w:val="zh-CN"/>
        </w:rPr>
        <w:t>/</w:t>
      </w:r>
      <w:r w:rsidRPr="009D48A5">
        <w:rPr>
          <w:lang w:val="zh-CN"/>
        </w:rPr>
        <w:t>DS8</w:t>
      </w:r>
      <w:r>
        <w:rPr>
          <w:lang w:val="zh-CN"/>
        </w:rPr>
        <w:t>/</w:t>
      </w:r>
      <w:r w:rsidRPr="009D48A5">
        <w:rPr>
          <w:lang w:val="zh-CN"/>
        </w:rPr>
        <w:t>AB</w:t>
      </w:r>
      <w:r>
        <w:rPr>
          <w:lang w:val="zh-CN"/>
        </w:rPr>
        <w:t xml:space="preserve">/R, </w:t>
      </w:r>
      <w:r w:rsidRPr="009D48A5">
        <w:rPr>
          <w:lang w:val="zh-CN"/>
        </w:rPr>
        <w:t>WT</w:t>
      </w:r>
      <w:r>
        <w:rPr>
          <w:lang w:val="zh-CN"/>
        </w:rPr>
        <w:t>/</w:t>
      </w:r>
      <w:r w:rsidRPr="009D48A5">
        <w:rPr>
          <w:lang w:val="zh-CN"/>
        </w:rPr>
        <w:t>DS10</w:t>
      </w:r>
      <w:r>
        <w:rPr>
          <w:lang w:val="zh-CN"/>
        </w:rPr>
        <w:t>/</w:t>
      </w:r>
      <w:r w:rsidRPr="009D48A5">
        <w:rPr>
          <w:lang w:val="zh-CN"/>
        </w:rPr>
        <w:t>AB</w:t>
      </w:r>
      <w:r>
        <w:rPr>
          <w:lang w:val="zh-CN"/>
        </w:rPr>
        <w:t xml:space="preserve">/R, </w:t>
      </w:r>
      <w:r w:rsidRPr="009D48A5">
        <w:rPr>
          <w:lang w:val="zh-CN"/>
        </w:rPr>
        <w:t>WT</w:t>
      </w:r>
      <w:r>
        <w:rPr>
          <w:lang w:val="zh-CN"/>
        </w:rPr>
        <w:t>/</w:t>
      </w:r>
      <w:r w:rsidRPr="009D48A5">
        <w:rPr>
          <w:lang w:val="zh-CN"/>
        </w:rPr>
        <w:t>DS11</w:t>
      </w:r>
      <w:r>
        <w:rPr>
          <w:lang w:val="zh-CN"/>
        </w:rPr>
        <w:t>/</w:t>
      </w:r>
      <w:r w:rsidRPr="009D48A5">
        <w:rPr>
          <w:lang w:val="zh-CN"/>
        </w:rPr>
        <w:t>AB</w:t>
      </w:r>
      <w:r>
        <w:rPr>
          <w:lang w:val="zh-CN"/>
        </w:rPr>
        <w:t xml:space="preserve">/R, </w:t>
      </w:r>
      <w:r w:rsidRPr="009D48A5">
        <w:rPr>
          <w:lang w:val="zh-CN"/>
        </w:rPr>
        <w:t>1996</w:t>
      </w:r>
      <w:r w:rsidRPr="009D48A5">
        <w:rPr>
          <w:lang w:val="zh-CN"/>
        </w:rPr>
        <w:t>年</w:t>
      </w:r>
      <w:r w:rsidRPr="009D48A5">
        <w:rPr>
          <w:lang w:val="zh-CN"/>
        </w:rPr>
        <w:t>11</w:t>
      </w:r>
      <w:r w:rsidRPr="009D48A5">
        <w:rPr>
          <w:lang w:val="zh-CN"/>
        </w:rPr>
        <w:t>月</w:t>
      </w:r>
      <w:r w:rsidRPr="009D48A5">
        <w:rPr>
          <w:lang w:val="zh-CN"/>
        </w:rPr>
        <w:t>1</w:t>
      </w:r>
      <w:r w:rsidRPr="009D48A5">
        <w:rPr>
          <w:lang w:val="zh-CN"/>
        </w:rPr>
        <w:t>日通过</w:t>
      </w:r>
      <w:r>
        <w:rPr>
          <w:lang w:val="zh-CN"/>
        </w:rPr>
        <w:t>，</w:t>
      </w:r>
      <w:r w:rsidRPr="009D48A5">
        <w:rPr>
          <w:lang w:val="zh-CN"/>
        </w:rPr>
        <w:t>D</w:t>
      </w:r>
      <w:r w:rsidRPr="009D48A5">
        <w:rPr>
          <w:lang w:val="zh-CN"/>
        </w:rPr>
        <w:t>节</w:t>
      </w:r>
      <w:r>
        <w:rPr>
          <w:lang w:val="zh-CN"/>
        </w:rPr>
        <w:t>(</w:t>
      </w:r>
      <w:r w:rsidRPr="009D48A5">
        <w:rPr>
          <w:lang w:val="zh-CN"/>
        </w:rPr>
        <w:t>1969</w:t>
      </w:r>
      <w:r w:rsidRPr="009D48A5">
        <w:rPr>
          <w:lang w:val="zh-CN"/>
        </w:rPr>
        <w:t>年《维也纳公约》第三十一条至第三十二条</w:t>
      </w:r>
      <w:r>
        <w:rPr>
          <w:lang w:val="zh-CN"/>
        </w:rPr>
        <w:t>)</w:t>
      </w:r>
      <w:r w:rsidRPr="009D48A5">
        <w:rPr>
          <w:lang w:val="zh-CN"/>
        </w:rPr>
        <w:t>。另见</w:t>
      </w:r>
      <w:r w:rsidRPr="009D48A5">
        <w:rPr>
          <w:rFonts w:hint="eastAsia"/>
          <w:lang w:val="zh-CN"/>
        </w:rPr>
        <w:t>格</w:t>
      </w:r>
      <w:r w:rsidRPr="009D48A5">
        <w:rPr>
          <w:rFonts w:hint="eastAsia"/>
        </w:rPr>
        <w:t>·</w:t>
      </w:r>
      <w:r w:rsidRPr="009D48A5">
        <w:rPr>
          <w:rFonts w:hint="eastAsia"/>
          <w:lang w:val="zh-CN"/>
        </w:rPr>
        <w:t>诺尔特</w:t>
      </w:r>
      <w:r>
        <w:rPr>
          <w:lang w:val="zh-CN"/>
        </w:rPr>
        <w:t>，</w:t>
      </w:r>
      <w:r w:rsidRPr="009D48A5">
        <w:rPr>
          <w:rFonts w:hint="eastAsia"/>
          <w:lang w:val="zh-CN"/>
        </w:rPr>
        <w:t>“</w:t>
      </w:r>
      <w:r w:rsidRPr="009D48A5">
        <w:rPr>
          <w:lang w:val="zh-CN"/>
        </w:rPr>
        <w:t>特殊制度下与嗣后协定和嗣后惯例有关的判例</w:t>
      </w:r>
      <w:r>
        <w:rPr>
          <w:lang w:val="zh-CN"/>
        </w:rPr>
        <w:t>：</w:t>
      </w:r>
      <w:r w:rsidRPr="009D48A5">
        <w:rPr>
          <w:lang w:val="zh-CN"/>
        </w:rPr>
        <w:t>国际法委员会条约随时间演变问题研究组第二次报告</w:t>
      </w:r>
      <w:r w:rsidRPr="009D48A5">
        <w:rPr>
          <w:rFonts w:hint="eastAsia"/>
          <w:lang w:val="zh-CN"/>
        </w:rPr>
        <w:t>”</w:t>
      </w:r>
      <w:r>
        <w:rPr>
          <w:lang w:val="zh-CN"/>
        </w:rPr>
        <w:t>，</w:t>
      </w:r>
      <w:r w:rsidRPr="009D48A5">
        <w:rPr>
          <w:lang w:val="zh-CN"/>
        </w:rPr>
        <w:t>载于《条约与嗣后惯例》</w:t>
      </w:r>
      <w:r>
        <w:rPr>
          <w:lang w:val="zh-CN"/>
        </w:rPr>
        <w:t>，</w:t>
      </w:r>
      <w:r w:rsidRPr="009D48A5">
        <w:rPr>
          <w:rFonts w:hint="eastAsia"/>
          <w:lang w:val="zh-CN"/>
        </w:rPr>
        <w:t>格·</w:t>
      </w:r>
      <w:r w:rsidRPr="009D48A5">
        <w:rPr>
          <w:lang w:val="zh-CN"/>
        </w:rPr>
        <w:t>诺尔特</w:t>
      </w:r>
      <w:r>
        <w:rPr>
          <w:lang w:val="zh-CN"/>
        </w:rPr>
        <w:t>(</w:t>
      </w:r>
      <w:r w:rsidRPr="009D48A5">
        <w:rPr>
          <w:lang w:val="zh-CN"/>
        </w:rPr>
        <w:t>编</w:t>
      </w:r>
      <w:r>
        <w:rPr>
          <w:lang w:val="zh-CN"/>
        </w:rPr>
        <w:t>)(</w:t>
      </w:r>
      <w:r w:rsidRPr="009D48A5">
        <w:rPr>
          <w:lang w:val="zh-CN"/>
        </w:rPr>
        <w:t>牛津</w:t>
      </w:r>
      <w:r>
        <w:rPr>
          <w:lang w:val="zh-CN"/>
        </w:rPr>
        <w:t>，</w:t>
      </w:r>
      <w:r w:rsidRPr="009D48A5">
        <w:rPr>
          <w:lang w:val="zh-CN"/>
        </w:rPr>
        <w:t>牛津大学出版社</w:t>
      </w:r>
      <w:r>
        <w:rPr>
          <w:lang w:val="zh-CN"/>
        </w:rPr>
        <w:t>，</w:t>
      </w:r>
      <w:r w:rsidRPr="009D48A5">
        <w:rPr>
          <w:lang w:val="zh-CN"/>
        </w:rPr>
        <w:t>2013</w:t>
      </w:r>
      <w:r w:rsidRPr="009D48A5">
        <w:rPr>
          <w:lang w:val="zh-CN"/>
        </w:rPr>
        <w:t>年</w:t>
      </w:r>
      <w:r>
        <w:rPr>
          <w:lang w:val="zh-CN"/>
        </w:rPr>
        <w:t>)</w:t>
      </w:r>
      <w:r>
        <w:rPr>
          <w:lang w:val="zh-CN"/>
        </w:rPr>
        <w:t>，</w:t>
      </w:r>
      <w:r w:rsidRPr="009D48A5">
        <w:rPr>
          <w:lang w:val="zh-CN"/>
        </w:rPr>
        <w:t>第</w:t>
      </w:r>
      <w:r w:rsidRPr="009D48A5">
        <w:rPr>
          <w:lang w:val="zh-CN"/>
        </w:rPr>
        <w:t>210-240</w:t>
      </w:r>
      <w:r w:rsidRPr="009D48A5">
        <w:rPr>
          <w:lang w:val="zh-CN"/>
        </w:rPr>
        <w:t>页</w:t>
      </w:r>
      <w:r>
        <w:rPr>
          <w:lang w:val="zh-CN"/>
        </w:rPr>
        <w:t>，</w:t>
      </w:r>
      <w:r w:rsidRPr="009D48A5">
        <w:rPr>
          <w:lang w:val="zh-CN"/>
        </w:rPr>
        <w:t>见第</w:t>
      </w:r>
      <w:r w:rsidRPr="009D48A5">
        <w:rPr>
          <w:lang w:val="zh-CN"/>
        </w:rPr>
        <w:t>215</w:t>
      </w:r>
      <w:r w:rsidRPr="009D48A5">
        <w:rPr>
          <w:lang w:val="zh-CN"/>
        </w:rPr>
        <w:t>页。</w:t>
      </w:r>
    </w:p>
  </w:footnote>
  <w:footnote w:id="400">
    <w:p w:rsidR="00AB00DE" w:rsidRPr="009D48A5" w:rsidRDefault="00AB00DE" w:rsidP="008D7906">
      <w:pPr>
        <w:pStyle w:val="a4"/>
      </w:pPr>
      <w:r w:rsidRPr="009D48A5">
        <w:rPr>
          <w:lang w:val="zh-CN"/>
        </w:rPr>
        <w:tab/>
      </w:r>
      <w:r w:rsidRPr="00DF5565">
        <w:rPr>
          <w:rStyle w:val="a5"/>
          <w:szCs w:val="22"/>
          <w:lang w:val="zh-CN"/>
        </w:rPr>
        <w:footnoteRef/>
      </w:r>
      <w:r w:rsidRPr="009D48A5">
        <w:rPr>
          <w:lang w:val="zh-CN"/>
        </w:rPr>
        <w:tab/>
        <w:t>Golder</w:t>
      </w:r>
      <w:r w:rsidRPr="009D48A5">
        <w:rPr>
          <w:rFonts w:ascii="Time New Roman" w:eastAsia="楷体" w:hAnsi="Time New Roman"/>
          <w:lang w:val="zh-CN"/>
        </w:rPr>
        <w:t>诉联合王国</w:t>
      </w:r>
      <w:r>
        <w:rPr>
          <w:lang w:val="zh-CN"/>
        </w:rPr>
        <w:t>，</w:t>
      </w:r>
      <w:r w:rsidRPr="009D48A5">
        <w:rPr>
          <w:lang w:val="zh-CN"/>
        </w:rPr>
        <w:t>第</w:t>
      </w:r>
      <w:r w:rsidRPr="009D48A5">
        <w:rPr>
          <w:lang w:val="zh-CN"/>
        </w:rPr>
        <w:t>4451</w:t>
      </w:r>
      <w:r>
        <w:rPr>
          <w:lang w:val="zh-CN"/>
        </w:rPr>
        <w:t>/</w:t>
      </w:r>
      <w:r w:rsidRPr="009D48A5">
        <w:rPr>
          <w:lang w:val="zh-CN"/>
        </w:rPr>
        <w:t>70</w:t>
      </w:r>
      <w:r w:rsidRPr="009D48A5">
        <w:rPr>
          <w:lang w:val="zh-CN"/>
        </w:rPr>
        <w:t>号</w:t>
      </w:r>
      <w:r>
        <w:rPr>
          <w:lang w:val="zh-CN"/>
        </w:rPr>
        <w:t>，</w:t>
      </w:r>
      <w:r w:rsidRPr="009D48A5">
        <w:rPr>
          <w:lang w:val="zh-CN"/>
        </w:rPr>
        <w:t>1975</w:t>
      </w:r>
      <w:r w:rsidRPr="009D48A5">
        <w:rPr>
          <w:lang w:val="zh-CN"/>
        </w:rPr>
        <w:t>年</w:t>
      </w:r>
      <w:r w:rsidRPr="009D48A5">
        <w:rPr>
          <w:lang w:val="zh-CN"/>
        </w:rPr>
        <w:t>2</w:t>
      </w:r>
      <w:r w:rsidRPr="009D48A5">
        <w:rPr>
          <w:lang w:val="zh-CN"/>
        </w:rPr>
        <w:t>月</w:t>
      </w:r>
      <w:r w:rsidRPr="009D48A5">
        <w:rPr>
          <w:lang w:val="zh-CN"/>
        </w:rPr>
        <w:t>21</w:t>
      </w:r>
      <w:r w:rsidRPr="009D48A5">
        <w:rPr>
          <w:lang w:val="zh-CN"/>
        </w:rPr>
        <w:t>日</w:t>
      </w:r>
      <w:r>
        <w:rPr>
          <w:lang w:val="zh-CN"/>
        </w:rPr>
        <w:t>，</w:t>
      </w:r>
      <w:r w:rsidRPr="009D48A5">
        <w:rPr>
          <w:lang w:val="zh-CN"/>
        </w:rPr>
        <w:t>A</w:t>
      </w:r>
      <w:r w:rsidRPr="009D48A5">
        <w:rPr>
          <w:lang w:val="zh-CN"/>
        </w:rPr>
        <w:t>辑第</w:t>
      </w:r>
      <w:r w:rsidRPr="009D48A5">
        <w:rPr>
          <w:lang w:val="zh-CN"/>
        </w:rPr>
        <w:t>18</w:t>
      </w:r>
      <w:r w:rsidRPr="009D48A5">
        <w:rPr>
          <w:lang w:val="zh-CN"/>
        </w:rPr>
        <w:t>号</w:t>
      </w:r>
      <w:r>
        <w:rPr>
          <w:lang w:val="zh-CN"/>
        </w:rPr>
        <w:t>，</w:t>
      </w:r>
      <w:r w:rsidRPr="009D48A5">
        <w:rPr>
          <w:lang w:val="zh-CN"/>
        </w:rPr>
        <w:t>第</w:t>
      </w:r>
      <w:r w:rsidRPr="009D48A5">
        <w:rPr>
          <w:lang w:val="zh-CN"/>
        </w:rPr>
        <w:t>29</w:t>
      </w:r>
      <w:r w:rsidRPr="009D48A5">
        <w:rPr>
          <w:lang w:val="zh-CN"/>
        </w:rPr>
        <w:t>段</w:t>
      </w:r>
      <w:r>
        <w:rPr>
          <w:lang w:val="zh-CN"/>
        </w:rPr>
        <w:t>；</w:t>
      </w:r>
      <w:r w:rsidRPr="009D48A5">
        <w:rPr>
          <w:lang w:val="zh-CN"/>
        </w:rPr>
        <w:t>Witold Litwa</w:t>
      </w:r>
      <w:r w:rsidRPr="009D48A5">
        <w:rPr>
          <w:rFonts w:ascii="Time New Roman" w:eastAsia="楷体" w:hAnsi="Time New Roman"/>
          <w:lang w:val="zh-CN"/>
        </w:rPr>
        <w:t>诉波兰</w:t>
      </w:r>
      <w:r>
        <w:rPr>
          <w:lang w:val="zh-CN"/>
        </w:rPr>
        <w:t>，</w:t>
      </w:r>
      <w:r w:rsidRPr="009D48A5">
        <w:rPr>
          <w:lang w:val="zh-CN"/>
        </w:rPr>
        <w:t>第</w:t>
      </w:r>
      <w:r w:rsidRPr="009D48A5">
        <w:rPr>
          <w:lang w:val="zh-CN"/>
        </w:rPr>
        <w:t>26629</w:t>
      </w:r>
      <w:r>
        <w:rPr>
          <w:lang w:val="zh-CN"/>
        </w:rPr>
        <w:t>/</w:t>
      </w:r>
      <w:r w:rsidRPr="009D48A5">
        <w:rPr>
          <w:lang w:val="zh-CN"/>
        </w:rPr>
        <w:t>95</w:t>
      </w:r>
      <w:r w:rsidRPr="009D48A5">
        <w:rPr>
          <w:lang w:val="zh-CN"/>
        </w:rPr>
        <w:t>号</w:t>
      </w:r>
      <w:r>
        <w:rPr>
          <w:lang w:val="zh-CN"/>
        </w:rPr>
        <w:t>，</w:t>
      </w:r>
      <w:r w:rsidRPr="009D48A5">
        <w:rPr>
          <w:lang w:val="zh-CN"/>
        </w:rPr>
        <w:t>2000</w:t>
      </w:r>
      <w:r w:rsidRPr="009D48A5">
        <w:rPr>
          <w:lang w:val="zh-CN"/>
        </w:rPr>
        <w:t>年</w:t>
      </w:r>
      <w:r w:rsidRPr="009D48A5">
        <w:rPr>
          <w:lang w:val="zh-CN"/>
        </w:rPr>
        <w:t>4</w:t>
      </w:r>
      <w:r w:rsidRPr="009D48A5">
        <w:rPr>
          <w:lang w:val="zh-CN"/>
        </w:rPr>
        <w:t>月</w:t>
      </w:r>
      <w:r w:rsidRPr="009D48A5">
        <w:rPr>
          <w:lang w:val="zh-CN"/>
        </w:rPr>
        <w:t>4</w:t>
      </w:r>
      <w:r w:rsidRPr="009D48A5">
        <w:rPr>
          <w:lang w:val="zh-CN"/>
        </w:rPr>
        <w:t>日</w:t>
      </w:r>
      <w:r>
        <w:rPr>
          <w:lang w:val="zh-CN"/>
        </w:rPr>
        <w:t>，</w:t>
      </w:r>
      <w:r w:rsidRPr="009D48A5">
        <w:rPr>
          <w:lang w:val="zh-CN"/>
        </w:rPr>
        <w:t>《</w:t>
      </w:r>
      <w:r w:rsidRPr="009D48A5">
        <w:rPr>
          <w:lang w:val="zh-CN"/>
        </w:rPr>
        <w:t>2000</w:t>
      </w:r>
      <w:r w:rsidRPr="009D48A5">
        <w:rPr>
          <w:lang w:val="zh-CN"/>
        </w:rPr>
        <w:t>年欧洲人权法院案例汇编》</w:t>
      </w:r>
      <w:r w:rsidRPr="009D48A5">
        <w:rPr>
          <w:rFonts w:hint="eastAsia"/>
          <w:lang w:val="zh-CN"/>
        </w:rPr>
        <w:t>第三卷</w:t>
      </w:r>
      <w:r>
        <w:rPr>
          <w:lang w:val="zh-CN"/>
        </w:rPr>
        <w:t>，</w:t>
      </w:r>
      <w:r w:rsidRPr="009D48A5">
        <w:rPr>
          <w:lang w:val="zh-CN"/>
        </w:rPr>
        <w:t>第</w:t>
      </w:r>
      <w:r w:rsidRPr="009D48A5">
        <w:rPr>
          <w:lang w:val="zh-CN"/>
        </w:rPr>
        <w:t>58</w:t>
      </w:r>
      <w:r w:rsidRPr="009D48A5">
        <w:rPr>
          <w:lang w:val="zh-CN"/>
        </w:rPr>
        <w:t>段</w:t>
      </w:r>
      <w:r>
        <w:rPr>
          <w:lang w:val="zh-CN"/>
        </w:rPr>
        <w:t>(</w:t>
      </w:r>
      <w:r w:rsidRPr="009D48A5">
        <w:rPr>
          <w:lang w:val="zh-CN"/>
        </w:rPr>
        <w:t>1969</w:t>
      </w:r>
      <w:r w:rsidRPr="009D48A5">
        <w:rPr>
          <w:lang w:val="zh-CN"/>
        </w:rPr>
        <w:t>年《维也纳公约》第三十一条</w:t>
      </w:r>
      <w:r>
        <w:rPr>
          <w:lang w:val="zh-CN"/>
        </w:rPr>
        <w:t>)</w:t>
      </w:r>
      <w:r>
        <w:rPr>
          <w:lang w:val="zh-CN"/>
        </w:rPr>
        <w:t>；</w:t>
      </w:r>
      <w:r w:rsidRPr="009D48A5">
        <w:rPr>
          <w:lang w:val="zh-CN"/>
        </w:rPr>
        <w:t>Demir</w:t>
      </w:r>
      <w:r w:rsidRPr="009D48A5">
        <w:rPr>
          <w:rFonts w:ascii="Time New Roman" w:eastAsia="楷体" w:hAnsi="Time New Roman"/>
          <w:lang w:val="zh-CN"/>
        </w:rPr>
        <w:t>和</w:t>
      </w:r>
      <w:r w:rsidRPr="009D48A5">
        <w:rPr>
          <w:rFonts w:ascii="Time New Roman" w:eastAsia="楷体" w:hAnsi="Time New Roman"/>
          <w:lang w:val="zh-CN"/>
        </w:rPr>
        <w:t>Baykara</w:t>
      </w:r>
      <w:r w:rsidRPr="009D48A5">
        <w:rPr>
          <w:rFonts w:ascii="Time New Roman" w:eastAsia="楷体" w:hAnsi="Time New Roman"/>
          <w:lang w:val="zh-CN"/>
        </w:rPr>
        <w:t>诉土耳其</w:t>
      </w:r>
      <w:r>
        <w:rPr>
          <w:lang w:val="zh-CN"/>
        </w:rPr>
        <w:t>[</w:t>
      </w:r>
      <w:r w:rsidRPr="009D48A5">
        <w:rPr>
          <w:lang w:val="zh-CN"/>
        </w:rPr>
        <w:t>GC</w:t>
      </w:r>
      <w:r>
        <w:rPr>
          <w:lang w:val="zh-CN"/>
        </w:rPr>
        <w:t>]</w:t>
      </w:r>
      <w:r>
        <w:rPr>
          <w:lang w:val="zh-CN"/>
        </w:rPr>
        <w:t>，</w:t>
      </w:r>
      <w:r w:rsidRPr="009D48A5">
        <w:rPr>
          <w:lang w:val="zh-CN"/>
        </w:rPr>
        <w:t>第</w:t>
      </w:r>
      <w:r w:rsidRPr="009D48A5">
        <w:rPr>
          <w:lang w:val="zh-CN"/>
        </w:rPr>
        <w:t>34503</w:t>
      </w:r>
      <w:r>
        <w:rPr>
          <w:lang w:val="zh-CN"/>
        </w:rPr>
        <w:t>/</w:t>
      </w:r>
      <w:r w:rsidRPr="009D48A5">
        <w:rPr>
          <w:lang w:val="zh-CN"/>
        </w:rPr>
        <w:t>97</w:t>
      </w:r>
      <w:r w:rsidRPr="009D48A5">
        <w:rPr>
          <w:lang w:val="zh-CN"/>
        </w:rPr>
        <w:t>号</w:t>
      </w:r>
      <w:r>
        <w:rPr>
          <w:lang w:val="zh-CN"/>
        </w:rPr>
        <w:t>，</w:t>
      </w:r>
      <w:r w:rsidRPr="009D48A5">
        <w:rPr>
          <w:lang w:val="zh-CN"/>
        </w:rPr>
        <w:t>2008</w:t>
      </w:r>
      <w:r w:rsidRPr="009D48A5">
        <w:rPr>
          <w:lang w:val="zh-CN"/>
        </w:rPr>
        <w:t>年</w:t>
      </w:r>
      <w:r w:rsidRPr="009D48A5">
        <w:rPr>
          <w:lang w:val="zh-CN"/>
        </w:rPr>
        <w:t>11</w:t>
      </w:r>
      <w:r w:rsidRPr="009D48A5">
        <w:rPr>
          <w:lang w:val="zh-CN"/>
        </w:rPr>
        <w:t>月</w:t>
      </w:r>
      <w:r w:rsidRPr="009D48A5">
        <w:rPr>
          <w:lang w:val="zh-CN"/>
        </w:rPr>
        <w:t>12</w:t>
      </w:r>
      <w:r w:rsidRPr="009D48A5">
        <w:rPr>
          <w:lang w:val="zh-CN"/>
        </w:rPr>
        <w:t>日</w:t>
      </w:r>
      <w:r>
        <w:rPr>
          <w:lang w:val="zh-CN"/>
        </w:rPr>
        <w:t>，</w:t>
      </w:r>
      <w:r w:rsidRPr="009D48A5">
        <w:rPr>
          <w:lang w:val="zh-CN"/>
        </w:rPr>
        <w:t>《</w:t>
      </w:r>
      <w:r w:rsidRPr="009D48A5">
        <w:rPr>
          <w:lang w:val="zh-CN"/>
        </w:rPr>
        <w:t>2008</w:t>
      </w:r>
      <w:r w:rsidRPr="009D48A5">
        <w:rPr>
          <w:lang w:val="zh-CN"/>
        </w:rPr>
        <w:t>年欧洲人权法院案例汇编》</w:t>
      </w:r>
      <w:r>
        <w:rPr>
          <w:lang w:val="zh-CN"/>
        </w:rPr>
        <w:t>，</w:t>
      </w:r>
      <w:r w:rsidRPr="009D48A5">
        <w:rPr>
          <w:lang w:val="zh-CN"/>
        </w:rPr>
        <w:t>第</w:t>
      </w:r>
      <w:r w:rsidRPr="009D48A5">
        <w:rPr>
          <w:lang w:val="zh-CN"/>
        </w:rPr>
        <w:t>65</w:t>
      </w:r>
      <w:r w:rsidRPr="009D48A5">
        <w:rPr>
          <w:lang w:val="zh-CN"/>
        </w:rPr>
        <w:t>段</w:t>
      </w:r>
      <w:r>
        <w:rPr>
          <w:lang w:val="zh-CN"/>
        </w:rPr>
        <w:t>(</w:t>
      </w:r>
      <w:r w:rsidRPr="009D48A5">
        <w:rPr>
          <w:lang w:val="zh-CN"/>
        </w:rPr>
        <w:t>暗指</w:t>
      </w:r>
      <w:r w:rsidRPr="009D48A5">
        <w:rPr>
          <w:lang w:val="zh-CN"/>
        </w:rPr>
        <w:t>1969</w:t>
      </w:r>
      <w:r w:rsidRPr="009D48A5">
        <w:rPr>
          <w:lang w:val="zh-CN"/>
        </w:rPr>
        <w:t>年</w:t>
      </w:r>
      <w:r w:rsidRPr="009D48A5">
        <w:t>《维也纳公约》</w:t>
      </w:r>
      <w:r w:rsidRPr="009D48A5">
        <w:rPr>
          <w:lang w:val="zh-CN"/>
        </w:rPr>
        <w:t>第三十一条至第三十三条</w:t>
      </w:r>
      <w:r>
        <w:rPr>
          <w:lang w:val="zh-CN"/>
        </w:rPr>
        <w:t>)</w:t>
      </w:r>
      <w:r w:rsidRPr="009D48A5">
        <w:rPr>
          <w:lang w:val="zh-CN"/>
        </w:rPr>
        <w:t>。</w:t>
      </w:r>
    </w:p>
  </w:footnote>
  <w:footnote w:id="401">
    <w:p w:rsidR="00AB00DE" w:rsidRPr="009D48A5" w:rsidRDefault="00AB00DE" w:rsidP="008D7906">
      <w:pPr>
        <w:pStyle w:val="a4"/>
      </w:pPr>
      <w:r w:rsidRPr="009D48A5">
        <w:rPr>
          <w:lang w:val="zh-CN"/>
        </w:rPr>
        <w:tab/>
      </w:r>
      <w:r w:rsidRPr="00DF5565">
        <w:rPr>
          <w:rStyle w:val="a5"/>
          <w:szCs w:val="22"/>
          <w:lang w:val="zh-CN"/>
        </w:rPr>
        <w:footnoteRef/>
      </w:r>
      <w:r w:rsidRPr="009D48A5">
        <w:rPr>
          <w:lang w:val="zh-CN"/>
        </w:rPr>
        <w:tab/>
      </w:r>
      <w:r w:rsidRPr="009D48A5">
        <w:rPr>
          <w:rFonts w:ascii="Time New Roman" w:eastAsia="楷体" w:hAnsi="Time New Roman"/>
          <w:lang w:val="zh-CN"/>
        </w:rPr>
        <w:t>保留对《美洲人权公约》生效的影响</w:t>
      </w:r>
      <w:r>
        <w:rPr>
          <w:rFonts w:ascii="Time New Roman" w:eastAsia="楷体" w:hAnsi="Time New Roman"/>
          <w:lang w:val="zh-CN"/>
        </w:rPr>
        <w:t>(</w:t>
      </w:r>
      <w:r w:rsidRPr="009D48A5">
        <w:rPr>
          <w:rFonts w:ascii="Time New Roman" w:eastAsia="楷体" w:hAnsi="Time New Roman"/>
          <w:lang w:val="zh-CN"/>
        </w:rPr>
        <w:t>第</w:t>
      </w:r>
      <w:r w:rsidRPr="009D48A5">
        <w:rPr>
          <w:rFonts w:ascii="Time New Roman" w:eastAsia="楷体" w:hAnsi="Time New Roman"/>
          <w:lang w:val="zh-CN"/>
        </w:rPr>
        <w:t>74</w:t>
      </w:r>
      <w:r w:rsidRPr="009D48A5">
        <w:rPr>
          <w:rFonts w:ascii="Time New Roman" w:eastAsia="楷体" w:hAnsi="Time New Roman"/>
          <w:lang w:val="zh-CN"/>
        </w:rPr>
        <w:t>和</w:t>
      </w:r>
      <w:r w:rsidRPr="009D48A5">
        <w:rPr>
          <w:rFonts w:ascii="Time New Roman" w:eastAsia="楷体" w:hAnsi="Time New Roman"/>
          <w:lang w:val="zh-CN"/>
        </w:rPr>
        <w:t>75</w:t>
      </w:r>
      <w:r w:rsidRPr="009D48A5">
        <w:rPr>
          <w:rFonts w:ascii="Time New Roman" w:eastAsia="楷体" w:hAnsi="Time New Roman"/>
          <w:lang w:val="zh-CN"/>
        </w:rPr>
        <w:t>条</w:t>
      </w:r>
      <w:r>
        <w:rPr>
          <w:rFonts w:ascii="Time New Roman" w:eastAsia="楷体" w:hAnsi="Time New Roman"/>
          <w:lang w:val="zh-CN"/>
        </w:rPr>
        <w:t>)</w:t>
      </w:r>
      <w:r>
        <w:rPr>
          <w:lang w:val="zh-CN"/>
        </w:rPr>
        <w:t>，</w:t>
      </w:r>
      <w:r w:rsidRPr="009D48A5">
        <w:rPr>
          <w:lang w:val="zh-CN"/>
        </w:rPr>
        <w:t>咨询意见</w:t>
      </w:r>
      <w:r w:rsidRPr="009D48A5">
        <w:rPr>
          <w:lang w:val="zh-CN"/>
        </w:rPr>
        <w:t>OC-2</w:t>
      </w:r>
      <w:r>
        <w:rPr>
          <w:lang w:val="zh-CN"/>
        </w:rPr>
        <w:t>/</w:t>
      </w:r>
      <w:r w:rsidRPr="009D48A5">
        <w:rPr>
          <w:lang w:val="zh-CN"/>
        </w:rPr>
        <w:t>8</w:t>
      </w:r>
      <w:r>
        <w:rPr>
          <w:lang w:val="zh-CN"/>
        </w:rPr>
        <w:t>2,</w:t>
      </w:r>
      <w:r w:rsidRPr="009D48A5">
        <w:rPr>
          <w:lang w:val="zh-CN"/>
        </w:rPr>
        <w:t xml:space="preserve"> 1982</w:t>
      </w:r>
      <w:r w:rsidRPr="009D48A5">
        <w:rPr>
          <w:lang w:val="zh-CN"/>
        </w:rPr>
        <w:t>年</w:t>
      </w:r>
      <w:r w:rsidRPr="009D48A5">
        <w:rPr>
          <w:lang w:val="zh-CN"/>
        </w:rPr>
        <w:t>9</w:t>
      </w:r>
      <w:r w:rsidRPr="009D48A5">
        <w:rPr>
          <w:lang w:val="zh-CN"/>
        </w:rPr>
        <w:t>月</w:t>
      </w:r>
      <w:r w:rsidRPr="009D48A5">
        <w:rPr>
          <w:lang w:val="zh-CN"/>
        </w:rPr>
        <w:t>24</w:t>
      </w:r>
      <w:r w:rsidRPr="009D48A5">
        <w:rPr>
          <w:lang w:val="zh-CN"/>
        </w:rPr>
        <w:t>日</w:t>
      </w:r>
      <w:r>
        <w:rPr>
          <w:lang w:val="zh-CN"/>
        </w:rPr>
        <w:t>，</w:t>
      </w:r>
      <w:r w:rsidRPr="009D48A5">
        <w:rPr>
          <w:lang w:val="zh-CN"/>
        </w:rPr>
        <w:t>美洲人权法院</w:t>
      </w:r>
      <w:r>
        <w:rPr>
          <w:lang w:val="zh-CN"/>
        </w:rPr>
        <w:t>，</w:t>
      </w:r>
      <w:r w:rsidRPr="009D48A5">
        <w:rPr>
          <w:lang w:val="zh-CN"/>
        </w:rPr>
        <w:t>A</w:t>
      </w:r>
      <w:r w:rsidRPr="009D48A5">
        <w:rPr>
          <w:lang w:val="zh-CN"/>
        </w:rPr>
        <w:t>辑第</w:t>
      </w:r>
      <w:r w:rsidRPr="009D48A5">
        <w:rPr>
          <w:lang w:val="zh-CN"/>
        </w:rPr>
        <w:t>2</w:t>
      </w:r>
      <w:r w:rsidRPr="009D48A5">
        <w:rPr>
          <w:lang w:val="zh-CN"/>
        </w:rPr>
        <w:t>号</w:t>
      </w:r>
      <w:r>
        <w:rPr>
          <w:lang w:val="zh-CN"/>
        </w:rPr>
        <w:t>，</w:t>
      </w:r>
      <w:r w:rsidRPr="009D48A5">
        <w:rPr>
          <w:lang w:val="zh-CN"/>
        </w:rPr>
        <w:t>第</w:t>
      </w:r>
      <w:r w:rsidRPr="009D48A5">
        <w:rPr>
          <w:lang w:val="zh-CN"/>
        </w:rPr>
        <w:t>19</w:t>
      </w:r>
      <w:r w:rsidRPr="009D48A5">
        <w:rPr>
          <w:lang w:val="zh-CN"/>
        </w:rPr>
        <w:t>段</w:t>
      </w:r>
      <w:r>
        <w:rPr>
          <w:lang w:val="zh-CN"/>
        </w:rPr>
        <w:t>(</w:t>
      </w:r>
      <w:r w:rsidRPr="009D48A5">
        <w:rPr>
          <w:lang w:val="zh-CN"/>
        </w:rPr>
        <w:t>暗指</w:t>
      </w:r>
      <w:r w:rsidRPr="009D48A5">
        <w:rPr>
          <w:lang w:val="zh-CN"/>
        </w:rPr>
        <w:t>1969</w:t>
      </w:r>
      <w:r w:rsidRPr="009D48A5">
        <w:rPr>
          <w:lang w:val="zh-CN"/>
        </w:rPr>
        <w:t>年《维也纳公约》第三十一条至第三十二条</w:t>
      </w:r>
      <w:r>
        <w:rPr>
          <w:lang w:val="zh-CN"/>
        </w:rPr>
        <w:t>)</w:t>
      </w:r>
      <w:r>
        <w:rPr>
          <w:lang w:val="zh-CN"/>
        </w:rPr>
        <w:t>；</w:t>
      </w:r>
      <w:r w:rsidRPr="009D48A5">
        <w:rPr>
          <w:lang w:val="zh-CN"/>
        </w:rPr>
        <w:t>Hilaire</w:t>
      </w:r>
      <w:r w:rsidRPr="009D48A5">
        <w:rPr>
          <w:lang w:val="zh-CN"/>
        </w:rPr>
        <w:t>、</w:t>
      </w:r>
      <w:r w:rsidRPr="009D48A5">
        <w:rPr>
          <w:lang w:val="zh-CN"/>
        </w:rPr>
        <w:t>Constantine</w:t>
      </w:r>
      <w:r w:rsidRPr="009D48A5">
        <w:rPr>
          <w:rFonts w:ascii="Time New Roman" w:eastAsia="楷体" w:hAnsi="Time New Roman"/>
          <w:lang w:val="zh-CN"/>
        </w:rPr>
        <w:t>和</w:t>
      </w:r>
      <w:r w:rsidRPr="009D48A5">
        <w:rPr>
          <w:rFonts w:ascii="Time New Roman" w:eastAsia="楷体" w:hAnsi="Time New Roman"/>
          <w:lang w:val="zh-CN"/>
        </w:rPr>
        <w:t>Benjamin</w:t>
      </w:r>
      <w:r w:rsidRPr="009D48A5">
        <w:rPr>
          <w:rFonts w:ascii="Time New Roman" w:eastAsia="楷体" w:hAnsi="Time New Roman"/>
          <w:lang w:val="zh-CN"/>
        </w:rPr>
        <w:t>等诉特立尼达和多巴哥</w:t>
      </w:r>
      <w:r>
        <w:rPr>
          <w:rFonts w:ascii="Time New Roman" w:eastAsia="楷体" w:hAnsi="Time New Roman"/>
          <w:lang w:val="zh-CN"/>
        </w:rPr>
        <w:t>(</w:t>
      </w:r>
      <w:r w:rsidRPr="009D48A5">
        <w:rPr>
          <w:rFonts w:ascii="Time New Roman" w:eastAsia="楷体" w:hAnsi="Time New Roman"/>
          <w:lang w:val="zh-CN"/>
        </w:rPr>
        <w:t>案情、赔偿和费用</w:t>
      </w:r>
      <w:r>
        <w:rPr>
          <w:rFonts w:ascii="Time New Roman" w:eastAsia="楷体" w:hAnsi="Time New Roman"/>
          <w:lang w:val="zh-CN"/>
        </w:rPr>
        <w:t>，</w:t>
      </w:r>
      <w:r w:rsidRPr="009D48A5">
        <w:rPr>
          <w:rFonts w:ascii="Time New Roman" w:eastAsia="楷体" w:hAnsi="Time New Roman"/>
          <w:lang w:val="zh-CN"/>
        </w:rPr>
        <w:t>判决</w:t>
      </w:r>
      <w:r>
        <w:rPr>
          <w:lang w:val="zh-CN"/>
        </w:rPr>
        <w:t>)</w:t>
      </w:r>
      <w:r>
        <w:rPr>
          <w:lang w:val="zh-CN"/>
        </w:rPr>
        <w:t>，</w:t>
      </w:r>
      <w:r w:rsidRPr="009D48A5">
        <w:rPr>
          <w:lang w:val="zh-CN"/>
        </w:rPr>
        <w:t>2002</w:t>
      </w:r>
      <w:r w:rsidRPr="009D48A5">
        <w:rPr>
          <w:lang w:val="zh-CN"/>
        </w:rPr>
        <w:t>年</w:t>
      </w:r>
      <w:r w:rsidRPr="009D48A5">
        <w:rPr>
          <w:lang w:val="zh-CN"/>
        </w:rPr>
        <w:t>6</w:t>
      </w:r>
      <w:r w:rsidRPr="009D48A5">
        <w:rPr>
          <w:lang w:val="zh-CN"/>
        </w:rPr>
        <w:t>月</w:t>
      </w:r>
      <w:r w:rsidRPr="009D48A5">
        <w:rPr>
          <w:lang w:val="zh-CN"/>
        </w:rPr>
        <w:t>21</w:t>
      </w:r>
      <w:r w:rsidRPr="009D48A5">
        <w:rPr>
          <w:lang w:val="zh-CN"/>
        </w:rPr>
        <w:t>日</w:t>
      </w:r>
      <w:r>
        <w:rPr>
          <w:lang w:val="zh-CN"/>
        </w:rPr>
        <w:t>，</w:t>
      </w:r>
      <w:r w:rsidRPr="009D48A5">
        <w:rPr>
          <w:lang w:val="zh-CN"/>
        </w:rPr>
        <w:t>美洲人权法院</w:t>
      </w:r>
      <w:r>
        <w:rPr>
          <w:lang w:val="zh-CN"/>
        </w:rPr>
        <w:t>，</w:t>
      </w:r>
      <w:r w:rsidRPr="009D48A5">
        <w:rPr>
          <w:lang w:val="zh-CN"/>
        </w:rPr>
        <w:t>C</w:t>
      </w:r>
      <w:r w:rsidRPr="009D48A5">
        <w:rPr>
          <w:lang w:val="zh-CN"/>
        </w:rPr>
        <w:t>辑第</w:t>
      </w:r>
      <w:r w:rsidRPr="009D48A5">
        <w:rPr>
          <w:lang w:val="zh-CN"/>
        </w:rPr>
        <w:t>94</w:t>
      </w:r>
      <w:r w:rsidRPr="009D48A5">
        <w:rPr>
          <w:lang w:val="zh-CN"/>
        </w:rPr>
        <w:t>号</w:t>
      </w:r>
      <w:r>
        <w:rPr>
          <w:lang w:val="zh-CN"/>
        </w:rPr>
        <w:t>，</w:t>
      </w:r>
      <w:r w:rsidRPr="009D48A5">
        <w:rPr>
          <w:lang w:val="zh-CN"/>
        </w:rPr>
        <w:t>第</w:t>
      </w:r>
      <w:r w:rsidRPr="009D48A5">
        <w:rPr>
          <w:lang w:val="zh-CN"/>
        </w:rPr>
        <w:t>19</w:t>
      </w:r>
      <w:r w:rsidRPr="009D48A5">
        <w:rPr>
          <w:lang w:val="zh-CN"/>
        </w:rPr>
        <w:t>段</w:t>
      </w:r>
      <w:r>
        <w:rPr>
          <w:lang w:val="zh-CN"/>
        </w:rPr>
        <w:t>(</w:t>
      </w:r>
      <w:r w:rsidRPr="009D48A5">
        <w:rPr>
          <w:lang w:val="zh-CN"/>
        </w:rPr>
        <w:t>1969</w:t>
      </w:r>
      <w:r w:rsidRPr="009D48A5">
        <w:rPr>
          <w:lang w:val="zh-CN"/>
        </w:rPr>
        <w:t>年《维也纳公约》第三十一条第一款</w:t>
      </w:r>
      <w:r>
        <w:rPr>
          <w:lang w:val="zh-CN"/>
        </w:rPr>
        <w:t>)</w:t>
      </w:r>
      <w:r w:rsidRPr="009D48A5">
        <w:rPr>
          <w:lang w:val="zh-CN"/>
        </w:rPr>
        <w:t>。</w:t>
      </w:r>
    </w:p>
  </w:footnote>
  <w:footnote w:id="402">
    <w:p w:rsidR="00AB00DE" w:rsidRPr="009D48A5" w:rsidRDefault="00AB00DE" w:rsidP="008D7906">
      <w:pPr>
        <w:pStyle w:val="a4"/>
      </w:pPr>
      <w:r w:rsidRPr="009D48A5">
        <w:rPr>
          <w:lang w:val="zh-CN"/>
        </w:rPr>
        <w:tab/>
      </w:r>
      <w:r w:rsidRPr="00DF5565">
        <w:rPr>
          <w:rStyle w:val="a5"/>
          <w:szCs w:val="22"/>
          <w:lang w:val="zh-CN"/>
        </w:rPr>
        <w:footnoteRef/>
      </w:r>
      <w:r w:rsidRPr="009D48A5">
        <w:rPr>
          <w:lang w:val="zh-CN"/>
        </w:rPr>
        <w:tab/>
        <w:t>Brita</w:t>
      </w:r>
      <w:r w:rsidRPr="009D48A5">
        <w:rPr>
          <w:rFonts w:ascii="Time New Roman" w:eastAsia="楷体" w:hAnsi="Time New Roman"/>
          <w:lang w:val="zh-CN"/>
        </w:rPr>
        <w:t>有限责任公司诉汉堡港海关总局</w:t>
      </w:r>
      <w:r>
        <w:rPr>
          <w:lang w:val="zh-CN"/>
        </w:rPr>
        <w:t>，</w:t>
      </w:r>
      <w:r w:rsidRPr="009D48A5">
        <w:rPr>
          <w:lang w:val="zh-CN"/>
        </w:rPr>
        <w:t>2010</w:t>
      </w:r>
      <w:r w:rsidRPr="009D48A5">
        <w:rPr>
          <w:lang w:val="zh-CN"/>
        </w:rPr>
        <w:t>年</w:t>
      </w:r>
      <w:r w:rsidRPr="009D48A5">
        <w:rPr>
          <w:lang w:val="zh-CN"/>
        </w:rPr>
        <w:t>2</w:t>
      </w:r>
      <w:r w:rsidRPr="009D48A5">
        <w:rPr>
          <w:lang w:val="zh-CN"/>
        </w:rPr>
        <w:t>月</w:t>
      </w:r>
      <w:r w:rsidRPr="009D48A5">
        <w:rPr>
          <w:lang w:val="zh-CN"/>
        </w:rPr>
        <w:t>25</w:t>
      </w:r>
      <w:r w:rsidRPr="009D48A5">
        <w:rPr>
          <w:lang w:val="zh-CN"/>
        </w:rPr>
        <w:t>日的判决</w:t>
      </w:r>
      <w:r>
        <w:rPr>
          <w:lang w:val="zh-CN"/>
        </w:rPr>
        <w:t>，</w:t>
      </w:r>
      <w:r w:rsidRPr="009D48A5">
        <w:rPr>
          <w:lang w:val="zh-CN"/>
        </w:rPr>
        <w:t>C-386</w:t>
      </w:r>
      <w:r>
        <w:rPr>
          <w:lang w:val="zh-CN"/>
        </w:rPr>
        <w:t>/</w:t>
      </w:r>
      <w:r w:rsidRPr="009D48A5">
        <w:rPr>
          <w:lang w:val="zh-CN"/>
        </w:rPr>
        <w:t>08</w:t>
      </w:r>
      <w:r w:rsidRPr="009D48A5">
        <w:rPr>
          <w:lang w:val="zh-CN"/>
        </w:rPr>
        <w:t>号案</w:t>
      </w:r>
      <w:r>
        <w:rPr>
          <w:lang w:val="zh-CN"/>
        </w:rPr>
        <w:t>，</w:t>
      </w:r>
      <w:r w:rsidRPr="009D48A5">
        <w:rPr>
          <w:lang w:val="zh-CN"/>
        </w:rPr>
        <w:t>《</w:t>
      </w:r>
      <w:r w:rsidRPr="009D48A5">
        <w:rPr>
          <w:lang w:val="zh-CN"/>
        </w:rPr>
        <w:t>20</w:t>
      </w:r>
      <w:r w:rsidRPr="009D48A5">
        <w:rPr>
          <w:rFonts w:hint="eastAsia"/>
          <w:lang w:val="zh-CN"/>
        </w:rPr>
        <w:t>1</w:t>
      </w:r>
      <w:r w:rsidRPr="009D48A5">
        <w:rPr>
          <w:lang w:val="zh-CN"/>
        </w:rPr>
        <w:t>0</w:t>
      </w:r>
      <w:r w:rsidRPr="009D48A5">
        <w:rPr>
          <w:lang w:val="zh-CN"/>
        </w:rPr>
        <w:t>年欧洲法院案例汇编》</w:t>
      </w:r>
      <w:r w:rsidRPr="009D48A5">
        <w:rPr>
          <w:lang w:val="zh-CN"/>
        </w:rPr>
        <w:t>I-0128</w:t>
      </w:r>
      <w:r>
        <w:rPr>
          <w:lang w:val="zh-CN"/>
        </w:rPr>
        <w:t>9,</w:t>
      </w:r>
      <w:r w:rsidRPr="009D48A5">
        <w:rPr>
          <w:lang w:val="zh-CN"/>
        </w:rPr>
        <w:t xml:space="preserve"> </w:t>
      </w:r>
      <w:r w:rsidRPr="009D48A5">
        <w:rPr>
          <w:lang w:val="zh-CN"/>
        </w:rPr>
        <w:t>第</w:t>
      </w:r>
      <w:r w:rsidRPr="009D48A5">
        <w:rPr>
          <w:lang w:val="zh-CN"/>
        </w:rPr>
        <w:t>41-43</w:t>
      </w:r>
      <w:r w:rsidRPr="009D48A5">
        <w:rPr>
          <w:lang w:val="zh-CN"/>
        </w:rPr>
        <w:t>段</w:t>
      </w:r>
      <w:r>
        <w:rPr>
          <w:lang w:val="zh-CN"/>
        </w:rPr>
        <w:t>(</w:t>
      </w:r>
      <w:r w:rsidRPr="009D48A5">
        <w:rPr>
          <w:lang w:val="zh-CN"/>
        </w:rPr>
        <w:t>1969</w:t>
      </w:r>
      <w:r w:rsidRPr="009D48A5">
        <w:rPr>
          <w:lang w:val="zh-CN"/>
        </w:rPr>
        <w:t>年《维也纳公约》第三十一条</w:t>
      </w:r>
      <w:r>
        <w:rPr>
          <w:lang w:val="zh-CN"/>
        </w:rPr>
        <w:t>)</w:t>
      </w:r>
      <w:r w:rsidRPr="009D48A5">
        <w:rPr>
          <w:lang w:val="zh-CN"/>
        </w:rPr>
        <w:t>。</w:t>
      </w:r>
    </w:p>
  </w:footnote>
  <w:footnote w:id="403">
    <w:p w:rsidR="00AB00DE" w:rsidRPr="009D48A5" w:rsidRDefault="00AB00DE" w:rsidP="008D7906">
      <w:pPr>
        <w:pStyle w:val="a4"/>
      </w:pPr>
      <w:r w:rsidRPr="009D48A5">
        <w:rPr>
          <w:lang w:val="zh-CN"/>
        </w:rPr>
        <w:tab/>
      </w:r>
      <w:r w:rsidRPr="00DF5565">
        <w:rPr>
          <w:rStyle w:val="a5"/>
          <w:szCs w:val="22"/>
          <w:lang w:val="zh-CN"/>
        </w:rPr>
        <w:footnoteRef/>
      </w:r>
      <w:r w:rsidRPr="009D48A5">
        <w:rPr>
          <w:lang w:val="zh-CN"/>
        </w:rPr>
        <w:tab/>
      </w:r>
      <w:r w:rsidRPr="009D48A5">
        <w:rPr>
          <w:lang w:val="zh-CN"/>
        </w:rPr>
        <w:t>联合国</w:t>
      </w:r>
      <w:r>
        <w:rPr>
          <w:lang w:val="zh-CN"/>
        </w:rPr>
        <w:t>，</w:t>
      </w:r>
      <w:r w:rsidRPr="009D48A5">
        <w:rPr>
          <w:lang w:val="zh-CN"/>
        </w:rPr>
        <w:t>《条约汇编》</w:t>
      </w:r>
      <w:r>
        <w:rPr>
          <w:lang w:val="zh-CN"/>
        </w:rPr>
        <w:t>，</w:t>
      </w:r>
      <w:r w:rsidRPr="009D48A5">
        <w:t>第</w:t>
      </w:r>
      <w:r w:rsidRPr="009D48A5">
        <w:t>575</w:t>
      </w:r>
      <w:r w:rsidRPr="009D48A5">
        <w:rPr>
          <w:lang w:val="zh-CN"/>
        </w:rPr>
        <w:t>卷</w:t>
      </w:r>
      <w:r>
        <w:rPr>
          <w:lang w:val="zh-CN"/>
        </w:rPr>
        <w:t>，</w:t>
      </w:r>
      <w:r w:rsidRPr="009D48A5">
        <w:rPr>
          <w:lang w:val="zh-CN"/>
        </w:rPr>
        <w:t>第</w:t>
      </w:r>
      <w:r w:rsidRPr="009D48A5">
        <w:rPr>
          <w:lang w:val="zh-CN"/>
        </w:rPr>
        <w:t>8359</w:t>
      </w:r>
      <w:r w:rsidRPr="009D48A5">
        <w:rPr>
          <w:lang w:val="zh-CN"/>
        </w:rPr>
        <w:t>号</w:t>
      </w:r>
      <w:r>
        <w:rPr>
          <w:lang w:val="zh-CN"/>
        </w:rPr>
        <w:t>，</w:t>
      </w:r>
      <w:r w:rsidRPr="009D48A5">
        <w:rPr>
          <w:lang w:val="zh-CN"/>
        </w:rPr>
        <w:t>第</w:t>
      </w:r>
      <w:r w:rsidRPr="009D48A5">
        <w:rPr>
          <w:lang w:val="zh-CN"/>
        </w:rPr>
        <w:t>159</w:t>
      </w:r>
      <w:r w:rsidRPr="009D48A5">
        <w:rPr>
          <w:lang w:val="zh-CN"/>
        </w:rPr>
        <w:t>页。</w:t>
      </w:r>
    </w:p>
  </w:footnote>
  <w:footnote w:id="404">
    <w:p w:rsidR="00AB00DE" w:rsidRPr="009D48A5" w:rsidRDefault="00AB00DE" w:rsidP="008D7906">
      <w:pPr>
        <w:pStyle w:val="a4"/>
      </w:pPr>
      <w:r w:rsidRPr="009D48A5">
        <w:rPr>
          <w:lang w:val="zh-CN"/>
        </w:rPr>
        <w:tab/>
      </w:r>
      <w:r w:rsidRPr="00DF5565">
        <w:rPr>
          <w:rStyle w:val="a5"/>
          <w:szCs w:val="22"/>
          <w:lang w:val="zh-CN"/>
        </w:rPr>
        <w:footnoteRef/>
      </w:r>
      <w:r w:rsidRPr="009D48A5">
        <w:rPr>
          <w:lang w:val="zh-CN"/>
        </w:rPr>
        <w:tab/>
      </w:r>
      <w:r w:rsidRPr="009D48A5">
        <w:rPr>
          <w:rFonts w:ascii="Time New Roman" w:eastAsia="楷体" w:hAnsi="Time New Roman"/>
          <w:lang w:val="zh-CN"/>
        </w:rPr>
        <w:t>英国国家电网公司诉阿根廷共和国</w:t>
      </w:r>
      <w:r>
        <w:rPr>
          <w:lang w:val="zh-CN"/>
        </w:rPr>
        <w:t>，</w:t>
      </w:r>
      <w:r w:rsidRPr="009D48A5">
        <w:rPr>
          <w:lang w:val="zh-CN"/>
        </w:rPr>
        <w:t>管辖权裁决</w:t>
      </w:r>
      <w:r>
        <w:rPr>
          <w:lang w:val="zh-CN"/>
        </w:rPr>
        <w:t>(</w:t>
      </w:r>
      <w:r w:rsidRPr="009D48A5">
        <w:rPr>
          <w:lang w:val="zh-CN"/>
        </w:rPr>
        <w:t>国际贸易法委员会</w:t>
      </w:r>
      <w:r>
        <w:rPr>
          <w:lang w:val="zh-CN"/>
        </w:rPr>
        <w:t>)</w:t>
      </w:r>
      <w:r>
        <w:rPr>
          <w:lang w:val="zh-CN"/>
        </w:rPr>
        <w:t>，</w:t>
      </w:r>
      <w:r w:rsidRPr="009D48A5">
        <w:rPr>
          <w:lang w:val="zh-CN"/>
        </w:rPr>
        <w:t>2006</w:t>
      </w:r>
      <w:r w:rsidRPr="009D48A5">
        <w:rPr>
          <w:lang w:val="zh-CN"/>
        </w:rPr>
        <w:t>年</w:t>
      </w:r>
      <w:r w:rsidRPr="009D48A5">
        <w:rPr>
          <w:lang w:val="zh-CN"/>
        </w:rPr>
        <w:t>6</w:t>
      </w:r>
      <w:r w:rsidRPr="009D48A5">
        <w:rPr>
          <w:lang w:val="zh-CN"/>
        </w:rPr>
        <w:t>月</w:t>
      </w:r>
      <w:r w:rsidRPr="009D48A5">
        <w:rPr>
          <w:lang w:val="zh-CN"/>
        </w:rPr>
        <w:t>20</w:t>
      </w:r>
      <w:r w:rsidRPr="009D48A5">
        <w:rPr>
          <w:lang w:val="zh-CN"/>
        </w:rPr>
        <w:t>日</w:t>
      </w:r>
      <w:r>
        <w:rPr>
          <w:lang w:val="zh-CN"/>
        </w:rPr>
        <w:t>，</w:t>
      </w:r>
      <w:r w:rsidRPr="009D48A5">
        <w:rPr>
          <w:lang w:val="zh-CN"/>
        </w:rPr>
        <w:t>第</w:t>
      </w:r>
      <w:r w:rsidRPr="009D48A5">
        <w:rPr>
          <w:lang w:val="zh-CN"/>
        </w:rPr>
        <w:t>51</w:t>
      </w:r>
      <w:r w:rsidRPr="009D48A5">
        <w:rPr>
          <w:lang w:val="zh-CN"/>
        </w:rPr>
        <w:t>段</w:t>
      </w:r>
      <w:r>
        <w:rPr>
          <w:lang w:val="zh-CN"/>
        </w:rPr>
        <w:t>(</w:t>
      </w:r>
      <w:r w:rsidRPr="009D48A5">
        <w:rPr>
          <w:lang w:val="zh-CN"/>
        </w:rPr>
        <w:t>1969</w:t>
      </w:r>
      <w:r w:rsidRPr="009D48A5">
        <w:rPr>
          <w:lang w:val="zh-CN"/>
        </w:rPr>
        <w:t>年《维也纳公约》第三十一条至第三十二条</w:t>
      </w:r>
      <w:r>
        <w:rPr>
          <w:lang w:val="zh-CN"/>
        </w:rPr>
        <w:t>)</w:t>
      </w:r>
      <w:r>
        <w:rPr>
          <w:lang w:val="zh-CN"/>
        </w:rPr>
        <w:t>；</w:t>
      </w:r>
      <w:r w:rsidRPr="009D48A5">
        <w:rPr>
          <w:lang w:val="zh-CN"/>
        </w:rPr>
        <w:t>Canfor</w:t>
      </w:r>
      <w:r w:rsidRPr="009D48A5">
        <w:rPr>
          <w:rFonts w:ascii="Time New Roman" w:eastAsia="楷体" w:hAnsi="Time New Roman"/>
          <w:lang w:val="zh-CN"/>
        </w:rPr>
        <w:t>公司诉美利坚合众国</w:t>
      </w:r>
      <w:r>
        <w:rPr>
          <w:lang w:val="zh-CN"/>
        </w:rPr>
        <w:t>，</w:t>
      </w:r>
      <w:r w:rsidRPr="009D48A5">
        <w:rPr>
          <w:lang w:val="zh-CN"/>
        </w:rPr>
        <w:t>Tembec</w:t>
      </w:r>
      <w:r w:rsidRPr="009D48A5">
        <w:rPr>
          <w:rFonts w:ascii="Time New Roman" w:eastAsia="楷体" w:hAnsi="Time New Roman"/>
          <w:lang w:val="zh-CN"/>
        </w:rPr>
        <w:t>公司等诉美利坚合众国</w:t>
      </w:r>
      <w:r>
        <w:rPr>
          <w:lang w:val="zh-CN"/>
        </w:rPr>
        <w:t>，</w:t>
      </w:r>
      <w:r w:rsidRPr="009D48A5">
        <w:rPr>
          <w:lang w:val="zh-CN"/>
        </w:rPr>
        <w:t>以及</w:t>
      </w:r>
      <w:r w:rsidRPr="009D48A5">
        <w:rPr>
          <w:lang w:val="zh-CN"/>
        </w:rPr>
        <w:t>Terminal</w:t>
      </w:r>
      <w:r w:rsidRPr="009D48A5">
        <w:rPr>
          <w:rFonts w:ascii="Time New Roman" w:eastAsia="楷体" w:hAnsi="Time New Roman" w:hint="eastAsia"/>
          <w:lang w:val="zh-CN"/>
        </w:rPr>
        <w:t>林产品</w:t>
      </w:r>
      <w:r w:rsidRPr="009D48A5">
        <w:rPr>
          <w:rFonts w:ascii="Time New Roman" w:eastAsia="楷体" w:hAnsi="Time New Roman"/>
          <w:lang w:val="zh-CN"/>
        </w:rPr>
        <w:t>公司诉美利坚合众国</w:t>
      </w:r>
      <w:r>
        <w:rPr>
          <w:lang w:val="zh-CN"/>
        </w:rPr>
        <w:t>，</w:t>
      </w:r>
      <w:r w:rsidRPr="009D48A5">
        <w:rPr>
          <w:lang w:val="zh-CN"/>
        </w:rPr>
        <w:t>合并法庭命令</w:t>
      </w:r>
      <w:r>
        <w:rPr>
          <w:lang w:val="zh-CN"/>
        </w:rPr>
        <w:t>，</w:t>
      </w:r>
      <w:r w:rsidRPr="009D48A5">
        <w:rPr>
          <w:lang w:val="zh-CN"/>
        </w:rPr>
        <w:t>2005</w:t>
      </w:r>
      <w:r w:rsidRPr="009D48A5">
        <w:rPr>
          <w:lang w:val="zh-CN"/>
        </w:rPr>
        <w:t>年</w:t>
      </w:r>
      <w:r w:rsidRPr="009D48A5">
        <w:rPr>
          <w:lang w:val="zh-CN"/>
        </w:rPr>
        <w:t>9</w:t>
      </w:r>
      <w:r w:rsidRPr="009D48A5">
        <w:rPr>
          <w:lang w:val="zh-CN"/>
        </w:rPr>
        <w:t>月</w:t>
      </w:r>
      <w:r w:rsidRPr="009D48A5">
        <w:rPr>
          <w:lang w:val="zh-CN"/>
        </w:rPr>
        <w:t>7</w:t>
      </w:r>
      <w:r w:rsidRPr="009D48A5">
        <w:rPr>
          <w:lang w:val="zh-CN"/>
        </w:rPr>
        <w:t>日</w:t>
      </w:r>
      <w:r>
        <w:rPr>
          <w:lang w:val="zh-CN"/>
        </w:rPr>
        <w:t>，</w:t>
      </w:r>
      <w:r w:rsidRPr="009D48A5">
        <w:rPr>
          <w:lang w:val="zh-CN"/>
        </w:rPr>
        <w:t>第</w:t>
      </w:r>
      <w:r w:rsidRPr="009D48A5">
        <w:rPr>
          <w:lang w:val="zh-CN"/>
        </w:rPr>
        <w:t>59</w:t>
      </w:r>
      <w:r w:rsidRPr="009D48A5">
        <w:rPr>
          <w:lang w:val="zh-CN"/>
        </w:rPr>
        <w:t>段</w:t>
      </w:r>
      <w:r>
        <w:rPr>
          <w:lang w:val="zh-CN"/>
        </w:rPr>
        <w:t>(</w:t>
      </w:r>
      <w:r w:rsidRPr="009D48A5">
        <w:rPr>
          <w:lang w:val="zh-CN"/>
        </w:rPr>
        <w:t>1969</w:t>
      </w:r>
      <w:r w:rsidRPr="009D48A5">
        <w:rPr>
          <w:lang w:val="zh-CN"/>
        </w:rPr>
        <w:t>年《维也纳公约》第三十一条至第三十二条</w:t>
      </w:r>
      <w:r>
        <w:rPr>
          <w:lang w:val="zh-CN"/>
        </w:rPr>
        <w:t>)</w:t>
      </w:r>
      <w:r w:rsidRPr="009D48A5">
        <w:rPr>
          <w:lang w:val="zh-CN"/>
        </w:rPr>
        <w:t>。</w:t>
      </w:r>
    </w:p>
  </w:footnote>
  <w:footnote w:id="405">
    <w:p w:rsidR="00AB00DE" w:rsidRPr="009D48A5" w:rsidRDefault="00AB00DE" w:rsidP="00B81C40">
      <w:pPr>
        <w:pStyle w:val="a4"/>
      </w:pPr>
      <w:r w:rsidRPr="009D48A5">
        <w:rPr>
          <w:lang w:val="zh-CN"/>
        </w:rPr>
        <w:tab/>
      </w:r>
      <w:r w:rsidRPr="00DF5565">
        <w:rPr>
          <w:rStyle w:val="a5"/>
          <w:szCs w:val="22"/>
          <w:lang w:val="zh-CN"/>
        </w:rPr>
        <w:footnoteRef/>
      </w:r>
      <w:r w:rsidRPr="009D48A5">
        <w:rPr>
          <w:lang w:val="zh-CN"/>
        </w:rPr>
        <w:tab/>
      </w:r>
      <w:r w:rsidRPr="009D48A5">
        <w:rPr>
          <w:rFonts w:ascii="Time New Roman" w:eastAsia="楷体" w:hAnsi="Time New Roman"/>
          <w:lang w:val="zh-CN"/>
        </w:rPr>
        <w:t>拉格朗案</w:t>
      </w:r>
      <w:r>
        <w:rPr>
          <w:lang w:val="zh-CN"/>
        </w:rPr>
        <w:t>(</w:t>
      </w:r>
      <w:r w:rsidRPr="009D48A5">
        <w:rPr>
          <w:lang w:val="zh-CN"/>
        </w:rPr>
        <w:t>见</w:t>
      </w:r>
      <w:r>
        <w:rPr>
          <w:lang w:val="zh-CN"/>
        </w:rPr>
        <w:t>上文脚注</w:t>
      </w:r>
      <w:r>
        <w:rPr>
          <w:lang w:val="zh-CN"/>
        </w:rPr>
        <w:fldChar w:fldCharType="begin"/>
      </w:r>
      <w:r>
        <w:rPr>
          <w:lang w:val="zh-CN"/>
        </w:rPr>
        <w:instrText xml:space="preserve"> NOTEREF _Ref461971066 \h </w:instrText>
      </w:r>
      <w:r>
        <w:rPr>
          <w:lang w:val="zh-CN"/>
        </w:rPr>
      </w:r>
      <w:r>
        <w:rPr>
          <w:lang w:val="zh-CN"/>
        </w:rPr>
        <w:fldChar w:fldCharType="separate"/>
      </w:r>
      <w:r w:rsidR="00A73EB9">
        <w:rPr>
          <w:lang w:val="zh-CN"/>
        </w:rPr>
        <w:t>395</w:t>
      </w:r>
      <w:r>
        <w:rPr>
          <w:lang w:val="zh-CN"/>
        </w:rPr>
        <w:fldChar w:fldCharType="end"/>
      </w:r>
      <w:r>
        <w:rPr>
          <w:lang w:val="zh-CN"/>
        </w:rPr>
        <w:t>)</w:t>
      </w:r>
      <w:r>
        <w:rPr>
          <w:lang w:val="zh-CN"/>
        </w:rPr>
        <w:t>，</w:t>
      </w:r>
      <w:r w:rsidRPr="009D48A5">
        <w:t>第</w:t>
      </w:r>
      <w:r w:rsidRPr="009D48A5">
        <w:t>502</w:t>
      </w:r>
      <w:r w:rsidRPr="009D48A5">
        <w:rPr>
          <w:lang w:val="zh-CN"/>
        </w:rPr>
        <w:t>页</w:t>
      </w:r>
      <w:r>
        <w:rPr>
          <w:lang w:val="zh-CN"/>
        </w:rPr>
        <w:t>，</w:t>
      </w:r>
      <w:r w:rsidRPr="009D48A5">
        <w:rPr>
          <w:lang w:val="zh-CN"/>
        </w:rPr>
        <w:t>第</w:t>
      </w:r>
      <w:r w:rsidRPr="009D48A5">
        <w:rPr>
          <w:lang w:val="zh-CN"/>
        </w:rPr>
        <w:t>101</w:t>
      </w:r>
      <w:r w:rsidRPr="009D48A5">
        <w:rPr>
          <w:lang w:val="zh-CN"/>
        </w:rPr>
        <w:t>段</w:t>
      </w:r>
      <w:r w:rsidRPr="009D48A5">
        <w:rPr>
          <w:rFonts w:hint="eastAsia"/>
          <w:lang w:val="zh-CN"/>
        </w:rPr>
        <w:t>。</w:t>
      </w:r>
    </w:p>
  </w:footnote>
  <w:footnote w:id="406">
    <w:p w:rsidR="00AB00DE" w:rsidRPr="009D48A5" w:rsidRDefault="00AB00DE" w:rsidP="00B81C40">
      <w:pPr>
        <w:pStyle w:val="a4"/>
      </w:pPr>
      <w:r w:rsidRPr="009D48A5">
        <w:rPr>
          <w:lang w:val="zh-CN"/>
        </w:rPr>
        <w:tab/>
      </w:r>
      <w:r w:rsidRPr="00DF5565">
        <w:rPr>
          <w:rStyle w:val="a5"/>
          <w:szCs w:val="22"/>
          <w:lang w:val="zh-CN"/>
        </w:rPr>
        <w:footnoteRef/>
      </w:r>
      <w:r w:rsidRPr="009D48A5">
        <w:rPr>
          <w:lang w:val="zh-CN"/>
        </w:rPr>
        <w:tab/>
      </w:r>
      <w:r w:rsidRPr="009D48A5">
        <w:rPr>
          <w:rFonts w:ascii="Time New Roman" w:eastAsia="楷体" w:hAnsi="Time New Roman"/>
          <w:lang w:val="zh-CN"/>
        </w:rPr>
        <w:t>卡西基里</w:t>
      </w:r>
      <w:r>
        <w:rPr>
          <w:rFonts w:ascii="Time New Roman" w:eastAsia="楷体" w:hAnsi="Time New Roman"/>
          <w:lang w:val="zh-CN"/>
        </w:rPr>
        <w:t>/</w:t>
      </w:r>
      <w:r w:rsidRPr="009D48A5">
        <w:rPr>
          <w:rFonts w:ascii="Time New Roman" w:eastAsia="楷体" w:hAnsi="Time New Roman"/>
          <w:lang w:val="zh-CN"/>
        </w:rPr>
        <w:t>塞杜杜岛案</w:t>
      </w:r>
      <w:r>
        <w:rPr>
          <w:lang w:val="zh-CN"/>
        </w:rPr>
        <w:t>(</w:t>
      </w:r>
      <w:r w:rsidRPr="009D48A5">
        <w:rPr>
          <w:lang w:val="zh-CN"/>
        </w:rPr>
        <w:t>见</w:t>
      </w:r>
      <w:r>
        <w:t>上文脚注</w:t>
      </w:r>
      <w:r>
        <w:rPr>
          <w:lang w:val="zh-CN"/>
        </w:rPr>
        <w:fldChar w:fldCharType="begin"/>
      </w:r>
      <w:r>
        <w:rPr>
          <w:lang w:val="zh-CN"/>
        </w:rPr>
        <w:instrText xml:space="preserve"> NOTEREF _Ref461971066 \h </w:instrText>
      </w:r>
      <w:r>
        <w:rPr>
          <w:lang w:val="zh-CN"/>
        </w:rPr>
      </w:r>
      <w:r>
        <w:rPr>
          <w:lang w:val="zh-CN"/>
        </w:rPr>
        <w:fldChar w:fldCharType="separate"/>
      </w:r>
      <w:r w:rsidR="00A73EB9">
        <w:rPr>
          <w:lang w:val="zh-CN"/>
        </w:rPr>
        <w:t>395</w:t>
      </w:r>
      <w:r>
        <w:rPr>
          <w:lang w:val="zh-CN"/>
        </w:rPr>
        <w:fldChar w:fldCharType="end"/>
      </w:r>
      <w:r>
        <w:t>)</w:t>
      </w:r>
      <w:r>
        <w:rPr>
          <w:lang w:val="zh-CN"/>
        </w:rPr>
        <w:t>，</w:t>
      </w:r>
      <w:r w:rsidRPr="009D48A5">
        <w:rPr>
          <w:lang w:val="zh-CN"/>
        </w:rPr>
        <w:t>第</w:t>
      </w:r>
      <w:r w:rsidRPr="009D48A5">
        <w:rPr>
          <w:lang w:val="zh-CN"/>
        </w:rPr>
        <w:t>1062</w:t>
      </w:r>
      <w:r w:rsidRPr="009D48A5">
        <w:rPr>
          <w:lang w:val="zh-CN"/>
        </w:rPr>
        <w:t>页</w:t>
      </w:r>
      <w:r>
        <w:rPr>
          <w:lang w:val="zh-CN"/>
        </w:rPr>
        <w:t>，</w:t>
      </w:r>
      <w:r w:rsidRPr="009D48A5">
        <w:rPr>
          <w:lang w:val="zh-CN"/>
        </w:rPr>
        <w:t>第</w:t>
      </w:r>
      <w:r w:rsidRPr="009D48A5">
        <w:rPr>
          <w:lang w:val="zh-CN"/>
        </w:rPr>
        <w:t>25</w:t>
      </w:r>
      <w:r w:rsidRPr="009D48A5">
        <w:rPr>
          <w:lang w:val="zh-CN"/>
        </w:rPr>
        <w:t>段</w:t>
      </w:r>
      <w:r>
        <w:rPr>
          <w:lang w:val="zh-CN"/>
        </w:rPr>
        <w:t>；</w:t>
      </w:r>
      <w:r w:rsidRPr="009D48A5">
        <w:rPr>
          <w:lang w:val="zh-CN"/>
        </w:rPr>
        <w:t>法院可能仅仅因当事国未对适用这一规定表示异议而适用了这一规定。</w:t>
      </w:r>
    </w:p>
  </w:footnote>
  <w:footnote w:id="407">
    <w:p w:rsidR="00AB00DE" w:rsidRPr="009D48A5" w:rsidRDefault="00AB00DE" w:rsidP="008D7906">
      <w:pPr>
        <w:pStyle w:val="a4"/>
      </w:pPr>
      <w:r w:rsidRPr="009D48A5">
        <w:rPr>
          <w:lang w:val="zh-CN"/>
        </w:rPr>
        <w:tab/>
      </w:r>
      <w:r w:rsidRPr="00DF5565">
        <w:rPr>
          <w:rStyle w:val="a5"/>
          <w:szCs w:val="22"/>
          <w:lang w:val="zh-CN"/>
        </w:rPr>
        <w:footnoteRef/>
      </w:r>
      <w:r w:rsidRPr="009D48A5">
        <w:rPr>
          <w:lang w:val="zh-CN"/>
        </w:rPr>
        <w:tab/>
      </w:r>
      <w:r w:rsidRPr="009D48A5">
        <w:rPr>
          <w:rFonts w:hint="eastAsia"/>
          <w:lang w:val="zh-CN"/>
        </w:rPr>
        <w:t>世贸组织上诉机构报告</w:t>
      </w:r>
      <w:r>
        <w:rPr>
          <w:lang w:val="zh-CN"/>
        </w:rPr>
        <w:t>，</w:t>
      </w:r>
      <w:r w:rsidRPr="009D48A5">
        <w:rPr>
          <w:rFonts w:ascii="Time New Roman" w:eastAsia="楷体" w:hAnsi="Time New Roman"/>
          <w:lang w:val="zh-CN"/>
        </w:rPr>
        <w:t>美国－对加拿大的某些软木木材反倾销关税最终裁断</w:t>
      </w:r>
      <w:r w:rsidRPr="009D48A5">
        <w:rPr>
          <w:rFonts w:ascii="Time New Roman" w:eastAsia="楷体" w:hAnsi="Time New Roman" w:hint="eastAsia"/>
          <w:lang w:val="zh-CN"/>
        </w:rPr>
        <w:t>案</w:t>
      </w:r>
      <w:r>
        <w:rPr>
          <w:rFonts w:ascii="Time New Roman" w:eastAsia="楷体" w:hAnsi="Time New Roman"/>
          <w:lang w:val="zh-CN"/>
        </w:rPr>
        <w:t>(</w:t>
      </w:r>
      <w:r w:rsidRPr="009D48A5">
        <w:rPr>
          <w:rFonts w:ascii="Time New Roman" w:eastAsia="楷体" w:hAnsi="Time New Roman"/>
          <w:lang w:val="zh-CN"/>
        </w:rPr>
        <w:t>美国－软木木材案</w:t>
      </w:r>
      <w:r>
        <w:rPr>
          <w:rFonts w:ascii="Time New Roman" w:eastAsia="楷体" w:hAnsi="Time New Roman" w:hint="eastAsia"/>
          <w:lang w:val="zh-CN"/>
        </w:rPr>
        <w:t>(</w:t>
      </w:r>
      <w:r w:rsidRPr="009D48A5">
        <w:rPr>
          <w:rFonts w:ascii="Time New Roman" w:eastAsia="楷体" w:hAnsi="Time New Roman" w:hint="eastAsia"/>
          <w:lang w:val="zh-CN"/>
        </w:rPr>
        <w:t>四</w:t>
      </w:r>
      <w:r>
        <w:rPr>
          <w:rFonts w:ascii="Time New Roman" w:eastAsia="楷体" w:hAnsi="Time New Roman" w:hint="eastAsia"/>
          <w:lang w:val="zh-CN"/>
        </w:rPr>
        <w:t>)</w:t>
      </w:r>
      <w:r>
        <w:rPr>
          <w:rFonts w:ascii="Time New Roman" w:eastAsia="楷体" w:hAnsi="Time New Roman"/>
          <w:lang w:val="zh-CN"/>
        </w:rPr>
        <w:t>)</w:t>
      </w:r>
      <w:r>
        <w:rPr>
          <w:lang w:val="zh-CN"/>
        </w:rPr>
        <w:t>，</w:t>
      </w:r>
      <w:r w:rsidRPr="009D48A5">
        <w:rPr>
          <w:lang w:val="zh-CN"/>
        </w:rPr>
        <w:t>WT</w:t>
      </w:r>
      <w:r>
        <w:rPr>
          <w:lang w:val="zh-CN"/>
        </w:rPr>
        <w:t>/</w:t>
      </w:r>
      <w:r w:rsidRPr="009D48A5">
        <w:rPr>
          <w:lang w:val="zh-CN"/>
        </w:rPr>
        <w:t>DS257</w:t>
      </w:r>
      <w:r>
        <w:rPr>
          <w:lang w:val="zh-CN"/>
        </w:rPr>
        <w:t>/</w:t>
      </w:r>
      <w:r w:rsidRPr="009D48A5">
        <w:rPr>
          <w:lang w:val="zh-CN"/>
        </w:rPr>
        <w:t>AB</w:t>
      </w:r>
      <w:r>
        <w:rPr>
          <w:lang w:val="zh-CN"/>
        </w:rPr>
        <w:t xml:space="preserve">/R, </w:t>
      </w:r>
      <w:r w:rsidRPr="009D48A5">
        <w:rPr>
          <w:lang w:val="zh-CN"/>
        </w:rPr>
        <w:t>2004</w:t>
      </w:r>
      <w:r w:rsidRPr="009D48A5">
        <w:rPr>
          <w:lang w:val="zh-CN"/>
        </w:rPr>
        <w:t>年</w:t>
      </w:r>
      <w:r w:rsidRPr="009D48A5">
        <w:rPr>
          <w:lang w:val="zh-CN"/>
        </w:rPr>
        <w:t>2</w:t>
      </w:r>
      <w:r w:rsidRPr="009D48A5">
        <w:rPr>
          <w:lang w:val="zh-CN"/>
        </w:rPr>
        <w:t>月</w:t>
      </w:r>
      <w:r w:rsidRPr="009D48A5">
        <w:rPr>
          <w:lang w:val="zh-CN"/>
        </w:rPr>
        <w:t>17</w:t>
      </w:r>
      <w:r w:rsidRPr="009D48A5">
        <w:rPr>
          <w:lang w:val="zh-CN"/>
        </w:rPr>
        <w:t>日通过</w:t>
      </w:r>
      <w:r>
        <w:rPr>
          <w:lang w:val="zh-CN"/>
        </w:rPr>
        <w:t>，</w:t>
      </w:r>
      <w:r w:rsidRPr="009D48A5">
        <w:rPr>
          <w:lang w:val="zh-CN"/>
        </w:rPr>
        <w:t>第</w:t>
      </w:r>
      <w:r w:rsidRPr="009D48A5">
        <w:rPr>
          <w:lang w:val="zh-CN"/>
        </w:rPr>
        <w:t>59</w:t>
      </w:r>
      <w:r w:rsidRPr="009D48A5">
        <w:rPr>
          <w:lang w:val="zh-CN"/>
        </w:rPr>
        <w:t>段</w:t>
      </w:r>
      <w:r>
        <w:rPr>
          <w:lang w:val="zh-CN"/>
        </w:rPr>
        <w:t>(</w:t>
      </w:r>
      <w:r w:rsidRPr="009D48A5">
        <w:rPr>
          <w:lang w:val="zh-CN"/>
        </w:rPr>
        <w:t>1969</w:t>
      </w:r>
      <w:r w:rsidRPr="009D48A5">
        <w:rPr>
          <w:lang w:val="zh-CN"/>
        </w:rPr>
        <w:t>年《维也纳公约》第三十三条第三款</w:t>
      </w:r>
      <w:r>
        <w:rPr>
          <w:lang w:val="zh-CN"/>
        </w:rPr>
        <w:t>)</w:t>
      </w:r>
      <w:r>
        <w:rPr>
          <w:lang w:val="zh-CN"/>
        </w:rPr>
        <w:t>；</w:t>
      </w:r>
      <w:r w:rsidRPr="009D48A5">
        <w:rPr>
          <w:lang w:val="zh-CN"/>
        </w:rPr>
        <w:t>世贸组织上诉机构报告</w:t>
      </w:r>
      <w:r>
        <w:rPr>
          <w:lang w:val="zh-CN"/>
        </w:rPr>
        <w:t>，</w:t>
      </w:r>
      <w:r w:rsidRPr="009D48A5">
        <w:rPr>
          <w:rFonts w:ascii="Time New Roman" w:eastAsia="楷体" w:hAnsi="Time New Roman"/>
          <w:lang w:val="zh-CN"/>
        </w:rPr>
        <w:t>美国－高地棉补贴</w:t>
      </w:r>
      <w:r w:rsidRPr="009D48A5">
        <w:rPr>
          <w:rFonts w:ascii="Time New Roman" w:eastAsia="楷体" w:hAnsi="Time New Roman" w:hint="eastAsia"/>
          <w:lang w:val="zh-CN"/>
        </w:rPr>
        <w:t>案</w:t>
      </w:r>
      <w:r>
        <w:rPr>
          <w:rFonts w:ascii="Time New Roman" w:eastAsia="楷体" w:hAnsi="Time New Roman"/>
          <w:lang w:val="zh-CN"/>
        </w:rPr>
        <w:t>(</w:t>
      </w:r>
      <w:r w:rsidRPr="009D48A5">
        <w:rPr>
          <w:rFonts w:ascii="Time New Roman" w:eastAsia="楷体" w:hAnsi="Time New Roman"/>
          <w:lang w:val="zh-CN"/>
        </w:rPr>
        <w:t>美国－高地棉案</w:t>
      </w:r>
      <w:r>
        <w:rPr>
          <w:rFonts w:ascii="Time New Roman" w:eastAsia="楷体" w:hAnsi="Time New Roman"/>
          <w:lang w:val="zh-CN"/>
        </w:rPr>
        <w:t>)</w:t>
      </w:r>
      <w:r>
        <w:rPr>
          <w:lang w:val="zh-CN"/>
        </w:rPr>
        <w:t>，</w:t>
      </w:r>
      <w:r w:rsidRPr="009D48A5">
        <w:rPr>
          <w:lang w:val="zh-CN"/>
        </w:rPr>
        <w:t>WT</w:t>
      </w:r>
      <w:r>
        <w:rPr>
          <w:lang w:val="zh-CN"/>
        </w:rPr>
        <w:t>/</w:t>
      </w:r>
      <w:r w:rsidRPr="009D48A5">
        <w:rPr>
          <w:lang w:val="zh-CN"/>
        </w:rPr>
        <w:t>DS267</w:t>
      </w:r>
      <w:r>
        <w:rPr>
          <w:lang w:val="zh-CN"/>
        </w:rPr>
        <w:t>/</w:t>
      </w:r>
      <w:r w:rsidRPr="009D48A5">
        <w:rPr>
          <w:lang w:val="zh-CN"/>
        </w:rPr>
        <w:t>AB</w:t>
      </w:r>
      <w:r>
        <w:rPr>
          <w:lang w:val="zh-CN"/>
        </w:rPr>
        <w:t xml:space="preserve">/R, </w:t>
      </w:r>
      <w:r w:rsidRPr="009D48A5">
        <w:rPr>
          <w:lang w:val="zh-CN"/>
        </w:rPr>
        <w:t>2005</w:t>
      </w:r>
      <w:r w:rsidRPr="009D48A5">
        <w:rPr>
          <w:lang w:val="zh-CN"/>
        </w:rPr>
        <w:t>年</w:t>
      </w:r>
      <w:r w:rsidRPr="009D48A5">
        <w:rPr>
          <w:lang w:val="zh-CN"/>
        </w:rPr>
        <w:t>3</w:t>
      </w:r>
      <w:r w:rsidRPr="009D48A5">
        <w:rPr>
          <w:lang w:val="zh-CN"/>
        </w:rPr>
        <w:t>月</w:t>
      </w:r>
      <w:r w:rsidRPr="009D48A5">
        <w:rPr>
          <w:lang w:val="zh-CN"/>
        </w:rPr>
        <w:t>21</w:t>
      </w:r>
      <w:r w:rsidRPr="009D48A5">
        <w:rPr>
          <w:lang w:val="zh-CN"/>
        </w:rPr>
        <w:t>日通过</w:t>
      </w:r>
      <w:r>
        <w:rPr>
          <w:lang w:val="zh-CN"/>
        </w:rPr>
        <w:t>，</w:t>
      </w:r>
      <w:r w:rsidRPr="009D48A5">
        <w:rPr>
          <w:lang w:val="zh-CN"/>
        </w:rPr>
        <w:t>第</w:t>
      </w:r>
      <w:r w:rsidRPr="009D48A5">
        <w:rPr>
          <w:lang w:val="zh-CN"/>
        </w:rPr>
        <w:t>424</w:t>
      </w:r>
      <w:r w:rsidRPr="009D48A5">
        <w:rPr>
          <w:lang w:val="zh-CN"/>
        </w:rPr>
        <w:t>段</w:t>
      </w:r>
      <w:r>
        <w:rPr>
          <w:lang w:val="zh-CN"/>
        </w:rPr>
        <w:t>，</w:t>
      </w:r>
      <w:r w:rsidRPr="009D48A5">
        <w:rPr>
          <w:lang w:val="zh-CN"/>
        </w:rPr>
        <w:t>上诉机构适用并明确提到</w:t>
      </w:r>
      <w:r w:rsidRPr="009D48A5">
        <w:rPr>
          <w:lang w:val="zh-CN"/>
        </w:rPr>
        <w:t>1969</w:t>
      </w:r>
      <w:r w:rsidRPr="009D48A5">
        <w:rPr>
          <w:lang w:val="zh-CN"/>
        </w:rPr>
        <w:t>年《维也纳公约》第三十三条第三款</w:t>
      </w:r>
      <w:r>
        <w:rPr>
          <w:lang w:val="zh-CN"/>
        </w:rPr>
        <w:t>，</w:t>
      </w:r>
      <w:r w:rsidRPr="009D48A5">
        <w:rPr>
          <w:lang w:val="zh-CN"/>
        </w:rPr>
        <w:t>而没有表明其习惯</w:t>
      </w:r>
      <w:r w:rsidRPr="009D48A5">
        <w:rPr>
          <w:rFonts w:hint="eastAsia"/>
          <w:lang w:val="zh-CN"/>
        </w:rPr>
        <w:t>法</w:t>
      </w:r>
      <w:r w:rsidRPr="009D48A5">
        <w:rPr>
          <w:lang w:val="zh-CN"/>
        </w:rPr>
        <w:t>地位</w:t>
      </w:r>
      <w:r>
        <w:rPr>
          <w:lang w:val="zh-CN"/>
        </w:rPr>
        <w:t>；</w:t>
      </w:r>
      <w:r w:rsidRPr="009D48A5">
        <w:rPr>
          <w:lang w:val="zh-CN"/>
        </w:rPr>
        <w:t>世贸组织上诉机构报告</w:t>
      </w:r>
      <w:r>
        <w:rPr>
          <w:lang w:val="zh-CN"/>
        </w:rPr>
        <w:t>，</w:t>
      </w:r>
      <w:r w:rsidRPr="009D48A5">
        <w:rPr>
          <w:rFonts w:ascii="Time New Roman" w:eastAsia="楷体" w:hAnsi="Time New Roman"/>
          <w:lang w:val="zh-CN"/>
        </w:rPr>
        <w:t>智利－某些农产品的价格幅度制度和保障措施</w:t>
      </w:r>
      <w:r w:rsidRPr="009D48A5">
        <w:rPr>
          <w:rFonts w:ascii="Time New Roman" w:eastAsia="楷体" w:hAnsi="Time New Roman" w:hint="eastAsia"/>
          <w:lang w:val="zh-CN"/>
        </w:rPr>
        <w:t>案</w:t>
      </w:r>
      <w:r>
        <w:rPr>
          <w:lang w:val="zh-CN"/>
        </w:rPr>
        <w:t>，</w:t>
      </w:r>
      <w:r w:rsidRPr="009D48A5">
        <w:rPr>
          <w:lang w:val="zh-CN"/>
        </w:rPr>
        <w:t>WT</w:t>
      </w:r>
      <w:r>
        <w:rPr>
          <w:lang w:val="zh-CN"/>
        </w:rPr>
        <w:t>/</w:t>
      </w:r>
      <w:r w:rsidRPr="009D48A5">
        <w:rPr>
          <w:lang w:val="zh-CN"/>
        </w:rPr>
        <w:t>DS207</w:t>
      </w:r>
      <w:r>
        <w:rPr>
          <w:lang w:val="zh-CN"/>
        </w:rPr>
        <w:t>/</w:t>
      </w:r>
      <w:r w:rsidRPr="009D48A5">
        <w:rPr>
          <w:lang w:val="zh-CN"/>
        </w:rPr>
        <w:t>AB</w:t>
      </w:r>
      <w:r>
        <w:rPr>
          <w:lang w:val="zh-CN"/>
        </w:rPr>
        <w:t>/</w:t>
      </w:r>
      <w:r w:rsidRPr="009D48A5">
        <w:rPr>
          <w:lang w:val="zh-CN"/>
        </w:rPr>
        <w:t>R</w:t>
      </w:r>
      <w:r w:rsidRPr="009D48A5">
        <w:rPr>
          <w:lang w:val="zh-CN"/>
        </w:rPr>
        <w:t>和</w:t>
      </w:r>
      <w:r w:rsidRPr="009D48A5">
        <w:rPr>
          <w:lang w:val="zh-CN"/>
        </w:rPr>
        <w:t>Corr.</w:t>
      </w:r>
      <w:r>
        <w:rPr>
          <w:lang w:val="zh-CN"/>
        </w:rPr>
        <w:t>1,</w:t>
      </w:r>
      <w:r w:rsidRPr="009D48A5">
        <w:rPr>
          <w:lang w:val="zh-CN"/>
        </w:rPr>
        <w:t xml:space="preserve"> 2002</w:t>
      </w:r>
      <w:r w:rsidRPr="009D48A5">
        <w:rPr>
          <w:lang w:val="zh-CN"/>
        </w:rPr>
        <w:t>年</w:t>
      </w:r>
      <w:r w:rsidRPr="009D48A5">
        <w:rPr>
          <w:lang w:val="zh-CN"/>
        </w:rPr>
        <w:t>10</w:t>
      </w:r>
      <w:r w:rsidRPr="009D48A5">
        <w:rPr>
          <w:lang w:val="zh-CN"/>
        </w:rPr>
        <w:t>月</w:t>
      </w:r>
      <w:r w:rsidRPr="009D48A5">
        <w:rPr>
          <w:lang w:val="zh-CN"/>
        </w:rPr>
        <w:t>23</w:t>
      </w:r>
      <w:r w:rsidRPr="009D48A5">
        <w:rPr>
          <w:lang w:val="zh-CN"/>
        </w:rPr>
        <w:t>日通过</w:t>
      </w:r>
      <w:r>
        <w:rPr>
          <w:lang w:val="zh-CN"/>
        </w:rPr>
        <w:t>，</w:t>
      </w:r>
      <w:r w:rsidRPr="009D48A5">
        <w:rPr>
          <w:lang w:val="zh-CN"/>
        </w:rPr>
        <w:t>第</w:t>
      </w:r>
      <w:r w:rsidRPr="009D48A5">
        <w:rPr>
          <w:lang w:val="zh-CN"/>
        </w:rPr>
        <w:t>271</w:t>
      </w:r>
      <w:r w:rsidRPr="009D48A5">
        <w:rPr>
          <w:lang w:val="zh-CN"/>
        </w:rPr>
        <w:t>段</w:t>
      </w:r>
      <w:r>
        <w:rPr>
          <w:lang w:val="zh-CN"/>
        </w:rPr>
        <w:t>(</w:t>
      </w:r>
      <w:r w:rsidRPr="009D48A5">
        <w:rPr>
          <w:lang w:val="zh-CN"/>
        </w:rPr>
        <w:t>1969</w:t>
      </w:r>
      <w:r w:rsidRPr="009D48A5">
        <w:rPr>
          <w:lang w:val="zh-CN"/>
        </w:rPr>
        <w:t>年《维也纳公约》第三十三条第四款</w:t>
      </w:r>
      <w:r>
        <w:rPr>
          <w:lang w:val="zh-CN"/>
        </w:rPr>
        <w:t>)</w:t>
      </w:r>
      <w:r w:rsidRPr="009D48A5">
        <w:rPr>
          <w:lang w:val="zh-CN"/>
        </w:rPr>
        <w:t>。</w:t>
      </w:r>
    </w:p>
  </w:footnote>
  <w:footnote w:id="408">
    <w:p w:rsidR="00AB00DE" w:rsidRPr="009D48A5" w:rsidRDefault="00AB00DE" w:rsidP="008D7906">
      <w:pPr>
        <w:pStyle w:val="a4"/>
      </w:pPr>
      <w:r w:rsidRPr="009D48A5">
        <w:rPr>
          <w:lang w:val="zh-CN"/>
        </w:rPr>
        <w:tab/>
      </w:r>
      <w:r w:rsidRPr="00DF5565">
        <w:rPr>
          <w:rStyle w:val="a5"/>
          <w:szCs w:val="22"/>
          <w:lang w:val="zh-CN"/>
        </w:rPr>
        <w:footnoteRef/>
      </w:r>
      <w:r w:rsidRPr="009D48A5">
        <w:rPr>
          <w:lang w:val="zh-CN"/>
        </w:rPr>
        <w:tab/>
      </w:r>
      <w:r w:rsidRPr="009D48A5">
        <w:rPr>
          <w:rFonts w:ascii="Time New Roman" w:eastAsia="楷体" w:hAnsi="Time New Roman"/>
          <w:lang w:val="zh-CN"/>
        </w:rPr>
        <w:t>关于</w:t>
      </w:r>
      <w:r w:rsidRPr="009D48A5">
        <w:rPr>
          <w:rFonts w:ascii="Time New Roman" w:eastAsia="楷体" w:hAnsi="Time New Roman"/>
          <w:lang w:val="zh-CN"/>
        </w:rPr>
        <w:t>1961</w:t>
      </w:r>
      <w:r w:rsidRPr="009D48A5">
        <w:rPr>
          <w:rFonts w:ascii="Time New Roman" w:eastAsia="楷体" w:hAnsi="Time New Roman"/>
          <w:lang w:val="zh-CN"/>
        </w:rPr>
        <w:t>年和</w:t>
      </w:r>
      <w:r w:rsidRPr="009D48A5">
        <w:rPr>
          <w:rFonts w:ascii="Time New Roman" w:eastAsia="楷体" w:hAnsi="Time New Roman"/>
          <w:lang w:val="zh-CN"/>
        </w:rPr>
        <w:t>1969</w:t>
      </w:r>
      <w:r w:rsidRPr="009D48A5">
        <w:rPr>
          <w:rFonts w:ascii="Time New Roman" w:eastAsia="楷体" w:hAnsi="Time New Roman"/>
          <w:lang w:val="zh-CN"/>
        </w:rPr>
        <w:t>年德国马克升值是否构成适用</w:t>
      </w:r>
      <w:r w:rsidRPr="009D48A5">
        <w:rPr>
          <w:rFonts w:ascii="Time New Roman" w:eastAsia="楷体" w:hAnsi="Time New Roman"/>
          <w:lang w:val="zh-CN"/>
        </w:rPr>
        <w:t>1953</w:t>
      </w:r>
      <w:r w:rsidRPr="009D48A5">
        <w:rPr>
          <w:rFonts w:ascii="Time New Roman" w:eastAsia="楷体" w:hAnsi="Time New Roman"/>
          <w:lang w:val="zh-CN"/>
        </w:rPr>
        <w:t>年比利时、法国、瑞士、大不列颠及北爱尔兰联合王国和美利坚合众国一方与德意志联邦共和国一方《关于德国外债的协定》附件一</w:t>
      </w:r>
      <w:r w:rsidRPr="009D48A5">
        <w:rPr>
          <w:rFonts w:ascii="Time New Roman" w:eastAsia="楷体" w:hAnsi="Time New Roman"/>
          <w:lang w:val="zh-CN"/>
        </w:rPr>
        <w:t>A</w:t>
      </w:r>
      <w:r w:rsidRPr="009D48A5">
        <w:rPr>
          <w:rFonts w:ascii="Time New Roman" w:eastAsia="楷体" w:hAnsi="Time New Roman"/>
          <w:lang w:val="zh-CN"/>
        </w:rPr>
        <w:t>第</w:t>
      </w:r>
      <w:r w:rsidRPr="009D48A5">
        <w:rPr>
          <w:rFonts w:ascii="Time New Roman" w:eastAsia="楷体" w:hAnsi="Time New Roman"/>
          <w:lang w:val="zh-CN"/>
        </w:rPr>
        <w:t>2</w:t>
      </w:r>
      <w:r w:rsidRPr="009D48A5">
        <w:rPr>
          <w:rFonts w:ascii="Time New Roman" w:eastAsia="楷体" w:hAnsi="Time New Roman"/>
          <w:lang w:val="zh-CN"/>
        </w:rPr>
        <w:t>条</w:t>
      </w:r>
      <w:r>
        <w:rPr>
          <w:rFonts w:ascii="Time New Roman" w:eastAsia="楷体" w:hAnsi="Time New Roman"/>
          <w:lang w:val="zh-CN"/>
        </w:rPr>
        <w:t>(</w:t>
      </w:r>
      <w:r w:rsidRPr="009D48A5">
        <w:rPr>
          <w:rFonts w:ascii="Time New Roman" w:eastAsia="楷体" w:hAnsi="Time New Roman"/>
          <w:lang w:val="zh-CN"/>
        </w:rPr>
        <w:t>e</w:t>
      </w:r>
      <w:r>
        <w:rPr>
          <w:rFonts w:ascii="Time New Roman" w:eastAsia="楷体" w:hAnsi="Time New Roman"/>
          <w:lang w:val="zh-CN"/>
        </w:rPr>
        <w:t>)</w:t>
      </w:r>
      <w:r w:rsidRPr="009D48A5">
        <w:rPr>
          <w:rFonts w:ascii="Time New Roman" w:eastAsia="楷体" w:hAnsi="Time New Roman"/>
          <w:lang w:val="zh-CN"/>
        </w:rPr>
        <w:t>项条款问题案</w:t>
      </w:r>
      <w:r>
        <w:rPr>
          <w:lang w:val="zh-CN"/>
        </w:rPr>
        <w:t>，</w:t>
      </w:r>
      <w:r w:rsidRPr="009D48A5">
        <w:rPr>
          <w:lang w:val="zh-CN"/>
        </w:rPr>
        <w:t>1980</w:t>
      </w:r>
      <w:r w:rsidRPr="009D48A5">
        <w:rPr>
          <w:lang w:val="zh-CN"/>
        </w:rPr>
        <w:t>年</w:t>
      </w:r>
      <w:r w:rsidRPr="009D48A5">
        <w:rPr>
          <w:lang w:val="zh-CN"/>
        </w:rPr>
        <w:t>5</w:t>
      </w:r>
      <w:r w:rsidRPr="009D48A5">
        <w:rPr>
          <w:lang w:val="zh-CN"/>
        </w:rPr>
        <w:t>月</w:t>
      </w:r>
      <w:r w:rsidRPr="009D48A5">
        <w:rPr>
          <w:lang w:val="zh-CN"/>
        </w:rPr>
        <w:t>16</w:t>
      </w:r>
      <w:r w:rsidRPr="009D48A5">
        <w:rPr>
          <w:lang w:val="zh-CN"/>
        </w:rPr>
        <w:t>日的裁决</w:t>
      </w:r>
      <w:r>
        <w:rPr>
          <w:lang w:val="zh-CN"/>
        </w:rPr>
        <w:t>，</w:t>
      </w:r>
      <w:r w:rsidRPr="009D48A5">
        <w:rPr>
          <w:lang w:val="zh-CN"/>
        </w:rPr>
        <w:t>《国际仲裁裁决汇编》</w:t>
      </w:r>
      <w:r>
        <w:rPr>
          <w:lang w:val="zh-CN"/>
        </w:rPr>
        <w:t>，</w:t>
      </w:r>
      <w:r w:rsidRPr="009D48A5">
        <w:rPr>
          <w:lang w:val="zh-CN"/>
        </w:rPr>
        <w:t>第十九卷</w:t>
      </w:r>
      <w:r>
        <w:rPr>
          <w:lang w:val="zh-CN"/>
        </w:rPr>
        <w:t>(</w:t>
      </w:r>
      <w:r w:rsidRPr="009D48A5">
        <w:rPr>
          <w:lang w:val="zh-CN"/>
        </w:rPr>
        <w:t>出售品编号</w:t>
      </w:r>
      <w:r w:rsidRPr="009D48A5">
        <w:rPr>
          <w:lang w:val="zh-CN"/>
        </w:rPr>
        <w:t>E</w:t>
      </w:r>
      <w:r>
        <w:rPr>
          <w:lang w:val="zh-CN"/>
        </w:rPr>
        <w:t>/</w:t>
      </w:r>
      <w:r w:rsidRPr="009D48A5">
        <w:rPr>
          <w:lang w:val="zh-CN"/>
        </w:rPr>
        <w:t>F.9</w:t>
      </w:r>
      <w:r>
        <w:rPr>
          <w:lang w:val="zh-CN"/>
        </w:rPr>
        <w:t>0.</w:t>
      </w:r>
      <w:r w:rsidRPr="009D48A5">
        <w:rPr>
          <w:lang w:val="zh-CN"/>
        </w:rPr>
        <w:t>V.7</w:t>
      </w:r>
      <w:r>
        <w:rPr>
          <w:lang w:val="zh-CN"/>
        </w:rPr>
        <w:t>)</w:t>
      </w:r>
      <w:r>
        <w:rPr>
          <w:lang w:val="zh-CN"/>
        </w:rPr>
        <w:t>，</w:t>
      </w:r>
      <w:r w:rsidRPr="009D48A5">
        <w:rPr>
          <w:lang w:val="zh-CN"/>
        </w:rPr>
        <w:t>第</w:t>
      </w:r>
      <w:r w:rsidRPr="009D48A5">
        <w:rPr>
          <w:lang w:val="zh-CN"/>
        </w:rPr>
        <w:t>67-145</w:t>
      </w:r>
      <w:r w:rsidRPr="009D48A5">
        <w:rPr>
          <w:lang w:val="zh-CN"/>
        </w:rPr>
        <w:t>页</w:t>
      </w:r>
      <w:r>
        <w:rPr>
          <w:lang w:val="zh-CN"/>
        </w:rPr>
        <w:t>，</w:t>
      </w:r>
      <w:r w:rsidRPr="009D48A5">
        <w:rPr>
          <w:lang w:val="zh-CN"/>
        </w:rPr>
        <w:t>见第</w:t>
      </w:r>
      <w:r w:rsidRPr="009D48A5">
        <w:rPr>
          <w:lang w:val="zh-CN"/>
        </w:rPr>
        <w:t>67</w:t>
      </w:r>
      <w:r w:rsidRPr="009D48A5">
        <w:rPr>
          <w:lang w:val="zh-CN"/>
        </w:rPr>
        <w:t>页</w:t>
      </w:r>
      <w:r>
        <w:rPr>
          <w:lang w:val="zh-CN"/>
        </w:rPr>
        <w:t>，</w:t>
      </w:r>
      <w:r w:rsidRPr="009D48A5">
        <w:rPr>
          <w:lang w:val="zh-CN"/>
        </w:rPr>
        <w:t>第</w:t>
      </w:r>
      <w:r w:rsidRPr="009D48A5">
        <w:rPr>
          <w:lang w:val="zh-CN"/>
        </w:rPr>
        <w:t>17</w:t>
      </w:r>
      <w:r w:rsidRPr="009D48A5">
        <w:rPr>
          <w:lang w:val="zh-CN"/>
        </w:rPr>
        <w:t>段</w:t>
      </w:r>
      <w:r>
        <w:rPr>
          <w:lang w:val="zh-CN"/>
        </w:rPr>
        <w:t>，</w:t>
      </w:r>
      <w:r w:rsidRPr="009D48A5">
        <w:rPr>
          <w:lang w:val="zh-CN"/>
        </w:rPr>
        <w:t>或《国际法案例汇编》</w:t>
      </w:r>
      <w:r>
        <w:rPr>
          <w:lang w:val="zh-CN"/>
        </w:rPr>
        <w:t>，</w:t>
      </w:r>
      <w:r w:rsidRPr="009D48A5">
        <w:rPr>
          <w:lang w:val="zh-CN"/>
        </w:rPr>
        <w:t>第</w:t>
      </w:r>
      <w:r w:rsidRPr="009D48A5">
        <w:rPr>
          <w:lang w:val="zh-CN"/>
        </w:rPr>
        <w:t>59</w:t>
      </w:r>
      <w:r w:rsidRPr="009D48A5">
        <w:rPr>
          <w:lang w:val="zh-CN"/>
        </w:rPr>
        <w:t>卷</w:t>
      </w:r>
      <w:r>
        <w:rPr>
          <w:lang w:val="zh-CN"/>
        </w:rPr>
        <w:t>(</w:t>
      </w:r>
      <w:r w:rsidRPr="009D48A5">
        <w:rPr>
          <w:lang w:val="zh-CN"/>
        </w:rPr>
        <w:t>1980</w:t>
      </w:r>
      <w:r w:rsidRPr="009D48A5">
        <w:rPr>
          <w:lang w:val="zh-CN"/>
        </w:rPr>
        <w:t>年</w:t>
      </w:r>
      <w:r>
        <w:rPr>
          <w:lang w:val="zh-CN"/>
        </w:rPr>
        <w:t>)</w:t>
      </w:r>
      <w:r>
        <w:rPr>
          <w:lang w:val="zh-CN"/>
        </w:rPr>
        <w:t>，</w:t>
      </w:r>
      <w:r w:rsidRPr="009D48A5">
        <w:rPr>
          <w:lang w:val="zh-CN"/>
        </w:rPr>
        <w:t>第</w:t>
      </w:r>
      <w:r w:rsidRPr="009D48A5">
        <w:rPr>
          <w:lang w:val="zh-CN"/>
        </w:rPr>
        <w:t>494</w:t>
      </w:r>
      <w:r w:rsidRPr="009D48A5">
        <w:rPr>
          <w:lang w:val="zh-CN"/>
        </w:rPr>
        <w:t>页</w:t>
      </w:r>
      <w:r>
        <w:rPr>
          <w:lang w:val="zh-CN"/>
        </w:rPr>
        <w:t>，</w:t>
      </w:r>
      <w:r w:rsidRPr="009D48A5">
        <w:rPr>
          <w:lang w:val="zh-CN"/>
        </w:rPr>
        <w:t>第</w:t>
      </w:r>
      <w:r w:rsidRPr="009D48A5">
        <w:rPr>
          <w:lang w:val="zh-CN"/>
        </w:rPr>
        <w:t>17</w:t>
      </w:r>
      <w:r w:rsidRPr="009D48A5">
        <w:rPr>
          <w:lang w:val="zh-CN"/>
        </w:rPr>
        <w:t>段。</w:t>
      </w:r>
    </w:p>
  </w:footnote>
  <w:footnote w:id="409">
    <w:p w:rsidR="00AB00DE" w:rsidRPr="009D48A5" w:rsidRDefault="00AB00DE" w:rsidP="008D7906">
      <w:pPr>
        <w:pStyle w:val="a4"/>
      </w:pPr>
      <w:r w:rsidRPr="009D48A5">
        <w:rPr>
          <w:lang w:val="zh-CN"/>
        </w:rPr>
        <w:tab/>
      </w:r>
      <w:r w:rsidRPr="00DF5565">
        <w:rPr>
          <w:rStyle w:val="a5"/>
          <w:szCs w:val="22"/>
          <w:lang w:val="zh-CN"/>
        </w:rPr>
        <w:footnoteRef/>
      </w:r>
      <w:r w:rsidRPr="009D48A5">
        <w:rPr>
          <w:lang w:val="zh-CN"/>
        </w:rPr>
        <w:tab/>
      </w:r>
      <w:r w:rsidRPr="009D48A5">
        <w:rPr>
          <w:rFonts w:ascii="Time New Roman" w:eastAsia="楷体" w:hAnsi="Time New Roman"/>
          <w:lang w:val="zh-CN"/>
        </w:rPr>
        <w:t>担保个人和实体从事区域内活动的国家所负责任和义务</w:t>
      </w:r>
      <w:r>
        <w:rPr>
          <w:lang w:val="zh-CN"/>
        </w:rPr>
        <w:t>，</w:t>
      </w:r>
      <w:r w:rsidRPr="009D48A5">
        <w:rPr>
          <w:lang w:val="zh-CN"/>
        </w:rPr>
        <w:t>第</w:t>
      </w:r>
      <w:r w:rsidRPr="009D48A5">
        <w:rPr>
          <w:lang w:val="zh-CN"/>
        </w:rPr>
        <w:t>17</w:t>
      </w:r>
      <w:r w:rsidRPr="009D48A5">
        <w:rPr>
          <w:lang w:val="zh-CN"/>
        </w:rPr>
        <w:t>号案件</w:t>
      </w:r>
      <w:r>
        <w:rPr>
          <w:lang w:val="zh-CN"/>
        </w:rPr>
        <w:t>，</w:t>
      </w:r>
      <w:r w:rsidRPr="009D48A5">
        <w:rPr>
          <w:lang w:val="zh-CN"/>
        </w:rPr>
        <w:t>咨询意见</w:t>
      </w:r>
      <w:r>
        <w:rPr>
          <w:lang w:val="zh-CN"/>
        </w:rPr>
        <w:t>，</w:t>
      </w:r>
      <w:r w:rsidRPr="009D48A5">
        <w:rPr>
          <w:lang w:val="zh-CN"/>
        </w:rPr>
        <w:t>2011</w:t>
      </w:r>
      <w:r w:rsidRPr="009D48A5">
        <w:rPr>
          <w:lang w:val="zh-CN"/>
        </w:rPr>
        <w:t>年</w:t>
      </w:r>
      <w:r w:rsidRPr="009D48A5">
        <w:rPr>
          <w:lang w:val="zh-CN"/>
        </w:rPr>
        <w:t>2</w:t>
      </w:r>
      <w:r w:rsidRPr="009D48A5">
        <w:rPr>
          <w:lang w:val="zh-CN"/>
        </w:rPr>
        <w:t>月</w:t>
      </w:r>
      <w:r w:rsidRPr="009D48A5">
        <w:rPr>
          <w:lang w:val="zh-CN"/>
        </w:rPr>
        <w:t>1</w:t>
      </w:r>
      <w:r w:rsidRPr="009D48A5">
        <w:rPr>
          <w:lang w:val="zh-CN"/>
        </w:rPr>
        <w:t>日</w:t>
      </w:r>
      <w:r>
        <w:rPr>
          <w:lang w:val="zh-CN"/>
        </w:rPr>
        <w:t>，</w:t>
      </w:r>
      <w:r w:rsidRPr="009D48A5">
        <w:rPr>
          <w:lang w:val="zh-CN"/>
        </w:rPr>
        <w:t>《</w:t>
      </w:r>
      <w:r w:rsidRPr="009D48A5">
        <w:rPr>
          <w:lang w:val="zh-CN"/>
        </w:rPr>
        <w:t>2011</w:t>
      </w:r>
      <w:r w:rsidRPr="009D48A5">
        <w:rPr>
          <w:lang w:val="zh-CN"/>
        </w:rPr>
        <w:t>年海洋法法庭案例汇编》</w:t>
      </w:r>
      <w:r>
        <w:rPr>
          <w:lang w:val="zh-CN"/>
        </w:rPr>
        <w:t>；</w:t>
      </w:r>
      <w:r w:rsidRPr="009D48A5">
        <w:t>Golder</w:t>
      </w:r>
      <w:r w:rsidRPr="009D48A5">
        <w:rPr>
          <w:rFonts w:ascii="Time New Roman" w:eastAsia="楷体" w:hAnsi="Time New Roman"/>
          <w:lang w:val="zh-CN"/>
        </w:rPr>
        <w:t>诉联合王国</w:t>
      </w:r>
      <w:r>
        <w:rPr>
          <w:lang w:val="zh-CN"/>
        </w:rPr>
        <w:t>，</w:t>
      </w:r>
      <w:r w:rsidRPr="009D48A5">
        <w:rPr>
          <w:lang w:val="zh-CN"/>
        </w:rPr>
        <w:t>第</w:t>
      </w:r>
      <w:r w:rsidRPr="009D48A5">
        <w:rPr>
          <w:lang w:val="zh-CN"/>
        </w:rPr>
        <w:t>4451</w:t>
      </w:r>
      <w:r>
        <w:rPr>
          <w:lang w:val="zh-CN"/>
        </w:rPr>
        <w:t>/</w:t>
      </w:r>
      <w:r w:rsidRPr="009D48A5">
        <w:rPr>
          <w:lang w:val="zh-CN"/>
        </w:rPr>
        <w:t>70</w:t>
      </w:r>
      <w:r w:rsidRPr="009D48A5">
        <w:rPr>
          <w:lang w:val="zh-CN"/>
        </w:rPr>
        <w:t>号</w:t>
      </w:r>
      <w:r>
        <w:rPr>
          <w:lang w:val="zh-CN"/>
        </w:rPr>
        <w:t>，</w:t>
      </w:r>
      <w:r w:rsidRPr="009D48A5">
        <w:rPr>
          <w:lang w:val="zh-CN"/>
        </w:rPr>
        <w:t>1975</w:t>
      </w:r>
      <w:r w:rsidRPr="009D48A5">
        <w:rPr>
          <w:lang w:val="zh-CN"/>
        </w:rPr>
        <w:t>年</w:t>
      </w:r>
      <w:r w:rsidRPr="009D48A5">
        <w:rPr>
          <w:lang w:val="zh-CN"/>
        </w:rPr>
        <w:t>2</w:t>
      </w:r>
      <w:r w:rsidRPr="009D48A5">
        <w:rPr>
          <w:lang w:val="zh-CN"/>
        </w:rPr>
        <w:t>月</w:t>
      </w:r>
      <w:r w:rsidRPr="009D48A5">
        <w:rPr>
          <w:lang w:val="zh-CN"/>
        </w:rPr>
        <w:t>21</w:t>
      </w:r>
      <w:r w:rsidRPr="009D48A5">
        <w:rPr>
          <w:lang w:val="zh-CN"/>
        </w:rPr>
        <w:t>日</w:t>
      </w:r>
      <w:r>
        <w:rPr>
          <w:lang w:val="zh-CN"/>
        </w:rPr>
        <w:t>，</w:t>
      </w:r>
      <w:r w:rsidRPr="009D48A5">
        <w:rPr>
          <w:lang w:val="zh-CN"/>
        </w:rPr>
        <w:t>A</w:t>
      </w:r>
      <w:r w:rsidRPr="009D48A5">
        <w:rPr>
          <w:lang w:val="zh-CN"/>
        </w:rPr>
        <w:t>辑第</w:t>
      </w:r>
      <w:r w:rsidRPr="009D48A5">
        <w:rPr>
          <w:lang w:val="zh-CN"/>
        </w:rPr>
        <w:t>18</w:t>
      </w:r>
      <w:r w:rsidRPr="009D48A5">
        <w:rPr>
          <w:lang w:val="zh-CN"/>
        </w:rPr>
        <w:t>号</w:t>
      </w:r>
      <w:r>
        <w:rPr>
          <w:lang w:val="zh-CN"/>
        </w:rPr>
        <w:t>，</w:t>
      </w:r>
      <w:r w:rsidRPr="009D48A5">
        <w:rPr>
          <w:lang w:val="zh-CN"/>
        </w:rPr>
        <w:t>第</w:t>
      </w:r>
      <w:r w:rsidRPr="009D48A5">
        <w:rPr>
          <w:lang w:val="zh-CN"/>
        </w:rPr>
        <w:t>29</w:t>
      </w:r>
      <w:r w:rsidRPr="009D48A5">
        <w:rPr>
          <w:lang w:val="zh-CN"/>
        </w:rPr>
        <w:t>段</w:t>
      </w:r>
      <w:r>
        <w:rPr>
          <w:lang w:val="zh-CN"/>
        </w:rPr>
        <w:t>；</w:t>
      </w:r>
      <w:r w:rsidRPr="009D48A5">
        <w:rPr>
          <w:lang w:val="zh-CN"/>
        </w:rPr>
        <w:t>Witold Litwa</w:t>
      </w:r>
      <w:r w:rsidRPr="009D48A5">
        <w:rPr>
          <w:rFonts w:ascii="Time New Roman" w:eastAsia="楷体" w:hAnsi="Time New Roman"/>
          <w:lang w:val="zh-CN"/>
        </w:rPr>
        <w:t>诉波兰</w:t>
      </w:r>
      <w:r>
        <w:rPr>
          <w:lang w:val="zh-CN"/>
        </w:rPr>
        <w:t>，</w:t>
      </w:r>
      <w:r w:rsidRPr="009D48A5">
        <w:rPr>
          <w:lang w:val="zh-CN"/>
        </w:rPr>
        <w:t>第</w:t>
      </w:r>
      <w:r w:rsidRPr="009D48A5">
        <w:rPr>
          <w:lang w:val="zh-CN"/>
        </w:rPr>
        <w:t>26629</w:t>
      </w:r>
      <w:r>
        <w:rPr>
          <w:lang w:val="zh-CN"/>
        </w:rPr>
        <w:t>/</w:t>
      </w:r>
      <w:r w:rsidRPr="009D48A5">
        <w:rPr>
          <w:lang w:val="zh-CN"/>
        </w:rPr>
        <w:t>95</w:t>
      </w:r>
      <w:r w:rsidRPr="009D48A5">
        <w:rPr>
          <w:lang w:val="zh-CN"/>
        </w:rPr>
        <w:t>号</w:t>
      </w:r>
      <w:r>
        <w:rPr>
          <w:lang w:val="zh-CN"/>
        </w:rPr>
        <w:t>，</w:t>
      </w:r>
      <w:r w:rsidRPr="009D48A5">
        <w:rPr>
          <w:lang w:val="zh-CN"/>
        </w:rPr>
        <w:t>2000</w:t>
      </w:r>
      <w:r w:rsidRPr="009D48A5">
        <w:rPr>
          <w:lang w:val="zh-CN"/>
        </w:rPr>
        <w:t>年</w:t>
      </w:r>
      <w:r w:rsidRPr="009D48A5">
        <w:rPr>
          <w:lang w:val="zh-CN"/>
        </w:rPr>
        <w:t>4</w:t>
      </w:r>
      <w:r w:rsidRPr="009D48A5">
        <w:rPr>
          <w:lang w:val="zh-CN"/>
        </w:rPr>
        <w:t>月</w:t>
      </w:r>
      <w:r w:rsidRPr="009D48A5">
        <w:rPr>
          <w:lang w:val="zh-CN"/>
        </w:rPr>
        <w:t>4</w:t>
      </w:r>
      <w:r w:rsidRPr="009D48A5">
        <w:rPr>
          <w:lang w:val="zh-CN"/>
        </w:rPr>
        <w:t>日</w:t>
      </w:r>
      <w:r>
        <w:rPr>
          <w:lang w:val="zh-CN"/>
        </w:rPr>
        <w:t>，</w:t>
      </w:r>
      <w:r w:rsidRPr="009D48A5">
        <w:rPr>
          <w:lang w:val="zh-CN"/>
        </w:rPr>
        <w:t>《</w:t>
      </w:r>
      <w:r w:rsidRPr="009D48A5">
        <w:rPr>
          <w:lang w:val="zh-CN"/>
        </w:rPr>
        <w:t>2000</w:t>
      </w:r>
      <w:r w:rsidRPr="009D48A5">
        <w:rPr>
          <w:lang w:val="zh-CN"/>
        </w:rPr>
        <w:t>年欧洲人权法院案例汇编》</w:t>
      </w:r>
      <w:r w:rsidRPr="009D48A5">
        <w:rPr>
          <w:rFonts w:hint="eastAsia"/>
          <w:lang w:val="zh-CN"/>
        </w:rPr>
        <w:t>第三卷</w:t>
      </w:r>
      <w:r>
        <w:rPr>
          <w:lang w:val="zh-CN"/>
        </w:rPr>
        <w:t>，</w:t>
      </w:r>
      <w:r w:rsidRPr="009D48A5">
        <w:rPr>
          <w:lang w:val="zh-CN"/>
        </w:rPr>
        <w:t>第</w:t>
      </w:r>
      <w:r w:rsidRPr="009D48A5">
        <w:rPr>
          <w:lang w:val="zh-CN"/>
        </w:rPr>
        <w:t>59</w:t>
      </w:r>
      <w:r w:rsidRPr="009D48A5">
        <w:rPr>
          <w:lang w:val="zh-CN"/>
        </w:rPr>
        <w:t>段</w:t>
      </w:r>
      <w:r>
        <w:rPr>
          <w:lang w:val="zh-CN"/>
        </w:rPr>
        <w:t>；</w:t>
      </w:r>
      <w:r w:rsidRPr="009D48A5">
        <w:rPr>
          <w:lang w:val="zh-CN"/>
        </w:rPr>
        <w:t>Demir</w:t>
      </w:r>
      <w:r w:rsidRPr="009D48A5">
        <w:rPr>
          <w:rFonts w:ascii="Time New Roman" w:eastAsia="楷体" w:hAnsi="Time New Roman"/>
          <w:lang w:val="zh-CN"/>
        </w:rPr>
        <w:t>和</w:t>
      </w:r>
      <w:r w:rsidRPr="009D48A5">
        <w:rPr>
          <w:rFonts w:ascii="Time New Roman" w:eastAsia="楷体" w:hAnsi="Time New Roman"/>
          <w:lang w:val="zh-CN"/>
        </w:rPr>
        <w:t>Baykara</w:t>
      </w:r>
      <w:r w:rsidRPr="009D48A5">
        <w:rPr>
          <w:rFonts w:ascii="Time New Roman" w:eastAsia="楷体" w:hAnsi="Time New Roman"/>
          <w:lang w:val="zh-CN"/>
        </w:rPr>
        <w:t>诉土耳其</w:t>
      </w:r>
      <w:r>
        <w:rPr>
          <w:lang w:val="zh-CN"/>
        </w:rPr>
        <w:t>[</w:t>
      </w:r>
      <w:r w:rsidRPr="009D48A5">
        <w:rPr>
          <w:lang w:val="zh-CN"/>
        </w:rPr>
        <w:t>GC</w:t>
      </w:r>
      <w:r>
        <w:rPr>
          <w:lang w:val="zh-CN"/>
        </w:rPr>
        <w:t>]</w:t>
      </w:r>
      <w:r>
        <w:rPr>
          <w:lang w:val="zh-CN"/>
        </w:rPr>
        <w:t>，</w:t>
      </w:r>
      <w:r w:rsidRPr="009D48A5">
        <w:rPr>
          <w:lang w:val="zh-CN"/>
        </w:rPr>
        <w:t>第</w:t>
      </w:r>
      <w:r w:rsidRPr="009D48A5">
        <w:rPr>
          <w:lang w:val="zh-CN"/>
        </w:rPr>
        <w:t>34503</w:t>
      </w:r>
      <w:r>
        <w:rPr>
          <w:lang w:val="zh-CN"/>
        </w:rPr>
        <w:t>/</w:t>
      </w:r>
      <w:r w:rsidRPr="009D48A5">
        <w:rPr>
          <w:lang w:val="zh-CN"/>
        </w:rPr>
        <w:t>97</w:t>
      </w:r>
      <w:r w:rsidRPr="009D48A5">
        <w:rPr>
          <w:lang w:val="zh-CN"/>
        </w:rPr>
        <w:t>号</w:t>
      </w:r>
      <w:r>
        <w:rPr>
          <w:lang w:val="zh-CN"/>
        </w:rPr>
        <w:t>，</w:t>
      </w:r>
      <w:r w:rsidRPr="009D48A5">
        <w:rPr>
          <w:lang w:val="zh-CN"/>
        </w:rPr>
        <w:t>2008</w:t>
      </w:r>
      <w:r w:rsidRPr="009D48A5">
        <w:rPr>
          <w:lang w:val="zh-CN"/>
        </w:rPr>
        <w:t>年</w:t>
      </w:r>
      <w:r w:rsidRPr="009D48A5">
        <w:rPr>
          <w:lang w:val="zh-CN"/>
        </w:rPr>
        <w:t>11</w:t>
      </w:r>
      <w:r w:rsidRPr="009D48A5">
        <w:rPr>
          <w:lang w:val="zh-CN"/>
        </w:rPr>
        <w:t>月</w:t>
      </w:r>
      <w:r w:rsidRPr="009D48A5">
        <w:rPr>
          <w:lang w:val="zh-CN"/>
        </w:rPr>
        <w:t>12</w:t>
      </w:r>
      <w:r w:rsidRPr="009D48A5">
        <w:rPr>
          <w:lang w:val="zh-CN"/>
        </w:rPr>
        <w:t>日</w:t>
      </w:r>
      <w:r>
        <w:rPr>
          <w:lang w:val="zh-CN"/>
        </w:rPr>
        <w:t>，</w:t>
      </w:r>
      <w:r w:rsidRPr="009D48A5">
        <w:rPr>
          <w:lang w:val="zh-CN"/>
        </w:rPr>
        <w:t>《</w:t>
      </w:r>
      <w:r w:rsidRPr="009D48A5">
        <w:rPr>
          <w:lang w:val="zh-CN"/>
        </w:rPr>
        <w:t>2008</w:t>
      </w:r>
      <w:r w:rsidRPr="009D48A5">
        <w:rPr>
          <w:lang w:val="zh-CN"/>
        </w:rPr>
        <w:t>年欧洲人权法院案例汇编》</w:t>
      </w:r>
      <w:r>
        <w:rPr>
          <w:lang w:val="zh-CN"/>
        </w:rPr>
        <w:t>，</w:t>
      </w:r>
      <w:r w:rsidRPr="009D48A5">
        <w:rPr>
          <w:lang w:val="zh-CN"/>
        </w:rPr>
        <w:t>第</w:t>
      </w:r>
      <w:r w:rsidRPr="009D48A5">
        <w:rPr>
          <w:lang w:val="zh-CN"/>
        </w:rPr>
        <w:t>65</w:t>
      </w:r>
      <w:r w:rsidRPr="009D48A5">
        <w:rPr>
          <w:lang w:val="zh-CN"/>
        </w:rPr>
        <w:t>段</w:t>
      </w:r>
      <w:r>
        <w:rPr>
          <w:lang w:val="zh-CN"/>
        </w:rPr>
        <w:t>(</w:t>
      </w:r>
      <w:r w:rsidRPr="009D48A5">
        <w:rPr>
          <w:lang w:val="zh-CN"/>
        </w:rPr>
        <w:t>1969</w:t>
      </w:r>
      <w:r w:rsidRPr="009D48A5">
        <w:rPr>
          <w:lang w:val="zh-CN"/>
        </w:rPr>
        <w:t>年《维也纳公约》第三十一条至第三十三条</w:t>
      </w:r>
      <w:r>
        <w:rPr>
          <w:lang w:val="zh-CN"/>
        </w:rPr>
        <w:t>)</w:t>
      </w:r>
      <w:r w:rsidRPr="009D48A5">
        <w:rPr>
          <w:lang w:val="zh-CN"/>
        </w:rPr>
        <w:t>。</w:t>
      </w:r>
    </w:p>
  </w:footnote>
  <w:footnote w:id="410">
    <w:p w:rsidR="00AB00DE" w:rsidRPr="009D48A5" w:rsidRDefault="00AB00DE" w:rsidP="008D7906">
      <w:pPr>
        <w:pStyle w:val="a4"/>
      </w:pPr>
      <w:r w:rsidRPr="009D48A5">
        <w:rPr>
          <w:lang w:val="zh-CN"/>
        </w:rPr>
        <w:tab/>
      </w:r>
      <w:r w:rsidRPr="00DF5565">
        <w:rPr>
          <w:rStyle w:val="a5"/>
          <w:szCs w:val="22"/>
          <w:lang w:val="zh-CN"/>
        </w:rPr>
        <w:footnoteRef/>
      </w:r>
      <w:r w:rsidRPr="009D48A5">
        <w:rPr>
          <w:lang w:val="zh-CN"/>
        </w:rPr>
        <w:tab/>
      </w:r>
      <w:r w:rsidRPr="009D48A5">
        <w:rPr>
          <w:lang w:val="zh-CN"/>
        </w:rPr>
        <w:t>《</w:t>
      </w:r>
      <w:r w:rsidRPr="009D48A5">
        <w:rPr>
          <w:lang w:val="zh-CN"/>
        </w:rPr>
        <w:t>1966</w:t>
      </w:r>
      <w:r w:rsidRPr="009D48A5">
        <w:rPr>
          <w:lang w:val="zh-CN"/>
        </w:rPr>
        <w:t>年</w:t>
      </w:r>
      <w:r w:rsidRPr="009D48A5">
        <w:rPr>
          <w:rFonts w:hint="eastAsia"/>
        </w:rPr>
        <w:t>……</w:t>
      </w:r>
      <w:r w:rsidRPr="009D48A5">
        <w:rPr>
          <w:lang w:val="zh-CN"/>
        </w:rPr>
        <w:t>年鉴》</w:t>
      </w:r>
      <w:r>
        <w:rPr>
          <w:lang w:val="zh-CN"/>
        </w:rPr>
        <w:t>，</w:t>
      </w:r>
      <w:r w:rsidRPr="009D48A5">
        <w:rPr>
          <w:lang w:val="zh-CN"/>
        </w:rPr>
        <w:t>第二卷</w:t>
      </w:r>
      <w:r>
        <w:rPr>
          <w:lang w:val="zh-CN"/>
        </w:rPr>
        <w:t>，</w:t>
      </w:r>
      <w:r w:rsidRPr="009D48A5">
        <w:rPr>
          <w:rFonts w:hint="eastAsia"/>
          <w:lang w:val="zh-CN"/>
        </w:rPr>
        <w:t>第</w:t>
      </w:r>
      <w:r w:rsidRPr="009D48A5">
        <w:rPr>
          <w:lang w:val="zh-CN"/>
        </w:rPr>
        <w:t>A</w:t>
      </w:r>
      <w:r>
        <w:rPr>
          <w:lang w:val="zh-CN"/>
        </w:rPr>
        <w:t>/</w:t>
      </w:r>
      <w:r w:rsidRPr="009D48A5">
        <w:rPr>
          <w:lang w:val="zh-CN"/>
        </w:rPr>
        <w:t>6309</w:t>
      </w:r>
      <w:r>
        <w:rPr>
          <w:lang w:val="zh-CN"/>
        </w:rPr>
        <w:t>/</w:t>
      </w:r>
      <w:r w:rsidRPr="009D48A5">
        <w:rPr>
          <w:lang w:val="zh-CN"/>
        </w:rPr>
        <w:t>Rev.1</w:t>
      </w:r>
      <w:r w:rsidRPr="009D48A5">
        <w:rPr>
          <w:lang w:val="zh-CN"/>
        </w:rPr>
        <w:t>号文件</w:t>
      </w:r>
      <w:r>
        <w:rPr>
          <w:lang w:val="zh-CN"/>
        </w:rPr>
        <w:t>，</w:t>
      </w:r>
      <w:r w:rsidRPr="009D48A5">
        <w:rPr>
          <w:lang w:val="zh-CN"/>
        </w:rPr>
        <w:t>第</w:t>
      </w:r>
      <w:r w:rsidRPr="009D48A5">
        <w:rPr>
          <w:lang w:val="zh-CN"/>
        </w:rPr>
        <w:t>219-220</w:t>
      </w:r>
      <w:r w:rsidRPr="009D48A5">
        <w:rPr>
          <w:lang w:val="zh-CN"/>
        </w:rPr>
        <w:t>页</w:t>
      </w:r>
      <w:r>
        <w:rPr>
          <w:lang w:val="zh-CN"/>
        </w:rPr>
        <w:t>，</w:t>
      </w:r>
      <w:r w:rsidRPr="009D48A5">
        <w:rPr>
          <w:lang w:val="zh-CN"/>
        </w:rPr>
        <w:t>第</w:t>
      </w:r>
      <w:r>
        <w:rPr>
          <w:lang w:val="zh-CN"/>
        </w:rPr>
        <w:t>(</w:t>
      </w:r>
      <w:r w:rsidRPr="009D48A5">
        <w:rPr>
          <w:lang w:val="zh-CN"/>
        </w:rPr>
        <w:t>8</w:t>
      </w:r>
      <w:r>
        <w:rPr>
          <w:lang w:val="zh-CN"/>
        </w:rPr>
        <w:t>)</w:t>
      </w:r>
      <w:r w:rsidRPr="009D48A5">
        <w:rPr>
          <w:lang w:val="zh-CN"/>
        </w:rPr>
        <w:t>段。详见下文结论草案</w:t>
      </w:r>
      <w:r w:rsidRPr="009D48A5">
        <w:rPr>
          <w:rFonts w:hint="eastAsia"/>
          <w:lang w:val="zh-CN"/>
        </w:rPr>
        <w:t>2</w:t>
      </w:r>
      <w:r>
        <w:rPr>
          <w:rFonts w:hint="eastAsia"/>
          <w:lang w:val="zh-CN"/>
        </w:rPr>
        <w:t>[</w:t>
      </w:r>
      <w:r w:rsidRPr="009D48A5">
        <w:rPr>
          <w:lang w:val="zh-CN"/>
        </w:rPr>
        <w:t>1</w:t>
      </w:r>
      <w:r>
        <w:rPr>
          <w:rFonts w:hint="eastAsia"/>
          <w:lang w:val="zh-CN"/>
        </w:rPr>
        <w:t>]</w:t>
      </w:r>
      <w:r w:rsidRPr="009D48A5">
        <w:rPr>
          <w:lang w:val="zh-CN"/>
        </w:rPr>
        <w:t>第</w:t>
      </w:r>
      <w:r w:rsidRPr="009D48A5">
        <w:rPr>
          <w:lang w:val="zh-CN"/>
        </w:rPr>
        <w:t>5</w:t>
      </w:r>
      <w:r w:rsidRPr="009D48A5">
        <w:rPr>
          <w:lang w:val="zh-CN"/>
        </w:rPr>
        <w:t>段的评注第</w:t>
      </w:r>
      <w:r>
        <w:rPr>
          <w:lang w:val="zh-CN"/>
        </w:rPr>
        <w:t>(</w:t>
      </w:r>
      <w:r w:rsidRPr="009D48A5">
        <w:rPr>
          <w:lang w:val="zh-CN"/>
        </w:rPr>
        <w:t>12</w:t>
      </w:r>
      <w:r>
        <w:rPr>
          <w:lang w:val="zh-CN"/>
        </w:rPr>
        <w:t>)</w:t>
      </w:r>
      <w:r w:rsidRPr="009D48A5">
        <w:rPr>
          <w:lang w:val="zh-CN"/>
        </w:rPr>
        <w:t>段。</w:t>
      </w:r>
    </w:p>
  </w:footnote>
  <w:footnote w:id="411">
    <w:p w:rsidR="00AB00DE" w:rsidRPr="009D48A5" w:rsidRDefault="00AB00DE" w:rsidP="00267AB1">
      <w:pPr>
        <w:pStyle w:val="a4"/>
      </w:pPr>
      <w:r w:rsidRPr="009D48A5">
        <w:rPr>
          <w:lang w:val="zh-CN"/>
        </w:rPr>
        <w:tab/>
      </w:r>
      <w:r w:rsidRPr="00DF5565">
        <w:rPr>
          <w:rStyle w:val="a5"/>
          <w:szCs w:val="22"/>
          <w:lang w:val="zh-CN"/>
        </w:rPr>
        <w:footnoteRef/>
      </w:r>
      <w:r w:rsidRPr="009D48A5">
        <w:rPr>
          <w:lang w:val="zh-CN"/>
        </w:rPr>
        <w:tab/>
      </w:r>
      <w:r w:rsidRPr="009D48A5">
        <w:rPr>
          <w:lang w:val="zh-CN"/>
        </w:rPr>
        <w:t>《</w:t>
      </w:r>
      <w:r w:rsidRPr="009D48A5">
        <w:rPr>
          <w:lang w:val="zh-CN"/>
        </w:rPr>
        <w:t>1966</w:t>
      </w:r>
      <w:r w:rsidRPr="009D48A5">
        <w:rPr>
          <w:lang w:val="zh-CN"/>
        </w:rPr>
        <w:t>年</w:t>
      </w:r>
      <w:r w:rsidRPr="009D48A5">
        <w:rPr>
          <w:rFonts w:hint="eastAsia"/>
        </w:rPr>
        <w:t>……</w:t>
      </w:r>
      <w:r w:rsidRPr="009D48A5">
        <w:rPr>
          <w:lang w:val="zh-CN"/>
        </w:rPr>
        <w:t>年鉴》</w:t>
      </w:r>
      <w:r>
        <w:rPr>
          <w:lang w:val="zh-CN"/>
        </w:rPr>
        <w:t>，</w:t>
      </w:r>
      <w:r w:rsidRPr="009D48A5">
        <w:rPr>
          <w:lang w:val="zh-CN"/>
        </w:rPr>
        <w:t>第二卷</w:t>
      </w:r>
      <w:r>
        <w:rPr>
          <w:lang w:val="zh-CN"/>
        </w:rPr>
        <w:t>，</w:t>
      </w:r>
      <w:r w:rsidRPr="009D48A5">
        <w:rPr>
          <w:lang w:val="zh-CN"/>
        </w:rPr>
        <w:t>A</w:t>
      </w:r>
      <w:r>
        <w:rPr>
          <w:lang w:val="zh-CN"/>
        </w:rPr>
        <w:t>/</w:t>
      </w:r>
      <w:r w:rsidRPr="009D48A5">
        <w:rPr>
          <w:lang w:val="zh-CN"/>
        </w:rPr>
        <w:t>6309</w:t>
      </w:r>
      <w:r>
        <w:rPr>
          <w:lang w:val="zh-CN"/>
        </w:rPr>
        <w:t>/</w:t>
      </w:r>
      <w:r w:rsidRPr="009D48A5">
        <w:rPr>
          <w:lang w:val="zh-CN"/>
        </w:rPr>
        <w:t>Rev.1</w:t>
      </w:r>
      <w:r w:rsidRPr="009D48A5">
        <w:rPr>
          <w:lang w:val="zh-CN"/>
        </w:rPr>
        <w:t>号文件</w:t>
      </w:r>
      <w:r>
        <w:rPr>
          <w:lang w:val="zh-CN"/>
        </w:rPr>
        <w:t>，</w:t>
      </w:r>
      <w:r w:rsidRPr="009D48A5">
        <w:rPr>
          <w:lang w:val="zh-CN"/>
        </w:rPr>
        <w:t>第</w:t>
      </w:r>
      <w:r w:rsidRPr="009D48A5">
        <w:rPr>
          <w:lang w:val="zh-CN"/>
        </w:rPr>
        <w:t>220</w:t>
      </w:r>
      <w:r w:rsidRPr="009D48A5">
        <w:rPr>
          <w:lang w:val="zh-CN"/>
        </w:rPr>
        <w:t>页</w:t>
      </w:r>
      <w:r>
        <w:rPr>
          <w:lang w:val="zh-CN"/>
        </w:rPr>
        <w:t>，</w:t>
      </w:r>
      <w:r w:rsidRPr="009D48A5">
        <w:rPr>
          <w:lang w:val="zh-CN"/>
        </w:rPr>
        <w:t>第</w:t>
      </w:r>
      <w:r>
        <w:rPr>
          <w:lang w:val="zh-CN"/>
        </w:rPr>
        <w:t>(</w:t>
      </w:r>
      <w:r w:rsidRPr="009D48A5">
        <w:rPr>
          <w:lang w:val="zh-CN"/>
        </w:rPr>
        <w:t>8</w:t>
      </w:r>
      <w:r>
        <w:rPr>
          <w:lang w:val="zh-CN"/>
        </w:rPr>
        <w:t>)</w:t>
      </w:r>
      <w:r w:rsidRPr="009D48A5">
        <w:rPr>
          <w:lang w:val="zh-CN"/>
        </w:rPr>
        <w:t>段</w:t>
      </w:r>
      <w:r>
        <w:rPr>
          <w:lang w:val="zh-CN"/>
        </w:rPr>
        <w:t>；</w:t>
      </w:r>
      <w:r w:rsidRPr="009D48A5">
        <w:rPr>
          <w:rFonts w:hint="eastAsia"/>
          <w:lang w:val="zh-CN"/>
        </w:rPr>
        <w:t>格·诺尔特</w:t>
      </w:r>
      <w:r>
        <w:rPr>
          <w:lang w:val="zh-CN"/>
        </w:rPr>
        <w:t>，</w:t>
      </w:r>
      <w:r w:rsidRPr="009D48A5">
        <w:rPr>
          <w:rFonts w:hint="eastAsia"/>
          <w:lang w:val="zh-CN"/>
        </w:rPr>
        <w:t>“</w:t>
      </w:r>
      <w:r w:rsidRPr="009D48A5">
        <w:rPr>
          <w:lang w:val="zh-CN"/>
        </w:rPr>
        <w:t>与嗣后协定和嗣后惯例有关的国际法院和特别管辖权仲裁法庭判例</w:t>
      </w:r>
      <w:r>
        <w:rPr>
          <w:lang w:val="zh-CN"/>
        </w:rPr>
        <w:t>：</w:t>
      </w:r>
      <w:r w:rsidRPr="009D48A5">
        <w:rPr>
          <w:lang w:val="zh-CN"/>
        </w:rPr>
        <w:t>国际法委员会条约随时间演变问题研究组的介绍性报告</w:t>
      </w:r>
      <w:r w:rsidRPr="009D48A5">
        <w:rPr>
          <w:rFonts w:hint="eastAsia"/>
          <w:lang w:val="zh-CN"/>
        </w:rPr>
        <w:t>”</w:t>
      </w:r>
      <w:r>
        <w:rPr>
          <w:lang w:val="zh-CN"/>
        </w:rPr>
        <w:t>，</w:t>
      </w:r>
      <w:r w:rsidRPr="009D48A5">
        <w:rPr>
          <w:lang w:val="zh-CN"/>
        </w:rPr>
        <w:t>载于诺尔特</w:t>
      </w:r>
      <w:r>
        <w:rPr>
          <w:lang w:val="zh-CN"/>
        </w:rPr>
        <w:t>，</w:t>
      </w:r>
      <w:r w:rsidRPr="009D48A5">
        <w:rPr>
          <w:lang w:val="zh-CN"/>
        </w:rPr>
        <w:t>《条约与嗣后惯例》</w:t>
      </w:r>
      <w:r>
        <w:rPr>
          <w:lang w:val="zh-CN"/>
        </w:rPr>
        <w:t>(</w:t>
      </w:r>
      <w:r w:rsidRPr="009D48A5">
        <w:rPr>
          <w:lang w:val="zh-CN"/>
        </w:rPr>
        <w:t>见</w:t>
      </w:r>
      <w:r>
        <w:rPr>
          <w:lang w:val="zh-CN"/>
        </w:rPr>
        <w:t>上文脚注</w:t>
      </w:r>
      <w:r>
        <w:rPr>
          <w:lang w:val="zh-CN"/>
        </w:rPr>
        <w:fldChar w:fldCharType="begin"/>
      </w:r>
      <w:r>
        <w:rPr>
          <w:lang w:val="zh-CN"/>
        </w:rPr>
        <w:instrText xml:space="preserve"> NOTEREF _Ref461973084 \h </w:instrText>
      </w:r>
      <w:r>
        <w:rPr>
          <w:lang w:val="zh-CN"/>
        </w:rPr>
      </w:r>
      <w:r>
        <w:rPr>
          <w:lang w:val="zh-CN"/>
        </w:rPr>
        <w:fldChar w:fldCharType="separate"/>
      </w:r>
      <w:r w:rsidR="00A73EB9">
        <w:rPr>
          <w:lang w:val="zh-CN"/>
        </w:rPr>
        <w:t>398</w:t>
      </w:r>
      <w:r>
        <w:rPr>
          <w:lang w:val="zh-CN"/>
        </w:rPr>
        <w:fldChar w:fldCharType="end"/>
      </w:r>
      <w:r>
        <w:rPr>
          <w:lang w:val="zh-CN"/>
        </w:rPr>
        <w:t>)</w:t>
      </w:r>
      <w:r>
        <w:rPr>
          <w:lang w:val="zh-CN"/>
        </w:rPr>
        <w:t>，</w:t>
      </w:r>
      <w:r w:rsidRPr="009D48A5">
        <w:rPr>
          <w:lang w:val="zh-CN"/>
        </w:rPr>
        <w:t>第</w:t>
      </w:r>
      <w:r w:rsidRPr="009D48A5">
        <w:rPr>
          <w:lang w:val="zh-CN"/>
        </w:rPr>
        <w:t>169</w:t>
      </w:r>
      <w:r w:rsidRPr="009D48A5">
        <w:rPr>
          <w:lang w:val="zh-CN"/>
        </w:rPr>
        <w:t>页起</w:t>
      </w:r>
      <w:r>
        <w:rPr>
          <w:lang w:val="zh-CN"/>
        </w:rPr>
        <w:t>，</w:t>
      </w:r>
      <w:r w:rsidRPr="009D48A5">
        <w:rPr>
          <w:lang w:val="zh-CN"/>
        </w:rPr>
        <w:t>见第</w:t>
      </w:r>
      <w:r w:rsidRPr="009D48A5">
        <w:rPr>
          <w:lang w:val="zh-CN"/>
        </w:rPr>
        <w:t>177</w:t>
      </w:r>
      <w:r w:rsidRPr="009D48A5">
        <w:rPr>
          <w:lang w:val="zh-CN"/>
        </w:rPr>
        <w:t>页。</w:t>
      </w:r>
    </w:p>
  </w:footnote>
  <w:footnote w:id="412">
    <w:p w:rsidR="00AB00DE" w:rsidRPr="009D48A5" w:rsidRDefault="00AB00DE" w:rsidP="00267AB1">
      <w:pPr>
        <w:pStyle w:val="a4"/>
      </w:pPr>
      <w:r w:rsidRPr="009D48A5">
        <w:rPr>
          <w:lang w:val="zh-CN"/>
        </w:rPr>
        <w:tab/>
      </w:r>
      <w:r w:rsidRPr="00DF5565">
        <w:rPr>
          <w:rStyle w:val="a5"/>
          <w:szCs w:val="22"/>
          <w:lang w:val="zh-CN"/>
        </w:rPr>
        <w:footnoteRef/>
      </w:r>
      <w:r w:rsidRPr="009D48A5">
        <w:rPr>
          <w:lang w:val="zh-CN"/>
        </w:rPr>
        <w:tab/>
        <w:t>Yassee</w:t>
      </w:r>
      <w:r>
        <w:rPr>
          <w:lang w:val="zh-CN"/>
        </w:rPr>
        <w:t xml:space="preserve">n, </w:t>
      </w:r>
      <w:r w:rsidRPr="009D48A5">
        <w:rPr>
          <w:rFonts w:hint="eastAsia"/>
          <w:lang w:val="zh-CN"/>
        </w:rPr>
        <w:t>“</w:t>
      </w:r>
      <w:r w:rsidRPr="009D48A5">
        <w:rPr>
          <w:rFonts w:hint="eastAsia"/>
        </w:rPr>
        <w:t>……</w:t>
      </w:r>
      <w:r w:rsidRPr="009D48A5">
        <w:rPr>
          <w:lang w:val="zh-CN"/>
        </w:rPr>
        <w:t>条约进行解释</w:t>
      </w:r>
      <w:r w:rsidRPr="009D48A5">
        <w:rPr>
          <w:rFonts w:hint="eastAsia"/>
          <w:lang w:val="zh-CN"/>
        </w:rPr>
        <w:t>”</w:t>
      </w:r>
      <w:r>
        <w:rPr>
          <w:lang w:val="zh-CN"/>
        </w:rPr>
        <w:t>，</w:t>
      </w:r>
      <w:r>
        <w:rPr>
          <w:lang w:val="zh-CN"/>
        </w:rPr>
        <w:t>(</w:t>
      </w:r>
      <w:r w:rsidRPr="009D48A5">
        <w:rPr>
          <w:lang w:val="zh-CN"/>
        </w:rPr>
        <w:t>见</w:t>
      </w:r>
      <w:r>
        <w:rPr>
          <w:lang w:val="zh-CN"/>
        </w:rPr>
        <w:t>上文脚注</w:t>
      </w:r>
      <w:r>
        <w:fldChar w:fldCharType="begin"/>
      </w:r>
      <w:r>
        <w:instrText xml:space="preserve"> NOTEREF _Ref461972846 \h </w:instrText>
      </w:r>
      <w:r>
        <w:fldChar w:fldCharType="separate"/>
      </w:r>
      <w:r w:rsidR="00A73EB9">
        <w:t>393</w:t>
      </w:r>
      <w:r>
        <w:fldChar w:fldCharType="end"/>
      </w:r>
      <w:r>
        <w:rPr>
          <w:lang w:val="zh-CN"/>
        </w:rPr>
        <w:t>)</w:t>
      </w:r>
      <w:r>
        <w:rPr>
          <w:lang w:val="zh-CN"/>
        </w:rPr>
        <w:t>，</w:t>
      </w:r>
      <w:r w:rsidRPr="009D48A5">
        <w:rPr>
          <w:lang w:val="zh-CN"/>
        </w:rPr>
        <w:t>见第</w:t>
      </w:r>
      <w:r w:rsidRPr="009D48A5">
        <w:rPr>
          <w:lang w:val="zh-CN"/>
        </w:rPr>
        <w:t>79</w:t>
      </w:r>
      <w:r w:rsidRPr="009D48A5">
        <w:rPr>
          <w:lang w:val="zh-CN"/>
        </w:rPr>
        <w:t>页。</w:t>
      </w:r>
    </w:p>
  </w:footnote>
  <w:footnote w:id="413">
    <w:p w:rsidR="00AB00DE" w:rsidRPr="009D48A5" w:rsidRDefault="00AB00DE" w:rsidP="008D7906">
      <w:pPr>
        <w:pStyle w:val="a4"/>
      </w:pPr>
      <w:r w:rsidRPr="009D48A5">
        <w:rPr>
          <w:lang w:val="zh-CN"/>
        </w:rPr>
        <w:tab/>
      </w:r>
      <w:r w:rsidRPr="00DF5565">
        <w:rPr>
          <w:rStyle w:val="a5"/>
          <w:szCs w:val="22"/>
          <w:lang w:val="zh-CN"/>
        </w:rPr>
        <w:footnoteRef/>
      </w:r>
      <w:r w:rsidRPr="009D48A5">
        <w:rPr>
          <w:lang w:val="zh-CN"/>
        </w:rPr>
        <w:tab/>
      </w:r>
      <w:r w:rsidRPr="0078561F">
        <w:rPr>
          <w:spacing w:val="-4"/>
          <w:lang w:val="zh-CN"/>
        </w:rPr>
        <w:t>《</w:t>
      </w:r>
      <w:r w:rsidRPr="0078561F">
        <w:rPr>
          <w:spacing w:val="-4"/>
          <w:lang w:val="zh-CN"/>
        </w:rPr>
        <w:t>1964</w:t>
      </w:r>
      <w:r w:rsidRPr="0078561F">
        <w:rPr>
          <w:spacing w:val="-4"/>
          <w:lang w:val="zh-CN"/>
        </w:rPr>
        <w:t>年</w:t>
      </w:r>
      <w:r w:rsidRPr="0078561F">
        <w:rPr>
          <w:rFonts w:hint="eastAsia"/>
          <w:spacing w:val="-4"/>
        </w:rPr>
        <w:t>……</w:t>
      </w:r>
      <w:r w:rsidRPr="0078561F">
        <w:rPr>
          <w:spacing w:val="-4"/>
          <w:lang w:val="zh-CN"/>
        </w:rPr>
        <w:t>年鉴》，第二卷，</w:t>
      </w:r>
      <w:r w:rsidRPr="0078561F">
        <w:rPr>
          <w:spacing w:val="-4"/>
          <w:lang w:val="zh-CN"/>
        </w:rPr>
        <w:t>A/5809</w:t>
      </w:r>
      <w:r w:rsidRPr="0078561F">
        <w:rPr>
          <w:spacing w:val="-4"/>
          <w:lang w:val="zh-CN"/>
        </w:rPr>
        <w:t>号文件，第</w:t>
      </w:r>
      <w:r w:rsidRPr="0078561F">
        <w:rPr>
          <w:spacing w:val="-4"/>
          <w:lang w:val="zh-CN"/>
        </w:rPr>
        <w:t>203-204</w:t>
      </w:r>
      <w:r w:rsidRPr="0078561F">
        <w:rPr>
          <w:spacing w:val="-4"/>
          <w:lang w:val="zh-CN"/>
        </w:rPr>
        <w:t>页，第</w:t>
      </w:r>
      <w:r w:rsidRPr="0078561F">
        <w:rPr>
          <w:spacing w:val="-4"/>
          <w:lang w:val="zh-CN"/>
        </w:rPr>
        <w:t>69</w:t>
      </w:r>
      <w:r w:rsidRPr="0078561F">
        <w:rPr>
          <w:spacing w:val="-4"/>
          <w:lang w:val="zh-CN"/>
        </w:rPr>
        <w:t>条草案的评注，第</w:t>
      </w:r>
      <w:r w:rsidRPr="0078561F">
        <w:rPr>
          <w:spacing w:val="-4"/>
          <w:lang w:val="zh-CN"/>
        </w:rPr>
        <w:t>(13)</w:t>
      </w:r>
      <w:r w:rsidRPr="0078561F">
        <w:rPr>
          <w:spacing w:val="-4"/>
          <w:lang w:val="zh-CN"/>
        </w:rPr>
        <w:t>段；</w:t>
      </w:r>
    </w:p>
  </w:footnote>
  <w:footnote w:id="414">
    <w:p w:rsidR="00AB00DE" w:rsidRPr="009D48A5" w:rsidRDefault="00AB00DE" w:rsidP="00267AB1">
      <w:pPr>
        <w:pStyle w:val="a4"/>
      </w:pPr>
      <w:r w:rsidRPr="009D48A5">
        <w:rPr>
          <w:lang w:val="zh-CN"/>
        </w:rPr>
        <w:tab/>
      </w:r>
      <w:r w:rsidRPr="00DF5565">
        <w:rPr>
          <w:rStyle w:val="a5"/>
          <w:szCs w:val="22"/>
          <w:lang w:val="zh-CN"/>
        </w:rPr>
        <w:footnoteRef/>
      </w:r>
      <w:r w:rsidRPr="009D48A5">
        <w:rPr>
          <w:lang w:val="zh-CN"/>
        </w:rPr>
        <w:tab/>
      </w:r>
      <w:r w:rsidRPr="009D48A5">
        <w:rPr>
          <w:rFonts w:ascii="Time New Roman" w:eastAsia="楷体" w:hAnsi="Time New Roman"/>
          <w:lang w:val="zh-CN"/>
        </w:rPr>
        <w:t>卡西基里</w:t>
      </w:r>
      <w:r>
        <w:rPr>
          <w:rFonts w:ascii="Time New Roman" w:eastAsia="楷体" w:hAnsi="Time New Roman"/>
          <w:lang w:val="zh-CN"/>
        </w:rPr>
        <w:t>/</w:t>
      </w:r>
      <w:r w:rsidRPr="009D48A5">
        <w:rPr>
          <w:rFonts w:ascii="Time New Roman" w:eastAsia="楷体" w:hAnsi="Time New Roman"/>
          <w:lang w:val="zh-CN"/>
        </w:rPr>
        <w:t>塞杜杜岛案</w:t>
      </w:r>
      <w:r>
        <w:rPr>
          <w:lang w:val="zh-CN"/>
        </w:rPr>
        <w:t>(</w:t>
      </w:r>
      <w:r w:rsidRPr="009D48A5">
        <w:rPr>
          <w:lang w:val="zh-CN"/>
        </w:rPr>
        <w:t>见</w:t>
      </w:r>
      <w:r>
        <w:rPr>
          <w:lang w:val="zh-CN"/>
        </w:rPr>
        <w:t>上文脚注</w:t>
      </w:r>
      <w:r>
        <w:rPr>
          <w:lang w:val="zh-CN"/>
        </w:rPr>
        <w:fldChar w:fldCharType="begin"/>
      </w:r>
      <w:r>
        <w:rPr>
          <w:lang w:val="zh-CN"/>
        </w:rPr>
        <w:instrText xml:space="preserve"> NOTEREF _Ref461971066 \h </w:instrText>
      </w:r>
      <w:r>
        <w:rPr>
          <w:lang w:val="zh-CN"/>
        </w:rPr>
      </w:r>
      <w:r>
        <w:rPr>
          <w:lang w:val="zh-CN"/>
        </w:rPr>
        <w:fldChar w:fldCharType="separate"/>
      </w:r>
      <w:r w:rsidR="00A73EB9">
        <w:rPr>
          <w:lang w:val="zh-CN"/>
        </w:rPr>
        <w:t>395</w:t>
      </w:r>
      <w:r>
        <w:rPr>
          <w:lang w:val="zh-CN"/>
        </w:rPr>
        <w:fldChar w:fldCharType="end"/>
      </w:r>
      <w:r>
        <w:rPr>
          <w:lang w:val="zh-CN"/>
        </w:rPr>
        <w:t>)</w:t>
      </w:r>
      <w:r>
        <w:rPr>
          <w:lang w:val="zh-CN"/>
        </w:rPr>
        <w:t>，</w:t>
      </w:r>
      <w:r w:rsidRPr="009D48A5">
        <w:rPr>
          <w:lang w:val="zh-CN"/>
        </w:rPr>
        <w:t>第</w:t>
      </w:r>
      <w:r w:rsidRPr="009D48A5">
        <w:rPr>
          <w:lang w:val="zh-CN"/>
        </w:rPr>
        <w:t>1096</w:t>
      </w:r>
      <w:r w:rsidRPr="009D48A5">
        <w:rPr>
          <w:lang w:val="zh-CN"/>
        </w:rPr>
        <w:t>页</w:t>
      </w:r>
      <w:r>
        <w:rPr>
          <w:lang w:val="zh-CN"/>
        </w:rPr>
        <w:t>，</w:t>
      </w:r>
      <w:r w:rsidRPr="009D48A5">
        <w:rPr>
          <w:lang w:val="zh-CN"/>
        </w:rPr>
        <w:t>第</w:t>
      </w:r>
      <w:r w:rsidRPr="009D48A5">
        <w:rPr>
          <w:lang w:val="zh-CN"/>
        </w:rPr>
        <w:t>79-80</w:t>
      </w:r>
      <w:r w:rsidRPr="009D48A5">
        <w:rPr>
          <w:lang w:val="zh-CN"/>
        </w:rPr>
        <w:t>段</w:t>
      </w:r>
      <w:r>
        <w:rPr>
          <w:lang w:val="zh-CN"/>
        </w:rPr>
        <w:t>；</w:t>
      </w:r>
      <w:r w:rsidRPr="009D48A5">
        <w:rPr>
          <w:lang w:val="zh-CN"/>
        </w:rPr>
        <w:t>Loizidou</w:t>
      </w:r>
      <w:r w:rsidRPr="009D48A5">
        <w:rPr>
          <w:rFonts w:ascii="Time New Roman" w:eastAsia="楷体" w:hAnsi="Time New Roman"/>
          <w:lang w:val="zh-CN"/>
        </w:rPr>
        <w:t>诉土耳其</w:t>
      </w:r>
      <w:r>
        <w:rPr>
          <w:lang w:val="zh-CN"/>
        </w:rPr>
        <w:t>(</w:t>
      </w:r>
      <w:r w:rsidRPr="009D48A5">
        <w:rPr>
          <w:lang w:val="zh-CN"/>
        </w:rPr>
        <w:t>初步反对意见</w:t>
      </w:r>
      <w:r>
        <w:rPr>
          <w:lang w:val="zh-CN"/>
        </w:rPr>
        <w:t>)</w:t>
      </w:r>
      <w:r>
        <w:rPr>
          <w:lang w:val="zh-CN"/>
        </w:rPr>
        <w:t>，</w:t>
      </w:r>
      <w:r w:rsidRPr="009D48A5">
        <w:rPr>
          <w:lang w:val="zh-CN"/>
        </w:rPr>
        <w:t>第</w:t>
      </w:r>
      <w:r w:rsidRPr="009D48A5">
        <w:rPr>
          <w:lang w:val="zh-CN"/>
        </w:rPr>
        <w:t>15318</w:t>
      </w:r>
      <w:r>
        <w:rPr>
          <w:lang w:val="zh-CN"/>
        </w:rPr>
        <w:t>/</w:t>
      </w:r>
      <w:r w:rsidRPr="009D48A5">
        <w:rPr>
          <w:lang w:val="zh-CN"/>
        </w:rPr>
        <w:t>89</w:t>
      </w:r>
      <w:r w:rsidRPr="009D48A5">
        <w:rPr>
          <w:lang w:val="zh-CN"/>
        </w:rPr>
        <w:t>号</w:t>
      </w:r>
      <w:r>
        <w:rPr>
          <w:lang w:val="zh-CN"/>
        </w:rPr>
        <w:t>，</w:t>
      </w:r>
      <w:r w:rsidRPr="009D48A5">
        <w:rPr>
          <w:lang w:val="zh-CN"/>
        </w:rPr>
        <w:t>1995</w:t>
      </w:r>
      <w:r w:rsidRPr="009D48A5">
        <w:rPr>
          <w:lang w:val="zh-CN"/>
        </w:rPr>
        <w:t>年</w:t>
      </w:r>
      <w:r w:rsidRPr="009D48A5">
        <w:rPr>
          <w:lang w:val="zh-CN"/>
        </w:rPr>
        <w:t>3</w:t>
      </w:r>
      <w:r w:rsidRPr="009D48A5">
        <w:rPr>
          <w:lang w:val="zh-CN"/>
        </w:rPr>
        <w:t>月</w:t>
      </w:r>
      <w:r w:rsidRPr="009D48A5">
        <w:rPr>
          <w:lang w:val="zh-CN"/>
        </w:rPr>
        <w:t>23</w:t>
      </w:r>
      <w:r w:rsidRPr="009D48A5">
        <w:rPr>
          <w:lang w:val="zh-CN"/>
        </w:rPr>
        <w:t>日</w:t>
      </w:r>
      <w:r>
        <w:rPr>
          <w:lang w:val="zh-CN"/>
        </w:rPr>
        <w:t>，</w:t>
      </w:r>
      <w:r w:rsidRPr="009D48A5">
        <w:rPr>
          <w:lang w:val="zh-CN"/>
        </w:rPr>
        <w:t>《欧洲人权法院案例汇编》</w:t>
      </w:r>
      <w:r w:rsidRPr="009D48A5">
        <w:rPr>
          <w:lang w:val="zh-CN"/>
        </w:rPr>
        <w:t>A</w:t>
      </w:r>
      <w:r w:rsidRPr="009D48A5">
        <w:rPr>
          <w:lang w:val="zh-CN"/>
        </w:rPr>
        <w:t>辑</w:t>
      </w:r>
      <w:r>
        <w:rPr>
          <w:lang w:val="zh-CN"/>
        </w:rPr>
        <w:t>，</w:t>
      </w:r>
      <w:r w:rsidRPr="009D48A5">
        <w:rPr>
          <w:lang w:val="zh-CN"/>
        </w:rPr>
        <w:t>第</w:t>
      </w:r>
      <w:r w:rsidRPr="009D48A5">
        <w:rPr>
          <w:lang w:val="zh-CN"/>
        </w:rPr>
        <w:t>310</w:t>
      </w:r>
      <w:r w:rsidRPr="009D48A5">
        <w:rPr>
          <w:lang w:val="zh-CN"/>
        </w:rPr>
        <w:t>号</w:t>
      </w:r>
      <w:r>
        <w:rPr>
          <w:lang w:val="zh-CN"/>
        </w:rPr>
        <w:t>，</w:t>
      </w:r>
      <w:r w:rsidRPr="009D48A5">
        <w:rPr>
          <w:lang w:val="zh-CN"/>
        </w:rPr>
        <w:t>第</w:t>
      </w:r>
      <w:r w:rsidRPr="009D48A5">
        <w:rPr>
          <w:lang w:val="zh-CN"/>
        </w:rPr>
        <w:t>79-81</w:t>
      </w:r>
      <w:r w:rsidRPr="009D48A5">
        <w:rPr>
          <w:lang w:val="zh-CN"/>
        </w:rPr>
        <w:t>段</w:t>
      </w:r>
      <w:r>
        <w:rPr>
          <w:lang w:val="zh-CN"/>
        </w:rPr>
        <w:t>；</w:t>
      </w:r>
      <w:r w:rsidRPr="009D48A5">
        <w:rPr>
          <w:lang w:val="zh-CN"/>
        </w:rPr>
        <w:t>Hilaire</w:t>
      </w:r>
      <w:r w:rsidRPr="009D48A5">
        <w:rPr>
          <w:lang w:val="zh-CN"/>
        </w:rPr>
        <w:t>、</w:t>
      </w:r>
      <w:r w:rsidRPr="009D48A5">
        <w:rPr>
          <w:lang w:val="zh-CN"/>
        </w:rPr>
        <w:t>Constantine</w:t>
      </w:r>
      <w:r w:rsidRPr="009D48A5">
        <w:rPr>
          <w:rFonts w:ascii="Time New Roman" w:eastAsia="楷体" w:hAnsi="Time New Roman"/>
          <w:lang w:val="zh-CN"/>
        </w:rPr>
        <w:t>和</w:t>
      </w:r>
      <w:r w:rsidRPr="009D48A5">
        <w:rPr>
          <w:rFonts w:ascii="Time New Roman" w:eastAsia="楷体" w:hAnsi="Time New Roman"/>
          <w:lang w:val="zh-CN"/>
        </w:rPr>
        <w:t>Benjamin</w:t>
      </w:r>
      <w:r w:rsidRPr="009D48A5">
        <w:rPr>
          <w:rFonts w:ascii="Time New Roman" w:eastAsia="楷体" w:hAnsi="Time New Roman"/>
          <w:lang w:val="zh-CN"/>
        </w:rPr>
        <w:t>等</w:t>
      </w:r>
      <w:r>
        <w:rPr>
          <w:lang w:val="zh-CN"/>
        </w:rPr>
        <w:t>(</w:t>
      </w:r>
      <w:r w:rsidRPr="009D48A5">
        <w:rPr>
          <w:lang w:val="zh-CN"/>
        </w:rPr>
        <w:t>见上文脚注</w:t>
      </w:r>
      <w:r>
        <w:rPr>
          <w:lang w:val="zh-CN"/>
        </w:rPr>
        <w:fldChar w:fldCharType="begin"/>
      </w:r>
      <w:r>
        <w:rPr>
          <w:lang w:val="zh-CN"/>
        </w:rPr>
        <w:instrText xml:space="preserve"> NOTEREF _Ref461973238 \h </w:instrText>
      </w:r>
      <w:r>
        <w:rPr>
          <w:lang w:val="zh-CN"/>
        </w:rPr>
      </w:r>
      <w:r>
        <w:rPr>
          <w:lang w:val="zh-CN"/>
        </w:rPr>
        <w:fldChar w:fldCharType="separate"/>
      </w:r>
      <w:r w:rsidR="00A73EB9">
        <w:rPr>
          <w:lang w:val="zh-CN"/>
        </w:rPr>
        <w:t>400</w:t>
      </w:r>
      <w:r>
        <w:rPr>
          <w:lang w:val="zh-CN"/>
        </w:rPr>
        <w:fldChar w:fldCharType="end"/>
      </w:r>
      <w:r>
        <w:rPr>
          <w:lang w:val="zh-CN"/>
        </w:rPr>
        <w:t>)</w:t>
      </w:r>
      <w:r>
        <w:rPr>
          <w:lang w:val="zh-CN"/>
        </w:rPr>
        <w:t>，</w:t>
      </w:r>
      <w:r w:rsidRPr="009D48A5">
        <w:rPr>
          <w:lang w:val="zh-CN"/>
        </w:rPr>
        <w:t>第</w:t>
      </w:r>
      <w:r w:rsidRPr="009D48A5">
        <w:rPr>
          <w:lang w:val="zh-CN"/>
        </w:rPr>
        <w:t>92</w:t>
      </w:r>
      <w:r w:rsidRPr="009D48A5">
        <w:rPr>
          <w:lang w:val="zh-CN"/>
        </w:rPr>
        <w:t>段</w:t>
      </w:r>
      <w:r>
        <w:rPr>
          <w:lang w:val="zh-CN"/>
        </w:rPr>
        <w:t>；</w:t>
      </w:r>
      <w:r w:rsidRPr="009D48A5">
        <w:rPr>
          <w:rFonts w:ascii="Time New Roman" w:eastAsia="楷体" w:hAnsi="Time New Roman"/>
          <w:lang w:val="zh-CN"/>
        </w:rPr>
        <w:t>南方金枪鱼案</w:t>
      </w:r>
      <w:r>
        <w:rPr>
          <w:rFonts w:ascii="Time New Roman" w:eastAsia="楷体" w:hAnsi="Time New Roman"/>
          <w:lang w:val="zh-CN"/>
        </w:rPr>
        <w:t>(</w:t>
      </w:r>
      <w:r w:rsidRPr="009D48A5">
        <w:rPr>
          <w:rFonts w:ascii="Time New Roman" w:eastAsia="楷体" w:hAnsi="Time New Roman"/>
          <w:lang w:val="zh-CN"/>
        </w:rPr>
        <w:t>新西兰诉日本</w:t>
      </w:r>
      <w:r>
        <w:rPr>
          <w:rFonts w:ascii="Time New Roman" w:eastAsia="楷体" w:hAnsi="Time New Roman"/>
          <w:lang w:val="zh-CN"/>
        </w:rPr>
        <w:t>；</w:t>
      </w:r>
      <w:r w:rsidRPr="009D48A5">
        <w:rPr>
          <w:rFonts w:ascii="Time New Roman" w:eastAsia="楷体" w:hAnsi="Time New Roman"/>
          <w:lang w:val="zh-CN"/>
        </w:rPr>
        <w:t>澳大利亚诉日本</w:t>
      </w:r>
      <w:r>
        <w:rPr>
          <w:lang w:val="zh-CN"/>
        </w:rPr>
        <w:t>)</w:t>
      </w:r>
      <w:r>
        <w:rPr>
          <w:lang w:val="zh-CN"/>
        </w:rPr>
        <w:t>，</w:t>
      </w:r>
      <w:r w:rsidRPr="009D48A5">
        <w:rPr>
          <w:lang w:val="zh-CN"/>
        </w:rPr>
        <w:t>临时措施</w:t>
      </w:r>
      <w:r>
        <w:rPr>
          <w:lang w:val="zh-CN"/>
        </w:rPr>
        <w:t>，</w:t>
      </w:r>
      <w:r w:rsidRPr="009D48A5">
        <w:rPr>
          <w:lang w:val="zh-CN"/>
        </w:rPr>
        <w:t>1999</w:t>
      </w:r>
      <w:r w:rsidRPr="009D48A5">
        <w:rPr>
          <w:lang w:val="zh-CN"/>
        </w:rPr>
        <w:t>年</w:t>
      </w:r>
      <w:r w:rsidRPr="009D48A5">
        <w:rPr>
          <w:lang w:val="zh-CN"/>
        </w:rPr>
        <w:t>8</w:t>
      </w:r>
      <w:r w:rsidRPr="009D48A5">
        <w:rPr>
          <w:lang w:val="zh-CN"/>
        </w:rPr>
        <w:t>月</w:t>
      </w:r>
      <w:r w:rsidRPr="009D48A5">
        <w:rPr>
          <w:lang w:val="zh-CN"/>
        </w:rPr>
        <w:t>27</w:t>
      </w:r>
      <w:r w:rsidRPr="009D48A5">
        <w:rPr>
          <w:lang w:val="zh-CN"/>
        </w:rPr>
        <w:t>日</w:t>
      </w:r>
      <w:r w:rsidRPr="009D48A5">
        <w:rPr>
          <w:rFonts w:hint="eastAsia"/>
          <w:lang w:val="zh-CN"/>
        </w:rPr>
        <w:t>的</w:t>
      </w:r>
      <w:r w:rsidRPr="009D48A5">
        <w:rPr>
          <w:lang w:val="zh-CN"/>
        </w:rPr>
        <w:t>命令</w:t>
      </w:r>
      <w:r>
        <w:rPr>
          <w:lang w:val="zh-CN"/>
        </w:rPr>
        <w:t>，</w:t>
      </w:r>
      <w:r w:rsidRPr="009D48A5">
        <w:rPr>
          <w:lang w:val="zh-CN"/>
        </w:rPr>
        <w:t>《</w:t>
      </w:r>
      <w:r w:rsidRPr="009D48A5">
        <w:rPr>
          <w:lang w:val="zh-CN"/>
        </w:rPr>
        <w:t>1999</w:t>
      </w:r>
      <w:r w:rsidRPr="009D48A5">
        <w:rPr>
          <w:lang w:val="zh-CN"/>
        </w:rPr>
        <w:t>年海洋法法庭案例汇编》</w:t>
      </w:r>
      <w:r>
        <w:rPr>
          <w:lang w:val="zh-CN"/>
        </w:rPr>
        <w:t>，</w:t>
      </w:r>
      <w:r w:rsidRPr="009D48A5">
        <w:rPr>
          <w:lang w:val="zh-CN"/>
        </w:rPr>
        <w:t>第</w:t>
      </w:r>
      <w:r w:rsidRPr="009D48A5">
        <w:rPr>
          <w:lang w:val="zh-CN"/>
        </w:rPr>
        <w:t>280</w:t>
      </w:r>
      <w:r w:rsidRPr="009D48A5">
        <w:rPr>
          <w:lang w:val="zh-CN"/>
        </w:rPr>
        <w:t>页</w:t>
      </w:r>
      <w:r>
        <w:rPr>
          <w:lang w:val="zh-CN"/>
        </w:rPr>
        <w:t>，</w:t>
      </w:r>
      <w:r w:rsidRPr="009D48A5">
        <w:rPr>
          <w:lang w:val="zh-CN"/>
        </w:rPr>
        <w:t>见第</w:t>
      </w:r>
      <w:r w:rsidRPr="009D48A5">
        <w:rPr>
          <w:lang w:val="zh-CN"/>
        </w:rPr>
        <w:t>50</w:t>
      </w:r>
      <w:r w:rsidRPr="009D48A5">
        <w:rPr>
          <w:lang w:val="zh-CN"/>
        </w:rPr>
        <w:t>段</w:t>
      </w:r>
      <w:r>
        <w:rPr>
          <w:lang w:val="zh-CN"/>
        </w:rPr>
        <w:t>；</w:t>
      </w:r>
      <w:r w:rsidRPr="009D48A5">
        <w:rPr>
          <w:lang w:val="zh-CN"/>
        </w:rPr>
        <w:t>世贸组织上诉机构报告</w:t>
      </w:r>
      <w:r>
        <w:rPr>
          <w:lang w:val="zh-CN"/>
        </w:rPr>
        <w:t>，</w:t>
      </w:r>
      <w:r w:rsidRPr="009D48A5">
        <w:rPr>
          <w:rFonts w:ascii="Time New Roman" w:eastAsia="楷体" w:hAnsi="Time New Roman"/>
          <w:lang w:val="zh-CN"/>
        </w:rPr>
        <w:t>欧洲共同体－某些计算机设备的关税分类</w:t>
      </w:r>
      <w:r w:rsidRPr="009D48A5">
        <w:rPr>
          <w:rFonts w:ascii="Time New Roman" w:eastAsia="楷体" w:hAnsi="Time New Roman" w:hint="eastAsia"/>
          <w:lang w:val="zh-CN"/>
        </w:rPr>
        <w:t>案</w:t>
      </w:r>
      <w:r>
        <w:rPr>
          <w:rFonts w:ascii="Time New Roman" w:eastAsia="楷体" w:hAnsi="Time New Roman"/>
          <w:lang w:val="zh-CN"/>
        </w:rPr>
        <w:t>(</w:t>
      </w:r>
      <w:r w:rsidRPr="009D48A5">
        <w:rPr>
          <w:rFonts w:ascii="Time New Roman" w:eastAsia="楷体" w:hAnsi="Time New Roman"/>
          <w:lang w:val="zh-CN"/>
        </w:rPr>
        <w:t>欧共体－计算机设备案</w:t>
      </w:r>
      <w:r>
        <w:rPr>
          <w:lang w:val="zh-CN"/>
        </w:rPr>
        <w:t>)</w:t>
      </w:r>
      <w:r>
        <w:rPr>
          <w:lang w:val="zh-CN"/>
        </w:rPr>
        <w:t>，</w:t>
      </w:r>
      <w:r w:rsidRPr="009D48A5">
        <w:rPr>
          <w:lang w:val="zh-CN"/>
        </w:rPr>
        <w:t>WT</w:t>
      </w:r>
      <w:r>
        <w:rPr>
          <w:lang w:val="zh-CN"/>
        </w:rPr>
        <w:t>/</w:t>
      </w:r>
      <w:r w:rsidRPr="009D48A5">
        <w:rPr>
          <w:lang w:val="zh-CN"/>
        </w:rPr>
        <w:t>DS62</w:t>
      </w:r>
      <w:r>
        <w:rPr>
          <w:lang w:val="zh-CN"/>
        </w:rPr>
        <w:t>/</w:t>
      </w:r>
      <w:r w:rsidRPr="009D48A5">
        <w:rPr>
          <w:lang w:val="zh-CN"/>
        </w:rPr>
        <w:t>AB</w:t>
      </w:r>
      <w:r>
        <w:rPr>
          <w:lang w:val="zh-CN"/>
        </w:rPr>
        <w:t>/</w:t>
      </w:r>
      <w:r w:rsidRPr="009D48A5">
        <w:rPr>
          <w:lang w:val="zh-CN"/>
        </w:rPr>
        <w:t>R</w:t>
      </w:r>
      <w:r w:rsidRPr="009D48A5">
        <w:rPr>
          <w:lang w:val="zh-CN"/>
        </w:rPr>
        <w:t>、</w:t>
      </w:r>
      <w:r w:rsidRPr="009D48A5">
        <w:rPr>
          <w:lang w:val="zh-CN"/>
        </w:rPr>
        <w:t>WT</w:t>
      </w:r>
      <w:r>
        <w:rPr>
          <w:lang w:val="zh-CN"/>
        </w:rPr>
        <w:t>/</w:t>
      </w:r>
      <w:r w:rsidRPr="009D48A5">
        <w:rPr>
          <w:lang w:val="zh-CN"/>
        </w:rPr>
        <w:t>DS67</w:t>
      </w:r>
      <w:r>
        <w:rPr>
          <w:lang w:val="zh-CN"/>
        </w:rPr>
        <w:t>/</w:t>
      </w:r>
      <w:r w:rsidRPr="009D48A5">
        <w:rPr>
          <w:lang w:val="zh-CN"/>
        </w:rPr>
        <w:t>AB</w:t>
      </w:r>
      <w:r>
        <w:rPr>
          <w:lang w:val="zh-CN"/>
        </w:rPr>
        <w:t>/</w:t>
      </w:r>
      <w:r w:rsidRPr="009D48A5">
        <w:rPr>
          <w:lang w:val="zh-CN"/>
        </w:rPr>
        <w:t>R</w:t>
      </w:r>
      <w:r w:rsidRPr="009D48A5">
        <w:rPr>
          <w:lang w:val="zh-CN"/>
        </w:rPr>
        <w:t>和</w:t>
      </w:r>
      <w:r w:rsidRPr="009D48A5">
        <w:rPr>
          <w:lang w:val="zh-CN"/>
        </w:rPr>
        <w:t>WT</w:t>
      </w:r>
      <w:r>
        <w:rPr>
          <w:lang w:val="zh-CN"/>
        </w:rPr>
        <w:t>/</w:t>
      </w:r>
      <w:r w:rsidRPr="009D48A5">
        <w:rPr>
          <w:lang w:val="zh-CN"/>
        </w:rPr>
        <w:t>DS68</w:t>
      </w:r>
      <w:r>
        <w:rPr>
          <w:lang w:val="zh-CN"/>
        </w:rPr>
        <w:t>/</w:t>
      </w:r>
      <w:r w:rsidRPr="009D48A5">
        <w:rPr>
          <w:lang w:val="zh-CN"/>
        </w:rPr>
        <w:t>AB</w:t>
      </w:r>
      <w:r>
        <w:rPr>
          <w:lang w:val="zh-CN"/>
        </w:rPr>
        <w:t xml:space="preserve">/R, </w:t>
      </w:r>
      <w:r w:rsidRPr="009D48A5">
        <w:rPr>
          <w:lang w:val="zh-CN"/>
        </w:rPr>
        <w:t>1998</w:t>
      </w:r>
      <w:r w:rsidRPr="009D48A5">
        <w:rPr>
          <w:lang w:val="zh-CN"/>
        </w:rPr>
        <w:t>年</w:t>
      </w:r>
      <w:r w:rsidRPr="009D48A5">
        <w:rPr>
          <w:lang w:val="zh-CN"/>
        </w:rPr>
        <w:t>6</w:t>
      </w:r>
      <w:r w:rsidRPr="009D48A5">
        <w:rPr>
          <w:lang w:val="zh-CN"/>
        </w:rPr>
        <w:t>月</w:t>
      </w:r>
      <w:r w:rsidRPr="009D48A5">
        <w:rPr>
          <w:lang w:val="zh-CN"/>
        </w:rPr>
        <w:t>22</w:t>
      </w:r>
      <w:r w:rsidRPr="009D48A5">
        <w:rPr>
          <w:lang w:val="zh-CN"/>
        </w:rPr>
        <w:t>日通过</w:t>
      </w:r>
      <w:r>
        <w:rPr>
          <w:lang w:val="zh-CN"/>
        </w:rPr>
        <w:t>，</w:t>
      </w:r>
      <w:r w:rsidRPr="009D48A5">
        <w:rPr>
          <w:lang w:val="zh-CN"/>
        </w:rPr>
        <w:t>第</w:t>
      </w:r>
      <w:r w:rsidRPr="009D48A5">
        <w:rPr>
          <w:lang w:val="zh-CN"/>
        </w:rPr>
        <w:t>90</w:t>
      </w:r>
      <w:r w:rsidRPr="009D48A5">
        <w:rPr>
          <w:lang w:val="zh-CN"/>
        </w:rPr>
        <w:t>段</w:t>
      </w:r>
      <w:r>
        <w:rPr>
          <w:lang w:val="zh-CN"/>
        </w:rPr>
        <w:t>；</w:t>
      </w:r>
      <w:r w:rsidRPr="009D48A5">
        <w:rPr>
          <w:lang w:val="zh-CN"/>
        </w:rPr>
        <w:t>另见世贸组织上诉机构报告</w:t>
      </w:r>
      <w:r>
        <w:rPr>
          <w:lang w:val="zh-CN"/>
        </w:rPr>
        <w:t>，</w:t>
      </w:r>
      <w:r w:rsidRPr="009D48A5">
        <w:rPr>
          <w:rFonts w:ascii="Time New Roman" w:eastAsia="楷体" w:hAnsi="Time New Roman"/>
          <w:lang w:val="zh-CN"/>
        </w:rPr>
        <w:t>美国－某些原产国标签要求</w:t>
      </w:r>
      <w:r w:rsidRPr="009D48A5">
        <w:rPr>
          <w:rFonts w:ascii="Time New Roman" w:eastAsia="楷体" w:hAnsi="Time New Roman" w:hint="eastAsia"/>
          <w:lang w:val="zh-CN"/>
        </w:rPr>
        <w:t>案</w:t>
      </w:r>
      <w:r>
        <w:rPr>
          <w:rFonts w:ascii="Time New Roman" w:eastAsia="楷体" w:hAnsi="Time New Roman"/>
          <w:lang w:val="zh-CN"/>
        </w:rPr>
        <w:t>(</w:t>
      </w:r>
      <w:r w:rsidRPr="009D48A5">
        <w:rPr>
          <w:rFonts w:ascii="Time New Roman" w:eastAsia="楷体" w:hAnsi="Time New Roman"/>
          <w:lang w:val="zh-CN"/>
        </w:rPr>
        <w:t>美国－原产国标签案</w:t>
      </w:r>
      <w:r>
        <w:rPr>
          <w:lang w:val="zh-CN"/>
        </w:rPr>
        <w:t>)</w:t>
      </w:r>
      <w:r>
        <w:rPr>
          <w:lang w:val="zh-CN"/>
        </w:rPr>
        <w:t>，</w:t>
      </w:r>
      <w:r w:rsidRPr="009D48A5">
        <w:rPr>
          <w:lang w:val="zh-CN"/>
        </w:rPr>
        <w:t>WT</w:t>
      </w:r>
      <w:r>
        <w:rPr>
          <w:lang w:val="zh-CN"/>
        </w:rPr>
        <w:t>/</w:t>
      </w:r>
      <w:r w:rsidRPr="009D48A5">
        <w:rPr>
          <w:lang w:val="zh-CN"/>
        </w:rPr>
        <w:t>DS384</w:t>
      </w:r>
      <w:r>
        <w:rPr>
          <w:lang w:val="zh-CN"/>
        </w:rPr>
        <w:t>/</w:t>
      </w:r>
      <w:r w:rsidRPr="009D48A5">
        <w:rPr>
          <w:lang w:val="zh-CN"/>
        </w:rPr>
        <w:t>AB</w:t>
      </w:r>
      <w:r>
        <w:rPr>
          <w:lang w:val="zh-CN"/>
        </w:rPr>
        <w:t>/</w:t>
      </w:r>
      <w:r w:rsidRPr="009D48A5">
        <w:rPr>
          <w:lang w:val="zh-CN"/>
        </w:rPr>
        <w:t>R</w:t>
      </w:r>
      <w:r w:rsidRPr="009D48A5">
        <w:rPr>
          <w:lang w:val="zh-CN"/>
        </w:rPr>
        <w:t>和</w:t>
      </w:r>
      <w:r w:rsidRPr="009D48A5">
        <w:rPr>
          <w:lang w:val="zh-CN"/>
        </w:rPr>
        <w:t>WT</w:t>
      </w:r>
      <w:r>
        <w:rPr>
          <w:lang w:val="zh-CN"/>
        </w:rPr>
        <w:t>/</w:t>
      </w:r>
      <w:r w:rsidRPr="009D48A5">
        <w:rPr>
          <w:lang w:val="zh-CN"/>
        </w:rPr>
        <w:t>DS386</w:t>
      </w:r>
      <w:r>
        <w:rPr>
          <w:lang w:val="zh-CN"/>
        </w:rPr>
        <w:t>/</w:t>
      </w:r>
      <w:r w:rsidRPr="009D48A5">
        <w:rPr>
          <w:lang w:val="zh-CN"/>
        </w:rPr>
        <w:t>AB</w:t>
      </w:r>
      <w:r>
        <w:rPr>
          <w:lang w:val="zh-CN"/>
        </w:rPr>
        <w:t xml:space="preserve">/R, </w:t>
      </w:r>
      <w:r w:rsidRPr="009D48A5">
        <w:rPr>
          <w:lang w:val="zh-CN"/>
        </w:rPr>
        <w:t>2012</w:t>
      </w:r>
      <w:r w:rsidRPr="009D48A5">
        <w:rPr>
          <w:lang w:val="zh-CN"/>
        </w:rPr>
        <w:t>年</w:t>
      </w:r>
      <w:r w:rsidRPr="009D48A5">
        <w:rPr>
          <w:lang w:val="zh-CN"/>
        </w:rPr>
        <w:t>7</w:t>
      </w:r>
      <w:r w:rsidRPr="009D48A5">
        <w:rPr>
          <w:lang w:val="zh-CN"/>
        </w:rPr>
        <w:t>月</w:t>
      </w:r>
      <w:r w:rsidRPr="009D48A5">
        <w:rPr>
          <w:lang w:val="zh-CN"/>
        </w:rPr>
        <w:t>23</w:t>
      </w:r>
      <w:r w:rsidRPr="009D48A5">
        <w:rPr>
          <w:lang w:val="zh-CN"/>
        </w:rPr>
        <w:t>日通过</w:t>
      </w:r>
      <w:r>
        <w:rPr>
          <w:lang w:val="zh-CN"/>
        </w:rPr>
        <w:t>，</w:t>
      </w:r>
      <w:r w:rsidRPr="009D48A5">
        <w:rPr>
          <w:lang w:val="zh-CN"/>
        </w:rPr>
        <w:t>第</w:t>
      </w:r>
      <w:r w:rsidRPr="009D48A5">
        <w:rPr>
          <w:lang w:val="zh-CN"/>
        </w:rPr>
        <w:t>452</w:t>
      </w:r>
      <w:r w:rsidRPr="009D48A5">
        <w:rPr>
          <w:lang w:val="zh-CN"/>
        </w:rPr>
        <w:t>段。</w:t>
      </w:r>
    </w:p>
  </w:footnote>
  <w:footnote w:id="415">
    <w:p w:rsidR="00AB00DE" w:rsidRPr="009D48A5" w:rsidRDefault="00AB00DE" w:rsidP="0078561F">
      <w:pPr>
        <w:pStyle w:val="a4"/>
        <w:keepLines w:val="0"/>
        <w:spacing w:line="230" w:lineRule="exact"/>
      </w:pPr>
      <w:r w:rsidRPr="009D48A5">
        <w:rPr>
          <w:lang w:val="zh-CN"/>
        </w:rPr>
        <w:tab/>
      </w:r>
      <w:r w:rsidRPr="00DF5565">
        <w:rPr>
          <w:rStyle w:val="a5"/>
          <w:szCs w:val="22"/>
          <w:lang w:val="zh-CN"/>
        </w:rPr>
        <w:footnoteRef/>
      </w:r>
      <w:r w:rsidRPr="009D48A5">
        <w:rPr>
          <w:lang w:val="zh-CN"/>
        </w:rPr>
        <w:tab/>
        <w:t>Yassee</w:t>
      </w:r>
      <w:r>
        <w:rPr>
          <w:lang w:val="zh-CN"/>
        </w:rPr>
        <w:t xml:space="preserve">n, </w:t>
      </w:r>
      <w:r w:rsidRPr="009D48A5">
        <w:rPr>
          <w:rFonts w:hint="eastAsia"/>
          <w:lang w:val="zh-CN"/>
        </w:rPr>
        <w:t>“</w:t>
      </w:r>
      <w:r w:rsidRPr="009D48A5">
        <w:rPr>
          <w:rFonts w:hint="eastAsia"/>
        </w:rPr>
        <w:t>……</w:t>
      </w:r>
      <w:r w:rsidRPr="009D48A5">
        <w:rPr>
          <w:lang w:val="zh-CN"/>
        </w:rPr>
        <w:t>对条约进行解释</w:t>
      </w:r>
      <w:r w:rsidRPr="009D48A5">
        <w:rPr>
          <w:rFonts w:hint="eastAsia"/>
          <w:lang w:val="zh-CN"/>
        </w:rPr>
        <w:t>”</w:t>
      </w:r>
      <w:r>
        <w:rPr>
          <w:lang w:val="zh-CN"/>
        </w:rPr>
        <w:t>，</w:t>
      </w:r>
      <w:r>
        <w:rPr>
          <w:lang w:val="zh-CN"/>
        </w:rPr>
        <w:t>(</w:t>
      </w:r>
      <w:r w:rsidRPr="009D48A5">
        <w:rPr>
          <w:lang w:val="zh-CN"/>
        </w:rPr>
        <w:t>见</w:t>
      </w:r>
      <w:r>
        <w:rPr>
          <w:lang w:val="zh-CN"/>
        </w:rPr>
        <w:t>上文脚注</w:t>
      </w:r>
      <w:r>
        <w:fldChar w:fldCharType="begin"/>
      </w:r>
      <w:r>
        <w:instrText xml:space="preserve"> NOTEREF _Ref461972846 \h </w:instrText>
      </w:r>
      <w:r>
        <w:fldChar w:fldCharType="separate"/>
      </w:r>
      <w:r w:rsidR="00A73EB9">
        <w:t>393</w:t>
      </w:r>
      <w:r>
        <w:fldChar w:fldCharType="end"/>
      </w:r>
      <w:r>
        <w:rPr>
          <w:lang w:val="zh-CN"/>
        </w:rPr>
        <w:t>)</w:t>
      </w:r>
      <w:r>
        <w:rPr>
          <w:lang w:val="zh-CN"/>
        </w:rPr>
        <w:t>，</w:t>
      </w:r>
      <w:r w:rsidRPr="009D48A5">
        <w:rPr>
          <w:lang w:val="zh-CN"/>
        </w:rPr>
        <w:t>见第</w:t>
      </w:r>
      <w:r w:rsidRPr="009D48A5">
        <w:rPr>
          <w:lang w:val="zh-CN"/>
        </w:rPr>
        <w:t>52</w:t>
      </w:r>
      <w:r w:rsidRPr="009D48A5">
        <w:rPr>
          <w:lang w:val="zh-CN"/>
        </w:rPr>
        <w:t>页</w:t>
      </w:r>
      <w:r>
        <w:rPr>
          <w:lang w:val="zh-CN"/>
        </w:rPr>
        <w:t>(</w:t>
      </w:r>
      <w:r w:rsidRPr="009D48A5">
        <w:rPr>
          <w:rFonts w:hint="eastAsia"/>
          <w:lang w:val="zh-CN"/>
        </w:rPr>
        <w:t>“</w:t>
      </w:r>
      <w:r w:rsidRPr="009D48A5">
        <w:rPr>
          <w:lang w:val="zh-CN"/>
        </w:rPr>
        <w:t>la Convention de Vienne ne retient pas comme élément de la règle générale d’interprétation la pratique ultérieure en généra</w:t>
      </w:r>
      <w:r>
        <w:rPr>
          <w:lang w:val="zh-CN"/>
        </w:rPr>
        <w:t xml:space="preserve">l, </w:t>
      </w:r>
      <w:r w:rsidRPr="009D48A5">
        <w:rPr>
          <w:lang w:val="zh-CN"/>
        </w:rPr>
        <w:t>mais une pratique ultérieure spécifiqu</w:t>
      </w:r>
      <w:r>
        <w:rPr>
          <w:lang w:val="zh-CN"/>
        </w:rPr>
        <w:t xml:space="preserve">e, </w:t>
      </w:r>
      <w:r w:rsidRPr="009D48A5">
        <w:rPr>
          <w:lang w:val="zh-CN"/>
        </w:rPr>
        <w:t xml:space="preserve">à savoir </w:t>
      </w:r>
      <w:r w:rsidRPr="009D48A5">
        <w:rPr>
          <w:i/>
          <w:iCs/>
          <w:lang w:val="zh-CN"/>
        </w:rPr>
        <w:t>une pratique ultérieure non seulement concordant</w:t>
      </w:r>
      <w:r>
        <w:rPr>
          <w:i/>
          <w:iCs/>
          <w:lang w:val="zh-CN"/>
        </w:rPr>
        <w:t xml:space="preserve">e, </w:t>
      </w:r>
      <w:r w:rsidRPr="009D48A5">
        <w:rPr>
          <w:i/>
          <w:iCs/>
          <w:lang w:val="zh-CN"/>
        </w:rPr>
        <w:t>mais également commune à toutes les parties.</w:t>
      </w:r>
      <w:r w:rsidRPr="009D48A5">
        <w:rPr>
          <w:rFonts w:hint="eastAsia"/>
          <w:i/>
          <w:iCs/>
          <w:lang w:val="zh-CN"/>
        </w:rPr>
        <w:t>”</w:t>
      </w:r>
      <w:r w:rsidRPr="009D48A5">
        <w:rPr>
          <w:i/>
          <w:iCs/>
          <w:lang w:val="zh-CN"/>
        </w:rPr>
        <w:t>Ce qui reste de la pratique ultérieure peut être un moyen complémentaire d’interprétatio</w:t>
      </w:r>
      <w:r>
        <w:rPr>
          <w:i/>
          <w:iCs/>
          <w:lang w:val="zh-CN"/>
        </w:rPr>
        <w:t xml:space="preserve">n, </w:t>
      </w:r>
      <w:r w:rsidRPr="009D48A5">
        <w:rPr>
          <w:i/>
          <w:iCs/>
          <w:lang w:val="zh-CN"/>
        </w:rPr>
        <w:t>selon l’article 32 de la Convention de Vienne</w:t>
      </w:r>
      <w:r w:rsidRPr="009D48A5">
        <w:rPr>
          <w:rFonts w:hint="eastAsia"/>
          <w:lang w:val="zh-CN"/>
        </w:rPr>
        <w:t>”</w:t>
      </w:r>
      <w:r>
        <w:rPr>
          <w:lang w:val="zh-CN"/>
        </w:rPr>
        <w:t>)(</w:t>
      </w:r>
      <w:r w:rsidRPr="009D48A5">
        <w:rPr>
          <w:lang w:val="zh-CN"/>
        </w:rPr>
        <w:t>强调系本文所加</w:t>
      </w:r>
      <w:r>
        <w:rPr>
          <w:lang w:val="zh-CN"/>
        </w:rPr>
        <w:t>)</w:t>
      </w:r>
      <w:r>
        <w:rPr>
          <w:lang w:val="zh-CN"/>
        </w:rPr>
        <w:t>；</w:t>
      </w:r>
      <w:r w:rsidRPr="009D48A5">
        <w:rPr>
          <w:lang w:val="zh-CN"/>
        </w:rPr>
        <w:t>Sinclai</w:t>
      </w:r>
      <w:r>
        <w:rPr>
          <w:lang w:val="zh-CN"/>
        </w:rPr>
        <w:t xml:space="preserve">r, </w:t>
      </w:r>
      <w:r w:rsidRPr="009D48A5">
        <w:rPr>
          <w:lang w:val="zh-CN"/>
        </w:rPr>
        <w:t>《维也纳</w:t>
      </w:r>
      <w:r w:rsidRPr="009D48A5">
        <w:rPr>
          <w:rFonts w:hint="eastAsia"/>
        </w:rPr>
        <w:t>……</w:t>
      </w:r>
      <w:r w:rsidRPr="009D48A5">
        <w:rPr>
          <w:lang w:val="zh-CN"/>
        </w:rPr>
        <w:t>公约》</w:t>
      </w:r>
      <w:r>
        <w:rPr>
          <w:lang w:val="zh-CN"/>
        </w:rPr>
        <w:t>(</w:t>
      </w:r>
      <w:r w:rsidRPr="009D48A5">
        <w:rPr>
          <w:lang w:val="zh-CN"/>
        </w:rPr>
        <w:t>见</w:t>
      </w:r>
      <w:r>
        <w:rPr>
          <w:lang w:val="zh-CN"/>
        </w:rPr>
        <w:t>上文脚注</w:t>
      </w:r>
      <w:r>
        <w:fldChar w:fldCharType="begin"/>
      </w:r>
      <w:r>
        <w:instrText xml:space="preserve"> NOTEREF _Ref461972846 \h </w:instrText>
      </w:r>
      <w:r>
        <w:fldChar w:fldCharType="separate"/>
      </w:r>
      <w:r w:rsidR="00A73EB9">
        <w:t>393</w:t>
      </w:r>
      <w:r>
        <w:fldChar w:fldCharType="end"/>
      </w:r>
      <w:r>
        <w:rPr>
          <w:lang w:val="zh-CN"/>
        </w:rPr>
        <w:t>)</w:t>
      </w:r>
      <w:r>
        <w:rPr>
          <w:lang w:val="zh-CN"/>
        </w:rPr>
        <w:t>，</w:t>
      </w:r>
      <w:r w:rsidRPr="009D48A5">
        <w:rPr>
          <w:lang w:val="zh-CN"/>
        </w:rPr>
        <w:t>见第</w:t>
      </w:r>
      <w:r w:rsidRPr="009D48A5">
        <w:rPr>
          <w:lang w:val="zh-CN"/>
        </w:rPr>
        <w:t>138</w:t>
      </w:r>
      <w:r w:rsidRPr="009D48A5">
        <w:rPr>
          <w:lang w:val="zh-CN"/>
        </w:rPr>
        <w:t>页</w:t>
      </w:r>
      <w:r>
        <w:rPr>
          <w:lang w:val="zh-CN"/>
        </w:rPr>
        <w:t>：</w:t>
      </w:r>
      <w:r w:rsidRPr="009D48A5">
        <w:rPr>
          <w:rFonts w:hint="eastAsia"/>
          <w:lang w:val="zh-CN"/>
        </w:rPr>
        <w:t>“</w:t>
      </w:r>
      <w:r w:rsidRPr="009D48A5">
        <w:rPr>
          <w:rFonts w:hint="eastAsia"/>
        </w:rPr>
        <w:t>……</w:t>
      </w:r>
      <w:r w:rsidRPr="009D48A5">
        <w:rPr>
          <w:lang w:val="zh-CN"/>
        </w:rPr>
        <w:t>《公约》第三十一条第三款</w:t>
      </w:r>
      <w:r>
        <w:rPr>
          <w:lang w:val="zh-CN"/>
        </w:rPr>
        <w:t>(</w:t>
      </w:r>
      <w:r w:rsidRPr="009D48A5">
        <w:rPr>
          <w:lang w:val="zh-CN"/>
        </w:rPr>
        <w:t>b</w:t>
      </w:r>
      <w:r>
        <w:rPr>
          <w:lang w:val="zh-CN"/>
        </w:rPr>
        <w:t>)</w:t>
      </w:r>
      <w:r w:rsidRPr="009D48A5">
        <w:rPr>
          <w:lang w:val="zh-CN"/>
        </w:rPr>
        <w:t>项仅</w:t>
      </w:r>
      <w:r>
        <w:rPr>
          <w:lang w:val="zh-CN"/>
        </w:rPr>
        <w:t>[</w:t>
      </w:r>
      <w:r w:rsidRPr="009D48A5">
        <w:rPr>
          <w:lang w:val="zh-CN"/>
        </w:rPr>
        <w:t>涉及</w:t>
      </w:r>
      <w:r>
        <w:rPr>
          <w:lang w:val="zh-CN"/>
        </w:rPr>
        <w:t>]</w:t>
      </w:r>
      <w:r w:rsidRPr="009D48A5">
        <w:rPr>
          <w:lang w:val="zh-CN"/>
        </w:rPr>
        <w:t>一种具体形式的司法惯例</w:t>
      </w:r>
      <w:r w:rsidRPr="00E83B81">
        <w:rPr>
          <w:rFonts w:ascii="Time New Roman" w:hAnsi="Time New Roman" w:hint="eastAsia"/>
          <w:spacing w:val="-50"/>
        </w:rPr>
        <w:t>―</w:t>
      </w:r>
      <w:r w:rsidRPr="00E83B81">
        <w:rPr>
          <w:rFonts w:ascii="Time New Roman" w:hAnsi="Time New Roman" w:hint="eastAsia"/>
        </w:rPr>
        <w:t>―</w:t>
      </w:r>
      <w:r w:rsidRPr="009D48A5">
        <w:rPr>
          <w:lang w:val="zh-CN"/>
        </w:rPr>
        <w:t>即</w:t>
      </w:r>
      <w:r w:rsidRPr="009D48A5">
        <w:rPr>
          <w:rFonts w:ascii="Time New Roman" w:eastAsia="楷体" w:hAnsi="Time New Roman"/>
          <w:lang w:val="zh-CN"/>
        </w:rPr>
        <w:t>所有当事方共有的一致性嗣后惯例</w:t>
      </w:r>
      <w:r w:rsidRPr="009D48A5">
        <w:rPr>
          <w:lang w:val="zh-CN"/>
        </w:rPr>
        <w:t>。</w:t>
      </w:r>
      <w:r w:rsidRPr="009D48A5">
        <w:rPr>
          <w:rFonts w:ascii="Time New Roman" w:eastAsia="楷体" w:hAnsi="Time New Roman"/>
          <w:lang w:val="zh-CN"/>
        </w:rPr>
        <w:t>然而不在这一狭窄定义范围内的嗣后惯例可构成《公约》第三十二条意义上的补充的解释资料</w:t>
      </w:r>
      <w:r w:rsidRPr="009D48A5">
        <w:rPr>
          <w:rFonts w:hint="eastAsia"/>
          <w:lang w:val="zh-CN"/>
        </w:rPr>
        <w:t>”</w:t>
      </w:r>
      <w:r>
        <w:rPr>
          <w:lang w:val="zh-CN"/>
        </w:rPr>
        <w:t>(</w:t>
      </w:r>
      <w:r w:rsidRPr="009D48A5">
        <w:rPr>
          <w:lang w:val="zh-CN"/>
        </w:rPr>
        <w:t>强调系本文所加</w:t>
      </w:r>
      <w:r>
        <w:rPr>
          <w:lang w:val="zh-CN"/>
        </w:rPr>
        <w:t>)</w:t>
      </w:r>
      <w:r>
        <w:rPr>
          <w:lang w:val="zh-CN"/>
        </w:rPr>
        <w:t>；</w:t>
      </w:r>
      <w:r w:rsidRPr="009D48A5">
        <w:rPr>
          <w:lang w:val="zh-CN"/>
        </w:rPr>
        <w:t>S. Torres Bernárde</w:t>
      </w:r>
      <w:r>
        <w:rPr>
          <w:lang w:val="zh-CN"/>
        </w:rPr>
        <w:t xml:space="preserve">z, </w:t>
      </w:r>
      <w:r w:rsidRPr="009D48A5">
        <w:rPr>
          <w:rFonts w:hint="eastAsia"/>
          <w:lang w:val="zh-CN"/>
        </w:rPr>
        <w:t>“</w:t>
      </w:r>
      <w:r w:rsidRPr="009D48A5">
        <w:rPr>
          <w:lang w:val="zh-CN"/>
        </w:rPr>
        <w:t>自</w:t>
      </w:r>
      <w:r w:rsidRPr="009D48A5">
        <w:rPr>
          <w:lang w:val="zh-CN"/>
        </w:rPr>
        <w:t>1969</w:t>
      </w:r>
      <w:r w:rsidRPr="009D48A5">
        <w:rPr>
          <w:lang w:val="zh-CN"/>
        </w:rPr>
        <w:t>年《维也纳条约法公约》通过以来国际法院对条约的解释</w:t>
      </w:r>
      <w:r w:rsidRPr="009D48A5">
        <w:rPr>
          <w:rFonts w:hint="eastAsia"/>
          <w:lang w:val="zh-CN"/>
        </w:rPr>
        <w:t>”</w:t>
      </w:r>
      <w:r>
        <w:rPr>
          <w:lang w:val="zh-CN"/>
        </w:rPr>
        <w:t>，</w:t>
      </w:r>
      <w:r w:rsidRPr="009D48A5">
        <w:rPr>
          <w:lang w:val="zh-CN"/>
        </w:rPr>
        <w:t>载于《</w:t>
      </w:r>
      <w:r w:rsidRPr="009D48A5">
        <w:rPr>
          <w:lang w:val="zh-CN"/>
        </w:rPr>
        <w:t>Ignaz Seidl-Hohenveldern</w:t>
      </w:r>
      <w:r w:rsidRPr="009D48A5">
        <w:rPr>
          <w:lang w:val="zh-CN"/>
        </w:rPr>
        <w:t>教授诞辰八十周年纪念文集》</w:t>
      </w:r>
      <w:r>
        <w:rPr>
          <w:lang w:val="zh-CN"/>
        </w:rPr>
        <w:t>，</w:t>
      </w:r>
      <w:r w:rsidRPr="009D48A5">
        <w:rPr>
          <w:lang w:val="zh-CN"/>
        </w:rPr>
        <w:t>G. Hafner</w:t>
      </w:r>
      <w:r w:rsidRPr="009D48A5">
        <w:rPr>
          <w:rFonts w:hint="eastAsia"/>
          <w:lang w:val="zh-CN"/>
        </w:rPr>
        <w:t>等人</w:t>
      </w:r>
      <w:r>
        <w:rPr>
          <w:lang w:val="zh-CN"/>
        </w:rPr>
        <w:t>(</w:t>
      </w:r>
      <w:r w:rsidRPr="009D48A5">
        <w:rPr>
          <w:lang w:val="zh-CN"/>
        </w:rPr>
        <w:t>编</w:t>
      </w:r>
      <w:r>
        <w:rPr>
          <w:lang w:val="zh-CN"/>
        </w:rPr>
        <w:t>)(</w:t>
      </w:r>
      <w:r w:rsidRPr="009D48A5">
        <w:rPr>
          <w:lang w:val="zh-CN"/>
        </w:rPr>
        <w:t>海牙</w:t>
      </w:r>
      <w:r>
        <w:rPr>
          <w:lang w:val="zh-CN"/>
        </w:rPr>
        <w:t>，</w:t>
      </w:r>
      <w:r w:rsidRPr="009D48A5">
        <w:rPr>
          <w:lang w:val="zh-CN"/>
        </w:rPr>
        <w:t>Kluwer Law Internationa</w:t>
      </w:r>
      <w:r>
        <w:rPr>
          <w:lang w:val="zh-CN"/>
        </w:rPr>
        <w:t xml:space="preserve">l, </w:t>
      </w:r>
      <w:r w:rsidRPr="009D48A5">
        <w:rPr>
          <w:lang w:val="zh-CN"/>
        </w:rPr>
        <w:t>1998</w:t>
      </w:r>
      <w:r w:rsidRPr="009D48A5">
        <w:rPr>
          <w:lang w:val="zh-CN"/>
        </w:rPr>
        <w:t>年</w:t>
      </w:r>
      <w:r>
        <w:rPr>
          <w:lang w:val="zh-CN"/>
        </w:rPr>
        <w:t>)</w:t>
      </w:r>
      <w:r>
        <w:rPr>
          <w:lang w:val="zh-CN"/>
        </w:rPr>
        <w:t>，</w:t>
      </w:r>
      <w:r w:rsidRPr="009D48A5">
        <w:rPr>
          <w:lang w:val="zh-CN"/>
        </w:rPr>
        <w:t>第</w:t>
      </w:r>
      <w:r w:rsidRPr="009D48A5">
        <w:rPr>
          <w:lang w:val="zh-CN"/>
        </w:rPr>
        <w:t>721</w:t>
      </w:r>
      <w:r w:rsidRPr="009D48A5">
        <w:rPr>
          <w:lang w:val="zh-CN"/>
        </w:rPr>
        <w:t>页起</w:t>
      </w:r>
      <w:r>
        <w:rPr>
          <w:lang w:val="zh-CN"/>
        </w:rPr>
        <w:t>，</w:t>
      </w:r>
      <w:r w:rsidRPr="009D48A5">
        <w:rPr>
          <w:lang w:val="zh-CN"/>
        </w:rPr>
        <w:t>见第</w:t>
      </w:r>
      <w:r w:rsidRPr="009D48A5">
        <w:rPr>
          <w:lang w:val="zh-CN"/>
        </w:rPr>
        <w:t>726</w:t>
      </w:r>
      <w:r w:rsidRPr="009D48A5">
        <w:rPr>
          <w:lang w:val="zh-CN"/>
        </w:rPr>
        <w:t>页</w:t>
      </w:r>
      <w:r>
        <w:rPr>
          <w:lang w:val="zh-CN"/>
        </w:rPr>
        <w:t>；</w:t>
      </w:r>
      <w:r w:rsidRPr="009D48A5">
        <w:rPr>
          <w:lang w:val="zh-CN"/>
        </w:rPr>
        <w:t>M.E. Villige</w:t>
      </w:r>
      <w:r>
        <w:rPr>
          <w:lang w:val="zh-CN"/>
        </w:rPr>
        <w:t xml:space="preserve">r, </w:t>
      </w:r>
      <w:r w:rsidRPr="009D48A5">
        <w:rPr>
          <w:lang w:val="zh-CN"/>
        </w:rPr>
        <w:t>《对</w:t>
      </w:r>
      <w:r w:rsidRPr="009D48A5">
        <w:rPr>
          <w:lang w:val="zh-CN"/>
        </w:rPr>
        <w:t>1969</w:t>
      </w:r>
      <w:r w:rsidRPr="009D48A5">
        <w:rPr>
          <w:lang w:val="zh-CN"/>
        </w:rPr>
        <w:t>年〈维也纳条约法公约〉的评注》</w:t>
      </w:r>
      <w:r>
        <w:rPr>
          <w:lang w:val="zh-CN"/>
        </w:rPr>
        <w:t>(</w:t>
      </w:r>
      <w:r w:rsidRPr="009D48A5">
        <w:rPr>
          <w:lang w:val="zh-CN"/>
        </w:rPr>
        <w:t>莱顿</w:t>
      </w:r>
      <w:r>
        <w:rPr>
          <w:lang w:val="zh-CN"/>
        </w:rPr>
        <w:t>，</w:t>
      </w:r>
      <w:r w:rsidRPr="009D48A5">
        <w:rPr>
          <w:lang w:val="zh-CN"/>
        </w:rPr>
        <w:t>Martinus Nijhof</w:t>
      </w:r>
      <w:r>
        <w:rPr>
          <w:lang w:val="zh-CN"/>
        </w:rPr>
        <w:t xml:space="preserve">f, </w:t>
      </w:r>
      <w:r w:rsidRPr="009D48A5">
        <w:rPr>
          <w:lang w:val="zh-CN"/>
        </w:rPr>
        <w:t>2009</w:t>
      </w:r>
      <w:r w:rsidRPr="009D48A5">
        <w:rPr>
          <w:lang w:val="zh-CN"/>
        </w:rPr>
        <w:t>年</w:t>
      </w:r>
      <w:r>
        <w:rPr>
          <w:lang w:val="zh-CN"/>
        </w:rPr>
        <w:t>)</w:t>
      </w:r>
      <w:r>
        <w:rPr>
          <w:lang w:val="zh-CN"/>
        </w:rPr>
        <w:t>，</w:t>
      </w:r>
      <w:r w:rsidRPr="009D48A5">
        <w:rPr>
          <w:lang w:val="zh-CN"/>
        </w:rPr>
        <w:t>第</w:t>
      </w:r>
      <w:r w:rsidRPr="009D48A5">
        <w:rPr>
          <w:lang w:val="zh-CN"/>
        </w:rPr>
        <w:t>431</w:t>
      </w:r>
      <w:r w:rsidRPr="009D48A5">
        <w:rPr>
          <w:rFonts w:hint="eastAsia"/>
          <w:lang w:val="zh-CN"/>
        </w:rPr>
        <w:t>-</w:t>
      </w:r>
      <w:r w:rsidRPr="009D48A5">
        <w:rPr>
          <w:lang w:val="zh-CN"/>
        </w:rPr>
        <w:t>432</w:t>
      </w:r>
      <w:r w:rsidRPr="009D48A5">
        <w:rPr>
          <w:lang w:val="zh-CN"/>
        </w:rPr>
        <w:t>页。</w:t>
      </w:r>
    </w:p>
  </w:footnote>
  <w:footnote w:id="416">
    <w:p w:rsidR="00AB00DE" w:rsidRPr="009D48A5" w:rsidRDefault="00AB00DE" w:rsidP="00267AB1">
      <w:pPr>
        <w:pStyle w:val="a4"/>
        <w:spacing w:after="80"/>
      </w:pPr>
      <w:r w:rsidRPr="009D48A5">
        <w:rPr>
          <w:lang w:val="zh-CN"/>
        </w:rPr>
        <w:tab/>
      </w:r>
      <w:r w:rsidRPr="00DF5565">
        <w:rPr>
          <w:rStyle w:val="a5"/>
          <w:szCs w:val="22"/>
          <w:lang w:val="zh-CN"/>
        </w:rPr>
        <w:footnoteRef/>
      </w:r>
      <w:r w:rsidRPr="009D48A5">
        <w:rPr>
          <w:lang w:val="zh-CN"/>
        </w:rPr>
        <w:tab/>
      </w:r>
      <w:r w:rsidRPr="009D48A5">
        <w:rPr>
          <w:lang w:val="zh-CN"/>
        </w:rPr>
        <w:t>见</w:t>
      </w:r>
      <w:r w:rsidRPr="009D48A5">
        <w:rPr>
          <w:lang w:val="zh-CN"/>
        </w:rPr>
        <w:t xml:space="preserve">L. Boisson de </w:t>
      </w:r>
      <w:r w:rsidRPr="009D48A5">
        <w:t>Chazournes,</w:t>
      </w:r>
      <w:r w:rsidRPr="009D48A5">
        <w:rPr>
          <w:rFonts w:hint="eastAsia"/>
          <w:lang w:val="zh-CN"/>
        </w:rPr>
        <w:t>“</w:t>
      </w:r>
      <w:r w:rsidRPr="009D48A5">
        <w:rPr>
          <w:lang w:val="zh-CN"/>
        </w:rPr>
        <w:t>嗣后惯例、惯例及</w:t>
      </w:r>
      <w:r w:rsidRPr="009D48A5">
        <w:rPr>
          <w:lang w:val="zh-CN"/>
        </w:rPr>
        <w:t>‘</w:t>
      </w:r>
      <w:r w:rsidRPr="009D48A5">
        <w:rPr>
          <w:lang w:val="zh-CN"/>
        </w:rPr>
        <w:t>家族相似性</w:t>
      </w:r>
      <w:r w:rsidRPr="009D48A5">
        <w:rPr>
          <w:lang w:val="zh-CN"/>
        </w:rPr>
        <w:t>’</w:t>
      </w:r>
      <w:r w:rsidRPr="009D48A5">
        <w:rPr>
          <w:lang w:val="zh-CN"/>
        </w:rPr>
        <w:t>：力求将嗣后惯例植入到实施场地中</w:t>
      </w:r>
      <w:r w:rsidRPr="009D48A5">
        <w:rPr>
          <w:rFonts w:hint="eastAsia"/>
          <w:lang w:val="zh-CN"/>
        </w:rPr>
        <w:t>”</w:t>
      </w:r>
      <w:r w:rsidRPr="009D48A5">
        <w:rPr>
          <w:lang w:val="zh-CN"/>
        </w:rPr>
        <w:t>，载于诺尔特</w:t>
      </w:r>
      <w:r w:rsidRPr="009D48A5">
        <w:rPr>
          <w:lang w:val="zh-CN"/>
        </w:rPr>
        <w:t>,</w:t>
      </w:r>
      <w:r w:rsidRPr="009D48A5">
        <w:rPr>
          <w:lang w:val="zh-CN"/>
        </w:rPr>
        <w:t>《条约与嗣后惯例》</w:t>
      </w:r>
      <w:r w:rsidRPr="009D48A5">
        <w:rPr>
          <w:lang w:val="zh-CN"/>
        </w:rPr>
        <w:t>(</w:t>
      </w:r>
      <w:r w:rsidRPr="009D48A5">
        <w:rPr>
          <w:lang w:val="zh-CN"/>
        </w:rPr>
        <w:t>见</w:t>
      </w:r>
      <w:r>
        <w:rPr>
          <w:lang w:val="zh-CN"/>
        </w:rPr>
        <w:t>上文脚注</w:t>
      </w:r>
      <w:r>
        <w:rPr>
          <w:lang w:val="zh-CN"/>
        </w:rPr>
        <w:fldChar w:fldCharType="begin"/>
      </w:r>
      <w:r>
        <w:rPr>
          <w:lang w:val="zh-CN"/>
        </w:rPr>
        <w:instrText xml:space="preserve"> NOTEREF _Ref461973084 \h </w:instrText>
      </w:r>
      <w:r>
        <w:rPr>
          <w:lang w:val="zh-CN"/>
        </w:rPr>
      </w:r>
      <w:r>
        <w:rPr>
          <w:lang w:val="zh-CN"/>
        </w:rPr>
        <w:fldChar w:fldCharType="separate"/>
      </w:r>
      <w:r w:rsidR="00A73EB9">
        <w:rPr>
          <w:lang w:val="zh-CN"/>
        </w:rPr>
        <w:t>398</w:t>
      </w:r>
      <w:r>
        <w:rPr>
          <w:lang w:val="zh-CN"/>
        </w:rPr>
        <w:fldChar w:fldCharType="end"/>
      </w:r>
      <w:r>
        <w:rPr>
          <w:lang w:val="zh-CN"/>
        </w:rPr>
        <w:t>)</w:t>
      </w:r>
      <w:r w:rsidRPr="009D48A5">
        <w:rPr>
          <w:lang w:val="zh-CN"/>
        </w:rPr>
        <w:t>，第</w:t>
      </w:r>
      <w:r w:rsidRPr="009D48A5">
        <w:rPr>
          <w:lang w:val="zh-CN"/>
        </w:rPr>
        <w:t>53-63</w:t>
      </w:r>
      <w:r w:rsidRPr="009D48A5">
        <w:rPr>
          <w:lang w:val="zh-CN"/>
        </w:rPr>
        <w:t>页，见第</w:t>
      </w:r>
      <w:r w:rsidRPr="009D48A5">
        <w:rPr>
          <w:lang w:val="zh-CN"/>
        </w:rPr>
        <w:t>59-62</w:t>
      </w:r>
      <w:r w:rsidRPr="009D48A5">
        <w:rPr>
          <w:lang w:val="zh-CN"/>
        </w:rPr>
        <w:t>页。</w:t>
      </w:r>
    </w:p>
  </w:footnote>
  <w:footnote w:id="417">
    <w:p w:rsidR="00AB00DE" w:rsidRPr="009D48A5" w:rsidRDefault="00AB00DE" w:rsidP="00560424">
      <w:pPr>
        <w:pStyle w:val="a4"/>
        <w:spacing w:after="80"/>
      </w:pPr>
      <w:r w:rsidRPr="009D48A5">
        <w:rPr>
          <w:lang w:val="zh-CN"/>
        </w:rPr>
        <w:tab/>
      </w:r>
      <w:r w:rsidRPr="00DF5565">
        <w:rPr>
          <w:rStyle w:val="a5"/>
          <w:szCs w:val="22"/>
          <w:lang w:val="zh-CN"/>
        </w:rPr>
        <w:footnoteRef/>
      </w:r>
      <w:r w:rsidRPr="009D48A5">
        <w:rPr>
          <w:lang w:val="zh-CN"/>
        </w:rPr>
        <w:tab/>
      </w:r>
      <w:hyperlink r:id="rId49" w:history="1">
        <w:r w:rsidRPr="002A5F63">
          <w:rPr>
            <w:rStyle w:val="af"/>
            <w:lang w:val="zh-CN"/>
          </w:rPr>
          <w:t>A/CN.4/660</w:t>
        </w:r>
      </w:hyperlink>
      <w:r w:rsidRPr="002A5F63">
        <w:rPr>
          <w:lang w:val="zh-CN"/>
        </w:rPr>
        <w:t>,</w:t>
      </w:r>
      <w:r w:rsidRPr="009D48A5">
        <w:rPr>
          <w:lang w:val="zh-CN"/>
        </w:rPr>
        <w:t xml:space="preserve"> </w:t>
      </w:r>
      <w:r w:rsidRPr="009D48A5">
        <w:rPr>
          <w:lang w:val="zh-CN"/>
        </w:rPr>
        <w:t>第</w:t>
      </w:r>
      <w:r w:rsidRPr="009D48A5">
        <w:rPr>
          <w:lang w:val="zh-CN"/>
        </w:rPr>
        <w:t>64</w:t>
      </w:r>
      <w:r w:rsidRPr="009D48A5">
        <w:rPr>
          <w:lang w:val="zh-CN"/>
        </w:rPr>
        <w:t>段；诺尔特</w:t>
      </w:r>
      <w:r w:rsidRPr="009D48A5">
        <w:rPr>
          <w:lang w:val="zh-CN"/>
        </w:rPr>
        <w:t>,</w:t>
      </w:r>
      <w:r w:rsidRPr="009D48A5">
        <w:rPr>
          <w:rFonts w:hint="eastAsia"/>
          <w:lang w:val="zh-CN"/>
        </w:rPr>
        <w:t>“</w:t>
      </w:r>
      <w:r w:rsidRPr="009D48A5">
        <w:rPr>
          <w:rFonts w:hint="eastAsia"/>
        </w:rPr>
        <w:t>……</w:t>
      </w:r>
      <w:r w:rsidRPr="009D48A5">
        <w:rPr>
          <w:lang w:val="zh-CN"/>
        </w:rPr>
        <w:t>国际法院</w:t>
      </w:r>
      <w:r w:rsidRPr="009D48A5">
        <w:rPr>
          <w:rFonts w:hint="eastAsia"/>
        </w:rPr>
        <w:t>……</w:t>
      </w:r>
      <w:r w:rsidRPr="009D48A5">
        <w:rPr>
          <w:lang w:val="zh-CN"/>
        </w:rPr>
        <w:t>判例</w:t>
      </w:r>
      <w:r w:rsidRPr="009D48A5">
        <w:rPr>
          <w:rFonts w:hint="eastAsia"/>
        </w:rPr>
        <w:t>……</w:t>
      </w:r>
      <w:r w:rsidRPr="009D48A5">
        <w:rPr>
          <w:rFonts w:hint="eastAsia"/>
          <w:lang w:val="zh-CN"/>
        </w:rPr>
        <w:t>”</w:t>
      </w:r>
      <w:r w:rsidRPr="009D48A5">
        <w:rPr>
          <w:lang w:val="zh-CN"/>
        </w:rPr>
        <w:t>，</w:t>
      </w:r>
      <w:r w:rsidRPr="009D48A5">
        <w:rPr>
          <w:lang w:val="zh-CN"/>
        </w:rPr>
        <w:t>(</w:t>
      </w:r>
      <w:r w:rsidRPr="009D48A5">
        <w:rPr>
          <w:lang w:val="zh-CN"/>
        </w:rPr>
        <w:t>见上文脚注</w:t>
      </w:r>
      <w:r>
        <w:rPr>
          <w:lang w:val="zh-CN"/>
        </w:rPr>
        <w:fldChar w:fldCharType="begin"/>
      </w:r>
      <w:r>
        <w:rPr>
          <w:lang w:val="zh-CN"/>
        </w:rPr>
        <w:instrText xml:space="preserve"> NOTEREF _Ref461975626 \h </w:instrText>
      </w:r>
      <w:r>
        <w:rPr>
          <w:lang w:val="zh-CN"/>
        </w:rPr>
      </w:r>
      <w:r>
        <w:rPr>
          <w:lang w:val="zh-CN"/>
        </w:rPr>
        <w:fldChar w:fldCharType="separate"/>
      </w:r>
      <w:r w:rsidR="00A73EB9">
        <w:rPr>
          <w:lang w:val="zh-CN"/>
        </w:rPr>
        <w:t>410</w:t>
      </w:r>
      <w:r>
        <w:rPr>
          <w:lang w:val="zh-CN"/>
        </w:rPr>
        <w:fldChar w:fldCharType="end"/>
      </w:r>
      <w:r w:rsidRPr="009D48A5">
        <w:rPr>
          <w:lang w:val="zh-CN"/>
        </w:rPr>
        <w:t>)</w:t>
      </w:r>
      <w:r w:rsidRPr="009D48A5">
        <w:rPr>
          <w:lang w:val="zh-CN"/>
        </w:rPr>
        <w:t>，见第</w:t>
      </w:r>
      <w:r w:rsidRPr="009D48A5">
        <w:rPr>
          <w:lang w:val="zh-CN"/>
        </w:rPr>
        <w:t>171</w:t>
      </w:r>
      <w:r w:rsidRPr="009D48A5">
        <w:rPr>
          <w:lang w:val="zh-CN"/>
        </w:rPr>
        <w:t>和第</w:t>
      </w:r>
      <w:r w:rsidRPr="009D48A5">
        <w:rPr>
          <w:lang w:val="zh-CN"/>
        </w:rPr>
        <w:t>177</w:t>
      </w:r>
      <w:r w:rsidRPr="009D48A5">
        <w:rPr>
          <w:lang w:val="zh-CN"/>
        </w:rPr>
        <w:t>页。</w:t>
      </w:r>
    </w:p>
  </w:footnote>
  <w:footnote w:id="418">
    <w:p w:rsidR="00AB00DE" w:rsidRPr="009D48A5" w:rsidRDefault="00AB00DE" w:rsidP="00560424">
      <w:pPr>
        <w:pStyle w:val="a4"/>
        <w:spacing w:after="80"/>
      </w:pPr>
      <w:r w:rsidRPr="009D48A5">
        <w:rPr>
          <w:lang w:val="zh-CN"/>
        </w:rPr>
        <w:tab/>
      </w:r>
      <w:r w:rsidRPr="00DF5565">
        <w:rPr>
          <w:rStyle w:val="a5"/>
          <w:szCs w:val="22"/>
          <w:lang w:val="zh-CN"/>
        </w:rPr>
        <w:footnoteRef/>
      </w:r>
      <w:r w:rsidRPr="009D48A5">
        <w:rPr>
          <w:lang w:val="zh-CN"/>
        </w:rPr>
        <w:tab/>
      </w:r>
      <w:r w:rsidRPr="009D48A5">
        <w:rPr>
          <w:lang w:val="zh-CN"/>
        </w:rPr>
        <w:t>关于嗣后协定和嗣后惯例</w:t>
      </w:r>
      <w:r w:rsidRPr="009D48A5">
        <w:t>相对</w:t>
      </w:r>
      <w:r w:rsidRPr="009D48A5">
        <w:rPr>
          <w:lang w:val="zh-CN"/>
        </w:rPr>
        <w:t>于其他解释资料的不同作用，见</w:t>
      </w:r>
      <w:hyperlink r:id="rId50" w:history="1">
        <w:r w:rsidRPr="002A5F63">
          <w:rPr>
            <w:rStyle w:val="af"/>
            <w:lang w:val="zh-CN"/>
          </w:rPr>
          <w:t>A/CN.4/660</w:t>
        </w:r>
      </w:hyperlink>
      <w:r w:rsidRPr="00BD173B">
        <w:rPr>
          <w:rStyle w:val="af"/>
          <w:color w:val="auto"/>
        </w:rPr>
        <w:t xml:space="preserve">, </w:t>
      </w:r>
      <w:r w:rsidRPr="009D48A5">
        <w:rPr>
          <w:lang w:val="zh-CN"/>
        </w:rPr>
        <w:t>第</w:t>
      </w:r>
      <w:r w:rsidRPr="009D48A5">
        <w:rPr>
          <w:lang w:val="zh-CN"/>
        </w:rPr>
        <w:t>42-57</w:t>
      </w:r>
      <w:r w:rsidRPr="009D48A5">
        <w:rPr>
          <w:lang w:val="zh-CN"/>
        </w:rPr>
        <w:t>段；诺尔特</w:t>
      </w:r>
      <w:r w:rsidRPr="009D48A5">
        <w:rPr>
          <w:lang w:val="zh-CN"/>
        </w:rPr>
        <w:t>,</w:t>
      </w:r>
      <w:r w:rsidRPr="009D48A5">
        <w:rPr>
          <w:rFonts w:hint="eastAsia"/>
          <w:lang w:val="zh-CN"/>
        </w:rPr>
        <w:t>“</w:t>
      </w:r>
      <w:r w:rsidRPr="009D48A5">
        <w:rPr>
          <w:rFonts w:hint="eastAsia"/>
        </w:rPr>
        <w:t>……</w:t>
      </w:r>
      <w:r w:rsidRPr="009D48A5">
        <w:rPr>
          <w:lang w:val="zh-CN"/>
        </w:rPr>
        <w:t>国际法院</w:t>
      </w:r>
      <w:r w:rsidRPr="009D48A5">
        <w:rPr>
          <w:rFonts w:hint="eastAsia"/>
        </w:rPr>
        <w:t>……</w:t>
      </w:r>
      <w:r w:rsidRPr="009D48A5">
        <w:rPr>
          <w:lang w:val="zh-CN"/>
        </w:rPr>
        <w:t>判例</w:t>
      </w:r>
      <w:r w:rsidRPr="009D48A5">
        <w:rPr>
          <w:rFonts w:hint="eastAsia"/>
        </w:rPr>
        <w:t>……</w:t>
      </w:r>
      <w:r w:rsidRPr="009D48A5">
        <w:rPr>
          <w:rFonts w:hint="eastAsia"/>
          <w:lang w:val="zh-CN"/>
        </w:rPr>
        <w:t>”</w:t>
      </w:r>
      <w:r w:rsidRPr="009D48A5">
        <w:rPr>
          <w:lang w:val="zh-CN"/>
        </w:rPr>
        <w:t>，</w:t>
      </w:r>
      <w:r w:rsidRPr="009D48A5">
        <w:rPr>
          <w:lang w:val="zh-CN"/>
        </w:rPr>
        <w:t>(</w:t>
      </w:r>
      <w:r w:rsidRPr="009D48A5">
        <w:rPr>
          <w:lang w:val="zh-CN"/>
        </w:rPr>
        <w:t>见上文脚注</w:t>
      </w:r>
      <w:r>
        <w:rPr>
          <w:lang w:val="zh-CN"/>
        </w:rPr>
        <w:fldChar w:fldCharType="begin"/>
      </w:r>
      <w:r>
        <w:rPr>
          <w:lang w:val="zh-CN"/>
        </w:rPr>
        <w:instrText xml:space="preserve"> NOTEREF _Ref461975626 \h </w:instrText>
      </w:r>
      <w:r>
        <w:rPr>
          <w:lang w:val="zh-CN"/>
        </w:rPr>
      </w:r>
      <w:r>
        <w:rPr>
          <w:lang w:val="zh-CN"/>
        </w:rPr>
        <w:fldChar w:fldCharType="separate"/>
      </w:r>
      <w:r w:rsidR="00A73EB9">
        <w:rPr>
          <w:lang w:val="zh-CN"/>
        </w:rPr>
        <w:t>410</w:t>
      </w:r>
      <w:r>
        <w:rPr>
          <w:lang w:val="zh-CN"/>
        </w:rPr>
        <w:fldChar w:fldCharType="end"/>
      </w:r>
      <w:r w:rsidRPr="009D48A5">
        <w:rPr>
          <w:lang w:val="zh-CN"/>
        </w:rPr>
        <w:t>)</w:t>
      </w:r>
      <w:r w:rsidRPr="009D48A5">
        <w:rPr>
          <w:lang w:val="zh-CN"/>
        </w:rPr>
        <w:t>，见第</w:t>
      </w:r>
      <w:r w:rsidRPr="009D48A5">
        <w:rPr>
          <w:lang w:val="zh-CN"/>
        </w:rPr>
        <w:t>183</w:t>
      </w:r>
      <w:r w:rsidRPr="009D48A5">
        <w:rPr>
          <w:lang w:val="zh-CN"/>
        </w:rPr>
        <w:t>页。</w:t>
      </w:r>
    </w:p>
  </w:footnote>
  <w:footnote w:id="419">
    <w:p w:rsidR="00AB00DE" w:rsidRPr="009D48A5" w:rsidRDefault="00AB00DE" w:rsidP="00B44972">
      <w:pPr>
        <w:pStyle w:val="a4"/>
        <w:spacing w:after="80"/>
      </w:pPr>
      <w:r w:rsidRPr="009D48A5">
        <w:rPr>
          <w:lang w:val="zh-CN"/>
        </w:rPr>
        <w:tab/>
      </w:r>
      <w:r w:rsidRPr="00DF5565">
        <w:rPr>
          <w:rStyle w:val="a5"/>
          <w:szCs w:val="22"/>
          <w:lang w:val="zh-CN"/>
        </w:rPr>
        <w:footnoteRef/>
      </w:r>
      <w:r w:rsidRPr="009D48A5">
        <w:rPr>
          <w:lang w:val="zh-CN"/>
        </w:rPr>
        <w:tab/>
      </w:r>
      <w:r w:rsidRPr="009D48A5">
        <w:rPr>
          <w:lang w:val="zh-CN"/>
        </w:rPr>
        <w:t>《</w:t>
      </w:r>
      <w:r w:rsidRPr="009D48A5">
        <w:rPr>
          <w:lang w:val="zh-CN"/>
        </w:rPr>
        <w:t>1966</w:t>
      </w:r>
      <w:r w:rsidRPr="009D48A5">
        <w:rPr>
          <w:lang w:val="zh-CN"/>
        </w:rPr>
        <w:t>年</w:t>
      </w:r>
      <w:r w:rsidRPr="009D48A5">
        <w:rPr>
          <w:rFonts w:hint="eastAsia"/>
        </w:rPr>
        <w:t>……</w:t>
      </w:r>
      <w:r w:rsidRPr="009D48A5">
        <w:rPr>
          <w:lang w:val="zh-CN"/>
        </w:rPr>
        <w:t>年鉴》，第二卷，</w:t>
      </w:r>
      <w:r w:rsidRPr="009D48A5">
        <w:rPr>
          <w:lang w:val="zh-CN"/>
        </w:rPr>
        <w:t>A/6309/Rev.1</w:t>
      </w:r>
      <w:r w:rsidRPr="009D48A5">
        <w:rPr>
          <w:lang w:val="zh-CN"/>
        </w:rPr>
        <w:t>号文件，第</w:t>
      </w:r>
      <w:r w:rsidRPr="009D48A5">
        <w:rPr>
          <w:lang w:val="zh-CN"/>
        </w:rPr>
        <w:t>219-220</w:t>
      </w:r>
      <w:r w:rsidRPr="009D48A5">
        <w:rPr>
          <w:lang w:val="zh-CN"/>
        </w:rPr>
        <w:t>页，第</w:t>
      </w:r>
      <w:r w:rsidRPr="009D48A5">
        <w:rPr>
          <w:lang w:val="zh-CN"/>
        </w:rPr>
        <w:t>(8)</w:t>
      </w:r>
      <w:r w:rsidRPr="009D48A5">
        <w:rPr>
          <w:lang w:val="zh-CN"/>
        </w:rPr>
        <w:t>段。</w:t>
      </w:r>
    </w:p>
  </w:footnote>
  <w:footnote w:id="420">
    <w:p w:rsidR="00AB00DE" w:rsidRPr="009D48A5" w:rsidRDefault="00AB00DE" w:rsidP="00B44972">
      <w:pPr>
        <w:pStyle w:val="a4"/>
        <w:spacing w:after="80"/>
      </w:pPr>
      <w:r w:rsidRPr="009D48A5">
        <w:rPr>
          <w:lang w:val="zh-CN"/>
        </w:rPr>
        <w:tab/>
      </w:r>
      <w:r w:rsidRPr="00DF5565">
        <w:rPr>
          <w:rStyle w:val="a5"/>
          <w:szCs w:val="22"/>
          <w:lang w:val="zh-CN"/>
        </w:rPr>
        <w:footnoteRef/>
      </w:r>
      <w:r w:rsidRPr="009D48A5">
        <w:rPr>
          <w:lang w:val="zh-CN"/>
        </w:rPr>
        <w:tab/>
      </w:r>
      <w:r w:rsidRPr="009D48A5">
        <w:t>同上</w:t>
      </w:r>
      <w:r w:rsidRPr="009D48A5">
        <w:rPr>
          <w:lang w:val="zh-CN"/>
        </w:rPr>
        <w:t>。</w:t>
      </w:r>
    </w:p>
  </w:footnote>
  <w:footnote w:id="421">
    <w:p w:rsidR="00AB00DE" w:rsidRPr="009D48A5" w:rsidRDefault="00AB00DE" w:rsidP="00B44972">
      <w:pPr>
        <w:pStyle w:val="a4"/>
        <w:spacing w:after="80"/>
      </w:pPr>
      <w:r w:rsidRPr="009D48A5">
        <w:rPr>
          <w:lang w:val="zh-CN"/>
        </w:rPr>
        <w:tab/>
      </w:r>
      <w:r w:rsidRPr="00DF5565">
        <w:rPr>
          <w:rStyle w:val="a5"/>
          <w:szCs w:val="22"/>
          <w:lang w:val="zh-CN"/>
        </w:rPr>
        <w:footnoteRef/>
      </w:r>
      <w:r w:rsidRPr="009D48A5">
        <w:rPr>
          <w:lang w:val="zh-CN"/>
        </w:rPr>
        <w:tab/>
      </w:r>
      <w:r w:rsidRPr="009D48A5">
        <w:rPr>
          <w:lang w:val="zh-CN"/>
        </w:rPr>
        <w:t>特别报告员在第一次报告中曾提出这一提议，见</w:t>
      </w:r>
      <w:hyperlink r:id="rId51" w:history="1">
        <w:r w:rsidRPr="002A5F63">
          <w:rPr>
            <w:rStyle w:val="af"/>
            <w:lang w:val="zh-CN"/>
          </w:rPr>
          <w:t>A/CN.4/660</w:t>
        </w:r>
      </w:hyperlink>
      <w:r w:rsidRPr="00BD173B">
        <w:rPr>
          <w:rStyle w:val="af"/>
          <w:color w:val="auto"/>
        </w:rPr>
        <w:t xml:space="preserve">, </w:t>
      </w:r>
      <w:r w:rsidRPr="009D48A5">
        <w:rPr>
          <w:lang w:val="zh-CN"/>
        </w:rPr>
        <w:t>第</w:t>
      </w:r>
      <w:r w:rsidRPr="009D48A5">
        <w:rPr>
          <w:lang w:val="zh-CN"/>
        </w:rPr>
        <w:t>28</w:t>
      </w:r>
      <w:r w:rsidRPr="009D48A5">
        <w:rPr>
          <w:lang w:val="zh-CN"/>
        </w:rPr>
        <w:t>段：</w:t>
      </w:r>
      <w:r w:rsidRPr="009D48A5">
        <w:rPr>
          <w:rFonts w:hint="eastAsia"/>
          <w:lang w:val="zh-CN"/>
        </w:rPr>
        <w:t>“</w:t>
      </w:r>
      <w:r w:rsidRPr="009D48A5">
        <w:rPr>
          <w:lang w:val="zh-CN"/>
        </w:rPr>
        <w:t>结论草案</w:t>
      </w:r>
      <w:r w:rsidRPr="009D48A5">
        <w:rPr>
          <w:lang w:val="zh-CN"/>
        </w:rPr>
        <w:t>1(</w:t>
      </w:r>
      <w:r w:rsidRPr="009D48A5">
        <w:rPr>
          <w:lang w:val="zh-CN"/>
        </w:rPr>
        <w:t>条约解释通则和资料</w:t>
      </w:r>
      <w:r w:rsidRPr="009D48A5">
        <w:rPr>
          <w:lang w:val="zh-CN"/>
        </w:rPr>
        <w:t>)</w:t>
      </w:r>
      <w:r w:rsidRPr="009D48A5">
        <w:rPr>
          <w:rFonts w:hint="eastAsia"/>
        </w:rPr>
        <w:t>……</w:t>
      </w:r>
      <w:r w:rsidRPr="009D48A5">
        <w:rPr>
          <w:lang w:val="zh-CN"/>
        </w:rPr>
        <w:t>在一个具体案件中解释一项条约时，会导致对《维也纳公约》第三十一和三十二条所载各种解释资料给予不</w:t>
      </w:r>
      <w:r w:rsidRPr="009D48A5">
        <w:t>同程度的强调，尤其是根据所涉条约或条约条款，对条约案文或条约目的和宗旨给予不同程度的强调。</w:t>
      </w:r>
      <w:r w:rsidRPr="009D48A5">
        <w:rPr>
          <w:rFonts w:hint="eastAsia"/>
        </w:rPr>
        <w:t>”</w:t>
      </w:r>
      <w:r w:rsidRPr="009D48A5">
        <w:t>另</w:t>
      </w:r>
      <w:r w:rsidRPr="009D48A5">
        <w:rPr>
          <w:lang w:val="zh-CN"/>
        </w:rPr>
        <w:t>见第一次报告中的分析</w:t>
      </w:r>
      <w:r w:rsidRPr="009D48A5">
        <w:rPr>
          <w:lang w:val="zh-CN"/>
        </w:rPr>
        <w:t>(</w:t>
      </w:r>
      <w:r w:rsidRPr="009D48A5">
        <w:rPr>
          <w:lang w:val="zh-CN"/>
        </w:rPr>
        <w:t>同上，第</w:t>
      </w:r>
      <w:r w:rsidRPr="009D48A5">
        <w:rPr>
          <w:lang w:val="zh-CN"/>
        </w:rPr>
        <w:t>8-27</w:t>
      </w:r>
      <w:r w:rsidRPr="009D48A5">
        <w:rPr>
          <w:lang w:val="zh-CN"/>
        </w:rPr>
        <w:t>段</w:t>
      </w:r>
      <w:r w:rsidRPr="009D48A5">
        <w:rPr>
          <w:lang w:val="zh-CN"/>
        </w:rPr>
        <w:t>)</w:t>
      </w:r>
      <w:r w:rsidRPr="009D48A5">
        <w:rPr>
          <w:lang w:val="zh-CN"/>
        </w:rPr>
        <w:t>。</w:t>
      </w:r>
    </w:p>
  </w:footnote>
  <w:footnote w:id="422">
    <w:p w:rsidR="00AB00DE" w:rsidRPr="009D48A5" w:rsidRDefault="00AB00DE" w:rsidP="00560424">
      <w:pPr>
        <w:pStyle w:val="a4"/>
        <w:spacing w:after="80"/>
      </w:pPr>
      <w:r w:rsidRPr="009D48A5">
        <w:rPr>
          <w:lang w:val="zh-CN"/>
        </w:rPr>
        <w:tab/>
      </w:r>
      <w:r w:rsidRPr="00DF5565">
        <w:rPr>
          <w:rStyle w:val="a5"/>
          <w:szCs w:val="22"/>
          <w:lang w:val="zh-CN"/>
        </w:rPr>
        <w:footnoteRef/>
      </w:r>
      <w:r w:rsidRPr="009D48A5">
        <w:rPr>
          <w:lang w:val="zh-CN"/>
        </w:rPr>
        <w:tab/>
      </w:r>
      <w:r w:rsidRPr="009D48A5">
        <w:rPr>
          <w:lang w:val="zh-CN"/>
        </w:rPr>
        <w:t>另见上文结论草案</w:t>
      </w:r>
      <w:r w:rsidRPr="009D48A5">
        <w:rPr>
          <w:rFonts w:hint="eastAsia"/>
          <w:lang w:val="zh-CN"/>
        </w:rPr>
        <w:t>2[</w:t>
      </w:r>
      <w:r w:rsidRPr="009D48A5">
        <w:rPr>
          <w:lang w:val="zh-CN"/>
        </w:rPr>
        <w:t>1</w:t>
      </w:r>
      <w:r w:rsidRPr="009D48A5">
        <w:rPr>
          <w:rFonts w:hint="eastAsia"/>
          <w:lang w:val="zh-CN"/>
        </w:rPr>
        <w:t>]</w:t>
      </w:r>
      <w:r w:rsidRPr="009D48A5">
        <w:rPr>
          <w:lang w:val="zh-CN"/>
        </w:rPr>
        <w:t>评注，第</w:t>
      </w:r>
      <w:r w:rsidRPr="009D48A5">
        <w:rPr>
          <w:lang w:val="zh-CN"/>
        </w:rPr>
        <w:t>(1)</w:t>
      </w:r>
      <w:r w:rsidRPr="009D48A5">
        <w:rPr>
          <w:lang w:val="zh-CN"/>
        </w:rPr>
        <w:t>段；</w:t>
      </w:r>
      <w:r w:rsidRPr="009D48A5">
        <w:rPr>
          <w:lang w:val="zh-CN"/>
        </w:rPr>
        <w:t>Villiger,</w:t>
      </w:r>
      <w:r w:rsidRPr="009D48A5">
        <w:rPr>
          <w:rFonts w:hint="eastAsia"/>
          <w:lang w:val="zh-CN"/>
        </w:rPr>
        <w:t>“</w:t>
      </w:r>
      <w:r w:rsidRPr="009D48A5">
        <w:rPr>
          <w:lang w:val="zh-CN"/>
        </w:rPr>
        <w:t>1969</w:t>
      </w:r>
      <w:r w:rsidRPr="009D48A5">
        <w:rPr>
          <w:lang w:val="zh-CN"/>
        </w:rPr>
        <w:t>年《维也纳</w:t>
      </w:r>
      <w:r w:rsidRPr="009D48A5">
        <w:rPr>
          <w:rFonts w:hint="eastAsia"/>
        </w:rPr>
        <w:t>……</w:t>
      </w:r>
      <w:r w:rsidRPr="009D48A5">
        <w:rPr>
          <w:lang w:val="zh-CN"/>
        </w:rPr>
        <w:t>公约》</w:t>
      </w:r>
      <w:r w:rsidRPr="009D48A5">
        <w:rPr>
          <w:rFonts w:hint="eastAsia"/>
          <w:lang w:val="zh-CN"/>
        </w:rPr>
        <w:t>”</w:t>
      </w:r>
      <w:r w:rsidRPr="009D48A5">
        <w:rPr>
          <w:lang w:val="zh-CN"/>
        </w:rPr>
        <w:t>(</w:t>
      </w:r>
      <w:r w:rsidRPr="009D48A5">
        <w:rPr>
          <w:lang w:val="zh-CN"/>
        </w:rPr>
        <w:t>见上文脚注</w:t>
      </w:r>
      <w:r>
        <w:rPr>
          <w:lang w:val="zh-CN"/>
        </w:rPr>
        <w:fldChar w:fldCharType="begin"/>
      </w:r>
      <w:r>
        <w:rPr>
          <w:lang w:val="zh-CN"/>
        </w:rPr>
        <w:instrText xml:space="preserve"> NOTEREF _Ref461975596 \h </w:instrText>
      </w:r>
      <w:r>
        <w:rPr>
          <w:lang w:val="zh-CN"/>
        </w:rPr>
      </w:r>
      <w:r>
        <w:rPr>
          <w:lang w:val="zh-CN"/>
        </w:rPr>
        <w:fldChar w:fldCharType="separate"/>
      </w:r>
      <w:r w:rsidR="00A73EB9">
        <w:rPr>
          <w:lang w:val="zh-CN"/>
        </w:rPr>
        <w:t>391</w:t>
      </w:r>
      <w:r>
        <w:rPr>
          <w:lang w:val="zh-CN"/>
        </w:rPr>
        <w:fldChar w:fldCharType="end"/>
      </w:r>
      <w:r w:rsidRPr="009D48A5">
        <w:rPr>
          <w:lang w:val="zh-CN"/>
        </w:rPr>
        <w:t>)</w:t>
      </w:r>
      <w:r w:rsidRPr="009D48A5">
        <w:rPr>
          <w:lang w:val="zh-CN"/>
        </w:rPr>
        <w:t>，第</w:t>
      </w:r>
      <w:r w:rsidRPr="009D48A5">
        <w:rPr>
          <w:lang w:val="zh-CN"/>
        </w:rPr>
        <w:t>129</w:t>
      </w:r>
      <w:r w:rsidRPr="009D48A5">
        <w:rPr>
          <w:lang w:val="zh-CN"/>
        </w:rPr>
        <w:t>页；</w:t>
      </w:r>
      <w:r w:rsidRPr="009D48A5">
        <w:rPr>
          <w:lang w:val="zh-CN"/>
        </w:rPr>
        <w:t>Daillier</w:t>
      </w:r>
      <w:r w:rsidRPr="009D48A5">
        <w:rPr>
          <w:lang w:val="zh-CN"/>
        </w:rPr>
        <w:t>、</w:t>
      </w:r>
      <w:r w:rsidRPr="009D48A5">
        <w:rPr>
          <w:lang w:val="zh-CN"/>
        </w:rPr>
        <w:t>Forteau</w:t>
      </w:r>
      <w:r w:rsidRPr="009D48A5">
        <w:rPr>
          <w:lang w:val="zh-CN"/>
        </w:rPr>
        <w:t>和</w:t>
      </w:r>
      <w:r w:rsidRPr="009D48A5">
        <w:rPr>
          <w:lang w:val="zh-CN"/>
        </w:rPr>
        <w:t>Pellet,</w:t>
      </w:r>
      <w:r w:rsidRPr="009D48A5">
        <w:rPr>
          <w:lang w:val="zh-CN"/>
        </w:rPr>
        <w:t>《国际公法》</w:t>
      </w:r>
      <w:r w:rsidRPr="009D48A5">
        <w:rPr>
          <w:lang w:val="zh-CN"/>
        </w:rPr>
        <w:t>(</w:t>
      </w:r>
      <w:r w:rsidRPr="009D48A5">
        <w:rPr>
          <w:lang w:val="zh-CN"/>
        </w:rPr>
        <w:t>见</w:t>
      </w:r>
      <w:r>
        <w:rPr>
          <w:lang w:val="zh-CN"/>
        </w:rPr>
        <w:t>上文脚注</w:t>
      </w:r>
      <w:r>
        <w:rPr>
          <w:lang w:val="zh-CN"/>
        </w:rPr>
        <w:fldChar w:fldCharType="begin"/>
      </w:r>
      <w:r>
        <w:rPr>
          <w:lang w:val="zh-CN"/>
        </w:rPr>
        <w:instrText xml:space="preserve"> NOTEREF _Ref461975660 \h </w:instrText>
      </w:r>
      <w:r>
        <w:rPr>
          <w:lang w:val="zh-CN"/>
        </w:rPr>
      </w:r>
      <w:r>
        <w:rPr>
          <w:lang w:val="zh-CN"/>
        </w:rPr>
        <w:fldChar w:fldCharType="separate"/>
      </w:r>
      <w:r w:rsidR="00A73EB9">
        <w:rPr>
          <w:lang w:val="zh-CN"/>
        </w:rPr>
        <w:t>394</w:t>
      </w:r>
      <w:r>
        <w:rPr>
          <w:lang w:val="zh-CN"/>
        </w:rPr>
        <w:fldChar w:fldCharType="end"/>
      </w:r>
      <w:r>
        <w:rPr>
          <w:lang w:val="zh-CN"/>
        </w:rPr>
        <w:t>)</w:t>
      </w:r>
      <w:r w:rsidRPr="009D48A5">
        <w:rPr>
          <w:lang w:val="zh-CN"/>
        </w:rPr>
        <w:t>，见第</w:t>
      </w:r>
      <w:r w:rsidRPr="009D48A5">
        <w:rPr>
          <w:lang w:val="zh-CN"/>
        </w:rPr>
        <w:t>284-289</w:t>
      </w:r>
      <w:r w:rsidRPr="009D48A5">
        <w:rPr>
          <w:lang w:val="zh-CN"/>
        </w:rPr>
        <w:t>页。</w:t>
      </w:r>
    </w:p>
  </w:footnote>
  <w:footnote w:id="423">
    <w:p w:rsidR="00AB00DE" w:rsidRPr="009D48A5" w:rsidRDefault="00AB00DE" w:rsidP="00B44972">
      <w:pPr>
        <w:pStyle w:val="a4"/>
        <w:spacing w:after="80"/>
      </w:pPr>
      <w:r w:rsidRPr="009D48A5">
        <w:rPr>
          <w:lang w:val="zh-CN"/>
        </w:rPr>
        <w:tab/>
      </w:r>
      <w:r w:rsidRPr="00DF5565">
        <w:rPr>
          <w:rStyle w:val="a5"/>
          <w:szCs w:val="22"/>
          <w:lang w:val="zh-CN"/>
        </w:rPr>
        <w:footnoteRef/>
      </w:r>
      <w:r w:rsidRPr="009D48A5">
        <w:rPr>
          <w:lang w:val="zh-CN"/>
        </w:rPr>
        <w:tab/>
      </w:r>
      <w:r w:rsidRPr="009D48A5">
        <w:t>第</w:t>
      </w:r>
      <w:r w:rsidRPr="009D48A5">
        <w:t>3172</w:t>
      </w:r>
      <w:r w:rsidRPr="009D48A5">
        <w:rPr>
          <w:lang w:val="zh-CN"/>
        </w:rPr>
        <w:t>次会议临时简要记录，</w:t>
      </w:r>
      <w:r w:rsidRPr="009D48A5">
        <w:rPr>
          <w:lang w:val="zh-CN"/>
        </w:rPr>
        <w:t>2013</w:t>
      </w:r>
      <w:r w:rsidRPr="009D48A5">
        <w:rPr>
          <w:lang w:val="zh-CN"/>
        </w:rPr>
        <w:t>年</w:t>
      </w:r>
      <w:r w:rsidRPr="009D48A5">
        <w:rPr>
          <w:lang w:val="zh-CN"/>
        </w:rPr>
        <w:t>5</w:t>
      </w:r>
      <w:r w:rsidRPr="009D48A5">
        <w:rPr>
          <w:lang w:val="zh-CN"/>
        </w:rPr>
        <w:t>月</w:t>
      </w:r>
      <w:r w:rsidRPr="009D48A5">
        <w:rPr>
          <w:lang w:val="zh-CN"/>
        </w:rPr>
        <w:t>31</w:t>
      </w:r>
      <w:r w:rsidRPr="009D48A5">
        <w:rPr>
          <w:lang w:val="zh-CN"/>
        </w:rPr>
        <w:t>日</w:t>
      </w:r>
      <w:r w:rsidRPr="009D48A5">
        <w:rPr>
          <w:lang w:val="zh-CN"/>
        </w:rPr>
        <w:t>(A/CN.4/SR.3172)</w:t>
      </w:r>
      <w:r w:rsidRPr="009D48A5">
        <w:rPr>
          <w:lang w:val="zh-CN"/>
        </w:rPr>
        <w:t>，第</w:t>
      </w:r>
      <w:r w:rsidRPr="009D48A5">
        <w:rPr>
          <w:lang w:val="zh-CN"/>
        </w:rPr>
        <w:t>4</w:t>
      </w:r>
      <w:r w:rsidRPr="009D48A5">
        <w:rPr>
          <w:lang w:val="zh-CN"/>
        </w:rPr>
        <w:t>页。</w:t>
      </w:r>
    </w:p>
  </w:footnote>
  <w:footnote w:id="424">
    <w:p w:rsidR="00AB00DE" w:rsidRPr="009D48A5" w:rsidRDefault="00AB00DE" w:rsidP="00B44972">
      <w:pPr>
        <w:pStyle w:val="a4"/>
        <w:spacing w:after="80"/>
      </w:pPr>
      <w:r w:rsidRPr="009D48A5">
        <w:rPr>
          <w:lang w:val="zh-CN"/>
        </w:rPr>
        <w:tab/>
      </w:r>
      <w:r w:rsidRPr="00DF5565">
        <w:rPr>
          <w:rStyle w:val="a5"/>
          <w:szCs w:val="22"/>
          <w:lang w:val="zh-CN"/>
        </w:rPr>
        <w:footnoteRef/>
      </w:r>
      <w:r w:rsidRPr="009D48A5">
        <w:rPr>
          <w:lang w:val="zh-CN"/>
        </w:rPr>
        <w:tab/>
      </w:r>
      <w:r w:rsidRPr="009D48A5">
        <w:t>《</w:t>
      </w:r>
      <w:r w:rsidRPr="009D48A5">
        <w:t>1966</w:t>
      </w:r>
      <w:r w:rsidRPr="009D48A5">
        <w:t>年</w:t>
      </w:r>
      <w:r w:rsidRPr="009D48A5">
        <w:rPr>
          <w:rFonts w:hint="eastAsia"/>
        </w:rPr>
        <w:t>……</w:t>
      </w:r>
      <w:r w:rsidRPr="009D48A5">
        <w:t>年鉴》</w:t>
      </w:r>
      <w:r w:rsidRPr="009D48A5">
        <w:rPr>
          <w:lang w:val="zh-CN"/>
        </w:rPr>
        <w:t>，第二卷，</w:t>
      </w:r>
      <w:r w:rsidRPr="009D48A5">
        <w:rPr>
          <w:lang w:val="zh-CN"/>
        </w:rPr>
        <w:t>A/6309/Rev.1</w:t>
      </w:r>
      <w:r w:rsidRPr="009D48A5">
        <w:rPr>
          <w:lang w:val="zh-CN"/>
        </w:rPr>
        <w:t>号文件，第</w:t>
      </w:r>
      <w:r w:rsidRPr="009D48A5">
        <w:rPr>
          <w:lang w:val="zh-CN"/>
        </w:rPr>
        <w:t>219-220</w:t>
      </w:r>
      <w:r w:rsidRPr="009D48A5">
        <w:rPr>
          <w:lang w:val="zh-CN"/>
        </w:rPr>
        <w:t>页，第</w:t>
      </w:r>
      <w:r w:rsidRPr="009D48A5">
        <w:rPr>
          <w:lang w:val="zh-CN"/>
        </w:rPr>
        <w:t>(8)</w:t>
      </w:r>
      <w:r w:rsidRPr="009D48A5">
        <w:rPr>
          <w:lang w:val="zh-CN"/>
        </w:rPr>
        <w:t>段。</w:t>
      </w:r>
    </w:p>
  </w:footnote>
  <w:footnote w:id="425">
    <w:p w:rsidR="00AB00DE" w:rsidRPr="009D48A5" w:rsidRDefault="00AB00DE" w:rsidP="00B44972">
      <w:pPr>
        <w:pStyle w:val="a4"/>
        <w:spacing w:after="80"/>
      </w:pPr>
      <w:r w:rsidRPr="009D48A5">
        <w:rPr>
          <w:lang w:val="zh-CN"/>
        </w:rPr>
        <w:tab/>
      </w:r>
      <w:r w:rsidRPr="00DF5565">
        <w:rPr>
          <w:rStyle w:val="a5"/>
          <w:szCs w:val="22"/>
          <w:lang w:val="zh-CN"/>
        </w:rPr>
        <w:footnoteRef/>
      </w:r>
      <w:r w:rsidRPr="009D48A5">
        <w:rPr>
          <w:lang w:val="zh-CN"/>
        </w:rPr>
        <w:tab/>
      </w:r>
      <w:r w:rsidRPr="009D48A5">
        <w:t>同上</w:t>
      </w:r>
      <w:r w:rsidRPr="009D48A5">
        <w:rPr>
          <w:lang w:val="zh-CN"/>
        </w:rPr>
        <w:t>。</w:t>
      </w:r>
    </w:p>
  </w:footnote>
  <w:footnote w:id="426">
    <w:p w:rsidR="00AB00DE" w:rsidRPr="009D48A5" w:rsidRDefault="00AB00DE" w:rsidP="00267AB1">
      <w:pPr>
        <w:pStyle w:val="a4"/>
        <w:spacing w:after="80"/>
      </w:pPr>
      <w:r w:rsidRPr="009D48A5">
        <w:rPr>
          <w:i/>
          <w:lang w:val="zh-CN"/>
        </w:rPr>
        <w:tab/>
      </w:r>
      <w:r w:rsidRPr="00DF5565">
        <w:rPr>
          <w:rStyle w:val="a5"/>
          <w:szCs w:val="22"/>
          <w:lang w:val="zh-CN"/>
        </w:rPr>
        <w:footnoteRef/>
      </w:r>
      <w:r w:rsidRPr="009D48A5">
        <w:rPr>
          <w:lang w:val="zh-CN"/>
        </w:rPr>
        <w:tab/>
      </w:r>
      <w:r w:rsidRPr="009D48A5">
        <w:rPr>
          <w:lang w:val="zh-CN"/>
        </w:rPr>
        <w:t>同上，第</w:t>
      </w:r>
      <w:r w:rsidRPr="009D48A5">
        <w:rPr>
          <w:lang w:val="zh-CN"/>
        </w:rPr>
        <w:t>219</w:t>
      </w:r>
      <w:r w:rsidRPr="009D48A5">
        <w:rPr>
          <w:lang w:val="zh-CN"/>
        </w:rPr>
        <w:t>页，第</w:t>
      </w:r>
      <w:r w:rsidRPr="009D48A5">
        <w:rPr>
          <w:lang w:val="zh-CN"/>
        </w:rPr>
        <w:t>(6)</w:t>
      </w:r>
      <w:r w:rsidRPr="009D48A5">
        <w:rPr>
          <w:lang w:val="zh-CN"/>
        </w:rPr>
        <w:t>段。另见</w:t>
      </w:r>
      <w:r w:rsidRPr="009D48A5">
        <w:rPr>
          <w:lang w:val="zh-CN"/>
        </w:rPr>
        <w:t>Yasseen,</w:t>
      </w:r>
      <w:r w:rsidRPr="009D48A5">
        <w:rPr>
          <w:rFonts w:hint="eastAsia"/>
          <w:lang w:val="zh-CN"/>
        </w:rPr>
        <w:t>“</w:t>
      </w:r>
      <w:r w:rsidRPr="009D48A5">
        <w:rPr>
          <w:rFonts w:hint="eastAsia"/>
        </w:rPr>
        <w:t>……</w:t>
      </w:r>
      <w:r w:rsidRPr="009D48A5">
        <w:rPr>
          <w:lang w:val="zh-CN"/>
        </w:rPr>
        <w:t>对条约进行解释</w:t>
      </w:r>
      <w:r w:rsidRPr="009D48A5">
        <w:rPr>
          <w:rFonts w:hint="eastAsia"/>
          <w:lang w:val="zh-CN"/>
        </w:rPr>
        <w:t>”</w:t>
      </w:r>
      <w:r w:rsidRPr="009D48A5">
        <w:rPr>
          <w:lang w:val="zh-CN"/>
        </w:rPr>
        <w:t>，</w:t>
      </w:r>
      <w:r w:rsidRPr="009D48A5">
        <w:rPr>
          <w:lang w:val="zh-CN"/>
        </w:rPr>
        <w:t>(</w:t>
      </w:r>
      <w:r>
        <w:rPr>
          <w:lang w:val="zh-CN"/>
        </w:rPr>
        <w:t>上文脚注</w:t>
      </w:r>
      <w:r>
        <w:fldChar w:fldCharType="begin"/>
      </w:r>
      <w:r>
        <w:instrText xml:space="preserve"> NOTEREF _Ref461972846 \h </w:instrText>
      </w:r>
      <w:r>
        <w:fldChar w:fldCharType="separate"/>
      </w:r>
      <w:r w:rsidR="00A73EB9">
        <w:t>393</w:t>
      </w:r>
      <w:r>
        <w:fldChar w:fldCharType="end"/>
      </w:r>
      <w:r>
        <w:rPr>
          <w:lang w:val="zh-CN"/>
        </w:rPr>
        <w:t>)</w:t>
      </w:r>
      <w:r w:rsidRPr="009D48A5">
        <w:rPr>
          <w:lang w:val="zh-CN"/>
        </w:rPr>
        <w:t>，见第</w:t>
      </w:r>
      <w:r w:rsidRPr="009D48A5">
        <w:rPr>
          <w:lang w:val="zh-CN"/>
        </w:rPr>
        <w:t>58</w:t>
      </w:r>
      <w:r w:rsidRPr="009D48A5">
        <w:rPr>
          <w:lang w:val="zh-CN"/>
        </w:rPr>
        <w:t>页；</w:t>
      </w:r>
      <w:r w:rsidRPr="009D48A5">
        <w:rPr>
          <w:lang w:val="zh-CN"/>
        </w:rPr>
        <w:t>Sinclair,</w:t>
      </w:r>
      <w:r w:rsidRPr="009D48A5">
        <w:rPr>
          <w:lang w:val="zh-CN"/>
        </w:rPr>
        <w:t>《维也纳</w:t>
      </w:r>
      <w:r w:rsidRPr="009D48A5">
        <w:rPr>
          <w:rFonts w:hint="eastAsia"/>
        </w:rPr>
        <w:t>……</w:t>
      </w:r>
      <w:r w:rsidRPr="009D48A5">
        <w:rPr>
          <w:lang w:val="zh-CN"/>
        </w:rPr>
        <w:t>公约》</w:t>
      </w:r>
      <w:r w:rsidRPr="009D48A5">
        <w:rPr>
          <w:lang w:val="zh-CN"/>
        </w:rPr>
        <w:t>(</w:t>
      </w:r>
      <w:r>
        <w:rPr>
          <w:lang w:val="zh-CN"/>
        </w:rPr>
        <w:t>上文脚注</w:t>
      </w:r>
      <w:r>
        <w:fldChar w:fldCharType="begin"/>
      </w:r>
      <w:r>
        <w:instrText xml:space="preserve"> NOTEREF _Ref461972846 \h </w:instrText>
      </w:r>
      <w:r>
        <w:fldChar w:fldCharType="separate"/>
      </w:r>
      <w:r w:rsidR="00A73EB9">
        <w:t>393</w:t>
      </w:r>
      <w:r>
        <w:fldChar w:fldCharType="end"/>
      </w:r>
      <w:r>
        <w:rPr>
          <w:lang w:val="zh-CN"/>
        </w:rPr>
        <w:t>)</w:t>
      </w:r>
      <w:r w:rsidRPr="009D48A5">
        <w:rPr>
          <w:lang w:val="zh-CN"/>
        </w:rPr>
        <w:t>，见第</w:t>
      </w:r>
      <w:r w:rsidRPr="009D48A5">
        <w:rPr>
          <w:lang w:val="zh-CN"/>
        </w:rPr>
        <w:t>130</w:t>
      </w:r>
      <w:r w:rsidRPr="009D48A5">
        <w:rPr>
          <w:lang w:val="zh-CN"/>
        </w:rPr>
        <w:t>页；</w:t>
      </w:r>
      <w:r w:rsidRPr="009D48A5">
        <w:rPr>
          <w:lang w:val="zh-CN"/>
        </w:rPr>
        <w:t>J. Klabbers,</w:t>
      </w:r>
      <w:r w:rsidRPr="009D48A5">
        <w:rPr>
          <w:rFonts w:hint="eastAsia"/>
          <w:lang w:val="zh-CN"/>
        </w:rPr>
        <w:t>“</w:t>
      </w:r>
      <w:r w:rsidRPr="009D48A5">
        <w:rPr>
          <w:lang w:val="zh-CN"/>
        </w:rPr>
        <w:t>条约、目标和宗旨</w:t>
      </w:r>
      <w:r w:rsidRPr="009D48A5">
        <w:rPr>
          <w:rFonts w:hint="eastAsia"/>
          <w:lang w:val="zh-CN"/>
        </w:rPr>
        <w:t>”</w:t>
      </w:r>
      <w:r w:rsidRPr="009D48A5">
        <w:rPr>
          <w:lang w:val="zh-CN"/>
        </w:rPr>
        <w:t>，《马克斯</w:t>
      </w:r>
      <w:r w:rsidRPr="009D48A5">
        <w:rPr>
          <w:rFonts w:hint="eastAsia"/>
          <w:lang w:val="fr-CH"/>
        </w:rPr>
        <w:t>·</w:t>
      </w:r>
      <w:r w:rsidRPr="009D48A5">
        <w:rPr>
          <w:lang w:val="zh-CN"/>
        </w:rPr>
        <w:t>普朗克国际公法百科全书》</w:t>
      </w:r>
      <w:r w:rsidRPr="009D48A5">
        <w:rPr>
          <w:lang w:val="zh-CN"/>
        </w:rPr>
        <w:t>(www.mpepil.com)</w:t>
      </w:r>
      <w:r w:rsidRPr="009D48A5">
        <w:rPr>
          <w:lang w:val="zh-CN"/>
        </w:rPr>
        <w:t>，第</w:t>
      </w:r>
      <w:r w:rsidRPr="009D48A5">
        <w:rPr>
          <w:lang w:val="zh-CN"/>
        </w:rPr>
        <w:t>7</w:t>
      </w:r>
      <w:r w:rsidRPr="009D48A5">
        <w:rPr>
          <w:lang w:val="zh-CN"/>
        </w:rPr>
        <w:t>段；</w:t>
      </w:r>
      <w:r w:rsidRPr="009D48A5">
        <w:rPr>
          <w:lang w:val="zh-CN"/>
        </w:rPr>
        <w:t>Villiger,</w:t>
      </w:r>
      <w:r w:rsidRPr="009D48A5">
        <w:rPr>
          <w:lang w:val="zh-CN"/>
        </w:rPr>
        <w:t>《</w:t>
      </w:r>
      <w:r w:rsidRPr="009D48A5">
        <w:rPr>
          <w:rFonts w:hint="eastAsia"/>
        </w:rPr>
        <w:t>……</w:t>
      </w:r>
      <w:r w:rsidRPr="009D48A5">
        <w:rPr>
          <w:lang w:val="zh-CN"/>
        </w:rPr>
        <w:t>评注》</w:t>
      </w:r>
      <w:r w:rsidRPr="009D48A5">
        <w:rPr>
          <w:lang w:val="zh-CN"/>
        </w:rPr>
        <w:t>(</w:t>
      </w:r>
      <w:r w:rsidRPr="009D48A5">
        <w:rPr>
          <w:lang w:val="zh-CN"/>
        </w:rPr>
        <w:t>见</w:t>
      </w:r>
      <w:r>
        <w:rPr>
          <w:lang w:val="zh-CN"/>
        </w:rPr>
        <w:t>上文脚注</w:t>
      </w:r>
      <w:r>
        <w:rPr>
          <w:spacing w:val="-4"/>
          <w:lang w:val="zh-CN"/>
        </w:rPr>
        <w:fldChar w:fldCharType="begin"/>
      </w:r>
      <w:r>
        <w:rPr>
          <w:spacing w:val="-4"/>
          <w:lang w:val="zh-CN"/>
        </w:rPr>
        <w:instrText xml:space="preserve"> NOTEREF _Ref461972715 \h </w:instrText>
      </w:r>
      <w:r>
        <w:rPr>
          <w:spacing w:val="-4"/>
          <w:lang w:val="zh-CN"/>
        </w:rPr>
      </w:r>
      <w:r>
        <w:rPr>
          <w:spacing w:val="-4"/>
          <w:lang w:val="zh-CN"/>
        </w:rPr>
        <w:fldChar w:fldCharType="separate"/>
      </w:r>
      <w:r w:rsidR="00A73EB9">
        <w:rPr>
          <w:spacing w:val="-4"/>
          <w:lang w:val="zh-CN"/>
        </w:rPr>
        <w:t>414</w:t>
      </w:r>
      <w:r>
        <w:rPr>
          <w:spacing w:val="-4"/>
          <w:lang w:val="zh-CN"/>
        </w:rPr>
        <w:fldChar w:fldCharType="end"/>
      </w:r>
      <w:r>
        <w:rPr>
          <w:lang w:val="zh-CN"/>
        </w:rPr>
        <w:t>)</w:t>
      </w:r>
      <w:r w:rsidRPr="009D48A5">
        <w:rPr>
          <w:lang w:val="zh-CN"/>
        </w:rPr>
        <w:t>，见第</w:t>
      </w:r>
      <w:r w:rsidRPr="009D48A5">
        <w:rPr>
          <w:lang w:val="zh-CN"/>
        </w:rPr>
        <w:t>427</w:t>
      </w:r>
      <w:r w:rsidRPr="009D48A5">
        <w:rPr>
          <w:lang w:val="zh-CN"/>
        </w:rPr>
        <w:t>页，第</w:t>
      </w:r>
      <w:r w:rsidRPr="009D48A5">
        <w:rPr>
          <w:lang w:val="zh-CN"/>
        </w:rPr>
        <w:t>11</w:t>
      </w:r>
      <w:r w:rsidRPr="009D48A5">
        <w:rPr>
          <w:lang w:val="zh-CN"/>
        </w:rPr>
        <w:t>段；边界和跨界武装行动案</w:t>
      </w:r>
      <w:r w:rsidRPr="009D48A5">
        <w:rPr>
          <w:lang w:val="zh-CN"/>
        </w:rPr>
        <w:t>(</w:t>
      </w:r>
      <w:r w:rsidRPr="009D48A5">
        <w:rPr>
          <w:lang w:val="zh-CN"/>
        </w:rPr>
        <w:t>尼加拉瓜诉洪都拉斯</w:t>
      </w:r>
      <w:r w:rsidRPr="009D48A5">
        <w:rPr>
          <w:lang w:val="zh-CN"/>
        </w:rPr>
        <w:t>)</w:t>
      </w:r>
      <w:r w:rsidRPr="009D48A5">
        <w:rPr>
          <w:lang w:val="zh-CN"/>
        </w:rPr>
        <w:t>，管辖权和可否受理，判决，《</w:t>
      </w:r>
      <w:r w:rsidRPr="009D48A5">
        <w:rPr>
          <w:lang w:val="zh-CN"/>
        </w:rPr>
        <w:t>1988</w:t>
      </w:r>
      <w:r w:rsidRPr="009D48A5">
        <w:rPr>
          <w:lang w:val="zh-CN"/>
        </w:rPr>
        <w:t>年国际法院案例汇编》，第</w:t>
      </w:r>
      <w:r w:rsidRPr="009D48A5">
        <w:rPr>
          <w:lang w:val="zh-CN"/>
        </w:rPr>
        <w:t>69</w:t>
      </w:r>
      <w:r w:rsidRPr="009D48A5">
        <w:rPr>
          <w:lang w:val="zh-CN"/>
        </w:rPr>
        <w:t>页起，见第</w:t>
      </w:r>
      <w:r w:rsidRPr="009D48A5">
        <w:rPr>
          <w:lang w:val="zh-CN"/>
        </w:rPr>
        <w:t>89</w:t>
      </w:r>
      <w:r w:rsidRPr="009D48A5">
        <w:rPr>
          <w:lang w:val="zh-CN"/>
        </w:rPr>
        <w:t>页，第</w:t>
      </w:r>
      <w:r w:rsidRPr="009D48A5">
        <w:rPr>
          <w:lang w:val="zh-CN"/>
        </w:rPr>
        <w:t>45-46</w:t>
      </w:r>
      <w:r w:rsidRPr="009D48A5">
        <w:rPr>
          <w:lang w:val="zh-CN"/>
        </w:rPr>
        <w:t>段；</w:t>
      </w:r>
      <w:r w:rsidRPr="009D48A5">
        <w:rPr>
          <w:rFonts w:ascii="Time New Roman" w:eastAsia="楷体" w:hAnsi="Time New Roman"/>
          <w:lang w:val="zh-CN"/>
        </w:rPr>
        <w:t>大不列颠及北爱尔兰联合王国与法兰西共和国大陆架划界案</w:t>
      </w:r>
      <w:r w:rsidRPr="009D48A5">
        <w:rPr>
          <w:lang w:val="zh-CN"/>
        </w:rPr>
        <w:t>，</w:t>
      </w:r>
      <w:r w:rsidRPr="009D48A5">
        <w:rPr>
          <w:lang w:val="zh-CN"/>
        </w:rPr>
        <w:t>1977</w:t>
      </w:r>
      <w:r w:rsidRPr="009D48A5">
        <w:rPr>
          <w:lang w:val="zh-CN"/>
        </w:rPr>
        <w:t>年</w:t>
      </w:r>
      <w:r w:rsidRPr="009D48A5">
        <w:rPr>
          <w:lang w:val="zh-CN"/>
        </w:rPr>
        <w:t>6</w:t>
      </w:r>
      <w:r w:rsidRPr="009D48A5">
        <w:rPr>
          <w:lang w:val="zh-CN"/>
        </w:rPr>
        <w:t>月</w:t>
      </w:r>
      <w:r w:rsidRPr="009D48A5">
        <w:rPr>
          <w:lang w:val="zh-CN"/>
        </w:rPr>
        <w:t>30</w:t>
      </w:r>
      <w:r w:rsidRPr="009D48A5">
        <w:rPr>
          <w:lang w:val="zh-CN"/>
        </w:rPr>
        <w:t>日的裁决，《国际仲裁裁决汇编》，第十八卷</w:t>
      </w:r>
      <w:r w:rsidRPr="009D48A5">
        <w:rPr>
          <w:lang w:val="zh-CN"/>
        </w:rPr>
        <w:t>(</w:t>
      </w:r>
      <w:r w:rsidRPr="009D48A5">
        <w:rPr>
          <w:lang w:val="zh-CN"/>
        </w:rPr>
        <w:t>出售品编号</w:t>
      </w:r>
      <w:r w:rsidRPr="009D48A5">
        <w:rPr>
          <w:lang w:val="zh-CN"/>
        </w:rPr>
        <w:t>E/F.80.V.7)</w:t>
      </w:r>
      <w:r w:rsidRPr="009D48A5">
        <w:rPr>
          <w:lang w:val="zh-CN"/>
        </w:rPr>
        <w:t>，第</w:t>
      </w:r>
      <w:r w:rsidRPr="009D48A5">
        <w:rPr>
          <w:lang w:val="zh-CN"/>
        </w:rPr>
        <w:t>3-413</w:t>
      </w:r>
      <w:r w:rsidRPr="009D48A5">
        <w:rPr>
          <w:lang w:val="zh-CN"/>
        </w:rPr>
        <w:t>页，见第</w:t>
      </w:r>
      <w:r w:rsidRPr="009D48A5">
        <w:rPr>
          <w:lang w:val="zh-CN"/>
        </w:rPr>
        <w:t>32-35</w:t>
      </w:r>
      <w:r w:rsidRPr="009D48A5">
        <w:rPr>
          <w:lang w:val="zh-CN"/>
        </w:rPr>
        <w:t>页，第</w:t>
      </w:r>
      <w:r w:rsidRPr="009D48A5">
        <w:rPr>
          <w:lang w:val="zh-CN"/>
        </w:rPr>
        <w:t>39</w:t>
      </w:r>
      <w:r w:rsidRPr="009D48A5">
        <w:rPr>
          <w:lang w:val="zh-CN"/>
        </w:rPr>
        <w:t>段。</w:t>
      </w:r>
    </w:p>
  </w:footnote>
  <w:footnote w:id="427">
    <w:p w:rsidR="00AB00DE" w:rsidRPr="009D48A5" w:rsidRDefault="00AB00DE" w:rsidP="00B44972">
      <w:pPr>
        <w:pStyle w:val="a4"/>
        <w:spacing w:after="80"/>
      </w:pPr>
      <w:r w:rsidRPr="009D48A5">
        <w:rPr>
          <w:lang w:val="zh-CN"/>
        </w:rPr>
        <w:tab/>
      </w:r>
      <w:r w:rsidRPr="00DF5565">
        <w:rPr>
          <w:rStyle w:val="a5"/>
          <w:szCs w:val="22"/>
          <w:lang w:val="zh-CN"/>
        </w:rPr>
        <w:footnoteRef/>
      </w:r>
      <w:r w:rsidRPr="009D48A5">
        <w:rPr>
          <w:lang w:val="zh-CN"/>
        </w:rPr>
        <w:tab/>
      </w:r>
      <w:r w:rsidRPr="009D48A5">
        <w:t>《</w:t>
      </w:r>
      <w:r w:rsidRPr="009D48A5">
        <w:t>1966</w:t>
      </w:r>
      <w:r w:rsidRPr="009D48A5">
        <w:t>年</w:t>
      </w:r>
      <w:r w:rsidRPr="009D48A5">
        <w:rPr>
          <w:rFonts w:hint="eastAsia"/>
        </w:rPr>
        <w:t>……</w:t>
      </w:r>
      <w:r w:rsidRPr="009D48A5">
        <w:t>年鉴》</w:t>
      </w:r>
      <w:r w:rsidRPr="009D48A5">
        <w:rPr>
          <w:lang w:val="zh-CN"/>
        </w:rPr>
        <w:t>，第二卷，</w:t>
      </w:r>
      <w:r w:rsidRPr="009D48A5">
        <w:rPr>
          <w:lang w:val="zh-CN"/>
        </w:rPr>
        <w:t>A/6309/Rev.1</w:t>
      </w:r>
      <w:r w:rsidRPr="009D48A5">
        <w:rPr>
          <w:lang w:val="zh-CN"/>
        </w:rPr>
        <w:t>号文件，第</w:t>
      </w:r>
      <w:r w:rsidRPr="009D48A5">
        <w:rPr>
          <w:lang w:val="zh-CN"/>
        </w:rPr>
        <w:t>220</w:t>
      </w:r>
      <w:r w:rsidRPr="009D48A5">
        <w:rPr>
          <w:lang w:val="zh-CN"/>
        </w:rPr>
        <w:t>页。</w:t>
      </w:r>
    </w:p>
  </w:footnote>
  <w:footnote w:id="428">
    <w:p w:rsidR="00AB00DE" w:rsidRPr="009D48A5" w:rsidRDefault="00AB00DE" w:rsidP="00B44972">
      <w:pPr>
        <w:pStyle w:val="a4"/>
        <w:spacing w:after="80"/>
      </w:pPr>
      <w:r w:rsidRPr="009D48A5">
        <w:rPr>
          <w:lang w:val="zh-CN"/>
        </w:rPr>
        <w:tab/>
      </w:r>
      <w:r w:rsidRPr="00DF5565">
        <w:rPr>
          <w:rStyle w:val="a5"/>
          <w:szCs w:val="22"/>
          <w:lang w:val="zh-CN"/>
        </w:rPr>
        <w:footnoteRef/>
      </w:r>
      <w:r w:rsidRPr="009D48A5">
        <w:rPr>
          <w:lang w:val="zh-CN"/>
        </w:rPr>
        <w:tab/>
      </w:r>
      <w:hyperlink r:id="rId52" w:history="1">
        <w:r w:rsidRPr="002A5F63">
          <w:rPr>
            <w:rStyle w:val="af"/>
            <w:lang w:val="zh-CN"/>
          </w:rPr>
          <w:t>A/CN.4/660</w:t>
        </w:r>
      </w:hyperlink>
      <w:r w:rsidRPr="009D48A5">
        <w:rPr>
          <w:rFonts w:hint="eastAsia"/>
        </w:rPr>
        <w:t>中提出的</w:t>
      </w:r>
      <w:r w:rsidRPr="009D48A5">
        <w:rPr>
          <w:lang w:val="zh-CN"/>
        </w:rPr>
        <w:t>结论草案</w:t>
      </w:r>
      <w:r w:rsidRPr="009D48A5">
        <w:rPr>
          <w:lang w:val="zh-CN"/>
        </w:rPr>
        <w:t xml:space="preserve">1, </w:t>
      </w:r>
      <w:r w:rsidRPr="009D48A5">
        <w:rPr>
          <w:lang w:val="zh-CN"/>
        </w:rPr>
        <w:t>第</w:t>
      </w:r>
      <w:r w:rsidRPr="009D48A5">
        <w:rPr>
          <w:lang w:val="zh-CN"/>
        </w:rPr>
        <w:t>2</w:t>
      </w:r>
      <w:r w:rsidRPr="009D48A5">
        <w:rPr>
          <w:lang w:val="zh-CN"/>
        </w:rPr>
        <w:t>段起，见第</w:t>
      </w:r>
      <w:r w:rsidRPr="009D48A5">
        <w:rPr>
          <w:lang w:val="zh-CN"/>
        </w:rPr>
        <w:t>28</w:t>
      </w:r>
      <w:r w:rsidRPr="009D48A5">
        <w:rPr>
          <w:lang w:val="zh-CN"/>
        </w:rPr>
        <w:t>段，</w:t>
      </w:r>
      <w:r w:rsidRPr="009D48A5">
        <w:rPr>
          <w:rFonts w:hint="eastAsia"/>
          <w:lang w:val="zh-CN"/>
        </w:rPr>
        <w:t>并主要</w:t>
      </w:r>
      <w:r w:rsidRPr="009D48A5">
        <w:rPr>
          <w:lang w:val="zh-CN"/>
        </w:rPr>
        <w:t>见第</w:t>
      </w:r>
      <w:r w:rsidRPr="009D48A5">
        <w:rPr>
          <w:lang w:val="zh-CN"/>
        </w:rPr>
        <w:t>10-27</w:t>
      </w:r>
      <w:r w:rsidRPr="009D48A5">
        <w:rPr>
          <w:lang w:val="zh-CN"/>
        </w:rPr>
        <w:t>段。</w:t>
      </w:r>
    </w:p>
  </w:footnote>
  <w:footnote w:id="429">
    <w:p w:rsidR="00AB00DE" w:rsidRPr="009D48A5" w:rsidRDefault="00AB00DE" w:rsidP="00B44972">
      <w:pPr>
        <w:pStyle w:val="a4"/>
        <w:spacing w:after="80"/>
        <w:rPr>
          <w:highlight w:val="yellow"/>
        </w:rPr>
      </w:pPr>
      <w:r w:rsidRPr="009D48A5">
        <w:tab/>
      </w:r>
      <w:r w:rsidRPr="00DF5565">
        <w:rPr>
          <w:rStyle w:val="a5"/>
          <w:szCs w:val="22"/>
        </w:rPr>
        <w:footnoteRef/>
      </w:r>
      <w:r w:rsidRPr="009D48A5">
        <w:tab/>
      </w:r>
      <w:r w:rsidRPr="009D48A5">
        <w:rPr>
          <w:rFonts w:hint="eastAsia"/>
        </w:rPr>
        <w:t>关于</w:t>
      </w:r>
      <w:r w:rsidRPr="009D48A5">
        <w:rPr>
          <w:rFonts w:hint="eastAsia"/>
          <w:lang w:val="zh-CN"/>
        </w:rPr>
        <w:t>嗣后</w:t>
      </w:r>
      <w:r w:rsidRPr="009D48A5">
        <w:rPr>
          <w:rFonts w:hint="eastAsia"/>
        </w:rPr>
        <w:t>协定和嗣后惯例在条约解释过程中所占权重，国内法院的决定并不一致，见大不列颠及北爱尔兰联合王国，上议院：</w:t>
      </w:r>
      <w:r w:rsidRPr="009D48A5">
        <w:rPr>
          <w:iCs/>
        </w:rPr>
        <w:t>R (Mullen)</w:t>
      </w:r>
      <w:r w:rsidRPr="009D48A5">
        <w:rPr>
          <w:rFonts w:hint="eastAsia"/>
          <w:iCs/>
        </w:rPr>
        <w:t>诉内政大臣</w:t>
      </w:r>
      <w:r w:rsidRPr="009D48A5">
        <w:rPr>
          <w:iCs/>
        </w:rPr>
        <w:t xml:space="preserve">[2004] UKHL 18, </w:t>
      </w:r>
      <w:r w:rsidRPr="009D48A5">
        <w:rPr>
          <w:rFonts w:hint="eastAsia"/>
          <w:iCs/>
        </w:rPr>
        <w:t>第</w:t>
      </w:r>
      <w:r w:rsidRPr="009D48A5">
        <w:rPr>
          <w:iCs/>
        </w:rPr>
        <w:t>47-48</w:t>
      </w:r>
      <w:r w:rsidRPr="009D48A5">
        <w:rPr>
          <w:rFonts w:hint="eastAsia"/>
          <w:iCs/>
        </w:rPr>
        <w:t>段</w:t>
      </w:r>
      <w:r w:rsidRPr="009D48A5">
        <w:rPr>
          <w:iCs/>
        </w:rPr>
        <w:t>(Steyn</w:t>
      </w:r>
      <w:r w:rsidRPr="009D48A5">
        <w:rPr>
          <w:rFonts w:hint="eastAsia"/>
          <w:iCs/>
        </w:rPr>
        <w:t>勋爵</w:t>
      </w:r>
      <w:r w:rsidRPr="009D48A5">
        <w:rPr>
          <w:iCs/>
        </w:rPr>
        <w:t>)</w:t>
      </w:r>
      <w:r w:rsidRPr="009D48A5">
        <w:rPr>
          <w:rFonts w:hint="eastAsia"/>
          <w:iCs/>
        </w:rPr>
        <w:t>；</w:t>
      </w:r>
      <w:r w:rsidRPr="009D48A5">
        <w:rPr>
          <w:rFonts w:ascii="Time New Roman" w:eastAsia="楷体" w:hAnsi="Time New Roman" w:hint="eastAsia"/>
          <w:lang w:val="zh-CN"/>
        </w:rPr>
        <w:t>深静脉血栓与航空旅行集团诉讼</w:t>
      </w:r>
      <w:r w:rsidRPr="009D48A5">
        <w:rPr>
          <w:iCs/>
        </w:rPr>
        <w:t xml:space="preserve">[2005] UKHL 72, </w:t>
      </w:r>
      <w:r w:rsidRPr="009D48A5">
        <w:rPr>
          <w:rFonts w:hint="eastAsia"/>
          <w:iCs/>
        </w:rPr>
        <w:t>第</w:t>
      </w:r>
      <w:r w:rsidRPr="009D48A5">
        <w:rPr>
          <w:iCs/>
        </w:rPr>
        <w:t>31</w:t>
      </w:r>
      <w:r w:rsidRPr="009D48A5">
        <w:rPr>
          <w:rFonts w:hint="eastAsia"/>
          <w:iCs/>
        </w:rPr>
        <w:t>段</w:t>
      </w:r>
      <w:r w:rsidRPr="009D48A5">
        <w:rPr>
          <w:iCs/>
        </w:rPr>
        <w:t>(Steyn</w:t>
      </w:r>
      <w:r w:rsidRPr="009D48A5">
        <w:rPr>
          <w:rFonts w:hint="eastAsia"/>
          <w:iCs/>
        </w:rPr>
        <w:t>勋爵</w:t>
      </w:r>
      <w:r w:rsidRPr="009D48A5">
        <w:rPr>
          <w:iCs/>
        </w:rPr>
        <w:t>)</w:t>
      </w:r>
      <w:r w:rsidRPr="009D48A5">
        <w:rPr>
          <w:rFonts w:hint="eastAsia"/>
          <w:iCs/>
        </w:rPr>
        <w:t>。美利坚合众国，最高法院：</w:t>
      </w:r>
      <w:r w:rsidRPr="009D48A5">
        <w:rPr>
          <w:rFonts w:ascii="Time New Roman" w:eastAsia="楷体" w:hAnsi="Time New Roman" w:hint="eastAsia"/>
          <w:lang w:val="zh-CN"/>
        </w:rPr>
        <w:t>住友商事</w:t>
      </w:r>
      <w:r w:rsidRPr="009D48A5">
        <w:rPr>
          <w:rFonts w:ascii="Time New Roman" w:eastAsia="楷体" w:hAnsi="Time New Roman" w:hint="eastAsia"/>
          <w:lang w:val="zh-CN"/>
        </w:rPr>
        <w:t>(</w:t>
      </w:r>
      <w:r w:rsidRPr="009D48A5">
        <w:rPr>
          <w:rFonts w:ascii="Time New Roman" w:eastAsia="楷体" w:hAnsi="Time New Roman" w:hint="eastAsia"/>
          <w:lang w:val="zh-CN"/>
        </w:rPr>
        <w:t>美国</w:t>
      </w:r>
      <w:r w:rsidRPr="009D48A5">
        <w:rPr>
          <w:rFonts w:ascii="Time New Roman" w:eastAsia="楷体" w:hAnsi="Time New Roman" w:hint="eastAsia"/>
          <w:lang w:val="zh-CN"/>
        </w:rPr>
        <w:t>)</w:t>
      </w:r>
      <w:r w:rsidRPr="009D48A5">
        <w:rPr>
          <w:rFonts w:ascii="Time New Roman" w:eastAsia="楷体" w:hAnsi="Time New Roman" w:hint="eastAsia"/>
          <w:lang w:val="zh-CN"/>
        </w:rPr>
        <w:t>公司诉</w:t>
      </w:r>
      <w:r w:rsidRPr="009D48A5">
        <w:rPr>
          <w:rFonts w:ascii="Time New Roman" w:eastAsia="楷体" w:hAnsi="Time New Roman"/>
          <w:lang w:val="zh-CN"/>
        </w:rPr>
        <w:t>Avagliano</w:t>
      </w:r>
      <w:r w:rsidRPr="009D48A5">
        <w:rPr>
          <w:iCs/>
        </w:rPr>
        <w:t>, 457 U.S. 176 (1982</w:t>
      </w:r>
      <w:r w:rsidRPr="009D48A5">
        <w:rPr>
          <w:rFonts w:hint="eastAsia"/>
          <w:iCs/>
        </w:rPr>
        <w:t>年</w:t>
      </w:r>
      <w:r w:rsidRPr="009D48A5">
        <w:rPr>
          <w:iCs/>
        </w:rPr>
        <w:t>)</w:t>
      </w:r>
      <w:r w:rsidRPr="009D48A5">
        <w:rPr>
          <w:rFonts w:hint="eastAsia"/>
          <w:iCs/>
        </w:rPr>
        <w:t xml:space="preserve">, </w:t>
      </w:r>
      <w:r w:rsidRPr="009D48A5">
        <w:rPr>
          <w:rFonts w:hint="eastAsia"/>
          <w:iCs/>
        </w:rPr>
        <w:t>第</w:t>
      </w:r>
      <w:r w:rsidRPr="009D48A5">
        <w:rPr>
          <w:iCs/>
        </w:rPr>
        <w:t>183-185</w:t>
      </w:r>
      <w:r w:rsidRPr="009D48A5">
        <w:rPr>
          <w:rFonts w:hint="eastAsia"/>
          <w:iCs/>
        </w:rPr>
        <w:t>页；</w:t>
      </w:r>
      <w:r w:rsidRPr="009D48A5">
        <w:rPr>
          <w:iCs/>
        </w:rPr>
        <w:t xml:space="preserve">O’Connor </w:t>
      </w:r>
      <w:r w:rsidRPr="009D48A5">
        <w:rPr>
          <w:rFonts w:ascii="Time New Roman" w:eastAsia="楷体" w:hAnsi="Time New Roman" w:hint="eastAsia"/>
          <w:lang w:val="zh-CN"/>
        </w:rPr>
        <w:t>诉美国</w:t>
      </w:r>
      <w:r w:rsidRPr="009D48A5">
        <w:rPr>
          <w:rFonts w:hint="eastAsia"/>
          <w:iCs/>
        </w:rPr>
        <w:t>，</w:t>
      </w:r>
      <w:r w:rsidRPr="009D48A5">
        <w:rPr>
          <w:iCs/>
        </w:rPr>
        <w:t>479 U.S. 27 (1986</w:t>
      </w:r>
      <w:r w:rsidRPr="009D48A5">
        <w:rPr>
          <w:rFonts w:hint="eastAsia"/>
          <w:iCs/>
        </w:rPr>
        <w:t>年</w:t>
      </w:r>
      <w:r w:rsidRPr="009D48A5">
        <w:rPr>
          <w:iCs/>
        </w:rPr>
        <w:t>)</w:t>
      </w:r>
      <w:r w:rsidRPr="009D48A5">
        <w:rPr>
          <w:rFonts w:hint="eastAsia"/>
          <w:iCs/>
        </w:rPr>
        <w:t>，第</w:t>
      </w:r>
      <w:r w:rsidRPr="009D48A5">
        <w:rPr>
          <w:iCs/>
        </w:rPr>
        <w:t>31-32</w:t>
      </w:r>
      <w:r w:rsidRPr="009D48A5">
        <w:rPr>
          <w:rFonts w:hint="eastAsia"/>
          <w:iCs/>
        </w:rPr>
        <w:t>页；</w:t>
      </w:r>
      <w:r w:rsidRPr="009D48A5">
        <w:rPr>
          <w:rFonts w:ascii="Time New Roman" w:eastAsia="楷体" w:hAnsi="Time New Roman" w:hint="eastAsia"/>
          <w:lang w:val="zh-CN"/>
        </w:rPr>
        <w:t>美国诉</w:t>
      </w:r>
      <w:r w:rsidRPr="009D48A5">
        <w:rPr>
          <w:iCs/>
        </w:rPr>
        <w:t>Stuart, 489 U.S. 353 (1989</w:t>
      </w:r>
      <w:r w:rsidRPr="009D48A5">
        <w:rPr>
          <w:rFonts w:hint="eastAsia"/>
          <w:iCs/>
        </w:rPr>
        <w:t>年</w:t>
      </w:r>
      <w:r w:rsidRPr="009D48A5">
        <w:rPr>
          <w:iCs/>
        </w:rPr>
        <w:t>)</w:t>
      </w:r>
      <w:r w:rsidRPr="009D48A5">
        <w:rPr>
          <w:rFonts w:hint="eastAsia"/>
          <w:iCs/>
        </w:rPr>
        <w:t>，持不同意见的法官</w:t>
      </w:r>
      <w:r w:rsidRPr="009D48A5">
        <w:rPr>
          <w:iCs/>
        </w:rPr>
        <w:t>(Scalia</w:t>
      </w:r>
      <w:r w:rsidRPr="009D48A5">
        <w:rPr>
          <w:rFonts w:hint="eastAsia"/>
          <w:iCs/>
        </w:rPr>
        <w:t>勋爵</w:t>
      </w:r>
      <w:r w:rsidRPr="009D48A5">
        <w:rPr>
          <w:iCs/>
        </w:rPr>
        <w:t>)</w:t>
      </w:r>
      <w:r w:rsidRPr="009D48A5">
        <w:rPr>
          <w:rFonts w:hint="eastAsia"/>
          <w:iCs/>
        </w:rPr>
        <w:t>对占多数意见的法官将“条约签字国的惯例”作为审判依据提出了批评，他认为，不需要考虑这些惯例，因为“《条约》的用语已能解决当前问题，没有必要寻找更多依据”，见第</w:t>
      </w:r>
      <w:r w:rsidRPr="009D48A5">
        <w:rPr>
          <w:rFonts w:hint="eastAsia"/>
          <w:iCs/>
        </w:rPr>
        <w:t>371</w:t>
      </w:r>
      <w:r w:rsidRPr="009D48A5">
        <w:rPr>
          <w:rFonts w:hint="eastAsia"/>
          <w:iCs/>
        </w:rPr>
        <w:t>页。瑞士：联邦行政法院，</w:t>
      </w:r>
      <w:r w:rsidRPr="009D48A5">
        <w:rPr>
          <w:iCs/>
        </w:rPr>
        <w:t>2010</w:t>
      </w:r>
      <w:r w:rsidRPr="009D48A5">
        <w:rPr>
          <w:rFonts w:hint="eastAsia"/>
          <w:iCs/>
        </w:rPr>
        <w:t>年</w:t>
      </w:r>
      <w:r w:rsidRPr="009D48A5">
        <w:rPr>
          <w:rFonts w:hint="eastAsia"/>
          <w:iCs/>
        </w:rPr>
        <w:t>1</w:t>
      </w:r>
      <w:r w:rsidRPr="009D48A5">
        <w:rPr>
          <w:rFonts w:hint="eastAsia"/>
          <w:iCs/>
        </w:rPr>
        <w:t>月</w:t>
      </w:r>
      <w:r w:rsidRPr="009D48A5">
        <w:rPr>
          <w:rFonts w:hint="eastAsia"/>
          <w:iCs/>
        </w:rPr>
        <w:t>21</w:t>
      </w:r>
      <w:r w:rsidRPr="009D48A5">
        <w:rPr>
          <w:rFonts w:hint="eastAsia"/>
          <w:iCs/>
        </w:rPr>
        <w:t>日的判决，</w:t>
      </w:r>
      <w:r w:rsidRPr="009D48A5">
        <w:rPr>
          <w:iCs/>
        </w:rPr>
        <w:t xml:space="preserve">BVGE 2010/7, </w:t>
      </w:r>
      <w:r w:rsidRPr="009D48A5">
        <w:rPr>
          <w:rFonts w:hint="eastAsia"/>
          <w:iCs/>
        </w:rPr>
        <w:t>第</w:t>
      </w:r>
      <w:r w:rsidRPr="009D48A5">
        <w:rPr>
          <w:iCs/>
        </w:rPr>
        <w:t>3.7.11</w:t>
      </w:r>
      <w:r w:rsidRPr="009D48A5">
        <w:rPr>
          <w:rFonts w:hint="eastAsia"/>
          <w:iCs/>
        </w:rPr>
        <w:t>段；联邦最高法院，</w:t>
      </w:r>
      <w:r w:rsidRPr="009D48A5">
        <w:rPr>
          <w:rFonts w:hint="eastAsia"/>
          <w:iCs/>
        </w:rPr>
        <w:t>A</w:t>
      </w:r>
      <w:r w:rsidRPr="009D48A5">
        <w:rPr>
          <w:rFonts w:ascii="Time New Roman" w:eastAsia="楷体" w:hAnsi="Time New Roman" w:hint="eastAsia"/>
          <w:lang w:val="zh-CN"/>
        </w:rPr>
        <w:t>诉</w:t>
      </w:r>
      <w:r w:rsidRPr="009D48A5">
        <w:rPr>
          <w:rFonts w:hint="eastAsia"/>
          <w:iCs/>
        </w:rPr>
        <w:t xml:space="preserve">B, </w:t>
      </w:r>
      <w:r w:rsidRPr="009D48A5">
        <w:rPr>
          <w:iCs/>
        </w:rPr>
        <w:t>2004</w:t>
      </w:r>
      <w:r w:rsidRPr="009D48A5">
        <w:rPr>
          <w:rFonts w:hint="eastAsia"/>
          <w:iCs/>
        </w:rPr>
        <w:t>年</w:t>
      </w:r>
      <w:r w:rsidRPr="009D48A5">
        <w:rPr>
          <w:rFonts w:hint="eastAsia"/>
          <w:iCs/>
        </w:rPr>
        <w:t>4</w:t>
      </w:r>
      <w:r w:rsidRPr="009D48A5">
        <w:rPr>
          <w:rFonts w:hint="eastAsia"/>
          <w:iCs/>
        </w:rPr>
        <w:t>月</w:t>
      </w:r>
      <w:r w:rsidRPr="009D48A5">
        <w:rPr>
          <w:rFonts w:hint="eastAsia"/>
          <w:iCs/>
        </w:rPr>
        <w:t>8</w:t>
      </w:r>
      <w:r w:rsidRPr="009D48A5">
        <w:rPr>
          <w:rFonts w:hint="eastAsia"/>
          <w:iCs/>
        </w:rPr>
        <w:t>日的上诉判决，第</w:t>
      </w:r>
      <w:r w:rsidRPr="009D48A5">
        <w:rPr>
          <w:iCs/>
        </w:rPr>
        <w:t>4C.140/2003</w:t>
      </w:r>
      <w:r w:rsidRPr="009D48A5">
        <w:rPr>
          <w:rFonts w:hint="eastAsia"/>
          <w:iCs/>
        </w:rPr>
        <w:t>号，</w:t>
      </w:r>
      <w:r w:rsidRPr="009D48A5">
        <w:rPr>
          <w:rFonts w:hint="eastAsia"/>
          <w:iCs/>
        </w:rPr>
        <w:t>B</w:t>
      </w:r>
      <w:r w:rsidRPr="009D48A5">
        <w:rPr>
          <w:iCs/>
        </w:rPr>
        <w:t xml:space="preserve">GE, </w:t>
      </w:r>
      <w:r w:rsidRPr="009D48A5">
        <w:rPr>
          <w:rFonts w:hint="eastAsia"/>
          <w:iCs/>
        </w:rPr>
        <w:t>第</w:t>
      </w:r>
      <w:r w:rsidRPr="009D48A5">
        <w:rPr>
          <w:iCs/>
        </w:rPr>
        <w:t>130</w:t>
      </w:r>
      <w:r w:rsidRPr="009D48A5">
        <w:rPr>
          <w:rFonts w:hint="eastAsia"/>
          <w:iCs/>
        </w:rPr>
        <w:t>卷</w:t>
      </w:r>
      <w:r w:rsidRPr="009D48A5">
        <w:rPr>
          <w:rFonts w:hint="eastAsia"/>
          <w:iCs/>
        </w:rPr>
        <w:t>(</w:t>
      </w:r>
      <w:r w:rsidRPr="009D48A5">
        <w:rPr>
          <w:rFonts w:hint="eastAsia"/>
          <w:iCs/>
        </w:rPr>
        <w:t>三</w:t>
      </w:r>
      <w:r w:rsidRPr="009D48A5">
        <w:rPr>
          <w:rFonts w:hint="eastAsia"/>
          <w:iCs/>
        </w:rPr>
        <w:t>)</w:t>
      </w:r>
      <w:r w:rsidRPr="009D48A5">
        <w:rPr>
          <w:rFonts w:hint="eastAsia"/>
          <w:iCs/>
        </w:rPr>
        <w:t>，第</w:t>
      </w:r>
      <w:r w:rsidRPr="009D48A5">
        <w:rPr>
          <w:iCs/>
        </w:rPr>
        <w:t>430</w:t>
      </w:r>
      <w:r w:rsidRPr="009D48A5">
        <w:rPr>
          <w:rFonts w:hint="eastAsia"/>
          <w:iCs/>
        </w:rPr>
        <w:t>页起，见第</w:t>
      </w:r>
      <w:r w:rsidRPr="009D48A5">
        <w:rPr>
          <w:iCs/>
        </w:rPr>
        <w:t>439</w:t>
      </w:r>
      <w:r w:rsidRPr="009D48A5">
        <w:rPr>
          <w:rFonts w:hint="eastAsia"/>
          <w:iCs/>
        </w:rPr>
        <w:t>页。</w:t>
      </w:r>
    </w:p>
  </w:footnote>
  <w:footnote w:id="430">
    <w:p w:rsidR="00AB00DE" w:rsidRPr="009D48A5" w:rsidRDefault="00AB00DE" w:rsidP="00B44972">
      <w:pPr>
        <w:pStyle w:val="a4"/>
        <w:spacing w:after="80"/>
      </w:pPr>
      <w:r w:rsidRPr="009D48A5">
        <w:tab/>
      </w:r>
      <w:r w:rsidRPr="00DF5565">
        <w:rPr>
          <w:rStyle w:val="a5"/>
          <w:szCs w:val="22"/>
          <w:lang w:val="zh-CN"/>
        </w:rPr>
        <w:footnoteRef/>
      </w:r>
      <w:r w:rsidRPr="009D48A5">
        <w:rPr>
          <w:lang w:val="zh-CN"/>
        </w:rPr>
        <w:tab/>
      </w:r>
      <w:r w:rsidRPr="009D48A5">
        <w:rPr>
          <w:lang w:val="zh-CN"/>
        </w:rPr>
        <w:t>第一次报告</w:t>
      </w:r>
      <w:r w:rsidRPr="009D48A5">
        <w:rPr>
          <w:lang w:val="zh-CN"/>
        </w:rPr>
        <w:t>(</w:t>
      </w:r>
      <w:hyperlink r:id="rId53" w:history="1">
        <w:r w:rsidRPr="002A5F63">
          <w:rPr>
            <w:rStyle w:val="af"/>
            <w:lang w:val="zh-CN"/>
          </w:rPr>
          <w:t>A/CN.4/660</w:t>
        </w:r>
      </w:hyperlink>
      <w:r w:rsidRPr="009D48A5">
        <w:rPr>
          <w:lang w:val="zh-CN"/>
        </w:rPr>
        <w:t>)</w:t>
      </w:r>
      <w:r w:rsidRPr="009D48A5">
        <w:rPr>
          <w:lang w:val="zh-CN"/>
        </w:rPr>
        <w:t>以不同国际法院和法庭的判例为例，以说明在特定案件中如何确定资料在解释工作中的权重，从而表明特定嗣后惯例和嗣后协定如何能够或不能协助确定有关术语在其上下文中并结合条约的目标和宗旨的通常意义。</w:t>
      </w:r>
    </w:p>
  </w:footnote>
  <w:footnote w:id="431">
    <w:p w:rsidR="00AB00DE" w:rsidRPr="009D48A5" w:rsidRDefault="00AB00DE" w:rsidP="00B44972">
      <w:pPr>
        <w:pStyle w:val="a4"/>
        <w:spacing w:after="80"/>
      </w:pPr>
      <w:r w:rsidRPr="009D48A5">
        <w:rPr>
          <w:lang w:val="zh-CN"/>
        </w:rPr>
        <w:tab/>
      </w:r>
      <w:r w:rsidRPr="00DF5565">
        <w:rPr>
          <w:rStyle w:val="a5"/>
          <w:szCs w:val="22"/>
          <w:lang w:val="zh-CN"/>
        </w:rPr>
        <w:footnoteRef/>
      </w:r>
      <w:r w:rsidRPr="009D48A5">
        <w:rPr>
          <w:lang w:val="zh-CN"/>
        </w:rPr>
        <w:tab/>
      </w:r>
      <w:hyperlink r:id="rId54" w:history="1">
        <w:r w:rsidRPr="002A5F63">
          <w:rPr>
            <w:rStyle w:val="af"/>
            <w:lang w:val="zh-CN"/>
          </w:rPr>
          <w:t>A/CN.4/660</w:t>
        </w:r>
      </w:hyperlink>
      <w:r w:rsidRPr="009D48A5">
        <w:rPr>
          <w:rFonts w:hint="eastAsia"/>
          <w:lang w:val="zh-CN"/>
        </w:rPr>
        <w:t>中提出的</w:t>
      </w:r>
      <w:r w:rsidRPr="009D48A5">
        <w:rPr>
          <w:lang w:val="zh-CN"/>
        </w:rPr>
        <w:t>结论草案</w:t>
      </w:r>
      <w:r w:rsidRPr="009D48A5">
        <w:rPr>
          <w:lang w:val="zh-CN"/>
        </w:rPr>
        <w:t xml:space="preserve">1, </w:t>
      </w:r>
      <w:r w:rsidRPr="009D48A5">
        <w:rPr>
          <w:lang w:val="zh-CN"/>
        </w:rPr>
        <w:t>第</w:t>
      </w:r>
      <w:r w:rsidRPr="009D48A5">
        <w:rPr>
          <w:lang w:val="zh-CN"/>
        </w:rPr>
        <w:t>2</w:t>
      </w:r>
      <w:r w:rsidRPr="009D48A5">
        <w:rPr>
          <w:lang w:val="zh-CN"/>
        </w:rPr>
        <w:t>段</w:t>
      </w:r>
      <w:r w:rsidRPr="009D48A5">
        <w:rPr>
          <w:rFonts w:hint="eastAsia"/>
          <w:lang w:val="zh-CN"/>
        </w:rPr>
        <w:t>起，见第</w:t>
      </w:r>
      <w:r w:rsidRPr="009D48A5">
        <w:rPr>
          <w:rFonts w:hint="eastAsia"/>
          <w:lang w:val="zh-CN"/>
        </w:rPr>
        <w:t>28</w:t>
      </w:r>
      <w:r w:rsidRPr="009D48A5">
        <w:rPr>
          <w:rFonts w:hint="eastAsia"/>
          <w:lang w:val="zh-CN"/>
        </w:rPr>
        <w:t>段</w:t>
      </w:r>
      <w:r w:rsidRPr="009D48A5">
        <w:rPr>
          <w:lang w:val="zh-CN"/>
        </w:rPr>
        <w:t>，以及第</w:t>
      </w:r>
      <w:r w:rsidRPr="009D48A5">
        <w:rPr>
          <w:lang w:val="zh-CN"/>
        </w:rPr>
        <w:t>8-28</w:t>
      </w:r>
      <w:r w:rsidRPr="009D48A5">
        <w:rPr>
          <w:lang w:val="zh-CN"/>
        </w:rPr>
        <w:t>段中的分析。</w:t>
      </w:r>
    </w:p>
  </w:footnote>
  <w:footnote w:id="432">
    <w:p w:rsidR="00AB00DE" w:rsidRPr="009D48A5" w:rsidRDefault="00AB00DE" w:rsidP="00267AB1">
      <w:pPr>
        <w:pStyle w:val="a4"/>
        <w:spacing w:after="80"/>
      </w:pPr>
      <w:r w:rsidRPr="009D48A5">
        <w:rPr>
          <w:lang w:val="zh-CN"/>
        </w:rPr>
        <w:tab/>
      </w:r>
      <w:r w:rsidRPr="00DF5565">
        <w:rPr>
          <w:rStyle w:val="a5"/>
          <w:szCs w:val="22"/>
          <w:lang w:val="zh-CN"/>
        </w:rPr>
        <w:footnoteRef/>
      </w:r>
      <w:r w:rsidRPr="009D48A5">
        <w:rPr>
          <w:lang w:val="zh-CN"/>
        </w:rPr>
        <w:tab/>
      </w:r>
      <w:r w:rsidRPr="009D48A5">
        <w:rPr>
          <w:lang w:val="zh-CN"/>
        </w:rPr>
        <w:t>例如，世贸组织各专家组和上诉机构看来更加强调世贸组织所涉各协定的术语</w:t>
      </w:r>
      <w:r w:rsidRPr="009D48A5">
        <w:rPr>
          <w:lang w:val="zh-CN"/>
        </w:rPr>
        <w:t>(</w:t>
      </w:r>
      <w:r w:rsidRPr="009D48A5">
        <w:rPr>
          <w:lang w:val="zh-CN"/>
        </w:rPr>
        <w:t>例如世贸组织上诉机构，</w:t>
      </w:r>
      <w:r w:rsidRPr="009D48A5">
        <w:rPr>
          <w:rFonts w:ascii="Time New Roman" w:eastAsia="楷体" w:hAnsi="Time New Roman"/>
          <w:lang w:val="zh-CN"/>
        </w:rPr>
        <w:t>巴西－航空器出口融资方案</w:t>
      </w:r>
      <w:r w:rsidRPr="009D48A5">
        <w:rPr>
          <w:lang w:val="zh-CN"/>
        </w:rPr>
        <w:t>，</w:t>
      </w:r>
      <w:r w:rsidRPr="009D48A5">
        <w:rPr>
          <w:rFonts w:ascii="Time New Roman" w:eastAsia="楷体" w:hAnsi="Time New Roman"/>
          <w:lang w:val="zh-CN"/>
        </w:rPr>
        <w:t>加拿大诉诸《争端解决谅解》第</w:t>
      </w:r>
      <w:r w:rsidRPr="009D48A5">
        <w:rPr>
          <w:rFonts w:ascii="Time New Roman" w:eastAsia="楷体" w:hAnsi="Time New Roman"/>
          <w:lang w:val="zh-CN"/>
        </w:rPr>
        <w:t>21.5</w:t>
      </w:r>
      <w:r w:rsidRPr="009D48A5">
        <w:rPr>
          <w:rFonts w:ascii="Time New Roman" w:eastAsia="楷体" w:hAnsi="Time New Roman"/>
          <w:lang w:val="zh-CN"/>
        </w:rPr>
        <w:t>条</w:t>
      </w:r>
      <w:r w:rsidRPr="009D48A5">
        <w:rPr>
          <w:lang w:val="zh-CN"/>
        </w:rPr>
        <w:t>，</w:t>
      </w:r>
      <w:r w:rsidRPr="009D48A5">
        <w:rPr>
          <w:lang w:val="zh-CN"/>
        </w:rPr>
        <w:t>WT/DS46/AB/RW, 2000</w:t>
      </w:r>
      <w:r w:rsidRPr="009D48A5">
        <w:rPr>
          <w:lang w:val="zh-CN"/>
        </w:rPr>
        <w:t>年</w:t>
      </w:r>
      <w:r w:rsidRPr="009D48A5">
        <w:rPr>
          <w:lang w:val="zh-CN"/>
        </w:rPr>
        <w:t>8</w:t>
      </w:r>
      <w:r w:rsidRPr="009D48A5">
        <w:rPr>
          <w:lang w:val="zh-CN"/>
        </w:rPr>
        <w:t>月</w:t>
      </w:r>
      <w:r w:rsidRPr="009D48A5">
        <w:rPr>
          <w:lang w:val="zh-CN"/>
        </w:rPr>
        <w:t>4</w:t>
      </w:r>
      <w:r w:rsidRPr="009D48A5">
        <w:rPr>
          <w:lang w:val="zh-CN"/>
        </w:rPr>
        <w:t>日，第</w:t>
      </w:r>
      <w:r w:rsidRPr="009D48A5">
        <w:rPr>
          <w:lang w:val="zh-CN"/>
        </w:rPr>
        <w:t>45</w:t>
      </w:r>
      <w:r w:rsidRPr="009D48A5">
        <w:rPr>
          <w:lang w:val="zh-CN"/>
        </w:rPr>
        <w:t>段</w:t>
      </w:r>
      <w:r w:rsidRPr="009D48A5">
        <w:rPr>
          <w:lang w:val="zh-CN"/>
        </w:rPr>
        <w:t>)</w:t>
      </w:r>
      <w:r w:rsidRPr="009D48A5">
        <w:rPr>
          <w:lang w:val="zh-CN"/>
        </w:rPr>
        <w:t>，而欧洲人权法院和美洲人权法院则强调有关公约作为人权条约的性质</w:t>
      </w:r>
      <w:r w:rsidRPr="009D48A5">
        <w:rPr>
          <w:lang w:val="zh-CN"/>
        </w:rPr>
        <w:t>(</w:t>
      </w:r>
      <w:r w:rsidRPr="009D48A5">
        <w:rPr>
          <w:lang w:val="zh-CN"/>
        </w:rPr>
        <w:t>例如，</w:t>
      </w:r>
      <w:r w:rsidRPr="009D48A5">
        <w:rPr>
          <w:lang w:val="zh-CN"/>
        </w:rPr>
        <w:t>Mamatkulov</w:t>
      </w:r>
      <w:r w:rsidRPr="009D48A5">
        <w:rPr>
          <w:rFonts w:ascii="Time New Roman" w:eastAsia="楷体" w:hAnsi="Time New Roman"/>
          <w:lang w:val="zh-CN"/>
        </w:rPr>
        <w:t>和</w:t>
      </w:r>
      <w:r w:rsidRPr="009D48A5">
        <w:rPr>
          <w:rFonts w:ascii="Time New Roman" w:eastAsia="楷体" w:hAnsi="Time New Roman"/>
          <w:lang w:val="zh-CN"/>
        </w:rPr>
        <w:t>Askarov</w:t>
      </w:r>
      <w:r w:rsidRPr="009D48A5">
        <w:rPr>
          <w:rFonts w:ascii="Time New Roman" w:eastAsia="楷体" w:hAnsi="Time New Roman"/>
          <w:lang w:val="zh-CN"/>
        </w:rPr>
        <w:t>诉土耳其</w:t>
      </w:r>
      <w:r w:rsidRPr="009D48A5">
        <w:rPr>
          <w:lang w:val="zh-CN"/>
        </w:rPr>
        <w:t>[GC]</w:t>
      </w:r>
      <w:r w:rsidRPr="009D48A5">
        <w:rPr>
          <w:lang w:val="zh-CN"/>
        </w:rPr>
        <w:t>，第</w:t>
      </w:r>
      <w:r w:rsidRPr="009D48A5">
        <w:rPr>
          <w:lang w:val="zh-CN"/>
        </w:rPr>
        <w:t>46827/99</w:t>
      </w:r>
      <w:r w:rsidRPr="009D48A5">
        <w:rPr>
          <w:lang w:val="zh-CN"/>
        </w:rPr>
        <w:t>和</w:t>
      </w:r>
      <w:r w:rsidRPr="009D48A5">
        <w:rPr>
          <w:lang w:val="zh-CN"/>
        </w:rPr>
        <w:t>46951/99</w:t>
      </w:r>
      <w:r w:rsidRPr="009D48A5">
        <w:rPr>
          <w:lang w:val="zh-CN"/>
        </w:rPr>
        <w:t>号，《</w:t>
      </w:r>
      <w:r w:rsidRPr="009D48A5">
        <w:rPr>
          <w:lang w:val="zh-CN"/>
        </w:rPr>
        <w:t>2005</w:t>
      </w:r>
      <w:r w:rsidRPr="009D48A5">
        <w:rPr>
          <w:lang w:val="zh-CN"/>
        </w:rPr>
        <w:t>年欧洲人权法院案例汇编》</w:t>
      </w:r>
      <w:r w:rsidRPr="009D48A5">
        <w:rPr>
          <w:rFonts w:hint="eastAsia"/>
          <w:lang w:val="zh-CN"/>
        </w:rPr>
        <w:t>第一卷</w:t>
      </w:r>
      <w:r w:rsidRPr="009D48A5">
        <w:rPr>
          <w:lang w:val="zh-CN"/>
        </w:rPr>
        <w:t>，第</w:t>
      </w:r>
      <w:r w:rsidRPr="009D48A5">
        <w:rPr>
          <w:lang w:val="zh-CN"/>
        </w:rPr>
        <w:t>111</w:t>
      </w:r>
      <w:r w:rsidRPr="009D48A5">
        <w:rPr>
          <w:lang w:val="zh-CN"/>
        </w:rPr>
        <w:t>段；</w:t>
      </w:r>
      <w:r w:rsidRPr="009D48A5">
        <w:rPr>
          <w:rFonts w:ascii="Time New Roman" w:eastAsia="楷体" w:hAnsi="Time New Roman"/>
          <w:lang w:val="zh-CN"/>
        </w:rPr>
        <w:t>在正当法律程序保障框架内获得领事协助信息的权利，咨询意见</w:t>
      </w:r>
      <w:r w:rsidRPr="009D48A5">
        <w:rPr>
          <w:lang w:val="zh-CN"/>
        </w:rPr>
        <w:t>OC-16/99, 1999</w:t>
      </w:r>
      <w:r w:rsidRPr="009D48A5">
        <w:rPr>
          <w:lang w:val="zh-CN"/>
        </w:rPr>
        <w:t>年</w:t>
      </w:r>
      <w:r w:rsidRPr="009D48A5">
        <w:rPr>
          <w:lang w:val="zh-CN"/>
        </w:rPr>
        <w:t>10</w:t>
      </w:r>
      <w:r w:rsidRPr="009D48A5">
        <w:rPr>
          <w:lang w:val="zh-CN"/>
        </w:rPr>
        <w:t>月</w:t>
      </w:r>
      <w:r w:rsidRPr="009D48A5">
        <w:rPr>
          <w:lang w:val="zh-CN"/>
        </w:rPr>
        <w:t>1</w:t>
      </w:r>
      <w:r w:rsidRPr="009D48A5">
        <w:rPr>
          <w:lang w:val="zh-CN"/>
        </w:rPr>
        <w:t>日，美洲人权法院，</w:t>
      </w:r>
      <w:r w:rsidRPr="009D48A5">
        <w:rPr>
          <w:lang w:val="zh-CN"/>
        </w:rPr>
        <w:t>A</w:t>
      </w:r>
      <w:r w:rsidRPr="009D48A5">
        <w:rPr>
          <w:lang w:val="zh-CN"/>
        </w:rPr>
        <w:t>辑，第</w:t>
      </w:r>
      <w:r w:rsidRPr="009D48A5">
        <w:rPr>
          <w:lang w:val="zh-CN"/>
        </w:rPr>
        <w:t>16</w:t>
      </w:r>
      <w:r w:rsidRPr="009D48A5">
        <w:rPr>
          <w:lang w:val="zh-CN"/>
        </w:rPr>
        <w:t>号，第</w:t>
      </w:r>
      <w:r w:rsidRPr="009D48A5">
        <w:rPr>
          <w:lang w:val="zh-CN"/>
        </w:rPr>
        <w:t>58</w:t>
      </w:r>
      <w:r w:rsidRPr="009D48A5">
        <w:rPr>
          <w:lang w:val="zh-CN"/>
        </w:rPr>
        <w:t>段</w:t>
      </w:r>
      <w:r w:rsidRPr="009D48A5">
        <w:rPr>
          <w:lang w:val="zh-CN"/>
        </w:rPr>
        <w:t>)</w:t>
      </w:r>
      <w:r w:rsidRPr="009D48A5">
        <w:rPr>
          <w:lang w:val="zh-CN"/>
        </w:rPr>
        <w:t>；另见《大会正式记录，第六十六届会议，补编第</w:t>
      </w:r>
      <w:r w:rsidRPr="009D48A5">
        <w:rPr>
          <w:lang w:val="zh-CN"/>
        </w:rPr>
        <w:t>10</w:t>
      </w:r>
      <w:r w:rsidRPr="009D48A5">
        <w:rPr>
          <w:lang w:val="zh-CN"/>
        </w:rPr>
        <w:t>号》</w:t>
      </w:r>
      <w:r w:rsidRPr="009D48A5">
        <w:rPr>
          <w:lang w:val="zh-CN"/>
        </w:rPr>
        <w:t>(</w:t>
      </w:r>
      <w:hyperlink r:id="rId55" w:history="1">
        <w:r w:rsidRPr="002A5F63">
          <w:rPr>
            <w:rStyle w:val="af"/>
            <w:lang w:val="zh-CN"/>
          </w:rPr>
          <w:t>A/66/10</w:t>
        </w:r>
      </w:hyperlink>
      <w:r w:rsidRPr="009D48A5">
        <w:rPr>
          <w:lang w:val="zh-CN"/>
        </w:rPr>
        <w:t>和</w:t>
      </w:r>
      <w:r w:rsidRPr="009D48A5">
        <w:rPr>
          <w:lang w:val="zh-CN"/>
        </w:rPr>
        <w:t>Add.1)</w:t>
      </w:r>
      <w:r w:rsidRPr="009D48A5">
        <w:rPr>
          <w:lang w:val="zh-CN"/>
        </w:rPr>
        <w:t>，第</w:t>
      </w:r>
      <w:r w:rsidRPr="009D48A5">
        <w:rPr>
          <w:lang w:val="zh-CN"/>
        </w:rPr>
        <w:t>281-282</w:t>
      </w:r>
      <w:r w:rsidRPr="009D48A5">
        <w:rPr>
          <w:lang w:val="zh-CN"/>
        </w:rPr>
        <w:t>页，和诺尔特</w:t>
      </w:r>
      <w:r w:rsidRPr="009D48A5">
        <w:rPr>
          <w:lang w:val="zh-CN"/>
        </w:rPr>
        <w:t>,</w:t>
      </w:r>
      <w:r w:rsidRPr="009D48A5">
        <w:rPr>
          <w:rFonts w:hint="eastAsia"/>
          <w:lang w:val="zh-CN"/>
        </w:rPr>
        <w:t>“</w:t>
      </w:r>
      <w:r w:rsidRPr="009D48A5">
        <w:rPr>
          <w:lang w:val="zh-CN"/>
        </w:rPr>
        <w:t>特殊制度下</w:t>
      </w:r>
      <w:r w:rsidRPr="009D48A5">
        <w:rPr>
          <w:rFonts w:hint="eastAsia"/>
        </w:rPr>
        <w:t>……</w:t>
      </w:r>
      <w:r w:rsidRPr="009D48A5">
        <w:rPr>
          <w:lang w:val="zh-CN"/>
        </w:rPr>
        <w:t>的判例</w:t>
      </w:r>
      <w:r w:rsidRPr="009D48A5">
        <w:rPr>
          <w:rFonts w:hint="eastAsia"/>
          <w:lang w:val="zh-CN"/>
        </w:rPr>
        <w:t>”</w:t>
      </w:r>
      <w:r w:rsidRPr="009D48A5">
        <w:rPr>
          <w:lang w:val="zh-CN"/>
        </w:rPr>
        <w:t>(</w:t>
      </w:r>
      <w:r w:rsidRPr="009D48A5">
        <w:rPr>
          <w:lang w:val="zh-CN"/>
        </w:rPr>
        <w:t>见</w:t>
      </w:r>
      <w:r>
        <w:rPr>
          <w:lang w:val="zh-CN"/>
        </w:rPr>
        <w:t>上文脚注</w:t>
      </w:r>
      <w:r>
        <w:rPr>
          <w:lang w:val="zh-CN"/>
        </w:rPr>
        <w:fldChar w:fldCharType="begin"/>
      </w:r>
      <w:r>
        <w:rPr>
          <w:lang w:val="zh-CN"/>
        </w:rPr>
        <w:instrText xml:space="preserve"> NOTEREF _Ref461973084 \h </w:instrText>
      </w:r>
      <w:r>
        <w:rPr>
          <w:lang w:val="zh-CN"/>
        </w:rPr>
      </w:r>
      <w:r>
        <w:rPr>
          <w:lang w:val="zh-CN"/>
        </w:rPr>
        <w:fldChar w:fldCharType="separate"/>
      </w:r>
      <w:r w:rsidR="00A73EB9">
        <w:rPr>
          <w:lang w:val="zh-CN"/>
        </w:rPr>
        <w:t>398</w:t>
      </w:r>
      <w:r>
        <w:rPr>
          <w:lang w:val="zh-CN"/>
        </w:rPr>
        <w:fldChar w:fldCharType="end"/>
      </w:r>
      <w:r>
        <w:rPr>
          <w:lang w:val="zh-CN"/>
        </w:rPr>
        <w:t>)</w:t>
      </w:r>
      <w:r w:rsidRPr="009D48A5">
        <w:rPr>
          <w:lang w:val="zh-CN"/>
        </w:rPr>
        <w:t>，第</w:t>
      </w:r>
      <w:r w:rsidRPr="009D48A5">
        <w:rPr>
          <w:lang w:val="zh-CN"/>
        </w:rPr>
        <w:t>210</w:t>
      </w:r>
      <w:r w:rsidRPr="009D48A5">
        <w:rPr>
          <w:lang w:val="zh-CN"/>
        </w:rPr>
        <w:t>页起，见第</w:t>
      </w:r>
      <w:r w:rsidRPr="009D48A5">
        <w:rPr>
          <w:lang w:val="zh-CN"/>
        </w:rPr>
        <w:t>216</w:t>
      </w:r>
      <w:r w:rsidRPr="009D48A5">
        <w:rPr>
          <w:lang w:val="zh-CN"/>
        </w:rPr>
        <w:t>、</w:t>
      </w:r>
      <w:r w:rsidRPr="009D48A5">
        <w:rPr>
          <w:lang w:val="zh-CN"/>
        </w:rPr>
        <w:t>244-246</w:t>
      </w:r>
      <w:r w:rsidRPr="009D48A5">
        <w:rPr>
          <w:lang w:val="zh-CN"/>
        </w:rPr>
        <w:t>、</w:t>
      </w:r>
      <w:r w:rsidRPr="009D48A5">
        <w:rPr>
          <w:lang w:val="zh-CN"/>
        </w:rPr>
        <w:t>249-262</w:t>
      </w:r>
      <w:r w:rsidRPr="009D48A5">
        <w:rPr>
          <w:lang w:val="zh-CN"/>
        </w:rPr>
        <w:t>、</w:t>
      </w:r>
      <w:r w:rsidRPr="009D48A5">
        <w:rPr>
          <w:lang w:val="zh-CN"/>
        </w:rPr>
        <w:t>270-275</w:t>
      </w:r>
      <w:r w:rsidRPr="009D48A5">
        <w:rPr>
          <w:lang w:val="zh-CN"/>
        </w:rPr>
        <w:t>页。</w:t>
      </w:r>
    </w:p>
  </w:footnote>
  <w:footnote w:id="433">
    <w:p w:rsidR="00AB00DE" w:rsidRPr="009D48A5" w:rsidRDefault="00AB00DE" w:rsidP="00B44972">
      <w:pPr>
        <w:pStyle w:val="a4"/>
        <w:spacing w:after="80"/>
      </w:pPr>
      <w:r w:rsidRPr="009D48A5">
        <w:rPr>
          <w:lang w:val="zh-CN"/>
        </w:rPr>
        <w:tab/>
      </w:r>
      <w:r w:rsidRPr="00DF5565">
        <w:rPr>
          <w:rStyle w:val="a5"/>
          <w:szCs w:val="22"/>
          <w:lang w:val="zh-CN"/>
        </w:rPr>
        <w:footnoteRef/>
      </w:r>
      <w:r w:rsidRPr="009D48A5">
        <w:rPr>
          <w:lang w:val="zh-CN"/>
        </w:rPr>
        <w:tab/>
        <w:t>M. Forteau, ‘Les Techniques Interpretatives de la Cour Internationale de Justice’</w:t>
      </w:r>
      <w:r w:rsidRPr="009D48A5">
        <w:rPr>
          <w:lang w:val="zh-CN"/>
        </w:rPr>
        <w:t>，</w:t>
      </w:r>
      <w:r w:rsidRPr="009D48A5">
        <w:rPr>
          <w:i/>
          <w:iCs/>
          <w:lang w:val="zh-CN"/>
        </w:rPr>
        <w:t xml:space="preserve">Revue générale de droit international public, </w:t>
      </w:r>
      <w:r w:rsidRPr="009D48A5">
        <w:rPr>
          <w:lang w:val="zh-CN"/>
        </w:rPr>
        <w:t>第</w:t>
      </w:r>
      <w:r w:rsidRPr="009D48A5">
        <w:rPr>
          <w:lang w:val="zh-CN"/>
        </w:rPr>
        <w:t>115</w:t>
      </w:r>
      <w:r w:rsidRPr="009D48A5">
        <w:rPr>
          <w:lang w:val="zh-CN"/>
        </w:rPr>
        <w:t>卷</w:t>
      </w:r>
      <w:r w:rsidRPr="009D48A5">
        <w:rPr>
          <w:lang w:val="zh-CN"/>
        </w:rPr>
        <w:t>(2011</w:t>
      </w:r>
      <w:r w:rsidRPr="009D48A5">
        <w:rPr>
          <w:lang w:val="zh-CN"/>
        </w:rPr>
        <w:t>年</w:t>
      </w:r>
      <w:r w:rsidRPr="009D48A5">
        <w:rPr>
          <w:lang w:val="zh-CN"/>
        </w:rPr>
        <w:t>)</w:t>
      </w:r>
      <w:r w:rsidRPr="009D48A5">
        <w:rPr>
          <w:lang w:val="zh-CN"/>
        </w:rPr>
        <w:t>，第</w:t>
      </w:r>
      <w:r w:rsidRPr="009D48A5">
        <w:rPr>
          <w:lang w:val="zh-CN"/>
        </w:rPr>
        <w:t>399</w:t>
      </w:r>
      <w:r w:rsidRPr="009D48A5">
        <w:rPr>
          <w:lang w:val="zh-CN"/>
        </w:rPr>
        <w:t>页起，见第</w:t>
      </w:r>
      <w:r w:rsidRPr="009D48A5">
        <w:rPr>
          <w:lang w:val="zh-CN"/>
        </w:rPr>
        <w:t>406-407</w:t>
      </w:r>
      <w:r w:rsidRPr="009D48A5">
        <w:rPr>
          <w:lang w:val="zh-CN"/>
        </w:rPr>
        <w:t>页、第</w:t>
      </w:r>
      <w:r w:rsidRPr="009D48A5">
        <w:rPr>
          <w:lang w:val="zh-CN"/>
        </w:rPr>
        <w:t>416</w:t>
      </w:r>
      <w:r w:rsidRPr="009D48A5">
        <w:rPr>
          <w:lang w:val="zh-CN"/>
        </w:rPr>
        <w:t>页；</w:t>
      </w:r>
      <w:r w:rsidRPr="009D48A5">
        <w:rPr>
          <w:rFonts w:ascii="Time New Roman" w:eastAsia="楷体" w:hAnsi="Time New Roman"/>
          <w:lang w:val="zh-CN"/>
        </w:rPr>
        <w:t>南非不遵守安全理事会第</w:t>
      </w:r>
      <w:r w:rsidRPr="009D48A5">
        <w:rPr>
          <w:rFonts w:ascii="Time New Roman" w:eastAsia="楷体" w:hAnsi="Time New Roman"/>
          <w:lang w:val="zh-CN"/>
        </w:rPr>
        <w:t>276(1970)</w:t>
      </w:r>
      <w:r w:rsidRPr="009D48A5">
        <w:rPr>
          <w:rFonts w:ascii="Time New Roman" w:eastAsia="楷体" w:hAnsi="Time New Roman"/>
          <w:lang w:val="zh-CN"/>
        </w:rPr>
        <w:t>号决议继续留驻纳米比亚</w:t>
      </w:r>
      <w:r w:rsidRPr="009D48A5">
        <w:rPr>
          <w:rFonts w:ascii="Time New Roman" w:eastAsia="楷体" w:hAnsi="Time New Roman"/>
          <w:lang w:val="zh-CN"/>
        </w:rPr>
        <w:t>(</w:t>
      </w:r>
      <w:r w:rsidRPr="009D48A5">
        <w:rPr>
          <w:rFonts w:ascii="Time New Roman" w:eastAsia="楷体" w:hAnsi="Time New Roman"/>
          <w:lang w:val="zh-CN"/>
        </w:rPr>
        <w:t>西南非洲</w:t>
      </w:r>
      <w:r w:rsidRPr="009D48A5">
        <w:rPr>
          <w:rFonts w:ascii="Time New Roman" w:eastAsia="楷体" w:hAnsi="Time New Roman"/>
          <w:lang w:val="zh-CN"/>
        </w:rPr>
        <w:t>)</w:t>
      </w:r>
      <w:r w:rsidRPr="009D48A5">
        <w:rPr>
          <w:rFonts w:ascii="Time New Roman" w:eastAsia="楷体" w:hAnsi="Time New Roman"/>
          <w:lang w:val="zh-CN"/>
        </w:rPr>
        <w:t>对各国的法律后果</w:t>
      </w:r>
      <w:r w:rsidRPr="009D48A5">
        <w:rPr>
          <w:lang w:val="zh-CN"/>
        </w:rPr>
        <w:t>，咨询意见，《</w:t>
      </w:r>
      <w:r w:rsidRPr="009D48A5">
        <w:rPr>
          <w:lang w:val="zh-CN"/>
        </w:rPr>
        <w:t>1971</w:t>
      </w:r>
      <w:r w:rsidRPr="009D48A5">
        <w:rPr>
          <w:lang w:val="zh-CN"/>
        </w:rPr>
        <w:t>年国际法院案例汇编》，第</w:t>
      </w:r>
      <w:r w:rsidRPr="009D48A5">
        <w:rPr>
          <w:lang w:val="zh-CN"/>
        </w:rPr>
        <w:t>16</w:t>
      </w:r>
      <w:r w:rsidRPr="009D48A5">
        <w:rPr>
          <w:lang w:val="zh-CN"/>
        </w:rPr>
        <w:t>页起，</w:t>
      </w:r>
      <w:r w:rsidRPr="009D48A5">
        <w:rPr>
          <w:lang w:val="zh-CN"/>
        </w:rPr>
        <w:t>Dillard</w:t>
      </w:r>
      <w:r w:rsidRPr="009D48A5">
        <w:rPr>
          <w:lang w:val="zh-CN"/>
        </w:rPr>
        <w:t>法官的个别意见，第</w:t>
      </w:r>
      <w:r w:rsidRPr="009D48A5">
        <w:rPr>
          <w:lang w:val="zh-CN"/>
        </w:rPr>
        <w:t>150</w:t>
      </w:r>
      <w:r w:rsidRPr="009D48A5">
        <w:rPr>
          <w:lang w:val="zh-CN"/>
        </w:rPr>
        <w:t>页起，见第</w:t>
      </w:r>
      <w:r w:rsidRPr="009D48A5">
        <w:rPr>
          <w:lang w:val="zh-CN"/>
        </w:rPr>
        <w:t>154</w:t>
      </w:r>
      <w:r w:rsidRPr="009D48A5">
        <w:rPr>
          <w:lang w:val="zh-CN"/>
        </w:rPr>
        <w:t>页，脚注</w:t>
      </w:r>
      <w:r w:rsidRPr="009D48A5">
        <w:rPr>
          <w:lang w:val="zh-CN"/>
        </w:rPr>
        <w:t>1</w:t>
      </w:r>
      <w:r w:rsidRPr="009D48A5">
        <w:rPr>
          <w:lang w:val="zh-CN"/>
        </w:rPr>
        <w:t>。</w:t>
      </w:r>
    </w:p>
  </w:footnote>
  <w:footnote w:id="434">
    <w:p w:rsidR="00AB00DE" w:rsidRPr="009D48A5" w:rsidRDefault="00AB00DE" w:rsidP="00B44972">
      <w:pPr>
        <w:pStyle w:val="a4"/>
        <w:spacing w:after="80"/>
      </w:pPr>
      <w:r w:rsidRPr="009D48A5">
        <w:rPr>
          <w:lang w:val="zh-CN"/>
        </w:rPr>
        <w:tab/>
      </w:r>
      <w:r w:rsidRPr="00DF5565">
        <w:rPr>
          <w:rStyle w:val="a5"/>
          <w:szCs w:val="22"/>
          <w:lang w:val="zh-CN"/>
        </w:rPr>
        <w:footnoteRef/>
      </w:r>
      <w:r w:rsidRPr="009D48A5">
        <w:rPr>
          <w:lang w:val="zh-CN"/>
        </w:rPr>
        <w:tab/>
      </w:r>
      <w:r w:rsidRPr="009D48A5">
        <w:rPr>
          <w:lang w:val="zh-CN"/>
        </w:rPr>
        <w:t>关于武装</w:t>
      </w:r>
      <w:r w:rsidRPr="009D48A5">
        <w:t>冲突</w:t>
      </w:r>
      <w:r w:rsidRPr="009D48A5">
        <w:rPr>
          <w:lang w:val="zh-CN"/>
        </w:rPr>
        <w:t>对条约的影响的条款草案</w:t>
      </w:r>
      <w:r w:rsidRPr="009D48A5">
        <w:rPr>
          <w:lang w:val="zh-CN"/>
        </w:rPr>
        <w:t>(</w:t>
      </w:r>
      <w:r w:rsidRPr="009D48A5">
        <w:rPr>
          <w:rFonts w:hint="eastAsia"/>
          <w:lang w:val="zh-CN"/>
        </w:rPr>
        <w:t>第</w:t>
      </w:r>
      <w:r w:rsidRPr="009D48A5">
        <w:rPr>
          <w:lang w:val="zh-CN"/>
        </w:rPr>
        <w:t>6</w:t>
      </w:r>
      <w:r w:rsidRPr="009D48A5">
        <w:rPr>
          <w:rFonts w:hint="eastAsia"/>
          <w:lang w:val="zh-CN"/>
        </w:rPr>
        <w:t>条</w:t>
      </w:r>
      <w:r w:rsidRPr="009D48A5">
        <w:rPr>
          <w:lang w:val="zh-CN"/>
        </w:rPr>
        <w:t>(a)</w:t>
      </w:r>
      <w:r w:rsidRPr="009D48A5">
        <w:rPr>
          <w:rFonts w:hint="eastAsia"/>
          <w:lang w:val="zh-CN"/>
        </w:rPr>
        <w:t>款</w:t>
      </w:r>
      <w:r w:rsidRPr="009D48A5">
        <w:rPr>
          <w:lang w:val="zh-CN"/>
        </w:rPr>
        <w:t>)</w:t>
      </w:r>
      <w:r w:rsidRPr="009D48A5">
        <w:rPr>
          <w:lang w:val="zh-CN"/>
        </w:rPr>
        <w:t>，大会</w:t>
      </w:r>
      <w:r w:rsidRPr="009D48A5">
        <w:rPr>
          <w:lang w:val="zh-CN"/>
        </w:rPr>
        <w:t>2011</w:t>
      </w:r>
      <w:r w:rsidRPr="009D48A5">
        <w:rPr>
          <w:lang w:val="zh-CN"/>
        </w:rPr>
        <w:t>年</w:t>
      </w:r>
      <w:r w:rsidRPr="009D48A5">
        <w:rPr>
          <w:lang w:val="zh-CN"/>
        </w:rPr>
        <w:t>12</w:t>
      </w:r>
      <w:r w:rsidRPr="009D48A5">
        <w:rPr>
          <w:lang w:val="zh-CN"/>
        </w:rPr>
        <w:t>月</w:t>
      </w:r>
      <w:r w:rsidRPr="009D48A5">
        <w:rPr>
          <w:lang w:val="zh-CN"/>
        </w:rPr>
        <w:t>9</w:t>
      </w:r>
      <w:r w:rsidRPr="009D48A5">
        <w:rPr>
          <w:lang w:val="zh-CN"/>
        </w:rPr>
        <w:t>日第</w:t>
      </w:r>
      <w:r w:rsidRPr="009D48A5">
        <w:rPr>
          <w:lang w:val="zh-CN"/>
        </w:rPr>
        <w:t>66/99</w:t>
      </w:r>
      <w:r w:rsidRPr="009D48A5">
        <w:rPr>
          <w:lang w:val="zh-CN"/>
        </w:rPr>
        <w:t>号决议，附件；另见对条约的保留实践指南，《大会正式记录，第六十六届会议，补编第</w:t>
      </w:r>
      <w:r w:rsidRPr="009D48A5">
        <w:rPr>
          <w:lang w:val="zh-CN"/>
        </w:rPr>
        <w:t>10</w:t>
      </w:r>
      <w:r w:rsidRPr="009D48A5">
        <w:rPr>
          <w:lang w:val="zh-CN"/>
        </w:rPr>
        <w:t>号》</w:t>
      </w:r>
      <w:r w:rsidRPr="009D48A5">
        <w:rPr>
          <w:lang w:val="zh-CN"/>
        </w:rPr>
        <w:t>(</w:t>
      </w:r>
      <w:hyperlink r:id="rId56" w:history="1">
        <w:r w:rsidRPr="002A5F63">
          <w:rPr>
            <w:rStyle w:val="af"/>
            <w:lang w:val="zh-CN"/>
          </w:rPr>
          <w:t>A/66/10</w:t>
        </w:r>
      </w:hyperlink>
      <w:r w:rsidRPr="009D48A5">
        <w:rPr>
          <w:lang w:val="zh-CN"/>
        </w:rPr>
        <w:t>和</w:t>
      </w:r>
      <w:hyperlink r:id="rId57" w:history="1">
        <w:r w:rsidRPr="002A5F63">
          <w:rPr>
            <w:rStyle w:val="af"/>
            <w:lang w:val="zh-CN"/>
          </w:rPr>
          <w:t>A/66/10</w:t>
        </w:r>
        <w:r w:rsidRPr="002A5F63">
          <w:rPr>
            <w:rStyle w:val="af"/>
            <w:rFonts w:hint="eastAsia"/>
            <w:lang w:val="zh-CN"/>
          </w:rPr>
          <w:t>/</w:t>
        </w:r>
        <w:r w:rsidRPr="002A5F63">
          <w:rPr>
            <w:rStyle w:val="af"/>
            <w:lang w:val="zh-CN"/>
          </w:rPr>
          <w:t>Add.1</w:t>
        </w:r>
      </w:hyperlink>
      <w:r w:rsidRPr="009D48A5">
        <w:rPr>
          <w:lang w:val="zh-CN"/>
        </w:rPr>
        <w:t>)</w:t>
      </w:r>
      <w:r w:rsidRPr="009D48A5">
        <w:rPr>
          <w:lang w:val="zh-CN"/>
        </w:rPr>
        <w:t>；准则</w:t>
      </w:r>
      <w:r w:rsidRPr="009D48A5">
        <w:rPr>
          <w:lang w:val="zh-CN"/>
        </w:rPr>
        <w:t>4.2.5</w:t>
      </w:r>
      <w:r w:rsidRPr="009D48A5">
        <w:rPr>
          <w:lang w:val="zh-CN"/>
        </w:rPr>
        <w:t>提到条约义务的性质，而不是条约本身的性质。</w:t>
      </w:r>
    </w:p>
  </w:footnote>
  <w:footnote w:id="435">
    <w:p w:rsidR="00AB00DE" w:rsidRPr="009D48A5" w:rsidRDefault="00AB00DE" w:rsidP="00B44972">
      <w:pPr>
        <w:pStyle w:val="a4"/>
        <w:spacing w:after="80"/>
      </w:pPr>
      <w:r w:rsidRPr="009D48A5">
        <w:rPr>
          <w:lang w:val="zh-CN"/>
        </w:rPr>
        <w:tab/>
      </w:r>
      <w:r w:rsidRPr="00DF5565">
        <w:rPr>
          <w:rStyle w:val="a5"/>
          <w:szCs w:val="22"/>
          <w:lang w:val="zh-CN"/>
        </w:rPr>
        <w:footnoteRef/>
      </w:r>
      <w:r w:rsidRPr="009D48A5">
        <w:rPr>
          <w:lang w:val="zh-CN"/>
        </w:rPr>
        <w:tab/>
      </w:r>
      <w:r w:rsidRPr="009D48A5">
        <w:rPr>
          <w:lang w:val="zh-CN"/>
        </w:rPr>
        <w:t>按照对条约的保留实践指南准则</w:t>
      </w:r>
      <w:r w:rsidRPr="009D48A5">
        <w:rPr>
          <w:lang w:val="zh-CN"/>
        </w:rPr>
        <w:t>4.2.5</w:t>
      </w:r>
      <w:r w:rsidRPr="009D48A5">
        <w:rPr>
          <w:lang w:val="zh-CN"/>
        </w:rPr>
        <w:t>的评注，难以区分条约义务的性质与条约的目的和宗旨</w:t>
      </w:r>
      <w:r w:rsidRPr="009D48A5">
        <w:rPr>
          <w:lang w:val="zh-CN"/>
        </w:rPr>
        <w:t>(</w:t>
      </w:r>
      <w:r w:rsidRPr="009D48A5">
        <w:rPr>
          <w:lang w:val="zh-CN"/>
        </w:rPr>
        <w:t>对条约的保留实践指南，准则</w:t>
      </w:r>
      <w:r w:rsidRPr="009D48A5">
        <w:rPr>
          <w:lang w:val="zh-CN"/>
        </w:rPr>
        <w:t>4.2.5</w:t>
      </w:r>
      <w:r w:rsidRPr="009D48A5">
        <w:rPr>
          <w:lang w:val="zh-CN"/>
        </w:rPr>
        <w:t>的评注，第</w:t>
      </w:r>
      <w:r w:rsidRPr="009D48A5">
        <w:rPr>
          <w:lang w:val="zh-CN"/>
        </w:rPr>
        <w:t>(3)</w:t>
      </w:r>
      <w:r w:rsidRPr="009D48A5">
        <w:rPr>
          <w:lang w:val="zh-CN"/>
        </w:rPr>
        <w:t>段，见《大会正式记录，第六十六届会议，补编第</w:t>
      </w:r>
      <w:r w:rsidRPr="009D48A5">
        <w:rPr>
          <w:lang w:val="zh-CN"/>
        </w:rPr>
        <w:t>10</w:t>
      </w:r>
      <w:r w:rsidRPr="009D48A5">
        <w:rPr>
          <w:lang w:val="zh-CN"/>
        </w:rPr>
        <w:t>号》</w:t>
      </w:r>
      <w:r w:rsidRPr="009D48A5">
        <w:rPr>
          <w:lang w:val="zh-CN"/>
        </w:rPr>
        <w:t>(</w:t>
      </w:r>
      <w:hyperlink r:id="rId58" w:history="1">
        <w:r w:rsidRPr="002A5F63">
          <w:rPr>
            <w:rStyle w:val="af"/>
            <w:lang w:val="zh-CN"/>
          </w:rPr>
          <w:t>A/66/10</w:t>
        </w:r>
      </w:hyperlink>
      <w:r w:rsidRPr="009D48A5">
        <w:rPr>
          <w:lang w:val="zh-CN"/>
        </w:rPr>
        <w:t>和</w:t>
      </w:r>
      <w:hyperlink r:id="rId59" w:history="1">
        <w:r>
          <w:rPr>
            <w:rStyle w:val="af"/>
            <w:lang w:val="zh-CN"/>
          </w:rPr>
          <w:t>A/66/10/Add.</w:t>
        </w:r>
        <w:r w:rsidRPr="002A5F63">
          <w:rPr>
            <w:rStyle w:val="af"/>
            <w:lang w:val="zh-CN"/>
          </w:rPr>
          <w:t>1</w:t>
        </w:r>
      </w:hyperlink>
      <w:r w:rsidRPr="009D48A5">
        <w:rPr>
          <w:lang w:val="zh-CN"/>
        </w:rPr>
        <w:t>)</w:t>
      </w:r>
      <w:r w:rsidRPr="009D48A5">
        <w:rPr>
          <w:lang w:val="zh-CN"/>
        </w:rPr>
        <w:t>。另一方面，关于武装冲突对条约的影响的条款草案</w:t>
      </w:r>
      <w:r w:rsidRPr="009D48A5">
        <w:rPr>
          <w:rFonts w:hint="eastAsia"/>
          <w:lang w:val="zh-CN"/>
        </w:rPr>
        <w:t>第</w:t>
      </w:r>
      <w:r w:rsidRPr="009D48A5">
        <w:rPr>
          <w:lang w:val="zh-CN"/>
        </w:rPr>
        <w:t>6</w:t>
      </w:r>
      <w:r w:rsidRPr="009D48A5">
        <w:rPr>
          <w:rFonts w:hint="eastAsia"/>
          <w:lang w:val="zh-CN"/>
        </w:rPr>
        <w:t>条</w:t>
      </w:r>
      <w:r w:rsidRPr="009D48A5">
        <w:rPr>
          <w:lang w:val="zh-CN"/>
        </w:rPr>
        <w:t>提出了</w:t>
      </w:r>
      <w:r w:rsidRPr="009D48A5">
        <w:rPr>
          <w:rFonts w:hint="eastAsia"/>
          <w:lang w:val="zh-CN"/>
        </w:rPr>
        <w:t>“</w:t>
      </w:r>
      <w:r w:rsidRPr="009D48A5">
        <w:rPr>
          <w:lang w:val="zh-CN"/>
        </w:rPr>
        <w:t>与条约性质有关的一系列因素，特别是条约的主题事项、它的宗旨和目的、它的内容以及缔约方的数量</w:t>
      </w:r>
      <w:r w:rsidRPr="009D48A5">
        <w:rPr>
          <w:rFonts w:hint="eastAsia"/>
          <w:lang w:val="zh-CN"/>
        </w:rPr>
        <w:t>”</w:t>
      </w:r>
      <w:r w:rsidRPr="009D48A5">
        <w:rPr>
          <w:lang w:val="zh-CN"/>
        </w:rPr>
        <w:t>，同上，第</w:t>
      </w:r>
      <w:r w:rsidRPr="009D48A5">
        <w:rPr>
          <w:lang w:val="zh-CN"/>
        </w:rPr>
        <w:t>6</w:t>
      </w:r>
      <w:r w:rsidRPr="009D48A5">
        <w:rPr>
          <w:lang w:val="zh-CN"/>
        </w:rPr>
        <w:t>条草案评注，第</w:t>
      </w:r>
      <w:r w:rsidRPr="009D48A5">
        <w:rPr>
          <w:lang w:val="zh-CN"/>
        </w:rPr>
        <w:t>(3)</w:t>
      </w:r>
      <w:r w:rsidRPr="009D48A5">
        <w:rPr>
          <w:lang w:val="zh-CN"/>
        </w:rPr>
        <w:t>段。</w:t>
      </w:r>
    </w:p>
  </w:footnote>
  <w:footnote w:id="436">
    <w:p w:rsidR="00AB00DE" w:rsidRPr="009D48A5" w:rsidRDefault="00AB00DE" w:rsidP="00B44972">
      <w:pPr>
        <w:pStyle w:val="a4"/>
        <w:spacing w:after="80"/>
      </w:pPr>
      <w:r w:rsidRPr="009D48A5">
        <w:rPr>
          <w:lang w:val="zh-CN"/>
        </w:rPr>
        <w:tab/>
      </w:r>
      <w:r w:rsidRPr="00DF5565">
        <w:rPr>
          <w:rStyle w:val="a5"/>
          <w:szCs w:val="22"/>
          <w:lang w:val="zh-CN"/>
        </w:rPr>
        <w:footnoteRef/>
      </w:r>
      <w:r w:rsidRPr="009D48A5">
        <w:rPr>
          <w:lang w:val="zh-CN"/>
        </w:rPr>
        <w:tab/>
      </w:r>
      <w:r w:rsidRPr="009D48A5">
        <w:rPr>
          <w:lang w:val="zh-CN"/>
        </w:rPr>
        <w:t>见</w:t>
      </w:r>
      <w:r w:rsidRPr="009D48A5">
        <w:rPr>
          <w:lang w:val="zh-CN"/>
        </w:rPr>
        <w:t>R. Jennings</w:t>
      </w:r>
      <w:r w:rsidRPr="009D48A5">
        <w:rPr>
          <w:lang w:val="zh-CN"/>
        </w:rPr>
        <w:t>和</w:t>
      </w:r>
      <w:r w:rsidRPr="009D48A5">
        <w:rPr>
          <w:lang w:val="zh-CN"/>
        </w:rPr>
        <w:t>A. Watts(</w:t>
      </w:r>
      <w:r w:rsidRPr="009D48A5">
        <w:rPr>
          <w:lang w:val="zh-CN"/>
        </w:rPr>
        <w:t>编</w:t>
      </w:r>
      <w:r w:rsidRPr="009D48A5">
        <w:rPr>
          <w:lang w:val="zh-CN"/>
        </w:rPr>
        <w:t>)</w:t>
      </w:r>
      <w:r w:rsidRPr="009D48A5">
        <w:rPr>
          <w:lang w:val="zh-CN"/>
        </w:rPr>
        <w:t>，《奥本海国际法》第</w:t>
      </w:r>
      <w:r w:rsidRPr="009D48A5">
        <w:rPr>
          <w:lang w:val="zh-CN"/>
        </w:rPr>
        <w:t>9</w:t>
      </w:r>
      <w:r w:rsidRPr="009D48A5">
        <w:rPr>
          <w:lang w:val="zh-CN"/>
        </w:rPr>
        <w:t>版，第</w:t>
      </w:r>
      <w:r w:rsidRPr="009D48A5">
        <w:rPr>
          <w:lang w:val="zh-CN"/>
        </w:rPr>
        <w:t>1</w:t>
      </w:r>
      <w:r w:rsidRPr="009D48A5">
        <w:rPr>
          <w:lang w:val="zh-CN"/>
        </w:rPr>
        <w:t>卷</w:t>
      </w:r>
      <w:r w:rsidRPr="009D48A5">
        <w:rPr>
          <w:lang w:val="zh-CN"/>
        </w:rPr>
        <w:t>(</w:t>
      </w:r>
      <w:r w:rsidRPr="009D48A5">
        <w:rPr>
          <w:lang w:val="zh-CN"/>
        </w:rPr>
        <w:t>哈洛，朗文，</w:t>
      </w:r>
      <w:r w:rsidRPr="009D48A5">
        <w:rPr>
          <w:lang w:val="zh-CN"/>
        </w:rPr>
        <w:t>1992</w:t>
      </w:r>
      <w:r w:rsidRPr="009D48A5">
        <w:rPr>
          <w:lang w:val="zh-CN"/>
        </w:rPr>
        <w:t>年</w:t>
      </w:r>
      <w:r w:rsidRPr="009D48A5">
        <w:rPr>
          <w:lang w:val="zh-CN"/>
        </w:rPr>
        <w:t>)</w:t>
      </w:r>
      <w:r w:rsidRPr="009D48A5">
        <w:rPr>
          <w:lang w:val="zh-CN"/>
        </w:rPr>
        <w:t>，第</w:t>
      </w:r>
      <w:r w:rsidRPr="009D48A5">
        <w:rPr>
          <w:lang w:val="zh-CN"/>
        </w:rPr>
        <w:t>1268</w:t>
      </w:r>
      <w:r w:rsidRPr="009D48A5">
        <w:rPr>
          <w:lang w:val="zh-CN"/>
        </w:rPr>
        <w:t>页，第</w:t>
      </w:r>
      <w:r w:rsidRPr="009D48A5">
        <w:rPr>
          <w:lang w:val="zh-CN"/>
        </w:rPr>
        <w:t>630</w:t>
      </w:r>
      <w:r w:rsidRPr="009D48A5">
        <w:rPr>
          <w:lang w:val="zh-CN"/>
        </w:rPr>
        <w:t>段；</w:t>
      </w:r>
      <w:r w:rsidRPr="009D48A5">
        <w:rPr>
          <w:lang w:val="zh-CN"/>
        </w:rPr>
        <w:t>G. Fitzmaurice,</w:t>
      </w:r>
      <w:r w:rsidRPr="009D48A5">
        <w:rPr>
          <w:rFonts w:hint="eastAsia"/>
          <w:lang w:val="zh-CN"/>
        </w:rPr>
        <w:t>“</w:t>
      </w:r>
      <w:r w:rsidRPr="009D48A5">
        <w:rPr>
          <w:lang w:val="zh-CN"/>
        </w:rPr>
        <w:t>国际法院的法律和程序</w:t>
      </w:r>
      <w:r w:rsidRPr="009D48A5">
        <w:rPr>
          <w:lang w:val="zh-CN"/>
        </w:rPr>
        <w:t>(1951-4)</w:t>
      </w:r>
      <w:r w:rsidRPr="009D48A5">
        <w:rPr>
          <w:lang w:val="zh-CN"/>
        </w:rPr>
        <w:t>：条约的解释与其他某些条约问题</w:t>
      </w:r>
      <w:r w:rsidRPr="009D48A5">
        <w:rPr>
          <w:rFonts w:hint="eastAsia"/>
          <w:lang w:val="zh-CN"/>
        </w:rPr>
        <w:t>”</w:t>
      </w:r>
      <w:r w:rsidRPr="009D48A5">
        <w:rPr>
          <w:lang w:val="zh-CN"/>
        </w:rPr>
        <w:t>《</w:t>
      </w:r>
      <w:r w:rsidRPr="009D48A5">
        <w:rPr>
          <w:lang w:val="zh-CN"/>
        </w:rPr>
        <w:t>1957</w:t>
      </w:r>
      <w:r w:rsidRPr="009D48A5">
        <w:rPr>
          <w:lang w:val="zh-CN"/>
        </w:rPr>
        <w:t>年英国国际法年鉴》，第</w:t>
      </w:r>
      <w:r w:rsidRPr="009D48A5">
        <w:rPr>
          <w:lang w:val="zh-CN"/>
        </w:rPr>
        <w:t>33</w:t>
      </w:r>
      <w:r w:rsidRPr="009D48A5">
        <w:rPr>
          <w:lang w:val="zh-CN"/>
        </w:rPr>
        <w:t>卷，第</w:t>
      </w:r>
      <w:r w:rsidRPr="009D48A5">
        <w:rPr>
          <w:lang w:val="zh-CN"/>
        </w:rPr>
        <w:t>203-293</w:t>
      </w:r>
      <w:r w:rsidRPr="009D48A5">
        <w:rPr>
          <w:lang w:val="zh-CN"/>
        </w:rPr>
        <w:t>页，见第</w:t>
      </w:r>
      <w:r w:rsidRPr="009D48A5">
        <w:rPr>
          <w:lang w:val="zh-CN"/>
        </w:rPr>
        <w:t>223-225</w:t>
      </w:r>
      <w:r w:rsidRPr="009D48A5">
        <w:rPr>
          <w:lang w:val="zh-CN"/>
        </w:rPr>
        <w:t>页；世贸组织专家组报告，</w:t>
      </w:r>
      <w:r w:rsidRPr="009D48A5">
        <w:rPr>
          <w:rFonts w:ascii="Time New Roman" w:eastAsia="楷体" w:hAnsi="Time New Roman"/>
          <w:lang w:val="zh-CN"/>
        </w:rPr>
        <w:t>美国－影响大型民用飞机贸易的措施</w:t>
      </w:r>
      <w:r w:rsidRPr="009D48A5">
        <w:rPr>
          <w:rFonts w:ascii="Time New Roman" w:eastAsia="楷体" w:hAnsi="Time New Roman"/>
          <w:lang w:val="zh-CN"/>
        </w:rPr>
        <w:t>(</w:t>
      </w:r>
      <w:r w:rsidRPr="009D48A5">
        <w:rPr>
          <w:rFonts w:ascii="Time New Roman" w:eastAsia="楷体" w:hAnsi="Time New Roman"/>
          <w:lang w:val="zh-CN"/>
        </w:rPr>
        <w:t>第</w:t>
      </w:r>
      <w:r w:rsidRPr="009D48A5">
        <w:rPr>
          <w:rFonts w:ascii="Time New Roman" w:eastAsia="楷体" w:hAnsi="Time New Roman"/>
          <w:lang w:val="zh-CN"/>
        </w:rPr>
        <w:t>2</w:t>
      </w:r>
      <w:r w:rsidRPr="009D48A5">
        <w:rPr>
          <w:rFonts w:ascii="Time New Roman" w:eastAsia="楷体" w:hAnsi="Time New Roman"/>
          <w:lang w:val="zh-CN"/>
        </w:rPr>
        <w:t>次申诉</w:t>
      </w:r>
      <w:r w:rsidRPr="009D48A5">
        <w:rPr>
          <w:rFonts w:ascii="Time New Roman" w:eastAsia="楷体" w:hAnsi="Time New Roman"/>
          <w:lang w:val="zh-CN"/>
        </w:rPr>
        <w:t>)(</w:t>
      </w:r>
      <w:r w:rsidRPr="009D48A5">
        <w:rPr>
          <w:rFonts w:ascii="Time New Roman" w:eastAsia="楷体" w:hAnsi="Time New Roman"/>
          <w:lang w:val="zh-CN"/>
        </w:rPr>
        <w:t>美国－大型民用飞机案</w:t>
      </w:r>
      <w:r w:rsidRPr="009D48A5">
        <w:rPr>
          <w:rFonts w:ascii="Time New Roman" w:eastAsia="楷体" w:hAnsi="Time New Roman"/>
          <w:lang w:val="zh-CN"/>
        </w:rPr>
        <w:t>(</w:t>
      </w:r>
      <w:r w:rsidRPr="009D48A5">
        <w:rPr>
          <w:rFonts w:ascii="Time New Roman" w:eastAsia="楷体" w:hAnsi="Time New Roman"/>
          <w:lang w:val="zh-CN"/>
        </w:rPr>
        <w:t>第</w:t>
      </w:r>
      <w:r w:rsidRPr="009D48A5">
        <w:rPr>
          <w:rFonts w:ascii="Time New Roman" w:eastAsia="楷体" w:hAnsi="Time New Roman"/>
          <w:lang w:val="zh-CN"/>
        </w:rPr>
        <w:t>2</w:t>
      </w:r>
      <w:r w:rsidRPr="009D48A5">
        <w:rPr>
          <w:rFonts w:ascii="Time New Roman" w:eastAsia="楷体" w:hAnsi="Time New Roman"/>
          <w:lang w:val="zh-CN"/>
        </w:rPr>
        <w:t>次申诉</w:t>
      </w:r>
      <w:r w:rsidRPr="009D48A5">
        <w:rPr>
          <w:rFonts w:ascii="Time New Roman" w:eastAsia="楷体" w:hAnsi="Time New Roman"/>
          <w:lang w:val="zh-CN"/>
        </w:rPr>
        <w:t>))</w:t>
      </w:r>
      <w:r w:rsidRPr="009D48A5">
        <w:rPr>
          <w:lang w:val="zh-CN"/>
        </w:rPr>
        <w:t>，</w:t>
      </w:r>
      <w:r w:rsidRPr="009D48A5">
        <w:rPr>
          <w:lang w:val="zh-CN"/>
        </w:rPr>
        <w:t>WT/DS353/R, 2012</w:t>
      </w:r>
      <w:r w:rsidRPr="009D48A5">
        <w:rPr>
          <w:lang w:val="zh-CN"/>
        </w:rPr>
        <w:t>年</w:t>
      </w:r>
      <w:r w:rsidRPr="009D48A5">
        <w:rPr>
          <w:lang w:val="zh-CN"/>
        </w:rPr>
        <w:t>3</w:t>
      </w:r>
      <w:r w:rsidRPr="009D48A5">
        <w:rPr>
          <w:lang w:val="zh-CN"/>
        </w:rPr>
        <w:t>月</w:t>
      </w:r>
      <w:r w:rsidRPr="009D48A5">
        <w:rPr>
          <w:lang w:val="zh-CN"/>
        </w:rPr>
        <w:t>23</w:t>
      </w:r>
      <w:r w:rsidRPr="009D48A5">
        <w:rPr>
          <w:lang w:val="zh-CN"/>
        </w:rPr>
        <w:t>日，第</w:t>
      </w:r>
      <w:r w:rsidRPr="009D48A5">
        <w:rPr>
          <w:lang w:val="zh-CN"/>
        </w:rPr>
        <w:t>7.953</w:t>
      </w:r>
      <w:r w:rsidRPr="009D48A5">
        <w:rPr>
          <w:lang w:val="zh-CN"/>
        </w:rPr>
        <w:t>段。</w:t>
      </w:r>
    </w:p>
  </w:footnote>
  <w:footnote w:id="437">
    <w:p w:rsidR="00AB00DE" w:rsidRPr="009D48A5" w:rsidRDefault="00AB00DE" w:rsidP="00B44972">
      <w:pPr>
        <w:pStyle w:val="a4"/>
        <w:spacing w:after="80"/>
      </w:pPr>
      <w:r w:rsidRPr="009D48A5">
        <w:rPr>
          <w:lang w:val="zh-CN"/>
        </w:rPr>
        <w:tab/>
      </w:r>
      <w:r w:rsidRPr="00DF5565">
        <w:rPr>
          <w:rStyle w:val="a5"/>
          <w:szCs w:val="22"/>
          <w:lang w:val="zh-CN"/>
        </w:rPr>
        <w:footnoteRef/>
      </w:r>
      <w:r w:rsidRPr="009D48A5">
        <w:rPr>
          <w:lang w:val="zh-CN"/>
        </w:rPr>
        <w:tab/>
      </w:r>
      <w:r w:rsidRPr="009D48A5">
        <w:rPr>
          <w:lang w:val="zh-CN"/>
        </w:rPr>
        <w:t>见</w:t>
      </w:r>
      <w:r w:rsidRPr="009D48A5">
        <w:t>《</w:t>
      </w:r>
      <w:r w:rsidRPr="009D48A5">
        <w:t>196</w:t>
      </w:r>
      <w:r w:rsidRPr="009D48A5">
        <w:rPr>
          <w:rFonts w:hint="eastAsia"/>
        </w:rPr>
        <w:t>6</w:t>
      </w:r>
      <w:r w:rsidRPr="009D48A5">
        <w:t>年</w:t>
      </w:r>
      <w:r w:rsidRPr="009D48A5">
        <w:rPr>
          <w:rFonts w:hint="eastAsia"/>
        </w:rPr>
        <w:t>……</w:t>
      </w:r>
      <w:r w:rsidRPr="009D48A5">
        <w:t>年鉴》</w:t>
      </w:r>
      <w:r w:rsidRPr="009D48A5">
        <w:rPr>
          <w:lang w:val="zh-CN"/>
        </w:rPr>
        <w:t>，第二卷，</w:t>
      </w:r>
      <w:r w:rsidRPr="009D48A5">
        <w:rPr>
          <w:lang w:val="zh-CN"/>
        </w:rPr>
        <w:t>A/6309/Rev.1</w:t>
      </w:r>
      <w:r w:rsidRPr="009D48A5">
        <w:rPr>
          <w:lang w:val="zh-CN"/>
        </w:rPr>
        <w:t>号文件，第</w:t>
      </w:r>
      <w:r w:rsidRPr="009D48A5">
        <w:rPr>
          <w:lang w:val="zh-CN"/>
        </w:rPr>
        <w:t>221</w:t>
      </w:r>
      <w:r w:rsidRPr="009D48A5">
        <w:rPr>
          <w:lang w:val="zh-CN"/>
        </w:rPr>
        <w:t>页，第</w:t>
      </w:r>
      <w:r w:rsidRPr="009D48A5">
        <w:rPr>
          <w:lang w:val="zh-CN"/>
        </w:rPr>
        <w:t>(15)</w:t>
      </w:r>
      <w:r w:rsidRPr="009D48A5">
        <w:rPr>
          <w:lang w:val="zh-CN"/>
        </w:rPr>
        <w:t>段。</w:t>
      </w:r>
    </w:p>
  </w:footnote>
  <w:footnote w:id="438">
    <w:p w:rsidR="00AB00DE" w:rsidRPr="009D48A5" w:rsidRDefault="00AB00DE" w:rsidP="00B44972">
      <w:pPr>
        <w:pStyle w:val="a4"/>
        <w:spacing w:after="80"/>
      </w:pPr>
      <w:r w:rsidRPr="009D48A5">
        <w:rPr>
          <w:lang w:val="zh-CN"/>
        </w:rPr>
        <w:tab/>
      </w:r>
      <w:r w:rsidRPr="00DF5565">
        <w:rPr>
          <w:rStyle w:val="a5"/>
          <w:szCs w:val="22"/>
          <w:lang w:val="zh-CN"/>
        </w:rPr>
        <w:footnoteRef/>
      </w:r>
      <w:r w:rsidRPr="009D48A5">
        <w:rPr>
          <w:lang w:val="zh-CN"/>
        </w:rPr>
        <w:tab/>
      </w:r>
      <w:r w:rsidRPr="009D48A5">
        <w:rPr>
          <w:lang w:val="zh-CN"/>
        </w:rPr>
        <w:t>《</w:t>
      </w:r>
      <w:r w:rsidRPr="009D48A5">
        <w:rPr>
          <w:lang w:val="zh-CN"/>
        </w:rPr>
        <w:t>196</w:t>
      </w:r>
      <w:r w:rsidRPr="009D48A5">
        <w:rPr>
          <w:rFonts w:hint="eastAsia"/>
          <w:lang w:val="zh-CN"/>
        </w:rPr>
        <w:t>4</w:t>
      </w:r>
      <w:r w:rsidRPr="009D48A5">
        <w:rPr>
          <w:lang w:val="zh-CN"/>
        </w:rPr>
        <w:t>年</w:t>
      </w:r>
      <w:r w:rsidRPr="009D48A5">
        <w:rPr>
          <w:rFonts w:hint="eastAsia"/>
          <w:lang w:val="zh-CN"/>
        </w:rPr>
        <w:t>……</w:t>
      </w:r>
      <w:r w:rsidRPr="009D48A5">
        <w:rPr>
          <w:lang w:val="zh-CN"/>
        </w:rPr>
        <w:t>年鉴》，第二卷，</w:t>
      </w:r>
      <w:r w:rsidRPr="009D48A5">
        <w:rPr>
          <w:lang w:val="zh-CN"/>
        </w:rPr>
        <w:t>A/5809</w:t>
      </w:r>
      <w:r w:rsidRPr="009D48A5">
        <w:rPr>
          <w:lang w:val="zh-CN"/>
        </w:rPr>
        <w:t>号文件，第</w:t>
      </w:r>
      <w:r w:rsidRPr="009D48A5">
        <w:rPr>
          <w:lang w:val="zh-CN"/>
        </w:rPr>
        <w:t>204-205</w:t>
      </w:r>
      <w:r w:rsidRPr="009D48A5">
        <w:rPr>
          <w:lang w:val="zh-CN"/>
        </w:rPr>
        <w:t>页，第</w:t>
      </w:r>
      <w:r w:rsidRPr="009D48A5">
        <w:rPr>
          <w:lang w:val="zh-CN"/>
        </w:rPr>
        <w:t>(15)</w:t>
      </w:r>
      <w:r w:rsidRPr="009D48A5">
        <w:rPr>
          <w:lang w:val="zh-CN"/>
        </w:rPr>
        <w:t>段</w:t>
      </w:r>
      <w:r w:rsidRPr="009D48A5">
        <w:rPr>
          <w:rFonts w:hint="eastAsia"/>
          <w:lang w:val="zh-CN"/>
        </w:rPr>
        <w:t>；</w:t>
      </w:r>
      <w:r w:rsidRPr="009D48A5">
        <w:rPr>
          <w:lang w:val="zh-CN"/>
        </w:rPr>
        <w:t>另见同上，第</w:t>
      </w:r>
      <w:r w:rsidRPr="009D48A5">
        <w:rPr>
          <w:lang w:val="zh-CN"/>
        </w:rPr>
        <w:t>203-204</w:t>
      </w:r>
      <w:r w:rsidRPr="009D48A5">
        <w:rPr>
          <w:lang w:val="zh-CN"/>
        </w:rPr>
        <w:t>页，第</w:t>
      </w:r>
      <w:r w:rsidRPr="009D48A5">
        <w:rPr>
          <w:lang w:val="zh-CN"/>
        </w:rPr>
        <w:t>13</w:t>
      </w:r>
      <w:r w:rsidRPr="009D48A5">
        <w:rPr>
          <w:lang w:val="zh-CN"/>
        </w:rPr>
        <w:t>段：</w:t>
      </w:r>
      <w:r w:rsidRPr="009D48A5">
        <w:rPr>
          <w:rFonts w:hint="eastAsia"/>
          <w:lang w:val="zh-CN"/>
        </w:rPr>
        <w:t>“</w:t>
      </w:r>
      <w:r w:rsidRPr="009D48A5">
        <w:rPr>
          <w:lang w:val="zh-CN"/>
        </w:rPr>
        <w:t>第</w:t>
      </w:r>
      <w:r w:rsidRPr="009D48A5">
        <w:rPr>
          <w:rFonts w:hint="eastAsia"/>
          <w:lang w:val="zh-CN"/>
        </w:rPr>
        <w:t>三</w:t>
      </w:r>
      <w:r w:rsidRPr="009D48A5">
        <w:rPr>
          <w:lang w:val="zh-CN"/>
        </w:rPr>
        <w:t>款具体规定，进一步的权威解释要素：</w:t>
      </w:r>
      <w:r w:rsidRPr="009D48A5">
        <w:rPr>
          <w:lang w:val="zh-CN"/>
        </w:rPr>
        <w:t xml:space="preserve">(a) </w:t>
      </w:r>
      <w:r w:rsidRPr="009D48A5">
        <w:rPr>
          <w:lang w:val="zh-CN"/>
        </w:rPr>
        <w:t>关于条约之解释之任何协定，和</w:t>
      </w:r>
      <w:r w:rsidRPr="009D48A5">
        <w:rPr>
          <w:lang w:val="zh-CN"/>
        </w:rPr>
        <w:t xml:space="preserve">(b) </w:t>
      </w:r>
      <w:r w:rsidRPr="009D48A5">
        <w:rPr>
          <w:lang w:val="zh-CN"/>
        </w:rPr>
        <w:t>嗣后在条约适用方面确定各当事方对条约解释之协定之任何惯例</w:t>
      </w:r>
      <w:r w:rsidRPr="009D48A5">
        <w:rPr>
          <w:rFonts w:hint="eastAsia"/>
          <w:lang w:val="zh-CN"/>
        </w:rPr>
        <w:t>”</w:t>
      </w:r>
      <w:r w:rsidRPr="009D48A5">
        <w:rPr>
          <w:lang w:val="zh-CN"/>
        </w:rPr>
        <w:t>[</w:t>
      </w:r>
      <w:r w:rsidRPr="009D48A5">
        <w:rPr>
          <w:lang w:val="zh-CN"/>
        </w:rPr>
        <w:t>强调系本文所加</w:t>
      </w:r>
      <w:r w:rsidRPr="009D48A5">
        <w:rPr>
          <w:lang w:val="zh-CN"/>
        </w:rPr>
        <w:t>]</w:t>
      </w:r>
      <w:r w:rsidRPr="009D48A5">
        <w:rPr>
          <w:lang w:val="zh-CN"/>
        </w:rPr>
        <w:t>；另一方面，</w:t>
      </w:r>
      <w:r w:rsidRPr="009D48A5">
        <w:rPr>
          <w:lang w:val="zh-CN"/>
        </w:rPr>
        <w:t>Waldock</w:t>
      </w:r>
      <w:r w:rsidRPr="009D48A5">
        <w:rPr>
          <w:lang w:val="zh-CN"/>
        </w:rPr>
        <w:t>在其第三次报告中解释了</w:t>
      </w:r>
      <w:r w:rsidRPr="009D48A5">
        <w:rPr>
          <w:rFonts w:hint="eastAsia"/>
          <w:lang w:val="zh-CN"/>
        </w:rPr>
        <w:t>“</w:t>
      </w:r>
      <w:r w:rsidRPr="009D48A5">
        <w:rPr>
          <w:rFonts w:hint="eastAsia"/>
        </w:rPr>
        <w:t>……</w:t>
      </w:r>
      <w:r w:rsidRPr="009D48A5">
        <w:rPr>
          <w:lang w:val="zh-CN"/>
        </w:rPr>
        <w:t>准备工作本身并非作准解释资料</w:t>
      </w:r>
      <w:r w:rsidRPr="009D48A5">
        <w:rPr>
          <w:rFonts w:hint="eastAsia"/>
          <w:lang w:val="zh-CN"/>
        </w:rPr>
        <w:t>”</w:t>
      </w:r>
      <w:r w:rsidRPr="009D48A5">
        <w:rPr>
          <w:lang w:val="zh-CN"/>
        </w:rPr>
        <w:t>。见同上，</w:t>
      </w:r>
      <w:r w:rsidRPr="009D48A5">
        <w:rPr>
          <w:lang w:val="zh-CN"/>
        </w:rPr>
        <w:t>A/CN.4/167</w:t>
      </w:r>
      <w:r w:rsidRPr="009D48A5">
        <w:rPr>
          <w:lang w:val="zh-CN"/>
        </w:rPr>
        <w:t>和</w:t>
      </w:r>
      <w:r w:rsidRPr="009D48A5">
        <w:rPr>
          <w:lang w:val="zh-CN"/>
        </w:rPr>
        <w:t>Add.1-3</w:t>
      </w:r>
      <w:r w:rsidRPr="009D48A5">
        <w:rPr>
          <w:lang w:val="zh-CN"/>
        </w:rPr>
        <w:t>号文件，第</w:t>
      </w:r>
      <w:r w:rsidRPr="009D48A5">
        <w:rPr>
          <w:lang w:val="zh-CN"/>
        </w:rPr>
        <w:t>58-59</w:t>
      </w:r>
      <w:r w:rsidRPr="009D48A5">
        <w:rPr>
          <w:lang w:val="zh-CN"/>
        </w:rPr>
        <w:t>页，第</w:t>
      </w:r>
      <w:r w:rsidRPr="009D48A5">
        <w:rPr>
          <w:lang w:val="zh-CN"/>
        </w:rPr>
        <w:t>(21)</w:t>
      </w:r>
      <w:r w:rsidRPr="009D48A5">
        <w:rPr>
          <w:lang w:val="zh-CN"/>
        </w:rPr>
        <w:t>段。</w:t>
      </w:r>
    </w:p>
  </w:footnote>
  <w:footnote w:id="439">
    <w:p w:rsidR="00AB00DE" w:rsidRPr="009D48A5" w:rsidRDefault="00AB00DE" w:rsidP="00B44972">
      <w:pPr>
        <w:pStyle w:val="a4"/>
        <w:spacing w:after="80"/>
      </w:pPr>
      <w:r w:rsidRPr="009D48A5">
        <w:rPr>
          <w:lang w:val="zh-CN"/>
        </w:rPr>
        <w:tab/>
      </w:r>
      <w:r w:rsidRPr="00DF5565">
        <w:rPr>
          <w:rStyle w:val="a5"/>
          <w:szCs w:val="22"/>
          <w:lang w:val="zh-CN"/>
        </w:rPr>
        <w:footnoteRef/>
      </w:r>
      <w:r w:rsidRPr="009D48A5">
        <w:rPr>
          <w:lang w:val="zh-CN"/>
        </w:rPr>
        <w:tab/>
      </w:r>
      <w:r w:rsidRPr="009D48A5">
        <w:t>《</w:t>
      </w:r>
      <w:r w:rsidRPr="009D48A5">
        <w:t>1966</w:t>
      </w:r>
      <w:r w:rsidRPr="009D48A5">
        <w:t>年</w:t>
      </w:r>
      <w:r w:rsidRPr="009D48A5">
        <w:rPr>
          <w:rFonts w:hint="eastAsia"/>
        </w:rPr>
        <w:t>……</w:t>
      </w:r>
      <w:r w:rsidRPr="009D48A5">
        <w:t>年鉴》</w:t>
      </w:r>
      <w:r w:rsidRPr="009D48A5">
        <w:rPr>
          <w:lang w:val="zh-CN"/>
        </w:rPr>
        <w:t>，第二卷，</w:t>
      </w:r>
      <w:r w:rsidRPr="009D48A5">
        <w:rPr>
          <w:lang w:val="zh-CN"/>
        </w:rPr>
        <w:t>A/6309/Rev.1</w:t>
      </w:r>
      <w:r w:rsidRPr="009D48A5">
        <w:rPr>
          <w:lang w:val="zh-CN"/>
        </w:rPr>
        <w:t>号文件，第</w:t>
      </w:r>
      <w:r w:rsidRPr="009D48A5">
        <w:rPr>
          <w:lang w:val="zh-CN"/>
        </w:rPr>
        <w:t>219-220</w:t>
      </w:r>
      <w:r w:rsidRPr="009D48A5">
        <w:rPr>
          <w:lang w:val="zh-CN"/>
        </w:rPr>
        <w:t>页，第</w:t>
      </w:r>
      <w:r w:rsidRPr="009D48A5">
        <w:rPr>
          <w:lang w:val="zh-CN"/>
        </w:rPr>
        <w:t>(8)</w:t>
      </w:r>
      <w:r w:rsidRPr="009D48A5">
        <w:rPr>
          <w:lang w:val="zh-CN"/>
        </w:rPr>
        <w:t>和</w:t>
      </w:r>
      <w:r w:rsidRPr="009D48A5">
        <w:rPr>
          <w:lang w:val="zh-CN"/>
        </w:rPr>
        <w:t>(9)</w:t>
      </w:r>
      <w:r w:rsidRPr="009D48A5">
        <w:rPr>
          <w:lang w:val="zh-CN"/>
        </w:rPr>
        <w:t>段。</w:t>
      </w:r>
    </w:p>
  </w:footnote>
  <w:footnote w:id="440">
    <w:p w:rsidR="00AB00DE" w:rsidRPr="009D48A5" w:rsidRDefault="00AB00DE" w:rsidP="00D90936">
      <w:pPr>
        <w:pStyle w:val="a4"/>
        <w:spacing w:after="80"/>
        <w:rPr>
          <w:lang w:val="zh-CN"/>
        </w:rPr>
      </w:pPr>
      <w:r w:rsidRPr="009D48A5">
        <w:rPr>
          <w:lang w:val="zh-CN"/>
        </w:rPr>
        <w:tab/>
      </w:r>
      <w:r w:rsidRPr="00DF5565">
        <w:rPr>
          <w:rStyle w:val="a5"/>
          <w:szCs w:val="22"/>
          <w:lang w:val="zh-CN"/>
        </w:rPr>
        <w:footnoteRef/>
      </w:r>
      <w:r w:rsidRPr="009D48A5">
        <w:rPr>
          <w:lang w:val="zh-CN"/>
        </w:rPr>
        <w:tab/>
        <w:t>M.E. Villiger,</w:t>
      </w:r>
      <w:r w:rsidRPr="009D48A5">
        <w:rPr>
          <w:rFonts w:hint="eastAsia"/>
          <w:lang w:val="zh-CN"/>
        </w:rPr>
        <w:t>“</w:t>
      </w:r>
      <w:r w:rsidRPr="009D48A5">
        <w:rPr>
          <w:lang w:val="zh-CN"/>
        </w:rPr>
        <w:t>解释规则：担心、误解、误用？国际法委员会所设想的</w:t>
      </w:r>
      <w:r w:rsidRPr="009D48A5">
        <w:rPr>
          <w:lang w:val="zh-CN"/>
        </w:rPr>
        <w:t>‘</w:t>
      </w:r>
      <w:r w:rsidRPr="009D48A5">
        <w:rPr>
          <w:lang w:val="zh-CN"/>
        </w:rPr>
        <w:t>熔炉</w:t>
      </w:r>
      <w:r w:rsidRPr="009D48A5">
        <w:rPr>
          <w:lang w:val="zh-CN"/>
        </w:rPr>
        <w:t>’</w:t>
      </w:r>
      <w:r w:rsidRPr="009D48A5">
        <w:rPr>
          <w:rFonts w:hint="eastAsia"/>
          <w:lang w:val="zh-CN"/>
        </w:rPr>
        <w:t>”</w:t>
      </w:r>
      <w:r w:rsidRPr="009D48A5">
        <w:rPr>
          <w:lang w:val="zh-CN"/>
        </w:rPr>
        <w:t>，载于《〈维也纳公约〉之后的条约法》</w:t>
      </w:r>
      <w:r w:rsidRPr="009D48A5">
        <w:rPr>
          <w:lang w:val="zh-CN"/>
        </w:rPr>
        <w:t>E. Cannizaro (</w:t>
      </w:r>
      <w:r w:rsidRPr="009D48A5">
        <w:rPr>
          <w:lang w:val="zh-CN"/>
        </w:rPr>
        <w:t>编</w:t>
      </w:r>
      <w:r w:rsidRPr="009D48A5">
        <w:rPr>
          <w:lang w:val="zh-CN"/>
        </w:rPr>
        <w:t>) (</w:t>
      </w:r>
      <w:r w:rsidRPr="009D48A5">
        <w:rPr>
          <w:lang w:val="zh-CN"/>
        </w:rPr>
        <w:t>牛津，牛津大学出版社，</w:t>
      </w:r>
      <w:r w:rsidRPr="009D48A5">
        <w:rPr>
          <w:lang w:val="zh-CN"/>
        </w:rPr>
        <w:t>2011</w:t>
      </w:r>
      <w:r w:rsidRPr="009D48A5">
        <w:rPr>
          <w:lang w:val="zh-CN"/>
        </w:rPr>
        <w:t>年</w:t>
      </w:r>
      <w:r w:rsidRPr="009D48A5">
        <w:rPr>
          <w:lang w:val="zh-CN"/>
        </w:rPr>
        <w:t>)</w:t>
      </w:r>
      <w:r w:rsidRPr="009D48A5">
        <w:rPr>
          <w:lang w:val="zh-CN"/>
        </w:rPr>
        <w:t>，第</w:t>
      </w:r>
      <w:r w:rsidRPr="009D48A5">
        <w:rPr>
          <w:lang w:val="zh-CN"/>
        </w:rPr>
        <w:t>105-122</w:t>
      </w:r>
      <w:r w:rsidRPr="009D48A5">
        <w:rPr>
          <w:lang w:val="zh-CN"/>
        </w:rPr>
        <w:t>页，见第</w:t>
      </w:r>
      <w:r w:rsidRPr="009D48A5">
        <w:rPr>
          <w:lang w:val="zh-CN"/>
        </w:rPr>
        <w:t>111</w:t>
      </w:r>
      <w:r w:rsidRPr="009D48A5">
        <w:rPr>
          <w:lang w:val="zh-CN"/>
        </w:rPr>
        <w:t>页；</w:t>
      </w:r>
      <w:r w:rsidRPr="009D48A5">
        <w:rPr>
          <w:lang w:val="zh-CN"/>
        </w:rPr>
        <w:t>Gardiner,</w:t>
      </w:r>
      <w:r w:rsidRPr="009D48A5">
        <w:rPr>
          <w:lang w:val="zh-CN"/>
        </w:rPr>
        <w:t>《条约解释》</w:t>
      </w:r>
      <w:r w:rsidRPr="009D48A5">
        <w:rPr>
          <w:lang w:val="zh-CN"/>
        </w:rPr>
        <w:t>(</w:t>
      </w:r>
      <w:r w:rsidRPr="009D48A5">
        <w:rPr>
          <w:lang w:val="zh-CN"/>
        </w:rPr>
        <w:t>见上文脚注</w:t>
      </w:r>
      <w:r w:rsidRPr="00D90936">
        <w:rPr>
          <w:rFonts w:asciiTheme="majorBidi" w:hAnsiTheme="majorBidi" w:cstheme="majorBidi"/>
        </w:rPr>
        <w:fldChar w:fldCharType="begin"/>
      </w:r>
      <w:r w:rsidRPr="00D90936">
        <w:rPr>
          <w:rFonts w:asciiTheme="majorBidi" w:hAnsiTheme="majorBidi" w:cstheme="majorBidi"/>
        </w:rPr>
        <w:instrText xml:space="preserve"> NOTEREF _Ref461971974 \h </w:instrText>
      </w:r>
      <w:r>
        <w:rPr>
          <w:rFonts w:asciiTheme="majorBidi" w:hAnsiTheme="majorBidi" w:cstheme="majorBidi"/>
        </w:rPr>
        <w:instrText xml:space="preserve"> \* MERGEFORMAT </w:instrText>
      </w:r>
      <w:r w:rsidRPr="00D90936">
        <w:rPr>
          <w:rFonts w:asciiTheme="majorBidi" w:hAnsiTheme="majorBidi" w:cstheme="majorBidi"/>
        </w:rPr>
      </w:r>
      <w:r w:rsidRPr="00D90936">
        <w:rPr>
          <w:rFonts w:asciiTheme="majorBidi" w:hAnsiTheme="majorBidi" w:cstheme="majorBidi"/>
        </w:rPr>
        <w:fldChar w:fldCharType="separate"/>
      </w:r>
      <w:r w:rsidR="00A73EB9">
        <w:rPr>
          <w:rFonts w:asciiTheme="majorBidi" w:hAnsiTheme="majorBidi" w:cstheme="majorBidi"/>
        </w:rPr>
        <w:t>392</w:t>
      </w:r>
      <w:r w:rsidRPr="00D90936">
        <w:rPr>
          <w:rFonts w:asciiTheme="majorBidi" w:hAnsiTheme="majorBidi" w:cstheme="majorBidi"/>
        </w:rPr>
        <w:fldChar w:fldCharType="end"/>
      </w:r>
      <w:r w:rsidRPr="009D48A5">
        <w:rPr>
          <w:lang w:val="zh-CN"/>
        </w:rPr>
        <w:t>)</w:t>
      </w:r>
      <w:r w:rsidRPr="009D48A5">
        <w:rPr>
          <w:lang w:val="zh-CN"/>
        </w:rPr>
        <w:t>，见第</w:t>
      </w:r>
      <w:r w:rsidRPr="009D48A5">
        <w:rPr>
          <w:lang w:val="zh-CN"/>
        </w:rPr>
        <w:t>34</w:t>
      </w:r>
      <w:r w:rsidRPr="009D48A5">
        <w:rPr>
          <w:lang w:val="zh-CN"/>
        </w:rPr>
        <w:t>页；</w:t>
      </w:r>
      <w:r w:rsidRPr="009D48A5">
        <w:rPr>
          <w:lang w:val="zh-CN"/>
        </w:rPr>
        <w:t>O. Dörr,</w:t>
      </w:r>
      <w:r w:rsidRPr="009D48A5">
        <w:rPr>
          <w:rFonts w:hint="eastAsia"/>
          <w:lang w:val="zh-CN"/>
        </w:rPr>
        <w:t>“</w:t>
      </w:r>
      <w:r w:rsidRPr="009D48A5">
        <w:rPr>
          <w:lang w:val="zh-CN"/>
        </w:rPr>
        <w:t>第三十一条，解释之通则</w:t>
      </w:r>
      <w:r w:rsidRPr="009D48A5">
        <w:rPr>
          <w:rFonts w:hint="eastAsia"/>
          <w:lang w:val="zh-CN"/>
        </w:rPr>
        <w:t>”</w:t>
      </w:r>
      <w:r w:rsidRPr="009D48A5">
        <w:rPr>
          <w:lang w:val="zh-CN"/>
        </w:rPr>
        <w:t>，《</w:t>
      </w:r>
      <w:r w:rsidRPr="009D48A5">
        <w:rPr>
          <w:lang w:val="de-DE"/>
        </w:rPr>
        <w:t>〈</w:t>
      </w:r>
      <w:r w:rsidRPr="009D48A5">
        <w:t>维也纳条约法公约</w:t>
      </w:r>
      <w:r w:rsidRPr="009D48A5">
        <w:rPr>
          <w:lang w:val="de-DE"/>
        </w:rPr>
        <w:t>〉</w:t>
      </w:r>
      <w:r w:rsidRPr="009D48A5">
        <w:t>评注</w:t>
      </w:r>
      <w:r w:rsidRPr="009D48A5">
        <w:rPr>
          <w:lang w:val="zh-CN"/>
        </w:rPr>
        <w:t>》，载于</w:t>
      </w:r>
      <w:r w:rsidRPr="009D48A5">
        <w:rPr>
          <w:lang w:val="zh-CN"/>
        </w:rPr>
        <w:t>O. Dörr</w:t>
      </w:r>
      <w:r w:rsidRPr="009D48A5">
        <w:rPr>
          <w:lang w:val="zh-CN"/>
        </w:rPr>
        <w:t>和</w:t>
      </w:r>
      <w:r w:rsidRPr="009D48A5">
        <w:rPr>
          <w:lang w:val="zh-CN"/>
        </w:rPr>
        <w:t>K. Schmalenbach (</w:t>
      </w:r>
      <w:r w:rsidRPr="009D48A5">
        <w:rPr>
          <w:lang w:val="zh-CN"/>
        </w:rPr>
        <w:t>编</w:t>
      </w:r>
      <w:r w:rsidRPr="009D48A5">
        <w:rPr>
          <w:lang w:val="zh-CN"/>
        </w:rPr>
        <w:t>)</w:t>
      </w:r>
      <w:r w:rsidRPr="009D48A5">
        <w:rPr>
          <w:lang w:val="zh-CN"/>
        </w:rPr>
        <w:t>，</w:t>
      </w:r>
      <w:r w:rsidRPr="009D48A5">
        <w:rPr>
          <w:lang w:val="zh-CN"/>
        </w:rPr>
        <w:t>(</w:t>
      </w:r>
      <w:r w:rsidRPr="009D48A5">
        <w:rPr>
          <w:lang w:val="zh-CN"/>
        </w:rPr>
        <w:t>柏林，</w:t>
      </w:r>
      <w:r w:rsidRPr="009D48A5">
        <w:rPr>
          <w:lang w:val="zh-CN"/>
        </w:rPr>
        <w:t>Springer, 2012</w:t>
      </w:r>
      <w:r w:rsidRPr="009D48A5">
        <w:rPr>
          <w:lang w:val="zh-CN"/>
        </w:rPr>
        <w:t>年</w:t>
      </w:r>
      <w:r w:rsidRPr="009D48A5">
        <w:rPr>
          <w:lang w:val="zh-CN"/>
        </w:rPr>
        <w:t>)</w:t>
      </w:r>
      <w:r w:rsidRPr="009D48A5">
        <w:rPr>
          <w:lang w:val="zh-CN"/>
        </w:rPr>
        <w:t>，第</w:t>
      </w:r>
      <w:r w:rsidRPr="009D48A5">
        <w:rPr>
          <w:lang w:val="zh-CN"/>
        </w:rPr>
        <w:t>521-570</w:t>
      </w:r>
      <w:r w:rsidRPr="009D48A5">
        <w:rPr>
          <w:lang w:val="zh-CN"/>
        </w:rPr>
        <w:t>页，见第</w:t>
      </w:r>
      <w:r w:rsidRPr="009D48A5">
        <w:rPr>
          <w:lang w:val="zh-CN"/>
        </w:rPr>
        <w:t>553-554</w:t>
      </w:r>
      <w:r w:rsidRPr="009D48A5">
        <w:rPr>
          <w:lang w:val="zh-CN"/>
        </w:rPr>
        <w:t>页，第</w:t>
      </w:r>
      <w:r w:rsidRPr="009D48A5">
        <w:rPr>
          <w:lang w:val="zh-CN"/>
        </w:rPr>
        <w:t>72-75</w:t>
      </w:r>
      <w:r w:rsidRPr="009D48A5">
        <w:rPr>
          <w:lang w:val="zh-CN"/>
        </w:rPr>
        <w:t>段；</w:t>
      </w:r>
      <w:r w:rsidRPr="009D48A5">
        <w:rPr>
          <w:lang w:val="zh-CN"/>
        </w:rPr>
        <w:t>K. Skubiszewski,</w:t>
      </w:r>
      <w:r w:rsidRPr="009D48A5">
        <w:rPr>
          <w:rFonts w:hint="eastAsia"/>
          <w:lang w:val="zh-CN"/>
        </w:rPr>
        <w:t>“</w:t>
      </w:r>
      <w:r w:rsidRPr="009D48A5">
        <w:rPr>
          <w:lang w:val="zh-CN"/>
        </w:rPr>
        <w:t>漫谈《联合国宪章》的解释问题</w:t>
      </w:r>
      <w:r w:rsidRPr="009D48A5">
        <w:rPr>
          <w:rFonts w:hint="eastAsia"/>
          <w:lang w:val="zh-CN"/>
        </w:rPr>
        <w:t>”</w:t>
      </w:r>
      <w:r w:rsidRPr="009D48A5">
        <w:rPr>
          <w:lang w:val="zh-CN"/>
        </w:rPr>
        <w:t>，载于</w:t>
      </w:r>
      <w:r w:rsidRPr="009D48A5">
        <w:rPr>
          <w:i/>
          <w:iCs/>
          <w:lang w:val="zh-CN"/>
        </w:rPr>
        <w:t xml:space="preserve">Völkerrecht als Rechtsordnung, Internationale Gerichtsbarkeit, Menschenrechte – Festschrift für Hermann Mosler, </w:t>
      </w:r>
      <w:r w:rsidRPr="009D48A5">
        <w:rPr>
          <w:lang w:val="zh-CN"/>
        </w:rPr>
        <w:t>R. Bernhardt</w:t>
      </w:r>
      <w:r w:rsidRPr="009D48A5">
        <w:rPr>
          <w:rFonts w:hint="eastAsia"/>
          <w:lang w:val="zh-CN"/>
        </w:rPr>
        <w:t>等人</w:t>
      </w:r>
      <w:r w:rsidRPr="009D48A5">
        <w:rPr>
          <w:lang w:val="zh-CN"/>
        </w:rPr>
        <w:t>(</w:t>
      </w:r>
      <w:r w:rsidRPr="009D48A5">
        <w:rPr>
          <w:lang w:val="zh-CN"/>
        </w:rPr>
        <w:t>编</w:t>
      </w:r>
      <w:r w:rsidRPr="009D48A5">
        <w:rPr>
          <w:lang w:val="zh-CN"/>
        </w:rPr>
        <w:t>) (</w:t>
      </w:r>
      <w:r w:rsidRPr="009D48A5">
        <w:rPr>
          <w:lang w:val="zh-CN"/>
        </w:rPr>
        <w:t>柏林，</w:t>
      </w:r>
      <w:r w:rsidRPr="009D48A5">
        <w:rPr>
          <w:lang w:val="zh-CN"/>
        </w:rPr>
        <w:t>Springer, 1983</w:t>
      </w:r>
      <w:r w:rsidRPr="009D48A5">
        <w:rPr>
          <w:lang w:val="zh-CN"/>
        </w:rPr>
        <w:t>年</w:t>
      </w:r>
      <w:r w:rsidRPr="009D48A5">
        <w:rPr>
          <w:lang w:val="zh-CN"/>
        </w:rPr>
        <w:t>)</w:t>
      </w:r>
      <w:r w:rsidRPr="009D48A5">
        <w:rPr>
          <w:lang w:val="zh-CN"/>
        </w:rPr>
        <w:t>，第</w:t>
      </w:r>
      <w:r w:rsidRPr="009D48A5">
        <w:rPr>
          <w:lang w:val="zh-CN"/>
        </w:rPr>
        <w:t>891-902</w:t>
      </w:r>
      <w:r w:rsidRPr="009D48A5">
        <w:rPr>
          <w:lang w:val="zh-CN"/>
        </w:rPr>
        <w:t>页，见第</w:t>
      </w:r>
      <w:r w:rsidRPr="009D48A5">
        <w:rPr>
          <w:lang w:val="zh-CN"/>
        </w:rPr>
        <w:t>898</w:t>
      </w:r>
      <w:r w:rsidRPr="009D48A5">
        <w:rPr>
          <w:lang w:val="zh-CN"/>
        </w:rPr>
        <w:t>页。</w:t>
      </w:r>
    </w:p>
  </w:footnote>
  <w:footnote w:id="441">
    <w:p w:rsidR="00AB00DE" w:rsidRPr="009D48A5" w:rsidRDefault="00AB00DE" w:rsidP="00560424">
      <w:pPr>
        <w:pStyle w:val="a4"/>
        <w:spacing w:after="80"/>
      </w:pPr>
      <w:r w:rsidRPr="009D48A5">
        <w:tab/>
      </w:r>
      <w:r w:rsidRPr="00DF5565">
        <w:rPr>
          <w:rStyle w:val="a5"/>
          <w:szCs w:val="22"/>
          <w:lang w:val="zh-CN"/>
        </w:rPr>
        <w:footnoteRef/>
      </w:r>
      <w:r w:rsidRPr="009D48A5">
        <w:tab/>
        <w:t>H. Fox,</w:t>
      </w:r>
      <w:r w:rsidRPr="009D48A5">
        <w:rPr>
          <w:rFonts w:hint="eastAsia"/>
        </w:rPr>
        <w:t>“</w:t>
      </w:r>
      <w:r w:rsidRPr="009D48A5">
        <w:t>《维也纳公约》第三十一条第</w:t>
      </w:r>
      <w:r w:rsidRPr="009D48A5">
        <w:t>3</w:t>
      </w:r>
      <w:r w:rsidRPr="009D48A5">
        <w:t>款</w:t>
      </w:r>
      <w:r w:rsidRPr="009D48A5">
        <w:t>(a)</w:t>
      </w:r>
      <w:r w:rsidRPr="009D48A5">
        <w:t>项和</w:t>
      </w:r>
      <w:r w:rsidRPr="009D48A5">
        <w:t>(b)</w:t>
      </w:r>
      <w:r w:rsidRPr="009D48A5">
        <w:t>项与</w:t>
      </w:r>
      <w:r w:rsidRPr="009D48A5">
        <w:rPr>
          <w:rFonts w:ascii="Time New Roman" w:eastAsia="楷体" w:hAnsi="Time New Roman"/>
        </w:rPr>
        <w:t>卡西基里</w:t>
      </w:r>
      <w:r w:rsidRPr="009D48A5">
        <w:rPr>
          <w:rFonts w:ascii="Time New Roman" w:eastAsia="楷体" w:hAnsi="Time New Roman"/>
        </w:rPr>
        <w:t>/</w:t>
      </w:r>
      <w:r w:rsidRPr="009D48A5">
        <w:rPr>
          <w:rFonts w:ascii="Time New Roman" w:eastAsia="楷体" w:hAnsi="Time New Roman"/>
        </w:rPr>
        <w:t>塞塞杜岛案</w:t>
      </w:r>
      <w:r w:rsidRPr="009D48A5">
        <w:rPr>
          <w:rFonts w:hint="eastAsia"/>
        </w:rPr>
        <w:t>”</w:t>
      </w:r>
      <w:r w:rsidRPr="009D48A5">
        <w:t>，载于《条约解释与〈维也纳条约法公约〉：</w:t>
      </w:r>
      <w:r w:rsidRPr="009D48A5">
        <w:t>30</w:t>
      </w:r>
      <w:r w:rsidRPr="009D48A5">
        <w:t>年之后》</w:t>
      </w:r>
      <w:r w:rsidRPr="009D48A5">
        <w:t>M. Fitzmaurice</w:t>
      </w:r>
      <w:r w:rsidRPr="009D48A5">
        <w:t>、</w:t>
      </w:r>
      <w:r w:rsidRPr="009D48A5">
        <w:t>O. Elias</w:t>
      </w:r>
      <w:r w:rsidRPr="009D48A5">
        <w:t>和</w:t>
      </w:r>
      <w:r w:rsidRPr="009D48A5">
        <w:t>P. Merkouris (</w:t>
      </w:r>
      <w:r w:rsidRPr="009D48A5">
        <w:t>编</w:t>
      </w:r>
      <w:r w:rsidRPr="009D48A5">
        <w:t>) (</w:t>
      </w:r>
      <w:r w:rsidRPr="009D48A5">
        <w:t>莱顿，</w:t>
      </w:r>
      <w:r w:rsidRPr="009D48A5">
        <w:t>Martinus Nijhoff, 2010</w:t>
      </w:r>
      <w:r w:rsidRPr="009D48A5">
        <w:t>年</w:t>
      </w:r>
      <w:r w:rsidRPr="009D48A5">
        <w:t>)</w:t>
      </w:r>
      <w:r w:rsidRPr="009D48A5">
        <w:t>，第</w:t>
      </w:r>
      <w:r w:rsidRPr="009D48A5">
        <w:t>59-74</w:t>
      </w:r>
      <w:r w:rsidRPr="009D48A5">
        <w:t>页，见第</w:t>
      </w:r>
      <w:r w:rsidRPr="009D48A5">
        <w:t>61-62</w:t>
      </w:r>
      <w:r w:rsidRPr="009D48A5">
        <w:t>页；</w:t>
      </w:r>
      <w:r w:rsidRPr="009D48A5">
        <w:t xml:space="preserve">A. Chanaki, </w:t>
      </w:r>
      <w:r w:rsidRPr="009D48A5">
        <w:rPr>
          <w:i/>
          <w:iCs/>
        </w:rPr>
        <w:t>L’adaptation des traités dans le temps</w:t>
      </w:r>
      <w:r w:rsidRPr="009D48A5">
        <w:t xml:space="preserve"> (</w:t>
      </w:r>
      <w:r w:rsidRPr="009D48A5">
        <w:t>布鲁塞尔，</w:t>
      </w:r>
      <w:r w:rsidRPr="009D48A5">
        <w:t>Bruylant, 2013</w:t>
      </w:r>
      <w:r w:rsidRPr="009D48A5">
        <w:t>年</w:t>
      </w:r>
      <w:r w:rsidRPr="009D48A5">
        <w:t>)</w:t>
      </w:r>
      <w:r w:rsidRPr="009D48A5">
        <w:t>，第</w:t>
      </w:r>
      <w:r w:rsidRPr="009D48A5">
        <w:t>313-315</w:t>
      </w:r>
      <w:r w:rsidRPr="009D48A5">
        <w:t>页；</w:t>
      </w:r>
      <w:r w:rsidRPr="009D48A5">
        <w:t>M. Benatar,</w:t>
      </w:r>
      <w:r w:rsidRPr="009D48A5">
        <w:rPr>
          <w:rFonts w:hint="eastAsia"/>
        </w:rPr>
        <w:t>“</w:t>
      </w:r>
      <w:r w:rsidRPr="009D48A5">
        <w:t>从证明价值到作准的解释：解释性声明的法律效果</w:t>
      </w:r>
      <w:r w:rsidRPr="009D48A5">
        <w:rPr>
          <w:rFonts w:hint="eastAsia"/>
        </w:rPr>
        <w:t>”</w:t>
      </w:r>
      <w:r w:rsidRPr="009D48A5">
        <w:t>，</w:t>
      </w:r>
      <w:r w:rsidRPr="009D48A5">
        <w:rPr>
          <w:i/>
          <w:iCs/>
        </w:rPr>
        <w:t xml:space="preserve">Revue belge de droit international, </w:t>
      </w:r>
      <w:r w:rsidRPr="009D48A5">
        <w:t>第</w:t>
      </w:r>
      <w:r w:rsidRPr="009D48A5">
        <w:t>44</w:t>
      </w:r>
      <w:r w:rsidRPr="009D48A5">
        <w:t>卷</w:t>
      </w:r>
      <w:r w:rsidRPr="009D48A5">
        <w:rPr>
          <w:rFonts w:hint="eastAsia"/>
        </w:rPr>
        <w:t>(</w:t>
      </w:r>
      <w:r w:rsidRPr="009D48A5">
        <w:t>2011</w:t>
      </w:r>
      <w:r w:rsidRPr="009D48A5">
        <w:t>年</w:t>
      </w:r>
      <w:r w:rsidRPr="009D48A5">
        <w:t>)</w:t>
      </w:r>
      <w:r w:rsidRPr="009D48A5">
        <w:t>，第</w:t>
      </w:r>
      <w:r w:rsidRPr="009D48A5">
        <w:t>170-195</w:t>
      </w:r>
      <w:r w:rsidRPr="009D48A5">
        <w:t>页，见第</w:t>
      </w:r>
      <w:r w:rsidRPr="009D48A5">
        <w:t>194-195</w:t>
      </w:r>
      <w:r w:rsidRPr="009D48A5">
        <w:t>页；提醒：</w:t>
      </w:r>
      <w:r w:rsidRPr="009D48A5">
        <w:t>J.M. Sorel</w:t>
      </w:r>
      <w:r w:rsidRPr="009D48A5">
        <w:t>和</w:t>
      </w:r>
      <w:r w:rsidRPr="009D48A5">
        <w:t>B</w:t>
      </w:r>
      <w:r w:rsidRPr="009D48A5">
        <w:rPr>
          <w:rFonts w:hint="eastAsia"/>
        </w:rPr>
        <w:t>.</w:t>
      </w:r>
      <w:r w:rsidRPr="009D48A5">
        <w:t xml:space="preserve"> Eveno,</w:t>
      </w:r>
      <w:r w:rsidRPr="009D48A5">
        <w:rPr>
          <w:rFonts w:hint="eastAsia"/>
        </w:rPr>
        <w:t>“</w:t>
      </w:r>
      <w:r w:rsidRPr="009D48A5">
        <w:t>1969</w:t>
      </w:r>
      <w:r w:rsidRPr="009D48A5">
        <w:t>年《维也纳公约》第三十一条：解释之通则</w:t>
      </w:r>
      <w:r w:rsidRPr="009D48A5">
        <w:rPr>
          <w:rFonts w:hint="eastAsia"/>
        </w:rPr>
        <w:t>”</w:t>
      </w:r>
      <w:r w:rsidRPr="009D48A5">
        <w:t>载于</w:t>
      </w:r>
      <w:r w:rsidRPr="009D48A5">
        <w:t>Corten</w:t>
      </w:r>
      <w:r w:rsidRPr="009D48A5">
        <w:t>和</w:t>
      </w:r>
      <w:r w:rsidRPr="009D48A5">
        <w:t>Klein,</w:t>
      </w:r>
      <w:r w:rsidRPr="009D48A5">
        <w:t>《</w:t>
      </w:r>
      <w:r w:rsidRPr="009D48A5">
        <w:rPr>
          <w:lang w:val="de-DE"/>
        </w:rPr>
        <w:t>〈</w:t>
      </w:r>
      <w:r w:rsidRPr="009D48A5">
        <w:t>维也纳</w:t>
      </w:r>
      <w:r w:rsidRPr="009D48A5">
        <w:rPr>
          <w:rFonts w:hint="eastAsia"/>
        </w:rPr>
        <w:t>……</w:t>
      </w:r>
      <w:r w:rsidRPr="009D48A5">
        <w:t>公约</w:t>
      </w:r>
      <w:r w:rsidRPr="009D48A5">
        <w:rPr>
          <w:lang w:val="de-DE"/>
        </w:rPr>
        <w:t>〉</w:t>
      </w:r>
      <w:r w:rsidRPr="009D48A5">
        <w:rPr>
          <w:rFonts w:hint="eastAsia"/>
        </w:rPr>
        <w:t>……</w:t>
      </w:r>
      <w:r w:rsidRPr="009D48A5">
        <w:t>》</w:t>
      </w:r>
      <w:r w:rsidRPr="009D48A5">
        <w:t>(</w:t>
      </w:r>
      <w:r w:rsidRPr="009D48A5">
        <w:t>见</w:t>
      </w:r>
      <w:r>
        <w:t>上文脚注</w:t>
      </w:r>
      <w:r>
        <w:fldChar w:fldCharType="begin"/>
      </w:r>
      <w:r>
        <w:instrText xml:space="preserve"> NOTEREF _Ref461975660 \h </w:instrText>
      </w:r>
      <w:r>
        <w:fldChar w:fldCharType="separate"/>
      </w:r>
      <w:r w:rsidR="00A73EB9">
        <w:t>394</w:t>
      </w:r>
      <w:r>
        <w:fldChar w:fldCharType="end"/>
      </w:r>
      <w:r>
        <w:t>)</w:t>
      </w:r>
      <w:r w:rsidRPr="009D48A5">
        <w:t>，第</w:t>
      </w:r>
      <w:r w:rsidRPr="009D48A5">
        <w:t>804-837</w:t>
      </w:r>
      <w:r w:rsidRPr="009D48A5">
        <w:t>页，见第</w:t>
      </w:r>
      <w:r w:rsidRPr="009D48A5">
        <w:t>825</w:t>
      </w:r>
      <w:r w:rsidRPr="009D48A5">
        <w:t>页，第</w:t>
      </w:r>
      <w:r w:rsidRPr="009D48A5">
        <w:t>42-43</w:t>
      </w:r>
      <w:r w:rsidRPr="009D48A5">
        <w:t>段；另见</w:t>
      </w:r>
      <w:r w:rsidRPr="009D48A5">
        <w:rPr>
          <w:rFonts w:hint="eastAsia"/>
        </w:rPr>
        <w:t>格·</w:t>
      </w:r>
      <w:r w:rsidRPr="009D48A5">
        <w:t>诺尔特</w:t>
      </w:r>
      <w:r w:rsidRPr="009D48A5">
        <w:t>,</w:t>
      </w:r>
      <w:r w:rsidRPr="009D48A5">
        <w:rPr>
          <w:rFonts w:hint="eastAsia"/>
        </w:rPr>
        <w:t>“</w:t>
      </w:r>
      <w:r w:rsidRPr="009D48A5">
        <w:t>司法或准司法程序外的国家嗣后协定与嗣后惯例</w:t>
      </w:r>
      <w:r w:rsidRPr="009D48A5">
        <w:rPr>
          <w:rFonts w:hint="eastAsia"/>
        </w:rPr>
        <w:t>”</w:t>
      </w:r>
      <w:r w:rsidRPr="009D48A5">
        <w:t>，载于诺尔特</w:t>
      </w:r>
      <w:r w:rsidRPr="009D48A5">
        <w:t xml:space="preserve">, </w:t>
      </w:r>
      <w:r w:rsidRPr="009D48A5">
        <w:rPr>
          <w:lang w:val="zh-CN"/>
        </w:rPr>
        <w:t>《条约与嗣后惯例》</w:t>
      </w:r>
      <w:r w:rsidRPr="009D48A5">
        <w:rPr>
          <w:lang w:val="zh-CN"/>
        </w:rPr>
        <w:t>(</w:t>
      </w:r>
      <w:r w:rsidRPr="009D48A5">
        <w:rPr>
          <w:lang w:val="zh-CN"/>
        </w:rPr>
        <w:t>见</w:t>
      </w:r>
      <w:r>
        <w:rPr>
          <w:lang w:val="zh-CN"/>
        </w:rPr>
        <w:t>上文脚注</w:t>
      </w:r>
      <w:r>
        <w:rPr>
          <w:lang w:val="zh-CN"/>
        </w:rPr>
        <w:fldChar w:fldCharType="begin"/>
      </w:r>
      <w:r>
        <w:rPr>
          <w:lang w:val="zh-CN"/>
        </w:rPr>
        <w:instrText xml:space="preserve"> NOTEREF _Ref461973084 \h </w:instrText>
      </w:r>
      <w:r>
        <w:rPr>
          <w:lang w:val="zh-CN"/>
        </w:rPr>
      </w:r>
      <w:r>
        <w:rPr>
          <w:lang w:val="zh-CN"/>
        </w:rPr>
        <w:fldChar w:fldCharType="separate"/>
      </w:r>
      <w:r w:rsidR="00A73EB9">
        <w:rPr>
          <w:lang w:val="zh-CN"/>
        </w:rPr>
        <w:t>398</w:t>
      </w:r>
      <w:r>
        <w:rPr>
          <w:lang w:val="zh-CN"/>
        </w:rPr>
        <w:fldChar w:fldCharType="end"/>
      </w:r>
      <w:r>
        <w:rPr>
          <w:lang w:val="zh-CN"/>
        </w:rPr>
        <w:t>)</w:t>
      </w:r>
      <w:r w:rsidRPr="009D48A5">
        <w:rPr>
          <w:lang w:val="zh-CN"/>
        </w:rPr>
        <w:t>，第</w:t>
      </w:r>
      <w:r w:rsidRPr="009D48A5">
        <w:rPr>
          <w:lang w:val="zh-CN"/>
        </w:rPr>
        <w:t>307-385</w:t>
      </w:r>
      <w:r w:rsidRPr="009D48A5">
        <w:rPr>
          <w:lang w:val="zh-CN"/>
        </w:rPr>
        <w:t>页，见第</w:t>
      </w:r>
      <w:r w:rsidRPr="009D48A5">
        <w:rPr>
          <w:lang w:val="zh-CN"/>
        </w:rPr>
        <w:t>375</w:t>
      </w:r>
      <w:r w:rsidRPr="009D48A5">
        <w:rPr>
          <w:lang w:val="zh-CN"/>
        </w:rPr>
        <w:t>页，第</w:t>
      </w:r>
      <w:r w:rsidRPr="009D48A5">
        <w:rPr>
          <w:lang w:val="zh-CN"/>
        </w:rPr>
        <w:t>16.4.3</w:t>
      </w:r>
      <w:r w:rsidRPr="009D48A5">
        <w:rPr>
          <w:lang w:val="zh-CN"/>
        </w:rPr>
        <w:t>段。</w:t>
      </w:r>
      <w:r>
        <w:rPr>
          <w:rFonts w:hint="eastAsia"/>
          <w:lang w:val="zh-CN"/>
        </w:rPr>
        <w:t xml:space="preserve">  </w:t>
      </w:r>
    </w:p>
  </w:footnote>
  <w:footnote w:id="442">
    <w:p w:rsidR="00AB00DE" w:rsidRPr="009D48A5" w:rsidRDefault="00AB00DE" w:rsidP="00B44972">
      <w:pPr>
        <w:pStyle w:val="a4"/>
        <w:spacing w:after="80"/>
      </w:pPr>
      <w:r w:rsidRPr="009D48A5">
        <w:tab/>
      </w:r>
      <w:r w:rsidRPr="00DF5565">
        <w:rPr>
          <w:rStyle w:val="a5"/>
          <w:szCs w:val="22"/>
        </w:rPr>
        <w:footnoteRef/>
      </w:r>
      <w:r w:rsidRPr="009D48A5">
        <w:tab/>
      </w:r>
      <w:r w:rsidRPr="009D48A5">
        <w:t>《</w:t>
      </w:r>
      <w:r w:rsidRPr="009D48A5">
        <w:t>1966</w:t>
      </w:r>
      <w:r w:rsidRPr="009D48A5">
        <w:t>年</w:t>
      </w:r>
      <w:r w:rsidRPr="009D48A5">
        <w:rPr>
          <w:rFonts w:hint="eastAsia"/>
        </w:rPr>
        <w:t>……</w:t>
      </w:r>
      <w:r w:rsidRPr="009D48A5">
        <w:t>年鉴》，第二卷，</w:t>
      </w:r>
      <w:r w:rsidRPr="009D48A5">
        <w:t>A/</w:t>
      </w:r>
      <w:r w:rsidRPr="009D48A5">
        <w:rPr>
          <w:lang w:val="zh-CN"/>
        </w:rPr>
        <w:t>6309</w:t>
      </w:r>
      <w:r w:rsidRPr="009D48A5">
        <w:t>/Rev.1</w:t>
      </w:r>
      <w:r w:rsidRPr="009D48A5">
        <w:t>号文件，第</w:t>
      </w:r>
      <w:r w:rsidRPr="009D48A5">
        <w:t>221</w:t>
      </w:r>
      <w:r w:rsidRPr="009D48A5">
        <w:t>页，第</w:t>
      </w:r>
      <w:r w:rsidRPr="009D48A5">
        <w:t>(14)</w:t>
      </w:r>
      <w:r w:rsidRPr="009D48A5">
        <w:t>段。</w:t>
      </w:r>
    </w:p>
  </w:footnote>
  <w:footnote w:id="443">
    <w:p w:rsidR="00AB00DE" w:rsidRPr="009D48A5" w:rsidRDefault="00AB00DE" w:rsidP="00B44972">
      <w:pPr>
        <w:pStyle w:val="a4"/>
        <w:spacing w:after="80"/>
      </w:pPr>
      <w:r w:rsidRPr="009D48A5">
        <w:tab/>
      </w:r>
      <w:r w:rsidRPr="00DF5565">
        <w:rPr>
          <w:rStyle w:val="a5"/>
          <w:szCs w:val="22"/>
        </w:rPr>
        <w:footnoteRef/>
      </w:r>
      <w:r w:rsidRPr="009D48A5">
        <w:tab/>
      </w:r>
      <w:r w:rsidRPr="009D48A5">
        <w:t>《</w:t>
      </w:r>
      <w:r w:rsidRPr="009D48A5">
        <w:t>1964</w:t>
      </w:r>
      <w:r w:rsidRPr="009D48A5">
        <w:t>年</w:t>
      </w:r>
      <w:r w:rsidRPr="009D48A5">
        <w:rPr>
          <w:rFonts w:hint="eastAsia"/>
        </w:rPr>
        <w:t>……</w:t>
      </w:r>
      <w:r w:rsidRPr="009D48A5">
        <w:t>年鉴》，第二卷，</w:t>
      </w:r>
      <w:r w:rsidRPr="009D48A5">
        <w:t>A/</w:t>
      </w:r>
      <w:r w:rsidRPr="009D48A5">
        <w:rPr>
          <w:lang w:val="zh-CN"/>
        </w:rPr>
        <w:t>CN</w:t>
      </w:r>
      <w:r w:rsidRPr="009D48A5">
        <w:t>.4/167</w:t>
      </w:r>
      <w:r w:rsidRPr="009D48A5">
        <w:t>和</w:t>
      </w:r>
      <w:r w:rsidRPr="009D48A5">
        <w:t>Add.1-3</w:t>
      </w:r>
      <w:r w:rsidRPr="009D48A5">
        <w:t>号文件，第</w:t>
      </w:r>
      <w:r w:rsidRPr="009D48A5">
        <w:t>60</w:t>
      </w:r>
      <w:r w:rsidRPr="009D48A5">
        <w:t>页，第</w:t>
      </w:r>
      <w:r w:rsidRPr="009D48A5">
        <w:t>(25)</w:t>
      </w:r>
      <w:r w:rsidRPr="009D48A5">
        <w:t>段。</w:t>
      </w:r>
    </w:p>
  </w:footnote>
  <w:footnote w:id="444">
    <w:p w:rsidR="00AB00DE" w:rsidRPr="009D48A5" w:rsidRDefault="00AB00DE" w:rsidP="00B44972">
      <w:pPr>
        <w:pStyle w:val="a4"/>
        <w:spacing w:after="80"/>
      </w:pPr>
      <w:r w:rsidRPr="009D48A5">
        <w:tab/>
      </w:r>
      <w:r w:rsidRPr="00DF5565">
        <w:rPr>
          <w:rStyle w:val="a5"/>
          <w:szCs w:val="22"/>
        </w:rPr>
        <w:footnoteRef/>
      </w:r>
      <w:r w:rsidRPr="009D48A5">
        <w:tab/>
      </w:r>
      <w:r w:rsidRPr="009D48A5">
        <w:rPr>
          <w:rFonts w:hint="eastAsia"/>
        </w:rPr>
        <w:t>例如，见德国，联邦财政法院，</w:t>
      </w:r>
      <w:r w:rsidRPr="009D48A5">
        <w:rPr>
          <w:lang w:val="zh-CN"/>
        </w:rPr>
        <w:t>BFHE</w:t>
      </w:r>
      <w:r w:rsidRPr="009D48A5">
        <w:t xml:space="preserve">, </w:t>
      </w:r>
      <w:r w:rsidRPr="009D48A5">
        <w:rPr>
          <w:rFonts w:hint="eastAsia"/>
        </w:rPr>
        <w:t>第</w:t>
      </w:r>
      <w:r w:rsidRPr="009D48A5">
        <w:t>181</w:t>
      </w:r>
      <w:r w:rsidRPr="009D48A5">
        <w:rPr>
          <w:rFonts w:hint="eastAsia"/>
        </w:rPr>
        <w:t>卷，第</w:t>
      </w:r>
      <w:r w:rsidRPr="009D48A5">
        <w:t>158</w:t>
      </w:r>
      <w:r w:rsidRPr="009D48A5">
        <w:rPr>
          <w:rFonts w:hint="eastAsia"/>
        </w:rPr>
        <w:t>页起，见第</w:t>
      </w:r>
      <w:r w:rsidRPr="009D48A5">
        <w:t>161</w:t>
      </w:r>
      <w:r w:rsidRPr="009D48A5">
        <w:rPr>
          <w:rFonts w:hint="eastAsia"/>
        </w:rPr>
        <w:t>页；以及同上，第</w:t>
      </w:r>
      <w:r w:rsidRPr="009D48A5">
        <w:t>219</w:t>
      </w:r>
      <w:r w:rsidRPr="009D48A5">
        <w:rPr>
          <w:rFonts w:hint="eastAsia"/>
        </w:rPr>
        <w:t>卷，第</w:t>
      </w:r>
      <w:r w:rsidRPr="009D48A5">
        <w:t>518</w:t>
      </w:r>
      <w:r w:rsidRPr="009D48A5">
        <w:rPr>
          <w:rFonts w:hint="eastAsia"/>
        </w:rPr>
        <w:t>页及以下各页，见</w:t>
      </w:r>
      <w:r w:rsidRPr="009D48A5">
        <w:t>527-528</w:t>
      </w:r>
      <w:r w:rsidRPr="009D48A5">
        <w:rPr>
          <w:rFonts w:hint="eastAsia"/>
        </w:rPr>
        <w:t>页。</w:t>
      </w:r>
    </w:p>
  </w:footnote>
  <w:footnote w:id="445">
    <w:p w:rsidR="00AB00DE" w:rsidRPr="009D48A5" w:rsidRDefault="00AB00DE" w:rsidP="00B44972">
      <w:pPr>
        <w:pStyle w:val="a4"/>
        <w:spacing w:after="80"/>
      </w:pPr>
      <w:r w:rsidRPr="009D48A5">
        <w:tab/>
      </w:r>
      <w:r w:rsidRPr="00DF5565">
        <w:rPr>
          <w:rStyle w:val="a5"/>
          <w:szCs w:val="22"/>
        </w:rPr>
        <w:footnoteRef/>
      </w:r>
      <w:r w:rsidRPr="009D48A5">
        <w:tab/>
      </w:r>
      <w:r w:rsidRPr="009D48A5">
        <w:rPr>
          <w:lang w:val="zh-CN"/>
        </w:rPr>
        <w:t>《美利坚合众国政府、加拿大政府和墨西哥合众国北美自由贸易协定》</w:t>
      </w:r>
      <w:r w:rsidRPr="009D48A5">
        <w:t>(1992</w:t>
      </w:r>
      <w:r w:rsidRPr="009D48A5">
        <w:t>年</w:t>
      </w:r>
      <w:r w:rsidRPr="009D48A5">
        <w:t>)(</w:t>
      </w:r>
      <w:r w:rsidRPr="009D48A5">
        <w:t>华盛顿特区，美国政府印刷局，</w:t>
      </w:r>
      <w:r w:rsidRPr="009D48A5">
        <w:t>1993</w:t>
      </w:r>
      <w:r w:rsidRPr="009D48A5">
        <w:t>年</w:t>
      </w:r>
      <w:r w:rsidRPr="009D48A5">
        <w:t>)</w:t>
      </w:r>
      <w:r w:rsidRPr="009D48A5">
        <w:t>。</w:t>
      </w:r>
    </w:p>
  </w:footnote>
  <w:footnote w:id="446">
    <w:p w:rsidR="00AB00DE" w:rsidRPr="009D48A5" w:rsidRDefault="00AB00DE" w:rsidP="00B44972">
      <w:pPr>
        <w:pStyle w:val="a4"/>
        <w:spacing w:after="80"/>
      </w:pPr>
      <w:r w:rsidRPr="009D48A5">
        <w:tab/>
      </w:r>
      <w:r w:rsidRPr="00DF5565">
        <w:rPr>
          <w:rStyle w:val="a5"/>
          <w:szCs w:val="22"/>
        </w:rPr>
        <w:footnoteRef/>
      </w:r>
      <w:r w:rsidRPr="009D48A5">
        <w:tab/>
      </w:r>
      <w:r w:rsidRPr="009D48A5">
        <w:t>这一问题正在关于本专题工作的稍后阶段详细探讨。另见《马拉喀什建立世界贸易组织协定》</w:t>
      </w:r>
      <w:r w:rsidRPr="009D48A5">
        <w:t>(1994</w:t>
      </w:r>
      <w:r w:rsidRPr="009D48A5">
        <w:t>年</w:t>
      </w:r>
      <w:r w:rsidRPr="009D48A5">
        <w:t>)</w:t>
      </w:r>
      <w:r w:rsidRPr="009D48A5">
        <w:t>，联合国，《条约汇编》，第</w:t>
      </w:r>
      <w:r w:rsidRPr="009D48A5">
        <w:t>1867</w:t>
      </w:r>
      <w:r w:rsidRPr="009D48A5">
        <w:t>卷，第</w:t>
      </w:r>
      <w:r w:rsidRPr="009D48A5">
        <w:t>31874</w:t>
      </w:r>
      <w:r w:rsidRPr="009D48A5">
        <w:t>号，第</w:t>
      </w:r>
      <w:r w:rsidRPr="009D48A5">
        <w:t>3</w:t>
      </w:r>
      <w:r w:rsidRPr="009D48A5">
        <w:t>页，第九条第</w:t>
      </w:r>
      <w:r w:rsidRPr="009D48A5">
        <w:t>2</w:t>
      </w:r>
      <w:r w:rsidRPr="009D48A5">
        <w:t>款；世贸组织上诉机构报告，</w:t>
      </w:r>
      <w:r w:rsidRPr="009D48A5">
        <w:rPr>
          <w:rFonts w:ascii="Time New Roman" w:eastAsia="楷体" w:hAnsi="Time New Roman"/>
        </w:rPr>
        <w:t>欧洲共同体－冷冻无骨切片鸡肉关税分类</w:t>
      </w:r>
      <w:r w:rsidRPr="009D48A5">
        <w:rPr>
          <w:rFonts w:ascii="Time New Roman" w:eastAsia="楷体" w:hAnsi="Time New Roman" w:hint="eastAsia"/>
        </w:rPr>
        <w:t>案</w:t>
      </w:r>
      <w:r w:rsidRPr="009D48A5">
        <w:rPr>
          <w:rFonts w:ascii="Time New Roman" w:eastAsia="楷体" w:hAnsi="Time New Roman"/>
        </w:rPr>
        <w:t>(</w:t>
      </w:r>
      <w:r w:rsidRPr="009D48A5">
        <w:rPr>
          <w:rFonts w:ascii="Time New Roman" w:eastAsia="楷体" w:hAnsi="Time New Roman"/>
        </w:rPr>
        <w:t>欧共体－切片鸡肉案</w:t>
      </w:r>
      <w:r w:rsidRPr="009D48A5">
        <w:t>)</w:t>
      </w:r>
      <w:r w:rsidRPr="009D48A5">
        <w:t>，</w:t>
      </w:r>
      <w:r w:rsidRPr="009D48A5">
        <w:t>WT/DS269/AB/R</w:t>
      </w:r>
      <w:r w:rsidRPr="009D48A5">
        <w:t>和</w:t>
      </w:r>
      <w:r w:rsidRPr="009D48A5">
        <w:t>Corr.1, WT/DS286/AB/R</w:t>
      </w:r>
      <w:r w:rsidRPr="009D48A5">
        <w:t>和</w:t>
      </w:r>
      <w:r w:rsidRPr="009D48A5">
        <w:t>Corr.1, 2005</w:t>
      </w:r>
      <w:r w:rsidRPr="009D48A5">
        <w:t>年</w:t>
      </w:r>
      <w:r w:rsidRPr="009D48A5">
        <w:t>9</w:t>
      </w:r>
      <w:r w:rsidRPr="009D48A5">
        <w:t>月</w:t>
      </w:r>
      <w:r w:rsidRPr="009D48A5">
        <w:t>27</w:t>
      </w:r>
      <w:r w:rsidRPr="009D48A5">
        <w:t>日通过，第</w:t>
      </w:r>
      <w:r w:rsidRPr="009D48A5">
        <w:t>273</w:t>
      </w:r>
      <w:r w:rsidRPr="009D48A5">
        <w:t>段；世贸组织上诉机构报告，</w:t>
      </w:r>
      <w:r w:rsidRPr="009D48A5">
        <w:rPr>
          <w:rFonts w:ascii="Time New Roman" w:eastAsia="楷体" w:hAnsi="Time New Roman"/>
        </w:rPr>
        <w:t>欧洲共同体－香蕉的进口、销售和分销制度</w:t>
      </w:r>
      <w:r w:rsidRPr="009D48A5">
        <w:rPr>
          <w:rFonts w:ascii="Time New Roman" w:eastAsia="楷体" w:hAnsi="Time New Roman" w:hint="eastAsia"/>
        </w:rPr>
        <w:t>案</w:t>
      </w:r>
      <w:r w:rsidRPr="009D48A5">
        <w:rPr>
          <w:rFonts w:ascii="Time New Roman" w:eastAsia="楷体" w:hAnsi="Time New Roman"/>
        </w:rPr>
        <w:t>，厄瓜多尔第二次诉诸</w:t>
      </w:r>
      <w:r w:rsidRPr="009D48A5">
        <w:t>《争端解决谅解》第</w:t>
      </w:r>
      <w:r w:rsidRPr="009D48A5">
        <w:t>21.5</w:t>
      </w:r>
      <w:r w:rsidRPr="009D48A5">
        <w:t>条</w:t>
      </w:r>
      <w:r w:rsidRPr="009D48A5">
        <w:t>(</w:t>
      </w:r>
      <w:r w:rsidRPr="009D48A5">
        <w:rPr>
          <w:rFonts w:ascii="Time New Roman" w:eastAsia="楷体" w:hAnsi="Time New Roman"/>
        </w:rPr>
        <w:t>欧共体－香蕉案</w:t>
      </w:r>
      <w:r w:rsidRPr="009D48A5">
        <w:rPr>
          <w:rFonts w:ascii="Time New Roman" w:eastAsia="楷体" w:hAnsi="Time New Roman" w:hint="eastAsia"/>
        </w:rPr>
        <w:t>(</w:t>
      </w:r>
      <w:r w:rsidRPr="009D48A5">
        <w:rPr>
          <w:rFonts w:ascii="Time New Roman" w:eastAsia="楷体" w:hAnsi="Time New Roman" w:hint="eastAsia"/>
        </w:rPr>
        <w:t>三</w:t>
      </w:r>
      <w:r w:rsidRPr="009D48A5">
        <w:rPr>
          <w:rFonts w:ascii="Time New Roman" w:eastAsia="楷体" w:hAnsi="Time New Roman" w:hint="eastAsia"/>
        </w:rPr>
        <w:t>)</w:t>
      </w:r>
      <w:r w:rsidRPr="009D48A5">
        <w:rPr>
          <w:rFonts w:ascii="Time New Roman" w:eastAsia="楷体" w:hAnsi="Time New Roman"/>
        </w:rPr>
        <w:t>)</w:t>
      </w:r>
      <w:r w:rsidRPr="009D48A5">
        <w:t>，第二次诉诸第</w:t>
      </w:r>
      <w:r w:rsidRPr="009D48A5">
        <w:t>21.5</w:t>
      </w:r>
      <w:r w:rsidRPr="009D48A5">
        <w:t>条，</w:t>
      </w:r>
      <w:r w:rsidRPr="009D48A5">
        <w:t>WT/DS27/AB/RW2/ECU</w:t>
      </w:r>
      <w:r w:rsidRPr="009D48A5">
        <w:t>和</w:t>
      </w:r>
      <w:r w:rsidRPr="009D48A5">
        <w:t>Corr.1, 2008</w:t>
      </w:r>
      <w:r w:rsidRPr="009D48A5">
        <w:t>年</w:t>
      </w:r>
      <w:r w:rsidRPr="009D48A5">
        <w:t>12</w:t>
      </w:r>
      <w:r w:rsidRPr="009D48A5">
        <w:t>月</w:t>
      </w:r>
      <w:r w:rsidRPr="009D48A5">
        <w:t>11</w:t>
      </w:r>
      <w:r w:rsidRPr="009D48A5">
        <w:t>日通过，</w:t>
      </w:r>
      <w:r w:rsidRPr="009D48A5">
        <w:t>WT/DS27/AB/RW/USA</w:t>
      </w:r>
      <w:r w:rsidRPr="009D48A5">
        <w:t>和</w:t>
      </w:r>
      <w:r w:rsidRPr="009D48A5">
        <w:t>Corr.1, 2008</w:t>
      </w:r>
      <w:r w:rsidRPr="009D48A5">
        <w:t>年</w:t>
      </w:r>
      <w:r w:rsidRPr="009D48A5">
        <w:t>12</w:t>
      </w:r>
      <w:r w:rsidRPr="009D48A5">
        <w:t>月</w:t>
      </w:r>
      <w:r w:rsidRPr="009D48A5">
        <w:t>22</w:t>
      </w:r>
      <w:r w:rsidRPr="009D48A5">
        <w:t>日通过，第</w:t>
      </w:r>
      <w:r w:rsidRPr="009D48A5">
        <w:t>383</w:t>
      </w:r>
      <w:r w:rsidRPr="009D48A5">
        <w:t>和</w:t>
      </w:r>
      <w:r w:rsidRPr="009D48A5">
        <w:t>390</w:t>
      </w:r>
      <w:r w:rsidRPr="009D48A5">
        <w:t>段。</w:t>
      </w:r>
    </w:p>
  </w:footnote>
  <w:footnote w:id="447">
    <w:p w:rsidR="00AB00DE" w:rsidRPr="009D48A5" w:rsidRDefault="00AB00DE" w:rsidP="00560424">
      <w:pPr>
        <w:pStyle w:val="a4"/>
        <w:spacing w:after="80"/>
      </w:pPr>
      <w:r w:rsidRPr="009D48A5">
        <w:tab/>
      </w:r>
      <w:r w:rsidRPr="00DF5565">
        <w:rPr>
          <w:rStyle w:val="a5"/>
          <w:szCs w:val="22"/>
        </w:rPr>
        <w:footnoteRef/>
      </w:r>
      <w:r w:rsidRPr="009D48A5">
        <w:tab/>
      </w:r>
      <w:r w:rsidRPr="009D48A5">
        <w:t>例如，见</w:t>
      </w:r>
      <w:r w:rsidRPr="009D48A5">
        <w:t>Methanex</w:t>
      </w:r>
      <w:r w:rsidRPr="009D48A5">
        <w:rPr>
          <w:rFonts w:ascii="Time New Roman" w:eastAsia="楷体" w:hAnsi="Time New Roman"/>
        </w:rPr>
        <w:t>公司诉美利坚合众国案</w:t>
      </w:r>
      <w:r w:rsidRPr="009D48A5">
        <w:t>，国际贸易法委员会依据《北美自由贸易协定》第十一章进行的仲裁，对管辖权和案情实质的最后裁决，</w:t>
      </w:r>
      <w:r w:rsidRPr="009D48A5">
        <w:t>2005</w:t>
      </w:r>
      <w:r w:rsidRPr="009D48A5">
        <w:t>年</w:t>
      </w:r>
      <w:r w:rsidRPr="009D48A5">
        <w:t>8</w:t>
      </w:r>
      <w:r w:rsidRPr="009D48A5">
        <w:t>月</w:t>
      </w:r>
      <w:r w:rsidRPr="009D48A5">
        <w:t>3</w:t>
      </w:r>
      <w:r w:rsidRPr="009D48A5">
        <w:t>日，第二部分，</w:t>
      </w:r>
      <w:r w:rsidRPr="009D48A5">
        <w:t>H</w:t>
      </w:r>
      <w:r w:rsidRPr="009D48A5">
        <w:t>章，第</w:t>
      </w:r>
      <w:r w:rsidRPr="009D48A5">
        <w:t>23</w:t>
      </w:r>
      <w:r w:rsidRPr="009D48A5">
        <w:t>段</w:t>
      </w:r>
      <w:r w:rsidRPr="009D48A5">
        <w:t>(</w:t>
      </w:r>
      <w:r w:rsidRPr="009D48A5">
        <w:t>提及</w:t>
      </w:r>
      <w:r w:rsidRPr="009D48A5">
        <w:t>Jennings</w:t>
      </w:r>
      <w:r w:rsidRPr="009D48A5">
        <w:t>和</w:t>
      </w:r>
      <w:r w:rsidRPr="009D48A5">
        <w:t xml:space="preserve">Watts, </w:t>
      </w:r>
      <w:r w:rsidRPr="009D48A5">
        <w:t>见上文脚注</w:t>
      </w:r>
      <w:r>
        <w:fldChar w:fldCharType="begin"/>
      </w:r>
      <w:r>
        <w:instrText xml:space="preserve"> NOTEREF _Ref461975695 \h </w:instrText>
      </w:r>
      <w:r>
        <w:fldChar w:fldCharType="separate"/>
      </w:r>
      <w:r w:rsidR="00A73EB9">
        <w:t>435</w:t>
      </w:r>
      <w:r>
        <w:fldChar w:fldCharType="end"/>
      </w:r>
      <w:r w:rsidRPr="009D48A5">
        <w:rPr>
          <w:rFonts w:hint="eastAsia"/>
        </w:rPr>
        <w:t xml:space="preserve">, </w:t>
      </w:r>
      <w:r w:rsidRPr="009D48A5">
        <w:t>第</w:t>
      </w:r>
      <w:r w:rsidRPr="009D48A5">
        <w:t>1268</w:t>
      </w:r>
      <w:r w:rsidRPr="009D48A5">
        <w:t>页，第</w:t>
      </w:r>
      <w:r w:rsidRPr="009D48A5">
        <w:t>630</w:t>
      </w:r>
      <w:r w:rsidRPr="009D48A5">
        <w:t>段</w:t>
      </w:r>
      <w:r w:rsidRPr="009D48A5">
        <w:t>)</w:t>
      </w:r>
      <w:r w:rsidRPr="009D48A5">
        <w:t>；</w:t>
      </w:r>
      <w:r w:rsidRPr="009D48A5">
        <w:t xml:space="preserve">Gardiner, </w:t>
      </w:r>
      <w:r w:rsidRPr="009D48A5">
        <w:t>《条约解释》</w:t>
      </w:r>
      <w:r w:rsidRPr="009D48A5">
        <w:t>(</w:t>
      </w:r>
      <w:r w:rsidRPr="009D48A5">
        <w:t>见上文脚注</w:t>
      </w:r>
      <w:r w:rsidRPr="00D90936">
        <w:rPr>
          <w:rFonts w:asciiTheme="majorBidi" w:hAnsiTheme="majorBidi" w:cstheme="majorBidi"/>
        </w:rPr>
        <w:fldChar w:fldCharType="begin"/>
      </w:r>
      <w:r w:rsidRPr="00D90936">
        <w:rPr>
          <w:rFonts w:asciiTheme="majorBidi" w:hAnsiTheme="majorBidi" w:cstheme="majorBidi"/>
        </w:rPr>
        <w:instrText xml:space="preserve"> NOTEREF _Ref461971974 \h </w:instrText>
      </w:r>
      <w:r>
        <w:rPr>
          <w:rFonts w:asciiTheme="majorBidi" w:hAnsiTheme="majorBidi" w:cstheme="majorBidi"/>
        </w:rPr>
        <w:instrText xml:space="preserve"> \* MERGEFORMAT </w:instrText>
      </w:r>
      <w:r w:rsidRPr="00D90936">
        <w:rPr>
          <w:rFonts w:asciiTheme="majorBidi" w:hAnsiTheme="majorBidi" w:cstheme="majorBidi"/>
        </w:rPr>
      </w:r>
      <w:r w:rsidRPr="00D90936">
        <w:rPr>
          <w:rFonts w:asciiTheme="majorBidi" w:hAnsiTheme="majorBidi" w:cstheme="majorBidi"/>
        </w:rPr>
        <w:fldChar w:fldCharType="separate"/>
      </w:r>
      <w:r w:rsidR="00A73EB9">
        <w:rPr>
          <w:rFonts w:asciiTheme="majorBidi" w:hAnsiTheme="majorBidi" w:cstheme="majorBidi"/>
        </w:rPr>
        <w:t>392</w:t>
      </w:r>
      <w:r w:rsidRPr="00D90936">
        <w:rPr>
          <w:rFonts w:asciiTheme="majorBidi" w:hAnsiTheme="majorBidi" w:cstheme="majorBidi"/>
        </w:rPr>
        <w:fldChar w:fldCharType="end"/>
      </w:r>
      <w:r w:rsidRPr="009D48A5">
        <w:t>)</w:t>
      </w:r>
      <w:r w:rsidRPr="009D48A5">
        <w:t>，见第</w:t>
      </w:r>
      <w:r w:rsidRPr="009D48A5">
        <w:t>34</w:t>
      </w:r>
      <w:r w:rsidRPr="009D48A5">
        <w:t>页；</w:t>
      </w:r>
      <w:r w:rsidRPr="009D48A5">
        <w:t>U. Linderfalk,</w:t>
      </w:r>
      <w:r w:rsidRPr="009D48A5">
        <w:t>《论条约的解释》</w:t>
      </w:r>
      <w:r w:rsidRPr="009D48A5">
        <w:t>(</w:t>
      </w:r>
      <w:r w:rsidRPr="009D48A5">
        <w:t>多德雷赫特，</w:t>
      </w:r>
      <w:r w:rsidRPr="009D48A5">
        <w:t>Springer, 2007</w:t>
      </w:r>
      <w:r w:rsidRPr="009D48A5">
        <w:t>年</w:t>
      </w:r>
      <w:r w:rsidRPr="009D48A5">
        <w:t>)</w:t>
      </w:r>
      <w:r w:rsidRPr="009D48A5">
        <w:t>，第</w:t>
      </w:r>
      <w:r w:rsidRPr="009D48A5">
        <w:t>153</w:t>
      </w:r>
      <w:r w:rsidRPr="009D48A5">
        <w:t>页；</w:t>
      </w:r>
      <w:r w:rsidRPr="009D48A5">
        <w:t>Skubiszewski,</w:t>
      </w:r>
      <w:r w:rsidRPr="009D48A5">
        <w:rPr>
          <w:rFonts w:hint="eastAsia"/>
        </w:rPr>
        <w:t>“</w:t>
      </w:r>
      <w:r w:rsidRPr="009D48A5">
        <w:rPr>
          <w:lang w:val="zh-CN"/>
        </w:rPr>
        <w:t>漫谈《联合国宪章》的解释问题</w:t>
      </w:r>
      <w:r w:rsidRPr="009D48A5">
        <w:rPr>
          <w:rFonts w:hint="eastAsia"/>
        </w:rPr>
        <w:t>”</w:t>
      </w:r>
      <w:r w:rsidRPr="009D48A5">
        <w:t>(</w:t>
      </w:r>
      <w:r w:rsidRPr="009D48A5">
        <w:t>见</w:t>
      </w:r>
      <w:r>
        <w:t>上文脚注</w:t>
      </w:r>
      <w:r>
        <w:fldChar w:fldCharType="begin"/>
      </w:r>
      <w:r>
        <w:instrText xml:space="preserve"> </w:instrText>
      </w:r>
      <w:r>
        <w:rPr>
          <w:rFonts w:hint="eastAsia"/>
        </w:rPr>
        <w:instrText>NOTEREF _Ref461972537 \h</w:instrText>
      </w:r>
      <w:r>
        <w:instrText xml:space="preserve"> </w:instrText>
      </w:r>
      <w:r>
        <w:fldChar w:fldCharType="separate"/>
      </w:r>
      <w:r w:rsidR="00A73EB9">
        <w:t>439</w:t>
      </w:r>
      <w:r>
        <w:fldChar w:fldCharType="end"/>
      </w:r>
      <w:r>
        <w:t>)</w:t>
      </w:r>
      <w:r w:rsidRPr="009D48A5">
        <w:t>，见第</w:t>
      </w:r>
      <w:r w:rsidRPr="009D48A5">
        <w:t>898</w:t>
      </w:r>
      <w:r w:rsidRPr="009D48A5">
        <w:t>页；</w:t>
      </w:r>
      <w:r w:rsidRPr="009D48A5">
        <w:t>G. Haraszti,</w:t>
      </w:r>
      <w:r w:rsidRPr="009D48A5">
        <w:t>《条约法的一些基本问题》</w:t>
      </w:r>
      <w:r w:rsidRPr="009D48A5">
        <w:t>(</w:t>
      </w:r>
      <w:r w:rsidRPr="009D48A5">
        <w:t>布达佩斯，</w:t>
      </w:r>
      <w:r w:rsidRPr="009D48A5">
        <w:t>Akadémiai Kiadó</w:t>
      </w:r>
      <w:r w:rsidRPr="009D48A5">
        <w:t>，</w:t>
      </w:r>
      <w:r w:rsidRPr="009D48A5">
        <w:t>1973</w:t>
      </w:r>
      <w:r w:rsidRPr="009D48A5">
        <w:t>年</w:t>
      </w:r>
      <w:r w:rsidRPr="009D48A5">
        <w:t>)</w:t>
      </w:r>
      <w:r w:rsidRPr="009D48A5">
        <w:t>，第</w:t>
      </w:r>
      <w:r w:rsidRPr="009D48A5">
        <w:t>43</w:t>
      </w:r>
      <w:r w:rsidRPr="009D48A5">
        <w:t>页；另见诺尔特</w:t>
      </w:r>
      <w:r w:rsidRPr="009D48A5">
        <w:t>,</w:t>
      </w:r>
      <w:r w:rsidRPr="009D48A5">
        <w:rPr>
          <w:rFonts w:hint="eastAsia"/>
          <w:lang w:val="zh-CN"/>
        </w:rPr>
        <w:t>“</w:t>
      </w:r>
      <w:r w:rsidRPr="009D48A5">
        <w:rPr>
          <w:lang w:val="zh-CN"/>
        </w:rPr>
        <w:t>特殊制度下</w:t>
      </w:r>
      <w:r w:rsidRPr="009D48A5">
        <w:rPr>
          <w:rFonts w:hint="eastAsia"/>
        </w:rPr>
        <w:t>……</w:t>
      </w:r>
      <w:r w:rsidRPr="009D48A5">
        <w:rPr>
          <w:lang w:val="zh-CN"/>
        </w:rPr>
        <w:t>的判例</w:t>
      </w:r>
      <w:r w:rsidRPr="009D48A5">
        <w:rPr>
          <w:rFonts w:hint="eastAsia"/>
          <w:lang w:val="zh-CN"/>
        </w:rPr>
        <w:t>”</w:t>
      </w:r>
      <w:r w:rsidRPr="009D48A5">
        <w:t>(</w:t>
      </w:r>
      <w:r w:rsidRPr="009D48A5">
        <w:t>见</w:t>
      </w:r>
      <w:r>
        <w:t>上文脚注</w:t>
      </w:r>
      <w:r>
        <w:rPr>
          <w:lang w:val="zh-CN"/>
        </w:rPr>
        <w:fldChar w:fldCharType="begin"/>
      </w:r>
      <w:r>
        <w:rPr>
          <w:lang w:val="zh-CN"/>
        </w:rPr>
        <w:instrText xml:space="preserve"> NOTEREF _Ref461973084 \h </w:instrText>
      </w:r>
      <w:r>
        <w:rPr>
          <w:lang w:val="zh-CN"/>
        </w:rPr>
      </w:r>
      <w:r>
        <w:rPr>
          <w:lang w:val="zh-CN"/>
        </w:rPr>
        <w:fldChar w:fldCharType="separate"/>
      </w:r>
      <w:r w:rsidR="00A73EB9">
        <w:rPr>
          <w:lang w:val="zh-CN"/>
        </w:rPr>
        <w:t>398</w:t>
      </w:r>
      <w:r>
        <w:rPr>
          <w:lang w:val="zh-CN"/>
        </w:rPr>
        <w:fldChar w:fldCharType="end"/>
      </w:r>
      <w:r>
        <w:t>)</w:t>
      </w:r>
      <w:r w:rsidRPr="009D48A5">
        <w:t>，第</w:t>
      </w:r>
      <w:r w:rsidRPr="009D48A5">
        <w:t>210</w:t>
      </w:r>
      <w:r w:rsidRPr="009D48A5">
        <w:t>页起，见第</w:t>
      </w:r>
      <w:r w:rsidRPr="009D48A5">
        <w:t>240</w:t>
      </w:r>
      <w:r w:rsidRPr="009D48A5">
        <w:t>页，第</w:t>
      </w:r>
      <w:r w:rsidRPr="009D48A5">
        <w:t>4.5</w:t>
      </w:r>
      <w:r w:rsidRPr="009D48A5">
        <w:t>段。</w:t>
      </w:r>
    </w:p>
  </w:footnote>
  <w:footnote w:id="448">
    <w:p w:rsidR="00AB00DE" w:rsidRPr="009D48A5" w:rsidRDefault="00AB00DE" w:rsidP="00B44972">
      <w:pPr>
        <w:pStyle w:val="a4"/>
        <w:spacing w:after="80"/>
      </w:pPr>
      <w:r w:rsidRPr="009D48A5">
        <w:tab/>
      </w:r>
      <w:r w:rsidRPr="00DF5565">
        <w:rPr>
          <w:rStyle w:val="a5"/>
          <w:szCs w:val="22"/>
        </w:rPr>
        <w:footnoteRef/>
      </w:r>
      <w:r w:rsidRPr="009D48A5">
        <w:tab/>
      </w:r>
      <w:r w:rsidRPr="009D48A5">
        <w:rPr>
          <w:rFonts w:hint="eastAsia"/>
        </w:rPr>
        <w:t>瑞士联邦最高法院：</w:t>
      </w:r>
      <w:r w:rsidRPr="009D48A5">
        <w:t>A</w:t>
      </w:r>
      <w:r w:rsidRPr="009D48A5">
        <w:rPr>
          <w:rFonts w:ascii="Time New Roman" w:eastAsia="楷体" w:hAnsi="Time New Roman" w:hint="eastAsia"/>
        </w:rPr>
        <w:t>诉</w:t>
      </w:r>
      <w:r w:rsidRPr="009D48A5">
        <w:t>B, 2004</w:t>
      </w:r>
      <w:r w:rsidRPr="009D48A5">
        <w:rPr>
          <w:rFonts w:hint="eastAsia"/>
        </w:rPr>
        <w:t>年</w:t>
      </w:r>
      <w:r w:rsidRPr="009D48A5">
        <w:rPr>
          <w:rFonts w:hint="eastAsia"/>
        </w:rPr>
        <w:t>4</w:t>
      </w:r>
      <w:r w:rsidRPr="009D48A5">
        <w:rPr>
          <w:rFonts w:hint="eastAsia"/>
        </w:rPr>
        <w:t>月</w:t>
      </w:r>
      <w:r w:rsidRPr="009D48A5">
        <w:rPr>
          <w:rFonts w:hint="eastAsia"/>
        </w:rPr>
        <w:t>8</w:t>
      </w:r>
      <w:r w:rsidRPr="009D48A5">
        <w:rPr>
          <w:rFonts w:hint="eastAsia"/>
        </w:rPr>
        <w:t>日的上诉判决，第</w:t>
      </w:r>
      <w:r w:rsidRPr="009D48A5">
        <w:t>4C.140/2003</w:t>
      </w:r>
      <w:r w:rsidRPr="009D48A5">
        <w:rPr>
          <w:rFonts w:hint="eastAsia"/>
        </w:rPr>
        <w:t>号，</w:t>
      </w:r>
      <w:r w:rsidRPr="009D48A5">
        <w:t xml:space="preserve">BGE, </w:t>
      </w:r>
      <w:r w:rsidRPr="009D48A5">
        <w:rPr>
          <w:rFonts w:hint="eastAsia"/>
        </w:rPr>
        <w:t>第</w:t>
      </w:r>
      <w:r w:rsidRPr="009D48A5">
        <w:t>130</w:t>
      </w:r>
      <w:r w:rsidRPr="009D48A5">
        <w:rPr>
          <w:rFonts w:hint="eastAsia"/>
        </w:rPr>
        <w:t>卷</w:t>
      </w:r>
      <w:r w:rsidRPr="009D48A5">
        <w:rPr>
          <w:rFonts w:hint="eastAsia"/>
        </w:rPr>
        <w:t>(</w:t>
      </w:r>
      <w:r w:rsidRPr="009D48A5">
        <w:rPr>
          <w:rFonts w:hint="eastAsia"/>
        </w:rPr>
        <w:t>三</w:t>
      </w:r>
      <w:r w:rsidRPr="009D48A5">
        <w:rPr>
          <w:rFonts w:hint="eastAsia"/>
        </w:rPr>
        <w:t>)</w:t>
      </w:r>
      <w:r w:rsidRPr="009D48A5">
        <w:rPr>
          <w:rFonts w:hint="eastAsia"/>
        </w:rPr>
        <w:t>，第</w:t>
      </w:r>
      <w:r w:rsidRPr="009D48A5">
        <w:t>430</w:t>
      </w:r>
      <w:r w:rsidRPr="009D48A5">
        <w:rPr>
          <w:rFonts w:hint="eastAsia"/>
        </w:rPr>
        <w:t>页起，见第</w:t>
      </w:r>
      <w:r w:rsidRPr="009D48A5">
        <w:t>439</w:t>
      </w:r>
      <w:r w:rsidRPr="009D48A5">
        <w:rPr>
          <w:rFonts w:hint="eastAsia"/>
        </w:rPr>
        <w:t>页</w:t>
      </w:r>
      <w:r w:rsidRPr="009D48A5">
        <w:t>(</w:t>
      </w:r>
      <w:r w:rsidRPr="009D48A5">
        <w:rPr>
          <w:rFonts w:hint="eastAsia"/>
        </w:rPr>
        <w:t>法院提到缔约国是“条约的主人”</w:t>
      </w:r>
      <w:r w:rsidRPr="009D48A5">
        <w:t>(</w:t>
      </w:r>
      <w:r w:rsidRPr="009D48A5">
        <w:rPr>
          <w:rFonts w:hint="eastAsia"/>
        </w:rPr>
        <w:t>“</w:t>
      </w:r>
      <w:r w:rsidRPr="009D48A5">
        <w:t>Herren der Verträge</w:t>
      </w:r>
      <w:r w:rsidRPr="009D48A5">
        <w:rPr>
          <w:rFonts w:hint="eastAsia"/>
        </w:rPr>
        <w:t>”</w:t>
      </w:r>
      <w:r w:rsidRPr="009D48A5">
        <w:t>)</w:t>
      </w:r>
      <w:r w:rsidRPr="009D48A5">
        <w:rPr>
          <w:rFonts w:hint="eastAsia"/>
        </w:rPr>
        <w:t>；</w:t>
      </w:r>
      <w:r w:rsidRPr="009D48A5">
        <w:t>2012</w:t>
      </w:r>
      <w:r w:rsidRPr="009D48A5">
        <w:rPr>
          <w:rFonts w:hint="eastAsia"/>
        </w:rPr>
        <w:t>年</w:t>
      </w:r>
      <w:r w:rsidRPr="009D48A5">
        <w:rPr>
          <w:rFonts w:hint="eastAsia"/>
        </w:rPr>
        <w:t>9</w:t>
      </w:r>
      <w:r w:rsidRPr="009D48A5">
        <w:rPr>
          <w:rFonts w:hint="eastAsia"/>
        </w:rPr>
        <w:t>月</w:t>
      </w:r>
      <w:r w:rsidRPr="009D48A5">
        <w:rPr>
          <w:rFonts w:hint="eastAsia"/>
        </w:rPr>
        <w:t>12</w:t>
      </w:r>
      <w:r w:rsidRPr="009D48A5">
        <w:rPr>
          <w:rFonts w:hint="eastAsia"/>
        </w:rPr>
        <w:t>日的判决，第</w:t>
      </w:r>
      <w:r w:rsidRPr="009D48A5">
        <w:t>2C_743/2011</w:t>
      </w:r>
      <w:r w:rsidRPr="009D48A5">
        <w:rPr>
          <w:rFonts w:hint="eastAsia"/>
        </w:rPr>
        <w:t>号，</w:t>
      </w:r>
      <w:r w:rsidRPr="009D48A5">
        <w:t xml:space="preserve">BGE, </w:t>
      </w:r>
      <w:r w:rsidRPr="009D48A5">
        <w:rPr>
          <w:rFonts w:hint="eastAsia"/>
        </w:rPr>
        <w:t>第</w:t>
      </w:r>
      <w:r w:rsidRPr="009D48A5">
        <w:t>138</w:t>
      </w:r>
      <w:r w:rsidRPr="009D48A5">
        <w:rPr>
          <w:rFonts w:hint="eastAsia"/>
        </w:rPr>
        <w:t>卷</w:t>
      </w:r>
      <w:r w:rsidRPr="009D48A5">
        <w:rPr>
          <w:rFonts w:hint="eastAsia"/>
        </w:rPr>
        <w:t>(</w:t>
      </w:r>
      <w:r w:rsidRPr="009D48A5">
        <w:rPr>
          <w:rFonts w:hint="eastAsia"/>
        </w:rPr>
        <w:t>二</w:t>
      </w:r>
      <w:r w:rsidRPr="009D48A5">
        <w:rPr>
          <w:rFonts w:hint="eastAsia"/>
        </w:rPr>
        <w:t>)</w:t>
      </w:r>
      <w:r w:rsidRPr="009D48A5">
        <w:rPr>
          <w:rFonts w:hint="eastAsia"/>
        </w:rPr>
        <w:t>，第</w:t>
      </w:r>
      <w:r w:rsidRPr="009D48A5">
        <w:rPr>
          <w:rFonts w:hint="eastAsia"/>
        </w:rPr>
        <w:t>5</w:t>
      </w:r>
      <w:r w:rsidRPr="009D48A5">
        <w:t>24</w:t>
      </w:r>
      <w:r w:rsidRPr="009D48A5">
        <w:rPr>
          <w:rFonts w:hint="eastAsia"/>
        </w:rPr>
        <w:t>页起，见第</w:t>
      </w:r>
      <w:r w:rsidRPr="009D48A5">
        <w:t>527-528</w:t>
      </w:r>
      <w:r w:rsidRPr="009D48A5">
        <w:rPr>
          <w:rFonts w:hint="eastAsia"/>
        </w:rPr>
        <w:t>页。德国，联邦宪法法院，</w:t>
      </w:r>
      <w:r w:rsidRPr="009D48A5">
        <w:rPr>
          <w:lang w:val="zh-CN"/>
        </w:rPr>
        <w:t>BVerfGE</w:t>
      </w:r>
      <w:r w:rsidRPr="009D48A5">
        <w:t xml:space="preserve">, </w:t>
      </w:r>
      <w:r w:rsidRPr="009D48A5">
        <w:rPr>
          <w:rFonts w:hint="eastAsia"/>
        </w:rPr>
        <w:t>第</w:t>
      </w:r>
      <w:r w:rsidRPr="009D48A5">
        <w:t>90</w:t>
      </w:r>
      <w:r w:rsidRPr="009D48A5">
        <w:rPr>
          <w:rFonts w:hint="eastAsia"/>
        </w:rPr>
        <w:t>卷，第</w:t>
      </w:r>
      <w:r w:rsidRPr="009D48A5">
        <w:t>286</w:t>
      </w:r>
      <w:r w:rsidRPr="009D48A5">
        <w:rPr>
          <w:rFonts w:hint="eastAsia"/>
        </w:rPr>
        <w:t>页起，见第</w:t>
      </w:r>
      <w:r w:rsidRPr="009D48A5">
        <w:t>362</w:t>
      </w:r>
      <w:r w:rsidRPr="009D48A5">
        <w:rPr>
          <w:rFonts w:hint="eastAsia"/>
        </w:rPr>
        <w:t>页。另见印度，最高法院，</w:t>
      </w:r>
      <w:r w:rsidRPr="009D48A5">
        <w:rPr>
          <w:iCs/>
        </w:rPr>
        <w:t>Godhra</w:t>
      </w:r>
      <w:r w:rsidRPr="009D48A5">
        <w:rPr>
          <w:rFonts w:ascii="Time New Roman" w:eastAsia="楷体" w:hAnsi="Time New Roman" w:hint="eastAsia"/>
        </w:rPr>
        <w:t>电力有限公司等诉古吉拉特邦</w:t>
      </w:r>
      <w:r w:rsidRPr="009D48A5">
        <w:rPr>
          <w:rFonts w:ascii="宋体" w:hAnsi="宋体" w:cs="宋体" w:hint="eastAsia"/>
          <w:iCs/>
        </w:rPr>
        <w:t>等</w:t>
      </w:r>
      <w:r w:rsidRPr="009D48A5">
        <w:t>[1975] AIR 32</w:t>
      </w:r>
      <w:r w:rsidRPr="009D48A5">
        <w:rPr>
          <w:rFonts w:hint="eastAsia"/>
        </w:rPr>
        <w:t>。可查阅</w:t>
      </w:r>
      <w:r w:rsidRPr="009D48A5">
        <w:rPr>
          <w:rFonts w:hint="eastAsia"/>
        </w:rPr>
        <w:t>h</w:t>
      </w:r>
      <w:r w:rsidRPr="009D48A5">
        <w:t>ttp://indiankanoon.org/doc/737188(</w:t>
      </w:r>
      <w:r w:rsidRPr="009D48A5">
        <w:rPr>
          <w:rFonts w:hint="eastAsia"/>
        </w:rPr>
        <w:t>访问日期：</w:t>
      </w:r>
      <w:r w:rsidRPr="009D48A5">
        <w:rPr>
          <w:rFonts w:hint="eastAsia"/>
        </w:rPr>
        <w:t>2016</w:t>
      </w:r>
      <w:r w:rsidRPr="009D48A5">
        <w:rPr>
          <w:rFonts w:hint="eastAsia"/>
        </w:rPr>
        <w:t>年</w:t>
      </w:r>
      <w:r w:rsidRPr="009D48A5">
        <w:rPr>
          <w:rFonts w:hint="eastAsia"/>
        </w:rPr>
        <w:t>6</w:t>
      </w:r>
      <w:r w:rsidRPr="009D48A5">
        <w:rPr>
          <w:rFonts w:hint="eastAsia"/>
        </w:rPr>
        <w:t>月</w:t>
      </w:r>
      <w:r w:rsidRPr="009D48A5">
        <w:rPr>
          <w:rFonts w:hint="eastAsia"/>
        </w:rPr>
        <w:t>8</w:t>
      </w:r>
      <w:r w:rsidRPr="009D48A5">
        <w:rPr>
          <w:rFonts w:hint="eastAsia"/>
        </w:rPr>
        <w:t>日</w:t>
      </w:r>
      <w:r w:rsidRPr="009D48A5">
        <w:t>)</w:t>
      </w:r>
      <w:r w:rsidRPr="009D48A5">
        <w:rPr>
          <w:rFonts w:hint="eastAsia"/>
        </w:rPr>
        <w:t>。</w:t>
      </w:r>
    </w:p>
  </w:footnote>
  <w:footnote w:id="449">
    <w:p w:rsidR="00AB00DE" w:rsidRPr="009D48A5" w:rsidRDefault="00AB00DE" w:rsidP="00B44972">
      <w:pPr>
        <w:pStyle w:val="a4"/>
        <w:spacing w:after="80"/>
      </w:pPr>
      <w:r w:rsidRPr="009D48A5">
        <w:rPr>
          <w:rFonts w:hint="eastAsia"/>
        </w:rPr>
        <w:tab/>
      </w:r>
      <w:r w:rsidRPr="00DF5565">
        <w:rPr>
          <w:color w:val="0000FF"/>
          <w:sz w:val="21"/>
          <w:vertAlign w:val="superscript"/>
        </w:rPr>
        <w:footnoteRef/>
      </w:r>
      <w:r w:rsidRPr="009D48A5">
        <w:rPr>
          <w:rFonts w:hint="eastAsia"/>
        </w:rPr>
        <w:tab/>
      </w:r>
      <w:r w:rsidRPr="009D48A5">
        <w:rPr>
          <w:rFonts w:hint="eastAsia"/>
        </w:rPr>
        <w:t>德国，联邦财政法院，</w:t>
      </w:r>
      <w:r w:rsidRPr="009D48A5">
        <w:t xml:space="preserve">BFHE, </w:t>
      </w:r>
      <w:r w:rsidRPr="009D48A5">
        <w:rPr>
          <w:rFonts w:hint="eastAsia"/>
        </w:rPr>
        <w:t>第</w:t>
      </w:r>
      <w:r w:rsidRPr="009D48A5">
        <w:t>215</w:t>
      </w:r>
      <w:r w:rsidRPr="009D48A5">
        <w:rPr>
          <w:rFonts w:hint="eastAsia"/>
        </w:rPr>
        <w:t>卷，第</w:t>
      </w:r>
      <w:r w:rsidRPr="009D48A5">
        <w:t>237</w:t>
      </w:r>
      <w:r w:rsidRPr="009D48A5">
        <w:rPr>
          <w:rFonts w:hint="eastAsia"/>
        </w:rPr>
        <w:t>页起，见第</w:t>
      </w:r>
      <w:r w:rsidRPr="009D48A5">
        <w:t>241</w:t>
      </w:r>
      <w:r w:rsidRPr="009D48A5">
        <w:rPr>
          <w:rFonts w:hint="eastAsia"/>
        </w:rPr>
        <w:t>页；同上，第</w:t>
      </w:r>
      <w:r w:rsidRPr="009D48A5">
        <w:t>181</w:t>
      </w:r>
      <w:r w:rsidRPr="009D48A5">
        <w:rPr>
          <w:rFonts w:hint="eastAsia"/>
        </w:rPr>
        <w:t>卷，第</w:t>
      </w:r>
      <w:r w:rsidRPr="009D48A5">
        <w:t>158</w:t>
      </w:r>
      <w:r w:rsidRPr="009D48A5">
        <w:rPr>
          <w:rFonts w:hint="eastAsia"/>
        </w:rPr>
        <w:t>页起，见第</w:t>
      </w:r>
      <w:r w:rsidRPr="009D48A5">
        <w:t>161</w:t>
      </w:r>
      <w:r w:rsidRPr="009D48A5">
        <w:rPr>
          <w:rFonts w:hint="eastAsia"/>
        </w:rPr>
        <w:t>页。</w:t>
      </w:r>
    </w:p>
  </w:footnote>
  <w:footnote w:id="450">
    <w:p w:rsidR="00AB00DE" w:rsidRPr="009D48A5" w:rsidRDefault="00AB00DE" w:rsidP="00B44972">
      <w:pPr>
        <w:pStyle w:val="a4"/>
        <w:spacing w:after="80"/>
      </w:pPr>
      <w:r w:rsidRPr="009D48A5">
        <w:rPr>
          <w:rFonts w:hint="eastAsia"/>
        </w:rPr>
        <w:tab/>
      </w:r>
      <w:r w:rsidRPr="00DF5565">
        <w:rPr>
          <w:color w:val="0000FF"/>
          <w:sz w:val="21"/>
          <w:vertAlign w:val="superscript"/>
        </w:rPr>
        <w:footnoteRef/>
      </w:r>
      <w:r w:rsidRPr="009D48A5">
        <w:tab/>
      </w:r>
      <w:r w:rsidRPr="009D48A5">
        <w:rPr>
          <w:rFonts w:hint="eastAsia"/>
        </w:rPr>
        <w:t>新西兰，上诉法院，</w:t>
      </w:r>
      <w:r w:rsidRPr="009D48A5">
        <w:t>Zaoui</w:t>
      </w:r>
      <w:r w:rsidRPr="009D48A5">
        <w:rPr>
          <w:rFonts w:ascii="Time New Roman" w:eastAsia="楷体" w:hAnsi="Time New Roman" w:hint="eastAsia"/>
        </w:rPr>
        <w:t>诉总检察长</w:t>
      </w:r>
      <w:r w:rsidRPr="009D48A5">
        <w:t>(</w:t>
      </w:r>
      <w:r w:rsidRPr="009D48A5">
        <w:rPr>
          <w:rFonts w:hint="eastAsia"/>
        </w:rPr>
        <w:t>第</w:t>
      </w:r>
      <w:r w:rsidRPr="009D48A5">
        <w:t>2</w:t>
      </w:r>
      <w:r w:rsidRPr="009D48A5">
        <w:rPr>
          <w:rFonts w:hint="eastAsia"/>
        </w:rPr>
        <w:t>号</w:t>
      </w:r>
      <w:r w:rsidRPr="009D48A5">
        <w:t xml:space="preserve">)[2005] 1 NZLR 690, </w:t>
      </w:r>
      <w:r w:rsidRPr="009D48A5">
        <w:rPr>
          <w:rFonts w:hint="eastAsia"/>
        </w:rPr>
        <w:t>第</w:t>
      </w:r>
      <w:r w:rsidRPr="009D48A5">
        <w:t>130</w:t>
      </w:r>
      <w:r w:rsidRPr="009D48A5">
        <w:rPr>
          <w:rFonts w:hint="eastAsia"/>
        </w:rPr>
        <w:t>段；中国香港，终审法院，</w:t>
      </w:r>
      <w:r w:rsidRPr="009D48A5">
        <w:rPr>
          <w:rFonts w:ascii="Time New Roman" w:eastAsia="楷体" w:hAnsi="Time New Roman" w:hint="eastAsia"/>
        </w:rPr>
        <w:t>吴嘉玲等人诉入境事务处处长</w:t>
      </w:r>
      <w:r w:rsidRPr="009D48A5">
        <w:t>[1999] 1 HKLRD 315, 354</w:t>
      </w:r>
      <w:r w:rsidRPr="009D48A5">
        <w:rPr>
          <w:rFonts w:hint="eastAsia"/>
        </w:rPr>
        <w:t>；</w:t>
      </w:r>
      <w:r w:rsidRPr="009D48A5">
        <w:rPr>
          <w:rFonts w:hint="eastAsia"/>
          <w:lang w:val="zh-CN"/>
        </w:rPr>
        <w:t>奥地利</w:t>
      </w:r>
      <w:r w:rsidRPr="009D48A5">
        <w:rPr>
          <w:rFonts w:hint="eastAsia"/>
        </w:rPr>
        <w:t>，最高行政法院，</w:t>
      </w:r>
      <w:r w:rsidRPr="009D48A5">
        <w:t>VwGH, 2006</w:t>
      </w:r>
      <w:r w:rsidRPr="009D48A5">
        <w:rPr>
          <w:rFonts w:hint="eastAsia"/>
        </w:rPr>
        <w:t>年</w:t>
      </w:r>
      <w:r w:rsidRPr="009D48A5">
        <w:rPr>
          <w:rFonts w:hint="eastAsia"/>
        </w:rPr>
        <w:t>3</w:t>
      </w:r>
      <w:r w:rsidRPr="009D48A5">
        <w:rPr>
          <w:rFonts w:hint="eastAsia"/>
        </w:rPr>
        <w:t>月</w:t>
      </w:r>
      <w:r w:rsidRPr="009D48A5">
        <w:rPr>
          <w:rFonts w:hint="eastAsia"/>
        </w:rPr>
        <w:t>30</w:t>
      </w:r>
      <w:r w:rsidRPr="009D48A5">
        <w:rPr>
          <w:rFonts w:hint="eastAsia"/>
        </w:rPr>
        <w:t>日的判决，</w:t>
      </w:r>
      <w:r w:rsidRPr="009D48A5">
        <w:t>2002/15/0098, 2, 5</w:t>
      </w:r>
      <w:r w:rsidRPr="009D48A5">
        <w:rPr>
          <w:rFonts w:hint="eastAsia"/>
        </w:rPr>
        <w:t>。</w:t>
      </w:r>
    </w:p>
  </w:footnote>
  <w:footnote w:id="451">
    <w:p w:rsidR="00AB00DE" w:rsidRPr="009D48A5" w:rsidRDefault="00AB00DE" w:rsidP="00B44972">
      <w:pPr>
        <w:pStyle w:val="a4"/>
        <w:spacing w:after="80"/>
        <w:rPr>
          <w:lang w:val="es-ES"/>
        </w:rPr>
      </w:pPr>
      <w:r w:rsidRPr="009D48A5">
        <w:tab/>
      </w:r>
      <w:r w:rsidRPr="00DF5565">
        <w:rPr>
          <w:rStyle w:val="a5"/>
          <w:szCs w:val="22"/>
        </w:rPr>
        <w:footnoteRef/>
      </w:r>
      <w:r w:rsidRPr="009D48A5">
        <w:tab/>
      </w:r>
      <w:r w:rsidRPr="009D48A5">
        <w:rPr>
          <w:lang w:val="es-ES"/>
        </w:rPr>
        <w:t>《</w:t>
      </w:r>
      <w:r w:rsidRPr="009D48A5">
        <w:rPr>
          <w:lang w:val="es-ES"/>
        </w:rPr>
        <w:t>1966</w:t>
      </w:r>
      <w:r w:rsidRPr="009D48A5">
        <w:rPr>
          <w:lang w:val="es-ES"/>
        </w:rPr>
        <w:t>年</w:t>
      </w:r>
      <w:r w:rsidRPr="009D48A5">
        <w:rPr>
          <w:rFonts w:hint="eastAsia"/>
        </w:rPr>
        <w:t>……</w:t>
      </w:r>
      <w:r w:rsidRPr="009D48A5">
        <w:rPr>
          <w:lang w:val="es-ES"/>
        </w:rPr>
        <w:t>年鉴》，第二卷，</w:t>
      </w:r>
      <w:r w:rsidRPr="009D48A5">
        <w:rPr>
          <w:lang w:val="es-ES"/>
        </w:rPr>
        <w:t>A/6309/Rev.1</w:t>
      </w:r>
      <w:r w:rsidRPr="009D48A5">
        <w:rPr>
          <w:lang w:val="es-ES"/>
        </w:rPr>
        <w:t>号文件，第</w:t>
      </w:r>
      <w:r w:rsidRPr="009D48A5">
        <w:rPr>
          <w:lang w:val="es-ES"/>
        </w:rPr>
        <w:t>221</w:t>
      </w:r>
      <w:r w:rsidRPr="009D48A5">
        <w:rPr>
          <w:lang w:val="es-ES"/>
        </w:rPr>
        <w:t>页，第</w:t>
      </w:r>
      <w:r w:rsidRPr="009D48A5">
        <w:rPr>
          <w:lang w:val="es-ES"/>
        </w:rPr>
        <w:t>(14)</w:t>
      </w:r>
      <w:r w:rsidRPr="009D48A5">
        <w:rPr>
          <w:lang w:val="es-ES"/>
        </w:rPr>
        <w:t>段。</w:t>
      </w:r>
    </w:p>
  </w:footnote>
  <w:footnote w:id="452">
    <w:p w:rsidR="00AB00DE" w:rsidRPr="009D48A5" w:rsidRDefault="00AB00DE" w:rsidP="00B44972">
      <w:pPr>
        <w:pStyle w:val="a4"/>
        <w:spacing w:after="80"/>
      </w:pPr>
      <w:r w:rsidRPr="009D48A5">
        <w:rPr>
          <w:lang w:val="es-ES"/>
        </w:rPr>
        <w:tab/>
      </w:r>
      <w:r w:rsidRPr="00DF5565">
        <w:rPr>
          <w:rStyle w:val="a5"/>
          <w:szCs w:val="22"/>
        </w:rPr>
        <w:footnoteRef/>
      </w:r>
      <w:r w:rsidRPr="009D48A5">
        <w:tab/>
      </w:r>
      <w:r w:rsidRPr="009D48A5">
        <w:rPr>
          <w:lang w:val="es-ES"/>
        </w:rPr>
        <w:t>同上</w:t>
      </w:r>
      <w:r w:rsidRPr="009D48A5">
        <w:t>，</w:t>
      </w:r>
      <w:r w:rsidRPr="009D48A5">
        <w:rPr>
          <w:lang w:val="es-ES"/>
        </w:rPr>
        <w:t>第</w:t>
      </w:r>
      <w:r w:rsidRPr="009D48A5">
        <w:t>(15)</w:t>
      </w:r>
      <w:r w:rsidRPr="009D48A5">
        <w:rPr>
          <w:lang w:val="es-ES"/>
        </w:rPr>
        <w:t>段。</w:t>
      </w:r>
    </w:p>
  </w:footnote>
  <w:footnote w:id="453">
    <w:p w:rsidR="00AB00DE" w:rsidRPr="009D48A5" w:rsidRDefault="00AB00DE" w:rsidP="00267AB1">
      <w:pPr>
        <w:pStyle w:val="a4"/>
        <w:spacing w:after="80"/>
      </w:pPr>
      <w:r w:rsidRPr="009D48A5">
        <w:tab/>
      </w:r>
      <w:r w:rsidRPr="00DF5565">
        <w:rPr>
          <w:rStyle w:val="a5"/>
          <w:szCs w:val="22"/>
        </w:rPr>
        <w:footnoteRef/>
      </w:r>
      <w:r w:rsidRPr="009D48A5">
        <w:tab/>
        <w:t>Gardiner,</w:t>
      </w:r>
      <w:r w:rsidRPr="009D48A5">
        <w:t>《条约解释》</w:t>
      </w:r>
      <w:r w:rsidRPr="009D48A5">
        <w:t>(</w:t>
      </w:r>
      <w:r w:rsidRPr="009D48A5">
        <w:t>见上文脚注</w:t>
      </w:r>
      <w:r w:rsidRPr="00D90936">
        <w:rPr>
          <w:rFonts w:asciiTheme="majorBidi" w:hAnsiTheme="majorBidi" w:cstheme="majorBidi"/>
        </w:rPr>
        <w:fldChar w:fldCharType="begin"/>
      </w:r>
      <w:r w:rsidRPr="00D90936">
        <w:rPr>
          <w:rFonts w:asciiTheme="majorBidi" w:hAnsiTheme="majorBidi" w:cstheme="majorBidi"/>
        </w:rPr>
        <w:instrText xml:space="preserve"> NOTEREF _Ref461971974 \h </w:instrText>
      </w:r>
      <w:r>
        <w:rPr>
          <w:rFonts w:asciiTheme="majorBidi" w:hAnsiTheme="majorBidi" w:cstheme="majorBidi"/>
        </w:rPr>
        <w:instrText xml:space="preserve"> \* MERGEFORMAT </w:instrText>
      </w:r>
      <w:r w:rsidRPr="00D90936">
        <w:rPr>
          <w:rFonts w:asciiTheme="majorBidi" w:hAnsiTheme="majorBidi" w:cstheme="majorBidi"/>
        </w:rPr>
      </w:r>
      <w:r w:rsidRPr="00D90936">
        <w:rPr>
          <w:rFonts w:asciiTheme="majorBidi" w:hAnsiTheme="majorBidi" w:cstheme="majorBidi"/>
        </w:rPr>
        <w:fldChar w:fldCharType="separate"/>
      </w:r>
      <w:r w:rsidR="00A73EB9">
        <w:rPr>
          <w:rFonts w:asciiTheme="majorBidi" w:hAnsiTheme="majorBidi" w:cstheme="majorBidi"/>
        </w:rPr>
        <w:t>392</w:t>
      </w:r>
      <w:r w:rsidRPr="00D90936">
        <w:rPr>
          <w:rFonts w:asciiTheme="majorBidi" w:hAnsiTheme="majorBidi" w:cstheme="majorBidi"/>
        </w:rPr>
        <w:fldChar w:fldCharType="end"/>
      </w:r>
      <w:r w:rsidRPr="009D48A5">
        <w:t>)</w:t>
      </w:r>
      <w:r w:rsidRPr="009D48A5">
        <w:t>，见第</w:t>
      </w:r>
      <w:r w:rsidRPr="009D48A5">
        <w:t>34</w:t>
      </w:r>
      <w:r w:rsidRPr="009D48A5">
        <w:t>和</w:t>
      </w:r>
      <w:r w:rsidRPr="009D48A5">
        <w:t>414-415</w:t>
      </w:r>
      <w:r w:rsidRPr="009D48A5">
        <w:t>页；</w:t>
      </w:r>
      <w:r w:rsidRPr="009D48A5">
        <w:t>Linderfalk,</w:t>
      </w:r>
      <w:r w:rsidRPr="009D48A5">
        <w:t>《论条约的解释》</w:t>
      </w:r>
      <w:r w:rsidRPr="009D48A5">
        <w:t>(</w:t>
      </w:r>
      <w:r w:rsidRPr="009D48A5">
        <w:t>见</w:t>
      </w:r>
      <w:r>
        <w:t>上文脚注</w:t>
      </w:r>
      <w:r>
        <w:fldChar w:fldCharType="begin"/>
      </w:r>
      <w:r>
        <w:instrText xml:space="preserve"> </w:instrText>
      </w:r>
      <w:r>
        <w:rPr>
          <w:rFonts w:hint="eastAsia"/>
        </w:rPr>
        <w:instrText>NOTEREF _Ref461974127 \h</w:instrText>
      </w:r>
      <w:r>
        <w:instrText xml:space="preserve"> </w:instrText>
      </w:r>
      <w:r>
        <w:fldChar w:fldCharType="separate"/>
      </w:r>
      <w:r w:rsidR="00A73EB9">
        <w:t>446</w:t>
      </w:r>
      <w:r>
        <w:fldChar w:fldCharType="end"/>
      </w:r>
      <w:r>
        <w:t>)</w:t>
      </w:r>
      <w:r w:rsidRPr="009D48A5">
        <w:t>，见第</w:t>
      </w:r>
      <w:r w:rsidRPr="009D48A5">
        <w:t>152-153</w:t>
      </w:r>
      <w:r w:rsidRPr="009D48A5">
        <w:t>页。</w:t>
      </w:r>
    </w:p>
  </w:footnote>
  <w:footnote w:id="454">
    <w:p w:rsidR="00AB00DE" w:rsidRPr="009D48A5" w:rsidRDefault="00AB00DE" w:rsidP="00B44972">
      <w:pPr>
        <w:pStyle w:val="a4"/>
        <w:spacing w:after="80"/>
        <w:rPr>
          <w:iCs/>
        </w:rPr>
      </w:pPr>
      <w:r w:rsidRPr="009D48A5">
        <w:tab/>
      </w:r>
      <w:r w:rsidRPr="00DF5565">
        <w:rPr>
          <w:rStyle w:val="a5"/>
          <w:szCs w:val="22"/>
        </w:rPr>
        <w:footnoteRef/>
      </w:r>
      <w:r w:rsidRPr="009D48A5">
        <w:tab/>
      </w:r>
      <w:hyperlink r:id="rId60" w:history="1">
        <w:r w:rsidRPr="005E69E7">
          <w:rPr>
            <w:rStyle w:val="af"/>
          </w:rPr>
          <w:t>A/CN.4/660</w:t>
        </w:r>
      </w:hyperlink>
      <w:r w:rsidRPr="009D48A5">
        <w:rPr>
          <w:bCs/>
        </w:rPr>
        <w:t xml:space="preserve">, </w:t>
      </w:r>
      <w:r w:rsidRPr="009D48A5">
        <w:t>第</w:t>
      </w:r>
      <w:r w:rsidRPr="009D48A5">
        <w:t>69</w:t>
      </w:r>
      <w:r w:rsidRPr="009D48A5">
        <w:rPr>
          <w:bCs/>
          <w:iCs/>
          <w:lang w:val="es-ES_tradnl"/>
        </w:rPr>
        <w:t>段。</w:t>
      </w:r>
    </w:p>
  </w:footnote>
  <w:footnote w:id="455">
    <w:p w:rsidR="00AB00DE" w:rsidRPr="009D48A5" w:rsidRDefault="00AB00DE" w:rsidP="00B44972">
      <w:pPr>
        <w:pStyle w:val="a4"/>
        <w:spacing w:after="80"/>
      </w:pPr>
      <w:r w:rsidRPr="009D48A5">
        <w:tab/>
      </w:r>
      <w:r w:rsidRPr="00DF5565">
        <w:rPr>
          <w:rStyle w:val="a5"/>
          <w:szCs w:val="22"/>
        </w:rPr>
        <w:footnoteRef/>
      </w:r>
      <w:r w:rsidRPr="009D48A5">
        <w:tab/>
      </w:r>
      <w:r w:rsidRPr="009D48A5">
        <w:rPr>
          <w:lang w:val="es-ES"/>
        </w:rPr>
        <w:t>《</w:t>
      </w:r>
      <w:r w:rsidRPr="009D48A5">
        <w:t>1966</w:t>
      </w:r>
      <w:r w:rsidRPr="009D48A5">
        <w:rPr>
          <w:lang w:val="es-ES"/>
        </w:rPr>
        <w:t>年</w:t>
      </w:r>
      <w:r w:rsidRPr="009D48A5">
        <w:rPr>
          <w:rFonts w:hint="eastAsia"/>
        </w:rPr>
        <w:t>……</w:t>
      </w:r>
      <w:r w:rsidRPr="009D48A5">
        <w:rPr>
          <w:lang w:val="es-ES"/>
        </w:rPr>
        <w:t>年鉴》</w:t>
      </w:r>
      <w:r w:rsidRPr="009D48A5">
        <w:t>，</w:t>
      </w:r>
      <w:r w:rsidRPr="009D48A5">
        <w:rPr>
          <w:lang w:val="es-ES"/>
        </w:rPr>
        <w:t>第二卷</w:t>
      </w:r>
      <w:r w:rsidRPr="009D48A5">
        <w:t>，</w:t>
      </w:r>
      <w:r w:rsidRPr="009D48A5">
        <w:t>A/6309/Rev.1</w:t>
      </w:r>
      <w:r w:rsidRPr="009D48A5">
        <w:rPr>
          <w:lang w:val="es-ES"/>
        </w:rPr>
        <w:t>号文件</w:t>
      </w:r>
      <w:r w:rsidRPr="009D48A5">
        <w:t>，</w:t>
      </w:r>
      <w:r w:rsidRPr="009D48A5">
        <w:rPr>
          <w:lang w:val="es-ES"/>
        </w:rPr>
        <w:t>第</w:t>
      </w:r>
      <w:r w:rsidRPr="009D48A5">
        <w:t>221-222</w:t>
      </w:r>
      <w:r w:rsidRPr="009D48A5">
        <w:rPr>
          <w:lang w:val="es-ES"/>
        </w:rPr>
        <w:t>页</w:t>
      </w:r>
      <w:r w:rsidRPr="009D48A5">
        <w:t>，</w:t>
      </w:r>
      <w:r w:rsidRPr="009D48A5">
        <w:rPr>
          <w:lang w:val="es-ES"/>
        </w:rPr>
        <w:t>第</w:t>
      </w:r>
      <w:r w:rsidRPr="009D48A5">
        <w:t>(15)</w:t>
      </w:r>
      <w:r w:rsidRPr="009D48A5">
        <w:rPr>
          <w:lang w:val="es-ES"/>
        </w:rPr>
        <w:t>段</w:t>
      </w:r>
      <w:r w:rsidRPr="009D48A5">
        <w:t>；另见</w:t>
      </w:r>
      <w:r w:rsidRPr="009D48A5">
        <w:t xml:space="preserve">W. Karl, </w:t>
      </w:r>
      <w:r w:rsidRPr="009D48A5">
        <w:rPr>
          <w:i/>
        </w:rPr>
        <w:t>Vertrag und spätere Praxis im Völkerrecht</w:t>
      </w:r>
      <w:r w:rsidRPr="009D48A5">
        <w:t xml:space="preserve"> (</w:t>
      </w:r>
      <w:r w:rsidRPr="009D48A5">
        <w:t>柏林，</w:t>
      </w:r>
      <w:r w:rsidRPr="009D48A5">
        <w:t>Springer, 1983</w:t>
      </w:r>
      <w:r w:rsidRPr="009D48A5">
        <w:t>年</w:t>
      </w:r>
      <w:r w:rsidRPr="009D48A5">
        <w:rPr>
          <w:rFonts w:hint="eastAsia"/>
        </w:rPr>
        <w:t>)</w:t>
      </w:r>
      <w:r w:rsidRPr="009D48A5">
        <w:t>，第</w:t>
      </w:r>
      <w:r w:rsidRPr="009D48A5">
        <w:t>294</w:t>
      </w:r>
      <w:r w:rsidRPr="009D48A5">
        <w:t>页。</w:t>
      </w:r>
    </w:p>
  </w:footnote>
  <w:footnote w:id="456">
    <w:p w:rsidR="00AB00DE" w:rsidRPr="009D48A5" w:rsidRDefault="00AB00DE" w:rsidP="00B81C40">
      <w:pPr>
        <w:pStyle w:val="a4"/>
        <w:spacing w:after="80"/>
      </w:pPr>
      <w:r w:rsidRPr="009D48A5">
        <w:tab/>
      </w:r>
      <w:r w:rsidRPr="00DF5565">
        <w:rPr>
          <w:rStyle w:val="a5"/>
          <w:szCs w:val="22"/>
        </w:rPr>
        <w:footnoteRef/>
      </w:r>
      <w:r w:rsidRPr="009D48A5">
        <w:tab/>
      </w:r>
      <w:r w:rsidRPr="009D48A5">
        <w:rPr>
          <w:rFonts w:ascii="Time New Roman" w:eastAsia="楷体" w:hAnsi="Time New Roman"/>
        </w:rPr>
        <w:t>卡西基里</w:t>
      </w:r>
      <w:r w:rsidRPr="009D48A5">
        <w:rPr>
          <w:rFonts w:ascii="Time New Roman" w:eastAsia="楷体" w:hAnsi="Time New Roman"/>
        </w:rPr>
        <w:t>/</w:t>
      </w:r>
      <w:r w:rsidRPr="009D48A5">
        <w:rPr>
          <w:rFonts w:ascii="Time New Roman" w:eastAsia="楷体" w:hAnsi="Time New Roman"/>
        </w:rPr>
        <w:t>塞杜杜岛案</w:t>
      </w:r>
      <w:r w:rsidRPr="009D48A5">
        <w:t>(</w:t>
      </w:r>
      <w:r w:rsidRPr="009D48A5">
        <w:t>见</w:t>
      </w:r>
      <w:r>
        <w:t>上文脚注</w:t>
      </w:r>
      <w:r>
        <w:rPr>
          <w:lang w:val="zh-CN"/>
        </w:rPr>
        <w:fldChar w:fldCharType="begin"/>
      </w:r>
      <w:r w:rsidRPr="00BA6448">
        <w:instrText xml:space="preserve"> NOTEREF _Ref461971066 \h </w:instrText>
      </w:r>
      <w:r>
        <w:rPr>
          <w:lang w:val="zh-CN"/>
        </w:rPr>
      </w:r>
      <w:r>
        <w:rPr>
          <w:lang w:val="zh-CN"/>
        </w:rPr>
        <w:fldChar w:fldCharType="separate"/>
      </w:r>
      <w:r w:rsidR="00A73EB9">
        <w:t>395</w:t>
      </w:r>
      <w:r>
        <w:rPr>
          <w:lang w:val="zh-CN"/>
        </w:rPr>
        <w:fldChar w:fldCharType="end"/>
      </w:r>
      <w:r>
        <w:t>)</w:t>
      </w:r>
      <w:r w:rsidRPr="009D48A5">
        <w:t>，见第</w:t>
      </w:r>
      <w:r w:rsidRPr="009D48A5">
        <w:t>1087</w:t>
      </w:r>
      <w:r w:rsidRPr="009D48A5">
        <w:t>页，第</w:t>
      </w:r>
      <w:r w:rsidRPr="009D48A5">
        <w:t>63</w:t>
      </w:r>
      <w:r w:rsidRPr="009D48A5">
        <w:t>段，另见下文结论草案</w:t>
      </w:r>
      <w:r w:rsidRPr="009D48A5">
        <w:t>4</w:t>
      </w:r>
      <w:r w:rsidRPr="009D48A5">
        <w:t>及其评注。</w:t>
      </w:r>
    </w:p>
  </w:footnote>
  <w:footnote w:id="457">
    <w:p w:rsidR="00AB00DE" w:rsidRPr="009D48A5" w:rsidRDefault="00AB00DE" w:rsidP="00267AB1">
      <w:pPr>
        <w:pStyle w:val="a4"/>
        <w:spacing w:after="80"/>
      </w:pPr>
      <w:r w:rsidRPr="009D48A5">
        <w:tab/>
      </w:r>
      <w:r w:rsidRPr="00DF5565">
        <w:rPr>
          <w:rStyle w:val="a5"/>
          <w:szCs w:val="22"/>
        </w:rPr>
        <w:footnoteRef/>
      </w:r>
      <w:r w:rsidRPr="009D48A5">
        <w:tab/>
      </w:r>
      <w:r w:rsidRPr="009D48A5">
        <w:rPr>
          <w:rFonts w:hint="eastAsia"/>
        </w:rPr>
        <w:t>见下文结论草案</w:t>
      </w:r>
      <w:r w:rsidRPr="009D48A5">
        <w:t>12[11]</w:t>
      </w:r>
      <w:r w:rsidRPr="009D48A5">
        <w:rPr>
          <w:rFonts w:hint="eastAsia"/>
        </w:rPr>
        <w:t>和诺尔特</w:t>
      </w:r>
      <w:r w:rsidRPr="009D48A5">
        <w:rPr>
          <w:rFonts w:hint="eastAsia"/>
        </w:rPr>
        <w:t>,</w:t>
      </w:r>
      <w:r w:rsidRPr="009D48A5">
        <w:rPr>
          <w:rFonts w:hint="eastAsia"/>
        </w:rPr>
        <w:t>“……</w:t>
      </w:r>
      <w:r w:rsidRPr="009D48A5">
        <w:rPr>
          <w:rFonts w:hint="eastAsia"/>
          <w:lang w:val="zh-CN"/>
        </w:rPr>
        <w:t>国家嗣后协定与嗣后惯例</w:t>
      </w:r>
      <w:r w:rsidRPr="009D48A5">
        <w:rPr>
          <w:rFonts w:hint="eastAsia"/>
        </w:rPr>
        <w:t>”</w:t>
      </w:r>
      <w:r w:rsidRPr="009D48A5">
        <w:rPr>
          <w:rFonts w:hint="eastAsia"/>
        </w:rPr>
        <w:t>(</w:t>
      </w:r>
      <w:r w:rsidRPr="009D48A5">
        <w:rPr>
          <w:rFonts w:hint="eastAsia"/>
          <w:lang w:val="zh-CN"/>
        </w:rPr>
        <w:t>上文脚注</w:t>
      </w:r>
      <w:r>
        <w:rPr>
          <w:lang w:val="fr-FR"/>
        </w:rPr>
        <w:fldChar w:fldCharType="begin"/>
      </w:r>
      <w:r>
        <w:rPr>
          <w:lang w:val="fr-FR"/>
        </w:rPr>
        <w:instrText xml:space="preserve"> NOTEREF _Ref461973900 \h </w:instrText>
      </w:r>
      <w:r>
        <w:rPr>
          <w:lang w:val="fr-FR"/>
        </w:rPr>
      </w:r>
      <w:r>
        <w:rPr>
          <w:lang w:val="fr-FR"/>
        </w:rPr>
        <w:fldChar w:fldCharType="separate"/>
      </w:r>
      <w:r w:rsidR="00A73EB9">
        <w:rPr>
          <w:lang w:val="fr-FR"/>
        </w:rPr>
        <w:t>440</w:t>
      </w:r>
      <w:r>
        <w:rPr>
          <w:lang w:val="fr-FR"/>
        </w:rPr>
        <w:fldChar w:fldCharType="end"/>
      </w:r>
      <w:r w:rsidRPr="009D48A5">
        <w:rPr>
          <w:rFonts w:hint="eastAsia"/>
        </w:rPr>
        <w:t>)</w:t>
      </w:r>
      <w:r w:rsidRPr="009D48A5">
        <w:rPr>
          <w:rFonts w:hint="eastAsia"/>
        </w:rPr>
        <w:t>，</w:t>
      </w:r>
      <w:r w:rsidRPr="009D48A5">
        <w:rPr>
          <w:rFonts w:hint="eastAsia"/>
          <w:lang w:val="zh-CN"/>
        </w:rPr>
        <w:t>第</w:t>
      </w:r>
      <w:r w:rsidRPr="009D48A5">
        <w:t>307</w:t>
      </w:r>
      <w:r w:rsidRPr="009D48A5">
        <w:rPr>
          <w:rFonts w:hint="eastAsia"/>
        </w:rPr>
        <w:t>页起，见第</w:t>
      </w:r>
      <w:r w:rsidRPr="009D48A5">
        <w:t>381</w:t>
      </w:r>
      <w:r w:rsidRPr="009D48A5">
        <w:rPr>
          <w:rFonts w:hint="eastAsia"/>
        </w:rPr>
        <w:t>页及以下各页，第</w:t>
      </w:r>
      <w:r w:rsidRPr="009D48A5">
        <w:t>17.3.1</w:t>
      </w:r>
      <w:r w:rsidRPr="009D48A5">
        <w:rPr>
          <w:rFonts w:hint="eastAsia"/>
        </w:rPr>
        <w:t>段。</w:t>
      </w:r>
    </w:p>
  </w:footnote>
  <w:footnote w:id="458">
    <w:p w:rsidR="00AB00DE" w:rsidRPr="009D48A5" w:rsidRDefault="00AB00DE" w:rsidP="00B44972">
      <w:pPr>
        <w:pStyle w:val="a4"/>
        <w:spacing w:after="80"/>
      </w:pPr>
      <w:r w:rsidRPr="009D48A5">
        <w:tab/>
      </w:r>
      <w:r w:rsidRPr="00DF5565">
        <w:rPr>
          <w:rStyle w:val="a5"/>
          <w:szCs w:val="22"/>
        </w:rPr>
        <w:footnoteRef/>
      </w:r>
      <w:r w:rsidRPr="009D48A5">
        <w:tab/>
      </w:r>
      <w:r w:rsidRPr="009D48A5">
        <w:rPr>
          <w:rFonts w:hAnsi="宋体"/>
        </w:rPr>
        <w:t>尤见</w:t>
      </w:r>
      <w:r w:rsidRPr="009D48A5">
        <w:rPr>
          <w:rFonts w:hAnsi="宋体" w:hint="eastAsia"/>
        </w:rPr>
        <w:t>下文</w:t>
      </w:r>
      <w:r w:rsidRPr="009D48A5">
        <w:rPr>
          <w:rFonts w:hAnsi="宋体"/>
        </w:rPr>
        <w:t>结论草案</w:t>
      </w:r>
      <w:r w:rsidRPr="009D48A5">
        <w:t>4</w:t>
      </w:r>
      <w:r w:rsidRPr="009D48A5">
        <w:rPr>
          <w:rFonts w:hint="eastAsia"/>
        </w:rPr>
        <w:t>第</w:t>
      </w:r>
      <w:r w:rsidRPr="009D48A5">
        <w:rPr>
          <w:rFonts w:hint="eastAsia"/>
        </w:rPr>
        <w:t>3</w:t>
      </w:r>
      <w:r w:rsidRPr="009D48A5">
        <w:rPr>
          <w:rFonts w:hint="eastAsia"/>
        </w:rPr>
        <w:t>段的</w:t>
      </w:r>
      <w:r w:rsidRPr="009D48A5">
        <w:rPr>
          <w:lang w:val="zh-CN"/>
        </w:rPr>
        <w:t>评注</w:t>
      </w:r>
      <w:r w:rsidRPr="009D48A5">
        <w:rPr>
          <w:rFonts w:hAnsi="宋体" w:hint="eastAsia"/>
        </w:rPr>
        <w:t>第</w:t>
      </w:r>
      <w:r w:rsidRPr="009D48A5">
        <w:rPr>
          <w:rFonts w:hAnsi="宋体" w:hint="eastAsia"/>
        </w:rPr>
        <w:t>(23)</w:t>
      </w:r>
      <w:r w:rsidRPr="009D48A5">
        <w:rPr>
          <w:rFonts w:hAnsi="宋体" w:hint="eastAsia"/>
        </w:rPr>
        <w:t>至</w:t>
      </w:r>
      <w:r w:rsidRPr="009D48A5">
        <w:rPr>
          <w:rFonts w:hAnsi="宋体" w:hint="eastAsia"/>
        </w:rPr>
        <w:t>(37)</w:t>
      </w:r>
      <w:r w:rsidRPr="009D48A5">
        <w:rPr>
          <w:rFonts w:hint="eastAsia"/>
        </w:rPr>
        <w:t>段</w:t>
      </w:r>
      <w:r w:rsidRPr="009D48A5">
        <w:rPr>
          <w:rFonts w:hAnsi="宋体"/>
        </w:rPr>
        <w:t>。</w:t>
      </w:r>
    </w:p>
  </w:footnote>
  <w:footnote w:id="459">
    <w:p w:rsidR="00AB00DE" w:rsidRPr="009D48A5" w:rsidRDefault="00AB00DE" w:rsidP="00B44972">
      <w:pPr>
        <w:pStyle w:val="a4"/>
        <w:spacing w:after="80"/>
      </w:pPr>
      <w:r w:rsidRPr="009D48A5">
        <w:tab/>
      </w:r>
      <w:r w:rsidRPr="00DF5565">
        <w:rPr>
          <w:rStyle w:val="a5"/>
          <w:szCs w:val="22"/>
        </w:rPr>
        <w:footnoteRef/>
      </w:r>
      <w:r w:rsidRPr="009D48A5">
        <w:tab/>
      </w:r>
      <w:r w:rsidRPr="009D48A5">
        <w:rPr>
          <w:rFonts w:ascii="宋体" w:hAnsi="宋体" w:cs="宋体" w:hint="eastAsia"/>
        </w:rPr>
        <w:t>另见下文</w:t>
      </w:r>
      <w:r w:rsidRPr="009D48A5">
        <w:rPr>
          <w:rFonts w:hint="eastAsia"/>
        </w:rPr>
        <w:t>结论草案</w:t>
      </w:r>
      <w:r w:rsidRPr="009D48A5">
        <w:rPr>
          <w:rFonts w:hint="eastAsia"/>
        </w:rPr>
        <w:t>4</w:t>
      </w:r>
      <w:r w:rsidRPr="009D48A5">
        <w:rPr>
          <w:rFonts w:hint="eastAsia"/>
        </w:rPr>
        <w:t>第</w:t>
      </w:r>
      <w:r w:rsidRPr="009D48A5">
        <w:rPr>
          <w:rFonts w:hint="eastAsia"/>
        </w:rPr>
        <w:t>3</w:t>
      </w:r>
      <w:r w:rsidRPr="009D48A5">
        <w:rPr>
          <w:rFonts w:hint="eastAsia"/>
        </w:rPr>
        <w:t>段的评注第</w:t>
      </w:r>
      <w:r w:rsidRPr="009D48A5">
        <w:t>(3</w:t>
      </w:r>
      <w:r w:rsidRPr="009D48A5">
        <w:rPr>
          <w:rFonts w:hint="eastAsia"/>
        </w:rPr>
        <w:t>5</w:t>
      </w:r>
      <w:r w:rsidRPr="009D48A5">
        <w:t>)</w:t>
      </w:r>
      <w:r w:rsidRPr="009D48A5">
        <w:rPr>
          <w:rFonts w:hint="eastAsia"/>
        </w:rPr>
        <w:t>段。</w:t>
      </w:r>
    </w:p>
  </w:footnote>
  <w:footnote w:id="460">
    <w:p w:rsidR="00AB00DE" w:rsidRPr="009D48A5" w:rsidRDefault="00AB00DE" w:rsidP="00B44972">
      <w:pPr>
        <w:pStyle w:val="a4"/>
        <w:spacing w:after="80"/>
      </w:pPr>
      <w:r w:rsidRPr="009D48A5">
        <w:rPr>
          <w:rFonts w:hint="eastAsia"/>
          <w:lang w:val="es-ES"/>
        </w:rPr>
        <w:tab/>
      </w:r>
      <w:r w:rsidRPr="00DF5565">
        <w:rPr>
          <w:rStyle w:val="a5"/>
          <w:szCs w:val="22"/>
        </w:rPr>
        <w:footnoteRef/>
      </w:r>
      <w:r w:rsidRPr="009D48A5">
        <w:rPr>
          <w:rFonts w:hint="eastAsia"/>
          <w:lang w:val="es-ES"/>
        </w:rPr>
        <w:tab/>
      </w:r>
      <w:r w:rsidRPr="009D48A5">
        <w:rPr>
          <w:lang w:val="es-ES"/>
        </w:rPr>
        <w:t>《</w:t>
      </w:r>
      <w:r w:rsidRPr="009D48A5">
        <w:rPr>
          <w:rFonts w:hint="eastAsia"/>
          <w:lang w:val="es-ES"/>
        </w:rPr>
        <w:t>1966</w:t>
      </w:r>
      <w:r w:rsidRPr="009D48A5">
        <w:rPr>
          <w:rFonts w:hint="eastAsia"/>
          <w:lang w:val="es-ES"/>
        </w:rPr>
        <w:t>年</w:t>
      </w:r>
      <w:r w:rsidRPr="009D48A5">
        <w:rPr>
          <w:rFonts w:hint="eastAsia"/>
        </w:rPr>
        <w:t>……</w:t>
      </w:r>
      <w:r w:rsidRPr="009D48A5">
        <w:rPr>
          <w:lang w:val="es-ES"/>
        </w:rPr>
        <w:t>年鉴》</w:t>
      </w:r>
      <w:r w:rsidRPr="009D48A5">
        <w:rPr>
          <w:rFonts w:hint="eastAsia"/>
          <w:lang w:val="es-ES"/>
        </w:rPr>
        <w:t>，第二卷，</w:t>
      </w:r>
      <w:r w:rsidRPr="009D48A5">
        <w:rPr>
          <w:lang w:val="es-ES_tradnl"/>
        </w:rPr>
        <w:t>A/6309/Rev.1</w:t>
      </w:r>
      <w:r w:rsidRPr="009D48A5">
        <w:rPr>
          <w:rFonts w:hint="eastAsia"/>
          <w:lang w:val="es-ES_tradnl"/>
        </w:rPr>
        <w:t>号文件，</w:t>
      </w:r>
      <w:r w:rsidRPr="009D48A5">
        <w:rPr>
          <w:rFonts w:hint="eastAsia"/>
          <w:lang w:val="es-ES"/>
        </w:rPr>
        <w:t>第</w:t>
      </w:r>
      <w:r w:rsidRPr="009D48A5">
        <w:rPr>
          <w:lang w:val="es-ES"/>
        </w:rPr>
        <w:t>221</w:t>
      </w:r>
      <w:r w:rsidRPr="009D48A5">
        <w:rPr>
          <w:rFonts w:hint="eastAsia"/>
          <w:lang w:val="es-ES"/>
        </w:rPr>
        <w:t>页，第</w:t>
      </w:r>
      <w:r w:rsidRPr="009D48A5">
        <w:rPr>
          <w:rFonts w:hint="eastAsia"/>
          <w:lang w:val="es-ES"/>
        </w:rPr>
        <w:t>(</w:t>
      </w:r>
      <w:r w:rsidRPr="009D48A5">
        <w:t>14</w:t>
      </w:r>
      <w:r w:rsidRPr="009D48A5">
        <w:rPr>
          <w:rFonts w:hint="eastAsia"/>
        </w:rPr>
        <w:t>)</w:t>
      </w:r>
      <w:r w:rsidRPr="009D48A5">
        <w:rPr>
          <w:rFonts w:hint="eastAsia"/>
        </w:rPr>
        <w:t>段。</w:t>
      </w:r>
    </w:p>
  </w:footnote>
  <w:footnote w:id="461">
    <w:p w:rsidR="00AB00DE" w:rsidRPr="009D48A5" w:rsidRDefault="00AB00DE" w:rsidP="00D90936">
      <w:pPr>
        <w:pStyle w:val="a4"/>
        <w:spacing w:after="80"/>
      </w:pPr>
      <w:r w:rsidRPr="009D48A5">
        <w:rPr>
          <w:rFonts w:hint="eastAsia"/>
        </w:rPr>
        <w:tab/>
      </w:r>
      <w:r w:rsidRPr="00DF5565">
        <w:rPr>
          <w:rStyle w:val="a5"/>
          <w:szCs w:val="22"/>
        </w:rPr>
        <w:footnoteRef/>
      </w:r>
      <w:r w:rsidRPr="00DF5565">
        <w:rPr>
          <w:rStyle w:val="a5"/>
          <w:rFonts w:hint="eastAsia"/>
          <w:szCs w:val="22"/>
        </w:rPr>
        <w:tab/>
      </w:r>
      <w:r w:rsidRPr="009D48A5">
        <w:rPr>
          <w:rFonts w:hint="eastAsia"/>
        </w:rPr>
        <w:t>见</w:t>
      </w:r>
      <w:r w:rsidRPr="009D48A5">
        <w:rPr>
          <w:rFonts w:hint="eastAsia"/>
        </w:rPr>
        <w:t>J. L.</w:t>
      </w:r>
      <w:r w:rsidRPr="009D48A5">
        <w:t>布赖尔利，关于条约法的第二次报告</w:t>
      </w:r>
      <w:r w:rsidRPr="009D48A5">
        <w:rPr>
          <w:rFonts w:hint="eastAsia"/>
        </w:rPr>
        <w:t>，</w:t>
      </w:r>
      <w:r w:rsidRPr="009D48A5">
        <w:t>《</w:t>
      </w:r>
      <w:r w:rsidRPr="009D48A5">
        <w:rPr>
          <w:rFonts w:hint="eastAsia"/>
        </w:rPr>
        <w:t>1951</w:t>
      </w:r>
      <w:r w:rsidRPr="009D48A5">
        <w:rPr>
          <w:rFonts w:hint="eastAsia"/>
        </w:rPr>
        <w:t>年……</w:t>
      </w:r>
      <w:r w:rsidRPr="009D48A5">
        <w:t>年鉴》，第二卷</w:t>
      </w:r>
      <w:r w:rsidRPr="009D48A5">
        <w:rPr>
          <w:rFonts w:hint="eastAsia"/>
        </w:rPr>
        <w:t>，</w:t>
      </w:r>
      <w:r w:rsidRPr="009D48A5">
        <w:t>A/CN.4/43</w:t>
      </w:r>
      <w:r w:rsidRPr="009D48A5">
        <w:rPr>
          <w:rFonts w:hint="eastAsia"/>
        </w:rPr>
        <w:t>号文件，第</w:t>
      </w:r>
      <w:r w:rsidRPr="009D48A5">
        <w:rPr>
          <w:rFonts w:hint="eastAsia"/>
        </w:rPr>
        <w:t>70</w:t>
      </w:r>
      <w:r w:rsidRPr="009D48A5">
        <w:rPr>
          <w:rFonts w:hint="eastAsia"/>
        </w:rPr>
        <w:t>页及以下各页；</w:t>
      </w:r>
      <w:r w:rsidRPr="009D48A5">
        <w:rPr>
          <w:rFonts w:hint="eastAsia"/>
        </w:rPr>
        <w:t>G. G.</w:t>
      </w:r>
      <w:r w:rsidRPr="009D48A5">
        <w:rPr>
          <w:rFonts w:hint="eastAsia"/>
        </w:rPr>
        <w:t>菲茨莫里斯，关于条约法的第一次报告，</w:t>
      </w:r>
      <w:r w:rsidRPr="009D48A5">
        <w:t>《</w:t>
      </w:r>
      <w:r w:rsidRPr="009D48A5">
        <w:rPr>
          <w:rFonts w:hint="eastAsia"/>
        </w:rPr>
        <w:t>1956</w:t>
      </w:r>
      <w:r w:rsidRPr="009D48A5">
        <w:rPr>
          <w:rFonts w:hint="eastAsia"/>
        </w:rPr>
        <w:t>年……</w:t>
      </w:r>
      <w:r w:rsidRPr="009D48A5">
        <w:t>年鉴》，第二卷，</w:t>
      </w:r>
      <w:r w:rsidRPr="009D48A5">
        <w:t>A/CN.4/101</w:t>
      </w:r>
      <w:r w:rsidRPr="009D48A5">
        <w:rPr>
          <w:rFonts w:hint="eastAsia"/>
        </w:rPr>
        <w:t>号文件，第</w:t>
      </w:r>
      <w:r w:rsidRPr="009D48A5">
        <w:t>112</w:t>
      </w:r>
      <w:r w:rsidRPr="009D48A5">
        <w:rPr>
          <w:rFonts w:hint="eastAsia"/>
        </w:rPr>
        <w:t>页</w:t>
      </w:r>
      <w:r w:rsidRPr="009D48A5">
        <w:t>；</w:t>
      </w:r>
      <w:r w:rsidRPr="009D48A5">
        <w:rPr>
          <w:rFonts w:hint="eastAsia"/>
        </w:rPr>
        <w:t>另见</w:t>
      </w:r>
      <w:r w:rsidRPr="009D48A5">
        <w:t>S. Rosenne,</w:t>
      </w:r>
      <w:r w:rsidRPr="009D48A5">
        <w:rPr>
          <w:rFonts w:hint="eastAsia"/>
        </w:rPr>
        <w:t>“条约、缔结与生效”载于《国际公法百科全书》</w:t>
      </w:r>
      <w:r w:rsidRPr="009D48A5">
        <w:t>，</w:t>
      </w:r>
      <w:r w:rsidRPr="009D48A5">
        <w:rPr>
          <w:rFonts w:hint="eastAsia"/>
        </w:rPr>
        <w:t>第</w:t>
      </w:r>
      <w:r w:rsidRPr="009D48A5">
        <w:rPr>
          <w:rFonts w:hint="eastAsia"/>
        </w:rPr>
        <w:t>7</w:t>
      </w:r>
      <w:r w:rsidRPr="009D48A5">
        <w:rPr>
          <w:rFonts w:hint="eastAsia"/>
          <w:lang w:val="es-ES"/>
        </w:rPr>
        <w:t>卷</w:t>
      </w:r>
      <w:r w:rsidRPr="009D48A5">
        <w:rPr>
          <w:rFonts w:hint="eastAsia"/>
        </w:rPr>
        <w:t>，</w:t>
      </w:r>
      <w:r w:rsidRPr="009D48A5">
        <w:t xml:space="preserve">R. Bernhardt </w:t>
      </w:r>
      <w:r w:rsidRPr="009D48A5">
        <w:rPr>
          <w:rFonts w:hint="eastAsia"/>
        </w:rPr>
        <w:t>(</w:t>
      </w:r>
      <w:r w:rsidRPr="009D48A5">
        <w:t>编</w:t>
      </w:r>
      <w:r w:rsidRPr="009D48A5">
        <w:rPr>
          <w:rFonts w:hint="eastAsia"/>
        </w:rPr>
        <w:t>)</w:t>
      </w:r>
      <w:r w:rsidRPr="009D48A5">
        <w:t>，</w:t>
      </w:r>
      <w:r w:rsidRPr="009D48A5">
        <w:t>(</w:t>
      </w:r>
      <w:r w:rsidRPr="009D48A5">
        <w:rPr>
          <w:rFonts w:hint="eastAsia"/>
        </w:rPr>
        <w:t>阿姆斯特丹，</w:t>
      </w:r>
      <w:r w:rsidRPr="009D48A5">
        <w:t>North Holland, 2000</w:t>
      </w:r>
      <w:r w:rsidRPr="009D48A5">
        <w:rPr>
          <w:rFonts w:hint="eastAsia"/>
        </w:rPr>
        <w:t>年</w:t>
      </w:r>
      <w:r w:rsidRPr="009D48A5">
        <w:t>)</w:t>
      </w:r>
      <w:r w:rsidRPr="009D48A5">
        <w:t>，</w:t>
      </w:r>
      <w:r w:rsidRPr="009D48A5">
        <w:rPr>
          <w:rFonts w:hint="eastAsia"/>
        </w:rPr>
        <w:t>第</w:t>
      </w:r>
      <w:r w:rsidRPr="009D48A5">
        <w:rPr>
          <w:rFonts w:hint="eastAsia"/>
        </w:rPr>
        <w:t>465</w:t>
      </w:r>
      <w:r w:rsidRPr="009D48A5">
        <w:rPr>
          <w:rFonts w:hint="eastAsia"/>
        </w:rPr>
        <w:t>页</w:t>
      </w:r>
      <w:r w:rsidRPr="009D48A5">
        <w:t>(</w:t>
      </w:r>
      <w:r w:rsidRPr="009D48A5">
        <w:rPr>
          <w:rFonts w:hint="eastAsia"/>
        </w:rPr>
        <w:t>“严格地说，正是通过缔结条约而完成了谈判</w:t>
      </w:r>
      <w:r w:rsidRPr="009D48A5">
        <w:t>)</w:t>
      </w:r>
      <w:r w:rsidRPr="009D48A5">
        <w:t>；</w:t>
      </w:r>
      <w:r w:rsidRPr="009D48A5">
        <w:t>Villiger,</w:t>
      </w:r>
      <w:r w:rsidRPr="009D48A5">
        <w:rPr>
          <w:rFonts w:hint="eastAsia"/>
        </w:rPr>
        <w:t>《……评注》</w:t>
      </w:r>
      <w:r w:rsidRPr="009D48A5">
        <w:rPr>
          <w:rFonts w:hint="eastAsia"/>
        </w:rPr>
        <w:t>(</w:t>
      </w:r>
      <w:r w:rsidRPr="009D48A5">
        <w:rPr>
          <w:rFonts w:hint="eastAsia"/>
        </w:rPr>
        <w:t>见</w:t>
      </w:r>
      <w:r>
        <w:rPr>
          <w:iCs/>
        </w:rPr>
        <w:t>上文脚注</w:t>
      </w:r>
      <w:r>
        <w:rPr>
          <w:spacing w:val="-4"/>
          <w:lang w:val="zh-CN"/>
        </w:rPr>
        <w:fldChar w:fldCharType="begin"/>
      </w:r>
      <w:r>
        <w:rPr>
          <w:spacing w:val="-4"/>
          <w:lang w:val="zh-CN"/>
        </w:rPr>
        <w:instrText xml:space="preserve"> NOTEREF _Ref461972715 \h </w:instrText>
      </w:r>
      <w:r>
        <w:rPr>
          <w:spacing w:val="-4"/>
          <w:lang w:val="zh-CN"/>
        </w:rPr>
      </w:r>
      <w:r>
        <w:rPr>
          <w:spacing w:val="-4"/>
          <w:lang w:val="zh-CN"/>
        </w:rPr>
        <w:fldChar w:fldCharType="separate"/>
      </w:r>
      <w:r w:rsidR="00A73EB9">
        <w:rPr>
          <w:spacing w:val="-4"/>
          <w:lang w:val="zh-CN"/>
        </w:rPr>
        <w:t>414</w:t>
      </w:r>
      <w:r>
        <w:rPr>
          <w:spacing w:val="-4"/>
          <w:lang w:val="zh-CN"/>
        </w:rPr>
        <w:fldChar w:fldCharType="end"/>
      </w:r>
      <w:r>
        <w:rPr>
          <w:iCs/>
        </w:rPr>
        <w:t>)</w:t>
      </w:r>
      <w:r w:rsidRPr="009D48A5">
        <w:rPr>
          <w:rFonts w:hint="eastAsia"/>
          <w:iCs/>
        </w:rPr>
        <w:t>，</w:t>
      </w:r>
      <w:r w:rsidRPr="009D48A5">
        <w:rPr>
          <w:rFonts w:hint="eastAsia"/>
        </w:rPr>
        <w:t>第</w:t>
      </w:r>
      <w:r w:rsidRPr="009D48A5">
        <w:t>78</w:t>
      </w:r>
      <w:r w:rsidRPr="009D48A5">
        <w:rPr>
          <w:rFonts w:hint="eastAsia"/>
        </w:rPr>
        <w:t>-</w:t>
      </w:r>
      <w:r w:rsidRPr="009D48A5">
        <w:t>80</w:t>
      </w:r>
      <w:r w:rsidRPr="009D48A5">
        <w:rPr>
          <w:rFonts w:hint="eastAsia"/>
        </w:rPr>
        <w:t>页</w:t>
      </w:r>
      <w:r w:rsidRPr="009D48A5">
        <w:t>，</w:t>
      </w:r>
      <w:r w:rsidRPr="009D48A5">
        <w:rPr>
          <w:rFonts w:hint="eastAsia"/>
        </w:rPr>
        <w:t>第</w:t>
      </w:r>
      <w:r w:rsidRPr="009D48A5">
        <w:t>9</w:t>
      </w:r>
      <w:r w:rsidRPr="009D48A5">
        <w:rPr>
          <w:rFonts w:hint="eastAsia"/>
        </w:rPr>
        <w:t>-</w:t>
      </w:r>
      <w:r w:rsidRPr="009D48A5">
        <w:t>14</w:t>
      </w:r>
      <w:r w:rsidRPr="009D48A5">
        <w:rPr>
          <w:rFonts w:hint="eastAsia"/>
        </w:rPr>
        <w:t>段。</w:t>
      </w:r>
    </w:p>
  </w:footnote>
  <w:footnote w:id="462">
    <w:p w:rsidR="00AB00DE" w:rsidRPr="009D48A5" w:rsidRDefault="00AB00DE" w:rsidP="00B44972">
      <w:pPr>
        <w:pStyle w:val="a4"/>
        <w:spacing w:after="80"/>
      </w:pPr>
      <w:r w:rsidRPr="009D48A5">
        <w:rPr>
          <w:rFonts w:hint="eastAsia"/>
        </w:rPr>
        <w:tab/>
      </w:r>
      <w:r w:rsidRPr="00DF5565">
        <w:rPr>
          <w:rStyle w:val="a5"/>
          <w:szCs w:val="22"/>
        </w:rPr>
        <w:footnoteRef/>
      </w:r>
      <w:r w:rsidRPr="009D48A5">
        <w:rPr>
          <w:rFonts w:hint="eastAsia"/>
        </w:rPr>
        <w:tab/>
      </w:r>
      <w:r w:rsidRPr="009D48A5">
        <w:rPr>
          <w:rFonts w:hint="eastAsia"/>
        </w:rPr>
        <w:t>例如，见《欧洲稳定机制宣言》，《欧洲稳定机制条约》缔约国于</w:t>
      </w:r>
      <w:r w:rsidRPr="009D48A5">
        <w:rPr>
          <w:rFonts w:hint="eastAsia"/>
        </w:rPr>
        <w:t>2012</w:t>
      </w:r>
      <w:r w:rsidRPr="009D48A5">
        <w:rPr>
          <w:rFonts w:hint="eastAsia"/>
        </w:rPr>
        <w:t>年</w:t>
      </w:r>
      <w:r w:rsidRPr="009D48A5">
        <w:rPr>
          <w:rFonts w:hint="eastAsia"/>
        </w:rPr>
        <w:t>9</w:t>
      </w:r>
      <w:r w:rsidRPr="009D48A5">
        <w:rPr>
          <w:rFonts w:hint="eastAsia"/>
        </w:rPr>
        <w:t>月</w:t>
      </w:r>
      <w:r w:rsidRPr="009D48A5">
        <w:rPr>
          <w:rFonts w:hint="eastAsia"/>
        </w:rPr>
        <w:t>27</w:t>
      </w:r>
      <w:r w:rsidRPr="009D48A5">
        <w:rPr>
          <w:rFonts w:hint="eastAsia"/>
        </w:rPr>
        <w:t>日商定了此宣言。</w:t>
      </w:r>
    </w:p>
  </w:footnote>
  <w:footnote w:id="463">
    <w:p w:rsidR="00AB00DE" w:rsidRPr="009D48A5" w:rsidRDefault="00AB00DE" w:rsidP="00D90936">
      <w:pPr>
        <w:pStyle w:val="a4"/>
        <w:spacing w:after="80"/>
      </w:pPr>
      <w:r w:rsidRPr="009D48A5">
        <w:rPr>
          <w:rFonts w:hint="eastAsia"/>
        </w:rPr>
        <w:tab/>
      </w:r>
      <w:r w:rsidRPr="00DF5565">
        <w:rPr>
          <w:rStyle w:val="a5"/>
          <w:szCs w:val="22"/>
        </w:rPr>
        <w:footnoteRef/>
      </w:r>
      <w:r w:rsidRPr="009D48A5">
        <w:rPr>
          <w:rFonts w:hint="eastAsia"/>
        </w:rPr>
        <w:tab/>
      </w:r>
      <w:r w:rsidRPr="009D48A5">
        <w:rPr>
          <w:rFonts w:hint="eastAsia"/>
        </w:rPr>
        <w:t>见</w:t>
      </w:r>
      <w:r w:rsidRPr="009D48A5">
        <w:t>《</w:t>
      </w:r>
      <w:r w:rsidRPr="009D48A5">
        <w:rPr>
          <w:rFonts w:hint="eastAsia"/>
        </w:rPr>
        <w:t>1966</w:t>
      </w:r>
      <w:r w:rsidRPr="009D48A5">
        <w:rPr>
          <w:rFonts w:hint="eastAsia"/>
        </w:rPr>
        <w:t>年……</w:t>
      </w:r>
      <w:r w:rsidRPr="009D48A5">
        <w:t>年鉴》，第二卷，</w:t>
      </w:r>
      <w:r w:rsidRPr="009D48A5">
        <w:t>A/6309/Rev.1</w:t>
      </w:r>
      <w:r w:rsidRPr="009D48A5">
        <w:rPr>
          <w:rFonts w:hint="eastAsia"/>
        </w:rPr>
        <w:t>号文件，第</w:t>
      </w:r>
      <w:r w:rsidRPr="009D48A5">
        <w:t>221</w:t>
      </w:r>
      <w:r w:rsidRPr="009D48A5">
        <w:rPr>
          <w:rFonts w:hint="eastAsia"/>
        </w:rPr>
        <w:t>页，</w:t>
      </w:r>
      <w:r w:rsidRPr="009D48A5">
        <w:t>第</w:t>
      </w:r>
      <w:r w:rsidRPr="009D48A5">
        <w:rPr>
          <w:rFonts w:hint="eastAsia"/>
        </w:rPr>
        <w:t>(13)</w:t>
      </w:r>
      <w:r w:rsidRPr="009D48A5">
        <w:t>段；</w:t>
      </w:r>
      <w:r w:rsidRPr="009D48A5">
        <w:rPr>
          <w:rFonts w:hint="eastAsia"/>
          <w:lang w:val="zh-CN"/>
        </w:rPr>
        <w:t>《德意志联邦宪法》认为</w:t>
      </w:r>
      <w:r w:rsidRPr="009D48A5">
        <w:rPr>
          <w:rFonts w:hint="eastAsia"/>
        </w:rPr>
        <w:t>，</w:t>
      </w:r>
      <w:r w:rsidRPr="009D48A5">
        <w:rPr>
          <w:rFonts w:hint="eastAsia"/>
          <w:lang w:val="zh-CN"/>
        </w:rPr>
        <w:t>这个术语可包括单方面宣布</w:t>
      </w:r>
      <w:r w:rsidRPr="009D48A5">
        <w:rPr>
          <w:rFonts w:hint="eastAsia"/>
        </w:rPr>
        <w:t>，</w:t>
      </w:r>
      <w:r w:rsidRPr="009D48A5">
        <w:rPr>
          <w:rFonts w:hint="eastAsia"/>
          <w:lang w:val="zh-CN"/>
        </w:rPr>
        <w:t>如果另一方不提出反对的话</w:t>
      </w:r>
      <w:r w:rsidRPr="009D48A5">
        <w:rPr>
          <w:rFonts w:hint="eastAsia"/>
        </w:rPr>
        <w:t>。</w:t>
      </w:r>
      <w:r w:rsidRPr="009D48A5">
        <w:rPr>
          <w:rFonts w:hint="eastAsia"/>
          <w:lang w:val="zh-CN"/>
        </w:rPr>
        <w:t>见《德意志联邦宪法》</w:t>
      </w:r>
      <w:r w:rsidRPr="009D48A5">
        <w:t>，</w:t>
      </w:r>
      <w:r w:rsidRPr="009D48A5">
        <w:t xml:space="preserve">BVerfGE, </w:t>
      </w:r>
      <w:r w:rsidRPr="009D48A5">
        <w:rPr>
          <w:rFonts w:hint="eastAsia"/>
        </w:rPr>
        <w:t>第</w:t>
      </w:r>
      <w:r w:rsidRPr="009D48A5">
        <w:t>40</w:t>
      </w:r>
      <w:r w:rsidRPr="009D48A5">
        <w:rPr>
          <w:rFonts w:hint="eastAsia"/>
        </w:rPr>
        <w:t>卷，第</w:t>
      </w:r>
      <w:r w:rsidRPr="009D48A5">
        <w:t>141</w:t>
      </w:r>
      <w:r w:rsidRPr="009D48A5">
        <w:rPr>
          <w:rFonts w:hint="eastAsia"/>
        </w:rPr>
        <w:t>页起，见第</w:t>
      </w:r>
      <w:r w:rsidRPr="009D48A5">
        <w:t>176</w:t>
      </w:r>
      <w:r w:rsidRPr="009D48A5">
        <w:rPr>
          <w:rFonts w:hint="eastAsia"/>
        </w:rPr>
        <w:t>页；一般见</w:t>
      </w:r>
      <w:r w:rsidRPr="009D48A5">
        <w:t>Gardiner,</w:t>
      </w:r>
      <w:r w:rsidRPr="009D48A5">
        <w:rPr>
          <w:rFonts w:hint="eastAsia"/>
        </w:rPr>
        <w:t>《条约解释》</w:t>
      </w:r>
      <w:r w:rsidRPr="009D48A5">
        <w:rPr>
          <w:rFonts w:hint="eastAsia"/>
        </w:rPr>
        <w:t>(</w:t>
      </w:r>
      <w:r w:rsidRPr="009D48A5">
        <w:rPr>
          <w:rFonts w:hint="eastAsia"/>
          <w:iCs/>
        </w:rPr>
        <w:t>上文脚注</w:t>
      </w:r>
      <w:r w:rsidRPr="00D90936">
        <w:rPr>
          <w:rFonts w:asciiTheme="majorBidi" w:hAnsiTheme="majorBidi" w:cstheme="majorBidi"/>
        </w:rPr>
        <w:fldChar w:fldCharType="begin"/>
      </w:r>
      <w:r w:rsidRPr="00D90936">
        <w:rPr>
          <w:rFonts w:asciiTheme="majorBidi" w:hAnsiTheme="majorBidi" w:cstheme="majorBidi"/>
        </w:rPr>
        <w:instrText xml:space="preserve"> NOTEREF _Ref461971974 \h </w:instrText>
      </w:r>
      <w:r>
        <w:rPr>
          <w:rFonts w:asciiTheme="majorBidi" w:hAnsiTheme="majorBidi" w:cstheme="majorBidi"/>
        </w:rPr>
        <w:instrText xml:space="preserve"> \* MERGEFORMAT </w:instrText>
      </w:r>
      <w:r w:rsidRPr="00D90936">
        <w:rPr>
          <w:rFonts w:asciiTheme="majorBidi" w:hAnsiTheme="majorBidi" w:cstheme="majorBidi"/>
        </w:rPr>
      </w:r>
      <w:r w:rsidRPr="00D90936">
        <w:rPr>
          <w:rFonts w:asciiTheme="majorBidi" w:hAnsiTheme="majorBidi" w:cstheme="majorBidi"/>
        </w:rPr>
        <w:fldChar w:fldCharType="separate"/>
      </w:r>
      <w:r w:rsidR="00A73EB9">
        <w:rPr>
          <w:rFonts w:asciiTheme="majorBidi" w:hAnsiTheme="majorBidi" w:cstheme="majorBidi"/>
        </w:rPr>
        <w:t>392</w:t>
      </w:r>
      <w:r w:rsidRPr="00D90936">
        <w:rPr>
          <w:rFonts w:asciiTheme="majorBidi" w:hAnsiTheme="majorBidi" w:cstheme="majorBidi"/>
        </w:rPr>
        <w:fldChar w:fldCharType="end"/>
      </w:r>
      <w:r w:rsidRPr="009D48A5">
        <w:rPr>
          <w:rFonts w:hint="eastAsia"/>
          <w:iCs/>
        </w:rPr>
        <w:t>)</w:t>
      </w:r>
      <w:r w:rsidRPr="009D48A5">
        <w:rPr>
          <w:rFonts w:hint="eastAsia"/>
          <w:iCs/>
        </w:rPr>
        <w:t>，见</w:t>
      </w:r>
      <w:r w:rsidRPr="009D48A5">
        <w:rPr>
          <w:rFonts w:hint="eastAsia"/>
        </w:rPr>
        <w:t>第</w:t>
      </w:r>
      <w:r w:rsidRPr="009D48A5">
        <w:t>2</w:t>
      </w:r>
      <w:r w:rsidRPr="009D48A5">
        <w:rPr>
          <w:rFonts w:hint="eastAsia"/>
        </w:rPr>
        <w:t>40-</w:t>
      </w:r>
      <w:r w:rsidRPr="009D48A5">
        <w:t>2</w:t>
      </w:r>
      <w:r w:rsidRPr="009D48A5">
        <w:rPr>
          <w:rFonts w:hint="eastAsia"/>
        </w:rPr>
        <w:t>42</w:t>
      </w:r>
      <w:r w:rsidRPr="009D48A5">
        <w:rPr>
          <w:rFonts w:hint="eastAsia"/>
        </w:rPr>
        <w:t>页。</w:t>
      </w:r>
    </w:p>
  </w:footnote>
  <w:footnote w:id="464">
    <w:p w:rsidR="00AB00DE" w:rsidRPr="009D48A5" w:rsidRDefault="00AB00DE" w:rsidP="00560424">
      <w:pPr>
        <w:pStyle w:val="a4"/>
        <w:spacing w:after="80"/>
      </w:pPr>
      <w:r w:rsidRPr="009D48A5">
        <w:rPr>
          <w:rFonts w:hint="eastAsia"/>
        </w:rPr>
        <w:tab/>
      </w:r>
      <w:r w:rsidRPr="00DF5565">
        <w:rPr>
          <w:rStyle w:val="a5"/>
          <w:szCs w:val="22"/>
        </w:rPr>
        <w:footnoteRef/>
      </w:r>
      <w:r w:rsidRPr="009D48A5">
        <w:rPr>
          <w:rFonts w:hint="eastAsia"/>
        </w:rPr>
        <w:tab/>
      </w:r>
      <w:r w:rsidRPr="009D48A5">
        <w:t>Yasseen,</w:t>
      </w:r>
      <w:r w:rsidRPr="009D48A5">
        <w:rPr>
          <w:rFonts w:hint="eastAsia"/>
        </w:rPr>
        <w:t>“……对条约进行解释”</w:t>
      </w:r>
      <w:r w:rsidRPr="009D48A5">
        <w:rPr>
          <w:rFonts w:hint="eastAsia"/>
        </w:rPr>
        <w:t>(</w:t>
      </w:r>
      <w:r w:rsidRPr="009D48A5">
        <w:rPr>
          <w:rFonts w:hint="eastAsia"/>
        </w:rPr>
        <w:t>见</w:t>
      </w:r>
      <w:r>
        <w:t>上文脚注</w:t>
      </w:r>
      <w:r>
        <w:fldChar w:fldCharType="begin"/>
      </w:r>
      <w:r>
        <w:instrText xml:space="preserve"> NOTEREF _Ref461972846 \h </w:instrText>
      </w:r>
      <w:r>
        <w:fldChar w:fldCharType="separate"/>
      </w:r>
      <w:r w:rsidR="00A73EB9">
        <w:t>393</w:t>
      </w:r>
      <w:r>
        <w:fldChar w:fldCharType="end"/>
      </w:r>
      <w:r>
        <w:t>)</w:t>
      </w:r>
      <w:r w:rsidRPr="009D48A5">
        <w:rPr>
          <w:rFonts w:hint="eastAsia"/>
        </w:rPr>
        <w:t>，第</w:t>
      </w:r>
      <w:r w:rsidRPr="009D48A5">
        <w:t>38</w:t>
      </w:r>
      <w:r w:rsidRPr="009D48A5">
        <w:rPr>
          <w:rFonts w:hint="eastAsia"/>
        </w:rPr>
        <w:t>页；</w:t>
      </w:r>
      <w:r w:rsidRPr="009D48A5">
        <w:t>Jennings</w:t>
      </w:r>
      <w:r w:rsidRPr="009D48A5">
        <w:rPr>
          <w:rFonts w:hint="eastAsia"/>
        </w:rPr>
        <w:t>和</w:t>
      </w:r>
      <w:r w:rsidRPr="009D48A5">
        <w:t>Watts,</w:t>
      </w:r>
      <w:r w:rsidRPr="009D48A5">
        <w:rPr>
          <w:rFonts w:hint="eastAsia"/>
        </w:rPr>
        <w:t>《奥本海国际法》</w:t>
      </w:r>
      <w:r w:rsidRPr="009D48A5">
        <w:rPr>
          <w:rFonts w:hint="eastAsia"/>
        </w:rPr>
        <w:t>(</w:t>
      </w:r>
      <w:r w:rsidRPr="009D48A5">
        <w:rPr>
          <w:rFonts w:hint="eastAsia"/>
        </w:rPr>
        <w:t>见</w:t>
      </w:r>
      <w:r w:rsidRPr="009D48A5">
        <w:t>上文脚注</w:t>
      </w:r>
      <w:r>
        <w:fldChar w:fldCharType="begin"/>
      </w:r>
      <w:r>
        <w:instrText xml:space="preserve"> NOTEREF _Ref461975695 \h </w:instrText>
      </w:r>
      <w:r>
        <w:fldChar w:fldCharType="separate"/>
      </w:r>
      <w:r w:rsidR="00A73EB9">
        <w:t>435</w:t>
      </w:r>
      <w:r>
        <w:fldChar w:fldCharType="end"/>
      </w:r>
      <w:r w:rsidRPr="009D48A5">
        <w:rPr>
          <w:rFonts w:hint="eastAsia"/>
        </w:rPr>
        <w:t>)</w:t>
      </w:r>
      <w:r w:rsidRPr="009D48A5">
        <w:t>，</w:t>
      </w:r>
      <w:r w:rsidRPr="009D48A5">
        <w:rPr>
          <w:rFonts w:hint="eastAsia"/>
        </w:rPr>
        <w:t>第</w:t>
      </w:r>
      <w:r w:rsidRPr="009D48A5">
        <w:t>1274</w:t>
      </w:r>
      <w:r w:rsidRPr="009D48A5">
        <w:rPr>
          <w:rFonts w:hint="eastAsia"/>
        </w:rPr>
        <w:t>页，第</w:t>
      </w:r>
      <w:r w:rsidRPr="009D48A5">
        <w:t>632</w:t>
      </w:r>
      <w:r w:rsidRPr="009D48A5">
        <w:rPr>
          <w:rFonts w:hint="eastAsia"/>
        </w:rPr>
        <w:t>段</w:t>
      </w:r>
      <w:r w:rsidRPr="009D48A5">
        <w:t>(</w:t>
      </w:r>
      <w:r w:rsidRPr="009D48A5">
        <w:rPr>
          <w:rFonts w:hint="eastAsia"/>
        </w:rPr>
        <w:t>“……</w:t>
      </w:r>
      <w:r w:rsidRPr="009D48A5">
        <w:rPr>
          <w:rFonts w:hint="eastAsia"/>
          <w:lang w:val="zh-CN"/>
        </w:rPr>
        <w:t>但另一方面</w:t>
      </w:r>
      <w:r w:rsidRPr="009D48A5">
        <w:rPr>
          <w:rFonts w:hint="eastAsia"/>
        </w:rPr>
        <w:t>，</w:t>
      </w:r>
      <w:r w:rsidRPr="009D48A5">
        <w:rPr>
          <w:rFonts w:hint="eastAsia"/>
          <w:lang w:val="zh-CN"/>
        </w:rPr>
        <w:t>如果条约和补充协定之间间隔的时间太长</w:t>
      </w:r>
      <w:r w:rsidRPr="009D48A5">
        <w:rPr>
          <w:rFonts w:hint="eastAsia"/>
        </w:rPr>
        <w:t>，</w:t>
      </w:r>
      <w:r w:rsidRPr="009D48A5">
        <w:rPr>
          <w:rFonts w:hint="eastAsia"/>
          <w:lang w:val="zh-CN"/>
        </w:rPr>
        <w:t>可能会妨碍把它与</w:t>
      </w:r>
      <w:r w:rsidRPr="009D48A5">
        <w:rPr>
          <w:rFonts w:hint="eastAsia"/>
        </w:rPr>
        <w:t>“</w:t>
      </w:r>
      <w:r w:rsidRPr="009D48A5">
        <w:rPr>
          <w:rFonts w:hint="eastAsia"/>
          <w:lang w:val="zh-CN"/>
        </w:rPr>
        <w:t>条约的缔结</w:t>
      </w:r>
      <w:r w:rsidRPr="009D48A5">
        <w:rPr>
          <w:rFonts w:hint="eastAsia"/>
        </w:rPr>
        <w:t>”</w:t>
      </w:r>
      <w:r w:rsidRPr="009D48A5">
        <w:rPr>
          <w:rFonts w:hint="eastAsia"/>
          <w:lang w:val="zh-CN"/>
        </w:rPr>
        <w:t>联系起来</w:t>
      </w:r>
      <w:r w:rsidRPr="009D48A5">
        <w:rPr>
          <w:rFonts w:hint="eastAsia"/>
        </w:rPr>
        <w:t>”</w:t>
      </w:r>
      <w:r w:rsidRPr="009D48A5">
        <w:t>)</w:t>
      </w:r>
      <w:r w:rsidRPr="009D48A5">
        <w:rPr>
          <w:rFonts w:hint="eastAsia"/>
        </w:rPr>
        <w:t>。</w:t>
      </w:r>
    </w:p>
  </w:footnote>
  <w:footnote w:id="465">
    <w:p w:rsidR="00AB00DE" w:rsidRPr="009D48A5" w:rsidRDefault="00AB00DE" w:rsidP="00D90936">
      <w:pPr>
        <w:pStyle w:val="a4"/>
        <w:spacing w:after="80"/>
      </w:pPr>
      <w:r w:rsidRPr="009D48A5">
        <w:rPr>
          <w:rFonts w:hint="eastAsia"/>
        </w:rPr>
        <w:tab/>
      </w:r>
      <w:r w:rsidRPr="00DF5565">
        <w:rPr>
          <w:rStyle w:val="a5"/>
          <w:szCs w:val="22"/>
        </w:rPr>
        <w:footnoteRef/>
      </w:r>
      <w:r w:rsidRPr="009D48A5">
        <w:rPr>
          <w:rFonts w:hint="eastAsia"/>
        </w:rPr>
        <w:tab/>
      </w:r>
      <w:r w:rsidRPr="009D48A5">
        <w:rPr>
          <w:rFonts w:hint="eastAsia"/>
        </w:rPr>
        <w:t>见《</w:t>
      </w:r>
      <w:r w:rsidRPr="009D48A5">
        <w:rPr>
          <w:rFonts w:hint="eastAsia"/>
        </w:rPr>
        <w:t>1966</w:t>
      </w:r>
      <w:r w:rsidRPr="009D48A5">
        <w:rPr>
          <w:rFonts w:hint="eastAsia"/>
        </w:rPr>
        <w:t>年……年鉴》，第二卷，</w:t>
      </w:r>
      <w:r w:rsidRPr="009D48A5">
        <w:t>A/6309/Rev.1</w:t>
      </w:r>
      <w:r w:rsidRPr="009D48A5">
        <w:rPr>
          <w:rFonts w:hint="eastAsia"/>
        </w:rPr>
        <w:t>号文件，第</w:t>
      </w:r>
      <w:r w:rsidRPr="009D48A5">
        <w:t>221</w:t>
      </w:r>
      <w:r w:rsidRPr="009D48A5">
        <w:rPr>
          <w:rFonts w:hint="eastAsia"/>
        </w:rPr>
        <w:t>页，第</w:t>
      </w:r>
      <w:r w:rsidRPr="009D48A5">
        <w:t>(14)</w:t>
      </w:r>
      <w:r w:rsidRPr="009D48A5">
        <w:rPr>
          <w:rFonts w:hint="eastAsia"/>
        </w:rPr>
        <w:t>段；另见</w:t>
      </w:r>
      <w:r w:rsidRPr="009D48A5">
        <w:t>Villiger,</w:t>
      </w:r>
      <w:r w:rsidRPr="009D48A5">
        <w:rPr>
          <w:rFonts w:hint="eastAsia"/>
        </w:rPr>
        <w:t>《……评注》</w:t>
      </w:r>
      <w:r w:rsidRPr="009D48A5">
        <w:rPr>
          <w:rFonts w:hint="eastAsia"/>
        </w:rPr>
        <w:t>(</w:t>
      </w:r>
      <w:r w:rsidRPr="009D48A5">
        <w:rPr>
          <w:rFonts w:hint="eastAsia"/>
        </w:rPr>
        <w:t>见</w:t>
      </w:r>
      <w:r>
        <w:rPr>
          <w:rFonts w:hint="eastAsia"/>
        </w:rPr>
        <w:t>上文脚注</w:t>
      </w:r>
      <w:r>
        <w:rPr>
          <w:spacing w:val="-4"/>
          <w:lang w:val="zh-CN"/>
        </w:rPr>
        <w:fldChar w:fldCharType="begin"/>
      </w:r>
      <w:r w:rsidRPr="00D90936">
        <w:rPr>
          <w:spacing w:val="-4"/>
        </w:rPr>
        <w:instrText xml:space="preserve"> NOTEREF _Ref461972715 \h </w:instrText>
      </w:r>
      <w:r>
        <w:rPr>
          <w:spacing w:val="-4"/>
          <w:lang w:val="zh-CN"/>
        </w:rPr>
      </w:r>
      <w:r>
        <w:rPr>
          <w:spacing w:val="-4"/>
          <w:lang w:val="zh-CN"/>
        </w:rPr>
        <w:fldChar w:fldCharType="separate"/>
      </w:r>
      <w:r w:rsidR="00A73EB9">
        <w:rPr>
          <w:spacing w:val="-4"/>
        </w:rPr>
        <w:t>414</w:t>
      </w:r>
      <w:r>
        <w:rPr>
          <w:spacing w:val="-4"/>
          <w:lang w:val="zh-CN"/>
        </w:rPr>
        <w:fldChar w:fldCharType="end"/>
      </w:r>
      <w:r>
        <w:rPr>
          <w:rFonts w:hint="eastAsia"/>
        </w:rPr>
        <w:t>)</w:t>
      </w:r>
      <w:r w:rsidRPr="009D48A5">
        <w:rPr>
          <w:rFonts w:hint="eastAsia"/>
        </w:rPr>
        <w:t>，第</w:t>
      </w:r>
      <w:r w:rsidRPr="009D48A5">
        <w:t>431</w:t>
      </w:r>
      <w:r w:rsidRPr="009D48A5">
        <w:rPr>
          <w:rFonts w:hint="eastAsia"/>
        </w:rPr>
        <w:t>页，第</w:t>
      </w:r>
      <w:r w:rsidRPr="009D48A5">
        <w:t>20</w:t>
      </w:r>
      <w:r w:rsidRPr="009D48A5">
        <w:rPr>
          <w:rFonts w:hint="eastAsia"/>
        </w:rPr>
        <w:t>-</w:t>
      </w:r>
      <w:r w:rsidRPr="009D48A5">
        <w:t>21</w:t>
      </w:r>
      <w:r w:rsidRPr="009D48A5">
        <w:rPr>
          <w:rFonts w:hint="eastAsia"/>
        </w:rPr>
        <w:t>段；另见</w:t>
      </w:r>
      <w:r w:rsidRPr="009D48A5">
        <w:t>K.J.</w:t>
      </w:r>
      <w:r w:rsidRPr="009D48A5">
        <w:rPr>
          <w:rFonts w:hint="eastAsia"/>
        </w:rPr>
        <w:t xml:space="preserve"> </w:t>
      </w:r>
      <w:r w:rsidRPr="009D48A5">
        <w:t>Heller,</w:t>
      </w:r>
      <w:r w:rsidRPr="009D48A5">
        <w:rPr>
          <w:rFonts w:hint="eastAsia"/>
        </w:rPr>
        <w:t>“</w:t>
      </w:r>
      <w:r w:rsidRPr="009D48A5">
        <w:t>The Uncertain Legal Status of the Aggression Understandings</w:t>
      </w:r>
      <w:r w:rsidRPr="009D48A5">
        <w:rPr>
          <w:rFonts w:hint="eastAsia"/>
        </w:rPr>
        <w:t>”</w:t>
      </w:r>
      <w:r w:rsidRPr="009D48A5">
        <w:t>，《国际刑事司法杂志》</w:t>
      </w:r>
      <w:r w:rsidRPr="009D48A5">
        <w:rPr>
          <w:rFonts w:hint="eastAsia"/>
        </w:rPr>
        <w:t>，第</w:t>
      </w:r>
      <w:r w:rsidRPr="009D48A5">
        <w:rPr>
          <w:rFonts w:hint="eastAsia"/>
        </w:rPr>
        <w:t>10</w:t>
      </w:r>
      <w:r w:rsidRPr="009D48A5">
        <w:rPr>
          <w:rFonts w:hint="eastAsia"/>
        </w:rPr>
        <w:t>卷</w:t>
      </w:r>
      <w:r w:rsidRPr="009D48A5">
        <w:t>(2012</w:t>
      </w:r>
      <w:r w:rsidRPr="009D48A5">
        <w:rPr>
          <w:rFonts w:hint="eastAsia"/>
        </w:rPr>
        <w:t>年</w:t>
      </w:r>
      <w:r w:rsidRPr="009D48A5">
        <w:t>)</w:t>
      </w:r>
      <w:r w:rsidRPr="009D48A5">
        <w:rPr>
          <w:rFonts w:hint="eastAsia"/>
        </w:rPr>
        <w:t>，第</w:t>
      </w:r>
      <w:r w:rsidRPr="009D48A5">
        <w:t>229</w:t>
      </w:r>
      <w:r w:rsidRPr="009D48A5">
        <w:rPr>
          <w:rFonts w:hint="eastAsia"/>
        </w:rPr>
        <w:t>-248</w:t>
      </w:r>
      <w:r w:rsidRPr="009D48A5">
        <w:rPr>
          <w:rFonts w:hint="eastAsia"/>
        </w:rPr>
        <w:t>页，见第</w:t>
      </w:r>
      <w:r w:rsidRPr="009D48A5">
        <w:t>237</w:t>
      </w:r>
      <w:r w:rsidRPr="009D48A5">
        <w:rPr>
          <w:rFonts w:hint="eastAsia"/>
        </w:rPr>
        <w:t>页。</w:t>
      </w:r>
    </w:p>
  </w:footnote>
  <w:footnote w:id="466">
    <w:p w:rsidR="00AB00DE" w:rsidRPr="009D48A5" w:rsidRDefault="00AB00DE" w:rsidP="00560424">
      <w:pPr>
        <w:pStyle w:val="a4"/>
        <w:spacing w:after="80"/>
      </w:pPr>
      <w:r w:rsidRPr="009D48A5">
        <w:rPr>
          <w:rFonts w:hint="eastAsia"/>
        </w:rPr>
        <w:tab/>
      </w:r>
      <w:r w:rsidRPr="00DF5565">
        <w:rPr>
          <w:rStyle w:val="a5"/>
          <w:szCs w:val="22"/>
        </w:rPr>
        <w:footnoteRef/>
      </w:r>
      <w:r w:rsidRPr="00DF5565">
        <w:rPr>
          <w:rStyle w:val="a5"/>
          <w:rFonts w:hint="eastAsia"/>
          <w:szCs w:val="22"/>
        </w:rPr>
        <w:tab/>
      </w:r>
      <w:r w:rsidRPr="009D48A5">
        <w:t xml:space="preserve">Villiger, </w:t>
      </w:r>
      <w:r w:rsidRPr="009D48A5">
        <w:rPr>
          <w:rFonts w:hint="eastAsia"/>
        </w:rPr>
        <w:t>《……评注》</w:t>
      </w:r>
      <w:r w:rsidRPr="009D48A5">
        <w:rPr>
          <w:rFonts w:hint="eastAsia"/>
          <w:iCs/>
        </w:rPr>
        <w:t>(</w:t>
      </w:r>
      <w:r w:rsidRPr="009D48A5">
        <w:rPr>
          <w:rFonts w:hint="eastAsia"/>
          <w:iCs/>
        </w:rPr>
        <w:t>见</w:t>
      </w:r>
      <w:r>
        <w:rPr>
          <w:iCs/>
        </w:rPr>
        <w:t>上文脚注</w:t>
      </w:r>
      <w:r>
        <w:rPr>
          <w:spacing w:val="-4"/>
          <w:lang w:val="zh-CN"/>
        </w:rPr>
        <w:fldChar w:fldCharType="begin"/>
      </w:r>
      <w:r w:rsidRPr="00D90936">
        <w:rPr>
          <w:spacing w:val="-4"/>
        </w:rPr>
        <w:instrText xml:space="preserve"> NOTEREF _Ref461972715 \h </w:instrText>
      </w:r>
      <w:r>
        <w:rPr>
          <w:spacing w:val="-4"/>
          <w:lang w:val="zh-CN"/>
        </w:rPr>
      </w:r>
      <w:r>
        <w:rPr>
          <w:spacing w:val="-4"/>
          <w:lang w:val="zh-CN"/>
        </w:rPr>
        <w:fldChar w:fldCharType="separate"/>
      </w:r>
      <w:r w:rsidR="00A73EB9">
        <w:rPr>
          <w:spacing w:val="-4"/>
        </w:rPr>
        <w:t>414</w:t>
      </w:r>
      <w:r>
        <w:rPr>
          <w:spacing w:val="-4"/>
          <w:lang w:val="zh-CN"/>
        </w:rPr>
        <w:fldChar w:fldCharType="end"/>
      </w:r>
      <w:r>
        <w:rPr>
          <w:iCs/>
        </w:rPr>
        <w:t>)</w:t>
      </w:r>
      <w:r w:rsidRPr="009D48A5">
        <w:rPr>
          <w:rFonts w:hint="eastAsia"/>
          <w:iCs/>
        </w:rPr>
        <w:t>，第</w:t>
      </w:r>
      <w:r w:rsidRPr="009D48A5">
        <w:t>80</w:t>
      </w:r>
      <w:r w:rsidRPr="009D48A5">
        <w:rPr>
          <w:rFonts w:hint="eastAsia"/>
        </w:rPr>
        <w:t>页，第</w:t>
      </w:r>
      <w:r w:rsidRPr="009D48A5">
        <w:t>15</w:t>
      </w:r>
      <w:r w:rsidRPr="009D48A5">
        <w:rPr>
          <w:rFonts w:hint="eastAsia"/>
        </w:rPr>
        <w:t>段</w:t>
      </w:r>
      <w:r w:rsidRPr="009D48A5">
        <w:t>；</w:t>
      </w:r>
      <w:r w:rsidRPr="009D48A5">
        <w:t>P. Gautier,</w:t>
      </w:r>
      <w:r w:rsidRPr="009D48A5">
        <w:rPr>
          <w:rFonts w:hint="eastAsia"/>
        </w:rPr>
        <w:t>“对</w:t>
      </w:r>
      <w:r w:rsidRPr="009D48A5">
        <w:rPr>
          <w:rFonts w:hint="eastAsia"/>
          <w:lang w:val="zh-CN"/>
        </w:rPr>
        <w:t>《维也纳公约》</w:t>
      </w:r>
      <w:r w:rsidRPr="009D48A5">
        <w:rPr>
          <w:rFonts w:hint="eastAsia"/>
        </w:rPr>
        <w:t>第二条的评注”，载于</w:t>
      </w:r>
      <w:r w:rsidRPr="009D48A5">
        <w:t>Corten</w:t>
      </w:r>
      <w:r w:rsidRPr="009D48A5">
        <w:rPr>
          <w:rFonts w:hint="eastAsia"/>
        </w:rPr>
        <w:t>和</w:t>
      </w:r>
      <w:r w:rsidRPr="009D48A5">
        <w:t>P. Klein,</w:t>
      </w:r>
      <w:r w:rsidRPr="009D48A5">
        <w:t>《</w:t>
      </w:r>
      <w:r>
        <w:rPr>
          <w:rFonts w:hint="eastAsia"/>
        </w:rPr>
        <w:t>〈</w:t>
      </w:r>
      <w:r w:rsidRPr="009D48A5">
        <w:t>维也纳</w:t>
      </w:r>
      <w:r w:rsidRPr="009D48A5">
        <w:rPr>
          <w:rFonts w:hint="eastAsia"/>
        </w:rPr>
        <w:t>……公约</w:t>
      </w:r>
      <w:r>
        <w:rPr>
          <w:rFonts w:hint="eastAsia"/>
        </w:rPr>
        <w:t>〉</w:t>
      </w:r>
      <w:r w:rsidRPr="009D48A5">
        <w:rPr>
          <w:rFonts w:hint="eastAsia"/>
        </w:rPr>
        <w:t>……》</w:t>
      </w:r>
      <w:r w:rsidRPr="009D48A5">
        <w:rPr>
          <w:rFonts w:hint="eastAsia"/>
        </w:rPr>
        <w:t>(</w:t>
      </w:r>
      <w:r w:rsidRPr="009D48A5">
        <w:rPr>
          <w:rFonts w:hint="eastAsia"/>
        </w:rPr>
        <w:t>见</w:t>
      </w:r>
      <w:r>
        <w:rPr>
          <w:rFonts w:hint="eastAsia"/>
        </w:rPr>
        <w:t>上文脚注</w:t>
      </w:r>
      <w:r>
        <w:fldChar w:fldCharType="begin"/>
      </w:r>
      <w:r>
        <w:instrText xml:space="preserve"> </w:instrText>
      </w:r>
      <w:r>
        <w:rPr>
          <w:rFonts w:hint="eastAsia"/>
        </w:rPr>
        <w:instrText>NOTEREF _Ref461975660 \h</w:instrText>
      </w:r>
      <w:r>
        <w:instrText xml:space="preserve"> </w:instrText>
      </w:r>
      <w:r>
        <w:fldChar w:fldCharType="separate"/>
      </w:r>
      <w:r w:rsidR="00A73EB9">
        <w:t>394</w:t>
      </w:r>
      <w:r>
        <w:fldChar w:fldCharType="end"/>
      </w:r>
      <w:r>
        <w:rPr>
          <w:rFonts w:hint="eastAsia"/>
        </w:rPr>
        <w:t>)</w:t>
      </w:r>
      <w:r w:rsidRPr="009D48A5">
        <w:t>，</w:t>
      </w:r>
      <w:r w:rsidRPr="009D48A5">
        <w:rPr>
          <w:rFonts w:hint="eastAsia"/>
        </w:rPr>
        <w:t>第二卷，第</w:t>
      </w:r>
      <w:r w:rsidRPr="009D48A5">
        <w:t>38</w:t>
      </w:r>
      <w:r w:rsidRPr="009D48A5">
        <w:rPr>
          <w:rFonts w:hint="eastAsia"/>
        </w:rPr>
        <w:t>-</w:t>
      </w:r>
      <w:r w:rsidRPr="009D48A5">
        <w:t>40</w:t>
      </w:r>
      <w:r w:rsidRPr="009D48A5">
        <w:rPr>
          <w:rFonts w:hint="eastAsia"/>
        </w:rPr>
        <w:t>页，第</w:t>
      </w:r>
      <w:r w:rsidRPr="009D48A5">
        <w:t>14</w:t>
      </w:r>
      <w:r w:rsidRPr="009D48A5">
        <w:rPr>
          <w:rFonts w:hint="eastAsia"/>
        </w:rPr>
        <w:t>-</w:t>
      </w:r>
      <w:r w:rsidRPr="009D48A5">
        <w:t>18</w:t>
      </w:r>
      <w:r w:rsidRPr="009D48A5">
        <w:rPr>
          <w:rFonts w:hint="eastAsia"/>
        </w:rPr>
        <w:t>段</w:t>
      </w:r>
      <w:r w:rsidRPr="009D48A5">
        <w:t>；</w:t>
      </w:r>
      <w:r w:rsidRPr="009D48A5">
        <w:t>J. Klabbers,</w:t>
      </w:r>
      <w:r w:rsidRPr="009D48A5">
        <w:rPr>
          <w:rFonts w:hint="eastAsia"/>
        </w:rPr>
        <w:t>《国际法中的条约概念》</w:t>
      </w:r>
      <w:r w:rsidRPr="009D48A5">
        <w:t>(Kluwer Law International, 1996</w:t>
      </w:r>
      <w:r w:rsidRPr="009D48A5">
        <w:rPr>
          <w:rFonts w:hint="eastAsia"/>
        </w:rPr>
        <w:t>年</w:t>
      </w:r>
      <w:r w:rsidRPr="009D48A5">
        <w:t>)</w:t>
      </w:r>
      <w:r w:rsidRPr="009D48A5">
        <w:t>，</w:t>
      </w:r>
      <w:r w:rsidRPr="009D48A5">
        <w:rPr>
          <w:rFonts w:hint="eastAsia"/>
        </w:rPr>
        <w:t>第</w:t>
      </w:r>
      <w:r w:rsidRPr="009D48A5">
        <w:t>49</w:t>
      </w:r>
      <w:r w:rsidRPr="009D48A5">
        <w:rPr>
          <w:rFonts w:hint="eastAsia"/>
        </w:rPr>
        <w:t>-</w:t>
      </w:r>
      <w:r w:rsidRPr="009D48A5">
        <w:t>50</w:t>
      </w:r>
      <w:r w:rsidRPr="009D48A5">
        <w:rPr>
          <w:rFonts w:hint="eastAsia"/>
        </w:rPr>
        <w:t>页</w:t>
      </w:r>
      <w:r w:rsidRPr="009D48A5">
        <w:t>；</w:t>
      </w:r>
      <w:r w:rsidRPr="009D48A5">
        <w:rPr>
          <w:rFonts w:hint="eastAsia"/>
        </w:rPr>
        <w:t>另见</w:t>
      </w:r>
      <w:r w:rsidRPr="009D48A5">
        <w:t>A. Aust,</w:t>
      </w:r>
      <w:r w:rsidRPr="009D48A5">
        <w:rPr>
          <w:rFonts w:hint="eastAsia"/>
        </w:rPr>
        <w:t>“非正式国际文书的理论和实践”</w:t>
      </w:r>
      <w:r w:rsidRPr="009D48A5">
        <w:t>，</w:t>
      </w:r>
      <w:r w:rsidRPr="009D48A5">
        <w:rPr>
          <w:rFonts w:hint="eastAsia"/>
        </w:rPr>
        <w:t>《国际法和比较法季刊》，第</w:t>
      </w:r>
      <w:r w:rsidRPr="009D48A5">
        <w:t>35</w:t>
      </w:r>
      <w:r w:rsidRPr="009D48A5">
        <w:rPr>
          <w:rFonts w:hint="eastAsia"/>
        </w:rPr>
        <w:t>卷，第</w:t>
      </w:r>
      <w:r w:rsidRPr="009D48A5">
        <w:rPr>
          <w:rFonts w:hint="eastAsia"/>
        </w:rPr>
        <w:t>4</w:t>
      </w:r>
      <w:r w:rsidRPr="009D48A5">
        <w:rPr>
          <w:rFonts w:hint="eastAsia"/>
        </w:rPr>
        <w:t>号</w:t>
      </w:r>
      <w:r w:rsidRPr="009D48A5">
        <w:t>(1986</w:t>
      </w:r>
      <w:r w:rsidRPr="009D48A5">
        <w:rPr>
          <w:rFonts w:hint="eastAsia"/>
        </w:rPr>
        <w:t>年</w:t>
      </w:r>
      <w:r w:rsidRPr="009D48A5">
        <w:t>)</w:t>
      </w:r>
      <w:r w:rsidRPr="009D48A5">
        <w:t>，</w:t>
      </w:r>
      <w:r w:rsidRPr="009D48A5">
        <w:rPr>
          <w:rFonts w:hint="eastAsia"/>
        </w:rPr>
        <w:t>第</w:t>
      </w:r>
      <w:r w:rsidRPr="009D48A5">
        <w:t>787</w:t>
      </w:r>
      <w:r w:rsidRPr="009D48A5">
        <w:rPr>
          <w:rFonts w:hint="eastAsia"/>
        </w:rPr>
        <w:t>-812</w:t>
      </w:r>
      <w:r w:rsidRPr="009D48A5">
        <w:rPr>
          <w:rFonts w:hint="eastAsia"/>
        </w:rPr>
        <w:t>页，见第</w:t>
      </w:r>
      <w:r w:rsidRPr="009D48A5">
        <w:t>794</w:t>
      </w:r>
      <w:r w:rsidRPr="009D48A5">
        <w:rPr>
          <w:rFonts w:hint="eastAsia"/>
        </w:rPr>
        <w:t>页及以下各页。</w:t>
      </w:r>
    </w:p>
  </w:footnote>
  <w:footnote w:id="467">
    <w:p w:rsidR="00AB00DE" w:rsidRPr="009D48A5" w:rsidRDefault="00AB00DE" w:rsidP="00B44972">
      <w:pPr>
        <w:pStyle w:val="a4"/>
        <w:spacing w:after="80"/>
      </w:pPr>
      <w:r w:rsidRPr="009D48A5">
        <w:rPr>
          <w:rFonts w:hint="eastAsia"/>
        </w:rPr>
        <w:tab/>
      </w:r>
      <w:r w:rsidRPr="00DF5565">
        <w:rPr>
          <w:rStyle w:val="a5"/>
          <w:szCs w:val="22"/>
        </w:rPr>
        <w:footnoteRef/>
      </w:r>
      <w:r w:rsidRPr="009D48A5">
        <w:rPr>
          <w:rFonts w:hint="eastAsia"/>
        </w:rPr>
        <w:tab/>
      </w:r>
      <w:r w:rsidRPr="009D48A5">
        <w:rPr>
          <w:rFonts w:hint="eastAsia"/>
        </w:rPr>
        <w:t>见第二条第一款</w:t>
      </w:r>
      <w:r w:rsidRPr="009D48A5">
        <w:t>(a)</w:t>
      </w:r>
      <w:r w:rsidRPr="009D48A5">
        <w:rPr>
          <w:rFonts w:hint="eastAsia"/>
        </w:rPr>
        <w:t>项、第三条、第二十四条第二款、第三十九至四十一条、第五十八条、第六十条。</w:t>
      </w:r>
    </w:p>
  </w:footnote>
  <w:footnote w:id="468">
    <w:p w:rsidR="00AB00DE" w:rsidRPr="009D48A5" w:rsidRDefault="00AB00DE" w:rsidP="00560424">
      <w:pPr>
        <w:pStyle w:val="a4"/>
        <w:spacing w:after="80"/>
      </w:pPr>
      <w:r w:rsidRPr="009D48A5">
        <w:rPr>
          <w:rFonts w:hint="eastAsia"/>
        </w:rPr>
        <w:tab/>
      </w:r>
      <w:r w:rsidRPr="00DF5565">
        <w:rPr>
          <w:rStyle w:val="a5"/>
          <w:szCs w:val="22"/>
        </w:rPr>
        <w:footnoteRef/>
      </w:r>
      <w:r w:rsidRPr="009D48A5">
        <w:rPr>
          <w:rFonts w:hint="eastAsia"/>
        </w:rPr>
        <w:tab/>
      </w:r>
      <w:r w:rsidRPr="009D48A5">
        <w:rPr>
          <w:rFonts w:hint="eastAsia"/>
        </w:rPr>
        <w:t>《</w:t>
      </w:r>
      <w:r w:rsidRPr="009D48A5">
        <w:t>1966</w:t>
      </w:r>
      <w:r w:rsidRPr="009D48A5">
        <w:rPr>
          <w:rFonts w:hint="eastAsia"/>
        </w:rPr>
        <w:t>年……年鉴》，第二卷，</w:t>
      </w:r>
      <w:r w:rsidRPr="009D48A5">
        <w:t>A/6309/Rev.1</w:t>
      </w:r>
      <w:r w:rsidRPr="009D48A5">
        <w:rPr>
          <w:rFonts w:hint="eastAsia"/>
        </w:rPr>
        <w:t>号文件，第</w:t>
      </w:r>
      <w:r w:rsidRPr="009D48A5">
        <w:t>232</w:t>
      </w:r>
      <w:r w:rsidRPr="009D48A5">
        <w:rPr>
          <w:rFonts w:hint="eastAsia"/>
        </w:rPr>
        <w:t>和</w:t>
      </w:r>
      <w:r w:rsidRPr="009D48A5">
        <w:rPr>
          <w:rFonts w:hint="eastAsia"/>
        </w:rPr>
        <w:t>233</w:t>
      </w:r>
      <w:r w:rsidRPr="009D48A5">
        <w:rPr>
          <w:rFonts w:hint="eastAsia"/>
        </w:rPr>
        <w:t>页；另见</w:t>
      </w:r>
      <w:r w:rsidRPr="009D48A5">
        <w:t xml:space="preserve">Villiger, </w:t>
      </w:r>
      <w:r w:rsidRPr="009D48A5">
        <w:rPr>
          <w:rFonts w:hint="eastAsia"/>
        </w:rPr>
        <w:t>《……评注》</w:t>
      </w:r>
      <w:r w:rsidRPr="009D48A5">
        <w:rPr>
          <w:rFonts w:hint="eastAsia"/>
          <w:iCs/>
        </w:rPr>
        <w:t>(</w:t>
      </w:r>
      <w:r>
        <w:rPr>
          <w:iCs/>
        </w:rPr>
        <w:t>上文脚注</w:t>
      </w:r>
      <w:r>
        <w:rPr>
          <w:spacing w:val="-4"/>
          <w:lang w:val="zh-CN"/>
        </w:rPr>
        <w:fldChar w:fldCharType="begin"/>
      </w:r>
      <w:r>
        <w:rPr>
          <w:spacing w:val="-4"/>
          <w:lang w:val="zh-CN"/>
        </w:rPr>
        <w:instrText xml:space="preserve"> NOTEREF _Ref461972715 \h </w:instrText>
      </w:r>
      <w:r>
        <w:rPr>
          <w:spacing w:val="-4"/>
          <w:lang w:val="zh-CN"/>
        </w:rPr>
      </w:r>
      <w:r>
        <w:rPr>
          <w:spacing w:val="-4"/>
          <w:lang w:val="zh-CN"/>
        </w:rPr>
        <w:fldChar w:fldCharType="separate"/>
      </w:r>
      <w:r w:rsidR="00A73EB9">
        <w:rPr>
          <w:spacing w:val="-4"/>
          <w:lang w:val="zh-CN"/>
        </w:rPr>
        <w:t>414</w:t>
      </w:r>
      <w:r>
        <w:rPr>
          <w:spacing w:val="-4"/>
          <w:lang w:val="zh-CN"/>
        </w:rPr>
        <w:fldChar w:fldCharType="end"/>
      </w:r>
      <w:r>
        <w:rPr>
          <w:iCs/>
        </w:rPr>
        <w:t>)</w:t>
      </w:r>
      <w:r w:rsidRPr="009D48A5">
        <w:rPr>
          <w:rFonts w:hint="eastAsia"/>
          <w:iCs/>
        </w:rPr>
        <w:t>，第</w:t>
      </w:r>
      <w:r w:rsidRPr="009D48A5">
        <w:t>513</w:t>
      </w:r>
      <w:r w:rsidRPr="009D48A5">
        <w:rPr>
          <w:rFonts w:hint="eastAsia"/>
        </w:rPr>
        <w:t>页，第</w:t>
      </w:r>
      <w:r w:rsidRPr="009D48A5">
        <w:t>7</w:t>
      </w:r>
      <w:r w:rsidRPr="009D48A5">
        <w:rPr>
          <w:rFonts w:hint="eastAsia"/>
        </w:rPr>
        <w:t>段</w:t>
      </w:r>
      <w:r w:rsidRPr="009D48A5">
        <w:t>；</w:t>
      </w:r>
      <w:r w:rsidRPr="009D48A5">
        <w:t>P. Sands,</w:t>
      </w:r>
      <w:r w:rsidRPr="009D48A5">
        <w:rPr>
          <w:rFonts w:hint="eastAsia"/>
        </w:rPr>
        <w:t>“对《维也纳公约》第三十九条的评注”，载于</w:t>
      </w:r>
      <w:r w:rsidRPr="009D48A5">
        <w:t>Corten</w:t>
      </w:r>
      <w:r w:rsidRPr="009D48A5">
        <w:rPr>
          <w:rFonts w:hint="eastAsia"/>
        </w:rPr>
        <w:t>和</w:t>
      </w:r>
      <w:r w:rsidRPr="009D48A5">
        <w:t>Klein,</w:t>
      </w:r>
      <w:r w:rsidRPr="009D48A5">
        <w:t>《</w:t>
      </w:r>
      <w:r>
        <w:rPr>
          <w:rFonts w:hint="eastAsia"/>
        </w:rPr>
        <w:t>〈</w:t>
      </w:r>
      <w:r w:rsidRPr="009D48A5">
        <w:t>维也纳</w:t>
      </w:r>
      <w:r w:rsidRPr="009D48A5">
        <w:rPr>
          <w:rFonts w:hint="eastAsia"/>
        </w:rPr>
        <w:t>……公约</w:t>
      </w:r>
      <w:r>
        <w:rPr>
          <w:rFonts w:hint="eastAsia"/>
        </w:rPr>
        <w:t>〉</w:t>
      </w:r>
      <w:r w:rsidRPr="009D48A5">
        <w:rPr>
          <w:rFonts w:hint="eastAsia"/>
        </w:rPr>
        <w:t>……》</w:t>
      </w:r>
      <w:r w:rsidRPr="009D48A5">
        <w:rPr>
          <w:rFonts w:hint="eastAsia"/>
        </w:rPr>
        <w:t>(</w:t>
      </w:r>
      <w:r w:rsidRPr="009D48A5">
        <w:rPr>
          <w:rFonts w:hint="eastAsia"/>
        </w:rPr>
        <w:t>见</w:t>
      </w:r>
      <w:r>
        <w:rPr>
          <w:rFonts w:hint="eastAsia"/>
        </w:rPr>
        <w:t>上文脚注</w:t>
      </w:r>
      <w:r>
        <w:fldChar w:fldCharType="begin"/>
      </w:r>
      <w:r>
        <w:instrText xml:space="preserve"> </w:instrText>
      </w:r>
      <w:r>
        <w:rPr>
          <w:rFonts w:hint="eastAsia"/>
        </w:rPr>
        <w:instrText>NOTEREF _Ref461975660 \h</w:instrText>
      </w:r>
      <w:r>
        <w:instrText xml:space="preserve"> </w:instrText>
      </w:r>
      <w:r>
        <w:fldChar w:fldCharType="separate"/>
      </w:r>
      <w:r w:rsidR="00A73EB9">
        <w:t>394</w:t>
      </w:r>
      <w:r>
        <w:fldChar w:fldCharType="end"/>
      </w:r>
      <w:r>
        <w:rPr>
          <w:rFonts w:hint="eastAsia"/>
        </w:rPr>
        <w:t>)</w:t>
      </w:r>
      <w:r w:rsidRPr="009D48A5">
        <w:rPr>
          <w:rFonts w:hint="eastAsia"/>
        </w:rPr>
        <w:t>，第</w:t>
      </w:r>
      <w:r w:rsidRPr="009D48A5">
        <w:t>971</w:t>
      </w:r>
      <w:r w:rsidRPr="009D48A5">
        <w:rPr>
          <w:rFonts w:hint="eastAsia"/>
        </w:rPr>
        <w:t>-</w:t>
      </w:r>
      <w:r w:rsidRPr="009D48A5">
        <w:t>972</w:t>
      </w:r>
      <w:r w:rsidRPr="009D48A5">
        <w:rPr>
          <w:rFonts w:hint="eastAsia"/>
        </w:rPr>
        <w:t>页，第</w:t>
      </w:r>
      <w:r w:rsidRPr="009D48A5">
        <w:t>31</w:t>
      </w:r>
      <w:r w:rsidRPr="009D48A5">
        <w:rPr>
          <w:rFonts w:hint="eastAsia"/>
        </w:rPr>
        <w:t>-</w:t>
      </w:r>
      <w:r w:rsidRPr="009D48A5">
        <w:t>34</w:t>
      </w:r>
      <w:r w:rsidRPr="009D48A5">
        <w:rPr>
          <w:rFonts w:hint="eastAsia"/>
        </w:rPr>
        <w:t>段。</w:t>
      </w:r>
    </w:p>
  </w:footnote>
  <w:footnote w:id="469">
    <w:p w:rsidR="00AB00DE" w:rsidRPr="009D48A5" w:rsidRDefault="00AB00DE" w:rsidP="00267AB1">
      <w:pPr>
        <w:pStyle w:val="a4"/>
        <w:spacing w:after="80"/>
      </w:pPr>
      <w:r w:rsidRPr="009D48A5">
        <w:rPr>
          <w:rFonts w:hint="eastAsia"/>
        </w:rPr>
        <w:tab/>
      </w:r>
      <w:r w:rsidRPr="00DF5565">
        <w:rPr>
          <w:rStyle w:val="a5"/>
          <w:szCs w:val="22"/>
        </w:rPr>
        <w:footnoteRef/>
      </w:r>
      <w:r w:rsidRPr="009D48A5">
        <w:rPr>
          <w:rFonts w:hint="eastAsia"/>
        </w:rPr>
        <w:tab/>
      </w:r>
      <w:r w:rsidRPr="009D48A5">
        <w:rPr>
          <w:rFonts w:hint="eastAsia"/>
          <w:lang w:val="zh-CN"/>
        </w:rPr>
        <w:t>国际法委员会条款草案第二</w:t>
      </w:r>
      <w:r w:rsidRPr="009D48A5">
        <w:rPr>
          <w:rFonts w:hint="eastAsia"/>
        </w:rPr>
        <w:t>十七</w:t>
      </w:r>
      <w:r w:rsidRPr="009D48A5">
        <w:rPr>
          <w:rFonts w:hint="eastAsia"/>
          <w:lang w:val="zh-CN"/>
        </w:rPr>
        <w:t>条第三款</w:t>
      </w:r>
      <w:r w:rsidRPr="009D48A5">
        <w:rPr>
          <w:rFonts w:hint="eastAsia"/>
        </w:rPr>
        <w:t>(</w:t>
      </w:r>
      <w:r w:rsidRPr="009D48A5">
        <w:t>b</w:t>
      </w:r>
      <w:r w:rsidRPr="009D48A5">
        <w:rPr>
          <w:rFonts w:hint="eastAsia"/>
        </w:rPr>
        <w:t>)</w:t>
      </w:r>
      <w:r w:rsidRPr="009D48A5">
        <w:rPr>
          <w:rFonts w:hint="eastAsia"/>
        </w:rPr>
        <w:t>项，这一款后来成为《维也纳公约》的</w:t>
      </w:r>
      <w:r w:rsidRPr="009D48A5">
        <w:rPr>
          <w:rFonts w:hint="eastAsia"/>
          <w:lang w:val="zh-CN"/>
        </w:rPr>
        <w:t>第三十一</w:t>
      </w:r>
      <w:r w:rsidRPr="009D48A5">
        <w:rPr>
          <w:rFonts w:hint="eastAsia"/>
        </w:rPr>
        <w:t>条第三款</w:t>
      </w:r>
      <w:r w:rsidRPr="009D48A5">
        <w:rPr>
          <w:rFonts w:hint="eastAsia"/>
        </w:rPr>
        <w:t>(</w:t>
      </w:r>
      <w:r w:rsidRPr="009D48A5">
        <w:t>b</w:t>
      </w:r>
      <w:r w:rsidRPr="009D48A5">
        <w:rPr>
          <w:rFonts w:hint="eastAsia"/>
        </w:rPr>
        <w:t>)</w:t>
      </w:r>
      <w:r w:rsidRPr="009D48A5">
        <w:rPr>
          <w:rFonts w:hint="eastAsia"/>
        </w:rPr>
        <w:t>项，其中的“谅解”一词，在《维也纳公约》中改为“协定”。这个修改“只是一个起草问题”，见《联合国条约法会议正式记录，第一届会议，维也纳，</w:t>
      </w:r>
      <w:r w:rsidRPr="009D48A5">
        <w:t>19</w:t>
      </w:r>
      <w:r w:rsidRPr="009D48A5">
        <w:rPr>
          <w:rFonts w:hint="eastAsia"/>
        </w:rPr>
        <w:t>6</w:t>
      </w:r>
      <w:r w:rsidRPr="009D48A5">
        <w:t>8</w:t>
      </w:r>
      <w:r w:rsidRPr="009D48A5">
        <w:rPr>
          <w:rFonts w:hint="eastAsia"/>
        </w:rPr>
        <w:t>年</w:t>
      </w:r>
      <w:r w:rsidRPr="009D48A5">
        <w:t>3</w:t>
      </w:r>
      <w:r w:rsidRPr="009D48A5">
        <w:rPr>
          <w:rFonts w:hint="eastAsia"/>
        </w:rPr>
        <w:t>月</w:t>
      </w:r>
      <w:r w:rsidRPr="009D48A5">
        <w:t>26</w:t>
      </w:r>
      <w:r w:rsidRPr="009D48A5">
        <w:rPr>
          <w:rFonts w:hint="eastAsia"/>
        </w:rPr>
        <w:t>日至</w:t>
      </w:r>
      <w:r w:rsidRPr="009D48A5">
        <w:t>5</w:t>
      </w:r>
      <w:r w:rsidRPr="009D48A5">
        <w:rPr>
          <w:rFonts w:hint="eastAsia"/>
        </w:rPr>
        <w:t>月</w:t>
      </w:r>
      <w:r w:rsidRPr="009D48A5">
        <w:t>24</w:t>
      </w:r>
      <w:r w:rsidRPr="009D48A5">
        <w:rPr>
          <w:rFonts w:hint="eastAsia"/>
        </w:rPr>
        <w:t>日》</w:t>
      </w:r>
      <w:r w:rsidRPr="009D48A5">
        <w:rPr>
          <w:rFonts w:hint="eastAsia"/>
        </w:rPr>
        <w:t>(</w:t>
      </w:r>
      <w:r w:rsidRPr="009D48A5">
        <w:t xml:space="preserve">A/CONF.39/11, </w:t>
      </w:r>
      <w:r w:rsidRPr="009D48A5">
        <w:rPr>
          <w:rFonts w:hint="eastAsia"/>
        </w:rPr>
        <w:t>出售品编号</w:t>
      </w:r>
      <w:r w:rsidRPr="009D48A5">
        <w:t>E.68.V.7</w:t>
      </w:r>
      <w:r w:rsidRPr="009D48A5">
        <w:rPr>
          <w:rFonts w:hint="eastAsia"/>
        </w:rPr>
        <w:t>)</w:t>
      </w:r>
      <w:r w:rsidRPr="009D48A5">
        <w:rPr>
          <w:rFonts w:hint="eastAsia"/>
        </w:rPr>
        <w:t>，第</w:t>
      </w:r>
      <w:r w:rsidRPr="009D48A5">
        <w:t>169</w:t>
      </w:r>
      <w:r w:rsidRPr="009D48A5">
        <w:rPr>
          <w:rFonts w:hint="eastAsia"/>
        </w:rPr>
        <w:t>页</w:t>
      </w:r>
      <w:r w:rsidRPr="009D48A5">
        <w:t>；</w:t>
      </w:r>
      <w:r w:rsidRPr="009D48A5">
        <w:t>Fox,</w:t>
      </w:r>
      <w:r w:rsidRPr="009D48A5">
        <w:rPr>
          <w:rFonts w:hint="eastAsia"/>
        </w:rPr>
        <w:t>“……第三十一条第三款</w:t>
      </w:r>
      <w:r w:rsidRPr="009D48A5">
        <w:rPr>
          <w:rFonts w:hint="eastAsia"/>
        </w:rPr>
        <w:t>(a)</w:t>
      </w:r>
      <w:r w:rsidRPr="009D48A5">
        <w:rPr>
          <w:rFonts w:hint="eastAsia"/>
        </w:rPr>
        <w:t>项和</w:t>
      </w:r>
      <w:r w:rsidRPr="009D48A5">
        <w:rPr>
          <w:rFonts w:hint="eastAsia"/>
        </w:rPr>
        <w:t>(b)</w:t>
      </w:r>
      <w:r w:rsidRPr="009D48A5">
        <w:rPr>
          <w:rFonts w:hint="eastAsia"/>
        </w:rPr>
        <w:t>项……”</w:t>
      </w:r>
      <w:r w:rsidRPr="009D48A5">
        <w:rPr>
          <w:rFonts w:hint="eastAsia"/>
        </w:rPr>
        <w:t>(</w:t>
      </w:r>
      <w:r w:rsidRPr="009D48A5">
        <w:rPr>
          <w:rFonts w:hint="eastAsia"/>
        </w:rPr>
        <w:t>见</w:t>
      </w:r>
      <w:r>
        <w:rPr>
          <w:rFonts w:hint="eastAsia"/>
        </w:rPr>
        <w:t>上文脚注</w:t>
      </w:r>
      <w:r>
        <w:rPr>
          <w:lang w:val="fr-FR"/>
        </w:rPr>
        <w:fldChar w:fldCharType="begin"/>
      </w:r>
      <w:r>
        <w:rPr>
          <w:lang w:val="fr-FR"/>
        </w:rPr>
        <w:instrText xml:space="preserve"> NOTEREF _Ref461973900 \h </w:instrText>
      </w:r>
      <w:r>
        <w:rPr>
          <w:lang w:val="fr-FR"/>
        </w:rPr>
      </w:r>
      <w:r>
        <w:rPr>
          <w:lang w:val="fr-FR"/>
        </w:rPr>
        <w:fldChar w:fldCharType="separate"/>
      </w:r>
      <w:r w:rsidR="00A73EB9">
        <w:rPr>
          <w:lang w:val="fr-FR"/>
        </w:rPr>
        <w:t>440</w:t>
      </w:r>
      <w:r>
        <w:rPr>
          <w:lang w:val="fr-FR"/>
        </w:rPr>
        <w:fldChar w:fldCharType="end"/>
      </w:r>
      <w:r w:rsidRPr="009D48A5">
        <w:rPr>
          <w:rFonts w:hint="eastAsia"/>
        </w:rPr>
        <w:t>)</w:t>
      </w:r>
      <w:r w:rsidRPr="009D48A5">
        <w:rPr>
          <w:rFonts w:hint="eastAsia"/>
        </w:rPr>
        <w:t>，第</w:t>
      </w:r>
      <w:r w:rsidRPr="009D48A5">
        <w:t>63</w:t>
      </w:r>
      <w:r w:rsidRPr="009D48A5">
        <w:rPr>
          <w:rFonts w:hint="eastAsia"/>
        </w:rPr>
        <w:t>页。</w:t>
      </w:r>
    </w:p>
  </w:footnote>
  <w:footnote w:id="470">
    <w:p w:rsidR="00AB00DE" w:rsidRPr="009D48A5" w:rsidRDefault="00AB00DE" w:rsidP="00B81C40">
      <w:pPr>
        <w:pStyle w:val="a4"/>
        <w:spacing w:after="80"/>
      </w:pPr>
      <w:r w:rsidRPr="009D48A5">
        <w:rPr>
          <w:rFonts w:hint="eastAsia"/>
        </w:rPr>
        <w:tab/>
      </w:r>
      <w:r w:rsidRPr="00DF5565">
        <w:rPr>
          <w:rStyle w:val="a5"/>
          <w:szCs w:val="22"/>
        </w:rPr>
        <w:footnoteRef/>
      </w:r>
      <w:r w:rsidRPr="009D48A5">
        <w:rPr>
          <w:rFonts w:hint="eastAsia"/>
        </w:rPr>
        <w:tab/>
      </w:r>
      <w:r w:rsidRPr="009D48A5">
        <w:rPr>
          <w:rFonts w:hint="eastAsia"/>
        </w:rPr>
        <w:t>见</w:t>
      </w:r>
      <w:r w:rsidRPr="009D48A5">
        <w:rPr>
          <w:rFonts w:ascii="Time New Roman" w:eastAsia="楷体" w:hAnsi="Time New Roman" w:hint="eastAsia"/>
        </w:rPr>
        <w:t>领土争端案</w:t>
      </w:r>
      <w:r w:rsidRPr="009D48A5">
        <w:rPr>
          <w:rFonts w:hint="eastAsia"/>
        </w:rPr>
        <w:t>(</w:t>
      </w:r>
      <w:r w:rsidRPr="009D48A5">
        <w:rPr>
          <w:rFonts w:hint="eastAsia"/>
        </w:rPr>
        <w:t>见</w:t>
      </w:r>
      <w:r>
        <w:rPr>
          <w:rFonts w:hint="eastAsia"/>
        </w:rPr>
        <w:t>上文脚注</w:t>
      </w:r>
      <w:r>
        <w:rPr>
          <w:lang w:val="zh-CN"/>
        </w:rPr>
        <w:fldChar w:fldCharType="begin"/>
      </w:r>
      <w:r>
        <w:rPr>
          <w:lang w:val="zh-CN"/>
        </w:rPr>
        <w:instrText xml:space="preserve"> NOTEREF _Ref461971066 \h </w:instrText>
      </w:r>
      <w:r>
        <w:rPr>
          <w:lang w:val="zh-CN"/>
        </w:rPr>
      </w:r>
      <w:r>
        <w:rPr>
          <w:lang w:val="zh-CN"/>
        </w:rPr>
        <w:fldChar w:fldCharType="separate"/>
      </w:r>
      <w:r w:rsidR="00A73EB9">
        <w:rPr>
          <w:lang w:val="zh-CN"/>
        </w:rPr>
        <w:t>395</w:t>
      </w:r>
      <w:r>
        <w:rPr>
          <w:lang w:val="zh-CN"/>
        </w:rPr>
        <w:fldChar w:fldCharType="end"/>
      </w:r>
      <w:r>
        <w:rPr>
          <w:rFonts w:hint="eastAsia"/>
        </w:rPr>
        <w:t>)</w:t>
      </w:r>
      <w:r w:rsidRPr="009D48A5">
        <w:rPr>
          <w:rFonts w:hint="eastAsia"/>
        </w:rPr>
        <w:t>，第</w:t>
      </w:r>
      <w:r w:rsidRPr="009D48A5">
        <w:t>6</w:t>
      </w:r>
      <w:r w:rsidRPr="009D48A5">
        <w:rPr>
          <w:rFonts w:hint="eastAsia"/>
        </w:rPr>
        <w:t>页起，见第</w:t>
      </w:r>
      <w:r w:rsidRPr="009D48A5">
        <w:t>34</w:t>
      </w:r>
      <w:r w:rsidRPr="009D48A5">
        <w:rPr>
          <w:rFonts w:hint="eastAsia"/>
        </w:rPr>
        <w:t>页及以下各页，第</w:t>
      </w:r>
      <w:r w:rsidRPr="009D48A5">
        <w:t>66</w:t>
      </w:r>
      <w:r w:rsidRPr="009D48A5">
        <w:rPr>
          <w:rFonts w:hint="eastAsia"/>
        </w:rPr>
        <w:t>段及以下各段。</w:t>
      </w:r>
    </w:p>
  </w:footnote>
  <w:footnote w:id="471">
    <w:p w:rsidR="00AB00DE" w:rsidRPr="009D48A5" w:rsidRDefault="00AB00DE" w:rsidP="00B81C40">
      <w:pPr>
        <w:pStyle w:val="a4"/>
        <w:spacing w:after="80"/>
      </w:pPr>
      <w:r w:rsidRPr="009D48A5">
        <w:rPr>
          <w:rFonts w:hint="eastAsia"/>
        </w:rPr>
        <w:tab/>
      </w:r>
      <w:r w:rsidRPr="00DF5565">
        <w:rPr>
          <w:rStyle w:val="a5"/>
          <w:szCs w:val="22"/>
        </w:rPr>
        <w:footnoteRef/>
      </w:r>
      <w:r w:rsidRPr="009D48A5">
        <w:rPr>
          <w:rFonts w:hint="eastAsia"/>
        </w:rPr>
        <w:tab/>
      </w:r>
      <w:r w:rsidRPr="009D48A5">
        <w:rPr>
          <w:rFonts w:ascii="Time New Roman" w:eastAsia="楷体" w:hAnsi="Time New Roman" w:hint="eastAsia"/>
        </w:rPr>
        <w:t>利吉丹岛和西巴丹岛的主权归属案</w:t>
      </w:r>
      <w:r w:rsidRPr="009D48A5">
        <w:rPr>
          <w:rFonts w:hint="eastAsia"/>
        </w:rPr>
        <w:t>(</w:t>
      </w:r>
      <w:r w:rsidRPr="009D48A5">
        <w:rPr>
          <w:rFonts w:hint="eastAsia"/>
        </w:rPr>
        <w:t>见</w:t>
      </w:r>
      <w:r>
        <w:rPr>
          <w:rFonts w:hint="eastAsia"/>
        </w:rPr>
        <w:t>上文脚注</w:t>
      </w:r>
      <w:r>
        <w:rPr>
          <w:lang w:val="zh-CN"/>
        </w:rPr>
        <w:fldChar w:fldCharType="begin"/>
      </w:r>
      <w:r>
        <w:rPr>
          <w:lang w:val="zh-CN"/>
        </w:rPr>
        <w:instrText xml:space="preserve"> NOTEREF _Ref461971066 \h </w:instrText>
      </w:r>
      <w:r>
        <w:rPr>
          <w:lang w:val="zh-CN"/>
        </w:rPr>
      </w:r>
      <w:r>
        <w:rPr>
          <w:lang w:val="zh-CN"/>
        </w:rPr>
        <w:fldChar w:fldCharType="separate"/>
      </w:r>
      <w:r w:rsidR="00A73EB9">
        <w:rPr>
          <w:lang w:val="zh-CN"/>
        </w:rPr>
        <w:t>395</w:t>
      </w:r>
      <w:r>
        <w:rPr>
          <w:lang w:val="zh-CN"/>
        </w:rPr>
        <w:fldChar w:fldCharType="end"/>
      </w:r>
      <w:r>
        <w:rPr>
          <w:rFonts w:hint="eastAsia"/>
        </w:rPr>
        <w:t>)</w:t>
      </w:r>
      <w:r w:rsidRPr="009D48A5">
        <w:rPr>
          <w:rFonts w:hint="eastAsia"/>
        </w:rPr>
        <w:t>，第</w:t>
      </w:r>
      <w:r w:rsidRPr="009D48A5">
        <w:t>625</w:t>
      </w:r>
      <w:r w:rsidRPr="009D48A5">
        <w:rPr>
          <w:rFonts w:hint="eastAsia"/>
        </w:rPr>
        <w:t>页起</w:t>
      </w:r>
      <w:r w:rsidRPr="009D48A5">
        <w:t>，第</w:t>
      </w:r>
      <w:r w:rsidRPr="009D48A5">
        <w:t>61</w:t>
      </w:r>
      <w:r w:rsidRPr="009D48A5">
        <w:t>段；</w:t>
      </w:r>
      <w:r w:rsidRPr="009D48A5">
        <w:rPr>
          <w:rFonts w:hint="eastAsia"/>
        </w:rPr>
        <w:t>在</w:t>
      </w:r>
      <w:r w:rsidRPr="009D48A5">
        <w:rPr>
          <w:rFonts w:ascii="Time New Roman" w:eastAsia="楷体" w:hAnsi="Time New Roman"/>
        </w:rPr>
        <w:t>加布奇科沃－大毛罗斯</w:t>
      </w:r>
      <w:r w:rsidRPr="009D48A5">
        <w:rPr>
          <w:rFonts w:ascii="Time New Roman" w:eastAsia="楷体" w:hAnsi="Time New Roman" w:hint="eastAsia"/>
        </w:rPr>
        <w:t>案</w:t>
      </w:r>
      <w:r w:rsidRPr="009D48A5">
        <w:rPr>
          <w:rFonts w:hint="eastAsia"/>
        </w:rPr>
        <w:t>中，</w:t>
      </w:r>
      <w:r w:rsidRPr="009D48A5">
        <w:rPr>
          <w:rFonts w:hint="eastAsia"/>
          <w:lang w:val="zh-CN"/>
        </w:rPr>
        <w:t>法院讲到</w:t>
      </w:r>
      <w:r w:rsidRPr="009D48A5">
        <w:rPr>
          <w:rFonts w:hint="eastAsia"/>
        </w:rPr>
        <w:t>“</w:t>
      </w:r>
      <w:r w:rsidRPr="009D48A5">
        <w:rPr>
          <w:rFonts w:hint="eastAsia"/>
          <w:lang w:val="zh-CN"/>
        </w:rPr>
        <w:t>嗣后立场</w:t>
      </w:r>
      <w:r w:rsidRPr="009D48A5">
        <w:rPr>
          <w:rFonts w:hint="eastAsia"/>
        </w:rPr>
        <w:t>”，</w:t>
      </w:r>
      <w:r w:rsidRPr="009D48A5">
        <w:rPr>
          <w:rFonts w:hint="eastAsia"/>
          <w:lang w:val="zh-CN"/>
        </w:rPr>
        <w:t>以便确定</w:t>
      </w:r>
      <w:r w:rsidRPr="009D48A5">
        <w:rPr>
          <w:rFonts w:hint="eastAsia"/>
        </w:rPr>
        <w:t>“</w:t>
      </w:r>
      <w:r w:rsidRPr="009D48A5">
        <w:rPr>
          <w:rFonts w:hint="eastAsia"/>
          <w:lang w:val="zh-CN"/>
        </w:rPr>
        <w:t>因此</w:t>
      </w:r>
      <w:r w:rsidRPr="009D48A5">
        <w:rPr>
          <w:rFonts w:hint="eastAsia"/>
        </w:rPr>
        <w:t>，</w:t>
      </w:r>
      <w:r w:rsidRPr="009D48A5">
        <w:rPr>
          <w:rFonts w:hint="eastAsia"/>
          <w:lang w:val="zh-CN"/>
        </w:rPr>
        <w:t>条约本身的明确措辞表明</w:t>
      </w:r>
      <w:r w:rsidRPr="009D48A5">
        <w:rPr>
          <w:rFonts w:hint="eastAsia"/>
        </w:rPr>
        <w:t>，</w:t>
      </w:r>
      <w:r w:rsidRPr="009D48A5">
        <w:rPr>
          <w:rFonts w:hint="eastAsia"/>
          <w:lang w:val="zh-CN"/>
        </w:rPr>
        <w:t>缔约方实际上承认是可以谈判的</w:t>
      </w:r>
      <w:r w:rsidRPr="009D48A5">
        <w:rPr>
          <w:rFonts w:hint="eastAsia"/>
        </w:rPr>
        <w:t>”，</w:t>
      </w:r>
      <w:r w:rsidRPr="009D48A5">
        <w:t>加布奇科沃－大毛罗斯</w:t>
      </w:r>
      <w:r w:rsidRPr="009D48A5">
        <w:rPr>
          <w:rFonts w:hint="eastAsia"/>
        </w:rPr>
        <w:t>项目案</w:t>
      </w:r>
      <w:r w:rsidRPr="009D48A5">
        <w:t>(</w:t>
      </w:r>
      <w:r w:rsidRPr="009D48A5">
        <w:rPr>
          <w:rFonts w:hint="eastAsia"/>
        </w:rPr>
        <w:t>匈牙利诉斯洛伐克</w:t>
      </w:r>
      <w:r w:rsidRPr="009D48A5">
        <w:t>)</w:t>
      </w:r>
      <w:r w:rsidRPr="009D48A5">
        <w:t>，</w:t>
      </w:r>
      <w:r w:rsidRPr="009D48A5">
        <w:rPr>
          <w:rFonts w:hint="eastAsia"/>
        </w:rPr>
        <w:t>判决</w:t>
      </w:r>
      <w:r w:rsidRPr="009D48A5">
        <w:t>，</w:t>
      </w:r>
      <w:r w:rsidRPr="009D48A5">
        <w:rPr>
          <w:rFonts w:hint="eastAsia"/>
        </w:rPr>
        <w:t>《</w:t>
      </w:r>
      <w:r w:rsidRPr="009D48A5">
        <w:rPr>
          <w:rFonts w:hint="eastAsia"/>
        </w:rPr>
        <w:t>1997</w:t>
      </w:r>
      <w:r w:rsidRPr="009D48A5">
        <w:rPr>
          <w:rFonts w:hint="eastAsia"/>
        </w:rPr>
        <w:t>年国际法院案例汇编》，第</w:t>
      </w:r>
      <w:r w:rsidRPr="009D48A5">
        <w:t>7</w:t>
      </w:r>
      <w:r w:rsidRPr="009D48A5">
        <w:rPr>
          <w:rFonts w:hint="eastAsia"/>
        </w:rPr>
        <w:t>页起，见第</w:t>
      </w:r>
      <w:r w:rsidRPr="009D48A5">
        <w:t>77</w:t>
      </w:r>
      <w:r w:rsidRPr="009D48A5">
        <w:rPr>
          <w:rFonts w:hint="eastAsia"/>
        </w:rPr>
        <w:t>页，</w:t>
      </w:r>
      <w:r w:rsidRPr="009D48A5">
        <w:t>第</w:t>
      </w:r>
      <w:r w:rsidRPr="009D48A5">
        <w:t>138</w:t>
      </w:r>
      <w:r w:rsidRPr="009D48A5">
        <w:t>段，</w:t>
      </w:r>
      <w:r w:rsidRPr="009D48A5">
        <w:rPr>
          <w:rFonts w:hint="eastAsia"/>
        </w:rPr>
        <w:t>另</w:t>
      </w:r>
      <w:r w:rsidRPr="009D48A5">
        <w:t>见</w:t>
      </w:r>
      <w:r w:rsidRPr="009D48A5">
        <w:rPr>
          <w:rFonts w:ascii="Time New Roman" w:eastAsia="楷体" w:hAnsi="Time New Roman" w:hint="eastAsia"/>
        </w:rPr>
        <w:t>卡塔尔和巴林之间的海洋划界和领土问题案</w:t>
      </w:r>
      <w:r w:rsidRPr="009D48A5">
        <w:rPr>
          <w:rFonts w:ascii="Time New Roman" w:eastAsia="楷体" w:hAnsi="Time New Roman"/>
        </w:rPr>
        <w:t>，</w:t>
      </w:r>
      <w:r w:rsidRPr="009D48A5">
        <w:rPr>
          <w:rFonts w:ascii="Time New Roman" w:eastAsia="楷体" w:hAnsi="Time New Roman" w:hint="eastAsia"/>
        </w:rPr>
        <w:t>判决</w:t>
      </w:r>
      <w:r w:rsidRPr="009D48A5">
        <w:rPr>
          <w:rFonts w:ascii="Time New Roman" w:eastAsia="楷体" w:hAnsi="Time New Roman"/>
        </w:rPr>
        <w:t>(</w:t>
      </w:r>
      <w:r w:rsidRPr="009D48A5">
        <w:rPr>
          <w:rFonts w:ascii="Time New Roman" w:eastAsia="楷体" w:hAnsi="Time New Roman" w:hint="eastAsia"/>
        </w:rPr>
        <w:t>管辖权和可否受理</w:t>
      </w:r>
      <w:r w:rsidRPr="009D48A5">
        <w:t>)</w:t>
      </w:r>
      <w:r w:rsidRPr="009D48A5">
        <w:t>，</w:t>
      </w:r>
      <w:r w:rsidRPr="009D48A5">
        <w:rPr>
          <w:rFonts w:hint="eastAsia"/>
        </w:rPr>
        <w:t>《</w:t>
      </w:r>
      <w:r w:rsidRPr="009D48A5">
        <w:rPr>
          <w:rFonts w:hint="eastAsia"/>
        </w:rPr>
        <w:t>1995</w:t>
      </w:r>
      <w:r w:rsidRPr="009D48A5">
        <w:rPr>
          <w:rFonts w:hint="eastAsia"/>
        </w:rPr>
        <w:t>年国际法院案例汇编》，第</w:t>
      </w:r>
      <w:r w:rsidRPr="009D48A5">
        <w:t>6</w:t>
      </w:r>
      <w:r w:rsidRPr="009D48A5">
        <w:rPr>
          <w:rFonts w:hint="eastAsia"/>
        </w:rPr>
        <w:t>页起，见第</w:t>
      </w:r>
      <w:r w:rsidRPr="009D48A5">
        <w:t>1</w:t>
      </w:r>
      <w:r w:rsidRPr="009D48A5">
        <w:rPr>
          <w:rFonts w:hint="eastAsia"/>
        </w:rPr>
        <w:t>6</w:t>
      </w:r>
      <w:r w:rsidRPr="009D48A5">
        <w:rPr>
          <w:rFonts w:hint="eastAsia"/>
        </w:rPr>
        <w:t>页，</w:t>
      </w:r>
      <w:r w:rsidRPr="009D48A5">
        <w:t>第</w:t>
      </w:r>
      <w:r w:rsidRPr="009D48A5">
        <w:t>28</w:t>
      </w:r>
      <w:r w:rsidRPr="009D48A5">
        <w:t>段</w:t>
      </w:r>
      <w:r w:rsidRPr="009D48A5">
        <w:t>(</w:t>
      </w:r>
      <w:r w:rsidRPr="009D48A5">
        <w:rPr>
          <w:rFonts w:hint="eastAsia"/>
        </w:rPr>
        <w:t>‘嗣后行为’</w:t>
      </w:r>
      <w:r w:rsidRPr="009D48A5">
        <w:t>)</w:t>
      </w:r>
      <w:r w:rsidRPr="009D48A5">
        <w:rPr>
          <w:rFonts w:hint="eastAsia"/>
        </w:rPr>
        <w:t>。</w:t>
      </w:r>
    </w:p>
  </w:footnote>
  <w:footnote w:id="472">
    <w:p w:rsidR="00AB00DE" w:rsidRPr="009D48A5" w:rsidRDefault="00AB00DE" w:rsidP="00B44972">
      <w:pPr>
        <w:pStyle w:val="a4"/>
        <w:spacing w:after="80"/>
      </w:pPr>
      <w:r w:rsidRPr="009D48A5">
        <w:rPr>
          <w:rFonts w:hint="eastAsia"/>
        </w:rPr>
        <w:tab/>
      </w:r>
      <w:r w:rsidRPr="00DF5565">
        <w:rPr>
          <w:rStyle w:val="a5"/>
          <w:szCs w:val="22"/>
        </w:rPr>
        <w:footnoteRef/>
      </w:r>
      <w:r w:rsidRPr="009D48A5">
        <w:rPr>
          <w:rFonts w:hint="eastAsia"/>
        </w:rPr>
        <w:tab/>
      </w:r>
      <w:r w:rsidRPr="009D48A5">
        <w:rPr>
          <w:rFonts w:hint="eastAsia"/>
        </w:rPr>
        <w:t>见</w:t>
      </w:r>
      <w:r w:rsidRPr="009D48A5">
        <w:t>世贸组织专家组报告</w:t>
      </w:r>
      <w:r w:rsidRPr="009D48A5">
        <w:rPr>
          <w:rFonts w:hint="eastAsia"/>
        </w:rPr>
        <w:t>中的“具体承诺表指南”</w:t>
      </w:r>
      <w:r w:rsidRPr="009D48A5">
        <w:t>，</w:t>
      </w:r>
      <w:r w:rsidRPr="009D48A5">
        <w:rPr>
          <w:rFonts w:ascii="Time New Roman" w:eastAsia="楷体" w:hAnsi="Time New Roman" w:hint="eastAsia"/>
        </w:rPr>
        <w:t>墨西哥－影响电信服务的措施案</w:t>
      </w:r>
      <w:r w:rsidRPr="009D48A5">
        <w:rPr>
          <w:rFonts w:hint="eastAsia"/>
        </w:rPr>
        <w:t>，</w:t>
      </w:r>
      <w:r w:rsidRPr="009D48A5">
        <w:t xml:space="preserve">WT/DS204/R, </w:t>
      </w:r>
      <w:r w:rsidRPr="009D48A5">
        <w:rPr>
          <w:rFonts w:hint="eastAsia"/>
        </w:rPr>
        <w:t>2004</w:t>
      </w:r>
      <w:r w:rsidRPr="009D48A5">
        <w:rPr>
          <w:rFonts w:hint="eastAsia"/>
        </w:rPr>
        <w:t>年</w:t>
      </w:r>
      <w:r w:rsidRPr="009D48A5">
        <w:rPr>
          <w:rFonts w:hint="eastAsia"/>
        </w:rPr>
        <w:t>6</w:t>
      </w:r>
      <w:r w:rsidRPr="009D48A5">
        <w:rPr>
          <w:rFonts w:hint="eastAsia"/>
        </w:rPr>
        <w:t>月</w:t>
      </w:r>
      <w:r w:rsidRPr="009D48A5">
        <w:rPr>
          <w:rFonts w:hint="eastAsia"/>
        </w:rPr>
        <w:t>1</w:t>
      </w:r>
      <w:r w:rsidRPr="009D48A5">
        <w:rPr>
          <w:rFonts w:hint="eastAsia"/>
        </w:rPr>
        <w:t>日通过，以及</w:t>
      </w:r>
      <w:r w:rsidRPr="009D48A5">
        <w:t>世贸组织上诉机构报告</w:t>
      </w:r>
      <w:r w:rsidRPr="009D48A5">
        <w:rPr>
          <w:rFonts w:hint="eastAsia"/>
        </w:rPr>
        <w:t>中的“具体承诺表指南”</w:t>
      </w:r>
      <w:r w:rsidRPr="009D48A5">
        <w:t>，</w:t>
      </w:r>
      <w:r w:rsidRPr="009D48A5">
        <w:rPr>
          <w:rFonts w:ascii="Time New Roman" w:eastAsia="楷体" w:hAnsi="Time New Roman" w:hint="eastAsia"/>
        </w:rPr>
        <w:t>美国－影响跨界提供赌博服务的措施案</w:t>
      </w:r>
      <w:r w:rsidRPr="009D48A5">
        <w:t>，</w:t>
      </w:r>
      <w:r w:rsidRPr="009D48A5">
        <w:t>WT/DS285/AB/R</w:t>
      </w:r>
      <w:r w:rsidRPr="009D48A5">
        <w:rPr>
          <w:rFonts w:hint="eastAsia"/>
        </w:rPr>
        <w:t>和</w:t>
      </w:r>
      <w:r w:rsidRPr="009D48A5">
        <w:rPr>
          <w:rFonts w:hint="eastAsia"/>
        </w:rPr>
        <w:t>Corr.1, 2005</w:t>
      </w:r>
      <w:r w:rsidRPr="009D48A5">
        <w:rPr>
          <w:rFonts w:hint="eastAsia"/>
        </w:rPr>
        <w:t>年</w:t>
      </w:r>
      <w:r w:rsidRPr="009D48A5">
        <w:rPr>
          <w:rFonts w:hint="eastAsia"/>
        </w:rPr>
        <w:t>4</w:t>
      </w:r>
      <w:r w:rsidRPr="009D48A5">
        <w:rPr>
          <w:rFonts w:hint="eastAsia"/>
        </w:rPr>
        <w:t>月</w:t>
      </w:r>
      <w:r w:rsidRPr="009D48A5">
        <w:rPr>
          <w:rFonts w:hint="eastAsia"/>
        </w:rPr>
        <w:t>20</w:t>
      </w:r>
      <w:r w:rsidRPr="009D48A5">
        <w:rPr>
          <w:rFonts w:hint="eastAsia"/>
        </w:rPr>
        <w:t>日通过；对</w:t>
      </w:r>
      <w:r w:rsidRPr="009D48A5">
        <w:t>世贸组织专家组报告</w:t>
      </w:r>
      <w:r w:rsidRPr="009D48A5">
        <w:rPr>
          <w:rFonts w:hint="eastAsia"/>
        </w:rPr>
        <w:t>中“</w:t>
      </w:r>
      <w:r w:rsidRPr="009D48A5">
        <w:rPr>
          <w:rFonts w:hint="eastAsia"/>
        </w:rPr>
        <w:t>1981</w:t>
      </w:r>
      <w:r w:rsidRPr="009D48A5">
        <w:rPr>
          <w:rFonts w:hint="eastAsia"/>
        </w:rPr>
        <w:t>年谅解”的定性</w:t>
      </w:r>
      <w:r w:rsidRPr="009D48A5">
        <w:t>，</w:t>
      </w:r>
      <w:r w:rsidRPr="009D48A5">
        <w:rPr>
          <w:rFonts w:ascii="Time New Roman" w:eastAsia="楷体" w:hAnsi="Time New Roman" w:hint="eastAsia"/>
        </w:rPr>
        <w:t>美国－“外国销售公司”的税务待遇案</w:t>
      </w:r>
      <w:r w:rsidRPr="009D48A5">
        <w:rPr>
          <w:rFonts w:hint="eastAsia"/>
        </w:rPr>
        <w:t>，</w:t>
      </w:r>
      <w:r w:rsidRPr="009D48A5">
        <w:t xml:space="preserve">WT/DS108/R, </w:t>
      </w:r>
      <w:r w:rsidRPr="009D48A5">
        <w:rPr>
          <w:rFonts w:hint="eastAsia"/>
        </w:rPr>
        <w:t>2000</w:t>
      </w:r>
      <w:r w:rsidRPr="009D48A5">
        <w:rPr>
          <w:rFonts w:hint="eastAsia"/>
        </w:rPr>
        <w:t>年</w:t>
      </w:r>
      <w:r w:rsidRPr="009D48A5">
        <w:rPr>
          <w:rFonts w:hint="eastAsia"/>
        </w:rPr>
        <w:t>3</w:t>
      </w:r>
      <w:r w:rsidRPr="009D48A5">
        <w:rPr>
          <w:rFonts w:hint="eastAsia"/>
        </w:rPr>
        <w:t>月</w:t>
      </w:r>
      <w:r w:rsidRPr="009D48A5">
        <w:rPr>
          <w:rFonts w:hint="eastAsia"/>
        </w:rPr>
        <w:t>20</w:t>
      </w:r>
      <w:r w:rsidRPr="009D48A5">
        <w:rPr>
          <w:rFonts w:hint="eastAsia"/>
        </w:rPr>
        <w:t>日通过</w:t>
      </w:r>
      <w:r w:rsidRPr="009D48A5">
        <w:t>；世贸组织专家组报告</w:t>
      </w:r>
      <w:r w:rsidRPr="009D48A5">
        <w:rPr>
          <w:rFonts w:hint="eastAsia"/>
        </w:rPr>
        <w:t>中的“东京回合补贴和反补贴协定”</w:t>
      </w:r>
      <w:r w:rsidRPr="009D48A5">
        <w:t>，</w:t>
      </w:r>
      <w:r w:rsidRPr="009D48A5">
        <w:rPr>
          <w:rFonts w:ascii="Time New Roman" w:eastAsia="楷体" w:hAnsi="Time New Roman" w:hint="eastAsia"/>
        </w:rPr>
        <w:t>巴西－影响</w:t>
      </w:r>
      <w:r w:rsidRPr="009D48A5">
        <w:rPr>
          <w:rFonts w:ascii="Time New Roman" w:eastAsia="楷体" w:hAnsi="Time New Roman"/>
        </w:rPr>
        <w:t>椰子粉</w:t>
      </w:r>
      <w:r w:rsidRPr="009D48A5">
        <w:rPr>
          <w:rFonts w:ascii="Time New Roman" w:eastAsia="楷体" w:hAnsi="Time New Roman" w:hint="eastAsia"/>
        </w:rPr>
        <w:t>的措施案</w:t>
      </w:r>
      <w:r w:rsidRPr="009D48A5">
        <w:rPr>
          <w:rFonts w:hint="eastAsia"/>
        </w:rPr>
        <w:t>，</w:t>
      </w:r>
      <w:r w:rsidRPr="009D48A5">
        <w:t xml:space="preserve">WT/DS22/R, </w:t>
      </w:r>
      <w:r w:rsidRPr="009D48A5">
        <w:rPr>
          <w:rFonts w:hint="eastAsia"/>
        </w:rPr>
        <w:t>1997</w:t>
      </w:r>
      <w:r w:rsidRPr="009D48A5">
        <w:rPr>
          <w:rFonts w:hint="eastAsia"/>
        </w:rPr>
        <w:t>年</w:t>
      </w:r>
      <w:r w:rsidRPr="009D48A5">
        <w:rPr>
          <w:rFonts w:hint="eastAsia"/>
        </w:rPr>
        <w:t>3</w:t>
      </w:r>
      <w:r w:rsidRPr="009D48A5">
        <w:rPr>
          <w:rFonts w:hint="eastAsia"/>
        </w:rPr>
        <w:t>月</w:t>
      </w:r>
      <w:r w:rsidRPr="009D48A5">
        <w:rPr>
          <w:rFonts w:hint="eastAsia"/>
        </w:rPr>
        <w:t>20</w:t>
      </w:r>
      <w:r w:rsidRPr="009D48A5">
        <w:rPr>
          <w:rFonts w:hint="eastAsia"/>
        </w:rPr>
        <w:t>日通过，以及</w:t>
      </w:r>
      <w:r w:rsidRPr="009D48A5">
        <w:t>世贸组织上诉机构报告</w:t>
      </w:r>
      <w:r w:rsidRPr="009D48A5">
        <w:rPr>
          <w:rFonts w:hint="eastAsia"/>
        </w:rPr>
        <w:t>中的“放弃”</w:t>
      </w:r>
      <w:r w:rsidRPr="009D48A5">
        <w:t>，</w:t>
      </w:r>
      <w:r w:rsidRPr="009D48A5">
        <w:rPr>
          <w:rFonts w:ascii="Time New Roman" w:eastAsia="楷体" w:hAnsi="Time New Roman" w:hint="eastAsia"/>
        </w:rPr>
        <w:t>欧共体－香蕉案</w:t>
      </w:r>
      <w:r w:rsidRPr="009D48A5">
        <w:rPr>
          <w:rFonts w:ascii="Time New Roman" w:eastAsia="楷体" w:hAnsi="Time New Roman" w:hint="eastAsia"/>
        </w:rPr>
        <w:t>(</w:t>
      </w:r>
      <w:r w:rsidRPr="009D48A5">
        <w:rPr>
          <w:rFonts w:ascii="Time New Roman" w:eastAsia="楷体" w:hAnsi="Time New Roman" w:hint="eastAsia"/>
        </w:rPr>
        <w:t>三</w:t>
      </w:r>
      <w:r w:rsidRPr="009D48A5">
        <w:rPr>
          <w:rFonts w:hint="eastAsia"/>
        </w:rPr>
        <w:t>)(</w:t>
      </w:r>
      <w:r w:rsidRPr="009D48A5">
        <w:rPr>
          <w:rFonts w:hint="eastAsia"/>
        </w:rPr>
        <w:t>见</w:t>
      </w:r>
      <w:r>
        <w:rPr>
          <w:rFonts w:hint="eastAsia"/>
        </w:rPr>
        <w:t>上文脚注</w:t>
      </w:r>
      <w:r>
        <w:fldChar w:fldCharType="begin"/>
      </w:r>
      <w:r>
        <w:instrText xml:space="preserve"> </w:instrText>
      </w:r>
      <w:r>
        <w:rPr>
          <w:rFonts w:hint="eastAsia"/>
        </w:rPr>
        <w:instrText>NOTEREF _Ref461972226 \h</w:instrText>
      </w:r>
      <w:r>
        <w:instrText xml:space="preserve"> </w:instrText>
      </w:r>
      <w:r>
        <w:fldChar w:fldCharType="separate"/>
      </w:r>
      <w:r w:rsidR="00A73EB9">
        <w:t>445</w:t>
      </w:r>
      <w:r>
        <w:fldChar w:fldCharType="end"/>
      </w:r>
      <w:r>
        <w:rPr>
          <w:rFonts w:hint="eastAsia"/>
        </w:rPr>
        <w:t>)</w:t>
      </w:r>
      <w:r w:rsidRPr="009D48A5">
        <w:rPr>
          <w:rFonts w:hint="eastAsia"/>
        </w:rPr>
        <w:t>。</w:t>
      </w:r>
    </w:p>
  </w:footnote>
  <w:footnote w:id="473">
    <w:p w:rsidR="00AB00DE" w:rsidRPr="009D48A5" w:rsidRDefault="00AB00DE" w:rsidP="00267AB1">
      <w:pPr>
        <w:pStyle w:val="a4"/>
        <w:spacing w:after="80"/>
      </w:pPr>
      <w:r w:rsidRPr="009D48A5">
        <w:rPr>
          <w:rFonts w:hint="eastAsia"/>
        </w:rPr>
        <w:tab/>
      </w:r>
      <w:r w:rsidRPr="00DF5565">
        <w:rPr>
          <w:rStyle w:val="a5"/>
          <w:szCs w:val="22"/>
        </w:rPr>
        <w:footnoteRef/>
      </w:r>
      <w:r w:rsidRPr="009D48A5">
        <w:rPr>
          <w:rFonts w:hint="eastAsia"/>
        </w:rPr>
        <w:tab/>
      </w:r>
      <w:r w:rsidRPr="009D48A5">
        <w:t>C</w:t>
      </w:r>
      <w:r w:rsidRPr="009D48A5" w:rsidDel="00276203">
        <w:t>.</w:t>
      </w:r>
      <w:r w:rsidRPr="009D48A5">
        <w:t>C</w:t>
      </w:r>
      <w:r w:rsidRPr="009D48A5" w:rsidDel="00276203">
        <w:t>.</w:t>
      </w:r>
      <w:r w:rsidRPr="009D48A5">
        <w:t>F</w:t>
      </w:r>
      <w:r w:rsidRPr="009D48A5" w:rsidDel="00276203">
        <w:t>.</w:t>
      </w:r>
      <w:r w:rsidRPr="009D48A5">
        <w:t>T</w:t>
      </w:r>
      <w:r w:rsidRPr="009D48A5">
        <w:rPr>
          <w:rFonts w:hint="eastAsia"/>
        </w:rPr>
        <w:t>诉</w:t>
      </w:r>
      <w:r w:rsidRPr="009D48A5">
        <w:rPr>
          <w:rFonts w:ascii="Time New Roman" w:eastAsia="楷体" w:hAnsi="Time New Roman" w:hint="eastAsia"/>
        </w:rPr>
        <w:t>美国案</w:t>
      </w:r>
      <w:r w:rsidRPr="009D48A5">
        <w:t>，国际贸易法委员会</w:t>
      </w:r>
      <w:r w:rsidRPr="009D48A5">
        <w:rPr>
          <w:rFonts w:hint="eastAsia"/>
        </w:rPr>
        <w:t>依照《北美自贸协定》第十一章进行的仲裁，关于管辖权的裁决，</w:t>
      </w:r>
      <w:r w:rsidRPr="009D48A5">
        <w:rPr>
          <w:rFonts w:hint="eastAsia"/>
        </w:rPr>
        <w:t>2008</w:t>
      </w:r>
      <w:r w:rsidRPr="009D48A5">
        <w:rPr>
          <w:rFonts w:hint="eastAsia"/>
        </w:rPr>
        <w:t>年</w:t>
      </w:r>
      <w:r w:rsidRPr="009D48A5">
        <w:rPr>
          <w:rFonts w:hint="eastAsia"/>
        </w:rPr>
        <w:t>1</w:t>
      </w:r>
      <w:r w:rsidRPr="009D48A5">
        <w:rPr>
          <w:rFonts w:hint="eastAsia"/>
        </w:rPr>
        <w:t>月</w:t>
      </w:r>
      <w:r w:rsidRPr="009D48A5">
        <w:rPr>
          <w:rFonts w:hint="eastAsia"/>
        </w:rPr>
        <w:t>28</w:t>
      </w:r>
      <w:r w:rsidRPr="009D48A5">
        <w:rPr>
          <w:rFonts w:hint="eastAsia"/>
        </w:rPr>
        <w:t>日；另见</w:t>
      </w:r>
      <w:r w:rsidRPr="009D48A5">
        <w:rPr>
          <w:bCs/>
        </w:rPr>
        <w:t>Compañía de Aguas del Aconquija S.A.</w:t>
      </w:r>
      <w:r w:rsidRPr="009D48A5">
        <w:rPr>
          <w:rFonts w:ascii="Time New Roman" w:eastAsia="楷体" w:hAnsi="Time New Roman" w:hint="eastAsia"/>
        </w:rPr>
        <w:t>和</w:t>
      </w:r>
      <w:r w:rsidRPr="009D48A5">
        <w:rPr>
          <w:rFonts w:ascii="Time New Roman" w:eastAsia="楷体" w:hAnsi="Time New Roman"/>
        </w:rPr>
        <w:t>Vivendi Universal S.A</w:t>
      </w:r>
      <w:r w:rsidRPr="009D48A5">
        <w:rPr>
          <w:rFonts w:ascii="Time New Roman" w:eastAsia="楷体" w:hAnsi="Time New Roman" w:hint="eastAsia"/>
        </w:rPr>
        <w:t>.</w:t>
      </w:r>
      <w:r w:rsidRPr="009D48A5">
        <w:rPr>
          <w:rFonts w:ascii="Time New Roman" w:eastAsia="楷体" w:hAnsi="Time New Roman" w:hint="eastAsia"/>
        </w:rPr>
        <w:t>诉阿根廷共和国</w:t>
      </w:r>
      <w:r w:rsidRPr="009D48A5">
        <w:rPr>
          <w:rFonts w:hint="eastAsia"/>
          <w:bCs/>
        </w:rPr>
        <w:t>，关于质疑委员会主席的裁决，</w:t>
      </w:r>
      <w:r w:rsidRPr="009D48A5">
        <w:rPr>
          <w:bCs/>
        </w:rPr>
        <w:t>2001</w:t>
      </w:r>
      <w:r w:rsidRPr="009D48A5">
        <w:rPr>
          <w:rFonts w:hint="eastAsia"/>
          <w:bCs/>
        </w:rPr>
        <w:t>年</w:t>
      </w:r>
      <w:r w:rsidRPr="009D48A5">
        <w:rPr>
          <w:rFonts w:hint="eastAsia"/>
          <w:bCs/>
        </w:rPr>
        <w:t>10</w:t>
      </w:r>
      <w:r w:rsidRPr="009D48A5">
        <w:rPr>
          <w:rFonts w:hint="eastAsia"/>
          <w:bCs/>
        </w:rPr>
        <w:t>月</w:t>
      </w:r>
      <w:r w:rsidRPr="009D48A5">
        <w:rPr>
          <w:rFonts w:hint="eastAsia"/>
          <w:bCs/>
        </w:rPr>
        <w:t>3</w:t>
      </w:r>
      <w:r w:rsidRPr="009D48A5">
        <w:rPr>
          <w:rFonts w:hint="eastAsia"/>
          <w:bCs/>
        </w:rPr>
        <w:t>日，</w:t>
      </w:r>
      <w:r w:rsidRPr="009D48A5">
        <w:rPr>
          <w:bCs/>
        </w:rPr>
        <w:t>解决投资争端</w:t>
      </w:r>
      <w:r w:rsidRPr="009D48A5">
        <w:rPr>
          <w:lang w:val="zh-CN"/>
        </w:rPr>
        <w:t>国际</w:t>
      </w:r>
      <w:r w:rsidRPr="009D48A5">
        <w:rPr>
          <w:bCs/>
        </w:rPr>
        <w:t>中心案件编号</w:t>
      </w:r>
      <w:r w:rsidRPr="009D48A5">
        <w:rPr>
          <w:bCs/>
        </w:rPr>
        <w:t xml:space="preserve"> ARB/97/3, </w:t>
      </w:r>
      <w:r w:rsidRPr="009D48A5">
        <w:rPr>
          <w:bCs/>
        </w:rPr>
        <w:t>《</w:t>
      </w:r>
      <w:r w:rsidRPr="009D48A5">
        <w:rPr>
          <w:rFonts w:hint="eastAsia"/>
          <w:bCs/>
        </w:rPr>
        <w:t>2004</w:t>
      </w:r>
      <w:r w:rsidRPr="009D48A5">
        <w:rPr>
          <w:rFonts w:hint="eastAsia"/>
          <w:bCs/>
        </w:rPr>
        <w:t>年</w:t>
      </w:r>
      <w:r w:rsidRPr="009D48A5">
        <w:rPr>
          <w:bCs/>
        </w:rPr>
        <w:t>解决投资争端国际中心案例汇编》</w:t>
      </w:r>
      <w:r w:rsidRPr="009D48A5">
        <w:rPr>
          <w:rFonts w:hint="eastAsia"/>
          <w:bCs/>
        </w:rPr>
        <w:t>，第六卷</w:t>
      </w:r>
      <w:r w:rsidRPr="009D48A5">
        <w:rPr>
          <w:bCs/>
        </w:rPr>
        <w:t>(2004</w:t>
      </w:r>
      <w:r w:rsidRPr="009D48A5">
        <w:rPr>
          <w:rFonts w:hint="eastAsia"/>
          <w:bCs/>
        </w:rPr>
        <w:t>年</w:t>
      </w:r>
      <w:r w:rsidRPr="009D48A5">
        <w:rPr>
          <w:bCs/>
        </w:rPr>
        <w:t>)</w:t>
      </w:r>
      <w:r w:rsidRPr="009D48A5">
        <w:rPr>
          <w:bCs/>
        </w:rPr>
        <w:t>，</w:t>
      </w:r>
      <w:r w:rsidRPr="009D48A5">
        <w:rPr>
          <w:rFonts w:hint="eastAsia"/>
          <w:bCs/>
        </w:rPr>
        <w:t>第</w:t>
      </w:r>
      <w:r w:rsidRPr="009D48A5">
        <w:rPr>
          <w:bCs/>
        </w:rPr>
        <w:t>168</w:t>
      </w:r>
      <w:r w:rsidRPr="009D48A5">
        <w:rPr>
          <w:rFonts w:hint="eastAsia"/>
          <w:bCs/>
        </w:rPr>
        <w:t>页起，见第</w:t>
      </w:r>
      <w:r w:rsidRPr="009D48A5">
        <w:rPr>
          <w:bCs/>
        </w:rPr>
        <w:t>174</w:t>
      </w:r>
      <w:r w:rsidRPr="009D48A5">
        <w:rPr>
          <w:rFonts w:hint="eastAsia"/>
          <w:bCs/>
        </w:rPr>
        <w:t>页，第</w:t>
      </w:r>
      <w:r w:rsidRPr="009D48A5">
        <w:rPr>
          <w:rFonts w:hint="eastAsia"/>
          <w:bCs/>
        </w:rPr>
        <w:t>12</w:t>
      </w:r>
      <w:r w:rsidRPr="009D48A5">
        <w:rPr>
          <w:rFonts w:hint="eastAsia"/>
          <w:bCs/>
        </w:rPr>
        <w:t>段</w:t>
      </w:r>
      <w:r w:rsidRPr="009D48A5">
        <w:rPr>
          <w:bCs/>
        </w:rPr>
        <w:t>；</w:t>
      </w:r>
      <w:r w:rsidRPr="009D48A5">
        <w:t>P. Merkouris and M. Fitzmaurice,</w:t>
      </w:r>
      <w:r w:rsidRPr="009D48A5">
        <w:rPr>
          <w:rFonts w:hint="eastAsia"/>
        </w:rPr>
        <w:t>“</w:t>
      </w:r>
      <w:r w:rsidRPr="009D48A5">
        <w:t>Canons of treaty interpretation: selected case studies from the World Trade Organization and the North American Free Trade Agreement</w:t>
      </w:r>
      <w:r w:rsidRPr="009D48A5">
        <w:rPr>
          <w:rFonts w:hint="eastAsia"/>
        </w:rPr>
        <w:t>”</w:t>
      </w:r>
      <w:r w:rsidRPr="009D48A5">
        <w:t>，</w:t>
      </w:r>
      <w:r w:rsidRPr="009D48A5">
        <w:rPr>
          <w:rFonts w:hint="eastAsia"/>
        </w:rPr>
        <w:t>载于</w:t>
      </w:r>
      <w:r w:rsidRPr="009D48A5">
        <w:t>Fitzmaurice</w:t>
      </w:r>
      <w:r w:rsidRPr="009D48A5">
        <w:rPr>
          <w:rFonts w:hint="eastAsia"/>
        </w:rPr>
        <w:t>、</w:t>
      </w:r>
      <w:r w:rsidRPr="009D48A5">
        <w:t xml:space="preserve">Elias </w:t>
      </w:r>
      <w:r w:rsidRPr="009D48A5">
        <w:rPr>
          <w:rFonts w:hint="eastAsia"/>
        </w:rPr>
        <w:t>和</w:t>
      </w:r>
      <w:r w:rsidRPr="009D48A5">
        <w:t xml:space="preserve">Merkouris, </w:t>
      </w:r>
      <w:r w:rsidRPr="009D48A5">
        <w:rPr>
          <w:i/>
          <w:iCs/>
        </w:rPr>
        <w:t xml:space="preserve">Treaty Interpretation </w:t>
      </w:r>
      <w:r w:rsidRPr="009D48A5">
        <w:t>(</w:t>
      </w:r>
      <w:r w:rsidRPr="009D48A5">
        <w:rPr>
          <w:rFonts w:hint="eastAsia"/>
        </w:rPr>
        <w:t>见</w:t>
      </w:r>
      <w:r>
        <w:rPr>
          <w:rFonts w:hint="eastAsia"/>
        </w:rPr>
        <w:t>上文脚注</w:t>
      </w:r>
      <w:r>
        <w:rPr>
          <w:lang w:val="fr-FR"/>
        </w:rPr>
        <w:fldChar w:fldCharType="begin"/>
      </w:r>
      <w:r w:rsidRPr="00267AB1">
        <w:instrText xml:space="preserve"> NOTEREF _Ref461973900 \h </w:instrText>
      </w:r>
      <w:r>
        <w:rPr>
          <w:lang w:val="fr-FR"/>
        </w:rPr>
      </w:r>
      <w:r>
        <w:rPr>
          <w:lang w:val="fr-FR"/>
        </w:rPr>
        <w:fldChar w:fldCharType="separate"/>
      </w:r>
      <w:r w:rsidR="00A73EB9">
        <w:t>440</w:t>
      </w:r>
      <w:r>
        <w:rPr>
          <w:lang w:val="fr-FR"/>
        </w:rPr>
        <w:fldChar w:fldCharType="end"/>
      </w:r>
      <w:r w:rsidRPr="009D48A5">
        <w:rPr>
          <w:rFonts w:hint="eastAsia"/>
        </w:rPr>
        <w:t>)</w:t>
      </w:r>
      <w:r w:rsidRPr="009D48A5">
        <w:rPr>
          <w:rFonts w:hint="eastAsia"/>
        </w:rPr>
        <w:t>，第</w:t>
      </w:r>
      <w:r w:rsidRPr="009D48A5">
        <w:t>217-233</w:t>
      </w:r>
      <w:r w:rsidRPr="009D48A5">
        <w:rPr>
          <w:rFonts w:hint="eastAsia"/>
        </w:rPr>
        <w:t>页。</w:t>
      </w:r>
    </w:p>
  </w:footnote>
  <w:footnote w:id="474">
    <w:p w:rsidR="00AB00DE" w:rsidRPr="009D48A5" w:rsidRDefault="00AB00DE" w:rsidP="00560424">
      <w:pPr>
        <w:pStyle w:val="a4"/>
        <w:spacing w:after="80"/>
      </w:pPr>
      <w:r w:rsidRPr="009D48A5">
        <w:rPr>
          <w:rFonts w:hint="eastAsia"/>
        </w:rPr>
        <w:tab/>
      </w:r>
      <w:r w:rsidRPr="00DF5565">
        <w:rPr>
          <w:rStyle w:val="a5"/>
          <w:szCs w:val="22"/>
        </w:rPr>
        <w:footnoteRef/>
      </w:r>
      <w:r w:rsidRPr="009D48A5">
        <w:rPr>
          <w:rFonts w:hint="eastAsia"/>
        </w:rPr>
        <w:tab/>
      </w:r>
      <w:r w:rsidRPr="009D48A5">
        <w:t>C</w:t>
      </w:r>
      <w:r w:rsidRPr="009D48A5" w:rsidDel="00276203">
        <w:t>.</w:t>
      </w:r>
      <w:r w:rsidRPr="009D48A5">
        <w:t>C</w:t>
      </w:r>
      <w:r w:rsidRPr="009D48A5" w:rsidDel="00276203">
        <w:t>.</w:t>
      </w:r>
      <w:r w:rsidRPr="009D48A5">
        <w:t>F</w:t>
      </w:r>
      <w:r w:rsidRPr="009D48A5" w:rsidDel="00276203">
        <w:t>.</w:t>
      </w:r>
      <w:r w:rsidRPr="009D48A5">
        <w:t>T</w:t>
      </w:r>
      <w:r w:rsidRPr="009D48A5">
        <w:rPr>
          <w:rFonts w:ascii="Time New Roman" w:eastAsia="楷体" w:hAnsi="Time New Roman" w:hint="eastAsia"/>
        </w:rPr>
        <w:t>诉美国案</w:t>
      </w:r>
      <w:r w:rsidRPr="009D48A5">
        <w:rPr>
          <w:rFonts w:hint="eastAsia"/>
        </w:rPr>
        <w:t>(</w:t>
      </w:r>
      <w:r w:rsidRPr="009D48A5">
        <w:rPr>
          <w:rFonts w:hint="eastAsia"/>
        </w:rPr>
        <w:t>见上文脚注</w:t>
      </w:r>
      <w:r>
        <w:fldChar w:fldCharType="begin"/>
      </w:r>
      <w:r>
        <w:instrText xml:space="preserve"> </w:instrText>
      </w:r>
      <w:r>
        <w:rPr>
          <w:rFonts w:hint="eastAsia"/>
        </w:rPr>
        <w:instrText>NOTEREF _Ref161906372 \h</w:instrText>
      </w:r>
      <w:r>
        <w:instrText xml:space="preserve"> </w:instrText>
      </w:r>
      <w:r>
        <w:fldChar w:fldCharType="separate"/>
      </w:r>
      <w:r w:rsidR="00A73EB9">
        <w:t>472</w:t>
      </w:r>
      <w:r>
        <w:fldChar w:fldCharType="end"/>
      </w:r>
      <w:r w:rsidRPr="009D48A5">
        <w:rPr>
          <w:rFonts w:hint="eastAsia"/>
        </w:rPr>
        <w:t>)</w:t>
      </w:r>
      <w:r w:rsidRPr="009D48A5">
        <w:rPr>
          <w:rFonts w:hint="eastAsia"/>
        </w:rPr>
        <w:t>，第</w:t>
      </w:r>
      <w:r w:rsidRPr="009D48A5">
        <w:t>174</w:t>
      </w:r>
      <w:r w:rsidRPr="009D48A5">
        <w:rPr>
          <w:rFonts w:hint="eastAsia"/>
        </w:rPr>
        <w:t>-</w:t>
      </w:r>
      <w:r w:rsidRPr="009D48A5">
        <w:t>177</w:t>
      </w:r>
      <w:r w:rsidRPr="009D48A5">
        <w:rPr>
          <w:rFonts w:hint="eastAsia"/>
        </w:rPr>
        <w:t>段。</w:t>
      </w:r>
    </w:p>
  </w:footnote>
  <w:footnote w:id="475">
    <w:p w:rsidR="00AB00DE" w:rsidRPr="009D48A5" w:rsidRDefault="00AB00DE" w:rsidP="00B44972">
      <w:pPr>
        <w:pStyle w:val="a4"/>
        <w:spacing w:after="80"/>
      </w:pPr>
      <w:r w:rsidRPr="009D48A5">
        <w:rPr>
          <w:rFonts w:hint="eastAsia"/>
        </w:rPr>
        <w:tab/>
      </w:r>
      <w:r w:rsidRPr="00DF5565">
        <w:rPr>
          <w:rStyle w:val="a5"/>
          <w:szCs w:val="22"/>
        </w:rPr>
        <w:footnoteRef/>
      </w:r>
      <w:r w:rsidRPr="009D48A5">
        <w:rPr>
          <w:rFonts w:hint="eastAsia"/>
        </w:rPr>
        <w:tab/>
      </w:r>
      <w:r w:rsidRPr="009D48A5">
        <w:t>同上，</w:t>
      </w:r>
      <w:r w:rsidRPr="009D48A5">
        <w:rPr>
          <w:rFonts w:hint="eastAsia"/>
        </w:rPr>
        <w:t>第</w:t>
      </w:r>
      <w:r w:rsidRPr="009D48A5">
        <w:t>184-187</w:t>
      </w:r>
      <w:r w:rsidRPr="009D48A5">
        <w:rPr>
          <w:rFonts w:hint="eastAsia"/>
        </w:rPr>
        <w:t>段。</w:t>
      </w:r>
    </w:p>
  </w:footnote>
  <w:footnote w:id="476">
    <w:p w:rsidR="00AB00DE" w:rsidRPr="009D48A5" w:rsidRDefault="00AB00DE" w:rsidP="00B44972">
      <w:pPr>
        <w:pStyle w:val="a4"/>
        <w:spacing w:after="80"/>
        <w:rPr>
          <w:lang w:val="es-ES"/>
        </w:rPr>
      </w:pPr>
      <w:r w:rsidRPr="009D48A5">
        <w:rPr>
          <w:rFonts w:hint="eastAsia"/>
        </w:rPr>
        <w:tab/>
      </w:r>
      <w:r w:rsidRPr="00DF5565">
        <w:rPr>
          <w:rStyle w:val="a5"/>
          <w:szCs w:val="22"/>
        </w:rPr>
        <w:footnoteRef/>
      </w:r>
      <w:r w:rsidRPr="009D48A5">
        <w:rPr>
          <w:rFonts w:hint="eastAsia"/>
        </w:rPr>
        <w:tab/>
      </w:r>
      <w:r w:rsidRPr="009D48A5">
        <w:t>同上，</w:t>
      </w:r>
      <w:r w:rsidRPr="009D48A5">
        <w:rPr>
          <w:rFonts w:hint="eastAsia"/>
          <w:lang w:val="fr-FR"/>
        </w:rPr>
        <w:t>第</w:t>
      </w:r>
      <w:r w:rsidRPr="009D48A5">
        <w:t>188</w:t>
      </w:r>
      <w:r w:rsidRPr="009D48A5">
        <w:rPr>
          <w:rFonts w:hint="eastAsia"/>
        </w:rPr>
        <w:t>段，另见第</w:t>
      </w:r>
      <w:r w:rsidRPr="009D48A5">
        <w:t>189</w:t>
      </w:r>
      <w:r w:rsidRPr="009D48A5">
        <w:rPr>
          <w:rFonts w:hint="eastAsia"/>
        </w:rPr>
        <w:t>段；相似的还有</w:t>
      </w:r>
      <w:r w:rsidRPr="009D48A5">
        <w:t>Aguas del Tunari SA</w:t>
      </w:r>
      <w:r w:rsidRPr="009D48A5">
        <w:rPr>
          <w:rFonts w:ascii="Time New Roman" w:eastAsia="楷体" w:hAnsi="Time New Roman" w:hint="eastAsia"/>
          <w:lang w:val="fr-FR"/>
        </w:rPr>
        <w:t>诉玻利维亚共和国</w:t>
      </w:r>
      <w:r w:rsidRPr="009D48A5">
        <w:rPr>
          <w:rFonts w:hint="eastAsia"/>
        </w:rPr>
        <w:t>(</w:t>
      </w:r>
      <w:r w:rsidRPr="009D48A5">
        <w:rPr>
          <w:rFonts w:hint="eastAsia"/>
          <w:lang w:val="fr-FR"/>
        </w:rPr>
        <w:t>荷兰</w:t>
      </w:r>
      <w:r w:rsidRPr="009D48A5">
        <w:rPr>
          <w:rFonts w:hint="eastAsia"/>
        </w:rPr>
        <w:t>/</w:t>
      </w:r>
      <w:r w:rsidRPr="009D48A5">
        <w:rPr>
          <w:rFonts w:hint="eastAsia"/>
          <w:lang w:val="fr-FR"/>
        </w:rPr>
        <w:t>玻利维亚</w:t>
      </w:r>
      <w:r w:rsidRPr="009D48A5">
        <w:rPr>
          <w:rFonts w:hint="eastAsia"/>
        </w:rPr>
        <w:t>双边投资条约</w:t>
      </w:r>
      <w:r w:rsidRPr="009D48A5">
        <w:t>)</w:t>
      </w:r>
      <w:r w:rsidRPr="009D48A5">
        <w:t>，</w:t>
      </w:r>
      <w:r w:rsidRPr="009D48A5">
        <w:rPr>
          <w:rFonts w:hint="eastAsia"/>
        </w:rPr>
        <w:t>就应诉方反对管辖权作出的裁决，</w:t>
      </w:r>
      <w:r w:rsidRPr="009D48A5">
        <w:t>解决投资争端国际中心案件编号</w:t>
      </w:r>
      <w:r w:rsidRPr="009D48A5">
        <w:t>ARB/02/3, 2005</w:t>
      </w:r>
      <w:r w:rsidRPr="009D48A5">
        <w:t>年</w:t>
      </w:r>
      <w:r w:rsidRPr="009D48A5">
        <w:t>10</w:t>
      </w:r>
      <w:r w:rsidRPr="009D48A5">
        <w:t>月</w:t>
      </w:r>
      <w:r w:rsidRPr="009D48A5">
        <w:t>21</w:t>
      </w:r>
      <w:r w:rsidRPr="009D48A5">
        <w:t>日，</w:t>
      </w:r>
      <w:r w:rsidRPr="009D48A5">
        <w:rPr>
          <w:rFonts w:hint="eastAsia"/>
        </w:rPr>
        <w:t>《解决投资争端国际中心评论</w:t>
      </w:r>
      <w:r w:rsidRPr="009D48A5">
        <w:rPr>
          <w:rFonts w:ascii="Time New Roman" w:hAnsi="Time New Roman" w:hint="eastAsia"/>
          <w:spacing w:val="-50"/>
          <w:lang w:val="fr-FR"/>
        </w:rPr>
        <w:t>―</w:t>
      </w:r>
      <w:r w:rsidRPr="009D48A5">
        <w:rPr>
          <w:rFonts w:ascii="Time New Roman" w:hAnsi="Time New Roman" w:hint="eastAsia"/>
          <w:lang w:val="fr-FR"/>
        </w:rPr>
        <w:t>―外</w:t>
      </w:r>
      <w:r w:rsidRPr="009D48A5">
        <w:rPr>
          <w:rFonts w:hint="eastAsia"/>
          <w:iCs/>
        </w:rPr>
        <w:t>国投资法律杂志》</w:t>
      </w:r>
      <w:r w:rsidRPr="009D48A5">
        <w:t>，</w:t>
      </w:r>
      <w:r w:rsidRPr="009D48A5">
        <w:rPr>
          <w:rFonts w:hint="eastAsia"/>
        </w:rPr>
        <w:t>第</w:t>
      </w:r>
      <w:r w:rsidRPr="009D48A5">
        <w:t>20</w:t>
      </w:r>
      <w:r w:rsidRPr="009D48A5">
        <w:rPr>
          <w:rFonts w:hint="eastAsia"/>
        </w:rPr>
        <w:t>卷，</w:t>
      </w:r>
      <w:r w:rsidRPr="009D48A5">
        <w:rPr>
          <w:rFonts w:hint="eastAsia"/>
        </w:rPr>
        <w:t xml:space="preserve">No.2 </w:t>
      </w:r>
      <w:r w:rsidRPr="009D48A5">
        <w:t>(2005</w:t>
      </w:r>
      <w:r w:rsidRPr="009D48A5">
        <w:rPr>
          <w:rFonts w:hint="eastAsia"/>
        </w:rPr>
        <w:t>年</w:t>
      </w:r>
      <w:r w:rsidRPr="009D48A5">
        <w:t>)</w:t>
      </w:r>
      <w:r w:rsidRPr="009D48A5">
        <w:t>，</w:t>
      </w:r>
      <w:r w:rsidRPr="009D48A5">
        <w:rPr>
          <w:rFonts w:hint="eastAsia"/>
        </w:rPr>
        <w:t>第</w:t>
      </w:r>
      <w:r w:rsidRPr="009D48A5">
        <w:t>450</w:t>
      </w:r>
      <w:r w:rsidRPr="009D48A5">
        <w:rPr>
          <w:rFonts w:hint="eastAsia"/>
        </w:rPr>
        <w:t>页，见</w:t>
      </w:r>
      <w:r w:rsidRPr="009D48A5">
        <w:t>528</w:t>
      </w:r>
      <w:r w:rsidRPr="009D48A5">
        <w:rPr>
          <w:rFonts w:hint="eastAsia"/>
        </w:rPr>
        <w:t>页及以下各页，第</w:t>
      </w:r>
      <w:r w:rsidRPr="009D48A5">
        <w:t>251</w:t>
      </w:r>
      <w:r w:rsidRPr="009D48A5">
        <w:rPr>
          <w:rFonts w:hint="eastAsia"/>
        </w:rPr>
        <w:t>段及以下各段。</w:t>
      </w:r>
    </w:p>
  </w:footnote>
  <w:footnote w:id="477">
    <w:p w:rsidR="00AB00DE" w:rsidRPr="00DF5565" w:rsidRDefault="00AB00DE" w:rsidP="00B44972">
      <w:pPr>
        <w:pStyle w:val="a4"/>
        <w:spacing w:after="80"/>
        <w:rPr>
          <w:rStyle w:val="a5"/>
          <w:szCs w:val="22"/>
        </w:rPr>
      </w:pPr>
      <w:r w:rsidRPr="009D48A5">
        <w:rPr>
          <w:rFonts w:hint="eastAsia"/>
          <w:lang w:val="es-ES"/>
        </w:rPr>
        <w:tab/>
      </w:r>
      <w:r w:rsidRPr="00DF5565">
        <w:rPr>
          <w:rStyle w:val="a5"/>
          <w:szCs w:val="22"/>
        </w:rPr>
        <w:footnoteRef/>
      </w:r>
      <w:r w:rsidRPr="009D48A5">
        <w:rPr>
          <w:rFonts w:hint="eastAsia"/>
          <w:lang w:val="es-ES"/>
        </w:rPr>
        <w:tab/>
      </w:r>
      <w:r w:rsidRPr="009D48A5">
        <w:rPr>
          <w:lang w:val="es-ES"/>
        </w:rPr>
        <w:t>《</w:t>
      </w:r>
      <w:r w:rsidRPr="009D48A5">
        <w:rPr>
          <w:lang w:val="es-ES"/>
        </w:rPr>
        <w:t>1966</w:t>
      </w:r>
      <w:r w:rsidRPr="009D48A5">
        <w:rPr>
          <w:lang w:val="es-ES"/>
        </w:rPr>
        <w:t>年</w:t>
      </w:r>
      <w:r w:rsidRPr="009D48A5">
        <w:rPr>
          <w:rFonts w:hint="eastAsia"/>
        </w:rPr>
        <w:t>……</w:t>
      </w:r>
      <w:r w:rsidRPr="009D48A5">
        <w:rPr>
          <w:lang w:val="es-ES"/>
        </w:rPr>
        <w:t>年鉴》</w:t>
      </w:r>
      <w:r w:rsidRPr="009D48A5">
        <w:rPr>
          <w:rFonts w:hint="eastAsia"/>
          <w:lang w:val="es-ES"/>
        </w:rPr>
        <w:t>，第二卷，</w:t>
      </w:r>
      <w:r w:rsidRPr="009D48A5">
        <w:rPr>
          <w:lang w:val="es-ES"/>
        </w:rPr>
        <w:t>A/6309/Rev.1</w:t>
      </w:r>
      <w:r w:rsidRPr="009D48A5">
        <w:rPr>
          <w:rFonts w:hint="eastAsia"/>
          <w:lang w:val="es-ES"/>
        </w:rPr>
        <w:t>号文件，第</w:t>
      </w:r>
      <w:r w:rsidRPr="009D48A5">
        <w:rPr>
          <w:lang w:val="es-ES"/>
        </w:rPr>
        <w:t>221-222</w:t>
      </w:r>
      <w:r w:rsidRPr="009D48A5">
        <w:rPr>
          <w:rFonts w:hint="eastAsia"/>
          <w:lang w:val="es-ES"/>
        </w:rPr>
        <w:t>页，</w:t>
      </w:r>
      <w:r w:rsidRPr="009D48A5">
        <w:rPr>
          <w:lang w:val="es-ES"/>
        </w:rPr>
        <w:t>第</w:t>
      </w:r>
      <w:r w:rsidRPr="009D48A5">
        <w:rPr>
          <w:rFonts w:hint="eastAsia"/>
          <w:lang w:val="es-ES"/>
        </w:rPr>
        <w:t>(</w:t>
      </w:r>
      <w:r w:rsidRPr="009D48A5">
        <w:rPr>
          <w:lang w:val="es-ES"/>
        </w:rPr>
        <w:t>15</w:t>
      </w:r>
      <w:r w:rsidRPr="009D48A5">
        <w:rPr>
          <w:rFonts w:hint="eastAsia"/>
          <w:lang w:val="es-ES"/>
        </w:rPr>
        <w:t>)</w:t>
      </w:r>
      <w:r w:rsidRPr="009D48A5">
        <w:rPr>
          <w:lang w:val="es-ES"/>
        </w:rPr>
        <w:t>段</w:t>
      </w:r>
      <w:r w:rsidRPr="009D48A5">
        <w:rPr>
          <w:rFonts w:hint="eastAsia"/>
          <w:lang w:val="es-ES"/>
        </w:rPr>
        <w:t>。</w:t>
      </w:r>
    </w:p>
  </w:footnote>
  <w:footnote w:id="478">
    <w:p w:rsidR="00AB00DE" w:rsidRPr="009D48A5" w:rsidRDefault="00AB00DE" w:rsidP="00560424">
      <w:pPr>
        <w:pStyle w:val="a4"/>
        <w:spacing w:after="80"/>
        <w:rPr>
          <w:lang w:val="es-ES"/>
        </w:rPr>
      </w:pPr>
      <w:r w:rsidRPr="009D48A5">
        <w:rPr>
          <w:rFonts w:hint="eastAsia"/>
          <w:lang w:val="es-ES"/>
        </w:rPr>
        <w:tab/>
      </w:r>
      <w:r w:rsidRPr="00DF5565">
        <w:rPr>
          <w:rStyle w:val="a5"/>
          <w:szCs w:val="22"/>
        </w:rPr>
        <w:footnoteRef/>
      </w:r>
      <w:r w:rsidRPr="009D48A5">
        <w:rPr>
          <w:rFonts w:hint="eastAsia"/>
          <w:lang w:val="es-ES"/>
        </w:rPr>
        <w:tab/>
      </w:r>
      <w:r w:rsidRPr="009D48A5">
        <w:rPr>
          <w:rFonts w:hint="eastAsia"/>
        </w:rPr>
        <w:t>同上；另见</w:t>
      </w:r>
      <w:r w:rsidRPr="009D48A5">
        <w:t xml:space="preserve">Karl, </w:t>
      </w:r>
      <w:r w:rsidRPr="009D48A5">
        <w:rPr>
          <w:i/>
        </w:rPr>
        <w:t xml:space="preserve">Vertrag und spätere </w:t>
      </w:r>
      <w:r w:rsidRPr="005715FC">
        <w:rPr>
          <w:rFonts w:asciiTheme="majorBidi" w:hAnsiTheme="majorBidi" w:cstheme="majorBidi"/>
          <w:i/>
          <w:szCs w:val="18"/>
        </w:rPr>
        <w:t>Praxis …</w:t>
      </w:r>
      <w:r w:rsidRPr="009D48A5">
        <w:t>(</w:t>
      </w:r>
      <w:r>
        <w:rPr>
          <w:rFonts w:hint="eastAsia"/>
          <w:iCs/>
        </w:rPr>
        <w:t>上文脚注</w:t>
      </w:r>
      <w:r>
        <w:rPr>
          <w:iCs/>
        </w:rPr>
        <w:fldChar w:fldCharType="begin"/>
      </w:r>
      <w:r>
        <w:rPr>
          <w:iCs/>
        </w:rPr>
        <w:instrText xml:space="preserve"> </w:instrText>
      </w:r>
      <w:r>
        <w:rPr>
          <w:rFonts w:hint="eastAsia"/>
          <w:iCs/>
        </w:rPr>
        <w:instrText>NOTEREF _Ref364163375 \h</w:instrText>
      </w:r>
      <w:r>
        <w:rPr>
          <w:iCs/>
        </w:rPr>
        <w:instrText xml:space="preserve"> </w:instrText>
      </w:r>
      <w:r>
        <w:rPr>
          <w:iCs/>
        </w:rPr>
      </w:r>
      <w:r>
        <w:rPr>
          <w:iCs/>
        </w:rPr>
        <w:fldChar w:fldCharType="separate"/>
      </w:r>
      <w:r w:rsidR="00A73EB9">
        <w:rPr>
          <w:iCs/>
        </w:rPr>
        <w:t>454</w:t>
      </w:r>
      <w:r>
        <w:rPr>
          <w:iCs/>
        </w:rPr>
        <w:fldChar w:fldCharType="end"/>
      </w:r>
      <w:r>
        <w:rPr>
          <w:rFonts w:hint="eastAsia"/>
          <w:iCs/>
        </w:rPr>
        <w:t>)</w:t>
      </w:r>
      <w:r w:rsidRPr="009D48A5">
        <w:rPr>
          <w:rFonts w:hint="eastAsia"/>
          <w:iCs/>
        </w:rPr>
        <w:t>，</w:t>
      </w:r>
      <w:r w:rsidRPr="009D48A5">
        <w:rPr>
          <w:rFonts w:hint="eastAsia"/>
        </w:rPr>
        <w:t>第</w:t>
      </w:r>
      <w:r w:rsidRPr="009D48A5">
        <w:t>294</w:t>
      </w:r>
      <w:r w:rsidRPr="009D48A5">
        <w:rPr>
          <w:rFonts w:hint="eastAsia"/>
        </w:rPr>
        <w:t>页。</w:t>
      </w:r>
    </w:p>
  </w:footnote>
  <w:footnote w:id="479">
    <w:p w:rsidR="00AB00DE" w:rsidRPr="009D48A5" w:rsidRDefault="00AB00DE" w:rsidP="00560424">
      <w:pPr>
        <w:pStyle w:val="a4"/>
        <w:spacing w:after="80"/>
      </w:pPr>
      <w:r w:rsidRPr="009D48A5">
        <w:rPr>
          <w:rFonts w:hint="eastAsia"/>
          <w:lang w:val="es-ES"/>
        </w:rPr>
        <w:tab/>
      </w:r>
      <w:r w:rsidRPr="00DF5565">
        <w:rPr>
          <w:rStyle w:val="a5"/>
          <w:szCs w:val="22"/>
        </w:rPr>
        <w:footnoteRef/>
      </w:r>
      <w:r w:rsidRPr="009D48A5">
        <w:rPr>
          <w:rFonts w:hint="eastAsia"/>
          <w:lang w:val="zh-CN"/>
        </w:rPr>
        <w:tab/>
      </w:r>
      <w:r w:rsidRPr="009D48A5">
        <w:rPr>
          <w:rFonts w:hint="eastAsia"/>
          <w:lang w:val="zh-CN"/>
        </w:rPr>
        <w:t>委员会在关于条约法的相应条款草案第二十七条第三款</w:t>
      </w:r>
      <w:r w:rsidRPr="009D48A5">
        <w:rPr>
          <w:rFonts w:hint="eastAsia"/>
          <w:lang w:val="zh-CN"/>
        </w:rPr>
        <w:t>(</w:t>
      </w:r>
      <w:r w:rsidRPr="009D48A5">
        <w:t>b</w:t>
      </w:r>
      <w:r w:rsidRPr="009D48A5">
        <w:rPr>
          <w:rFonts w:hint="eastAsia"/>
        </w:rPr>
        <w:t>)</w:t>
      </w:r>
      <w:r w:rsidRPr="009D48A5">
        <w:rPr>
          <w:rFonts w:hint="eastAsia"/>
        </w:rPr>
        <w:t>项中使用了</w:t>
      </w:r>
      <w:r w:rsidRPr="009D48A5">
        <w:rPr>
          <w:rFonts w:hint="eastAsia"/>
          <w:lang w:val="zh-CN"/>
        </w:rPr>
        <w:t>“谅解”</w:t>
      </w:r>
      <w:r w:rsidRPr="009D48A5">
        <w:rPr>
          <w:rFonts w:hint="eastAsia"/>
        </w:rPr>
        <w:t>一词</w:t>
      </w:r>
      <w:r w:rsidRPr="009D48A5">
        <w:rPr>
          <w:rFonts w:hint="eastAsia"/>
        </w:rPr>
        <w:t>(</w:t>
      </w:r>
      <w:r w:rsidRPr="009D48A5">
        <w:rPr>
          <w:rFonts w:hint="eastAsia"/>
        </w:rPr>
        <w:t>见上文脚注</w:t>
      </w:r>
      <w:r>
        <w:fldChar w:fldCharType="begin"/>
      </w:r>
      <w:r>
        <w:instrText xml:space="preserve"> </w:instrText>
      </w:r>
      <w:r>
        <w:rPr>
          <w:rFonts w:hint="eastAsia"/>
        </w:rPr>
        <w:instrText>NOTEREF _Ref235607608 \h</w:instrText>
      </w:r>
      <w:r>
        <w:instrText xml:space="preserve"> </w:instrText>
      </w:r>
      <w:r>
        <w:fldChar w:fldCharType="separate"/>
      </w:r>
      <w:r w:rsidR="00A73EB9">
        <w:t>468</w:t>
      </w:r>
      <w:r>
        <w:fldChar w:fldCharType="end"/>
      </w:r>
      <w:r w:rsidRPr="009D48A5">
        <w:rPr>
          <w:rFonts w:hint="eastAsia"/>
        </w:rPr>
        <w:t>)</w:t>
      </w:r>
      <w:r w:rsidRPr="009D48A5">
        <w:rPr>
          <w:rFonts w:hint="eastAsia"/>
        </w:rPr>
        <w:t>。</w:t>
      </w:r>
    </w:p>
  </w:footnote>
  <w:footnote w:id="480">
    <w:p w:rsidR="00AB00DE" w:rsidRPr="009D48A5" w:rsidRDefault="00AB00DE" w:rsidP="00B44972">
      <w:pPr>
        <w:pStyle w:val="a4"/>
        <w:spacing w:after="80"/>
      </w:pPr>
      <w:r w:rsidRPr="009D48A5">
        <w:rPr>
          <w:rFonts w:hint="eastAsia"/>
        </w:rPr>
        <w:tab/>
      </w:r>
      <w:r w:rsidRPr="00DF5565">
        <w:rPr>
          <w:rStyle w:val="a5"/>
          <w:szCs w:val="22"/>
        </w:rPr>
        <w:footnoteRef/>
      </w:r>
      <w:r w:rsidRPr="009D48A5">
        <w:rPr>
          <w:rFonts w:hint="eastAsia"/>
        </w:rPr>
        <w:tab/>
      </w:r>
      <w:r w:rsidRPr="009D48A5">
        <w:rPr>
          <w:rFonts w:ascii="Time New Roman" w:eastAsia="楷体" w:hAnsi="Time New Roman"/>
        </w:rPr>
        <w:t>乌拉圭河纸浆厂案</w:t>
      </w:r>
      <w:r w:rsidRPr="009D48A5">
        <w:rPr>
          <w:rFonts w:ascii="Time New Roman" w:eastAsia="楷体" w:hAnsi="Time New Roman"/>
        </w:rPr>
        <w:t>(</w:t>
      </w:r>
      <w:r w:rsidRPr="009D48A5">
        <w:rPr>
          <w:rFonts w:ascii="Time New Roman" w:eastAsia="楷体" w:hAnsi="Time New Roman" w:hint="eastAsia"/>
        </w:rPr>
        <w:t>阿根廷诉乌拉圭</w:t>
      </w:r>
      <w:r w:rsidRPr="009D48A5">
        <w:rPr>
          <w:rFonts w:ascii="Time New Roman" w:eastAsia="楷体" w:hAnsi="Time New Roman"/>
        </w:rPr>
        <w:t>)</w:t>
      </w:r>
      <w:r w:rsidRPr="009D48A5">
        <w:rPr>
          <w:rFonts w:ascii="Time New Roman" w:eastAsia="楷体" w:hAnsi="Time New Roman"/>
        </w:rPr>
        <w:t>，</w:t>
      </w:r>
      <w:r w:rsidRPr="009D48A5">
        <w:rPr>
          <w:rFonts w:ascii="Time New Roman" w:eastAsia="楷体" w:hAnsi="Time New Roman" w:hint="eastAsia"/>
        </w:rPr>
        <w:t>临时措施</w:t>
      </w:r>
      <w:r w:rsidRPr="009D48A5">
        <w:rPr>
          <w:rFonts w:ascii="Time New Roman" w:eastAsia="楷体" w:hAnsi="Time New Roman"/>
        </w:rPr>
        <w:t>，</w:t>
      </w:r>
      <w:r w:rsidRPr="009D48A5">
        <w:rPr>
          <w:rFonts w:ascii="Time New Roman" w:eastAsia="楷体" w:hAnsi="Time New Roman" w:hint="eastAsia"/>
        </w:rPr>
        <w:t>2006</w:t>
      </w:r>
      <w:r w:rsidRPr="009D48A5">
        <w:rPr>
          <w:rFonts w:ascii="Time New Roman" w:eastAsia="楷体" w:hAnsi="Time New Roman" w:hint="eastAsia"/>
        </w:rPr>
        <w:t>年</w:t>
      </w:r>
      <w:r w:rsidRPr="009D48A5">
        <w:rPr>
          <w:rFonts w:ascii="Time New Roman" w:eastAsia="楷体" w:hAnsi="Time New Roman" w:hint="eastAsia"/>
        </w:rPr>
        <w:t>7</w:t>
      </w:r>
      <w:r w:rsidRPr="009D48A5">
        <w:rPr>
          <w:rFonts w:ascii="Time New Roman" w:eastAsia="楷体" w:hAnsi="Time New Roman" w:hint="eastAsia"/>
        </w:rPr>
        <w:t>月</w:t>
      </w:r>
      <w:r w:rsidRPr="009D48A5">
        <w:rPr>
          <w:rFonts w:ascii="Time New Roman" w:eastAsia="楷体" w:hAnsi="Time New Roman" w:hint="eastAsia"/>
        </w:rPr>
        <w:t>13</w:t>
      </w:r>
      <w:r w:rsidRPr="009D48A5">
        <w:rPr>
          <w:rFonts w:ascii="Time New Roman" w:eastAsia="楷体" w:hAnsi="Time New Roman" w:hint="eastAsia"/>
        </w:rPr>
        <w:t>日的命令</w:t>
      </w:r>
      <w:r w:rsidRPr="009D48A5">
        <w:rPr>
          <w:rFonts w:hint="eastAsia"/>
        </w:rPr>
        <w:t>，《</w:t>
      </w:r>
      <w:r w:rsidRPr="009D48A5">
        <w:rPr>
          <w:rFonts w:hint="eastAsia"/>
        </w:rPr>
        <w:t>2006</w:t>
      </w:r>
      <w:r w:rsidRPr="009D48A5">
        <w:rPr>
          <w:rFonts w:hint="eastAsia"/>
        </w:rPr>
        <w:t>年国际法院案例汇编》</w:t>
      </w:r>
      <w:r w:rsidRPr="009D48A5">
        <w:t>，</w:t>
      </w:r>
      <w:r w:rsidRPr="009D48A5">
        <w:rPr>
          <w:rFonts w:hint="eastAsia"/>
        </w:rPr>
        <w:t>第</w:t>
      </w:r>
      <w:r w:rsidRPr="009D48A5">
        <w:t>113</w:t>
      </w:r>
      <w:r w:rsidRPr="009D48A5">
        <w:rPr>
          <w:rFonts w:hint="eastAsia"/>
        </w:rPr>
        <w:t>页起，见第</w:t>
      </w:r>
      <w:r w:rsidRPr="009D48A5">
        <w:t>127-128</w:t>
      </w:r>
      <w:r w:rsidRPr="009D48A5">
        <w:rPr>
          <w:rFonts w:hint="eastAsia"/>
        </w:rPr>
        <w:t>页</w:t>
      </w:r>
      <w:r w:rsidRPr="009D48A5">
        <w:t>，第</w:t>
      </w:r>
      <w:r w:rsidRPr="009D48A5">
        <w:t>53</w:t>
      </w:r>
      <w:r w:rsidRPr="009D48A5">
        <w:t>段：</w:t>
      </w:r>
      <w:r w:rsidRPr="009D48A5">
        <w:rPr>
          <w:rFonts w:hint="eastAsia"/>
          <w:lang w:val="zh-CN"/>
        </w:rPr>
        <w:t>在该案中</w:t>
      </w:r>
      <w:r w:rsidRPr="009D48A5">
        <w:rPr>
          <w:rFonts w:hint="eastAsia"/>
        </w:rPr>
        <w:t>，</w:t>
      </w:r>
      <w:r w:rsidRPr="009D48A5">
        <w:rPr>
          <w:rFonts w:hint="eastAsia"/>
          <w:lang w:val="zh-CN"/>
        </w:rPr>
        <w:t>即使一个明确的嗣后口头协定</w:t>
      </w:r>
      <w:r w:rsidRPr="009D48A5">
        <w:rPr>
          <w:rFonts w:hint="eastAsia"/>
        </w:rPr>
        <w:t>，</w:t>
      </w:r>
      <w:r w:rsidRPr="009D48A5">
        <w:rPr>
          <w:rFonts w:hint="eastAsia"/>
          <w:lang w:val="zh-CN"/>
        </w:rPr>
        <w:t>也被一个缔约方定性为</w:t>
      </w:r>
      <w:r w:rsidRPr="009D48A5">
        <w:rPr>
          <w:rFonts w:hint="eastAsia"/>
        </w:rPr>
        <w:t>“</w:t>
      </w:r>
      <w:r w:rsidRPr="009D48A5">
        <w:rPr>
          <w:rFonts w:hint="eastAsia"/>
          <w:lang w:val="zh-CN"/>
        </w:rPr>
        <w:t>嗣后惯例</w:t>
      </w:r>
      <w:r w:rsidRPr="009D48A5">
        <w:rPr>
          <w:rFonts w:hint="eastAsia"/>
        </w:rPr>
        <w:t>”</w:t>
      </w:r>
      <w:r w:rsidRPr="009D48A5">
        <w:rPr>
          <w:rFonts w:hint="eastAsia"/>
          <w:lang w:val="zh-CN"/>
        </w:rPr>
        <w:t>。</w:t>
      </w:r>
    </w:p>
  </w:footnote>
  <w:footnote w:id="481">
    <w:p w:rsidR="00AB00DE" w:rsidRPr="009D48A5" w:rsidRDefault="00AB00DE" w:rsidP="00B44972">
      <w:pPr>
        <w:pStyle w:val="a4"/>
        <w:spacing w:after="80"/>
      </w:pPr>
      <w:r w:rsidRPr="009D48A5">
        <w:rPr>
          <w:rFonts w:hint="eastAsia"/>
        </w:rPr>
        <w:tab/>
      </w:r>
      <w:r w:rsidRPr="00DF5565">
        <w:rPr>
          <w:rStyle w:val="a5"/>
          <w:szCs w:val="22"/>
        </w:rPr>
        <w:footnoteRef/>
      </w:r>
      <w:r w:rsidRPr="009D48A5">
        <w:rPr>
          <w:rFonts w:hint="eastAsia"/>
        </w:rPr>
        <w:tab/>
      </w:r>
      <w:r w:rsidRPr="009D48A5">
        <w:rPr>
          <w:rFonts w:hint="eastAsia"/>
        </w:rPr>
        <w:t>见</w:t>
      </w:r>
      <w:r w:rsidRPr="009D48A5">
        <w:rPr>
          <w:rFonts w:hint="eastAsia"/>
          <w:lang w:val="zh-CN"/>
        </w:rPr>
        <w:t>世贸组织上诉机构报告，</w:t>
      </w:r>
      <w:r w:rsidRPr="009D48A5">
        <w:rPr>
          <w:rFonts w:ascii="Time New Roman" w:eastAsia="楷体" w:hAnsi="Time New Roman" w:hint="eastAsia"/>
        </w:rPr>
        <w:t>美国－关于进口、营销和销售金枪鱼和金枪鱼产品的措施案</w:t>
      </w:r>
      <w:r w:rsidRPr="009D48A5">
        <w:rPr>
          <w:rFonts w:hint="eastAsia"/>
          <w:lang w:val="zh-CN"/>
        </w:rPr>
        <w:t>，</w:t>
      </w:r>
      <w:r w:rsidRPr="009D48A5">
        <w:t xml:space="preserve">WT/DS381/AB/R, </w:t>
      </w:r>
      <w:r w:rsidRPr="009D48A5">
        <w:rPr>
          <w:lang w:val="zh-CN"/>
        </w:rPr>
        <w:t>2012</w:t>
      </w:r>
      <w:r w:rsidRPr="009D48A5">
        <w:rPr>
          <w:rFonts w:hint="eastAsia"/>
          <w:lang w:val="zh-CN"/>
        </w:rPr>
        <w:t>年</w:t>
      </w:r>
      <w:r w:rsidRPr="009D48A5">
        <w:rPr>
          <w:rFonts w:hint="eastAsia"/>
          <w:lang w:val="zh-CN"/>
        </w:rPr>
        <w:t>6</w:t>
      </w:r>
      <w:r w:rsidRPr="009D48A5">
        <w:rPr>
          <w:rFonts w:hint="eastAsia"/>
          <w:lang w:val="zh-CN"/>
        </w:rPr>
        <w:t>月</w:t>
      </w:r>
      <w:r w:rsidRPr="009D48A5">
        <w:rPr>
          <w:rFonts w:hint="eastAsia"/>
          <w:lang w:val="zh-CN"/>
        </w:rPr>
        <w:t>13</w:t>
      </w:r>
      <w:r w:rsidRPr="009D48A5">
        <w:rPr>
          <w:rFonts w:hint="eastAsia"/>
          <w:lang w:val="zh-CN"/>
        </w:rPr>
        <w:t>日通过，</w:t>
      </w:r>
      <w:r w:rsidRPr="009D48A5">
        <w:t>第</w:t>
      </w:r>
      <w:r w:rsidRPr="009D48A5">
        <w:t>371</w:t>
      </w:r>
      <w:r w:rsidRPr="009D48A5">
        <w:t>段</w:t>
      </w:r>
      <w:r w:rsidRPr="009D48A5">
        <w:rPr>
          <w:rFonts w:hint="eastAsia"/>
        </w:rPr>
        <w:t>。</w:t>
      </w:r>
      <w:r w:rsidRPr="009D48A5">
        <w:rPr>
          <w:rFonts w:hint="eastAsia"/>
          <w:lang w:val="zh-CN"/>
        </w:rPr>
        <w:t>共同的行为可包括换文。</w:t>
      </w:r>
    </w:p>
  </w:footnote>
  <w:footnote w:id="482">
    <w:p w:rsidR="00AB00DE" w:rsidRPr="009D48A5" w:rsidRDefault="00AB00DE" w:rsidP="00267AB1">
      <w:pPr>
        <w:pStyle w:val="a4"/>
        <w:spacing w:after="80"/>
      </w:pPr>
      <w:r w:rsidRPr="009D48A5">
        <w:rPr>
          <w:rFonts w:hint="eastAsia"/>
        </w:rPr>
        <w:tab/>
      </w:r>
      <w:r w:rsidRPr="00DF5565">
        <w:rPr>
          <w:rStyle w:val="a5"/>
          <w:szCs w:val="22"/>
        </w:rPr>
        <w:footnoteRef/>
      </w:r>
      <w:r w:rsidRPr="009D48A5">
        <w:rPr>
          <w:rFonts w:hint="eastAsia"/>
        </w:rPr>
        <w:tab/>
      </w:r>
      <w:r w:rsidRPr="009D48A5">
        <w:rPr>
          <w:rFonts w:hint="eastAsia"/>
          <w:lang w:val="zh-CN"/>
        </w:rPr>
        <w:t>同上</w:t>
      </w:r>
      <w:r w:rsidRPr="009D48A5">
        <w:t>，</w:t>
      </w:r>
      <w:r w:rsidRPr="009D48A5">
        <w:rPr>
          <w:rFonts w:hint="eastAsia"/>
          <w:lang w:val="zh-CN"/>
        </w:rPr>
        <w:t>第</w:t>
      </w:r>
      <w:r w:rsidRPr="009D48A5">
        <w:rPr>
          <w:lang w:val="zh-CN"/>
        </w:rPr>
        <w:t>366-378</w:t>
      </w:r>
      <w:r w:rsidRPr="009D48A5">
        <w:rPr>
          <w:rFonts w:hint="eastAsia"/>
          <w:lang w:val="zh-CN"/>
        </w:rPr>
        <w:t>段，特别是</w:t>
      </w:r>
      <w:r w:rsidRPr="009D48A5">
        <w:rPr>
          <w:lang w:val="zh-CN"/>
        </w:rPr>
        <w:t>372</w:t>
      </w:r>
      <w:r w:rsidRPr="009D48A5">
        <w:rPr>
          <w:rFonts w:hint="eastAsia"/>
          <w:lang w:val="zh-CN"/>
        </w:rPr>
        <w:t>段</w:t>
      </w:r>
      <w:r w:rsidRPr="009D48A5">
        <w:rPr>
          <w:lang w:val="zh-CN"/>
        </w:rPr>
        <w:t>；</w:t>
      </w:r>
      <w:r w:rsidRPr="009D48A5">
        <w:rPr>
          <w:lang w:val="zh-CN"/>
        </w:rPr>
        <w:t>Linderfalk,</w:t>
      </w:r>
      <w:r w:rsidRPr="009D48A5">
        <w:rPr>
          <w:rFonts w:hint="eastAsia"/>
          <w:lang w:val="zh-CN"/>
        </w:rPr>
        <w:t>《关于条约的解释》</w:t>
      </w:r>
      <w:r w:rsidRPr="009D48A5">
        <w:rPr>
          <w:rFonts w:hint="eastAsia"/>
          <w:lang w:val="zh-CN"/>
        </w:rPr>
        <w:t>(</w:t>
      </w:r>
      <w:r w:rsidRPr="009D48A5">
        <w:rPr>
          <w:rFonts w:hint="eastAsia"/>
          <w:lang w:val="zh-CN"/>
        </w:rPr>
        <w:t>见</w:t>
      </w:r>
      <w:r>
        <w:rPr>
          <w:rFonts w:hint="eastAsia"/>
          <w:lang w:val="zh-CN"/>
        </w:rPr>
        <w:t>上文脚注</w:t>
      </w:r>
      <w:r>
        <w:fldChar w:fldCharType="begin"/>
      </w:r>
      <w:r>
        <w:instrText xml:space="preserve"> </w:instrText>
      </w:r>
      <w:r>
        <w:rPr>
          <w:rFonts w:hint="eastAsia"/>
        </w:rPr>
        <w:instrText>NOTEREF _Ref461974127 \h</w:instrText>
      </w:r>
      <w:r>
        <w:instrText xml:space="preserve"> </w:instrText>
      </w:r>
      <w:r>
        <w:fldChar w:fldCharType="separate"/>
      </w:r>
      <w:r w:rsidR="00A73EB9">
        <w:t>446</w:t>
      </w:r>
      <w:r>
        <w:fldChar w:fldCharType="end"/>
      </w:r>
      <w:r>
        <w:rPr>
          <w:rFonts w:hint="eastAsia"/>
          <w:lang w:val="zh-CN"/>
        </w:rPr>
        <w:t>)</w:t>
      </w:r>
      <w:r w:rsidRPr="009D48A5">
        <w:rPr>
          <w:rFonts w:hint="eastAsia"/>
          <w:lang w:val="zh-CN"/>
        </w:rPr>
        <w:t>，见第</w:t>
      </w:r>
      <w:r w:rsidRPr="009D48A5">
        <w:rPr>
          <w:lang w:val="zh-CN"/>
        </w:rPr>
        <w:t>164</w:t>
      </w:r>
      <w:r w:rsidRPr="009D48A5">
        <w:rPr>
          <w:rFonts w:hint="eastAsia"/>
          <w:lang w:val="zh-CN"/>
        </w:rPr>
        <w:t>页及以下各页。</w:t>
      </w:r>
    </w:p>
  </w:footnote>
  <w:footnote w:id="483">
    <w:p w:rsidR="00AB00DE" w:rsidRPr="009D48A5" w:rsidRDefault="00AB00DE" w:rsidP="00B44972">
      <w:pPr>
        <w:pStyle w:val="a4"/>
        <w:spacing w:after="80"/>
      </w:pPr>
      <w:r w:rsidRPr="009D48A5">
        <w:rPr>
          <w:rFonts w:hint="eastAsia"/>
        </w:rPr>
        <w:tab/>
      </w:r>
      <w:r w:rsidRPr="00DF5565">
        <w:rPr>
          <w:rStyle w:val="a5"/>
          <w:szCs w:val="22"/>
        </w:rPr>
        <w:footnoteRef/>
      </w:r>
      <w:r w:rsidRPr="00DF5565">
        <w:rPr>
          <w:rStyle w:val="a5"/>
          <w:rFonts w:hint="eastAsia"/>
          <w:szCs w:val="22"/>
        </w:rPr>
        <w:tab/>
      </w:r>
      <w:r w:rsidRPr="009D48A5">
        <w:rPr>
          <w:rFonts w:ascii="Time New Roman" w:eastAsia="楷体" w:hAnsi="Time New Roman"/>
        </w:rPr>
        <w:t>格陵兰和扬马延之间区域的海洋划界案</w:t>
      </w:r>
      <w:r w:rsidRPr="009D48A5">
        <w:t>，</w:t>
      </w:r>
      <w:r w:rsidRPr="009D48A5">
        <w:rPr>
          <w:rFonts w:hint="eastAsia"/>
        </w:rPr>
        <w:t>《</w:t>
      </w:r>
      <w:r w:rsidRPr="009D48A5">
        <w:rPr>
          <w:rFonts w:hint="eastAsia"/>
        </w:rPr>
        <w:t>1993</w:t>
      </w:r>
      <w:r w:rsidRPr="009D48A5">
        <w:rPr>
          <w:rFonts w:hint="eastAsia"/>
        </w:rPr>
        <w:t>年国际法院案例汇编》</w:t>
      </w:r>
      <w:r w:rsidRPr="009D48A5">
        <w:t>，</w:t>
      </w:r>
      <w:r w:rsidRPr="009D48A5">
        <w:rPr>
          <w:rFonts w:hint="eastAsia"/>
        </w:rPr>
        <w:t>第</w:t>
      </w:r>
      <w:r w:rsidRPr="009D48A5">
        <w:t>38</w:t>
      </w:r>
      <w:r w:rsidRPr="009D48A5">
        <w:rPr>
          <w:rFonts w:hint="eastAsia"/>
        </w:rPr>
        <w:t>页起，见第</w:t>
      </w:r>
      <w:r w:rsidRPr="009D48A5">
        <w:t>51</w:t>
      </w:r>
      <w:r w:rsidRPr="009D48A5">
        <w:rPr>
          <w:rFonts w:hint="eastAsia"/>
        </w:rPr>
        <w:t>页，</w:t>
      </w:r>
      <w:r w:rsidRPr="009D48A5">
        <w:t>第</w:t>
      </w:r>
      <w:r w:rsidRPr="009D48A5">
        <w:t>28</w:t>
      </w:r>
      <w:r w:rsidRPr="009D48A5">
        <w:t>段</w:t>
      </w:r>
      <w:r w:rsidRPr="009D48A5">
        <w:rPr>
          <w:rFonts w:hint="eastAsia"/>
        </w:rPr>
        <w:t>。</w:t>
      </w:r>
    </w:p>
  </w:footnote>
  <w:footnote w:id="484">
    <w:p w:rsidR="00AB00DE" w:rsidRPr="009D48A5" w:rsidRDefault="00AB00DE" w:rsidP="00B81C40">
      <w:pPr>
        <w:pStyle w:val="a4"/>
        <w:spacing w:after="80"/>
      </w:pPr>
      <w:r w:rsidRPr="009D48A5">
        <w:rPr>
          <w:rFonts w:hint="eastAsia"/>
        </w:rPr>
        <w:tab/>
      </w:r>
      <w:r w:rsidRPr="00DF5565">
        <w:rPr>
          <w:rStyle w:val="a5"/>
          <w:szCs w:val="22"/>
        </w:rPr>
        <w:footnoteRef/>
      </w:r>
      <w:r w:rsidRPr="009D48A5">
        <w:rPr>
          <w:rFonts w:hint="eastAsia"/>
        </w:rPr>
        <w:tab/>
      </w:r>
      <w:r w:rsidRPr="009D48A5">
        <w:rPr>
          <w:rFonts w:ascii="Time New Roman" w:eastAsia="楷体" w:hAnsi="Time New Roman" w:hint="eastAsia"/>
        </w:rPr>
        <w:t>航行权和相关权利争端案</w:t>
      </w:r>
      <w:r w:rsidRPr="009D48A5">
        <w:rPr>
          <w:rFonts w:hint="eastAsia"/>
        </w:rPr>
        <w:t>(</w:t>
      </w:r>
      <w:r w:rsidRPr="009D48A5">
        <w:rPr>
          <w:rFonts w:hint="eastAsia"/>
        </w:rPr>
        <w:t>见</w:t>
      </w:r>
      <w:r>
        <w:rPr>
          <w:rFonts w:hint="eastAsia"/>
        </w:rPr>
        <w:t>上文脚注</w:t>
      </w:r>
      <w:r>
        <w:rPr>
          <w:lang w:val="zh-CN"/>
        </w:rPr>
        <w:fldChar w:fldCharType="begin"/>
      </w:r>
      <w:r>
        <w:rPr>
          <w:lang w:val="zh-CN"/>
        </w:rPr>
        <w:instrText xml:space="preserve"> NOTEREF _Ref461971066 \h </w:instrText>
      </w:r>
      <w:r>
        <w:rPr>
          <w:lang w:val="zh-CN"/>
        </w:rPr>
      </w:r>
      <w:r>
        <w:rPr>
          <w:lang w:val="zh-CN"/>
        </w:rPr>
        <w:fldChar w:fldCharType="separate"/>
      </w:r>
      <w:r w:rsidR="00A73EB9">
        <w:rPr>
          <w:lang w:val="zh-CN"/>
        </w:rPr>
        <w:t>395</w:t>
      </w:r>
      <w:r>
        <w:rPr>
          <w:lang w:val="zh-CN"/>
        </w:rPr>
        <w:fldChar w:fldCharType="end"/>
      </w:r>
      <w:r>
        <w:rPr>
          <w:rFonts w:hint="eastAsia"/>
        </w:rPr>
        <w:t>)</w:t>
      </w:r>
      <w:r w:rsidRPr="009D48A5">
        <w:rPr>
          <w:rFonts w:hint="eastAsia"/>
        </w:rPr>
        <w:t>，专案法官</w:t>
      </w:r>
      <w:r w:rsidRPr="009D48A5">
        <w:t>纪尧姆</w:t>
      </w:r>
      <w:r w:rsidRPr="009D48A5">
        <w:rPr>
          <w:rFonts w:hint="eastAsia"/>
        </w:rPr>
        <w:t>的声明，第</w:t>
      </w:r>
      <w:r w:rsidRPr="009D48A5">
        <w:t>290</w:t>
      </w:r>
      <w:r w:rsidRPr="009D48A5">
        <w:rPr>
          <w:rFonts w:hint="eastAsia"/>
        </w:rPr>
        <w:t>页起，见第</w:t>
      </w:r>
      <w:r w:rsidRPr="009D48A5">
        <w:t>298-299</w:t>
      </w:r>
      <w:r w:rsidRPr="009D48A5">
        <w:rPr>
          <w:rFonts w:hint="eastAsia"/>
        </w:rPr>
        <w:t>页</w:t>
      </w:r>
      <w:r w:rsidRPr="009D48A5">
        <w:t>，第</w:t>
      </w:r>
      <w:r w:rsidRPr="009D48A5">
        <w:t>16</w:t>
      </w:r>
      <w:r w:rsidRPr="009D48A5">
        <w:t>段</w:t>
      </w:r>
      <w:r w:rsidRPr="009D48A5">
        <w:rPr>
          <w:rFonts w:hint="eastAsia"/>
        </w:rPr>
        <w:t>。</w:t>
      </w:r>
    </w:p>
  </w:footnote>
  <w:footnote w:id="485">
    <w:p w:rsidR="00AB00DE" w:rsidRPr="009D48A5" w:rsidRDefault="00AB00DE" w:rsidP="00560424">
      <w:pPr>
        <w:pStyle w:val="a4"/>
        <w:spacing w:after="80"/>
      </w:pPr>
      <w:r w:rsidRPr="009D48A5">
        <w:rPr>
          <w:rFonts w:hint="eastAsia"/>
        </w:rPr>
        <w:tab/>
      </w:r>
      <w:r w:rsidRPr="00DF5565">
        <w:rPr>
          <w:rStyle w:val="a5"/>
          <w:szCs w:val="22"/>
        </w:rPr>
        <w:footnoteRef/>
      </w:r>
      <w:r w:rsidRPr="009D48A5">
        <w:rPr>
          <w:rFonts w:hint="eastAsia"/>
        </w:rPr>
        <w:tab/>
      </w:r>
      <w:r w:rsidRPr="009D48A5">
        <w:rPr>
          <w:rFonts w:hint="eastAsia"/>
        </w:rPr>
        <w:t>见</w:t>
      </w:r>
      <w:r w:rsidRPr="00113643">
        <w:rPr>
          <w:rFonts w:ascii="Time New Roman" w:eastAsia="楷体" w:hAnsi="Time New Roman" w:hint="eastAsia"/>
        </w:rPr>
        <w:t>吴</w:t>
      </w:r>
      <w:r w:rsidRPr="009D48A5">
        <w:rPr>
          <w:rFonts w:ascii="Time New Roman" w:eastAsia="楷体" w:hAnsi="Time New Roman" w:hint="eastAsia"/>
        </w:rPr>
        <w:t>嘉玲等人诉入境事务处处长案</w:t>
      </w:r>
      <w:r w:rsidRPr="009D48A5">
        <w:rPr>
          <w:rFonts w:hint="eastAsia"/>
        </w:rPr>
        <w:t>(</w:t>
      </w:r>
      <w:r w:rsidRPr="009D48A5">
        <w:rPr>
          <w:rFonts w:hint="eastAsia"/>
        </w:rPr>
        <w:t>上文脚注</w:t>
      </w:r>
      <w:r>
        <w:fldChar w:fldCharType="begin"/>
      </w:r>
      <w:r>
        <w:instrText xml:space="preserve"> </w:instrText>
      </w:r>
      <w:r>
        <w:rPr>
          <w:rFonts w:hint="eastAsia"/>
        </w:rPr>
        <w:instrText>NOTEREF _Ref453159993 \h</w:instrText>
      </w:r>
      <w:r>
        <w:instrText xml:space="preserve"> </w:instrText>
      </w:r>
      <w:r>
        <w:fldChar w:fldCharType="separate"/>
      </w:r>
      <w:r w:rsidR="00A73EB9">
        <w:t>449</w:t>
      </w:r>
      <w:r>
        <w:fldChar w:fldCharType="end"/>
      </w:r>
      <w:r w:rsidRPr="009D48A5">
        <w:rPr>
          <w:rFonts w:hint="eastAsia"/>
        </w:rPr>
        <w:t>)</w:t>
      </w:r>
      <w:r w:rsidRPr="009D48A5">
        <w:rPr>
          <w:rFonts w:hint="eastAsia"/>
        </w:rPr>
        <w:t>。</w:t>
      </w:r>
    </w:p>
  </w:footnote>
  <w:footnote w:id="486">
    <w:p w:rsidR="00AB00DE" w:rsidRPr="009D48A5" w:rsidRDefault="00AB00DE" w:rsidP="00B44972">
      <w:pPr>
        <w:pStyle w:val="a4"/>
        <w:spacing w:after="80"/>
      </w:pPr>
      <w:r w:rsidRPr="009D48A5">
        <w:rPr>
          <w:rFonts w:hint="eastAsia"/>
        </w:rPr>
        <w:tab/>
      </w:r>
      <w:r w:rsidRPr="00DF5565">
        <w:rPr>
          <w:rStyle w:val="a5"/>
          <w:szCs w:val="22"/>
        </w:rPr>
        <w:footnoteRef/>
      </w:r>
      <w:r w:rsidRPr="009D48A5">
        <w:rPr>
          <w:rFonts w:hint="eastAsia"/>
        </w:rPr>
        <w:tab/>
      </w:r>
      <w:r w:rsidRPr="009D48A5">
        <w:rPr>
          <w:rFonts w:hint="eastAsia"/>
        </w:rPr>
        <w:t>同上，见</w:t>
      </w:r>
      <w:r w:rsidRPr="009D48A5">
        <w:t>152-153</w:t>
      </w:r>
      <w:r w:rsidRPr="009D48A5">
        <w:rPr>
          <w:rFonts w:hint="eastAsia"/>
        </w:rPr>
        <w:t>段。</w:t>
      </w:r>
    </w:p>
  </w:footnote>
  <w:footnote w:id="487">
    <w:p w:rsidR="00AB00DE" w:rsidRPr="009D48A5" w:rsidRDefault="00AB00DE" w:rsidP="00B44972">
      <w:pPr>
        <w:pStyle w:val="a4"/>
        <w:spacing w:after="80"/>
      </w:pPr>
      <w:r w:rsidRPr="009D48A5">
        <w:rPr>
          <w:rFonts w:hint="eastAsia"/>
          <w:lang w:val="zh-CN"/>
        </w:rPr>
        <w:tab/>
      </w:r>
      <w:r w:rsidRPr="00DF5565">
        <w:rPr>
          <w:rStyle w:val="a5"/>
          <w:szCs w:val="22"/>
        </w:rPr>
        <w:footnoteRef/>
      </w:r>
      <w:r w:rsidRPr="009D48A5">
        <w:rPr>
          <w:rFonts w:hint="eastAsia"/>
          <w:lang w:val="zh-CN"/>
        </w:rPr>
        <w:tab/>
      </w:r>
      <w:r w:rsidRPr="009D48A5">
        <w:rPr>
          <w:rFonts w:hint="eastAsia"/>
          <w:lang w:val="zh-CN"/>
        </w:rPr>
        <w:t>关于这两种嗣后惯例形式的区分，见本评注下文第</w:t>
      </w:r>
      <w:r w:rsidRPr="009D48A5">
        <w:rPr>
          <w:rFonts w:hint="eastAsia"/>
          <w:lang w:val="zh-CN"/>
        </w:rPr>
        <w:t>(</w:t>
      </w:r>
      <w:r w:rsidRPr="009D48A5">
        <w:rPr>
          <w:lang w:val="zh-CN"/>
        </w:rPr>
        <w:t>2</w:t>
      </w:r>
      <w:r w:rsidRPr="009D48A5">
        <w:rPr>
          <w:rFonts w:hint="eastAsia"/>
          <w:lang w:val="zh-CN"/>
        </w:rPr>
        <w:t>3)</w:t>
      </w:r>
      <w:r w:rsidRPr="009D48A5">
        <w:rPr>
          <w:rFonts w:hint="eastAsia"/>
          <w:lang w:val="zh-CN"/>
        </w:rPr>
        <w:t>和第</w:t>
      </w:r>
      <w:r w:rsidRPr="009D48A5">
        <w:rPr>
          <w:rFonts w:hint="eastAsia"/>
          <w:lang w:val="zh-CN"/>
        </w:rPr>
        <w:t>(</w:t>
      </w:r>
      <w:r w:rsidRPr="009D48A5">
        <w:rPr>
          <w:lang w:val="zh-CN"/>
        </w:rPr>
        <w:t>2</w:t>
      </w:r>
      <w:r w:rsidRPr="009D48A5">
        <w:rPr>
          <w:rFonts w:hint="eastAsia"/>
          <w:lang w:val="zh-CN"/>
        </w:rPr>
        <w:t>4)</w:t>
      </w:r>
      <w:r w:rsidRPr="009D48A5">
        <w:rPr>
          <w:rFonts w:hint="eastAsia"/>
          <w:lang w:val="zh-CN"/>
        </w:rPr>
        <w:t>段。</w:t>
      </w:r>
    </w:p>
  </w:footnote>
  <w:footnote w:id="488">
    <w:p w:rsidR="00AB00DE" w:rsidRPr="009D48A5" w:rsidRDefault="00AB00DE" w:rsidP="00B44972">
      <w:pPr>
        <w:pStyle w:val="a4"/>
        <w:spacing w:after="80"/>
      </w:pPr>
      <w:r w:rsidRPr="009D48A5">
        <w:rPr>
          <w:rFonts w:hint="eastAsia"/>
        </w:rPr>
        <w:tab/>
      </w:r>
      <w:r w:rsidRPr="00DF5565">
        <w:rPr>
          <w:rStyle w:val="a5"/>
          <w:szCs w:val="22"/>
        </w:rPr>
        <w:footnoteRef/>
      </w:r>
      <w:r w:rsidRPr="009D48A5">
        <w:rPr>
          <w:rFonts w:hint="eastAsia"/>
        </w:rPr>
        <w:tab/>
      </w:r>
      <w:r w:rsidRPr="009D48A5">
        <w:t>《</w:t>
      </w:r>
      <w:r w:rsidRPr="009D48A5">
        <w:t>2001</w:t>
      </w:r>
      <w:r w:rsidRPr="009D48A5">
        <w:t>年</w:t>
      </w:r>
      <w:r w:rsidRPr="009D48A5">
        <w:rPr>
          <w:rFonts w:hint="eastAsia"/>
        </w:rPr>
        <w:t>……</w:t>
      </w:r>
      <w:r w:rsidRPr="009D48A5">
        <w:t>年鉴》</w:t>
      </w:r>
      <w:r w:rsidRPr="009D48A5">
        <w:rPr>
          <w:rFonts w:hint="eastAsia"/>
        </w:rPr>
        <w:t>，第二卷</w:t>
      </w:r>
      <w:r w:rsidRPr="009D48A5">
        <w:rPr>
          <w:rFonts w:hint="eastAsia"/>
        </w:rPr>
        <w:t>(</w:t>
      </w:r>
      <w:r w:rsidRPr="009D48A5">
        <w:rPr>
          <w:rFonts w:hint="eastAsia"/>
        </w:rPr>
        <w:t>第二部分</w:t>
      </w:r>
      <w:r w:rsidRPr="009D48A5">
        <w:rPr>
          <w:rFonts w:hint="eastAsia"/>
        </w:rPr>
        <w:t>)</w:t>
      </w:r>
      <w:r w:rsidRPr="009D48A5">
        <w:rPr>
          <w:rFonts w:hint="eastAsia"/>
        </w:rPr>
        <w:t>及更正，第</w:t>
      </w:r>
      <w:r w:rsidRPr="009D48A5">
        <w:t>34-35</w:t>
      </w:r>
      <w:r w:rsidRPr="009D48A5">
        <w:rPr>
          <w:rFonts w:hint="eastAsia"/>
        </w:rPr>
        <w:t>页，评注第</w:t>
      </w:r>
      <w:r w:rsidRPr="009D48A5">
        <w:rPr>
          <w:rFonts w:hint="eastAsia"/>
        </w:rPr>
        <w:t>(</w:t>
      </w:r>
      <w:r w:rsidRPr="009D48A5">
        <w:t>2</w:t>
      </w:r>
      <w:r w:rsidRPr="009D48A5">
        <w:rPr>
          <w:rFonts w:hint="eastAsia"/>
        </w:rPr>
        <w:t>)</w:t>
      </w:r>
      <w:r w:rsidRPr="009D48A5">
        <w:t>-</w:t>
      </w:r>
      <w:r w:rsidRPr="009D48A5">
        <w:rPr>
          <w:rFonts w:hint="eastAsia"/>
        </w:rPr>
        <w:t>(</w:t>
      </w:r>
      <w:r w:rsidRPr="009D48A5">
        <w:t>4</w:t>
      </w:r>
      <w:r w:rsidRPr="009D48A5">
        <w:rPr>
          <w:rFonts w:hint="eastAsia"/>
        </w:rPr>
        <w:t>)</w:t>
      </w:r>
      <w:r w:rsidRPr="009D48A5">
        <w:rPr>
          <w:rFonts w:hint="eastAsia"/>
        </w:rPr>
        <w:t>段。</w:t>
      </w:r>
    </w:p>
  </w:footnote>
  <w:footnote w:id="489">
    <w:p w:rsidR="00AB00DE" w:rsidRPr="009D48A5" w:rsidRDefault="00AB00DE" w:rsidP="00D90936">
      <w:pPr>
        <w:pStyle w:val="a4"/>
        <w:spacing w:after="80"/>
      </w:pPr>
      <w:r w:rsidRPr="009D48A5">
        <w:rPr>
          <w:rFonts w:hint="eastAsia"/>
        </w:rPr>
        <w:tab/>
      </w:r>
      <w:r w:rsidRPr="00DF5565">
        <w:rPr>
          <w:rStyle w:val="a5"/>
          <w:szCs w:val="22"/>
        </w:rPr>
        <w:footnoteRef/>
      </w:r>
      <w:r w:rsidRPr="00DF5565">
        <w:rPr>
          <w:rStyle w:val="a5"/>
          <w:rFonts w:hint="eastAsia"/>
          <w:szCs w:val="22"/>
        </w:rPr>
        <w:tab/>
      </w:r>
      <w:r w:rsidRPr="009D48A5">
        <w:t>沃尔多克，</w:t>
      </w:r>
      <w:r w:rsidRPr="009D48A5">
        <w:rPr>
          <w:rFonts w:hint="eastAsia"/>
        </w:rPr>
        <w:t>《关于条约法的第三次报告》，</w:t>
      </w:r>
      <w:r w:rsidRPr="009D48A5">
        <w:t>《</w:t>
      </w:r>
      <w:r w:rsidRPr="009D48A5">
        <w:t>1964</w:t>
      </w:r>
      <w:r w:rsidRPr="009D48A5">
        <w:t>年</w:t>
      </w:r>
      <w:r w:rsidRPr="009D48A5">
        <w:rPr>
          <w:rFonts w:hint="eastAsia"/>
        </w:rPr>
        <w:t>……</w:t>
      </w:r>
      <w:r w:rsidRPr="009D48A5">
        <w:t>年鉴》，</w:t>
      </w:r>
      <w:r w:rsidRPr="009D48A5">
        <w:rPr>
          <w:rFonts w:hint="eastAsia"/>
        </w:rPr>
        <w:t>第二卷，</w:t>
      </w:r>
      <w:r w:rsidRPr="009D48A5">
        <w:t>A/CN.4/167</w:t>
      </w:r>
      <w:r w:rsidRPr="009D48A5">
        <w:rPr>
          <w:rFonts w:hint="eastAsia"/>
        </w:rPr>
        <w:t>和</w:t>
      </w:r>
      <w:r w:rsidRPr="009D48A5">
        <w:t>Add.1-3</w:t>
      </w:r>
      <w:r w:rsidRPr="009D48A5">
        <w:rPr>
          <w:rFonts w:hint="eastAsia"/>
        </w:rPr>
        <w:t>号文件，第</w:t>
      </w:r>
      <w:r w:rsidRPr="009D48A5">
        <w:t>61-62</w:t>
      </w:r>
      <w:r w:rsidRPr="009D48A5">
        <w:rPr>
          <w:rFonts w:hint="eastAsia"/>
        </w:rPr>
        <w:t>页，第</w:t>
      </w:r>
      <w:r w:rsidRPr="009D48A5">
        <w:rPr>
          <w:rFonts w:hint="eastAsia"/>
        </w:rPr>
        <w:t>(</w:t>
      </w:r>
      <w:r w:rsidRPr="009D48A5">
        <w:t>32</w:t>
      </w:r>
      <w:r w:rsidRPr="009D48A5">
        <w:rPr>
          <w:rFonts w:hint="eastAsia"/>
        </w:rPr>
        <w:t>)</w:t>
      </w:r>
      <w:r w:rsidRPr="009D48A5">
        <w:t>-</w:t>
      </w:r>
      <w:r w:rsidRPr="009D48A5">
        <w:rPr>
          <w:rFonts w:hint="eastAsia"/>
        </w:rPr>
        <w:t>(</w:t>
      </w:r>
      <w:r w:rsidRPr="009D48A5">
        <w:t>33</w:t>
      </w:r>
      <w:r w:rsidRPr="009D48A5">
        <w:rPr>
          <w:rFonts w:hint="eastAsia"/>
        </w:rPr>
        <w:t>)</w:t>
      </w:r>
      <w:r w:rsidRPr="009D48A5">
        <w:rPr>
          <w:rFonts w:hint="eastAsia"/>
        </w:rPr>
        <w:t>段；</w:t>
      </w:r>
      <w:r w:rsidRPr="009D48A5">
        <w:rPr>
          <w:rFonts w:ascii="Time New Roman" w:eastAsia="楷体" w:hAnsi="Time New Roman"/>
        </w:rPr>
        <w:t>隆瑞古寺案</w:t>
      </w:r>
      <w:r w:rsidRPr="009D48A5">
        <w:rPr>
          <w:rFonts w:ascii="Time New Roman" w:eastAsia="楷体" w:hAnsi="Time New Roman" w:hint="eastAsia"/>
        </w:rPr>
        <w:t>(</w:t>
      </w:r>
      <w:r w:rsidRPr="009D48A5">
        <w:rPr>
          <w:rFonts w:ascii="Time New Roman" w:eastAsia="楷体" w:hAnsi="Time New Roman" w:hint="eastAsia"/>
        </w:rPr>
        <w:t>柬埔寨诉泰国</w:t>
      </w:r>
      <w:r w:rsidRPr="009D48A5">
        <w:rPr>
          <w:rFonts w:hint="eastAsia"/>
        </w:rPr>
        <w:t>)</w:t>
      </w:r>
      <w:r w:rsidRPr="009D48A5">
        <w:rPr>
          <w:rFonts w:hint="eastAsia"/>
        </w:rPr>
        <w:t>，</w:t>
      </w:r>
      <w:r w:rsidRPr="009D48A5">
        <w:rPr>
          <w:rFonts w:ascii="Time New Roman" w:eastAsia="楷体" w:hAnsi="Time New Roman" w:hint="eastAsia"/>
        </w:rPr>
        <w:t>案情</w:t>
      </w:r>
      <w:r w:rsidRPr="009D48A5">
        <w:rPr>
          <w:rFonts w:hint="eastAsia"/>
        </w:rPr>
        <w:t>，</w:t>
      </w:r>
      <w:r w:rsidRPr="009D48A5">
        <w:rPr>
          <w:rFonts w:hint="eastAsia"/>
        </w:rPr>
        <w:t>1962</w:t>
      </w:r>
      <w:r w:rsidRPr="009D48A5">
        <w:rPr>
          <w:rFonts w:ascii="Time New Roman" w:eastAsia="楷体" w:hAnsi="Time New Roman" w:hint="eastAsia"/>
        </w:rPr>
        <w:t>年</w:t>
      </w:r>
      <w:r w:rsidRPr="009D48A5">
        <w:rPr>
          <w:rFonts w:hint="eastAsia"/>
        </w:rPr>
        <w:t>6</w:t>
      </w:r>
      <w:r w:rsidRPr="009D48A5">
        <w:rPr>
          <w:rFonts w:ascii="Time New Roman" w:eastAsia="楷体" w:hAnsi="Time New Roman" w:hint="eastAsia"/>
        </w:rPr>
        <w:t>月</w:t>
      </w:r>
      <w:r w:rsidRPr="009D48A5">
        <w:rPr>
          <w:rFonts w:ascii="Time New Roman" w:eastAsia="楷体" w:hAnsi="Time New Roman" w:hint="eastAsia"/>
        </w:rPr>
        <w:t>15</w:t>
      </w:r>
      <w:r w:rsidRPr="009D48A5">
        <w:rPr>
          <w:rFonts w:ascii="Time New Roman" w:eastAsia="楷体" w:hAnsi="Time New Roman" w:hint="eastAsia"/>
        </w:rPr>
        <w:t>日的判决</w:t>
      </w:r>
      <w:r w:rsidRPr="009D48A5">
        <w:rPr>
          <w:rFonts w:hint="eastAsia"/>
        </w:rPr>
        <w:t>，</w:t>
      </w:r>
      <w:r w:rsidRPr="009D48A5">
        <w:rPr>
          <w:rFonts w:hint="eastAsia"/>
          <w:lang w:val="zh-CN"/>
        </w:rPr>
        <w:t>《</w:t>
      </w:r>
      <w:r w:rsidRPr="009D48A5">
        <w:rPr>
          <w:rFonts w:hint="eastAsia"/>
          <w:lang w:val="zh-CN"/>
        </w:rPr>
        <w:t>1962</w:t>
      </w:r>
      <w:r w:rsidRPr="009D48A5">
        <w:rPr>
          <w:rFonts w:hint="eastAsia"/>
          <w:lang w:val="zh-CN"/>
        </w:rPr>
        <w:t>年国际法院案例汇编》</w:t>
      </w:r>
      <w:r w:rsidRPr="009D48A5">
        <w:rPr>
          <w:rFonts w:hint="eastAsia"/>
        </w:rPr>
        <w:t>，第</w:t>
      </w:r>
      <w:r w:rsidRPr="009D48A5">
        <w:rPr>
          <w:rFonts w:hint="eastAsia"/>
        </w:rPr>
        <w:t>6</w:t>
      </w:r>
      <w:r w:rsidRPr="009D48A5">
        <w:rPr>
          <w:rFonts w:hint="eastAsia"/>
        </w:rPr>
        <w:t>页起，见第</w:t>
      </w:r>
      <w:r w:rsidRPr="009D48A5">
        <w:t>23</w:t>
      </w:r>
      <w:r w:rsidRPr="009D48A5">
        <w:rPr>
          <w:rFonts w:hint="eastAsia"/>
        </w:rPr>
        <w:t>页</w:t>
      </w:r>
      <w:r w:rsidRPr="009D48A5">
        <w:t>；</w:t>
      </w:r>
      <w:r w:rsidRPr="009D48A5">
        <w:rPr>
          <w:rFonts w:hint="eastAsia"/>
          <w:lang w:val="zh-CN"/>
        </w:rPr>
        <w:t>在</w:t>
      </w:r>
      <w:r w:rsidRPr="009D48A5">
        <w:rPr>
          <w:rFonts w:ascii="Time New Roman" w:eastAsia="楷体" w:hAnsi="Time New Roman" w:hint="eastAsia"/>
        </w:rPr>
        <w:t>尼加拉瓜境内和针对尼加拉瓜的军事和准军事活动案</w:t>
      </w:r>
      <w:r w:rsidRPr="009D48A5">
        <w:rPr>
          <w:rFonts w:ascii="Time New Roman" w:eastAsia="楷体" w:hAnsi="Time New Roman" w:hint="eastAsia"/>
        </w:rPr>
        <w:t>(</w:t>
      </w:r>
      <w:r w:rsidRPr="009D48A5">
        <w:rPr>
          <w:rFonts w:ascii="Time New Roman" w:eastAsia="楷体" w:hAnsi="Time New Roman" w:hint="eastAsia"/>
        </w:rPr>
        <w:t>尼加拉瓜诉美利坚合众国</w:t>
      </w:r>
      <w:r w:rsidRPr="009D48A5">
        <w:rPr>
          <w:rFonts w:ascii="Time New Roman" w:eastAsia="楷体" w:hAnsi="Time New Roman" w:hint="eastAsia"/>
        </w:rPr>
        <w:t>)</w:t>
      </w:r>
      <w:r w:rsidRPr="009D48A5">
        <w:rPr>
          <w:rFonts w:ascii="Time New Roman" w:eastAsia="楷体" w:hAnsi="Time New Roman" w:hint="eastAsia"/>
        </w:rPr>
        <w:t>，管辖权和可否受理，判决</w:t>
      </w:r>
      <w:r w:rsidRPr="009D48A5">
        <w:rPr>
          <w:rFonts w:hint="eastAsia"/>
        </w:rPr>
        <w:t>，《</w:t>
      </w:r>
      <w:r w:rsidRPr="009D48A5">
        <w:rPr>
          <w:rFonts w:hint="eastAsia"/>
        </w:rPr>
        <w:t>1984</w:t>
      </w:r>
      <w:r w:rsidRPr="009D48A5">
        <w:rPr>
          <w:rFonts w:hint="eastAsia"/>
        </w:rPr>
        <w:t>年国际法院案例汇编》，第</w:t>
      </w:r>
      <w:r w:rsidRPr="00D90936">
        <w:rPr>
          <w:rFonts w:asciiTheme="majorBidi" w:hAnsiTheme="majorBidi" w:cstheme="majorBidi"/>
        </w:rPr>
        <w:fldChar w:fldCharType="begin"/>
      </w:r>
      <w:r w:rsidRPr="00D90936">
        <w:rPr>
          <w:rFonts w:asciiTheme="majorBidi" w:hAnsiTheme="majorBidi" w:cstheme="majorBidi"/>
        </w:rPr>
        <w:instrText xml:space="preserve"> NOTEREF _Ref461971974 \h </w:instrText>
      </w:r>
      <w:r>
        <w:rPr>
          <w:rFonts w:asciiTheme="majorBidi" w:hAnsiTheme="majorBidi" w:cstheme="majorBidi"/>
        </w:rPr>
        <w:instrText xml:space="preserve"> \* MERGEFORMAT </w:instrText>
      </w:r>
      <w:r w:rsidRPr="00D90936">
        <w:rPr>
          <w:rFonts w:asciiTheme="majorBidi" w:hAnsiTheme="majorBidi" w:cstheme="majorBidi"/>
        </w:rPr>
      </w:r>
      <w:r w:rsidRPr="00D90936">
        <w:rPr>
          <w:rFonts w:asciiTheme="majorBidi" w:hAnsiTheme="majorBidi" w:cstheme="majorBidi"/>
        </w:rPr>
        <w:fldChar w:fldCharType="separate"/>
      </w:r>
      <w:r w:rsidR="00A73EB9">
        <w:rPr>
          <w:rFonts w:asciiTheme="majorBidi" w:hAnsiTheme="majorBidi" w:cstheme="majorBidi"/>
        </w:rPr>
        <w:t>392</w:t>
      </w:r>
      <w:r w:rsidRPr="00D90936">
        <w:rPr>
          <w:rFonts w:asciiTheme="majorBidi" w:hAnsiTheme="majorBidi" w:cstheme="majorBidi"/>
        </w:rPr>
        <w:fldChar w:fldCharType="end"/>
      </w:r>
      <w:r w:rsidRPr="009D48A5">
        <w:rPr>
          <w:rFonts w:hint="eastAsia"/>
        </w:rPr>
        <w:t>页起，见第</w:t>
      </w:r>
      <w:r w:rsidRPr="009D48A5">
        <w:t>410</w:t>
      </w:r>
      <w:r w:rsidRPr="009D48A5">
        <w:rPr>
          <w:rFonts w:hint="eastAsia"/>
        </w:rPr>
        <w:t>页，</w:t>
      </w:r>
      <w:r w:rsidRPr="009D48A5">
        <w:t>第</w:t>
      </w:r>
      <w:r w:rsidRPr="009D48A5">
        <w:t>39</w:t>
      </w:r>
      <w:r w:rsidRPr="009D48A5">
        <w:t>段；</w:t>
      </w:r>
      <w:r w:rsidRPr="009D48A5">
        <w:rPr>
          <w:rFonts w:ascii="Time New Roman" w:eastAsia="楷体" w:hAnsi="Time New Roman" w:hint="eastAsia"/>
        </w:rPr>
        <w:t>阿根廷和智利比格尔海峡争端案</w:t>
      </w:r>
      <w:r w:rsidRPr="009D48A5">
        <w:rPr>
          <w:rFonts w:hint="eastAsia"/>
        </w:rPr>
        <w:t>，《国际仲裁裁决汇编》，第</w:t>
      </w:r>
      <w:r w:rsidRPr="009D48A5">
        <w:rPr>
          <w:rFonts w:hint="eastAsia"/>
        </w:rPr>
        <w:t>21</w:t>
      </w:r>
      <w:r w:rsidRPr="009D48A5">
        <w:rPr>
          <w:rFonts w:hint="eastAsia"/>
        </w:rPr>
        <w:t>卷</w:t>
      </w:r>
      <w:r w:rsidRPr="009D48A5">
        <w:rPr>
          <w:rFonts w:hint="eastAsia"/>
        </w:rPr>
        <w:t>(</w:t>
      </w:r>
      <w:r w:rsidRPr="009D48A5">
        <w:rPr>
          <w:rFonts w:hint="eastAsia"/>
        </w:rPr>
        <w:t>出售品编号</w:t>
      </w:r>
      <w:r w:rsidRPr="009D48A5">
        <w:t>E/F.95.V2</w:t>
      </w:r>
      <w:r w:rsidRPr="009D48A5">
        <w:rPr>
          <w:rFonts w:hint="eastAsia"/>
        </w:rPr>
        <w:t>)</w:t>
      </w:r>
      <w:r w:rsidRPr="009D48A5">
        <w:rPr>
          <w:rFonts w:hint="eastAsia"/>
        </w:rPr>
        <w:t>，第</w:t>
      </w:r>
      <w:r w:rsidRPr="009D48A5">
        <w:t>53-264</w:t>
      </w:r>
      <w:r w:rsidRPr="009D48A5">
        <w:rPr>
          <w:rFonts w:hint="eastAsia"/>
        </w:rPr>
        <w:t>页，见第</w:t>
      </w:r>
      <w:r>
        <w:t>185</w:t>
      </w:r>
      <w:r w:rsidRPr="009D48A5">
        <w:t>-187</w:t>
      </w:r>
      <w:r w:rsidRPr="009D48A5">
        <w:rPr>
          <w:rFonts w:hint="eastAsia"/>
        </w:rPr>
        <w:t>页，第</w:t>
      </w:r>
      <w:r w:rsidRPr="009D48A5">
        <w:t>168-169</w:t>
      </w:r>
      <w:r w:rsidRPr="009D48A5">
        <w:rPr>
          <w:rFonts w:hint="eastAsia"/>
        </w:rPr>
        <w:t>段。</w:t>
      </w:r>
    </w:p>
  </w:footnote>
  <w:footnote w:id="490">
    <w:p w:rsidR="00AB00DE" w:rsidRPr="009D48A5" w:rsidRDefault="00AB00DE" w:rsidP="00B44972">
      <w:pPr>
        <w:pStyle w:val="a4"/>
        <w:spacing w:after="80"/>
      </w:pPr>
      <w:r w:rsidRPr="009D48A5">
        <w:rPr>
          <w:rFonts w:hint="eastAsia"/>
        </w:rPr>
        <w:tab/>
      </w:r>
      <w:r w:rsidRPr="00DF5565">
        <w:rPr>
          <w:rStyle w:val="a5"/>
          <w:szCs w:val="22"/>
        </w:rPr>
        <w:footnoteRef/>
      </w:r>
      <w:r w:rsidRPr="009D48A5">
        <w:rPr>
          <w:rFonts w:hint="eastAsia"/>
        </w:rPr>
        <w:tab/>
      </w:r>
      <w:r w:rsidRPr="009D48A5">
        <w:t>《北美自贸协定》</w:t>
      </w:r>
      <w:r w:rsidRPr="009D48A5">
        <w:rPr>
          <w:rFonts w:hint="eastAsia"/>
        </w:rPr>
        <w:t>仲裁专家组最后报告，</w:t>
      </w:r>
      <w:r w:rsidRPr="009D48A5">
        <w:rPr>
          <w:rFonts w:ascii="Time New Roman" w:eastAsia="楷体" w:hAnsi="Time New Roman" w:hint="eastAsia"/>
        </w:rPr>
        <w:t>跨界卡车运输服务</w:t>
      </w:r>
      <w:r w:rsidRPr="009D48A5">
        <w:rPr>
          <w:rFonts w:ascii="Time New Roman" w:eastAsia="楷体" w:hAnsi="Time New Roman"/>
        </w:rPr>
        <w:t>(</w:t>
      </w:r>
      <w:r w:rsidRPr="009D48A5">
        <w:rPr>
          <w:rFonts w:ascii="Time New Roman" w:eastAsia="楷体" w:hAnsi="Time New Roman" w:hint="eastAsia"/>
        </w:rPr>
        <w:t>墨西哥诉美利坚合众国</w:t>
      </w:r>
      <w:r w:rsidRPr="009D48A5">
        <w:t>)</w:t>
      </w:r>
      <w:r w:rsidRPr="009D48A5">
        <w:t>，</w:t>
      </w:r>
      <w:r w:rsidRPr="009D48A5">
        <w:rPr>
          <w:rFonts w:hint="eastAsia"/>
        </w:rPr>
        <w:t>编号</w:t>
      </w:r>
      <w:r w:rsidRPr="009D48A5">
        <w:t>USA-MEX-98-2008-01, 2001</w:t>
      </w:r>
      <w:r w:rsidRPr="009D48A5">
        <w:t>年</w:t>
      </w:r>
      <w:r w:rsidRPr="009D48A5">
        <w:t>2</w:t>
      </w:r>
      <w:r w:rsidRPr="009D48A5">
        <w:t>月</w:t>
      </w:r>
      <w:r w:rsidRPr="009D48A5">
        <w:t>6</w:t>
      </w:r>
      <w:r w:rsidRPr="009D48A5">
        <w:t>日</w:t>
      </w:r>
      <w:r w:rsidRPr="009D48A5">
        <w:rPr>
          <w:rFonts w:hint="eastAsia"/>
        </w:rPr>
        <w:t>通过，</w:t>
      </w:r>
      <w:r w:rsidRPr="009D48A5">
        <w:t>第</w:t>
      </w:r>
      <w:r w:rsidRPr="009D48A5">
        <w:t>224</w:t>
      </w:r>
      <w:r w:rsidRPr="009D48A5">
        <w:t>段</w:t>
      </w:r>
      <w:r w:rsidRPr="009D48A5">
        <w:rPr>
          <w:rFonts w:hint="eastAsia"/>
        </w:rPr>
        <w:t>(</w:t>
      </w:r>
      <w:r w:rsidRPr="009D48A5">
        <w:rPr>
          <w:rFonts w:hint="eastAsia"/>
        </w:rPr>
        <w:t>脚注略</w:t>
      </w:r>
      <w:r w:rsidRPr="009D48A5">
        <w:rPr>
          <w:rFonts w:hint="eastAsia"/>
        </w:rPr>
        <w:t>)</w:t>
      </w:r>
      <w:r w:rsidRPr="009D48A5">
        <w:rPr>
          <w:rFonts w:hint="eastAsia"/>
        </w:rPr>
        <w:t>。</w:t>
      </w:r>
    </w:p>
  </w:footnote>
  <w:footnote w:id="491">
    <w:p w:rsidR="00AB00DE" w:rsidRPr="009D48A5" w:rsidRDefault="00AB00DE" w:rsidP="00B44972">
      <w:pPr>
        <w:pStyle w:val="a4"/>
        <w:spacing w:after="80"/>
      </w:pPr>
      <w:r w:rsidRPr="009D48A5">
        <w:rPr>
          <w:rFonts w:hint="eastAsia"/>
        </w:rPr>
        <w:tab/>
      </w:r>
      <w:r w:rsidRPr="00DF5565">
        <w:rPr>
          <w:rStyle w:val="a5"/>
          <w:szCs w:val="22"/>
        </w:rPr>
        <w:footnoteRef/>
      </w:r>
      <w:r w:rsidRPr="00DF5565">
        <w:rPr>
          <w:rStyle w:val="a5"/>
          <w:rFonts w:hint="eastAsia"/>
          <w:szCs w:val="22"/>
        </w:rPr>
        <w:tab/>
      </w:r>
      <w:r w:rsidRPr="009D48A5">
        <w:rPr>
          <w:rFonts w:hint="eastAsia"/>
        </w:rPr>
        <w:t>例如，世贸组织专家组报告，</w:t>
      </w:r>
      <w:r w:rsidRPr="009D48A5">
        <w:rPr>
          <w:rFonts w:ascii="Time New Roman" w:eastAsia="楷体" w:hAnsi="Time New Roman" w:hint="eastAsia"/>
        </w:rPr>
        <w:t>美国－版权法第</w:t>
      </w:r>
      <w:r w:rsidRPr="009D48A5">
        <w:rPr>
          <w:rFonts w:ascii="Time New Roman" w:eastAsia="楷体" w:hAnsi="Time New Roman" w:hint="eastAsia"/>
        </w:rPr>
        <w:t>110(5)</w:t>
      </w:r>
      <w:r w:rsidRPr="009D48A5">
        <w:rPr>
          <w:rFonts w:ascii="Time New Roman" w:eastAsia="楷体" w:hAnsi="Time New Roman" w:hint="eastAsia"/>
        </w:rPr>
        <w:t>节条款案</w:t>
      </w:r>
      <w:r w:rsidRPr="009D48A5">
        <w:rPr>
          <w:rFonts w:hint="eastAsia"/>
        </w:rPr>
        <w:t>，</w:t>
      </w:r>
      <w:r w:rsidRPr="009D48A5">
        <w:t>WT/DS160/R, 2000</w:t>
      </w:r>
      <w:r w:rsidRPr="009D48A5">
        <w:t>年</w:t>
      </w:r>
      <w:r w:rsidRPr="009D48A5">
        <w:rPr>
          <w:rFonts w:hint="eastAsia"/>
        </w:rPr>
        <w:t>7</w:t>
      </w:r>
      <w:r w:rsidRPr="009D48A5">
        <w:t>月</w:t>
      </w:r>
      <w:r w:rsidRPr="009D48A5">
        <w:rPr>
          <w:rFonts w:hint="eastAsia"/>
        </w:rPr>
        <w:t>27</w:t>
      </w:r>
      <w:r w:rsidRPr="009D48A5">
        <w:t>日</w:t>
      </w:r>
      <w:r w:rsidRPr="009D48A5">
        <w:rPr>
          <w:rFonts w:hint="eastAsia"/>
        </w:rPr>
        <w:t>通过，</w:t>
      </w:r>
      <w:r w:rsidRPr="009D48A5">
        <w:t>第</w:t>
      </w:r>
      <w:r w:rsidRPr="009D48A5">
        <w:t>6.55</w:t>
      </w:r>
      <w:r w:rsidRPr="009D48A5">
        <w:t>段；</w:t>
      </w:r>
      <w:r w:rsidRPr="009D48A5">
        <w:rPr>
          <w:rFonts w:hint="eastAsia"/>
        </w:rPr>
        <w:t>世贸组织专家组报告，</w:t>
      </w:r>
      <w:r w:rsidRPr="009D48A5">
        <w:rPr>
          <w:rFonts w:ascii="Time New Roman" w:eastAsia="楷体" w:hAnsi="Time New Roman" w:hint="eastAsia"/>
        </w:rPr>
        <w:t>美国－“归零”法的继续存在和适用案</w:t>
      </w:r>
      <w:r w:rsidRPr="009D48A5">
        <w:rPr>
          <w:rFonts w:hint="eastAsia"/>
        </w:rPr>
        <w:t>，</w:t>
      </w:r>
      <w:r w:rsidRPr="009D48A5">
        <w:t>WT/DS350/R, 200</w:t>
      </w:r>
      <w:r w:rsidRPr="009D48A5">
        <w:rPr>
          <w:rFonts w:hint="eastAsia"/>
        </w:rPr>
        <w:t>9</w:t>
      </w:r>
      <w:r w:rsidRPr="009D48A5">
        <w:t>年</w:t>
      </w:r>
      <w:r w:rsidRPr="009D48A5">
        <w:rPr>
          <w:rFonts w:hint="eastAsia"/>
        </w:rPr>
        <w:t>2</w:t>
      </w:r>
      <w:r w:rsidRPr="009D48A5">
        <w:t>月</w:t>
      </w:r>
      <w:r w:rsidRPr="009D48A5">
        <w:t>1</w:t>
      </w:r>
      <w:r w:rsidRPr="009D48A5">
        <w:rPr>
          <w:rFonts w:hint="eastAsia"/>
        </w:rPr>
        <w:t>9</w:t>
      </w:r>
      <w:r w:rsidRPr="009D48A5">
        <w:t>日</w:t>
      </w:r>
      <w:r w:rsidRPr="009D48A5">
        <w:rPr>
          <w:rFonts w:hint="eastAsia"/>
        </w:rPr>
        <w:t>通过，</w:t>
      </w:r>
      <w:r w:rsidRPr="009D48A5">
        <w:t>第</w:t>
      </w:r>
      <w:r w:rsidRPr="009D48A5">
        <w:t>7.173</w:t>
      </w:r>
      <w:r w:rsidRPr="009D48A5">
        <w:t>段；</w:t>
      </w:r>
      <w:r w:rsidRPr="009D48A5">
        <w:rPr>
          <w:rFonts w:hint="eastAsia"/>
        </w:rPr>
        <w:t>世贸组织上诉机构报告，</w:t>
      </w:r>
      <w:r w:rsidRPr="009D48A5">
        <w:rPr>
          <w:rFonts w:ascii="Time New Roman" w:eastAsia="楷体" w:hAnsi="Time New Roman" w:hint="eastAsia"/>
        </w:rPr>
        <w:t>美国－对中国某些产品确定征收的反倾销税和反补贴税案</w:t>
      </w:r>
      <w:r w:rsidRPr="009D48A5">
        <w:rPr>
          <w:rFonts w:hint="eastAsia"/>
        </w:rPr>
        <w:t>，</w:t>
      </w:r>
      <w:r w:rsidRPr="009D48A5">
        <w:t>WT/DS379/AB/R, 2011</w:t>
      </w:r>
      <w:r w:rsidRPr="009D48A5">
        <w:t>年</w:t>
      </w:r>
      <w:r w:rsidRPr="009D48A5">
        <w:t>3</w:t>
      </w:r>
      <w:r w:rsidRPr="009D48A5">
        <w:t>月</w:t>
      </w:r>
      <w:r w:rsidRPr="009D48A5">
        <w:rPr>
          <w:rFonts w:hint="eastAsia"/>
        </w:rPr>
        <w:t>25</w:t>
      </w:r>
      <w:r w:rsidRPr="009D48A5">
        <w:t>日</w:t>
      </w:r>
      <w:r w:rsidRPr="009D48A5">
        <w:rPr>
          <w:rFonts w:hint="eastAsia"/>
        </w:rPr>
        <w:t>通过，</w:t>
      </w:r>
      <w:r w:rsidRPr="009D48A5">
        <w:t>第</w:t>
      </w:r>
      <w:r w:rsidRPr="009D48A5">
        <w:t>335-336</w:t>
      </w:r>
      <w:r w:rsidRPr="009D48A5">
        <w:t>段；</w:t>
      </w:r>
      <w:r w:rsidRPr="009D48A5">
        <w:t>CMS</w:t>
      </w:r>
      <w:r w:rsidRPr="009D48A5">
        <w:rPr>
          <w:rFonts w:ascii="Time New Roman" w:eastAsia="楷体" w:hAnsi="Time New Roman" w:hint="eastAsia"/>
        </w:rPr>
        <w:t>燃气输送公司诉阿根廷共和国</w:t>
      </w:r>
      <w:r w:rsidRPr="009D48A5">
        <w:t>(</w:t>
      </w:r>
      <w:r w:rsidRPr="009D48A5">
        <w:rPr>
          <w:rFonts w:hint="eastAsia"/>
        </w:rPr>
        <w:t>美国</w:t>
      </w:r>
      <w:r w:rsidRPr="009D48A5">
        <w:t>/</w:t>
      </w:r>
      <w:r w:rsidRPr="009D48A5">
        <w:rPr>
          <w:rFonts w:hint="eastAsia"/>
        </w:rPr>
        <w:t>阿根廷双边投资条约</w:t>
      </w:r>
      <w:r w:rsidRPr="009D48A5">
        <w:t>)</w:t>
      </w:r>
      <w:r w:rsidRPr="009D48A5">
        <w:t>，</w:t>
      </w:r>
      <w:r w:rsidRPr="009D48A5">
        <w:rPr>
          <w:rFonts w:hint="eastAsia"/>
        </w:rPr>
        <w:t>就反对管辖权作出的裁决，</w:t>
      </w:r>
      <w:r w:rsidRPr="009D48A5">
        <w:t>2003</w:t>
      </w:r>
      <w:r w:rsidRPr="009D48A5">
        <w:t>年</w:t>
      </w:r>
      <w:r w:rsidRPr="009D48A5">
        <w:t>7</w:t>
      </w:r>
      <w:r w:rsidRPr="009D48A5">
        <w:t>月</w:t>
      </w:r>
      <w:r w:rsidRPr="009D48A5">
        <w:t>17</w:t>
      </w:r>
      <w:r w:rsidRPr="009D48A5">
        <w:t>日，解决投资争端国际中心案件编号</w:t>
      </w:r>
      <w:r w:rsidRPr="009D48A5">
        <w:t xml:space="preserve">ARB/01/8, </w:t>
      </w:r>
      <w:r w:rsidRPr="009D48A5">
        <w:rPr>
          <w:rFonts w:hint="eastAsia"/>
        </w:rPr>
        <w:t>《</w:t>
      </w:r>
      <w:r w:rsidRPr="009D48A5">
        <w:t>2003</w:t>
      </w:r>
      <w:r w:rsidRPr="009D48A5">
        <w:rPr>
          <w:rFonts w:hint="eastAsia"/>
        </w:rPr>
        <w:t>年</w:t>
      </w:r>
      <w:r w:rsidRPr="009D48A5">
        <w:t>解决投资争端国际中心</w:t>
      </w:r>
      <w:r w:rsidRPr="009D48A5">
        <w:rPr>
          <w:rFonts w:hint="eastAsia"/>
        </w:rPr>
        <w:t>案例汇编》，第</w:t>
      </w:r>
      <w:r w:rsidRPr="009D48A5">
        <w:t>7</w:t>
      </w:r>
      <w:r w:rsidRPr="009D48A5">
        <w:rPr>
          <w:rFonts w:hint="eastAsia"/>
        </w:rPr>
        <w:t>卷</w:t>
      </w:r>
      <w:r w:rsidRPr="009D48A5">
        <w:t>，</w:t>
      </w:r>
      <w:r w:rsidRPr="009D48A5">
        <w:rPr>
          <w:rFonts w:hint="eastAsia"/>
        </w:rPr>
        <w:t>第</w:t>
      </w:r>
      <w:r w:rsidRPr="009D48A5">
        <w:t>492</w:t>
      </w:r>
      <w:r w:rsidRPr="009D48A5">
        <w:rPr>
          <w:rFonts w:hint="eastAsia"/>
        </w:rPr>
        <w:t>页，</w:t>
      </w:r>
      <w:r w:rsidRPr="009D48A5">
        <w:t>第</w:t>
      </w:r>
      <w:r w:rsidRPr="009D48A5">
        <w:t>47</w:t>
      </w:r>
      <w:r w:rsidRPr="009D48A5">
        <w:t>段；</w:t>
      </w:r>
      <w:r w:rsidRPr="009D48A5">
        <w:t>V</w:t>
      </w:r>
      <w:r w:rsidRPr="009D48A5">
        <w:rPr>
          <w:rFonts w:hint="eastAsia"/>
        </w:rPr>
        <w:t>.</w:t>
      </w:r>
      <w:r w:rsidRPr="009D48A5">
        <w:rPr>
          <w:rFonts w:ascii="Time New Roman" w:eastAsia="楷体" w:hAnsi="Time New Roman" w:hint="eastAsia"/>
        </w:rPr>
        <w:t>诉英国</w:t>
      </w:r>
      <w:r w:rsidRPr="009D48A5">
        <w:t>[GC]</w:t>
      </w:r>
      <w:r w:rsidRPr="009D48A5">
        <w:t>，</w:t>
      </w:r>
      <w:r w:rsidRPr="009D48A5">
        <w:rPr>
          <w:rFonts w:hint="eastAsia"/>
        </w:rPr>
        <w:t>第</w:t>
      </w:r>
      <w:r w:rsidRPr="009D48A5">
        <w:t>24888/94</w:t>
      </w:r>
      <w:r w:rsidRPr="009D48A5">
        <w:rPr>
          <w:rFonts w:hint="eastAsia"/>
        </w:rPr>
        <w:t>号申诉</w:t>
      </w:r>
      <w:r w:rsidRPr="009D48A5">
        <w:t>，</w:t>
      </w:r>
      <w:r w:rsidRPr="009D48A5">
        <w:t>1999</w:t>
      </w:r>
      <w:r w:rsidRPr="009D48A5">
        <w:t>年</w:t>
      </w:r>
      <w:r w:rsidRPr="009D48A5">
        <w:t>12</w:t>
      </w:r>
      <w:r w:rsidRPr="009D48A5">
        <w:t>月</w:t>
      </w:r>
      <w:r w:rsidRPr="009D48A5">
        <w:t>16</w:t>
      </w:r>
      <w:r w:rsidRPr="009D48A5">
        <w:t>日</w:t>
      </w:r>
      <w:r w:rsidRPr="009D48A5">
        <w:rPr>
          <w:rFonts w:hint="eastAsia"/>
        </w:rPr>
        <w:t>，</w:t>
      </w:r>
      <w:r w:rsidRPr="009D48A5">
        <w:t>《</w:t>
      </w:r>
      <w:r w:rsidRPr="009D48A5">
        <w:rPr>
          <w:rFonts w:hint="eastAsia"/>
        </w:rPr>
        <w:t>1999</w:t>
      </w:r>
      <w:r w:rsidRPr="009D48A5">
        <w:rPr>
          <w:rFonts w:hint="eastAsia"/>
        </w:rPr>
        <w:t>年</w:t>
      </w:r>
      <w:r w:rsidRPr="009D48A5">
        <w:t>欧洲人权法院案例汇编》</w:t>
      </w:r>
      <w:r w:rsidRPr="009D48A5">
        <w:rPr>
          <w:rFonts w:hint="eastAsia"/>
        </w:rPr>
        <w:t>第九卷，</w:t>
      </w:r>
      <w:r w:rsidRPr="009D48A5">
        <w:t>第</w:t>
      </w:r>
      <w:r w:rsidRPr="009D48A5">
        <w:t>73</w:t>
      </w:r>
      <w:r w:rsidRPr="009D48A5">
        <w:t>段；</w:t>
      </w:r>
      <w:r w:rsidRPr="009D48A5">
        <w:t>Kart</w:t>
      </w:r>
      <w:r w:rsidRPr="009D48A5">
        <w:rPr>
          <w:rFonts w:ascii="Time New Roman" w:eastAsia="楷体" w:hAnsi="Time New Roman" w:hint="eastAsia"/>
        </w:rPr>
        <w:t>诉土耳其</w:t>
      </w:r>
      <w:r w:rsidRPr="009D48A5">
        <w:t>[GC]</w:t>
      </w:r>
      <w:r w:rsidRPr="009D48A5">
        <w:t>，</w:t>
      </w:r>
      <w:r w:rsidRPr="009D48A5">
        <w:rPr>
          <w:rFonts w:hint="eastAsia"/>
        </w:rPr>
        <w:t>第</w:t>
      </w:r>
      <w:r w:rsidRPr="009D48A5">
        <w:t>8917/05</w:t>
      </w:r>
      <w:r w:rsidRPr="009D48A5">
        <w:rPr>
          <w:rFonts w:hint="eastAsia"/>
        </w:rPr>
        <w:t>号申诉</w:t>
      </w:r>
      <w:r w:rsidRPr="009D48A5">
        <w:t>，</w:t>
      </w:r>
      <w:r w:rsidRPr="009D48A5">
        <w:t>2009</w:t>
      </w:r>
      <w:r w:rsidRPr="009D48A5">
        <w:t>年</w:t>
      </w:r>
      <w:r w:rsidRPr="009D48A5">
        <w:t>12</w:t>
      </w:r>
      <w:r w:rsidRPr="009D48A5">
        <w:t>月</w:t>
      </w:r>
      <w:r w:rsidRPr="009D48A5">
        <w:t>3</w:t>
      </w:r>
      <w:r w:rsidRPr="009D48A5">
        <w:t>日，《</w:t>
      </w:r>
      <w:r w:rsidRPr="009D48A5">
        <w:rPr>
          <w:rFonts w:hint="eastAsia"/>
        </w:rPr>
        <w:t>2009</w:t>
      </w:r>
      <w:r w:rsidRPr="009D48A5">
        <w:rPr>
          <w:rFonts w:hint="eastAsia"/>
        </w:rPr>
        <w:t>年</w:t>
      </w:r>
      <w:r w:rsidRPr="009D48A5">
        <w:t>欧洲人权法院案例汇编》</w:t>
      </w:r>
      <w:r w:rsidRPr="009D48A5">
        <w:rPr>
          <w:rFonts w:hint="eastAsia"/>
        </w:rPr>
        <w:t>第六卷，</w:t>
      </w:r>
      <w:r w:rsidRPr="009D48A5">
        <w:t>第</w:t>
      </w:r>
      <w:r w:rsidRPr="009D48A5">
        <w:t>54</w:t>
      </w:r>
      <w:r w:rsidRPr="009D48A5">
        <w:t>段；</w:t>
      </w:r>
      <w:r w:rsidRPr="009D48A5">
        <w:rPr>
          <w:rFonts w:ascii="Time New Roman" w:eastAsia="楷体" w:hAnsi="Time New Roman"/>
        </w:rPr>
        <w:t>Sigurður A. Sigurjónsson</w:t>
      </w:r>
      <w:r w:rsidRPr="009D48A5">
        <w:rPr>
          <w:rFonts w:ascii="Time New Roman" w:eastAsia="楷体" w:hAnsi="Time New Roman" w:hint="eastAsia"/>
        </w:rPr>
        <w:t>诉冰岛</w:t>
      </w:r>
      <w:r w:rsidRPr="009D48A5">
        <w:rPr>
          <w:rFonts w:hint="eastAsia"/>
        </w:rPr>
        <w:t>，第</w:t>
      </w:r>
      <w:r w:rsidRPr="009D48A5">
        <w:t>16130/90</w:t>
      </w:r>
      <w:r w:rsidRPr="009D48A5">
        <w:rPr>
          <w:rFonts w:hint="eastAsia"/>
        </w:rPr>
        <w:t>号申诉，</w:t>
      </w:r>
      <w:r w:rsidRPr="009D48A5">
        <w:t>1993</w:t>
      </w:r>
      <w:r w:rsidRPr="009D48A5">
        <w:t>年</w:t>
      </w:r>
      <w:r w:rsidRPr="009D48A5">
        <w:t>6</w:t>
      </w:r>
      <w:r w:rsidRPr="009D48A5">
        <w:t>月</w:t>
      </w:r>
      <w:r w:rsidRPr="009D48A5">
        <w:t>30</w:t>
      </w:r>
      <w:r w:rsidRPr="009D48A5">
        <w:t>日，《欧洲人权法院案例汇编》</w:t>
      </w:r>
      <w:r w:rsidRPr="009D48A5">
        <w:rPr>
          <w:rFonts w:hint="eastAsia"/>
        </w:rPr>
        <w:t>A</w:t>
      </w:r>
      <w:r w:rsidRPr="009D48A5">
        <w:rPr>
          <w:rFonts w:hint="eastAsia"/>
        </w:rPr>
        <w:t>辑，第</w:t>
      </w:r>
      <w:r w:rsidRPr="009D48A5">
        <w:t>264</w:t>
      </w:r>
      <w:r w:rsidRPr="009D48A5">
        <w:rPr>
          <w:rFonts w:hint="eastAsia"/>
        </w:rPr>
        <w:t>号</w:t>
      </w:r>
      <w:r w:rsidRPr="009D48A5">
        <w:t>，第</w:t>
      </w:r>
      <w:r w:rsidRPr="009D48A5">
        <w:rPr>
          <w:lang w:val="de-DE"/>
        </w:rPr>
        <w:t>35</w:t>
      </w:r>
      <w:r w:rsidRPr="009D48A5">
        <w:t>段</w:t>
      </w:r>
      <w:r w:rsidRPr="009D48A5">
        <w:rPr>
          <w:rFonts w:hint="eastAsia"/>
        </w:rPr>
        <w:t>。</w:t>
      </w:r>
    </w:p>
  </w:footnote>
  <w:footnote w:id="492">
    <w:p w:rsidR="00AB00DE" w:rsidRPr="009D48A5" w:rsidRDefault="00AB00DE" w:rsidP="00560424">
      <w:pPr>
        <w:pStyle w:val="a4"/>
        <w:spacing w:after="80"/>
        <w:rPr>
          <w:lang w:val="de-DE"/>
        </w:rPr>
      </w:pPr>
      <w:r w:rsidRPr="009D48A5">
        <w:rPr>
          <w:rFonts w:hint="eastAsia"/>
          <w:lang w:val="de-DE"/>
        </w:rPr>
        <w:tab/>
      </w:r>
      <w:r w:rsidRPr="00DF5565">
        <w:rPr>
          <w:rStyle w:val="a5"/>
          <w:szCs w:val="22"/>
        </w:rPr>
        <w:footnoteRef/>
      </w:r>
      <w:r w:rsidRPr="00DF5565">
        <w:rPr>
          <w:rStyle w:val="a5"/>
          <w:rFonts w:hint="eastAsia"/>
          <w:szCs w:val="22"/>
          <w:lang w:val="de-DE"/>
        </w:rPr>
        <w:tab/>
      </w:r>
      <w:r w:rsidRPr="009D48A5">
        <w:rPr>
          <w:lang w:val="de-DE"/>
        </w:rPr>
        <w:t xml:space="preserve">Karl, </w:t>
      </w:r>
      <w:r w:rsidRPr="009D48A5">
        <w:rPr>
          <w:i/>
          <w:lang w:val="de-DE"/>
        </w:rPr>
        <w:t>Vertrag und spätere Praxis …</w:t>
      </w:r>
      <w:r w:rsidRPr="009D48A5">
        <w:rPr>
          <w:rFonts w:hint="eastAsia"/>
          <w:iCs/>
          <w:lang w:val="de-DE"/>
        </w:rPr>
        <w:t>(</w:t>
      </w:r>
      <w:r w:rsidRPr="009D48A5">
        <w:rPr>
          <w:rFonts w:hint="eastAsia"/>
          <w:iCs/>
        </w:rPr>
        <w:t>见</w:t>
      </w:r>
      <w:r>
        <w:rPr>
          <w:rFonts w:hint="eastAsia"/>
          <w:iCs/>
        </w:rPr>
        <w:t>上文脚注</w:t>
      </w:r>
      <w:r>
        <w:rPr>
          <w:iCs/>
        </w:rPr>
        <w:fldChar w:fldCharType="begin"/>
      </w:r>
      <w:r w:rsidRPr="000056CD">
        <w:rPr>
          <w:iCs/>
          <w:lang w:val="de-DE"/>
        </w:rPr>
        <w:instrText xml:space="preserve"> </w:instrText>
      </w:r>
      <w:r w:rsidRPr="000056CD">
        <w:rPr>
          <w:rFonts w:hint="eastAsia"/>
          <w:iCs/>
          <w:lang w:val="de-DE"/>
        </w:rPr>
        <w:instrText>NOTEREF _Ref364163375 \h</w:instrText>
      </w:r>
      <w:r w:rsidRPr="000056CD">
        <w:rPr>
          <w:iCs/>
          <w:lang w:val="de-DE"/>
        </w:rPr>
        <w:instrText xml:space="preserve"> </w:instrText>
      </w:r>
      <w:r>
        <w:rPr>
          <w:iCs/>
        </w:rPr>
      </w:r>
      <w:r>
        <w:rPr>
          <w:iCs/>
        </w:rPr>
        <w:fldChar w:fldCharType="separate"/>
      </w:r>
      <w:r w:rsidR="00A73EB9">
        <w:rPr>
          <w:iCs/>
          <w:lang w:val="de-DE"/>
        </w:rPr>
        <w:t>454</w:t>
      </w:r>
      <w:r>
        <w:rPr>
          <w:iCs/>
        </w:rPr>
        <w:fldChar w:fldCharType="end"/>
      </w:r>
      <w:r w:rsidRPr="008C6495">
        <w:rPr>
          <w:rFonts w:hint="eastAsia"/>
          <w:iCs/>
          <w:lang w:val="de-DE"/>
        </w:rPr>
        <w:t>)</w:t>
      </w:r>
      <w:r w:rsidRPr="009D48A5">
        <w:rPr>
          <w:rFonts w:hint="eastAsia"/>
          <w:iCs/>
          <w:lang w:val="de-DE"/>
        </w:rPr>
        <w:t>，</w:t>
      </w:r>
      <w:r w:rsidRPr="009D48A5">
        <w:rPr>
          <w:rFonts w:hint="eastAsia"/>
        </w:rPr>
        <w:t>见第</w:t>
      </w:r>
      <w:r w:rsidRPr="009D48A5">
        <w:rPr>
          <w:lang w:val="de-DE"/>
        </w:rPr>
        <w:t>115</w:t>
      </w:r>
      <w:r w:rsidRPr="009D48A5">
        <w:rPr>
          <w:rFonts w:hint="eastAsia"/>
        </w:rPr>
        <w:t>页及以下各页。</w:t>
      </w:r>
    </w:p>
  </w:footnote>
  <w:footnote w:id="493">
    <w:p w:rsidR="00AB00DE" w:rsidRPr="009D48A5" w:rsidRDefault="00AB00DE" w:rsidP="00B44972">
      <w:pPr>
        <w:pStyle w:val="a4"/>
        <w:spacing w:after="80"/>
        <w:rPr>
          <w:lang w:val="de-DE"/>
        </w:rPr>
      </w:pPr>
      <w:r w:rsidRPr="009D48A5">
        <w:rPr>
          <w:rFonts w:hint="eastAsia"/>
          <w:lang w:val="de-DE"/>
        </w:rPr>
        <w:tab/>
      </w:r>
      <w:r w:rsidRPr="00DF5565">
        <w:rPr>
          <w:rStyle w:val="a5"/>
          <w:szCs w:val="22"/>
        </w:rPr>
        <w:footnoteRef/>
      </w:r>
      <w:r w:rsidRPr="00DF5565">
        <w:rPr>
          <w:rStyle w:val="a5"/>
          <w:rFonts w:hint="eastAsia"/>
          <w:szCs w:val="22"/>
          <w:lang w:val="de-DE"/>
        </w:rPr>
        <w:tab/>
      </w:r>
      <w:r w:rsidRPr="009D48A5">
        <w:rPr>
          <w:rFonts w:hint="eastAsia"/>
        </w:rPr>
        <w:t>见结论草案</w:t>
      </w:r>
      <w:r w:rsidRPr="009D48A5">
        <w:rPr>
          <w:lang w:val="de-DE"/>
        </w:rPr>
        <w:t>5</w:t>
      </w:r>
      <w:r w:rsidRPr="009D48A5">
        <w:rPr>
          <w:rFonts w:hint="eastAsia"/>
          <w:lang w:val="de-DE"/>
        </w:rPr>
        <w:t>第</w:t>
      </w:r>
      <w:r w:rsidRPr="009D48A5">
        <w:rPr>
          <w:lang w:val="de-DE"/>
        </w:rPr>
        <w:t>2</w:t>
      </w:r>
      <w:r w:rsidRPr="009D48A5">
        <w:rPr>
          <w:rFonts w:hint="eastAsia"/>
          <w:lang w:val="de-DE"/>
        </w:rPr>
        <w:t>段</w:t>
      </w:r>
      <w:r w:rsidRPr="009D48A5">
        <w:rPr>
          <w:rFonts w:hint="eastAsia"/>
        </w:rPr>
        <w:t>。</w:t>
      </w:r>
    </w:p>
  </w:footnote>
  <w:footnote w:id="494">
    <w:p w:rsidR="00AB00DE" w:rsidRPr="009D48A5" w:rsidRDefault="00AB00DE" w:rsidP="00B44972">
      <w:pPr>
        <w:pStyle w:val="a4"/>
        <w:spacing w:after="80"/>
      </w:pPr>
      <w:r w:rsidRPr="009D48A5">
        <w:rPr>
          <w:rFonts w:hint="eastAsia"/>
          <w:lang w:val="de-DE"/>
        </w:rPr>
        <w:tab/>
      </w:r>
      <w:r w:rsidRPr="00DF5565">
        <w:rPr>
          <w:rStyle w:val="a5"/>
          <w:szCs w:val="22"/>
        </w:rPr>
        <w:footnoteRef/>
      </w:r>
      <w:r w:rsidRPr="009D48A5">
        <w:rPr>
          <w:rFonts w:hint="eastAsia"/>
        </w:rPr>
        <w:tab/>
      </w:r>
      <w:r w:rsidRPr="009D48A5">
        <w:t>《</w:t>
      </w:r>
      <w:r w:rsidRPr="009D48A5">
        <w:t>1964</w:t>
      </w:r>
      <w:r w:rsidRPr="009D48A5">
        <w:t>年</w:t>
      </w:r>
      <w:r w:rsidRPr="009D48A5">
        <w:rPr>
          <w:rFonts w:hint="eastAsia"/>
        </w:rPr>
        <w:t>……</w:t>
      </w:r>
      <w:r w:rsidRPr="009D48A5">
        <w:t>年鉴》，</w:t>
      </w:r>
      <w:r w:rsidRPr="009D48A5">
        <w:rPr>
          <w:rFonts w:hint="eastAsia"/>
        </w:rPr>
        <w:t>第二卷，</w:t>
      </w:r>
      <w:r w:rsidRPr="009D48A5">
        <w:t>A/5809</w:t>
      </w:r>
      <w:r w:rsidRPr="009D48A5">
        <w:rPr>
          <w:rFonts w:hint="eastAsia"/>
        </w:rPr>
        <w:t>号文件，第</w:t>
      </w:r>
      <w:r w:rsidRPr="009D48A5">
        <w:t>204</w:t>
      </w:r>
      <w:r w:rsidRPr="009D48A5">
        <w:rPr>
          <w:rFonts w:hint="eastAsia"/>
        </w:rPr>
        <w:t>页</w:t>
      </w:r>
      <w:r w:rsidRPr="009D48A5">
        <w:t>，第</w:t>
      </w:r>
      <w:r w:rsidRPr="009D48A5">
        <w:rPr>
          <w:rFonts w:hint="eastAsia"/>
        </w:rPr>
        <w:t>(</w:t>
      </w:r>
      <w:r w:rsidRPr="009D48A5">
        <w:t>13</w:t>
      </w:r>
      <w:r w:rsidRPr="009D48A5">
        <w:rPr>
          <w:rFonts w:hint="eastAsia"/>
        </w:rPr>
        <w:t>)</w:t>
      </w:r>
      <w:r w:rsidRPr="009D48A5">
        <w:t>段；</w:t>
      </w:r>
      <w:r w:rsidRPr="009D48A5">
        <w:rPr>
          <w:rFonts w:hint="eastAsia"/>
        </w:rPr>
        <w:t>另</w:t>
      </w:r>
      <w:r w:rsidRPr="009D48A5">
        <w:t>见《</w:t>
      </w:r>
      <w:r w:rsidRPr="009D48A5">
        <w:t>1966</w:t>
      </w:r>
      <w:r w:rsidRPr="009D48A5">
        <w:t>年</w:t>
      </w:r>
      <w:r w:rsidRPr="009D48A5">
        <w:rPr>
          <w:rFonts w:hint="eastAsia"/>
        </w:rPr>
        <w:t>……</w:t>
      </w:r>
      <w:r w:rsidRPr="009D48A5">
        <w:t>年鉴》，</w:t>
      </w:r>
      <w:r w:rsidRPr="009D48A5">
        <w:rPr>
          <w:rFonts w:hint="eastAsia"/>
        </w:rPr>
        <w:t>第二卷，</w:t>
      </w:r>
      <w:r w:rsidRPr="009D48A5">
        <w:t>A/6309/Rev.1</w:t>
      </w:r>
      <w:r w:rsidRPr="009D48A5">
        <w:rPr>
          <w:rFonts w:hint="eastAsia"/>
        </w:rPr>
        <w:t>号文件，第</w:t>
      </w:r>
      <w:r w:rsidRPr="009D48A5">
        <w:rPr>
          <w:rFonts w:hint="eastAsia"/>
        </w:rPr>
        <w:t>221-</w:t>
      </w:r>
      <w:r w:rsidRPr="009D48A5">
        <w:t>222</w:t>
      </w:r>
      <w:r w:rsidRPr="009D48A5">
        <w:rPr>
          <w:rFonts w:hint="eastAsia"/>
        </w:rPr>
        <w:t>页，</w:t>
      </w:r>
      <w:r w:rsidRPr="009D48A5">
        <w:t>第</w:t>
      </w:r>
      <w:r w:rsidRPr="009D48A5">
        <w:rPr>
          <w:rFonts w:hint="eastAsia"/>
        </w:rPr>
        <w:t>(</w:t>
      </w:r>
      <w:r w:rsidRPr="009D48A5">
        <w:t>15</w:t>
      </w:r>
      <w:r w:rsidRPr="009D48A5">
        <w:rPr>
          <w:rFonts w:hint="eastAsia"/>
        </w:rPr>
        <w:t>)</w:t>
      </w:r>
      <w:r w:rsidRPr="009D48A5">
        <w:t>段</w:t>
      </w:r>
      <w:r w:rsidRPr="009D48A5">
        <w:rPr>
          <w:rFonts w:hint="eastAsia"/>
        </w:rPr>
        <w:t>。</w:t>
      </w:r>
    </w:p>
  </w:footnote>
  <w:footnote w:id="495">
    <w:p w:rsidR="00AB00DE" w:rsidRPr="009D48A5" w:rsidRDefault="00AB00DE" w:rsidP="00B44972">
      <w:pPr>
        <w:pStyle w:val="a4"/>
        <w:spacing w:after="80"/>
      </w:pPr>
      <w:r w:rsidRPr="009D48A5">
        <w:rPr>
          <w:rFonts w:hint="eastAsia"/>
        </w:rPr>
        <w:tab/>
      </w:r>
      <w:r w:rsidRPr="00DF5565">
        <w:rPr>
          <w:rStyle w:val="a5"/>
          <w:szCs w:val="22"/>
        </w:rPr>
        <w:footnoteRef/>
      </w:r>
      <w:r w:rsidRPr="009D48A5">
        <w:rPr>
          <w:rFonts w:hint="eastAsia"/>
        </w:rPr>
        <w:tab/>
      </w:r>
      <w:r w:rsidRPr="009D48A5">
        <w:rPr>
          <w:rFonts w:ascii="宋体" w:hAnsi="宋体" w:cs="宋体" w:hint="eastAsia"/>
        </w:rPr>
        <w:t>世贸组织上诉机构报告，</w:t>
      </w:r>
      <w:r w:rsidRPr="009D48A5">
        <w:rPr>
          <w:rFonts w:ascii="Time New Roman" w:eastAsia="楷体" w:hAnsi="Time New Roman" w:hint="eastAsia"/>
        </w:rPr>
        <w:t>日本－酒精饮料案</w:t>
      </w:r>
      <w:r w:rsidRPr="009D48A5">
        <w:rPr>
          <w:rFonts w:ascii="Time New Roman" w:eastAsia="楷体" w:hAnsi="Time New Roman" w:hint="eastAsia"/>
        </w:rPr>
        <w:t>(</w:t>
      </w:r>
      <w:r w:rsidRPr="009D48A5">
        <w:rPr>
          <w:rFonts w:ascii="Time New Roman" w:eastAsia="楷体" w:hAnsi="Time New Roman" w:hint="eastAsia"/>
        </w:rPr>
        <w:t>二</w:t>
      </w:r>
      <w:r w:rsidRPr="009D48A5">
        <w:rPr>
          <w:rFonts w:hint="eastAsia"/>
        </w:rPr>
        <w:t>)</w:t>
      </w:r>
      <w:r w:rsidRPr="009D48A5">
        <w:t>，</w:t>
      </w:r>
      <w:r w:rsidRPr="009D48A5">
        <w:rPr>
          <w:rFonts w:hint="eastAsia"/>
        </w:rPr>
        <w:t>W</w:t>
      </w:r>
      <w:r w:rsidRPr="009D48A5">
        <w:t>T/DS8/AB/R</w:t>
      </w:r>
      <w:r w:rsidRPr="009D48A5">
        <w:rPr>
          <w:rFonts w:hint="eastAsia"/>
        </w:rPr>
        <w:t>、</w:t>
      </w:r>
      <w:r w:rsidRPr="009D48A5">
        <w:t>WT/DS10/AB/R</w:t>
      </w:r>
      <w:r w:rsidRPr="009D48A5">
        <w:rPr>
          <w:rFonts w:hint="eastAsia"/>
        </w:rPr>
        <w:t>和</w:t>
      </w:r>
      <w:r w:rsidRPr="009D48A5">
        <w:t>WT/DS11/AB/R, 1996</w:t>
      </w:r>
      <w:r w:rsidRPr="009D48A5">
        <w:rPr>
          <w:rFonts w:hint="eastAsia"/>
        </w:rPr>
        <w:t>年</w:t>
      </w:r>
      <w:r w:rsidRPr="009D48A5">
        <w:rPr>
          <w:rFonts w:hint="eastAsia"/>
        </w:rPr>
        <w:t>11</w:t>
      </w:r>
      <w:r w:rsidRPr="009D48A5">
        <w:rPr>
          <w:rFonts w:hint="eastAsia"/>
        </w:rPr>
        <w:t>月</w:t>
      </w:r>
      <w:r w:rsidRPr="009D48A5">
        <w:rPr>
          <w:rFonts w:hint="eastAsia"/>
        </w:rPr>
        <w:t>1</w:t>
      </w:r>
      <w:r w:rsidRPr="009D48A5">
        <w:rPr>
          <w:rFonts w:hint="eastAsia"/>
        </w:rPr>
        <w:t>日通过，以及世贸组织专家组报告，</w:t>
      </w:r>
      <w:r w:rsidRPr="009D48A5">
        <w:t>WT/DS8/R</w:t>
      </w:r>
      <w:r w:rsidRPr="009D48A5">
        <w:rPr>
          <w:rFonts w:hint="eastAsia"/>
        </w:rPr>
        <w:t>、</w:t>
      </w:r>
      <w:r w:rsidRPr="009D48A5">
        <w:t>WT/DS10/R</w:t>
      </w:r>
      <w:r w:rsidRPr="009D48A5">
        <w:rPr>
          <w:rFonts w:hint="eastAsia"/>
        </w:rPr>
        <w:t>和</w:t>
      </w:r>
      <w:r w:rsidRPr="009D48A5">
        <w:t>WT/DS11/R, 1996</w:t>
      </w:r>
      <w:r w:rsidRPr="009D48A5">
        <w:rPr>
          <w:rFonts w:hint="eastAsia"/>
        </w:rPr>
        <w:t>年</w:t>
      </w:r>
      <w:r w:rsidRPr="009D48A5">
        <w:rPr>
          <w:rFonts w:hint="eastAsia"/>
        </w:rPr>
        <w:t>11</w:t>
      </w:r>
      <w:r w:rsidRPr="009D48A5">
        <w:rPr>
          <w:rFonts w:hint="eastAsia"/>
        </w:rPr>
        <w:t>月</w:t>
      </w:r>
      <w:r w:rsidRPr="009D48A5">
        <w:rPr>
          <w:rFonts w:hint="eastAsia"/>
        </w:rPr>
        <w:t>1</w:t>
      </w:r>
      <w:r w:rsidRPr="009D48A5">
        <w:rPr>
          <w:rFonts w:hint="eastAsia"/>
        </w:rPr>
        <w:t>日通过。</w:t>
      </w:r>
    </w:p>
  </w:footnote>
  <w:footnote w:id="496">
    <w:p w:rsidR="00AB00DE" w:rsidRPr="009D48A5" w:rsidRDefault="00AB00DE" w:rsidP="00B44972">
      <w:pPr>
        <w:pStyle w:val="a4"/>
        <w:spacing w:after="80"/>
        <w:rPr>
          <w:lang w:val="de-DE"/>
        </w:rPr>
      </w:pPr>
      <w:r w:rsidRPr="009D48A5">
        <w:rPr>
          <w:rFonts w:hint="eastAsia"/>
          <w:lang w:val="de-DE"/>
        </w:rPr>
        <w:tab/>
      </w:r>
      <w:r w:rsidRPr="00DF5565">
        <w:rPr>
          <w:rStyle w:val="a5"/>
          <w:szCs w:val="22"/>
        </w:rPr>
        <w:footnoteRef/>
      </w:r>
      <w:r w:rsidRPr="009D48A5">
        <w:rPr>
          <w:rFonts w:hint="eastAsia"/>
          <w:lang w:val="de-DE"/>
        </w:rPr>
        <w:tab/>
      </w:r>
      <w:r w:rsidRPr="009D48A5">
        <w:t>同上</w:t>
      </w:r>
      <w:r w:rsidRPr="009D48A5">
        <w:rPr>
          <w:lang w:val="de-DE"/>
        </w:rPr>
        <w:t>(</w:t>
      </w:r>
      <w:r w:rsidRPr="009D48A5">
        <w:rPr>
          <w:rFonts w:hint="eastAsia"/>
        </w:rPr>
        <w:t>世贸组织上诉机构报告</w:t>
      </w:r>
      <w:r w:rsidRPr="009D48A5">
        <w:rPr>
          <w:lang w:val="de-DE"/>
        </w:rPr>
        <w:t>)</w:t>
      </w:r>
      <w:r w:rsidRPr="009D48A5">
        <w:rPr>
          <w:rFonts w:hint="eastAsia"/>
          <w:lang w:val="de-DE"/>
        </w:rPr>
        <w:t>，</w:t>
      </w:r>
      <w:r w:rsidRPr="009D48A5">
        <w:rPr>
          <w:lang w:val="de-DE"/>
        </w:rPr>
        <w:t>E</w:t>
      </w:r>
      <w:r w:rsidRPr="009D48A5">
        <w:rPr>
          <w:rFonts w:hint="eastAsia"/>
          <w:lang w:val="de-DE"/>
        </w:rPr>
        <w:t>节，第</w:t>
      </w:r>
      <w:r w:rsidRPr="009D48A5">
        <w:rPr>
          <w:lang w:val="de-DE"/>
        </w:rPr>
        <w:t>1</w:t>
      </w:r>
      <w:r w:rsidRPr="009D48A5">
        <w:rPr>
          <w:rFonts w:hint="eastAsia"/>
          <w:lang w:val="de-DE"/>
        </w:rPr>
        <w:t>6</w:t>
      </w:r>
      <w:r w:rsidRPr="009D48A5">
        <w:rPr>
          <w:rFonts w:hint="eastAsia"/>
        </w:rPr>
        <w:t>页。</w:t>
      </w:r>
    </w:p>
  </w:footnote>
  <w:footnote w:id="497">
    <w:p w:rsidR="00AB00DE" w:rsidRPr="009D48A5" w:rsidRDefault="00AB00DE" w:rsidP="00B81C40">
      <w:pPr>
        <w:pStyle w:val="a4"/>
        <w:spacing w:after="80"/>
        <w:rPr>
          <w:lang w:val="de-DE"/>
        </w:rPr>
      </w:pPr>
      <w:r w:rsidRPr="009D48A5">
        <w:rPr>
          <w:rFonts w:hint="eastAsia"/>
          <w:lang w:val="de-DE"/>
        </w:rPr>
        <w:tab/>
      </w:r>
      <w:r w:rsidRPr="00DF5565">
        <w:rPr>
          <w:rStyle w:val="a5"/>
          <w:szCs w:val="22"/>
        </w:rPr>
        <w:footnoteRef/>
      </w:r>
      <w:r w:rsidRPr="009D48A5">
        <w:rPr>
          <w:rFonts w:hint="eastAsia"/>
          <w:lang w:val="de-DE"/>
        </w:rPr>
        <w:tab/>
      </w:r>
      <w:r w:rsidRPr="009D48A5">
        <w:rPr>
          <w:rFonts w:ascii="Time New Roman" w:eastAsia="楷体" w:hAnsi="Time New Roman"/>
        </w:rPr>
        <w:t>卡西基里</w:t>
      </w:r>
      <w:r w:rsidRPr="009D48A5">
        <w:rPr>
          <w:rFonts w:ascii="Time New Roman" w:eastAsia="楷体" w:hAnsi="Time New Roman" w:hint="eastAsia"/>
        </w:rPr>
        <w:t>/</w:t>
      </w:r>
      <w:r w:rsidRPr="009D48A5">
        <w:rPr>
          <w:rFonts w:ascii="Time New Roman" w:eastAsia="楷体" w:hAnsi="Time New Roman"/>
        </w:rPr>
        <w:t>塞杜杜岛案</w:t>
      </w:r>
      <w:r w:rsidRPr="009D48A5">
        <w:rPr>
          <w:rFonts w:hint="eastAsia"/>
          <w:lang w:val="de-DE"/>
        </w:rPr>
        <w:t>(</w:t>
      </w:r>
      <w:r w:rsidRPr="009D48A5">
        <w:rPr>
          <w:rFonts w:hint="eastAsia"/>
          <w:lang w:val="de-DE"/>
        </w:rPr>
        <w:t>见</w:t>
      </w:r>
      <w:r>
        <w:rPr>
          <w:rFonts w:hint="eastAsia"/>
          <w:lang w:val="de-DE"/>
        </w:rPr>
        <w:t>上文脚注</w:t>
      </w:r>
      <w:r>
        <w:rPr>
          <w:lang w:val="zh-CN"/>
        </w:rPr>
        <w:fldChar w:fldCharType="begin"/>
      </w:r>
      <w:r>
        <w:rPr>
          <w:lang w:val="zh-CN"/>
        </w:rPr>
        <w:instrText xml:space="preserve"> NOTEREF _Ref461971066 \h </w:instrText>
      </w:r>
      <w:r>
        <w:rPr>
          <w:lang w:val="zh-CN"/>
        </w:rPr>
      </w:r>
      <w:r>
        <w:rPr>
          <w:lang w:val="zh-CN"/>
        </w:rPr>
        <w:fldChar w:fldCharType="separate"/>
      </w:r>
      <w:r w:rsidR="00A73EB9">
        <w:rPr>
          <w:lang w:val="zh-CN"/>
        </w:rPr>
        <w:t>395</w:t>
      </w:r>
      <w:r>
        <w:rPr>
          <w:lang w:val="zh-CN"/>
        </w:rPr>
        <w:fldChar w:fldCharType="end"/>
      </w:r>
      <w:r>
        <w:rPr>
          <w:rFonts w:hint="eastAsia"/>
          <w:lang w:val="de-DE"/>
        </w:rPr>
        <w:t>)</w:t>
      </w:r>
      <w:r w:rsidRPr="009D48A5">
        <w:rPr>
          <w:rFonts w:hint="eastAsia"/>
          <w:lang w:val="de-DE"/>
        </w:rPr>
        <w:t>，第</w:t>
      </w:r>
      <w:r w:rsidRPr="009D48A5">
        <w:rPr>
          <w:lang w:val="de-DE"/>
        </w:rPr>
        <w:t>1078</w:t>
      </w:r>
      <w:r w:rsidRPr="009D48A5">
        <w:rPr>
          <w:rFonts w:hint="eastAsia"/>
          <w:lang w:val="de-DE"/>
        </w:rPr>
        <w:t>页，第</w:t>
      </w:r>
      <w:r w:rsidRPr="009D48A5">
        <w:rPr>
          <w:lang w:val="de-DE"/>
        </w:rPr>
        <w:t>55</w:t>
      </w:r>
      <w:r w:rsidRPr="009D48A5">
        <w:rPr>
          <w:rFonts w:hint="eastAsia"/>
          <w:lang w:val="de-DE"/>
        </w:rPr>
        <w:t>段。</w:t>
      </w:r>
    </w:p>
  </w:footnote>
  <w:footnote w:id="498">
    <w:p w:rsidR="00AB00DE" w:rsidRPr="009D48A5" w:rsidRDefault="00AB00DE" w:rsidP="00B44972">
      <w:pPr>
        <w:pStyle w:val="a4"/>
        <w:spacing w:after="80"/>
        <w:rPr>
          <w:lang w:val="de-DE"/>
        </w:rPr>
      </w:pPr>
      <w:r w:rsidRPr="009D48A5">
        <w:rPr>
          <w:rFonts w:hint="eastAsia"/>
          <w:lang w:val="de-DE"/>
        </w:rPr>
        <w:tab/>
      </w:r>
      <w:r w:rsidRPr="00DF5565">
        <w:rPr>
          <w:rStyle w:val="a5"/>
          <w:szCs w:val="22"/>
        </w:rPr>
        <w:footnoteRef/>
      </w:r>
      <w:r w:rsidRPr="00DF5565">
        <w:rPr>
          <w:rStyle w:val="a5"/>
          <w:rFonts w:hint="eastAsia"/>
          <w:szCs w:val="22"/>
        </w:rPr>
        <w:tab/>
      </w:r>
      <w:r w:rsidRPr="009D48A5">
        <w:t>同上</w:t>
      </w:r>
      <w:r w:rsidRPr="009D48A5">
        <w:rPr>
          <w:lang w:val="de-DE"/>
        </w:rPr>
        <w:t>，</w:t>
      </w:r>
      <w:r w:rsidRPr="009D48A5">
        <w:rPr>
          <w:rFonts w:hint="eastAsia"/>
          <w:lang w:val="de-DE"/>
        </w:rPr>
        <w:t>第</w:t>
      </w:r>
      <w:r w:rsidRPr="009D48A5">
        <w:rPr>
          <w:lang w:val="de-DE"/>
        </w:rPr>
        <w:t>1096</w:t>
      </w:r>
      <w:r w:rsidRPr="009D48A5">
        <w:rPr>
          <w:rFonts w:hint="eastAsia"/>
        </w:rPr>
        <w:t>页</w:t>
      </w:r>
      <w:r w:rsidRPr="009D48A5">
        <w:rPr>
          <w:rFonts w:hint="eastAsia"/>
          <w:lang w:val="de-DE"/>
        </w:rPr>
        <w:t>，</w:t>
      </w:r>
      <w:r w:rsidRPr="009D48A5">
        <w:t>第</w:t>
      </w:r>
      <w:r w:rsidRPr="009D48A5">
        <w:rPr>
          <w:lang w:val="de-DE"/>
        </w:rPr>
        <w:t>80</w:t>
      </w:r>
      <w:r w:rsidRPr="009D48A5">
        <w:t>段</w:t>
      </w:r>
      <w:r w:rsidRPr="009D48A5">
        <w:rPr>
          <w:rFonts w:hint="eastAsia"/>
        </w:rPr>
        <w:t>。</w:t>
      </w:r>
    </w:p>
  </w:footnote>
  <w:footnote w:id="499">
    <w:p w:rsidR="00AB00DE" w:rsidRPr="009D48A5" w:rsidRDefault="00AB00DE" w:rsidP="00B44972">
      <w:pPr>
        <w:pStyle w:val="a4"/>
        <w:spacing w:after="80"/>
        <w:rPr>
          <w:lang w:val="de-DE"/>
        </w:rPr>
      </w:pPr>
      <w:r w:rsidRPr="009D48A5">
        <w:rPr>
          <w:rFonts w:hint="eastAsia"/>
          <w:lang w:val="de-DE"/>
        </w:rPr>
        <w:tab/>
      </w:r>
      <w:r w:rsidRPr="00DF5565">
        <w:rPr>
          <w:rStyle w:val="a5"/>
          <w:szCs w:val="22"/>
        </w:rPr>
        <w:footnoteRef/>
      </w:r>
      <w:r w:rsidRPr="00DF5565">
        <w:rPr>
          <w:rStyle w:val="a5"/>
          <w:rFonts w:hint="eastAsia"/>
          <w:szCs w:val="22"/>
        </w:rPr>
        <w:tab/>
      </w:r>
      <w:r w:rsidRPr="009D48A5">
        <w:rPr>
          <w:lang w:val="de-DE"/>
        </w:rPr>
        <w:t>O.K. Fauchald,</w:t>
      </w:r>
      <w:r w:rsidRPr="009D48A5">
        <w:rPr>
          <w:rFonts w:hint="eastAsia"/>
          <w:lang w:val="de-DE"/>
        </w:rPr>
        <w:t>“</w:t>
      </w:r>
      <w:r w:rsidRPr="009D48A5">
        <w:rPr>
          <w:rFonts w:hAnsi="Arial"/>
        </w:rPr>
        <w:t>解决投资争端国际中心法庭的法律</w:t>
      </w:r>
      <w:r w:rsidRPr="009D48A5">
        <w:rPr>
          <w:lang w:val="zh-CN"/>
        </w:rPr>
        <w:t>推理</w:t>
      </w:r>
      <w:r w:rsidRPr="009D48A5">
        <w:rPr>
          <w:rFonts w:hint="eastAsia"/>
          <w:lang w:val="zh-CN"/>
        </w:rPr>
        <w:t>－</w:t>
      </w:r>
      <w:r w:rsidRPr="009D48A5">
        <w:rPr>
          <w:rFonts w:hAnsi="Arial"/>
        </w:rPr>
        <w:t>实证分析</w:t>
      </w:r>
      <w:r w:rsidRPr="009D48A5">
        <w:rPr>
          <w:rFonts w:hint="eastAsia"/>
        </w:rPr>
        <w:t>”</w:t>
      </w:r>
      <w:r w:rsidRPr="009D48A5">
        <w:rPr>
          <w:rFonts w:hAnsi="Arial"/>
        </w:rPr>
        <w:t>，《欧洲国际法杂志》，第</w:t>
      </w:r>
      <w:r w:rsidRPr="009D48A5">
        <w:t>19</w:t>
      </w:r>
      <w:r w:rsidRPr="009D48A5">
        <w:rPr>
          <w:rFonts w:hAnsi="Arial"/>
        </w:rPr>
        <w:t>卷</w:t>
      </w:r>
      <w:r w:rsidRPr="009D48A5">
        <w:rPr>
          <w:rFonts w:hAnsi="Arial" w:hint="eastAsia"/>
        </w:rPr>
        <w:t>，第</w:t>
      </w:r>
      <w:r w:rsidRPr="009D48A5">
        <w:rPr>
          <w:rFonts w:hAnsi="Arial" w:hint="eastAsia"/>
        </w:rPr>
        <w:t>2</w:t>
      </w:r>
      <w:r w:rsidRPr="009D48A5">
        <w:rPr>
          <w:rFonts w:hAnsi="Arial" w:hint="eastAsia"/>
        </w:rPr>
        <w:t>号</w:t>
      </w:r>
      <w:r w:rsidRPr="009D48A5">
        <w:rPr>
          <w:rFonts w:hAnsi="Arial"/>
        </w:rPr>
        <w:t>(</w:t>
      </w:r>
      <w:r w:rsidRPr="009D48A5">
        <w:t>2008</w:t>
      </w:r>
      <w:r w:rsidRPr="009D48A5">
        <w:rPr>
          <w:rFonts w:hAnsi="Arial"/>
        </w:rPr>
        <w:t>年</w:t>
      </w:r>
      <w:r w:rsidRPr="009D48A5">
        <w:rPr>
          <w:rFonts w:hAnsi="Arial"/>
        </w:rPr>
        <w:t>)</w:t>
      </w:r>
      <w:r w:rsidRPr="009D48A5">
        <w:rPr>
          <w:rFonts w:hAnsi="Arial"/>
        </w:rPr>
        <w:t>，第</w:t>
      </w:r>
      <w:r w:rsidRPr="009D48A5">
        <w:t>301</w:t>
      </w:r>
      <w:r w:rsidRPr="009D48A5">
        <w:rPr>
          <w:rFonts w:hAnsi="Arial"/>
        </w:rPr>
        <w:t>页</w:t>
      </w:r>
      <w:r w:rsidRPr="009D48A5">
        <w:rPr>
          <w:rFonts w:hAnsi="Arial" w:hint="eastAsia"/>
        </w:rPr>
        <w:t>起</w:t>
      </w:r>
      <w:r w:rsidRPr="009D48A5">
        <w:rPr>
          <w:rFonts w:hAnsi="Arial"/>
        </w:rPr>
        <w:t>，见第</w:t>
      </w:r>
      <w:r w:rsidRPr="009D48A5">
        <w:t>345</w:t>
      </w:r>
      <w:r w:rsidRPr="009D48A5">
        <w:rPr>
          <w:rFonts w:hAnsi="Arial"/>
        </w:rPr>
        <w:t>页。</w:t>
      </w:r>
    </w:p>
  </w:footnote>
  <w:footnote w:id="500">
    <w:p w:rsidR="00AB00DE" w:rsidRPr="009D48A5" w:rsidRDefault="00AB00DE" w:rsidP="00B44972">
      <w:pPr>
        <w:pStyle w:val="a4"/>
        <w:spacing w:after="80"/>
        <w:rPr>
          <w:lang w:val="de-DE"/>
        </w:rPr>
      </w:pPr>
      <w:r w:rsidRPr="009D48A5">
        <w:rPr>
          <w:rFonts w:hint="eastAsia"/>
          <w:lang w:val="de-DE"/>
        </w:rPr>
        <w:tab/>
      </w:r>
      <w:r w:rsidRPr="00DF5565">
        <w:rPr>
          <w:rStyle w:val="a5"/>
          <w:szCs w:val="22"/>
        </w:rPr>
        <w:footnoteRef/>
      </w:r>
      <w:r w:rsidRPr="00DF5565">
        <w:rPr>
          <w:rStyle w:val="a5"/>
          <w:rFonts w:hint="eastAsia"/>
          <w:szCs w:val="22"/>
        </w:rPr>
        <w:tab/>
      </w:r>
      <w:r w:rsidRPr="009D48A5">
        <w:rPr>
          <w:lang w:val="de-DE"/>
        </w:rPr>
        <w:t>CMS</w:t>
      </w:r>
      <w:r w:rsidRPr="009D48A5">
        <w:rPr>
          <w:rFonts w:hint="eastAsia"/>
          <w:lang w:val="de-DE"/>
        </w:rPr>
        <w:t>燃气输送公司诉阿根廷共和国</w:t>
      </w:r>
      <w:r w:rsidRPr="009D48A5">
        <w:rPr>
          <w:lang w:val="de-DE"/>
        </w:rPr>
        <w:t>(</w:t>
      </w:r>
      <w:r w:rsidRPr="009D48A5">
        <w:rPr>
          <w:rFonts w:hint="eastAsia"/>
          <w:lang w:val="de-DE"/>
        </w:rPr>
        <w:t>美国</w:t>
      </w:r>
      <w:r w:rsidRPr="009D48A5">
        <w:rPr>
          <w:lang w:val="de-DE"/>
        </w:rPr>
        <w:t>/</w:t>
      </w:r>
      <w:r w:rsidRPr="009D48A5">
        <w:rPr>
          <w:rFonts w:hint="eastAsia"/>
          <w:lang w:val="de-DE"/>
        </w:rPr>
        <w:t>阿根廷双边投资条约</w:t>
      </w:r>
      <w:r w:rsidRPr="009D48A5">
        <w:rPr>
          <w:lang w:val="de-DE"/>
        </w:rPr>
        <w:t>)</w:t>
      </w:r>
      <w:r w:rsidRPr="009D48A5">
        <w:rPr>
          <w:lang w:val="de-DE"/>
        </w:rPr>
        <w:t>，</w:t>
      </w:r>
      <w:r w:rsidRPr="009D48A5">
        <w:rPr>
          <w:rFonts w:hint="eastAsia"/>
          <w:lang w:val="de-DE"/>
        </w:rPr>
        <w:t>就反对管辖权作出的裁决，</w:t>
      </w:r>
      <w:r w:rsidRPr="009D48A5">
        <w:rPr>
          <w:lang w:val="de-DE"/>
        </w:rPr>
        <w:t>2003</w:t>
      </w:r>
      <w:r w:rsidRPr="009D48A5">
        <w:t>年</w:t>
      </w:r>
      <w:r w:rsidRPr="009D48A5">
        <w:rPr>
          <w:lang w:val="de-DE"/>
        </w:rPr>
        <w:t>7</w:t>
      </w:r>
      <w:r w:rsidRPr="009D48A5">
        <w:t>月</w:t>
      </w:r>
      <w:r w:rsidRPr="009D48A5">
        <w:rPr>
          <w:lang w:val="de-DE"/>
        </w:rPr>
        <w:t>17</w:t>
      </w:r>
      <w:r w:rsidRPr="009D48A5">
        <w:t>日</w:t>
      </w:r>
      <w:r w:rsidRPr="009D48A5">
        <w:rPr>
          <w:lang w:val="de-DE"/>
        </w:rPr>
        <w:t>，</w:t>
      </w:r>
      <w:r w:rsidRPr="009D48A5">
        <w:t>解决投资争端国际中心案件编号</w:t>
      </w:r>
      <w:r w:rsidRPr="009D48A5">
        <w:rPr>
          <w:lang w:val="de-DE"/>
        </w:rPr>
        <w:t xml:space="preserve"> ARB/01/8, </w:t>
      </w:r>
      <w:r w:rsidRPr="009D48A5">
        <w:rPr>
          <w:lang w:val="de-DE"/>
        </w:rPr>
        <w:t>《</w:t>
      </w:r>
      <w:r w:rsidRPr="009D48A5">
        <w:rPr>
          <w:lang w:val="de-DE"/>
        </w:rPr>
        <w:t>2003</w:t>
      </w:r>
      <w:r w:rsidRPr="009D48A5">
        <w:rPr>
          <w:rFonts w:hint="eastAsia"/>
          <w:lang w:val="de-DE"/>
        </w:rPr>
        <w:t>年</w:t>
      </w:r>
      <w:r w:rsidRPr="009D48A5">
        <w:rPr>
          <w:lang w:val="de-DE"/>
        </w:rPr>
        <w:t>解决投资争端国际中心案例汇编》</w:t>
      </w:r>
      <w:r w:rsidRPr="009D48A5">
        <w:rPr>
          <w:rFonts w:hint="eastAsia"/>
          <w:lang w:val="de-DE"/>
        </w:rPr>
        <w:t>，第</w:t>
      </w:r>
      <w:r w:rsidRPr="009D48A5">
        <w:rPr>
          <w:rFonts w:hint="eastAsia"/>
          <w:lang w:val="de-DE"/>
        </w:rPr>
        <w:t>7</w:t>
      </w:r>
      <w:r w:rsidRPr="009D48A5">
        <w:rPr>
          <w:rFonts w:hint="eastAsia"/>
          <w:lang w:val="de-DE"/>
        </w:rPr>
        <w:t>卷</w:t>
      </w:r>
      <w:r w:rsidRPr="009D48A5">
        <w:rPr>
          <w:lang w:val="de-DE"/>
        </w:rPr>
        <w:t>，</w:t>
      </w:r>
      <w:r w:rsidRPr="009D48A5">
        <w:rPr>
          <w:rFonts w:hint="eastAsia"/>
          <w:lang w:val="de-DE"/>
        </w:rPr>
        <w:t>第</w:t>
      </w:r>
      <w:r w:rsidRPr="009D48A5">
        <w:rPr>
          <w:lang w:val="de-DE"/>
        </w:rPr>
        <w:t>492</w:t>
      </w:r>
      <w:r w:rsidRPr="009D48A5">
        <w:rPr>
          <w:rFonts w:hint="eastAsia"/>
          <w:lang w:val="de-DE"/>
        </w:rPr>
        <w:t>页</w:t>
      </w:r>
      <w:r w:rsidRPr="009D48A5">
        <w:rPr>
          <w:lang w:val="de-DE"/>
        </w:rPr>
        <w:t>，</w:t>
      </w:r>
      <w:r w:rsidRPr="009D48A5">
        <w:t>第</w:t>
      </w:r>
      <w:r w:rsidRPr="009D48A5">
        <w:rPr>
          <w:lang w:val="de-DE"/>
        </w:rPr>
        <w:t>47</w:t>
      </w:r>
      <w:r w:rsidRPr="009D48A5">
        <w:t>段</w:t>
      </w:r>
      <w:r w:rsidRPr="009D48A5">
        <w:rPr>
          <w:rFonts w:hint="eastAsia"/>
        </w:rPr>
        <w:t>。</w:t>
      </w:r>
    </w:p>
  </w:footnote>
  <w:footnote w:id="501">
    <w:p w:rsidR="00AB00DE" w:rsidRPr="009D48A5" w:rsidRDefault="00AB00DE" w:rsidP="00B44972">
      <w:pPr>
        <w:pStyle w:val="a4"/>
        <w:spacing w:after="80"/>
      </w:pPr>
      <w:r w:rsidRPr="009D48A5">
        <w:rPr>
          <w:rFonts w:hint="eastAsia"/>
          <w:lang w:val="de-DE"/>
        </w:rPr>
        <w:tab/>
      </w:r>
      <w:r w:rsidRPr="00DF5565">
        <w:rPr>
          <w:rStyle w:val="a5"/>
          <w:szCs w:val="22"/>
        </w:rPr>
        <w:footnoteRef/>
      </w:r>
      <w:r w:rsidRPr="009D48A5">
        <w:rPr>
          <w:rFonts w:hint="eastAsia"/>
        </w:rPr>
        <w:tab/>
      </w:r>
      <w:r w:rsidRPr="009D48A5">
        <w:rPr>
          <w:lang w:val="de-DE"/>
        </w:rPr>
        <w:t xml:space="preserve">Loizidou </w:t>
      </w:r>
      <w:r w:rsidRPr="009D48A5">
        <w:rPr>
          <w:rFonts w:ascii="Time New Roman" w:eastAsia="楷体" w:hAnsi="Time New Roman" w:hint="eastAsia"/>
        </w:rPr>
        <w:t>诉土耳其</w:t>
      </w:r>
      <w:r w:rsidRPr="009D48A5">
        <w:rPr>
          <w:lang w:val="de-DE"/>
        </w:rPr>
        <w:t>(</w:t>
      </w:r>
      <w:r w:rsidRPr="009D48A5">
        <w:rPr>
          <w:rFonts w:hint="eastAsia"/>
          <w:lang w:val="de-DE"/>
        </w:rPr>
        <w:t>初步反对意见</w:t>
      </w:r>
      <w:r w:rsidRPr="009D48A5">
        <w:rPr>
          <w:lang w:val="de-DE"/>
        </w:rPr>
        <w:t>)</w:t>
      </w:r>
      <w:r w:rsidRPr="009D48A5">
        <w:rPr>
          <w:lang w:val="de-DE"/>
        </w:rPr>
        <w:t>，</w:t>
      </w:r>
      <w:r w:rsidRPr="009D48A5">
        <w:rPr>
          <w:rFonts w:hint="eastAsia"/>
          <w:lang w:val="de-DE"/>
        </w:rPr>
        <w:t>第</w:t>
      </w:r>
      <w:r w:rsidRPr="009D48A5">
        <w:rPr>
          <w:lang w:val="de-DE"/>
        </w:rPr>
        <w:t>15318/89</w:t>
      </w:r>
      <w:r w:rsidRPr="009D48A5">
        <w:rPr>
          <w:rFonts w:hint="eastAsia"/>
          <w:lang w:val="de-DE"/>
        </w:rPr>
        <w:t>号申诉，</w:t>
      </w:r>
      <w:r w:rsidRPr="009D48A5">
        <w:rPr>
          <w:lang w:val="de-DE"/>
        </w:rPr>
        <w:t>1995</w:t>
      </w:r>
      <w:r w:rsidRPr="009D48A5">
        <w:t>年</w:t>
      </w:r>
      <w:r w:rsidRPr="009D48A5">
        <w:rPr>
          <w:lang w:val="de-DE"/>
        </w:rPr>
        <w:t>3</w:t>
      </w:r>
      <w:r w:rsidRPr="009D48A5">
        <w:t>月</w:t>
      </w:r>
      <w:r w:rsidRPr="009D48A5">
        <w:rPr>
          <w:lang w:val="de-DE"/>
        </w:rPr>
        <w:t>23</w:t>
      </w:r>
      <w:r w:rsidRPr="009D48A5">
        <w:t>日</w:t>
      </w:r>
      <w:r w:rsidRPr="009D48A5">
        <w:rPr>
          <w:lang w:val="de-DE"/>
        </w:rPr>
        <w:t>，</w:t>
      </w:r>
      <w:r w:rsidRPr="009D48A5">
        <w:t>《欧洲人权法院案例汇编》</w:t>
      </w:r>
      <w:r w:rsidRPr="009D48A5">
        <w:t>A</w:t>
      </w:r>
      <w:r w:rsidRPr="009D48A5">
        <w:t>辑</w:t>
      </w:r>
      <w:r w:rsidRPr="009D48A5">
        <w:rPr>
          <w:rFonts w:hint="eastAsia"/>
        </w:rPr>
        <w:t>，</w:t>
      </w:r>
      <w:r w:rsidRPr="009D48A5">
        <w:rPr>
          <w:rFonts w:hint="eastAsia"/>
          <w:lang w:val="de-DE"/>
        </w:rPr>
        <w:t>第</w:t>
      </w:r>
      <w:r w:rsidRPr="009D48A5">
        <w:rPr>
          <w:lang w:val="de-DE"/>
        </w:rPr>
        <w:t>310</w:t>
      </w:r>
      <w:r w:rsidRPr="009D48A5">
        <w:rPr>
          <w:rFonts w:hint="eastAsia"/>
          <w:lang w:val="de-DE"/>
        </w:rPr>
        <w:t>号</w:t>
      </w:r>
      <w:r w:rsidRPr="009D48A5">
        <w:rPr>
          <w:rFonts w:hint="eastAsia"/>
        </w:rPr>
        <w:t>，第</w:t>
      </w:r>
      <w:r w:rsidRPr="009D48A5">
        <w:rPr>
          <w:rFonts w:hint="eastAsia"/>
        </w:rPr>
        <w:t>79</w:t>
      </w:r>
      <w:r w:rsidRPr="009D48A5">
        <w:rPr>
          <w:rFonts w:hint="eastAsia"/>
        </w:rPr>
        <w:t>段。</w:t>
      </w:r>
    </w:p>
  </w:footnote>
  <w:footnote w:id="502">
    <w:p w:rsidR="00AB00DE" w:rsidRPr="009D48A5" w:rsidRDefault="00AB00DE" w:rsidP="00B44972">
      <w:pPr>
        <w:pStyle w:val="a4"/>
        <w:spacing w:after="80"/>
      </w:pPr>
      <w:r w:rsidRPr="009D48A5">
        <w:rPr>
          <w:rFonts w:hint="eastAsia"/>
        </w:rPr>
        <w:tab/>
      </w:r>
      <w:r w:rsidRPr="00DF5565">
        <w:rPr>
          <w:rStyle w:val="a5"/>
          <w:szCs w:val="22"/>
        </w:rPr>
        <w:footnoteRef/>
      </w:r>
      <w:r w:rsidRPr="009D48A5">
        <w:rPr>
          <w:rFonts w:hint="eastAsia"/>
        </w:rPr>
        <w:tab/>
      </w:r>
      <w:r w:rsidRPr="009D48A5">
        <w:rPr>
          <w:rFonts w:hint="eastAsia"/>
        </w:rPr>
        <w:t>同上，第</w:t>
      </w:r>
      <w:r w:rsidRPr="009D48A5">
        <w:rPr>
          <w:rFonts w:hint="eastAsia"/>
        </w:rPr>
        <w:t>80</w:t>
      </w:r>
      <w:r w:rsidRPr="009D48A5">
        <w:rPr>
          <w:rFonts w:hint="eastAsia"/>
        </w:rPr>
        <w:t>段；</w:t>
      </w:r>
      <w:r w:rsidRPr="009D48A5">
        <w:rPr>
          <w:rFonts w:hint="eastAsia"/>
          <w:lang w:val="zh-CN"/>
        </w:rPr>
        <w:t>值得一提的是</w:t>
      </w:r>
      <w:r w:rsidRPr="009D48A5">
        <w:rPr>
          <w:rFonts w:hint="eastAsia"/>
        </w:rPr>
        <w:t>，</w:t>
      </w:r>
      <w:r w:rsidRPr="009D48A5">
        <w:rPr>
          <w:rFonts w:hint="eastAsia"/>
          <w:lang w:val="zh-CN"/>
        </w:rPr>
        <w:t>法院形容“这种国家惯例”是</w:t>
      </w:r>
      <w:r w:rsidRPr="009D48A5">
        <w:rPr>
          <w:rFonts w:hint="eastAsia"/>
        </w:rPr>
        <w:t>“</w:t>
      </w:r>
      <w:r w:rsidRPr="009D48A5">
        <w:rPr>
          <w:rFonts w:hint="eastAsia"/>
          <w:lang w:val="zh-CN"/>
        </w:rPr>
        <w:t>统一和一贯的</w:t>
      </w:r>
      <w:r w:rsidRPr="009D48A5">
        <w:rPr>
          <w:rFonts w:hint="eastAsia"/>
        </w:rPr>
        <w:t>”，</w:t>
      </w:r>
      <w:r w:rsidRPr="009D48A5">
        <w:rPr>
          <w:rFonts w:hint="eastAsia"/>
          <w:lang w:val="zh-CN"/>
        </w:rPr>
        <w:t>尽管法院承认</w:t>
      </w:r>
      <w:r w:rsidRPr="009D48A5">
        <w:rPr>
          <w:rFonts w:hint="eastAsia"/>
        </w:rPr>
        <w:t>，</w:t>
      </w:r>
      <w:r w:rsidRPr="009D48A5">
        <w:rPr>
          <w:rFonts w:hint="eastAsia"/>
          <w:lang w:val="zh-CN"/>
        </w:rPr>
        <w:t>可能有两个国家例外</w:t>
      </w:r>
      <w:r w:rsidRPr="009D48A5">
        <w:rPr>
          <w:rFonts w:hint="eastAsia"/>
        </w:rPr>
        <w:t>(</w:t>
      </w:r>
      <w:r w:rsidRPr="009D48A5">
        <w:rPr>
          <w:rFonts w:hint="eastAsia"/>
          <w:lang w:val="zh-CN"/>
        </w:rPr>
        <w:t>塞浦路斯和联合王国</w:t>
      </w:r>
      <w:r w:rsidRPr="009D48A5">
        <w:rPr>
          <w:rFonts w:hint="eastAsia"/>
        </w:rPr>
        <w:t>；“</w:t>
      </w:r>
      <w:r w:rsidRPr="009D48A5">
        <w:rPr>
          <w:rFonts w:hint="eastAsia"/>
          <w:lang w:val="zh-CN"/>
        </w:rPr>
        <w:t>不管其意义如何</w:t>
      </w:r>
      <w:r w:rsidRPr="009D48A5">
        <w:rPr>
          <w:rFonts w:hint="eastAsia"/>
        </w:rPr>
        <w:t>”</w:t>
      </w:r>
      <w:r w:rsidRPr="009D48A5">
        <w:rPr>
          <w:rFonts w:hint="eastAsia"/>
        </w:rPr>
        <w:t>)</w:t>
      </w:r>
      <w:r w:rsidRPr="009D48A5">
        <w:rPr>
          <w:rFonts w:hint="eastAsia"/>
        </w:rPr>
        <w:t>，</w:t>
      </w:r>
      <w:r w:rsidRPr="009D48A5">
        <w:rPr>
          <w:rFonts w:hint="eastAsia"/>
          <w:lang w:val="zh-CN"/>
        </w:rPr>
        <w:t>第</w:t>
      </w:r>
      <w:r w:rsidRPr="009D48A5">
        <w:t>80</w:t>
      </w:r>
      <w:r w:rsidRPr="009D48A5">
        <w:rPr>
          <w:rFonts w:hint="eastAsia"/>
          <w:lang w:val="zh-CN"/>
        </w:rPr>
        <w:t>和</w:t>
      </w:r>
      <w:r w:rsidRPr="009D48A5">
        <w:t>82</w:t>
      </w:r>
      <w:r w:rsidRPr="009D48A5">
        <w:rPr>
          <w:rFonts w:hint="eastAsia"/>
          <w:lang w:val="zh-CN"/>
        </w:rPr>
        <w:t>段。</w:t>
      </w:r>
    </w:p>
  </w:footnote>
  <w:footnote w:id="503">
    <w:p w:rsidR="00AB00DE" w:rsidRPr="009D48A5" w:rsidRDefault="00AB00DE" w:rsidP="00B44972">
      <w:pPr>
        <w:pStyle w:val="a4"/>
        <w:spacing w:after="80"/>
      </w:pPr>
      <w:r w:rsidRPr="009D48A5">
        <w:rPr>
          <w:rFonts w:hint="eastAsia"/>
        </w:rPr>
        <w:tab/>
      </w:r>
      <w:r w:rsidRPr="00DF5565">
        <w:rPr>
          <w:rStyle w:val="a5"/>
          <w:szCs w:val="22"/>
        </w:rPr>
        <w:footnoteRef/>
      </w:r>
      <w:r w:rsidRPr="009D48A5">
        <w:rPr>
          <w:rFonts w:hint="eastAsia"/>
        </w:rPr>
        <w:tab/>
      </w:r>
      <w:r w:rsidRPr="009D48A5">
        <w:t>Demir</w:t>
      </w:r>
      <w:r w:rsidRPr="009D48A5">
        <w:rPr>
          <w:rFonts w:ascii="Time New Roman" w:eastAsia="楷体" w:hAnsi="Time New Roman" w:hint="eastAsia"/>
        </w:rPr>
        <w:t>和</w:t>
      </w:r>
      <w:r w:rsidRPr="009D48A5">
        <w:rPr>
          <w:rFonts w:ascii="Time New Roman" w:eastAsia="楷体" w:hAnsi="Time New Roman"/>
        </w:rPr>
        <w:t>Baykara</w:t>
      </w:r>
      <w:r w:rsidRPr="009D48A5">
        <w:rPr>
          <w:rFonts w:ascii="Time New Roman" w:eastAsia="楷体" w:hAnsi="Time New Roman" w:hint="eastAsia"/>
        </w:rPr>
        <w:t>诉土耳其</w:t>
      </w:r>
      <w:r w:rsidRPr="009D48A5">
        <w:t>[GC]</w:t>
      </w:r>
      <w:r w:rsidRPr="009D48A5">
        <w:t>，</w:t>
      </w:r>
      <w:r w:rsidRPr="009D48A5">
        <w:rPr>
          <w:rFonts w:hint="eastAsia"/>
        </w:rPr>
        <w:t>第</w:t>
      </w:r>
      <w:r w:rsidRPr="009D48A5">
        <w:t>34503/97</w:t>
      </w:r>
      <w:r w:rsidRPr="009D48A5">
        <w:rPr>
          <w:rFonts w:hint="eastAsia"/>
        </w:rPr>
        <w:t>号申诉</w:t>
      </w:r>
      <w:r w:rsidRPr="009D48A5">
        <w:t>，</w:t>
      </w:r>
      <w:r w:rsidRPr="009D48A5">
        <w:t>2008</w:t>
      </w:r>
      <w:r w:rsidRPr="009D48A5">
        <w:t>年</w:t>
      </w:r>
      <w:r w:rsidRPr="009D48A5">
        <w:t>11</w:t>
      </w:r>
      <w:r w:rsidRPr="009D48A5">
        <w:t>月</w:t>
      </w:r>
      <w:r w:rsidRPr="009D48A5">
        <w:t>12</w:t>
      </w:r>
      <w:r w:rsidRPr="009D48A5">
        <w:t>日，《</w:t>
      </w:r>
      <w:r w:rsidRPr="009D48A5">
        <w:rPr>
          <w:rFonts w:hint="eastAsia"/>
        </w:rPr>
        <w:t>2008</w:t>
      </w:r>
      <w:r w:rsidRPr="009D48A5">
        <w:rPr>
          <w:rFonts w:hint="eastAsia"/>
        </w:rPr>
        <w:t>年</w:t>
      </w:r>
      <w:r w:rsidRPr="009D48A5">
        <w:t>欧洲人权法院案例汇编》</w:t>
      </w:r>
      <w:r w:rsidRPr="009D48A5">
        <w:rPr>
          <w:rFonts w:hint="eastAsia"/>
        </w:rPr>
        <w:t>，</w:t>
      </w:r>
      <w:r w:rsidRPr="009D48A5">
        <w:t>第</w:t>
      </w:r>
      <w:r w:rsidRPr="009D48A5">
        <w:t>52</w:t>
      </w:r>
      <w:r w:rsidRPr="009D48A5">
        <w:t>段</w:t>
      </w:r>
      <w:r w:rsidRPr="009D48A5">
        <w:rPr>
          <w:rFonts w:hint="eastAsia"/>
        </w:rPr>
        <w:t>。</w:t>
      </w:r>
    </w:p>
  </w:footnote>
  <w:footnote w:id="504">
    <w:p w:rsidR="00AB00DE" w:rsidRPr="009D48A5" w:rsidRDefault="00AB00DE" w:rsidP="00B44972">
      <w:pPr>
        <w:pStyle w:val="a4"/>
        <w:spacing w:after="80"/>
      </w:pPr>
      <w:r w:rsidRPr="009D48A5">
        <w:rPr>
          <w:rFonts w:hint="eastAsia"/>
        </w:rPr>
        <w:tab/>
      </w:r>
      <w:r w:rsidRPr="00DF5565">
        <w:rPr>
          <w:rStyle w:val="a5"/>
          <w:szCs w:val="22"/>
        </w:rPr>
        <w:footnoteRef/>
      </w:r>
      <w:r w:rsidRPr="009D48A5">
        <w:rPr>
          <w:rFonts w:hint="eastAsia"/>
        </w:rPr>
        <w:tab/>
      </w:r>
      <w:r w:rsidRPr="009D48A5">
        <w:t>同上，第</w:t>
      </w:r>
      <w:r w:rsidRPr="009D48A5">
        <w:t>151</w:t>
      </w:r>
      <w:r w:rsidRPr="009D48A5">
        <w:t>段</w:t>
      </w:r>
      <w:r w:rsidRPr="009D48A5">
        <w:rPr>
          <w:rFonts w:hint="eastAsia"/>
        </w:rPr>
        <w:t>；</w:t>
      </w:r>
      <w:r w:rsidRPr="009D48A5">
        <w:rPr>
          <w:rFonts w:hint="eastAsia"/>
          <w:lang w:val="zh-CN"/>
        </w:rPr>
        <w:t>相似的</w:t>
      </w:r>
      <w:r w:rsidRPr="009D48A5">
        <w:rPr>
          <w:rFonts w:hint="eastAsia"/>
        </w:rPr>
        <w:t>还有</w:t>
      </w:r>
      <w:r w:rsidRPr="009D48A5">
        <w:t xml:space="preserve">Jorgic </w:t>
      </w:r>
      <w:r w:rsidRPr="009D48A5">
        <w:rPr>
          <w:rFonts w:hint="eastAsia"/>
        </w:rPr>
        <w:t>诉德国，第</w:t>
      </w:r>
      <w:r w:rsidRPr="009D48A5">
        <w:t>74613/01</w:t>
      </w:r>
      <w:r w:rsidRPr="009D48A5">
        <w:rPr>
          <w:rFonts w:hint="eastAsia"/>
        </w:rPr>
        <w:t>号申诉，</w:t>
      </w:r>
      <w:r w:rsidRPr="009D48A5">
        <w:t>2007</w:t>
      </w:r>
      <w:r w:rsidRPr="009D48A5">
        <w:t>年</w:t>
      </w:r>
      <w:r w:rsidRPr="009D48A5">
        <w:t>7</w:t>
      </w:r>
      <w:r w:rsidRPr="009D48A5">
        <w:t>月</w:t>
      </w:r>
      <w:r w:rsidRPr="009D48A5">
        <w:t>12</w:t>
      </w:r>
      <w:r w:rsidRPr="009D48A5">
        <w:t>日，《</w:t>
      </w:r>
      <w:r w:rsidRPr="009D48A5">
        <w:rPr>
          <w:rFonts w:hint="eastAsia"/>
        </w:rPr>
        <w:t>2007</w:t>
      </w:r>
      <w:r w:rsidRPr="009D48A5">
        <w:rPr>
          <w:rFonts w:hint="eastAsia"/>
        </w:rPr>
        <w:t>年</w:t>
      </w:r>
      <w:r w:rsidRPr="009D48A5">
        <w:t>欧洲人权法院案例汇编》</w:t>
      </w:r>
      <w:r w:rsidRPr="009D48A5">
        <w:rPr>
          <w:rFonts w:hint="eastAsia"/>
        </w:rPr>
        <w:t>第三卷，</w:t>
      </w:r>
      <w:r w:rsidRPr="009D48A5">
        <w:t>第</w:t>
      </w:r>
      <w:r w:rsidRPr="009D48A5">
        <w:t>69</w:t>
      </w:r>
      <w:r w:rsidRPr="009D48A5">
        <w:t>段</w:t>
      </w:r>
      <w:r w:rsidRPr="009D48A5">
        <w:rPr>
          <w:rFonts w:hint="eastAsia"/>
        </w:rPr>
        <w:t>。</w:t>
      </w:r>
    </w:p>
  </w:footnote>
  <w:footnote w:id="505">
    <w:p w:rsidR="00AB00DE" w:rsidRPr="009D48A5" w:rsidRDefault="00AB00DE" w:rsidP="00267AB1">
      <w:pPr>
        <w:pStyle w:val="a4"/>
        <w:spacing w:after="80"/>
      </w:pPr>
      <w:r w:rsidRPr="009D48A5">
        <w:rPr>
          <w:rFonts w:hint="eastAsia"/>
        </w:rPr>
        <w:tab/>
      </w:r>
      <w:r w:rsidRPr="00DF5565">
        <w:rPr>
          <w:rStyle w:val="a5"/>
          <w:szCs w:val="22"/>
        </w:rPr>
        <w:footnoteRef/>
      </w:r>
      <w:r w:rsidRPr="009D48A5">
        <w:rPr>
          <w:rFonts w:hint="eastAsia"/>
        </w:rPr>
        <w:tab/>
      </w:r>
      <w:r w:rsidRPr="009D48A5">
        <w:t>Hilaire</w:t>
      </w:r>
      <w:r w:rsidRPr="009D48A5">
        <w:rPr>
          <w:rFonts w:hint="eastAsia"/>
        </w:rPr>
        <w:t>、</w:t>
      </w:r>
      <w:r w:rsidRPr="009D48A5">
        <w:t>Constantine</w:t>
      </w:r>
      <w:r w:rsidRPr="009D48A5">
        <w:rPr>
          <w:rFonts w:ascii="Time New Roman" w:eastAsia="楷体" w:hAnsi="Time New Roman" w:hint="eastAsia"/>
        </w:rPr>
        <w:t>和</w:t>
      </w:r>
      <w:r w:rsidRPr="009D48A5">
        <w:rPr>
          <w:rFonts w:ascii="Time New Roman" w:eastAsia="楷体" w:hAnsi="Time New Roman"/>
        </w:rPr>
        <w:t>Benjamin</w:t>
      </w:r>
      <w:r w:rsidRPr="009D48A5">
        <w:rPr>
          <w:rFonts w:ascii="Time New Roman" w:eastAsia="楷体" w:hAnsi="Time New Roman" w:hint="eastAsia"/>
        </w:rPr>
        <w:t>等人诉特立尼达和多巴哥</w:t>
      </w:r>
      <w:r w:rsidRPr="009D48A5">
        <w:t>(</w:t>
      </w:r>
      <w:r w:rsidRPr="009D48A5">
        <w:rPr>
          <w:rFonts w:hint="eastAsia"/>
        </w:rPr>
        <w:t>见上文脚注</w:t>
      </w:r>
      <w:r>
        <w:fldChar w:fldCharType="begin"/>
      </w:r>
      <w:r>
        <w:instrText xml:space="preserve"> </w:instrText>
      </w:r>
      <w:r>
        <w:rPr>
          <w:rFonts w:hint="eastAsia"/>
        </w:rPr>
        <w:instrText>NOTEREF _Ref461973238 \h</w:instrText>
      </w:r>
      <w:r>
        <w:instrText xml:space="preserve"> </w:instrText>
      </w:r>
      <w:r>
        <w:fldChar w:fldCharType="separate"/>
      </w:r>
      <w:r w:rsidR="00A73EB9">
        <w:t>400</w:t>
      </w:r>
      <w:r>
        <w:fldChar w:fldCharType="end"/>
      </w:r>
      <w:r w:rsidRPr="009D48A5">
        <w:t>)</w:t>
      </w:r>
      <w:r w:rsidRPr="009D48A5">
        <w:rPr>
          <w:rFonts w:hint="eastAsia"/>
        </w:rPr>
        <w:t>，</w:t>
      </w:r>
      <w:r w:rsidRPr="009D48A5">
        <w:t>Sergio García Ramírez</w:t>
      </w:r>
      <w:r w:rsidRPr="009D48A5">
        <w:rPr>
          <w:rFonts w:hint="eastAsia"/>
        </w:rPr>
        <w:t>法官单独的赞同意见，第</w:t>
      </w:r>
      <w:r w:rsidRPr="009D48A5">
        <w:rPr>
          <w:rFonts w:hint="eastAsia"/>
        </w:rPr>
        <w:t>12</w:t>
      </w:r>
      <w:r w:rsidRPr="009D48A5">
        <w:rPr>
          <w:rFonts w:hint="eastAsia"/>
        </w:rPr>
        <w:t>段。</w:t>
      </w:r>
    </w:p>
  </w:footnote>
  <w:footnote w:id="506">
    <w:p w:rsidR="00AB00DE" w:rsidRPr="009D48A5" w:rsidRDefault="00AB00DE" w:rsidP="00B44972">
      <w:pPr>
        <w:pStyle w:val="a4"/>
        <w:spacing w:after="80"/>
        <w:rPr>
          <w:b/>
          <w:bCs/>
        </w:rPr>
      </w:pPr>
      <w:r w:rsidRPr="009D48A5">
        <w:rPr>
          <w:rFonts w:hint="eastAsia"/>
        </w:rPr>
        <w:tab/>
      </w:r>
      <w:r w:rsidRPr="00DF5565">
        <w:rPr>
          <w:rStyle w:val="a5"/>
          <w:szCs w:val="22"/>
        </w:rPr>
        <w:footnoteRef/>
      </w:r>
      <w:r w:rsidRPr="009D48A5">
        <w:rPr>
          <w:rFonts w:hint="eastAsia"/>
        </w:rPr>
        <w:tab/>
      </w:r>
      <w:r w:rsidRPr="009D48A5">
        <w:t>Jong-Cheol</w:t>
      </w:r>
      <w:r w:rsidRPr="009D48A5">
        <w:rPr>
          <w:rFonts w:ascii="Time New Roman" w:eastAsia="楷体" w:hAnsi="Time New Roman" w:hint="eastAsia"/>
        </w:rPr>
        <w:t>诉大韩民国</w:t>
      </w:r>
      <w:r w:rsidRPr="009D48A5">
        <w:rPr>
          <w:rFonts w:hint="eastAsia"/>
        </w:rPr>
        <w:t>，意见，</w:t>
      </w:r>
      <w:r w:rsidRPr="009D48A5">
        <w:t>2005</w:t>
      </w:r>
      <w:r w:rsidRPr="009D48A5">
        <w:rPr>
          <w:rFonts w:hint="eastAsia"/>
        </w:rPr>
        <w:t>年</w:t>
      </w:r>
      <w:r w:rsidRPr="009D48A5">
        <w:rPr>
          <w:rFonts w:hint="eastAsia"/>
        </w:rPr>
        <w:t>7</w:t>
      </w:r>
      <w:r w:rsidRPr="009D48A5">
        <w:rPr>
          <w:rFonts w:hint="eastAsia"/>
        </w:rPr>
        <w:t>月</w:t>
      </w:r>
      <w:r w:rsidRPr="009D48A5">
        <w:rPr>
          <w:rFonts w:hint="eastAsia"/>
        </w:rPr>
        <w:t>27</w:t>
      </w:r>
      <w:r w:rsidRPr="009D48A5">
        <w:rPr>
          <w:rFonts w:hint="eastAsia"/>
        </w:rPr>
        <w:t>日，第</w:t>
      </w:r>
      <w:r w:rsidRPr="009D48A5">
        <w:t>968/2001</w:t>
      </w:r>
      <w:r w:rsidRPr="009D48A5">
        <w:rPr>
          <w:rFonts w:hint="eastAsia"/>
        </w:rPr>
        <w:t>号来文，人权事务委员会的报告，《大会正式记录，第六十届会议，补编第</w:t>
      </w:r>
      <w:r w:rsidRPr="009D48A5">
        <w:rPr>
          <w:rFonts w:hint="eastAsia"/>
        </w:rPr>
        <w:t>40</w:t>
      </w:r>
      <w:r w:rsidRPr="009D48A5">
        <w:rPr>
          <w:rFonts w:hint="eastAsia"/>
        </w:rPr>
        <w:t>号》</w:t>
      </w:r>
      <w:r w:rsidRPr="009D48A5">
        <w:t>(A/60/40)</w:t>
      </w:r>
      <w:r w:rsidRPr="009D48A5">
        <w:rPr>
          <w:rFonts w:hint="eastAsia"/>
        </w:rPr>
        <w:t>，第二卷，附件五，</w:t>
      </w:r>
      <w:r w:rsidRPr="009D48A5">
        <w:rPr>
          <w:rFonts w:hint="eastAsia"/>
        </w:rPr>
        <w:t>G</w:t>
      </w:r>
      <w:r w:rsidRPr="009D48A5">
        <w:rPr>
          <w:rFonts w:hint="eastAsia"/>
        </w:rPr>
        <w:t>节。</w:t>
      </w:r>
    </w:p>
  </w:footnote>
  <w:footnote w:id="507">
    <w:p w:rsidR="00AB00DE" w:rsidRPr="009D48A5" w:rsidRDefault="00AB00DE" w:rsidP="00B44972">
      <w:pPr>
        <w:pStyle w:val="a4"/>
        <w:spacing w:after="80"/>
      </w:pPr>
      <w:r w:rsidRPr="009D48A5">
        <w:rPr>
          <w:rFonts w:hint="eastAsia"/>
        </w:rPr>
        <w:tab/>
      </w:r>
      <w:r w:rsidRPr="00DF5565">
        <w:rPr>
          <w:rStyle w:val="a5"/>
          <w:szCs w:val="22"/>
        </w:rPr>
        <w:footnoteRef/>
      </w:r>
      <w:r w:rsidRPr="009D48A5">
        <w:rPr>
          <w:rFonts w:hint="eastAsia"/>
        </w:rPr>
        <w:tab/>
      </w:r>
      <w:r w:rsidRPr="009D48A5">
        <w:t>同上，第</w:t>
      </w:r>
      <w:r w:rsidRPr="009D48A5">
        <w:t>8.3</w:t>
      </w:r>
      <w:r w:rsidRPr="009D48A5">
        <w:t>段</w:t>
      </w:r>
      <w:r w:rsidRPr="009D48A5">
        <w:rPr>
          <w:rFonts w:hint="eastAsia"/>
        </w:rPr>
        <w:t>。</w:t>
      </w:r>
    </w:p>
  </w:footnote>
  <w:footnote w:id="508">
    <w:p w:rsidR="00AB00DE" w:rsidRPr="009D48A5" w:rsidRDefault="00AB00DE" w:rsidP="00B44972">
      <w:pPr>
        <w:pStyle w:val="a4"/>
        <w:spacing w:after="80"/>
      </w:pPr>
      <w:r w:rsidRPr="009D48A5">
        <w:rPr>
          <w:rFonts w:hint="eastAsia"/>
        </w:rPr>
        <w:tab/>
      </w:r>
      <w:r w:rsidRPr="00DF5565">
        <w:rPr>
          <w:rStyle w:val="a5"/>
          <w:szCs w:val="22"/>
        </w:rPr>
        <w:footnoteRef/>
      </w:r>
      <w:r w:rsidRPr="009D48A5">
        <w:rPr>
          <w:rFonts w:hint="eastAsia"/>
        </w:rPr>
        <w:tab/>
      </w:r>
      <w:r w:rsidRPr="009D48A5">
        <w:t>同上；</w:t>
      </w:r>
      <w:r w:rsidRPr="009D48A5">
        <w:rPr>
          <w:rFonts w:hint="eastAsia"/>
        </w:rPr>
        <w:t>另</w:t>
      </w:r>
      <w:r w:rsidRPr="009D48A5">
        <w:t>见</w:t>
      </w:r>
      <w:r w:rsidRPr="009D48A5">
        <w:t>Yoon</w:t>
      </w:r>
      <w:r w:rsidRPr="009D48A5">
        <w:rPr>
          <w:rFonts w:ascii="Time New Roman" w:eastAsia="楷体" w:hAnsi="Time New Roman" w:hint="eastAsia"/>
        </w:rPr>
        <w:t>和</w:t>
      </w:r>
      <w:r w:rsidRPr="009D48A5">
        <w:rPr>
          <w:rFonts w:ascii="Time New Roman" w:eastAsia="楷体" w:hAnsi="Time New Roman"/>
        </w:rPr>
        <w:t>Choi</w:t>
      </w:r>
      <w:r w:rsidRPr="009D48A5">
        <w:rPr>
          <w:rFonts w:ascii="Time New Roman" w:eastAsia="楷体" w:hAnsi="Time New Roman" w:hint="eastAsia"/>
        </w:rPr>
        <w:t>诉大韩民国</w:t>
      </w:r>
      <w:r w:rsidRPr="009D48A5">
        <w:rPr>
          <w:rFonts w:hint="eastAsia"/>
        </w:rPr>
        <w:t>，意见，</w:t>
      </w:r>
      <w:r w:rsidRPr="009D48A5">
        <w:t>2006</w:t>
      </w:r>
      <w:r w:rsidRPr="009D48A5">
        <w:rPr>
          <w:rFonts w:hint="eastAsia"/>
        </w:rPr>
        <w:t>年</w:t>
      </w:r>
      <w:r w:rsidRPr="009D48A5">
        <w:rPr>
          <w:rFonts w:hint="eastAsia"/>
        </w:rPr>
        <w:t>11</w:t>
      </w:r>
      <w:r w:rsidRPr="009D48A5">
        <w:rPr>
          <w:rFonts w:hint="eastAsia"/>
        </w:rPr>
        <w:t>月</w:t>
      </w:r>
      <w:r w:rsidRPr="009D48A5">
        <w:rPr>
          <w:rFonts w:hint="eastAsia"/>
        </w:rPr>
        <w:t>3</w:t>
      </w:r>
      <w:r w:rsidRPr="009D48A5">
        <w:rPr>
          <w:rFonts w:hint="eastAsia"/>
        </w:rPr>
        <w:t>日，第</w:t>
      </w:r>
      <w:r w:rsidRPr="009D48A5">
        <w:t>1321/2004</w:t>
      </w:r>
      <w:r w:rsidRPr="009D48A5">
        <w:rPr>
          <w:rFonts w:hint="eastAsia"/>
        </w:rPr>
        <w:t>和第</w:t>
      </w:r>
      <w:r w:rsidRPr="009D48A5">
        <w:t>1322/2004</w:t>
      </w:r>
      <w:r w:rsidRPr="009D48A5">
        <w:rPr>
          <w:rFonts w:hint="eastAsia"/>
        </w:rPr>
        <w:t>号来文，同上，《第六十二届会议，补编第</w:t>
      </w:r>
      <w:r w:rsidRPr="009D48A5">
        <w:rPr>
          <w:rFonts w:hint="eastAsia"/>
        </w:rPr>
        <w:t>40</w:t>
      </w:r>
      <w:r w:rsidRPr="009D48A5">
        <w:rPr>
          <w:rFonts w:hint="eastAsia"/>
        </w:rPr>
        <w:t>号》</w:t>
      </w:r>
      <w:r w:rsidRPr="009D48A5">
        <w:t>(A/62/40</w:t>
      </w:r>
      <w:r w:rsidRPr="009D48A5">
        <w:rPr>
          <w:rFonts w:hint="eastAsia"/>
        </w:rPr>
        <w:t>)</w:t>
      </w:r>
      <w:r w:rsidRPr="009D48A5">
        <w:rPr>
          <w:rFonts w:hint="eastAsia"/>
        </w:rPr>
        <w:t>，第二卷，附件七，</w:t>
      </w:r>
      <w:r w:rsidRPr="009D48A5">
        <w:rPr>
          <w:rFonts w:hint="eastAsia"/>
        </w:rPr>
        <w:t>V</w:t>
      </w:r>
      <w:r w:rsidRPr="009D48A5">
        <w:rPr>
          <w:rFonts w:hint="eastAsia"/>
        </w:rPr>
        <w:t>节，</w:t>
      </w:r>
      <w:r w:rsidRPr="009D48A5">
        <w:t>第</w:t>
      </w:r>
      <w:r w:rsidRPr="009D48A5">
        <w:t>8.4</w:t>
      </w:r>
      <w:r w:rsidRPr="009D48A5">
        <w:t>段</w:t>
      </w:r>
      <w:r w:rsidRPr="009D48A5">
        <w:rPr>
          <w:rFonts w:hint="eastAsia"/>
        </w:rPr>
        <w:t>。</w:t>
      </w:r>
    </w:p>
  </w:footnote>
  <w:footnote w:id="509">
    <w:p w:rsidR="00AB00DE" w:rsidRPr="009D48A5" w:rsidRDefault="00AB00DE" w:rsidP="00B44972">
      <w:pPr>
        <w:pStyle w:val="a4"/>
        <w:spacing w:after="80"/>
      </w:pPr>
      <w:r w:rsidRPr="009D48A5">
        <w:rPr>
          <w:rFonts w:hint="eastAsia"/>
        </w:rPr>
        <w:tab/>
      </w:r>
      <w:r w:rsidRPr="00DF5565">
        <w:rPr>
          <w:rStyle w:val="a5"/>
          <w:szCs w:val="22"/>
        </w:rPr>
        <w:footnoteRef/>
      </w:r>
      <w:r w:rsidRPr="009D48A5">
        <w:rPr>
          <w:rFonts w:hint="eastAsia"/>
        </w:rPr>
        <w:tab/>
      </w:r>
      <w:r w:rsidRPr="009D48A5">
        <w:rPr>
          <w:iCs/>
        </w:rPr>
        <w:t>M/V ‘SAIGA’ (</w:t>
      </w:r>
      <w:r w:rsidRPr="009D48A5">
        <w:rPr>
          <w:rFonts w:ascii="Time New Roman" w:eastAsia="楷体" w:hAnsi="Time New Roman" w:hint="eastAsia"/>
        </w:rPr>
        <w:t>第</w:t>
      </w:r>
      <w:r w:rsidRPr="009D48A5">
        <w:rPr>
          <w:rFonts w:ascii="Time New Roman" w:eastAsia="楷体" w:hAnsi="Time New Roman"/>
        </w:rPr>
        <w:t>2</w:t>
      </w:r>
      <w:r w:rsidRPr="009D48A5">
        <w:rPr>
          <w:rFonts w:ascii="Time New Roman" w:eastAsia="楷体" w:hAnsi="Time New Roman" w:hint="eastAsia"/>
        </w:rPr>
        <w:t>号</w:t>
      </w:r>
      <w:r w:rsidRPr="009D48A5">
        <w:rPr>
          <w:rFonts w:ascii="Time New Roman" w:eastAsia="楷体" w:hAnsi="Time New Roman"/>
        </w:rPr>
        <w:t>)</w:t>
      </w:r>
      <w:r w:rsidRPr="009D48A5">
        <w:rPr>
          <w:rFonts w:ascii="Time New Roman" w:eastAsia="楷体" w:hAnsi="Time New Roman" w:hint="eastAsia"/>
        </w:rPr>
        <w:t>案</w:t>
      </w:r>
      <w:r w:rsidRPr="009D48A5">
        <w:rPr>
          <w:rFonts w:ascii="Time New Roman" w:eastAsia="楷体" w:hAnsi="Time New Roman"/>
        </w:rPr>
        <w:t>(</w:t>
      </w:r>
      <w:r w:rsidRPr="009D48A5">
        <w:rPr>
          <w:rFonts w:ascii="Time New Roman" w:eastAsia="楷体" w:hAnsi="Time New Roman" w:hint="eastAsia"/>
        </w:rPr>
        <w:t>圣文森特和格林纳丁斯诉圭亚那</w:t>
      </w:r>
      <w:r w:rsidRPr="009D48A5">
        <w:rPr>
          <w:iCs/>
        </w:rPr>
        <w:t>)</w:t>
      </w:r>
      <w:r w:rsidRPr="009D48A5">
        <w:rPr>
          <w:iCs/>
        </w:rPr>
        <w:t>，</w:t>
      </w:r>
      <w:r w:rsidRPr="009D48A5">
        <w:rPr>
          <w:rFonts w:ascii="Time New Roman" w:eastAsia="楷体" w:hAnsi="Time New Roman" w:hint="eastAsia"/>
        </w:rPr>
        <w:t>判决</w:t>
      </w:r>
      <w:r w:rsidRPr="009D48A5">
        <w:rPr>
          <w:rFonts w:hint="eastAsia"/>
          <w:iCs/>
        </w:rPr>
        <w:t>，</w:t>
      </w:r>
      <w:r w:rsidRPr="009D48A5">
        <w:rPr>
          <w:rFonts w:hint="eastAsia"/>
          <w:lang w:val="zh-CN"/>
        </w:rPr>
        <w:t>《</w:t>
      </w:r>
      <w:r w:rsidRPr="009D48A5">
        <w:rPr>
          <w:lang w:val="zh-CN"/>
        </w:rPr>
        <w:t>1999</w:t>
      </w:r>
      <w:r w:rsidRPr="009D48A5">
        <w:rPr>
          <w:rFonts w:hint="eastAsia"/>
          <w:lang w:val="zh-CN"/>
        </w:rPr>
        <w:t>年</w:t>
      </w:r>
      <w:r w:rsidRPr="009D48A5">
        <w:rPr>
          <w:lang w:val="zh-CN"/>
        </w:rPr>
        <w:t>海洋法法庭</w:t>
      </w:r>
      <w:r w:rsidRPr="009D48A5">
        <w:rPr>
          <w:rFonts w:hint="eastAsia"/>
          <w:lang w:val="zh-CN"/>
        </w:rPr>
        <w:t>案例汇编》</w:t>
      </w:r>
      <w:r w:rsidRPr="009D48A5">
        <w:rPr>
          <w:rFonts w:hint="eastAsia"/>
          <w:iCs/>
        </w:rPr>
        <w:t>，第</w:t>
      </w:r>
      <w:r w:rsidRPr="009D48A5">
        <w:rPr>
          <w:rFonts w:hint="eastAsia"/>
          <w:iCs/>
        </w:rPr>
        <w:t>10</w:t>
      </w:r>
      <w:r w:rsidRPr="009D48A5">
        <w:rPr>
          <w:rFonts w:hint="eastAsia"/>
          <w:iCs/>
        </w:rPr>
        <w:t>页起，见第</w:t>
      </w:r>
      <w:r w:rsidRPr="009D48A5">
        <w:rPr>
          <w:rFonts w:hint="eastAsia"/>
          <w:iCs/>
        </w:rPr>
        <w:t>61</w:t>
      </w:r>
      <w:r w:rsidRPr="009D48A5">
        <w:rPr>
          <w:iCs/>
        </w:rPr>
        <w:t>-</w:t>
      </w:r>
      <w:r w:rsidRPr="009D48A5">
        <w:rPr>
          <w:rFonts w:hint="eastAsia"/>
          <w:iCs/>
        </w:rPr>
        <w:t>62</w:t>
      </w:r>
      <w:r w:rsidRPr="009D48A5">
        <w:rPr>
          <w:rFonts w:hint="eastAsia"/>
          <w:iCs/>
        </w:rPr>
        <w:t>页，第</w:t>
      </w:r>
      <w:r w:rsidRPr="009D48A5">
        <w:rPr>
          <w:rFonts w:hint="eastAsia"/>
          <w:iCs/>
        </w:rPr>
        <w:t>155-156</w:t>
      </w:r>
      <w:r w:rsidRPr="009D48A5">
        <w:rPr>
          <w:rFonts w:hint="eastAsia"/>
          <w:iCs/>
        </w:rPr>
        <w:t>段。</w:t>
      </w:r>
    </w:p>
  </w:footnote>
  <w:footnote w:id="510">
    <w:p w:rsidR="00AB00DE" w:rsidRPr="009D48A5" w:rsidRDefault="00AB00DE" w:rsidP="00B44972">
      <w:pPr>
        <w:pStyle w:val="a4"/>
        <w:spacing w:after="80"/>
      </w:pPr>
      <w:r w:rsidRPr="009D48A5">
        <w:rPr>
          <w:rFonts w:hint="eastAsia"/>
        </w:rPr>
        <w:tab/>
      </w:r>
      <w:r w:rsidRPr="00DF5565">
        <w:rPr>
          <w:rStyle w:val="a5"/>
          <w:szCs w:val="22"/>
        </w:rPr>
        <w:footnoteRef/>
      </w:r>
      <w:r w:rsidRPr="009D48A5">
        <w:rPr>
          <w:rFonts w:hint="eastAsia"/>
        </w:rPr>
        <w:tab/>
      </w:r>
      <w:r w:rsidRPr="009D48A5">
        <w:rPr>
          <w:rFonts w:hint="eastAsia"/>
        </w:rPr>
        <w:t>联合国，</w:t>
      </w:r>
      <w:r w:rsidRPr="009D48A5">
        <w:rPr>
          <w:rFonts w:hint="eastAsia"/>
          <w:lang w:val="zh-CN"/>
        </w:rPr>
        <w:t>《条约汇编》，第</w:t>
      </w:r>
      <w:r w:rsidRPr="009D48A5">
        <w:rPr>
          <w:rFonts w:hint="eastAsia"/>
          <w:lang w:val="zh-CN"/>
        </w:rPr>
        <w:t>1883</w:t>
      </w:r>
      <w:r w:rsidRPr="009D48A5">
        <w:rPr>
          <w:rFonts w:hint="eastAsia"/>
          <w:lang w:val="zh-CN"/>
        </w:rPr>
        <w:t>卷，第</w:t>
      </w:r>
      <w:r w:rsidRPr="009D48A5">
        <w:rPr>
          <w:rFonts w:hint="eastAsia"/>
          <w:lang w:val="zh-CN"/>
        </w:rPr>
        <w:t>31363</w:t>
      </w:r>
      <w:r w:rsidRPr="009D48A5">
        <w:rPr>
          <w:rFonts w:hint="eastAsia"/>
          <w:lang w:val="zh-CN"/>
        </w:rPr>
        <w:t>号，第</w:t>
      </w:r>
      <w:r w:rsidRPr="009D48A5">
        <w:rPr>
          <w:rFonts w:hint="eastAsia"/>
          <w:lang w:val="zh-CN"/>
        </w:rPr>
        <w:t>3</w:t>
      </w:r>
      <w:r w:rsidRPr="009D48A5">
        <w:rPr>
          <w:rFonts w:hint="eastAsia"/>
          <w:lang w:val="zh-CN"/>
        </w:rPr>
        <w:t>页，第</w:t>
      </w:r>
      <w:r w:rsidRPr="009D48A5">
        <w:t>293</w:t>
      </w:r>
      <w:r w:rsidRPr="009D48A5">
        <w:rPr>
          <w:rFonts w:hint="eastAsia"/>
          <w:lang w:val="zh-CN"/>
        </w:rPr>
        <w:t>条</w:t>
      </w:r>
      <w:r w:rsidRPr="009D48A5">
        <w:t>。</w:t>
      </w:r>
    </w:p>
  </w:footnote>
  <w:footnote w:id="511">
    <w:p w:rsidR="00AB00DE" w:rsidRPr="009D48A5" w:rsidRDefault="00AB00DE" w:rsidP="00560424">
      <w:pPr>
        <w:pStyle w:val="a4"/>
        <w:spacing w:after="80"/>
        <w:rPr>
          <w:iCs/>
        </w:rPr>
      </w:pPr>
      <w:r w:rsidRPr="009D48A5">
        <w:rPr>
          <w:rFonts w:hint="eastAsia"/>
        </w:rPr>
        <w:tab/>
      </w:r>
      <w:r w:rsidRPr="00DF5565">
        <w:rPr>
          <w:rStyle w:val="a5"/>
          <w:szCs w:val="22"/>
        </w:rPr>
        <w:footnoteRef/>
      </w:r>
      <w:r w:rsidRPr="009D48A5">
        <w:rPr>
          <w:rFonts w:hint="eastAsia"/>
        </w:rPr>
        <w:tab/>
      </w:r>
      <w:r w:rsidRPr="009D48A5">
        <w:rPr>
          <w:iCs/>
        </w:rPr>
        <w:t>M/V ‘SAIGA’(</w:t>
      </w:r>
      <w:r w:rsidRPr="009D48A5">
        <w:rPr>
          <w:rFonts w:ascii="Time New Roman" w:eastAsia="楷体" w:hAnsi="Time New Roman" w:hint="eastAsia"/>
        </w:rPr>
        <w:t>第</w:t>
      </w:r>
      <w:r w:rsidRPr="009D48A5">
        <w:rPr>
          <w:rFonts w:ascii="Time New Roman" w:eastAsia="楷体" w:hAnsi="Time New Roman"/>
        </w:rPr>
        <w:t>2</w:t>
      </w:r>
      <w:r w:rsidRPr="009D48A5">
        <w:rPr>
          <w:rFonts w:ascii="Time New Roman" w:eastAsia="楷体" w:hAnsi="Time New Roman" w:hint="eastAsia"/>
        </w:rPr>
        <w:t>号</w:t>
      </w:r>
      <w:r w:rsidRPr="009D48A5">
        <w:rPr>
          <w:rFonts w:ascii="Time New Roman" w:eastAsia="楷体" w:hAnsi="Time New Roman"/>
        </w:rPr>
        <w:t>)</w:t>
      </w:r>
      <w:r w:rsidRPr="009D48A5">
        <w:rPr>
          <w:rFonts w:ascii="Time New Roman" w:eastAsia="楷体" w:hAnsi="Time New Roman" w:hint="eastAsia"/>
        </w:rPr>
        <w:t>案</w:t>
      </w:r>
      <w:r w:rsidRPr="009D48A5">
        <w:rPr>
          <w:iCs/>
        </w:rPr>
        <w:t>(</w:t>
      </w:r>
      <w:r w:rsidRPr="009D48A5">
        <w:rPr>
          <w:rFonts w:hint="eastAsia"/>
          <w:iCs/>
        </w:rPr>
        <w:t>见上文脚注</w:t>
      </w:r>
      <w:r>
        <w:rPr>
          <w:iCs/>
        </w:rPr>
        <w:fldChar w:fldCharType="begin"/>
      </w:r>
      <w:r>
        <w:rPr>
          <w:iCs/>
        </w:rPr>
        <w:instrText xml:space="preserve"> </w:instrText>
      </w:r>
      <w:r>
        <w:rPr>
          <w:rFonts w:hint="eastAsia"/>
          <w:iCs/>
        </w:rPr>
        <w:instrText>NOTEREF _Ref461975866 \h</w:instrText>
      </w:r>
      <w:r>
        <w:rPr>
          <w:iCs/>
        </w:rPr>
        <w:instrText xml:space="preserve"> </w:instrText>
      </w:r>
      <w:r>
        <w:rPr>
          <w:iCs/>
        </w:rPr>
      </w:r>
      <w:r>
        <w:rPr>
          <w:iCs/>
        </w:rPr>
        <w:fldChar w:fldCharType="separate"/>
      </w:r>
      <w:r w:rsidR="00A73EB9">
        <w:rPr>
          <w:iCs/>
        </w:rPr>
        <w:t>508</w:t>
      </w:r>
      <w:r>
        <w:rPr>
          <w:iCs/>
        </w:rPr>
        <w:fldChar w:fldCharType="end"/>
      </w:r>
      <w:r w:rsidRPr="009D48A5">
        <w:rPr>
          <w:iCs/>
        </w:rPr>
        <w:t>)</w:t>
      </w:r>
      <w:r w:rsidRPr="009D48A5">
        <w:rPr>
          <w:iCs/>
        </w:rPr>
        <w:t>，</w:t>
      </w:r>
      <w:r w:rsidRPr="009D48A5">
        <w:rPr>
          <w:rFonts w:hint="eastAsia"/>
          <w:iCs/>
        </w:rPr>
        <w:t>见第</w:t>
      </w:r>
      <w:r w:rsidRPr="009D48A5">
        <w:t>155</w:t>
      </w:r>
      <w:r w:rsidRPr="009D48A5">
        <w:rPr>
          <w:rFonts w:hint="eastAsia"/>
        </w:rPr>
        <w:t>-</w:t>
      </w:r>
      <w:r w:rsidRPr="009D48A5">
        <w:t>156</w:t>
      </w:r>
      <w:r w:rsidRPr="009D48A5">
        <w:rPr>
          <w:rFonts w:hint="eastAsia"/>
        </w:rPr>
        <w:t>段；另</w:t>
      </w:r>
      <w:r w:rsidRPr="009D48A5">
        <w:t>见</w:t>
      </w:r>
      <w:r w:rsidRPr="009D48A5">
        <w:rPr>
          <w:rFonts w:hint="eastAsia"/>
          <w:iCs/>
        </w:rPr>
        <w:t>富丸号渔船案</w:t>
      </w:r>
      <w:r w:rsidRPr="009D48A5">
        <w:rPr>
          <w:iCs/>
        </w:rPr>
        <w:t>(</w:t>
      </w:r>
      <w:r w:rsidRPr="009D48A5">
        <w:rPr>
          <w:rFonts w:hint="eastAsia"/>
          <w:iCs/>
        </w:rPr>
        <w:t>日本诉俄罗斯联邦</w:t>
      </w:r>
      <w:r w:rsidRPr="009D48A5">
        <w:rPr>
          <w:iCs/>
        </w:rPr>
        <w:t>)</w:t>
      </w:r>
      <w:r w:rsidRPr="009D48A5">
        <w:rPr>
          <w:iCs/>
        </w:rPr>
        <w:t>，</w:t>
      </w:r>
      <w:r w:rsidRPr="009D48A5">
        <w:rPr>
          <w:rFonts w:hint="eastAsia"/>
          <w:iCs/>
        </w:rPr>
        <w:t>第</w:t>
      </w:r>
      <w:r w:rsidRPr="009D48A5">
        <w:rPr>
          <w:rFonts w:hint="eastAsia"/>
          <w:iCs/>
        </w:rPr>
        <w:t>15</w:t>
      </w:r>
      <w:r w:rsidRPr="009D48A5">
        <w:rPr>
          <w:rFonts w:hint="eastAsia"/>
          <w:iCs/>
        </w:rPr>
        <w:t>号案件，立即释放，判决</w:t>
      </w:r>
      <w:r w:rsidRPr="009D48A5">
        <w:rPr>
          <w:iCs/>
        </w:rPr>
        <w:t>，</w:t>
      </w:r>
      <w:r w:rsidRPr="009D48A5">
        <w:rPr>
          <w:rFonts w:hint="eastAsia"/>
          <w:iCs/>
        </w:rPr>
        <w:t>《</w:t>
      </w:r>
      <w:r w:rsidRPr="009D48A5">
        <w:rPr>
          <w:rFonts w:hint="eastAsia"/>
          <w:iCs/>
        </w:rPr>
        <w:t>2007</w:t>
      </w:r>
      <w:r w:rsidRPr="009D48A5">
        <w:rPr>
          <w:rFonts w:hint="eastAsia"/>
          <w:iCs/>
        </w:rPr>
        <w:t>年</w:t>
      </w:r>
      <w:r w:rsidRPr="009D48A5">
        <w:rPr>
          <w:iCs/>
        </w:rPr>
        <w:t>海洋法法庭</w:t>
      </w:r>
      <w:r w:rsidRPr="009D48A5">
        <w:rPr>
          <w:rFonts w:hint="eastAsia"/>
          <w:iCs/>
        </w:rPr>
        <w:t>案例汇编》，第</w:t>
      </w:r>
      <w:r w:rsidRPr="009D48A5">
        <w:rPr>
          <w:rFonts w:hint="eastAsia"/>
          <w:iCs/>
        </w:rPr>
        <w:t>74</w:t>
      </w:r>
      <w:r w:rsidRPr="009D48A5">
        <w:rPr>
          <w:rFonts w:hint="eastAsia"/>
          <w:iCs/>
        </w:rPr>
        <w:t>页，</w:t>
      </w:r>
      <w:r w:rsidRPr="009D48A5">
        <w:t>第</w:t>
      </w:r>
      <w:r w:rsidRPr="009D48A5">
        <w:t>72</w:t>
      </w:r>
      <w:r w:rsidRPr="009D48A5">
        <w:t>段；</w:t>
      </w:r>
      <w:r w:rsidRPr="009D48A5">
        <w:rPr>
          <w:rFonts w:ascii="Time New Roman" w:eastAsia="楷体" w:hAnsi="Time New Roman" w:hint="eastAsia"/>
        </w:rPr>
        <w:t>蓝鳍金枪鱼案</w:t>
      </w:r>
      <w:r w:rsidRPr="009D48A5">
        <w:rPr>
          <w:rFonts w:ascii="Time New Roman" w:eastAsia="楷体" w:hAnsi="Time New Roman"/>
        </w:rPr>
        <w:t>(</w:t>
      </w:r>
      <w:r w:rsidRPr="009D48A5">
        <w:rPr>
          <w:rFonts w:ascii="Time New Roman" w:eastAsia="楷体" w:hAnsi="Time New Roman" w:hint="eastAsia"/>
        </w:rPr>
        <w:t>新西兰诉日本；澳大利亚诉日本</w:t>
      </w:r>
      <w:r w:rsidRPr="009D48A5">
        <w:rPr>
          <w:iCs/>
        </w:rPr>
        <w:t>)</w:t>
      </w:r>
      <w:r w:rsidRPr="009D48A5">
        <w:rPr>
          <w:iCs/>
        </w:rPr>
        <w:t>，</w:t>
      </w:r>
      <w:r w:rsidRPr="009D48A5">
        <w:rPr>
          <w:rFonts w:hint="eastAsia"/>
          <w:iCs/>
        </w:rPr>
        <w:t>临时措施，</w:t>
      </w:r>
      <w:r w:rsidRPr="009D48A5">
        <w:t>1999</w:t>
      </w:r>
      <w:r w:rsidRPr="009D48A5">
        <w:t>年</w:t>
      </w:r>
      <w:r w:rsidRPr="009D48A5">
        <w:t>8</w:t>
      </w:r>
      <w:r w:rsidRPr="009D48A5">
        <w:t>月</w:t>
      </w:r>
      <w:r w:rsidRPr="009D48A5">
        <w:t>27</w:t>
      </w:r>
      <w:r w:rsidRPr="009D48A5">
        <w:t>日</w:t>
      </w:r>
      <w:r w:rsidRPr="009D48A5">
        <w:rPr>
          <w:rFonts w:hint="eastAsia"/>
        </w:rPr>
        <w:t>的命令</w:t>
      </w:r>
      <w:r w:rsidRPr="009D48A5">
        <w:t>，</w:t>
      </w:r>
      <w:r w:rsidRPr="009D48A5">
        <w:rPr>
          <w:rFonts w:hint="eastAsia"/>
          <w:iCs/>
        </w:rPr>
        <w:t>《</w:t>
      </w:r>
      <w:r w:rsidRPr="009D48A5">
        <w:rPr>
          <w:rFonts w:hint="eastAsia"/>
          <w:iCs/>
        </w:rPr>
        <w:t>1999</w:t>
      </w:r>
      <w:r w:rsidRPr="009D48A5">
        <w:rPr>
          <w:rFonts w:hint="eastAsia"/>
          <w:iCs/>
        </w:rPr>
        <w:t>年</w:t>
      </w:r>
      <w:r w:rsidRPr="009D48A5">
        <w:rPr>
          <w:iCs/>
        </w:rPr>
        <w:t>海洋法法庭</w:t>
      </w:r>
      <w:r w:rsidRPr="009D48A5">
        <w:rPr>
          <w:rFonts w:hint="eastAsia"/>
          <w:iCs/>
        </w:rPr>
        <w:t>案例汇编》</w:t>
      </w:r>
      <w:r w:rsidRPr="009D48A5">
        <w:rPr>
          <w:rFonts w:hint="eastAsia"/>
        </w:rPr>
        <w:t>，第</w:t>
      </w:r>
      <w:r w:rsidRPr="009D48A5">
        <w:rPr>
          <w:rFonts w:hint="eastAsia"/>
        </w:rPr>
        <w:t>280</w:t>
      </w:r>
      <w:r w:rsidRPr="009D48A5">
        <w:rPr>
          <w:rFonts w:hint="eastAsia"/>
        </w:rPr>
        <w:t>页，见第</w:t>
      </w:r>
      <w:r w:rsidRPr="009D48A5">
        <w:t>45</w:t>
      </w:r>
      <w:r w:rsidRPr="009D48A5">
        <w:rPr>
          <w:rFonts w:hint="eastAsia"/>
        </w:rPr>
        <w:t>和第</w:t>
      </w:r>
      <w:r w:rsidRPr="009D48A5">
        <w:t>50</w:t>
      </w:r>
      <w:r w:rsidRPr="009D48A5">
        <w:rPr>
          <w:rFonts w:hint="eastAsia"/>
        </w:rPr>
        <w:t>段。</w:t>
      </w:r>
    </w:p>
  </w:footnote>
  <w:footnote w:id="512">
    <w:p w:rsidR="00AB00DE" w:rsidRPr="009D48A5" w:rsidRDefault="00AB00DE" w:rsidP="00B44972">
      <w:pPr>
        <w:pStyle w:val="a4"/>
        <w:spacing w:after="80"/>
      </w:pPr>
      <w:r w:rsidRPr="009D48A5">
        <w:rPr>
          <w:rFonts w:hint="eastAsia"/>
        </w:rPr>
        <w:tab/>
      </w:r>
      <w:r w:rsidRPr="00DF5565">
        <w:rPr>
          <w:rStyle w:val="a5"/>
          <w:szCs w:val="22"/>
        </w:rPr>
        <w:footnoteRef/>
      </w:r>
      <w:r w:rsidRPr="009D48A5">
        <w:rPr>
          <w:rFonts w:hint="eastAsia"/>
        </w:rPr>
        <w:tab/>
      </w:r>
      <w:r w:rsidRPr="009D48A5">
        <w:rPr>
          <w:rFonts w:hint="eastAsia"/>
        </w:rPr>
        <w:t>联合国，《条约汇编》，第</w:t>
      </w:r>
      <w:r w:rsidRPr="009D48A5">
        <w:rPr>
          <w:rFonts w:hint="eastAsia"/>
        </w:rPr>
        <w:t>78</w:t>
      </w:r>
      <w:r w:rsidRPr="009D48A5">
        <w:rPr>
          <w:rFonts w:hint="eastAsia"/>
        </w:rPr>
        <w:t>卷，第</w:t>
      </w:r>
      <w:r w:rsidRPr="009D48A5">
        <w:rPr>
          <w:rFonts w:hint="eastAsia"/>
        </w:rPr>
        <w:t>1021</w:t>
      </w:r>
      <w:r w:rsidRPr="009D48A5">
        <w:rPr>
          <w:rFonts w:hint="eastAsia"/>
        </w:rPr>
        <w:t>号，第</w:t>
      </w:r>
      <w:r w:rsidRPr="009D48A5">
        <w:rPr>
          <w:rFonts w:hint="eastAsia"/>
        </w:rPr>
        <w:t>277</w:t>
      </w:r>
      <w:r w:rsidRPr="009D48A5">
        <w:rPr>
          <w:rFonts w:hint="eastAsia"/>
        </w:rPr>
        <w:t>页。</w:t>
      </w:r>
    </w:p>
  </w:footnote>
  <w:footnote w:id="513">
    <w:p w:rsidR="00AB00DE" w:rsidRPr="009D48A5" w:rsidRDefault="00AB00DE" w:rsidP="00B44972">
      <w:pPr>
        <w:pStyle w:val="a4"/>
        <w:spacing w:after="80"/>
      </w:pPr>
      <w:r w:rsidRPr="009D48A5">
        <w:rPr>
          <w:rFonts w:hint="eastAsia"/>
        </w:rPr>
        <w:tab/>
      </w:r>
      <w:r w:rsidRPr="00DF5565">
        <w:rPr>
          <w:rStyle w:val="a5"/>
          <w:szCs w:val="22"/>
        </w:rPr>
        <w:footnoteRef/>
      </w:r>
      <w:r w:rsidRPr="009D48A5">
        <w:rPr>
          <w:rFonts w:hint="eastAsia"/>
        </w:rPr>
        <w:tab/>
      </w:r>
      <w:r w:rsidRPr="009D48A5">
        <w:rPr>
          <w:rFonts w:ascii="Time New Roman" w:eastAsia="楷体" w:hAnsi="Time New Roman" w:hint="eastAsia"/>
        </w:rPr>
        <w:t>检察官诉</w:t>
      </w:r>
      <w:r w:rsidRPr="009D48A5">
        <w:rPr>
          <w:rFonts w:ascii="Time New Roman" w:eastAsia="楷体" w:hAnsi="Time New Roman"/>
        </w:rPr>
        <w:t>Goran Jelisić</w:t>
      </w:r>
      <w:r w:rsidRPr="009D48A5">
        <w:rPr>
          <w:rFonts w:ascii="Time New Roman" w:eastAsia="楷体" w:hAnsi="Time New Roman" w:hint="eastAsia"/>
        </w:rPr>
        <w:t>案</w:t>
      </w:r>
      <w:r w:rsidRPr="009D48A5">
        <w:rPr>
          <w:rFonts w:hint="eastAsia"/>
          <w:bCs/>
          <w:iCs/>
        </w:rPr>
        <w:t>，审判庭，判决，</w:t>
      </w:r>
      <w:r w:rsidRPr="009D48A5">
        <w:rPr>
          <w:bCs/>
          <w:iCs/>
        </w:rPr>
        <w:t>1999</w:t>
      </w:r>
      <w:r w:rsidRPr="009D48A5">
        <w:rPr>
          <w:rFonts w:hint="eastAsia"/>
          <w:bCs/>
          <w:iCs/>
        </w:rPr>
        <w:t>年</w:t>
      </w:r>
      <w:r w:rsidRPr="009D48A5">
        <w:rPr>
          <w:rFonts w:hint="eastAsia"/>
          <w:bCs/>
          <w:iCs/>
        </w:rPr>
        <w:t>12</w:t>
      </w:r>
      <w:r w:rsidRPr="009D48A5">
        <w:rPr>
          <w:rFonts w:hint="eastAsia"/>
          <w:bCs/>
          <w:iCs/>
        </w:rPr>
        <w:t>月</w:t>
      </w:r>
      <w:r w:rsidRPr="009D48A5">
        <w:rPr>
          <w:rFonts w:hint="eastAsia"/>
          <w:bCs/>
          <w:iCs/>
        </w:rPr>
        <w:t>14</w:t>
      </w:r>
      <w:r w:rsidRPr="009D48A5">
        <w:rPr>
          <w:rFonts w:hint="eastAsia"/>
          <w:bCs/>
          <w:iCs/>
        </w:rPr>
        <w:t>日</w:t>
      </w:r>
      <w:r w:rsidRPr="009D48A5">
        <w:rPr>
          <w:bCs/>
          <w:iCs/>
        </w:rPr>
        <w:t>，</w:t>
      </w:r>
      <w:r w:rsidRPr="009D48A5">
        <w:rPr>
          <w:bCs/>
          <w:iCs/>
        </w:rPr>
        <w:t xml:space="preserve">IT-95-10-T, </w:t>
      </w:r>
      <w:r w:rsidRPr="009D48A5">
        <w:rPr>
          <w:lang w:val="zh-CN"/>
        </w:rPr>
        <w:t>第</w:t>
      </w:r>
      <w:r w:rsidRPr="009D48A5">
        <w:t>61</w:t>
      </w:r>
      <w:r w:rsidRPr="009D48A5">
        <w:t>段</w:t>
      </w:r>
      <w:r w:rsidRPr="009D48A5">
        <w:rPr>
          <w:rFonts w:hint="eastAsia"/>
        </w:rPr>
        <w:t>(</w:t>
      </w:r>
      <w:r w:rsidRPr="009D48A5">
        <w:rPr>
          <w:rFonts w:hint="eastAsia"/>
        </w:rPr>
        <w:t>脚注略</w:t>
      </w:r>
      <w:r w:rsidRPr="009D48A5">
        <w:rPr>
          <w:rFonts w:hint="eastAsia"/>
        </w:rPr>
        <w:t>)</w:t>
      </w:r>
      <w:r w:rsidRPr="009D48A5">
        <w:t>；</w:t>
      </w:r>
      <w:r w:rsidRPr="009D48A5">
        <w:rPr>
          <w:rFonts w:hint="eastAsia"/>
        </w:rPr>
        <w:t>相似的还有</w:t>
      </w:r>
      <w:r w:rsidRPr="009D48A5">
        <w:rPr>
          <w:rFonts w:ascii="Time New Roman" w:eastAsia="楷体" w:hAnsi="Time New Roman" w:hint="eastAsia"/>
        </w:rPr>
        <w:t>检察官诉</w:t>
      </w:r>
      <w:r w:rsidRPr="009D48A5">
        <w:t>Radislav Krstić</w:t>
      </w:r>
      <w:r w:rsidRPr="009D48A5">
        <w:t>，</w:t>
      </w:r>
      <w:r w:rsidRPr="009D48A5">
        <w:rPr>
          <w:rFonts w:hint="eastAsia"/>
          <w:bCs/>
          <w:iCs/>
        </w:rPr>
        <w:t>审判庭，判决，</w:t>
      </w:r>
      <w:r w:rsidRPr="009D48A5">
        <w:t>2001</w:t>
      </w:r>
      <w:r w:rsidRPr="009D48A5">
        <w:rPr>
          <w:rFonts w:hint="eastAsia"/>
        </w:rPr>
        <w:t>年</w:t>
      </w:r>
      <w:r w:rsidRPr="009D48A5">
        <w:rPr>
          <w:rFonts w:hint="eastAsia"/>
        </w:rPr>
        <w:t>8</w:t>
      </w:r>
      <w:r w:rsidRPr="009D48A5">
        <w:rPr>
          <w:rFonts w:hint="eastAsia"/>
        </w:rPr>
        <w:t>月</w:t>
      </w:r>
      <w:r w:rsidRPr="009D48A5">
        <w:rPr>
          <w:rFonts w:hint="eastAsia"/>
        </w:rPr>
        <w:t>2</w:t>
      </w:r>
      <w:r w:rsidRPr="009D48A5">
        <w:rPr>
          <w:rFonts w:hint="eastAsia"/>
        </w:rPr>
        <w:t>日，</w:t>
      </w:r>
      <w:r w:rsidRPr="009D48A5">
        <w:rPr>
          <w:rFonts w:hint="eastAsia"/>
        </w:rPr>
        <w:t>I</w:t>
      </w:r>
      <w:r w:rsidRPr="009D48A5">
        <w:t xml:space="preserve">T-98-33-T, </w:t>
      </w:r>
      <w:r w:rsidRPr="009D48A5">
        <w:t>第</w:t>
      </w:r>
      <w:r w:rsidRPr="009D48A5">
        <w:t>541</w:t>
      </w:r>
      <w:r w:rsidRPr="009D48A5">
        <w:t>段</w:t>
      </w:r>
      <w:r w:rsidRPr="009D48A5">
        <w:rPr>
          <w:rFonts w:hint="eastAsia"/>
        </w:rPr>
        <w:t>。</w:t>
      </w:r>
    </w:p>
  </w:footnote>
  <w:footnote w:id="514">
    <w:p w:rsidR="00AB00DE" w:rsidRPr="009D48A5" w:rsidRDefault="00AB00DE" w:rsidP="00B44972">
      <w:pPr>
        <w:pStyle w:val="a4"/>
        <w:spacing w:after="80"/>
      </w:pPr>
      <w:r w:rsidRPr="009D48A5">
        <w:rPr>
          <w:rFonts w:hint="eastAsia"/>
        </w:rPr>
        <w:tab/>
      </w:r>
      <w:r w:rsidRPr="00DF5565">
        <w:rPr>
          <w:rStyle w:val="a5"/>
          <w:szCs w:val="22"/>
        </w:rPr>
        <w:footnoteRef/>
      </w:r>
      <w:r w:rsidRPr="009D48A5">
        <w:rPr>
          <w:rFonts w:hint="eastAsia"/>
        </w:rPr>
        <w:tab/>
      </w:r>
      <w:r w:rsidRPr="009D48A5">
        <w:rPr>
          <w:rFonts w:hint="eastAsia"/>
        </w:rPr>
        <w:t>世贸组织专家组报告</w:t>
      </w:r>
      <w:r w:rsidRPr="009D48A5">
        <w:t>，</w:t>
      </w:r>
      <w:r w:rsidRPr="009D48A5">
        <w:rPr>
          <w:rFonts w:ascii="Time New Roman" w:eastAsia="楷体" w:hAnsi="Time New Roman" w:hint="eastAsia"/>
        </w:rPr>
        <w:t>美国－版权法第</w:t>
      </w:r>
      <w:r w:rsidRPr="009D48A5">
        <w:rPr>
          <w:rFonts w:ascii="Time New Roman" w:eastAsia="楷体" w:hAnsi="Time New Roman"/>
        </w:rPr>
        <w:t>110(5)</w:t>
      </w:r>
      <w:r w:rsidRPr="009D48A5">
        <w:rPr>
          <w:rFonts w:ascii="Time New Roman" w:eastAsia="楷体" w:hAnsi="Time New Roman" w:hint="eastAsia"/>
        </w:rPr>
        <w:t>节条款案</w:t>
      </w:r>
      <w:r w:rsidRPr="009D48A5">
        <w:rPr>
          <w:rFonts w:hint="eastAsia"/>
        </w:rPr>
        <w:t>，</w:t>
      </w:r>
      <w:r w:rsidRPr="009D48A5">
        <w:t xml:space="preserve">WT/DS160/R, </w:t>
      </w:r>
      <w:r w:rsidRPr="009D48A5">
        <w:rPr>
          <w:lang w:val="zh-CN"/>
        </w:rPr>
        <w:t>2000</w:t>
      </w:r>
      <w:r w:rsidRPr="009D48A5">
        <w:rPr>
          <w:rFonts w:hint="eastAsia"/>
          <w:lang w:val="zh-CN"/>
        </w:rPr>
        <w:t>年</w:t>
      </w:r>
      <w:r w:rsidRPr="009D48A5">
        <w:rPr>
          <w:rFonts w:hint="eastAsia"/>
          <w:lang w:val="zh-CN"/>
        </w:rPr>
        <w:t>7</w:t>
      </w:r>
      <w:r w:rsidRPr="009D48A5">
        <w:rPr>
          <w:rFonts w:hint="eastAsia"/>
        </w:rPr>
        <w:t>月</w:t>
      </w:r>
      <w:r w:rsidRPr="009D48A5">
        <w:rPr>
          <w:rFonts w:hint="eastAsia"/>
        </w:rPr>
        <w:t>27</w:t>
      </w:r>
      <w:r w:rsidRPr="009D48A5">
        <w:rPr>
          <w:rFonts w:hint="eastAsia"/>
        </w:rPr>
        <w:t>日通过。</w:t>
      </w:r>
    </w:p>
  </w:footnote>
  <w:footnote w:id="515">
    <w:p w:rsidR="00AB00DE" w:rsidRPr="009D48A5" w:rsidRDefault="00AB00DE" w:rsidP="00B44972">
      <w:pPr>
        <w:pStyle w:val="a4"/>
        <w:spacing w:after="80"/>
      </w:pPr>
      <w:r w:rsidRPr="009D48A5">
        <w:rPr>
          <w:rFonts w:hint="eastAsia"/>
        </w:rPr>
        <w:tab/>
      </w:r>
      <w:r w:rsidRPr="00DF5565">
        <w:rPr>
          <w:rStyle w:val="a5"/>
          <w:szCs w:val="22"/>
        </w:rPr>
        <w:footnoteRef/>
      </w:r>
      <w:r w:rsidRPr="009D48A5">
        <w:rPr>
          <w:rFonts w:hint="eastAsia"/>
        </w:rPr>
        <w:tab/>
      </w:r>
      <w:r w:rsidRPr="009D48A5">
        <w:rPr>
          <w:rFonts w:hint="eastAsia"/>
        </w:rPr>
        <w:t>见</w:t>
      </w:r>
      <w:r w:rsidRPr="009D48A5">
        <w:t>《与贸易有关的知识产权协议》</w:t>
      </w:r>
      <w:r w:rsidRPr="009D48A5">
        <w:rPr>
          <w:rFonts w:hint="eastAsia"/>
        </w:rPr>
        <w:t>，第</w:t>
      </w:r>
      <w:r w:rsidRPr="009D48A5">
        <w:t>9</w:t>
      </w:r>
      <w:r w:rsidRPr="009D48A5">
        <w:rPr>
          <w:rFonts w:hint="eastAsia"/>
        </w:rPr>
        <w:t>条第</w:t>
      </w:r>
      <w:r w:rsidRPr="009D48A5">
        <w:rPr>
          <w:rFonts w:hint="eastAsia"/>
        </w:rPr>
        <w:t>1</w:t>
      </w:r>
      <w:r w:rsidRPr="009D48A5">
        <w:rPr>
          <w:rFonts w:hint="eastAsia"/>
        </w:rPr>
        <w:t>款。</w:t>
      </w:r>
    </w:p>
  </w:footnote>
  <w:footnote w:id="516">
    <w:p w:rsidR="00AB00DE" w:rsidRPr="009D48A5" w:rsidRDefault="00AB00DE" w:rsidP="00B44972">
      <w:pPr>
        <w:pStyle w:val="a4"/>
        <w:spacing w:after="80"/>
      </w:pPr>
      <w:r w:rsidRPr="009D48A5">
        <w:rPr>
          <w:rFonts w:hint="eastAsia"/>
        </w:rPr>
        <w:tab/>
      </w:r>
      <w:r w:rsidRPr="00DF5565">
        <w:rPr>
          <w:rStyle w:val="a5"/>
          <w:szCs w:val="22"/>
        </w:rPr>
        <w:footnoteRef/>
      </w:r>
      <w:r w:rsidRPr="009D48A5">
        <w:rPr>
          <w:rFonts w:hint="eastAsia"/>
        </w:rPr>
        <w:tab/>
      </w:r>
      <w:r w:rsidRPr="009D48A5">
        <w:rPr>
          <w:rFonts w:hint="eastAsia"/>
        </w:rPr>
        <w:t>世贸组织专家组报告</w:t>
      </w:r>
      <w:r w:rsidRPr="009D48A5">
        <w:t>，</w:t>
      </w:r>
      <w:r w:rsidRPr="009D48A5">
        <w:rPr>
          <w:rFonts w:ascii="Time New Roman" w:eastAsia="楷体" w:hAnsi="Time New Roman" w:hint="eastAsia"/>
        </w:rPr>
        <w:t>美国－版权法第</w:t>
      </w:r>
      <w:r w:rsidRPr="009D48A5">
        <w:rPr>
          <w:rFonts w:ascii="Time New Roman" w:eastAsia="楷体" w:hAnsi="Time New Roman"/>
        </w:rPr>
        <w:t>110(5)</w:t>
      </w:r>
      <w:r w:rsidRPr="009D48A5">
        <w:rPr>
          <w:rFonts w:ascii="Time New Roman" w:eastAsia="楷体" w:hAnsi="Time New Roman" w:hint="eastAsia"/>
        </w:rPr>
        <w:t>节条款案</w:t>
      </w:r>
      <w:r w:rsidRPr="009D48A5">
        <w:rPr>
          <w:rFonts w:hint="eastAsia"/>
        </w:rPr>
        <w:t>，</w:t>
      </w:r>
      <w:r w:rsidRPr="009D48A5">
        <w:t xml:space="preserve">WT/DS160/R, </w:t>
      </w:r>
      <w:r w:rsidRPr="009D48A5">
        <w:rPr>
          <w:lang w:val="zh-CN"/>
        </w:rPr>
        <w:t>2000</w:t>
      </w:r>
      <w:r w:rsidRPr="009D48A5">
        <w:rPr>
          <w:rFonts w:hint="eastAsia"/>
          <w:lang w:val="zh-CN"/>
        </w:rPr>
        <w:t>年</w:t>
      </w:r>
      <w:r w:rsidRPr="009D48A5">
        <w:rPr>
          <w:rFonts w:hint="eastAsia"/>
          <w:lang w:val="zh-CN"/>
        </w:rPr>
        <w:t>7</w:t>
      </w:r>
      <w:r w:rsidRPr="009D48A5">
        <w:rPr>
          <w:rFonts w:hint="eastAsia"/>
        </w:rPr>
        <w:t>月</w:t>
      </w:r>
      <w:r w:rsidRPr="009D48A5">
        <w:rPr>
          <w:rFonts w:hint="eastAsia"/>
        </w:rPr>
        <w:t>27</w:t>
      </w:r>
      <w:r w:rsidRPr="009D48A5">
        <w:rPr>
          <w:rFonts w:hint="eastAsia"/>
        </w:rPr>
        <w:t>日通过，</w:t>
      </w:r>
      <w:r w:rsidRPr="009D48A5">
        <w:t>第</w:t>
      </w:r>
      <w:r w:rsidRPr="009D48A5">
        <w:t>6.55</w:t>
      </w:r>
      <w:r w:rsidRPr="009D48A5">
        <w:t>段</w:t>
      </w:r>
      <w:r w:rsidRPr="009D48A5">
        <w:rPr>
          <w:rFonts w:hint="eastAsia"/>
        </w:rPr>
        <w:t>(</w:t>
      </w:r>
      <w:r w:rsidRPr="009D48A5">
        <w:rPr>
          <w:rFonts w:hint="eastAsia"/>
        </w:rPr>
        <w:t>脚注略</w:t>
      </w:r>
      <w:r w:rsidRPr="009D48A5">
        <w:rPr>
          <w:rFonts w:hint="eastAsia"/>
        </w:rPr>
        <w:t>)</w:t>
      </w:r>
      <w:r w:rsidRPr="009D48A5">
        <w:rPr>
          <w:rFonts w:hint="eastAsia"/>
        </w:rPr>
        <w:t>。</w:t>
      </w:r>
    </w:p>
  </w:footnote>
  <w:footnote w:id="517">
    <w:p w:rsidR="00AB00DE" w:rsidRPr="009D48A5" w:rsidRDefault="00AB00DE" w:rsidP="00B44972">
      <w:pPr>
        <w:pStyle w:val="a4"/>
        <w:spacing w:after="80"/>
      </w:pPr>
      <w:r w:rsidRPr="009D48A5">
        <w:rPr>
          <w:rFonts w:hint="eastAsia"/>
        </w:rPr>
        <w:tab/>
      </w:r>
      <w:r w:rsidRPr="00DF5565">
        <w:rPr>
          <w:rStyle w:val="a5"/>
          <w:szCs w:val="22"/>
        </w:rPr>
        <w:footnoteRef/>
      </w:r>
      <w:r w:rsidRPr="009D48A5">
        <w:rPr>
          <w:rFonts w:hint="eastAsia"/>
        </w:rPr>
        <w:tab/>
      </w:r>
      <w:r w:rsidRPr="009D48A5">
        <w:t>同上</w:t>
      </w:r>
      <w:r w:rsidRPr="009D48A5">
        <w:rPr>
          <w:rFonts w:hint="eastAsia"/>
        </w:rPr>
        <w:t>，见脚注</w:t>
      </w:r>
      <w:r>
        <w:t>6</w:t>
      </w:r>
      <w:r>
        <w:rPr>
          <w:rFonts w:hint="eastAsia"/>
        </w:rPr>
        <w:t>9</w:t>
      </w:r>
      <w:r w:rsidRPr="009D48A5">
        <w:rPr>
          <w:rFonts w:hint="eastAsia"/>
        </w:rPr>
        <w:t>。</w:t>
      </w:r>
    </w:p>
  </w:footnote>
  <w:footnote w:id="518">
    <w:p w:rsidR="00AB00DE" w:rsidRPr="009D48A5" w:rsidRDefault="00AB00DE" w:rsidP="00B44972">
      <w:pPr>
        <w:pStyle w:val="a4"/>
        <w:spacing w:after="80"/>
      </w:pPr>
      <w:r w:rsidRPr="009D48A5">
        <w:rPr>
          <w:rFonts w:hint="eastAsia"/>
        </w:rPr>
        <w:tab/>
      </w:r>
      <w:r w:rsidRPr="00DF5565">
        <w:rPr>
          <w:rStyle w:val="a5"/>
          <w:szCs w:val="22"/>
        </w:rPr>
        <w:footnoteRef/>
      </w:r>
      <w:r w:rsidRPr="009D48A5">
        <w:rPr>
          <w:rFonts w:hint="eastAsia"/>
        </w:rPr>
        <w:tab/>
      </w:r>
      <w:r w:rsidRPr="009D48A5">
        <w:rPr>
          <w:rFonts w:hint="eastAsia"/>
        </w:rPr>
        <w:t>见世贸组织上诉机构报告，</w:t>
      </w:r>
      <w:r w:rsidRPr="009D48A5">
        <w:rPr>
          <w:rFonts w:ascii="Time New Roman" w:eastAsia="楷体" w:hAnsi="Time New Roman" w:hint="eastAsia"/>
        </w:rPr>
        <w:t>欧共体－电脑设备案</w:t>
      </w:r>
      <w:r w:rsidRPr="009D48A5">
        <w:rPr>
          <w:rFonts w:hint="eastAsia"/>
        </w:rPr>
        <w:t>，</w:t>
      </w:r>
      <w:r w:rsidRPr="009D48A5">
        <w:t>WT/DS62/AB/R</w:t>
      </w:r>
      <w:r w:rsidRPr="009D48A5">
        <w:rPr>
          <w:rFonts w:hint="eastAsia"/>
        </w:rPr>
        <w:t>、</w:t>
      </w:r>
      <w:r w:rsidRPr="009D48A5">
        <w:t>WT/DS67/AB/R</w:t>
      </w:r>
      <w:r w:rsidRPr="009D48A5">
        <w:rPr>
          <w:rFonts w:hint="eastAsia"/>
        </w:rPr>
        <w:t>和</w:t>
      </w:r>
      <w:r w:rsidRPr="009D48A5">
        <w:t>WT/DS68/AB/R, 1998</w:t>
      </w:r>
      <w:r w:rsidRPr="009D48A5">
        <w:rPr>
          <w:rFonts w:hint="eastAsia"/>
        </w:rPr>
        <w:t>年</w:t>
      </w:r>
      <w:r w:rsidRPr="009D48A5">
        <w:rPr>
          <w:rFonts w:hint="eastAsia"/>
        </w:rPr>
        <w:t>6</w:t>
      </w:r>
      <w:r w:rsidRPr="009D48A5">
        <w:rPr>
          <w:rFonts w:hint="eastAsia"/>
        </w:rPr>
        <w:t>月</w:t>
      </w:r>
      <w:r w:rsidRPr="009D48A5">
        <w:rPr>
          <w:rFonts w:hint="eastAsia"/>
        </w:rPr>
        <w:t>22</w:t>
      </w:r>
      <w:r w:rsidRPr="009D48A5">
        <w:rPr>
          <w:rFonts w:hint="eastAsia"/>
        </w:rPr>
        <w:t>日通过，</w:t>
      </w:r>
      <w:r w:rsidRPr="009D48A5">
        <w:t>第</w:t>
      </w:r>
      <w:r w:rsidRPr="009D48A5">
        <w:t>90</w:t>
      </w:r>
      <w:r w:rsidRPr="009D48A5">
        <w:t>段</w:t>
      </w:r>
      <w:r w:rsidRPr="009D48A5">
        <w:rPr>
          <w:rFonts w:hint="eastAsia"/>
        </w:rPr>
        <w:t>。另</w:t>
      </w:r>
      <w:r w:rsidRPr="009D48A5">
        <w:t>见</w:t>
      </w:r>
      <w:r w:rsidRPr="009D48A5">
        <w:t xml:space="preserve"> I. van Damme,</w:t>
      </w:r>
      <w:r w:rsidRPr="009D48A5">
        <w:rPr>
          <w:rFonts w:hint="eastAsia"/>
        </w:rPr>
        <w:t>《世贸组织上诉机构对条约的解释》</w:t>
      </w:r>
      <w:r w:rsidRPr="009D48A5">
        <w:t>(</w:t>
      </w:r>
      <w:r w:rsidRPr="009D48A5">
        <w:rPr>
          <w:rFonts w:hint="eastAsia"/>
        </w:rPr>
        <w:t>牛津，牛津大学出版社，</w:t>
      </w:r>
      <w:r w:rsidRPr="009D48A5">
        <w:t>2009</w:t>
      </w:r>
      <w:r w:rsidRPr="009D48A5">
        <w:rPr>
          <w:rFonts w:hint="eastAsia"/>
        </w:rPr>
        <w:t>年</w:t>
      </w:r>
      <w:r w:rsidRPr="009D48A5">
        <w:t>)</w:t>
      </w:r>
      <w:r w:rsidRPr="009D48A5">
        <w:t>，</w:t>
      </w:r>
      <w:r w:rsidRPr="009D48A5">
        <w:rPr>
          <w:rFonts w:hint="eastAsia"/>
        </w:rPr>
        <w:t>第</w:t>
      </w:r>
      <w:r w:rsidRPr="009D48A5">
        <w:t>342</w:t>
      </w:r>
      <w:r w:rsidRPr="009D48A5">
        <w:rPr>
          <w:rFonts w:hint="eastAsia"/>
        </w:rPr>
        <w:t>页。</w:t>
      </w:r>
    </w:p>
  </w:footnote>
  <w:footnote w:id="519">
    <w:p w:rsidR="00AB00DE" w:rsidRPr="009D48A5" w:rsidRDefault="00AB00DE" w:rsidP="00B44972">
      <w:pPr>
        <w:pStyle w:val="a4"/>
        <w:spacing w:after="80"/>
      </w:pPr>
      <w:r w:rsidRPr="009D48A5">
        <w:rPr>
          <w:rFonts w:hint="eastAsia"/>
        </w:rPr>
        <w:tab/>
      </w:r>
      <w:r w:rsidRPr="00DF5565">
        <w:rPr>
          <w:rStyle w:val="a5"/>
          <w:szCs w:val="22"/>
        </w:rPr>
        <w:footnoteRef/>
      </w:r>
      <w:r w:rsidRPr="009D48A5">
        <w:rPr>
          <w:rFonts w:hint="eastAsia"/>
        </w:rPr>
        <w:tab/>
      </w:r>
      <w:r w:rsidRPr="009D48A5">
        <w:rPr>
          <w:rFonts w:hint="eastAsia"/>
        </w:rPr>
        <w:t>另</w:t>
      </w:r>
      <w:r w:rsidRPr="009D48A5">
        <w:t>见</w:t>
      </w:r>
      <w:r w:rsidRPr="009D48A5">
        <w:rPr>
          <w:rFonts w:hint="eastAsia"/>
        </w:rPr>
        <w:t>世贸组织上诉机构报告，</w:t>
      </w:r>
      <w:r w:rsidRPr="009D48A5">
        <w:rPr>
          <w:rFonts w:ascii="Time New Roman" w:eastAsia="楷体" w:hAnsi="Time New Roman" w:hint="eastAsia"/>
        </w:rPr>
        <w:t>美国－</w:t>
      </w:r>
      <w:r w:rsidRPr="009D48A5">
        <w:rPr>
          <w:rFonts w:ascii="Time New Roman" w:eastAsia="楷体" w:hAnsi="Time New Roman"/>
        </w:rPr>
        <w:t>COOL</w:t>
      </w:r>
      <w:r w:rsidRPr="009D48A5">
        <w:rPr>
          <w:rFonts w:ascii="Time New Roman" w:eastAsia="楷体" w:hAnsi="Time New Roman" w:hint="eastAsia"/>
        </w:rPr>
        <w:t>案</w:t>
      </w:r>
      <w:r w:rsidRPr="009D48A5">
        <w:t>，</w:t>
      </w:r>
      <w:r w:rsidRPr="009D48A5">
        <w:t>WT/DS384/AB/R</w:t>
      </w:r>
      <w:r w:rsidRPr="009D48A5">
        <w:rPr>
          <w:rFonts w:hint="eastAsia"/>
        </w:rPr>
        <w:t>和</w:t>
      </w:r>
      <w:r w:rsidRPr="009D48A5">
        <w:t>WT/DS386/AB/R, 2012</w:t>
      </w:r>
      <w:r w:rsidRPr="009D48A5">
        <w:rPr>
          <w:rFonts w:hint="eastAsia"/>
        </w:rPr>
        <w:t>年</w:t>
      </w:r>
      <w:r w:rsidRPr="009D48A5">
        <w:rPr>
          <w:rFonts w:hint="eastAsia"/>
        </w:rPr>
        <w:t>7</w:t>
      </w:r>
      <w:r w:rsidRPr="009D48A5">
        <w:rPr>
          <w:rFonts w:hint="eastAsia"/>
        </w:rPr>
        <w:t>月</w:t>
      </w:r>
      <w:r w:rsidRPr="009D48A5">
        <w:t>2</w:t>
      </w:r>
      <w:r w:rsidRPr="009D48A5">
        <w:rPr>
          <w:rFonts w:hint="eastAsia"/>
        </w:rPr>
        <w:t>3</w:t>
      </w:r>
      <w:r w:rsidRPr="009D48A5">
        <w:rPr>
          <w:rFonts w:hint="eastAsia"/>
        </w:rPr>
        <w:t>日通过，</w:t>
      </w:r>
      <w:r w:rsidRPr="009D48A5">
        <w:t>第</w:t>
      </w:r>
      <w:r w:rsidRPr="009D48A5">
        <w:t>452</w:t>
      </w:r>
      <w:r w:rsidRPr="009D48A5">
        <w:t>段</w:t>
      </w:r>
      <w:r w:rsidRPr="009D48A5">
        <w:rPr>
          <w:rFonts w:hint="eastAsia"/>
        </w:rPr>
        <w:t>。</w:t>
      </w:r>
    </w:p>
  </w:footnote>
  <w:footnote w:id="520">
    <w:p w:rsidR="00AB00DE" w:rsidRPr="009D48A5" w:rsidRDefault="00AB00DE" w:rsidP="00B44972">
      <w:pPr>
        <w:pStyle w:val="a4"/>
        <w:spacing w:after="80"/>
      </w:pPr>
      <w:r w:rsidRPr="009D48A5">
        <w:rPr>
          <w:rFonts w:hint="eastAsia"/>
        </w:rPr>
        <w:tab/>
      </w:r>
      <w:r w:rsidRPr="00DF5565">
        <w:rPr>
          <w:rStyle w:val="a5"/>
          <w:szCs w:val="22"/>
        </w:rPr>
        <w:footnoteRef/>
      </w:r>
      <w:r w:rsidRPr="009D48A5">
        <w:rPr>
          <w:rFonts w:hint="eastAsia"/>
        </w:rPr>
        <w:tab/>
      </w:r>
      <w:r w:rsidRPr="009D48A5">
        <w:t>Sempra Energy International</w:t>
      </w:r>
      <w:r w:rsidRPr="009D48A5">
        <w:rPr>
          <w:rFonts w:ascii="Time New Roman" w:eastAsia="楷体" w:hAnsi="Time New Roman" w:hint="eastAsia"/>
        </w:rPr>
        <w:t>诉阿根廷共和国</w:t>
      </w:r>
      <w:r w:rsidRPr="009D48A5">
        <w:rPr>
          <w:rFonts w:hint="eastAsia"/>
        </w:rPr>
        <w:t>，裁决，</w:t>
      </w:r>
      <w:r w:rsidRPr="009D48A5">
        <w:t>2007</w:t>
      </w:r>
      <w:r w:rsidRPr="009D48A5">
        <w:t>年</w:t>
      </w:r>
      <w:r w:rsidRPr="009D48A5">
        <w:t>9</w:t>
      </w:r>
      <w:r w:rsidRPr="009D48A5">
        <w:t>月</w:t>
      </w:r>
      <w:r w:rsidRPr="009D48A5">
        <w:t>28</w:t>
      </w:r>
      <w:r w:rsidRPr="009D48A5">
        <w:t>日，解决投资争端国际中心案件编号</w:t>
      </w:r>
      <w:r w:rsidRPr="009D48A5">
        <w:t xml:space="preserve">ARB/02/16, </w:t>
      </w:r>
      <w:r w:rsidRPr="009D48A5">
        <w:t>第</w:t>
      </w:r>
      <w:r w:rsidRPr="009D48A5">
        <w:t>385</w:t>
      </w:r>
      <w:r w:rsidRPr="009D48A5">
        <w:t>段；</w:t>
      </w:r>
      <w:r w:rsidRPr="009D48A5">
        <w:rPr>
          <w:rFonts w:hint="eastAsia"/>
        </w:rPr>
        <w:t>另</w:t>
      </w:r>
      <w:r w:rsidRPr="009D48A5">
        <w:t>见</w:t>
      </w:r>
      <w:r w:rsidRPr="009D48A5">
        <w:t xml:space="preserve">Enron Corporation </w:t>
      </w:r>
      <w:r w:rsidRPr="009D48A5">
        <w:rPr>
          <w:rFonts w:hint="eastAsia"/>
        </w:rPr>
        <w:t>和</w:t>
      </w:r>
      <w:r w:rsidRPr="009D48A5">
        <w:t>Ponderosa Assets, L.P.</w:t>
      </w:r>
      <w:r w:rsidRPr="009D48A5">
        <w:rPr>
          <w:rFonts w:ascii="Time New Roman" w:eastAsia="楷体" w:hAnsi="Time New Roman" w:hint="eastAsia"/>
        </w:rPr>
        <w:t>诉阿根廷共和国</w:t>
      </w:r>
      <w:r w:rsidRPr="009D48A5">
        <w:rPr>
          <w:rFonts w:hint="eastAsia"/>
        </w:rPr>
        <w:t>，裁决，</w:t>
      </w:r>
      <w:r w:rsidRPr="009D48A5">
        <w:t>2007</w:t>
      </w:r>
      <w:r w:rsidRPr="009D48A5">
        <w:t>年</w:t>
      </w:r>
      <w:r w:rsidRPr="009D48A5">
        <w:t>5</w:t>
      </w:r>
      <w:r w:rsidRPr="009D48A5">
        <w:t>月</w:t>
      </w:r>
      <w:r w:rsidRPr="009D48A5">
        <w:t>22</w:t>
      </w:r>
      <w:r w:rsidRPr="009D48A5">
        <w:t>日，解决投资争端国际中心案件编号</w:t>
      </w:r>
      <w:r w:rsidRPr="009D48A5">
        <w:t xml:space="preserve">ARB/01/3, </w:t>
      </w:r>
      <w:r w:rsidRPr="009D48A5">
        <w:t>第</w:t>
      </w:r>
      <w:r w:rsidRPr="009D48A5">
        <w:t>337</w:t>
      </w:r>
      <w:r w:rsidRPr="009D48A5">
        <w:t>段；</w:t>
      </w:r>
      <w:r w:rsidRPr="009D48A5">
        <w:rPr>
          <w:rFonts w:hint="eastAsia"/>
        </w:rPr>
        <w:t>世贸组织专家组报告</w:t>
      </w:r>
      <w:r w:rsidRPr="009D48A5">
        <w:t>，</w:t>
      </w:r>
      <w:r w:rsidRPr="009D48A5">
        <w:rPr>
          <w:rFonts w:ascii="Time New Roman" w:eastAsia="楷体" w:hAnsi="Time New Roman" w:hint="eastAsia"/>
        </w:rPr>
        <w:t>美国－大型民用飞机案</w:t>
      </w:r>
      <w:r w:rsidRPr="009D48A5">
        <w:rPr>
          <w:rFonts w:ascii="Time New Roman" w:eastAsia="楷体" w:hAnsi="Time New Roman"/>
        </w:rPr>
        <w:t>(</w:t>
      </w:r>
      <w:r w:rsidRPr="009D48A5">
        <w:rPr>
          <w:rFonts w:ascii="Time New Roman" w:eastAsia="楷体" w:hAnsi="Time New Roman" w:hint="eastAsia"/>
        </w:rPr>
        <w:t>第二次申诉</w:t>
      </w:r>
      <w:r w:rsidRPr="009D48A5">
        <w:t>)</w:t>
      </w:r>
      <w:r w:rsidRPr="009D48A5">
        <w:t>，</w:t>
      </w:r>
      <w:r w:rsidRPr="009D48A5">
        <w:t>WT/DS353/R, 201</w:t>
      </w:r>
      <w:r w:rsidRPr="009D48A5">
        <w:rPr>
          <w:rFonts w:hint="eastAsia"/>
        </w:rPr>
        <w:t>2</w:t>
      </w:r>
      <w:r w:rsidRPr="009D48A5">
        <w:t>年</w:t>
      </w:r>
      <w:r w:rsidRPr="009D48A5">
        <w:rPr>
          <w:rFonts w:hint="eastAsia"/>
        </w:rPr>
        <w:t>3</w:t>
      </w:r>
      <w:r w:rsidRPr="009D48A5">
        <w:t>月</w:t>
      </w:r>
      <w:r w:rsidRPr="009D48A5">
        <w:rPr>
          <w:rFonts w:hint="eastAsia"/>
        </w:rPr>
        <w:t>23</w:t>
      </w:r>
      <w:r w:rsidRPr="009D48A5">
        <w:t>日</w:t>
      </w:r>
      <w:r w:rsidRPr="009D48A5">
        <w:rPr>
          <w:rFonts w:hint="eastAsia"/>
        </w:rPr>
        <w:t>通过，</w:t>
      </w:r>
      <w:r w:rsidRPr="009D48A5">
        <w:t>第</w:t>
      </w:r>
      <w:r w:rsidRPr="009D48A5">
        <w:t>7.953</w:t>
      </w:r>
      <w:r w:rsidRPr="009D48A5">
        <w:t>段</w:t>
      </w:r>
      <w:r w:rsidRPr="009D48A5">
        <w:rPr>
          <w:rFonts w:hint="eastAsia"/>
        </w:rPr>
        <w:t>中脚注</w:t>
      </w:r>
      <w:r w:rsidRPr="009D48A5">
        <w:t>2420</w:t>
      </w:r>
      <w:r w:rsidRPr="009D48A5">
        <w:rPr>
          <w:rFonts w:hint="eastAsia"/>
        </w:rPr>
        <w:t>。</w:t>
      </w:r>
    </w:p>
  </w:footnote>
  <w:footnote w:id="521">
    <w:p w:rsidR="00AB00DE" w:rsidRPr="009D48A5" w:rsidRDefault="00AB00DE" w:rsidP="00B44972">
      <w:pPr>
        <w:pStyle w:val="a4"/>
        <w:spacing w:after="80"/>
      </w:pPr>
      <w:r w:rsidRPr="009D48A5">
        <w:rPr>
          <w:rFonts w:hint="eastAsia"/>
        </w:rPr>
        <w:tab/>
      </w:r>
      <w:r w:rsidRPr="00DF5565">
        <w:rPr>
          <w:rStyle w:val="a5"/>
          <w:szCs w:val="22"/>
        </w:rPr>
        <w:footnoteRef/>
      </w:r>
      <w:r w:rsidRPr="009D48A5">
        <w:rPr>
          <w:rFonts w:hint="eastAsia"/>
        </w:rPr>
        <w:tab/>
      </w:r>
      <w:r w:rsidRPr="009D48A5">
        <w:rPr>
          <w:rFonts w:hint="eastAsia"/>
        </w:rPr>
        <w:t>例如，见：联合王国，上议院，</w:t>
      </w:r>
      <w:r w:rsidRPr="009D48A5">
        <w:rPr>
          <w:rFonts w:ascii="Time New Roman" w:eastAsia="楷体" w:hAnsi="Time New Roman" w:hint="eastAsia"/>
        </w:rPr>
        <w:t>深静脉血栓与航空旅行集团诉讼</w:t>
      </w:r>
      <w:r w:rsidRPr="009D48A5">
        <w:t xml:space="preserve">[2005] UKHL 72, </w:t>
      </w:r>
      <w:r w:rsidRPr="009D48A5">
        <w:rPr>
          <w:rFonts w:hint="eastAsia"/>
        </w:rPr>
        <w:t>第</w:t>
      </w:r>
      <w:r w:rsidRPr="009D48A5">
        <w:t>54-55</w:t>
      </w:r>
      <w:r w:rsidRPr="009D48A5">
        <w:rPr>
          <w:rFonts w:hint="eastAsia"/>
        </w:rPr>
        <w:t>段和第</w:t>
      </w:r>
      <w:r w:rsidRPr="009D48A5">
        <w:t>66-85</w:t>
      </w:r>
      <w:r w:rsidRPr="009D48A5">
        <w:rPr>
          <w:rFonts w:hint="eastAsia"/>
        </w:rPr>
        <w:t>段</w:t>
      </w:r>
      <w:r w:rsidRPr="009D48A5">
        <w:t>(Mance</w:t>
      </w:r>
      <w:r w:rsidRPr="009D48A5">
        <w:rPr>
          <w:rFonts w:hint="eastAsia"/>
        </w:rPr>
        <w:t>勋爵</w:t>
      </w:r>
      <w:r w:rsidRPr="009D48A5">
        <w:t>)</w:t>
      </w:r>
      <w:r w:rsidRPr="009D48A5">
        <w:rPr>
          <w:rFonts w:hint="eastAsia"/>
        </w:rPr>
        <w:t>；联合王国，上议院，</w:t>
      </w:r>
      <w:r w:rsidRPr="009D48A5">
        <w:t>R (Al-Jedda)</w:t>
      </w:r>
      <w:r w:rsidRPr="009D48A5">
        <w:rPr>
          <w:rFonts w:ascii="Time New Roman" w:eastAsia="楷体" w:hAnsi="Time New Roman" w:hint="eastAsia"/>
        </w:rPr>
        <w:t>诉国防大臣</w:t>
      </w:r>
      <w:r w:rsidRPr="009D48A5">
        <w:t xml:space="preserve">[2007] UKHL 58, </w:t>
      </w:r>
      <w:r w:rsidRPr="009D48A5">
        <w:rPr>
          <w:rFonts w:hint="eastAsia"/>
        </w:rPr>
        <w:t>第</w:t>
      </w:r>
      <w:r w:rsidRPr="009D48A5">
        <w:rPr>
          <w:rFonts w:hint="eastAsia"/>
        </w:rPr>
        <w:t>38</w:t>
      </w:r>
      <w:r w:rsidRPr="009D48A5">
        <w:rPr>
          <w:rFonts w:hint="eastAsia"/>
        </w:rPr>
        <w:t>段；联合王国，上议院，</w:t>
      </w:r>
      <w:r w:rsidRPr="009D48A5">
        <w:t>R (Mullen)</w:t>
      </w:r>
      <w:r w:rsidRPr="009D48A5">
        <w:rPr>
          <w:rFonts w:ascii="Time New Roman" w:eastAsia="楷体" w:hAnsi="Time New Roman" w:hint="eastAsia"/>
        </w:rPr>
        <w:t>诉内政大臣</w:t>
      </w:r>
      <w:r w:rsidRPr="009D48A5">
        <w:t xml:space="preserve">[2004] </w:t>
      </w:r>
      <w:r w:rsidRPr="009D48A5">
        <w:rPr>
          <w:lang w:val="zh-CN"/>
        </w:rPr>
        <w:t>UKHL</w:t>
      </w:r>
      <w:r w:rsidRPr="009D48A5">
        <w:t xml:space="preserve"> 18, </w:t>
      </w:r>
      <w:r w:rsidRPr="009D48A5">
        <w:rPr>
          <w:rFonts w:hint="eastAsia"/>
        </w:rPr>
        <w:t>第</w:t>
      </w:r>
      <w:r w:rsidRPr="009D48A5">
        <w:t>47</w:t>
      </w:r>
      <w:r w:rsidRPr="009D48A5">
        <w:rPr>
          <w:rFonts w:hint="eastAsia"/>
        </w:rPr>
        <w:t>段</w:t>
      </w:r>
      <w:r w:rsidRPr="009D48A5">
        <w:t>(Steyn</w:t>
      </w:r>
      <w:r w:rsidRPr="009D48A5">
        <w:rPr>
          <w:rFonts w:hint="eastAsia"/>
        </w:rPr>
        <w:t>勋爵</w:t>
      </w:r>
      <w:r w:rsidRPr="009D48A5">
        <w:t>)</w:t>
      </w:r>
      <w:r w:rsidRPr="009D48A5">
        <w:rPr>
          <w:rFonts w:hint="eastAsia"/>
        </w:rPr>
        <w:t>；联合王国，上议院，</w:t>
      </w:r>
      <w:r w:rsidRPr="009D48A5">
        <w:t>King</w:t>
      </w:r>
      <w:r w:rsidRPr="009D48A5">
        <w:rPr>
          <w:rFonts w:ascii="Time New Roman" w:eastAsia="楷体" w:hAnsi="Time New Roman" w:hint="eastAsia"/>
        </w:rPr>
        <w:t>诉</w:t>
      </w:r>
      <w:r w:rsidRPr="009D48A5">
        <w:rPr>
          <w:rFonts w:ascii="Time New Roman" w:eastAsia="楷体" w:hAnsi="Time New Roman" w:hint="eastAsia"/>
        </w:rPr>
        <w:t>Bristow</w:t>
      </w:r>
      <w:r w:rsidRPr="009D48A5">
        <w:rPr>
          <w:rFonts w:ascii="Time New Roman" w:eastAsia="楷体" w:hAnsi="Time New Roman" w:hint="eastAsia"/>
        </w:rPr>
        <w:t>直升机公司</w:t>
      </w:r>
      <w:r w:rsidRPr="009D48A5">
        <w:t>(</w:t>
      </w:r>
      <w:r w:rsidRPr="009D48A5">
        <w:rPr>
          <w:rFonts w:hint="eastAsia"/>
        </w:rPr>
        <w:t>苏格兰</w:t>
      </w:r>
      <w:r w:rsidRPr="009D48A5">
        <w:t xml:space="preserve">) [2002] UKHL 7, </w:t>
      </w:r>
      <w:r w:rsidRPr="009D48A5">
        <w:rPr>
          <w:rFonts w:hint="eastAsia"/>
        </w:rPr>
        <w:t>第</w:t>
      </w:r>
      <w:r w:rsidRPr="009D48A5">
        <w:rPr>
          <w:rFonts w:hint="eastAsia"/>
        </w:rPr>
        <w:t>80</w:t>
      </w:r>
      <w:r w:rsidRPr="009D48A5">
        <w:rPr>
          <w:rFonts w:hint="eastAsia"/>
        </w:rPr>
        <w:t>段</w:t>
      </w:r>
      <w:r w:rsidRPr="009D48A5">
        <w:t>(Hope</w:t>
      </w:r>
      <w:r w:rsidRPr="009D48A5">
        <w:rPr>
          <w:rFonts w:hint="eastAsia"/>
        </w:rPr>
        <w:t>勋爵</w:t>
      </w:r>
      <w:r w:rsidRPr="009D48A5">
        <w:t>)</w:t>
      </w:r>
      <w:r w:rsidRPr="009D48A5">
        <w:rPr>
          <w:rFonts w:hint="eastAsia"/>
        </w:rPr>
        <w:t>；新西兰，上诉法院，</w:t>
      </w:r>
      <w:r w:rsidRPr="009D48A5">
        <w:t>Zaoui</w:t>
      </w:r>
      <w:r w:rsidRPr="009D48A5">
        <w:rPr>
          <w:rFonts w:ascii="Time New Roman" w:eastAsia="楷体" w:hAnsi="Time New Roman" w:hint="eastAsia"/>
        </w:rPr>
        <w:t>诉总检察长</w:t>
      </w:r>
      <w:r w:rsidRPr="009D48A5">
        <w:t>(</w:t>
      </w:r>
      <w:r w:rsidRPr="009D48A5">
        <w:rPr>
          <w:rFonts w:hint="eastAsia"/>
        </w:rPr>
        <w:t>第</w:t>
      </w:r>
      <w:r w:rsidRPr="009D48A5">
        <w:t>2</w:t>
      </w:r>
      <w:r w:rsidRPr="009D48A5">
        <w:rPr>
          <w:rFonts w:hint="eastAsia"/>
        </w:rPr>
        <w:t>号</w:t>
      </w:r>
      <w:r w:rsidRPr="009D48A5">
        <w:t xml:space="preserve">)[2005] 1 NZLR 690, </w:t>
      </w:r>
      <w:r w:rsidRPr="009D48A5">
        <w:rPr>
          <w:rFonts w:hint="eastAsia"/>
        </w:rPr>
        <w:t>第</w:t>
      </w:r>
      <w:r w:rsidRPr="009D48A5">
        <w:t>130</w:t>
      </w:r>
      <w:r w:rsidRPr="009D48A5">
        <w:rPr>
          <w:rFonts w:hint="eastAsia"/>
        </w:rPr>
        <w:t>段</w:t>
      </w:r>
      <w:r w:rsidRPr="009D48A5">
        <w:t>(Glazebrook J.)</w:t>
      </w:r>
      <w:r w:rsidRPr="009D48A5">
        <w:rPr>
          <w:rFonts w:hint="eastAsia"/>
        </w:rPr>
        <w:t>；新西兰，上诉法院，</w:t>
      </w:r>
      <w:r w:rsidRPr="009D48A5">
        <w:t>P.</w:t>
      </w:r>
      <w:r w:rsidRPr="009D48A5">
        <w:rPr>
          <w:rFonts w:ascii="Time New Roman" w:eastAsia="楷体" w:hAnsi="Time New Roman" w:hint="eastAsia"/>
        </w:rPr>
        <w:t>诉司法部长</w:t>
      </w:r>
      <w:r w:rsidRPr="009D48A5">
        <w:rPr>
          <w:rFonts w:hint="eastAsia"/>
        </w:rPr>
        <w:t>，</w:t>
      </w:r>
      <w:r w:rsidRPr="009D48A5">
        <w:t xml:space="preserve">ex parte A.P. [2004] 2 NZLR 28, </w:t>
      </w:r>
      <w:r w:rsidRPr="009D48A5">
        <w:rPr>
          <w:rFonts w:hint="eastAsia"/>
        </w:rPr>
        <w:t>第</w:t>
      </w:r>
      <w:r w:rsidRPr="009D48A5">
        <w:t>61</w:t>
      </w:r>
      <w:r w:rsidRPr="009D48A5">
        <w:rPr>
          <w:rFonts w:hint="eastAsia"/>
        </w:rPr>
        <w:t>段</w:t>
      </w:r>
      <w:r w:rsidRPr="009D48A5">
        <w:t>(Glazebrook J.)</w:t>
      </w:r>
      <w:r w:rsidRPr="009D48A5">
        <w:rPr>
          <w:rFonts w:hint="eastAsia"/>
        </w:rPr>
        <w:t>；德国，联邦行政法院，</w:t>
      </w:r>
      <w:r w:rsidRPr="009D48A5">
        <w:t xml:space="preserve">BVerfGE, </w:t>
      </w:r>
      <w:r w:rsidRPr="009D48A5">
        <w:rPr>
          <w:rFonts w:hint="eastAsia"/>
        </w:rPr>
        <w:t>第</w:t>
      </w:r>
      <w:r w:rsidRPr="009D48A5">
        <w:t>104</w:t>
      </w:r>
      <w:r w:rsidRPr="009D48A5">
        <w:rPr>
          <w:rFonts w:hint="eastAsia"/>
        </w:rPr>
        <w:t>卷，第</w:t>
      </w:r>
      <w:r w:rsidRPr="009D48A5">
        <w:t>254</w:t>
      </w:r>
      <w:r w:rsidRPr="009D48A5">
        <w:rPr>
          <w:rFonts w:hint="eastAsia"/>
        </w:rPr>
        <w:t>页起，见第</w:t>
      </w:r>
      <w:r w:rsidRPr="009D48A5">
        <w:t>256-257</w:t>
      </w:r>
      <w:r w:rsidRPr="009D48A5">
        <w:rPr>
          <w:rFonts w:hint="eastAsia"/>
        </w:rPr>
        <w:t>页；</w:t>
      </w:r>
      <w:r w:rsidRPr="009D48A5">
        <w:t>1988</w:t>
      </w:r>
      <w:r w:rsidRPr="009D48A5">
        <w:rPr>
          <w:rFonts w:hint="eastAsia"/>
        </w:rPr>
        <w:t>年</w:t>
      </w:r>
      <w:r w:rsidRPr="009D48A5">
        <w:rPr>
          <w:rFonts w:hint="eastAsia"/>
        </w:rPr>
        <w:t>11</w:t>
      </w:r>
      <w:r w:rsidRPr="009D48A5">
        <w:rPr>
          <w:rFonts w:hint="eastAsia"/>
        </w:rPr>
        <w:t>月</w:t>
      </w:r>
      <w:r w:rsidRPr="009D48A5">
        <w:rPr>
          <w:rFonts w:hint="eastAsia"/>
        </w:rPr>
        <w:t>29</w:t>
      </w:r>
      <w:r w:rsidRPr="009D48A5">
        <w:rPr>
          <w:rFonts w:hint="eastAsia"/>
        </w:rPr>
        <w:t>日的判决</w:t>
      </w:r>
      <w:r w:rsidRPr="009D48A5">
        <w:t>，</w:t>
      </w:r>
      <w:r w:rsidRPr="009D48A5">
        <w:t>1 C 75/86 [1988]</w:t>
      </w:r>
      <w:r w:rsidRPr="009D48A5">
        <w:rPr>
          <w:rFonts w:hint="eastAsia"/>
        </w:rPr>
        <w:t>，</w:t>
      </w:r>
      <w:r w:rsidRPr="009D48A5">
        <w:rPr>
          <w:rFonts w:ascii="Time New Roman" w:eastAsia="楷体" w:hAnsi="Time New Roman"/>
          <w:i/>
          <w:iCs/>
        </w:rPr>
        <w:t>Neue Zeitschrift für Verwaltungsrecht</w:t>
      </w:r>
      <w:r w:rsidRPr="009D48A5">
        <w:t xml:space="preserve">, </w:t>
      </w:r>
      <w:r w:rsidRPr="009D48A5">
        <w:rPr>
          <w:rFonts w:hint="eastAsia"/>
        </w:rPr>
        <w:t>第</w:t>
      </w:r>
      <w:r w:rsidRPr="009D48A5">
        <w:t>765</w:t>
      </w:r>
      <w:r w:rsidRPr="009D48A5">
        <w:rPr>
          <w:rFonts w:hint="eastAsia"/>
        </w:rPr>
        <w:t>页起，见第</w:t>
      </w:r>
      <w:r w:rsidRPr="009D48A5">
        <w:t>766</w:t>
      </w:r>
      <w:r w:rsidRPr="009D48A5">
        <w:rPr>
          <w:rFonts w:hint="eastAsia"/>
        </w:rPr>
        <w:t>页。</w:t>
      </w:r>
    </w:p>
  </w:footnote>
  <w:footnote w:id="522">
    <w:p w:rsidR="00AB00DE" w:rsidRPr="009D48A5" w:rsidRDefault="00AB00DE" w:rsidP="00D90936">
      <w:pPr>
        <w:pStyle w:val="a4"/>
        <w:spacing w:after="80"/>
      </w:pPr>
      <w:r w:rsidRPr="009D48A5">
        <w:rPr>
          <w:rFonts w:hint="eastAsia"/>
        </w:rPr>
        <w:tab/>
      </w:r>
      <w:r w:rsidRPr="00DF5565">
        <w:rPr>
          <w:rStyle w:val="a5"/>
          <w:szCs w:val="22"/>
        </w:rPr>
        <w:footnoteRef/>
      </w:r>
      <w:r w:rsidRPr="009D48A5">
        <w:rPr>
          <w:rFonts w:hint="eastAsia"/>
        </w:rPr>
        <w:tab/>
      </w:r>
      <w:r w:rsidRPr="009D48A5">
        <w:t>Villiger,</w:t>
      </w:r>
      <w:r w:rsidRPr="009D48A5">
        <w:rPr>
          <w:rFonts w:hint="eastAsia"/>
        </w:rPr>
        <w:t>《……评注》</w:t>
      </w:r>
      <w:r w:rsidRPr="009D48A5">
        <w:rPr>
          <w:rFonts w:hint="eastAsia"/>
        </w:rPr>
        <w:t>(</w:t>
      </w:r>
      <w:r w:rsidRPr="009D48A5">
        <w:rPr>
          <w:rFonts w:hint="eastAsia"/>
        </w:rPr>
        <w:t>见</w:t>
      </w:r>
      <w:r>
        <w:rPr>
          <w:rFonts w:hint="eastAsia"/>
        </w:rPr>
        <w:t>上文脚注</w:t>
      </w:r>
      <w:r>
        <w:rPr>
          <w:spacing w:val="-4"/>
          <w:lang w:val="zh-CN"/>
        </w:rPr>
        <w:fldChar w:fldCharType="begin"/>
      </w:r>
      <w:r>
        <w:rPr>
          <w:spacing w:val="-4"/>
          <w:lang w:val="zh-CN"/>
        </w:rPr>
        <w:instrText xml:space="preserve"> NOTEREF _Ref461972715 \h </w:instrText>
      </w:r>
      <w:r>
        <w:rPr>
          <w:spacing w:val="-4"/>
          <w:lang w:val="zh-CN"/>
        </w:rPr>
      </w:r>
      <w:r>
        <w:rPr>
          <w:spacing w:val="-4"/>
          <w:lang w:val="zh-CN"/>
        </w:rPr>
        <w:fldChar w:fldCharType="separate"/>
      </w:r>
      <w:r w:rsidR="00A73EB9">
        <w:rPr>
          <w:spacing w:val="-4"/>
          <w:lang w:val="zh-CN"/>
        </w:rPr>
        <w:t>414</w:t>
      </w:r>
      <w:r>
        <w:rPr>
          <w:spacing w:val="-4"/>
          <w:lang w:val="zh-CN"/>
        </w:rPr>
        <w:fldChar w:fldCharType="end"/>
      </w:r>
      <w:r>
        <w:rPr>
          <w:rFonts w:hint="eastAsia"/>
        </w:rPr>
        <w:t>)</w:t>
      </w:r>
      <w:r w:rsidRPr="009D48A5">
        <w:rPr>
          <w:rFonts w:hint="eastAsia"/>
        </w:rPr>
        <w:t>，</w:t>
      </w:r>
      <w:r w:rsidRPr="009D48A5">
        <w:rPr>
          <w:rFonts w:hint="eastAsia"/>
          <w:iCs/>
        </w:rPr>
        <w:t>第</w:t>
      </w:r>
      <w:r w:rsidRPr="009D48A5">
        <w:t>431</w:t>
      </w:r>
      <w:r w:rsidRPr="009D48A5">
        <w:rPr>
          <w:rFonts w:hint="eastAsia"/>
        </w:rPr>
        <w:t>页，第</w:t>
      </w:r>
      <w:r w:rsidRPr="009D48A5">
        <w:t>22</w:t>
      </w:r>
      <w:r w:rsidRPr="009D48A5">
        <w:rPr>
          <w:rFonts w:hint="eastAsia"/>
        </w:rPr>
        <w:t>段。</w:t>
      </w:r>
    </w:p>
  </w:footnote>
  <w:footnote w:id="523">
    <w:p w:rsidR="00AB00DE" w:rsidRPr="009D48A5" w:rsidRDefault="00AB00DE" w:rsidP="00267AB1">
      <w:pPr>
        <w:pStyle w:val="a4"/>
        <w:spacing w:after="80"/>
      </w:pPr>
      <w:r w:rsidRPr="009D48A5">
        <w:rPr>
          <w:rFonts w:hint="eastAsia"/>
        </w:rPr>
        <w:tab/>
      </w:r>
      <w:r w:rsidRPr="00DF5565">
        <w:rPr>
          <w:rStyle w:val="a5"/>
          <w:szCs w:val="22"/>
        </w:rPr>
        <w:footnoteRef/>
      </w:r>
      <w:r w:rsidRPr="009D48A5">
        <w:rPr>
          <w:rFonts w:hint="eastAsia"/>
        </w:rPr>
        <w:tab/>
      </w:r>
      <w:r w:rsidRPr="009D48A5">
        <w:t>Linderfalk,</w:t>
      </w:r>
      <w:r w:rsidRPr="009D48A5">
        <w:rPr>
          <w:rFonts w:hint="eastAsia"/>
        </w:rPr>
        <w:t>《关于条约的解释》</w:t>
      </w:r>
      <w:r w:rsidRPr="009D48A5">
        <w:rPr>
          <w:rFonts w:hint="eastAsia"/>
        </w:rPr>
        <w:t>(</w:t>
      </w:r>
      <w:r w:rsidRPr="009D48A5">
        <w:rPr>
          <w:rFonts w:hint="eastAsia"/>
        </w:rPr>
        <w:t>见</w:t>
      </w:r>
      <w:r>
        <w:rPr>
          <w:rFonts w:hint="eastAsia"/>
          <w:iCs/>
        </w:rPr>
        <w:t>上文脚注</w:t>
      </w:r>
      <w:r>
        <w:fldChar w:fldCharType="begin"/>
      </w:r>
      <w:r>
        <w:instrText xml:space="preserve"> </w:instrText>
      </w:r>
      <w:r>
        <w:rPr>
          <w:rFonts w:hint="eastAsia"/>
        </w:rPr>
        <w:instrText>NOTEREF _Ref461974127 \h</w:instrText>
      </w:r>
      <w:r>
        <w:instrText xml:space="preserve"> </w:instrText>
      </w:r>
      <w:r>
        <w:fldChar w:fldCharType="separate"/>
      </w:r>
      <w:r w:rsidR="00A73EB9">
        <w:t>446</w:t>
      </w:r>
      <w:r>
        <w:fldChar w:fldCharType="end"/>
      </w:r>
      <w:r>
        <w:rPr>
          <w:rFonts w:hint="eastAsia"/>
          <w:iCs/>
        </w:rPr>
        <w:t>)</w:t>
      </w:r>
      <w:r w:rsidRPr="009D48A5">
        <w:rPr>
          <w:rFonts w:hint="eastAsia"/>
          <w:iCs/>
        </w:rPr>
        <w:t>，</w:t>
      </w:r>
      <w:r w:rsidRPr="009D48A5">
        <w:rPr>
          <w:rFonts w:hint="eastAsia"/>
        </w:rPr>
        <w:t>第</w:t>
      </w:r>
      <w:r w:rsidRPr="009D48A5">
        <w:t>166</w:t>
      </w:r>
      <w:r w:rsidRPr="009D48A5">
        <w:rPr>
          <w:rFonts w:hint="eastAsia"/>
        </w:rPr>
        <w:t>页。</w:t>
      </w:r>
    </w:p>
  </w:footnote>
  <w:footnote w:id="524">
    <w:p w:rsidR="00AB00DE" w:rsidRPr="009D48A5" w:rsidRDefault="00AB00DE" w:rsidP="00B44972">
      <w:pPr>
        <w:pStyle w:val="a4"/>
        <w:spacing w:after="80"/>
      </w:pPr>
      <w:r w:rsidRPr="009D48A5">
        <w:rPr>
          <w:rFonts w:hint="eastAsia"/>
        </w:rPr>
        <w:tab/>
      </w:r>
      <w:r w:rsidRPr="00DF5565">
        <w:rPr>
          <w:rStyle w:val="a5"/>
          <w:szCs w:val="22"/>
        </w:rPr>
        <w:footnoteRef/>
      </w:r>
      <w:r w:rsidRPr="009D48A5">
        <w:rPr>
          <w:rFonts w:hint="eastAsia"/>
        </w:rPr>
        <w:tab/>
      </w:r>
      <w:r w:rsidRPr="009D48A5">
        <w:rPr>
          <w:rFonts w:hint="eastAsia"/>
        </w:rPr>
        <w:t>世贸组织上诉机构报告，</w:t>
      </w:r>
      <w:r w:rsidRPr="009D48A5">
        <w:rPr>
          <w:rFonts w:ascii="Time New Roman" w:eastAsia="楷体" w:hAnsi="Time New Roman" w:hint="eastAsia"/>
        </w:rPr>
        <w:t>日本－酒精饮料案</w:t>
      </w:r>
      <w:r w:rsidRPr="009D48A5">
        <w:rPr>
          <w:rFonts w:ascii="Time New Roman" w:eastAsia="楷体" w:hAnsi="Time New Roman" w:hint="eastAsia"/>
        </w:rPr>
        <w:t>(</w:t>
      </w:r>
      <w:r w:rsidRPr="009D48A5">
        <w:rPr>
          <w:rFonts w:ascii="Time New Roman" w:eastAsia="楷体" w:hAnsi="Time New Roman" w:hint="eastAsia"/>
        </w:rPr>
        <w:t>二</w:t>
      </w:r>
      <w:r w:rsidRPr="009D48A5">
        <w:rPr>
          <w:rFonts w:hint="eastAsia"/>
        </w:rPr>
        <w:t>)</w:t>
      </w:r>
      <w:r w:rsidRPr="009D48A5">
        <w:rPr>
          <w:rFonts w:hint="eastAsia"/>
        </w:rPr>
        <w:t>，</w:t>
      </w:r>
      <w:r w:rsidRPr="009D48A5">
        <w:t>WT/DS8/AB/R</w:t>
      </w:r>
      <w:r w:rsidRPr="009D48A5">
        <w:rPr>
          <w:rFonts w:hint="eastAsia"/>
        </w:rPr>
        <w:t>、</w:t>
      </w:r>
      <w:r w:rsidRPr="009D48A5">
        <w:t>WT/DS10/AB/R</w:t>
      </w:r>
      <w:r w:rsidRPr="009D48A5">
        <w:rPr>
          <w:rFonts w:hint="eastAsia"/>
        </w:rPr>
        <w:t>和</w:t>
      </w:r>
      <w:r w:rsidRPr="009D48A5">
        <w:t>WT/DS11/AB/R, 1996</w:t>
      </w:r>
      <w:r w:rsidRPr="009D48A5">
        <w:rPr>
          <w:rFonts w:hint="eastAsia"/>
        </w:rPr>
        <w:t>年</w:t>
      </w:r>
      <w:r w:rsidRPr="009D48A5">
        <w:rPr>
          <w:rFonts w:hint="eastAsia"/>
        </w:rPr>
        <w:t>11</w:t>
      </w:r>
      <w:r w:rsidRPr="009D48A5">
        <w:rPr>
          <w:rFonts w:hint="eastAsia"/>
        </w:rPr>
        <w:t>月</w:t>
      </w:r>
      <w:r w:rsidRPr="009D48A5">
        <w:rPr>
          <w:rFonts w:hint="eastAsia"/>
        </w:rPr>
        <w:t>1</w:t>
      </w:r>
      <w:r w:rsidRPr="009D48A5">
        <w:rPr>
          <w:rFonts w:hint="eastAsia"/>
        </w:rPr>
        <w:t>日通过，</w:t>
      </w:r>
      <w:r w:rsidRPr="009D48A5">
        <w:t>E</w:t>
      </w:r>
      <w:r w:rsidRPr="009D48A5">
        <w:rPr>
          <w:rFonts w:hint="eastAsia"/>
        </w:rPr>
        <w:t>节，第</w:t>
      </w:r>
      <w:r w:rsidRPr="009D48A5">
        <w:t>13</w:t>
      </w:r>
      <w:r w:rsidRPr="009D48A5">
        <w:rPr>
          <w:rFonts w:hint="eastAsia"/>
        </w:rPr>
        <w:t>页。</w:t>
      </w:r>
    </w:p>
  </w:footnote>
  <w:footnote w:id="525">
    <w:p w:rsidR="00AB00DE" w:rsidRPr="009D48A5" w:rsidRDefault="00AB00DE" w:rsidP="00B44972">
      <w:pPr>
        <w:pStyle w:val="a4"/>
        <w:spacing w:after="80"/>
        <w:rPr>
          <w:lang w:val="fr-FR"/>
        </w:rPr>
      </w:pPr>
      <w:r w:rsidRPr="009D48A5">
        <w:rPr>
          <w:rFonts w:hint="eastAsia"/>
        </w:rPr>
        <w:tab/>
      </w:r>
      <w:r w:rsidRPr="00DF5565">
        <w:rPr>
          <w:rStyle w:val="a5"/>
          <w:szCs w:val="22"/>
        </w:rPr>
        <w:footnoteRef/>
      </w:r>
      <w:r w:rsidRPr="009D48A5">
        <w:rPr>
          <w:rFonts w:hint="eastAsia"/>
          <w:lang w:val="fr-FR"/>
        </w:rPr>
        <w:tab/>
      </w:r>
      <w:r w:rsidRPr="009D48A5">
        <w:rPr>
          <w:lang w:val="fr-FR"/>
        </w:rPr>
        <w:t xml:space="preserve">Kolb, </w:t>
      </w:r>
      <w:r w:rsidRPr="009D48A5">
        <w:rPr>
          <w:i/>
          <w:lang w:val="fr-FR"/>
        </w:rPr>
        <w:t>Interprétation et création du droit international</w:t>
      </w:r>
      <w:r w:rsidRPr="009D48A5">
        <w:rPr>
          <w:rFonts w:hint="eastAsia"/>
          <w:iCs/>
          <w:lang w:val="fr-FR"/>
        </w:rPr>
        <w:t>(Brussels, Bruylant, 2006)</w:t>
      </w:r>
      <w:r w:rsidRPr="009D48A5">
        <w:rPr>
          <w:rFonts w:hint="eastAsia"/>
          <w:lang w:val="fr-FR"/>
        </w:rPr>
        <w:t>，</w:t>
      </w:r>
      <w:r w:rsidRPr="009D48A5">
        <w:rPr>
          <w:lang w:val="fr-FR"/>
        </w:rPr>
        <w:t>pp. 506-507</w:t>
      </w:r>
      <w:r w:rsidRPr="009D48A5">
        <w:rPr>
          <w:rFonts w:hint="eastAsia"/>
          <w:lang w:val="fr-FR"/>
        </w:rPr>
        <w:t>.</w:t>
      </w:r>
    </w:p>
  </w:footnote>
  <w:footnote w:id="526">
    <w:p w:rsidR="00AB00DE" w:rsidRPr="009D48A5" w:rsidRDefault="00AB00DE" w:rsidP="000676F8">
      <w:pPr>
        <w:pStyle w:val="a4"/>
        <w:spacing w:after="80"/>
      </w:pPr>
      <w:r w:rsidRPr="009D48A5">
        <w:rPr>
          <w:rFonts w:hint="eastAsia"/>
          <w:lang w:val="fr-FR"/>
        </w:rPr>
        <w:tab/>
      </w:r>
      <w:r w:rsidRPr="00DF5565">
        <w:rPr>
          <w:rStyle w:val="a5"/>
          <w:szCs w:val="22"/>
        </w:rPr>
        <w:footnoteRef/>
      </w:r>
      <w:r w:rsidRPr="009D48A5">
        <w:rPr>
          <w:rFonts w:hint="eastAsia"/>
        </w:rPr>
        <w:tab/>
      </w:r>
      <w:r w:rsidRPr="009D48A5">
        <w:rPr>
          <w:color w:val="000000"/>
        </w:rPr>
        <w:t xml:space="preserve">Aust, </w:t>
      </w:r>
      <w:r w:rsidRPr="009D48A5">
        <w:rPr>
          <w:i/>
          <w:iCs/>
          <w:color w:val="000000"/>
        </w:rPr>
        <w:t xml:space="preserve">Modern Treaty Law and Practice, </w:t>
      </w:r>
      <w:r w:rsidRPr="009D48A5">
        <w:rPr>
          <w:color w:val="000000"/>
        </w:rPr>
        <w:t>3rd edition (Cambridge, United Kingdom, Cambridge University Press, 2013)</w:t>
      </w:r>
      <w:r>
        <w:rPr>
          <w:rFonts w:hint="eastAsia"/>
          <w:color w:val="000000"/>
        </w:rPr>
        <w:t xml:space="preserve">, </w:t>
      </w:r>
      <w:r w:rsidRPr="009D48A5">
        <w:t xml:space="preserve">at </w:t>
      </w:r>
      <w:r>
        <w:t>p. 239.</w:t>
      </w:r>
    </w:p>
  </w:footnote>
  <w:footnote w:id="527">
    <w:p w:rsidR="00AB00DE" w:rsidRPr="009D48A5" w:rsidRDefault="00AB00DE" w:rsidP="00560424">
      <w:pPr>
        <w:pStyle w:val="a4"/>
        <w:spacing w:after="80"/>
      </w:pPr>
      <w:r w:rsidRPr="009D48A5">
        <w:rPr>
          <w:rFonts w:hint="eastAsia"/>
          <w:lang w:val="de-DE"/>
        </w:rPr>
        <w:tab/>
      </w:r>
      <w:r w:rsidRPr="00DF5565">
        <w:rPr>
          <w:rStyle w:val="a5"/>
          <w:szCs w:val="22"/>
        </w:rPr>
        <w:footnoteRef/>
      </w:r>
      <w:r w:rsidRPr="009D48A5">
        <w:rPr>
          <w:rFonts w:hint="eastAsia"/>
          <w:lang w:val="de-DE"/>
        </w:rPr>
        <w:tab/>
      </w:r>
      <w:r w:rsidRPr="009D48A5">
        <w:rPr>
          <w:lang w:val="de-DE"/>
        </w:rPr>
        <w:t xml:space="preserve">Karl, </w:t>
      </w:r>
      <w:r w:rsidRPr="009D48A5">
        <w:rPr>
          <w:i/>
        </w:rPr>
        <w:t>Vertrag und spätere Praxis …</w:t>
      </w:r>
      <w:r w:rsidRPr="009D48A5">
        <w:rPr>
          <w:rFonts w:hint="eastAsia"/>
        </w:rPr>
        <w:t>(</w:t>
      </w:r>
      <w:r w:rsidRPr="009D48A5">
        <w:rPr>
          <w:rFonts w:hint="eastAsia"/>
          <w:lang w:val="fr-FR"/>
        </w:rPr>
        <w:t>见</w:t>
      </w:r>
      <w:r>
        <w:rPr>
          <w:rFonts w:hint="eastAsia"/>
          <w:lang w:val="fr-FR"/>
        </w:rPr>
        <w:t>上文脚注</w:t>
      </w:r>
      <w:r>
        <w:rPr>
          <w:lang w:val="fr-FR"/>
        </w:rPr>
        <w:fldChar w:fldCharType="begin"/>
      </w:r>
      <w:r>
        <w:rPr>
          <w:lang w:val="fr-FR"/>
        </w:rPr>
        <w:instrText xml:space="preserve"> </w:instrText>
      </w:r>
      <w:r>
        <w:rPr>
          <w:rFonts w:hint="eastAsia"/>
          <w:lang w:val="fr-FR"/>
        </w:rPr>
        <w:instrText>NOTEREF _Ref364163375 \h</w:instrText>
      </w:r>
      <w:r>
        <w:rPr>
          <w:lang w:val="fr-FR"/>
        </w:rPr>
        <w:instrText xml:space="preserve"> </w:instrText>
      </w:r>
      <w:r>
        <w:rPr>
          <w:lang w:val="fr-FR"/>
        </w:rPr>
      </w:r>
      <w:r>
        <w:rPr>
          <w:lang w:val="fr-FR"/>
        </w:rPr>
        <w:fldChar w:fldCharType="separate"/>
      </w:r>
      <w:r w:rsidR="00A73EB9">
        <w:rPr>
          <w:lang w:val="fr-FR"/>
        </w:rPr>
        <w:t>454</w:t>
      </w:r>
      <w:r>
        <w:rPr>
          <w:lang w:val="fr-FR"/>
        </w:rPr>
        <w:fldChar w:fldCharType="end"/>
      </w:r>
      <w:r>
        <w:rPr>
          <w:rFonts w:hint="eastAsia"/>
          <w:lang w:val="fr-FR"/>
        </w:rPr>
        <w:t>)</w:t>
      </w:r>
      <w:r w:rsidRPr="009D48A5">
        <w:rPr>
          <w:rFonts w:hint="eastAsia"/>
        </w:rPr>
        <w:t>，见</w:t>
      </w:r>
      <w:r w:rsidRPr="009D48A5">
        <w:rPr>
          <w:rFonts w:hint="eastAsia"/>
          <w:lang w:val="fr-FR"/>
        </w:rPr>
        <w:t>第</w:t>
      </w:r>
      <w:r w:rsidRPr="009D48A5">
        <w:rPr>
          <w:lang w:val="de-DE"/>
        </w:rPr>
        <w:t>114</w:t>
      </w:r>
      <w:r w:rsidRPr="009D48A5">
        <w:rPr>
          <w:rFonts w:hint="eastAsia"/>
          <w:lang w:val="de-DE"/>
        </w:rPr>
        <w:t>页及以下各页。</w:t>
      </w:r>
    </w:p>
  </w:footnote>
  <w:footnote w:id="528">
    <w:p w:rsidR="00AB00DE" w:rsidRPr="009D48A5" w:rsidRDefault="00AB00DE" w:rsidP="00B44972">
      <w:pPr>
        <w:pStyle w:val="a4"/>
        <w:spacing w:after="80"/>
      </w:pPr>
      <w:r w:rsidRPr="009D48A5">
        <w:rPr>
          <w:rFonts w:ascii="宋体" w:hAnsi="宋体" w:cs="宋体" w:hint="eastAsia"/>
        </w:rPr>
        <w:tab/>
      </w:r>
      <w:r w:rsidRPr="00DF5565">
        <w:rPr>
          <w:rStyle w:val="a5"/>
          <w:szCs w:val="22"/>
        </w:rPr>
        <w:footnoteRef/>
      </w:r>
      <w:r w:rsidRPr="00DF5565">
        <w:rPr>
          <w:rStyle w:val="a5"/>
          <w:rFonts w:hint="eastAsia"/>
          <w:szCs w:val="22"/>
        </w:rPr>
        <w:tab/>
      </w:r>
      <w:r w:rsidRPr="009D48A5">
        <w:rPr>
          <w:rFonts w:hAnsi="宋体"/>
        </w:rPr>
        <w:t>国家对国际不法行为的责任条款</w:t>
      </w:r>
      <w:r w:rsidRPr="009D48A5">
        <w:t>及评注，</w:t>
      </w:r>
      <w:r w:rsidRPr="009D48A5">
        <w:rPr>
          <w:rFonts w:hint="eastAsia"/>
        </w:rPr>
        <w:t>《</w:t>
      </w:r>
      <w:r w:rsidRPr="009D48A5">
        <w:t>20</w:t>
      </w:r>
      <w:r w:rsidRPr="009D48A5">
        <w:rPr>
          <w:rFonts w:hint="eastAsia"/>
        </w:rPr>
        <w:t>0</w:t>
      </w:r>
      <w:r w:rsidRPr="009D48A5">
        <w:t>1</w:t>
      </w:r>
      <w:r w:rsidRPr="009D48A5">
        <w:t>年</w:t>
      </w:r>
      <w:r w:rsidRPr="009D48A5">
        <w:rPr>
          <w:rFonts w:hint="eastAsia"/>
        </w:rPr>
        <w:t>……</w:t>
      </w:r>
      <w:r w:rsidRPr="009D48A5">
        <w:t>年鉴</w:t>
      </w:r>
      <w:r w:rsidRPr="009D48A5">
        <w:rPr>
          <w:rFonts w:hint="eastAsia"/>
        </w:rPr>
        <w:t>》</w:t>
      </w:r>
      <w:r w:rsidRPr="009D48A5">
        <w:t>，第二卷</w:t>
      </w:r>
      <w:r w:rsidRPr="009D48A5">
        <w:rPr>
          <w:rFonts w:hint="eastAsia"/>
        </w:rPr>
        <w:t>(</w:t>
      </w:r>
      <w:r w:rsidRPr="009D48A5">
        <w:t>第二部分</w:t>
      </w:r>
      <w:r w:rsidRPr="009D48A5">
        <w:rPr>
          <w:rFonts w:hint="eastAsia"/>
        </w:rPr>
        <w:t>)</w:t>
      </w:r>
      <w:r w:rsidRPr="009D48A5">
        <w:rPr>
          <w:rFonts w:hint="eastAsia"/>
        </w:rPr>
        <w:t>和更正</w:t>
      </w:r>
      <w:r w:rsidRPr="009D48A5">
        <w:t>，第</w:t>
      </w:r>
      <w:r w:rsidRPr="009D48A5">
        <w:t>35</w:t>
      </w:r>
      <w:r w:rsidRPr="009D48A5">
        <w:t>页，</w:t>
      </w:r>
      <w:r w:rsidRPr="009D48A5">
        <w:rPr>
          <w:rFonts w:hint="eastAsia"/>
        </w:rPr>
        <w:t>评注</w:t>
      </w:r>
      <w:r w:rsidRPr="009D48A5">
        <w:t>第</w:t>
      </w:r>
      <w:r w:rsidRPr="009D48A5">
        <w:rPr>
          <w:rFonts w:hint="eastAsia"/>
        </w:rPr>
        <w:t>(</w:t>
      </w:r>
      <w:r w:rsidRPr="009D48A5">
        <w:t>4</w:t>
      </w:r>
      <w:r w:rsidRPr="009D48A5">
        <w:rPr>
          <w:rFonts w:hint="eastAsia"/>
        </w:rPr>
        <w:t>)</w:t>
      </w:r>
      <w:r w:rsidRPr="009D48A5">
        <w:t>段；为了条约解释的目的，国际组织的相关嗣后行为的归属问题</w:t>
      </w:r>
      <w:r w:rsidRPr="009D48A5">
        <w:rPr>
          <w:rFonts w:hint="eastAsia"/>
        </w:rPr>
        <w:t>在下文结论草案</w:t>
      </w:r>
      <w:r w:rsidRPr="009D48A5">
        <w:rPr>
          <w:rFonts w:hint="eastAsia"/>
        </w:rPr>
        <w:t>12[11]</w:t>
      </w:r>
      <w:r w:rsidRPr="009D48A5">
        <w:rPr>
          <w:rFonts w:hint="eastAsia"/>
        </w:rPr>
        <w:t>中作了说明</w:t>
      </w:r>
      <w:r w:rsidRPr="009D48A5">
        <w:t>。</w:t>
      </w:r>
    </w:p>
  </w:footnote>
  <w:footnote w:id="529">
    <w:p w:rsidR="00AB00DE" w:rsidRPr="009D48A5" w:rsidRDefault="00AB00DE" w:rsidP="00B81C40">
      <w:pPr>
        <w:pStyle w:val="a4"/>
        <w:spacing w:after="80"/>
      </w:pPr>
      <w:r w:rsidRPr="009D48A5">
        <w:rPr>
          <w:rFonts w:ascii="宋体" w:hAnsi="宋体" w:cs="宋体" w:hint="eastAsia"/>
        </w:rPr>
        <w:tab/>
      </w:r>
      <w:r w:rsidRPr="00DF5565">
        <w:rPr>
          <w:rStyle w:val="a5"/>
          <w:szCs w:val="22"/>
        </w:rPr>
        <w:footnoteRef/>
      </w:r>
      <w:r w:rsidRPr="009D48A5">
        <w:rPr>
          <w:rFonts w:ascii="宋体" w:hAnsi="宋体" w:cs="宋体" w:hint="eastAsia"/>
        </w:rPr>
        <w:tab/>
      </w:r>
      <w:r w:rsidRPr="009D48A5">
        <w:rPr>
          <w:rFonts w:ascii="Time New Roman" w:eastAsia="楷体" w:hAnsi="Time New Roman"/>
        </w:rPr>
        <w:t>卡西基里</w:t>
      </w:r>
      <w:r w:rsidRPr="009D48A5">
        <w:rPr>
          <w:rFonts w:ascii="Time New Roman" w:eastAsia="楷体" w:hAnsi="Time New Roman"/>
        </w:rPr>
        <w:t>/</w:t>
      </w:r>
      <w:r w:rsidRPr="009D48A5">
        <w:rPr>
          <w:rFonts w:ascii="Time New Roman" w:eastAsia="楷体" w:hAnsi="Time New Roman"/>
        </w:rPr>
        <w:t>塞杜杜岛案</w:t>
      </w:r>
      <w:r w:rsidRPr="009D48A5">
        <w:rPr>
          <w:rFonts w:hint="eastAsia"/>
        </w:rPr>
        <w:t>(</w:t>
      </w:r>
      <w:r w:rsidRPr="009D48A5">
        <w:rPr>
          <w:rFonts w:hint="eastAsia"/>
        </w:rPr>
        <w:t>见</w:t>
      </w:r>
      <w:r>
        <w:rPr>
          <w:rFonts w:hint="eastAsia"/>
        </w:rPr>
        <w:t>上文脚注</w:t>
      </w:r>
      <w:r>
        <w:rPr>
          <w:lang w:val="zh-CN"/>
        </w:rPr>
        <w:fldChar w:fldCharType="begin"/>
      </w:r>
      <w:r>
        <w:rPr>
          <w:lang w:val="zh-CN"/>
        </w:rPr>
        <w:instrText xml:space="preserve"> NOTEREF _Ref461971066 \h </w:instrText>
      </w:r>
      <w:r>
        <w:rPr>
          <w:lang w:val="zh-CN"/>
        </w:rPr>
      </w:r>
      <w:r>
        <w:rPr>
          <w:lang w:val="zh-CN"/>
        </w:rPr>
        <w:fldChar w:fldCharType="separate"/>
      </w:r>
      <w:r w:rsidR="00A73EB9">
        <w:rPr>
          <w:lang w:val="zh-CN"/>
        </w:rPr>
        <w:t>395</w:t>
      </w:r>
      <w:r>
        <w:rPr>
          <w:lang w:val="zh-CN"/>
        </w:rPr>
        <w:fldChar w:fldCharType="end"/>
      </w:r>
      <w:r>
        <w:rPr>
          <w:rFonts w:hint="eastAsia"/>
        </w:rPr>
        <w:t>)</w:t>
      </w:r>
      <w:r w:rsidRPr="009D48A5">
        <w:t>，</w:t>
      </w:r>
      <w:r w:rsidRPr="009D48A5">
        <w:rPr>
          <w:rFonts w:hint="eastAsia"/>
        </w:rPr>
        <w:t>见</w:t>
      </w:r>
      <w:r w:rsidRPr="009D48A5">
        <w:t>第</w:t>
      </w:r>
      <w:r w:rsidRPr="009D48A5">
        <w:t>109</w:t>
      </w:r>
      <w:r w:rsidRPr="009D48A5">
        <w:rPr>
          <w:rFonts w:hint="eastAsia"/>
        </w:rPr>
        <w:t>4</w:t>
      </w:r>
      <w:r w:rsidRPr="009D48A5">
        <w:t>页，第</w:t>
      </w:r>
      <w:r w:rsidRPr="009D48A5">
        <w:t>74</w:t>
      </w:r>
      <w:r w:rsidRPr="009D48A5">
        <w:t>段。</w:t>
      </w:r>
    </w:p>
  </w:footnote>
  <w:footnote w:id="530">
    <w:p w:rsidR="00AB00DE" w:rsidRPr="009D48A5" w:rsidRDefault="00AB00DE" w:rsidP="00B44972">
      <w:pPr>
        <w:pStyle w:val="a4"/>
        <w:spacing w:after="80"/>
      </w:pPr>
      <w:r w:rsidRPr="009D48A5">
        <w:rPr>
          <w:rFonts w:hint="eastAsia"/>
        </w:rPr>
        <w:tab/>
      </w:r>
      <w:r w:rsidRPr="00DF5565">
        <w:rPr>
          <w:rStyle w:val="a5"/>
          <w:szCs w:val="22"/>
        </w:rPr>
        <w:footnoteRef/>
      </w:r>
      <w:r w:rsidRPr="009D48A5">
        <w:rPr>
          <w:rFonts w:hint="eastAsia"/>
        </w:rPr>
        <w:tab/>
      </w:r>
      <w:r w:rsidRPr="009D48A5">
        <w:t>34 Stat. 2905 (1902-1907)</w:t>
      </w:r>
      <w:r w:rsidRPr="009D48A5">
        <w:rPr>
          <w:rFonts w:hint="eastAsia"/>
        </w:rPr>
        <w:t>。</w:t>
      </w:r>
    </w:p>
  </w:footnote>
  <w:footnote w:id="531">
    <w:p w:rsidR="00AB00DE" w:rsidRPr="009D48A5" w:rsidRDefault="00AB00DE" w:rsidP="00B44972">
      <w:pPr>
        <w:pStyle w:val="a4"/>
        <w:spacing w:after="80"/>
      </w:pPr>
      <w:r w:rsidRPr="009D48A5">
        <w:rPr>
          <w:rFonts w:hAnsi="宋体" w:hint="eastAsia"/>
        </w:rPr>
        <w:tab/>
      </w:r>
      <w:r w:rsidRPr="00DF5565">
        <w:rPr>
          <w:rStyle w:val="a5"/>
          <w:szCs w:val="22"/>
        </w:rPr>
        <w:footnoteRef/>
      </w:r>
      <w:r w:rsidRPr="009D48A5">
        <w:rPr>
          <w:rFonts w:hAnsi="宋体" w:hint="eastAsia"/>
        </w:rPr>
        <w:tab/>
      </w:r>
      <w:r w:rsidRPr="009D48A5">
        <w:rPr>
          <w:rFonts w:ascii="Time New Roman" w:eastAsia="楷体" w:hAnsi="Time New Roman" w:hint="eastAsia"/>
        </w:rPr>
        <w:t>摩洛哥境内美利坚合众国国民权利案，</w:t>
      </w:r>
      <w:r w:rsidRPr="009D48A5">
        <w:rPr>
          <w:rFonts w:ascii="Time New Roman" w:eastAsia="楷体" w:hAnsi="Time New Roman" w:hint="eastAsia"/>
        </w:rPr>
        <w:t>1952</w:t>
      </w:r>
      <w:r w:rsidRPr="009D48A5">
        <w:rPr>
          <w:rFonts w:ascii="Time New Roman" w:eastAsia="楷体" w:hAnsi="Time New Roman" w:hint="eastAsia"/>
        </w:rPr>
        <w:t>年</w:t>
      </w:r>
      <w:r w:rsidRPr="009D48A5">
        <w:rPr>
          <w:rFonts w:ascii="Time New Roman" w:eastAsia="楷体" w:hAnsi="Time New Roman" w:hint="eastAsia"/>
        </w:rPr>
        <w:t>8</w:t>
      </w:r>
      <w:r w:rsidRPr="009D48A5">
        <w:rPr>
          <w:rFonts w:ascii="Time New Roman" w:eastAsia="楷体" w:hAnsi="Time New Roman" w:hint="eastAsia"/>
        </w:rPr>
        <w:t>月</w:t>
      </w:r>
      <w:r w:rsidRPr="009D48A5">
        <w:rPr>
          <w:rFonts w:ascii="Time New Roman" w:eastAsia="楷体" w:hAnsi="Time New Roman" w:hint="eastAsia"/>
        </w:rPr>
        <w:t>27</w:t>
      </w:r>
      <w:r w:rsidRPr="009D48A5">
        <w:rPr>
          <w:rFonts w:ascii="Time New Roman" w:eastAsia="楷体" w:hAnsi="Time New Roman" w:hint="eastAsia"/>
        </w:rPr>
        <w:t>日的判决</w:t>
      </w:r>
      <w:r w:rsidRPr="009D48A5">
        <w:rPr>
          <w:rFonts w:hAnsi="宋体" w:hint="eastAsia"/>
        </w:rPr>
        <w:t>，《</w:t>
      </w:r>
      <w:r w:rsidRPr="009D48A5">
        <w:rPr>
          <w:rFonts w:hAnsi="宋体"/>
        </w:rPr>
        <w:t>1952</w:t>
      </w:r>
      <w:r w:rsidRPr="009D48A5">
        <w:rPr>
          <w:rFonts w:hAnsi="宋体" w:hint="eastAsia"/>
        </w:rPr>
        <w:t>年国际法院案例汇编》，第</w:t>
      </w:r>
      <w:r w:rsidRPr="009D48A5">
        <w:rPr>
          <w:rFonts w:hAnsi="宋体" w:hint="eastAsia"/>
        </w:rPr>
        <w:t>176</w:t>
      </w:r>
      <w:r w:rsidRPr="009D48A5">
        <w:rPr>
          <w:rFonts w:hAnsi="宋体" w:hint="eastAsia"/>
        </w:rPr>
        <w:t>页起，见第</w:t>
      </w:r>
      <w:r w:rsidRPr="009D48A5">
        <w:rPr>
          <w:rFonts w:hAnsi="宋体" w:hint="eastAsia"/>
        </w:rPr>
        <w:t>211</w:t>
      </w:r>
      <w:r w:rsidRPr="009D48A5">
        <w:rPr>
          <w:rFonts w:hAnsi="宋体" w:hint="eastAsia"/>
        </w:rPr>
        <w:t>页。</w:t>
      </w:r>
    </w:p>
  </w:footnote>
  <w:footnote w:id="532">
    <w:p w:rsidR="00AB00DE" w:rsidRPr="009D48A5" w:rsidRDefault="00AB00DE" w:rsidP="00B44972">
      <w:pPr>
        <w:pStyle w:val="a4"/>
        <w:spacing w:after="80"/>
      </w:pPr>
      <w:r w:rsidRPr="009D48A5">
        <w:rPr>
          <w:rFonts w:hint="eastAsia"/>
        </w:rPr>
        <w:tab/>
      </w:r>
      <w:r w:rsidRPr="00DF5565">
        <w:rPr>
          <w:rStyle w:val="a5"/>
          <w:szCs w:val="22"/>
        </w:rPr>
        <w:footnoteRef/>
      </w:r>
      <w:r w:rsidRPr="009D48A5">
        <w:rPr>
          <w:rFonts w:hint="eastAsia"/>
        </w:rPr>
        <w:tab/>
      </w:r>
      <w:r w:rsidRPr="009D48A5">
        <w:rPr>
          <w:rFonts w:ascii="Time New Roman" w:eastAsia="楷体" w:hAnsi="Time New Roman" w:hint="eastAsia"/>
        </w:rPr>
        <w:t>关于</w:t>
      </w:r>
      <w:r w:rsidRPr="009D48A5">
        <w:rPr>
          <w:rFonts w:ascii="Time New Roman" w:eastAsia="楷体" w:hAnsi="Time New Roman" w:hint="eastAsia"/>
        </w:rPr>
        <w:t>1961</w:t>
      </w:r>
      <w:r w:rsidRPr="009D48A5">
        <w:rPr>
          <w:rFonts w:ascii="Time New Roman" w:eastAsia="楷体" w:hAnsi="Time New Roman" w:hint="eastAsia"/>
        </w:rPr>
        <w:t>年和</w:t>
      </w:r>
      <w:r w:rsidRPr="009D48A5">
        <w:rPr>
          <w:rFonts w:ascii="Time New Roman" w:eastAsia="楷体" w:hAnsi="Time New Roman" w:hint="eastAsia"/>
        </w:rPr>
        <w:t>1969</w:t>
      </w:r>
      <w:r w:rsidRPr="009D48A5">
        <w:rPr>
          <w:rFonts w:ascii="Time New Roman" w:eastAsia="楷体" w:hAnsi="Time New Roman" w:hint="eastAsia"/>
        </w:rPr>
        <w:t>年德国马克升值是否构成适用</w:t>
      </w:r>
      <w:r w:rsidRPr="009D48A5">
        <w:rPr>
          <w:rFonts w:ascii="Time New Roman" w:eastAsia="楷体" w:hAnsi="Time New Roman" w:hint="eastAsia"/>
        </w:rPr>
        <w:t>1953</w:t>
      </w:r>
      <w:r w:rsidRPr="009D48A5">
        <w:rPr>
          <w:rFonts w:ascii="Time New Roman" w:eastAsia="楷体" w:hAnsi="Time New Roman" w:hint="eastAsia"/>
        </w:rPr>
        <w:t>年比利时、法国、瑞士、大不列颠和北爱尔兰联合王国和美利坚合众国与德意志联邦共和国关于德国外债的协定附件一</w:t>
      </w:r>
      <w:r w:rsidRPr="009D48A5">
        <w:rPr>
          <w:rFonts w:ascii="Time New Roman" w:eastAsia="楷体" w:hAnsi="Time New Roman" w:hint="eastAsia"/>
        </w:rPr>
        <w:t>A</w:t>
      </w:r>
      <w:r w:rsidRPr="009D48A5">
        <w:rPr>
          <w:rFonts w:ascii="Time New Roman" w:eastAsia="楷体" w:hAnsi="Time New Roman" w:hint="eastAsia"/>
        </w:rPr>
        <w:t>第</w:t>
      </w:r>
      <w:r w:rsidRPr="009D48A5">
        <w:rPr>
          <w:rFonts w:ascii="Time New Roman" w:eastAsia="楷体" w:hAnsi="Time New Roman" w:hint="eastAsia"/>
        </w:rPr>
        <w:t>2</w:t>
      </w:r>
      <w:r w:rsidRPr="009D48A5">
        <w:rPr>
          <w:rFonts w:ascii="Time New Roman" w:eastAsia="楷体" w:hAnsi="Time New Roman" w:hint="eastAsia"/>
        </w:rPr>
        <w:t>条</w:t>
      </w:r>
      <w:r w:rsidRPr="009D48A5">
        <w:rPr>
          <w:rFonts w:ascii="Time New Roman" w:eastAsia="楷体" w:hAnsi="Time New Roman" w:hint="eastAsia"/>
        </w:rPr>
        <w:t>(e)</w:t>
      </w:r>
      <w:r w:rsidRPr="009D48A5">
        <w:rPr>
          <w:rFonts w:ascii="Time New Roman" w:eastAsia="楷体" w:hAnsi="Time New Roman" w:hint="eastAsia"/>
        </w:rPr>
        <w:t>项条款的情况问题</w:t>
      </w:r>
      <w:r w:rsidRPr="009D48A5">
        <w:rPr>
          <w:rFonts w:hint="eastAsia"/>
        </w:rPr>
        <w:t>，</w:t>
      </w:r>
      <w:r w:rsidRPr="009D48A5">
        <w:rPr>
          <w:rFonts w:hint="eastAsia"/>
        </w:rPr>
        <w:t>1980</w:t>
      </w:r>
      <w:r w:rsidRPr="009D48A5">
        <w:rPr>
          <w:rFonts w:hint="eastAsia"/>
        </w:rPr>
        <w:t>年</w:t>
      </w:r>
      <w:r w:rsidRPr="009D48A5">
        <w:rPr>
          <w:rFonts w:hint="eastAsia"/>
        </w:rPr>
        <w:t>5</w:t>
      </w:r>
      <w:r w:rsidRPr="009D48A5">
        <w:rPr>
          <w:rFonts w:hint="eastAsia"/>
        </w:rPr>
        <w:t>月</w:t>
      </w:r>
      <w:r w:rsidRPr="009D48A5">
        <w:rPr>
          <w:rFonts w:hint="eastAsia"/>
        </w:rPr>
        <w:t>16</w:t>
      </w:r>
      <w:r w:rsidRPr="009D48A5">
        <w:rPr>
          <w:rFonts w:hint="eastAsia"/>
        </w:rPr>
        <w:t>日的决定，</w:t>
      </w:r>
      <w:r w:rsidRPr="009D48A5">
        <w:rPr>
          <w:rFonts w:ascii="宋体" w:hAnsi="宋体" w:cs="宋体" w:hint="eastAsia"/>
        </w:rPr>
        <w:t>《国际仲裁裁决汇编》</w:t>
      </w:r>
      <w:r w:rsidRPr="009D48A5">
        <w:rPr>
          <w:rFonts w:ascii="S" w:hAnsi="S" w:hint="eastAsia"/>
        </w:rPr>
        <w:t>，第十九卷</w:t>
      </w:r>
      <w:r w:rsidRPr="009D48A5">
        <w:rPr>
          <w:rFonts w:ascii="S" w:hAnsi="S" w:hint="eastAsia"/>
        </w:rPr>
        <w:t>(</w:t>
      </w:r>
      <w:r w:rsidRPr="009D48A5">
        <w:rPr>
          <w:rFonts w:ascii="S" w:hAnsi="S" w:hint="eastAsia"/>
        </w:rPr>
        <w:t>出售品编号</w:t>
      </w:r>
      <w:r w:rsidRPr="009D48A5">
        <w:rPr>
          <w:rFonts w:ascii="S" w:hAnsi="S"/>
        </w:rPr>
        <w:t>E/F.90.V.7</w:t>
      </w:r>
      <w:r w:rsidRPr="009D48A5">
        <w:rPr>
          <w:rFonts w:ascii="S" w:hAnsi="S" w:hint="eastAsia"/>
        </w:rPr>
        <w:t>)</w:t>
      </w:r>
      <w:r w:rsidRPr="009D48A5">
        <w:rPr>
          <w:rFonts w:ascii="S" w:hAnsi="S" w:hint="eastAsia"/>
        </w:rPr>
        <w:t>，第</w:t>
      </w:r>
      <w:r w:rsidRPr="009D48A5">
        <w:rPr>
          <w:rFonts w:ascii="S" w:hAnsi="S" w:hint="eastAsia"/>
        </w:rPr>
        <w:t>67-145</w:t>
      </w:r>
      <w:r w:rsidRPr="009D48A5">
        <w:rPr>
          <w:rFonts w:ascii="S" w:hAnsi="S" w:hint="eastAsia"/>
        </w:rPr>
        <w:t>页，见第</w:t>
      </w:r>
      <w:r w:rsidRPr="009D48A5">
        <w:rPr>
          <w:rFonts w:ascii="S" w:hAnsi="S" w:hint="eastAsia"/>
        </w:rPr>
        <w:t>103-104</w:t>
      </w:r>
      <w:r w:rsidRPr="009D48A5">
        <w:rPr>
          <w:rFonts w:ascii="S" w:hAnsi="S" w:hint="eastAsia"/>
        </w:rPr>
        <w:t>页，第</w:t>
      </w:r>
      <w:r w:rsidRPr="009D48A5">
        <w:rPr>
          <w:rFonts w:ascii="S" w:hAnsi="S" w:hint="eastAsia"/>
        </w:rPr>
        <w:t>31</w:t>
      </w:r>
      <w:r w:rsidRPr="009D48A5">
        <w:rPr>
          <w:rFonts w:ascii="S" w:hAnsi="S" w:hint="eastAsia"/>
        </w:rPr>
        <w:t>段。</w:t>
      </w:r>
    </w:p>
  </w:footnote>
  <w:footnote w:id="533">
    <w:p w:rsidR="00AB00DE" w:rsidRPr="009D48A5" w:rsidRDefault="00AB00DE" w:rsidP="00B44972">
      <w:pPr>
        <w:pStyle w:val="a4"/>
        <w:spacing w:after="80"/>
      </w:pPr>
      <w:r w:rsidRPr="009D48A5">
        <w:rPr>
          <w:rFonts w:hint="eastAsia"/>
        </w:rPr>
        <w:tab/>
      </w:r>
      <w:r w:rsidRPr="00DF5565">
        <w:rPr>
          <w:rStyle w:val="a5"/>
          <w:szCs w:val="22"/>
        </w:rPr>
        <w:footnoteRef/>
      </w:r>
      <w:r w:rsidRPr="009D48A5">
        <w:rPr>
          <w:rFonts w:hint="eastAsia"/>
        </w:rPr>
        <w:tab/>
      </w:r>
      <w:r w:rsidRPr="009D48A5">
        <w:rPr>
          <w:rFonts w:hint="eastAsia"/>
        </w:rPr>
        <w:t>“</w:t>
      </w:r>
      <w:r w:rsidRPr="009D48A5">
        <w:rPr>
          <w:rFonts w:ascii="Time New Roman" w:eastAsia="楷体" w:hAnsi="Time New Roman" w:hint="eastAsia"/>
        </w:rPr>
        <w:t>关于居住在法国的教科文组织退休官员所领退休金的征税制度问题</w:t>
      </w:r>
      <w:r w:rsidRPr="009D48A5">
        <w:rPr>
          <w:rFonts w:hint="eastAsia"/>
        </w:rPr>
        <w:t>”，</w:t>
      </w:r>
      <w:r w:rsidRPr="009D48A5">
        <w:rPr>
          <w:rFonts w:hint="eastAsia"/>
        </w:rPr>
        <w:t>2003</w:t>
      </w:r>
      <w:r w:rsidRPr="009D48A5">
        <w:rPr>
          <w:rFonts w:hint="eastAsia"/>
        </w:rPr>
        <w:t>年</w:t>
      </w:r>
      <w:r w:rsidRPr="009D48A5">
        <w:rPr>
          <w:rFonts w:hint="eastAsia"/>
        </w:rPr>
        <w:t>1</w:t>
      </w:r>
      <w:r w:rsidRPr="009D48A5">
        <w:rPr>
          <w:rFonts w:hint="eastAsia"/>
        </w:rPr>
        <w:t>月</w:t>
      </w:r>
      <w:r w:rsidRPr="009D48A5">
        <w:rPr>
          <w:rFonts w:hint="eastAsia"/>
        </w:rPr>
        <w:t>14</w:t>
      </w:r>
      <w:r w:rsidRPr="009D48A5">
        <w:rPr>
          <w:rFonts w:hint="eastAsia"/>
        </w:rPr>
        <w:t>日的决定，</w:t>
      </w:r>
      <w:r w:rsidRPr="009D48A5">
        <w:rPr>
          <w:rFonts w:ascii="宋体" w:hAnsi="宋体" w:cs="宋体" w:hint="eastAsia"/>
        </w:rPr>
        <w:t>《国际仲裁裁决汇编》</w:t>
      </w:r>
      <w:r w:rsidRPr="009D48A5">
        <w:rPr>
          <w:rFonts w:ascii="S" w:hAnsi="S" w:hint="eastAsia"/>
        </w:rPr>
        <w:t>，第二十五卷</w:t>
      </w:r>
      <w:r w:rsidRPr="009D48A5">
        <w:rPr>
          <w:rFonts w:ascii="S" w:hAnsi="S" w:hint="eastAsia"/>
        </w:rPr>
        <w:t>(</w:t>
      </w:r>
      <w:r w:rsidRPr="009D48A5">
        <w:rPr>
          <w:rFonts w:ascii="S" w:hAnsi="S" w:hint="eastAsia"/>
        </w:rPr>
        <w:t>出售品编号</w:t>
      </w:r>
      <w:r w:rsidRPr="009D48A5">
        <w:rPr>
          <w:rFonts w:ascii="S" w:hAnsi="S"/>
        </w:rPr>
        <w:t>E/F.05.V.5</w:t>
      </w:r>
      <w:r w:rsidRPr="009D48A5">
        <w:rPr>
          <w:rFonts w:ascii="S" w:hAnsi="S" w:hint="eastAsia"/>
        </w:rPr>
        <w:t>)</w:t>
      </w:r>
      <w:r w:rsidRPr="009D48A5">
        <w:rPr>
          <w:rFonts w:ascii="S" w:hAnsi="S" w:hint="eastAsia"/>
        </w:rPr>
        <w:t>，第</w:t>
      </w:r>
      <w:r w:rsidRPr="009D48A5">
        <w:rPr>
          <w:rFonts w:ascii="S" w:hAnsi="S" w:hint="eastAsia"/>
        </w:rPr>
        <w:t>231</w:t>
      </w:r>
      <w:r w:rsidRPr="009D48A5">
        <w:rPr>
          <w:rFonts w:ascii="S" w:hAnsi="S"/>
        </w:rPr>
        <w:t>-266</w:t>
      </w:r>
      <w:r w:rsidRPr="009D48A5">
        <w:rPr>
          <w:rFonts w:ascii="S" w:hAnsi="S" w:hint="eastAsia"/>
        </w:rPr>
        <w:t>页，见第</w:t>
      </w:r>
      <w:r w:rsidRPr="009D48A5">
        <w:rPr>
          <w:rFonts w:ascii="S" w:hAnsi="S" w:hint="eastAsia"/>
        </w:rPr>
        <w:t>257</w:t>
      </w:r>
      <w:r w:rsidRPr="009D48A5">
        <w:rPr>
          <w:rFonts w:ascii="S" w:hAnsi="S" w:hint="eastAsia"/>
        </w:rPr>
        <w:t>页第</w:t>
      </w:r>
      <w:r w:rsidRPr="009D48A5">
        <w:rPr>
          <w:rFonts w:ascii="S" w:hAnsi="S" w:hint="eastAsia"/>
        </w:rPr>
        <w:t>66</w:t>
      </w:r>
      <w:r w:rsidRPr="009D48A5">
        <w:rPr>
          <w:rFonts w:ascii="S" w:hAnsi="S" w:hint="eastAsia"/>
        </w:rPr>
        <w:t>段和第</w:t>
      </w:r>
      <w:r w:rsidRPr="009D48A5">
        <w:rPr>
          <w:rFonts w:ascii="S" w:hAnsi="S" w:hint="eastAsia"/>
        </w:rPr>
        <w:t>259</w:t>
      </w:r>
      <w:r w:rsidRPr="009D48A5">
        <w:rPr>
          <w:rFonts w:ascii="S" w:hAnsi="S" w:hint="eastAsia"/>
        </w:rPr>
        <w:t>页第</w:t>
      </w:r>
      <w:r w:rsidRPr="009D48A5">
        <w:rPr>
          <w:rFonts w:ascii="S" w:hAnsi="S" w:hint="eastAsia"/>
        </w:rPr>
        <w:t>74</w:t>
      </w:r>
      <w:r w:rsidRPr="009D48A5">
        <w:rPr>
          <w:rFonts w:ascii="S" w:hAnsi="S" w:hint="eastAsia"/>
        </w:rPr>
        <w:t>段。</w:t>
      </w:r>
    </w:p>
  </w:footnote>
  <w:footnote w:id="534">
    <w:p w:rsidR="00AB00DE" w:rsidRPr="009D48A5" w:rsidRDefault="00AB00DE" w:rsidP="00267AB1">
      <w:pPr>
        <w:pStyle w:val="a4"/>
        <w:spacing w:after="80"/>
      </w:pPr>
      <w:r w:rsidRPr="009D48A5">
        <w:rPr>
          <w:rFonts w:hint="eastAsia"/>
        </w:rPr>
        <w:tab/>
      </w:r>
      <w:r w:rsidRPr="00DF5565">
        <w:rPr>
          <w:rStyle w:val="a5"/>
          <w:szCs w:val="22"/>
        </w:rPr>
        <w:footnoteRef/>
      </w:r>
      <w:r w:rsidRPr="00DF5565">
        <w:rPr>
          <w:rStyle w:val="a5"/>
          <w:rFonts w:hint="eastAsia"/>
          <w:szCs w:val="22"/>
        </w:rPr>
        <w:tab/>
      </w:r>
      <w:r w:rsidRPr="009D48A5">
        <w:rPr>
          <w:rFonts w:hint="eastAsia"/>
        </w:rPr>
        <w:t>见</w:t>
      </w:r>
      <w:r w:rsidRPr="009D48A5">
        <w:t xml:space="preserve">Chanaki, </w:t>
      </w:r>
      <w:r w:rsidRPr="009D48A5">
        <w:rPr>
          <w:i/>
          <w:iCs/>
        </w:rPr>
        <w:t>L’adaptation des traités …</w:t>
      </w:r>
      <w:r w:rsidRPr="009D48A5">
        <w:rPr>
          <w:rFonts w:hint="eastAsia"/>
        </w:rPr>
        <w:t>(</w:t>
      </w:r>
      <w:r w:rsidRPr="009D48A5">
        <w:rPr>
          <w:rFonts w:hint="eastAsia"/>
        </w:rPr>
        <w:t>见</w:t>
      </w:r>
      <w:r>
        <w:rPr>
          <w:rFonts w:hint="eastAsia"/>
        </w:rPr>
        <w:t>上文脚注</w:t>
      </w:r>
      <w:r>
        <w:rPr>
          <w:lang w:val="fr-FR"/>
        </w:rPr>
        <w:fldChar w:fldCharType="begin"/>
      </w:r>
      <w:r w:rsidRPr="00267AB1">
        <w:instrText xml:space="preserve"> NOTEREF _Ref461973900 \h </w:instrText>
      </w:r>
      <w:r>
        <w:rPr>
          <w:lang w:val="fr-FR"/>
        </w:rPr>
      </w:r>
      <w:r>
        <w:rPr>
          <w:lang w:val="fr-FR"/>
        </w:rPr>
        <w:fldChar w:fldCharType="separate"/>
      </w:r>
      <w:r w:rsidR="00A73EB9">
        <w:t>440</w:t>
      </w:r>
      <w:r>
        <w:rPr>
          <w:lang w:val="fr-FR"/>
        </w:rPr>
        <w:fldChar w:fldCharType="end"/>
      </w:r>
      <w:r w:rsidRPr="009D48A5">
        <w:rPr>
          <w:rFonts w:hint="eastAsia"/>
        </w:rPr>
        <w:t>)</w:t>
      </w:r>
      <w:r w:rsidRPr="009D48A5">
        <w:rPr>
          <w:rFonts w:hint="eastAsia"/>
        </w:rPr>
        <w:t>，第</w:t>
      </w:r>
      <w:r w:rsidRPr="009D48A5">
        <w:rPr>
          <w:rFonts w:hint="eastAsia"/>
        </w:rPr>
        <w:t>323-328</w:t>
      </w:r>
      <w:r w:rsidRPr="009D48A5">
        <w:rPr>
          <w:rFonts w:hint="eastAsia"/>
        </w:rPr>
        <w:t>页；</w:t>
      </w:r>
      <w:r w:rsidRPr="009D48A5">
        <w:t xml:space="preserve">Gardiner, </w:t>
      </w:r>
      <w:r w:rsidRPr="009D48A5">
        <w:rPr>
          <w:i/>
          <w:iCs/>
        </w:rPr>
        <w:t>Treaty Interpretation</w:t>
      </w:r>
      <w:r w:rsidRPr="009D48A5">
        <w:rPr>
          <w:rFonts w:hint="eastAsia"/>
        </w:rPr>
        <w:t>(</w:t>
      </w:r>
      <w:r w:rsidRPr="009D48A5">
        <w:rPr>
          <w:rFonts w:hint="eastAsia"/>
        </w:rPr>
        <w:t>见上文脚注</w:t>
      </w:r>
      <w:r w:rsidRPr="00D90936">
        <w:rPr>
          <w:rFonts w:asciiTheme="majorBidi" w:hAnsiTheme="majorBidi" w:cstheme="majorBidi"/>
        </w:rPr>
        <w:fldChar w:fldCharType="begin"/>
      </w:r>
      <w:r w:rsidRPr="00D90936">
        <w:rPr>
          <w:rFonts w:asciiTheme="majorBidi" w:hAnsiTheme="majorBidi" w:cstheme="majorBidi"/>
        </w:rPr>
        <w:instrText xml:space="preserve"> NOTEREF _Ref461971974 \h </w:instrText>
      </w:r>
      <w:r>
        <w:rPr>
          <w:rFonts w:asciiTheme="majorBidi" w:hAnsiTheme="majorBidi" w:cstheme="majorBidi"/>
        </w:rPr>
        <w:instrText xml:space="preserve"> \* MERGEFORMAT </w:instrText>
      </w:r>
      <w:r w:rsidRPr="00D90936">
        <w:rPr>
          <w:rFonts w:asciiTheme="majorBidi" w:hAnsiTheme="majorBidi" w:cstheme="majorBidi"/>
        </w:rPr>
      </w:r>
      <w:r w:rsidRPr="00D90936">
        <w:rPr>
          <w:rFonts w:asciiTheme="majorBidi" w:hAnsiTheme="majorBidi" w:cstheme="majorBidi"/>
        </w:rPr>
        <w:fldChar w:fldCharType="separate"/>
      </w:r>
      <w:r w:rsidR="00A73EB9">
        <w:rPr>
          <w:rFonts w:asciiTheme="majorBidi" w:hAnsiTheme="majorBidi" w:cstheme="majorBidi"/>
        </w:rPr>
        <w:t>392</w:t>
      </w:r>
      <w:r w:rsidRPr="00D90936">
        <w:rPr>
          <w:rFonts w:asciiTheme="majorBidi" w:hAnsiTheme="majorBidi" w:cstheme="majorBidi"/>
        </w:rPr>
        <w:fldChar w:fldCharType="end"/>
      </w:r>
      <w:r w:rsidRPr="009D48A5">
        <w:rPr>
          <w:rFonts w:hint="eastAsia"/>
        </w:rPr>
        <w:t>)</w:t>
      </w:r>
      <w:r w:rsidRPr="009D48A5">
        <w:rPr>
          <w:rFonts w:hint="eastAsia"/>
        </w:rPr>
        <w:t>，第</w:t>
      </w:r>
      <w:r w:rsidRPr="009D48A5">
        <w:rPr>
          <w:rFonts w:hint="eastAsia"/>
        </w:rPr>
        <w:t>269-270</w:t>
      </w:r>
      <w:r w:rsidRPr="009D48A5">
        <w:rPr>
          <w:rFonts w:hint="eastAsia"/>
        </w:rPr>
        <w:t>页；</w:t>
      </w:r>
      <w:r w:rsidRPr="009D48A5">
        <w:t xml:space="preserve">M. Kamto, </w:t>
      </w:r>
      <w:r w:rsidRPr="009D48A5">
        <w:rPr>
          <w:rFonts w:hint="eastAsia"/>
        </w:rPr>
        <w:t>《国际法中的国家意志》，《</w:t>
      </w:r>
      <w:r w:rsidRPr="009D48A5">
        <w:rPr>
          <w:rFonts w:hint="eastAsia"/>
        </w:rPr>
        <w:t>2004</w:t>
      </w:r>
      <w:r w:rsidRPr="009D48A5">
        <w:rPr>
          <w:rFonts w:hint="eastAsia"/>
        </w:rPr>
        <w:t>年海牙国际法学院讲义》，第</w:t>
      </w:r>
      <w:r w:rsidRPr="009D48A5">
        <w:rPr>
          <w:rFonts w:hint="eastAsia"/>
        </w:rPr>
        <w:t>310</w:t>
      </w:r>
      <w:r w:rsidRPr="009D48A5">
        <w:rPr>
          <w:rFonts w:hint="eastAsia"/>
        </w:rPr>
        <w:t>卷，第</w:t>
      </w:r>
      <w:r w:rsidRPr="009D48A5">
        <w:rPr>
          <w:rFonts w:hint="eastAsia"/>
        </w:rPr>
        <w:t>9-428</w:t>
      </w:r>
      <w:r w:rsidRPr="009D48A5">
        <w:rPr>
          <w:rFonts w:hint="eastAsia"/>
        </w:rPr>
        <w:t>页，见第</w:t>
      </w:r>
      <w:r w:rsidRPr="009D48A5">
        <w:rPr>
          <w:rFonts w:hint="eastAsia"/>
        </w:rPr>
        <w:t>142-144</w:t>
      </w:r>
      <w:r w:rsidRPr="009D48A5">
        <w:rPr>
          <w:rFonts w:hint="eastAsia"/>
        </w:rPr>
        <w:t>页；</w:t>
      </w:r>
      <w:r w:rsidRPr="009D48A5">
        <w:t>Dörr,</w:t>
      </w:r>
      <w:r w:rsidRPr="009D48A5">
        <w:rPr>
          <w:rFonts w:hint="eastAsia"/>
        </w:rPr>
        <w:t>“</w:t>
      </w:r>
      <w:r w:rsidRPr="009D48A5">
        <w:t>Article 31…</w:t>
      </w:r>
      <w:r w:rsidRPr="009D48A5">
        <w:rPr>
          <w:rFonts w:hint="eastAsia"/>
        </w:rPr>
        <w:t>”</w:t>
      </w:r>
      <w:r w:rsidRPr="009D48A5">
        <w:rPr>
          <w:rFonts w:hint="eastAsia"/>
        </w:rPr>
        <w:t>(</w:t>
      </w:r>
      <w:r w:rsidRPr="009D48A5">
        <w:rPr>
          <w:rFonts w:hint="eastAsia"/>
        </w:rPr>
        <w:t>见</w:t>
      </w:r>
      <w:r>
        <w:rPr>
          <w:rFonts w:hint="eastAsia"/>
        </w:rPr>
        <w:t>上文脚注</w:t>
      </w:r>
      <w:r>
        <w:fldChar w:fldCharType="begin"/>
      </w:r>
      <w:r>
        <w:instrText xml:space="preserve"> </w:instrText>
      </w:r>
      <w:r>
        <w:rPr>
          <w:rFonts w:hint="eastAsia"/>
        </w:rPr>
        <w:instrText>NOTEREF _Ref461972537 \h</w:instrText>
      </w:r>
      <w:r>
        <w:instrText xml:space="preserve"> </w:instrText>
      </w:r>
      <w:r>
        <w:fldChar w:fldCharType="separate"/>
      </w:r>
      <w:r w:rsidR="00A73EB9">
        <w:t>439</w:t>
      </w:r>
      <w:r>
        <w:fldChar w:fldCharType="end"/>
      </w:r>
      <w:r>
        <w:rPr>
          <w:rFonts w:hint="eastAsia"/>
        </w:rPr>
        <w:t>)</w:t>
      </w:r>
      <w:r w:rsidRPr="009D48A5">
        <w:rPr>
          <w:rFonts w:hint="eastAsia"/>
        </w:rPr>
        <w:t>，第</w:t>
      </w:r>
      <w:r w:rsidRPr="009D48A5">
        <w:rPr>
          <w:rFonts w:hint="eastAsia"/>
        </w:rPr>
        <w:t>555-556</w:t>
      </w:r>
      <w:r w:rsidRPr="009D48A5">
        <w:rPr>
          <w:rFonts w:hint="eastAsia"/>
        </w:rPr>
        <w:t>页，第</w:t>
      </w:r>
      <w:r w:rsidRPr="009D48A5">
        <w:rPr>
          <w:rFonts w:hint="eastAsia"/>
        </w:rPr>
        <w:t>78</w:t>
      </w:r>
      <w:r w:rsidRPr="009D48A5">
        <w:rPr>
          <w:rFonts w:hint="eastAsia"/>
        </w:rPr>
        <w:t>段。</w:t>
      </w:r>
    </w:p>
  </w:footnote>
  <w:footnote w:id="535">
    <w:p w:rsidR="00AB00DE" w:rsidRPr="009D48A5" w:rsidRDefault="00AB00DE" w:rsidP="00B44972">
      <w:pPr>
        <w:pStyle w:val="a4"/>
        <w:spacing w:after="80"/>
      </w:pPr>
      <w:r w:rsidRPr="009D48A5">
        <w:rPr>
          <w:rFonts w:hint="eastAsia"/>
        </w:rPr>
        <w:tab/>
      </w:r>
      <w:r w:rsidRPr="00DF5565">
        <w:rPr>
          <w:rStyle w:val="a5"/>
          <w:szCs w:val="22"/>
        </w:rPr>
        <w:footnoteRef/>
      </w:r>
      <w:r w:rsidRPr="009D48A5">
        <w:rPr>
          <w:rFonts w:hint="eastAsia"/>
        </w:rPr>
        <w:tab/>
      </w:r>
      <w:r w:rsidRPr="009D48A5">
        <w:rPr>
          <w:rFonts w:hint="eastAsia"/>
        </w:rPr>
        <w:t>见</w:t>
      </w:r>
      <w:hyperlink r:id="rId61" w:history="1">
        <w:r w:rsidRPr="00A7696E">
          <w:rPr>
            <w:rStyle w:val="af"/>
            <w:lang w:val="zh-CN"/>
          </w:rPr>
          <w:t>A/CN.4/660</w:t>
        </w:r>
      </w:hyperlink>
      <w:r w:rsidRPr="009D48A5">
        <w:t xml:space="preserve">, </w:t>
      </w:r>
      <w:r w:rsidRPr="009D48A5">
        <w:rPr>
          <w:rFonts w:hint="eastAsia"/>
        </w:rPr>
        <w:t>第</w:t>
      </w:r>
      <w:r w:rsidRPr="009D48A5">
        <w:rPr>
          <w:rFonts w:hint="eastAsia"/>
        </w:rPr>
        <w:t>144</w:t>
      </w:r>
      <w:r w:rsidRPr="009D48A5">
        <w:rPr>
          <w:rFonts w:hint="eastAsia"/>
        </w:rPr>
        <w:t>段</w:t>
      </w:r>
      <w:r w:rsidRPr="009D48A5">
        <w:rPr>
          <w:rFonts w:hint="eastAsia"/>
        </w:rPr>
        <w:t>(</w:t>
      </w:r>
      <w:r w:rsidRPr="009D48A5">
        <w:rPr>
          <w:rFonts w:hint="eastAsia"/>
        </w:rPr>
        <w:t>结论草案</w:t>
      </w:r>
      <w:r w:rsidRPr="009D48A5">
        <w:rPr>
          <w:rFonts w:hint="eastAsia"/>
        </w:rPr>
        <w:t>4</w:t>
      </w:r>
      <w:r>
        <w:rPr>
          <w:rFonts w:hint="eastAsia"/>
        </w:rPr>
        <w:t>，</w:t>
      </w:r>
      <w:r w:rsidRPr="009D48A5">
        <w:rPr>
          <w:rFonts w:hint="eastAsia"/>
        </w:rPr>
        <w:t>第</w:t>
      </w:r>
      <w:r w:rsidRPr="009D48A5">
        <w:rPr>
          <w:rFonts w:hint="eastAsia"/>
        </w:rPr>
        <w:t>1</w:t>
      </w:r>
      <w:r w:rsidRPr="009D48A5">
        <w:rPr>
          <w:rFonts w:hint="eastAsia"/>
        </w:rPr>
        <w:t>段</w:t>
      </w:r>
      <w:r w:rsidRPr="009D48A5">
        <w:rPr>
          <w:rFonts w:hint="eastAsia"/>
        </w:rPr>
        <w:t>)</w:t>
      </w:r>
      <w:r w:rsidRPr="009D48A5">
        <w:rPr>
          <w:rFonts w:hint="eastAsia"/>
        </w:rPr>
        <w:t>。</w:t>
      </w:r>
    </w:p>
  </w:footnote>
  <w:footnote w:id="536">
    <w:p w:rsidR="00AB00DE" w:rsidRPr="009D48A5" w:rsidRDefault="00AB00DE" w:rsidP="00B44972">
      <w:pPr>
        <w:pStyle w:val="a4"/>
        <w:spacing w:after="80"/>
      </w:pPr>
      <w:r w:rsidRPr="009D48A5">
        <w:rPr>
          <w:rFonts w:hint="eastAsia"/>
        </w:rPr>
        <w:tab/>
      </w:r>
      <w:r w:rsidRPr="00DF5565">
        <w:rPr>
          <w:rStyle w:val="a5"/>
          <w:szCs w:val="22"/>
        </w:rPr>
        <w:footnoteRef/>
      </w:r>
      <w:r w:rsidRPr="009D48A5">
        <w:rPr>
          <w:rFonts w:hint="eastAsia"/>
        </w:rPr>
        <w:tab/>
      </w:r>
      <w:r w:rsidRPr="009D48A5">
        <w:rPr>
          <w:rFonts w:hint="eastAsia"/>
        </w:rPr>
        <w:t>同上，第</w:t>
      </w:r>
      <w:r w:rsidRPr="009D48A5">
        <w:rPr>
          <w:rFonts w:hint="eastAsia"/>
        </w:rPr>
        <w:t>46</w:t>
      </w:r>
      <w:r w:rsidRPr="009D48A5">
        <w:rPr>
          <w:rFonts w:hint="eastAsia"/>
        </w:rPr>
        <w:t>页，第</w:t>
      </w:r>
      <w:r w:rsidRPr="009D48A5">
        <w:rPr>
          <w:rFonts w:hint="eastAsia"/>
        </w:rPr>
        <w:t>120</w:t>
      </w:r>
      <w:r w:rsidRPr="009D48A5">
        <w:rPr>
          <w:rFonts w:hint="eastAsia"/>
        </w:rPr>
        <w:t>段。</w:t>
      </w:r>
    </w:p>
  </w:footnote>
  <w:footnote w:id="537">
    <w:p w:rsidR="00AB00DE" w:rsidRPr="009D48A5" w:rsidRDefault="00AB00DE" w:rsidP="00B44972">
      <w:pPr>
        <w:pStyle w:val="a4"/>
        <w:spacing w:after="80"/>
      </w:pPr>
      <w:r w:rsidRPr="009D48A5">
        <w:rPr>
          <w:rFonts w:hint="eastAsia"/>
        </w:rPr>
        <w:tab/>
      </w:r>
      <w:r w:rsidRPr="00DF5565">
        <w:rPr>
          <w:rStyle w:val="a5"/>
          <w:szCs w:val="22"/>
        </w:rPr>
        <w:footnoteRef/>
      </w:r>
      <w:r w:rsidRPr="009D48A5">
        <w:rPr>
          <w:rFonts w:hint="eastAsia"/>
        </w:rPr>
        <w:tab/>
      </w:r>
      <w:r w:rsidRPr="009D48A5">
        <w:rPr>
          <w:rFonts w:hint="eastAsia"/>
        </w:rPr>
        <w:t>见上文结论草案</w:t>
      </w:r>
      <w:r w:rsidRPr="009D48A5">
        <w:rPr>
          <w:rFonts w:hint="eastAsia"/>
        </w:rPr>
        <w:t>4</w:t>
      </w:r>
      <w:r w:rsidRPr="009D48A5">
        <w:rPr>
          <w:rFonts w:hint="eastAsia"/>
        </w:rPr>
        <w:t>的评注第</w:t>
      </w:r>
      <w:r w:rsidRPr="009D48A5">
        <w:rPr>
          <w:rFonts w:hint="eastAsia"/>
        </w:rPr>
        <w:t>(19)</w:t>
      </w:r>
      <w:r w:rsidRPr="009D48A5">
        <w:rPr>
          <w:rFonts w:hint="eastAsia"/>
        </w:rPr>
        <w:t>段。</w:t>
      </w:r>
    </w:p>
  </w:footnote>
  <w:footnote w:id="538">
    <w:p w:rsidR="00AB00DE" w:rsidRPr="009D48A5" w:rsidRDefault="00AB00DE" w:rsidP="00B44972">
      <w:pPr>
        <w:pStyle w:val="a4"/>
        <w:spacing w:after="80"/>
      </w:pPr>
      <w:r w:rsidRPr="009D48A5">
        <w:rPr>
          <w:rFonts w:hint="eastAsia"/>
        </w:rPr>
        <w:tab/>
      </w:r>
      <w:r w:rsidRPr="00DF5565">
        <w:rPr>
          <w:rStyle w:val="a5"/>
          <w:szCs w:val="22"/>
        </w:rPr>
        <w:footnoteRef/>
      </w:r>
      <w:r w:rsidRPr="009D48A5">
        <w:rPr>
          <w:rFonts w:hint="eastAsia"/>
        </w:rPr>
        <w:tab/>
      </w:r>
      <w:r w:rsidRPr="009D48A5">
        <w:rPr>
          <w:rFonts w:hint="eastAsia"/>
        </w:rPr>
        <w:t>见伊朗－美利坚合众国索赔法庭，</w:t>
      </w:r>
      <w:r w:rsidRPr="009D48A5">
        <w:rPr>
          <w:rFonts w:ascii="Time New Roman" w:eastAsia="楷体" w:hAnsi="Time New Roman" w:hint="eastAsia"/>
        </w:rPr>
        <w:t>美利坚合众国等诉伊朗伊斯兰共和国</w:t>
      </w:r>
      <w:r w:rsidRPr="009D48A5">
        <w:rPr>
          <w:rFonts w:hint="eastAsia"/>
        </w:rPr>
        <w:t>，第</w:t>
      </w:r>
      <w:r w:rsidRPr="009D48A5">
        <w:t>108-A-16/582/591 FT</w:t>
      </w:r>
      <w:r w:rsidRPr="009D48A5">
        <w:rPr>
          <w:rFonts w:hint="eastAsia"/>
        </w:rPr>
        <w:t>号裁决，《伊朗－美利坚合众国索赔法庭裁决汇编》</w:t>
      </w:r>
      <w:r w:rsidRPr="009D48A5">
        <w:t>，</w:t>
      </w:r>
      <w:r w:rsidRPr="009D48A5">
        <w:rPr>
          <w:rFonts w:hint="eastAsia"/>
        </w:rPr>
        <w:t>第</w:t>
      </w:r>
      <w:r w:rsidRPr="009D48A5">
        <w:rPr>
          <w:rFonts w:hint="eastAsia"/>
        </w:rPr>
        <w:t>5</w:t>
      </w:r>
      <w:r w:rsidRPr="009D48A5">
        <w:rPr>
          <w:rFonts w:hint="eastAsia"/>
        </w:rPr>
        <w:t>卷</w:t>
      </w:r>
      <w:r w:rsidRPr="009D48A5">
        <w:rPr>
          <w:rFonts w:hint="eastAsia"/>
        </w:rPr>
        <w:t>(1984</w:t>
      </w:r>
      <w:r w:rsidRPr="009D48A5">
        <w:rPr>
          <w:rFonts w:hint="eastAsia"/>
        </w:rPr>
        <w:t>年</w:t>
      </w:r>
      <w:r w:rsidRPr="009D48A5">
        <w:rPr>
          <w:rFonts w:hint="eastAsia"/>
        </w:rPr>
        <w:t>)</w:t>
      </w:r>
      <w:r w:rsidRPr="009D48A5">
        <w:rPr>
          <w:rFonts w:hint="eastAsia"/>
        </w:rPr>
        <w:t>，第</w:t>
      </w:r>
      <w:r w:rsidRPr="009D48A5">
        <w:rPr>
          <w:rFonts w:hint="eastAsia"/>
        </w:rPr>
        <w:t>57</w:t>
      </w:r>
      <w:r w:rsidRPr="009D48A5">
        <w:rPr>
          <w:rFonts w:hint="eastAsia"/>
        </w:rPr>
        <w:t>页起，见第</w:t>
      </w:r>
      <w:r w:rsidRPr="009D48A5">
        <w:rPr>
          <w:rFonts w:hint="eastAsia"/>
        </w:rPr>
        <w:t>71</w:t>
      </w:r>
      <w:r w:rsidRPr="009D48A5">
        <w:rPr>
          <w:rFonts w:hint="eastAsia"/>
        </w:rPr>
        <w:t>页；相似的还有</w:t>
      </w:r>
      <w:r w:rsidRPr="009D48A5">
        <w:rPr>
          <w:rFonts w:ascii="Time New Roman" w:eastAsia="楷体" w:hAnsi="Time New Roman" w:hint="eastAsia"/>
        </w:rPr>
        <w:t>伊朗－美利坚合众国索赔法庭</w:t>
      </w:r>
      <w:r w:rsidRPr="009D48A5">
        <w:rPr>
          <w:rFonts w:hint="eastAsia"/>
        </w:rPr>
        <w:t>，第</w:t>
      </w:r>
      <w:r w:rsidRPr="009D48A5">
        <w:t>ITL 83-B1-FT</w:t>
      </w:r>
      <w:r w:rsidRPr="009D48A5">
        <w:rPr>
          <w:rFonts w:hint="eastAsia"/>
        </w:rPr>
        <w:t>号中间裁决</w:t>
      </w:r>
      <w:r w:rsidRPr="009D48A5">
        <w:rPr>
          <w:rFonts w:hint="eastAsia"/>
        </w:rPr>
        <w:t>(</w:t>
      </w:r>
      <w:r w:rsidRPr="009D48A5">
        <w:rPr>
          <w:rFonts w:hint="eastAsia"/>
        </w:rPr>
        <w:t>反诉</w:t>
      </w:r>
      <w:r w:rsidRPr="009D48A5">
        <w:rPr>
          <w:rFonts w:hint="eastAsia"/>
        </w:rPr>
        <w:t>)</w:t>
      </w:r>
      <w:r w:rsidRPr="009D48A5">
        <w:rPr>
          <w:rFonts w:hint="eastAsia"/>
        </w:rPr>
        <w:t>，</w:t>
      </w:r>
      <w:r w:rsidRPr="009D48A5">
        <w:rPr>
          <w:rFonts w:ascii="Time New Roman" w:eastAsia="楷体" w:hAnsi="Time New Roman" w:hint="eastAsia"/>
        </w:rPr>
        <w:t>伊朗伊斯兰共和国诉美利坚合众国</w:t>
      </w:r>
      <w:r w:rsidRPr="009D48A5">
        <w:rPr>
          <w:rFonts w:hint="eastAsia"/>
        </w:rPr>
        <w:t>，同上，第</w:t>
      </w:r>
      <w:r w:rsidRPr="009D48A5">
        <w:rPr>
          <w:rFonts w:hint="eastAsia"/>
        </w:rPr>
        <w:t>38</w:t>
      </w:r>
      <w:r w:rsidRPr="009D48A5">
        <w:rPr>
          <w:rFonts w:hint="eastAsia"/>
        </w:rPr>
        <w:t>卷</w:t>
      </w:r>
      <w:r w:rsidRPr="009D48A5">
        <w:t>(2004</w:t>
      </w:r>
      <w:r w:rsidRPr="009D48A5">
        <w:rPr>
          <w:rFonts w:hint="eastAsia"/>
        </w:rPr>
        <w:t>-2009</w:t>
      </w:r>
      <w:r w:rsidRPr="009D48A5">
        <w:rPr>
          <w:rFonts w:hint="eastAsia"/>
        </w:rPr>
        <w:t>年</w:t>
      </w:r>
      <w:r w:rsidRPr="009D48A5">
        <w:rPr>
          <w:rFonts w:hint="eastAsia"/>
        </w:rPr>
        <w:t>)</w:t>
      </w:r>
      <w:r w:rsidRPr="009D48A5">
        <w:rPr>
          <w:rFonts w:hint="eastAsia"/>
        </w:rPr>
        <w:t>，第</w:t>
      </w:r>
      <w:r w:rsidRPr="009D48A5">
        <w:rPr>
          <w:rFonts w:hint="eastAsia"/>
        </w:rPr>
        <w:t>77</w:t>
      </w:r>
      <w:r w:rsidRPr="009D48A5">
        <w:rPr>
          <w:rFonts w:hint="eastAsia"/>
        </w:rPr>
        <w:t>页起，见第</w:t>
      </w:r>
      <w:r w:rsidRPr="009D48A5">
        <w:rPr>
          <w:rFonts w:hint="eastAsia"/>
        </w:rPr>
        <w:t>124-125</w:t>
      </w:r>
      <w:r w:rsidRPr="009D48A5">
        <w:rPr>
          <w:rFonts w:hint="eastAsia"/>
        </w:rPr>
        <w:t>页，第</w:t>
      </w:r>
      <w:r w:rsidRPr="009D48A5">
        <w:rPr>
          <w:rFonts w:hint="eastAsia"/>
        </w:rPr>
        <w:t>127-128</w:t>
      </w:r>
      <w:r w:rsidRPr="009D48A5">
        <w:rPr>
          <w:rFonts w:hint="eastAsia"/>
        </w:rPr>
        <w:t>段；另见伊朗－美利坚合众国索赔法庭，第</w:t>
      </w:r>
      <w:r w:rsidRPr="009D48A5">
        <w:t>ITL 37-111-FT</w:t>
      </w:r>
      <w:r w:rsidRPr="009D48A5">
        <w:rPr>
          <w:rFonts w:hint="eastAsia"/>
        </w:rPr>
        <w:t>号中间裁决，“国际学校服务公司诉伊朗国家铜业公司”，同上，第</w:t>
      </w:r>
      <w:r w:rsidRPr="009D48A5">
        <w:rPr>
          <w:rFonts w:hint="eastAsia"/>
        </w:rPr>
        <w:t>5</w:t>
      </w:r>
      <w:r w:rsidRPr="009D48A5">
        <w:rPr>
          <w:rFonts w:hint="eastAsia"/>
        </w:rPr>
        <w:t>卷</w:t>
      </w:r>
      <w:r w:rsidRPr="009D48A5">
        <w:t>(1984</w:t>
      </w:r>
      <w:r w:rsidRPr="009D48A5">
        <w:rPr>
          <w:rFonts w:hint="eastAsia"/>
        </w:rPr>
        <w:t>年</w:t>
      </w:r>
      <w:r w:rsidRPr="009D48A5">
        <w:t>)</w:t>
      </w:r>
      <w:r w:rsidRPr="009D48A5">
        <w:t>，</w:t>
      </w:r>
      <w:r w:rsidRPr="009D48A5">
        <w:rPr>
          <w:rFonts w:hint="eastAsia"/>
        </w:rPr>
        <w:t>第</w:t>
      </w:r>
      <w:r w:rsidRPr="009D48A5">
        <w:rPr>
          <w:rFonts w:hint="eastAsia"/>
        </w:rPr>
        <w:t>338</w:t>
      </w:r>
      <w:r w:rsidRPr="009D48A5">
        <w:rPr>
          <w:rFonts w:hint="eastAsia"/>
        </w:rPr>
        <w:t>页起，</w:t>
      </w:r>
      <w:r w:rsidRPr="009D48A5">
        <w:t>Lagergren</w:t>
      </w:r>
      <w:r w:rsidRPr="009D48A5">
        <w:rPr>
          <w:rFonts w:hint="eastAsia"/>
        </w:rPr>
        <w:t>庭长的不同意见，第</w:t>
      </w:r>
      <w:r w:rsidRPr="009D48A5">
        <w:t>348</w:t>
      </w:r>
      <w:r w:rsidRPr="009D48A5">
        <w:rPr>
          <w:rFonts w:hint="eastAsia"/>
        </w:rPr>
        <w:t>页起，见第</w:t>
      </w:r>
      <w:r w:rsidRPr="009D48A5">
        <w:t>353</w:t>
      </w:r>
      <w:r w:rsidRPr="009D48A5">
        <w:rPr>
          <w:rFonts w:hint="eastAsia"/>
        </w:rPr>
        <w:t>页：“</w:t>
      </w:r>
      <w:r w:rsidRPr="009D48A5">
        <w:t>《</w:t>
      </w:r>
      <w:r w:rsidRPr="009D48A5">
        <w:rPr>
          <w:rFonts w:hint="eastAsia"/>
        </w:rPr>
        <w:t>维也纳公约》关于嗣后协定的规定系指条约当事国之间的协定，尽管伊朗伊斯兰共和国是该案仲裁当事方之一，但仲裁当事双方之间的和解协定很难被视为等同于均为条约缔约方的两国间的协定”。各项阿尔及尔声明</w:t>
      </w:r>
      <w:r w:rsidRPr="009D48A5">
        <w:rPr>
          <w:rFonts w:hint="eastAsia"/>
        </w:rPr>
        <w:t>(</w:t>
      </w:r>
      <w:r w:rsidRPr="009D48A5">
        <w:rPr>
          <w:rFonts w:hint="eastAsia"/>
        </w:rPr>
        <w:t>阿尔及利亚人民民主共和国政府的声明以及阿尔及利亚人民民主共和国政府就美利坚合众国政府和伊朗伊斯兰共和国政府处理索赔问题发表的声明</w:t>
      </w:r>
      <w:r w:rsidRPr="009D48A5">
        <w:rPr>
          <w:rFonts w:hint="eastAsia"/>
        </w:rPr>
        <w:t>)</w:t>
      </w:r>
      <w:r w:rsidRPr="009D48A5">
        <w:rPr>
          <w:rFonts w:hint="eastAsia"/>
        </w:rPr>
        <w:t>见</w:t>
      </w:r>
      <w:r w:rsidRPr="009D48A5">
        <w:t>International Legal Materials, vol. 20, No. 1 (1981)</w:t>
      </w:r>
      <w:r w:rsidRPr="009D48A5">
        <w:t>，</w:t>
      </w:r>
      <w:r w:rsidRPr="009D48A5">
        <w:t>pp. 224 and 230 (respectively)</w:t>
      </w:r>
      <w:r w:rsidRPr="009D48A5">
        <w:t>，</w:t>
      </w:r>
      <w:r w:rsidRPr="009D48A5">
        <w:t>at pp. 232-233</w:t>
      </w:r>
      <w:r w:rsidRPr="009D48A5">
        <w:rPr>
          <w:rFonts w:hint="eastAsia"/>
        </w:rPr>
        <w:t>。</w:t>
      </w:r>
    </w:p>
  </w:footnote>
  <w:footnote w:id="539">
    <w:p w:rsidR="00AB00DE" w:rsidRPr="00DF5565" w:rsidRDefault="00AB00DE" w:rsidP="00267AB1">
      <w:pPr>
        <w:pStyle w:val="a4"/>
        <w:spacing w:after="80"/>
        <w:rPr>
          <w:rStyle w:val="a5"/>
          <w:szCs w:val="22"/>
        </w:rPr>
      </w:pPr>
      <w:r w:rsidRPr="00DF5565">
        <w:rPr>
          <w:rFonts w:hint="eastAsia"/>
          <w:color w:val="0000FF"/>
          <w:sz w:val="21"/>
          <w:vertAlign w:val="superscript"/>
        </w:rPr>
        <w:tab/>
      </w:r>
      <w:r w:rsidRPr="00DF5565">
        <w:rPr>
          <w:rStyle w:val="a5"/>
          <w:szCs w:val="22"/>
        </w:rPr>
        <w:footnoteRef/>
      </w:r>
      <w:r w:rsidRPr="00DF5565">
        <w:rPr>
          <w:rStyle w:val="a5"/>
          <w:rFonts w:hint="eastAsia"/>
          <w:szCs w:val="22"/>
        </w:rPr>
        <w:tab/>
      </w:r>
      <w:r w:rsidRPr="009D48A5">
        <w:rPr>
          <w:rFonts w:hint="eastAsia"/>
        </w:rPr>
        <w:t>例如，见伊朗－美利坚合众国索赔法庭</w:t>
      </w:r>
      <w:r w:rsidRPr="009D48A5">
        <w:rPr>
          <w:rFonts w:hint="eastAsia"/>
        </w:rPr>
        <w:t>(</w:t>
      </w:r>
      <w:r w:rsidRPr="009D48A5">
        <w:rPr>
          <w:rFonts w:hint="eastAsia"/>
        </w:rPr>
        <w:t>上文脚注</w:t>
      </w:r>
      <w:r>
        <w:fldChar w:fldCharType="begin"/>
      </w:r>
      <w:r>
        <w:instrText xml:space="preserve"> </w:instrText>
      </w:r>
      <w:r>
        <w:rPr>
          <w:rFonts w:hint="eastAsia"/>
        </w:rPr>
        <w:instrText>NOTEREF _Ref461973728 \h</w:instrText>
      </w:r>
      <w:r>
        <w:instrText xml:space="preserve"> </w:instrText>
      </w:r>
      <w:r>
        <w:fldChar w:fldCharType="separate"/>
      </w:r>
      <w:r w:rsidR="00A73EB9">
        <w:t>537</w:t>
      </w:r>
      <w:r>
        <w:fldChar w:fldCharType="end"/>
      </w:r>
      <w:r w:rsidRPr="009D48A5">
        <w:rPr>
          <w:rFonts w:hint="eastAsia"/>
        </w:rPr>
        <w:t>)</w:t>
      </w:r>
      <w:r w:rsidRPr="009D48A5">
        <w:rPr>
          <w:rFonts w:hint="eastAsia"/>
        </w:rPr>
        <w:t>，</w:t>
      </w:r>
      <w:r w:rsidRPr="009D48A5">
        <w:t>Parviz Ansari</w:t>
      </w:r>
      <w:r w:rsidRPr="009D48A5">
        <w:rPr>
          <w:rFonts w:hint="eastAsia"/>
        </w:rPr>
        <w:t>法官的不同意见，第</w:t>
      </w:r>
      <w:r w:rsidRPr="009D48A5">
        <w:t>97</w:t>
      </w:r>
      <w:r w:rsidRPr="009D48A5">
        <w:rPr>
          <w:rFonts w:hint="eastAsia"/>
        </w:rPr>
        <w:t>页起，见第</w:t>
      </w:r>
      <w:r w:rsidRPr="009D48A5">
        <w:t>99</w:t>
      </w:r>
      <w:r w:rsidRPr="009D48A5">
        <w:rPr>
          <w:rFonts w:hint="eastAsia"/>
        </w:rPr>
        <w:t>页。</w:t>
      </w:r>
    </w:p>
  </w:footnote>
  <w:footnote w:id="540">
    <w:p w:rsidR="00AB00DE" w:rsidRPr="009D48A5" w:rsidRDefault="00AB00DE" w:rsidP="00B44972">
      <w:pPr>
        <w:pStyle w:val="a4"/>
        <w:spacing w:after="80"/>
      </w:pPr>
      <w:r w:rsidRPr="009D48A5">
        <w:rPr>
          <w:rFonts w:hint="eastAsia"/>
        </w:rPr>
        <w:tab/>
      </w:r>
      <w:r w:rsidRPr="00DF5565">
        <w:rPr>
          <w:rStyle w:val="a5"/>
          <w:szCs w:val="22"/>
        </w:rPr>
        <w:footnoteRef/>
      </w:r>
      <w:r w:rsidRPr="00DF5565">
        <w:rPr>
          <w:rStyle w:val="a5"/>
          <w:szCs w:val="22"/>
        </w:rPr>
        <w:tab/>
      </w:r>
      <w:r w:rsidRPr="009D48A5">
        <w:t>例如，见美利坚合众国关于人权事务委员会第</w:t>
      </w:r>
      <w:r w:rsidRPr="009D48A5">
        <w:t>33</w:t>
      </w:r>
      <w:r w:rsidRPr="009D48A5">
        <w:t>号一般性意见：缔约国在《公民权利和政治权利国际公约任择议定书》下的义务的意见，</w:t>
      </w:r>
      <w:r w:rsidRPr="009D48A5">
        <w:t>2008</w:t>
      </w:r>
      <w:r w:rsidRPr="009D48A5">
        <w:t>年</w:t>
      </w:r>
      <w:r w:rsidRPr="009D48A5">
        <w:t>12</w:t>
      </w:r>
      <w:r w:rsidRPr="009D48A5">
        <w:t>月</w:t>
      </w:r>
      <w:r w:rsidRPr="009D48A5">
        <w:t>22</w:t>
      </w:r>
      <w:r w:rsidRPr="009D48A5">
        <w:t>日，第</w:t>
      </w:r>
      <w:r w:rsidRPr="009D48A5">
        <w:t>1</w:t>
      </w:r>
      <w:r w:rsidRPr="009D48A5">
        <w:t>页</w:t>
      </w:r>
      <w:r w:rsidRPr="009D48A5">
        <w:rPr>
          <w:rFonts w:hint="eastAsia"/>
        </w:rPr>
        <w:t>，</w:t>
      </w:r>
      <w:r w:rsidRPr="009D48A5">
        <w:t>第</w:t>
      </w:r>
      <w:r w:rsidRPr="009D48A5">
        <w:t>3</w:t>
      </w:r>
      <w:r w:rsidRPr="009D48A5">
        <w:t>段</w:t>
      </w:r>
      <w:r w:rsidRPr="009D48A5">
        <w:rPr>
          <w:rFonts w:hint="eastAsia"/>
        </w:rPr>
        <w:t>(</w:t>
      </w:r>
      <w:r w:rsidRPr="009D48A5">
        <w:t>可查阅</w:t>
      </w:r>
      <w:r w:rsidRPr="009D48A5">
        <w:t>www.state.gov/documents/organization/138852.pdf</w:t>
      </w:r>
      <w:r w:rsidRPr="009D48A5">
        <w:rPr>
          <w:rFonts w:hint="eastAsia"/>
        </w:rPr>
        <w:t>)</w:t>
      </w:r>
      <w:r w:rsidRPr="009D48A5">
        <w:t>。美国与解释《公民权利和政治权利国际公约任择议定书》</w:t>
      </w:r>
      <w:r w:rsidRPr="009D48A5">
        <w:rPr>
          <w:rFonts w:hint="eastAsia"/>
        </w:rPr>
        <w:t>(</w:t>
      </w:r>
      <w:r w:rsidRPr="009D48A5">
        <w:rPr>
          <w:rFonts w:hint="eastAsia"/>
        </w:rPr>
        <w:t>联合国，《条约汇编》，第</w:t>
      </w:r>
      <w:r w:rsidRPr="009D48A5">
        <w:rPr>
          <w:rFonts w:hint="eastAsia"/>
        </w:rPr>
        <w:t>999</w:t>
      </w:r>
      <w:r w:rsidRPr="009D48A5">
        <w:rPr>
          <w:rFonts w:hint="eastAsia"/>
        </w:rPr>
        <w:t>卷，第</w:t>
      </w:r>
      <w:r w:rsidRPr="009D48A5">
        <w:rPr>
          <w:rFonts w:hint="eastAsia"/>
        </w:rPr>
        <w:t>14668</w:t>
      </w:r>
      <w:r w:rsidRPr="009D48A5">
        <w:rPr>
          <w:rFonts w:hint="eastAsia"/>
        </w:rPr>
        <w:t>号，第</w:t>
      </w:r>
      <w:r w:rsidRPr="009D48A5">
        <w:rPr>
          <w:rFonts w:hint="eastAsia"/>
        </w:rPr>
        <w:t>171</w:t>
      </w:r>
      <w:r w:rsidRPr="009D48A5">
        <w:rPr>
          <w:rFonts w:hint="eastAsia"/>
        </w:rPr>
        <w:t>页</w:t>
      </w:r>
      <w:r w:rsidRPr="009D48A5">
        <w:rPr>
          <w:rFonts w:hint="eastAsia"/>
        </w:rPr>
        <w:t>)</w:t>
      </w:r>
      <w:r w:rsidRPr="009D48A5">
        <w:t>有关</w:t>
      </w:r>
      <w:r w:rsidRPr="009D48A5">
        <w:rPr>
          <w:rFonts w:hint="eastAsia"/>
        </w:rPr>
        <w:t>的声明</w:t>
      </w:r>
      <w:r w:rsidRPr="009D48A5">
        <w:rPr>
          <w:rFonts w:hAnsi="Arial" w:hint="eastAsia"/>
          <w:spacing w:val="-50"/>
        </w:rPr>
        <w:t>―</w:t>
      </w:r>
      <w:r w:rsidRPr="009D48A5">
        <w:rPr>
          <w:rFonts w:hAnsi="Arial" w:hint="eastAsia"/>
        </w:rPr>
        <w:t>―虽然</w:t>
      </w:r>
      <w:r w:rsidRPr="009D48A5">
        <w:t>美国既不是该公约的</w:t>
      </w:r>
      <w:r w:rsidRPr="009D48A5">
        <w:rPr>
          <w:rFonts w:hint="eastAsia"/>
        </w:rPr>
        <w:t>当事国也不是</w:t>
      </w:r>
      <w:r w:rsidRPr="009D48A5">
        <w:rPr>
          <w:rFonts w:hAnsi="Arial" w:hint="eastAsia"/>
        </w:rPr>
        <w:t>缔约国</w:t>
      </w:r>
      <w:r w:rsidRPr="009D48A5">
        <w:rPr>
          <w:rFonts w:hAnsi="Arial" w:hint="eastAsia"/>
          <w:spacing w:val="-50"/>
        </w:rPr>
        <w:t>―</w:t>
      </w:r>
      <w:r w:rsidRPr="009D48A5">
        <w:rPr>
          <w:rFonts w:hAnsi="Arial" w:hint="eastAsia"/>
        </w:rPr>
        <w:t>―</w:t>
      </w:r>
      <w:r w:rsidRPr="009D48A5">
        <w:rPr>
          <w:rFonts w:hAnsi="Arial"/>
        </w:rPr>
        <w:t>构成</w:t>
      </w:r>
      <w:r w:rsidRPr="009D48A5">
        <w:t>结论</w:t>
      </w:r>
      <w:r w:rsidRPr="009D48A5">
        <w:rPr>
          <w:rFonts w:hint="eastAsia"/>
        </w:rPr>
        <w:t>草案</w:t>
      </w:r>
      <w:r w:rsidRPr="009D48A5">
        <w:t>5</w:t>
      </w:r>
      <w:r w:rsidRPr="009D48A5">
        <w:rPr>
          <w:rFonts w:hint="eastAsia"/>
        </w:rPr>
        <w:t>第</w:t>
      </w:r>
      <w:r w:rsidRPr="009D48A5">
        <w:t>2</w:t>
      </w:r>
      <w:r w:rsidRPr="009D48A5">
        <w:rPr>
          <w:rFonts w:hint="eastAsia"/>
        </w:rPr>
        <w:t>段所称</w:t>
      </w:r>
      <w:r w:rsidRPr="009D48A5">
        <w:t>的</w:t>
      </w:r>
      <w:r w:rsidRPr="009D48A5">
        <w:rPr>
          <w:rFonts w:hint="eastAsia"/>
        </w:rPr>
        <w:t>“</w:t>
      </w:r>
      <w:r w:rsidRPr="009D48A5">
        <w:t>其他行为</w:t>
      </w:r>
      <w:r w:rsidRPr="009D48A5">
        <w:rPr>
          <w:rFonts w:hint="eastAsia"/>
        </w:rPr>
        <w:t>”</w:t>
      </w:r>
      <w:r w:rsidRPr="009D48A5">
        <w:t>。</w:t>
      </w:r>
    </w:p>
  </w:footnote>
  <w:footnote w:id="541">
    <w:p w:rsidR="00AB00DE" w:rsidRPr="009D48A5" w:rsidRDefault="00AB00DE" w:rsidP="00B44972">
      <w:pPr>
        <w:pStyle w:val="a4"/>
        <w:spacing w:after="80"/>
      </w:pPr>
      <w:r w:rsidRPr="009D48A5">
        <w:rPr>
          <w:rFonts w:hint="eastAsia"/>
        </w:rPr>
        <w:tab/>
      </w:r>
      <w:r w:rsidRPr="00DF5565">
        <w:rPr>
          <w:rStyle w:val="a5"/>
          <w:szCs w:val="22"/>
        </w:rPr>
        <w:footnoteRef/>
      </w:r>
      <w:r w:rsidRPr="00DF5565">
        <w:rPr>
          <w:rStyle w:val="a5"/>
          <w:rFonts w:hint="eastAsia"/>
          <w:szCs w:val="22"/>
        </w:rPr>
        <w:tab/>
      </w:r>
      <w:r w:rsidRPr="009D48A5">
        <w:rPr>
          <w:rFonts w:hint="eastAsia"/>
        </w:rPr>
        <w:t>例如，见国际法协会人权法和惯例委员会，“关于联合国人权条约机构调查结果影响的最后报告”，</w:t>
      </w:r>
      <w:r w:rsidRPr="009D48A5">
        <w:rPr>
          <w:rFonts w:ascii="Time New Roman" w:eastAsia="楷体" w:hAnsi="Time New Roman" w:hint="eastAsia"/>
        </w:rPr>
        <w:t>第七十一届会议报告，柏林，</w:t>
      </w:r>
      <w:r w:rsidRPr="009D48A5">
        <w:rPr>
          <w:rFonts w:ascii="Time New Roman" w:eastAsia="楷体" w:hAnsi="Time New Roman" w:hint="eastAsia"/>
        </w:rPr>
        <w:t>2004</w:t>
      </w:r>
      <w:r w:rsidRPr="009D48A5">
        <w:rPr>
          <w:rFonts w:ascii="Time New Roman" w:eastAsia="楷体" w:hAnsi="Time New Roman" w:hint="eastAsia"/>
        </w:rPr>
        <w:t>年</w:t>
      </w:r>
      <w:r w:rsidRPr="009D48A5">
        <w:rPr>
          <w:rFonts w:ascii="Time New Roman" w:eastAsia="楷体" w:hAnsi="Time New Roman" w:hint="eastAsia"/>
        </w:rPr>
        <w:t>8</w:t>
      </w:r>
      <w:r w:rsidRPr="009D48A5">
        <w:rPr>
          <w:rFonts w:ascii="Time New Roman" w:eastAsia="楷体" w:hAnsi="Time New Roman" w:hint="eastAsia"/>
        </w:rPr>
        <w:t>月</w:t>
      </w:r>
      <w:r w:rsidRPr="009D48A5">
        <w:rPr>
          <w:rFonts w:ascii="Time New Roman" w:eastAsia="楷体" w:hAnsi="Time New Roman" w:hint="eastAsia"/>
        </w:rPr>
        <w:t>16</w:t>
      </w:r>
      <w:r w:rsidRPr="009D48A5">
        <w:rPr>
          <w:rFonts w:ascii="Time New Roman" w:eastAsia="楷体" w:hAnsi="Time New Roman" w:hint="eastAsia"/>
        </w:rPr>
        <w:t>日至</w:t>
      </w:r>
      <w:r w:rsidRPr="009D48A5">
        <w:rPr>
          <w:rFonts w:ascii="Time New Roman" w:eastAsia="楷体" w:hAnsi="Time New Roman" w:hint="eastAsia"/>
        </w:rPr>
        <w:t>21</w:t>
      </w:r>
      <w:r w:rsidRPr="009D48A5">
        <w:rPr>
          <w:rFonts w:ascii="Time New Roman" w:eastAsia="楷体" w:hAnsi="Time New Roman" w:hint="eastAsia"/>
        </w:rPr>
        <w:t>日</w:t>
      </w:r>
      <w:r w:rsidRPr="009D48A5">
        <w:rPr>
          <w:rFonts w:hint="eastAsia"/>
        </w:rPr>
        <w:t>(</w:t>
      </w:r>
      <w:r w:rsidRPr="009D48A5">
        <w:rPr>
          <w:rFonts w:hint="eastAsia"/>
        </w:rPr>
        <w:t>伦敦，</w:t>
      </w:r>
      <w:r w:rsidRPr="009D48A5">
        <w:rPr>
          <w:rFonts w:hint="eastAsia"/>
        </w:rPr>
        <w:t>2004</w:t>
      </w:r>
      <w:r w:rsidRPr="009D48A5">
        <w:rPr>
          <w:rFonts w:hint="eastAsia"/>
        </w:rPr>
        <w:t>年</w:t>
      </w:r>
      <w:r w:rsidRPr="009D48A5">
        <w:rPr>
          <w:rFonts w:hint="eastAsia"/>
        </w:rPr>
        <w:t>)</w:t>
      </w:r>
      <w:r w:rsidRPr="009D48A5">
        <w:rPr>
          <w:rFonts w:hint="eastAsia"/>
        </w:rPr>
        <w:t>第</w:t>
      </w:r>
      <w:r w:rsidRPr="009D48A5">
        <w:rPr>
          <w:rFonts w:hint="eastAsia"/>
        </w:rPr>
        <w:t>621</w:t>
      </w:r>
      <w:r w:rsidRPr="009D48A5">
        <w:rPr>
          <w:rFonts w:hint="eastAsia"/>
        </w:rPr>
        <w:t>页，第</w:t>
      </w:r>
      <w:r w:rsidRPr="009D48A5">
        <w:rPr>
          <w:rFonts w:hint="eastAsia"/>
        </w:rPr>
        <w:t>21</w:t>
      </w:r>
      <w:r w:rsidRPr="009D48A5">
        <w:rPr>
          <w:rFonts w:hint="eastAsia"/>
        </w:rPr>
        <w:t>段及以下各段。</w:t>
      </w:r>
    </w:p>
  </w:footnote>
  <w:footnote w:id="542">
    <w:p w:rsidR="00AB00DE" w:rsidRPr="009D48A5" w:rsidRDefault="00AB00DE" w:rsidP="00D90936">
      <w:pPr>
        <w:pStyle w:val="a4"/>
        <w:spacing w:after="80"/>
      </w:pPr>
      <w:r w:rsidRPr="009D48A5">
        <w:rPr>
          <w:rFonts w:hint="eastAsia"/>
        </w:rPr>
        <w:tab/>
      </w:r>
      <w:r w:rsidRPr="00DF5565">
        <w:rPr>
          <w:rStyle w:val="a5"/>
          <w:szCs w:val="22"/>
        </w:rPr>
        <w:footnoteRef/>
      </w:r>
      <w:r w:rsidRPr="00DF5565">
        <w:rPr>
          <w:rStyle w:val="a5"/>
          <w:rFonts w:hint="eastAsia"/>
          <w:szCs w:val="22"/>
        </w:rPr>
        <w:tab/>
      </w:r>
      <w:r w:rsidRPr="009D48A5">
        <w:rPr>
          <w:rFonts w:hint="eastAsia"/>
        </w:rPr>
        <w:t>见</w:t>
      </w:r>
      <w:r w:rsidRPr="009D48A5">
        <w:t xml:space="preserve">Gardiner, </w:t>
      </w:r>
      <w:r w:rsidRPr="009D48A5">
        <w:rPr>
          <w:i/>
          <w:iCs/>
        </w:rPr>
        <w:t>Treaty Interpretation</w:t>
      </w:r>
      <w:r w:rsidRPr="009D48A5">
        <w:rPr>
          <w:rFonts w:hint="eastAsia"/>
        </w:rPr>
        <w:t>(</w:t>
      </w:r>
      <w:r w:rsidRPr="009D48A5">
        <w:rPr>
          <w:rFonts w:hint="eastAsia"/>
        </w:rPr>
        <w:t>见上文脚注</w:t>
      </w:r>
      <w:r w:rsidRPr="00D90936">
        <w:rPr>
          <w:rFonts w:asciiTheme="majorBidi" w:hAnsiTheme="majorBidi" w:cstheme="majorBidi"/>
        </w:rPr>
        <w:fldChar w:fldCharType="begin"/>
      </w:r>
      <w:r w:rsidRPr="00D90936">
        <w:rPr>
          <w:rFonts w:asciiTheme="majorBidi" w:hAnsiTheme="majorBidi" w:cstheme="majorBidi"/>
        </w:rPr>
        <w:instrText xml:space="preserve"> NOTEREF _Ref461971974 \h </w:instrText>
      </w:r>
      <w:r>
        <w:rPr>
          <w:rFonts w:asciiTheme="majorBidi" w:hAnsiTheme="majorBidi" w:cstheme="majorBidi"/>
        </w:rPr>
        <w:instrText xml:space="preserve"> \* MERGEFORMAT </w:instrText>
      </w:r>
      <w:r w:rsidRPr="00D90936">
        <w:rPr>
          <w:rFonts w:asciiTheme="majorBidi" w:hAnsiTheme="majorBidi" w:cstheme="majorBidi"/>
        </w:rPr>
      </w:r>
      <w:r w:rsidRPr="00D90936">
        <w:rPr>
          <w:rFonts w:asciiTheme="majorBidi" w:hAnsiTheme="majorBidi" w:cstheme="majorBidi"/>
        </w:rPr>
        <w:fldChar w:fldCharType="separate"/>
      </w:r>
      <w:r w:rsidR="00A73EB9">
        <w:rPr>
          <w:rFonts w:asciiTheme="majorBidi" w:hAnsiTheme="majorBidi" w:cstheme="majorBidi"/>
        </w:rPr>
        <w:t>392</w:t>
      </w:r>
      <w:r w:rsidRPr="00D90936">
        <w:rPr>
          <w:rFonts w:asciiTheme="majorBidi" w:hAnsiTheme="majorBidi" w:cstheme="majorBidi"/>
        </w:rPr>
        <w:fldChar w:fldCharType="end"/>
      </w:r>
      <w:r w:rsidRPr="009D48A5">
        <w:rPr>
          <w:rFonts w:hint="eastAsia"/>
        </w:rPr>
        <w:t>)</w:t>
      </w:r>
      <w:r w:rsidRPr="009D48A5">
        <w:rPr>
          <w:rFonts w:hint="eastAsia"/>
        </w:rPr>
        <w:t>，第</w:t>
      </w:r>
      <w:r w:rsidRPr="009D48A5">
        <w:rPr>
          <w:rFonts w:hint="eastAsia"/>
        </w:rPr>
        <w:t>270</w:t>
      </w:r>
      <w:r w:rsidRPr="009D48A5">
        <w:rPr>
          <w:rFonts w:hint="eastAsia"/>
        </w:rPr>
        <w:t>页。</w:t>
      </w:r>
    </w:p>
  </w:footnote>
  <w:footnote w:id="543">
    <w:p w:rsidR="00AB00DE" w:rsidRPr="009D48A5" w:rsidRDefault="00AB00DE" w:rsidP="00B44972">
      <w:pPr>
        <w:pStyle w:val="a4"/>
        <w:spacing w:after="80"/>
      </w:pPr>
      <w:r w:rsidRPr="009D48A5">
        <w:rPr>
          <w:rFonts w:hint="eastAsia"/>
        </w:rPr>
        <w:tab/>
      </w:r>
      <w:r w:rsidRPr="00DF5565">
        <w:rPr>
          <w:rStyle w:val="a5"/>
          <w:szCs w:val="22"/>
        </w:rPr>
        <w:footnoteRef/>
      </w:r>
      <w:r w:rsidRPr="00DF5565">
        <w:rPr>
          <w:rStyle w:val="a5"/>
          <w:rFonts w:hint="eastAsia"/>
          <w:szCs w:val="22"/>
        </w:rPr>
        <w:tab/>
      </w:r>
      <w:r w:rsidRPr="009D48A5">
        <w:rPr>
          <w:rFonts w:hint="eastAsia"/>
        </w:rPr>
        <w:t>条约嗣后惯例的这方面将在本专题工作以后阶段进行讨论。</w:t>
      </w:r>
    </w:p>
  </w:footnote>
  <w:footnote w:id="544">
    <w:p w:rsidR="00AB00DE" w:rsidRPr="009D48A5" w:rsidRDefault="00AB00DE" w:rsidP="00B44972">
      <w:pPr>
        <w:pStyle w:val="a4"/>
        <w:spacing w:after="80"/>
        <w:rPr>
          <w:rFonts w:ascii="宋体" w:cs="宋体"/>
        </w:rPr>
      </w:pPr>
      <w:r w:rsidRPr="009D48A5">
        <w:rPr>
          <w:rFonts w:hint="eastAsia"/>
        </w:rPr>
        <w:tab/>
      </w:r>
      <w:r w:rsidRPr="00DF5565">
        <w:rPr>
          <w:rStyle w:val="a5"/>
          <w:szCs w:val="22"/>
        </w:rPr>
        <w:footnoteRef/>
      </w:r>
      <w:r w:rsidRPr="009D48A5">
        <w:rPr>
          <w:rFonts w:hint="eastAsia"/>
        </w:rPr>
        <w:tab/>
      </w:r>
      <w:r w:rsidRPr="009D48A5">
        <w:rPr>
          <w:rFonts w:hint="eastAsia"/>
        </w:rPr>
        <w:t>见难民署，《根据关于难民地位的</w:t>
      </w:r>
      <w:r w:rsidRPr="009D48A5">
        <w:t>1951</w:t>
      </w:r>
      <w:r w:rsidRPr="009D48A5">
        <w:rPr>
          <w:rFonts w:hint="eastAsia"/>
        </w:rPr>
        <w:t>年公约和</w:t>
      </w:r>
      <w:r w:rsidRPr="009D48A5">
        <w:t>1967</w:t>
      </w:r>
      <w:r w:rsidRPr="009D48A5">
        <w:rPr>
          <w:rFonts w:hint="eastAsia"/>
        </w:rPr>
        <w:t>年议定书确定难民身份的程序和标准手册》</w:t>
      </w:r>
      <w:r w:rsidRPr="009D48A5">
        <w:rPr>
          <w:rFonts w:hint="eastAsia"/>
        </w:rPr>
        <w:t>(2011</w:t>
      </w:r>
      <w:r w:rsidRPr="009D48A5">
        <w:rPr>
          <w:rFonts w:hint="eastAsia"/>
        </w:rPr>
        <w:t>年</w:t>
      </w:r>
      <w:r w:rsidRPr="009D48A5">
        <w:rPr>
          <w:rFonts w:hint="eastAsia"/>
        </w:rPr>
        <w:t>12</w:t>
      </w:r>
      <w:r w:rsidRPr="009D48A5">
        <w:rPr>
          <w:rFonts w:hint="eastAsia"/>
        </w:rPr>
        <w:t>月</w:t>
      </w:r>
      <w:r w:rsidRPr="009D48A5">
        <w:rPr>
          <w:rFonts w:hint="eastAsia"/>
        </w:rPr>
        <w:t>)</w:t>
      </w:r>
      <w:r w:rsidRPr="009D48A5">
        <w:rPr>
          <w:rFonts w:hint="eastAsia"/>
        </w:rPr>
        <w:t>，</w:t>
      </w:r>
      <w:r w:rsidRPr="009D48A5">
        <w:t>HCR/IP/4/Eng/REV.</w:t>
      </w:r>
      <w:r w:rsidRPr="009D48A5">
        <w:rPr>
          <w:rFonts w:hint="eastAsia"/>
        </w:rPr>
        <w:t>3</w:t>
      </w:r>
      <w:r w:rsidRPr="009D48A5">
        <w:t>(www.refworld.org/docid/4f33c8d92.htm)</w:t>
      </w:r>
      <w:r w:rsidRPr="009D48A5">
        <w:rPr>
          <w:rFonts w:hint="eastAsia"/>
        </w:rPr>
        <w:t>，前言；“</w:t>
      </w:r>
      <w:r w:rsidRPr="009D48A5">
        <w:t>Semunigus</w:t>
      </w:r>
      <w:r w:rsidRPr="009D48A5">
        <w:rPr>
          <w:rFonts w:ascii="Time New Roman" w:eastAsia="楷体" w:hAnsi="Time New Roman" w:hint="eastAsia"/>
        </w:rPr>
        <w:t>诉澳大利亚移民和多元文化事务部长案</w:t>
      </w:r>
      <w:r w:rsidRPr="009D48A5">
        <w:rPr>
          <w:rFonts w:hint="eastAsia"/>
        </w:rPr>
        <w:t>”正确地否决了难民署手册本身体现国家惯例的意见，</w:t>
      </w:r>
      <w:r w:rsidRPr="009D48A5">
        <w:t>[1999]</w:t>
      </w:r>
      <w:r w:rsidRPr="009D48A5">
        <w:rPr>
          <w:rFonts w:hint="eastAsia"/>
        </w:rPr>
        <w:t xml:space="preserve"> </w:t>
      </w:r>
      <w:r w:rsidRPr="009D48A5">
        <w:t>FCA 422(1999)</w:t>
      </w:r>
      <w:r w:rsidRPr="009D48A5">
        <w:rPr>
          <w:rFonts w:hint="eastAsia"/>
        </w:rPr>
        <w:t>，</w:t>
      </w:r>
      <w:r w:rsidRPr="009D48A5">
        <w:rPr>
          <w:rFonts w:hint="eastAsia"/>
        </w:rPr>
        <w:t>1999</w:t>
      </w:r>
      <w:r w:rsidRPr="009D48A5">
        <w:rPr>
          <w:rFonts w:hint="eastAsia"/>
        </w:rPr>
        <w:t>年</w:t>
      </w:r>
      <w:r w:rsidRPr="009D48A5">
        <w:rPr>
          <w:rFonts w:hint="eastAsia"/>
        </w:rPr>
        <w:t>4</w:t>
      </w:r>
      <w:r w:rsidRPr="009D48A5">
        <w:rPr>
          <w:rFonts w:hint="eastAsia"/>
        </w:rPr>
        <w:t>月</w:t>
      </w:r>
      <w:r w:rsidRPr="009D48A5">
        <w:rPr>
          <w:rFonts w:hint="eastAsia"/>
        </w:rPr>
        <w:t>14</w:t>
      </w:r>
      <w:r w:rsidRPr="009D48A5">
        <w:rPr>
          <w:rFonts w:hint="eastAsia"/>
        </w:rPr>
        <w:t>日判决，第</w:t>
      </w:r>
      <w:r w:rsidRPr="009D48A5">
        <w:rPr>
          <w:rFonts w:hint="eastAsia"/>
        </w:rPr>
        <w:t>5-13</w:t>
      </w:r>
      <w:r w:rsidRPr="009D48A5">
        <w:rPr>
          <w:rFonts w:hint="eastAsia"/>
        </w:rPr>
        <w:t>段；但手册作为一项关于嗣后国家惯例的正确声明具有重要的证据份量。该手册的权威性基于</w:t>
      </w:r>
      <w:r w:rsidRPr="009D48A5">
        <w:rPr>
          <w:rFonts w:hint="eastAsia"/>
        </w:rPr>
        <w:t>1951</w:t>
      </w:r>
      <w:r w:rsidRPr="009D48A5">
        <w:rPr>
          <w:rFonts w:hint="eastAsia"/>
        </w:rPr>
        <w:t>年《关于难民地位的公约》</w:t>
      </w:r>
      <w:r w:rsidRPr="009D48A5">
        <w:rPr>
          <w:rFonts w:hint="eastAsia"/>
        </w:rPr>
        <w:t>(</w:t>
      </w:r>
      <w:r w:rsidRPr="009D48A5">
        <w:rPr>
          <w:rFonts w:hint="eastAsia"/>
        </w:rPr>
        <w:t>联合国，《条约汇编》，第</w:t>
      </w:r>
      <w:r w:rsidRPr="009D48A5">
        <w:rPr>
          <w:rFonts w:hint="eastAsia"/>
        </w:rPr>
        <w:t>189</w:t>
      </w:r>
      <w:r w:rsidRPr="009D48A5">
        <w:rPr>
          <w:rFonts w:hint="eastAsia"/>
        </w:rPr>
        <w:t>卷，第</w:t>
      </w:r>
      <w:r w:rsidRPr="009D48A5">
        <w:rPr>
          <w:rFonts w:hint="eastAsia"/>
        </w:rPr>
        <w:t>2545</w:t>
      </w:r>
      <w:r w:rsidRPr="009D48A5">
        <w:rPr>
          <w:rFonts w:hint="eastAsia"/>
        </w:rPr>
        <w:t>号，第</w:t>
      </w:r>
      <w:r w:rsidRPr="009D48A5">
        <w:rPr>
          <w:rFonts w:hint="eastAsia"/>
        </w:rPr>
        <w:t>137</w:t>
      </w:r>
      <w:r w:rsidRPr="009D48A5">
        <w:rPr>
          <w:rFonts w:hint="eastAsia"/>
        </w:rPr>
        <w:t>页</w:t>
      </w:r>
      <w:r w:rsidRPr="009D48A5">
        <w:rPr>
          <w:rFonts w:hint="eastAsia"/>
        </w:rPr>
        <w:t>)</w:t>
      </w:r>
      <w:r w:rsidRPr="009D48A5">
        <w:rPr>
          <w:rFonts w:hint="eastAsia"/>
        </w:rPr>
        <w:t>第</w:t>
      </w:r>
      <w:r w:rsidRPr="009D48A5">
        <w:t>35</w:t>
      </w:r>
      <w:r w:rsidRPr="009D48A5">
        <w:rPr>
          <w:rFonts w:hint="eastAsia"/>
        </w:rPr>
        <w:t>条第</w:t>
      </w:r>
      <w:r w:rsidRPr="009D48A5">
        <w:t>1</w:t>
      </w:r>
      <w:r w:rsidRPr="009D48A5">
        <w:rPr>
          <w:rFonts w:hint="eastAsia"/>
        </w:rPr>
        <w:t>款，根据该款，“缔约各国保证同联合国难民事务高级专员办事处……在其执行职务时进行合作，并应特别使其在监督适用本公约规定而行使职务时获得便利”。</w:t>
      </w:r>
    </w:p>
  </w:footnote>
  <w:footnote w:id="545">
    <w:p w:rsidR="00AB00DE" w:rsidRPr="009D48A5" w:rsidRDefault="00AB00DE" w:rsidP="00B44972">
      <w:pPr>
        <w:pStyle w:val="a4"/>
        <w:spacing w:after="80"/>
        <w:rPr>
          <w:lang w:val="fr-FR"/>
        </w:rPr>
      </w:pPr>
      <w:r w:rsidRPr="009D48A5">
        <w:rPr>
          <w:rFonts w:hint="eastAsia"/>
          <w:lang w:val="fr-FR"/>
        </w:rPr>
        <w:tab/>
      </w:r>
      <w:r w:rsidRPr="00DF5565">
        <w:rPr>
          <w:rStyle w:val="a5"/>
          <w:szCs w:val="22"/>
        </w:rPr>
        <w:footnoteRef/>
      </w:r>
      <w:r w:rsidRPr="009D48A5">
        <w:rPr>
          <w:rFonts w:hint="eastAsia"/>
          <w:lang w:val="fr-FR"/>
        </w:rPr>
        <w:tab/>
      </w:r>
      <w:r w:rsidRPr="009D48A5">
        <w:rPr>
          <w:rFonts w:hint="eastAsia"/>
        </w:rPr>
        <w:t>安全理事会</w:t>
      </w:r>
      <w:r w:rsidRPr="009D48A5">
        <w:rPr>
          <w:rFonts w:hint="eastAsia"/>
          <w:lang w:val="fr-FR"/>
        </w:rPr>
        <w:t>2004</w:t>
      </w:r>
      <w:r w:rsidRPr="009D48A5">
        <w:rPr>
          <w:rFonts w:hint="eastAsia"/>
        </w:rPr>
        <w:t>年</w:t>
      </w:r>
      <w:r w:rsidRPr="009D48A5">
        <w:rPr>
          <w:rFonts w:hint="eastAsia"/>
          <w:lang w:val="fr-FR"/>
        </w:rPr>
        <w:t>4</w:t>
      </w:r>
      <w:r w:rsidRPr="009D48A5">
        <w:rPr>
          <w:rFonts w:hint="eastAsia"/>
        </w:rPr>
        <w:t>月</w:t>
      </w:r>
      <w:r w:rsidRPr="009D48A5">
        <w:rPr>
          <w:rFonts w:hint="eastAsia"/>
          <w:lang w:val="fr-FR"/>
        </w:rPr>
        <w:t>24</w:t>
      </w:r>
      <w:r w:rsidRPr="009D48A5">
        <w:rPr>
          <w:rFonts w:hint="eastAsia"/>
        </w:rPr>
        <w:t>日第</w:t>
      </w:r>
      <w:r w:rsidRPr="009D48A5">
        <w:rPr>
          <w:rFonts w:hint="eastAsia"/>
          <w:lang w:val="fr-FR"/>
        </w:rPr>
        <w:t>1540(2004)</w:t>
      </w:r>
      <w:r w:rsidRPr="009D48A5">
        <w:rPr>
          <w:rFonts w:hint="eastAsia"/>
        </w:rPr>
        <w:t>号决议</w:t>
      </w:r>
      <w:r w:rsidRPr="009D48A5">
        <w:rPr>
          <w:lang w:val="fr-FR"/>
        </w:rPr>
        <w:t>，</w:t>
      </w:r>
      <w:r w:rsidRPr="009D48A5">
        <w:rPr>
          <w:rFonts w:hint="eastAsia"/>
          <w:lang w:val="fr-FR"/>
        </w:rPr>
        <w:t>执行部分</w:t>
      </w:r>
      <w:r w:rsidRPr="009D48A5">
        <w:rPr>
          <w:rFonts w:hint="eastAsia"/>
        </w:rPr>
        <w:t>第</w:t>
      </w:r>
      <w:r w:rsidRPr="009D48A5">
        <w:rPr>
          <w:rFonts w:hint="eastAsia"/>
          <w:lang w:val="fr-FR"/>
        </w:rPr>
        <w:t>8(c)</w:t>
      </w:r>
      <w:r w:rsidRPr="009D48A5">
        <w:rPr>
          <w:rFonts w:hint="eastAsia"/>
        </w:rPr>
        <w:t>段</w:t>
      </w:r>
      <w:r w:rsidRPr="009D48A5">
        <w:rPr>
          <w:rFonts w:hint="eastAsia"/>
          <w:lang w:val="fr-FR"/>
        </w:rPr>
        <w:t>；</w:t>
      </w:r>
      <w:r w:rsidRPr="009D48A5">
        <w:rPr>
          <w:rFonts w:hint="eastAsia"/>
        </w:rPr>
        <w:t>根据</w:t>
      </w:r>
      <w:r w:rsidRPr="009D48A5">
        <w:rPr>
          <w:lang w:val="fr-FR"/>
        </w:rPr>
        <w:t>1540</w:t>
      </w:r>
      <w:r w:rsidRPr="009D48A5">
        <w:rPr>
          <w:rFonts w:hint="eastAsia"/>
        </w:rPr>
        <w:t>委员会的网页</w:t>
      </w:r>
      <w:r w:rsidRPr="009D48A5">
        <w:rPr>
          <w:rFonts w:hint="eastAsia"/>
          <w:lang w:val="fr-FR"/>
        </w:rPr>
        <w:t>，“</w:t>
      </w:r>
      <w:r w:rsidRPr="009D48A5">
        <w:rPr>
          <w:lang w:val="fr-FR"/>
        </w:rPr>
        <w:t>1540</w:t>
      </w:r>
      <w:r w:rsidRPr="009D48A5">
        <w:rPr>
          <w:rFonts w:hint="eastAsia"/>
        </w:rPr>
        <w:t>汇总表是</w:t>
      </w:r>
      <w:r w:rsidRPr="009D48A5">
        <w:rPr>
          <w:lang w:val="fr-FR"/>
        </w:rPr>
        <w:t>1540</w:t>
      </w:r>
      <w:r w:rsidRPr="009D48A5">
        <w:rPr>
          <w:rFonts w:hint="eastAsia"/>
        </w:rPr>
        <w:t>委员会使用的一个主要方法</w:t>
      </w:r>
      <w:r w:rsidRPr="009D48A5">
        <w:rPr>
          <w:rFonts w:hint="eastAsia"/>
          <w:lang w:val="fr-FR"/>
        </w:rPr>
        <w:t>，</w:t>
      </w:r>
      <w:r w:rsidRPr="009D48A5">
        <w:rPr>
          <w:rFonts w:hint="eastAsia"/>
        </w:rPr>
        <w:t>用于汇总会员国执行联合国安全理事会第</w:t>
      </w:r>
      <w:r w:rsidRPr="009D48A5">
        <w:rPr>
          <w:lang w:val="fr-FR"/>
        </w:rPr>
        <w:t>1540</w:t>
      </w:r>
      <w:r w:rsidRPr="009D48A5">
        <w:rPr>
          <w:rFonts w:hint="eastAsia"/>
        </w:rPr>
        <w:t>号决议工作的有关信息</w:t>
      </w:r>
      <w:r w:rsidRPr="009D48A5">
        <w:rPr>
          <w:rFonts w:hint="eastAsia"/>
          <w:lang w:val="fr-FR"/>
        </w:rPr>
        <w:t>”</w:t>
      </w:r>
      <w:r w:rsidRPr="009D48A5">
        <w:rPr>
          <w:rFonts w:hint="eastAsia"/>
          <w:lang w:val="fr-FR"/>
        </w:rPr>
        <w:t>(</w:t>
      </w:r>
      <w:r w:rsidRPr="009D48A5">
        <w:rPr>
          <w:lang w:val="fr-FR"/>
        </w:rPr>
        <w:t>http://www.un.org/en/sc/1540/nationalimplementation/</w:t>
      </w:r>
      <w:r w:rsidRPr="009D48A5">
        <w:rPr>
          <w:rFonts w:hint="eastAsia"/>
          <w:lang w:val="fr-FR"/>
        </w:rPr>
        <w:t xml:space="preserve"> </w:t>
      </w:r>
      <w:r w:rsidRPr="009D48A5">
        <w:rPr>
          <w:lang w:val="fr-FR"/>
        </w:rPr>
        <w:t xml:space="preserve">matrix.shtml </w:t>
      </w:r>
      <w:r w:rsidRPr="009D48A5">
        <w:rPr>
          <w:rFonts w:hint="eastAsia"/>
          <w:lang w:val="fr-FR"/>
        </w:rPr>
        <w:t>(</w:t>
      </w:r>
      <w:r w:rsidRPr="009D48A5">
        <w:rPr>
          <w:lang w:val="fr-FR"/>
        </w:rPr>
        <w:t>201</w:t>
      </w:r>
      <w:r w:rsidRPr="009D48A5">
        <w:rPr>
          <w:rFonts w:hint="eastAsia"/>
          <w:lang w:val="fr-FR"/>
        </w:rPr>
        <w:t>6</w:t>
      </w:r>
      <w:r w:rsidRPr="009D48A5">
        <w:rPr>
          <w:rFonts w:hint="eastAsia"/>
        </w:rPr>
        <w:t>年</w:t>
      </w:r>
      <w:r w:rsidRPr="009D48A5">
        <w:rPr>
          <w:rFonts w:hint="eastAsia"/>
          <w:lang w:val="fr-FR"/>
        </w:rPr>
        <w:t>5</w:t>
      </w:r>
      <w:r w:rsidRPr="009D48A5">
        <w:rPr>
          <w:rFonts w:hint="eastAsia"/>
        </w:rPr>
        <w:t>月</w:t>
      </w:r>
      <w:r w:rsidRPr="009D48A5">
        <w:rPr>
          <w:rFonts w:hint="eastAsia"/>
          <w:lang w:val="fr-FR"/>
        </w:rPr>
        <w:t>11</w:t>
      </w:r>
      <w:r w:rsidRPr="009D48A5">
        <w:rPr>
          <w:rFonts w:hint="eastAsia"/>
        </w:rPr>
        <w:t>日查阅</w:t>
      </w:r>
      <w:r w:rsidRPr="009D48A5">
        <w:rPr>
          <w:rFonts w:hint="eastAsia"/>
          <w:lang w:val="fr-FR"/>
        </w:rPr>
        <w:t>))</w:t>
      </w:r>
      <w:r w:rsidRPr="009D48A5">
        <w:rPr>
          <w:rFonts w:hint="eastAsia"/>
        </w:rPr>
        <w:t>。</w:t>
      </w:r>
    </w:p>
  </w:footnote>
  <w:footnote w:id="546">
    <w:p w:rsidR="00AB00DE" w:rsidRPr="009D48A5" w:rsidRDefault="00AB00DE" w:rsidP="00B44972">
      <w:pPr>
        <w:pStyle w:val="a4"/>
        <w:spacing w:after="80"/>
      </w:pPr>
      <w:r w:rsidRPr="009D48A5">
        <w:rPr>
          <w:rFonts w:hint="eastAsia"/>
          <w:lang w:val="fr-FR"/>
        </w:rPr>
        <w:tab/>
      </w:r>
      <w:r w:rsidRPr="00DF5565">
        <w:rPr>
          <w:rStyle w:val="a5"/>
          <w:szCs w:val="22"/>
        </w:rPr>
        <w:footnoteRef/>
      </w:r>
      <w:r w:rsidRPr="009D48A5">
        <w:rPr>
          <w:rFonts w:hint="eastAsia"/>
        </w:rPr>
        <w:tab/>
      </w:r>
      <w:r w:rsidRPr="009D48A5">
        <w:rPr>
          <w:rFonts w:hint="eastAsia"/>
        </w:rPr>
        <w:t>联合国，《条约汇编》，第</w:t>
      </w:r>
      <w:r w:rsidRPr="009D48A5">
        <w:rPr>
          <w:rFonts w:hint="eastAsia"/>
        </w:rPr>
        <w:t>1015</w:t>
      </w:r>
      <w:r w:rsidRPr="009D48A5">
        <w:rPr>
          <w:rFonts w:hint="eastAsia"/>
        </w:rPr>
        <w:t>卷，第</w:t>
      </w:r>
      <w:r w:rsidRPr="009D48A5">
        <w:t>14860</w:t>
      </w:r>
      <w:r w:rsidRPr="009D48A5">
        <w:rPr>
          <w:rFonts w:hint="eastAsia"/>
        </w:rPr>
        <w:t>号，第</w:t>
      </w:r>
      <w:r w:rsidRPr="009D48A5">
        <w:t>163</w:t>
      </w:r>
      <w:r w:rsidRPr="009D48A5">
        <w:rPr>
          <w:rFonts w:hint="eastAsia"/>
        </w:rPr>
        <w:t>页。</w:t>
      </w:r>
    </w:p>
  </w:footnote>
  <w:footnote w:id="547">
    <w:p w:rsidR="00AB00DE" w:rsidRPr="009D48A5" w:rsidRDefault="00AB00DE" w:rsidP="00B44972">
      <w:pPr>
        <w:pStyle w:val="a4"/>
        <w:spacing w:after="80"/>
        <w:rPr>
          <w:rFonts w:ascii="宋体" w:cs="宋体"/>
        </w:rPr>
      </w:pPr>
      <w:r w:rsidRPr="009D48A5">
        <w:rPr>
          <w:rFonts w:hint="eastAsia"/>
        </w:rPr>
        <w:tab/>
      </w:r>
      <w:r w:rsidRPr="00DF5565">
        <w:rPr>
          <w:rStyle w:val="a5"/>
          <w:szCs w:val="22"/>
        </w:rPr>
        <w:footnoteRef/>
      </w:r>
      <w:r w:rsidRPr="009D48A5">
        <w:rPr>
          <w:rFonts w:hint="eastAsia"/>
        </w:rPr>
        <w:tab/>
      </w:r>
      <w:r w:rsidRPr="009D48A5">
        <w:rPr>
          <w:rFonts w:hint="eastAsia"/>
        </w:rPr>
        <w:t>联合国，《条约汇编》，第</w:t>
      </w:r>
      <w:r w:rsidRPr="009D48A5">
        <w:t>1974</w:t>
      </w:r>
      <w:r w:rsidRPr="009D48A5">
        <w:rPr>
          <w:rFonts w:hint="eastAsia"/>
        </w:rPr>
        <w:t>卷，第</w:t>
      </w:r>
      <w:r w:rsidRPr="009D48A5">
        <w:t>33757</w:t>
      </w:r>
      <w:r w:rsidRPr="009D48A5">
        <w:rPr>
          <w:rFonts w:hint="eastAsia"/>
        </w:rPr>
        <w:t>号</w:t>
      </w:r>
      <w:r w:rsidRPr="009D48A5">
        <w:t>，</w:t>
      </w:r>
      <w:r w:rsidRPr="009D48A5">
        <w:rPr>
          <w:rFonts w:hint="eastAsia"/>
        </w:rPr>
        <w:t>第</w:t>
      </w:r>
      <w:r w:rsidRPr="009D48A5">
        <w:rPr>
          <w:rFonts w:hint="eastAsia"/>
        </w:rPr>
        <w:t>45</w:t>
      </w:r>
      <w:r w:rsidRPr="009D48A5">
        <w:rPr>
          <w:rFonts w:hint="eastAsia"/>
        </w:rPr>
        <w:t>页。</w:t>
      </w:r>
    </w:p>
  </w:footnote>
  <w:footnote w:id="548">
    <w:p w:rsidR="00AB00DE" w:rsidRPr="009D48A5" w:rsidRDefault="00AB00DE" w:rsidP="00D90936">
      <w:pPr>
        <w:pStyle w:val="a4"/>
        <w:spacing w:after="80"/>
      </w:pPr>
      <w:r w:rsidRPr="009D48A5">
        <w:rPr>
          <w:rFonts w:hint="eastAsia"/>
        </w:rPr>
        <w:tab/>
      </w:r>
      <w:r w:rsidRPr="00DF5565">
        <w:rPr>
          <w:rStyle w:val="a5"/>
          <w:szCs w:val="22"/>
        </w:rPr>
        <w:footnoteRef/>
      </w:r>
      <w:r w:rsidRPr="009D48A5">
        <w:rPr>
          <w:rFonts w:hint="eastAsia"/>
        </w:rPr>
        <w:tab/>
      </w:r>
      <w:r w:rsidRPr="009D48A5">
        <w:rPr>
          <w:rFonts w:hint="eastAsia"/>
        </w:rPr>
        <w:t>一般见</w:t>
      </w:r>
      <w:r w:rsidRPr="009D48A5">
        <w:t xml:space="preserve">Gardiner, </w:t>
      </w:r>
      <w:r w:rsidRPr="009D48A5">
        <w:rPr>
          <w:i/>
          <w:iCs/>
        </w:rPr>
        <w:t>Treaty Interpretation</w:t>
      </w:r>
      <w:r w:rsidRPr="009D48A5">
        <w:t xml:space="preserve"> </w:t>
      </w:r>
      <w:r w:rsidRPr="009D48A5">
        <w:rPr>
          <w:rFonts w:hint="eastAsia"/>
        </w:rPr>
        <w:t>(</w:t>
      </w:r>
      <w:r w:rsidRPr="009D48A5">
        <w:rPr>
          <w:rFonts w:hint="eastAsia"/>
        </w:rPr>
        <w:t>见上文脚注</w:t>
      </w:r>
      <w:r w:rsidRPr="00D90936">
        <w:rPr>
          <w:rFonts w:asciiTheme="majorBidi" w:hAnsiTheme="majorBidi" w:cstheme="majorBidi"/>
        </w:rPr>
        <w:fldChar w:fldCharType="begin"/>
      </w:r>
      <w:r w:rsidRPr="00D90936">
        <w:rPr>
          <w:rFonts w:asciiTheme="majorBidi" w:hAnsiTheme="majorBidi" w:cstheme="majorBidi"/>
        </w:rPr>
        <w:instrText xml:space="preserve"> NOTEREF _Ref461971974 \h </w:instrText>
      </w:r>
      <w:r>
        <w:rPr>
          <w:rFonts w:asciiTheme="majorBidi" w:hAnsiTheme="majorBidi" w:cstheme="majorBidi"/>
        </w:rPr>
        <w:instrText xml:space="preserve"> \* MERGEFORMAT </w:instrText>
      </w:r>
      <w:r w:rsidRPr="00D90936">
        <w:rPr>
          <w:rFonts w:asciiTheme="majorBidi" w:hAnsiTheme="majorBidi" w:cstheme="majorBidi"/>
        </w:rPr>
      </w:r>
      <w:r w:rsidRPr="00D90936">
        <w:rPr>
          <w:rFonts w:asciiTheme="majorBidi" w:hAnsiTheme="majorBidi" w:cstheme="majorBidi"/>
        </w:rPr>
        <w:fldChar w:fldCharType="separate"/>
      </w:r>
      <w:r w:rsidR="00A73EB9">
        <w:rPr>
          <w:rFonts w:asciiTheme="majorBidi" w:hAnsiTheme="majorBidi" w:cstheme="majorBidi"/>
        </w:rPr>
        <w:t>392</w:t>
      </w:r>
      <w:r w:rsidRPr="00D90936">
        <w:rPr>
          <w:rFonts w:asciiTheme="majorBidi" w:hAnsiTheme="majorBidi" w:cstheme="majorBidi"/>
        </w:rPr>
        <w:fldChar w:fldCharType="end"/>
      </w:r>
      <w:r w:rsidRPr="009D48A5">
        <w:rPr>
          <w:rFonts w:hint="eastAsia"/>
        </w:rPr>
        <w:t>)</w:t>
      </w:r>
      <w:r w:rsidRPr="009D48A5">
        <w:rPr>
          <w:rFonts w:hint="eastAsia"/>
        </w:rPr>
        <w:t>，第</w:t>
      </w:r>
      <w:r w:rsidRPr="009D48A5">
        <w:rPr>
          <w:rFonts w:hint="eastAsia"/>
        </w:rPr>
        <w:t>270</w:t>
      </w:r>
      <w:r w:rsidRPr="009D48A5">
        <w:rPr>
          <w:rFonts w:hint="eastAsia"/>
        </w:rPr>
        <w:t>页。</w:t>
      </w:r>
    </w:p>
  </w:footnote>
  <w:footnote w:id="549">
    <w:p w:rsidR="00AB00DE" w:rsidRPr="009D48A5" w:rsidRDefault="00AB00DE" w:rsidP="00B44972">
      <w:pPr>
        <w:pStyle w:val="a4"/>
        <w:spacing w:after="80"/>
      </w:pPr>
      <w:r w:rsidRPr="009D48A5">
        <w:rPr>
          <w:rFonts w:hint="eastAsia"/>
        </w:rPr>
        <w:tab/>
      </w:r>
      <w:r w:rsidRPr="00DF5565">
        <w:rPr>
          <w:rStyle w:val="a5"/>
          <w:szCs w:val="22"/>
        </w:rPr>
        <w:footnoteRef/>
      </w:r>
      <w:r w:rsidRPr="00DF5565">
        <w:rPr>
          <w:rStyle w:val="a5"/>
          <w:rFonts w:hint="eastAsia"/>
          <w:szCs w:val="22"/>
        </w:rPr>
        <w:tab/>
      </w:r>
      <w:r w:rsidRPr="009D48A5">
        <w:t>H.-P. Gasser,</w:t>
      </w:r>
      <w:r w:rsidRPr="009D48A5">
        <w:rPr>
          <w:rFonts w:hint="eastAsia"/>
        </w:rPr>
        <w:t>“红十字国际委员会</w:t>
      </w:r>
      <w:r w:rsidRPr="009D48A5">
        <w:rPr>
          <w:rFonts w:hint="eastAsia"/>
        </w:rPr>
        <w:t>(</w:t>
      </w:r>
      <w:r w:rsidRPr="009D48A5">
        <w:rPr>
          <w:rFonts w:hint="eastAsia"/>
        </w:rPr>
        <w:t>红十字委员会</w:t>
      </w:r>
      <w:r w:rsidRPr="009D48A5">
        <w:rPr>
          <w:rFonts w:hint="eastAsia"/>
        </w:rPr>
        <w:t>)</w:t>
      </w:r>
      <w:r w:rsidRPr="009D48A5">
        <w:rPr>
          <w:rFonts w:hint="eastAsia"/>
        </w:rPr>
        <w:t>”，</w:t>
      </w:r>
      <w:r w:rsidRPr="009D48A5">
        <w:t>《马克思普朗克国际公法百科全书》</w:t>
      </w:r>
      <w:r w:rsidRPr="009D48A5">
        <w:rPr>
          <w:rFonts w:hint="eastAsia"/>
        </w:rPr>
        <w:t>(</w:t>
      </w:r>
      <w:r w:rsidRPr="009D48A5">
        <w:rPr>
          <w:iCs/>
        </w:rPr>
        <w:t>www.mpepil.com</w:t>
      </w:r>
      <w:r w:rsidRPr="009D48A5">
        <w:rPr>
          <w:rFonts w:hint="eastAsia"/>
        </w:rPr>
        <w:t>)</w:t>
      </w:r>
      <w:r w:rsidRPr="009D48A5">
        <w:rPr>
          <w:rFonts w:hint="eastAsia"/>
        </w:rPr>
        <w:t>，第</w:t>
      </w:r>
      <w:r w:rsidRPr="009D48A5">
        <w:rPr>
          <w:rFonts w:hint="eastAsia"/>
        </w:rPr>
        <w:t>20</w:t>
      </w:r>
      <w:r w:rsidRPr="009D48A5">
        <w:rPr>
          <w:rFonts w:hint="eastAsia"/>
        </w:rPr>
        <w:t>段。</w:t>
      </w:r>
    </w:p>
  </w:footnote>
  <w:footnote w:id="550">
    <w:p w:rsidR="00AB00DE" w:rsidRPr="009D48A5" w:rsidRDefault="00AB00DE" w:rsidP="00B44972">
      <w:pPr>
        <w:pStyle w:val="a4"/>
        <w:spacing w:after="80"/>
      </w:pPr>
      <w:r w:rsidRPr="009D48A5">
        <w:rPr>
          <w:rFonts w:hint="eastAsia"/>
        </w:rPr>
        <w:tab/>
      </w:r>
      <w:r w:rsidRPr="00DF5565">
        <w:rPr>
          <w:rStyle w:val="a5"/>
          <w:szCs w:val="22"/>
        </w:rPr>
        <w:footnoteRef/>
      </w:r>
      <w:r w:rsidRPr="009D48A5">
        <w:rPr>
          <w:rFonts w:hint="eastAsia"/>
        </w:rPr>
        <w:tab/>
      </w:r>
      <w:r w:rsidRPr="009D48A5">
        <w:rPr>
          <w:rFonts w:hint="eastAsia"/>
        </w:rPr>
        <w:t>同上，第</w:t>
      </w:r>
      <w:r w:rsidRPr="009D48A5">
        <w:rPr>
          <w:rFonts w:hint="eastAsia"/>
        </w:rPr>
        <w:t>25</w:t>
      </w:r>
      <w:r w:rsidRPr="009D48A5">
        <w:rPr>
          <w:rFonts w:hint="eastAsia"/>
        </w:rPr>
        <w:t>段。</w:t>
      </w:r>
    </w:p>
  </w:footnote>
  <w:footnote w:id="551">
    <w:p w:rsidR="00AB00DE" w:rsidRPr="009D48A5" w:rsidRDefault="00AB00DE" w:rsidP="00B44972">
      <w:pPr>
        <w:pStyle w:val="a4"/>
        <w:spacing w:after="80"/>
      </w:pPr>
      <w:r w:rsidRPr="009D48A5">
        <w:rPr>
          <w:rFonts w:hint="eastAsia"/>
        </w:rPr>
        <w:tab/>
      </w:r>
      <w:r w:rsidRPr="00DF5565">
        <w:rPr>
          <w:rStyle w:val="a5"/>
          <w:szCs w:val="22"/>
        </w:rPr>
        <w:footnoteRef/>
      </w:r>
      <w:r w:rsidRPr="009D48A5">
        <w:rPr>
          <w:rFonts w:hint="eastAsia"/>
        </w:rPr>
        <w:tab/>
      </w:r>
      <w:r w:rsidRPr="009D48A5">
        <w:rPr>
          <w:rFonts w:hint="eastAsia"/>
        </w:rPr>
        <w:t>《</w:t>
      </w:r>
      <w:hyperlink r:id="rId62" w:tgtFrame="_blank" w:history="1">
        <w:r w:rsidRPr="009D48A5">
          <w:rPr>
            <w:rFonts w:hint="eastAsia"/>
          </w:rPr>
          <w:t>改善战地武装部队伤者病者境遇的日内瓦公约</w:t>
        </w:r>
      </w:hyperlink>
      <w:r w:rsidRPr="009D48A5">
        <w:rPr>
          <w:rFonts w:hint="eastAsia"/>
        </w:rPr>
        <w:t>》</w:t>
      </w:r>
      <w:r>
        <w:rPr>
          <w:rFonts w:hint="eastAsia"/>
        </w:rPr>
        <w:t>(</w:t>
      </w:r>
      <w:r w:rsidRPr="009D48A5">
        <w:rPr>
          <w:rFonts w:hint="eastAsia"/>
        </w:rPr>
        <w:t>1949</w:t>
      </w:r>
      <w:r w:rsidRPr="009D48A5">
        <w:rPr>
          <w:rFonts w:hint="eastAsia"/>
        </w:rPr>
        <w:t>年</w:t>
      </w:r>
      <w:r w:rsidRPr="009D48A5">
        <w:rPr>
          <w:rFonts w:hint="eastAsia"/>
        </w:rPr>
        <w:t>8</w:t>
      </w:r>
      <w:r w:rsidRPr="009D48A5">
        <w:rPr>
          <w:rFonts w:hint="eastAsia"/>
        </w:rPr>
        <w:t>月</w:t>
      </w:r>
      <w:r w:rsidRPr="009D48A5">
        <w:rPr>
          <w:rFonts w:hint="eastAsia"/>
        </w:rPr>
        <w:t>12</w:t>
      </w:r>
      <w:r w:rsidRPr="009D48A5">
        <w:rPr>
          <w:rFonts w:hint="eastAsia"/>
        </w:rPr>
        <w:t>日，日内瓦</w:t>
      </w:r>
      <w:r>
        <w:rPr>
          <w:rFonts w:hint="eastAsia"/>
        </w:rPr>
        <w:t>)</w:t>
      </w:r>
      <w:r w:rsidRPr="009D48A5">
        <w:rPr>
          <w:rFonts w:hint="eastAsia"/>
        </w:rPr>
        <w:t>，联合国，《条约汇编》，第</w:t>
      </w:r>
      <w:r w:rsidRPr="009D48A5">
        <w:t>75</w:t>
      </w:r>
      <w:r w:rsidRPr="009D48A5">
        <w:rPr>
          <w:rFonts w:hint="eastAsia"/>
        </w:rPr>
        <w:t>卷，第</w:t>
      </w:r>
      <w:r w:rsidRPr="009D48A5">
        <w:t>97</w:t>
      </w:r>
      <w:r w:rsidRPr="009D48A5">
        <w:rPr>
          <w:rFonts w:hint="eastAsia"/>
        </w:rPr>
        <w:t>0</w:t>
      </w:r>
      <w:r w:rsidRPr="009D48A5">
        <w:rPr>
          <w:rFonts w:hint="eastAsia"/>
        </w:rPr>
        <w:t>号，第</w:t>
      </w:r>
      <w:r w:rsidRPr="009D48A5">
        <w:t>31</w:t>
      </w:r>
      <w:r w:rsidRPr="009D48A5">
        <w:rPr>
          <w:rFonts w:hint="eastAsia"/>
        </w:rPr>
        <w:t>页</w:t>
      </w:r>
      <w:r>
        <w:rPr>
          <w:rFonts w:hint="eastAsia"/>
        </w:rPr>
        <w:t>(</w:t>
      </w:r>
      <w:r w:rsidRPr="009D48A5">
        <w:rPr>
          <w:rFonts w:hint="eastAsia"/>
        </w:rPr>
        <w:t>《日内瓦第一公约》</w:t>
      </w:r>
      <w:r>
        <w:rPr>
          <w:rFonts w:hint="eastAsia"/>
        </w:rPr>
        <w:t>)</w:t>
      </w:r>
      <w:r w:rsidRPr="009D48A5">
        <w:rPr>
          <w:rFonts w:hint="eastAsia"/>
        </w:rPr>
        <w:t>；《改善海上武装部队伤者病者及遇船难者境遇的日内瓦公约》</w:t>
      </w:r>
      <w:r>
        <w:rPr>
          <w:rFonts w:hint="eastAsia"/>
        </w:rPr>
        <w:t>(</w:t>
      </w:r>
      <w:r w:rsidRPr="009D48A5">
        <w:rPr>
          <w:rFonts w:hint="eastAsia"/>
        </w:rPr>
        <w:t>1949</w:t>
      </w:r>
      <w:r w:rsidRPr="009D48A5">
        <w:rPr>
          <w:rFonts w:hint="eastAsia"/>
        </w:rPr>
        <w:t>年</w:t>
      </w:r>
      <w:r w:rsidRPr="009D48A5">
        <w:rPr>
          <w:rFonts w:hint="eastAsia"/>
        </w:rPr>
        <w:t>8</w:t>
      </w:r>
      <w:r w:rsidRPr="009D48A5">
        <w:rPr>
          <w:rFonts w:hint="eastAsia"/>
        </w:rPr>
        <w:t>月</w:t>
      </w:r>
      <w:r w:rsidRPr="009D48A5">
        <w:rPr>
          <w:rFonts w:hint="eastAsia"/>
        </w:rPr>
        <w:t>12</w:t>
      </w:r>
      <w:r w:rsidRPr="009D48A5">
        <w:rPr>
          <w:rFonts w:hint="eastAsia"/>
        </w:rPr>
        <w:t>日，日内瓦</w:t>
      </w:r>
      <w:r>
        <w:rPr>
          <w:rFonts w:hint="eastAsia"/>
        </w:rPr>
        <w:t>)</w:t>
      </w:r>
      <w:r w:rsidRPr="009D48A5">
        <w:rPr>
          <w:rFonts w:hint="eastAsia"/>
        </w:rPr>
        <w:t>，同上，第</w:t>
      </w:r>
      <w:r w:rsidRPr="009D48A5">
        <w:t>971</w:t>
      </w:r>
      <w:r w:rsidRPr="009D48A5">
        <w:rPr>
          <w:rFonts w:hint="eastAsia"/>
        </w:rPr>
        <w:t>号，第</w:t>
      </w:r>
      <w:r w:rsidRPr="009D48A5">
        <w:t>85</w:t>
      </w:r>
      <w:r w:rsidRPr="009D48A5">
        <w:rPr>
          <w:rFonts w:hint="eastAsia"/>
        </w:rPr>
        <w:t>页</w:t>
      </w:r>
      <w:r>
        <w:rPr>
          <w:rFonts w:hint="eastAsia"/>
        </w:rPr>
        <w:t>(</w:t>
      </w:r>
      <w:r w:rsidRPr="009D48A5">
        <w:rPr>
          <w:rFonts w:hint="eastAsia"/>
        </w:rPr>
        <w:t>《日内瓦第二公约》</w:t>
      </w:r>
      <w:r>
        <w:rPr>
          <w:rFonts w:hint="eastAsia"/>
        </w:rPr>
        <w:t>)</w:t>
      </w:r>
      <w:r w:rsidRPr="009D48A5">
        <w:rPr>
          <w:rFonts w:hint="eastAsia"/>
        </w:rPr>
        <w:t>；《关于战俘待遇的日内瓦公约》</w:t>
      </w:r>
      <w:r>
        <w:rPr>
          <w:rFonts w:hint="eastAsia"/>
        </w:rPr>
        <w:t>(</w:t>
      </w:r>
      <w:r w:rsidRPr="009D48A5">
        <w:rPr>
          <w:rFonts w:hint="eastAsia"/>
        </w:rPr>
        <w:t>1949</w:t>
      </w:r>
      <w:r w:rsidRPr="009D48A5">
        <w:rPr>
          <w:rFonts w:hint="eastAsia"/>
        </w:rPr>
        <w:t>年</w:t>
      </w:r>
      <w:r w:rsidRPr="009D48A5">
        <w:rPr>
          <w:rFonts w:hint="eastAsia"/>
        </w:rPr>
        <w:t>8</w:t>
      </w:r>
      <w:r w:rsidRPr="009D48A5">
        <w:rPr>
          <w:rFonts w:hint="eastAsia"/>
        </w:rPr>
        <w:t>月</w:t>
      </w:r>
      <w:r w:rsidRPr="009D48A5">
        <w:rPr>
          <w:rFonts w:hint="eastAsia"/>
        </w:rPr>
        <w:t>12</w:t>
      </w:r>
      <w:r w:rsidRPr="009D48A5">
        <w:rPr>
          <w:rFonts w:hint="eastAsia"/>
        </w:rPr>
        <w:t>日，日内瓦</w:t>
      </w:r>
      <w:r>
        <w:rPr>
          <w:rFonts w:hint="eastAsia"/>
        </w:rPr>
        <w:t>)</w:t>
      </w:r>
      <w:r w:rsidRPr="009D48A5">
        <w:rPr>
          <w:rFonts w:hint="eastAsia"/>
        </w:rPr>
        <w:t>，同上，第</w:t>
      </w:r>
      <w:r w:rsidRPr="009D48A5">
        <w:t>972</w:t>
      </w:r>
      <w:r w:rsidRPr="009D48A5">
        <w:rPr>
          <w:rFonts w:hint="eastAsia"/>
        </w:rPr>
        <w:t>号，第</w:t>
      </w:r>
      <w:r w:rsidRPr="009D48A5">
        <w:t>135</w:t>
      </w:r>
      <w:r w:rsidRPr="009D48A5">
        <w:rPr>
          <w:rFonts w:hint="eastAsia"/>
        </w:rPr>
        <w:t>页</w:t>
      </w:r>
      <w:r>
        <w:rPr>
          <w:rFonts w:hint="eastAsia"/>
        </w:rPr>
        <w:t>(</w:t>
      </w:r>
      <w:r w:rsidRPr="009D48A5">
        <w:rPr>
          <w:rFonts w:hint="eastAsia"/>
        </w:rPr>
        <w:t>《日内瓦第三公约》</w:t>
      </w:r>
      <w:r>
        <w:rPr>
          <w:rFonts w:hint="eastAsia"/>
        </w:rPr>
        <w:t>)</w:t>
      </w:r>
      <w:r w:rsidRPr="009D48A5">
        <w:rPr>
          <w:rFonts w:hint="eastAsia"/>
        </w:rPr>
        <w:t>；及《关于战时保护平民的日内瓦公约》</w:t>
      </w:r>
      <w:r>
        <w:rPr>
          <w:rFonts w:hint="eastAsia"/>
        </w:rPr>
        <w:t>(</w:t>
      </w:r>
      <w:r w:rsidRPr="009D48A5">
        <w:rPr>
          <w:rFonts w:hint="eastAsia"/>
        </w:rPr>
        <w:t>1949</w:t>
      </w:r>
      <w:r w:rsidRPr="009D48A5">
        <w:rPr>
          <w:rFonts w:hint="eastAsia"/>
        </w:rPr>
        <w:t>年</w:t>
      </w:r>
      <w:r w:rsidRPr="009D48A5">
        <w:rPr>
          <w:rFonts w:hint="eastAsia"/>
        </w:rPr>
        <w:t>8</w:t>
      </w:r>
      <w:r w:rsidRPr="009D48A5">
        <w:rPr>
          <w:rFonts w:hint="eastAsia"/>
        </w:rPr>
        <w:t>月</w:t>
      </w:r>
      <w:r w:rsidRPr="009D48A5">
        <w:rPr>
          <w:rFonts w:hint="eastAsia"/>
        </w:rPr>
        <w:t>12</w:t>
      </w:r>
      <w:r w:rsidRPr="009D48A5">
        <w:rPr>
          <w:rFonts w:hint="eastAsia"/>
        </w:rPr>
        <w:t>日，日内瓦</w:t>
      </w:r>
      <w:r>
        <w:rPr>
          <w:rFonts w:hint="eastAsia"/>
        </w:rPr>
        <w:t>)</w:t>
      </w:r>
      <w:r w:rsidRPr="009D48A5">
        <w:rPr>
          <w:rFonts w:hint="eastAsia"/>
        </w:rPr>
        <w:t>，同上，第</w:t>
      </w:r>
      <w:r w:rsidRPr="009D48A5">
        <w:t>973</w:t>
      </w:r>
      <w:r w:rsidRPr="009D48A5">
        <w:rPr>
          <w:rFonts w:hint="eastAsia"/>
        </w:rPr>
        <w:t>号，第</w:t>
      </w:r>
      <w:r w:rsidRPr="009D48A5">
        <w:t>287</w:t>
      </w:r>
      <w:r w:rsidRPr="009D48A5">
        <w:rPr>
          <w:rFonts w:hint="eastAsia"/>
        </w:rPr>
        <w:t>页</w:t>
      </w:r>
      <w:r>
        <w:rPr>
          <w:rFonts w:hint="eastAsia"/>
        </w:rPr>
        <w:t>(</w:t>
      </w:r>
      <w:r w:rsidRPr="009D48A5">
        <w:rPr>
          <w:rFonts w:hint="eastAsia"/>
        </w:rPr>
        <w:t>《日内瓦第四公约》</w:t>
      </w:r>
      <w:r>
        <w:rPr>
          <w:rFonts w:hint="eastAsia"/>
        </w:rPr>
        <w:t>)</w:t>
      </w:r>
      <w:r w:rsidRPr="009D48A5">
        <w:rPr>
          <w:rFonts w:hint="eastAsia"/>
        </w:rPr>
        <w:t>。</w:t>
      </w:r>
    </w:p>
  </w:footnote>
  <w:footnote w:id="552">
    <w:p w:rsidR="00AB00DE" w:rsidRPr="009D48A5" w:rsidRDefault="00AB00DE" w:rsidP="00B44972">
      <w:pPr>
        <w:pStyle w:val="a4"/>
        <w:spacing w:after="80"/>
      </w:pPr>
      <w:r w:rsidRPr="009D48A5">
        <w:rPr>
          <w:rFonts w:hint="eastAsia"/>
        </w:rPr>
        <w:tab/>
      </w:r>
      <w:r w:rsidRPr="00DF5565">
        <w:rPr>
          <w:rStyle w:val="a5"/>
          <w:szCs w:val="22"/>
        </w:rPr>
        <w:footnoteRef/>
      </w:r>
      <w:r w:rsidRPr="009D48A5">
        <w:rPr>
          <w:rFonts w:hint="eastAsia"/>
        </w:rPr>
        <w:tab/>
      </w:r>
      <w:r w:rsidRPr="009D48A5">
        <w:rPr>
          <w:rFonts w:hint="eastAsia"/>
        </w:rPr>
        <w:t>《</w:t>
      </w:r>
      <w:r w:rsidRPr="009D48A5">
        <w:rPr>
          <w:rFonts w:hint="eastAsia"/>
        </w:rPr>
        <w:t>1949</w:t>
      </w:r>
      <w:r w:rsidRPr="009D48A5">
        <w:rPr>
          <w:rFonts w:hint="eastAsia"/>
        </w:rPr>
        <w:t>年</w:t>
      </w:r>
      <w:r w:rsidRPr="009D48A5">
        <w:rPr>
          <w:rFonts w:hint="eastAsia"/>
        </w:rPr>
        <w:t>8</w:t>
      </w:r>
      <w:r w:rsidRPr="009D48A5">
        <w:rPr>
          <w:rFonts w:hint="eastAsia"/>
        </w:rPr>
        <w:t>月</w:t>
      </w:r>
      <w:r w:rsidRPr="009D48A5">
        <w:rPr>
          <w:rFonts w:hint="eastAsia"/>
        </w:rPr>
        <w:t>12</w:t>
      </w:r>
      <w:r w:rsidRPr="009D48A5">
        <w:rPr>
          <w:rFonts w:hint="eastAsia"/>
        </w:rPr>
        <w:t>日日内瓦四公约关于保护国际性武装冲突受害者的附加议定书》</w:t>
      </w:r>
      <w:r w:rsidRPr="009D48A5">
        <w:rPr>
          <w:rFonts w:hint="eastAsia"/>
        </w:rPr>
        <w:t>(</w:t>
      </w:r>
      <w:r w:rsidRPr="009D48A5">
        <w:rPr>
          <w:rFonts w:hint="eastAsia"/>
        </w:rPr>
        <w:t>第一议定书</w:t>
      </w:r>
      <w:r w:rsidRPr="009D48A5">
        <w:rPr>
          <w:rFonts w:hint="eastAsia"/>
        </w:rPr>
        <w:t>)</w:t>
      </w:r>
      <w:r w:rsidRPr="009D48A5">
        <w:rPr>
          <w:rFonts w:hint="eastAsia"/>
        </w:rPr>
        <w:t>，</w:t>
      </w:r>
      <w:r w:rsidRPr="009D48A5">
        <w:rPr>
          <w:rFonts w:hint="eastAsia"/>
        </w:rPr>
        <w:t>1977</w:t>
      </w:r>
      <w:r w:rsidRPr="009D48A5">
        <w:rPr>
          <w:rFonts w:hint="eastAsia"/>
        </w:rPr>
        <w:t>年，联合国，《条约汇编》，第</w:t>
      </w:r>
      <w:r w:rsidRPr="009D48A5">
        <w:rPr>
          <w:rFonts w:hint="eastAsia"/>
        </w:rPr>
        <w:t>1125</w:t>
      </w:r>
      <w:r w:rsidRPr="009D48A5">
        <w:rPr>
          <w:rFonts w:hint="eastAsia"/>
        </w:rPr>
        <w:t>卷，第</w:t>
      </w:r>
      <w:r w:rsidRPr="009D48A5">
        <w:rPr>
          <w:rFonts w:hint="eastAsia"/>
        </w:rPr>
        <w:t>17512</w:t>
      </w:r>
      <w:r w:rsidRPr="009D48A5">
        <w:rPr>
          <w:rFonts w:hint="eastAsia"/>
        </w:rPr>
        <w:t>号，第</w:t>
      </w:r>
      <w:r w:rsidRPr="009D48A5">
        <w:rPr>
          <w:rFonts w:hint="eastAsia"/>
        </w:rPr>
        <w:t>3</w:t>
      </w:r>
      <w:r w:rsidRPr="009D48A5">
        <w:rPr>
          <w:rFonts w:hint="eastAsia"/>
        </w:rPr>
        <w:t>页；《</w:t>
      </w:r>
      <w:r w:rsidRPr="009D48A5">
        <w:rPr>
          <w:rFonts w:hint="eastAsia"/>
        </w:rPr>
        <w:t>1949</w:t>
      </w:r>
      <w:r w:rsidRPr="009D48A5">
        <w:rPr>
          <w:rFonts w:hint="eastAsia"/>
        </w:rPr>
        <w:t>年</w:t>
      </w:r>
      <w:r w:rsidRPr="009D48A5">
        <w:rPr>
          <w:rFonts w:hint="eastAsia"/>
        </w:rPr>
        <w:t>8</w:t>
      </w:r>
      <w:r w:rsidRPr="009D48A5">
        <w:rPr>
          <w:rFonts w:hint="eastAsia"/>
        </w:rPr>
        <w:t>月</w:t>
      </w:r>
      <w:r w:rsidRPr="009D48A5">
        <w:rPr>
          <w:rFonts w:hint="eastAsia"/>
        </w:rPr>
        <w:t>12</w:t>
      </w:r>
      <w:r w:rsidRPr="009D48A5">
        <w:rPr>
          <w:rFonts w:hint="eastAsia"/>
        </w:rPr>
        <w:t>日日内瓦四公约关于保护非国际性武装冲突受害者的附加议定书》</w:t>
      </w:r>
      <w:r w:rsidRPr="009D48A5">
        <w:rPr>
          <w:rFonts w:hint="eastAsia"/>
        </w:rPr>
        <w:t>(</w:t>
      </w:r>
      <w:r w:rsidRPr="009D48A5">
        <w:rPr>
          <w:rFonts w:hint="eastAsia"/>
        </w:rPr>
        <w:t>第二议定书</w:t>
      </w:r>
      <w:r w:rsidRPr="009D48A5">
        <w:rPr>
          <w:rFonts w:hint="eastAsia"/>
        </w:rPr>
        <w:t>)</w:t>
      </w:r>
      <w:r w:rsidRPr="009D48A5">
        <w:rPr>
          <w:rFonts w:hint="eastAsia"/>
        </w:rPr>
        <w:t>，</w:t>
      </w:r>
      <w:r w:rsidRPr="009D48A5">
        <w:rPr>
          <w:rFonts w:hint="eastAsia"/>
        </w:rPr>
        <w:t>1977</w:t>
      </w:r>
      <w:r w:rsidRPr="009D48A5">
        <w:rPr>
          <w:rFonts w:hint="eastAsia"/>
        </w:rPr>
        <w:t>年，同上，第</w:t>
      </w:r>
      <w:r w:rsidRPr="009D48A5">
        <w:rPr>
          <w:rFonts w:hint="eastAsia"/>
        </w:rPr>
        <w:t>17513</w:t>
      </w:r>
      <w:r w:rsidRPr="009D48A5">
        <w:rPr>
          <w:rFonts w:hint="eastAsia"/>
        </w:rPr>
        <w:t>号，第</w:t>
      </w:r>
      <w:r w:rsidRPr="009D48A5">
        <w:rPr>
          <w:rFonts w:hint="eastAsia"/>
        </w:rPr>
        <w:t>609</w:t>
      </w:r>
      <w:r w:rsidRPr="009D48A5">
        <w:rPr>
          <w:rFonts w:hint="eastAsia"/>
        </w:rPr>
        <w:t>页。</w:t>
      </w:r>
    </w:p>
  </w:footnote>
  <w:footnote w:id="553">
    <w:p w:rsidR="00AB00DE" w:rsidRPr="009D48A5" w:rsidRDefault="00AB00DE" w:rsidP="00B44972">
      <w:pPr>
        <w:pStyle w:val="a4"/>
        <w:spacing w:after="80"/>
        <w:rPr>
          <w:rFonts w:ascii="宋体" w:cs="宋体"/>
        </w:rPr>
      </w:pPr>
      <w:r w:rsidRPr="009D48A5">
        <w:rPr>
          <w:rFonts w:hint="eastAsia"/>
        </w:rPr>
        <w:tab/>
      </w:r>
      <w:r w:rsidRPr="00DF5565">
        <w:rPr>
          <w:rStyle w:val="a5"/>
          <w:szCs w:val="22"/>
        </w:rPr>
        <w:footnoteRef/>
      </w:r>
      <w:r w:rsidRPr="009D48A5">
        <w:rPr>
          <w:rFonts w:hint="eastAsia"/>
        </w:rPr>
        <w:tab/>
        <w:t>1986</w:t>
      </w:r>
      <w:r w:rsidRPr="009D48A5">
        <w:rPr>
          <w:rFonts w:hint="eastAsia"/>
        </w:rPr>
        <w:t>年在日内瓦举行的第</w:t>
      </w:r>
      <w:r w:rsidRPr="009D48A5">
        <w:t>25</w:t>
      </w:r>
      <w:r w:rsidRPr="009D48A5">
        <w:rPr>
          <w:rFonts w:hint="eastAsia"/>
        </w:rPr>
        <w:t>届国际红十字大会通过，并于</w:t>
      </w:r>
      <w:r w:rsidRPr="009D48A5">
        <w:t>1995</w:t>
      </w:r>
      <w:r w:rsidRPr="009D48A5">
        <w:rPr>
          <w:rFonts w:hint="eastAsia"/>
        </w:rPr>
        <w:t>年和</w:t>
      </w:r>
      <w:r w:rsidRPr="009D48A5">
        <w:t>2006</w:t>
      </w:r>
      <w:r w:rsidRPr="009D48A5">
        <w:rPr>
          <w:rFonts w:hint="eastAsia"/>
        </w:rPr>
        <w:t>年进行了修正。可查阅：</w:t>
      </w:r>
      <w:hyperlink r:id="rId63" w:history="1">
        <w:r w:rsidRPr="009D48A5">
          <w:t>www.icrc.org/eng/assets/files/other/statutes-en-a5.pdf</w:t>
        </w:r>
        <w:r w:rsidRPr="009D48A5">
          <w:rPr>
            <w:rFonts w:hint="eastAsia"/>
          </w:rPr>
          <w:t>(2016</w:t>
        </w:r>
        <w:r w:rsidRPr="009D48A5">
          <w:rPr>
            <w:rFonts w:hint="eastAsia"/>
          </w:rPr>
          <w:t>年</w:t>
        </w:r>
        <w:r w:rsidRPr="009D48A5">
          <w:rPr>
            <w:rFonts w:hint="eastAsia"/>
          </w:rPr>
          <w:t>5</w:t>
        </w:r>
        <w:r w:rsidRPr="009D48A5">
          <w:rPr>
            <w:rFonts w:hint="eastAsia"/>
          </w:rPr>
          <w:t>月</w:t>
        </w:r>
        <w:r w:rsidRPr="009D48A5">
          <w:rPr>
            <w:rFonts w:hint="eastAsia"/>
          </w:rPr>
          <w:t>17</w:t>
        </w:r>
      </w:hyperlink>
      <w:r w:rsidRPr="009D48A5">
        <w:rPr>
          <w:rFonts w:hint="eastAsia"/>
        </w:rPr>
        <w:t>日查阅</w:t>
      </w:r>
      <w:r w:rsidRPr="009D48A5">
        <w:rPr>
          <w:rFonts w:hint="eastAsia"/>
        </w:rPr>
        <w:t>)</w:t>
      </w:r>
      <w:r w:rsidRPr="009D48A5">
        <w:rPr>
          <w:rFonts w:hint="eastAsia"/>
        </w:rPr>
        <w:t>。</w:t>
      </w:r>
    </w:p>
  </w:footnote>
  <w:footnote w:id="554">
    <w:p w:rsidR="00AB00DE" w:rsidRPr="009D48A5" w:rsidRDefault="00AB00DE" w:rsidP="00B44972">
      <w:pPr>
        <w:pStyle w:val="a4"/>
        <w:spacing w:after="80"/>
      </w:pPr>
      <w:r w:rsidRPr="009D48A5">
        <w:rPr>
          <w:rFonts w:hint="eastAsia"/>
        </w:rPr>
        <w:tab/>
      </w:r>
      <w:r w:rsidRPr="00DF5565">
        <w:rPr>
          <w:rStyle w:val="a5"/>
          <w:szCs w:val="22"/>
        </w:rPr>
        <w:footnoteRef/>
      </w:r>
      <w:r w:rsidRPr="009D48A5">
        <w:rPr>
          <w:rFonts w:hint="eastAsia"/>
        </w:rPr>
        <w:tab/>
      </w:r>
      <w:r w:rsidRPr="009D48A5">
        <w:rPr>
          <w:rFonts w:hint="eastAsia"/>
        </w:rPr>
        <w:t>日内瓦，</w:t>
      </w:r>
      <w:r w:rsidRPr="009D48A5">
        <w:rPr>
          <w:rFonts w:hint="eastAsia"/>
        </w:rPr>
        <w:t>2009</w:t>
      </w:r>
      <w:r w:rsidRPr="009D48A5">
        <w:rPr>
          <w:rFonts w:hint="eastAsia"/>
        </w:rPr>
        <w:t>年，第</w:t>
      </w:r>
      <w:r w:rsidRPr="009D48A5">
        <w:rPr>
          <w:rFonts w:hint="eastAsia"/>
        </w:rPr>
        <w:t>10</w:t>
      </w:r>
      <w:r w:rsidRPr="009D48A5">
        <w:rPr>
          <w:rFonts w:hint="eastAsia"/>
        </w:rPr>
        <w:t>页，可查阅</w:t>
      </w:r>
      <w:hyperlink r:id="rId64" w:history="1">
        <w:r w:rsidRPr="005E69E7">
          <w:rPr>
            <w:rStyle w:val="af"/>
          </w:rPr>
          <w:t>www.icrc.org</w:t>
        </w:r>
      </w:hyperlink>
      <w:r w:rsidRPr="009D48A5">
        <w:rPr>
          <w:rFonts w:hint="eastAsia"/>
        </w:rPr>
        <w:t>。</w:t>
      </w:r>
    </w:p>
  </w:footnote>
  <w:footnote w:id="555">
    <w:p w:rsidR="00AB00DE" w:rsidRPr="009D48A5" w:rsidRDefault="00AB00DE" w:rsidP="00B44972">
      <w:pPr>
        <w:pStyle w:val="a4"/>
        <w:spacing w:after="80"/>
      </w:pPr>
      <w:r w:rsidRPr="009D48A5">
        <w:rPr>
          <w:rFonts w:hint="eastAsia"/>
        </w:rPr>
        <w:tab/>
      </w:r>
      <w:r w:rsidRPr="00DF5565">
        <w:rPr>
          <w:rStyle w:val="a5"/>
          <w:szCs w:val="22"/>
        </w:rPr>
        <w:footnoteRef/>
      </w:r>
      <w:r w:rsidRPr="009D48A5">
        <w:rPr>
          <w:rFonts w:hint="eastAsia"/>
        </w:rPr>
        <w:tab/>
      </w:r>
      <w:r w:rsidRPr="009D48A5">
        <w:rPr>
          <w:rFonts w:hint="eastAsia"/>
        </w:rPr>
        <w:t>同上，第</w:t>
      </w:r>
      <w:r w:rsidRPr="009D48A5">
        <w:rPr>
          <w:rFonts w:hint="eastAsia"/>
        </w:rPr>
        <w:t>9</w:t>
      </w:r>
      <w:r w:rsidRPr="009D48A5">
        <w:rPr>
          <w:rFonts w:hint="eastAsia"/>
        </w:rPr>
        <w:t>页。</w:t>
      </w:r>
    </w:p>
  </w:footnote>
  <w:footnote w:id="556">
    <w:p w:rsidR="00AB00DE" w:rsidRPr="009D48A5" w:rsidRDefault="00AB00DE" w:rsidP="00B44972">
      <w:pPr>
        <w:pStyle w:val="a4"/>
        <w:spacing w:after="80"/>
      </w:pPr>
      <w:r w:rsidRPr="009D48A5">
        <w:rPr>
          <w:rFonts w:hint="eastAsia"/>
        </w:rPr>
        <w:tab/>
      </w:r>
      <w:r w:rsidRPr="00DF5565">
        <w:rPr>
          <w:rStyle w:val="a5"/>
          <w:szCs w:val="22"/>
        </w:rPr>
        <w:footnoteRef/>
      </w:r>
      <w:r w:rsidRPr="009D48A5">
        <w:rPr>
          <w:rFonts w:hint="eastAsia"/>
        </w:rPr>
        <w:tab/>
      </w:r>
      <w:r w:rsidRPr="009D48A5">
        <w:rPr>
          <w:rFonts w:hint="eastAsia"/>
          <w:bCs/>
        </w:rPr>
        <w:t>第</w:t>
      </w:r>
      <w:r w:rsidRPr="009D48A5">
        <w:rPr>
          <w:rFonts w:hint="eastAsia"/>
          <w:bCs/>
        </w:rPr>
        <w:t>1</w:t>
      </w:r>
      <w:r w:rsidRPr="009D48A5">
        <w:rPr>
          <w:rFonts w:hint="eastAsia"/>
          <w:bCs/>
        </w:rPr>
        <w:t>号</w:t>
      </w:r>
      <w:r w:rsidRPr="009D48A5">
        <w:rPr>
          <w:rFonts w:hAnsi="Arial" w:hint="eastAsia"/>
        </w:rPr>
        <w:t>决议</w:t>
      </w:r>
      <w:r w:rsidRPr="009D48A5">
        <w:rPr>
          <w:rFonts w:hAnsi="Arial" w:hint="eastAsia"/>
          <w:spacing w:val="-50"/>
        </w:rPr>
        <w:t>―</w:t>
      </w:r>
      <w:r w:rsidRPr="009D48A5">
        <w:rPr>
          <w:rFonts w:hAnsi="Arial" w:hint="eastAsia"/>
        </w:rPr>
        <w:t>―加强</w:t>
      </w:r>
      <w:r w:rsidRPr="009D48A5">
        <w:rPr>
          <w:rFonts w:hint="eastAsia"/>
          <w:bCs/>
        </w:rPr>
        <w:t>对武装冲突受害者的法律保护，</w:t>
      </w:r>
      <w:r w:rsidRPr="009D48A5">
        <w:rPr>
          <w:rFonts w:hint="eastAsia"/>
          <w:bCs/>
        </w:rPr>
        <w:t>2011</w:t>
      </w:r>
      <w:r w:rsidRPr="009D48A5">
        <w:rPr>
          <w:rFonts w:hint="eastAsia"/>
          <w:bCs/>
        </w:rPr>
        <w:t>年</w:t>
      </w:r>
      <w:r w:rsidRPr="009D48A5">
        <w:rPr>
          <w:rFonts w:hint="eastAsia"/>
          <w:bCs/>
        </w:rPr>
        <w:t>12</w:t>
      </w:r>
      <w:r w:rsidRPr="009D48A5">
        <w:rPr>
          <w:rFonts w:hint="eastAsia"/>
          <w:bCs/>
        </w:rPr>
        <w:t>月</w:t>
      </w:r>
      <w:r w:rsidRPr="009D48A5">
        <w:rPr>
          <w:rFonts w:hint="eastAsia"/>
          <w:bCs/>
        </w:rPr>
        <w:t>1</w:t>
      </w:r>
      <w:r w:rsidRPr="009D48A5">
        <w:rPr>
          <w:rFonts w:hint="eastAsia"/>
          <w:bCs/>
        </w:rPr>
        <w:t>日</w:t>
      </w:r>
      <w:r w:rsidRPr="009D48A5">
        <w:rPr>
          <w:rFonts w:hint="eastAsia"/>
        </w:rPr>
        <w:t>。</w:t>
      </w:r>
    </w:p>
  </w:footnote>
  <w:footnote w:id="557">
    <w:p w:rsidR="00AB00DE" w:rsidRPr="008012F8" w:rsidRDefault="00AB00DE" w:rsidP="008D7906">
      <w:pPr>
        <w:pStyle w:val="a4"/>
      </w:pPr>
      <w:r w:rsidRPr="009D48A5">
        <w:rPr>
          <w:rFonts w:hint="eastAsia"/>
          <w:sz w:val="22"/>
          <w:szCs w:val="22"/>
        </w:rPr>
        <w:tab/>
      </w:r>
      <w:r w:rsidRPr="00DF5565">
        <w:rPr>
          <w:rStyle w:val="a5"/>
          <w:szCs w:val="22"/>
        </w:rPr>
        <w:footnoteRef/>
      </w:r>
      <w:r w:rsidRPr="009D48A5">
        <w:rPr>
          <w:rFonts w:hint="eastAsia"/>
          <w:sz w:val="22"/>
          <w:szCs w:val="22"/>
        </w:rPr>
        <w:tab/>
      </w:r>
      <w:r w:rsidRPr="008012F8">
        <w:rPr>
          <w:rFonts w:hAnsi="宋体"/>
        </w:rPr>
        <w:t>见</w:t>
      </w:r>
      <w:r w:rsidRPr="008012F8">
        <w:t>www.the-monitor.org</w:t>
      </w:r>
      <w:r w:rsidRPr="008012F8">
        <w:rPr>
          <w:rFonts w:hint="eastAsia"/>
        </w:rPr>
        <w:t>。</w:t>
      </w:r>
    </w:p>
  </w:footnote>
  <w:footnote w:id="558">
    <w:p w:rsidR="00AB00DE" w:rsidRPr="008012F8" w:rsidRDefault="00AB00DE" w:rsidP="008D7906">
      <w:pPr>
        <w:pStyle w:val="a4"/>
      </w:pPr>
      <w:r w:rsidRPr="008012F8">
        <w:tab/>
      </w:r>
      <w:r w:rsidRPr="00DF5565">
        <w:rPr>
          <w:rStyle w:val="a5"/>
        </w:rPr>
        <w:footnoteRef/>
      </w:r>
      <w:r w:rsidRPr="008012F8">
        <w:tab/>
      </w:r>
      <w:r w:rsidRPr="008012F8">
        <w:rPr>
          <w:rFonts w:hAnsi="宋体"/>
        </w:rPr>
        <w:t>联合国，《条约汇编》</w:t>
      </w:r>
      <w:r w:rsidRPr="008012F8">
        <w:rPr>
          <w:rFonts w:hAnsi="宋体" w:hint="eastAsia"/>
        </w:rPr>
        <w:t>，</w:t>
      </w:r>
      <w:r w:rsidRPr="008012F8">
        <w:rPr>
          <w:rFonts w:hAnsi="宋体"/>
        </w:rPr>
        <w:t>第</w:t>
      </w:r>
      <w:r w:rsidRPr="008012F8">
        <w:t>2056</w:t>
      </w:r>
      <w:r w:rsidRPr="008012F8">
        <w:rPr>
          <w:rFonts w:hAnsi="宋体"/>
        </w:rPr>
        <w:t>卷，第</w:t>
      </w:r>
      <w:r w:rsidRPr="008012F8">
        <w:t>35597</w:t>
      </w:r>
      <w:r w:rsidRPr="008012F8">
        <w:rPr>
          <w:rFonts w:hAnsi="宋体"/>
        </w:rPr>
        <w:t>号</w:t>
      </w:r>
      <w:r w:rsidRPr="008012F8">
        <w:rPr>
          <w:rFonts w:hAnsi="宋体" w:hint="eastAsia"/>
        </w:rPr>
        <w:t>，第</w:t>
      </w:r>
      <w:r w:rsidRPr="008012F8">
        <w:rPr>
          <w:rFonts w:hAnsi="宋体" w:hint="eastAsia"/>
        </w:rPr>
        <w:t>211</w:t>
      </w:r>
      <w:r w:rsidRPr="008012F8">
        <w:rPr>
          <w:rFonts w:hAnsi="宋体" w:hint="eastAsia"/>
        </w:rPr>
        <w:t>页</w:t>
      </w:r>
      <w:r w:rsidRPr="008012F8">
        <w:rPr>
          <w:rFonts w:hAnsi="宋体"/>
        </w:rPr>
        <w:t>。</w:t>
      </w:r>
    </w:p>
  </w:footnote>
  <w:footnote w:id="559">
    <w:p w:rsidR="00AB00DE" w:rsidRPr="008012F8" w:rsidRDefault="00AB00DE" w:rsidP="008D7906">
      <w:pPr>
        <w:pStyle w:val="a4"/>
        <w:rPr>
          <w:rFonts w:hAnsi="宋体"/>
        </w:rPr>
      </w:pPr>
      <w:r w:rsidRPr="008012F8">
        <w:tab/>
      </w:r>
      <w:r w:rsidRPr="00DF5565">
        <w:rPr>
          <w:rStyle w:val="a5"/>
        </w:rPr>
        <w:footnoteRef/>
      </w:r>
      <w:r w:rsidRPr="00DF5565">
        <w:rPr>
          <w:rStyle w:val="a5"/>
        </w:rPr>
        <w:tab/>
      </w:r>
      <w:r w:rsidRPr="008012F8">
        <w:rPr>
          <w:rFonts w:hAnsi="宋体" w:hint="eastAsia"/>
        </w:rPr>
        <w:t>同上</w:t>
      </w:r>
      <w:r w:rsidRPr="008012F8">
        <w:rPr>
          <w:rFonts w:hAnsi="宋体"/>
        </w:rPr>
        <w:t>，《条约汇编》，</w:t>
      </w:r>
      <w:r w:rsidRPr="008012F8">
        <w:rPr>
          <w:rFonts w:hAnsi="宋体" w:hint="eastAsia"/>
        </w:rPr>
        <w:t>第</w:t>
      </w:r>
      <w:r w:rsidRPr="008012F8">
        <w:rPr>
          <w:rFonts w:hAnsi="宋体" w:hint="eastAsia"/>
        </w:rPr>
        <w:t>2688</w:t>
      </w:r>
      <w:r w:rsidRPr="008012F8">
        <w:rPr>
          <w:rFonts w:hAnsi="宋体" w:hint="eastAsia"/>
        </w:rPr>
        <w:t>卷，</w:t>
      </w:r>
      <w:r w:rsidRPr="008012F8">
        <w:rPr>
          <w:rFonts w:hAnsi="宋体"/>
        </w:rPr>
        <w:t>第</w:t>
      </w:r>
      <w:r w:rsidRPr="008012F8">
        <w:t>47713</w:t>
      </w:r>
      <w:r w:rsidRPr="008012F8">
        <w:rPr>
          <w:rFonts w:hAnsi="宋体"/>
        </w:rPr>
        <w:t>号</w:t>
      </w:r>
      <w:r w:rsidRPr="008012F8">
        <w:rPr>
          <w:rFonts w:hAnsi="宋体" w:hint="eastAsia"/>
        </w:rPr>
        <w:t>，第</w:t>
      </w:r>
      <w:r w:rsidRPr="008012F8">
        <w:rPr>
          <w:rFonts w:hAnsi="宋体" w:hint="eastAsia"/>
        </w:rPr>
        <w:t>39</w:t>
      </w:r>
      <w:r w:rsidRPr="008012F8">
        <w:rPr>
          <w:rFonts w:hAnsi="宋体" w:hint="eastAsia"/>
        </w:rPr>
        <w:t>页</w:t>
      </w:r>
      <w:r w:rsidRPr="008012F8">
        <w:rPr>
          <w:rFonts w:hint="eastAsia"/>
        </w:rPr>
        <w:t>。</w:t>
      </w:r>
    </w:p>
  </w:footnote>
  <w:footnote w:id="560">
    <w:p w:rsidR="00AB00DE" w:rsidRPr="008012F8" w:rsidRDefault="00AB00DE" w:rsidP="008D7906">
      <w:pPr>
        <w:pStyle w:val="a4"/>
      </w:pPr>
      <w:r w:rsidRPr="008012F8">
        <w:rPr>
          <w:rFonts w:hint="eastAsia"/>
        </w:rPr>
        <w:tab/>
      </w:r>
      <w:r w:rsidRPr="00DF5565">
        <w:rPr>
          <w:rStyle w:val="a5"/>
        </w:rPr>
        <w:footnoteRef/>
      </w:r>
      <w:r w:rsidRPr="00DF5565">
        <w:rPr>
          <w:rStyle w:val="a5"/>
          <w:rFonts w:hint="eastAsia"/>
        </w:rPr>
        <w:tab/>
      </w:r>
      <w:r w:rsidRPr="008012F8">
        <w:rPr>
          <w:rFonts w:hAnsi="宋体"/>
        </w:rPr>
        <w:t>例如，见《</w:t>
      </w:r>
      <w:r w:rsidRPr="008012F8">
        <w:t>2011</w:t>
      </w:r>
      <w:r w:rsidRPr="008012F8">
        <w:rPr>
          <w:rFonts w:hAnsi="宋体"/>
        </w:rPr>
        <w:t>年集束弹药监测报告》</w:t>
      </w:r>
      <w:r w:rsidRPr="008012F8">
        <w:rPr>
          <w:rFonts w:hAnsi="宋体" w:hint="eastAsia"/>
        </w:rPr>
        <w:t>，</w:t>
      </w:r>
      <w:r w:rsidRPr="008012F8">
        <w:t>第</w:t>
      </w:r>
      <w:r w:rsidRPr="008012F8">
        <w:t>24-31</w:t>
      </w:r>
      <w:r w:rsidRPr="008012F8">
        <w:t>页。</w:t>
      </w:r>
    </w:p>
  </w:footnote>
  <w:footnote w:id="561">
    <w:p w:rsidR="00AB00DE" w:rsidRPr="008012F8" w:rsidRDefault="00AB00DE" w:rsidP="008D7906">
      <w:pPr>
        <w:pStyle w:val="a4"/>
      </w:pPr>
      <w:r w:rsidRPr="008012F8">
        <w:tab/>
      </w:r>
      <w:r w:rsidRPr="00DF5565">
        <w:rPr>
          <w:rStyle w:val="a5"/>
        </w:rPr>
        <w:footnoteRef/>
      </w:r>
      <w:r w:rsidRPr="008012F8">
        <w:tab/>
      </w:r>
      <w:r w:rsidRPr="008012F8">
        <w:t>见</w:t>
      </w:r>
      <w:hyperlink r:id="rId65" w:history="1">
        <w:r w:rsidRPr="00520E83">
          <w:rPr>
            <w:rStyle w:val="af"/>
          </w:rPr>
          <w:t>A/CN.4/660</w:t>
        </w:r>
      </w:hyperlink>
      <w:r w:rsidRPr="00520E83">
        <w:t xml:space="preserve">, </w:t>
      </w:r>
      <w:r w:rsidRPr="008012F8">
        <w:t>第</w:t>
      </w:r>
      <w:r w:rsidRPr="008012F8">
        <w:t>129</w:t>
      </w:r>
      <w:r w:rsidRPr="008012F8">
        <w:rPr>
          <w:rFonts w:hint="eastAsia"/>
        </w:rPr>
        <w:t>段及以下各</w:t>
      </w:r>
      <w:r w:rsidRPr="008012F8">
        <w:t>段。</w:t>
      </w:r>
    </w:p>
  </w:footnote>
  <w:footnote w:id="562">
    <w:p w:rsidR="00AB00DE" w:rsidRPr="008012F8" w:rsidRDefault="00AB00DE" w:rsidP="008D7906">
      <w:pPr>
        <w:pStyle w:val="a4"/>
      </w:pPr>
      <w:r w:rsidRPr="008012F8">
        <w:tab/>
      </w:r>
      <w:r w:rsidRPr="00DF5565">
        <w:rPr>
          <w:rStyle w:val="a5"/>
        </w:rPr>
        <w:footnoteRef/>
      </w:r>
      <w:r w:rsidRPr="008012F8">
        <w:tab/>
        <w:t>Christine Goodwin</w:t>
      </w:r>
      <w:r w:rsidRPr="008012F8">
        <w:rPr>
          <w:rFonts w:ascii="Time New Roman" w:eastAsia="楷体" w:hAnsi="Time New Roman"/>
        </w:rPr>
        <w:t>诉联合王国</w:t>
      </w:r>
      <w:r w:rsidRPr="008012F8">
        <w:t>[GC]</w:t>
      </w:r>
      <w:r w:rsidRPr="008012F8">
        <w:t>，第</w:t>
      </w:r>
      <w:r w:rsidRPr="008012F8">
        <w:t>28957/95</w:t>
      </w:r>
      <w:r w:rsidRPr="008012F8">
        <w:t>号</w:t>
      </w:r>
      <w:r w:rsidRPr="008012F8">
        <w:rPr>
          <w:rFonts w:hint="eastAsia"/>
        </w:rPr>
        <w:t>申诉</w:t>
      </w:r>
      <w:r w:rsidRPr="008012F8">
        <w:t>，</w:t>
      </w:r>
      <w:r w:rsidRPr="008012F8">
        <w:t>2002</w:t>
      </w:r>
      <w:r w:rsidRPr="008012F8">
        <w:t>年</w:t>
      </w:r>
      <w:r w:rsidRPr="008012F8">
        <w:t>7</w:t>
      </w:r>
      <w:r w:rsidRPr="008012F8">
        <w:t>月</w:t>
      </w:r>
      <w:r w:rsidRPr="008012F8">
        <w:t>11</w:t>
      </w:r>
      <w:r w:rsidRPr="008012F8">
        <w:t>日</w:t>
      </w:r>
      <w:r w:rsidRPr="008012F8">
        <w:rPr>
          <w:rFonts w:hint="eastAsia"/>
        </w:rPr>
        <w:t>，</w:t>
      </w:r>
      <w:r w:rsidRPr="008012F8">
        <w:t>《</w:t>
      </w:r>
      <w:r w:rsidRPr="008012F8">
        <w:rPr>
          <w:rFonts w:hint="eastAsia"/>
        </w:rPr>
        <w:t>2002</w:t>
      </w:r>
      <w:r w:rsidRPr="008012F8">
        <w:rPr>
          <w:rFonts w:hint="eastAsia"/>
        </w:rPr>
        <w:t>年</w:t>
      </w:r>
      <w:r w:rsidRPr="008012F8">
        <w:t>欧洲人权法院案例汇编》</w:t>
      </w:r>
      <w:r w:rsidRPr="008012F8">
        <w:rPr>
          <w:rFonts w:hint="eastAsia"/>
        </w:rPr>
        <w:t>第六卷，</w:t>
      </w:r>
      <w:r w:rsidRPr="008012F8">
        <w:t>第</w:t>
      </w:r>
      <w:r w:rsidRPr="008012F8">
        <w:t>85</w:t>
      </w:r>
      <w:r w:rsidRPr="008012F8">
        <w:t>段。</w:t>
      </w:r>
    </w:p>
  </w:footnote>
  <w:footnote w:id="563">
    <w:p w:rsidR="00AB00DE" w:rsidRPr="008012F8" w:rsidRDefault="00AB00DE" w:rsidP="008D7906">
      <w:pPr>
        <w:pStyle w:val="a4"/>
      </w:pPr>
      <w:r w:rsidRPr="008012F8">
        <w:tab/>
      </w:r>
      <w:r w:rsidRPr="00DF5565">
        <w:rPr>
          <w:rStyle w:val="a5"/>
        </w:rPr>
        <w:footnoteRef/>
      </w:r>
      <w:r w:rsidRPr="00DF5565">
        <w:rPr>
          <w:rStyle w:val="a5"/>
        </w:rPr>
        <w:tab/>
      </w:r>
      <w:r w:rsidRPr="008012F8">
        <w:rPr>
          <w:rFonts w:hAnsi="宋体"/>
        </w:rPr>
        <w:t>同上，第</w:t>
      </w:r>
      <w:r w:rsidRPr="008012F8">
        <w:t>100</w:t>
      </w:r>
      <w:r w:rsidRPr="008012F8">
        <w:rPr>
          <w:rFonts w:hAnsi="宋体"/>
        </w:rPr>
        <w:t>段。</w:t>
      </w:r>
    </w:p>
  </w:footnote>
  <w:footnote w:id="564">
    <w:p w:rsidR="00AB00DE" w:rsidRPr="008012F8" w:rsidRDefault="00AB00DE" w:rsidP="008D7906">
      <w:pPr>
        <w:pStyle w:val="a4"/>
      </w:pPr>
      <w:r w:rsidRPr="008012F8">
        <w:rPr>
          <w:rFonts w:hint="eastAsia"/>
        </w:rPr>
        <w:tab/>
      </w:r>
      <w:r w:rsidRPr="00DF5565">
        <w:rPr>
          <w:rStyle w:val="a5"/>
        </w:rPr>
        <w:footnoteRef/>
      </w:r>
      <w:r w:rsidRPr="008012F8">
        <w:rPr>
          <w:rFonts w:hint="eastAsia"/>
        </w:rPr>
        <w:tab/>
      </w:r>
      <w:r w:rsidRPr="008012F8">
        <w:rPr>
          <w:rFonts w:hint="eastAsia"/>
        </w:rPr>
        <w:t>另见</w:t>
      </w:r>
      <w:r w:rsidRPr="008012F8">
        <w:rPr>
          <w:rFonts w:ascii="Time New Roman" w:eastAsia="楷体" w:hAnsi="Time New Roman"/>
        </w:rPr>
        <w:t>I.</w:t>
      </w:r>
      <w:r w:rsidRPr="008012F8">
        <w:rPr>
          <w:rFonts w:ascii="Time New Roman" w:eastAsia="楷体" w:hAnsi="Time New Roman" w:hint="eastAsia"/>
        </w:rPr>
        <w:t>诉联合王国</w:t>
      </w:r>
      <w:r w:rsidRPr="008012F8">
        <w:t>[GC]</w:t>
      </w:r>
      <w:r w:rsidRPr="008012F8">
        <w:t>，</w:t>
      </w:r>
      <w:r w:rsidRPr="008012F8">
        <w:rPr>
          <w:rFonts w:hint="eastAsia"/>
        </w:rPr>
        <w:t>第</w:t>
      </w:r>
      <w:r w:rsidRPr="008012F8">
        <w:t>25680/94</w:t>
      </w:r>
      <w:r w:rsidRPr="008012F8">
        <w:rPr>
          <w:rFonts w:hint="eastAsia"/>
        </w:rPr>
        <w:t>号申诉，</w:t>
      </w:r>
      <w:r w:rsidRPr="008012F8">
        <w:t>2002</w:t>
      </w:r>
      <w:r w:rsidRPr="008012F8">
        <w:rPr>
          <w:rFonts w:hint="eastAsia"/>
        </w:rPr>
        <w:t>年</w:t>
      </w:r>
      <w:r w:rsidRPr="008012F8">
        <w:rPr>
          <w:rFonts w:hint="eastAsia"/>
        </w:rPr>
        <w:t>7</w:t>
      </w:r>
      <w:r w:rsidRPr="008012F8">
        <w:rPr>
          <w:rFonts w:hint="eastAsia"/>
        </w:rPr>
        <w:t>月</w:t>
      </w:r>
      <w:r w:rsidRPr="008012F8">
        <w:rPr>
          <w:rFonts w:hint="eastAsia"/>
        </w:rPr>
        <w:t>11</w:t>
      </w:r>
      <w:r w:rsidRPr="008012F8">
        <w:rPr>
          <w:rFonts w:hint="eastAsia"/>
        </w:rPr>
        <w:t>日</w:t>
      </w:r>
      <w:r w:rsidRPr="008012F8">
        <w:t>，</w:t>
      </w:r>
      <w:r w:rsidRPr="008012F8">
        <w:rPr>
          <w:rFonts w:hint="eastAsia"/>
        </w:rPr>
        <w:t>第</w:t>
      </w:r>
      <w:r w:rsidRPr="008012F8">
        <w:t>65</w:t>
      </w:r>
      <w:r w:rsidRPr="008012F8">
        <w:rPr>
          <w:rFonts w:hint="eastAsia"/>
        </w:rPr>
        <w:t>段</w:t>
      </w:r>
      <w:r w:rsidRPr="008012F8">
        <w:t>；</w:t>
      </w:r>
      <w:r w:rsidRPr="008012F8">
        <w:t>Burden</w:t>
      </w:r>
      <w:r w:rsidRPr="008012F8">
        <w:rPr>
          <w:rFonts w:ascii="Time New Roman" w:eastAsia="楷体" w:hAnsi="Time New Roman" w:hint="eastAsia"/>
        </w:rPr>
        <w:t>和</w:t>
      </w:r>
      <w:r w:rsidRPr="008012F8">
        <w:t>Burden</w:t>
      </w:r>
      <w:r w:rsidRPr="008012F8">
        <w:rPr>
          <w:rFonts w:ascii="Time New Roman" w:eastAsia="楷体" w:hAnsi="Time New Roman" w:hint="eastAsia"/>
        </w:rPr>
        <w:t>诉联合王国</w:t>
      </w:r>
      <w:r w:rsidRPr="008012F8">
        <w:t>[GC]</w:t>
      </w:r>
      <w:r w:rsidRPr="008012F8">
        <w:t>，</w:t>
      </w:r>
      <w:r w:rsidRPr="008012F8">
        <w:rPr>
          <w:rFonts w:hint="eastAsia"/>
        </w:rPr>
        <w:t>第</w:t>
      </w:r>
      <w:r w:rsidRPr="008012F8">
        <w:t>13378/05</w:t>
      </w:r>
      <w:r w:rsidRPr="008012F8">
        <w:rPr>
          <w:rFonts w:hint="eastAsia"/>
        </w:rPr>
        <w:t>号申诉</w:t>
      </w:r>
      <w:r w:rsidRPr="008012F8">
        <w:t>，</w:t>
      </w:r>
      <w:r w:rsidRPr="008012F8">
        <w:t>2006</w:t>
      </w:r>
      <w:r w:rsidRPr="008012F8">
        <w:rPr>
          <w:rFonts w:hint="eastAsia"/>
        </w:rPr>
        <w:t>年</w:t>
      </w:r>
      <w:r w:rsidRPr="008012F8">
        <w:rPr>
          <w:rFonts w:hint="eastAsia"/>
        </w:rPr>
        <w:t>12</w:t>
      </w:r>
      <w:r w:rsidRPr="008012F8">
        <w:rPr>
          <w:rFonts w:hint="eastAsia"/>
        </w:rPr>
        <w:t>月</w:t>
      </w:r>
      <w:r w:rsidRPr="008012F8">
        <w:rPr>
          <w:rFonts w:hint="eastAsia"/>
        </w:rPr>
        <w:t>12</w:t>
      </w:r>
      <w:r w:rsidRPr="008012F8">
        <w:rPr>
          <w:rFonts w:hint="eastAsia"/>
        </w:rPr>
        <w:t>日</w:t>
      </w:r>
      <w:r w:rsidRPr="008012F8">
        <w:t>，</w:t>
      </w:r>
      <w:r w:rsidRPr="008012F8">
        <w:rPr>
          <w:rFonts w:hint="eastAsia"/>
        </w:rPr>
        <w:t>第</w:t>
      </w:r>
      <w:r w:rsidRPr="008012F8">
        <w:t>57</w:t>
      </w:r>
      <w:r w:rsidRPr="008012F8">
        <w:rPr>
          <w:rFonts w:hint="eastAsia"/>
        </w:rPr>
        <w:t>段</w:t>
      </w:r>
      <w:r w:rsidRPr="008012F8">
        <w:t>；</w:t>
      </w:r>
      <w:r w:rsidRPr="008012F8">
        <w:t>Shackell</w:t>
      </w:r>
      <w:r w:rsidRPr="008012F8">
        <w:rPr>
          <w:rFonts w:ascii="Time New Roman" w:eastAsia="楷体" w:hAnsi="Time New Roman" w:hint="eastAsia"/>
        </w:rPr>
        <w:t>诉联合王国</w:t>
      </w:r>
      <w:r w:rsidRPr="008012F8">
        <w:rPr>
          <w:rFonts w:hint="eastAsia"/>
        </w:rPr>
        <w:t>(</w:t>
      </w:r>
      <w:r w:rsidRPr="008012F8">
        <w:rPr>
          <w:rFonts w:hint="eastAsia"/>
        </w:rPr>
        <w:t>裁定</w:t>
      </w:r>
      <w:r w:rsidRPr="008012F8">
        <w:rPr>
          <w:rFonts w:hint="eastAsia"/>
        </w:rPr>
        <w:t>)</w:t>
      </w:r>
      <w:r w:rsidRPr="008012F8">
        <w:t>，</w:t>
      </w:r>
      <w:r w:rsidRPr="008012F8">
        <w:rPr>
          <w:rFonts w:hint="eastAsia"/>
        </w:rPr>
        <w:t>第</w:t>
      </w:r>
      <w:r w:rsidRPr="008012F8">
        <w:t>45851/99</w:t>
      </w:r>
      <w:r w:rsidRPr="008012F8">
        <w:rPr>
          <w:rFonts w:hint="eastAsia"/>
        </w:rPr>
        <w:t>号申诉</w:t>
      </w:r>
      <w:r w:rsidRPr="008012F8">
        <w:t>，</w:t>
      </w:r>
      <w:r w:rsidRPr="008012F8">
        <w:t>2000</w:t>
      </w:r>
      <w:r w:rsidRPr="008012F8">
        <w:rPr>
          <w:rFonts w:hint="eastAsia"/>
        </w:rPr>
        <w:t>年</w:t>
      </w:r>
      <w:r w:rsidRPr="008012F8">
        <w:rPr>
          <w:rFonts w:hint="eastAsia"/>
        </w:rPr>
        <w:t>4</w:t>
      </w:r>
      <w:r w:rsidRPr="008012F8">
        <w:rPr>
          <w:rFonts w:hint="eastAsia"/>
        </w:rPr>
        <w:t>月</w:t>
      </w:r>
      <w:r w:rsidRPr="008012F8">
        <w:rPr>
          <w:rFonts w:hint="eastAsia"/>
        </w:rPr>
        <w:t>27</w:t>
      </w:r>
      <w:r w:rsidRPr="008012F8">
        <w:rPr>
          <w:rFonts w:hint="eastAsia"/>
        </w:rPr>
        <w:t>日</w:t>
      </w:r>
      <w:r w:rsidRPr="008012F8">
        <w:t>，</w:t>
      </w:r>
      <w:r w:rsidRPr="008012F8">
        <w:rPr>
          <w:rFonts w:hint="eastAsia"/>
        </w:rPr>
        <w:t>第</w:t>
      </w:r>
      <w:r w:rsidRPr="008012F8">
        <w:t>1</w:t>
      </w:r>
      <w:r w:rsidRPr="008012F8">
        <w:rPr>
          <w:rFonts w:hint="eastAsia"/>
        </w:rPr>
        <w:t>段</w:t>
      </w:r>
      <w:r w:rsidRPr="008012F8">
        <w:t>；</w:t>
      </w:r>
      <w:r w:rsidRPr="008012F8">
        <w:t>Schalk</w:t>
      </w:r>
      <w:r w:rsidRPr="008012F8">
        <w:rPr>
          <w:rFonts w:ascii="Time New Roman" w:eastAsia="楷体" w:hAnsi="Time New Roman" w:hint="eastAsia"/>
        </w:rPr>
        <w:t>和</w:t>
      </w:r>
      <w:r w:rsidRPr="008012F8">
        <w:rPr>
          <w:rFonts w:ascii="Time New Roman" w:eastAsia="楷体" w:hAnsi="Time New Roman"/>
        </w:rPr>
        <w:t>Kopf</w:t>
      </w:r>
      <w:r w:rsidRPr="008012F8">
        <w:rPr>
          <w:rFonts w:ascii="Time New Roman" w:eastAsia="楷体" w:hAnsi="Time New Roman" w:hint="eastAsia"/>
        </w:rPr>
        <w:t>诉奥地利</w:t>
      </w:r>
      <w:r w:rsidRPr="008012F8">
        <w:rPr>
          <w:rFonts w:hint="eastAsia"/>
        </w:rPr>
        <w:t>，第</w:t>
      </w:r>
      <w:r w:rsidRPr="008012F8">
        <w:t>30141/04</w:t>
      </w:r>
      <w:r w:rsidRPr="008012F8">
        <w:rPr>
          <w:rFonts w:hint="eastAsia"/>
        </w:rPr>
        <w:t>号申诉</w:t>
      </w:r>
      <w:r w:rsidRPr="008012F8">
        <w:t>，</w:t>
      </w:r>
      <w:r w:rsidRPr="008012F8">
        <w:t>2010</w:t>
      </w:r>
      <w:r w:rsidRPr="008012F8">
        <w:rPr>
          <w:rFonts w:hint="eastAsia"/>
        </w:rPr>
        <w:t>年</w:t>
      </w:r>
      <w:r w:rsidRPr="008012F8">
        <w:rPr>
          <w:rFonts w:hint="eastAsia"/>
        </w:rPr>
        <w:t>6</w:t>
      </w:r>
      <w:r w:rsidRPr="008012F8">
        <w:rPr>
          <w:rFonts w:hint="eastAsia"/>
        </w:rPr>
        <w:t>月</w:t>
      </w:r>
      <w:r w:rsidRPr="008012F8">
        <w:rPr>
          <w:rFonts w:hint="eastAsia"/>
        </w:rPr>
        <w:t>24</w:t>
      </w:r>
      <w:r w:rsidRPr="008012F8">
        <w:rPr>
          <w:rFonts w:hint="eastAsia"/>
        </w:rPr>
        <w:t>日，第</w:t>
      </w:r>
      <w:r w:rsidRPr="008012F8">
        <w:t>58</w:t>
      </w:r>
      <w:r w:rsidRPr="008012F8">
        <w:rPr>
          <w:rFonts w:hint="eastAsia"/>
        </w:rPr>
        <w:t>段。</w:t>
      </w:r>
    </w:p>
  </w:footnote>
  <w:footnote w:id="565">
    <w:p w:rsidR="00AB00DE" w:rsidRPr="008012F8" w:rsidRDefault="00AB00DE" w:rsidP="008D7906">
      <w:pPr>
        <w:pStyle w:val="a4"/>
      </w:pPr>
      <w:r w:rsidRPr="008012F8">
        <w:rPr>
          <w:rFonts w:hint="eastAsia"/>
        </w:rPr>
        <w:tab/>
      </w:r>
      <w:r w:rsidRPr="00DF5565">
        <w:rPr>
          <w:rStyle w:val="a5"/>
        </w:rPr>
        <w:footnoteRef/>
      </w:r>
      <w:r w:rsidRPr="00DF5565">
        <w:rPr>
          <w:rStyle w:val="a5"/>
          <w:rFonts w:hint="eastAsia"/>
        </w:rPr>
        <w:tab/>
      </w:r>
      <w:r w:rsidRPr="008012F8">
        <w:t>Dudgeon</w:t>
      </w:r>
      <w:r w:rsidRPr="008012F8">
        <w:rPr>
          <w:rFonts w:ascii="Time New Roman" w:eastAsia="楷体" w:hAnsi="Time New Roman"/>
        </w:rPr>
        <w:t>诉联合王国</w:t>
      </w:r>
      <w:r w:rsidRPr="008012F8">
        <w:t>，</w:t>
      </w:r>
      <w:r w:rsidRPr="008012F8">
        <w:rPr>
          <w:rFonts w:hint="eastAsia"/>
        </w:rPr>
        <w:t>第</w:t>
      </w:r>
      <w:r w:rsidRPr="008012F8">
        <w:rPr>
          <w:rFonts w:hint="eastAsia"/>
        </w:rPr>
        <w:t>7525/76</w:t>
      </w:r>
      <w:r w:rsidRPr="008012F8">
        <w:rPr>
          <w:rFonts w:hint="eastAsia"/>
        </w:rPr>
        <w:t>号申诉，</w:t>
      </w:r>
      <w:r w:rsidRPr="008012F8">
        <w:t>1981</w:t>
      </w:r>
      <w:r w:rsidRPr="008012F8">
        <w:t>年</w:t>
      </w:r>
      <w:r w:rsidRPr="008012F8">
        <w:t>10</w:t>
      </w:r>
      <w:r w:rsidRPr="008012F8">
        <w:t>月</w:t>
      </w:r>
      <w:r w:rsidRPr="008012F8">
        <w:t>22</w:t>
      </w:r>
      <w:r w:rsidRPr="008012F8">
        <w:t>日，</w:t>
      </w:r>
      <w:r w:rsidRPr="008012F8">
        <w:rPr>
          <w:rFonts w:hint="eastAsia"/>
        </w:rPr>
        <w:t>《欧洲人权法院案例汇编》</w:t>
      </w:r>
      <w:r w:rsidRPr="008012F8">
        <w:t>A</w:t>
      </w:r>
      <w:r w:rsidRPr="008012F8">
        <w:t>辑</w:t>
      </w:r>
      <w:r w:rsidRPr="008012F8">
        <w:rPr>
          <w:rFonts w:hint="eastAsia"/>
        </w:rPr>
        <w:t>，</w:t>
      </w:r>
      <w:r w:rsidRPr="008012F8">
        <w:t>第</w:t>
      </w:r>
      <w:r w:rsidRPr="008012F8">
        <w:t>45</w:t>
      </w:r>
      <w:r w:rsidRPr="008012F8">
        <w:t>号，特别是第</w:t>
      </w:r>
      <w:r w:rsidRPr="008012F8">
        <w:t>60</w:t>
      </w:r>
      <w:r w:rsidRPr="008012F8">
        <w:t>段。</w:t>
      </w:r>
    </w:p>
  </w:footnote>
  <w:footnote w:id="566">
    <w:p w:rsidR="00AB00DE" w:rsidRPr="008012F8" w:rsidRDefault="00AB00DE" w:rsidP="008D7906">
      <w:pPr>
        <w:pStyle w:val="a4"/>
      </w:pPr>
      <w:r w:rsidRPr="008012F8">
        <w:rPr>
          <w:rFonts w:hint="eastAsia"/>
        </w:rPr>
        <w:tab/>
      </w:r>
      <w:r w:rsidRPr="00DF5565">
        <w:rPr>
          <w:rStyle w:val="a5"/>
        </w:rPr>
        <w:footnoteRef/>
      </w:r>
      <w:r w:rsidRPr="008012F8">
        <w:rPr>
          <w:rFonts w:hint="eastAsia"/>
        </w:rPr>
        <w:tab/>
      </w:r>
      <w:r w:rsidRPr="008012F8">
        <w:t>Christine Goodwin</w:t>
      </w:r>
      <w:r w:rsidRPr="008012F8">
        <w:rPr>
          <w:rFonts w:hint="eastAsia"/>
        </w:rPr>
        <w:t>诉联合王国</w:t>
      </w:r>
      <w:r w:rsidRPr="008012F8">
        <w:t>[GC]</w:t>
      </w:r>
      <w:r w:rsidRPr="008012F8">
        <w:t>，</w:t>
      </w:r>
      <w:r w:rsidRPr="008012F8">
        <w:rPr>
          <w:rFonts w:hint="eastAsia"/>
        </w:rPr>
        <w:t>第</w:t>
      </w:r>
      <w:r w:rsidRPr="008012F8">
        <w:t>28957/95</w:t>
      </w:r>
      <w:r w:rsidRPr="008012F8">
        <w:rPr>
          <w:rFonts w:hint="eastAsia"/>
        </w:rPr>
        <w:t>号申诉</w:t>
      </w:r>
      <w:r w:rsidRPr="008012F8">
        <w:t>，</w:t>
      </w:r>
      <w:r w:rsidRPr="008012F8">
        <w:rPr>
          <w:rFonts w:hint="eastAsia"/>
        </w:rPr>
        <w:t>2002</w:t>
      </w:r>
      <w:r w:rsidRPr="008012F8">
        <w:rPr>
          <w:rFonts w:hint="eastAsia"/>
        </w:rPr>
        <w:t>年</w:t>
      </w:r>
      <w:r w:rsidRPr="008012F8">
        <w:rPr>
          <w:rFonts w:hint="eastAsia"/>
        </w:rPr>
        <w:t>7</w:t>
      </w:r>
      <w:r w:rsidRPr="008012F8">
        <w:rPr>
          <w:rFonts w:hint="eastAsia"/>
        </w:rPr>
        <w:t>月</w:t>
      </w:r>
      <w:r w:rsidRPr="008012F8">
        <w:rPr>
          <w:rFonts w:hint="eastAsia"/>
        </w:rPr>
        <w:t>11</w:t>
      </w:r>
      <w:r w:rsidRPr="008012F8">
        <w:rPr>
          <w:rFonts w:hint="eastAsia"/>
        </w:rPr>
        <w:t>日，《</w:t>
      </w:r>
      <w:r w:rsidRPr="008012F8">
        <w:rPr>
          <w:rFonts w:hint="eastAsia"/>
        </w:rPr>
        <w:t>2002</w:t>
      </w:r>
      <w:r w:rsidRPr="008012F8">
        <w:rPr>
          <w:rFonts w:hint="eastAsia"/>
        </w:rPr>
        <w:t>年欧洲人权法院案例汇编》第六卷</w:t>
      </w:r>
      <w:r w:rsidRPr="008012F8">
        <w:t>，</w:t>
      </w:r>
      <w:r w:rsidRPr="008012F8">
        <w:rPr>
          <w:rFonts w:hint="eastAsia"/>
        </w:rPr>
        <w:t>特别是第</w:t>
      </w:r>
      <w:r w:rsidRPr="008012F8">
        <w:t>85</w:t>
      </w:r>
      <w:r w:rsidRPr="008012F8">
        <w:rPr>
          <w:rFonts w:hint="eastAsia"/>
        </w:rPr>
        <w:t>段。</w:t>
      </w:r>
    </w:p>
  </w:footnote>
  <w:footnote w:id="567">
    <w:p w:rsidR="00AB00DE" w:rsidRPr="008012F8" w:rsidRDefault="00AB00DE" w:rsidP="008D7906">
      <w:pPr>
        <w:pStyle w:val="a4"/>
      </w:pPr>
      <w:r w:rsidRPr="008012F8">
        <w:rPr>
          <w:rFonts w:hint="eastAsia"/>
        </w:rPr>
        <w:tab/>
      </w:r>
      <w:r w:rsidRPr="00DF5565">
        <w:rPr>
          <w:rStyle w:val="a5"/>
        </w:rPr>
        <w:footnoteRef/>
      </w:r>
      <w:r w:rsidRPr="008012F8">
        <w:rPr>
          <w:rFonts w:hint="eastAsia"/>
        </w:rPr>
        <w:tab/>
      </w:r>
      <w:r w:rsidRPr="008012F8">
        <w:t>Dudgeon</w:t>
      </w:r>
      <w:r w:rsidRPr="008012F8">
        <w:rPr>
          <w:rFonts w:hint="eastAsia"/>
        </w:rPr>
        <w:t>诉联合王国</w:t>
      </w:r>
      <w:r w:rsidRPr="008012F8">
        <w:t>，</w:t>
      </w:r>
      <w:r w:rsidRPr="008012F8">
        <w:rPr>
          <w:rFonts w:hint="eastAsia"/>
        </w:rPr>
        <w:t>第</w:t>
      </w:r>
      <w:r w:rsidRPr="008012F8">
        <w:rPr>
          <w:rFonts w:hint="eastAsia"/>
        </w:rPr>
        <w:t>7525/76</w:t>
      </w:r>
      <w:r w:rsidRPr="008012F8">
        <w:rPr>
          <w:rFonts w:hint="eastAsia"/>
        </w:rPr>
        <w:t>号申诉，</w:t>
      </w:r>
      <w:r w:rsidRPr="008012F8">
        <w:t>1981</w:t>
      </w:r>
      <w:r w:rsidRPr="008012F8">
        <w:rPr>
          <w:rFonts w:hint="eastAsia"/>
        </w:rPr>
        <w:t>年</w:t>
      </w:r>
      <w:r w:rsidRPr="008012F8">
        <w:rPr>
          <w:rFonts w:hint="eastAsia"/>
        </w:rPr>
        <w:t>10</w:t>
      </w:r>
      <w:r w:rsidRPr="008012F8">
        <w:rPr>
          <w:rFonts w:hint="eastAsia"/>
        </w:rPr>
        <w:t>月</w:t>
      </w:r>
      <w:r w:rsidRPr="008012F8">
        <w:rPr>
          <w:rFonts w:hint="eastAsia"/>
        </w:rPr>
        <w:t>22</w:t>
      </w:r>
      <w:r w:rsidRPr="008012F8">
        <w:rPr>
          <w:rFonts w:hint="eastAsia"/>
        </w:rPr>
        <w:t>日</w:t>
      </w:r>
      <w:r w:rsidRPr="008012F8">
        <w:t>，</w:t>
      </w:r>
      <w:r w:rsidRPr="008012F8">
        <w:rPr>
          <w:rFonts w:hint="eastAsia"/>
        </w:rPr>
        <w:t>《欧洲人权法院案例汇编》</w:t>
      </w:r>
      <w:r w:rsidRPr="008012F8">
        <w:rPr>
          <w:rFonts w:hint="eastAsia"/>
        </w:rPr>
        <w:t>A</w:t>
      </w:r>
      <w:r w:rsidRPr="008012F8">
        <w:rPr>
          <w:rFonts w:hint="eastAsia"/>
        </w:rPr>
        <w:t>辑，第</w:t>
      </w:r>
      <w:r w:rsidRPr="008012F8">
        <w:t>45</w:t>
      </w:r>
      <w:r w:rsidRPr="008012F8">
        <w:rPr>
          <w:rFonts w:hint="eastAsia"/>
        </w:rPr>
        <w:t>号</w:t>
      </w:r>
      <w:r w:rsidRPr="008012F8">
        <w:t>，</w:t>
      </w:r>
      <w:r w:rsidRPr="008012F8">
        <w:rPr>
          <w:rFonts w:hint="eastAsia"/>
        </w:rPr>
        <w:t>第</w:t>
      </w:r>
      <w:r w:rsidRPr="008012F8">
        <w:t>60</w:t>
      </w:r>
      <w:r w:rsidRPr="008012F8">
        <w:rPr>
          <w:rFonts w:hint="eastAsia"/>
        </w:rPr>
        <w:t>段。</w:t>
      </w:r>
    </w:p>
  </w:footnote>
  <w:footnote w:id="568">
    <w:p w:rsidR="00AB00DE" w:rsidRPr="008012F8" w:rsidRDefault="00AB00DE" w:rsidP="008D7906">
      <w:pPr>
        <w:pStyle w:val="a4"/>
      </w:pPr>
      <w:r w:rsidRPr="008012F8">
        <w:rPr>
          <w:rFonts w:hint="eastAsia"/>
        </w:rPr>
        <w:tab/>
      </w:r>
      <w:r w:rsidRPr="00DF5565">
        <w:rPr>
          <w:rStyle w:val="a5"/>
        </w:rPr>
        <w:footnoteRef/>
      </w:r>
      <w:r w:rsidRPr="008012F8">
        <w:rPr>
          <w:rFonts w:hint="eastAsia"/>
        </w:rPr>
        <w:tab/>
      </w:r>
      <w:r w:rsidRPr="008012F8">
        <w:rPr>
          <w:rFonts w:hint="eastAsia"/>
        </w:rPr>
        <w:t>同上。</w:t>
      </w:r>
    </w:p>
  </w:footnote>
  <w:footnote w:id="569">
    <w:p w:rsidR="00AB00DE" w:rsidRPr="008012F8" w:rsidRDefault="00AB00DE" w:rsidP="008D7906">
      <w:pPr>
        <w:pStyle w:val="a4"/>
      </w:pPr>
      <w:r w:rsidRPr="008012F8">
        <w:rPr>
          <w:rFonts w:hint="eastAsia"/>
        </w:rPr>
        <w:tab/>
      </w:r>
      <w:r w:rsidRPr="00DF5565">
        <w:rPr>
          <w:rStyle w:val="a5"/>
        </w:rPr>
        <w:footnoteRef/>
      </w:r>
      <w:r w:rsidRPr="008012F8">
        <w:rPr>
          <w:rFonts w:hint="eastAsia"/>
        </w:rPr>
        <w:tab/>
      </w:r>
      <w:r w:rsidRPr="008012F8">
        <w:t>Christine Goodwin</w:t>
      </w:r>
      <w:r w:rsidRPr="008012F8">
        <w:rPr>
          <w:rFonts w:ascii="Time New Roman" w:eastAsia="楷体" w:hAnsi="Time New Roman" w:hint="eastAsia"/>
        </w:rPr>
        <w:t>诉联合王国</w:t>
      </w:r>
      <w:r w:rsidRPr="008012F8">
        <w:t>[GC]</w:t>
      </w:r>
      <w:r w:rsidRPr="008012F8">
        <w:t>，</w:t>
      </w:r>
      <w:r w:rsidRPr="008012F8">
        <w:rPr>
          <w:rFonts w:hint="eastAsia"/>
        </w:rPr>
        <w:t>第</w:t>
      </w:r>
      <w:r w:rsidRPr="008012F8">
        <w:t>28957/95</w:t>
      </w:r>
      <w:r w:rsidRPr="008012F8">
        <w:rPr>
          <w:rFonts w:hint="eastAsia"/>
        </w:rPr>
        <w:t>号申诉</w:t>
      </w:r>
      <w:r w:rsidRPr="008012F8">
        <w:t>，</w:t>
      </w:r>
      <w:r w:rsidRPr="008012F8">
        <w:rPr>
          <w:rFonts w:hint="eastAsia"/>
        </w:rPr>
        <w:t>2002</w:t>
      </w:r>
      <w:r w:rsidRPr="008012F8">
        <w:rPr>
          <w:rFonts w:hint="eastAsia"/>
        </w:rPr>
        <w:t>年</w:t>
      </w:r>
      <w:r w:rsidRPr="008012F8">
        <w:rPr>
          <w:rFonts w:hint="eastAsia"/>
        </w:rPr>
        <w:t>7</w:t>
      </w:r>
      <w:r w:rsidRPr="008012F8">
        <w:rPr>
          <w:rFonts w:hint="eastAsia"/>
        </w:rPr>
        <w:t>月</w:t>
      </w:r>
      <w:r w:rsidRPr="008012F8">
        <w:rPr>
          <w:rFonts w:hint="eastAsia"/>
        </w:rPr>
        <w:t>11</w:t>
      </w:r>
      <w:r w:rsidRPr="008012F8">
        <w:rPr>
          <w:rFonts w:hint="eastAsia"/>
        </w:rPr>
        <w:t>日</w:t>
      </w:r>
      <w:r w:rsidRPr="008012F8">
        <w:t>，</w:t>
      </w:r>
      <w:r w:rsidRPr="008012F8">
        <w:rPr>
          <w:rFonts w:hint="eastAsia"/>
        </w:rPr>
        <w:t>《</w:t>
      </w:r>
      <w:r w:rsidRPr="008012F8">
        <w:rPr>
          <w:rFonts w:hint="eastAsia"/>
        </w:rPr>
        <w:t>2002</w:t>
      </w:r>
      <w:r w:rsidRPr="008012F8">
        <w:rPr>
          <w:rFonts w:hint="eastAsia"/>
        </w:rPr>
        <w:t>年欧洲人权法院案例汇编》第六卷，第</w:t>
      </w:r>
      <w:r w:rsidRPr="008012F8">
        <w:t>85</w:t>
      </w:r>
      <w:r w:rsidRPr="008012F8">
        <w:rPr>
          <w:rFonts w:hint="eastAsia"/>
        </w:rPr>
        <w:t>段；另见同上，第</w:t>
      </w:r>
      <w:r w:rsidRPr="008012F8">
        <w:rPr>
          <w:rFonts w:hint="eastAsia"/>
        </w:rPr>
        <w:t>90</w:t>
      </w:r>
      <w:r w:rsidRPr="008012F8">
        <w:rPr>
          <w:rFonts w:hint="eastAsia"/>
        </w:rPr>
        <w:t>段。</w:t>
      </w:r>
    </w:p>
  </w:footnote>
  <w:footnote w:id="570">
    <w:p w:rsidR="00AB00DE" w:rsidRPr="008012F8" w:rsidRDefault="00AB00DE" w:rsidP="008D7906">
      <w:pPr>
        <w:pStyle w:val="a4"/>
      </w:pPr>
      <w:r w:rsidRPr="008012F8">
        <w:rPr>
          <w:rFonts w:hint="eastAsia"/>
        </w:rPr>
        <w:tab/>
      </w:r>
      <w:r w:rsidRPr="00DF5565">
        <w:rPr>
          <w:rStyle w:val="a5"/>
        </w:rPr>
        <w:footnoteRef/>
      </w:r>
      <w:r w:rsidRPr="008012F8">
        <w:rPr>
          <w:rFonts w:hint="eastAsia"/>
        </w:rPr>
        <w:tab/>
      </w:r>
      <w:r w:rsidRPr="008012F8">
        <w:t>Mazurek</w:t>
      </w:r>
      <w:r w:rsidRPr="008012F8">
        <w:rPr>
          <w:rFonts w:ascii="Time New Roman" w:eastAsia="楷体" w:hAnsi="Time New Roman" w:hint="eastAsia"/>
        </w:rPr>
        <w:t>诉法国</w:t>
      </w:r>
      <w:r w:rsidRPr="008012F8">
        <w:t>，</w:t>
      </w:r>
      <w:r w:rsidRPr="008012F8">
        <w:rPr>
          <w:rFonts w:hint="eastAsia"/>
        </w:rPr>
        <w:t>第</w:t>
      </w:r>
      <w:r w:rsidRPr="008012F8">
        <w:t>34406/97</w:t>
      </w:r>
      <w:r w:rsidRPr="008012F8">
        <w:rPr>
          <w:rFonts w:hint="eastAsia"/>
        </w:rPr>
        <w:t>号申诉，</w:t>
      </w:r>
      <w:r w:rsidRPr="008012F8">
        <w:t>2000</w:t>
      </w:r>
      <w:r w:rsidRPr="008012F8">
        <w:rPr>
          <w:rFonts w:hint="eastAsia"/>
        </w:rPr>
        <w:t>年</w:t>
      </w:r>
      <w:r w:rsidRPr="008012F8">
        <w:rPr>
          <w:rFonts w:hint="eastAsia"/>
        </w:rPr>
        <w:t>2</w:t>
      </w:r>
      <w:r w:rsidRPr="008012F8">
        <w:rPr>
          <w:rFonts w:hint="eastAsia"/>
        </w:rPr>
        <w:t>月</w:t>
      </w:r>
      <w:r w:rsidRPr="008012F8">
        <w:rPr>
          <w:rFonts w:hint="eastAsia"/>
        </w:rPr>
        <w:t>1</w:t>
      </w:r>
      <w:r w:rsidRPr="008012F8">
        <w:rPr>
          <w:rFonts w:hint="eastAsia"/>
        </w:rPr>
        <w:t>日</w:t>
      </w:r>
      <w:r w:rsidRPr="008012F8">
        <w:t>，</w:t>
      </w:r>
      <w:r w:rsidRPr="008012F8">
        <w:rPr>
          <w:rFonts w:hint="eastAsia"/>
        </w:rPr>
        <w:t>《</w:t>
      </w:r>
      <w:r w:rsidRPr="008012F8">
        <w:rPr>
          <w:rFonts w:hint="eastAsia"/>
        </w:rPr>
        <w:t>2000</w:t>
      </w:r>
      <w:r w:rsidRPr="008012F8">
        <w:rPr>
          <w:rFonts w:hint="eastAsia"/>
        </w:rPr>
        <w:t>年欧洲人权法院案例汇编》第二卷</w:t>
      </w:r>
      <w:r w:rsidRPr="008012F8">
        <w:t>，</w:t>
      </w:r>
      <w:r w:rsidRPr="008012F8">
        <w:rPr>
          <w:rFonts w:hint="eastAsia"/>
        </w:rPr>
        <w:t>第</w:t>
      </w:r>
      <w:r w:rsidRPr="008012F8">
        <w:t>52</w:t>
      </w:r>
      <w:r w:rsidRPr="008012F8">
        <w:rPr>
          <w:rFonts w:hint="eastAsia"/>
        </w:rPr>
        <w:t>段</w:t>
      </w:r>
      <w:r w:rsidRPr="008012F8">
        <w:t>；</w:t>
      </w:r>
      <w:r w:rsidRPr="008012F8">
        <w:rPr>
          <w:rFonts w:hint="eastAsia"/>
        </w:rPr>
        <w:t>另见</w:t>
      </w:r>
      <w:r w:rsidRPr="008012F8">
        <w:t>Marckx</w:t>
      </w:r>
      <w:r w:rsidRPr="008012F8">
        <w:rPr>
          <w:rFonts w:ascii="Time New Roman" w:eastAsia="楷体" w:hAnsi="Time New Roman" w:hint="eastAsia"/>
        </w:rPr>
        <w:t>诉比利时</w:t>
      </w:r>
      <w:r w:rsidRPr="008012F8">
        <w:t>，</w:t>
      </w:r>
      <w:r w:rsidRPr="008012F8">
        <w:rPr>
          <w:rFonts w:hint="eastAsia"/>
        </w:rPr>
        <w:t>第</w:t>
      </w:r>
      <w:r w:rsidRPr="008012F8">
        <w:t>6833/74</w:t>
      </w:r>
      <w:r w:rsidRPr="008012F8">
        <w:rPr>
          <w:rFonts w:hint="eastAsia"/>
        </w:rPr>
        <w:t>号申诉</w:t>
      </w:r>
      <w:r w:rsidRPr="008012F8">
        <w:t>，</w:t>
      </w:r>
      <w:r w:rsidRPr="008012F8">
        <w:t>1979</w:t>
      </w:r>
      <w:r w:rsidRPr="008012F8">
        <w:rPr>
          <w:rFonts w:hint="eastAsia"/>
        </w:rPr>
        <w:t>年</w:t>
      </w:r>
      <w:r w:rsidRPr="008012F8">
        <w:rPr>
          <w:rFonts w:hint="eastAsia"/>
        </w:rPr>
        <w:t>6</w:t>
      </w:r>
      <w:r w:rsidRPr="008012F8">
        <w:rPr>
          <w:rFonts w:hint="eastAsia"/>
        </w:rPr>
        <w:t>月</w:t>
      </w:r>
      <w:r w:rsidRPr="008012F8">
        <w:rPr>
          <w:rFonts w:hint="eastAsia"/>
        </w:rPr>
        <w:t>13</w:t>
      </w:r>
      <w:r w:rsidRPr="008012F8">
        <w:rPr>
          <w:rFonts w:hint="eastAsia"/>
        </w:rPr>
        <w:t>日</w:t>
      </w:r>
      <w:r w:rsidRPr="008012F8">
        <w:t>，</w:t>
      </w:r>
      <w:r w:rsidRPr="008012F8">
        <w:rPr>
          <w:rFonts w:hint="eastAsia"/>
        </w:rPr>
        <w:t>《欧洲人权法院案例汇编》</w:t>
      </w:r>
      <w:r w:rsidRPr="008012F8">
        <w:t>A</w:t>
      </w:r>
      <w:r w:rsidRPr="008012F8">
        <w:rPr>
          <w:rFonts w:hint="eastAsia"/>
        </w:rPr>
        <w:t>辑，第</w:t>
      </w:r>
      <w:r w:rsidRPr="008012F8">
        <w:t>31</w:t>
      </w:r>
      <w:r w:rsidRPr="008012F8">
        <w:rPr>
          <w:rFonts w:hint="eastAsia"/>
        </w:rPr>
        <w:t>号</w:t>
      </w:r>
      <w:r w:rsidRPr="008012F8">
        <w:t>，</w:t>
      </w:r>
      <w:r w:rsidRPr="008012F8">
        <w:rPr>
          <w:rFonts w:hint="eastAsia"/>
        </w:rPr>
        <w:t>第</w:t>
      </w:r>
      <w:r w:rsidRPr="008012F8">
        <w:t>41</w:t>
      </w:r>
      <w:r w:rsidRPr="008012F8">
        <w:rPr>
          <w:rFonts w:hint="eastAsia"/>
        </w:rPr>
        <w:t>段</w:t>
      </w:r>
      <w:r w:rsidRPr="008012F8">
        <w:t>；</w:t>
      </w:r>
      <w:r w:rsidRPr="008012F8">
        <w:t>Inze</w:t>
      </w:r>
      <w:r w:rsidRPr="008012F8">
        <w:rPr>
          <w:rFonts w:ascii="Time New Roman" w:eastAsia="楷体" w:hAnsi="Time New Roman" w:hint="eastAsia"/>
        </w:rPr>
        <w:t>诉奥地利</w:t>
      </w:r>
      <w:r w:rsidRPr="008012F8">
        <w:t>，</w:t>
      </w:r>
      <w:r w:rsidRPr="008012F8">
        <w:rPr>
          <w:rFonts w:hint="eastAsia"/>
        </w:rPr>
        <w:t>第</w:t>
      </w:r>
      <w:r w:rsidRPr="008012F8">
        <w:t>8695/79</w:t>
      </w:r>
      <w:r w:rsidRPr="008012F8">
        <w:rPr>
          <w:rFonts w:hint="eastAsia"/>
        </w:rPr>
        <w:t>号申诉</w:t>
      </w:r>
      <w:r w:rsidRPr="008012F8">
        <w:t>，</w:t>
      </w:r>
      <w:r w:rsidRPr="008012F8">
        <w:t>1987</w:t>
      </w:r>
      <w:r w:rsidRPr="008012F8">
        <w:rPr>
          <w:rFonts w:hint="eastAsia"/>
        </w:rPr>
        <w:t>年</w:t>
      </w:r>
      <w:r w:rsidRPr="008012F8">
        <w:rPr>
          <w:rFonts w:hint="eastAsia"/>
        </w:rPr>
        <w:t>10</w:t>
      </w:r>
      <w:r w:rsidRPr="008012F8">
        <w:rPr>
          <w:rFonts w:hint="eastAsia"/>
        </w:rPr>
        <w:t>月</w:t>
      </w:r>
      <w:r w:rsidRPr="008012F8">
        <w:rPr>
          <w:rFonts w:hint="eastAsia"/>
        </w:rPr>
        <w:t>28</w:t>
      </w:r>
      <w:r w:rsidRPr="008012F8">
        <w:rPr>
          <w:rFonts w:hint="eastAsia"/>
        </w:rPr>
        <w:t>日</w:t>
      </w:r>
      <w:r w:rsidRPr="008012F8">
        <w:t>，</w:t>
      </w:r>
      <w:r w:rsidRPr="008012F8">
        <w:rPr>
          <w:rFonts w:hint="eastAsia"/>
        </w:rPr>
        <w:t>《欧洲人权法院案例汇编》</w:t>
      </w:r>
      <w:r w:rsidRPr="008012F8">
        <w:t>A</w:t>
      </w:r>
      <w:r w:rsidRPr="008012F8">
        <w:rPr>
          <w:rFonts w:hint="eastAsia"/>
        </w:rPr>
        <w:t>辑，第</w:t>
      </w:r>
      <w:r w:rsidRPr="008012F8">
        <w:t>126</w:t>
      </w:r>
      <w:r w:rsidRPr="008012F8">
        <w:rPr>
          <w:rFonts w:hint="eastAsia"/>
        </w:rPr>
        <w:t>号</w:t>
      </w:r>
      <w:r w:rsidRPr="008012F8">
        <w:t>，</w:t>
      </w:r>
      <w:r w:rsidRPr="008012F8">
        <w:rPr>
          <w:rFonts w:hint="eastAsia"/>
        </w:rPr>
        <w:t>第</w:t>
      </w:r>
      <w:r w:rsidRPr="008012F8">
        <w:t>44</w:t>
      </w:r>
      <w:r w:rsidRPr="008012F8">
        <w:rPr>
          <w:rFonts w:hint="eastAsia"/>
        </w:rPr>
        <w:t>段</w:t>
      </w:r>
      <w:r w:rsidRPr="008012F8">
        <w:t>；</w:t>
      </w:r>
      <w:r w:rsidRPr="008012F8">
        <w:t>Brauer</w:t>
      </w:r>
      <w:r w:rsidRPr="008012F8">
        <w:rPr>
          <w:rFonts w:ascii="Time New Roman" w:eastAsia="楷体" w:hAnsi="Time New Roman" w:hint="eastAsia"/>
        </w:rPr>
        <w:t>诉德国</w:t>
      </w:r>
      <w:r w:rsidRPr="008012F8">
        <w:t>，</w:t>
      </w:r>
      <w:r w:rsidRPr="008012F8">
        <w:rPr>
          <w:rFonts w:hint="eastAsia"/>
        </w:rPr>
        <w:t>第</w:t>
      </w:r>
      <w:r w:rsidRPr="008012F8">
        <w:t>3545/04</w:t>
      </w:r>
      <w:r w:rsidRPr="008012F8">
        <w:rPr>
          <w:rFonts w:hint="eastAsia"/>
        </w:rPr>
        <w:t>号申诉</w:t>
      </w:r>
      <w:r w:rsidRPr="008012F8">
        <w:t>，</w:t>
      </w:r>
      <w:r w:rsidRPr="008012F8">
        <w:t>2009</w:t>
      </w:r>
      <w:r w:rsidRPr="008012F8">
        <w:rPr>
          <w:rFonts w:hint="eastAsia"/>
        </w:rPr>
        <w:t>年</w:t>
      </w:r>
      <w:r w:rsidRPr="008012F8">
        <w:rPr>
          <w:rFonts w:hint="eastAsia"/>
        </w:rPr>
        <w:t>5</w:t>
      </w:r>
      <w:r w:rsidRPr="008012F8">
        <w:rPr>
          <w:rFonts w:hint="eastAsia"/>
        </w:rPr>
        <w:t>月</w:t>
      </w:r>
      <w:r w:rsidRPr="008012F8">
        <w:rPr>
          <w:rFonts w:hint="eastAsia"/>
        </w:rPr>
        <w:t>28</w:t>
      </w:r>
      <w:r w:rsidRPr="008012F8">
        <w:rPr>
          <w:rFonts w:hint="eastAsia"/>
        </w:rPr>
        <w:t>日</w:t>
      </w:r>
      <w:r w:rsidRPr="008012F8">
        <w:t>，</w:t>
      </w:r>
      <w:r w:rsidRPr="008012F8">
        <w:rPr>
          <w:rFonts w:hint="eastAsia"/>
        </w:rPr>
        <w:t>第</w:t>
      </w:r>
      <w:r w:rsidRPr="008012F8">
        <w:t>40</w:t>
      </w:r>
      <w:r w:rsidRPr="008012F8">
        <w:rPr>
          <w:rFonts w:hint="eastAsia"/>
        </w:rPr>
        <w:t>段。</w:t>
      </w:r>
    </w:p>
  </w:footnote>
  <w:footnote w:id="571">
    <w:p w:rsidR="00AB00DE" w:rsidRPr="008012F8" w:rsidRDefault="00AB00DE" w:rsidP="008D7906">
      <w:pPr>
        <w:pStyle w:val="a4"/>
      </w:pPr>
      <w:r w:rsidRPr="008012F8">
        <w:rPr>
          <w:rFonts w:hint="eastAsia"/>
        </w:rPr>
        <w:tab/>
      </w:r>
      <w:r w:rsidRPr="00DF5565">
        <w:rPr>
          <w:rStyle w:val="a5"/>
        </w:rPr>
        <w:footnoteRef/>
      </w:r>
      <w:r w:rsidRPr="00DF5565">
        <w:rPr>
          <w:rStyle w:val="a5"/>
          <w:rFonts w:hint="eastAsia"/>
        </w:rPr>
        <w:tab/>
      </w:r>
      <w:r w:rsidRPr="008012F8">
        <w:t>Chapman</w:t>
      </w:r>
      <w:r w:rsidRPr="008012F8">
        <w:rPr>
          <w:rFonts w:ascii="Time New Roman" w:eastAsia="楷体" w:hAnsi="Time New Roman" w:hint="eastAsia"/>
        </w:rPr>
        <w:t>诉联合王国</w:t>
      </w:r>
      <w:r w:rsidRPr="008012F8">
        <w:t>[GC]</w:t>
      </w:r>
      <w:r w:rsidRPr="008012F8">
        <w:t>，</w:t>
      </w:r>
      <w:r w:rsidRPr="008012F8">
        <w:rPr>
          <w:rFonts w:hint="eastAsia"/>
        </w:rPr>
        <w:t>第</w:t>
      </w:r>
      <w:r w:rsidRPr="008012F8">
        <w:t>27238/95</w:t>
      </w:r>
      <w:r w:rsidRPr="008012F8">
        <w:rPr>
          <w:rFonts w:hint="eastAsia"/>
        </w:rPr>
        <w:t>号申诉</w:t>
      </w:r>
      <w:r w:rsidRPr="008012F8">
        <w:t>，</w:t>
      </w:r>
      <w:r w:rsidRPr="008012F8">
        <w:t>2001</w:t>
      </w:r>
      <w:r w:rsidRPr="008012F8">
        <w:rPr>
          <w:rFonts w:hint="eastAsia"/>
        </w:rPr>
        <w:t>年</w:t>
      </w:r>
      <w:r w:rsidRPr="008012F8">
        <w:rPr>
          <w:rFonts w:hint="eastAsia"/>
        </w:rPr>
        <w:t>1</w:t>
      </w:r>
      <w:r w:rsidRPr="008012F8">
        <w:rPr>
          <w:rFonts w:hint="eastAsia"/>
        </w:rPr>
        <w:t>月</w:t>
      </w:r>
      <w:r w:rsidRPr="008012F8">
        <w:rPr>
          <w:rFonts w:hint="eastAsia"/>
        </w:rPr>
        <w:t>18</w:t>
      </w:r>
      <w:r w:rsidRPr="008012F8">
        <w:rPr>
          <w:rFonts w:hint="eastAsia"/>
        </w:rPr>
        <w:t>日</w:t>
      </w:r>
      <w:r w:rsidRPr="008012F8">
        <w:t>，</w:t>
      </w:r>
      <w:r w:rsidRPr="008012F8">
        <w:rPr>
          <w:rFonts w:hint="eastAsia"/>
        </w:rPr>
        <w:t>《</w:t>
      </w:r>
      <w:r w:rsidRPr="008012F8">
        <w:rPr>
          <w:rFonts w:hint="eastAsia"/>
        </w:rPr>
        <w:t>2001</w:t>
      </w:r>
      <w:r w:rsidRPr="008012F8">
        <w:rPr>
          <w:rFonts w:hint="eastAsia"/>
        </w:rPr>
        <w:t>年欧洲人权法院案例汇编》第一卷</w:t>
      </w:r>
      <w:r w:rsidRPr="008012F8">
        <w:t>，</w:t>
      </w:r>
      <w:r w:rsidRPr="008012F8">
        <w:rPr>
          <w:rFonts w:hint="eastAsia"/>
        </w:rPr>
        <w:t>第</w:t>
      </w:r>
      <w:r w:rsidRPr="008012F8">
        <w:t>70</w:t>
      </w:r>
      <w:r w:rsidRPr="008012F8">
        <w:rPr>
          <w:rFonts w:hint="eastAsia"/>
        </w:rPr>
        <w:t>和</w:t>
      </w:r>
      <w:r w:rsidRPr="008012F8">
        <w:t>93</w:t>
      </w:r>
      <w:r w:rsidRPr="008012F8">
        <w:rPr>
          <w:rFonts w:hint="eastAsia"/>
        </w:rPr>
        <w:t>段</w:t>
      </w:r>
      <w:r w:rsidRPr="008012F8">
        <w:t>；</w:t>
      </w:r>
      <w:r w:rsidRPr="008012F8">
        <w:rPr>
          <w:rFonts w:hint="eastAsia"/>
        </w:rPr>
        <w:t>另见</w:t>
      </w:r>
      <w:r w:rsidRPr="008012F8">
        <w:t>Lee</w:t>
      </w:r>
      <w:r w:rsidRPr="008012F8">
        <w:rPr>
          <w:rFonts w:ascii="Time New Roman" w:eastAsia="楷体" w:hAnsi="Time New Roman" w:hint="eastAsia"/>
        </w:rPr>
        <w:t>诉联合王国</w:t>
      </w:r>
      <w:r w:rsidRPr="008012F8">
        <w:t>[GC]</w:t>
      </w:r>
      <w:r w:rsidRPr="008012F8">
        <w:t>，</w:t>
      </w:r>
      <w:r w:rsidRPr="008012F8">
        <w:rPr>
          <w:rFonts w:hint="eastAsia"/>
        </w:rPr>
        <w:t>第</w:t>
      </w:r>
      <w:r w:rsidRPr="008012F8">
        <w:t>25289/94</w:t>
      </w:r>
      <w:r w:rsidRPr="008012F8">
        <w:rPr>
          <w:rFonts w:hint="eastAsia"/>
        </w:rPr>
        <w:t>号申诉</w:t>
      </w:r>
      <w:r w:rsidRPr="008012F8">
        <w:t>，</w:t>
      </w:r>
      <w:r w:rsidRPr="008012F8">
        <w:t>2001</w:t>
      </w:r>
      <w:r w:rsidRPr="008012F8">
        <w:rPr>
          <w:rFonts w:hint="eastAsia"/>
        </w:rPr>
        <w:t>年</w:t>
      </w:r>
      <w:r w:rsidRPr="008012F8">
        <w:rPr>
          <w:rFonts w:hint="eastAsia"/>
        </w:rPr>
        <w:t>1</w:t>
      </w:r>
      <w:r w:rsidRPr="008012F8">
        <w:rPr>
          <w:rFonts w:hint="eastAsia"/>
        </w:rPr>
        <w:t>月</w:t>
      </w:r>
      <w:r w:rsidRPr="008012F8">
        <w:rPr>
          <w:rFonts w:hint="eastAsia"/>
        </w:rPr>
        <w:t>18</w:t>
      </w:r>
      <w:r w:rsidRPr="008012F8">
        <w:rPr>
          <w:rFonts w:hint="eastAsia"/>
        </w:rPr>
        <w:t>日</w:t>
      </w:r>
      <w:r w:rsidRPr="008012F8">
        <w:t>，</w:t>
      </w:r>
      <w:r w:rsidRPr="008012F8">
        <w:rPr>
          <w:rFonts w:hint="eastAsia"/>
        </w:rPr>
        <w:t>第</w:t>
      </w:r>
      <w:r w:rsidRPr="008012F8">
        <w:t>95-96</w:t>
      </w:r>
      <w:r w:rsidRPr="008012F8">
        <w:rPr>
          <w:rFonts w:hint="eastAsia"/>
        </w:rPr>
        <w:t>段</w:t>
      </w:r>
      <w:r w:rsidRPr="008012F8">
        <w:t>；</w:t>
      </w:r>
      <w:r w:rsidRPr="008012F8">
        <w:t>Beard</w:t>
      </w:r>
      <w:r w:rsidRPr="008012F8">
        <w:rPr>
          <w:rFonts w:ascii="Time New Roman" w:eastAsia="楷体" w:hAnsi="Time New Roman" w:hint="eastAsia"/>
        </w:rPr>
        <w:t>诉联合王国</w:t>
      </w:r>
      <w:r w:rsidRPr="008012F8">
        <w:t>[GC]</w:t>
      </w:r>
      <w:r w:rsidRPr="008012F8">
        <w:t>，</w:t>
      </w:r>
      <w:r w:rsidRPr="008012F8">
        <w:rPr>
          <w:rFonts w:hint="eastAsia"/>
        </w:rPr>
        <w:t>第</w:t>
      </w:r>
      <w:r w:rsidRPr="008012F8">
        <w:t>24882/94</w:t>
      </w:r>
      <w:r w:rsidRPr="008012F8">
        <w:rPr>
          <w:rFonts w:hint="eastAsia"/>
        </w:rPr>
        <w:t>号申诉</w:t>
      </w:r>
      <w:r w:rsidRPr="008012F8">
        <w:t>，</w:t>
      </w:r>
      <w:r w:rsidRPr="008012F8">
        <w:t>2001</w:t>
      </w:r>
      <w:r w:rsidRPr="008012F8">
        <w:rPr>
          <w:rFonts w:hint="eastAsia"/>
        </w:rPr>
        <w:t>年</w:t>
      </w:r>
      <w:r w:rsidRPr="008012F8">
        <w:rPr>
          <w:rFonts w:hint="eastAsia"/>
        </w:rPr>
        <w:t>1</w:t>
      </w:r>
      <w:r w:rsidRPr="008012F8">
        <w:rPr>
          <w:rFonts w:hint="eastAsia"/>
        </w:rPr>
        <w:t>月</w:t>
      </w:r>
      <w:r w:rsidRPr="008012F8">
        <w:rPr>
          <w:rFonts w:hint="eastAsia"/>
        </w:rPr>
        <w:t>18</w:t>
      </w:r>
      <w:r w:rsidRPr="008012F8">
        <w:rPr>
          <w:rFonts w:hint="eastAsia"/>
        </w:rPr>
        <w:t>日</w:t>
      </w:r>
      <w:r w:rsidRPr="008012F8">
        <w:t>，</w:t>
      </w:r>
      <w:r w:rsidRPr="008012F8">
        <w:rPr>
          <w:rFonts w:hint="eastAsia"/>
        </w:rPr>
        <w:t>第</w:t>
      </w:r>
      <w:r w:rsidRPr="008012F8">
        <w:t>104-105</w:t>
      </w:r>
      <w:r w:rsidRPr="008012F8">
        <w:rPr>
          <w:rFonts w:hint="eastAsia"/>
        </w:rPr>
        <w:t>页</w:t>
      </w:r>
      <w:r w:rsidRPr="008012F8">
        <w:t>；</w:t>
      </w:r>
      <w:r w:rsidRPr="008012F8">
        <w:t>Coster</w:t>
      </w:r>
      <w:r w:rsidRPr="008012F8">
        <w:rPr>
          <w:rFonts w:ascii="Time New Roman" w:eastAsia="楷体" w:hAnsi="Time New Roman" w:hint="eastAsia"/>
        </w:rPr>
        <w:t>诉联合王国</w:t>
      </w:r>
      <w:r w:rsidRPr="008012F8">
        <w:t>[GC]</w:t>
      </w:r>
      <w:r w:rsidRPr="008012F8">
        <w:t>，</w:t>
      </w:r>
      <w:r w:rsidRPr="008012F8">
        <w:rPr>
          <w:rFonts w:hint="eastAsia"/>
        </w:rPr>
        <w:t>第</w:t>
      </w:r>
      <w:r w:rsidRPr="008012F8">
        <w:t>24876/94</w:t>
      </w:r>
      <w:r w:rsidRPr="008012F8">
        <w:rPr>
          <w:rFonts w:hint="eastAsia"/>
        </w:rPr>
        <w:t>号申诉</w:t>
      </w:r>
      <w:r w:rsidRPr="008012F8">
        <w:t>，</w:t>
      </w:r>
      <w:r w:rsidRPr="008012F8">
        <w:t>2001</w:t>
      </w:r>
      <w:r w:rsidRPr="008012F8">
        <w:rPr>
          <w:rFonts w:hint="eastAsia"/>
        </w:rPr>
        <w:t>年</w:t>
      </w:r>
      <w:r w:rsidRPr="008012F8">
        <w:rPr>
          <w:rFonts w:hint="eastAsia"/>
        </w:rPr>
        <w:t>1</w:t>
      </w:r>
      <w:r w:rsidRPr="008012F8">
        <w:rPr>
          <w:rFonts w:hint="eastAsia"/>
        </w:rPr>
        <w:t>月</w:t>
      </w:r>
      <w:r w:rsidRPr="008012F8">
        <w:rPr>
          <w:rFonts w:hint="eastAsia"/>
        </w:rPr>
        <w:t>18</w:t>
      </w:r>
      <w:r w:rsidRPr="008012F8">
        <w:rPr>
          <w:rFonts w:hint="eastAsia"/>
        </w:rPr>
        <w:t>日，第</w:t>
      </w:r>
      <w:r w:rsidRPr="008012F8">
        <w:t>107-108</w:t>
      </w:r>
      <w:r w:rsidRPr="008012F8">
        <w:rPr>
          <w:rFonts w:hint="eastAsia"/>
        </w:rPr>
        <w:t>段</w:t>
      </w:r>
      <w:r w:rsidRPr="008012F8">
        <w:t>；</w:t>
      </w:r>
      <w:r w:rsidRPr="008012F8">
        <w:rPr>
          <w:rFonts w:hint="eastAsia"/>
        </w:rPr>
        <w:t>Jane</w:t>
      </w:r>
      <w:r w:rsidRPr="008012F8">
        <w:t xml:space="preserve"> Smith</w:t>
      </w:r>
      <w:r w:rsidRPr="008012F8">
        <w:rPr>
          <w:rFonts w:ascii="Time New Roman" w:eastAsia="楷体" w:hAnsi="Time New Roman" w:hint="eastAsia"/>
        </w:rPr>
        <w:t>诉联合王国</w:t>
      </w:r>
      <w:r w:rsidRPr="008012F8">
        <w:t>[GC]</w:t>
      </w:r>
      <w:r w:rsidRPr="008012F8">
        <w:t>，</w:t>
      </w:r>
      <w:r w:rsidRPr="008012F8">
        <w:rPr>
          <w:rFonts w:hint="eastAsia"/>
        </w:rPr>
        <w:t>第</w:t>
      </w:r>
      <w:r w:rsidRPr="008012F8">
        <w:t>25154/94</w:t>
      </w:r>
      <w:r w:rsidRPr="008012F8">
        <w:rPr>
          <w:rFonts w:hint="eastAsia"/>
        </w:rPr>
        <w:t>号申诉</w:t>
      </w:r>
      <w:r w:rsidRPr="008012F8">
        <w:t>，</w:t>
      </w:r>
      <w:r w:rsidRPr="008012F8">
        <w:t>2001</w:t>
      </w:r>
      <w:r w:rsidRPr="008012F8">
        <w:rPr>
          <w:rFonts w:ascii="Time New Roman" w:eastAsia="楷体" w:hAnsi="Time New Roman" w:hint="eastAsia"/>
        </w:rPr>
        <w:t>年</w:t>
      </w:r>
      <w:r w:rsidRPr="008012F8">
        <w:rPr>
          <w:rFonts w:ascii="Time New Roman" w:eastAsia="楷体" w:hAnsi="Time New Roman" w:hint="eastAsia"/>
        </w:rPr>
        <w:t>1</w:t>
      </w:r>
      <w:r w:rsidRPr="008012F8">
        <w:rPr>
          <w:rFonts w:ascii="Time New Roman" w:eastAsia="楷体" w:hAnsi="Time New Roman" w:hint="eastAsia"/>
        </w:rPr>
        <w:t>月</w:t>
      </w:r>
      <w:r w:rsidRPr="008012F8">
        <w:rPr>
          <w:rFonts w:ascii="Time New Roman" w:eastAsia="楷体" w:hAnsi="Time New Roman" w:hint="eastAsia"/>
        </w:rPr>
        <w:t>18</w:t>
      </w:r>
      <w:r w:rsidRPr="008012F8">
        <w:rPr>
          <w:rFonts w:ascii="Time New Roman" w:eastAsia="楷体" w:hAnsi="Time New Roman" w:hint="eastAsia"/>
        </w:rPr>
        <w:t>日</w:t>
      </w:r>
      <w:r w:rsidRPr="008012F8">
        <w:rPr>
          <w:rFonts w:hint="eastAsia"/>
        </w:rPr>
        <w:t>，第</w:t>
      </w:r>
      <w:r w:rsidRPr="008012F8">
        <w:t>100-101</w:t>
      </w:r>
      <w:r w:rsidRPr="008012F8">
        <w:rPr>
          <w:rFonts w:hint="eastAsia"/>
        </w:rPr>
        <w:t>段。</w:t>
      </w:r>
    </w:p>
  </w:footnote>
  <w:footnote w:id="572">
    <w:p w:rsidR="00AB00DE" w:rsidRPr="008012F8" w:rsidRDefault="00AB00DE" w:rsidP="008D7906">
      <w:pPr>
        <w:pStyle w:val="a4"/>
      </w:pPr>
      <w:r w:rsidRPr="008012F8">
        <w:rPr>
          <w:rFonts w:ascii="宋体" w:hAnsi="宋体" w:cs="宋体" w:hint="eastAsia"/>
        </w:rPr>
        <w:tab/>
      </w:r>
      <w:r w:rsidRPr="00DF5565">
        <w:rPr>
          <w:rStyle w:val="a5"/>
        </w:rPr>
        <w:footnoteRef/>
      </w:r>
      <w:r w:rsidRPr="008012F8">
        <w:rPr>
          <w:rFonts w:ascii="宋体" w:hAnsi="宋体" w:cs="宋体" w:hint="eastAsia"/>
        </w:rPr>
        <w:tab/>
        <w:t>见</w:t>
      </w:r>
      <w:r w:rsidRPr="008012F8">
        <w:t>上文</w:t>
      </w:r>
      <w:r w:rsidRPr="008012F8">
        <w:rPr>
          <w:rFonts w:ascii="宋体" w:hAnsi="宋体" w:cs="宋体" w:hint="eastAsia"/>
        </w:rPr>
        <w:t>结论草案</w:t>
      </w:r>
      <w:r w:rsidRPr="008012F8">
        <w:t xml:space="preserve">4, </w:t>
      </w:r>
      <w:r w:rsidRPr="008012F8">
        <w:rPr>
          <w:rFonts w:ascii="宋体" w:hAnsi="宋体" w:cs="宋体" w:hint="eastAsia"/>
        </w:rPr>
        <w:t>第</w:t>
      </w:r>
      <w:r w:rsidRPr="008012F8">
        <w:t>1-3</w:t>
      </w:r>
      <w:r w:rsidRPr="008012F8">
        <w:rPr>
          <w:rFonts w:ascii="宋体" w:hAnsi="宋体" w:cs="宋体" w:hint="eastAsia"/>
        </w:rPr>
        <w:t>段，及评注的第</w:t>
      </w:r>
      <w:r w:rsidRPr="008012F8">
        <w:t>(17)-(20)</w:t>
      </w:r>
      <w:r w:rsidRPr="008012F8">
        <w:rPr>
          <w:rFonts w:ascii="宋体" w:hAnsi="宋体" w:cs="宋体" w:hint="eastAsia"/>
        </w:rPr>
        <w:t>段。</w:t>
      </w:r>
    </w:p>
  </w:footnote>
  <w:footnote w:id="573">
    <w:p w:rsidR="00AB00DE" w:rsidRPr="008012F8" w:rsidRDefault="00AB00DE" w:rsidP="00267AB1">
      <w:pPr>
        <w:pStyle w:val="a4"/>
      </w:pPr>
      <w:r w:rsidRPr="008012F8">
        <w:tab/>
      </w:r>
      <w:r w:rsidRPr="00DF5565">
        <w:rPr>
          <w:rStyle w:val="a5"/>
        </w:rPr>
        <w:footnoteRef/>
      </w:r>
      <w:r w:rsidRPr="008012F8">
        <w:tab/>
      </w:r>
      <w:r w:rsidRPr="008012F8">
        <w:rPr>
          <w:rFonts w:ascii="宋体" w:hAnsi="宋体" w:cs="宋体" w:hint="eastAsia"/>
        </w:rPr>
        <w:t>根据</w:t>
      </w:r>
      <w:r w:rsidRPr="008012F8">
        <w:t>G. Haraszti</w:t>
      </w:r>
      <w:r w:rsidRPr="008012F8">
        <w:rPr>
          <w:rFonts w:ascii="宋体" w:hAnsi="宋体" w:cs="宋体" w:hint="eastAsia"/>
        </w:rPr>
        <w:t>的看法，</w:t>
      </w:r>
      <w:r w:rsidRPr="008012F8">
        <w:rPr>
          <w:rFonts w:hint="eastAsia"/>
        </w:rPr>
        <w:t>“……</w:t>
      </w:r>
      <w:r w:rsidRPr="008012F8">
        <w:rPr>
          <w:rFonts w:ascii="宋体" w:hAnsi="宋体" w:cs="宋体" w:hint="eastAsia"/>
        </w:rPr>
        <w:t>解释将阐明案文的意思视为其目标，而适用意味着说明给缔约各方带来的后果</w:t>
      </w:r>
      <w:r w:rsidRPr="008012F8">
        <w:rPr>
          <w:rFonts w:hint="eastAsia"/>
        </w:rPr>
        <w:t>”</w:t>
      </w:r>
      <w:r w:rsidRPr="008012F8">
        <w:t>(</w:t>
      </w:r>
      <w:r w:rsidRPr="008012F8">
        <w:rPr>
          <w:rFonts w:ascii="宋体" w:hAnsi="宋体" w:cs="宋体" w:hint="eastAsia"/>
        </w:rPr>
        <w:t>见</w:t>
      </w:r>
      <w:r w:rsidRPr="008012F8">
        <w:t>Haraszti,</w:t>
      </w:r>
      <w:r w:rsidRPr="008012F8">
        <w:rPr>
          <w:rFonts w:ascii="宋体" w:hAnsi="宋体" w:cs="宋体" w:hint="eastAsia"/>
        </w:rPr>
        <w:t>《</w:t>
      </w:r>
      <w:r w:rsidRPr="008012F8">
        <w:rPr>
          <w:rFonts w:hint="eastAsia"/>
        </w:rPr>
        <w:t>……</w:t>
      </w:r>
      <w:r w:rsidRPr="008012F8">
        <w:rPr>
          <w:rFonts w:ascii="宋体" w:hAnsi="宋体" w:cs="宋体" w:hint="eastAsia"/>
        </w:rPr>
        <w:t>一些基本问题》</w:t>
      </w:r>
      <w:r w:rsidRPr="008012F8">
        <w:t>(</w:t>
      </w:r>
      <w:r w:rsidRPr="008012F8">
        <w:t>上文脚注</w:t>
      </w:r>
      <w:r>
        <w:fldChar w:fldCharType="begin"/>
      </w:r>
      <w:r>
        <w:instrText xml:space="preserve"> </w:instrText>
      </w:r>
      <w:r>
        <w:rPr>
          <w:rFonts w:hint="eastAsia"/>
        </w:rPr>
        <w:instrText>NOTEREF _Ref461974127 \h</w:instrText>
      </w:r>
      <w:r>
        <w:instrText xml:space="preserve"> </w:instrText>
      </w:r>
      <w:r>
        <w:fldChar w:fldCharType="separate"/>
      </w:r>
      <w:r w:rsidR="00A73EB9">
        <w:t>446</w:t>
      </w:r>
      <w:r>
        <w:fldChar w:fldCharType="end"/>
      </w:r>
      <w:r w:rsidRPr="008012F8">
        <w:t>)</w:t>
      </w:r>
      <w:r>
        <w:t>，</w:t>
      </w:r>
      <w:r w:rsidRPr="008012F8">
        <w:rPr>
          <w:rFonts w:ascii="宋体" w:hAnsi="宋体" w:cs="宋体" w:hint="eastAsia"/>
        </w:rPr>
        <w:t>第</w:t>
      </w:r>
      <w:r w:rsidRPr="008012F8">
        <w:t>18</w:t>
      </w:r>
      <w:r w:rsidRPr="008012F8">
        <w:rPr>
          <w:rFonts w:ascii="宋体" w:hAnsi="宋体" w:cs="宋体" w:hint="eastAsia"/>
        </w:rPr>
        <w:t>页</w:t>
      </w:r>
      <w:r w:rsidRPr="008012F8">
        <w:t>)</w:t>
      </w:r>
      <w:r w:rsidRPr="008012F8">
        <w:rPr>
          <w:rFonts w:ascii="宋体" w:hAnsi="宋体" w:cs="宋体" w:hint="eastAsia"/>
        </w:rPr>
        <w:t>；不过他承认</w:t>
      </w:r>
      <w:r>
        <w:rPr>
          <w:rFonts w:ascii="宋体" w:hAnsi="宋体" w:cs="宋体" w:hint="eastAsia"/>
        </w:rPr>
        <w:t>,</w:t>
      </w:r>
      <w:r w:rsidRPr="008012F8">
        <w:rPr>
          <w:rFonts w:hint="eastAsia"/>
        </w:rPr>
        <w:t>“</w:t>
      </w:r>
      <w:r w:rsidRPr="008012F8">
        <w:rPr>
          <w:rFonts w:ascii="宋体" w:hAnsi="宋体" w:cs="宋体" w:hint="eastAsia"/>
        </w:rPr>
        <w:t>不论以何形式呈现的法律规则，除非其内容得到阐明，否则不可能适用</w:t>
      </w:r>
      <w:r w:rsidRPr="008012F8">
        <w:rPr>
          <w:rFonts w:hint="eastAsia"/>
        </w:rPr>
        <w:t>”</w:t>
      </w:r>
      <w:r w:rsidRPr="008012F8">
        <w:t>(</w:t>
      </w:r>
      <w:r w:rsidRPr="008012F8">
        <w:rPr>
          <w:rFonts w:ascii="宋体" w:hAnsi="宋体" w:cs="宋体" w:hint="eastAsia"/>
        </w:rPr>
        <w:t>同上</w:t>
      </w:r>
      <w:r w:rsidRPr="008012F8">
        <w:t>，第</w:t>
      </w:r>
      <w:r w:rsidRPr="008012F8">
        <w:t>15</w:t>
      </w:r>
      <w:r w:rsidRPr="008012F8">
        <w:t>页</w:t>
      </w:r>
      <w:r w:rsidRPr="008012F8">
        <w:t>)</w:t>
      </w:r>
      <w:r w:rsidRPr="008012F8">
        <w:rPr>
          <w:rFonts w:ascii="宋体" w:hAnsi="宋体" w:cs="宋体" w:hint="eastAsia"/>
        </w:rPr>
        <w:t>。</w:t>
      </w:r>
    </w:p>
  </w:footnote>
  <w:footnote w:id="574">
    <w:p w:rsidR="00AB00DE" w:rsidRPr="008012F8" w:rsidRDefault="00AB00DE" w:rsidP="00D90936">
      <w:pPr>
        <w:pStyle w:val="a4"/>
      </w:pPr>
      <w:r w:rsidRPr="008012F8">
        <w:tab/>
      </w:r>
      <w:r w:rsidRPr="00DF5565">
        <w:rPr>
          <w:rStyle w:val="a5"/>
        </w:rPr>
        <w:footnoteRef/>
      </w:r>
      <w:r w:rsidRPr="008012F8">
        <w:tab/>
      </w:r>
      <w:r w:rsidRPr="008012F8">
        <w:rPr>
          <w:rFonts w:ascii="宋体" w:hAnsi="宋体" w:cs="宋体" w:hint="eastAsia"/>
        </w:rPr>
        <w:t>哈佛条约法草案，《美国国际法杂志</w:t>
      </w:r>
      <w:r w:rsidRPr="008012F8">
        <w:t>(</w:t>
      </w:r>
      <w:r w:rsidRPr="008012F8">
        <w:rPr>
          <w:rFonts w:ascii="宋体" w:hAnsi="宋体" w:cs="宋体" w:hint="eastAsia"/>
        </w:rPr>
        <w:t>增刊</w:t>
      </w:r>
      <w:r w:rsidRPr="008012F8">
        <w:t>)</w:t>
      </w:r>
      <w:r w:rsidRPr="008012F8">
        <w:rPr>
          <w:rFonts w:ascii="宋体" w:hAnsi="宋体" w:cs="宋体" w:hint="eastAsia"/>
        </w:rPr>
        <w:t>》，第</w:t>
      </w:r>
      <w:r w:rsidRPr="008012F8">
        <w:t>29</w:t>
      </w:r>
      <w:r w:rsidRPr="008012F8">
        <w:rPr>
          <w:rFonts w:ascii="宋体" w:hAnsi="宋体" w:cs="宋体" w:hint="eastAsia"/>
        </w:rPr>
        <w:t>卷，</w:t>
      </w:r>
      <w:r w:rsidRPr="008012F8">
        <w:t>1935</w:t>
      </w:r>
      <w:r w:rsidRPr="008012F8">
        <w:rPr>
          <w:rFonts w:ascii="宋体" w:hAnsi="宋体" w:cs="宋体" w:hint="eastAsia"/>
        </w:rPr>
        <w:t>年，第</w:t>
      </w:r>
      <w:r w:rsidRPr="008012F8">
        <w:t>663</w:t>
      </w:r>
      <w:r w:rsidRPr="008012F8">
        <w:rPr>
          <w:rFonts w:ascii="宋体" w:hAnsi="宋体" w:cs="宋体" w:hint="eastAsia"/>
        </w:rPr>
        <w:t>页起，见第</w:t>
      </w:r>
      <w:r w:rsidRPr="008012F8">
        <w:t>938-939</w:t>
      </w:r>
      <w:r w:rsidRPr="008012F8">
        <w:rPr>
          <w:rFonts w:ascii="宋体" w:hAnsi="宋体" w:cs="宋体" w:hint="eastAsia"/>
        </w:rPr>
        <w:t>页；</w:t>
      </w:r>
      <w:r w:rsidRPr="008012F8">
        <w:t>Lord McNair,</w:t>
      </w:r>
      <w:r w:rsidRPr="008012F8">
        <w:rPr>
          <w:rFonts w:ascii="宋体" w:hAnsi="宋体" w:cs="宋体" w:hint="eastAsia"/>
        </w:rPr>
        <w:t>《条约法》</w:t>
      </w:r>
      <w:r w:rsidRPr="008012F8">
        <w:t>(1961</w:t>
      </w:r>
      <w:r w:rsidRPr="008012F8">
        <w:rPr>
          <w:rFonts w:ascii="宋体" w:hAnsi="宋体" w:cs="宋体" w:hint="eastAsia"/>
        </w:rPr>
        <w:t>年，克拉伦登出版社，</w:t>
      </w:r>
      <w:r w:rsidRPr="008012F8">
        <w:rPr>
          <w:rFonts w:hint="eastAsia"/>
        </w:rPr>
        <w:t>牛津</w:t>
      </w:r>
      <w:r w:rsidRPr="008012F8">
        <w:t>)</w:t>
      </w:r>
      <w:r w:rsidRPr="008012F8">
        <w:rPr>
          <w:rFonts w:ascii="宋体" w:hAnsi="宋体" w:cs="宋体" w:hint="eastAsia"/>
        </w:rPr>
        <w:t>，第</w:t>
      </w:r>
      <w:r w:rsidRPr="008012F8">
        <w:t>372</w:t>
      </w:r>
      <w:r w:rsidRPr="008012F8">
        <w:rPr>
          <w:rFonts w:ascii="宋体" w:hAnsi="宋体" w:cs="宋体" w:hint="eastAsia"/>
        </w:rPr>
        <w:t>页；</w:t>
      </w:r>
      <w:r w:rsidRPr="008012F8">
        <w:t>Sinclair,</w:t>
      </w:r>
      <w:r w:rsidRPr="008012F8">
        <w:rPr>
          <w:rFonts w:ascii="宋体" w:hAnsi="宋体" w:cs="宋体" w:hint="eastAsia"/>
        </w:rPr>
        <w:t>《维也纳</w:t>
      </w:r>
      <w:r w:rsidRPr="008012F8">
        <w:rPr>
          <w:rFonts w:hint="eastAsia"/>
        </w:rPr>
        <w:t>……</w:t>
      </w:r>
      <w:r w:rsidRPr="008012F8">
        <w:rPr>
          <w:rFonts w:ascii="宋体" w:hAnsi="宋体" w:cs="宋体" w:hint="eastAsia"/>
        </w:rPr>
        <w:t>公约》</w:t>
      </w:r>
      <w:r w:rsidRPr="008012F8">
        <w:t>(</w:t>
      </w:r>
      <w:r w:rsidRPr="008012F8">
        <w:rPr>
          <w:rFonts w:ascii="宋体" w:hAnsi="宋体" w:cs="宋体" w:hint="eastAsia"/>
        </w:rPr>
        <w:t>见上文</w:t>
      </w:r>
      <w:r w:rsidRPr="00EA258E">
        <w:rPr>
          <w:rFonts w:asciiTheme="majorBidi" w:hAnsiTheme="majorBidi" w:cstheme="majorBidi"/>
        </w:rPr>
        <w:t>脚注</w:t>
      </w:r>
      <w:r>
        <w:fldChar w:fldCharType="begin"/>
      </w:r>
      <w:r>
        <w:instrText xml:space="preserve"> NOTEREF _Ref461972846 \h </w:instrText>
      </w:r>
      <w:r>
        <w:fldChar w:fldCharType="separate"/>
      </w:r>
      <w:r w:rsidR="00A73EB9">
        <w:t>393</w:t>
      </w:r>
      <w:r>
        <w:fldChar w:fldCharType="end"/>
      </w:r>
      <w:r w:rsidRPr="00EA258E">
        <w:rPr>
          <w:rFonts w:asciiTheme="majorBidi" w:hAnsiTheme="majorBidi" w:cstheme="majorBidi"/>
        </w:rPr>
        <w:t>)</w:t>
      </w:r>
      <w:r w:rsidRPr="008012F8">
        <w:rPr>
          <w:rFonts w:ascii="宋体" w:hAnsi="宋体" w:cs="宋体" w:hint="eastAsia"/>
        </w:rPr>
        <w:t>，第</w:t>
      </w:r>
      <w:r w:rsidRPr="008012F8">
        <w:t>116</w:t>
      </w:r>
      <w:r w:rsidRPr="008012F8">
        <w:rPr>
          <w:rFonts w:ascii="宋体" w:hAnsi="宋体" w:cs="宋体" w:hint="eastAsia"/>
        </w:rPr>
        <w:t>页；国际法不成体系问题研究组</w:t>
      </w:r>
      <w:r w:rsidRPr="008012F8">
        <w:t>2006</w:t>
      </w:r>
      <w:r w:rsidRPr="008012F8">
        <w:rPr>
          <w:rFonts w:ascii="宋体" w:hAnsi="宋体" w:cs="宋体" w:hint="eastAsia"/>
        </w:rPr>
        <w:t>年报告</w:t>
      </w:r>
      <w:r w:rsidRPr="008012F8">
        <w:t>(</w:t>
      </w:r>
      <w:hyperlink r:id="rId66" w:history="1">
        <w:r w:rsidRPr="003A67B6">
          <w:rPr>
            <w:rStyle w:val="af"/>
          </w:rPr>
          <w:t>A/CN.4/L.682</w:t>
        </w:r>
      </w:hyperlink>
      <w:r w:rsidRPr="003A67B6">
        <w:rPr>
          <w:rFonts w:ascii="宋体" w:hAnsi="宋体" w:cs="宋体" w:hint="eastAsia"/>
        </w:rPr>
        <w:t>和</w:t>
      </w:r>
      <w:hyperlink r:id="rId67" w:history="1">
        <w:r w:rsidRPr="003A67B6">
          <w:rPr>
            <w:rStyle w:val="af"/>
          </w:rPr>
          <w:t>A/CN.4/L.682</w:t>
        </w:r>
        <w:r w:rsidRPr="003A67B6">
          <w:rPr>
            <w:rStyle w:val="af"/>
            <w:rFonts w:hint="eastAsia"/>
          </w:rPr>
          <w:t>/</w:t>
        </w:r>
        <w:r w:rsidRPr="003A67B6">
          <w:rPr>
            <w:rStyle w:val="af"/>
          </w:rPr>
          <w:t>Corr.1</w:t>
        </w:r>
      </w:hyperlink>
      <w:r w:rsidRPr="003A67B6">
        <w:t>)</w:t>
      </w:r>
      <w:r w:rsidRPr="003A67B6">
        <w:rPr>
          <w:rFonts w:ascii="宋体" w:hAnsi="宋体" w:cs="宋体" w:hint="eastAsia"/>
        </w:rPr>
        <w:t>，第</w:t>
      </w:r>
      <w:r w:rsidRPr="003A67B6">
        <w:t>423</w:t>
      </w:r>
      <w:r w:rsidRPr="003A67B6">
        <w:rPr>
          <w:rFonts w:ascii="宋体" w:hAnsi="宋体" w:cs="宋体" w:hint="eastAsia"/>
        </w:rPr>
        <w:t>段；</w:t>
      </w:r>
      <w:r w:rsidRPr="003A67B6">
        <w:t>Gardiner</w:t>
      </w:r>
      <w:r w:rsidRPr="008012F8">
        <w:t>,</w:t>
      </w:r>
      <w:r w:rsidRPr="008012F8">
        <w:rPr>
          <w:rFonts w:ascii="宋体" w:hAnsi="宋体" w:cs="宋体" w:hint="eastAsia"/>
        </w:rPr>
        <w:t>《条约解释》</w:t>
      </w:r>
      <w:r w:rsidRPr="008012F8">
        <w:t>(</w:t>
      </w:r>
      <w:r w:rsidRPr="008012F8">
        <w:rPr>
          <w:rFonts w:ascii="宋体" w:hAnsi="宋体" w:cs="宋体" w:hint="eastAsia"/>
        </w:rPr>
        <w:t>见上文脚注</w:t>
      </w:r>
      <w:r w:rsidRPr="00D90936">
        <w:rPr>
          <w:rFonts w:asciiTheme="majorBidi" w:hAnsiTheme="majorBidi" w:cstheme="majorBidi"/>
        </w:rPr>
        <w:fldChar w:fldCharType="begin"/>
      </w:r>
      <w:r w:rsidRPr="00D90936">
        <w:rPr>
          <w:rFonts w:asciiTheme="majorBidi" w:hAnsiTheme="majorBidi" w:cstheme="majorBidi"/>
        </w:rPr>
        <w:instrText xml:space="preserve"> NOTEREF _Ref461971974 \h </w:instrText>
      </w:r>
      <w:r>
        <w:rPr>
          <w:rFonts w:asciiTheme="majorBidi" w:hAnsiTheme="majorBidi" w:cstheme="majorBidi"/>
        </w:rPr>
        <w:instrText xml:space="preserve"> \* MERGEFORMAT </w:instrText>
      </w:r>
      <w:r w:rsidRPr="00D90936">
        <w:rPr>
          <w:rFonts w:asciiTheme="majorBidi" w:hAnsiTheme="majorBidi" w:cstheme="majorBidi"/>
        </w:rPr>
      </w:r>
      <w:r w:rsidRPr="00D90936">
        <w:rPr>
          <w:rFonts w:asciiTheme="majorBidi" w:hAnsiTheme="majorBidi" w:cstheme="majorBidi"/>
        </w:rPr>
        <w:fldChar w:fldCharType="separate"/>
      </w:r>
      <w:r w:rsidR="00A73EB9">
        <w:rPr>
          <w:rFonts w:asciiTheme="majorBidi" w:hAnsiTheme="majorBidi" w:cstheme="majorBidi"/>
        </w:rPr>
        <w:t>392</w:t>
      </w:r>
      <w:r w:rsidRPr="00D90936">
        <w:rPr>
          <w:rFonts w:asciiTheme="majorBidi" w:hAnsiTheme="majorBidi" w:cstheme="majorBidi"/>
        </w:rPr>
        <w:fldChar w:fldCharType="end"/>
      </w:r>
      <w:r w:rsidRPr="00EA258E">
        <w:rPr>
          <w:rFonts w:asciiTheme="majorBidi" w:hAnsiTheme="majorBidi" w:cstheme="majorBidi"/>
        </w:rPr>
        <w:t>)</w:t>
      </w:r>
      <w:r w:rsidRPr="008012F8">
        <w:rPr>
          <w:rFonts w:ascii="宋体" w:hAnsi="宋体" w:cs="宋体" w:hint="eastAsia"/>
        </w:rPr>
        <w:t>，第</w:t>
      </w:r>
      <w:r w:rsidRPr="008012F8">
        <w:t>28-30</w:t>
      </w:r>
      <w:r w:rsidRPr="008012F8">
        <w:rPr>
          <w:rFonts w:ascii="宋体" w:hAnsi="宋体" w:cs="宋体" w:hint="eastAsia"/>
        </w:rPr>
        <w:t>页和第</w:t>
      </w:r>
      <w:r w:rsidRPr="008012F8">
        <w:t>238</w:t>
      </w:r>
      <w:r w:rsidRPr="008012F8">
        <w:rPr>
          <w:rFonts w:ascii="宋体" w:hAnsi="宋体" w:cs="宋体" w:hint="eastAsia"/>
        </w:rPr>
        <w:t>页；</w:t>
      </w:r>
      <w:r w:rsidRPr="008012F8">
        <w:t>Yasseen,</w:t>
      </w:r>
      <w:r w:rsidRPr="008012F8">
        <w:rPr>
          <w:rFonts w:hint="eastAsia"/>
        </w:rPr>
        <w:t>“……</w:t>
      </w:r>
      <w:r w:rsidRPr="008012F8">
        <w:rPr>
          <w:rFonts w:ascii="宋体" w:hAnsi="宋体" w:cs="宋体" w:hint="eastAsia"/>
        </w:rPr>
        <w:t>对条约进行解释</w:t>
      </w:r>
      <w:r w:rsidRPr="008012F8">
        <w:rPr>
          <w:rFonts w:hint="eastAsia"/>
        </w:rPr>
        <w:t>”</w:t>
      </w:r>
      <w:r w:rsidRPr="008012F8">
        <w:t>(</w:t>
      </w:r>
      <w:r w:rsidRPr="008012F8">
        <w:rPr>
          <w:rFonts w:ascii="宋体" w:hAnsi="宋体" w:cs="宋体" w:hint="eastAsia"/>
        </w:rPr>
        <w:t>见上文</w:t>
      </w:r>
      <w:r w:rsidRPr="00EA258E">
        <w:rPr>
          <w:rFonts w:asciiTheme="majorBidi" w:hAnsiTheme="majorBidi" w:cstheme="majorBidi"/>
        </w:rPr>
        <w:t>脚注</w:t>
      </w:r>
      <w:r>
        <w:fldChar w:fldCharType="begin"/>
      </w:r>
      <w:r>
        <w:instrText xml:space="preserve"> NOTEREF _Ref461972846 \h </w:instrText>
      </w:r>
      <w:r>
        <w:fldChar w:fldCharType="separate"/>
      </w:r>
      <w:r w:rsidR="00A73EB9">
        <w:t>393</w:t>
      </w:r>
      <w:r>
        <w:fldChar w:fldCharType="end"/>
      </w:r>
      <w:r w:rsidRPr="00EA258E">
        <w:rPr>
          <w:rFonts w:asciiTheme="majorBidi" w:hAnsiTheme="majorBidi" w:cstheme="majorBidi"/>
        </w:rPr>
        <w:t>)</w:t>
      </w:r>
      <w:r w:rsidRPr="008012F8">
        <w:rPr>
          <w:rFonts w:ascii="宋体" w:hAnsi="宋体" w:cs="宋体" w:hint="eastAsia"/>
        </w:rPr>
        <w:t>，第</w:t>
      </w:r>
      <w:r w:rsidRPr="008012F8">
        <w:t>47</w:t>
      </w:r>
      <w:r w:rsidRPr="008012F8">
        <w:rPr>
          <w:rFonts w:ascii="宋体" w:hAnsi="宋体" w:cs="宋体" w:hint="eastAsia"/>
        </w:rPr>
        <w:t>页；</w:t>
      </w:r>
      <w:r w:rsidRPr="008012F8">
        <w:t>U. Linderfalk,</w:t>
      </w:r>
      <w:r w:rsidRPr="008012F8">
        <w:rPr>
          <w:rFonts w:hint="eastAsia"/>
        </w:rPr>
        <w:t>“</w:t>
      </w:r>
      <w:r w:rsidRPr="008012F8">
        <w:rPr>
          <w:rFonts w:ascii="宋体" w:hAnsi="宋体" w:cs="宋体" w:hint="eastAsia"/>
        </w:rPr>
        <w:t>《维也纳公约》第三十一和第三十二条的等级结构是否真实？对解释规则进行解释</w:t>
      </w:r>
      <w:r w:rsidRPr="008012F8">
        <w:rPr>
          <w:rFonts w:hint="eastAsia"/>
        </w:rPr>
        <w:t>”</w:t>
      </w:r>
      <w:r w:rsidRPr="008012F8">
        <w:rPr>
          <w:rFonts w:ascii="宋体" w:hAnsi="宋体" w:cs="宋体" w:hint="eastAsia"/>
        </w:rPr>
        <w:t>，《荷兰国际法评论》，第</w:t>
      </w:r>
      <w:r w:rsidRPr="008012F8">
        <w:t>54</w:t>
      </w:r>
      <w:r w:rsidRPr="008012F8">
        <w:rPr>
          <w:rFonts w:ascii="宋体" w:hAnsi="宋体" w:cs="宋体" w:hint="eastAsia"/>
        </w:rPr>
        <w:t>卷，第</w:t>
      </w:r>
      <w:r w:rsidRPr="008012F8">
        <w:t>1</w:t>
      </w:r>
      <w:r w:rsidRPr="008012F8">
        <w:rPr>
          <w:rFonts w:ascii="宋体" w:hAnsi="宋体" w:cs="宋体" w:hint="eastAsia"/>
        </w:rPr>
        <w:t>号</w:t>
      </w:r>
      <w:r w:rsidRPr="008012F8">
        <w:t>(2007</w:t>
      </w:r>
      <w:r w:rsidRPr="008012F8">
        <w:rPr>
          <w:rFonts w:ascii="宋体" w:hAnsi="宋体" w:cs="宋体" w:hint="eastAsia"/>
        </w:rPr>
        <w:t>年</w:t>
      </w:r>
      <w:r w:rsidRPr="008012F8">
        <w:t>)</w:t>
      </w:r>
      <w:r w:rsidRPr="008012F8">
        <w:rPr>
          <w:rFonts w:ascii="宋体" w:hAnsi="宋体" w:cs="宋体" w:hint="eastAsia"/>
        </w:rPr>
        <w:t>，第</w:t>
      </w:r>
      <w:r w:rsidRPr="008012F8">
        <w:t>141-144</w:t>
      </w:r>
      <w:r w:rsidRPr="008012F8">
        <w:rPr>
          <w:rFonts w:ascii="宋体" w:hAnsi="宋体" w:cs="宋体" w:hint="eastAsia"/>
        </w:rPr>
        <w:t>页和第</w:t>
      </w:r>
      <w:r w:rsidRPr="008012F8">
        <w:t>147</w:t>
      </w:r>
      <w:r w:rsidRPr="008012F8">
        <w:rPr>
          <w:rFonts w:ascii="宋体" w:hAnsi="宋体" w:cs="宋体" w:hint="eastAsia"/>
        </w:rPr>
        <w:t>页；</w:t>
      </w:r>
      <w:r w:rsidRPr="008012F8">
        <w:t>G. Distefano,</w:t>
      </w:r>
      <w:r w:rsidRPr="008012F8">
        <w:rPr>
          <w:rFonts w:hint="eastAsia"/>
        </w:rPr>
        <w:t>“</w:t>
      </w:r>
      <w:r w:rsidRPr="008012F8">
        <w:rPr>
          <w:rFonts w:ascii="宋体" w:hAnsi="宋体" w:cs="宋体" w:hint="eastAsia"/>
        </w:rPr>
        <w:t>条约缔约国的嗣后惯例</w:t>
      </w:r>
      <w:r w:rsidRPr="008012F8">
        <w:rPr>
          <w:rFonts w:hint="eastAsia"/>
        </w:rPr>
        <w:t>”</w:t>
      </w:r>
      <w:r w:rsidRPr="008012F8">
        <w:rPr>
          <w:rFonts w:ascii="宋体" w:hAnsi="宋体" w:cs="宋体" w:hint="eastAsia"/>
        </w:rPr>
        <w:t>，《法国国际法年鉴》，第</w:t>
      </w:r>
      <w:r w:rsidRPr="008012F8">
        <w:t>40</w:t>
      </w:r>
      <w:r w:rsidRPr="008012F8">
        <w:rPr>
          <w:rFonts w:ascii="宋体" w:hAnsi="宋体" w:cs="宋体" w:hint="eastAsia"/>
        </w:rPr>
        <w:t>卷</w:t>
      </w:r>
      <w:r w:rsidRPr="008012F8">
        <w:t>(1994</w:t>
      </w:r>
      <w:r w:rsidRPr="008012F8">
        <w:rPr>
          <w:rFonts w:ascii="宋体" w:hAnsi="宋体" w:cs="宋体" w:hint="eastAsia"/>
        </w:rPr>
        <w:t>年</w:t>
      </w:r>
      <w:r w:rsidRPr="008012F8">
        <w:t>)</w:t>
      </w:r>
      <w:r w:rsidRPr="008012F8">
        <w:rPr>
          <w:rFonts w:ascii="宋体" w:hAnsi="宋体" w:cs="宋体" w:hint="eastAsia"/>
        </w:rPr>
        <w:t>，第</w:t>
      </w:r>
      <w:r w:rsidRPr="008012F8">
        <w:t>44</w:t>
      </w:r>
      <w:r w:rsidRPr="008012F8">
        <w:rPr>
          <w:rFonts w:ascii="宋体" w:hAnsi="宋体" w:cs="宋体" w:hint="eastAsia"/>
        </w:rPr>
        <w:t>页；</w:t>
      </w:r>
      <w:r w:rsidRPr="008012F8">
        <w:t>Villiger,</w:t>
      </w:r>
      <w:r w:rsidRPr="008012F8">
        <w:rPr>
          <w:rFonts w:hint="eastAsia"/>
        </w:rPr>
        <w:t>“</w:t>
      </w:r>
      <w:r w:rsidRPr="008012F8">
        <w:rPr>
          <w:rFonts w:ascii="宋体" w:hAnsi="宋体" w:cs="宋体" w:hint="eastAsia"/>
        </w:rPr>
        <w:t>解释的规则</w:t>
      </w:r>
      <w:r w:rsidRPr="008012F8">
        <w:rPr>
          <w:rFonts w:hint="eastAsia"/>
        </w:rPr>
        <w:t>……”</w:t>
      </w:r>
      <w:r w:rsidRPr="008012F8">
        <w:t>(</w:t>
      </w:r>
      <w:r w:rsidRPr="008012F8">
        <w:rPr>
          <w:rFonts w:ascii="宋体" w:hAnsi="宋体" w:cs="宋体" w:hint="eastAsia"/>
        </w:rPr>
        <w:t>见上文脚注</w:t>
      </w:r>
      <w:r>
        <w:fldChar w:fldCharType="begin"/>
      </w:r>
      <w:r>
        <w:instrText xml:space="preserve"> </w:instrText>
      </w:r>
      <w:r>
        <w:rPr>
          <w:rFonts w:hint="eastAsia"/>
        </w:rPr>
        <w:instrText>NOTEREF _Ref461972537 \h</w:instrText>
      </w:r>
      <w:r>
        <w:instrText xml:space="preserve"> </w:instrText>
      </w:r>
      <w:r>
        <w:fldChar w:fldCharType="separate"/>
      </w:r>
      <w:r w:rsidR="00A73EB9">
        <w:t>439</w:t>
      </w:r>
      <w:r>
        <w:fldChar w:fldCharType="end"/>
      </w:r>
      <w:r w:rsidRPr="00D90936">
        <w:rPr>
          <w:rFonts w:asciiTheme="majorBidi" w:hAnsiTheme="majorBidi" w:cstheme="majorBidi"/>
        </w:rPr>
        <w:t>)</w:t>
      </w:r>
      <w:r w:rsidRPr="008012F8">
        <w:t>，</w:t>
      </w:r>
      <w:r w:rsidRPr="008012F8">
        <w:rPr>
          <w:rFonts w:ascii="宋体" w:hAnsi="宋体" w:cs="宋体" w:hint="eastAsia"/>
        </w:rPr>
        <w:t>第</w:t>
      </w:r>
      <w:r w:rsidRPr="008012F8">
        <w:t>111</w:t>
      </w:r>
      <w:r w:rsidRPr="008012F8">
        <w:rPr>
          <w:rFonts w:ascii="宋体" w:hAnsi="宋体" w:cs="宋体" w:hint="eastAsia"/>
        </w:rPr>
        <w:t>页。</w:t>
      </w:r>
    </w:p>
  </w:footnote>
  <w:footnote w:id="575">
    <w:p w:rsidR="00AB00DE" w:rsidRPr="008012F8" w:rsidRDefault="00AB00DE" w:rsidP="00560424">
      <w:pPr>
        <w:pStyle w:val="a4"/>
      </w:pPr>
      <w:r w:rsidRPr="008012F8">
        <w:tab/>
      </w:r>
      <w:r w:rsidRPr="00DF5565">
        <w:rPr>
          <w:rStyle w:val="a5"/>
        </w:rPr>
        <w:footnoteRef/>
      </w:r>
      <w:r w:rsidRPr="008012F8">
        <w:tab/>
        <w:t>Gardiner,</w:t>
      </w:r>
      <w:r w:rsidRPr="008012F8">
        <w:rPr>
          <w:rFonts w:ascii="宋体" w:hAnsi="宋体" w:cs="宋体" w:hint="eastAsia"/>
        </w:rPr>
        <w:t>《条约解释》</w:t>
      </w:r>
      <w:r w:rsidRPr="008012F8">
        <w:t>(</w:t>
      </w:r>
      <w:r w:rsidRPr="008012F8">
        <w:rPr>
          <w:rFonts w:ascii="宋体" w:hAnsi="宋体" w:cs="宋体" w:hint="eastAsia"/>
        </w:rPr>
        <w:t>见上文</w:t>
      </w:r>
      <w:r w:rsidRPr="00EA258E">
        <w:rPr>
          <w:rFonts w:asciiTheme="majorBidi" w:hAnsiTheme="majorBidi" w:cstheme="majorBidi"/>
        </w:rPr>
        <w:t>脚注</w:t>
      </w:r>
      <w:r w:rsidRPr="00D90936">
        <w:rPr>
          <w:rFonts w:asciiTheme="majorBidi" w:hAnsiTheme="majorBidi" w:cstheme="majorBidi"/>
        </w:rPr>
        <w:fldChar w:fldCharType="begin"/>
      </w:r>
      <w:r w:rsidRPr="00D90936">
        <w:rPr>
          <w:rFonts w:asciiTheme="majorBidi" w:hAnsiTheme="majorBidi" w:cstheme="majorBidi"/>
        </w:rPr>
        <w:instrText xml:space="preserve"> NOTEREF _Ref461971974 \h </w:instrText>
      </w:r>
      <w:r>
        <w:rPr>
          <w:rFonts w:asciiTheme="majorBidi" w:hAnsiTheme="majorBidi" w:cstheme="majorBidi"/>
        </w:rPr>
        <w:instrText xml:space="preserve"> \* MERGEFORMAT </w:instrText>
      </w:r>
      <w:r w:rsidRPr="00D90936">
        <w:rPr>
          <w:rFonts w:asciiTheme="majorBidi" w:hAnsiTheme="majorBidi" w:cstheme="majorBidi"/>
        </w:rPr>
      </w:r>
      <w:r w:rsidRPr="00D90936">
        <w:rPr>
          <w:rFonts w:asciiTheme="majorBidi" w:hAnsiTheme="majorBidi" w:cstheme="majorBidi"/>
        </w:rPr>
        <w:fldChar w:fldCharType="separate"/>
      </w:r>
      <w:r w:rsidR="00A73EB9">
        <w:rPr>
          <w:rFonts w:asciiTheme="majorBidi" w:hAnsiTheme="majorBidi" w:cstheme="majorBidi"/>
        </w:rPr>
        <w:t>392</w:t>
      </w:r>
      <w:r w:rsidRPr="00D90936">
        <w:rPr>
          <w:rFonts w:asciiTheme="majorBidi" w:hAnsiTheme="majorBidi" w:cstheme="majorBidi"/>
        </w:rPr>
        <w:fldChar w:fldCharType="end"/>
      </w:r>
      <w:r w:rsidRPr="00EA258E">
        <w:rPr>
          <w:rFonts w:asciiTheme="majorBidi" w:hAnsiTheme="majorBidi" w:cstheme="majorBidi"/>
        </w:rPr>
        <w:t>)</w:t>
      </w:r>
      <w:r w:rsidRPr="008012F8">
        <w:t>，</w:t>
      </w:r>
      <w:r w:rsidRPr="008012F8">
        <w:rPr>
          <w:rFonts w:ascii="宋体" w:hAnsi="宋体" w:cs="宋体" w:hint="eastAsia"/>
        </w:rPr>
        <w:t>第</w:t>
      </w:r>
      <w:r w:rsidRPr="008012F8">
        <w:t>266</w:t>
      </w:r>
      <w:r w:rsidRPr="008012F8">
        <w:rPr>
          <w:rFonts w:ascii="宋体" w:hAnsi="宋体" w:cs="宋体" w:hint="eastAsia"/>
        </w:rPr>
        <w:t>页；</w:t>
      </w:r>
      <w:r w:rsidRPr="008012F8">
        <w:t>Linderfalk,</w:t>
      </w:r>
      <w:r w:rsidRPr="008012F8">
        <w:rPr>
          <w:rFonts w:hint="eastAsia"/>
        </w:rPr>
        <w:t>《论条约的解释》</w:t>
      </w:r>
      <w:r w:rsidRPr="008012F8">
        <w:t>(</w:t>
      </w:r>
      <w:r w:rsidRPr="008012F8">
        <w:t>见上文脚注</w:t>
      </w:r>
      <w:r>
        <w:fldChar w:fldCharType="begin"/>
      </w:r>
      <w:r>
        <w:instrText xml:space="preserve"> </w:instrText>
      </w:r>
      <w:r>
        <w:rPr>
          <w:rFonts w:hint="eastAsia"/>
        </w:rPr>
        <w:instrText>NOTEREF _Ref461974127 \h</w:instrText>
      </w:r>
      <w:r>
        <w:instrText xml:space="preserve"> </w:instrText>
      </w:r>
      <w:r>
        <w:fldChar w:fldCharType="separate"/>
      </w:r>
      <w:r w:rsidR="00A73EB9">
        <w:t>446</w:t>
      </w:r>
      <w:r>
        <w:fldChar w:fldCharType="end"/>
      </w:r>
      <w:r w:rsidRPr="008012F8">
        <w:t>)</w:t>
      </w:r>
      <w:r w:rsidRPr="008012F8">
        <w:rPr>
          <w:rFonts w:ascii="宋体" w:hAnsi="宋体" w:cs="宋体" w:hint="eastAsia"/>
        </w:rPr>
        <w:t>，第</w:t>
      </w:r>
      <w:r w:rsidRPr="008012F8">
        <w:t>162</w:t>
      </w:r>
      <w:r w:rsidRPr="008012F8">
        <w:rPr>
          <w:rFonts w:ascii="宋体" w:hAnsi="宋体" w:cs="宋体" w:hint="eastAsia"/>
        </w:rPr>
        <w:t>页；</w:t>
      </w:r>
      <w:r w:rsidRPr="008012F8">
        <w:t xml:space="preserve">Karl, </w:t>
      </w:r>
      <w:r w:rsidRPr="008012F8">
        <w:rPr>
          <w:i/>
          <w:iCs/>
        </w:rPr>
        <w:t>Vertrag und spätere Praxis…</w:t>
      </w:r>
      <w:r w:rsidRPr="008012F8">
        <w:t>(</w:t>
      </w:r>
      <w:r w:rsidRPr="008012F8">
        <w:t>见上文脚注</w:t>
      </w:r>
      <w:r>
        <w:fldChar w:fldCharType="begin"/>
      </w:r>
      <w:r>
        <w:instrText xml:space="preserve"> NOTEREF _Ref364163375 \h </w:instrText>
      </w:r>
      <w:r>
        <w:fldChar w:fldCharType="separate"/>
      </w:r>
      <w:r w:rsidR="00A73EB9">
        <w:t>454</w:t>
      </w:r>
      <w:r>
        <w:fldChar w:fldCharType="end"/>
      </w:r>
      <w:r w:rsidRPr="008012F8">
        <w:t>)</w:t>
      </w:r>
      <w:r w:rsidRPr="008012F8">
        <w:t>，第</w:t>
      </w:r>
      <w:r w:rsidRPr="008012F8">
        <w:t>114</w:t>
      </w:r>
      <w:r w:rsidRPr="008012F8">
        <w:rPr>
          <w:rFonts w:ascii="宋体" w:hAnsi="宋体" w:cs="宋体" w:hint="eastAsia"/>
        </w:rPr>
        <w:t>和第</w:t>
      </w:r>
      <w:r w:rsidRPr="008012F8">
        <w:t>118</w:t>
      </w:r>
      <w:r w:rsidRPr="008012F8">
        <w:rPr>
          <w:rFonts w:ascii="宋体" w:hAnsi="宋体" w:cs="宋体" w:hint="eastAsia"/>
        </w:rPr>
        <w:t>页；</w:t>
      </w:r>
      <w:r w:rsidRPr="008012F8">
        <w:t>Dörr,</w:t>
      </w:r>
      <w:r w:rsidRPr="008012F8">
        <w:rPr>
          <w:rFonts w:hint="eastAsia"/>
        </w:rPr>
        <w:t>“</w:t>
      </w:r>
      <w:r w:rsidRPr="008012F8">
        <w:rPr>
          <w:rFonts w:ascii="宋体" w:hAnsi="宋体" w:cs="宋体" w:hint="eastAsia"/>
        </w:rPr>
        <w:t>第三十一条</w:t>
      </w:r>
      <w:r w:rsidRPr="008012F8">
        <w:rPr>
          <w:rFonts w:hint="eastAsia"/>
        </w:rPr>
        <w:t>……”</w:t>
      </w:r>
      <w:r w:rsidRPr="008012F8">
        <w:t>(</w:t>
      </w:r>
      <w:r w:rsidRPr="008012F8">
        <w:rPr>
          <w:rFonts w:ascii="宋体" w:hAnsi="宋体" w:cs="宋体" w:hint="eastAsia"/>
        </w:rPr>
        <w:t>见</w:t>
      </w:r>
      <w:r w:rsidRPr="00EA258E">
        <w:rPr>
          <w:rFonts w:asciiTheme="majorBidi" w:hAnsiTheme="majorBidi" w:cstheme="majorBidi"/>
        </w:rPr>
        <w:t>上文脚注</w:t>
      </w:r>
      <w:r>
        <w:fldChar w:fldCharType="begin"/>
      </w:r>
      <w:r>
        <w:instrText xml:space="preserve"> </w:instrText>
      </w:r>
      <w:r>
        <w:rPr>
          <w:rFonts w:hint="eastAsia"/>
        </w:rPr>
        <w:instrText>NOTEREF _Ref461972537 \h</w:instrText>
      </w:r>
      <w:r>
        <w:instrText xml:space="preserve"> </w:instrText>
      </w:r>
      <w:r>
        <w:fldChar w:fldCharType="separate"/>
      </w:r>
      <w:r w:rsidR="00A73EB9">
        <w:t>439</w:t>
      </w:r>
      <w:r>
        <w:fldChar w:fldCharType="end"/>
      </w:r>
      <w:r w:rsidRPr="00D90936">
        <w:rPr>
          <w:rFonts w:asciiTheme="majorBidi" w:hAnsiTheme="majorBidi" w:cstheme="majorBidi"/>
        </w:rPr>
        <w:t>)</w:t>
      </w:r>
      <w:r w:rsidRPr="008012F8">
        <w:rPr>
          <w:rFonts w:ascii="宋体" w:hAnsi="宋体" w:cs="宋体" w:hint="eastAsia"/>
        </w:rPr>
        <w:t>，第</w:t>
      </w:r>
      <w:r w:rsidRPr="008012F8">
        <w:t>556</w:t>
      </w:r>
      <w:r w:rsidRPr="008012F8">
        <w:rPr>
          <w:rFonts w:ascii="宋体" w:hAnsi="宋体" w:cs="宋体" w:hint="eastAsia"/>
        </w:rPr>
        <w:t>页，第</w:t>
      </w:r>
      <w:r w:rsidRPr="008012F8">
        <w:t>80</w:t>
      </w:r>
      <w:r w:rsidRPr="008012F8">
        <w:rPr>
          <w:rFonts w:ascii="宋体" w:hAnsi="宋体" w:cs="宋体" w:hint="eastAsia"/>
        </w:rPr>
        <w:t>和第</w:t>
      </w:r>
      <w:r w:rsidRPr="008012F8">
        <w:t>82</w:t>
      </w:r>
      <w:r w:rsidRPr="008012F8">
        <w:rPr>
          <w:rFonts w:ascii="宋体" w:hAnsi="宋体" w:cs="宋体" w:hint="eastAsia"/>
        </w:rPr>
        <w:t>段。</w:t>
      </w:r>
    </w:p>
  </w:footnote>
  <w:footnote w:id="576">
    <w:p w:rsidR="00AB00DE" w:rsidRPr="008012F8" w:rsidRDefault="00AB00DE" w:rsidP="008D7906">
      <w:pPr>
        <w:pStyle w:val="a4"/>
      </w:pPr>
      <w:r w:rsidRPr="008012F8">
        <w:tab/>
      </w:r>
      <w:r w:rsidRPr="00DF5565">
        <w:rPr>
          <w:rStyle w:val="a5"/>
        </w:rPr>
        <w:footnoteRef/>
      </w:r>
      <w:r w:rsidRPr="008012F8">
        <w:tab/>
      </w:r>
      <w:r w:rsidRPr="008012F8">
        <w:rPr>
          <w:rFonts w:ascii="宋体" w:hAnsi="宋体" w:cs="宋体" w:hint="eastAsia"/>
        </w:rPr>
        <w:t>这个第二项备选案文应巴基斯坦提议而提出，但其范围和目的从未得到讨论或澄清，见《联合国条约法会议，第一和第二届会议，</w:t>
      </w:r>
      <w:r w:rsidRPr="008012F8">
        <w:t>1968</w:t>
      </w:r>
      <w:r w:rsidRPr="008012F8">
        <w:rPr>
          <w:rFonts w:ascii="宋体" w:hAnsi="宋体" w:cs="宋体" w:hint="eastAsia"/>
        </w:rPr>
        <w:t>年</w:t>
      </w:r>
      <w:r w:rsidRPr="008012F8">
        <w:t>3</w:t>
      </w:r>
      <w:r w:rsidRPr="008012F8">
        <w:rPr>
          <w:rFonts w:ascii="宋体" w:hAnsi="宋体" w:cs="宋体" w:hint="eastAsia"/>
        </w:rPr>
        <w:t>月</w:t>
      </w:r>
      <w:r w:rsidRPr="008012F8">
        <w:t>26</w:t>
      </w:r>
      <w:r w:rsidRPr="008012F8">
        <w:rPr>
          <w:rFonts w:ascii="宋体" w:hAnsi="宋体" w:cs="宋体" w:hint="eastAsia"/>
        </w:rPr>
        <w:t>日至</w:t>
      </w:r>
      <w:r w:rsidRPr="008012F8">
        <w:t>5</w:t>
      </w:r>
      <w:r w:rsidRPr="008012F8">
        <w:rPr>
          <w:rFonts w:ascii="宋体" w:hAnsi="宋体" w:cs="宋体" w:hint="eastAsia"/>
        </w:rPr>
        <w:t>月</w:t>
      </w:r>
      <w:r w:rsidRPr="008012F8">
        <w:t>24</w:t>
      </w:r>
      <w:r w:rsidRPr="008012F8">
        <w:rPr>
          <w:rFonts w:ascii="宋体" w:hAnsi="宋体" w:cs="宋体" w:hint="eastAsia"/>
        </w:rPr>
        <w:t>日和</w:t>
      </w:r>
      <w:r w:rsidRPr="008012F8">
        <w:t>4</w:t>
      </w:r>
      <w:r w:rsidRPr="008012F8">
        <w:rPr>
          <w:rFonts w:ascii="宋体" w:hAnsi="宋体" w:cs="宋体" w:hint="eastAsia"/>
        </w:rPr>
        <w:t>月</w:t>
      </w:r>
      <w:r w:rsidRPr="008012F8">
        <w:t>9</w:t>
      </w:r>
      <w:r w:rsidRPr="008012F8">
        <w:rPr>
          <w:rFonts w:ascii="宋体" w:hAnsi="宋体" w:cs="宋体" w:hint="eastAsia"/>
        </w:rPr>
        <w:t>日至</w:t>
      </w:r>
      <w:r w:rsidRPr="008012F8">
        <w:t>5</w:t>
      </w:r>
      <w:r w:rsidRPr="008012F8">
        <w:rPr>
          <w:rFonts w:ascii="宋体" w:hAnsi="宋体" w:cs="宋体" w:hint="eastAsia"/>
        </w:rPr>
        <w:t>月</w:t>
      </w:r>
      <w:r w:rsidRPr="008012F8">
        <w:t>22</w:t>
      </w:r>
      <w:r w:rsidRPr="008012F8">
        <w:rPr>
          <w:rFonts w:ascii="宋体" w:hAnsi="宋体" w:cs="宋体" w:hint="eastAsia"/>
        </w:rPr>
        <w:t>日，维也纳，全体会议和全体委员会会议简要记录》</w:t>
      </w:r>
      <w:r w:rsidRPr="008012F8">
        <w:t xml:space="preserve">(A/CONF.39/11, </w:t>
      </w:r>
      <w:r w:rsidRPr="008012F8">
        <w:rPr>
          <w:rFonts w:ascii="宋体" w:hAnsi="宋体" w:cs="宋体" w:hint="eastAsia"/>
        </w:rPr>
        <w:t>联合国出版物，出售品编号：</w:t>
      </w:r>
      <w:r w:rsidRPr="008012F8">
        <w:t>E.68.V.7)</w:t>
      </w:r>
      <w:r w:rsidRPr="008012F8">
        <w:rPr>
          <w:rFonts w:ascii="宋体" w:hAnsi="宋体" w:cs="宋体" w:hint="eastAsia"/>
        </w:rPr>
        <w:t>，第</w:t>
      </w:r>
      <w:r w:rsidRPr="008012F8">
        <w:t>31</w:t>
      </w:r>
      <w:r w:rsidRPr="008012F8">
        <w:rPr>
          <w:rFonts w:ascii="宋体" w:hAnsi="宋体" w:cs="宋体" w:hint="eastAsia"/>
        </w:rPr>
        <w:t>次会议，</w:t>
      </w:r>
      <w:r w:rsidRPr="008012F8">
        <w:t>1968</w:t>
      </w:r>
      <w:r w:rsidRPr="008012F8">
        <w:t>年</w:t>
      </w:r>
      <w:r w:rsidRPr="008012F8">
        <w:t>4</w:t>
      </w:r>
      <w:r w:rsidRPr="008012F8">
        <w:t>月</w:t>
      </w:r>
      <w:r w:rsidRPr="008012F8">
        <w:t>19</w:t>
      </w:r>
      <w:r w:rsidRPr="008012F8">
        <w:t>日，第</w:t>
      </w:r>
      <w:r w:rsidRPr="008012F8">
        <w:t>168</w:t>
      </w:r>
      <w:r w:rsidRPr="008012F8">
        <w:t>页，第</w:t>
      </w:r>
      <w:r w:rsidRPr="008012F8">
        <w:t>53</w:t>
      </w:r>
      <w:r w:rsidRPr="008012F8">
        <w:t>段</w:t>
      </w:r>
      <w:r w:rsidRPr="008012F8">
        <w:rPr>
          <w:rFonts w:ascii="宋体" w:hAnsi="宋体" w:cs="宋体" w:hint="eastAsia"/>
        </w:rPr>
        <w:t>。</w:t>
      </w:r>
    </w:p>
  </w:footnote>
  <w:footnote w:id="577">
    <w:p w:rsidR="00AB00DE" w:rsidRPr="008012F8" w:rsidRDefault="00AB00DE" w:rsidP="00267AB1">
      <w:pPr>
        <w:pStyle w:val="a4"/>
      </w:pPr>
      <w:r w:rsidRPr="008012F8">
        <w:tab/>
      </w:r>
      <w:r w:rsidRPr="00DF5565">
        <w:rPr>
          <w:rStyle w:val="a5"/>
        </w:rPr>
        <w:footnoteRef/>
      </w:r>
      <w:r w:rsidRPr="008012F8">
        <w:tab/>
      </w:r>
      <w:r w:rsidRPr="008012F8">
        <w:t>见</w:t>
      </w:r>
      <w:r w:rsidRPr="008012F8">
        <w:t>Linderfalk,</w:t>
      </w:r>
      <w:r w:rsidRPr="008012F8">
        <w:rPr>
          <w:rFonts w:ascii="宋体" w:hAnsi="宋体" w:cs="宋体" w:hint="eastAsia"/>
        </w:rPr>
        <w:t>《论条约的解释》</w:t>
      </w:r>
      <w:r w:rsidRPr="008012F8">
        <w:t>(</w:t>
      </w:r>
      <w:r w:rsidRPr="006158E6">
        <w:rPr>
          <w:rFonts w:asciiTheme="majorBidi" w:hAnsiTheme="majorBidi" w:cstheme="majorBidi"/>
        </w:rPr>
        <w:t>上文脚注</w:t>
      </w:r>
      <w:r>
        <w:fldChar w:fldCharType="begin"/>
      </w:r>
      <w:r>
        <w:instrText xml:space="preserve"> </w:instrText>
      </w:r>
      <w:r>
        <w:rPr>
          <w:rFonts w:hint="eastAsia"/>
        </w:rPr>
        <w:instrText>NOTEREF _Ref461974127 \h</w:instrText>
      </w:r>
      <w:r>
        <w:instrText xml:space="preserve"> </w:instrText>
      </w:r>
      <w:r>
        <w:fldChar w:fldCharType="separate"/>
      </w:r>
      <w:r w:rsidR="00A73EB9">
        <w:t>446</w:t>
      </w:r>
      <w:r>
        <w:fldChar w:fldCharType="end"/>
      </w:r>
      <w:r w:rsidRPr="006158E6">
        <w:rPr>
          <w:rFonts w:asciiTheme="majorBidi" w:hAnsiTheme="majorBidi" w:cstheme="majorBidi"/>
        </w:rPr>
        <w:t>)</w:t>
      </w:r>
      <w:r w:rsidRPr="006158E6">
        <w:rPr>
          <w:rFonts w:asciiTheme="majorBidi" w:hAnsiTheme="majorBidi" w:cstheme="majorBidi"/>
        </w:rPr>
        <w:t>，</w:t>
      </w:r>
      <w:r w:rsidRPr="008012F8">
        <w:rPr>
          <w:rFonts w:ascii="宋体" w:hAnsi="宋体" w:cs="宋体" w:hint="eastAsia"/>
        </w:rPr>
        <w:t>第</w:t>
      </w:r>
      <w:r w:rsidRPr="008012F8">
        <w:t>164-165</w:t>
      </w:r>
      <w:r w:rsidRPr="008012F8">
        <w:rPr>
          <w:rFonts w:ascii="宋体" w:hAnsi="宋体" w:cs="宋体" w:hint="eastAsia"/>
        </w:rPr>
        <w:t>页和第</w:t>
      </w:r>
      <w:r w:rsidRPr="008012F8">
        <w:t>167</w:t>
      </w:r>
      <w:r w:rsidRPr="008012F8">
        <w:rPr>
          <w:rFonts w:ascii="宋体" w:hAnsi="宋体" w:cs="宋体" w:hint="eastAsia"/>
        </w:rPr>
        <w:t>页；另见结论草案</w:t>
      </w:r>
      <w:r w:rsidRPr="008012F8">
        <w:t>2</w:t>
      </w:r>
      <w:r w:rsidRPr="008012F8">
        <w:rPr>
          <w:rFonts w:hint="eastAsia"/>
        </w:rPr>
        <w:t>[1]</w:t>
      </w:r>
      <w:r w:rsidRPr="008012F8">
        <w:rPr>
          <w:rFonts w:ascii="宋体" w:hAnsi="宋体" w:cs="宋体" w:hint="eastAsia"/>
        </w:rPr>
        <w:t>第</w:t>
      </w:r>
      <w:r w:rsidRPr="008012F8">
        <w:t>4</w:t>
      </w:r>
      <w:r w:rsidRPr="008012F8">
        <w:rPr>
          <w:rFonts w:ascii="宋体" w:hAnsi="宋体" w:cs="宋体" w:hint="eastAsia"/>
        </w:rPr>
        <w:t>段和结论草案</w:t>
      </w:r>
      <w:r w:rsidRPr="008012F8">
        <w:t>4</w:t>
      </w:r>
      <w:r w:rsidRPr="008012F8">
        <w:rPr>
          <w:rFonts w:ascii="宋体" w:hAnsi="宋体" w:cs="宋体" w:hint="eastAsia"/>
        </w:rPr>
        <w:t>第</w:t>
      </w:r>
      <w:r w:rsidRPr="008012F8">
        <w:t>3</w:t>
      </w:r>
      <w:r w:rsidRPr="008012F8">
        <w:rPr>
          <w:rFonts w:ascii="宋体" w:hAnsi="宋体" w:cs="宋体" w:hint="eastAsia"/>
        </w:rPr>
        <w:t>段。</w:t>
      </w:r>
    </w:p>
  </w:footnote>
  <w:footnote w:id="578">
    <w:p w:rsidR="00AB00DE" w:rsidRPr="008012F8" w:rsidRDefault="00AB00DE" w:rsidP="008D7906">
      <w:pPr>
        <w:pStyle w:val="a4"/>
      </w:pPr>
      <w:r w:rsidRPr="008012F8">
        <w:tab/>
      </w:r>
      <w:r w:rsidRPr="00DF5565">
        <w:rPr>
          <w:rStyle w:val="a5"/>
        </w:rPr>
        <w:footnoteRef/>
      </w:r>
      <w:r w:rsidRPr="008012F8">
        <w:tab/>
      </w:r>
      <w:r w:rsidRPr="008012F8">
        <w:rPr>
          <w:rFonts w:ascii="宋体" w:hAnsi="宋体" w:cs="宋体" w:hint="eastAsia"/>
        </w:rPr>
        <w:t>见下文结论草案</w:t>
      </w:r>
      <w:r w:rsidRPr="008012F8">
        <w:t xml:space="preserve">7, </w:t>
      </w:r>
      <w:r w:rsidRPr="008012F8">
        <w:t>第</w:t>
      </w:r>
      <w:r w:rsidRPr="008012F8">
        <w:t>1</w:t>
      </w:r>
      <w:r w:rsidRPr="008012F8">
        <w:t>段</w:t>
      </w:r>
      <w:r w:rsidRPr="008012F8">
        <w:rPr>
          <w:rFonts w:ascii="宋体" w:hAnsi="宋体" w:cs="宋体" w:hint="eastAsia"/>
        </w:rPr>
        <w:t>。</w:t>
      </w:r>
    </w:p>
  </w:footnote>
  <w:footnote w:id="579">
    <w:p w:rsidR="00AB00DE" w:rsidRPr="008012F8" w:rsidRDefault="00AB00DE" w:rsidP="00560424">
      <w:pPr>
        <w:pStyle w:val="a4"/>
      </w:pPr>
      <w:r w:rsidRPr="008012F8">
        <w:tab/>
      </w:r>
      <w:r w:rsidRPr="00DF5565">
        <w:rPr>
          <w:rStyle w:val="a5"/>
        </w:rPr>
        <w:footnoteRef/>
      </w:r>
      <w:r w:rsidRPr="008012F8">
        <w:tab/>
      </w:r>
      <w:r w:rsidRPr="008012F8">
        <w:rPr>
          <w:rFonts w:ascii="宋体" w:hAnsi="宋体" w:cs="宋体" w:hint="eastAsia"/>
        </w:rPr>
        <w:t>见</w:t>
      </w:r>
      <w:r w:rsidRPr="008012F8">
        <w:t>Boisson de Chazournes,</w:t>
      </w:r>
      <w:r w:rsidRPr="008012F8">
        <w:rPr>
          <w:rFonts w:hint="eastAsia"/>
        </w:rPr>
        <w:t>“</w:t>
      </w:r>
      <w:r w:rsidRPr="008012F8">
        <w:rPr>
          <w:rFonts w:ascii="宋体" w:hAnsi="宋体" w:cs="宋体" w:hint="eastAsia"/>
        </w:rPr>
        <w:t>嗣后惯例、惯例</w:t>
      </w:r>
      <w:r w:rsidRPr="008012F8">
        <w:rPr>
          <w:rFonts w:hint="eastAsia"/>
        </w:rPr>
        <w:t>……”</w:t>
      </w:r>
      <w:r w:rsidRPr="008012F8">
        <w:t>(</w:t>
      </w:r>
      <w:r w:rsidRPr="008012F8">
        <w:t>上文脚注</w:t>
      </w:r>
      <w:r>
        <w:fldChar w:fldCharType="begin"/>
      </w:r>
      <w:r>
        <w:instrText xml:space="preserve"> NOTEREF _Ref461975924 \h </w:instrText>
      </w:r>
      <w:r>
        <w:fldChar w:fldCharType="separate"/>
      </w:r>
      <w:r w:rsidR="00A73EB9">
        <w:t>415</w:t>
      </w:r>
      <w:r>
        <w:fldChar w:fldCharType="end"/>
      </w:r>
      <w:r w:rsidRPr="008012F8">
        <w:t>)</w:t>
      </w:r>
      <w:r w:rsidRPr="008012F8">
        <w:rPr>
          <w:rFonts w:ascii="宋体" w:hAnsi="宋体" w:cs="宋体" w:hint="eastAsia"/>
        </w:rPr>
        <w:t>，第</w:t>
      </w:r>
      <w:r w:rsidRPr="008012F8">
        <w:t>53</w:t>
      </w:r>
      <w:r w:rsidRPr="008012F8">
        <w:rPr>
          <w:rFonts w:ascii="宋体" w:hAnsi="宋体" w:cs="宋体" w:hint="eastAsia"/>
        </w:rPr>
        <w:t>页</w:t>
      </w:r>
      <w:r w:rsidRPr="008012F8">
        <w:t>起</w:t>
      </w:r>
      <w:r w:rsidRPr="008012F8">
        <w:rPr>
          <w:rFonts w:ascii="宋体" w:hAnsi="宋体" w:cs="宋体" w:hint="eastAsia"/>
        </w:rPr>
        <w:t>，见第</w:t>
      </w:r>
      <w:r w:rsidRPr="008012F8">
        <w:t>54</w:t>
      </w:r>
      <w:r w:rsidRPr="008012F8">
        <w:rPr>
          <w:rFonts w:ascii="宋体" w:hAnsi="宋体" w:cs="宋体" w:hint="eastAsia"/>
        </w:rPr>
        <w:t>、</w:t>
      </w:r>
      <w:r w:rsidRPr="008012F8">
        <w:t>56</w:t>
      </w:r>
      <w:r w:rsidRPr="008012F8">
        <w:rPr>
          <w:rFonts w:ascii="宋体" w:hAnsi="宋体" w:cs="宋体" w:hint="eastAsia"/>
        </w:rPr>
        <w:t>及</w:t>
      </w:r>
      <w:r w:rsidRPr="008012F8">
        <w:t>59-60</w:t>
      </w:r>
      <w:r w:rsidRPr="008012F8">
        <w:rPr>
          <w:rFonts w:ascii="宋体" w:hAnsi="宋体" w:cs="宋体" w:hint="eastAsia"/>
        </w:rPr>
        <w:t>页。</w:t>
      </w:r>
    </w:p>
  </w:footnote>
  <w:footnote w:id="580">
    <w:p w:rsidR="00AB00DE" w:rsidRPr="008012F8" w:rsidRDefault="00AB00DE" w:rsidP="008D7906">
      <w:pPr>
        <w:pStyle w:val="a4"/>
      </w:pPr>
      <w:r w:rsidRPr="008012F8">
        <w:tab/>
      </w:r>
      <w:r w:rsidRPr="00DF5565">
        <w:rPr>
          <w:rStyle w:val="a5"/>
        </w:rPr>
        <w:footnoteRef/>
      </w:r>
      <w:r w:rsidRPr="008012F8">
        <w:tab/>
      </w:r>
      <w:r w:rsidRPr="008012F8">
        <w:rPr>
          <w:rFonts w:ascii="宋体" w:hAnsi="宋体" w:cs="宋体" w:hint="eastAsia"/>
        </w:rPr>
        <w:t>见</w:t>
      </w:r>
      <w:r w:rsidRPr="008012F8">
        <w:rPr>
          <w:rFonts w:eastAsia="楷体"/>
        </w:rPr>
        <w:t>《消除一切形式种族歧视国际公约》的适用案</w:t>
      </w:r>
      <w:r w:rsidRPr="008012F8">
        <w:t>(</w:t>
      </w:r>
      <w:r w:rsidRPr="00DF5565">
        <w:rPr>
          <w:rFonts w:eastAsia="楷体"/>
        </w:rPr>
        <w:t>格鲁吉亚诉俄罗斯联邦</w:t>
      </w:r>
      <w:r w:rsidRPr="008012F8">
        <w:t>)</w:t>
      </w:r>
      <w:r w:rsidRPr="008012F8">
        <w:rPr>
          <w:rFonts w:ascii="宋体" w:hAnsi="宋体" w:cs="宋体" w:hint="eastAsia"/>
        </w:rPr>
        <w:t>，</w:t>
      </w:r>
      <w:r w:rsidRPr="008012F8">
        <w:rPr>
          <w:rFonts w:ascii="Time New Roman" w:eastAsia="楷体" w:hAnsi="Time New Roman" w:hint="eastAsia"/>
        </w:rPr>
        <w:t>初步反对意见</w:t>
      </w:r>
      <w:r w:rsidRPr="008012F8">
        <w:rPr>
          <w:rFonts w:ascii="宋体" w:hAnsi="宋体" w:cs="宋体" w:hint="eastAsia"/>
        </w:rPr>
        <w:t>，</w:t>
      </w:r>
      <w:r w:rsidRPr="008012F8">
        <w:rPr>
          <w:rFonts w:ascii="Time New Roman" w:eastAsia="楷体" w:hAnsi="Time New Roman" w:hint="eastAsia"/>
        </w:rPr>
        <w:t>判决</w:t>
      </w:r>
      <w:r w:rsidRPr="008012F8">
        <w:rPr>
          <w:rFonts w:ascii="宋体" w:hAnsi="宋体" w:cs="宋体" w:hint="eastAsia"/>
        </w:rPr>
        <w:t>，《</w:t>
      </w:r>
      <w:r w:rsidRPr="008012F8">
        <w:t>2011</w:t>
      </w:r>
      <w:r w:rsidRPr="008012F8">
        <w:rPr>
          <w:rFonts w:ascii="宋体" w:hAnsi="宋体" w:cs="宋体" w:hint="eastAsia"/>
        </w:rPr>
        <w:t>年国际法院案例汇编》，第</w:t>
      </w:r>
      <w:r w:rsidRPr="008012F8">
        <w:t>70</w:t>
      </w:r>
      <w:r w:rsidRPr="008012F8">
        <w:rPr>
          <w:rFonts w:ascii="宋体" w:hAnsi="宋体" w:cs="宋体" w:hint="eastAsia"/>
        </w:rPr>
        <w:t>页，见第</w:t>
      </w:r>
      <w:r w:rsidRPr="008012F8">
        <w:t>117</w:t>
      </w:r>
      <w:r w:rsidRPr="008012F8">
        <w:rPr>
          <w:rFonts w:ascii="宋体" w:hAnsi="宋体" w:cs="宋体" w:hint="eastAsia"/>
        </w:rPr>
        <w:t>页，第</w:t>
      </w:r>
      <w:r w:rsidRPr="008012F8">
        <w:t>105</w:t>
      </w:r>
      <w:r w:rsidRPr="008012F8">
        <w:rPr>
          <w:rFonts w:ascii="宋体" w:hAnsi="宋体" w:cs="宋体" w:hint="eastAsia"/>
        </w:rPr>
        <w:t>段，国际法院在这里否认某些行为</w:t>
      </w:r>
      <w:r w:rsidRPr="008012F8">
        <w:t>(</w:t>
      </w:r>
      <w:r w:rsidRPr="008012F8">
        <w:rPr>
          <w:rFonts w:ascii="宋体" w:hAnsi="宋体" w:cs="宋体" w:hint="eastAsia"/>
        </w:rPr>
        <w:t>声明</w:t>
      </w:r>
      <w:r w:rsidRPr="008012F8">
        <w:t>)</w:t>
      </w:r>
      <w:r w:rsidRPr="008012F8">
        <w:rPr>
          <w:rFonts w:ascii="宋体" w:hAnsi="宋体" w:cs="宋体" w:hint="eastAsia"/>
        </w:rPr>
        <w:t>已经满足了举证责任，能证明俄罗斯联邦在</w:t>
      </w:r>
      <w:r w:rsidRPr="008012F8">
        <w:t>1999</w:t>
      </w:r>
      <w:r w:rsidRPr="008012F8">
        <w:rPr>
          <w:rFonts w:ascii="宋体" w:hAnsi="宋体" w:cs="宋体" w:hint="eastAsia"/>
        </w:rPr>
        <w:t>年至</w:t>
      </w:r>
      <w:r w:rsidRPr="008012F8">
        <w:t>2008</w:t>
      </w:r>
      <w:r w:rsidRPr="008012F8">
        <w:rPr>
          <w:rFonts w:ascii="宋体" w:hAnsi="宋体" w:cs="宋体" w:hint="eastAsia"/>
        </w:rPr>
        <w:t>年期间履行了其按照《消除一切形式种族歧视国际公约》所承担的义务，这特别是因为有关行为不是专门为了公约而实施的。根据辛马法官的意见，举证责任已经在一定程度上得到履行，见辛马法官的个别意见，</w:t>
      </w:r>
      <w:r w:rsidRPr="008012F8">
        <w:t>同上，</w:t>
      </w:r>
      <w:r w:rsidRPr="008012F8">
        <w:rPr>
          <w:rFonts w:ascii="宋体" w:hAnsi="宋体" w:cs="宋体" w:hint="eastAsia"/>
        </w:rPr>
        <w:t>第</w:t>
      </w:r>
      <w:r w:rsidRPr="008012F8">
        <w:t>199-223</w:t>
      </w:r>
      <w:r w:rsidRPr="008012F8">
        <w:rPr>
          <w:rFonts w:ascii="宋体" w:hAnsi="宋体" w:cs="宋体" w:hint="eastAsia"/>
        </w:rPr>
        <w:t>页，第</w:t>
      </w:r>
      <w:r w:rsidRPr="008012F8">
        <w:t>23-57</w:t>
      </w:r>
      <w:r w:rsidRPr="008012F8">
        <w:rPr>
          <w:rFonts w:ascii="宋体" w:hAnsi="宋体" w:cs="宋体" w:hint="eastAsia"/>
        </w:rPr>
        <w:t>段。</w:t>
      </w:r>
    </w:p>
  </w:footnote>
  <w:footnote w:id="581">
    <w:p w:rsidR="00AB00DE" w:rsidRPr="00246433" w:rsidRDefault="00AB00DE" w:rsidP="00D90936">
      <w:pPr>
        <w:pStyle w:val="a4"/>
        <w:rPr>
          <w:rFonts w:asciiTheme="majorBidi" w:hAnsiTheme="majorBidi" w:cstheme="majorBidi"/>
        </w:rPr>
      </w:pPr>
      <w:r w:rsidRPr="008012F8">
        <w:tab/>
      </w:r>
      <w:r w:rsidRPr="00DF5565">
        <w:rPr>
          <w:rStyle w:val="a5"/>
        </w:rPr>
        <w:footnoteRef/>
      </w:r>
      <w:r w:rsidRPr="008012F8">
        <w:tab/>
      </w:r>
      <w:r w:rsidRPr="008012F8">
        <w:rPr>
          <w:rFonts w:eastAsia="楷体"/>
        </w:rPr>
        <w:t>卡西基里</w:t>
      </w:r>
      <w:r w:rsidRPr="008012F8">
        <w:rPr>
          <w:rFonts w:eastAsia="楷体"/>
        </w:rPr>
        <w:t>/</w:t>
      </w:r>
      <w:r w:rsidRPr="008012F8">
        <w:rPr>
          <w:rFonts w:eastAsia="楷体"/>
        </w:rPr>
        <w:t>塞杜杜岛案</w:t>
      </w:r>
      <w:r w:rsidRPr="008012F8">
        <w:t>(</w:t>
      </w:r>
      <w:r w:rsidRPr="00246433">
        <w:rPr>
          <w:rFonts w:asciiTheme="majorBidi" w:hAnsiTheme="majorBidi" w:cstheme="majorBidi"/>
        </w:rPr>
        <w:t>见上文脚注</w:t>
      </w:r>
      <w:r>
        <w:rPr>
          <w:lang w:val="zh-CN"/>
        </w:rPr>
        <w:fldChar w:fldCharType="begin"/>
      </w:r>
      <w:r>
        <w:rPr>
          <w:lang w:val="zh-CN"/>
        </w:rPr>
        <w:instrText xml:space="preserve"> NOTEREF _Ref461971066 \h </w:instrText>
      </w:r>
      <w:r>
        <w:rPr>
          <w:lang w:val="zh-CN"/>
        </w:rPr>
      </w:r>
      <w:r>
        <w:rPr>
          <w:lang w:val="zh-CN"/>
        </w:rPr>
        <w:fldChar w:fldCharType="separate"/>
      </w:r>
      <w:r w:rsidR="00A73EB9">
        <w:rPr>
          <w:lang w:val="zh-CN"/>
        </w:rPr>
        <w:t>395</w:t>
      </w:r>
      <w:r>
        <w:rPr>
          <w:lang w:val="zh-CN"/>
        </w:rPr>
        <w:fldChar w:fldCharType="end"/>
      </w:r>
      <w:r w:rsidRPr="00246433">
        <w:rPr>
          <w:rFonts w:asciiTheme="majorBidi" w:hAnsiTheme="majorBidi" w:cstheme="majorBidi"/>
        </w:rPr>
        <w:t>)</w:t>
      </w:r>
      <w:r w:rsidRPr="00246433">
        <w:rPr>
          <w:rFonts w:asciiTheme="majorBidi" w:hAnsiTheme="majorBidi" w:cstheme="majorBidi"/>
        </w:rPr>
        <w:t>，国际法院不仅从条约的解释角度而且从取得时效的角度分析了嗣后惯例</w:t>
      </w:r>
      <w:r w:rsidRPr="00246433">
        <w:rPr>
          <w:rFonts w:asciiTheme="majorBidi" w:hAnsiTheme="majorBidi" w:cstheme="majorBidi"/>
        </w:rPr>
        <w:t>(</w:t>
      </w:r>
      <w:r w:rsidRPr="00246433">
        <w:rPr>
          <w:rFonts w:asciiTheme="majorBidi" w:hAnsiTheme="majorBidi" w:cstheme="majorBidi"/>
        </w:rPr>
        <w:t>见第</w:t>
      </w:r>
      <w:r w:rsidRPr="00246433">
        <w:rPr>
          <w:rFonts w:asciiTheme="majorBidi" w:hAnsiTheme="majorBidi" w:cstheme="majorBidi"/>
        </w:rPr>
        <w:t>1092</w:t>
      </w:r>
      <w:r w:rsidRPr="00246433">
        <w:rPr>
          <w:rFonts w:asciiTheme="majorBidi" w:hAnsiTheme="majorBidi" w:cstheme="majorBidi"/>
        </w:rPr>
        <w:t>页，第</w:t>
      </w:r>
      <w:r w:rsidRPr="00246433">
        <w:rPr>
          <w:rFonts w:asciiTheme="majorBidi" w:hAnsiTheme="majorBidi" w:cstheme="majorBidi"/>
        </w:rPr>
        <w:t>71</w:t>
      </w:r>
      <w:r w:rsidRPr="00246433">
        <w:rPr>
          <w:rFonts w:asciiTheme="majorBidi" w:hAnsiTheme="majorBidi" w:cstheme="majorBidi"/>
        </w:rPr>
        <w:t>段，第</w:t>
      </w:r>
      <w:r w:rsidRPr="00246433">
        <w:rPr>
          <w:rFonts w:asciiTheme="majorBidi" w:hAnsiTheme="majorBidi" w:cstheme="majorBidi"/>
        </w:rPr>
        <w:t>1096</w:t>
      </w:r>
      <w:r w:rsidRPr="00246433">
        <w:rPr>
          <w:rFonts w:asciiTheme="majorBidi" w:hAnsiTheme="majorBidi" w:cstheme="majorBidi"/>
        </w:rPr>
        <w:t>页，第</w:t>
      </w:r>
      <w:r w:rsidRPr="00246433">
        <w:rPr>
          <w:rFonts w:asciiTheme="majorBidi" w:hAnsiTheme="majorBidi" w:cstheme="majorBidi"/>
        </w:rPr>
        <w:t>79</w:t>
      </w:r>
      <w:r w:rsidRPr="00246433">
        <w:rPr>
          <w:rFonts w:asciiTheme="majorBidi" w:hAnsiTheme="majorBidi" w:cstheme="majorBidi"/>
        </w:rPr>
        <w:t>段，及第</w:t>
      </w:r>
      <w:r w:rsidRPr="00246433">
        <w:rPr>
          <w:rFonts w:asciiTheme="majorBidi" w:hAnsiTheme="majorBidi" w:cstheme="majorBidi"/>
        </w:rPr>
        <w:t>1105</w:t>
      </w:r>
      <w:r w:rsidRPr="00246433">
        <w:rPr>
          <w:rFonts w:asciiTheme="majorBidi" w:hAnsiTheme="majorBidi" w:cstheme="majorBidi"/>
        </w:rPr>
        <w:t>页，第</w:t>
      </w:r>
      <w:r w:rsidRPr="00246433">
        <w:rPr>
          <w:rFonts w:asciiTheme="majorBidi" w:hAnsiTheme="majorBidi" w:cstheme="majorBidi"/>
        </w:rPr>
        <w:t>97</w:t>
      </w:r>
      <w:r w:rsidRPr="00246433">
        <w:rPr>
          <w:rFonts w:asciiTheme="majorBidi" w:hAnsiTheme="majorBidi" w:cstheme="majorBidi"/>
        </w:rPr>
        <w:t>段</w:t>
      </w:r>
      <w:r w:rsidRPr="00246433">
        <w:rPr>
          <w:rFonts w:asciiTheme="majorBidi" w:hAnsiTheme="majorBidi" w:cstheme="majorBidi"/>
        </w:rPr>
        <w:t>)</w:t>
      </w:r>
      <w:r w:rsidRPr="00246433">
        <w:rPr>
          <w:rFonts w:asciiTheme="majorBidi" w:hAnsiTheme="majorBidi" w:cstheme="majorBidi"/>
        </w:rPr>
        <w:t>。</w:t>
      </w:r>
    </w:p>
  </w:footnote>
  <w:footnote w:id="582">
    <w:p w:rsidR="00AB00DE" w:rsidRPr="008012F8" w:rsidRDefault="00AB00DE" w:rsidP="008D7906">
      <w:pPr>
        <w:pStyle w:val="a4"/>
        <w:rPr>
          <w:rFonts w:ascii="Time New Roman" w:hAnsi="Time New Roman" w:hint="eastAsia"/>
        </w:rPr>
      </w:pPr>
      <w:r w:rsidRPr="008012F8">
        <w:tab/>
      </w:r>
      <w:r w:rsidRPr="00DF5565">
        <w:rPr>
          <w:rStyle w:val="a5"/>
        </w:rPr>
        <w:footnoteRef/>
      </w:r>
      <w:r w:rsidRPr="008012F8">
        <w:tab/>
      </w:r>
      <w:r w:rsidRPr="008012F8">
        <w:rPr>
          <w:rFonts w:eastAsia="楷体"/>
        </w:rPr>
        <w:t>联合国某些经费案</w:t>
      </w:r>
      <w:r w:rsidRPr="008012F8">
        <w:t>(</w:t>
      </w:r>
      <w:r w:rsidRPr="008012F8">
        <w:rPr>
          <w:rFonts w:ascii="宋体" w:hAnsi="宋体" w:cs="宋体" w:hint="eastAsia"/>
        </w:rPr>
        <w:t>《宪章》第十七条第二</w:t>
      </w:r>
      <w:r w:rsidRPr="008012F8">
        <w:t>项</w:t>
      </w:r>
      <w:r w:rsidRPr="008012F8">
        <w:t>)</w:t>
      </w:r>
      <w:r w:rsidRPr="008012F8">
        <w:t>，</w:t>
      </w:r>
      <w:r w:rsidRPr="008012F8">
        <w:t>1962</w:t>
      </w:r>
      <w:r w:rsidRPr="008012F8">
        <w:t>年</w:t>
      </w:r>
      <w:r w:rsidRPr="008012F8">
        <w:t>7</w:t>
      </w:r>
      <w:r w:rsidRPr="008012F8">
        <w:t>月</w:t>
      </w:r>
      <w:r w:rsidRPr="008012F8">
        <w:t>20</w:t>
      </w:r>
      <w:r w:rsidRPr="008012F8">
        <w:t>日</w:t>
      </w:r>
      <w:r w:rsidRPr="008012F8">
        <w:rPr>
          <w:rFonts w:ascii="宋体" w:hAnsi="宋体" w:cs="宋体" w:hint="eastAsia"/>
        </w:rPr>
        <w:t>咨询意见</w:t>
      </w:r>
      <w:r w:rsidRPr="008012F8">
        <w:t>，</w:t>
      </w:r>
      <w:r w:rsidRPr="008012F8">
        <w:rPr>
          <w:rFonts w:ascii="宋体" w:hAnsi="宋体" w:cs="宋体" w:hint="eastAsia"/>
        </w:rPr>
        <w:t>《</w:t>
      </w:r>
      <w:r w:rsidRPr="008012F8">
        <w:t>1962</w:t>
      </w:r>
      <w:r w:rsidRPr="008012F8">
        <w:rPr>
          <w:rFonts w:ascii="宋体" w:hAnsi="宋体" w:cs="宋体" w:hint="eastAsia"/>
        </w:rPr>
        <w:t>年国际法院案例汇编》，第</w:t>
      </w:r>
      <w:r w:rsidRPr="008012F8">
        <w:t>151</w:t>
      </w:r>
      <w:r w:rsidRPr="008012F8">
        <w:rPr>
          <w:rFonts w:ascii="宋体" w:hAnsi="宋体" w:cs="宋体" w:hint="eastAsia"/>
        </w:rPr>
        <w:t>页</w:t>
      </w:r>
      <w:r w:rsidRPr="008012F8">
        <w:t>起</w:t>
      </w:r>
      <w:r w:rsidRPr="008012F8">
        <w:rPr>
          <w:rFonts w:ascii="宋体" w:hAnsi="宋体" w:cs="宋体" w:hint="eastAsia"/>
        </w:rPr>
        <w:t>，见第</w:t>
      </w:r>
      <w:r w:rsidRPr="008012F8">
        <w:t>201-202</w:t>
      </w:r>
      <w:r w:rsidRPr="008012F8">
        <w:rPr>
          <w:rFonts w:ascii="宋体" w:hAnsi="宋体" w:cs="宋体" w:hint="eastAsia"/>
        </w:rPr>
        <w:t>页</w:t>
      </w:r>
      <w:r w:rsidRPr="008012F8">
        <w:t>(</w:t>
      </w:r>
      <w:r w:rsidRPr="008012F8">
        <w:rPr>
          <w:rFonts w:ascii="Time New Roman" w:hAnsi="Time New Roman"/>
        </w:rPr>
        <w:t>菲茨莫里斯法官的个别意见</w:t>
      </w:r>
      <w:r w:rsidRPr="008012F8">
        <w:rPr>
          <w:rFonts w:ascii="Time New Roman" w:hAnsi="Time New Roman"/>
        </w:rPr>
        <w:t>)</w:t>
      </w:r>
      <w:r w:rsidRPr="008012F8">
        <w:rPr>
          <w:rFonts w:ascii="Time New Roman" w:hAnsi="Time New Roman" w:hint="eastAsia"/>
        </w:rPr>
        <w:t>及第</w:t>
      </w:r>
      <w:r w:rsidRPr="008012F8">
        <w:rPr>
          <w:rFonts w:ascii="Time New Roman" w:hAnsi="Time New Roman"/>
        </w:rPr>
        <w:t>189-195</w:t>
      </w:r>
      <w:r w:rsidRPr="008012F8">
        <w:rPr>
          <w:rFonts w:ascii="Time New Roman" w:hAnsi="Time New Roman" w:hint="eastAsia"/>
        </w:rPr>
        <w:t>页</w:t>
      </w:r>
      <w:r w:rsidRPr="008012F8">
        <w:rPr>
          <w:rFonts w:ascii="Time New Roman" w:hAnsi="Time New Roman"/>
        </w:rPr>
        <w:t>(</w:t>
      </w:r>
      <w:r w:rsidRPr="008012F8">
        <w:rPr>
          <w:rFonts w:ascii="Time New Roman" w:hAnsi="Time New Roman"/>
        </w:rPr>
        <w:t>斯彭德法官的个别意见</w:t>
      </w:r>
      <w:r w:rsidRPr="008012F8">
        <w:rPr>
          <w:rFonts w:ascii="Time New Roman" w:hAnsi="Time New Roman"/>
        </w:rPr>
        <w:t>)</w:t>
      </w:r>
      <w:r w:rsidRPr="008012F8">
        <w:rPr>
          <w:rFonts w:ascii="Time New Roman" w:hAnsi="Time New Roman" w:hint="eastAsia"/>
        </w:rPr>
        <w:t>。</w:t>
      </w:r>
    </w:p>
  </w:footnote>
  <w:footnote w:id="583">
    <w:p w:rsidR="00AB00DE" w:rsidRPr="008012F8" w:rsidRDefault="00AB00DE" w:rsidP="008D7906">
      <w:pPr>
        <w:pStyle w:val="a4"/>
      </w:pPr>
      <w:r w:rsidRPr="008012F8">
        <w:tab/>
      </w:r>
      <w:r w:rsidRPr="00DF5565">
        <w:rPr>
          <w:rStyle w:val="a5"/>
        </w:rPr>
        <w:footnoteRef/>
      </w:r>
      <w:r w:rsidRPr="008012F8">
        <w:tab/>
      </w:r>
      <w:r w:rsidRPr="008012F8">
        <w:rPr>
          <w:rFonts w:ascii="宋体" w:hAnsi="宋体" w:cs="宋体" w:hint="eastAsia"/>
        </w:rPr>
        <w:t>同上，第</w:t>
      </w:r>
      <w:r w:rsidRPr="008012F8">
        <w:t>201</w:t>
      </w:r>
      <w:r w:rsidRPr="008012F8">
        <w:rPr>
          <w:rFonts w:ascii="宋体" w:hAnsi="宋体" w:cs="宋体" w:hint="eastAsia"/>
        </w:rPr>
        <w:t>页。</w:t>
      </w:r>
    </w:p>
  </w:footnote>
  <w:footnote w:id="584">
    <w:p w:rsidR="00AB00DE" w:rsidRPr="008012F8" w:rsidRDefault="00AB00DE" w:rsidP="008D7906">
      <w:pPr>
        <w:pStyle w:val="a4"/>
      </w:pPr>
      <w:r w:rsidRPr="008012F8">
        <w:tab/>
      </w:r>
      <w:r w:rsidRPr="00DF5565">
        <w:rPr>
          <w:rStyle w:val="a5"/>
        </w:rPr>
        <w:footnoteRef/>
      </w:r>
      <w:r w:rsidRPr="008012F8">
        <w:tab/>
      </w:r>
      <w:r w:rsidRPr="008012F8">
        <w:rPr>
          <w:rFonts w:ascii="宋体" w:hAnsi="宋体" w:cs="宋体" w:hint="eastAsia"/>
        </w:rPr>
        <w:t>同上</w:t>
      </w:r>
      <w:r w:rsidRPr="008012F8">
        <w:t>。</w:t>
      </w:r>
    </w:p>
  </w:footnote>
  <w:footnote w:id="585">
    <w:p w:rsidR="00AB00DE" w:rsidRPr="008012F8" w:rsidRDefault="00AB00DE" w:rsidP="008D7906">
      <w:pPr>
        <w:pStyle w:val="a4"/>
      </w:pPr>
      <w:r w:rsidRPr="008012F8">
        <w:tab/>
      </w:r>
      <w:r w:rsidRPr="00DF5565">
        <w:rPr>
          <w:rStyle w:val="a5"/>
        </w:rPr>
        <w:footnoteRef/>
      </w:r>
      <w:r w:rsidRPr="008012F8">
        <w:tab/>
      </w:r>
      <w:r w:rsidRPr="008012F8">
        <w:rPr>
          <w:rFonts w:eastAsia="楷体"/>
        </w:rPr>
        <w:t>卡塔尔和巴林之间的海洋划界和领土问题案</w:t>
      </w:r>
      <w:r w:rsidRPr="008012F8">
        <w:t>(</w:t>
      </w:r>
      <w:r w:rsidRPr="008012F8">
        <w:rPr>
          <w:rFonts w:ascii="Time New Roman" w:eastAsia="楷体" w:hAnsi="Time New Roman" w:cs="宋体"/>
        </w:rPr>
        <w:t>卡塔尔</w:t>
      </w:r>
      <w:r w:rsidRPr="00DF5565">
        <w:rPr>
          <w:rFonts w:eastAsia="楷体"/>
        </w:rPr>
        <w:t>诉巴林</w:t>
      </w:r>
      <w:r w:rsidRPr="008012F8">
        <w:t>)</w:t>
      </w:r>
      <w:r w:rsidRPr="008012F8">
        <w:rPr>
          <w:rFonts w:ascii="宋体" w:hAnsi="宋体" w:cs="宋体" w:hint="eastAsia"/>
        </w:rPr>
        <w:t>，</w:t>
      </w:r>
      <w:r w:rsidRPr="008012F8">
        <w:rPr>
          <w:rFonts w:ascii="Time New Roman" w:eastAsia="楷体" w:hAnsi="Time New Roman" w:cs="宋体" w:hint="eastAsia"/>
        </w:rPr>
        <w:t>管辖权和可否受理，判决</w:t>
      </w:r>
      <w:r w:rsidRPr="008012F8">
        <w:rPr>
          <w:rFonts w:ascii="宋体" w:hAnsi="宋体" w:cs="宋体" w:hint="eastAsia"/>
        </w:rPr>
        <w:t>，《</w:t>
      </w:r>
      <w:r w:rsidRPr="008012F8">
        <w:t>1995</w:t>
      </w:r>
      <w:r w:rsidRPr="008012F8">
        <w:rPr>
          <w:rFonts w:ascii="宋体" w:hAnsi="宋体" w:cs="宋体" w:hint="eastAsia"/>
        </w:rPr>
        <w:t>年国际法院案例汇编》，第</w:t>
      </w:r>
      <w:r w:rsidRPr="008012F8">
        <w:t>6</w:t>
      </w:r>
      <w:r w:rsidRPr="008012F8">
        <w:rPr>
          <w:rFonts w:ascii="宋体" w:hAnsi="宋体" w:cs="宋体" w:hint="eastAsia"/>
        </w:rPr>
        <w:t>页起，见第</w:t>
      </w:r>
      <w:r w:rsidRPr="008012F8">
        <w:t>76</w:t>
      </w:r>
      <w:r w:rsidRPr="008012F8">
        <w:rPr>
          <w:rFonts w:ascii="宋体" w:hAnsi="宋体" w:cs="宋体" w:hint="eastAsia"/>
        </w:rPr>
        <w:t>页，第</w:t>
      </w:r>
      <w:r w:rsidRPr="008012F8">
        <w:t>28</w:t>
      </w:r>
      <w:r w:rsidRPr="008012F8">
        <w:rPr>
          <w:rFonts w:ascii="宋体" w:hAnsi="宋体" w:cs="宋体" w:hint="eastAsia"/>
        </w:rPr>
        <w:t>段。</w:t>
      </w:r>
    </w:p>
  </w:footnote>
  <w:footnote w:id="586">
    <w:p w:rsidR="00AB00DE" w:rsidRPr="008012F8" w:rsidRDefault="00AB00DE" w:rsidP="000676F8">
      <w:pPr>
        <w:pStyle w:val="a4"/>
      </w:pPr>
      <w:r w:rsidRPr="008012F8">
        <w:tab/>
      </w:r>
      <w:r w:rsidRPr="00DF5565">
        <w:rPr>
          <w:rStyle w:val="a5"/>
        </w:rPr>
        <w:footnoteRef/>
      </w:r>
      <w:r w:rsidRPr="008012F8">
        <w:tab/>
      </w:r>
      <w:r w:rsidRPr="008012F8">
        <w:rPr>
          <w:rFonts w:ascii="宋体" w:hAnsi="宋体" w:cs="宋体" w:hint="eastAsia"/>
        </w:rPr>
        <w:t>见</w:t>
      </w:r>
      <w:r w:rsidRPr="008012F8">
        <w:t>A. Skordas,</w:t>
      </w:r>
      <w:r w:rsidRPr="008012F8">
        <w:rPr>
          <w:rFonts w:hint="eastAsia"/>
        </w:rPr>
        <w:t>“</w:t>
      </w:r>
      <w:r w:rsidRPr="008012F8">
        <w:rPr>
          <w:rFonts w:ascii="宋体" w:hAnsi="宋体" w:cs="宋体" w:hint="eastAsia"/>
        </w:rPr>
        <w:t>一般规定：第五条</w:t>
      </w:r>
      <w:r w:rsidRPr="008012F8">
        <w:rPr>
          <w:rFonts w:hint="eastAsia"/>
        </w:rPr>
        <w:t>”</w:t>
      </w:r>
      <w:r w:rsidRPr="008012F8">
        <w:rPr>
          <w:rFonts w:ascii="宋体" w:hAnsi="宋体" w:cs="宋体" w:hint="eastAsia"/>
        </w:rPr>
        <w:t>，载于《</w:t>
      </w:r>
      <w:r w:rsidRPr="008012F8">
        <w:t>1951</w:t>
      </w:r>
      <w:r w:rsidRPr="008012F8">
        <w:rPr>
          <w:rFonts w:ascii="宋体" w:hAnsi="宋体" w:cs="宋体" w:hint="eastAsia"/>
        </w:rPr>
        <w:t>年</w:t>
      </w:r>
      <w:r w:rsidRPr="009D48A5">
        <w:rPr>
          <w:lang w:val="de-DE"/>
        </w:rPr>
        <w:t>〈</w:t>
      </w:r>
      <w:r w:rsidRPr="008012F8">
        <w:rPr>
          <w:rFonts w:ascii="宋体" w:hAnsi="宋体" w:cs="宋体" w:hint="eastAsia"/>
        </w:rPr>
        <w:t>关于难民地位的公约</w:t>
      </w:r>
      <w:r w:rsidRPr="009D48A5">
        <w:rPr>
          <w:lang w:val="de-DE"/>
        </w:rPr>
        <w:t>〉</w:t>
      </w:r>
      <w:r w:rsidRPr="008012F8">
        <w:rPr>
          <w:rFonts w:ascii="宋体" w:hAnsi="宋体" w:cs="宋体" w:hint="eastAsia"/>
        </w:rPr>
        <w:t>及其</w:t>
      </w:r>
      <w:r w:rsidRPr="008012F8">
        <w:t>1967</w:t>
      </w:r>
      <w:r w:rsidRPr="008012F8">
        <w:rPr>
          <w:rFonts w:ascii="宋体" w:hAnsi="宋体" w:cs="宋体" w:hint="eastAsia"/>
        </w:rPr>
        <w:t>年议定书：评注》，</w:t>
      </w:r>
      <w:r w:rsidRPr="008012F8">
        <w:t>A. Zimmermann(</w:t>
      </w:r>
      <w:r w:rsidRPr="008012F8">
        <w:rPr>
          <w:rFonts w:ascii="宋体" w:hAnsi="宋体" w:cs="宋体" w:hint="eastAsia"/>
        </w:rPr>
        <w:t>编</w:t>
      </w:r>
      <w:r w:rsidRPr="008012F8">
        <w:t>)(</w:t>
      </w:r>
      <w:r w:rsidRPr="008012F8">
        <w:rPr>
          <w:rFonts w:ascii="宋体" w:hAnsi="宋体" w:cs="宋体" w:hint="eastAsia"/>
        </w:rPr>
        <w:t>牛津，牛津大学出版社，</w:t>
      </w:r>
      <w:r w:rsidRPr="008012F8">
        <w:t>2011</w:t>
      </w:r>
      <w:r w:rsidRPr="008012F8">
        <w:rPr>
          <w:rFonts w:ascii="宋体" w:hAnsi="宋体" w:cs="宋体" w:hint="eastAsia"/>
        </w:rPr>
        <w:t>年</w:t>
      </w:r>
      <w:r w:rsidRPr="008012F8">
        <w:t>)</w:t>
      </w:r>
      <w:r w:rsidRPr="008012F8">
        <w:rPr>
          <w:rFonts w:ascii="宋体" w:hAnsi="宋体" w:cs="宋体" w:hint="eastAsia"/>
        </w:rPr>
        <w:t>，第</w:t>
      </w:r>
      <w:r w:rsidRPr="008012F8">
        <w:t>682</w:t>
      </w:r>
      <w:r w:rsidRPr="008012F8">
        <w:rPr>
          <w:rFonts w:ascii="宋体" w:hAnsi="宋体" w:cs="宋体" w:hint="eastAsia"/>
        </w:rPr>
        <w:t>页，第</w:t>
      </w:r>
      <w:r w:rsidRPr="008012F8">
        <w:t>30</w:t>
      </w:r>
      <w:r w:rsidRPr="008012F8">
        <w:rPr>
          <w:rFonts w:ascii="宋体" w:hAnsi="宋体" w:cs="宋体" w:hint="eastAsia"/>
        </w:rPr>
        <w:t>段；</w:t>
      </w:r>
      <w:r w:rsidRPr="008012F8">
        <w:t>J. McAdam,</w:t>
      </w:r>
      <w:r w:rsidRPr="008012F8">
        <w:rPr>
          <w:rFonts w:ascii="宋体" w:hAnsi="宋体" w:cs="宋体" w:hint="eastAsia"/>
        </w:rPr>
        <w:t>《国际难民法律中的补充保护》</w:t>
      </w:r>
      <w:r w:rsidRPr="008012F8">
        <w:t>(</w:t>
      </w:r>
      <w:r w:rsidRPr="008012F8">
        <w:rPr>
          <w:rFonts w:ascii="宋体" w:hAnsi="宋体" w:cs="宋体" w:hint="eastAsia"/>
        </w:rPr>
        <w:t>牛津，牛津大学出版社，</w:t>
      </w:r>
      <w:r w:rsidRPr="008012F8">
        <w:t>2007</w:t>
      </w:r>
      <w:r w:rsidRPr="008012F8">
        <w:rPr>
          <w:rFonts w:ascii="宋体" w:hAnsi="宋体" w:cs="宋体" w:hint="eastAsia"/>
        </w:rPr>
        <w:t>年</w:t>
      </w:r>
      <w:r w:rsidRPr="008012F8">
        <w:t>)</w:t>
      </w:r>
      <w:r w:rsidRPr="008012F8">
        <w:rPr>
          <w:rFonts w:ascii="宋体" w:hAnsi="宋体" w:cs="宋体" w:hint="eastAsia"/>
        </w:rPr>
        <w:t>，第</w:t>
      </w:r>
      <w:r w:rsidRPr="008012F8">
        <w:t>21</w:t>
      </w:r>
      <w:r w:rsidRPr="008012F8">
        <w:rPr>
          <w:rFonts w:ascii="宋体" w:hAnsi="宋体" w:cs="宋体" w:hint="eastAsia"/>
        </w:rPr>
        <w:t>页。</w:t>
      </w:r>
    </w:p>
  </w:footnote>
  <w:footnote w:id="587">
    <w:p w:rsidR="00AB00DE" w:rsidRPr="008012F8" w:rsidRDefault="00AB00DE" w:rsidP="008D7906">
      <w:pPr>
        <w:pStyle w:val="a4"/>
      </w:pPr>
      <w:r w:rsidRPr="008012F8">
        <w:tab/>
      </w:r>
      <w:r w:rsidRPr="00DF5565">
        <w:rPr>
          <w:rStyle w:val="a5"/>
        </w:rPr>
        <w:footnoteRef/>
      </w:r>
      <w:r w:rsidRPr="008012F8">
        <w:tab/>
      </w:r>
      <w:r w:rsidRPr="008012F8">
        <w:rPr>
          <w:rFonts w:ascii="宋体" w:hAnsi="宋体" w:cs="宋体" w:hint="eastAsia"/>
        </w:rPr>
        <w:t>关于协定或惯例作为解释手段的</w:t>
      </w:r>
      <w:r w:rsidRPr="008012F8">
        <w:rPr>
          <w:rFonts w:hint="eastAsia"/>
        </w:rPr>
        <w:t>“</w:t>
      </w:r>
      <w:r w:rsidRPr="008012F8">
        <w:rPr>
          <w:rFonts w:ascii="宋体" w:hAnsi="宋体" w:cs="宋体" w:hint="eastAsia"/>
        </w:rPr>
        <w:t>权重</w:t>
      </w:r>
      <w:r w:rsidRPr="008012F8">
        <w:rPr>
          <w:rFonts w:hint="eastAsia"/>
        </w:rPr>
        <w:t>”</w:t>
      </w:r>
      <w:r w:rsidRPr="008012F8">
        <w:rPr>
          <w:rFonts w:ascii="宋体" w:hAnsi="宋体" w:cs="宋体" w:hint="eastAsia"/>
        </w:rPr>
        <w:t>，见下文结论草案</w:t>
      </w:r>
      <w:r w:rsidRPr="008012F8">
        <w:t>9</w:t>
      </w:r>
      <w:r w:rsidRPr="008012F8">
        <w:rPr>
          <w:rFonts w:hint="eastAsia"/>
        </w:rPr>
        <w:t>[8]</w:t>
      </w:r>
      <w:r w:rsidRPr="008012F8">
        <w:t>，</w:t>
      </w:r>
      <w:r w:rsidRPr="008012F8">
        <w:rPr>
          <w:rFonts w:ascii="宋体" w:hAnsi="宋体" w:cs="宋体" w:hint="eastAsia"/>
        </w:rPr>
        <w:t>第</w:t>
      </w:r>
      <w:r w:rsidRPr="008012F8">
        <w:t>1-3</w:t>
      </w:r>
      <w:r w:rsidRPr="008012F8">
        <w:rPr>
          <w:rFonts w:ascii="宋体" w:hAnsi="宋体" w:cs="宋体" w:hint="eastAsia"/>
        </w:rPr>
        <w:t>段；区别当事方在解释条约方面的具体行为与一般性发展的必要性和困难性的实例见</w:t>
      </w:r>
      <w:r w:rsidRPr="008012F8">
        <w:rPr>
          <w:rFonts w:eastAsia="楷体"/>
        </w:rPr>
        <w:t>海洋争端案</w:t>
      </w:r>
      <w:r w:rsidRPr="008012F8">
        <w:t>(</w:t>
      </w:r>
      <w:r w:rsidRPr="00DF5565">
        <w:rPr>
          <w:rFonts w:eastAsia="楷体"/>
        </w:rPr>
        <w:t>秘鲁诉智利</w:t>
      </w:r>
      <w:r w:rsidRPr="008012F8">
        <w:t>)</w:t>
      </w:r>
      <w:r w:rsidRPr="008012F8">
        <w:rPr>
          <w:rFonts w:ascii="宋体" w:hAnsi="宋体" w:cs="宋体" w:hint="eastAsia"/>
        </w:rPr>
        <w:t>，判决，《</w:t>
      </w:r>
      <w:r w:rsidRPr="008012F8">
        <w:t>2014</w:t>
      </w:r>
      <w:r w:rsidRPr="008012F8">
        <w:rPr>
          <w:rFonts w:ascii="宋体" w:hAnsi="宋体" w:cs="宋体" w:hint="eastAsia"/>
        </w:rPr>
        <w:t>年国际法院案例汇编》，第</w:t>
      </w:r>
      <w:r w:rsidRPr="008012F8">
        <w:t>3</w:t>
      </w:r>
      <w:r w:rsidRPr="008012F8">
        <w:rPr>
          <w:rFonts w:ascii="宋体" w:hAnsi="宋体" w:cs="宋体" w:hint="eastAsia"/>
        </w:rPr>
        <w:t>页，见第</w:t>
      </w:r>
      <w:r w:rsidRPr="008012F8">
        <w:t>41-58</w:t>
      </w:r>
      <w:r w:rsidRPr="008012F8">
        <w:rPr>
          <w:rFonts w:ascii="宋体" w:hAnsi="宋体" w:cs="宋体" w:hint="eastAsia"/>
        </w:rPr>
        <w:t>页，第</w:t>
      </w:r>
      <w:r w:rsidRPr="008012F8">
        <w:t>103-151</w:t>
      </w:r>
      <w:r w:rsidRPr="008012F8">
        <w:rPr>
          <w:rFonts w:ascii="宋体" w:hAnsi="宋体" w:cs="宋体" w:hint="eastAsia"/>
        </w:rPr>
        <w:t>段。</w:t>
      </w:r>
    </w:p>
  </w:footnote>
  <w:footnote w:id="588">
    <w:p w:rsidR="00AB00DE" w:rsidRPr="008012F8" w:rsidRDefault="00AB00DE" w:rsidP="00D90936">
      <w:pPr>
        <w:pStyle w:val="a4"/>
      </w:pPr>
      <w:r w:rsidRPr="008012F8">
        <w:tab/>
      </w:r>
      <w:r w:rsidRPr="00DF5565">
        <w:rPr>
          <w:rStyle w:val="a5"/>
        </w:rPr>
        <w:footnoteRef/>
      </w:r>
      <w:r w:rsidRPr="008012F8">
        <w:tab/>
      </w:r>
      <w:r w:rsidRPr="008012F8">
        <w:rPr>
          <w:rFonts w:eastAsia="楷体"/>
        </w:rPr>
        <w:t>关于航行权和相关权利的争端案</w:t>
      </w:r>
      <w:r w:rsidRPr="008012F8">
        <w:t>(</w:t>
      </w:r>
      <w:r w:rsidRPr="00246433">
        <w:rPr>
          <w:rFonts w:asciiTheme="majorBidi" w:hAnsiTheme="majorBidi" w:cstheme="majorBidi"/>
        </w:rPr>
        <w:t>见上文脚注</w:t>
      </w:r>
      <w:r>
        <w:rPr>
          <w:lang w:val="zh-CN"/>
        </w:rPr>
        <w:fldChar w:fldCharType="begin"/>
      </w:r>
      <w:r>
        <w:rPr>
          <w:lang w:val="zh-CN"/>
        </w:rPr>
        <w:instrText xml:space="preserve"> NOTEREF _Ref461971066 \h </w:instrText>
      </w:r>
      <w:r>
        <w:rPr>
          <w:lang w:val="zh-CN"/>
        </w:rPr>
      </w:r>
      <w:r>
        <w:rPr>
          <w:lang w:val="zh-CN"/>
        </w:rPr>
        <w:fldChar w:fldCharType="separate"/>
      </w:r>
      <w:r w:rsidR="00A73EB9">
        <w:rPr>
          <w:lang w:val="zh-CN"/>
        </w:rPr>
        <w:t>395</w:t>
      </w:r>
      <w:r>
        <w:rPr>
          <w:lang w:val="zh-CN"/>
        </w:rPr>
        <w:fldChar w:fldCharType="end"/>
      </w:r>
      <w:r w:rsidRPr="00246433">
        <w:rPr>
          <w:rFonts w:asciiTheme="majorBidi" w:hAnsiTheme="majorBidi" w:cstheme="majorBidi"/>
        </w:rPr>
        <w:t>)</w:t>
      </w:r>
      <w:r w:rsidRPr="00246433">
        <w:rPr>
          <w:rFonts w:asciiTheme="majorBidi" w:hAnsiTheme="majorBidi" w:cstheme="majorBidi"/>
        </w:rPr>
        <w:t>，第</w:t>
      </w:r>
      <w:r w:rsidRPr="00246433">
        <w:rPr>
          <w:rFonts w:asciiTheme="majorBidi" w:hAnsiTheme="majorBidi" w:cstheme="majorBidi"/>
        </w:rPr>
        <w:t>234</w:t>
      </w:r>
      <w:r w:rsidRPr="00246433">
        <w:rPr>
          <w:rFonts w:asciiTheme="majorBidi" w:hAnsiTheme="majorBidi" w:cstheme="majorBidi"/>
        </w:rPr>
        <w:t>页，第</w:t>
      </w:r>
      <w:r w:rsidRPr="00246433">
        <w:rPr>
          <w:rFonts w:asciiTheme="majorBidi" w:hAnsiTheme="majorBidi" w:cstheme="majorBidi"/>
        </w:rPr>
        <w:t>40</w:t>
      </w:r>
      <w:r w:rsidRPr="00246433">
        <w:rPr>
          <w:rFonts w:asciiTheme="majorBidi" w:hAnsiTheme="majorBidi" w:cstheme="majorBidi"/>
        </w:rPr>
        <w:t>段；另参阅</w:t>
      </w:r>
      <w:r w:rsidRPr="00246433">
        <w:rPr>
          <w:rFonts w:asciiTheme="majorBidi" w:eastAsia="楷体" w:hAnsiTheme="majorBidi" w:cstheme="majorBidi"/>
        </w:rPr>
        <w:t>卡西基里</w:t>
      </w:r>
      <w:r w:rsidRPr="00246433">
        <w:rPr>
          <w:rFonts w:asciiTheme="majorBidi" w:eastAsia="楷体" w:hAnsiTheme="majorBidi" w:cstheme="majorBidi"/>
        </w:rPr>
        <w:t>/</w:t>
      </w:r>
      <w:r w:rsidRPr="00246433">
        <w:rPr>
          <w:rFonts w:asciiTheme="majorBidi" w:eastAsia="楷体" w:hAnsiTheme="majorBidi" w:cstheme="majorBidi"/>
        </w:rPr>
        <w:t>塞杜杜岛案</w:t>
      </w:r>
      <w:r w:rsidRPr="00246433">
        <w:rPr>
          <w:rFonts w:asciiTheme="majorBidi" w:hAnsiTheme="majorBidi" w:cstheme="majorBidi"/>
        </w:rPr>
        <w:t>(</w:t>
      </w:r>
      <w:r w:rsidRPr="00246433">
        <w:rPr>
          <w:rFonts w:asciiTheme="majorBidi" w:hAnsiTheme="majorBidi" w:cstheme="majorBidi"/>
        </w:rPr>
        <w:t>上文脚注</w:t>
      </w:r>
      <w:r>
        <w:rPr>
          <w:lang w:val="zh-CN"/>
        </w:rPr>
        <w:fldChar w:fldCharType="begin"/>
      </w:r>
      <w:r>
        <w:rPr>
          <w:lang w:val="zh-CN"/>
        </w:rPr>
        <w:instrText xml:space="preserve"> NOTEREF _Ref461971066 \h </w:instrText>
      </w:r>
      <w:r>
        <w:rPr>
          <w:lang w:val="zh-CN"/>
        </w:rPr>
      </w:r>
      <w:r>
        <w:rPr>
          <w:lang w:val="zh-CN"/>
        </w:rPr>
        <w:fldChar w:fldCharType="separate"/>
      </w:r>
      <w:r w:rsidR="00A73EB9">
        <w:rPr>
          <w:lang w:val="zh-CN"/>
        </w:rPr>
        <w:t>395</w:t>
      </w:r>
      <w:r>
        <w:rPr>
          <w:lang w:val="zh-CN"/>
        </w:rPr>
        <w:fldChar w:fldCharType="end"/>
      </w:r>
      <w:r w:rsidRPr="00246433">
        <w:rPr>
          <w:rFonts w:asciiTheme="majorBidi" w:hAnsiTheme="majorBidi" w:cstheme="majorBidi"/>
        </w:rPr>
        <w:t>)</w:t>
      </w:r>
      <w:r w:rsidRPr="00246433">
        <w:rPr>
          <w:rFonts w:asciiTheme="majorBidi" w:hAnsiTheme="majorBidi" w:cstheme="majorBidi"/>
        </w:rPr>
        <w:t>，见第</w:t>
      </w:r>
      <w:r w:rsidRPr="00246433">
        <w:rPr>
          <w:rFonts w:asciiTheme="majorBidi" w:hAnsiTheme="majorBidi" w:cstheme="majorBidi"/>
        </w:rPr>
        <w:t>1091</w:t>
      </w:r>
      <w:r w:rsidRPr="00246433">
        <w:rPr>
          <w:rFonts w:asciiTheme="majorBidi" w:hAnsiTheme="majorBidi" w:cstheme="majorBidi"/>
        </w:rPr>
        <w:t>页，第</w:t>
      </w:r>
      <w:r w:rsidRPr="00246433">
        <w:rPr>
          <w:rFonts w:asciiTheme="majorBidi" w:hAnsiTheme="majorBidi" w:cstheme="majorBidi"/>
        </w:rPr>
        <w:t>68</w:t>
      </w:r>
      <w:r w:rsidRPr="00246433">
        <w:rPr>
          <w:rFonts w:asciiTheme="majorBidi" w:hAnsiTheme="majorBidi" w:cstheme="majorBidi"/>
        </w:rPr>
        <w:t>段，法院在这里暗示，当事方之一某些实际合作的形式对于解决目前的边界问题有法律意义，因而不同意另一当事方的相反</w:t>
      </w:r>
      <w:r w:rsidRPr="008012F8">
        <w:rPr>
          <w:rFonts w:ascii="宋体" w:hAnsi="宋体" w:cs="宋体" w:hint="eastAsia"/>
        </w:rPr>
        <w:t>立场。</w:t>
      </w:r>
    </w:p>
  </w:footnote>
  <w:footnote w:id="589">
    <w:p w:rsidR="00AB00DE" w:rsidRPr="008012F8" w:rsidRDefault="00AB00DE" w:rsidP="00D90936">
      <w:pPr>
        <w:pStyle w:val="a4"/>
      </w:pPr>
      <w:r w:rsidRPr="008012F8">
        <w:tab/>
      </w:r>
      <w:r w:rsidRPr="00DF5565">
        <w:rPr>
          <w:rStyle w:val="a5"/>
        </w:rPr>
        <w:footnoteRef/>
      </w:r>
      <w:r w:rsidRPr="008012F8">
        <w:tab/>
      </w:r>
      <w:r w:rsidRPr="008012F8">
        <w:rPr>
          <w:rFonts w:eastAsia="楷体"/>
        </w:rPr>
        <w:t>以核武器相威胁或使用核武器的合法性，咨询意见，</w:t>
      </w:r>
      <w:r w:rsidRPr="008012F8">
        <w:rPr>
          <w:rFonts w:ascii="宋体" w:hAnsi="宋体" w:cs="宋体" w:hint="eastAsia"/>
        </w:rPr>
        <w:t>《</w:t>
      </w:r>
      <w:r w:rsidRPr="008012F8">
        <w:t>1996</w:t>
      </w:r>
      <w:r w:rsidRPr="008012F8">
        <w:rPr>
          <w:rFonts w:ascii="宋体" w:hAnsi="宋体" w:cs="宋体" w:hint="eastAsia"/>
        </w:rPr>
        <w:t>年国际法院案例汇编》，第</w:t>
      </w:r>
      <w:r w:rsidRPr="008012F8">
        <w:t>226</w:t>
      </w:r>
      <w:r w:rsidRPr="008012F8">
        <w:rPr>
          <w:rFonts w:ascii="宋体" w:hAnsi="宋体" w:cs="宋体" w:hint="eastAsia"/>
        </w:rPr>
        <w:t>页起，见第</w:t>
      </w:r>
      <w:r w:rsidRPr="008012F8">
        <w:t>248</w:t>
      </w:r>
      <w:r w:rsidRPr="008012F8">
        <w:rPr>
          <w:rFonts w:ascii="宋体" w:hAnsi="宋体" w:cs="宋体" w:hint="eastAsia"/>
        </w:rPr>
        <w:t>页，第</w:t>
      </w:r>
      <w:r w:rsidRPr="008012F8">
        <w:t>55-56</w:t>
      </w:r>
      <w:r w:rsidRPr="008012F8">
        <w:rPr>
          <w:rFonts w:ascii="宋体" w:hAnsi="宋体" w:cs="宋体" w:hint="eastAsia"/>
        </w:rPr>
        <w:t>段；另参阅</w:t>
      </w:r>
      <w:r w:rsidRPr="008012F8">
        <w:rPr>
          <w:rFonts w:ascii="Time New Roman" w:eastAsia="楷体" w:hAnsi="Time New Roman" w:cs="宋体" w:hint="eastAsia"/>
        </w:rPr>
        <w:t>石油平台案</w:t>
      </w:r>
      <w:r w:rsidRPr="008012F8">
        <w:t>(</w:t>
      </w:r>
      <w:r w:rsidRPr="00DF5565">
        <w:rPr>
          <w:rFonts w:eastAsia="楷体"/>
        </w:rPr>
        <w:t>伊朗伊斯兰共和国诉</w:t>
      </w:r>
      <w:r w:rsidRPr="008012F8">
        <w:rPr>
          <w:rFonts w:ascii="Time New Roman" w:eastAsia="楷体" w:hAnsi="Time New Roman" w:cs="宋体"/>
        </w:rPr>
        <w:t>美利坚合众国</w:t>
      </w:r>
      <w:r w:rsidRPr="008012F8">
        <w:rPr>
          <w:rFonts w:ascii="Time New Roman" w:eastAsia="楷体" w:hAnsi="Time New Roman" w:cs="宋体"/>
        </w:rPr>
        <w:t>)</w:t>
      </w:r>
      <w:r w:rsidRPr="008012F8">
        <w:rPr>
          <w:rFonts w:ascii="宋体" w:hAnsi="宋体" w:cs="宋体" w:hint="eastAsia"/>
        </w:rPr>
        <w:t>，</w:t>
      </w:r>
      <w:r w:rsidRPr="008012F8">
        <w:rPr>
          <w:rFonts w:ascii="Time New Roman" w:eastAsia="楷体" w:hAnsi="Time New Roman" w:cs="宋体" w:hint="eastAsia"/>
        </w:rPr>
        <w:t>初步反对意见，判决</w:t>
      </w:r>
      <w:r w:rsidRPr="008012F8">
        <w:rPr>
          <w:rFonts w:ascii="宋体" w:hAnsi="宋体" w:cs="宋体" w:hint="eastAsia"/>
        </w:rPr>
        <w:t>，《</w:t>
      </w:r>
      <w:r w:rsidRPr="008012F8">
        <w:t>1996</w:t>
      </w:r>
      <w:r w:rsidRPr="008012F8">
        <w:rPr>
          <w:rFonts w:ascii="宋体" w:hAnsi="宋体" w:cs="宋体" w:hint="eastAsia"/>
        </w:rPr>
        <w:t>年国际法院案例汇编》，第</w:t>
      </w:r>
      <w:r w:rsidRPr="008012F8">
        <w:t>803</w:t>
      </w:r>
      <w:r w:rsidRPr="008012F8">
        <w:rPr>
          <w:rFonts w:ascii="宋体" w:hAnsi="宋体" w:cs="宋体" w:hint="eastAsia"/>
        </w:rPr>
        <w:t>页起，见第</w:t>
      </w:r>
      <w:r w:rsidRPr="008012F8">
        <w:t>815</w:t>
      </w:r>
      <w:r w:rsidRPr="008012F8">
        <w:rPr>
          <w:rFonts w:ascii="宋体" w:hAnsi="宋体" w:cs="宋体" w:hint="eastAsia"/>
        </w:rPr>
        <w:t>页，第</w:t>
      </w:r>
      <w:r w:rsidRPr="008012F8">
        <w:t>30</w:t>
      </w:r>
      <w:r w:rsidRPr="008012F8">
        <w:rPr>
          <w:rFonts w:ascii="宋体" w:hAnsi="宋体" w:cs="宋体" w:hint="eastAsia"/>
        </w:rPr>
        <w:t>段；</w:t>
      </w:r>
      <w:r w:rsidRPr="008012F8">
        <w:t>Gardiner,</w:t>
      </w:r>
      <w:r w:rsidRPr="008012F8">
        <w:rPr>
          <w:rFonts w:ascii="宋体" w:hAnsi="宋体" w:cs="宋体" w:hint="eastAsia"/>
        </w:rPr>
        <w:t>《条约解释》</w:t>
      </w:r>
      <w:r w:rsidRPr="008012F8">
        <w:t>(</w:t>
      </w:r>
      <w:r w:rsidRPr="008012F8">
        <w:rPr>
          <w:rFonts w:ascii="宋体" w:hAnsi="宋体" w:cs="宋体" w:hint="eastAsia"/>
        </w:rPr>
        <w:t>见上文脚注</w:t>
      </w:r>
      <w:r w:rsidRPr="00D90936">
        <w:rPr>
          <w:rFonts w:asciiTheme="majorBidi" w:hAnsiTheme="majorBidi" w:cstheme="majorBidi"/>
        </w:rPr>
        <w:fldChar w:fldCharType="begin"/>
      </w:r>
      <w:r w:rsidRPr="00D90936">
        <w:rPr>
          <w:rFonts w:asciiTheme="majorBidi" w:hAnsiTheme="majorBidi" w:cstheme="majorBidi"/>
        </w:rPr>
        <w:instrText xml:space="preserve"> NOTEREF _Ref461971974 \h </w:instrText>
      </w:r>
      <w:r>
        <w:rPr>
          <w:rFonts w:asciiTheme="majorBidi" w:hAnsiTheme="majorBidi" w:cstheme="majorBidi"/>
        </w:rPr>
        <w:instrText xml:space="preserve"> \* MERGEFORMAT </w:instrText>
      </w:r>
      <w:r w:rsidRPr="00D90936">
        <w:rPr>
          <w:rFonts w:asciiTheme="majorBidi" w:hAnsiTheme="majorBidi" w:cstheme="majorBidi"/>
        </w:rPr>
      </w:r>
      <w:r w:rsidRPr="00D90936">
        <w:rPr>
          <w:rFonts w:asciiTheme="majorBidi" w:hAnsiTheme="majorBidi" w:cstheme="majorBidi"/>
        </w:rPr>
        <w:fldChar w:fldCharType="separate"/>
      </w:r>
      <w:r w:rsidR="00A73EB9">
        <w:rPr>
          <w:rFonts w:asciiTheme="majorBidi" w:hAnsiTheme="majorBidi" w:cstheme="majorBidi"/>
        </w:rPr>
        <w:t>392</w:t>
      </w:r>
      <w:r w:rsidRPr="00D90936">
        <w:rPr>
          <w:rFonts w:asciiTheme="majorBidi" w:hAnsiTheme="majorBidi" w:cstheme="majorBidi"/>
        </w:rPr>
        <w:fldChar w:fldCharType="end"/>
      </w:r>
      <w:r w:rsidRPr="00EA258E">
        <w:rPr>
          <w:rFonts w:asciiTheme="majorBidi" w:hAnsiTheme="majorBidi" w:cstheme="majorBidi"/>
        </w:rPr>
        <w:t>)</w:t>
      </w:r>
      <w:r w:rsidRPr="008012F8">
        <w:t>，</w:t>
      </w:r>
      <w:r w:rsidRPr="008012F8">
        <w:rPr>
          <w:rFonts w:ascii="宋体" w:hAnsi="宋体" w:cs="宋体" w:hint="eastAsia"/>
        </w:rPr>
        <w:t>第</w:t>
      </w:r>
      <w:r w:rsidRPr="008012F8">
        <w:t>262-264</w:t>
      </w:r>
      <w:r w:rsidRPr="008012F8">
        <w:rPr>
          <w:rFonts w:ascii="宋体" w:hAnsi="宋体" w:cs="宋体" w:hint="eastAsia"/>
        </w:rPr>
        <w:t>页。</w:t>
      </w:r>
    </w:p>
  </w:footnote>
  <w:footnote w:id="590">
    <w:p w:rsidR="00AB00DE" w:rsidRPr="008012F8" w:rsidRDefault="00AB00DE" w:rsidP="008D7906">
      <w:pPr>
        <w:pStyle w:val="a4"/>
      </w:pPr>
      <w:r w:rsidRPr="008012F8">
        <w:tab/>
      </w:r>
      <w:r w:rsidRPr="00DF5565">
        <w:rPr>
          <w:rStyle w:val="a5"/>
        </w:rPr>
        <w:footnoteRef/>
      </w:r>
      <w:r w:rsidRPr="008012F8">
        <w:tab/>
      </w:r>
      <w:r w:rsidRPr="008012F8">
        <w:rPr>
          <w:rFonts w:eastAsia="楷体"/>
        </w:rPr>
        <w:t>南极捕鲸案</w:t>
      </w:r>
      <w:r w:rsidRPr="008012F8">
        <w:t>(</w:t>
      </w:r>
      <w:r w:rsidRPr="00DF5565">
        <w:rPr>
          <w:rFonts w:eastAsia="楷体"/>
        </w:rPr>
        <w:t>澳大利亚诉日本：新西兰参加诉讼</w:t>
      </w:r>
      <w:r w:rsidRPr="008012F8">
        <w:t>)</w:t>
      </w:r>
      <w:r w:rsidRPr="008012F8">
        <w:rPr>
          <w:rFonts w:ascii="宋体" w:hAnsi="宋体" w:cs="宋体" w:hint="eastAsia"/>
        </w:rPr>
        <w:t>，判决，</w:t>
      </w:r>
      <w:r w:rsidRPr="008012F8">
        <w:rPr>
          <w:rFonts w:ascii="宋体" w:hAnsi="宋体" w:cs="宋体"/>
        </w:rPr>
        <w:t>《</w:t>
      </w:r>
      <w:r w:rsidRPr="008012F8">
        <w:rPr>
          <w:rFonts w:ascii="Time New Roman" w:eastAsia="楷体" w:hAnsi="Time New Roman" w:cs="宋体"/>
        </w:rPr>
        <w:t>2014</w:t>
      </w:r>
      <w:r w:rsidRPr="008012F8">
        <w:rPr>
          <w:rFonts w:ascii="宋体" w:hAnsi="宋体" w:cs="宋体" w:hint="eastAsia"/>
        </w:rPr>
        <w:t>年国际法院案例汇编</w:t>
      </w:r>
      <w:r w:rsidRPr="008012F8">
        <w:rPr>
          <w:rFonts w:ascii="宋体" w:hAnsi="宋体" w:cs="宋体"/>
        </w:rPr>
        <w:t>》</w:t>
      </w:r>
      <w:r w:rsidRPr="008012F8">
        <w:t>，第</w:t>
      </w:r>
      <w:r w:rsidRPr="008012F8">
        <w:t>226</w:t>
      </w:r>
      <w:r w:rsidRPr="008012F8">
        <w:t>页起，见第</w:t>
      </w:r>
      <w:r w:rsidRPr="008012F8">
        <w:t>257</w:t>
      </w:r>
      <w:r w:rsidRPr="008012F8">
        <w:t>页，第</w:t>
      </w:r>
      <w:r w:rsidRPr="008012F8">
        <w:t>83</w:t>
      </w:r>
      <w:r w:rsidRPr="008012F8">
        <w:t>段。</w:t>
      </w:r>
    </w:p>
  </w:footnote>
  <w:footnote w:id="591">
    <w:p w:rsidR="00AB00DE" w:rsidRPr="008012F8" w:rsidRDefault="00AB00DE" w:rsidP="008D7906">
      <w:pPr>
        <w:pStyle w:val="a4"/>
      </w:pPr>
      <w:r w:rsidRPr="008012F8">
        <w:tab/>
      </w:r>
      <w:r w:rsidRPr="00DF5565">
        <w:rPr>
          <w:rStyle w:val="a5"/>
        </w:rPr>
        <w:footnoteRef/>
      </w:r>
      <w:r w:rsidRPr="008012F8">
        <w:tab/>
      </w:r>
      <w:r w:rsidRPr="008012F8">
        <w:rPr>
          <w:rFonts w:ascii="宋体" w:hAnsi="宋体" w:cs="宋体" w:hint="eastAsia"/>
        </w:rPr>
        <w:t>见伊朗－美国索赔法庭，</w:t>
      </w:r>
      <w:r w:rsidRPr="00DF5565">
        <w:rPr>
          <w:rFonts w:eastAsia="楷体"/>
        </w:rPr>
        <w:t>伊朗伊斯兰共和国和美利坚合众国</w:t>
      </w:r>
      <w:r w:rsidRPr="008012F8">
        <w:rPr>
          <w:rFonts w:ascii="宋体" w:hAnsi="宋体" w:cs="宋体" w:hint="eastAsia"/>
        </w:rPr>
        <w:t>，</w:t>
      </w:r>
      <w:r w:rsidRPr="008012F8">
        <w:rPr>
          <w:rFonts w:ascii="宋体" w:hAnsi="宋体" w:cs="宋体"/>
        </w:rPr>
        <w:t>《</w:t>
      </w:r>
      <w:r w:rsidRPr="008012F8">
        <w:rPr>
          <w:rFonts w:ascii="宋体" w:hAnsi="宋体" w:cs="宋体" w:hint="eastAsia"/>
        </w:rPr>
        <w:t>伊朗</w:t>
      </w:r>
      <w:r w:rsidRPr="008012F8">
        <w:rPr>
          <w:rFonts w:ascii="宋体" w:hAnsi="宋体" w:cs="宋体"/>
        </w:rPr>
        <w:t>-</w:t>
      </w:r>
      <w:r w:rsidRPr="008012F8">
        <w:rPr>
          <w:rFonts w:ascii="宋体" w:hAnsi="宋体" w:cs="宋体" w:hint="eastAsia"/>
        </w:rPr>
        <w:t>美国索赔法庭裁决汇编</w:t>
      </w:r>
      <w:r w:rsidRPr="008012F8">
        <w:rPr>
          <w:rFonts w:ascii="宋体" w:hAnsi="宋体" w:cs="宋体"/>
        </w:rPr>
        <w:t>》</w:t>
      </w:r>
      <w:r w:rsidRPr="008012F8">
        <w:rPr>
          <w:rFonts w:ascii="宋体" w:hAnsi="宋体" w:cs="宋体" w:hint="eastAsia"/>
        </w:rPr>
        <w:t>，第</w:t>
      </w:r>
      <w:r w:rsidRPr="008012F8">
        <w:t>382-B1-FT</w:t>
      </w:r>
      <w:r w:rsidRPr="008012F8">
        <w:rPr>
          <w:rFonts w:ascii="宋体" w:hAnsi="宋体" w:cs="宋体" w:hint="eastAsia"/>
        </w:rPr>
        <w:t>号部分裁决，第</w:t>
      </w:r>
      <w:r w:rsidRPr="008012F8">
        <w:t>19</w:t>
      </w:r>
      <w:r w:rsidRPr="008012F8">
        <w:rPr>
          <w:rFonts w:ascii="宋体" w:hAnsi="宋体" w:cs="宋体" w:hint="eastAsia"/>
        </w:rPr>
        <w:t>卷</w:t>
      </w:r>
      <w:r w:rsidRPr="008012F8">
        <w:t>(1989</w:t>
      </w:r>
      <w:r w:rsidRPr="008012F8">
        <w:rPr>
          <w:rFonts w:ascii="宋体" w:hAnsi="宋体" w:cs="宋体" w:hint="eastAsia"/>
        </w:rPr>
        <w:t>年</w:t>
      </w:r>
      <w:r w:rsidRPr="008012F8">
        <w:t>)</w:t>
      </w:r>
      <w:r w:rsidRPr="008012F8">
        <w:rPr>
          <w:rFonts w:ascii="宋体" w:hAnsi="宋体" w:cs="宋体" w:hint="eastAsia"/>
        </w:rPr>
        <w:t>，第</w:t>
      </w:r>
      <w:r w:rsidRPr="008012F8">
        <w:t>294-295</w:t>
      </w:r>
      <w:r w:rsidRPr="008012F8">
        <w:rPr>
          <w:rFonts w:ascii="宋体" w:hAnsi="宋体" w:cs="宋体" w:hint="eastAsia"/>
        </w:rPr>
        <w:t>页。</w:t>
      </w:r>
    </w:p>
  </w:footnote>
  <w:footnote w:id="592">
    <w:p w:rsidR="00AB00DE" w:rsidRPr="008012F8" w:rsidRDefault="00AB00DE" w:rsidP="008D7906">
      <w:pPr>
        <w:pStyle w:val="a4"/>
      </w:pPr>
      <w:r w:rsidRPr="008012F8">
        <w:tab/>
      </w:r>
      <w:r w:rsidRPr="00DF5565">
        <w:rPr>
          <w:rStyle w:val="a5"/>
        </w:rPr>
        <w:footnoteRef/>
      </w:r>
      <w:r w:rsidRPr="008012F8">
        <w:tab/>
      </w:r>
      <w:r w:rsidRPr="008012F8">
        <w:rPr>
          <w:rFonts w:ascii="宋体" w:hAnsi="宋体" w:cs="宋体" w:hint="eastAsia"/>
        </w:rPr>
        <w:t>霍尔茨曼法官的个别意见，部分赞同、部分反对，</w:t>
      </w:r>
      <w:r w:rsidRPr="008012F8">
        <w:t>同上，</w:t>
      </w:r>
      <w:r w:rsidRPr="008012F8">
        <w:rPr>
          <w:rFonts w:ascii="宋体" w:hAnsi="宋体" w:cs="宋体" w:hint="eastAsia"/>
        </w:rPr>
        <w:t>第</w:t>
      </w:r>
      <w:r w:rsidRPr="008012F8">
        <w:t>304</w:t>
      </w:r>
      <w:r w:rsidRPr="008012F8">
        <w:rPr>
          <w:rFonts w:ascii="宋体" w:hAnsi="宋体" w:cs="宋体" w:hint="eastAsia"/>
        </w:rPr>
        <w:t>页。</w:t>
      </w:r>
    </w:p>
  </w:footnote>
  <w:footnote w:id="593">
    <w:p w:rsidR="00AB00DE" w:rsidRPr="00246433" w:rsidRDefault="00AB00DE" w:rsidP="008D7906">
      <w:pPr>
        <w:pStyle w:val="a4"/>
        <w:rPr>
          <w:rFonts w:eastAsia="黑体"/>
        </w:rPr>
      </w:pPr>
      <w:r w:rsidRPr="008012F8">
        <w:tab/>
      </w:r>
      <w:r w:rsidRPr="00DF5565">
        <w:rPr>
          <w:rStyle w:val="a5"/>
        </w:rPr>
        <w:footnoteRef/>
      </w:r>
      <w:r w:rsidRPr="008012F8">
        <w:tab/>
      </w:r>
      <w:r w:rsidRPr="008012F8">
        <w:rPr>
          <w:rFonts w:ascii="宋体" w:hAnsi="宋体" w:cs="宋体" w:hint="eastAsia"/>
        </w:rPr>
        <w:t>见与条约解释相关的嗣后协定和嗣后惯例第二次</w:t>
      </w:r>
      <w:r w:rsidRPr="000D50E8">
        <w:rPr>
          <w:rFonts w:ascii="宋体" w:hAnsi="宋体" w:cs="宋体" w:hint="eastAsia"/>
        </w:rPr>
        <w:t>报告</w:t>
      </w:r>
      <w:r w:rsidRPr="003A67B6">
        <w:rPr>
          <w:rFonts w:eastAsia="黑体" w:hint="eastAsia"/>
        </w:rPr>
        <w:t>(</w:t>
      </w:r>
      <w:hyperlink r:id="rId68" w:history="1">
        <w:r w:rsidRPr="003A67B6">
          <w:rPr>
            <w:rStyle w:val="af"/>
            <w:rFonts w:hint="eastAsia"/>
          </w:rPr>
          <w:t>A/CN.4/671</w:t>
        </w:r>
      </w:hyperlink>
      <w:r w:rsidRPr="00246433">
        <w:rPr>
          <w:rFonts w:eastAsia="黑体" w:hint="eastAsia"/>
        </w:rPr>
        <w:t>)</w:t>
      </w:r>
      <w:r w:rsidRPr="00246433">
        <w:rPr>
          <w:rFonts w:ascii="宋体" w:eastAsia="黑体" w:hAnsi="宋体" w:cs="宋体" w:hint="eastAsia"/>
        </w:rPr>
        <w:t>，</w:t>
      </w:r>
      <w:r w:rsidRPr="000D50E8">
        <w:rPr>
          <w:rFonts w:ascii="宋体" w:hAnsi="宋体" w:cs="宋体" w:hint="eastAsia"/>
        </w:rPr>
        <w:t>第</w:t>
      </w:r>
      <w:r w:rsidRPr="000D50E8">
        <w:rPr>
          <w:rFonts w:hint="eastAsia"/>
        </w:rPr>
        <w:t>15</w:t>
      </w:r>
      <w:r w:rsidRPr="000D50E8">
        <w:rPr>
          <w:rFonts w:ascii="宋体" w:hAnsi="宋体" w:cs="宋体" w:hint="eastAsia"/>
        </w:rPr>
        <w:t>段。</w:t>
      </w:r>
    </w:p>
  </w:footnote>
  <w:footnote w:id="594">
    <w:p w:rsidR="00AB00DE" w:rsidRPr="008012F8" w:rsidRDefault="00AB00DE" w:rsidP="008D7906">
      <w:pPr>
        <w:pStyle w:val="a4"/>
      </w:pPr>
      <w:r w:rsidRPr="008012F8">
        <w:tab/>
      </w:r>
      <w:r w:rsidRPr="00DF5565">
        <w:rPr>
          <w:rStyle w:val="a5"/>
        </w:rPr>
        <w:footnoteRef/>
      </w:r>
      <w:r w:rsidRPr="008012F8">
        <w:tab/>
      </w:r>
      <w:r w:rsidRPr="008012F8">
        <w:rPr>
          <w:rFonts w:ascii="宋体" w:hAnsi="宋体" w:cs="宋体" w:hint="eastAsia"/>
        </w:rPr>
        <w:t>例如见</w:t>
      </w:r>
      <w:r w:rsidRPr="008012F8">
        <w:t>Soering</w:t>
      </w:r>
      <w:r w:rsidRPr="00DF5565">
        <w:rPr>
          <w:rFonts w:eastAsia="楷体"/>
        </w:rPr>
        <w:t>诉联合王国</w:t>
      </w:r>
      <w:r w:rsidRPr="008012F8">
        <w:rPr>
          <w:rFonts w:ascii="宋体" w:hAnsi="宋体" w:cs="宋体" w:hint="eastAsia"/>
        </w:rPr>
        <w:t>，第</w:t>
      </w:r>
      <w:r w:rsidRPr="008012F8">
        <w:t>14038/88</w:t>
      </w:r>
      <w:r w:rsidRPr="008012F8">
        <w:rPr>
          <w:rFonts w:ascii="宋体" w:hAnsi="宋体" w:cs="宋体" w:hint="eastAsia"/>
        </w:rPr>
        <w:t>号，</w:t>
      </w:r>
      <w:r w:rsidRPr="008012F8">
        <w:t>1989</w:t>
      </w:r>
      <w:r w:rsidRPr="008012F8">
        <w:rPr>
          <w:rFonts w:ascii="宋体" w:hAnsi="宋体" w:cs="宋体" w:hint="eastAsia"/>
        </w:rPr>
        <w:t>年</w:t>
      </w:r>
      <w:r w:rsidRPr="008012F8">
        <w:t>7</w:t>
      </w:r>
      <w:r w:rsidRPr="008012F8">
        <w:rPr>
          <w:rFonts w:ascii="宋体" w:hAnsi="宋体" w:cs="宋体" w:hint="eastAsia"/>
        </w:rPr>
        <w:t>月</w:t>
      </w:r>
      <w:r w:rsidRPr="008012F8">
        <w:t>7</w:t>
      </w:r>
      <w:r w:rsidRPr="008012F8">
        <w:rPr>
          <w:rFonts w:ascii="宋体" w:hAnsi="宋体" w:cs="宋体" w:hint="eastAsia"/>
        </w:rPr>
        <w:t>日，</w:t>
      </w:r>
      <w:r w:rsidRPr="008012F8">
        <w:t>《欧洲人权法院案例汇编》</w:t>
      </w:r>
      <w:r w:rsidRPr="008012F8">
        <w:t>A</w:t>
      </w:r>
      <w:r w:rsidRPr="008012F8">
        <w:t>辑</w:t>
      </w:r>
      <w:r w:rsidRPr="008012F8">
        <w:rPr>
          <w:rFonts w:ascii="宋体" w:hAnsi="宋体" w:cs="宋体" w:hint="eastAsia"/>
        </w:rPr>
        <w:t>，第</w:t>
      </w:r>
      <w:r w:rsidRPr="008012F8">
        <w:t>161</w:t>
      </w:r>
      <w:r w:rsidRPr="008012F8">
        <w:rPr>
          <w:rFonts w:ascii="宋体" w:hAnsi="宋体" w:cs="宋体" w:hint="eastAsia"/>
        </w:rPr>
        <w:t>号，第</w:t>
      </w:r>
      <w:r w:rsidRPr="008012F8">
        <w:t>103</w:t>
      </w:r>
      <w:r w:rsidRPr="008012F8">
        <w:rPr>
          <w:rFonts w:ascii="宋体" w:hAnsi="宋体" w:cs="宋体" w:hint="eastAsia"/>
        </w:rPr>
        <w:t>段；</w:t>
      </w:r>
      <w:r w:rsidRPr="008012F8">
        <w:t>Dudgeon</w:t>
      </w:r>
      <w:r w:rsidRPr="00DF5565">
        <w:rPr>
          <w:rFonts w:eastAsia="楷体"/>
        </w:rPr>
        <w:t>诉联合王国</w:t>
      </w:r>
      <w:r w:rsidRPr="008012F8">
        <w:rPr>
          <w:rFonts w:ascii="宋体" w:hAnsi="宋体" w:cs="宋体" w:hint="eastAsia"/>
        </w:rPr>
        <w:t>，第</w:t>
      </w:r>
      <w:r w:rsidRPr="008012F8">
        <w:t>7275/76</w:t>
      </w:r>
      <w:r w:rsidRPr="008012F8">
        <w:rPr>
          <w:rFonts w:ascii="宋体" w:hAnsi="宋体" w:cs="宋体" w:hint="eastAsia"/>
        </w:rPr>
        <w:t>号，</w:t>
      </w:r>
      <w:r w:rsidRPr="008012F8">
        <w:t>1981</w:t>
      </w:r>
      <w:r w:rsidRPr="008012F8">
        <w:rPr>
          <w:rFonts w:ascii="宋体" w:hAnsi="宋体" w:cs="宋体" w:hint="eastAsia"/>
        </w:rPr>
        <w:t>年</w:t>
      </w:r>
      <w:r w:rsidRPr="008012F8">
        <w:t>10</w:t>
      </w:r>
      <w:r w:rsidRPr="008012F8">
        <w:rPr>
          <w:rFonts w:ascii="宋体" w:hAnsi="宋体" w:cs="宋体" w:hint="eastAsia"/>
        </w:rPr>
        <w:t>月</w:t>
      </w:r>
      <w:r w:rsidRPr="008012F8">
        <w:t>22</w:t>
      </w:r>
      <w:r w:rsidRPr="008012F8">
        <w:rPr>
          <w:rFonts w:ascii="宋体" w:hAnsi="宋体" w:cs="宋体" w:hint="eastAsia"/>
        </w:rPr>
        <w:t>日，</w:t>
      </w:r>
      <w:r w:rsidRPr="008012F8">
        <w:t>《欧洲人权法院案例汇编》</w:t>
      </w:r>
      <w:r w:rsidRPr="008012F8">
        <w:t>A</w:t>
      </w:r>
      <w:r w:rsidRPr="008012F8">
        <w:t>辑</w:t>
      </w:r>
      <w:r w:rsidRPr="008012F8">
        <w:rPr>
          <w:rFonts w:ascii="宋体" w:hAnsi="宋体" w:cs="宋体" w:hint="eastAsia"/>
        </w:rPr>
        <w:t>，第</w:t>
      </w:r>
      <w:r w:rsidRPr="008012F8">
        <w:t>45</w:t>
      </w:r>
      <w:r w:rsidRPr="008012F8">
        <w:rPr>
          <w:rFonts w:ascii="宋体" w:hAnsi="宋体" w:cs="宋体" w:hint="eastAsia"/>
        </w:rPr>
        <w:t>号，第</w:t>
      </w:r>
      <w:r w:rsidRPr="008012F8">
        <w:t>60</w:t>
      </w:r>
      <w:r w:rsidRPr="008012F8">
        <w:rPr>
          <w:rFonts w:ascii="宋体" w:hAnsi="宋体" w:cs="宋体" w:hint="eastAsia"/>
        </w:rPr>
        <w:t>段；</w:t>
      </w:r>
      <w:r w:rsidRPr="008012F8">
        <w:t>Demir</w:t>
      </w:r>
      <w:r w:rsidRPr="00DF5565">
        <w:rPr>
          <w:rFonts w:eastAsia="楷体"/>
        </w:rPr>
        <w:t>和</w:t>
      </w:r>
      <w:r w:rsidRPr="008012F8">
        <w:t>Baykara</w:t>
      </w:r>
      <w:r w:rsidRPr="00DF5565">
        <w:rPr>
          <w:rFonts w:eastAsia="楷体"/>
        </w:rPr>
        <w:t>诉土耳其</w:t>
      </w:r>
      <w:r w:rsidRPr="008012F8">
        <w:t>[</w:t>
      </w:r>
      <w:r w:rsidRPr="008012F8">
        <w:rPr>
          <w:rFonts w:ascii="宋体" w:hAnsi="宋体" w:cs="宋体" w:hint="eastAsia"/>
        </w:rPr>
        <w:t>大审判庭</w:t>
      </w:r>
      <w:r w:rsidRPr="008012F8">
        <w:t>]</w:t>
      </w:r>
      <w:r w:rsidRPr="008012F8">
        <w:rPr>
          <w:rFonts w:ascii="宋体" w:hAnsi="宋体" w:cs="宋体" w:hint="eastAsia"/>
        </w:rPr>
        <w:t>，第</w:t>
      </w:r>
      <w:r w:rsidRPr="008012F8">
        <w:t>34503/97</w:t>
      </w:r>
      <w:r w:rsidRPr="008012F8">
        <w:rPr>
          <w:rFonts w:ascii="宋体" w:hAnsi="宋体" w:cs="宋体" w:hint="eastAsia"/>
        </w:rPr>
        <w:t>号</w:t>
      </w:r>
      <w:r w:rsidRPr="008012F8">
        <w:t>，</w:t>
      </w:r>
      <w:r w:rsidRPr="008012F8">
        <w:t>2008</w:t>
      </w:r>
      <w:r w:rsidRPr="008012F8">
        <w:rPr>
          <w:rFonts w:ascii="宋体" w:hAnsi="宋体" w:cs="宋体" w:hint="eastAsia"/>
        </w:rPr>
        <w:t>年</w:t>
      </w:r>
      <w:r w:rsidRPr="008012F8">
        <w:t>11</w:t>
      </w:r>
      <w:r w:rsidRPr="008012F8">
        <w:rPr>
          <w:rFonts w:ascii="宋体" w:hAnsi="宋体" w:cs="宋体" w:hint="eastAsia"/>
        </w:rPr>
        <w:t>月</w:t>
      </w:r>
      <w:r w:rsidRPr="008012F8">
        <w:t>12</w:t>
      </w:r>
      <w:r w:rsidRPr="008012F8">
        <w:rPr>
          <w:rFonts w:ascii="宋体" w:hAnsi="宋体" w:cs="宋体" w:hint="eastAsia"/>
        </w:rPr>
        <w:t>日，欧洲人权法院</w:t>
      </w:r>
      <w:r w:rsidRPr="008012F8">
        <w:t xml:space="preserve">2008, </w:t>
      </w:r>
      <w:r w:rsidRPr="008012F8">
        <w:rPr>
          <w:rFonts w:ascii="宋体" w:hAnsi="宋体" w:cs="宋体" w:hint="eastAsia"/>
        </w:rPr>
        <w:t>第</w:t>
      </w:r>
      <w:r w:rsidRPr="008012F8">
        <w:t>48</w:t>
      </w:r>
      <w:r w:rsidRPr="008012F8">
        <w:rPr>
          <w:rFonts w:ascii="宋体" w:hAnsi="宋体" w:cs="宋体" w:hint="eastAsia"/>
        </w:rPr>
        <w:t>段；然而作为对照，请比较</w:t>
      </w:r>
      <w:r w:rsidRPr="008012F8">
        <w:t>Mamatkulov</w:t>
      </w:r>
      <w:r w:rsidRPr="00DF5565">
        <w:rPr>
          <w:rFonts w:eastAsia="楷体"/>
        </w:rPr>
        <w:t>和</w:t>
      </w:r>
      <w:r w:rsidRPr="008012F8">
        <w:t>Askarov</w:t>
      </w:r>
      <w:r w:rsidRPr="00DF5565">
        <w:rPr>
          <w:rFonts w:eastAsia="楷体"/>
        </w:rPr>
        <w:t>诉土耳其案</w:t>
      </w:r>
      <w:r w:rsidRPr="008012F8">
        <w:t>[</w:t>
      </w:r>
      <w:r w:rsidRPr="008012F8">
        <w:rPr>
          <w:rFonts w:ascii="宋体" w:hAnsi="宋体" w:cs="宋体" w:hint="eastAsia"/>
        </w:rPr>
        <w:t>大审判庭</w:t>
      </w:r>
      <w:r w:rsidRPr="008012F8">
        <w:t>]</w:t>
      </w:r>
      <w:r w:rsidRPr="008012F8">
        <w:rPr>
          <w:rFonts w:ascii="宋体" w:hAnsi="宋体" w:cs="宋体" w:hint="eastAsia"/>
        </w:rPr>
        <w:t>，第</w:t>
      </w:r>
      <w:r w:rsidRPr="008012F8">
        <w:t>46827/99</w:t>
      </w:r>
      <w:r w:rsidRPr="008012F8">
        <w:rPr>
          <w:rFonts w:ascii="宋体" w:hAnsi="宋体" w:cs="宋体" w:hint="eastAsia"/>
        </w:rPr>
        <w:t>号</w:t>
      </w:r>
      <w:r w:rsidRPr="008012F8">
        <w:t>和第</w:t>
      </w:r>
      <w:r w:rsidRPr="008012F8">
        <w:rPr>
          <w:iCs/>
        </w:rPr>
        <w:t>46951/99</w:t>
      </w:r>
      <w:r w:rsidRPr="008012F8">
        <w:rPr>
          <w:iCs/>
        </w:rPr>
        <w:t>号</w:t>
      </w:r>
      <w:r w:rsidRPr="008012F8">
        <w:rPr>
          <w:rFonts w:ascii="宋体" w:hAnsi="宋体" w:cs="宋体" w:hint="eastAsia"/>
        </w:rPr>
        <w:t>，</w:t>
      </w:r>
      <w:r w:rsidRPr="008012F8">
        <w:t>《</w:t>
      </w:r>
      <w:r w:rsidRPr="008012F8">
        <w:t>2005</w:t>
      </w:r>
      <w:r w:rsidRPr="008012F8">
        <w:rPr>
          <w:rFonts w:hint="eastAsia"/>
        </w:rPr>
        <w:t>年</w:t>
      </w:r>
      <w:r w:rsidRPr="008012F8">
        <w:t>欧洲人权法院案例汇编》</w:t>
      </w:r>
      <w:r w:rsidRPr="008012F8">
        <w:rPr>
          <w:rFonts w:hint="eastAsia"/>
        </w:rPr>
        <w:t>，第一卷，</w:t>
      </w:r>
      <w:r w:rsidRPr="008012F8">
        <w:rPr>
          <w:rFonts w:ascii="宋体" w:hAnsi="宋体" w:cs="宋体" w:hint="eastAsia"/>
        </w:rPr>
        <w:t>第</w:t>
      </w:r>
      <w:r w:rsidRPr="008012F8">
        <w:t>146</w:t>
      </w:r>
      <w:r w:rsidRPr="008012F8">
        <w:rPr>
          <w:rFonts w:ascii="宋体" w:hAnsi="宋体" w:cs="宋体" w:hint="eastAsia"/>
        </w:rPr>
        <w:t>段；</w:t>
      </w:r>
      <w:r w:rsidRPr="008012F8">
        <w:t>Cruz Varas</w:t>
      </w:r>
      <w:r w:rsidRPr="00DF5565">
        <w:rPr>
          <w:rFonts w:eastAsia="楷体"/>
        </w:rPr>
        <w:t>等人诉瑞典</w:t>
      </w:r>
      <w:r w:rsidRPr="008012F8">
        <w:rPr>
          <w:rFonts w:ascii="宋体" w:hAnsi="宋体" w:cs="宋体" w:hint="eastAsia"/>
        </w:rPr>
        <w:t>，第</w:t>
      </w:r>
      <w:r w:rsidRPr="008012F8">
        <w:t>15576/89</w:t>
      </w:r>
      <w:r w:rsidRPr="008012F8">
        <w:rPr>
          <w:rFonts w:ascii="宋体" w:hAnsi="宋体" w:cs="宋体" w:hint="eastAsia"/>
        </w:rPr>
        <w:t>号，</w:t>
      </w:r>
      <w:r w:rsidRPr="008012F8">
        <w:t>1991</w:t>
      </w:r>
      <w:r w:rsidRPr="008012F8">
        <w:rPr>
          <w:rFonts w:ascii="宋体" w:hAnsi="宋体" w:cs="宋体" w:hint="eastAsia"/>
        </w:rPr>
        <w:t>年</w:t>
      </w:r>
      <w:r w:rsidRPr="008012F8">
        <w:t>3</w:t>
      </w:r>
      <w:r w:rsidRPr="008012F8">
        <w:rPr>
          <w:rFonts w:ascii="宋体" w:hAnsi="宋体" w:cs="宋体" w:hint="eastAsia"/>
        </w:rPr>
        <w:t>月</w:t>
      </w:r>
      <w:r w:rsidRPr="008012F8">
        <w:t>20</w:t>
      </w:r>
      <w:r w:rsidRPr="008012F8">
        <w:rPr>
          <w:rFonts w:ascii="宋体" w:hAnsi="宋体" w:cs="宋体" w:hint="eastAsia"/>
        </w:rPr>
        <w:t>日，</w:t>
      </w:r>
      <w:r w:rsidRPr="008012F8">
        <w:t>《欧洲人权法院案例汇编》</w:t>
      </w:r>
      <w:r w:rsidRPr="008012F8">
        <w:t>A</w:t>
      </w:r>
      <w:r w:rsidRPr="008012F8">
        <w:t>辑</w:t>
      </w:r>
      <w:r w:rsidRPr="008012F8">
        <w:rPr>
          <w:rFonts w:ascii="宋体" w:hAnsi="宋体" w:cs="宋体" w:hint="eastAsia"/>
        </w:rPr>
        <w:t>，第</w:t>
      </w:r>
      <w:r w:rsidRPr="008012F8">
        <w:t>201</w:t>
      </w:r>
      <w:r w:rsidRPr="008012F8">
        <w:rPr>
          <w:rFonts w:ascii="宋体" w:hAnsi="宋体" w:cs="宋体" w:hint="eastAsia"/>
        </w:rPr>
        <w:t>号，第</w:t>
      </w:r>
      <w:r w:rsidRPr="008012F8">
        <w:t>100</w:t>
      </w:r>
      <w:r w:rsidRPr="008012F8">
        <w:rPr>
          <w:rFonts w:ascii="宋体" w:hAnsi="宋体" w:cs="宋体" w:hint="eastAsia"/>
        </w:rPr>
        <w:t>段。</w:t>
      </w:r>
    </w:p>
  </w:footnote>
  <w:footnote w:id="595">
    <w:p w:rsidR="00AB00DE" w:rsidRPr="008012F8" w:rsidRDefault="00AB00DE" w:rsidP="00560424">
      <w:pPr>
        <w:pStyle w:val="a4"/>
      </w:pPr>
      <w:r w:rsidRPr="008012F8">
        <w:tab/>
      </w:r>
      <w:r w:rsidRPr="00DF5565">
        <w:rPr>
          <w:rStyle w:val="a5"/>
        </w:rPr>
        <w:footnoteRef/>
      </w:r>
      <w:r w:rsidRPr="008012F8">
        <w:tab/>
      </w:r>
      <w:r w:rsidRPr="008012F8">
        <w:rPr>
          <w:rFonts w:ascii="宋体" w:hAnsi="宋体" w:cs="宋体" w:hint="eastAsia"/>
        </w:rPr>
        <w:t>见上文脚注</w:t>
      </w:r>
      <w:r w:rsidRPr="00560424">
        <w:rPr>
          <w:rFonts w:asciiTheme="majorBidi" w:hAnsiTheme="majorBidi" w:cstheme="majorBidi"/>
        </w:rPr>
        <w:fldChar w:fldCharType="begin"/>
      </w:r>
      <w:r w:rsidRPr="00560424">
        <w:rPr>
          <w:rFonts w:asciiTheme="majorBidi" w:hAnsiTheme="majorBidi" w:cstheme="majorBidi"/>
        </w:rPr>
        <w:instrText xml:space="preserve"> NOTEREF _Ref461975952 \h </w:instrText>
      </w:r>
      <w:r>
        <w:rPr>
          <w:rFonts w:asciiTheme="majorBidi" w:hAnsiTheme="majorBidi" w:cstheme="majorBidi"/>
        </w:rPr>
        <w:instrText xml:space="preserve"> \* MERGEFORMAT </w:instrText>
      </w:r>
      <w:r w:rsidRPr="00560424">
        <w:rPr>
          <w:rFonts w:asciiTheme="majorBidi" w:hAnsiTheme="majorBidi" w:cstheme="majorBidi"/>
        </w:rPr>
      </w:r>
      <w:r w:rsidRPr="00560424">
        <w:rPr>
          <w:rFonts w:asciiTheme="majorBidi" w:hAnsiTheme="majorBidi" w:cstheme="majorBidi"/>
        </w:rPr>
        <w:fldChar w:fldCharType="separate"/>
      </w:r>
      <w:r w:rsidR="00A73EB9">
        <w:rPr>
          <w:rFonts w:asciiTheme="majorBidi" w:hAnsiTheme="majorBidi" w:cstheme="majorBidi"/>
        </w:rPr>
        <w:t>593</w:t>
      </w:r>
      <w:r w:rsidRPr="00560424">
        <w:rPr>
          <w:rFonts w:asciiTheme="majorBidi" w:hAnsiTheme="majorBidi" w:cstheme="majorBidi"/>
        </w:rPr>
        <w:fldChar w:fldCharType="end"/>
      </w:r>
      <w:r w:rsidRPr="008012F8">
        <w:rPr>
          <w:rFonts w:ascii="宋体" w:hAnsi="宋体" w:cs="宋体" w:hint="eastAsia"/>
        </w:rPr>
        <w:t>；另见</w:t>
      </w:r>
      <w:r w:rsidRPr="008012F8">
        <w:t>Marckx</w:t>
      </w:r>
      <w:r w:rsidRPr="00DF5565">
        <w:rPr>
          <w:rFonts w:eastAsia="楷体"/>
        </w:rPr>
        <w:t>诉比利时</w:t>
      </w:r>
      <w:r w:rsidRPr="008012F8">
        <w:rPr>
          <w:rFonts w:ascii="宋体" w:hAnsi="宋体" w:cs="宋体" w:hint="eastAsia"/>
        </w:rPr>
        <w:t>，第</w:t>
      </w:r>
      <w:r w:rsidRPr="008012F8">
        <w:t>6833/74</w:t>
      </w:r>
      <w:r w:rsidRPr="008012F8">
        <w:rPr>
          <w:rFonts w:ascii="宋体" w:hAnsi="宋体" w:cs="宋体" w:hint="eastAsia"/>
        </w:rPr>
        <w:t>号，</w:t>
      </w:r>
      <w:r w:rsidRPr="008012F8">
        <w:t>1979</w:t>
      </w:r>
      <w:r w:rsidRPr="008012F8">
        <w:rPr>
          <w:rFonts w:ascii="宋体" w:hAnsi="宋体" w:cs="宋体" w:hint="eastAsia"/>
        </w:rPr>
        <w:t>年</w:t>
      </w:r>
      <w:r w:rsidRPr="008012F8">
        <w:t>6</w:t>
      </w:r>
      <w:r w:rsidRPr="008012F8">
        <w:rPr>
          <w:rFonts w:ascii="宋体" w:hAnsi="宋体" w:cs="宋体" w:hint="eastAsia"/>
        </w:rPr>
        <w:t>月</w:t>
      </w:r>
      <w:r w:rsidRPr="008012F8">
        <w:t>13</w:t>
      </w:r>
      <w:r w:rsidRPr="008012F8">
        <w:rPr>
          <w:rFonts w:ascii="宋体" w:hAnsi="宋体" w:cs="宋体" w:hint="eastAsia"/>
        </w:rPr>
        <w:t>日，</w:t>
      </w:r>
      <w:r w:rsidRPr="008012F8">
        <w:rPr>
          <w:rFonts w:ascii="宋体" w:hAnsi="宋体" w:cs="宋体"/>
        </w:rPr>
        <w:t>《欧洲人权法院案例汇编》</w:t>
      </w:r>
      <w:r w:rsidRPr="008012F8">
        <w:t>A</w:t>
      </w:r>
      <w:r w:rsidRPr="008012F8">
        <w:t>辑</w:t>
      </w:r>
      <w:r w:rsidRPr="008012F8">
        <w:rPr>
          <w:rFonts w:ascii="宋体" w:hAnsi="宋体" w:cs="宋体" w:hint="eastAsia"/>
        </w:rPr>
        <w:t>，第</w:t>
      </w:r>
      <w:r w:rsidRPr="008012F8">
        <w:t>31</w:t>
      </w:r>
      <w:r w:rsidRPr="008012F8">
        <w:rPr>
          <w:rFonts w:ascii="宋体" w:hAnsi="宋体" w:cs="宋体" w:hint="eastAsia"/>
        </w:rPr>
        <w:t>号，第</w:t>
      </w:r>
      <w:r w:rsidRPr="008012F8">
        <w:t>41</w:t>
      </w:r>
      <w:r w:rsidRPr="008012F8">
        <w:rPr>
          <w:rFonts w:ascii="宋体" w:hAnsi="宋体" w:cs="宋体" w:hint="eastAsia"/>
        </w:rPr>
        <w:t>段；</w:t>
      </w:r>
      <w:r w:rsidRPr="008012F8">
        <w:t>Jorgic</w:t>
      </w:r>
      <w:r w:rsidRPr="00DF5565">
        <w:rPr>
          <w:rFonts w:eastAsia="楷体"/>
        </w:rPr>
        <w:t>诉德国</w:t>
      </w:r>
      <w:r w:rsidRPr="008012F8">
        <w:rPr>
          <w:rFonts w:ascii="宋体" w:hAnsi="宋体" w:cs="宋体" w:hint="eastAsia"/>
        </w:rPr>
        <w:t>，第</w:t>
      </w:r>
      <w:r w:rsidRPr="008012F8">
        <w:t>74613/01</w:t>
      </w:r>
      <w:r w:rsidRPr="008012F8">
        <w:rPr>
          <w:rFonts w:ascii="宋体" w:hAnsi="宋体" w:cs="宋体" w:hint="eastAsia"/>
        </w:rPr>
        <w:t>号，</w:t>
      </w:r>
      <w:r w:rsidRPr="008012F8">
        <w:t>2007</w:t>
      </w:r>
      <w:r w:rsidRPr="008012F8">
        <w:rPr>
          <w:rFonts w:ascii="宋体" w:hAnsi="宋体" w:cs="宋体" w:hint="eastAsia"/>
        </w:rPr>
        <w:t>年</w:t>
      </w:r>
      <w:r w:rsidRPr="008012F8">
        <w:t>7</w:t>
      </w:r>
      <w:r w:rsidRPr="008012F8">
        <w:rPr>
          <w:rFonts w:ascii="宋体" w:hAnsi="宋体" w:cs="宋体" w:hint="eastAsia"/>
        </w:rPr>
        <w:t>月</w:t>
      </w:r>
      <w:r w:rsidRPr="008012F8">
        <w:t>12</w:t>
      </w:r>
      <w:r w:rsidRPr="008012F8">
        <w:rPr>
          <w:rFonts w:ascii="宋体" w:hAnsi="宋体" w:cs="宋体" w:hint="eastAsia"/>
        </w:rPr>
        <w:t>日，</w:t>
      </w:r>
      <w:r w:rsidRPr="008012F8">
        <w:t>《</w:t>
      </w:r>
      <w:r w:rsidRPr="008012F8">
        <w:rPr>
          <w:rFonts w:hint="eastAsia"/>
        </w:rPr>
        <w:t>2007</w:t>
      </w:r>
      <w:r w:rsidRPr="008012F8">
        <w:rPr>
          <w:rFonts w:hint="eastAsia"/>
        </w:rPr>
        <w:t>年</w:t>
      </w:r>
      <w:r w:rsidRPr="008012F8">
        <w:t>欧洲人权法院案例汇编》</w:t>
      </w:r>
      <w:r w:rsidRPr="008012F8">
        <w:rPr>
          <w:rFonts w:ascii="宋体" w:hAnsi="宋体" w:cs="宋体" w:hint="eastAsia"/>
        </w:rPr>
        <w:t>，第三卷，第</w:t>
      </w:r>
      <w:r w:rsidRPr="008012F8">
        <w:t>69</w:t>
      </w:r>
      <w:r w:rsidRPr="008012F8">
        <w:rPr>
          <w:rFonts w:ascii="宋体" w:hAnsi="宋体" w:cs="宋体" w:hint="eastAsia"/>
        </w:rPr>
        <w:t>段；</w:t>
      </w:r>
      <w:r w:rsidRPr="008012F8">
        <w:t>Mazurek</w:t>
      </w:r>
      <w:r w:rsidRPr="00DF5565">
        <w:rPr>
          <w:rFonts w:eastAsia="楷体"/>
        </w:rPr>
        <w:t>诉法国</w:t>
      </w:r>
      <w:r w:rsidRPr="008012F8">
        <w:rPr>
          <w:rFonts w:ascii="宋体" w:hAnsi="宋体" w:cs="宋体" w:hint="eastAsia"/>
        </w:rPr>
        <w:t>，第</w:t>
      </w:r>
      <w:r w:rsidRPr="008012F8">
        <w:t>34406/97</w:t>
      </w:r>
      <w:r w:rsidRPr="008012F8">
        <w:rPr>
          <w:rFonts w:ascii="宋体" w:hAnsi="宋体" w:cs="宋体" w:hint="eastAsia"/>
        </w:rPr>
        <w:t>号，</w:t>
      </w:r>
      <w:r w:rsidRPr="008012F8">
        <w:t>200</w:t>
      </w:r>
      <w:r w:rsidRPr="008012F8">
        <w:rPr>
          <w:rFonts w:hint="eastAsia"/>
        </w:rPr>
        <w:t>0</w:t>
      </w:r>
      <w:r w:rsidRPr="008012F8">
        <w:rPr>
          <w:rFonts w:ascii="宋体" w:hAnsi="宋体" w:cs="宋体" w:hint="eastAsia"/>
        </w:rPr>
        <w:t>年</w:t>
      </w:r>
      <w:r w:rsidRPr="008012F8">
        <w:t>2</w:t>
      </w:r>
      <w:r w:rsidRPr="008012F8">
        <w:rPr>
          <w:rFonts w:ascii="宋体" w:hAnsi="宋体" w:cs="宋体" w:hint="eastAsia"/>
        </w:rPr>
        <w:t>月</w:t>
      </w:r>
      <w:r w:rsidRPr="008012F8">
        <w:t>1</w:t>
      </w:r>
      <w:r w:rsidRPr="008012F8">
        <w:rPr>
          <w:rFonts w:ascii="宋体" w:hAnsi="宋体" w:cs="宋体" w:hint="eastAsia"/>
        </w:rPr>
        <w:t>日</w:t>
      </w:r>
      <w:r w:rsidRPr="008012F8">
        <w:t>《</w:t>
      </w:r>
      <w:r w:rsidRPr="008012F8">
        <w:rPr>
          <w:rFonts w:hint="eastAsia"/>
        </w:rPr>
        <w:t>2000</w:t>
      </w:r>
      <w:r w:rsidRPr="008012F8">
        <w:rPr>
          <w:rFonts w:hint="eastAsia"/>
        </w:rPr>
        <w:t>年</w:t>
      </w:r>
      <w:r w:rsidRPr="008012F8">
        <w:t>欧洲人权法院案例汇编》</w:t>
      </w:r>
      <w:r w:rsidRPr="008012F8">
        <w:rPr>
          <w:rFonts w:hint="eastAsia"/>
        </w:rPr>
        <w:t>，第二卷，</w:t>
      </w:r>
      <w:r w:rsidRPr="008012F8">
        <w:rPr>
          <w:rFonts w:ascii="宋体" w:hAnsi="宋体" w:cs="宋体" w:hint="eastAsia"/>
        </w:rPr>
        <w:t>第</w:t>
      </w:r>
      <w:r w:rsidRPr="008012F8">
        <w:t>52</w:t>
      </w:r>
      <w:r w:rsidRPr="008012F8">
        <w:rPr>
          <w:rFonts w:ascii="宋体" w:hAnsi="宋体" w:cs="宋体" w:hint="eastAsia"/>
        </w:rPr>
        <w:t>段。</w:t>
      </w:r>
    </w:p>
  </w:footnote>
  <w:footnote w:id="596">
    <w:p w:rsidR="00AB00DE" w:rsidRPr="008012F8" w:rsidRDefault="00AB00DE" w:rsidP="00267AB1">
      <w:pPr>
        <w:pStyle w:val="a4"/>
      </w:pPr>
      <w:r w:rsidRPr="008012F8">
        <w:tab/>
      </w:r>
      <w:r w:rsidRPr="00DF5565">
        <w:rPr>
          <w:rStyle w:val="a5"/>
        </w:rPr>
        <w:footnoteRef/>
      </w:r>
      <w:r w:rsidRPr="008012F8">
        <w:tab/>
      </w:r>
      <w:r w:rsidRPr="008012F8">
        <w:rPr>
          <w:rFonts w:ascii="宋体" w:hAnsi="宋体" w:cs="宋体" w:hint="eastAsia"/>
        </w:rPr>
        <w:t>例如见</w:t>
      </w:r>
      <w:r w:rsidRPr="008012F8">
        <w:t>Hilaire</w:t>
      </w:r>
      <w:r w:rsidRPr="008012F8">
        <w:rPr>
          <w:rFonts w:ascii="宋体" w:hAnsi="宋体" w:cs="宋体" w:hint="eastAsia"/>
        </w:rPr>
        <w:t>、</w:t>
      </w:r>
      <w:r w:rsidRPr="008012F8">
        <w:t>Constantine</w:t>
      </w:r>
      <w:r w:rsidRPr="00DF5565">
        <w:rPr>
          <w:rFonts w:eastAsia="楷体"/>
        </w:rPr>
        <w:t>和</w:t>
      </w:r>
      <w:r w:rsidRPr="008012F8">
        <w:t>Benjamin</w:t>
      </w:r>
      <w:r w:rsidRPr="00DF5565">
        <w:rPr>
          <w:rFonts w:eastAsia="楷体"/>
        </w:rPr>
        <w:t>等人诉特里尼达和多巴哥案</w:t>
      </w:r>
      <w:r w:rsidRPr="008012F8">
        <w:t>(</w:t>
      </w:r>
      <w:r w:rsidRPr="008012F8">
        <w:t>见上文脚注</w:t>
      </w:r>
      <w:r>
        <w:fldChar w:fldCharType="begin"/>
      </w:r>
      <w:r>
        <w:instrText xml:space="preserve"> </w:instrText>
      </w:r>
      <w:r>
        <w:rPr>
          <w:rFonts w:hint="eastAsia"/>
        </w:rPr>
        <w:instrText>NOTEREF _Ref461973238 \h</w:instrText>
      </w:r>
      <w:r>
        <w:instrText xml:space="preserve"> </w:instrText>
      </w:r>
      <w:r>
        <w:fldChar w:fldCharType="separate"/>
      </w:r>
      <w:r w:rsidR="00A73EB9">
        <w:t>400</w:t>
      </w:r>
      <w:r>
        <w:fldChar w:fldCharType="end"/>
      </w:r>
      <w:r w:rsidRPr="008012F8">
        <w:t>)</w:t>
      </w:r>
      <w:r w:rsidRPr="008012F8">
        <w:rPr>
          <w:rFonts w:ascii="宋体" w:hAnsi="宋体" w:cs="宋体" w:hint="eastAsia"/>
        </w:rPr>
        <w:t>，第</w:t>
      </w:r>
      <w:r w:rsidRPr="008012F8">
        <w:t>12</w:t>
      </w:r>
      <w:r w:rsidRPr="008012F8">
        <w:rPr>
          <w:rFonts w:ascii="宋体" w:hAnsi="宋体" w:cs="宋体" w:hint="eastAsia"/>
        </w:rPr>
        <w:t>段。</w:t>
      </w:r>
    </w:p>
  </w:footnote>
  <w:footnote w:id="597">
    <w:p w:rsidR="00AB00DE" w:rsidRPr="008012F8" w:rsidRDefault="00AB00DE" w:rsidP="008D7906">
      <w:pPr>
        <w:pStyle w:val="a4"/>
      </w:pPr>
      <w:r w:rsidRPr="008012F8">
        <w:tab/>
      </w:r>
      <w:r w:rsidRPr="00DF5565">
        <w:rPr>
          <w:rStyle w:val="a5"/>
        </w:rPr>
        <w:footnoteRef/>
      </w:r>
      <w:r w:rsidRPr="008012F8">
        <w:tab/>
        <w:t>Bankovic</w:t>
      </w:r>
      <w:r w:rsidRPr="00DF5565">
        <w:rPr>
          <w:rFonts w:eastAsia="楷体"/>
        </w:rPr>
        <w:t>等人诉比利时及</w:t>
      </w:r>
      <w:r w:rsidRPr="00DF5565">
        <w:rPr>
          <w:rFonts w:eastAsia="楷体"/>
        </w:rPr>
        <w:t>16</w:t>
      </w:r>
      <w:r w:rsidRPr="00DF5565">
        <w:rPr>
          <w:rFonts w:eastAsia="楷体"/>
        </w:rPr>
        <w:t>个其他缔约国</w:t>
      </w:r>
      <w:r w:rsidRPr="008012F8">
        <w:t>(</w:t>
      </w:r>
      <w:r w:rsidRPr="008012F8">
        <w:rPr>
          <w:rFonts w:ascii="宋体" w:hAnsi="宋体" w:cs="宋体" w:hint="eastAsia"/>
        </w:rPr>
        <w:t>裁决</w:t>
      </w:r>
      <w:r w:rsidRPr="008012F8">
        <w:t>)[</w:t>
      </w:r>
      <w:r w:rsidRPr="008012F8">
        <w:rPr>
          <w:rFonts w:ascii="宋体" w:hAnsi="宋体" w:cs="宋体" w:hint="eastAsia"/>
        </w:rPr>
        <w:t>大审判庭</w:t>
      </w:r>
      <w:r w:rsidRPr="008012F8">
        <w:t>]</w:t>
      </w:r>
      <w:r w:rsidRPr="008012F8">
        <w:rPr>
          <w:rFonts w:ascii="宋体" w:hAnsi="宋体" w:cs="宋体" w:hint="eastAsia"/>
        </w:rPr>
        <w:t>，第</w:t>
      </w:r>
      <w:r w:rsidRPr="008012F8">
        <w:t>52207/99</w:t>
      </w:r>
      <w:r w:rsidRPr="008012F8">
        <w:rPr>
          <w:rFonts w:ascii="宋体" w:hAnsi="宋体" w:cs="宋体" w:hint="eastAsia"/>
        </w:rPr>
        <w:t>号，</w:t>
      </w:r>
      <w:r w:rsidRPr="008012F8">
        <w:rPr>
          <w:rFonts w:ascii="宋体" w:hAnsi="宋体" w:cs="宋体"/>
        </w:rPr>
        <w:t>《</w:t>
      </w:r>
      <w:r w:rsidRPr="008012F8">
        <w:rPr>
          <w:rFonts w:ascii="Time New Roman" w:eastAsia="楷体" w:hAnsi="Time New Roman" w:cs="宋体"/>
        </w:rPr>
        <w:t>2001</w:t>
      </w:r>
      <w:r w:rsidRPr="008012F8">
        <w:rPr>
          <w:rFonts w:ascii="宋体" w:hAnsi="宋体" w:cs="宋体" w:hint="eastAsia"/>
        </w:rPr>
        <w:t>年欧洲人权法院案例汇编》第十二卷，第</w:t>
      </w:r>
      <w:r w:rsidRPr="008012F8">
        <w:t>62</w:t>
      </w:r>
      <w:r w:rsidRPr="008012F8">
        <w:rPr>
          <w:rFonts w:ascii="宋体" w:hAnsi="宋体" w:cs="宋体" w:hint="eastAsia"/>
        </w:rPr>
        <w:t>段。</w:t>
      </w:r>
    </w:p>
  </w:footnote>
  <w:footnote w:id="598">
    <w:p w:rsidR="00AB00DE" w:rsidRPr="008012F8" w:rsidRDefault="00AB00DE" w:rsidP="00267AB1">
      <w:pPr>
        <w:pStyle w:val="a4"/>
      </w:pPr>
      <w:r w:rsidRPr="008012F8">
        <w:rPr>
          <w:rFonts w:ascii="宋体" w:hAnsi="宋体" w:cs="宋体" w:hint="eastAsia"/>
        </w:rPr>
        <w:tab/>
      </w:r>
      <w:r w:rsidRPr="00DF5565">
        <w:rPr>
          <w:rStyle w:val="a5"/>
        </w:rPr>
        <w:footnoteRef/>
      </w:r>
      <w:r w:rsidRPr="008012F8">
        <w:rPr>
          <w:rFonts w:ascii="宋体" w:hAnsi="宋体" w:cs="宋体" w:hint="eastAsia"/>
        </w:rPr>
        <w:tab/>
        <w:t>见上文脚注</w:t>
      </w:r>
      <w:r w:rsidRPr="00267AB1">
        <w:rPr>
          <w:rFonts w:asciiTheme="majorBidi" w:hAnsiTheme="majorBidi" w:cstheme="majorBidi"/>
        </w:rPr>
        <w:fldChar w:fldCharType="begin"/>
      </w:r>
      <w:r w:rsidRPr="00267AB1">
        <w:rPr>
          <w:rFonts w:asciiTheme="majorBidi" w:hAnsiTheme="majorBidi" w:cstheme="majorBidi"/>
        </w:rPr>
        <w:instrText xml:space="preserve"> NOTEREF _Ref461973306 \h </w:instrText>
      </w:r>
      <w:r>
        <w:rPr>
          <w:rFonts w:asciiTheme="majorBidi" w:hAnsiTheme="majorBidi" w:cstheme="majorBidi"/>
        </w:rPr>
        <w:instrText xml:space="preserve"> \* MERGEFORMAT </w:instrText>
      </w:r>
      <w:r w:rsidRPr="00267AB1">
        <w:rPr>
          <w:rFonts w:asciiTheme="majorBidi" w:hAnsiTheme="majorBidi" w:cstheme="majorBidi"/>
        </w:rPr>
      </w:r>
      <w:r w:rsidRPr="00267AB1">
        <w:rPr>
          <w:rFonts w:asciiTheme="majorBidi" w:hAnsiTheme="majorBidi" w:cstheme="majorBidi"/>
        </w:rPr>
        <w:fldChar w:fldCharType="separate"/>
      </w:r>
      <w:r w:rsidR="00A73EB9">
        <w:rPr>
          <w:rFonts w:asciiTheme="majorBidi" w:hAnsiTheme="majorBidi" w:cstheme="majorBidi"/>
        </w:rPr>
        <w:t>550</w:t>
      </w:r>
      <w:r w:rsidRPr="00267AB1">
        <w:rPr>
          <w:rFonts w:asciiTheme="majorBidi" w:hAnsiTheme="majorBidi" w:cstheme="majorBidi"/>
        </w:rPr>
        <w:fldChar w:fldCharType="end"/>
      </w:r>
      <w:r w:rsidRPr="008012F8">
        <w:rPr>
          <w:rFonts w:ascii="宋体" w:hAnsi="宋体" w:cs="宋体" w:hint="eastAsia"/>
        </w:rPr>
        <w:t>。</w:t>
      </w:r>
    </w:p>
  </w:footnote>
  <w:footnote w:id="599">
    <w:p w:rsidR="00AB00DE" w:rsidRPr="008012F8" w:rsidRDefault="00AB00DE" w:rsidP="008D7906">
      <w:pPr>
        <w:pStyle w:val="a4"/>
      </w:pPr>
      <w:r w:rsidRPr="008012F8">
        <w:tab/>
      </w:r>
      <w:r w:rsidRPr="00DF5565">
        <w:rPr>
          <w:rStyle w:val="a5"/>
        </w:rPr>
        <w:footnoteRef/>
      </w:r>
      <w:r w:rsidRPr="008012F8">
        <w:tab/>
        <w:t xml:space="preserve">C. Shields Delessert, </w:t>
      </w:r>
      <w:r w:rsidRPr="008012F8">
        <w:rPr>
          <w:rFonts w:ascii="宋体" w:hAnsi="宋体" w:cs="宋体" w:hint="eastAsia"/>
        </w:rPr>
        <w:t>《敌对活动结束后释放与遣返战俘》</w:t>
      </w:r>
      <w:r w:rsidRPr="008012F8">
        <w:t>(</w:t>
      </w:r>
      <w:r w:rsidRPr="008012F8">
        <w:t>苏黎世，</w:t>
      </w:r>
      <w:r w:rsidRPr="008012F8">
        <w:t>Schulthess, 1977</w:t>
      </w:r>
      <w:r w:rsidRPr="008012F8">
        <w:rPr>
          <w:rFonts w:ascii="宋体" w:hAnsi="宋体" w:cs="宋体" w:hint="eastAsia"/>
        </w:rPr>
        <w:t>年</w:t>
      </w:r>
      <w:r w:rsidRPr="008012F8">
        <w:t>)</w:t>
      </w:r>
      <w:r w:rsidRPr="008012F8">
        <w:rPr>
          <w:rFonts w:ascii="宋体" w:hAnsi="宋体" w:cs="宋体" w:hint="eastAsia"/>
        </w:rPr>
        <w:t>，第</w:t>
      </w:r>
      <w:r w:rsidRPr="008012F8">
        <w:t>145-156</w:t>
      </w:r>
      <w:r w:rsidRPr="008012F8">
        <w:rPr>
          <w:rFonts w:ascii="宋体" w:hAnsi="宋体" w:cs="宋体" w:hint="eastAsia"/>
        </w:rPr>
        <w:t>页和第</w:t>
      </w:r>
      <w:r w:rsidRPr="008012F8">
        <w:t>171-175</w:t>
      </w:r>
      <w:r w:rsidRPr="008012F8">
        <w:rPr>
          <w:rFonts w:ascii="宋体" w:hAnsi="宋体" w:cs="宋体" w:hint="eastAsia"/>
        </w:rPr>
        <w:t>页；关于一般遣返义务，见</w:t>
      </w:r>
      <w:r w:rsidRPr="008012F8">
        <w:t>S. Krähenmann,</w:t>
      </w:r>
      <w:r w:rsidRPr="008012F8">
        <w:rPr>
          <w:rFonts w:hint="eastAsia"/>
        </w:rPr>
        <w:t>“</w:t>
      </w:r>
      <w:r w:rsidRPr="008012F8">
        <w:rPr>
          <w:rFonts w:ascii="宋体" w:hAnsi="宋体" w:cs="宋体" w:hint="eastAsia"/>
        </w:rPr>
        <w:t>武装冲突中保护战俘</w:t>
      </w:r>
      <w:r w:rsidRPr="008012F8">
        <w:rPr>
          <w:rFonts w:hint="eastAsia"/>
        </w:rPr>
        <w:t>”</w:t>
      </w:r>
      <w:r w:rsidRPr="008012F8">
        <w:rPr>
          <w:rFonts w:ascii="宋体" w:hAnsi="宋体" w:cs="宋体" w:hint="eastAsia"/>
        </w:rPr>
        <w:t>，载于《国际人道主义法手册》，第</w:t>
      </w:r>
      <w:r w:rsidRPr="008012F8">
        <w:t>3</w:t>
      </w:r>
      <w:r w:rsidRPr="008012F8">
        <w:rPr>
          <w:rFonts w:ascii="宋体" w:hAnsi="宋体" w:cs="宋体" w:hint="eastAsia"/>
        </w:rPr>
        <w:t>版，</w:t>
      </w:r>
      <w:r w:rsidRPr="008012F8">
        <w:t>D. Fleck</w:t>
      </w:r>
      <w:r w:rsidRPr="008012F8">
        <w:rPr>
          <w:rFonts w:ascii="宋体" w:hAnsi="宋体" w:cs="宋体" w:hint="eastAsia"/>
        </w:rPr>
        <w:t>编</w:t>
      </w:r>
      <w:r w:rsidRPr="008012F8">
        <w:t>(</w:t>
      </w:r>
      <w:r w:rsidRPr="008012F8">
        <w:rPr>
          <w:rFonts w:ascii="宋体" w:hAnsi="宋体" w:cs="宋体" w:hint="eastAsia"/>
        </w:rPr>
        <w:t>牛津，牛津大学出版社，</w:t>
      </w:r>
      <w:r w:rsidRPr="008012F8">
        <w:t>2013</w:t>
      </w:r>
      <w:r w:rsidRPr="008012F8">
        <w:rPr>
          <w:rFonts w:ascii="宋体" w:hAnsi="宋体" w:cs="宋体" w:hint="eastAsia"/>
        </w:rPr>
        <w:t>年</w:t>
      </w:r>
      <w:r w:rsidRPr="008012F8">
        <w:t>)</w:t>
      </w:r>
      <w:r w:rsidRPr="008012F8">
        <w:rPr>
          <w:rFonts w:ascii="宋体" w:hAnsi="宋体" w:cs="宋体" w:hint="eastAsia"/>
        </w:rPr>
        <w:t>，第</w:t>
      </w:r>
      <w:r w:rsidRPr="008012F8">
        <w:t>409-410</w:t>
      </w:r>
      <w:r w:rsidRPr="008012F8">
        <w:rPr>
          <w:rFonts w:ascii="宋体" w:hAnsi="宋体" w:cs="宋体" w:hint="eastAsia"/>
        </w:rPr>
        <w:t>页。</w:t>
      </w:r>
    </w:p>
  </w:footnote>
  <w:footnote w:id="600">
    <w:p w:rsidR="00AB00DE" w:rsidRPr="008012F8" w:rsidRDefault="00AB00DE" w:rsidP="00267AB1">
      <w:pPr>
        <w:pStyle w:val="a4"/>
      </w:pPr>
      <w:r w:rsidRPr="008012F8">
        <w:tab/>
      </w:r>
      <w:r w:rsidRPr="00DF5565">
        <w:rPr>
          <w:rStyle w:val="a5"/>
        </w:rPr>
        <w:footnoteRef/>
      </w:r>
      <w:r w:rsidRPr="008012F8">
        <w:tab/>
      </w:r>
      <w:r w:rsidRPr="008012F8">
        <w:rPr>
          <w:rFonts w:ascii="宋体" w:hAnsi="宋体" w:cs="宋体" w:hint="eastAsia"/>
        </w:rPr>
        <w:t>因此，</w:t>
      </w:r>
      <w:r w:rsidRPr="008012F8">
        <w:t>红十字委员会</w:t>
      </w:r>
      <w:r w:rsidRPr="008012F8">
        <w:rPr>
          <w:rFonts w:ascii="宋体" w:hAnsi="宋体" w:cs="宋体" w:hint="eastAsia"/>
        </w:rPr>
        <w:t>通过自己的介入，力求调和快速遣返与尊重战俘意愿这两种利益</w:t>
      </w:r>
      <w:r w:rsidRPr="008012F8">
        <w:t>(</w:t>
      </w:r>
      <w:r w:rsidRPr="008012F8">
        <w:rPr>
          <w:rFonts w:ascii="宋体" w:hAnsi="宋体" w:cs="宋体" w:hint="eastAsia"/>
        </w:rPr>
        <w:t>见</w:t>
      </w:r>
      <w:r w:rsidRPr="008012F8">
        <w:t>Krähenmann,</w:t>
      </w:r>
      <w:r w:rsidRPr="008012F8">
        <w:rPr>
          <w:rFonts w:hint="eastAsia"/>
        </w:rPr>
        <w:t>“</w:t>
      </w:r>
      <w:r w:rsidRPr="008012F8">
        <w:rPr>
          <w:rFonts w:ascii="宋体" w:hAnsi="宋体" w:cs="宋体" w:hint="eastAsia"/>
        </w:rPr>
        <w:t>武装冲突中保护战俘</w:t>
      </w:r>
      <w:r w:rsidRPr="008012F8">
        <w:rPr>
          <w:rFonts w:hint="eastAsia"/>
        </w:rPr>
        <w:t>”</w:t>
      </w:r>
      <w:r w:rsidRPr="008012F8">
        <w:t>(</w:t>
      </w:r>
      <w:r w:rsidRPr="008012F8">
        <w:rPr>
          <w:rFonts w:ascii="宋体" w:hAnsi="宋体" w:cs="宋体" w:hint="eastAsia"/>
        </w:rPr>
        <w:t>上文脚注</w:t>
      </w:r>
      <w:r w:rsidRPr="00267AB1">
        <w:rPr>
          <w:rFonts w:asciiTheme="majorBidi" w:hAnsiTheme="majorBidi" w:cstheme="majorBidi"/>
        </w:rPr>
        <w:fldChar w:fldCharType="begin"/>
      </w:r>
      <w:r w:rsidRPr="00267AB1">
        <w:rPr>
          <w:rFonts w:asciiTheme="majorBidi" w:hAnsiTheme="majorBidi" w:cstheme="majorBidi"/>
        </w:rPr>
        <w:instrText xml:space="preserve"> NOTEREF _Ref461973357 \h </w:instrText>
      </w:r>
      <w:r>
        <w:rPr>
          <w:rFonts w:asciiTheme="majorBidi" w:hAnsiTheme="majorBidi" w:cstheme="majorBidi"/>
        </w:rPr>
        <w:instrText xml:space="preserve"> \* MERGEFORMAT </w:instrText>
      </w:r>
      <w:r w:rsidRPr="00267AB1">
        <w:rPr>
          <w:rFonts w:asciiTheme="majorBidi" w:hAnsiTheme="majorBidi" w:cstheme="majorBidi"/>
        </w:rPr>
      </w:r>
      <w:r w:rsidRPr="00267AB1">
        <w:rPr>
          <w:rFonts w:asciiTheme="majorBidi" w:hAnsiTheme="majorBidi" w:cstheme="majorBidi"/>
        </w:rPr>
        <w:fldChar w:fldCharType="separate"/>
      </w:r>
      <w:r w:rsidR="00A73EB9">
        <w:rPr>
          <w:rFonts w:asciiTheme="majorBidi" w:hAnsiTheme="majorBidi" w:cstheme="majorBidi"/>
        </w:rPr>
        <w:t>598</w:t>
      </w:r>
      <w:r w:rsidRPr="00267AB1">
        <w:rPr>
          <w:rFonts w:asciiTheme="majorBidi" w:hAnsiTheme="majorBidi" w:cstheme="majorBidi"/>
        </w:rPr>
        <w:fldChar w:fldCharType="end"/>
      </w:r>
      <w:r w:rsidRPr="008012F8">
        <w:t>)</w:t>
      </w:r>
      <w:r w:rsidRPr="008012F8">
        <w:rPr>
          <w:rFonts w:ascii="宋体" w:hAnsi="宋体" w:cs="宋体" w:hint="eastAsia"/>
        </w:rPr>
        <w:t>，第</w:t>
      </w:r>
      <w:r w:rsidRPr="008012F8">
        <w:t>409-410</w:t>
      </w:r>
      <w:r w:rsidRPr="008012F8">
        <w:rPr>
          <w:rFonts w:ascii="宋体" w:hAnsi="宋体" w:cs="宋体" w:hint="eastAsia"/>
        </w:rPr>
        <w:t>页</w:t>
      </w:r>
      <w:r w:rsidRPr="008012F8">
        <w:t>)</w:t>
      </w:r>
      <w:r w:rsidRPr="008012F8">
        <w:rPr>
          <w:rFonts w:ascii="宋体" w:hAnsi="宋体" w:cs="宋体" w:hint="eastAsia"/>
        </w:rPr>
        <w:t>。</w:t>
      </w:r>
    </w:p>
  </w:footnote>
  <w:footnote w:id="601">
    <w:p w:rsidR="00AB00DE" w:rsidRPr="008012F8" w:rsidRDefault="00AB00DE" w:rsidP="008D7906">
      <w:pPr>
        <w:pStyle w:val="a4"/>
      </w:pPr>
      <w:r w:rsidRPr="008012F8">
        <w:tab/>
      </w:r>
      <w:r w:rsidRPr="00DF5565">
        <w:rPr>
          <w:rStyle w:val="a5"/>
        </w:rPr>
        <w:footnoteRef/>
      </w:r>
      <w:r w:rsidRPr="008012F8">
        <w:tab/>
        <w:t>J.-M. Henckaerts</w:t>
      </w:r>
      <w:r w:rsidRPr="008012F8">
        <w:rPr>
          <w:rFonts w:ascii="宋体" w:hAnsi="宋体" w:cs="宋体" w:hint="eastAsia"/>
        </w:rPr>
        <w:t>和</w:t>
      </w:r>
      <w:r w:rsidRPr="008012F8">
        <w:t>L. Doswald-Beck</w:t>
      </w:r>
      <w:r w:rsidRPr="008012F8">
        <w:rPr>
          <w:rFonts w:ascii="宋体" w:hAnsi="宋体" w:cs="宋体" w:hint="eastAsia"/>
        </w:rPr>
        <w:t>编，《国际人道主义习惯法》，第</w:t>
      </w:r>
      <w:r w:rsidRPr="008012F8">
        <w:t>1</w:t>
      </w:r>
      <w:r w:rsidRPr="008012F8">
        <w:rPr>
          <w:rFonts w:ascii="宋体" w:hAnsi="宋体" w:cs="宋体" w:hint="eastAsia"/>
        </w:rPr>
        <w:t>卷</w:t>
      </w:r>
      <w:r w:rsidRPr="008012F8">
        <w:t>：</w:t>
      </w:r>
      <w:r w:rsidRPr="008012F8">
        <w:rPr>
          <w:rFonts w:ascii="宋体" w:hAnsi="宋体" w:cs="宋体" w:hint="eastAsia"/>
        </w:rPr>
        <w:t>《规则》</w:t>
      </w:r>
      <w:r w:rsidRPr="008012F8">
        <w:t>(</w:t>
      </w:r>
      <w:r w:rsidRPr="008012F8">
        <w:rPr>
          <w:rFonts w:ascii="宋体" w:hAnsi="宋体" w:cs="宋体" w:hint="eastAsia"/>
        </w:rPr>
        <w:t>剑桥，红十字国际委员会和剑桥大学出版社，</w:t>
      </w:r>
      <w:r w:rsidRPr="008012F8">
        <w:t>2005</w:t>
      </w:r>
      <w:r w:rsidRPr="008012F8">
        <w:rPr>
          <w:rFonts w:ascii="宋体" w:hAnsi="宋体" w:cs="宋体" w:hint="eastAsia"/>
        </w:rPr>
        <w:t>年</w:t>
      </w:r>
      <w:r w:rsidRPr="008012F8">
        <w:t>)</w:t>
      </w:r>
      <w:r w:rsidRPr="008012F8">
        <w:rPr>
          <w:rFonts w:ascii="宋体" w:hAnsi="宋体" w:cs="宋体" w:hint="eastAsia"/>
        </w:rPr>
        <w:t>，第</w:t>
      </w:r>
      <w:r w:rsidRPr="008012F8">
        <w:t>455</w:t>
      </w:r>
      <w:r w:rsidRPr="008012F8">
        <w:rPr>
          <w:rFonts w:ascii="宋体" w:hAnsi="宋体" w:cs="宋体" w:hint="eastAsia"/>
        </w:rPr>
        <w:t>页</w:t>
      </w:r>
      <w:r w:rsidRPr="008012F8">
        <w:t>(</w:t>
      </w:r>
      <w:r w:rsidRPr="008012F8">
        <w:rPr>
          <w:rFonts w:ascii="宋体" w:hAnsi="宋体" w:cs="宋体" w:hint="eastAsia"/>
        </w:rPr>
        <w:t>脚注略</w:t>
      </w:r>
      <w:r w:rsidRPr="008012F8">
        <w:t>)</w:t>
      </w:r>
      <w:r w:rsidRPr="008012F8">
        <w:rPr>
          <w:rFonts w:ascii="宋体" w:hAnsi="宋体" w:cs="宋体" w:hint="eastAsia"/>
        </w:rPr>
        <w:t>。</w:t>
      </w:r>
    </w:p>
  </w:footnote>
  <w:footnote w:id="602">
    <w:p w:rsidR="00AB00DE" w:rsidRPr="008012F8" w:rsidRDefault="00AB00DE" w:rsidP="008D7906">
      <w:pPr>
        <w:pStyle w:val="a4"/>
      </w:pPr>
      <w:r w:rsidRPr="008012F8">
        <w:tab/>
      </w:r>
      <w:r w:rsidRPr="00DF5565">
        <w:rPr>
          <w:rStyle w:val="a5"/>
        </w:rPr>
        <w:footnoteRef/>
      </w:r>
      <w:r w:rsidRPr="008012F8">
        <w:tab/>
        <w:t>J.-M. Henckaerts</w:t>
      </w:r>
      <w:r w:rsidRPr="008012F8">
        <w:rPr>
          <w:rFonts w:ascii="宋体" w:hAnsi="宋体" w:cs="宋体" w:hint="eastAsia"/>
        </w:rPr>
        <w:t>和</w:t>
      </w:r>
      <w:r w:rsidRPr="008012F8">
        <w:t>L. Doswald-Beck</w:t>
      </w:r>
      <w:r w:rsidRPr="008012F8">
        <w:rPr>
          <w:rFonts w:ascii="宋体" w:hAnsi="宋体" w:cs="宋体" w:hint="eastAsia"/>
        </w:rPr>
        <w:t>编，《国际人道主义习惯法》，第</w:t>
      </w:r>
      <w:r w:rsidRPr="008012F8">
        <w:t>2</w:t>
      </w:r>
      <w:r w:rsidRPr="008012F8">
        <w:rPr>
          <w:rFonts w:ascii="宋体" w:hAnsi="宋体" w:cs="宋体" w:hint="eastAsia"/>
        </w:rPr>
        <w:t>卷</w:t>
      </w:r>
      <w:r w:rsidRPr="008012F8">
        <w:t>：</w:t>
      </w:r>
      <w:r w:rsidRPr="008012F8">
        <w:rPr>
          <w:rFonts w:ascii="宋体" w:hAnsi="宋体" w:cs="宋体" w:hint="eastAsia"/>
        </w:rPr>
        <w:t>《惯例》</w:t>
      </w:r>
      <w:r w:rsidRPr="008012F8">
        <w:t>(</w:t>
      </w:r>
      <w:r w:rsidRPr="008012F8">
        <w:rPr>
          <w:rFonts w:ascii="宋体" w:hAnsi="宋体" w:cs="宋体" w:hint="eastAsia"/>
        </w:rPr>
        <w:t>剑桥，红十字国际委员会</w:t>
      </w:r>
      <w:r w:rsidRPr="008012F8">
        <w:t>和</w:t>
      </w:r>
      <w:r w:rsidRPr="008012F8">
        <w:rPr>
          <w:rFonts w:ascii="宋体" w:hAnsi="宋体" w:cs="宋体" w:hint="eastAsia"/>
        </w:rPr>
        <w:t>剑桥大学出版社，</w:t>
      </w:r>
      <w:r w:rsidRPr="008012F8">
        <w:t>2005</w:t>
      </w:r>
      <w:r w:rsidRPr="008012F8">
        <w:rPr>
          <w:rFonts w:ascii="宋体" w:hAnsi="宋体" w:cs="宋体" w:hint="eastAsia"/>
        </w:rPr>
        <w:t>年</w:t>
      </w:r>
      <w:r w:rsidRPr="008012F8">
        <w:t>)</w:t>
      </w:r>
      <w:r w:rsidRPr="008012F8">
        <w:rPr>
          <w:rFonts w:ascii="宋体" w:hAnsi="宋体" w:cs="宋体" w:hint="eastAsia"/>
        </w:rPr>
        <w:t>，第</w:t>
      </w:r>
      <w:r w:rsidRPr="008012F8">
        <w:t>2893-2894</w:t>
      </w:r>
      <w:r w:rsidRPr="008012F8">
        <w:rPr>
          <w:rFonts w:ascii="宋体" w:hAnsi="宋体" w:cs="宋体" w:hint="eastAsia"/>
        </w:rPr>
        <w:t>页，第</w:t>
      </w:r>
      <w:r w:rsidRPr="008012F8">
        <w:t>844-855</w:t>
      </w:r>
      <w:r w:rsidRPr="008012F8">
        <w:rPr>
          <w:rFonts w:ascii="宋体" w:hAnsi="宋体" w:cs="宋体" w:hint="eastAsia"/>
        </w:rPr>
        <w:t>段，以及对澳大利亚、以色列、荷兰和西班牙的在线更新，可查阅</w:t>
      </w:r>
      <w:hyperlink r:id="rId69" w:history="1">
        <w:r w:rsidRPr="00246433">
          <w:rPr>
            <w:rStyle w:val="af"/>
          </w:rPr>
          <w:t>www.icrc.org/customary-ihl/eng/docs/v2_rul_</w:t>
        </w:r>
      </w:hyperlink>
      <w:r w:rsidRPr="00246433">
        <w:rPr>
          <w:rFonts w:hint="eastAsia"/>
        </w:rPr>
        <w:t xml:space="preserve"> </w:t>
      </w:r>
      <w:r w:rsidRPr="008012F8">
        <w:t>rule128_section d</w:t>
      </w:r>
      <w:r w:rsidRPr="008012F8">
        <w:rPr>
          <w:rFonts w:ascii="宋体" w:hAnsi="宋体" w:cs="宋体" w:hint="eastAsia"/>
        </w:rPr>
        <w:t>。</w:t>
      </w:r>
    </w:p>
  </w:footnote>
  <w:footnote w:id="603">
    <w:p w:rsidR="00AB00DE" w:rsidRPr="008012F8" w:rsidRDefault="00AB00DE" w:rsidP="008D7906">
      <w:pPr>
        <w:pStyle w:val="a4"/>
      </w:pPr>
      <w:r w:rsidRPr="008012F8">
        <w:tab/>
      </w:r>
      <w:r w:rsidRPr="00DF5565">
        <w:rPr>
          <w:rStyle w:val="a5"/>
        </w:rPr>
        <w:footnoteRef/>
      </w:r>
      <w:r w:rsidRPr="008012F8">
        <w:tab/>
      </w:r>
      <w:r w:rsidRPr="008012F8">
        <w:rPr>
          <w:rFonts w:ascii="宋体" w:hAnsi="宋体" w:cs="宋体" w:hint="eastAsia"/>
        </w:rPr>
        <w:t>大不列颠及北爱尔兰联合王国，国防部，《武装冲突法手册》</w:t>
      </w:r>
      <w:r w:rsidRPr="008012F8">
        <w:t>(</w:t>
      </w:r>
      <w:r w:rsidRPr="008012F8">
        <w:rPr>
          <w:rFonts w:ascii="宋体" w:hAnsi="宋体" w:cs="宋体" w:hint="eastAsia"/>
        </w:rPr>
        <w:t>牛津，牛津大学出版社，</w:t>
      </w:r>
      <w:r w:rsidRPr="008012F8">
        <w:t>2004</w:t>
      </w:r>
      <w:r w:rsidRPr="008012F8">
        <w:rPr>
          <w:rFonts w:ascii="宋体" w:hAnsi="宋体" w:cs="宋体" w:hint="eastAsia"/>
        </w:rPr>
        <w:t>年</w:t>
      </w:r>
      <w:r w:rsidRPr="008012F8">
        <w:t>)</w:t>
      </w:r>
      <w:r w:rsidRPr="008012F8">
        <w:rPr>
          <w:rFonts w:ascii="宋体" w:hAnsi="宋体" w:cs="宋体" w:hint="eastAsia"/>
        </w:rPr>
        <w:t>，第</w:t>
      </w:r>
      <w:r w:rsidRPr="008012F8">
        <w:t>205-206</w:t>
      </w:r>
      <w:r w:rsidRPr="008012F8">
        <w:rPr>
          <w:rFonts w:ascii="宋体" w:hAnsi="宋体" w:cs="宋体" w:hint="eastAsia"/>
        </w:rPr>
        <w:t>页，第</w:t>
      </w:r>
      <w:r w:rsidRPr="008012F8">
        <w:t>8.170</w:t>
      </w:r>
      <w:r w:rsidRPr="008012F8">
        <w:rPr>
          <w:rFonts w:ascii="宋体" w:hAnsi="宋体" w:cs="宋体" w:hint="eastAsia"/>
        </w:rPr>
        <w:t>段</w:t>
      </w:r>
      <w:r w:rsidRPr="008012F8">
        <w:t>(</w:t>
      </w:r>
      <w:r w:rsidRPr="008012F8">
        <w:rPr>
          <w:rFonts w:ascii="宋体" w:hAnsi="宋体" w:cs="宋体" w:hint="eastAsia"/>
        </w:rPr>
        <w:t>脚注略</w:t>
      </w:r>
      <w:r w:rsidRPr="008012F8">
        <w:t>)</w:t>
      </w:r>
      <w:r w:rsidRPr="008012F8">
        <w:rPr>
          <w:rFonts w:ascii="宋体" w:hAnsi="宋体" w:cs="宋体" w:hint="eastAsia"/>
        </w:rPr>
        <w:t>。</w:t>
      </w:r>
    </w:p>
  </w:footnote>
  <w:footnote w:id="604">
    <w:p w:rsidR="00AB00DE" w:rsidRPr="008012F8" w:rsidRDefault="00AB00DE" w:rsidP="00267AB1">
      <w:pPr>
        <w:pStyle w:val="a4"/>
      </w:pPr>
      <w:r w:rsidRPr="008012F8">
        <w:tab/>
      </w:r>
      <w:r w:rsidRPr="00DF5565">
        <w:rPr>
          <w:rStyle w:val="a5"/>
        </w:rPr>
        <w:footnoteRef/>
      </w:r>
      <w:r w:rsidRPr="008012F8">
        <w:tab/>
      </w:r>
      <w:r w:rsidRPr="008012F8">
        <w:rPr>
          <w:rFonts w:ascii="宋体" w:hAnsi="宋体" w:cs="宋体" w:hint="eastAsia"/>
        </w:rPr>
        <w:t>美国的手册只提到患病或受伤的战俘的意愿，见</w:t>
      </w:r>
      <w:r w:rsidRPr="008012F8">
        <w:t>Henckaerts</w:t>
      </w:r>
      <w:r w:rsidRPr="008012F8">
        <w:rPr>
          <w:rFonts w:ascii="宋体" w:hAnsi="宋体" w:cs="宋体" w:hint="eastAsia"/>
        </w:rPr>
        <w:t>和</w:t>
      </w:r>
      <w:r w:rsidRPr="008012F8">
        <w:t xml:space="preserve">Doswald-Beck, </w:t>
      </w:r>
      <w:r w:rsidRPr="008012F8">
        <w:rPr>
          <w:rFonts w:ascii="宋体" w:hAnsi="宋体" w:cs="宋体" w:hint="eastAsia"/>
        </w:rPr>
        <w:t>《国际人道主义习惯法》，第</w:t>
      </w:r>
      <w:r w:rsidRPr="008012F8">
        <w:t>2</w:t>
      </w:r>
      <w:r w:rsidRPr="008012F8">
        <w:rPr>
          <w:rFonts w:ascii="宋体" w:hAnsi="宋体" w:cs="宋体" w:hint="eastAsia"/>
        </w:rPr>
        <w:t>卷</w:t>
      </w:r>
      <w:r w:rsidRPr="008012F8">
        <w:t>：</w:t>
      </w:r>
      <w:r w:rsidRPr="008012F8">
        <w:rPr>
          <w:rFonts w:ascii="宋体" w:hAnsi="宋体" w:cs="宋体" w:hint="eastAsia"/>
        </w:rPr>
        <w:t>《惯例》</w:t>
      </w:r>
      <w:r w:rsidRPr="008012F8">
        <w:t>(</w:t>
      </w:r>
      <w:r w:rsidRPr="008012F8">
        <w:rPr>
          <w:rFonts w:ascii="宋体" w:hAnsi="宋体" w:cs="宋体" w:hint="eastAsia"/>
        </w:rPr>
        <w:t>上文脚注</w:t>
      </w:r>
      <w:r w:rsidRPr="00267AB1">
        <w:rPr>
          <w:rFonts w:asciiTheme="majorBidi" w:hAnsiTheme="majorBidi" w:cstheme="majorBidi"/>
        </w:rPr>
        <w:fldChar w:fldCharType="begin"/>
      </w:r>
      <w:r w:rsidRPr="00267AB1">
        <w:rPr>
          <w:rFonts w:asciiTheme="majorBidi" w:hAnsiTheme="majorBidi" w:cstheme="majorBidi"/>
        </w:rPr>
        <w:instrText xml:space="preserve"> NOTEREF _Ref461973404 \h </w:instrText>
      </w:r>
      <w:r>
        <w:rPr>
          <w:rFonts w:asciiTheme="majorBidi" w:hAnsiTheme="majorBidi" w:cstheme="majorBidi"/>
        </w:rPr>
        <w:instrText xml:space="preserve"> \* MERGEFORMAT </w:instrText>
      </w:r>
      <w:r w:rsidRPr="00267AB1">
        <w:rPr>
          <w:rFonts w:asciiTheme="majorBidi" w:hAnsiTheme="majorBidi" w:cstheme="majorBidi"/>
        </w:rPr>
      </w:r>
      <w:r w:rsidRPr="00267AB1">
        <w:rPr>
          <w:rFonts w:asciiTheme="majorBidi" w:hAnsiTheme="majorBidi" w:cstheme="majorBidi"/>
        </w:rPr>
        <w:fldChar w:fldCharType="separate"/>
      </w:r>
      <w:r w:rsidR="00A73EB9">
        <w:rPr>
          <w:rFonts w:asciiTheme="majorBidi" w:hAnsiTheme="majorBidi" w:cstheme="majorBidi"/>
        </w:rPr>
        <w:t>601</w:t>
      </w:r>
      <w:r w:rsidRPr="00267AB1">
        <w:rPr>
          <w:rFonts w:asciiTheme="majorBidi" w:hAnsiTheme="majorBidi" w:cstheme="majorBidi"/>
        </w:rPr>
        <w:fldChar w:fldCharType="end"/>
      </w:r>
      <w:r w:rsidRPr="008012F8">
        <w:t>)</w:t>
      </w:r>
      <w:r w:rsidRPr="008012F8">
        <w:rPr>
          <w:rFonts w:ascii="宋体" w:hAnsi="宋体" w:cs="宋体" w:hint="eastAsia"/>
        </w:rPr>
        <w:t>，第</w:t>
      </w:r>
      <w:r w:rsidRPr="008012F8">
        <w:t>2893-2894</w:t>
      </w:r>
      <w:r w:rsidRPr="008012F8">
        <w:rPr>
          <w:rFonts w:ascii="宋体" w:hAnsi="宋体" w:cs="宋体" w:hint="eastAsia"/>
        </w:rPr>
        <w:t>页，第</w:t>
      </w:r>
      <w:r w:rsidRPr="008012F8">
        <w:t>844-855</w:t>
      </w:r>
      <w:r w:rsidRPr="008012F8">
        <w:rPr>
          <w:rFonts w:ascii="宋体" w:hAnsi="宋体" w:cs="宋体" w:hint="eastAsia"/>
        </w:rPr>
        <w:t>段；但美国在第二次海湾战争之后的惯例是由</w:t>
      </w:r>
      <w:r w:rsidRPr="008012F8">
        <w:t>红十字委员会</w:t>
      </w:r>
      <w:r w:rsidRPr="008012F8">
        <w:rPr>
          <w:rFonts w:ascii="宋体" w:hAnsi="宋体" w:cs="宋体" w:hint="eastAsia"/>
        </w:rPr>
        <w:t>来确定战俘的意愿并采取相应行动</w:t>
      </w:r>
      <w:r w:rsidRPr="008012F8">
        <w:t>(</w:t>
      </w:r>
      <w:r w:rsidRPr="008012F8">
        <w:rPr>
          <w:rFonts w:ascii="宋体" w:hAnsi="宋体" w:cs="宋体" w:hint="eastAsia"/>
        </w:rPr>
        <w:t>美利坚合众国，国防部，《波斯湾战争行为：提交国会的最终报告》</w:t>
      </w:r>
      <w:r w:rsidRPr="008012F8">
        <w:t>(</w:t>
      </w:r>
      <w:r w:rsidRPr="008012F8">
        <w:rPr>
          <w:rFonts w:ascii="宋体" w:hAnsi="宋体" w:cs="宋体" w:hint="eastAsia"/>
        </w:rPr>
        <w:t>美国政府印刷局，</w:t>
      </w:r>
      <w:r w:rsidRPr="008012F8">
        <w:t>1992</w:t>
      </w:r>
      <w:r w:rsidRPr="008012F8">
        <w:rPr>
          <w:rFonts w:ascii="宋体" w:hAnsi="宋体" w:cs="宋体" w:hint="eastAsia"/>
        </w:rPr>
        <w:t>年</w:t>
      </w:r>
      <w:r w:rsidRPr="008012F8">
        <w:t>)</w:t>
      </w:r>
      <w:r w:rsidRPr="008012F8">
        <w:rPr>
          <w:rFonts w:ascii="宋体" w:hAnsi="宋体" w:cs="宋体" w:hint="eastAsia"/>
        </w:rPr>
        <w:t>，第</w:t>
      </w:r>
      <w:r w:rsidRPr="008012F8">
        <w:t>707-708</w:t>
      </w:r>
      <w:r w:rsidRPr="008012F8">
        <w:rPr>
          <w:rFonts w:ascii="宋体" w:hAnsi="宋体" w:cs="宋体" w:hint="eastAsia"/>
        </w:rPr>
        <w:t>页，可查阅</w:t>
      </w:r>
      <w:r w:rsidRPr="008012F8">
        <w:t>www.globalsecurity.org/military/library/report/1992/cpgw.pdf)</w:t>
      </w:r>
      <w:r w:rsidRPr="008012F8">
        <w:rPr>
          <w:rFonts w:ascii="宋体" w:hAnsi="宋体" w:cs="宋体" w:hint="eastAsia"/>
        </w:rPr>
        <w:t>。</w:t>
      </w:r>
    </w:p>
  </w:footnote>
  <w:footnote w:id="605">
    <w:p w:rsidR="00AB00DE" w:rsidRPr="008012F8" w:rsidRDefault="00AB00DE" w:rsidP="00267AB1">
      <w:pPr>
        <w:pStyle w:val="a4"/>
      </w:pPr>
      <w:r w:rsidRPr="008012F8">
        <w:tab/>
      </w:r>
      <w:r w:rsidRPr="00DF5565">
        <w:rPr>
          <w:rStyle w:val="a5"/>
        </w:rPr>
        <w:footnoteRef/>
      </w:r>
      <w:r w:rsidRPr="008012F8">
        <w:tab/>
      </w:r>
      <w:hyperlink r:id="rId70" w:history="1">
        <w:r w:rsidRPr="00246433">
          <w:rPr>
            <w:rStyle w:val="af"/>
            <w:rFonts w:hint="eastAsia"/>
          </w:rPr>
          <w:t>A/CN.4/671</w:t>
        </w:r>
      </w:hyperlink>
      <w:r w:rsidRPr="00246433">
        <w:rPr>
          <w:rFonts w:eastAsia="黑体" w:hint="eastAsia"/>
        </w:rPr>
        <w:t xml:space="preserve">, </w:t>
      </w:r>
      <w:r w:rsidRPr="000D50E8">
        <w:rPr>
          <w:rFonts w:hint="eastAsia"/>
        </w:rPr>
        <w:t>第</w:t>
      </w:r>
      <w:r w:rsidRPr="00246433">
        <w:rPr>
          <w:rFonts w:eastAsia="黑体" w:hint="eastAsia"/>
        </w:rPr>
        <w:t>11-18</w:t>
      </w:r>
      <w:r w:rsidRPr="000D50E8">
        <w:rPr>
          <w:rFonts w:ascii="宋体" w:hAnsi="宋体" w:cs="宋体" w:hint="eastAsia"/>
        </w:rPr>
        <w:t>段</w:t>
      </w:r>
      <w:r w:rsidRPr="00246433">
        <w:rPr>
          <w:rFonts w:ascii="宋体" w:eastAsia="黑体" w:hAnsi="宋体" w:cs="宋体" w:hint="eastAsia"/>
        </w:rPr>
        <w:t>。</w:t>
      </w:r>
      <w:r w:rsidRPr="000D50E8">
        <w:rPr>
          <w:rFonts w:ascii="宋体" w:hAnsi="宋体" w:cs="宋体" w:hint="eastAsia"/>
        </w:rPr>
        <w:t>另见</w:t>
      </w:r>
      <w:r w:rsidRPr="00246433">
        <w:rPr>
          <w:rFonts w:eastAsia="黑体" w:hint="eastAsia"/>
        </w:rPr>
        <w:t>L. Crema,</w:t>
      </w:r>
      <w:r w:rsidRPr="00246433">
        <w:rPr>
          <w:rFonts w:eastAsia="黑体" w:hint="eastAsia"/>
        </w:rPr>
        <w:t>“</w:t>
      </w:r>
      <w:r w:rsidRPr="00246433">
        <w:rPr>
          <w:rFonts w:ascii="宋体" w:eastAsia="黑体" w:hAnsi="宋体" w:cs="宋体" w:hint="eastAsia"/>
        </w:rPr>
        <w:t>《</w:t>
      </w:r>
      <w:r w:rsidRPr="000D50E8">
        <w:rPr>
          <w:rFonts w:ascii="宋体" w:hAnsi="宋体" w:cs="宋体" w:hint="eastAsia"/>
        </w:rPr>
        <w:t>维也纳公约</w:t>
      </w:r>
      <w:r w:rsidRPr="00246433">
        <w:rPr>
          <w:rFonts w:ascii="宋体" w:eastAsia="黑体" w:hAnsi="宋体" w:cs="宋体" w:hint="eastAsia"/>
        </w:rPr>
        <w:t>》</w:t>
      </w:r>
      <w:r w:rsidRPr="000D50E8">
        <w:rPr>
          <w:rFonts w:ascii="宋体" w:hAnsi="宋体" w:cs="宋体" w:hint="eastAsia"/>
        </w:rPr>
        <w:t>之内和之外的嗣后协定与嗣后惯例</w:t>
      </w:r>
      <w:r w:rsidRPr="00246433">
        <w:rPr>
          <w:rFonts w:eastAsia="黑体" w:hint="eastAsia"/>
        </w:rPr>
        <w:t>”</w:t>
      </w:r>
      <w:r w:rsidRPr="00246433">
        <w:rPr>
          <w:rFonts w:ascii="宋体" w:eastAsia="黑体" w:hAnsi="宋体" w:cs="宋体" w:hint="eastAsia"/>
        </w:rPr>
        <w:t>，</w:t>
      </w:r>
      <w:r w:rsidRPr="008012F8">
        <w:rPr>
          <w:rFonts w:ascii="宋体" w:hAnsi="宋体" w:cs="宋体" w:hint="eastAsia"/>
          <w:color w:val="000000"/>
        </w:rPr>
        <w:t>载于</w:t>
      </w:r>
      <w:r w:rsidRPr="008012F8">
        <w:rPr>
          <w:color w:val="000000"/>
        </w:rPr>
        <w:t>诺尔特</w:t>
      </w:r>
      <w:r w:rsidRPr="008012F8">
        <w:rPr>
          <w:color w:val="000000"/>
        </w:rPr>
        <w:t>,</w:t>
      </w:r>
      <w:r w:rsidRPr="008012F8">
        <w:rPr>
          <w:rFonts w:ascii="宋体" w:hAnsi="宋体" w:cs="宋体" w:hint="eastAsia"/>
          <w:color w:val="000000"/>
        </w:rPr>
        <w:t>《条约与嗣后惯例》</w:t>
      </w:r>
      <w:r w:rsidRPr="008012F8">
        <w:rPr>
          <w:color w:val="000000"/>
        </w:rPr>
        <w:t>(</w:t>
      </w:r>
      <w:r w:rsidRPr="008012F8">
        <w:rPr>
          <w:rFonts w:ascii="宋体" w:hAnsi="宋体" w:cs="宋体" w:hint="eastAsia"/>
          <w:color w:val="000000"/>
        </w:rPr>
        <w:t>见上文脚注</w:t>
      </w:r>
      <w:r>
        <w:rPr>
          <w:lang w:val="zh-CN"/>
        </w:rPr>
        <w:fldChar w:fldCharType="begin"/>
      </w:r>
      <w:r>
        <w:rPr>
          <w:lang w:val="zh-CN"/>
        </w:rPr>
        <w:instrText xml:space="preserve"> NOTEREF _Ref461973084 \h </w:instrText>
      </w:r>
      <w:r>
        <w:rPr>
          <w:lang w:val="zh-CN"/>
        </w:rPr>
      </w:r>
      <w:r>
        <w:rPr>
          <w:lang w:val="zh-CN"/>
        </w:rPr>
        <w:fldChar w:fldCharType="separate"/>
      </w:r>
      <w:r w:rsidR="00A73EB9">
        <w:rPr>
          <w:lang w:val="zh-CN"/>
        </w:rPr>
        <w:t>398</w:t>
      </w:r>
      <w:r>
        <w:rPr>
          <w:lang w:val="zh-CN"/>
        </w:rPr>
        <w:fldChar w:fldCharType="end"/>
      </w:r>
      <w:r w:rsidRPr="00EA258E">
        <w:rPr>
          <w:rFonts w:asciiTheme="majorBidi" w:hAnsiTheme="majorBidi" w:cstheme="majorBidi"/>
          <w:color w:val="000000"/>
        </w:rPr>
        <w:t>)</w:t>
      </w:r>
      <w:r w:rsidRPr="008012F8">
        <w:rPr>
          <w:rFonts w:ascii="宋体" w:hAnsi="宋体" w:cs="宋体" w:hint="eastAsia"/>
          <w:color w:val="000000"/>
        </w:rPr>
        <w:t>，第</w:t>
      </w:r>
      <w:r w:rsidRPr="008012F8">
        <w:rPr>
          <w:color w:val="000000"/>
        </w:rPr>
        <w:t>25-26</w:t>
      </w:r>
      <w:r w:rsidRPr="008012F8">
        <w:rPr>
          <w:rFonts w:ascii="宋体" w:hAnsi="宋体" w:cs="宋体" w:hint="eastAsia"/>
          <w:color w:val="000000"/>
        </w:rPr>
        <w:t>页。</w:t>
      </w:r>
    </w:p>
  </w:footnote>
  <w:footnote w:id="606">
    <w:p w:rsidR="00AB00DE" w:rsidRPr="008012F8" w:rsidRDefault="00AB00DE" w:rsidP="008D7906">
      <w:pPr>
        <w:pStyle w:val="a4"/>
      </w:pPr>
      <w:r w:rsidRPr="008012F8">
        <w:tab/>
      </w:r>
      <w:r w:rsidRPr="00DF5565">
        <w:rPr>
          <w:rStyle w:val="a5"/>
        </w:rPr>
        <w:footnoteRef/>
      </w:r>
      <w:r w:rsidRPr="008012F8">
        <w:tab/>
      </w:r>
      <w:r w:rsidRPr="00246433">
        <w:rPr>
          <w:rFonts w:ascii="宋体" w:hAnsi="宋体" w:cs="宋体" w:hint="eastAsia"/>
        </w:rPr>
        <w:t>见</w:t>
      </w:r>
      <w:hyperlink r:id="rId71" w:history="1">
        <w:r w:rsidRPr="00246433">
          <w:rPr>
            <w:rStyle w:val="af"/>
          </w:rPr>
          <w:t>A/CN.4/671</w:t>
        </w:r>
      </w:hyperlink>
      <w:r w:rsidRPr="00246433">
        <w:t xml:space="preserve">, </w:t>
      </w:r>
      <w:r w:rsidRPr="008012F8">
        <w:rPr>
          <w:rFonts w:ascii="宋体" w:hAnsi="宋体" w:cs="宋体" w:hint="eastAsia"/>
        </w:rPr>
        <w:t>第</w:t>
      </w:r>
      <w:r w:rsidRPr="008012F8">
        <w:t>33</w:t>
      </w:r>
      <w:r w:rsidRPr="008012F8">
        <w:rPr>
          <w:rFonts w:ascii="宋体" w:hAnsi="宋体" w:cs="宋体" w:hint="eastAsia"/>
        </w:rPr>
        <w:t>页，第</w:t>
      </w:r>
      <w:r w:rsidRPr="008012F8">
        <w:t>71</w:t>
      </w:r>
      <w:r w:rsidRPr="008012F8">
        <w:rPr>
          <w:rFonts w:ascii="宋体" w:hAnsi="宋体" w:cs="宋体" w:hint="eastAsia"/>
        </w:rPr>
        <w:t>段。</w:t>
      </w:r>
    </w:p>
  </w:footnote>
  <w:footnote w:id="607">
    <w:p w:rsidR="00AB00DE" w:rsidRPr="008012F8" w:rsidRDefault="00AB00DE" w:rsidP="00267AB1">
      <w:pPr>
        <w:pStyle w:val="a4"/>
      </w:pPr>
      <w:r w:rsidRPr="008012F8">
        <w:rPr>
          <w:rFonts w:hint="eastAsia"/>
        </w:rPr>
        <w:tab/>
      </w:r>
      <w:r w:rsidRPr="00DF5565">
        <w:rPr>
          <w:rStyle w:val="a5"/>
        </w:rPr>
        <w:footnoteRef/>
      </w:r>
      <w:r w:rsidRPr="008012F8">
        <w:tab/>
      </w:r>
      <w:r w:rsidRPr="008012F8">
        <w:rPr>
          <w:rFonts w:eastAsia="楷体"/>
        </w:rPr>
        <w:t>关于航行权和相关权利的争端案</w:t>
      </w:r>
      <w:r w:rsidRPr="008012F8">
        <w:t>(</w:t>
      </w:r>
      <w:r w:rsidRPr="008012F8">
        <w:rPr>
          <w:rFonts w:ascii="宋体" w:hAnsi="宋体" w:cs="宋体" w:hint="eastAsia"/>
        </w:rPr>
        <w:t>见上文</w:t>
      </w:r>
      <w:r w:rsidRPr="00246433">
        <w:rPr>
          <w:rFonts w:asciiTheme="majorBidi" w:hAnsiTheme="majorBidi" w:cstheme="majorBidi"/>
        </w:rPr>
        <w:t>脚注</w:t>
      </w:r>
      <w:r>
        <w:rPr>
          <w:lang w:val="zh-CN"/>
        </w:rPr>
        <w:fldChar w:fldCharType="begin"/>
      </w:r>
      <w:r>
        <w:rPr>
          <w:lang w:val="zh-CN"/>
        </w:rPr>
        <w:instrText xml:space="preserve"> NOTEREF _Ref461971066 \h </w:instrText>
      </w:r>
      <w:r>
        <w:rPr>
          <w:lang w:val="zh-CN"/>
        </w:rPr>
      </w:r>
      <w:r>
        <w:rPr>
          <w:lang w:val="zh-CN"/>
        </w:rPr>
        <w:fldChar w:fldCharType="separate"/>
      </w:r>
      <w:r w:rsidR="00A73EB9">
        <w:rPr>
          <w:lang w:val="zh-CN"/>
        </w:rPr>
        <w:t>395</w:t>
      </w:r>
      <w:r>
        <w:rPr>
          <w:lang w:val="zh-CN"/>
        </w:rPr>
        <w:fldChar w:fldCharType="end"/>
      </w:r>
      <w:r w:rsidRPr="00246433">
        <w:rPr>
          <w:rFonts w:asciiTheme="majorBidi" w:hAnsiTheme="majorBidi" w:cstheme="majorBidi"/>
        </w:rPr>
        <w:t>)</w:t>
      </w:r>
      <w:r w:rsidRPr="008012F8">
        <w:rPr>
          <w:rFonts w:ascii="宋体" w:hAnsi="宋体" w:cs="宋体" w:hint="eastAsia"/>
        </w:rPr>
        <w:t>，第</w:t>
      </w:r>
      <w:r>
        <w:t>2</w:t>
      </w:r>
      <w:r w:rsidRPr="008012F8">
        <w:t>3</w:t>
      </w:r>
      <w:r>
        <w:rPr>
          <w:rFonts w:hint="eastAsia"/>
        </w:rPr>
        <w:t>4</w:t>
      </w:r>
      <w:r w:rsidRPr="008012F8">
        <w:t>-235</w:t>
      </w:r>
      <w:r w:rsidRPr="008012F8">
        <w:rPr>
          <w:rFonts w:ascii="宋体" w:hAnsi="宋体" w:cs="宋体" w:hint="eastAsia"/>
        </w:rPr>
        <w:t>页，第</w:t>
      </w:r>
      <w:r w:rsidRPr="008012F8">
        <w:t>40</w:t>
      </w:r>
      <w:r w:rsidRPr="008012F8">
        <w:rPr>
          <w:rFonts w:ascii="宋体" w:hAnsi="宋体" w:cs="宋体" w:hint="eastAsia"/>
        </w:rPr>
        <w:t>段；</w:t>
      </w:r>
      <w:r w:rsidRPr="008012F8">
        <w:rPr>
          <w:rFonts w:eastAsia="楷体"/>
        </w:rPr>
        <w:t>乌拉圭河纸浆厂案</w:t>
      </w:r>
      <w:r w:rsidRPr="008012F8">
        <w:t>(</w:t>
      </w:r>
      <w:r w:rsidRPr="008012F8">
        <w:rPr>
          <w:rFonts w:ascii="宋体" w:hAnsi="宋体" w:cs="宋体" w:hint="eastAsia"/>
        </w:rPr>
        <w:t>见上文脚注</w:t>
      </w:r>
      <w:r>
        <w:rPr>
          <w:rFonts w:asciiTheme="majorBidi" w:hAnsiTheme="majorBidi" w:cstheme="majorBidi"/>
        </w:rPr>
        <w:fldChar w:fldCharType="begin"/>
      </w:r>
      <w:r>
        <w:rPr>
          <w:rFonts w:asciiTheme="majorBidi" w:hAnsiTheme="majorBidi" w:cstheme="majorBidi"/>
        </w:rPr>
        <w:instrText xml:space="preserve"> NOTEREF _Ref461971066 \h </w:instrText>
      </w:r>
      <w:r>
        <w:rPr>
          <w:rFonts w:asciiTheme="majorBidi" w:hAnsiTheme="majorBidi" w:cstheme="majorBidi"/>
        </w:rPr>
      </w:r>
      <w:r>
        <w:rPr>
          <w:rFonts w:asciiTheme="majorBidi" w:hAnsiTheme="majorBidi" w:cstheme="majorBidi"/>
        </w:rPr>
        <w:fldChar w:fldCharType="separate"/>
      </w:r>
      <w:r w:rsidR="00A73EB9">
        <w:rPr>
          <w:rFonts w:asciiTheme="majorBidi" w:hAnsiTheme="majorBidi" w:cstheme="majorBidi"/>
        </w:rPr>
        <w:t>395</w:t>
      </w:r>
      <w:r>
        <w:rPr>
          <w:rFonts w:asciiTheme="majorBidi" w:hAnsiTheme="majorBidi" w:cstheme="majorBidi"/>
        </w:rPr>
        <w:fldChar w:fldCharType="end"/>
      </w:r>
      <w:r w:rsidRPr="008012F8">
        <w:rPr>
          <w:rFonts w:ascii="宋体" w:hAnsi="宋体" w:cs="宋体" w:hint="eastAsia"/>
        </w:rPr>
        <w:t>)</w:t>
      </w:r>
      <w:r w:rsidRPr="008012F8">
        <w:t>，</w:t>
      </w:r>
      <w:r w:rsidRPr="008012F8">
        <w:rPr>
          <w:rFonts w:ascii="宋体" w:hAnsi="宋体" w:cs="宋体" w:hint="eastAsia"/>
        </w:rPr>
        <w:t>第</w:t>
      </w:r>
      <w:r w:rsidRPr="008012F8">
        <w:t>14</w:t>
      </w:r>
      <w:r w:rsidRPr="008012F8">
        <w:rPr>
          <w:rFonts w:ascii="宋体" w:hAnsi="宋体" w:cs="宋体" w:hint="eastAsia"/>
        </w:rPr>
        <w:t>页起，见第</w:t>
      </w:r>
      <w:r w:rsidRPr="008012F8">
        <w:t>65-66</w:t>
      </w:r>
      <w:r w:rsidRPr="008012F8">
        <w:rPr>
          <w:rFonts w:ascii="宋体" w:hAnsi="宋体" w:cs="宋体" w:hint="eastAsia"/>
        </w:rPr>
        <w:t>页，第</w:t>
      </w:r>
      <w:r w:rsidRPr="008012F8">
        <w:t>138-140</w:t>
      </w:r>
      <w:r w:rsidRPr="008012F8">
        <w:rPr>
          <w:rFonts w:ascii="宋体" w:hAnsi="宋体" w:cs="宋体" w:hint="eastAsia"/>
        </w:rPr>
        <w:t>段；</w:t>
      </w:r>
      <w:r w:rsidRPr="008012F8">
        <w:t>J. Crawford,</w:t>
      </w:r>
      <w:r w:rsidRPr="008012F8">
        <w:rPr>
          <w:rFonts w:hint="eastAsia"/>
        </w:rPr>
        <w:t>“</w:t>
      </w:r>
      <w:r w:rsidRPr="008012F8">
        <w:rPr>
          <w:rFonts w:ascii="宋体" w:hAnsi="宋体" w:cs="宋体" w:hint="eastAsia"/>
        </w:rPr>
        <w:t>对《维也纳条约法公约》第三十一条第三款的合意主义解释</w:t>
      </w:r>
      <w:r w:rsidRPr="008012F8">
        <w:rPr>
          <w:rFonts w:hint="eastAsia"/>
        </w:rPr>
        <w:t>”</w:t>
      </w:r>
      <w:r w:rsidRPr="008012F8">
        <w:rPr>
          <w:rFonts w:ascii="宋体" w:hAnsi="宋体" w:cs="宋体" w:hint="eastAsia"/>
        </w:rPr>
        <w:t>，载于</w:t>
      </w:r>
      <w:r w:rsidRPr="008012F8">
        <w:rPr>
          <w:color w:val="000000"/>
        </w:rPr>
        <w:t>诺尔特</w:t>
      </w:r>
      <w:r w:rsidRPr="008012F8">
        <w:rPr>
          <w:color w:val="000000"/>
        </w:rPr>
        <w:t>,</w:t>
      </w:r>
      <w:r w:rsidRPr="008012F8">
        <w:rPr>
          <w:rFonts w:ascii="宋体" w:hAnsi="宋体" w:cs="宋体" w:hint="eastAsia"/>
          <w:color w:val="000000"/>
        </w:rPr>
        <w:t>《</w:t>
      </w:r>
      <w:r w:rsidRPr="008012F8">
        <w:rPr>
          <w:rFonts w:ascii="宋体" w:hAnsi="宋体" w:cs="宋体" w:hint="eastAsia"/>
        </w:rPr>
        <w:t>条约与嗣后惯例》</w:t>
      </w:r>
      <w:r w:rsidRPr="008012F8">
        <w:t>(</w:t>
      </w:r>
      <w:r w:rsidRPr="008012F8">
        <w:rPr>
          <w:rFonts w:ascii="宋体" w:hAnsi="宋体" w:cs="宋体" w:hint="eastAsia"/>
        </w:rPr>
        <w:t>见上文脚注</w:t>
      </w:r>
      <w:r>
        <w:rPr>
          <w:lang w:val="zh-CN"/>
        </w:rPr>
        <w:fldChar w:fldCharType="begin"/>
      </w:r>
      <w:r>
        <w:rPr>
          <w:lang w:val="zh-CN"/>
        </w:rPr>
        <w:instrText xml:space="preserve"> NOTEREF _Ref461973084 \h </w:instrText>
      </w:r>
      <w:r>
        <w:rPr>
          <w:lang w:val="zh-CN"/>
        </w:rPr>
      </w:r>
      <w:r>
        <w:rPr>
          <w:lang w:val="zh-CN"/>
        </w:rPr>
        <w:fldChar w:fldCharType="separate"/>
      </w:r>
      <w:r w:rsidR="00A73EB9">
        <w:rPr>
          <w:lang w:val="zh-CN"/>
        </w:rPr>
        <w:t>398</w:t>
      </w:r>
      <w:r>
        <w:rPr>
          <w:lang w:val="zh-CN"/>
        </w:rPr>
        <w:fldChar w:fldCharType="end"/>
      </w:r>
      <w:r w:rsidRPr="00A171D3">
        <w:rPr>
          <w:rFonts w:asciiTheme="majorBidi" w:hAnsiTheme="majorBidi" w:cstheme="majorBidi" w:hint="eastAsia"/>
        </w:rPr>
        <w:t>)</w:t>
      </w:r>
      <w:r w:rsidRPr="00A171D3">
        <w:rPr>
          <w:rFonts w:asciiTheme="majorBidi" w:hAnsiTheme="majorBidi" w:cstheme="majorBidi" w:hint="eastAsia"/>
        </w:rPr>
        <w:t>，第</w:t>
      </w:r>
      <w:r w:rsidRPr="00A171D3">
        <w:rPr>
          <w:rFonts w:asciiTheme="majorBidi" w:hAnsiTheme="majorBidi" w:cstheme="majorBidi"/>
        </w:rPr>
        <w:t>32</w:t>
      </w:r>
      <w:r w:rsidRPr="008012F8">
        <w:rPr>
          <w:rFonts w:ascii="宋体" w:hAnsi="宋体" w:cs="宋体" w:hint="eastAsia"/>
        </w:rPr>
        <w:t>页；另一案例</w:t>
      </w:r>
      <w:r w:rsidRPr="00246433">
        <w:rPr>
          <w:rFonts w:ascii="宋体" w:hAnsi="宋体" w:cs="宋体" w:hint="eastAsia"/>
        </w:rPr>
        <w:t>见</w:t>
      </w:r>
      <w:hyperlink r:id="rId72" w:history="1">
        <w:r w:rsidRPr="00246433">
          <w:rPr>
            <w:rStyle w:val="af"/>
          </w:rPr>
          <w:t>A/CN.4/671</w:t>
        </w:r>
      </w:hyperlink>
      <w:r w:rsidRPr="008012F8">
        <w:t xml:space="preserve">, </w:t>
      </w:r>
      <w:r w:rsidRPr="008012F8">
        <w:rPr>
          <w:rFonts w:ascii="宋体" w:hAnsi="宋体" w:cs="宋体" w:hint="eastAsia"/>
        </w:rPr>
        <w:t>第</w:t>
      </w:r>
      <w:r w:rsidRPr="008012F8">
        <w:t>72</w:t>
      </w:r>
      <w:r w:rsidRPr="008012F8">
        <w:rPr>
          <w:rFonts w:ascii="宋体" w:hAnsi="宋体" w:cs="宋体" w:hint="eastAsia"/>
        </w:rPr>
        <w:t>段；及</w:t>
      </w:r>
      <w:r w:rsidRPr="008012F8">
        <w:t>J. R. Crook,</w:t>
      </w:r>
      <w:r w:rsidRPr="008012F8">
        <w:rPr>
          <w:rFonts w:hint="eastAsia"/>
        </w:rPr>
        <w:t>“</w:t>
      </w:r>
      <w:r w:rsidRPr="008012F8">
        <w:rPr>
          <w:rFonts w:ascii="宋体" w:hAnsi="宋体" w:cs="宋体" w:hint="eastAsia"/>
        </w:rPr>
        <w:t>美国当代惯例</w:t>
      </w:r>
      <w:r w:rsidRPr="008012F8">
        <w:rPr>
          <w:rFonts w:hint="eastAsia"/>
        </w:rPr>
        <w:t>”</w:t>
      </w:r>
      <w:r w:rsidRPr="008012F8">
        <w:rPr>
          <w:rFonts w:ascii="宋体" w:hAnsi="宋体" w:cs="宋体" w:hint="eastAsia"/>
        </w:rPr>
        <w:t>，《美国国际法期刊》，第</w:t>
      </w:r>
      <w:r w:rsidRPr="008012F8">
        <w:t>105</w:t>
      </w:r>
      <w:r w:rsidRPr="008012F8">
        <w:rPr>
          <w:rFonts w:ascii="宋体" w:hAnsi="宋体" w:cs="宋体" w:hint="eastAsia"/>
        </w:rPr>
        <w:t>期</w:t>
      </w:r>
      <w:r w:rsidRPr="008012F8">
        <w:t>(2011</w:t>
      </w:r>
      <w:r w:rsidRPr="008012F8">
        <w:rPr>
          <w:rFonts w:ascii="宋体" w:hAnsi="宋体" w:cs="宋体" w:hint="eastAsia"/>
        </w:rPr>
        <w:t>年</w:t>
      </w:r>
      <w:r w:rsidRPr="008012F8">
        <w:t>)</w:t>
      </w:r>
      <w:r w:rsidRPr="008012F8">
        <w:rPr>
          <w:rFonts w:ascii="宋体" w:hAnsi="宋体" w:cs="宋体" w:hint="eastAsia"/>
        </w:rPr>
        <w:t>，第</w:t>
      </w:r>
      <w:r w:rsidRPr="008012F8">
        <w:t>775</w:t>
      </w:r>
      <w:r w:rsidRPr="008012F8">
        <w:t>页及以后各页，见第</w:t>
      </w:r>
      <w:r w:rsidRPr="008012F8">
        <w:t>809-812</w:t>
      </w:r>
      <w:r w:rsidRPr="008012F8">
        <w:rPr>
          <w:rFonts w:ascii="宋体" w:hAnsi="宋体" w:cs="宋体" w:hint="eastAsia"/>
        </w:rPr>
        <w:t>页。</w:t>
      </w:r>
    </w:p>
  </w:footnote>
  <w:footnote w:id="608">
    <w:p w:rsidR="00AB00DE" w:rsidRPr="008012F8" w:rsidRDefault="00AB00DE" w:rsidP="008D7906">
      <w:pPr>
        <w:pStyle w:val="a4"/>
      </w:pPr>
      <w:r w:rsidRPr="008012F8">
        <w:tab/>
      </w:r>
      <w:r w:rsidRPr="00DF5565">
        <w:rPr>
          <w:rStyle w:val="a5"/>
        </w:rPr>
        <w:footnoteRef/>
      </w:r>
      <w:r w:rsidRPr="008012F8">
        <w:tab/>
      </w:r>
      <w:r w:rsidRPr="008012F8">
        <w:t>见红十字委员会，</w:t>
      </w:r>
      <w:r w:rsidRPr="008012F8">
        <w:rPr>
          <w:rFonts w:ascii="宋体" w:hAnsi="宋体" w:cs="宋体" w:hint="eastAsia"/>
        </w:rPr>
        <w:t>《国际红十字手册》</w:t>
      </w:r>
      <w:r w:rsidRPr="008012F8">
        <w:t>，第</w:t>
      </w:r>
      <w:r w:rsidRPr="008012F8">
        <w:t>12</w:t>
      </w:r>
      <w:r w:rsidRPr="008012F8">
        <w:t>版</w:t>
      </w:r>
      <w:r w:rsidRPr="008012F8">
        <w:t>(</w:t>
      </w:r>
      <w:r w:rsidRPr="008012F8">
        <w:t>日内瓦，</w:t>
      </w:r>
      <w:r w:rsidRPr="008012F8">
        <w:t>1983</w:t>
      </w:r>
      <w:r w:rsidRPr="008012F8">
        <w:t>年</w:t>
      </w:r>
      <w:r w:rsidRPr="008012F8">
        <w:t>)</w:t>
      </w:r>
      <w:r w:rsidRPr="008012F8">
        <w:t>，第</w:t>
      </w:r>
      <w:r w:rsidRPr="008012F8">
        <w:t>20</w:t>
      </w:r>
      <w:r w:rsidRPr="008012F8">
        <w:t>页</w:t>
      </w:r>
      <w:r w:rsidRPr="008012F8">
        <w:rPr>
          <w:rFonts w:ascii="宋体" w:hAnsi="宋体" w:cs="宋体" w:hint="eastAsia"/>
        </w:rPr>
        <w:t>。</w:t>
      </w:r>
    </w:p>
  </w:footnote>
  <w:footnote w:id="609">
    <w:p w:rsidR="00AB00DE" w:rsidRPr="008012F8" w:rsidRDefault="00AB00DE" w:rsidP="008D7906">
      <w:pPr>
        <w:pStyle w:val="a4"/>
      </w:pPr>
      <w:r w:rsidRPr="008012F8">
        <w:tab/>
      </w:r>
      <w:r w:rsidRPr="00DF5565">
        <w:rPr>
          <w:rStyle w:val="a5"/>
        </w:rPr>
        <w:footnoteRef/>
      </w:r>
      <w:r w:rsidRPr="008012F8">
        <w:tab/>
      </w:r>
      <w:r w:rsidRPr="008012F8">
        <w:rPr>
          <w:rFonts w:hint="eastAsia"/>
        </w:rPr>
        <w:t>“</w:t>
      </w:r>
      <w:r w:rsidRPr="008012F8">
        <w:t>Bulletin international des Sociétés de Secoursaux Militaires blesses</w:t>
      </w:r>
      <w:r w:rsidRPr="008012F8">
        <w:rPr>
          <w:rFonts w:hint="eastAsia"/>
        </w:rPr>
        <w:t>”</w:t>
      </w:r>
      <w:r w:rsidRPr="008012F8">
        <w:rPr>
          <w:rFonts w:ascii="宋体" w:hAnsi="宋体" w:cs="宋体" w:hint="eastAsia"/>
        </w:rPr>
        <w:t>，第</w:t>
      </w:r>
      <w:r w:rsidRPr="008012F8">
        <w:t>29</w:t>
      </w:r>
      <w:r w:rsidRPr="008012F8">
        <w:rPr>
          <w:rFonts w:ascii="宋体" w:hAnsi="宋体" w:cs="宋体" w:hint="eastAsia"/>
        </w:rPr>
        <w:t>号</w:t>
      </w:r>
      <w:r w:rsidRPr="008012F8">
        <w:t>(</w:t>
      </w:r>
      <w:r w:rsidRPr="008012F8">
        <w:rPr>
          <w:rFonts w:ascii="Time New Roman" w:hAnsi="Time New Roman" w:cs="宋体"/>
        </w:rPr>
        <w:t>1877</w:t>
      </w:r>
      <w:r w:rsidRPr="008012F8">
        <w:rPr>
          <w:rFonts w:ascii="Time New Roman" w:hAnsi="Time New Roman" w:cs="宋体" w:hint="eastAsia"/>
        </w:rPr>
        <w:t>年</w:t>
      </w:r>
      <w:r w:rsidRPr="008012F8">
        <w:rPr>
          <w:rFonts w:ascii="Time New Roman" w:hAnsi="Time New Roman" w:cs="宋体"/>
        </w:rPr>
        <w:t>1</w:t>
      </w:r>
      <w:r w:rsidRPr="008012F8">
        <w:rPr>
          <w:rFonts w:ascii="Time New Roman" w:hAnsi="Time New Roman" w:cs="宋体" w:hint="eastAsia"/>
        </w:rPr>
        <w:t>月</w:t>
      </w:r>
      <w:r w:rsidRPr="008012F8">
        <w:t>)</w:t>
      </w:r>
      <w:r w:rsidRPr="008012F8">
        <w:rPr>
          <w:rFonts w:ascii="宋体" w:hAnsi="宋体" w:cs="宋体" w:hint="eastAsia"/>
        </w:rPr>
        <w:t>，第</w:t>
      </w:r>
      <w:r w:rsidRPr="008012F8">
        <w:t>35-37</w:t>
      </w:r>
      <w:r w:rsidRPr="008012F8">
        <w:rPr>
          <w:rFonts w:ascii="宋体" w:hAnsi="宋体" w:cs="宋体" w:hint="eastAsia"/>
        </w:rPr>
        <w:t>页，引用于</w:t>
      </w:r>
      <w:r w:rsidRPr="008012F8">
        <w:t>F. Bugnion,</w:t>
      </w:r>
      <w:r w:rsidRPr="008012F8">
        <w:rPr>
          <w:rFonts w:ascii="宋体" w:hAnsi="宋体" w:cs="宋体" w:hint="eastAsia"/>
        </w:rPr>
        <w:t>《红十字标志简史》</w:t>
      </w:r>
      <w:r w:rsidRPr="008012F8">
        <w:t>(</w:t>
      </w:r>
      <w:r w:rsidRPr="008012F8">
        <w:t>日内瓦，红十字委员会</w:t>
      </w:r>
      <w:r w:rsidRPr="008012F8">
        <w:rPr>
          <w:rFonts w:ascii="宋体" w:hAnsi="宋体" w:cs="宋体" w:hint="eastAsia"/>
        </w:rPr>
        <w:t>，</w:t>
      </w:r>
      <w:r w:rsidRPr="008012F8">
        <w:t>1977</w:t>
      </w:r>
      <w:r w:rsidRPr="008012F8">
        <w:rPr>
          <w:rFonts w:ascii="宋体" w:hAnsi="宋体" w:cs="宋体" w:hint="eastAsia"/>
        </w:rPr>
        <w:t>年</w:t>
      </w:r>
      <w:r w:rsidRPr="008012F8">
        <w:t>)</w:t>
      </w:r>
      <w:r w:rsidRPr="008012F8">
        <w:rPr>
          <w:rFonts w:ascii="宋体" w:hAnsi="宋体" w:cs="宋体" w:hint="eastAsia"/>
        </w:rPr>
        <w:t>，第</w:t>
      </w:r>
      <w:r w:rsidRPr="008012F8">
        <w:t>15</w:t>
      </w:r>
      <w:r w:rsidRPr="008012F8">
        <w:rPr>
          <w:rFonts w:ascii="宋体" w:hAnsi="宋体" w:cs="宋体" w:hint="eastAsia"/>
        </w:rPr>
        <w:t>页。</w:t>
      </w:r>
    </w:p>
  </w:footnote>
  <w:footnote w:id="610">
    <w:p w:rsidR="00AB00DE" w:rsidRPr="008012F8" w:rsidRDefault="00AB00DE" w:rsidP="00D90936">
      <w:pPr>
        <w:pStyle w:val="a4"/>
      </w:pPr>
      <w:r w:rsidRPr="008012F8">
        <w:tab/>
      </w:r>
      <w:r w:rsidRPr="00DF5565">
        <w:rPr>
          <w:rStyle w:val="a5"/>
        </w:rPr>
        <w:footnoteRef/>
      </w:r>
      <w:r w:rsidRPr="008012F8">
        <w:tab/>
      </w:r>
      <w:r w:rsidRPr="008012F8">
        <w:rPr>
          <w:rFonts w:ascii="宋体" w:hAnsi="宋体" w:cs="宋体" w:hint="eastAsia"/>
        </w:rPr>
        <w:t>同上，第</w:t>
      </w:r>
      <w:r w:rsidRPr="008012F8">
        <w:t>31</w:t>
      </w:r>
      <w:r w:rsidRPr="008012F8">
        <w:rPr>
          <w:rFonts w:ascii="宋体" w:hAnsi="宋体" w:cs="宋体" w:hint="eastAsia"/>
        </w:rPr>
        <w:t>号</w:t>
      </w:r>
      <w:r w:rsidRPr="008012F8">
        <w:t>(1877</w:t>
      </w:r>
      <w:r w:rsidRPr="008012F8">
        <w:rPr>
          <w:rFonts w:ascii="宋体" w:hAnsi="宋体" w:cs="宋体" w:hint="eastAsia"/>
        </w:rPr>
        <w:t>年</w:t>
      </w:r>
      <w:r w:rsidRPr="008012F8">
        <w:t>7</w:t>
      </w:r>
      <w:r w:rsidRPr="008012F8">
        <w:rPr>
          <w:rFonts w:ascii="宋体" w:hAnsi="宋体" w:cs="宋体" w:hint="eastAsia"/>
        </w:rPr>
        <w:t>月</w:t>
      </w:r>
      <w:r w:rsidRPr="008012F8">
        <w:t>)</w:t>
      </w:r>
      <w:r w:rsidRPr="008012F8">
        <w:rPr>
          <w:rFonts w:ascii="宋体" w:hAnsi="宋体" w:cs="宋体" w:hint="eastAsia"/>
        </w:rPr>
        <w:t>，第</w:t>
      </w:r>
      <w:r w:rsidRPr="008012F8">
        <w:t>89</w:t>
      </w:r>
      <w:r w:rsidRPr="008012F8">
        <w:rPr>
          <w:rFonts w:ascii="宋体" w:hAnsi="宋体" w:cs="宋体" w:hint="eastAsia"/>
        </w:rPr>
        <w:t>页，引用于</w:t>
      </w:r>
      <w:r w:rsidRPr="008012F8">
        <w:t>Bugnion,</w:t>
      </w:r>
      <w:r w:rsidRPr="008012F8">
        <w:rPr>
          <w:rFonts w:ascii="宋体" w:hAnsi="宋体" w:cs="宋体" w:hint="eastAsia"/>
        </w:rPr>
        <w:t>《红十字标志</w:t>
      </w:r>
      <w:r w:rsidRPr="008012F8">
        <w:rPr>
          <w:rFonts w:hint="eastAsia"/>
        </w:rPr>
        <w:t>……</w:t>
      </w:r>
      <w:r w:rsidRPr="008012F8">
        <w:rPr>
          <w:rFonts w:ascii="宋体" w:hAnsi="宋体" w:cs="宋体" w:hint="eastAsia"/>
        </w:rPr>
        <w:t>》</w:t>
      </w:r>
      <w:r w:rsidRPr="008012F8">
        <w:t>(</w:t>
      </w:r>
      <w:r w:rsidRPr="008012F8">
        <w:rPr>
          <w:rFonts w:ascii="宋体" w:hAnsi="宋体" w:cs="宋体" w:hint="eastAsia"/>
        </w:rPr>
        <w:t>见上文脚</w:t>
      </w:r>
      <w:r w:rsidRPr="00C95398">
        <w:rPr>
          <w:rFonts w:asciiTheme="majorBidi" w:hAnsiTheme="majorBidi" w:cstheme="majorBidi"/>
        </w:rPr>
        <w:t>注</w:t>
      </w:r>
      <w:r>
        <w:rPr>
          <w:rFonts w:asciiTheme="majorBidi" w:hAnsiTheme="majorBidi" w:cstheme="majorBidi"/>
        </w:rPr>
        <w:fldChar w:fldCharType="begin"/>
      </w:r>
      <w:r>
        <w:rPr>
          <w:rFonts w:asciiTheme="majorBidi" w:hAnsiTheme="majorBidi" w:cstheme="majorBidi"/>
        </w:rPr>
        <w:instrText xml:space="preserve"> NOTEREF _Ref461971920 \h </w:instrText>
      </w:r>
      <w:r>
        <w:rPr>
          <w:rFonts w:asciiTheme="majorBidi" w:hAnsiTheme="majorBidi" w:cstheme="majorBidi"/>
        </w:rPr>
      </w:r>
      <w:r>
        <w:rPr>
          <w:rFonts w:asciiTheme="majorBidi" w:hAnsiTheme="majorBidi" w:cstheme="majorBidi"/>
        </w:rPr>
        <w:fldChar w:fldCharType="separate"/>
      </w:r>
      <w:r w:rsidR="00A73EB9">
        <w:rPr>
          <w:rFonts w:asciiTheme="majorBidi" w:hAnsiTheme="majorBidi" w:cstheme="majorBidi"/>
        </w:rPr>
        <w:t>608</w:t>
      </w:r>
      <w:r>
        <w:rPr>
          <w:rFonts w:asciiTheme="majorBidi" w:hAnsiTheme="majorBidi" w:cstheme="majorBidi"/>
        </w:rPr>
        <w:fldChar w:fldCharType="end"/>
      </w:r>
      <w:r w:rsidRPr="008012F8">
        <w:t>)</w:t>
      </w:r>
      <w:r w:rsidRPr="008012F8">
        <w:rPr>
          <w:rFonts w:ascii="宋体" w:hAnsi="宋体" w:cs="宋体" w:hint="eastAsia"/>
        </w:rPr>
        <w:t>，第</w:t>
      </w:r>
      <w:r w:rsidRPr="008012F8">
        <w:t>18</w:t>
      </w:r>
      <w:r w:rsidRPr="008012F8">
        <w:rPr>
          <w:rFonts w:ascii="宋体" w:hAnsi="宋体" w:cs="宋体" w:hint="eastAsia"/>
        </w:rPr>
        <w:t>页。</w:t>
      </w:r>
    </w:p>
  </w:footnote>
  <w:footnote w:id="611">
    <w:p w:rsidR="00AB00DE" w:rsidRPr="008012F8" w:rsidRDefault="00AB00DE" w:rsidP="00D90936">
      <w:pPr>
        <w:pStyle w:val="a4"/>
      </w:pPr>
      <w:r w:rsidRPr="008012F8">
        <w:tab/>
      </w:r>
      <w:r w:rsidRPr="00DF5565">
        <w:rPr>
          <w:rStyle w:val="a5"/>
        </w:rPr>
        <w:footnoteRef/>
      </w:r>
      <w:r w:rsidRPr="008012F8">
        <w:tab/>
        <w:t>Bugnion,</w:t>
      </w:r>
      <w:r w:rsidRPr="008012F8">
        <w:rPr>
          <w:rFonts w:ascii="宋体" w:hAnsi="宋体" w:cs="宋体" w:hint="eastAsia"/>
        </w:rPr>
        <w:t>《红十字标志</w:t>
      </w:r>
      <w:r w:rsidRPr="008012F8">
        <w:rPr>
          <w:rFonts w:hint="eastAsia"/>
        </w:rPr>
        <w:t>……</w:t>
      </w:r>
      <w:r w:rsidRPr="008012F8">
        <w:rPr>
          <w:rFonts w:ascii="宋体" w:hAnsi="宋体" w:cs="宋体" w:hint="eastAsia"/>
        </w:rPr>
        <w:t>》</w:t>
      </w:r>
      <w:r w:rsidRPr="008012F8">
        <w:t>(</w:t>
      </w:r>
      <w:r w:rsidRPr="008012F8">
        <w:rPr>
          <w:rFonts w:ascii="宋体" w:hAnsi="宋体" w:cs="宋体" w:hint="eastAsia"/>
        </w:rPr>
        <w:t>见上文</w:t>
      </w:r>
      <w:r w:rsidRPr="00246433">
        <w:rPr>
          <w:rFonts w:asciiTheme="majorBidi" w:hAnsiTheme="majorBidi" w:cstheme="majorBidi"/>
        </w:rPr>
        <w:t>脚注</w:t>
      </w:r>
      <w:r>
        <w:rPr>
          <w:rFonts w:asciiTheme="majorBidi" w:hAnsiTheme="majorBidi" w:cstheme="majorBidi"/>
        </w:rPr>
        <w:fldChar w:fldCharType="begin"/>
      </w:r>
      <w:r>
        <w:rPr>
          <w:rFonts w:asciiTheme="majorBidi" w:hAnsiTheme="majorBidi" w:cstheme="majorBidi"/>
        </w:rPr>
        <w:instrText xml:space="preserve"> NOTEREF _Ref461971920 \h </w:instrText>
      </w:r>
      <w:r>
        <w:rPr>
          <w:rFonts w:asciiTheme="majorBidi" w:hAnsiTheme="majorBidi" w:cstheme="majorBidi"/>
        </w:rPr>
      </w:r>
      <w:r>
        <w:rPr>
          <w:rFonts w:asciiTheme="majorBidi" w:hAnsiTheme="majorBidi" w:cstheme="majorBidi"/>
        </w:rPr>
        <w:fldChar w:fldCharType="separate"/>
      </w:r>
      <w:r w:rsidR="00A73EB9">
        <w:rPr>
          <w:rFonts w:asciiTheme="majorBidi" w:hAnsiTheme="majorBidi" w:cstheme="majorBidi"/>
        </w:rPr>
        <w:t>608</w:t>
      </w:r>
      <w:r>
        <w:rPr>
          <w:rFonts w:asciiTheme="majorBidi" w:hAnsiTheme="majorBidi" w:cstheme="majorBidi"/>
        </w:rPr>
        <w:fldChar w:fldCharType="end"/>
      </w:r>
      <w:r w:rsidRPr="00246433">
        <w:rPr>
          <w:rFonts w:asciiTheme="majorBidi" w:hAnsiTheme="majorBidi" w:cstheme="majorBidi"/>
        </w:rPr>
        <w:t>)</w:t>
      </w:r>
      <w:r w:rsidRPr="00246433">
        <w:rPr>
          <w:rFonts w:asciiTheme="majorBidi" w:hAnsiTheme="majorBidi" w:cstheme="majorBidi"/>
        </w:rPr>
        <w:t>，第</w:t>
      </w:r>
      <w:r w:rsidRPr="00246433">
        <w:rPr>
          <w:rFonts w:asciiTheme="majorBidi" w:hAnsiTheme="majorBidi" w:cstheme="majorBidi"/>
        </w:rPr>
        <w:t>19-31</w:t>
      </w:r>
      <w:r w:rsidRPr="00246433">
        <w:rPr>
          <w:rFonts w:asciiTheme="majorBidi" w:hAnsiTheme="majorBidi" w:cstheme="majorBidi"/>
        </w:rPr>
        <w:t>页。</w:t>
      </w:r>
    </w:p>
  </w:footnote>
  <w:footnote w:id="612">
    <w:p w:rsidR="00AB00DE" w:rsidRPr="00246433" w:rsidRDefault="00AB00DE" w:rsidP="00D90936">
      <w:pPr>
        <w:pStyle w:val="a4"/>
        <w:tabs>
          <w:tab w:val="left" w:pos="6096"/>
        </w:tabs>
        <w:rPr>
          <w:rFonts w:asciiTheme="majorBidi" w:hAnsiTheme="majorBidi" w:cstheme="majorBidi"/>
        </w:rPr>
      </w:pPr>
      <w:r w:rsidRPr="008012F8">
        <w:tab/>
      </w:r>
      <w:r w:rsidRPr="00DF5565">
        <w:rPr>
          <w:rStyle w:val="a5"/>
        </w:rPr>
        <w:footnoteRef/>
      </w:r>
      <w:r w:rsidRPr="008012F8">
        <w:tab/>
      </w:r>
      <w:r w:rsidRPr="00246433">
        <w:rPr>
          <w:rFonts w:asciiTheme="majorBidi" w:hAnsiTheme="majorBidi" w:cstheme="majorBidi"/>
        </w:rPr>
        <w:t>1923</w:t>
      </w:r>
      <w:r w:rsidRPr="00246433">
        <w:rPr>
          <w:rFonts w:asciiTheme="majorBidi" w:hAnsiTheme="majorBidi" w:cstheme="majorBidi"/>
        </w:rPr>
        <w:t>年埃及通过继承而加入，见</w:t>
      </w:r>
      <w:r w:rsidRPr="00246433">
        <w:rPr>
          <w:rFonts w:asciiTheme="majorBidi" w:hAnsiTheme="majorBidi" w:cstheme="majorBidi"/>
        </w:rPr>
        <w:t>Bugnion,</w:t>
      </w:r>
      <w:r w:rsidRPr="00246433">
        <w:rPr>
          <w:rFonts w:asciiTheme="majorBidi" w:hAnsiTheme="majorBidi" w:cstheme="majorBidi"/>
        </w:rPr>
        <w:t>《红十字标志</w:t>
      </w:r>
      <w:r w:rsidRPr="00246433">
        <w:rPr>
          <w:rFonts w:asciiTheme="majorBidi" w:hAnsiTheme="majorBidi" w:cstheme="majorBidi"/>
        </w:rPr>
        <w:t>……</w:t>
      </w:r>
      <w:r w:rsidRPr="00246433">
        <w:rPr>
          <w:rFonts w:asciiTheme="majorBidi" w:hAnsiTheme="majorBidi" w:cstheme="majorBidi"/>
        </w:rPr>
        <w:t>》</w:t>
      </w:r>
      <w:r w:rsidRPr="00246433">
        <w:rPr>
          <w:rFonts w:asciiTheme="majorBidi" w:hAnsiTheme="majorBidi" w:cstheme="majorBidi"/>
        </w:rPr>
        <w:t>(</w:t>
      </w:r>
      <w:r w:rsidRPr="00246433">
        <w:rPr>
          <w:rFonts w:asciiTheme="majorBidi" w:hAnsiTheme="majorBidi" w:cstheme="majorBidi"/>
        </w:rPr>
        <w:t>见上文脚注</w:t>
      </w:r>
      <w:r>
        <w:rPr>
          <w:rFonts w:asciiTheme="majorBidi" w:hAnsiTheme="majorBidi" w:cstheme="majorBidi"/>
        </w:rPr>
        <w:fldChar w:fldCharType="begin"/>
      </w:r>
      <w:r>
        <w:rPr>
          <w:rFonts w:asciiTheme="majorBidi" w:hAnsiTheme="majorBidi" w:cstheme="majorBidi"/>
        </w:rPr>
        <w:instrText xml:space="preserve"> NOTEREF _Ref461971920 \h </w:instrText>
      </w:r>
      <w:r>
        <w:rPr>
          <w:rFonts w:asciiTheme="majorBidi" w:hAnsiTheme="majorBidi" w:cstheme="majorBidi"/>
        </w:rPr>
      </w:r>
      <w:r>
        <w:rPr>
          <w:rFonts w:asciiTheme="majorBidi" w:hAnsiTheme="majorBidi" w:cstheme="majorBidi"/>
        </w:rPr>
        <w:fldChar w:fldCharType="separate"/>
      </w:r>
      <w:r w:rsidR="00A73EB9">
        <w:rPr>
          <w:rFonts w:asciiTheme="majorBidi" w:hAnsiTheme="majorBidi" w:cstheme="majorBidi"/>
        </w:rPr>
        <w:t>608</w:t>
      </w:r>
      <w:r>
        <w:rPr>
          <w:rFonts w:asciiTheme="majorBidi" w:hAnsiTheme="majorBidi" w:cstheme="majorBidi"/>
        </w:rPr>
        <w:fldChar w:fldCharType="end"/>
      </w:r>
      <w:r w:rsidRPr="00246433">
        <w:rPr>
          <w:rFonts w:asciiTheme="majorBidi" w:hAnsiTheme="majorBidi" w:cstheme="majorBidi"/>
        </w:rPr>
        <w:t>)</w:t>
      </w:r>
      <w:r w:rsidRPr="00246433">
        <w:rPr>
          <w:rFonts w:asciiTheme="majorBidi" w:hAnsiTheme="majorBidi" w:cstheme="majorBidi"/>
        </w:rPr>
        <w:t>，第</w:t>
      </w:r>
      <w:r w:rsidRPr="00246433">
        <w:rPr>
          <w:rFonts w:asciiTheme="majorBidi" w:hAnsiTheme="majorBidi" w:cstheme="majorBidi"/>
        </w:rPr>
        <w:t>23-26</w:t>
      </w:r>
      <w:r w:rsidRPr="00246433">
        <w:rPr>
          <w:rFonts w:asciiTheme="majorBidi" w:hAnsiTheme="majorBidi" w:cstheme="majorBidi"/>
        </w:rPr>
        <w:t>页；</w:t>
      </w:r>
      <w:r w:rsidRPr="00246433">
        <w:rPr>
          <w:rFonts w:asciiTheme="majorBidi" w:hAnsiTheme="majorBidi" w:cstheme="majorBidi"/>
        </w:rPr>
        <w:t>1929</w:t>
      </w:r>
      <w:r w:rsidRPr="00246433">
        <w:rPr>
          <w:rFonts w:asciiTheme="majorBidi" w:hAnsiTheme="majorBidi" w:cstheme="majorBidi"/>
        </w:rPr>
        <w:t>年修订各项日内瓦公约时，土耳其、波斯和埃及声称，使用其他标志已成为既成事实，且这些标志已在实践中使用而未致任何异议，红新月和红狮与日这才最终被</w:t>
      </w:r>
      <w:r w:rsidRPr="00246433">
        <w:rPr>
          <w:rFonts w:asciiTheme="majorBidi" w:hAnsiTheme="majorBidi" w:cstheme="majorBidi"/>
        </w:rPr>
        <w:t>1929</w:t>
      </w:r>
      <w:r w:rsidRPr="00246433">
        <w:rPr>
          <w:rFonts w:asciiTheme="majorBidi" w:hAnsiTheme="majorBidi" w:cstheme="majorBidi"/>
        </w:rPr>
        <w:t>年《改善战地武装部队伤者病者境遇日内瓦公约》第十九条第二款承认为特殊标志</w:t>
      </w:r>
      <w:r w:rsidRPr="00246433">
        <w:rPr>
          <w:rFonts w:asciiTheme="majorBidi" w:hAnsiTheme="majorBidi" w:cstheme="majorBidi"/>
        </w:rPr>
        <w:t>(</w:t>
      </w:r>
      <w:r w:rsidRPr="00246433">
        <w:rPr>
          <w:rFonts w:asciiTheme="majorBidi" w:hAnsiTheme="majorBidi" w:cstheme="majorBidi"/>
        </w:rPr>
        <w:t>国际联盟，《条约汇编》，第</w:t>
      </w:r>
      <w:r w:rsidRPr="00246433">
        <w:rPr>
          <w:rFonts w:asciiTheme="majorBidi" w:hAnsiTheme="majorBidi" w:cstheme="majorBidi"/>
        </w:rPr>
        <w:t>118</w:t>
      </w:r>
      <w:r w:rsidRPr="00246433">
        <w:rPr>
          <w:rFonts w:asciiTheme="majorBidi" w:hAnsiTheme="majorBidi" w:cstheme="majorBidi"/>
        </w:rPr>
        <w:t>卷，第</w:t>
      </w:r>
      <w:r w:rsidRPr="00246433">
        <w:rPr>
          <w:rFonts w:asciiTheme="majorBidi" w:hAnsiTheme="majorBidi" w:cstheme="majorBidi"/>
        </w:rPr>
        <w:t>2733</w:t>
      </w:r>
      <w:r w:rsidRPr="00246433">
        <w:rPr>
          <w:rFonts w:asciiTheme="majorBidi" w:hAnsiTheme="majorBidi" w:cstheme="majorBidi"/>
        </w:rPr>
        <w:t>号，第</w:t>
      </w:r>
      <w:r w:rsidRPr="00246433">
        <w:rPr>
          <w:rFonts w:asciiTheme="majorBidi" w:hAnsiTheme="majorBidi" w:cstheme="majorBidi"/>
        </w:rPr>
        <w:t>303</w:t>
      </w:r>
      <w:r w:rsidRPr="00246433">
        <w:rPr>
          <w:rFonts w:asciiTheme="majorBidi" w:hAnsiTheme="majorBidi" w:cstheme="majorBidi"/>
        </w:rPr>
        <w:t>页</w:t>
      </w:r>
      <w:r w:rsidRPr="00246433">
        <w:rPr>
          <w:rFonts w:asciiTheme="majorBidi" w:hAnsiTheme="majorBidi" w:cstheme="majorBidi"/>
        </w:rPr>
        <w:t>)</w:t>
      </w:r>
      <w:r w:rsidRPr="00246433">
        <w:rPr>
          <w:rFonts w:asciiTheme="majorBidi" w:hAnsiTheme="majorBidi" w:cstheme="majorBidi"/>
        </w:rPr>
        <w:t>。</w:t>
      </w:r>
    </w:p>
  </w:footnote>
  <w:footnote w:id="613">
    <w:p w:rsidR="00AB00DE" w:rsidRPr="008012F8" w:rsidRDefault="00AB00DE" w:rsidP="008D7906">
      <w:pPr>
        <w:pStyle w:val="a4"/>
      </w:pPr>
      <w:r w:rsidRPr="008012F8">
        <w:tab/>
      </w:r>
      <w:r w:rsidRPr="00DF5565">
        <w:rPr>
          <w:rStyle w:val="a5"/>
        </w:rPr>
        <w:footnoteRef/>
      </w:r>
      <w:r w:rsidRPr="008012F8">
        <w:tab/>
      </w:r>
      <w:r w:rsidRPr="008012F8">
        <w:rPr>
          <w:rFonts w:ascii="宋体" w:hAnsi="宋体" w:cs="宋体" w:hint="eastAsia"/>
        </w:rPr>
        <w:t>见上文结论草案</w:t>
      </w:r>
      <w:r w:rsidRPr="008012F8">
        <w:t>4</w:t>
      </w:r>
      <w:r w:rsidRPr="008012F8">
        <w:rPr>
          <w:rFonts w:ascii="宋体" w:hAnsi="宋体" w:cs="宋体" w:hint="eastAsia"/>
        </w:rPr>
        <w:t>的评注，第</w:t>
      </w:r>
      <w:r w:rsidRPr="008012F8">
        <w:t>(17)-(20)</w:t>
      </w:r>
      <w:r w:rsidRPr="008012F8">
        <w:rPr>
          <w:rFonts w:ascii="宋体" w:hAnsi="宋体" w:cs="宋体" w:hint="eastAsia"/>
        </w:rPr>
        <w:t>段。</w:t>
      </w:r>
    </w:p>
  </w:footnote>
  <w:footnote w:id="614">
    <w:p w:rsidR="00AB00DE" w:rsidRPr="008012F8" w:rsidRDefault="00AB00DE" w:rsidP="00560424">
      <w:pPr>
        <w:pStyle w:val="a4"/>
      </w:pPr>
      <w:r w:rsidRPr="008012F8">
        <w:tab/>
      </w:r>
      <w:r w:rsidRPr="00DF5565">
        <w:rPr>
          <w:rStyle w:val="a5"/>
        </w:rPr>
        <w:footnoteRef/>
      </w:r>
      <w:r w:rsidRPr="008012F8">
        <w:tab/>
      </w:r>
      <w:r w:rsidRPr="008012F8">
        <w:rPr>
          <w:rFonts w:ascii="宋体" w:hAnsi="宋体" w:cs="宋体" w:hint="eastAsia"/>
        </w:rPr>
        <w:t>例如见上文结论草案</w:t>
      </w:r>
      <w:r w:rsidRPr="008012F8">
        <w:t>5</w:t>
      </w:r>
      <w:r w:rsidRPr="008012F8">
        <w:rPr>
          <w:rFonts w:ascii="宋体" w:hAnsi="宋体" w:cs="宋体" w:hint="eastAsia"/>
        </w:rPr>
        <w:t>的评注；</w:t>
      </w:r>
      <w:r w:rsidRPr="008012F8">
        <w:t xml:space="preserve">Boisson de Chazournes, </w:t>
      </w:r>
      <w:r w:rsidRPr="008012F8">
        <w:rPr>
          <w:rFonts w:ascii="宋体" w:hAnsi="宋体" w:cs="宋体" w:hint="eastAsia"/>
        </w:rPr>
        <w:t>《嗣后惯例</w:t>
      </w:r>
      <w:r w:rsidRPr="008012F8">
        <w:rPr>
          <w:rFonts w:hint="eastAsia"/>
        </w:rPr>
        <w:t>……</w:t>
      </w:r>
      <w:r w:rsidRPr="008012F8">
        <w:rPr>
          <w:rFonts w:ascii="宋体" w:hAnsi="宋体" w:cs="宋体" w:hint="eastAsia"/>
        </w:rPr>
        <w:t>》</w:t>
      </w:r>
      <w:r w:rsidRPr="008012F8">
        <w:t>(</w:t>
      </w:r>
      <w:r w:rsidRPr="008012F8">
        <w:rPr>
          <w:rFonts w:ascii="宋体" w:hAnsi="宋体" w:cs="宋体" w:hint="eastAsia"/>
        </w:rPr>
        <w:t>上文脚注</w:t>
      </w:r>
      <w:r w:rsidRPr="00560424">
        <w:rPr>
          <w:rFonts w:asciiTheme="majorBidi" w:hAnsiTheme="majorBidi" w:cstheme="majorBidi"/>
        </w:rPr>
        <w:fldChar w:fldCharType="begin"/>
      </w:r>
      <w:r w:rsidRPr="00560424">
        <w:rPr>
          <w:rFonts w:asciiTheme="majorBidi" w:hAnsiTheme="majorBidi" w:cstheme="majorBidi"/>
        </w:rPr>
        <w:instrText xml:space="preserve"> NOTEREF _Ref461975924 \h </w:instrText>
      </w:r>
      <w:r>
        <w:rPr>
          <w:rFonts w:asciiTheme="majorBidi" w:hAnsiTheme="majorBidi" w:cstheme="majorBidi"/>
        </w:rPr>
        <w:instrText xml:space="preserve"> \* MERGEFORMAT </w:instrText>
      </w:r>
      <w:r w:rsidRPr="00560424">
        <w:rPr>
          <w:rFonts w:asciiTheme="majorBidi" w:hAnsiTheme="majorBidi" w:cstheme="majorBidi"/>
        </w:rPr>
      </w:r>
      <w:r w:rsidRPr="00560424">
        <w:rPr>
          <w:rFonts w:asciiTheme="majorBidi" w:hAnsiTheme="majorBidi" w:cstheme="majorBidi"/>
        </w:rPr>
        <w:fldChar w:fldCharType="separate"/>
      </w:r>
      <w:r w:rsidR="00A73EB9">
        <w:rPr>
          <w:rFonts w:asciiTheme="majorBidi" w:hAnsiTheme="majorBidi" w:cstheme="majorBidi"/>
        </w:rPr>
        <w:t>415</w:t>
      </w:r>
      <w:r w:rsidRPr="00560424">
        <w:rPr>
          <w:rFonts w:asciiTheme="majorBidi" w:hAnsiTheme="majorBidi" w:cstheme="majorBidi"/>
        </w:rPr>
        <w:fldChar w:fldCharType="end"/>
      </w:r>
      <w:r w:rsidRPr="00560424">
        <w:rPr>
          <w:rFonts w:asciiTheme="majorBidi" w:hAnsiTheme="majorBidi" w:cstheme="majorBidi"/>
        </w:rPr>
        <w:t>)</w:t>
      </w:r>
      <w:r w:rsidRPr="008012F8">
        <w:t>，</w:t>
      </w:r>
      <w:r w:rsidRPr="008012F8">
        <w:rPr>
          <w:rFonts w:ascii="宋体" w:hAnsi="宋体" w:cs="宋体" w:hint="eastAsia"/>
        </w:rPr>
        <w:t>第</w:t>
      </w:r>
      <w:r w:rsidRPr="008012F8">
        <w:t>54</w:t>
      </w:r>
      <w:r w:rsidRPr="008012F8">
        <w:rPr>
          <w:rFonts w:ascii="宋体" w:hAnsi="宋体" w:cs="宋体" w:hint="eastAsia"/>
        </w:rPr>
        <w:t>、</w:t>
      </w:r>
      <w:r w:rsidRPr="008012F8">
        <w:t>56</w:t>
      </w:r>
      <w:r w:rsidRPr="008012F8">
        <w:rPr>
          <w:rFonts w:ascii="宋体" w:hAnsi="宋体" w:cs="宋体" w:hint="eastAsia"/>
        </w:rPr>
        <w:t>和</w:t>
      </w:r>
      <w:r w:rsidRPr="008012F8">
        <w:t>59-60</w:t>
      </w:r>
      <w:r w:rsidRPr="008012F8">
        <w:rPr>
          <w:rFonts w:ascii="宋体" w:hAnsi="宋体" w:cs="宋体" w:hint="eastAsia"/>
        </w:rPr>
        <w:t>页；</w:t>
      </w:r>
      <w:r w:rsidRPr="008012F8">
        <w:t>Gardiner,</w:t>
      </w:r>
      <w:r w:rsidRPr="008012F8">
        <w:rPr>
          <w:rFonts w:ascii="宋体" w:hAnsi="宋体" w:cs="宋体" w:hint="eastAsia"/>
        </w:rPr>
        <w:t>《条约解释》</w:t>
      </w:r>
      <w:r w:rsidRPr="008012F8">
        <w:t>(</w:t>
      </w:r>
      <w:r w:rsidRPr="008012F8">
        <w:rPr>
          <w:rFonts w:ascii="宋体" w:hAnsi="宋体" w:cs="宋体" w:hint="eastAsia"/>
        </w:rPr>
        <w:t>见上文脚注</w:t>
      </w:r>
      <w:r w:rsidRPr="00D90936">
        <w:rPr>
          <w:rFonts w:asciiTheme="majorBidi" w:hAnsiTheme="majorBidi" w:cstheme="majorBidi"/>
        </w:rPr>
        <w:fldChar w:fldCharType="begin"/>
      </w:r>
      <w:r w:rsidRPr="00D90936">
        <w:rPr>
          <w:rFonts w:asciiTheme="majorBidi" w:hAnsiTheme="majorBidi" w:cstheme="majorBidi"/>
        </w:rPr>
        <w:instrText xml:space="preserve"> NOTEREF _Ref461971974 \h </w:instrText>
      </w:r>
      <w:r>
        <w:rPr>
          <w:rFonts w:asciiTheme="majorBidi" w:hAnsiTheme="majorBidi" w:cstheme="majorBidi"/>
        </w:rPr>
        <w:instrText xml:space="preserve"> \* MERGEFORMAT </w:instrText>
      </w:r>
      <w:r w:rsidRPr="00D90936">
        <w:rPr>
          <w:rFonts w:asciiTheme="majorBidi" w:hAnsiTheme="majorBidi" w:cstheme="majorBidi"/>
        </w:rPr>
      </w:r>
      <w:r w:rsidRPr="00D90936">
        <w:rPr>
          <w:rFonts w:asciiTheme="majorBidi" w:hAnsiTheme="majorBidi" w:cstheme="majorBidi"/>
        </w:rPr>
        <w:fldChar w:fldCharType="separate"/>
      </w:r>
      <w:r w:rsidR="00A73EB9">
        <w:rPr>
          <w:rFonts w:asciiTheme="majorBidi" w:hAnsiTheme="majorBidi" w:cstheme="majorBidi"/>
        </w:rPr>
        <w:t>392</w:t>
      </w:r>
      <w:r w:rsidRPr="00D90936">
        <w:rPr>
          <w:rFonts w:asciiTheme="majorBidi" w:hAnsiTheme="majorBidi" w:cstheme="majorBidi"/>
        </w:rPr>
        <w:fldChar w:fldCharType="end"/>
      </w:r>
      <w:r w:rsidRPr="00EA258E">
        <w:rPr>
          <w:rFonts w:asciiTheme="majorBidi" w:hAnsiTheme="majorBidi" w:cstheme="majorBidi"/>
        </w:rPr>
        <w:t>)</w:t>
      </w:r>
      <w:r w:rsidRPr="008012F8">
        <w:t>，</w:t>
      </w:r>
      <w:r w:rsidRPr="008012F8">
        <w:rPr>
          <w:rFonts w:ascii="宋体" w:hAnsi="宋体" w:cs="宋体" w:hint="eastAsia"/>
        </w:rPr>
        <w:t>第</w:t>
      </w:r>
      <w:r w:rsidRPr="008012F8">
        <w:t>257-259</w:t>
      </w:r>
      <w:r w:rsidRPr="008012F8">
        <w:rPr>
          <w:rFonts w:ascii="宋体" w:hAnsi="宋体" w:cs="宋体" w:hint="eastAsia"/>
        </w:rPr>
        <w:t>页；另见</w:t>
      </w:r>
      <w:r w:rsidRPr="00DF5565">
        <w:rPr>
          <w:rFonts w:eastAsia="楷体"/>
        </w:rPr>
        <w:t>海洋争端案</w:t>
      </w:r>
      <w:r w:rsidRPr="008012F8">
        <w:t>(</w:t>
      </w:r>
      <w:r w:rsidRPr="00DF5565">
        <w:rPr>
          <w:rFonts w:eastAsia="楷体"/>
        </w:rPr>
        <w:t>秘鲁诉智利</w:t>
      </w:r>
      <w:r w:rsidRPr="00DF5565">
        <w:rPr>
          <w:rFonts w:eastAsia="楷体"/>
        </w:rPr>
        <w:t>)</w:t>
      </w:r>
      <w:r w:rsidRPr="008012F8">
        <w:rPr>
          <w:rFonts w:ascii="宋体" w:hAnsi="宋体" w:cs="宋体" w:hint="eastAsia"/>
        </w:rPr>
        <w:t>，</w:t>
      </w:r>
      <w:r w:rsidRPr="008012F8">
        <w:rPr>
          <w:rFonts w:ascii="Time New Roman" w:eastAsia="楷体" w:hAnsi="Time New Roman" w:cs="宋体" w:hint="eastAsia"/>
        </w:rPr>
        <w:t>判决</w:t>
      </w:r>
      <w:r w:rsidRPr="008012F8">
        <w:t>，《</w:t>
      </w:r>
      <w:r w:rsidRPr="008012F8">
        <w:t>2014</w:t>
      </w:r>
      <w:r w:rsidRPr="008012F8">
        <w:rPr>
          <w:rFonts w:ascii="宋体" w:hAnsi="宋体" w:cs="宋体" w:hint="eastAsia"/>
        </w:rPr>
        <w:t>年国际法院案例汇编</w:t>
      </w:r>
      <w:r w:rsidRPr="008012F8">
        <w:t>》</w:t>
      </w:r>
      <w:r w:rsidRPr="008012F8">
        <w:rPr>
          <w:rFonts w:ascii="宋体" w:hAnsi="宋体" w:cs="宋体" w:hint="eastAsia"/>
        </w:rPr>
        <w:t>，</w:t>
      </w:r>
      <w:r w:rsidRPr="008012F8">
        <w:t>第</w:t>
      </w:r>
      <w:r w:rsidRPr="008012F8">
        <w:t>3</w:t>
      </w:r>
      <w:r w:rsidRPr="008012F8">
        <w:t>页起，见第</w:t>
      </w:r>
      <w:r w:rsidRPr="008012F8">
        <w:rPr>
          <w:rFonts w:hint="eastAsia"/>
        </w:rPr>
        <w:t>42</w:t>
      </w:r>
      <w:r w:rsidRPr="008012F8">
        <w:t>-</w:t>
      </w:r>
      <w:r w:rsidRPr="008012F8">
        <w:rPr>
          <w:rFonts w:hint="eastAsia"/>
        </w:rPr>
        <w:t>45</w:t>
      </w:r>
      <w:r w:rsidRPr="008012F8">
        <w:rPr>
          <w:rFonts w:ascii="宋体" w:hAnsi="宋体" w:cs="宋体" w:hint="eastAsia"/>
        </w:rPr>
        <w:t>页，第</w:t>
      </w:r>
      <w:r w:rsidRPr="008012F8">
        <w:t>103-111</w:t>
      </w:r>
      <w:r w:rsidRPr="008012F8">
        <w:rPr>
          <w:rFonts w:ascii="宋体" w:hAnsi="宋体" w:cs="宋体" w:hint="eastAsia"/>
        </w:rPr>
        <w:t>段和第</w:t>
      </w:r>
      <w:r w:rsidRPr="008012F8">
        <w:t>4</w:t>
      </w:r>
      <w:r w:rsidRPr="008012F8">
        <w:rPr>
          <w:rFonts w:hint="eastAsia"/>
        </w:rPr>
        <w:t>8</w:t>
      </w:r>
      <w:r w:rsidRPr="008012F8">
        <w:t>-4</w:t>
      </w:r>
      <w:r w:rsidRPr="008012F8">
        <w:rPr>
          <w:rFonts w:hint="eastAsia"/>
        </w:rPr>
        <w:t>9</w:t>
      </w:r>
      <w:r w:rsidRPr="008012F8">
        <w:rPr>
          <w:rFonts w:ascii="宋体" w:hAnsi="宋体" w:cs="宋体" w:hint="eastAsia"/>
        </w:rPr>
        <w:t>页，第</w:t>
      </w:r>
      <w:r w:rsidRPr="008012F8">
        <w:t>119-122</w:t>
      </w:r>
      <w:r w:rsidRPr="008012F8">
        <w:rPr>
          <w:rFonts w:ascii="宋体" w:hAnsi="宋体" w:cs="宋体" w:hint="eastAsia"/>
        </w:rPr>
        <w:t>段，以及第</w:t>
      </w:r>
      <w:r w:rsidRPr="008012F8">
        <w:rPr>
          <w:rFonts w:hint="eastAsia"/>
        </w:rPr>
        <w:t>50</w:t>
      </w:r>
      <w:r w:rsidRPr="008012F8">
        <w:rPr>
          <w:rFonts w:ascii="宋体" w:hAnsi="宋体" w:cs="宋体" w:hint="eastAsia"/>
        </w:rPr>
        <w:t>页，第</w:t>
      </w:r>
      <w:r w:rsidRPr="008012F8">
        <w:t>126</w:t>
      </w:r>
      <w:r w:rsidRPr="008012F8">
        <w:rPr>
          <w:rFonts w:ascii="宋体" w:hAnsi="宋体" w:cs="宋体" w:hint="eastAsia"/>
        </w:rPr>
        <w:t>段；</w:t>
      </w:r>
      <w:r w:rsidRPr="008012F8">
        <w:t>Dörr,</w:t>
      </w:r>
      <w:r w:rsidRPr="008012F8">
        <w:rPr>
          <w:rFonts w:hint="eastAsia"/>
        </w:rPr>
        <w:t>“</w:t>
      </w:r>
      <w:r w:rsidRPr="008012F8">
        <w:rPr>
          <w:rFonts w:ascii="宋体" w:hAnsi="宋体" w:cs="宋体" w:hint="eastAsia"/>
        </w:rPr>
        <w:t>第三十一条</w:t>
      </w:r>
      <w:r w:rsidRPr="008012F8">
        <w:rPr>
          <w:rFonts w:hint="eastAsia"/>
        </w:rPr>
        <w:t>……”</w:t>
      </w:r>
      <w:r w:rsidRPr="008012F8">
        <w:t>(</w:t>
      </w:r>
      <w:r w:rsidRPr="008012F8">
        <w:rPr>
          <w:rFonts w:ascii="宋体" w:hAnsi="宋体" w:cs="宋体" w:hint="eastAsia"/>
        </w:rPr>
        <w:t>见上文脚注</w:t>
      </w:r>
      <w:r>
        <w:fldChar w:fldCharType="begin"/>
      </w:r>
      <w:r>
        <w:instrText xml:space="preserve"> </w:instrText>
      </w:r>
      <w:r>
        <w:rPr>
          <w:rFonts w:hint="eastAsia"/>
        </w:rPr>
        <w:instrText>NOTEREF _Ref461972537 \h</w:instrText>
      </w:r>
      <w:r>
        <w:instrText xml:space="preserve"> </w:instrText>
      </w:r>
      <w:r>
        <w:fldChar w:fldCharType="separate"/>
      </w:r>
      <w:r w:rsidR="00A73EB9">
        <w:t>439</w:t>
      </w:r>
      <w:r>
        <w:fldChar w:fldCharType="end"/>
      </w:r>
      <w:r w:rsidRPr="00A171D3">
        <w:rPr>
          <w:rFonts w:asciiTheme="majorBidi" w:hAnsiTheme="majorBidi" w:cstheme="majorBidi"/>
        </w:rPr>
        <w:t>)</w:t>
      </w:r>
      <w:r w:rsidRPr="00A171D3">
        <w:rPr>
          <w:rFonts w:asciiTheme="majorBidi" w:hAnsiTheme="majorBidi" w:cstheme="majorBidi"/>
        </w:rPr>
        <w:t>，</w:t>
      </w:r>
      <w:r w:rsidRPr="008012F8">
        <w:rPr>
          <w:rFonts w:ascii="宋体" w:hAnsi="宋体" w:cs="宋体" w:hint="eastAsia"/>
          <w:lang w:val="es-ES"/>
        </w:rPr>
        <w:t>第</w:t>
      </w:r>
      <w:r w:rsidRPr="008012F8">
        <w:t>555-556</w:t>
      </w:r>
      <w:r w:rsidRPr="008012F8">
        <w:rPr>
          <w:rFonts w:ascii="宋体" w:hAnsi="宋体" w:cs="宋体" w:hint="eastAsia"/>
          <w:lang w:val="es-ES"/>
        </w:rPr>
        <w:t>页</w:t>
      </w:r>
      <w:r w:rsidRPr="008012F8">
        <w:rPr>
          <w:rFonts w:ascii="宋体" w:hAnsi="宋体" w:cs="宋体" w:hint="eastAsia"/>
        </w:rPr>
        <w:t>，</w:t>
      </w:r>
      <w:r w:rsidRPr="008012F8">
        <w:rPr>
          <w:rFonts w:ascii="宋体" w:hAnsi="宋体" w:cs="宋体" w:hint="eastAsia"/>
          <w:lang w:val="es-ES"/>
        </w:rPr>
        <w:t>第</w:t>
      </w:r>
      <w:r w:rsidRPr="008012F8">
        <w:t>78</w:t>
      </w:r>
      <w:r w:rsidRPr="008012F8">
        <w:rPr>
          <w:rFonts w:ascii="宋体" w:hAnsi="宋体" w:cs="宋体" w:hint="eastAsia"/>
          <w:lang w:val="es-ES"/>
        </w:rPr>
        <w:t>段</w:t>
      </w:r>
      <w:r w:rsidRPr="008012F8">
        <w:rPr>
          <w:rFonts w:ascii="宋体" w:hAnsi="宋体" w:cs="宋体" w:hint="eastAsia"/>
        </w:rPr>
        <w:t>。</w:t>
      </w:r>
    </w:p>
  </w:footnote>
  <w:footnote w:id="615">
    <w:p w:rsidR="00AB00DE" w:rsidRPr="008012F8" w:rsidRDefault="00AB00DE" w:rsidP="00D90936">
      <w:pPr>
        <w:pStyle w:val="a4"/>
        <w:rPr>
          <w:lang w:val="es-ES"/>
        </w:rPr>
      </w:pPr>
      <w:r w:rsidRPr="008012F8">
        <w:tab/>
      </w:r>
      <w:r w:rsidRPr="00DF5565">
        <w:rPr>
          <w:rStyle w:val="a5"/>
        </w:rPr>
        <w:footnoteRef/>
      </w:r>
      <w:r w:rsidRPr="008012F8">
        <w:rPr>
          <w:lang w:val="es-ES"/>
        </w:rPr>
        <w:tab/>
        <w:t>Gardiner,</w:t>
      </w:r>
      <w:r w:rsidRPr="008012F8">
        <w:rPr>
          <w:rFonts w:ascii="宋体" w:hAnsi="宋体" w:cs="宋体" w:hint="eastAsia"/>
          <w:lang w:val="es-ES"/>
        </w:rPr>
        <w:t>《条约解释》</w:t>
      </w:r>
      <w:r w:rsidRPr="008012F8">
        <w:t>(</w:t>
      </w:r>
      <w:r w:rsidRPr="008012F8">
        <w:rPr>
          <w:rFonts w:ascii="宋体" w:hAnsi="宋体" w:cs="宋体" w:hint="eastAsia"/>
        </w:rPr>
        <w:t>见上文脚注</w:t>
      </w:r>
      <w:r w:rsidRPr="00D90936">
        <w:rPr>
          <w:rFonts w:asciiTheme="majorBidi" w:hAnsiTheme="majorBidi" w:cstheme="majorBidi"/>
        </w:rPr>
        <w:fldChar w:fldCharType="begin"/>
      </w:r>
      <w:r w:rsidRPr="00D90936">
        <w:rPr>
          <w:rFonts w:asciiTheme="majorBidi" w:hAnsiTheme="majorBidi" w:cstheme="majorBidi"/>
        </w:rPr>
        <w:instrText xml:space="preserve"> NOTEREF _Ref461971974 \h </w:instrText>
      </w:r>
      <w:r>
        <w:rPr>
          <w:rFonts w:asciiTheme="majorBidi" w:hAnsiTheme="majorBidi" w:cstheme="majorBidi"/>
        </w:rPr>
        <w:instrText xml:space="preserve"> \* MERGEFORMAT </w:instrText>
      </w:r>
      <w:r w:rsidRPr="00D90936">
        <w:rPr>
          <w:rFonts w:asciiTheme="majorBidi" w:hAnsiTheme="majorBidi" w:cstheme="majorBidi"/>
        </w:rPr>
      </w:r>
      <w:r w:rsidRPr="00D90936">
        <w:rPr>
          <w:rFonts w:asciiTheme="majorBidi" w:hAnsiTheme="majorBidi" w:cstheme="majorBidi"/>
        </w:rPr>
        <w:fldChar w:fldCharType="separate"/>
      </w:r>
      <w:r w:rsidR="00A73EB9">
        <w:rPr>
          <w:rFonts w:asciiTheme="majorBidi" w:hAnsiTheme="majorBidi" w:cstheme="majorBidi"/>
        </w:rPr>
        <w:t>392</w:t>
      </w:r>
      <w:r w:rsidRPr="00D90936">
        <w:rPr>
          <w:rFonts w:asciiTheme="majorBidi" w:hAnsiTheme="majorBidi" w:cstheme="majorBidi"/>
        </w:rPr>
        <w:fldChar w:fldCharType="end"/>
      </w:r>
      <w:r w:rsidRPr="000C49CF">
        <w:rPr>
          <w:rFonts w:asciiTheme="majorBidi" w:hAnsiTheme="majorBidi" w:cstheme="majorBidi"/>
        </w:rPr>
        <w:t>)</w:t>
      </w:r>
      <w:r w:rsidRPr="008012F8">
        <w:rPr>
          <w:rFonts w:ascii="宋体" w:hAnsi="宋体" w:cs="宋体" w:hint="eastAsia"/>
        </w:rPr>
        <w:t>，第</w:t>
      </w:r>
      <w:r w:rsidRPr="008012F8">
        <w:rPr>
          <w:lang w:val="es-ES"/>
        </w:rPr>
        <w:t>226-227</w:t>
      </w:r>
      <w:r w:rsidRPr="008012F8">
        <w:rPr>
          <w:rFonts w:ascii="宋体" w:hAnsi="宋体" w:cs="宋体" w:hint="eastAsia"/>
        </w:rPr>
        <w:t>页。</w:t>
      </w:r>
    </w:p>
  </w:footnote>
  <w:footnote w:id="616">
    <w:p w:rsidR="00AB00DE" w:rsidRPr="008012F8" w:rsidRDefault="00AB00DE" w:rsidP="00560424">
      <w:pPr>
        <w:pStyle w:val="a4"/>
      </w:pPr>
      <w:r w:rsidRPr="008012F8">
        <w:rPr>
          <w:lang w:val="es-ES"/>
        </w:rPr>
        <w:tab/>
      </w:r>
      <w:r w:rsidRPr="00DF5565">
        <w:rPr>
          <w:rStyle w:val="a5"/>
        </w:rPr>
        <w:footnoteRef/>
      </w:r>
      <w:r w:rsidRPr="008012F8">
        <w:tab/>
      </w:r>
      <w:r w:rsidRPr="008012F8">
        <w:rPr>
          <w:rFonts w:eastAsia="楷体"/>
        </w:rPr>
        <w:t>柏威夏寺案</w:t>
      </w:r>
      <w:r w:rsidRPr="008012F8">
        <w:t>(</w:t>
      </w:r>
      <w:r w:rsidRPr="008012F8">
        <w:rPr>
          <w:rFonts w:ascii="宋体" w:hAnsi="宋体" w:cs="宋体" w:hint="eastAsia"/>
        </w:rPr>
        <w:t>见上文脚注</w:t>
      </w:r>
      <w:r w:rsidRPr="00560424">
        <w:rPr>
          <w:rFonts w:asciiTheme="majorBidi" w:hAnsiTheme="majorBidi" w:cstheme="majorBidi"/>
        </w:rPr>
        <w:fldChar w:fldCharType="begin"/>
      </w:r>
      <w:r w:rsidRPr="00560424">
        <w:rPr>
          <w:rFonts w:asciiTheme="majorBidi" w:hAnsiTheme="majorBidi" w:cstheme="majorBidi"/>
        </w:rPr>
        <w:instrText xml:space="preserve"> NOTEREF _Ref461976005 \h </w:instrText>
      </w:r>
      <w:r>
        <w:rPr>
          <w:rFonts w:asciiTheme="majorBidi" w:hAnsiTheme="majorBidi" w:cstheme="majorBidi"/>
        </w:rPr>
        <w:instrText xml:space="preserve"> \* MERGEFORMAT </w:instrText>
      </w:r>
      <w:r w:rsidRPr="00560424">
        <w:rPr>
          <w:rFonts w:asciiTheme="majorBidi" w:hAnsiTheme="majorBidi" w:cstheme="majorBidi"/>
        </w:rPr>
      </w:r>
      <w:r w:rsidRPr="00560424">
        <w:rPr>
          <w:rFonts w:asciiTheme="majorBidi" w:hAnsiTheme="majorBidi" w:cstheme="majorBidi"/>
        </w:rPr>
        <w:fldChar w:fldCharType="separate"/>
      </w:r>
      <w:r w:rsidR="00A73EB9">
        <w:rPr>
          <w:rFonts w:asciiTheme="majorBidi" w:hAnsiTheme="majorBidi" w:cstheme="majorBidi"/>
        </w:rPr>
        <w:t>488</w:t>
      </w:r>
      <w:r w:rsidRPr="00560424">
        <w:rPr>
          <w:rFonts w:asciiTheme="majorBidi" w:hAnsiTheme="majorBidi" w:cstheme="majorBidi"/>
        </w:rPr>
        <w:fldChar w:fldCharType="end"/>
      </w:r>
      <w:r w:rsidRPr="000C49CF">
        <w:rPr>
          <w:rFonts w:asciiTheme="majorBidi" w:hAnsiTheme="majorBidi" w:cstheme="majorBidi" w:hint="eastAsia"/>
        </w:rPr>
        <w:t>)</w:t>
      </w:r>
      <w:r w:rsidRPr="008012F8">
        <w:rPr>
          <w:rFonts w:ascii="宋体" w:hAnsi="宋体" w:cs="宋体" w:hint="eastAsia"/>
        </w:rPr>
        <w:t>，第</w:t>
      </w:r>
      <w:r w:rsidRPr="008012F8">
        <w:t>33</w:t>
      </w:r>
      <w:r w:rsidRPr="008012F8">
        <w:rPr>
          <w:rFonts w:ascii="宋体" w:hAnsi="宋体" w:cs="宋体" w:hint="eastAsia"/>
        </w:rPr>
        <w:t>页；</w:t>
      </w:r>
      <w:r w:rsidRPr="00DF5565">
        <w:rPr>
          <w:rFonts w:eastAsia="楷体"/>
        </w:rPr>
        <w:t>卡西基里</w:t>
      </w:r>
      <w:r w:rsidRPr="00DF5565">
        <w:rPr>
          <w:rFonts w:eastAsia="楷体"/>
        </w:rPr>
        <w:t>/</w:t>
      </w:r>
      <w:r w:rsidRPr="00DF5565">
        <w:rPr>
          <w:rFonts w:eastAsia="楷体"/>
        </w:rPr>
        <w:t>塞杜杜岛案</w:t>
      </w:r>
      <w:r w:rsidRPr="008012F8">
        <w:t>(</w:t>
      </w:r>
      <w:r w:rsidRPr="008012F8">
        <w:rPr>
          <w:rFonts w:ascii="宋体" w:hAnsi="宋体" w:cs="宋体" w:hint="eastAsia"/>
        </w:rPr>
        <w:t>见上文脚注</w:t>
      </w:r>
      <w:r>
        <w:rPr>
          <w:lang w:val="zh-CN"/>
        </w:rPr>
        <w:fldChar w:fldCharType="begin"/>
      </w:r>
      <w:r>
        <w:rPr>
          <w:lang w:val="zh-CN"/>
        </w:rPr>
        <w:instrText xml:space="preserve"> NOTEREF _Ref461971066 \h </w:instrText>
      </w:r>
      <w:r>
        <w:rPr>
          <w:lang w:val="zh-CN"/>
        </w:rPr>
      </w:r>
      <w:r>
        <w:rPr>
          <w:lang w:val="zh-CN"/>
        </w:rPr>
        <w:fldChar w:fldCharType="separate"/>
      </w:r>
      <w:r w:rsidR="00A73EB9">
        <w:rPr>
          <w:lang w:val="zh-CN"/>
        </w:rPr>
        <w:t>395</w:t>
      </w:r>
      <w:r>
        <w:rPr>
          <w:lang w:val="zh-CN"/>
        </w:rPr>
        <w:fldChar w:fldCharType="end"/>
      </w:r>
      <w:r w:rsidRPr="000C49CF">
        <w:rPr>
          <w:rFonts w:asciiTheme="majorBidi" w:hAnsiTheme="majorBidi" w:cstheme="majorBidi" w:hint="eastAsia"/>
        </w:rPr>
        <w:t>)</w:t>
      </w:r>
      <w:r w:rsidRPr="008012F8">
        <w:rPr>
          <w:rFonts w:ascii="宋体" w:hAnsi="宋体" w:cs="宋体" w:hint="eastAsia"/>
        </w:rPr>
        <w:t>，第</w:t>
      </w:r>
      <w:r w:rsidRPr="008012F8">
        <w:rPr>
          <w:rFonts w:ascii="Time New Roman" w:eastAsia="楷体" w:hAnsi="Time New Roman" w:cs="宋体"/>
        </w:rPr>
        <w:t>1213</w:t>
      </w:r>
      <w:r w:rsidRPr="008012F8">
        <w:rPr>
          <w:rFonts w:ascii="宋体" w:hAnsi="宋体" w:cs="宋体" w:hint="eastAsia"/>
        </w:rPr>
        <w:t>页，第</w:t>
      </w:r>
      <w:r w:rsidRPr="008012F8">
        <w:t>17</w:t>
      </w:r>
      <w:r w:rsidRPr="008012F8">
        <w:rPr>
          <w:rFonts w:ascii="宋体" w:hAnsi="宋体" w:cs="宋体" w:hint="eastAsia"/>
        </w:rPr>
        <w:t>段</w:t>
      </w:r>
      <w:r w:rsidRPr="008012F8">
        <w:t>(</w:t>
      </w:r>
      <w:r w:rsidRPr="008012F8">
        <w:rPr>
          <w:rFonts w:ascii="宋体" w:hAnsi="宋体" w:cs="宋体" w:hint="eastAsia"/>
        </w:rPr>
        <w:t>帕拉－阿朗古伦法官的不同意见</w:t>
      </w:r>
      <w:r w:rsidRPr="008012F8">
        <w:t>)</w:t>
      </w:r>
      <w:r w:rsidRPr="008012F8">
        <w:rPr>
          <w:rFonts w:ascii="宋体" w:hAnsi="宋体" w:cs="宋体" w:hint="eastAsia"/>
        </w:rPr>
        <w:t>。</w:t>
      </w:r>
    </w:p>
  </w:footnote>
  <w:footnote w:id="617">
    <w:p w:rsidR="00AB00DE" w:rsidRPr="008012F8" w:rsidRDefault="00AB00DE" w:rsidP="00560424">
      <w:pPr>
        <w:pStyle w:val="a4"/>
      </w:pPr>
      <w:r w:rsidRPr="008012F8">
        <w:tab/>
      </w:r>
      <w:r w:rsidRPr="00DF5565">
        <w:rPr>
          <w:rStyle w:val="a5"/>
        </w:rPr>
        <w:footnoteRef/>
      </w:r>
      <w:r w:rsidRPr="008012F8">
        <w:tab/>
      </w:r>
      <w:r w:rsidRPr="008012F8">
        <w:rPr>
          <w:rFonts w:eastAsia="楷体"/>
        </w:rPr>
        <w:t>尼加拉瓜和洪都拉斯之间在加勒比海的领土和海洋争端案</w:t>
      </w:r>
      <w:r w:rsidRPr="008012F8">
        <w:t>(</w:t>
      </w:r>
      <w:r w:rsidRPr="00DF5565">
        <w:rPr>
          <w:rFonts w:eastAsia="楷体"/>
        </w:rPr>
        <w:t>尼加拉瓜诉洪都拉斯</w:t>
      </w:r>
      <w:r w:rsidRPr="008012F8">
        <w:t>)</w:t>
      </w:r>
      <w:r w:rsidRPr="008012F8">
        <w:rPr>
          <w:rFonts w:ascii="宋体" w:hAnsi="宋体" w:cs="宋体" w:hint="eastAsia"/>
        </w:rPr>
        <w:t>，</w:t>
      </w:r>
      <w:r w:rsidRPr="008012F8">
        <w:rPr>
          <w:rFonts w:ascii="Time New Roman" w:eastAsia="楷体" w:hAnsi="Time New Roman" w:cs="宋体" w:hint="eastAsia"/>
        </w:rPr>
        <w:t>判决</w:t>
      </w:r>
      <w:r w:rsidRPr="008012F8">
        <w:rPr>
          <w:rFonts w:ascii="宋体" w:hAnsi="宋体" w:cs="宋体" w:hint="eastAsia"/>
        </w:rPr>
        <w:t>，《</w:t>
      </w:r>
      <w:r w:rsidRPr="008012F8">
        <w:t>2007</w:t>
      </w:r>
      <w:r w:rsidRPr="008012F8">
        <w:rPr>
          <w:rFonts w:ascii="宋体" w:hAnsi="宋体" w:cs="宋体" w:hint="eastAsia"/>
        </w:rPr>
        <w:t>年国际法院案例汇编》，第</w:t>
      </w:r>
      <w:r w:rsidRPr="008012F8">
        <w:t>659</w:t>
      </w:r>
      <w:r w:rsidRPr="008012F8">
        <w:rPr>
          <w:rFonts w:ascii="宋体" w:hAnsi="宋体" w:cs="宋体" w:hint="eastAsia"/>
        </w:rPr>
        <w:t>页起，见第</w:t>
      </w:r>
      <w:r w:rsidRPr="008012F8">
        <w:t>737</w:t>
      </w:r>
      <w:r w:rsidRPr="008012F8">
        <w:rPr>
          <w:rFonts w:ascii="宋体" w:hAnsi="宋体" w:cs="宋体" w:hint="eastAsia"/>
        </w:rPr>
        <w:t>页，第</w:t>
      </w:r>
      <w:r w:rsidRPr="008012F8">
        <w:t>258</w:t>
      </w:r>
      <w:r w:rsidRPr="008012F8">
        <w:rPr>
          <w:rFonts w:ascii="宋体" w:hAnsi="宋体" w:cs="宋体" w:hint="eastAsia"/>
        </w:rPr>
        <w:t>段；但是，见</w:t>
      </w:r>
      <w:r w:rsidRPr="008012F8">
        <w:rPr>
          <w:rFonts w:eastAsia="楷体"/>
        </w:rPr>
        <w:t>大陆架案</w:t>
      </w:r>
      <w:r w:rsidRPr="008012F8">
        <w:t>(</w:t>
      </w:r>
      <w:r w:rsidRPr="008012F8">
        <w:rPr>
          <w:rFonts w:ascii="Time New Roman" w:eastAsia="楷体" w:hAnsi="Time New Roman" w:cs="宋体" w:hint="eastAsia"/>
        </w:rPr>
        <w:t>突尼斯</w:t>
      </w:r>
      <w:r w:rsidRPr="008012F8">
        <w:rPr>
          <w:rFonts w:ascii="Time New Roman" w:eastAsia="楷体" w:hAnsi="Time New Roman"/>
        </w:rPr>
        <w:t>/</w:t>
      </w:r>
      <w:r w:rsidRPr="008012F8">
        <w:rPr>
          <w:rFonts w:ascii="Time New Roman" w:eastAsia="楷体" w:hAnsi="Time New Roman" w:cs="宋体" w:hint="eastAsia"/>
        </w:rPr>
        <w:t>阿拉伯利比亚民众国</w:t>
      </w:r>
      <w:r w:rsidRPr="008012F8">
        <w:t>)</w:t>
      </w:r>
      <w:r w:rsidRPr="008012F8">
        <w:rPr>
          <w:rFonts w:ascii="宋体" w:hAnsi="宋体" w:cs="宋体" w:hint="eastAsia"/>
        </w:rPr>
        <w:t>，</w:t>
      </w:r>
      <w:r w:rsidRPr="008012F8">
        <w:rPr>
          <w:rFonts w:ascii="Time New Roman" w:eastAsia="楷体" w:hAnsi="Time New Roman" w:cs="宋体" w:hint="eastAsia"/>
        </w:rPr>
        <w:t>判决</w:t>
      </w:r>
      <w:r w:rsidRPr="008012F8">
        <w:rPr>
          <w:rFonts w:ascii="宋体" w:hAnsi="宋体" w:cs="宋体" w:hint="eastAsia"/>
        </w:rPr>
        <w:t>，《</w:t>
      </w:r>
      <w:r w:rsidRPr="008012F8">
        <w:t>1982</w:t>
      </w:r>
      <w:r w:rsidRPr="008012F8">
        <w:rPr>
          <w:rFonts w:ascii="宋体" w:hAnsi="宋体" w:cs="宋体" w:hint="eastAsia"/>
        </w:rPr>
        <w:t>年国际法院案例汇编》，第</w:t>
      </w:r>
      <w:r w:rsidRPr="008012F8">
        <w:t>18</w:t>
      </w:r>
      <w:r w:rsidRPr="008012F8">
        <w:rPr>
          <w:rFonts w:ascii="宋体" w:hAnsi="宋体" w:cs="宋体" w:hint="eastAsia"/>
        </w:rPr>
        <w:t>页起，见第</w:t>
      </w:r>
      <w:r w:rsidRPr="008012F8">
        <w:t>83-84</w:t>
      </w:r>
      <w:r w:rsidRPr="008012F8">
        <w:rPr>
          <w:rFonts w:ascii="宋体" w:hAnsi="宋体" w:cs="宋体" w:hint="eastAsia"/>
        </w:rPr>
        <w:t>页，第</w:t>
      </w:r>
      <w:r w:rsidRPr="008012F8">
        <w:t>117</w:t>
      </w:r>
      <w:r w:rsidRPr="008012F8">
        <w:rPr>
          <w:rFonts w:ascii="宋体" w:hAnsi="宋体" w:cs="宋体" w:hint="eastAsia"/>
        </w:rPr>
        <w:t>段，在此段中，法院将争议双方授予的特许权视为双方默示协定的证据；另见</w:t>
      </w:r>
      <w:r w:rsidRPr="008012F8">
        <w:rPr>
          <w:rFonts w:eastAsia="楷体"/>
        </w:rPr>
        <w:t>海洋争端案</w:t>
      </w:r>
      <w:r w:rsidRPr="008012F8">
        <w:t>(</w:t>
      </w:r>
      <w:r w:rsidRPr="00DF5565">
        <w:rPr>
          <w:rFonts w:eastAsia="楷体"/>
        </w:rPr>
        <w:t>秘鲁诉智利</w:t>
      </w:r>
      <w:r w:rsidRPr="00DF5565">
        <w:rPr>
          <w:rFonts w:eastAsia="楷体"/>
        </w:rPr>
        <w:t>)</w:t>
      </w:r>
      <w:r w:rsidRPr="00DF5565">
        <w:rPr>
          <w:rFonts w:eastAsia="楷体" w:hint="eastAsia"/>
        </w:rPr>
        <w:t>(</w:t>
      </w:r>
      <w:r w:rsidRPr="008012F8">
        <w:rPr>
          <w:rFonts w:ascii="宋体" w:hAnsi="宋体" w:cs="宋体" w:hint="eastAsia"/>
        </w:rPr>
        <w:t>见上文脚注</w:t>
      </w:r>
      <w:r w:rsidRPr="00560424">
        <w:rPr>
          <w:rFonts w:asciiTheme="majorBidi" w:hAnsiTheme="majorBidi" w:cstheme="majorBidi"/>
        </w:rPr>
        <w:fldChar w:fldCharType="begin"/>
      </w:r>
      <w:r w:rsidRPr="00560424">
        <w:rPr>
          <w:rFonts w:asciiTheme="majorBidi" w:hAnsiTheme="majorBidi" w:cstheme="majorBidi"/>
        </w:rPr>
        <w:instrText xml:space="preserve"> NOTEREF _Ref461976041 \h </w:instrText>
      </w:r>
      <w:r>
        <w:rPr>
          <w:rFonts w:asciiTheme="majorBidi" w:hAnsiTheme="majorBidi" w:cstheme="majorBidi"/>
        </w:rPr>
        <w:instrText xml:space="preserve"> \* MERGEFORMAT </w:instrText>
      </w:r>
      <w:r w:rsidRPr="00560424">
        <w:rPr>
          <w:rFonts w:asciiTheme="majorBidi" w:hAnsiTheme="majorBidi" w:cstheme="majorBidi"/>
        </w:rPr>
      </w:r>
      <w:r w:rsidRPr="00560424">
        <w:rPr>
          <w:rFonts w:asciiTheme="majorBidi" w:hAnsiTheme="majorBidi" w:cstheme="majorBidi"/>
        </w:rPr>
        <w:fldChar w:fldCharType="separate"/>
      </w:r>
      <w:r w:rsidR="00A73EB9">
        <w:rPr>
          <w:rFonts w:asciiTheme="majorBidi" w:hAnsiTheme="majorBidi" w:cstheme="majorBidi"/>
        </w:rPr>
        <w:t>613</w:t>
      </w:r>
      <w:r w:rsidRPr="00560424">
        <w:rPr>
          <w:rFonts w:asciiTheme="majorBidi" w:hAnsiTheme="majorBidi" w:cstheme="majorBidi"/>
        </w:rPr>
        <w:fldChar w:fldCharType="end"/>
      </w:r>
      <w:r w:rsidRPr="00DF5565">
        <w:rPr>
          <w:rFonts w:asciiTheme="majorBidi" w:eastAsia="楷体" w:hAnsiTheme="majorBidi" w:cstheme="majorBidi" w:hint="eastAsia"/>
        </w:rPr>
        <w:t>)</w:t>
      </w:r>
      <w:r w:rsidRPr="008012F8">
        <w:rPr>
          <w:rFonts w:ascii="宋体" w:hAnsi="宋体" w:cs="宋体" w:hint="eastAsia"/>
        </w:rPr>
        <w:t>。</w:t>
      </w:r>
    </w:p>
  </w:footnote>
  <w:footnote w:id="618">
    <w:p w:rsidR="00AB00DE" w:rsidRPr="008012F8" w:rsidRDefault="00AB00DE" w:rsidP="00D90936">
      <w:pPr>
        <w:pStyle w:val="a4"/>
      </w:pPr>
      <w:r w:rsidRPr="008012F8">
        <w:tab/>
      </w:r>
      <w:r w:rsidRPr="00DF5565">
        <w:rPr>
          <w:rStyle w:val="a5"/>
        </w:rPr>
        <w:footnoteRef/>
      </w:r>
      <w:r w:rsidRPr="008012F8">
        <w:tab/>
        <w:t>Gardiner,</w:t>
      </w:r>
      <w:r w:rsidRPr="008012F8">
        <w:rPr>
          <w:rFonts w:ascii="宋体" w:hAnsi="宋体" w:cs="宋体" w:hint="eastAsia"/>
        </w:rPr>
        <w:t>《条约解释》</w:t>
      </w:r>
      <w:r w:rsidRPr="008012F8">
        <w:t>(</w:t>
      </w:r>
      <w:r w:rsidRPr="00D90936">
        <w:rPr>
          <w:rFonts w:ascii="Time New Roman" w:hAnsi="Time New Roman" w:cs="宋体" w:hint="eastAsia"/>
        </w:rPr>
        <w:t>见</w:t>
      </w:r>
      <w:r w:rsidRPr="00D90936">
        <w:rPr>
          <w:rFonts w:ascii="Time New Roman" w:hAnsi="Time New Roman" w:cstheme="majorBidi"/>
        </w:rPr>
        <w:t>上文脚注</w:t>
      </w:r>
      <w:r w:rsidRPr="00D90936">
        <w:rPr>
          <w:rFonts w:asciiTheme="majorBidi" w:hAnsiTheme="majorBidi" w:cstheme="majorBidi"/>
        </w:rPr>
        <w:fldChar w:fldCharType="begin"/>
      </w:r>
      <w:r w:rsidRPr="00D90936">
        <w:rPr>
          <w:rFonts w:asciiTheme="majorBidi" w:hAnsiTheme="majorBidi" w:cstheme="majorBidi"/>
        </w:rPr>
        <w:instrText xml:space="preserve"> NOTEREF _Ref461971974 \h </w:instrText>
      </w:r>
      <w:r>
        <w:rPr>
          <w:rFonts w:asciiTheme="majorBidi" w:hAnsiTheme="majorBidi" w:cstheme="majorBidi"/>
        </w:rPr>
        <w:instrText xml:space="preserve"> \* MERGEFORMAT </w:instrText>
      </w:r>
      <w:r w:rsidRPr="00D90936">
        <w:rPr>
          <w:rFonts w:asciiTheme="majorBidi" w:hAnsiTheme="majorBidi" w:cstheme="majorBidi"/>
        </w:rPr>
      </w:r>
      <w:r w:rsidRPr="00D90936">
        <w:rPr>
          <w:rFonts w:asciiTheme="majorBidi" w:hAnsiTheme="majorBidi" w:cstheme="majorBidi"/>
        </w:rPr>
        <w:fldChar w:fldCharType="separate"/>
      </w:r>
      <w:r w:rsidR="00A73EB9">
        <w:rPr>
          <w:rFonts w:asciiTheme="majorBidi" w:hAnsiTheme="majorBidi" w:cstheme="majorBidi"/>
        </w:rPr>
        <w:t>392</w:t>
      </w:r>
      <w:r w:rsidRPr="00D90936">
        <w:rPr>
          <w:rFonts w:asciiTheme="majorBidi" w:hAnsiTheme="majorBidi" w:cstheme="majorBidi"/>
        </w:rPr>
        <w:fldChar w:fldCharType="end"/>
      </w:r>
      <w:r w:rsidRPr="00FA4C6D">
        <w:rPr>
          <w:rFonts w:asciiTheme="majorBidi" w:eastAsia="黑体" w:hAnsiTheme="majorBidi" w:cstheme="majorBidi"/>
        </w:rPr>
        <w:t>)</w:t>
      </w:r>
      <w:r w:rsidRPr="00FA4C6D">
        <w:rPr>
          <w:rFonts w:asciiTheme="majorBidi" w:eastAsia="黑体" w:hAnsiTheme="majorBidi" w:cstheme="majorBidi"/>
        </w:rPr>
        <w:t>，</w:t>
      </w:r>
      <w:r w:rsidRPr="00560424">
        <w:rPr>
          <w:rFonts w:ascii="Time New Roman" w:hAnsi="Time New Roman" w:cstheme="majorBidi"/>
        </w:rPr>
        <w:t>第</w:t>
      </w:r>
      <w:r w:rsidRPr="00560424">
        <w:rPr>
          <w:rFonts w:ascii="Time New Roman" w:hAnsi="Time New Roman" w:cstheme="majorBidi"/>
        </w:rPr>
        <w:t>244</w:t>
      </w:r>
      <w:r w:rsidRPr="00560424">
        <w:rPr>
          <w:rFonts w:ascii="Time New Roman" w:hAnsi="Time New Roman"/>
        </w:rPr>
        <w:t>和</w:t>
      </w:r>
      <w:r w:rsidRPr="00560424">
        <w:rPr>
          <w:rFonts w:ascii="Time New Roman" w:hAnsi="Time New Roman"/>
        </w:rPr>
        <w:t>250</w:t>
      </w:r>
      <w:r w:rsidRPr="00560424">
        <w:rPr>
          <w:rFonts w:ascii="Time New Roman" w:hAnsi="Time New Roman" w:cs="宋体" w:hint="eastAsia"/>
        </w:rPr>
        <w:t>页</w:t>
      </w:r>
      <w:r w:rsidRPr="008012F8">
        <w:rPr>
          <w:rFonts w:ascii="宋体" w:hAnsi="宋体" w:cs="宋体" w:hint="eastAsia"/>
        </w:rPr>
        <w:t>。</w:t>
      </w:r>
    </w:p>
  </w:footnote>
  <w:footnote w:id="619">
    <w:p w:rsidR="00AB00DE" w:rsidRPr="000C49CF" w:rsidRDefault="00AB00DE" w:rsidP="008D7906">
      <w:pPr>
        <w:pStyle w:val="a4"/>
        <w:rPr>
          <w:rFonts w:asciiTheme="majorBidi" w:hAnsiTheme="majorBidi" w:cstheme="majorBidi"/>
        </w:rPr>
      </w:pPr>
      <w:r w:rsidRPr="000C49CF">
        <w:rPr>
          <w:rFonts w:asciiTheme="majorBidi" w:hAnsiTheme="majorBidi" w:cstheme="majorBidi"/>
        </w:rPr>
        <w:tab/>
      </w:r>
      <w:r w:rsidRPr="00B80FD2">
        <w:rPr>
          <w:rStyle w:val="a5"/>
        </w:rPr>
        <w:footnoteRef/>
      </w:r>
      <w:r w:rsidRPr="000C49CF">
        <w:rPr>
          <w:rFonts w:asciiTheme="majorBidi" w:hAnsiTheme="majorBidi" w:cstheme="majorBidi"/>
        </w:rPr>
        <w:tab/>
      </w:r>
      <w:r w:rsidRPr="000C49CF">
        <w:rPr>
          <w:rFonts w:asciiTheme="majorBidi" w:hAnsiTheme="majorBidi" w:cstheme="majorBidi" w:hint="eastAsia"/>
        </w:rPr>
        <w:t>见上文，本评注第</w:t>
      </w:r>
      <w:r w:rsidRPr="000C49CF">
        <w:rPr>
          <w:rFonts w:asciiTheme="majorBidi" w:hAnsiTheme="majorBidi" w:cstheme="majorBidi"/>
        </w:rPr>
        <w:t>(1)-(4)</w:t>
      </w:r>
      <w:r w:rsidRPr="000C49CF">
        <w:rPr>
          <w:rFonts w:asciiTheme="majorBidi" w:hAnsiTheme="majorBidi" w:cstheme="majorBidi" w:hint="eastAsia"/>
        </w:rPr>
        <w:t>段；以及</w:t>
      </w:r>
      <w:hyperlink r:id="rId73" w:history="1">
        <w:r w:rsidRPr="000C49CF">
          <w:rPr>
            <w:rFonts w:asciiTheme="majorBidi" w:hAnsiTheme="majorBidi" w:cstheme="majorBidi"/>
          </w:rPr>
          <w:t>A/CN.4/671</w:t>
        </w:r>
      </w:hyperlink>
      <w:r w:rsidRPr="000C49CF">
        <w:rPr>
          <w:rFonts w:asciiTheme="majorBidi" w:hAnsiTheme="majorBidi" w:cstheme="majorBidi" w:hint="eastAsia"/>
        </w:rPr>
        <w:t>,</w:t>
      </w:r>
      <w:r w:rsidRPr="000C49CF">
        <w:rPr>
          <w:rFonts w:asciiTheme="majorBidi" w:hAnsiTheme="majorBidi" w:cstheme="majorBidi"/>
        </w:rPr>
        <w:t xml:space="preserve"> </w:t>
      </w:r>
      <w:r w:rsidRPr="000C49CF">
        <w:rPr>
          <w:rFonts w:asciiTheme="majorBidi" w:hAnsiTheme="majorBidi" w:cstheme="majorBidi" w:hint="eastAsia"/>
        </w:rPr>
        <w:t>第</w:t>
      </w:r>
      <w:r w:rsidRPr="000C49CF">
        <w:rPr>
          <w:rFonts w:asciiTheme="majorBidi" w:hAnsiTheme="majorBidi" w:cstheme="majorBidi"/>
        </w:rPr>
        <w:t>3-5</w:t>
      </w:r>
      <w:r w:rsidRPr="000C49CF">
        <w:rPr>
          <w:rFonts w:asciiTheme="majorBidi" w:hAnsiTheme="majorBidi" w:cstheme="majorBidi" w:hint="eastAsia"/>
        </w:rPr>
        <w:t>段。</w:t>
      </w:r>
    </w:p>
  </w:footnote>
  <w:footnote w:id="620">
    <w:p w:rsidR="00AB00DE" w:rsidRPr="008012F8" w:rsidRDefault="00AB00DE" w:rsidP="008D7906">
      <w:pPr>
        <w:pStyle w:val="a4"/>
      </w:pPr>
      <w:r w:rsidRPr="008012F8">
        <w:tab/>
      </w:r>
      <w:r w:rsidRPr="00DF5565">
        <w:rPr>
          <w:rStyle w:val="a5"/>
        </w:rPr>
        <w:footnoteRef/>
      </w:r>
      <w:r w:rsidRPr="008012F8">
        <w:tab/>
      </w:r>
      <w:r w:rsidRPr="008012F8">
        <w:rPr>
          <w:rFonts w:ascii="宋体" w:hAnsi="宋体" w:cs="宋体" w:hint="eastAsia"/>
        </w:rPr>
        <w:t>见上文结论草案</w:t>
      </w:r>
      <w:r w:rsidRPr="008012F8">
        <w:t>2</w:t>
      </w:r>
      <w:r w:rsidRPr="008012F8">
        <w:rPr>
          <w:rFonts w:hint="eastAsia"/>
        </w:rPr>
        <w:t>[1]</w:t>
      </w:r>
      <w:r w:rsidRPr="008012F8">
        <w:rPr>
          <w:rFonts w:ascii="宋体" w:hAnsi="宋体" w:cs="宋体" w:hint="eastAsia"/>
        </w:rPr>
        <w:t>的评注</w:t>
      </w:r>
      <w:r w:rsidRPr="008012F8">
        <w:t>，</w:t>
      </w:r>
      <w:r w:rsidRPr="008012F8">
        <w:rPr>
          <w:rFonts w:ascii="宋体" w:hAnsi="宋体" w:cs="宋体" w:hint="eastAsia"/>
        </w:rPr>
        <w:t>第</w:t>
      </w:r>
      <w:r w:rsidRPr="008012F8">
        <w:t>(10)</w:t>
      </w:r>
      <w:r w:rsidRPr="008012F8">
        <w:rPr>
          <w:rFonts w:ascii="宋体" w:hAnsi="宋体" w:cs="宋体" w:hint="eastAsia"/>
        </w:rPr>
        <w:t>段。</w:t>
      </w:r>
    </w:p>
  </w:footnote>
  <w:footnote w:id="621">
    <w:p w:rsidR="00AB00DE" w:rsidRPr="008012F8" w:rsidRDefault="00AB00DE" w:rsidP="00267AB1">
      <w:pPr>
        <w:pStyle w:val="a4"/>
      </w:pPr>
      <w:r w:rsidRPr="008012F8">
        <w:tab/>
      </w:r>
      <w:r w:rsidRPr="00DF5565">
        <w:rPr>
          <w:rStyle w:val="a5"/>
        </w:rPr>
        <w:footnoteRef/>
      </w:r>
      <w:r w:rsidRPr="008012F8">
        <w:tab/>
        <w:t>Crook,</w:t>
      </w:r>
      <w:r w:rsidRPr="008012F8">
        <w:rPr>
          <w:rFonts w:hint="eastAsia"/>
        </w:rPr>
        <w:t>“</w:t>
      </w:r>
      <w:r w:rsidRPr="008012F8">
        <w:rPr>
          <w:rFonts w:ascii="宋体" w:hAnsi="宋体" w:cs="宋体" w:hint="eastAsia"/>
        </w:rPr>
        <w:t>美国当代惯例</w:t>
      </w:r>
      <w:r w:rsidRPr="008012F8">
        <w:rPr>
          <w:rFonts w:hint="eastAsia"/>
        </w:rPr>
        <w:t>”</w:t>
      </w:r>
      <w:r w:rsidRPr="008012F8">
        <w:t>(</w:t>
      </w:r>
      <w:r w:rsidRPr="008012F8">
        <w:rPr>
          <w:rFonts w:ascii="宋体" w:hAnsi="宋体" w:cs="宋体" w:hint="eastAsia"/>
        </w:rPr>
        <w:t>见上文脚注</w:t>
      </w:r>
      <w:r>
        <w:rPr>
          <w:rFonts w:asciiTheme="majorBidi" w:hAnsiTheme="majorBidi" w:cstheme="majorBidi"/>
        </w:rPr>
        <w:fldChar w:fldCharType="begin"/>
      </w:r>
      <w:r>
        <w:rPr>
          <w:rFonts w:asciiTheme="majorBidi" w:hAnsiTheme="majorBidi" w:cstheme="majorBidi"/>
        </w:rPr>
        <w:instrText xml:space="preserve"> NOTEREF _Ref461973791 \h </w:instrText>
      </w:r>
      <w:r>
        <w:rPr>
          <w:rFonts w:asciiTheme="majorBidi" w:hAnsiTheme="majorBidi" w:cstheme="majorBidi"/>
        </w:rPr>
      </w:r>
      <w:r>
        <w:rPr>
          <w:rFonts w:asciiTheme="majorBidi" w:hAnsiTheme="majorBidi" w:cstheme="majorBidi"/>
        </w:rPr>
        <w:fldChar w:fldCharType="separate"/>
      </w:r>
      <w:r w:rsidR="00A73EB9">
        <w:rPr>
          <w:rFonts w:asciiTheme="majorBidi" w:hAnsiTheme="majorBidi" w:cstheme="majorBidi"/>
        </w:rPr>
        <w:t>606</w:t>
      </w:r>
      <w:r>
        <w:rPr>
          <w:rFonts w:asciiTheme="majorBidi" w:hAnsiTheme="majorBidi" w:cstheme="majorBidi"/>
        </w:rPr>
        <w:fldChar w:fldCharType="end"/>
      </w:r>
      <w:r w:rsidRPr="00FA4C6D">
        <w:rPr>
          <w:rFonts w:asciiTheme="majorBidi" w:hAnsiTheme="majorBidi" w:cstheme="majorBidi"/>
        </w:rPr>
        <w:t>)</w:t>
      </w:r>
      <w:r w:rsidRPr="008012F8">
        <w:t>，</w:t>
      </w:r>
      <w:r w:rsidRPr="008012F8">
        <w:rPr>
          <w:rFonts w:ascii="宋体" w:hAnsi="宋体" w:cs="宋体" w:hint="eastAsia"/>
          <w:lang w:val="es-ES"/>
        </w:rPr>
        <w:t>第</w:t>
      </w:r>
      <w:r w:rsidRPr="008012F8">
        <w:t>809-812</w:t>
      </w:r>
      <w:r w:rsidRPr="008012F8">
        <w:rPr>
          <w:rFonts w:ascii="宋体" w:hAnsi="宋体" w:cs="宋体" w:hint="eastAsia"/>
          <w:lang w:val="es-ES"/>
        </w:rPr>
        <w:t>页</w:t>
      </w:r>
      <w:r w:rsidRPr="008012F8">
        <w:rPr>
          <w:rFonts w:ascii="宋体" w:hAnsi="宋体" w:cs="宋体" w:hint="eastAsia"/>
        </w:rPr>
        <w:t>；</w:t>
      </w:r>
      <w:r w:rsidRPr="008012F8">
        <w:rPr>
          <w:rFonts w:ascii="宋体" w:hAnsi="宋体" w:cs="宋体" w:hint="eastAsia"/>
          <w:lang w:val="es-ES"/>
        </w:rPr>
        <w:t>另见墨西哥</w:t>
      </w:r>
      <w:r w:rsidRPr="008012F8">
        <w:rPr>
          <w:rFonts w:ascii="宋体" w:hAnsi="宋体" w:cs="宋体" w:hint="eastAsia"/>
        </w:rPr>
        <w:t>，</w:t>
      </w:r>
      <w:r w:rsidRPr="008012F8">
        <w:t>Diario Oficial de la Federación (2011</w:t>
      </w:r>
      <w:r w:rsidRPr="008012F8">
        <w:rPr>
          <w:rFonts w:ascii="宋体" w:hAnsi="宋体" w:cs="宋体" w:hint="eastAsia"/>
          <w:lang w:val="es-ES"/>
        </w:rPr>
        <w:t>年</w:t>
      </w:r>
      <w:r w:rsidRPr="008012F8">
        <w:t>7</w:t>
      </w:r>
      <w:r w:rsidRPr="008012F8">
        <w:rPr>
          <w:rFonts w:ascii="宋体" w:hAnsi="宋体" w:cs="宋体" w:hint="eastAsia"/>
          <w:lang w:val="es-ES"/>
        </w:rPr>
        <w:t>月</w:t>
      </w:r>
      <w:r w:rsidRPr="008012F8">
        <w:t>7</w:t>
      </w:r>
      <w:r w:rsidRPr="008012F8">
        <w:rPr>
          <w:rFonts w:ascii="宋体" w:hAnsi="宋体" w:cs="宋体" w:hint="eastAsia"/>
          <w:lang w:val="es-ES"/>
        </w:rPr>
        <w:t>日</w:t>
      </w:r>
      <w:r w:rsidRPr="008012F8">
        <w:t>)</w:t>
      </w:r>
      <w:r w:rsidRPr="008012F8">
        <w:rPr>
          <w:rFonts w:ascii="宋体" w:hAnsi="宋体" w:cs="宋体" w:hint="eastAsia"/>
        </w:rPr>
        <w:t>，</w:t>
      </w:r>
      <w:r w:rsidRPr="008012F8">
        <w:t>Decreto por el que se modifica el artículo 1 del diverso por el que se establece la Tasa Aplicable durante 2003, del Impuesto General de Importación, para las mercancías originarias de América del Norte, publicado el 31 de diciembre de 2002, por lo que respecta a las mercancías originarias de los Estados Un</w:t>
      </w:r>
      <w:r>
        <w:t>idos de América</w:t>
      </w:r>
      <w:r w:rsidRPr="00FA4C6D">
        <w:rPr>
          <w:rFonts w:asciiTheme="majorBidi" w:hAnsiTheme="majorBidi" w:cstheme="majorBidi"/>
        </w:rPr>
        <w:t>(</w:t>
      </w:r>
      <w:hyperlink r:id="rId74" w:history="1">
        <w:r w:rsidRPr="00FA4C6D">
          <w:rPr>
            <w:rStyle w:val="af"/>
            <w:rFonts w:asciiTheme="majorBidi" w:hAnsiTheme="majorBidi" w:cstheme="majorBidi"/>
          </w:rPr>
          <w:t>www.dof.gob.mx</w:t>
        </w:r>
      </w:hyperlink>
      <w:r w:rsidRPr="00FA4C6D">
        <w:rPr>
          <w:rFonts w:asciiTheme="majorBidi" w:hAnsiTheme="majorBidi" w:cstheme="majorBidi"/>
        </w:rPr>
        <w:t>)</w:t>
      </w:r>
      <w:r w:rsidRPr="00FA4C6D">
        <w:rPr>
          <w:rFonts w:asciiTheme="majorBidi" w:hAnsiTheme="majorBidi" w:cstheme="majorBidi"/>
        </w:rPr>
        <w:t>。</w:t>
      </w:r>
    </w:p>
  </w:footnote>
  <w:footnote w:id="622">
    <w:p w:rsidR="00AB00DE" w:rsidRPr="008012F8" w:rsidRDefault="00AB00DE" w:rsidP="008D7906">
      <w:pPr>
        <w:pStyle w:val="a4"/>
      </w:pPr>
      <w:r w:rsidRPr="008012F8">
        <w:tab/>
      </w:r>
      <w:r w:rsidRPr="00DF5565">
        <w:rPr>
          <w:rStyle w:val="a5"/>
        </w:rPr>
        <w:footnoteRef/>
      </w:r>
      <w:r w:rsidRPr="008012F8">
        <w:tab/>
      </w:r>
      <w:r w:rsidRPr="008012F8">
        <w:rPr>
          <w:rFonts w:ascii="宋体" w:hAnsi="宋体" w:cs="宋体" w:hint="eastAsia"/>
        </w:rPr>
        <w:t>见上文结论草案</w:t>
      </w:r>
      <w:r w:rsidRPr="008012F8">
        <w:t>2</w:t>
      </w:r>
      <w:r w:rsidRPr="008012F8">
        <w:rPr>
          <w:rFonts w:hint="eastAsia"/>
        </w:rPr>
        <w:t>[1]</w:t>
      </w:r>
      <w:r w:rsidRPr="008012F8">
        <w:rPr>
          <w:rFonts w:ascii="宋体" w:hAnsi="宋体" w:cs="宋体" w:hint="eastAsia"/>
        </w:rPr>
        <w:t>第</w:t>
      </w:r>
      <w:r w:rsidRPr="008012F8">
        <w:t>5</w:t>
      </w:r>
      <w:r w:rsidRPr="008012F8">
        <w:rPr>
          <w:rFonts w:ascii="宋体" w:hAnsi="宋体" w:cs="宋体" w:hint="eastAsia"/>
        </w:rPr>
        <w:t>段的评注，第</w:t>
      </w:r>
      <w:r w:rsidRPr="008012F8">
        <w:t>(12)-(15)</w:t>
      </w:r>
      <w:r w:rsidRPr="008012F8">
        <w:rPr>
          <w:rFonts w:ascii="宋体" w:hAnsi="宋体" w:cs="宋体" w:hint="eastAsia"/>
        </w:rPr>
        <w:t>段。</w:t>
      </w:r>
    </w:p>
  </w:footnote>
  <w:footnote w:id="623">
    <w:p w:rsidR="00AB00DE" w:rsidRPr="008012F8" w:rsidRDefault="00AB00DE" w:rsidP="008D7906">
      <w:pPr>
        <w:pStyle w:val="a4"/>
      </w:pPr>
      <w:r w:rsidRPr="008012F8">
        <w:tab/>
      </w:r>
      <w:r w:rsidRPr="00DF5565">
        <w:rPr>
          <w:rStyle w:val="a5"/>
        </w:rPr>
        <w:footnoteRef/>
      </w:r>
      <w:r w:rsidRPr="008012F8">
        <w:tab/>
      </w:r>
      <w:r w:rsidRPr="008012F8">
        <w:rPr>
          <w:rFonts w:ascii="宋体" w:hAnsi="宋体" w:cs="宋体" w:hint="eastAsia"/>
        </w:rPr>
        <w:t>同上。</w:t>
      </w:r>
    </w:p>
  </w:footnote>
  <w:footnote w:id="624">
    <w:p w:rsidR="00AB00DE" w:rsidRPr="008012F8" w:rsidRDefault="00AB00DE" w:rsidP="008D7906">
      <w:pPr>
        <w:pStyle w:val="a4"/>
      </w:pPr>
      <w:r w:rsidRPr="008012F8">
        <w:tab/>
      </w:r>
      <w:r w:rsidRPr="00DF5565">
        <w:rPr>
          <w:rStyle w:val="a5"/>
        </w:rPr>
        <w:footnoteRef/>
      </w:r>
      <w:r w:rsidRPr="008012F8">
        <w:tab/>
      </w:r>
      <w:r w:rsidRPr="008012F8">
        <w:rPr>
          <w:rFonts w:ascii="宋体" w:hAnsi="宋体" w:cs="宋体" w:hint="eastAsia"/>
        </w:rPr>
        <w:t>术语遵循委员会《对条约的保留实践指南》指南</w:t>
      </w:r>
      <w:r w:rsidRPr="008012F8">
        <w:t>1.2(</w:t>
      </w:r>
      <w:r w:rsidRPr="008012F8">
        <w:rPr>
          <w:rFonts w:ascii="宋体" w:hAnsi="宋体" w:cs="宋体" w:hint="eastAsia"/>
        </w:rPr>
        <w:t>解释性声明的定义</w:t>
      </w:r>
      <w:r w:rsidRPr="008012F8">
        <w:t>)</w:t>
      </w:r>
      <w:r w:rsidRPr="008012F8">
        <w:rPr>
          <w:rFonts w:ascii="宋体" w:hAnsi="宋体" w:cs="宋体" w:hint="eastAsia"/>
        </w:rPr>
        <w:t>：</w:t>
      </w:r>
      <w:r w:rsidRPr="008012F8">
        <w:rPr>
          <w:rFonts w:hint="eastAsia"/>
        </w:rPr>
        <w:t>“</w:t>
      </w:r>
      <w:r w:rsidRPr="008012F8">
        <w:rPr>
          <w:rFonts w:ascii="宋体" w:hAnsi="宋体" w:cs="宋体"/>
        </w:rPr>
        <w:t>‘</w:t>
      </w:r>
      <w:r w:rsidRPr="008012F8">
        <w:rPr>
          <w:rFonts w:ascii="宋体" w:hAnsi="宋体" w:cs="宋体" w:hint="eastAsia"/>
        </w:rPr>
        <w:t>解释性声明</w:t>
      </w:r>
      <w:r w:rsidRPr="008012F8">
        <w:rPr>
          <w:rFonts w:ascii="宋体" w:hAnsi="宋体" w:cs="宋体"/>
        </w:rPr>
        <w:t>’</w:t>
      </w:r>
      <w:r w:rsidRPr="008012F8">
        <w:rPr>
          <w:rFonts w:ascii="宋体" w:hAnsi="宋体" w:cs="宋体" w:hint="eastAsia"/>
        </w:rPr>
        <w:t>是指</w:t>
      </w:r>
      <w:r w:rsidRPr="008012F8">
        <w:t>[</w:t>
      </w:r>
      <w:r w:rsidRPr="008012F8">
        <w:rPr>
          <w:rFonts w:ascii="宋体" w:hAnsi="宋体" w:cs="宋体" w:hint="eastAsia"/>
        </w:rPr>
        <w:t>一</w:t>
      </w:r>
      <w:r w:rsidRPr="008012F8">
        <w:t>]</w:t>
      </w:r>
      <w:r w:rsidRPr="008012F8">
        <w:rPr>
          <w:rFonts w:ascii="宋体" w:hAnsi="宋体" w:cs="宋体" w:hint="eastAsia"/>
        </w:rPr>
        <w:t>国或</w:t>
      </w:r>
      <w:r w:rsidRPr="008012F8">
        <w:t>[</w:t>
      </w:r>
      <w:r w:rsidRPr="008012F8">
        <w:rPr>
          <w:rFonts w:ascii="宋体" w:hAnsi="宋体" w:cs="宋体" w:hint="eastAsia"/>
        </w:rPr>
        <w:t>一</w:t>
      </w:r>
      <w:r w:rsidRPr="008012F8">
        <w:t>]</w:t>
      </w:r>
      <w:r w:rsidRPr="008012F8">
        <w:rPr>
          <w:rFonts w:ascii="宋体" w:hAnsi="宋体" w:cs="宋体" w:hint="eastAsia"/>
        </w:rPr>
        <w:t>国际组织为了阐明或澄清条约或其中某些规定的含义或范围而作出的单方面声明</w:t>
      </w:r>
      <w:r w:rsidRPr="008012F8">
        <w:t>。</w:t>
      </w:r>
      <w:r w:rsidRPr="008012F8">
        <w:rPr>
          <w:rFonts w:hint="eastAsia"/>
        </w:rPr>
        <w:t>”</w:t>
      </w:r>
      <w:r w:rsidRPr="008012F8">
        <w:t>(</w:t>
      </w:r>
      <w:r w:rsidRPr="008012F8">
        <w:rPr>
          <w:rFonts w:hint="eastAsia"/>
        </w:rPr>
        <w:t>《</w:t>
      </w:r>
      <w:r w:rsidRPr="008012F8">
        <w:rPr>
          <w:rFonts w:ascii="宋体" w:hAnsi="宋体" w:cs="宋体" w:hint="eastAsia"/>
        </w:rPr>
        <w:t>大会正式记录，第六十六届会议，补编第</w:t>
      </w:r>
      <w:r w:rsidRPr="00FA4C6D">
        <w:t>10</w:t>
      </w:r>
      <w:r w:rsidRPr="00FA4C6D">
        <w:rPr>
          <w:rFonts w:ascii="宋体" w:hAnsi="宋体" w:cs="宋体" w:hint="eastAsia"/>
        </w:rPr>
        <w:t>号》</w:t>
      </w:r>
      <w:r w:rsidRPr="00FA4C6D">
        <w:t>(</w:t>
      </w:r>
      <w:hyperlink r:id="rId75" w:history="1">
        <w:r w:rsidRPr="00FA4C6D">
          <w:rPr>
            <w:rStyle w:val="af"/>
          </w:rPr>
          <w:t>A/66/10</w:t>
        </w:r>
      </w:hyperlink>
      <w:r w:rsidRPr="00FA4C6D">
        <w:rPr>
          <w:rFonts w:hint="eastAsia"/>
        </w:rPr>
        <w:t>)</w:t>
      </w:r>
      <w:r w:rsidRPr="00FA4C6D">
        <w:rPr>
          <w:rFonts w:hint="eastAsia"/>
        </w:rPr>
        <w:t>，</w:t>
      </w:r>
      <w:r w:rsidRPr="00FA4C6D">
        <w:rPr>
          <w:rFonts w:ascii="宋体" w:hAnsi="宋体" w:cs="宋体" w:hint="eastAsia"/>
        </w:rPr>
        <w:t>第四</w:t>
      </w:r>
      <w:r w:rsidRPr="008012F8">
        <w:rPr>
          <w:rFonts w:ascii="宋体" w:hAnsi="宋体" w:cs="宋体" w:hint="eastAsia"/>
        </w:rPr>
        <w:t>章，指南</w:t>
      </w:r>
      <w:r w:rsidRPr="008012F8">
        <w:t>1.2</w:t>
      </w:r>
      <w:r w:rsidRPr="008012F8">
        <w:rPr>
          <w:rFonts w:hint="eastAsia"/>
        </w:rPr>
        <w:t>)</w:t>
      </w:r>
      <w:r w:rsidRPr="008012F8">
        <w:rPr>
          <w:rFonts w:ascii="宋体" w:hAnsi="宋体" w:cs="宋体" w:hint="eastAsia"/>
        </w:rPr>
        <w:t>；另见对指南</w:t>
      </w:r>
      <w:r w:rsidRPr="008012F8">
        <w:t>1.2</w:t>
      </w:r>
      <w:r w:rsidRPr="008012F8">
        <w:rPr>
          <w:rFonts w:ascii="宋体" w:hAnsi="宋体" w:cs="宋体" w:hint="eastAsia"/>
        </w:rPr>
        <w:t>的评注，第</w:t>
      </w:r>
      <w:r w:rsidRPr="008012F8">
        <w:t>(18)</w:t>
      </w:r>
      <w:r w:rsidRPr="008012F8">
        <w:rPr>
          <w:rFonts w:ascii="宋体" w:hAnsi="宋体" w:cs="宋体" w:hint="eastAsia"/>
        </w:rPr>
        <w:t>段</w:t>
      </w:r>
      <w:r w:rsidRPr="008012F8">
        <w:t>(</w:t>
      </w:r>
      <w:hyperlink r:id="rId76" w:history="1">
        <w:r w:rsidRPr="00FA4C6D">
          <w:rPr>
            <w:rStyle w:val="af"/>
          </w:rPr>
          <w:t>A/66/10</w:t>
        </w:r>
        <w:r w:rsidRPr="00FA4C6D">
          <w:rPr>
            <w:rStyle w:val="af"/>
            <w:rFonts w:hint="eastAsia"/>
          </w:rPr>
          <w:t>/</w:t>
        </w:r>
        <w:r w:rsidRPr="00FA4C6D">
          <w:rPr>
            <w:rStyle w:val="af"/>
          </w:rPr>
          <w:t>Add.1</w:t>
        </w:r>
      </w:hyperlink>
      <w:r w:rsidRPr="00FA4C6D">
        <w:t>)</w:t>
      </w:r>
      <w:r w:rsidRPr="008012F8">
        <w:rPr>
          <w:rFonts w:ascii="宋体" w:hAnsi="宋体" w:cs="宋体" w:hint="eastAsia"/>
        </w:rPr>
        <w:t>。</w:t>
      </w:r>
    </w:p>
  </w:footnote>
  <w:footnote w:id="625">
    <w:p w:rsidR="00AB00DE" w:rsidRPr="008012F8" w:rsidRDefault="00AB00DE" w:rsidP="008D7906">
      <w:pPr>
        <w:pStyle w:val="a4"/>
      </w:pPr>
      <w:r w:rsidRPr="008012F8">
        <w:tab/>
      </w:r>
      <w:r w:rsidRPr="00DF5565">
        <w:rPr>
          <w:rStyle w:val="a5"/>
        </w:rPr>
        <w:footnoteRef/>
      </w:r>
      <w:r w:rsidRPr="008012F8">
        <w:tab/>
      </w:r>
      <w:r w:rsidRPr="008012F8">
        <w:rPr>
          <w:rFonts w:ascii="宋体" w:hAnsi="宋体" w:cs="宋体" w:hint="eastAsia"/>
        </w:rPr>
        <w:t>见上文对结论草案</w:t>
      </w:r>
      <w:r w:rsidRPr="008012F8">
        <w:t>2</w:t>
      </w:r>
      <w:r w:rsidRPr="008012F8">
        <w:rPr>
          <w:rFonts w:hint="eastAsia"/>
        </w:rPr>
        <w:t>[1]</w:t>
      </w:r>
      <w:r w:rsidRPr="008012F8">
        <w:rPr>
          <w:rFonts w:ascii="宋体" w:hAnsi="宋体" w:cs="宋体" w:hint="eastAsia"/>
        </w:rPr>
        <w:t>第</w:t>
      </w:r>
      <w:r w:rsidRPr="008012F8">
        <w:t>5</w:t>
      </w:r>
      <w:r w:rsidRPr="008012F8">
        <w:rPr>
          <w:rFonts w:ascii="宋体" w:hAnsi="宋体" w:cs="宋体" w:hint="eastAsia"/>
        </w:rPr>
        <w:t>段的评注，第</w:t>
      </w:r>
      <w:r w:rsidRPr="008012F8">
        <w:t>(14)</w:t>
      </w:r>
      <w:r w:rsidRPr="008012F8">
        <w:rPr>
          <w:rFonts w:ascii="宋体" w:hAnsi="宋体" w:cs="宋体" w:hint="eastAsia"/>
        </w:rPr>
        <w:t>段</w:t>
      </w:r>
      <w:r w:rsidRPr="008012F8">
        <w:t>；</w:t>
      </w:r>
      <w:r w:rsidRPr="00DF5565">
        <w:rPr>
          <w:rFonts w:eastAsia="楷体"/>
        </w:rPr>
        <w:t>大会接纳国家加入联合国的权限，咨询意见</w:t>
      </w:r>
      <w:r w:rsidRPr="008012F8">
        <w:rPr>
          <w:rFonts w:ascii="宋体" w:hAnsi="宋体" w:cs="宋体" w:hint="eastAsia"/>
        </w:rPr>
        <w:t>，《</w:t>
      </w:r>
      <w:r w:rsidRPr="008012F8">
        <w:t>1950</w:t>
      </w:r>
      <w:r w:rsidRPr="008012F8">
        <w:rPr>
          <w:rFonts w:ascii="宋体" w:hAnsi="宋体" w:cs="宋体" w:hint="eastAsia"/>
        </w:rPr>
        <w:t>年国院法院案例汇编》，第</w:t>
      </w:r>
      <w:r w:rsidRPr="008012F8">
        <w:t>4</w:t>
      </w:r>
      <w:r w:rsidRPr="008012F8">
        <w:rPr>
          <w:rFonts w:ascii="宋体" w:hAnsi="宋体" w:cs="宋体" w:hint="eastAsia"/>
        </w:rPr>
        <w:t>页起，见第</w:t>
      </w:r>
      <w:r w:rsidRPr="008012F8">
        <w:t>8</w:t>
      </w:r>
      <w:r w:rsidRPr="008012F8">
        <w:rPr>
          <w:rFonts w:ascii="宋体" w:hAnsi="宋体" w:cs="宋体" w:hint="eastAsia"/>
        </w:rPr>
        <w:t>页。</w:t>
      </w:r>
    </w:p>
  </w:footnote>
  <w:footnote w:id="626">
    <w:p w:rsidR="00AB00DE" w:rsidRPr="008012F8" w:rsidRDefault="00AB00DE" w:rsidP="00D90936">
      <w:pPr>
        <w:pStyle w:val="a4"/>
      </w:pPr>
      <w:r w:rsidRPr="008012F8">
        <w:tab/>
      </w:r>
      <w:r w:rsidRPr="00DF5565">
        <w:rPr>
          <w:rStyle w:val="a5"/>
        </w:rPr>
        <w:footnoteRef/>
      </w:r>
      <w:r w:rsidRPr="008012F8">
        <w:tab/>
      </w:r>
      <w:r w:rsidRPr="008012F8">
        <w:rPr>
          <w:rFonts w:ascii="宋体" w:hAnsi="宋体" w:cs="宋体" w:hint="eastAsia"/>
        </w:rPr>
        <w:t>例如见</w:t>
      </w:r>
      <w:r w:rsidRPr="00DF5565">
        <w:rPr>
          <w:rFonts w:eastAsia="楷体"/>
        </w:rPr>
        <w:t>吉利丹岛和西巴丹岛的主权归属案</w:t>
      </w:r>
      <w:r w:rsidRPr="008012F8">
        <w:t>(</w:t>
      </w:r>
      <w:r w:rsidRPr="00FA4C6D">
        <w:rPr>
          <w:rFonts w:asciiTheme="majorBidi" w:hAnsiTheme="majorBidi" w:cstheme="majorBidi"/>
        </w:rPr>
        <w:t>上文脚注</w:t>
      </w:r>
      <w:r>
        <w:rPr>
          <w:lang w:val="zh-CN"/>
        </w:rPr>
        <w:fldChar w:fldCharType="begin"/>
      </w:r>
      <w:r>
        <w:rPr>
          <w:lang w:val="zh-CN"/>
        </w:rPr>
        <w:instrText xml:space="preserve"> NOTEREF _Ref461971066 \h </w:instrText>
      </w:r>
      <w:r>
        <w:rPr>
          <w:lang w:val="zh-CN"/>
        </w:rPr>
      </w:r>
      <w:r>
        <w:rPr>
          <w:lang w:val="zh-CN"/>
        </w:rPr>
        <w:fldChar w:fldCharType="separate"/>
      </w:r>
      <w:r w:rsidR="00A73EB9">
        <w:rPr>
          <w:lang w:val="zh-CN"/>
        </w:rPr>
        <w:t>395</w:t>
      </w:r>
      <w:r>
        <w:rPr>
          <w:lang w:val="zh-CN"/>
        </w:rPr>
        <w:fldChar w:fldCharType="end"/>
      </w:r>
      <w:r w:rsidRPr="00FA4C6D">
        <w:rPr>
          <w:rFonts w:asciiTheme="majorBidi" w:hAnsiTheme="majorBidi" w:cstheme="majorBidi"/>
        </w:rPr>
        <w:t>)</w:t>
      </w:r>
      <w:r w:rsidRPr="00FA4C6D">
        <w:rPr>
          <w:rFonts w:asciiTheme="majorBidi" w:hAnsiTheme="majorBidi" w:cstheme="majorBidi"/>
        </w:rPr>
        <w:t>，</w:t>
      </w:r>
      <w:r w:rsidRPr="008012F8">
        <w:rPr>
          <w:rFonts w:ascii="宋体" w:hAnsi="宋体" w:cs="宋体" w:hint="eastAsia"/>
        </w:rPr>
        <w:t>第</w:t>
      </w:r>
      <w:r w:rsidRPr="008012F8">
        <w:t>656</w:t>
      </w:r>
      <w:r w:rsidRPr="008012F8">
        <w:rPr>
          <w:rFonts w:ascii="宋体" w:hAnsi="宋体" w:cs="宋体" w:hint="eastAsia"/>
        </w:rPr>
        <w:t>页，第</w:t>
      </w:r>
      <w:r w:rsidRPr="008012F8">
        <w:t>59-61</w:t>
      </w:r>
      <w:r w:rsidRPr="008012F8">
        <w:rPr>
          <w:rFonts w:ascii="宋体" w:hAnsi="宋体" w:cs="宋体" w:hint="eastAsia"/>
        </w:rPr>
        <w:t>段和第</w:t>
      </w:r>
      <w:r w:rsidRPr="008012F8">
        <w:t>665</w:t>
      </w:r>
      <w:r w:rsidRPr="008012F8">
        <w:rPr>
          <w:rFonts w:ascii="宋体" w:hAnsi="宋体" w:cs="宋体" w:hint="eastAsia"/>
        </w:rPr>
        <w:t>页，第</w:t>
      </w:r>
      <w:r w:rsidRPr="008012F8">
        <w:t>80</w:t>
      </w:r>
      <w:r w:rsidRPr="008012F8">
        <w:rPr>
          <w:rFonts w:ascii="宋体" w:hAnsi="宋体" w:cs="宋体" w:hint="eastAsia"/>
        </w:rPr>
        <w:t>段；</w:t>
      </w:r>
      <w:r w:rsidRPr="00DF5565">
        <w:rPr>
          <w:rFonts w:eastAsia="楷体"/>
        </w:rPr>
        <w:t>领土争端案</w:t>
      </w:r>
      <w:r w:rsidRPr="00FA4C6D">
        <w:rPr>
          <w:rFonts w:asciiTheme="majorBidi" w:hAnsiTheme="majorBidi" w:cstheme="majorBidi"/>
        </w:rPr>
        <w:t>(</w:t>
      </w:r>
      <w:r w:rsidRPr="00FA4C6D">
        <w:rPr>
          <w:rFonts w:asciiTheme="majorBidi" w:hAnsiTheme="majorBidi" w:cstheme="majorBidi"/>
        </w:rPr>
        <w:t>上文脚注</w:t>
      </w:r>
      <w:r>
        <w:rPr>
          <w:lang w:val="zh-CN"/>
        </w:rPr>
        <w:fldChar w:fldCharType="begin"/>
      </w:r>
      <w:r>
        <w:rPr>
          <w:lang w:val="zh-CN"/>
        </w:rPr>
        <w:instrText xml:space="preserve"> NOTEREF _Ref461971066 \h </w:instrText>
      </w:r>
      <w:r>
        <w:rPr>
          <w:lang w:val="zh-CN"/>
        </w:rPr>
      </w:r>
      <w:r>
        <w:rPr>
          <w:lang w:val="zh-CN"/>
        </w:rPr>
        <w:fldChar w:fldCharType="separate"/>
      </w:r>
      <w:r w:rsidR="00A73EB9">
        <w:rPr>
          <w:lang w:val="zh-CN"/>
        </w:rPr>
        <w:t>395</w:t>
      </w:r>
      <w:r>
        <w:rPr>
          <w:lang w:val="zh-CN"/>
        </w:rPr>
        <w:fldChar w:fldCharType="end"/>
      </w:r>
      <w:r w:rsidRPr="00FA4C6D">
        <w:rPr>
          <w:rFonts w:asciiTheme="majorBidi" w:hAnsiTheme="majorBidi" w:cstheme="majorBidi"/>
        </w:rPr>
        <w:t>)</w:t>
      </w:r>
      <w:r w:rsidRPr="00DF5565">
        <w:rPr>
          <w:rFonts w:asciiTheme="majorBidi" w:eastAsia="楷体" w:hAnsiTheme="majorBidi" w:cstheme="majorBidi"/>
        </w:rPr>
        <w:t>，</w:t>
      </w:r>
      <w:r w:rsidRPr="008012F8">
        <w:rPr>
          <w:rFonts w:ascii="宋体" w:hAnsi="宋体" w:cs="宋体" w:hint="eastAsia"/>
        </w:rPr>
        <w:t>第</w:t>
      </w:r>
      <w:r w:rsidRPr="008012F8">
        <w:t>34</w:t>
      </w:r>
      <w:r w:rsidRPr="008012F8">
        <w:rPr>
          <w:rFonts w:ascii="宋体" w:hAnsi="宋体" w:cs="宋体" w:hint="eastAsia"/>
        </w:rPr>
        <w:t>页，第</w:t>
      </w:r>
      <w:r w:rsidRPr="008012F8">
        <w:t>66-71</w:t>
      </w:r>
      <w:r w:rsidRPr="008012F8">
        <w:rPr>
          <w:rFonts w:ascii="宋体" w:hAnsi="宋体" w:cs="宋体" w:hint="eastAsia"/>
        </w:rPr>
        <w:t>段；</w:t>
      </w:r>
      <w:r w:rsidRPr="00DF5565">
        <w:rPr>
          <w:rFonts w:eastAsia="楷体"/>
        </w:rPr>
        <w:t>关于航行权和相关权利的争端案</w:t>
      </w:r>
      <w:r w:rsidRPr="008012F8">
        <w:t>(</w:t>
      </w:r>
      <w:r w:rsidRPr="008012F8">
        <w:rPr>
          <w:rFonts w:ascii="宋体" w:hAnsi="宋体" w:cs="宋体" w:hint="eastAsia"/>
        </w:rPr>
        <w:t>上文脚注</w:t>
      </w:r>
      <w:r w:rsidRPr="00D90936">
        <w:rPr>
          <w:rFonts w:asciiTheme="majorBidi" w:hAnsiTheme="majorBidi" w:cstheme="majorBidi"/>
          <w:lang w:val="zh-CN"/>
        </w:rPr>
        <w:fldChar w:fldCharType="begin"/>
      </w:r>
      <w:r w:rsidRPr="00D90936">
        <w:rPr>
          <w:rFonts w:asciiTheme="majorBidi" w:hAnsiTheme="majorBidi" w:cstheme="majorBidi"/>
          <w:lang w:val="zh-CN"/>
        </w:rPr>
        <w:instrText xml:space="preserve"> NOTEREF _Ref461971066 \h </w:instrText>
      </w:r>
      <w:r>
        <w:rPr>
          <w:rFonts w:asciiTheme="majorBidi" w:hAnsiTheme="majorBidi" w:cstheme="majorBidi"/>
          <w:lang w:val="zh-CN"/>
        </w:rPr>
        <w:instrText xml:space="preserve"> \* MERGEFORMAT </w:instrText>
      </w:r>
      <w:r w:rsidRPr="00D90936">
        <w:rPr>
          <w:rFonts w:asciiTheme="majorBidi" w:hAnsiTheme="majorBidi" w:cstheme="majorBidi"/>
          <w:lang w:val="zh-CN"/>
        </w:rPr>
      </w:r>
      <w:r w:rsidRPr="00D90936">
        <w:rPr>
          <w:rFonts w:asciiTheme="majorBidi" w:hAnsiTheme="majorBidi" w:cstheme="majorBidi"/>
          <w:lang w:val="zh-CN"/>
        </w:rPr>
        <w:fldChar w:fldCharType="separate"/>
      </w:r>
      <w:r w:rsidR="00A73EB9">
        <w:rPr>
          <w:rFonts w:asciiTheme="majorBidi" w:hAnsiTheme="majorBidi" w:cstheme="majorBidi"/>
          <w:lang w:val="zh-CN"/>
        </w:rPr>
        <w:t>395</w:t>
      </w:r>
      <w:r w:rsidRPr="00D90936">
        <w:rPr>
          <w:rFonts w:asciiTheme="majorBidi" w:hAnsiTheme="majorBidi" w:cstheme="majorBidi"/>
          <w:lang w:val="zh-CN"/>
        </w:rPr>
        <w:fldChar w:fldCharType="end"/>
      </w:r>
      <w:r w:rsidRPr="00D90936">
        <w:rPr>
          <w:rFonts w:asciiTheme="majorBidi" w:hAnsiTheme="majorBidi" w:cstheme="majorBidi"/>
        </w:rPr>
        <w:t>)</w:t>
      </w:r>
      <w:r w:rsidRPr="008012F8">
        <w:rPr>
          <w:rFonts w:ascii="宋体" w:hAnsi="宋体" w:cs="宋体" w:hint="eastAsia"/>
        </w:rPr>
        <w:t>，第</w:t>
      </w:r>
      <w:r w:rsidRPr="008012F8">
        <w:t>290</w:t>
      </w:r>
      <w:r w:rsidRPr="008012F8">
        <w:rPr>
          <w:rFonts w:ascii="宋体" w:hAnsi="宋体" w:cs="宋体" w:hint="eastAsia"/>
        </w:rPr>
        <w:t>页</w:t>
      </w:r>
      <w:r w:rsidRPr="008012F8">
        <w:t>(</w:t>
      </w:r>
      <w:r w:rsidRPr="008012F8">
        <w:rPr>
          <w:rFonts w:ascii="宋体" w:hAnsi="宋体" w:cs="宋体" w:hint="eastAsia"/>
        </w:rPr>
        <w:t>专案法官</w:t>
      </w:r>
      <w:r w:rsidRPr="008012F8">
        <w:t>Guillaume</w:t>
      </w:r>
      <w:r w:rsidRPr="008012F8">
        <w:rPr>
          <w:rFonts w:ascii="宋体" w:hAnsi="宋体" w:cs="宋体" w:hint="eastAsia"/>
        </w:rPr>
        <w:t>的声明</w:t>
      </w:r>
      <w:r w:rsidRPr="008012F8">
        <w:t>)</w:t>
      </w:r>
      <w:r w:rsidRPr="008012F8">
        <w:rPr>
          <w:rFonts w:ascii="宋体" w:hAnsi="宋体" w:cs="宋体" w:hint="eastAsia"/>
        </w:rPr>
        <w:t>。</w:t>
      </w:r>
    </w:p>
  </w:footnote>
  <w:footnote w:id="627">
    <w:p w:rsidR="00AB00DE" w:rsidRPr="008012F8" w:rsidRDefault="00AB00DE" w:rsidP="00267AB1">
      <w:pPr>
        <w:pStyle w:val="a4"/>
      </w:pPr>
      <w:r w:rsidRPr="008012F8">
        <w:tab/>
      </w:r>
      <w:r w:rsidRPr="00DF5565">
        <w:rPr>
          <w:rStyle w:val="a5"/>
        </w:rPr>
        <w:footnoteRef/>
      </w:r>
      <w:r w:rsidRPr="008012F8">
        <w:tab/>
      </w:r>
      <w:r w:rsidRPr="008012F8">
        <w:rPr>
          <w:rFonts w:ascii="宋体" w:hAnsi="宋体" w:cs="宋体" w:hint="eastAsia"/>
        </w:rPr>
        <w:t>例如见格·</w:t>
      </w:r>
      <w:r w:rsidRPr="008012F8">
        <w:t>诺尔特</w:t>
      </w:r>
      <w:r w:rsidRPr="008012F8">
        <w:t>,</w:t>
      </w:r>
      <w:r w:rsidRPr="008012F8">
        <w:rPr>
          <w:rFonts w:hint="eastAsia"/>
        </w:rPr>
        <w:t>“</w:t>
      </w:r>
      <w:r w:rsidRPr="008012F8">
        <w:rPr>
          <w:rFonts w:ascii="宋体" w:hAnsi="宋体" w:cs="宋体" w:hint="eastAsia"/>
        </w:rPr>
        <w:t>特殊制度下的判例</w:t>
      </w:r>
      <w:r w:rsidRPr="008012F8">
        <w:rPr>
          <w:rFonts w:hint="eastAsia"/>
        </w:rPr>
        <w:t>”</w:t>
      </w:r>
      <w:r w:rsidRPr="00FA4C6D">
        <w:rPr>
          <w:rFonts w:asciiTheme="majorBidi" w:hAnsiTheme="majorBidi" w:cstheme="majorBidi"/>
        </w:rPr>
        <w:t>(</w:t>
      </w:r>
      <w:r w:rsidRPr="00FA4C6D">
        <w:rPr>
          <w:rFonts w:asciiTheme="majorBidi" w:hAnsiTheme="majorBidi" w:cstheme="majorBidi"/>
        </w:rPr>
        <w:t>上文脚注</w:t>
      </w:r>
      <w:r>
        <w:rPr>
          <w:lang w:val="zh-CN"/>
        </w:rPr>
        <w:fldChar w:fldCharType="begin"/>
      </w:r>
      <w:r>
        <w:rPr>
          <w:lang w:val="zh-CN"/>
        </w:rPr>
        <w:instrText xml:space="preserve"> NOTEREF _Ref461973084 \h </w:instrText>
      </w:r>
      <w:r>
        <w:rPr>
          <w:lang w:val="zh-CN"/>
        </w:rPr>
      </w:r>
      <w:r>
        <w:rPr>
          <w:lang w:val="zh-CN"/>
        </w:rPr>
        <w:fldChar w:fldCharType="separate"/>
      </w:r>
      <w:r w:rsidR="00A73EB9">
        <w:rPr>
          <w:lang w:val="zh-CN"/>
        </w:rPr>
        <w:t>398</w:t>
      </w:r>
      <w:r>
        <w:rPr>
          <w:lang w:val="zh-CN"/>
        </w:rPr>
        <w:fldChar w:fldCharType="end"/>
      </w:r>
      <w:r w:rsidRPr="00FA4C6D">
        <w:rPr>
          <w:rFonts w:asciiTheme="majorBidi" w:hAnsiTheme="majorBidi" w:cstheme="majorBidi"/>
        </w:rPr>
        <w:t>)</w:t>
      </w:r>
      <w:r w:rsidRPr="008012F8">
        <w:t>，</w:t>
      </w:r>
      <w:r w:rsidRPr="008012F8">
        <w:rPr>
          <w:rFonts w:ascii="宋体" w:hAnsi="宋体" w:cs="宋体" w:hint="eastAsia"/>
        </w:rPr>
        <w:t>第</w:t>
      </w:r>
      <w:r w:rsidRPr="008012F8">
        <w:t>210-306</w:t>
      </w:r>
      <w:r w:rsidRPr="008012F8">
        <w:rPr>
          <w:rFonts w:ascii="宋体" w:hAnsi="宋体" w:cs="宋体" w:hint="eastAsia"/>
        </w:rPr>
        <w:t>页。</w:t>
      </w:r>
    </w:p>
  </w:footnote>
  <w:footnote w:id="628">
    <w:p w:rsidR="00AB00DE" w:rsidRPr="008012F8" w:rsidRDefault="00AB00DE" w:rsidP="008D7906">
      <w:pPr>
        <w:pStyle w:val="a4"/>
      </w:pPr>
      <w:r w:rsidRPr="008012F8">
        <w:tab/>
      </w:r>
      <w:r w:rsidRPr="00DF5565">
        <w:rPr>
          <w:rStyle w:val="a5"/>
        </w:rPr>
        <w:footnoteRef/>
      </w:r>
      <w:r w:rsidRPr="008012F8">
        <w:tab/>
      </w:r>
      <w:r w:rsidRPr="008012F8">
        <w:rPr>
          <w:rFonts w:ascii="宋体" w:hAnsi="宋体" w:cs="宋体" w:hint="eastAsia"/>
        </w:rPr>
        <w:t>另见</w:t>
      </w:r>
      <w:r w:rsidRPr="00DF5565">
        <w:rPr>
          <w:rFonts w:eastAsia="楷体"/>
        </w:rPr>
        <w:t>石油平台案</w:t>
      </w:r>
      <w:r w:rsidRPr="00DF5565">
        <w:rPr>
          <w:rFonts w:eastAsia="楷体"/>
        </w:rPr>
        <w:t>(</w:t>
      </w:r>
      <w:r w:rsidRPr="00DF5565">
        <w:rPr>
          <w:rFonts w:eastAsia="楷体"/>
        </w:rPr>
        <w:t>伊朗伊斯兰共和国诉美利坚合众国</w:t>
      </w:r>
      <w:r w:rsidRPr="00DF5565">
        <w:rPr>
          <w:rFonts w:eastAsia="楷体"/>
        </w:rPr>
        <w:t>)</w:t>
      </w:r>
      <w:r w:rsidRPr="008012F8">
        <w:rPr>
          <w:rFonts w:ascii="宋体" w:hAnsi="宋体" w:cs="宋体" w:hint="eastAsia"/>
        </w:rPr>
        <w:t>，</w:t>
      </w:r>
      <w:r w:rsidRPr="008012F8">
        <w:rPr>
          <w:rFonts w:ascii="Time New Roman" w:eastAsia="楷体" w:hAnsi="Time New Roman" w:cs="宋体" w:hint="eastAsia"/>
        </w:rPr>
        <w:t>初步反对意见，判决</w:t>
      </w:r>
      <w:r w:rsidRPr="008012F8">
        <w:rPr>
          <w:rFonts w:ascii="宋体" w:hAnsi="宋体" w:cs="宋体" w:hint="eastAsia"/>
        </w:rPr>
        <w:t>，《</w:t>
      </w:r>
      <w:r w:rsidRPr="008012F8">
        <w:t>1996</w:t>
      </w:r>
      <w:r w:rsidRPr="008012F8">
        <w:rPr>
          <w:rFonts w:ascii="宋体" w:hAnsi="宋体" w:cs="宋体" w:hint="eastAsia"/>
        </w:rPr>
        <w:t>年国际法院案例汇编》，第</w:t>
      </w:r>
      <w:r w:rsidRPr="008012F8">
        <w:t>803</w:t>
      </w:r>
      <w:r w:rsidRPr="008012F8">
        <w:rPr>
          <w:rFonts w:ascii="宋体" w:hAnsi="宋体" w:cs="宋体" w:hint="eastAsia"/>
        </w:rPr>
        <w:t>页起，见第</w:t>
      </w:r>
      <w:r w:rsidRPr="008012F8">
        <w:t>815</w:t>
      </w:r>
      <w:r w:rsidRPr="008012F8">
        <w:rPr>
          <w:rFonts w:ascii="宋体" w:hAnsi="宋体" w:cs="宋体" w:hint="eastAsia"/>
        </w:rPr>
        <w:t>页，第</w:t>
      </w:r>
      <w:r w:rsidRPr="008012F8">
        <w:t>30</w:t>
      </w:r>
      <w:r w:rsidRPr="008012F8">
        <w:rPr>
          <w:rFonts w:ascii="宋体" w:hAnsi="宋体" w:cs="宋体" w:hint="eastAsia"/>
        </w:rPr>
        <w:t>段；</w:t>
      </w:r>
      <w:r w:rsidRPr="00DF5565">
        <w:rPr>
          <w:rFonts w:eastAsia="楷体"/>
        </w:rPr>
        <w:t>喀麦隆和尼日利亚间陆地和海洋疆界案</w:t>
      </w:r>
      <w:r w:rsidRPr="00DF5565">
        <w:rPr>
          <w:rFonts w:eastAsia="楷体"/>
        </w:rPr>
        <w:t>(</w:t>
      </w:r>
      <w:r w:rsidRPr="00DF5565">
        <w:rPr>
          <w:rFonts w:eastAsia="楷体"/>
        </w:rPr>
        <w:t>喀麦隆诉尼日利亚</w:t>
      </w:r>
      <w:r w:rsidRPr="00DF5565">
        <w:rPr>
          <w:rFonts w:eastAsia="楷体"/>
        </w:rPr>
        <w:t>)</w:t>
      </w:r>
      <w:r w:rsidRPr="008012F8">
        <w:rPr>
          <w:rFonts w:ascii="宋体" w:hAnsi="宋体" w:cs="宋体" w:hint="eastAsia"/>
        </w:rPr>
        <w:t>，</w:t>
      </w:r>
      <w:r w:rsidRPr="008012F8">
        <w:rPr>
          <w:rFonts w:ascii="Time New Roman" w:eastAsia="楷体" w:hAnsi="Time New Roman" w:cs="宋体" w:hint="eastAsia"/>
        </w:rPr>
        <w:t>初步反对意见，判决</w:t>
      </w:r>
      <w:r w:rsidRPr="008012F8">
        <w:rPr>
          <w:rFonts w:ascii="宋体" w:hAnsi="宋体" w:cs="宋体" w:hint="eastAsia"/>
        </w:rPr>
        <w:t>，《</w:t>
      </w:r>
      <w:r w:rsidRPr="008012F8">
        <w:t>1998</w:t>
      </w:r>
      <w:r w:rsidRPr="008012F8">
        <w:rPr>
          <w:rFonts w:ascii="宋体" w:hAnsi="宋体" w:cs="宋体" w:hint="eastAsia"/>
        </w:rPr>
        <w:t>年国际法院案例汇编》，第</w:t>
      </w:r>
      <w:r w:rsidRPr="008012F8">
        <w:t>275</w:t>
      </w:r>
      <w:r w:rsidRPr="008012F8">
        <w:rPr>
          <w:rFonts w:ascii="宋体" w:hAnsi="宋体" w:cs="宋体" w:hint="eastAsia"/>
        </w:rPr>
        <w:t>页起，见第</w:t>
      </w:r>
      <w:r w:rsidRPr="008012F8">
        <w:t>306</w:t>
      </w:r>
      <w:r w:rsidRPr="008012F8">
        <w:rPr>
          <w:rFonts w:ascii="宋体" w:hAnsi="宋体" w:cs="宋体" w:hint="eastAsia"/>
        </w:rPr>
        <w:t>页，第</w:t>
      </w:r>
      <w:r w:rsidRPr="008012F8">
        <w:t>67</w:t>
      </w:r>
      <w:r w:rsidRPr="008012F8">
        <w:rPr>
          <w:rFonts w:ascii="宋体" w:hAnsi="宋体" w:cs="宋体" w:hint="eastAsia"/>
        </w:rPr>
        <w:t>段；</w:t>
      </w:r>
      <w:r w:rsidRPr="00DF5565">
        <w:rPr>
          <w:rFonts w:eastAsia="楷体"/>
        </w:rPr>
        <w:t>大会接纳国家加入联合国的权限，咨询意见</w:t>
      </w:r>
      <w:r w:rsidRPr="008012F8">
        <w:rPr>
          <w:rFonts w:ascii="宋体" w:hAnsi="宋体" w:cs="宋体" w:hint="eastAsia"/>
        </w:rPr>
        <w:t>，《</w:t>
      </w:r>
      <w:r w:rsidRPr="008012F8">
        <w:t>1950</w:t>
      </w:r>
      <w:r w:rsidRPr="008012F8">
        <w:rPr>
          <w:rFonts w:ascii="宋体" w:hAnsi="宋体" w:cs="宋体" w:hint="eastAsia"/>
        </w:rPr>
        <w:t>年国际法院案例汇编》，第</w:t>
      </w:r>
      <w:r w:rsidRPr="008012F8">
        <w:t>4</w:t>
      </w:r>
      <w:r w:rsidRPr="008012F8">
        <w:rPr>
          <w:rFonts w:ascii="宋体" w:hAnsi="宋体" w:cs="宋体" w:hint="eastAsia"/>
        </w:rPr>
        <w:t>页起，见第</w:t>
      </w:r>
      <w:r w:rsidRPr="008012F8">
        <w:t>9</w:t>
      </w:r>
      <w:r w:rsidRPr="008012F8">
        <w:rPr>
          <w:rFonts w:ascii="宋体" w:hAnsi="宋体" w:cs="宋体" w:hint="eastAsia"/>
        </w:rPr>
        <w:t>页。</w:t>
      </w:r>
    </w:p>
  </w:footnote>
  <w:footnote w:id="629">
    <w:p w:rsidR="00AB00DE" w:rsidRPr="008012F8" w:rsidRDefault="00AB00DE" w:rsidP="008D7906">
      <w:pPr>
        <w:pStyle w:val="a4"/>
      </w:pPr>
      <w:r w:rsidRPr="008012F8">
        <w:tab/>
      </w:r>
      <w:r w:rsidRPr="00DF5565">
        <w:rPr>
          <w:rStyle w:val="a5"/>
        </w:rPr>
        <w:footnoteRef/>
      </w:r>
      <w:r w:rsidRPr="008012F8">
        <w:tab/>
      </w:r>
      <w:r w:rsidRPr="00DF5565">
        <w:rPr>
          <w:rFonts w:eastAsia="楷体"/>
        </w:rPr>
        <w:t>使用或威胁使用核武器的合法性，咨询意见，</w:t>
      </w:r>
      <w:r w:rsidRPr="008012F8">
        <w:rPr>
          <w:rFonts w:ascii="宋体" w:hAnsi="宋体" w:cs="宋体" w:hint="eastAsia"/>
        </w:rPr>
        <w:t>《</w:t>
      </w:r>
      <w:r w:rsidRPr="008012F8">
        <w:t>1996</w:t>
      </w:r>
      <w:r w:rsidRPr="008012F8">
        <w:rPr>
          <w:rFonts w:ascii="宋体" w:hAnsi="宋体" w:cs="宋体" w:hint="eastAsia"/>
        </w:rPr>
        <w:t>年国际法院案例汇编》，第</w:t>
      </w:r>
      <w:r w:rsidRPr="008012F8">
        <w:t>226</w:t>
      </w:r>
      <w:r w:rsidRPr="008012F8">
        <w:rPr>
          <w:rFonts w:ascii="宋体" w:hAnsi="宋体" w:cs="宋体" w:hint="eastAsia"/>
        </w:rPr>
        <w:t>页起，见第</w:t>
      </w:r>
      <w:r w:rsidRPr="008012F8">
        <w:t>248</w:t>
      </w:r>
      <w:r w:rsidRPr="008012F8">
        <w:rPr>
          <w:rFonts w:ascii="宋体" w:hAnsi="宋体" w:cs="宋体" w:hint="eastAsia"/>
        </w:rPr>
        <w:t>页，第</w:t>
      </w:r>
      <w:r w:rsidRPr="008012F8">
        <w:t>55</w:t>
      </w:r>
      <w:r w:rsidRPr="008012F8">
        <w:rPr>
          <w:rFonts w:ascii="宋体" w:hAnsi="宋体" w:cs="宋体" w:hint="eastAsia"/>
        </w:rPr>
        <w:t>段。</w:t>
      </w:r>
    </w:p>
  </w:footnote>
  <w:footnote w:id="630">
    <w:p w:rsidR="00AB00DE" w:rsidRPr="008012F8" w:rsidRDefault="00AB00DE" w:rsidP="008D7906">
      <w:pPr>
        <w:pStyle w:val="a4"/>
      </w:pPr>
      <w:r w:rsidRPr="008012F8">
        <w:tab/>
      </w:r>
      <w:r w:rsidRPr="00DF5565">
        <w:rPr>
          <w:rStyle w:val="a5"/>
        </w:rPr>
        <w:footnoteRef/>
      </w:r>
      <w:r w:rsidRPr="008012F8">
        <w:tab/>
      </w:r>
      <w:r w:rsidRPr="00DF5565">
        <w:rPr>
          <w:rFonts w:eastAsia="楷体"/>
        </w:rPr>
        <w:t>对《灭绝种族罪公约》的保留，咨询意见</w:t>
      </w:r>
      <w:r w:rsidRPr="008012F8">
        <w:rPr>
          <w:rFonts w:ascii="宋体" w:hAnsi="宋体" w:cs="宋体" w:hint="eastAsia"/>
        </w:rPr>
        <w:t>，《</w:t>
      </w:r>
      <w:r w:rsidRPr="008012F8">
        <w:t>1951</w:t>
      </w:r>
      <w:r w:rsidRPr="008012F8">
        <w:rPr>
          <w:rFonts w:ascii="宋体" w:hAnsi="宋体" w:cs="宋体" w:hint="eastAsia"/>
        </w:rPr>
        <w:t>年国际法院案例汇编》，第</w:t>
      </w:r>
      <w:r w:rsidRPr="008012F8">
        <w:t>15</w:t>
      </w:r>
      <w:r w:rsidRPr="008012F8">
        <w:rPr>
          <w:rFonts w:ascii="宋体" w:hAnsi="宋体" w:cs="宋体" w:hint="eastAsia"/>
        </w:rPr>
        <w:t>页起，见第</w:t>
      </w:r>
      <w:r w:rsidRPr="008012F8">
        <w:t>25</w:t>
      </w:r>
      <w:r w:rsidRPr="008012F8">
        <w:rPr>
          <w:rFonts w:ascii="宋体" w:hAnsi="宋体" w:cs="宋体" w:hint="eastAsia"/>
        </w:rPr>
        <w:t>页。</w:t>
      </w:r>
    </w:p>
  </w:footnote>
  <w:footnote w:id="631">
    <w:p w:rsidR="00AB00DE" w:rsidRPr="008012F8" w:rsidRDefault="00AB00DE" w:rsidP="008D7906">
      <w:pPr>
        <w:pStyle w:val="a4"/>
      </w:pPr>
      <w:r w:rsidRPr="008012F8">
        <w:tab/>
      </w:r>
      <w:r w:rsidRPr="00DF5565">
        <w:rPr>
          <w:rStyle w:val="a5"/>
        </w:rPr>
        <w:footnoteRef/>
      </w:r>
      <w:r w:rsidRPr="00DF5565">
        <w:rPr>
          <w:rFonts w:eastAsia="楷体"/>
        </w:rPr>
        <w:tab/>
      </w:r>
      <w:r w:rsidRPr="00DF5565">
        <w:rPr>
          <w:rFonts w:eastAsia="楷体"/>
        </w:rPr>
        <w:t>摩洛哥境内的美利坚合众国公民权利案</w:t>
      </w:r>
      <w:r w:rsidRPr="008012F8">
        <w:rPr>
          <w:rFonts w:ascii="宋体" w:hAnsi="宋体" w:cs="宋体" w:hint="eastAsia"/>
        </w:rPr>
        <w:t>，</w:t>
      </w:r>
      <w:r w:rsidRPr="008012F8">
        <w:t>1952</w:t>
      </w:r>
      <w:r w:rsidRPr="008012F8">
        <w:rPr>
          <w:rFonts w:ascii="宋体" w:hAnsi="宋体" w:cs="宋体" w:hint="eastAsia"/>
        </w:rPr>
        <w:t>年</w:t>
      </w:r>
      <w:r w:rsidRPr="008012F8">
        <w:t>8</w:t>
      </w:r>
      <w:r w:rsidRPr="008012F8">
        <w:rPr>
          <w:rFonts w:ascii="宋体" w:hAnsi="宋体" w:cs="宋体" w:hint="eastAsia"/>
        </w:rPr>
        <w:t>月</w:t>
      </w:r>
      <w:r w:rsidRPr="008012F8">
        <w:t>27</w:t>
      </w:r>
      <w:r w:rsidRPr="008012F8">
        <w:rPr>
          <w:rFonts w:ascii="宋体" w:hAnsi="宋体" w:cs="宋体" w:hint="eastAsia"/>
        </w:rPr>
        <w:t>日的判决，《</w:t>
      </w:r>
      <w:r w:rsidRPr="008012F8">
        <w:t>1952</w:t>
      </w:r>
      <w:r w:rsidRPr="008012F8">
        <w:rPr>
          <w:rFonts w:ascii="宋体" w:hAnsi="宋体" w:cs="宋体" w:hint="eastAsia"/>
        </w:rPr>
        <w:t>年国际法院案例汇编》，第</w:t>
      </w:r>
      <w:r w:rsidRPr="008012F8">
        <w:t>176</w:t>
      </w:r>
      <w:r w:rsidRPr="008012F8">
        <w:rPr>
          <w:rFonts w:ascii="宋体" w:hAnsi="宋体" w:cs="宋体" w:hint="eastAsia"/>
        </w:rPr>
        <w:t>页起，见第</w:t>
      </w:r>
      <w:r w:rsidRPr="008012F8">
        <w:t>211</w:t>
      </w:r>
      <w:r w:rsidRPr="008012F8">
        <w:rPr>
          <w:rFonts w:ascii="宋体" w:hAnsi="宋体" w:cs="宋体" w:hint="eastAsia"/>
        </w:rPr>
        <w:t>页。</w:t>
      </w:r>
    </w:p>
  </w:footnote>
  <w:footnote w:id="632">
    <w:p w:rsidR="00AB00DE" w:rsidRPr="008012F8" w:rsidRDefault="00AB00DE" w:rsidP="008D7906">
      <w:pPr>
        <w:pStyle w:val="a4"/>
      </w:pPr>
      <w:r w:rsidRPr="008012F8">
        <w:tab/>
      </w:r>
      <w:r w:rsidRPr="00DF5565">
        <w:rPr>
          <w:rStyle w:val="a5"/>
        </w:rPr>
        <w:footnoteRef/>
      </w:r>
      <w:r w:rsidRPr="008012F8">
        <w:tab/>
      </w:r>
      <w:r w:rsidRPr="008012F8">
        <w:rPr>
          <w:rFonts w:ascii="宋体" w:hAnsi="宋体" w:cs="宋体" w:hint="eastAsia"/>
        </w:rPr>
        <w:t>比照参见</w:t>
      </w:r>
      <w:r w:rsidRPr="00DF5565">
        <w:rPr>
          <w:rFonts w:eastAsia="楷体"/>
        </w:rPr>
        <w:t>联合国的某些费用</w:t>
      </w:r>
      <w:r w:rsidRPr="00DF5565">
        <w:rPr>
          <w:rFonts w:eastAsia="楷体"/>
        </w:rPr>
        <w:t>(</w:t>
      </w:r>
      <w:r w:rsidRPr="00DF5565">
        <w:rPr>
          <w:rFonts w:eastAsia="楷体"/>
        </w:rPr>
        <w:t>《宪章》第十七条第二项</w:t>
      </w:r>
      <w:r w:rsidRPr="00DF5565">
        <w:rPr>
          <w:rFonts w:eastAsia="楷体"/>
        </w:rPr>
        <w:t>)</w:t>
      </w:r>
      <w:r w:rsidRPr="008012F8">
        <w:rPr>
          <w:rFonts w:ascii="宋体" w:hAnsi="宋体" w:cs="宋体" w:hint="eastAsia"/>
        </w:rPr>
        <w:t>，</w:t>
      </w:r>
      <w:r w:rsidRPr="008012F8">
        <w:rPr>
          <w:rFonts w:ascii="Time New Roman" w:eastAsia="楷体" w:hAnsi="Time New Roman" w:cs="宋体"/>
        </w:rPr>
        <w:t>1962</w:t>
      </w:r>
      <w:r w:rsidRPr="008012F8">
        <w:rPr>
          <w:rFonts w:ascii="Time New Roman" w:eastAsia="楷体" w:hAnsi="Time New Roman" w:cs="宋体"/>
        </w:rPr>
        <w:t>年</w:t>
      </w:r>
      <w:r w:rsidRPr="008012F8">
        <w:rPr>
          <w:rFonts w:ascii="Time New Roman" w:eastAsia="楷体" w:hAnsi="Time New Roman" w:cs="宋体"/>
        </w:rPr>
        <w:t>7</w:t>
      </w:r>
      <w:r w:rsidRPr="008012F8">
        <w:rPr>
          <w:rFonts w:ascii="Time New Roman" w:eastAsia="楷体" w:hAnsi="Time New Roman" w:cs="宋体"/>
        </w:rPr>
        <w:t>月</w:t>
      </w:r>
      <w:r w:rsidRPr="008012F8">
        <w:rPr>
          <w:rFonts w:ascii="Time New Roman" w:eastAsia="楷体" w:hAnsi="Time New Roman" w:cs="宋体"/>
        </w:rPr>
        <w:t>20</w:t>
      </w:r>
      <w:r w:rsidRPr="008012F8">
        <w:rPr>
          <w:rFonts w:ascii="Time New Roman" w:eastAsia="楷体" w:hAnsi="Time New Roman" w:cs="宋体"/>
        </w:rPr>
        <w:t>日</w:t>
      </w:r>
      <w:r w:rsidRPr="00DF5565">
        <w:rPr>
          <w:rFonts w:eastAsia="楷体"/>
        </w:rPr>
        <w:t>的咨询意见</w:t>
      </w:r>
      <w:r w:rsidRPr="008012F8">
        <w:rPr>
          <w:rFonts w:ascii="宋体" w:hAnsi="宋体" w:cs="宋体" w:hint="eastAsia"/>
        </w:rPr>
        <w:t>，《</w:t>
      </w:r>
      <w:r w:rsidRPr="008012F8">
        <w:t>1962</w:t>
      </w:r>
      <w:r w:rsidRPr="008012F8">
        <w:rPr>
          <w:rFonts w:ascii="宋体" w:hAnsi="宋体" w:cs="宋体" w:hint="eastAsia"/>
        </w:rPr>
        <w:t>年国际法院案例汇编》，第</w:t>
      </w:r>
      <w:r w:rsidRPr="008012F8">
        <w:t>151</w:t>
      </w:r>
      <w:r w:rsidRPr="008012F8">
        <w:rPr>
          <w:rFonts w:ascii="宋体" w:hAnsi="宋体" w:cs="宋体" w:hint="eastAsia"/>
        </w:rPr>
        <w:t>条，国际法院参照联合国相关的嗣后惯例，对</w:t>
      </w:r>
      <w:r w:rsidRPr="008012F8">
        <w:rPr>
          <w:rFonts w:hint="eastAsia"/>
        </w:rPr>
        <w:t>“</w:t>
      </w:r>
      <w:r w:rsidRPr="008012F8">
        <w:rPr>
          <w:rFonts w:ascii="宋体" w:hAnsi="宋体" w:cs="宋体" w:hint="eastAsia"/>
        </w:rPr>
        <w:t>费用</w:t>
      </w:r>
      <w:r w:rsidRPr="008012F8">
        <w:rPr>
          <w:rFonts w:hint="eastAsia"/>
        </w:rPr>
        <w:t>”</w:t>
      </w:r>
      <w:r w:rsidRPr="008012F8">
        <w:rPr>
          <w:rFonts w:ascii="宋体" w:hAnsi="宋体" w:cs="宋体" w:hint="eastAsia"/>
        </w:rPr>
        <w:t>一词作出了宽泛的解释，而对</w:t>
      </w:r>
      <w:r w:rsidRPr="008012F8">
        <w:rPr>
          <w:rFonts w:hint="eastAsia"/>
        </w:rPr>
        <w:t>“</w:t>
      </w:r>
      <w:r w:rsidRPr="008012F8">
        <w:rPr>
          <w:rFonts w:ascii="宋体" w:hAnsi="宋体" w:cs="宋体" w:hint="eastAsia"/>
        </w:rPr>
        <w:t>行动</w:t>
      </w:r>
      <w:r w:rsidRPr="008012F8">
        <w:rPr>
          <w:rFonts w:hint="eastAsia"/>
        </w:rPr>
        <w:t>”</w:t>
      </w:r>
      <w:r w:rsidRPr="008012F8">
        <w:rPr>
          <w:rFonts w:ascii="宋体" w:hAnsi="宋体" w:cs="宋体" w:hint="eastAsia"/>
        </w:rPr>
        <w:t>一词作出了狭义的解释，见第</w:t>
      </w:r>
      <w:r w:rsidRPr="008012F8">
        <w:t>158-161</w:t>
      </w:r>
      <w:r w:rsidRPr="008012F8">
        <w:rPr>
          <w:rFonts w:ascii="宋体" w:hAnsi="宋体" w:cs="宋体" w:hint="eastAsia"/>
        </w:rPr>
        <w:t>页</w:t>
      </w:r>
      <w:r w:rsidRPr="008012F8">
        <w:t>(</w:t>
      </w:r>
      <w:r w:rsidRPr="008012F8">
        <w:rPr>
          <w:rFonts w:hint="eastAsia"/>
        </w:rPr>
        <w:t>“</w:t>
      </w:r>
      <w:r w:rsidRPr="008012F8">
        <w:rPr>
          <w:rFonts w:ascii="宋体" w:hAnsi="宋体" w:cs="宋体" w:hint="eastAsia"/>
        </w:rPr>
        <w:t>费用</w:t>
      </w:r>
      <w:r w:rsidRPr="008012F8">
        <w:rPr>
          <w:rFonts w:hint="eastAsia"/>
        </w:rPr>
        <w:t>”</w:t>
      </w:r>
      <w:r w:rsidRPr="008012F8">
        <w:t>)</w:t>
      </w:r>
      <w:r w:rsidRPr="008012F8">
        <w:rPr>
          <w:rFonts w:ascii="宋体" w:hAnsi="宋体" w:cs="宋体" w:hint="eastAsia"/>
        </w:rPr>
        <w:t>和第</w:t>
      </w:r>
      <w:r w:rsidRPr="008012F8">
        <w:t>164-165</w:t>
      </w:r>
      <w:r w:rsidRPr="008012F8">
        <w:rPr>
          <w:rFonts w:ascii="宋体" w:hAnsi="宋体" w:cs="宋体" w:hint="eastAsia"/>
        </w:rPr>
        <w:t>页</w:t>
      </w:r>
      <w:r w:rsidRPr="008012F8">
        <w:t>(</w:t>
      </w:r>
      <w:r w:rsidRPr="008012F8">
        <w:rPr>
          <w:rFonts w:hint="eastAsia"/>
        </w:rPr>
        <w:t>“</w:t>
      </w:r>
      <w:r w:rsidRPr="008012F8">
        <w:rPr>
          <w:rFonts w:ascii="宋体" w:hAnsi="宋体" w:cs="宋体" w:hint="eastAsia"/>
        </w:rPr>
        <w:t>行动</w:t>
      </w:r>
      <w:r w:rsidRPr="008012F8">
        <w:rPr>
          <w:rFonts w:hint="eastAsia"/>
        </w:rPr>
        <w:t>”</w:t>
      </w:r>
      <w:r w:rsidRPr="008012F8">
        <w:t>)</w:t>
      </w:r>
      <w:r w:rsidRPr="008012F8">
        <w:rPr>
          <w:rFonts w:ascii="宋体" w:hAnsi="宋体" w:cs="宋体" w:hint="eastAsia"/>
        </w:rPr>
        <w:t>。</w:t>
      </w:r>
    </w:p>
  </w:footnote>
  <w:footnote w:id="633">
    <w:p w:rsidR="00AB00DE" w:rsidRPr="008012F8" w:rsidRDefault="00AB00DE" w:rsidP="008D7906">
      <w:pPr>
        <w:pStyle w:val="a4"/>
      </w:pPr>
      <w:r w:rsidRPr="008012F8">
        <w:tab/>
      </w:r>
      <w:r w:rsidRPr="00DF5565">
        <w:rPr>
          <w:rStyle w:val="a5"/>
        </w:rPr>
        <w:footnoteRef/>
      </w:r>
      <w:r w:rsidRPr="008012F8">
        <w:tab/>
      </w:r>
      <w:r w:rsidRPr="008012F8">
        <w:rPr>
          <w:rFonts w:ascii="宋体" w:hAnsi="宋体" w:cs="宋体" w:hint="eastAsia"/>
        </w:rPr>
        <w:t>例如见</w:t>
      </w:r>
      <w:r w:rsidRPr="00DF5565">
        <w:rPr>
          <w:rFonts w:eastAsia="楷体"/>
        </w:rPr>
        <w:t>边界和跨界武装行动案</w:t>
      </w:r>
      <w:r w:rsidRPr="00DF5565">
        <w:rPr>
          <w:rFonts w:eastAsia="楷体"/>
        </w:rPr>
        <w:t>(</w:t>
      </w:r>
      <w:r w:rsidRPr="00DF5565">
        <w:rPr>
          <w:rFonts w:eastAsia="楷体"/>
        </w:rPr>
        <w:t>尼加拉瓜诉洪都拉斯</w:t>
      </w:r>
      <w:r w:rsidRPr="00DF5565">
        <w:rPr>
          <w:rFonts w:eastAsia="楷体"/>
        </w:rPr>
        <w:t>)</w:t>
      </w:r>
      <w:r w:rsidRPr="008012F8">
        <w:rPr>
          <w:rFonts w:ascii="宋体" w:hAnsi="宋体" w:cs="宋体" w:hint="eastAsia"/>
        </w:rPr>
        <w:t>，</w:t>
      </w:r>
      <w:r w:rsidRPr="008012F8">
        <w:rPr>
          <w:rFonts w:ascii="Time New Roman" w:eastAsia="楷体" w:hAnsi="Time New Roman" w:cs="宋体" w:hint="eastAsia"/>
        </w:rPr>
        <w:t>管辖权和可否受理，判决</w:t>
      </w:r>
      <w:r w:rsidRPr="008012F8">
        <w:rPr>
          <w:rFonts w:ascii="宋体" w:hAnsi="宋体" w:cs="宋体" w:hint="eastAsia"/>
        </w:rPr>
        <w:t>，《</w:t>
      </w:r>
      <w:r w:rsidRPr="008012F8">
        <w:t>1988</w:t>
      </w:r>
      <w:r w:rsidRPr="008012F8">
        <w:rPr>
          <w:rFonts w:ascii="宋体" w:hAnsi="宋体" w:cs="宋体" w:hint="eastAsia"/>
        </w:rPr>
        <w:t>年国际法院案例汇编》，第</w:t>
      </w:r>
      <w:r w:rsidRPr="008012F8">
        <w:t>69</w:t>
      </w:r>
      <w:r w:rsidRPr="008012F8">
        <w:rPr>
          <w:rFonts w:ascii="宋体" w:hAnsi="宋体" w:cs="宋体" w:hint="eastAsia"/>
        </w:rPr>
        <w:t>页起，见第</w:t>
      </w:r>
      <w:r w:rsidRPr="008012F8">
        <w:t>87</w:t>
      </w:r>
      <w:r w:rsidRPr="008012F8">
        <w:rPr>
          <w:rFonts w:ascii="宋体" w:hAnsi="宋体" w:cs="宋体" w:hint="eastAsia"/>
        </w:rPr>
        <w:t>页，第</w:t>
      </w:r>
      <w:r w:rsidRPr="008012F8">
        <w:t>40</w:t>
      </w:r>
      <w:r w:rsidRPr="008012F8">
        <w:rPr>
          <w:rFonts w:ascii="宋体" w:hAnsi="宋体" w:cs="宋体" w:hint="eastAsia"/>
        </w:rPr>
        <w:t>段。</w:t>
      </w:r>
    </w:p>
  </w:footnote>
  <w:footnote w:id="634">
    <w:p w:rsidR="00AB00DE" w:rsidRPr="008012F8" w:rsidRDefault="00AB00DE" w:rsidP="008D7906">
      <w:pPr>
        <w:pStyle w:val="a4"/>
      </w:pPr>
      <w:r w:rsidRPr="008012F8">
        <w:tab/>
      </w:r>
      <w:r w:rsidRPr="00DF5565">
        <w:rPr>
          <w:rStyle w:val="a5"/>
        </w:rPr>
        <w:footnoteRef/>
      </w:r>
      <w:r w:rsidRPr="008012F8">
        <w:rPr>
          <w:rFonts w:hint="eastAsia"/>
        </w:rPr>
        <w:tab/>
      </w:r>
      <w:r w:rsidRPr="008012F8">
        <w:rPr>
          <w:rFonts w:ascii="宋体" w:hAnsi="宋体" w:cs="宋体" w:hint="eastAsia"/>
        </w:rPr>
        <w:t>联合国，《条约汇编》，第</w:t>
      </w:r>
      <w:r w:rsidRPr="008012F8">
        <w:t>289</w:t>
      </w:r>
      <w:r w:rsidRPr="008012F8">
        <w:t>卷，第</w:t>
      </w:r>
      <w:r w:rsidRPr="008012F8">
        <w:t>4214</w:t>
      </w:r>
      <w:r w:rsidRPr="008012F8">
        <w:t>号，第</w:t>
      </w:r>
      <w:r w:rsidRPr="008012F8">
        <w:t>3</w:t>
      </w:r>
      <w:r w:rsidRPr="008012F8">
        <w:t>页。</w:t>
      </w:r>
    </w:p>
  </w:footnote>
  <w:footnote w:id="635">
    <w:p w:rsidR="00AB00DE" w:rsidRPr="008012F8" w:rsidRDefault="00AB00DE" w:rsidP="008D7906">
      <w:pPr>
        <w:pStyle w:val="a4"/>
      </w:pPr>
      <w:r w:rsidRPr="008012F8">
        <w:tab/>
      </w:r>
      <w:r w:rsidRPr="00DF5565">
        <w:rPr>
          <w:rStyle w:val="a5"/>
        </w:rPr>
        <w:footnoteRef/>
      </w:r>
      <w:r w:rsidRPr="008012F8">
        <w:tab/>
      </w:r>
      <w:r w:rsidRPr="00DF5565">
        <w:rPr>
          <w:rFonts w:eastAsia="楷体"/>
        </w:rPr>
        <w:t>政府间海事协商组织海事安全委员会章程，咨询意见</w:t>
      </w:r>
      <w:r w:rsidRPr="008012F8">
        <w:rPr>
          <w:rFonts w:ascii="宋体" w:hAnsi="宋体" w:cs="宋体" w:hint="eastAsia"/>
        </w:rPr>
        <w:t>，《</w:t>
      </w:r>
      <w:r w:rsidRPr="008012F8">
        <w:t>1960</w:t>
      </w:r>
      <w:r w:rsidRPr="008012F8">
        <w:rPr>
          <w:rFonts w:ascii="宋体" w:hAnsi="宋体" w:cs="宋体" w:hint="eastAsia"/>
        </w:rPr>
        <w:t>年国际法院案例汇编》，第</w:t>
      </w:r>
      <w:r w:rsidRPr="008012F8">
        <w:t>15</w:t>
      </w:r>
      <w:r w:rsidRPr="008012F8">
        <w:rPr>
          <w:rFonts w:hint="eastAsia"/>
        </w:rPr>
        <w:t>0</w:t>
      </w:r>
      <w:r w:rsidRPr="008012F8">
        <w:rPr>
          <w:rFonts w:ascii="宋体" w:hAnsi="宋体" w:cs="宋体" w:hint="eastAsia"/>
        </w:rPr>
        <w:t>页起，见第</w:t>
      </w:r>
      <w:r w:rsidRPr="008012F8">
        <w:t>169</w:t>
      </w:r>
      <w:r w:rsidRPr="008012F8">
        <w:rPr>
          <w:rFonts w:ascii="宋体" w:hAnsi="宋体" w:cs="宋体" w:hint="eastAsia"/>
        </w:rPr>
        <w:t>页；另见第</w:t>
      </w:r>
      <w:r w:rsidRPr="008012F8">
        <w:t>167-169</w:t>
      </w:r>
      <w:r w:rsidRPr="008012F8">
        <w:rPr>
          <w:rFonts w:ascii="宋体" w:hAnsi="宋体" w:cs="宋体" w:hint="eastAsia"/>
        </w:rPr>
        <w:t>页；另见根据《</w:t>
      </w:r>
      <w:r w:rsidRPr="00DF5565">
        <w:rPr>
          <w:rFonts w:eastAsia="楷体"/>
        </w:rPr>
        <w:t>保护东北大西洋海洋环境公约》提出的诉讼</w:t>
      </w:r>
      <w:r w:rsidRPr="00DF5565">
        <w:rPr>
          <w:rFonts w:eastAsia="楷体"/>
        </w:rPr>
        <w:t>(</w:t>
      </w:r>
      <w:r w:rsidRPr="00DF5565">
        <w:rPr>
          <w:rFonts w:eastAsia="楷体"/>
        </w:rPr>
        <w:t>爱尔兰诉联合王国</w:t>
      </w:r>
      <w:r w:rsidRPr="00DF5565">
        <w:rPr>
          <w:rFonts w:eastAsia="楷体"/>
        </w:rPr>
        <w:t>)</w:t>
      </w:r>
      <w:r w:rsidRPr="008012F8">
        <w:rPr>
          <w:rFonts w:ascii="宋体" w:hAnsi="宋体" w:cs="宋体" w:hint="eastAsia"/>
        </w:rPr>
        <w:t>，</w:t>
      </w:r>
      <w:r w:rsidRPr="008012F8">
        <w:t>2003</w:t>
      </w:r>
      <w:r w:rsidRPr="008012F8">
        <w:t>年</w:t>
      </w:r>
      <w:r w:rsidRPr="008012F8">
        <w:t>7</w:t>
      </w:r>
      <w:r w:rsidRPr="008012F8">
        <w:t>月</w:t>
      </w:r>
      <w:r w:rsidRPr="008012F8">
        <w:t>2</w:t>
      </w:r>
      <w:r w:rsidRPr="008012F8">
        <w:t>日，</w:t>
      </w:r>
      <w:r w:rsidRPr="008012F8">
        <w:rPr>
          <w:rFonts w:ascii="宋体" w:hAnsi="宋体" w:cs="宋体" w:hint="eastAsia"/>
        </w:rPr>
        <w:t>《国际仲裁裁决汇编》，第二十三卷</w:t>
      </w:r>
      <w:r w:rsidRPr="008012F8">
        <w:t>(</w:t>
      </w:r>
      <w:r w:rsidRPr="008012F8">
        <w:t>出售品编号：</w:t>
      </w:r>
      <w:r w:rsidRPr="008012F8">
        <w:t>E/F.04.V.15)</w:t>
      </w:r>
      <w:r w:rsidRPr="008012F8">
        <w:rPr>
          <w:rFonts w:ascii="宋体" w:hAnsi="宋体" w:cs="宋体" w:hint="eastAsia"/>
        </w:rPr>
        <w:t>，第</w:t>
      </w:r>
      <w:r w:rsidRPr="008012F8">
        <w:t>59-151</w:t>
      </w:r>
      <w:r w:rsidRPr="008012F8">
        <w:rPr>
          <w:rFonts w:ascii="宋体" w:hAnsi="宋体" w:cs="宋体" w:hint="eastAsia"/>
        </w:rPr>
        <w:t>页，见第</w:t>
      </w:r>
      <w:r w:rsidRPr="008012F8">
        <w:t>99</w:t>
      </w:r>
      <w:r w:rsidRPr="008012F8">
        <w:rPr>
          <w:rFonts w:ascii="宋体" w:hAnsi="宋体" w:cs="宋体" w:hint="eastAsia"/>
        </w:rPr>
        <w:t>页，第</w:t>
      </w:r>
      <w:r w:rsidRPr="008012F8">
        <w:t>141</w:t>
      </w:r>
      <w:r w:rsidRPr="008012F8">
        <w:rPr>
          <w:rFonts w:ascii="宋体" w:hAnsi="宋体" w:cs="宋体" w:hint="eastAsia"/>
        </w:rPr>
        <w:t>段。</w:t>
      </w:r>
    </w:p>
  </w:footnote>
  <w:footnote w:id="636">
    <w:p w:rsidR="00AB00DE" w:rsidRPr="008012F8" w:rsidRDefault="00AB00DE" w:rsidP="00D90936">
      <w:pPr>
        <w:pStyle w:val="a4"/>
      </w:pPr>
      <w:r w:rsidRPr="008012F8">
        <w:tab/>
      </w:r>
      <w:r w:rsidRPr="00DF5565">
        <w:rPr>
          <w:rStyle w:val="a5"/>
        </w:rPr>
        <w:footnoteRef/>
      </w:r>
      <w:r w:rsidRPr="008012F8">
        <w:tab/>
        <w:t>Gardiner,</w:t>
      </w:r>
      <w:r w:rsidRPr="008012F8">
        <w:rPr>
          <w:rFonts w:ascii="宋体" w:hAnsi="宋体" w:cs="宋体" w:hint="eastAsia"/>
        </w:rPr>
        <w:t>《条约解释》</w:t>
      </w:r>
      <w:r w:rsidRPr="00FA4C6D">
        <w:rPr>
          <w:rFonts w:asciiTheme="majorBidi" w:hAnsiTheme="majorBidi" w:cstheme="majorBidi"/>
        </w:rPr>
        <w:t>(</w:t>
      </w:r>
      <w:r w:rsidRPr="00FA4C6D">
        <w:rPr>
          <w:rFonts w:asciiTheme="majorBidi" w:hAnsiTheme="majorBidi" w:cstheme="majorBidi"/>
        </w:rPr>
        <w:t>见上文脚注</w:t>
      </w:r>
      <w:r w:rsidRPr="00D90936">
        <w:rPr>
          <w:rFonts w:asciiTheme="majorBidi" w:hAnsiTheme="majorBidi" w:cstheme="majorBidi"/>
        </w:rPr>
        <w:fldChar w:fldCharType="begin"/>
      </w:r>
      <w:r w:rsidRPr="00D90936">
        <w:rPr>
          <w:rFonts w:asciiTheme="majorBidi" w:hAnsiTheme="majorBidi" w:cstheme="majorBidi"/>
        </w:rPr>
        <w:instrText xml:space="preserve"> NOTEREF _Ref461971974 \h </w:instrText>
      </w:r>
      <w:r>
        <w:rPr>
          <w:rFonts w:asciiTheme="majorBidi" w:hAnsiTheme="majorBidi" w:cstheme="majorBidi"/>
        </w:rPr>
        <w:instrText xml:space="preserve"> \* MERGEFORMAT </w:instrText>
      </w:r>
      <w:r w:rsidRPr="00D90936">
        <w:rPr>
          <w:rFonts w:asciiTheme="majorBidi" w:hAnsiTheme="majorBidi" w:cstheme="majorBidi"/>
        </w:rPr>
      </w:r>
      <w:r w:rsidRPr="00D90936">
        <w:rPr>
          <w:rFonts w:asciiTheme="majorBidi" w:hAnsiTheme="majorBidi" w:cstheme="majorBidi"/>
        </w:rPr>
        <w:fldChar w:fldCharType="separate"/>
      </w:r>
      <w:r w:rsidR="00A73EB9">
        <w:rPr>
          <w:rFonts w:asciiTheme="majorBidi" w:hAnsiTheme="majorBidi" w:cstheme="majorBidi"/>
        </w:rPr>
        <w:t>392</w:t>
      </w:r>
      <w:r w:rsidRPr="00D90936">
        <w:rPr>
          <w:rFonts w:asciiTheme="majorBidi" w:hAnsiTheme="majorBidi" w:cstheme="majorBidi"/>
        </w:rPr>
        <w:fldChar w:fldCharType="end"/>
      </w:r>
      <w:r w:rsidRPr="00FA4C6D">
        <w:rPr>
          <w:rFonts w:asciiTheme="majorBidi" w:hAnsiTheme="majorBidi" w:cstheme="majorBidi"/>
        </w:rPr>
        <w:t>)</w:t>
      </w:r>
      <w:r w:rsidRPr="008012F8">
        <w:rPr>
          <w:rFonts w:ascii="宋体" w:hAnsi="宋体" w:cs="宋体" w:hint="eastAsia"/>
        </w:rPr>
        <w:t>，第</w:t>
      </w:r>
      <w:r w:rsidRPr="008012F8">
        <w:t>211</w:t>
      </w:r>
      <w:r w:rsidRPr="008012F8">
        <w:rPr>
          <w:rFonts w:ascii="宋体" w:hAnsi="宋体" w:cs="宋体" w:hint="eastAsia"/>
        </w:rPr>
        <w:t>和</w:t>
      </w:r>
      <w:r w:rsidRPr="008012F8">
        <w:t>219</w:t>
      </w:r>
      <w:r w:rsidRPr="008012F8">
        <w:rPr>
          <w:rFonts w:ascii="宋体" w:hAnsi="宋体" w:cs="宋体" w:hint="eastAsia"/>
        </w:rPr>
        <w:t>页。</w:t>
      </w:r>
    </w:p>
  </w:footnote>
  <w:footnote w:id="637">
    <w:p w:rsidR="00AB00DE" w:rsidRPr="008012F8" w:rsidRDefault="00AB00DE" w:rsidP="00560424">
      <w:pPr>
        <w:pStyle w:val="a4"/>
      </w:pPr>
      <w:r w:rsidRPr="008012F8">
        <w:tab/>
      </w:r>
      <w:r w:rsidRPr="00DF5565">
        <w:rPr>
          <w:rStyle w:val="a5"/>
        </w:rPr>
        <w:footnoteRef/>
      </w:r>
      <w:r w:rsidRPr="008012F8">
        <w:tab/>
      </w:r>
      <w:r w:rsidRPr="008012F8">
        <w:t>同上，第</w:t>
      </w:r>
      <w:r w:rsidRPr="008012F8">
        <w:t>212-215</w:t>
      </w:r>
      <w:r w:rsidRPr="008012F8">
        <w:t>页；另见</w:t>
      </w:r>
      <w:r w:rsidRPr="00DF5565">
        <w:rPr>
          <w:rFonts w:eastAsia="楷体"/>
        </w:rPr>
        <w:t>南非不遵守安全理事会第</w:t>
      </w:r>
      <w:r w:rsidRPr="00DF5565">
        <w:rPr>
          <w:rFonts w:eastAsia="楷体"/>
        </w:rPr>
        <w:t>276(1970)</w:t>
      </w:r>
      <w:r w:rsidRPr="00DF5565">
        <w:rPr>
          <w:rFonts w:eastAsia="楷体"/>
        </w:rPr>
        <w:t>号决议继续留驻纳米比亚</w:t>
      </w:r>
      <w:r w:rsidRPr="00DF5565">
        <w:rPr>
          <w:rFonts w:eastAsia="楷体"/>
        </w:rPr>
        <w:t>(</w:t>
      </w:r>
      <w:r w:rsidRPr="00DF5565">
        <w:rPr>
          <w:rFonts w:eastAsia="楷体"/>
        </w:rPr>
        <w:t>西南非洲</w:t>
      </w:r>
      <w:r w:rsidRPr="00DF5565">
        <w:rPr>
          <w:rFonts w:eastAsia="楷体"/>
        </w:rPr>
        <w:t>)</w:t>
      </w:r>
      <w:r w:rsidRPr="00DF5565">
        <w:rPr>
          <w:rFonts w:eastAsia="楷体"/>
        </w:rPr>
        <w:t>对各国的法律后果</w:t>
      </w:r>
      <w:r w:rsidRPr="008012F8">
        <w:t>，</w:t>
      </w:r>
      <w:r w:rsidRPr="00DF5565">
        <w:rPr>
          <w:rFonts w:eastAsia="楷体"/>
        </w:rPr>
        <w:t>咨询意见</w:t>
      </w:r>
      <w:r w:rsidRPr="008012F8">
        <w:t>，</w:t>
      </w:r>
      <w:r w:rsidRPr="008012F8">
        <w:rPr>
          <w:rFonts w:ascii="宋体" w:hAnsi="宋体" w:cs="宋体"/>
        </w:rPr>
        <w:t>《</w:t>
      </w:r>
      <w:r w:rsidRPr="008012F8">
        <w:rPr>
          <w:rFonts w:ascii="Time New Roman" w:eastAsia="楷体" w:hAnsi="Time New Roman" w:cs="宋体"/>
        </w:rPr>
        <w:t>1971</w:t>
      </w:r>
      <w:r w:rsidRPr="008012F8">
        <w:rPr>
          <w:rFonts w:ascii="宋体" w:hAnsi="宋体" w:cs="宋体"/>
        </w:rPr>
        <w:t>年国际法院案例汇编》</w:t>
      </w:r>
      <w:r w:rsidRPr="008012F8">
        <w:t>，第</w:t>
      </w:r>
      <w:r w:rsidRPr="008012F8">
        <w:t>16</w:t>
      </w:r>
      <w:r w:rsidRPr="008012F8">
        <w:t>页起，见第</w:t>
      </w:r>
      <w:r w:rsidRPr="008012F8">
        <w:t>31</w:t>
      </w:r>
      <w:r w:rsidRPr="008012F8">
        <w:t>页，第</w:t>
      </w:r>
      <w:r w:rsidRPr="008012F8">
        <w:t>53</w:t>
      </w:r>
      <w:r w:rsidRPr="008012F8">
        <w:t>段；</w:t>
      </w:r>
      <w:r w:rsidRPr="00DF5565">
        <w:rPr>
          <w:rFonts w:eastAsia="楷体"/>
        </w:rPr>
        <w:t>在被占巴勒斯坦领土修建隔离墙的法律后果，咨询意见，</w:t>
      </w:r>
      <w:r w:rsidRPr="008012F8">
        <w:t>《</w:t>
      </w:r>
      <w:r w:rsidRPr="008012F8">
        <w:t>2004</w:t>
      </w:r>
      <w:r w:rsidRPr="008012F8">
        <w:t>年国际法院案例汇编》，第</w:t>
      </w:r>
      <w:r w:rsidRPr="008012F8">
        <w:t>136</w:t>
      </w:r>
      <w:r w:rsidRPr="008012F8">
        <w:t>页起，见第</w:t>
      </w:r>
      <w:r w:rsidRPr="008012F8">
        <w:t>179</w:t>
      </w:r>
      <w:r w:rsidRPr="008012F8">
        <w:t>页，第</w:t>
      </w:r>
      <w:r w:rsidRPr="008012F8">
        <w:t>109</w:t>
      </w:r>
      <w:r w:rsidRPr="008012F8">
        <w:t>段；</w:t>
      </w:r>
      <w:r w:rsidRPr="008012F8">
        <w:t>R. Higgins,</w:t>
      </w:r>
      <w:r w:rsidRPr="008012F8">
        <w:rPr>
          <w:rFonts w:hint="eastAsia"/>
        </w:rPr>
        <w:t>“</w:t>
      </w:r>
      <w:r w:rsidRPr="008012F8">
        <w:t>关于国际法中的时效规则的若干意见</w:t>
      </w:r>
      <w:r w:rsidRPr="008012F8">
        <w:rPr>
          <w:rFonts w:hint="eastAsia"/>
        </w:rPr>
        <w:t>”</w:t>
      </w:r>
      <w:r w:rsidRPr="008012F8">
        <w:t>，载于《二十一世纪初的国际法理论》，</w:t>
      </w:r>
      <w:r w:rsidRPr="008012F8">
        <w:t>J. Makarczyk</w:t>
      </w:r>
      <w:r w:rsidRPr="008012F8">
        <w:t>编</w:t>
      </w:r>
      <w:r w:rsidRPr="008012F8">
        <w:t>(</w:t>
      </w:r>
      <w:r w:rsidRPr="008012F8">
        <w:t>海牙，</w:t>
      </w:r>
      <w:r w:rsidRPr="008012F8">
        <w:t>Kluwer Law International, 1996</w:t>
      </w:r>
      <w:r w:rsidRPr="008012F8">
        <w:t>年</w:t>
      </w:r>
      <w:r w:rsidRPr="008012F8">
        <w:t>)</w:t>
      </w:r>
      <w:r w:rsidRPr="008012F8">
        <w:t>，第</w:t>
      </w:r>
      <w:r w:rsidRPr="008012F8">
        <w:t>173-181</w:t>
      </w:r>
      <w:r w:rsidRPr="008012F8">
        <w:t>页，见第</w:t>
      </w:r>
      <w:r w:rsidRPr="008012F8">
        <w:t>180</w:t>
      </w:r>
      <w:r w:rsidRPr="008012F8">
        <w:t>页；</w:t>
      </w:r>
      <w:r w:rsidRPr="008012F8">
        <w:t>Distefano,</w:t>
      </w:r>
      <w:r w:rsidRPr="008012F8">
        <w:rPr>
          <w:rFonts w:hint="eastAsia"/>
        </w:rPr>
        <w:t>“……</w:t>
      </w:r>
      <w:r w:rsidRPr="008012F8">
        <w:t>嗣后惯例</w:t>
      </w:r>
      <w:r w:rsidRPr="008012F8">
        <w:rPr>
          <w:rFonts w:hint="eastAsia"/>
        </w:rPr>
        <w:t>”</w:t>
      </w:r>
      <w:r w:rsidRPr="008012F8">
        <w:t>(</w:t>
      </w:r>
      <w:r w:rsidRPr="008012F8">
        <w:t>见上文脚注</w:t>
      </w:r>
      <w:r>
        <w:fldChar w:fldCharType="begin"/>
      </w:r>
      <w:r>
        <w:instrText xml:space="preserve"> NOTEREF _Ref461973844 \h </w:instrText>
      </w:r>
      <w:r>
        <w:fldChar w:fldCharType="separate"/>
      </w:r>
      <w:r w:rsidR="00A73EB9">
        <w:t>573</w:t>
      </w:r>
      <w:r>
        <w:fldChar w:fldCharType="end"/>
      </w:r>
      <w:r w:rsidRPr="008012F8">
        <w:t>)</w:t>
      </w:r>
      <w:r w:rsidRPr="008012F8">
        <w:t>，第</w:t>
      </w:r>
      <w:r w:rsidRPr="008012F8">
        <w:t>52-54</w:t>
      </w:r>
      <w:r w:rsidRPr="008012F8">
        <w:t>页；</w:t>
      </w:r>
      <w:r w:rsidRPr="008012F8">
        <w:t>Crema,</w:t>
      </w:r>
      <w:r w:rsidRPr="008012F8">
        <w:rPr>
          <w:rFonts w:hint="eastAsia"/>
        </w:rPr>
        <w:t>“……</w:t>
      </w:r>
      <w:r w:rsidRPr="008012F8">
        <w:t>嗣后协定与嗣后惯例</w:t>
      </w:r>
      <w:r w:rsidRPr="008012F8">
        <w:rPr>
          <w:rFonts w:hint="eastAsia"/>
        </w:rPr>
        <w:t>”</w:t>
      </w:r>
      <w:r w:rsidRPr="008012F8">
        <w:t>(</w:t>
      </w:r>
      <w:r w:rsidRPr="008012F8">
        <w:t>上文脚注</w:t>
      </w:r>
      <w:r>
        <w:fldChar w:fldCharType="begin"/>
      </w:r>
      <w:r>
        <w:instrText xml:space="preserve"> NOTEREF _Ref461976079 \h </w:instrText>
      </w:r>
      <w:r>
        <w:fldChar w:fldCharType="separate"/>
      </w:r>
      <w:r w:rsidR="00A73EB9">
        <w:t>604</w:t>
      </w:r>
      <w:r>
        <w:fldChar w:fldCharType="end"/>
      </w:r>
      <w:r w:rsidRPr="008012F8">
        <w:t>)</w:t>
      </w:r>
      <w:r w:rsidRPr="008012F8">
        <w:t>，第</w:t>
      </w:r>
      <w:r w:rsidRPr="008012F8">
        <w:t>21</w:t>
      </w:r>
      <w:r w:rsidRPr="008012F8">
        <w:t>页</w:t>
      </w:r>
      <w:r w:rsidRPr="008012F8">
        <w:rPr>
          <w:lang w:val="es-ES"/>
        </w:rPr>
        <w:t>。</w:t>
      </w:r>
    </w:p>
  </w:footnote>
  <w:footnote w:id="638">
    <w:p w:rsidR="00AB00DE" w:rsidRPr="008012F8" w:rsidRDefault="00AB00DE" w:rsidP="008D7906">
      <w:pPr>
        <w:pStyle w:val="a4"/>
      </w:pPr>
      <w:r w:rsidRPr="008012F8">
        <w:tab/>
      </w:r>
      <w:r w:rsidRPr="00DF5565">
        <w:rPr>
          <w:rStyle w:val="a5"/>
        </w:rPr>
        <w:footnoteRef/>
      </w:r>
      <w:r w:rsidRPr="008012F8">
        <w:tab/>
      </w:r>
      <w:r w:rsidRPr="00DF5565">
        <w:rPr>
          <w:rFonts w:eastAsia="楷体"/>
        </w:rPr>
        <w:t>格陵兰和扬马延间区域海洋划界案</w:t>
      </w:r>
      <w:r w:rsidRPr="008012F8">
        <w:rPr>
          <w:rFonts w:ascii="宋体" w:hAnsi="宋体" w:cs="宋体" w:hint="eastAsia"/>
        </w:rPr>
        <w:t>，判决，《</w:t>
      </w:r>
      <w:r w:rsidRPr="008012F8">
        <w:t>1993</w:t>
      </w:r>
      <w:r w:rsidRPr="008012F8">
        <w:rPr>
          <w:rFonts w:ascii="宋体" w:hAnsi="宋体" w:cs="宋体" w:hint="eastAsia"/>
        </w:rPr>
        <w:t>年国际法院案例汇编》，第</w:t>
      </w:r>
      <w:r w:rsidRPr="008012F8">
        <w:rPr>
          <w:rFonts w:ascii="Time New Roman" w:eastAsia="楷体" w:hAnsi="Time New Roman" w:cs="宋体"/>
        </w:rPr>
        <w:t>38</w:t>
      </w:r>
      <w:r w:rsidRPr="008012F8">
        <w:rPr>
          <w:rFonts w:ascii="宋体" w:hAnsi="宋体" w:cs="宋体" w:hint="eastAsia"/>
        </w:rPr>
        <w:t>页起，见第</w:t>
      </w:r>
      <w:r w:rsidRPr="008012F8">
        <w:rPr>
          <w:rFonts w:ascii="Time New Roman" w:eastAsia="楷体" w:hAnsi="Time New Roman" w:cs="宋体"/>
        </w:rPr>
        <w:t>5</w:t>
      </w:r>
      <w:r w:rsidRPr="008012F8">
        <w:rPr>
          <w:rFonts w:hint="eastAsia"/>
        </w:rPr>
        <w:t>0</w:t>
      </w:r>
      <w:r w:rsidRPr="008012F8">
        <w:rPr>
          <w:rFonts w:ascii="宋体" w:hAnsi="宋体" w:cs="宋体" w:hint="eastAsia"/>
        </w:rPr>
        <w:t>页，第</w:t>
      </w:r>
      <w:r w:rsidRPr="008012F8">
        <w:t>27</w:t>
      </w:r>
      <w:r w:rsidRPr="008012F8">
        <w:rPr>
          <w:rFonts w:ascii="宋体" w:hAnsi="宋体" w:cs="宋体" w:hint="eastAsia"/>
        </w:rPr>
        <w:t>段。</w:t>
      </w:r>
    </w:p>
  </w:footnote>
  <w:footnote w:id="639">
    <w:p w:rsidR="00AB00DE" w:rsidRPr="008012F8" w:rsidRDefault="00AB00DE" w:rsidP="008D7906">
      <w:pPr>
        <w:pStyle w:val="a4"/>
      </w:pPr>
      <w:r w:rsidRPr="008012F8">
        <w:tab/>
      </w:r>
      <w:r w:rsidRPr="00DF5565">
        <w:rPr>
          <w:rStyle w:val="a5"/>
        </w:rPr>
        <w:footnoteRef/>
      </w:r>
      <w:r w:rsidRPr="008012F8">
        <w:tab/>
      </w:r>
      <w:r w:rsidRPr="008012F8">
        <w:rPr>
          <w:rFonts w:eastAsia="楷体"/>
        </w:rPr>
        <w:t>石油平台案</w:t>
      </w:r>
      <w:r w:rsidRPr="008012F8">
        <w:rPr>
          <w:rFonts w:eastAsia="楷体"/>
        </w:rPr>
        <w:t>(</w:t>
      </w:r>
      <w:r w:rsidRPr="008012F8">
        <w:rPr>
          <w:rFonts w:eastAsia="楷体"/>
        </w:rPr>
        <w:t>伊朗伊斯兰共和国诉美利坚合众国</w:t>
      </w:r>
      <w:r w:rsidRPr="008012F8">
        <w:rPr>
          <w:rFonts w:eastAsia="楷体"/>
        </w:rPr>
        <w:t>)</w:t>
      </w:r>
      <w:r w:rsidRPr="008012F8">
        <w:rPr>
          <w:rFonts w:ascii="宋体" w:hAnsi="宋体" w:cs="宋体" w:hint="eastAsia"/>
        </w:rPr>
        <w:t>，初步反对意见，判决，《</w:t>
      </w:r>
      <w:r w:rsidRPr="008012F8">
        <w:t>1996</w:t>
      </w:r>
      <w:r w:rsidRPr="008012F8">
        <w:rPr>
          <w:rFonts w:ascii="宋体" w:hAnsi="宋体" w:cs="宋体" w:hint="eastAsia"/>
        </w:rPr>
        <w:t>年国际法院案例汇编》，第</w:t>
      </w:r>
      <w:r w:rsidRPr="008012F8">
        <w:t>803</w:t>
      </w:r>
      <w:r w:rsidRPr="008012F8">
        <w:rPr>
          <w:rFonts w:ascii="宋体" w:hAnsi="宋体" w:cs="宋体" w:hint="eastAsia"/>
        </w:rPr>
        <w:t>页起，见</w:t>
      </w:r>
      <w:r w:rsidRPr="008012F8">
        <w:rPr>
          <w:rFonts w:ascii="Time New Roman" w:hAnsi="Time New Roman" w:cs="宋体" w:hint="eastAsia"/>
        </w:rPr>
        <w:t>第</w:t>
      </w:r>
      <w:r w:rsidRPr="008012F8">
        <w:rPr>
          <w:rFonts w:ascii="Time New Roman" w:hAnsi="Time New Roman" w:cs="宋体" w:hint="eastAsia"/>
        </w:rPr>
        <w:t>813</w:t>
      </w:r>
      <w:r w:rsidRPr="008012F8">
        <w:rPr>
          <w:rFonts w:ascii="Time New Roman" w:hAnsi="Time New Roman" w:cs="宋体" w:hint="eastAsia"/>
        </w:rPr>
        <w:t>和</w:t>
      </w:r>
      <w:r w:rsidRPr="008012F8">
        <w:t>815</w:t>
      </w:r>
      <w:r w:rsidRPr="008012F8">
        <w:rPr>
          <w:rFonts w:ascii="宋体" w:hAnsi="宋体" w:cs="宋体" w:hint="eastAsia"/>
        </w:rPr>
        <w:t>页，第</w:t>
      </w:r>
      <w:r w:rsidRPr="008012F8">
        <w:t>27</w:t>
      </w:r>
      <w:r w:rsidRPr="008012F8">
        <w:rPr>
          <w:rFonts w:ascii="宋体" w:hAnsi="宋体" w:cs="宋体" w:hint="eastAsia"/>
        </w:rPr>
        <w:t>和</w:t>
      </w:r>
      <w:r w:rsidRPr="008012F8">
        <w:t>30</w:t>
      </w:r>
      <w:r w:rsidRPr="008012F8">
        <w:rPr>
          <w:rFonts w:ascii="宋体" w:hAnsi="宋体" w:cs="宋体" w:hint="eastAsia"/>
        </w:rPr>
        <w:t>段。</w:t>
      </w:r>
    </w:p>
  </w:footnote>
  <w:footnote w:id="640">
    <w:p w:rsidR="00AB00DE" w:rsidRPr="008012F8" w:rsidRDefault="00AB00DE" w:rsidP="008D7906">
      <w:pPr>
        <w:pStyle w:val="a4"/>
      </w:pPr>
      <w:r w:rsidRPr="008012F8">
        <w:tab/>
      </w:r>
      <w:r w:rsidRPr="00DF5565">
        <w:rPr>
          <w:rStyle w:val="a5"/>
        </w:rPr>
        <w:footnoteRef/>
      </w:r>
      <w:r w:rsidRPr="008012F8">
        <w:tab/>
      </w:r>
      <w:r w:rsidRPr="008012F8">
        <w:rPr>
          <w:rFonts w:ascii="宋体" w:hAnsi="宋体" w:cs="宋体" w:hint="eastAsia"/>
        </w:rPr>
        <w:t>另见</w:t>
      </w:r>
      <w:r w:rsidRPr="008012F8">
        <w:rPr>
          <w:rFonts w:eastAsia="楷体"/>
        </w:rPr>
        <w:t>喀麦隆和尼日利亚间陆地和海洋疆界案</w:t>
      </w:r>
      <w:r w:rsidRPr="008012F8">
        <w:rPr>
          <w:rFonts w:eastAsia="楷体"/>
        </w:rPr>
        <w:t>(</w:t>
      </w:r>
      <w:r w:rsidRPr="008012F8">
        <w:rPr>
          <w:rFonts w:eastAsia="楷体"/>
        </w:rPr>
        <w:t>喀麦隆诉尼日利亚</w:t>
      </w:r>
      <w:r w:rsidRPr="008012F8">
        <w:rPr>
          <w:rFonts w:eastAsia="楷体"/>
        </w:rPr>
        <w:t>)</w:t>
      </w:r>
      <w:r w:rsidRPr="008012F8">
        <w:rPr>
          <w:rFonts w:ascii="宋体" w:hAnsi="宋体" w:cs="宋体" w:hint="eastAsia"/>
        </w:rPr>
        <w:t>，</w:t>
      </w:r>
      <w:r w:rsidRPr="008012F8">
        <w:rPr>
          <w:rFonts w:ascii="Time New Roman" w:eastAsia="楷体" w:hAnsi="Time New Roman" w:cs="宋体" w:hint="eastAsia"/>
        </w:rPr>
        <w:t>初步反对意见，判决</w:t>
      </w:r>
      <w:r w:rsidRPr="008012F8">
        <w:rPr>
          <w:rFonts w:ascii="宋体" w:hAnsi="宋体" w:cs="宋体" w:hint="eastAsia"/>
        </w:rPr>
        <w:t>，《</w:t>
      </w:r>
      <w:r w:rsidRPr="008012F8">
        <w:t>1998</w:t>
      </w:r>
      <w:r w:rsidRPr="008012F8">
        <w:rPr>
          <w:rFonts w:ascii="宋体" w:hAnsi="宋体" w:cs="宋体" w:hint="eastAsia"/>
        </w:rPr>
        <w:t>年国际法院案例汇编》，第</w:t>
      </w:r>
      <w:r w:rsidRPr="008012F8">
        <w:t>275</w:t>
      </w:r>
      <w:r w:rsidRPr="008012F8">
        <w:rPr>
          <w:rFonts w:ascii="宋体" w:hAnsi="宋体" w:cs="宋体" w:hint="eastAsia"/>
        </w:rPr>
        <w:t>页起，见第</w:t>
      </w:r>
      <w:r w:rsidRPr="008012F8">
        <w:t>306</w:t>
      </w:r>
      <w:r w:rsidRPr="008012F8">
        <w:rPr>
          <w:rFonts w:ascii="宋体" w:hAnsi="宋体" w:cs="宋体" w:hint="eastAsia"/>
        </w:rPr>
        <w:t>页，第</w:t>
      </w:r>
      <w:r w:rsidRPr="008012F8">
        <w:t>67</w:t>
      </w:r>
      <w:r w:rsidRPr="008012F8">
        <w:rPr>
          <w:rFonts w:ascii="宋体" w:hAnsi="宋体" w:cs="宋体" w:hint="eastAsia"/>
        </w:rPr>
        <w:t>段。</w:t>
      </w:r>
    </w:p>
  </w:footnote>
  <w:footnote w:id="641">
    <w:p w:rsidR="00AB00DE" w:rsidRPr="008012F8" w:rsidRDefault="00AB00DE" w:rsidP="00D90936">
      <w:pPr>
        <w:pStyle w:val="a4"/>
      </w:pPr>
      <w:r w:rsidRPr="008012F8">
        <w:tab/>
      </w:r>
      <w:r w:rsidRPr="00DF5565">
        <w:rPr>
          <w:rStyle w:val="a5"/>
        </w:rPr>
        <w:footnoteRef/>
      </w:r>
      <w:r w:rsidRPr="008012F8">
        <w:rPr>
          <w:color w:val="0000FF"/>
        </w:rPr>
        <w:tab/>
      </w:r>
      <w:r w:rsidRPr="008012F8">
        <w:rPr>
          <w:rFonts w:ascii="宋体" w:hAnsi="宋体" w:cs="宋体" w:hint="eastAsia"/>
        </w:rPr>
        <w:t>这并不是说可能存在对条约的不同解释，而是说条约必须让缔约方有可能在一系列允许的行为中作出选择，见</w:t>
      </w:r>
      <w:r w:rsidRPr="008012F8">
        <w:t>Gardiner,</w:t>
      </w:r>
      <w:r w:rsidRPr="008012F8">
        <w:rPr>
          <w:rFonts w:ascii="宋体" w:hAnsi="宋体" w:cs="宋体" w:hint="eastAsia"/>
        </w:rPr>
        <w:t>《条约解释》</w:t>
      </w:r>
      <w:r w:rsidRPr="00FA4C6D">
        <w:rPr>
          <w:rFonts w:asciiTheme="majorBidi" w:hAnsiTheme="majorBidi" w:cstheme="majorBidi"/>
        </w:rPr>
        <w:t>(</w:t>
      </w:r>
      <w:r w:rsidRPr="00FA4C6D">
        <w:rPr>
          <w:rFonts w:asciiTheme="majorBidi" w:hAnsiTheme="majorBidi" w:cstheme="majorBidi"/>
        </w:rPr>
        <w:t>见上文脚注</w:t>
      </w:r>
      <w:r w:rsidRPr="00D90936">
        <w:rPr>
          <w:rFonts w:asciiTheme="majorBidi" w:hAnsiTheme="majorBidi" w:cstheme="majorBidi"/>
        </w:rPr>
        <w:fldChar w:fldCharType="begin"/>
      </w:r>
      <w:r w:rsidRPr="00D90936">
        <w:rPr>
          <w:rFonts w:asciiTheme="majorBidi" w:hAnsiTheme="majorBidi" w:cstheme="majorBidi"/>
        </w:rPr>
        <w:instrText xml:space="preserve"> NOTEREF _Ref461971974 \h </w:instrText>
      </w:r>
      <w:r>
        <w:rPr>
          <w:rFonts w:asciiTheme="majorBidi" w:hAnsiTheme="majorBidi" w:cstheme="majorBidi"/>
        </w:rPr>
        <w:instrText xml:space="preserve"> \* MERGEFORMAT </w:instrText>
      </w:r>
      <w:r w:rsidRPr="00D90936">
        <w:rPr>
          <w:rFonts w:asciiTheme="majorBidi" w:hAnsiTheme="majorBidi" w:cstheme="majorBidi"/>
        </w:rPr>
      </w:r>
      <w:r w:rsidRPr="00D90936">
        <w:rPr>
          <w:rFonts w:asciiTheme="majorBidi" w:hAnsiTheme="majorBidi" w:cstheme="majorBidi"/>
        </w:rPr>
        <w:fldChar w:fldCharType="separate"/>
      </w:r>
      <w:r w:rsidR="00A73EB9">
        <w:rPr>
          <w:rFonts w:asciiTheme="majorBidi" w:hAnsiTheme="majorBidi" w:cstheme="majorBidi"/>
        </w:rPr>
        <w:t>392</w:t>
      </w:r>
      <w:r w:rsidRPr="00D90936">
        <w:rPr>
          <w:rFonts w:asciiTheme="majorBidi" w:hAnsiTheme="majorBidi" w:cstheme="majorBidi"/>
        </w:rPr>
        <w:fldChar w:fldCharType="end"/>
      </w:r>
      <w:r w:rsidRPr="00FA4C6D">
        <w:rPr>
          <w:rFonts w:asciiTheme="majorBidi" w:hAnsiTheme="majorBidi" w:cstheme="majorBidi"/>
        </w:rPr>
        <w:t>)</w:t>
      </w:r>
      <w:r w:rsidRPr="008012F8">
        <w:rPr>
          <w:rFonts w:ascii="宋体" w:hAnsi="宋体" w:cs="宋体" w:hint="eastAsia"/>
        </w:rPr>
        <w:t>，第</w:t>
      </w:r>
      <w:r w:rsidRPr="008012F8">
        <w:t>32-33</w:t>
      </w:r>
      <w:r w:rsidRPr="008012F8">
        <w:rPr>
          <w:rFonts w:ascii="宋体" w:hAnsi="宋体" w:cs="宋体" w:hint="eastAsia"/>
        </w:rPr>
        <w:t>页和第</w:t>
      </w:r>
      <w:r w:rsidRPr="008012F8">
        <w:t>268</w:t>
      </w:r>
      <w:r w:rsidRPr="008012F8">
        <w:rPr>
          <w:rFonts w:ascii="宋体" w:hAnsi="宋体" w:cs="宋体" w:hint="eastAsia"/>
        </w:rPr>
        <w:t>页，引用上议院在</w:t>
      </w:r>
      <w:r w:rsidRPr="00DF5565">
        <w:rPr>
          <w:rFonts w:eastAsia="楷体"/>
          <w:i/>
        </w:rPr>
        <w:t>R</w:t>
      </w:r>
      <w:r w:rsidRPr="00DF5565">
        <w:rPr>
          <w:rFonts w:eastAsia="楷体"/>
        </w:rPr>
        <w:t>诉内政部大臣案，</w:t>
      </w:r>
      <w:r w:rsidRPr="00DF5565">
        <w:rPr>
          <w:rFonts w:eastAsia="楷体"/>
          <w:i/>
        </w:rPr>
        <w:t>Adan</w:t>
      </w:r>
      <w:r w:rsidRPr="00DF5565">
        <w:rPr>
          <w:rFonts w:eastAsia="楷体"/>
        </w:rPr>
        <w:t>缺席</w:t>
      </w:r>
      <w:r w:rsidRPr="00DF5565">
        <w:rPr>
          <w:rFonts w:eastAsia="楷体"/>
        </w:rPr>
        <w:t>[2001]</w:t>
      </w:r>
      <w:r w:rsidRPr="008012F8">
        <w:t>AC 477</w:t>
      </w:r>
      <w:r w:rsidRPr="008012F8">
        <w:rPr>
          <w:rFonts w:ascii="宋体" w:hAnsi="宋体" w:cs="宋体" w:hint="eastAsia"/>
        </w:rPr>
        <w:t>中发表的意见：</w:t>
      </w:r>
      <w:r w:rsidRPr="008012F8">
        <w:rPr>
          <w:rFonts w:hint="eastAsia"/>
        </w:rPr>
        <w:t>“……</w:t>
      </w:r>
      <w:r w:rsidRPr="008012F8">
        <w:rPr>
          <w:rFonts w:ascii="宋体" w:hAnsi="宋体" w:cs="宋体" w:hint="eastAsia"/>
        </w:rPr>
        <w:t>需要确定有关条约规定的自主含义</w:t>
      </w:r>
      <w:r w:rsidRPr="008012F8">
        <w:rPr>
          <w:rFonts w:hint="eastAsia"/>
        </w:rPr>
        <w:t>……</w:t>
      </w:r>
      <w:r w:rsidRPr="008012F8">
        <w:rPr>
          <w:rFonts w:ascii="宋体" w:hAnsi="宋体" w:cs="宋体" w:hint="eastAsia"/>
        </w:rPr>
        <w:t>由此可见，与其他多边条约一样，必须赋予《难民公约》可从</w:t>
      </w:r>
      <w:r w:rsidRPr="008012F8">
        <w:t>[</w:t>
      </w:r>
      <w:r w:rsidRPr="008012F8">
        <w:rPr>
          <w:rFonts w:ascii="Time New Roman" w:eastAsia="楷体" w:hAnsi="Time New Roman" w:cs="宋体"/>
        </w:rPr>
        <w:t>1969</w:t>
      </w:r>
      <w:r w:rsidRPr="008012F8">
        <w:t>年</w:t>
      </w:r>
      <w:r w:rsidRPr="008012F8">
        <w:rPr>
          <w:rFonts w:ascii="宋体" w:hAnsi="宋体" w:cs="宋体" w:hint="eastAsia"/>
        </w:rPr>
        <w:t>《维也纳公约》</w:t>
      </w:r>
      <w:r w:rsidRPr="008012F8">
        <w:t>]</w:t>
      </w:r>
      <w:r w:rsidRPr="008012F8">
        <w:rPr>
          <w:rFonts w:ascii="宋体" w:hAnsi="宋体" w:cs="宋体" w:hint="eastAsia"/>
        </w:rPr>
        <w:t>第三十一条和第三十二条所指来源中得出的独立含义，而不是随便借鉴某个缔约国法律体系的特点得出含义。因此，原则上，条约只能有一个真正的解释</w:t>
      </w:r>
      <w:r w:rsidRPr="008012F8">
        <w:rPr>
          <w:rFonts w:hint="eastAsia"/>
        </w:rPr>
        <w:t>……</w:t>
      </w:r>
      <w:r w:rsidRPr="008012F8">
        <w:rPr>
          <w:rFonts w:ascii="宋体" w:hAnsi="宋体" w:cs="宋体" w:hint="eastAsia"/>
        </w:rPr>
        <w:t>在实践中，面对解释问题上的重大分歧，由各国法院做出决定。不过，做决定时，法院必须摆脱本国法律文化理念的束缚，探索条约真正的自主含义。而真正的含义只有一个</w:t>
      </w:r>
      <w:r w:rsidRPr="008012F8">
        <w:rPr>
          <w:rFonts w:hint="eastAsia"/>
        </w:rPr>
        <w:t>”</w:t>
      </w:r>
      <w:r w:rsidRPr="008012F8">
        <w:t>(</w:t>
      </w:r>
      <w:r w:rsidRPr="008012F8">
        <w:rPr>
          <w:rFonts w:ascii="宋体" w:hAnsi="宋体" w:cs="宋体" w:hint="eastAsia"/>
        </w:rPr>
        <w:t>《判例汇编》，</w:t>
      </w:r>
      <w:r w:rsidRPr="008012F8">
        <w:rPr>
          <w:rFonts w:eastAsia="楷体"/>
        </w:rPr>
        <w:t>2011</w:t>
      </w:r>
      <w:r w:rsidRPr="008012F8">
        <w:rPr>
          <w:rFonts w:eastAsia="楷体"/>
        </w:rPr>
        <w:t>年上诉案例</w:t>
      </w:r>
      <w:r w:rsidRPr="008012F8">
        <w:rPr>
          <w:rFonts w:ascii="宋体" w:hAnsi="宋体" w:cs="宋体" w:hint="eastAsia"/>
        </w:rPr>
        <w:t>，第</w:t>
      </w:r>
      <w:r w:rsidRPr="008012F8">
        <w:t>2</w:t>
      </w:r>
      <w:r w:rsidRPr="008012F8">
        <w:rPr>
          <w:rFonts w:ascii="宋体" w:hAnsi="宋体" w:cs="宋体" w:hint="eastAsia"/>
        </w:rPr>
        <w:t>卷，见第</w:t>
      </w:r>
      <w:r w:rsidRPr="008012F8">
        <w:t>515-517</w:t>
      </w:r>
      <w:r w:rsidRPr="008012F8">
        <w:rPr>
          <w:rFonts w:ascii="宋体" w:hAnsi="宋体" w:cs="宋体" w:hint="eastAsia"/>
        </w:rPr>
        <w:t>页</w:t>
      </w:r>
      <w:r w:rsidRPr="008012F8">
        <w:t>(</w:t>
      </w:r>
      <w:r w:rsidRPr="008012F8">
        <w:rPr>
          <w:rFonts w:ascii="宋体" w:hAnsi="宋体" w:cs="宋体" w:hint="eastAsia"/>
        </w:rPr>
        <w:t>斯泰恩勋爵</w:t>
      </w:r>
      <w:r w:rsidRPr="008012F8">
        <w:t>)</w:t>
      </w:r>
      <w:r w:rsidRPr="008012F8">
        <w:rPr>
          <w:rFonts w:ascii="宋体" w:hAnsi="宋体" w:cs="宋体" w:hint="eastAsia"/>
        </w:rPr>
        <w:t>。</w:t>
      </w:r>
    </w:p>
  </w:footnote>
  <w:footnote w:id="642">
    <w:p w:rsidR="00AB00DE" w:rsidRPr="008012F8" w:rsidRDefault="00AB00DE" w:rsidP="008D7906">
      <w:pPr>
        <w:pStyle w:val="a4"/>
      </w:pPr>
      <w:r w:rsidRPr="008012F8">
        <w:tab/>
      </w:r>
      <w:r w:rsidRPr="00DF5565">
        <w:rPr>
          <w:rStyle w:val="a5"/>
        </w:rPr>
        <w:footnoteRef/>
      </w:r>
      <w:r w:rsidRPr="008012F8">
        <w:rPr>
          <w:rFonts w:hint="eastAsia"/>
        </w:rPr>
        <w:tab/>
      </w:r>
      <w:r w:rsidRPr="008012F8">
        <w:rPr>
          <w:rFonts w:ascii="宋体" w:hAnsi="宋体" w:cs="宋体" w:hint="eastAsia"/>
        </w:rPr>
        <w:t>联合国，《条约汇编》，第</w:t>
      </w:r>
      <w:r w:rsidRPr="008012F8">
        <w:t>15</w:t>
      </w:r>
      <w:r w:rsidRPr="008012F8">
        <w:rPr>
          <w:rFonts w:ascii="宋体" w:hAnsi="宋体" w:cs="宋体" w:hint="eastAsia"/>
        </w:rPr>
        <w:t>卷，第</w:t>
      </w:r>
      <w:r w:rsidRPr="008012F8">
        <w:t>102</w:t>
      </w:r>
      <w:r w:rsidRPr="008012F8">
        <w:rPr>
          <w:rFonts w:ascii="宋体" w:hAnsi="宋体" w:cs="宋体" w:hint="eastAsia"/>
        </w:rPr>
        <w:t>号，第</w:t>
      </w:r>
      <w:r w:rsidRPr="008012F8">
        <w:t>2</w:t>
      </w:r>
      <w:r w:rsidRPr="008012F8">
        <w:rPr>
          <w:rFonts w:ascii="宋体" w:hAnsi="宋体" w:cs="宋体" w:hint="eastAsia"/>
        </w:rPr>
        <w:t>页。</w:t>
      </w:r>
    </w:p>
  </w:footnote>
  <w:footnote w:id="643">
    <w:p w:rsidR="00AB00DE" w:rsidRPr="008012F8" w:rsidRDefault="00AB00DE" w:rsidP="00267AB1">
      <w:pPr>
        <w:pStyle w:val="a4"/>
      </w:pPr>
      <w:r w:rsidRPr="008012F8">
        <w:tab/>
      </w:r>
      <w:r w:rsidRPr="00DF5565">
        <w:rPr>
          <w:rStyle w:val="a5"/>
        </w:rPr>
        <w:footnoteRef/>
      </w:r>
      <w:r w:rsidRPr="008012F8">
        <w:tab/>
        <w:t>S. D. Murphy,</w:t>
      </w:r>
      <w:r w:rsidRPr="008012F8">
        <w:rPr>
          <w:rFonts w:hint="eastAsia"/>
        </w:rPr>
        <w:t>“</w:t>
      </w:r>
      <w:r w:rsidRPr="008012F8">
        <w:rPr>
          <w:rFonts w:ascii="宋体" w:hAnsi="宋体" w:cs="宋体" w:hint="eastAsia"/>
        </w:rPr>
        <w:t>嗣后协定和嗣后管理对条约解释的作用</w:t>
      </w:r>
      <w:r w:rsidRPr="008012F8">
        <w:rPr>
          <w:rFonts w:hint="eastAsia"/>
        </w:rPr>
        <w:t>”</w:t>
      </w:r>
      <w:r w:rsidRPr="008012F8">
        <w:rPr>
          <w:rFonts w:ascii="宋体" w:hAnsi="宋体" w:cs="宋体" w:hint="eastAsia"/>
        </w:rPr>
        <w:t>，载于</w:t>
      </w:r>
      <w:r w:rsidRPr="008012F8">
        <w:t>诺尔特</w:t>
      </w:r>
      <w:r w:rsidRPr="008012F8">
        <w:t>,</w:t>
      </w:r>
      <w:r w:rsidRPr="008012F8">
        <w:rPr>
          <w:rFonts w:ascii="宋体" w:hAnsi="宋体" w:cs="宋体" w:hint="eastAsia"/>
        </w:rPr>
        <w:t>《条约和嗣后惯例》</w:t>
      </w:r>
      <w:r w:rsidRPr="008012F8">
        <w:t>(</w:t>
      </w:r>
      <w:r w:rsidRPr="008012F8">
        <w:rPr>
          <w:rFonts w:ascii="宋体" w:hAnsi="宋体" w:cs="宋体" w:hint="eastAsia"/>
        </w:rPr>
        <w:t>见上文脚注</w:t>
      </w:r>
      <w:r>
        <w:rPr>
          <w:lang w:val="zh-CN"/>
        </w:rPr>
        <w:fldChar w:fldCharType="begin"/>
      </w:r>
      <w:r>
        <w:rPr>
          <w:lang w:val="zh-CN"/>
        </w:rPr>
        <w:instrText xml:space="preserve"> NOTEREF _Ref461973084 \h </w:instrText>
      </w:r>
      <w:r>
        <w:rPr>
          <w:lang w:val="zh-CN"/>
        </w:rPr>
      </w:r>
      <w:r>
        <w:rPr>
          <w:lang w:val="zh-CN"/>
        </w:rPr>
        <w:fldChar w:fldCharType="separate"/>
      </w:r>
      <w:r w:rsidR="00A73EB9">
        <w:rPr>
          <w:lang w:val="zh-CN"/>
        </w:rPr>
        <w:t>398</w:t>
      </w:r>
      <w:r>
        <w:rPr>
          <w:lang w:val="zh-CN"/>
        </w:rPr>
        <w:fldChar w:fldCharType="end"/>
      </w:r>
      <w:r w:rsidRPr="008012F8">
        <w:t>)</w:t>
      </w:r>
      <w:r w:rsidRPr="008012F8">
        <w:rPr>
          <w:rFonts w:ascii="宋体" w:hAnsi="宋体" w:cs="宋体" w:hint="eastAsia"/>
        </w:rPr>
        <w:t>，第</w:t>
      </w:r>
      <w:r w:rsidRPr="008012F8">
        <w:t>85</w:t>
      </w:r>
      <w:r w:rsidRPr="008012F8">
        <w:rPr>
          <w:rFonts w:ascii="宋体" w:hAnsi="宋体" w:cs="宋体" w:hint="eastAsia"/>
        </w:rPr>
        <w:t>页；</w:t>
      </w:r>
      <w:r w:rsidRPr="008012F8">
        <w:t>A. Aust,</w:t>
      </w:r>
      <w:r w:rsidRPr="008012F8">
        <w:rPr>
          <w:rFonts w:ascii="宋体" w:hAnsi="宋体" w:cs="宋体" w:hint="eastAsia"/>
        </w:rPr>
        <w:t>《现代条约法和实践》</w:t>
      </w:r>
      <w:r w:rsidRPr="008012F8">
        <w:t>(</w:t>
      </w:r>
      <w:r w:rsidRPr="008012F8">
        <w:rPr>
          <w:rFonts w:ascii="宋体" w:hAnsi="宋体" w:cs="宋体" w:hint="eastAsia"/>
        </w:rPr>
        <w:t>见上文脚注</w:t>
      </w:r>
      <w:r>
        <w:fldChar w:fldCharType="begin"/>
      </w:r>
      <w:r>
        <w:instrText xml:space="preserve"> </w:instrText>
      </w:r>
      <w:r>
        <w:rPr>
          <w:rFonts w:hint="eastAsia"/>
        </w:rPr>
        <w:instrText>NOTEREF _Ref461972435 \h</w:instrText>
      </w:r>
      <w:r>
        <w:instrText xml:space="preserve"> </w:instrText>
      </w:r>
      <w:r>
        <w:fldChar w:fldCharType="separate"/>
      </w:r>
      <w:r w:rsidR="00A73EB9">
        <w:t>525</w:t>
      </w:r>
      <w:r>
        <w:fldChar w:fldCharType="end"/>
      </w:r>
      <w:r w:rsidRPr="008012F8">
        <w:t>)</w:t>
      </w:r>
      <w:r w:rsidRPr="008012F8">
        <w:rPr>
          <w:rFonts w:ascii="宋体" w:hAnsi="宋体" w:cs="宋体" w:hint="eastAsia"/>
        </w:rPr>
        <w:t>，第</w:t>
      </w:r>
      <w:r w:rsidRPr="008012F8">
        <w:t>215</w:t>
      </w:r>
      <w:r w:rsidRPr="008012F8">
        <w:rPr>
          <w:rFonts w:ascii="宋体" w:hAnsi="宋体" w:cs="宋体" w:hint="eastAsia"/>
        </w:rPr>
        <w:t>页。</w:t>
      </w:r>
    </w:p>
  </w:footnote>
  <w:footnote w:id="644">
    <w:p w:rsidR="00AB00DE" w:rsidRPr="008012F8" w:rsidRDefault="00AB00DE" w:rsidP="008D7906">
      <w:pPr>
        <w:pStyle w:val="a4"/>
      </w:pPr>
      <w:r w:rsidRPr="008012F8">
        <w:tab/>
      </w:r>
      <w:r w:rsidRPr="00DF5565">
        <w:rPr>
          <w:rStyle w:val="a5"/>
        </w:rPr>
        <w:footnoteRef/>
      </w:r>
      <w:r w:rsidRPr="008012F8">
        <w:tab/>
      </w:r>
      <w:r w:rsidRPr="008012F8">
        <w:rPr>
          <w:rFonts w:hint="eastAsia"/>
        </w:rPr>
        <w:t>联合国</w:t>
      </w:r>
      <w:r w:rsidRPr="008012F8">
        <w:rPr>
          <w:rFonts w:ascii="宋体" w:hAnsi="宋体" w:cs="宋体" w:hint="eastAsia"/>
        </w:rPr>
        <w:t>，《条约汇编》，第</w:t>
      </w:r>
      <w:r w:rsidRPr="008012F8">
        <w:t>500</w:t>
      </w:r>
      <w:r w:rsidRPr="008012F8">
        <w:rPr>
          <w:rFonts w:ascii="宋体" w:hAnsi="宋体" w:cs="宋体" w:hint="eastAsia"/>
        </w:rPr>
        <w:t>卷，第</w:t>
      </w:r>
      <w:r w:rsidRPr="008012F8">
        <w:t>7310</w:t>
      </w:r>
      <w:r w:rsidRPr="008012F8">
        <w:rPr>
          <w:rFonts w:ascii="宋体" w:hAnsi="宋体" w:cs="宋体" w:hint="eastAsia"/>
        </w:rPr>
        <w:t>号，第</w:t>
      </w:r>
      <w:r w:rsidRPr="008012F8">
        <w:t>95</w:t>
      </w:r>
      <w:r w:rsidRPr="008012F8">
        <w:rPr>
          <w:rFonts w:ascii="宋体" w:hAnsi="宋体" w:cs="宋体" w:hint="eastAsia"/>
        </w:rPr>
        <w:t>页。</w:t>
      </w:r>
    </w:p>
  </w:footnote>
  <w:footnote w:id="645">
    <w:p w:rsidR="00AB00DE" w:rsidRPr="008012F8" w:rsidRDefault="00AB00DE" w:rsidP="008D7906">
      <w:pPr>
        <w:pStyle w:val="a4"/>
        <w:rPr>
          <w:lang w:val="fr-FR"/>
        </w:rPr>
      </w:pPr>
      <w:r w:rsidRPr="008012F8">
        <w:tab/>
      </w:r>
      <w:r w:rsidRPr="00DF5565">
        <w:rPr>
          <w:rStyle w:val="a5"/>
        </w:rPr>
        <w:footnoteRef/>
      </w:r>
      <w:r w:rsidRPr="008012F8">
        <w:tab/>
        <w:t>E. Denza,</w:t>
      </w:r>
      <w:r w:rsidRPr="008012F8">
        <w:rPr>
          <w:rFonts w:ascii="宋体" w:hAnsi="宋体" w:cs="宋体" w:hint="eastAsia"/>
        </w:rPr>
        <w:t>《外交法：</w:t>
      </w:r>
      <w:r>
        <w:rPr>
          <w:rFonts w:hint="eastAsia"/>
        </w:rPr>
        <w:t>〈</w:t>
      </w:r>
      <w:r w:rsidRPr="008012F8">
        <w:rPr>
          <w:rFonts w:ascii="宋体" w:hAnsi="宋体" w:cs="宋体" w:hint="eastAsia"/>
        </w:rPr>
        <w:t>维也纳外交关系法</w:t>
      </w:r>
      <w:r>
        <w:rPr>
          <w:rFonts w:hint="eastAsia"/>
        </w:rPr>
        <w:t>〉</w:t>
      </w:r>
      <w:r w:rsidRPr="008012F8">
        <w:rPr>
          <w:rFonts w:ascii="宋体" w:hAnsi="宋体" w:cs="宋体" w:hint="eastAsia"/>
        </w:rPr>
        <w:t>评注》，牛津大学国际法评论，第</w:t>
      </w:r>
      <w:r w:rsidRPr="008012F8">
        <w:t>3</w:t>
      </w:r>
      <w:r w:rsidRPr="008012F8">
        <w:rPr>
          <w:rFonts w:ascii="宋体" w:hAnsi="宋体" w:cs="宋体" w:hint="eastAsia"/>
        </w:rPr>
        <w:t>版</w:t>
      </w:r>
      <w:r w:rsidRPr="008012F8">
        <w:t>(</w:t>
      </w:r>
      <w:r w:rsidRPr="008012F8">
        <w:rPr>
          <w:rFonts w:ascii="宋体" w:hAnsi="宋体" w:cs="宋体" w:hint="eastAsia"/>
        </w:rPr>
        <w:t>牛津，牛津大学出版社，</w:t>
      </w:r>
      <w:r w:rsidRPr="008012F8">
        <w:t>2008</w:t>
      </w:r>
      <w:r w:rsidRPr="008012F8">
        <w:rPr>
          <w:rFonts w:ascii="宋体" w:hAnsi="宋体" w:cs="宋体" w:hint="eastAsia"/>
        </w:rPr>
        <w:t>年</w:t>
      </w:r>
      <w:r w:rsidRPr="008012F8">
        <w:t>)</w:t>
      </w:r>
      <w:r w:rsidRPr="008012F8">
        <w:rPr>
          <w:rFonts w:ascii="宋体" w:hAnsi="宋体" w:cs="宋体" w:hint="eastAsia"/>
        </w:rPr>
        <w:t>，第</w:t>
      </w:r>
      <w:r w:rsidRPr="008012F8">
        <w:t>160-161</w:t>
      </w:r>
      <w:r w:rsidRPr="008012F8">
        <w:rPr>
          <w:rFonts w:ascii="宋体" w:hAnsi="宋体" w:cs="宋体" w:hint="eastAsia"/>
        </w:rPr>
        <w:t>页；</w:t>
      </w:r>
      <w:r w:rsidRPr="008012F8">
        <w:t>J. Salmon,</w:t>
      </w:r>
      <w:r w:rsidRPr="008012F8">
        <w:rPr>
          <w:rFonts w:ascii="宋体" w:hAnsi="宋体" w:cs="宋体" w:hint="eastAsia"/>
        </w:rPr>
        <w:t>《外交法手册》</w:t>
      </w:r>
      <w:r w:rsidRPr="008012F8">
        <w:t>(</w:t>
      </w:r>
      <w:r w:rsidRPr="008012F8">
        <w:rPr>
          <w:rFonts w:ascii="宋体" w:hAnsi="宋体" w:cs="宋体" w:hint="eastAsia"/>
        </w:rPr>
        <w:t>布鲁塞尔，</w:t>
      </w:r>
      <w:r w:rsidRPr="008012F8">
        <w:t>Bruylant, 1994</w:t>
      </w:r>
      <w:r w:rsidRPr="008012F8">
        <w:rPr>
          <w:rFonts w:ascii="宋体" w:hAnsi="宋体" w:cs="宋体" w:hint="eastAsia"/>
        </w:rPr>
        <w:t>年</w:t>
      </w:r>
      <w:r w:rsidRPr="008012F8">
        <w:t>)</w:t>
      </w:r>
      <w:r w:rsidRPr="008012F8">
        <w:rPr>
          <w:rFonts w:ascii="宋体" w:hAnsi="宋体" w:cs="宋体" w:hint="eastAsia"/>
        </w:rPr>
        <w:t>，第</w:t>
      </w:r>
      <w:r w:rsidRPr="008012F8">
        <w:t>208</w:t>
      </w:r>
      <w:r w:rsidRPr="008012F8">
        <w:rPr>
          <w:rFonts w:ascii="宋体" w:hAnsi="宋体" w:cs="宋体" w:hint="eastAsia"/>
        </w:rPr>
        <w:t>页，第</w:t>
      </w:r>
      <w:r w:rsidRPr="008012F8">
        <w:rPr>
          <w:lang w:val="fr-FR"/>
        </w:rPr>
        <w:t>315</w:t>
      </w:r>
      <w:r w:rsidRPr="008012F8">
        <w:rPr>
          <w:rFonts w:ascii="宋体" w:hAnsi="宋体" w:cs="宋体" w:hint="eastAsia"/>
          <w:lang w:val="fr-FR"/>
        </w:rPr>
        <w:t>段。</w:t>
      </w:r>
    </w:p>
  </w:footnote>
  <w:footnote w:id="646">
    <w:p w:rsidR="00AB00DE" w:rsidRPr="008012F8" w:rsidRDefault="00AB00DE" w:rsidP="008D7906">
      <w:pPr>
        <w:pStyle w:val="a4"/>
        <w:rPr>
          <w:lang w:val="fr-FR"/>
        </w:rPr>
      </w:pPr>
      <w:r w:rsidRPr="008012F8">
        <w:rPr>
          <w:lang w:val="fr-FR"/>
        </w:rPr>
        <w:tab/>
      </w:r>
      <w:r w:rsidRPr="00DF5565">
        <w:rPr>
          <w:rStyle w:val="a5"/>
        </w:rPr>
        <w:footnoteRef/>
      </w:r>
      <w:r w:rsidRPr="008012F8">
        <w:rPr>
          <w:lang w:val="fr-FR"/>
        </w:rPr>
        <w:tab/>
      </w:r>
      <w:r w:rsidRPr="008012F8">
        <w:rPr>
          <w:rFonts w:ascii="宋体" w:hAnsi="宋体" w:cs="宋体" w:hint="eastAsia"/>
          <w:spacing w:val="-2"/>
        </w:rPr>
        <w:t>例如见澳大利亚外交贸易部</w:t>
      </w:r>
      <w:r w:rsidRPr="008012F8">
        <w:rPr>
          <w:rFonts w:ascii="宋体" w:hAnsi="宋体" w:cs="宋体" w:hint="eastAsia"/>
          <w:spacing w:val="-2"/>
          <w:lang w:val="fr-FR"/>
        </w:rPr>
        <w:t>，</w:t>
      </w:r>
      <w:r w:rsidRPr="008012F8">
        <w:rPr>
          <w:rFonts w:ascii="宋体" w:hAnsi="宋体" w:cs="宋体" w:hint="eastAsia"/>
          <w:spacing w:val="-2"/>
        </w:rPr>
        <w:t>《驻外代表的特权和豁免》</w:t>
      </w:r>
      <w:r w:rsidRPr="008012F8">
        <w:rPr>
          <w:spacing w:val="-2"/>
          <w:lang w:val="fr-FR"/>
        </w:rPr>
        <w:t>(http://dfat.gov.au/about-us/publications/</w:t>
      </w:r>
      <w:r w:rsidRPr="008012F8">
        <w:rPr>
          <w:rFonts w:hint="eastAsia"/>
          <w:lang w:val="fr-FR"/>
        </w:rPr>
        <w:t xml:space="preserve"> </w:t>
      </w:r>
      <w:r w:rsidRPr="008012F8">
        <w:rPr>
          <w:lang w:val="fr-FR"/>
        </w:rPr>
        <w:t>corporate/protocol-guidelines/Documents/A21.pdf)</w:t>
      </w:r>
      <w:r w:rsidRPr="008012F8">
        <w:rPr>
          <w:rFonts w:ascii="宋体" w:hAnsi="宋体" w:cs="宋体" w:hint="eastAsia"/>
          <w:lang w:val="fr-FR"/>
        </w:rPr>
        <w:t>；</w:t>
      </w:r>
      <w:r w:rsidRPr="008012F8">
        <w:rPr>
          <w:rFonts w:ascii="宋体" w:hAnsi="宋体" w:cs="宋体" w:hint="eastAsia"/>
        </w:rPr>
        <w:t>冰岛外交部礼宾司</w:t>
      </w:r>
      <w:r w:rsidRPr="008012F8">
        <w:rPr>
          <w:rFonts w:ascii="宋体" w:hAnsi="宋体" w:cs="宋体" w:hint="eastAsia"/>
          <w:lang w:val="fr-FR"/>
        </w:rPr>
        <w:t>，</w:t>
      </w:r>
      <w:r w:rsidRPr="008012F8">
        <w:rPr>
          <w:rFonts w:ascii="宋体" w:hAnsi="宋体" w:cs="宋体" w:hint="eastAsia"/>
        </w:rPr>
        <w:t>《外交手册》</w:t>
      </w:r>
      <w:r w:rsidRPr="008012F8">
        <w:rPr>
          <w:lang w:val="fr-FR"/>
        </w:rPr>
        <w:t>(Reykjavik, 2009</w:t>
      </w:r>
      <w:r w:rsidRPr="008012F8">
        <w:t>年</w:t>
      </w:r>
      <w:r w:rsidRPr="008012F8">
        <w:rPr>
          <w:lang w:val="fr-FR"/>
        </w:rPr>
        <w:t>)</w:t>
      </w:r>
      <w:r w:rsidRPr="008012F8">
        <w:rPr>
          <w:rFonts w:ascii="宋体" w:hAnsi="宋体" w:cs="宋体" w:hint="eastAsia"/>
          <w:lang w:val="fr-FR"/>
        </w:rPr>
        <w:t>，</w:t>
      </w:r>
      <w:r w:rsidRPr="008012F8">
        <w:rPr>
          <w:rFonts w:ascii="宋体" w:hAnsi="宋体" w:cs="宋体" w:hint="eastAsia"/>
        </w:rPr>
        <w:t>第</w:t>
      </w:r>
      <w:r w:rsidRPr="008012F8">
        <w:rPr>
          <w:lang w:val="fr-FR"/>
        </w:rPr>
        <w:t>14</w:t>
      </w:r>
      <w:r w:rsidRPr="008012F8">
        <w:rPr>
          <w:rFonts w:ascii="宋体" w:hAnsi="宋体" w:cs="宋体" w:hint="eastAsia"/>
        </w:rPr>
        <w:t>页</w:t>
      </w:r>
      <w:r w:rsidRPr="008012F8">
        <w:rPr>
          <w:lang w:val="fr-FR"/>
        </w:rPr>
        <w:t>(www.mfa.is/media/PDF/Diplomatic_Handbook.PDF)</w:t>
      </w:r>
      <w:r w:rsidRPr="008012F8">
        <w:rPr>
          <w:rFonts w:ascii="宋体" w:hAnsi="宋体" w:cs="宋体" w:hint="eastAsia"/>
          <w:lang w:val="fr-FR"/>
        </w:rPr>
        <w:t>；</w:t>
      </w:r>
      <w:r w:rsidRPr="008012F8">
        <w:rPr>
          <w:rFonts w:ascii="宋体" w:hAnsi="宋体" w:cs="宋体" w:hint="eastAsia"/>
        </w:rPr>
        <w:t>联合王国</w:t>
      </w:r>
      <w:r w:rsidRPr="008012F8">
        <w:rPr>
          <w:rFonts w:ascii="宋体" w:hAnsi="宋体" w:cs="宋体" w:hint="eastAsia"/>
          <w:lang w:val="fr-FR"/>
        </w:rPr>
        <w:t>，</w:t>
      </w:r>
      <w:r w:rsidRPr="008012F8">
        <w:rPr>
          <w:rFonts w:ascii="宋体" w:hAnsi="宋体" w:cs="宋体" w:hint="eastAsia"/>
        </w:rPr>
        <w:t>见内政部政务次官</w:t>
      </w:r>
      <w:r w:rsidRPr="008012F8">
        <w:rPr>
          <w:lang w:val="fr-FR"/>
        </w:rPr>
        <w:t>(</w:t>
      </w:r>
      <w:r w:rsidRPr="008012F8">
        <w:rPr>
          <w:rFonts w:ascii="宋体" w:hAnsi="宋体" w:cs="宋体" w:hint="eastAsia"/>
        </w:rPr>
        <w:t>埃尔顿议员在上议院的发言</w:t>
      </w:r>
      <w:r w:rsidRPr="008012F8">
        <w:rPr>
          <w:rFonts w:ascii="宋体" w:hAnsi="宋体" w:cs="宋体" w:hint="eastAsia"/>
          <w:lang w:val="fr-FR"/>
        </w:rPr>
        <w:t>，</w:t>
      </w:r>
      <w:r w:rsidRPr="008012F8">
        <w:rPr>
          <w:lang w:val="fr-FR"/>
        </w:rPr>
        <w:t>1983</w:t>
      </w:r>
      <w:r w:rsidRPr="008012F8">
        <w:rPr>
          <w:rFonts w:ascii="宋体" w:hAnsi="宋体" w:cs="宋体" w:hint="eastAsia"/>
        </w:rPr>
        <w:t>年</w:t>
      </w:r>
      <w:r w:rsidRPr="008012F8">
        <w:rPr>
          <w:lang w:val="fr-FR"/>
        </w:rPr>
        <w:t>12</w:t>
      </w:r>
      <w:r w:rsidRPr="008012F8">
        <w:rPr>
          <w:rFonts w:ascii="宋体" w:hAnsi="宋体" w:cs="宋体" w:hint="eastAsia"/>
        </w:rPr>
        <w:t>月</w:t>
      </w:r>
      <w:r w:rsidRPr="008012F8">
        <w:rPr>
          <w:lang w:val="fr-FR"/>
        </w:rPr>
        <w:t>12</w:t>
      </w:r>
      <w:r w:rsidRPr="008012F8">
        <w:rPr>
          <w:rFonts w:ascii="宋体" w:hAnsi="宋体" w:cs="宋体" w:hint="eastAsia"/>
        </w:rPr>
        <w:t>日的上议院辩论</w:t>
      </w:r>
      <w:r w:rsidRPr="008012F8">
        <w:rPr>
          <w:rFonts w:ascii="宋体" w:hAnsi="宋体" w:cs="宋体" w:hint="eastAsia"/>
          <w:lang w:val="fr-FR"/>
        </w:rPr>
        <w:t>，</w:t>
      </w:r>
      <w:r w:rsidRPr="008012F8">
        <w:rPr>
          <w:rFonts w:ascii="宋体" w:hAnsi="宋体" w:cs="宋体" w:hint="eastAsia"/>
        </w:rPr>
        <w:t>第</w:t>
      </w:r>
      <w:r w:rsidRPr="008012F8">
        <w:rPr>
          <w:lang w:val="fr-FR"/>
        </w:rPr>
        <w:t>446</w:t>
      </w:r>
      <w:r w:rsidRPr="008012F8">
        <w:rPr>
          <w:rFonts w:ascii="宋体" w:hAnsi="宋体" w:cs="宋体" w:hint="eastAsia"/>
        </w:rPr>
        <w:t>卷</w:t>
      </w:r>
      <w:r w:rsidRPr="008012F8">
        <w:rPr>
          <w:rFonts w:ascii="宋体" w:hAnsi="宋体" w:cs="宋体" w:hint="eastAsia"/>
          <w:lang w:val="fr-FR"/>
        </w:rPr>
        <w:t>，</w:t>
      </w:r>
      <w:r w:rsidRPr="008012F8">
        <w:rPr>
          <w:lang w:val="fr-FR"/>
        </w:rPr>
        <w:t>cc3-4</w:t>
      </w:r>
      <w:r w:rsidRPr="008012F8">
        <w:rPr>
          <w:rFonts w:ascii="宋体" w:hAnsi="宋体" w:cs="宋体" w:hint="eastAsia"/>
          <w:lang w:val="fr-FR"/>
        </w:rPr>
        <w:t>；</w:t>
      </w:r>
      <w:r w:rsidRPr="008012F8">
        <w:rPr>
          <w:rFonts w:ascii="宋体" w:hAnsi="宋体" w:cs="宋体" w:hint="eastAsia"/>
        </w:rPr>
        <w:t>美国</w:t>
      </w:r>
      <w:r w:rsidRPr="008012F8">
        <w:rPr>
          <w:rFonts w:ascii="宋体" w:hAnsi="宋体" w:cs="宋体" w:hint="eastAsia"/>
          <w:lang w:val="fr-FR"/>
        </w:rPr>
        <w:t>，</w:t>
      </w:r>
      <w:r w:rsidRPr="008012F8">
        <w:rPr>
          <w:rFonts w:ascii="宋体" w:hAnsi="宋体" w:cs="宋体" w:hint="eastAsia"/>
        </w:rPr>
        <w:t>见</w:t>
      </w:r>
      <w:r w:rsidRPr="008012F8">
        <w:rPr>
          <w:lang w:val="fr-FR"/>
        </w:rPr>
        <w:t xml:space="preserve">M. </w:t>
      </w:r>
      <w:r w:rsidRPr="008012F8">
        <w:t>Nash (Leich)</w:t>
      </w:r>
      <w:r w:rsidRPr="008012F8">
        <w:t>，</w:t>
      </w:r>
      <w:r w:rsidRPr="008012F8">
        <w:rPr>
          <w:rFonts w:hint="eastAsia"/>
        </w:rPr>
        <w:t>“</w:t>
      </w:r>
      <w:r w:rsidRPr="008012F8">
        <w:rPr>
          <w:rFonts w:ascii="宋体" w:hAnsi="宋体" w:cs="宋体" w:hint="eastAsia"/>
        </w:rPr>
        <w:t>美国在国际法方面的当代惯例</w:t>
      </w:r>
      <w:r w:rsidRPr="008012F8">
        <w:rPr>
          <w:rFonts w:hint="eastAsia"/>
        </w:rPr>
        <w:t>”</w:t>
      </w:r>
      <w:r w:rsidRPr="008012F8">
        <w:rPr>
          <w:rFonts w:ascii="宋体" w:hAnsi="宋体" w:cs="宋体" w:hint="eastAsia"/>
        </w:rPr>
        <w:t>，《美国国际法期刊》，总第</w:t>
      </w:r>
      <w:r w:rsidRPr="008012F8">
        <w:t>88</w:t>
      </w:r>
      <w:r w:rsidRPr="008012F8">
        <w:rPr>
          <w:rFonts w:ascii="宋体" w:hAnsi="宋体" w:cs="宋体" w:hint="eastAsia"/>
        </w:rPr>
        <w:t>期，</w:t>
      </w:r>
      <w:r w:rsidRPr="008012F8">
        <w:t>第</w:t>
      </w:r>
      <w:r w:rsidRPr="008012F8">
        <w:t>2</w:t>
      </w:r>
      <w:r w:rsidRPr="008012F8">
        <w:rPr>
          <w:rFonts w:hint="eastAsia"/>
        </w:rPr>
        <w:t>期</w:t>
      </w:r>
      <w:r w:rsidRPr="008012F8">
        <w:t>(1994</w:t>
      </w:r>
      <w:r w:rsidRPr="008012F8">
        <w:rPr>
          <w:rFonts w:ascii="宋体" w:hAnsi="宋体" w:cs="宋体" w:hint="eastAsia"/>
        </w:rPr>
        <w:t>年</w:t>
      </w:r>
      <w:r w:rsidRPr="008012F8">
        <w:t>4</w:t>
      </w:r>
      <w:r w:rsidRPr="008012F8">
        <w:t>月</w:t>
      </w:r>
      <w:r w:rsidRPr="008012F8">
        <w:t>)</w:t>
      </w:r>
      <w:r w:rsidRPr="008012F8">
        <w:rPr>
          <w:rFonts w:ascii="宋体" w:hAnsi="宋体" w:cs="宋体" w:hint="eastAsia"/>
          <w:lang w:val="fr-FR"/>
        </w:rPr>
        <w:t>，</w:t>
      </w:r>
      <w:r w:rsidRPr="008012F8">
        <w:rPr>
          <w:rFonts w:ascii="宋体" w:hAnsi="宋体" w:cs="宋体" w:hint="eastAsia"/>
        </w:rPr>
        <w:t>第</w:t>
      </w:r>
      <w:r w:rsidRPr="008012F8">
        <w:t>312</w:t>
      </w:r>
      <w:r w:rsidRPr="008012F8">
        <w:rPr>
          <w:rFonts w:ascii="宋体" w:hAnsi="宋体" w:cs="宋体" w:hint="eastAsia"/>
        </w:rPr>
        <w:t>页起，见第</w:t>
      </w:r>
      <w:r w:rsidRPr="008012F8">
        <w:t>312-313</w:t>
      </w:r>
      <w:r w:rsidRPr="008012F8">
        <w:rPr>
          <w:rFonts w:ascii="宋体" w:hAnsi="宋体" w:cs="宋体" w:hint="eastAsia"/>
        </w:rPr>
        <w:t>页。</w:t>
      </w:r>
    </w:p>
  </w:footnote>
  <w:footnote w:id="647">
    <w:p w:rsidR="00AB00DE" w:rsidRPr="008012F8" w:rsidRDefault="00AB00DE" w:rsidP="00267AB1">
      <w:pPr>
        <w:pStyle w:val="a4"/>
        <w:rPr>
          <w:lang w:val="fr-FR"/>
        </w:rPr>
      </w:pPr>
      <w:r w:rsidRPr="008012F8">
        <w:rPr>
          <w:lang w:val="fr-FR"/>
        </w:rPr>
        <w:tab/>
      </w:r>
      <w:r w:rsidRPr="00DF5565">
        <w:rPr>
          <w:rStyle w:val="a5"/>
        </w:rPr>
        <w:footnoteRef/>
      </w:r>
      <w:r w:rsidRPr="008012F8">
        <w:rPr>
          <w:lang w:val="fr-FR"/>
        </w:rPr>
        <w:tab/>
      </w:r>
      <w:r w:rsidRPr="008012F8">
        <w:rPr>
          <w:lang w:val="de-DE"/>
        </w:rPr>
        <w:t>Denza,</w:t>
      </w:r>
      <w:r w:rsidRPr="008012F8">
        <w:rPr>
          <w:rFonts w:ascii="宋体" w:hAnsi="宋体" w:cs="宋体" w:hint="eastAsia"/>
        </w:rPr>
        <w:t>《外交法</w:t>
      </w:r>
      <w:r w:rsidRPr="008012F8">
        <w:rPr>
          <w:rFonts w:hint="eastAsia"/>
          <w:lang w:val="fr-FR"/>
        </w:rPr>
        <w:t>……</w:t>
      </w:r>
      <w:r w:rsidRPr="008012F8">
        <w:rPr>
          <w:rFonts w:ascii="宋体" w:hAnsi="宋体" w:cs="宋体" w:hint="eastAsia"/>
        </w:rPr>
        <w:t>》</w:t>
      </w:r>
      <w:r w:rsidRPr="008012F8">
        <w:rPr>
          <w:lang w:val="fr-FR"/>
        </w:rPr>
        <w:t>(</w:t>
      </w:r>
      <w:r w:rsidRPr="008012F8">
        <w:rPr>
          <w:rFonts w:ascii="宋体" w:hAnsi="宋体" w:cs="宋体" w:hint="eastAsia"/>
        </w:rPr>
        <w:t>见</w:t>
      </w:r>
      <w:r w:rsidRPr="008012F8">
        <w:t>上文</w:t>
      </w:r>
      <w:r w:rsidRPr="008012F8">
        <w:rPr>
          <w:rFonts w:ascii="宋体" w:hAnsi="宋体" w:cs="宋体" w:hint="eastAsia"/>
        </w:rPr>
        <w:t>脚注</w:t>
      </w:r>
      <w:r w:rsidRPr="00267AB1">
        <w:rPr>
          <w:rFonts w:asciiTheme="majorBidi" w:hAnsiTheme="majorBidi" w:cstheme="majorBidi"/>
        </w:rPr>
        <w:fldChar w:fldCharType="begin"/>
      </w:r>
      <w:r w:rsidRPr="00267AB1">
        <w:rPr>
          <w:rFonts w:asciiTheme="majorBidi" w:hAnsiTheme="majorBidi" w:cstheme="majorBidi"/>
          <w:lang w:val="fr-FR"/>
        </w:rPr>
        <w:instrText xml:space="preserve"> NOTEREF _Ref461973489 \h  \* MERGEFORMAT </w:instrText>
      </w:r>
      <w:r w:rsidRPr="00267AB1">
        <w:rPr>
          <w:rFonts w:asciiTheme="majorBidi" w:hAnsiTheme="majorBidi" w:cstheme="majorBidi"/>
        </w:rPr>
      </w:r>
      <w:r w:rsidRPr="00267AB1">
        <w:rPr>
          <w:rFonts w:asciiTheme="majorBidi" w:hAnsiTheme="majorBidi" w:cstheme="majorBidi"/>
        </w:rPr>
        <w:fldChar w:fldCharType="separate"/>
      </w:r>
      <w:r w:rsidR="00A73EB9">
        <w:rPr>
          <w:rFonts w:asciiTheme="majorBidi" w:hAnsiTheme="majorBidi" w:cstheme="majorBidi"/>
          <w:lang w:val="fr-FR"/>
        </w:rPr>
        <w:t>644</w:t>
      </w:r>
      <w:r w:rsidRPr="00267AB1">
        <w:rPr>
          <w:rFonts w:asciiTheme="majorBidi" w:hAnsiTheme="majorBidi" w:cstheme="majorBidi"/>
        </w:rPr>
        <w:fldChar w:fldCharType="end"/>
      </w:r>
      <w:r w:rsidRPr="008012F8">
        <w:rPr>
          <w:lang w:val="fr-FR"/>
        </w:rPr>
        <w:t>)</w:t>
      </w:r>
      <w:r w:rsidRPr="008012F8">
        <w:rPr>
          <w:rFonts w:ascii="宋体" w:hAnsi="宋体" w:cs="宋体" w:hint="eastAsia"/>
          <w:lang w:val="fr-FR"/>
        </w:rPr>
        <w:t>，</w:t>
      </w:r>
      <w:r w:rsidRPr="008012F8">
        <w:rPr>
          <w:rFonts w:ascii="宋体" w:hAnsi="宋体" w:cs="宋体" w:hint="eastAsia"/>
          <w:lang w:val="de-DE"/>
        </w:rPr>
        <w:t>第</w:t>
      </w:r>
      <w:r w:rsidRPr="008012F8">
        <w:rPr>
          <w:lang w:val="de-DE"/>
        </w:rPr>
        <w:t>160</w:t>
      </w:r>
      <w:r w:rsidRPr="008012F8">
        <w:rPr>
          <w:rFonts w:ascii="宋体" w:hAnsi="宋体" w:cs="宋体" w:hint="eastAsia"/>
          <w:lang w:val="de-DE"/>
        </w:rPr>
        <w:t>页；</w:t>
      </w:r>
      <w:r w:rsidRPr="008012F8">
        <w:rPr>
          <w:lang w:val="de-DE"/>
        </w:rPr>
        <w:t xml:space="preserve">M. Richtsteig, </w:t>
      </w:r>
      <w:r w:rsidRPr="008012F8">
        <w:rPr>
          <w:i/>
          <w:lang w:val="de-DE"/>
        </w:rPr>
        <w:t xml:space="preserve">Wiener Übereinkommen über diplomatische und konsularische Beziehungen:Entstehungsgeschichte, Kommentierung, Praxis, </w:t>
      </w:r>
      <w:r w:rsidRPr="008012F8">
        <w:rPr>
          <w:rFonts w:ascii="宋体" w:hAnsi="宋体" w:cs="宋体" w:hint="eastAsia"/>
          <w:lang w:val="de-DE"/>
        </w:rPr>
        <w:t>第</w:t>
      </w:r>
      <w:r w:rsidRPr="008012F8">
        <w:rPr>
          <w:lang w:val="de-DE"/>
        </w:rPr>
        <w:t>2</w:t>
      </w:r>
      <w:r w:rsidRPr="008012F8">
        <w:rPr>
          <w:rFonts w:ascii="宋体" w:hAnsi="宋体" w:cs="宋体" w:hint="eastAsia"/>
          <w:lang w:val="de-DE"/>
        </w:rPr>
        <w:t>版</w:t>
      </w:r>
      <w:r w:rsidRPr="008012F8">
        <w:rPr>
          <w:lang w:val="fr-FR"/>
        </w:rPr>
        <w:t>(Baden-Baden, Nomos, 2010</w:t>
      </w:r>
      <w:r w:rsidRPr="008012F8">
        <w:rPr>
          <w:rFonts w:ascii="宋体" w:hAnsi="宋体" w:cs="宋体" w:hint="eastAsia"/>
          <w:lang w:val="fr-FR"/>
        </w:rPr>
        <w:t>年</w:t>
      </w:r>
      <w:r w:rsidRPr="008012F8">
        <w:rPr>
          <w:lang w:val="fr-FR"/>
        </w:rPr>
        <w:t>)</w:t>
      </w:r>
      <w:r w:rsidRPr="008012F8">
        <w:rPr>
          <w:rFonts w:ascii="宋体" w:hAnsi="宋体" w:cs="宋体" w:hint="eastAsia"/>
          <w:lang w:val="fr-FR"/>
        </w:rPr>
        <w:t>，第</w:t>
      </w:r>
      <w:r w:rsidRPr="008012F8">
        <w:rPr>
          <w:lang w:val="fr-FR"/>
        </w:rPr>
        <w:t>70</w:t>
      </w:r>
      <w:r w:rsidRPr="008012F8">
        <w:rPr>
          <w:rFonts w:ascii="宋体" w:hAnsi="宋体" w:cs="宋体" w:hint="eastAsia"/>
          <w:lang w:val="fr-FR"/>
        </w:rPr>
        <w:t>页。</w:t>
      </w:r>
    </w:p>
  </w:footnote>
  <w:footnote w:id="648">
    <w:p w:rsidR="00AB00DE" w:rsidRPr="008012F8" w:rsidRDefault="00AB00DE" w:rsidP="00267AB1">
      <w:pPr>
        <w:pStyle w:val="a4"/>
      </w:pPr>
      <w:r w:rsidRPr="008012F8">
        <w:rPr>
          <w:rFonts w:hint="eastAsia"/>
          <w:lang w:val="fr-FR"/>
        </w:rPr>
        <w:tab/>
      </w:r>
      <w:r w:rsidRPr="00DF5565">
        <w:rPr>
          <w:rStyle w:val="a5"/>
        </w:rPr>
        <w:footnoteRef/>
      </w:r>
      <w:r w:rsidRPr="008012F8">
        <w:rPr>
          <w:rFonts w:hint="eastAsia"/>
        </w:rPr>
        <w:tab/>
      </w:r>
      <w:r w:rsidRPr="008012F8">
        <w:rPr>
          <w:rFonts w:ascii="宋体" w:hAnsi="宋体" w:cs="宋体" w:hint="eastAsia"/>
        </w:rPr>
        <w:t>见上文脚注</w:t>
      </w:r>
      <w:r w:rsidRPr="00267AB1">
        <w:rPr>
          <w:rFonts w:asciiTheme="majorBidi" w:hAnsiTheme="majorBidi" w:cstheme="majorBidi"/>
        </w:rPr>
        <w:fldChar w:fldCharType="begin"/>
      </w:r>
      <w:r w:rsidRPr="00267AB1">
        <w:rPr>
          <w:rFonts w:asciiTheme="majorBidi" w:hAnsiTheme="majorBidi" w:cstheme="majorBidi"/>
        </w:rPr>
        <w:instrText xml:space="preserve"> NOTEREF _Ref461973545 \h </w:instrText>
      </w:r>
      <w:r>
        <w:rPr>
          <w:rFonts w:asciiTheme="majorBidi" w:hAnsiTheme="majorBidi" w:cstheme="majorBidi"/>
        </w:rPr>
        <w:instrText xml:space="preserve"> \* MERGEFORMAT </w:instrText>
      </w:r>
      <w:r w:rsidRPr="00267AB1">
        <w:rPr>
          <w:rFonts w:asciiTheme="majorBidi" w:hAnsiTheme="majorBidi" w:cstheme="majorBidi"/>
        </w:rPr>
      </w:r>
      <w:r w:rsidRPr="00267AB1">
        <w:rPr>
          <w:rFonts w:asciiTheme="majorBidi" w:hAnsiTheme="majorBidi" w:cstheme="majorBidi"/>
        </w:rPr>
        <w:fldChar w:fldCharType="separate"/>
      </w:r>
      <w:r w:rsidR="00A73EB9">
        <w:rPr>
          <w:rFonts w:asciiTheme="majorBidi" w:hAnsiTheme="majorBidi" w:cstheme="majorBidi"/>
        </w:rPr>
        <w:t>551</w:t>
      </w:r>
      <w:r w:rsidRPr="00267AB1">
        <w:rPr>
          <w:rFonts w:asciiTheme="majorBidi" w:hAnsiTheme="majorBidi" w:cstheme="majorBidi"/>
        </w:rPr>
        <w:fldChar w:fldCharType="end"/>
      </w:r>
      <w:r w:rsidRPr="008012F8">
        <w:t>。</w:t>
      </w:r>
    </w:p>
  </w:footnote>
  <w:footnote w:id="649">
    <w:p w:rsidR="00AB00DE" w:rsidRPr="008012F8" w:rsidRDefault="00AB00DE" w:rsidP="008D7906">
      <w:pPr>
        <w:pStyle w:val="a4"/>
        <w:rPr>
          <w:lang w:val="fr-FR"/>
        </w:rPr>
      </w:pPr>
      <w:r w:rsidRPr="008012F8">
        <w:rPr>
          <w:lang w:val="fr-FR"/>
        </w:rPr>
        <w:tab/>
      </w:r>
      <w:r w:rsidRPr="00DF5565">
        <w:rPr>
          <w:rStyle w:val="a5"/>
        </w:rPr>
        <w:footnoteRef/>
      </w:r>
      <w:r w:rsidRPr="008012F8">
        <w:rPr>
          <w:lang w:val="fr-FR"/>
        </w:rPr>
        <w:tab/>
        <w:t>Y. Sandoz</w:t>
      </w:r>
      <w:r w:rsidRPr="008012F8">
        <w:rPr>
          <w:rFonts w:ascii="宋体" w:hAnsi="宋体" w:cs="宋体" w:hint="eastAsia"/>
        </w:rPr>
        <w:t>、</w:t>
      </w:r>
      <w:r w:rsidRPr="008012F8">
        <w:rPr>
          <w:lang w:val="fr-FR"/>
        </w:rPr>
        <w:t>C. Swinarski</w:t>
      </w:r>
      <w:r w:rsidRPr="008012F8">
        <w:rPr>
          <w:rFonts w:ascii="宋体" w:hAnsi="宋体" w:cs="宋体" w:hint="eastAsia"/>
        </w:rPr>
        <w:t>和</w:t>
      </w:r>
      <w:r w:rsidRPr="008012F8">
        <w:rPr>
          <w:lang w:val="fr-FR"/>
        </w:rPr>
        <w:t>B. Zimmermann</w:t>
      </w:r>
      <w:r>
        <w:rPr>
          <w:rFonts w:hint="eastAsia"/>
          <w:lang w:val="fr-FR"/>
        </w:rPr>
        <w:t xml:space="preserve"> </w:t>
      </w:r>
      <w:r w:rsidRPr="008012F8">
        <w:rPr>
          <w:lang w:val="fr-FR"/>
        </w:rPr>
        <w:t>(</w:t>
      </w:r>
      <w:r w:rsidRPr="008012F8">
        <w:rPr>
          <w:rFonts w:ascii="宋体" w:hAnsi="宋体" w:cs="宋体" w:hint="eastAsia"/>
        </w:rPr>
        <w:t>编</w:t>
      </w:r>
      <w:r w:rsidRPr="008012F8">
        <w:rPr>
          <w:lang w:val="fr-FR"/>
        </w:rPr>
        <w:t>)</w:t>
      </w:r>
      <w:r w:rsidRPr="008012F8">
        <w:rPr>
          <w:rFonts w:ascii="宋体" w:hAnsi="宋体" w:cs="宋体" w:hint="eastAsia"/>
          <w:lang w:val="fr-FR"/>
        </w:rPr>
        <w:t>，</w:t>
      </w:r>
      <w:r>
        <w:rPr>
          <w:rFonts w:ascii="宋体" w:hAnsi="宋体" w:cs="宋体" w:hint="eastAsia"/>
        </w:rPr>
        <w:t>《对一九四九年八月十二日日内瓦四公约一九七七年</w:t>
      </w:r>
      <w:r w:rsidRPr="008012F8">
        <w:rPr>
          <w:rFonts w:ascii="宋体" w:hAnsi="宋体" w:cs="宋体" w:hint="eastAsia"/>
        </w:rPr>
        <w:t>六月八日附加议定书的评注》</w:t>
      </w:r>
      <w:r w:rsidRPr="008012F8">
        <w:rPr>
          <w:lang w:val="fr-FR"/>
        </w:rPr>
        <w:t>(</w:t>
      </w:r>
      <w:r w:rsidRPr="008012F8">
        <w:rPr>
          <w:rFonts w:ascii="宋体" w:hAnsi="宋体" w:cs="宋体" w:hint="eastAsia"/>
        </w:rPr>
        <w:t>多德雷赫特</w:t>
      </w:r>
      <w:r w:rsidRPr="008012F8">
        <w:rPr>
          <w:rFonts w:ascii="宋体" w:hAnsi="宋体" w:cs="宋体" w:hint="eastAsia"/>
          <w:lang w:val="fr-FR"/>
        </w:rPr>
        <w:t>，</w:t>
      </w:r>
      <w:r w:rsidRPr="008012F8">
        <w:t>红十字委员会</w:t>
      </w:r>
      <w:r w:rsidRPr="008012F8">
        <w:rPr>
          <w:rFonts w:ascii="宋体" w:hAnsi="宋体" w:cs="宋体" w:hint="eastAsia"/>
        </w:rPr>
        <w:t>和马蒂努斯</w:t>
      </w:r>
      <w:r w:rsidRPr="008012F8">
        <w:rPr>
          <w:rFonts w:hint="eastAsia"/>
          <w:lang w:val="fr-FR"/>
        </w:rPr>
        <w:t>·</w:t>
      </w:r>
      <w:r w:rsidRPr="008012F8">
        <w:rPr>
          <w:rFonts w:ascii="宋体" w:hAnsi="宋体" w:cs="宋体" w:hint="eastAsia"/>
        </w:rPr>
        <w:t>奈霍夫出版社</w:t>
      </w:r>
      <w:r w:rsidRPr="008012F8">
        <w:rPr>
          <w:rFonts w:ascii="宋体" w:hAnsi="宋体" w:cs="宋体" w:hint="eastAsia"/>
          <w:lang w:val="fr-FR"/>
        </w:rPr>
        <w:t>，</w:t>
      </w:r>
      <w:r w:rsidRPr="008012F8">
        <w:rPr>
          <w:lang w:val="fr-FR"/>
        </w:rPr>
        <w:t>1987</w:t>
      </w:r>
      <w:r w:rsidRPr="008012F8">
        <w:rPr>
          <w:rFonts w:ascii="宋体" w:hAnsi="宋体" w:cs="宋体" w:hint="eastAsia"/>
        </w:rPr>
        <w:t>年</w:t>
      </w:r>
      <w:r w:rsidRPr="008012F8">
        <w:rPr>
          <w:lang w:val="fr-FR"/>
        </w:rPr>
        <w:t>)</w:t>
      </w:r>
      <w:r w:rsidRPr="008012F8">
        <w:rPr>
          <w:rFonts w:ascii="宋体" w:hAnsi="宋体" w:cs="宋体" w:hint="eastAsia"/>
          <w:lang w:val="fr-FR"/>
        </w:rPr>
        <w:t>，</w:t>
      </w:r>
      <w:r w:rsidRPr="008012F8">
        <w:rPr>
          <w:rFonts w:ascii="宋体" w:hAnsi="宋体" w:cs="宋体" w:hint="eastAsia"/>
        </w:rPr>
        <w:t>第</w:t>
      </w:r>
      <w:r w:rsidRPr="008012F8">
        <w:rPr>
          <w:lang w:val="fr-FR"/>
        </w:rPr>
        <w:t>1440</w:t>
      </w:r>
      <w:r w:rsidRPr="008012F8">
        <w:rPr>
          <w:rFonts w:ascii="宋体" w:hAnsi="宋体" w:cs="宋体" w:hint="eastAsia"/>
        </w:rPr>
        <w:t>页</w:t>
      </w:r>
      <w:r w:rsidRPr="008012F8">
        <w:rPr>
          <w:rFonts w:ascii="宋体" w:hAnsi="宋体" w:cs="宋体" w:hint="eastAsia"/>
          <w:lang w:val="fr-FR"/>
        </w:rPr>
        <w:t>，</w:t>
      </w:r>
      <w:r w:rsidRPr="008012F8">
        <w:rPr>
          <w:rFonts w:ascii="宋体" w:hAnsi="宋体" w:cs="宋体" w:hint="eastAsia"/>
        </w:rPr>
        <w:t>第</w:t>
      </w:r>
      <w:r w:rsidRPr="008012F8">
        <w:rPr>
          <w:lang w:val="fr-FR"/>
        </w:rPr>
        <w:t>4742-4744</w:t>
      </w:r>
      <w:r w:rsidRPr="008012F8">
        <w:rPr>
          <w:rFonts w:ascii="宋体" w:hAnsi="宋体" w:cs="宋体" w:hint="eastAsia"/>
        </w:rPr>
        <w:t>段</w:t>
      </w:r>
      <w:r w:rsidRPr="008012F8">
        <w:rPr>
          <w:rFonts w:ascii="宋体" w:hAnsi="宋体" w:cs="宋体" w:hint="eastAsia"/>
          <w:lang w:val="fr-FR"/>
        </w:rPr>
        <w:t>；</w:t>
      </w:r>
      <w:r w:rsidRPr="008012F8">
        <w:rPr>
          <w:lang w:val="fr-FR"/>
        </w:rPr>
        <w:t>H. Spieker,</w:t>
      </w:r>
      <w:r w:rsidRPr="008012F8">
        <w:rPr>
          <w:rFonts w:hint="eastAsia"/>
          <w:lang w:val="fr-FR"/>
        </w:rPr>
        <w:t>“</w:t>
      </w:r>
      <w:r w:rsidRPr="008012F8">
        <w:rPr>
          <w:rFonts w:ascii="宋体" w:hAnsi="宋体" w:cs="宋体" w:hint="eastAsia"/>
        </w:rPr>
        <w:t>医务运输工具</w:t>
      </w:r>
      <w:r w:rsidRPr="008012F8">
        <w:rPr>
          <w:rFonts w:hint="eastAsia"/>
          <w:lang w:val="fr-FR"/>
        </w:rPr>
        <w:t>”</w:t>
      </w:r>
      <w:r w:rsidRPr="008012F8">
        <w:rPr>
          <w:rFonts w:ascii="宋体" w:hAnsi="宋体" w:cs="宋体" w:hint="eastAsia"/>
          <w:lang w:val="fr-FR"/>
        </w:rPr>
        <w:t>，</w:t>
      </w:r>
      <w:r w:rsidRPr="008012F8">
        <w:rPr>
          <w:rFonts w:ascii="宋体" w:hAnsi="宋体" w:cs="宋体" w:hint="eastAsia"/>
        </w:rPr>
        <w:t>载于《马克斯</w:t>
      </w:r>
      <w:r w:rsidRPr="008012F8">
        <w:rPr>
          <w:rFonts w:hint="eastAsia"/>
          <w:lang w:val="fr-CH"/>
        </w:rPr>
        <w:t>·</w:t>
      </w:r>
      <w:r w:rsidRPr="008012F8">
        <w:rPr>
          <w:rFonts w:ascii="宋体" w:hAnsi="宋体" w:cs="宋体" w:hint="eastAsia"/>
        </w:rPr>
        <w:t>普朗克国际公法百科全书》</w:t>
      </w:r>
      <w:r w:rsidRPr="008012F8">
        <w:rPr>
          <w:lang w:val="fr-FR"/>
        </w:rPr>
        <w:t>(www.mpepil.com)</w:t>
      </w:r>
      <w:r w:rsidRPr="008012F8">
        <w:rPr>
          <w:lang w:val="fr-FR"/>
        </w:rPr>
        <w:t>，</w:t>
      </w:r>
      <w:r w:rsidRPr="008012F8">
        <w:rPr>
          <w:rFonts w:ascii="宋体" w:hAnsi="宋体" w:cs="宋体" w:hint="eastAsia"/>
        </w:rPr>
        <w:t>第</w:t>
      </w:r>
      <w:r w:rsidRPr="008012F8">
        <w:rPr>
          <w:lang w:val="fr-FR"/>
        </w:rPr>
        <w:t>7-12</w:t>
      </w:r>
      <w:r w:rsidRPr="008012F8">
        <w:rPr>
          <w:rFonts w:ascii="宋体" w:hAnsi="宋体" w:cs="宋体" w:hint="eastAsia"/>
        </w:rPr>
        <w:t>段</w:t>
      </w:r>
      <w:r w:rsidRPr="008012F8">
        <w:rPr>
          <w:rFonts w:ascii="宋体" w:hAnsi="宋体" w:cs="宋体" w:hint="eastAsia"/>
          <w:lang w:val="fr-FR"/>
        </w:rPr>
        <w:t>；</w:t>
      </w:r>
      <w:r w:rsidRPr="008012F8">
        <w:rPr>
          <w:rFonts w:ascii="宋体" w:hAnsi="宋体" w:cs="宋体" w:hint="eastAsia"/>
        </w:rPr>
        <w:t>另见法文版使用的不太死板的将来时</w:t>
      </w:r>
      <w:r w:rsidRPr="008012F8">
        <w:rPr>
          <w:rFonts w:hint="eastAsia"/>
          <w:lang w:val="fr-FR"/>
        </w:rPr>
        <w:t>“</w:t>
      </w:r>
      <w:r w:rsidRPr="008012F8">
        <w:rPr>
          <w:lang w:val="fr-FR"/>
        </w:rPr>
        <w:t>sera arboré</w:t>
      </w:r>
      <w:r w:rsidRPr="008012F8">
        <w:rPr>
          <w:rFonts w:hint="eastAsia"/>
          <w:lang w:val="fr-FR"/>
        </w:rPr>
        <w:t>”</w:t>
      </w:r>
      <w:r w:rsidRPr="008012F8">
        <w:rPr>
          <w:rFonts w:ascii="宋体" w:hAnsi="宋体" w:cs="宋体" w:hint="eastAsia"/>
        </w:rPr>
        <w:t>。</w:t>
      </w:r>
    </w:p>
  </w:footnote>
  <w:footnote w:id="650">
    <w:p w:rsidR="00AB00DE" w:rsidRPr="008012F8" w:rsidRDefault="00AB00DE" w:rsidP="008D7906">
      <w:pPr>
        <w:pStyle w:val="a4"/>
        <w:rPr>
          <w:lang w:val="fr-FR"/>
        </w:rPr>
      </w:pPr>
      <w:r w:rsidRPr="008012F8">
        <w:rPr>
          <w:lang w:val="fr-FR"/>
        </w:rPr>
        <w:tab/>
      </w:r>
      <w:r w:rsidRPr="00DF5565">
        <w:rPr>
          <w:rStyle w:val="a5"/>
        </w:rPr>
        <w:footnoteRef/>
      </w:r>
      <w:r w:rsidRPr="008012F8">
        <w:rPr>
          <w:lang w:val="fr-FR"/>
        </w:rPr>
        <w:tab/>
      </w:r>
      <w:r w:rsidRPr="008012F8">
        <w:rPr>
          <w:lang w:val="de-DE"/>
        </w:rPr>
        <w:t>Deutscher Bundestag,</w:t>
      </w:r>
      <w:r w:rsidRPr="008012F8">
        <w:rPr>
          <w:rFonts w:hint="eastAsia"/>
          <w:lang w:val="de-DE"/>
        </w:rPr>
        <w:t>“</w:t>
      </w:r>
      <w:r w:rsidRPr="008012F8">
        <w:rPr>
          <w:lang w:val="de-DE"/>
        </w:rPr>
        <w:t>Antwort der Bundesregierung: Rechtlicher Status des Sanitätspersonals der Bundeswehr in Afghanistan</w:t>
      </w:r>
      <w:r w:rsidRPr="008012F8">
        <w:rPr>
          <w:rFonts w:hint="eastAsia"/>
          <w:lang w:val="de-DE"/>
        </w:rPr>
        <w:t>”</w:t>
      </w:r>
      <w:r w:rsidRPr="008012F8">
        <w:rPr>
          <w:rFonts w:ascii="宋体" w:hAnsi="宋体" w:cs="宋体" w:hint="eastAsia"/>
          <w:lang w:val="de-DE"/>
        </w:rPr>
        <w:t>，</w:t>
      </w:r>
      <w:r w:rsidRPr="008012F8">
        <w:rPr>
          <w:lang w:val="de-DE"/>
        </w:rPr>
        <w:t>2010</w:t>
      </w:r>
      <w:r w:rsidRPr="008012F8">
        <w:rPr>
          <w:rFonts w:ascii="宋体" w:hAnsi="宋体" w:cs="宋体" w:hint="eastAsia"/>
          <w:lang w:val="de-DE"/>
        </w:rPr>
        <w:t>年</w:t>
      </w:r>
      <w:r w:rsidRPr="008012F8">
        <w:rPr>
          <w:lang w:val="de-DE"/>
        </w:rPr>
        <w:t>4</w:t>
      </w:r>
      <w:r w:rsidRPr="008012F8">
        <w:rPr>
          <w:rFonts w:ascii="宋体" w:hAnsi="宋体" w:cs="宋体" w:hint="eastAsia"/>
          <w:lang w:val="de-DE"/>
        </w:rPr>
        <w:t>月</w:t>
      </w:r>
      <w:r w:rsidRPr="008012F8">
        <w:rPr>
          <w:lang w:val="de-DE"/>
        </w:rPr>
        <w:t>9</w:t>
      </w:r>
      <w:r w:rsidRPr="008012F8">
        <w:rPr>
          <w:rFonts w:ascii="宋体" w:hAnsi="宋体" w:cs="宋体" w:hint="eastAsia"/>
          <w:lang w:val="de-DE"/>
        </w:rPr>
        <w:t>日，</w:t>
      </w:r>
      <w:r w:rsidRPr="008012F8">
        <w:rPr>
          <w:lang w:val="de-DE"/>
        </w:rPr>
        <w:t xml:space="preserve">Bundestagsdrucksache 17/1338, </w:t>
      </w:r>
      <w:r w:rsidRPr="008012F8">
        <w:rPr>
          <w:rFonts w:ascii="宋体" w:hAnsi="宋体" w:cs="宋体" w:hint="eastAsia"/>
          <w:lang w:val="de-DE"/>
        </w:rPr>
        <w:t>第</w:t>
      </w:r>
      <w:r w:rsidRPr="008012F8">
        <w:rPr>
          <w:lang w:val="de-DE"/>
        </w:rPr>
        <w:t>2</w:t>
      </w:r>
      <w:r w:rsidRPr="008012F8">
        <w:rPr>
          <w:rFonts w:ascii="宋体" w:hAnsi="宋体" w:cs="宋体" w:hint="eastAsia"/>
          <w:lang w:val="de-DE"/>
        </w:rPr>
        <w:t>页</w:t>
      </w:r>
      <w:r w:rsidRPr="008012F8">
        <w:rPr>
          <w:lang w:val="de-DE"/>
        </w:rPr>
        <w:t>(</w:t>
      </w:r>
      <w:r w:rsidRPr="008012F8">
        <w:rPr>
          <w:rFonts w:ascii="宋体" w:hAnsi="宋体" w:cs="宋体" w:hint="eastAsia"/>
          <w:lang w:val="de-DE"/>
        </w:rPr>
        <w:t>特别报告员翻译</w:t>
      </w:r>
      <w:r w:rsidRPr="008012F8">
        <w:rPr>
          <w:lang w:val="de-DE"/>
        </w:rPr>
        <w:t>)</w:t>
      </w:r>
      <w:r w:rsidRPr="008012F8">
        <w:rPr>
          <w:rFonts w:ascii="宋体" w:hAnsi="宋体" w:cs="宋体" w:hint="eastAsia"/>
          <w:lang w:val="de-DE"/>
        </w:rPr>
        <w:t>。</w:t>
      </w:r>
    </w:p>
  </w:footnote>
  <w:footnote w:id="651">
    <w:p w:rsidR="00AB00DE" w:rsidRPr="008012F8" w:rsidRDefault="00AB00DE" w:rsidP="00267AB1">
      <w:pPr>
        <w:pStyle w:val="a4"/>
      </w:pPr>
      <w:r w:rsidRPr="008012F8">
        <w:rPr>
          <w:lang w:val="fr-FR"/>
        </w:rPr>
        <w:tab/>
      </w:r>
      <w:r w:rsidRPr="00DF5565">
        <w:rPr>
          <w:rStyle w:val="a5"/>
        </w:rPr>
        <w:footnoteRef/>
      </w:r>
      <w:r w:rsidRPr="008012F8">
        <w:tab/>
        <w:t>Spieker,</w:t>
      </w:r>
      <w:r w:rsidRPr="008012F8">
        <w:rPr>
          <w:rFonts w:hint="eastAsia"/>
        </w:rPr>
        <w:t>“</w:t>
      </w:r>
      <w:r w:rsidRPr="008012F8">
        <w:rPr>
          <w:rFonts w:ascii="宋体" w:hAnsi="宋体" w:cs="宋体" w:hint="eastAsia"/>
        </w:rPr>
        <w:t>医务运输工具</w:t>
      </w:r>
      <w:r w:rsidRPr="008012F8">
        <w:rPr>
          <w:rFonts w:hint="eastAsia"/>
          <w:lang w:val="fr-FR"/>
        </w:rPr>
        <w:t>”</w:t>
      </w:r>
      <w:r w:rsidRPr="008012F8">
        <w:t>(</w:t>
      </w:r>
      <w:r w:rsidRPr="008012F8">
        <w:rPr>
          <w:rFonts w:ascii="宋体" w:hAnsi="宋体" w:cs="宋体" w:hint="eastAsia"/>
        </w:rPr>
        <w:t>见上文脚注</w:t>
      </w:r>
      <w:r>
        <w:fldChar w:fldCharType="begin"/>
      </w:r>
      <w:r>
        <w:instrText xml:space="preserve"> NOTEREF _Ref461973446 \h </w:instrText>
      </w:r>
      <w:r>
        <w:fldChar w:fldCharType="separate"/>
      </w:r>
      <w:r w:rsidR="00A73EB9">
        <w:t>648</w:t>
      </w:r>
      <w:r>
        <w:fldChar w:fldCharType="end"/>
      </w:r>
      <w:r w:rsidRPr="008012F8">
        <w:t>)</w:t>
      </w:r>
      <w:r w:rsidRPr="008012F8">
        <w:rPr>
          <w:rFonts w:ascii="宋体" w:hAnsi="宋体" w:cs="宋体" w:hint="eastAsia"/>
        </w:rPr>
        <w:t>，第</w:t>
      </w:r>
      <w:r w:rsidRPr="008012F8">
        <w:t>12</w:t>
      </w:r>
      <w:r w:rsidRPr="008012F8">
        <w:rPr>
          <w:rFonts w:ascii="宋体" w:hAnsi="宋体" w:cs="宋体" w:hint="eastAsia"/>
        </w:rPr>
        <w:t>段。</w:t>
      </w:r>
    </w:p>
  </w:footnote>
  <w:footnote w:id="652">
    <w:p w:rsidR="00AB00DE" w:rsidRPr="008012F8" w:rsidRDefault="00AB00DE" w:rsidP="00267AB1">
      <w:pPr>
        <w:pStyle w:val="a4"/>
      </w:pPr>
      <w:r w:rsidRPr="008012F8">
        <w:tab/>
      </w:r>
      <w:r w:rsidRPr="00DF5565">
        <w:rPr>
          <w:rStyle w:val="a5"/>
        </w:rPr>
        <w:footnoteRef/>
      </w:r>
      <w:r w:rsidRPr="008012F8">
        <w:tab/>
      </w:r>
      <w:r w:rsidRPr="008012F8">
        <w:rPr>
          <w:rFonts w:ascii="宋体" w:hAnsi="宋体" w:cs="宋体" w:hint="eastAsia"/>
        </w:rPr>
        <w:t>见</w:t>
      </w:r>
      <w:r>
        <w:rPr>
          <w:lang w:val="de-DE"/>
        </w:rPr>
        <w:t>Denza,</w:t>
      </w:r>
      <w:r w:rsidRPr="008012F8">
        <w:rPr>
          <w:rFonts w:ascii="宋体" w:hAnsi="宋体" w:cs="宋体" w:hint="eastAsia"/>
        </w:rPr>
        <w:t>《外交法</w:t>
      </w:r>
      <w:r w:rsidRPr="008012F8">
        <w:rPr>
          <w:rFonts w:hint="eastAsia"/>
        </w:rPr>
        <w:t>……</w:t>
      </w:r>
      <w:r w:rsidRPr="008012F8">
        <w:rPr>
          <w:rFonts w:ascii="宋体" w:hAnsi="宋体" w:cs="宋体" w:hint="eastAsia"/>
        </w:rPr>
        <w:t>》</w:t>
      </w:r>
      <w:r w:rsidRPr="008012F8">
        <w:rPr>
          <w:lang w:val="fr-FR"/>
        </w:rPr>
        <w:t>(</w:t>
      </w:r>
      <w:r w:rsidRPr="008012F8">
        <w:t>上文</w:t>
      </w:r>
      <w:r w:rsidRPr="008012F8">
        <w:rPr>
          <w:rFonts w:ascii="宋体" w:hAnsi="宋体" w:cs="宋体" w:hint="eastAsia"/>
        </w:rPr>
        <w:t>脚注</w:t>
      </w:r>
      <w:r w:rsidRPr="00267AB1">
        <w:rPr>
          <w:rFonts w:asciiTheme="majorBidi" w:hAnsiTheme="majorBidi" w:cstheme="majorBidi"/>
        </w:rPr>
        <w:fldChar w:fldCharType="begin"/>
      </w:r>
      <w:r w:rsidRPr="00267AB1">
        <w:rPr>
          <w:rFonts w:asciiTheme="majorBidi" w:hAnsiTheme="majorBidi" w:cstheme="majorBidi"/>
        </w:rPr>
        <w:instrText xml:space="preserve"> NOTEREF _Ref461973489 \h </w:instrText>
      </w:r>
      <w:r>
        <w:rPr>
          <w:rFonts w:asciiTheme="majorBidi" w:hAnsiTheme="majorBidi" w:cstheme="majorBidi"/>
        </w:rPr>
        <w:instrText xml:space="preserve"> \* MERGEFORMAT </w:instrText>
      </w:r>
      <w:r w:rsidRPr="00267AB1">
        <w:rPr>
          <w:rFonts w:asciiTheme="majorBidi" w:hAnsiTheme="majorBidi" w:cstheme="majorBidi"/>
        </w:rPr>
      </w:r>
      <w:r w:rsidRPr="00267AB1">
        <w:rPr>
          <w:rFonts w:asciiTheme="majorBidi" w:hAnsiTheme="majorBidi" w:cstheme="majorBidi"/>
        </w:rPr>
        <w:fldChar w:fldCharType="separate"/>
      </w:r>
      <w:r w:rsidR="00A73EB9">
        <w:rPr>
          <w:rFonts w:asciiTheme="majorBidi" w:hAnsiTheme="majorBidi" w:cstheme="majorBidi"/>
        </w:rPr>
        <w:t>644</w:t>
      </w:r>
      <w:r w:rsidRPr="00267AB1">
        <w:rPr>
          <w:rFonts w:asciiTheme="majorBidi" w:hAnsiTheme="majorBidi" w:cstheme="majorBidi"/>
        </w:rPr>
        <w:fldChar w:fldCharType="end"/>
      </w:r>
      <w:r w:rsidRPr="008012F8">
        <w:rPr>
          <w:lang w:val="fr-FR"/>
        </w:rPr>
        <w:t>)</w:t>
      </w:r>
      <w:r w:rsidRPr="008012F8">
        <w:t>，</w:t>
      </w:r>
      <w:r w:rsidRPr="008012F8">
        <w:rPr>
          <w:rFonts w:ascii="宋体" w:hAnsi="宋体" w:cs="宋体" w:hint="eastAsia"/>
        </w:rPr>
        <w:t>第</w:t>
      </w:r>
      <w:r w:rsidRPr="008012F8">
        <w:t>77-88</w:t>
      </w:r>
      <w:r w:rsidRPr="008012F8">
        <w:rPr>
          <w:rFonts w:ascii="宋体" w:hAnsi="宋体" w:cs="宋体" w:hint="eastAsia"/>
        </w:rPr>
        <w:t>页，其中进一步提到了与间谍活动有关的声明。另见</w:t>
      </w:r>
      <w:r w:rsidRPr="008012F8">
        <w:t>Salmon,</w:t>
      </w:r>
      <w:r w:rsidRPr="008012F8">
        <w:rPr>
          <w:rFonts w:ascii="宋体" w:hAnsi="宋体" w:cs="宋体" w:hint="eastAsia"/>
        </w:rPr>
        <w:t>《外交法手册》</w:t>
      </w:r>
      <w:r w:rsidRPr="008012F8">
        <w:t>(</w:t>
      </w:r>
      <w:r w:rsidRPr="008012F8">
        <w:t>上文</w:t>
      </w:r>
      <w:r w:rsidRPr="008012F8">
        <w:rPr>
          <w:rFonts w:ascii="宋体" w:hAnsi="宋体" w:cs="宋体" w:hint="eastAsia"/>
        </w:rPr>
        <w:t>脚注</w:t>
      </w:r>
      <w:r w:rsidRPr="00267AB1">
        <w:rPr>
          <w:rFonts w:asciiTheme="majorBidi" w:hAnsiTheme="majorBidi" w:cstheme="majorBidi"/>
        </w:rPr>
        <w:fldChar w:fldCharType="begin"/>
      </w:r>
      <w:r w:rsidRPr="00267AB1">
        <w:rPr>
          <w:rFonts w:asciiTheme="majorBidi" w:hAnsiTheme="majorBidi" w:cstheme="majorBidi"/>
        </w:rPr>
        <w:instrText xml:space="preserve"> NOTEREF _Ref461973489 \h </w:instrText>
      </w:r>
      <w:r>
        <w:rPr>
          <w:rFonts w:asciiTheme="majorBidi" w:hAnsiTheme="majorBidi" w:cstheme="majorBidi"/>
        </w:rPr>
        <w:instrText xml:space="preserve"> \* MERGEFORMAT </w:instrText>
      </w:r>
      <w:r w:rsidRPr="00267AB1">
        <w:rPr>
          <w:rFonts w:asciiTheme="majorBidi" w:hAnsiTheme="majorBidi" w:cstheme="majorBidi"/>
        </w:rPr>
      </w:r>
      <w:r w:rsidRPr="00267AB1">
        <w:rPr>
          <w:rFonts w:asciiTheme="majorBidi" w:hAnsiTheme="majorBidi" w:cstheme="majorBidi"/>
        </w:rPr>
        <w:fldChar w:fldCharType="separate"/>
      </w:r>
      <w:r w:rsidR="00A73EB9">
        <w:rPr>
          <w:rFonts w:asciiTheme="majorBidi" w:hAnsiTheme="majorBidi" w:cstheme="majorBidi"/>
        </w:rPr>
        <w:t>644</w:t>
      </w:r>
      <w:r w:rsidRPr="00267AB1">
        <w:rPr>
          <w:rFonts w:asciiTheme="majorBidi" w:hAnsiTheme="majorBidi" w:cstheme="majorBidi"/>
        </w:rPr>
        <w:fldChar w:fldCharType="end"/>
      </w:r>
      <w:r w:rsidRPr="008012F8">
        <w:t>)</w:t>
      </w:r>
      <w:r w:rsidRPr="008012F8">
        <w:t>，</w:t>
      </w:r>
      <w:r w:rsidRPr="008012F8">
        <w:rPr>
          <w:rFonts w:ascii="宋体" w:hAnsi="宋体" w:cs="宋体" w:hint="eastAsia"/>
        </w:rPr>
        <w:t>第</w:t>
      </w:r>
      <w:r w:rsidRPr="008012F8">
        <w:t>484</w:t>
      </w:r>
      <w:r w:rsidRPr="008012F8">
        <w:rPr>
          <w:rFonts w:ascii="宋体" w:hAnsi="宋体" w:cs="宋体" w:hint="eastAsia"/>
        </w:rPr>
        <w:t>页，第</w:t>
      </w:r>
      <w:r w:rsidRPr="008012F8">
        <w:t>630</w:t>
      </w:r>
      <w:r w:rsidRPr="008012F8">
        <w:rPr>
          <w:rFonts w:ascii="宋体" w:hAnsi="宋体" w:cs="宋体" w:hint="eastAsia"/>
        </w:rPr>
        <w:t>段；以及</w:t>
      </w:r>
      <w:r w:rsidRPr="008012F8">
        <w:t xml:space="preserve">Richtsteig, </w:t>
      </w:r>
      <w:r w:rsidRPr="008012F8">
        <w:rPr>
          <w:i/>
        </w:rPr>
        <w:t>Wiener Übereinkommen über diplomatische …</w:t>
      </w:r>
      <w:r w:rsidRPr="008012F8">
        <w:t>(</w:t>
      </w:r>
      <w:r w:rsidRPr="008012F8">
        <w:t>上文</w:t>
      </w:r>
      <w:r w:rsidRPr="008012F8">
        <w:rPr>
          <w:rFonts w:ascii="宋体" w:hAnsi="宋体" w:cs="宋体" w:hint="eastAsia"/>
        </w:rPr>
        <w:t>脚注</w:t>
      </w:r>
      <w:r w:rsidRPr="00267AB1">
        <w:rPr>
          <w:rFonts w:asciiTheme="majorBidi" w:hAnsiTheme="majorBidi" w:cstheme="majorBidi"/>
        </w:rPr>
        <w:fldChar w:fldCharType="begin"/>
      </w:r>
      <w:r w:rsidRPr="00267AB1">
        <w:rPr>
          <w:rFonts w:asciiTheme="majorBidi" w:hAnsiTheme="majorBidi" w:cstheme="majorBidi"/>
        </w:rPr>
        <w:instrText xml:space="preserve"> NOTEREF _Ref461973582 \h </w:instrText>
      </w:r>
      <w:r>
        <w:rPr>
          <w:rFonts w:asciiTheme="majorBidi" w:hAnsiTheme="majorBidi" w:cstheme="majorBidi"/>
        </w:rPr>
        <w:instrText xml:space="preserve"> \* MERGEFORMAT </w:instrText>
      </w:r>
      <w:r w:rsidRPr="00267AB1">
        <w:rPr>
          <w:rFonts w:asciiTheme="majorBidi" w:hAnsiTheme="majorBidi" w:cstheme="majorBidi"/>
        </w:rPr>
      </w:r>
      <w:r w:rsidRPr="00267AB1">
        <w:rPr>
          <w:rFonts w:asciiTheme="majorBidi" w:hAnsiTheme="majorBidi" w:cstheme="majorBidi"/>
        </w:rPr>
        <w:fldChar w:fldCharType="separate"/>
      </w:r>
      <w:r w:rsidR="00A73EB9">
        <w:rPr>
          <w:rFonts w:asciiTheme="majorBidi" w:hAnsiTheme="majorBidi" w:cstheme="majorBidi"/>
        </w:rPr>
        <w:t>646</w:t>
      </w:r>
      <w:r w:rsidRPr="00267AB1">
        <w:rPr>
          <w:rFonts w:asciiTheme="majorBidi" w:hAnsiTheme="majorBidi" w:cstheme="majorBidi"/>
        </w:rPr>
        <w:fldChar w:fldCharType="end"/>
      </w:r>
      <w:r w:rsidRPr="008012F8">
        <w:t>)</w:t>
      </w:r>
      <w:r w:rsidRPr="008012F8">
        <w:t>，</w:t>
      </w:r>
      <w:r w:rsidRPr="008012F8">
        <w:rPr>
          <w:rFonts w:ascii="宋体" w:hAnsi="宋体" w:cs="宋体" w:hint="eastAsia"/>
        </w:rPr>
        <w:t>第</w:t>
      </w:r>
      <w:r w:rsidRPr="008012F8">
        <w:t>30</w:t>
      </w:r>
      <w:r w:rsidRPr="008012F8">
        <w:rPr>
          <w:rFonts w:ascii="宋体" w:hAnsi="宋体" w:cs="宋体" w:hint="eastAsia"/>
        </w:rPr>
        <w:t>页。</w:t>
      </w:r>
    </w:p>
  </w:footnote>
  <w:footnote w:id="653">
    <w:p w:rsidR="00AB00DE" w:rsidRPr="008012F8" w:rsidRDefault="00AB00DE" w:rsidP="008D7906">
      <w:pPr>
        <w:pStyle w:val="a4"/>
      </w:pPr>
      <w:r w:rsidRPr="008012F8">
        <w:tab/>
      </w:r>
      <w:r w:rsidRPr="00DF5565">
        <w:rPr>
          <w:rStyle w:val="a5"/>
        </w:rPr>
        <w:footnoteRef/>
      </w:r>
      <w:r w:rsidRPr="008012F8">
        <w:tab/>
      </w:r>
      <w:r w:rsidRPr="008012F8">
        <w:rPr>
          <w:rFonts w:ascii="宋体" w:hAnsi="宋体" w:cs="宋体" w:hint="eastAsia"/>
          <w:spacing w:val="-4"/>
        </w:rPr>
        <w:t>荷兰外交部礼宾司，《使领馆礼仪指南》。可查阅</w:t>
      </w:r>
      <w:r w:rsidRPr="00560424">
        <w:rPr>
          <w:spacing w:val="-4"/>
        </w:rPr>
        <w:t>www.government.nl/government/</w:t>
      </w:r>
      <w:r>
        <w:rPr>
          <w:rFonts w:hint="eastAsia"/>
          <w:spacing w:val="-4"/>
        </w:rPr>
        <w:t xml:space="preserve"> </w:t>
      </w:r>
      <w:r w:rsidRPr="00FA4C6D">
        <w:rPr>
          <w:spacing w:val="-4"/>
        </w:rPr>
        <w:t>documents/</w:t>
      </w:r>
      <w:r w:rsidRPr="008012F8">
        <w:t>leaflets/2015/04/15/protocol-guide-for-diplomatic-missions-en-consular-posts</w:t>
      </w:r>
      <w:r w:rsidRPr="008012F8">
        <w:rPr>
          <w:rFonts w:ascii="宋体" w:hAnsi="宋体" w:cs="宋体" w:hint="eastAsia"/>
        </w:rPr>
        <w:t>。</w:t>
      </w:r>
    </w:p>
  </w:footnote>
  <w:footnote w:id="654">
    <w:p w:rsidR="00AB00DE" w:rsidRPr="008012F8" w:rsidRDefault="00AB00DE" w:rsidP="008D7906">
      <w:pPr>
        <w:pStyle w:val="a4"/>
        <w:rPr>
          <w:rFonts w:eastAsia="黑体"/>
        </w:rPr>
      </w:pPr>
      <w:r w:rsidRPr="008012F8">
        <w:tab/>
      </w:r>
      <w:r w:rsidRPr="00DF5565">
        <w:rPr>
          <w:rStyle w:val="a5"/>
        </w:rPr>
        <w:footnoteRef/>
      </w:r>
      <w:r w:rsidRPr="008012F8">
        <w:tab/>
      </w:r>
      <w:r w:rsidRPr="008012F8">
        <w:rPr>
          <w:rFonts w:ascii="宋体" w:hAnsi="宋体" w:cs="宋体" w:hint="eastAsia"/>
        </w:rPr>
        <w:t>法国外交与国际发展部，《外国驻法外交官指南：豁</w:t>
      </w:r>
      <w:r w:rsidRPr="008012F8">
        <w:rPr>
          <w:rFonts w:hAnsi="Arial" w:hint="eastAsia"/>
        </w:rPr>
        <w:t>免</w:t>
      </w:r>
      <w:r w:rsidRPr="008012F8">
        <w:rPr>
          <w:rFonts w:hAnsi="Arial" w:hint="eastAsia"/>
          <w:spacing w:val="-50"/>
        </w:rPr>
        <w:t>―</w:t>
      </w:r>
      <w:r w:rsidRPr="008012F8">
        <w:rPr>
          <w:rFonts w:hAnsi="Arial" w:hint="eastAsia"/>
        </w:rPr>
        <w:t>―遵</w:t>
      </w:r>
      <w:r w:rsidRPr="008012F8">
        <w:rPr>
          <w:rFonts w:ascii="宋体" w:hAnsi="宋体" w:cs="宋体" w:hint="eastAsia"/>
        </w:rPr>
        <w:t>守当地法律和法规》</w:t>
      </w:r>
      <w:r w:rsidRPr="008012F8">
        <w:t>(www.diplomatie.gouv.fr/en/ministry/guide-for-foreign-diplomats/immunities/article/respect-for-local-laws-and)</w:t>
      </w:r>
      <w:r w:rsidRPr="008012F8">
        <w:rPr>
          <w:rFonts w:ascii="宋体" w:hAnsi="宋体" w:cs="宋体" w:hint="eastAsia"/>
        </w:rPr>
        <w:t>；土耳其外交部，《外国驻土耳其使团应遵守的交通规则》，第</w:t>
      </w:r>
      <w:r w:rsidRPr="008012F8">
        <w:t>63552</w:t>
      </w:r>
      <w:r w:rsidRPr="008012F8">
        <w:rPr>
          <w:rFonts w:ascii="宋体" w:hAnsi="宋体" w:cs="宋体" w:hint="eastAsia"/>
        </w:rPr>
        <w:t>号重要通知，交规</w:t>
      </w:r>
      <w:r w:rsidRPr="008012F8">
        <w:t>2005/PDGY/63552(2005</w:t>
      </w:r>
      <w:r w:rsidRPr="008012F8">
        <w:rPr>
          <w:rFonts w:ascii="宋体" w:hAnsi="宋体" w:cs="宋体" w:hint="eastAsia"/>
        </w:rPr>
        <w:t>年</w:t>
      </w:r>
      <w:r w:rsidRPr="008012F8">
        <w:t>4</w:t>
      </w:r>
      <w:r w:rsidRPr="008012F8">
        <w:rPr>
          <w:rFonts w:ascii="宋体" w:hAnsi="宋体" w:cs="宋体" w:hint="eastAsia"/>
        </w:rPr>
        <w:t>月</w:t>
      </w:r>
      <w:r w:rsidRPr="008012F8">
        <w:t>6</w:t>
      </w:r>
      <w:r w:rsidRPr="008012F8">
        <w:rPr>
          <w:rFonts w:ascii="宋体" w:hAnsi="宋体" w:cs="宋体" w:hint="eastAsia"/>
        </w:rPr>
        <w:t>日</w:t>
      </w:r>
      <w:r w:rsidRPr="008012F8">
        <w:t>)(www.mfa.gov.tr/06_04_</w:t>
      </w:r>
      <w:r w:rsidRPr="008012F8">
        <w:rPr>
          <w:rFonts w:hAnsi="Arial"/>
        </w:rPr>
        <w:t>2005</w:t>
      </w:r>
      <w:r w:rsidRPr="008012F8">
        <w:rPr>
          <w:rFonts w:hAnsi="Arial" w:hint="eastAsia"/>
        </w:rPr>
        <w:t>--</w:t>
      </w:r>
      <w:r w:rsidRPr="008012F8">
        <w:rPr>
          <w:rFonts w:hAnsi="Arial"/>
        </w:rPr>
        <w:t>63552</w:t>
      </w:r>
      <w:r>
        <w:t>-traffic-regulations.</w:t>
      </w:r>
      <w:r w:rsidRPr="008012F8">
        <w:t>en.mfa)</w:t>
      </w:r>
      <w:r w:rsidRPr="008012F8">
        <w:rPr>
          <w:rFonts w:ascii="宋体" w:hAnsi="宋体" w:cs="宋体" w:hint="eastAsia"/>
        </w:rPr>
        <w:t>；联合王国外交及联邦事务部，</w:t>
      </w:r>
      <w:r w:rsidRPr="008012F8">
        <w:t>1985</w:t>
      </w:r>
      <w:r w:rsidRPr="008012F8">
        <w:rPr>
          <w:rFonts w:ascii="宋体" w:hAnsi="宋体" w:cs="宋体" w:hint="eastAsia"/>
        </w:rPr>
        <w:t>年</w:t>
      </w:r>
      <w:r w:rsidRPr="008012F8">
        <w:t>4</w:t>
      </w:r>
      <w:r w:rsidRPr="008012F8">
        <w:rPr>
          <w:rFonts w:ascii="宋体" w:hAnsi="宋体" w:cs="宋体" w:hint="eastAsia"/>
        </w:rPr>
        <w:t>月</w:t>
      </w:r>
      <w:r w:rsidRPr="008012F8">
        <w:t>19</w:t>
      </w:r>
      <w:r w:rsidRPr="008012F8">
        <w:rPr>
          <w:rFonts w:ascii="宋体" w:hAnsi="宋体" w:cs="宋体" w:hint="eastAsia"/>
        </w:rPr>
        <w:t>日致驻伦敦使馆馆长的通知，又刊印于</w:t>
      </w:r>
      <w:r>
        <w:t xml:space="preserve">G. </w:t>
      </w:r>
      <w:r>
        <w:rPr>
          <w:rFonts w:hint="eastAsia"/>
        </w:rPr>
        <w:t>Mar</w:t>
      </w:r>
      <w:r w:rsidRPr="008012F8">
        <w:t>ston</w:t>
      </w:r>
      <w:r w:rsidRPr="008012F8">
        <w:rPr>
          <w:rFonts w:ascii="宋体" w:hAnsi="宋体" w:cs="宋体" w:hint="eastAsia"/>
        </w:rPr>
        <w:t>的</w:t>
      </w:r>
      <w:r w:rsidRPr="008012F8">
        <w:rPr>
          <w:rFonts w:hint="eastAsia"/>
        </w:rPr>
        <w:t>“</w:t>
      </w:r>
      <w:r w:rsidRPr="008012F8">
        <w:t>1985</w:t>
      </w:r>
      <w:r w:rsidRPr="008012F8">
        <w:rPr>
          <w:rFonts w:ascii="宋体" w:hAnsi="宋体" w:cs="宋体" w:hint="eastAsia"/>
        </w:rPr>
        <w:t>年联合国王国关于国际法的材料</w:t>
      </w:r>
      <w:r w:rsidRPr="008012F8">
        <w:rPr>
          <w:rFonts w:hint="eastAsia"/>
        </w:rPr>
        <w:t>”</w:t>
      </w:r>
      <w:r w:rsidRPr="008012F8">
        <w:rPr>
          <w:rFonts w:ascii="宋体" w:hAnsi="宋体" w:cs="宋体" w:hint="eastAsia"/>
        </w:rPr>
        <w:t>，《英国国际法年鉴》，第</w:t>
      </w:r>
      <w:r w:rsidRPr="008012F8">
        <w:t>56</w:t>
      </w:r>
      <w:r w:rsidRPr="008012F8">
        <w:rPr>
          <w:rFonts w:ascii="宋体" w:hAnsi="宋体" w:cs="宋体" w:hint="eastAsia"/>
        </w:rPr>
        <w:t>卷，第</w:t>
      </w:r>
      <w:r w:rsidRPr="008012F8">
        <w:t>1(1985)</w:t>
      </w:r>
      <w:r w:rsidRPr="008012F8">
        <w:rPr>
          <w:rFonts w:ascii="宋体" w:hAnsi="宋体" w:cs="宋体" w:hint="eastAsia"/>
        </w:rPr>
        <w:t>号，第</w:t>
      </w:r>
      <w:r w:rsidRPr="008012F8">
        <w:t>437</w:t>
      </w:r>
      <w:r w:rsidRPr="008012F8">
        <w:rPr>
          <w:rFonts w:ascii="宋体" w:hAnsi="宋体" w:cs="宋体" w:hint="eastAsia"/>
        </w:rPr>
        <w:t>页。</w:t>
      </w:r>
    </w:p>
  </w:footnote>
  <w:footnote w:id="655">
    <w:p w:rsidR="00AB00DE" w:rsidRPr="008012F8" w:rsidRDefault="00AB00DE" w:rsidP="008D7906">
      <w:pPr>
        <w:pStyle w:val="a4"/>
        <w:rPr>
          <w:rFonts w:eastAsia="黑体"/>
        </w:rPr>
      </w:pPr>
      <w:r w:rsidRPr="008012F8">
        <w:tab/>
      </w:r>
      <w:r w:rsidRPr="00DF5565">
        <w:rPr>
          <w:rStyle w:val="a5"/>
        </w:rPr>
        <w:footnoteRef/>
      </w:r>
      <w:r w:rsidRPr="008012F8">
        <w:tab/>
      </w:r>
      <w:r w:rsidRPr="00FA4C6D">
        <w:rPr>
          <w:rFonts w:ascii="宋体" w:hAnsi="宋体" w:cs="宋体" w:hint="eastAsia"/>
          <w:spacing w:val="-4"/>
        </w:rPr>
        <w:t>见加拿大外交、贸易与发展部，经修订的酒后驾车政策</w:t>
      </w:r>
      <w:r w:rsidRPr="00FA4C6D">
        <w:rPr>
          <w:spacing w:val="-4"/>
        </w:rPr>
        <w:t>(</w:t>
      </w:r>
      <w:hyperlink r:id="rId77" w:history="1">
        <w:r w:rsidRPr="00FA4C6D">
          <w:rPr>
            <w:rStyle w:val="af"/>
            <w:spacing w:val="-4"/>
          </w:rPr>
          <w:t>www.international.gc.ca/protocol-protocole/</w:t>
        </w:r>
      </w:hyperlink>
      <w:r>
        <w:rPr>
          <w:rFonts w:hint="eastAsia"/>
        </w:rPr>
        <w:t xml:space="preserve"> </w:t>
      </w:r>
      <w:r w:rsidRPr="008012F8">
        <w:t>vienna_convention_idp-convention_vienne_vfa.aspx</w:t>
      </w:r>
      <w:r w:rsidRPr="008012F8">
        <w:rPr>
          <w:rFonts w:hint="eastAsia"/>
        </w:rPr>
        <w:t>?</w:t>
      </w:r>
      <w:r w:rsidRPr="008012F8">
        <w:t>lang=eng)</w:t>
      </w:r>
      <w:r w:rsidRPr="008012F8">
        <w:rPr>
          <w:rFonts w:ascii="宋体" w:hAnsi="宋体" w:cs="宋体" w:hint="eastAsia"/>
        </w:rPr>
        <w:t>；美国国务院，国务院第</w:t>
      </w:r>
      <w:r w:rsidRPr="008012F8">
        <w:t>10-181</w:t>
      </w:r>
      <w:r w:rsidRPr="008012F8">
        <w:rPr>
          <w:rFonts w:ascii="宋体" w:hAnsi="宋体" w:cs="宋体" w:hint="eastAsia"/>
        </w:rPr>
        <w:t>号外交照会</w:t>
      </w:r>
      <w:r w:rsidRPr="008012F8">
        <w:t>(2010</w:t>
      </w:r>
      <w:r w:rsidRPr="008012F8">
        <w:rPr>
          <w:rFonts w:ascii="宋体" w:hAnsi="宋体" w:cs="宋体" w:hint="eastAsia"/>
        </w:rPr>
        <w:t>年</w:t>
      </w:r>
      <w:r w:rsidRPr="008012F8">
        <w:t>9</w:t>
      </w:r>
      <w:r w:rsidRPr="008012F8">
        <w:rPr>
          <w:rFonts w:ascii="宋体" w:hAnsi="宋体" w:cs="宋体" w:hint="eastAsia"/>
        </w:rPr>
        <w:t>月</w:t>
      </w:r>
      <w:r w:rsidRPr="008012F8">
        <w:t>24</w:t>
      </w:r>
      <w:r w:rsidRPr="008012F8">
        <w:rPr>
          <w:rFonts w:ascii="宋体" w:hAnsi="宋体" w:cs="宋体" w:hint="eastAsia"/>
        </w:rPr>
        <w:t>日</w:t>
      </w:r>
      <w:r w:rsidRPr="008012F8">
        <w:t>)(www.state.gov/documents/organization/149985.pdf)</w:t>
      </w:r>
      <w:r w:rsidRPr="008012F8">
        <w:t>，</w:t>
      </w:r>
      <w:r w:rsidRPr="008012F8">
        <w:rPr>
          <w:rFonts w:ascii="宋体" w:hAnsi="宋体" w:cs="宋体" w:hint="eastAsia"/>
        </w:rPr>
        <w:t>第</w:t>
      </w:r>
      <w:r w:rsidRPr="008012F8">
        <w:t>8-9</w:t>
      </w:r>
      <w:r w:rsidRPr="008012F8">
        <w:rPr>
          <w:rFonts w:ascii="宋体" w:hAnsi="宋体" w:cs="宋体" w:hint="eastAsia"/>
        </w:rPr>
        <w:t>页。</w:t>
      </w:r>
    </w:p>
  </w:footnote>
  <w:footnote w:id="656">
    <w:p w:rsidR="00AB00DE" w:rsidRPr="008012F8" w:rsidRDefault="00AB00DE" w:rsidP="00267AB1">
      <w:pPr>
        <w:pStyle w:val="a4"/>
      </w:pPr>
      <w:r w:rsidRPr="008012F8">
        <w:tab/>
      </w:r>
      <w:r w:rsidRPr="00DF5565">
        <w:rPr>
          <w:rStyle w:val="a5"/>
        </w:rPr>
        <w:footnoteRef/>
      </w:r>
      <w:r w:rsidRPr="008012F8">
        <w:tab/>
      </w:r>
      <w:r w:rsidRPr="008012F8">
        <w:rPr>
          <w:rFonts w:ascii="宋体" w:hAnsi="宋体" w:cs="宋体" w:hint="eastAsia"/>
        </w:rPr>
        <w:t>见</w:t>
      </w:r>
      <w:r w:rsidRPr="008012F8">
        <w:t>G. Hafiner,</w:t>
      </w:r>
      <w:r w:rsidRPr="008012F8">
        <w:rPr>
          <w:rFonts w:ascii="宋体" w:hAnsi="宋体" w:cs="宋体" w:hint="eastAsia"/>
        </w:rPr>
        <w:t>《嗣后协定和惯例：解释、非正式修改与正式修正》，载于</w:t>
      </w:r>
      <w:r w:rsidRPr="008012F8">
        <w:t>诺尔特</w:t>
      </w:r>
      <w:r w:rsidRPr="008012F8">
        <w:t>,</w:t>
      </w:r>
      <w:r w:rsidRPr="008012F8">
        <w:rPr>
          <w:rFonts w:ascii="宋体" w:hAnsi="宋体" w:cs="宋体" w:hint="eastAsia"/>
        </w:rPr>
        <w:t>《条约和嗣后惯例》</w:t>
      </w:r>
      <w:r w:rsidRPr="008012F8">
        <w:t>(</w:t>
      </w:r>
      <w:r w:rsidRPr="008012F8">
        <w:rPr>
          <w:rFonts w:ascii="宋体" w:hAnsi="宋体" w:cs="宋体" w:hint="eastAsia"/>
        </w:rPr>
        <w:t>见上文脚注</w:t>
      </w:r>
      <w:r>
        <w:rPr>
          <w:lang w:val="zh-CN"/>
        </w:rPr>
        <w:fldChar w:fldCharType="begin"/>
      </w:r>
      <w:r>
        <w:rPr>
          <w:lang w:val="zh-CN"/>
        </w:rPr>
        <w:instrText xml:space="preserve"> NOTEREF _Ref461973084 \h </w:instrText>
      </w:r>
      <w:r>
        <w:rPr>
          <w:lang w:val="zh-CN"/>
        </w:rPr>
      </w:r>
      <w:r>
        <w:rPr>
          <w:lang w:val="zh-CN"/>
        </w:rPr>
        <w:fldChar w:fldCharType="separate"/>
      </w:r>
      <w:r w:rsidR="00A73EB9">
        <w:rPr>
          <w:lang w:val="zh-CN"/>
        </w:rPr>
        <w:t>398</w:t>
      </w:r>
      <w:r>
        <w:rPr>
          <w:lang w:val="zh-CN"/>
        </w:rPr>
        <w:fldChar w:fldCharType="end"/>
      </w:r>
      <w:r w:rsidRPr="000C49CF">
        <w:rPr>
          <w:rFonts w:asciiTheme="majorBidi" w:hAnsiTheme="majorBidi" w:cstheme="majorBidi" w:hint="eastAsia"/>
        </w:rPr>
        <w:t>)</w:t>
      </w:r>
      <w:r w:rsidRPr="008012F8">
        <w:rPr>
          <w:rFonts w:ascii="宋体" w:hAnsi="宋体" w:cs="宋体" w:hint="eastAsia"/>
        </w:rPr>
        <w:t>，第</w:t>
      </w:r>
      <w:r w:rsidRPr="008012F8">
        <w:t>105</w:t>
      </w:r>
      <w:r w:rsidRPr="008012F8">
        <w:rPr>
          <w:rFonts w:ascii="宋体" w:hAnsi="宋体" w:cs="宋体" w:hint="eastAsia"/>
        </w:rPr>
        <w:t>页起，见第</w:t>
      </w:r>
      <w:r w:rsidRPr="008012F8">
        <w:t>112</w:t>
      </w:r>
      <w:r w:rsidRPr="008012F8">
        <w:rPr>
          <w:rFonts w:ascii="宋体" w:hAnsi="宋体" w:cs="宋体" w:hint="eastAsia"/>
        </w:rPr>
        <w:t>页，其中载有《维也纳外交关系公约》第九条下一个影响更加深远的案例。</w:t>
      </w:r>
    </w:p>
  </w:footnote>
  <w:footnote w:id="657">
    <w:p w:rsidR="00AB00DE" w:rsidRPr="008012F8" w:rsidRDefault="00AB00DE" w:rsidP="00D90936">
      <w:pPr>
        <w:pStyle w:val="a4"/>
      </w:pPr>
      <w:r w:rsidRPr="008012F8">
        <w:tab/>
      </w:r>
      <w:r w:rsidRPr="00DF5565">
        <w:rPr>
          <w:rStyle w:val="a5"/>
        </w:rPr>
        <w:footnoteRef/>
      </w:r>
      <w:r w:rsidRPr="008012F8">
        <w:tab/>
      </w:r>
      <w:r w:rsidRPr="008012F8">
        <w:rPr>
          <w:rFonts w:ascii="宋体" w:hAnsi="宋体" w:cs="宋体" w:hint="eastAsia"/>
        </w:rPr>
        <w:t>世贸组织上诉机构报告，</w:t>
      </w:r>
      <w:r w:rsidRPr="008012F8">
        <w:rPr>
          <w:rFonts w:eastAsia="楷体"/>
        </w:rPr>
        <w:t>中国</w:t>
      </w:r>
      <w:r w:rsidRPr="008012F8">
        <w:rPr>
          <w:rFonts w:hAnsi="Arial" w:hint="eastAsia"/>
        </w:rPr>
        <w:t>－</w:t>
      </w:r>
      <w:r w:rsidRPr="008012F8">
        <w:rPr>
          <w:rFonts w:eastAsia="楷体"/>
        </w:rPr>
        <w:t>影响某些出版物和娱乐视听产品贸易权和分销服务的措施案</w:t>
      </w:r>
      <w:r w:rsidRPr="008012F8">
        <w:rPr>
          <w:rFonts w:eastAsia="楷体"/>
        </w:rPr>
        <w:t>(</w:t>
      </w:r>
      <w:r w:rsidRPr="008012F8">
        <w:rPr>
          <w:rFonts w:eastAsia="楷体"/>
        </w:rPr>
        <w:t>中国</w:t>
      </w:r>
      <w:r w:rsidRPr="008012F8">
        <w:rPr>
          <w:rFonts w:hAnsi="Arial" w:hint="eastAsia"/>
        </w:rPr>
        <w:t>－</w:t>
      </w:r>
      <w:r w:rsidRPr="008012F8">
        <w:rPr>
          <w:rFonts w:eastAsia="楷体"/>
        </w:rPr>
        <w:t>出版物和视听产品案</w:t>
      </w:r>
      <w:r w:rsidRPr="008012F8">
        <w:rPr>
          <w:rFonts w:eastAsia="楷体"/>
        </w:rPr>
        <w:t>)</w:t>
      </w:r>
      <w:r w:rsidRPr="008012F8">
        <w:rPr>
          <w:rFonts w:ascii="宋体" w:hAnsi="宋体" w:cs="宋体" w:hint="eastAsia"/>
        </w:rPr>
        <w:t>，</w:t>
      </w:r>
      <w:r w:rsidRPr="008012F8">
        <w:t>WT/DS363/AB/R, 2010</w:t>
      </w:r>
      <w:r w:rsidRPr="008012F8">
        <w:rPr>
          <w:rFonts w:ascii="宋体" w:hAnsi="宋体" w:cs="宋体" w:hint="eastAsia"/>
        </w:rPr>
        <w:t>年</w:t>
      </w:r>
      <w:r w:rsidRPr="008012F8">
        <w:t>1</w:t>
      </w:r>
      <w:r w:rsidRPr="008012F8">
        <w:rPr>
          <w:rFonts w:ascii="宋体" w:hAnsi="宋体" w:cs="宋体" w:hint="eastAsia"/>
        </w:rPr>
        <w:t>月</w:t>
      </w:r>
      <w:r w:rsidRPr="008012F8">
        <w:t>19</w:t>
      </w:r>
      <w:r w:rsidRPr="008012F8">
        <w:rPr>
          <w:rFonts w:ascii="宋体" w:hAnsi="宋体" w:cs="宋体" w:hint="eastAsia"/>
        </w:rPr>
        <w:t>日通过，第</w:t>
      </w:r>
      <w:r w:rsidRPr="008012F8">
        <w:t>403</w:t>
      </w:r>
      <w:r w:rsidRPr="008012F8">
        <w:rPr>
          <w:rFonts w:ascii="宋体" w:hAnsi="宋体" w:cs="宋体" w:hint="eastAsia"/>
        </w:rPr>
        <w:t>段；</w:t>
      </w:r>
      <w:r w:rsidRPr="008012F8">
        <w:rPr>
          <w:rFonts w:hint="eastAsia"/>
        </w:rPr>
        <w:t>“</w:t>
      </w:r>
      <w:r w:rsidRPr="008012F8">
        <w:rPr>
          <w:rFonts w:ascii="宋体" w:hAnsi="宋体" w:cs="宋体" w:hint="eastAsia"/>
        </w:rPr>
        <w:t>虽然专家组适用《维也纳公约》第三十一条解释</w:t>
      </w:r>
      <w:r w:rsidRPr="008012F8">
        <w:t>‘</w:t>
      </w:r>
      <w:r w:rsidRPr="008012F8">
        <w:rPr>
          <w:rFonts w:ascii="宋体" w:hAnsi="宋体" w:cs="宋体" w:hint="eastAsia"/>
        </w:rPr>
        <w:t>录音制品分销服务</w:t>
      </w:r>
      <w:r w:rsidRPr="008012F8">
        <w:t>’</w:t>
      </w:r>
      <w:r w:rsidRPr="008012F8">
        <w:rPr>
          <w:rFonts w:ascii="宋体" w:hAnsi="宋体" w:cs="宋体" w:hint="eastAsia"/>
        </w:rPr>
        <w:t>就该词的含义得出了</w:t>
      </w:r>
      <w:r w:rsidRPr="008012F8">
        <w:t>‘</w:t>
      </w:r>
      <w:r w:rsidRPr="008012F8">
        <w:rPr>
          <w:rFonts w:ascii="宋体" w:hAnsi="宋体" w:cs="宋体" w:hint="eastAsia"/>
        </w:rPr>
        <w:t>初步结论</w:t>
      </w:r>
      <w:r w:rsidRPr="008012F8">
        <w:t>’</w:t>
      </w:r>
      <w:r w:rsidRPr="008012F8">
        <w:rPr>
          <w:rFonts w:ascii="宋体" w:hAnsi="宋体" w:cs="宋体" w:hint="eastAsia"/>
        </w:rPr>
        <w:t>，专家组还是决定使用解释的补充资料证实该含义。关于这一点，我们注意到，中国的上诉论点似乎假定如果委员会发现适用第三十一条导致</w:t>
      </w:r>
      <w:r w:rsidRPr="008012F8">
        <w:t>‘</w:t>
      </w:r>
      <w:r w:rsidRPr="008012F8">
        <w:rPr>
          <w:rFonts w:ascii="宋体" w:hAnsi="宋体" w:cs="宋体" w:hint="eastAsia"/>
        </w:rPr>
        <w:t>录音制品分销服务</w:t>
      </w:r>
      <w:r w:rsidRPr="008012F8">
        <w:t>’</w:t>
      </w:r>
      <w:r w:rsidRPr="008012F8">
        <w:rPr>
          <w:rFonts w:ascii="宋体" w:hAnsi="宋体" w:cs="宋体" w:hint="eastAsia"/>
        </w:rPr>
        <w:t>一词的含义不明或难解，故而适用第三十二条来确定，而不是证实该词的含义，那么专家组根据《维也纳公约》第三十二条所作的分析必然将得出不同的结果。我们不同意这种论点。第三十二条下考察的要素与第三十一条下分析的要素不同，但是无论根据第三十一条分析的结果如何，第三十二条下需要考察的都是同样的要素。根据第三十一条分析的结果可能影响的，是第三十二条下需考察的各要素的权重</w:t>
      </w:r>
      <w:r w:rsidRPr="008012F8">
        <w:t>。</w:t>
      </w:r>
      <w:r w:rsidRPr="008012F8">
        <w:rPr>
          <w:rFonts w:hint="eastAsia"/>
        </w:rPr>
        <w:t>”</w:t>
      </w:r>
      <w:r w:rsidRPr="008012F8">
        <w:rPr>
          <w:rFonts w:ascii="宋体" w:hAnsi="宋体" w:cs="宋体" w:hint="eastAsia"/>
        </w:rPr>
        <w:t>另见</w:t>
      </w:r>
      <w:r w:rsidRPr="008012F8">
        <w:t>Villiger,</w:t>
      </w:r>
      <w:r w:rsidRPr="008012F8">
        <w:rPr>
          <w:rFonts w:ascii="宋体" w:hAnsi="宋体" w:cs="宋体" w:hint="eastAsia"/>
        </w:rPr>
        <w:t>《</w:t>
      </w:r>
      <w:r w:rsidRPr="008012F8">
        <w:rPr>
          <w:rFonts w:hint="eastAsia"/>
        </w:rPr>
        <w:t>……</w:t>
      </w:r>
      <w:r w:rsidRPr="008012F8">
        <w:t>评注</w:t>
      </w:r>
      <w:r w:rsidRPr="008012F8">
        <w:rPr>
          <w:rFonts w:ascii="宋体" w:hAnsi="宋体" w:cs="宋体" w:hint="eastAsia"/>
        </w:rPr>
        <w:t>》</w:t>
      </w:r>
      <w:r w:rsidRPr="008012F8">
        <w:t>(</w:t>
      </w:r>
      <w:r w:rsidRPr="008012F8">
        <w:rPr>
          <w:rFonts w:ascii="宋体" w:hAnsi="宋体" w:cs="宋体" w:hint="eastAsia"/>
        </w:rPr>
        <w:t>上文脚注</w:t>
      </w:r>
      <w:r>
        <w:rPr>
          <w:spacing w:val="-4"/>
          <w:lang w:val="zh-CN"/>
        </w:rPr>
        <w:fldChar w:fldCharType="begin"/>
      </w:r>
      <w:r>
        <w:rPr>
          <w:spacing w:val="-4"/>
          <w:lang w:val="zh-CN"/>
        </w:rPr>
        <w:instrText xml:space="preserve"> NOTEREF _Ref461972715 \h </w:instrText>
      </w:r>
      <w:r>
        <w:rPr>
          <w:spacing w:val="-4"/>
          <w:lang w:val="zh-CN"/>
        </w:rPr>
      </w:r>
      <w:r>
        <w:rPr>
          <w:spacing w:val="-4"/>
          <w:lang w:val="zh-CN"/>
        </w:rPr>
        <w:fldChar w:fldCharType="separate"/>
      </w:r>
      <w:r w:rsidR="00A73EB9">
        <w:rPr>
          <w:spacing w:val="-4"/>
          <w:lang w:val="zh-CN"/>
        </w:rPr>
        <w:t>414</w:t>
      </w:r>
      <w:r>
        <w:rPr>
          <w:spacing w:val="-4"/>
          <w:lang w:val="zh-CN"/>
        </w:rPr>
        <w:fldChar w:fldCharType="end"/>
      </w:r>
      <w:r w:rsidRPr="00D90936">
        <w:rPr>
          <w:rFonts w:asciiTheme="majorBidi" w:hAnsiTheme="majorBidi" w:cstheme="majorBidi"/>
        </w:rPr>
        <w:t>)</w:t>
      </w:r>
      <w:r w:rsidRPr="008012F8">
        <w:rPr>
          <w:rFonts w:ascii="宋体" w:hAnsi="宋体" w:cs="宋体" w:hint="eastAsia"/>
        </w:rPr>
        <w:t>，第</w:t>
      </w:r>
      <w:r w:rsidRPr="008012F8">
        <w:t>447</w:t>
      </w:r>
      <w:r w:rsidRPr="008012F8">
        <w:rPr>
          <w:rFonts w:ascii="宋体" w:hAnsi="宋体" w:cs="宋体" w:hint="eastAsia"/>
        </w:rPr>
        <w:t>页，第</w:t>
      </w:r>
      <w:r w:rsidRPr="008012F8">
        <w:t>11</w:t>
      </w:r>
      <w:r w:rsidRPr="008012F8">
        <w:rPr>
          <w:rFonts w:ascii="宋体" w:hAnsi="宋体" w:cs="宋体" w:hint="eastAsia"/>
        </w:rPr>
        <w:t>段。</w:t>
      </w:r>
    </w:p>
  </w:footnote>
  <w:footnote w:id="658">
    <w:p w:rsidR="00AB00DE" w:rsidRPr="008012F8" w:rsidRDefault="00AB00DE" w:rsidP="00D90936">
      <w:pPr>
        <w:pStyle w:val="a4"/>
        <w:rPr>
          <w:i/>
        </w:rPr>
      </w:pPr>
      <w:r w:rsidRPr="008012F8">
        <w:tab/>
      </w:r>
      <w:r w:rsidRPr="00DF5565">
        <w:rPr>
          <w:rStyle w:val="a5"/>
        </w:rPr>
        <w:footnoteRef/>
      </w:r>
      <w:r w:rsidRPr="008012F8">
        <w:tab/>
      </w:r>
      <w:r w:rsidRPr="008012F8">
        <w:rPr>
          <w:rFonts w:ascii="宋体" w:hAnsi="宋体" w:cs="宋体" w:hint="eastAsia"/>
        </w:rPr>
        <w:t>见世贸组织上诉机构报告，</w:t>
      </w:r>
      <w:r w:rsidRPr="008012F8">
        <w:rPr>
          <w:rFonts w:eastAsia="楷体"/>
        </w:rPr>
        <w:t>美国</w:t>
      </w:r>
      <w:r w:rsidRPr="008012F8">
        <w:rPr>
          <w:rFonts w:hAnsi="Arial" w:hint="eastAsia"/>
        </w:rPr>
        <w:t>－</w:t>
      </w:r>
      <w:r w:rsidRPr="008012F8">
        <w:rPr>
          <w:rFonts w:eastAsia="楷体"/>
        </w:rPr>
        <w:t>禁止进口某些虾类和虾制品案</w:t>
      </w:r>
      <w:r w:rsidRPr="008012F8">
        <w:rPr>
          <w:rFonts w:hAnsi="Arial" w:hint="eastAsia"/>
        </w:rPr>
        <w:t>－</w:t>
      </w:r>
      <w:r w:rsidRPr="008012F8">
        <w:t>AB-1998-4, WT/DS58/</w:t>
      </w:r>
      <w:r>
        <w:rPr>
          <w:rFonts w:hint="eastAsia"/>
        </w:rPr>
        <w:t xml:space="preserve"> </w:t>
      </w:r>
      <w:r w:rsidRPr="008012F8">
        <w:t>AB/R, 1998</w:t>
      </w:r>
      <w:r w:rsidRPr="008012F8">
        <w:rPr>
          <w:rFonts w:ascii="宋体" w:hAnsi="宋体" w:cs="宋体" w:hint="eastAsia"/>
        </w:rPr>
        <w:t>年</w:t>
      </w:r>
      <w:r w:rsidRPr="008012F8">
        <w:t>11</w:t>
      </w:r>
      <w:r w:rsidRPr="008012F8">
        <w:rPr>
          <w:rFonts w:ascii="宋体" w:hAnsi="宋体" w:cs="宋体" w:hint="eastAsia"/>
        </w:rPr>
        <w:t>月</w:t>
      </w:r>
      <w:r w:rsidRPr="008012F8">
        <w:t>6</w:t>
      </w:r>
      <w:r w:rsidRPr="008012F8">
        <w:rPr>
          <w:rFonts w:ascii="宋体" w:hAnsi="宋体" w:cs="宋体" w:hint="eastAsia"/>
        </w:rPr>
        <w:t>日通过，第</w:t>
      </w:r>
      <w:r w:rsidRPr="008012F8">
        <w:t>17</w:t>
      </w:r>
      <w:r w:rsidRPr="008012F8">
        <w:rPr>
          <w:rFonts w:ascii="宋体" w:hAnsi="宋体" w:cs="宋体" w:hint="eastAsia"/>
        </w:rPr>
        <w:t>段</w:t>
      </w:r>
      <w:r w:rsidRPr="008012F8">
        <w:t>(</w:t>
      </w:r>
      <w:r w:rsidRPr="008012F8">
        <w:rPr>
          <w:rFonts w:hint="eastAsia"/>
        </w:rPr>
        <w:t>“</w:t>
      </w:r>
      <w:r w:rsidRPr="008012F8">
        <w:rPr>
          <w:rFonts w:ascii="宋体" w:hAnsi="宋体" w:cs="宋体" w:hint="eastAsia"/>
        </w:rPr>
        <w:t>大多数条约的目的和宗旨不是单一、纯粹的，而是具有各种不同，可能是冲突的目的和宗旨</w:t>
      </w:r>
      <w:r w:rsidRPr="008012F8">
        <w:rPr>
          <w:rFonts w:hint="eastAsia"/>
        </w:rPr>
        <w:t>”</w:t>
      </w:r>
      <w:r w:rsidRPr="008012F8">
        <w:rPr>
          <w:rFonts w:ascii="宋体" w:hAnsi="宋体" w:cs="宋体" w:hint="eastAsia"/>
        </w:rPr>
        <w:t>；</w:t>
      </w:r>
      <w:r w:rsidRPr="008012F8">
        <w:t>Gardiner,</w:t>
      </w:r>
      <w:r w:rsidRPr="008012F8">
        <w:rPr>
          <w:rFonts w:ascii="宋体" w:hAnsi="宋体" w:cs="宋体" w:hint="eastAsia"/>
        </w:rPr>
        <w:t>《条约解释》</w:t>
      </w:r>
      <w:r w:rsidRPr="00FA4C6D">
        <w:rPr>
          <w:rFonts w:asciiTheme="majorBidi" w:hAnsiTheme="majorBidi" w:cstheme="majorBidi"/>
        </w:rPr>
        <w:t>(</w:t>
      </w:r>
      <w:r w:rsidRPr="00FA4C6D">
        <w:rPr>
          <w:rFonts w:asciiTheme="majorBidi" w:hAnsiTheme="majorBidi" w:cstheme="majorBidi"/>
        </w:rPr>
        <w:t>见上文脚注</w:t>
      </w:r>
      <w:r w:rsidRPr="00D90936">
        <w:rPr>
          <w:rFonts w:asciiTheme="majorBidi" w:hAnsiTheme="majorBidi" w:cstheme="majorBidi"/>
        </w:rPr>
        <w:fldChar w:fldCharType="begin"/>
      </w:r>
      <w:r w:rsidRPr="00D90936">
        <w:rPr>
          <w:rFonts w:asciiTheme="majorBidi" w:hAnsiTheme="majorBidi" w:cstheme="majorBidi"/>
        </w:rPr>
        <w:instrText xml:space="preserve"> NOTEREF _Ref461971974 \h </w:instrText>
      </w:r>
      <w:r>
        <w:rPr>
          <w:rFonts w:asciiTheme="majorBidi" w:hAnsiTheme="majorBidi" w:cstheme="majorBidi"/>
        </w:rPr>
        <w:instrText xml:space="preserve"> \* MERGEFORMAT </w:instrText>
      </w:r>
      <w:r w:rsidRPr="00D90936">
        <w:rPr>
          <w:rFonts w:asciiTheme="majorBidi" w:hAnsiTheme="majorBidi" w:cstheme="majorBidi"/>
        </w:rPr>
      </w:r>
      <w:r w:rsidRPr="00D90936">
        <w:rPr>
          <w:rFonts w:asciiTheme="majorBidi" w:hAnsiTheme="majorBidi" w:cstheme="majorBidi"/>
        </w:rPr>
        <w:fldChar w:fldCharType="separate"/>
      </w:r>
      <w:r w:rsidR="00A73EB9">
        <w:rPr>
          <w:rFonts w:asciiTheme="majorBidi" w:hAnsiTheme="majorBidi" w:cstheme="majorBidi"/>
        </w:rPr>
        <w:t>392</w:t>
      </w:r>
      <w:r w:rsidRPr="00D90936">
        <w:rPr>
          <w:rFonts w:asciiTheme="majorBidi" w:hAnsiTheme="majorBidi" w:cstheme="majorBidi"/>
        </w:rPr>
        <w:fldChar w:fldCharType="end"/>
      </w:r>
      <w:r w:rsidRPr="00FA4C6D">
        <w:rPr>
          <w:rFonts w:asciiTheme="majorBidi" w:hAnsiTheme="majorBidi" w:cstheme="majorBidi"/>
        </w:rPr>
        <w:t>)</w:t>
      </w:r>
      <w:r w:rsidRPr="008012F8">
        <w:rPr>
          <w:rFonts w:ascii="宋体" w:hAnsi="宋体" w:cs="宋体" w:hint="eastAsia"/>
        </w:rPr>
        <w:t>，第</w:t>
      </w:r>
      <w:r w:rsidRPr="008012F8">
        <w:t>216</w:t>
      </w:r>
      <w:r w:rsidRPr="008012F8">
        <w:rPr>
          <w:rFonts w:ascii="宋体" w:hAnsi="宋体" w:cs="宋体" w:hint="eastAsia"/>
        </w:rPr>
        <w:t>页。</w:t>
      </w:r>
    </w:p>
  </w:footnote>
  <w:footnote w:id="659">
    <w:p w:rsidR="00AB00DE" w:rsidRPr="008012F8" w:rsidRDefault="00AB00DE" w:rsidP="00D90936">
      <w:pPr>
        <w:pStyle w:val="a4"/>
        <w:rPr>
          <w:i/>
        </w:rPr>
      </w:pPr>
      <w:r w:rsidRPr="008012F8">
        <w:tab/>
      </w:r>
      <w:r w:rsidRPr="00DF5565">
        <w:rPr>
          <w:rStyle w:val="a5"/>
        </w:rPr>
        <w:footnoteRef/>
      </w:r>
      <w:r w:rsidRPr="008012F8">
        <w:tab/>
      </w:r>
      <w:r w:rsidRPr="008012F8">
        <w:rPr>
          <w:rFonts w:eastAsia="楷体"/>
        </w:rPr>
        <w:t>卡西基里</w:t>
      </w:r>
      <w:r w:rsidRPr="008012F8">
        <w:rPr>
          <w:rFonts w:eastAsia="楷体"/>
        </w:rPr>
        <w:t>/</w:t>
      </w:r>
      <w:r w:rsidRPr="008012F8">
        <w:rPr>
          <w:rFonts w:eastAsia="楷体"/>
        </w:rPr>
        <w:t>塞杜杜岛案</w:t>
      </w:r>
      <w:r w:rsidRPr="008012F8">
        <w:t>(</w:t>
      </w:r>
      <w:r w:rsidRPr="008012F8">
        <w:rPr>
          <w:rFonts w:ascii="宋体" w:hAnsi="宋体" w:cs="宋体" w:hint="eastAsia"/>
        </w:rPr>
        <w:t>见上文脚注</w:t>
      </w:r>
      <w:r>
        <w:rPr>
          <w:lang w:val="zh-CN"/>
        </w:rPr>
        <w:fldChar w:fldCharType="begin"/>
      </w:r>
      <w:r>
        <w:rPr>
          <w:lang w:val="zh-CN"/>
        </w:rPr>
        <w:instrText xml:space="preserve"> NOTEREF _Ref461971066 \h </w:instrText>
      </w:r>
      <w:r>
        <w:rPr>
          <w:lang w:val="zh-CN"/>
        </w:rPr>
      </w:r>
      <w:r>
        <w:rPr>
          <w:lang w:val="zh-CN"/>
        </w:rPr>
        <w:fldChar w:fldCharType="separate"/>
      </w:r>
      <w:r w:rsidR="00A73EB9">
        <w:rPr>
          <w:lang w:val="zh-CN"/>
        </w:rPr>
        <w:t>395</w:t>
      </w:r>
      <w:r>
        <w:rPr>
          <w:lang w:val="zh-CN"/>
        </w:rPr>
        <w:fldChar w:fldCharType="end"/>
      </w:r>
      <w:r w:rsidRPr="000C49CF">
        <w:rPr>
          <w:rFonts w:asciiTheme="majorBidi" w:hAnsiTheme="majorBidi" w:cstheme="majorBidi" w:hint="eastAsia"/>
        </w:rPr>
        <w:t>)</w:t>
      </w:r>
      <w:r w:rsidRPr="008012F8">
        <w:rPr>
          <w:rFonts w:ascii="宋体" w:hAnsi="宋体" w:cs="宋体" w:hint="eastAsia"/>
        </w:rPr>
        <w:t>，第</w:t>
      </w:r>
      <w:r w:rsidRPr="008012F8">
        <w:t>1074</w:t>
      </w:r>
      <w:r w:rsidRPr="008012F8">
        <w:rPr>
          <w:rFonts w:ascii="宋体" w:hAnsi="宋体" w:cs="宋体" w:hint="eastAsia"/>
        </w:rPr>
        <w:t>页，第</w:t>
      </w:r>
      <w:r w:rsidRPr="008012F8">
        <w:t>45</w:t>
      </w:r>
      <w:r w:rsidRPr="008012F8">
        <w:rPr>
          <w:rFonts w:ascii="宋体" w:hAnsi="宋体" w:cs="宋体" w:hint="eastAsia"/>
        </w:rPr>
        <w:t>段。</w:t>
      </w:r>
    </w:p>
  </w:footnote>
  <w:footnote w:id="660">
    <w:p w:rsidR="00AB00DE" w:rsidRPr="008012F8" w:rsidRDefault="00AB00DE" w:rsidP="008D7906">
      <w:pPr>
        <w:pStyle w:val="a4"/>
      </w:pPr>
      <w:r w:rsidRPr="008012F8">
        <w:tab/>
      </w:r>
      <w:r w:rsidRPr="00DF5565">
        <w:rPr>
          <w:rStyle w:val="a5"/>
        </w:rPr>
        <w:footnoteRef/>
      </w:r>
      <w:r w:rsidRPr="008012F8">
        <w:tab/>
      </w:r>
      <w:r w:rsidRPr="008012F8">
        <w:rPr>
          <w:rFonts w:ascii="宋体" w:hAnsi="宋体" w:cs="宋体" w:hint="eastAsia"/>
        </w:rPr>
        <w:t>同上，见第</w:t>
      </w:r>
      <w:r w:rsidRPr="008012F8">
        <w:t>1078</w:t>
      </w:r>
      <w:r w:rsidRPr="008012F8">
        <w:rPr>
          <w:rFonts w:ascii="宋体" w:hAnsi="宋体" w:cs="宋体" w:hint="eastAsia"/>
        </w:rPr>
        <w:t>页，第</w:t>
      </w:r>
      <w:r w:rsidRPr="008012F8">
        <w:t>55</w:t>
      </w:r>
      <w:r w:rsidRPr="008012F8">
        <w:rPr>
          <w:rFonts w:ascii="宋体" w:hAnsi="宋体" w:cs="宋体" w:hint="eastAsia"/>
        </w:rPr>
        <w:t>段和第</w:t>
      </w:r>
      <w:r w:rsidRPr="008012F8">
        <w:t>1096</w:t>
      </w:r>
      <w:r w:rsidRPr="008012F8">
        <w:rPr>
          <w:rFonts w:ascii="宋体" w:hAnsi="宋体" w:cs="宋体" w:hint="eastAsia"/>
        </w:rPr>
        <w:t>页，第</w:t>
      </w:r>
      <w:r w:rsidRPr="008012F8">
        <w:t>80</w:t>
      </w:r>
      <w:r w:rsidRPr="008012F8">
        <w:rPr>
          <w:rFonts w:ascii="宋体" w:hAnsi="宋体" w:cs="宋体" w:hint="eastAsia"/>
        </w:rPr>
        <w:t>段。</w:t>
      </w:r>
    </w:p>
  </w:footnote>
  <w:footnote w:id="661">
    <w:p w:rsidR="00AB00DE" w:rsidRPr="008012F8" w:rsidRDefault="00AB00DE" w:rsidP="008D7906">
      <w:pPr>
        <w:pStyle w:val="a4"/>
      </w:pPr>
      <w:r w:rsidRPr="008012F8">
        <w:tab/>
      </w:r>
      <w:r w:rsidRPr="00DF5565">
        <w:rPr>
          <w:rStyle w:val="a5"/>
        </w:rPr>
        <w:footnoteRef/>
      </w:r>
      <w:r w:rsidRPr="008012F8">
        <w:rPr>
          <w:rFonts w:hint="eastAsia"/>
        </w:rPr>
        <w:tab/>
      </w:r>
      <w:r w:rsidRPr="008012F8">
        <w:rPr>
          <w:rFonts w:ascii="宋体" w:hAnsi="宋体" w:cs="宋体" w:hint="eastAsia"/>
        </w:rPr>
        <w:t>同上，见第</w:t>
      </w:r>
      <w:r w:rsidRPr="008012F8">
        <w:t>1077</w:t>
      </w:r>
      <w:r w:rsidRPr="008012F8">
        <w:rPr>
          <w:rFonts w:ascii="宋体" w:hAnsi="宋体" w:cs="宋体" w:hint="eastAsia"/>
        </w:rPr>
        <w:t>页，第</w:t>
      </w:r>
      <w:r w:rsidRPr="008012F8">
        <w:t>55</w:t>
      </w:r>
      <w:r w:rsidRPr="008012F8">
        <w:rPr>
          <w:rFonts w:ascii="宋体" w:hAnsi="宋体" w:cs="宋体" w:hint="eastAsia"/>
        </w:rPr>
        <w:t>段和第</w:t>
      </w:r>
      <w:r w:rsidRPr="008012F8">
        <w:t>1096</w:t>
      </w:r>
      <w:r w:rsidRPr="008012F8">
        <w:rPr>
          <w:rFonts w:ascii="宋体" w:hAnsi="宋体" w:cs="宋体" w:hint="eastAsia"/>
        </w:rPr>
        <w:t>页，第</w:t>
      </w:r>
      <w:r w:rsidRPr="008012F8">
        <w:t>80</w:t>
      </w:r>
      <w:r w:rsidRPr="008012F8">
        <w:rPr>
          <w:rFonts w:ascii="宋体" w:hAnsi="宋体" w:cs="宋体" w:hint="eastAsia"/>
        </w:rPr>
        <w:t>段。</w:t>
      </w:r>
    </w:p>
  </w:footnote>
  <w:footnote w:id="662">
    <w:p w:rsidR="00AB00DE" w:rsidRPr="008012F8" w:rsidRDefault="00AB00DE" w:rsidP="008D7906">
      <w:pPr>
        <w:pStyle w:val="a4"/>
      </w:pPr>
      <w:r w:rsidRPr="008012F8">
        <w:tab/>
      </w:r>
      <w:r w:rsidRPr="00DF5565">
        <w:rPr>
          <w:rStyle w:val="a5"/>
        </w:rPr>
        <w:footnoteRef/>
      </w:r>
      <w:r w:rsidRPr="008012F8">
        <w:rPr>
          <w:rFonts w:hint="eastAsia"/>
        </w:rPr>
        <w:tab/>
      </w:r>
      <w:r w:rsidRPr="008012F8">
        <w:rPr>
          <w:rFonts w:ascii="宋体" w:hAnsi="宋体" w:cs="宋体" w:hint="eastAsia"/>
        </w:rPr>
        <w:t>联合国，《条约汇编》，第</w:t>
      </w:r>
      <w:r w:rsidRPr="008012F8">
        <w:t>1342</w:t>
      </w:r>
      <w:r w:rsidRPr="008012F8">
        <w:rPr>
          <w:rFonts w:ascii="宋体" w:hAnsi="宋体" w:cs="宋体" w:hint="eastAsia"/>
        </w:rPr>
        <w:t>卷，第</w:t>
      </w:r>
      <w:r w:rsidRPr="008012F8">
        <w:t>22495</w:t>
      </w:r>
      <w:r w:rsidRPr="008012F8">
        <w:rPr>
          <w:rFonts w:ascii="宋体" w:hAnsi="宋体" w:cs="宋体" w:hint="eastAsia"/>
        </w:rPr>
        <w:t>号，第</w:t>
      </w:r>
      <w:r w:rsidRPr="008012F8">
        <w:t>137</w:t>
      </w:r>
      <w:r w:rsidRPr="008012F8">
        <w:rPr>
          <w:rFonts w:ascii="宋体" w:hAnsi="宋体" w:cs="宋体" w:hint="eastAsia"/>
        </w:rPr>
        <w:t>页。</w:t>
      </w:r>
    </w:p>
  </w:footnote>
  <w:footnote w:id="663">
    <w:p w:rsidR="00AB00DE" w:rsidRPr="008012F8" w:rsidRDefault="00AB00DE" w:rsidP="00267AB1">
      <w:pPr>
        <w:pStyle w:val="a4"/>
      </w:pPr>
      <w:r w:rsidRPr="008012F8">
        <w:tab/>
      </w:r>
      <w:r w:rsidRPr="00DF5565">
        <w:rPr>
          <w:rStyle w:val="a5"/>
        </w:rPr>
        <w:footnoteRef/>
      </w:r>
      <w:r w:rsidRPr="008012F8">
        <w:tab/>
      </w:r>
      <w:r w:rsidRPr="008012F8">
        <w:t>阿根廷</w:t>
      </w:r>
      <w:r w:rsidRPr="008012F8">
        <w:t>(1989</w:t>
      </w:r>
      <w:r w:rsidRPr="008012F8">
        <w:t>年</w:t>
      </w:r>
      <w:r w:rsidRPr="008012F8">
        <w:t>)</w:t>
      </w:r>
      <w:r w:rsidRPr="008012F8">
        <w:t>、加拿大</w:t>
      </w:r>
      <w:r w:rsidRPr="008012F8">
        <w:t>(20</w:t>
      </w:r>
      <w:r w:rsidRPr="008012F8">
        <w:rPr>
          <w:rFonts w:hint="eastAsia"/>
        </w:rPr>
        <w:t>01</w:t>
      </w:r>
      <w:r w:rsidRPr="008012F8">
        <w:t>年</w:t>
      </w:r>
      <w:r w:rsidRPr="008012F8">
        <w:t>)</w:t>
      </w:r>
      <w:r w:rsidRPr="008012F8">
        <w:t>和联合王国</w:t>
      </w:r>
      <w:r w:rsidRPr="008012F8">
        <w:t>(2004</w:t>
      </w:r>
      <w:r w:rsidRPr="008012F8">
        <w:t>年</w:t>
      </w:r>
      <w:r w:rsidRPr="008012F8">
        <w:t>)</w:t>
      </w:r>
      <w:r w:rsidRPr="008012F8">
        <w:t>的军事指南，见</w:t>
      </w:r>
      <w:r w:rsidRPr="008012F8">
        <w:t>Henckaerts</w:t>
      </w:r>
      <w:r w:rsidRPr="008012F8">
        <w:t>和</w:t>
      </w:r>
      <w:r w:rsidRPr="008012F8">
        <w:t>Doswald-Beck,</w:t>
      </w:r>
      <w:r w:rsidRPr="008012F8">
        <w:t>《国际人道主义习惯法》，</w:t>
      </w:r>
      <w:r w:rsidRPr="008012F8">
        <w:rPr>
          <w:rFonts w:ascii="Time New Roman" w:eastAsia="楷体" w:hAnsi="Time New Roman"/>
        </w:rPr>
        <w:t>第</w:t>
      </w:r>
      <w:r w:rsidRPr="008012F8">
        <w:rPr>
          <w:rFonts w:ascii="Time New Roman" w:eastAsia="楷体" w:hAnsi="Time New Roman"/>
        </w:rPr>
        <w:t>2</w:t>
      </w:r>
      <w:r w:rsidRPr="008012F8">
        <w:rPr>
          <w:rFonts w:ascii="Time New Roman" w:eastAsia="楷体" w:hAnsi="Time New Roman"/>
        </w:rPr>
        <w:t>卷</w:t>
      </w:r>
      <w:r w:rsidRPr="008012F8">
        <w:rPr>
          <w:rFonts w:hint="eastAsia"/>
        </w:rPr>
        <w:t>……</w:t>
      </w:r>
      <w:r w:rsidRPr="008012F8">
        <w:t>(</w:t>
      </w:r>
      <w:r w:rsidRPr="008012F8">
        <w:t>上文脚注</w:t>
      </w:r>
      <w:r w:rsidRPr="00267AB1">
        <w:rPr>
          <w:rFonts w:asciiTheme="majorBidi" w:hAnsiTheme="majorBidi" w:cstheme="majorBidi"/>
        </w:rPr>
        <w:fldChar w:fldCharType="begin"/>
      </w:r>
      <w:r w:rsidRPr="00267AB1">
        <w:rPr>
          <w:rFonts w:asciiTheme="majorBidi" w:hAnsiTheme="majorBidi" w:cstheme="majorBidi"/>
        </w:rPr>
        <w:instrText xml:space="preserve"> NOTEREF _Ref461973404 \h </w:instrText>
      </w:r>
      <w:r>
        <w:rPr>
          <w:rFonts w:asciiTheme="majorBidi" w:hAnsiTheme="majorBidi" w:cstheme="majorBidi"/>
        </w:rPr>
        <w:instrText xml:space="preserve"> \* MERGEFORMAT </w:instrText>
      </w:r>
      <w:r w:rsidRPr="00267AB1">
        <w:rPr>
          <w:rFonts w:asciiTheme="majorBidi" w:hAnsiTheme="majorBidi" w:cstheme="majorBidi"/>
        </w:rPr>
      </w:r>
      <w:r w:rsidRPr="00267AB1">
        <w:rPr>
          <w:rFonts w:asciiTheme="majorBidi" w:hAnsiTheme="majorBidi" w:cstheme="majorBidi"/>
        </w:rPr>
        <w:fldChar w:fldCharType="separate"/>
      </w:r>
      <w:r w:rsidR="00A73EB9">
        <w:rPr>
          <w:rFonts w:asciiTheme="majorBidi" w:hAnsiTheme="majorBidi" w:cstheme="majorBidi"/>
        </w:rPr>
        <w:t>601</w:t>
      </w:r>
      <w:r w:rsidRPr="00267AB1">
        <w:rPr>
          <w:rFonts w:asciiTheme="majorBidi" w:hAnsiTheme="majorBidi" w:cstheme="majorBidi"/>
        </w:rPr>
        <w:fldChar w:fldCharType="end"/>
      </w:r>
      <w:r w:rsidRPr="008012F8">
        <w:t>)</w:t>
      </w:r>
      <w:r w:rsidRPr="008012F8">
        <w:t>，第</w:t>
      </w:r>
      <w:r w:rsidRPr="008012F8">
        <w:t>359-360</w:t>
      </w:r>
      <w:r w:rsidRPr="008012F8">
        <w:t>页，第</w:t>
      </w:r>
      <w:r w:rsidRPr="008012F8">
        <w:t>160-164</w:t>
      </w:r>
      <w:r w:rsidRPr="008012F8">
        <w:t>段，以及澳大利亚军事指南网上最新版</w:t>
      </w:r>
      <w:r w:rsidRPr="008012F8">
        <w:t>(2006</w:t>
      </w:r>
      <w:r w:rsidRPr="008012F8">
        <w:t>年</w:t>
      </w:r>
      <w:r w:rsidRPr="008012F8">
        <w:t>)(</w:t>
      </w:r>
      <w:hyperlink r:id="rId78" w:history="1">
        <w:r w:rsidRPr="0092034E">
          <w:rPr>
            <w:rStyle w:val="af"/>
            <w:spacing w:val="-10"/>
          </w:rPr>
          <w:t>www.icrc.org/customary-ihl/eng/docs/v2_rul_rule15_</w:t>
        </w:r>
      </w:hyperlink>
      <w:r>
        <w:rPr>
          <w:rFonts w:hint="eastAsia"/>
          <w:spacing w:val="-10"/>
        </w:rPr>
        <w:t xml:space="preserve"> </w:t>
      </w:r>
      <w:r w:rsidRPr="00C90F38">
        <w:rPr>
          <w:spacing w:val="-10"/>
        </w:rPr>
        <w:t>sectionc</w:t>
      </w:r>
      <w:r w:rsidRPr="008012F8">
        <w:t>)</w:t>
      </w:r>
      <w:r w:rsidRPr="008012F8">
        <w:t>；另见</w:t>
      </w:r>
      <w:r w:rsidRPr="008012F8">
        <w:t>Sandoz</w:t>
      </w:r>
      <w:r w:rsidRPr="008012F8">
        <w:t>、</w:t>
      </w:r>
      <w:r w:rsidRPr="008012F8">
        <w:t>Swinarski</w:t>
      </w:r>
      <w:r w:rsidRPr="008012F8">
        <w:t>和</w:t>
      </w:r>
      <w:r w:rsidRPr="008012F8">
        <w:t>Zimmermann,</w:t>
      </w:r>
      <w:r w:rsidRPr="008012F8">
        <w:t>《对</w:t>
      </w:r>
      <w:r w:rsidRPr="008012F8">
        <w:rPr>
          <w:rFonts w:hint="eastAsia"/>
        </w:rPr>
        <w:t>……</w:t>
      </w:r>
      <w:r w:rsidRPr="008012F8">
        <w:t>附加议定书的评注》</w:t>
      </w:r>
      <w:r w:rsidRPr="008012F8">
        <w:t>(</w:t>
      </w:r>
      <w:r w:rsidRPr="008012F8">
        <w:t>上文脚注</w:t>
      </w:r>
      <w:r>
        <w:fldChar w:fldCharType="begin"/>
      </w:r>
      <w:r>
        <w:instrText xml:space="preserve"> NOTEREF _Ref461973446 \h </w:instrText>
      </w:r>
      <w:r>
        <w:fldChar w:fldCharType="separate"/>
      </w:r>
      <w:r w:rsidR="00A73EB9">
        <w:t>648</w:t>
      </w:r>
      <w:r>
        <w:fldChar w:fldCharType="end"/>
      </w:r>
      <w:r w:rsidRPr="008012F8">
        <w:t>)</w:t>
      </w:r>
      <w:r w:rsidRPr="008012F8">
        <w:t>，第</w:t>
      </w:r>
      <w:r w:rsidRPr="008012F8">
        <w:t>683</w:t>
      </w:r>
      <w:r w:rsidRPr="008012F8">
        <w:t>页，第</w:t>
      </w:r>
      <w:r w:rsidRPr="008012F8">
        <w:t>2202</w:t>
      </w:r>
      <w:r w:rsidRPr="008012F8">
        <w:t>段。</w:t>
      </w:r>
    </w:p>
  </w:footnote>
  <w:footnote w:id="664">
    <w:p w:rsidR="00AB00DE" w:rsidRPr="008012F8" w:rsidRDefault="00AB00DE" w:rsidP="008D7906">
      <w:pPr>
        <w:pStyle w:val="a4"/>
      </w:pPr>
      <w:r w:rsidRPr="008012F8">
        <w:tab/>
      </w:r>
      <w:r w:rsidRPr="00DF5565">
        <w:rPr>
          <w:rStyle w:val="a5"/>
        </w:rPr>
        <w:footnoteRef/>
      </w:r>
      <w:r w:rsidRPr="008012F8">
        <w:rPr>
          <w:rFonts w:hint="eastAsia"/>
        </w:rPr>
        <w:tab/>
      </w:r>
      <w:r w:rsidRPr="008012F8">
        <w:t>联合王国，上议院，</w:t>
      </w:r>
      <w:r w:rsidRPr="008012F8">
        <w:rPr>
          <w:i/>
        </w:rPr>
        <w:t>Fothergill</w:t>
      </w:r>
      <w:r w:rsidRPr="00DF5565">
        <w:rPr>
          <w:rFonts w:eastAsia="楷体"/>
        </w:rPr>
        <w:t>诉君主航空有限公司案</w:t>
      </w:r>
      <w:r w:rsidRPr="008012F8">
        <w:t xml:space="preserve">[1981] AC 251, </w:t>
      </w:r>
      <w:r w:rsidRPr="008012F8">
        <w:t>第</w:t>
      </w:r>
      <w:r w:rsidRPr="008012F8">
        <w:t>278</w:t>
      </w:r>
      <w:r w:rsidRPr="008012F8">
        <w:t>页</w:t>
      </w:r>
      <w:r w:rsidRPr="008012F8">
        <w:t>(Wilberforce</w:t>
      </w:r>
      <w:r w:rsidRPr="008012F8">
        <w:t>勋爵</w:t>
      </w:r>
      <w:r w:rsidRPr="008012F8">
        <w:t>)</w:t>
      </w:r>
      <w:r w:rsidRPr="008012F8">
        <w:t>和第</w:t>
      </w:r>
      <w:r w:rsidRPr="008012F8">
        <w:t>279</w:t>
      </w:r>
      <w:r w:rsidRPr="008012F8">
        <w:t>页</w:t>
      </w:r>
      <w:r w:rsidRPr="008012F8">
        <w:t>(Diplock</w:t>
      </w:r>
      <w:r w:rsidRPr="008012F8">
        <w:t>勋爵</w:t>
      </w:r>
      <w:r w:rsidRPr="008012F8">
        <w:t>)</w:t>
      </w:r>
      <w:r w:rsidRPr="008012F8">
        <w:t>；类似的案件见德国，联邦法院</w:t>
      </w:r>
      <w:r w:rsidRPr="008012F8">
        <w:t>(</w:t>
      </w:r>
      <w:r w:rsidRPr="008012F8">
        <w:t>民事事项</w:t>
      </w:r>
      <w:r w:rsidRPr="008012F8">
        <w:t>)</w:t>
      </w:r>
      <w:r w:rsidRPr="008012F8">
        <w:t>，</w:t>
      </w:r>
      <w:r w:rsidRPr="008012F8">
        <w:t xml:space="preserve">BGHZ, </w:t>
      </w:r>
      <w:r w:rsidRPr="008012F8">
        <w:t>第</w:t>
      </w:r>
      <w:r w:rsidRPr="008012F8">
        <w:t>84</w:t>
      </w:r>
      <w:r w:rsidRPr="008012F8">
        <w:t>卷，第</w:t>
      </w:r>
      <w:r w:rsidRPr="008012F8">
        <w:t>339</w:t>
      </w:r>
      <w:r w:rsidRPr="008012F8">
        <w:t>页起，见第</w:t>
      </w:r>
      <w:r w:rsidRPr="008012F8">
        <w:t>343-344</w:t>
      </w:r>
      <w:r w:rsidRPr="008012F8">
        <w:t>页。</w:t>
      </w:r>
    </w:p>
  </w:footnote>
  <w:footnote w:id="665">
    <w:p w:rsidR="00AB00DE" w:rsidRPr="008012F8" w:rsidRDefault="00AB00DE" w:rsidP="008D7906">
      <w:pPr>
        <w:pStyle w:val="a4"/>
      </w:pPr>
      <w:r w:rsidRPr="008012F8">
        <w:tab/>
      </w:r>
      <w:r w:rsidRPr="00DF5565">
        <w:rPr>
          <w:rStyle w:val="a5"/>
        </w:rPr>
        <w:footnoteRef/>
      </w:r>
      <w:r w:rsidRPr="008012F8">
        <w:tab/>
      </w:r>
      <w:r w:rsidRPr="008012F8">
        <w:t>美国，</w:t>
      </w:r>
      <w:r w:rsidRPr="008012F8">
        <w:rPr>
          <w:rFonts w:ascii="宋体" w:hAnsi="宋体" w:cs="宋体"/>
        </w:rPr>
        <w:t>最高法院</w:t>
      </w:r>
      <w:r w:rsidRPr="008012F8">
        <w:rPr>
          <w:rFonts w:hint="eastAsia"/>
        </w:rPr>
        <w:t>，</w:t>
      </w:r>
      <w:r w:rsidRPr="00DF5565">
        <w:rPr>
          <w:rFonts w:eastAsia="楷体"/>
        </w:rPr>
        <w:t>法国航空公司诉</w:t>
      </w:r>
      <w:r w:rsidRPr="008012F8">
        <w:rPr>
          <w:i/>
        </w:rPr>
        <w:t>Saks</w:t>
      </w:r>
      <w:r w:rsidRPr="00DF5565">
        <w:rPr>
          <w:rFonts w:eastAsia="楷体"/>
        </w:rPr>
        <w:t>案</w:t>
      </w:r>
      <w:r w:rsidRPr="008012F8">
        <w:t>，</w:t>
      </w:r>
      <w:r w:rsidRPr="008012F8">
        <w:t xml:space="preserve">470 U.S. 392, </w:t>
      </w:r>
      <w:r w:rsidRPr="008012F8">
        <w:t>第</w:t>
      </w:r>
      <w:r w:rsidRPr="008012F8">
        <w:t>403-404</w:t>
      </w:r>
      <w:r w:rsidRPr="008012F8">
        <w:t>页。</w:t>
      </w:r>
    </w:p>
  </w:footnote>
  <w:footnote w:id="666">
    <w:p w:rsidR="00AB00DE" w:rsidRPr="008012F8" w:rsidRDefault="00AB00DE" w:rsidP="008D7906">
      <w:pPr>
        <w:pStyle w:val="a4"/>
      </w:pPr>
      <w:r w:rsidRPr="008012F8">
        <w:tab/>
      </w:r>
      <w:r w:rsidRPr="00DF5565">
        <w:rPr>
          <w:rStyle w:val="a5"/>
        </w:rPr>
        <w:footnoteRef/>
      </w:r>
      <w:r w:rsidRPr="008012F8">
        <w:tab/>
      </w:r>
      <w:r w:rsidRPr="008012F8">
        <w:t>澳大利亚，澳大利亚联邦法院，</w:t>
      </w:r>
      <w:r w:rsidRPr="00DF5565">
        <w:rPr>
          <w:rFonts w:eastAsia="楷体"/>
        </w:rPr>
        <w:t>澳大利亚联邦警察专员和澳大利亚联邦诉</w:t>
      </w:r>
      <w:r w:rsidRPr="008012F8">
        <w:rPr>
          <w:i/>
        </w:rPr>
        <w:t>Geraldo Magno</w:t>
      </w:r>
      <w:r w:rsidRPr="00DF5565">
        <w:rPr>
          <w:rFonts w:eastAsia="楷体"/>
        </w:rPr>
        <w:t>和</w:t>
      </w:r>
      <w:r w:rsidRPr="008012F8">
        <w:rPr>
          <w:i/>
        </w:rPr>
        <w:t>Ines Almeida</w:t>
      </w:r>
      <w:r w:rsidRPr="00DF5565">
        <w:rPr>
          <w:rFonts w:eastAsia="楷体"/>
        </w:rPr>
        <w:t>案</w:t>
      </w:r>
      <w:r w:rsidRPr="008012F8">
        <w:t xml:space="preserve">[1992] FCA 566, </w:t>
      </w:r>
      <w:r w:rsidRPr="008012F8">
        <w:t>第</w:t>
      </w:r>
      <w:r w:rsidRPr="008012F8">
        <w:t>30-35</w:t>
      </w:r>
      <w:r w:rsidRPr="008012F8">
        <w:t>段</w:t>
      </w:r>
      <w:r w:rsidRPr="008012F8">
        <w:t>(Einfeld J.)</w:t>
      </w:r>
      <w:r w:rsidRPr="008012F8">
        <w:t>；另见联合王国，上议院，</w:t>
      </w:r>
      <w:r w:rsidRPr="008012F8">
        <w:rPr>
          <w:i/>
        </w:rPr>
        <w:t>R(Mullen)</w:t>
      </w:r>
      <w:r w:rsidRPr="00DF5565">
        <w:rPr>
          <w:rFonts w:eastAsia="楷体"/>
        </w:rPr>
        <w:t>诉内政大臣案</w:t>
      </w:r>
      <w:r w:rsidRPr="008012F8">
        <w:t xml:space="preserve">[2004] UKHL18, </w:t>
      </w:r>
      <w:r w:rsidRPr="008012F8">
        <w:t>第</w:t>
      </w:r>
      <w:r w:rsidRPr="008012F8">
        <w:t>47-48</w:t>
      </w:r>
      <w:r w:rsidRPr="008012F8">
        <w:t>段</w:t>
      </w:r>
      <w:r w:rsidRPr="008012F8">
        <w:t>(Steyn</w:t>
      </w:r>
      <w:r w:rsidRPr="008012F8">
        <w:t>勋爵</w:t>
      </w:r>
      <w:r w:rsidRPr="008012F8">
        <w:t>)</w:t>
      </w:r>
      <w:r w:rsidRPr="008012F8">
        <w:t>。</w:t>
      </w:r>
    </w:p>
  </w:footnote>
  <w:footnote w:id="667">
    <w:p w:rsidR="00AB00DE" w:rsidRPr="008012F8" w:rsidRDefault="00AB00DE" w:rsidP="008D7906">
      <w:pPr>
        <w:pStyle w:val="a4"/>
      </w:pPr>
      <w:r w:rsidRPr="008012F8">
        <w:tab/>
      </w:r>
      <w:r w:rsidRPr="00DF5565">
        <w:rPr>
          <w:rStyle w:val="a5"/>
        </w:rPr>
        <w:footnoteRef/>
      </w:r>
      <w:r w:rsidRPr="008012F8">
        <w:tab/>
      </w:r>
      <w:r w:rsidRPr="008012F8">
        <w:t>例如，见</w:t>
      </w:r>
      <w:r w:rsidRPr="008012F8">
        <w:rPr>
          <w:rFonts w:ascii="宋体" w:hAnsi="宋体" w:cs="宋体"/>
        </w:rPr>
        <w:t>美国</w:t>
      </w:r>
      <w:r w:rsidRPr="008012F8">
        <w:t>，最高法院，</w:t>
      </w:r>
      <w:r w:rsidRPr="00DF5565">
        <w:rPr>
          <w:rFonts w:eastAsia="楷体"/>
        </w:rPr>
        <w:t>法国航空公司诉</w:t>
      </w:r>
      <w:r w:rsidRPr="008012F8">
        <w:rPr>
          <w:i/>
        </w:rPr>
        <w:t>Saks</w:t>
      </w:r>
      <w:r w:rsidRPr="00DF5565">
        <w:rPr>
          <w:rFonts w:eastAsia="楷体"/>
        </w:rPr>
        <w:t>案</w:t>
      </w:r>
      <w:r w:rsidRPr="008012F8">
        <w:t>，</w:t>
      </w:r>
      <w:r w:rsidRPr="008012F8">
        <w:t xml:space="preserve">470 U.S. 392, </w:t>
      </w:r>
      <w:r w:rsidRPr="008012F8">
        <w:t>第</w:t>
      </w:r>
      <w:r w:rsidRPr="008012F8">
        <w:t>397-407</w:t>
      </w:r>
      <w:r w:rsidRPr="008012F8">
        <w:t>页；美国，最高法院，</w:t>
      </w:r>
      <w:r w:rsidRPr="008012F8">
        <w:rPr>
          <w:i/>
        </w:rPr>
        <w:t>Abbott</w:t>
      </w:r>
      <w:r w:rsidRPr="00DF5565">
        <w:rPr>
          <w:rFonts w:eastAsia="楷体"/>
        </w:rPr>
        <w:t>诉</w:t>
      </w:r>
      <w:r w:rsidRPr="008012F8">
        <w:rPr>
          <w:i/>
        </w:rPr>
        <w:t>Abbott</w:t>
      </w:r>
      <w:r w:rsidRPr="00DF5565">
        <w:rPr>
          <w:rFonts w:eastAsia="楷体"/>
        </w:rPr>
        <w:t>案，</w:t>
      </w:r>
      <w:r w:rsidRPr="008012F8">
        <w:t>560 U.S.(2010)</w:t>
      </w:r>
      <w:r w:rsidRPr="008012F8">
        <w:t>，法院意见书</w:t>
      </w:r>
      <w:r w:rsidRPr="008012F8">
        <w:t>(</w:t>
      </w:r>
      <w:r w:rsidRPr="008012F8">
        <w:t>肯尼迪法官撰写</w:t>
      </w:r>
      <w:r w:rsidRPr="008012F8">
        <w:t>)</w:t>
      </w:r>
      <w:r w:rsidRPr="008012F8">
        <w:t>，意见原文单</w:t>
      </w:r>
      <w:r w:rsidRPr="008012F8">
        <w:t>(www.supremecourt.gov/opinions/09pdf/08-645.pdf)(2016</w:t>
      </w:r>
      <w:r w:rsidRPr="008012F8">
        <w:t>年</w:t>
      </w:r>
      <w:r w:rsidRPr="008012F8">
        <w:t>6</w:t>
      </w:r>
      <w:r w:rsidRPr="008012F8">
        <w:t>月</w:t>
      </w:r>
      <w:r w:rsidRPr="008012F8">
        <w:t>9</w:t>
      </w:r>
      <w:r w:rsidRPr="008012F8">
        <w:t>日查阅</w:t>
      </w:r>
      <w:r w:rsidRPr="008012F8">
        <w:t>)</w:t>
      </w:r>
      <w:r w:rsidRPr="008012F8">
        <w:t>，见第</w:t>
      </w:r>
      <w:r w:rsidRPr="008012F8">
        <w:t>12-16</w:t>
      </w:r>
      <w:r w:rsidRPr="008012F8">
        <w:t>页；德国，联邦行政法院，</w:t>
      </w:r>
      <w:r>
        <w:t>BVerwGE,</w:t>
      </w:r>
      <w:r w:rsidRPr="008012F8">
        <w:t>第</w:t>
      </w:r>
      <w:r w:rsidRPr="008012F8">
        <w:t>139</w:t>
      </w:r>
      <w:r w:rsidRPr="008012F8">
        <w:t>卷，第</w:t>
      </w:r>
      <w:r w:rsidRPr="008012F8">
        <w:t>272</w:t>
      </w:r>
      <w:r w:rsidRPr="008012F8">
        <w:t>页，见第</w:t>
      </w:r>
      <w:r w:rsidRPr="008012F8">
        <w:t>288-289</w:t>
      </w:r>
      <w:r w:rsidRPr="008012F8">
        <w:t>页；澳大利亚高等法院，</w:t>
      </w:r>
      <w:r w:rsidRPr="008012F8">
        <w:rPr>
          <w:i/>
        </w:rPr>
        <w:t>Macoun</w:t>
      </w:r>
      <w:r w:rsidRPr="00DF5565">
        <w:rPr>
          <w:rFonts w:eastAsia="楷体"/>
        </w:rPr>
        <w:t>诉税务专员案</w:t>
      </w:r>
      <w:r w:rsidRPr="008012F8">
        <w:t xml:space="preserve">[2015] HCA 44, </w:t>
      </w:r>
      <w:r w:rsidRPr="008012F8">
        <w:t>见第</w:t>
      </w:r>
      <w:r w:rsidRPr="008012F8">
        <w:t>75-82</w:t>
      </w:r>
      <w:r w:rsidRPr="008012F8">
        <w:t>页。</w:t>
      </w:r>
    </w:p>
  </w:footnote>
  <w:footnote w:id="668">
    <w:p w:rsidR="00AB00DE" w:rsidRPr="008012F8" w:rsidRDefault="00AB00DE" w:rsidP="008D7906">
      <w:pPr>
        <w:pStyle w:val="a4"/>
      </w:pPr>
      <w:r w:rsidRPr="008012F8">
        <w:tab/>
      </w:r>
      <w:r w:rsidRPr="00DF5565">
        <w:rPr>
          <w:rStyle w:val="a5"/>
        </w:rPr>
        <w:footnoteRef/>
      </w:r>
      <w:r w:rsidRPr="008012F8">
        <w:rPr>
          <w:rFonts w:hint="eastAsia"/>
        </w:rPr>
        <w:tab/>
      </w:r>
      <w:r w:rsidRPr="008012F8">
        <w:t>A. Tzanakopulos,</w:t>
      </w:r>
      <w:r w:rsidRPr="008012F8">
        <w:rPr>
          <w:rFonts w:hint="eastAsia"/>
        </w:rPr>
        <w:t>“</w:t>
      </w:r>
      <w:r w:rsidRPr="008012F8">
        <w:t>Judicial dialogue as a means of interpretation</w:t>
      </w:r>
      <w:r w:rsidRPr="008012F8">
        <w:rPr>
          <w:rFonts w:hint="eastAsia"/>
        </w:rPr>
        <w:t>”</w:t>
      </w:r>
      <w:r w:rsidRPr="008012F8">
        <w:t>，</w:t>
      </w:r>
      <w:r w:rsidRPr="008012F8">
        <w:t xml:space="preserve">in </w:t>
      </w:r>
      <w:r w:rsidRPr="008012F8">
        <w:rPr>
          <w:i/>
          <w:iCs/>
        </w:rPr>
        <w:t xml:space="preserve">The Interpretation of International Law by Domestic Courts: Uniformity, Diversity, Convergence, </w:t>
      </w:r>
      <w:r w:rsidRPr="008012F8">
        <w:t>H.P. Aust and G. Nolte, eds. (Oxford, Oxford University Press, 2016)</w:t>
      </w:r>
      <w:r w:rsidRPr="008012F8">
        <w:t>，</w:t>
      </w:r>
      <w:r w:rsidRPr="008012F8">
        <w:t>p. 72, at p. 94</w:t>
      </w:r>
      <w:r w:rsidRPr="008012F8">
        <w:t>；</w:t>
      </w:r>
      <w:r w:rsidRPr="008012F8">
        <w:t>E. Benvenisti,</w:t>
      </w:r>
      <w:r w:rsidRPr="008012F8">
        <w:rPr>
          <w:rFonts w:hint="eastAsia"/>
        </w:rPr>
        <w:t>“</w:t>
      </w:r>
      <w:r w:rsidRPr="008012F8">
        <w:t>Reclaiming democracy: the strategic uses of foreign and international law by national courts</w:t>
      </w:r>
      <w:r w:rsidRPr="008012F8">
        <w:rPr>
          <w:rFonts w:hint="eastAsia"/>
        </w:rPr>
        <w:t>”</w:t>
      </w:r>
      <w:r w:rsidRPr="008012F8">
        <w:t>，</w:t>
      </w:r>
      <w:r w:rsidRPr="008012F8">
        <w:rPr>
          <w:i/>
        </w:rPr>
        <w:t xml:space="preserve">American Journal of International Law, </w:t>
      </w:r>
      <w:r w:rsidRPr="008012F8">
        <w:t>vol. 102 (2008)</w:t>
      </w:r>
      <w:r w:rsidRPr="008012F8">
        <w:t>，</w:t>
      </w:r>
      <w:r>
        <w:t>at pp. 241-274</w:t>
      </w:r>
      <w:r>
        <w:rPr>
          <w:rFonts w:hint="eastAsia"/>
        </w:rPr>
        <w:t>。</w:t>
      </w:r>
    </w:p>
  </w:footnote>
  <w:footnote w:id="669">
    <w:p w:rsidR="00AB00DE" w:rsidRPr="008012F8" w:rsidRDefault="00AB00DE" w:rsidP="008D7906">
      <w:pPr>
        <w:pStyle w:val="a4"/>
      </w:pPr>
      <w:r w:rsidRPr="008012F8">
        <w:tab/>
      </w:r>
      <w:r w:rsidRPr="00DF5565">
        <w:rPr>
          <w:rStyle w:val="a5"/>
        </w:rPr>
        <w:footnoteRef/>
      </w:r>
      <w:r w:rsidRPr="008012F8">
        <w:tab/>
      </w:r>
      <w:r w:rsidRPr="008012F8">
        <w:t>联合王国，最高法院</w:t>
      </w:r>
      <w:r w:rsidRPr="008012F8">
        <w:rPr>
          <w:rFonts w:hint="eastAsia"/>
        </w:rPr>
        <w:t>，</w:t>
      </w:r>
      <w:r w:rsidRPr="008012F8">
        <w:rPr>
          <w:i/>
        </w:rPr>
        <w:t>R (Adams)</w:t>
      </w:r>
      <w:r w:rsidRPr="008012F8">
        <w:rPr>
          <w:rFonts w:eastAsia="楷体"/>
        </w:rPr>
        <w:t>诉司法大臣案</w:t>
      </w:r>
      <w:r w:rsidRPr="008012F8">
        <w:t xml:space="preserve">[2011] UKSC 18, </w:t>
      </w:r>
      <w:r w:rsidRPr="008012F8">
        <w:t>第</w:t>
      </w:r>
      <w:r w:rsidRPr="008012F8">
        <w:t>17</w:t>
      </w:r>
      <w:r w:rsidRPr="008012F8">
        <w:t>段</w:t>
      </w:r>
      <w:r w:rsidRPr="008012F8">
        <w:t>(Philips</w:t>
      </w:r>
      <w:r w:rsidRPr="008012F8">
        <w:t>勋爵</w:t>
      </w:r>
      <w:r w:rsidRPr="008012F8">
        <w:t>)(</w:t>
      </w:r>
      <w:r w:rsidRPr="008012F8">
        <w:rPr>
          <w:rFonts w:hint="eastAsia"/>
        </w:rPr>
        <w:t>“</w:t>
      </w:r>
      <w:r w:rsidRPr="008012F8">
        <w:t>《公民权利和政治权利国际公约》的许多签署国中唯一一个国家的这种惯例没有为第十四条第</w:t>
      </w:r>
      <w:r w:rsidRPr="008012F8">
        <w:t>6</w:t>
      </w:r>
      <w:r w:rsidRPr="008012F8">
        <w:t>款的含义提供指导</w:t>
      </w:r>
      <w:r w:rsidRPr="008012F8">
        <w:rPr>
          <w:rFonts w:hint="eastAsia"/>
        </w:rPr>
        <w:t>……</w:t>
      </w:r>
      <w:r w:rsidRPr="008012F8">
        <w:t>不能认为存在签署国有助于确定第十四条第</w:t>
      </w:r>
      <w:r w:rsidRPr="008012F8">
        <w:t>6</w:t>
      </w:r>
      <w:r w:rsidRPr="008012F8">
        <w:t>款含义的任何一致惯例</w:t>
      </w:r>
      <w:r w:rsidRPr="008012F8">
        <w:rPr>
          <w:rFonts w:hint="eastAsia"/>
        </w:rPr>
        <w:t>”</w:t>
      </w:r>
      <w:r w:rsidRPr="008012F8">
        <w:t>)</w:t>
      </w:r>
      <w:r w:rsidRPr="008012F8">
        <w:t>。</w:t>
      </w:r>
    </w:p>
  </w:footnote>
  <w:footnote w:id="670">
    <w:p w:rsidR="00AB00DE" w:rsidRPr="008012F8" w:rsidRDefault="00AB00DE" w:rsidP="008D7906">
      <w:pPr>
        <w:pStyle w:val="a4"/>
      </w:pPr>
      <w:r w:rsidRPr="008012F8">
        <w:tab/>
      </w:r>
      <w:r w:rsidRPr="00DF5565">
        <w:rPr>
          <w:rStyle w:val="a5"/>
        </w:rPr>
        <w:footnoteRef/>
      </w:r>
      <w:r w:rsidRPr="008012F8">
        <w:tab/>
      </w:r>
      <w:r w:rsidRPr="008012F8">
        <w:rPr>
          <w:rFonts w:ascii="宋体" w:hAnsi="宋体" w:cs="宋体" w:hint="eastAsia"/>
        </w:rPr>
        <w:t>联合王国，上议院，</w:t>
      </w:r>
      <w:r w:rsidRPr="008012F8">
        <w:rPr>
          <w:i/>
        </w:rPr>
        <w:t>King</w:t>
      </w:r>
      <w:r w:rsidRPr="00DF5565">
        <w:rPr>
          <w:rFonts w:eastAsia="楷体"/>
          <w:iCs/>
        </w:rPr>
        <w:t>诉</w:t>
      </w:r>
      <w:r w:rsidRPr="008012F8">
        <w:rPr>
          <w:i/>
        </w:rPr>
        <w:t>Bristow</w:t>
      </w:r>
      <w:r w:rsidRPr="00DF5565">
        <w:rPr>
          <w:rFonts w:eastAsia="楷体"/>
        </w:rPr>
        <w:t>直升机有限公司</w:t>
      </w:r>
      <w:r w:rsidRPr="00DF5565">
        <w:rPr>
          <w:rFonts w:eastAsia="楷体"/>
        </w:rPr>
        <w:t>(</w:t>
      </w:r>
      <w:r w:rsidRPr="00DF5565">
        <w:rPr>
          <w:rFonts w:eastAsia="楷体"/>
        </w:rPr>
        <w:t>苏格兰</w:t>
      </w:r>
      <w:r w:rsidRPr="00DF5565">
        <w:rPr>
          <w:rFonts w:eastAsia="楷体"/>
        </w:rPr>
        <w:t>)</w:t>
      </w:r>
      <w:r w:rsidRPr="00DF5565">
        <w:rPr>
          <w:rFonts w:eastAsia="楷体"/>
        </w:rPr>
        <w:t>案</w:t>
      </w:r>
      <w:r w:rsidRPr="008012F8">
        <w:t xml:space="preserve">[2002] UKHL 7, </w:t>
      </w:r>
      <w:r w:rsidRPr="008012F8">
        <w:rPr>
          <w:rFonts w:ascii="宋体" w:hAnsi="宋体" w:cs="宋体" w:hint="eastAsia"/>
        </w:rPr>
        <w:t>第</w:t>
      </w:r>
      <w:r w:rsidRPr="008012F8">
        <w:t>81</w:t>
      </w:r>
      <w:r w:rsidRPr="008012F8">
        <w:rPr>
          <w:rFonts w:ascii="宋体" w:hAnsi="宋体" w:cs="宋体" w:hint="eastAsia"/>
        </w:rPr>
        <w:t>段。</w:t>
      </w:r>
    </w:p>
  </w:footnote>
  <w:footnote w:id="671">
    <w:p w:rsidR="00AB00DE" w:rsidRPr="008012F8" w:rsidRDefault="00AB00DE" w:rsidP="008D7906">
      <w:pPr>
        <w:pStyle w:val="a4"/>
      </w:pPr>
      <w:r w:rsidRPr="008012F8">
        <w:tab/>
      </w:r>
      <w:r w:rsidRPr="00DF5565">
        <w:rPr>
          <w:rStyle w:val="a5"/>
        </w:rPr>
        <w:footnoteRef/>
      </w:r>
      <w:r w:rsidRPr="008012F8">
        <w:tab/>
      </w:r>
      <w:r w:rsidRPr="008012F8">
        <w:t>同上，见第</w:t>
      </w:r>
      <w:r w:rsidRPr="008012F8">
        <w:t>7</w:t>
      </w:r>
      <w:r w:rsidRPr="008012F8">
        <w:t>段</w:t>
      </w:r>
      <w:r w:rsidRPr="008012F8">
        <w:t>(Mackay</w:t>
      </w:r>
      <w:r w:rsidRPr="008012F8">
        <w:t>勋爵</w:t>
      </w:r>
      <w:r w:rsidRPr="008012F8">
        <w:t>)</w:t>
      </w:r>
      <w:r w:rsidRPr="008012F8">
        <w:t>：</w:t>
      </w:r>
      <w:r w:rsidRPr="008012F8">
        <w:rPr>
          <w:rFonts w:hint="eastAsia"/>
        </w:rPr>
        <w:t>“</w:t>
      </w:r>
      <w:r w:rsidRPr="008012F8">
        <w:t>我认为必须在通过公约的所有法域中建立对《华沙公约》的共同理解，</w:t>
      </w:r>
      <w:r w:rsidRPr="008012F8">
        <w:rPr>
          <w:rFonts w:ascii="宋体" w:hAnsi="宋体" w:cs="宋体"/>
        </w:rPr>
        <w:t>因此</w:t>
      </w:r>
      <w:r w:rsidRPr="008012F8">
        <w:t>我非常重视美国最高法院对</w:t>
      </w:r>
      <w:r w:rsidRPr="008012F8">
        <w:rPr>
          <w:rFonts w:eastAsia="楷体"/>
        </w:rPr>
        <w:t>东部航空公司诉</w:t>
      </w:r>
      <w:r w:rsidRPr="008012F8">
        <w:rPr>
          <w:rFonts w:eastAsia="楷体"/>
          <w:i/>
          <w:iCs/>
        </w:rPr>
        <w:t>Floyd</w:t>
      </w:r>
      <w:r w:rsidRPr="008012F8">
        <w:rPr>
          <w:rFonts w:eastAsia="楷体"/>
        </w:rPr>
        <w:t>案</w:t>
      </w:r>
      <w:r w:rsidRPr="008012F8">
        <w:t>(1991)499 US 530</w:t>
      </w:r>
      <w:r w:rsidRPr="008012F8">
        <w:t>和</w:t>
      </w:r>
      <w:r w:rsidRPr="008012F8">
        <w:rPr>
          <w:rFonts w:eastAsia="楷体"/>
        </w:rPr>
        <w:t>El Al</w:t>
      </w:r>
      <w:r w:rsidRPr="008012F8">
        <w:rPr>
          <w:rFonts w:eastAsia="楷体"/>
        </w:rPr>
        <w:t>以色列航空公司诉</w:t>
      </w:r>
      <w:r w:rsidRPr="008012F8">
        <w:rPr>
          <w:rFonts w:eastAsia="楷体"/>
          <w:i/>
          <w:iCs/>
        </w:rPr>
        <w:t>Tseng</w:t>
      </w:r>
      <w:r w:rsidRPr="008012F8">
        <w:rPr>
          <w:rFonts w:eastAsia="楷体"/>
        </w:rPr>
        <w:t>案</w:t>
      </w:r>
      <w:r w:rsidRPr="008012F8">
        <w:t>的裁决，特别是考虑到美国是空中运输的如此重大参与方</w:t>
      </w:r>
      <w:r w:rsidRPr="008012F8">
        <w:rPr>
          <w:rFonts w:hint="eastAsia"/>
        </w:rPr>
        <w:t>”</w:t>
      </w:r>
      <w:r w:rsidRPr="008012F8">
        <w:t>；或</w:t>
      </w:r>
      <w:r w:rsidRPr="008012F8">
        <w:t>Einfeld J</w:t>
      </w:r>
      <w:r w:rsidRPr="008012F8">
        <w:t>就澳大利亚联邦法院在</w:t>
      </w:r>
      <w:r w:rsidRPr="008012F8">
        <w:rPr>
          <w:rFonts w:eastAsia="楷体"/>
        </w:rPr>
        <w:t>澳大利亚联邦警察局专员和澳大利亚联邦诉</w:t>
      </w:r>
      <w:r w:rsidRPr="008012F8">
        <w:rPr>
          <w:rFonts w:eastAsia="楷体"/>
          <w:i/>
          <w:iCs/>
        </w:rPr>
        <w:t>Geraldo Magno</w:t>
      </w:r>
      <w:r w:rsidRPr="008012F8">
        <w:rPr>
          <w:rFonts w:eastAsia="楷体"/>
        </w:rPr>
        <w:t>和</w:t>
      </w:r>
      <w:r w:rsidRPr="008012F8">
        <w:rPr>
          <w:rFonts w:eastAsia="楷体"/>
          <w:i/>
          <w:iCs/>
        </w:rPr>
        <w:t>Ines Almeida</w:t>
      </w:r>
      <w:r w:rsidRPr="008012F8">
        <w:rPr>
          <w:rFonts w:eastAsia="楷体"/>
        </w:rPr>
        <w:t>案</w:t>
      </w:r>
      <w:r w:rsidRPr="008012F8">
        <w:t>[1992] FCA 566</w:t>
      </w:r>
      <w:r w:rsidRPr="008012F8">
        <w:t>，该案涉及《维也纳外交关系公约》第二十二条规定的外交代表权所涉</w:t>
      </w:r>
      <w:r w:rsidRPr="008012F8">
        <w:rPr>
          <w:rFonts w:hint="eastAsia"/>
        </w:rPr>
        <w:t>“</w:t>
      </w:r>
      <w:r w:rsidRPr="008012F8">
        <w:t>损害尊严</w:t>
      </w:r>
      <w:r w:rsidRPr="008012F8">
        <w:rPr>
          <w:rFonts w:hint="eastAsia"/>
        </w:rPr>
        <w:t>”</w:t>
      </w:r>
      <w:r w:rsidRPr="008012F8">
        <w:t>一词的解释，他回顾第三十一条</w:t>
      </w:r>
      <w:r w:rsidRPr="008012F8">
        <w:rPr>
          <w:rFonts w:hint="eastAsia"/>
        </w:rPr>
        <w:t>第三款</w:t>
      </w:r>
      <w:r w:rsidRPr="008012F8">
        <w:t>(b)</w:t>
      </w:r>
      <w:r w:rsidRPr="008012F8">
        <w:rPr>
          <w:rFonts w:hint="eastAsia"/>
        </w:rPr>
        <w:t>项</w:t>
      </w:r>
      <w:r w:rsidRPr="008012F8">
        <w:t>说</w:t>
      </w:r>
      <w:r w:rsidRPr="008012F8">
        <w:rPr>
          <w:rFonts w:hint="eastAsia"/>
        </w:rPr>
        <w:t>：“</w:t>
      </w:r>
      <w:r w:rsidRPr="008012F8">
        <w:t>民主国家在国际范围内适用公约时的另一个重要考虑是东道国的言论自由。在处理大使馆外的政治示威时，这一因素尤为重要。应考虑在处理此类</w:t>
      </w:r>
      <w:r w:rsidRPr="008012F8">
        <w:rPr>
          <w:rFonts w:hint="eastAsia"/>
        </w:rPr>
        <w:t>情况</w:t>
      </w:r>
      <w:r w:rsidRPr="008012F8">
        <w:t>方面有丰富经验的国家的惯例，如美国和联合王国</w:t>
      </w:r>
      <w:r w:rsidRPr="008012F8">
        <w:rPr>
          <w:rFonts w:hint="eastAsia"/>
        </w:rPr>
        <w:t>”</w:t>
      </w:r>
      <w:r w:rsidRPr="008012F8">
        <w:t>。</w:t>
      </w:r>
    </w:p>
  </w:footnote>
  <w:footnote w:id="672">
    <w:p w:rsidR="00AB00DE" w:rsidRPr="008012F8" w:rsidRDefault="00AB00DE" w:rsidP="008D7906">
      <w:pPr>
        <w:pStyle w:val="a4"/>
      </w:pPr>
      <w:r w:rsidRPr="008012F8">
        <w:tab/>
      </w:r>
      <w:r w:rsidRPr="00DF5565">
        <w:rPr>
          <w:rStyle w:val="a5"/>
        </w:rPr>
        <w:footnoteRef/>
      </w:r>
      <w:r w:rsidRPr="008012F8">
        <w:tab/>
      </w:r>
      <w:r w:rsidRPr="008012F8">
        <w:rPr>
          <w:rFonts w:ascii="宋体" w:hAnsi="宋体" w:cs="宋体" w:hint="eastAsia"/>
          <w:spacing w:val="-2"/>
        </w:rPr>
        <w:t>加拿大</w:t>
      </w:r>
      <w:r w:rsidRPr="008012F8">
        <w:rPr>
          <w:rFonts w:hint="eastAsia"/>
          <w:spacing w:val="-2"/>
        </w:rPr>
        <w:t>，最高法院，</w:t>
      </w:r>
      <w:r w:rsidRPr="008012F8">
        <w:rPr>
          <w:rFonts w:hint="eastAsia"/>
          <w:i/>
          <w:spacing w:val="-2"/>
        </w:rPr>
        <w:t>Yugraneft</w:t>
      </w:r>
      <w:r w:rsidRPr="00DF5565">
        <w:rPr>
          <w:rFonts w:ascii="楷体_GB2312" w:eastAsia="楷体" w:hAnsi="楷体_GB2312" w:hint="eastAsia"/>
          <w:spacing w:val="-2"/>
        </w:rPr>
        <w:t>公司诉</w:t>
      </w:r>
      <w:r w:rsidRPr="008012F8">
        <w:rPr>
          <w:rFonts w:hint="eastAsia"/>
          <w:i/>
          <w:spacing w:val="-2"/>
        </w:rPr>
        <w:t>Rexx</w:t>
      </w:r>
      <w:r w:rsidRPr="00DF5565">
        <w:rPr>
          <w:rFonts w:ascii="楷体_GB2312" w:eastAsia="楷体" w:hAnsi="楷体_GB2312" w:hint="eastAsia"/>
          <w:spacing w:val="-2"/>
        </w:rPr>
        <w:t>管理公司案</w:t>
      </w:r>
      <w:r w:rsidRPr="008012F8">
        <w:rPr>
          <w:rFonts w:hint="eastAsia"/>
          <w:spacing w:val="-2"/>
        </w:rPr>
        <w:t xml:space="preserve">[2010] 1 SCR 649, </w:t>
      </w:r>
      <w:r w:rsidRPr="008012F8">
        <w:rPr>
          <w:rFonts w:hint="eastAsia"/>
          <w:spacing w:val="-2"/>
        </w:rPr>
        <w:t>第</w:t>
      </w:r>
      <w:r w:rsidRPr="008012F8">
        <w:rPr>
          <w:rFonts w:hint="eastAsia"/>
          <w:spacing w:val="-2"/>
        </w:rPr>
        <w:t>21</w:t>
      </w:r>
      <w:r w:rsidRPr="008012F8">
        <w:rPr>
          <w:rFonts w:hint="eastAsia"/>
          <w:spacing w:val="-2"/>
        </w:rPr>
        <w:t>段</w:t>
      </w:r>
      <w:r w:rsidRPr="008012F8">
        <w:rPr>
          <w:rFonts w:hint="eastAsia"/>
          <w:spacing w:val="-2"/>
        </w:rPr>
        <w:t>(Rothstein, J.)</w:t>
      </w:r>
      <w:r w:rsidRPr="008012F8">
        <w:rPr>
          <w:rFonts w:hint="eastAsia"/>
          <w:spacing w:val="-2"/>
        </w:rPr>
        <w:t>。</w:t>
      </w:r>
    </w:p>
  </w:footnote>
  <w:footnote w:id="673">
    <w:p w:rsidR="00AB00DE" w:rsidRPr="008012F8" w:rsidRDefault="00AB00DE" w:rsidP="008D7906">
      <w:pPr>
        <w:pStyle w:val="a4"/>
      </w:pPr>
      <w:r w:rsidRPr="008012F8">
        <w:tab/>
      </w:r>
      <w:r w:rsidRPr="00DF5565">
        <w:rPr>
          <w:rStyle w:val="a5"/>
        </w:rPr>
        <w:footnoteRef/>
      </w:r>
      <w:r w:rsidRPr="008012F8">
        <w:tab/>
      </w:r>
      <w:r w:rsidRPr="008012F8">
        <w:rPr>
          <w:rFonts w:ascii="宋体" w:hAnsi="宋体" w:cs="宋体" w:hint="eastAsia"/>
        </w:rPr>
        <w:t>联合王国</w:t>
      </w:r>
      <w:r w:rsidRPr="008012F8">
        <w:rPr>
          <w:rFonts w:hint="eastAsia"/>
        </w:rPr>
        <w:t>，上议院，</w:t>
      </w:r>
      <w:r w:rsidRPr="008012F8">
        <w:rPr>
          <w:rFonts w:hint="eastAsia"/>
          <w:i/>
        </w:rPr>
        <w:t>Sidhu</w:t>
      </w:r>
      <w:r w:rsidRPr="00DF5565">
        <w:rPr>
          <w:rFonts w:ascii="楷体_GB2312" w:eastAsia="楷体" w:hAnsi="楷体_GB2312" w:hint="eastAsia"/>
        </w:rPr>
        <w:t>诉英国航空公司案</w:t>
      </w:r>
      <w:r w:rsidRPr="008012F8">
        <w:rPr>
          <w:rFonts w:hint="eastAsia"/>
        </w:rPr>
        <w:t>[1997]</w:t>
      </w:r>
      <w:r>
        <w:rPr>
          <w:rFonts w:hint="eastAsia"/>
        </w:rPr>
        <w:t xml:space="preserve"> AC 430</w:t>
      </w:r>
      <w:r>
        <w:rPr>
          <w:rFonts w:hint="eastAsia"/>
        </w:rPr>
        <w:t>，</w:t>
      </w:r>
      <w:r w:rsidRPr="008012F8">
        <w:rPr>
          <w:rFonts w:hint="eastAsia"/>
        </w:rPr>
        <w:t>见第</w:t>
      </w:r>
      <w:r w:rsidRPr="008012F8">
        <w:rPr>
          <w:rFonts w:hint="eastAsia"/>
        </w:rPr>
        <w:t>453</w:t>
      </w:r>
      <w:r w:rsidRPr="008012F8">
        <w:rPr>
          <w:rFonts w:hint="eastAsia"/>
        </w:rPr>
        <w:t>页</w:t>
      </w:r>
      <w:r w:rsidRPr="008012F8">
        <w:rPr>
          <w:rFonts w:hint="eastAsia"/>
        </w:rPr>
        <w:t>(Hope</w:t>
      </w:r>
      <w:r w:rsidRPr="008012F8">
        <w:rPr>
          <w:rFonts w:hint="eastAsia"/>
        </w:rPr>
        <w:t>勋爵</w:t>
      </w:r>
      <w:r w:rsidRPr="008012F8">
        <w:rPr>
          <w:rFonts w:hint="eastAsia"/>
        </w:rPr>
        <w:t>)</w:t>
      </w:r>
      <w:r w:rsidRPr="008012F8">
        <w:rPr>
          <w:rFonts w:hint="eastAsia"/>
        </w:rPr>
        <w:t>；</w:t>
      </w:r>
      <w:r w:rsidRPr="008012F8">
        <w:rPr>
          <w:rFonts w:hint="eastAsia"/>
          <w:i/>
        </w:rPr>
        <w:t>Fothergill</w:t>
      </w:r>
      <w:r w:rsidRPr="00DF5565">
        <w:rPr>
          <w:rFonts w:ascii="楷体_GB2312" w:eastAsia="楷体" w:hAnsi="楷体_GB2312" w:hint="eastAsia"/>
        </w:rPr>
        <w:t>诉君主航空有限公司案</w:t>
      </w:r>
      <w:r w:rsidRPr="008012F8">
        <w:rPr>
          <w:rFonts w:hint="eastAsia"/>
        </w:rPr>
        <w:t xml:space="preserve">[1981] </w:t>
      </w:r>
      <w:r w:rsidRPr="008012F8">
        <w:t xml:space="preserve">AC 251, </w:t>
      </w:r>
      <w:r w:rsidRPr="008012F8">
        <w:rPr>
          <w:rFonts w:hint="eastAsia"/>
        </w:rPr>
        <w:t>第</w:t>
      </w:r>
      <w:r w:rsidRPr="008012F8">
        <w:rPr>
          <w:rFonts w:hint="eastAsia"/>
        </w:rPr>
        <w:t>275-276</w:t>
      </w:r>
      <w:r w:rsidRPr="008012F8">
        <w:rPr>
          <w:rFonts w:hint="eastAsia"/>
        </w:rPr>
        <w:t>页</w:t>
      </w:r>
      <w:r w:rsidRPr="008012F8">
        <w:rPr>
          <w:rFonts w:hint="eastAsia"/>
        </w:rPr>
        <w:t>(</w:t>
      </w:r>
      <w:r w:rsidRPr="008012F8">
        <w:t>Wilberforce</w:t>
      </w:r>
      <w:r w:rsidRPr="008012F8">
        <w:rPr>
          <w:rFonts w:hint="eastAsia"/>
        </w:rPr>
        <w:t>勋爵</w:t>
      </w:r>
      <w:r w:rsidRPr="008012F8">
        <w:rPr>
          <w:rFonts w:hint="eastAsia"/>
        </w:rPr>
        <w:t>)</w:t>
      </w:r>
      <w:r w:rsidRPr="008012F8">
        <w:rPr>
          <w:rFonts w:hint="eastAsia"/>
        </w:rPr>
        <w:t>。</w:t>
      </w:r>
    </w:p>
  </w:footnote>
  <w:footnote w:id="674">
    <w:p w:rsidR="00AB00DE" w:rsidRPr="008012F8" w:rsidRDefault="00AB00DE" w:rsidP="00D90936">
      <w:pPr>
        <w:pStyle w:val="a4"/>
      </w:pPr>
      <w:r w:rsidRPr="008012F8">
        <w:tab/>
      </w:r>
      <w:r w:rsidRPr="00DF5565">
        <w:rPr>
          <w:rStyle w:val="a5"/>
        </w:rPr>
        <w:footnoteRef/>
      </w:r>
      <w:r w:rsidRPr="008012F8">
        <w:tab/>
      </w:r>
      <w:r w:rsidRPr="008012F8">
        <w:rPr>
          <w:rFonts w:ascii="宋体" w:hAnsi="宋体" w:cs="宋体" w:hint="eastAsia"/>
        </w:rPr>
        <w:t>世贸组织上诉机构报告，</w:t>
      </w:r>
      <w:r w:rsidRPr="008012F8">
        <w:rPr>
          <w:rFonts w:eastAsia="楷体"/>
        </w:rPr>
        <w:t>欧共体－香蕉案</w:t>
      </w:r>
      <w:r w:rsidRPr="008012F8">
        <w:rPr>
          <w:rFonts w:eastAsia="楷体"/>
        </w:rPr>
        <w:t>(</w:t>
      </w:r>
      <w:r w:rsidRPr="00C90F38">
        <w:rPr>
          <w:rFonts w:asciiTheme="majorBidi" w:eastAsia="楷体" w:hAnsiTheme="majorBidi" w:cstheme="majorBidi"/>
        </w:rPr>
        <w:t>三</w:t>
      </w:r>
      <w:r w:rsidRPr="00C90F38">
        <w:rPr>
          <w:rFonts w:asciiTheme="majorBidi" w:eastAsia="楷体" w:hAnsiTheme="majorBidi" w:cstheme="majorBidi"/>
        </w:rPr>
        <w:t>)(</w:t>
      </w:r>
      <w:r w:rsidRPr="00C90F38">
        <w:rPr>
          <w:rFonts w:asciiTheme="majorBidi" w:hAnsiTheme="majorBidi" w:cstheme="majorBidi"/>
        </w:rPr>
        <w:t>见上文脚注</w:t>
      </w:r>
      <w:r>
        <w:rPr>
          <w:rFonts w:asciiTheme="majorBidi" w:hAnsiTheme="majorBidi" w:cstheme="majorBidi"/>
        </w:rPr>
        <w:fldChar w:fldCharType="begin"/>
      </w:r>
      <w:r>
        <w:rPr>
          <w:rFonts w:asciiTheme="majorBidi" w:hAnsiTheme="majorBidi" w:cstheme="majorBidi"/>
        </w:rPr>
        <w:instrText xml:space="preserve"> NOTEREF _Ref461972226 \h </w:instrText>
      </w:r>
      <w:r>
        <w:rPr>
          <w:rFonts w:asciiTheme="majorBidi" w:hAnsiTheme="majorBidi" w:cstheme="majorBidi"/>
        </w:rPr>
      </w:r>
      <w:r>
        <w:rPr>
          <w:rFonts w:asciiTheme="majorBidi" w:hAnsiTheme="majorBidi" w:cstheme="majorBidi"/>
        </w:rPr>
        <w:fldChar w:fldCharType="separate"/>
      </w:r>
      <w:r w:rsidR="00A73EB9">
        <w:rPr>
          <w:rFonts w:asciiTheme="majorBidi" w:hAnsiTheme="majorBidi" w:cstheme="majorBidi"/>
        </w:rPr>
        <w:t>445</w:t>
      </w:r>
      <w:r>
        <w:rPr>
          <w:rFonts w:asciiTheme="majorBidi" w:hAnsiTheme="majorBidi" w:cstheme="majorBidi"/>
        </w:rPr>
        <w:fldChar w:fldCharType="end"/>
      </w:r>
      <w:r w:rsidRPr="00C90F38">
        <w:rPr>
          <w:rFonts w:asciiTheme="majorBidi" w:hAnsiTheme="majorBidi" w:cstheme="majorBidi"/>
        </w:rPr>
        <w:t>)</w:t>
      </w:r>
      <w:r w:rsidRPr="00C90F38">
        <w:rPr>
          <w:rFonts w:asciiTheme="majorBidi" w:hAnsiTheme="majorBidi" w:cstheme="majorBidi"/>
        </w:rPr>
        <w:t>，</w:t>
      </w:r>
      <w:r w:rsidRPr="008012F8">
        <w:rPr>
          <w:rFonts w:ascii="宋体" w:hAnsi="宋体" w:cs="宋体" w:hint="eastAsia"/>
        </w:rPr>
        <w:t>第</w:t>
      </w:r>
      <w:r w:rsidRPr="008012F8">
        <w:t>391-393</w:t>
      </w:r>
      <w:r w:rsidRPr="008012F8">
        <w:rPr>
          <w:rFonts w:ascii="宋体" w:hAnsi="宋体" w:cs="宋体" w:hint="eastAsia"/>
        </w:rPr>
        <w:t>段。</w:t>
      </w:r>
    </w:p>
  </w:footnote>
  <w:footnote w:id="675">
    <w:p w:rsidR="00AB00DE" w:rsidRPr="008012F8" w:rsidRDefault="00AB00DE" w:rsidP="00267AB1">
      <w:pPr>
        <w:pStyle w:val="a4"/>
      </w:pPr>
      <w:r w:rsidRPr="008012F8">
        <w:tab/>
      </w:r>
      <w:r w:rsidRPr="00DF5565">
        <w:rPr>
          <w:rStyle w:val="a5"/>
        </w:rPr>
        <w:footnoteRef/>
      </w:r>
      <w:r w:rsidRPr="008012F8">
        <w:tab/>
        <w:t>Murphy,</w:t>
      </w:r>
      <w:r w:rsidRPr="008012F8">
        <w:rPr>
          <w:rFonts w:hint="eastAsia"/>
        </w:rPr>
        <w:t>“</w:t>
      </w:r>
      <w:r w:rsidRPr="008012F8">
        <w:rPr>
          <w:rFonts w:ascii="宋体" w:hAnsi="宋体" w:cs="宋体" w:hint="eastAsia"/>
        </w:rPr>
        <w:t>嗣后协定</w:t>
      </w:r>
      <w:r w:rsidRPr="008012F8">
        <w:rPr>
          <w:rFonts w:hint="eastAsia"/>
        </w:rPr>
        <w:t>……</w:t>
      </w:r>
      <w:r w:rsidRPr="008012F8">
        <w:rPr>
          <w:rFonts w:ascii="宋体" w:hAnsi="宋体" w:cs="宋体" w:hint="eastAsia"/>
        </w:rPr>
        <w:t>的作用</w:t>
      </w:r>
      <w:r w:rsidRPr="008012F8">
        <w:rPr>
          <w:rFonts w:hint="eastAsia"/>
        </w:rPr>
        <w:t>”</w:t>
      </w:r>
      <w:r w:rsidRPr="00C90F38">
        <w:rPr>
          <w:rFonts w:asciiTheme="majorBidi" w:hAnsiTheme="majorBidi" w:cstheme="majorBidi"/>
        </w:rPr>
        <w:t>(</w:t>
      </w:r>
      <w:r w:rsidRPr="00C90F38">
        <w:rPr>
          <w:rFonts w:asciiTheme="majorBidi" w:hAnsiTheme="majorBidi" w:cstheme="majorBidi"/>
        </w:rPr>
        <w:t>见上文脚注</w:t>
      </w:r>
      <w:r>
        <w:rPr>
          <w:rFonts w:asciiTheme="majorBidi" w:hAnsiTheme="majorBidi" w:cstheme="majorBidi"/>
        </w:rPr>
        <w:fldChar w:fldCharType="begin"/>
      </w:r>
      <w:r>
        <w:rPr>
          <w:rFonts w:asciiTheme="majorBidi" w:hAnsiTheme="majorBidi" w:cstheme="majorBidi"/>
        </w:rPr>
        <w:instrText xml:space="preserve"> NOTEREF _Ref461973633 \h </w:instrText>
      </w:r>
      <w:r>
        <w:rPr>
          <w:rFonts w:asciiTheme="majorBidi" w:hAnsiTheme="majorBidi" w:cstheme="majorBidi"/>
        </w:rPr>
      </w:r>
      <w:r>
        <w:rPr>
          <w:rFonts w:asciiTheme="majorBidi" w:hAnsiTheme="majorBidi" w:cstheme="majorBidi"/>
        </w:rPr>
        <w:fldChar w:fldCharType="separate"/>
      </w:r>
      <w:r w:rsidR="00A73EB9">
        <w:rPr>
          <w:rFonts w:asciiTheme="majorBidi" w:hAnsiTheme="majorBidi" w:cstheme="majorBidi"/>
        </w:rPr>
        <w:t>642</w:t>
      </w:r>
      <w:r>
        <w:rPr>
          <w:rFonts w:asciiTheme="majorBidi" w:hAnsiTheme="majorBidi" w:cstheme="majorBidi"/>
        </w:rPr>
        <w:fldChar w:fldCharType="end"/>
      </w:r>
      <w:r w:rsidRPr="00C90F38">
        <w:rPr>
          <w:rFonts w:asciiTheme="majorBidi" w:hAnsiTheme="majorBidi" w:cstheme="majorBidi"/>
        </w:rPr>
        <w:t>)</w:t>
      </w:r>
      <w:r w:rsidRPr="008012F8">
        <w:rPr>
          <w:rFonts w:ascii="宋体" w:hAnsi="宋体" w:cs="宋体" w:hint="eastAsia"/>
        </w:rPr>
        <w:t>，第</w:t>
      </w:r>
      <w:r w:rsidRPr="008012F8">
        <w:t>88</w:t>
      </w:r>
      <w:r w:rsidRPr="008012F8">
        <w:rPr>
          <w:rFonts w:ascii="宋体" w:hAnsi="宋体" w:cs="宋体" w:hint="eastAsia"/>
        </w:rPr>
        <w:t>页。</w:t>
      </w:r>
    </w:p>
  </w:footnote>
  <w:footnote w:id="676">
    <w:p w:rsidR="00AB00DE" w:rsidRPr="008012F8" w:rsidRDefault="00AB00DE" w:rsidP="00267AB1">
      <w:pPr>
        <w:pStyle w:val="a4"/>
      </w:pPr>
      <w:r w:rsidRPr="008012F8">
        <w:tab/>
      </w:r>
      <w:r w:rsidRPr="00DF5565">
        <w:rPr>
          <w:rStyle w:val="a5"/>
        </w:rPr>
        <w:footnoteRef/>
      </w:r>
      <w:r w:rsidRPr="008012F8">
        <w:tab/>
        <w:t xml:space="preserve">Sinclair, </w:t>
      </w:r>
      <w:r w:rsidRPr="008012F8">
        <w:rPr>
          <w:rFonts w:ascii="宋体" w:hAnsi="宋体" w:cs="宋体" w:hint="eastAsia"/>
        </w:rPr>
        <w:t>《维也纳</w:t>
      </w:r>
      <w:r w:rsidRPr="008012F8">
        <w:rPr>
          <w:rFonts w:hint="eastAsia"/>
        </w:rPr>
        <w:t>……</w:t>
      </w:r>
      <w:r w:rsidRPr="008012F8">
        <w:rPr>
          <w:rFonts w:ascii="宋体" w:hAnsi="宋体" w:cs="宋体" w:hint="eastAsia"/>
        </w:rPr>
        <w:t>公约》</w:t>
      </w:r>
      <w:r w:rsidRPr="008012F8">
        <w:t>(</w:t>
      </w:r>
      <w:r w:rsidRPr="00C90F38">
        <w:rPr>
          <w:rFonts w:asciiTheme="majorBidi" w:hAnsiTheme="majorBidi" w:cstheme="majorBidi"/>
        </w:rPr>
        <w:t>见上文脚注</w:t>
      </w:r>
      <w:r>
        <w:fldChar w:fldCharType="begin"/>
      </w:r>
      <w:r>
        <w:instrText xml:space="preserve"> NOTEREF _Ref461972846 \h </w:instrText>
      </w:r>
      <w:r>
        <w:fldChar w:fldCharType="separate"/>
      </w:r>
      <w:r w:rsidR="00A73EB9">
        <w:t>393</w:t>
      </w:r>
      <w:r>
        <w:fldChar w:fldCharType="end"/>
      </w:r>
      <w:r w:rsidRPr="00C90F38">
        <w:rPr>
          <w:rFonts w:asciiTheme="majorBidi" w:hAnsiTheme="majorBidi" w:cstheme="majorBidi"/>
        </w:rPr>
        <w:t>)</w:t>
      </w:r>
      <w:r w:rsidRPr="008012F8">
        <w:t>，</w:t>
      </w:r>
      <w:r w:rsidRPr="008012F8">
        <w:rPr>
          <w:rFonts w:ascii="宋体" w:hAnsi="宋体" w:cs="宋体" w:hint="eastAsia"/>
        </w:rPr>
        <w:t>第</w:t>
      </w:r>
      <w:r w:rsidRPr="008012F8">
        <w:t>107</w:t>
      </w:r>
      <w:r w:rsidRPr="008012F8">
        <w:rPr>
          <w:rFonts w:ascii="宋体" w:hAnsi="宋体" w:cs="宋体" w:hint="eastAsia"/>
        </w:rPr>
        <w:t>页，其中提到</w:t>
      </w:r>
      <w:r w:rsidRPr="008012F8">
        <w:t xml:space="preserve">Waldock, </w:t>
      </w:r>
      <w:r w:rsidRPr="008012F8">
        <w:rPr>
          <w:rFonts w:ascii="宋体" w:hAnsi="宋体" w:cs="宋体" w:hint="eastAsia"/>
        </w:rPr>
        <w:t>《联合国条约法会议正式记录</w:t>
      </w:r>
      <w:r w:rsidRPr="008012F8">
        <w:rPr>
          <w:rFonts w:hint="eastAsia"/>
        </w:rPr>
        <w:t>……</w:t>
      </w:r>
      <w:r w:rsidRPr="008012F8">
        <w:rPr>
          <w:rFonts w:ascii="宋体" w:hAnsi="宋体" w:cs="宋体" w:hint="eastAsia"/>
        </w:rPr>
        <w:t>》</w:t>
      </w:r>
      <w:r w:rsidRPr="008012F8">
        <w:t>(A/CONF.39/11)(</w:t>
      </w:r>
      <w:r w:rsidRPr="008012F8">
        <w:rPr>
          <w:rFonts w:ascii="宋体" w:hAnsi="宋体" w:cs="宋体" w:hint="eastAsia"/>
        </w:rPr>
        <w:t>见</w:t>
      </w:r>
      <w:r w:rsidRPr="00C95398">
        <w:rPr>
          <w:rFonts w:asciiTheme="majorBidi" w:hAnsiTheme="majorBidi" w:cstheme="majorBidi"/>
        </w:rPr>
        <w:t>上文脚注</w:t>
      </w:r>
      <w:r>
        <w:fldChar w:fldCharType="begin"/>
      </w:r>
      <w:r>
        <w:instrText xml:space="preserve"> NOTEREF _Ref461974212 \h </w:instrText>
      </w:r>
      <w:r>
        <w:fldChar w:fldCharType="separate"/>
      </w:r>
      <w:r w:rsidR="00A73EB9">
        <w:t>575</w:t>
      </w:r>
      <w:r>
        <w:fldChar w:fldCharType="end"/>
      </w:r>
      <w:r w:rsidRPr="00C95398">
        <w:rPr>
          <w:rFonts w:asciiTheme="majorBidi" w:hAnsiTheme="majorBidi" w:cstheme="majorBidi"/>
        </w:rPr>
        <w:t>)</w:t>
      </w:r>
      <w:r w:rsidRPr="00C95398">
        <w:rPr>
          <w:rFonts w:asciiTheme="majorBidi" w:hAnsiTheme="majorBidi" w:cstheme="majorBidi"/>
        </w:rPr>
        <w:t>，第</w:t>
      </w:r>
      <w:r w:rsidRPr="00C95398">
        <w:rPr>
          <w:rFonts w:asciiTheme="majorBidi" w:hAnsiTheme="majorBidi" w:cstheme="majorBidi"/>
        </w:rPr>
        <w:t>37</w:t>
      </w:r>
      <w:r w:rsidRPr="008012F8">
        <w:t>次会议，</w:t>
      </w:r>
      <w:r w:rsidRPr="008012F8">
        <w:t>1968</w:t>
      </w:r>
      <w:r w:rsidRPr="008012F8">
        <w:t>年</w:t>
      </w:r>
      <w:r w:rsidRPr="008012F8">
        <w:t>4</w:t>
      </w:r>
      <w:r w:rsidRPr="008012F8">
        <w:t>月</w:t>
      </w:r>
      <w:r w:rsidRPr="008012F8">
        <w:t>24</w:t>
      </w:r>
      <w:r w:rsidRPr="008012F8">
        <w:t>日，</w:t>
      </w:r>
      <w:r w:rsidRPr="008012F8">
        <w:rPr>
          <w:rFonts w:ascii="宋体" w:hAnsi="宋体" w:cs="宋体" w:hint="eastAsia"/>
        </w:rPr>
        <w:t>第</w:t>
      </w:r>
      <w:r w:rsidRPr="008012F8">
        <w:t>207</w:t>
      </w:r>
      <w:r w:rsidRPr="008012F8">
        <w:rPr>
          <w:rFonts w:ascii="宋体" w:hAnsi="宋体" w:cs="宋体" w:hint="eastAsia"/>
        </w:rPr>
        <w:t>页，第</w:t>
      </w:r>
      <w:r w:rsidRPr="008012F8">
        <w:t>49-52</w:t>
      </w:r>
      <w:r w:rsidRPr="008012F8">
        <w:rPr>
          <w:rFonts w:ascii="宋体" w:hAnsi="宋体" w:cs="宋体" w:hint="eastAsia"/>
        </w:rPr>
        <w:t>段；</w:t>
      </w:r>
      <w:r w:rsidRPr="008012F8">
        <w:t xml:space="preserve">Villiger, </w:t>
      </w:r>
      <w:r w:rsidRPr="008012F8">
        <w:rPr>
          <w:rFonts w:ascii="宋体" w:hAnsi="宋体" w:cs="宋体" w:hint="eastAsia"/>
        </w:rPr>
        <w:t>《</w:t>
      </w:r>
      <w:r w:rsidRPr="008012F8">
        <w:rPr>
          <w:rFonts w:hint="eastAsia"/>
        </w:rPr>
        <w:t>……</w:t>
      </w:r>
      <w:r w:rsidRPr="008012F8">
        <w:rPr>
          <w:rFonts w:ascii="宋体" w:hAnsi="宋体" w:cs="宋体" w:hint="eastAsia"/>
        </w:rPr>
        <w:t>评注》</w:t>
      </w:r>
      <w:r w:rsidRPr="008012F8">
        <w:t>(</w:t>
      </w:r>
      <w:r w:rsidRPr="008012F8">
        <w:rPr>
          <w:rFonts w:ascii="宋体" w:hAnsi="宋体" w:cs="宋体" w:hint="eastAsia"/>
        </w:rPr>
        <w:t>见上文脚注</w:t>
      </w:r>
      <w:r>
        <w:rPr>
          <w:spacing w:val="-4"/>
          <w:lang w:val="zh-CN"/>
        </w:rPr>
        <w:fldChar w:fldCharType="begin"/>
      </w:r>
      <w:r>
        <w:rPr>
          <w:spacing w:val="-4"/>
          <w:lang w:val="zh-CN"/>
        </w:rPr>
        <w:instrText xml:space="preserve"> NOTEREF _Ref461972715 \h </w:instrText>
      </w:r>
      <w:r>
        <w:rPr>
          <w:spacing w:val="-4"/>
          <w:lang w:val="zh-CN"/>
        </w:rPr>
      </w:r>
      <w:r>
        <w:rPr>
          <w:spacing w:val="-4"/>
          <w:lang w:val="zh-CN"/>
        </w:rPr>
        <w:fldChar w:fldCharType="separate"/>
      </w:r>
      <w:r w:rsidR="00A73EB9">
        <w:rPr>
          <w:spacing w:val="-4"/>
          <w:lang w:val="zh-CN"/>
        </w:rPr>
        <w:t>414</w:t>
      </w:r>
      <w:r>
        <w:rPr>
          <w:spacing w:val="-4"/>
          <w:lang w:val="zh-CN"/>
        </w:rPr>
        <w:fldChar w:fldCharType="end"/>
      </w:r>
      <w:r w:rsidRPr="000C49CF">
        <w:rPr>
          <w:rFonts w:asciiTheme="majorBidi" w:hAnsiTheme="majorBidi" w:cstheme="majorBidi" w:hint="eastAsia"/>
        </w:rPr>
        <w:t>)</w:t>
      </w:r>
      <w:r w:rsidRPr="008012F8">
        <w:rPr>
          <w:rFonts w:ascii="宋体" w:hAnsi="宋体" w:cs="宋体" w:hint="eastAsia"/>
        </w:rPr>
        <w:t>，第</w:t>
      </w:r>
      <w:r w:rsidRPr="008012F8">
        <w:t>513</w:t>
      </w:r>
      <w:r w:rsidRPr="008012F8">
        <w:rPr>
          <w:rFonts w:ascii="宋体" w:hAnsi="宋体" w:cs="宋体" w:hint="eastAsia"/>
        </w:rPr>
        <w:t>页，第</w:t>
      </w:r>
      <w:r w:rsidRPr="008012F8">
        <w:t>7</w:t>
      </w:r>
      <w:r w:rsidRPr="008012F8">
        <w:rPr>
          <w:rFonts w:ascii="宋体" w:hAnsi="宋体" w:cs="宋体" w:hint="eastAsia"/>
        </w:rPr>
        <w:t>、</w:t>
      </w:r>
      <w:r w:rsidRPr="008012F8">
        <w:t>9</w:t>
      </w:r>
      <w:r w:rsidRPr="008012F8">
        <w:rPr>
          <w:rFonts w:ascii="宋体" w:hAnsi="宋体" w:cs="宋体" w:hint="eastAsia"/>
        </w:rPr>
        <w:t>和</w:t>
      </w:r>
      <w:r w:rsidRPr="008012F8">
        <w:t>11</w:t>
      </w:r>
      <w:r w:rsidRPr="008012F8">
        <w:rPr>
          <w:rFonts w:ascii="宋体" w:hAnsi="宋体" w:cs="宋体" w:hint="eastAsia"/>
        </w:rPr>
        <w:t>段；</w:t>
      </w:r>
      <w:r w:rsidRPr="008012F8">
        <w:t>K. Odendahl,</w:t>
      </w:r>
      <w:r w:rsidRPr="008012F8">
        <w:rPr>
          <w:rFonts w:hint="eastAsia"/>
        </w:rPr>
        <w:t>“</w:t>
      </w:r>
      <w:r w:rsidRPr="008012F8">
        <w:rPr>
          <w:rFonts w:ascii="宋体" w:hAnsi="宋体" w:cs="宋体" w:hint="eastAsia"/>
        </w:rPr>
        <w:t>第三十九条</w:t>
      </w:r>
      <w:r w:rsidRPr="008012F8">
        <w:t xml:space="preserve">. </w:t>
      </w:r>
      <w:r w:rsidRPr="008012F8">
        <w:rPr>
          <w:rFonts w:ascii="宋体" w:hAnsi="宋体" w:cs="宋体" w:hint="eastAsia"/>
        </w:rPr>
        <w:t>修正条约的一般规则</w:t>
      </w:r>
      <w:r w:rsidRPr="008012F8">
        <w:rPr>
          <w:rFonts w:hint="eastAsia"/>
        </w:rPr>
        <w:t>”</w:t>
      </w:r>
      <w:r w:rsidRPr="008012F8">
        <w:rPr>
          <w:rFonts w:ascii="宋体" w:hAnsi="宋体" w:cs="宋体" w:hint="eastAsia"/>
        </w:rPr>
        <w:t>，载于</w:t>
      </w:r>
      <w:r w:rsidRPr="008012F8">
        <w:t xml:space="preserve">Dörr </w:t>
      </w:r>
      <w:r w:rsidRPr="008012F8">
        <w:rPr>
          <w:rFonts w:ascii="宋体" w:hAnsi="宋体" w:cs="宋体" w:hint="eastAsia"/>
        </w:rPr>
        <w:t>和</w:t>
      </w:r>
      <w:r>
        <w:t>Schmalenbach,</w:t>
      </w:r>
      <w:r w:rsidRPr="008012F8">
        <w:rPr>
          <w:rFonts w:ascii="宋体" w:hAnsi="宋体" w:cs="宋体" w:hint="eastAsia"/>
        </w:rPr>
        <w:t>《维也纳条约法公约</w:t>
      </w:r>
      <w:r w:rsidRPr="008012F8">
        <w:rPr>
          <w:rFonts w:hint="eastAsia"/>
        </w:rPr>
        <w:t>……</w:t>
      </w:r>
      <w:r w:rsidRPr="008012F8">
        <w:rPr>
          <w:rFonts w:ascii="宋体" w:hAnsi="宋体" w:cs="宋体" w:hint="eastAsia"/>
        </w:rPr>
        <w:t>》</w:t>
      </w:r>
      <w:r w:rsidRPr="00C90F38">
        <w:rPr>
          <w:rFonts w:asciiTheme="majorBidi" w:hAnsiTheme="majorBidi" w:cstheme="majorBidi"/>
        </w:rPr>
        <w:t>(</w:t>
      </w:r>
      <w:r w:rsidRPr="00C90F38">
        <w:rPr>
          <w:rFonts w:asciiTheme="majorBidi" w:hAnsiTheme="majorBidi" w:cstheme="majorBidi"/>
        </w:rPr>
        <w:t>见上文脚注</w:t>
      </w:r>
      <w:r>
        <w:fldChar w:fldCharType="begin"/>
      </w:r>
      <w:r>
        <w:instrText xml:space="preserve"> </w:instrText>
      </w:r>
      <w:r>
        <w:rPr>
          <w:rFonts w:hint="eastAsia"/>
        </w:rPr>
        <w:instrText>NOTEREF _Ref461972537 \h</w:instrText>
      </w:r>
      <w:r>
        <w:instrText xml:space="preserve"> </w:instrText>
      </w:r>
      <w:r>
        <w:fldChar w:fldCharType="separate"/>
      </w:r>
      <w:r w:rsidR="00A73EB9">
        <w:t>439</w:t>
      </w:r>
      <w:r>
        <w:fldChar w:fldCharType="end"/>
      </w:r>
      <w:r w:rsidRPr="00C90F38">
        <w:rPr>
          <w:rFonts w:asciiTheme="majorBidi" w:hAnsiTheme="majorBidi" w:cstheme="majorBidi"/>
        </w:rPr>
        <w:t>)</w:t>
      </w:r>
      <w:r w:rsidRPr="008012F8">
        <w:rPr>
          <w:rFonts w:ascii="宋体" w:hAnsi="宋体" w:cs="宋体" w:hint="eastAsia"/>
        </w:rPr>
        <w:t>，第</w:t>
      </w:r>
      <w:r w:rsidRPr="008012F8">
        <w:t>706</w:t>
      </w:r>
      <w:r w:rsidRPr="008012F8">
        <w:rPr>
          <w:rFonts w:ascii="宋体" w:hAnsi="宋体" w:cs="宋体" w:hint="eastAsia"/>
        </w:rPr>
        <w:t>页，第</w:t>
      </w:r>
      <w:r w:rsidRPr="008012F8">
        <w:t>16</w:t>
      </w:r>
      <w:r w:rsidRPr="008012F8">
        <w:rPr>
          <w:rFonts w:ascii="宋体" w:hAnsi="宋体" w:cs="宋体" w:hint="eastAsia"/>
        </w:rPr>
        <w:t>段。</w:t>
      </w:r>
    </w:p>
  </w:footnote>
  <w:footnote w:id="677">
    <w:p w:rsidR="00AB00DE" w:rsidRPr="008012F8" w:rsidRDefault="00AB00DE" w:rsidP="00D90936">
      <w:pPr>
        <w:pStyle w:val="a4"/>
      </w:pPr>
      <w:r w:rsidRPr="008012F8">
        <w:tab/>
      </w:r>
      <w:r w:rsidRPr="00DF5565">
        <w:rPr>
          <w:rStyle w:val="a5"/>
        </w:rPr>
        <w:footnoteRef/>
      </w:r>
      <w:r w:rsidRPr="008012F8">
        <w:tab/>
      </w:r>
      <w:r w:rsidRPr="00DF5565">
        <w:rPr>
          <w:rFonts w:eastAsia="楷体"/>
        </w:rPr>
        <w:t>乌拉圭河沿岸纸浆厂案</w:t>
      </w:r>
      <w:r w:rsidRPr="00DF5565">
        <w:rPr>
          <w:rFonts w:asciiTheme="majorBidi" w:eastAsia="楷体" w:hAnsiTheme="majorBidi" w:cstheme="majorBidi"/>
        </w:rPr>
        <w:t>(</w:t>
      </w:r>
      <w:r w:rsidRPr="00C90F38">
        <w:rPr>
          <w:rFonts w:asciiTheme="majorBidi" w:hAnsiTheme="majorBidi" w:cstheme="majorBidi"/>
        </w:rPr>
        <w:t>见上文脚注</w:t>
      </w:r>
      <w:r>
        <w:rPr>
          <w:lang w:val="zh-CN"/>
        </w:rPr>
        <w:fldChar w:fldCharType="begin"/>
      </w:r>
      <w:r>
        <w:rPr>
          <w:lang w:val="zh-CN"/>
        </w:rPr>
        <w:instrText xml:space="preserve"> NOTEREF _Ref461971066 \h </w:instrText>
      </w:r>
      <w:r>
        <w:rPr>
          <w:lang w:val="zh-CN"/>
        </w:rPr>
      </w:r>
      <w:r>
        <w:rPr>
          <w:lang w:val="zh-CN"/>
        </w:rPr>
        <w:fldChar w:fldCharType="separate"/>
      </w:r>
      <w:r w:rsidR="00A73EB9">
        <w:rPr>
          <w:lang w:val="zh-CN"/>
        </w:rPr>
        <w:t>395</w:t>
      </w:r>
      <w:r>
        <w:rPr>
          <w:lang w:val="zh-CN"/>
        </w:rPr>
        <w:fldChar w:fldCharType="end"/>
      </w:r>
      <w:r w:rsidRPr="00C90F38">
        <w:rPr>
          <w:rFonts w:asciiTheme="majorBidi" w:hAnsiTheme="majorBidi" w:cstheme="majorBidi"/>
        </w:rPr>
        <w:t>)</w:t>
      </w:r>
      <w:r w:rsidRPr="00C90F38">
        <w:rPr>
          <w:rFonts w:asciiTheme="majorBidi" w:hAnsiTheme="majorBidi" w:cstheme="majorBidi"/>
        </w:rPr>
        <w:t>，</w:t>
      </w:r>
      <w:r w:rsidRPr="008012F8">
        <w:rPr>
          <w:rFonts w:ascii="宋体" w:hAnsi="宋体" w:cs="宋体" w:hint="eastAsia"/>
        </w:rPr>
        <w:t>第</w:t>
      </w:r>
      <w:r w:rsidRPr="008012F8">
        <w:t>62-63</w:t>
      </w:r>
      <w:r w:rsidRPr="008012F8">
        <w:rPr>
          <w:rFonts w:ascii="宋体" w:hAnsi="宋体" w:cs="宋体" w:hint="eastAsia"/>
        </w:rPr>
        <w:t>页，第</w:t>
      </w:r>
      <w:r w:rsidRPr="008012F8">
        <w:t>128</w:t>
      </w:r>
      <w:r w:rsidRPr="008012F8">
        <w:rPr>
          <w:rFonts w:ascii="宋体" w:hAnsi="宋体" w:cs="宋体" w:hint="eastAsia"/>
        </w:rPr>
        <w:t>和</w:t>
      </w:r>
      <w:r w:rsidRPr="008012F8">
        <w:t>131</w:t>
      </w:r>
      <w:r w:rsidRPr="008012F8">
        <w:rPr>
          <w:rFonts w:ascii="宋体" w:hAnsi="宋体" w:cs="宋体" w:hint="eastAsia"/>
        </w:rPr>
        <w:t>段；法院继而得出结论称，本案不满足这些条件，见第</w:t>
      </w:r>
      <w:r w:rsidRPr="008012F8">
        <w:t>62-66</w:t>
      </w:r>
      <w:r w:rsidRPr="008012F8">
        <w:rPr>
          <w:rFonts w:ascii="宋体" w:hAnsi="宋体" w:cs="宋体" w:hint="eastAsia"/>
        </w:rPr>
        <w:t>页，第</w:t>
      </w:r>
      <w:r w:rsidRPr="008012F8">
        <w:t>128-142</w:t>
      </w:r>
      <w:r w:rsidRPr="008012F8">
        <w:rPr>
          <w:rFonts w:ascii="宋体" w:hAnsi="宋体" w:cs="宋体" w:hint="eastAsia"/>
        </w:rPr>
        <w:t>段。</w:t>
      </w:r>
    </w:p>
  </w:footnote>
  <w:footnote w:id="678">
    <w:p w:rsidR="00AB00DE" w:rsidRPr="008012F8" w:rsidRDefault="00AB00DE" w:rsidP="00D90936">
      <w:pPr>
        <w:pStyle w:val="a4"/>
      </w:pPr>
      <w:r w:rsidRPr="008012F8">
        <w:tab/>
      </w:r>
      <w:r w:rsidRPr="00DF5565">
        <w:rPr>
          <w:rStyle w:val="a5"/>
        </w:rPr>
        <w:footnoteRef/>
      </w:r>
      <w:r w:rsidRPr="008012F8">
        <w:tab/>
      </w:r>
      <w:r w:rsidRPr="008012F8">
        <w:rPr>
          <w:rFonts w:ascii="宋体" w:hAnsi="宋体" w:cs="宋体" w:hint="eastAsia"/>
        </w:rPr>
        <w:t>在司法实践中，有时不需要确定一项协定是具有解释还是修改条约的效果，见</w:t>
      </w:r>
      <w:r w:rsidRPr="00DF5565">
        <w:rPr>
          <w:rFonts w:eastAsia="楷体"/>
        </w:rPr>
        <w:t>领土争端案</w:t>
      </w:r>
      <w:r w:rsidRPr="00DF5565">
        <w:rPr>
          <w:rFonts w:asciiTheme="majorBidi" w:eastAsia="楷体" w:hAnsiTheme="majorBidi" w:cstheme="majorBidi"/>
        </w:rPr>
        <w:t>(</w:t>
      </w:r>
      <w:r w:rsidRPr="00C90F38">
        <w:rPr>
          <w:rFonts w:asciiTheme="majorBidi" w:hAnsiTheme="majorBidi" w:cstheme="majorBidi"/>
        </w:rPr>
        <w:t>上文脚注</w:t>
      </w:r>
      <w:r>
        <w:rPr>
          <w:lang w:val="zh-CN"/>
        </w:rPr>
        <w:fldChar w:fldCharType="begin"/>
      </w:r>
      <w:r>
        <w:rPr>
          <w:lang w:val="zh-CN"/>
        </w:rPr>
        <w:instrText xml:space="preserve"> NOTEREF _Ref461971066 \h </w:instrText>
      </w:r>
      <w:r>
        <w:rPr>
          <w:lang w:val="zh-CN"/>
        </w:rPr>
      </w:r>
      <w:r>
        <w:rPr>
          <w:lang w:val="zh-CN"/>
        </w:rPr>
        <w:fldChar w:fldCharType="separate"/>
      </w:r>
      <w:r w:rsidR="00A73EB9">
        <w:rPr>
          <w:lang w:val="zh-CN"/>
        </w:rPr>
        <w:t>395</w:t>
      </w:r>
      <w:r>
        <w:rPr>
          <w:lang w:val="zh-CN"/>
        </w:rPr>
        <w:fldChar w:fldCharType="end"/>
      </w:r>
      <w:r w:rsidRPr="00C90F38">
        <w:rPr>
          <w:rFonts w:asciiTheme="majorBidi" w:hAnsiTheme="majorBidi" w:cstheme="majorBidi"/>
        </w:rPr>
        <w:t>)</w:t>
      </w:r>
      <w:r w:rsidRPr="00C90F38">
        <w:rPr>
          <w:rFonts w:asciiTheme="majorBidi" w:hAnsiTheme="majorBidi" w:cstheme="majorBidi"/>
        </w:rPr>
        <w:t>，</w:t>
      </w:r>
      <w:r w:rsidRPr="008012F8">
        <w:rPr>
          <w:rFonts w:ascii="宋体" w:hAnsi="宋体" w:cs="宋体" w:hint="eastAsia"/>
        </w:rPr>
        <w:t>第</w:t>
      </w:r>
      <w:r w:rsidRPr="008012F8">
        <w:t>29</w:t>
      </w:r>
      <w:r w:rsidRPr="008012F8">
        <w:rPr>
          <w:rFonts w:ascii="宋体" w:hAnsi="宋体" w:cs="宋体" w:hint="eastAsia"/>
        </w:rPr>
        <w:t>页，第</w:t>
      </w:r>
      <w:r w:rsidRPr="008012F8">
        <w:t>60</w:t>
      </w:r>
      <w:r w:rsidRPr="008012F8">
        <w:rPr>
          <w:rFonts w:ascii="宋体" w:hAnsi="宋体" w:cs="宋体" w:hint="eastAsia"/>
        </w:rPr>
        <w:t>段</w:t>
      </w:r>
      <w:r w:rsidRPr="008012F8">
        <w:t>(</w:t>
      </w:r>
      <w:r w:rsidRPr="008012F8">
        <w:rPr>
          <w:rFonts w:hint="eastAsia"/>
        </w:rPr>
        <w:t>“……</w:t>
      </w:r>
      <w:r w:rsidRPr="008012F8">
        <w:rPr>
          <w:rFonts w:ascii="宋体" w:hAnsi="宋体" w:cs="宋体" w:hint="eastAsia"/>
        </w:rPr>
        <w:t>法院认为，为本判决之目的，没有必要划分其属于对声明的证实还是修改</w:t>
      </w:r>
      <w:r w:rsidRPr="008012F8">
        <w:rPr>
          <w:rFonts w:hint="eastAsia"/>
        </w:rPr>
        <w:t>”</w:t>
      </w:r>
      <w:r w:rsidRPr="008012F8">
        <w:t>)</w:t>
      </w:r>
      <w:r w:rsidRPr="008012F8">
        <w:rPr>
          <w:rFonts w:ascii="宋体" w:hAnsi="宋体" w:cs="宋体" w:hint="eastAsia"/>
        </w:rPr>
        <w:t>；有时认为，第三十一条第三款</w:t>
      </w:r>
      <w:r w:rsidRPr="008012F8">
        <w:t>(a)</w:t>
      </w:r>
      <w:r w:rsidRPr="008012F8">
        <w:t>项</w:t>
      </w:r>
      <w:r w:rsidRPr="008012F8">
        <w:rPr>
          <w:rFonts w:ascii="宋体" w:hAnsi="宋体" w:cs="宋体" w:hint="eastAsia"/>
        </w:rPr>
        <w:t>所指协定也可以具有修改条约的效果，</w:t>
      </w:r>
      <w:r w:rsidRPr="008012F8">
        <w:t>(</w:t>
      </w:r>
      <w:r w:rsidRPr="008012F8">
        <w:t>见</w:t>
      </w:r>
      <w:r w:rsidRPr="008012F8">
        <w:t xml:space="preserve">Aust, </w:t>
      </w:r>
      <w:r w:rsidRPr="008012F8">
        <w:rPr>
          <w:rFonts w:ascii="宋体" w:hAnsi="宋体" w:cs="宋体" w:hint="eastAsia"/>
        </w:rPr>
        <w:t>《现代条约法和实践》</w:t>
      </w:r>
      <w:r w:rsidRPr="008012F8">
        <w:t>(</w:t>
      </w:r>
      <w:r w:rsidRPr="005B3C68">
        <w:rPr>
          <w:rFonts w:asciiTheme="majorBidi" w:hAnsiTheme="majorBidi" w:cstheme="majorBidi"/>
        </w:rPr>
        <w:t>上文脚注</w:t>
      </w:r>
      <w:r>
        <w:fldChar w:fldCharType="begin"/>
      </w:r>
      <w:r>
        <w:instrText xml:space="preserve"> </w:instrText>
      </w:r>
      <w:r>
        <w:rPr>
          <w:rFonts w:hint="eastAsia"/>
        </w:rPr>
        <w:instrText>NOTEREF _Ref461972435 \h</w:instrText>
      </w:r>
      <w:r>
        <w:instrText xml:space="preserve"> </w:instrText>
      </w:r>
      <w:r>
        <w:fldChar w:fldCharType="separate"/>
      </w:r>
      <w:r w:rsidR="00A73EB9">
        <w:t>525</w:t>
      </w:r>
      <w:r>
        <w:fldChar w:fldCharType="end"/>
      </w:r>
      <w:r w:rsidRPr="005B3C68">
        <w:rPr>
          <w:rFonts w:asciiTheme="majorBidi" w:hAnsiTheme="majorBidi" w:cstheme="majorBidi"/>
        </w:rPr>
        <w:t>)</w:t>
      </w:r>
      <w:r w:rsidRPr="005B3C68">
        <w:rPr>
          <w:rFonts w:asciiTheme="majorBidi" w:hAnsiTheme="majorBidi" w:cstheme="majorBidi"/>
        </w:rPr>
        <w:t>，第</w:t>
      </w:r>
      <w:r w:rsidRPr="008012F8">
        <w:t>212-214</w:t>
      </w:r>
      <w:r w:rsidRPr="008012F8">
        <w:rPr>
          <w:rFonts w:ascii="宋体" w:hAnsi="宋体" w:cs="宋体" w:hint="eastAsia"/>
        </w:rPr>
        <w:t>页，其中举了例子</w:t>
      </w:r>
      <w:r w:rsidRPr="008012F8">
        <w:t>)</w:t>
      </w:r>
      <w:r w:rsidRPr="008012F8">
        <w:rPr>
          <w:rFonts w:ascii="宋体" w:hAnsi="宋体" w:cs="宋体" w:hint="eastAsia"/>
        </w:rPr>
        <w:t>。</w:t>
      </w:r>
    </w:p>
  </w:footnote>
  <w:footnote w:id="679">
    <w:p w:rsidR="00AB00DE" w:rsidRPr="008012F8" w:rsidRDefault="00AB00DE" w:rsidP="00267AB1">
      <w:pPr>
        <w:pStyle w:val="a4"/>
      </w:pPr>
      <w:r w:rsidRPr="008012F8">
        <w:tab/>
      </w:r>
      <w:r w:rsidRPr="00DF5565">
        <w:rPr>
          <w:rStyle w:val="a5"/>
        </w:rPr>
        <w:footnoteRef/>
      </w:r>
      <w:r w:rsidRPr="008012F8">
        <w:tab/>
      </w:r>
      <w:r w:rsidRPr="00DF5565">
        <w:rPr>
          <w:rFonts w:eastAsia="楷体"/>
        </w:rPr>
        <w:t>乌拉圭河沿岸纸浆厂案</w:t>
      </w:r>
      <w:r w:rsidRPr="00DF5565">
        <w:rPr>
          <w:rFonts w:asciiTheme="majorBidi" w:eastAsia="楷体" w:hAnsiTheme="majorBidi" w:cstheme="majorBidi"/>
        </w:rPr>
        <w:t>(</w:t>
      </w:r>
      <w:r w:rsidRPr="00C90F38">
        <w:rPr>
          <w:rFonts w:asciiTheme="majorBidi" w:hAnsiTheme="majorBidi" w:cstheme="majorBidi"/>
        </w:rPr>
        <w:t>见上文脚注</w:t>
      </w:r>
      <w:r>
        <w:rPr>
          <w:lang w:val="zh-CN"/>
        </w:rPr>
        <w:fldChar w:fldCharType="begin"/>
      </w:r>
      <w:r>
        <w:rPr>
          <w:lang w:val="zh-CN"/>
        </w:rPr>
        <w:instrText xml:space="preserve"> NOTEREF _Ref461971066 \h </w:instrText>
      </w:r>
      <w:r>
        <w:rPr>
          <w:lang w:val="zh-CN"/>
        </w:rPr>
      </w:r>
      <w:r>
        <w:rPr>
          <w:lang w:val="zh-CN"/>
        </w:rPr>
        <w:fldChar w:fldCharType="separate"/>
      </w:r>
      <w:r w:rsidR="00A73EB9">
        <w:rPr>
          <w:lang w:val="zh-CN"/>
        </w:rPr>
        <w:t>395</w:t>
      </w:r>
      <w:r>
        <w:rPr>
          <w:lang w:val="zh-CN"/>
        </w:rPr>
        <w:fldChar w:fldCharType="end"/>
      </w:r>
      <w:r w:rsidRPr="00C90F38">
        <w:rPr>
          <w:rFonts w:asciiTheme="majorBidi" w:hAnsiTheme="majorBidi" w:cstheme="majorBidi"/>
        </w:rPr>
        <w:t>)</w:t>
      </w:r>
      <w:r w:rsidRPr="00DF5565">
        <w:rPr>
          <w:rFonts w:asciiTheme="majorBidi" w:eastAsia="楷体" w:hAnsiTheme="majorBidi" w:cstheme="majorBidi"/>
        </w:rPr>
        <w:t>，</w:t>
      </w:r>
      <w:r w:rsidRPr="00C90F38">
        <w:rPr>
          <w:rFonts w:asciiTheme="majorBidi" w:hAnsiTheme="majorBidi" w:cstheme="majorBidi"/>
        </w:rPr>
        <w:t>第</w:t>
      </w:r>
      <w:r w:rsidRPr="00C90F38">
        <w:rPr>
          <w:rFonts w:asciiTheme="majorBidi" w:hAnsiTheme="majorBidi" w:cstheme="majorBidi"/>
        </w:rPr>
        <w:t>63</w:t>
      </w:r>
      <w:r w:rsidRPr="00C90F38">
        <w:rPr>
          <w:rFonts w:asciiTheme="majorBidi" w:hAnsiTheme="majorBidi" w:cstheme="majorBidi"/>
        </w:rPr>
        <w:t>页</w:t>
      </w:r>
      <w:r w:rsidRPr="008012F8">
        <w:rPr>
          <w:rFonts w:ascii="宋体" w:hAnsi="宋体" w:cs="宋体" w:hint="eastAsia"/>
        </w:rPr>
        <w:t>，第</w:t>
      </w:r>
      <w:r w:rsidRPr="008012F8">
        <w:t>131</w:t>
      </w:r>
      <w:r w:rsidRPr="008012F8">
        <w:rPr>
          <w:rFonts w:ascii="宋体" w:hAnsi="宋体" w:cs="宋体" w:hint="eastAsia"/>
        </w:rPr>
        <w:t>和第</w:t>
      </w:r>
      <w:r w:rsidRPr="008012F8">
        <w:t>140</w:t>
      </w:r>
      <w:r w:rsidRPr="008012F8">
        <w:rPr>
          <w:rFonts w:ascii="宋体" w:hAnsi="宋体" w:cs="宋体" w:hint="eastAsia"/>
        </w:rPr>
        <w:t>段；</w:t>
      </w:r>
      <w:r w:rsidRPr="008012F8">
        <w:t>Crawford,</w:t>
      </w:r>
      <w:r w:rsidRPr="008012F8">
        <w:rPr>
          <w:rFonts w:hint="eastAsia"/>
        </w:rPr>
        <w:t>“</w:t>
      </w:r>
      <w:r w:rsidRPr="008012F8">
        <w:rPr>
          <w:rFonts w:ascii="宋体" w:hAnsi="宋体" w:cs="宋体" w:hint="eastAsia"/>
        </w:rPr>
        <w:t>对</w:t>
      </w:r>
      <w:r w:rsidRPr="008012F8">
        <w:rPr>
          <w:rFonts w:hint="eastAsia"/>
        </w:rPr>
        <w:t>……</w:t>
      </w:r>
      <w:r w:rsidRPr="008012F8">
        <w:rPr>
          <w:rFonts w:ascii="宋体" w:hAnsi="宋体" w:cs="宋体" w:hint="eastAsia"/>
        </w:rPr>
        <w:t>第三十一条第三款的合意主义解释</w:t>
      </w:r>
      <w:r w:rsidRPr="00C90F38">
        <w:rPr>
          <w:rFonts w:asciiTheme="majorBidi" w:hAnsiTheme="majorBidi" w:cstheme="majorBidi"/>
        </w:rPr>
        <w:t>”(</w:t>
      </w:r>
      <w:r w:rsidRPr="00C90F38">
        <w:rPr>
          <w:rFonts w:asciiTheme="majorBidi" w:hAnsiTheme="majorBidi" w:cstheme="majorBidi"/>
        </w:rPr>
        <w:t>见上文脚注</w:t>
      </w:r>
      <w:r>
        <w:rPr>
          <w:rFonts w:asciiTheme="majorBidi" w:hAnsiTheme="majorBidi" w:cstheme="majorBidi"/>
        </w:rPr>
        <w:fldChar w:fldCharType="begin"/>
      </w:r>
      <w:r>
        <w:rPr>
          <w:rFonts w:asciiTheme="majorBidi" w:hAnsiTheme="majorBidi" w:cstheme="majorBidi"/>
        </w:rPr>
        <w:instrText xml:space="preserve"> NOTEREF _Ref461973791 \h </w:instrText>
      </w:r>
      <w:r>
        <w:rPr>
          <w:rFonts w:asciiTheme="majorBidi" w:hAnsiTheme="majorBidi" w:cstheme="majorBidi"/>
        </w:rPr>
      </w:r>
      <w:r>
        <w:rPr>
          <w:rFonts w:asciiTheme="majorBidi" w:hAnsiTheme="majorBidi" w:cstheme="majorBidi"/>
        </w:rPr>
        <w:fldChar w:fldCharType="separate"/>
      </w:r>
      <w:r w:rsidR="00A73EB9">
        <w:rPr>
          <w:rFonts w:asciiTheme="majorBidi" w:hAnsiTheme="majorBidi" w:cstheme="majorBidi"/>
        </w:rPr>
        <w:t>606</w:t>
      </w:r>
      <w:r>
        <w:rPr>
          <w:rFonts w:asciiTheme="majorBidi" w:hAnsiTheme="majorBidi" w:cstheme="majorBidi"/>
        </w:rPr>
        <w:fldChar w:fldCharType="end"/>
      </w:r>
      <w:r w:rsidRPr="00C90F38">
        <w:rPr>
          <w:rFonts w:asciiTheme="majorBidi" w:hAnsiTheme="majorBidi" w:cstheme="majorBidi"/>
        </w:rPr>
        <w:t>)</w:t>
      </w:r>
      <w:r w:rsidRPr="00C90F38">
        <w:rPr>
          <w:rFonts w:asciiTheme="majorBidi" w:hAnsiTheme="majorBidi" w:cstheme="majorBidi"/>
        </w:rPr>
        <w:t>，</w:t>
      </w:r>
      <w:r w:rsidRPr="008012F8">
        <w:rPr>
          <w:rFonts w:ascii="宋体" w:hAnsi="宋体" w:cs="宋体" w:hint="eastAsia"/>
        </w:rPr>
        <w:t>第</w:t>
      </w:r>
      <w:r w:rsidRPr="008012F8">
        <w:t>32</w:t>
      </w:r>
      <w:r w:rsidRPr="008012F8">
        <w:rPr>
          <w:rFonts w:ascii="宋体" w:hAnsi="宋体" w:cs="宋体" w:hint="eastAsia"/>
        </w:rPr>
        <w:t>页；伊朗－美国索赔法庭，第</w:t>
      </w:r>
      <w:r w:rsidRPr="008012F8">
        <w:t>ITL 83-B1-FT</w:t>
      </w:r>
      <w:r w:rsidRPr="008012F8">
        <w:rPr>
          <w:rFonts w:ascii="宋体" w:hAnsi="宋体" w:cs="宋体" w:hint="eastAsia"/>
        </w:rPr>
        <w:t>号中间裁决</w:t>
      </w:r>
      <w:r w:rsidRPr="008012F8">
        <w:t>(</w:t>
      </w:r>
      <w:r w:rsidRPr="008012F8">
        <w:rPr>
          <w:rFonts w:ascii="宋体" w:hAnsi="宋体" w:cs="宋体" w:hint="eastAsia"/>
        </w:rPr>
        <w:t>反诉</w:t>
      </w:r>
      <w:r w:rsidRPr="008012F8">
        <w:t>)(</w:t>
      </w:r>
      <w:r w:rsidRPr="005B3C68">
        <w:rPr>
          <w:rFonts w:asciiTheme="majorBidi" w:hAnsiTheme="majorBidi" w:cstheme="majorBidi"/>
        </w:rPr>
        <w:t>见上文脚注</w:t>
      </w:r>
      <w:r>
        <w:fldChar w:fldCharType="begin"/>
      </w:r>
      <w:r>
        <w:instrText xml:space="preserve"> </w:instrText>
      </w:r>
      <w:r>
        <w:rPr>
          <w:rFonts w:hint="eastAsia"/>
        </w:rPr>
        <w:instrText>NOTEREF _Ref461973728 \h</w:instrText>
      </w:r>
      <w:r>
        <w:instrText xml:space="preserve"> </w:instrText>
      </w:r>
      <w:r>
        <w:fldChar w:fldCharType="separate"/>
      </w:r>
      <w:r w:rsidR="00A73EB9">
        <w:t>537</w:t>
      </w:r>
      <w:r>
        <w:fldChar w:fldCharType="end"/>
      </w:r>
      <w:r w:rsidRPr="005B3C68">
        <w:rPr>
          <w:rFonts w:asciiTheme="majorBidi" w:hAnsiTheme="majorBidi" w:cstheme="majorBidi"/>
        </w:rPr>
        <w:t>)</w:t>
      </w:r>
      <w:r w:rsidRPr="005B3C68">
        <w:rPr>
          <w:rFonts w:asciiTheme="majorBidi" w:hAnsiTheme="majorBidi" w:cstheme="majorBidi"/>
        </w:rPr>
        <w:t>，第</w:t>
      </w:r>
      <w:r w:rsidRPr="008012F8">
        <w:t>77</w:t>
      </w:r>
      <w:r w:rsidRPr="008012F8">
        <w:rPr>
          <w:rFonts w:ascii="宋体" w:hAnsi="宋体" w:cs="宋体" w:hint="eastAsia"/>
        </w:rPr>
        <w:t>页起，</w:t>
      </w:r>
      <w:r w:rsidRPr="008012F8">
        <w:t>见</w:t>
      </w:r>
      <w:r w:rsidRPr="008012F8">
        <w:rPr>
          <w:rFonts w:ascii="宋体" w:hAnsi="宋体" w:cs="宋体" w:hint="eastAsia"/>
        </w:rPr>
        <w:t>第</w:t>
      </w:r>
      <w:r w:rsidRPr="008012F8">
        <w:t>125-126</w:t>
      </w:r>
      <w:r w:rsidRPr="008012F8">
        <w:rPr>
          <w:rFonts w:ascii="宋体" w:hAnsi="宋体" w:cs="宋体" w:hint="eastAsia"/>
        </w:rPr>
        <w:t>页，第</w:t>
      </w:r>
      <w:r w:rsidRPr="008012F8">
        <w:t>132</w:t>
      </w:r>
      <w:r w:rsidRPr="008012F8">
        <w:rPr>
          <w:rFonts w:ascii="宋体" w:hAnsi="宋体" w:cs="宋体" w:hint="eastAsia"/>
        </w:rPr>
        <w:t>段；</w:t>
      </w:r>
      <w:r w:rsidRPr="00DF5565">
        <w:rPr>
          <w:rFonts w:eastAsia="楷体"/>
        </w:rPr>
        <w:t>ADF</w:t>
      </w:r>
      <w:r w:rsidRPr="00DF5565">
        <w:rPr>
          <w:rFonts w:eastAsia="楷体"/>
        </w:rPr>
        <w:t>集团公司诉美利坚合众国</w:t>
      </w:r>
      <w:r w:rsidRPr="008012F8">
        <w:t>(</w:t>
      </w:r>
      <w:r w:rsidRPr="008012F8">
        <w:rPr>
          <w:rFonts w:ascii="宋体" w:hAnsi="宋体" w:cs="宋体" w:hint="eastAsia"/>
        </w:rPr>
        <w:t>案件号</w:t>
      </w:r>
      <w:r w:rsidRPr="008012F8">
        <w:t>ARB(AF)/00/1)</w:t>
      </w:r>
      <w:r w:rsidRPr="008012F8">
        <w:rPr>
          <w:rFonts w:ascii="宋体" w:hAnsi="宋体" w:cs="宋体" w:hint="eastAsia"/>
        </w:rPr>
        <w:t>，国际投资争端解决中心根据《北美自由贸易协定》第</w:t>
      </w:r>
      <w:r w:rsidRPr="008012F8">
        <w:t>11</w:t>
      </w:r>
      <w:r w:rsidRPr="008012F8">
        <w:rPr>
          <w:rFonts w:ascii="宋体" w:hAnsi="宋体" w:cs="宋体" w:hint="eastAsia"/>
        </w:rPr>
        <w:t>章作出的仲裁，</w:t>
      </w:r>
      <w:r w:rsidRPr="008012F8">
        <w:t>20</w:t>
      </w:r>
      <w:r w:rsidRPr="008012F8">
        <w:rPr>
          <w:rFonts w:hint="eastAsia"/>
        </w:rPr>
        <w:t>0</w:t>
      </w:r>
      <w:r w:rsidRPr="008012F8">
        <w:t>3</w:t>
      </w:r>
      <w:r w:rsidRPr="008012F8">
        <w:rPr>
          <w:rFonts w:ascii="宋体" w:hAnsi="宋体" w:cs="宋体" w:hint="eastAsia"/>
        </w:rPr>
        <w:t>年</w:t>
      </w:r>
      <w:r w:rsidRPr="008012F8">
        <w:t>1</w:t>
      </w:r>
      <w:r w:rsidRPr="008012F8">
        <w:rPr>
          <w:rFonts w:ascii="宋体" w:hAnsi="宋体" w:cs="宋体" w:hint="eastAsia"/>
        </w:rPr>
        <w:t>月</w:t>
      </w:r>
      <w:r w:rsidRPr="008012F8">
        <w:t>9</w:t>
      </w:r>
      <w:r w:rsidRPr="008012F8">
        <w:rPr>
          <w:rFonts w:ascii="宋体" w:hAnsi="宋体" w:cs="宋体" w:hint="eastAsia"/>
        </w:rPr>
        <w:t>日，</w:t>
      </w:r>
      <w:r w:rsidRPr="008012F8">
        <w:t>《</w:t>
      </w:r>
      <w:r w:rsidRPr="008012F8">
        <w:rPr>
          <w:rFonts w:ascii="宋体" w:hAnsi="宋体" w:cs="宋体" w:hint="eastAsia"/>
        </w:rPr>
        <w:t>国际投资争端解决中心案例汇编》</w:t>
      </w:r>
      <w:r w:rsidRPr="008012F8">
        <w:t>，第</w:t>
      </w:r>
      <w:r w:rsidRPr="008012F8">
        <w:t>6</w:t>
      </w:r>
      <w:r w:rsidRPr="008012F8">
        <w:t>卷</w:t>
      </w:r>
      <w:r w:rsidRPr="008012F8">
        <w:t>(2004</w:t>
      </w:r>
      <w:r w:rsidRPr="008012F8">
        <w:t>年</w:t>
      </w:r>
      <w:r w:rsidRPr="008012F8">
        <w:t>)</w:t>
      </w:r>
      <w:r w:rsidRPr="008012F8">
        <w:t>，</w:t>
      </w:r>
      <w:r w:rsidRPr="008012F8">
        <w:rPr>
          <w:rFonts w:ascii="宋体" w:hAnsi="宋体" w:cs="宋体" w:hint="eastAsia"/>
        </w:rPr>
        <w:t>第</w:t>
      </w:r>
      <w:r w:rsidRPr="008012F8">
        <w:t>84-85</w:t>
      </w:r>
      <w:r w:rsidRPr="008012F8">
        <w:rPr>
          <w:rFonts w:ascii="宋体" w:hAnsi="宋体" w:cs="宋体" w:hint="eastAsia"/>
        </w:rPr>
        <w:t>页，第</w:t>
      </w:r>
      <w:r w:rsidRPr="008012F8">
        <w:t>117</w:t>
      </w:r>
      <w:r w:rsidRPr="008012F8">
        <w:rPr>
          <w:rFonts w:ascii="宋体" w:hAnsi="宋体" w:cs="宋体" w:hint="eastAsia"/>
        </w:rPr>
        <w:t>段</w:t>
      </w:r>
      <w:r w:rsidRPr="008012F8">
        <w:t>(www.state.gov/documents/rganization/16586.pdf)</w:t>
      </w:r>
      <w:r w:rsidRPr="008012F8">
        <w:rPr>
          <w:rFonts w:ascii="宋体" w:hAnsi="宋体" w:cs="宋体" w:hint="eastAsia"/>
        </w:rPr>
        <w:t>；</w:t>
      </w:r>
      <w:r w:rsidRPr="008012F8">
        <w:rPr>
          <w:rFonts w:ascii="宋体" w:hAnsi="宋体" w:cs="宋体" w:hint="eastAsia"/>
          <w:lang w:val="fr-FR"/>
        </w:rPr>
        <w:t>同上</w:t>
      </w:r>
      <w:r w:rsidRPr="008012F8">
        <w:rPr>
          <w:rFonts w:ascii="宋体" w:hAnsi="宋体" w:cs="宋体" w:hint="eastAsia"/>
        </w:rPr>
        <w:t>，</w:t>
      </w:r>
      <w:r w:rsidRPr="008012F8">
        <w:rPr>
          <w:rFonts w:ascii="宋体" w:hAnsi="宋体" w:cs="宋体" w:hint="eastAsia"/>
          <w:lang w:val="fr-FR"/>
        </w:rPr>
        <w:t>第四部分</w:t>
      </w:r>
      <w:r w:rsidRPr="008012F8">
        <w:rPr>
          <w:rFonts w:ascii="宋体" w:hAnsi="宋体" w:cs="宋体" w:hint="eastAsia"/>
        </w:rPr>
        <w:t>，</w:t>
      </w:r>
      <w:r w:rsidRPr="008012F8">
        <w:t>C</w:t>
      </w:r>
      <w:r w:rsidRPr="008012F8">
        <w:rPr>
          <w:rFonts w:ascii="宋体" w:hAnsi="宋体" w:cs="宋体" w:hint="eastAsia"/>
          <w:lang w:val="fr-FR"/>
        </w:rPr>
        <w:t>章</w:t>
      </w:r>
      <w:r w:rsidRPr="008012F8">
        <w:rPr>
          <w:rFonts w:ascii="宋体" w:hAnsi="宋体" w:cs="宋体" w:hint="eastAsia"/>
        </w:rPr>
        <w:t>，</w:t>
      </w:r>
      <w:r w:rsidRPr="008012F8">
        <w:rPr>
          <w:rFonts w:ascii="宋体" w:hAnsi="宋体" w:cs="宋体" w:hint="eastAsia"/>
          <w:lang w:val="fr-FR"/>
        </w:rPr>
        <w:t>第</w:t>
      </w:r>
      <w:r w:rsidRPr="008012F8">
        <w:t>20-21</w:t>
      </w:r>
      <w:r w:rsidRPr="008012F8">
        <w:rPr>
          <w:rFonts w:ascii="宋体" w:hAnsi="宋体" w:cs="宋体" w:hint="eastAsia"/>
          <w:lang w:val="fr-FR"/>
        </w:rPr>
        <w:t>段</w:t>
      </w:r>
      <w:r w:rsidRPr="00C90F38">
        <w:rPr>
          <w:rFonts w:ascii="宋体" w:hAnsi="宋体" w:cs="宋体" w:hint="eastAsia"/>
        </w:rPr>
        <w:t>；</w:t>
      </w:r>
      <w:hyperlink r:id="rId79" w:history="1">
        <w:r w:rsidRPr="00C90F38">
          <w:rPr>
            <w:rStyle w:val="af"/>
          </w:rPr>
          <w:t>A/CN.4/671</w:t>
        </w:r>
      </w:hyperlink>
      <w:r w:rsidRPr="00C90F38">
        <w:t xml:space="preserve">, </w:t>
      </w:r>
      <w:r w:rsidRPr="00C90F38">
        <w:rPr>
          <w:rFonts w:ascii="宋体" w:hAnsi="宋体" w:cs="宋体" w:hint="eastAsia"/>
          <w:lang w:val="fr-FR"/>
        </w:rPr>
        <w:t>第</w:t>
      </w:r>
      <w:r w:rsidRPr="00C90F38">
        <w:t>146</w:t>
      </w:r>
      <w:r w:rsidRPr="008012F8">
        <w:t>-165</w:t>
      </w:r>
      <w:r w:rsidRPr="008012F8">
        <w:rPr>
          <w:rFonts w:ascii="宋体" w:hAnsi="宋体" w:cs="宋体" w:hint="eastAsia"/>
          <w:lang w:val="fr-FR"/>
        </w:rPr>
        <w:t>段。</w:t>
      </w:r>
    </w:p>
  </w:footnote>
  <w:footnote w:id="680">
    <w:p w:rsidR="00AB00DE" w:rsidRPr="008012F8" w:rsidRDefault="00AB00DE" w:rsidP="00267AB1">
      <w:pPr>
        <w:pStyle w:val="a4"/>
      </w:pPr>
      <w:r w:rsidRPr="008012F8">
        <w:tab/>
      </w:r>
      <w:r w:rsidRPr="00DF5565">
        <w:rPr>
          <w:rStyle w:val="a5"/>
        </w:rPr>
        <w:footnoteRef/>
      </w:r>
      <w:r w:rsidRPr="008012F8">
        <w:tab/>
      </w:r>
      <w:r w:rsidRPr="008012F8">
        <w:rPr>
          <w:rFonts w:ascii="宋体" w:hAnsi="宋体" w:cs="宋体" w:hint="eastAsia"/>
        </w:rPr>
        <w:t>在法庭诉讼外的外交环境下，国家可能比较愿意公开承认某项协定或共同的惯例构成对条约的修改，见</w:t>
      </w:r>
      <w:r w:rsidRPr="008012F8">
        <w:t>Murphy,</w:t>
      </w:r>
      <w:r w:rsidRPr="008012F8">
        <w:rPr>
          <w:rFonts w:hint="eastAsia"/>
        </w:rPr>
        <w:t>“</w:t>
      </w:r>
      <w:r w:rsidRPr="008012F8">
        <w:rPr>
          <w:rFonts w:ascii="宋体" w:hAnsi="宋体" w:cs="宋体" w:hint="eastAsia"/>
        </w:rPr>
        <w:t>嗣后协定</w:t>
      </w:r>
      <w:r w:rsidRPr="008012F8">
        <w:rPr>
          <w:rFonts w:hint="eastAsia"/>
        </w:rPr>
        <w:t>……</w:t>
      </w:r>
      <w:r w:rsidRPr="008012F8">
        <w:rPr>
          <w:rFonts w:ascii="宋体" w:hAnsi="宋体" w:cs="宋体" w:hint="eastAsia"/>
        </w:rPr>
        <w:t>的作用</w:t>
      </w:r>
      <w:r w:rsidRPr="008012F8">
        <w:rPr>
          <w:rFonts w:hint="eastAsia"/>
        </w:rPr>
        <w:t>”</w:t>
      </w:r>
      <w:r w:rsidRPr="00C90F38">
        <w:rPr>
          <w:rFonts w:asciiTheme="majorBidi" w:hAnsiTheme="majorBidi" w:cstheme="majorBidi"/>
        </w:rPr>
        <w:t>(</w:t>
      </w:r>
      <w:r w:rsidRPr="00C90F38">
        <w:rPr>
          <w:rFonts w:asciiTheme="majorBidi" w:hAnsiTheme="majorBidi" w:cstheme="majorBidi"/>
        </w:rPr>
        <w:t>上文脚注</w:t>
      </w:r>
      <w:r>
        <w:rPr>
          <w:rFonts w:asciiTheme="majorBidi" w:hAnsiTheme="majorBidi" w:cstheme="majorBidi"/>
        </w:rPr>
        <w:fldChar w:fldCharType="begin"/>
      </w:r>
      <w:r>
        <w:rPr>
          <w:rFonts w:asciiTheme="majorBidi" w:hAnsiTheme="majorBidi" w:cstheme="majorBidi"/>
        </w:rPr>
        <w:instrText xml:space="preserve"> NOTEREF _Ref461973633 \h </w:instrText>
      </w:r>
      <w:r>
        <w:rPr>
          <w:rFonts w:asciiTheme="majorBidi" w:hAnsiTheme="majorBidi" w:cstheme="majorBidi"/>
        </w:rPr>
      </w:r>
      <w:r>
        <w:rPr>
          <w:rFonts w:asciiTheme="majorBidi" w:hAnsiTheme="majorBidi" w:cstheme="majorBidi"/>
        </w:rPr>
        <w:fldChar w:fldCharType="separate"/>
      </w:r>
      <w:r w:rsidR="00A73EB9">
        <w:rPr>
          <w:rFonts w:asciiTheme="majorBidi" w:hAnsiTheme="majorBidi" w:cstheme="majorBidi"/>
        </w:rPr>
        <w:t>642</w:t>
      </w:r>
      <w:r>
        <w:rPr>
          <w:rFonts w:asciiTheme="majorBidi" w:hAnsiTheme="majorBidi" w:cstheme="majorBidi"/>
        </w:rPr>
        <w:fldChar w:fldCharType="end"/>
      </w:r>
      <w:r w:rsidRPr="00C90F38">
        <w:rPr>
          <w:rFonts w:asciiTheme="majorBidi" w:hAnsiTheme="majorBidi" w:cstheme="majorBidi"/>
        </w:rPr>
        <w:t>)</w:t>
      </w:r>
      <w:r w:rsidRPr="008012F8">
        <w:rPr>
          <w:rFonts w:ascii="宋体" w:hAnsi="宋体" w:cs="宋体" w:hint="eastAsia"/>
        </w:rPr>
        <w:t>，第</w:t>
      </w:r>
      <w:r w:rsidRPr="008012F8">
        <w:t>83</w:t>
      </w:r>
      <w:r w:rsidRPr="008012F8">
        <w:rPr>
          <w:rFonts w:ascii="宋体" w:hAnsi="宋体" w:cs="宋体" w:hint="eastAsia"/>
        </w:rPr>
        <w:t>页。</w:t>
      </w:r>
    </w:p>
  </w:footnote>
  <w:footnote w:id="681">
    <w:p w:rsidR="00AB00DE" w:rsidRPr="008012F8" w:rsidRDefault="00AB00DE" w:rsidP="00267AB1">
      <w:pPr>
        <w:pStyle w:val="a4"/>
      </w:pPr>
      <w:r w:rsidRPr="008012F8">
        <w:tab/>
      </w:r>
      <w:r w:rsidRPr="00DF5565">
        <w:rPr>
          <w:rStyle w:val="a5"/>
        </w:rPr>
        <w:footnoteRef/>
      </w:r>
      <w:r w:rsidRPr="008012F8">
        <w:tab/>
      </w:r>
      <w:r w:rsidRPr="008012F8">
        <w:rPr>
          <w:rFonts w:ascii="宋体" w:hAnsi="宋体" w:cs="宋体" w:hint="eastAsia"/>
        </w:rPr>
        <w:t>同上，第</w:t>
      </w:r>
      <w:r w:rsidRPr="008012F8">
        <w:t>66</w:t>
      </w:r>
      <w:r w:rsidRPr="008012F8">
        <w:rPr>
          <w:rFonts w:ascii="宋体" w:hAnsi="宋体" w:cs="宋体" w:hint="eastAsia"/>
        </w:rPr>
        <w:t>页，第</w:t>
      </w:r>
      <w:r w:rsidRPr="008012F8">
        <w:t>140</w:t>
      </w:r>
      <w:r w:rsidRPr="008012F8">
        <w:rPr>
          <w:rFonts w:ascii="宋体" w:hAnsi="宋体" w:cs="宋体" w:hint="eastAsia"/>
        </w:rPr>
        <w:t>段；</w:t>
      </w:r>
      <w:r w:rsidRPr="008012F8">
        <w:t>Crawford,</w:t>
      </w:r>
      <w:r w:rsidRPr="008012F8">
        <w:rPr>
          <w:rFonts w:hint="eastAsia"/>
        </w:rPr>
        <w:t>“</w:t>
      </w:r>
      <w:r w:rsidRPr="008012F8">
        <w:rPr>
          <w:rFonts w:ascii="宋体" w:hAnsi="宋体" w:cs="宋体" w:hint="eastAsia"/>
        </w:rPr>
        <w:t>对</w:t>
      </w:r>
      <w:r w:rsidRPr="008012F8">
        <w:rPr>
          <w:rFonts w:hint="eastAsia"/>
        </w:rPr>
        <w:t>……</w:t>
      </w:r>
      <w:r w:rsidRPr="008012F8">
        <w:rPr>
          <w:rFonts w:ascii="宋体" w:hAnsi="宋体" w:cs="宋体" w:hint="eastAsia"/>
        </w:rPr>
        <w:t>第三十一条第三款的合意主义解释</w:t>
      </w:r>
      <w:r w:rsidRPr="008012F8">
        <w:rPr>
          <w:rFonts w:hint="eastAsia"/>
        </w:rPr>
        <w:t>”</w:t>
      </w:r>
      <w:r w:rsidRPr="008012F8">
        <w:t>(</w:t>
      </w:r>
      <w:r w:rsidRPr="00C90F38">
        <w:rPr>
          <w:rFonts w:asciiTheme="majorBidi" w:hAnsiTheme="majorBidi" w:cstheme="majorBidi"/>
        </w:rPr>
        <w:t>见上文脚注</w:t>
      </w:r>
      <w:r>
        <w:rPr>
          <w:rFonts w:asciiTheme="majorBidi" w:hAnsiTheme="majorBidi" w:cstheme="majorBidi"/>
        </w:rPr>
        <w:fldChar w:fldCharType="begin"/>
      </w:r>
      <w:r>
        <w:rPr>
          <w:rFonts w:asciiTheme="majorBidi" w:hAnsiTheme="majorBidi" w:cstheme="majorBidi"/>
        </w:rPr>
        <w:instrText xml:space="preserve"> NOTEREF _Ref461973791 \h </w:instrText>
      </w:r>
      <w:r>
        <w:rPr>
          <w:rFonts w:asciiTheme="majorBidi" w:hAnsiTheme="majorBidi" w:cstheme="majorBidi"/>
        </w:rPr>
      </w:r>
      <w:r>
        <w:rPr>
          <w:rFonts w:asciiTheme="majorBidi" w:hAnsiTheme="majorBidi" w:cstheme="majorBidi"/>
        </w:rPr>
        <w:fldChar w:fldCharType="separate"/>
      </w:r>
      <w:r w:rsidR="00A73EB9">
        <w:rPr>
          <w:rFonts w:asciiTheme="majorBidi" w:hAnsiTheme="majorBidi" w:cstheme="majorBidi"/>
        </w:rPr>
        <w:t>606</w:t>
      </w:r>
      <w:r>
        <w:rPr>
          <w:rFonts w:asciiTheme="majorBidi" w:hAnsiTheme="majorBidi" w:cstheme="majorBidi"/>
        </w:rPr>
        <w:fldChar w:fldCharType="end"/>
      </w:r>
      <w:r w:rsidRPr="00C90F38">
        <w:rPr>
          <w:rFonts w:asciiTheme="majorBidi" w:hAnsiTheme="majorBidi" w:cstheme="majorBidi"/>
        </w:rPr>
        <w:t>)</w:t>
      </w:r>
      <w:r w:rsidRPr="008012F8">
        <w:rPr>
          <w:rFonts w:ascii="宋体" w:hAnsi="宋体" w:cs="宋体" w:hint="eastAsia"/>
        </w:rPr>
        <w:t>，第</w:t>
      </w:r>
      <w:r w:rsidRPr="008012F8">
        <w:t>32</w:t>
      </w:r>
      <w:r w:rsidRPr="008012F8">
        <w:rPr>
          <w:rFonts w:ascii="宋体" w:hAnsi="宋体" w:cs="宋体" w:hint="eastAsia"/>
        </w:rPr>
        <w:t>页。</w:t>
      </w:r>
    </w:p>
  </w:footnote>
  <w:footnote w:id="682">
    <w:p w:rsidR="00AB00DE" w:rsidRPr="008012F8" w:rsidRDefault="00AB00DE" w:rsidP="008D7906">
      <w:pPr>
        <w:pStyle w:val="a4"/>
      </w:pPr>
      <w:r w:rsidRPr="008012F8">
        <w:tab/>
      </w:r>
      <w:r w:rsidRPr="00DF5565">
        <w:rPr>
          <w:rStyle w:val="a5"/>
        </w:rPr>
        <w:footnoteRef/>
      </w:r>
      <w:r w:rsidRPr="008012F8">
        <w:tab/>
      </w:r>
      <w:r w:rsidRPr="008012F8">
        <w:rPr>
          <w:rFonts w:ascii="宋体" w:hAnsi="宋体" w:cs="宋体" w:hint="eastAsia"/>
        </w:rPr>
        <w:t>《</w:t>
      </w:r>
      <w:r w:rsidRPr="008012F8">
        <w:t>1966</w:t>
      </w:r>
      <w:r w:rsidRPr="008012F8">
        <w:rPr>
          <w:rFonts w:ascii="宋体" w:hAnsi="宋体" w:cs="宋体" w:hint="eastAsia"/>
        </w:rPr>
        <w:t>年</w:t>
      </w:r>
      <w:r w:rsidRPr="008012F8">
        <w:rPr>
          <w:rFonts w:hint="eastAsia"/>
        </w:rPr>
        <w:t>……</w:t>
      </w:r>
      <w:r w:rsidRPr="008012F8">
        <w:rPr>
          <w:rFonts w:ascii="宋体" w:hAnsi="宋体" w:cs="宋体" w:hint="eastAsia"/>
        </w:rPr>
        <w:t>年鉴》，第二卷，</w:t>
      </w:r>
      <w:r w:rsidRPr="008012F8">
        <w:t>A/6309/Rev.1</w:t>
      </w:r>
      <w:r w:rsidRPr="008012F8">
        <w:t>号文件，</w:t>
      </w:r>
      <w:r w:rsidRPr="008012F8">
        <w:rPr>
          <w:rFonts w:ascii="宋体" w:hAnsi="宋体" w:cs="宋体" w:hint="eastAsia"/>
        </w:rPr>
        <w:t>第</w:t>
      </w:r>
      <w:r w:rsidRPr="008012F8">
        <w:t>236</w:t>
      </w:r>
      <w:r w:rsidRPr="008012F8">
        <w:rPr>
          <w:rFonts w:ascii="宋体" w:hAnsi="宋体" w:cs="宋体" w:hint="eastAsia"/>
        </w:rPr>
        <w:t>页</w:t>
      </w:r>
      <w:r w:rsidRPr="008012F8">
        <w:t>(</w:t>
      </w:r>
      <w:r w:rsidRPr="008012F8">
        <w:rPr>
          <w:rFonts w:ascii="宋体" w:hAnsi="宋体" w:cs="宋体" w:hint="eastAsia"/>
        </w:rPr>
        <w:t>脚注</w:t>
      </w:r>
      <w:r w:rsidRPr="008012F8">
        <w:t>略</w:t>
      </w:r>
      <w:r w:rsidRPr="008012F8">
        <w:t>)</w:t>
      </w:r>
      <w:r w:rsidRPr="008012F8">
        <w:rPr>
          <w:rFonts w:ascii="宋体" w:hAnsi="宋体" w:cs="宋体" w:hint="eastAsia"/>
        </w:rPr>
        <w:t>。</w:t>
      </w:r>
    </w:p>
  </w:footnote>
  <w:footnote w:id="683">
    <w:p w:rsidR="00AB00DE" w:rsidRPr="008012F8" w:rsidRDefault="00AB00DE" w:rsidP="00267AB1">
      <w:pPr>
        <w:pStyle w:val="a4"/>
      </w:pPr>
      <w:r w:rsidRPr="008012F8">
        <w:tab/>
      </w:r>
      <w:r w:rsidRPr="00DF5565">
        <w:rPr>
          <w:rStyle w:val="a5"/>
        </w:rPr>
        <w:footnoteRef/>
      </w:r>
      <w:r w:rsidRPr="008012F8">
        <w:tab/>
      </w:r>
      <w:r w:rsidRPr="008012F8">
        <w:rPr>
          <w:rFonts w:ascii="宋体" w:hAnsi="宋体" w:cs="宋体" w:hint="eastAsia"/>
        </w:rPr>
        <w:t>见《联合国条约法会议正式记录</w:t>
      </w:r>
      <w:r w:rsidRPr="008012F8">
        <w:rPr>
          <w:rFonts w:hint="eastAsia"/>
        </w:rPr>
        <w:t>……</w:t>
      </w:r>
      <w:r w:rsidRPr="008012F8">
        <w:rPr>
          <w:rFonts w:ascii="宋体" w:hAnsi="宋体" w:cs="宋体" w:hint="eastAsia"/>
        </w:rPr>
        <w:t>》</w:t>
      </w:r>
      <w:r w:rsidRPr="008012F8">
        <w:t>(A/CONF.39/11)(</w:t>
      </w:r>
      <w:r w:rsidRPr="006D43C0">
        <w:rPr>
          <w:rFonts w:asciiTheme="majorBidi" w:hAnsiTheme="majorBidi" w:cstheme="majorBidi"/>
        </w:rPr>
        <w:t>上文脚注</w:t>
      </w:r>
      <w:r>
        <w:fldChar w:fldCharType="begin"/>
      </w:r>
      <w:r>
        <w:instrText xml:space="preserve"> NOTEREF _Ref461974212 \h </w:instrText>
      </w:r>
      <w:r>
        <w:fldChar w:fldCharType="separate"/>
      </w:r>
      <w:r w:rsidR="00A73EB9">
        <w:t>575</w:t>
      </w:r>
      <w:r>
        <w:fldChar w:fldCharType="end"/>
      </w:r>
      <w:r w:rsidRPr="006D43C0">
        <w:rPr>
          <w:rFonts w:asciiTheme="majorBidi" w:hAnsiTheme="majorBidi" w:cstheme="majorBidi"/>
        </w:rPr>
        <w:t>)</w:t>
      </w:r>
      <w:r w:rsidRPr="008012F8">
        <w:t>，第</w:t>
      </w:r>
      <w:r w:rsidRPr="008012F8">
        <w:rPr>
          <w:rFonts w:hint="eastAsia"/>
        </w:rPr>
        <w:t>3</w:t>
      </w:r>
      <w:r w:rsidRPr="008012F8">
        <w:t>7</w:t>
      </w:r>
      <w:r w:rsidRPr="008012F8">
        <w:t>次会议，</w:t>
      </w:r>
      <w:r w:rsidRPr="008012F8">
        <w:t>1968</w:t>
      </w:r>
      <w:r w:rsidRPr="008012F8">
        <w:t>年</w:t>
      </w:r>
      <w:r w:rsidRPr="008012F8">
        <w:t>4</w:t>
      </w:r>
      <w:r w:rsidRPr="008012F8">
        <w:t>月</w:t>
      </w:r>
      <w:r w:rsidRPr="008012F8">
        <w:t>24</w:t>
      </w:r>
      <w:r w:rsidRPr="008012F8">
        <w:t>日，</w:t>
      </w:r>
      <w:r w:rsidRPr="008012F8">
        <w:rPr>
          <w:rFonts w:ascii="宋体" w:hAnsi="宋体" w:cs="宋体" w:hint="eastAsia"/>
        </w:rPr>
        <w:t>第</w:t>
      </w:r>
      <w:r w:rsidRPr="008012F8">
        <w:t>207-215</w:t>
      </w:r>
      <w:r w:rsidRPr="008012F8">
        <w:rPr>
          <w:rFonts w:ascii="宋体" w:hAnsi="宋体" w:cs="宋体" w:hint="eastAsia"/>
        </w:rPr>
        <w:t>页</w:t>
      </w:r>
      <w:r w:rsidRPr="006D43C0">
        <w:rPr>
          <w:rFonts w:ascii="宋体" w:hAnsi="宋体" w:cs="宋体" w:hint="eastAsia"/>
        </w:rPr>
        <w:t>；</w:t>
      </w:r>
      <w:hyperlink r:id="rId80" w:history="1">
        <w:r w:rsidRPr="006D43C0">
          <w:rPr>
            <w:rStyle w:val="af"/>
          </w:rPr>
          <w:t>A/CN.4/671</w:t>
        </w:r>
      </w:hyperlink>
      <w:r w:rsidRPr="006D43C0">
        <w:t xml:space="preserve">, </w:t>
      </w:r>
      <w:r w:rsidRPr="008012F8">
        <w:rPr>
          <w:rFonts w:ascii="宋体" w:hAnsi="宋体" w:cs="宋体" w:hint="eastAsia"/>
        </w:rPr>
        <w:t>第</w:t>
      </w:r>
      <w:r w:rsidRPr="008012F8">
        <w:t>119-121</w:t>
      </w:r>
      <w:r w:rsidRPr="008012F8">
        <w:rPr>
          <w:rFonts w:ascii="宋体" w:hAnsi="宋体" w:cs="宋体" w:hint="eastAsia"/>
        </w:rPr>
        <w:t>段；</w:t>
      </w:r>
      <w:r w:rsidRPr="008012F8">
        <w:t>Distefano,</w:t>
      </w:r>
      <w:r w:rsidRPr="008012F8">
        <w:rPr>
          <w:rFonts w:hint="eastAsia"/>
        </w:rPr>
        <w:t>“……</w:t>
      </w:r>
      <w:r w:rsidRPr="008012F8">
        <w:t>嗣后惯例</w:t>
      </w:r>
      <w:r w:rsidRPr="008012F8">
        <w:rPr>
          <w:rFonts w:hint="eastAsia"/>
        </w:rPr>
        <w:t>”</w:t>
      </w:r>
      <w:r w:rsidRPr="00C90F38">
        <w:rPr>
          <w:rFonts w:asciiTheme="majorBidi" w:hAnsiTheme="majorBidi" w:cstheme="majorBidi"/>
        </w:rPr>
        <w:t>(</w:t>
      </w:r>
      <w:r w:rsidRPr="00C90F38">
        <w:rPr>
          <w:rFonts w:asciiTheme="majorBidi" w:hAnsiTheme="majorBidi" w:cstheme="majorBidi"/>
        </w:rPr>
        <w:t>上文脚注</w:t>
      </w:r>
      <w:r>
        <w:fldChar w:fldCharType="begin"/>
      </w:r>
      <w:r>
        <w:instrText xml:space="preserve"> NOTEREF _Ref461973844 \h </w:instrText>
      </w:r>
      <w:r>
        <w:fldChar w:fldCharType="separate"/>
      </w:r>
      <w:r w:rsidR="00A73EB9">
        <w:t>573</w:t>
      </w:r>
      <w:r>
        <w:fldChar w:fldCharType="end"/>
      </w:r>
      <w:r w:rsidRPr="00C90F38">
        <w:rPr>
          <w:rFonts w:asciiTheme="majorBidi" w:hAnsiTheme="majorBidi" w:cstheme="majorBidi"/>
        </w:rPr>
        <w:t>)</w:t>
      </w:r>
      <w:r w:rsidRPr="008012F8">
        <w:t>，</w:t>
      </w:r>
      <w:r w:rsidRPr="008012F8">
        <w:rPr>
          <w:rFonts w:ascii="宋体" w:hAnsi="宋体" w:cs="宋体" w:hint="eastAsia"/>
          <w:lang w:val="fr-FR"/>
        </w:rPr>
        <w:t>第</w:t>
      </w:r>
      <w:r w:rsidRPr="008012F8">
        <w:t>56-61</w:t>
      </w:r>
      <w:r w:rsidRPr="008012F8">
        <w:rPr>
          <w:rFonts w:ascii="宋体" w:hAnsi="宋体" w:cs="宋体" w:hint="eastAsia"/>
          <w:lang w:val="fr-FR"/>
        </w:rPr>
        <w:t>页。</w:t>
      </w:r>
    </w:p>
  </w:footnote>
  <w:footnote w:id="684">
    <w:p w:rsidR="00AB00DE" w:rsidRPr="008012F8" w:rsidRDefault="00AB00DE" w:rsidP="00560424">
      <w:pPr>
        <w:pStyle w:val="a4"/>
      </w:pPr>
      <w:r w:rsidRPr="008012F8">
        <w:tab/>
      </w:r>
      <w:r w:rsidRPr="00DF5565">
        <w:rPr>
          <w:rStyle w:val="a5"/>
        </w:rPr>
        <w:footnoteRef/>
      </w:r>
      <w:r w:rsidRPr="008012F8">
        <w:tab/>
        <w:t>Sinclair,</w:t>
      </w:r>
      <w:r w:rsidRPr="008012F8">
        <w:rPr>
          <w:rFonts w:ascii="宋体" w:hAnsi="宋体" w:cs="宋体" w:hint="eastAsia"/>
        </w:rPr>
        <w:t>《维也纳</w:t>
      </w:r>
      <w:r w:rsidRPr="008012F8">
        <w:rPr>
          <w:rFonts w:hint="eastAsia"/>
        </w:rPr>
        <w:t>……</w:t>
      </w:r>
      <w:r w:rsidRPr="008012F8">
        <w:rPr>
          <w:rFonts w:ascii="宋体" w:hAnsi="宋体" w:cs="宋体" w:hint="eastAsia"/>
        </w:rPr>
        <w:t>公约》</w:t>
      </w:r>
      <w:r w:rsidRPr="006D43C0">
        <w:rPr>
          <w:rFonts w:asciiTheme="majorBidi" w:hAnsiTheme="majorBidi" w:cstheme="majorBidi"/>
        </w:rPr>
        <w:t>(</w:t>
      </w:r>
      <w:r w:rsidRPr="006D43C0">
        <w:rPr>
          <w:rFonts w:asciiTheme="majorBidi" w:hAnsiTheme="majorBidi" w:cstheme="majorBidi"/>
        </w:rPr>
        <w:t>见上文脚注</w:t>
      </w:r>
      <w:r>
        <w:fldChar w:fldCharType="begin"/>
      </w:r>
      <w:r>
        <w:instrText xml:space="preserve"> NOTEREF _Ref461972846 \h </w:instrText>
      </w:r>
      <w:r>
        <w:fldChar w:fldCharType="separate"/>
      </w:r>
      <w:r w:rsidR="00A73EB9">
        <w:t>393</w:t>
      </w:r>
      <w:r>
        <w:fldChar w:fldCharType="end"/>
      </w:r>
      <w:r w:rsidRPr="006D43C0">
        <w:rPr>
          <w:rFonts w:asciiTheme="majorBidi" w:hAnsiTheme="majorBidi" w:cstheme="majorBidi"/>
        </w:rPr>
        <w:t>)</w:t>
      </w:r>
      <w:r w:rsidRPr="008012F8">
        <w:t>，</w:t>
      </w:r>
      <w:r w:rsidRPr="008012F8">
        <w:rPr>
          <w:rFonts w:ascii="宋体" w:hAnsi="宋体" w:cs="宋体" w:hint="eastAsia"/>
          <w:lang w:val="fr-FR"/>
        </w:rPr>
        <w:t>第</w:t>
      </w:r>
      <w:r w:rsidRPr="008012F8">
        <w:t>138</w:t>
      </w:r>
      <w:r w:rsidRPr="008012F8">
        <w:rPr>
          <w:rFonts w:ascii="宋体" w:hAnsi="宋体" w:cs="宋体" w:hint="eastAsia"/>
          <w:lang w:val="fr-FR"/>
        </w:rPr>
        <w:t>页</w:t>
      </w:r>
      <w:r w:rsidRPr="008012F8">
        <w:rPr>
          <w:rFonts w:ascii="宋体" w:hAnsi="宋体" w:cs="宋体" w:hint="eastAsia"/>
        </w:rPr>
        <w:t>；</w:t>
      </w:r>
      <w:r w:rsidRPr="008012F8">
        <w:t>Gardiner,</w:t>
      </w:r>
      <w:r w:rsidRPr="008012F8">
        <w:rPr>
          <w:rFonts w:ascii="宋体" w:hAnsi="宋体" w:cs="宋体" w:hint="eastAsia"/>
        </w:rPr>
        <w:t>《条约解释》</w:t>
      </w:r>
      <w:r w:rsidRPr="008012F8">
        <w:t>(</w:t>
      </w:r>
      <w:r w:rsidRPr="008012F8">
        <w:rPr>
          <w:rFonts w:ascii="宋体" w:hAnsi="宋体" w:cs="宋体" w:hint="eastAsia"/>
        </w:rPr>
        <w:t>见</w:t>
      </w:r>
      <w:r w:rsidRPr="006D43C0">
        <w:rPr>
          <w:rFonts w:asciiTheme="majorBidi" w:hAnsiTheme="majorBidi" w:cstheme="majorBidi" w:hint="eastAsia"/>
        </w:rPr>
        <w:t>上文脚注</w:t>
      </w:r>
      <w:r w:rsidRPr="00D90936">
        <w:rPr>
          <w:rFonts w:asciiTheme="majorBidi" w:hAnsiTheme="majorBidi" w:cstheme="majorBidi"/>
        </w:rPr>
        <w:fldChar w:fldCharType="begin"/>
      </w:r>
      <w:r w:rsidRPr="00D90936">
        <w:rPr>
          <w:rFonts w:asciiTheme="majorBidi" w:hAnsiTheme="majorBidi" w:cstheme="majorBidi"/>
        </w:rPr>
        <w:instrText xml:space="preserve"> NOTEREF _Ref461971974 \h </w:instrText>
      </w:r>
      <w:r>
        <w:rPr>
          <w:rFonts w:asciiTheme="majorBidi" w:hAnsiTheme="majorBidi" w:cstheme="majorBidi"/>
        </w:rPr>
        <w:instrText xml:space="preserve"> \* MERGEFORMAT </w:instrText>
      </w:r>
      <w:r w:rsidRPr="00D90936">
        <w:rPr>
          <w:rFonts w:asciiTheme="majorBidi" w:hAnsiTheme="majorBidi" w:cstheme="majorBidi"/>
        </w:rPr>
      </w:r>
      <w:r w:rsidRPr="00D90936">
        <w:rPr>
          <w:rFonts w:asciiTheme="majorBidi" w:hAnsiTheme="majorBidi" w:cstheme="majorBidi"/>
        </w:rPr>
        <w:fldChar w:fldCharType="separate"/>
      </w:r>
      <w:r w:rsidR="00A73EB9">
        <w:rPr>
          <w:rFonts w:asciiTheme="majorBidi" w:hAnsiTheme="majorBidi" w:cstheme="majorBidi"/>
        </w:rPr>
        <w:t>392</w:t>
      </w:r>
      <w:r w:rsidRPr="00D90936">
        <w:rPr>
          <w:rFonts w:asciiTheme="majorBidi" w:hAnsiTheme="majorBidi" w:cstheme="majorBidi"/>
        </w:rPr>
        <w:fldChar w:fldCharType="end"/>
      </w:r>
      <w:r w:rsidRPr="006D43C0">
        <w:rPr>
          <w:rFonts w:asciiTheme="majorBidi" w:hAnsiTheme="majorBidi" w:cstheme="majorBidi" w:hint="eastAsia"/>
        </w:rPr>
        <w:t>)</w:t>
      </w:r>
      <w:r w:rsidRPr="006D43C0">
        <w:rPr>
          <w:rFonts w:asciiTheme="majorBidi" w:hAnsiTheme="majorBidi" w:cstheme="majorBidi" w:hint="eastAsia"/>
        </w:rPr>
        <w:t>，</w:t>
      </w:r>
      <w:r w:rsidRPr="008012F8">
        <w:rPr>
          <w:rFonts w:ascii="宋体" w:hAnsi="宋体" w:cs="宋体" w:hint="eastAsia"/>
          <w:lang w:val="fr-FR"/>
        </w:rPr>
        <w:t>第</w:t>
      </w:r>
      <w:r w:rsidRPr="008012F8">
        <w:t>275-280</w:t>
      </w:r>
      <w:r w:rsidRPr="008012F8">
        <w:rPr>
          <w:rFonts w:ascii="宋体" w:hAnsi="宋体" w:cs="宋体" w:hint="eastAsia"/>
          <w:lang w:val="fr-FR"/>
        </w:rPr>
        <w:t>页</w:t>
      </w:r>
      <w:r w:rsidRPr="008012F8">
        <w:rPr>
          <w:rFonts w:ascii="宋体" w:hAnsi="宋体" w:cs="宋体" w:hint="eastAsia"/>
        </w:rPr>
        <w:t>；</w:t>
      </w:r>
      <w:r w:rsidRPr="008012F8">
        <w:t>Yasseen,</w:t>
      </w:r>
      <w:r w:rsidRPr="008012F8">
        <w:rPr>
          <w:rFonts w:hint="eastAsia"/>
        </w:rPr>
        <w:t>“……</w:t>
      </w:r>
      <w:r w:rsidRPr="008012F8">
        <w:rPr>
          <w:rFonts w:ascii="宋体" w:hAnsi="宋体" w:cs="宋体" w:hint="eastAsia"/>
        </w:rPr>
        <w:t>对条约进行解释</w:t>
      </w:r>
      <w:r w:rsidRPr="008012F8">
        <w:rPr>
          <w:rFonts w:hint="eastAsia"/>
        </w:rPr>
        <w:t>”</w:t>
      </w:r>
      <w:r w:rsidRPr="006D43C0">
        <w:rPr>
          <w:rFonts w:asciiTheme="majorBidi" w:hAnsiTheme="majorBidi" w:cstheme="majorBidi"/>
        </w:rPr>
        <w:t>(</w:t>
      </w:r>
      <w:r w:rsidRPr="006D43C0">
        <w:rPr>
          <w:rFonts w:asciiTheme="majorBidi" w:hAnsiTheme="majorBidi" w:cstheme="majorBidi" w:hint="eastAsia"/>
        </w:rPr>
        <w:t>见上文脚注</w:t>
      </w:r>
      <w:r>
        <w:fldChar w:fldCharType="begin"/>
      </w:r>
      <w:r>
        <w:instrText xml:space="preserve"> NOTEREF _Ref461972846 \h </w:instrText>
      </w:r>
      <w:r>
        <w:fldChar w:fldCharType="separate"/>
      </w:r>
      <w:r w:rsidR="00A73EB9">
        <w:t>393</w:t>
      </w:r>
      <w:r>
        <w:fldChar w:fldCharType="end"/>
      </w:r>
      <w:r w:rsidRPr="006D43C0">
        <w:rPr>
          <w:rFonts w:asciiTheme="majorBidi" w:hAnsiTheme="majorBidi" w:cstheme="majorBidi" w:hint="eastAsia"/>
        </w:rPr>
        <w:t>)</w:t>
      </w:r>
      <w:r w:rsidRPr="008012F8">
        <w:rPr>
          <w:rFonts w:ascii="宋体" w:hAnsi="宋体" w:cs="宋体" w:hint="eastAsia"/>
        </w:rPr>
        <w:t>，第</w:t>
      </w:r>
      <w:r w:rsidRPr="008012F8">
        <w:t>51-52</w:t>
      </w:r>
      <w:r w:rsidRPr="008012F8">
        <w:rPr>
          <w:rFonts w:ascii="宋体" w:hAnsi="宋体" w:cs="宋体" w:hint="eastAsia"/>
        </w:rPr>
        <w:t>页；</w:t>
      </w:r>
      <w:r w:rsidRPr="008012F8">
        <w:t>Kamto,</w:t>
      </w:r>
      <w:r w:rsidRPr="008012F8">
        <w:rPr>
          <w:rFonts w:hint="eastAsia"/>
        </w:rPr>
        <w:t>“……</w:t>
      </w:r>
      <w:r w:rsidRPr="008012F8">
        <w:rPr>
          <w:rFonts w:ascii="宋体" w:hAnsi="宋体" w:cs="宋体" w:hint="eastAsia"/>
        </w:rPr>
        <w:t>国家意志</w:t>
      </w:r>
      <w:r w:rsidRPr="008012F8">
        <w:rPr>
          <w:rFonts w:hint="eastAsia"/>
        </w:rPr>
        <w:t>”</w:t>
      </w:r>
      <w:r w:rsidRPr="008012F8">
        <w:t>(</w:t>
      </w:r>
      <w:r w:rsidRPr="008012F8">
        <w:rPr>
          <w:rFonts w:ascii="宋体" w:hAnsi="宋体" w:cs="宋体" w:hint="eastAsia"/>
        </w:rPr>
        <w:t>见上文脚注</w:t>
      </w:r>
      <w:r w:rsidRPr="00267AB1">
        <w:rPr>
          <w:rFonts w:asciiTheme="majorBidi" w:hAnsiTheme="majorBidi" w:cstheme="majorBidi"/>
        </w:rPr>
        <w:fldChar w:fldCharType="begin"/>
      </w:r>
      <w:r w:rsidRPr="00267AB1">
        <w:rPr>
          <w:rFonts w:asciiTheme="majorBidi" w:hAnsiTheme="majorBidi" w:cstheme="majorBidi"/>
        </w:rPr>
        <w:instrText xml:space="preserve"> NOTEREF _Ref461974313 \h </w:instrText>
      </w:r>
      <w:r>
        <w:rPr>
          <w:rFonts w:asciiTheme="majorBidi" w:hAnsiTheme="majorBidi" w:cstheme="majorBidi"/>
        </w:rPr>
        <w:instrText xml:space="preserve"> \* MERGEFORMAT </w:instrText>
      </w:r>
      <w:r w:rsidRPr="00267AB1">
        <w:rPr>
          <w:rFonts w:asciiTheme="majorBidi" w:hAnsiTheme="majorBidi" w:cstheme="majorBidi"/>
        </w:rPr>
      </w:r>
      <w:r w:rsidRPr="00267AB1">
        <w:rPr>
          <w:rFonts w:asciiTheme="majorBidi" w:hAnsiTheme="majorBidi" w:cstheme="majorBidi"/>
        </w:rPr>
        <w:fldChar w:fldCharType="separate"/>
      </w:r>
      <w:r w:rsidR="00A73EB9">
        <w:rPr>
          <w:rFonts w:asciiTheme="majorBidi" w:hAnsiTheme="majorBidi" w:cstheme="majorBidi"/>
        </w:rPr>
        <w:t>533</w:t>
      </w:r>
      <w:r w:rsidRPr="00267AB1">
        <w:rPr>
          <w:rFonts w:asciiTheme="majorBidi" w:hAnsiTheme="majorBidi" w:cstheme="majorBidi"/>
        </w:rPr>
        <w:fldChar w:fldCharType="end"/>
      </w:r>
      <w:r w:rsidRPr="005B3C68">
        <w:rPr>
          <w:rFonts w:asciiTheme="majorBidi" w:hAnsiTheme="majorBidi" w:cstheme="majorBidi"/>
        </w:rPr>
        <w:t>)</w:t>
      </w:r>
      <w:r w:rsidRPr="008012F8">
        <w:t>，</w:t>
      </w:r>
      <w:r w:rsidRPr="008012F8">
        <w:rPr>
          <w:rFonts w:ascii="宋体" w:hAnsi="宋体" w:cs="宋体" w:hint="eastAsia"/>
          <w:lang w:val="fr-FR"/>
        </w:rPr>
        <w:t>第</w:t>
      </w:r>
      <w:r w:rsidRPr="008012F8">
        <w:t>134-141</w:t>
      </w:r>
      <w:r w:rsidRPr="008012F8">
        <w:rPr>
          <w:rFonts w:ascii="宋体" w:hAnsi="宋体" w:cs="宋体" w:hint="eastAsia"/>
          <w:lang w:val="fr-FR"/>
        </w:rPr>
        <w:t>页</w:t>
      </w:r>
      <w:r w:rsidRPr="008012F8">
        <w:rPr>
          <w:rFonts w:ascii="宋体" w:hAnsi="宋体" w:cs="宋体" w:hint="eastAsia"/>
        </w:rPr>
        <w:t>，</w:t>
      </w:r>
      <w:r w:rsidRPr="008012F8">
        <w:rPr>
          <w:rFonts w:ascii="宋体" w:hAnsi="宋体" w:cs="宋体" w:hint="eastAsia"/>
          <w:lang w:val="fr-FR"/>
        </w:rPr>
        <w:t>见第</w:t>
      </w:r>
      <w:r w:rsidRPr="008012F8">
        <w:t>134</w:t>
      </w:r>
      <w:r w:rsidRPr="008012F8">
        <w:rPr>
          <w:rFonts w:ascii="宋体" w:hAnsi="宋体" w:cs="宋体" w:hint="eastAsia"/>
          <w:lang w:val="fr-FR"/>
        </w:rPr>
        <w:t>页</w:t>
      </w:r>
      <w:r w:rsidRPr="008012F8">
        <w:rPr>
          <w:rFonts w:ascii="宋体" w:hAnsi="宋体" w:cs="宋体" w:hint="eastAsia"/>
        </w:rPr>
        <w:t>；</w:t>
      </w:r>
      <w:r w:rsidRPr="008012F8">
        <w:t>Aust,</w:t>
      </w:r>
      <w:r w:rsidRPr="008012F8">
        <w:rPr>
          <w:rFonts w:ascii="宋体" w:hAnsi="宋体" w:cs="宋体" w:hint="eastAsia"/>
        </w:rPr>
        <w:t>《现代条约法和实践》</w:t>
      </w:r>
      <w:r w:rsidRPr="008012F8">
        <w:t>(</w:t>
      </w:r>
      <w:r w:rsidRPr="006D43C0">
        <w:rPr>
          <w:rFonts w:asciiTheme="majorBidi" w:hAnsiTheme="majorBidi" w:cstheme="majorBidi" w:hint="eastAsia"/>
        </w:rPr>
        <w:t>见上文脚注</w:t>
      </w:r>
      <w:r>
        <w:fldChar w:fldCharType="begin"/>
      </w:r>
      <w:r>
        <w:instrText xml:space="preserve"> </w:instrText>
      </w:r>
      <w:r>
        <w:rPr>
          <w:rFonts w:hint="eastAsia"/>
        </w:rPr>
        <w:instrText>NOTEREF _Ref461972435 \h</w:instrText>
      </w:r>
      <w:r>
        <w:instrText xml:space="preserve"> </w:instrText>
      </w:r>
      <w:r>
        <w:fldChar w:fldCharType="separate"/>
      </w:r>
      <w:r w:rsidR="00A73EB9">
        <w:t>525</w:t>
      </w:r>
      <w:r>
        <w:fldChar w:fldCharType="end"/>
      </w:r>
      <w:r w:rsidRPr="006D43C0">
        <w:rPr>
          <w:rFonts w:asciiTheme="majorBidi" w:hAnsiTheme="majorBidi" w:cstheme="majorBidi" w:hint="eastAsia"/>
        </w:rPr>
        <w:t>)</w:t>
      </w:r>
      <w:r w:rsidRPr="008012F8">
        <w:t>，</w:t>
      </w:r>
      <w:r w:rsidRPr="008012F8">
        <w:rPr>
          <w:rFonts w:ascii="宋体" w:hAnsi="宋体" w:cs="宋体" w:hint="eastAsia"/>
          <w:lang w:val="fr-FR"/>
        </w:rPr>
        <w:t>第</w:t>
      </w:r>
      <w:r w:rsidRPr="008012F8">
        <w:t>213</w:t>
      </w:r>
      <w:r w:rsidRPr="008012F8">
        <w:rPr>
          <w:rFonts w:ascii="宋体" w:hAnsi="宋体" w:cs="宋体" w:hint="eastAsia"/>
          <w:lang w:val="fr-FR"/>
        </w:rPr>
        <w:t>页</w:t>
      </w:r>
      <w:r w:rsidRPr="008012F8">
        <w:rPr>
          <w:rFonts w:ascii="宋体" w:hAnsi="宋体" w:cs="宋体" w:hint="eastAsia"/>
        </w:rPr>
        <w:t>；</w:t>
      </w:r>
      <w:r w:rsidRPr="008012F8">
        <w:t>Villiger,</w:t>
      </w:r>
      <w:r w:rsidRPr="008012F8">
        <w:rPr>
          <w:rFonts w:ascii="宋体" w:hAnsi="宋体" w:cs="宋体" w:hint="eastAsia"/>
        </w:rPr>
        <w:t>《</w:t>
      </w:r>
      <w:r w:rsidRPr="008012F8">
        <w:rPr>
          <w:rFonts w:hint="eastAsia"/>
        </w:rPr>
        <w:t>……</w:t>
      </w:r>
      <w:r w:rsidRPr="008012F8">
        <w:rPr>
          <w:rFonts w:ascii="宋体" w:hAnsi="宋体" w:cs="宋体" w:hint="eastAsia"/>
        </w:rPr>
        <w:t>评注》</w:t>
      </w:r>
      <w:r w:rsidRPr="008012F8">
        <w:t>(</w:t>
      </w:r>
      <w:r w:rsidRPr="008012F8">
        <w:rPr>
          <w:rFonts w:ascii="宋体" w:hAnsi="宋体" w:cs="宋体" w:hint="eastAsia"/>
        </w:rPr>
        <w:t>上文脚注</w:t>
      </w:r>
      <w:r>
        <w:rPr>
          <w:spacing w:val="-4"/>
          <w:lang w:val="zh-CN"/>
        </w:rPr>
        <w:fldChar w:fldCharType="begin"/>
      </w:r>
      <w:r>
        <w:rPr>
          <w:spacing w:val="-4"/>
          <w:lang w:val="zh-CN"/>
        </w:rPr>
        <w:instrText xml:space="preserve"> NOTEREF _Ref461972715 \h </w:instrText>
      </w:r>
      <w:r>
        <w:rPr>
          <w:spacing w:val="-4"/>
          <w:lang w:val="zh-CN"/>
        </w:rPr>
      </w:r>
      <w:r>
        <w:rPr>
          <w:spacing w:val="-4"/>
          <w:lang w:val="zh-CN"/>
        </w:rPr>
        <w:fldChar w:fldCharType="separate"/>
      </w:r>
      <w:r w:rsidR="00A73EB9">
        <w:rPr>
          <w:spacing w:val="-4"/>
          <w:lang w:val="zh-CN"/>
        </w:rPr>
        <w:t>414</w:t>
      </w:r>
      <w:r>
        <w:rPr>
          <w:spacing w:val="-4"/>
          <w:lang w:val="zh-CN"/>
        </w:rPr>
        <w:fldChar w:fldCharType="end"/>
      </w:r>
      <w:r w:rsidRPr="00D90936">
        <w:rPr>
          <w:rFonts w:asciiTheme="majorBidi" w:hAnsiTheme="majorBidi" w:cstheme="majorBidi"/>
        </w:rPr>
        <w:t>)</w:t>
      </w:r>
      <w:r w:rsidRPr="008012F8">
        <w:rPr>
          <w:rFonts w:ascii="宋体" w:hAnsi="宋体" w:cs="宋体" w:hint="eastAsia"/>
        </w:rPr>
        <w:t>，</w:t>
      </w:r>
      <w:r w:rsidRPr="008012F8">
        <w:rPr>
          <w:rFonts w:ascii="宋体" w:hAnsi="宋体" w:cs="宋体" w:hint="eastAsia"/>
          <w:lang w:val="fr-FR"/>
        </w:rPr>
        <w:t>第</w:t>
      </w:r>
      <w:r w:rsidRPr="008012F8">
        <w:t>432</w:t>
      </w:r>
      <w:r w:rsidRPr="008012F8">
        <w:rPr>
          <w:rFonts w:ascii="宋体" w:hAnsi="宋体" w:cs="宋体" w:hint="eastAsia"/>
          <w:lang w:val="fr-FR"/>
        </w:rPr>
        <w:t>页</w:t>
      </w:r>
      <w:r w:rsidRPr="008012F8">
        <w:rPr>
          <w:rFonts w:ascii="宋体" w:hAnsi="宋体" w:cs="宋体" w:hint="eastAsia"/>
        </w:rPr>
        <w:t>，</w:t>
      </w:r>
      <w:r w:rsidRPr="008012F8">
        <w:rPr>
          <w:rFonts w:ascii="宋体" w:hAnsi="宋体" w:cs="宋体" w:hint="eastAsia"/>
          <w:lang w:val="fr-FR"/>
        </w:rPr>
        <w:t>第</w:t>
      </w:r>
      <w:r w:rsidRPr="008012F8">
        <w:t>23</w:t>
      </w:r>
      <w:r w:rsidRPr="008012F8">
        <w:rPr>
          <w:rFonts w:ascii="宋体" w:hAnsi="宋体" w:cs="宋体" w:hint="eastAsia"/>
          <w:lang w:val="fr-FR"/>
        </w:rPr>
        <w:t>段</w:t>
      </w:r>
      <w:r w:rsidRPr="008012F8">
        <w:rPr>
          <w:rFonts w:ascii="宋体" w:hAnsi="宋体" w:cs="宋体" w:hint="eastAsia"/>
        </w:rPr>
        <w:t>；</w:t>
      </w:r>
      <w:r w:rsidRPr="008012F8">
        <w:t>Dörr,</w:t>
      </w:r>
      <w:r w:rsidRPr="008012F8">
        <w:rPr>
          <w:rFonts w:hint="eastAsia"/>
        </w:rPr>
        <w:t>“</w:t>
      </w:r>
      <w:r w:rsidRPr="008012F8">
        <w:rPr>
          <w:rFonts w:ascii="宋体" w:hAnsi="宋体" w:cs="宋体" w:hint="eastAsia"/>
        </w:rPr>
        <w:t>第三十一条</w:t>
      </w:r>
      <w:r w:rsidRPr="008012F8">
        <w:rPr>
          <w:rFonts w:hint="eastAsia"/>
        </w:rPr>
        <w:t>……”</w:t>
      </w:r>
      <w:r w:rsidRPr="008012F8">
        <w:t>(</w:t>
      </w:r>
      <w:r w:rsidRPr="006D43C0">
        <w:rPr>
          <w:rFonts w:asciiTheme="majorBidi" w:hAnsiTheme="majorBidi" w:cstheme="majorBidi"/>
        </w:rPr>
        <w:t>见上文脚注</w:t>
      </w:r>
      <w:r>
        <w:fldChar w:fldCharType="begin"/>
      </w:r>
      <w:r>
        <w:instrText xml:space="preserve"> </w:instrText>
      </w:r>
      <w:r>
        <w:rPr>
          <w:rFonts w:hint="eastAsia"/>
        </w:rPr>
        <w:instrText>NOTEREF _Ref461972537 \h</w:instrText>
      </w:r>
      <w:r>
        <w:instrText xml:space="preserve"> </w:instrText>
      </w:r>
      <w:r>
        <w:fldChar w:fldCharType="separate"/>
      </w:r>
      <w:r w:rsidR="00A73EB9">
        <w:t>439</w:t>
      </w:r>
      <w:r>
        <w:fldChar w:fldCharType="end"/>
      </w:r>
      <w:r w:rsidRPr="006D43C0">
        <w:rPr>
          <w:rFonts w:asciiTheme="majorBidi" w:hAnsiTheme="majorBidi" w:cstheme="majorBidi"/>
        </w:rPr>
        <w:t>)</w:t>
      </w:r>
      <w:r w:rsidRPr="008012F8">
        <w:t>，</w:t>
      </w:r>
      <w:r w:rsidRPr="008012F8">
        <w:rPr>
          <w:rFonts w:ascii="宋体" w:hAnsi="宋体" w:cs="宋体" w:hint="eastAsia"/>
          <w:lang w:val="fr-FR"/>
        </w:rPr>
        <w:t>第</w:t>
      </w:r>
      <w:r w:rsidRPr="008012F8">
        <w:t>555</w:t>
      </w:r>
      <w:r w:rsidRPr="008012F8">
        <w:rPr>
          <w:rFonts w:ascii="宋体" w:hAnsi="宋体" w:cs="宋体" w:hint="eastAsia"/>
          <w:lang w:val="fr-FR"/>
        </w:rPr>
        <w:t>页</w:t>
      </w:r>
      <w:r w:rsidRPr="008012F8">
        <w:rPr>
          <w:rFonts w:ascii="宋体" w:hAnsi="宋体" w:cs="宋体" w:hint="eastAsia"/>
        </w:rPr>
        <w:t>，</w:t>
      </w:r>
      <w:r w:rsidRPr="008012F8">
        <w:rPr>
          <w:rFonts w:ascii="宋体" w:hAnsi="宋体" w:cs="宋体" w:hint="eastAsia"/>
          <w:lang w:val="fr-FR"/>
        </w:rPr>
        <w:t>第</w:t>
      </w:r>
      <w:r w:rsidRPr="008012F8">
        <w:t>76</w:t>
      </w:r>
      <w:r w:rsidRPr="008012F8">
        <w:rPr>
          <w:rFonts w:ascii="宋体" w:hAnsi="宋体" w:cs="宋体" w:hint="eastAsia"/>
          <w:lang w:val="es-ES"/>
        </w:rPr>
        <w:t>段</w:t>
      </w:r>
      <w:r w:rsidRPr="008012F8">
        <w:t>(</w:t>
      </w:r>
      <w:r w:rsidRPr="008012F8">
        <w:rPr>
          <w:rFonts w:ascii="宋体" w:hAnsi="宋体" w:cs="宋体" w:hint="eastAsia"/>
        </w:rPr>
        <w:t>又见</w:t>
      </w:r>
      <w:r w:rsidRPr="008012F8">
        <w:t>Odendahl,</w:t>
      </w:r>
      <w:r w:rsidRPr="008012F8">
        <w:rPr>
          <w:rFonts w:hint="eastAsia"/>
        </w:rPr>
        <w:t>“</w:t>
      </w:r>
      <w:r w:rsidRPr="008012F8">
        <w:rPr>
          <w:rFonts w:ascii="宋体" w:hAnsi="宋体" w:cs="宋体" w:hint="eastAsia"/>
        </w:rPr>
        <w:t>第三十</w:t>
      </w:r>
      <w:r w:rsidRPr="008012F8">
        <w:t>九</w:t>
      </w:r>
      <w:r w:rsidRPr="008012F8">
        <w:rPr>
          <w:rFonts w:ascii="宋体" w:hAnsi="宋体" w:cs="宋体" w:hint="eastAsia"/>
        </w:rPr>
        <w:t>条</w:t>
      </w:r>
      <w:r w:rsidRPr="008012F8">
        <w:rPr>
          <w:rFonts w:hint="eastAsia"/>
        </w:rPr>
        <w:t>……”</w:t>
      </w:r>
      <w:r w:rsidRPr="008012F8">
        <w:t>(</w:t>
      </w:r>
      <w:r w:rsidRPr="006D43C0">
        <w:rPr>
          <w:rFonts w:asciiTheme="majorBidi" w:hAnsiTheme="majorBidi" w:cstheme="majorBidi"/>
        </w:rPr>
        <w:t>见上文脚注</w:t>
      </w:r>
      <w:r>
        <w:rPr>
          <w:rFonts w:asciiTheme="majorBidi" w:hAnsiTheme="majorBidi" w:cstheme="majorBidi"/>
        </w:rPr>
        <w:fldChar w:fldCharType="begin"/>
      </w:r>
      <w:r>
        <w:rPr>
          <w:rFonts w:asciiTheme="majorBidi" w:hAnsiTheme="majorBidi" w:cstheme="majorBidi"/>
        </w:rPr>
        <w:instrText xml:space="preserve"> NOTEREF _Ref461974512 \h </w:instrText>
      </w:r>
      <w:r>
        <w:rPr>
          <w:rFonts w:asciiTheme="majorBidi" w:hAnsiTheme="majorBidi" w:cstheme="majorBidi"/>
        </w:rPr>
      </w:r>
      <w:r>
        <w:rPr>
          <w:rFonts w:asciiTheme="majorBidi" w:hAnsiTheme="majorBidi" w:cstheme="majorBidi"/>
        </w:rPr>
        <w:fldChar w:fldCharType="separate"/>
      </w:r>
      <w:r w:rsidR="00A73EB9">
        <w:rPr>
          <w:rFonts w:asciiTheme="majorBidi" w:hAnsiTheme="majorBidi" w:cstheme="majorBidi"/>
        </w:rPr>
        <w:t>675</w:t>
      </w:r>
      <w:r>
        <w:rPr>
          <w:rFonts w:asciiTheme="majorBidi" w:hAnsiTheme="majorBidi" w:cstheme="majorBidi"/>
        </w:rPr>
        <w:fldChar w:fldCharType="end"/>
      </w:r>
      <w:r w:rsidRPr="008012F8">
        <w:t>)</w:t>
      </w:r>
      <w:r w:rsidRPr="008012F8">
        <w:t>，</w:t>
      </w:r>
      <w:r w:rsidRPr="008012F8">
        <w:rPr>
          <w:rFonts w:ascii="宋体" w:hAnsi="宋体" w:cs="宋体" w:hint="eastAsia"/>
          <w:lang w:val="fr-FR"/>
        </w:rPr>
        <w:t>第</w:t>
      </w:r>
      <w:r w:rsidRPr="008012F8">
        <w:t>702</w:t>
      </w:r>
      <w:r w:rsidRPr="008012F8">
        <w:rPr>
          <w:rFonts w:ascii="宋体" w:hAnsi="宋体" w:cs="宋体" w:hint="eastAsia"/>
          <w:lang w:val="fr-FR"/>
        </w:rPr>
        <w:t>页</w:t>
      </w:r>
      <w:r w:rsidRPr="008012F8">
        <w:rPr>
          <w:rFonts w:ascii="宋体" w:hAnsi="宋体" w:cs="宋体" w:hint="eastAsia"/>
        </w:rPr>
        <w:t>，</w:t>
      </w:r>
      <w:r w:rsidRPr="008012F8">
        <w:rPr>
          <w:rFonts w:ascii="宋体" w:hAnsi="宋体" w:cs="宋体" w:hint="eastAsia"/>
          <w:lang w:val="fr-FR"/>
        </w:rPr>
        <w:t>第</w:t>
      </w:r>
      <w:r w:rsidRPr="008012F8">
        <w:t>10-11</w:t>
      </w:r>
      <w:r w:rsidRPr="008012F8">
        <w:rPr>
          <w:rFonts w:ascii="宋体" w:hAnsi="宋体" w:cs="宋体" w:hint="eastAsia"/>
        </w:rPr>
        <w:t>段</w:t>
      </w:r>
      <w:r w:rsidRPr="008012F8">
        <w:t>)</w:t>
      </w:r>
      <w:r w:rsidRPr="008012F8">
        <w:rPr>
          <w:rFonts w:ascii="宋体" w:hAnsi="宋体" w:cs="宋体" w:hint="eastAsia"/>
        </w:rPr>
        <w:t>；</w:t>
      </w:r>
      <w:r w:rsidRPr="008012F8">
        <w:rPr>
          <w:lang w:val="fr-FR"/>
        </w:rPr>
        <w:t>Distefano,</w:t>
      </w:r>
      <w:r w:rsidRPr="008012F8">
        <w:rPr>
          <w:rFonts w:hint="eastAsia"/>
        </w:rPr>
        <w:t>“……</w:t>
      </w:r>
      <w:r w:rsidRPr="008012F8">
        <w:t>嗣后惯例</w:t>
      </w:r>
      <w:r w:rsidRPr="008012F8">
        <w:rPr>
          <w:rFonts w:hint="eastAsia"/>
        </w:rPr>
        <w:t>”</w:t>
      </w:r>
      <w:r w:rsidRPr="008012F8">
        <w:t>(</w:t>
      </w:r>
      <w:r w:rsidRPr="008012F8">
        <w:t>见上文脚注</w:t>
      </w:r>
      <w:r>
        <w:fldChar w:fldCharType="begin"/>
      </w:r>
      <w:r>
        <w:instrText xml:space="preserve"> NOTEREF _Ref461973844 \h </w:instrText>
      </w:r>
      <w:r>
        <w:fldChar w:fldCharType="separate"/>
      </w:r>
      <w:r w:rsidR="00A73EB9">
        <w:t>573</w:t>
      </w:r>
      <w:r>
        <w:fldChar w:fldCharType="end"/>
      </w:r>
      <w:r w:rsidRPr="008012F8">
        <w:t>)</w:t>
      </w:r>
      <w:r w:rsidRPr="008012F8">
        <w:t>，</w:t>
      </w:r>
      <w:r w:rsidRPr="008012F8">
        <w:rPr>
          <w:rFonts w:ascii="宋体" w:hAnsi="宋体" w:cs="宋体" w:hint="eastAsia"/>
        </w:rPr>
        <w:t>第</w:t>
      </w:r>
      <w:r w:rsidRPr="008012F8">
        <w:t>62-67</w:t>
      </w:r>
      <w:r w:rsidRPr="008012F8">
        <w:rPr>
          <w:rFonts w:ascii="宋体" w:hAnsi="宋体" w:cs="宋体" w:hint="eastAsia"/>
        </w:rPr>
        <w:t>页；</w:t>
      </w:r>
      <w:r w:rsidRPr="008012F8">
        <w:t>H. Thirlway,</w:t>
      </w:r>
      <w:r w:rsidRPr="008012F8">
        <w:rPr>
          <w:rFonts w:hint="eastAsia"/>
        </w:rPr>
        <w:t>“</w:t>
      </w:r>
      <w:r w:rsidRPr="008012F8">
        <w:t>1960-1989</w:t>
      </w:r>
      <w:r w:rsidRPr="008012F8">
        <w:rPr>
          <w:rFonts w:ascii="宋体" w:hAnsi="宋体" w:cs="宋体" w:hint="eastAsia"/>
        </w:rPr>
        <w:t>年国际法院的法律和诉讼：</w:t>
      </w:r>
      <w:r w:rsidRPr="008012F8">
        <w:t>2006</w:t>
      </w:r>
      <w:r w:rsidRPr="008012F8">
        <w:rPr>
          <w:rFonts w:ascii="宋体" w:hAnsi="宋体" w:cs="宋体" w:hint="eastAsia"/>
        </w:rPr>
        <w:t>年补编－第三部分</w:t>
      </w:r>
      <w:r w:rsidRPr="008012F8">
        <w:rPr>
          <w:rFonts w:hint="eastAsia"/>
        </w:rPr>
        <w:t>”</w:t>
      </w:r>
      <w:r w:rsidRPr="008012F8">
        <w:rPr>
          <w:rFonts w:ascii="宋体" w:hAnsi="宋体" w:cs="宋体" w:hint="eastAsia"/>
        </w:rPr>
        <w:t>，《</w:t>
      </w:r>
      <w:r w:rsidRPr="008012F8">
        <w:t>2006</w:t>
      </w:r>
      <w:r w:rsidRPr="008012F8">
        <w:rPr>
          <w:rFonts w:ascii="宋体" w:hAnsi="宋体" w:cs="宋体" w:hint="eastAsia"/>
        </w:rPr>
        <w:t>年英国国际法年鉴》，第</w:t>
      </w:r>
      <w:r w:rsidRPr="008012F8">
        <w:t>77</w:t>
      </w:r>
      <w:r w:rsidRPr="008012F8">
        <w:rPr>
          <w:rFonts w:ascii="宋体" w:hAnsi="宋体" w:cs="宋体" w:hint="eastAsia"/>
        </w:rPr>
        <w:t>卷，第</w:t>
      </w:r>
      <w:r w:rsidRPr="008012F8">
        <w:t>1-82</w:t>
      </w:r>
      <w:r w:rsidRPr="008012F8">
        <w:rPr>
          <w:rFonts w:ascii="宋体" w:hAnsi="宋体" w:cs="宋体" w:hint="eastAsia"/>
        </w:rPr>
        <w:t>页，见第</w:t>
      </w:r>
      <w:r w:rsidRPr="008012F8">
        <w:t>65</w:t>
      </w:r>
      <w:r w:rsidRPr="008012F8">
        <w:rPr>
          <w:rFonts w:ascii="宋体" w:hAnsi="宋体" w:cs="宋体" w:hint="eastAsia"/>
        </w:rPr>
        <w:t>页；</w:t>
      </w:r>
      <w:r w:rsidRPr="008012F8">
        <w:t xml:space="preserve">M. N. Shaw, </w:t>
      </w:r>
      <w:r w:rsidRPr="008012F8">
        <w:rPr>
          <w:rFonts w:ascii="宋体" w:hAnsi="宋体" w:cs="宋体" w:hint="eastAsia"/>
        </w:rPr>
        <w:t>《国际法》，第</w:t>
      </w:r>
      <w:r w:rsidRPr="008012F8">
        <w:t>6</w:t>
      </w:r>
      <w:r w:rsidRPr="008012F8">
        <w:rPr>
          <w:rFonts w:ascii="宋体" w:hAnsi="宋体" w:cs="宋体" w:hint="eastAsia"/>
        </w:rPr>
        <w:t>版</w:t>
      </w:r>
      <w:r w:rsidRPr="008012F8">
        <w:t>(</w:t>
      </w:r>
      <w:r w:rsidRPr="008012F8">
        <w:rPr>
          <w:rFonts w:ascii="宋体" w:hAnsi="宋体" w:cs="宋体" w:hint="eastAsia"/>
        </w:rPr>
        <w:t>剑桥，剑桥大学出版社，</w:t>
      </w:r>
      <w:r w:rsidRPr="008012F8">
        <w:t>200</w:t>
      </w:r>
      <w:r w:rsidRPr="008012F8">
        <w:rPr>
          <w:rFonts w:hint="eastAsia"/>
        </w:rPr>
        <w:t>8</w:t>
      </w:r>
      <w:r w:rsidRPr="008012F8">
        <w:rPr>
          <w:rFonts w:ascii="宋体" w:hAnsi="宋体" w:cs="宋体" w:hint="eastAsia"/>
        </w:rPr>
        <w:t>年</w:t>
      </w:r>
      <w:r w:rsidRPr="008012F8">
        <w:t>)</w:t>
      </w:r>
      <w:r w:rsidRPr="008012F8">
        <w:rPr>
          <w:rFonts w:ascii="宋体" w:hAnsi="宋体" w:cs="宋体" w:hint="eastAsia"/>
        </w:rPr>
        <w:t>，第</w:t>
      </w:r>
      <w:r w:rsidRPr="008012F8">
        <w:t>934</w:t>
      </w:r>
      <w:r w:rsidRPr="008012F8">
        <w:rPr>
          <w:rFonts w:ascii="宋体" w:hAnsi="宋体" w:cs="宋体" w:hint="eastAsia"/>
        </w:rPr>
        <w:t>页；</w:t>
      </w:r>
      <w:r w:rsidRPr="008012F8">
        <w:t>I. Buga,</w:t>
      </w:r>
      <w:r w:rsidRPr="008012F8">
        <w:rPr>
          <w:rFonts w:hint="eastAsia"/>
        </w:rPr>
        <w:t>“</w:t>
      </w:r>
      <w:r w:rsidRPr="008012F8">
        <w:rPr>
          <w:rFonts w:ascii="宋体" w:hAnsi="宋体" w:cs="宋体" w:hint="eastAsia"/>
        </w:rPr>
        <w:t>嗣后惯例与条约修改</w:t>
      </w:r>
      <w:r w:rsidRPr="008012F8">
        <w:rPr>
          <w:rFonts w:hint="eastAsia"/>
        </w:rPr>
        <w:t>”</w:t>
      </w:r>
      <w:r w:rsidRPr="008012F8">
        <w:rPr>
          <w:rFonts w:ascii="宋体" w:hAnsi="宋体" w:cs="宋体" w:hint="eastAsia"/>
        </w:rPr>
        <w:t>，载于</w:t>
      </w:r>
      <w:r w:rsidRPr="008012F8">
        <w:t>M. J. Bowman</w:t>
      </w:r>
      <w:r w:rsidRPr="008012F8">
        <w:rPr>
          <w:rFonts w:ascii="宋体" w:hAnsi="宋体" w:cs="宋体" w:hint="eastAsia"/>
        </w:rPr>
        <w:t>和</w:t>
      </w:r>
      <w:r w:rsidRPr="008012F8">
        <w:t>D. Kritsiotis</w:t>
      </w:r>
      <w:r w:rsidRPr="008012F8">
        <w:rPr>
          <w:rFonts w:ascii="宋体" w:hAnsi="宋体" w:cs="宋体" w:hint="eastAsia"/>
        </w:rPr>
        <w:t>编写的《现代条约法的概念和语境视角》</w:t>
      </w:r>
      <w:r w:rsidRPr="008012F8">
        <w:t>(</w:t>
      </w:r>
      <w:r w:rsidRPr="008012F8">
        <w:rPr>
          <w:rFonts w:ascii="宋体" w:hAnsi="宋体" w:cs="宋体" w:hint="eastAsia"/>
        </w:rPr>
        <w:t>即将出版</w:t>
      </w:r>
      <w:r w:rsidRPr="008012F8">
        <w:t>)</w:t>
      </w:r>
      <w:r w:rsidRPr="008012F8">
        <w:rPr>
          <w:rFonts w:ascii="宋体" w:hAnsi="宋体" w:cs="宋体" w:hint="eastAsia"/>
        </w:rPr>
        <w:t>，见脚注</w:t>
      </w:r>
      <w:r w:rsidRPr="008012F8">
        <w:rPr>
          <w:rFonts w:hint="eastAsia"/>
        </w:rPr>
        <w:t>452</w:t>
      </w:r>
      <w:r w:rsidRPr="008012F8">
        <w:t xml:space="preserve">, </w:t>
      </w:r>
      <w:r w:rsidRPr="008012F8">
        <w:rPr>
          <w:rFonts w:ascii="宋体" w:hAnsi="宋体" w:cs="宋体" w:hint="eastAsia"/>
        </w:rPr>
        <w:t>其中提到了更多的参考资料；反对这种观点，强调相对于实践的非正式性，缔结条约具有庄重性，见</w:t>
      </w:r>
      <w:r w:rsidRPr="008012F8">
        <w:t>Murphy,</w:t>
      </w:r>
      <w:r w:rsidRPr="008012F8">
        <w:rPr>
          <w:rFonts w:hint="eastAsia"/>
        </w:rPr>
        <w:t>“</w:t>
      </w:r>
      <w:r w:rsidRPr="008012F8">
        <w:rPr>
          <w:rFonts w:ascii="宋体" w:hAnsi="宋体" w:cs="宋体" w:hint="eastAsia"/>
        </w:rPr>
        <w:t>嗣后协定</w:t>
      </w:r>
      <w:r w:rsidRPr="008012F8">
        <w:rPr>
          <w:rFonts w:hint="eastAsia"/>
        </w:rPr>
        <w:t>……</w:t>
      </w:r>
      <w:r w:rsidRPr="008012F8">
        <w:rPr>
          <w:rFonts w:ascii="宋体" w:hAnsi="宋体" w:cs="宋体" w:hint="eastAsia"/>
        </w:rPr>
        <w:t>的作用</w:t>
      </w:r>
      <w:r w:rsidRPr="008012F8">
        <w:rPr>
          <w:rFonts w:hint="eastAsia"/>
        </w:rPr>
        <w:t>”</w:t>
      </w:r>
      <w:r w:rsidRPr="008012F8">
        <w:t>(</w:t>
      </w:r>
      <w:r w:rsidRPr="008012F8">
        <w:rPr>
          <w:rFonts w:ascii="宋体" w:hAnsi="宋体" w:cs="宋体" w:hint="eastAsia"/>
        </w:rPr>
        <w:t>见上文脚注</w:t>
      </w:r>
      <w:r>
        <w:rPr>
          <w:rFonts w:asciiTheme="majorBidi" w:hAnsiTheme="majorBidi" w:cstheme="majorBidi"/>
        </w:rPr>
        <w:fldChar w:fldCharType="begin"/>
      </w:r>
      <w:r>
        <w:rPr>
          <w:rFonts w:asciiTheme="majorBidi" w:hAnsiTheme="majorBidi" w:cstheme="majorBidi"/>
        </w:rPr>
        <w:instrText xml:space="preserve"> NOTEREF _Ref461973633 \h </w:instrText>
      </w:r>
      <w:r>
        <w:rPr>
          <w:rFonts w:asciiTheme="majorBidi" w:hAnsiTheme="majorBidi" w:cstheme="majorBidi"/>
        </w:rPr>
      </w:r>
      <w:r>
        <w:rPr>
          <w:rFonts w:asciiTheme="majorBidi" w:hAnsiTheme="majorBidi" w:cstheme="majorBidi"/>
        </w:rPr>
        <w:fldChar w:fldCharType="separate"/>
      </w:r>
      <w:r w:rsidR="00A73EB9">
        <w:rPr>
          <w:rFonts w:asciiTheme="majorBidi" w:hAnsiTheme="majorBidi" w:cstheme="majorBidi"/>
        </w:rPr>
        <w:t>642</w:t>
      </w:r>
      <w:r>
        <w:rPr>
          <w:rFonts w:asciiTheme="majorBidi" w:hAnsiTheme="majorBidi" w:cstheme="majorBidi"/>
        </w:rPr>
        <w:fldChar w:fldCharType="end"/>
      </w:r>
      <w:r w:rsidRPr="008012F8">
        <w:t>)</w:t>
      </w:r>
      <w:r w:rsidRPr="008012F8">
        <w:rPr>
          <w:rFonts w:ascii="宋体" w:hAnsi="宋体" w:cs="宋体" w:hint="eastAsia"/>
        </w:rPr>
        <w:t>，第</w:t>
      </w:r>
      <w:r w:rsidRPr="008012F8">
        <w:t>89-90</w:t>
      </w:r>
      <w:r w:rsidRPr="008012F8">
        <w:rPr>
          <w:rFonts w:ascii="宋体" w:hAnsi="宋体" w:cs="宋体" w:hint="eastAsia"/>
        </w:rPr>
        <w:t>页；另见</w:t>
      </w:r>
      <w:r w:rsidRPr="008012F8">
        <w:t>Hafner,</w:t>
      </w:r>
      <w:r w:rsidRPr="008012F8">
        <w:rPr>
          <w:rFonts w:ascii="宋体" w:hAnsi="宋体" w:cs="宋体" w:hint="eastAsia"/>
        </w:rPr>
        <w:t>《嗣后协定和惯例</w:t>
      </w:r>
      <w:r w:rsidRPr="008012F8">
        <w:rPr>
          <w:rFonts w:hint="eastAsia"/>
        </w:rPr>
        <w:t>……</w:t>
      </w:r>
      <w:r w:rsidRPr="008012F8">
        <w:rPr>
          <w:rFonts w:ascii="宋体" w:hAnsi="宋体" w:cs="宋体" w:hint="eastAsia"/>
        </w:rPr>
        <w:t>》</w:t>
      </w:r>
      <w:r w:rsidRPr="008012F8">
        <w:t>(</w:t>
      </w:r>
      <w:r w:rsidRPr="006D43C0">
        <w:rPr>
          <w:rFonts w:asciiTheme="majorBidi" w:hAnsiTheme="majorBidi" w:cstheme="majorBidi"/>
        </w:rPr>
        <w:t>见上文上文脚注</w:t>
      </w:r>
      <w:r>
        <w:rPr>
          <w:rFonts w:asciiTheme="majorBidi" w:hAnsiTheme="majorBidi" w:cstheme="majorBidi"/>
        </w:rPr>
        <w:fldChar w:fldCharType="begin"/>
      </w:r>
      <w:r>
        <w:rPr>
          <w:rFonts w:asciiTheme="majorBidi" w:hAnsiTheme="majorBidi" w:cstheme="majorBidi"/>
        </w:rPr>
        <w:instrText xml:space="preserve"> NOTEREF _Ref461976124 \h </w:instrText>
      </w:r>
      <w:r>
        <w:rPr>
          <w:rFonts w:asciiTheme="majorBidi" w:hAnsiTheme="majorBidi" w:cstheme="majorBidi"/>
        </w:rPr>
      </w:r>
      <w:r>
        <w:rPr>
          <w:rFonts w:asciiTheme="majorBidi" w:hAnsiTheme="majorBidi" w:cstheme="majorBidi"/>
        </w:rPr>
        <w:fldChar w:fldCharType="separate"/>
      </w:r>
      <w:r w:rsidR="00A73EB9">
        <w:rPr>
          <w:rFonts w:asciiTheme="majorBidi" w:hAnsiTheme="majorBidi" w:cstheme="majorBidi"/>
        </w:rPr>
        <w:t>655</w:t>
      </w:r>
      <w:r>
        <w:rPr>
          <w:rFonts w:asciiTheme="majorBidi" w:hAnsiTheme="majorBidi" w:cstheme="majorBidi"/>
        </w:rPr>
        <w:fldChar w:fldCharType="end"/>
      </w:r>
      <w:r w:rsidRPr="006D43C0">
        <w:rPr>
          <w:rFonts w:asciiTheme="majorBidi" w:hAnsiTheme="majorBidi" w:cstheme="majorBidi"/>
        </w:rPr>
        <w:t>)</w:t>
      </w:r>
      <w:r w:rsidRPr="008012F8">
        <w:rPr>
          <w:rFonts w:ascii="宋体" w:hAnsi="宋体" w:cs="宋体" w:hint="eastAsia"/>
        </w:rPr>
        <w:t>，第</w:t>
      </w:r>
      <w:r w:rsidRPr="008012F8">
        <w:t>115-117</w:t>
      </w:r>
      <w:r w:rsidRPr="008012F8">
        <w:rPr>
          <w:rFonts w:ascii="宋体" w:hAnsi="宋体" w:cs="宋体" w:hint="eastAsia"/>
        </w:rPr>
        <w:t>页</w:t>
      </w:r>
      <w:r w:rsidRPr="008012F8">
        <w:t>(</w:t>
      </w:r>
      <w:r w:rsidRPr="008012F8">
        <w:rPr>
          <w:rFonts w:ascii="宋体" w:hAnsi="宋体" w:cs="宋体" w:hint="eastAsia"/>
        </w:rPr>
        <w:t>区分法院和国家的角度，在这种背景下强调修正案的重要性</w:t>
      </w:r>
      <w:r w:rsidRPr="008012F8">
        <w:t>)</w:t>
      </w:r>
      <w:r w:rsidRPr="008012F8">
        <w:rPr>
          <w:rFonts w:ascii="宋体" w:hAnsi="宋体" w:cs="宋体" w:hint="eastAsia"/>
        </w:rPr>
        <w:t>。</w:t>
      </w:r>
    </w:p>
  </w:footnote>
  <w:footnote w:id="685">
    <w:p w:rsidR="00AB00DE" w:rsidRPr="008012F8" w:rsidRDefault="00AB00DE" w:rsidP="00267AB1">
      <w:pPr>
        <w:pStyle w:val="a4"/>
        <w:rPr>
          <w:lang w:val="de-DE"/>
        </w:rPr>
      </w:pPr>
      <w:r w:rsidRPr="008012F8">
        <w:tab/>
      </w:r>
      <w:r w:rsidRPr="00DF5565">
        <w:rPr>
          <w:rStyle w:val="a5"/>
        </w:rPr>
        <w:footnoteRef/>
      </w:r>
      <w:r w:rsidRPr="008012F8">
        <w:tab/>
      </w:r>
      <w:r w:rsidRPr="00DF5565">
        <w:rPr>
          <w:rFonts w:eastAsia="楷体"/>
          <w:lang w:val="fr-FR"/>
        </w:rPr>
        <w:t>关</w:t>
      </w:r>
      <w:r w:rsidRPr="00DF5565">
        <w:rPr>
          <w:rFonts w:eastAsia="楷体"/>
        </w:rPr>
        <w:t>于航行权和相关权利的争端案</w:t>
      </w:r>
      <w:r w:rsidRPr="00DF5565">
        <w:rPr>
          <w:rFonts w:eastAsia="楷体"/>
        </w:rPr>
        <w:t>(</w:t>
      </w:r>
      <w:r w:rsidRPr="008012F8">
        <w:rPr>
          <w:rFonts w:ascii="宋体" w:hAnsi="宋体" w:cs="宋体" w:hint="eastAsia"/>
        </w:rPr>
        <w:t>见上文脚注</w:t>
      </w:r>
      <w:r>
        <w:rPr>
          <w:lang w:val="zh-CN"/>
        </w:rPr>
        <w:fldChar w:fldCharType="begin"/>
      </w:r>
      <w:r>
        <w:rPr>
          <w:lang w:val="zh-CN"/>
        </w:rPr>
        <w:instrText xml:space="preserve"> NOTEREF _Ref461971066 \h </w:instrText>
      </w:r>
      <w:r>
        <w:rPr>
          <w:lang w:val="zh-CN"/>
        </w:rPr>
      </w:r>
      <w:r>
        <w:rPr>
          <w:lang w:val="zh-CN"/>
        </w:rPr>
        <w:fldChar w:fldCharType="separate"/>
      </w:r>
      <w:r w:rsidR="00A73EB9">
        <w:rPr>
          <w:lang w:val="zh-CN"/>
        </w:rPr>
        <w:t>395</w:t>
      </w:r>
      <w:r>
        <w:rPr>
          <w:lang w:val="zh-CN"/>
        </w:rPr>
        <w:fldChar w:fldCharType="end"/>
      </w:r>
      <w:r w:rsidRPr="000C49CF">
        <w:rPr>
          <w:rFonts w:asciiTheme="majorBidi" w:hAnsiTheme="majorBidi" w:cstheme="majorBidi" w:hint="eastAsia"/>
        </w:rPr>
        <w:t>)</w:t>
      </w:r>
      <w:r w:rsidRPr="008012F8">
        <w:rPr>
          <w:rFonts w:ascii="宋体" w:hAnsi="宋体" w:cs="宋体" w:hint="eastAsia"/>
        </w:rPr>
        <w:t>，第</w:t>
      </w:r>
      <w:r w:rsidRPr="008012F8">
        <w:t>242</w:t>
      </w:r>
      <w:r w:rsidRPr="008012F8">
        <w:rPr>
          <w:rFonts w:ascii="宋体" w:hAnsi="宋体" w:cs="宋体" w:hint="eastAsia"/>
        </w:rPr>
        <w:t>页，第</w:t>
      </w:r>
      <w:r w:rsidRPr="008012F8">
        <w:t>64</w:t>
      </w:r>
      <w:r w:rsidRPr="008012F8">
        <w:rPr>
          <w:rFonts w:ascii="宋体" w:hAnsi="宋体" w:cs="宋体" w:hint="eastAsia"/>
        </w:rPr>
        <w:t>段；另见</w:t>
      </w:r>
      <w:r w:rsidRPr="00DF5565">
        <w:rPr>
          <w:rFonts w:eastAsia="楷体"/>
        </w:rPr>
        <w:t>向居住在法国的教科文组织退休职员支付退休金的税收制度问题案</w:t>
      </w:r>
      <w:r w:rsidRPr="00DF5565">
        <w:rPr>
          <w:rFonts w:eastAsia="楷体"/>
        </w:rPr>
        <w:t>(</w:t>
      </w:r>
      <w:r w:rsidRPr="006D43C0">
        <w:rPr>
          <w:rFonts w:asciiTheme="majorBidi" w:hAnsiTheme="majorBidi" w:cstheme="majorBidi"/>
        </w:rPr>
        <w:t>见上文脚注</w:t>
      </w:r>
      <w:r>
        <w:fldChar w:fldCharType="begin"/>
      </w:r>
      <w:r>
        <w:instrText xml:space="preserve"> NOTEREF _Ref461973699 \h </w:instrText>
      </w:r>
      <w:r>
        <w:fldChar w:fldCharType="separate"/>
      </w:r>
      <w:r w:rsidR="00A73EB9">
        <w:t>532</w:t>
      </w:r>
      <w:r>
        <w:fldChar w:fldCharType="end"/>
      </w:r>
      <w:r w:rsidRPr="00DF5565">
        <w:rPr>
          <w:rFonts w:asciiTheme="majorBidi" w:eastAsia="楷体" w:hAnsiTheme="majorBidi" w:cstheme="majorBidi"/>
        </w:rPr>
        <w:t>)</w:t>
      </w:r>
      <w:r w:rsidRPr="008012F8">
        <w:rPr>
          <w:rFonts w:ascii="宋体" w:hAnsi="宋体" w:cs="宋体" w:hint="eastAsia"/>
        </w:rPr>
        <w:t>；</w:t>
      </w:r>
      <w:r w:rsidRPr="008012F8">
        <w:t>Yasseen,</w:t>
      </w:r>
      <w:r w:rsidRPr="008012F8">
        <w:rPr>
          <w:rFonts w:hint="eastAsia"/>
        </w:rPr>
        <w:t>“……</w:t>
      </w:r>
      <w:r w:rsidRPr="008012F8">
        <w:rPr>
          <w:rFonts w:ascii="宋体" w:hAnsi="宋体" w:cs="宋体" w:hint="eastAsia"/>
        </w:rPr>
        <w:t>对条约进行解释</w:t>
      </w:r>
      <w:r w:rsidRPr="008012F8">
        <w:rPr>
          <w:rFonts w:hint="eastAsia"/>
        </w:rPr>
        <w:t>”</w:t>
      </w:r>
      <w:r w:rsidRPr="006D43C0">
        <w:rPr>
          <w:rFonts w:asciiTheme="majorBidi" w:hAnsiTheme="majorBidi" w:cstheme="majorBidi"/>
        </w:rPr>
        <w:t>(</w:t>
      </w:r>
      <w:r w:rsidRPr="006D43C0">
        <w:rPr>
          <w:rFonts w:asciiTheme="majorBidi" w:hAnsiTheme="majorBidi" w:cstheme="majorBidi"/>
        </w:rPr>
        <w:t>见上文脚注</w:t>
      </w:r>
      <w:r>
        <w:fldChar w:fldCharType="begin"/>
      </w:r>
      <w:r>
        <w:instrText xml:space="preserve"> NOTEREF _Ref461972846 \h </w:instrText>
      </w:r>
      <w:r>
        <w:fldChar w:fldCharType="separate"/>
      </w:r>
      <w:r w:rsidR="00A73EB9">
        <w:t>393</w:t>
      </w:r>
      <w:r>
        <w:fldChar w:fldCharType="end"/>
      </w:r>
      <w:r w:rsidRPr="006D43C0">
        <w:rPr>
          <w:rFonts w:asciiTheme="majorBidi" w:hAnsiTheme="majorBidi" w:cstheme="majorBidi"/>
        </w:rPr>
        <w:t>)</w:t>
      </w:r>
      <w:r w:rsidRPr="008012F8">
        <w:rPr>
          <w:rFonts w:ascii="宋体" w:hAnsi="宋体" w:cs="宋体" w:hint="eastAsia"/>
        </w:rPr>
        <w:t>，第</w:t>
      </w:r>
      <w:r w:rsidRPr="008012F8">
        <w:t>51</w:t>
      </w:r>
      <w:r w:rsidRPr="008012F8">
        <w:rPr>
          <w:rFonts w:ascii="宋体" w:hAnsi="宋体" w:cs="宋体" w:hint="eastAsia"/>
        </w:rPr>
        <w:t>页；</w:t>
      </w:r>
      <w:r w:rsidRPr="008012F8">
        <w:t>Kamto,</w:t>
      </w:r>
      <w:r w:rsidRPr="008012F8">
        <w:rPr>
          <w:rFonts w:hint="eastAsia"/>
        </w:rPr>
        <w:t>“……</w:t>
      </w:r>
      <w:r w:rsidRPr="008012F8">
        <w:rPr>
          <w:rFonts w:ascii="宋体" w:hAnsi="宋体" w:cs="宋体" w:hint="eastAsia"/>
        </w:rPr>
        <w:t>国家意志</w:t>
      </w:r>
      <w:r w:rsidRPr="008012F8">
        <w:rPr>
          <w:rFonts w:hint="eastAsia"/>
        </w:rPr>
        <w:t>”</w:t>
      </w:r>
      <w:r w:rsidRPr="006D43C0">
        <w:rPr>
          <w:rFonts w:asciiTheme="majorBidi" w:hAnsiTheme="majorBidi" w:cstheme="majorBidi"/>
        </w:rPr>
        <w:t>(</w:t>
      </w:r>
      <w:r w:rsidRPr="006D43C0">
        <w:rPr>
          <w:rFonts w:asciiTheme="majorBidi" w:hAnsiTheme="majorBidi" w:cstheme="majorBidi"/>
        </w:rPr>
        <w:t>见上文脚注</w:t>
      </w:r>
      <w:r w:rsidRPr="00267AB1">
        <w:rPr>
          <w:rFonts w:asciiTheme="majorBidi" w:hAnsiTheme="majorBidi" w:cstheme="majorBidi"/>
        </w:rPr>
        <w:fldChar w:fldCharType="begin"/>
      </w:r>
      <w:r w:rsidRPr="00267AB1">
        <w:rPr>
          <w:rFonts w:asciiTheme="majorBidi" w:hAnsiTheme="majorBidi" w:cstheme="majorBidi"/>
        </w:rPr>
        <w:instrText xml:space="preserve"> NOTEREF _Ref461974313 \h </w:instrText>
      </w:r>
      <w:r>
        <w:rPr>
          <w:rFonts w:asciiTheme="majorBidi" w:hAnsiTheme="majorBidi" w:cstheme="majorBidi"/>
        </w:rPr>
        <w:instrText xml:space="preserve"> \* MERGEFORMAT </w:instrText>
      </w:r>
      <w:r w:rsidRPr="00267AB1">
        <w:rPr>
          <w:rFonts w:asciiTheme="majorBidi" w:hAnsiTheme="majorBidi" w:cstheme="majorBidi"/>
        </w:rPr>
      </w:r>
      <w:r w:rsidRPr="00267AB1">
        <w:rPr>
          <w:rFonts w:asciiTheme="majorBidi" w:hAnsiTheme="majorBidi" w:cstheme="majorBidi"/>
        </w:rPr>
        <w:fldChar w:fldCharType="separate"/>
      </w:r>
      <w:r w:rsidR="00A73EB9">
        <w:rPr>
          <w:rFonts w:asciiTheme="majorBidi" w:hAnsiTheme="majorBidi" w:cstheme="majorBidi"/>
        </w:rPr>
        <w:t>533</w:t>
      </w:r>
      <w:r w:rsidRPr="00267AB1">
        <w:rPr>
          <w:rFonts w:asciiTheme="majorBidi" w:hAnsiTheme="majorBidi" w:cstheme="majorBidi"/>
        </w:rPr>
        <w:fldChar w:fldCharType="end"/>
      </w:r>
      <w:r w:rsidRPr="006D43C0">
        <w:rPr>
          <w:rFonts w:asciiTheme="majorBidi" w:hAnsiTheme="majorBidi" w:cstheme="majorBidi"/>
        </w:rPr>
        <w:t>)</w:t>
      </w:r>
      <w:r w:rsidRPr="008012F8">
        <w:t>，</w:t>
      </w:r>
      <w:r w:rsidRPr="008012F8">
        <w:rPr>
          <w:rFonts w:ascii="宋体" w:hAnsi="宋体" w:cs="宋体" w:hint="eastAsia"/>
        </w:rPr>
        <w:t>第</w:t>
      </w:r>
      <w:r w:rsidRPr="008012F8">
        <w:t>134-141</w:t>
      </w:r>
      <w:r w:rsidRPr="008012F8">
        <w:rPr>
          <w:rFonts w:ascii="宋体" w:hAnsi="宋体" w:cs="宋体" w:hint="eastAsia"/>
        </w:rPr>
        <w:t>页；</w:t>
      </w:r>
      <w:r w:rsidRPr="008012F8">
        <w:rPr>
          <w:lang w:val="de-DE"/>
        </w:rPr>
        <w:t xml:space="preserve">R. Bernhardt, </w:t>
      </w:r>
      <w:r w:rsidRPr="008012F8">
        <w:rPr>
          <w:i/>
          <w:lang w:val="de-DE"/>
        </w:rPr>
        <w:t>Die Auslegung völkerrechtlicher Verträge</w:t>
      </w:r>
      <w:r w:rsidRPr="008012F8">
        <w:t xml:space="preserve"> (Cologne, </w:t>
      </w:r>
      <w:r w:rsidRPr="008012F8">
        <w:t>柏林，</w:t>
      </w:r>
      <w:r w:rsidRPr="008012F8">
        <w:rPr>
          <w:lang w:val="de-DE"/>
        </w:rPr>
        <w:t xml:space="preserve">Heymann, </w:t>
      </w:r>
      <w:r w:rsidRPr="008012F8">
        <w:t>1963</w:t>
      </w:r>
      <w:r w:rsidRPr="008012F8">
        <w:rPr>
          <w:rFonts w:ascii="宋体" w:hAnsi="宋体" w:cs="宋体" w:hint="eastAsia"/>
        </w:rPr>
        <w:t>年</w:t>
      </w:r>
      <w:r w:rsidRPr="008012F8">
        <w:t>)</w:t>
      </w:r>
      <w:r w:rsidRPr="008012F8">
        <w:rPr>
          <w:rFonts w:ascii="宋体" w:hAnsi="宋体" w:cs="宋体" w:hint="eastAsia"/>
        </w:rPr>
        <w:t>，第</w:t>
      </w:r>
      <w:r w:rsidRPr="008012F8">
        <w:t>132</w:t>
      </w:r>
      <w:r w:rsidRPr="008012F8">
        <w:rPr>
          <w:rFonts w:ascii="宋体" w:hAnsi="宋体" w:cs="宋体" w:hint="eastAsia"/>
        </w:rPr>
        <w:t>页</w:t>
      </w:r>
      <w:r w:rsidRPr="003D448F">
        <w:rPr>
          <w:rFonts w:ascii="宋体" w:hAnsi="宋体" w:cs="宋体" w:hint="eastAsia"/>
          <w:bCs/>
          <w:lang w:val="de-DE"/>
        </w:rPr>
        <w:t>。</w:t>
      </w:r>
    </w:p>
  </w:footnote>
  <w:footnote w:id="686">
    <w:p w:rsidR="00AB00DE" w:rsidRPr="008012F8" w:rsidRDefault="00AB00DE" w:rsidP="008D7906">
      <w:pPr>
        <w:pStyle w:val="a4"/>
      </w:pPr>
      <w:r w:rsidRPr="008012F8">
        <w:tab/>
      </w:r>
      <w:r w:rsidRPr="00DF5565">
        <w:rPr>
          <w:rStyle w:val="a5"/>
        </w:rPr>
        <w:footnoteRef/>
      </w:r>
      <w:r w:rsidRPr="008012F8">
        <w:tab/>
      </w:r>
      <w:r w:rsidRPr="008012F8">
        <w:rPr>
          <w:rFonts w:ascii="宋体" w:hAnsi="宋体" w:cs="宋体" w:hint="eastAsia"/>
        </w:rPr>
        <w:t>见结论草案</w:t>
      </w:r>
      <w:r w:rsidRPr="008012F8">
        <w:t>8[3]</w:t>
      </w:r>
      <w:r w:rsidRPr="008012F8">
        <w:t>及其</w:t>
      </w:r>
      <w:r w:rsidRPr="008012F8">
        <w:rPr>
          <w:rFonts w:ascii="宋体" w:hAnsi="宋体" w:cs="宋体" w:hint="eastAsia"/>
        </w:rPr>
        <w:t>评注，第</w:t>
      </w:r>
      <w:r w:rsidRPr="008012F8">
        <w:t>(1)-(18)</w:t>
      </w:r>
      <w:r w:rsidRPr="008012F8">
        <w:rPr>
          <w:rFonts w:ascii="宋体" w:hAnsi="宋体" w:cs="宋体" w:hint="eastAsia"/>
        </w:rPr>
        <w:t>段。</w:t>
      </w:r>
    </w:p>
  </w:footnote>
  <w:footnote w:id="687">
    <w:p w:rsidR="00AB00DE" w:rsidRPr="008012F8" w:rsidRDefault="00AB00DE" w:rsidP="00560424">
      <w:pPr>
        <w:pStyle w:val="a4"/>
        <w:rPr>
          <w:rStyle w:val="Char0"/>
        </w:rPr>
      </w:pPr>
      <w:r w:rsidRPr="008012F8">
        <w:tab/>
      </w:r>
      <w:r w:rsidRPr="00DF5565">
        <w:rPr>
          <w:rStyle w:val="a5"/>
        </w:rPr>
        <w:footnoteRef/>
      </w:r>
      <w:r w:rsidRPr="008012F8">
        <w:tab/>
        <w:t xml:space="preserve">Sinclair, </w:t>
      </w:r>
      <w:r w:rsidRPr="008012F8">
        <w:rPr>
          <w:rFonts w:ascii="宋体" w:hAnsi="宋体" w:cs="宋体" w:hint="eastAsia"/>
        </w:rPr>
        <w:t>《维也纳</w:t>
      </w:r>
      <w:r w:rsidRPr="008012F8">
        <w:rPr>
          <w:rFonts w:hint="eastAsia"/>
        </w:rPr>
        <w:t>……</w:t>
      </w:r>
      <w:r w:rsidRPr="008012F8">
        <w:rPr>
          <w:rFonts w:ascii="宋体" w:hAnsi="宋体" w:cs="宋体" w:hint="eastAsia"/>
        </w:rPr>
        <w:t>公约》</w:t>
      </w:r>
      <w:r w:rsidRPr="008012F8">
        <w:t>(</w:t>
      </w:r>
      <w:r w:rsidRPr="006D43C0">
        <w:rPr>
          <w:rFonts w:asciiTheme="majorBidi" w:hAnsiTheme="majorBidi" w:cstheme="majorBidi" w:hint="eastAsia"/>
        </w:rPr>
        <w:t>见上文脚注</w:t>
      </w:r>
      <w:r>
        <w:fldChar w:fldCharType="begin"/>
      </w:r>
      <w:r>
        <w:instrText xml:space="preserve"> NOTEREF _Ref461972846 \h </w:instrText>
      </w:r>
      <w:r>
        <w:fldChar w:fldCharType="separate"/>
      </w:r>
      <w:r w:rsidR="00A73EB9">
        <w:t>393</w:t>
      </w:r>
      <w:r>
        <w:fldChar w:fldCharType="end"/>
      </w:r>
      <w:r w:rsidRPr="006D43C0">
        <w:rPr>
          <w:rFonts w:asciiTheme="majorBidi" w:hAnsiTheme="majorBidi" w:cstheme="majorBidi" w:hint="eastAsia"/>
        </w:rPr>
        <w:t>)</w:t>
      </w:r>
      <w:r w:rsidRPr="008012F8">
        <w:t>，</w:t>
      </w:r>
      <w:r w:rsidRPr="008012F8">
        <w:rPr>
          <w:rFonts w:ascii="宋体" w:hAnsi="宋体" w:cs="宋体" w:hint="eastAsia"/>
        </w:rPr>
        <w:t>第</w:t>
      </w:r>
      <w:r w:rsidRPr="008012F8">
        <w:t>138</w:t>
      </w:r>
      <w:r w:rsidRPr="008012F8">
        <w:rPr>
          <w:rFonts w:ascii="宋体" w:hAnsi="宋体" w:cs="宋体" w:hint="eastAsia"/>
        </w:rPr>
        <w:t>页；</w:t>
      </w:r>
      <w:r w:rsidRPr="008012F8">
        <w:t>Gardiner,</w:t>
      </w:r>
      <w:r w:rsidRPr="008012F8">
        <w:rPr>
          <w:rFonts w:ascii="宋体" w:hAnsi="宋体" w:cs="宋体" w:hint="eastAsia"/>
        </w:rPr>
        <w:t>《条约解释》</w:t>
      </w:r>
      <w:r w:rsidRPr="008012F8">
        <w:t>(</w:t>
      </w:r>
      <w:r w:rsidRPr="008012F8">
        <w:rPr>
          <w:rFonts w:ascii="宋体" w:hAnsi="宋体" w:cs="宋体" w:hint="eastAsia"/>
        </w:rPr>
        <w:t>见上</w:t>
      </w:r>
      <w:r w:rsidRPr="006D43C0">
        <w:rPr>
          <w:rFonts w:asciiTheme="majorBidi" w:hAnsiTheme="majorBidi" w:cstheme="majorBidi"/>
        </w:rPr>
        <w:t>文脚注</w:t>
      </w:r>
      <w:r w:rsidRPr="00D90936">
        <w:rPr>
          <w:rFonts w:asciiTheme="majorBidi" w:hAnsiTheme="majorBidi" w:cstheme="majorBidi"/>
        </w:rPr>
        <w:fldChar w:fldCharType="begin"/>
      </w:r>
      <w:r w:rsidRPr="00D90936">
        <w:rPr>
          <w:rFonts w:asciiTheme="majorBidi" w:hAnsiTheme="majorBidi" w:cstheme="majorBidi"/>
        </w:rPr>
        <w:instrText xml:space="preserve"> NOTEREF _Ref461971974 \h </w:instrText>
      </w:r>
      <w:r>
        <w:rPr>
          <w:rFonts w:asciiTheme="majorBidi" w:hAnsiTheme="majorBidi" w:cstheme="majorBidi"/>
        </w:rPr>
        <w:instrText xml:space="preserve"> \* MERGEFORMAT </w:instrText>
      </w:r>
      <w:r w:rsidRPr="00D90936">
        <w:rPr>
          <w:rFonts w:asciiTheme="majorBidi" w:hAnsiTheme="majorBidi" w:cstheme="majorBidi"/>
        </w:rPr>
      </w:r>
      <w:r w:rsidRPr="00D90936">
        <w:rPr>
          <w:rFonts w:asciiTheme="majorBidi" w:hAnsiTheme="majorBidi" w:cstheme="majorBidi"/>
        </w:rPr>
        <w:fldChar w:fldCharType="separate"/>
      </w:r>
      <w:r w:rsidR="00A73EB9">
        <w:rPr>
          <w:rFonts w:asciiTheme="majorBidi" w:hAnsiTheme="majorBidi" w:cstheme="majorBidi"/>
        </w:rPr>
        <w:t>392</w:t>
      </w:r>
      <w:r w:rsidRPr="00D90936">
        <w:rPr>
          <w:rFonts w:asciiTheme="majorBidi" w:hAnsiTheme="majorBidi" w:cstheme="majorBidi"/>
        </w:rPr>
        <w:fldChar w:fldCharType="end"/>
      </w:r>
      <w:r w:rsidRPr="006D43C0">
        <w:rPr>
          <w:rFonts w:asciiTheme="majorBidi" w:hAnsiTheme="majorBidi" w:cstheme="majorBidi"/>
        </w:rPr>
        <w:t>)</w:t>
      </w:r>
      <w:r w:rsidRPr="008012F8">
        <w:rPr>
          <w:rFonts w:ascii="宋体" w:hAnsi="宋体" w:cs="宋体" w:hint="eastAsia"/>
        </w:rPr>
        <w:t>，第</w:t>
      </w:r>
      <w:r w:rsidRPr="008012F8">
        <w:t>275</w:t>
      </w:r>
      <w:r w:rsidRPr="008012F8">
        <w:rPr>
          <w:rFonts w:ascii="宋体" w:hAnsi="宋体" w:cs="宋体" w:hint="eastAsia"/>
        </w:rPr>
        <w:t>页；</w:t>
      </w:r>
      <w:r w:rsidRPr="008012F8">
        <w:t>Murphy,</w:t>
      </w:r>
      <w:r w:rsidRPr="008012F8">
        <w:rPr>
          <w:rFonts w:hint="eastAsia"/>
        </w:rPr>
        <w:t>“</w:t>
      </w:r>
      <w:r w:rsidRPr="008012F8">
        <w:rPr>
          <w:rFonts w:ascii="宋体" w:hAnsi="宋体" w:cs="宋体" w:hint="eastAsia"/>
        </w:rPr>
        <w:t>嗣后协定</w:t>
      </w:r>
      <w:r w:rsidRPr="008012F8">
        <w:rPr>
          <w:rFonts w:hint="eastAsia"/>
        </w:rPr>
        <w:t>……</w:t>
      </w:r>
      <w:r w:rsidRPr="008012F8">
        <w:rPr>
          <w:rFonts w:ascii="宋体" w:hAnsi="宋体" w:cs="宋体" w:hint="eastAsia"/>
        </w:rPr>
        <w:t>的作用</w:t>
      </w:r>
      <w:r w:rsidRPr="008012F8">
        <w:rPr>
          <w:rFonts w:hint="eastAsia"/>
        </w:rPr>
        <w:t>”</w:t>
      </w:r>
      <w:r w:rsidRPr="008012F8">
        <w:t>(</w:t>
      </w:r>
      <w:r w:rsidRPr="008012F8">
        <w:rPr>
          <w:rFonts w:ascii="宋体" w:hAnsi="宋体" w:cs="宋体" w:hint="eastAsia"/>
        </w:rPr>
        <w:t>见</w:t>
      </w:r>
      <w:r w:rsidRPr="00EA258E">
        <w:rPr>
          <w:rFonts w:asciiTheme="majorBidi" w:hAnsiTheme="majorBidi" w:cstheme="majorBidi"/>
        </w:rPr>
        <w:t>上文脚注</w:t>
      </w:r>
      <w:r>
        <w:rPr>
          <w:rFonts w:asciiTheme="majorBidi" w:hAnsiTheme="majorBidi" w:cstheme="majorBidi"/>
        </w:rPr>
        <w:fldChar w:fldCharType="begin"/>
      </w:r>
      <w:r>
        <w:rPr>
          <w:rFonts w:asciiTheme="majorBidi" w:hAnsiTheme="majorBidi" w:cstheme="majorBidi"/>
        </w:rPr>
        <w:instrText xml:space="preserve"> NOTEREF _Ref461973633 \h </w:instrText>
      </w:r>
      <w:r>
        <w:rPr>
          <w:rFonts w:asciiTheme="majorBidi" w:hAnsiTheme="majorBidi" w:cstheme="majorBidi"/>
        </w:rPr>
      </w:r>
      <w:r>
        <w:rPr>
          <w:rFonts w:asciiTheme="majorBidi" w:hAnsiTheme="majorBidi" w:cstheme="majorBidi"/>
        </w:rPr>
        <w:fldChar w:fldCharType="separate"/>
      </w:r>
      <w:r w:rsidR="00A73EB9">
        <w:rPr>
          <w:rFonts w:asciiTheme="majorBidi" w:hAnsiTheme="majorBidi" w:cstheme="majorBidi"/>
        </w:rPr>
        <w:t>642</w:t>
      </w:r>
      <w:r>
        <w:rPr>
          <w:rFonts w:asciiTheme="majorBidi" w:hAnsiTheme="majorBidi" w:cstheme="majorBidi"/>
        </w:rPr>
        <w:fldChar w:fldCharType="end"/>
      </w:r>
      <w:r w:rsidRPr="008012F8">
        <w:t>)</w:t>
      </w:r>
      <w:r w:rsidRPr="008012F8">
        <w:rPr>
          <w:rFonts w:ascii="宋体" w:hAnsi="宋体" w:cs="宋体" w:hint="eastAsia"/>
        </w:rPr>
        <w:t>，第</w:t>
      </w:r>
      <w:r w:rsidRPr="008012F8">
        <w:t>90</w:t>
      </w:r>
      <w:r w:rsidRPr="008012F8">
        <w:rPr>
          <w:rFonts w:ascii="宋体" w:hAnsi="宋体" w:cs="宋体" w:hint="eastAsia"/>
        </w:rPr>
        <w:t>页；</w:t>
      </w:r>
      <w:r w:rsidRPr="008012F8">
        <w:t>B. Simma,</w:t>
      </w:r>
      <w:r w:rsidRPr="008012F8">
        <w:rPr>
          <w:rFonts w:hint="eastAsia"/>
        </w:rPr>
        <w:t>“</w:t>
      </w:r>
      <w:r w:rsidRPr="008012F8">
        <w:rPr>
          <w:rFonts w:ascii="宋体" w:hAnsi="宋体" w:cs="宋体" w:hint="eastAsia"/>
        </w:rPr>
        <w:t>关于嗣后协定和惯例的思考</w:t>
      </w:r>
      <w:r w:rsidRPr="008012F8">
        <w:rPr>
          <w:rFonts w:hint="eastAsia"/>
        </w:rPr>
        <w:t>”</w:t>
      </w:r>
      <w:r w:rsidRPr="008012F8">
        <w:rPr>
          <w:rFonts w:ascii="宋体" w:hAnsi="宋体" w:cs="宋体" w:hint="eastAsia"/>
        </w:rPr>
        <w:t>，载于</w:t>
      </w:r>
      <w:r w:rsidRPr="008012F8">
        <w:t>诺尔特</w:t>
      </w:r>
      <w:r w:rsidRPr="008012F8">
        <w:t>,</w:t>
      </w:r>
      <w:r w:rsidRPr="008012F8">
        <w:rPr>
          <w:rFonts w:ascii="宋体" w:hAnsi="宋体" w:cs="宋体" w:hint="eastAsia"/>
        </w:rPr>
        <w:t>《条约和嗣后惯例》</w:t>
      </w:r>
      <w:r w:rsidRPr="008012F8">
        <w:t>(</w:t>
      </w:r>
      <w:r w:rsidRPr="008012F8">
        <w:rPr>
          <w:rFonts w:ascii="宋体" w:hAnsi="宋体" w:cs="宋体" w:hint="eastAsia"/>
        </w:rPr>
        <w:t>见</w:t>
      </w:r>
      <w:r w:rsidRPr="006D43C0">
        <w:rPr>
          <w:rFonts w:asciiTheme="majorBidi" w:hAnsiTheme="majorBidi" w:cstheme="majorBidi" w:hint="eastAsia"/>
        </w:rPr>
        <w:t>上文脚注</w:t>
      </w:r>
      <w:r>
        <w:rPr>
          <w:lang w:val="zh-CN"/>
        </w:rPr>
        <w:fldChar w:fldCharType="begin"/>
      </w:r>
      <w:r>
        <w:rPr>
          <w:lang w:val="zh-CN"/>
        </w:rPr>
        <w:instrText xml:space="preserve"> NOTEREF _Ref461973084 \h </w:instrText>
      </w:r>
      <w:r>
        <w:rPr>
          <w:lang w:val="zh-CN"/>
        </w:rPr>
      </w:r>
      <w:r>
        <w:rPr>
          <w:lang w:val="zh-CN"/>
        </w:rPr>
        <w:fldChar w:fldCharType="separate"/>
      </w:r>
      <w:r w:rsidR="00A73EB9">
        <w:rPr>
          <w:lang w:val="zh-CN"/>
        </w:rPr>
        <w:t>398</w:t>
      </w:r>
      <w:r>
        <w:rPr>
          <w:lang w:val="zh-CN"/>
        </w:rPr>
        <w:fldChar w:fldCharType="end"/>
      </w:r>
      <w:r w:rsidRPr="006D43C0">
        <w:rPr>
          <w:rFonts w:asciiTheme="majorBidi" w:hAnsiTheme="majorBidi" w:cstheme="majorBidi" w:hint="eastAsia"/>
        </w:rPr>
        <w:t>)</w:t>
      </w:r>
      <w:r w:rsidRPr="008012F8">
        <w:rPr>
          <w:rFonts w:ascii="宋体" w:hAnsi="宋体" w:cs="宋体" w:hint="eastAsia"/>
        </w:rPr>
        <w:t>，第</w:t>
      </w:r>
      <w:r w:rsidRPr="008012F8">
        <w:t>46</w:t>
      </w:r>
      <w:r w:rsidRPr="008012F8">
        <w:rPr>
          <w:rFonts w:ascii="宋体" w:hAnsi="宋体" w:cs="宋体" w:hint="eastAsia"/>
        </w:rPr>
        <w:t>页；</w:t>
      </w:r>
      <w:r w:rsidRPr="008012F8">
        <w:t xml:space="preserve">Karl, </w:t>
      </w:r>
      <w:r w:rsidRPr="008012F8">
        <w:rPr>
          <w:i/>
          <w:iCs/>
        </w:rPr>
        <w:t>Vertrag und spätere Praxis</w:t>
      </w:r>
      <w:r w:rsidRPr="008012F8">
        <w:t>…(</w:t>
      </w:r>
      <w:r w:rsidRPr="008012F8">
        <w:t>见上文脚注</w:t>
      </w:r>
      <w:r>
        <w:fldChar w:fldCharType="begin"/>
      </w:r>
      <w:r>
        <w:instrText xml:space="preserve"> NOTEREF _Ref364163375 \h </w:instrText>
      </w:r>
      <w:r>
        <w:fldChar w:fldCharType="separate"/>
      </w:r>
      <w:r w:rsidR="00A73EB9">
        <w:t>454</w:t>
      </w:r>
      <w:r>
        <w:fldChar w:fldCharType="end"/>
      </w:r>
      <w:r w:rsidRPr="008012F8">
        <w:t>)</w:t>
      </w:r>
      <w:r w:rsidRPr="008012F8">
        <w:t>，</w:t>
      </w:r>
      <w:r w:rsidRPr="008012F8">
        <w:rPr>
          <w:rFonts w:ascii="宋体" w:hAnsi="宋体" w:cs="宋体" w:hint="eastAsia"/>
        </w:rPr>
        <w:t>第</w:t>
      </w:r>
      <w:r w:rsidRPr="008012F8">
        <w:t>42-43</w:t>
      </w:r>
      <w:r w:rsidRPr="008012F8">
        <w:rPr>
          <w:rFonts w:ascii="宋体" w:hAnsi="宋体" w:cs="宋体" w:hint="eastAsia"/>
        </w:rPr>
        <w:t>页；</w:t>
      </w:r>
      <w:r w:rsidRPr="008012F8">
        <w:t>Sorel</w:t>
      </w:r>
      <w:r w:rsidRPr="008012F8">
        <w:rPr>
          <w:rFonts w:ascii="宋体" w:hAnsi="宋体" w:cs="宋体" w:hint="eastAsia"/>
        </w:rPr>
        <w:t>和</w:t>
      </w:r>
      <w:r w:rsidRPr="008012F8">
        <w:t>Boré Eveno,</w:t>
      </w:r>
      <w:r w:rsidRPr="008012F8">
        <w:rPr>
          <w:rFonts w:hint="eastAsia"/>
        </w:rPr>
        <w:t>“</w:t>
      </w:r>
      <w:r w:rsidRPr="008012F8">
        <w:t>1969</w:t>
      </w:r>
      <w:r w:rsidRPr="008012F8">
        <w:rPr>
          <w:rFonts w:ascii="宋体" w:hAnsi="宋体" w:cs="宋体" w:hint="eastAsia"/>
        </w:rPr>
        <w:t>年《维也纳公约》</w:t>
      </w:r>
      <w:r w:rsidRPr="008012F8">
        <w:t>，</w:t>
      </w:r>
      <w:r w:rsidRPr="008012F8">
        <w:rPr>
          <w:rFonts w:ascii="宋体" w:hAnsi="宋体" w:cs="宋体" w:hint="eastAsia"/>
        </w:rPr>
        <w:t>第三十一条</w:t>
      </w:r>
      <w:r w:rsidRPr="008012F8">
        <w:rPr>
          <w:rFonts w:hint="eastAsia"/>
        </w:rPr>
        <w:t>……”</w:t>
      </w:r>
      <w:r w:rsidRPr="008012F8">
        <w:t>(</w:t>
      </w:r>
      <w:r w:rsidRPr="008012F8">
        <w:rPr>
          <w:rFonts w:ascii="宋体" w:hAnsi="宋体" w:cs="宋体" w:hint="eastAsia"/>
        </w:rPr>
        <w:t>见上文脚注</w:t>
      </w:r>
      <w:r>
        <w:rPr>
          <w:lang w:val="fr-FR"/>
        </w:rPr>
        <w:fldChar w:fldCharType="begin"/>
      </w:r>
      <w:r>
        <w:rPr>
          <w:lang w:val="fr-FR"/>
        </w:rPr>
        <w:instrText xml:space="preserve"> NOTEREF _Ref461973900 \h </w:instrText>
      </w:r>
      <w:r>
        <w:rPr>
          <w:lang w:val="fr-FR"/>
        </w:rPr>
      </w:r>
      <w:r>
        <w:rPr>
          <w:lang w:val="fr-FR"/>
        </w:rPr>
        <w:fldChar w:fldCharType="separate"/>
      </w:r>
      <w:r w:rsidR="00A73EB9">
        <w:rPr>
          <w:lang w:val="fr-FR"/>
        </w:rPr>
        <w:t>440</w:t>
      </w:r>
      <w:r>
        <w:rPr>
          <w:lang w:val="fr-FR"/>
        </w:rPr>
        <w:fldChar w:fldCharType="end"/>
      </w:r>
      <w:r w:rsidRPr="000C49CF">
        <w:rPr>
          <w:rFonts w:asciiTheme="majorBidi" w:hAnsiTheme="majorBidi" w:cstheme="majorBidi" w:hint="eastAsia"/>
        </w:rPr>
        <w:t>),</w:t>
      </w:r>
      <w:r w:rsidRPr="008012F8">
        <w:rPr>
          <w:rFonts w:hint="eastAsia"/>
        </w:rPr>
        <w:t xml:space="preserve"> </w:t>
      </w:r>
      <w:r w:rsidRPr="008012F8">
        <w:rPr>
          <w:rFonts w:ascii="宋体" w:hAnsi="宋体" w:cs="宋体" w:hint="eastAsia"/>
        </w:rPr>
        <w:t>第</w:t>
      </w:r>
      <w:r w:rsidRPr="008012F8">
        <w:t>825</w:t>
      </w:r>
      <w:r w:rsidRPr="008012F8">
        <w:rPr>
          <w:rFonts w:ascii="宋体" w:hAnsi="宋体" w:cs="宋体" w:hint="eastAsia"/>
        </w:rPr>
        <w:t>页，第</w:t>
      </w:r>
      <w:r w:rsidRPr="008012F8">
        <w:t>42</w:t>
      </w:r>
      <w:r w:rsidRPr="008012F8">
        <w:rPr>
          <w:rFonts w:ascii="宋体" w:hAnsi="宋体" w:cs="宋体" w:hint="eastAsia"/>
        </w:rPr>
        <w:t>段；</w:t>
      </w:r>
      <w:r w:rsidRPr="008012F8">
        <w:t>Dörr,</w:t>
      </w:r>
      <w:r w:rsidRPr="008012F8">
        <w:rPr>
          <w:rFonts w:hint="eastAsia"/>
        </w:rPr>
        <w:t>“</w:t>
      </w:r>
      <w:r w:rsidRPr="008012F8">
        <w:rPr>
          <w:rFonts w:ascii="宋体" w:hAnsi="宋体" w:cs="宋体" w:hint="eastAsia"/>
        </w:rPr>
        <w:t>第三十一条</w:t>
      </w:r>
      <w:r w:rsidRPr="008012F8">
        <w:rPr>
          <w:rFonts w:hint="eastAsia"/>
        </w:rPr>
        <w:t>……”</w:t>
      </w:r>
      <w:r w:rsidRPr="008012F8">
        <w:t>(</w:t>
      </w:r>
      <w:r w:rsidRPr="006D43C0">
        <w:rPr>
          <w:rFonts w:asciiTheme="majorBidi" w:hAnsiTheme="majorBidi" w:cstheme="majorBidi" w:hint="eastAsia"/>
        </w:rPr>
        <w:t>见上文脚注</w:t>
      </w:r>
      <w:r>
        <w:fldChar w:fldCharType="begin"/>
      </w:r>
      <w:r>
        <w:instrText xml:space="preserve"> </w:instrText>
      </w:r>
      <w:r>
        <w:rPr>
          <w:rFonts w:hint="eastAsia"/>
        </w:rPr>
        <w:instrText>NOTEREF _Ref461972537 \h</w:instrText>
      </w:r>
      <w:r>
        <w:instrText xml:space="preserve"> </w:instrText>
      </w:r>
      <w:r>
        <w:fldChar w:fldCharType="separate"/>
      </w:r>
      <w:r w:rsidR="00A73EB9">
        <w:t>439</w:t>
      </w:r>
      <w:r>
        <w:fldChar w:fldCharType="end"/>
      </w:r>
      <w:r w:rsidRPr="006D43C0">
        <w:rPr>
          <w:rFonts w:asciiTheme="majorBidi" w:hAnsiTheme="majorBidi" w:cstheme="majorBidi" w:hint="eastAsia"/>
        </w:rPr>
        <w:t>)</w:t>
      </w:r>
      <w:r w:rsidRPr="008012F8">
        <w:t>，</w:t>
      </w:r>
      <w:r w:rsidRPr="008012F8">
        <w:rPr>
          <w:rFonts w:ascii="宋体" w:hAnsi="宋体" w:cs="宋体" w:hint="eastAsia"/>
        </w:rPr>
        <w:t>第</w:t>
      </w:r>
      <w:r w:rsidRPr="008012F8">
        <w:t>555</w:t>
      </w:r>
      <w:r w:rsidRPr="008012F8">
        <w:rPr>
          <w:rFonts w:ascii="宋体" w:hAnsi="宋体" w:cs="宋体" w:hint="eastAsia"/>
        </w:rPr>
        <w:t>页，第</w:t>
      </w:r>
      <w:r w:rsidRPr="008012F8">
        <w:t>76</w:t>
      </w:r>
      <w:r w:rsidRPr="008012F8">
        <w:rPr>
          <w:rFonts w:ascii="宋体" w:hAnsi="宋体" w:cs="宋体" w:hint="eastAsia"/>
        </w:rPr>
        <w:t>段；的确难以划分界限，即使理论上二者被视为</w:t>
      </w:r>
      <w:r w:rsidRPr="008012F8">
        <w:rPr>
          <w:rFonts w:hint="eastAsia"/>
        </w:rPr>
        <w:t>“</w:t>
      </w:r>
      <w:r w:rsidRPr="008012F8">
        <w:rPr>
          <w:rFonts w:ascii="宋体" w:hAnsi="宋体" w:cs="宋体" w:hint="eastAsia"/>
        </w:rPr>
        <w:t>在法律上有明显区别</w:t>
      </w:r>
      <w:r w:rsidRPr="008012F8">
        <w:rPr>
          <w:rFonts w:hint="eastAsia"/>
        </w:rPr>
        <w:t>”</w:t>
      </w:r>
      <w:r w:rsidRPr="008012F8">
        <w:rPr>
          <w:rFonts w:ascii="宋体" w:hAnsi="宋体" w:cs="宋体" w:hint="eastAsia"/>
        </w:rPr>
        <w:t>，见</w:t>
      </w:r>
      <w:r w:rsidRPr="008012F8">
        <w:t>Parra-Aranguren</w:t>
      </w:r>
      <w:r w:rsidRPr="008012F8">
        <w:rPr>
          <w:rFonts w:ascii="宋体" w:hAnsi="宋体" w:cs="宋体" w:hint="eastAsia"/>
        </w:rPr>
        <w:t>法官在</w:t>
      </w:r>
      <w:r w:rsidRPr="008012F8">
        <w:rPr>
          <w:rFonts w:eastAsia="楷体"/>
        </w:rPr>
        <w:t>卡西基里</w:t>
      </w:r>
      <w:r w:rsidRPr="008012F8">
        <w:rPr>
          <w:rFonts w:eastAsia="楷体"/>
        </w:rPr>
        <w:t>/</w:t>
      </w:r>
      <w:r w:rsidRPr="008012F8">
        <w:rPr>
          <w:rFonts w:eastAsia="楷体"/>
        </w:rPr>
        <w:t>塞杜杜岛案</w:t>
      </w:r>
      <w:r w:rsidRPr="008012F8">
        <w:t>(</w:t>
      </w:r>
      <w:r w:rsidRPr="006D43C0">
        <w:rPr>
          <w:rFonts w:asciiTheme="majorBidi" w:hAnsiTheme="majorBidi" w:cstheme="majorBidi"/>
        </w:rPr>
        <w:t>上文脚注</w:t>
      </w:r>
      <w:r>
        <w:rPr>
          <w:lang w:val="zh-CN"/>
        </w:rPr>
        <w:fldChar w:fldCharType="begin"/>
      </w:r>
      <w:r>
        <w:rPr>
          <w:lang w:val="zh-CN"/>
        </w:rPr>
        <w:instrText xml:space="preserve"> NOTEREF _Ref461971066 \h </w:instrText>
      </w:r>
      <w:r>
        <w:rPr>
          <w:lang w:val="zh-CN"/>
        </w:rPr>
      </w:r>
      <w:r>
        <w:rPr>
          <w:lang w:val="zh-CN"/>
        </w:rPr>
        <w:fldChar w:fldCharType="separate"/>
      </w:r>
      <w:r w:rsidR="00A73EB9">
        <w:rPr>
          <w:lang w:val="zh-CN"/>
        </w:rPr>
        <w:t>395</w:t>
      </w:r>
      <w:r>
        <w:rPr>
          <w:lang w:val="zh-CN"/>
        </w:rPr>
        <w:fldChar w:fldCharType="end"/>
      </w:r>
      <w:r w:rsidRPr="006D43C0">
        <w:rPr>
          <w:rFonts w:asciiTheme="majorBidi" w:hAnsiTheme="majorBidi" w:cstheme="majorBidi"/>
        </w:rPr>
        <w:t>)</w:t>
      </w:r>
      <w:r w:rsidRPr="008012F8">
        <w:rPr>
          <w:rFonts w:ascii="宋体" w:hAnsi="宋体" w:cs="宋体" w:hint="eastAsia"/>
        </w:rPr>
        <w:t>中的反对意见，见</w:t>
      </w:r>
      <w:r w:rsidRPr="008012F8">
        <w:t>1212-1213</w:t>
      </w:r>
      <w:r w:rsidRPr="008012F8">
        <w:rPr>
          <w:rFonts w:ascii="宋体" w:hAnsi="宋体" w:cs="宋体" w:hint="eastAsia"/>
        </w:rPr>
        <w:t>页，第</w:t>
      </w:r>
      <w:r w:rsidRPr="008012F8">
        <w:t>16</w:t>
      </w:r>
      <w:r w:rsidRPr="008012F8">
        <w:rPr>
          <w:rFonts w:ascii="宋体" w:hAnsi="宋体" w:cs="宋体" w:hint="eastAsia"/>
        </w:rPr>
        <w:t>段；同样见</w:t>
      </w:r>
      <w:r w:rsidRPr="008012F8">
        <w:t>Hafner,</w:t>
      </w:r>
      <w:r w:rsidRPr="008012F8">
        <w:rPr>
          <w:rFonts w:ascii="宋体" w:hAnsi="宋体" w:cs="宋体" w:hint="eastAsia"/>
        </w:rPr>
        <w:t>《嗣后协定和惯例</w:t>
      </w:r>
      <w:r w:rsidRPr="008012F8">
        <w:rPr>
          <w:rFonts w:hint="eastAsia"/>
        </w:rPr>
        <w:t>……</w:t>
      </w:r>
      <w:r w:rsidRPr="008012F8">
        <w:rPr>
          <w:rFonts w:ascii="宋体" w:hAnsi="宋体" w:cs="宋体" w:hint="eastAsia"/>
        </w:rPr>
        <w:t>》</w:t>
      </w:r>
      <w:r w:rsidRPr="008012F8">
        <w:t>(</w:t>
      </w:r>
      <w:r w:rsidRPr="008012F8">
        <w:rPr>
          <w:rFonts w:ascii="宋体" w:hAnsi="宋体" w:cs="宋体" w:hint="eastAsia"/>
        </w:rPr>
        <w:t>见</w:t>
      </w:r>
      <w:r w:rsidRPr="006D43C0">
        <w:rPr>
          <w:rFonts w:asciiTheme="majorBidi" w:hAnsiTheme="majorBidi" w:cstheme="majorBidi" w:hint="eastAsia"/>
        </w:rPr>
        <w:t>上文上文脚注</w:t>
      </w:r>
      <w:r>
        <w:rPr>
          <w:rFonts w:asciiTheme="majorBidi" w:hAnsiTheme="majorBidi" w:cstheme="majorBidi"/>
        </w:rPr>
        <w:fldChar w:fldCharType="begin"/>
      </w:r>
      <w:r>
        <w:rPr>
          <w:rFonts w:asciiTheme="majorBidi" w:hAnsiTheme="majorBidi" w:cstheme="majorBidi"/>
        </w:rPr>
        <w:instrText xml:space="preserve"> </w:instrText>
      </w:r>
      <w:r>
        <w:rPr>
          <w:rFonts w:asciiTheme="majorBidi" w:hAnsiTheme="majorBidi" w:cstheme="majorBidi" w:hint="eastAsia"/>
        </w:rPr>
        <w:instrText>NOTEREF _Ref461976124 \h</w:instrText>
      </w:r>
      <w:r>
        <w:rPr>
          <w:rFonts w:asciiTheme="majorBidi" w:hAnsiTheme="majorBidi" w:cstheme="majorBidi"/>
        </w:rPr>
        <w:instrText xml:space="preserve"> </w:instrText>
      </w:r>
      <w:r>
        <w:rPr>
          <w:rFonts w:asciiTheme="majorBidi" w:hAnsiTheme="majorBidi" w:cstheme="majorBidi"/>
        </w:rPr>
      </w:r>
      <w:r>
        <w:rPr>
          <w:rFonts w:asciiTheme="majorBidi" w:hAnsiTheme="majorBidi" w:cstheme="majorBidi"/>
        </w:rPr>
        <w:fldChar w:fldCharType="separate"/>
      </w:r>
      <w:r w:rsidR="00A73EB9">
        <w:rPr>
          <w:rFonts w:asciiTheme="majorBidi" w:hAnsiTheme="majorBidi" w:cstheme="majorBidi"/>
        </w:rPr>
        <w:t>655</w:t>
      </w:r>
      <w:r>
        <w:rPr>
          <w:rFonts w:asciiTheme="majorBidi" w:hAnsiTheme="majorBidi" w:cstheme="majorBidi"/>
        </w:rPr>
        <w:fldChar w:fldCharType="end"/>
      </w:r>
      <w:r w:rsidRPr="006D43C0">
        <w:rPr>
          <w:rFonts w:asciiTheme="majorBidi" w:hAnsiTheme="majorBidi" w:cstheme="majorBidi" w:hint="eastAsia"/>
        </w:rPr>
        <w:t>)</w:t>
      </w:r>
      <w:r w:rsidRPr="008012F8">
        <w:rPr>
          <w:rFonts w:ascii="宋体" w:hAnsi="宋体" w:cs="宋体" w:hint="eastAsia"/>
        </w:rPr>
        <w:t>，第</w:t>
      </w:r>
      <w:r w:rsidRPr="008012F8">
        <w:t>114</w:t>
      </w:r>
      <w:r w:rsidRPr="008012F8">
        <w:rPr>
          <w:rFonts w:ascii="宋体" w:hAnsi="宋体" w:cs="宋体" w:hint="eastAsia"/>
        </w:rPr>
        <w:t>页；</w:t>
      </w:r>
      <w:r w:rsidRPr="008012F8">
        <w:t>Linderfalk,</w:t>
      </w:r>
      <w:r w:rsidRPr="008012F8">
        <w:rPr>
          <w:rFonts w:ascii="宋体" w:hAnsi="宋体" w:cs="宋体" w:hint="eastAsia"/>
        </w:rPr>
        <w:t>《论条约的解释》</w:t>
      </w:r>
      <w:r w:rsidRPr="006D43C0">
        <w:rPr>
          <w:rFonts w:asciiTheme="majorBidi" w:hAnsiTheme="majorBidi" w:cstheme="majorBidi"/>
        </w:rPr>
        <w:t>(</w:t>
      </w:r>
      <w:r w:rsidRPr="006D43C0">
        <w:rPr>
          <w:rFonts w:asciiTheme="majorBidi" w:hAnsiTheme="majorBidi" w:cstheme="majorBidi" w:hint="eastAsia"/>
        </w:rPr>
        <w:t>见上文脚注</w:t>
      </w:r>
      <w:r>
        <w:fldChar w:fldCharType="begin"/>
      </w:r>
      <w:r>
        <w:instrText xml:space="preserve"> </w:instrText>
      </w:r>
      <w:r>
        <w:rPr>
          <w:rFonts w:hint="eastAsia"/>
        </w:rPr>
        <w:instrText>NOTEREF _Ref461974127 \h</w:instrText>
      </w:r>
      <w:r>
        <w:instrText xml:space="preserve"> </w:instrText>
      </w:r>
      <w:r>
        <w:fldChar w:fldCharType="separate"/>
      </w:r>
      <w:r w:rsidR="00A73EB9">
        <w:t>446</w:t>
      </w:r>
      <w:r>
        <w:fldChar w:fldCharType="end"/>
      </w:r>
      <w:r w:rsidRPr="006D43C0">
        <w:rPr>
          <w:rFonts w:asciiTheme="majorBidi" w:hAnsiTheme="majorBidi" w:cstheme="majorBidi" w:hint="eastAsia"/>
        </w:rPr>
        <w:t>)</w:t>
      </w:r>
      <w:r w:rsidRPr="008012F8">
        <w:rPr>
          <w:rFonts w:ascii="宋体" w:hAnsi="宋体" w:cs="宋体" w:hint="eastAsia"/>
        </w:rPr>
        <w:t>，第</w:t>
      </w:r>
      <w:r w:rsidRPr="008012F8">
        <w:t>168</w:t>
      </w:r>
      <w:r w:rsidRPr="008012F8">
        <w:rPr>
          <w:rFonts w:ascii="宋体" w:hAnsi="宋体" w:cs="宋体" w:hint="eastAsia"/>
        </w:rPr>
        <w:t>页。</w:t>
      </w:r>
    </w:p>
  </w:footnote>
  <w:footnote w:id="688">
    <w:p w:rsidR="00AB00DE" w:rsidRPr="008012F8" w:rsidRDefault="00AB00DE" w:rsidP="00D90936">
      <w:pPr>
        <w:pStyle w:val="a4"/>
      </w:pPr>
      <w:r w:rsidRPr="008012F8">
        <w:tab/>
      </w:r>
      <w:r w:rsidRPr="00DF5565">
        <w:rPr>
          <w:rStyle w:val="a5"/>
        </w:rPr>
        <w:footnoteRef/>
      </w:r>
      <w:r w:rsidRPr="008012F8">
        <w:tab/>
      </w:r>
      <w:r w:rsidRPr="00DF5565">
        <w:rPr>
          <w:rFonts w:eastAsia="楷体"/>
        </w:rPr>
        <w:t>关于航行权和相关权利的争端案</w:t>
      </w:r>
      <w:r w:rsidRPr="00DF5565">
        <w:rPr>
          <w:rFonts w:eastAsia="楷体"/>
        </w:rPr>
        <w:t>(</w:t>
      </w:r>
      <w:r w:rsidRPr="003A67B6">
        <w:rPr>
          <w:rFonts w:asciiTheme="majorBidi" w:hAnsiTheme="majorBidi" w:cstheme="majorBidi"/>
        </w:rPr>
        <w:t>见上文脚注</w:t>
      </w:r>
      <w:r>
        <w:rPr>
          <w:lang w:val="zh-CN"/>
        </w:rPr>
        <w:fldChar w:fldCharType="begin"/>
      </w:r>
      <w:r>
        <w:rPr>
          <w:lang w:val="zh-CN"/>
        </w:rPr>
        <w:instrText xml:space="preserve"> NOTEREF _Ref461971066 \h </w:instrText>
      </w:r>
      <w:r>
        <w:rPr>
          <w:lang w:val="zh-CN"/>
        </w:rPr>
      </w:r>
      <w:r>
        <w:rPr>
          <w:lang w:val="zh-CN"/>
        </w:rPr>
        <w:fldChar w:fldCharType="separate"/>
      </w:r>
      <w:r w:rsidR="00A73EB9">
        <w:rPr>
          <w:lang w:val="zh-CN"/>
        </w:rPr>
        <w:t>395</w:t>
      </w:r>
      <w:r>
        <w:rPr>
          <w:lang w:val="zh-CN"/>
        </w:rPr>
        <w:fldChar w:fldCharType="end"/>
      </w:r>
      <w:r w:rsidRPr="00D90936">
        <w:rPr>
          <w:rFonts w:asciiTheme="majorBidi" w:hAnsiTheme="majorBidi" w:cstheme="majorBidi"/>
        </w:rPr>
        <w:t>)</w:t>
      </w:r>
      <w:r w:rsidRPr="008012F8">
        <w:rPr>
          <w:rFonts w:ascii="宋体" w:hAnsi="宋体" w:cs="宋体" w:hint="eastAsia"/>
        </w:rPr>
        <w:t>，第</w:t>
      </w:r>
      <w:r w:rsidRPr="008012F8">
        <w:t>242</w:t>
      </w:r>
      <w:r w:rsidRPr="008012F8">
        <w:rPr>
          <w:rFonts w:ascii="宋体" w:hAnsi="宋体" w:cs="宋体" w:hint="eastAsia"/>
        </w:rPr>
        <w:t>页，第</w:t>
      </w:r>
      <w:r w:rsidRPr="008012F8">
        <w:t>64</w:t>
      </w:r>
      <w:r w:rsidRPr="008012F8">
        <w:rPr>
          <w:rFonts w:ascii="宋体" w:hAnsi="宋体" w:cs="宋体" w:hint="eastAsia"/>
        </w:rPr>
        <w:t>段。</w:t>
      </w:r>
    </w:p>
  </w:footnote>
  <w:footnote w:id="689">
    <w:p w:rsidR="00AB00DE" w:rsidRPr="008012F8" w:rsidRDefault="00AB00DE" w:rsidP="00560424">
      <w:pPr>
        <w:pStyle w:val="a4"/>
      </w:pPr>
      <w:r w:rsidRPr="008012F8">
        <w:tab/>
      </w:r>
      <w:r w:rsidRPr="00DF5565">
        <w:rPr>
          <w:rStyle w:val="a5"/>
        </w:rPr>
        <w:footnoteRef/>
      </w:r>
      <w:r w:rsidRPr="008012F8">
        <w:tab/>
        <w:t>Thirlway,</w:t>
      </w:r>
      <w:r w:rsidRPr="008012F8">
        <w:rPr>
          <w:rFonts w:hint="eastAsia"/>
        </w:rPr>
        <w:t>“</w:t>
      </w:r>
      <w:r w:rsidRPr="008012F8">
        <w:t>1960-1989</w:t>
      </w:r>
      <w:r w:rsidRPr="008012F8">
        <w:rPr>
          <w:rFonts w:ascii="宋体" w:hAnsi="宋体" w:cs="宋体" w:hint="eastAsia"/>
        </w:rPr>
        <w:t>年国际法院的法律和诉讼</w:t>
      </w:r>
      <w:r w:rsidRPr="008012F8">
        <w:rPr>
          <w:rFonts w:hint="eastAsia"/>
        </w:rPr>
        <w:t>……”</w:t>
      </w:r>
      <w:r w:rsidRPr="00DF5565">
        <w:rPr>
          <w:rFonts w:asciiTheme="majorBidi" w:eastAsia="楷体" w:hAnsiTheme="majorBidi" w:cstheme="majorBidi"/>
        </w:rPr>
        <w:t>(</w:t>
      </w:r>
      <w:r w:rsidRPr="003A67B6">
        <w:rPr>
          <w:rFonts w:asciiTheme="majorBidi" w:hAnsiTheme="majorBidi" w:cstheme="majorBidi"/>
        </w:rPr>
        <w:t>见上文脚注</w:t>
      </w:r>
      <w:r>
        <w:rPr>
          <w:rFonts w:asciiTheme="majorBidi" w:hAnsiTheme="majorBidi" w:cstheme="majorBidi"/>
        </w:rPr>
        <w:fldChar w:fldCharType="begin"/>
      </w:r>
      <w:r>
        <w:rPr>
          <w:rFonts w:asciiTheme="majorBidi" w:hAnsiTheme="majorBidi" w:cstheme="majorBidi"/>
        </w:rPr>
        <w:instrText xml:space="preserve"> NOTEREF _Ref461976188 \h </w:instrText>
      </w:r>
      <w:r>
        <w:rPr>
          <w:rFonts w:asciiTheme="majorBidi" w:hAnsiTheme="majorBidi" w:cstheme="majorBidi"/>
        </w:rPr>
      </w:r>
      <w:r>
        <w:rPr>
          <w:rFonts w:asciiTheme="majorBidi" w:hAnsiTheme="majorBidi" w:cstheme="majorBidi"/>
        </w:rPr>
        <w:fldChar w:fldCharType="separate"/>
      </w:r>
      <w:r w:rsidR="00A73EB9">
        <w:rPr>
          <w:rFonts w:asciiTheme="majorBidi" w:hAnsiTheme="majorBidi" w:cstheme="majorBidi"/>
        </w:rPr>
        <w:t>683</w:t>
      </w:r>
      <w:r>
        <w:rPr>
          <w:rFonts w:asciiTheme="majorBidi" w:hAnsiTheme="majorBidi" w:cstheme="majorBidi"/>
        </w:rPr>
        <w:fldChar w:fldCharType="end"/>
      </w:r>
      <w:r w:rsidRPr="00DF5565">
        <w:rPr>
          <w:rFonts w:asciiTheme="majorBidi" w:eastAsia="楷体" w:hAnsiTheme="majorBidi" w:cstheme="majorBidi"/>
        </w:rPr>
        <w:t>)</w:t>
      </w:r>
      <w:r w:rsidRPr="008012F8">
        <w:rPr>
          <w:rFonts w:ascii="宋体" w:hAnsi="宋体" w:cs="宋体" w:hint="eastAsia"/>
        </w:rPr>
        <w:t>，第</w:t>
      </w:r>
      <w:r w:rsidRPr="008012F8">
        <w:t>64</w:t>
      </w:r>
      <w:r w:rsidRPr="008012F8">
        <w:rPr>
          <w:rFonts w:ascii="宋体" w:hAnsi="宋体" w:cs="宋体" w:hint="eastAsia"/>
        </w:rPr>
        <w:t>页。</w:t>
      </w:r>
    </w:p>
  </w:footnote>
  <w:footnote w:id="690">
    <w:p w:rsidR="00AB00DE" w:rsidRPr="008012F8" w:rsidRDefault="00AB00DE" w:rsidP="008D7906">
      <w:pPr>
        <w:pStyle w:val="a4"/>
      </w:pPr>
      <w:r w:rsidRPr="008012F8">
        <w:tab/>
      </w:r>
      <w:r w:rsidRPr="00DF5565">
        <w:rPr>
          <w:rStyle w:val="a5"/>
        </w:rPr>
        <w:footnoteRef/>
      </w:r>
      <w:r w:rsidRPr="008012F8">
        <w:tab/>
      </w:r>
      <w:r w:rsidRPr="008012F8">
        <w:rPr>
          <w:rFonts w:ascii="宋体" w:hAnsi="宋体" w:cs="宋体" w:hint="eastAsia"/>
        </w:rPr>
        <w:t>见《大会正式记录，第六十七届会议，补编第</w:t>
      </w:r>
      <w:r w:rsidRPr="008012F8">
        <w:t>10</w:t>
      </w:r>
      <w:r w:rsidRPr="008012F8">
        <w:rPr>
          <w:rFonts w:ascii="宋体" w:hAnsi="宋体" w:cs="宋体" w:hint="eastAsia"/>
        </w:rPr>
        <w:t>号》</w:t>
      </w:r>
      <w:r w:rsidRPr="003A67B6">
        <w:rPr>
          <w:rFonts w:ascii="宋体" w:hAnsi="宋体" w:cs="宋体" w:hint="eastAsia"/>
        </w:rPr>
        <w:t>，</w:t>
      </w:r>
      <w:hyperlink r:id="rId81" w:history="1">
        <w:r w:rsidRPr="003A67B6">
          <w:rPr>
            <w:rStyle w:val="af"/>
          </w:rPr>
          <w:t>A/67/10</w:t>
        </w:r>
      </w:hyperlink>
      <w:r w:rsidRPr="003A67B6">
        <w:t xml:space="preserve">, </w:t>
      </w:r>
      <w:r w:rsidRPr="003A67B6">
        <w:rPr>
          <w:rFonts w:ascii="宋体" w:hAnsi="宋体" w:cs="宋体" w:hint="eastAsia"/>
        </w:rPr>
        <w:t>第</w:t>
      </w:r>
      <w:r w:rsidRPr="003A67B6">
        <w:t>124</w:t>
      </w:r>
      <w:r w:rsidRPr="003A67B6">
        <w:rPr>
          <w:rFonts w:ascii="宋体" w:hAnsi="宋体" w:cs="宋体" w:hint="eastAsia"/>
        </w:rPr>
        <w:t>页，第</w:t>
      </w:r>
      <w:r w:rsidRPr="003A67B6">
        <w:t>238</w:t>
      </w:r>
      <w:r w:rsidRPr="003A67B6">
        <w:rPr>
          <w:rFonts w:ascii="宋体" w:hAnsi="宋体" w:cs="宋体" w:hint="eastAsia"/>
        </w:rPr>
        <w:t>段，以及同上，《第六十三届会议，补编第</w:t>
      </w:r>
      <w:r w:rsidRPr="003A67B6">
        <w:t>10</w:t>
      </w:r>
      <w:r w:rsidRPr="003A67B6">
        <w:rPr>
          <w:rFonts w:ascii="宋体" w:hAnsi="宋体" w:cs="宋体" w:hint="eastAsia"/>
        </w:rPr>
        <w:t>号》，</w:t>
      </w:r>
      <w:hyperlink r:id="rId82" w:history="1">
        <w:r w:rsidRPr="003A67B6">
          <w:rPr>
            <w:rStyle w:val="af"/>
          </w:rPr>
          <w:t>A/63/10</w:t>
        </w:r>
      </w:hyperlink>
      <w:r w:rsidRPr="003A67B6">
        <w:t xml:space="preserve">, </w:t>
      </w:r>
      <w:r w:rsidRPr="003A67B6">
        <w:rPr>
          <w:rFonts w:ascii="宋体" w:hAnsi="宋体" w:cs="宋体" w:hint="eastAsia"/>
        </w:rPr>
        <w:t>附件</w:t>
      </w:r>
      <w:r w:rsidRPr="003A67B6">
        <w:t xml:space="preserve">A, </w:t>
      </w:r>
      <w:r w:rsidRPr="003A67B6">
        <w:rPr>
          <w:rFonts w:ascii="宋体" w:hAnsi="宋体" w:cs="宋体" w:hint="eastAsia"/>
        </w:rPr>
        <w:t>第</w:t>
      </w:r>
      <w:r w:rsidRPr="003A67B6">
        <w:t>42</w:t>
      </w:r>
      <w:r w:rsidRPr="003A67B6">
        <w:rPr>
          <w:rFonts w:ascii="宋体" w:hAnsi="宋体" w:cs="宋体" w:hint="eastAsia"/>
        </w:rPr>
        <w:t>段。</w:t>
      </w:r>
    </w:p>
  </w:footnote>
  <w:footnote w:id="691">
    <w:p w:rsidR="00AB00DE" w:rsidRPr="008012F8" w:rsidRDefault="00AB00DE" w:rsidP="008D7906">
      <w:pPr>
        <w:pStyle w:val="a4"/>
      </w:pPr>
      <w:r w:rsidRPr="008012F8">
        <w:tab/>
      </w:r>
      <w:r w:rsidRPr="00DF5565">
        <w:rPr>
          <w:rStyle w:val="a5"/>
        </w:rPr>
        <w:footnoteRef/>
      </w:r>
      <w:r w:rsidRPr="008012F8">
        <w:tab/>
      </w:r>
      <w:r w:rsidRPr="00DF5565">
        <w:rPr>
          <w:rFonts w:eastAsia="楷体"/>
        </w:rPr>
        <w:t>喀麦隆和尼日利亚间陆地和海洋疆界案</w:t>
      </w:r>
      <w:r w:rsidRPr="008012F8">
        <w:t>(</w:t>
      </w:r>
      <w:r w:rsidRPr="008012F8">
        <w:rPr>
          <w:rFonts w:ascii="Time New Roman" w:eastAsia="楷体" w:hAnsi="Time New Roman" w:cs="宋体" w:hint="eastAsia"/>
        </w:rPr>
        <w:t>喀麦隆诉尼日利亚：赤道几内亚参与诉讼</w:t>
      </w:r>
      <w:r w:rsidRPr="008012F8">
        <w:rPr>
          <w:rFonts w:ascii="Time New Roman" w:eastAsia="楷体" w:hAnsi="Time New Roman"/>
        </w:rPr>
        <w:t>)</w:t>
      </w:r>
      <w:r w:rsidRPr="008012F8">
        <w:rPr>
          <w:rFonts w:ascii="Time New Roman" w:eastAsia="楷体" w:hAnsi="Time New Roman" w:cs="宋体" w:hint="eastAsia"/>
        </w:rPr>
        <w:t>，判决</w:t>
      </w:r>
      <w:r w:rsidRPr="008012F8">
        <w:rPr>
          <w:rFonts w:ascii="宋体" w:hAnsi="宋体" w:cs="宋体" w:hint="eastAsia"/>
        </w:rPr>
        <w:t>，《</w:t>
      </w:r>
      <w:r w:rsidRPr="008012F8">
        <w:t>2002</w:t>
      </w:r>
      <w:r w:rsidRPr="008012F8">
        <w:rPr>
          <w:rFonts w:ascii="宋体" w:hAnsi="宋体" w:cs="宋体" w:hint="eastAsia"/>
        </w:rPr>
        <w:t>年国际法院案例汇编》，第</w:t>
      </w:r>
      <w:r w:rsidRPr="008012F8">
        <w:t>303</w:t>
      </w:r>
      <w:r w:rsidRPr="008012F8">
        <w:rPr>
          <w:rFonts w:ascii="宋体" w:hAnsi="宋体" w:cs="宋体" w:hint="eastAsia"/>
        </w:rPr>
        <w:t>页起，见第</w:t>
      </w:r>
      <w:r w:rsidRPr="008012F8">
        <w:t>353</w:t>
      </w:r>
      <w:r w:rsidRPr="008012F8">
        <w:rPr>
          <w:rFonts w:ascii="宋体" w:hAnsi="宋体" w:cs="宋体" w:hint="eastAsia"/>
        </w:rPr>
        <w:t>页，第</w:t>
      </w:r>
      <w:r w:rsidRPr="008012F8">
        <w:t>68</w:t>
      </w:r>
      <w:r w:rsidRPr="008012F8">
        <w:rPr>
          <w:rFonts w:ascii="宋体" w:hAnsi="宋体" w:cs="宋体" w:hint="eastAsia"/>
        </w:rPr>
        <w:t>段。</w:t>
      </w:r>
    </w:p>
  </w:footnote>
  <w:footnote w:id="692">
    <w:p w:rsidR="00AB00DE" w:rsidRPr="008012F8" w:rsidRDefault="00AB00DE" w:rsidP="00560424">
      <w:pPr>
        <w:pStyle w:val="a4"/>
      </w:pPr>
      <w:r w:rsidRPr="008012F8">
        <w:tab/>
      </w:r>
      <w:r w:rsidRPr="00DF5565">
        <w:rPr>
          <w:rStyle w:val="a5"/>
        </w:rPr>
        <w:footnoteRef/>
      </w:r>
      <w:r w:rsidRPr="008012F8">
        <w:tab/>
      </w:r>
      <w:r w:rsidRPr="00DF5565">
        <w:rPr>
          <w:rFonts w:eastAsia="楷体"/>
        </w:rPr>
        <w:t>柏威夏寺案</w:t>
      </w:r>
      <w:r w:rsidRPr="00DF5565">
        <w:rPr>
          <w:rFonts w:eastAsia="楷体"/>
        </w:rPr>
        <w:t>(</w:t>
      </w:r>
      <w:r w:rsidRPr="003A67B6">
        <w:rPr>
          <w:rFonts w:asciiTheme="majorBidi" w:hAnsiTheme="majorBidi" w:cstheme="majorBidi"/>
        </w:rPr>
        <w:t>见上文脚注</w:t>
      </w:r>
      <w:r>
        <w:rPr>
          <w:rFonts w:asciiTheme="majorBidi" w:hAnsiTheme="majorBidi" w:cstheme="majorBidi"/>
        </w:rPr>
        <w:fldChar w:fldCharType="begin"/>
      </w:r>
      <w:r>
        <w:rPr>
          <w:rFonts w:asciiTheme="majorBidi" w:hAnsiTheme="majorBidi" w:cstheme="majorBidi"/>
        </w:rPr>
        <w:instrText xml:space="preserve"> NOTEREF _Ref461976005 \h </w:instrText>
      </w:r>
      <w:r>
        <w:rPr>
          <w:rFonts w:asciiTheme="majorBidi" w:hAnsiTheme="majorBidi" w:cstheme="majorBidi"/>
        </w:rPr>
      </w:r>
      <w:r>
        <w:rPr>
          <w:rFonts w:asciiTheme="majorBidi" w:hAnsiTheme="majorBidi" w:cstheme="majorBidi"/>
        </w:rPr>
        <w:fldChar w:fldCharType="separate"/>
      </w:r>
      <w:r w:rsidR="00A73EB9">
        <w:rPr>
          <w:rFonts w:asciiTheme="majorBidi" w:hAnsiTheme="majorBidi" w:cstheme="majorBidi"/>
        </w:rPr>
        <w:t>488</w:t>
      </w:r>
      <w:r>
        <w:rPr>
          <w:rFonts w:asciiTheme="majorBidi" w:hAnsiTheme="majorBidi" w:cstheme="majorBidi"/>
        </w:rPr>
        <w:fldChar w:fldCharType="end"/>
      </w:r>
      <w:r w:rsidRPr="003A67B6">
        <w:rPr>
          <w:rFonts w:asciiTheme="majorBidi" w:hAnsiTheme="majorBidi" w:cstheme="majorBidi"/>
        </w:rPr>
        <w:t>)</w:t>
      </w:r>
      <w:r w:rsidRPr="008012F8">
        <w:rPr>
          <w:rFonts w:ascii="宋体" w:hAnsi="宋体" w:cs="宋体" w:hint="eastAsia"/>
        </w:rPr>
        <w:t>：</w:t>
      </w:r>
      <w:r w:rsidRPr="008012F8">
        <w:rPr>
          <w:rFonts w:hint="eastAsia"/>
        </w:rPr>
        <w:t>“</w:t>
      </w:r>
      <w:r w:rsidRPr="008012F8">
        <w:rPr>
          <w:rFonts w:ascii="宋体" w:hAnsi="宋体" w:cs="宋体" w:hint="eastAsia"/>
        </w:rPr>
        <w:t>毫无疑问，以非常确定的方式通过行为承认</w:t>
      </w:r>
      <w:r w:rsidRPr="008012F8">
        <w:rPr>
          <w:rFonts w:hint="eastAsia"/>
        </w:rPr>
        <w:t>……</w:t>
      </w:r>
      <w:r w:rsidRPr="008012F8">
        <w:rPr>
          <w:rFonts w:ascii="宋体" w:hAnsi="宋体" w:cs="宋体" w:hint="eastAsia"/>
        </w:rPr>
        <w:t>这种情况下显然需要作出反应</w:t>
      </w:r>
      <w:r w:rsidRPr="008012F8">
        <w:rPr>
          <w:rFonts w:hint="eastAsia"/>
        </w:rPr>
        <w:t>”</w:t>
      </w:r>
      <w:r w:rsidRPr="008012F8">
        <w:t>(</w:t>
      </w:r>
      <w:r w:rsidRPr="008012F8">
        <w:t>第</w:t>
      </w:r>
      <w:r w:rsidRPr="008012F8">
        <w:t>23</w:t>
      </w:r>
      <w:r w:rsidRPr="008012F8">
        <w:t>页</w:t>
      </w:r>
      <w:r w:rsidRPr="008012F8">
        <w:t>)</w:t>
      </w:r>
      <w:r w:rsidRPr="008012F8">
        <w:rPr>
          <w:rFonts w:ascii="宋体" w:hAnsi="宋体" w:cs="宋体" w:hint="eastAsia"/>
        </w:rPr>
        <w:t>；</w:t>
      </w:r>
      <w:r w:rsidRPr="008012F8">
        <w:rPr>
          <w:rFonts w:hint="eastAsia"/>
        </w:rPr>
        <w:t>“</w:t>
      </w:r>
      <w:r w:rsidRPr="008012F8">
        <w:rPr>
          <w:rFonts w:ascii="宋体" w:hAnsi="宋体" w:cs="宋体" w:hint="eastAsia"/>
        </w:rPr>
        <w:t>法属印度支那对所有权的主张再明确不过了</w:t>
      </w:r>
      <w:r w:rsidRPr="008012F8">
        <w:rPr>
          <w:rFonts w:hint="eastAsia"/>
        </w:rPr>
        <w:t>”</w:t>
      </w:r>
      <w:r w:rsidRPr="008012F8">
        <w:rPr>
          <w:rFonts w:ascii="宋体" w:hAnsi="宋体" w:cs="宋体" w:hint="eastAsia"/>
        </w:rPr>
        <w:t>，因此</w:t>
      </w:r>
      <w:r w:rsidRPr="008012F8">
        <w:rPr>
          <w:rFonts w:hint="eastAsia"/>
        </w:rPr>
        <w:t>“</w:t>
      </w:r>
      <w:r w:rsidRPr="008012F8">
        <w:rPr>
          <w:rFonts w:ascii="宋体" w:hAnsi="宋体" w:cs="宋体" w:hint="eastAsia"/>
        </w:rPr>
        <w:t>需要作出反应</w:t>
      </w:r>
      <w:r w:rsidRPr="008012F8">
        <w:rPr>
          <w:rFonts w:hint="eastAsia"/>
        </w:rPr>
        <w:t>”</w:t>
      </w:r>
      <w:r w:rsidRPr="008012F8">
        <w:t>(</w:t>
      </w:r>
      <w:r w:rsidRPr="008012F8">
        <w:t>第</w:t>
      </w:r>
      <w:r w:rsidRPr="008012F8">
        <w:t>30</w:t>
      </w:r>
      <w:r w:rsidRPr="008012F8">
        <w:t>页</w:t>
      </w:r>
      <w:r w:rsidRPr="008012F8">
        <w:t>)</w:t>
      </w:r>
      <w:r w:rsidRPr="008012F8">
        <w:rPr>
          <w:rFonts w:ascii="宋体" w:hAnsi="宋体" w:cs="宋体" w:hint="eastAsia"/>
        </w:rPr>
        <w:t>。</w:t>
      </w:r>
    </w:p>
  </w:footnote>
  <w:footnote w:id="693">
    <w:p w:rsidR="00AB00DE" w:rsidRPr="008012F8" w:rsidRDefault="00AB00DE" w:rsidP="008D7906">
      <w:pPr>
        <w:pStyle w:val="a4"/>
      </w:pPr>
      <w:r w:rsidRPr="008012F8">
        <w:tab/>
      </w:r>
      <w:r w:rsidRPr="00DF5565">
        <w:rPr>
          <w:rStyle w:val="a5"/>
        </w:rPr>
        <w:footnoteRef/>
      </w:r>
      <w:r w:rsidRPr="008012F8">
        <w:tab/>
      </w:r>
      <w:r w:rsidRPr="008012F8">
        <w:rPr>
          <w:spacing w:val="-2"/>
        </w:rPr>
        <w:t>M. Kohen,</w:t>
      </w:r>
      <w:r w:rsidRPr="008012F8">
        <w:rPr>
          <w:rFonts w:hint="eastAsia"/>
          <w:spacing w:val="-2"/>
        </w:rPr>
        <w:t>“</w:t>
      </w:r>
      <w:r w:rsidRPr="008012F8">
        <w:rPr>
          <w:spacing w:val="-2"/>
        </w:rPr>
        <w:t>Uti possidetis, prescription et pratique subséquente à un traité dans l’affaire de l’île de Kasikili/Sedudu devant la Cour internationale de Justice</w:t>
      </w:r>
      <w:r w:rsidRPr="008012F8">
        <w:rPr>
          <w:rFonts w:hint="eastAsia"/>
          <w:spacing w:val="-2"/>
        </w:rPr>
        <w:t>”</w:t>
      </w:r>
      <w:r w:rsidRPr="008012F8">
        <w:rPr>
          <w:rFonts w:ascii="宋体" w:hAnsi="宋体" w:cs="宋体" w:hint="eastAsia"/>
          <w:spacing w:val="-2"/>
        </w:rPr>
        <w:t>，</w:t>
      </w:r>
      <w:r w:rsidRPr="008012F8">
        <w:rPr>
          <w:rFonts w:ascii="宋体" w:hAnsi="宋体" w:cs="宋体" w:hint="eastAsia"/>
          <w:spacing w:val="-2"/>
          <w:lang w:val="fr-FR"/>
        </w:rPr>
        <w:t>《德国国际法年鉴》</w:t>
      </w:r>
      <w:r w:rsidRPr="008012F8">
        <w:rPr>
          <w:rFonts w:ascii="宋体" w:hAnsi="宋体" w:cs="宋体" w:hint="eastAsia"/>
          <w:spacing w:val="-2"/>
        </w:rPr>
        <w:t>，第</w:t>
      </w:r>
      <w:r w:rsidRPr="008012F8">
        <w:rPr>
          <w:spacing w:val="-2"/>
        </w:rPr>
        <w:t>43(2000)</w:t>
      </w:r>
      <w:r w:rsidRPr="008012F8">
        <w:rPr>
          <w:rFonts w:ascii="宋体" w:hAnsi="宋体" w:cs="宋体" w:hint="eastAsia"/>
          <w:spacing w:val="-2"/>
        </w:rPr>
        <w:t>卷，</w:t>
      </w:r>
      <w:r w:rsidRPr="008012F8">
        <w:rPr>
          <w:rFonts w:ascii="宋体" w:hAnsi="宋体" w:cs="宋体" w:hint="eastAsia"/>
          <w:spacing w:val="-2"/>
          <w:lang w:val="fr-FR"/>
        </w:rPr>
        <w:t>第</w:t>
      </w:r>
      <w:r w:rsidRPr="008012F8">
        <w:rPr>
          <w:spacing w:val="-2"/>
        </w:rPr>
        <w:t>253</w:t>
      </w:r>
      <w:r w:rsidRPr="008012F8">
        <w:rPr>
          <w:rFonts w:ascii="宋体" w:hAnsi="宋体" w:cs="宋体" w:hint="eastAsia"/>
          <w:spacing w:val="-2"/>
          <w:lang w:val="fr-FR"/>
        </w:rPr>
        <w:t>页起</w:t>
      </w:r>
      <w:r w:rsidRPr="008012F8">
        <w:rPr>
          <w:rFonts w:ascii="宋体" w:hAnsi="宋体" w:cs="宋体" w:hint="eastAsia"/>
          <w:spacing w:val="-2"/>
        </w:rPr>
        <w:t>，</w:t>
      </w:r>
      <w:r w:rsidRPr="008012F8">
        <w:rPr>
          <w:rFonts w:ascii="宋体" w:hAnsi="宋体" w:cs="宋体" w:hint="eastAsia"/>
          <w:spacing w:val="-2"/>
          <w:lang w:val="fr-FR"/>
        </w:rPr>
        <w:t>见第</w:t>
      </w:r>
      <w:r w:rsidRPr="008012F8">
        <w:rPr>
          <w:spacing w:val="-2"/>
        </w:rPr>
        <w:t>272</w:t>
      </w:r>
      <w:r w:rsidRPr="008012F8">
        <w:rPr>
          <w:rFonts w:ascii="宋体" w:hAnsi="宋体" w:cs="宋体" w:hint="eastAsia"/>
          <w:spacing w:val="-2"/>
          <w:lang w:val="fr-FR"/>
        </w:rPr>
        <w:t>页。</w:t>
      </w:r>
    </w:p>
  </w:footnote>
  <w:footnote w:id="694">
    <w:p w:rsidR="00AB00DE" w:rsidRPr="008012F8" w:rsidRDefault="00AB00DE" w:rsidP="00560424">
      <w:pPr>
        <w:pStyle w:val="a4"/>
      </w:pPr>
      <w:r w:rsidRPr="008012F8">
        <w:tab/>
      </w:r>
      <w:r w:rsidRPr="00DF5565">
        <w:rPr>
          <w:rStyle w:val="a5"/>
        </w:rPr>
        <w:footnoteRef/>
      </w:r>
      <w:r w:rsidRPr="008012F8">
        <w:tab/>
      </w:r>
      <w:r w:rsidRPr="00DF5565">
        <w:rPr>
          <w:rFonts w:eastAsia="楷体"/>
        </w:rPr>
        <w:t>柏威夏寺案</w:t>
      </w:r>
      <w:r w:rsidRPr="003A67B6">
        <w:rPr>
          <w:rFonts w:asciiTheme="majorBidi" w:hAnsiTheme="majorBidi" w:cstheme="majorBidi"/>
        </w:rPr>
        <w:t>(</w:t>
      </w:r>
      <w:r w:rsidRPr="003A67B6">
        <w:rPr>
          <w:rFonts w:asciiTheme="majorBidi" w:hAnsiTheme="majorBidi" w:cstheme="majorBidi" w:hint="eastAsia"/>
        </w:rPr>
        <w:t>见上文脚注</w:t>
      </w:r>
      <w:r>
        <w:rPr>
          <w:rFonts w:asciiTheme="majorBidi" w:hAnsiTheme="majorBidi" w:cstheme="majorBidi"/>
        </w:rPr>
        <w:fldChar w:fldCharType="begin"/>
      </w:r>
      <w:r>
        <w:rPr>
          <w:rFonts w:asciiTheme="majorBidi" w:hAnsiTheme="majorBidi" w:cstheme="majorBidi"/>
        </w:rPr>
        <w:instrText xml:space="preserve"> </w:instrText>
      </w:r>
      <w:r>
        <w:rPr>
          <w:rFonts w:asciiTheme="majorBidi" w:hAnsiTheme="majorBidi" w:cstheme="majorBidi" w:hint="eastAsia"/>
        </w:rPr>
        <w:instrText>NOTEREF _Ref461976005 \h</w:instrText>
      </w:r>
      <w:r>
        <w:rPr>
          <w:rFonts w:asciiTheme="majorBidi" w:hAnsiTheme="majorBidi" w:cstheme="majorBidi"/>
        </w:rPr>
        <w:instrText xml:space="preserve"> </w:instrText>
      </w:r>
      <w:r>
        <w:rPr>
          <w:rFonts w:asciiTheme="majorBidi" w:hAnsiTheme="majorBidi" w:cstheme="majorBidi"/>
        </w:rPr>
      </w:r>
      <w:r>
        <w:rPr>
          <w:rFonts w:asciiTheme="majorBidi" w:hAnsiTheme="majorBidi" w:cstheme="majorBidi"/>
        </w:rPr>
        <w:fldChar w:fldCharType="separate"/>
      </w:r>
      <w:r w:rsidR="00A73EB9">
        <w:rPr>
          <w:rFonts w:asciiTheme="majorBidi" w:hAnsiTheme="majorBidi" w:cstheme="majorBidi"/>
        </w:rPr>
        <w:t>488</w:t>
      </w:r>
      <w:r>
        <w:rPr>
          <w:rFonts w:asciiTheme="majorBidi" w:hAnsiTheme="majorBidi" w:cstheme="majorBidi"/>
        </w:rPr>
        <w:fldChar w:fldCharType="end"/>
      </w:r>
      <w:r w:rsidRPr="003A67B6">
        <w:rPr>
          <w:rFonts w:asciiTheme="majorBidi" w:hAnsiTheme="majorBidi" w:cstheme="majorBidi" w:hint="eastAsia"/>
        </w:rPr>
        <w:t>)</w:t>
      </w:r>
      <w:r w:rsidRPr="008012F8">
        <w:rPr>
          <w:rFonts w:ascii="宋体" w:hAnsi="宋体" w:cs="宋体" w:hint="eastAsia"/>
        </w:rPr>
        <w:t>，第</w:t>
      </w:r>
      <w:r w:rsidRPr="008012F8">
        <w:t>26</w:t>
      </w:r>
      <w:r w:rsidRPr="008012F8">
        <w:rPr>
          <w:rFonts w:ascii="宋体" w:hAnsi="宋体" w:cs="宋体" w:hint="eastAsia"/>
        </w:rPr>
        <w:t>页：</w:t>
      </w:r>
      <w:r w:rsidRPr="008012F8">
        <w:rPr>
          <w:rFonts w:hint="eastAsia"/>
        </w:rPr>
        <w:t>“</w:t>
      </w:r>
      <w:r w:rsidRPr="008012F8">
        <w:rPr>
          <w:rFonts w:ascii="宋体" w:hAnsi="宋体" w:cs="宋体" w:hint="eastAsia"/>
        </w:rPr>
        <w:t>这一事实，如果千真万确，在</w:t>
      </w:r>
      <w:r w:rsidRPr="008012F8">
        <w:t>1908</w:t>
      </w:r>
      <w:r w:rsidRPr="008012F8">
        <w:rPr>
          <w:rFonts w:ascii="宋体" w:hAnsi="宋体" w:cs="宋体" w:hint="eastAsia"/>
        </w:rPr>
        <w:t>年一定更加明显</w:t>
      </w:r>
      <w:r w:rsidRPr="008012F8">
        <w:rPr>
          <w:rFonts w:hint="eastAsia"/>
        </w:rPr>
        <w:t>”</w:t>
      </w:r>
      <w:r w:rsidRPr="008012F8">
        <w:rPr>
          <w:rFonts w:ascii="宋体" w:hAnsi="宋体" w:cs="宋体" w:hint="eastAsia"/>
        </w:rPr>
        <w:t>。</w:t>
      </w:r>
      <w:r w:rsidRPr="008012F8">
        <w:t>Parra-Aranguren</w:t>
      </w:r>
      <w:r w:rsidRPr="008012F8">
        <w:rPr>
          <w:rFonts w:ascii="宋体" w:hAnsi="宋体" w:cs="宋体" w:hint="eastAsia"/>
        </w:rPr>
        <w:t>法官认为</w:t>
      </w:r>
      <w:r w:rsidRPr="00DF5565">
        <w:rPr>
          <w:rFonts w:eastAsia="楷体"/>
        </w:rPr>
        <w:t>柏威夏寺案</w:t>
      </w:r>
      <w:r w:rsidRPr="008012F8">
        <w:rPr>
          <w:rFonts w:ascii="宋体" w:hAnsi="宋体" w:cs="宋体" w:hint="eastAsia"/>
        </w:rPr>
        <w:t>表明，</w:t>
      </w:r>
      <w:r w:rsidRPr="008012F8">
        <w:rPr>
          <w:rFonts w:hint="eastAsia"/>
        </w:rPr>
        <w:t>“</w:t>
      </w:r>
      <w:r w:rsidRPr="008012F8">
        <w:rPr>
          <w:rFonts w:ascii="宋体" w:hAnsi="宋体" w:cs="宋体" w:hint="eastAsia"/>
        </w:rPr>
        <w:t>那种情况下的嗣后惯例起到了修改条约的作用</w:t>
      </w:r>
      <w:r w:rsidRPr="008012F8">
        <w:rPr>
          <w:rFonts w:hint="eastAsia"/>
        </w:rPr>
        <w:t>”</w:t>
      </w:r>
      <w:r w:rsidRPr="008012F8">
        <w:t>(</w:t>
      </w:r>
      <w:r w:rsidRPr="008012F8">
        <w:rPr>
          <w:rFonts w:ascii="宋体" w:hAnsi="宋体" w:cs="宋体" w:hint="eastAsia"/>
        </w:rPr>
        <w:t>见</w:t>
      </w:r>
      <w:r w:rsidRPr="00DF5565">
        <w:rPr>
          <w:rFonts w:eastAsia="楷体"/>
        </w:rPr>
        <w:t>卡西基里</w:t>
      </w:r>
      <w:r w:rsidRPr="00DF5565">
        <w:rPr>
          <w:rFonts w:eastAsia="楷体"/>
        </w:rPr>
        <w:t>/</w:t>
      </w:r>
      <w:r w:rsidRPr="00DF5565">
        <w:rPr>
          <w:rFonts w:eastAsia="楷体"/>
        </w:rPr>
        <w:t>塞杜杜岛案</w:t>
      </w:r>
      <w:r w:rsidRPr="00DF5565">
        <w:rPr>
          <w:rFonts w:eastAsia="楷体"/>
        </w:rPr>
        <w:t>(</w:t>
      </w:r>
      <w:r w:rsidRPr="003A67B6">
        <w:rPr>
          <w:rFonts w:asciiTheme="majorBidi" w:hAnsiTheme="majorBidi" w:cstheme="majorBidi" w:hint="eastAsia"/>
        </w:rPr>
        <w:t>上文脚注</w:t>
      </w:r>
      <w:r>
        <w:rPr>
          <w:lang w:val="zh-CN"/>
        </w:rPr>
        <w:fldChar w:fldCharType="begin"/>
      </w:r>
      <w:r>
        <w:rPr>
          <w:lang w:val="zh-CN"/>
        </w:rPr>
        <w:instrText xml:space="preserve"> NOTEREF _Ref461971066 \h </w:instrText>
      </w:r>
      <w:r>
        <w:rPr>
          <w:lang w:val="zh-CN"/>
        </w:rPr>
      </w:r>
      <w:r>
        <w:rPr>
          <w:lang w:val="zh-CN"/>
        </w:rPr>
        <w:fldChar w:fldCharType="separate"/>
      </w:r>
      <w:r w:rsidR="00A73EB9">
        <w:rPr>
          <w:lang w:val="zh-CN"/>
        </w:rPr>
        <w:t>395</w:t>
      </w:r>
      <w:r>
        <w:rPr>
          <w:lang w:val="zh-CN"/>
        </w:rPr>
        <w:fldChar w:fldCharType="end"/>
      </w:r>
      <w:r w:rsidRPr="003A67B6">
        <w:rPr>
          <w:rFonts w:asciiTheme="majorBidi" w:hAnsiTheme="majorBidi" w:cstheme="majorBidi" w:hint="eastAsia"/>
        </w:rPr>
        <w:t>)</w:t>
      </w:r>
      <w:r w:rsidRPr="008012F8">
        <w:rPr>
          <w:rFonts w:ascii="宋体" w:hAnsi="宋体" w:cs="宋体" w:hint="eastAsia"/>
        </w:rPr>
        <w:t>，</w:t>
      </w:r>
      <w:r w:rsidRPr="008012F8">
        <w:t>Parra-Aranguren</w:t>
      </w:r>
      <w:r w:rsidRPr="008012F8">
        <w:rPr>
          <w:rFonts w:ascii="宋体" w:hAnsi="宋体" w:cs="宋体" w:hint="eastAsia"/>
        </w:rPr>
        <w:t>法官的反对意见</w:t>
      </w:r>
      <w:r w:rsidRPr="008012F8">
        <w:t>，</w:t>
      </w:r>
      <w:r w:rsidRPr="008012F8">
        <w:rPr>
          <w:rFonts w:ascii="宋体" w:hAnsi="宋体" w:cs="宋体" w:hint="eastAsia"/>
        </w:rPr>
        <w:t>见第</w:t>
      </w:r>
      <w:r w:rsidRPr="008012F8">
        <w:t>1212-1213</w:t>
      </w:r>
      <w:r w:rsidRPr="008012F8">
        <w:rPr>
          <w:rFonts w:ascii="宋体" w:hAnsi="宋体" w:cs="宋体" w:hint="eastAsia"/>
        </w:rPr>
        <w:t>页，第</w:t>
      </w:r>
      <w:r w:rsidRPr="008012F8">
        <w:t>16</w:t>
      </w:r>
      <w:r w:rsidRPr="008012F8">
        <w:rPr>
          <w:rFonts w:ascii="宋体" w:hAnsi="宋体" w:cs="宋体" w:hint="eastAsia"/>
        </w:rPr>
        <w:t>段</w:t>
      </w:r>
      <w:r w:rsidRPr="008012F8">
        <w:t>)</w:t>
      </w:r>
      <w:r w:rsidRPr="008012F8">
        <w:rPr>
          <w:rFonts w:ascii="宋体" w:hAnsi="宋体" w:cs="宋体" w:hint="eastAsia"/>
        </w:rPr>
        <w:t>；</w:t>
      </w:r>
      <w:r w:rsidRPr="008012F8">
        <w:t>Buga,</w:t>
      </w:r>
      <w:r w:rsidRPr="008012F8">
        <w:rPr>
          <w:rFonts w:hint="eastAsia"/>
        </w:rPr>
        <w:t>“</w:t>
      </w:r>
      <w:r w:rsidRPr="008012F8">
        <w:rPr>
          <w:rFonts w:ascii="宋体" w:hAnsi="宋体" w:cs="宋体" w:hint="eastAsia"/>
        </w:rPr>
        <w:t>嗣后惯例与条约修改</w:t>
      </w:r>
      <w:r w:rsidRPr="008012F8">
        <w:rPr>
          <w:rFonts w:hint="eastAsia"/>
        </w:rPr>
        <w:t>”</w:t>
      </w:r>
      <w:r w:rsidRPr="003A67B6">
        <w:rPr>
          <w:rFonts w:asciiTheme="majorBidi" w:hAnsiTheme="majorBidi" w:cstheme="majorBidi"/>
        </w:rPr>
        <w:t>(</w:t>
      </w:r>
      <w:r w:rsidRPr="003A67B6">
        <w:rPr>
          <w:rFonts w:asciiTheme="majorBidi" w:hAnsiTheme="majorBidi" w:cstheme="majorBidi" w:hint="eastAsia"/>
        </w:rPr>
        <w:t>见上文脚注</w:t>
      </w:r>
      <w:r>
        <w:rPr>
          <w:rFonts w:asciiTheme="majorBidi" w:hAnsiTheme="majorBidi" w:cstheme="majorBidi"/>
        </w:rPr>
        <w:fldChar w:fldCharType="begin"/>
      </w:r>
      <w:r>
        <w:rPr>
          <w:rFonts w:asciiTheme="majorBidi" w:hAnsiTheme="majorBidi" w:cstheme="majorBidi"/>
        </w:rPr>
        <w:instrText xml:space="preserve"> </w:instrText>
      </w:r>
      <w:r>
        <w:rPr>
          <w:rFonts w:asciiTheme="majorBidi" w:hAnsiTheme="majorBidi" w:cstheme="majorBidi" w:hint="eastAsia"/>
        </w:rPr>
        <w:instrText>NOTEREF _Ref461976188 \h</w:instrText>
      </w:r>
      <w:r>
        <w:rPr>
          <w:rFonts w:asciiTheme="majorBidi" w:hAnsiTheme="majorBidi" w:cstheme="majorBidi"/>
        </w:rPr>
        <w:instrText xml:space="preserve"> </w:instrText>
      </w:r>
      <w:r>
        <w:rPr>
          <w:rFonts w:asciiTheme="majorBidi" w:hAnsiTheme="majorBidi" w:cstheme="majorBidi"/>
        </w:rPr>
      </w:r>
      <w:r>
        <w:rPr>
          <w:rFonts w:asciiTheme="majorBidi" w:hAnsiTheme="majorBidi" w:cstheme="majorBidi"/>
        </w:rPr>
        <w:fldChar w:fldCharType="separate"/>
      </w:r>
      <w:r w:rsidR="00A73EB9">
        <w:rPr>
          <w:rFonts w:asciiTheme="majorBidi" w:hAnsiTheme="majorBidi" w:cstheme="majorBidi"/>
        </w:rPr>
        <w:t>683</w:t>
      </w:r>
      <w:r>
        <w:rPr>
          <w:rFonts w:asciiTheme="majorBidi" w:hAnsiTheme="majorBidi" w:cstheme="majorBidi"/>
        </w:rPr>
        <w:fldChar w:fldCharType="end"/>
      </w:r>
      <w:r w:rsidRPr="003A67B6">
        <w:rPr>
          <w:rFonts w:asciiTheme="majorBidi" w:hAnsiTheme="majorBidi" w:cstheme="majorBidi"/>
        </w:rPr>
        <w:t>)</w:t>
      </w:r>
      <w:r w:rsidRPr="008012F8">
        <w:t>，</w:t>
      </w:r>
      <w:r w:rsidRPr="008012F8">
        <w:rPr>
          <w:rFonts w:ascii="宋体" w:hAnsi="宋体" w:cs="宋体" w:hint="eastAsia"/>
        </w:rPr>
        <w:t>脚注</w:t>
      </w:r>
      <w:r w:rsidRPr="00560424">
        <w:rPr>
          <w:rFonts w:asciiTheme="majorBidi" w:hAnsiTheme="majorBidi" w:cstheme="majorBidi"/>
        </w:rPr>
        <w:fldChar w:fldCharType="begin"/>
      </w:r>
      <w:r w:rsidRPr="00560424">
        <w:rPr>
          <w:rFonts w:asciiTheme="majorBidi" w:hAnsiTheme="majorBidi" w:cstheme="majorBidi"/>
        </w:rPr>
        <w:instrText xml:space="preserve"> NOTEREF _Ref461976302 \h </w:instrText>
      </w:r>
      <w:r>
        <w:rPr>
          <w:rFonts w:asciiTheme="majorBidi" w:hAnsiTheme="majorBidi" w:cstheme="majorBidi"/>
        </w:rPr>
        <w:instrText xml:space="preserve"> \* MERGEFORMAT </w:instrText>
      </w:r>
      <w:r w:rsidRPr="00560424">
        <w:rPr>
          <w:rFonts w:asciiTheme="majorBidi" w:hAnsiTheme="majorBidi" w:cstheme="majorBidi"/>
        </w:rPr>
      </w:r>
      <w:r w:rsidRPr="00560424">
        <w:rPr>
          <w:rFonts w:asciiTheme="majorBidi" w:hAnsiTheme="majorBidi" w:cstheme="majorBidi"/>
        </w:rPr>
        <w:fldChar w:fldCharType="separate"/>
      </w:r>
      <w:r w:rsidR="00A73EB9">
        <w:rPr>
          <w:rFonts w:asciiTheme="majorBidi" w:hAnsiTheme="majorBidi" w:cstheme="majorBidi"/>
        </w:rPr>
        <w:t>500</w:t>
      </w:r>
      <w:r w:rsidRPr="00560424">
        <w:rPr>
          <w:rFonts w:asciiTheme="majorBidi" w:hAnsiTheme="majorBidi" w:cstheme="majorBidi"/>
        </w:rPr>
        <w:fldChar w:fldCharType="end"/>
      </w:r>
      <w:r w:rsidRPr="008012F8">
        <w:rPr>
          <w:rFonts w:ascii="宋体" w:hAnsi="宋体" w:cs="宋体" w:hint="eastAsia"/>
        </w:rPr>
        <w:t>。</w:t>
      </w:r>
    </w:p>
  </w:footnote>
  <w:footnote w:id="695">
    <w:p w:rsidR="00AB00DE" w:rsidRPr="008012F8" w:rsidRDefault="00AB00DE" w:rsidP="00560424">
      <w:pPr>
        <w:pStyle w:val="a4"/>
      </w:pPr>
      <w:r w:rsidRPr="008012F8">
        <w:tab/>
      </w:r>
      <w:r w:rsidRPr="00DF5565">
        <w:rPr>
          <w:rStyle w:val="a5"/>
        </w:rPr>
        <w:footnoteRef/>
      </w:r>
      <w:r w:rsidRPr="008012F8">
        <w:tab/>
      </w:r>
      <w:r w:rsidRPr="008012F8">
        <w:rPr>
          <w:rFonts w:ascii="宋体" w:hAnsi="宋体" w:cs="宋体" w:hint="eastAsia"/>
        </w:rPr>
        <w:t>特别是，关于纳米比亚的咨询意见</w:t>
      </w:r>
      <w:r w:rsidRPr="008012F8">
        <w:t>(</w:t>
      </w:r>
      <w:r w:rsidRPr="008012F8">
        <w:rPr>
          <w:rFonts w:ascii="宋体" w:hAnsi="宋体" w:cs="宋体" w:hint="eastAsia"/>
        </w:rPr>
        <w:t>见</w:t>
      </w:r>
      <w:r w:rsidRPr="003A67B6">
        <w:rPr>
          <w:rFonts w:asciiTheme="majorBidi" w:hAnsiTheme="majorBidi" w:cstheme="majorBidi" w:hint="eastAsia"/>
        </w:rPr>
        <w:t>上文脚注</w:t>
      </w:r>
      <w:r>
        <w:rPr>
          <w:rFonts w:asciiTheme="majorBidi" w:hAnsiTheme="majorBidi" w:cstheme="majorBidi"/>
        </w:rPr>
        <w:fldChar w:fldCharType="begin"/>
      </w:r>
      <w:r>
        <w:rPr>
          <w:rFonts w:asciiTheme="majorBidi" w:hAnsiTheme="majorBidi" w:cstheme="majorBidi"/>
        </w:rPr>
        <w:instrText xml:space="preserve"> </w:instrText>
      </w:r>
      <w:r>
        <w:rPr>
          <w:rFonts w:asciiTheme="majorBidi" w:hAnsiTheme="majorBidi" w:cstheme="majorBidi" w:hint="eastAsia"/>
        </w:rPr>
        <w:instrText>NOTEREF _Ref461976325 \h</w:instrText>
      </w:r>
      <w:r>
        <w:rPr>
          <w:rFonts w:asciiTheme="majorBidi" w:hAnsiTheme="majorBidi" w:cstheme="majorBidi"/>
        </w:rPr>
        <w:instrText xml:space="preserve"> </w:instrText>
      </w:r>
      <w:r>
        <w:rPr>
          <w:rFonts w:asciiTheme="majorBidi" w:hAnsiTheme="majorBidi" w:cstheme="majorBidi"/>
        </w:rPr>
      </w:r>
      <w:r>
        <w:rPr>
          <w:rFonts w:asciiTheme="majorBidi" w:hAnsiTheme="majorBidi" w:cstheme="majorBidi"/>
        </w:rPr>
        <w:fldChar w:fldCharType="separate"/>
      </w:r>
      <w:r w:rsidR="00A73EB9">
        <w:rPr>
          <w:rFonts w:asciiTheme="majorBidi" w:hAnsiTheme="majorBidi" w:cstheme="majorBidi"/>
        </w:rPr>
        <w:t>636</w:t>
      </w:r>
      <w:r>
        <w:rPr>
          <w:rFonts w:asciiTheme="majorBidi" w:hAnsiTheme="majorBidi" w:cstheme="majorBidi"/>
        </w:rPr>
        <w:fldChar w:fldCharType="end"/>
      </w:r>
      <w:r w:rsidRPr="003A67B6">
        <w:rPr>
          <w:rFonts w:asciiTheme="majorBidi" w:hAnsiTheme="majorBidi" w:cstheme="majorBidi"/>
        </w:rPr>
        <w:t>)</w:t>
      </w:r>
      <w:r w:rsidRPr="008012F8">
        <w:rPr>
          <w:rFonts w:ascii="宋体" w:hAnsi="宋体" w:cs="宋体" w:hint="eastAsia"/>
        </w:rPr>
        <w:t>被解读为暗示嗣后惯例修改了《联合国宪章》第</w:t>
      </w:r>
      <w:r w:rsidRPr="008012F8">
        <w:t>二十七</w:t>
      </w:r>
      <w:r w:rsidRPr="008012F8">
        <w:rPr>
          <w:rFonts w:ascii="宋体" w:hAnsi="宋体" w:cs="宋体" w:hint="eastAsia"/>
        </w:rPr>
        <w:t>条第</w:t>
      </w:r>
      <w:r w:rsidRPr="008012F8">
        <w:t>三项</w:t>
      </w:r>
      <w:r w:rsidRPr="008012F8">
        <w:rPr>
          <w:rFonts w:ascii="宋体" w:hAnsi="宋体" w:cs="宋体" w:hint="eastAsia"/>
        </w:rPr>
        <w:t>，见</w:t>
      </w:r>
      <w:r w:rsidRPr="008012F8">
        <w:t>Alain Pellet,</w:t>
      </w:r>
      <w:r w:rsidRPr="008012F8">
        <w:rPr>
          <w:rFonts w:hint="eastAsia"/>
        </w:rPr>
        <w:t>“</w:t>
      </w:r>
      <w:r w:rsidRPr="008012F8">
        <w:rPr>
          <w:rFonts w:ascii="宋体" w:hAnsi="宋体" w:cs="宋体" w:hint="eastAsia"/>
        </w:rPr>
        <w:t>第三十八条</w:t>
      </w:r>
      <w:r w:rsidRPr="008012F8">
        <w:rPr>
          <w:rFonts w:hint="eastAsia"/>
        </w:rPr>
        <w:t>”</w:t>
      </w:r>
      <w:r w:rsidRPr="008012F8">
        <w:rPr>
          <w:rFonts w:ascii="宋体" w:hAnsi="宋体" w:cs="宋体" w:hint="eastAsia"/>
        </w:rPr>
        <w:t>，载于</w:t>
      </w:r>
      <w:r w:rsidRPr="008012F8">
        <w:t>A. Zimmermann</w:t>
      </w:r>
      <w:r w:rsidRPr="008012F8">
        <w:rPr>
          <w:rFonts w:ascii="宋体" w:hAnsi="宋体" w:cs="宋体" w:hint="eastAsia"/>
        </w:rPr>
        <w:t>等人编写的《＜国际法院规约＞</w:t>
      </w:r>
      <w:r w:rsidRPr="008012F8">
        <w:t>评注</w:t>
      </w:r>
      <w:r w:rsidRPr="008012F8">
        <w:rPr>
          <w:rFonts w:ascii="宋体" w:hAnsi="宋体" w:cs="宋体" w:hint="eastAsia"/>
        </w:rPr>
        <w:t>》，第</w:t>
      </w:r>
      <w:r w:rsidRPr="008012F8">
        <w:t>2</w:t>
      </w:r>
      <w:r w:rsidRPr="008012F8">
        <w:rPr>
          <w:rFonts w:ascii="宋体" w:hAnsi="宋体" w:cs="宋体" w:hint="eastAsia"/>
        </w:rPr>
        <w:t>版</w:t>
      </w:r>
      <w:r w:rsidRPr="008012F8">
        <w:t>(</w:t>
      </w:r>
      <w:r w:rsidRPr="008012F8">
        <w:rPr>
          <w:rFonts w:ascii="宋体" w:hAnsi="宋体" w:cs="宋体" w:hint="eastAsia"/>
        </w:rPr>
        <w:t>牛津，牛津大学出版社，</w:t>
      </w:r>
      <w:r w:rsidRPr="008012F8">
        <w:t>2012</w:t>
      </w:r>
      <w:r w:rsidRPr="008012F8">
        <w:rPr>
          <w:rFonts w:ascii="宋体" w:hAnsi="宋体" w:cs="宋体" w:hint="eastAsia"/>
        </w:rPr>
        <w:t>年</w:t>
      </w:r>
      <w:r w:rsidRPr="008012F8">
        <w:t>)</w:t>
      </w:r>
      <w:r w:rsidRPr="008012F8">
        <w:rPr>
          <w:rFonts w:ascii="宋体" w:hAnsi="宋体" w:cs="宋体" w:hint="eastAsia"/>
        </w:rPr>
        <w:t>，第</w:t>
      </w:r>
      <w:r w:rsidRPr="008012F8">
        <w:t>844</w:t>
      </w:r>
      <w:r w:rsidRPr="008012F8">
        <w:rPr>
          <w:rFonts w:ascii="宋体" w:hAnsi="宋体" w:cs="宋体" w:hint="eastAsia"/>
        </w:rPr>
        <w:t>页，第</w:t>
      </w:r>
      <w:r w:rsidRPr="008012F8">
        <w:t>279</w:t>
      </w:r>
      <w:r w:rsidRPr="008012F8">
        <w:rPr>
          <w:rFonts w:ascii="宋体" w:hAnsi="宋体" w:cs="宋体" w:hint="eastAsia"/>
        </w:rPr>
        <w:t>段；</w:t>
      </w:r>
      <w:r w:rsidRPr="008012F8">
        <w:t>注</w:t>
      </w:r>
      <w:r w:rsidRPr="008012F8">
        <w:t xml:space="preserve">809, </w:t>
      </w:r>
      <w:r w:rsidRPr="008012F8">
        <w:t>参见</w:t>
      </w:r>
      <w:hyperlink r:id="rId83" w:history="1">
        <w:r w:rsidRPr="003A67B6">
          <w:rPr>
            <w:rFonts w:asciiTheme="majorBidi" w:hAnsiTheme="majorBidi" w:cstheme="majorBidi"/>
          </w:rPr>
          <w:t>A/CN.4/671</w:t>
        </w:r>
      </w:hyperlink>
      <w:r w:rsidRPr="003A67B6">
        <w:rPr>
          <w:rFonts w:asciiTheme="majorBidi" w:hAnsiTheme="majorBidi" w:cstheme="majorBidi"/>
        </w:rPr>
        <w:t>,</w:t>
      </w:r>
      <w:r w:rsidRPr="008012F8">
        <w:t xml:space="preserve"> </w:t>
      </w:r>
      <w:r w:rsidRPr="008012F8">
        <w:rPr>
          <w:rFonts w:ascii="宋体" w:hAnsi="宋体" w:cs="宋体" w:hint="eastAsia"/>
        </w:rPr>
        <w:t>第</w:t>
      </w:r>
      <w:r w:rsidRPr="008012F8">
        <w:t>124-126</w:t>
      </w:r>
      <w:r w:rsidRPr="008012F8">
        <w:rPr>
          <w:rFonts w:ascii="宋体" w:hAnsi="宋体" w:cs="宋体" w:hint="eastAsia"/>
        </w:rPr>
        <w:t>段。</w:t>
      </w:r>
    </w:p>
  </w:footnote>
  <w:footnote w:id="696">
    <w:p w:rsidR="00AB00DE" w:rsidRPr="008012F8" w:rsidRDefault="00AB00DE" w:rsidP="00267AB1">
      <w:pPr>
        <w:pStyle w:val="a4"/>
      </w:pPr>
      <w:r w:rsidRPr="008012F8">
        <w:tab/>
      </w:r>
      <w:r w:rsidRPr="00DF5565">
        <w:rPr>
          <w:rStyle w:val="a5"/>
        </w:rPr>
        <w:footnoteRef/>
      </w:r>
      <w:r w:rsidRPr="008012F8">
        <w:tab/>
        <w:t>M. Kohen,</w:t>
      </w:r>
      <w:r w:rsidRPr="008012F8">
        <w:rPr>
          <w:rFonts w:hint="eastAsia"/>
        </w:rPr>
        <w:t>“</w:t>
      </w:r>
      <w:r w:rsidRPr="008012F8">
        <w:rPr>
          <w:rFonts w:ascii="宋体" w:hAnsi="宋体" w:cs="宋体" w:hint="eastAsia"/>
        </w:rPr>
        <w:t>适当限制嗣后协定和惯例的作用</w:t>
      </w:r>
      <w:r w:rsidRPr="008012F8">
        <w:rPr>
          <w:rFonts w:hint="eastAsia"/>
        </w:rPr>
        <w:t>”</w:t>
      </w:r>
      <w:r w:rsidRPr="008012F8">
        <w:rPr>
          <w:rFonts w:ascii="宋体" w:hAnsi="宋体" w:cs="宋体" w:hint="eastAsia"/>
        </w:rPr>
        <w:t>，</w:t>
      </w:r>
      <w:r w:rsidRPr="008012F8">
        <w:t>载于诺尔特</w:t>
      </w:r>
      <w:r w:rsidRPr="008012F8">
        <w:t xml:space="preserve">, </w:t>
      </w:r>
      <w:r w:rsidRPr="008012F8">
        <w:rPr>
          <w:rFonts w:ascii="宋体" w:hAnsi="宋体" w:cs="宋体" w:hint="eastAsia"/>
        </w:rPr>
        <w:t>《条约和嗣后惯例》</w:t>
      </w:r>
      <w:r w:rsidRPr="003A67B6">
        <w:rPr>
          <w:rFonts w:asciiTheme="majorBidi" w:hAnsiTheme="majorBidi" w:cstheme="majorBidi"/>
        </w:rPr>
        <w:t>(</w:t>
      </w:r>
      <w:r w:rsidRPr="003A67B6">
        <w:rPr>
          <w:rFonts w:asciiTheme="majorBidi" w:hAnsiTheme="majorBidi" w:cstheme="majorBidi"/>
        </w:rPr>
        <w:t>见上文脚注</w:t>
      </w:r>
      <w:r>
        <w:rPr>
          <w:lang w:val="zh-CN"/>
        </w:rPr>
        <w:fldChar w:fldCharType="begin"/>
      </w:r>
      <w:r>
        <w:rPr>
          <w:lang w:val="zh-CN"/>
        </w:rPr>
        <w:instrText xml:space="preserve"> NOTEREF _Ref461973084 \h </w:instrText>
      </w:r>
      <w:r>
        <w:rPr>
          <w:lang w:val="zh-CN"/>
        </w:rPr>
      </w:r>
      <w:r>
        <w:rPr>
          <w:lang w:val="zh-CN"/>
        </w:rPr>
        <w:fldChar w:fldCharType="separate"/>
      </w:r>
      <w:r w:rsidR="00A73EB9">
        <w:rPr>
          <w:lang w:val="zh-CN"/>
        </w:rPr>
        <w:t>398</w:t>
      </w:r>
      <w:r>
        <w:rPr>
          <w:lang w:val="zh-CN"/>
        </w:rPr>
        <w:fldChar w:fldCharType="end"/>
      </w:r>
      <w:r w:rsidRPr="003A67B6">
        <w:rPr>
          <w:rFonts w:asciiTheme="majorBidi" w:hAnsiTheme="majorBidi" w:cstheme="majorBidi"/>
        </w:rPr>
        <w:t>)</w:t>
      </w:r>
      <w:r w:rsidRPr="008012F8">
        <w:rPr>
          <w:rFonts w:ascii="宋体" w:hAnsi="宋体" w:cs="宋体" w:hint="eastAsia"/>
        </w:rPr>
        <w:t>，</w:t>
      </w:r>
      <w:r w:rsidRPr="008012F8">
        <w:t>第</w:t>
      </w:r>
      <w:r w:rsidRPr="008012F8">
        <w:t>34</w:t>
      </w:r>
      <w:r w:rsidRPr="008012F8">
        <w:t>页及以后各页，见</w:t>
      </w:r>
      <w:r w:rsidRPr="008012F8">
        <w:rPr>
          <w:rFonts w:ascii="宋体" w:hAnsi="宋体" w:cs="宋体" w:hint="eastAsia"/>
        </w:rPr>
        <w:t>第</w:t>
      </w:r>
      <w:r w:rsidRPr="008012F8">
        <w:t>43</w:t>
      </w:r>
      <w:r w:rsidRPr="008012F8">
        <w:rPr>
          <w:rFonts w:ascii="宋体" w:hAnsi="宋体" w:cs="宋体" w:hint="eastAsia"/>
        </w:rPr>
        <w:t>页，其中提到</w:t>
      </w:r>
      <w:r w:rsidRPr="00DF5565">
        <w:rPr>
          <w:rFonts w:eastAsia="楷体"/>
        </w:rPr>
        <w:t>埃塞俄比亚和厄立特里亚划界案</w:t>
      </w:r>
      <w:r w:rsidRPr="008012F8">
        <w:rPr>
          <w:rFonts w:ascii="宋体" w:hAnsi="宋体" w:cs="宋体" w:hint="eastAsia"/>
        </w:rPr>
        <w:t>的裁决，</w:t>
      </w:r>
      <w:r w:rsidRPr="008012F8">
        <w:t>2002</w:t>
      </w:r>
      <w:r w:rsidRPr="008012F8">
        <w:rPr>
          <w:rFonts w:ascii="宋体" w:hAnsi="宋体" w:cs="宋体" w:hint="eastAsia"/>
        </w:rPr>
        <w:t>年</w:t>
      </w:r>
      <w:r w:rsidRPr="008012F8">
        <w:t>4</w:t>
      </w:r>
      <w:r w:rsidRPr="008012F8">
        <w:rPr>
          <w:rFonts w:ascii="宋体" w:hAnsi="宋体" w:cs="宋体" w:hint="eastAsia"/>
        </w:rPr>
        <w:t>月</w:t>
      </w:r>
      <w:r w:rsidRPr="008012F8">
        <w:t>13</w:t>
      </w:r>
      <w:r w:rsidRPr="008012F8">
        <w:rPr>
          <w:rFonts w:ascii="宋体" w:hAnsi="宋体" w:cs="宋体" w:hint="eastAsia"/>
        </w:rPr>
        <w:t>日，《国际仲裁裁决汇编》，第二十五卷</w:t>
      </w:r>
      <w:r w:rsidRPr="008012F8">
        <w:t>(</w:t>
      </w:r>
      <w:r w:rsidRPr="008012F8">
        <w:t>出售品编号：</w:t>
      </w:r>
      <w:r w:rsidRPr="008012F8">
        <w:t>E/F.05.V.5)</w:t>
      </w:r>
      <w:r w:rsidRPr="008012F8">
        <w:rPr>
          <w:rFonts w:ascii="宋体" w:hAnsi="宋体" w:cs="宋体" w:hint="eastAsia"/>
        </w:rPr>
        <w:t>，第</w:t>
      </w:r>
      <w:r w:rsidRPr="008012F8">
        <w:t>83-195</w:t>
      </w:r>
      <w:r w:rsidRPr="008012F8">
        <w:rPr>
          <w:rFonts w:ascii="宋体" w:hAnsi="宋体" w:cs="宋体" w:hint="eastAsia"/>
        </w:rPr>
        <w:t>页，</w:t>
      </w:r>
      <w:r w:rsidRPr="008012F8">
        <w:t>见</w:t>
      </w:r>
      <w:r w:rsidRPr="008012F8">
        <w:rPr>
          <w:rFonts w:ascii="宋体" w:hAnsi="宋体" w:cs="宋体" w:hint="eastAsia"/>
        </w:rPr>
        <w:t>第</w:t>
      </w:r>
      <w:r w:rsidRPr="008012F8">
        <w:t>110-111</w:t>
      </w:r>
      <w:r w:rsidRPr="008012F8">
        <w:rPr>
          <w:rFonts w:ascii="宋体" w:hAnsi="宋体" w:cs="宋体" w:hint="eastAsia"/>
        </w:rPr>
        <w:t>页，第</w:t>
      </w:r>
      <w:r w:rsidRPr="008012F8">
        <w:t>3.6.-3.10</w:t>
      </w:r>
      <w:r w:rsidRPr="008012F8">
        <w:rPr>
          <w:rFonts w:ascii="宋体" w:hAnsi="宋体" w:cs="宋体" w:hint="eastAsia"/>
        </w:rPr>
        <w:t>段；另见</w:t>
      </w:r>
      <w:r w:rsidRPr="00DF5565">
        <w:rPr>
          <w:rFonts w:eastAsia="楷体"/>
        </w:rPr>
        <w:t>埃及和以色列之间塔巴界桩位置案</w:t>
      </w:r>
      <w:r w:rsidRPr="008012F8">
        <w:rPr>
          <w:rFonts w:ascii="宋体" w:hAnsi="宋体" w:cs="宋体" w:hint="eastAsia"/>
        </w:rPr>
        <w:t>，</w:t>
      </w:r>
      <w:r w:rsidRPr="008012F8">
        <w:t>1988</w:t>
      </w:r>
      <w:r w:rsidRPr="008012F8">
        <w:rPr>
          <w:rFonts w:ascii="宋体" w:hAnsi="宋体" w:cs="宋体" w:hint="eastAsia"/>
        </w:rPr>
        <w:t>年</w:t>
      </w:r>
      <w:r w:rsidRPr="008012F8">
        <w:t>9</w:t>
      </w:r>
      <w:r w:rsidRPr="008012F8">
        <w:rPr>
          <w:rFonts w:ascii="宋体" w:hAnsi="宋体" w:cs="宋体" w:hint="eastAsia"/>
        </w:rPr>
        <w:t>月</w:t>
      </w:r>
      <w:r w:rsidRPr="008012F8">
        <w:t>29</w:t>
      </w:r>
      <w:r w:rsidRPr="008012F8">
        <w:rPr>
          <w:rFonts w:ascii="宋体" w:hAnsi="宋体" w:cs="宋体" w:hint="eastAsia"/>
        </w:rPr>
        <w:t>日，《国际仲裁裁决汇编》，第二十卷</w:t>
      </w:r>
      <w:r w:rsidRPr="008012F8">
        <w:t>(</w:t>
      </w:r>
      <w:r w:rsidRPr="008012F8">
        <w:t>出售品编号：</w:t>
      </w:r>
      <w:r w:rsidRPr="008012F8">
        <w:t>E/F.93.V.3)</w:t>
      </w:r>
      <w:r w:rsidRPr="008012F8">
        <w:rPr>
          <w:rFonts w:ascii="宋体" w:hAnsi="宋体" w:cs="宋体" w:hint="eastAsia"/>
        </w:rPr>
        <w:t>，第</w:t>
      </w:r>
      <w:r w:rsidRPr="008012F8">
        <w:t>1-118</w:t>
      </w:r>
      <w:r w:rsidRPr="008012F8">
        <w:rPr>
          <w:rFonts w:ascii="宋体" w:hAnsi="宋体" w:cs="宋体" w:hint="eastAsia"/>
        </w:rPr>
        <w:t>页，见第</w:t>
      </w:r>
      <w:r w:rsidRPr="008012F8">
        <w:t>56-57</w:t>
      </w:r>
      <w:r w:rsidRPr="008012F8">
        <w:rPr>
          <w:rFonts w:ascii="宋体" w:hAnsi="宋体" w:cs="宋体" w:hint="eastAsia"/>
        </w:rPr>
        <w:t>页，第</w:t>
      </w:r>
      <w:r w:rsidRPr="008012F8">
        <w:t>209</w:t>
      </w:r>
      <w:r w:rsidRPr="008012F8">
        <w:rPr>
          <w:rFonts w:ascii="宋体" w:hAnsi="宋体" w:cs="宋体" w:hint="eastAsia"/>
        </w:rPr>
        <w:t>和</w:t>
      </w:r>
      <w:r w:rsidRPr="008012F8">
        <w:t>210</w:t>
      </w:r>
      <w:r w:rsidRPr="008012F8">
        <w:rPr>
          <w:rFonts w:ascii="宋体" w:hAnsi="宋体" w:cs="宋体" w:hint="eastAsia"/>
        </w:rPr>
        <w:t>段，仲裁法庭在附带意见中称：</w:t>
      </w:r>
      <w:r w:rsidRPr="008012F8">
        <w:rPr>
          <w:rFonts w:hint="eastAsia"/>
        </w:rPr>
        <w:t>“</w:t>
      </w:r>
      <w:r w:rsidRPr="008012F8">
        <w:rPr>
          <w:rFonts w:ascii="宋体" w:hAnsi="宋体" w:cs="宋体" w:hint="eastAsia"/>
        </w:rPr>
        <w:t>划定的界线与《协定》不符时，以划定的界线为准</w:t>
      </w:r>
      <w:r w:rsidRPr="008012F8">
        <w:rPr>
          <w:rFonts w:hint="eastAsia"/>
        </w:rPr>
        <w:t>”</w:t>
      </w:r>
      <w:r w:rsidRPr="008012F8">
        <w:t>(</w:t>
      </w:r>
      <w:r w:rsidRPr="008012F8">
        <w:t>同上，第</w:t>
      </w:r>
      <w:r w:rsidRPr="008012F8">
        <w:t>57</w:t>
      </w:r>
      <w:r w:rsidRPr="008012F8">
        <w:t>页</w:t>
      </w:r>
      <w:r w:rsidRPr="008012F8">
        <w:t>)</w:t>
      </w:r>
      <w:r w:rsidRPr="008012F8">
        <w:rPr>
          <w:rFonts w:ascii="宋体" w:hAnsi="宋体" w:cs="宋体" w:hint="eastAsia"/>
        </w:rPr>
        <w:t>；另见</w:t>
      </w:r>
      <w:r w:rsidRPr="008012F8">
        <w:t>R. Kolb,</w:t>
      </w:r>
      <w:r w:rsidRPr="008012F8">
        <w:rPr>
          <w:rFonts w:hint="eastAsia"/>
        </w:rPr>
        <w:t>“</w:t>
      </w:r>
      <w:r w:rsidRPr="008012F8">
        <w:t>La modification d’un traité par la pratique subséquente des parties</w:t>
      </w:r>
      <w:r w:rsidRPr="008012F8">
        <w:rPr>
          <w:rFonts w:hint="eastAsia"/>
        </w:rPr>
        <w:t>”</w:t>
      </w:r>
      <w:r w:rsidRPr="008012F8">
        <w:rPr>
          <w:rFonts w:ascii="宋体" w:hAnsi="宋体" w:cs="宋体" w:hint="eastAsia"/>
        </w:rPr>
        <w:t>，</w:t>
      </w:r>
      <w:r w:rsidRPr="008012F8">
        <w:rPr>
          <w:rFonts w:ascii="宋体" w:hAnsi="宋体" w:cs="宋体" w:hint="eastAsia"/>
          <w:lang w:val="fr-FR"/>
        </w:rPr>
        <w:t>《瑞士国际法和欧洲法评论》</w:t>
      </w:r>
      <w:r w:rsidRPr="008012F8">
        <w:rPr>
          <w:rFonts w:ascii="宋体" w:hAnsi="宋体" w:cs="宋体" w:hint="eastAsia"/>
          <w:i/>
        </w:rPr>
        <w:t>，</w:t>
      </w:r>
      <w:r w:rsidRPr="008012F8">
        <w:rPr>
          <w:rFonts w:ascii="宋体" w:hAnsi="宋体" w:cs="宋体" w:hint="eastAsia"/>
        </w:rPr>
        <w:t>第</w:t>
      </w:r>
      <w:r w:rsidRPr="008012F8">
        <w:t>14</w:t>
      </w:r>
      <w:r w:rsidRPr="008012F8">
        <w:rPr>
          <w:rFonts w:ascii="宋体" w:hAnsi="宋体" w:cs="宋体" w:hint="eastAsia"/>
        </w:rPr>
        <w:t>卷</w:t>
      </w:r>
      <w:r w:rsidRPr="008012F8">
        <w:t>(2004</w:t>
      </w:r>
      <w:r w:rsidRPr="008012F8">
        <w:rPr>
          <w:rFonts w:ascii="宋体" w:hAnsi="宋体" w:cs="宋体" w:hint="eastAsia"/>
        </w:rPr>
        <w:t>年</w:t>
      </w:r>
      <w:r w:rsidRPr="008012F8">
        <w:t>)</w:t>
      </w:r>
      <w:r w:rsidRPr="008012F8">
        <w:rPr>
          <w:rFonts w:ascii="宋体" w:hAnsi="宋体" w:cs="宋体" w:hint="eastAsia"/>
        </w:rPr>
        <w:t>，第</w:t>
      </w:r>
      <w:r w:rsidRPr="008012F8">
        <w:t>9-32</w:t>
      </w:r>
      <w:r w:rsidRPr="008012F8">
        <w:t>页，见第</w:t>
      </w:r>
      <w:r w:rsidRPr="008012F8">
        <w:t>20</w:t>
      </w:r>
      <w:r w:rsidRPr="008012F8">
        <w:rPr>
          <w:rFonts w:ascii="宋体" w:hAnsi="宋体" w:cs="宋体" w:hint="eastAsia"/>
        </w:rPr>
        <w:t>页。</w:t>
      </w:r>
    </w:p>
  </w:footnote>
  <w:footnote w:id="697">
    <w:p w:rsidR="00AB00DE" w:rsidRPr="008012F8" w:rsidRDefault="00AB00DE" w:rsidP="00267AB1">
      <w:pPr>
        <w:pStyle w:val="a4"/>
      </w:pPr>
      <w:r w:rsidRPr="008012F8">
        <w:tab/>
      </w:r>
      <w:r w:rsidRPr="00DF5565">
        <w:rPr>
          <w:rStyle w:val="a5"/>
        </w:rPr>
        <w:footnoteRef/>
      </w:r>
      <w:r w:rsidRPr="008012F8">
        <w:tab/>
      </w:r>
      <w:r w:rsidRPr="00DF5565">
        <w:rPr>
          <w:rFonts w:eastAsia="楷体"/>
        </w:rPr>
        <w:t>对美利坚合众国与法国航空运输协定的解释</w:t>
      </w:r>
      <w:r w:rsidRPr="008012F8">
        <w:rPr>
          <w:rFonts w:ascii="宋体" w:hAnsi="宋体" w:cs="宋体" w:hint="eastAsia"/>
        </w:rPr>
        <w:t>，</w:t>
      </w:r>
      <w:r w:rsidRPr="008012F8">
        <w:t>1963</w:t>
      </w:r>
      <w:r w:rsidRPr="008012F8">
        <w:rPr>
          <w:rFonts w:ascii="宋体" w:hAnsi="宋体" w:cs="宋体" w:hint="eastAsia"/>
        </w:rPr>
        <w:t>年</w:t>
      </w:r>
      <w:r w:rsidRPr="008012F8">
        <w:t>12</w:t>
      </w:r>
      <w:r w:rsidRPr="008012F8">
        <w:rPr>
          <w:rFonts w:ascii="宋体" w:hAnsi="宋体" w:cs="宋体" w:hint="eastAsia"/>
        </w:rPr>
        <w:t>月</w:t>
      </w:r>
      <w:r w:rsidRPr="008012F8">
        <w:t>22</w:t>
      </w:r>
      <w:r w:rsidRPr="008012F8">
        <w:rPr>
          <w:rFonts w:ascii="宋体" w:hAnsi="宋体" w:cs="宋体" w:hint="eastAsia"/>
        </w:rPr>
        <w:t>日，《国际仲裁裁决汇编》，第十六卷</w:t>
      </w:r>
      <w:r w:rsidRPr="008012F8">
        <w:t>(</w:t>
      </w:r>
      <w:r w:rsidRPr="008012F8">
        <w:t>出售品编号：</w:t>
      </w:r>
      <w:r w:rsidRPr="008012F8">
        <w:t>E/F.69.V.1)</w:t>
      </w:r>
      <w:r w:rsidRPr="008012F8">
        <w:rPr>
          <w:rFonts w:ascii="宋体" w:hAnsi="宋体" w:cs="宋体" w:hint="eastAsia"/>
        </w:rPr>
        <w:t>，第</w:t>
      </w:r>
      <w:r w:rsidRPr="008012F8">
        <w:t>5-74</w:t>
      </w:r>
      <w:r w:rsidRPr="008012F8">
        <w:rPr>
          <w:rFonts w:ascii="宋体" w:hAnsi="宋体" w:cs="宋体" w:hint="eastAsia"/>
        </w:rPr>
        <w:t>页，见第</w:t>
      </w:r>
      <w:r w:rsidRPr="008012F8">
        <w:t>62-63</w:t>
      </w:r>
      <w:r w:rsidRPr="008012F8">
        <w:rPr>
          <w:rFonts w:ascii="宋体" w:hAnsi="宋体" w:cs="宋体" w:hint="eastAsia"/>
        </w:rPr>
        <w:t>页；《联合国条约法会议正式记录</w:t>
      </w:r>
      <w:r w:rsidRPr="008012F8">
        <w:rPr>
          <w:rFonts w:hint="eastAsia"/>
        </w:rPr>
        <w:t>……</w:t>
      </w:r>
      <w:r w:rsidRPr="008012F8">
        <w:rPr>
          <w:rFonts w:ascii="宋体" w:hAnsi="宋体" w:cs="宋体" w:hint="eastAsia"/>
        </w:rPr>
        <w:t>》</w:t>
      </w:r>
      <w:r w:rsidRPr="008012F8">
        <w:rPr>
          <w:iCs/>
        </w:rPr>
        <w:t>(</w:t>
      </w:r>
      <w:r w:rsidRPr="008012F8">
        <w:t>A/CONF.39/11)(</w:t>
      </w:r>
      <w:r w:rsidRPr="008012F8">
        <w:t>见上文脚注</w:t>
      </w:r>
      <w:r>
        <w:fldChar w:fldCharType="begin"/>
      </w:r>
      <w:r>
        <w:instrText xml:space="preserve"> NOTEREF _Ref461974212 \h </w:instrText>
      </w:r>
      <w:r>
        <w:fldChar w:fldCharType="separate"/>
      </w:r>
      <w:r w:rsidR="00A73EB9">
        <w:t>575</w:t>
      </w:r>
      <w:r>
        <w:fldChar w:fldCharType="end"/>
      </w:r>
      <w:r w:rsidRPr="008012F8">
        <w:t>)</w:t>
      </w:r>
      <w:r w:rsidRPr="008012F8">
        <w:rPr>
          <w:rFonts w:ascii="宋体" w:hAnsi="宋体" w:cs="宋体" w:hint="eastAsia"/>
        </w:rPr>
        <w:t>，</w:t>
      </w:r>
      <w:r w:rsidRPr="008012F8">
        <w:t>第</w:t>
      </w:r>
      <w:r w:rsidRPr="008012F8">
        <w:t>37</w:t>
      </w:r>
      <w:r w:rsidRPr="008012F8">
        <w:t>次会议，</w:t>
      </w:r>
      <w:r w:rsidRPr="008012F8">
        <w:t>1968</w:t>
      </w:r>
      <w:r w:rsidRPr="008012F8">
        <w:t>年</w:t>
      </w:r>
      <w:r w:rsidRPr="008012F8">
        <w:t>4</w:t>
      </w:r>
      <w:r w:rsidRPr="008012F8">
        <w:t>月</w:t>
      </w:r>
      <w:r w:rsidRPr="008012F8">
        <w:t>24</w:t>
      </w:r>
      <w:r w:rsidRPr="008012F8">
        <w:t>日，</w:t>
      </w:r>
      <w:r w:rsidRPr="008012F8">
        <w:rPr>
          <w:rFonts w:ascii="宋体" w:hAnsi="宋体" w:cs="宋体" w:hint="eastAsia"/>
        </w:rPr>
        <w:t>第</w:t>
      </w:r>
      <w:r w:rsidRPr="008012F8">
        <w:t>208</w:t>
      </w:r>
      <w:r w:rsidRPr="008012F8">
        <w:rPr>
          <w:rFonts w:ascii="宋体" w:hAnsi="宋体" w:cs="宋体" w:hint="eastAsia"/>
        </w:rPr>
        <w:t>页，第</w:t>
      </w:r>
      <w:r w:rsidRPr="008012F8">
        <w:t>58</w:t>
      </w:r>
      <w:r w:rsidRPr="008012F8">
        <w:rPr>
          <w:rFonts w:ascii="宋体" w:hAnsi="宋体" w:cs="宋体" w:hint="eastAsia"/>
        </w:rPr>
        <w:t>段</w:t>
      </w:r>
      <w:r w:rsidRPr="008012F8">
        <w:t>(</w:t>
      </w:r>
      <w:r w:rsidRPr="008012F8">
        <w:rPr>
          <w:rFonts w:ascii="宋体" w:hAnsi="宋体" w:cs="宋体" w:hint="eastAsia"/>
        </w:rPr>
        <w:t>日本</w:t>
      </w:r>
      <w:r w:rsidRPr="008012F8">
        <w:t>)</w:t>
      </w:r>
      <w:r w:rsidRPr="008012F8">
        <w:rPr>
          <w:rFonts w:ascii="宋体" w:hAnsi="宋体" w:cs="宋体" w:hint="eastAsia"/>
        </w:rPr>
        <w:t>；</w:t>
      </w:r>
      <w:r w:rsidRPr="008012F8">
        <w:t>Murphy,</w:t>
      </w:r>
      <w:r w:rsidRPr="008012F8">
        <w:rPr>
          <w:rFonts w:hint="eastAsia"/>
        </w:rPr>
        <w:t>“</w:t>
      </w:r>
      <w:r w:rsidRPr="008012F8">
        <w:rPr>
          <w:rFonts w:ascii="宋体" w:hAnsi="宋体" w:cs="宋体" w:hint="eastAsia"/>
        </w:rPr>
        <w:t>嗣后协定</w:t>
      </w:r>
      <w:r w:rsidRPr="008012F8">
        <w:rPr>
          <w:rFonts w:hint="eastAsia"/>
        </w:rPr>
        <w:t>……</w:t>
      </w:r>
      <w:r w:rsidRPr="008012F8">
        <w:rPr>
          <w:rFonts w:ascii="宋体" w:hAnsi="宋体" w:cs="宋体" w:hint="eastAsia"/>
        </w:rPr>
        <w:t>的作用</w:t>
      </w:r>
      <w:r w:rsidRPr="008012F8">
        <w:rPr>
          <w:rFonts w:hint="eastAsia"/>
        </w:rPr>
        <w:t>”</w:t>
      </w:r>
      <w:r w:rsidRPr="003A67B6">
        <w:rPr>
          <w:rFonts w:asciiTheme="majorBidi" w:hAnsiTheme="majorBidi" w:cstheme="majorBidi"/>
        </w:rPr>
        <w:t>(</w:t>
      </w:r>
      <w:r w:rsidRPr="003A67B6">
        <w:rPr>
          <w:rFonts w:asciiTheme="majorBidi" w:hAnsiTheme="majorBidi" w:cstheme="majorBidi"/>
        </w:rPr>
        <w:t>见上文脚注</w:t>
      </w:r>
      <w:r>
        <w:rPr>
          <w:rFonts w:asciiTheme="majorBidi" w:hAnsiTheme="majorBidi" w:cstheme="majorBidi"/>
        </w:rPr>
        <w:fldChar w:fldCharType="begin"/>
      </w:r>
      <w:r>
        <w:rPr>
          <w:rFonts w:asciiTheme="majorBidi" w:hAnsiTheme="majorBidi" w:cstheme="majorBidi"/>
        </w:rPr>
        <w:instrText xml:space="preserve"> NOTEREF _Ref461973633 \h </w:instrText>
      </w:r>
      <w:r>
        <w:rPr>
          <w:rFonts w:asciiTheme="majorBidi" w:hAnsiTheme="majorBidi" w:cstheme="majorBidi"/>
        </w:rPr>
      </w:r>
      <w:r>
        <w:rPr>
          <w:rFonts w:asciiTheme="majorBidi" w:hAnsiTheme="majorBidi" w:cstheme="majorBidi"/>
        </w:rPr>
        <w:fldChar w:fldCharType="separate"/>
      </w:r>
      <w:r w:rsidR="00A73EB9">
        <w:rPr>
          <w:rFonts w:asciiTheme="majorBidi" w:hAnsiTheme="majorBidi" w:cstheme="majorBidi"/>
        </w:rPr>
        <w:t>642</w:t>
      </w:r>
      <w:r>
        <w:rPr>
          <w:rFonts w:asciiTheme="majorBidi" w:hAnsiTheme="majorBidi" w:cstheme="majorBidi"/>
        </w:rPr>
        <w:fldChar w:fldCharType="end"/>
      </w:r>
      <w:r w:rsidRPr="003A67B6">
        <w:rPr>
          <w:rFonts w:asciiTheme="majorBidi" w:hAnsiTheme="majorBidi" w:cstheme="majorBidi"/>
        </w:rPr>
        <w:t>)</w:t>
      </w:r>
      <w:r w:rsidRPr="008012F8">
        <w:rPr>
          <w:rFonts w:ascii="宋体" w:hAnsi="宋体" w:cs="宋体" w:hint="eastAsia"/>
        </w:rPr>
        <w:t>，第</w:t>
      </w:r>
      <w:r w:rsidRPr="008012F8">
        <w:t>89</w:t>
      </w:r>
      <w:r w:rsidRPr="008012F8">
        <w:rPr>
          <w:rFonts w:ascii="宋体" w:hAnsi="宋体" w:cs="宋体" w:hint="eastAsia"/>
        </w:rPr>
        <w:t>页。</w:t>
      </w:r>
    </w:p>
  </w:footnote>
  <w:footnote w:id="698">
    <w:p w:rsidR="00AB00DE" w:rsidRPr="008012F8" w:rsidRDefault="00AB00DE" w:rsidP="00D90936">
      <w:pPr>
        <w:pStyle w:val="a4"/>
      </w:pPr>
      <w:r w:rsidRPr="008012F8">
        <w:tab/>
      </w:r>
      <w:r w:rsidRPr="00DF5565">
        <w:rPr>
          <w:rStyle w:val="a5"/>
        </w:rPr>
        <w:footnoteRef/>
      </w:r>
      <w:r w:rsidRPr="008012F8">
        <w:tab/>
      </w:r>
      <w:r w:rsidRPr="008012F8">
        <w:t>世贸组织上诉机构报告，</w:t>
      </w:r>
      <w:r w:rsidRPr="008012F8">
        <w:rPr>
          <w:rFonts w:eastAsia="楷体"/>
        </w:rPr>
        <w:t>欧共体</w:t>
      </w:r>
      <w:r w:rsidRPr="008012F8">
        <w:rPr>
          <w:rFonts w:eastAsia="楷体"/>
        </w:rPr>
        <w:t>―</w:t>
      </w:r>
      <w:r w:rsidRPr="008012F8">
        <w:rPr>
          <w:rFonts w:eastAsia="楷体"/>
        </w:rPr>
        <w:t>香蕉案</w:t>
      </w:r>
      <w:r w:rsidRPr="008012F8">
        <w:rPr>
          <w:rFonts w:eastAsia="楷体"/>
        </w:rPr>
        <w:t>(</w:t>
      </w:r>
      <w:r w:rsidRPr="008012F8">
        <w:rPr>
          <w:rFonts w:eastAsia="楷体"/>
        </w:rPr>
        <w:t>三</w:t>
      </w:r>
      <w:r w:rsidRPr="008012F8">
        <w:rPr>
          <w:rFonts w:eastAsia="楷体"/>
        </w:rPr>
        <w:t>)(</w:t>
      </w:r>
      <w:r w:rsidRPr="008012F8">
        <w:t>见上文脚注</w:t>
      </w:r>
      <w:r>
        <w:fldChar w:fldCharType="begin"/>
      </w:r>
      <w:r>
        <w:instrText xml:space="preserve"> </w:instrText>
      </w:r>
      <w:r>
        <w:rPr>
          <w:rFonts w:hint="eastAsia"/>
        </w:rPr>
        <w:instrText>NOTEREF _Ref461972226 \h</w:instrText>
      </w:r>
      <w:r>
        <w:instrText xml:space="preserve"> </w:instrText>
      </w:r>
      <w:r>
        <w:fldChar w:fldCharType="separate"/>
      </w:r>
      <w:r w:rsidR="00A73EB9">
        <w:t>445</w:t>
      </w:r>
      <w:r>
        <w:fldChar w:fldCharType="end"/>
      </w:r>
      <w:r w:rsidRPr="008012F8">
        <w:t>)</w:t>
      </w:r>
      <w:r w:rsidRPr="008012F8">
        <w:t>，第二次诉诸第</w:t>
      </w:r>
      <w:r w:rsidRPr="008012F8">
        <w:t>21.5</w:t>
      </w:r>
      <w:r w:rsidRPr="008012F8">
        <w:t>条，</w:t>
      </w:r>
      <w:r w:rsidRPr="008012F8">
        <w:t>WT/DS27/AB/ RW2/ECU</w:t>
      </w:r>
      <w:r w:rsidRPr="008012F8">
        <w:t>和</w:t>
      </w:r>
      <w:r w:rsidRPr="008012F8">
        <w:t>Corr.1, 2008</w:t>
      </w:r>
      <w:r w:rsidRPr="008012F8">
        <w:t>年</w:t>
      </w:r>
      <w:r w:rsidRPr="008012F8">
        <w:t>12</w:t>
      </w:r>
      <w:r w:rsidRPr="008012F8">
        <w:t>月</w:t>
      </w:r>
      <w:r w:rsidRPr="008012F8">
        <w:t>11</w:t>
      </w:r>
      <w:r w:rsidRPr="008012F8">
        <w:t>日通过，</w:t>
      </w:r>
      <w:r w:rsidRPr="008012F8">
        <w:t>WT/DS27/AB/RW/USA</w:t>
      </w:r>
      <w:r w:rsidRPr="008012F8">
        <w:t>和</w:t>
      </w:r>
      <w:r w:rsidRPr="008012F8">
        <w:t>Corr.1, 2008</w:t>
      </w:r>
      <w:r w:rsidRPr="008012F8">
        <w:t>年</w:t>
      </w:r>
      <w:r w:rsidRPr="008012F8">
        <w:t>12</w:t>
      </w:r>
      <w:r w:rsidRPr="008012F8">
        <w:t>月</w:t>
      </w:r>
      <w:r w:rsidRPr="008012F8">
        <w:t>22</w:t>
      </w:r>
      <w:r w:rsidRPr="008012F8">
        <w:t>日通过，第</w:t>
      </w:r>
      <w:r w:rsidRPr="008012F8">
        <w:t>391-393</w:t>
      </w:r>
      <w:r w:rsidRPr="008012F8">
        <w:t>段。</w:t>
      </w:r>
    </w:p>
  </w:footnote>
  <w:footnote w:id="699">
    <w:p w:rsidR="00AB00DE" w:rsidRPr="008012F8" w:rsidRDefault="00AB00DE" w:rsidP="00D90936">
      <w:pPr>
        <w:pStyle w:val="a4"/>
      </w:pPr>
      <w:r w:rsidRPr="008012F8">
        <w:tab/>
      </w:r>
      <w:r w:rsidRPr="00DF5565">
        <w:rPr>
          <w:rStyle w:val="a5"/>
        </w:rPr>
        <w:footnoteRef/>
      </w:r>
      <w:r w:rsidRPr="008012F8">
        <w:tab/>
      </w:r>
      <w:r w:rsidRPr="008012F8">
        <w:t>《</w:t>
      </w:r>
      <w:r w:rsidRPr="008012F8">
        <w:rPr>
          <w:rStyle w:val="preferred"/>
          <w:rFonts w:ascii="宋体" w:hAnsi="宋体" w:cs="宋体" w:hint="eastAsia"/>
        </w:rPr>
        <w:t>马拉喀什建立世界贸易组织协定</w:t>
      </w:r>
      <w:r w:rsidRPr="008012F8">
        <w:t>》</w:t>
      </w:r>
      <w:r w:rsidRPr="008012F8">
        <w:t>(</w:t>
      </w:r>
      <w:r w:rsidRPr="008012F8">
        <w:t>见上文脚注</w:t>
      </w:r>
      <w:r>
        <w:fldChar w:fldCharType="begin"/>
      </w:r>
      <w:r>
        <w:instrText xml:space="preserve"> </w:instrText>
      </w:r>
      <w:r>
        <w:rPr>
          <w:rFonts w:hint="eastAsia"/>
        </w:rPr>
        <w:instrText>NOTEREF _Ref461972226 \h</w:instrText>
      </w:r>
      <w:r>
        <w:instrText xml:space="preserve"> </w:instrText>
      </w:r>
      <w:r>
        <w:fldChar w:fldCharType="separate"/>
      </w:r>
      <w:r w:rsidR="00A73EB9">
        <w:t>445</w:t>
      </w:r>
      <w:r>
        <w:fldChar w:fldCharType="end"/>
      </w:r>
      <w:r w:rsidRPr="008012F8">
        <w:t>)</w:t>
      </w:r>
      <w:r w:rsidRPr="008012F8">
        <w:t>，《关于争端解决规则与程序的谅解》，附件</w:t>
      </w:r>
      <w:r w:rsidRPr="008012F8">
        <w:t xml:space="preserve">2, </w:t>
      </w:r>
      <w:r w:rsidRPr="008012F8">
        <w:t>第</w:t>
      </w:r>
      <w:r w:rsidRPr="008012F8">
        <w:t>401</w:t>
      </w:r>
      <w:r w:rsidRPr="008012F8">
        <w:t>页。</w:t>
      </w:r>
    </w:p>
  </w:footnote>
  <w:footnote w:id="700">
    <w:p w:rsidR="00AB00DE" w:rsidRPr="008012F8" w:rsidRDefault="00AB00DE" w:rsidP="008D7906">
      <w:pPr>
        <w:pStyle w:val="a4"/>
      </w:pPr>
      <w:r w:rsidRPr="008012F8">
        <w:tab/>
      </w:r>
      <w:r w:rsidRPr="00DF5565">
        <w:rPr>
          <w:rStyle w:val="a5"/>
        </w:rPr>
        <w:footnoteRef/>
      </w:r>
      <w:r w:rsidRPr="008012F8">
        <w:tab/>
      </w:r>
      <w:r w:rsidRPr="008012F8">
        <w:t>见</w:t>
      </w:r>
      <w:r w:rsidRPr="00DF5565">
        <w:rPr>
          <w:rFonts w:eastAsia="楷体"/>
        </w:rPr>
        <w:t>Al-Saadoon</w:t>
      </w:r>
      <w:r w:rsidRPr="00DF5565">
        <w:rPr>
          <w:rFonts w:eastAsia="楷体"/>
        </w:rPr>
        <w:t>和</w:t>
      </w:r>
      <w:r w:rsidRPr="00DF5565">
        <w:rPr>
          <w:rFonts w:eastAsia="楷体"/>
        </w:rPr>
        <w:t>Mufdhi</w:t>
      </w:r>
      <w:r w:rsidRPr="00DF5565">
        <w:rPr>
          <w:rFonts w:eastAsia="楷体"/>
        </w:rPr>
        <w:t>诉联合王国，</w:t>
      </w:r>
      <w:r w:rsidRPr="008012F8">
        <w:rPr>
          <w:rFonts w:ascii="宋体" w:hAnsi="宋体" w:cs="宋体" w:hint="eastAsia"/>
        </w:rPr>
        <w:t>第</w:t>
      </w:r>
      <w:r w:rsidRPr="008012F8">
        <w:t>61498/08</w:t>
      </w:r>
      <w:r w:rsidRPr="008012F8">
        <w:rPr>
          <w:rFonts w:ascii="宋体" w:hAnsi="宋体" w:cs="宋体" w:hint="eastAsia"/>
        </w:rPr>
        <w:t>号</w:t>
      </w:r>
      <w:r w:rsidRPr="008012F8">
        <w:t>，</w:t>
      </w:r>
      <w:r w:rsidRPr="008012F8">
        <w:t>2010</w:t>
      </w:r>
      <w:r w:rsidRPr="008012F8">
        <w:t>年</w:t>
      </w:r>
      <w:r w:rsidRPr="008012F8">
        <w:t>10</w:t>
      </w:r>
      <w:r w:rsidRPr="008012F8">
        <w:t>月</w:t>
      </w:r>
      <w:r w:rsidRPr="008012F8">
        <w:t>4</w:t>
      </w:r>
      <w:r w:rsidRPr="008012F8">
        <w:t>日，</w:t>
      </w:r>
      <w:r w:rsidRPr="008012F8">
        <w:rPr>
          <w:rFonts w:ascii="宋体" w:hAnsi="宋体" w:cs="宋体" w:hint="eastAsia"/>
        </w:rPr>
        <w:t>第</w:t>
      </w:r>
      <w:r w:rsidRPr="008012F8">
        <w:t>119</w:t>
      </w:r>
      <w:r w:rsidRPr="008012F8">
        <w:rPr>
          <w:rFonts w:ascii="宋体" w:hAnsi="宋体" w:cs="宋体" w:hint="eastAsia"/>
        </w:rPr>
        <w:t>段，其中提到了</w:t>
      </w:r>
      <w:r w:rsidRPr="00DF5565">
        <w:rPr>
          <w:rFonts w:eastAsia="楷体"/>
        </w:rPr>
        <w:t>Öcalan</w:t>
      </w:r>
      <w:r w:rsidRPr="00DF5565">
        <w:rPr>
          <w:rFonts w:eastAsia="楷体"/>
        </w:rPr>
        <w:t>诉土耳其</w:t>
      </w:r>
      <w:r w:rsidRPr="008012F8">
        <w:t>[</w:t>
      </w:r>
      <w:r w:rsidRPr="008012F8">
        <w:t>大审判庭</w:t>
      </w:r>
      <w:r w:rsidRPr="008012F8">
        <w:t>]</w:t>
      </w:r>
      <w:r w:rsidRPr="008012F8">
        <w:rPr>
          <w:rFonts w:ascii="宋体" w:hAnsi="宋体" w:cs="宋体" w:hint="eastAsia"/>
        </w:rPr>
        <w:t>，第</w:t>
      </w:r>
      <w:r w:rsidRPr="008012F8">
        <w:t>46221/99</w:t>
      </w:r>
      <w:r w:rsidRPr="008012F8">
        <w:rPr>
          <w:rFonts w:ascii="宋体" w:hAnsi="宋体" w:cs="宋体" w:hint="eastAsia"/>
        </w:rPr>
        <w:t>号</w:t>
      </w:r>
      <w:r w:rsidRPr="008012F8">
        <w:t>，</w:t>
      </w:r>
      <w:r w:rsidRPr="008012F8">
        <w:t>2005</w:t>
      </w:r>
      <w:r w:rsidRPr="008012F8">
        <w:rPr>
          <w:rFonts w:ascii="宋体" w:hAnsi="宋体" w:cs="宋体" w:hint="eastAsia"/>
        </w:rPr>
        <w:t>年</w:t>
      </w:r>
      <w:r w:rsidRPr="008012F8">
        <w:t>5</w:t>
      </w:r>
      <w:r w:rsidRPr="008012F8">
        <w:rPr>
          <w:rFonts w:ascii="宋体" w:hAnsi="宋体" w:cs="宋体" w:hint="eastAsia"/>
        </w:rPr>
        <w:t>月</w:t>
      </w:r>
      <w:r w:rsidRPr="008012F8">
        <w:t>12</w:t>
      </w:r>
      <w:r w:rsidRPr="008012F8">
        <w:rPr>
          <w:rFonts w:ascii="宋体" w:hAnsi="宋体" w:cs="宋体" w:hint="eastAsia"/>
        </w:rPr>
        <w:t>日，</w:t>
      </w:r>
      <w:r w:rsidRPr="008012F8">
        <w:t>《</w:t>
      </w:r>
      <w:r w:rsidRPr="008012F8">
        <w:t>2005</w:t>
      </w:r>
      <w:r w:rsidRPr="008012F8">
        <w:t>年欧洲人权法院案例汇编》第四卷，并引用了</w:t>
      </w:r>
      <w:r w:rsidRPr="008012F8">
        <w:rPr>
          <w:rFonts w:eastAsia="楷体"/>
          <w:iCs/>
        </w:rPr>
        <w:t>Soering</w:t>
      </w:r>
      <w:r w:rsidRPr="008012F8">
        <w:rPr>
          <w:rFonts w:eastAsia="楷体"/>
        </w:rPr>
        <w:t>诉联合王国</w:t>
      </w:r>
      <w:r w:rsidRPr="008012F8">
        <w:t>，第</w:t>
      </w:r>
      <w:r w:rsidRPr="008012F8">
        <w:t>14038/88</w:t>
      </w:r>
      <w:r w:rsidRPr="008012F8">
        <w:t>号，</w:t>
      </w:r>
      <w:r w:rsidRPr="008012F8">
        <w:t>1989</w:t>
      </w:r>
      <w:r w:rsidRPr="008012F8">
        <w:t>年</w:t>
      </w:r>
      <w:r w:rsidRPr="008012F8">
        <w:t>7</w:t>
      </w:r>
      <w:r w:rsidRPr="008012F8">
        <w:t>月</w:t>
      </w:r>
      <w:r w:rsidRPr="008012F8">
        <w:t>7</w:t>
      </w:r>
      <w:r w:rsidRPr="008012F8">
        <w:t>日</w:t>
      </w:r>
      <w:r w:rsidRPr="008012F8">
        <w:rPr>
          <w:color w:val="000000"/>
        </w:rPr>
        <w:t>，《欧洲人权法院案例汇编》</w:t>
      </w:r>
      <w:r w:rsidRPr="008012F8">
        <w:rPr>
          <w:color w:val="000000"/>
        </w:rPr>
        <w:t>A</w:t>
      </w:r>
      <w:r w:rsidRPr="008012F8">
        <w:rPr>
          <w:color w:val="000000"/>
        </w:rPr>
        <w:t>辑，第</w:t>
      </w:r>
      <w:r w:rsidRPr="008012F8">
        <w:rPr>
          <w:color w:val="000000"/>
        </w:rPr>
        <w:t>161</w:t>
      </w:r>
      <w:r w:rsidRPr="008012F8">
        <w:rPr>
          <w:color w:val="000000"/>
        </w:rPr>
        <w:t>号。</w:t>
      </w:r>
    </w:p>
  </w:footnote>
  <w:footnote w:id="701">
    <w:p w:rsidR="00AB00DE" w:rsidRPr="008012F8" w:rsidRDefault="00AB00DE" w:rsidP="008D7906">
      <w:pPr>
        <w:pStyle w:val="a4"/>
      </w:pPr>
      <w:r w:rsidRPr="008012F8">
        <w:tab/>
      </w:r>
      <w:r w:rsidRPr="00DF5565">
        <w:rPr>
          <w:rStyle w:val="a5"/>
        </w:rPr>
        <w:footnoteRef/>
      </w:r>
      <w:r w:rsidRPr="008012F8">
        <w:tab/>
      </w:r>
      <w:r w:rsidRPr="00DF5565">
        <w:rPr>
          <w:rFonts w:eastAsia="楷体"/>
        </w:rPr>
        <w:t>Al-Saadoon</w:t>
      </w:r>
      <w:r w:rsidRPr="00DF5565">
        <w:rPr>
          <w:rFonts w:eastAsia="楷体"/>
        </w:rPr>
        <w:t>和</w:t>
      </w:r>
      <w:r w:rsidRPr="00DF5565">
        <w:rPr>
          <w:rFonts w:eastAsia="楷体"/>
        </w:rPr>
        <w:t xml:space="preserve">Mufdhi </w:t>
      </w:r>
      <w:r w:rsidRPr="00DF5565">
        <w:rPr>
          <w:rFonts w:eastAsia="楷体"/>
        </w:rPr>
        <w:t>诉联合王国，</w:t>
      </w:r>
      <w:r w:rsidRPr="008012F8">
        <w:rPr>
          <w:rFonts w:ascii="宋体" w:hAnsi="宋体" w:cs="宋体" w:hint="eastAsia"/>
        </w:rPr>
        <w:t>第</w:t>
      </w:r>
      <w:r w:rsidRPr="008012F8">
        <w:t>61498/08</w:t>
      </w:r>
      <w:r w:rsidRPr="008012F8">
        <w:rPr>
          <w:rFonts w:ascii="宋体" w:hAnsi="宋体" w:cs="宋体" w:hint="eastAsia"/>
        </w:rPr>
        <w:t>号</w:t>
      </w:r>
      <w:r w:rsidRPr="008012F8">
        <w:t>，</w:t>
      </w:r>
      <w:r w:rsidRPr="008012F8">
        <w:t>2010</w:t>
      </w:r>
      <w:r w:rsidRPr="008012F8">
        <w:t>年</w:t>
      </w:r>
      <w:r w:rsidRPr="008012F8">
        <w:t>10</w:t>
      </w:r>
      <w:r w:rsidRPr="008012F8">
        <w:t>月</w:t>
      </w:r>
      <w:r w:rsidRPr="008012F8">
        <w:t>4</w:t>
      </w:r>
      <w:r w:rsidRPr="008012F8">
        <w:t>日，</w:t>
      </w:r>
      <w:r w:rsidRPr="008012F8">
        <w:rPr>
          <w:rFonts w:ascii="宋体" w:hAnsi="宋体" w:cs="宋体" w:hint="eastAsia"/>
        </w:rPr>
        <w:t>第</w:t>
      </w:r>
      <w:r w:rsidRPr="008012F8">
        <w:t>120</w:t>
      </w:r>
      <w:r w:rsidRPr="008012F8">
        <w:rPr>
          <w:rFonts w:ascii="宋体" w:hAnsi="宋体" w:cs="宋体" w:hint="eastAsia"/>
        </w:rPr>
        <w:t>段；</w:t>
      </w:r>
      <w:r w:rsidRPr="008012F8">
        <w:t>B. Malkani,</w:t>
      </w:r>
      <w:r w:rsidRPr="008012F8">
        <w:rPr>
          <w:rFonts w:hint="eastAsia"/>
        </w:rPr>
        <w:t>“</w:t>
      </w:r>
      <w:r w:rsidRPr="008012F8">
        <w:rPr>
          <w:rFonts w:ascii="宋体" w:hAnsi="宋体" w:cs="宋体" w:hint="eastAsia"/>
        </w:rPr>
        <w:t>避免协助使用死刑的义务</w:t>
      </w:r>
      <w:r w:rsidRPr="008012F8">
        <w:rPr>
          <w:rFonts w:hint="eastAsia"/>
        </w:rPr>
        <w:t>”</w:t>
      </w:r>
      <w:r w:rsidRPr="008012F8">
        <w:rPr>
          <w:rFonts w:ascii="宋体" w:hAnsi="宋体" w:cs="宋体" w:hint="eastAsia"/>
        </w:rPr>
        <w:t>，《国际法和比较法季刊》</w:t>
      </w:r>
      <w:r w:rsidRPr="008012F8">
        <w:rPr>
          <w:rFonts w:ascii="宋体" w:hAnsi="宋体" w:cs="宋体" w:hint="eastAsia"/>
          <w:i/>
        </w:rPr>
        <w:t>，</w:t>
      </w:r>
      <w:r w:rsidRPr="008012F8">
        <w:rPr>
          <w:rFonts w:ascii="宋体" w:hAnsi="宋体" w:cs="宋体" w:hint="eastAsia"/>
        </w:rPr>
        <w:t>第</w:t>
      </w:r>
      <w:r w:rsidRPr="008012F8">
        <w:t>62</w:t>
      </w:r>
      <w:r w:rsidRPr="008012F8">
        <w:rPr>
          <w:rFonts w:ascii="宋体" w:hAnsi="宋体" w:cs="宋体" w:hint="eastAsia"/>
        </w:rPr>
        <w:t>卷，第</w:t>
      </w:r>
      <w:r w:rsidRPr="008012F8">
        <w:t>3</w:t>
      </w:r>
      <w:r w:rsidRPr="008012F8">
        <w:rPr>
          <w:rFonts w:ascii="宋体" w:hAnsi="宋体" w:cs="宋体" w:hint="eastAsia"/>
        </w:rPr>
        <w:t>号</w:t>
      </w:r>
      <w:r w:rsidRPr="008012F8">
        <w:t>(2013</w:t>
      </w:r>
      <w:r w:rsidRPr="008012F8">
        <w:t>年</w:t>
      </w:r>
      <w:r w:rsidRPr="008012F8">
        <w:t>)</w:t>
      </w:r>
      <w:r w:rsidRPr="008012F8">
        <w:rPr>
          <w:rFonts w:ascii="宋体" w:hAnsi="宋体" w:cs="宋体" w:hint="eastAsia"/>
        </w:rPr>
        <w:t>，第</w:t>
      </w:r>
      <w:r w:rsidRPr="008012F8">
        <w:t>523-556</w:t>
      </w:r>
      <w:r w:rsidRPr="008012F8">
        <w:rPr>
          <w:rFonts w:ascii="宋体" w:hAnsi="宋体" w:cs="宋体" w:hint="eastAsia"/>
        </w:rPr>
        <w:t>页。</w:t>
      </w:r>
    </w:p>
  </w:footnote>
  <w:footnote w:id="702">
    <w:p w:rsidR="00AB00DE" w:rsidRPr="008012F8" w:rsidRDefault="00AB00DE" w:rsidP="00560424">
      <w:pPr>
        <w:pStyle w:val="a4"/>
      </w:pPr>
      <w:r w:rsidRPr="008012F8">
        <w:tab/>
      </w:r>
      <w:r w:rsidRPr="00DF5565">
        <w:rPr>
          <w:rStyle w:val="a5"/>
        </w:rPr>
        <w:footnoteRef/>
      </w:r>
      <w:r w:rsidRPr="008012F8">
        <w:tab/>
      </w:r>
      <w:r w:rsidRPr="008012F8">
        <w:t>见</w:t>
      </w:r>
      <w:r w:rsidRPr="008012F8">
        <w:t>Buga,</w:t>
      </w:r>
      <w:r w:rsidRPr="008012F8">
        <w:rPr>
          <w:rFonts w:hint="eastAsia"/>
        </w:rPr>
        <w:t>“</w:t>
      </w:r>
      <w:r w:rsidRPr="008012F8">
        <w:rPr>
          <w:rFonts w:ascii="宋体" w:hAnsi="宋体" w:cs="宋体" w:hint="eastAsia"/>
        </w:rPr>
        <w:t>嗣后惯例与条约修改</w:t>
      </w:r>
      <w:r w:rsidRPr="008012F8">
        <w:rPr>
          <w:rFonts w:hint="eastAsia"/>
        </w:rPr>
        <w:t>”</w:t>
      </w:r>
      <w:r w:rsidRPr="003A67B6">
        <w:rPr>
          <w:rFonts w:asciiTheme="majorBidi" w:hAnsiTheme="majorBidi" w:cstheme="majorBidi"/>
        </w:rPr>
        <w:t>(</w:t>
      </w:r>
      <w:r w:rsidRPr="003A67B6">
        <w:rPr>
          <w:rFonts w:asciiTheme="majorBidi" w:hAnsiTheme="majorBidi" w:cstheme="majorBidi"/>
        </w:rPr>
        <w:t>上文脚注</w:t>
      </w:r>
      <w:r>
        <w:rPr>
          <w:rFonts w:asciiTheme="majorBidi" w:hAnsiTheme="majorBidi" w:cstheme="majorBidi"/>
        </w:rPr>
        <w:fldChar w:fldCharType="begin"/>
      </w:r>
      <w:r>
        <w:rPr>
          <w:rFonts w:asciiTheme="majorBidi" w:hAnsiTheme="majorBidi" w:cstheme="majorBidi"/>
        </w:rPr>
        <w:instrText xml:space="preserve"> NOTEREF _Ref461976188 \h </w:instrText>
      </w:r>
      <w:r>
        <w:rPr>
          <w:rFonts w:asciiTheme="majorBidi" w:hAnsiTheme="majorBidi" w:cstheme="majorBidi"/>
        </w:rPr>
      </w:r>
      <w:r>
        <w:rPr>
          <w:rFonts w:asciiTheme="majorBidi" w:hAnsiTheme="majorBidi" w:cstheme="majorBidi"/>
        </w:rPr>
        <w:fldChar w:fldCharType="separate"/>
      </w:r>
      <w:r w:rsidR="00A73EB9">
        <w:rPr>
          <w:rFonts w:asciiTheme="majorBidi" w:hAnsiTheme="majorBidi" w:cstheme="majorBidi"/>
        </w:rPr>
        <w:t>683</w:t>
      </w:r>
      <w:r>
        <w:rPr>
          <w:rFonts w:asciiTheme="majorBidi" w:hAnsiTheme="majorBidi" w:cstheme="majorBidi"/>
        </w:rPr>
        <w:fldChar w:fldCharType="end"/>
      </w:r>
      <w:r w:rsidRPr="003A67B6">
        <w:rPr>
          <w:rFonts w:asciiTheme="majorBidi" w:hAnsiTheme="majorBidi" w:cstheme="majorBidi"/>
        </w:rPr>
        <w:t>)</w:t>
      </w:r>
      <w:r w:rsidRPr="008012F8">
        <w:rPr>
          <w:rFonts w:ascii="宋体" w:hAnsi="宋体" w:cs="宋体" w:hint="eastAsia"/>
        </w:rPr>
        <w:t>，见脚注</w:t>
      </w:r>
      <w:r w:rsidRPr="008012F8">
        <w:t>126-132</w:t>
      </w:r>
      <w:r w:rsidRPr="008012F8">
        <w:t>。</w:t>
      </w:r>
    </w:p>
  </w:footnote>
  <w:footnote w:id="703">
    <w:p w:rsidR="00AB00DE" w:rsidRPr="008012F8" w:rsidRDefault="00AB00DE" w:rsidP="008D7906">
      <w:pPr>
        <w:pStyle w:val="a4"/>
      </w:pPr>
      <w:r w:rsidRPr="008012F8">
        <w:tab/>
      </w:r>
      <w:r w:rsidRPr="00DF5565">
        <w:rPr>
          <w:rStyle w:val="a5"/>
        </w:rPr>
        <w:footnoteRef/>
      </w:r>
      <w:r w:rsidRPr="008012F8">
        <w:tab/>
      </w:r>
      <w:r w:rsidRPr="008012F8">
        <w:t>见</w:t>
      </w:r>
      <w:r w:rsidRPr="00DF5565">
        <w:rPr>
          <w:rFonts w:eastAsia="楷体"/>
        </w:rPr>
        <w:t>喀麦隆和尼日利亚间陆地和海洋疆界案</w:t>
      </w:r>
      <w:r w:rsidRPr="00DF5565">
        <w:rPr>
          <w:rFonts w:eastAsia="楷体"/>
        </w:rPr>
        <w:t>(</w:t>
      </w:r>
      <w:r w:rsidRPr="00DF5565">
        <w:rPr>
          <w:rFonts w:eastAsia="楷体"/>
        </w:rPr>
        <w:t>喀麦隆诉尼日利亚：赤道几内亚参与诉讼</w:t>
      </w:r>
      <w:r w:rsidRPr="00DF5565">
        <w:rPr>
          <w:rFonts w:eastAsia="楷体"/>
        </w:rPr>
        <w:t>)</w:t>
      </w:r>
      <w:r w:rsidRPr="008012F8">
        <w:rPr>
          <w:rFonts w:ascii="宋体" w:hAnsi="宋体" w:cs="宋体" w:hint="eastAsia"/>
        </w:rPr>
        <w:t>，</w:t>
      </w:r>
      <w:r w:rsidRPr="008012F8">
        <w:rPr>
          <w:rFonts w:ascii="Time New Roman" w:eastAsia="楷体" w:hAnsi="Time New Roman" w:cs="宋体" w:hint="eastAsia"/>
        </w:rPr>
        <w:t>判决</w:t>
      </w:r>
      <w:r w:rsidRPr="008012F8">
        <w:rPr>
          <w:rFonts w:ascii="宋体" w:hAnsi="宋体" w:cs="宋体" w:hint="eastAsia"/>
        </w:rPr>
        <w:t>，《</w:t>
      </w:r>
      <w:r w:rsidRPr="008012F8">
        <w:t>2002</w:t>
      </w:r>
      <w:r w:rsidRPr="008012F8">
        <w:rPr>
          <w:rFonts w:ascii="宋体" w:hAnsi="宋体" w:cs="宋体" w:hint="eastAsia"/>
        </w:rPr>
        <w:t>年国际法院案例汇编》，第</w:t>
      </w:r>
      <w:r w:rsidRPr="008012F8">
        <w:t>303</w:t>
      </w:r>
      <w:r w:rsidRPr="008012F8">
        <w:rPr>
          <w:rFonts w:ascii="宋体" w:hAnsi="宋体" w:cs="宋体" w:hint="eastAsia"/>
        </w:rPr>
        <w:t>页起，见第</w:t>
      </w:r>
      <w:r w:rsidRPr="008012F8">
        <w:t>353</w:t>
      </w:r>
      <w:r w:rsidRPr="008012F8">
        <w:rPr>
          <w:rFonts w:ascii="宋体" w:hAnsi="宋体" w:cs="宋体" w:hint="eastAsia"/>
        </w:rPr>
        <w:t>页，第</w:t>
      </w:r>
      <w:r w:rsidRPr="008012F8">
        <w:t>68</w:t>
      </w:r>
      <w:r w:rsidRPr="008012F8">
        <w:rPr>
          <w:rFonts w:ascii="宋体" w:hAnsi="宋体" w:cs="宋体" w:hint="eastAsia"/>
        </w:rPr>
        <w:t>段。</w:t>
      </w:r>
    </w:p>
  </w:footnote>
  <w:footnote w:id="704">
    <w:p w:rsidR="00AB00DE" w:rsidRPr="008012F8" w:rsidRDefault="00AB00DE" w:rsidP="008D7906">
      <w:pPr>
        <w:pStyle w:val="a4"/>
      </w:pPr>
      <w:r w:rsidRPr="008012F8">
        <w:tab/>
      </w:r>
      <w:r w:rsidRPr="00DF5565">
        <w:rPr>
          <w:rStyle w:val="a5"/>
        </w:rPr>
        <w:footnoteRef/>
      </w:r>
      <w:r w:rsidRPr="008012F8">
        <w:tab/>
      </w:r>
      <w:hyperlink r:id="rId84" w:history="1">
        <w:r w:rsidRPr="00EA258E">
          <w:rPr>
            <w:rStyle w:val="af"/>
          </w:rPr>
          <w:t>A/CN.4/671</w:t>
        </w:r>
      </w:hyperlink>
      <w:r w:rsidRPr="00EA258E">
        <w:t xml:space="preserve">, </w:t>
      </w:r>
      <w:r w:rsidRPr="00EA258E">
        <w:rPr>
          <w:rFonts w:ascii="宋体" w:hAnsi="宋体" w:cs="宋体" w:hint="eastAsia"/>
        </w:rPr>
        <w:t>第</w:t>
      </w:r>
      <w:r w:rsidRPr="00EA258E">
        <w:t>11</w:t>
      </w:r>
      <w:r w:rsidRPr="008012F8">
        <w:t>9-121</w:t>
      </w:r>
      <w:r w:rsidRPr="008012F8">
        <w:rPr>
          <w:rFonts w:ascii="宋体" w:hAnsi="宋体" w:cs="宋体" w:hint="eastAsia"/>
        </w:rPr>
        <w:t>段。</w:t>
      </w:r>
    </w:p>
  </w:footnote>
  <w:footnote w:id="705">
    <w:p w:rsidR="00AB00DE" w:rsidRPr="008012F8" w:rsidRDefault="00AB00DE" w:rsidP="00560424">
      <w:pPr>
        <w:pStyle w:val="a4"/>
      </w:pPr>
      <w:r w:rsidRPr="008012F8">
        <w:tab/>
      </w:r>
      <w:r w:rsidRPr="00DF5565">
        <w:rPr>
          <w:rStyle w:val="a5"/>
        </w:rPr>
        <w:footnoteRef/>
      </w:r>
      <w:r w:rsidRPr="008012F8">
        <w:tab/>
        <w:t>Murphy,</w:t>
      </w:r>
      <w:r w:rsidRPr="008012F8">
        <w:rPr>
          <w:rFonts w:hint="eastAsia"/>
        </w:rPr>
        <w:t>“</w:t>
      </w:r>
      <w:r w:rsidRPr="008012F8">
        <w:rPr>
          <w:rFonts w:ascii="宋体" w:hAnsi="宋体" w:cs="宋体" w:hint="eastAsia"/>
        </w:rPr>
        <w:t>嗣后协定和嗣后惯例</w:t>
      </w:r>
      <w:r w:rsidRPr="008012F8">
        <w:rPr>
          <w:rFonts w:hint="eastAsia"/>
        </w:rPr>
        <w:t>……</w:t>
      </w:r>
      <w:r w:rsidRPr="008012F8">
        <w:rPr>
          <w:rFonts w:ascii="宋体" w:hAnsi="宋体" w:cs="宋体" w:hint="eastAsia"/>
        </w:rPr>
        <w:t>的作用</w:t>
      </w:r>
      <w:r w:rsidRPr="008012F8">
        <w:rPr>
          <w:rFonts w:hint="eastAsia"/>
        </w:rPr>
        <w:t>”</w:t>
      </w:r>
      <w:r w:rsidRPr="008012F8">
        <w:t>(</w:t>
      </w:r>
      <w:r w:rsidRPr="00EA258E">
        <w:rPr>
          <w:rFonts w:asciiTheme="majorBidi" w:hAnsiTheme="majorBidi" w:cstheme="majorBidi"/>
        </w:rPr>
        <w:t>上文脚注</w:t>
      </w:r>
      <w:r>
        <w:rPr>
          <w:rFonts w:asciiTheme="majorBidi" w:hAnsiTheme="majorBidi" w:cstheme="majorBidi"/>
        </w:rPr>
        <w:fldChar w:fldCharType="begin"/>
      </w:r>
      <w:r>
        <w:rPr>
          <w:rFonts w:asciiTheme="majorBidi" w:hAnsiTheme="majorBidi" w:cstheme="majorBidi"/>
        </w:rPr>
        <w:instrText xml:space="preserve"> NOTEREF _Ref461973633 \h </w:instrText>
      </w:r>
      <w:r>
        <w:rPr>
          <w:rFonts w:asciiTheme="majorBidi" w:hAnsiTheme="majorBidi" w:cstheme="majorBidi"/>
        </w:rPr>
      </w:r>
      <w:r>
        <w:rPr>
          <w:rFonts w:asciiTheme="majorBidi" w:hAnsiTheme="majorBidi" w:cstheme="majorBidi"/>
        </w:rPr>
        <w:fldChar w:fldCharType="separate"/>
      </w:r>
      <w:r w:rsidR="00A73EB9">
        <w:rPr>
          <w:rFonts w:asciiTheme="majorBidi" w:hAnsiTheme="majorBidi" w:cstheme="majorBidi"/>
        </w:rPr>
        <w:t>642</w:t>
      </w:r>
      <w:r>
        <w:rPr>
          <w:rFonts w:asciiTheme="majorBidi" w:hAnsiTheme="majorBidi" w:cstheme="majorBidi"/>
        </w:rPr>
        <w:fldChar w:fldCharType="end"/>
      </w:r>
      <w:r w:rsidRPr="00EA258E">
        <w:rPr>
          <w:rFonts w:asciiTheme="majorBidi" w:hAnsiTheme="majorBidi" w:cstheme="majorBidi"/>
        </w:rPr>
        <w:t>)</w:t>
      </w:r>
      <w:r w:rsidRPr="008012F8">
        <w:rPr>
          <w:rFonts w:ascii="宋体" w:hAnsi="宋体" w:cs="宋体" w:hint="eastAsia"/>
        </w:rPr>
        <w:t>，第</w:t>
      </w:r>
      <w:r w:rsidRPr="008012F8">
        <w:t>89</w:t>
      </w:r>
      <w:r w:rsidRPr="008012F8">
        <w:rPr>
          <w:rFonts w:ascii="宋体" w:hAnsi="宋体" w:cs="宋体" w:hint="eastAsia"/>
        </w:rPr>
        <w:t>页；</w:t>
      </w:r>
      <w:r w:rsidRPr="008012F8">
        <w:t>Simma,</w:t>
      </w:r>
      <w:r w:rsidRPr="008012F8">
        <w:rPr>
          <w:rFonts w:hint="eastAsia"/>
        </w:rPr>
        <w:t>“</w:t>
      </w:r>
      <w:r w:rsidRPr="008012F8">
        <w:rPr>
          <w:rFonts w:ascii="宋体" w:hAnsi="宋体" w:cs="宋体" w:hint="eastAsia"/>
        </w:rPr>
        <w:t>关于嗣后协定</w:t>
      </w:r>
      <w:r w:rsidRPr="008012F8">
        <w:rPr>
          <w:rFonts w:hint="eastAsia"/>
        </w:rPr>
        <w:t>……</w:t>
      </w:r>
      <w:r w:rsidRPr="008012F8">
        <w:rPr>
          <w:rFonts w:ascii="宋体" w:hAnsi="宋体" w:cs="宋体" w:hint="eastAsia"/>
        </w:rPr>
        <w:t>的思考</w:t>
      </w:r>
      <w:r w:rsidRPr="008012F8">
        <w:rPr>
          <w:rFonts w:hint="eastAsia"/>
        </w:rPr>
        <w:t>”</w:t>
      </w:r>
      <w:r w:rsidRPr="008012F8">
        <w:t>(</w:t>
      </w:r>
      <w:r w:rsidRPr="008012F8">
        <w:rPr>
          <w:rFonts w:ascii="宋体" w:hAnsi="宋体" w:cs="宋体" w:hint="eastAsia"/>
        </w:rPr>
        <w:t>上文脚注</w:t>
      </w:r>
      <w:r w:rsidRPr="00560424">
        <w:rPr>
          <w:rFonts w:asciiTheme="majorBidi" w:hAnsiTheme="majorBidi" w:cstheme="majorBidi"/>
        </w:rPr>
        <w:fldChar w:fldCharType="begin"/>
      </w:r>
      <w:r w:rsidRPr="00560424">
        <w:rPr>
          <w:rFonts w:asciiTheme="majorBidi" w:hAnsiTheme="majorBidi" w:cstheme="majorBidi"/>
        </w:rPr>
        <w:instrText xml:space="preserve"> NOTEREF _Ref461976352 \h </w:instrText>
      </w:r>
      <w:r>
        <w:rPr>
          <w:rFonts w:asciiTheme="majorBidi" w:hAnsiTheme="majorBidi" w:cstheme="majorBidi"/>
        </w:rPr>
        <w:instrText xml:space="preserve"> \* MERGEFORMAT </w:instrText>
      </w:r>
      <w:r w:rsidRPr="00560424">
        <w:rPr>
          <w:rFonts w:asciiTheme="majorBidi" w:hAnsiTheme="majorBidi" w:cstheme="majorBidi"/>
        </w:rPr>
      </w:r>
      <w:r w:rsidRPr="00560424">
        <w:rPr>
          <w:rFonts w:asciiTheme="majorBidi" w:hAnsiTheme="majorBidi" w:cstheme="majorBidi"/>
        </w:rPr>
        <w:fldChar w:fldCharType="separate"/>
      </w:r>
      <w:r w:rsidR="00A73EB9">
        <w:rPr>
          <w:rFonts w:asciiTheme="majorBidi" w:hAnsiTheme="majorBidi" w:cstheme="majorBidi"/>
        </w:rPr>
        <w:t>686</w:t>
      </w:r>
      <w:r w:rsidRPr="00560424">
        <w:rPr>
          <w:rFonts w:asciiTheme="majorBidi" w:hAnsiTheme="majorBidi" w:cstheme="majorBidi"/>
        </w:rPr>
        <w:fldChar w:fldCharType="end"/>
      </w:r>
      <w:r w:rsidRPr="008012F8">
        <w:t>)</w:t>
      </w:r>
      <w:r w:rsidRPr="008012F8">
        <w:rPr>
          <w:rFonts w:ascii="宋体" w:hAnsi="宋体" w:cs="宋体" w:hint="eastAsia"/>
        </w:rPr>
        <w:t>，第</w:t>
      </w:r>
      <w:r w:rsidRPr="008012F8">
        <w:t>47</w:t>
      </w:r>
      <w:r w:rsidRPr="008012F8">
        <w:rPr>
          <w:rFonts w:ascii="宋体" w:hAnsi="宋体" w:cs="宋体" w:hint="eastAsia"/>
        </w:rPr>
        <w:t>页；</w:t>
      </w:r>
      <w:r w:rsidRPr="008012F8">
        <w:t xml:space="preserve">Hafner, </w:t>
      </w:r>
      <w:r w:rsidRPr="008012F8">
        <w:rPr>
          <w:rFonts w:ascii="宋体" w:hAnsi="宋体" w:cs="宋体" w:hint="eastAsia"/>
        </w:rPr>
        <w:t>《嗣后协定和惯例</w:t>
      </w:r>
      <w:r w:rsidRPr="008012F8">
        <w:rPr>
          <w:rFonts w:hint="eastAsia"/>
        </w:rPr>
        <w:t>……</w:t>
      </w:r>
      <w:r w:rsidRPr="008012F8">
        <w:t>.</w:t>
      </w:r>
      <w:r w:rsidRPr="008012F8">
        <w:rPr>
          <w:rFonts w:ascii="宋体" w:hAnsi="宋体" w:cs="宋体" w:hint="eastAsia"/>
        </w:rPr>
        <w:t>》</w:t>
      </w:r>
      <w:r w:rsidRPr="008012F8">
        <w:t>(</w:t>
      </w:r>
      <w:r>
        <w:rPr>
          <w:rFonts w:ascii="宋体" w:hAnsi="宋体" w:cs="宋体" w:hint="eastAsia"/>
        </w:rPr>
        <w:t>见</w:t>
      </w:r>
      <w:r w:rsidRPr="008012F8">
        <w:rPr>
          <w:rFonts w:ascii="宋体" w:hAnsi="宋体" w:cs="宋体" w:hint="eastAsia"/>
        </w:rPr>
        <w:t>上文</w:t>
      </w:r>
      <w:r w:rsidRPr="00EA258E">
        <w:rPr>
          <w:rFonts w:asciiTheme="majorBidi" w:hAnsiTheme="majorBidi" w:cstheme="majorBidi" w:hint="eastAsia"/>
        </w:rPr>
        <w:t>脚注</w:t>
      </w:r>
      <w:r>
        <w:rPr>
          <w:rFonts w:asciiTheme="majorBidi" w:hAnsiTheme="majorBidi" w:cstheme="majorBidi"/>
        </w:rPr>
        <w:fldChar w:fldCharType="begin"/>
      </w:r>
      <w:r>
        <w:rPr>
          <w:rFonts w:asciiTheme="majorBidi" w:hAnsiTheme="majorBidi" w:cstheme="majorBidi"/>
        </w:rPr>
        <w:instrText xml:space="preserve"> </w:instrText>
      </w:r>
      <w:r>
        <w:rPr>
          <w:rFonts w:asciiTheme="majorBidi" w:hAnsiTheme="majorBidi" w:cstheme="majorBidi" w:hint="eastAsia"/>
        </w:rPr>
        <w:instrText>NOTEREF _Ref461976124 \h</w:instrText>
      </w:r>
      <w:r>
        <w:rPr>
          <w:rFonts w:asciiTheme="majorBidi" w:hAnsiTheme="majorBidi" w:cstheme="majorBidi"/>
        </w:rPr>
        <w:instrText xml:space="preserve"> </w:instrText>
      </w:r>
      <w:r>
        <w:rPr>
          <w:rFonts w:asciiTheme="majorBidi" w:hAnsiTheme="majorBidi" w:cstheme="majorBidi"/>
        </w:rPr>
      </w:r>
      <w:r>
        <w:rPr>
          <w:rFonts w:asciiTheme="majorBidi" w:hAnsiTheme="majorBidi" w:cstheme="majorBidi"/>
        </w:rPr>
        <w:fldChar w:fldCharType="separate"/>
      </w:r>
      <w:r w:rsidR="00A73EB9">
        <w:rPr>
          <w:rFonts w:asciiTheme="majorBidi" w:hAnsiTheme="majorBidi" w:cstheme="majorBidi"/>
        </w:rPr>
        <w:t>655</w:t>
      </w:r>
      <w:r>
        <w:rPr>
          <w:rFonts w:asciiTheme="majorBidi" w:hAnsiTheme="majorBidi" w:cstheme="majorBidi"/>
        </w:rPr>
        <w:fldChar w:fldCharType="end"/>
      </w:r>
      <w:r w:rsidRPr="00EA258E">
        <w:rPr>
          <w:rFonts w:asciiTheme="majorBidi" w:hAnsiTheme="majorBidi" w:cstheme="majorBidi" w:hint="eastAsia"/>
        </w:rPr>
        <w:t>)</w:t>
      </w:r>
      <w:r w:rsidRPr="008012F8">
        <w:rPr>
          <w:rFonts w:ascii="宋体" w:hAnsi="宋体" w:cs="宋体" w:hint="eastAsia"/>
        </w:rPr>
        <w:t>，第</w:t>
      </w:r>
      <w:r w:rsidRPr="008012F8">
        <w:t>115-117</w:t>
      </w:r>
      <w:r w:rsidRPr="008012F8">
        <w:rPr>
          <w:rFonts w:ascii="宋体" w:hAnsi="宋体" w:cs="宋体" w:hint="eastAsia"/>
        </w:rPr>
        <w:t>页；</w:t>
      </w:r>
      <w:r w:rsidRPr="008012F8">
        <w:t>J.E. Alvarez,</w:t>
      </w:r>
      <w:r w:rsidRPr="008012F8">
        <w:rPr>
          <w:rFonts w:hint="eastAsia"/>
        </w:rPr>
        <w:t>“</w:t>
      </w:r>
      <w:r w:rsidRPr="008012F8">
        <w:rPr>
          <w:rFonts w:ascii="宋体" w:hAnsi="宋体" w:cs="宋体" w:hint="eastAsia"/>
        </w:rPr>
        <w:t>通过嗣后协定和惯例修改条约的限制</w:t>
      </w:r>
      <w:r w:rsidRPr="008012F8">
        <w:rPr>
          <w:rFonts w:hint="eastAsia"/>
        </w:rPr>
        <w:t>”</w:t>
      </w:r>
      <w:r w:rsidRPr="008012F8">
        <w:rPr>
          <w:rFonts w:ascii="宋体" w:hAnsi="宋体" w:cs="宋体" w:hint="eastAsia"/>
        </w:rPr>
        <w:t>，载于</w:t>
      </w:r>
      <w:r w:rsidRPr="008012F8">
        <w:t>诺尔特</w:t>
      </w:r>
      <w:r w:rsidRPr="008012F8">
        <w:t xml:space="preserve">, </w:t>
      </w:r>
      <w:r w:rsidRPr="008012F8">
        <w:rPr>
          <w:rFonts w:ascii="宋体" w:hAnsi="宋体" w:cs="宋体" w:hint="eastAsia"/>
        </w:rPr>
        <w:t>《条约和嗣后惯例》</w:t>
      </w:r>
      <w:r w:rsidRPr="00EA258E">
        <w:rPr>
          <w:rFonts w:asciiTheme="majorBidi" w:hAnsiTheme="majorBidi" w:cstheme="majorBidi"/>
        </w:rPr>
        <w:t>(</w:t>
      </w:r>
      <w:r w:rsidRPr="00EA258E">
        <w:rPr>
          <w:rFonts w:asciiTheme="majorBidi" w:hAnsiTheme="majorBidi" w:cstheme="majorBidi"/>
        </w:rPr>
        <w:t>见上文脚注</w:t>
      </w:r>
      <w:r>
        <w:rPr>
          <w:lang w:val="zh-CN"/>
        </w:rPr>
        <w:fldChar w:fldCharType="begin"/>
      </w:r>
      <w:r>
        <w:rPr>
          <w:lang w:val="zh-CN"/>
        </w:rPr>
        <w:instrText xml:space="preserve"> NOTEREF _Ref461973084 \h </w:instrText>
      </w:r>
      <w:r>
        <w:rPr>
          <w:lang w:val="zh-CN"/>
        </w:rPr>
      </w:r>
      <w:r>
        <w:rPr>
          <w:lang w:val="zh-CN"/>
        </w:rPr>
        <w:fldChar w:fldCharType="separate"/>
      </w:r>
      <w:r w:rsidR="00A73EB9">
        <w:rPr>
          <w:lang w:val="zh-CN"/>
        </w:rPr>
        <w:t>398</w:t>
      </w:r>
      <w:r>
        <w:rPr>
          <w:lang w:val="zh-CN"/>
        </w:rPr>
        <w:fldChar w:fldCharType="end"/>
      </w:r>
      <w:r w:rsidRPr="00EA258E">
        <w:rPr>
          <w:rFonts w:asciiTheme="majorBidi" w:hAnsiTheme="majorBidi" w:cstheme="majorBidi"/>
        </w:rPr>
        <w:t>)</w:t>
      </w:r>
      <w:r w:rsidRPr="008012F8">
        <w:rPr>
          <w:rFonts w:ascii="宋体" w:hAnsi="宋体" w:cs="宋体" w:hint="eastAsia"/>
        </w:rPr>
        <w:t>，第</w:t>
      </w:r>
      <w:r w:rsidRPr="008012F8">
        <w:t>130</w:t>
      </w:r>
      <w:r w:rsidRPr="008012F8">
        <w:rPr>
          <w:rFonts w:ascii="宋体" w:hAnsi="宋体" w:cs="宋体" w:hint="eastAsia"/>
        </w:rPr>
        <w:t>页。</w:t>
      </w:r>
    </w:p>
  </w:footnote>
  <w:footnote w:id="706">
    <w:p w:rsidR="00AB00DE" w:rsidRPr="008012F8" w:rsidRDefault="00AB00DE" w:rsidP="00267AB1">
      <w:pPr>
        <w:pStyle w:val="a4"/>
      </w:pPr>
      <w:r w:rsidRPr="008012F8">
        <w:tab/>
      </w:r>
      <w:r w:rsidRPr="00DF5565">
        <w:rPr>
          <w:rStyle w:val="a5"/>
        </w:rPr>
        <w:footnoteRef/>
      </w:r>
      <w:r w:rsidRPr="008012F8">
        <w:tab/>
      </w:r>
      <w:r w:rsidRPr="008012F8">
        <w:rPr>
          <w:rFonts w:ascii="宋体" w:hAnsi="宋体" w:cs="宋体" w:hint="eastAsia"/>
        </w:rPr>
        <w:t>见</w:t>
      </w:r>
      <w:r w:rsidRPr="00DF5565">
        <w:rPr>
          <w:rFonts w:eastAsia="楷体"/>
        </w:rPr>
        <w:t>北约战略概念案</w:t>
      </w:r>
      <w:r w:rsidRPr="008012F8">
        <w:rPr>
          <w:rFonts w:ascii="宋体" w:hAnsi="宋体" w:cs="宋体" w:hint="eastAsia"/>
        </w:rPr>
        <w:t>，德国联邦宪法法院，</w:t>
      </w:r>
      <w:r w:rsidRPr="008012F8">
        <w:t>2001</w:t>
      </w:r>
      <w:r w:rsidRPr="008012F8">
        <w:rPr>
          <w:rFonts w:ascii="宋体" w:hAnsi="宋体" w:cs="宋体" w:hint="eastAsia"/>
        </w:rPr>
        <w:t>年</w:t>
      </w:r>
      <w:r w:rsidRPr="008012F8">
        <w:t>6</w:t>
      </w:r>
      <w:r w:rsidRPr="008012F8">
        <w:rPr>
          <w:rFonts w:ascii="宋体" w:hAnsi="宋体" w:cs="宋体" w:hint="eastAsia"/>
        </w:rPr>
        <w:t>月</w:t>
      </w:r>
      <w:r w:rsidRPr="008012F8">
        <w:t>19</w:t>
      </w:r>
      <w:r w:rsidRPr="008012F8">
        <w:rPr>
          <w:rFonts w:ascii="宋体" w:hAnsi="宋体" w:cs="宋体" w:hint="eastAsia"/>
        </w:rPr>
        <w:t>日的判决，申诉号</w:t>
      </w:r>
      <w:r w:rsidRPr="008012F8">
        <w:t>2 BvE 6/99(</w:t>
      </w:r>
      <w:r w:rsidRPr="008012F8">
        <w:rPr>
          <w:rFonts w:ascii="宋体" w:hAnsi="宋体" w:cs="宋体" w:hint="eastAsia"/>
        </w:rPr>
        <w:t>英文译文见：</w:t>
      </w:r>
      <w:r w:rsidRPr="008012F8">
        <w:t>www.bundesverfassungsgericht.de/entscheidungen/es20011122_2bve000699en.html)</w:t>
      </w:r>
      <w:r w:rsidRPr="008012F8">
        <w:t>，第</w:t>
      </w:r>
      <w:r w:rsidRPr="008012F8">
        <w:t>19-21</w:t>
      </w:r>
      <w:r w:rsidRPr="008012F8">
        <w:t>段；德国联邦财政法院，</w:t>
      </w:r>
      <w:r w:rsidRPr="008012F8">
        <w:t xml:space="preserve">BFHE, </w:t>
      </w:r>
      <w:r w:rsidRPr="008012F8">
        <w:rPr>
          <w:rFonts w:hint="eastAsia"/>
        </w:rPr>
        <w:t>第</w:t>
      </w:r>
      <w:r w:rsidRPr="008012F8">
        <w:t>157</w:t>
      </w:r>
      <w:r w:rsidRPr="008012F8">
        <w:rPr>
          <w:rFonts w:hint="eastAsia"/>
        </w:rPr>
        <w:t>卷，第</w:t>
      </w:r>
      <w:r w:rsidRPr="008012F8">
        <w:t>39</w:t>
      </w:r>
      <w:r w:rsidRPr="008012F8">
        <w:rPr>
          <w:rFonts w:hint="eastAsia"/>
        </w:rPr>
        <w:t>页起，见第</w:t>
      </w:r>
      <w:r w:rsidRPr="008012F8">
        <w:t>43-44</w:t>
      </w:r>
      <w:r w:rsidRPr="008012F8">
        <w:rPr>
          <w:rFonts w:hint="eastAsia"/>
        </w:rPr>
        <w:t>页；同上，第</w:t>
      </w:r>
      <w:r w:rsidRPr="008012F8">
        <w:t>227</w:t>
      </w:r>
      <w:r w:rsidRPr="008012F8">
        <w:rPr>
          <w:rFonts w:hint="eastAsia"/>
        </w:rPr>
        <w:t>卷，第</w:t>
      </w:r>
      <w:r w:rsidRPr="008012F8">
        <w:t>419</w:t>
      </w:r>
      <w:r w:rsidRPr="008012F8">
        <w:rPr>
          <w:rFonts w:hint="eastAsia"/>
        </w:rPr>
        <w:t>起，见第</w:t>
      </w:r>
      <w:r w:rsidRPr="008012F8">
        <w:t>426</w:t>
      </w:r>
      <w:r w:rsidRPr="008012F8">
        <w:rPr>
          <w:rFonts w:hint="eastAsia"/>
        </w:rPr>
        <w:t>页；同上，第</w:t>
      </w:r>
      <w:r w:rsidRPr="008012F8">
        <w:t>181</w:t>
      </w:r>
      <w:r w:rsidRPr="008012F8">
        <w:rPr>
          <w:rFonts w:hint="eastAsia"/>
        </w:rPr>
        <w:t>卷，第</w:t>
      </w:r>
      <w:r w:rsidRPr="008012F8">
        <w:t>158</w:t>
      </w:r>
      <w:r w:rsidRPr="008012F8">
        <w:rPr>
          <w:rFonts w:hint="eastAsia"/>
        </w:rPr>
        <w:t>页起，见第</w:t>
      </w:r>
      <w:r w:rsidRPr="008012F8">
        <w:t>161</w:t>
      </w:r>
      <w:r w:rsidRPr="008012F8">
        <w:rPr>
          <w:rFonts w:hint="eastAsia"/>
        </w:rPr>
        <w:t>页；</w:t>
      </w:r>
      <w:r w:rsidRPr="008012F8">
        <w:t>S. Kadelbach,</w:t>
      </w:r>
      <w:r w:rsidRPr="008012F8">
        <w:rPr>
          <w:rFonts w:hint="eastAsia"/>
        </w:rPr>
        <w:t>“</w:t>
      </w:r>
      <w:r w:rsidRPr="008012F8">
        <w:t>与国际上使用嗣后协定和惯例有关的国内宪法问题</w:t>
      </w:r>
      <w:r w:rsidRPr="008012F8">
        <w:rPr>
          <w:rFonts w:hint="eastAsia"/>
        </w:rPr>
        <w:t>”</w:t>
      </w:r>
      <w:r w:rsidRPr="008012F8">
        <w:rPr>
          <w:rFonts w:ascii="宋体" w:hAnsi="宋体" w:cs="宋体" w:hint="eastAsia"/>
        </w:rPr>
        <w:t>，载于</w:t>
      </w:r>
      <w:r w:rsidRPr="008012F8">
        <w:t>诺尔特</w:t>
      </w:r>
      <w:r w:rsidRPr="008012F8">
        <w:t>,</w:t>
      </w:r>
      <w:r w:rsidRPr="008012F8">
        <w:rPr>
          <w:rFonts w:ascii="宋体" w:hAnsi="宋体" w:cs="宋体" w:hint="eastAsia"/>
        </w:rPr>
        <w:t>《条约和嗣后惯例》</w:t>
      </w:r>
      <w:r w:rsidRPr="008012F8">
        <w:t>(</w:t>
      </w:r>
      <w:r w:rsidRPr="008012F8">
        <w:rPr>
          <w:rFonts w:ascii="宋体" w:hAnsi="宋体" w:cs="宋体" w:hint="eastAsia"/>
        </w:rPr>
        <w:t>见上文</w:t>
      </w:r>
      <w:r w:rsidRPr="00EA258E">
        <w:rPr>
          <w:rFonts w:asciiTheme="majorBidi" w:hAnsiTheme="majorBidi" w:cstheme="majorBidi"/>
        </w:rPr>
        <w:t>脚注</w:t>
      </w:r>
      <w:r>
        <w:rPr>
          <w:lang w:val="zh-CN"/>
        </w:rPr>
        <w:fldChar w:fldCharType="begin"/>
      </w:r>
      <w:r>
        <w:rPr>
          <w:lang w:val="zh-CN"/>
        </w:rPr>
        <w:instrText xml:space="preserve"> NOTEREF _Ref461973084 \h </w:instrText>
      </w:r>
      <w:r>
        <w:rPr>
          <w:lang w:val="zh-CN"/>
        </w:rPr>
      </w:r>
      <w:r>
        <w:rPr>
          <w:lang w:val="zh-CN"/>
        </w:rPr>
        <w:fldChar w:fldCharType="separate"/>
      </w:r>
      <w:r w:rsidR="00A73EB9">
        <w:rPr>
          <w:lang w:val="zh-CN"/>
        </w:rPr>
        <w:t>398</w:t>
      </w:r>
      <w:r>
        <w:rPr>
          <w:lang w:val="zh-CN"/>
        </w:rPr>
        <w:fldChar w:fldCharType="end"/>
      </w:r>
      <w:r w:rsidRPr="00EA258E">
        <w:rPr>
          <w:rFonts w:asciiTheme="majorBidi" w:hAnsiTheme="majorBidi" w:cstheme="majorBidi"/>
        </w:rPr>
        <w:t>)</w:t>
      </w:r>
      <w:r w:rsidRPr="008012F8">
        <w:rPr>
          <w:rFonts w:ascii="宋体" w:hAnsi="宋体" w:cs="宋体" w:hint="eastAsia"/>
        </w:rPr>
        <w:t>，第</w:t>
      </w:r>
      <w:r w:rsidRPr="008012F8">
        <w:t>145-148</w:t>
      </w:r>
      <w:r w:rsidRPr="008012F8">
        <w:rPr>
          <w:rFonts w:ascii="宋体" w:hAnsi="宋体" w:cs="宋体" w:hint="eastAsia"/>
        </w:rPr>
        <w:t>页；</w:t>
      </w:r>
      <w:r w:rsidRPr="008012F8">
        <w:t>Alvarez,</w:t>
      </w:r>
      <w:r w:rsidRPr="008012F8">
        <w:rPr>
          <w:rFonts w:hint="eastAsia"/>
        </w:rPr>
        <w:t>“……</w:t>
      </w:r>
      <w:r w:rsidRPr="008012F8">
        <w:rPr>
          <w:rFonts w:ascii="宋体" w:hAnsi="宋体" w:cs="宋体" w:hint="eastAsia"/>
        </w:rPr>
        <w:t>修改条约的限制</w:t>
      </w:r>
      <w:r w:rsidRPr="008012F8">
        <w:rPr>
          <w:rFonts w:hint="eastAsia"/>
        </w:rPr>
        <w:t>”</w:t>
      </w:r>
      <w:r w:rsidRPr="008012F8">
        <w:t>(</w:t>
      </w:r>
      <w:r w:rsidRPr="008012F8">
        <w:rPr>
          <w:rFonts w:ascii="宋体" w:hAnsi="宋体" w:cs="宋体" w:hint="eastAsia"/>
        </w:rPr>
        <w:t>见上文脚注</w:t>
      </w:r>
      <w:r w:rsidRPr="008012F8">
        <w:rPr>
          <w:rFonts w:hint="eastAsia"/>
        </w:rPr>
        <w:t>704</w:t>
      </w:r>
      <w:r w:rsidRPr="008012F8">
        <w:t>)</w:t>
      </w:r>
      <w:r w:rsidRPr="008012F8">
        <w:rPr>
          <w:rFonts w:ascii="宋体" w:hAnsi="宋体" w:cs="宋体" w:hint="eastAsia"/>
        </w:rPr>
        <w:t>，第</w:t>
      </w:r>
      <w:r w:rsidRPr="008012F8">
        <w:t>130</w:t>
      </w:r>
      <w:r w:rsidRPr="008012F8">
        <w:rPr>
          <w:rFonts w:ascii="宋体" w:hAnsi="宋体" w:cs="宋体" w:hint="eastAsia"/>
        </w:rPr>
        <w:t>页；</w:t>
      </w:r>
      <w:r w:rsidRPr="008012F8">
        <w:t>I. Wuerth,</w:t>
      </w:r>
      <w:r w:rsidRPr="008012F8">
        <w:rPr>
          <w:rFonts w:hint="eastAsia"/>
        </w:rPr>
        <w:t>“</w:t>
      </w:r>
      <w:r w:rsidRPr="008012F8">
        <w:rPr>
          <w:rFonts w:ascii="宋体" w:hAnsi="宋体" w:cs="宋体" w:hint="eastAsia"/>
        </w:rPr>
        <w:t>条约解释、嗣后协定和惯例与国内宪法</w:t>
      </w:r>
      <w:r w:rsidRPr="008012F8">
        <w:rPr>
          <w:rFonts w:hint="eastAsia"/>
        </w:rPr>
        <w:t>”</w:t>
      </w:r>
      <w:r w:rsidRPr="008012F8">
        <w:rPr>
          <w:rFonts w:ascii="宋体" w:hAnsi="宋体" w:cs="宋体" w:hint="eastAsia"/>
        </w:rPr>
        <w:t>，载于</w:t>
      </w:r>
      <w:r w:rsidRPr="008012F8">
        <w:t>诺尔特</w:t>
      </w:r>
      <w:r w:rsidRPr="008012F8">
        <w:t xml:space="preserve">, </w:t>
      </w:r>
      <w:r w:rsidRPr="008012F8">
        <w:rPr>
          <w:rFonts w:ascii="宋体" w:hAnsi="宋体" w:cs="宋体" w:hint="eastAsia"/>
        </w:rPr>
        <w:t>《条约和嗣后惯例》</w:t>
      </w:r>
      <w:r w:rsidRPr="008012F8">
        <w:t>(</w:t>
      </w:r>
      <w:r w:rsidRPr="008012F8">
        <w:rPr>
          <w:rFonts w:ascii="宋体" w:hAnsi="宋体" w:cs="宋体" w:hint="eastAsia"/>
        </w:rPr>
        <w:t>见</w:t>
      </w:r>
      <w:r w:rsidRPr="00EA258E">
        <w:rPr>
          <w:rFonts w:asciiTheme="majorBidi" w:hAnsiTheme="majorBidi" w:cstheme="majorBidi"/>
        </w:rPr>
        <w:t>上文脚注</w:t>
      </w:r>
      <w:r>
        <w:rPr>
          <w:lang w:val="zh-CN"/>
        </w:rPr>
        <w:fldChar w:fldCharType="begin"/>
      </w:r>
      <w:r>
        <w:rPr>
          <w:lang w:val="zh-CN"/>
        </w:rPr>
        <w:instrText xml:space="preserve"> NOTEREF _Ref461973084 \h </w:instrText>
      </w:r>
      <w:r>
        <w:rPr>
          <w:lang w:val="zh-CN"/>
        </w:rPr>
      </w:r>
      <w:r>
        <w:rPr>
          <w:lang w:val="zh-CN"/>
        </w:rPr>
        <w:fldChar w:fldCharType="separate"/>
      </w:r>
      <w:r w:rsidR="00A73EB9">
        <w:rPr>
          <w:lang w:val="zh-CN"/>
        </w:rPr>
        <w:t>398</w:t>
      </w:r>
      <w:r>
        <w:rPr>
          <w:lang w:val="zh-CN"/>
        </w:rPr>
        <w:fldChar w:fldCharType="end"/>
      </w:r>
      <w:r w:rsidRPr="00EA258E">
        <w:rPr>
          <w:rFonts w:asciiTheme="majorBidi" w:hAnsiTheme="majorBidi" w:cstheme="majorBidi"/>
        </w:rPr>
        <w:t>)</w:t>
      </w:r>
      <w:r w:rsidRPr="008012F8">
        <w:rPr>
          <w:rFonts w:ascii="宋体" w:hAnsi="宋体" w:cs="宋体" w:hint="eastAsia"/>
        </w:rPr>
        <w:t>，第</w:t>
      </w:r>
      <w:r w:rsidRPr="008012F8">
        <w:t>154-159</w:t>
      </w:r>
      <w:r w:rsidRPr="008012F8">
        <w:rPr>
          <w:rFonts w:ascii="宋体" w:hAnsi="宋体" w:cs="宋体" w:hint="eastAsia"/>
        </w:rPr>
        <w:t>页；</w:t>
      </w:r>
      <w:r w:rsidRPr="008012F8">
        <w:t>H. Ruiz Fabri,</w:t>
      </w:r>
      <w:r w:rsidRPr="008012F8">
        <w:rPr>
          <w:rFonts w:hint="eastAsia"/>
        </w:rPr>
        <w:t>“</w:t>
      </w:r>
      <w:r w:rsidRPr="008012F8">
        <w:rPr>
          <w:rFonts w:ascii="宋体" w:hAnsi="宋体" w:cs="宋体" w:hint="eastAsia"/>
        </w:rPr>
        <w:t>嗣后惯例、国内权力分立与合法性问题</w:t>
      </w:r>
      <w:r w:rsidRPr="008012F8">
        <w:rPr>
          <w:rFonts w:hint="eastAsia"/>
        </w:rPr>
        <w:t>”</w:t>
      </w:r>
      <w:r w:rsidRPr="008012F8">
        <w:rPr>
          <w:rFonts w:ascii="宋体" w:hAnsi="宋体" w:cs="宋体" w:hint="eastAsia"/>
        </w:rPr>
        <w:t>载于</w:t>
      </w:r>
      <w:r w:rsidRPr="008012F8">
        <w:t>诺尔特</w:t>
      </w:r>
      <w:r w:rsidRPr="008012F8">
        <w:t xml:space="preserve">, </w:t>
      </w:r>
      <w:r w:rsidRPr="008012F8">
        <w:rPr>
          <w:rFonts w:ascii="宋体" w:hAnsi="宋体" w:cs="宋体" w:hint="eastAsia"/>
        </w:rPr>
        <w:t>《条约和嗣后惯例》</w:t>
      </w:r>
      <w:r w:rsidRPr="00EA258E">
        <w:rPr>
          <w:rFonts w:asciiTheme="majorBidi" w:hAnsiTheme="majorBidi" w:cstheme="majorBidi"/>
        </w:rPr>
        <w:t>(</w:t>
      </w:r>
      <w:r w:rsidRPr="00EA258E">
        <w:rPr>
          <w:rFonts w:asciiTheme="majorBidi" w:hAnsiTheme="majorBidi" w:cstheme="majorBidi"/>
        </w:rPr>
        <w:t>见上文脚注</w:t>
      </w:r>
      <w:r>
        <w:rPr>
          <w:lang w:val="zh-CN"/>
        </w:rPr>
        <w:fldChar w:fldCharType="begin"/>
      </w:r>
      <w:r>
        <w:rPr>
          <w:lang w:val="zh-CN"/>
        </w:rPr>
        <w:instrText xml:space="preserve"> NOTEREF _Ref461973084 \h </w:instrText>
      </w:r>
      <w:r>
        <w:rPr>
          <w:lang w:val="zh-CN"/>
        </w:rPr>
      </w:r>
      <w:r>
        <w:rPr>
          <w:lang w:val="zh-CN"/>
        </w:rPr>
        <w:fldChar w:fldCharType="separate"/>
      </w:r>
      <w:r w:rsidR="00A73EB9">
        <w:rPr>
          <w:lang w:val="zh-CN"/>
        </w:rPr>
        <w:t>398</w:t>
      </w:r>
      <w:r>
        <w:rPr>
          <w:lang w:val="zh-CN"/>
        </w:rPr>
        <w:fldChar w:fldCharType="end"/>
      </w:r>
      <w:r w:rsidRPr="00EA258E">
        <w:rPr>
          <w:rFonts w:asciiTheme="majorBidi" w:hAnsiTheme="majorBidi" w:cstheme="majorBidi"/>
        </w:rPr>
        <w:t>)</w:t>
      </w:r>
      <w:r w:rsidRPr="00EA258E">
        <w:rPr>
          <w:rFonts w:asciiTheme="majorBidi" w:hAnsiTheme="majorBidi" w:cstheme="majorBidi"/>
        </w:rPr>
        <w:t>，</w:t>
      </w:r>
      <w:r w:rsidRPr="008012F8">
        <w:rPr>
          <w:rFonts w:ascii="宋体" w:hAnsi="宋体" w:cs="宋体" w:hint="eastAsia"/>
        </w:rPr>
        <w:t>第</w:t>
      </w:r>
      <w:r w:rsidRPr="008012F8">
        <w:t>165-166</w:t>
      </w:r>
      <w:r w:rsidRPr="008012F8">
        <w:rPr>
          <w:rFonts w:ascii="宋体" w:hAnsi="宋体" w:cs="宋体" w:hint="eastAsia"/>
        </w:rPr>
        <w:t>页。</w:t>
      </w:r>
    </w:p>
  </w:footnote>
  <w:footnote w:id="707">
    <w:p w:rsidR="00AB00DE" w:rsidRPr="008012F8" w:rsidRDefault="00AB00DE" w:rsidP="00560424">
      <w:pPr>
        <w:pStyle w:val="a4"/>
      </w:pPr>
      <w:r w:rsidRPr="008012F8">
        <w:tab/>
      </w:r>
      <w:r w:rsidRPr="00DF5565">
        <w:rPr>
          <w:rStyle w:val="a5"/>
        </w:rPr>
        <w:footnoteRef/>
      </w:r>
      <w:r w:rsidRPr="008012F8">
        <w:tab/>
      </w:r>
      <w:r w:rsidRPr="008012F8">
        <w:rPr>
          <w:rFonts w:ascii="宋体" w:hAnsi="宋体" w:cs="宋体" w:hint="eastAsia"/>
        </w:rPr>
        <w:t>例如见</w:t>
      </w:r>
      <w:r w:rsidRPr="008012F8">
        <w:t>Kohen,</w:t>
      </w:r>
      <w:r w:rsidRPr="008012F8">
        <w:rPr>
          <w:rFonts w:hint="eastAsia"/>
        </w:rPr>
        <w:t>“</w:t>
      </w:r>
      <w:r w:rsidRPr="008012F8">
        <w:rPr>
          <w:i/>
          <w:iCs/>
        </w:rPr>
        <w:t xml:space="preserve">Uti possidetis, </w:t>
      </w:r>
      <w:r w:rsidRPr="008012F8">
        <w:t>prescription et pratique subséquente …</w:t>
      </w:r>
      <w:r w:rsidRPr="008012F8">
        <w:rPr>
          <w:rFonts w:hint="eastAsia"/>
        </w:rPr>
        <w:t>”</w:t>
      </w:r>
      <w:r w:rsidRPr="008012F8">
        <w:t>(</w:t>
      </w:r>
      <w:r w:rsidRPr="008012F8">
        <w:rPr>
          <w:rFonts w:ascii="宋体" w:hAnsi="宋体" w:cs="宋体" w:hint="eastAsia"/>
        </w:rPr>
        <w:t>上文脚注</w:t>
      </w:r>
      <w:r w:rsidRPr="00560424">
        <w:rPr>
          <w:rFonts w:asciiTheme="majorBidi" w:hAnsiTheme="majorBidi" w:cstheme="majorBidi"/>
        </w:rPr>
        <w:fldChar w:fldCharType="begin"/>
      </w:r>
      <w:r w:rsidRPr="00560424">
        <w:rPr>
          <w:rFonts w:asciiTheme="majorBidi" w:hAnsiTheme="majorBidi" w:cstheme="majorBidi"/>
        </w:rPr>
        <w:instrText xml:space="preserve"> NOTEREF _Ref461976383 \h </w:instrText>
      </w:r>
      <w:r>
        <w:rPr>
          <w:rFonts w:asciiTheme="majorBidi" w:hAnsiTheme="majorBidi" w:cstheme="majorBidi"/>
        </w:rPr>
        <w:instrText xml:space="preserve"> \* MERGEFORMAT </w:instrText>
      </w:r>
      <w:r w:rsidRPr="00560424">
        <w:rPr>
          <w:rFonts w:asciiTheme="majorBidi" w:hAnsiTheme="majorBidi" w:cstheme="majorBidi"/>
        </w:rPr>
      </w:r>
      <w:r w:rsidRPr="00560424">
        <w:rPr>
          <w:rFonts w:asciiTheme="majorBidi" w:hAnsiTheme="majorBidi" w:cstheme="majorBidi"/>
        </w:rPr>
        <w:fldChar w:fldCharType="separate"/>
      </w:r>
      <w:r w:rsidR="00A73EB9">
        <w:rPr>
          <w:rFonts w:asciiTheme="majorBidi" w:hAnsiTheme="majorBidi" w:cstheme="majorBidi"/>
        </w:rPr>
        <w:t>692</w:t>
      </w:r>
      <w:r w:rsidRPr="00560424">
        <w:rPr>
          <w:rFonts w:asciiTheme="majorBidi" w:hAnsiTheme="majorBidi" w:cstheme="majorBidi"/>
        </w:rPr>
        <w:fldChar w:fldCharType="end"/>
      </w:r>
      <w:r w:rsidRPr="008012F8">
        <w:t>)</w:t>
      </w:r>
      <w:r w:rsidRPr="008012F8">
        <w:rPr>
          <w:rFonts w:ascii="宋体" w:hAnsi="宋体" w:cs="宋体" w:hint="eastAsia"/>
        </w:rPr>
        <w:t>，第</w:t>
      </w:r>
      <w:r w:rsidRPr="008012F8">
        <w:t>274</w:t>
      </w:r>
      <w:r w:rsidRPr="008012F8">
        <w:rPr>
          <w:rFonts w:ascii="宋体" w:hAnsi="宋体" w:cs="宋体" w:hint="eastAsia"/>
        </w:rPr>
        <w:t>页</w:t>
      </w:r>
      <w:r w:rsidRPr="008012F8">
        <w:t>(</w:t>
      </w:r>
      <w:r w:rsidRPr="008012F8">
        <w:rPr>
          <w:rFonts w:ascii="宋体" w:hAnsi="宋体" w:cs="宋体" w:hint="eastAsia"/>
        </w:rPr>
        <w:t>特别是在边界条约方面</w:t>
      </w:r>
      <w:r w:rsidRPr="008012F8">
        <w:t>)</w:t>
      </w:r>
      <w:r w:rsidRPr="008012F8">
        <w:rPr>
          <w:rFonts w:ascii="宋体" w:hAnsi="宋体" w:cs="宋体" w:hint="eastAsia"/>
        </w:rPr>
        <w:t>。</w:t>
      </w:r>
    </w:p>
  </w:footnote>
  <w:footnote w:id="708">
    <w:p w:rsidR="00AB00DE" w:rsidRPr="00FC031D" w:rsidRDefault="00AB00DE" w:rsidP="00560424">
      <w:pPr>
        <w:pStyle w:val="a4"/>
      </w:pPr>
      <w:r w:rsidRPr="009D48A5">
        <w:rPr>
          <w:sz w:val="22"/>
          <w:szCs w:val="22"/>
        </w:rPr>
        <w:tab/>
      </w:r>
      <w:r w:rsidRPr="00DF5565">
        <w:rPr>
          <w:rStyle w:val="a5"/>
        </w:rPr>
        <w:footnoteRef/>
      </w:r>
      <w:r w:rsidRPr="00FC031D">
        <w:tab/>
      </w:r>
      <w:r w:rsidRPr="00FC031D">
        <w:rPr>
          <w:rFonts w:hint="eastAsia"/>
        </w:rPr>
        <w:t>见</w:t>
      </w:r>
      <w:r w:rsidRPr="00FC031D">
        <w:t>上文</w:t>
      </w:r>
      <w:r w:rsidRPr="00FC031D">
        <w:rPr>
          <w:rFonts w:hint="eastAsia"/>
        </w:rPr>
        <w:t>结论草案</w:t>
      </w:r>
      <w:r w:rsidRPr="00FC031D">
        <w:rPr>
          <w:rFonts w:hint="eastAsia"/>
        </w:rPr>
        <w:t>2[1]</w:t>
      </w:r>
      <w:r w:rsidRPr="00FC031D">
        <w:rPr>
          <w:rFonts w:hint="eastAsia"/>
        </w:rPr>
        <w:t>第</w:t>
      </w:r>
      <w:r w:rsidRPr="00FC031D">
        <w:t>5</w:t>
      </w:r>
      <w:r w:rsidRPr="00FC031D">
        <w:rPr>
          <w:rFonts w:hint="eastAsia"/>
        </w:rPr>
        <w:t>段及其评注；</w:t>
      </w:r>
      <w:r w:rsidRPr="00FC031D">
        <w:t xml:space="preserve">Hafner, </w:t>
      </w:r>
      <w:r w:rsidRPr="00FC031D">
        <w:rPr>
          <w:rFonts w:hint="eastAsia"/>
        </w:rPr>
        <w:t>《嗣后协定和惯例……》</w:t>
      </w:r>
      <w:r w:rsidRPr="00FC031D">
        <w:t>(</w:t>
      </w:r>
      <w:r>
        <w:rPr>
          <w:rFonts w:hint="eastAsia"/>
        </w:rPr>
        <w:t>见</w:t>
      </w:r>
      <w:r w:rsidRPr="00FC031D">
        <w:rPr>
          <w:rFonts w:hint="eastAsia"/>
        </w:rPr>
        <w:t>上文脚注</w:t>
      </w:r>
      <w:r>
        <w:fldChar w:fldCharType="begin"/>
      </w:r>
      <w:r>
        <w:instrText xml:space="preserve"> </w:instrText>
      </w:r>
      <w:r>
        <w:rPr>
          <w:rFonts w:hint="eastAsia"/>
        </w:rPr>
        <w:instrText>NOTEREF _Ref461976124 \h</w:instrText>
      </w:r>
      <w:r>
        <w:instrText xml:space="preserve"> </w:instrText>
      </w:r>
      <w:r>
        <w:fldChar w:fldCharType="separate"/>
      </w:r>
      <w:r w:rsidR="00A73EB9">
        <w:t>655</w:t>
      </w:r>
      <w:r>
        <w:fldChar w:fldCharType="end"/>
      </w:r>
      <w:r w:rsidRPr="00FC031D">
        <w:t>)</w:t>
      </w:r>
      <w:r w:rsidRPr="00FC031D">
        <w:rPr>
          <w:rFonts w:hint="eastAsia"/>
        </w:rPr>
        <w:t>，第</w:t>
      </w:r>
      <w:r w:rsidRPr="00FC031D">
        <w:t>117</w:t>
      </w:r>
      <w:r w:rsidRPr="00FC031D">
        <w:rPr>
          <w:rFonts w:hint="eastAsia"/>
        </w:rPr>
        <w:t>页；一些著述者认为，第三十一条第三款所指的嗣后协定或嗣后惯例作为“解释”的范围超出了其他解释资料，包括法院或仲裁法庭的演进式解释的范围，例如见</w:t>
      </w:r>
      <w:r w:rsidRPr="00FC031D">
        <w:t xml:space="preserve">Gardiner, </w:t>
      </w:r>
      <w:r w:rsidRPr="00FC031D">
        <w:rPr>
          <w:rFonts w:hint="eastAsia"/>
        </w:rPr>
        <w:t>《条约解释》</w:t>
      </w:r>
      <w:r w:rsidRPr="00FC031D">
        <w:t>(</w:t>
      </w:r>
      <w:r w:rsidRPr="00FC031D">
        <w:rPr>
          <w:rFonts w:hint="eastAsia"/>
        </w:rPr>
        <w:t>见上文脚注</w:t>
      </w:r>
      <w:r w:rsidRPr="00D90936">
        <w:rPr>
          <w:rFonts w:asciiTheme="majorBidi" w:hAnsiTheme="majorBidi" w:cstheme="majorBidi"/>
        </w:rPr>
        <w:fldChar w:fldCharType="begin"/>
      </w:r>
      <w:r w:rsidRPr="00D90936">
        <w:rPr>
          <w:rFonts w:asciiTheme="majorBidi" w:hAnsiTheme="majorBidi" w:cstheme="majorBidi"/>
        </w:rPr>
        <w:instrText xml:space="preserve"> NOTEREF _Ref461971974 \h </w:instrText>
      </w:r>
      <w:r>
        <w:rPr>
          <w:rFonts w:asciiTheme="majorBidi" w:hAnsiTheme="majorBidi" w:cstheme="majorBidi"/>
        </w:rPr>
        <w:instrText xml:space="preserve"> \* MERGEFORMAT </w:instrText>
      </w:r>
      <w:r w:rsidRPr="00D90936">
        <w:rPr>
          <w:rFonts w:asciiTheme="majorBidi" w:hAnsiTheme="majorBidi" w:cstheme="majorBidi"/>
        </w:rPr>
      </w:r>
      <w:r w:rsidRPr="00D90936">
        <w:rPr>
          <w:rFonts w:asciiTheme="majorBidi" w:hAnsiTheme="majorBidi" w:cstheme="majorBidi"/>
        </w:rPr>
        <w:fldChar w:fldCharType="separate"/>
      </w:r>
      <w:r w:rsidR="00A73EB9">
        <w:rPr>
          <w:rFonts w:asciiTheme="majorBidi" w:hAnsiTheme="majorBidi" w:cstheme="majorBidi"/>
        </w:rPr>
        <w:t>392</w:t>
      </w:r>
      <w:r w:rsidRPr="00D90936">
        <w:rPr>
          <w:rFonts w:asciiTheme="majorBidi" w:hAnsiTheme="majorBidi" w:cstheme="majorBidi"/>
        </w:rPr>
        <w:fldChar w:fldCharType="end"/>
      </w:r>
      <w:r w:rsidRPr="00FC031D">
        <w:rPr>
          <w:rFonts w:hint="eastAsia"/>
        </w:rPr>
        <w:t>)</w:t>
      </w:r>
      <w:r w:rsidRPr="00FC031D">
        <w:rPr>
          <w:rFonts w:hint="eastAsia"/>
        </w:rPr>
        <w:t>，第</w:t>
      </w:r>
      <w:r w:rsidRPr="00FC031D">
        <w:t>275</w:t>
      </w:r>
      <w:r w:rsidRPr="00FC031D">
        <w:rPr>
          <w:rFonts w:hint="eastAsia"/>
        </w:rPr>
        <w:t>页；</w:t>
      </w:r>
      <w:r w:rsidRPr="00FC031D">
        <w:t>Dörr,</w:t>
      </w:r>
      <w:r w:rsidRPr="00FC031D">
        <w:rPr>
          <w:rFonts w:hint="eastAsia"/>
        </w:rPr>
        <w:t>“第三十一条……”</w:t>
      </w:r>
      <w:r w:rsidRPr="00FC031D">
        <w:t>(</w:t>
      </w:r>
      <w:r w:rsidRPr="00FC031D">
        <w:rPr>
          <w:rFonts w:hint="eastAsia"/>
        </w:rPr>
        <w:t>见上文脚注</w:t>
      </w:r>
      <w:r>
        <w:fldChar w:fldCharType="begin"/>
      </w:r>
      <w:r>
        <w:instrText xml:space="preserve"> </w:instrText>
      </w:r>
      <w:r>
        <w:rPr>
          <w:rFonts w:hint="eastAsia"/>
        </w:rPr>
        <w:instrText>NOTEREF _Ref461972537 \h</w:instrText>
      </w:r>
      <w:r>
        <w:instrText xml:space="preserve"> </w:instrText>
      </w:r>
      <w:r>
        <w:fldChar w:fldCharType="separate"/>
      </w:r>
      <w:r w:rsidR="00A73EB9">
        <w:t>439</w:t>
      </w:r>
      <w:r>
        <w:fldChar w:fldCharType="end"/>
      </w:r>
      <w:r w:rsidRPr="00FC031D">
        <w:rPr>
          <w:rFonts w:hint="eastAsia"/>
        </w:rPr>
        <w:t>)</w:t>
      </w:r>
      <w:r w:rsidRPr="00FC031D">
        <w:t>，</w:t>
      </w:r>
      <w:r w:rsidRPr="00FC031D">
        <w:rPr>
          <w:rFonts w:hint="eastAsia"/>
        </w:rPr>
        <w:t>第</w:t>
      </w:r>
      <w:r w:rsidRPr="00FC031D">
        <w:t>554-555</w:t>
      </w:r>
      <w:r w:rsidRPr="00FC031D">
        <w:rPr>
          <w:rFonts w:hint="eastAsia"/>
        </w:rPr>
        <w:t>页，第</w:t>
      </w:r>
      <w:r w:rsidRPr="00FC031D">
        <w:t>76</w:t>
      </w:r>
      <w:r w:rsidRPr="00FC031D">
        <w:rPr>
          <w:rFonts w:hint="eastAsia"/>
        </w:rPr>
        <w:t>段。</w:t>
      </w:r>
    </w:p>
  </w:footnote>
  <w:footnote w:id="709">
    <w:p w:rsidR="00AB00DE" w:rsidRPr="00FC031D" w:rsidRDefault="00AB00DE" w:rsidP="00D90936">
      <w:pPr>
        <w:pStyle w:val="a4"/>
      </w:pPr>
      <w:r w:rsidRPr="00FC031D">
        <w:tab/>
      </w:r>
      <w:r w:rsidRPr="00DF5565">
        <w:rPr>
          <w:rStyle w:val="a5"/>
        </w:rPr>
        <w:footnoteRef/>
      </w:r>
      <w:r w:rsidRPr="00FC031D">
        <w:tab/>
      </w:r>
      <w:r w:rsidRPr="00FC031D">
        <w:rPr>
          <w:rFonts w:hint="eastAsia"/>
        </w:rPr>
        <w:t>见结论草案</w:t>
      </w:r>
      <w:r w:rsidRPr="00FC031D">
        <w:t>8[3]</w:t>
      </w:r>
      <w:r w:rsidRPr="00FC031D">
        <w:rPr>
          <w:rFonts w:hint="eastAsia"/>
        </w:rPr>
        <w:t>；在</w:t>
      </w:r>
      <w:r w:rsidRPr="007866F0">
        <w:rPr>
          <w:rFonts w:eastAsia="楷体"/>
        </w:rPr>
        <w:t>关于航行权和相关权利的争端案</w:t>
      </w:r>
      <w:r w:rsidRPr="00FC031D">
        <w:rPr>
          <w:rFonts w:hint="eastAsia"/>
        </w:rPr>
        <w:t>中，国际法院可以不回答缔约方的嗣后惯例是否修改了“</w:t>
      </w:r>
      <w:r w:rsidRPr="00FC031D">
        <w:t>comercio</w:t>
      </w:r>
      <w:r w:rsidRPr="00FC031D">
        <w:rPr>
          <w:rFonts w:hint="eastAsia"/>
        </w:rPr>
        <w:t>”一词的含义，因为法院已判定可以对其作出演进式解释。</w:t>
      </w:r>
      <w:r w:rsidRPr="007866F0">
        <w:rPr>
          <w:rFonts w:eastAsia="楷体"/>
        </w:rPr>
        <w:t>关于航行权和相关权利的争端案</w:t>
      </w:r>
      <w:r w:rsidRPr="00FC031D">
        <w:t>(</w:t>
      </w:r>
      <w:r w:rsidRPr="00FC031D">
        <w:rPr>
          <w:rFonts w:hint="eastAsia"/>
        </w:rPr>
        <w:t>见上文脚注</w:t>
      </w:r>
      <w:r>
        <w:rPr>
          <w:lang w:val="zh-CN"/>
        </w:rPr>
        <w:fldChar w:fldCharType="begin"/>
      </w:r>
      <w:r>
        <w:rPr>
          <w:lang w:val="zh-CN"/>
        </w:rPr>
        <w:instrText xml:space="preserve"> NOTEREF _Ref461971066 \h </w:instrText>
      </w:r>
      <w:r>
        <w:rPr>
          <w:lang w:val="zh-CN"/>
        </w:rPr>
      </w:r>
      <w:r>
        <w:rPr>
          <w:lang w:val="zh-CN"/>
        </w:rPr>
        <w:fldChar w:fldCharType="separate"/>
      </w:r>
      <w:r w:rsidR="00A73EB9">
        <w:rPr>
          <w:lang w:val="zh-CN"/>
        </w:rPr>
        <w:t>395</w:t>
      </w:r>
      <w:r>
        <w:rPr>
          <w:lang w:val="zh-CN"/>
        </w:rPr>
        <w:fldChar w:fldCharType="end"/>
      </w:r>
      <w:r w:rsidRPr="00FC031D">
        <w:rPr>
          <w:rFonts w:hint="eastAsia"/>
        </w:rPr>
        <w:t>)</w:t>
      </w:r>
      <w:r w:rsidRPr="00FC031D">
        <w:rPr>
          <w:rFonts w:hint="eastAsia"/>
        </w:rPr>
        <w:t>，第</w:t>
      </w:r>
      <w:r w:rsidRPr="00FC031D">
        <w:t>242-243</w:t>
      </w:r>
      <w:r w:rsidRPr="00FC031D">
        <w:rPr>
          <w:rFonts w:hint="eastAsia"/>
        </w:rPr>
        <w:t>页，第</w:t>
      </w:r>
      <w:r w:rsidRPr="00FC031D">
        <w:t>64-66</w:t>
      </w:r>
      <w:r w:rsidRPr="00FC031D">
        <w:rPr>
          <w:rFonts w:hint="eastAsia"/>
        </w:rPr>
        <w:t>段。</w:t>
      </w:r>
    </w:p>
  </w:footnote>
  <w:footnote w:id="710">
    <w:p w:rsidR="00AB00DE" w:rsidRPr="00FC031D" w:rsidRDefault="00AB00DE" w:rsidP="00DF5565">
      <w:pPr>
        <w:pStyle w:val="a4"/>
      </w:pPr>
      <w:r w:rsidRPr="00FC031D">
        <w:tab/>
      </w:r>
      <w:r w:rsidRPr="00DF5565">
        <w:rPr>
          <w:rStyle w:val="a5"/>
        </w:rPr>
        <w:footnoteRef/>
      </w:r>
      <w:r w:rsidRPr="00FC031D">
        <w:tab/>
        <w:t>T.O. Elias,</w:t>
      </w:r>
      <w:r w:rsidRPr="00FC031D">
        <w:rPr>
          <w:rFonts w:hint="eastAsia"/>
        </w:rPr>
        <w:t>“国际法理论”，《美国国际法杂志》，第</w:t>
      </w:r>
      <w:r w:rsidRPr="00FC031D">
        <w:t>74</w:t>
      </w:r>
      <w:r w:rsidRPr="00FC031D">
        <w:rPr>
          <w:rFonts w:hint="eastAsia"/>
        </w:rPr>
        <w:t>卷</w:t>
      </w:r>
      <w:r w:rsidRPr="00FC031D">
        <w:t>(1980</w:t>
      </w:r>
      <w:r w:rsidRPr="00FC031D">
        <w:rPr>
          <w:rFonts w:hint="eastAsia"/>
        </w:rPr>
        <w:t>年</w:t>
      </w:r>
      <w:r w:rsidRPr="00FC031D">
        <w:t>)</w:t>
      </w:r>
      <w:r w:rsidRPr="00FC031D">
        <w:rPr>
          <w:rFonts w:hint="eastAsia"/>
        </w:rPr>
        <w:t>，第</w:t>
      </w:r>
      <w:r w:rsidRPr="00FC031D">
        <w:t>285</w:t>
      </w:r>
      <w:r w:rsidRPr="00FC031D">
        <w:rPr>
          <w:rFonts w:hint="eastAsia"/>
        </w:rPr>
        <w:t>页及以下各页；</w:t>
      </w:r>
      <w:r w:rsidRPr="00FC031D">
        <w:t>D.</w:t>
      </w:r>
      <w:r w:rsidRPr="00FC031D">
        <w:rPr>
          <w:rFonts w:hint="eastAsia"/>
        </w:rPr>
        <w:t xml:space="preserve">W. </w:t>
      </w:r>
      <w:r w:rsidRPr="00FC031D">
        <w:t>Greig,</w:t>
      </w:r>
      <w:r w:rsidRPr="00FC031D">
        <w:rPr>
          <w:rFonts w:hint="eastAsia"/>
        </w:rPr>
        <w:t>《时际性与条约法》</w:t>
      </w:r>
      <w:r w:rsidRPr="00FC031D">
        <w:t>(</w:t>
      </w:r>
      <w:r w:rsidRPr="00FC031D">
        <w:rPr>
          <w:rFonts w:hint="eastAsia"/>
        </w:rPr>
        <w:t>伦敦，英国国际法和比较法学会，</w:t>
      </w:r>
      <w:r w:rsidRPr="00FC031D">
        <w:t>200</w:t>
      </w:r>
      <w:r w:rsidRPr="00FC031D">
        <w:rPr>
          <w:rFonts w:hint="eastAsia"/>
        </w:rPr>
        <w:t>1</w:t>
      </w:r>
      <w:r w:rsidRPr="00FC031D">
        <w:rPr>
          <w:rFonts w:hint="eastAsia"/>
        </w:rPr>
        <w:t>年</w:t>
      </w:r>
      <w:r w:rsidRPr="00FC031D">
        <w:t>)</w:t>
      </w:r>
      <w:r w:rsidRPr="00FC031D">
        <w:rPr>
          <w:rFonts w:hint="eastAsia"/>
        </w:rPr>
        <w:t>；</w:t>
      </w:r>
      <w:r w:rsidRPr="00FC031D">
        <w:t>M. Fitzmaurice,</w:t>
      </w:r>
      <w:r w:rsidRPr="00FC031D">
        <w:rPr>
          <w:rFonts w:hint="eastAsia"/>
        </w:rPr>
        <w:t>“动态性</w:t>
      </w:r>
      <w:r w:rsidRPr="00FC031D">
        <w:t>(</w:t>
      </w:r>
      <w:r w:rsidRPr="00FC031D">
        <w:rPr>
          <w:rFonts w:hint="eastAsia"/>
        </w:rPr>
        <w:t>演变性</w:t>
      </w:r>
      <w:r w:rsidRPr="00FC031D">
        <w:t>)</w:t>
      </w:r>
      <w:r w:rsidRPr="00FC031D">
        <w:rPr>
          <w:rFonts w:hint="eastAsia"/>
        </w:rPr>
        <w:t>条约解释，第一部分”，《海牙国际法年鉴》，第</w:t>
      </w:r>
      <w:r w:rsidRPr="00FC031D">
        <w:t>21</w:t>
      </w:r>
      <w:r w:rsidRPr="00FC031D">
        <w:rPr>
          <w:rFonts w:hint="eastAsia"/>
        </w:rPr>
        <w:t>卷</w:t>
      </w:r>
      <w:r w:rsidRPr="00FC031D">
        <w:rPr>
          <w:rFonts w:hint="eastAsia"/>
        </w:rPr>
        <w:t>(</w:t>
      </w:r>
      <w:r w:rsidRPr="00FC031D">
        <w:t>2008</w:t>
      </w:r>
      <w:r w:rsidRPr="00FC031D">
        <w:rPr>
          <w:rFonts w:hint="eastAsia"/>
        </w:rPr>
        <w:t>年</w:t>
      </w:r>
      <w:r w:rsidRPr="00FC031D">
        <w:t>)</w:t>
      </w:r>
      <w:r w:rsidRPr="00FC031D">
        <w:rPr>
          <w:rFonts w:hint="eastAsia"/>
        </w:rPr>
        <w:t>，第</w:t>
      </w:r>
      <w:r w:rsidRPr="00FC031D">
        <w:t>101</w:t>
      </w:r>
      <w:r w:rsidRPr="00FC031D">
        <w:rPr>
          <w:rFonts w:hint="eastAsia"/>
        </w:rPr>
        <w:t>-153</w:t>
      </w:r>
      <w:r w:rsidRPr="00FC031D">
        <w:rPr>
          <w:rFonts w:hint="eastAsia"/>
        </w:rPr>
        <w:t>页；</w:t>
      </w:r>
      <w:r w:rsidRPr="00FC031D">
        <w:t>M. Kotzur,</w:t>
      </w:r>
      <w:r w:rsidRPr="00FC031D">
        <w:rPr>
          <w:rFonts w:hint="eastAsia"/>
        </w:rPr>
        <w:t>“时际法”，载于《</w:t>
      </w:r>
      <w:r w:rsidRPr="00FC031D">
        <w:rPr>
          <w:lang w:val="zh-CN"/>
        </w:rPr>
        <w:t>马克斯</w:t>
      </w:r>
      <w:r w:rsidRPr="00FC031D">
        <w:rPr>
          <w:rFonts w:hint="eastAsia"/>
          <w:lang w:val="fr-CH"/>
        </w:rPr>
        <w:t>·</w:t>
      </w:r>
      <w:r w:rsidRPr="00FC031D">
        <w:rPr>
          <w:lang w:val="zh-CN"/>
        </w:rPr>
        <w:t>普朗克国际公法百科全书</w:t>
      </w:r>
      <w:r w:rsidRPr="00FC031D">
        <w:rPr>
          <w:rFonts w:hint="eastAsia"/>
        </w:rPr>
        <w:t>》</w:t>
      </w:r>
      <w:r w:rsidRPr="00FC031D">
        <w:t>(www.mpepil.com)</w:t>
      </w:r>
      <w:r w:rsidRPr="00FC031D">
        <w:rPr>
          <w:rFonts w:hint="eastAsia"/>
        </w:rPr>
        <w:t>；</w:t>
      </w:r>
      <w:r w:rsidRPr="00FC031D">
        <w:t>U. Linderfalk,</w:t>
      </w:r>
      <w:r w:rsidRPr="00FC031D">
        <w:rPr>
          <w:rFonts w:hint="eastAsia"/>
        </w:rPr>
        <w:t>“出于正确的理由做正确的事情：对于条约解释为何应当采取动态或静态的办法”，《国际社会法律审评》，第</w:t>
      </w:r>
      <w:r w:rsidRPr="00FC031D">
        <w:t>10</w:t>
      </w:r>
      <w:r w:rsidRPr="00FC031D">
        <w:rPr>
          <w:rFonts w:hint="eastAsia"/>
        </w:rPr>
        <w:t>卷，第</w:t>
      </w:r>
      <w:r w:rsidRPr="00FC031D">
        <w:rPr>
          <w:rFonts w:hint="eastAsia"/>
        </w:rPr>
        <w:t>2</w:t>
      </w:r>
      <w:r w:rsidRPr="00FC031D">
        <w:rPr>
          <w:rFonts w:hint="eastAsia"/>
        </w:rPr>
        <w:t>号</w:t>
      </w:r>
      <w:r w:rsidRPr="00FC031D">
        <w:rPr>
          <w:rFonts w:hint="eastAsia"/>
        </w:rPr>
        <w:t>(</w:t>
      </w:r>
      <w:r w:rsidRPr="00FC031D">
        <w:t>2008</w:t>
      </w:r>
      <w:r w:rsidRPr="00FC031D">
        <w:rPr>
          <w:rFonts w:hint="eastAsia"/>
        </w:rPr>
        <w:t>年</w:t>
      </w:r>
      <w:r w:rsidRPr="00FC031D">
        <w:t>)</w:t>
      </w:r>
      <w:r w:rsidRPr="00FC031D">
        <w:rPr>
          <w:rFonts w:hint="eastAsia"/>
        </w:rPr>
        <w:t>，第</w:t>
      </w:r>
      <w:r w:rsidRPr="00FC031D">
        <w:t>109</w:t>
      </w:r>
      <w:r w:rsidRPr="00FC031D">
        <w:rPr>
          <w:rFonts w:hint="eastAsia"/>
        </w:rPr>
        <w:t>页及以下各页；</w:t>
      </w:r>
      <w:r w:rsidRPr="00FC031D">
        <w:t>A. Verdross</w:t>
      </w:r>
      <w:r w:rsidRPr="00FC031D">
        <w:rPr>
          <w:rFonts w:hint="eastAsia"/>
        </w:rPr>
        <w:t>和</w:t>
      </w:r>
      <w:r w:rsidRPr="00FC031D">
        <w:t xml:space="preserve">B. Simma, Universelles Völkerrecht, </w:t>
      </w:r>
      <w:r w:rsidRPr="00FC031D">
        <w:rPr>
          <w:rFonts w:hint="eastAsia"/>
        </w:rPr>
        <w:t>第</w:t>
      </w:r>
      <w:r w:rsidRPr="00FC031D">
        <w:rPr>
          <w:rFonts w:hint="eastAsia"/>
        </w:rPr>
        <w:t>3</w:t>
      </w:r>
      <w:r w:rsidRPr="00FC031D">
        <w:rPr>
          <w:rFonts w:hint="eastAsia"/>
        </w:rPr>
        <w:t>版</w:t>
      </w:r>
      <w:r w:rsidRPr="00FC031D">
        <w:t>(</w:t>
      </w:r>
      <w:r w:rsidRPr="00FC031D">
        <w:rPr>
          <w:rFonts w:hint="eastAsia"/>
        </w:rPr>
        <w:t>柏林，</w:t>
      </w:r>
      <w:r w:rsidRPr="00FC031D">
        <w:t>Duncker &amp; Humblot, 1984</w:t>
      </w:r>
      <w:r w:rsidRPr="00FC031D">
        <w:rPr>
          <w:rFonts w:hint="eastAsia"/>
        </w:rPr>
        <w:t>年</w:t>
      </w:r>
      <w:r w:rsidRPr="00FC031D">
        <w:t>)</w:t>
      </w:r>
      <w:r w:rsidRPr="00FC031D">
        <w:rPr>
          <w:rFonts w:hint="eastAsia"/>
        </w:rPr>
        <w:t>，第</w:t>
      </w:r>
      <w:r w:rsidRPr="00FC031D">
        <w:t>496</w:t>
      </w:r>
      <w:r w:rsidRPr="00FC031D">
        <w:rPr>
          <w:rFonts w:hint="eastAsia"/>
        </w:rPr>
        <w:t>页及以下各页，第</w:t>
      </w:r>
      <w:r w:rsidRPr="00FC031D">
        <w:rPr>
          <w:rFonts w:hint="eastAsia"/>
        </w:rPr>
        <w:t>782</w:t>
      </w:r>
      <w:r w:rsidRPr="00FC031D">
        <w:rPr>
          <w:rFonts w:hint="eastAsia"/>
        </w:rPr>
        <w:t>段及以下各段。</w:t>
      </w:r>
    </w:p>
  </w:footnote>
  <w:footnote w:id="711">
    <w:p w:rsidR="00AB00DE" w:rsidRPr="00FC031D" w:rsidRDefault="00AB00DE" w:rsidP="00560424">
      <w:pPr>
        <w:pStyle w:val="a4"/>
      </w:pPr>
      <w:r w:rsidRPr="00FC031D">
        <w:tab/>
      </w:r>
      <w:r w:rsidRPr="00DF5565">
        <w:rPr>
          <w:rStyle w:val="a5"/>
        </w:rPr>
        <w:footnoteRef/>
      </w:r>
      <w:r w:rsidRPr="00FC031D">
        <w:tab/>
        <w:t>M. Fitzmaurice,</w:t>
      </w:r>
      <w:r w:rsidRPr="00FC031D">
        <w:rPr>
          <w:rFonts w:hint="eastAsia"/>
        </w:rPr>
        <w:t>“动态性</w:t>
      </w:r>
      <w:r w:rsidRPr="00FC031D">
        <w:t>(</w:t>
      </w:r>
      <w:r w:rsidRPr="00FC031D">
        <w:rPr>
          <w:rFonts w:hint="eastAsia"/>
        </w:rPr>
        <w:t>演变性</w:t>
      </w:r>
      <w:r w:rsidRPr="00FC031D">
        <w:t>)</w:t>
      </w:r>
      <w:r w:rsidRPr="00FC031D">
        <w:rPr>
          <w:rFonts w:hint="eastAsia"/>
        </w:rPr>
        <w:t xml:space="preserve"> </w:t>
      </w:r>
      <w:r w:rsidRPr="00FC031D">
        <w:rPr>
          <w:rFonts w:hint="eastAsia"/>
        </w:rPr>
        <w:t>……解释”</w:t>
      </w:r>
      <w:r w:rsidRPr="00FC031D">
        <w:t>(</w:t>
      </w:r>
      <w:r w:rsidRPr="00FC031D">
        <w:rPr>
          <w:rFonts w:hint="eastAsia"/>
        </w:rPr>
        <w:t>见上文脚注</w:t>
      </w:r>
      <w:r>
        <w:fldChar w:fldCharType="begin"/>
      </w:r>
      <w:r>
        <w:instrText xml:space="preserve"> </w:instrText>
      </w:r>
      <w:r>
        <w:rPr>
          <w:rFonts w:hint="eastAsia"/>
        </w:rPr>
        <w:instrText>NOTEREF _Ref364163724 \h</w:instrText>
      </w:r>
      <w:r>
        <w:instrText xml:space="preserve"> </w:instrText>
      </w:r>
      <w:r>
        <w:fldChar w:fldCharType="separate"/>
      </w:r>
      <w:r w:rsidR="00A73EB9">
        <w:t>709</w:t>
      </w:r>
      <w:r>
        <w:fldChar w:fldCharType="end"/>
      </w:r>
      <w:r w:rsidRPr="00FC031D">
        <w:t>)</w:t>
      </w:r>
      <w:r w:rsidRPr="00FC031D">
        <w:rPr>
          <w:rFonts w:hint="eastAsia"/>
        </w:rPr>
        <w:t>。</w:t>
      </w:r>
    </w:p>
  </w:footnote>
  <w:footnote w:id="712">
    <w:p w:rsidR="00AB00DE" w:rsidRPr="00FC031D" w:rsidRDefault="00AB00DE" w:rsidP="00DF5565">
      <w:pPr>
        <w:pStyle w:val="a4"/>
      </w:pPr>
      <w:r w:rsidRPr="00FC031D">
        <w:tab/>
      </w:r>
      <w:r w:rsidRPr="00DF5565">
        <w:rPr>
          <w:rStyle w:val="a5"/>
        </w:rPr>
        <w:footnoteRef/>
      </w:r>
      <w:r w:rsidRPr="00FC031D">
        <w:tab/>
      </w:r>
      <w:r w:rsidRPr="00FC031D">
        <w:rPr>
          <w:rFonts w:hint="eastAsia"/>
        </w:rPr>
        <w:t>帕尔马斯岛案</w:t>
      </w:r>
      <w:r w:rsidRPr="00FC031D">
        <w:t>(</w:t>
      </w:r>
      <w:r w:rsidRPr="00FC031D">
        <w:rPr>
          <w:rFonts w:hint="eastAsia"/>
        </w:rPr>
        <w:t>荷兰诉美利坚合众国</w:t>
      </w:r>
      <w:r w:rsidRPr="00FC031D">
        <w:t>)</w:t>
      </w:r>
      <w:r w:rsidRPr="00FC031D">
        <w:rPr>
          <w:rFonts w:hint="eastAsia"/>
        </w:rPr>
        <w:t>，</w:t>
      </w:r>
      <w:r w:rsidRPr="00FC031D">
        <w:rPr>
          <w:rFonts w:hint="eastAsia"/>
        </w:rPr>
        <w:t>1928</w:t>
      </w:r>
      <w:r w:rsidRPr="00FC031D">
        <w:rPr>
          <w:rFonts w:hint="eastAsia"/>
        </w:rPr>
        <w:t>年</w:t>
      </w:r>
      <w:r w:rsidRPr="00FC031D">
        <w:rPr>
          <w:rFonts w:hint="eastAsia"/>
        </w:rPr>
        <w:t>4</w:t>
      </w:r>
      <w:r w:rsidRPr="00FC031D">
        <w:rPr>
          <w:rFonts w:hint="eastAsia"/>
        </w:rPr>
        <w:t>月</w:t>
      </w:r>
      <w:r w:rsidRPr="00FC031D">
        <w:rPr>
          <w:rFonts w:hint="eastAsia"/>
        </w:rPr>
        <w:t>4</w:t>
      </w:r>
      <w:r w:rsidRPr="00FC031D">
        <w:rPr>
          <w:rFonts w:hint="eastAsia"/>
        </w:rPr>
        <w:t>日的裁决，《国际仲裁裁决汇编》，第二卷</w:t>
      </w:r>
      <w:r w:rsidRPr="00FC031D">
        <w:rPr>
          <w:rFonts w:hint="eastAsia"/>
        </w:rPr>
        <w:t>(</w:t>
      </w:r>
      <w:r w:rsidRPr="00FC031D">
        <w:rPr>
          <w:rFonts w:hint="eastAsia"/>
        </w:rPr>
        <w:t>出售品编号</w:t>
      </w:r>
      <w:r w:rsidRPr="00FC031D">
        <w:t>1949.V.1)</w:t>
      </w:r>
      <w:r w:rsidRPr="00FC031D">
        <w:rPr>
          <w:rFonts w:hint="eastAsia"/>
        </w:rPr>
        <w:t>，第</w:t>
      </w:r>
      <w:r w:rsidRPr="00FC031D">
        <w:rPr>
          <w:rFonts w:hint="eastAsia"/>
        </w:rPr>
        <w:t>829-871</w:t>
      </w:r>
      <w:r w:rsidRPr="00FC031D">
        <w:rPr>
          <w:rFonts w:hint="eastAsia"/>
        </w:rPr>
        <w:t>页，见第</w:t>
      </w:r>
      <w:r w:rsidRPr="00FC031D">
        <w:t>845</w:t>
      </w:r>
      <w:r w:rsidRPr="00FC031D">
        <w:rPr>
          <w:rFonts w:hint="eastAsia"/>
        </w:rPr>
        <w:t>页。</w:t>
      </w:r>
    </w:p>
  </w:footnote>
  <w:footnote w:id="713">
    <w:p w:rsidR="00AB00DE" w:rsidRPr="00FC031D" w:rsidRDefault="00AB00DE" w:rsidP="00DF5565">
      <w:pPr>
        <w:pStyle w:val="a4"/>
      </w:pPr>
      <w:r w:rsidRPr="00FC031D">
        <w:tab/>
      </w:r>
      <w:r w:rsidRPr="00DF5565">
        <w:rPr>
          <w:rStyle w:val="a5"/>
        </w:rPr>
        <w:footnoteRef/>
      </w:r>
      <w:r w:rsidRPr="00FC031D">
        <w:tab/>
      </w:r>
      <w:r w:rsidRPr="00FC031D">
        <w:rPr>
          <w:rFonts w:hint="eastAsia"/>
        </w:rPr>
        <w:t>《</w:t>
      </w:r>
      <w:r w:rsidRPr="00FC031D">
        <w:t>1966</w:t>
      </w:r>
      <w:r w:rsidRPr="00FC031D">
        <w:rPr>
          <w:rFonts w:hint="eastAsia"/>
        </w:rPr>
        <w:t>年……年鉴》，第二卷，</w:t>
      </w:r>
      <w:r w:rsidRPr="00FC031D">
        <w:t>A/6309/Rev.1</w:t>
      </w:r>
      <w:r w:rsidRPr="00FC031D">
        <w:rPr>
          <w:rFonts w:hint="eastAsia"/>
        </w:rPr>
        <w:t>号文件，第</w:t>
      </w:r>
      <w:r w:rsidRPr="00FC031D">
        <w:t>220</w:t>
      </w:r>
      <w:r w:rsidRPr="00FC031D">
        <w:rPr>
          <w:rFonts w:hint="eastAsia"/>
        </w:rPr>
        <w:t>-221</w:t>
      </w:r>
      <w:r w:rsidRPr="00FC031D">
        <w:rPr>
          <w:rFonts w:hint="eastAsia"/>
        </w:rPr>
        <w:t>页，第</w:t>
      </w:r>
      <w:r w:rsidRPr="00FC031D">
        <w:t>(</w:t>
      </w:r>
      <w:r w:rsidRPr="00FC031D">
        <w:rPr>
          <w:rFonts w:hint="eastAsia"/>
        </w:rPr>
        <w:t>11</w:t>
      </w:r>
      <w:r w:rsidRPr="00FC031D">
        <w:t>)</w:t>
      </w:r>
      <w:r w:rsidRPr="00FC031D">
        <w:rPr>
          <w:rFonts w:hint="eastAsia"/>
        </w:rPr>
        <w:t>段。</w:t>
      </w:r>
    </w:p>
  </w:footnote>
  <w:footnote w:id="714">
    <w:p w:rsidR="00AB00DE" w:rsidRPr="00FC031D" w:rsidRDefault="00AB00DE" w:rsidP="00560424">
      <w:pPr>
        <w:pStyle w:val="a4"/>
      </w:pPr>
      <w:r w:rsidRPr="00FC031D">
        <w:tab/>
      </w:r>
      <w:r w:rsidRPr="00DF5565">
        <w:rPr>
          <w:rStyle w:val="a5"/>
        </w:rPr>
        <w:footnoteRef/>
      </w:r>
      <w:r w:rsidRPr="00FC031D">
        <w:tab/>
      </w:r>
      <w:r w:rsidRPr="00FC031D">
        <w:rPr>
          <w:rFonts w:hint="eastAsia"/>
        </w:rPr>
        <w:t>莱茵铁路公司案仲裁裁决</w:t>
      </w:r>
      <w:r w:rsidRPr="00FC031D">
        <w:rPr>
          <w:rFonts w:hint="eastAsia"/>
        </w:rPr>
        <w:t>(</w:t>
      </w:r>
      <w:r w:rsidRPr="00FC031D">
        <w:rPr>
          <w:rFonts w:hint="eastAsia"/>
        </w:rPr>
        <w:t>见上文脚注</w:t>
      </w:r>
      <w:r>
        <w:fldChar w:fldCharType="begin"/>
      </w:r>
      <w:r>
        <w:instrText xml:space="preserve"> </w:instrText>
      </w:r>
      <w:r>
        <w:rPr>
          <w:rFonts w:hint="eastAsia"/>
        </w:rPr>
        <w:instrText>NOTEREF _Ref461976445 \h</w:instrText>
      </w:r>
      <w:r>
        <w:instrText xml:space="preserve"> </w:instrText>
      </w:r>
      <w:r>
        <w:fldChar w:fldCharType="separate"/>
      </w:r>
      <w:r w:rsidR="00A73EB9">
        <w:t>397</w:t>
      </w:r>
      <w:r>
        <w:fldChar w:fldCharType="end"/>
      </w:r>
      <w:r w:rsidRPr="00FC031D">
        <w:rPr>
          <w:rFonts w:hint="eastAsia"/>
        </w:rPr>
        <w:t>)</w:t>
      </w:r>
      <w:r w:rsidRPr="00FC031D">
        <w:rPr>
          <w:rFonts w:hint="eastAsia"/>
        </w:rPr>
        <w:t>，第</w:t>
      </w:r>
      <w:r w:rsidRPr="00FC031D">
        <w:t>35</w:t>
      </w:r>
      <w:r w:rsidRPr="00FC031D">
        <w:rPr>
          <w:rFonts w:hint="eastAsia"/>
        </w:rPr>
        <w:t>页，见第</w:t>
      </w:r>
      <w:r w:rsidRPr="00FC031D">
        <w:t>81</w:t>
      </w:r>
      <w:r w:rsidRPr="00FC031D">
        <w:rPr>
          <w:rFonts w:hint="eastAsia"/>
        </w:rPr>
        <w:t>段；例如，见</w:t>
      </w:r>
      <w:r w:rsidRPr="00FC031D">
        <w:t>A. Aust,</w:t>
      </w:r>
      <w:r w:rsidRPr="00FC031D">
        <w:rPr>
          <w:rFonts w:hint="eastAsia"/>
        </w:rPr>
        <w:t>《现代条约法和实践》</w:t>
      </w:r>
      <w:r w:rsidRPr="00FC031D">
        <w:rPr>
          <w:rFonts w:hint="eastAsia"/>
        </w:rPr>
        <w:t>(</w:t>
      </w:r>
      <w:r w:rsidRPr="00FC031D">
        <w:rPr>
          <w:rFonts w:hint="eastAsia"/>
        </w:rPr>
        <w:t>见上文脚注</w:t>
      </w:r>
      <w:r>
        <w:fldChar w:fldCharType="begin"/>
      </w:r>
      <w:r>
        <w:instrText xml:space="preserve"> </w:instrText>
      </w:r>
      <w:r>
        <w:rPr>
          <w:rFonts w:hint="eastAsia"/>
        </w:rPr>
        <w:instrText>NOTEREF _Ref461972435 \h</w:instrText>
      </w:r>
      <w:r>
        <w:instrText xml:space="preserve"> </w:instrText>
      </w:r>
      <w:r>
        <w:fldChar w:fldCharType="separate"/>
      </w:r>
      <w:r w:rsidR="00A73EB9">
        <w:t>525</w:t>
      </w:r>
      <w:r>
        <w:fldChar w:fldCharType="end"/>
      </w:r>
      <w:r w:rsidRPr="00FC031D">
        <w:rPr>
          <w:rFonts w:hint="eastAsia"/>
        </w:rPr>
        <w:t>)</w:t>
      </w:r>
      <w:r w:rsidRPr="00FC031D">
        <w:rPr>
          <w:rFonts w:hint="eastAsia"/>
        </w:rPr>
        <w:t>，第</w:t>
      </w:r>
      <w:r w:rsidRPr="00FC031D">
        <w:t>2</w:t>
      </w:r>
      <w:r w:rsidRPr="00FC031D">
        <w:rPr>
          <w:rFonts w:hint="eastAsia"/>
        </w:rPr>
        <w:t>15</w:t>
      </w:r>
      <w:r w:rsidRPr="00FC031D">
        <w:t>-2</w:t>
      </w:r>
      <w:r w:rsidRPr="00FC031D">
        <w:rPr>
          <w:rFonts w:hint="eastAsia"/>
        </w:rPr>
        <w:t>16</w:t>
      </w:r>
      <w:r w:rsidRPr="00FC031D">
        <w:rPr>
          <w:rFonts w:hint="eastAsia"/>
        </w:rPr>
        <w:t>页；</w:t>
      </w:r>
      <w:r w:rsidRPr="00FC031D">
        <w:t>M. Fitzmaurice,</w:t>
      </w:r>
      <w:r w:rsidRPr="00FC031D">
        <w:rPr>
          <w:rFonts w:hint="eastAsia"/>
        </w:rPr>
        <w:t>“动态性</w:t>
      </w:r>
      <w:r w:rsidRPr="00FC031D">
        <w:t>(</w:t>
      </w:r>
      <w:r w:rsidRPr="00FC031D">
        <w:rPr>
          <w:rFonts w:hint="eastAsia"/>
        </w:rPr>
        <w:t>演变性</w:t>
      </w:r>
      <w:r w:rsidRPr="00FC031D">
        <w:t>)</w:t>
      </w:r>
      <w:r w:rsidRPr="00FC031D">
        <w:rPr>
          <w:rFonts w:hint="eastAsia"/>
        </w:rPr>
        <w:t>……解释”</w:t>
      </w:r>
      <w:r w:rsidRPr="00FC031D">
        <w:rPr>
          <w:rFonts w:hint="eastAsia"/>
        </w:rPr>
        <w:t>(</w:t>
      </w:r>
      <w:r w:rsidRPr="00FC031D">
        <w:rPr>
          <w:rFonts w:hint="eastAsia"/>
        </w:rPr>
        <w:t>见上文脚注</w:t>
      </w:r>
      <w:r w:rsidRPr="00FC031D">
        <w:rPr>
          <w:rFonts w:hint="eastAsia"/>
        </w:rPr>
        <w:t>709)</w:t>
      </w:r>
      <w:r w:rsidRPr="00FC031D">
        <w:rPr>
          <w:rFonts w:hint="eastAsia"/>
        </w:rPr>
        <w:t>，见第</w:t>
      </w:r>
      <w:r w:rsidRPr="00FC031D">
        <w:t>29-31</w:t>
      </w:r>
      <w:r w:rsidRPr="00FC031D">
        <w:rPr>
          <w:rFonts w:hint="eastAsia"/>
        </w:rPr>
        <w:t>页；</w:t>
      </w:r>
      <w:r w:rsidRPr="00FC031D">
        <w:t>G. Di Stefano,</w:t>
      </w:r>
      <w:r w:rsidRPr="00FC031D">
        <w:rPr>
          <w:rFonts w:hint="eastAsia"/>
        </w:rPr>
        <w:t>“</w:t>
      </w:r>
      <w:r w:rsidRPr="00FC031D">
        <w:t>L’interprétation évolutive de la norme internationale</w:t>
      </w:r>
      <w:r w:rsidRPr="00FC031D">
        <w:rPr>
          <w:rFonts w:hint="eastAsia"/>
        </w:rPr>
        <w:t>”，</w:t>
      </w:r>
      <w:r w:rsidRPr="00FC031D">
        <w:rPr>
          <w:i/>
          <w:iCs/>
        </w:rPr>
        <w:t xml:space="preserve">Revue générale de droit international public, </w:t>
      </w:r>
      <w:r w:rsidRPr="00FC031D">
        <w:rPr>
          <w:rFonts w:hint="eastAsia"/>
        </w:rPr>
        <w:t>第</w:t>
      </w:r>
      <w:r w:rsidRPr="00FC031D">
        <w:t>115</w:t>
      </w:r>
      <w:r w:rsidRPr="00FC031D">
        <w:rPr>
          <w:rFonts w:hint="eastAsia"/>
        </w:rPr>
        <w:t>卷，第</w:t>
      </w:r>
      <w:r w:rsidRPr="00FC031D">
        <w:rPr>
          <w:rFonts w:hint="eastAsia"/>
        </w:rPr>
        <w:t>2</w:t>
      </w:r>
      <w:r w:rsidRPr="00FC031D">
        <w:rPr>
          <w:rFonts w:hint="eastAsia"/>
        </w:rPr>
        <w:t>号</w:t>
      </w:r>
      <w:r w:rsidRPr="00FC031D">
        <w:t>(2011</w:t>
      </w:r>
      <w:r w:rsidRPr="00FC031D">
        <w:rPr>
          <w:rFonts w:hint="eastAsia"/>
        </w:rPr>
        <w:t>年</w:t>
      </w:r>
      <w:r w:rsidRPr="00FC031D">
        <w:t>)</w:t>
      </w:r>
      <w:r w:rsidRPr="00FC031D">
        <w:rPr>
          <w:rFonts w:hint="eastAsia"/>
        </w:rPr>
        <w:t>，第</w:t>
      </w:r>
      <w:r w:rsidRPr="00FC031D">
        <w:t>373</w:t>
      </w:r>
      <w:r w:rsidRPr="00FC031D">
        <w:rPr>
          <w:rFonts w:hint="eastAsia"/>
        </w:rPr>
        <w:t>-396</w:t>
      </w:r>
      <w:r w:rsidRPr="00FC031D">
        <w:rPr>
          <w:rFonts w:hint="eastAsia"/>
        </w:rPr>
        <w:t>页，见第</w:t>
      </w:r>
      <w:r w:rsidRPr="00FC031D">
        <w:t>384</w:t>
      </w:r>
      <w:r w:rsidRPr="00FC031D">
        <w:rPr>
          <w:rFonts w:hint="eastAsia"/>
        </w:rPr>
        <w:t>页和第</w:t>
      </w:r>
      <w:r w:rsidRPr="00FC031D">
        <w:rPr>
          <w:rFonts w:hint="eastAsia"/>
        </w:rPr>
        <w:t>389</w:t>
      </w:r>
      <w:r w:rsidRPr="00FC031D">
        <w:rPr>
          <w:rFonts w:hint="eastAsia"/>
        </w:rPr>
        <w:t>页及以下各页；</w:t>
      </w:r>
      <w:r w:rsidRPr="00FC031D">
        <w:t>Higgins,</w:t>
      </w:r>
      <w:r w:rsidRPr="00FC031D">
        <w:rPr>
          <w:rFonts w:hint="eastAsia"/>
        </w:rPr>
        <w:t>“关于……时效规则的若干意见</w:t>
      </w:r>
      <w:r w:rsidRPr="00FC031D">
        <w:rPr>
          <w:rFonts w:hint="eastAsia"/>
        </w:rPr>
        <w:t>(</w:t>
      </w:r>
      <w:r w:rsidRPr="00FC031D">
        <w:rPr>
          <w:rFonts w:hint="eastAsia"/>
        </w:rPr>
        <w:t>见上文脚注</w:t>
      </w:r>
      <w:r w:rsidRPr="00FC031D">
        <w:rPr>
          <w:rFonts w:hint="eastAsia"/>
        </w:rPr>
        <w:t>636)</w:t>
      </w:r>
      <w:r w:rsidRPr="00FC031D">
        <w:rPr>
          <w:rFonts w:hint="eastAsia"/>
        </w:rPr>
        <w:t>，见第</w:t>
      </w:r>
      <w:r w:rsidRPr="00FC031D">
        <w:t>174</w:t>
      </w:r>
      <w:r w:rsidRPr="00FC031D">
        <w:rPr>
          <w:rFonts w:hint="eastAsia"/>
        </w:rPr>
        <w:t>页及以下各页；</w:t>
      </w:r>
      <w:r w:rsidRPr="00FC031D">
        <w:t>Sorel</w:t>
      </w:r>
      <w:r w:rsidRPr="00FC031D">
        <w:rPr>
          <w:rFonts w:hint="eastAsia"/>
        </w:rPr>
        <w:t>和</w:t>
      </w:r>
      <w:r w:rsidRPr="00FC031D">
        <w:t>Boré Eveno,</w:t>
      </w:r>
      <w:r w:rsidRPr="00FC031D">
        <w:rPr>
          <w:rFonts w:hint="eastAsia"/>
        </w:rPr>
        <w:t>“</w:t>
      </w:r>
      <w:r w:rsidRPr="00FC031D">
        <w:t>1969</w:t>
      </w:r>
      <w:r w:rsidRPr="00FC031D">
        <w:rPr>
          <w:rFonts w:hint="eastAsia"/>
        </w:rPr>
        <w:t>年《维也纳公约》第三十一条……”</w:t>
      </w:r>
      <w:r w:rsidRPr="00FC031D">
        <w:rPr>
          <w:rFonts w:hint="eastAsia"/>
        </w:rPr>
        <w:t>(</w:t>
      </w:r>
      <w:r w:rsidRPr="00FC031D">
        <w:rPr>
          <w:rFonts w:hint="eastAsia"/>
        </w:rPr>
        <w:t>见上文脚注</w:t>
      </w:r>
      <w:r>
        <w:rPr>
          <w:lang w:val="fr-FR"/>
        </w:rPr>
        <w:fldChar w:fldCharType="begin"/>
      </w:r>
      <w:r w:rsidRPr="00267AB1">
        <w:instrText xml:space="preserve"> NOTEREF _Ref461973900 \h </w:instrText>
      </w:r>
      <w:r>
        <w:rPr>
          <w:lang w:val="fr-FR"/>
        </w:rPr>
      </w:r>
      <w:r>
        <w:rPr>
          <w:lang w:val="fr-FR"/>
        </w:rPr>
        <w:fldChar w:fldCharType="separate"/>
      </w:r>
      <w:r w:rsidR="00A73EB9">
        <w:t>440</w:t>
      </w:r>
      <w:r>
        <w:rPr>
          <w:lang w:val="fr-FR"/>
        </w:rPr>
        <w:fldChar w:fldCharType="end"/>
      </w:r>
      <w:r w:rsidRPr="00FC031D">
        <w:rPr>
          <w:rFonts w:hint="eastAsia"/>
        </w:rPr>
        <w:t>)</w:t>
      </w:r>
      <w:r w:rsidRPr="00FC031D">
        <w:rPr>
          <w:rFonts w:hint="eastAsia"/>
        </w:rPr>
        <w:t>，见第</w:t>
      </w:r>
      <w:r w:rsidRPr="00FC031D">
        <w:t>80</w:t>
      </w:r>
      <w:r w:rsidRPr="00FC031D">
        <w:rPr>
          <w:rFonts w:hint="eastAsia"/>
        </w:rPr>
        <w:t>7</w:t>
      </w:r>
      <w:r w:rsidRPr="00FC031D">
        <w:rPr>
          <w:rFonts w:hint="eastAsia"/>
        </w:rPr>
        <w:t>页，第</w:t>
      </w:r>
      <w:r w:rsidRPr="00FC031D">
        <w:t>8</w:t>
      </w:r>
      <w:r w:rsidRPr="00FC031D">
        <w:rPr>
          <w:rFonts w:hint="eastAsia"/>
        </w:rPr>
        <w:t>段；</w:t>
      </w:r>
      <w:r w:rsidRPr="00FC031D">
        <w:t>P.-M. Dupuy,</w:t>
      </w:r>
      <w:r w:rsidRPr="00FC031D">
        <w:rPr>
          <w:rFonts w:hint="eastAsia"/>
        </w:rPr>
        <w:t>“条约的演变性解释”，载于</w:t>
      </w:r>
      <w:r w:rsidRPr="00FC031D">
        <w:t xml:space="preserve">Cannizzaro, </w:t>
      </w:r>
      <w:r w:rsidRPr="00FC031D">
        <w:rPr>
          <w:rFonts w:hint="eastAsia"/>
        </w:rPr>
        <w:t>《……条约法》</w:t>
      </w:r>
      <w:r w:rsidRPr="00FC031D">
        <w:rPr>
          <w:rFonts w:hint="eastAsia"/>
        </w:rPr>
        <w:t>(</w:t>
      </w:r>
      <w:r w:rsidRPr="00FC031D">
        <w:rPr>
          <w:rFonts w:hint="eastAsia"/>
        </w:rPr>
        <w:t>见上文脚注</w:t>
      </w:r>
      <w:r>
        <w:fldChar w:fldCharType="begin"/>
      </w:r>
      <w:r>
        <w:instrText xml:space="preserve"> </w:instrText>
      </w:r>
      <w:r>
        <w:rPr>
          <w:rFonts w:hint="eastAsia"/>
        </w:rPr>
        <w:instrText>NOTEREF _Ref461972537 \h</w:instrText>
      </w:r>
      <w:r>
        <w:instrText xml:space="preserve"> </w:instrText>
      </w:r>
      <w:r>
        <w:fldChar w:fldCharType="separate"/>
      </w:r>
      <w:r w:rsidR="00A73EB9">
        <w:t>439</w:t>
      </w:r>
      <w:r>
        <w:fldChar w:fldCharType="end"/>
      </w:r>
      <w:r w:rsidRPr="00FC031D">
        <w:rPr>
          <w:rFonts w:hint="eastAsia"/>
        </w:rPr>
        <w:t>)</w:t>
      </w:r>
      <w:r w:rsidRPr="00FC031D">
        <w:rPr>
          <w:rFonts w:hint="eastAsia"/>
        </w:rPr>
        <w:t>，见第</w:t>
      </w:r>
      <w:r w:rsidRPr="00FC031D">
        <w:t>125</w:t>
      </w:r>
      <w:r w:rsidRPr="00FC031D">
        <w:rPr>
          <w:rFonts w:hint="eastAsia"/>
        </w:rPr>
        <w:t>页及以下各页；</w:t>
      </w:r>
      <w:r w:rsidRPr="00FC031D">
        <w:t>M. Kotzur,</w:t>
      </w:r>
      <w:r w:rsidRPr="00FC031D">
        <w:rPr>
          <w:rFonts w:hint="eastAsia"/>
        </w:rPr>
        <w:t>“</w:t>
      </w:r>
      <w:r w:rsidRPr="00FC031D">
        <w:t>国际法</w:t>
      </w:r>
      <w:r w:rsidRPr="00FC031D">
        <w:rPr>
          <w:rFonts w:hint="eastAsia"/>
        </w:rPr>
        <w:t>”</w:t>
      </w:r>
      <w:r w:rsidRPr="00FC031D">
        <w:t>(</w:t>
      </w:r>
      <w:r w:rsidRPr="00FC031D">
        <w:rPr>
          <w:rFonts w:hint="eastAsia"/>
        </w:rPr>
        <w:t>见上文脚注</w:t>
      </w:r>
      <w:r>
        <w:fldChar w:fldCharType="begin"/>
      </w:r>
      <w:r>
        <w:instrText xml:space="preserve"> </w:instrText>
      </w:r>
      <w:r>
        <w:rPr>
          <w:rFonts w:hint="eastAsia"/>
        </w:rPr>
        <w:instrText>NOTEREF _Ref364163724 \h</w:instrText>
      </w:r>
      <w:r>
        <w:instrText xml:space="preserve"> </w:instrText>
      </w:r>
      <w:r>
        <w:fldChar w:fldCharType="separate"/>
      </w:r>
      <w:r w:rsidR="00A73EB9">
        <w:t>709</w:t>
      </w:r>
      <w:r>
        <w:fldChar w:fldCharType="end"/>
      </w:r>
      <w:r w:rsidRPr="00FC031D">
        <w:rPr>
          <w:rFonts w:hint="eastAsia"/>
        </w:rPr>
        <w:t>)</w:t>
      </w:r>
      <w:r w:rsidRPr="00FC031D">
        <w:rPr>
          <w:rFonts w:hint="eastAsia"/>
        </w:rPr>
        <w:t>，见第</w:t>
      </w:r>
      <w:r w:rsidRPr="00FC031D">
        <w:t>14</w:t>
      </w:r>
      <w:r w:rsidRPr="00FC031D">
        <w:rPr>
          <w:rFonts w:hint="eastAsia"/>
        </w:rPr>
        <w:t>段。</w:t>
      </w:r>
    </w:p>
  </w:footnote>
  <w:footnote w:id="715">
    <w:p w:rsidR="00AB00DE" w:rsidRPr="00FC031D" w:rsidRDefault="00AB00DE" w:rsidP="00560424">
      <w:pPr>
        <w:pStyle w:val="a4"/>
      </w:pPr>
      <w:r w:rsidRPr="00FC031D">
        <w:tab/>
      </w:r>
      <w:r w:rsidRPr="00DF5565">
        <w:rPr>
          <w:rStyle w:val="a5"/>
        </w:rPr>
        <w:footnoteRef/>
      </w:r>
      <w:r w:rsidRPr="00FC031D">
        <w:tab/>
      </w:r>
      <w:r w:rsidRPr="00FC031D">
        <w:rPr>
          <w:rFonts w:hint="eastAsia"/>
        </w:rPr>
        <w:t>《</w:t>
      </w:r>
      <w:r w:rsidRPr="00FC031D">
        <w:t>1966</w:t>
      </w:r>
      <w:r w:rsidRPr="00FC031D">
        <w:rPr>
          <w:rFonts w:hint="eastAsia"/>
        </w:rPr>
        <w:t>年……年鉴》，第二卷，</w:t>
      </w:r>
      <w:r w:rsidRPr="00FC031D">
        <w:t>A/6309/Rev.1</w:t>
      </w:r>
      <w:r w:rsidRPr="00FC031D">
        <w:rPr>
          <w:rFonts w:hint="eastAsia"/>
        </w:rPr>
        <w:t>号文件，第</w:t>
      </w:r>
      <w:r w:rsidRPr="00FC031D">
        <w:t>22</w:t>
      </w:r>
      <w:r w:rsidRPr="00FC031D">
        <w:rPr>
          <w:rFonts w:hint="eastAsia"/>
        </w:rPr>
        <w:t>2</w:t>
      </w:r>
      <w:r w:rsidRPr="00FC031D">
        <w:rPr>
          <w:rFonts w:hint="eastAsia"/>
        </w:rPr>
        <w:t>页，第</w:t>
      </w:r>
      <w:r w:rsidRPr="00FC031D">
        <w:t>(1</w:t>
      </w:r>
      <w:r w:rsidRPr="00FC031D">
        <w:rPr>
          <w:rFonts w:hint="eastAsia"/>
        </w:rPr>
        <w:t>6</w:t>
      </w:r>
      <w:r w:rsidRPr="00FC031D">
        <w:t>)</w:t>
      </w:r>
      <w:r w:rsidRPr="00FC031D">
        <w:rPr>
          <w:rFonts w:hint="eastAsia"/>
        </w:rPr>
        <w:t>段；</w:t>
      </w:r>
      <w:r w:rsidRPr="00FC031D">
        <w:t>Higgins,</w:t>
      </w:r>
      <w:r w:rsidRPr="00FC031D">
        <w:rPr>
          <w:rFonts w:hint="eastAsia"/>
        </w:rPr>
        <w:t>“关于……时效规则的若干意见”</w:t>
      </w:r>
      <w:r w:rsidRPr="00FC031D">
        <w:t>(</w:t>
      </w:r>
      <w:r w:rsidRPr="00FC031D">
        <w:rPr>
          <w:rFonts w:hint="eastAsia"/>
        </w:rPr>
        <w:t>见上文脚注</w:t>
      </w:r>
      <w:r>
        <w:fldChar w:fldCharType="begin"/>
      </w:r>
      <w:r>
        <w:instrText xml:space="preserve"> </w:instrText>
      </w:r>
      <w:r>
        <w:rPr>
          <w:rFonts w:hint="eastAsia"/>
        </w:rPr>
        <w:instrText>NOTEREF _Ref461976325 \h</w:instrText>
      </w:r>
      <w:r>
        <w:instrText xml:space="preserve"> </w:instrText>
      </w:r>
      <w:r>
        <w:fldChar w:fldCharType="separate"/>
      </w:r>
      <w:r w:rsidR="00A73EB9">
        <w:t>636</w:t>
      </w:r>
      <w:r>
        <w:fldChar w:fldCharType="end"/>
      </w:r>
      <w:r w:rsidRPr="00FC031D">
        <w:t>)</w:t>
      </w:r>
      <w:r w:rsidRPr="00FC031D">
        <w:rPr>
          <w:rFonts w:hint="eastAsia"/>
        </w:rPr>
        <w:t>，见第</w:t>
      </w:r>
      <w:r w:rsidRPr="00FC031D">
        <w:t>178</w:t>
      </w:r>
      <w:r w:rsidRPr="00FC031D">
        <w:rPr>
          <w:rFonts w:hint="eastAsia"/>
        </w:rPr>
        <w:t>页。</w:t>
      </w:r>
    </w:p>
  </w:footnote>
  <w:footnote w:id="716">
    <w:p w:rsidR="00AB00DE" w:rsidRPr="00FC031D" w:rsidRDefault="00AB00DE" w:rsidP="00DF5565">
      <w:pPr>
        <w:pStyle w:val="a4"/>
      </w:pPr>
      <w:r w:rsidRPr="00FC031D">
        <w:tab/>
      </w:r>
      <w:r w:rsidRPr="00DF5565">
        <w:rPr>
          <w:rStyle w:val="a5"/>
        </w:rPr>
        <w:footnoteRef/>
      </w:r>
      <w:r w:rsidRPr="00FC031D">
        <w:tab/>
      </w:r>
      <w:r w:rsidRPr="00FC031D">
        <w:t>国际法不成体系问题研究组的报告，</w:t>
      </w:r>
      <w:r w:rsidRPr="00FC031D">
        <w:rPr>
          <w:rFonts w:hint="eastAsia"/>
        </w:rPr>
        <w:t>2006</w:t>
      </w:r>
      <w:r w:rsidRPr="00FC031D">
        <w:rPr>
          <w:rFonts w:hint="eastAsia"/>
        </w:rPr>
        <w:t>年，</w:t>
      </w:r>
      <w:r w:rsidRPr="00FC031D">
        <w:rPr>
          <w:rFonts w:hint="eastAsia"/>
        </w:rPr>
        <w:t>(</w:t>
      </w:r>
      <w:hyperlink r:id="rId85" w:history="1">
        <w:r w:rsidRPr="00FC031D">
          <w:rPr>
            <w:rStyle w:val="af"/>
          </w:rPr>
          <w:t>A/CN.4/L.682</w:t>
        </w:r>
      </w:hyperlink>
      <w:r w:rsidRPr="00FC031D">
        <w:t>和</w:t>
      </w:r>
      <w:hyperlink r:id="rId86" w:history="1">
        <w:r w:rsidRPr="00FC031D">
          <w:rPr>
            <w:rStyle w:val="af"/>
          </w:rPr>
          <w:t>Corr.1</w:t>
        </w:r>
      </w:hyperlink>
      <w:r w:rsidRPr="00FC031D">
        <w:rPr>
          <w:rFonts w:hint="eastAsia"/>
        </w:rPr>
        <w:t>)</w:t>
      </w:r>
      <w:r w:rsidRPr="00FC031D">
        <w:rPr>
          <w:rFonts w:hint="eastAsia"/>
        </w:rPr>
        <w:t>，</w:t>
      </w:r>
      <w:r w:rsidRPr="00FC031D">
        <w:t>第</w:t>
      </w:r>
      <w:r w:rsidRPr="00FC031D">
        <w:t>478</w:t>
      </w:r>
      <w:r w:rsidRPr="00FC031D">
        <w:t>段。</w:t>
      </w:r>
    </w:p>
  </w:footnote>
  <w:footnote w:id="717">
    <w:p w:rsidR="00AB00DE" w:rsidRPr="00FC031D" w:rsidRDefault="00AB00DE" w:rsidP="00D90936">
      <w:pPr>
        <w:pStyle w:val="a4"/>
      </w:pPr>
      <w:r w:rsidRPr="00FC031D">
        <w:tab/>
      </w:r>
      <w:r w:rsidRPr="00DF5565">
        <w:rPr>
          <w:rStyle w:val="a5"/>
        </w:rPr>
        <w:footnoteRef/>
      </w:r>
      <w:r w:rsidRPr="00FC031D">
        <w:tab/>
      </w:r>
      <w:r w:rsidRPr="00FC031D">
        <w:rPr>
          <w:rFonts w:hint="eastAsia"/>
        </w:rPr>
        <w:t>关于航行权和相关权利的争端案</w:t>
      </w:r>
      <w:r w:rsidRPr="00FC031D">
        <w:rPr>
          <w:rFonts w:hint="eastAsia"/>
        </w:rPr>
        <w:t>(</w:t>
      </w:r>
      <w:r w:rsidRPr="00FC031D">
        <w:rPr>
          <w:rFonts w:hint="eastAsia"/>
        </w:rPr>
        <w:t>见上文脚注</w:t>
      </w:r>
      <w:r>
        <w:rPr>
          <w:lang w:val="zh-CN"/>
        </w:rPr>
        <w:fldChar w:fldCharType="begin"/>
      </w:r>
      <w:r w:rsidRPr="00D90936">
        <w:instrText xml:space="preserve"> NOTEREF _Ref461971066 \h </w:instrText>
      </w:r>
      <w:r>
        <w:rPr>
          <w:lang w:val="zh-CN"/>
        </w:rPr>
      </w:r>
      <w:r>
        <w:rPr>
          <w:lang w:val="zh-CN"/>
        </w:rPr>
        <w:fldChar w:fldCharType="separate"/>
      </w:r>
      <w:r w:rsidR="00A73EB9">
        <w:t>395</w:t>
      </w:r>
      <w:r>
        <w:rPr>
          <w:lang w:val="zh-CN"/>
        </w:rPr>
        <w:fldChar w:fldCharType="end"/>
      </w:r>
      <w:r w:rsidRPr="00FC031D">
        <w:rPr>
          <w:rFonts w:hint="eastAsia"/>
        </w:rPr>
        <w:t>)</w:t>
      </w:r>
      <w:r w:rsidRPr="00FC031D">
        <w:rPr>
          <w:rFonts w:hint="eastAsia"/>
        </w:rPr>
        <w:t>，纪尧姆专案法官的声明，第</w:t>
      </w:r>
      <w:r w:rsidRPr="00FC031D">
        <w:t>290</w:t>
      </w:r>
      <w:r w:rsidRPr="00FC031D">
        <w:rPr>
          <w:rFonts w:hint="eastAsia"/>
        </w:rPr>
        <w:t>页起，见第</w:t>
      </w:r>
      <w:r w:rsidRPr="00FC031D">
        <w:t>294</w:t>
      </w:r>
      <w:r w:rsidRPr="00FC031D">
        <w:rPr>
          <w:rFonts w:hint="eastAsia"/>
        </w:rPr>
        <w:t>页及以下各页，第</w:t>
      </w:r>
      <w:r w:rsidRPr="00FC031D">
        <w:t>9</w:t>
      </w:r>
      <w:r w:rsidRPr="00FC031D">
        <w:rPr>
          <w:rFonts w:hint="eastAsia"/>
        </w:rPr>
        <w:t>段及以下各段；另见《</w:t>
      </w:r>
      <w:r w:rsidRPr="00FC031D">
        <w:rPr>
          <w:rFonts w:hint="eastAsia"/>
        </w:rPr>
        <w:t>2005</w:t>
      </w:r>
      <w:r w:rsidRPr="00FC031D">
        <w:rPr>
          <w:rFonts w:hint="eastAsia"/>
        </w:rPr>
        <w:t>年……年鉴》，第二卷</w:t>
      </w:r>
      <w:r w:rsidRPr="00FC031D">
        <w:rPr>
          <w:rFonts w:hint="eastAsia"/>
        </w:rPr>
        <w:t>(</w:t>
      </w:r>
      <w:r w:rsidRPr="00FC031D">
        <w:rPr>
          <w:rFonts w:hint="eastAsia"/>
        </w:rPr>
        <w:t>第二部分</w:t>
      </w:r>
      <w:r w:rsidRPr="00FC031D">
        <w:rPr>
          <w:rFonts w:hint="eastAsia"/>
        </w:rPr>
        <w:t>)</w:t>
      </w:r>
      <w:r w:rsidRPr="00FC031D">
        <w:rPr>
          <w:rFonts w:hint="eastAsia"/>
        </w:rPr>
        <w:t>，第</w:t>
      </w:r>
      <w:r w:rsidRPr="00FC031D">
        <w:rPr>
          <w:rFonts w:hint="eastAsia"/>
        </w:rPr>
        <w:t>89</w:t>
      </w:r>
      <w:r w:rsidRPr="00FC031D">
        <w:rPr>
          <w:rFonts w:hint="eastAsia"/>
        </w:rPr>
        <w:t>页，</w:t>
      </w:r>
      <w:r w:rsidRPr="00FC031D">
        <w:t>479</w:t>
      </w:r>
      <w:r w:rsidRPr="00FC031D">
        <w:rPr>
          <w:rFonts w:hint="eastAsia"/>
        </w:rPr>
        <w:t>段；国际法不成体系问题研究组的报告</w:t>
      </w:r>
      <w:r w:rsidRPr="00FC031D">
        <w:rPr>
          <w:rFonts w:hint="eastAsia"/>
        </w:rPr>
        <w:t>(</w:t>
      </w:r>
      <w:hyperlink r:id="rId87" w:history="1">
        <w:r w:rsidRPr="00FC031D">
          <w:rPr>
            <w:rStyle w:val="af"/>
          </w:rPr>
          <w:t>A/CN.4/L.682</w:t>
        </w:r>
      </w:hyperlink>
      <w:r w:rsidRPr="00FC031D">
        <w:rPr>
          <w:rFonts w:hint="eastAsia"/>
        </w:rPr>
        <w:t>和</w:t>
      </w:r>
      <w:hyperlink r:id="rId88" w:history="1">
        <w:r w:rsidRPr="00FC031D">
          <w:rPr>
            <w:rStyle w:val="af"/>
          </w:rPr>
          <w:t>Corr.1</w:t>
        </w:r>
      </w:hyperlink>
      <w:r w:rsidRPr="00FC031D">
        <w:rPr>
          <w:rFonts w:hint="eastAsia"/>
        </w:rPr>
        <w:t>)</w:t>
      </w:r>
      <w:r w:rsidRPr="00FC031D">
        <w:rPr>
          <w:rFonts w:hint="eastAsia"/>
        </w:rPr>
        <w:t>，第</w:t>
      </w:r>
      <w:r w:rsidRPr="00FC031D">
        <w:t>478</w:t>
      </w:r>
      <w:r w:rsidRPr="00FC031D">
        <w:rPr>
          <w:rFonts w:hint="eastAsia"/>
        </w:rPr>
        <w:t>段；国际法学会，关于“公共国际法中的时际问题”的决议，《国际法学会年刊》，第</w:t>
      </w:r>
      <w:r w:rsidRPr="00FC031D">
        <w:rPr>
          <w:rFonts w:hint="eastAsia"/>
        </w:rPr>
        <w:t>56</w:t>
      </w:r>
      <w:r w:rsidRPr="00FC031D">
        <w:rPr>
          <w:rFonts w:hint="eastAsia"/>
        </w:rPr>
        <w:t>卷</w:t>
      </w:r>
      <w:r w:rsidRPr="00FC031D">
        <w:rPr>
          <w:rFonts w:hint="eastAsia"/>
        </w:rPr>
        <w:t>(</w:t>
      </w:r>
      <w:r w:rsidRPr="00FC031D">
        <w:rPr>
          <w:rFonts w:hint="eastAsia"/>
        </w:rPr>
        <w:t>威斯巴登届会，</w:t>
      </w:r>
      <w:r w:rsidRPr="00FC031D">
        <w:t>1975</w:t>
      </w:r>
      <w:r w:rsidRPr="00FC031D">
        <w:rPr>
          <w:rFonts w:hint="eastAsia"/>
          <w:lang w:val="fr-FR"/>
        </w:rPr>
        <w:t>年</w:t>
      </w:r>
      <w:r w:rsidRPr="00FC031D">
        <w:t>)</w:t>
      </w:r>
      <w:r w:rsidRPr="00FC031D">
        <w:rPr>
          <w:rFonts w:hint="eastAsia"/>
        </w:rPr>
        <w:t>，第</w:t>
      </w:r>
      <w:r w:rsidRPr="00FC031D">
        <w:t>536</w:t>
      </w:r>
      <w:r w:rsidRPr="00FC031D">
        <w:rPr>
          <w:rFonts w:hint="eastAsia"/>
        </w:rPr>
        <w:t>页及以下各页</w:t>
      </w:r>
      <w:r w:rsidRPr="00FC031D">
        <w:rPr>
          <w:rFonts w:hint="eastAsia"/>
        </w:rPr>
        <w:t>(</w:t>
      </w:r>
      <w:hyperlink r:id="rId89" w:history="1">
        <w:r w:rsidRPr="00FC031D">
          <w:t>www.idi-iil.org</w:t>
        </w:r>
      </w:hyperlink>
      <w:r w:rsidRPr="00FC031D">
        <w:t>)</w:t>
      </w:r>
      <w:r w:rsidRPr="00FC031D">
        <w:rPr>
          <w:rFonts w:hint="eastAsia"/>
        </w:rPr>
        <w:t>。</w:t>
      </w:r>
    </w:p>
  </w:footnote>
  <w:footnote w:id="718">
    <w:p w:rsidR="00AB00DE" w:rsidRPr="00FC031D" w:rsidRDefault="00AB00DE" w:rsidP="00560424">
      <w:pPr>
        <w:pStyle w:val="a4"/>
      </w:pPr>
      <w:r w:rsidRPr="00FC031D">
        <w:tab/>
      </w:r>
      <w:r w:rsidRPr="00DF5565">
        <w:rPr>
          <w:rStyle w:val="a5"/>
        </w:rPr>
        <w:footnoteRef/>
      </w:r>
      <w:r w:rsidRPr="00FC031D">
        <w:tab/>
      </w:r>
      <w:r w:rsidRPr="00FC031D">
        <w:rPr>
          <w:rFonts w:ascii="Time New Roman" w:eastAsia="楷体" w:hAnsi="Time New Roman" w:hint="eastAsia"/>
          <w:iCs/>
        </w:rPr>
        <w:t>阿根廷和智利在第</w:t>
      </w:r>
      <w:r w:rsidRPr="00FC031D">
        <w:rPr>
          <w:rFonts w:ascii="Time New Roman" w:eastAsia="楷体" w:hAnsi="Time New Roman" w:hint="eastAsia"/>
          <w:iCs/>
        </w:rPr>
        <w:t>62</w:t>
      </w:r>
      <w:r w:rsidRPr="00FC031D">
        <w:rPr>
          <w:rFonts w:ascii="Time New Roman" w:eastAsia="楷体" w:hAnsi="Time New Roman" w:hint="eastAsia"/>
          <w:iCs/>
        </w:rPr>
        <w:t>号界桩与菲茨罗伊峰之间划界争端案</w:t>
      </w:r>
      <w:r w:rsidRPr="00FC031D">
        <w:rPr>
          <w:rFonts w:hint="eastAsia"/>
          <w:iCs/>
        </w:rPr>
        <w:t>，</w:t>
      </w:r>
      <w:r w:rsidRPr="00FC031D">
        <w:t>1994</w:t>
      </w:r>
      <w:r w:rsidRPr="00FC031D">
        <w:rPr>
          <w:rFonts w:hint="eastAsia"/>
        </w:rPr>
        <w:t>年</w:t>
      </w:r>
      <w:r w:rsidRPr="00FC031D">
        <w:t>10</w:t>
      </w:r>
      <w:r w:rsidRPr="00FC031D">
        <w:rPr>
          <w:rFonts w:hint="eastAsia"/>
        </w:rPr>
        <w:t>月</w:t>
      </w:r>
      <w:r w:rsidRPr="00FC031D">
        <w:t>21</w:t>
      </w:r>
      <w:r w:rsidRPr="00FC031D">
        <w:rPr>
          <w:rFonts w:hint="eastAsia"/>
        </w:rPr>
        <w:t>日的裁决，《国际仲裁裁决汇编》，第二十二卷</w:t>
      </w:r>
      <w:r w:rsidRPr="00FC031D">
        <w:rPr>
          <w:rFonts w:hint="eastAsia"/>
        </w:rPr>
        <w:t>(</w:t>
      </w:r>
      <w:r w:rsidRPr="00FC031D">
        <w:rPr>
          <w:rFonts w:hint="eastAsia"/>
        </w:rPr>
        <w:t>出售品编号</w:t>
      </w:r>
      <w:r w:rsidRPr="00FC031D">
        <w:t>E/F.00.V.7)</w:t>
      </w:r>
      <w:r w:rsidRPr="00FC031D">
        <w:rPr>
          <w:rFonts w:hint="eastAsia"/>
        </w:rPr>
        <w:t>，第</w:t>
      </w:r>
      <w:r w:rsidRPr="00FC031D">
        <w:rPr>
          <w:rFonts w:hint="eastAsia"/>
        </w:rPr>
        <w:t>3-149</w:t>
      </w:r>
      <w:r w:rsidRPr="00FC031D">
        <w:rPr>
          <w:rFonts w:hint="eastAsia"/>
        </w:rPr>
        <w:t>页，见第</w:t>
      </w:r>
      <w:r w:rsidRPr="00FC031D">
        <w:t>43</w:t>
      </w:r>
      <w:r w:rsidRPr="00FC031D">
        <w:rPr>
          <w:rFonts w:hint="eastAsia"/>
        </w:rPr>
        <w:t>页，第</w:t>
      </w:r>
      <w:r w:rsidRPr="00FC031D">
        <w:t>130</w:t>
      </w:r>
      <w:r w:rsidRPr="00FC031D">
        <w:rPr>
          <w:rFonts w:hint="eastAsia"/>
        </w:rPr>
        <w:t>段；另外关于“分水岭”一词，参见</w:t>
      </w:r>
      <w:r w:rsidRPr="00FC031D">
        <w:rPr>
          <w:rFonts w:ascii="Time New Roman" w:eastAsia="楷体" w:hAnsi="Time New Roman" w:hint="eastAsia"/>
          <w:iCs/>
        </w:rPr>
        <w:t>隆瑞古寺案</w:t>
      </w:r>
      <w:r w:rsidRPr="00FC031D">
        <w:rPr>
          <w:rFonts w:hint="eastAsia"/>
        </w:rPr>
        <w:t>(</w:t>
      </w:r>
      <w:r w:rsidRPr="00FC031D">
        <w:rPr>
          <w:rFonts w:hint="eastAsia"/>
        </w:rPr>
        <w:t>见上文脚注</w:t>
      </w:r>
      <w:r>
        <w:fldChar w:fldCharType="begin"/>
      </w:r>
      <w:r>
        <w:instrText xml:space="preserve"> </w:instrText>
      </w:r>
      <w:r>
        <w:rPr>
          <w:rFonts w:hint="eastAsia"/>
        </w:rPr>
        <w:instrText>NOTEREF _Ref461976005 \h</w:instrText>
      </w:r>
      <w:r>
        <w:instrText xml:space="preserve"> </w:instrText>
      </w:r>
      <w:r>
        <w:fldChar w:fldCharType="separate"/>
      </w:r>
      <w:r w:rsidR="00A73EB9">
        <w:t>488</w:t>
      </w:r>
      <w:r>
        <w:fldChar w:fldCharType="end"/>
      </w:r>
      <w:r w:rsidRPr="00FC031D">
        <w:rPr>
          <w:rFonts w:hint="eastAsia"/>
        </w:rPr>
        <w:t>)</w:t>
      </w:r>
      <w:r w:rsidRPr="00FC031D">
        <w:rPr>
          <w:rFonts w:hint="eastAsia"/>
        </w:rPr>
        <w:t>，见第</w:t>
      </w:r>
      <w:r w:rsidRPr="00FC031D">
        <w:rPr>
          <w:rFonts w:hint="eastAsia"/>
        </w:rPr>
        <w:t>16-22</w:t>
      </w:r>
      <w:r w:rsidRPr="00FC031D">
        <w:t>页。</w:t>
      </w:r>
    </w:p>
  </w:footnote>
  <w:footnote w:id="719">
    <w:p w:rsidR="00AB00DE" w:rsidRPr="00FC031D" w:rsidRDefault="00AB00DE" w:rsidP="00D90936">
      <w:pPr>
        <w:pStyle w:val="a4"/>
      </w:pPr>
      <w:r w:rsidRPr="00FC031D">
        <w:tab/>
      </w:r>
      <w:r w:rsidRPr="00DF5565">
        <w:rPr>
          <w:rStyle w:val="a5"/>
        </w:rPr>
        <w:footnoteRef/>
      </w:r>
      <w:r w:rsidRPr="00FC031D">
        <w:tab/>
      </w:r>
      <w:r w:rsidRPr="00FC031D">
        <w:rPr>
          <w:rFonts w:hint="eastAsia"/>
        </w:rPr>
        <w:t>卡西基里</w:t>
      </w:r>
      <w:r w:rsidRPr="00FC031D">
        <w:t>/</w:t>
      </w:r>
      <w:r w:rsidRPr="00FC031D">
        <w:rPr>
          <w:rFonts w:hint="eastAsia"/>
        </w:rPr>
        <w:t>塞杜杜岛案</w:t>
      </w:r>
      <w:r w:rsidRPr="00FC031D">
        <w:rPr>
          <w:rFonts w:hint="eastAsia"/>
        </w:rPr>
        <w:t>(</w:t>
      </w:r>
      <w:r w:rsidRPr="00FC031D">
        <w:rPr>
          <w:rFonts w:hint="eastAsia"/>
        </w:rPr>
        <w:t>见上文脚注</w:t>
      </w:r>
      <w:r>
        <w:rPr>
          <w:lang w:val="zh-CN"/>
        </w:rPr>
        <w:fldChar w:fldCharType="begin"/>
      </w:r>
      <w:r>
        <w:rPr>
          <w:lang w:val="zh-CN"/>
        </w:rPr>
        <w:instrText xml:space="preserve"> NOTEREF _Ref461971066 \h </w:instrText>
      </w:r>
      <w:r>
        <w:rPr>
          <w:lang w:val="zh-CN"/>
        </w:rPr>
      </w:r>
      <w:r>
        <w:rPr>
          <w:lang w:val="zh-CN"/>
        </w:rPr>
        <w:fldChar w:fldCharType="separate"/>
      </w:r>
      <w:r w:rsidR="00A73EB9">
        <w:rPr>
          <w:lang w:val="zh-CN"/>
        </w:rPr>
        <w:t>395</w:t>
      </w:r>
      <w:r>
        <w:rPr>
          <w:lang w:val="zh-CN"/>
        </w:rPr>
        <w:fldChar w:fldCharType="end"/>
      </w:r>
      <w:r w:rsidRPr="00FC031D">
        <w:rPr>
          <w:rFonts w:hint="eastAsia"/>
        </w:rPr>
        <w:t>)</w:t>
      </w:r>
      <w:r w:rsidRPr="00FC031D">
        <w:rPr>
          <w:rFonts w:hint="eastAsia"/>
        </w:rPr>
        <w:t>，见第</w:t>
      </w:r>
      <w:r w:rsidRPr="00FC031D">
        <w:t>1060-1061</w:t>
      </w:r>
      <w:r w:rsidRPr="00FC031D">
        <w:rPr>
          <w:rFonts w:hint="eastAsia"/>
        </w:rPr>
        <w:t>页，第</w:t>
      </w:r>
      <w:r w:rsidRPr="00FC031D">
        <w:t>21</w:t>
      </w:r>
      <w:r w:rsidRPr="00FC031D">
        <w:rPr>
          <w:rFonts w:hint="eastAsia"/>
        </w:rPr>
        <w:t>和第</w:t>
      </w:r>
      <w:r w:rsidRPr="00FC031D">
        <w:t>25</w:t>
      </w:r>
      <w:r w:rsidRPr="00FC031D">
        <w:rPr>
          <w:rFonts w:hint="eastAsia"/>
        </w:rPr>
        <w:t>段。</w:t>
      </w:r>
    </w:p>
  </w:footnote>
  <w:footnote w:id="720">
    <w:p w:rsidR="00AB00DE" w:rsidRPr="00FC031D" w:rsidRDefault="00AB00DE" w:rsidP="00DF5565">
      <w:pPr>
        <w:pStyle w:val="a4"/>
      </w:pPr>
      <w:r w:rsidRPr="00FC031D">
        <w:tab/>
      </w:r>
      <w:r w:rsidRPr="00DF5565">
        <w:rPr>
          <w:rStyle w:val="a5"/>
        </w:rPr>
        <w:footnoteRef/>
      </w:r>
      <w:r w:rsidRPr="00FC031D">
        <w:tab/>
      </w:r>
      <w:r w:rsidRPr="00FC031D">
        <w:rPr>
          <w:rFonts w:ascii="Time New Roman" w:eastAsia="楷体" w:hAnsi="Time New Roman" w:hint="eastAsia"/>
          <w:iCs/>
        </w:rPr>
        <w:t>关于厄立特里亚与埃塞俄比亚划界问题的裁决</w:t>
      </w:r>
      <w:r w:rsidRPr="00FC031D">
        <w:rPr>
          <w:rFonts w:ascii="Time New Roman" w:eastAsia="楷体" w:hAnsi="Time New Roman" w:hint="eastAsia"/>
          <w:iCs/>
        </w:rPr>
        <w:t>(</w:t>
      </w:r>
      <w:r w:rsidRPr="00FC031D">
        <w:rPr>
          <w:rFonts w:ascii="Time New Roman" w:eastAsia="楷体" w:hAnsi="Time New Roman"/>
          <w:iCs/>
        </w:rPr>
        <w:t>厄立特里亚诉埃塞俄比亚</w:t>
      </w:r>
      <w:r w:rsidRPr="00FC031D">
        <w:t>)</w:t>
      </w:r>
      <w:r w:rsidRPr="00FC031D">
        <w:t>，</w:t>
      </w:r>
      <w:r w:rsidRPr="00FC031D">
        <w:rPr>
          <w:rFonts w:hint="eastAsia"/>
        </w:rPr>
        <w:t>《国际仲裁裁决汇编》，第二十五卷</w:t>
      </w:r>
      <w:r w:rsidRPr="00FC031D">
        <w:rPr>
          <w:rFonts w:hint="eastAsia"/>
        </w:rPr>
        <w:t>(</w:t>
      </w:r>
      <w:r w:rsidRPr="00FC031D">
        <w:rPr>
          <w:rFonts w:hint="eastAsia"/>
        </w:rPr>
        <w:t>出售品编号</w:t>
      </w:r>
      <w:r w:rsidRPr="00FC031D">
        <w:t>E/F.05.V.5)</w:t>
      </w:r>
      <w:r w:rsidRPr="00FC031D">
        <w:rPr>
          <w:rFonts w:hint="eastAsia"/>
        </w:rPr>
        <w:t>，第</w:t>
      </w:r>
      <w:r w:rsidRPr="00FC031D">
        <w:t>83</w:t>
      </w:r>
      <w:r w:rsidRPr="00FC031D">
        <w:rPr>
          <w:rFonts w:hint="eastAsia"/>
        </w:rPr>
        <w:t>-195</w:t>
      </w:r>
      <w:r w:rsidRPr="00FC031D">
        <w:rPr>
          <w:rFonts w:hint="eastAsia"/>
        </w:rPr>
        <w:t>页，第</w:t>
      </w:r>
      <w:r w:rsidRPr="00FC031D">
        <w:t>110</w:t>
      </w:r>
      <w:r w:rsidRPr="00FC031D">
        <w:t>页，</w:t>
      </w:r>
      <w:r w:rsidRPr="00FC031D">
        <w:rPr>
          <w:rFonts w:hint="eastAsia"/>
        </w:rPr>
        <w:t>第</w:t>
      </w:r>
      <w:r w:rsidRPr="00FC031D">
        <w:t>3.5</w:t>
      </w:r>
      <w:r w:rsidRPr="00FC031D">
        <w:t>段。</w:t>
      </w:r>
    </w:p>
  </w:footnote>
  <w:footnote w:id="721">
    <w:p w:rsidR="00AB00DE" w:rsidRPr="00FC031D" w:rsidRDefault="00AB00DE" w:rsidP="00DF5565">
      <w:pPr>
        <w:pStyle w:val="a4"/>
      </w:pPr>
      <w:r w:rsidRPr="00FC031D">
        <w:tab/>
      </w:r>
      <w:r w:rsidRPr="00DF5565">
        <w:rPr>
          <w:rStyle w:val="a5"/>
        </w:rPr>
        <w:footnoteRef/>
      </w:r>
      <w:r w:rsidRPr="00FC031D">
        <w:tab/>
      </w:r>
      <w:r w:rsidRPr="00FC031D">
        <w:rPr>
          <w:rFonts w:ascii="Time New Roman" w:eastAsia="楷体" w:hAnsi="Time New Roman" w:hint="eastAsia"/>
          <w:iCs/>
        </w:rPr>
        <w:t>喀麦隆和尼日利亚间陆地和海洋疆界案</w:t>
      </w:r>
      <w:r w:rsidRPr="00FC031D">
        <w:rPr>
          <w:rFonts w:ascii="Time New Roman" w:eastAsia="楷体" w:hAnsi="Time New Roman" w:hint="eastAsia"/>
          <w:iCs/>
        </w:rPr>
        <w:t>(</w:t>
      </w:r>
      <w:r w:rsidRPr="00FC031D">
        <w:rPr>
          <w:rFonts w:ascii="Time New Roman" w:eastAsia="楷体" w:hAnsi="Time New Roman" w:hint="eastAsia"/>
          <w:iCs/>
        </w:rPr>
        <w:t>喀麦隆诉尼日利亚：赤道几内亚参与诉讼</w:t>
      </w:r>
      <w:r w:rsidRPr="00FC031D">
        <w:t>)</w:t>
      </w:r>
      <w:r w:rsidRPr="00FC031D">
        <w:rPr>
          <w:rFonts w:hint="eastAsia"/>
        </w:rPr>
        <w:t>，</w:t>
      </w:r>
      <w:r w:rsidRPr="00FC031D">
        <w:rPr>
          <w:rFonts w:ascii="Time New Roman" w:eastAsia="楷体" w:hAnsi="Time New Roman" w:hint="eastAsia"/>
          <w:iCs/>
        </w:rPr>
        <w:t>判决</w:t>
      </w:r>
      <w:r w:rsidRPr="00FC031D">
        <w:rPr>
          <w:rFonts w:hint="eastAsia"/>
        </w:rPr>
        <w:t>，《</w:t>
      </w:r>
      <w:r w:rsidRPr="00FC031D">
        <w:t>2002</w:t>
      </w:r>
      <w:r w:rsidRPr="00FC031D">
        <w:rPr>
          <w:rFonts w:hint="eastAsia"/>
        </w:rPr>
        <w:t>年国际法院案例汇编》，第</w:t>
      </w:r>
      <w:r w:rsidRPr="00FC031D">
        <w:t>303</w:t>
      </w:r>
      <w:r w:rsidRPr="00FC031D">
        <w:rPr>
          <w:rFonts w:hint="eastAsia"/>
        </w:rPr>
        <w:t>页，见第</w:t>
      </w:r>
      <w:r w:rsidRPr="00FC031D">
        <w:t>33</w:t>
      </w:r>
      <w:r w:rsidRPr="00FC031D">
        <w:rPr>
          <w:rFonts w:hint="eastAsia"/>
        </w:rPr>
        <w:t>8</w:t>
      </w:r>
      <w:r w:rsidRPr="00FC031D">
        <w:rPr>
          <w:rFonts w:hint="eastAsia"/>
        </w:rPr>
        <w:t>和</w:t>
      </w:r>
      <w:r w:rsidRPr="00FC031D">
        <w:rPr>
          <w:rFonts w:hint="eastAsia"/>
        </w:rPr>
        <w:t>339</w:t>
      </w:r>
      <w:r w:rsidRPr="00FC031D">
        <w:rPr>
          <w:rFonts w:hint="eastAsia"/>
        </w:rPr>
        <w:t>页，第</w:t>
      </w:r>
      <w:r w:rsidRPr="00FC031D">
        <w:t>48</w:t>
      </w:r>
      <w:r w:rsidRPr="00FC031D">
        <w:rPr>
          <w:rFonts w:hint="eastAsia"/>
        </w:rPr>
        <w:t>段，以及第</w:t>
      </w:r>
      <w:r w:rsidRPr="00FC031D">
        <w:t>346</w:t>
      </w:r>
      <w:r w:rsidRPr="00FC031D">
        <w:rPr>
          <w:rFonts w:hint="eastAsia"/>
        </w:rPr>
        <w:t>页，第</w:t>
      </w:r>
      <w:r w:rsidRPr="00FC031D">
        <w:t>59</w:t>
      </w:r>
      <w:r w:rsidRPr="00FC031D">
        <w:rPr>
          <w:rFonts w:hint="eastAsia"/>
        </w:rPr>
        <w:t>段。</w:t>
      </w:r>
    </w:p>
  </w:footnote>
  <w:footnote w:id="722">
    <w:p w:rsidR="00AB00DE" w:rsidRPr="00FC031D" w:rsidRDefault="00AB00DE" w:rsidP="00560424">
      <w:pPr>
        <w:pStyle w:val="a4"/>
      </w:pPr>
      <w:r w:rsidRPr="00FC031D">
        <w:tab/>
      </w:r>
      <w:r w:rsidRPr="00DF5565">
        <w:rPr>
          <w:rStyle w:val="a5"/>
        </w:rPr>
        <w:footnoteRef/>
      </w:r>
      <w:r w:rsidRPr="00FC031D">
        <w:tab/>
      </w:r>
      <w:r w:rsidRPr="00FC031D">
        <w:rPr>
          <w:rFonts w:ascii="Time New Roman" w:eastAsia="楷体" w:hAnsi="Time New Roman" w:hint="eastAsia"/>
          <w:iCs/>
        </w:rPr>
        <w:t>南非继续留驻纳米比亚对各国的法律后果</w:t>
      </w:r>
      <w:r w:rsidRPr="00FC031D">
        <w:rPr>
          <w:rFonts w:hint="eastAsia"/>
        </w:rPr>
        <w:t>(</w:t>
      </w:r>
      <w:r w:rsidRPr="00FC031D">
        <w:rPr>
          <w:rFonts w:hint="eastAsia"/>
        </w:rPr>
        <w:t>见上文脚注</w:t>
      </w:r>
      <w:r>
        <w:fldChar w:fldCharType="begin"/>
      </w:r>
      <w:r>
        <w:instrText xml:space="preserve"> </w:instrText>
      </w:r>
      <w:r>
        <w:rPr>
          <w:rFonts w:hint="eastAsia"/>
        </w:rPr>
        <w:instrText>NOTEREF _Ref461976505 \h</w:instrText>
      </w:r>
      <w:r>
        <w:instrText xml:space="preserve"> </w:instrText>
      </w:r>
      <w:r>
        <w:fldChar w:fldCharType="separate"/>
      </w:r>
      <w:r w:rsidR="00A73EB9">
        <w:t>432</w:t>
      </w:r>
      <w:r>
        <w:fldChar w:fldCharType="end"/>
      </w:r>
      <w:r w:rsidRPr="00FC031D">
        <w:rPr>
          <w:rFonts w:hint="eastAsia"/>
        </w:rPr>
        <w:t>)</w:t>
      </w:r>
      <w:r w:rsidRPr="00FC031D">
        <w:rPr>
          <w:rFonts w:hint="eastAsia"/>
        </w:rPr>
        <w:t>，见第</w:t>
      </w:r>
      <w:r w:rsidRPr="00FC031D">
        <w:t>31</w:t>
      </w:r>
      <w:r w:rsidRPr="00FC031D">
        <w:rPr>
          <w:rFonts w:hint="eastAsia"/>
        </w:rPr>
        <w:t>页，第</w:t>
      </w:r>
      <w:r w:rsidRPr="00FC031D">
        <w:t>53</w:t>
      </w:r>
      <w:r w:rsidRPr="00FC031D">
        <w:rPr>
          <w:rFonts w:hint="eastAsia"/>
        </w:rPr>
        <w:t>段。</w:t>
      </w:r>
    </w:p>
  </w:footnote>
  <w:footnote w:id="723">
    <w:p w:rsidR="00AB00DE" w:rsidRPr="00FC031D" w:rsidRDefault="00AB00DE" w:rsidP="00DF5565">
      <w:pPr>
        <w:pStyle w:val="a4"/>
      </w:pPr>
      <w:r w:rsidRPr="00FC031D">
        <w:tab/>
      </w:r>
      <w:r w:rsidRPr="00DF5565">
        <w:rPr>
          <w:rStyle w:val="a5"/>
        </w:rPr>
        <w:footnoteRef/>
      </w:r>
      <w:r w:rsidRPr="00FC031D">
        <w:tab/>
      </w:r>
      <w:r w:rsidRPr="00FC031D">
        <w:rPr>
          <w:rFonts w:ascii="Time New Roman" w:eastAsia="楷体" w:hAnsi="Time New Roman" w:hint="eastAsia"/>
          <w:iCs/>
        </w:rPr>
        <w:t>爱琴海大陆架案，判决</w:t>
      </w:r>
      <w:r w:rsidRPr="00FC031D">
        <w:rPr>
          <w:rFonts w:hint="eastAsia"/>
        </w:rPr>
        <w:t>，《</w:t>
      </w:r>
      <w:r w:rsidRPr="00FC031D">
        <w:t>1978</w:t>
      </w:r>
      <w:r w:rsidRPr="00FC031D">
        <w:rPr>
          <w:rFonts w:hint="eastAsia"/>
        </w:rPr>
        <w:t>年国际法院案例汇编》，第</w:t>
      </w:r>
      <w:r w:rsidRPr="00FC031D">
        <w:t>3</w:t>
      </w:r>
      <w:r w:rsidRPr="00FC031D">
        <w:rPr>
          <w:rFonts w:hint="eastAsia"/>
        </w:rPr>
        <w:t>页起，见第</w:t>
      </w:r>
      <w:r w:rsidRPr="00FC031D">
        <w:t>32</w:t>
      </w:r>
      <w:r w:rsidRPr="00FC031D">
        <w:rPr>
          <w:rFonts w:hint="eastAsia"/>
        </w:rPr>
        <w:t>页，第</w:t>
      </w:r>
      <w:r w:rsidRPr="00FC031D">
        <w:t>77</w:t>
      </w:r>
      <w:r w:rsidRPr="00FC031D">
        <w:rPr>
          <w:rFonts w:hint="eastAsia"/>
        </w:rPr>
        <w:t>段；国际法委员会国际法不成体系问题研究组的报告，</w:t>
      </w:r>
      <w:r w:rsidRPr="00FC031D">
        <w:t>2006</w:t>
      </w:r>
      <w:r w:rsidRPr="00FC031D">
        <w:rPr>
          <w:rFonts w:hint="eastAsia"/>
        </w:rPr>
        <w:t>年</w:t>
      </w:r>
      <w:r w:rsidRPr="00FC031D">
        <w:rPr>
          <w:rFonts w:hint="eastAsia"/>
        </w:rPr>
        <w:t>(</w:t>
      </w:r>
      <w:hyperlink r:id="rId90" w:history="1">
        <w:r w:rsidRPr="00FC031D">
          <w:rPr>
            <w:rStyle w:val="af"/>
          </w:rPr>
          <w:t>A/CN.4/L.682</w:t>
        </w:r>
      </w:hyperlink>
      <w:r w:rsidRPr="00FC031D">
        <w:rPr>
          <w:rFonts w:hint="eastAsia"/>
        </w:rPr>
        <w:t>和</w:t>
      </w:r>
      <w:hyperlink r:id="rId91" w:history="1">
        <w:r w:rsidRPr="00FC031D">
          <w:rPr>
            <w:rStyle w:val="af"/>
          </w:rPr>
          <w:t>Corr.1</w:t>
        </w:r>
      </w:hyperlink>
      <w:r w:rsidRPr="00FC031D">
        <w:rPr>
          <w:rFonts w:hint="eastAsia"/>
        </w:rPr>
        <w:t>)</w:t>
      </w:r>
      <w:r w:rsidRPr="00FC031D">
        <w:rPr>
          <w:rFonts w:hint="eastAsia"/>
        </w:rPr>
        <w:t>，第</w:t>
      </w:r>
      <w:r w:rsidRPr="00FC031D">
        <w:t>478</w:t>
      </w:r>
      <w:r w:rsidRPr="00FC031D">
        <w:rPr>
          <w:rFonts w:hint="eastAsia"/>
        </w:rPr>
        <w:t>段。</w:t>
      </w:r>
    </w:p>
  </w:footnote>
  <w:footnote w:id="724">
    <w:p w:rsidR="00AB00DE" w:rsidRPr="00FC031D" w:rsidRDefault="00AB00DE" w:rsidP="00D90936">
      <w:pPr>
        <w:pStyle w:val="a4"/>
      </w:pPr>
      <w:r w:rsidRPr="00FC031D">
        <w:tab/>
      </w:r>
      <w:r w:rsidRPr="00DF5565">
        <w:rPr>
          <w:rStyle w:val="a5"/>
        </w:rPr>
        <w:footnoteRef/>
      </w:r>
      <w:r w:rsidRPr="00FC031D">
        <w:tab/>
      </w:r>
      <w:r w:rsidRPr="00FC031D">
        <w:rPr>
          <w:rFonts w:ascii="Time New Roman" w:eastAsia="楷体" w:hAnsi="Time New Roman" w:hint="eastAsia"/>
          <w:iCs/>
        </w:rPr>
        <w:t>关于航行权和相关权利的争端案</w:t>
      </w:r>
      <w:r w:rsidRPr="00FC031D">
        <w:rPr>
          <w:rFonts w:hint="eastAsia"/>
        </w:rPr>
        <w:t>(</w:t>
      </w:r>
      <w:r w:rsidRPr="00FC031D">
        <w:rPr>
          <w:rFonts w:hint="eastAsia"/>
        </w:rPr>
        <w:t>见上文脚注</w:t>
      </w:r>
      <w:r>
        <w:rPr>
          <w:lang w:val="zh-CN"/>
        </w:rPr>
        <w:fldChar w:fldCharType="begin"/>
      </w:r>
      <w:r>
        <w:rPr>
          <w:lang w:val="zh-CN"/>
        </w:rPr>
        <w:instrText xml:space="preserve"> NOTEREF _Ref461971066 \h </w:instrText>
      </w:r>
      <w:r>
        <w:rPr>
          <w:lang w:val="zh-CN"/>
        </w:rPr>
      </w:r>
      <w:r>
        <w:rPr>
          <w:lang w:val="zh-CN"/>
        </w:rPr>
        <w:fldChar w:fldCharType="separate"/>
      </w:r>
      <w:r w:rsidR="00A73EB9">
        <w:rPr>
          <w:lang w:val="zh-CN"/>
        </w:rPr>
        <w:t>395</w:t>
      </w:r>
      <w:r>
        <w:rPr>
          <w:lang w:val="zh-CN"/>
        </w:rPr>
        <w:fldChar w:fldCharType="end"/>
      </w:r>
      <w:r w:rsidRPr="00FC031D">
        <w:rPr>
          <w:rFonts w:hint="eastAsia"/>
        </w:rPr>
        <w:t>)</w:t>
      </w:r>
      <w:r w:rsidRPr="00FC031D">
        <w:rPr>
          <w:rFonts w:hint="eastAsia"/>
        </w:rPr>
        <w:t>，见第</w:t>
      </w:r>
      <w:r w:rsidRPr="00FC031D">
        <w:t>243</w:t>
      </w:r>
      <w:r w:rsidRPr="00FC031D">
        <w:rPr>
          <w:rFonts w:hint="eastAsia"/>
        </w:rPr>
        <w:t>页，第</w:t>
      </w:r>
      <w:r w:rsidRPr="00FC031D">
        <w:t>66</w:t>
      </w:r>
      <w:r w:rsidRPr="00FC031D">
        <w:rPr>
          <w:rFonts w:hint="eastAsia"/>
        </w:rPr>
        <w:t>段。</w:t>
      </w:r>
    </w:p>
  </w:footnote>
  <w:footnote w:id="725">
    <w:p w:rsidR="00AB00DE" w:rsidRPr="00FC031D" w:rsidRDefault="00AB00DE" w:rsidP="00DF5565">
      <w:pPr>
        <w:pStyle w:val="a4"/>
      </w:pPr>
      <w:r w:rsidRPr="00FC031D">
        <w:tab/>
      </w:r>
      <w:r w:rsidRPr="00DF5565">
        <w:rPr>
          <w:rStyle w:val="a5"/>
        </w:rPr>
        <w:footnoteRef/>
      </w:r>
      <w:r w:rsidRPr="00FC031D">
        <w:tab/>
      </w:r>
      <w:r w:rsidRPr="00FC031D">
        <w:rPr>
          <w:rFonts w:hint="eastAsia"/>
        </w:rPr>
        <w:t>世贸组织上诉机构的报告，</w:t>
      </w:r>
      <w:r w:rsidRPr="00FC031D">
        <w:rPr>
          <w:rFonts w:ascii="Time New Roman" w:eastAsia="楷体" w:hAnsi="Time New Roman" w:hint="eastAsia"/>
          <w:iCs/>
        </w:rPr>
        <w:t>美国－禁止进口特定虾类和虾类制品案</w:t>
      </w:r>
      <w:r w:rsidRPr="00FC031D">
        <w:rPr>
          <w:rFonts w:ascii="Time New Roman" w:eastAsia="楷体" w:hAnsi="Time New Roman" w:hint="eastAsia"/>
          <w:iCs/>
        </w:rPr>
        <w:t>(</w:t>
      </w:r>
      <w:r w:rsidRPr="00FC031D">
        <w:rPr>
          <w:rFonts w:ascii="Time New Roman" w:eastAsia="楷体" w:hAnsi="Time New Roman" w:hint="eastAsia"/>
          <w:iCs/>
        </w:rPr>
        <w:t>美国－虾案</w:t>
      </w:r>
      <w:r w:rsidRPr="00FC031D">
        <w:rPr>
          <w:rFonts w:hint="eastAsia"/>
        </w:rPr>
        <w:t>)</w:t>
      </w:r>
      <w:r w:rsidRPr="00FC031D">
        <w:rPr>
          <w:rFonts w:hint="eastAsia"/>
        </w:rPr>
        <w:t>，</w:t>
      </w:r>
      <w:r w:rsidRPr="00FC031D">
        <w:t>WT/DS58/AB/R, 1998</w:t>
      </w:r>
      <w:r w:rsidRPr="00FC031D">
        <w:rPr>
          <w:rFonts w:hint="eastAsia"/>
        </w:rPr>
        <w:t>年</w:t>
      </w:r>
      <w:r w:rsidRPr="00FC031D">
        <w:t>1</w:t>
      </w:r>
      <w:r w:rsidRPr="00FC031D">
        <w:rPr>
          <w:rFonts w:hint="eastAsia"/>
        </w:rPr>
        <w:t>1</w:t>
      </w:r>
      <w:r w:rsidRPr="00FC031D">
        <w:rPr>
          <w:rFonts w:hint="eastAsia"/>
        </w:rPr>
        <w:t>月</w:t>
      </w:r>
      <w:r w:rsidRPr="00FC031D">
        <w:rPr>
          <w:rFonts w:hint="eastAsia"/>
        </w:rPr>
        <w:t>6</w:t>
      </w:r>
      <w:r w:rsidRPr="00FC031D">
        <w:rPr>
          <w:rFonts w:hint="eastAsia"/>
        </w:rPr>
        <w:t>日通过，第</w:t>
      </w:r>
      <w:r w:rsidRPr="00FC031D">
        <w:t>130</w:t>
      </w:r>
      <w:r w:rsidRPr="00FC031D">
        <w:rPr>
          <w:rFonts w:hint="eastAsia"/>
        </w:rPr>
        <w:t>段。</w:t>
      </w:r>
    </w:p>
  </w:footnote>
  <w:footnote w:id="726">
    <w:p w:rsidR="00AB00DE" w:rsidRPr="00FC031D" w:rsidRDefault="00AB00DE" w:rsidP="00DF5565">
      <w:pPr>
        <w:pStyle w:val="a4"/>
      </w:pPr>
      <w:r w:rsidRPr="00FC031D">
        <w:tab/>
      </w:r>
      <w:r w:rsidRPr="00DF5565">
        <w:rPr>
          <w:rStyle w:val="a5"/>
        </w:rPr>
        <w:footnoteRef/>
      </w:r>
      <w:r w:rsidRPr="00FC031D">
        <w:tab/>
      </w:r>
      <w:r w:rsidRPr="00FC031D">
        <w:rPr>
          <w:rFonts w:hint="eastAsia"/>
        </w:rPr>
        <w:t>见《联合国海洋法公约》，</w:t>
      </w:r>
      <w:r w:rsidRPr="00FC031D">
        <w:t>1982</w:t>
      </w:r>
      <w:r w:rsidRPr="00FC031D">
        <w:rPr>
          <w:rFonts w:hint="eastAsia"/>
        </w:rPr>
        <w:t>年，联合国，《条约汇编》，第</w:t>
      </w:r>
      <w:r w:rsidRPr="00FC031D">
        <w:t>1833</w:t>
      </w:r>
      <w:r w:rsidRPr="00FC031D">
        <w:rPr>
          <w:rFonts w:hint="eastAsia"/>
        </w:rPr>
        <w:t>卷，第</w:t>
      </w:r>
      <w:r w:rsidRPr="00FC031D">
        <w:t>313</w:t>
      </w:r>
      <w:r w:rsidRPr="00FC031D">
        <w:rPr>
          <w:rFonts w:hint="eastAsia"/>
        </w:rPr>
        <w:t>6</w:t>
      </w:r>
      <w:r w:rsidRPr="00FC031D">
        <w:t>3</w:t>
      </w:r>
      <w:r w:rsidRPr="00FC031D">
        <w:rPr>
          <w:rFonts w:hint="eastAsia"/>
        </w:rPr>
        <w:t>号，第</w:t>
      </w:r>
      <w:r w:rsidRPr="00FC031D">
        <w:t>3</w:t>
      </w:r>
      <w:r w:rsidRPr="00FC031D">
        <w:rPr>
          <w:rFonts w:hint="eastAsia"/>
        </w:rPr>
        <w:t>页，第</w:t>
      </w:r>
      <w:r w:rsidRPr="00FC031D">
        <w:t>153</w:t>
      </w:r>
      <w:r w:rsidRPr="00FC031D">
        <w:rPr>
          <w:rFonts w:hint="eastAsia"/>
        </w:rPr>
        <w:t>条第</w:t>
      </w:r>
      <w:r w:rsidRPr="00FC031D">
        <w:t>4</w:t>
      </w:r>
      <w:r w:rsidRPr="00FC031D">
        <w:rPr>
          <w:rFonts w:hint="eastAsia"/>
        </w:rPr>
        <w:t>款和附件三第</w:t>
      </w:r>
      <w:r w:rsidRPr="00FC031D">
        <w:t>4</w:t>
      </w:r>
      <w:r w:rsidRPr="00FC031D">
        <w:rPr>
          <w:rFonts w:hint="eastAsia"/>
        </w:rPr>
        <w:t>条第</w:t>
      </w:r>
      <w:r w:rsidRPr="00FC031D">
        <w:t>4</w:t>
      </w:r>
      <w:r w:rsidRPr="00FC031D">
        <w:rPr>
          <w:rFonts w:hint="eastAsia"/>
        </w:rPr>
        <w:t>款。</w:t>
      </w:r>
    </w:p>
  </w:footnote>
  <w:footnote w:id="727">
    <w:p w:rsidR="00AB00DE" w:rsidRPr="00FC031D" w:rsidRDefault="00AB00DE" w:rsidP="00560424">
      <w:pPr>
        <w:pStyle w:val="a4"/>
      </w:pPr>
      <w:r w:rsidRPr="00FC031D">
        <w:tab/>
      </w:r>
      <w:r w:rsidRPr="00DF5565">
        <w:rPr>
          <w:rStyle w:val="a5"/>
        </w:rPr>
        <w:footnoteRef/>
      </w:r>
      <w:r w:rsidRPr="00FC031D">
        <w:tab/>
      </w:r>
      <w:r w:rsidRPr="00FC031D">
        <w:rPr>
          <w:rFonts w:ascii="Time New Roman" w:eastAsia="楷体" w:hAnsi="Time New Roman"/>
          <w:iCs/>
        </w:rPr>
        <w:t>担保个人和实体从事</w:t>
      </w:r>
      <w:r w:rsidRPr="00FC031D">
        <w:rPr>
          <w:rFonts w:ascii="Time New Roman" w:eastAsia="楷体" w:hAnsi="Time New Roman" w:hint="eastAsia"/>
          <w:iCs/>
        </w:rPr>
        <w:t>“</w:t>
      </w:r>
      <w:r w:rsidRPr="00FC031D">
        <w:rPr>
          <w:rFonts w:ascii="Time New Roman" w:eastAsia="楷体" w:hAnsi="Time New Roman"/>
          <w:iCs/>
        </w:rPr>
        <w:t>区域</w:t>
      </w:r>
      <w:r w:rsidRPr="00FC031D">
        <w:rPr>
          <w:rFonts w:ascii="Time New Roman" w:eastAsia="楷体" w:hAnsi="Time New Roman" w:hint="eastAsia"/>
          <w:iCs/>
        </w:rPr>
        <w:t>”</w:t>
      </w:r>
      <w:r w:rsidRPr="00FC031D">
        <w:rPr>
          <w:rFonts w:ascii="Time New Roman" w:eastAsia="楷体" w:hAnsi="Time New Roman"/>
          <w:iCs/>
        </w:rPr>
        <w:t>内活动的国家所负责任和义务</w:t>
      </w:r>
      <w:r w:rsidRPr="00FC031D">
        <w:rPr>
          <w:rFonts w:hint="eastAsia"/>
          <w:lang w:val="zh-CN"/>
        </w:rPr>
        <w:t>(</w:t>
      </w:r>
      <w:r w:rsidRPr="00FC031D">
        <w:rPr>
          <w:rFonts w:hint="eastAsia"/>
          <w:lang w:val="zh-CN"/>
        </w:rPr>
        <w:t>见上文脚注</w:t>
      </w:r>
      <w:r>
        <w:rPr>
          <w:lang w:val="zh-CN"/>
        </w:rPr>
        <w:fldChar w:fldCharType="begin"/>
      </w:r>
      <w:r>
        <w:rPr>
          <w:lang w:val="zh-CN"/>
        </w:rPr>
        <w:instrText xml:space="preserve"> </w:instrText>
      </w:r>
      <w:r>
        <w:rPr>
          <w:rFonts w:hint="eastAsia"/>
          <w:lang w:val="zh-CN"/>
        </w:rPr>
        <w:instrText>NOTEREF _Ref461976519 \h</w:instrText>
      </w:r>
      <w:r>
        <w:rPr>
          <w:lang w:val="zh-CN"/>
        </w:rPr>
        <w:instrText xml:space="preserve"> </w:instrText>
      </w:r>
      <w:r>
        <w:rPr>
          <w:lang w:val="zh-CN"/>
        </w:rPr>
      </w:r>
      <w:r>
        <w:rPr>
          <w:lang w:val="zh-CN"/>
        </w:rPr>
        <w:fldChar w:fldCharType="separate"/>
      </w:r>
      <w:r w:rsidR="00A73EB9">
        <w:rPr>
          <w:lang w:val="zh-CN"/>
        </w:rPr>
        <w:t>396</w:t>
      </w:r>
      <w:r>
        <w:rPr>
          <w:lang w:val="zh-CN"/>
        </w:rPr>
        <w:fldChar w:fldCharType="end"/>
      </w:r>
      <w:r w:rsidRPr="00FC031D">
        <w:rPr>
          <w:rFonts w:hint="eastAsia"/>
          <w:lang w:val="zh-CN"/>
        </w:rPr>
        <w:t>)</w:t>
      </w:r>
      <w:r w:rsidRPr="00FC031D">
        <w:rPr>
          <w:rFonts w:hint="eastAsia"/>
        </w:rPr>
        <w:t>，见第</w:t>
      </w:r>
      <w:r w:rsidRPr="00FC031D">
        <w:t>117</w:t>
      </w:r>
      <w:r w:rsidRPr="00FC031D">
        <w:rPr>
          <w:rFonts w:hint="eastAsia"/>
        </w:rPr>
        <w:t>段。</w:t>
      </w:r>
    </w:p>
  </w:footnote>
  <w:footnote w:id="728">
    <w:p w:rsidR="00AB00DE" w:rsidRPr="00FC031D" w:rsidRDefault="00AB00DE" w:rsidP="00DF5565">
      <w:pPr>
        <w:pStyle w:val="a4"/>
      </w:pPr>
      <w:r w:rsidRPr="00FC031D">
        <w:tab/>
      </w:r>
      <w:r w:rsidRPr="00DF5565">
        <w:rPr>
          <w:rStyle w:val="a5"/>
        </w:rPr>
        <w:footnoteRef/>
      </w:r>
      <w:r w:rsidRPr="00FC031D">
        <w:tab/>
      </w:r>
      <w:r w:rsidRPr="00FC031D">
        <w:rPr>
          <w:rFonts w:hint="eastAsia"/>
          <w:iCs/>
        </w:rPr>
        <w:t>同上，</w:t>
      </w:r>
      <w:r w:rsidRPr="00FC031D">
        <w:rPr>
          <w:rFonts w:hint="eastAsia"/>
        </w:rPr>
        <w:t>第</w:t>
      </w:r>
      <w:r w:rsidRPr="00FC031D">
        <w:t>211</w:t>
      </w:r>
      <w:r w:rsidRPr="00FC031D">
        <w:rPr>
          <w:rFonts w:hint="eastAsia"/>
          <w:iCs/>
        </w:rPr>
        <w:t>段。</w:t>
      </w:r>
    </w:p>
  </w:footnote>
  <w:footnote w:id="729">
    <w:p w:rsidR="00AB00DE" w:rsidRPr="00FC031D" w:rsidRDefault="00AB00DE" w:rsidP="00DF5565">
      <w:pPr>
        <w:pStyle w:val="a4"/>
      </w:pPr>
      <w:r w:rsidRPr="00FC031D">
        <w:tab/>
      </w:r>
      <w:r w:rsidRPr="00DF5565">
        <w:rPr>
          <w:rStyle w:val="a5"/>
        </w:rPr>
        <w:footnoteRef/>
      </w:r>
      <w:r w:rsidRPr="00FC031D">
        <w:tab/>
        <w:t>Tyrer</w:t>
      </w:r>
      <w:r w:rsidRPr="00FC031D">
        <w:rPr>
          <w:rFonts w:ascii="Time New Roman" w:eastAsia="楷体" w:hAnsi="Time New Roman"/>
          <w:iCs/>
        </w:rPr>
        <w:t>诉联合王国</w:t>
      </w:r>
      <w:r w:rsidRPr="00FC031D">
        <w:rPr>
          <w:rFonts w:hint="eastAsia"/>
        </w:rPr>
        <w:t>，</w:t>
      </w:r>
      <w:r w:rsidRPr="00FC031D">
        <w:t>第</w:t>
      </w:r>
      <w:r w:rsidRPr="00FC031D">
        <w:t>5856/72</w:t>
      </w:r>
      <w:r w:rsidRPr="00FC031D">
        <w:t>号，</w:t>
      </w:r>
      <w:r w:rsidRPr="00FC031D">
        <w:rPr>
          <w:rFonts w:hint="eastAsia"/>
        </w:rPr>
        <w:t>《欧洲人权法院案例汇编》</w:t>
      </w:r>
      <w:r w:rsidRPr="00FC031D">
        <w:rPr>
          <w:rFonts w:hint="eastAsia"/>
        </w:rPr>
        <w:t>A</w:t>
      </w:r>
      <w:r w:rsidRPr="00FC031D">
        <w:rPr>
          <w:rFonts w:hint="eastAsia"/>
        </w:rPr>
        <w:t>辑</w:t>
      </w:r>
      <w:r w:rsidRPr="00FC031D">
        <w:t>，第</w:t>
      </w:r>
      <w:r w:rsidRPr="00FC031D">
        <w:t>26</w:t>
      </w:r>
      <w:r w:rsidRPr="00FC031D">
        <w:t>号，第</w:t>
      </w:r>
      <w:r w:rsidRPr="00FC031D">
        <w:t>31</w:t>
      </w:r>
      <w:r w:rsidRPr="00FC031D">
        <w:t>段。</w:t>
      </w:r>
    </w:p>
  </w:footnote>
  <w:footnote w:id="730">
    <w:p w:rsidR="00AB00DE" w:rsidRPr="00FC031D" w:rsidRDefault="00AB00DE" w:rsidP="00560424">
      <w:pPr>
        <w:pStyle w:val="a4"/>
      </w:pPr>
      <w:r w:rsidRPr="00FC031D">
        <w:tab/>
      </w:r>
      <w:r w:rsidRPr="00DF5565">
        <w:rPr>
          <w:rStyle w:val="a5"/>
        </w:rPr>
        <w:footnoteRef/>
      </w:r>
      <w:r w:rsidRPr="00FC031D">
        <w:tab/>
      </w:r>
      <w:r w:rsidRPr="00FC031D">
        <w:rPr>
          <w:rFonts w:ascii="Time New Roman" w:eastAsia="楷体" w:hAnsi="Time New Roman" w:hint="eastAsia"/>
          <w:iCs/>
        </w:rPr>
        <w:t>在正当法律程序保障框架内获得领事协助信息的权利</w:t>
      </w:r>
      <w:r w:rsidRPr="00FC031D">
        <w:rPr>
          <w:rFonts w:hint="eastAsia"/>
        </w:rPr>
        <w:t>(</w:t>
      </w:r>
      <w:r w:rsidRPr="00FC031D">
        <w:rPr>
          <w:rFonts w:hint="eastAsia"/>
        </w:rPr>
        <w:t>见上文脚注</w:t>
      </w:r>
      <w:r>
        <w:fldChar w:fldCharType="begin"/>
      </w:r>
      <w:r>
        <w:instrText xml:space="preserve"> </w:instrText>
      </w:r>
      <w:r>
        <w:rPr>
          <w:rFonts w:hint="eastAsia"/>
        </w:rPr>
        <w:instrText>NOTEREF _Ref461976532 \h</w:instrText>
      </w:r>
      <w:r>
        <w:instrText xml:space="preserve"> </w:instrText>
      </w:r>
      <w:r>
        <w:fldChar w:fldCharType="separate"/>
      </w:r>
      <w:r w:rsidR="00A73EB9">
        <w:t>431</w:t>
      </w:r>
      <w:r>
        <w:fldChar w:fldCharType="end"/>
      </w:r>
      <w:r w:rsidRPr="00FC031D">
        <w:rPr>
          <w:rFonts w:hint="eastAsia"/>
        </w:rPr>
        <w:t>)</w:t>
      </w:r>
      <w:r w:rsidRPr="00FC031D">
        <w:rPr>
          <w:rFonts w:hint="eastAsia"/>
        </w:rPr>
        <w:t>，第</w:t>
      </w:r>
      <w:r w:rsidRPr="00FC031D">
        <w:t>114</w:t>
      </w:r>
      <w:r w:rsidRPr="00FC031D">
        <w:rPr>
          <w:rFonts w:hint="eastAsia"/>
        </w:rPr>
        <w:t>段</w:t>
      </w:r>
      <w:r w:rsidRPr="00FC031D">
        <w:rPr>
          <w:rFonts w:hint="eastAsia"/>
        </w:rPr>
        <w:t>(</w:t>
      </w:r>
      <w:r w:rsidRPr="00FC031D">
        <w:rPr>
          <w:rFonts w:hint="eastAsia"/>
        </w:rPr>
        <w:t>“这一指导意见与国际人权法问题特别相关，由于对有关保护的国际文书的演进性解释，国际人权法取得了很大进展。演进性解释符合</w:t>
      </w:r>
      <w:r w:rsidRPr="00FC031D">
        <w:t>1969</w:t>
      </w:r>
      <w:r w:rsidRPr="00FC031D">
        <w:rPr>
          <w:rFonts w:hint="eastAsia"/>
        </w:rPr>
        <w:t>年《维也纳公约》确立的条约解释的通则。本法院在关于《美洲关于人的权利和义务宣言》的解释的咨询意见</w:t>
      </w:r>
      <w:r w:rsidRPr="00FC031D">
        <w:t>(1989</w:t>
      </w:r>
      <w:r w:rsidRPr="00FC031D">
        <w:rPr>
          <w:rFonts w:hint="eastAsia"/>
        </w:rPr>
        <w:t>年</w:t>
      </w:r>
      <w:r w:rsidRPr="00FC031D">
        <w:t>)</w:t>
      </w:r>
      <w:r w:rsidRPr="00FC031D">
        <w:rPr>
          <w:rFonts w:hint="eastAsia"/>
        </w:rPr>
        <w:t>中以及欧洲人权法院在</w:t>
      </w:r>
      <w:r w:rsidRPr="00FC031D">
        <w:t>Tyrer</w:t>
      </w:r>
      <w:r w:rsidRPr="00FC031D">
        <w:rPr>
          <w:rFonts w:ascii="Time New Roman" w:eastAsia="楷体" w:hAnsi="Time New Roman" w:hint="eastAsia"/>
          <w:iCs/>
        </w:rPr>
        <w:t>诉联合王国</w:t>
      </w:r>
      <w:r w:rsidRPr="00FC031D">
        <w:t>(1978</w:t>
      </w:r>
      <w:r w:rsidRPr="00FC031D">
        <w:rPr>
          <w:rFonts w:hint="eastAsia"/>
        </w:rPr>
        <w:t>年</w:t>
      </w:r>
      <w:r w:rsidRPr="00FC031D">
        <w:t>)</w:t>
      </w:r>
      <w:r w:rsidRPr="00FC031D">
        <w:rPr>
          <w:rFonts w:hint="eastAsia"/>
        </w:rPr>
        <w:t>、</w:t>
      </w:r>
      <w:r w:rsidRPr="00FC031D">
        <w:t>Marckx</w:t>
      </w:r>
      <w:r w:rsidRPr="00FC031D">
        <w:rPr>
          <w:rFonts w:ascii="Time New Roman" w:eastAsia="楷体" w:hAnsi="Time New Roman" w:hint="eastAsia"/>
          <w:iCs/>
        </w:rPr>
        <w:t>诉比利时</w:t>
      </w:r>
      <w:r w:rsidRPr="00FC031D">
        <w:t>(1979</w:t>
      </w:r>
      <w:r w:rsidRPr="00FC031D">
        <w:rPr>
          <w:rFonts w:hint="eastAsia"/>
        </w:rPr>
        <w:t>年</w:t>
      </w:r>
      <w:r w:rsidRPr="00FC031D">
        <w:t>)</w:t>
      </w:r>
      <w:r w:rsidRPr="00FC031D">
        <w:rPr>
          <w:rFonts w:hint="eastAsia"/>
        </w:rPr>
        <w:t>、</w:t>
      </w:r>
      <w:r w:rsidRPr="00FC031D">
        <w:t>Loizidou</w:t>
      </w:r>
      <w:r w:rsidRPr="00FC031D">
        <w:rPr>
          <w:rFonts w:ascii="Time New Roman" w:eastAsia="楷体" w:hAnsi="Time New Roman" w:hint="eastAsia"/>
          <w:iCs/>
        </w:rPr>
        <w:t>诉土耳其</w:t>
      </w:r>
      <w:r w:rsidRPr="00FC031D">
        <w:t>(1995</w:t>
      </w:r>
      <w:r w:rsidRPr="00FC031D">
        <w:rPr>
          <w:rFonts w:hint="eastAsia"/>
        </w:rPr>
        <w:t>年</w:t>
      </w:r>
      <w:r w:rsidRPr="00FC031D">
        <w:t>)</w:t>
      </w:r>
      <w:r w:rsidRPr="00FC031D">
        <w:rPr>
          <w:rFonts w:hint="eastAsia"/>
        </w:rPr>
        <w:t>等案件中均认定，人权条约是活的文书，其解释必须考虑到随时间流逝而来的变化和今天的条件</w:t>
      </w:r>
      <w:r w:rsidRPr="00FC031D">
        <w:rPr>
          <w:rFonts w:hint="eastAsia"/>
        </w:rPr>
        <w:t>)</w:t>
      </w:r>
      <w:r w:rsidRPr="00FC031D">
        <w:rPr>
          <w:rFonts w:hint="eastAsia"/>
        </w:rPr>
        <w:t>”</w:t>
      </w:r>
      <w:r w:rsidRPr="00FC031D">
        <w:t>(</w:t>
      </w:r>
      <w:r w:rsidRPr="00FC031D">
        <w:rPr>
          <w:rFonts w:hint="eastAsia"/>
        </w:rPr>
        <w:t>脚注略</w:t>
      </w:r>
      <w:r w:rsidRPr="00FC031D">
        <w:t>)</w:t>
      </w:r>
      <w:r w:rsidRPr="00FC031D">
        <w:rPr>
          <w:rFonts w:hint="eastAsia"/>
        </w:rPr>
        <w:t>。</w:t>
      </w:r>
    </w:p>
  </w:footnote>
  <w:footnote w:id="731">
    <w:p w:rsidR="00AB00DE" w:rsidRPr="00FC031D" w:rsidRDefault="00AB00DE" w:rsidP="00560424">
      <w:pPr>
        <w:pStyle w:val="a4"/>
      </w:pPr>
      <w:r w:rsidRPr="00FC031D">
        <w:tab/>
      </w:r>
      <w:r w:rsidRPr="00DF5565">
        <w:rPr>
          <w:rStyle w:val="a5"/>
        </w:rPr>
        <w:footnoteRef/>
      </w:r>
      <w:r w:rsidRPr="00FC031D">
        <w:tab/>
      </w:r>
      <w:r w:rsidRPr="00FC031D">
        <w:rPr>
          <w:rFonts w:hint="eastAsia"/>
        </w:rPr>
        <w:t>见莱茵铁路公司仲裁案</w:t>
      </w:r>
      <w:r w:rsidRPr="00FC031D">
        <w:rPr>
          <w:rFonts w:hint="eastAsia"/>
        </w:rPr>
        <w:t>(</w:t>
      </w:r>
      <w:r w:rsidRPr="00FC031D">
        <w:rPr>
          <w:rFonts w:hint="eastAsia"/>
        </w:rPr>
        <w:t>见上文脚注</w:t>
      </w:r>
      <w:r>
        <w:fldChar w:fldCharType="begin"/>
      </w:r>
      <w:r>
        <w:instrText xml:space="preserve"> </w:instrText>
      </w:r>
      <w:r>
        <w:rPr>
          <w:rFonts w:hint="eastAsia"/>
        </w:rPr>
        <w:instrText>NOTEREF _Ref461976445 \h</w:instrText>
      </w:r>
      <w:r>
        <w:instrText xml:space="preserve"> </w:instrText>
      </w:r>
      <w:r>
        <w:fldChar w:fldCharType="separate"/>
      </w:r>
      <w:r w:rsidR="00A73EB9">
        <w:t>397</w:t>
      </w:r>
      <w:r>
        <w:fldChar w:fldCharType="end"/>
      </w:r>
      <w:r w:rsidRPr="00FC031D">
        <w:t>)</w:t>
      </w:r>
      <w:r w:rsidRPr="00FC031D">
        <w:rPr>
          <w:rFonts w:hint="eastAsia"/>
        </w:rPr>
        <w:t>，见第</w:t>
      </w:r>
      <w:r w:rsidRPr="00FC031D">
        <w:t>80</w:t>
      </w:r>
      <w:r w:rsidRPr="00FC031D">
        <w:rPr>
          <w:rFonts w:hint="eastAsia"/>
        </w:rPr>
        <w:t>段：“在本案中，问题并非是概念还是普通用语问题，而是一个涉及铁路运营和能力的新的技术发展问题”；另见</w:t>
      </w:r>
      <w:r w:rsidRPr="00FC031D">
        <w:rPr>
          <w:rFonts w:ascii="Time New Roman" w:eastAsia="楷体" w:hAnsi="Time New Roman" w:hint="eastAsia"/>
        </w:rPr>
        <w:t>爱琴海大陆架案</w:t>
      </w:r>
      <w:r w:rsidRPr="00FC031D">
        <w:rPr>
          <w:rFonts w:hint="eastAsia"/>
        </w:rPr>
        <w:t>(</w:t>
      </w:r>
      <w:r w:rsidRPr="00FC031D">
        <w:rPr>
          <w:rFonts w:hint="eastAsia"/>
        </w:rPr>
        <w:t>见上文脚注</w:t>
      </w:r>
      <w:r>
        <w:fldChar w:fldCharType="begin"/>
      </w:r>
      <w:r>
        <w:instrText xml:space="preserve"> </w:instrText>
      </w:r>
      <w:r>
        <w:rPr>
          <w:rFonts w:hint="eastAsia"/>
        </w:rPr>
        <w:instrText>NOTEREF _Ref450638523 \h</w:instrText>
      </w:r>
      <w:r>
        <w:instrText xml:space="preserve"> </w:instrText>
      </w:r>
      <w:r>
        <w:fldChar w:fldCharType="separate"/>
      </w:r>
      <w:r w:rsidR="00A73EB9">
        <w:t>722</w:t>
      </w:r>
      <w:r>
        <w:fldChar w:fldCharType="end"/>
      </w:r>
      <w:r w:rsidRPr="00FC031D">
        <w:rPr>
          <w:rFonts w:hint="eastAsia"/>
        </w:rPr>
        <w:t>)</w:t>
      </w:r>
      <w:r w:rsidRPr="00FC031D">
        <w:rPr>
          <w:rFonts w:hint="eastAsia"/>
        </w:rPr>
        <w:t>，见第</w:t>
      </w:r>
      <w:r w:rsidRPr="00FC031D">
        <w:t>32</w:t>
      </w:r>
      <w:r w:rsidRPr="00FC031D">
        <w:rPr>
          <w:rFonts w:hint="eastAsia"/>
        </w:rPr>
        <w:t>页，第</w:t>
      </w:r>
      <w:r w:rsidRPr="00FC031D">
        <w:t>77</w:t>
      </w:r>
      <w:r w:rsidRPr="00FC031D">
        <w:rPr>
          <w:rFonts w:hint="eastAsia"/>
        </w:rPr>
        <w:t>段；</w:t>
      </w:r>
      <w:r w:rsidRPr="00FC031D">
        <w:rPr>
          <w:rFonts w:ascii="Time New Roman" w:eastAsia="楷体" w:hAnsi="Time New Roman" w:hint="eastAsia"/>
        </w:rPr>
        <w:t>几内亚比绍和塞内加尔海洋疆界划界案</w:t>
      </w:r>
      <w:r w:rsidRPr="00FC031D">
        <w:rPr>
          <w:rFonts w:ascii="Time New Roman" w:eastAsia="楷体" w:hAnsi="Time New Roman" w:hint="eastAsia"/>
        </w:rPr>
        <w:t>(</w:t>
      </w:r>
      <w:r w:rsidRPr="00FC031D">
        <w:rPr>
          <w:rFonts w:ascii="Time New Roman" w:eastAsia="楷体" w:hAnsi="Time New Roman" w:hint="eastAsia"/>
        </w:rPr>
        <w:t>几内亚比绍诉塞内加尔</w:t>
      </w:r>
      <w:r w:rsidRPr="00FC031D">
        <w:t>)</w:t>
      </w:r>
      <w:r w:rsidRPr="00FC031D">
        <w:rPr>
          <w:rFonts w:hint="eastAsia"/>
        </w:rPr>
        <w:t>，裁决，</w:t>
      </w:r>
      <w:r w:rsidRPr="00FC031D">
        <w:t>1989</w:t>
      </w:r>
      <w:r w:rsidRPr="00FC031D">
        <w:rPr>
          <w:rFonts w:hint="eastAsia"/>
        </w:rPr>
        <w:t>年</w:t>
      </w:r>
      <w:r w:rsidRPr="00FC031D">
        <w:t>7</w:t>
      </w:r>
      <w:r w:rsidRPr="00FC031D">
        <w:rPr>
          <w:rFonts w:hint="eastAsia"/>
        </w:rPr>
        <w:t>月</w:t>
      </w:r>
      <w:r w:rsidRPr="00FC031D">
        <w:t>31</w:t>
      </w:r>
      <w:r w:rsidRPr="00FC031D">
        <w:rPr>
          <w:rFonts w:hint="eastAsia"/>
        </w:rPr>
        <w:t>日，《国际仲裁裁决汇编》，第二十卷</w:t>
      </w:r>
      <w:r w:rsidRPr="00FC031D">
        <w:rPr>
          <w:rFonts w:hint="eastAsia"/>
        </w:rPr>
        <w:t>(</w:t>
      </w:r>
      <w:r w:rsidRPr="00FC031D">
        <w:rPr>
          <w:rFonts w:hint="eastAsia"/>
          <w:iCs/>
        </w:rPr>
        <w:t>出售品编号</w:t>
      </w:r>
      <w:r w:rsidRPr="00FC031D">
        <w:rPr>
          <w:iCs/>
        </w:rPr>
        <w:t>E/F.93.V.3)</w:t>
      </w:r>
      <w:r w:rsidRPr="00FC031D">
        <w:rPr>
          <w:rFonts w:hint="eastAsia"/>
        </w:rPr>
        <w:t>，第</w:t>
      </w:r>
      <w:r w:rsidRPr="00FC031D">
        <w:t>119</w:t>
      </w:r>
      <w:r w:rsidRPr="00FC031D">
        <w:rPr>
          <w:rFonts w:hint="eastAsia"/>
        </w:rPr>
        <w:t>-213</w:t>
      </w:r>
      <w:r w:rsidRPr="00FC031D">
        <w:rPr>
          <w:rFonts w:hint="eastAsia"/>
        </w:rPr>
        <w:t>页，见第</w:t>
      </w:r>
      <w:r w:rsidRPr="00FC031D">
        <w:t>151-152</w:t>
      </w:r>
      <w:r w:rsidRPr="00FC031D">
        <w:rPr>
          <w:rFonts w:hint="eastAsia"/>
        </w:rPr>
        <w:t>页，第</w:t>
      </w:r>
      <w:r w:rsidRPr="00FC031D">
        <w:t>85</w:t>
      </w:r>
      <w:r w:rsidRPr="00FC031D">
        <w:rPr>
          <w:rFonts w:hint="eastAsia"/>
        </w:rPr>
        <w:t>段。</w:t>
      </w:r>
    </w:p>
  </w:footnote>
  <w:footnote w:id="732">
    <w:p w:rsidR="00AB00DE" w:rsidRPr="00FC031D" w:rsidRDefault="00AB00DE" w:rsidP="00DF5565">
      <w:pPr>
        <w:pStyle w:val="a4"/>
      </w:pPr>
      <w:r w:rsidRPr="00FC031D">
        <w:tab/>
      </w:r>
      <w:r w:rsidRPr="00DF5565">
        <w:rPr>
          <w:rStyle w:val="a5"/>
        </w:rPr>
        <w:footnoteRef/>
      </w:r>
      <w:r w:rsidRPr="00FC031D">
        <w:tab/>
      </w:r>
      <w:r w:rsidRPr="00FC031D">
        <w:rPr>
          <w:rFonts w:hint="eastAsia"/>
        </w:rPr>
        <w:t>正如国际法不成体系问题研究组在</w:t>
      </w:r>
      <w:r w:rsidRPr="00FC031D">
        <w:rPr>
          <w:rFonts w:hint="eastAsia"/>
        </w:rPr>
        <w:t>2006</w:t>
      </w:r>
      <w:r w:rsidRPr="00FC031D">
        <w:rPr>
          <w:rFonts w:hint="eastAsia"/>
        </w:rPr>
        <w:t>年的报告中所述，“起点必须是……就此</w:t>
      </w:r>
      <w:r w:rsidRPr="00FC031D">
        <w:t>(</w:t>
      </w:r>
      <w:r w:rsidRPr="00FC031D">
        <w:rPr>
          <w:rFonts w:hint="eastAsia"/>
        </w:rPr>
        <w:t>演变性解释</w:t>
      </w:r>
      <w:r w:rsidRPr="00FC031D">
        <w:t>)</w:t>
      </w:r>
      <w:r w:rsidRPr="00FC031D">
        <w:rPr>
          <w:rFonts w:hint="eastAsia"/>
        </w:rPr>
        <w:t>问题做出决定就是一件解释条约本身的事情”</w:t>
      </w:r>
      <w:r w:rsidRPr="00FC031D">
        <w:rPr>
          <w:rFonts w:hint="eastAsia"/>
        </w:rPr>
        <w:t>(</w:t>
      </w:r>
      <w:r w:rsidRPr="00FC031D">
        <w:rPr>
          <w:rFonts w:hint="eastAsia"/>
        </w:rPr>
        <w:t>见</w:t>
      </w:r>
      <w:hyperlink r:id="rId92" w:history="1">
        <w:r w:rsidRPr="00FC031D">
          <w:rPr>
            <w:rStyle w:val="af"/>
          </w:rPr>
          <w:t>A/CN.4/L.682</w:t>
        </w:r>
      </w:hyperlink>
      <w:r w:rsidRPr="00FC031D">
        <w:rPr>
          <w:rFonts w:hint="eastAsia"/>
        </w:rPr>
        <w:t>和</w:t>
      </w:r>
      <w:hyperlink r:id="rId93" w:history="1">
        <w:r w:rsidRPr="00FC031D">
          <w:rPr>
            <w:rStyle w:val="af"/>
          </w:rPr>
          <w:t>Corr.1</w:t>
        </w:r>
      </w:hyperlink>
      <w:r w:rsidRPr="00FC031D">
        <w:t xml:space="preserve">, </w:t>
      </w:r>
      <w:r w:rsidRPr="00FC031D">
        <w:rPr>
          <w:rFonts w:hint="eastAsia"/>
        </w:rPr>
        <w:t>第</w:t>
      </w:r>
      <w:r w:rsidRPr="00FC031D">
        <w:t>478</w:t>
      </w:r>
      <w:r w:rsidRPr="00FC031D">
        <w:rPr>
          <w:rFonts w:hint="eastAsia"/>
        </w:rPr>
        <w:t>段</w:t>
      </w:r>
      <w:r w:rsidRPr="00FC031D">
        <w:rPr>
          <w:rFonts w:hint="eastAsia"/>
        </w:rPr>
        <w:t>)</w:t>
      </w:r>
      <w:r w:rsidRPr="00FC031D">
        <w:rPr>
          <w:rFonts w:hint="eastAsia"/>
        </w:rPr>
        <w:t>。</w:t>
      </w:r>
    </w:p>
  </w:footnote>
  <w:footnote w:id="733">
    <w:p w:rsidR="00AB00DE" w:rsidRPr="00FC031D" w:rsidRDefault="00AB00DE" w:rsidP="00DF5565">
      <w:pPr>
        <w:pStyle w:val="a4"/>
      </w:pPr>
      <w:r w:rsidRPr="00FC031D">
        <w:tab/>
      </w:r>
      <w:r w:rsidRPr="00DF5565">
        <w:rPr>
          <w:rStyle w:val="a5"/>
        </w:rPr>
        <w:footnoteRef/>
      </w:r>
      <w:r w:rsidRPr="00FC031D">
        <w:tab/>
      </w:r>
      <w:r w:rsidRPr="00FC031D">
        <w:rPr>
          <w:rFonts w:hint="eastAsia"/>
        </w:rPr>
        <w:t>《</w:t>
      </w:r>
      <w:r w:rsidRPr="00FC031D">
        <w:t>1964</w:t>
      </w:r>
      <w:r w:rsidRPr="00FC031D">
        <w:rPr>
          <w:rFonts w:hint="eastAsia"/>
        </w:rPr>
        <w:t>年……年鉴》，第二卷，</w:t>
      </w:r>
      <w:r w:rsidRPr="00FC031D">
        <w:t>A/5809</w:t>
      </w:r>
      <w:r w:rsidRPr="00FC031D">
        <w:rPr>
          <w:rFonts w:hint="eastAsia"/>
        </w:rPr>
        <w:t>号文件，第</w:t>
      </w:r>
      <w:r w:rsidRPr="00FC031D">
        <w:t>204</w:t>
      </w:r>
      <w:r w:rsidRPr="00FC031D">
        <w:rPr>
          <w:rFonts w:hint="eastAsia"/>
        </w:rPr>
        <w:t>-205</w:t>
      </w:r>
      <w:r w:rsidRPr="00FC031D">
        <w:rPr>
          <w:rFonts w:hint="eastAsia"/>
        </w:rPr>
        <w:t>页，第</w:t>
      </w:r>
      <w:r w:rsidRPr="00FC031D">
        <w:rPr>
          <w:rFonts w:hint="eastAsia"/>
        </w:rPr>
        <w:t>(</w:t>
      </w:r>
      <w:r w:rsidRPr="00FC031D">
        <w:t>15</w:t>
      </w:r>
      <w:r w:rsidRPr="00FC031D">
        <w:rPr>
          <w:rFonts w:hint="eastAsia"/>
        </w:rPr>
        <w:t>)</w:t>
      </w:r>
      <w:r w:rsidRPr="00FC031D">
        <w:rPr>
          <w:rFonts w:hint="eastAsia"/>
        </w:rPr>
        <w:t>段；另见第</w:t>
      </w:r>
      <w:r w:rsidRPr="00FC031D">
        <w:rPr>
          <w:rFonts w:hint="eastAsia"/>
        </w:rPr>
        <w:t>(</w:t>
      </w:r>
      <w:r w:rsidRPr="00FC031D">
        <w:t>13</w:t>
      </w:r>
      <w:r w:rsidRPr="00FC031D">
        <w:rPr>
          <w:rFonts w:hint="eastAsia"/>
        </w:rPr>
        <w:t>)</w:t>
      </w:r>
      <w:r w:rsidRPr="00FC031D">
        <w:rPr>
          <w:rFonts w:hint="eastAsia"/>
        </w:rPr>
        <w:t>段，“第三款具体规定，进一步的权威解释要素有：</w:t>
      </w:r>
      <w:r w:rsidRPr="00FC031D">
        <w:t xml:space="preserve">(a) </w:t>
      </w:r>
      <w:r w:rsidRPr="00FC031D">
        <w:rPr>
          <w:rFonts w:hint="eastAsia"/>
        </w:rPr>
        <w:t>关于条约之解释之任何协定，和</w:t>
      </w:r>
      <w:r w:rsidRPr="00FC031D">
        <w:t xml:space="preserve">(b) </w:t>
      </w:r>
      <w:r w:rsidRPr="00FC031D">
        <w:rPr>
          <w:rFonts w:hint="eastAsia"/>
        </w:rPr>
        <w:t>嗣后在条约适用方面确定各当事方对条约解释之协定之任何惯例”</w:t>
      </w:r>
      <w:r w:rsidRPr="00FC031D">
        <w:rPr>
          <w:rFonts w:hint="eastAsia"/>
        </w:rPr>
        <w:t>(</w:t>
      </w:r>
      <w:r w:rsidRPr="00FC031D">
        <w:rPr>
          <w:rFonts w:hint="eastAsia"/>
        </w:rPr>
        <w:t>同上，第</w:t>
      </w:r>
      <w:r w:rsidRPr="00FC031D">
        <w:rPr>
          <w:rFonts w:hint="eastAsia"/>
        </w:rPr>
        <w:t>203-204</w:t>
      </w:r>
      <w:r w:rsidRPr="00FC031D">
        <w:rPr>
          <w:rFonts w:hint="eastAsia"/>
        </w:rPr>
        <w:t>页</w:t>
      </w:r>
      <w:r w:rsidRPr="00FC031D">
        <w:rPr>
          <w:rFonts w:hint="eastAsia"/>
        </w:rPr>
        <w:t>)</w:t>
      </w:r>
      <w:r w:rsidRPr="00FC031D">
        <w:rPr>
          <w:rFonts w:hint="eastAsia"/>
        </w:rPr>
        <w:t>；另一方面，沃尔多克解释了准备工作本身并非作准的解释资料</w:t>
      </w:r>
      <w:r w:rsidRPr="00FC031D">
        <w:rPr>
          <w:rFonts w:hint="eastAsia"/>
        </w:rPr>
        <w:t>(</w:t>
      </w:r>
      <w:r w:rsidRPr="00FC031D">
        <w:rPr>
          <w:rFonts w:hint="eastAsia"/>
        </w:rPr>
        <w:t>同上，</w:t>
      </w:r>
      <w:r w:rsidRPr="00FC031D">
        <w:t>A/CN.4/167</w:t>
      </w:r>
      <w:r w:rsidRPr="00FC031D">
        <w:rPr>
          <w:rFonts w:hint="eastAsia"/>
        </w:rPr>
        <w:t>和</w:t>
      </w:r>
      <w:r w:rsidRPr="00FC031D">
        <w:t>Add.1-3</w:t>
      </w:r>
      <w:r w:rsidRPr="00FC031D">
        <w:rPr>
          <w:rFonts w:hint="eastAsia"/>
        </w:rPr>
        <w:t>号文件，第</w:t>
      </w:r>
      <w:r w:rsidRPr="00FC031D">
        <w:t>58-59</w:t>
      </w:r>
      <w:r w:rsidRPr="00FC031D">
        <w:rPr>
          <w:rFonts w:hint="eastAsia"/>
        </w:rPr>
        <w:t>页，第</w:t>
      </w:r>
      <w:r w:rsidRPr="00FC031D">
        <w:t>(21)</w:t>
      </w:r>
      <w:r w:rsidRPr="00FC031D">
        <w:rPr>
          <w:rFonts w:hint="eastAsia"/>
        </w:rPr>
        <w:t>段。</w:t>
      </w:r>
    </w:p>
  </w:footnote>
  <w:footnote w:id="734">
    <w:p w:rsidR="00AB00DE" w:rsidRPr="00FC031D" w:rsidRDefault="00AB00DE" w:rsidP="00560424">
      <w:pPr>
        <w:pStyle w:val="a4"/>
      </w:pPr>
      <w:r w:rsidRPr="00FC031D">
        <w:tab/>
      </w:r>
      <w:r w:rsidRPr="00DF5565">
        <w:rPr>
          <w:rStyle w:val="a5"/>
        </w:rPr>
        <w:footnoteRef/>
      </w:r>
      <w:r w:rsidRPr="00FC031D">
        <w:tab/>
      </w:r>
      <w:r w:rsidRPr="00FC031D">
        <w:rPr>
          <w:rFonts w:hint="eastAsia"/>
        </w:rPr>
        <w:t>另见</w:t>
      </w:r>
      <w:r w:rsidRPr="00FC031D">
        <w:t xml:space="preserve">Gardiner, </w:t>
      </w:r>
      <w:r w:rsidRPr="00FC031D">
        <w:rPr>
          <w:rFonts w:hint="eastAsia"/>
        </w:rPr>
        <w:t>《条约解释》</w:t>
      </w:r>
      <w:r w:rsidRPr="00FC031D">
        <w:rPr>
          <w:rFonts w:hint="eastAsia"/>
        </w:rPr>
        <w:t>(</w:t>
      </w:r>
      <w:r w:rsidRPr="00FC031D">
        <w:rPr>
          <w:rFonts w:hint="eastAsia"/>
        </w:rPr>
        <w:t>上文脚注</w:t>
      </w:r>
      <w:r w:rsidRPr="00D90936">
        <w:rPr>
          <w:rFonts w:asciiTheme="majorBidi" w:hAnsiTheme="majorBidi" w:cstheme="majorBidi"/>
        </w:rPr>
        <w:fldChar w:fldCharType="begin"/>
      </w:r>
      <w:r w:rsidRPr="00D90936">
        <w:rPr>
          <w:rFonts w:asciiTheme="majorBidi" w:hAnsiTheme="majorBidi" w:cstheme="majorBidi"/>
        </w:rPr>
        <w:instrText xml:space="preserve"> NOTEREF _Ref461971974 \h </w:instrText>
      </w:r>
      <w:r>
        <w:rPr>
          <w:rFonts w:asciiTheme="majorBidi" w:hAnsiTheme="majorBidi" w:cstheme="majorBidi"/>
        </w:rPr>
        <w:instrText xml:space="preserve"> \* MERGEFORMAT </w:instrText>
      </w:r>
      <w:r w:rsidRPr="00D90936">
        <w:rPr>
          <w:rFonts w:asciiTheme="majorBidi" w:hAnsiTheme="majorBidi" w:cstheme="majorBidi"/>
        </w:rPr>
      </w:r>
      <w:r w:rsidRPr="00D90936">
        <w:rPr>
          <w:rFonts w:asciiTheme="majorBidi" w:hAnsiTheme="majorBidi" w:cstheme="majorBidi"/>
        </w:rPr>
        <w:fldChar w:fldCharType="separate"/>
      </w:r>
      <w:r w:rsidR="00A73EB9">
        <w:rPr>
          <w:rFonts w:asciiTheme="majorBidi" w:hAnsiTheme="majorBidi" w:cstheme="majorBidi"/>
        </w:rPr>
        <w:t>392</w:t>
      </w:r>
      <w:r w:rsidRPr="00D90936">
        <w:rPr>
          <w:rFonts w:asciiTheme="majorBidi" w:hAnsiTheme="majorBidi" w:cstheme="majorBidi"/>
        </w:rPr>
        <w:fldChar w:fldCharType="end"/>
      </w:r>
      <w:r w:rsidRPr="00FC031D">
        <w:rPr>
          <w:rFonts w:hint="eastAsia"/>
        </w:rPr>
        <w:t>)</w:t>
      </w:r>
      <w:r w:rsidRPr="00FC031D">
        <w:rPr>
          <w:rFonts w:hint="eastAsia"/>
        </w:rPr>
        <w:t>，见第</w:t>
      </w:r>
      <w:r w:rsidRPr="00FC031D">
        <w:t>2</w:t>
      </w:r>
      <w:r w:rsidRPr="00FC031D">
        <w:rPr>
          <w:rFonts w:hint="eastAsia"/>
        </w:rPr>
        <w:t>92</w:t>
      </w:r>
      <w:r w:rsidRPr="00FC031D">
        <w:t>-2</w:t>
      </w:r>
      <w:r w:rsidRPr="00FC031D">
        <w:rPr>
          <w:rFonts w:hint="eastAsia"/>
        </w:rPr>
        <w:t>9</w:t>
      </w:r>
      <w:r w:rsidRPr="00FC031D">
        <w:t>4</w:t>
      </w:r>
      <w:r w:rsidRPr="00FC031D">
        <w:rPr>
          <w:rFonts w:hint="eastAsia"/>
        </w:rPr>
        <w:t>页；</w:t>
      </w:r>
      <w:r w:rsidRPr="00FC031D">
        <w:t xml:space="preserve">R. Kolb, </w:t>
      </w:r>
      <w:r w:rsidRPr="00FC031D">
        <w:rPr>
          <w:i/>
        </w:rPr>
        <w:t>Interprétation et création du droit international</w:t>
      </w:r>
      <w:r w:rsidRPr="00FC031D">
        <w:t xml:space="preserve"> (</w:t>
      </w:r>
      <w:r w:rsidRPr="00FC031D">
        <w:rPr>
          <w:rFonts w:hint="eastAsia"/>
        </w:rPr>
        <w:t>见上文脚注</w:t>
      </w:r>
      <w:r>
        <w:fldChar w:fldCharType="begin"/>
      </w:r>
      <w:r>
        <w:instrText xml:space="preserve"> </w:instrText>
      </w:r>
      <w:r>
        <w:rPr>
          <w:rFonts w:hint="eastAsia"/>
        </w:rPr>
        <w:instrText>NOTEREF _Ref461976589 \h</w:instrText>
      </w:r>
      <w:r>
        <w:instrText xml:space="preserve"> </w:instrText>
      </w:r>
      <w:r>
        <w:fldChar w:fldCharType="separate"/>
      </w:r>
      <w:r w:rsidR="00A73EB9">
        <w:t>524</w:t>
      </w:r>
      <w:r>
        <w:fldChar w:fldCharType="end"/>
      </w:r>
      <w:r w:rsidRPr="00FC031D">
        <w:t>)</w:t>
      </w:r>
      <w:r w:rsidRPr="00FC031D">
        <w:rPr>
          <w:rFonts w:hint="eastAsia"/>
        </w:rPr>
        <w:t>，第</w:t>
      </w:r>
      <w:r w:rsidRPr="00FC031D">
        <w:t>488-501</w:t>
      </w:r>
      <w:r w:rsidRPr="00FC031D">
        <w:rPr>
          <w:rFonts w:hint="eastAsia"/>
        </w:rPr>
        <w:t>页；</w:t>
      </w:r>
      <w:r w:rsidRPr="00FC031D">
        <w:t>J. Arato,</w:t>
      </w:r>
      <w:r w:rsidRPr="00FC031D">
        <w:rPr>
          <w:rFonts w:hint="eastAsia"/>
        </w:rPr>
        <w:t>“嗣后惯例与演进性解释”，《国际法院和法庭的法律和实践》，第</w:t>
      </w:r>
      <w:r w:rsidRPr="00FC031D">
        <w:t>9</w:t>
      </w:r>
      <w:r w:rsidRPr="00FC031D">
        <w:rPr>
          <w:rFonts w:hint="eastAsia"/>
        </w:rPr>
        <w:t>-3</w:t>
      </w:r>
      <w:r w:rsidRPr="00FC031D">
        <w:rPr>
          <w:rFonts w:hint="eastAsia"/>
        </w:rPr>
        <w:t>卷</w:t>
      </w:r>
      <w:r w:rsidRPr="00FC031D">
        <w:rPr>
          <w:rFonts w:hint="eastAsia"/>
        </w:rPr>
        <w:t>(</w:t>
      </w:r>
      <w:r w:rsidRPr="00FC031D">
        <w:t>2010</w:t>
      </w:r>
      <w:r w:rsidRPr="00FC031D">
        <w:rPr>
          <w:rFonts w:hint="eastAsia"/>
        </w:rPr>
        <w:t>年</w:t>
      </w:r>
      <w:r w:rsidRPr="00FC031D">
        <w:t>)</w:t>
      </w:r>
      <w:r w:rsidRPr="00FC031D">
        <w:rPr>
          <w:rFonts w:hint="eastAsia"/>
        </w:rPr>
        <w:t>，第</w:t>
      </w:r>
      <w:r w:rsidRPr="00FC031D">
        <w:t>443</w:t>
      </w:r>
      <w:r w:rsidRPr="00FC031D">
        <w:rPr>
          <w:rFonts w:hint="eastAsia"/>
        </w:rPr>
        <w:t>-494</w:t>
      </w:r>
      <w:r w:rsidRPr="00FC031D">
        <w:rPr>
          <w:rFonts w:hint="eastAsia"/>
        </w:rPr>
        <w:t>页，见第</w:t>
      </w:r>
      <w:r w:rsidRPr="00FC031D">
        <w:t>444-445</w:t>
      </w:r>
      <w:r w:rsidRPr="00FC031D">
        <w:rPr>
          <w:rFonts w:hint="eastAsia"/>
        </w:rPr>
        <w:t>页、第</w:t>
      </w:r>
      <w:r w:rsidRPr="00FC031D">
        <w:t>465</w:t>
      </w:r>
      <w:r w:rsidRPr="00FC031D">
        <w:rPr>
          <w:rFonts w:hint="eastAsia"/>
        </w:rPr>
        <w:t>页及以下各页。</w:t>
      </w:r>
    </w:p>
  </w:footnote>
  <w:footnote w:id="735">
    <w:p w:rsidR="00AB00DE" w:rsidRPr="00FC031D" w:rsidRDefault="00AB00DE" w:rsidP="00560424">
      <w:pPr>
        <w:pStyle w:val="a4"/>
      </w:pPr>
      <w:r w:rsidRPr="00FC031D">
        <w:tab/>
      </w:r>
      <w:r w:rsidRPr="00DF5565">
        <w:rPr>
          <w:rStyle w:val="a5"/>
        </w:rPr>
        <w:footnoteRef/>
      </w:r>
      <w:r w:rsidRPr="00FC031D">
        <w:tab/>
      </w:r>
      <w:r w:rsidRPr="00FC031D">
        <w:rPr>
          <w:rFonts w:ascii="Time New Roman" w:eastAsia="楷体" w:hAnsi="Time New Roman" w:hint="eastAsia"/>
        </w:rPr>
        <w:t>南非继续留驻纳米比亚对各国的法律后果</w:t>
      </w:r>
      <w:r w:rsidRPr="00FC031D">
        <w:rPr>
          <w:rFonts w:hint="eastAsia"/>
        </w:rPr>
        <w:t>(</w:t>
      </w:r>
      <w:r w:rsidRPr="00FC031D">
        <w:rPr>
          <w:rFonts w:hint="eastAsia"/>
        </w:rPr>
        <w:t>见上文脚注</w:t>
      </w:r>
      <w:r>
        <w:fldChar w:fldCharType="begin"/>
      </w:r>
      <w:r>
        <w:instrText xml:space="preserve"> </w:instrText>
      </w:r>
      <w:r>
        <w:rPr>
          <w:rFonts w:hint="eastAsia"/>
        </w:rPr>
        <w:instrText>NOTEREF _Ref461976505 \h</w:instrText>
      </w:r>
      <w:r>
        <w:instrText xml:space="preserve"> </w:instrText>
      </w:r>
      <w:r>
        <w:fldChar w:fldCharType="separate"/>
      </w:r>
      <w:r w:rsidR="00A73EB9">
        <w:t>432</w:t>
      </w:r>
      <w:r>
        <w:fldChar w:fldCharType="end"/>
      </w:r>
      <w:r w:rsidRPr="00FC031D">
        <w:rPr>
          <w:rFonts w:hint="eastAsia"/>
        </w:rPr>
        <w:t>)</w:t>
      </w:r>
      <w:r w:rsidRPr="00FC031D">
        <w:rPr>
          <w:rFonts w:hint="eastAsia"/>
        </w:rPr>
        <w:t>，见第</w:t>
      </w:r>
      <w:r w:rsidRPr="00FC031D">
        <w:t>30-31</w:t>
      </w:r>
      <w:r w:rsidRPr="00FC031D">
        <w:rPr>
          <w:rFonts w:hint="eastAsia"/>
        </w:rPr>
        <w:t>页，第</w:t>
      </w:r>
      <w:r w:rsidRPr="00FC031D">
        <w:t>49-51</w:t>
      </w:r>
      <w:r w:rsidRPr="00FC031D">
        <w:rPr>
          <w:rFonts w:hint="eastAsia"/>
        </w:rPr>
        <w:t>段。</w:t>
      </w:r>
    </w:p>
  </w:footnote>
  <w:footnote w:id="736">
    <w:p w:rsidR="00AB00DE" w:rsidRPr="00FC031D" w:rsidRDefault="00AB00DE" w:rsidP="00560424">
      <w:pPr>
        <w:pStyle w:val="a4"/>
      </w:pPr>
      <w:r w:rsidRPr="00FC031D">
        <w:tab/>
      </w:r>
      <w:r w:rsidRPr="00DF5565">
        <w:rPr>
          <w:rStyle w:val="a5"/>
        </w:rPr>
        <w:footnoteRef/>
      </w:r>
      <w:r w:rsidRPr="00FC031D">
        <w:rPr>
          <w:rFonts w:hint="eastAsia"/>
        </w:rPr>
        <w:tab/>
      </w:r>
      <w:r w:rsidRPr="00FC031D">
        <w:rPr>
          <w:rFonts w:ascii="Time New Roman" w:eastAsia="楷体" w:hAnsi="Time New Roman" w:hint="eastAsia"/>
        </w:rPr>
        <w:t>爱琴海大陆架案</w:t>
      </w:r>
      <w:r w:rsidRPr="00FC031D">
        <w:rPr>
          <w:rFonts w:hint="eastAsia"/>
        </w:rPr>
        <w:t>(</w:t>
      </w:r>
      <w:r w:rsidRPr="00FC031D">
        <w:rPr>
          <w:rFonts w:hint="eastAsia"/>
        </w:rPr>
        <w:t>见上文脚注</w:t>
      </w:r>
      <w:r>
        <w:fldChar w:fldCharType="begin"/>
      </w:r>
      <w:r>
        <w:instrText xml:space="preserve"> </w:instrText>
      </w:r>
      <w:r>
        <w:rPr>
          <w:rFonts w:hint="eastAsia"/>
        </w:rPr>
        <w:instrText>NOTEREF _Ref450638523 \h</w:instrText>
      </w:r>
      <w:r>
        <w:instrText xml:space="preserve"> </w:instrText>
      </w:r>
      <w:r>
        <w:fldChar w:fldCharType="separate"/>
      </w:r>
      <w:r w:rsidR="00A73EB9">
        <w:t>722</w:t>
      </w:r>
      <w:r>
        <w:fldChar w:fldCharType="end"/>
      </w:r>
      <w:r w:rsidRPr="00FC031D">
        <w:t>)</w:t>
      </w:r>
      <w:r w:rsidRPr="00FC031D">
        <w:rPr>
          <w:rFonts w:hint="eastAsia"/>
        </w:rPr>
        <w:t>，见第</w:t>
      </w:r>
      <w:r w:rsidRPr="00FC031D">
        <w:t>31</w:t>
      </w:r>
      <w:r w:rsidRPr="00FC031D">
        <w:rPr>
          <w:rFonts w:hint="eastAsia"/>
        </w:rPr>
        <w:t>页，第</w:t>
      </w:r>
      <w:r w:rsidRPr="00FC031D">
        <w:t>74</w:t>
      </w:r>
      <w:r w:rsidRPr="00FC031D">
        <w:rPr>
          <w:rFonts w:hint="eastAsia"/>
        </w:rPr>
        <w:t>段。</w:t>
      </w:r>
    </w:p>
  </w:footnote>
  <w:footnote w:id="737">
    <w:p w:rsidR="00AB00DE" w:rsidRPr="00FC031D" w:rsidRDefault="00AB00DE" w:rsidP="00267AB1">
      <w:pPr>
        <w:pStyle w:val="a4"/>
      </w:pPr>
      <w:r w:rsidRPr="00FC031D">
        <w:tab/>
      </w:r>
      <w:r w:rsidRPr="00DF5565">
        <w:rPr>
          <w:rStyle w:val="a5"/>
        </w:rPr>
        <w:footnoteRef/>
      </w:r>
      <w:r w:rsidRPr="00FC031D">
        <w:tab/>
      </w:r>
      <w:r w:rsidRPr="00FC031D">
        <w:rPr>
          <w:rFonts w:hint="eastAsia"/>
        </w:rPr>
        <w:t>另见</w:t>
      </w:r>
      <w:r w:rsidRPr="00FC031D">
        <w:rPr>
          <w:rFonts w:ascii="Time New Roman" w:eastAsia="楷体" w:hAnsi="Time New Roman" w:hint="eastAsia"/>
        </w:rPr>
        <w:t>几内亚比绍与塞内加尔海洋疆界划界案</w:t>
      </w:r>
      <w:r w:rsidRPr="00FC031D">
        <w:rPr>
          <w:rFonts w:hint="eastAsia"/>
        </w:rPr>
        <w:t>(</w:t>
      </w:r>
      <w:r w:rsidRPr="00FC031D">
        <w:rPr>
          <w:rFonts w:hint="eastAsia"/>
        </w:rPr>
        <w:t>见上文脚注</w:t>
      </w:r>
      <w:r>
        <w:fldChar w:fldCharType="begin"/>
      </w:r>
      <w:r>
        <w:instrText xml:space="preserve"> </w:instrText>
      </w:r>
      <w:r>
        <w:rPr>
          <w:rFonts w:hint="eastAsia"/>
        </w:rPr>
        <w:instrText>NOTEREF _Ref461974370 \h</w:instrText>
      </w:r>
      <w:r>
        <w:instrText xml:space="preserve"> </w:instrText>
      </w:r>
      <w:r>
        <w:fldChar w:fldCharType="separate"/>
      </w:r>
      <w:r w:rsidR="00A73EB9">
        <w:t>730</w:t>
      </w:r>
      <w:r>
        <w:fldChar w:fldCharType="end"/>
      </w:r>
      <w:r w:rsidRPr="00FC031D">
        <w:rPr>
          <w:rFonts w:hint="eastAsia"/>
        </w:rPr>
        <w:t>)</w:t>
      </w:r>
      <w:r w:rsidRPr="00FC031D">
        <w:rPr>
          <w:rFonts w:hint="eastAsia"/>
        </w:rPr>
        <w:t>，见第</w:t>
      </w:r>
      <w:r w:rsidRPr="00FC031D">
        <w:t>151-152</w:t>
      </w:r>
      <w:r w:rsidRPr="00FC031D">
        <w:rPr>
          <w:rFonts w:hint="eastAsia"/>
        </w:rPr>
        <w:t>页，第</w:t>
      </w:r>
      <w:r w:rsidRPr="00FC031D">
        <w:t>85</w:t>
      </w:r>
      <w:r w:rsidRPr="00FC031D">
        <w:rPr>
          <w:rFonts w:hint="eastAsia"/>
        </w:rPr>
        <w:t>段。</w:t>
      </w:r>
    </w:p>
  </w:footnote>
  <w:footnote w:id="738">
    <w:p w:rsidR="00AB00DE" w:rsidRPr="00FC031D" w:rsidRDefault="00AB00DE" w:rsidP="00D90936">
      <w:pPr>
        <w:pStyle w:val="a4"/>
      </w:pPr>
      <w:r w:rsidRPr="00FC031D">
        <w:tab/>
      </w:r>
      <w:r w:rsidRPr="00DF5565">
        <w:rPr>
          <w:rStyle w:val="a5"/>
        </w:rPr>
        <w:footnoteRef/>
      </w:r>
      <w:r w:rsidRPr="00FC031D">
        <w:tab/>
      </w:r>
      <w:r w:rsidRPr="00FC031D">
        <w:rPr>
          <w:rFonts w:ascii="Time New Roman" w:eastAsia="楷体" w:hAnsi="Time New Roman" w:hint="eastAsia"/>
        </w:rPr>
        <w:t>关于航行权和相关权利的争端案</w:t>
      </w:r>
      <w:r w:rsidRPr="00FC031D">
        <w:rPr>
          <w:rFonts w:hint="eastAsia"/>
        </w:rPr>
        <w:t>(</w:t>
      </w:r>
      <w:r w:rsidRPr="00FC031D">
        <w:rPr>
          <w:rFonts w:hint="eastAsia"/>
        </w:rPr>
        <w:t>见上文脚注</w:t>
      </w:r>
      <w:r>
        <w:rPr>
          <w:lang w:val="zh-CN"/>
        </w:rPr>
        <w:fldChar w:fldCharType="begin"/>
      </w:r>
      <w:r>
        <w:rPr>
          <w:lang w:val="zh-CN"/>
        </w:rPr>
        <w:instrText xml:space="preserve"> NOTEREF _Ref461971066 \h </w:instrText>
      </w:r>
      <w:r>
        <w:rPr>
          <w:lang w:val="zh-CN"/>
        </w:rPr>
      </w:r>
      <w:r>
        <w:rPr>
          <w:lang w:val="zh-CN"/>
        </w:rPr>
        <w:fldChar w:fldCharType="separate"/>
      </w:r>
      <w:r w:rsidR="00A73EB9">
        <w:rPr>
          <w:lang w:val="zh-CN"/>
        </w:rPr>
        <w:t>395</w:t>
      </w:r>
      <w:r>
        <w:rPr>
          <w:lang w:val="zh-CN"/>
        </w:rPr>
        <w:fldChar w:fldCharType="end"/>
      </w:r>
      <w:r w:rsidRPr="00FC031D">
        <w:rPr>
          <w:rFonts w:hint="eastAsia"/>
        </w:rPr>
        <w:t>)</w:t>
      </w:r>
      <w:r w:rsidRPr="00FC031D">
        <w:rPr>
          <w:rFonts w:hint="eastAsia"/>
        </w:rPr>
        <w:t>，见第</w:t>
      </w:r>
      <w:r w:rsidRPr="00FC031D">
        <w:t>242</w:t>
      </w:r>
      <w:r w:rsidRPr="00FC031D">
        <w:rPr>
          <w:rFonts w:hint="eastAsia"/>
        </w:rPr>
        <w:t>页，第</w:t>
      </w:r>
      <w:r w:rsidRPr="00FC031D">
        <w:t>64</w:t>
      </w:r>
      <w:r w:rsidRPr="00FC031D">
        <w:rPr>
          <w:rFonts w:hint="eastAsia"/>
        </w:rPr>
        <w:t>段。</w:t>
      </w:r>
    </w:p>
  </w:footnote>
  <w:footnote w:id="739">
    <w:p w:rsidR="00AB00DE" w:rsidRPr="00FC031D" w:rsidRDefault="00AB00DE" w:rsidP="00DF5565">
      <w:pPr>
        <w:pStyle w:val="a4"/>
      </w:pPr>
      <w:r w:rsidRPr="00FC031D">
        <w:tab/>
      </w:r>
      <w:r w:rsidRPr="00DF5565">
        <w:rPr>
          <w:rStyle w:val="a5"/>
        </w:rPr>
        <w:footnoteRef/>
      </w:r>
      <w:r w:rsidRPr="00FC031D">
        <w:tab/>
      </w:r>
      <w:r w:rsidRPr="00FC031D">
        <w:rPr>
          <w:rFonts w:hint="eastAsia"/>
        </w:rPr>
        <w:t>同上，第</w:t>
      </w:r>
      <w:r w:rsidRPr="00FC031D">
        <w:t>66-68</w:t>
      </w:r>
      <w:r w:rsidRPr="00FC031D">
        <w:rPr>
          <w:rFonts w:hint="eastAsia"/>
        </w:rPr>
        <w:t>段。</w:t>
      </w:r>
    </w:p>
  </w:footnote>
  <w:footnote w:id="740">
    <w:p w:rsidR="00AB00DE" w:rsidRPr="00FC031D" w:rsidRDefault="00AB00DE" w:rsidP="00DF5565">
      <w:pPr>
        <w:pStyle w:val="a4"/>
      </w:pPr>
      <w:r w:rsidRPr="00FC031D">
        <w:tab/>
      </w:r>
      <w:r w:rsidRPr="00DF5565">
        <w:rPr>
          <w:rStyle w:val="a5"/>
        </w:rPr>
        <w:footnoteRef/>
      </w:r>
      <w:r w:rsidRPr="00FC031D">
        <w:tab/>
      </w:r>
      <w:r w:rsidRPr="00FC031D">
        <w:rPr>
          <w:rFonts w:hint="eastAsia"/>
        </w:rPr>
        <w:t>同上，斯科特尼科夫法官的个别意见，第</w:t>
      </w:r>
      <w:r w:rsidRPr="00FC031D">
        <w:t>283</w:t>
      </w:r>
      <w:r w:rsidRPr="00FC031D">
        <w:rPr>
          <w:rFonts w:hint="eastAsia"/>
        </w:rPr>
        <w:t>页起，见第</w:t>
      </w:r>
      <w:r w:rsidRPr="00FC031D">
        <w:t>285</w:t>
      </w:r>
      <w:r w:rsidRPr="00FC031D">
        <w:rPr>
          <w:rFonts w:hint="eastAsia"/>
        </w:rPr>
        <w:t>页，第</w:t>
      </w:r>
      <w:r w:rsidRPr="00FC031D">
        <w:t>9-10</w:t>
      </w:r>
      <w:r w:rsidRPr="00FC031D">
        <w:rPr>
          <w:rFonts w:hint="eastAsia"/>
        </w:rPr>
        <w:t>段。</w:t>
      </w:r>
    </w:p>
  </w:footnote>
  <w:footnote w:id="741">
    <w:p w:rsidR="00AB00DE" w:rsidRPr="00FC031D" w:rsidRDefault="00AB00DE" w:rsidP="00DF5565">
      <w:pPr>
        <w:pStyle w:val="a4"/>
        <w:rPr>
          <w:lang w:val="fr-FR"/>
        </w:rPr>
      </w:pPr>
      <w:r w:rsidRPr="00FC031D">
        <w:tab/>
      </w:r>
      <w:r w:rsidRPr="00DF5565">
        <w:rPr>
          <w:rStyle w:val="a5"/>
        </w:rPr>
        <w:footnoteRef/>
      </w:r>
      <w:r w:rsidRPr="00FC031D">
        <w:rPr>
          <w:rFonts w:hint="eastAsia"/>
        </w:rPr>
        <w:tab/>
      </w:r>
      <w:r w:rsidRPr="00FC031D">
        <w:rPr>
          <w:rFonts w:hint="eastAsia"/>
        </w:rPr>
        <w:t>检察官</w:t>
      </w:r>
      <w:r w:rsidRPr="00FC031D">
        <w:rPr>
          <w:rFonts w:hint="eastAsia"/>
          <w:lang w:val="fr-FR"/>
        </w:rPr>
        <w:t>诉</w:t>
      </w:r>
      <w:r w:rsidRPr="00FC031D">
        <w:rPr>
          <w:rFonts w:hint="eastAsia"/>
          <w:lang w:val="fr-FR"/>
        </w:rPr>
        <w:t xml:space="preserve">Anto </w:t>
      </w:r>
      <w:r w:rsidRPr="00FC031D">
        <w:rPr>
          <w:lang w:val="fr-FR"/>
        </w:rPr>
        <w:t xml:space="preserve">Furundžija, </w:t>
      </w:r>
      <w:r w:rsidRPr="00FC031D">
        <w:rPr>
          <w:rFonts w:hint="eastAsia"/>
          <w:lang w:val="fr-FR"/>
        </w:rPr>
        <w:t>审判庭，判决，</w:t>
      </w:r>
      <w:r w:rsidRPr="00FC031D">
        <w:rPr>
          <w:lang w:val="fr-FR"/>
        </w:rPr>
        <w:t>1998</w:t>
      </w:r>
      <w:r w:rsidRPr="00FC031D">
        <w:rPr>
          <w:rFonts w:hint="eastAsia"/>
          <w:lang w:val="fr-FR"/>
        </w:rPr>
        <w:t>年</w:t>
      </w:r>
      <w:r w:rsidRPr="00FC031D">
        <w:rPr>
          <w:lang w:val="fr-FR"/>
        </w:rPr>
        <w:t>12</w:t>
      </w:r>
      <w:r w:rsidRPr="00FC031D">
        <w:rPr>
          <w:rFonts w:hint="eastAsia"/>
          <w:lang w:val="fr-FR"/>
        </w:rPr>
        <w:t>月</w:t>
      </w:r>
      <w:r w:rsidRPr="00FC031D">
        <w:rPr>
          <w:lang w:val="fr-FR"/>
        </w:rPr>
        <w:t>10</w:t>
      </w:r>
      <w:r w:rsidRPr="00FC031D">
        <w:rPr>
          <w:rFonts w:hint="eastAsia"/>
          <w:lang w:val="fr-FR"/>
        </w:rPr>
        <w:t>日，</w:t>
      </w:r>
      <w:r w:rsidRPr="00FC031D">
        <w:rPr>
          <w:lang w:val="fr-FR"/>
        </w:rPr>
        <w:t>IT-95-17/1</w:t>
      </w:r>
      <w:r w:rsidRPr="00FC031D">
        <w:rPr>
          <w:rFonts w:hint="eastAsia"/>
          <w:lang w:val="fr-FR"/>
        </w:rPr>
        <w:t>-T</w:t>
      </w:r>
      <w:r w:rsidRPr="00FC031D">
        <w:rPr>
          <w:rFonts w:hint="eastAsia"/>
          <w:lang w:val="fr-FR"/>
        </w:rPr>
        <w:t>号案件，前南斯拉夫问题国际刑事法庭《</w:t>
      </w:r>
      <w:r w:rsidRPr="00FC031D">
        <w:rPr>
          <w:rFonts w:hint="eastAsia"/>
          <w:lang w:val="fr-FR"/>
        </w:rPr>
        <w:t>1998</w:t>
      </w:r>
      <w:r w:rsidRPr="00FC031D">
        <w:rPr>
          <w:rFonts w:hint="eastAsia"/>
          <w:lang w:val="fr-FR"/>
        </w:rPr>
        <w:t>年司法案例汇编》，第</w:t>
      </w:r>
      <w:r w:rsidRPr="00FC031D">
        <w:rPr>
          <w:rFonts w:hint="eastAsia"/>
          <w:lang w:val="fr-FR"/>
        </w:rPr>
        <w:t>1</w:t>
      </w:r>
      <w:r w:rsidRPr="00FC031D">
        <w:rPr>
          <w:rFonts w:hint="eastAsia"/>
          <w:lang w:val="fr-FR"/>
        </w:rPr>
        <w:t>卷，第</w:t>
      </w:r>
      <w:r w:rsidRPr="00FC031D">
        <w:rPr>
          <w:rFonts w:hint="eastAsia"/>
          <w:lang w:val="fr-FR"/>
        </w:rPr>
        <w:t>165</w:t>
      </w:r>
      <w:r w:rsidRPr="00FC031D">
        <w:rPr>
          <w:rFonts w:hint="eastAsia"/>
          <w:lang w:val="fr-FR"/>
        </w:rPr>
        <w:t>段及以下各段。</w:t>
      </w:r>
    </w:p>
  </w:footnote>
  <w:footnote w:id="742">
    <w:p w:rsidR="00AB00DE" w:rsidRPr="00FC031D" w:rsidRDefault="00AB00DE" w:rsidP="00DF5565">
      <w:pPr>
        <w:pStyle w:val="a4"/>
      </w:pPr>
      <w:r w:rsidRPr="00FC031D">
        <w:rPr>
          <w:lang w:val="fr-CH"/>
        </w:rPr>
        <w:tab/>
      </w:r>
      <w:r w:rsidRPr="00DF5565">
        <w:rPr>
          <w:rStyle w:val="a5"/>
        </w:rPr>
        <w:footnoteRef/>
      </w:r>
      <w:r w:rsidRPr="00FC031D">
        <w:rPr>
          <w:rFonts w:hint="eastAsia"/>
        </w:rPr>
        <w:tab/>
      </w:r>
      <w:r w:rsidRPr="00FC031D">
        <w:rPr>
          <w:rFonts w:hint="eastAsia"/>
        </w:rPr>
        <w:t>联合国，《条约汇编》，第</w:t>
      </w:r>
      <w:r w:rsidRPr="00FC031D">
        <w:rPr>
          <w:rFonts w:hint="eastAsia"/>
        </w:rPr>
        <w:t>75</w:t>
      </w:r>
      <w:r w:rsidRPr="00FC031D">
        <w:rPr>
          <w:rFonts w:hint="eastAsia"/>
        </w:rPr>
        <w:t>卷，第</w:t>
      </w:r>
      <w:r w:rsidRPr="00FC031D">
        <w:rPr>
          <w:rFonts w:hint="eastAsia"/>
        </w:rPr>
        <w:t>973</w:t>
      </w:r>
      <w:r w:rsidRPr="00FC031D">
        <w:rPr>
          <w:rFonts w:hint="eastAsia"/>
        </w:rPr>
        <w:t>号，第</w:t>
      </w:r>
      <w:r w:rsidRPr="00FC031D">
        <w:rPr>
          <w:rFonts w:hint="eastAsia"/>
        </w:rPr>
        <w:t>287</w:t>
      </w:r>
      <w:r w:rsidRPr="00FC031D">
        <w:rPr>
          <w:rFonts w:hint="eastAsia"/>
        </w:rPr>
        <w:t>段。</w:t>
      </w:r>
    </w:p>
  </w:footnote>
  <w:footnote w:id="743">
    <w:p w:rsidR="00AB00DE" w:rsidRPr="00FC031D" w:rsidRDefault="00AB00DE" w:rsidP="00DF5565">
      <w:pPr>
        <w:pStyle w:val="a4"/>
      </w:pPr>
      <w:r w:rsidRPr="00FC031D">
        <w:tab/>
      </w:r>
      <w:r w:rsidRPr="00DF5565">
        <w:rPr>
          <w:rStyle w:val="a5"/>
        </w:rPr>
        <w:footnoteRef/>
      </w:r>
      <w:r w:rsidRPr="00FC031D">
        <w:rPr>
          <w:rFonts w:hint="eastAsia"/>
        </w:rPr>
        <w:tab/>
      </w:r>
      <w:r w:rsidRPr="00FC031D">
        <w:rPr>
          <w:rFonts w:hint="eastAsia"/>
        </w:rPr>
        <w:t>《一九四九年八月十二日日内瓦四公约关于保护国际性武装冲突受难者的附加议定书》</w:t>
      </w:r>
      <w:r w:rsidRPr="00FC031D">
        <w:rPr>
          <w:rFonts w:hint="eastAsia"/>
        </w:rPr>
        <w:t>(</w:t>
      </w:r>
      <w:r w:rsidRPr="00FC031D">
        <w:rPr>
          <w:rFonts w:hint="eastAsia"/>
        </w:rPr>
        <w:t>《第一议定书》</w:t>
      </w:r>
      <w:r w:rsidRPr="00FC031D">
        <w:rPr>
          <w:rFonts w:hint="eastAsia"/>
        </w:rPr>
        <w:t>)</w:t>
      </w:r>
      <w:r w:rsidRPr="00FC031D">
        <w:rPr>
          <w:rFonts w:hint="eastAsia"/>
        </w:rPr>
        <w:t>，联合国，《条约汇编》，第</w:t>
      </w:r>
      <w:r w:rsidRPr="00FC031D">
        <w:rPr>
          <w:rFonts w:hint="eastAsia"/>
        </w:rPr>
        <w:t>1125</w:t>
      </w:r>
      <w:r w:rsidRPr="00FC031D">
        <w:rPr>
          <w:rFonts w:hint="eastAsia"/>
        </w:rPr>
        <w:t>卷，第</w:t>
      </w:r>
      <w:r w:rsidRPr="00FC031D">
        <w:t>17512</w:t>
      </w:r>
      <w:r w:rsidRPr="00FC031D">
        <w:rPr>
          <w:rFonts w:hint="eastAsia"/>
        </w:rPr>
        <w:t>号，第</w:t>
      </w:r>
      <w:r w:rsidRPr="00FC031D">
        <w:rPr>
          <w:rFonts w:hint="eastAsia"/>
        </w:rPr>
        <w:t>3</w:t>
      </w:r>
      <w:r w:rsidRPr="00FC031D">
        <w:rPr>
          <w:rFonts w:hint="eastAsia"/>
        </w:rPr>
        <w:t>页。</w:t>
      </w:r>
    </w:p>
  </w:footnote>
  <w:footnote w:id="744">
    <w:p w:rsidR="00AB00DE" w:rsidRPr="00FC031D" w:rsidRDefault="00AB00DE" w:rsidP="00DF5565">
      <w:pPr>
        <w:pStyle w:val="a4"/>
      </w:pPr>
      <w:r w:rsidRPr="00FC031D">
        <w:tab/>
      </w:r>
      <w:r w:rsidRPr="00DF5565">
        <w:rPr>
          <w:rStyle w:val="a5"/>
        </w:rPr>
        <w:footnoteRef/>
      </w:r>
      <w:r w:rsidRPr="00FC031D">
        <w:rPr>
          <w:rFonts w:hint="eastAsia"/>
        </w:rPr>
        <w:tab/>
      </w:r>
      <w:r w:rsidRPr="00FC031D">
        <w:rPr>
          <w:rFonts w:hint="eastAsia"/>
        </w:rPr>
        <w:t>《一九四九年八月十二日日内瓦四公约关于保护非国际性武装冲突受难者的附加议定书》</w:t>
      </w:r>
      <w:r w:rsidRPr="00FC031D">
        <w:rPr>
          <w:rFonts w:hint="eastAsia"/>
        </w:rPr>
        <w:t>(</w:t>
      </w:r>
      <w:r w:rsidRPr="00FC031D">
        <w:rPr>
          <w:rFonts w:hint="eastAsia"/>
        </w:rPr>
        <w:t>《第二议定书》</w:t>
      </w:r>
      <w:r w:rsidRPr="00FC031D">
        <w:rPr>
          <w:rFonts w:hint="eastAsia"/>
        </w:rPr>
        <w:t>)</w:t>
      </w:r>
      <w:r w:rsidRPr="00FC031D">
        <w:rPr>
          <w:rFonts w:hint="eastAsia"/>
        </w:rPr>
        <w:t>，联合国，《条约汇编》，第</w:t>
      </w:r>
      <w:r w:rsidRPr="00FC031D">
        <w:rPr>
          <w:rFonts w:hint="eastAsia"/>
        </w:rPr>
        <w:t>1125</w:t>
      </w:r>
      <w:r w:rsidRPr="00FC031D">
        <w:rPr>
          <w:rFonts w:hint="eastAsia"/>
        </w:rPr>
        <w:t>卷，第</w:t>
      </w:r>
      <w:r w:rsidRPr="00FC031D">
        <w:t>1751</w:t>
      </w:r>
      <w:r w:rsidRPr="00FC031D">
        <w:rPr>
          <w:rFonts w:hint="eastAsia"/>
        </w:rPr>
        <w:t>3</w:t>
      </w:r>
      <w:r w:rsidRPr="00FC031D">
        <w:rPr>
          <w:rFonts w:hint="eastAsia"/>
        </w:rPr>
        <w:t>号，第</w:t>
      </w:r>
      <w:r w:rsidRPr="00FC031D">
        <w:rPr>
          <w:rFonts w:hint="eastAsia"/>
        </w:rPr>
        <w:t>609</w:t>
      </w:r>
      <w:r w:rsidRPr="00FC031D">
        <w:rPr>
          <w:rFonts w:hint="eastAsia"/>
        </w:rPr>
        <w:t>页。</w:t>
      </w:r>
    </w:p>
  </w:footnote>
  <w:footnote w:id="745">
    <w:p w:rsidR="00AB00DE" w:rsidRPr="00FC031D" w:rsidRDefault="00AB00DE" w:rsidP="00560424">
      <w:pPr>
        <w:pStyle w:val="a4"/>
      </w:pPr>
      <w:r w:rsidRPr="00FC031D">
        <w:tab/>
      </w:r>
      <w:r w:rsidRPr="00DF5565">
        <w:rPr>
          <w:rStyle w:val="a5"/>
        </w:rPr>
        <w:footnoteRef/>
      </w:r>
      <w:r w:rsidRPr="00FC031D">
        <w:tab/>
      </w:r>
      <w:r w:rsidRPr="00FC031D">
        <w:rPr>
          <w:rFonts w:hint="eastAsia"/>
        </w:rPr>
        <w:t>见</w:t>
      </w:r>
      <w:r w:rsidRPr="00FC031D">
        <w:rPr>
          <w:rFonts w:ascii="Time New Roman" w:eastAsia="楷体" w:hAnsi="Time New Roman" w:hint="eastAsia"/>
        </w:rPr>
        <w:t>检察官</w:t>
      </w:r>
      <w:r w:rsidRPr="00FC031D">
        <w:rPr>
          <w:rFonts w:ascii="Time New Roman" w:eastAsia="楷体" w:hAnsi="Time New Roman" w:hint="eastAsia"/>
          <w:lang w:val="fr-FR"/>
        </w:rPr>
        <w:t>诉</w:t>
      </w:r>
      <w:r w:rsidRPr="00FC031D">
        <w:rPr>
          <w:rFonts w:hint="eastAsia"/>
        </w:rPr>
        <w:t xml:space="preserve">Anto </w:t>
      </w:r>
      <w:r w:rsidRPr="00FC031D">
        <w:t>Furundžija,</w:t>
      </w:r>
      <w:r w:rsidRPr="00FC031D">
        <w:rPr>
          <w:rFonts w:hint="eastAsia"/>
        </w:rPr>
        <w:t xml:space="preserve"> </w:t>
      </w:r>
      <w:r w:rsidRPr="00FC031D">
        <w:t>(</w:t>
      </w:r>
      <w:r w:rsidRPr="00FC031D">
        <w:rPr>
          <w:rFonts w:hint="eastAsia"/>
        </w:rPr>
        <w:t>上文脚注</w:t>
      </w:r>
      <w:r>
        <w:fldChar w:fldCharType="begin"/>
      </w:r>
      <w:r>
        <w:instrText xml:space="preserve"> </w:instrText>
      </w:r>
      <w:r>
        <w:rPr>
          <w:rFonts w:hint="eastAsia"/>
        </w:rPr>
        <w:instrText>NOTEREF _Ref461976631 \h</w:instrText>
      </w:r>
      <w:r>
        <w:instrText xml:space="preserve"> </w:instrText>
      </w:r>
      <w:r>
        <w:fldChar w:fldCharType="separate"/>
      </w:r>
      <w:r w:rsidR="00A73EB9">
        <w:t>740</w:t>
      </w:r>
      <w:r>
        <w:fldChar w:fldCharType="end"/>
      </w:r>
      <w:r w:rsidRPr="00FC031D">
        <w:t>)</w:t>
      </w:r>
      <w:r w:rsidRPr="00FC031D">
        <w:rPr>
          <w:rFonts w:hint="eastAsia"/>
        </w:rPr>
        <w:t>，第</w:t>
      </w:r>
      <w:r w:rsidRPr="00FC031D">
        <w:t>179</w:t>
      </w:r>
      <w:r w:rsidRPr="00FC031D">
        <w:rPr>
          <w:rFonts w:hint="eastAsia"/>
        </w:rPr>
        <w:t>段；相似的还有，</w:t>
      </w:r>
      <w:r w:rsidRPr="00FC031D">
        <w:rPr>
          <w:rFonts w:ascii="Time New Roman" w:eastAsia="楷体" w:hAnsi="Time New Roman" w:hint="eastAsia"/>
        </w:rPr>
        <w:t>检察官诉</w:t>
      </w:r>
      <w:r w:rsidRPr="00FC031D">
        <w:t xml:space="preserve">Alfred Musema, </w:t>
      </w:r>
      <w:r w:rsidRPr="00FC031D">
        <w:rPr>
          <w:rFonts w:hint="eastAsia"/>
        </w:rPr>
        <w:t>卢旺达问题国际刑事法庭，第一审判庭，判决，</w:t>
      </w:r>
      <w:r w:rsidRPr="00FC031D">
        <w:t>2000</w:t>
      </w:r>
      <w:r w:rsidRPr="00FC031D">
        <w:rPr>
          <w:rFonts w:hint="eastAsia"/>
        </w:rPr>
        <w:t>年</w:t>
      </w:r>
      <w:r w:rsidRPr="00FC031D">
        <w:rPr>
          <w:rFonts w:hint="eastAsia"/>
        </w:rPr>
        <w:t>1</w:t>
      </w:r>
      <w:r w:rsidRPr="00FC031D">
        <w:rPr>
          <w:rFonts w:hint="eastAsia"/>
        </w:rPr>
        <w:t>月</w:t>
      </w:r>
      <w:r w:rsidRPr="00FC031D">
        <w:rPr>
          <w:rFonts w:hint="eastAsia"/>
        </w:rPr>
        <w:t>27</w:t>
      </w:r>
      <w:r w:rsidRPr="00FC031D">
        <w:rPr>
          <w:rFonts w:hint="eastAsia"/>
        </w:rPr>
        <w:t>日，</w:t>
      </w:r>
      <w:r w:rsidRPr="00FC031D">
        <w:t>ICTR-96-13-A</w:t>
      </w:r>
      <w:r w:rsidRPr="00FC031D">
        <w:rPr>
          <w:rFonts w:hint="eastAsia"/>
        </w:rPr>
        <w:t>号案件，第</w:t>
      </w:r>
      <w:r w:rsidRPr="00FC031D">
        <w:t>220</w:t>
      </w:r>
      <w:r w:rsidRPr="00FC031D">
        <w:rPr>
          <w:rFonts w:hint="eastAsia"/>
        </w:rPr>
        <w:t>段及以下各段，尤其是第</w:t>
      </w:r>
      <w:r w:rsidRPr="00FC031D">
        <w:t>228</w:t>
      </w:r>
      <w:r w:rsidRPr="00FC031D">
        <w:rPr>
          <w:rFonts w:hint="eastAsia"/>
        </w:rPr>
        <w:t>段。</w:t>
      </w:r>
    </w:p>
  </w:footnote>
  <w:footnote w:id="746">
    <w:p w:rsidR="00AB00DE" w:rsidRPr="00FC031D" w:rsidRDefault="00AB00DE" w:rsidP="00267AB1">
      <w:pPr>
        <w:pStyle w:val="a4"/>
      </w:pPr>
      <w:r w:rsidRPr="00FC031D">
        <w:tab/>
      </w:r>
      <w:r w:rsidRPr="00DF5565">
        <w:rPr>
          <w:rStyle w:val="a5"/>
        </w:rPr>
        <w:footnoteRef/>
      </w:r>
      <w:r w:rsidRPr="00FC031D">
        <w:tab/>
      </w:r>
      <w:r w:rsidRPr="00FC031D">
        <w:rPr>
          <w:rFonts w:hint="eastAsia"/>
        </w:rPr>
        <w:t>见</w:t>
      </w:r>
      <w:r w:rsidRPr="00FC031D">
        <w:t>诺尔特</w:t>
      </w:r>
      <w:r w:rsidRPr="00FC031D">
        <w:t>,</w:t>
      </w:r>
      <w:r w:rsidRPr="00FC031D">
        <w:rPr>
          <w:rFonts w:hint="eastAsia"/>
        </w:rPr>
        <w:t>“特殊制度下……的判例”</w:t>
      </w:r>
      <w:r w:rsidRPr="00FC031D">
        <w:t>(</w:t>
      </w:r>
      <w:r w:rsidRPr="00FC031D">
        <w:rPr>
          <w:rFonts w:hint="eastAsia"/>
        </w:rPr>
        <w:t>见上文脚注</w:t>
      </w:r>
      <w:r>
        <w:rPr>
          <w:lang w:val="zh-CN"/>
        </w:rPr>
        <w:fldChar w:fldCharType="begin"/>
      </w:r>
      <w:r>
        <w:rPr>
          <w:lang w:val="zh-CN"/>
        </w:rPr>
        <w:instrText xml:space="preserve"> NOTEREF _Ref461973084 \h </w:instrText>
      </w:r>
      <w:r>
        <w:rPr>
          <w:lang w:val="zh-CN"/>
        </w:rPr>
      </w:r>
      <w:r>
        <w:rPr>
          <w:lang w:val="zh-CN"/>
        </w:rPr>
        <w:fldChar w:fldCharType="separate"/>
      </w:r>
      <w:r w:rsidR="00A73EB9">
        <w:rPr>
          <w:lang w:val="zh-CN"/>
        </w:rPr>
        <w:t>398</w:t>
      </w:r>
      <w:r>
        <w:rPr>
          <w:lang w:val="zh-CN"/>
        </w:rPr>
        <w:fldChar w:fldCharType="end"/>
      </w:r>
      <w:r w:rsidRPr="00FC031D">
        <w:rPr>
          <w:rFonts w:hint="eastAsia"/>
        </w:rPr>
        <w:t>)</w:t>
      </w:r>
      <w:r w:rsidRPr="00FC031D">
        <w:rPr>
          <w:rFonts w:hint="eastAsia"/>
        </w:rPr>
        <w:t>，见第</w:t>
      </w:r>
      <w:r w:rsidRPr="00FC031D">
        <w:t>246</w:t>
      </w:r>
      <w:r w:rsidRPr="00FC031D">
        <w:rPr>
          <w:rFonts w:hint="eastAsia"/>
        </w:rPr>
        <w:t>页及以下各页。</w:t>
      </w:r>
    </w:p>
  </w:footnote>
  <w:footnote w:id="747">
    <w:p w:rsidR="00AB00DE" w:rsidRPr="00FC031D" w:rsidRDefault="00AB00DE" w:rsidP="00DF5565">
      <w:pPr>
        <w:pStyle w:val="a4"/>
      </w:pPr>
      <w:r w:rsidRPr="00FC031D">
        <w:tab/>
      </w:r>
      <w:r w:rsidRPr="00DF5565">
        <w:rPr>
          <w:rStyle w:val="a5"/>
        </w:rPr>
        <w:footnoteRef/>
      </w:r>
      <w:r w:rsidRPr="00FC031D">
        <w:tab/>
      </w:r>
      <w:r w:rsidRPr="00FC031D">
        <w:rPr>
          <w:rFonts w:hint="eastAsia"/>
        </w:rPr>
        <w:t>Ö</w:t>
      </w:r>
      <w:r w:rsidRPr="00FC031D">
        <w:t>calan</w:t>
      </w:r>
      <w:r w:rsidRPr="00FC031D">
        <w:rPr>
          <w:rFonts w:ascii="Time New Roman" w:eastAsia="楷体" w:hAnsi="Time New Roman" w:hint="eastAsia"/>
        </w:rPr>
        <w:t>诉土耳其</w:t>
      </w:r>
      <w:r w:rsidRPr="00FC031D">
        <w:t>[GC]</w:t>
      </w:r>
      <w:r w:rsidRPr="00FC031D">
        <w:rPr>
          <w:rFonts w:hint="eastAsia"/>
        </w:rPr>
        <w:t>，第</w:t>
      </w:r>
      <w:r w:rsidRPr="00FC031D">
        <w:t>46221/99</w:t>
      </w:r>
      <w:r w:rsidRPr="00FC031D">
        <w:rPr>
          <w:rFonts w:hint="eastAsia"/>
        </w:rPr>
        <w:t>号，</w:t>
      </w:r>
      <w:r w:rsidRPr="00FC031D">
        <w:t>2005</w:t>
      </w:r>
      <w:r w:rsidRPr="00FC031D">
        <w:rPr>
          <w:rFonts w:hint="eastAsia"/>
        </w:rPr>
        <w:t>年</w:t>
      </w:r>
      <w:r w:rsidRPr="00FC031D">
        <w:t>5</w:t>
      </w:r>
      <w:r w:rsidRPr="00FC031D">
        <w:rPr>
          <w:rFonts w:hint="eastAsia"/>
        </w:rPr>
        <w:t>月</w:t>
      </w:r>
      <w:r w:rsidRPr="00FC031D">
        <w:t>12</w:t>
      </w:r>
      <w:r w:rsidRPr="00FC031D">
        <w:rPr>
          <w:rFonts w:hint="eastAsia"/>
        </w:rPr>
        <w:t>日，《</w:t>
      </w:r>
      <w:r w:rsidRPr="00FC031D">
        <w:rPr>
          <w:rFonts w:hint="eastAsia"/>
        </w:rPr>
        <w:t>2005</w:t>
      </w:r>
      <w:r w:rsidRPr="00FC031D">
        <w:rPr>
          <w:rFonts w:hint="eastAsia"/>
        </w:rPr>
        <w:t>年欧洲人权法院案例汇编》第四卷，第</w:t>
      </w:r>
      <w:r w:rsidRPr="00FC031D">
        <w:t>163</w:t>
      </w:r>
      <w:r w:rsidRPr="00FC031D">
        <w:rPr>
          <w:rFonts w:hint="eastAsia"/>
        </w:rPr>
        <w:t>段；</w:t>
      </w:r>
      <w:r w:rsidRPr="00FC031D">
        <w:t>V</w:t>
      </w:r>
      <w:r w:rsidRPr="00FC031D">
        <w:rPr>
          <w:rFonts w:hint="eastAsia"/>
        </w:rPr>
        <w:t>O</w:t>
      </w:r>
      <w:r w:rsidRPr="00FC031D">
        <w:rPr>
          <w:rFonts w:ascii="Time New Roman" w:eastAsia="楷体" w:hAnsi="Time New Roman" w:hint="eastAsia"/>
        </w:rPr>
        <w:t>诉法国</w:t>
      </w:r>
      <w:r w:rsidRPr="00FC031D">
        <w:t>[GC]</w:t>
      </w:r>
      <w:r w:rsidRPr="00FC031D">
        <w:rPr>
          <w:rFonts w:hint="eastAsia"/>
        </w:rPr>
        <w:t>，第</w:t>
      </w:r>
      <w:r w:rsidRPr="00FC031D">
        <w:t>53924/00</w:t>
      </w:r>
      <w:r w:rsidRPr="00FC031D">
        <w:rPr>
          <w:rFonts w:hint="eastAsia"/>
        </w:rPr>
        <w:t>号，</w:t>
      </w:r>
      <w:r w:rsidRPr="00FC031D">
        <w:t>2004</w:t>
      </w:r>
      <w:r w:rsidRPr="00FC031D">
        <w:rPr>
          <w:rFonts w:hint="eastAsia"/>
        </w:rPr>
        <w:t>年</w:t>
      </w:r>
      <w:r w:rsidRPr="00FC031D">
        <w:t>7</w:t>
      </w:r>
      <w:r w:rsidRPr="00FC031D">
        <w:rPr>
          <w:rFonts w:hint="eastAsia"/>
        </w:rPr>
        <w:t>月</w:t>
      </w:r>
      <w:r w:rsidRPr="00FC031D">
        <w:t>8</w:t>
      </w:r>
      <w:r w:rsidRPr="00FC031D">
        <w:rPr>
          <w:rFonts w:hint="eastAsia"/>
        </w:rPr>
        <w:t>日，《</w:t>
      </w:r>
      <w:r w:rsidRPr="00FC031D">
        <w:t>2004</w:t>
      </w:r>
      <w:r w:rsidRPr="00FC031D">
        <w:rPr>
          <w:rFonts w:hint="eastAsia"/>
        </w:rPr>
        <w:t>年欧洲人权法院案例汇编》第八卷，第</w:t>
      </w:r>
      <w:r w:rsidRPr="00FC031D">
        <w:t>4</w:t>
      </w:r>
      <w:r w:rsidRPr="00FC031D">
        <w:rPr>
          <w:rFonts w:hint="eastAsia"/>
        </w:rPr>
        <w:t>和第</w:t>
      </w:r>
      <w:r w:rsidRPr="00FC031D">
        <w:t>70</w:t>
      </w:r>
      <w:r w:rsidRPr="00FC031D">
        <w:rPr>
          <w:rFonts w:hint="eastAsia"/>
        </w:rPr>
        <w:t>段；</w:t>
      </w:r>
      <w:r w:rsidRPr="00FC031D">
        <w:t>Johnston</w:t>
      </w:r>
      <w:r w:rsidRPr="00FC031D">
        <w:rPr>
          <w:rFonts w:ascii="Time New Roman" w:eastAsia="楷体" w:hAnsi="Time New Roman" w:hint="eastAsia"/>
        </w:rPr>
        <w:t>等人诉爱尔兰</w:t>
      </w:r>
      <w:r w:rsidRPr="00FC031D">
        <w:rPr>
          <w:rFonts w:hint="eastAsia"/>
        </w:rPr>
        <w:t>，第</w:t>
      </w:r>
      <w:r w:rsidRPr="00FC031D">
        <w:t>9697/82</w:t>
      </w:r>
      <w:r w:rsidRPr="00FC031D">
        <w:rPr>
          <w:rFonts w:hint="eastAsia"/>
        </w:rPr>
        <w:t>号，</w:t>
      </w:r>
      <w:r w:rsidRPr="00FC031D">
        <w:t>1986</w:t>
      </w:r>
      <w:r w:rsidRPr="00FC031D">
        <w:rPr>
          <w:rFonts w:hint="eastAsia"/>
        </w:rPr>
        <w:t>年</w:t>
      </w:r>
      <w:r w:rsidRPr="00FC031D">
        <w:t>12</w:t>
      </w:r>
      <w:r w:rsidRPr="00FC031D">
        <w:rPr>
          <w:rFonts w:hint="eastAsia"/>
        </w:rPr>
        <w:t>月</w:t>
      </w:r>
      <w:r w:rsidRPr="00FC031D">
        <w:t>18</w:t>
      </w:r>
      <w:r w:rsidRPr="00FC031D">
        <w:rPr>
          <w:rFonts w:hint="eastAsia"/>
        </w:rPr>
        <w:t>日，《欧洲人权法院案例汇编》</w:t>
      </w:r>
      <w:r w:rsidRPr="00FC031D">
        <w:t>A</w:t>
      </w:r>
      <w:r w:rsidRPr="00FC031D">
        <w:rPr>
          <w:rFonts w:hint="eastAsia"/>
        </w:rPr>
        <w:t>辑，第</w:t>
      </w:r>
      <w:r w:rsidRPr="00FC031D">
        <w:t>112</w:t>
      </w:r>
      <w:r w:rsidRPr="00FC031D">
        <w:rPr>
          <w:rFonts w:hint="eastAsia"/>
        </w:rPr>
        <w:t>号，第</w:t>
      </w:r>
      <w:r w:rsidRPr="00FC031D">
        <w:t>53</w:t>
      </w:r>
      <w:r w:rsidRPr="00FC031D">
        <w:rPr>
          <w:rFonts w:hint="eastAsia"/>
        </w:rPr>
        <w:t>段；</w:t>
      </w:r>
      <w:r w:rsidRPr="00FC031D">
        <w:t>Bayatyan</w:t>
      </w:r>
      <w:r w:rsidRPr="00FC031D">
        <w:rPr>
          <w:rFonts w:ascii="Time New Roman" w:eastAsia="楷体" w:hAnsi="Time New Roman" w:hint="eastAsia"/>
        </w:rPr>
        <w:t>诉美国</w:t>
      </w:r>
      <w:r w:rsidRPr="00FC031D">
        <w:t>[GC]</w:t>
      </w:r>
      <w:r w:rsidRPr="00FC031D">
        <w:rPr>
          <w:rFonts w:hint="eastAsia"/>
        </w:rPr>
        <w:t>，第</w:t>
      </w:r>
      <w:r w:rsidRPr="00FC031D">
        <w:t>23459/03</w:t>
      </w:r>
      <w:r w:rsidRPr="00FC031D">
        <w:rPr>
          <w:rFonts w:hint="eastAsia"/>
        </w:rPr>
        <w:t>号，</w:t>
      </w:r>
      <w:r w:rsidRPr="00FC031D">
        <w:t>2011</w:t>
      </w:r>
      <w:r w:rsidRPr="00FC031D">
        <w:rPr>
          <w:rFonts w:hint="eastAsia"/>
        </w:rPr>
        <w:t>年</w:t>
      </w:r>
      <w:r w:rsidRPr="00FC031D">
        <w:t>7</w:t>
      </w:r>
      <w:r w:rsidRPr="00FC031D">
        <w:rPr>
          <w:rFonts w:hint="eastAsia"/>
        </w:rPr>
        <w:t>月</w:t>
      </w:r>
      <w:r w:rsidRPr="00FC031D">
        <w:t>7</w:t>
      </w:r>
      <w:r w:rsidRPr="00FC031D">
        <w:rPr>
          <w:rFonts w:hint="eastAsia"/>
        </w:rPr>
        <w:t>日，第</w:t>
      </w:r>
      <w:r w:rsidRPr="00FC031D">
        <w:t>63</w:t>
      </w:r>
      <w:r w:rsidRPr="00FC031D">
        <w:rPr>
          <w:rFonts w:hint="eastAsia"/>
        </w:rPr>
        <w:t>段；</w:t>
      </w:r>
      <w:r w:rsidRPr="00FC031D">
        <w:t>Soering</w:t>
      </w:r>
      <w:r w:rsidRPr="00FC031D">
        <w:rPr>
          <w:rFonts w:ascii="Time New Roman" w:eastAsia="楷体" w:hAnsi="Time New Roman" w:hint="eastAsia"/>
        </w:rPr>
        <w:t>诉联合王国</w:t>
      </w:r>
      <w:r w:rsidRPr="00FC031D">
        <w:rPr>
          <w:rFonts w:hint="eastAsia"/>
        </w:rPr>
        <w:t>，第</w:t>
      </w:r>
      <w:r w:rsidRPr="00FC031D">
        <w:t>14038/88</w:t>
      </w:r>
      <w:r w:rsidRPr="00FC031D">
        <w:rPr>
          <w:rFonts w:hint="eastAsia"/>
        </w:rPr>
        <w:t>号，</w:t>
      </w:r>
      <w:r w:rsidRPr="00FC031D">
        <w:t>1989</w:t>
      </w:r>
      <w:r w:rsidRPr="00FC031D">
        <w:rPr>
          <w:rFonts w:hint="eastAsia"/>
        </w:rPr>
        <w:t>年</w:t>
      </w:r>
      <w:r w:rsidRPr="00FC031D">
        <w:t>7</w:t>
      </w:r>
      <w:r w:rsidRPr="00FC031D">
        <w:rPr>
          <w:rFonts w:hint="eastAsia"/>
        </w:rPr>
        <w:t>月</w:t>
      </w:r>
      <w:r w:rsidRPr="00FC031D">
        <w:t>7</w:t>
      </w:r>
      <w:r w:rsidRPr="00FC031D">
        <w:rPr>
          <w:rFonts w:hint="eastAsia"/>
        </w:rPr>
        <w:t>日，《欧洲人权法院案例汇编》</w:t>
      </w:r>
      <w:r w:rsidRPr="00FC031D">
        <w:t>A</w:t>
      </w:r>
      <w:r w:rsidRPr="00FC031D">
        <w:rPr>
          <w:rFonts w:hint="eastAsia"/>
        </w:rPr>
        <w:t>辑，第</w:t>
      </w:r>
      <w:r w:rsidRPr="00FC031D">
        <w:t>161</w:t>
      </w:r>
      <w:r w:rsidRPr="00FC031D">
        <w:rPr>
          <w:rFonts w:hint="eastAsia"/>
        </w:rPr>
        <w:t>号，第</w:t>
      </w:r>
      <w:r w:rsidRPr="00FC031D">
        <w:t>103</w:t>
      </w:r>
      <w:r w:rsidRPr="00FC031D">
        <w:rPr>
          <w:rFonts w:hint="eastAsia"/>
        </w:rPr>
        <w:t>段；</w:t>
      </w:r>
      <w:r w:rsidRPr="00FC031D">
        <w:t>Al-Saadoon</w:t>
      </w:r>
      <w:r w:rsidRPr="00FC031D">
        <w:rPr>
          <w:rFonts w:ascii="Time New Roman" w:eastAsia="楷体" w:hAnsi="Time New Roman" w:hint="eastAsia"/>
        </w:rPr>
        <w:t>和</w:t>
      </w:r>
      <w:r w:rsidRPr="00FC031D">
        <w:t>Mufdhi</w:t>
      </w:r>
      <w:r w:rsidRPr="00FC031D">
        <w:rPr>
          <w:rFonts w:ascii="Time New Roman" w:eastAsia="楷体" w:hAnsi="Time New Roman" w:hint="eastAsia"/>
        </w:rPr>
        <w:t>诉联合王国</w:t>
      </w:r>
      <w:r w:rsidRPr="00FC031D">
        <w:rPr>
          <w:rFonts w:hint="eastAsia"/>
        </w:rPr>
        <w:t>，第</w:t>
      </w:r>
      <w:r w:rsidRPr="00FC031D">
        <w:t>61498/08</w:t>
      </w:r>
      <w:r w:rsidRPr="00FC031D">
        <w:rPr>
          <w:rFonts w:hint="eastAsia"/>
        </w:rPr>
        <w:t>号，</w:t>
      </w:r>
      <w:r w:rsidRPr="00FC031D">
        <w:t>2010</w:t>
      </w:r>
      <w:r w:rsidRPr="00FC031D">
        <w:rPr>
          <w:rFonts w:hint="eastAsia"/>
        </w:rPr>
        <w:t>年</w:t>
      </w:r>
      <w:r w:rsidRPr="00FC031D">
        <w:t>10</w:t>
      </w:r>
      <w:r w:rsidRPr="00FC031D">
        <w:rPr>
          <w:rFonts w:hint="eastAsia"/>
        </w:rPr>
        <w:t>月</w:t>
      </w:r>
      <w:r w:rsidRPr="00FC031D">
        <w:t>4</w:t>
      </w:r>
      <w:r w:rsidRPr="00FC031D">
        <w:rPr>
          <w:rFonts w:hint="eastAsia"/>
        </w:rPr>
        <w:t>日，第</w:t>
      </w:r>
      <w:r w:rsidRPr="00FC031D">
        <w:t>119-120</w:t>
      </w:r>
      <w:r w:rsidRPr="00FC031D">
        <w:rPr>
          <w:rFonts w:hint="eastAsia"/>
        </w:rPr>
        <w:t>段，《</w:t>
      </w:r>
      <w:r w:rsidRPr="00FC031D">
        <w:rPr>
          <w:rFonts w:hint="eastAsia"/>
        </w:rPr>
        <w:t>2010</w:t>
      </w:r>
      <w:r w:rsidRPr="00FC031D">
        <w:rPr>
          <w:rFonts w:hint="eastAsia"/>
        </w:rPr>
        <w:t>年欧洲人权法院案例汇编》</w:t>
      </w:r>
      <w:r w:rsidRPr="00FC031D">
        <w:rPr>
          <w:rFonts w:hint="eastAsia"/>
        </w:rPr>
        <w:t>(</w:t>
      </w:r>
      <w:r w:rsidRPr="00FC031D">
        <w:rPr>
          <w:rFonts w:hint="eastAsia"/>
        </w:rPr>
        <w:t>摘要</w:t>
      </w:r>
      <w:r w:rsidRPr="00FC031D">
        <w:rPr>
          <w:rFonts w:hint="eastAsia"/>
        </w:rPr>
        <w:t>)</w:t>
      </w:r>
      <w:r w:rsidRPr="00FC031D">
        <w:rPr>
          <w:rFonts w:hint="eastAsia"/>
        </w:rPr>
        <w:t>；</w:t>
      </w:r>
      <w:r w:rsidRPr="00FC031D">
        <w:t>Demir</w:t>
      </w:r>
      <w:r w:rsidRPr="00FC031D">
        <w:rPr>
          <w:rFonts w:ascii="Time New Roman" w:eastAsia="楷体" w:hAnsi="Time New Roman" w:hint="eastAsia"/>
        </w:rPr>
        <w:t>和</w:t>
      </w:r>
      <w:r w:rsidRPr="00FC031D">
        <w:t>Baykara</w:t>
      </w:r>
      <w:r w:rsidRPr="00FC031D">
        <w:rPr>
          <w:rFonts w:ascii="Time New Roman" w:eastAsia="楷体" w:hAnsi="Time New Roman" w:hint="eastAsia"/>
        </w:rPr>
        <w:t>诉土耳其</w:t>
      </w:r>
      <w:r w:rsidRPr="00FC031D">
        <w:t>[GC]</w:t>
      </w:r>
      <w:r w:rsidRPr="00FC031D">
        <w:rPr>
          <w:rFonts w:hint="eastAsia"/>
        </w:rPr>
        <w:t>，第</w:t>
      </w:r>
      <w:r w:rsidRPr="00FC031D">
        <w:t>34503/97</w:t>
      </w:r>
      <w:r w:rsidRPr="00FC031D">
        <w:rPr>
          <w:rFonts w:hint="eastAsia"/>
        </w:rPr>
        <w:t>号，</w:t>
      </w:r>
      <w:r w:rsidRPr="00FC031D">
        <w:t>2008</w:t>
      </w:r>
      <w:r w:rsidRPr="00FC031D">
        <w:rPr>
          <w:rFonts w:hint="eastAsia"/>
        </w:rPr>
        <w:t>年</w:t>
      </w:r>
      <w:r w:rsidRPr="00FC031D">
        <w:t>11</w:t>
      </w:r>
      <w:r w:rsidRPr="00FC031D">
        <w:rPr>
          <w:rFonts w:hint="eastAsia"/>
        </w:rPr>
        <w:t>月</w:t>
      </w:r>
      <w:r w:rsidRPr="00FC031D">
        <w:t>12</w:t>
      </w:r>
      <w:r w:rsidRPr="00FC031D">
        <w:rPr>
          <w:rFonts w:hint="eastAsia"/>
        </w:rPr>
        <w:t>日，《</w:t>
      </w:r>
      <w:r w:rsidRPr="00FC031D">
        <w:rPr>
          <w:rFonts w:hint="eastAsia"/>
        </w:rPr>
        <w:t>2008</w:t>
      </w:r>
      <w:r w:rsidRPr="00FC031D">
        <w:rPr>
          <w:rFonts w:hint="eastAsia"/>
        </w:rPr>
        <w:t>年欧洲人权法院案例汇编》，第</w:t>
      </w:r>
      <w:r w:rsidRPr="00FC031D">
        <w:t>76</w:t>
      </w:r>
      <w:r w:rsidRPr="00FC031D">
        <w:rPr>
          <w:rFonts w:hint="eastAsia"/>
        </w:rPr>
        <w:t>段。</w:t>
      </w:r>
    </w:p>
  </w:footnote>
  <w:footnote w:id="748">
    <w:p w:rsidR="00AB00DE" w:rsidRPr="00FC031D" w:rsidRDefault="00AB00DE" w:rsidP="00560424">
      <w:pPr>
        <w:pStyle w:val="a4"/>
      </w:pPr>
      <w:r w:rsidRPr="00FC031D">
        <w:tab/>
      </w:r>
      <w:r w:rsidRPr="00DF5565">
        <w:rPr>
          <w:rStyle w:val="a5"/>
        </w:rPr>
        <w:footnoteRef/>
      </w:r>
      <w:r w:rsidRPr="00FC031D">
        <w:tab/>
      </w:r>
      <w:r w:rsidRPr="00FC031D">
        <w:rPr>
          <w:rFonts w:hint="eastAsia"/>
        </w:rPr>
        <w:t>例如，见</w:t>
      </w:r>
      <w:r w:rsidRPr="00FC031D">
        <w:t>Velásquez-Rodríguez</w:t>
      </w:r>
      <w:r w:rsidRPr="00FC031D">
        <w:rPr>
          <w:rFonts w:ascii="Time New Roman" w:eastAsia="楷体" w:hAnsi="Time New Roman" w:hint="eastAsia"/>
        </w:rPr>
        <w:t>诉洪都拉斯</w:t>
      </w:r>
      <w:r w:rsidRPr="00FC031D">
        <w:rPr>
          <w:rFonts w:hint="eastAsia"/>
        </w:rPr>
        <w:t>，判决，案情实质，</w:t>
      </w:r>
      <w:r w:rsidRPr="00FC031D">
        <w:t>1988</w:t>
      </w:r>
      <w:r w:rsidRPr="00FC031D">
        <w:rPr>
          <w:rFonts w:hint="eastAsia"/>
        </w:rPr>
        <w:t>年</w:t>
      </w:r>
      <w:r w:rsidRPr="00FC031D">
        <w:t>7</w:t>
      </w:r>
      <w:r w:rsidRPr="00FC031D">
        <w:rPr>
          <w:rFonts w:hint="eastAsia"/>
        </w:rPr>
        <w:t>月</w:t>
      </w:r>
      <w:r w:rsidRPr="00FC031D">
        <w:t>29</w:t>
      </w:r>
      <w:r w:rsidRPr="00FC031D">
        <w:rPr>
          <w:rFonts w:hint="eastAsia"/>
        </w:rPr>
        <w:t>日，美洲人权法院，</w:t>
      </w:r>
      <w:r w:rsidRPr="00FC031D">
        <w:t>C</w:t>
      </w:r>
      <w:r w:rsidRPr="00FC031D">
        <w:rPr>
          <w:rFonts w:hint="eastAsia"/>
        </w:rPr>
        <w:t>辑，第</w:t>
      </w:r>
      <w:r w:rsidRPr="00FC031D">
        <w:t>4</w:t>
      </w:r>
      <w:r w:rsidRPr="00FC031D">
        <w:rPr>
          <w:rFonts w:hint="eastAsia"/>
        </w:rPr>
        <w:t>号，第</w:t>
      </w:r>
      <w:r w:rsidRPr="00FC031D">
        <w:t>151</w:t>
      </w:r>
      <w:r w:rsidRPr="00FC031D">
        <w:rPr>
          <w:rFonts w:hint="eastAsia"/>
        </w:rPr>
        <w:t>段；</w:t>
      </w:r>
      <w:r w:rsidRPr="00FC031D">
        <w:rPr>
          <w:rFonts w:ascii="Time New Roman" w:eastAsia="楷体" w:hAnsi="Time New Roman"/>
        </w:rPr>
        <w:t>在正当法律程序保障框架内获得领事协助信息的权利</w:t>
      </w:r>
      <w:r w:rsidRPr="00FC031D">
        <w:rPr>
          <w:rFonts w:hint="eastAsia"/>
          <w:lang w:val="zh-CN"/>
        </w:rPr>
        <w:t>(</w:t>
      </w:r>
      <w:r w:rsidRPr="00FC031D">
        <w:rPr>
          <w:rFonts w:hint="eastAsia"/>
        </w:rPr>
        <w:t>见上文脚注</w:t>
      </w:r>
      <w:r>
        <w:fldChar w:fldCharType="begin"/>
      </w:r>
      <w:r>
        <w:instrText xml:space="preserve"> </w:instrText>
      </w:r>
      <w:r>
        <w:rPr>
          <w:rFonts w:hint="eastAsia"/>
        </w:rPr>
        <w:instrText>NOTEREF _Ref461976532 \h</w:instrText>
      </w:r>
      <w:r>
        <w:instrText xml:space="preserve"> </w:instrText>
      </w:r>
      <w:r>
        <w:fldChar w:fldCharType="separate"/>
      </w:r>
      <w:r w:rsidR="00A73EB9">
        <w:t>431</w:t>
      </w:r>
      <w:r>
        <w:fldChar w:fldCharType="end"/>
      </w:r>
      <w:r w:rsidRPr="00FC031D">
        <w:rPr>
          <w:rFonts w:hint="eastAsia"/>
        </w:rPr>
        <w:t>)</w:t>
      </w:r>
      <w:r w:rsidRPr="00FC031D">
        <w:rPr>
          <w:rFonts w:hint="eastAsia"/>
        </w:rPr>
        <w:t>，第</w:t>
      </w:r>
      <w:r w:rsidRPr="00FC031D">
        <w:t>130-133</w:t>
      </w:r>
      <w:r w:rsidRPr="00FC031D">
        <w:rPr>
          <w:rFonts w:hint="eastAsia"/>
        </w:rPr>
        <w:t>段和第</w:t>
      </w:r>
      <w:r w:rsidRPr="00FC031D">
        <w:t>137</w:t>
      </w:r>
      <w:r w:rsidRPr="00FC031D">
        <w:rPr>
          <w:rFonts w:hint="eastAsia"/>
        </w:rPr>
        <w:t>段。</w:t>
      </w:r>
    </w:p>
  </w:footnote>
  <w:footnote w:id="749">
    <w:p w:rsidR="00AB00DE" w:rsidRPr="00FC031D" w:rsidRDefault="00AB00DE" w:rsidP="00DF5565">
      <w:pPr>
        <w:pStyle w:val="a4"/>
      </w:pPr>
      <w:r w:rsidRPr="00FC031D">
        <w:tab/>
      </w:r>
      <w:r w:rsidRPr="00DF5565">
        <w:rPr>
          <w:rStyle w:val="a5"/>
        </w:rPr>
        <w:footnoteRef/>
      </w:r>
      <w:r w:rsidRPr="00FC031D">
        <w:tab/>
        <w:t>Mayagna (Sumo) Awas Tingni</w:t>
      </w:r>
      <w:r w:rsidRPr="00FC031D">
        <w:rPr>
          <w:rFonts w:ascii="Time New Roman" w:eastAsia="楷体" w:hAnsi="Time New Roman" w:hint="eastAsia"/>
        </w:rPr>
        <w:t>族群诉尼加拉瓜</w:t>
      </w:r>
      <w:r w:rsidRPr="00FC031D">
        <w:rPr>
          <w:rFonts w:hint="eastAsia"/>
        </w:rPr>
        <w:t>，判决</w:t>
      </w:r>
      <w:r w:rsidRPr="00FC031D">
        <w:rPr>
          <w:rFonts w:hint="eastAsia"/>
        </w:rPr>
        <w:t>(</w:t>
      </w:r>
      <w:r w:rsidRPr="00FC031D">
        <w:rPr>
          <w:rFonts w:hint="eastAsia"/>
        </w:rPr>
        <w:t>案情实质、赔偿和费用</w:t>
      </w:r>
      <w:r w:rsidRPr="00FC031D">
        <w:t>)</w:t>
      </w:r>
      <w:r w:rsidRPr="00FC031D">
        <w:rPr>
          <w:rFonts w:hint="eastAsia"/>
        </w:rPr>
        <w:t>，</w:t>
      </w:r>
      <w:r w:rsidRPr="00FC031D">
        <w:t>2001</w:t>
      </w:r>
      <w:r w:rsidRPr="00FC031D">
        <w:rPr>
          <w:rFonts w:hint="eastAsia"/>
        </w:rPr>
        <w:t>年</w:t>
      </w:r>
      <w:r w:rsidRPr="00FC031D">
        <w:t>8</w:t>
      </w:r>
      <w:r w:rsidRPr="00FC031D">
        <w:rPr>
          <w:rFonts w:hint="eastAsia"/>
        </w:rPr>
        <w:t>月</w:t>
      </w:r>
      <w:r w:rsidRPr="00FC031D">
        <w:t>31</w:t>
      </w:r>
      <w:r w:rsidRPr="00FC031D">
        <w:rPr>
          <w:rFonts w:hint="eastAsia"/>
        </w:rPr>
        <w:t>日，</w:t>
      </w:r>
      <w:r w:rsidRPr="00FC031D">
        <w:t>C</w:t>
      </w:r>
      <w:r w:rsidRPr="00FC031D">
        <w:rPr>
          <w:rFonts w:hint="eastAsia"/>
        </w:rPr>
        <w:t>辑第</w:t>
      </w:r>
      <w:r w:rsidRPr="00FC031D">
        <w:t>79</w:t>
      </w:r>
      <w:r w:rsidRPr="00FC031D">
        <w:rPr>
          <w:rFonts w:hint="eastAsia"/>
        </w:rPr>
        <w:t>号，第</w:t>
      </w:r>
      <w:r w:rsidRPr="00FC031D">
        <w:t>146</w:t>
      </w:r>
      <w:r w:rsidRPr="00FC031D">
        <w:rPr>
          <w:rFonts w:hint="eastAsia"/>
        </w:rPr>
        <w:t>段；另见</w:t>
      </w:r>
      <w:r w:rsidRPr="00FC031D">
        <w:rPr>
          <w:rFonts w:ascii="Time New Roman" w:eastAsia="楷体" w:hAnsi="Time New Roman" w:hint="eastAsia"/>
        </w:rPr>
        <w:t>关于在《美洲人权公约》第</w:t>
      </w:r>
      <w:r w:rsidRPr="00FC031D">
        <w:rPr>
          <w:rFonts w:ascii="Time New Roman" w:eastAsia="楷体" w:hAnsi="Time New Roman"/>
        </w:rPr>
        <w:t>64</w:t>
      </w:r>
      <w:r w:rsidRPr="00FC031D">
        <w:rPr>
          <w:rFonts w:ascii="Time New Roman" w:eastAsia="楷体" w:hAnsi="Time New Roman" w:hint="eastAsia"/>
        </w:rPr>
        <w:t>条框架内对《美洲关于人的权利和义务宣言》的解释</w:t>
      </w:r>
      <w:r w:rsidRPr="00FC031D">
        <w:rPr>
          <w:rFonts w:hint="eastAsia"/>
        </w:rPr>
        <w:t>，咨询意见，</w:t>
      </w:r>
      <w:r w:rsidRPr="00FC031D">
        <w:t>1989</w:t>
      </w:r>
      <w:r w:rsidRPr="00FC031D">
        <w:rPr>
          <w:rFonts w:hint="eastAsia"/>
        </w:rPr>
        <w:t>年</w:t>
      </w:r>
      <w:r w:rsidRPr="00FC031D">
        <w:t>7</w:t>
      </w:r>
      <w:r w:rsidRPr="00FC031D">
        <w:rPr>
          <w:rFonts w:hint="eastAsia"/>
        </w:rPr>
        <w:t>月</w:t>
      </w:r>
      <w:r w:rsidRPr="00FC031D">
        <w:t>14</w:t>
      </w:r>
      <w:r w:rsidRPr="00FC031D">
        <w:rPr>
          <w:rFonts w:hint="eastAsia"/>
        </w:rPr>
        <w:t>日，</w:t>
      </w:r>
      <w:r w:rsidRPr="00FC031D">
        <w:t>OC­10/89, A</w:t>
      </w:r>
      <w:r w:rsidRPr="00FC031D">
        <w:rPr>
          <w:rFonts w:hint="eastAsia"/>
        </w:rPr>
        <w:t>辑第</w:t>
      </w:r>
      <w:r w:rsidRPr="00FC031D">
        <w:t>10</w:t>
      </w:r>
      <w:r w:rsidRPr="00FC031D">
        <w:rPr>
          <w:rFonts w:hint="eastAsia"/>
        </w:rPr>
        <w:t>号，第</w:t>
      </w:r>
      <w:r w:rsidRPr="00FC031D">
        <w:t>38</w:t>
      </w:r>
      <w:r w:rsidRPr="00FC031D">
        <w:rPr>
          <w:rFonts w:hint="eastAsia"/>
        </w:rPr>
        <w:t>段。</w:t>
      </w:r>
    </w:p>
  </w:footnote>
  <w:footnote w:id="750">
    <w:p w:rsidR="00AB00DE" w:rsidRPr="00FC031D" w:rsidRDefault="00AB00DE" w:rsidP="00DF5565">
      <w:pPr>
        <w:pStyle w:val="a4"/>
      </w:pPr>
      <w:r w:rsidRPr="00FC031D">
        <w:tab/>
      </w:r>
      <w:r w:rsidRPr="00DF5565">
        <w:rPr>
          <w:rStyle w:val="a5"/>
        </w:rPr>
        <w:footnoteRef/>
      </w:r>
      <w:r w:rsidRPr="00FC031D">
        <w:tab/>
        <w:t>Kindler</w:t>
      </w:r>
      <w:r w:rsidRPr="00FC031D">
        <w:rPr>
          <w:rFonts w:ascii="Time New Roman" w:eastAsia="楷体" w:hAnsi="Time New Roman" w:hint="eastAsia"/>
        </w:rPr>
        <w:t>诉加拿大</w:t>
      </w:r>
      <w:r w:rsidRPr="00FC031D">
        <w:rPr>
          <w:rFonts w:hint="eastAsia"/>
        </w:rPr>
        <w:t>，意见，</w:t>
      </w:r>
      <w:r w:rsidRPr="00FC031D">
        <w:t>1993</w:t>
      </w:r>
      <w:r w:rsidRPr="00FC031D">
        <w:rPr>
          <w:rFonts w:hint="eastAsia"/>
        </w:rPr>
        <w:t>年</w:t>
      </w:r>
      <w:r w:rsidRPr="00FC031D">
        <w:t>7</w:t>
      </w:r>
      <w:r w:rsidRPr="00FC031D">
        <w:rPr>
          <w:rFonts w:hint="eastAsia"/>
        </w:rPr>
        <w:t>月</w:t>
      </w:r>
      <w:r w:rsidRPr="00FC031D">
        <w:t>30</w:t>
      </w:r>
      <w:r w:rsidRPr="00FC031D">
        <w:rPr>
          <w:rFonts w:hint="eastAsia"/>
        </w:rPr>
        <w:t>日，第</w:t>
      </w:r>
      <w:r w:rsidRPr="00FC031D">
        <w:t>470/1991</w:t>
      </w:r>
      <w:r w:rsidRPr="00FC031D">
        <w:rPr>
          <w:rFonts w:hint="eastAsia"/>
        </w:rPr>
        <w:t>号来文，人权事务委员会报告，《大会正式记录，第四十八届会议，补编第</w:t>
      </w:r>
      <w:r w:rsidRPr="00FC031D">
        <w:rPr>
          <w:rFonts w:hint="eastAsia"/>
        </w:rPr>
        <w:t>40</w:t>
      </w:r>
      <w:r w:rsidRPr="00FC031D">
        <w:rPr>
          <w:rFonts w:hint="eastAsia"/>
        </w:rPr>
        <w:t>号》</w:t>
      </w:r>
      <w:r w:rsidRPr="00FC031D">
        <w:rPr>
          <w:rFonts w:hint="eastAsia"/>
        </w:rPr>
        <w:t>(A/48/40)</w:t>
      </w:r>
      <w:r w:rsidRPr="00FC031D">
        <w:rPr>
          <w:rFonts w:hint="eastAsia"/>
        </w:rPr>
        <w:t>，第二卷，附件十二，</w:t>
      </w:r>
      <w:r w:rsidRPr="00FC031D">
        <w:rPr>
          <w:rFonts w:hint="eastAsia"/>
        </w:rPr>
        <w:t>U</w:t>
      </w:r>
      <w:r w:rsidRPr="00FC031D">
        <w:rPr>
          <w:rFonts w:hint="eastAsia"/>
        </w:rPr>
        <w:t>。</w:t>
      </w:r>
    </w:p>
  </w:footnote>
  <w:footnote w:id="751">
    <w:p w:rsidR="00AB00DE" w:rsidRPr="00FC031D" w:rsidRDefault="00AB00DE" w:rsidP="00DF5565">
      <w:pPr>
        <w:pStyle w:val="a4"/>
      </w:pPr>
      <w:r w:rsidRPr="00FC031D">
        <w:tab/>
      </w:r>
      <w:r w:rsidRPr="00DF5565">
        <w:rPr>
          <w:rStyle w:val="a5"/>
        </w:rPr>
        <w:footnoteRef/>
      </w:r>
      <w:r w:rsidRPr="00FC031D">
        <w:tab/>
      </w:r>
      <w:r w:rsidRPr="00FC031D">
        <w:rPr>
          <w:rFonts w:ascii="Time New Roman" w:eastAsia="楷体" w:hAnsi="Time New Roman" w:hint="eastAsia"/>
        </w:rPr>
        <w:t>法官诉加拿大</w:t>
      </w:r>
      <w:r w:rsidRPr="00FC031D">
        <w:rPr>
          <w:rFonts w:hint="eastAsia"/>
        </w:rPr>
        <w:t>，意见，</w:t>
      </w:r>
      <w:r w:rsidRPr="00FC031D">
        <w:t>2002</w:t>
      </w:r>
      <w:r w:rsidRPr="00FC031D">
        <w:rPr>
          <w:rFonts w:hint="eastAsia"/>
        </w:rPr>
        <w:t>年</w:t>
      </w:r>
      <w:r w:rsidRPr="00FC031D">
        <w:t>8</w:t>
      </w:r>
      <w:r w:rsidRPr="00FC031D">
        <w:rPr>
          <w:rFonts w:hint="eastAsia"/>
        </w:rPr>
        <w:t>月</w:t>
      </w:r>
      <w:r w:rsidRPr="00FC031D">
        <w:t>5</w:t>
      </w:r>
      <w:r w:rsidRPr="00FC031D">
        <w:rPr>
          <w:rFonts w:hint="eastAsia"/>
        </w:rPr>
        <w:t>日，第</w:t>
      </w:r>
      <w:r w:rsidRPr="00FC031D">
        <w:t>829/1998</w:t>
      </w:r>
      <w:r w:rsidRPr="00FC031D">
        <w:rPr>
          <w:rFonts w:hint="eastAsia"/>
        </w:rPr>
        <w:t>号来文，同上，《第四十八届会议，补编第</w:t>
      </w:r>
      <w:r w:rsidRPr="00FC031D">
        <w:rPr>
          <w:rFonts w:hint="eastAsia"/>
        </w:rPr>
        <w:t>40</w:t>
      </w:r>
      <w:r w:rsidRPr="00FC031D">
        <w:rPr>
          <w:rFonts w:hint="eastAsia"/>
        </w:rPr>
        <w:t>号》</w:t>
      </w:r>
      <w:r w:rsidRPr="00FC031D">
        <w:rPr>
          <w:rFonts w:hint="eastAsia"/>
        </w:rPr>
        <w:t>(A/48/40)</w:t>
      </w:r>
      <w:r w:rsidRPr="00FC031D">
        <w:rPr>
          <w:rFonts w:hint="eastAsia"/>
        </w:rPr>
        <w:t>，第二卷，附件五，</w:t>
      </w:r>
      <w:r w:rsidRPr="00FC031D">
        <w:rPr>
          <w:rFonts w:hint="eastAsia"/>
        </w:rPr>
        <w:t xml:space="preserve">G, </w:t>
      </w:r>
      <w:r w:rsidRPr="00FC031D">
        <w:rPr>
          <w:rFonts w:hint="eastAsia"/>
        </w:rPr>
        <w:t>第</w:t>
      </w:r>
      <w:r w:rsidRPr="00FC031D">
        <w:t>10.3</w:t>
      </w:r>
      <w:r w:rsidRPr="00FC031D">
        <w:rPr>
          <w:rFonts w:hint="eastAsia"/>
        </w:rPr>
        <w:t>段。</w:t>
      </w:r>
    </w:p>
  </w:footnote>
  <w:footnote w:id="752">
    <w:p w:rsidR="00AB00DE" w:rsidRPr="00FC031D" w:rsidRDefault="00AB00DE" w:rsidP="00DF5565">
      <w:pPr>
        <w:pStyle w:val="a4"/>
      </w:pPr>
      <w:r w:rsidRPr="00FC031D">
        <w:rPr>
          <w:rFonts w:hint="eastAsia"/>
        </w:rPr>
        <w:tab/>
      </w:r>
      <w:r w:rsidRPr="00DF5565">
        <w:rPr>
          <w:rStyle w:val="a5"/>
        </w:rPr>
        <w:footnoteRef/>
      </w:r>
      <w:r w:rsidRPr="00FC031D">
        <w:rPr>
          <w:rFonts w:hint="eastAsia"/>
        </w:rPr>
        <w:tab/>
      </w:r>
      <w:r w:rsidRPr="00FC031D">
        <w:rPr>
          <w:rFonts w:hint="eastAsia"/>
        </w:rPr>
        <w:t>联合国，《条约汇编》，第</w:t>
      </w:r>
      <w:r w:rsidRPr="00FC031D">
        <w:t>999</w:t>
      </w:r>
      <w:r w:rsidRPr="00FC031D">
        <w:rPr>
          <w:rFonts w:hint="eastAsia"/>
        </w:rPr>
        <w:t>卷，第</w:t>
      </w:r>
      <w:r w:rsidRPr="00FC031D">
        <w:t>14668</w:t>
      </w:r>
      <w:r w:rsidRPr="00FC031D">
        <w:rPr>
          <w:rFonts w:hint="eastAsia"/>
        </w:rPr>
        <w:t>号，第</w:t>
      </w:r>
      <w:r w:rsidRPr="00FC031D">
        <w:t>171</w:t>
      </w:r>
      <w:r w:rsidRPr="00FC031D">
        <w:rPr>
          <w:rFonts w:hint="eastAsia"/>
        </w:rPr>
        <w:t>页。</w:t>
      </w:r>
    </w:p>
  </w:footnote>
  <w:footnote w:id="753">
    <w:p w:rsidR="00AB00DE" w:rsidRPr="00FC031D" w:rsidRDefault="00AB00DE" w:rsidP="00DF5565">
      <w:pPr>
        <w:pStyle w:val="a4"/>
      </w:pPr>
      <w:r w:rsidRPr="00FC031D">
        <w:tab/>
      </w:r>
      <w:r w:rsidRPr="00DF5565">
        <w:rPr>
          <w:rStyle w:val="a5"/>
        </w:rPr>
        <w:footnoteRef/>
      </w:r>
      <w:r w:rsidRPr="00FC031D">
        <w:tab/>
        <w:t>Yoon</w:t>
      </w:r>
      <w:r w:rsidRPr="00FC031D">
        <w:rPr>
          <w:rFonts w:ascii="Time New Roman" w:eastAsia="楷体" w:hAnsi="Time New Roman" w:hint="eastAsia"/>
        </w:rPr>
        <w:t>和</w:t>
      </w:r>
      <w:r w:rsidRPr="00FC031D">
        <w:rPr>
          <w:rFonts w:ascii="Time New Roman" w:eastAsia="楷体" w:hAnsi="Time New Roman"/>
        </w:rPr>
        <w:t>Choi</w:t>
      </w:r>
      <w:r w:rsidRPr="00FC031D">
        <w:rPr>
          <w:rFonts w:ascii="Time New Roman" w:eastAsia="楷体" w:hAnsi="Time New Roman" w:hint="eastAsia"/>
        </w:rPr>
        <w:t>诉大韩民国</w:t>
      </w:r>
      <w:r w:rsidRPr="00FC031D">
        <w:rPr>
          <w:rFonts w:hint="eastAsia"/>
        </w:rPr>
        <w:t>，意见，</w:t>
      </w:r>
      <w:r w:rsidRPr="00FC031D">
        <w:t>2006</w:t>
      </w:r>
      <w:r w:rsidRPr="00FC031D">
        <w:rPr>
          <w:rFonts w:hint="eastAsia"/>
        </w:rPr>
        <w:t>年</w:t>
      </w:r>
      <w:r w:rsidRPr="00FC031D">
        <w:t>11</w:t>
      </w:r>
      <w:r w:rsidRPr="00FC031D">
        <w:rPr>
          <w:rFonts w:hint="eastAsia"/>
        </w:rPr>
        <w:t>月</w:t>
      </w:r>
      <w:r w:rsidRPr="00FC031D">
        <w:t>3</w:t>
      </w:r>
      <w:r w:rsidRPr="00FC031D">
        <w:rPr>
          <w:rFonts w:hint="eastAsia"/>
        </w:rPr>
        <w:t>日，第</w:t>
      </w:r>
      <w:r w:rsidRPr="00FC031D">
        <w:t>1321/2004</w:t>
      </w:r>
      <w:r w:rsidRPr="00FC031D">
        <w:rPr>
          <w:rFonts w:hint="eastAsia"/>
        </w:rPr>
        <w:t>和</w:t>
      </w:r>
      <w:r w:rsidRPr="00FC031D">
        <w:t>1322/2004</w:t>
      </w:r>
      <w:r w:rsidRPr="00FC031D">
        <w:rPr>
          <w:rFonts w:hint="eastAsia"/>
        </w:rPr>
        <w:t>号来文，同上，《第六十二届会议，补编第</w:t>
      </w:r>
      <w:r w:rsidRPr="00FC031D">
        <w:rPr>
          <w:rFonts w:hint="eastAsia"/>
        </w:rPr>
        <w:t>40</w:t>
      </w:r>
      <w:r w:rsidRPr="00FC031D">
        <w:rPr>
          <w:rFonts w:hint="eastAsia"/>
        </w:rPr>
        <w:t>号》</w:t>
      </w:r>
      <w:r w:rsidRPr="00FC031D">
        <w:rPr>
          <w:rFonts w:hint="eastAsia"/>
        </w:rPr>
        <w:t>(A/62/40)</w:t>
      </w:r>
      <w:r w:rsidRPr="00FC031D">
        <w:rPr>
          <w:rFonts w:hint="eastAsia"/>
        </w:rPr>
        <w:t>，第二卷，附件七，</w:t>
      </w:r>
      <w:r w:rsidRPr="00FC031D">
        <w:rPr>
          <w:rFonts w:hint="eastAsia"/>
        </w:rPr>
        <w:t xml:space="preserve">V, </w:t>
      </w:r>
      <w:r w:rsidRPr="00FC031D">
        <w:t>第</w:t>
      </w:r>
      <w:r w:rsidRPr="00FC031D">
        <w:t>8.4</w:t>
      </w:r>
      <w:r w:rsidRPr="00FC031D">
        <w:rPr>
          <w:rFonts w:hint="eastAsia"/>
        </w:rPr>
        <w:t>段。</w:t>
      </w:r>
    </w:p>
  </w:footnote>
  <w:footnote w:id="754">
    <w:p w:rsidR="00AB00DE" w:rsidRPr="00FC031D" w:rsidRDefault="00AB00DE" w:rsidP="00DF5565">
      <w:pPr>
        <w:pStyle w:val="a4"/>
        <w:rPr>
          <w:lang w:val="es-ES_tradnl"/>
        </w:rPr>
      </w:pPr>
      <w:r w:rsidRPr="00FC031D">
        <w:tab/>
      </w:r>
      <w:r w:rsidRPr="00DF5565">
        <w:rPr>
          <w:rStyle w:val="a5"/>
        </w:rPr>
        <w:footnoteRef/>
      </w:r>
      <w:r w:rsidRPr="00FC031D">
        <w:tab/>
      </w:r>
      <w:r w:rsidRPr="00FC031D">
        <w:rPr>
          <w:rFonts w:ascii="Time New Roman" w:eastAsia="楷体" w:hAnsi="Time New Roman" w:hint="eastAsia"/>
        </w:rPr>
        <w:t>米海利国际公司诉斯里兰卡民主社会主义共和国</w:t>
      </w:r>
      <w:r w:rsidRPr="00FC031D">
        <w:rPr>
          <w:rFonts w:hint="eastAsia"/>
          <w:lang w:val="es-ES_tradnl"/>
        </w:rPr>
        <w:t>(</w:t>
      </w:r>
      <w:r w:rsidRPr="00FC031D">
        <w:rPr>
          <w:rFonts w:hint="eastAsia"/>
          <w:lang w:val="es-ES_tradnl"/>
        </w:rPr>
        <w:t>美国</w:t>
      </w:r>
      <w:r w:rsidRPr="00FC031D">
        <w:rPr>
          <w:lang w:val="es-ES_tradnl"/>
        </w:rPr>
        <w:t>/</w:t>
      </w:r>
      <w:r w:rsidRPr="00FC031D">
        <w:rPr>
          <w:rFonts w:hint="eastAsia"/>
          <w:lang w:val="es-ES_tradnl"/>
        </w:rPr>
        <w:t>斯里兰卡双边投资条约</w:t>
      </w:r>
      <w:r w:rsidRPr="00FC031D">
        <w:rPr>
          <w:lang w:val="es-ES_tradnl"/>
        </w:rPr>
        <w:t>)</w:t>
      </w:r>
      <w:r w:rsidRPr="00FC031D">
        <w:rPr>
          <w:rFonts w:hint="eastAsia"/>
          <w:lang w:val="es-ES_tradnl"/>
        </w:rPr>
        <w:t>，裁定和同意意见，</w:t>
      </w:r>
      <w:r w:rsidRPr="00FC031D">
        <w:rPr>
          <w:lang w:val="es-ES_tradnl"/>
        </w:rPr>
        <w:t>2002</w:t>
      </w:r>
      <w:r w:rsidRPr="00FC031D">
        <w:rPr>
          <w:rFonts w:hint="eastAsia"/>
          <w:lang w:val="es-ES_tradnl"/>
        </w:rPr>
        <w:t>年</w:t>
      </w:r>
      <w:r w:rsidRPr="00FC031D">
        <w:rPr>
          <w:lang w:val="es-ES_tradnl"/>
        </w:rPr>
        <w:t>3</w:t>
      </w:r>
      <w:r w:rsidRPr="00FC031D">
        <w:rPr>
          <w:rFonts w:hint="eastAsia"/>
          <w:lang w:val="es-ES_tradnl"/>
        </w:rPr>
        <w:t>月</w:t>
      </w:r>
      <w:r w:rsidRPr="00FC031D">
        <w:rPr>
          <w:lang w:val="es-ES_tradnl"/>
        </w:rPr>
        <w:t>15</w:t>
      </w:r>
      <w:r w:rsidRPr="00FC031D">
        <w:rPr>
          <w:rFonts w:hint="eastAsia"/>
          <w:lang w:val="es-ES_tradnl"/>
        </w:rPr>
        <w:t>日，解决投资争端国际中心案件编号</w:t>
      </w:r>
      <w:r w:rsidRPr="00FC031D">
        <w:rPr>
          <w:lang w:val="es-ES_tradnl"/>
        </w:rPr>
        <w:t xml:space="preserve">ARB/00/2, </w:t>
      </w:r>
      <w:r w:rsidRPr="00FC031D">
        <w:rPr>
          <w:rFonts w:hint="eastAsia"/>
          <w:lang w:val="es-ES_tradnl"/>
        </w:rPr>
        <w:t>《解决投资争端国际中心案例汇编》，第</w:t>
      </w:r>
      <w:r w:rsidRPr="00FC031D">
        <w:rPr>
          <w:lang w:val="es-ES_tradnl"/>
        </w:rPr>
        <w:t>6</w:t>
      </w:r>
      <w:r w:rsidRPr="00FC031D">
        <w:rPr>
          <w:rFonts w:hint="eastAsia"/>
          <w:lang w:val="es-ES_tradnl"/>
        </w:rPr>
        <w:t>卷</w:t>
      </w:r>
      <w:r w:rsidRPr="00FC031D">
        <w:rPr>
          <w:rFonts w:hint="eastAsia"/>
          <w:lang w:val="es-ES_tradnl"/>
        </w:rPr>
        <w:t>(</w:t>
      </w:r>
      <w:r w:rsidRPr="00FC031D">
        <w:rPr>
          <w:lang w:val="es-ES_tradnl"/>
        </w:rPr>
        <w:t>2004</w:t>
      </w:r>
      <w:r w:rsidRPr="00FC031D">
        <w:rPr>
          <w:rFonts w:hint="eastAsia"/>
          <w:lang w:val="es-ES_tradnl"/>
        </w:rPr>
        <w:t>年</w:t>
      </w:r>
      <w:r w:rsidRPr="00FC031D">
        <w:rPr>
          <w:lang w:val="es-ES_tradnl"/>
        </w:rPr>
        <w:t>)</w:t>
      </w:r>
      <w:r w:rsidRPr="00FC031D">
        <w:rPr>
          <w:rFonts w:hint="eastAsia"/>
          <w:lang w:val="es-ES_tradnl"/>
        </w:rPr>
        <w:t>，第</w:t>
      </w:r>
      <w:r w:rsidRPr="00FC031D">
        <w:rPr>
          <w:lang w:val="es-ES_tradnl"/>
        </w:rPr>
        <w:t>3</w:t>
      </w:r>
      <w:r w:rsidRPr="00FC031D">
        <w:rPr>
          <w:rFonts w:hint="eastAsia"/>
          <w:lang w:val="es-ES_tradnl"/>
        </w:rPr>
        <w:t>08</w:t>
      </w:r>
      <w:r w:rsidRPr="00FC031D">
        <w:rPr>
          <w:rFonts w:hint="eastAsia"/>
          <w:lang w:val="es-ES_tradnl"/>
        </w:rPr>
        <w:t>页及以下各页，见第</w:t>
      </w:r>
      <w:r w:rsidRPr="00FC031D">
        <w:rPr>
          <w:rFonts w:hint="eastAsia"/>
          <w:lang w:val="es-ES_tradnl"/>
        </w:rPr>
        <w:t>317</w:t>
      </w:r>
      <w:r w:rsidRPr="00FC031D">
        <w:rPr>
          <w:rFonts w:hint="eastAsia"/>
          <w:lang w:val="es-ES_tradnl"/>
        </w:rPr>
        <w:t>页，第</w:t>
      </w:r>
      <w:r w:rsidRPr="00FC031D">
        <w:rPr>
          <w:lang w:val="es-ES_tradnl"/>
        </w:rPr>
        <w:t>33</w:t>
      </w:r>
      <w:r w:rsidRPr="00FC031D">
        <w:rPr>
          <w:rFonts w:hint="eastAsia"/>
          <w:lang w:val="es-ES_tradnl"/>
        </w:rPr>
        <w:t>段；相似的还有，</w:t>
      </w:r>
      <w:r w:rsidRPr="00FC031D">
        <w:rPr>
          <w:lang w:val="es-ES_tradnl"/>
        </w:rPr>
        <w:t>Autopista Concesionada de Venezuela, CA</w:t>
      </w:r>
      <w:r w:rsidRPr="00FC031D">
        <w:rPr>
          <w:rFonts w:ascii="Time New Roman" w:eastAsia="楷体" w:hAnsi="Time New Roman" w:hint="eastAsia"/>
        </w:rPr>
        <w:t>诉委内瑞拉玻利瓦尔共和国</w:t>
      </w:r>
      <w:r w:rsidRPr="00FC031D">
        <w:rPr>
          <w:rFonts w:hint="eastAsia"/>
          <w:lang w:val="es-ES_tradnl"/>
        </w:rPr>
        <w:t>，关于管辖权的决定，</w:t>
      </w:r>
      <w:r w:rsidRPr="00FC031D">
        <w:rPr>
          <w:lang w:val="es-ES_tradnl"/>
        </w:rPr>
        <w:t>2001</w:t>
      </w:r>
      <w:r w:rsidRPr="00FC031D">
        <w:rPr>
          <w:rFonts w:hint="eastAsia"/>
          <w:lang w:val="es-ES_tradnl"/>
        </w:rPr>
        <w:t>年</w:t>
      </w:r>
      <w:r w:rsidRPr="00FC031D">
        <w:rPr>
          <w:lang w:val="es-ES_tradnl"/>
        </w:rPr>
        <w:t>9</w:t>
      </w:r>
      <w:r w:rsidRPr="00FC031D">
        <w:rPr>
          <w:rFonts w:hint="eastAsia"/>
          <w:lang w:val="es-ES_tradnl"/>
        </w:rPr>
        <w:t>月</w:t>
      </w:r>
      <w:r w:rsidRPr="00FC031D">
        <w:rPr>
          <w:lang w:val="es-ES_tradnl"/>
        </w:rPr>
        <w:t>27</w:t>
      </w:r>
      <w:r w:rsidRPr="00FC031D">
        <w:rPr>
          <w:rFonts w:hint="eastAsia"/>
          <w:lang w:val="es-ES_tradnl"/>
        </w:rPr>
        <w:t>日，解决投资争端国际中心案件编号</w:t>
      </w:r>
      <w:r w:rsidRPr="00FC031D">
        <w:rPr>
          <w:lang w:val="es-ES_tradnl"/>
        </w:rPr>
        <w:t xml:space="preserve">ARB/00/5, </w:t>
      </w:r>
      <w:r w:rsidRPr="00FC031D">
        <w:rPr>
          <w:rFonts w:hint="eastAsia"/>
          <w:lang w:val="es-ES_tradnl"/>
        </w:rPr>
        <w:t>同上，第</w:t>
      </w:r>
      <w:r w:rsidRPr="00FC031D">
        <w:rPr>
          <w:lang w:val="es-ES_tradnl"/>
        </w:rPr>
        <w:t>419</w:t>
      </w:r>
      <w:r w:rsidRPr="00FC031D">
        <w:rPr>
          <w:rFonts w:hint="eastAsia"/>
          <w:lang w:val="es-ES_tradnl"/>
        </w:rPr>
        <w:t>页，第</w:t>
      </w:r>
      <w:r w:rsidRPr="00FC031D">
        <w:rPr>
          <w:lang w:val="es-ES_tradnl"/>
        </w:rPr>
        <w:t>97</w:t>
      </w:r>
      <w:r w:rsidRPr="00FC031D">
        <w:rPr>
          <w:rFonts w:hint="eastAsia"/>
          <w:lang w:val="es-ES_tradnl"/>
        </w:rPr>
        <w:t>段。</w:t>
      </w:r>
    </w:p>
  </w:footnote>
  <w:footnote w:id="755">
    <w:p w:rsidR="00AB00DE" w:rsidRPr="00FC031D" w:rsidRDefault="00AB00DE" w:rsidP="00DF5565">
      <w:pPr>
        <w:pStyle w:val="a4"/>
        <w:rPr>
          <w:highlight w:val="yellow"/>
        </w:rPr>
      </w:pPr>
      <w:r w:rsidRPr="00FC031D">
        <w:tab/>
      </w:r>
      <w:r w:rsidRPr="00DF5565">
        <w:rPr>
          <w:rStyle w:val="a5"/>
        </w:rPr>
        <w:footnoteRef/>
      </w:r>
      <w:r w:rsidRPr="00FC031D">
        <w:tab/>
      </w:r>
      <w:r w:rsidRPr="00FC031D">
        <w:rPr>
          <w:rFonts w:hint="eastAsia"/>
        </w:rPr>
        <w:t>联合国，《条约汇编》，第</w:t>
      </w:r>
      <w:r w:rsidRPr="00FC031D">
        <w:t>1343</w:t>
      </w:r>
      <w:r w:rsidRPr="00FC031D">
        <w:rPr>
          <w:rFonts w:hint="eastAsia"/>
        </w:rPr>
        <w:t>卷，第</w:t>
      </w:r>
      <w:r w:rsidRPr="00FC031D">
        <w:t>22514</w:t>
      </w:r>
      <w:r w:rsidRPr="00FC031D">
        <w:rPr>
          <w:rFonts w:hint="eastAsia"/>
        </w:rPr>
        <w:t>号，第</w:t>
      </w:r>
      <w:r w:rsidRPr="00FC031D">
        <w:t>89</w:t>
      </w:r>
      <w:r w:rsidRPr="00FC031D">
        <w:rPr>
          <w:rFonts w:hint="eastAsia"/>
        </w:rPr>
        <w:t>页。</w:t>
      </w:r>
    </w:p>
  </w:footnote>
  <w:footnote w:id="756">
    <w:p w:rsidR="00AB00DE" w:rsidRPr="00FC031D" w:rsidRDefault="00AB00DE" w:rsidP="00DF5565">
      <w:pPr>
        <w:pStyle w:val="a4"/>
        <w:rPr>
          <w:highlight w:val="yellow"/>
        </w:rPr>
      </w:pPr>
      <w:r w:rsidRPr="00FC031D">
        <w:tab/>
      </w:r>
      <w:r w:rsidRPr="00DF5565">
        <w:rPr>
          <w:rStyle w:val="a5"/>
        </w:rPr>
        <w:footnoteRef/>
      </w:r>
      <w:r w:rsidRPr="00FC031D">
        <w:tab/>
      </w:r>
      <w:r w:rsidRPr="00FC031D">
        <w:t>新西兰，上诉法院，</w:t>
      </w:r>
      <w:r w:rsidRPr="00FC031D">
        <w:rPr>
          <w:iCs/>
        </w:rPr>
        <w:t>C</w:t>
      </w:r>
      <w:r w:rsidRPr="00FC031D">
        <w:rPr>
          <w:rFonts w:ascii="Time New Roman" w:eastAsia="楷体" w:hAnsi="Time New Roman"/>
        </w:rPr>
        <w:t>诉</w:t>
      </w:r>
      <w:r w:rsidRPr="00FC031D">
        <w:rPr>
          <w:iCs/>
        </w:rPr>
        <w:t>H [</w:t>
      </w:r>
      <w:r w:rsidRPr="00FC031D">
        <w:t xml:space="preserve">2009] NZCA 100, </w:t>
      </w:r>
      <w:r w:rsidRPr="00FC031D">
        <w:t>第</w:t>
      </w:r>
      <w:r w:rsidRPr="00FC031D">
        <w:t>175-177</w:t>
      </w:r>
      <w:r w:rsidRPr="00FC031D">
        <w:t>段和第</w:t>
      </w:r>
      <w:r w:rsidRPr="00FC031D">
        <w:t>195-196</w:t>
      </w:r>
      <w:r w:rsidRPr="00FC031D">
        <w:t>段</w:t>
      </w:r>
      <w:r w:rsidRPr="00FC031D">
        <w:t>(Baragwanath J.)</w:t>
      </w:r>
      <w:r w:rsidRPr="00FC031D">
        <w:t>；另见第</w:t>
      </w:r>
      <w:r w:rsidRPr="00FC031D">
        <w:t>31</w:t>
      </w:r>
      <w:r w:rsidRPr="00FC031D">
        <w:t>段</w:t>
      </w:r>
      <w:r w:rsidRPr="00FC031D">
        <w:t>(Chambers J.)</w:t>
      </w:r>
      <w:r w:rsidRPr="00FC031D">
        <w:t>：</w:t>
      </w:r>
      <w:r w:rsidRPr="00FC031D">
        <w:rPr>
          <w:rFonts w:hint="eastAsia"/>
        </w:rPr>
        <w:t>“</w:t>
      </w:r>
      <w:r w:rsidRPr="00FC031D">
        <w:t>修改</w:t>
      </w:r>
      <w:r w:rsidRPr="00FC031D">
        <w:t>1980</w:t>
      </w:r>
      <w:r w:rsidRPr="00FC031D">
        <w:t>年起草和商定的案文肯定不</w:t>
      </w:r>
      <w:r w:rsidRPr="00FC031D">
        <w:rPr>
          <w:rFonts w:hint="eastAsia"/>
        </w:rPr>
        <w:t>可行</w:t>
      </w:r>
      <w:r w:rsidRPr="00FC031D">
        <w:t>，因为任何修改必须经诸多缔约国商定。因此，必须通过解释和</w:t>
      </w:r>
      <w:r w:rsidRPr="00FC031D">
        <w:rPr>
          <w:rFonts w:hint="eastAsia"/>
        </w:rPr>
        <w:t>说明</w:t>
      </w:r>
      <w:r w:rsidRPr="00FC031D">
        <w:t>的演变，来实现使案文与社会趋势和其他趋势保持一致所必需的演变。考虑到同样于</w:t>
      </w:r>
      <w:r w:rsidRPr="00FC031D">
        <w:t>1980</w:t>
      </w:r>
      <w:r w:rsidRPr="00FC031D">
        <w:t>年生效的《维也纳条约法公约》的条款，这是可允许的做法。第三十一条第三款</w:t>
      </w:r>
      <w:r w:rsidRPr="00FC031D">
        <w:t>(b)</w:t>
      </w:r>
      <w:r w:rsidRPr="00FC031D">
        <w:t>项允许反映</w:t>
      </w:r>
      <w:r w:rsidRPr="00FC031D">
        <w:t>‘</w:t>
      </w:r>
      <w:r w:rsidRPr="00FC031D">
        <w:t>嗣后在条约适用方面确定各当事国对条约解释之协定之任何惯例</w:t>
      </w:r>
      <w:r w:rsidRPr="00FC031D">
        <w:t>’</w:t>
      </w:r>
      <w:r w:rsidRPr="00FC031D">
        <w:t>的</w:t>
      </w:r>
      <w:r w:rsidRPr="00FC031D">
        <w:rPr>
          <w:rFonts w:hint="eastAsia"/>
        </w:rPr>
        <w:t>说明</w:t>
      </w:r>
      <w:r w:rsidRPr="00FC031D">
        <w:t>。</w:t>
      </w:r>
      <w:r w:rsidRPr="00FC031D">
        <w:rPr>
          <w:rFonts w:hint="eastAsia"/>
        </w:rPr>
        <w:t>”</w:t>
      </w:r>
      <w:r w:rsidRPr="00FC031D">
        <w:t>相似的还有加拿大，最高法院，</w:t>
      </w:r>
      <w:r w:rsidRPr="00FC031D">
        <w:rPr>
          <w:iCs/>
        </w:rPr>
        <w:t>Pushpanathan</w:t>
      </w:r>
      <w:r w:rsidRPr="00FC031D">
        <w:rPr>
          <w:rFonts w:ascii="Time New Roman" w:eastAsia="楷体" w:hAnsi="Time New Roman"/>
        </w:rPr>
        <w:t>诉加拿大</w:t>
      </w:r>
      <w:r w:rsidRPr="00FC031D">
        <w:rPr>
          <w:rFonts w:ascii="Time New Roman" w:eastAsia="楷体" w:hAnsi="Time New Roman"/>
        </w:rPr>
        <w:t>(</w:t>
      </w:r>
      <w:r w:rsidRPr="00FC031D">
        <w:rPr>
          <w:rFonts w:ascii="Time New Roman" w:eastAsia="楷体" w:hAnsi="Time New Roman"/>
        </w:rPr>
        <w:t>公民和移民部部长</w:t>
      </w:r>
      <w:r w:rsidRPr="00FC031D">
        <w:rPr>
          <w:iCs/>
        </w:rPr>
        <w:t>)</w:t>
      </w:r>
      <w:r w:rsidRPr="00FC031D">
        <w:t xml:space="preserve"> [1998] 1 SCR 982, </w:t>
      </w:r>
      <w:r w:rsidRPr="00FC031D">
        <w:t>第</w:t>
      </w:r>
      <w:r w:rsidRPr="00FC031D">
        <w:t>129</w:t>
      </w:r>
      <w:r w:rsidRPr="00FC031D">
        <w:t>段</w:t>
      </w:r>
      <w:r w:rsidRPr="00FC031D">
        <w:t>(Cory J.)</w:t>
      </w:r>
      <w:r w:rsidRPr="00FC031D">
        <w:t>。</w:t>
      </w:r>
    </w:p>
  </w:footnote>
  <w:footnote w:id="757">
    <w:p w:rsidR="00AB00DE" w:rsidRPr="00FC031D" w:rsidRDefault="00AB00DE" w:rsidP="00DF5565">
      <w:pPr>
        <w:pStyle w:val="a4"/>
      </w:pPr>
      <w:r w:rsidRPr="00FC031D">
        <w:tab/>
      </w:r>
      <w:r w:rsidRPr="00DF5565">
        <w:rPr>
          <w:rStyle w:val="a5"/>
        </w:rPr>
        <w:footnoteRef/>
      </w:r>
      <w:r w:rsidRPr="00FC031D">
        <w:tab/>
      </w:r>
      <w:r w:rsidRPr="00FC031D">
        <w:rPr>
          <w:rFonts w:hint="eastAsia"/>
        </w:rPr>
        <w:t>联合国，《条约汇编》，第</w:t>
      </w:r>
      <w:r w:rsidRPr="00FC031D">
        <w:t>34</w:t>
      </w:r>
      <w:r w:rsidRPr="00FC031D">
        <w:rPr>
          <w:rFonts w:hint="eastAsia"/>
        </w:rPr>
        <w:t>卷，第</w:t>
      </w:r>
      <w:r w:rsidRPr="00FC031D">
        <w:t>541</w:t>
      </w:r>
      <w:r w:rsidRPr="00FC031D">
        <w:rPr>
          <w:rFonts w:hint="eastAsia"/>
        </w:rPr>
        <w:t>号，第</w:t>
      </w:r>
      <w:r w:rsidRPr="00FC031D">
        <w:t>243</w:t>
      </w:r>
      <w:r w:rsidRPr="00FC031D">
        <w:rPr>
          <w:rFonts w:hint="eastAsia"/>
        </w:rPr>
        <w:t>页。</w:t>
      </w:r>
    </w:p>
  </w:footnote>
  <w:footnote w:id="758">
    <w:p w:rsidR="00AB00DE" w:rsidRPr="00FC031D" w:rsidRDefault="00AB00DE" w:rsidP="00DF5565">
      <w:pPr>
        <w:pStyle w:val="a4"/>
      </w:pPr>
      <w:r w:rsidRPr="00FC031D">
        <w:rPr>
          <w:rFonts w:hint="eastAsia"/>
        </w:rPr>
        <w:tab/>
      </w:r>
      <w:r w:rsidRPr="00DF5565">
        <w:rPr>
          <w:rStyle w:val="a5"/>
        </w:rPr>
        <w:footnoteRef/>
      </w:r>
      <w:r w:rsidRPr="00DF5565">
        <w:rPr>
          <w:rStyle w:val="a5"/>
        </w:rPr>
        <w:tab/>
      </w:r>
      <w:r w:rsidRPr="00FC031D">
        <w:t>德国，联邦宪法法院，</w:t>
      </w:r>
      <w:r w:rsidRPr="00FC031D">
        <w:t xml:space="preserve">BVerfGE, </w:t>
      </w:r>
      <w:r w:rsidRPr="00FC031D">
        <w:t>第</w:t>
      </w:r>
      <w:r w:rsidRPr="00FC031D">
        <w:t>90</w:t>
      </w:r>
      <w:r w:rsidRPr="00FC031D">
        <w:t>卷，第</w:t>
      </w:r>
      <w:r w:rsidRPr="00FC031D">
        <w:t>286</w:t>
      </w:r>
      <w:r w:rsidRPr="00FC031D">
        <w:t>页</w:t>
      </w:r>
      <w:r w:rsidRPr="00FC031D">
        <w:rPr>
          <w:rFonts w:hint="eastAsia"/>
        </w:rPr>
        <w:t>起</w:t>
      </w:r>
      <w:r w:rsidRPr="00FC031D">
        <w:t>，见第</w:t>
      </w:r>
      <w:r w:rsidRPr="00FC031D">
        <w:t>363-364</w:t>
      </w:r>
      <w:r w:rsidRPr="00FC031D">
        <w:t>页，第</w:t>
      </w:r>
      <w:r w:rsidRPr="00FC031D">
        <w:t>276</w:t>
      </w:r>
      <w:r w:rsidRPr="00FC031D">
        <w:t>段；同上，第</w:t>
      </w:r>
      <w:r w:rsidRPr="00FC031D">
        <w:t>104</w:t>
      </w:r>
      <w:r w:rsidRPr="00FC031D">
        <w:t>卷，第</w:t>
      </w:r>
      <w:r w:rsidRPr="00FC031D">
        <w:t>151</w:t>
      </w:r>
      <w:r w:rsidRPr="00FC031D">
        <w:t>页起，见第</w:t>
      </w:r>
      <w:r w:rsidRPr="00FC031D">
        <w:t>206-207</w:t>
      </w:r>
      <w:r w:rsidRPr="00FC031D">
        <w:t>页。</w:t>
      </w:r>
    </w:p>
  </w:footnote>
  <w:footnote w:id="759">
    <w:p w:rsidR="00AB00DE" w:rsidRPr="00FC031D" w:rsidRDefault="00AB00DE" w:rsidP="00DF5565">
      <w:pPr>
        <w:pStyle w:val="a4"/>
      </w:pPr>
      <w:r w:rsidRPr="00FC031D">
        <w:tab/>
      </w:r>
      <w:r w:rsidRPr="00DF5565">
        <w:rPr>
          <w:rStyle w:val="a5"/>
        </w:rPr>
        <w:footnoteRef/>
      </w:r>
      <w:r w:rsidRPr="00FC031D">
        <w:tab/>
      </w:r>
      <w:r w:rsidRPr="00FC031D">
        <w:t>《统一国际运输某些规则的公约》，国际联盟，《条约汇编》，第一百三十七卷，第</w:t>
      </w:r>
      <w:r w:rsidRPr="00FC031D">
        <w:t>11</w:t>
      </w:r>
      <w:r w:rsidRPr="00FC031D">
        <w:t>页。</w:t>
      </w:r>
    </w:p>
  </w:footnote>
  <w:footnote w:id="760">
    <w:p w:rsidR="00AB00DE" w:rsidRPr="00FC031D" w:rsidRDefault="00AB00DE" w:rsidP="00DF5565">
      <w:pPr>
        <w:pStyle w:val="a4"/>
      </w:pPr>
      <w:r w:rsidRPr="00FC031D">
        <w:rPr>
          <w:rFonts w:hint="eastAsia"/>
        </w:rPr>
        <w:tab/>
      </w:r>
      <w:r w:rsidRPr="00DF5565">
        <w:rPr>
          <w:rStyle w:val="a5"/>
        </w:rPr>
        <w:footnoteRef/>
      </w:r>
      <w:r w:rsidRPr="00FC031D">
        <w:tab/>
      </w:r>
      <w:r w:rsidRPr="00FC031D">
        <w:rPr>
          <w:rFonts w:hint="eastAsia"/>
        </w:rPr>
        <w:t>美利坚合众国，最高法院，</w:t>
      </w:r>
      <w:r w:rsidRPr="00FC031D">
        <w:rPr>
          <w:rFonts w:ascii="Time New Roman" w:eastAsia="楷体" w:hAnsi="Time New Roman" w:hint="eastAsia"/>
        </w:rPr>
        <w:t>美国东方航空公司诉</w:t>
      </w:r>
      <w:r w:rsidRPr="00FC031D">
        <w:rPr>
          <w:rFonts w:ascii="Time New Roman" w:eastAsia="楷体" w:hAnsi="Time New Roman"/>
        </w:rPr>
        <w:t>Floyd</w:t>
      </w:r>
      <w:r w:rsidRPr="00FC031D">
        <w:rPr>
          <w:rFonts w:ascii="Time New Roman" w:eastAsia="楷体" w:hAnsi="Time New Roman" w:hint="eastAsia"/>
        </w:rPr>
        <w:t>等人</w:t>
      </w:r>
      <w:r w:rsidRPr="00FC031D">
        <w:rPr>
          <w:rFonts w:hint="eastAsia"/>
        </w:rPr>
        <w:t>，</w:t>
      </w:r>
      <w:r w:rsidRPr="00FC031D">
        <w:t xml:space="preserve">499 U.S. 530, </w:t>
      </w:r>
      <w:r w:rsidRPr="00FC031D">
        <w:rPr>
          <w:rFonts w:hint="eastAsia"/>
        </w:rPr>
        <w:t>第</w:t>
      </w:r>
      <w:r w:rsidRPr="00FC031D">
        <w:t>546-549</w:t>
      </w:r>
      <w:r w:rsidRPr="00FC031D">
        <w:rPr>
          <w:rFonts w:hint="eastAsia"/>
        </w:rPr>
        <w:t>页；另见联合王国，上议院，</w:t>
      </w:r>
      <w:r w:rsidRPr="00FC031D">
        <w:rPr>
          <w:rFonts w:ascii="Time New Roman" w:eastAsia="楷体" w:hAnsi="Time New Roman" w:hint="eastAsia"/>
        </w:rPr>
        <w:t>国王诉</w:t>
      </w:r>
      <w:r w:rsidRPr="00FC031D">
        <w:rPr>
          <w:rFonts w:ascii="Time New Roman" w:eastAsia="楷体" w:hAnsi="Time New Roman"/>
        </w:rPr>
        <w:t>Bristow</w:t>
      </w:r>
      <w:r w:rsidRPr="00FC031D">
        <w:rPr>
          <w:rFonts w:ascii="Time New Roman" w:eastAsia="楷体" w:hAnsi="Time New Roman" w:hint="eastAsia"/>
        </w:rPr>
        <w:t>直升飞机公司</w:t>
      </w:r>
      <w:r w:rsidRPr="00FC031D">
        <w:rPr>
          <w:rFonts w:ascii="Time New Roman" w:eastAsia="楷体" w:hAnsi="Time New Roman" w:hint="eastAsia"/>
        </w:rPr>
        <w:t>(</w:t>
      </w:r>
      <w:r w:rsidRPr="00FC031D">
        <w:rPr>
          <w:rFonts w:ascii="Time New Roman" w:eastAsia="楷体" w:hAnsi="Time New Roman" w:hint="eastAsia"/>
        </w:rPr>
        <w:t>苏格兰</w:t>
      </w:r>
      <w:r w:rsidRPr="00FC031D">
        <w:t xml:space="preserve">) [2002] UKHL 7, </w:t>
      </w:r>
      <w:r w:rsidRPr="00FC031D">
        <w:rPr>
          <w:rFonts w:hint="eastAsia"/>
        </w:rPr>
        <w:t>第</w:t>
      </w:r>
      <w:r w:rsidRPr="00FC031D">
        <w:t>98</w:t>
      </w:r>
      <w:r w:rsidRPr="00FC031D">
        <w:rPr>
          <w:rFonts w:hint="eastAsia"/>
        </w:rPr>
        <w:t>和</w:t>
      </w:r>
      <w:r w:rsidRPr="00FC031D">
        <w:t>125</w:t>
      </w:r>
      <w:r w:rsidRPr="00FC031D">
        <w:rPr>
          <w:rFonts w:hint="eastAsia"/>
        </w:rPr>
        <w:t>段</w:t>
      </w:r>
      <w:r w:rsidRPr="00FC031D">
        <w:rPr>
          <w:rFonts w:hint="eastAsia"/>
        </w:rPr>
        <w:t>(Hope</w:t>
      </w:r>
      <w:r w:rsidRPr="00FC031D">
        <w:rPr>
          <w:rFonts w:hint="eastAsia"/>
        </w:rPr>
        <w:t>勋爵</w:t>
      </w:r>
      <w:r w:rsidRPr="00FC031D">
        <w:t>)</w:t>
      </w:r>
      <w:r w:rsidRPr="00FC031D">
        <w:rPr>
          <w:rFonts w:hint="eastAsia"/>
        </w:rPr>
        <w:t>。</w:t>
      </w:r>
    </w:p>
  </w:footnote>
  <w:footnote w:id="761">
    <w:p w:rsidR="00AB00DE" w:rsidRPr="00FC031D" w:rsidRDefault="00AB00DE" w:rsidP="00DF5565">
      <w:pPr>
        <w:pStyle w:val="a4"/>
      </w:pPr>
      <w:r w:rsidRPr="00FC031D">
        <w:tab/>
      </w:r>
      <w:r w:rsidRPr="00DF5565">
        <w:rPr>
          <w:rStyle w:val="a5"/>
        </w:rPr>
        <w:footnoteRef/>
      </w:r>
      <w:r w:rsidRPr="00FC031D">
        <w:tab/>
      </w:r>
      <w:r w:rsidRPr="00FC031D">
        <w:rPr>
          <w:rFonts w:hint="eastAsia"/>
        </w:rPr>
        <w:t>在</w:t>
      </w:r>
      <w:r w:rsidRPr="00FC031D">
        <w:rPr>
          <w:rFonts w:eastAsia="楷体"/>
        </w:rPr>
        <w:t>海洋争端案</w:t>
      </w:r>
      <w:r w:rsidRPr="00FC031D">
        <w:rPr>
          <w:rFonts w:eastAsia="楷体"/>
        </w:rPr>
        <w:t>(</w:t>
      </w:r>
      <w:r w:rsidRPr="00FC031D">
        <w:rPr>
          <w:rFonts w:eastAsia="楷体"/>
        </w:rPr>
        <w:t>秘鲁诉智利</w:t>
      </w:r>
      <w:r w:rsidRPr="00FC031D">
        <w:rPr>
          <w:rFonts w:eastAsia="楷体"/>
        </w:rPr>
        <w:t>)</w:t>
      </w:r>
      <w:r w:rsidRPr="00FC031D">
        <w:rPr>
          <w:rFonts w:hint="eastAsia"/>
        </w:rPr>
        <w:t>中，法院优先采纳更接近生效日期的惯例，</w:t>
      </w:r>
      <w:r w:rsidRPr="00FC031D">
        <w:rPr>
          <w:rFonts w:eastAsia="楷体"/>
        </w:rPr>
        <w:t>海洋争端案</w:t>
      </w:r>
      <w:r w:rsidRPr="00FC031D">
        <w:t>(</w:t>
      </w:r>
      <w:r w:rsidRPr="00FC031D">
        <w:rPr>
          <w:rFonts w:eastAsia="楷体"/>
        </w:rPr>
        <w:t>秘鲁诉智利</w:t>
      </w:r>
      <w:r w:rsidRPr="00FC031D">
        <w:t>)</w:t>
      </w:r>
      <w:r w:rsidRPr="00FC031D">
        <w:rPr>
          <w:rFonts w:hint="eastAsia"/>
        </w:rPr>
        <w:t>，判决，</w:t>
      </w:r>
      <w:r w:rsidRPr="00FC031D">
        <w:t>《</w:t>
      </w:r>
      <w:r w:rsidRPr="00FC031D">
        <w:t>2014</w:t>
      </w:r>
      <w:r w:rsidRPr="00FC031D">
        <w:rPr>
          <w:rFonts w:hint="eastAsia"/>
        </w:rPr>
        <w:t>年国际法院</w:t>
      </w:r>
      <w:r w:rsidRPr="00FC031D">
        <w:t>案例汇编》，第</w:t>
      </w:r>
      <w:r w:rsidRPr="00FC031D">
        <w:t>3</w:t>
      </w:r>
      <w:r w:rsidRPr="00FC031D">
        <w:t>页起，见第</w:t>
      </w:r>
      <w:r w:rsidRPr="00FC031D">
        <w:rPr>
          <w:rFonts w:hint="eastAsia"/>
        </w:rPr>
        <w:t>50</w:t>
      </w:r>
      <w:r w:rsidRPr="00FC031D">
        <w:t>页，第</w:t>
      </w:r>
      <w:r w:rsidRPr="00FC031D">
        <w:t>126</w:t>
      </w:r>
      <w:r w:rsidRPr="00FC031D">
        <w:t>段。</w:t>
      </w:r>
    </w:p>
  </w:footnote>
  <w:footnote w:id="762">
    <w:p w:rsidR="00AB00DE" w:rsidRPr="00FC031D" w:rsidRDefault="00AB00DE" w:rsidP="00267AB1">
      <w:pPr>
        <w:pStyle w:val="a4"/>
      </w:pPr>
      <w:r w:rsidRPr="00FC031D">
        <w:tab/>
      </w:r>
      <w:r w:rsidRPr="00DF5565">
        <w:rPr>
          <w:rStyle w:val="a5"/>
        </w:rPr>
        <w:footnoteRef/>
      </w:r>
      <w:r w:rsidRPr="00FC031D">
        <w:tab/>
        <w:t>Murphy,</w:t>
      </w:r>
      <w:r w:rsidRPr="00FC031D">
        <w:rPr>
          <w:rFonts w:hint="eastAsia"/>
        </w:rPr>
        <w:t>“嗣后协定和嗣后惯例……的作用”</w:t>
      </w:r>
      <w:r w:rsidRPr="00FC031D">
        <w:t>(</w:t>
      </w:r>
      <w:r w:rsidRPr="00FC031D">
        <w:rPr>
          <w:rFonts w:hint="eastAsia"/>
        </w:rPr>
        <w:t>见上文脚注</w:t>
      </w:r>
      <w:r>
        <w:rPr>
          <w:rFonts w:asciiTheme="majorBidi" w:hAnsiTheme="majorBidi" w:cstheme="majorBidi"/>
        </w:rPr>
        <w:fldChar w:fldCharType="begin"/>
      </w:r>
      <w:r>
        <w:rPr>
          <w:rFonts w:asciiTheme="majorBidi" w:hAnsiTheme="majorBidi" w:cstheme="majorBidi"/>
        </w:rPr>
        <w:instrText xml:space="preserve"> NOTEREF _Ref461973633 \h </w:instrText>
      </w:r>
      <w:r>
        <w:rPr>
          <w:rFonts w:asciiTheme="majorBidi" w:hAnsiTheme="majorBidi" w:cstheme="majorBidi"/>
        </w:rPr>
      </w:r>
      <w:r>
        <w:rPr>
          <w:rFonts w:asciiTheme="majorBidi" w:hAnsiTheme="majorBidi" w:cstheme="majorBidi"/>
        </w:rPr>
        <w:fldChar w:fldCharType="separate"/>
      </w:r>
      <w:r w:rsidR="00A73EB9">
        <w:rPr>
          <w:rFonts w:asciiTheme="majorBidi" w:hAnsiTheme="majorBidi" w:cstheme="majorBidi"/>
        </w:rPr>
        <w:t>642</w:t>
      </w:r>
      <w:r>
        <w:rPr>
          <w:rFonts w:asciiTheme="majorBidi" w:hAnsiTheme="majorBidi" w:cstheme="majorBidi"/>
        </w:rPr>
        <w:fldChar w:fldCharType="end"/>
      </w:r>
      <w:r w:rsidRPr="00FC031D">
        <w:t>)</w:t>
      </w:r>
      <w:r w:rsidRPr="00FC031D">
        <w:t>，</w:t>
      </w:r>
      <w:r w:rsidRPr="00FC031D">
        <w:rPr>
          <w:rFonts w:hint="eastAsia"/>
        </w:rPr>
        <w:t>第</w:t>
      </w:r>
      <w:r w:rsidRPr="00FC031D">
        <w:t>91</w:t>
      </w:r>
      <w:r w:rsidRPr="00FC031D">
        <w:rPr>
          <w:rFonts w:hint="eastAsia"/>
        </w:rPr>
        <w:t>页。</w:t>
      </w:r>
    </w:p>
  </w:footnote>
  <w:footnote w:id="763">
    <w:p w:rsidR="00AB00DE" w:rsidRPr="00FC031D" w:rsidRDefault="00AB00DE" w:rsidP="00267AB1">
      <w:pPr>
        <w:pStyle w:val="a4"/>
      </w:pPr>
      <w:r w:rsidRPr="00FC031D">
        <w:tab/>
      </w:r>
      <w:r w:rsidRPr="00DF5565">
        <w:rPr>
          <w:rStyle w:val="a5"/>
        </w:rPr>
        <w:footnoteRef/>
      </w:r>
      <w:r w:rsidRPr="00FC031D">
        <w:tab/>
      </w:r>
      <w:r w:rsidRPr="00FC031D">
        <w:rPr>
          <w:rFonts w:hint="eastAsia"/>
        </w:rPr>
        <w:t>例见，</w:t>
      </w:r>
      <w:r w:rsidRPr="00FC031D">
        <w:rPr>
          <w:rFonts w:eastAsia="楷体"/>
        </w:rPr>
        <w:t>格陵兰和扬马延间区域海洋划界案，</w:t>
      </w:r>
      <w:r w:rsidRPr="00FC031D">
        <w:rPr>
          <w:rFonts w:hint="eastAsia"/>
        </w:rPr>
        <w:t>判决，《</w:t>
      </w:r>
      <w:r w:rsidRPr="00FC031D">
        <w:t>1993</w:t>
      </w:r>
      <w:r w:rsidRPr="00FC031D">
        <w:rPr>
          <w:rFonts w:hint="eastAsia"/>
        </w:rPr>
        <w:t>年国际法院案例汇编》，第</w:t>
      </w:r>
      <w:r w:rsidRPr="00FC031D">
        <w:t>38</w:t>
      </w:r>
      <w:r w:rsidRPr="00FC031D">
        <w:rPr>
          <w:rFonts w:hint="eastAsia"/>
        </w:rPr>
        <w:t>页起，见第</w:t>
      </w:r>
      <w:r w:rsidRPr="00FC031D">
        <w:t>55</w:t>
      </w:r>
      <w:r w:rsidRPr="00FC031D">
        <w:rPr>
          <w:rFonts w:hint="eastAsia"/>
        </w:rPr>
        <w:t>页</w:t>
      </w:r>
      <w:r w:rsidRPr="00FC031D">
        <w:t>，</w:t>
      </w:r>
      <w:r w:rsidRPr="00FC031D">
        <w:rPr>
          <w:rFonts w:hint="eastAsia"/>
        </w:rPr>
        <w:t>第</w:t>
      </w:r>
      <w:r w:rsidRPr="00FC031D">
        <w:t>38</w:t>
      </w:r>
      <w:r w:rsidRPr="00FC031D">
        <w:rPr>
          <w:rFonts w:hint="eastAsia"/>
        </w:rPr>
        <w:t>段；“</w:t>
      </w:r>
      <w:r w:rsidRPr="00FC031D">
        <w:rPr>
          <w:rFonts w:ascii="Time New Roman" w:eastAsia="楷体" w:hAnsi="Time New Roman" w:hint="eastAsia"/>
        </w:rPr>
        <w:t>关于居住在法国的教科文组织退休官员所领退休金的征税制度问题</w:t>
      </w:r>
      <w:r w:rsidRPr="00FC031D">
        <w:rPr>
          <w:rFonts w:hint="eastAsia"/>
        </w:rPr>
        <w:t>”</w:t>
      </w:r>
      <w:r w:rsidRPr="00FC031D">
        <w:t>(</w:t>
      </w:r>
      <w:r w:rsidRPr="00FC031D">
        <w:rPr>
          <w:rFonts w:hint="eastAsia"/>
        </w:rPr>
        <w:t>见上文脚注</w:t>
      </w:r>
      <w:r>
        <w:fldChar w:fldCharType="begin"/>
      </w:r>
      <w:r>
        <w:instrText xml:space="preserve"> </w:instrText>
      </w:r>
      <w:r>
        <w:rPr>
          <w:rFonts w:hint="eastAsia"/>
        </w:rPr>
        <w:instrText>NOTEREF _Ref461973699 \h</w:instrText>
      </w:r>
      <w:r>
        <w:instrText xml:space="preserve"> </w:instrText>
      </w:r>
      <w:r>
        <w:fldChar w:fldCharType="separate"/>
      </w:r>
      <w:r w:rsidR="00A73EB9">
        <w:t>532</w:t>
      </w:r>
      <w:r>
        <w:fldChar w:fldCharType="end"/>
      </w:r>
      <w:r w:rsidRPr="00FC031D">
        <w:t>)</w:t>
      </w:r>
      <w:r w:rsidRPr="00FC031D">
        <w:rPr>
          <w:rFonts w:hint="eastAsia"/>
        </w:rPr>
        <w:t>，第</w:t>
      </w:r>
      <w:r w:rsidRPr="00FC031D">
        <w:t>231</w:t>
      </w:r>
      <w:r w:rsidRPr="00FC031D">
        <w:rPr>
          <w:rFonts w:hint="eastAsia"/>
        </w:rPr>
        <w:t>页起，见第</w:t>
      </w:r>
      <w:r w:rsidRPr="00FC031D">
        <w:t>259</w:t>
      </w:r>
      <w:r w:rsidRPr="00FC031D">
        <w:rPr>
          <w:rFonts w:hint="eastAsia"/>
        </w:rPr>
        <w:t>页</w:t>
      </w:r>
      <w:r w:rsidRPr="00FC031D">
        <w:t>，</w:t>
      </w:r>
      <w:r w:rsidRPr="00FC031D">
        <w:rPr>
          <w:rFonts w:hint="eastAsia"/>
        </w:rPr>
        <w:t>第</w:t>
      </w:r>
      <w:r w:rsidRPr="00FC031D">
        <w:t>74</w:t>
      </w:r>
      <w:r w:rsidRPr="00FC031D">
        <w:rPr>
          <w:rFonts w:hint="eastAsia"/>
        </w:rPr>
        <w:t>段；世贸组织专</w:t>
      </w:r>
      <w:r w:rsidRPr="00FC031D">
        <w:t>家</w:t>
      </w:r>
      <w:r w:rsidRPr="00FC031D">
        <w:rPr>
          <w:rFonts w:hint="eastAsia"/>
        </w:rPr>
        <w:t>组报告，</w:t>
      </w:r>
      <w:r w:rsidRPr="00FC031D">
        <w:rPr>
          <w:rFonts w:eastAsia="楷体"/>
        </w:rPr>
        <w:t>美国</w:t>
      </w:r>
      <w:r w:rsidRPr="00FC031D">
        <w:rPr>
          <w:rFonts w:eastAsia="楷体" w:hint="eastAsia"/>
        </w:rPr>
        <w:t>“</w:t>
      </w:r>
      <w:r w:rsidRPr="00FC031D">
        <w:rPr>
          <w:rFonts w:eastAsia="楷体"/>
        </w:rPr>
        <w:t>归零</w:t>
      </w:r>
      <w:r w:rsidRPr="00FC031D">
        <w:rPr>
          <w:rFonts w:eastAsia="楷体" w:hint="eastAsia"/>
        </w:rPr>
        <w:t>”</w:t>
      </w:r>
      <w:r w:rsidRPr="00FC031D">
        <w:rPr>
          <w:rFonts w:eastAsia="楷体"/>
        </w:rPr>
        <w:t>法的继续存在和适用</w:t>
      </w:r>
      <w:r w:rsidRPr="00FC031D">
        <w:t>，</w:t>
      </w:r>
      <w:r w:rsidRPr="00FC031D">
        <w:t>WT/DS350/R, 2009</w:t>
      </w:r>
      <w:r w:rsidRPr="00FC031D">
        <w:rPr>
          <w:rFonts w:hint="eastAsia"/>
        </w:rPr>
        <w:t>年</w:t>
      </w:r>
      <w:r w:rsidRPr="00FC031D">
        <w:t>2</w:t>
      </w:r>
      <w:r w:rsidRPr="00FC031D">
        <w:rPr>
          <w:rFonts w:hint="eastAsia"/>
        </w:rPr>
        <w:t>月</w:t>
      </w:r>
      <w:r w:rsidRPr="00FC031D">
        <w:t>19</w:t>
      </w:r>
      <w:r w:rsidRPr="00FC031D">
        <w:rPr>
          <w:rFonts w:hint="eastAsia"/>
        </w:rPr>
        <w:t>日通过，世贸组织上诉机构报告，</w:t>
      </w:r>
      <w:r w:rsidRPr="00FC031D">
        <w:rPr>
          <w:rFonts w:eastAsia="楷体"/>
        </w:rPr>
        <w:t>美国</w:t>
      </w:r>
      <w:r w:rsidRPr="00FC031D">
        <w:rPr>
          <w:rFonts w:hint="eastAsia"/>
        </w:rPr>
        <w:t>－</w:t>
      </w:r>
      <w:r w:rsidRPr="00FC031D">
        <w:rPr>
          <w:rFonts w:eastAsia="楷体"/>
        </w:rPr>
        <w:t>高地棉花补贴案</w:t>
      </w:r>
      <w:r w:rsidRPr="00FC031D">
        <w:rPr>
          <w:rFonts w:eastAsia="楷体"/>
        </w:rPr>
        <w:t>(</w:t>
      </w:r>
      <w:r w:rsidRPr="00FC031D">
        <w:rPr>
          <w:rFonts w:eastAsia="楷体"/>
        </w:rPr>
        <w:t>美国</w:t>
      </w:r>
      <w:r w:rsidRPr="00FC031D">
        <w:rPr>
          <w:rFonts w:hint="eastAsia"/>
        </w:rPr>
        <w:t>－</w:t>
      </w:r>
      <w:r w:rsidRPr="00FC031D">
        <w:rPr>
          <w:rFonts w:eastAsia="楷体"/>
        </w:rPr>
        <w:t>高地棉花案</w:t>
      </w:r>
      <w:r w:rsidRPr="00FC031D">
        <w:rPr>
          <w:rFonts w:eastAsia="楷体"/>
        </w:rPr>
        <w:t>)</w:t>
      </w:r>
      <w:r w:rsidRPr="00FC031D">
        <w:t>，</w:t>
      </w:r>
      <w:r w:rsidRPr="00FC031D">
        <w:t>WT/DS267/AB/R, 2005</w:t>
      </w:r>
      <w:r w:rsidRPr="00FC031D">
        <w:rPr>
          <w:rFonts w:hint="eastAsia"/>
        </w:rPr>
        <w:t>年</w:t>
      </w:r>
      <w:r w:rsidRPr="00FC031D">
        <w:t>3</w:t>
      </w:r>
      <w:r w:rsidRPr="00FC031D">
        <w:rPr>
          <w:rFonts w:hint="eastAsia"/>
        </w:rPr>
        <w:t>月</w:t>
      </w:r>
      <w:r w:rsidRPr="00FC031D">
        <w:t>21</w:t>
      </w:r>
      <w:r w:rsidRPr="00FC031D">
        <w:rPr>
          <w:rFonts w:hint="eastAsia"/>
        </w:rPr>
        <w:t>日</w:t>
      </w:r>
      <w:r w:rsidRPr="00FC031D">
        <w:t>通过</w:t>
      </w:r>
      <w:r w:rsidRPr="00FC031D">
        <w:rPr>
          <w:rFonts w:hint="eastAsia"/>
        </w:rPr>
        <w:t>，第</w:t>
      </w:r>
      <w:r w:rsidRPr="00FC031D">
        <w:t>625</w:t>
      </w:r>
      <w:r w:rsidRPr="00FC031D">
        <w:rPr>
          <w:rFonts w:hint="eastAsia"/>
        </w:rPr>
        <w:t>段。</w:t>
      </w:r>
    </w:p>
  </w:footnote>
  <w:footnote w:id="764">
    <w:p w:rsidR="00AB00DE" w:rsidRPr="00FC031D" w:rsidRDefault="00AB00DE" w:rsidP="00DF5565">
      <w:pPr>
        <w:pStyle w:val="a4"/>
      </w:pPr>
      <w:r w:rsidRPr="00FC031D">
        <w:tab/>
      </w:r>
      <w:r w:rsidRPr="00DF5565">
        <w:rPr>
          <w:rStyle w:val="a5"/>
        </w:rPr>
        <w:footnoteRef/>
      </w:r>
      <w:r w:rsidRPr="00FC031D">
        <w:tab/>
      </w:r>
      <w:r w:rsidRPr="00FC031D">
        <w:rPr>
          <w:rFonts w:eastAsia="楷体"/>
        </w:rPr>
        <w:t xml:space="preserve">Plama </w:t>
      </w:r>
      <w:r w:rsidRPr="00FC031D">
        <w:rPr>
          <w:rFonts w:eastAsia="楷体" w:hint="eastAsia"/>
        </w:rPr>
        <w:t>联合有限公司</w:t>
      </w:r>
      <w:r w:rsidRPr="00FC031D">
        <w:rPr>
          <w:rFonts w:eastAsia="楷体"/>
        </w:rPr>
        <w:t>诉保加利亚共和国</w:t>
      </w:r>
      <w:r w:rsidRPr="00FC031D">
        <w:rPr>
          <w:rFonts w:hint="eastAsia"/>
        </w:rPr>
        <w:t>，解决投资争端国际中心第</w:t>
      </w:r>
      <w:r w:rsidRPr="00FC031D">
        <w:t>ARB/03/24</w:t>
      </w:r>
      <w:r w:rsidRPr="00FC031D">
        <w:rPr>
          <w:rFonts w:hint="eastAsia"/>
        </w:rPr>
        <w:t>号案件，关于管辖权的裁决，</w:t>
      </w:r>
      <w:r w:rsidRPr="00FC031D">
        <w:t>2005</w:t>
      </w:r>
      <w:r w:rsidRPr="00FC031D">
        <w:rPr>
          <w:rFonts w:hint="eastAsia"/>
        </w:rPr>
        <w:t>年</w:t>
      </w:r>
      <w:r w:rsidRPr="00FC031D">
        <w:t>2</w:t>
      </w:r>
      <w:r w:rsidRPr="00FC031D">
        <w:rPr>
          <w:rFonts w:hint="eastAsia"/>
        </w:rPr>
        <w:t>月</w:t>
      </w:r>
      <w:r w:rsidRPr="00FC031D">
        <w:t>8</w:t>
      </w:r>
      <w:r w:rsidRPr="00FC031D">
        <w:rPr>
          <w:rFonts w:hint="eastAsia"/>
        </w:rPr>
        <w:t>日，</w:t>
      </w:r>
      <w:r w:rsidRPr="00FC031D">
        <w:rPr>
          <w:rFonts w:ascii="Time New Roman" w:eastAsia="楷体" w:hAnsi="Time New Roman" w:hint="eastAsia"/>
        </w:rPr>
        <w:t>解决投资争端国际中心综述－外国投资法期刊</w:t>
      </w:r>
      <w:r w:rsidRPr="00FC031D">
        <w:rPr>
          <w:rFonts w:hint="eastAsia"/>
        </w:rPr>
        <w:t>，第</w:t>
      </w:r>
      <w:r w:rsidRPr="00FC031D">
        <w:t>20</w:t>
      </w:r>
      <w:r w:rsidRPr="00FC031D">
        <w:t>卷，第</w:t>
      </w:r>
      <w:r w:rsidRPr="00FC031D">
        <w:t>1</w:t>
      </w:r>
      <w:r w:rsidRPr="00FC031D">
        <w:rPr>
          <w:rFonts w:hint="eastAsia"/>
        </w:rPr>
        <w:t>期</w:t>
      </w:r>
      <w:r w:rsidRPr="00FC031D">
        <w:t>(2005</w:t>
      </w:r>
      <w:r w:rsidRPr="00FC031D">
        <w:rPr>
          <w:rFonts w:hint="eastAsia"/>
        </w:rPr>
        <w:t>年</w:t>
      </w:r>
      <w:r w:rsidRPr="00FC031D">
        <w:t>春</w:t>
      </w:r>
      <w:r w:rsidRPr="00FC031D">
        <w:t>)</w:t>
      </w:r>
      <w:r w:rsidRPr="00FC031D">
        <w:rPr>
          <w:rFonts w:hint="eastAsia"/>
        </w:rPr>
        <w:t>，第</w:t>
      </w:r>
      <w:r w:rsidRPr="00FC031D">
        <w:t>262</w:t>
      </w:r>
      <w:r w:rsidRPr="00FC031D">
        <w:rPr>
          <w:rFonts w:hint="eastAsia"/>
        </w:rPr>
        <w:t>页起，见第</w:t>
      </w:r>
      <w:r w:rsidRPr="00FC031D">
        <w:t>323-324</w:t>
      </w:r>
      <w:r w:rsidRPr="00FC031D">
        <w:rPr>
          <w:rFonts w:hint="eastAsia"/>
        </w:rPr>
        <w:t>页，第</w:t>
      </w:r>
      <w:r w:rsidRPr="00FC031D">
        <w:t>195</w:t>
      </w:r>
      <w:r w:rsidRPr="00FC031D">
        <w:rPr>
          <w:rFonts w:hint="eastAsia"/>
        </w:rPr>
        <w:t>段。</w:t>
      </w:r>
    </w:p>
  </w:footnote>
  <w:footnote w:id="765">
    <w:p w:rsidR="00AB00DE" w:rsidRPr="00FC031D" w:rsidRDefault="00AB00DE" w:rsidP="00DF5565">
      <w:pPr>
        <w:pStyle w:val="a4"/>
      </w:pPr>
      <w:r w:rsidRPr="00FC031D">
        <w:tab/>
      </w:r>
      <w:r w:rsidRPr="00DF5565">
        <w:rPr>
          <w:rStyle w:val="a5"/>
        </w:rPr>
        <w:footnoteRef/>
      </w:r>
      <w:r w:rsidRPr="00FC031D">
        <w:tab/>
      </w:r>
      <w:r w:rsidRPr="00FC031D">
        <w:rPr>
          <w:rFonts w:hint="eastAsia"/>
        </w:rPr>
        <w:t>例见，</w:t>
      </w:r>
      <w:r w:rsidRPr="00FC031D">
        <w:rPr>
          <w:rFonts w:eastAsia="楷体"/>
        </w:rPr>
        <w:t>Cossey</w:t>
      </w:r>
      <w:r w:rsidRPr="00FC031D">
        <w:rPr>
          <w:rFonts w:eastAsia="楷体"/>
        </w:rPr>
        <w:t>诉联合王国</w:t>
      </w:r>
      <w:r w:rsidRPr="00FC031D">
        <w:rPr>
          <w:rFonts w:hint="eastAsia"/>
        </w:rPr>
        <w:t>，第</w:t>
      </w:r>
      <w:r w:rsidRPr="00FC031D">
        <w:t>10843/84</w:t>
      </w:r>
      <w:r w:rsidRPr="00FC031D">
        <w:rPr>
          <w:rFonts w:hint="eastAsia"/>
        </w:rPr>
        <w:t>号</w:t>
      </w:r>
      <w:r w:rsidRPr="00FC031D">
        <w:t>，</w:t>
      </w:r>
      <w:r w:rsidRPr="00FC031D">
        <w:t>1990</w:t>
      </w:r>
      <w:r w:rsidRPr="00FC031D">
        <w:rPr>
          <w:rFonts w:hint="eastAsia"/>
        </w:rPr>
        <w:t>年</w:t>
      </w:r>
      <w:r w:rsidRPr="00FC031D">
        <w:t>9</w:t>
      </w:r>
      <w:r w:rsidRPr="00FC031D">
        <w:rPr>
          <w:rFonts w:hint="eastAsia"/>
        </w:rPr>
        <w:t>月</w:t>
      </w:r>
      <w:r w:rsidRPr="00FC031D">
        <w:t>27</w:t>
      </w:r>
      <w:r w:rsidRPr="00FC031D">
        <w:rPr>
          <w:rFonts w:hint="eastAsia"/>
        </w:rPr>
        <w:t>日，《欧洲人权法院案例汇编》</w:t>
      </w:r>
      <w:r w:rsidRPr="00FC031D">
        <w:t>A</w:t>
      </w:r>
      <w:r w:rsidRPr="00FC031D">
        <w:t>辑</w:t>
      </w:r>
      <w:r w:rsidRPr="00FC031D">
        <w:rPr>
          <w:rFonts w:hint="eastAsia"/>
        </w:rPr>
        <w:t>，第</w:t>
      </w:r>
      <w:r w:rsidRPr="00FC031D">
        <w:t>184</w:t>
      </w:r>
      <w:r w:rsidRPr="00FC031D">
        <w:rPr>
          <w:rFonts w:hint="eastAsia"/>
        </w:rPr>
        <w:t>号，第</w:t>
      </w:r>
      <w:r w:rsidRPr="00FC031D">
        <w:t>40</w:t>
      </w:r>
      <w:r w:rsidRPr="00FC031D">
        <w:rPr>
          <w:rFonts w:hint="eastAsia"/>
        </w:rPr>
        <w:t>段；</w:t>
      </w:r>
      <w:r w:rsidRPr="00FC031D">
        <w:rPr>
          <w:rFonts w:eastAsia="楷体"/>
        </w:rPr>
        <w:t>Tyrer</w:t>
      </w:r>
      <w:r w:rsidRPr="00FC031D">
        <w:rPr>
          <w:rFonts w:eastAsia="楷体"/>
        </w:rPr>
        <w:t>诉联合王国</w:t>
      </w:r>
      <w:r w:rsidRPr="00FC031D">
        <w:rPr>
          <w:rFonts w:hint="eastAsia"/>
        </w:rPr>
        <w:t>，第</w:t>
      </w:r>
      <w:r w:rsidRPr="00FC031D">
        <w:t>5856/72</w:t>
      </w:r>
      <w:r w:rsidRPr="00FC031D">
        <w:rPr>
          <w:rFonts w:hint="eastAsia"/>
        </w:rPr>
        <w:t>号</w:t>
      </w:r>
      <w:r w:rsidRPr="00FC031D">
        <w:t>，</w:t>
      </w:r>
      <w:r w:rsidRPr="00FC031D">
        <w:rPr>
          <w:rFonts w:hint="eastAsia"/>
        </w:rPr>
        <w:t>《欧洲人权法院案例汇编》</w:t>
      </w:r>
      <w:r w:rsidRPr="00FC031D">
        <w:t>A</w:t>
      </w:r>
      <w:r w:rsidRPr="00FC031D">
        <w:t>辑</w:t>
      </w:r>
      <w:r w:rsidRPr="00FC031D">
        <w:rPr>
          <w:rFonts w:hint="eastAsia"/>
        </w:rPr>
        <w:t>，第</w:t>
      </w:r>
      <w:r w:rsidRPr="00FC031D">
        <w:t>26</w:t>
      </w:r>
      <w:r w:rsidRPr="00FC031D">
        <w:rPr>
          <w:rFonts w:hint="eastAsia"/>
        </w:rPr>
        <w:t>号，第</w:t>
      </w:r>
      <w:r w:rsidRPr="00FC031D">
        <w:t>31</w:t>
      </w:r>
      <w:r w:rsidRPr="00FC031D">
        <w:rPr>
          <w:rFonts w:hint="eastAsia"/>
        </w:rPr>
        <w:t>段；</w:t>
      </w:r>
      <w:r w:rsidRPr="00FC031D">
        <w:rPr>
          <w:rFonts w:eastAsia="楷体"/>
        </w:rPr>
        <w:t>Norris</w:t>
      </w:r>
      <w:r w:rsidRPr="00FC031D">
        <w:rPr>
          <w:rFonts w:eastAsia="楷体"/>
        </w:rPr>
        <w:t>诉爱尔兰</w:t>
      </w:r>
      <w:r w:rsidRPr="00FC031D">
        <w:rPr>
          <w:rFonts w:hint="eastAsia"/>
        </w:rPr>
        <w:t>，第</w:t>
      </w:r>
      <w:r w:rsidRPr="00FC031D">
        <w:t>10581/83</w:t>
      </w:r>
      <w:r w:rsidRPr="00FC031D">
        <w:rPr>
          <w:rFonts w:hint="eastAsia"/>
        </w:rPr>
        <w:t>号，</w:t>
      </w:r>
      <w:r w:rsidRPr="00FC031D">
        <w:rPr>
          <w:rFonts w:ascii="Time New Roman" w:hAnsi="Time New Roman" w:hint="eastAsia"/>
        </w:rPr>
        <w:t>1988</w:t>
      </w:r>
      <w:r w:rsidRPr="00FC031D">
        <w:rPr>
          <w:rFonts w:ascii="Time New Roman" w:hAnsi="Time New Roman" w:hint="eastAsia"/>
        </w:rPr>
        <w:t>年</w:t>
      </w:r>
      <w:r w:rsidRPr="00FC031D">
        <w:rPr>
          <w:rFonts w:ascii="Time New Roman" w:hAnsi="Time New Roman" w:hint="eastAsia"/>
        </w:rPr>
        <w:t>10</w:t>
      </w:r>
      <w:r w:rsidRPr="00FC031D">
        <w:rPr>
          <w:rFonts w:ascii="Time New Roman" w:hAnsi="Time New Roman" w:hint="eastAsia"/>
        </w:rPr>
        <w:t>月</w:t>
      </w:r>
      <w:r w:rsidRPr="00FC031D">
        <w:rPr>
          <w:rFonts w:ascii="Time New Roman" w:hAnsi="Time New Roman" w:hint="eastAsia"/>
        </w:rPr>
        <w:t>26</w:t>
      </w:r>
      <w:r w:rsidRPr="00FC031D">
        <w:rPr>
          <w:rFonts w:ascii="Time New Roman" w:hAnsi="Time New Roman" w:hint="eastAsia"/>
        </w:rPr>
        <w:t>日，</w:t>
      </w:r>
      <w:r w:rsidRPr="00FC031D">
        <w:rPr>
          <w:rFonts w:hint="eastAsia"/>
        </w:rPr>
        <w:t>《欧洲人权法院案例汇编》</w:t>
      </w:r>
      <w:r w:rsidRPr="00FC031D">
        <w:t>A</w:t>
      </w:r>
      <w:r w:rsidRPr="00FC031D">
        <w:t>辑</w:t>
      </w:r>
      <w:r w:rsidRPr="00FC031D">
        <w:rPr>
          <w:rFonts w:hint="eastAsia"/>
        </w:rPr>
        <w:t>，第</w:t>
      </w:r>
      <w:r w:rsidRPr="00FC031D">
        <w:t>142</w:t>
      </w:r>
      <w:r w:rsidRPr="00FC031D">
        <w:rPr>
          <w:rFonts w:hint="eastAsia"/>
        </w:rPr>
        <w:t>号，第</w:t>
      </w:r>
      <w:r w:rsidRPr="00FC031D">
        <w:t>46</w:t>
      </w:r>
      <w:r w:rsidRPr="00FC031D">
        <w:rPr>
          <w:rFonts w:hint="eastAsia"/>
        </w:rPr>
        <w:t>段。</w:t>
      </w:r>
    </w:p>
  </w:footnote>
  <w:footnote w:id="766">
    <w:p w:rsidR="00AB00DE" w:rsidRPr="00FC031D" w:rsidRDefault="00AB00DE" w:rsidP="00DF5565">
      <w:pPr>
        <w:pStyle w:val="a4"/>
      </w:pPr>
      <w:r w:rsidRPr="00FC031D">
        <w:tab/>
      </w:r>
      <w:r w:rsidRPr="00DF5565">
        <w:rPr>
          <w:rStyle w:val="a5"/>
        </w:rPr>
        <w:footnoteRef/>
      </w:r>
      <w:r w:rsidRPr="00FC031D">
        <w:tab/>
      </w:r>
      <w:r w:rsidRPr="007866F0">
        <w:rPr>
          <w:rFonts w:eastAsia="楷体"/>
        </w:rPr>
        <w:t>Rantsev</w:t>
      </w:r>
      <w:r w:rsidRPr="007866F0">
        <w:rPr>
          <w:rFonts w:eastAsia="楷体"/>
        </w:rPr>
        <w:t>诉塞浦路斯和俄罗斯，</w:t>
      </w:r>
      <w:r w:rsidRPr="00FC031D">
        <w:rPr>
          <w:rFonts w:hint="eastAsia"/>
        </w:rPr>
        <w:t>第</w:t>
      </w:r>
      <w:r w:rsidRPr="00FC031D">
        <w:t>25965/04</w:t>
      </w:r>
      <w:r w:rsidRPr="00FC031D">
        <w:rPr>
          <w:rFonts w:hint="eastAsia"/>
        </w:rPr>
        <w:t>号</w:t>
      </w:r>
      <w:r w:rsidRPr="00FC031D">
        <w:t>，</w:t>
      </w:r>
      <w:r w:rsidRPr="007866F0">
        <w:rPr>
          <w:rFonts w:eastAsia="楷体"/>
        </w:rPr>
        <w:t>2010</w:t>
      </w:r>
      <w:r w:rsidRPr="007866F0">
        <w:rPr>
          <w:rFonts w:eastAsia="楷体"/>
        </w:rPr>
        <w:t>年</w:t>
      </w:r>
      <w:r w:rsidRPr="007866F0">
        <w:rPr>
          <w:rFonts w:eastAsia="楷体"/>
        </w:rPr>
        <w:t>1</w:t>
      </w:r>
      <w:r w:rsidRPr="007866F0">
        <w:rPr>
          <w:rFonts w:eastAsia="楷体"/>
        </w:rPr>
        <w:t>月</w:t>
      </w:r>
      <w:r w:rsidRPr="007866F0">
        <w:rPr>
          <w:rFonts w:eastAsia="楷体"/>
        </w:rPr>
        <w:t>7</w:t>
      </w:r>
      <w:r w:rsidRPr="007866F0">
        <w:rPr>
          <w:rFonts w:eastAsia="楷体"/>
        </w:rPr>
        <w:t>日，</w:t>
      </w:r>
      <w:r w:rsidRPr="00FC031D">
        <w:rPr>
          <w:rFonts w:hint="eastAsia"/>
        </w:rPr>
        <w:t>《</w:t>
      </w:r>
      <w:r w:rsidRPr="00FC031D">
        <w:t>2010</w:t>
      </w:r>
      <w:r w:rsidRPr="00FC031D">
        <w:rPr>
          <w:rFonts w:hint="eastAsia"/>
        </w:rPr>
        <w:t>年欧洲人权法院案例汇编》</w:t>
      </w:r>
      <w:r w:rsidRPr="00FC031D">
        <w:t>(</w:t>
      </w:r>
      <w:r w:rsidRPr="00FC031D">
        <w:rPr>
          <w:rFonts w:hint="eastAsia"/>
        </w:rPr>
        <w:t>摘录</w:t>
      </w:r>
      <w:r w:rsidRPr="00FC031D">
        <w:t>)</w:t>
      </w:r>
      <w:r w:rsidRPr="00FC031D">
        <w:rPr>
          <w:rFonts w:hint="eastAsia"/>
        </w:rPr>
        <w:t>，第</w:t>
      </w:r>
      <w:r w:rsidRPr="00FC031D">
        <w:t>285</w:t>
      </w:r>
      <w:r w:rsidRPr="00FC031D">
        <w:rPr>
          <w:rFonts w:hint="eastAsia"/>
        </w:rPr>
        <w:t>段</w:t>
      </w:r>
      <w:r w:rsidRPr="00FC031D">
        <w:t>；</w:t>
      </w:r>
      <w:r w:rsidRPr="00FC031D">
        <w:rPr>
          <w:rFonts w:hint="eastAsia"/>
        </w:rPr>
        <w:t>另见第</w:t>
      </w:r>
      <w:r w:rsidRPr="00FC031D">
        <w:t>273-274</w:t>
      </w:r>
      <w:r w:rsidRPr="00FC031D">
        <w:rPr>
          <w:rFonts w:hint="eastAsia"/>
        </w:rPr>
        <w:t>段。</w:t>
      </w:r>
    </w:p>
  </w:footnote>
  <w:footnote w:id="767">
    <w:p w:rsidR="00AB00DE" w:rsidRPr="00FC031D" w:rsidRDefault="00AB00DE" w:rsidP="00DF5565">
      <w:pPr>
        <w:pStyle w:val="a4"/>
      </w:pPr>
      <w:r w:rsidRPr="00FC031D">
        <w:tab/>
      </w:r>
      <w:r w:rsidRPr="00DF5565">
        <w:rPr>
          <w:rStyle w:val="a5"/>
        </w:rPr>
        <w:footnoteRef/>
      </w:r>
      <w:r w:rsidRPr="00FC031D">
        <w:tab/>
      </w:r>
      <w:r w:rsidRPr="007866F0">
        <w:rPr>
          <w:rFonts w:eastAsia="楷体"/>
        </w:rPr>
        <w:t xml:space="preserve">Chapman </w:t>
      </w:r>
      <w:r w:rsidRPr="007866F0">
        <w:rPr>
          <w:rFonts w:eastAsia="楷体"/>
        </w:rPr>
        <w:t>诉联合王国</w:t>
      </w:r>
      <w:r w:rsidRPr="00FC031D">
        <w:t>[</w:t>
      </w:r>
      <w:r w:rsidRPr="00FC031D">
        <w:rPr>
          <w:rFonts w:hint="eastAsia"/>
        </w:rPr>
        <w:t>大审判庭</w:t>
      </w:r>
      <w:r w:rsidRPr="00FC031D">
        <w:t>]</w:t>
      </w:r>
      <w:r w:rsidRPr="00FC031D">
        <w:rPr>
          <w:rFonts w:hint="eastAsia"/>
        </w:rPr>
        <w:t>，第</w:t>
      </w:r>
      <w:r w:rsidRPr="00FC031D">
        <w:t>27238/95</w:t>
      </w:r>
      <w:r w:rsidRPr="00FC031D">
        <w:rPr>
          <w:rFonts w:hint="eastAsia"/>
        </w:rPr>
        <w:t>号，</w:t>
      </w:r>
      <w:r w:rsidRPr="00FC031D">
        <w:t>2001</w:t>
      </w:r>
      <w:r w:rsidRPr="00FC031D">
        <w:rPr>
          <w:rFonts w:hint="eastAsia"/>
        </w:rPr>
        <w:t>年</w:t>
      </w:r>
      <w:r w:rsidRPr="00FC031D">
        <w:t>1</w:t>
      </w:r>
      <w:r w:rsidRPr="00FC031D">
        <w:rPr>
          <w:rFonts w:hint="eastAsia"/>
        </w:rPr>
        <w:t>月</w:t>
      </w:r>
      <w:r w:rsidRPr="00FC031D">
        <w:t>18</w:t>
      </w:r>
      <w:r w:rsidRPr="00FC031D">
        <w:rPr>
          <w:rFonts w:hint="eastAsia"/>
        </w:rPr>
        <w:t>日，《</w:t>
      </w:r>
      <w:r w:rsidRPr="00FC031D">
        <w:t>2001</w:t>
      </w:r>
      <w:r w:rsidRPr="00FC031D">
        <w:t>年</w:t>
      </w:r>
      <w:r w:rsidRPr="00FC031D">
        <w:rPr>
          <w:rFonts w:hint="eastAsia"/>
        </w:rPr>
        <w:t>欧洲人权法院案例汇编》第一卷，第</w:t>
      </w:r>
      <w:r w:rsidRPr="00FC031D">
        <w:t>93</w:t>
      </w:r>
      <w:r w:rsidRPr="00FC031D">
        <w:rPr>
          <w:rFonts w:hint="eastAsia"/>
        </w:rPr>
        <w:t>段。</w:t>
      </w:r>
    </w:p>
  </w:footnote>
  <w:footnote w:id="768">
    <w:p w:rsidR="00AB00DE" w:rsidRPr="00FC031D" w:rsidRDefault="00AB00DE" w:rsidP="00DF5565">
      <w:pPr>
        <w:pStyle w:val="a4"/>
      </w:pPr>
      <w:r w:rsidRPr="00FC031D">
        <w:tab/>
      </w:r>
      <w:r w:rsidRPr="00DF5565">
        <w:rPr>
          <w:rStyle w:val="a5"/>
        </w:rPr>
        <w:footnoteRef/>
      </w:r>
      <w:r w:rsidRPr="00FC031D">
        <w:tab/>
      </w:r>
      <w:r w:rsidRPr="00FC031D">
        <w:rPr>
          <w:rFonts w:hint="eastAsia"/>
        </w:rPr>
        <w:t>同上，第</w:t>
      </w:r>
      <w:r w:rsidRPr="00FC031D">
        <w:t>94</w:t>
      </w:r>
      <w:r w:rsidRPr="00FC031D">
        <w:rPr>
          <w:rFonts w:hint="eastAsia"/>
        </w:rPr>
        <w:t>段。</w:t>
      </w:r>
    </w:p>
  </w:footnote>
  <w:footnote w:id="769">
    <w:p w:rsidR="00AB00DE" w:rsidRPr="00FC031D" w:rsidRDefault="00AB00DE" w:rsidP="00D90936">
      <w:pPr>
        <w:pStyle w:val="a4"/>
      </w:pPr>
      <w:r w:rsidRPr="00FC031D">
        <w:tab/>
      </w:r>
      <w:r w:rsidRPr="00DF5565">
        <w:rPr>
          <w:rStyle w:val="a5"/>
        </w:rPr>
        <w:footnoteRef/>
      </w:r>
      <w:r w:rsidRPr="00FC031D">
        <w:rPr>
          <w:rFonts w:eastAsia="楷体"/>
        </w:rPr>
        <w:tab/>
      </w:r>
      <w:r w:rsidRPr="00FC031D">
        <w:rPr>
          <w:rFonts w:eastAsia="楷体"/>
        </w:rPr>
        <w:t>乌拉圭河沿岸纸浆厂案</w:t>
      </w:r>
      <w:r w:rsidRPr="00FC031D">
        <w:t>(</w:t>
      </w:r>
      <w:r w:rsidRPr="00FC031D">
        <w:rPr>
          <w:rFonts w:hint="eastAsia"/>
        </w:rPr>
        <w:t>见上文脚注</w:t>
      </w:r>
      <w:r>
        <w:rPr>
          <w:lang w:val="zh-CN"/>
        </w:rPr>
        <w:fldChar w:fldCharType="begin"/>
      </w:r>
      <w:r>
        <w:rPr>
          <w:lang w:val="zh-CN"/>
        </w:rPr>
        <w:instrText xml:space="preserve"> NOTEREF _Ref461971066 \h </w:instrText>
      </w:r>
      <w:r>
        <w:rPr>
          <w:lang w:val="zh-CN"/>
        </w:rPr>
      </w:r>
      <w:r>
        <w:rPr>
          <w:lang w:val="zh-CN"/>
        </w:rPr>
        <w:fldChar w:fldCharType="separate"/>
      </w:r>
      <w:r w:rsidR="00A73EB9">
        <w:rPr>
          <w:lang w:val="zh-CN"/>
        </w:rPr>
        <w:t>395</w:t>
      </w:r>
      <w:r>
        <w:rPr>
          <w:lang w:val="zh-CN"/>
        </w:rPr>
        <w:fldChar w:fldCharType="end"/>
      </w:r>
      <w:r w:rsidRPr="00FC031D">
        <w:rPr>
          <w:rFonts w:hint="eastAsia"/>
        </w:rPr>
        <w:t>)</w:t>
      </w:r>
      <w:r w:rsidRPr="00FC031D">
        <w:rPr>
          <w:rFonts w:hint="eastAsia"/>
        </w:rPr>
        <w:t>，第</w:t>
      </w:r>
      <w:r w:rsidRPr="00FC031D">
        <w:t>63</w:t>
      </w:r>
      <w:r w:rsidRPr="00FC031D">
        <w:rPr>
          <w:rFonts w:hint="eastAsia"/>
        </w:rPr>
        <w:t>页</w:t>
      </w:r>
      <w:r w:rsidRPr="00FC031D">
        <w:t>，</w:t>
      </w:r>
      <w:r w:rsidRPr="00FC031D">
        <w:rPr>
          <w:rFonts w:hint="eastAsia"/>
        </w:rPr>
        <w:t>第</w:t>
      </w:r>
      <w:r w:rsidRPr="00FC031D">
        <w:t>131</w:t>
      </w:r>
      <w:r w:rsidRPr="00FC031D">
        <w:rPr>
          <w:rFonts w:hint="eastAsia"/>
        </w:rPr>
        <w:t>段。</w:t>
      </w:r>
    </w:p>
  </w:footnote>
  <w:footnote w:id="770">
    <w:p w:rsidR="00AB00DE" w:rsidRPr="00FC031D" w:rsidRDefault="00AB00DE" w:rsidP="00DF5565">
      <w:pPr>
        <w:pStyle w:val="a4"/>
      </w:pPr>
      <w:r w:rsidRPr="00FC031D">
        <w:tab/>
      </w:r>
      <w:r w:rsidRPr="00DF5565">
        <w:rPr>
          <w:rStyle w:val="a5"/>
        </w:rPr>
        <w:footnoteRef/>
      </w:r>
      <w:r w:rsidRPr="00FC031D">
        <w:tab/>
      </w:r>
      <w:r w:rsidRPr="00FC031D">
        <w:rPr>
          <w:rFonts w:hint="eastAsia"/>
        </w:rPr>
        <w:t>见上文结论草案</w:t>
      </w:r>
      <w:r w:rsidRPr="00FC031D">
        <w:t xml:space="preserve">4, </w:t>
      </w:r>
      <w:r w:rsidRPr="00FC031D">
        <w:rPr>
          <w:rFonts w:hint="eastAsia"/>
        </w:rPr>
        <w:t>第</w:t>
      </w:r>
      <w:r w:rsidRPr="00FC031D">
        <w:t>2</w:t>
      </w:r>
      <w:r w:rsidRPr="00FC031D">
        <w:rPr>
          <w:rFonts w:hint="eastAsia"/>
        </w:rPr>
        <w:t>段。</w:t>
      </w:r>
    </w:p>
  </w:footnote>
  <w:footnote w:id="771">
    <w:p w:rsidR="00AB00DE" w:rsidRPr="00FC031D" w:rsidRDefault="00AB00DE" w:rsidP="00DF5565">
      <w:pPr>
        <w:pStyle w:val="a4"/>
      </w:pPr>
      <w:r w:rsidRPr="00FC031D">
        <w:tab/>
      </w:r>
      <w:r w:rsidRPr="00DF5565">
        <w:rPr>
          <w:rStyle w:val="a5"/>
        </w:rPr>
        <w:footnoteRef/>
      </w:r>
      <w:r w:rsidRPr="00FC031D">
        <w:tab/>
      </w:r>
      <w:r w:rsidRPr="00FC031D">
        <w:rPr>
          <w:rFonts w:hint="eastAsia"/>
        </w:rPr>
        <w:t>世贸组织上诉机构报告，</w:t>
      </w:r>
      <w:r w:rsidRPr="00FC031D">
        <w:rPr>
          <w:rFonts w:eastAsia="楷体"/>
        </w:rPr>
        <w:t>日本</w:t>
      </w:r>
      <w:r w:rsidRPr="00FC031D">
        <w:rPr>
          <w:rFonts w:eastAsia="楷体" w:hint="eastAsia"/>
        </w:rPr>
        <w:t>－</w:t>
      </w:r>
      <w:r w:rsidRPr="00FC031D">
        <w:rPr>
          <w:rFonts w:eastAsia="楷体"/>
        </w:rPr>
        <w:t>河水酒精饲料案</w:t>
      </w:r>
      <w:r w:rsidRPr="00FC031D">
        <w:rPr>
          <w:rFonts w:eastAsia="楷体"/>
        </w:rPr>
        <w:t>(</w:t>
      </w:r>
      <w:r w:rsidRPr="00FC031D">
        <w:rPr>
          <w:rFonts w:eastAsia="楷体"/>
        </w:rPr>
        <w:t>二</w:t>
      </w:r>
      <w:r w:rsidRPr="00FC031D">
        <w:rPr>
          <w:rFonts w:eastAsia="楷体"/>
        </w:rPr>
        <w:t>)</w:t>
      </w:r>
      <w:r w:rsidRPr="00FC031D">
        <w:rPr>
          <w:rFonts w:hint="eastAsia"/>
        </w:rPr>
        <w:t>，</w:t>
      </w:r>
      <w:r w:rsidRPr="00FC031D">
        <w:t>WT/DS8/AB/R</w:t>
      </w:r>
      <w:r w:rsidRPr="00FC031D">
        <w:t>、</w:t>
      </w:r>
      <w:r w:rsidRPr="00FC031D">
        <w:t>WT/DS10/AB/R</w:t>
      </w:r>
      <w:r w:rsidRPr="00FC031D">
        <w:t>和</w:t>
      </w:r>
      <w:r w:rsidRPr="00FC031D">
        <w:t>WT/DS11/AB/R, 1996</w:t>
      </w:r>
      <w:r w:rsidRPr="00FC031D">
        <w:rPr>
          <w:rFonts w:hint="eastAsia"/>
        </w:rPr>
        <w:t>年</w:t>
      </w:r>
      <w:r w:rsidRPr="00FC031D">
        <w:t>11</w:t>
      </w:r>
      <w:r w:rsidRPr="00FC031D">
        <w:rPr>
          <w:rFonts w:hint="eastAsia"/>
        </w:rPr>
        <w:t>月</w:t>
      </w:r>
      <w:r w:rsidRPr="00FC031D">
        <w:t>1</w:t>
      </w:r>
      <w:r w:rsidRPr="00FC031D">
        <w:rPr>
          <w:rFonts w:hint="eastAsia"/>
        </w:rPr>
        <w:t>日</w:t>
      </w:r>
      <w:r w:rsidRPr="00FC031D">
        <w:t>通过</w:t>
      </w:r>
      <w:r w:rsidRPr="00FC031D">
        <w:rPr>
          <w:rFonts w:hint="eastAsia"/>
        </w:rPr>
        <w:t>，</w:t>
      </w:r>
      <w:r w:rsidRPr="00FC031D">
        <w:t>E</w:t>
      </w:r>
      <w:r w:rsidRPr="00FC031D">
        <w:rPr>
          <w:rFonts w:hint="eastAsia"/>
        </w:rPr>
        <w:t>部分，第</w:t>
      </w:r>
      <w:r w:rsidRPr="00FC031D">
        <w:t>12-13</w:t>
      </w:r>
      <w:r w:rsidRPr="00FC031D">
        <w:rPr>
          <w:rFonts w:hint="eastAsia"/>
        </w:rPr>
        <w:t>页</w:t>
      </w:r>
      <w:r w:rsidRPr="00FC031D">
        <w:t>(</w:t>
      </w:r>
      <w:r w:rsidRPr="00FC031D">
        <w:rPr>
          <w:rFonts w:hint="eastAsia"/>
        </w:rPr>
        <w:t>脚注略</w:t>
      </w:r>
      <w:r w:rsidRPr="00FC031D">
        <w:t>)</w:t>
      </w:r>
      <w:r w:rsidRPr="00FC031D">
        <w:rPr>
          <w:rFonts w:hint="eastAsia"/>
        </w:rPr>
        <w:t>。</w:t>
      </w:r>
    </w:p>
  </w:footnote>
  <w:footnote w:id="772">
    <w:p w:rsidR="00AB00DE" w:rsidRPr="00FC031D" w:rsidRDefault="00AB00DE" w:rsidP="00D90936">
      <w:pPr>
        <w:pStyle w:val="a4"/>
      </w:pPr>
      <w:r w:rsidRPr="00FC031D">
        <w:tab/>
      </w:r>
      <w:r w:rsidRPr="00DF5565">
        <w:rPr>
          <w:rStyle w:val="a5"/>
        </w:rPr>
        <w:footnoteRef/>
      </w:r>
      <w:r w:rsidRPr="00FC031D">
        <w:tab/>
      </w:r>
      <w:r w:rsidRPr="00FC031D">
        <w:rPr>
          <w:rFonts w:eastAsia="楷体"/>
        </w:rPr>
        <w:t>卡西基里</w:t>
      </w:r>
      <w:r w:rsidRPr="00FC031D">
        <w:rPr>
          <w:rFonts w:eastAsia="楷体"/>
        </w:rPr>
        <w:t>/</w:t>
      </w:r>
      <w:r w:rsidRPr="00FC031D">
        <w:rPr>
          <w:rFonts w:eastAsia="楷体"/>
        </w:rPr>
        <w:t>塞杜杜岛案</w:t>
      </w:r>
      <w:r w:rsidRPr="00FC031D">
        <w:t>(</w:t>
      </w:r>
      <w:r w:rsidRPr="00FC031D">
        <w:rPr>
          <w:rFonts w:hint="eastAsia"/>
        </w:rPr>
        <w:t>见上文脚注</w:t>
      </w:r>
      <w:r>
        <w:rPr>
          <w:lang w:val="zh-CN"/>
        </w:rPr>
        <w:fldChar w:fldCharType="begin"/>
      </w:r>
      <w:r>
        <w:rPr>
          <w:lang w:val="zh-CN"/>
        </w:rPr>
        <w:instrText xml:space="preserve"> NOTEREF _Ref461971066 \h </w:instrText>
      </w:r>
      <w:r>
        <w:rPr>
          <w:lang w:val="zh-CN"/>
        </w:rPr>
      </w:r>
      <w:r>
        <w:rPr>
          <w:lang w:val="zh-CN"/>
        </w:rPr>
        <w:fldChar w:fldCharType="separate"/>
      </w:r>
      <w:r w:rsidR="00A73EB9">
        <w:rPr>
          <w:lang w:val="zh-CN"/>
        </w:rPr>
        <w:t>395</w:t>
      </w:r>
      <w:r>
        <w:rPr>
          <w:lang w:val="zh-CN"/>
        </w:rPr>
        <w:fldChar w:fldCharType="end"/>
      </w:r>
      <w:r w:rsidRPr="00FC031D">
        <w:rPr>
          <w:rFonts w:hint="eastAsia"/>
        </w:rPr>
        <w:t>)</w:t>
      </w:r>
      <w:r w:rsidRPr="00FC031D">
        <w:rPr>
          <w:rFonts w:hint="eastAsia"/>
        </w:rPr>
        <w:t>，第</w:t>
      </w:r>
      <w:r w:rsidRPr="00FC031D">
        <w:t>1075-1076</w:t>
      </w:r>
      <w:r w:rsidRPr="00FC031D">
        <w:rPr>
          <w:rFonts w:hint="eastAsia"/>
        </w:rPr>
        <w:t>页，第</w:t>
      </w:r>
      <w:r w:rsidRPr="00FC031D">
        <w:t>47-54</w:t>
      </w:r>
      <w:r w:rsidRPr="00FC031D">
        <w:rPr>
          <w:rFonts w:hint="eastAsia"/>
        </w:rPr>
        <w:t>段和第</w:t>
      </w:r>
      <w:r w:rsidRPr="00FC031D">
        <w:t>1087</w:t>
      </w:r>
      <w:r w:rsidRPr="00FC031D">
        <w:rPr>
          <w:rFonts w:hint="eastAsia"/>
        </w:rPr>
        <w:t>页，第</w:t>
      </w:r>
      <w:r w:rsidRPr="00FC031D">
        <w:t>63</w:t>
      </w:r>
      <w:r w:rsidRPr="00FC031D">
        <w:rPr>
          <w:rFonts w:hint="eastAsia"/>
        </w:rPr>
        <w:t>段；</w:t>
      </w:r>
      <w:r w:rsidRPr="00FC031D">
        <w:rPr>
          <w:rFonts w:eastAsia="楷体"/>
        </w:rPr>
        <w:t>领土争端案</w:t>
      </w:r>
      <w:r w:rsidRPr="00FC031D">
        <w:t>(</w:t>
      </w:r>
      <w:r w:rsidRPr="00FC031D">
        <w:rPr>
          <w:rFonts w:hint="eastAsia"/>
        </w:rPr>
        <w:t>见上文脚注</w:t>
      </w:r>
      <w:r>
        <w:rPr>
          <w:lang w:val="zh-CN"/>
        </w:rPr>
        <w:fldChar w:fldCharType="begin"/>
      </w:r>
      <w:r>
        <w:rPr>
          <w:lang w:val="zh-CN"/>
        </w:rPr>
        <w:instrText xml:space="preserve"> NOTEREF _Ref461971066 \h </w:instrText>
      </w:r>
      <w:r>
        <w:rPr>
          <w:lang w:val="zh-CN"/>
        </w:rPr>
      </w:r>
      <w:r>
        <w:rPr>
          <w:lang w:val="zh-CN"/>
        </w:rPr>
        <w:fldChar w:fldCharType="separate"/>
      </w:r>
      <w:r w:rsidR="00A73EB9">
        <w:rPr>
          <w:lang w:val="zh-CN"/>
        </w:rPr>
        <w:t>395</w:t>
      </w:r>
      <w:r>
        <w:rPr>
          <w:lang w:val="zh-CN"/>
        </w:rPr>
        <w:fldChar w:fldCharType="end"/>
      </w:r>
      <w:r w:rsidRPr="00FC031D">
        <w:rPr>
          <w:rFonts w:hint="eastAsia"/>
        </w:rPr>
        <w:t>)</w:t>
      </w:r>
      <w:r w:rsidRPr="00FC031D">
        <w:rPr>
          <w:rFonts w:hint="eastAsia"/>
        </w:rPr>
        <w:t>，第</w:t>
      </w:r>
      <w:r w:rsidRPr="00FC031D">
        <w:t>34-37</w:t>
      </w:r>
      <w:r w:rsidRPr="00FC031D">
        <w:rPr>
          <w:rFonts w:hint="eastAsia"/>
        </w:rPr>
        <w:t>页，</w:t>
      </w:r>
      <w:r w:rsidRPr="00FC031D">
        <w:t>66-71</w:t>
      </w:r>
      <w:r w:rsidRPr="00FC031D">
        <w:rPr>
          <w:rFonts w:hint="eastAsia"/>
        </w:rPr>
        <w:t>段。</w:t>
      </w:r>
    </w:p>
  </w:footnote>
  <w:footnote w:id="773">
    <w:p w:rsidR="00AB00DE" w:rsidRPr="00FC031D" w:rsidRDefault="00AB00DE" w:rsidP="00267AB1">
      <w:pPr>
        <w:pStyle w:val="a4"/>
      </w:pPr>
      <w:r w:rsidRPr="00FC031D">
        <w:tab/>
      </w:r>
      <w:r w:rsidRPr="00DF5565">
        <w:rPr>
          <w:rStyle w:val="a5"/>
        </w:rPr>
        <w:footnoteRef/>
      </w:r>
      <w:r w:rsidRPr="00FC031D">
        <w:tab/>
      </w:r>
      <w:r w:rsidRPr="00FC031D">
        <w:rPr>
          <w:rFonts w:hint="eastAsia"/>
        </w:rPr>
        <w:t>伊朗－美利坚合众国索赔法庭，第</w:t>
      </w:r>
      <w:r w:rsidRPr="00FC031D">
        <w:t>ITL 83-B1-FT</w:t>
      </w:r>
      <w:r w:rsidRPr="00FC031D">
        <w:rPr>
          <w:rFonts w:hint="eastAsia"/>
        </w:rPr>
        <w:t>号中间裁决</w:t>
      </w:r>
      <w:r w:rsidRPr="00FC031D">
        <w:t>(</w:t>
      </w:r>
      <w:r w:rsidRPr="00FC031D">
        <w:rPr>
          <w:rFonts w:hint="eastAsia"/>
        </w:rPr>
        <w:t>反诉</w:t>
      </w:r>
      <w:r w:rsidRPr="00FC031D">
        <w:t>)(</w:t>
      </w:r>
      <w:r w:rsidRPr="00FC031D">
        <w:rPr>
          <w:rFonts w:hint="eastAsia"/>
        </w:rPr>
        <w:t>见上文脚注</w:t>
      </w:r>
      <w:r>
        <w:fldChar w:fldCharType="begin"/>
      </w:r>
      <w:r>
        <w:instrText xml:space="preserve"> </w:instrText>
      </w:r>
      <w:r>
        <w:rPr>
          <w:rFonts w:hint="eastAsia"/>
        </w:rPr>
        <w:instrText>NOTEREF _Ref461973728 \h</w:instrText>
      </w:r>
      <w:r>
        <w:instrText xml:space="preserve"> </w:instrText>
      </w:r>
      <w:r>
        <w:fldChar w:fldCharType="separate"/>
      </w:r>
      <w:r w:rsidR="00A73EB9">
        <w:t>537</w:t>
      </w:r>
      <w:r>
        <w:fldChar w:fldCharType="end"/>
      </w:r>
      <w:r w:rsidRPr="00FC031D">
        <w:t>)</w:t>
      </w:r>
      <w:r w:rsidRPr="00FC031D">
        <w:rPr>
          <w:rFonts w:hint="eastAsia"/>
        </w:rPr>
        <w:t>，第</w:t>
      </w:r>
      <w:r w:rsidRPr="00FC031D">
        <w:t>77</w:t>
      </w:r>
      <w:r w:rsidRPr="00FC031D">
        <w:rPr>
          <w:rFonts w:hint="eastAsia"/>
        </w:rPr>
        <w:t>页起，见第</w:t>
      </w:r>
      <w:r w:rsidRPr="00FC031D">
        <w:t>116-126</w:t>
      </w:r>
      <w:r w:rsidRPr="00FC031D">
        <w:rPr>
          <w:rFonts w:hint="eastAsia"/>
        </w:rPr>
        <w:t>页，第</w:t>
      </w:r>
      <w:r w:rsidRPr="00FC031D">
        <w:t>109-133</w:t>
      </w:r>
      <w:r w:rsidRPr="00FC031D">
        <w:rPr>
          <w:rFonts w:hint="eastAsia"/>
        </w:rPr>
        <w:t>段。</w:t>
      </w:r>
    </w:p>
  </w:footnote>
  <w:footnote w:id="774">
    <w:p w:rsidR="00AB00DE" w:rsidRPr="00FC031D" w:rsidRDefault="00AB00DE" w:rsidP="00560424">
      <w:pPr>
        <w:pStyle w:val="a4"/>
      </w:pPr>
      <w:r w:rsidRPr="00FC031D">
        <w:tab/>
      </w:r>
      <w:r w:rsidRPr="00DF5565">
        <w:rPr>
          <w:rStyle w:val="a5"/>
        </w:rPr>
        <w:footnoteRef/>
      </w:r>
      <w:r w:rsidRPr="00FC031D">
        <w:tab/>
        <w:t>Soering</w:t>
      </w:r>
      <w:r w:rsidRPr="007866F0">
        <w:rPr>
          <w:rFonts w:eastAsia="楷体"/>
        </w:rPr>
        <w:t>诉联合王国</w:t>
      </w:r>
      <w:r w:rsidRPr="00FC031D">
        <w:t>，</w:t>
      </w:r>
      <w:r w:rsidRPr="00FC031D">
        <w:rPr>
          <w:rFonts w:hint="eastAsia"/>
        </w:rPr>
        <w:t>第</w:t>
      </w:r>
      <w:r w:rsidRPr="00FC031D">
        <w:t>14038/88</w:t>
      </w:r>
      <w:r w:rsidRPr="00FC031D">
        <w:rPr>
          <w:rFonts w:hint="eastAsia"/>
        </w:rPr>
        <w:t>号，</w:t>
      </w:r>
      <w:r w:rsidRPr="00FC031D">
        <w:t>1989</w:t>
      </w:r>
      <w:r w:rsidRPr="00FC031D">
        <w:rPr>
          <w:rFonts w:hint="eastAsia"/>
        </w:rPr>
        <w:t>年</w:t>
      </w:r>
      <w:r w:rsidRPr="00FC031D">
        <w:t>7</w:t>
      </w:r>
      <w:r w:rsidRPr="00FC031D">
        <w:rPr>
          <w:rFonts w:hint="eastAsia"/>
        </w:rPr>
        <w:t>月</w:t>
      </w:r>
      <w:r w:rsidRPr="00FC031D">
        <w:t>7</w:t>
      </w:r>
      <w:r w:rsidRPr="00FC031D">
        <w:rPr>
          <w:rFonts w:hint="eastAsia"/>
        </w:rPr>
        <w:t>日，《欧洲人权法院案例汇编》</w:t>
      </w:r>
      <w:r w:rsidRPr="00FC031D">
        <w:t>A</w:t>
      </w:r>
      <w:r w:rsidRPr="00FC031D">
        <w:rPr>
          <w:rFonts w:hint="eastAsia"/>
        </w:rPr>
        <w:t>辑，第</w:t>
      </w:r>
      <w:r w:rsidRPr="00FC031D">
        <w:t>161</w:t>
      </w:r>
      <w:r w:rsidRPr="00FC031D">
        <w:rPr>
          <w:rFonts w:hint="eastAsia"/>
        </w:rPr>
        <w:t>号，第</w:t>
      </w:r>
      <w:r w:rsidRPr="00FC031D">
        <w:t>103</w:t>
      </w:r>
      <w:r w:rsidRPr="00FC031D">
        <w:rPr>
          <w:rFonts w:hint="eastAsia"/>
        </w:rPr>
        <w:t>段；</w:t>
      </w:r>
      <w:r w:rsidRPr="00FC031D">
        <w:t>Loizidou</w:t>
      </w:r>
      <w:r w:rsidRPr="007866F0">
        <w:rPr>
          <w:rFonts w:eastAsia="楷体"/>
        </w:rPr>
        <w:t>诉土耳其</w:t>
      </w:r>
      <w:r w:rsidRPr="00FC031D">
        <w:t>(</w:t>
      </w:r>
      <w:r w:rsidRPr="00FC031D">
        <w:rPr>
          <w:rFonts w:hint="eastAsia"/>
        </w:rPr>
        <w:t>初步反对意见</w:t>
      </w:r>
      <w:r w:rsidRPr="00FC031D">
        <w:t>)</w:t>
      </w:r>
      <w:r w:rsidRPr="00FC031D">
        <w:rPr>
          <w:rFonts w:hint="eastAsia"/>
        </w:rPr>
        <w:t>，第</w:t>
      </w:r>
      <w:r w:rsidRPr="00FC031D">
        <w:t>15318/89</w:t>
      </w:r>
      <w:r w:rsidRPr="00FC031D">
        <w:rPr>
          <w:rFonts w:hint="eastAsia"/>
        </w:rPr>
        <w:t>号，</w:t>
      </w:r>
      <w:r w:rsidRPr="00FC031D">
        <w:t>1995</w:t>
      </w:r>
      <w:r w:rsidRPr="00FC031D">
        <w:rPr>
          <w:rFonts w:hint="eastAsia"/>
        </w:rPr>
        <w:t>年</w:t>
      </w:r>
      <w:r w:rsidRPr="00FC031D">
        <w:t>3</w:t>
      </w:r>
      <w:r w:rsidRPr="00FC031D">
        <w:rPr>
          <w:rFonts w:hint="eastAsia"/>
        </w:rPr>
        <w:t>月</w:t>
      </w:r>
      <w:r w:rsidRPr="00FC031D">
        <w:t>23</w:t>
      </w:r>
      <w:r w:rsidRPr="00FC031D">
        <w:rPr>
          <w:rFonts w:hint="eastAsia"/>
        </w:rPr>
        <w:t>日，《欧洲人权法院案例汇编》</w:t>
      </w:r>
      <w:r w:rsidRPr="00FC031D">
        <w:t>A</w:t>
      </w:r>
      <w:r w:rsidRPr="00FC031D">
        <w:rPr>
          <w:rFonts w:hint="eastAsia"/>
        </w:rPr>
        <w:t>辑，第</w:t>
      </w:r>
      <w:r w:rsidRPr="00FC031D">
        <w:t>310</w:t>
      </w:r>
      <w:r w:rsidRPr="00FC031D">
        <w:rPr>
          <w:rFonts w:hint="eastAsia"/>
        </w:rPr>
        <w:t>号，第</w:t>
      </w:r>
      <w:r w:rsidRPr="00FC031D">
        <w:t>73</w:t>
      </w:r>
      <w:r w:rsidRPr="00FC031D">
        <w:rPr>
          <w:rFonts w:hint="eastAsia"/>
        </w:rPr>
        <w:t>段和第</w:t>
      </w:r>
      <w:r w:rsidRPr="00FC031D">
        <w:t>79-82</w:t>
      </w:r>
      <w:r w:rsidRPr="00FC031D">
        <w:rPr>
          <w:rFonts w:hint="eastAsia"/>
        </w:rPr>
        <w:t>段</w:t>
      </w:r>
      <w:r w:rsidRPr="00FC031D">
        <w:rPr>
          <w:rFonts w:hint="eastAsia"/>
          <w:i/>
        </w:rPr>
        <w:t>；</w:t>
      </w:r>
      <w:r w:rsidRPr="00FC031D">
        <w:t>Bankovic</w:t>
      </w:r>
      <w:r w:rsidRPr="007866F0">
        <w:rPr>
          <w:rFonts w:eastAsia="楷体"/>
        </w:rPr>
        <w:t>等人诉比利时及</w:t>
      </w:r>
      <w:r w:rsidRPr="007866F0">
        <w:rPr>
          <w:rFonts w:eastAsia="楷体"/>
        </w:rPr>
        <w:t>16</w:t>
      </w:r>
      <w:r w:rsidRPr="007866F0">
        <w:rPr>
          <w:rFonts w:eastAsia="楷体"/>
        </w:rPr>
        <w:t>个其他缔约国</w:t>
      </w:r>
      <w:r w:rsidRPr="00FC031D">
        <w:t>(</w:t>
      </w:r>
      <w:r w:rsidRPr="00FC031D">
        <w:rPr>
          <w:rFonts w:hint="eastAsia"/>
        </w:rPr>
        <w:t>裁决</w:t>
      </w:r>
      <w:r w:rsidRPr="00FC031D">
        <w:t>)[</w:t>
      </w:r>
      <w:r w:rsidRPr="00FC031D">
        <w:rPr>
          <w:rFonts w:hint="eastAsia"/>
        </w:rPr>
        <w:t>大审判庭</w:t>
      </w:r>
      <w:r w:rsidRPr="00FC031D">
        <w:t>]</w:t>
      </w:r>
      <w:r w:rsidRPr="00FC031D">
        <w:rPr>
          <w:rFonts w:hint="eastAsia"/>
        </w:rPr>
        <w:t>，第</w:t>
      </w:r>
      <w:r w:rsidRPr="00FC031D">
        <w:t>52207/99</w:t>
      </w:r>
      <w:r w:rsidRPr="00FC031D">
        <w:rPr>
          <w:rFonts w:hint="eastAsia"/>
        </w:rPr>
        <w:t>号，</w:t>
      </w:r>
      <w:r w:rsidRPr="00FC031D">
        <w:t>《</w:t>
      </w:r>
      <w:r w:rsidRPr="00FC031D">
        <w:t>2001</w:t>
      </w:r>
      <w:r w:rsidRPr="00FC031D">
        <w:rPr>
          <w:rFonts w:hint="eastAsia"/>
        </w:rPr>
        <w:t>年欧洲人权法院案例汇编》第十二卷，第</w:t>
      </w:r>
      <w:r w:rsidRPr="00FC031D">
        <w:t>56</w:t>
      </w:r>
      <w:r w:rsidRPr="00FC031D">
        <w:rPr>
          <w:rFonts w:hint="eastAsia"/>
        </w:rPr>
        <w:t>和</w:t>
      </w:r>
      <w:r w:rsidRPr="00FC031D">
        <w:t>62</w:t>
      </w:r>
      <w:r w:rsidRPr="00FC031D">
        <w:rPr>
          <w:rFonts w:hint="eastAsia"/>
        </w:rPr>
        <w:t>段；关于解决投资争端国际中心的判例，见</w:t>
      </w:r>
      <w:r w:rsidRPr="00FC031D">
        <w:t>Fauchald(</w:t>
      </w:r>
      <w:r w:rsidRPr="00FC031D">
        <w:rPr>
          <w:rFonts w:hint="eastAsia"/>
        </w:rPr>
        <w:t>上文脚注</w:t>
      </w:r>
      <w:r>
        <w:fldChar w:fldCharType="begin"/>
      </w:r>
      <w:r>
        <w:instrText xml:space="preserve"> </w:instrText>
      </w:r>
      <w:r>
        <w:rPr>
          <w:rFonts w:hint="eastAsia"/>
        </w:rPr>
        <w:instrText>NOTEREF _Ref461976675 \h</w:instrText>
      </w:r>
      <w:r>
        <w:instrText xml:space="preserve"> </w:instrText>
      </w:r>
      <w:r>
        <w:fldChar w:fldCharType="separate"/>
      </w:r>
      <w:r w:rsidR="00A73EB9">
        <w:t>498</w:t>
      </w:r>
      <w:r>
        <w:fldChar w:fldCharType="end"/>
      </w:r>
      <w:r w:rsidRPr="00FC031D">
        <w:t>)</w:t>
      </w:r>
      <w:r w:rsidRPr="00FC031D">
        <w:rPr>
          <w:rFonts w:hint="eastAsia"/>
        </w:rPr>
        <w:t>，第</w:t>
      </w:r>
      <w:r w:rsidRPr="00FC031D">
        <w:t>345</w:t>
      </w:r>
      <w:r w:rsidRPr="00FC031D">
        <w:rPr>
          <w:rFonts w:hint="eastAsia"/>
        </w:rPr>
        <w:t>页，另见</w:t>
      </w:r>
      <w:r w:rsidRPr="00FC031D">
        <w:t>A. Roberts,</w:t>
      </w:r>
      <w:r w:rsidRPr="00FC031D">
        <w:rPr>
          <w:rFonts w:hint="eastAsia"/>
        </w:rPr>
        <w:t>“投资条约解释中的实力和说服：国家的双重角色”，《美国国际法期刊》，第</w:t>
      </w:r>
      <w:r w:rsidRPr="00FC031D">
        <w:t>104</w:t>
      </w:r>
      <w:r w:rsidRPr="00FC031D">
        <w:rPr>
          <w:rFonts w:hint="eastAsia"/>
        </w:rPr>
        <w:t>期，</w:t>
      </w:r>
      <w:r w:rsidRPr="00FC031D">
        <w:t>2010</w:t>
      </w:r>
      <w:r w:rsidRPr="00FC031D">
        <w:rPr>
          <w:rFonts w:hint="eastAsia"/>
        </w:rPr>
        <w:t>年，第</w:t>
      </w:r>
      <w:r w:rsidRPr="00FC031D">
        <w:t>207-215</w:t>
      </w:r>
      <w:r w:rsidRPr="00FC031D">
        <w:rPr>
          <w:rFonts w:hint="eastAsia"/>
        </w:rPr>
        <w:t>页。</w:t>
      </w:r>
    </w:p>
  </w:footnote>
  <w:footnote w:id="775">
    <w:p w:rsidR="00AB00DE" w:rsidRPr="00FC031D" w:rsidRDefault="00AB00DE" w:rsidP="00D90936">
      <w:pPr>
        <w:pStyle w:val="a4"/>
      </w:pPr>
      <w:r w:rsidRPr="00FC031D">
        <w:tab/>
      </w:r>
      <w:r w:rsidRPr="00DF5565">
        <w:rPr>
          <w:rStyle w:val="a5"/>
        </w:rPr>
        <w:footnoteRef/>
      </w:r>
      <w:r w:rsidRPr="00FC031D">
        <w:tab/>
        <w:t xml:space="preserve">Sinclair, </w:t>
      </w:r>
      <w:r w:rsidRPr="00FC031D">
        <w:rPr>
          <w:rFonts w:hint="eastAsia"/>
        </w:rPr>
        <w:t>《维也纳……公约》</w:t>
      </w:r>
      <w:r w:rsidRPr="00FC031D">
        <w:t>(</w:t>
      </w:r>
      <w:r w:rsidRPr="00FC031D">
        <w:rPr>
          <w:rFonts w:hint="eastAsia"/>
        </w:rPr>
        <w:t>见上文脚注</w:t>
      </w:r>
      <w:r>
        <w:fldChar w:fldCharType="begin"/>
      </w:r>
      <w:r>
        <w:instrText xml:space="preserve"> NOTEREF _Ref461972846 \h </w:instrText>
      </w:r>
      <w:r>
        <w:fldChar w:fldCharType="separate"/>
      </w:r>
      <w:r w:rsidR="00A73EB9">
        <w:t>393</w:t>
      </w:r>
      <w:r>
        <w:fldChar w:fldCharType="end"/>
      </w:r>
      <w:r w:rsidRPr="00FC031D">
        <w:rPr>
          <w:rFonts w:hint="eastAsia"/>
        </w:rPr>
        <w:t>)</w:t>
      </w:r>
      <w:r w:rsidRPr="00FC031D">
        <w:t>，</w:t>
      </w:r>
      <w:r w:rsidRPr="00FC031D">
        <w:rPr>
          <w:rFonts w:hint="eastAsia"/>
        </w:rPr>
        <w:t>第</w:t>
      </w:r>
      <w:r w:rsidRPr="00FC031D">
        <w:t>137</w:t>
      </w:r>
      <w:r w:rsidRPr="00FC031D">
        <w:rPr>
          <w:rFonts w:hint="eastAsia"/>
        </w:rPr>
        <w:t>页；另见</w:t>
      </w:r>
      <w:r w:rsidRPr="00FC031D">
        <w:t>Yasseen,</w:t>
      </w:r>
      <w:r w:rsidRPr="00FC031D">
        <w:rPr>
          <w:rFonts w:hint="eastAsia"/>
        </w:rPr>
        <w:t>“……对条约进行解释”</w:t>
      </w:r>
      <w:r w:rsidRPr="00FC031D">
        <w:t>(</w:t>
      </w:r>
      <w:r w:rsidRPr="00FC031D">
        <w:rPr>
          <w:rFonts w:hint="eastAsia"/>
        </w:rPr>
        <w:t>见上文脚注</w:t>
      </w:r>
      <w:r>
        <w:fldChar w:fldCharType="begin"/>
      </w:r>
      <w:r>
        <w:instrText xml:space="preserve"> NOTEREF _Ref461972846 \h </w:instrText>
      </w:r>
      <w:r>
        <w:fldChar w:fldCharType="separate"/>
      </w:r>
      <w:r w:rsidR="00A73EB9">
        <w:t>393</w:t>
      </w:r>
      <w:r>
        <w:fldChar w:fldCharType="end"/>
      </w:r>
      <w:r w:rsidRPr="00FC031D">
        <w:rPr>
          <w:rFonts w:hint="eastAsia"/>
        </w:rPr>
        <w:t>)</w:t>
      </w:r>
      <w:r w:rsidRPr="00FC031D">
        <w:rPr>
          <w:rFonts w:hint="eastAsia"/>
        </w:rPr>
        <w:t>，第</w:t>
      </w:r>
      <w:r w:rsidRPr="00FC031D">
        <w:t>48-49</w:t>
      </w:r>
      <w:r w:rsidRPr="00FC031D">
        <w:rPr>
          <w:rFonts w:hint="eastAsia"/>
        </w:rPr>
        <w:t>页；“共同的”一词来自国际法委员会的工作，而“一致的”和“协调的”则是</w:t>
      </w:r>
      <w:r w:rsidRPr="00FC031D">
        <w:t>Yasseen</w:t>
      </w:r>
      <w:r w:rsidRPr="00FC031D">
        <w:rPr>
          <w:rFonts w:hint="eastAsia"/>
        </w:rPr>
        <w:t>进一步论述得出的条件；见《</w:t>
      </w:r>
      <w:r>
        <w:t>19</w:t>
      </w:r>
      <w:r>
        <w:rPr>
          <w:rFonts w:hint="eastAsia"/>
        </w:rPr>
        <w:t>6</w:t>
      </w:r>
      <w:r w:rsidRPr="00FC031D">
        <w:t>6</w:t>
      </w:r>
      <w:r w:rsidRPr="00FC031D">
        <w:rPr>
          <w:rFonts w:hint="eastAsia"/>
        </w:rPr>
        <w:t>年……年鉴》，第二卷，</w:t>
      </w:r>
      <w:r w:rsidRPr="00FC031D">
        <w:t>A/6309/Rev.1</w:t>
      </w:r>
      <w:r w:rsidRPr="00FC031D">
        <w:rPr>
          <w:rFonts w:hint="eastAsia"/>
        </w:rPr>
        <w:t>号文件，第</w:t>
      </w:r>
      <w:r w:rsidRPr="00FC031D">
        <w:t>98-99</w:t>
      </w:r>
      <w:r w:rsidRPr="00FC031D">
        <w:rPr>
          <w:rFonts w:hint="eastAsia"/>
        </w:rPr>
        <w:t>页，第</w:t>
      </w:r>
      <w:r w:rsidRPr="00FC031D">
        <w:t>17-18</w:t>
      </w:r>
      <w:r w:rsidRPr="00FC031D">
        <w:rPr>
          <w:rFonts w:hint="eastAsia"/>
        </w:rPr>
        <w:t>段，以及第</w:t>
      </w:r>
      <w:r w:rsidRPr="00FC031D">
        <w:t>221</w:t>
      </w:r>
      <w:r w:rsidRPr="00FC031D">
        <w:rPr>
          <w:rFonts w:hint="eastAsia"/>
        </w:rPr>
        <w:t>-222</w:t>
      </w:r>
      <w:r w:rsidRPr="00FC031D">
        <w:rPr>
          <w:rFonts w:hint="eastAsia"/>
        </w:rPr>
        <w:t>页，第</w:t>
      </w:r>
      <w:r w:rsidRPr="00FC031D">
        <w:t>15</w:t>
      </w:r>
      <w:r w:rsidRPr="00FC031D">
        <w:rPr>
          <w:rFonts w:hint="eastAsia"/>
        </w:rPr>
        <w:t>段。</w:t>
      </w:r>
    </w:p>
  </w:footnote>
  <w:footnote w:id="776">
    <w:p w:rsidR="00AB00DE" w:rsidRPr="00FC031D" w:rsidRDefault="00AB00DE" w:rsidP="00267AB1">
      <w:pPr>
        <w:pStyle w:val="a4"/>
      </w:pPr>
      <w:r w:rsidRPr="00FC031D">
        <w:tab/>
      </w:r>
      <w:r w:rsidRPr="00DF5565">
        <w:rPr>
          <w:rStyle w:val="a5"/>
        </w:rPr>
        <w:footnoteRef/>
      </w:r>
      <w:r w:rsidRPr="00FC031D">
        <w:tab/>
        <w:t xml:space="preserve">Sinclair, </w:t>
      </w:r>
      <w:r w:rsidRPr="00FC031D">
        <w:rPr>
          <w:rFonts w:hint="eastAsia"/>
        </w:rPr>
        <w:t>《维也纳……公约》</w:t>
      </w:r>
      <w:r w:rsidRPr="00FC031D">
        <w:t>(</w:t>
      </w:r>
      <w:r w:rsidRPr="00FC031D">
        <w:rPr>
          <w:rFonts w:hint="eastAsia"/>
        </w:rPr>
        <w:t>见上文脚注</w:t>
      </w:r>
      <w:r>
        <w:fldChar w:fldCharType="begin"/>
      </w:r>
      <w:r>
        <w:instrText xml:space="preserve"> NOTEREF _Ref461972846 \h </w:instrText>
      </w:r>
      <w:r>
        <w:fldChar w:fldCharType="separate"/>
      </w:r>
      <w:r w:rsidR="00A73EB9">
        <w:t>393</w:t>
      </w:r>
      <w:r>
        <w:fldChar w:fldCharType="end"/>
      </w:r>
      <w:r w:rsidRPr="00FC031D">
        <w:rPr>
          <w:rFonts w:hint="eastAsia"/>
        </w:rPr>
        <w:t>)</w:t>
      </w:r>
      <w:r w:rsidRPr="00FC031D">
        <w:rPr>
          <w:rFonts w:hint="eastAsia"/>
        </w:rPr>
        <w:t>；伊朗－美国索赔法庭，第</w:t>
      </w:r>
      <w:r w:rsidRPr="00FC031D">
        <w:t>ITL 83-B1-FT</w:t>
      </w:r>
      <w:r w:rsidRPr="00FC031D">
        <w:rPr>
          <w:rFonts w:hint="eastAsia"/>
        </w:rPr>
        <w:t>号中间裁决</w:t>
      </w:r>
      <w:r w:rsidRPr="00FC031D">
        <w:t>(</w:t>
      </w:r>
      <w:r w:rsidRPr="00FC031D">
        <w:rPr>
          <w:rFonts w:hint="eastAsia"/>
        </w:rPr>
        <w:t>反诉</w:t>
      </w:r>
      <w:r w:rsidRPr="00FC031D">
        <w:t>)(</w:t>
      </w:r>
      <w:r w:rsidRPr="00FC031D">
        <w:rPr>
          <w:rFonts w:hint="eastAsia"/>
        </w:rPr>
        <w:t>见上文脚注</w:t>
      </w:r>
      <w:r>
        <w:fldChar w:fldCharType="begin"/>
      </w:r>
      <w:r>
        <w:instrText xml:space="preserve"> </w:instrText>
      </w:r>
      <w:r>
        <w:rPr>
          <w:rFonts w:hint="eastAsia"/>
        </w:rPr>
        <w:instrText>NOTEREF _Ref461973728 \h</w:instrText>
      </w:r>
      <w:r>
        <w:instrText xml:space="preserve"> </w:instrText>
      </w:r>
      <w:r>
        <w:fldChar w:fldCharType="separate"/>
      </w:r>
      <w:r w:rsidR="00A73EB9">
        <w:t>537</w:t>
      </w:r>
      <w:r>
        <w:fldChar w:fldCharType="end"/>
      </w:r>
      <w:r w:rsidRPr="00FC031D">
        <w:rPr>
          <w:rFonts w:hint="eastAsia"/>
        </w:rPr>
        <w:t>)</w:t>
      </w:r>
      <w:r w:rsidRPr="00FC031D">
        <w:t>，</w:t>
      </w:r>
      <w:r w:rsidRPr="00FC031D">
        <w:rPr>
          <w:rFonts w:hint="eastAsia"/>
        </w:rPr>
        <w:t>第</w:t>
      </w:r>
      <w:r w:rsidRPr="00FC031D">
        <w:t>77</w:t>
      </w:r>
      <w:r w:rsidRPr="00FC031D">
        <w:rPr>
          <w:rFonts w:hint="eastAsia"/>
        </w:rPr>
        <w:t>页起，见第</w:t>
      </w:r>
      <w:r w:rsidRPr="00FC031D">
        <w:t>118</w:t>
      </w:r>
      <w:r w:rsidRPr="00FC031D">
        <w:rPr>
          <w:rFonts w:hint="eastAsia"/>
        </w:rPr>
        <w:t>页，第</w:t>
      </w:r>
      <w:r w:rsidRPr="00FC031D">
        <w:t>114</w:t>
      </w:r>
      <w:r w:rsidRPr="00FC031D">
        <w:rPr>
          <w:rFonts w:hint="eastAsia"/>
        </w:rPr>
        <w:t>段。</w:t>
      </w:r>
    </w:p>
  </w:footnote>
  <w:footnote w:id="777">
    <w:p w:rsidR="00AB00DE" w:rsidRPr="00FC031D" w:rsidRDefault="00AB00DE" w:rsidP="00267AB1">
      <w:pPr>
        <w:pStyle w:val="a4"/>
      </w:pPr>
      <w:r w:rsidRPr="00FC031D">
        <w:tab/>
      </w:r>
      <w:r w:rsidRPr="00DF5565">
        <w:rPr>
          <w:rStyle w:val="a5"/>
        </w:rPr>
        <w:footnoteRef/>
      </w:r>
      <w:r w:rsidRPr="00FC031D">
        <w:tab/>
      </w:r>
      <w:r w:rsidRPr="00FC031D">
        <w:rPr>
          <w:rFonts w:eastAsia="楷体"/>
        </w:rPr>
        <w:t>阿根廷和智利比格尔海峡划界争端案</w:t>
      </w:r>
      <w:r w:rsidRPr="00FC031D">
        <w:rPr>
          <w:rFonts w:hint="eastAsia"/>
        </w:rPr>
        <w:t>，</w:t>
      </w:r>
      <w:r w:rsidRPr="00FC031D">
        <w:t>1977</w:t>
      </w:r>
      <w:r w:rsidRPr="00FC031D">
        <w:rPr>
          <w:rFonts w:hint="eastAsia"/>
        </w:rPr>
        <w:t>年</w:t>
      </w:r>
      <w:r w:rsidRPr="00FC031D">
        <w:t>2</w:t>
      </w:r>
      <w:r w:rsidRPr="00FC031D">
        <w:rPr>
          <w:rFonts w:hint="eastAsia"/>
        </w:rPr>
        <w:t>月</w:t>
      </w:r>
      <w:r w:rsidRPr="00FC031D">
        <w:t>18</w:t>
      </w:r>
      <w:r w:rsidRPr="00FC031D">
        <w:rPr>
          <w:rFonts w:hint="eastAsia"/>
        </w:rPr>
        <w:t>日，《国际仲裁裁决汇编》，第二十一卷，</w:t>
      </w:r>
      <w:r w:rsidRPr="00FC031D">
        <w:t>第二部分，</w:t>
      </w:r>
      <w:r w:rsidRPr="00FC031D">
        <w:rPr>
          <w:rFonts w:hint="eastAsia"/>
        </w:rPr>
        <w:t>第</w:t>
      </w:r>
      <w:r w:rsidRPr="00FC031D">
        <w:t>53-264</w:t>
      </w:r>
      <w:r w:rsidRPr="00FC031D">
        <w:rPr>
          <w:rFonts w:hint="eastAsia"/>
        </w:rPr>
        <w:t>页，见第</w:t>
      </w:r>
      <w:r w:rsidRPr="00FC031D">
        <w:t>187</w:t>
      </w:r>
      <w:r w:rsidRPr="00FC031D">
        <w:rPr>
          <w:rFonts w:hint="eastAsia"/>
        </w:rPr>
        <w:t>页，第</w:t>
      </w:r>
      <w:r w:rsidRPr="00FC031D">
        <w:t>169</w:t>
      </w:r>
      <w:r w:rsidRPr="00FC031D">
        <w:rPr>
          <w:rFonts w:hint="eastAsia"/>
        </w:rPr>
        <w:t>段；</w:t>
      </w:r>
      <w:r w:rsidRPr="00FC031D">
        <w:t>J.-P Cot,</w:t>
      </w:r>
      <w:r w:rsidRPr="00FC031D">
        <w:rPr>
          <w:rFonts w:hint="eastAsia"/>
        </w:rPr>
        <w:t>“条约缔约国的嗣后惯例”，《国际公法总期刊》，第</w:t>
      </w:r>
      <w:r w:rsidRPr="00FC031D">
        <w:t>70</w:t>
      </w:r>
      <w:r w:rsidRPr="00FC031D">
        <w:rPr>
          <w:rFonts w:hint="eastAsia"/>
        </w:rPr>
        <w:t>期，</w:t>
      </w:r>
      <w:r w:rsidRPr="00FC031D">
        <w:t>1966</w:t>
      </w:r>
      <w:r w:rsidRPr="00FC031D">
        <w:rPr>
          <w:rFonts w:hint="eastAsia"/>
        </w:rPr>
        <w:t>年，第</w:t>
      </w:r>
      <w:r w:rsidRPr="00FC031D">
        <w:t>644-647</w:t>
      </w:r>
      <w:r w:rsidRPr="00FC031D">
        <w:rPr>
          <w:rFonts w:hint="eastAsia"/>
        </w:rPr>
        <w:t>页</w:t>
      </w:r>
      <w:r w:rsidRPr="00FC031D">
        <w:t>(</w:t>
      </w:r>
      <w:r w:rsidRPr="00FC031D">
        <w:rPr>
          <w:rFonts w:hint="eastAsia"/>
        </w:rPr>
        <w:t>临时价值</w:t>
      </w:r>
      <w:r w:rsidRPr="00FC031D">
        <w:t>)</w:t>
      </w:r>
      <w:r w:rsidRPr="00FC031D">
        <w:rPr>
          <w:rFonts w:hint="eastAsia"/>
        </w:rPr>
        <w:t>；</w:t>
      </w:r>
      <w:r w:rsidRPr="00FC031D">
        <w:t>Distefano,</w:t>
      </w:r>
      <w:r w:rsidRPr="00FC031D">
        <w:rPr>
          <w:rFonts w:hint="eastAsia"/>
        </w:rPr>
        <w:t>“……嗣后惯例”</w:t>
      </w:r>
      <w:r w:rsidRPr="00FC031D">
        <w:t>(</w:t>
      </w:r>
      <w:r w:rsidRPr="00FC031D">
        <w:rPr>
          <w:rFonts w:hint="eastAsia"/>
        </w:rPr>
        <w:t>见上文脚注</w:t>
      </w:r>
      <w:r>
        <w:fldChar w:fldCharType="begin"/>
      </w:r>
      <w:r>
        <w:instrText xml:space="preserve"> NOTEREF _Ref461973844 \h </w:instrText>
      </w:r>
      <w:r>
        <w:fldChar w:fldCharType="separate"/>
      </w:r>
      <w:r w:rsidR="00A73EB9">
        <w:t>573</w:t>
      </w:r>
      <w:r>
        <w:fldChar w:fldCharType="end"/>
      </w:r>
      <w:r w:rsidRPr="00FC031D">
        <w:rPr>
          <w:rFonts w:hint="eastAsia"/>
        </w:rPr>
        <w:t>)</w:t>
      </w:r>
      <w:r w:rsidRPr="00FC031D">
        <w:rPr>
          <w:rFonts w:hint="eastAsia"/>
        </w:rPr>
        <w:t>，第</w:t>
      </w:r>
      <w:r w:rsidRPr="00FC031D">
        <w:t>46</w:t>
      </w:r>
      <w:r w:rsidRPr="00FC031D">
        <w:rPr>
          <w:rFonts w:hint="eastAsia"/>
        </w:rPr>
        <w:t>页；</w:t>
      </w:r>
      <w:r w:rsidRPr="00FC031D">
        <w:t>Dörr,</w:t>
      </w:r>
      <w:r w:rsidRPr="00FC031D">
        <w:rPr>
          <w:rFonts w:hint="eastAsia"/>
        </w:rPr>
        <w:t>“第三十一条……”</w:t>
      </w:r>
      <w:r w:rsidRPr="00FC031D">
        <w:t>(</w:t>
      </w:r>
      <w:r w:rsidRPr="00FC031D">
        <w:rPr>
          <w:rFonts w:hint="eastAsia"/>
        </w:rPr>
        <w:t>见上文脚注</w:t>
      </w:r>
      <w:r>
        <w:fldChar w:fldCharType="begin"/>
      </w:r>
      <w:r>
        <w:instrText xml:space="preserve"> </w:instrText>
      </w:r>
      <w:r>
        <w:rPr>
          <w:rFonts w:hint="eastAsia"/>
        </w:rPr>
        <w:instrText>NOTEREF _Ref461972537 \h</w:instrText>
      </w:r>
      <w:r>
        <w:instrText xml:space="preserve"> </w:instrText>
      </w:r>
      <w:r>
        <w:fldChar w:fldCharType="separate"/>
      </w:r>
      <w:r w:rsidR="00A73EB9">
        <w:t>439</w:t>
      </w:r>
      <w:r>
        <w:fldChar w:fldCharType="end"/>
      </w:r>
      <w:r w:rsidRPr="00FC031D">
        <w:rPr>
          <w:rFonts w:hint="eastAsia"/>
        </w:rPr>
        <w:t>)</w:t>
      </w:r>
      <w:r w:rsidRPr="00FC031D">
        <w:t>，</w:t>
      </w:r>
      <w:r w:rsidRPr="00FC031D">
        <w:rPr>
          <w:rFonts w:hint="eastAsia"/>
        </w:rPr>
        <w:t>第</w:t>
      </w:r>
      <w:r w:rsidRPr="00FC031D">
        <w:t>556</w:t>
      </w:r>
      <w:r w:rsidRPr="00FC031D">
        <w:rPr>
          <w:rFonts w:hint="eastAsia"/>
        </w:rPr>
        <w:t>页，第</w:t>
      </w:r>
      <w:r w:rsidRPr="00FC031D">
        <w:t>79</w:t>
      </w:r>
      <w:r w:rsidRPr="00FC031D">
        <w:rPr>
          <w:rFonts w:hint="eastAsia"/>
        </w:rPr>
        <w:t>段；另见在</w:t>
      </w:r>
      <w:r w:rsidRPr="00FC031D">
        <w:rPr>
          <w:rFonts w:eastAsia="楷体"/>
        </w:rPr>
        <w:t>海洋争端案</w:t>
      </w:r>
      <w:r w:rsidRPr="00FC031D">
        <w:rPr>
          <w:rFonts w:eastAsia="楷体"/>
        </w:rPr>
        <w:t>(</w:t>
      </w:r>
      <w:r w:rsidRPr="00FC031D">
        <w:rPr>
          <w:rFonts w:eastAsia="楷体"/>
        </w:rPr>
        <w:t>秘鲁诉智利</w:t>
      </w:r>
      <w:r w:rsidRPr="00FC031D">
        <w:rPr>
          <w:rFonts w:eastAsia="楷体"/>
        </w:rPr>
        <w:t>)</w:t>
      </w:r>
      <w:r w:rsidRPr="00FC031D">
        <w:rPr>
          <w:rFonts w:hint="eastAsia"/>
        </w:rPr>
        <w:t>中国际法庭上的口头抗辩，</w:t>
      </w:r>
      <w:r w:rsidRPr="00FC031D">
        <w:t xml:space="preserve">CR 2012/33, </w:t>
      </w:r>
      <w:r w:rsidRPr="00FC031D">
        <w:rPr>
          <w:rFonts w:hint="eastAsia"/>
        </w:rPr>
        <w:t>第</w:t>
      </w:r>
      <w:r w:rsidRPr="00FC031D">
        <w:t>32-36</w:t>
      </w:r>
      <w:r w:rsidRPr="00FC031D">
        <w:rPr>
          <w:rFonts w:hint="eastAsia"/>
        </w:rPr>
        <w:t>页，第</w:t>
      </w:r>
      <w:r w:rsidRPr="00FC031D">
        <w:t>7-19</w:t>
      </w:r>
      <w:r w:rsidRPr="00FC031D">
        <w:rPr>
          <w:rFonts w:hint="eastAsia"/>
        </w:rPr>
        <w:t>段</w:t>
      </w:r>
      <w:r w:rsidRPr="00FC031D">
        <w:t>(Wood)</w:t>
      </w:r>
      <w:r w:rsidRPr="00FC031D">
        <w:rPr>
          <w:rFonts w:hint="eastAsia"/>
        </w:rPr>
        <w:t>，</w:t>
      </w:r>
      <w:r w:rsidRPr="00FC031D">
        <w:t>可查阅</w:t>
      </w:r>
      <w:r w:rsidRPr="00FC031D">
        <w:t>www.icj-cij.org/docket/files/137/17218.pdf</w:t>
      </w:r>
      <w:r w:rsidRPr="00FC031D">
        <w:t>，以及</w:t>
      </w:r>
      <w:r w:rsidRPr="00FC031D">
        <w:t xml:space="preserve">CR 2012/36, </w:t>
      </w:r>
      <w:r w:rsidRPr="00FC031D">
        <w:t>第</w:t>
      </w:r>
      <w:r w:rsidRPr="00FC031D">
        <w:t>13-18</w:t>
      </w:r>
      <w:r w:rsidRPr="00FC031D">
        <w:t>页，第</w:t>
      </w:r>
      <w:r w:rsidRPr="00FC031D">
        <w:t>6-21</w:t>
      </w:r>
      <w:r w:rsidRPr="00FC031D">
        <w:t>段</w:t>
      </w:r>
      <w:r w:rsidRPr="00FC031D">
        <w:t>(Wordsworth)</w:t>
      </w:r>
      <w:r w:rsidRPr="00FC031D">
        <w:rPr>
          <w:rFonts w:hint="eastAsia"/>
        </w:rPr>
        <w:t>，</w:t>
      </w:r>
      <w:r w:rsidRPr="00FC031D">
        <w:t>可查阅</w:t>
      </w:r>
      <w:r w:rsidRPr="00FC031D">
        <w:t>www.icj-cij.org/docket/files/137/17234.pdf</w:t>
      </w:r>
      <w:r w:rsidRPr="00FC031D">
        <w:rPr>
          <w:rFonts w:hint="eastAsia"/>
        </w:rPr>
        <w:t>。</w:t>
      </w:r>
    </w:p>
  </w:footnote>
  <w:footnote w:id="778">
    <w:p w:rsidR="00AB00DE" w:rsidRPr="00FC031D" w:rsidRDefault="00AB00DE" w:rsidP="00DF5565">
      <w:pPr>
        <w:pStyle w:val="a4"/>
      </w:pPr>
      <w:r w:rsidRPr="00FC031D">
        <w:tab/>
      </w:r>
      <w:r w:rsidRPr="00DF5565">
        <w:rPr>
          <w:rStyle w:val="a5"/>
        </w:rPr>
        <w:footnoteRef/>
      </w:r>
      <w:r w:rsidRPr="00FC031D">
        <w:tab/>
      </w:r>
      <w:r w:rsidRPr="00FC031D">
        <w:rPr>
          <w:rFonts w:hint="eastAsia"/>
        </w:rPr>
        <w:t>世贸组织上诉机构报告，</w:t>
      </w:r>
      <w:r w:rsidRPr="00FC031D">
        <w:rPr>
          <w:rFonts w:eastAsia="楷体"/>
        </w:rPr>
        <w:t>欧共体</w:t>
      </w:r>
      <w:r w:rsidRPr="00FC031D">
        <w:rPr>
          <w:rFonts w:eastAsia="楷体" w:hint="eastAsia"/>
        </w:rPr>
        <w:t>－</w:t>
      </w:r>
      <w:r w:rsidRPr="00FC031D">
        <w:rPr>
          <w:rFonts w:eastAsia="楷体"/>
        </w:rPr>
        <w:t>电脑设备案，</w:t>
      </w:r>
      <w:r w:rsidRPr="00FC031D">
        <w:t>WT/DS62/AB/R</w:t>
      </w:r>
      <w:r w:rsidRPr="00FC031D">
        <w:t>、</w:t>
      </w:r>
      <w:r w:rsidRPr="00FC031D">
        <w:t>WT/DS67/AB/R</w:t>
      </w:r>
      <w:r w:rsidRPr="00FC031D">
        <w:t>和</w:t>
      </w:r>
      <w:r w:rsidRPr="00FC031D">
        <w:t>WT/DS68/AB/R, 1998</w:t>
      </w:r>
      <w:r w:rsidRPr="00FC031D">
        <w:rPr>
          <w:rFonts w:hint="eastAsia"/>
        </w:rPr>
        <w:t>年</w:t>
      </w:r>
      <w:r w:rsidRPr="00FC031D">
        <w:t>6</w:t>
      </w:r>
      <w:r w:rsidRPr="00FC031D">
        <w:rPr>
          <w:rFonts w:hint="eastAsia"/>
        </w:rPr>
        <w:t>月</w:t>
      </w:r>
      <w:r w:rsidRPr="00FC031D">
        <w:t>22</w:t>
      </w:r>
      <w:r w:rsidRPr="00FC031D">
        <w:rPr>
          <w:rFonts w:hint="eastAsia"/>
        </w:rPr>
        <w:t>日，第</w:t>
      </w:r>
      <w:r w:rsidRPr="00FC031D">
        <w:t>93</w:t>
      </w:r>
      <w:r w:rsidRPr="00FC031D">
        <w:rPr>
          <w:rFonts w:hint="eastAsia"/>
        </w:rPr>
        <w:t>段</w:t>
      </w:r>
      <w:r w:rsidRPr="00FC031D">
        <w:t>。</w:t>
      </w:r>
    </w:p>
  </w:footnote>
  <w:footnote w:id="779">
    <w:p w:rsidR="00AB00DE" w:rsidRPr="00FC031D" w:rsidRDefault="00AB00DE" w:rsidP="00560424">
      <w:pPr>
        <w:pStyle w:val="a4"/>
      </w:pPr>
      <w:r w:rsidRPr="00FC031D">
        <w:tab/>
      </w:r>
      <w:r w:rsidRPr="00DF5565">
        <w:rPr>
          <w:rStyle w:val="a5"/>
        </w:rPr>
        <w:footnoteRef/>
      </w:r>
      <w:r w:rsidRPr="00FC031D">
        <w:tab/>
      </w:r>
      <w:r w:rsidRPr="00FC031D">
        <w:t>见</w:t>
      </w:r>
      <w:r w:rsidRPr="00FC031D">
        <w:rPr>
          <w:rFonts w:hint="eastAsia"/>
        </w:rPr>
        <w:t>《</w:t>
      </w:r>
      <w:r w:rsidRPr="00FC031D">
        <w:t>1966</w:t>
      </w:r>
      <w:r w:rsidRPr="00FC031D">
        <w:rPr>
          <w:rFonts w:hint="eastAsia"/>
        </w:rPr>
        <w:t>年……年鉴》，第二卷，</w:t>
      </w:r>
      <w:r w:rsidRPr="00FC031D">
        <w:t>A/6309/rev.1</w:t>
      </w:r>
      <w:r w:rsidRPr="00FC031D">
        <w:rPr>
          <w:rFonts w:hint="eastAsia"/>
        </w:rPr>
        <w:t>号文件，</w:t>
      </w:r>
      <w:r w:rsidRPr="00FC031D">
        <w:rPr>
          <w:rFonts w:ascii="Time New Roman" w:hAnsi="Time New Roman" w:hint="eastAsia"/>
        </w:rPr>
        <w:t>第</w:t>
      </w:r>
      <w:r w:rsidRPr="00FC031D">
        <w:rPr>
          <w:rFonts w:ascii="Time New Roman" w:hAnsi="Time New Roman"/>
        </w:rPr>
        <w:t>22</w:t>
      </w:r>
      <w:r w:rsidRPr="00FC031D">
        <w:rPr>
          <w:rFonts w:ascii="Time New Roman" w:hAnsi="Time New Roman" w:hint="eastAsia"/>
        </w:rPr>
        <w:t>2</w:t>
      </w:r>
      <w:r w:rsidRPr="00FC031D">
        <w:rPr>
          <w:rFonts w:ascii="Time New Roman" w:hAnsi="Time New Roman" w:hint="eastAsia"/>
        </w:rPr>
        <w:t>页，第</w:t>
      </w:r>
      <w:r w:rsidRPr="00FC031D">
        <w:rPr>
          <w:rFonts w:ascii="Time New Roman" w:hAnsi="Time New Roman" w:hint="eastAsia"/>
        </w:rPr>
        <w:t>(15)</w:t>
      </w:r>
      <w:r w:rsidRPr="00FC031D">
        <w:rPr>
          <w:rFonts w:hint="eastAsia"/>
        </w:rPr>
        <w:t>段；</w:t>
      </w:r>
      <w:r w:rsidRPr="00FC031D">
        <w:t>Cot,</w:t>
      </w:r>
      <w:r w:rsidRPr="00FC031D">
        <w:rPr>
          <w:rFonts w:hint="eastAsia"/>
        </w:rPr>
        <w:t>“……缔约国的嗣后惯例”</w:t>
      </w:r>
      <w:r w:rsidRPr="00FC031D">
        <w:t>(</w:t>
      </w:r>
      <w:r w:rsidRPr="00FC031D">
        <w:rPr>
          <w:rFonts w:hint="eastAsia"/>
        </w:rPr>
        <w:t>见上文脚注</w:t>
      </w:r>
      <w:r>
        <w:fldChar w:fldCharType="begin"/>
      </w:r>
      <w:r>
        <w:instrText xml:space="preserve"> </w:instrText>
      </w:r>
      <w:r>
        <w:rPr>
          <w:rFonts w:hint="eastAsia"/>
        </w:rPr>
        <w:instrText>NOTEREF _Ref461976695 \h</w:instrText>
      </w:r>
      <w:r>
        <w:instrText xml:space="preserve"> </w:instrText>
      </w:r>
      <w:r>
        <w:fldChar w:fldCharType="separate"/>
      </w:r>
      <w:r w:rsidR="00A73EB9">
        <w:t>776</w:t>
      </w:r>
      <w:r>
        <w:fldChar w:fldCharType="end"/>
      </w:r>
      <w:r w:rsidRPr="00FC031D">
        <w:t>)</w:t>
      </w:r>
      <w:r w:rsidRPr="00FC031D">
        <w:rPr>
          <w:rFonts w:hint="eastAsia"/>
        </w:rPr>
        <w:t>，第</w:t>
      </w:r>
      <w:r w:rsidRPr="00FC031D">
        <w:t>652</w:t>
      </w:r>
      <w:r w:rsidRPr="00FC031D">
        <w:rPr>
          <w:rFonts w:hint="eastAsia"/>
        </w:rPr>
        <w:t>页。</w:t>
      </w:r>
    </w:p>
  </w:footnote>
  <w:footnote w:id="780">
    <w:p w:rsidR="00AB00DE" w:rsidRPr="00FC031D" w:rsidRDefault="00AB00DE" w:rsidP="00267AB1">
      <w:pPr>
        <w:pStyle w:val="a4"/>
      </w:pPr>
      <w:r w:rsidRPr="00DF5565">
        <w:rPr>
          <w:rStyle w:val="a5"/>
        </w:rPr>
        <w:tab/>
      </w:r>
      <w:r w:rsidRPr="00DF5565">
        <w:rPr>
          <w:rStyle w:val="a5"/>
        </w:rPr>
        <w:footnoteRef/>
      </w:r>
      <w:r w:rsidRPr="00DF5565">
        <w:rPr>
          <w:rStyle w:val="a5"/>
        </w:rPr>
        <w:tab/>
      </w:r>
      <w:r w:rsidRPr="00FC031D">
        <w:rPr>
          <w:rFonts w:hint="eastAsia"/>
        </w:rPr>
        <w:t>在实践中，作为一般性规则，一次性的做法常常不足以确定缔约国就条约解释达成一致；但是，第三十一条第三款</w:t>
      </w:r>
      <w:r w:rsidRPr="00FC031D">
        <w:t>(b)</w:t>
      </w:r>
      <w:r w:rsidRPr="00FC031D">
        <w:rPr>
          <w:rFonts w:hint="eastAsia"/>
        </w:rPr>
        <w:t>项所述的嗣后惯例没有要求任何重复，只是要求就解释达成一致。因此，一次性做法确立一致意见的可能性就取决于有关的行为及条约，见</w:t>
      </w:r>
      <w:r w:rsidRPr="00FC031D">
        <w:t>E. Lauterpacht,</w:t>
      </w:r>
      <w:r w:rsidRPr="00FC031D">
        <w:rPr>
          <w:rFonts w:hint="eastAsia"/>
        </w:rPr>
        <w:t>“国际法庭裁决带来的国际组织法的发展”，《</w:t>
      </w:r>
      <w:r w:rsidRPr="00FC031D">
        <w:t>1976</w:t>
      </w:r>
      <w:r w:rsidRPr="00FC031D">
        <w:t>年</w:t>
      </w:r>
      <w:r w:rsidRPr="00FC031D">
        <w:rPr>
          <w:rFonts w:hint="eastAsia"/>
        </w:rPr>
        <w:t>……学院讲义》，第</w:t>
      </w:r>
      <w:r w:rsidRPr="00FC031D">
        <w:t>152</w:t>
      </w:r>
      <w:r w:rsidRPr="00FC031D">
        <w:rPr>
          <w:rFonts w:hint="eastAsia"/>
        </w:rPr>
        <w:t>卷，第</w:t>
      </w:r>
      <w:r w:rsidRPr="00FC031D">
        <w:t>377-466</w:t>
      </w:r>
      <w:r w:rsidRPr="00FC031D">
        <w:rPr>
          <w:rFonts w:hint="eastAsia"/>
        </w:rPr>
        <w:t>页，见第</w:t>
      </w:r>
      <w:r w:rsidRPr="00FC031D">
        <w:t>457</w:t>
      </w:r>
      <w:r w:rsidRPr="00FC031D">
        <w:rPr>
          <w:rFonts w:hint="eastAsia"/>
        </w:rPr>
        <w:t>页；</w:t>
      </w:r>
      <w:r w:rsidRPr="00FC031D">
        <w:t xml:space="preserve">Linderfalk, </w:t>
      </w:r>
      <w:r w:rsidRPr="00FC031D">
        <w:rPr>
          <w:rFonts w:hint="eastAsia"/>
        </w:rPr>
        <w:t>《论条约的解释》</w:t>
      </w:r>
      <w:r w:rsidRPr="00FC031D">
        <w:t>(</w:t>
      </w:r>
      <w:r w:rsidRPr="00FC031D">
        <w:rPr>
          <w:rFonts w:hint="eastAsia"/>
        </w:rPr>
        <w:t>见上文脚注</w:t>
      </w:r>
      <w:r>
        <w:fldChar w:fldCharType="begin"/>
      </w:r>
      <w:r>
        <w:instrText xml:space="preserve"> </w:instrText>
      </w:r>
      <w:r>
        <w:rPr>
          <w:rFonts w:hint="eastAsia"/>
        </w:rPr>
        <w:instrText>NOTEREF _Ref461974127 \h</w:instrText>
      </w:r>
      <w:r>
        <w:instrText xml:space="preserve"> </w:instrText>
      </w:r>
      <w:r>
        <w:fldChar w:fldCharType="separate"/>
      </w:r>
      <w:r w:rsidR="00A73EB9">
        <w:t>446</w:t>
      </w:r>
      <w:r>
        <w:fldChar w:fldCharType="end"/>
      </w:r>
      <w:r w:rsidRPr="00FC031D">
        <w:rPr>
          <w:rFonts w:hint="eastAsia"/>
        </w:rPr>
        <w:t>)</w:t>
      </w:r>
      <w:r w:rsidRPr="00FC031D">
        <w:rPr>
          <w:rFonts w:hint="eastAsia"/>
        </w:rPr>
        <w:t>，第</w:t>
      </w:r>
      <w:r w:rsidRPr="00FC031D">
        <w:t>166</w:t>
      </w:r>
      <w:r w:rsidRPr="00FC031D">
        <w:rPr>
          <w:rFonts w:hint="eastAsia"/>
        </w:rPr>
        <w:t>页；</w:t>
      </w:r>
      <w:r w:rsidRPr="00FC031D">
        <w:t>C.F. Amerasinghe,</w:t>
      </w:r>
      <w:r w:rsidRPr="00FC031D">
        <w:rPr>
          <w:rFonts w:hint="eastAsia"/>
        </w:rPr>
        <w:t>“公开的国际组织文件的解释”，《</w:t>
      </w:r>
      <w:r w:rsidRPr="00FC031D">
        <w:t>1994</w:t>
      </w:r>
      <w:r w:rsidRPr="00FC031D">
        <w:rPr>
          <w:rFonts w:hint="eastAsia"/>
        </w:rPr>
        <w:t>年英国国际法年鉴》，第</w:t>
      </w:r>
      <w:r w:rsidRPr="00FC031D">
        <w:t>65</w:t>
      </w:r>
      <w:r w:rsidRPr="00FC031D">
        <w:rPr>
          <w:rFonts w:hint="eastAsia"/>
        </w:rPr>
        <w:t>卷，第</w:t>
      </w:r>
      <w:r w:rsidRPr="00FC031D">
        <w:t>175</w:t>
      </w:r>
      <w:r w:rsidRPr="00FC031D">
        <w:rPr>
          <w:rFonts w:hint="eastAsia"/>
        </w:rPr>
        <w:t>页起，见第</w:t>
      </w:r>
      <w:r w:rsidRPr="00FC031D">
        <w:t>199</w:t>
      </w:r>
      <w:r w:rsidRPr="00FC031D">
        <w:rPr>
          <w:rFonts w:hint="eastAsia"/>
        </w:rPr>
        <w:t>页；</w:t>
      </w:r>
      <w:r w:rsidRPr="00FC031D">
        <w:t>Villiger</w:t>
      </w:r>
      <w:r w:rsidRPr="00FC031D">
        <w:rPr>
          <w:rFonts w:hint="eastAsia"/>
        </w:rPr>
        <w:t>支持要有一定的次数要求，但也强调，最重要的一点是确立一致意见，</w:t>
      </w:r>
      <w:r w:rsidRPr="00FC031D">
        <w:t xml:space="preserve">Villiger, </w:t>
      </w:r>
      <w:r w:rsidRPr="00FC031D">
        <w:rPr>
          <w:rFonts w:hint="eastAsia"/>
        </w:rPr>
        <w:t>《……</w:t>
      </w:r>
      <w:r w:rsidRPr="00FC031D">
        <w:t>评注</w:t>
      </w:r>
      <w:r w:rsidRPr="00FC031D">
        <w:rPr>
          <w:rFonts w:hint="eastAsia"/>
        </w:rPr>
        <w:t>》</w:t>
      </w:r>
      <w:r w:rsidRPr="00FC031D">
        <w:t>(</w:t>
      </w:r>
      <w:r w:rsidRPr="00FC031D">
        <w:rPr>
          <w:rFonts w:hint="eastAsia"/>
        </w:rPr>
        <w:t>见上文脚注</w:t>
      </w:r>
      <w:r>
        <w:rPr>
          <w:spacing w:val="-4"/>
          <w:lang w:val="zh-CN"/>
        </w:rPr>
        <w:fldChar w:fldCharType="begin"/>
      </w:r>
      <w:r>
        <w:rPr>
          <w:spacing w:val="-4"/>
          <w:lang w:val="zh-CN"/>
        </w:rPr>
        <w:instrText xml:space="preserve"> NOTEREF _Ref461972715 \h </w:instrText>
      </w:r>
      <w:r>
        <w:rPr>
          <w:spacing w:val="-4"/>
          <w:lang w:val="zh-CN"/>
        </w:rPr>
      </w:r>
      <w:r>
        <w:rPr>
          <w:spacing w:val="-4"/>
          <w:lang w:val="zh-CN"/>
        </w:rPr>
        <w:fldChar w:fldCharType="separate"/>
      </w:r>
      <w:r w:rsidR="00A73EB9">
        <w:rPr>
          <w:spacing w:val="-4"/>
          <w:lang w:val="zh-CN"/>
        </w:rPr>
        <w:t>414</w:t>
      </w:r>
      <w:r>
        <w:rPr>
          <w:spacing w:val="-4"/>
          <w:lang w:val="zh-CN"/>
        </w:rPr>
        <w:fldChar w:fldCharType="end"/>
      </w:r>
      <w:r w:rsidRPr="00FC031D">
        <w:rPr>
          <w:rFonts w:hint="eastAsia"/>
        </w:rPr>
        <w:t>)</w:t>
      </w:r>
      <w:r w:rsidRPr="00FC031D">
        <w:rPr>
          <w:rFonts w:hint="eastAsia"/>
        </w:rPr>
        <w:t>，第</w:t>
      </w:r>
      <w:r w:rsidRPr="00FC031D">
        <w:t>431</w:t>
      </w:r>
      <w:r w:rsidRPr="00FC031D">
        <w:rPr>
          <w:rFonts w:hint="eastAsia"/>
        </w:rPr>
        <w:t>页，第</w:t>
      </w:r>
      <w:r w:rsidRPr="00FC031D">
        <w:t>22</w:t>
      </w:r>
      <w:r w:rsidRPr="00FC031D">
        <w:rPr>
          <w:rFonts w:hint="eastAsia"/>
        </w:rPr>
        <w:t>段。</w:t>
      </w:r>
      <w:r w:rsidRPr="00FC031D">
        <w:t>Yasseen</w:t>
      </w:r>
      <w:r w:rsidRPr="00FC031D">
        <w:rPr>
          <w:rFonts w:hint="eastAsia"/>
        </w:rPr>
        <w:t>和</w:t>
      </w:r>
      <w:r w:rsidRPr="00FC031D">
        <w:t xml:space="preserve">Sinclair </w:t>
      </w:r>
      <w:r w:rsidRPr="00FC031D">
        <w:rPr>
          <w:rFonts w:hint="eastAsia"/>
        </w:rPr>
        <w:t>写</w:t>
      </w:r>
      <w:r w:rsidRPr="00FC031D">
        <w:t>道</w:t>
      </w:r>
      <w:r w:rsidRPr="00FC031D">
        <w:rPr>
          <w:rFonts w:hint="eastAsia"/>
        </w:rPr>
        <w:t>，“通常”一次性的行为不能够构成惯例，</w:t>
      </w:r>
      <w:r w:rsidRPr="00FC031D">
        <w:t>Yasseen,</w:t>
      </w:r>
      <w:r w:rsidRPr="00FC031D">
        <w:rPr>
          <w:rFonts w:hint="eastAsia"/>
        </w:rPr>
        <w:t>“……对条约进行解释”</w:t>
      </w:r>
      <w:r w:rsidRPr="00FC031D">
        <w:t>(</w:t>
      </w:r>
      <w:r w:rsidRPr="00FC031D">
        <w:rPr>
          <w:rFonts w:hint="eastAsia"/>
        </w:rPr>
        <w:t>见上文脚注</w:t>
      </w:r>
      <w:r>
        <w:fldChar w:fldCharType="begin"/>
      </w:r>
      <w:r>
        <w:instrText xml:space="preserve"> NOTEREF _Ref461972846 \h </w:instrText>
      </w:r>
      <w:r>
        <w:fldChar w:fldCharType="separate"/>
      </w:r>
      <w:r w:rsidR="00A73EB9">
        <w:t>393</w:t>
      </w:r>
      <w:r>
        <w:fldChar w:fldCharType="end"/>
      </w:r>
      <w:r w:rsidRPr="00FC031D">
        <w:rPr>
          <w:rFonts w:hint="eastAsia"/>
        </w:rPr>
        <w:t>)</w:t>
      </w:r>
      <w:r w:rsidRPr="00FC031D">
        <w:rPr>
          <w:rFonts w:hint="eastAsia"/>
        </w:rPr>
        <w:t>，第</w:t>
      </w:r>
      <w:r w:rsidRPr="00FC031D">
        <w:t>47</w:t>
      </w:r>
      <w:r w:rsidRPr="00FC031D">
        <w:rPr>
          <w:rFonts w:hint="eastAsia"/>
        </w:rPr>
        <w:t>页；</w:t>
      </w:r>
      <w:r w:rsidRPr="00FC031D">
        <w:t xml:space="preserve">Sinclair, </w:t>
      </w:r>
      <w:r w:rsidRPr="00FC031D">
        <w:rPr>
          <w:rFonts w:hint="eastAsia"/>
        </w:rPr>
        <w:t>《维也纳……公约》</w:t>
      </w:r>
      <w:r w:rsidRPr="00FC031D">
        <w:t>(</w:t>
      </w:r>
      <w:r w:rsidRPr="00FC031D">
        <w:rPr>
          <w:rFonts w:hint="eastAsia"/>
        </w:rPr>
        <w:t>见上文脚注</w:t>
      </w:r>
      <w:r>
        <w:fldChar w:fldCharType="begin"/>
      </w:r>
      <w:r>
        <w:instrText xml:space="preserve"> NOTEREF _Ref461972846 \h </w:instrText>
      </w:r>
      <w:r>
        <w:fldChar w:fldCharType="separate"/>
      </w:r>
      <w:r w:rsidR="00A73EB9">
        <w:t>393</w:t>
      </w:r>
      <w:r>
        <w:fldChar w:fldCharType="end"/>
      </w:r>
      <w:r w:rsidRPr="00FC031D">
        <w:rPr>
          <w:rFonts w:hint="eastAsia"/>
        </w:rPr>
        <w:t>)</w:t>
      </w:r>
      <w:r w:rsidRPr="00FC031D">
        <w:t>，</w:t>
      </w:r>
      <w:r w:rsidRPr="00FC031D">
        <w:rPr>
          <w:rFonts w:hint="eastAsia"/>
        </w:rPr>
        <w:t>第</w:t>
      </w:r>
      <w:r w:rsidRPr="00FC031D">
        <w:t>137</w:t>
      </w:r>
      <w:r w:rsidRPr="00FC031D">
        <w:rPr>
          <w:rFonts w:hint="eastAsia"/>
        </w:rPr>
        <w:t>页；参阅</w:t>
      </w:r>
      <w:r w:rsidRPr="00FC031D">
        <w:t>诺尔特</w:t>
      </w:r>
      <w:r w:rsidRPr="00FC031D">
        <w:t>,</w:t>
      </w:r>
      <w:r w:rsidRPr="00FC031D">
        <w:rPr>
          <w:rFonts w:hint="eastAsia"/>
        </w:rPr>
        <w:t>“……国</w:t>
      </w:r>
      <w:r w:rsidRPr="00FC031D">
        <w:t>家</w:t>
      </w:r>
      <w:r w:rsidRPr="00FC031D">
        <w:rPr>
          <w:rFonts w:hint="eastAsia"/>
        </w:rPr>
        <w:t>嗣后</w:t>
      </w:r>
      <w:r w:rsidRPr="00FC031D">
        <w:t>协定</w:t>
      </w:r>
      <w:r w:rsidRPr="00FC031D">
        <w:rPr>
          <w:rFonts w:hint="eastAsia"/>
        </w:rPr>
        <w:t>和嗣后惯例”</w:t>
      </w:r>
      <w:r w:rsidRPr="00FC031D">
        <w:t>(</w:t>
      </w:r>
      <w:r w:rsidRPr="00FC031D">
        <w:rPr>
          <w:rFonts w:hint="eastAsia"/>
        </w:rPr>
        <w:t>见上文脚注</w:t>
      </w:r>
      <w:r>
        <w:rPr>
          <w:lang w:val="fr-FR"/>
        </w:rPr>
        <w:fldChar w:fldCharType="begin"/>
      </w:r>
      <w:r>
        <w:rPr>
          <w:lang w:val="fr-FR"/>
        </w:rPr>
        <w:instrText xml:space="preserve"> NOTEREF _Ref461973900 \h </w:instrText>
      </w:r>
      <w:r>
        <w:rPr>
          <w:lang w:val="fr-FR"/>
        </w:rPr>
      </w:r>
      <w:r>
        <w:rPr>
          <w:lang w:val="fr-FR"/>
        </w:rPr>
        <w:fldChar w:fldCharType="separate"/>
      </w:r>
      <w:r w:rsidR="00A73EB9">
        <w:rPr>
          <w:lang w:val="fr-FR"/>
        </w:rPr>
        <w:t>440</w:t>
      </w:r>
      <w:r>
        <w:rPr>
          <w:lang w:val="fr-FR"/>
        </w:rPr>
        <w:fldChar w:fldCharType="end"/>
      </w:r>
      <w:r w:rsidRPr="00FC031D">
        <w:t>)</w:t>
      </w:r>
      <w:r w:rsidRPr="00FC031D">
        <w:rPr>
          <w:rFonts w:hint="eastAsia"/>
        </w:rPr>
        <w:t>，第</w:t>
      </w:r>
      <w:r w:rsidRPr="00FC031D">
        <w:t>310</w:t>
      </w:r>
      <w:r w:rsidRPr="00FC031D">
        <w:rPr>
          <w:rFonts w:hint="eastAsia"/>
        </w:rPr>
        <w:t>页。</w:t>
      </w:r>
    </w:p>
  </w:footnote>
  <w:footnote w:id="781">
    <w:p w:rsidR="00AB00DE" w:rsidRPr="00FC031D" w:rsidRDefault="00AB00DE" w:rsidP="00DF5565">
      <w:pPr>
        <w:pStyle w:val="a4"/>
      </w:pPr>
      <w:r w:rsidRPr="00DF5565">
        <w:rPr>
          <w:rStyle w:val="a5"/>
        </w:rPr>
        <w:tab/>
      </w:r>
      <w:r w:rsidRPr="00DF5565">
        <w:rPr>
          <w:rStyle w:val="a5"/>
        </w:rPr>
        <w:footnoteRef/>
      </w:r>
      <w:r w:rsidRPr="00DF5565">
        <w:rPr>
          <w:rStyle w:val="a5"/>
        </w:rPr>
        <w:tab/>
      </w:r>
      <w:r w:rsidRPr="00FC031D">
        <w:rPr>
          <w:rFonts w:hint="eastAsia"/>
        </w:rPr>
        <w:t>世贸组织上诉机构报告，</w:t>
      </w:r>
      <w:r w:rsidRPr="00FC031D">
        <w:rPr>
          <w:rFonts w:eastAsia="楷体"/>
        </w:rPr>
        <w:t>欧共体</w:t>
      </w:r>
      <w:r w:rsidRPr="00FC031D">
        <w:rPr>
          <w:rFonts w:eastAsia="楷体" w:hint="eastAsia"/>
        </w:rPr>
        <w:t>－</w:t>
      </w:r>
      <w:r w:rsidRPr="00FC031D">
        <w:rPr>
          <w:rFonts w:eastAsia="楷体"/>
        </w:rPr>
        <w:t>鸡块案</w:t>
      </w:r>
      <w:r w:rsidRPr="00FC031D">
        <w:rPr>
          <w:rFonts w:hint="eastAsia"/>
        </w:rPr>
        <w:t>，</w:t>
      </w:r>
      <w:r w:rsidRPr="00FC031D">
        <w:t>WT/DS269/AB/R</w:t>
      </w:r>
      <w:r w:rsidRPr="00FC031D">
        <w:t>和</w:t>
      </w:r>
      <w:r w:rsidRPr="00FC031D">
        <w:rPr>
          <w:rFonts w:hint="eastAsia"/>
        </w:rPr>
        <w:t>Corr</w:t>
      </w:r>
      <w:r w:rsidRPr="00FC031D">
        <w:t xml:space="preserve">.1, </w:t>
      </w:r>
      <w:r w:rsidRPr="00FC031D">
        <w:t>以及</w:t>
      </w:r>
      <w:r w:rsidRPr="00FC031D">
        <w:t>WT/DS286/AB/R</w:t>
      </w:r>
      <w:r w:rsidRPr="00FC031D">
        <w:t>和</w:t>
      </w:r>
      <w:r w:rsidRPr="00FC031D">
        <w:rPr>
          <w:rFonts w:hint="eastAsia"/>
        </w:rPr>
        <w:t>Corr</w:t>
      </w:r>
      <w:r w:rsidRPr="00FC031D">
        <w:t>.1, 2005</w:t>
      </w:r>
      <w:r w:rsidRPr="00FC031D">
        <w:rPr>
          <w:rFonts w:hint="eastAsia"/>
        </w:rPr>
        <w:t>年</w:t>
      </w:r>
      <w:r w:rsidRPr="00FC031D">
        <w:t>9</w:t>
      </w:r>
      <w:r w:rsidRPr="00FC031D">
        <w:rPr>
          <w:rFonts w:hint="eastAsia"/>
        </w:rPr>
        <w:t>月</w:t>
      </w:r>
      <w:r w:rsidRPr="00FC031D">
        <w:t>27</w:t>
      </w:r>
      <w:r w:rsidRPr="00FC031D">
        <w:rPr>
          <w:rFonts w:hint="eastAsia"/>
        </w:rPr>
        <w:t>日</w:t>
      </w:r>
      <w:r w:rsidRPr="00FC031D">
        <w:t>通过</w:t>
      </w:r>
      <w:r w:rsidRPr="00FC031D">
        <w:rPr>
          <w:rFonts w:hint="eastAsia"/>
        </w:rPr>
        <w:t>，第</w:t>
      </w:r>
      <w:r w:rsidRPr="00FC031D">
        <w:t>297</w:t>
      </w:r>
      <w:r w:rsidRPr="00FC031D">
        <w:rPr>
          <w:rFonts w:hint="eastAsia"/>
        </w:rPr>
        <w:t>段。</w:t>
      </w:r>
    </w:p>
  </w:footnote>
  <w:footnote w:id="782">
    <w:p w:rsidR="00AB00DE" w:rsidRPr="00FC031D" w:rsidRDefault="00AB00DE" w:rsidP="00DF5565">
      <w:pPr>
        <w:pStyle w:val="a4"/>
      </w:pPr>
      <w:r w:rsidRPr="00FC031D">
        <w:tab/>
      </w:r>
      <w:r w:rsidRPr="00DF5565">
        <w:rPr>
          <w:rStyle w:val="a5"/>
        </w:rPr>
        <w:footnoteRef/>
      </w:r>
      <w:r w:rsidRPr="00FC031D">
        <w:tab/>
      </w:r>
      <w:r w:rsidRPr="00FC031D">
        <w:rPr>
          <w:rFonts w:hint="eastAsia"/>
        </w:rPr>
        <w:t>世贸组织上诉机构报告，</w:t>
      </w:r>
      <w:r w:rsidRPr="00FC031D">
        <w:rPr>
          <w:rFonts w:eastAsia="楷体"/>
        </w:rPr>
        <w:t>欧共体</w:t>
      </w:r>
      <w:r w:rsidRPr="00FC031D">
        <w:rPr>
          <w:rFonts w:eastAsia="楷体" w:hint="eastAsia"/>
        </w:rPr>
        <w:t>－</w:t>
      </w:r>
      <w:r w:rsidRPr="00FC031D">
        <w:rPr>
          <w:rFonts w:eastAsia="楷体"/>
        </w:rPr>
        <w:t>电脑设备案，</w:t>
      </w:r>
      <w:r w:rsidRPr="00FC031D">
        <w:t>WT/DS62/AB/R</w:t>
      </w:r>
      <w:r w:rsidRPr="00FC031D">
        <w:t>、</w:t>
      </w:r>
      <w:r w:rsidRPr="00FC031D">
        <w:t>WT/DS67/AB/R</w:t>
      </w:r>
      <w:r w:rsidRPr="00FC031D">
        <w:t>和</w:t>
      </w:r>
      <w:r w:rsidRPr="00FC031D">
        <w:t>WT/DS68/AB/R, 1998</w:t>
      </w:r>
      <w:r w:rsidRPr="00FC031D">
        <w:rPr>
          <w:rFonts w:hint="eastAsia"/>
        </w:rPr>
        <w:t>年</w:t>
      </w:r>
      <w:r w:rsidRPr="00FC031D">
        <w:t>6</w:t>
      </w:r>
      <w:r w:rsidRPr="00FC031D">
        <w:rPr>
          <w:rFonts w:hint="eastAsia"/>
        </w:rPr>
        <w:t>月</w:t>
      </w:r>
      <w:r w:rsidRPr="00FC031D">
        <w:t>22</w:t>
      </w:r>
      <w:r w:rsidRPr="00FC031D">
        <w:rPr>
          <w:rFonts w:hint="eastAsia"/>
        </w:rPr>
        <w:t>日，第</w:t>
      </w:r>
      <w:r w:rsidRPr="00FC031D">
        <w:t>92</w:t>
      </w:r>
      <w:r w:rsidRPr="00FC031D">
        <w:rPr>
          <w:rFonts w:hint="eastAsia"/>
        </w:rPr>
        <w:t>段</w:t>
      </w:r>
      <w:r w:rsidRPr="00FC031D">
        <w:t>(</w:t>
      </w:r>
      <w:r w:rsidRPr="00FC031D">
        <w:t>脚注略，强调系原文所有</w:t>
      </w:r>
      <w:r w:rsidRPr="00FC031D">
        <w:t>)</w:t>
      </w:r>
      <w:r w:rsidRPr="00FC031D">
        <w:rPr>
          <w:rFonts w:hint="eastAsia"/>
        </w:rPr>
        <w:t>。</w:t>
      </w:r>
    </w:p>
  </w:footnote>
  <w:footnote w:id="783">
    <w:p w:rsidR="00AB00DE" w:rsidRPr="00FC031D" w:rsidRDefault="00AB00DE" w:rsidP="00560424">
      <w:pPr>
        <w:pStyle w:val="a4"/>
      </w:pPr>
      <w:r w:rsidRPr="00DF5565">
        <w:rPr>
          <w:rStyle w:val="a5"/>
        </w:rPr>
        <w:tab/>
      </w:r>
      <w:r w:rsidRPr="00DF5565">
        <w:rPr>
          <w:rStyle w:val="a5"/>
        </w:rPr>
        <w:footnoteRef/>
      </w:r>
      <w:r w:rsidRPr="00DF5565">
        <w:rPr>
          <w:rStyle w:val="a5"/>
        </w:rPr>
        <w:tab/>
      </w:r>
      <w:r w:rsidRPr="00FC031D">
        <w:rPr>
          <w:rFonts w:eastAsia="楷体"/>
        </w:rPr>
        <w:t>欧共体</w:t>
      </w:r>
      <w:r w:rsidRPr="00FC031D">
        <w:rPr>
          <w:rFonts w:eastAsia="楷体" w:hint="eastAsia"/>
        </w:rPr>
        <w:t>－</w:t>
      </w:r>
      <w:r w:rsidRPr="00FC031D">
        <w:rPr>
          <w:rFonts w:eastAsia="楷体"/>
        </w:rPr>
        <w:t>鸡块案</w:t>
      </w:r>
      <w:r w:rsidRPr="00FC031D">
        <w:t>(</w:t>
      </w:r>
      <w:r w:rsidRPr="00FC031D">
        <w:t>见上文脚注</w:t>
      </w:r>
      <w:r>
        <w:fldChar w:fldCharType="begin"/>
      </w:r>
      <w:r>
        <w:instrText xml:space="preserve"> NOTEREF _Ref461976709 \h </w:instrText>
      </w:r>
      <w:r>
        <w:fldChar w:fldCharType="separate"/>
      </w:r>
      <w:r w:rsidR="00A73EB9">
        <w:t>780</w:t>
      </w:r>
      <w:r>
        <w:fldChar w:fldCharType="end"/>
      </w:r>
      <w:r w:rsidRPr="00FC031D">
        <w:t>)</w:t>
      </w:r>
      <w:r w:rsidRPr="00FC031D">
        <w:rPr>
          <w:rFonts w:eastAsia="楷体"/>
        </w:rPr>
        <w:t>，</w:t>
      </w:r>
      <w:r w:rsidRPr="00FC031D">
        <w:rPr>
          <w:rFonts w:hint="eastAsia"/>
        </w:rPr>
        <w:t>第</w:t>
      </w:r>
      <w:r w:rsidRPr="00FC031D">
        <w:t>290</w:t>
      </w:r>
      <w:r w:rsidRPr="00FC031D">
        <w:rPr>
          <w:rFonts w:hint="eastAsia"/>
        </w:rPr>
        <w:t>段</w:t>
      </w:r>
      <w:r w:rsidRPr="00FC031D">
        <w:t>(</w:t>
      </w:r>
      <w:r w:rsidRPr="00FC031D">
        <w:t>脚注略</w:t>
      </w:r>
      <w:r w:rsidRPr="00FC031D">
        <w:t>)</w:t>
      </w:r>
      <w:r w:rsidRPr="00FC031D">
        <w:rPr>
          <w:rFonts w:hint="eastAsia"/>
        </w:rPr>
        <w:t>。</w:t>
      </w:r>
    </w:p>
  </w:footnote>
  <w:footnote w:id="784">
    <w:p w:rsidR="00AB00DE" w:rsidRPr="00FC031D" w:rsidRDefault="00AB00DE" w:rsidP="00267AB1">
      <w:pPr>
        <w:pStyle w:val="a4"/>
      </w:pPr>
      <w:r w:rsidRPr="00FC031D">
        <w:tab/>
      </w:r>
      <w:r w:rsidRPr="00DF5565">
        <w:rPr>
          <w:rStyle w:val="a5"/>
        </w:rPr>
        <w:footnoteRef/>
      </w:r>
      <w:r w:rsidRPr="00FC031D">
        <w:tab/>
      </w:r>
      <w:r w:rsidRPr="00FC031D">
        <w:rPr>
          <w:rFonts w:hint="eastAsia"/>
        </w:rPr>
        <w:t>同上，第</w:t>
      </w:r>
      <w:r w:rsidRPr="00FC031D">
        <w:t>307</w:t>
      </w:r>
      <w:r w:rsidRPr="00FC031D">
        <w:rPr>
          <w:rFonts w:hint="eastAsia"/>
        </w:rPr>
        <w:t>段</w:t>
      </w:r>
      <w:r w:rsidRPr="00FC031D">
        <w:t>(</w:t>
      </w:r>
      <w:r w:rsidRPr="00FC031D">
        <w:rPr>
          <w:rFonts w:hint="eastAsia"/>
        </w:rPr>
        <w:t>脚注略，强调系原文所有</w:t>
      </w:r>
      <w:r w:rsidRPr="00FC031D">
        <w:t>)</w:t>
      </w:r>
      <w:r w:rsidRPr="00FC031D">
        <w:rPr>
          <w:rFonts w:hint="eastAsia"/>
        </w:rPr>
        <w:t>；同时参阅</w:t>
      </w:r>
      <w:r w:rsidRPr="00FC031D">
        <w:rPr>
          <w:rFonts w:eastAsia="楷体"/>
        </w:rPr>
        <w:t>欧洲共同体</w:t>
      </w:r>
      <w:r w:rsidRPr="00FC031D">
        <w:rPr>
          <w:rFonts w:eastAsia="楷体" w:hint="eastAsia"/>
        </w:rPr>
        <w:t>－</w:t>
      </w:r>
      <w:r w:rsidRPr="00FC031D">
        <w:rPr>
          <w:rFonts w:eastAsia="楷体"/>
        </w:rPr>
        <w:t>电脑设备案</w:t>
      </w:r>
      <w:r w:rsidRPr="00FC031D">
        <w:t>(</w:t>
      </w:r>
      <w:r w:rsidRPr="00FC031D">
        <w:rPr>
          <w:rFonts w:hint="eastAsia"/>
        </w:rPr>
        <w:t>见上文脚注</w:t>
      </w:r>
      <w:r>
        <w:fldChar w:fldCharType="begin"/>
      </w:r>
      <w:r>
        <w:instrText xml:space="preserve"> NOTEREF _Ref461974413 \h </w:instrText>
      </w:r>
      <w:r>
        <w:fldChar w:fldCharType="separate"/>
      </w:r>
      <w:r w:rsidR="00A73EB9">
        <w:t>781</w:t>
      </w:r>
      <w:r>
        <w:fldChar w:fldCharType="end"/>
      </w:r>
      <w:r w:rsidRPr="00FC031D">
        <w:t>)</w:t>
      </w:r>
      <w:r w:rsidRPr="00FC031D">
        <w:rPr>
          <w:rFonts w:hint="eastAsia"/>
        </w:rPr>
        <w:t>，第</w:t>
      </w:r>
      <w:r w:rsidRPr="00FC031D">
        <w:t>95</w:t>
      </w:r>
      <w:r w:rsidRPr="00FC031D">
        <w:rPr>
          <w:rFonts w:hint="eastAsia"/>
        </w:rPr>
        <w:t>段。</w:t>
      </w:r>
    </w:p>
  </w:footnote>
  <w:footnote w:id="785">
    <w:p w:rsidR="00AB00DE" w:rsidRPr="00FC031D" w:rsidRDefault="00AB00DE" w:rsidP="008B4BDB">
      <w:pPr>
        <w:pStyle w:val="a4"/>
      </w:pPr>
      <w:r w:rsidRPr="00FC031D">
        <w:tab/>
      </w:r>
      <w:r w:rsidRPr="00DF5565">
        <w:rPr>
          <w:color w:val="0000FF"/>
          <w:sz w:val="21"/>
          <w:vertAlign w:val="superscript"/>
        </w:rPr>
        <w:footnoteRef/>
      </w:r>
      <w:r w:rsidRPr="00DF5565">
        <w:rPr>
          <w:color w:val="0000FF"/>
          <w:sz w:val="21"/>
          <w:vertAlign w:val="superscript"/>
        </w:rPr>
        <w:tab/>
      </w:r>
      <w:r w:rsidRPr="00FC031D">
        <w:rPr>
          <w:rFonts w:eastAsia="楷体"/>
        </w:rPr>
        <w:t>欧共体</w:t>
      </w:r>
      <w:r w:rsidRPr="00FC031D">
        <w:rPr>
          <w:rFonts w:eastAsia="楷体" w:hint="eastAsia"/>
        </w:rPr>
        <w:t>－</w:t>
      </w:r>
      <w:r w:rsidRPr="00FC031D">
        <w:rPr>
          <w:rFonts w:eastAsia="楷体"/>
        </w:rPr>
        <w:t>电脑设备案</w:t>
      </w:r>
      <w:r w:rsidRPr="00FC031D">
        <w:t>(</w:t>
      </w:r>
      <w:r w:rsidRPr="00FC031D">
        <w:rPr>
          <w:rFonts w:hint="eastAsia"/>
        </w:rPr>
        <w:t>见上文脚注</w:t>
      </w:r>
      <w:r>
        <w:fldChar w:fldCharType="begin"/>
      </w:r>
      <w:r>
        <w:instrText xml:space="preserve"> NOTEREF _Ref461974413 \h </w:instrText>
      </w:r>
      <w:r>
        <w:fldChar w:fldCharType="separate"/>
      </w:r>
      <w:r w:rsidR="00A73EB9">
        <w:t>781</w:t>
      </w:r>
      <w:r>
        <w:fldChar w:fldCharType="end"/>
      </w:r>
      <w:r w:rsidRPr="00FC031D">
        <w:t>)</w:t>
      </w:r>
      <w:r w:rsidRPr="00FC031D">
        <w:rPr>
          <w:rFonts w:hint="eastAsia"/>
        </w:rPr>
        <w:t>，第</w:t>
      </w:r>
      <w:r w:rsidRPr="00FC031D">
        <w:t>93</w:t>
      </w:r>
      <w:r w:rsidRPr="00FC031D">
        <w:rPr>
          <w:rFonts w:hint="eastAsia"/>
        </w:rPr>
        <w:t>段</w:t>
      </w:r>
      <w:r w:rsidRPr="00FC031D">
        <w:t>(</w:t>
      </w:r>
      <w:r w:rsidRPr="00FC031D">
        <w:t>强调系原文所加</w:t>
      </w:r>
      <w:r w:rsidRPr="00FC031D">
        <w:t>)</w:t>
      </w:r>
      <w:r w:rsidRPr="00FC031D">
        <w:rPr>
          <w:rFonts w:hint="eastAsia"/>
        </w:rPr>
        <w:t>。</w:t>
      </w:r>
    </w:p>
  </w:footnote>
  <w:footnote w:id="786">
    <w:p w:rsidR="00AB00DE" w:rsidRPr="00FC031D" w:rsidRDefault="00AB00DE" w:rsidP="00DF5565">
      <w:pPr>
        <w:pStyle w:val="a4"/>
        <w:rPr>
          <w:lang w:val="de-DE"/>
        </w:rPr>
      </w:pPr>
      <w:r w:rsidRPr="00DF5565">
        <w:rPr>
          <w:color w:val="0000FF"/>
          <w:sz w:val="21"/>
          <w:vertAlign w:val="superscript"/>
          <w:lang w:val="de-DE"/>
        </w:rPr>
        <w:tab/>
      </w:r>
      <w:r w:rsidRPr="00DF5565">
        <w:rPr>
          <w:color w:val="0000FF"/>
          <w:sz w:val="21"/>
          <w:vertAlign w:val="superscript"/>
          <w:lang w:val="de-DE"/>
        </w:rPr>
        <w:footnoteRef/>
      </w:r>
      <w:r w:rsidRPr="00DF5565">
        <w:rPr>
          <w:color w:val="0000FF"/>
          <w:sz w:val="21"/>
          <w:vertAlign w:val="superscript"/>
          <w:lang w:val="de-DE"/>
        </w:rPr>
        <w:tab/>
      </w:r>
      <w:r w:rsidRPr="00FC031D">
        <w:t>见上文结论草案</w:t>
      </w:r>
      <w:r w:rsidRPr="00FC031D">
        <w:rPr>
          <w:lang w:val="de-DE"/>
        </w:rPr>
        <w:t>4</w:t>
      </w:r>
      <w:r w:rsidRPr="00FC031D">
        <w:t>的评注第</w:t>
      </w:r>
      <w:r w:rsidRPr="00FC031D">
        <w:t>(</w:t>
      </w:r>
      <w:r w:rsidRPr="00FC031D">
        <w:rPr>
          <w:lang w:val="de-DE"/>
        </w:rPr>
        <w:t>10)</w:t>
      </w:r>
      <w:r w:rsidRPr="00FC031D">
        <w:t>段。</w:t>
      </w:r>
    </w:p>
  </w:footnote>
  <w:footnote w:id="787">
    <w:p w:rsidR="00AB00DE" w:rsidRPr="00FC031D" w:rsidRDefault="00AB00DE" w:rsidP="00DF5565">
      <w:pPr>
        <w:pStyle w:val="a4"/>
      </w:pPr>
      <w:r w:rsidRPr="00FC031D">
        <w:rPr>
          <w:lang w:val="de-DE"/>
        </w:rPr>
        <w:tab/>
      </w:r>
      <w:r w:rsidRPr="00DF5565">
        <w:rPr>
          <w:color w:val="0000FF"/>
          <w:sz w:val="21"/>
          <w:vertAlign w:val="superscript"/>
        </w:rPr>
        <w:footnoteRef/>
      </w:r>
      <w:r w:rsidRPr="00DF5565">
        <w:rPr>
          <w:color w:val="0000FF"/>
          <w:sz w:val="21"/>
          <w:vertAlign w:val="superscript"/>
        </w:rPr>
        <w:tab/>
      </w:r>
      <w:r w:rsidRPr="00FC031D">
        <w:t>见上文结论草案</w:t>
      </w:r>
      <w:r w:rsidRPr="00FC031D">
        <w:t>3[2]</w:t>
      </w:r>
      <w:r w:rsidRPr="00FC031D">
        <w:t>和结论草案</w:t>
      </w:r>
      <w:r w:rsidRPr="00FC031D">
        <w:t>4</w:t>
      </w:r>
      <w:r w:rsidRPr="00FC031D">
        <w:t>第</w:t>
      </w:r>
      <w:r w:rsidRPr="00FC031D">
        <w:t>3</w:t>
      </w:r>
      <w:r w:rsidRPr="00FC031D">
        <w:t>段。</w:t>
      </w:r>
    </w:p>
  </w:footnote>
  <w:footnote w:id="788">
    <w:p w:rsidR="00AB00DE" w:rsidRPr="00FC031D" w:rsidRDefault="00AB00DE" w:rsidP="00267AB1">
      <w:pPr>
        <w:pStyle w:val="a4"/>
      </w:pPr>
      <w:r w:rsidRPr="00FC031D">
        <w:tab/>
      </w:r>
      <w:r w:rsidRPr="00DF5565">
        <w:rPr>
          <w:color w:val="0000FF"/>
          <w:sz w:val="21"/>
          <w:vertAlign w:val="superscript"/>
        </w:rPr>
        <w:footnoteRef/>
      </w:r>
      <w:r w:rsidRPr="00DF5565">
        <w:rPr>
          <w:color w:val="0000FF"/>
          <w:sz w:val="21"/>
          <w:vertAlign w:val="superscript"/>
        </w:rPr>
        <w:tab/>
      </w:r>
      <w:r w:rsidRPr="00FC031D">
        <w:t>见</w:t>
      </w:r>
      <w:r w:rsidRPr="00FC031D">
        <w:rPr>
          <w:w w:val="104"/>
        </w:rPr>
        <w:t>Crawford,</w:t>
      </w:r>
      <w:r w:rsidRPr="00FC031D">
        <w:rPr>
          <w:rFonts w:hint="eastAsia"/>
          <w:w w:val="104"/>
        </w:rPr>
        <w:t>“</w:t>
      </w:r>
      <w:r w:rsidRPr="00FC031D">
        <w:t>对</w:t>
      </w:r>
      <w:r w:rsidRPr="00FC031D">
        <w:rPr>
          <w:rFonts w:hint="eastAsia"/>
        </w:rPr>
        <w:t>……</w:t>
      </w:r>
      <w:r w:rsidRPr="00FC031D">
        <w:t>第三十一条第三款的合意主义解释</w:t>
      </w:r>
      <w:r w:rsidRPr="00FC031D">
        <w:rPr>
          <w:rFonts w:hint="eastAsia"/>
        </w:rPr>
        <w:t>”</w:t>
      </w:r>
      <w:r w:rsidRPr="00FC031D">
        <w:t>(</w:t>
      </w:r>
      <w:r w:rsidRPr="00FC031D">
        <w:t>上文脚注</w:t>
      </w:r>
      <w:r>
        <w:rPr>
          <w:rFonts w:asciiTheme="majorBidi" w:hAnsiTheme="majorBidi" w:cstheme="majorBidi"/>
        </w:rPr>
        <w:fldChar w:fldCharType="begin"/>
      </w:r>
      <w:r>
        <w:rPr>
          <w:rFonts w:asciiTheme="majorBidi" w:hAnsiTheme="majorBidi" w:cstheme="majorBidi"/>
        </w:rPr>
        <w:instrText xml:space="preserve"> NOTEREF _Ref461973791 \h </w:instrText>
      </w:r>
      <w:r>
        <w:rPr>
          <w:rFonts w:asciiTheme="majorBidi" w:hAnsiTheme="majorBidi" w:cstheme="majorBidi"/>
        </w:rPr>
      </w:r>
      <w:r>
        <w:rPr>
          <w:rFonts w:asciiTheme="majorBidi" w:hAnsiTheme="majorBidi" w:cstheme="majorBidi"/>
        </w:rPr>
        <w:fldChar w:fldCharType="separate"/>
      </w:r>
      <w:r w:rsidR="00A73EB9">
        <w:rPr>
          <w:rFonts w:asciiTheme="majorBidi" w:hAnsiTheme="majorBidi" w:cstheme="majorBidi"/>
        </w:rPr>
        <w:t>606</w:t>
      </w:r>
      <w:r>
        <w:rPr>
          <w:rFonts w:asciiTheme="majorBidi" w:hAnsiTheme="majorBidi" w:cstheme="majorBidi"/>
        </w:rPr>
        <w:fldChar w:fldCharType="end"/>
      </w:r>
      <w:r w:rsidRPr="00FC031D">
        <w:t>)</w:t>
      </w:r>
      <w:r w:rsidRPr="00FC031D">
        <w:t>，</w:t>
      </w:r>
      <w:r w:rsidRPr="00FC031D">
        <w:rPr>
          <w:w w:val="104"/>
        </w:rPr>
        <w:t>第</w:t>
      </w:r>
      <w:r w:rsidRPr="00FC031D">
        <w:rPr>
          <w:w w:val="104"/>
        </w:rPr>
        <w:t>30</w:t>
      </w:r>
      <w:r w:rsidRPr="00FC031D">
        <w:t>页</w:t>
      </w:r>
      <w:r w:rsidRPr="00FC031D">
        <w:rPr>
          <w:w w:val="104"/>
        </w:rPr>
        <w:t>：</w:t>
      </w:r>
      <w:r w:rsidRPr="00FC031D">
        <w:rPr>
          <w:rFonts w:hint="eastAsia"/>
          <w:w w:val="104"/>
        </w:rPr>
        <w:t>“</w:t>
      </w:r>
      <w:r w:rsidRPr="00FC031D">
        <w:t>没有理由认为</w:t>
      </w:r>
      <w:r w:rsidRPr="00FC031D">
        <w:t>(b)</w:t>
      </w:r>
      <w:r w:rsidRPr="00FC031D">
        <w:t>项中的</w:t>
      </w:r>
      <w:r w:rsidRPr="00FC031D">
        <w:t>‘</w:t>
      </w:r>
      <w:r w:rsidRPr="00FC031D">
        <w:t>协定</w:t>
      </w:r>
      <w:r w:rsidRPr="00FC031D">
        <w:t>’</w:t>
      </w:r>
      <w:r w:rsidRPr="00FC031D">
        <w:t>一词与</w:t>
      </w:r>
      <w:r w:rsidRPr="00FC031D">
        <w:t>(a)</w:t>
      </w:r>
      <w:r w:rsidRPr="00FC031D">
        <w:t>项中的协定一词的含义有任何的不同。</w:t>
      </w:r>
      <w:r w:rsidRPr="00FC031D">
        <w:rPr>
          <w:rFonts w:hint="eastAsia"/>
        </w:rPr>
        <w:t>”</w:t>
      </w:r>
    </w:p>
  </w:footnote>
  <w:footnote w:id="789">
    <w:p w:rsidR="00AB00DE" w:rsidRPr="00FC031D" w:rsidRDefault="00AB00DE" w:rsidP="00DF5565">
      <w:pPr>
        <w:pStyle w:val="a4"/>
      </w:pPr>
      <w:r w:rsidRPr="00FC031D">
        <w:tab/>
      </w:r>
      <w:r w:rsidRPr="00DF5565">
        <w:rPr>
          <w:color w:val="0000FF"/>
          <w:sz w:val="21"/>
          <w:vertAlign w:val="superscript"/>
        </w:rPr>
        <w:footnoteRef/>
      </w:r>
      <w:r w:rsidRPr="00DF5565">
        <w:rPr>
          <w:color w:val="0000FF"/>
          <w:sz w:val="21"/>
          <w:vertAlign w:val="superscript"/>
        </w:rPr>
        <w:tab/>
      </w:r>
      <w:r w:rsidRPr="00FC031D">
        <w:t>见上文结论</w:t>
      </w:r>
      <w:r w:rsidRPr="00FC031D">
        <w:rPr>
          <w:rFonts w:hint="eastAsia"/>
        </w:rPr>
        <w:t>2[1]</w:t>
      </w:r>
      <w:r w:rsidRPr="00FC031D">
        <w:t>草案的评注，第</w:t>
      </w:r>
      <w:r w:rsidRPr="00FC031D">
        <w:t>(</w:t>
      </w:r>
      <w:r w:rsidRPr="00FC031D">
        <w:rPr>
          <w:w w:val="104"/>
        </w:rPr>
        <w:t>12)-(15)</w:t>
      </w:r>
      <w:r w:rsidRPr="00FC031D">
        <w:t>段</w:t>
      </w:r>
      <w:r w:rsidRPr="00FC031D">
        <w:rPr>
          <w:w w:val="104"/>
        </w:rPr>
        <w:t>；</w:t>
      </w:r>
      <w:r w:rsidRPr="00FC031D">
        <w:t>对第三十一条必须作</w:t>
      </w:r>
      <w:r w:rsidRPr="00FC031D">
        <w:rPr>
          <w:rFonts w:hint="eastAsia"/>
        </w:rPr>
        <w:t>“</w:t>
      </w:r>
      <w:r w:rsidRPr="00FC031D">
        <w:t>整体理解</w:t>
      </w:r>
      <w:r w:rsidRPr="00FC031D">
        <w:rPr>
          <w:rFonts w:hint="eastAsia"/>
        </w:rPr>
        <w:t>”</w:t>
      </w:r>
      <w:r w:rsidRPr="00FC031D">
        <w:t>，它将解释进程视为</w:t>
      </w:r>
      <w:r w:rsidRPr="00FC031D">
        <w:rPr>
          <w:rFonts w:hint="eastAsia"/>
        </w:rPr>
        <w:t>“</w:t>
      </w:r>
      <w:r w:rsidRPr="00FC031D">
        <w:t>一个综合的行动</w:t>
      </w:r>
      <w:r w:rsidRPr="00FC031D">
        <w:rPr>
          <w:rFonts w:hint="eastAsia"/>
        </w:rPr>
        <w:t>”</w:t>
      </w:r>
      <w:r w:rsidRPr="00FC031D">
        <w:t>，该条并</w:t>
      </w:r>
      <w:r w:rsidRPr="00FC031D">
        <w:rPr>
          <w:rFonts w:hint="eastAsia"/>
        </w:rPr>
        <w:t>“</w:t>
      </w:r>
      <w:r w:rsidRPr="00FC031D">
        <w:t>未确立一个解释条约的法律等级制度</w:t>
      </w:r>
      <w:r w:rsidRPr="00FC031D">
        <w:rPr>
          <w:rFonts w:hint="eastAsia"/>
        </w:rPr>
        <w:t>”</w:t>
      </w:r>
      <w:r w:rsidRPr="00FC031D">
        <w:t>，《</w:t>
      </w:r>
      <w:r w:rsidRPr="00FC031D">
        <w:rPr>
          <w:w w:val="104"/>
        </w:rPr>
        <w:t>1966</w:t>
      </w:r>
      <w:r w:rsidRPr="00FC031D">
        <w:t>年</w:t>
      </w:r>
      <w:r w:rsidRPr="00FC031D">
        <w:rPr>
          <w:rFonts w:hint="eastAsia"/>
        </w:rPr>
        <w:t>……</w:t>
      </w:r>
      <w:r w:rsidRPr="00FC031D">
        <w:t>年鉴》</w:t>
      </w:r>
      <w:r w:rsidRPr="00FC031D">
        <w:rPr>
          <w:w w:val="104"/>
        </w:rPr>
        <w:t>，</w:t>
      </w:r>
      <w:r w:rsidRPr="00FC031D">
        <w:t>第二卷</w:t>
      </w:r>
      <w:r w:rsidRPr="00FC031D">
        <w:rPr>
          <w:w w:val="104"/>
        </w:rPr>
        <w:t>，</w:t>
      </w:r>
      <w:r w:rsidRPr="00FC031D">
        <w:rPr>
          <w:lang w:val="es-ES_tradnl"/>
        </w:rPr>
        <w:t>A/6309/Rev.1</w:t>
      </w:r>
      <w:r w:rsidRPr="00FC031D">
        <w:rPr>
          <w:lang w:val="es-ES_tradnl"/>
        </w:rPr>
        <w:t>号文件，</w:t>
      </w:r>
      <w:r w:rsidRPr="00FC031D">
        <w:t>第</w:t>
      </w:r>
      <w:r w:rsidRPr="00FC031D">
        <w:rPr>
          <w:w w:val="104"/>
        </w:rPr>
        <w:t>219</w:t>
      </w:r>
      <w:r w:rsidRPr="00FC031D">
        <w:t>页第</w:t>
      </w:r>
      <w:r w:rsidRPr="00FC031D">
        <w:t>(8)</w:t>
      </w:r>
      <w:r w:rsidRPr="00FC031D">
        <w:t>段和第</w:t>
      </w:r>
      <w:r w:rsidRPr="00FC031D">
        <w:t>220</w:t>
      </w:r>
      <w:r w:rsidRPr="00FC031D">
        <w:t>页第</w:t>
      </w:r>
      <w:r w:rsidRPr="00FC031D">
        <w:t>(9)</w:t>
      </w:r>
      <w:r w:rsidRPr="00FC031D">
        <w:t>段。</w:t>
      </w:r>
    </w:p>
  </w:footnote>
  <w:footnote w:id="790">
    <w:p w:rsidR="00AB00DE" w:rsidRPr="00FC031D" w:rsidRDefault="00AB00DE" w:rsidP="00267AB1">
      <w:pPr>
        <w:pStyle w:val="a4"/>
      </w:pPr>
      <w:r w:rsidRPr="00FC031D">
        <w:tab/>
      </w:r>
      <w:r w:rsidRPr="00DF5565">
        <w:rPr>
          <w:color w:val="0000FF"/>
          <w:sz w:val="21"/>
          <w:vertAlign w:val="superscript"/>
        </w:rPr>
        <w:footnoteRef/>
      </w:r>
      <w:r w:rsidRPr="00DF5565">
        <w:rPr>
          <w:color w:val="0000FF"/>
          <w:sz w:val="21"/>
          <w:vertAlign w:val="superscript"/>
        </w:rPr>
        <w:tab/>
      </w:r>
      <w:r w:rsidRPr="007866F0">
        <w:rPr>
          <w:rFonts w:eastAsia="楷体"/>
        </w:rPr>
        <w:t>关于</w:t>
      </w:r>
      <w:r w:rsidRPr="007866F0">
        <w:rPr>
          <w:rFonts w:eastAsia="楷体"/>
        </w:rPr>
        <w:t>1961</w:t>
      </w:r>
      <w:r w:rsidRPr="007866F0">
        <w:rPr>
          <w:rFonts w:eastAsia="楷体"/>
        </w:rPr>
        <w:t>年和</w:t>
      </w:r>
      <w:r w:rsidRPr="007866F0">
        <w:rPr>
          <w:rFonts w:eastAsia="楷体"/>
        </w:rPr>
        <w:t>1969</w:t>
      </w:r>
      <w:r w:rsidRPr="007866F0">
        <w:rPr>
          <w:rFonts w:eastAsia="楷体"/>
        </w:rPr>
        <w:t>年德国马克升值是否构成适用</w:t>
      </w:r>
      <w:r w:rsidRPr="007866F0">
        <w:rPr>
          <w:rFonts w:eastAsia="楷体"/>
        </w:rPr>
        <w:t>1953</w:t>
      </w:r>
      <w:r w:rsidRPr="007866F0">
        <w:rPr>
          <w:rFonts w:eastAsia="楷体"/>
        </w:rPr>
        <w:t>年比利时、法国、瑞士、大不列颠及北爱尔兰联合王国和美利坚合众国与德意志联邦共和国关于德国外债的协定附件一</w:t>
      </w:r>
      <w:r w:rsidRPr="007866F0">
        <w:rPr>
          <w:rFonts w:eastAsia="楷体"/>
        </w:rPr>
        <w:t>A</w:t>
      </w:r>
      <w:r w:rsidRPr="007866F0">
        <w:rPr>
          <w:rFonts w:eastAsia="楷体"/>
        </w:rPr>
        <w:t>第</w:t>
      </w:r>
      <w:r w:rsidRPr="007866F0">
        <w:rPr>
          <w:rFonts w:eastAsia="楷体"/>
        </w:rPr>
        <w:t>2</w:t>
      </w:r>
      <w:r w:rsidRPr="007866F0">
        <w:rPr>
          <w:rFonts w:eastAsia="楷体"/>
        </w:rPr>
        <w:t>条</w:t>
      </w:r>
      <w:r w:rsidRPr="007866F0">
        <w:rPr>
          <w:rFonts w:eastAsia="楷体"/>
        </w:rPr>
        <w:t>(e)</w:t>
      </w:r>
      <w:r w:rsidRPr="007866F0">
        <w:rPr>
          <w:rFonts w:eastAsia="楷体"/>
        </w:rPr>
        <w:t>项条款问题案</w:t>
      </w:r>
      <w:r w:rsidRPr="00FC031D">
        <w:t>，</w:t>
      </w:r>
      <w:r w:rsidRPr="00FC031D">
        <w:t>1980</w:t>
      </w:r>
      <w:r w:rsidRPr="00FC031D">
        <w:t>年</w:t>
      </w:r>
      <w:r w:rsidRPr="00FC031D">
        <w:t>5</w:t>
      </w:r>
      <w:r w:rsidRPr="00FC031D">
        <w:t>月</w:t>
      </w:r>
      <w:r w:rsidRPr="00FC031D">
        <w:t>16</w:t>
      </w:r>
      <w:r w:rsidRPr="00FC031D">
        <w:t>日裁决，《国际仲裁裁决汇编》，第十九卷，第三部分，第</w:t>
      </w:r>
      <w:r w:rsidRPr="00FC031D">
        <w:t>67-145</w:t>
      </w:r>
      <w:r w:rsidRPr="00FC031D">
        <w:t>页，见第</w:t>
      </w:r>
      <w:r w:rsidRPr="00FC031D">
        <w:t>103-104</w:t>
      </w:r>
      <w:r w:rsidRPr="00FC031D">
        <w:t>页，第</w:t>
      </w:r>
      <w:r w:rsidRPr="00FC031D">
        <w:t>31</w:t>
      </w:r>
      <w:r w:rsidRPr="00FC031D">
        <w:t>段</w:t>
      </w:r>
      <w:r w:rsidRPr="00FC031D">
        <w:rPr>
          <w:w w:val="104"/>
        </w:rPr>
        <w:t>；</w:t>
      </w:r>
      <w:r w:rsidRPr="00FC031D">
        <w:t>另见</w:t>
      </w:r>
      <w:r w:rsidRPr="007866F0">
        <w:rPr>
          <w:rFonts w:eastAsia="楷体"/>
        </w:rPr>
        <w:t>欧共体</w:t>
      </w:r>
      <w:r w:rsidRPr="007866F0">
        <w:rPr>
          <w:rStyle w:val="SingleTxtGCChar"/>
          <w:rFonts w:hint="eastAsia"/>
        </w:rPr>
        <w:t>－</w:t>
      </w:r>
      <w:r w:rsidRPr="007866F0">
        <w:rPr>
          <w:rFonts w:eastAsia="楷体"/>
        </w:rPr>
        <w:t>电脑设备案</w:t>
      </w:r>
      <w:r w:rsidRPr="00FC031D">
        <w:t>(</w:t>
      </w:r>
      <w:r w:rsidRPr="00FC031D">
        <w:t>上文脚注</w:t>
      </w:r>
      <w:r>
        <w:fldChar w:fldCharType="begin"/>
      </w:r>
      <w:r>
        <w:instrText xml:space="preserve"> NOTEREF _Ref461974413 \h </w:instrText>
      </w:r>
      <w:r>
        <w:fldChar w:fldCharType="separate"/>
      </w:r>
      <w:r w:rsidR="00A73EB9">
        <w:t>781</w:t>
      </w:r>
      <w:r>
        <w:fldChar w:fldCharType="end"/>
      </w:r>
      <w:r w:rsidRPr="00FC031D">
        <w:t>)</w:t>
      </w:r>
      <w:r w:rsidRPr="00FC031D">
        <w:t>，第</w:t>
      </w:r>
      <w:r w:rsidRPr="00FC031D">
        <w:t>95</w:t>
      </w:r>
      <w:r w:rsidRPr="00FC031D">
        <w:t>段；</w:t>
      </w:r>
      <w:r w:rsidRPr="007866F0">
        <w:rPr>
          <w:rFonts w:eastAsia="楷体"/>
        </w:rPr>
        <w:t>几内亚比绍和塞内加尔海洋疆界划界案</w:t>
      </w:r>
      <w:r w:rsidRPr="00FC031D">
        <w:rPr>
          <w:w w:val="104"/>
        </w:rPr>
        <w:t>(</w:t>
      </w:r>
      <w:r w:rsidRPr="00FC031D">
        <w:t>上文脚注</w:t>
      </w:r>
      <w:r>
        <w:fldChar w:fldCharType="begin"/>
      </w:r>
      <w:r>
        <w:instrText xml:space="preserve"> </w:instrText>
      </w:r>
      <w:r>
        <w:rPr>
          <w:rFonts w:hint="eastAsia"/>
        </w:rPr>
        <w:instrText>NOTEREF _Ref461974370 \h</w:instrText>
      </w:r>
      <w:r>
        <w:instrText xml:space="preserve"> </w:instrText>
      </w:r>
      <w:r>
        <w:fldChar w:fldCharType="separate"/>
      </w:r>
      <w:r w:rsidR="00A73EB9">
        <w:t>730</w:t>
      </w:r>
      <w:r>
        <w:fldChar w:fldCharType="end"/>
      </w:r>
      <w:r w:rsidRPr="00FC031D">
        <w:t>)</w:t>
      </w:r>
      <w:r w:rsidRPr="00FC031D">
        <w:t>，见第</w:t>
      </w:r>
      <w:r w:rsidRPr="00FC031D">
        <w:rPr>
          <w:w w:val="104"/>
        </w:rPr>
        <w:t>175</w:t>
      </w:r>
      <w:r w:rsidRPr="00FC031D">
        <w:t>页，第</w:t>
      </w:r>
      <w:r w:rsidRPr="00FC031D">
        <w:t>66</w:t>
      </w:r>
      <w:r w:rsidRPr="00FC031D">
        <w:t>段。</w:t>
      </w:r>
    </w:p>
  </w:footnote>
  <w:footnote w:id="791">
    <w:p w:rsidR="00AB00DE" w:rsidRPr="00FC031D" w:rsidRDefault="00AB00DE" w:rsidP="00DF5565">
      <w:pPr>
        <w:pStyle w:val="a4"/>
      </w:pPr>
      <w:r w:rsidRPr="00FC031D">
        <w:tab/>
      </w:r>
      <w:r w:rsidRPr="00DF5565">
        <w:rPr>
          <w:color w:val="0000FF"/>
          <w:sz w:val="21"/>
          <w:vertAlign w:val="superscript"/>
        </w:rPr>
        <w:footnoteRef/>
      </w:r>
      <w:r w:rsidRPr="00DF5565">
        <w:rPr>
          <w:color w:val="0000FF"/>
          <w:sz w:val="21"/>
          <w:vertAlign w:val="superscript"/>
        </w:rPr>
        <w:tab/>
      </w:r>
      <w:r w:rsidRPr="00FC031D">
        <w:t>见上文结论草案</w:t>
      </w:r>
      <w:r w:rsidRPr="00FC031D">
        <w:t>7</w:t>
      </w:r>
      <w:r w:rsidRPr="00FC031D">
        <w:t>的评注，第</w:t>
      </w:r>
      <w:r w:rsidRPr="00FC031D">
        <w:t>(</w:t>
      </w:r>
      <w:r w:rsidRPr="00FC031D">
        <w:rPr>
          <w:w w:val="104"/>
        </w:rPr>
        <w:t>12)-(15)</w:t>
      </w:r>
      <w:r w:rsidRPr="00FC031D">
        <w:t>段。</w:t>
      </w:r>
    </w:p>
  </w:footnote>
  <w:footnote w:id="792">
    <w:p w:rsidR="00AB00DE" w:rsidRPr="00FC031D" w:rsidRDefault="00AB00DE" w:rsidP="00560424">
      <w:pPr>
        <w:pStyle w:val="a4"/>
      </w:pPr>
      <w:r w:rsidRPr="00FC031D">
        <w:tab/>
      </w:r>
      <w:r w:rsidRPr="00DF5565">
        <w:rPr>
          <w:color w:val="0000FF"/>
          <w:sz w:val="21"/>
          <w:vertAlign w:val="superscript"/>
        </w:rPr>
        <w:footnoteRef/>
      </w:r>
      <w:r w:rsidRPr="00DF5565">
        <w:rPr>
          <w:color w:val="0000FF"/>
          <w:sz w:val="21"/>
          <w:vertAlign w:val="superscript"/>
        </w:rPr>
        <w:tab/>
      </w:r>
      <w:r w:rsidRPr="007866F0">
        <w:rPr>
          <w:rFonts w:eastAsia="楷体"/>
        </w:rPr>
        <w:t>关于居住在法国的教科文组织退休官员所领退休金的征税制度问题</w:t>
      </w:r>
      <w:r w:rsidRPr="00FC031D">
        <w:t>(</w:t>
      </w:r>
      <w:r w:rsidRPr="00FC031D">
        <w:t>见上文脚注</w:t>
      </w:r>
      <w:r>
        <w:fldChar w:fldCharType="begin"/>
      </w:r>
      <w:r>
        <w:instrText xml:space="preserve"> NOTEREF _Ref461973699 \h </w:instrText>
      </w:r>
      <w:r>
        <w:fldChar w:fldCharType="separate"/>
      </w:r>
      <w:r w:rsidR="00A73EB9">
        <w:t>532</w:t>
      </w:r>
      <w:r>
        <w:fldChar w:fldCharType="end"/>
      </w:r>
      <w:r w:rsidRPr="00FC031D">
        <w:t>)</w:t>
      </w:r>
      <w:r w:rsidRPr="00FC031D">
        <w:t>，第</w:t>
      </w:r>
      <w:r w:rsidRPr="00FC031D">
        <w:t>258</w:t>
      </w:r>
      <w:r w:rsidRPr="00FC031D">
        <w:t>页，第</w:t>
      </w:r>
      <w:r w:rsidRPr="00FC031D">
        <w:t>70</w:t>
      </w:r>
      <w:r w:rsidRPr="00FC031D">
        <w:t>段；</w:t>
      </w:r>
      <w:r w:rsidRPr="00FC031D">
        <w:t>Kolb,</w:t>
      </w:r>
      <w:r w:rsidRPr="00FC031D">
        <w:rPr>
          <w:rFonts w:hint="eastAsia"/>
        </w:rPr>
        <w:t>“</w:t>
      </w:r>
      <w:r w:rsidRPr="00FC031D">
        <w:t>La modification d’un traité …</w:t>
      </w:r>
      <w:r w:rsidRPr="00FC031D">
        <w:rPr>
          <w:rFonts w:hint="eastAsia"/>
        </w:rPr>
        <w:t>”</w:t>
      </w:r>
      <w:r w:rsidRPr="00FC031D">
        <w:t>(</w:t>
      </w:r>
      <w:r w:rsidRPr="00FC031D">
        <w:t>见上文脚注</w:t>
      </w:r>
      <w:r>
        <w:fldChar w:fldCharType="begin"/>
      </w:r>
      <w:r>
        <w:instrText xml:space="preserve"> NOTEREF _Ref461976729 \h </w:instrText>
      </w:r>
      <w:r>
        <w:fldChar w:fldCharType="separate"/>
      </w:r>
      <w:r w:rsidR="00A73EB9">
        <w:t>695</w:t>
      </w:r>
      <w:r>
        <w:fldChar w:fldCharType="end"/>
      </w:r>
      <w:r w:rsidRPr="00FC031D">
        <w:t>)</w:t>
      </w:r>
      <w:r w:rsidRPr="00FC031D">
        <w:t>，第</w:t>
      </w:r>
      <w:r w:rsidRPr="00FC031D">
        <w:t>16</w:t>
      </w:r>
      <w:r w:rsidRPr="00FC031D">
        <w:t>页。</w:t>
      </w:r>
    </w:p>
  </w:footnote>
  <w:footnote w:id="793">
    <w:p w:rsidR="00AB00DE" w:rsidRPr="00FC031D" w:rsidRDefault="00AB00DE" w:rsidP="00DF5565">
      <w:pPr>
        <w:pStyle w:val="a4"/>
      </w:pPr>
      <w:r w:rsidRPr="00FC031D">
        <w:tab/>
      </w:r>
      <w:r w:rsidRPr="00DF5565">
        <w:rPr>
          <w:color w:val="0000FF"/>
          <w:sz w:val="21"/>
          <w:vertAlign w:val="superscript"/>
        </w:rPr>
        <w:footnoteRef/>
      </w:r>
      <w:r w:rsidRPr="00DF5565">
        <w:rPr>
          <w:color w:val="0000FF"/>
          <w:sz w:val="21"/>
          <w:vertAlign w:val="superscript"/>
        </w:rPr>
        <w:tab/>
      </w:r>
      <w:r w:rsidRPr="007866F0">
        <w:rPr>
          <w:rFonts w:eastAsia="楷体"/>
        </w:rPr>
        <w:t>阿根廷和智利比格尔海峡争端案</w:t>
      </w:r>
      <w:r w:rsidRPr="00FC031D">
        <w:rPr>
          <w:rFonts w:hint="eastAsia"/>
          <w:w w:val="104"/>
        </w:rPr>
        <w:t>，</w:t>
      </w:r>
      <w:r w:rsidRPr="00FC031D">
        <w:t>1977</w:t>
      </w:r>
      <w:r w:rsidRPr="00FC031D">
        <w:rPr>
          <w:rFonts w:hint="eastAsia"/>
        </w:rPr>
        <w:t>年</w:t>
      </w:r>
      <w:r w:rsidRPr="00FC031D">
        <w:t>2</w:t>
      </w:r>
      <w:r w:rsidRPr="00FC031D">
        <w:rPr>
          <w:rFonts w:hint="eastAsia"/>
        </w:rPr>
        <w:t>月</w:t>
      </w:r>
      <w:r w:rsidRPr="00FC031D">
        <w:t>18</w:t>
      </w:r>
      <w:r w:rsidRPr="00FC031D">
        <w:rPr>
          <w:rFonts w:hint="eastAsia"/>
        </w:rPr>
        <w:t>日</w:t>
      </w:r>
      <w:r w:rsidRPr="00FC031D">
        <w:rPr>
          <w:rFonts w:hint="eastAsia"/>
          <w:w w:val="104"/>
        </w:rPr>
        <w:t>，</w:t>
      </w:r>
      <w:r w:rsidRPr="00FC031D">
        <w:t>《国际仲裁裁决汇编》，</w:t>
      </w:r>
      <w:r w:rsidRPr="00FC031D">
        <w:rPr>
          <w:rFonts w:hint="eastAsia"/>
        </w:rPr>
        <w:t>第二十一卷，第二部分，第</w:t>
      </w:r>
      <w:r w:rsidRPr="00FC031D">
        <w:t>53-264</w:t>
      </w:r>
      <w:r w:rsidRPr="00FC031D">
        <w:rPr>
          <w:rFonts w:hint="eastAsia"/>
        </w:rPr>
        <w:t>页，见第</w:t>
      </w:r>
      <w:r w:rsidRPr="00FC031D">
        <w:t>188</w:t>
      </w:r>
      <w:r w:rsidRPr="00FC031D">
        <w:rPr>
          <w:rFonts w:hint="eastAsia"/>
        </w:rPr>
        <w:t>页，第</w:t>
      </w:r>
      <w:r w:rsidRPr="00FC031D">
        <w:t>171</w:t>
      </w:r>
      <w:r w:rsidRPr="00FC031D">
        <w:rPr>
          <w:rFonts w:hint="eastAsia"/>
        </w:rPr>
        <w:t>段。</w:t>
      </w:r>
    </w:p>
  </w:footnote>
  <w:footnote w:id="794">
    <w:p w:rsidR="00AB00DE" w:rsidRPr="00FC031D" w:rsidRDefault="00AB00DE" w:rsidP="00DF5565">
      <w:pPr>
        <w:pStyle w:val="a4"/>
      </w:pPr>
      <w:r w:rsidRPr="00FC031D">
        <w:tab/>
      </w:r>
      <w:r w:rsidRPr="00DF5565">
        <w:rPr>
          <w:color w:val="0000FF"/>
          <w:sz w:val="21"/>
          <w:vertAlign w:val="superscript"/>
        </w:rPr>
        <w:footnoteRef/>
      </w:r>
      <w:r w:rsidRPr="00DF5565">
        <w:rPr>
          <w:color w:val="0000FF"/>
          <w:sz w:val="21"/>
          <w:vertAlign w:val="superscript"/>
        </w:rPr>
        <w:tab/>
      </w:r>
      <w:r w:rsidRPr="00FC031D">
        <w:t>Loizidou</w:t>
      </w:r>
      <w:r w:rsidRPr="007866F0">
        <w:rPr>
          <w:rFonts w:eastAsia="楷体"/>
        </w:rPr>
        <w:t>诉土耳其</w:t>
      </w:r>
      <w:r w:rsidRPr="00FC031D">
        <w:t>(</w:t>
      </w:r>
      <w:r w:rsidRPr="00FC031D">
        <w:t>初步反对意见</w:t>
      </w:r>
      <w:r w:rsidRPr="00FC031D">
        <w:t>)</w:t>
      </w:r>
      <w:r w:rsidRPr="00FC031D">
        <w:t>，第</w:t>
      </w:r>
      <w:r w:rsidRPr="00FC031D">
        <w:t>15318/89</w:t>
      </w:r>
      <w:r w:rsidRPr="00FC031D">
        <w:t>号，</w:t>
      </w:r>
      <w:r w:rsidRPr="00FC031D">
        <w:t>1995</w:t>
      </w:r>
      <w:r w:rsidRPr="00FC031D">
        <w:t>年</w:t>
      </w:r>
      <w:r w:rsidRPr="00FC031D">
        <w:t>3</w:t>
      </w:r>
      <w:r w:rsidRPr="00FC031D">
        <w:t>月</w:t>
      </w:r>
      <w:r w:rsidRPr="00FC031D">
        <w:t>23</w:t>
      </w:r>
      <w:r w:rsidRPr="00FC031D">
        <w:t>日，《欧洲人权法院案例汇编》</w:t>
      </w:r>
      <w:r w:rsidRPr="00FC031D">
        <w:t>A</w:t>
      </w:r>
      <w:r w:rsidRPr="00FC031D">
        <w:t>辑，第</w:t>
      </w:r>
      <w:r w:rsidRPr="00FC031D">
        <w:t>310</w:t>
      </w:r>
      <w:r w:rsidRPr="00FC031D">
        <w:t>号，第</w:t>
      </w:r>
      <w:r w:rsidRPr="00FC031D">
        <w:t>79</w:t>
      </w:r>
      <w:r w:rsidRPr="00FC031D">
        <w:t>和</w:t>
      </w:r>
      <w:r w:rsidRPr="00FC031D">
        <w:t>81</w:t>
      </w:r>
      <w:r w:rsidRPr="00FC031D">
        <w:t>段</w:t>
      </w:r>
      <w:r w:rsidRPr="00FC031D">
        <w:rPr>
          <w:lang w:val="fr-FR"/>
        </w:rPr>
        <w:t>。</w:t>
      </w:r>
    </w:p>
  </w:footnote>
  <w:footnote w:id="795">
    <w:p w:rsidR="00AB00DE" w:rsidRPr="00FC031D" w:rsidRDefault="00AB00DE" w:rsidP="00DF5565">
      <w:pPr>
        <w:pStyle w:val="a4"/>
      </w:pPr>
      <w:r w:rsidRPr="00FC031D">
        <w:tab/>
      </w:r>
      <w:r w:rsidRPr="00DF5565">
        <w:rPr>
          <w:color w:val="0000FF"/>
          <w:sz w:val="21"/>
          <w:vertAlign w:val="superscript"/>
        </w:rPr>
        <w:footnoteRef/>
      </w:r>
      <w:r w:rsidRPr="00DF5565">
        <w:rPr>
          <w:color w:val="0000FF"/>
          <w:sz w:val="21"/>
          <w:vertAlign w:val="superscript"/>
        </w:rPr>
        <w:tab/>
      </w:r>
      <w:r w:rsidRPr="00FC031D">
        <w:t>同上</w:t>
      </w:r>
      <w:r w:rsidRPr="00FC031D">
        <w:rPr>
          <w:w w:val="104"/>
          <w:lang w:val="fr-FR"/>
        </w:rPr>
        <w:t>，</w:t>
      </w:r>
      <w:r w:rsidRPr="00FC031D">
        <w:t>第</w:t>
      </w:r>
      <w:r w:rsidRPr="00FC031D">
        <w:rPr>
          <w:w w:val="104"/>
          <w:lang w:val="fr-FR"/>
        </w:rPr>
        <w:t>80</w:t>
      </w:r>
      <w:r w:rsidRPr="00FC031D">
        <w:t>和</w:t>
      </w:r>
      <w:r w:rsidRPr="00FC031D">
        <w:rPr>
          <w:w w:val="104"/>
          <w:lang w:val="fr-FR"/>
        </w:rPr>
        <w:t>82</w:t>
      </w:r>
      <w:r w:rsidRPr="00FC031D">
        <w:t>段；该案不涉及对具体人权的解释</w:t>
      </w:r>
      <w:r w:rsidRPr="00FC031D">
        <w:rPr>
          <w:lang w:val="fr-FR"/>
        </w:rPr>
        <w:t>，</w:t>
      </w:r>
      <w:r w:rsidRPr="00FC031D">
        <w:t>而是一国是否受《公约》约束的问题。</w:t>
      </w:r>
    </w:p>
  </w:footnote>
  <w:footnote w:id="796">
    <w:p w:rsidR="00AB00DE" w:rsidRPr="00FC031D" w:rsidRDefault="00AB00DE" w:rsidP="00DF5565">
      <w:pPr>
        <w:pStyle w:val="a4"/>
      </w:pPr>
      <w:r w:rsidRPr="00FC031D">
        <w:rPr>
          <w:lang w:val="fr-FR"/>
        </w:rPr>
        <w:tab/>
      </w:r>
      <w:r w:rsidRPr="00DF5565">
        <w:rPr>
          <w:color w:val="0000FF"/>
          <w:sz w:val="21"/>
          <w:vertAlign w:val="superscript"/>
        </w:rPr>
        <w:footnoteRef/>
      </w:r>
      <w:r w:rsidRPr="00DF5565">
        <w:rPr>
          <w:color w:val="0000FF"/>
          <w:sz w:val="21"/>
          <w:vertAlign w:val="superscript"/>
        </w:rPr>
        <w:tab/>
      </w:r>
      <w:r w:rsidRPr="00FC031D">
        <w:t>世贸组织争端解决机构较严格的判例认为</w:t>
      </w:r>
      <w:r w:rsidRPr="00FC031D">
        <w:rPr>
          <w:lang w:val="fr-FR"/>
        </w:rPr>
        <w:t>，</w:t>
      </w:r>
      <w:r w:rsidRPr="00FC031D">
        <w:t>不同的解释者可能对问题作出不同的评价</w:t>
      </w:r>
      <w:r w:rsidRPr="00FC031D">
        <w:rPr>
          <w:lang w:val="fr-FR"/>
        </w:rPr>
        <w:t>，见</w:t>
      </w:r>
      <w:r w:rsidRPr="007866F0">
        <w:rPr>
          <w:rFonts w:eastAsia="楷体"/>
          <w:lang w:val="fr-FR"/>
        </w:rPr>
        <w:t>美国</w:t>
      </w:r>
      <w:r w:rsidRPr="00FC031D">
        <w:rPr>
          <w:rFonts w:hint="eastAsia"/>
          <w:lang w:val="fr-FR"/>
        </w:rPr>
        <w:t>－</w:t>
      </w:r>
      <w:r w:rsidRPr="007866F0">
        <w:rPr>
          <w:rFonts w:eastAsia="楷体"/>
          <w:lang w:val="fr-FR"/>
        </w:rPr>
        <w:t>计算倾销差额</w:t>
      </w:r>
      <w:r w:rsidRPr="007866F0">
        <w:rPr>
          <w:rFonts w:eastAsia="楷体"/>
          <w:lang w:val="fr-FR"/>
        </w:rPr>
        <w:t>(</w:t>
      </w:r>
      <w:r w:rsidRPr="007866F0">
        <w:rPr>
          <w:rFonts w:eastAsia="楷体"/>
          <w:lang w:val="fr-FR"/>
        </w:rPr>
        <w:t>持续归零</w:t>
      </w:r>
      <w:r w:rsidRPr="007866F0">
        <w:rPr>
          <w:rFonts w:eastAsia="楷体"/>
          <w:lang w:val="fr-FR"/>
        </w:rPr>
        <w:t>)</w:t>
      </w:r>
      <w:r w:rsidRPr="00FC031D">
        <w:rPr>
          <w:lang w:val="fr-FR"/>
        </w:rPr>
        <w:t>的法律、条例和方法</w:t>
      </w:r>
      <w:r w:rsidRPr="00FC031D">
        <w:rPr>
          <w:i/>
          <w:iCs/>
        </w:rPr>
        <w:t>(</w:t>
      </w:r>
      <w:r w:rsidRPr="00FC031D">
        <w:t>Zeroing</w:t>
      </w:r>
      <w:r w:rsidRPr="00FC031D">
        <w:rPr>
          <w:i/>
          <w:iCs/>
        </w:rPr>
        <w:t>)</w:t>
      </w:r>
      <w:r w:rsidRPr="00FC031D">
        <w:rPr>
          <w:lang w:val="fr-FR"/>
        </w:rPr>
        <w:t>，</w:t>
      </w:r>
      <w:r w:rsidRPr="00FC031D">
        <w:rPr>
          <w:lang w:val="fr-FR"/>
        </w:rPr>
        <w:t>WT/DS294/R, 2006</w:t>
      </w:r>
      <w:r w:rsidRPr="00FC031D">
        <w:rPr>
          <w:lang w:val="fr-FR"/>
        </w:rPr>
        <w:t>年</w:t>
      </w:r>
      <w:r w:rsidRPr="00FC031D">
        <w:rPr>
          <w:lang w:val="fr-FR"/>
        </w:rPr>
        <w:t>5</w:t>
      </w:r>
      <w:r w:rsidRPr="00FC031D">
        <w:rPr>
          <w:lang w:val="fr-FR"/>
        </w:rPr>
        <w:t>月</w:t>
      </w:r>
      <w:r w:rsidRPr="00FC031D">
        <w:rPr>
          <w:lang w:val="fr-FR"/>
        </w:rPr>
        <w:t>9</w:t>
      </w:r>
      <w:r w:rsidRPr="00FC031D">
        <w:rPr>
          <w:lang w:val="fr-FR"/>
        </w:rPr>
        <w:t>日通过，第</w:t>
      </w:r>
      <w:r w:rsidRPr="00FC031D">
        <w:rPr>
          <w:lang w:val="fr-FR"/>
        </w:rPr>
        <w:t>7.218</w:t>
      </w:r>
      <w:r w:rsidRPr="00FC031D">
        <w:rPr>
          <w:lang w:val="fr-FR"/>
        </w:rPr>
        <w:t>段</w:t>
      </w:r>
      <w:r w:rsidRPr="00FC031D">
        <w:rPr>
          <w:w w:val="104"/>
          <w:lang w:val="fr-FR"/>
        </w:rPr>
        <w:t>：</w:t>
      </w:r>
      <w:r w:rsidRPr="00FC031D">
        <w:rPr>
          <w:rFonts w:hint="eastAsia"/>
          <w:w w:val="104"/>
          <w:lang w:val="fr-FR"/>
        </w:rPr>
        <w:t>“</w:t>
      </w:r>
      <w:r w:rsidRPr="00FC031D">
        <w:rPr>
          <w:rFonts w:hint="eastAsia"/>
        </w:rPr>
        <w:t>……</w:t>
      </w:r>
      <w:r w:rsidRPr="00FC031D">
        <w:rPr>
          <w:lang w:val="fr-FR"/>
        </w:rPr>
        <w:t>即使已经确凿地确认，欧洲共同体所指全部</w:t>
      </w:r>
      <w:r w:rsidRPr="00FC031D">
        <w:rPr>
          <w:lang w:val="fr-FR"/>
        </w:rPr>
        <w:t>76</w:t>
      </w:r>
      <w:r w:rsidRPr="00FC031D">
        <w:rPr>
          <w:lang w:val="fr-FR"/>
        </w:rPr>
        <w:t>个成员国都采取了一种</w:t>
      </w:r>
      <w:r w:rsidRPr="00FC031D">
        <w:rPr>
          <w:lang w:val="fr-FR"/>
        </w:rPr>
        <w:t>[</w:t>
      </w:r>
      <w:r w:rsidRPr="00FC031D">
        <w:rPr>
          <w:lang w:val="fr-FR"/>
        </w:rPr>
        <w:t>特定的</w:t>
      </w:r>
      <w:r w:rsidRPr="00FC031D">
        <w:rPr>
          <w:lang w:val="fr-FR"/>
        </w:rPr>
        <w:t>]</w:t>
      </w:r>
      <w:r w:rsidRPr="00FC031D">
        <w:rPr>
          <w:lang w:val="fr-FR"/>
        </w:rPr>
        <w:t>惯例</w:t>
      </w:r>
      <w:r w:rsidRPr="00FC031D">
        <w:rPr>
          <w:rFonts w:hint="eastAsia"/>
        </w:rPr>
        <w:t>……</w:t>
      </w:r>
      <w:r w:rsidRPr="00FC031D">
        <w:rPr>
          <w:lang w:val="fr-FR"/>
        </w:rPr>
        <w:t>，这也只能意味着有不少世贸组织成员国采取了与美国不同的办法。</w:t>
      </w:r>
      <w:r w:rsidRPr="00FC031D">
        <w:rPr>
          <w:rFonts w:hint="eastAsia"/>
        </w:rPr>
        <w:t>……</w:t>
      </w:r>
      <w:r w:rsidRPr="00FC031D">
        <w:t>我们注意到</w:t>
      </w:r>
      <w:r w:rsidRPr="00FC031D">
        <w:rPr>
          <w:lang w:val="fr-FR"/>
        </w:rPr>
        <w:t>，</w:t>
      </w:r>
      <w:r w:rsidRPr="00FC031D">
        <w:t>在本诉讼中</w:t>
      </w:r>
      <w:r w:rsidRPr="00FC031D">
        <w:rPr>
          <w:lang w:val="fr-FR"/>
        </w:rPr>
        <w:t>，</w:t>
      </w:r>
      <w:r w:rsidRPr="00FC031D">
        <w:t>有一个第三方提交了论述</w:t>
      </w:r>
      <w:r w:rsidRPr="00FC031D">
        <w:rPr>
          <w:lang w:val="fr-FR"/>
        </w:rPr>
        <w:t>，</w:t>
      </w:r>
      <w:r w:rsidRPr="00FC031D">
        <w:t>反驳欧洲共同体的观点</w:t>
      </w:r>
      <w:r w:rsidRPr="00FC031D">
        <w:rPr>
          <w:rFonts w:hint="eastAsia"/>
        </w:rPr>
        <w:t>……</w:t>
      </w:r>
      <w:r w:rsidRPr="00FC031D">
        <w:rPr>
          <w:rFonts w:hint="eastAsia"/>
          <w:w w:val="104"/>
          <w:lang w:val="fr-FR"/>
        </w:rPr>
        <w:t>”</w:t>
      </w:r>
    </w:p>
  </w:footnote>
  <w:footnote w:id="797">
    <w:p w:rsidR="00AB00DE" w:rsidRPr="00FC031D" w:rsidRDefault="00AB00DE" w:rsidP="00DF5565">
      <w:pPr>
        <w:pStyle w:val="a4"/>
      </w:pPr>
      <w:r w:rsidRPr="00FC031D">
        <w:rPr>
          <w:lang w:val="fr-FR"/>
        </w:rPr>
        <w:tab/>
      </w:r>
      <w:r w:rsidRPr="00DF5565">
        <w:rPr>
          <w:color w:val="0000FF"/>
          <w:sz w:val="21"/>
          <w:vertAlign w:val="superscript"/>
        </w:rPr>
        <w:footnoteRef/>
      </w:r>
      <w:r w:rsidRPr="00DF5565">
        <w:rPr>
          <w:color w:val="0000FF"/>
          <w:sz w:val="21"/>
          <w:vertAlign w:val="superscript"/>
        </w:rPr>
        <w:tab/>
      </w:r>
      <w:r w:rsidRPr="00FC031D">
        <w:rPr>
          <w:rFonts w:hint="eastAsia"/>
        </w:rPr>
        <w:t>见第二条第一款</w:t>
      </w:r>
      <w:r w:rsidRPr="00FC031D">
        <w:rPr>
          <w:lang w:val="fr-FR"/>
        </w:rPr>
        <w:t>(a)</w:t>
      </w:r>
      <w:r w:rsidRPr="00FC031D">
        <w:rPr>
          <w:lang w:val="fr-FR"/>
        </w:rPr>
        <w:t>项</w:t>
      </w:r>
      <w:r w:rsidRPr="00FC031D">
        <w:rPr>
          <w:rFonts w:hint="eastAsia"/>
        </w:rPr>
        <w:t>、第三条、第二十四条第二款、第三十九至四十一条、第五十八条和第六十条。</w:t>
      </w:r>
    </w:p>
  </w:footnote>
  <w:footnote w:id="798">
    <w:p w:rsidR="00AB00DE" w:rsidRPr="00FC031D" w:rsidRDefault="00AB00DE" w:rsidP="00267AB1">
      <w:pPr>
        <w:pStyle w:val="a4"/>
      </w:pPr>
      <w:r w:rsidRPr="00FC031D">
        <w:tab/>
      </w:r>
      <w:r w:rsidRPr="00DF5565">
        <w:rPr>
          <w:color w:val="0000FF"/>
          <w:sz w:val="21"/>
          <w:vertAlign w:val="superscript"/>
        </w:rPr>
        <w:footnoteRef/>
      </w:r>
      <w:r w:rsidRPr="00DF5565">
        <w:rPr>
          <w:color w:val="0000FF"/>
          <w:sz w:val="21"/>
          <w:vertAlign w:val="superscript"/>
        </w:rPr>
        <w:tab/>
      </w:r>
      <w:r w:rsidRPr="00FC031D">
        <w:t>见上文结论草案</w:t>
      </w:r>
      <w:r w:rsidRPr="00FC031D">
        <w:rPr>
          <w:rFonts w:ascii="Time New Roman" w:eastAsia="楷体" w:hAnsi="Time New Roman"/>
        </w:rPr>
        <w:t>4</w:t>
      </w:r>
      <w:r w:rsidRPr="00FC031D">
        <w:t>的评注，第</w:t>
      </w:r>
      <w:r w:rsidRPr="00FC031D">
        <w:t>(5)</w:t>
      </w:r>
      <w:r w:rsidRPr="00FC031D">
        <w:t>段；</w:t>
      </w:r>
      <w:r w:rsidRPr="00FC031D">
        <w:rPr>
          <w:lang w:val="fr-FR"/>
        </w:rPr>
        <w:t>常设仲裁法庭在</w:t>
      </w:r>
      <w:r w:rsidRPr="00FC031D">
        <w:rPr>
          <w:rFonts w:ascii="Time New Roman" w:eastAsia="楷体" w:hAnsi="Time New Roman"/>
        </w:rPr>
        <w:t>孟加拉湾海洋边界仲裁案</w:t>
      </w:r>
      <w:r w:rsidRPr="00FC031D">
        <w:t>(</w:t>
      </w:r>
      <w:r w:rsidRPr="007866F0">
        <w:rPr>
          <w:rFonts w:eastAsia="楷体"/>
          <w:lang w:val="fr-FR"/>
        </w:rPr>
        <w:t>孟加拉国诉印度</w:t>
      </w:r>
      <w:r w:rsidRPr="00FC031D">
        <w:t>)</w:t>
      </w:r>
      <w:r w:rsidRPr="00FC031D">
        <w:rPr>
          <w:lang w:val="fr-FR"/>
        </w:rPr>
        <w:t>中确认了这一点</w:t>
      </w:r>
      <w:r w:rsidRPr="00FC031D">
        <w:t>，</w:t>
      </w:r>
      <w:r w:rsidRPr="00FC031D">
        <w:t>2014</w:t>
      </w:r>
      <w:r w:rsidRPr="00FC031D">
        <w:rPr>
          <w:lang w:val="fr-FR"/>
        </w:rPr>
        <w:t>年</w:t>
      </w:r>
      <w:r w:rsidRPr="00FC031D">
        <w:t>7</w:t>
      </w:r>
      <w:r w:rsidRPr="00FC031D">
        <w:rPr>
          <w:lang w:val="fr-FR"/>
        </w:rPr>
        <w:t>月</w:t>
      </w:r>
      <w:r w:rsidRPr="00FC031D">
        <w:t>7</w:t>
      </w:r>
      <w:r w:rsidRPr="00FC031D">
        <w:rPr>
          <w:lang w:val="fr-FR"/>
        </w:rPr>
        <w:t>日的裁决</w:t>
      </w:r>
      <w:r w:rsidRPr="00FC031D">
        <w:t>，</w:t>
      </w:r>
      <w:r w:rsidRPr="00FC031D">
        <w:rPr>
          <w:lang w:val="fr-FR"/>
        </w:rPr>
        <w:t>见</w:t>
      </w:r>
      <w:r w:rsidRPr="00FC031D">
        <w:t>www.pca-cpa.org/showfile.asp</w:t>
      </w:r>
      <w:r w:rsidRPr="00FC031D">
        <w:rPr>
          <w:rFonts w:hint="eastAsia"/>
        </w:rPr>
        <w:t>?</w:t>
      </w:r>
      <w:r w:rsidRPr="00FC031D">
        <w:t>fil_id=2705</w:t>
      </w:r>
      <w:r w:rsidRPr="00FC031D">
        <w:t>，第</w:t>
      </w:r>
      <w:r w:rsidRPr="00FC031D">
        <w:t>47</w:t>
      </w:r>
      <w:r w:rsidRPr="00FC031D">
        <w:rPr>
          <w:lang w:val="fr-FR"/>
        </w:rPr>
        <w:t>页</w:t>
      </w:r>
      <w:r w:rsidRPr="00FC031D">
        <w:t>，</w:t>
      </w:r>
      <w:r w:rsidRPr="00FC031D">
        <w:rPr>
          <w:lang w:val="fr-FR"/>
        </w:rPr>
        <w:t>第</w:t>
      </w:r>
      <w:r w:rsidRPr="00FC031D">
        <w:t>165</w:t>
      </w:r>
      <w:r w:rsidRPr="00FC031D">
        <w:rPr>
          <w:lang w:val="fr-FR"/>
        </w:rPr>
        <w:t>段</w:t>
      </w:r>
      <w:r w:rsidRPr="00FC031D">
        <w:t>；</w:t>
      </w:r>
      <w:r w:rsidRPr="00FC031D">
        <w:t>Yasseen,</w:t>
      </w:r>
      <w:r w:rsidRPr="00FC031D">
        <w:rPr>
          <w:rFonts w:hint="eastAsia"/>
        </w:rPr>
        <w:t>“……</w:t>
      </w:r>
      <w:r w:rsidRPr="00FC031D">
        <w:t>对条约进行解释</w:t>
      </w:r>
      <w:r w:rsidRPr="00FC031D">
        <w:rPr>
          <w:rFonts w:hint="eastAsia"/>
        </w:rPr>
        <w:t>”</w:t>
      </w:r>
      <w:r w:rsidRPr="00FC031D">
        <w:t>(</w:t>
      </w:r>
      <w:r w:rsidRPr="00FC031D">
        <w:t>见上文脚注</w:t>
      </w:r>
      <w:r>
        <w:fldChar w:fldCharType="begin"/>
      </w:r>
      <w:r>
        <w:instrText xml:space="preserve"> NOTEREF _Ref461972846 \h </w:instrText>
      </w:r>
      <w:r>
        <w:fldChar w:fldCharType="separate"/>
      </w:r>
      <w:r w:rsidR="00A73EB9">
        <w:t>393</w:t>
      </w:r>
      <w:r>
        <w:fldChar w:fldCharType="end"/>
      </w:r>
      <w:r w:rsidRPr="00FC031D">
        <w:t>)</w:t>
      </w:r>
      <w:r w:rsidRPr="00FC031D">
        <w:t>，第</w:t>
      </w:r>
      <w:r w:rsidRPr="00FC031D">
        <w:t>45</w:t>
      </w:r>
      <w:r w:rsidRPr="00FC031D">
        <w:rPr>
          <w:lang w:val="fr-FR"/>
        </w:rPr>
        <w:t>页</w:t>
      </w:r>
      <w:r w:rsidRPr="00FC031D">
        <w:t>；</w:t>
      </w:r>
      <w:r w:rsidRPr="00FC031D">
        <w:t>Distefano,</w:t>
      </w:r>
      <w:r w:rsidRPr="00FC031D">
        <w:rPr>
          <w:rFonts w:hint="eastAsia"/>
        </w:rPr>
        <w:t>“……</w:t>
      </w:r>
      <w:r w:rsidRPr="00FC031D">
        <w:t>嗣后惯例</w:t>
      </w:r>
      <w:r w:rsidRPr="00FC031D">
        <w:rPr>
          <w:rFonts w:hint="eastAsia"/>
        </w:rPr>
        <w:t>”</w:t>
      </w:r>
      <w:r w:rsidRPr="00FC031D">
        <w:t>(</w:t>
      </w:r>
      <w:r w:rsidRPr="00FC031D">
        <w:t>见上文脚注</w:t>
      </w:r>
      <w:r>
        <w:fldChar w:fldCharType="begin"/>
      </w:r>
      <w:r>
        <w:instrText xml:space="preserve"> NOTEREF _Ref461973844 \h </w:instrText>
      </w:r>
      <w:r>
        <w:fldChar w:fldCharType="separate"/>
      </w:r>
      <w:r w:rsidR="00A73EB9">
        <w:t>573</w:t>
      </w:r>
      <w:r>
        <w:fldChar w:fldCharType="end"/>
      </w:r>
      <w:r w:rsidRPr="00FC031D">
        <w:t>)</w:t>
      </w:r>
      <w:r w:rsidRPr="00FC031D">
        <w:t>，第</w:t>
      </w:r>
      <w:r w:rsidRPr="00FC031D">
        <w:t>47</w:t>
      </w:r>
      <w:r w:rsidRPr="00FC031D">
        <w:rPr>
          <w:lang w:val="fr-FR"/>
        </w:rPr>
        <w:t>页。</w:t>
      </w:r>
    </w:p>
  </w:footnote>
  <w:footnote w:id="799">
    <w:p w:rsidR="00AB00DE" w:rsidRPr="00FC031D" w:rsidRDefault="00AB00DE" w:rsidP="00D90936">
      <w:pPr>
        <w:pStyle w:val="a4"/>
      </w:pPr>
      <w:r w:rsidRPr="00FC031D">
        <w:tab/>
      </w:r>
      <w:r w:rsidRPr="00DF5565">
        <w:rPr>
          <w:color w:val="0000FF"/>
          <w:sz w:val="21"/>
          <w:vertAlign w:val="superscript"/>
        </w:rPr>
        <w:footnoteRef/>
      </w:r>
      <w:r w:rsidRPr="00DF5565">
        <w:rPr>
          <w:color w:val="0000FF"/>
          <w:sz w:val="21"/>
          <w:vertAlign w:val="superscript"/>
        </w:rPr>
        <w:tab/>
      </w:r>
      <w:r w:rsidRPr="00FC031D">
        <w:t>见上文</w:t>
      </w:r>
      <w:r w:rsidRPr="00FC031D">
        <w:rPr>
          <w:rFonts w:hint="eastAsia"/>
        </w:rPr>
        <w:t>结论草案</w:t>
      </w:r>
      <w:r w:rsidRPr="00FC031D">
        <w:t>4</w:t>
      </w:r>
      <w:r w:rsidRPr="00FC031D">
        <w:rPr>
          <w:rFonts w:hint="eastAsia"/>
        </w:rPr>
        <w:t>的评注，第</w:t>
      </w:r>
      <w:r w:rsidRPr="00FC031D">
        <w:t>(5)</w:t>
      </w:r>
      <w:r w:rsidRPr="00FC031D">
        <w:rPr>
          <w:rFonts w:hint="eastAsia"/>
        </w:rPr>
        <w:t>段</w:t>
      </w:r>
      <w:r w:rsidRPr="00FC031D">
        <w:rPr>
          <w:rFonts w:hint="eastAsia"/>
          <w:w w:val="104"/>
        </w:rPr>
        <w:t>；</w:t>
      </w:r>
      <w:r w:rsidRPr="00FC031D">
        <w:rPr>
          <w:w w:val="104"/>
        </w:rPr>
        <w:t xml:space="preserve">Gardiner, </w:t>
      </w:r>
      <w:r w:rsidRPr="00FC031D">
        <w:rPr>
          <w:rFonts w:hint="eastAsia"/>
          <w:w w:val="104"/>
        </w:rPr>
        <w:t>《条约解释》</w:t>
      </w:r>
      <w:r w:rsidRPr="00FC031D">
        <w:t>(</w:t>
      </w:r>
      <w:r w:rsidRPr="00FC031D">
        <w:rPr>
          <w:rFonts w:hint="eastAsia"/>
        </w:rPr>
        <w:t>见上文脚注</w:t>
      </w:r>
      <w:r w:rsidRPr="00D90936">
        <w:rPr>
          <w:rFonts w:asciiTheme="majorBidi" w:hAnsiTheme="majorBidi" w:cstheme="majorBidi"/>
        </w:rPr>
        <w:fldChar w:fldCharType="begin"/>
      </w:r>
      <w:r w:rsidRPr="00D90936">
        <w:rPr>
          <w:rFonts w:asciiTheme="majorBidi" w:hAnsiTheme="majorBidi" w:cstheme="majorBidi"/>
        </w:rPr>
        <w:instrText xml:space="preserve"> NOTEREF _Ref461971974 \h </w:instrText>
      </w:r>
      <w:r>
        <w:rPr>
          <w:rFonts w:asciiTheme="majorBidi" w:hAnsiTheme="majorBidi" w:cstheme="majorBidi"/>
        </w:rPr>
        <w:instrText xml:space="preserve"> \* MERGEFORMAT </w:instrText>
      </w:r>
      <w:r w:rsidRPr="00D90936">
        <w:rPr>
          <w:rFonts w:asciiTheme="majorBidi" w:hAnsiTheme="majorBidi" w:cstheme="majorBidi"/>
        </w:rPr>
      </w:r>
      <w:r w:rsidRPr="00D90936">
        <w:rPr>
          <w:rFonts w:asciiTheme="majorBidi" w:hAnsiTheme="majorBidi" w:cstheme="majorBidi"/>
        </w:rPr>
        <w:fldChar w:fldCharType="separate"/>
      </w:r>
      <w:r w:rsidR="00A73EB9">
        <w:rPr>
          <w:rFonts w:asciiTheme="majorBidi" w:hAnsiTheme="majorBidi" w:cstheme="majorBidi"/>
        </w:rPr>
        <w:t>392</w:t>
      </w:r>
      <w:r w:rsidRPr="00D90936">
        <w:rPr>
          <w:rFonts w:asciiTheme="majorBidi" w:hAnsiTheme="majorBidi" w:cstheme="majorBidi"/>
        </w:rPr>
        <w:fldChar w:fldCharType="end"/>
      </w:r>
      <w:r w:rsidRPr="00FC031D">
        <w:rPr>
          <w:rFonts w:hint="eastAsia"/>
        </w:rPr>
        <w:t>)</w:t>
      </w:r>
      <w:r w:rsidRPr="00FC031D">
        <w:rPr>
          <w:rFonts w:hint="eastAsia"/>
        </w:rPr>
        <w:t>，</w:t>
      </w:r>
      <w:r w:rsidRPr="00FC031D">
        <w:rPr>
          <w:rFonts w:hint="eastAsia"/>
          <w:w w:val="104"/>
        </w:rPr>
        <w:t>第</w:t>
      </w:r>
      <w:r w:rsidRPr="00FC031D">
        <w:rPr>
          <w:w w:val="104"/>
        </w:rPr>
        <w:t>231-232</w:t>
      </w:r>
      <w:r w:rsidRPr="00FC031D">
        <w:rPr>
          <w:rFonts w:hint="eastAsia"/>
          <w:lang w:val="fr-FR"/>
        </w:rPr>
        <w:t>页和第</w:t>
      </w:r>
      <w:r w:rsidRPr="00FC031D">
        <w:rPr>
          <w:w w:val="104"/>
        </w:rPr>
        <w:t>243-247</w:t>
      </w:r>
      <w:r w:rsidRPr="00FC031D">
        <w:rPr>
          <w:rFonts w:hint="eastAsia"/>
          <w:lang w:val="fr-FR"/>
        </w:rPr>
        <w:t>页</w:t>
      </w:r>
      <w:r w:rsidRPr="00FC031D">
        <w:rPr>
          <w:rFonts w:hint="eastAsia"/>
          <w:w w:val="104"/>
        </w:rPr>
        <w:t>；</w:t>
      </w:r>
      <w:r w:rsidRPr="00FC031D">
        <w:rPr>
          <w:w w:val="104"/>
        </w:rPr>
        <w:t xml:space="preserve">Aust, </w:t>
      </w:r>
      <w:r w:rsidRPr="00FC031D">
        <w:rPr>
          <w:rFonts w:hint="eastAsia"/>
        </w:rPr>
        <w:t>《现代条约法和实践》</w:t>
      </w:r>
      <w:r w:rsidRPr="00FC031D">
        <w:t>(</w:t>
      </w:r>
      <w:r w:rsidRPr="00FC031D">
        <w:rPr>
          <w:rFonts w:hint="eastAsia"/>
        </w:rPr>
        <w:t>见上文脚注</w:t>
      </w:r>
      <w:r>
        <w:fldChar w:fldCharType="begin"/>
      </w:r>
      <w:r>
        <w:instrText xml:space="preserve"> </w:instrText>
      </w:r>
      <w:r>
        <w:rPr>
          <w:rFonts w:hint="eastAsia"/>
        </w:rPr>
        <w:instrText>NOTEREF _Ref461972435 \h</w:instrText>
      </w:r>
      <w:r>
        <w:instrText xml:space="preserve"> </w:instrText>
      </w:r>
      <w:r>
        <w:fldChar w:fldCharType="separate"/>
      </w:r>
      <w:r w:rsidR="00A73EB9">
        <w:t>525</w:t>
      </w:r>
      <w:r>
        <w:fldChar w:fldCharType="end"/>
      </w:r>
      <w:r w:rsidRPr="00FC031D">
        <w:t>)</w:t>
      </w:r>
      <w:r w:rsidRPr="00FC031D">
        <w:t>，</w:t>
      </w:r>
      <w:r w:rsidRPr="00FC031D">
        <w:rPr>
          <w:rFonts w:hint="eastAsia"/>
          <w:w w:val="104"/>
        </w:rPr>
        <w:t>第</w:t>
      </w:r>
      <w:r w:rsidRPr="00FC031D">
        <w:rPr>
          <w:w w:val="104"/>
        </w:rPr>
        <w:t>213</w:t>
      </w:r>
      <w:r w:rsidRPr="00FC031D">
        <w:rPr>
          <w:rFonts w:hint="eastAsia"/>
          <w:lang w:val="fr-FR"/>
        </w:rPr>
        <w:t>页</w:t>
      </w:r>
      <w:r w:rsidRPr="00FC031D">
        <w:rPr>
          <w:rFonts w:hint="eastAsia"/>
          <w:w w:val="104"/>
        </w:rPr>
        <w:t>；</w:t>
      </w:r>
      <w:r w:rsidRPr="00FC031D">
        <w:rPr>
          <w:w w:val="104"/>
        </w:rPr>
        <w:t>Dörr,</w:t>
      </w:r>
      <w:r w:rsidRPr="00FC031D">
        <w:rPr>
          <w:rFonts w:hint="eastAsia"/>
          <w:w w:val="104"/>
        </w:rPr>
        <w:t>“</w:t>
      </w:r>
      <w:r w:rsidRPr="00FC031D">
        <w:rPr>
          <w:rFonts w:hint="eastAsia"/>
        </w:rPr>
        <w:t>第三十一条……”</w:t>
      </w:r>
      <w:r w:rsidRPr="00FC031D">
        <w:t>(</w:t>
      </w:r>
      <w:r w:rsidRPr="00FC031D">
        <w:rPr>
          <w:rFonts w:hint="eastAsia"/>
        </w:rPr>
        <w:t>见上文脚注</w:t>
      </w:r>
      <w:r>
        <w:fldChar w:fldCharType="begin"/>
      </w:r>
      <w:r>
        <w:instrText xml:space="preserve"> </w:instrText>
      </w:r>
      <w:r>
        <w:rPr>
          <w:rFonts w:hint="eastAsia"/>
        </w:rPr>
        <w:instrText>NOTEREF _Ref461972537 \h</w:instrText>
      </w:r>
      <w:r>
        <w:instrText xml:space="preserve"> </w:instrText>
      </w:r>
      <w:r>
        <w:fldChar w:fldCharType="separate"/>
      </w:r>
      <w:r w:rsidR="00A73EB9">
        <w:t>439</w:t>
      </w:r>
      <w:r>
        <w:fldChar w:fldCharType="end"/>
      </w:r>
      <w:r w:rsidRPr="00FC031D">
        <w:rPr>
          <w:rFonts w:hint="eastAsia"/>
        </w:rPr>
        <w:t>)</w:t>
      </w:r>
      <w:r w:rsidRPr="00FC031D">
        <w:t>，</w:t>
      </w:r>
      <w:r w:rsidRPr="00FC031D">
        <w:rPr>
          <w:rFonts w:hint="eastAsia"/>
          <w:lang w:val="fr-FR"/>
        </w:rPr>
        <w:t>第</w:t>
      </w:r>
      <w:r w:rsidRPr="00FC031D">
        <w:rPr>
          <w:w w:val="104"/>
        </w:rPr>
        <w:t>554</w:t>
      </w:r>
      <w:r w:rsidRPr="00FC031D">
        <w:rPr>
          <w:rFonts w:hint="eastAsia"/>
          <w:lang w:val="fr-FR"/>
        </w:rPr>
        <w:t>页</w:t>
      </w:r>
      <w:r w:rsidRPr="00FC031D">
        <w:rPr>
          <w:rFonts w:hint="eastAsia"/>
        </w:rPr>
        <w:t>，</w:t>
      </w:r>
      <w:r w:rsidRPr="00FC031D">
        <w:rPr>
          <w:rFonts w:hint="eastAsia"/>
          <w:lang w:val="fr-FR"/>
        </w:rPr>
        <w:t>第</w:t>
      </w:r>
      <w:r w:rsidRPr="00FC031D">
        <w:t>75</w:t>
      </w:r>
      <w:r w:rsidRPr="00FC031D">
        <w:rPr>
          <w:rFonts w:hint="eastAsia"/>
          <w:lang w:val="fr-FR"/>
        </w:rPr>
        <w:t>段</w:t>
      </w:r>
      <w:r w:rsidRPr="00FC031D">
        <w:rPr>
          <w:rFonts w:hint="eastAsia"/>
          <w:w w:val="104"/>
        </w:rPr>
        <w:t>；</w:t>
      </w:r>
      <w:r w:rsidRPr="00FC031D">
        <w:rPr>
          <w:w w:val="104"/>
        </w:rPr>
        <w:t>R. Gardiner,</w:t>
      </w:r>
      <w:r w:rsidRPr="00FC031D">
        <w:rPr>
          <w:rFonts w:hint="eastAsia"/>
          <w:w w:val="104"/>
        </w:rPr>
        <w:t>“</w:t>
      </w:r>
      <w:r w:rsidRPr="00FC031D">
        <w:rPr>
          <w:rFonts w:hint="eastAsia"/>
          <w:lang w:val="fr-FR"/>
        </w:rPr>
        <w:t>关于条约解释的维也纳公约法则</w:t>
      </w:r>
      <w:r w:rsidRPr="00FC031D">
        <w:rPr>
          <w:rFonts w:hint="eastAsia"/>
        </w:rPr>
        <w:t>”，</w:t>
      </w:r>
      <w:r w:rsidRPr="00FC031D">
        <w:rPr>
          <w:rFonts w:hint="eastAsia"/>
          <w:lang w:val="fr-FR"/>
        </w:rPr>
        <w:t>出自</w:t>
      </w:r>
      <w:r w:rsidRPr="00FC031D">
        <w:rPr>
          <w:w w:val="104"/>
        </w:rPr>
        <w:t xml:space="preserve">D. </w:t>
      </w:r>
      <w:r w:rsidRPr="00FC031D">
        <w:rPr>
          <w:lang w:val="fr-FR"/>
        </w:rPr>
        <w:t xml:space="preserve">B. Hollis </w:t>
      </w:r>
      <w:r w:rsidRPr="00FC031D">
        <w:rPr>
          <w:rFonts w:hint="eastAsia"/>
          <w:lang w:val="fr-FR"/>
        </w:rPr>
        <w:t>所编《牛津条约指南》</w:t>
      </w:r>
      <w:r w:rsidRPr="00FC031D">
        <w:rPr>
          <w:lang w:val="fr-FR"/>
        </w:rPr>
        <w:t>(</w:t>
      </w:r>
      <w:r w:rsidRPr="00FC031D">
        <w:rPr>
          <w:rFonts w:hint="eastAsia"/>
          <w:lang w:val="fr-FR"/>
        </w:rPr>
        <w:t>牛津，牛津大学出版社，</w:t>
      </w:r>
      <w:r w:rsidRPr="00FC031D">
        <w:rPr>
          <w:lang w:val="fr-FR"/>
        </w:rPr>
        <w:t>2012</w:t>
      </w:r>
      <w:r w:rsidRPr="00FC031D">
        <w:rPr>
          <w:rFonts w:hint="eastAsia"/>
          <w:lang w:val="fr-FR"/>
        </w:rPr>
        <w:t>年</w:t>
      </w:r>
      <w:r w:rsidRPr="00FC031D">
        <w:rPr>
          <w:lang w:val="fr-FR"/>
        </w:rPr>
        <w:t>)</w:t>
      </w:r>
      <w:r w:rsidRPr="00FC031D">
        <w:rPr>
          <w:rFonts w:hint="eastAsia"/>
          <w:lang w:val="fr-FR"/>
        </w:rPr>
        <w:t>，</w:t>
      </w:r>
      <w:r w:rsidRPr="00FC031D">
        <w:rPr>
          <w:lang w:val="fr-FR"/>
        </w:rPr>
        <w:t>第</w:t>
      </w:r>
      <w:r w:rsidRPr="00FC031D">
        <w:rPr>
          <w:w w:val="104"/>
          <w:lang w:val="fr-FR"/>
        </w:rPr>
        <w:t>475</w:t>
      </w:r>
      <w:r w:rsidRPr="00FC031D">
        <w:rPr>
          <w:w w:val="104"/>
          <w:lang w:val="fr-FR"/>
        </w:rPr>
        <w:t>和</w:t>
      </w:r>
      <w:r w:rsidRPr="00FC031D">
        <w:rPr>
          <w:w w:val="104"/>
          <w:lang w:val="fr-FR"/>
        </w:rPr>
        <w:t>483</w:t>
      </w:r>
      <w:r w:rsidRPr="00FC031D">
        <w:rPr>
          <w:w w:val="104"/>
          <w:lang w:val="fr-FR"/>
        </w:rPr>
        <w:t>页</w:t>
      </w:r>
      <w:r w:rsidRPr="00FC031D">
        <w:rPr>
          <w:rFonts w:hint="eastAsia"/>
          <w:lang w:val="fr-FR"/>
        </w:rPr>
        <w:t>。</w:t>
      </w:r>
    </w:p>
  </w:footnote>
  <w:footnote w:id="800">
    <w:p w:rsidR="00AB00DE" w:rsidRPr="00FC031D" w:rsidRDefault="00AB00DE" w:rsidP="00267AB1">
      <w:pPr>
        <w:pStyle w:val="a4"/>
        <w:rPr>
          <w:lang w:val="fr-FR"/>
        </w:rPr>
      </w:pPr>
      <w:r w:rsidRPr="00FC031D">
        <w:rPr>
          <w:lang w:val="fr-FR"/>
        </w:rPr>
        <w:tab/>
      </w:r>
      <w:r w:rsidRPr="00DF5565">
        <w:rPr>
          <w:color w:val="0000FF"/>
          <w:sz w:val="21"/>
          <w:vertAlign w:val="superscript"/>
        </w:rPr>
        <w:footnoteRef/>
      </w:r>
      <w:r w:rsidRPr="00DF5565">
        <w:rPr>
          <w:color w:val="0000FF"/>
          <w:sz w:val="21"/>
          <w:vertAlign w:val="superscript"/>
        </w:rPr>
        <w:tab/>
      </w:r>
      <w:r w:rsidRPr="00FC031D">
        <w:t>见上文</w:t>
      </w:r>
      <w:r w:rsidRPr="00FC031D">
        <w:rPr>
          <w:rFonts w:hint="eastAsia"/>
        </w:rPr>
        <w:t>结论草案</w:t>
      </w:r>
      <w:r w:rsidRPr="00FC031D">
        <w:rPr>
          <w:rFonts w:hint="eastAsia"/>
        </w:rPr>
        <w:t>4</w:t>
      </w:r>
      <w:r w:rsidRPr="00FC031D">
        <w:rPr>
          <w:rFonts w:hint="eastAsia"/>
        </w:rPr>
        <w:t>的评注</w:t>
      </w:r>
      <w:r w:rsidRPr="00FC031D">
        <w:rPr>
          <w:rFonts w:hint="eastAsia"/>
          <w:lang w:val="fr-FR"/>
        </w:rPr>
        <w:t>，</w:t>
      </w:r>
      <w:r w:rsidRPr="00FC031D">
        <w:rPr>
          <w:rFonts w:hint="eastAsia"/>
        </w:rPr>
        <w:t>第</w:t>
      </w:r>
      <w:r w:rsidRPr="00FC031D">
        <w:t>(</w:t>
      </w:r>
      <w:r w:rsidRPr="00FC031D">
        <w:rPr>
          <w:lang w:val="fr-FR"/>
        </w:rPr>
        <w:t>10)</w:t>
      </w:r>
      <w:r w:rsidRPr="00FC031D">
        <w:rPr>
          <w:rFonts w:hint="eastAsia"/>
        </w:rPr>
        <w:t>段</w:t>
      </w:r>
      <w:r w:rsidRPr="00FC031D">
        <w:rPr>
          <w:w w:val="104"/>
          <w:lang w:val="fr-FR"/>
        </w:rPr>
        <w:t>；</w:t>
      </w:r>
      <w:r w:rsidRPr="00FC031D">
        <w:rPr>
          <w:rFonts w:hint="eastAsia"/>
          <w:lang w:val="fr-FR"/>
        </w:rPr>
        <w:t>“一次共同的行动”也可能包括交换信件，见</w:t>
      </w:r>
      <w:r w:rsidRPr="007866F0">
        <w:rPr>
          <w:rFonts w:eastAsia="楷体"/>
          <w:lang w:val="fr-FR"/>
        </w:rPr>
        <w:t>欧洲分子生物实验室仲裁案</w:t>
      </w:r>
      <w:r w:rsidRPr="007866F0">
        <w:rPr>
          <w:rFonts w:eastAsia="楷体"/>
          <w:lang w:val="fr-FR"/>
        </w:rPr>
        <w:t>(</w:t>
      </w:r>
      <w:r w:rsidRPr="007866F0">
        <w:rPr>
          <w:rFonts w:eastAsia="楷体"/>
          <w:lang w:val="fr-FR"/>
        </w:rPr>
        <w:t>欧洲分子生物实验室诉德国</w:t>
      </w:r>
      <w:r w:rsidRPr="007866F0">
        <w:rPr>
          <w:rFonts w:eastAsia="楷体"/>
          <w:lang w:val="fr-FR"/>
        </w:rPr>
        <w:t>)</w:t>
      </w:r>
      <w:r w:rsidRPr="007866F0">
        <w:rPr>
          <w:rFonts w:eastAsia="楷体"/>
          <w:lang w:val="fr-FR"/>
        </w:rPr>
        <w:t>，</w:t>
      </w:r>
      <w:r w:rsidRPr="007866F0">
        <w:rPr>
          <w:rFonts w:eastAsia="楷体"/>
          <w:lang w:val="fr-FR"/>
        </w:rPr>
        <w:t>1990</w:t>
      </w:r>
      <w:r w:rsidRPr="007866F0">
        <w:rPr>
          <w:rFonts w:eastAsia="楷体"/>
          <w:lang w:val="fr-FR"/>
        </w:rPr>
        <w:t>年</w:t>
      </w:r>
      <w:r w:rsidRPr="007866F0">
        <w:rPr>
          <w:rFonts w:eastAsia="楷体"/>
          <w:lang w:val="fr-FR"/>
        </w:rPr>
        <w:t>6</w:t>
      </w:r>
      <w:r w:rsidRPr="007866F0">
        <w:rPr>
          <w:rFonts w:eastAsia="楷体"/>
          <w:lang w:val="fr-FR"/>
        </w:rPr>
        <w:t>月</w:t>
      </w:r>
      <w:r w:rsidRPr="007866F0">
        <w:rPr>
          <w:rFonts w:eastAsia="楷体"/>
          <w:lang w:val="fr-FR"/>
        </w:rPr>
        <w:t>29</w:t>
      </w:r>
      <w:r w:rsidRPr="007866F0">
        <w:rPr>
          <w:rFonts w:eastAsia="楷体"/>
          <w:lang w:val="fr-FR"/>
        </w:rPr>
        <w:t>日，</w:t>
      </w:r>
      <w:r w:rsidRPr="00FC031D">
        <w:rPr>
          <w:rFonts w:hint="eastAsia"/>
          <w:lang w:val="fr-FR"/>
        </w:rPr>
        <w:t>《国际法案例汇编》</w:t>
      </w:r>
      <w:r w:rsidRPr="00FC031D">
        <w:rPr>
          <w:rFonts w:hint="eastAsia"/>
          <w:w w:val="104"/>
          <w:lang w:val="fr-FR"/>
        </w:rPr>
        <w:t>，</w:t>
      </w:r>
      <w:r w:rsidRPr="00FC031D">
        <w:rPr>
          <w:rFonts w:hint="eastAsia"/>
          <w:lang w:val="fr-FR"/>
        </w:rPr>
        <w:t>第</w:t>
      </w:r>
      <w:r w:rsidRPr="00FC031D">
        <w:rPr>
          <w:w w:val="104"/>
          <w:lang w:val="fr-FR"/>
        </w:rPr>
        <w:t>105</w:t>
      </w:r>
      <w:r w:rsidRPr="00FC031D">
        <w:rPr>
          <w:rFonts w:hint="eastAsia"/>
          <w:lang w:val="fr-FR"/>
        </w:rPr>
        <w:t>卷</w:t>
      </w:r>
      <w:r w:rsidRPr="00FC031D">
        <w:rPr>
          <w:lang w:val="fr-FR"/>
        </w:rPr>
        <w:t>(1997</w:t>
      </w:r>
      <w:r w:rsidRPr="00FC031D">
        <w:rPr>
          <w:lang w:val="fr-FR"/>
        </w:rPr>
        <w:t>年</w:t>
      </w:r>
      <w:r w:rsidRPr="00FC031D">
        <w:rPr>
          <w:lang w:val="fr-FR"/>
        </w:rPr>
        <w:t>)</w:t>
      </w:r>
      <w:r w:rsidRPr="00FC031D">
        <w:rPr>
          <w:rFonts w:hint="eastAsia"/>
          <w:lang w:val="fr-FR"/>
        </w:rPr>
        <w:t>，第</w:t>
      </w:r>
      <w:r w:rsidRPr="00FC031D">
        <w:rPr>
          <w:lang w:val="fr-FR"/>
        </w:rPr>
        <w:t>1</w:t>
      </w:r>
      <w:r w:rsidRPr="00FC031D">
        <w:rPr>
          <w:rFonts w:hint="eastAsia"/>
          <w:lang w:val="fr-FR"/>
        </w:rPr>
        <w:t>页起，见第</w:t>
      </w:r>
      <w:r w:rsidRPr="00FC031D">
        <w:rPr>
          <w:w w:val="104"/>
          <w:lang w:val="fr-FR"/>
        </w:rPr>
        <w:t>54-56</w:t>
      </w:r>
      <w:r w:rsidRPr="00FC031D">
        <w:rPr>
          <w:rFonts w:hint="eastAsia"/>
          <w:lang w:val="fr-FR"/>
        </w:rPr>
        <w:t>页</w:t>
      </w:r>
      <w:r w:rsidRPr="00FC031D">
        <w:rPr>
          <w:rFonts w:hint="eastAsia"/>
          <w:w w:val="104"/>
          <w:lang w:val="fr-FR"/>
        </w:rPr>
        <w:t>；</w:t>
      </w:r>
      <w:r w:rsidRPr="00FC031D">
        <w:rPr>
          <w:w w:val="104"/>
          <w:lang w:val="fr-FR"/>
        </w:rPr>
        <w:t>Fox,</w:t>
      </w:r>
      <w:r w:rsidRPr="00FC031D">
        <w:rPr>
          <w:rFonts w:hint="eastAsia"/>
          <w:w w:val="104"/>
          <w:lang w:val="fr-FR"/>
        </w:rPr>
        <w:t>“</w:t>
      </w:r>
      <w:r w:rsidRPr="00FC031D">
        <w:rPr>
          <w:rFonts w:hint="eastAsia"/>
        </w:rPr>
        <w:t>……</w:t>
      </w:r>
      <w:r w:rsidRPr="00FC031D">
        <w:rPr>
          <w:rFonts w:hint="eastAsia"/>
          <w:lang w:val="fr-FR"/>
        </w:rPr>
        <w:t>第三十一条第三款</w:t>
      </w:r>
      <w:r w:rsidRPr="00FC031D">
        <w:rPr>
          <w:lang w:val="fr-FR"/>
        </w:rPr>
        <w:t>(a)</w:t>
      </w:r>
      <w:r w:rsidRPr="00FC031D">
        <w:rPr>
          <w:lang w:val="fr-FR"/>
        </w:rPr>
        <w:t>项</w:t>
      </w:r>
      <w:r w:rsidRPr="00FC031D">
        <w:rPr>
          <w:rFonts w:hint="eastAsia"/>
          <w:lang w:val="fr-FR"/>
        </w:rPr>
        <w:t>和</w:t>
      </w:r>
      <w:r w:rsidRPr="00FC031D">
        <w:t>(b)</w:t>
      </w:r>
      <w:r w:rsidRPr="00FC031D">
        <w:rPr>
          <w:rFonts w:hint="eastAsia"/>
          <w:lang w:val="fr-FR"/>
        </w:rPr>
        <w:t>项</w:t>
      </w:r>
      <w:r w:rsidRPr="00FC031D">
        <w:rPr>
          <w:rFonts w:hint="eastAsia"/>
        </w:rPr>
        <w:t>……</w:t>
      </w:r>
      <w:r w:rsidRPr="00FC031D">
        <w:rPr>
          <w:rFonts w:hint="eastAsia"/>
          <w:lang w:val="fr-FR"/>
        </w:rPr>
        <w:t>”</w:t>
      </w:r>
      <w:r w:rsidRPr="00FC031D">
        <w:rPr>
          <w:lang w:val="fr-FR"/>
        </w:rPr>
        <w:t>(</w:t>
      </w:r>
      <w:r w:rsidRPr="00FC031D">
        <w:rPr>
          <w:lang w:val="fr-FR"/>
        </w:rPr>
        <w:t>上文脚注</w:t>
      </w:r>
      <w:r>
        <w:rPr>
          <w:lang w:val="fr-FR"/>
        </w:rPr>
        <w:fldChar w:fldCharType="begin"/>
      </w:r>
      <w:r>
        <w:rPr>
          <w:lang w:val="fr-FR"/>
        </w:rPr>
        <w:instrText xml:space="preserve"> NOTEREF _Ref461973900 \h </w:instrText>
      </w:r>
      <w:r>
        <w:rPr>
          <w:lang w:val="fr-FR"/>
        </w:rPr>
      </w:r>
      <w:r>
        <w:rPr>
          <w:lang w:val="fr-FR"/>
        </w:rPr>
        <w:fldChar w:fldCharType="separate"/>
      </w:r>
      <w:r w:rsidR="00A73EB9">
        <w:rPr>
          <w:lang w:val="fr-FR"/>
        </w:rPr>
        <w:t>440</w:t>
      </w:r>
      <w:r>
        <w:rPr>
          <w:lang w:val="fr-FR"/>
        </w:rPr>
        <w:fldChar w:fldCharType="end"/>
      </w:r>
      <w:r w:rsidRPr="00FC031D">
        <w:rPr>
          <w:lang w:val="fr-FR"/>
        </w:rPr>
        <w:t>)</w:t>
      </w:r>
      <w:r w:rsidRPr="00FC031D">
        <w:rPr>
          <w:rFonts w:hint="eastAsia"/>
          <w:lang w:val="fr-FR"/>
        </w:rPr>
        <w:t>，第</w:t>
      </w:r>
      <w:r w:rsidRPr="00FC031D">
        <w:rPr>
          <w:lang w:val="fr-FR"/>
        </w:rPr>
        <w:t>63</w:t>
      </w:r>
      <w:r w:rsidRPr="00FC031D">
        <w:rPr>
          <w:rFonts w:hint="eastAsia"/>
          <w:lang w:val="fr-FR"/>
        </w:rPr>
        <w:t>页；</w:t>
      </w:r>
      <w:r w:rsidRPr="00FC031D">
        <w:rPr>
          <w:w w:val="104"/>
          <w:lang w:val="fr-FR"/>
        </w:rPr>
        <w:t xml:space="preserve">Gardiner, </w:t>
      </w:r>
      <w:r w:rsidRPr="00FC031D">
        <w:rPr>
          <w:rFonts w:hint="eastAsia"/>
          <w:w w:val="104"/>
          <w:lang w:val="fr-FR"/>
        </w:rPr>
        <w:t>《条约解释》</w:t>
      </w:r>
      <w:r w:rsidRPr="00FC031D">
        <w:t>(</w:t>
      </w:r>
      <w:r w:rsidRPr="00FC031D">
        <w:rPr>
          <w:rFonts w:hint="eastAsia"/>
        </w:rPr>
        <w:t>见上文脚注</w:t>
      </w:r>
      <w:r w:rsidRPr="00D90936">
        <w:rPr>
          <w:rFonts w:asciiTheme="majorBidi" w:hAnsiTheme="majorBidi" w:cstheme="majorBidi"/>
        </w:rPr>
        <w:fldChar w:fldCharType="begin"/>
      </w:r>
      <w:r w:rsidRPr="00D90936">
        <w:rPr>
          <w:rFonts w:asciiTheme="majorBidi" w:hAnsiTheme="majorBidi" w:cstheme="majorBidi"/>
        </w:rPr>
        <w:instrText xml:space="preserve"> NOTEREF _Ref461971974 \h </w:instrText>
      </w:r>
      <w:r>
        <w:rPr>
          <w:rFonts w:asciiTheme="majorBidi" w:hAnsiTheme="majorBidi" w:cstheme="majorBidi"/>
        </w:rPr>
        <w:instrText xml:space="preserve"> \* MERGEFORMAT </w:instrText>
      </w:r>
      <w:r w:rsidRPr="00D90936">
        <w:rPr>
          <w:rFonts w:asciiTheme="majorBidi" w:hAnsiTheme="majorBidi" w:cstheme="majorBidi"/>
        </w:rPr>
      </w:r>
      <w:r w:rsidRPr="00D90936">
        <w:rPr>
          <w:rFonts w:asciiTheme="majorBidi" w:hAnsiTheme="majorBidi" w:cstheme="majorBidi"/>
        </w:rPr>
        <w:fldChar w:fldCharType="separate"/>
      </w:r>
      <w:r w:rsidR="00A73EB9">
        <w:rPr>
          <w:rFonts w:asciiTheme="majorBidi" w:hAnsiTheme="majorBidi" w:cstheme="majorBidi"/>
        </w:rPr>
        <w:t>392</w:t>
      </w:r>
      <w:r w:rsidRPr="00D90936">
        <w:rPr>
          <w:rFonts w:asciiTheme="majorBidi" w:hAnsiTheme="majorBidi" w:cstheme="majorBidi"/>
        </w:rPr>
        <w:fldChar w:fldCharType="end"/>
      </w:r>
      <w:r w:rsidRPr="00FC031D">
        <w:rPr>
          <w:rFonts w:hint="eastAsia"/>
        </w:rPr>
        <w:t>)</w:t>
      </w:r>
      <w:r w:rsidRPr="00FC031D">
        <w:rPr>
          <w:rFonts w:hint="eastAsia"/>
        </w:rPr>
        <w:t>，</w:t>
      </w:r>
      <w:r w:rsidRPr="00FC031D">
        <w:rPr>
          <w:rFonts w:hint="eastAsia"/>
          <w:w w:val="104"/>
          <w:lang w:val="fr-FR"/>
        </w:rPr>
        <w:t>第</w:t>
      </w:r>
      <w:r w:rsidRPr="00FC031D">
        <w:rPr>
          <w:w w:val="104"/>
          <w:lang w:val="fr-FR"/>
        </w:rPr>
        <w:t>248-249</w:t>
      </w:r>
      <w:r w:rsidRPr="00FC031D">
        <w:rPr>
          <w:rFonts w:hint="eastAsia"/>
          <w:lang w:val="fr-FR"/>
        </w:rPr>
        <w:t>页。</w:t>
      </w:r>
    </w:p>
  </w:footnote>
  <w:footnote w:id="801">
    <w:p w:rsidR="00AB00DE" w:rsidRPr="00FC031D" w:rsidRDefault="00AB00DE" w:rsidP="00267AB1">
      <w:pPr>
        <w:pStyle w:val="a4"/>
        <w:rPr>
          <w:lang w:val="fr-FR"/>
        </w:rPr>
      </w:pPr>
      <w:r w:rsidRPr="00FC031D">
        <w:rPr>
          <w:lang w:val="fr-FR"/>
        </w:rPr>
        <w:tab/>
      </w:r>
      <w:r w:rsidRPr="00DF5565">
        <w:rPr>
          <w:color w:val="0000FF"/>
          <w:sz w:val="21"/>
          <w:vertAlign w:val="superscript"/>
        </w:rPr>
        <w:footnoteRef/>
      </w:r>
      <w:r w:rsidRPr="00DF5565">
        <w:rPr>
          <w:color w:val="0000FF"/>
          <w:sz w:val="21"/>
          <w:vertAlign w:val="superscript"/>
          <w:lang w:val="fr-FR"/>
        </w:rPr>
        <w:tab/>
      </w:r>
      <w:r w:rsidRPr="00FC031D">
        <w:rPr>
          <w:w w:val="104"/>
          <w:lang w:val="fr-FR"/>
        </w:rPr>
        <w:t>Aust,</w:t>
      </w:r>
      <w:r w:rsidRPr="00FC031D">
        <w:rPr>
          <w:rFonts w:hint="eastAsia"/>
          <w:w w:val="104"/>
          <w:lang w:val="fr-FR"/>
        </w:rPr>
        <w:t>“</w:t>
      </w:r>
      <w:r w:rsidRPr="00FC031D">
        <w:rPr>
          <w:rFonts w:hint="eastAsia"/>
        </w:rPr>
        <w:t>非正式国际文书的理论与实践</w:t>
      </w:r>
      <w:r w:rsidRPr="00FC031D">
        <w:rPr>
          <w:rFonts w:hint="eastAsia"/>
          <w:lang w:val="fr-FR"/>
        </w:rPr>
        <w:t>”</w:t>
      </w:r>
      <w:r w:rsidRPr="00FC031D">
        <w:rPr>
          <w:lang w:val="fr-FR"/>
        </w:rPr>
        <w:t>(</w:t>
      </w:r>
      <w:r w:rsidRPr="00FC031D">
        <w:rPr>
          <w:rFonts w:hint="eastAsia"/>
        </w:rPr>
        <w:t>见上文脚注</w:t>
      </w:r>
      <w:r>
        <w:fldChar w:fldCharType="begin"/>
      </w:r>
      <w:r>
        <w:instrText xml:space="preserve"> </w:instrText>
      </w:r>
      <w:r>
        <w:rPr>
          <w:rFonts w:hint="eastAsia"/>
        </w:rPr>
        <w:instrText>NOTEREF _Ref321219754 \h</w:instrText>
      </w:r>
      <w:r>
        <w:instrText xml:space="preserve"> </w:instrText>
      </w:r>
      <w:r>
        <w:fldChar w:fldCharType="separate"/>
      </w:r>
      <w:r w:rsidR="00A73EB9">
        <w:t>465</w:t>
      </w:r>
      <w:r>
        <w:fldChar w:fldCharType="end"/>
      </w:r>
      <w:r w:rsidRPr="00FC031D">
        <w:rPr>
          <w:lang w:val="fr-FR"/>
        </w:rPr>
        <w:t>)</w:t>
      </w:r>
      <w:r w:rsidRPr="00FC031D">
        <w:rPr>
          <w:lang w:val="fr-FR"/>
        </w:rPr>
        <w:t>，</w:t>
      </w:r>
      <w:r w:rsidRPr="00FC031D">
        <w:rPr>
          <w:rFonts w:hint="eastAsia"/>
        </w:rPr>
        <w:t>第</w:t>
      </w:r>
      <w:r w:rsidRPr="00FC031D">
        <w:rPr>
          <w:w w:val="104"/>
          <w:lang w:val="fr-FR"/>
        </w:rPr>
        <w:t>789-790</w:t>
      </w:r>
      <w:r w:rsidRPr="00FC031D">
        <w:rPr>
          <w:rFonts w:hint="eastAsia"/>
          <w:lang w:val="fr-FR"/>
        </w:rPr>
        <w:t>页。</w:t>
      </w:r>
    </w:p>
  </w:footnote>
  <w:footnote w:id="802">
    <w:p w:rsidR="00AB00DE" w:rsidRPr="00FC031D" w:rsidRDefault="00AB00DE" w:rsidP="00D90936">
      <w:pPr>
        <w:pStyle w:val="a4"/>
      </w:pPr>
      <w:r w:rsidRPr="00FC031D">
        <w:rPr>
          <w:lang w:val="fr-FR"/>
        </w:rPr>
        <w:tab/>
      </w:r>
      <w:r w:rsidRPr="00DF5565">
        <w:rPr>
          <w:color w:val="0000FF"/>
          <w:sz w:val="21"/>
          <w:vertAlign w:val="superscript"/>
        </w:rPr>
        <w:footnoteRef/>
      </w:r>
      <w:r w:rsidRPr="00DF5565">
        <w:rPr>
          <w:color w:val="0000FF"/>
          <w:sz w:val="21"/>
          <w:vertAlign w:val="superscript"/>
        </w:rPr>
        <w:tab/>
      </w:r>
      <w:r w:rsidRPr="007866F0">
        <w:rPr>
          <w:rFonts w:eastAsia="楷体"/>
        </w:rPr>
        <w:t>卡西基里</w:t>
      </w:r>
      <w:r w:rsidRPr="007866F0">
        <w:rPr>
          <w:rFonts w:eastAsia="楷体"/>
        </w:rPr>
        <w:t>/</w:t>
      </w:r>
      <w:r w:rsidRPr="007866F0">
        <w:rPr>
          <w:rFonts w:eastAsia="楷体"/>
        </w:rPr>
        <w:t>塞杜杜岛案</w:t>
      </w:r>
      <w:r w:rsidRPr="007866F0">
        <w:rPr>
          <w:rFonts w:eastAsia="楷体"/>
        </w:rPr>
        <w:t>(</w:t>
      </w:r>
      <w:r w:rsidRPr="00FC031D">
        <w:rPr>
          <w:rFonts w:hint="eastAsia"/>
        </w:rPr>
        <w:t>见上文脚注</w:t>
      </w:r>
      <w:r>
        <w:rPr>
          <w:lang w:val="zh-CN"/>
        </w:rPr>
        <w:fldChar w:fldCharType="begin"/>
      </w:r>
      <w:r>
        <w:rPr>
          <w:lang w:val="zh-CN"/>
        </w:rPr>
        <w:instrText xml:space="preserve"> NOTEREF _Ref461971066 \h </w:instrText>
      </w:r>
      <w:r>
        <w:rPr>
          <w:lang w:val="zh-CN"/>
        </w:rPr>
      </w:r>
      <w:r>
        <w:rPr>
          <w:lang w:val="zh-CN"/>
        </w:rPr>
        <w:fldChar w:fldCharType="separate"/>
      </w:r>
      <w:r w:rsidR="00A73EB9">
        <w:rPr>
          <w:lang w:val="zh-CN"/>
        </w:rPr>
        <w:t>395</w:t>
      </w:r>
      <w:r>
        <w:rPr>
          <w:lang w:val="zh-CN"/>
        </w:rPr>
        <w:fldChar w:fldCharType="end"/>
      </w:r>
      <w:r w:rsidRPr="00FC031D">
        <w:rPr>
          <w:rFonts w:hint="eastAsia"/>
        </w:rPr>
        <w:t>)</w:t>
      </w:r>
      <w:r w:rsidRPr="007866F0">
        <w:rPr>
          <w:rFonts w:eastAsia="楷体"/>
          <w:w w:val="104"/>
        </w:rPr>
        <w:t>，</w:t>
      </w:r>
      <w:r w:rsidRPr="00FC031D">
        <w:rPr>
          <w:rFonts w:hint="eastAsia"/>
        </w:rPr>
        <w:t>第</w:t>
      </w:r>
      <w:r w:rsidRPr="00FC031D">
        <w:t>1094</w:t>
      </w:r>
      <w:r w:rsidRPr="00FC031D">
        <w:rPr>
          <w:rFonts w:hint="eastAsia"/>
        </w:rPr>
        <w:t>页，第</w:t>
      </w:r>
      <w:r w:rsidRPr="00FC031D">
        <w:t>74</w:t>
      </w:r>
      <w:r w:rsidRPr="00FC031D">
        <w:rPr>
          <w:rFonts w:hint="eastAsia"/>
        </w:rPr>
        <w:t>段</w:t>
      </w:r>
      <w:r w:rsidRPr="00FC031D">
        <w:t>(</w:t>
      </w:r>
      <w:r w:rsidRPr="00FC031D">
        <w:rPr>
          <w:rFonts w:hint="eastAsia"/>
          <w:lang w:val="fr-FR"/>
        </w:rPr>
        <w:t>“</w:t>
      </w:r>
      <w:r w:rsidRPr="00FC031D">
        <w:rPr>
          <w:rFonts w:hint="eastAsia"/>
        </w:rPr>
        <w:t>马苏比亚部族对岛屿的占领”</w:t>
      </w:r>
      <w:r w:rsidRPr="00FC031D">
        <w:t>)</w:t>
      </w:r>
      <w:r w:rsidRPr="00FC031D">
        <w:rPr>
          <w:rFonts w:hint="eastAsia"/>
        </w:rPr>
        <w:t>和第</w:t>
      </w:r>
      <w:r w:rsidRPr="00FC031D">
        <w:t>1077</w:t>
      </w:r>
      <w:r w:rsidRPr="00FC031D">
        <w:rPr>
          <w:rFonts w:hint="eastAsia"/>
        </w:rPr>
        <w:t>页，第</w:t>
      </w:r>
      <w:r w:rsidRPr="00FC031D">
        <w:t>55</w:t>
      </w:r>
      <w:r w:rsidRPr="00FC031D">
        <w:rPr>
          <w:rFonts w:hint="eastAsia"/>
        </w:rPr>
        <w:t>段</w:t>
      </w:r>
      <w:r w:rsidRPr="00FC031D">
        <w:t>(</w:t>
      </w:r>
      <w:r w:rsidRPr="00FC031D">
        <w:rPr>
          <w:rFonts w:hint="eastAsia"/>
        </w:rPr>
        <w:t>“似乎从未为德国所知的</w:t>
      </w:r>
      <w:r>
        <w:rPr>
          <w:rFonts w:hint="eastAsia"/>
        </w:rPr>
        <w:t>‘</w:t>
      </w:r>
      <w:r w:rsidRPr="00FC031D">
        <w:rPr>
          <w:rFonts w:hint="eastAsia"/>
        </w:rPr>
        <w:t>伊森报告</w:t>
      </w:r>
      <w:r>
        <w:rPr>
          <w:rFonts w:hint="eastAsia"/>
        </w:rPr>
        <w:t>’</w:t>
      </w:r>
      <w:r w:rsidRPr="00FC031D">
        <w:rPr>
          <w:rFonts w:hint="eastAsia"/>
        </w:rPr>
        <w:t>”</w:t>
      </w:r>
      <w:r w:rsidRPr="00FC031D">
        <w:t>)</w:t>
      </w:r>
      <w:r w:rsidRPr="00FC031D">
        <w:rPr>
          <w:rFonts w:hint="eastAsia"/>
          <w:w w:val="104"/>
        </w:rPr>
        <w:t>；</w:t>
      </w:r>
      <w:r w:rsidRPr="00FC031D">
        <w:rPr>
          <w:w w:val="104"/>
        </w:rPr>
        <w:t>Dörr,</w:t>
      </w:r>
      <w:r w:rsidRPr="00FC031D">
        <w:rPr>
          <w:rFonts w:hint="eastAsia"/>
          <w:w w:val="104"/>
        </w:rPr>
        <w:t>“</w:t>
      </w:r>
      <w:r w:rsidRPr="00FC031D">
        <w:rPr>
          <w:rFonts w:hint="eastAsia"/>
        </w:rPr>
        <w:t>第三十一条……”</w:t>
      </w:r>
      <w:r w:rsidRPr="00FC031D">
        <w:t>(</w:t>
      </w:r>
      <w:r w:rsidRPr="00FC031D">
        <w:rPr>
          <w:rFonts w:hint="eastAsia"/>
        </w:rPr>
        <w:t>见上文脚注</w:t>
      </w:r>
      <w:r>
        <w:fldChar w:fldCharType="begin"/>
      </w:r>
      <w:r>
        <w:instrText xml:space="preserve"> </w:instrText>
      </w:r>
      <w:r>
        <w:rPr>
          <w:rFonts w:hint="eastAsia"/>
        </w:rPr>
        <w:instrText>NOTEREF _Ref461972537 \h</w:instrText>
      </w:r>
      <w:r>
        <w:instrText xml:space="preserve"> </w:instrText>
      </w:r>
      <w:r>
        <w:fldChar w:fldCharType="separate"/>
      </w:r>
      <w:r w:rsidR="00A73EB9">
        <w:t>439</w:t>
      </w:r>
      <w:r>
        <w:fldChar w:fldCharType="end"/>
      </w:r>
      <w:r w:rsidRPr="00FC031D">
        <w:rPr>
          <w:rFonts w:hint="eastAsia"/>
        </w:rPr>
        <w:t>)</w:t>
      </w:r>
      <w:r w:rsidRPr="00FC031D">
        <w:t>，</w:t>
      </w:r>
      <w:r w:rsidRPr="00FC031D">
        <w:rPr>
          <w:rFonts w:hint="eastAsia"/>
        </w:rPr>
        <w:t>第</w:t>
      </w:r>
      <w:r w:rsidRPr="00FC031D">
        <w:rPr>
          <w:w w:val="104"/>
        </w:rPr>
        <w:t>560</w:t>
      </w:r>
      <w:r w:rsidRPr="00FC031D">
        <w:rPr>
          <w:rFonts w:hint="eastAsia"/>
        </w:rPr>
        <w:t>页，第</w:t>
      </w:r>
      <w:r w:rsidRPr="00FC031D">
        <w:t>88</w:t>
      </w:r>
      <w:r w:rsidRPr="00FC031D">
        <w:rPr>
          <w:rFonts w:hint="eastAsia"/>
        </w:rPr>
        <w:t>段。</w:t>
      </w:r>
    </w:p>
  </w:footnote>
  <w:footnote w:id="803">
    <w:p w:rsidR="00AB00DE" w:rsidRPr="00FC031D" w:rsidRDefault="00AB00DE" w:rsidP="00560424">
      <w:pPr>
        <w:pStyle w:val="a4"/>
      </w:pPr>
      <w:r w:rsidRPr="00FC031D">
        <w:tab/>
      </w:r>
      <w:r w:rsidRPr="00DF5565">
        <w:rPr>
          <w:color w:val="0000FF"/>
          <w:sz w:val="21"/>
          <w:vertAlign w:val="superscript"/>
        </w:rPr>
        <w:footnoteRef/>
      </w:r>
      <w:r w:rsidRPr="00DF5565">
        <w:rPr>
          <w:color w:val="0000FF"/>
          <w:sz w:val="21"/>
          <w:vertAlign w:val="superscript"/>
        </w:rPr>
        <w:tab/>
      </w:r>
      <w:r w:rsidRPr="00FC031D">
        <w:rPr>
          <w:rFonts w:hint="eastAsia"/>
        </w:rPr>
        <w:t>在这方面，确定第三十一条第三款</w:t>
      </w:r>
      <w:r w:rsidRPr="00FC031D">
        <w:t>(b)</w:t>
      </w:r>
      <w:r w:rsidRPr="00FC031D">
        <w:rPr>
          <w:rFonts w:hint="eastAsia"/>
        </w:rPr>
        <w:t>项所述嗣后惯例可能比形成习惯国际法的要求更严格，见</w:t>
      </w:r>
      <w:r w:rsidRPr="00FC031D">
        <w:rPr>
          <w:w w:val="104"/>
        </w:rPr>
        <w:t>Boisson de Chazournes,</w:t>
      </w:r>
      <w:r w:rsidRPr="00FC031D">
        <w:rPr>
          <w:rFonts w:hint="eastAsia"/>
          <w:w w:val="104"/>
        </w:rPr>
        <w:t>“</w:t>
      </w:r>
      <w:r w:rsidRPr="00FC031D">
        <w:rPr>
          <w:rFonts w:hint="eastAsia"/>
        </w:rPr>
        <w:t>嗣后惯例、惯例……”</w:t>
      </w:r>
      <w:r w:rsidRPr="00FC031D">
        <w:t>(</w:t>
      </w:r>
      <w:r w:rsidRPr="00FC031D">
        <w:rPr>
          <w:rFonts w:hint="eastAsia"/>
        </w:rPr>
        <w:t>上文脚注</w:t>
      </w:r>
      <w:r>
        <w:fldChar w:fldCharType="begin"/>
      </w:r>
      <w:r>
        <w:instrText xml:space="preserve"> </w:instrText>
      </w:r>
      <w:r>
        <w:rPr>
          <w:rFonts w:hint="eastAsia"/>
        </w:rPr>
        <w:instrText>NOTEREF _Ref461975924 \h</w:instrText>
      </w:r>
      <w:r>
        <w:instrText xml:space="preserve"> </w:instrText>
      </w:r>
      <w:r>
        <w:fldChar w:fldCharType="separate"/>
      </w:r>
      <w:r w:rsidR="00A73EB9">
        <w:t>415</w:t>
      </w:r>
      <w:r>
        <w:fldChar w:fldCharType="end"/>
      </w:r>
      <w:r w:rsidRPr="00FC031D">
        <w:rPr>
          <w:rFonts w:hint="eastAsia"/>
        </w:rPr>
        <w:t>)</w:t>
      </w:r>
      <w:r w:rsidRPr="00FC031D">
        <w:rPr>
          <w:rFonts w:hint="eastAsia"/>
        </w:rPr>
        <w:t>，第</w:t>
      </w:r>
      <w:r w:rsidRPr="00FC031D">
        <w:t>53-55</w:t>
      </w:r>
      <w:r w:rsidRPr="00FC031D">
        <w:rPr>
          <w:rFonts w:hint="eastAsia"/>
        </w:rPr>
        <w:t>页。</w:t>
      </w:r>
    </w:p>
  </w:footnote>
  <w:footnote w:id="804">
    <w:p w:rsidR="00AB00DE" w:rsidRPr="00FC031D" w:rsidRDefault="00AB00DE" w:rsidP="00267AB1">
      <w:pPr>
        <w:pStyle w:val="a4"/>
      </w:pPr>
      <w:r w:rsidRPr="00FC031D">
        <w:tab/>
      </w:r>
      <w:r w:rsidRPr="00DF5565">
        <w:rPr>
          <w:color w:val="0000FF"/>
          <w:sz w:val="21"/>
          <w:vertAlign w:val="superscript"/>
        </w:rPr>
        <w:footnoteRef/>
      </w:r>
      <w:r w:rsidRPr="00DF5565">
        <w:rPr>
          <w:color w:val="0000FF"/>
          <w:sz w:val="21"/>
          <w:vertAlign w:val="superscript"/>
        </w:rPr>
        <w:tab/>
      </w:r>
      <w:r w:rsidRPr="00FC031D">
        <w:t>见上文</w:t>
      </w:r>
      <w:r w:rsidRPr="00FC031D">
        <w:rPr>
          <w:rFonts w:hint="eastAsia"/>
        </w:rPr>
        <w:t>结论草案</w:t>
      </w:r>
      <w:r w:rsidRPr="00FC031D">
        <w:t>4</w:t>
      </w:r>
      <w:r w:rsidRPr="00FC031D">
        <w:rPr>
          <w:rFonts w:hint="eastAsia"/>
        </w:rPr>
        <w:t>的评注，第</w:t>
      </w:r>
      <w:r w:rsidRPr="00FC031D">
        <w:t>(6)</w:t>
      </w:r>
      <w:r w:rsidRPr="00FC031D">
        <w:rPr>
          <w:rFonts w:hint="eastAsia"/>
        </w:rPr>
        <w:t>段；</w:t>
      </w:r>
      <w:r w:rsidRPr="00FC031D">
        <w:t>P. Gautier,</w:t>
      </w:r>
      <w:r w:rsidRPr="00FC031D">
        <w:rPr>
          <w:rFonts w:hint="eastAsia"/>
        </w:rPr>
        <w:t>“非约束性协定”，</w:t>
      </w:r>
      <w:r w:rsidRPr="00FC031D">
        <w:t>载于</w:t>
      </w:r>
      <w:r w:rsidRPr="007866F0">
        <w:rPr>
          <w:rFonts w:eastAsiaTheme="minorEastAsia" w:hint="eastAsia"/>
        </w:rPr>
        <w:t>《马克斯</w:t>
      </w:r>
      <w:r w:rsidRPr="007866F0">
        <w:rPr>
          <w:rFonts w:eastAsiaTheme="minorEastAsia" w:hint="eastAsia"/>
          <w:lang w:val="fr-CH"/>
        </w:rPr>
        <w:t>·</w:t>
      </w:r>
      <w:r w:rsidRPr="007866F0">
        <w:rPr>
          <w:rFonts w:eastAsiaTheme="minorEastAsia" w:hint="eastAsia"/>
        </w:rPr>
        <w:t>普朗克国际公法百科全书</w:t>
      </w:r>
      <w:r w:rsidRPr="007866F0">
        <w:rPr>
          <w:rFonts w:eastAsiaTheme="minorEastAsia"/>
        </w:rPr>
        <w:t>》</w:t>
      </w:r>
      <w:r w:rsidRPr="007866F0">
        <w:rPr>
          <w:rFonts w:eastAsiaTheme="minorEastAsia"/>
        </w:rPr>
        <w:t>(</w:t>
      </w:r>
      <w:r w:rsidRPr="00FC031D">
        <w:t>www.mpepil.com</w:t>
      </w:r>
      <w:r w:rsidRPr="007866F0">
        <w:rPr>
          <w:rFonts w:eastAsia="楷体"/>
        </w:rPr>
        <w:t>)</w:t>
      </w:r>
      <w:r w:rsidRPr="007866F0">
        <w:rPr>
          <w:rFonts w:eastAsia="楷体"/>
        </w:rPr>
        <w:t>，</w:t>
      </w:r>
      <w:r w:rsidRPr="00FC031D">
        <w:rPr>
          <w:rFonts w:hint="eastAsia"/>
        </w:rPr>
        <w:t>第</w:t>
      </w:r>
      <w:r w:rsidRPr="00FC031D">
        <w:t>14</w:t>
      </w:r>
      <w:r w:rsidRPr="00FC031D">
        <w:rPr>
          <w:rFonts w:hint="eastAsia"/>
        </w:rPr>
        <w:t>段；</w:t>
      </w:r>
      <w:r w:rsidRPr="00FC031D">
        <w:t>Benatar,</w:t>
      </w:r>
      <w:r w:rsidRPr="00FC031D">
        <w:rPr>
          <w:rFonts w:hint="eastAsia"/>
        </w:rPr>
        <w:t>“从实证价值到作准解释……”</w:t>
      </w:r>
      <w:r w:rsidRPr="007866F0">
        <w:rPr>
          <w:rFonts w:eastAsia="楷体"/>
        </w:rPr>
        <w:t>(</w:t>
      </w:r>
      <w:r w:rsidRPr="00FC031D">
        <w:rPr>
          <w:rFonts w:hint="eastAsia"/>
        </w:rPr>
        <w:t>见上文脚注</w:t>
      </w:r>
      <w:r>
        <w:rPr>
          <w:lang w:val="fr-FR"/>
        </w:rPr>
        <w:fldChar w:fldCharType="begin"/>
      </w:r>
      <w:r>
        <w:rPr>
          <w:lang w:val="fr-FR"/>
        </w:rPr>
        <w:instrText xml:space="preserve"> NOTEREF _Ref461973900 \h </w:instrText>
      </w:r>
      <w:r>
        <w:rPr>
          <w:lang w:val="fr-FR"/>
        </w:rPr>
      </w:r>
      <w:r>
        <w:rPr>
          <w:lang w:val="fr-FR"/>
        </w:rPr>
        <w:fldChar w:fldCharType="separate"/>
      </w:r>
      <w:r w:rsidR="00A73EB9">
        <w:rPr>
          <w:lang w:val="fr-FR"/>
        </w:rPr>
        <w:t>440</w:t>
      </w:r>
      <w:r>
        <w:rPr>
          <w:lang w:val="fr-FR"/>
        </w:rPr>
        <w:fldChar w:fldCharType="end"/>
      </w:r>
      <w:r w:rsidRPr="007866F0">
        <w:rPr>
          <w:rFonts w:eastAsia="楷体"/>
        </w:rPr>
        <w:t>)</w:t>
      </w:r>
      <w:r w:rsidRPr="00FC031D">
        <w:t>，</w:t>
      </w:r>
      <w:r w:rsidRPr="00FC031D">
        <w:rPr>
          <w:rFonts w:hint="eastAsia"/>
        </w:rPr>
        <w:t>第</w:t>
      </w:r>
      <w:r w:rsidRPr="00FC031D">
        <w:t>194-195</w:t>
      </w:r>
      <w:r w:rsidRPr="00FC031D">
        <w:rPr>
          <w:rFonts w:hint="eastAsia"/>
        </w:rPr>
        <w:t>页；</w:t>
      </w:r>
      <w:r w:rsidRPr="00FC031D">
        <w:t>Aust,</w:t>
      </w:r>
      <w:r w:rsidRPr="00FC031D">
        <w:rPr>
          <w:rFonts w:hint="eastAsia"/>
        </w:rPr>
        <w:t>《现代条约法和实践》</w:t>
      </w:r>
      <w:r w:rsidRPr="00FC031D">
        <w:t>(</w:t>
      </w:r>
      <w:r w:rsidRPr="00FC031D">
        <w:rPr>
          <w:rFonts w:hint="eastAsia"/>
        </w:rPr>
        <w:t>见上文脚注</w:t>
      </w:r>
      <w:r>
        <w:fldChar w:fldCharType="begin"/>
      </w:r>
      <w:r>
        <w:instrText xml:space="preserve"> </w:instrText>
      </w:r>
      <w:r>
        <w:rPr>
          <w:rFonts w:hint="eastAsia"/>
        </w:rPr>
        <w:instrText>NOTEREF _Ref461972435 \h</w:instrText>
      </w:r>
      <w:r>
        <w:instrText xml:space="preserve"> </w:instrText>
      </w:r>
      <w:r>
        <w:fldChar w:fldCharType="separate"/>
      </w:r>
      <w:r w:rsidR="00A73EB9">
        <w:t>525</w:t>
      </w:r>
      <w:r>
        <w:fldChar w:fldCharType="end"/>
      </w:r>
      <w:r w:rsidRPr="00FC031D">
        <w:t>)</w:t>
      </w:r>
      <w:r w:rsidRPr="00FC031D">
        <w:t>，</w:t>
      </w:r>
      <w:r w:rsidRPr="00FC031D">
        <w:rPr>
          <w:rFonts w:hint="eastAsia"/>
        </w:rPr>
        <w:t>第</w:t>
      </w:r>
      <w:r w:rsidRPr="00FC031D">
        <w:t>213</w:t>
      </w:r>
      <w:r w:rsidRPr="00FC031D">
        <w:rPr>
          <w:rFonts w:hint="eastAsia"/>
        </w:rPr>
        <w:t>页；</w:t>
      </w:r>
      <w:r w:rsidRPr="00FC031D">
        <w:t xml:space="preserve">Gardiner, </w:t>
      </w:r>
      <w:r w:rsidRPr="00FC031D">
        <w:rPr>
          <w:rFonts w:hint="eastAsia"/>
        </w:rPr>
        <w:t>《条约解释》</w:t>
      </w:r>
      <w:r w:rsidRPr="00FC031D">
        <w:t>(</w:t>
      </w:r>
      <w:r w:rsidRPr="00FC031D">
        <w:rPr>
          <w:rFonts w:hint="eastAsia"/>
        </w:rPr>
        <w:t>见上文脚注</w:t>
      </w:r>
      <w:r w:rsidRPr="00D90936">
        <w:rPr>
          <w:rFonts w:asciiTheme="majorBidi" w:hAnsiTheme="majorBidi" w:cstheme="majorBidi"/>
        </w:rPr>
        <w:fldChar w:fldCharType="begin"/>
      </w:r>
      <w:r w:rsidRPr="00D90936">
        <w:rPr>
          <w:rFonts w:asciiTheme="majorBidi" w:hAnsiTheme="majorBidi" w:cstheme="majorBidi"/>
        </w:rPr>
        <w:instrText xml:space="preserve"> NOTEREF _Ref461971974 \h </w:instrText>
      </w:r>
      <w:r>
        <w:rPr>
          <w:rFonts w:asciiTheme="majorBidi" w:hAnsiTheme="majorBidi" w:cstheme="majorBidi"/>
        </w:rPr>
        <w:instrText xml:space="preserve"> \* MERGEFORMAT </w:instrText>
      </w:r>
      <w:r w:rsidRPr="00D90936">
        <w:rPr>
          <w:rFonts w:asciiTheme="majorBidi" w:hAnsiTheme="majorBidi" w:cstheme="majorBidi"/>
        </w:rPr>
      </w:r>
      <w:r w:rsidRPr="00D90936">
        <w:rPr>
          <w:rFonts w:asciiTheme="majorBidi" w:hAnsiTheme="majorBidi" w:cstheme="majorBidi"/>
        </w:rPr>
        <w:fldChar w:fldCharType="separate"/>
      </w:r>
      <w:r w:rsidR="00A73EB9">
        <w:rPr>
          <w:rFonts w:asciiTheme="majorBidi" w:hAnsiTheme="majorBidi" w:cstheme="majorBidi"/>
        </w:rPr>
        <w:t>392</w:t>
      </w:r>
      <w:r w:rsidRPr="00D90936">
        <w:rPr>
          <w:rFonts w:asciiTheme="majorBidi" w:hAnsiTheme="majorBidi" w:cstheme="majorBidi"/>
        </w:rPr>
        <w:fldChar w:fldCharType="end"/>
      </w:r>
      <w:r w:rsidRPr="00FC031D">
        <w:rPr>
          <w:rFonts w:hint="eastAsia"/>
        </w:rPr>
        <w:t>)</w:t>
      </w:r>
      <w:r w:rsidRPr="00FC031D">
        <w:rPr>
          <w:rFonts w:hint="eastAsia"/>
        </w:rPr>
        <w:t>，第</w:t>
      </w:r>
      <w:r w:rsidRPr="00FC031D">
        <w:t>244</w:t>
      </w:r>
      <w:r w:rsidRPr="00FC031D">
        <w:rPr>
          <w:rFonts w:hint="eastAsia"/>
        </w:rPr>
        <w:t>页；</w:t>
      </w:r>
      <w:r w:rsidRPr="00FC031D">
        <w:t>另见诺尔特</w:t>
      </w:r>
      <w:r w:rsidRPr="00FC031D">
        <w:t>,</w:t>
      </w:r>
      <w:r w:rsidRPr="00FC031D">
        <w:rPr>
          <w:rFonts w:hint="eastAsia"/>
        </w:rPr>
        <w:t>“……国</w:t>
      </w:r>
      <w:r w:rsidRPr="00FC031D">
        <w:t>家</w:t>
      </w:r>
      <w:r w:rsidRPr="00FC031D">
        <w:rPr>
          <w:rFonts w:hint="eastAsia"/>
        </w:rPr>
        <w:t>嗣后</w:t>
      </w:r>
      <w:r w:rsidRPr="00FC031D">
        <w:t>协定</w:t>
      </w:r>
      <w:r w:rsidRPr="00FC031D">
        <w:rPr>
          <w:rFonts w:hint="eastAsia"/>
        </w:rPr>
        <w:t>和嗣后惯例”</w:t>
      </w:r>
      <w:r w:rsidRPr="00FC031D">
        <w:t>(</w:t>
      </w:r>
      <w:r w:rsidRPr="00FC031D">
        <w:rPr>
          <w:rFonts w:hint="eastAsia"/>
        </w:rPr>
        <w:t>上文脚注</w:t>
      </w:r>
      <w:r>
        <w:rPr>
          <w:lang w:val="fr-FR"/>
        </w:rPr>
        <w:fldChar w:fldCharType="begin"/>
      </w:r>
      <w:r>
        <w:rPr>
          <w:lang w:val="fr-FR"/>
        </w:rPr>
        <w:instrText xml:space="preserve"> NOTEREF _Ref461973900 \h </w:instrText>
      </w:r>
      <w:r>
        <w:rPr>
          <w:lang w:val="fr-FR"/>
        </w:rPr>
      </w:r>
      <w:r>
        <w:rPr>
          <w:lang w:val="fr-FR"/>
        </w:rPr>
        <w:fldChar w:fldCharType="separate"/>
      </w:r>
      <w:r w:rsidR="00A73EB9">
        <w:rPr>
          <w:lang w:val="fr-FR"/>
        </w:rPr>
        <w:t>440</w:t>
      </w:r>
      <w:r>
        <w:rPr>
          <w:lang w:val="fr-FR"/>
        </w:rPr>
        <w:fldChar w:fldCharType="end"/>
      </w:r>
      <w:r w:rsidRPr="00FC031D">
        <w:t>)</w:t>
      </w:r>
      <w:r w:rsidRPr="00FC031D">
        <w:rPr>
          <w:rFonts w:hint="eastAsia"/>
        </w:rPr>
        <w:t>，第</w:t>
      </w:r>
      <w:r w:rsidRPr="00FC031D">
        <w:t>307</w:t>
      </w:r>
      <w:r w:rsidRPr="00FC031D">
        <w:rPr>
          <w:rFonts w:hint="eastAsia"/>
        </w:rPr>
        <w:t>页起，见第</w:t>
      </w:r>
      <w:r w:rsidRPr="00FC031D">
        <w:t>375</w:t>
      </w:r>
      <w:r w:rsidRPr="00FC031D">
        <w:rPr>
          <w:rFonts w:hint="eastAsia"/>
        </w:rPr>
        <w:t>页。</w:t>
      </w:r>
    </w:p>
  </w:footnote>
  <w:footnote w:id="805">
    <w:p w:rsidR="00AB00DE" w:rsidRPr="00FC031D" w:rsidRDefault="00AB00DE" w:rsidP="00DF5565">
      <w:pPr>
        <w:pStyle w:val="a4"/>
        <w:rPr>
          <w:spacing w:val="-6"/>
        </w:rPr>
      </w:pPr>
      <w:r w:rsidRPr="00FC031D">
        <w:tab/>
      </w:r>
      <w:r w:rsidRPr="00DF5565">
        <w:rPr>
          <w:color w:val="0000FF"/>
          <w:sz w:val="21"/>
          <w:vertAlign w:val="superscript"/>
        </w:rPr>
        <w:footnoteRef/>
      </w:r>
      <w:r w:rsidRPr="00DF5565">
        <w:rPr>
          <w:color w:val="0000FF"/>
          <w:sz w:val="21"/>
          <w:vertAlign w:val="superscript"/>
        </w:rPr>
        <w:tab/>
      </w:r>
      <w:r w:rsidRPr="00FC031D">
        <w:rPr>
          <w:rFonts w:hint="eastAsia"/>
          <w:spacing w:val="-6"/>
        </w:rPr>
        <w:t>见第二条第一款</w:t>
      </w:r>
      <w:r w:rsidRPr="00FC031D">
        <w:rPr>
          <w:spacing w:val="-6"/>
        </w:rPr>
        <w:t>(a)</w:t>
      </w:r>
      <w:r w:rsidRPr="00FC031D">
        <w:rPr>
          <w:spacing w:val="-6"/>
        </w:rPr>
        <w:t>项</w:t>
      </w:r>
      <w:r w:rsidRPr="00FC031D">
        <w:rPr>
          <w:rFonts w:hint="eastAsia"/>
          <w:spacing w:val="-6"/>
        </w:rPr>
        <w:t>、第三条、第二十四条第二款、第三十九至四十一条、第五十八和第六十条。</w:t>
      </w:r>
    </w:p>
  </w:footnote>
  <w:footnote w:id="806">
    <w:p w:rsidR="00AB00DE" w:rsidRPr="00FC031D" w:rsidRDefault="00AB00DE" w:rsidP="00DF5565">
      <w:pPr>
        <w:pStyle w:val="a4"/>
      </w:pPr>
      <w:r w:rsidRPr="00FC031D">
        <w:tab/>
      </w:r>
      <w:r w:rsidRPr="00DF5565">
        <w:rPr>
          <w:color w:val="0000FF"/>
          <w:sz w:val="21"/>
          <w:vertAlign w:val="superscript"/>
        </w:rPr>
        <w:footnoteRef/>
      </w:r>
      <w:r w:rsidRPr="00DF5565">
        <w:rPr>
          <w:color w:val="0000FF"/>
          <w:sz w:val="21"/>
          <w:vertAlign w:val="superscript"/>
        </w:rPr>
        <w:tab/>
      </w:r>
      <w:r w:rsidRPr="00FC031D">
        <w:rPr>
          <w:rFonts w:hint="eastAsia"/>
        </w:rPr>
        <w:t>见《</w:t>
      </w:r>
      <w:r w:rsidRPr="00FC031D">
        <w:t>1966</w:t>
      </w:r>
      <w:r w:rsidRPr="00FC031D">
        <w:rPr>
          <w:rFonts w:hint="eastAsia"/>
        </w:rPr>
        <w:t>年……年鉴》，第二卷</w:t>
      </w:r>
      <w:r w:rsidRPr="00FC031D">
        <w:rPr>
          <w:rFonts w:hint="eastAsia"/>
          <w:w w:val="104"/>
        </w:rPr>
        <w:t>，</w:t>
      </w:r>
      <w:r w:rsidRPr="00FC031D">
        <w:t>A/6309/Rev.1</w:t>
      </w:r>
      <w:r w:rsidRPr="00FC031D">
        <w:t>号文件，</w:t>
      </w:r>
      <w:r w:rsidRPr="00FC031D">
        <w:rPr>
          <w:rFonts w:hint="eastAsia"/>
        </w:rPr>
        <w:t>第</w:t>
      </w:r>
      <w:r w:rsidRPr="00FC031D">
        <w:rPr>
          <w:w w:val="104"/>
        </w:rPr>
        <w:t>222</w:t>
      </w:r>
      <w:r w:rsidRPr="00FC031D">
        <w:rPr>
          <w:rFonts w:hint="eastAsia"/>
        </w:rPr>
        <w:t>页，第</w:t>
      </w:r>
      <w:r w:rsidRPr="00FC031D">
        <w:t>(15)</w:t>
      </w:r>
      <w:r w:rsidRPr="00FC031D">
        <w:rPr>
          <w:rFonts w:hint="eastAsia"/>
        </w:rPr>
        <w:t>段。</w:t>
      </w:r>
    </w:p>
  </w:footnote>
  <w:footnote w:id="807">
    <w:p w:rsidR="00AB00DE" w:rsidRPr="00FC031D" w:rsidRDefault="00AB00DE" w:rsidP="00560424">
      <w:pPr>
        <w:pStyle w:val="a4"/>
      </w:pPr>
      <w:r w:rsidRPr="00FC031D">
        <w:tab/>
      </w:r>
      <w:r w:rsidRPr="00DF5565">
        <w:rPr>
          <w:color w:val="0000FF"/>
          <w:sz w:val="21"/>
          <w:vertAlign w:val="superscript"/>
        </w:rPr>
        <w:footnoteRef/>
      </w:r>
      <w:r w:rsidRPr="00DF5565">
        <w:rPr>
          <w:color w:val="0000FF"/>
          <w:sz w:val="21"/>
          <w:vertAlign w:val="superscript"/>
        </w:rPr>
        <w:tab/>
      </w:r>
      <w:r w:rsidRPr="007866F0">
        <w:rPr>
          <w:rFonts w:eastAsia="楷体"/>
        </w:rPr>
        <w:t>阿根廷和智利比格尔海峡争端案</w:t>
      </w:r>
      <w:r w:rsidRPr="00FC031D">
        <w:rPr>
          <w:w w:val="104"/>
        </w:rPr>
        <w:t>，</w:t>
      </w:r>
      <w:r w:rsidRPr="00FC031D">
        <w:t>1977</w:t>
      </w:r>
      <w:r w:rsidRPr="00FC031D">
        <w:t>年</w:t>
      </w:r>
      <w:r w:rsidRPr="00FC031D">
        <w:t>2</w:t>
      </w:r>
      <w:r w:rsidRPr="00FC031D">
        <w:t>月</w:t>
      </w:r>
      <w:r w:rsidRPr="00FC031D">
        <w:t>18</w:t>
      </w:r>
      <w:r w:rsidRPr="00FC031D">
        <w:t>日</w:t>
      </w:r>
      <w:r w:rsidRPr="00FC031D">
        <w:rPr>
          <w:w w:val="104"/>
        </w:rPr>
        <w:t>，</w:t>
      </w:r>
      <w:r w:rsidRPr="007866F0">
        <w:rPr>
          <w:rFonts w:eastAsia="楷体"/>
        </w:rPr>
        <w:t>《</w:t>
      </w:r>
      <w:r w:rsidRPr="00FC031D">
        <w:rPr>
          <w:rFonts w:ascii="Time New Roman" w:hAnsi="Time New Roman"/>
        </w:rPr>
        <w:t>国际仲裁裁决汇编</w:t>
      </w:r>
      <w:r w:rsidRPr="007866F0">
        <w:rPr>
          <w:rFonts w:eastAsia="楷体"/>
        </w:rPr>
        <w:t>》，</w:t>
      </w:r>
      <w:r w:rsidRPr="00FC031D">
        <w:t>第二十一卷，第二部分，第</w:t>
      </w:r>
      <w:r w:rsidRPr="00FC031D">
        <w:t>53-264</w:t>
      </w:r>
      <w:r w:rsidRPr="00FC031D">
        <w:t>页，见第</w:t>
      </w:r>
      <w:r w:rsidRPr="00FC031D">
        <w:t>187</w:t>
      </w:r>
      <w:r w:rsidRPr="00FC031D">
        <w:t>页，第</w:t>
      </w:r>
      <w:r w:rsidRPr="00FC031D">
        <w:t>169</w:t>
      </w:r>
      <w:r w:rsidRPr="00FC031D">
        <w:t>段</w:t>
      </w:r>
      <w:r w:rsidRPr="00FC031D">
        <w:rPr>
          <w:w w:val="104"/>
        </w:rPr>
        <w:t>；</w:t>
      </w:r>
      <w:r w:rsidRPr="007866F0">
        <w:rPr>
          <w:rFonts w:eastAsia="楷体"/>
        </w:rPr>
        <w:t>关于</w:t>
      </w:r>
      <w:r w:rsidRPr="007866F0">
        <w:rPr>
          <w:rFonts w:eastAsia="楷体"/>
        </w:rPr>
        <w:t>1961</w:t>
      </w:r>
      <w:r w:rsidRPr="007866F0">
        <w:rPr>
          <w:rFonts w:eastAsia="楷体"/>
        </w:rPr>
        <w:t>年和</w:t>
      </w:r>
      <w:r w:rsidRPr="007866F0">
        <w:rPr>
          <w:rFonts w:eastAsia="楷体"/>
        </w:rPr>
        <w:t>1969</w:t>
      </w:r>
      <w:r w:rsidRPr="007866F0">
        <w:rPr>
          <w:rFonts w:eastAsia="楷体"/>
        </w:rPr>
        <w:t>年德国马克升值是否构成适用</w:t>
      </w:r>
      <w:r w:rsidRPr="007866F0">
        <w:rPr>
          <w:rFonts w:eastAsia="楷体"/>
        </w:rPr>
        <w:t>1953</w:t>
      </w:r>
      <w:r w:rsidRPr="007866F0">
        <w:rPr>
          <w:rFonts w:eastAsia="楷体"/>
        </w:rPr>
        <w:t>年比利时、法国、瑞士、大不列颠及北爱尔兰联合王国和美利坚合众国与德意志联邦共和国关于德国外债的协定附件一</w:t>
      </w:r>
      <w:r w:rsidRPr="007866F0">
        <w:rPr>
          <w:rFonts w:eastAsia="楷体"/>
        </w:rPr>
        <w:t>A</w:t>
      </w:r>
      <w:r w:rsidRPr="007866F0">
        <w:rPr>
          <w:rFonts w:eastAsia="楷体"/>
        </w:rPr>
        <w:t>第</w:t>
      </w:r>
      <w:r w:rsidRPr="007866F0">
        <w:rPr>
          <w:rFonts w:eastAsia="楷体"/>
        </w:rPr>
        <w:t>2</w:t>
      </w:r>
      <w:r w:rsidRPr="007866F0">
        <w:rPr>
          <w:rFonts w:eastAsia="楷体"/>
        </w:rPr>
        <w:t>条</w:t>
      </w:r>
      <w:r w:rsidRPr="007866F0">
        <w:rPr>
          <w:rFonts w:eastAsia="楷体"/>
        </w:rPr>
        <w:t>(e)</w:t>
      </w:r>
      <w:r w:rsidRPr="007866F0">
        <w:rPr>
          <w:rFonts w:eastAsia="楷体"/>
        </w:rPr>
        <w:t>项条款问题案</w:t>
      </w:r>
      <w:r w:rsidRPr="00FC031D">
        <w:t>，</w:t>
      </w:r>
      <w:r w:rsidRPr="00FC031D">
        <w:t>1980</w:t>
      </w:r>
      <w:r w:rsidRPr="00FC031D">
        <w:t>年</w:t>
      </w:r>
      <w:r w:rsidRPr="00FC031D">
        <w:t>5</w:t>
      </w:r>
      <w:r w:rsidRPr="00FC031D">
        <w:t>月</w:t>
      </w:r>
      <w:r w:rsidRPr="00FC031D">
        <w:t>16</w:t>
      </w:r>
      <w:r w:rsidRPr="00FC031D">
        <w:t>日，同上，第十九卷，第</w:t>
      </w:r>
      <w:r w:rsidRPr="00FC031D">
        <w:rPr>
          <w:w w:val="104"/>
        </w:rPr>
        <w:t>67-145</w:t>
      </w:r>
      <w:r w:rsidRPr="00FC031D">
        <w:t>页，见</w:t>
      </w:r>
      <w:r w:rsidRPr="00FC031D">
        <w:t>103-104</w:t>
      </w:r>
      <w:r w:rsidRPr="00FC031D">
        <w:t>页，第</w:t>
      </w:r>
      <w:r w:rsidRPr="00FC031D">
        <w:t>31</w:t>
      </w:r>
      <w:r w:rsidRPr="00FC031D">
        <w:t>段</w:t>
      </w:r>
      <w:r w:rsidRPr="00FC031D">
        <w:rPr>
          <w:w w:val="104"/>
        </w:rPr>
        <w:t>；</w:t>
      </w:r>
      <w:r w:rsidRPr="00FC031D">
        <w:rPr>
          <w:w w:val="104"/>
        </w:rPr>
        <w:t xml:space="preserve">Karl, </w:t>
      </w:r>
      <w:r w:rsidRPr="00FC031D">
        <w:rPr>
          <w:i/>
          <w:iCs/>
        </w:rPr>
        <w:t>Vertrag und spätere Praxis…</w:t>
      </w:r>
      <w:r w:rsidRPr="00FC031D">
        <w:t>(</w:t>
      </w:r>
      <w:r w:rsidRPr="00FC031D">
        <w:t>见上文脚注</w:t>
      </w:r>
      <w:r>
        <w:fldChar w:fldCharType="begin"/>
      </w:r>
      <w:r>
        <w:instrText xml:space="preserve"> NOTEREF _Ref364163375 \h </w:instrText>
      </w:r>
      <w:r>
        <w:fldChar w:fldCharType="separate"/>
      </w:r>
      <w:r w:rsidR="00A73EB9">
        <w:t>454</w:t>
      </w:r>
      <w:r>
        <w:fldChar w:fldCharType="end"/>
      </w:r>
      <w:r w:rsidRPr="00FC031D">
        <w:t>)</w:t>
      </w:r>
      <w:r w:rsidRPr="00FC031D">
        <w:t>，</w:t>
      </w:r>
      <w:r w:rsidRPr="00FC031D">
        <w:rPr>
          <w:w w:val="104"/>
          <w:lang w:val="es-ES"/>
        </w:rPr>
        <w:t>第</w:t>
      </w:r>
      <w:r w:rsidRPr="00FC031D">
        <w:rPr>
          <w:w w:val="104"/>
        </w:rPr>
        <w:t>190-195</w:t>
      </w:r>
      <w:r w:rsidRPr="00FC031D">
        <w:rPr>
          <w:lang w:val="es-ES"/>
        </w:rPr>
        <w:t>页</w:t>
      </w:r>
      <w:r w:rsidRPr="00FC031D">
        <w:rPr>
          <w:w w:val="104"/>
        </w:rPr>
        <w:t>；</w:t>
      </w:r>
      <w:r w:rsidRPr="00FC031D">
        <w:rPr>
          <w:w w:val="104"/>
        </w:rPr>
        <w:t>Kolb,</w:t>
      </w:r>
      <w:r w:rsidRPr="00FC031D">
        <w:rPr>
          <w:rFonts w:hint="eastAsia"/>
          <w:w w:val="104"/>
        </w:rPr>
        <w:t>“</w:t>
      </w:r>
      <w:r w:rsidRPr="00FC031D">
        <w:t>La modification d’un traité …</w:t>
      </w:r>
      <w:r w:rsidRPr="00FC031D">
        <w:rPr>
          <w:rFonts w:hint="eastAsia"/>
        </w:rPr>
        <w:t>”</w:t>
      </w:r>
      <w:r w:rsidRPr="00FC031D">
        <w:t>(</w:t>
      </w:r>
      <w:r w:rsidRPr="00FC031D">
        <w:t>见上文脚注</w:t>
      </w:r>
      <w:r>
        <w:fldChar w:fldCharType="begin"/>
      </w:r>
      <w:r>
        <w:instrText xml:space="preserve"> NOTEREF _Ref461976729 \h </w:instrText>
      </w:r>
      <w:r>
        <w:fldChar w:fldCharType="separate"/>
      </w:r>
      <w:r w:rsidR="00A73EB9">
        <w:t>695</w:t>
      </w:r>
      <w:r>
        <w:fldChar w:fldCharType="end"/>
      </w:r>
      <w:r w:rsidRPr="00FC031D">
        <w:t>)</w:t>
      </w:r>
      <w:r w:rsidRPr="00FC031D">
        <w:t>，</w:t>
      </w:r>
      <w:r w:rsidRPr="00FC031D">
        <w:rPr>
          <w:w w:val="104"/>
          <w:lang w:val="es-ES"/>
        </w:rPr>
        <w:t>第</w:t>
      </w:r>
      <w:r w:rsidRPr="00FC031D">
        <w:rPr>
          <w:w w:val="104"/>
        </w:rPr>
        <w:t>25-26</w:t>
      </w:r>
      <w:r w:rsidRPr="00FC031D">
        <w:rPr>
          <w:lang w:val="es-ES"/>
        </w:rPr>
        <w:t>页</w:t>
      </w:r>
      <w:r w:rsidRPr="00FC031D">
        <w:rPr>
          <w:w w:val="104"/>
        </w:rPr>
        <w:t>；</w:t>
      </w:r>
      <w:r w:rsidRPr="00FC031D">
        <w:rPr>
          <w:w w:val="104"/>
        </w:rPr>
        <w:t xml:space="preserve">Linderfalk, </w:t>
      </w:r>
      <w:r w:rsidRPr="00FC031D">
        <w:t>《论条约的解释》</w:t>
      </w:r>
      <w:r w:rsidRPr="00FC031D">
        <w:t>(</w:t>
      </w:r>
      <w:r w:rsidRPr="00FC031D">
        <w:t>见上文脚注</w:t>
      </w:r>
      <w:r>
        <w:fldChar w:fldCharType="begin"/>
      </w:r>
      <w:r>
        <w:instrText xml:space="preserve"> </w:instrText>
      </w:r>
      <w:r>
        <w:rPr>
          <w:rFonts w:hint="eastAsia"/>
        </w:rPr>
        <w:instrText>NOTEREF _Ref461974127 \h</w:instrText>
      </w:r>
      <w:r>
        <w:instrText xml:space="preserve"> </w:instrText>
      </w:r>
      <w:r>
        <w:fldChar w:fldCharType="separate"/>
      </w:r>
      <w:r w:rsidR="00A73EB9">
        <w:t>446</w:t>
      </w:r>
      <w:r>
        <w:fldChar w:fldCharType="end"/>
      </w:r>
      <w:r w:rsidRPr="00FC031D">
        <w:t>)</w:t>
      </w:r>
      <w:r w:rsidRPr="00FC031D">
        <w:t>，</w:t>
      </w:r>
      <w:r w:rsidRPr="00FC031D">
        <w:rPr>
          <w:w w:val="104"/>
          <w:lang w:val="es-ES"/>
        </w:rPr>
        <w:t>第</w:t>
      </w:r>
      <w:r w:rsidRPr="00FC031D">
        <w:rPr>
          <w:w w:val="104"/>
        </w:rPr>
        <w:t>169-171</w:t>
      </w:r>
      <w:r w:rsidRPr="00FC031D">
        <w:rPr>
          <w:lang w:val="es-ES"/>
        </w:rPr>
        <w:t>页。</w:t>
      </w:r>
    </w:p>
  </w:footnote>
  <w:footnote w:id="808">
    <w:p w:rsidR="00AB00DE" w:rsidRPr="00FC031D" w:rsidRDefault="00AB00DE" w:rsidP="00267AB1">
      <w:pPr>
        <w:pStyle w:val="a4"/>
      </w:pPr>
      <w:r w:rsidRPr="00FC031D">
        <w:tab/>
      </w:r>
      <w:r w:rsidRPr="00DF5565">
        <w:rPr>
          <w:color w:val="0000FF"/>
          <w:sz w:val="21"/>
          <w:vertAlign w:val="superscript"/>
        </w:rPr>
        <w:footnoteRef/>
      </w:r>
      <w:r w:rsidRPr="00DF5565">
        <w:rPr>
          <w:color w:val="0000FF"/>
          <w:sz w:val="21"/>
          <w:vertAlign w:val="superscript"/>
        </w:rPr>
        <w:tab/>
      </w:r>
      <w:r w:rsidRPr="00FC031D">
        <w:rPr>
          <w:rFonts w:hint="eastAsia"/>
        </w:rPr>
        <w:t>《联合国条约法会议正式记录……》</w:t>
      </w:r>
      <w:r w:rsidRPr="00FC031D">
        <w:rPr>
          <w:iCs/>
        </w:rPr>
        <w:t>(</w:t>
      </w:r>
      <w:r w:rsidRPr="00FC031D">
        <w:t>A/CONF.39/11)(</w:t>
      </w:r>
      <w:r w:rsidRPr="00FC031D">
        <w:t>见上文脚注</w:t>
      </w:r>
      <w:r>
        <w:fldChar w:fldCharType="begin"/>
      </w:r>
      <w:r>
        <w:instrText xml:space="preserve"> NOTEREF _Ref461974212 \h </w:instrText>
      </w:r>
      <w:r>
        <w:fldChar w:fldCharType="separate"/>
      </w:r>
      <w:r w:rsidR="00A73EB9">
        <w:t>575</w:t>
      </w:r>
      <w:r>
        <w:fldChar w:fldCharType="end"/>
      </w:r>
      <w:r w:rsidRPr="00FC031D">
        <w:rPr>
          <w:iCs/>
        </w:rPr>
        <w:t>)</w:t>
      </w:r>
      <w:r w:rsidRPr="00FC031D">
        <w:rPr>
          <w:rFonts w:hint="eastAsia"/>
        </w:rPr>
        <w:t>，</w:t>
      </w:r>
      <w:r w:rsidRPr="00FC031D">
        <w:t>第</w:t>
      </w:r>
      <w:r w:rsidRPr="00FC031D">
        <w:t>31</w:t>
      </w:r>
      <w:r w:rsidRPr="00FC031D">
        <w:t>次会议，</w:t>
      </w:r>
      <w:r w:rsidRPr="00FC031D">
        <w:t>1968</w:t>
      </w:r>
      <w:r w:rsidRPr="00FC031D">
        <w:t>年</w:t>
      </w:r>
      <w:r w:rsidRPr="00FC031D">
        <w:t>4</w:t>
      </w:r>
      <w:r w:rsidRPr="00FC031D">
        <w:t>月</w:t>
      </w:r>
      <w:r w:rsidRPr="00FC031D">
        <w:t>19</w:t>
      </w:r>
      <w:r w:rsidRPr="00FC031D">
        <w:t>日，</w:t>
      </w:r>
      <w:r w:rsidRPr="00FC031D">
        <w:rPr>
          <w:rFonts w:hint="eastAsia"/>
        </w:rPr>
        <w:t>第</w:t>
      </w:r>
      <w:r w:rsidRPr="00FC031D">
        <w:rPr>
          <w:lang w:val="es-ES"/>
        </w:rPr>
        <w:t>169</w:t>
      </w:r>
      <w:r w:rsidRPr="00FC031D">
        <w:rPr>
          <w:rFonts w:hint="eastAsia"/>
        </w:rPr>
        <w:t>页</w:t>
      </w:r>
      <w:r w:rsidRPr="00FC031D">
        <w:rPr>
          <w:rFonts w:hint="eastAsia"/>
          <w:lang w:val="es-ES"/>
        </w:rPr>
        <w:t>，</w:t>
      </w:r>
      <w:r w:rsidRPr="00FC031D">
        <w:rPr>
          <w:rFonts w:hint="eastAsia"/>
        </w:rPr>
        <w:t>见第</w:t>
      </w:r>
      <w:r w:rsidRPr="00FC031D">
        <w:rPr>
          <w:lang w:val="es-ES"/>
        </w:rPr>
        <w:t>59</w:t>
      </w:r>
      <w:r w:rsidRPr="00FC031D">
        <w:rPr>
          <w:rFonts w:hint="eastAsia"/>
        </w:rPr>
        <w:t>段</w:t>
      </w:r>
      <w:r w:rsidRPr="00FC031D">
        <w:rPr>
          <w:lang w:val="es-ES"/>
        </w:rPr>
        <w:t>(</w:t>
      </w:r>
      <w:r w:rsidRPr="00FC031D">
        <w:t>澳大利亚</w:t>
      </w:r>
      <w:r w:rsidRPr="00FC031D">
        <w:rPr>
          <w:lang w:val="es-ES"/>
        </w:rPr>
        <w:t>)</w:t>
      </w:r>
      <w:r w:rsidRPr="00FC031D">
        <w:rPr>
          <w:rFonts w:hint="eastAsia"/>
          <w:lang w:val="es-ES"/>
        </w:rPr>
        <w:t>；</w:t>
      </w:r>
      <w:r w:rsidRPr="00FC031D">
        <w:rPr>
          <w:w w:val="104"/>
          <w:lang w:val="es-ES"/>
        </w:rPr>
        <w:t>P. Gautier,</w:t>
      </w:r>
      <w:r w:rsidRPr="00FC031D">
        <w:rPr>
          <w:rFonts w:hint="eastAsia"/>
          <w:w w:val="104"/>
          <w:lang w:val="es-ES"/>
        </w:rPr>
        <w:t>“</w:t>
      </w:r>
      <w:r w:rsidRPr="00FC031D">
        <w:rPr>
          <w:rFonts w:hint="eastAsia"/>
          <w:lang w:val="es-ES"/>
        </w:rPr>
        <w:t>非正式协定与《维也纳条约法公约》”，载于</w:t>
      </w:r>
      <w:r w:rsidRPr="00FC031D">
        <w:rPr>
          <w:w w:val="104"/>
          <w:lang w:val="es-ES"/>
        </w:rPr>
        <w:t>N. Angelet</w:t>
      </w:r>
      <w:r w:rsidRPr="00FC031D">
        <w:rPr>
          <w:w w:val="104"/>
          <w:lang w:val="es-ES"/>
        </w:rPr>
        <w:t>所</w:t>
      </w:r>
      <w:r w:rsidRPr="00FC031D">
        <w:rPr>
          <w:rFonts w:hint="eastAsia"/>
          <w:lang w:val="es-ES"/>
        </w:rPr>
        <w:t>编</w:t>
      </w:r>
      <w:r w:rsidRPr="00FC031D">
        <w:rPr>
          <w:lang w:val="es-ES"/>
        </w:rPr>
        <w:t>的</w:t>
      </w:r>
      <w:r w:rsidRPr="00FC031D">
        <w:rPr>
          <w:rFonts w:hint="eastAsia"/>
          <w:lang w:val="es-ES"/>
        </w:rPr>
        <w:t>《权利法与法权：</w:t>
      </w:r>
      <w:r w:rsidRPr="007866F0">
        <w:rPr>
          <w:rFonts w:eastAsia="楷体"/>
          <w:w w:val="104"/>
          <w:lang w:val="es-ES"/>
        </w:rPr>
        <w:t>Jean Salmon</w:t>
      </w:r>
      <w:r w:rsidRPr="007866F0">
        <w:rPr>
          <w:rFonts w:eastAsia="楷体"/>
          <w:lang w:val="es-ES"/>
        </w:rPr>
        <w:t>纪念文集》</w:t>
      </w:r>
      <w:r w:rsidRPr="00FC031D">
        <w:rPr>
          <w:lang w:val="es-ES"/>
        </w:rPr>
        <w:t>(</w:t>
      </w:r>
      <w:r w:rsidRPr="00FC031D">
        <w:rPr>
          <w:lang w:val="es-ES"/>
        </w:rPr>
        <w:t>布鲁塞尔，</w:t>
      </w:r>
      <w:r w:rsidRPr="00FC031D">
        <w:rPr>
          <w:w w:val="104"/>
          <w:lang w:val="es-ES"/>
        </w:rPr>
        <w:t>Bruylant, 2007</w:t>
      </w:r>
      <w:r w:rsidRPr="00FC031D">
        <w:rPr>
          <w:rFonts w:hint="eastAsia"/>
          <w:lang w:val="es-ES"/>
        </w:rPr>
        <w:t>年</w:t>
      </w:r>
      <w:r w:rsidRPr="00FC031D">
        <w:rPr>
          <w:lang w:val="es-ES"/>
        </w:rPr>
        <w:t>)</w:t>
      </w:r>
      <w:r w:rsidRPr="00FC031D">
        <w:rPr>
          <w:rFonts w:hint="eastAsia"/>
          <w:w w:val="104"/>
          <w:lang w:val="es-ES"/>
        </w:rPr>
        <w:t>，</w:t>
      </w:r>
      <w:r w:rsidRPr="00FC031D">
        <w:rPr>
          <w:rFonts w:hint="eastAsia"/>
          <w:lang w:val="es-ES"/>
        </w:rPr>
        <w:t>第</w:t>
      </w:r>
      <w:r w:rsidRPr="00FC031D">
        <w:rPr>
          <w:lang w:val="es-ES"/>
        </w:rPr>
        <w:t>425-454</w:t>
      </w:r>
      <w:r w:rsidRPr="00FC031D">
        <w:rPr>
          <w:rFonts w:hint="eastAsia"/>
          <w:lang w:val="es-ES"/>
        </w:rPr>
        <w:t>页，见</w:t>
      </w:r>
      <w:r w:rsidRPr="00FC031D">
        <w:rPr>
          <w:rFonts w:ascii="Time New Roman" w:hAnsi="Time New Roman" w:hint="eastAsia"/>
          <w:lang w:val="es-ES"/>
        </w:rPr>
        <w:t>第</w:t>
      </w:r>
      <w:r w:rsidRPr="00FC031D">
        <w:rPr>
          <w:rFonts w:ascii="Time New Roman" w:hAnsi="Time New Roman" w:hint="eastAsia"/>
          <w:lang w:val="es-ES"/>
        </w:rPr>
        <w:t>430-</w:t>
      </w:r>
      <w:r w:rsidRPr="00FC031D">
        <w:rPr>
          <w:lang w:val="es-ES"/>
        </w:rPr>
        <w:t>431</w:t>
      </w:r>
      <w:r w:rsidRPr="00FC031D">
        <w:rPr>
          <w:rFonts w:hint="eastAsia"/>
          <w:lang w:val="es-ES"/>
        </w:rPr>
        <w:t>页</w:t>
      </w:r>
      <w:r w:rsidRPr="00FC031D">
        <w:rPr>
          <w:lang w:val="es-ES"/>
        </w:rPr>
        <w:t>(</w:t>
      </w:r>
      <w:r w:rsidRPr="00FC031D">
        <w:rPr>
          <w:rFonts w:hint="eastAsia"/>
          <w:lang w:val="es-ES"/>
        </w:rPr>
        <w:t>“第</w:t>
      </w:r>
      <w:r w:rsidRPr="00FC031D">
        <w:rPr>
          <w:lang w:val="es-ES"/>
        </w:rPr>
        <w:t>三</w:t>
      </w:r>
      <w:r w:rsidRPr="00FC031D">
        <w:rPr>
          <w:rFonts w:hint="eastAsia"/>
          <w:lang w:val="es-ES"/>
        </w:rPr>
        <w:t>款所述系指解释性的协定，此处使用</w:t>
      </w:r>
      <w:r w:rsidRPr="00FC031D">
        <w:rPr>
          <w:lang w:val="es-ES"/>
        </w:rPr>
        <w:t>‘</w:t>
      </w:r>
      <w:r w:rsidRPr="00FC031D">
        <w:rPr>
          <w:rFonts w:hint="eastAsia"/>
          <w:lang w:val="es-ES"/>
        </w:rPr>
        <w:t>协定</w:t>
      </w:r>
      <w:r w:rsidRPr="00FC031D">
        <w:rPr>
          <w:lang w:val="es-ES"/>
        </w:rPr>
        <w:t>’</w:t>
      </w:r>
      <w:r w:rsidRPr="00FC031D">
        <w:rPr>
          <w:rFonts w:hint="eastAsia"/>
          <w:lang w:val="es-ES"/>
        </w:rPr>
        <w:t>是取其广义的意义，不一定与《维也纳公约》第二条定义的</w:t>
      </w:r>
      <w:r w:rsidRPr="00FC031D">
        <w:rPr>
          <w:lang w:val="es-ES"/>
        </w:rPr>
        <w:t>‘</w:t>
      </w:r>
      <w:r w:rsidRPr="00FC031D">
        <w:rPr>
          <w:rFonts w:hint="eastAsia"/>
          <w:lang w:val="es-ES"/>
        </w:rPr>
        <w:t>条约</w:t>
      </w:r>
      <w:r w:rsidRPr="00FC031D">
        <w:rPr>
          <w:lang w:val="es-ES"/>
        </w:rPr>
        <w:t>’</w:t>
      </w:r>
      <w:r w:rsidRPr="00FC031D">
        <w:rPr>
          <w:rFonts w:hint="eastAsia"/>
          <w:lang w:val="es-ES"/>
        </w:rPr>
        <w:t>相符。因此，解释性协定最终有可能是一个口头协定甚至是政治协定”</w:t>
      </w:r>
      <w:r w:rsidRPr="00FC031D">
        <w:rPr>
          <w:lang w:val="es-ES"/>
        </w:rPr>
        <w:t>)</w:t>
      </w:r>
      <w:r w:rsidRPr="00FC031D">
        <w:rPr>
          <w:rFonts w:hint="eastAsia"/>
          <w:lang w:val="es-ES"/>
        </w:rPr>
        <w:t>。</w:t>
      </w:r>
    </w:p>
  </w:footnote>
  <w:footnote w:id="809">
    <w:p w:rsidR="00AB00DE" w:rsidRPr="00FC031D" w:rsidRDefault="00AB00DE" w:rsidP="00560424">
      <w:pPr>
        <w:pStyle w:val="a4"/>
        <w:rPr>
          <w:lang w:val="fr-FR"/>
        </w:rPr>
      </w:pPr>
      <w:r w:rsidRPr="00FC031D">
        <w:rPr>
          <w:lang w:val="fr-FR"/>
        </w:rPr>
        <w:tab/>
      </w:r>
      <w:r w:rsidRPr="00DF5565">
        <w:rPr>
          <w:color w:val="0000FF"/>
          <w:sz w:val="21"/>
          <w:vertAlign w:val="superscript"/>
        </w:rPr>
        <w:footnoteRef/>
      </w:r>
      <w:r w:rsidRPr="00DF5565">
        <w:rPr>
          <w:color w:val="0000FF"/>
          <w:sz w:val="21"/>
          <w:vertAlign w:val="superscript"/>
          <w:lang w:val="fr-FR"/>
        </w:rPr>
        <w:tab/>
      </w:r>
      <w:r w:rsidRPr="00FC031D">
        <w:t>见</w:t>
      </w:r>
      <w:r w:rsidRPr="00FC031D">
        <w:rPr>
          <w:w w:val="104"/>
          <w:lang w:val="fr-FR"/>
        </w:rPr>
        <w:t>Gautier,</w:t>
      </w:r>
      <w:r w:rsidRPr="00FC031D">
        <w:rPr>
          <w:rFonts w:hint="eastAsia"/>
          <w:w w:val="104"/>
          <w:lang w:val="fr-FR"/>
        </w:rPr>
        <w:t>“</w:t>
      </w:r>
      <w:r w:rsidRPr="00FC031D">
        <w:rPr>
          <w:rFonts w:hint="eastAsia"/>
        </w:rPr>
        <w:t>非约束性协定”</w:t>
      </w:r>
      <w:r w:rsidRPr="00FC031D">
        <w:t>(</w:t>
      </w:r>
      <w:r w:rsidRPr="00FC031D">
        <w:rPr>
          <w:rFonts w:hint="eastAsia"/>
          <w:lang w:val="es-ES"/>
        </w:rPr>
        <w:t>上文脚注</w:t>
      </w:r>
      <w:r>
        <w:rPr>
          <w:lang w:val="es-ES"/>
        </w:rPr>
        <w:fldChar w:fldCharType="begin"/>
      </w:r>
      <w:r>
        <w:rPr>
          <w:lang w:val="es-ES"/>
        </w:rPr>
        <w:instrText xml:space="preserve"> </w:instrText>
      </w:r>
      <w:r>
        <w:rPr>
          <w:rFonts w:hint="eastAsia"/>
          <w:lang w:val="es-ES"/>
        </w:rPr>
        <w:instrText>NOTEREF _Ref461976809 \h</w:instrText>
      </w:r>
      <w:r>
        <w:rPr>
          <w:lang w:val="es-ES"/>
        </w:rPr>
        <w:instrText xml:space="preserve"> </w:instrText>
      </w:r>
      <w:r>
        <w:rPr>
          <w:lang w:val="es-ES"/>
        </w:rPr>
      </w:r>
      <w:r>
        <w:rPr>
          <w:lang w:val="es-ES"/>
        </w:rPr>
        <w:fldChar w:fldCharType="separate"/>
      </w:r>
      <w:r w:rsidR="00A73EB9">
        <w:rPr>
          <w:lang w:val="es-ES"/>
        </w:rPr>
        <w:t>803</w:t>
      </w:r>
      <w:r>
        <w:rPr>
          <w:lang w:val="es-ES"/>
        </w:rPr>
        <w:fldChar w:fldCharType="end"/>
      </w:r>
      <w:r w:rsidRPr="00FC031D">
        <w:rPr>
          <w:lang w:val="es-ES"/>
        </w:rPr>
        <w:t>)</w:t>
      </w:r>
      <w:r w:rsidRPr="00FC031D">
        <w:rPr>
          <w:lang w:val="es-ES"/>
        </w:rPr>
        <w:t>，</w:t>
      </w:r>
      <w:r w:rsidRPr="00FC031D">
        <w:rPr>
          <w:rFonts w:hint="eastAsia"/>
          <w:lang w:val="es-ES"/>
        </w:rPr>
        <w:t>第</w:t>
      </w:r>
      <w:r w:rsidRPr="00FC031D">
        <w:rPr>
          <w:lang w:val="es-ES"/>
        </w:rPr>
        <w:t>14</w:t>
      </w:r>
      <w:r w:rsidRPr="00FC031D">
        <w:rPr>
          <w:rFonts w:hint="eastAsia"/>
          <w:lang w:val="es-ES"/>
        </w:rPr>
        <w:t>段；</w:t>
      </w:r>
      <w:r w:rsidRPr="00FC031D">
        <w:rPr>
          <w:lang w:val="es-ES"/>
        </w:rPr>
        <w:t xml:space="preserve">Aust, </w:t>
      </w:r>
      <w:r w:rsidRPr="00FC031D">
        <w:rPr>
          <w:rFonts w:hint="eastAsia"/>
          <w:lang w:val="es-ES"/>
        </w:rPr>
        <w:t>《现代条约法和实践》</w:t>
      </w:r>
      <w:r w:rsidRPr="00FC031D">
        <w:rPr>
          <w:lang w:val="es-ES"/>
        </w:rPr>
        <w:t>(</w:t>
      </w:r>
      <w:r w:rsidRPr="00FC031D">
        <w:rPr>
          <w:rFonts w:hint="eastAsia"/>
          <w:lang w:val="es-ES"/>
        </w:rPr>
        <w:t>见上文脚注</w:t>
      </w:r>
      <w:r>
        <w:fldChar w:fldCharType="begin"/>
      </w:r>
      <w:r>
        <w:instrText xml:space="preserve"> </w:instrText>
      </w:r>
      <w:r>
        <w:rPr>
          <w:rFonts w:hint="eastAsia"/>
        </w:rPr>
        <w:instrText>NOTEREF _Ref461972435 \h</w:instrText>
      </w:r>
      <w:r>
        <w:instrText xml:space="preserve"> </w:instrText>
      </w:r>
      <w:r>
        <w:fldChar w:fldCharType="separate"/>
      </w:r>
      <w:r w:rsidR="00A73EB9">
        <w:t>525</w:t>
      </w:r>
      <w:r>
        <w:fldChar w:fldCharType="end"/>
      </w:r>
      <w:r w:rsidRPr="00FC031D">
        <w:rPr>
          <w:lang w:val="es-ES"/>
        </w:rPr>
        <w:t>)</w:t>
      </w:r>
      <w:r w:rsidRPr="00FC031D">
        <w:rPr>
          <w:rFonts w:hint="eastAsia"/>
          <w:lang w:val="es-ES"/>
        </w:rPr>
        <w:t>，第</w:t>
      </w:r>
      <w:r w:rsidRPr="00FC031D">
        <w:rPr>
          <w:w w:val="104"/>
          <w:lang w:val="fr-FR"/>
        </w:rPr>
        <w:t>211</w:t>
      </w:r>
      <w:r w:rsidRPr="00FC031D">
        <w:rPr>
          <w:rFonts w:hint="eastAsia"/>
        </w:rPr>
        <w:t>、</w:t>
      </w:r>
      <w:r w:rsidRPr="00FC031D">
        <w:rPr>
          <w:w w:val="104"/>
          <w:lang w:val="fr-FR"/>
        </w:rPr>
        <w:t>213</w:t>
      </w:r>
      <w:r w:rsidRPr="00FC031D">
        <w:rPr>
          <w:rFonts w:hint="eastAsia"/>
        </w:rPr>
        <w:t>页。</w:t>
      </w:r>
    </w:p>
  </w:footnote>
  <w:footnote w:id="810">
    <w:p w:rsidR="00AB00DE" w:rsidRPr="00FC031D" w:rsidRDefault="00AB00DE" w:rsidP="00DF5565">
      <w:pPr>
        <w:pStyle w:val="a4"/>
        <w:rPr>
          <w:lang w:val="fr-FR"/>
        </w:rPr>
      </w:pPr>
      <w:r w:rsidRPr="00FC031D">
        <w:rPr>
          <w:lang w:val="fr-FR"/>
        </w:rPr>
        <w:tab/>
      </w:r>
      <w:r w:rsidRPr="00DF5565">
        <w:rPr>
          <w:color w:val="0000FF"/>
          <w:sz w:val="21"/>
          <w:vertAlign w:val="superscript"/>
        </w:rPr>
        <w:footnoteRef/>
      </w:r>
      <w:r w:rsidRPr="00DF5565">
        <w:rPr>
          <w:color w:val="0000FF"/>
          <w:sz w:val="21"/>
          <w:vertAlign w:val="superscript"/>
          <w:lang w:val="fr-FR"/>
        </w:rPr>
        <w:tab/>
      </w:r>
      <w:r w:rsidRPr="00FC031D">
        <w:rPr>
          <w:rFonts w:hint="eastAsia"/>
          <w:lang w:val="fr-FR"/>
        </w:rPr>
        <w:t>这一词汇遵循委员会《对条约的保留实践指南》中准则</w:t>
      </w:r>
      <w:r w:rsidRPr="00FC031D">
        <w:rPr>
          <w:w w:val="104"/>
          <w:lang w:val="fr-FR"/>
        </w:rPr>
        <w:t>1.2.</w:t>
      </w:r>
      <w:r w:rsidRPr="00FC031D">
        <w:rPr>
          <w:lang w:val="fr-FR"/>
        </w:rPr>
        <w:t>(</w:t>
      </w:r>
      <w:r w:rsidRPr="00FC031D">
        <w:rPr>
          <w:rFonts w:hint="eastAsia"/>
          <w:lang w:val="fr-FR"/>
        </w:rPr>
        <w:t>解释性声明的定义</w:t>
      </w:r>
      <w:r w:rsidRPr="00FC031D">
        <w:rPr>
          <w:lang w:val="fr-FR"/>
        </w:rPr>
        <w:t>)</w:t>
      </w:r>
      <w:r w:rsidRPr="00FC031D">
        <w:rPr>
          <w:rFonts w:hint="eastAsia"/>
          <w:lang w:val="fr-FR"/>
        </w:rPr>
        <w:t>的评注</w:t>
      </w:r>
      <w:r w:rsidRPr="00FC031D">
        <w:rPr>
          <w:lang w:val="fr-FR"/>
        </w:rPr>
        <w:t>(</w:t>
      </w:r>
      <w:r w:rsidRPr="00FC031D">
        <w:rPr>
          <w:rFonts w:hint="eastAsia"/>
          <w:lang w:val="fr-FR"/>
        </w:rPr>
        <w:t>见《大会正式记录，第六十六届会议，补编第</w:t>
      </w:r>
      <w:r w:rsidRPr="00FC031D">
        <w:rPr>
          <w:lang w:val="fr-FR"/>
        </w:rPr>
        <w:t>10</w:t>
      </w:r>
      <w:r w:rsidRPr="00FC031D">
        <w:rPr>
          <w:rFonts w:hint="eastAsia"/>
          <w:lang w:val="fr-FR"/>
        </w:rPr>
        <w:t>号》</w:t>
      </w:r>
      <w:r w:rsidRPr="00FC031D">
        <w:rPr>
          <w:rFonts w:hint="eastAsia"/>
          <w:w w:val="104"/>
          <w:lang w:val="fr-FR"/>
        </w:rPr>
        <w:t>，</w:t>
      </w:r>
      <w:hyperlink r:id="rId94" w:history="1">
        <w:r w:rsidRPr="00FC031D">
          <w:rPr>
            <w:rStyle w:val="af"/>
            <w:w w:val="104"/>
            <w:lang w:val="fr-FR"/>
          </w:rPr>
          <w:t>A/66/10/Add.1</w:t>
        </w:r>
      </w:hyperlink>
      <w:r w:rsidRPr="00FC031D">
        <w:rPr>
          <w:rFonts w:hint="eastAsia"/>
          <w:w w:val="104"/>
          <w:lang w:val="fr-FR"/>
        </w:rPr>
        <w:t xml:space="preserve">, </w:t>
      </w:r>
      <w:r w:rsidRPr="00FC031D">
        <w:rPr>
          <w:rFonts w:hint="eastAsia"/>
          <w:lang w:val="fr-FR"/>
        </w:rPr>
        <w:t>第</w:t>
      </w:r>
      <w:r w:rsidRPr="00FC031D">
        <w:rPr>
          <w:lang w:val="fr-FR"/>
        </w:rPr>
        <w:t>(18)</w:t>
      </w:r>
      <w:r w:rsidRPr="00FC031D">
        <w:rPr>
          <w:rFonts w:hint="eastAsia"/>
          <w:lang w:val="fr-FR"/>
        </w:rPr>
        <w:t>和</w:t>
      </w:r>
      <w:r w:rsidRPr="00FC031D">
        <w:rPr>
          <w:lang w:val="fr-FR"/>
        </w:rPr>
        <w:t>(19)</w:t>
      </w:r>
      <w:r w:rsidRPr="00FC031D">
        <w:rPr>
          <w:rFonts w:hint="eastAsia"/>
          <w:lang w:val="fr-FR"/>
        </w:rPr>
        <w:t>段</w:t>
      </w:r>
      <w:r w:rsidRPr="00FC031D">
        <w:rPr>
          <w:lang w:val="fr-FR"/>
        </w:rPr>
        <w:t>)</w:t>
      </w:r>
      <w:r w:rsidRPr="00FC031D">
        <w:rPr>
          <w:rFonts w:hint="eastAsia"/>
          <w:lang w:val="fr-FR"/>
        </w:rPr>
        <w:t>。</w:t>
      </w:r>
    </w:p>
  </w:footnote>
  <w:footnote w:id="811">
    <w:p w:rsidR="00AB00DE" w:rsidRPr="00FC031D" w:rsidRDefault="00AB00DE" w:rsidP="00DF5565">
      <w:pPr>
        <w:pStyle w:val="a4"/>
      </w:pPr>
      <w:r w:rsidRPr="00FC031D">
        <w:rPr>
          <w:lang w:val="fr-FR"/>
        </w:rPr>
        <w:tab/>
      </w:r>
      <w:r w:rsidRPr="00DF5565">
        <w:rPr>
          <w:color w:val="0000FF"/>
          <w:sz w:val="21"/>
          <w:vertAlign w:val="superscript"/>
        </w:rPr>
        <w:footnoteRef/>
      </w:r>
      <w:r w:rsidRPr="00DF5565">
        <w:rPr>
          <w:color w:val="0000FF"/>
          <w:sz w:val="21"/>
          <w:vertAlign w:val="superscript"/>
        </w:rPr>
        <w:tab/>
      </w:r>
      <w:r w:rsidRPr="00FC031D">
        <w:rPr>
          <w:rFonts w:hint="eastAsia"/>
          <w:lang w:val="fr-FR"/>
        </w:rPr>
        <w:t>见</w:t>
      </w:r>
      <w:r w:rsidRPr="007866F0">
        <w:rPr>
          <w:rFonts w:eastAsia="楷体"/>
        </w:rPr>
        <w:t>《</w:t>
      </w:r>
      <w:r w:rsidRPr="007866F0">
        <w:rPr>
          <w:rFonts w:eastAsia="楷体"/>
        </w:rPr>
        <w:t>1966</w:t>
      </w:r>
      <w:r w:rsidRPr="007866F0">
        <w:rPr>
          <w:rFonts w:eastAsia="楷体"/>
        </w:rPr>
        <w:t>年</w:t>
      </w:r>
      <w:r w:rsidRPr="00FC031D">
        <w:rPr>
          <w:rFonts w:hint="eastAsia"/>
        </w:rPr>
        <w:t>……</w:t>
      </w:r>
      <w:r w:rsidRPr="007866F0">
        <w:rPr>
          <w:rFonts w:eastAsia="楷体"/>
        </w:rPr>
        <w:t>年鉴》</w:t>
      </w:r>
      <w:r w:rsidRPr="00FC031D">
        <w:rPr>
          <w:rFonts w:hint="eastAsia"/>
        </w:rPr>
        <w:t>，第二卷</w:t>
      </w:r>
      <w:r w:rsidRPr="00FC031D">
        <w:rPr>
          <w:rFonts w:hint="eastAsia"/>
          <w:w w:val="104"/>
        </w:rPr>
        <w:t>，</w:t>
      </w:r>
      <w:r w:rsidRPr="00FC031D">
        <w:t>A/6309/Rev.1</w:t>
      </w:r>
      <w:r w:rsidRPr="00FC031D">
        <w:t>号文件，</w:t>
      </w:r>
      <w:r w:rsidRPr="00FC031D">
        <w:rPr>
          <w:rFonts w:hint="eastAsia"/>
        </w:rPr>
        <w:t>第</w:t>
      </w:r>
      <w:r w:rsidRPr="00FC031D">
        <w:rPr>
          <w:w w:val="104"/>
        </w:rPr>
        <w:t>221-222</w:t>
      </w:r>
      <w:r w:rsidRPr="00FC031D">
        <w:rPr>
          <w:rFonts w:hint="eastAsia"/>
        </w:rPr>
        <w:t>页，第</w:t>
      </w:r>
      <w:r w:rsidRPr="00FC031D">
        <w:t>(15)</w:t>
      </w:r>
      <w:r w:rsidRPr="00FC031D">
        <w:rPr>
          <w:rFonts w:hint="eastAsia"/>
        </w:rPr>
        <w:t>和</w:t>
      </w:r>
      <w:r w:rsidRPr="00FC031D">
        <w:t>(16)</w:t>
      </w:r>
      <w:r w:rsidRPr="00FC031D">
        <w:rPr>
          <w:rFonts w:hint="eastAsia"/>
        </w:rPr>
        <w:t>段</w:t>
      </w:r>
      <w:r w:rsidRPr="00FC031D">
        <w:t>(</w:t>
      </w:r>
      <w:r w:rsidRPr="00FC031D">
        <w:rPr>
          <w:rFonts w:hint="eastAsia"/>
        </w:rPr>
        <w:t>在日后成为第三十一条第三款</w:t>
      </w:r>
      <w:r w:rsidRPr="00FC031D">
        <w:t>(a)</w:t>
      </w:r>
      <w:r w:rsidRPr="00FC031D">
        <w:t>项</w:t>
      </w:r>
      <w:r w:rsidRPr="00FC031D">
        <w:rPr>
          <w:rFonts w:hint="eastAsia"/>
        </w:rPr>
        <w:t>和第三十一条第三款</w:t>
      </w:r>
      <w:r w:rsidRPr="00FC031D">
        <w:t>(b)</w:t>
      </w:r>
      <w:r w:rsidRPr="00FC031D">
        <w:rPr>
          <w:rFonts w:hint="eastAsia"/>
        </w:rPr>
        <w:t>项的文字中均使用了“谅解”一语</w:t>
      </w:r>
      <w:r w:rsidRPr="00FC031D">
        <w:t>)</w:t>
      </w:r>
      <w:r w:rsidRPr="00FC031D">
        <w:rPr>
          <w:rFonts w:hint="eastAsia"/>
        </w:rPr>
        <w:t>。</w:t>
      </w:r>
    </w:p>
  </w:footnote>
  <w:footnote w:id="812">
    <w:p w:rsidR="00AB00DE" w:rsidRPr="00FC031D" w:rsidRDefault="00AB00DE" w:rsidP="00560424">
      <w:pPr>
        <w:pStyle w:val="a4"/>
      </w:pPr>
      <w:r w:rsidRPr="00FC031D">
        <w:tab/>
      </w:r>
      <w:r w:rsidRPr="00DF5565">
        <w:rPr>
          <w:color w:val="0000FF"/>
          <w:sz w:val="21"/>
          <w:vertAlign w:val="superscript"/>
        </w:rPr>
        <w:footnoteRef/>
      </w:r>
      <w:r w:rsidRPr="00DF5565">
        <w:rPr>
          <w:color w:val="0000FF"/>
          <w:sz w:val="21"/>
          <w:vertAlign w:val="superscript"/>
        </w:rPr>
        <w:tab/>
      </w:r>
      <w:r w:rsidRPr="007866F0">
        <w:rPr>
          <w:rFonts w:eastAsia="楷体"/>
        </w:rPr>
        <w:t>美国</w:t>
      </w:r>
      <w:r w:rsidRPr="007866F0">
        <w:rPr>
          <w:rFonts w:eastAsia="楷体"/>
          <w:w w:val="104"/>
        </w:rPr>
        <w:t>－</w:t>
      </w:r>
      <w:r w:rsidRPr="007866F0">
        <w:rPr>
          <w:rFonts w:eastAsia="楷体"/>
        </w:rPr>
        <w:t>联合王国希斯罗机场用户诉讼案</w:t>
      </w:r>
      <w:r w:rsidRPr="007866F0">
        <w:rPr>
          <w:rFonts w:eastAsia="楷体" w:hint="eastAsia"/>
        </w:rPr>
        <w:t>仲裁</w:t>
      </w:r>
      <w:r w:rsidRPr="007866F0">
        <w:rPr>
          <w:rFonts w:eastAsia="楷体"/>
          <w:w w:val="104"/>
        </w:rPr>
        <w:t>，</w:t>
      </w:r>
      <w:r w:rsidRPr="007866F0">
        <w:rPr>
          <w:rFonts w:eastAsia="楷体"/>
        </w:rPr>
        <w:t>关于第一个问题的裁决，</w:t>
      </w:r>
      <w:r w:rsidRPr="00FC031D">
        <w:t>1992</w:t>
      </w:r>
      <w:r w:rsidRPr="00FC031D">
        <w:rPr>
          <w:rFonts w:hint="eastAsia"/>
        </w:rPr>
        <w:t>年</w:t>
      </w:r>
      <w:r w:rsidRPr="00FC031D">
        <w:t>11</w:t>
      </w:r>
      <w:r w:rsidRPr="00FC031D">
        <w:rPr>
          <w:rFonts w:hint="eastAsia"/>
        </w:rPr>
        <w:t>月</w:t>
      </w:r>
      <w:r w:rsidRPr="00FC031D">
        <w:t>30</w:t>
      </w:r>
      <w:r w:rsidRPr="00FC031D">
        <w:rPr>
          <w:rFonts w:hint="eastAsia"/>
        </w:rPr>
        <w:t>日</w:t>
      </w:r>
      <w:r w:rsidRPr="007866F0">
        <w:rPr>
          <w:rFonts w:eastAsia="楷体"/>
        </w:rPr>
        <w:t>，</w:t>
      </w:r>
      <w:r w:rsidRPr="00FC031D">
        <w:rPr>
          <w:rFonts w:ascii="Time New Roman" w:hAnsi="Time New Roman"/>
        </w:rPr>
        <w:t>《国际仲裁裁决汇编》</w:t>
      </w:r>
      <w:r w:rsidRPr="007866F0">
        <w:rPr>
          <w:rFonts w:eastAsia="楷体"/>
        </w:rPr>
        <w:t>，</w:t>
      </w:r>
      <w:r w:rsidRPr="00FC031D">
        <w:rPr>
          <w:rFonts w:hint="eastAsia"/>
        </w:rPr>
        <w:t>第二十四卷</w:t>
      </w:r>
      <w:r w:rsidRPr="00FC031D">
        <w:t>(</w:t>
      </w:r>
      <w:r w:rsidRPr="00FC031D">
        <w:t>出售品编号：</w:t>
      </w:r>
      <w:r w:rsidRPr="00FC031D">
        <w:t>E/F.04.V.18)</w:t>
      </w:r>
      <w:r w:rsidRPr="00FC031D">
        <w:rPr>
          <w:rFonts w:hint="eastAsia"/>
        </w:rPr>
        <w:t>，</w:t>
      </w:r>
      <w:r w:rsidRPr="00FC031D">
        <w:t>第</w:t>
      </w:r>
      <w:r w:rsidRPr="00FC031D">
        <w:t>1-359</w:t>
      </w:r>
      <w:r w:rsidRPr="00FC031D">
        <w:rPr>
          <w:rFonts w:hint="eastAsia"/>
        </w:rPr>
        <w:t>页，见第</w:t>
      </w:r>
      <w:r w:rsidRPr="00FC031D">
        <w:t>131</w:t>
      </w:r>
      <w:r w:rsidRPr="00FC031D">
        <w:rPr>
          <w:rFonts w:hint="eastAsia"/>
        </w:rPr>
        <w:t>页，第</w:t>
      </w:r>
      <w:r w:rsidRPr="00FC031D">
        <w:rPr>
          <w:w w:val="104"/>
        </w:rPr>
        <w:t>6.7</w:t>
      </w:r>
      <w:r w:rsidRPr="00FC031D">
        <w:rPr>
          <w:rFonts w:hint="eastAsia"/>
        </w:rPr>
        <w:t>段</w:t>
      </w:r>
      <w:r w:rsidRPr="00FC031D">
        <w:rPr>
          <w:rFonts w:hint="eastAsia"/>
          <w:w w:val="104"/>
        </w:rPr>
        <w:t>；</w:t>
      </w:r>
      <w:r w:rsidRPr="00FC031D">
        <w:rPr>
          <w:w w:val="104"/>
        </w:rPr>
        <w:t>Aust,</w:t>
      </w:r>
      <w:r w:rsidRPr="00FC031D">
        <w:rPr>
          <w:rFonts w:hint="eastAsia"/>
          <w:w w:val="104"/>
        </w:rPr>
        <w:t>“</w:t>
      </w:r>
      <w:r w:rsidRPr="00FC031D">
        <w:rPr>
          <w:rFonts w:hint="eastAsia"/>
        </w:rPr>
        <w:t>非正式国际文书的理论和实践</w:t>
      </w:r>
      <w:r w:rsidRPr="00FC031D">
        <w:rPr>
          <w:rFonts w:hint="eastAsia"/>
          <w:lang w:val="fr-FR"/>
        </w:rPr>
        <w:t>”</w:t>
      </w:r>
      <w:r w:rsidRPr="00FC031D">
        <w:rPr>
          <w:lang w:val="fr-FR"/>
        </w:rPr>
        <w:t>(</w:t>
      </w:r>
      <w:r w:rsidRPr="00FC031D">
        <w:rPr>
          <w:rFonts w:hint="eastAsia"/>
        </w:rPr>
        <w:t>见上文脚注</w:t>
      </w:r>
      <w:r>
        <w:fldChar w:fldCharType="begin"/>
      </w:r>
      <w:r>
        <w:instrText xml:space="preserve"> </w:instrText>
      </w:r>
      <w:r>
        <w:rPr>
          <w:rFonts w:hint="eastAsia"/>
        </w:rPr>
        <w:instrText>NOTEREF _Ref321219754 \h</w:instrText>
      </w:r>
      <w:r>
        <w:instrText xml:space="preserve"> </w:instrText>
      </w:r>
      <w:r>
        <w:fldChar w:fldCharType="separate"/>
      </w:r>
      <w:r w:rsidR="00A73EB9">
        <w:t>465</w:t>
      </w:r>
      <w:r>
        <w:fldChar w:fldCharType="end"/>
      </w:r>
      <w:r w:rsidRPr="00FC031D">
        <w:t>)</w:t>
      </w:r>
      <w:r w:rsidRPr="00FC031D">
        <w:rPr>
          <w:rFonts w:hint="eastAsia"/>
          <w:w w:val="104"/>
        </w:rPr>
        <w:t>，第</w:t>
      </w:r>
      <w:r w:rsidRPr="00FC031D">
        <w:rPr>
          <w:w w:val="104"/>
        </w:rPr>
        <w:t>787</w:t>
      </w:r>
      <w:r w:rsidRPr="00FC031D">
        <w:rPr>
          <w:rFonts w:hint="eastAsia"/>
        </w:rPr>
        <w:t>和</w:t>
      </w:r>
      <w:r w:rsidRPr="00FC031D">
        <w:rPr>
          <w:w w:val="104"/>
        </w:rPr>
        <w:t>807</w:t>
      </w:r>
      <w:r w:rsidRPr="00FC031D">
        <w:rPr>
          <w:rFonts w:hint="eastAsia"/>
        </w:rPr>
        <w:t>页</w:t>
      </w:r>
      <w:r w:rsidRPr="00FC031D">
        <w:rPr>
          <w:rFonts w:hint="eastAsia"/>
          <w:w w:val="104"/>
        </w:rPr>
        <w:t>；</w:t>
      </w:r>
      <w:r w:rsidRPr="00FC031D">
        <w:rPr>
          <w:w w:val="104"/>
        </w:rPr>
        <w:t xml:space="preserve">Linderfalk, </w:t>
      </w:r>
      <w:r w:rsidRPr="00FC031D">
        <w:rPr>
          <w:rFonts w:hint="eastAsia"/>
        </w:rPr>
        <w:t>《论条约的解释》</w:t>
      </w:r>
      <w:r w:rsidRPr="00FC031D">
        <w:t>(</w:t>
      </w:r>
      <w:r w:rsidRPr="00FC031D">
        <w:rPr>
          <w:rFonts w:hint="eastAsia"/>
        </w:rPr>
        <w:t>见上文脚注</w:t>
      </w:r>
      <w:r>
        <w:fldChar w:fldCharType="begin"/>
      </w:r>
      <w:r>
        <w:instrText xml:space="preserve"> </w:instrText>
      </w:r>
      <w:r>
        <w:rPr>
          <w:rFonts w:hint="eastAsia"/>
        </w:rPr>
        <w:instrText>NOTEREF _Ref461974127 \h</w:instrText>
      </w:r>
      <w:r>
        <w:instrText xml:space="preserve"> </w:instrText>
      </w:r>
      <w:r>
        <w:fldChar w:fldCharType="separate"/>
      </w:r>
      <w:r w:rsidR="00A73EB9">
        <w:t>446</w:t>
      </w:r>
      <w:r>
        <w:fldChar w:fldCharType="end"/>
      </w:r>
      <w:r w:rsidRPr="00FC031D">
        <w:rPr>
          <w:rFonts w:hint="eastAsia"/>
        </w:rPr>
        <w:t>)</w:t>
      </w:r>
      <w:r w:rsidRPr="00FC031D">
        <w:rPr>
          <w:rFonts w:hint="eastAsia"/>
        </w:rPr>
        <w:t>，</w:t>
      </w:r>
      <w:r w:rsidRPr="00FC031D">
        <w:rPr>
          <w:rFonts w:hint="eastAsia"/>
          <w:w w:val="104"/>
        </w:rPr>
        <w:t>第</w:t>
      </w:r>
      <w:r w:rsidRPr="00FC031D">
        <w:rPr>
          <w:w w:val="104"/>
        </w:rPr>
        <w:t>173</w:t>
      </w:r>
      <w:r w:rsidRPr="00FC031D">
        <w:rPr>
          <w:rFonts w:hint="eastAsia"/>
        </w:rPr>
        <w:t>页</w:t>
      </w:r>
      <w:r w:rsidRPr="00FC031D">
        <w:rPr>
          <w:rFonts w:hint="eastAsia"/>
          <w:w w:val="104"/>
        </w:rPr>
        <w:t>；</w:t>
      </w:r>
      <w:r w:rsidRPr="00FC031D">
        <w:rPr>
          <w:w w:val="104"/>
        </w:rPr>
        <w:t xml:space="preserve">Hafner, </w:t>
      </w:r>
      <w:r w:rsidRPr="00FC031D">
        <w:rPr>
          <w:rFonts w:hint="eastAsia"/>
        </w:rPr>
        <w:t>《嗣后协定和惯例……</w:t>
      </w:r>
      <w:r w:rsidRPr="00FC031D">
        <w:t>.</w:t>
      </w:r>
      <w:r w:rsidRPr="00FC031D">
        <w:rPr>
          <w:rFonts w:hint="eastAsia"/>
        </w:rPr>
        <w:t>》</w:t>
      </w:r>
      <w:r w:rsidRPr="00FC031D">
        <w:t>(</w:t>
      </w:r>
      <w:r w:rsidRPr="00FC031D">
        <w:rPr>
          <w:rFonts w:hint="eastAsia"/>
        </w:rPr>
        <w:t>见上文上文脚注</w:t>
      </w:r>
      <w:r>
        <w:fldChar w:fldCharType="begin"/>
      </w:r>
      <w:r>
        <w:instrText xml:space="preserve"> </w:instrText>
      </w:r>
      <w:r>
        <w:rPr>
          <w:rFonts w:hint="eastAsia"/>
        </w:rPr>
        <w:instrText>NOTEREF _Ref461976124 \h</w:instrText>
      </w:r>
      <w:r>
        <w:instrText xml:space="preserve"> </w:instrText>
      </w:r>
      <w:r>
        <w:fldChar w:fldCharType="separate"/>
      </w:r>
      <w:r w:rsidR="00A73EB9">
        <w:t>655</w:t>
      </w:r>
      <w:r>
        <w:fldChar w:fldCharType="end"/>
      </w:r>
      <w:r w:rsidRPr="00FC031D">
        <w:t>)</w:t>
      </w:r>
      <w:r w:rsidRPr="00FC031D">
        <w:rPr>
          <w:rFonts w:hint="eastAsia"/>
        </w:rPr>
        <w:t>，</w:t>
      </w:r>
      <w:r w:rsidRPr="00FC031D">
        <w:rPr>
          <w:rFonts w:hint="eastAsia"/>
          <w:w w:val="104"/>
        </w:rPr>
        <w:t>第</w:t>
      </w:r>
      <w:r w:rsidRPr="00FC031D">
        <w:rPr>
          <w:w w:val="104"/>
        </w:rPr>
        <w:t>110-113</w:t>
      </w:r>
      <w:r w:rsidRPr="00FC031D">
        <w:rPr>
          <w:rFonts w:hint="eastAsia"/>
        </w:rPr>
        <w:t>页</w:t>
      </w:r>
      <w:r w:rsidRPr="00FC031D">
        <w:rPr>
          <w:rFonts w:hint="eastAsia"/>
          <w:w w:val="104"/>
        </w:rPr>
        <w:t>；</w:t>
      </w:r>
      <w:r w:rsidRPr="00FC031D">
        <w:rPr>
          <w:w w:val="104"/>
        </w:rPr>
        <w:t>Gautier,</w:t>
      </w:r>
      <w:r w:rsidRPr="00FC031D">
        <w:rPr>
          <w:rFonts w:hint="eastAsia"/>
          <w:w w:val="104"/>
        </w:rPr>
        <w:t>“</w:t>
      </w:r>
      <w:r w:rsidRPr="00FC031D">
        <w:rPr>
          <w:rFonts w:hint="eastAsia"/>
          <w:lang w:val="es-ES"/>
        </w:rPr>
        <w:t>非正式协定与《维也纳条约法公约》”</w:t>
      </w:r>
      <w:r w:rsidRPr="00FC031D">
        <w:rPr>
          <w:lang w:val="es-ES"/>
        </w:rPr>
        <w:t>(</w:t>
      </w:r>
      <w:r w:rsidRPr="00FC031D">
        <w:rPr>
          <w:lang w:val="es-ES"/>
        </w:rPr>
        <w:t>见上文脚注</w:t>
      </w:r>
      <w:r>
        <w:rPr>
          <w:lang w:val="es-ES"/>
        </w:rPr>
        <w:fldChar w:fldCharType="begin"/>
      </w:r>
      <w:r>
        <w:rPr>
          <w:lang w:val="es-ES"/>
        </w:rPr>
        <w:instrText xml:space="preserve"> NOTEREF _Ref461976825 \h </w:instrText>
      </w:r>
      <w:r>
        <w:rPr>
          <w:lang w:val="es-ES"/>
        </w:rPr>
      </w:r>
      <w:r>
        <w:rPr>
          <w:lang w:val="es-ES"/>
        </w:rPr>
        <w:fldChar w:fldCharType="separate"/>
      </w:r>
      <w:r w:rsidR="00A73EB9">
        <w:rPr>
          <w:lang w:val="es-ES"/>
        </w:rPr>
        <w:t>807</w:t>
      </w:r>
      <w:r>
        <w:rPr>
          <w:lang w:val="es-ES"/>
        </w:rPr>
        <w:fldChar w:fldCharType="end"/>
      </w:r>
      <w:r w:rsidRPr="00FC031D">
        <w:rPr>
          <w:lang w:val="es-ES"/>
        </w:rPr>
        <w:t>)</w:t>
      </w:r>
      <w:r w:rsidRPr="00FC031D">
        <w:rPr>
          <w:w w:val="104"/>
        </w:rPr>
        <w:t>，</w:t>
      </w:r>
      <w:r w:rsidRPr="00FC031D">
        <w:rPr>
          <w:rFonts w:hint="eastAsia"/>
          <w:w w:val="104"/>
        </w:rPr>
        <w:t>第</w:t>
      </w:r>
      <w:r w:rsidRPr="00FC031D">
        <w:rPr>
          <w:w w:val="104"/>
        </w:rPr>
        <w:t>434</w:t>
      </w:r>
      <w:r w:rsidRPr="00FC031D">
        <w:rPr>
          <w:rFonts w:hint="eastAsia"/>
        </w:rPr>
        <w:t>页。</w:t>
      </w:r>
    </w:p>
  </w:footnote>
  <w:footnote w:id="813">
    <w:p w:rsidR="00AB00DE" w:rsidRPr="00FC031D" w:rsidRDefault="00AB00DE" w:rsidP="00267AB1">
      <w:pPr>
        <w:pStyle w:val="a4"/>
        <w:tabs>
          <w:tab w:val="left" w:pos="3969"/>
        </w:tabs>
      </w:pPr>
      <w:r w:rsidRPr="00FC031D">
        <w:tab/>
      </w:r>
      <w:r w:rsidRPr="00DF5565">
        <w:rPr>
          <w:color w:val="0000FF"/>
          <w:sz w:val="21"/>
          <w:vertAlign w:val="superscript"/>
        </w:rPr>
        <w:footnoteRef/>
      </w:r>
      <w:r w:rsidRPr="00DF5565">
        <w:rPr>
          <w:color w:val="0000FF"/>
          <w:sz w:val="21"/>
          <w:vertAlign w:val="superscript"/>
        </w:rPr>
        <w:tab/>
      </w:r>
      <w:r w:rsidRPr="00FC031D">
        <w:rPr>
          <w:rFonts w:hint="eastAsia"/>
        </w:rPr>
        <w:t>例如，“……说明缔约方就解释达成协定的模式……”</w:t>
      </w:r>
      <w:r w:rsidRPr="00FC031D">
        <w:rPr>
          <w:rFonts w:hint="eastAsia"/>
        </w:rPr>
        <w:t>(</w:t>
      </w:r>
      <w:r w:rsidRPr="00FC031D">
        <w:rPr>
          <w:rFonts w:hint="eastAsia"/>
        </w:rPr>
        <w:t>世贸组织上诉机构报告</w:t>
      </w:r>
      <w:r w:rsidRPr="00FC031D">
        <w:rPr>
          <w:rFonts w:hint="eastAsia"/>
          <w:w w:val="104"/>
        </w:rPr>
        <w:t>，</w:t>
      </w:r>
      <w:r w:rsidRPr="00FC031D">
        <w:rPr>
          <w:rFonts w:eastAsia="楷体" w:hint="eastAsia"/>
        </w:rPr>
        <w:t>日本－酒精饲料案二</w:t>
      </w:r>
      <w:r w:rsidRPr="00FC031D">
        <w:rPr>
          <w:rFonts w:hint="eastAsia"/>
          <w:w w:val="104"/>
        </w:rPr>
        <w:t>，</w:t>
      </w:r>
      <w:r w:rsidRPr="00FC031D">
        <w:rPr>
          <w:w w:val="104"/>
        </w:rPr>
        <w:t>WT/DS8/AB/R</w:t>
      </w:r>
      <w:r w:rsidRPr="00FC031D">
        <w:rPr>
          <w:rFonts w:hint="eastAsia"/>
          <w:w w:val="104"/>
        </w:rPr>
        <w:t>、</w:t>
      </w:r>
      <w:r w:rsidRPr="00FC031D">
        <w:rPr>
          <w:w w:val="104"/>
        </w:rPr>
        <w:t>WT/DS10/AB/R</w:t>
      </w:r>
      <w:r w:rsidRPr="00FC031D">
        <w:rPr>
          <w:rFonts w:hint="eastAsia"/>
          <w:w w:val="104"/>
        </w:rPr>
        <w:t>和</w:t>
      </w:r>
      <w:r w:rsidRPr="00FC031D">
        <w:rPr>
          <w:w w:val="104"/>
        </w:rPr>
        <w:t>WT/DS11/AB/R, 1996</w:t>
      </w:r>
      <w:r w:rsidRPr="00FC031D">
        <w:rPr>
          <w:rFonts w:hint="eastAsia"/>
        </w:rPr>
        <w:t>年</w:t>
      </w:r>
      <w:r w:rsidRPr="00FC031D">
        <w:t>1</w:t>
      </w:r>
      <w:r w:rsidRPr="00FC031D">
        <w:rPr>
          <w:rFonts w:hint="eastAsia"/>
        </w:rPr>
        <w:t>1</w:t>
      </w:r>
      <w:r w:rsidRPr="00FC031D">
        <w:rPr>
          <w:rFonts w:hint="eastAsia"/>
        </w:rPr>
        <w:t>月</w:t>
      </w:r>
      <w:r w:rsidRPr="00FC031D">
        <w:rPr>
          <w:rFonts w:hint="eastAsia"/>
          <w:w w:val="104"/>
        </w:rPr>
        <w:t>1</w:t>
      </w:r>
      <w:r w:rsidRPr="00FC031D">
        <w:rPr>
          <w:rFonts w:hint="eastAsia"/>
        </w:rPr>
        <w:t>日通过</w:t>
      </w:r>
      <w:r w:rsidRPr="00FC031D">
        <w:rPr>
          <w:rFonts w:hint="eastAsia"/>
          <w:w w:val="104"/>
        </w:rPr>
        <w:t>，</w:t>
      </w:r>
      <w:r w:rsidRPr="00FC031D">
        <w:rPr>
          <w:w w:val="104"/>
        </w:rPr>
        <w:t>E</w:t>
      </w:r>
      <w:r w:rsidRPr="00FC031D">
        <w:rPr>
          <w:rFonts w:hint="eastAsia"/>
        </w:rPr>
        <w:t>节，第</w:t>
      </w:r>
      <w:r w:rsidRPr="00FC031D">
        <w:t>13</w:t>
      </w:r>
      <w:r w:rsidRPr="00FC031D">
        <w:rPr>
          <w:rFonts w:hint="eastAsia"/>
        </w:rPr>
        <w:t>页</w:t>
      </w:r>
      <w:r w:rsidRPr="00FC031D">
        <w:rPr>
          <w:rFonts w:hint="eastAsia"/>
        </w:rPr>
        <w:t>)</w:t>
      </w:r>
      <w:r w:rsidRPr="00FC031D">
        <w:rPr>
          <w:rFonts w:hint="eastAsia"/>
          <w:w w:val="104"/>
        </w:rPr>
        <w:t>；</w:t>
      </w:r>
      <w:r w:rsidRPr="00FC031D">
        <w:rPr>
          <w:rFonts w:hint="eastAsia"/>
        </w:rPr>
        <w:t>或者“……模式……必须暗示就相关条款的解释达成一致”</w:t>
      </w:r>
      <w:r w:rsidRPr="00FC031D">
        <w:rPr>
          <w:rFonts w:hint="eastAsia"/>
        </w:rPr>
        <w:t>(</w:t>
      </w:r>
      <w:r w:rsidRPr="00FC031D">
        <w:rPr>
          <w:rFonts w:hint="eastAsia"/>
        </w:rPr>
        <w:t>世贸组织专家组报告</w:t>
      </w:r>
      <w:r w:rsidRPr="00FC031D">
        <w:rPr>
          <w:rFonts w:hint="eastAsia"/>
          <w:w w:val="104"/>
        </w:rPr>
        <w:t>，</w:t>
      </w:r>
      <w:r w:rsidRPr="00FC031D">
        <w:rPr>
          <w:rFonts w:eastAsia="楷体" w:hint="eastAsia"/>
        </w:rPr>
        <w:t>欧洲共同体及其成员国－某些信息技术产品的关税待遇案</w:t>
      </w:r>
      <w:r w:rsidRPr="00FC031D">
        <w:rPr>
          <w:rFonts w:hint="eastAsia"/>
          <w:w w:val="104"/>
        </w:rPr>
        <w:t>，</w:t>
      </w:r>
      <w:r w:rsidRPr="00FC031D">
        <w:rPr>
          <w:w w:val="104"/>
        </w:rPr>
        <w:t>WT/DS375/R</w:t>
      </w:r>
      <w:r w:rsidRPr="00FC031D">
        <w:rPr>
          <w:rFonts w:hint="eastAsia"/>
          <w:w w:val="104"/>
        </w:rPr>
        <w:t>、</w:t>
      </w:r>
      <w:r w:rsidRPr="00FC031D">
        <w:rPr>
          <w:w w:val="104"/>
        </w:rPr>
        <w:t>WT/DS376/R</w:t>
      </w:r>
      <w:r w:rsidRPr="00FC031D">
        <w:rPr>
          <w:rFonts w:hint="eastAsia"/>
          <w:w w:val="104"/>
        </w:rPr>
        <w:t>和</w:t>
      </w:r>
      <w:r w:rsidRPr="00FC031D">
        <w:rPr>
          <w:w w:val="104"/>
        </w:rPr>
        <w:t>WT/DS377/R, 2010</w:t>
      </w:r>
      <w:r w:rsidRPr="00FC031D">
        <w:rPr>
          <w:rFonts w:hint="eastAsia"/>
        </w:rPr>
        <w:t>年</w:t>
      </w:r>
      <w:r w:rsidRPr="00FC031D">
        <w:rPr>
          <w:rFonts w:hint="eastAsia"/>
        </w:rPr>
        <w:t>9</w:t>
      </w:r>
      <w:r w:rsidRPr="00FC031D">
        <w:rPr>
          <w:rFonts w:hint="eastAsia"/>
        </w:rPr>
        <w:t>月</w:t>
      </w:r>
      <w:r w:rsidRPr="00FC031D">
        <w:rPr>
          <w:rFonts w:hint="eastAsia"/>
          <w:w w:val="104"/>
        </w:rPr>
        <w:t>21</w:t>
      </w:r>
      <w:r w:rsidRPr="00FC031D">
        <w:rPr>
          <w:rFonts w:hint="eastAsia"/>
        </w:rPr>
        <w:t>日通过</w:t>
      </w:r>
      <w:r w:rsidRPr="00FC031D">
        <w:rPr>
          <w:rFonts w:hint="eastAsia"/>
          <w:w w:val="104"/>
        </w:rPr>
        <w:t>，</w:t>
      </w:r>
      <w:r w:rsidRPr="00FC031D">
        <w:rPr>
          <w:rFonts w:hint="eastAsia"/>
        </w:rPr>
        <w:t>第</w:t>
      </w:r>
      <w:r w:rsidRPr="00FC031D">
        <w:rPr>
          <w:w w:val="104"/>
        </w:rPr>
        <w:t>7.558</w:t>
      </w:r>
      <w:r w:rsidRPr="00FC031D">
        <w:rPr>
          <w:rFonts w:hint="eastAsia"/>
        </w:rPr>
        <w:t>段</w:t>
      </w:r>
      <w:r w:rsidRPr="00FC031D">
        <w:rPr>
          <w:rFonts w:hint="eastAsia"/>
        </w:rPr>
        <w:t>)</w:t>
      </w:r>
      <w:r w:rsidRPr="00FC031D">
        <w:rPr>
          <w:rFonts w:hint="eastAsia"/>
          <w:w w:val="104"/>
        </w:rPr>
        <w:t>；</w:t>
      </w:r>
      <w:r w:rsidRPr="00FC031D">
        <w:rPr>
          <w:rFonts w:hint="eastAsia"/>
        </w:rPr>
        <w:t>或“……体现就解释达成协定的惯例”</w:t>
      </w:r>
      <w:r w:rsidRPr="00FC031D">
        <w:rPr>
          <w:rFonts w:hint="eastAsia"/>
        </w:rPr>
        <w:t>(</w:t>
      </w:r>
      <w:r w:rsidRPr="00FC031D">
        <w:rPr>
          <w:rFonts w:hint="eastAsia"/>
        </w:rPr>
        <w:t>伊朗</w:t>
      </w:r>
      <w:r w:rsidRPr="00FC031D">
        <w:rPr>
          <w:rFonts w:hint="eastAsia"/>
          <w:w w:val="104"/>
        </w:rPr>
        <w:t>－</w:t>
      </w:r>
      <w:r w:rsidRPr="00FC031D">
        <w:rPr>
          <w:rFonts w:hint="eastAsia"/>
        </w:rPr>
        <w:t>美国索赔法庭，第</w:t>
      </w:r>
      <w:r w:rsidRPr="00FC031D">
        <w:rPr>
          <w:w w:val="104"/>
        </w:rPr>
        <w:t>ITL 83-B1-FT</w:t>
      </w:r>
      <w:r w:rsidRPr="00FC031D">
        <w:rPr>
          <w:rFonts w:hint="eastAsia"/>
        </w:rPr>
        <w:t>号中间裁决</w:t>
      </w:r>
      <w:r w:rsidRPr="00FC031D">
        <w:t>(</w:t>
      </w:r>
      <w:r w:rsidRPr="00FC031D">
        <w:rPr>
          <w:rFonts w:hint="eastAsia"/>
        </w:rPr>
        <w:t>反诉</w:t>
      </w:r>
      <w:r w:rsidRPr="00FC031D">
        <w:t>)</w:t>
      </w:r>
      <w:r w:rsidRPr="00FC031D">
        <w:rPr>
          <w:rFonts w:hint="eastAsia"/>
        </w:rPr>
        <w:t>(</w:t>
      </w:r>
      <w:r w:rsidRPr="00FC031D">
        <w:rPr>
          <w:rFonts w:hint="eastAsia"/>
        </w:rPr>
        <w:t>见上文脚注</w:t>
      </w:r>
      <w:r>
        <w:fldChar w:fldCharType="begin"/>
      </w:r>
      <w:r>
        <w:instrText xml:space="preserve"> </w:instrText>
      </w:r>
      <w:r>
        <w:rPr>
          <w:rFonts w:hint="eastAsia"/>
        </w:rPr>
        <w:instrText>NOTEREF _Ref461973728 \h</w:instrText>
      </w:r>
      <w:r>
        <w:instrText xml:space="preserve"> </w:instrText>
      </w:r>
      <w:r>
        <w:fldChar w:fldCharType="separate"/>
      </w:r>
      <w:r w:rsidR="00A73EB9">
        <w:t>537</w:t>
      </w:r>
      <w:r>
        <w:fldChar w:fldCharType="end"/>
      </w:r>
      <w:r w:rsidRPr="00FC031D">
        <w:rPr>
          <w:rFonts w:hint="eastAsia"/>
        </w:rPr>
        <w:t>)</w:t>
      </w:r>
      <w:r w:rsidRPr="00FC031D">
        <w:rPr>
          <w:rFonts w:hint="eastAsia"/>
          <w:w w:val="104"/>
        </w:rPr>
        <w:t>，</w:t>
      </w:r>
      <w:r w:rsidRPr="00FC031D">
        <w:rPr>
          <w:rFonts w:hint="eastAsia"/>
        </w:rPr>
        <w:t>第</w:t>
      </w:r>
      <w:r w:rsidRPr="00FC031D">
        <w:t>77</w:t>
      </w:r>
      <w:r w:rsidRPr="00FC031D">
        <w:rPr>
          <w:rFonts w:hint="eastAsia"/>
        </w:rPr>
        <w:t>页起，见第</w:t>
      </w:r>
      <w:r w:rsidRPr="00FC031D">
        <w:t>119</w:t>
      </w:r>
      <w:r w:rsidRPr="00FC031D">
        <w:rPr>
          <w:rFonts w:hint="eastAsia"/>
        </w:rPr>
        <w:t>页，第</w:t>
      </w:r>
      <w:r w:rsidRPr="00FC031D">
        <w:t>116</w:t>
      </w:r>
      <w:r w:rsidRPr="00FC031D">
        <w:rPr>
          <w:rFonts w:hint="eastAsia"/>
        </w:rPr>
        <w:t>段</w:t>
      </w:r>
      <w:r w:rsidRPr="00FC031D">
        <w:rPr>
          <w:rFonts w:hint="eastAsia"/>
        </w:rPr>
        <w:t>)</w:t>
      </w:r>
      <w:r w:rsidRPr="00FC031D">
        <w:rPr>
          <w:rFonts w:hint="eastAsia"/>
        </w:rPr>
        <w:t>；或“……国家惯例”“……表明缔约国没有任何谅解”</w:t>
      </w:r>
      <w:r w:rsidRPr="00FC031D">
        <w:rPr>
          <w:rFonts w:hint="eastAsia"/>
        </w:rPr>
        <w:t>(</w:t>
      </w:r>
      <w:r w:rsidRPr="00FC031D">
        <w:rPr>
          <w:w w:val="104"/>
        </w:rPr>
        <w:t>Bankovic</w:t>
      </w:r>
      <w:r w:rsidRPr="007866F0">
        <w:rPr>
          <w:rFonts w:eastAsia="楷体" w:hint="eastAsia"/>
        </w:rPr>
        <w:t>等人</w:t>
      </w:r>
      <w:r w:rsidRPr="007866F0">
        <w:rPr>
          <w:rFonts w:eastAsia="楷体"/>
        </w:rPr>
        <w:t>诉比利时及</w:t>
      </w:r>
      <w:r w:rsidRPr="007866F0">
        <w:rPr>
          <w:rFonts w:eastAsia="楷体"/>
        </w:rPr>
        <w:t>16</w:t>
      </w:r>
      <w:r w:rsidRPr="007866F0">
        <w:rPr>
          <w:rFonts w:eastAsia="楷体"/>
        </w:rPr>
        <w:t>个其他缔约国</w:t>
      </w:r>
      <w:r w:rsidRPr="00FC031D">
        <w:t>(</w:t>
      </w:r>
      <w:r w:rsidRPr="00FC031D">
        <w:rPr>
          <w:rFonts w:hint="eastAsia"/>
        </w:rPr>
        <w:t>裁决</w:t>
      </w:r>
      <w:r w:rsidRPr="00FC031D">
        <w:t>)[</w:t>
      </w:r>
      <w:r w:rsidRPr="00FC031D">
        <w:rPr>
          <w:rFonts w:hint="eastAsia"/>
        </w:rPr>
        <w:t>大审判庭</w:t>
      </w:r>
      <w:r w:rsidRPr="00FC031D">
        <w:t>]</w:t>
      </w:r>
      <w:r w:rsidRPr="00FC031D">
        <w:rPr>
          <w:rFonts w:hint="eastAsia"/>
        </w:rPr>
        <w:t>，第</w:t>
      </w:r>
      <w:r w:rsidRPr="00FC031D">
        <w:t>52207/99</w:t>
      </w:r>
      <w:r w:rsidRPr="00FC031D">
        <w:rPr>
          <w:rFonts w:hint="eastAsia"/>
        </w:rPr>
        <w:t>号，</w:t>
      </w:r>
      <w:r w:rsidRPr="00FC031D">
        <w:t>《</w:t>
      </w:r>
      <w:r w:rsidRPr="00FC031D">
        <w:t>2001</w:t>
      </w:r>
      <w:r w:rsidRPr="00FC031D">
        <w:rPr>
          <w:rFonts w:hint="eastAsia"/>
        </w:rPr>
        <w:t>年欧洲人权法院案例汇编》第十二卷，</w:t>
      </w:r>
      <w:r w:rsidRPr="00FC031D">
        <w:rPr>
          <w:rFonts w:hint="eastAsia"/>
          <w:w w:val="104"/>
        </w:rPr>
        <w:t>第</w:t>
      </w:r>
      <w:r w:rsidRPr="00FC031D">
        <w:rPr>
          <w:w w:val="104"/>
        </w:rPr>
        <w:t>62</w:t>
      </w:r>
      <w:r w:rsidRPr="00FC031D">
        <w:rPr>
          <w:rFonts w:hint="eastAsia"/>
        </w:rPr>
        <w:t>段</w:t>
      </w:r>
      <w:r w:rsidRPr="00FC031D">
        <w:rPr>
          <w:rFonts w:hint="eastAsia"/>
        </w:rPr>
        <w:t>)</w:t>
      </w:r>
      <w:r w:rsidRPr="00FC031D">
        <w:rPr>
          <w:rFonts w:hint="eastAsia"/>
        </w:rPr>
        <w:t>。</w:t>
      </w:r>
    </w:p>
  </w:footnote>
  <w:footnote w:id="814">
    <w:p w:rsidR="00AB00DE" w:rsidRPr="007866F0" w:rsidRDefault="00AB00DE" w:rsidP="00560424">
      <w:pPr>
        <w:pStyle w:val="a4"/>
        <w:rPr>
          <w:rFonts w:eastAsia="楷体"/>
        </w:rPr>
      </w:pPr>
      <w:r w:rsidRPr="00FC031D">
        <w:tab/>
      </w:r>
      <w:r w:rsidRPr="00DF5565">
        <w:rPr>
          <w:color w:val="0000FF"/>
          <w:sz w:val="21"/>
          <w:vertAlign w:val="superscript"/>
        </w:rPr>
        <w:footnoteRef/>
      </w:r>
      <w:r w:rsidRPr="00DF5565">
        <w:rPr>
          <w:color w:val="0000FF"/>
          <w:sz w:val="21"/>
          <w:vertAlign w:val="superscript"/>
        </w:rPr>
        <w:tab/>
      </w:r>
      <w:r w:rsidRPr="007866F0">
        <w:rPr>
          <w:rFonts w:eastAsia="楷体"/>
        </w:rPr>
        <w:t>美国</w:t>
      </w:r>
      <w:r w:rsidRPr="007866F0">
        <w:rPr>
          <w:rFonts w:eastAsia="楷体"/>
          <w:w w:val="104"/>
        </w:rPr>
        <w:t>－</w:t>
      </w:r>
      <w:r w:rsidRPr="007866F0">
        <w:rPr>
          <w:rFonts w:eastAsia="楷体"/>
        </w:rPr>
        <w:t>联合王国希斯罗机场诉讼案仲裁</w:t>
      </w:r>
      <w:r w:rsidRPr="007866F0">
        <w:rPr>
          <w:rFonts w:eastAsia="楷体" w:hint="eastAsia"/>
        </w:rPr>
        <w:t>(</w:t>
      </w:r>
      <w:r w:rsidRPr="00FC031D">
        <w:rPr>
          <w:rFonts w:hint="eastAsia"/>
        </w:rPr>
        <w:t>见上文脚注</w:t>
      </w:r>
      <w:r>
        <w:fldChar w:fldCharType="begin"/>
      </w:r>
      <w:r>
        <w:instrText xml:space="preserve"> </w:instrText>
      </w:r>
      <w:r>
        <w:rPr>
          <w:rFonts w:hint="eastAsia"/>
        </w:rPr>
        <w:instrText>NOTEREF _Ref461976860 \h</w:instrText>
      </w:r>
      <w:r>
        <w:instrText xml:space="preserve"> </w:instrText>
      </w:r>
      <w:r>
        <w:fldChar w:fldCharType="separate"/>
      </w:r>
      <w:r w:rsidR="00A73EB9">
        <w:t>811</w:t>
      </w:r>
      <w:r>
        <w:fldChar w:fldCharType="end"/>
      </w:r>
      <w:r w:rsidRPr="007866F0">
        <w:rPr>
          <w:rFonts w:eastAsia="楷体" w:hint="eastAsia"/>
        </w:rPr>
        <w:t>)</w:t>
      </w:r>
      <w:r w:rsidRPr="007866F0">
        <w:rPr>
          <w:rFonts w:eastAsia="楷体"/>
        </w:rPr>
        <w:t>，</w:t>
      </w:r>
      <w:r w:rsidRPr="00FC031D">
        <w:rPr>
          <w:rFonts w:hint="eastAsia"/>
        </w:rPr>
        <w:t>第</w:t>
      </w:r>
      <w:r w:rsidRPr="00FC031D">
        <w:t>131</w:t>
      </w:r>
      <w:r w:rsidRPr="00FC031D">
        <w:rPr>
          <w:rFonts w:hint="eastAsia"/>
        </w:rPr>
        <w:t>页，第</w:t>
      </w:r>
      <w:r w:rsidRPr="00FC031D">
        <w:rPr>
          <w:w w:val="104"/>
        </w:rPr>
        <w:t>6.7</w:t>
      </w:r>
      <w:r w:rsidRPr="00FC031D">
        <w:rPr>
          <w:rFonts w:hint="eastAsia"/>
        </w:rPr>
        <w:t>段</w:t>
      </w:r>
      <w:r w:rsidRPr="00FC031D">
        <w:rPr>
          <w:rFonts w:hint="eastAsia"/>
          <w:w w:val="104"/>
        </w:rPr>
        <w:t>；</w:t>
      </w:r>
      <w:r w:rsidRPr="00FC031D">
        <w:rPr>
          <w:rFonts w:hint="eastAsia"/>
        </w:rPr>
        <w:t>另见</w:t>
      </w:r>
      <w:r w:rsidRPr="007866F0">
        <w:rPr>
          <w:rFonts w:eastAsia="楷体"/>
        </w:rPr>
        <w:t>莱茵铁路公司案仲裁</w:t>
      </w:r>
      <w:r w:rsidRPr="007866F0">
        <w:rPr>
          <w:rFonts w:eastAsia="楷体" w:hint="eastAsia"/>
        </w:rPr>
        <w:t>(</w:t>
      </w:r>
      <w:r w:rsidRPr="00FC031D">
        <w:rPr>
          <w:rFonts w:hint="eastAsia"/>
        </w:rPr>
        <w:t>见上文脚注</w:t>
      </w:r>
      <w:r>
        <w:fldChar w:fldCharType="begin"/>
      </w:r>
      <w:r>
        <w:instrText xml:space="preserve"> </w:instrText>
      </w:r>
      <w:r>
        <w:rPr>
          <w:rFonts w:hint="eastAsia"/>
        </w:rPr>
        <w:instrText>NOTEREF _Ref461976445 \h</w:instrText>
      </w:r>
      <w:r>
        <w:instrText xml:space="preserve"> </w:instrText>
      </w:r>
      <w:r>
        <w:fldChar w:fldCharType="separate"/>
      </w:r>
      <w:r w:rsidR="00A73EB9">
        <w:t>397</w:t>
      </w:r>
      <w:r>
        <w:fldChar w:fldCharType="end"/>
      </w:r>
      <w:r w:rsidRPr="007866F0">
        <w:rPr>
          <w:rFonts w:eastAsia="楷体" w:hint="eastAsia"/>
        </w:rPr>
        <w:t>)</w:t>
      </w:r>
      <w:r w:rsidRPr="007866F0">
        <w:rPr>
          <w:rFonts w:eastAsia="楷体"/>
        </w:rPr>
        <w:t>，</w:t>
      </w:r>
      <w:r w:rsidRPr="00FC031D">
        <w:rPr>
          <w:rFonts w:hint="eastAsia"/>
        </w:rPr>
        <w:t>第</w:t>
      </w:r>
      <w:r w:rsidRPr="00FC031D">
        <w:t>98</w:t>
      </w:r>
      <w:r w:rsidRPr="00FC031D">
        <w:rPr>
          <w:rFonts w:hint="eastAsia"/>
        </w:rPr>
        <w:t>页，第</w:t>
      </w:r>
      <w:r w:rsidRPr="00FC031D">
        <w:t>157</w:t>
      </w:r>
      <w:r w:rsidRPr="00FC031D">
        <w:rPr>
          <w:rFonts w:hint="eastAsia"/>
        </w:rPr>
        <w:t>段。</w:t>
      </w:r>
    </w:p>
  </w:footnote>
  <w:footnote w:id="815">
    <w:p w:rsidR="00AB00DE" w:rsidRPr="00FC031D" w:rsidRDefault="00AB00DE" w:rsidP="00DF5565">
      <w:pPr>
        <w:pStyle w:val="a4"/>
      </w:pPr>
      <w:r w:rsidRPr="00FC031D">
        <w:tab/>
      </w:r>
      <w:r w:rsidRPr="00DF5565">
        <w:rPr>
          <w:color w:val="0000FF"/>
          <w:sz w:val="21"/>
          <w:vertAlign w:val="superscript"/>
        </w:rPr>
        <w:footnoteRef/>
      </w:r>
      <w:r w:rsidRPr="00DF5565">
        <w:rPr>
          <w:color w:val="0000FF"/>
          <w:sz w:val="21"/>
          <w:vertAlign w:val="superscript"/>
        </w:rPr>
        <w:tab/>
      </w:r>
      <w:r w:rsidRPr="007866F0">
        <w:rPr>
          <w:rFonts w:eastAsia="楷体"/>
        </w:rPr>
        <w:t>《</w:t>
      </w:r>
      <w:r w:rsidRPr="007866F0">
        <w:rPr>
          <w:rFonts w:eastAsia="楷体"/>
        </w:rPr>
        <w:t>1966</w:t>
      </w:r>
      <w:r w:rsidRPr="007866F0">
        <w:rPr>
          <w:rFonts w:eastAsia="楷体"/>
        </w:rPr>
        <w:t>年</w:t>
      </w:r>
      <w:r w:rsidRPr="00FC031D">
        <w:rPr>
          <w:rFonts w:hint="eastAsia"/>
        </w:rPr>
        <w:t>……</w:t>
      </w:r>
      <w:r w:rsidRPr="007866F0">
        <w:rPr>
          <w:rFonts w:eastAsia="楷体"/>
        </w:rPr>
        <w:t>年鉴》</w:t>
      </w:r>
      <w:r w:rsidRPr="00FC031D">
        <w:rPr>
          <w:rFonts w:hint="eastAsia"/>
          <w:w w:val="104"/>
        </w:rPr>
        <w:t>，</w:t>
      </w:r>
      <w:r w:rsidRPr="00FC031D">
        <w:rPr>
          <w:rFonts w:hint="eastAsia"/>
        </w:rPr>
        <w:t>第二卷</w:t>
      </w:r>
      <w:r w:rsidRPr="00FC031D">
        <w:rPr>
          <w:rFonts w:hint="eastAsia"/>
          <w:w w:val="104"/>
        </w:rPr>
        <w:t>，</w:t>
      </w:r>
      <w:r w:rsidRPr="00FC031D">
        <w:t>A/6309/Rev.1</w:t>
      </w:r>
      <w:r w:rsidRPr="00FC031D">
        <w:rPr>
          <w:rFonts w:hint="eastAsia"/>
        </w:rPr>
        <w:t>号文件，第</w:t>
      </w:r>
      <w:r w:rsidRPr="00FC031D">
        <w:rPr>
          <w:w w:val="104"/>
        </w:rPr>
        <w:t>222</w:t>
      </w:r>
      <w:r w:rsidRPr="00FC031D">
        <w:rPr>
          <w:rFonts w:hint="eastAsia"/>
        </w:rPr>
        <w:t>页，第</w:t>
      </w:r>
      <w:r w:rsidRPr="00FC031D">
        <w:rPr>
          <w:rFonts w:hint="eastAsia"/>
        </w:rPr>
        <w:t>(</w:t>
      </w:r>
      <w:r w:rsidRPr="00FC031D">
        <w:rPr>
          <w:w w:val="104"/>
        </w:rPr>
        <w:t>15</w:t>
      </w:r>
      <w:r w:rsidRPr="00FC031D">
        <w:rPr>
          <w:rFonts w:hint="eastAsia"/>
        </w:rPr>
        <w:t>)</w:t>
      </w:r>
      <w:r w:rsidRPr="00FC031D">
        <w:rPr>
          <w:rFonts w:hint="eastAsia"/>
        </w:rPr>
        <w:t>段。</w:t>
      </w:r>
    </w:p>
  </w:footnote>
  <w:footnote w:id="816">
    <w:p w:rsidR="00AB00DE" w:rsidRPr="00FC031D" w:rsidRDefault="00AB00DE" w:rsidP="00560424">
      <w:pPr>
        <w:pStyle w:val="a4"/>
      </w:pPr>
      <w:r w:rsidRPr="00FC031D">
        <w:tab/>
      </w:r>
      <w:r w:rsidRPr="00DF5565">
        <w:rPr>
          <w:color w:val="0000FF"/>
          <w:sz w:val="21"/>
          <w:vertAlign w:val="superscript"/>
        </w:rPr>
        <w:footnoteRef/>
      </w:r>
      <w:r w:rsidRPr="00DF5565">
        <w:rPr>
          <w:color w:val="0000FF"/>
          <w:sz w:val="21"/>
          <w:vertAlign w:val="superscript"/>
        </w:rPr>
        <w:tab/>
      </w:r>
      <w:r w:rsidRPr="007866F0">
        <w:rPr>
          <w:rFonts w:eastAsia="楷体"/>
        </w:rPr>
        <w:t>柏威夏寺案</w:t>
      </w:r>
      <w:r w:rsidRPr="00FC031D">
        <w:t>(</w:t>
      </w:r>
      <w:r w:rsidRPr="00FC031D">
        <w:t>见上文脚注</w:t>
      </w:r>
      <w:r>
        <w:fldChar w:fldCharType="begin"/>
      </w:r>
      <w:r>
        <w:instrText xml:space="preserve"> NOTEREF _Ref461976005 \h </w:instrText>
      </w:r>
      <w:r>
        <w:fldChar w:fldCharType="separate"/>
      </w:r>
      <w:r w:rsidR="00A73EB9">
        <w:t>488</w:t>
      </w:r>
      <w:r>
        <w:fldChar w:fldCharType="end"/>
      </w:r>
      <w:r w:rsidRPr="00FC031D">
        <w:t>)</w:t>
      </w:r>
      <w:r w:rsidRPr="007866F0">
        <w:rPr>
          <w:rFonts w:eastAsia="楷体"/>
          <w:w w:val="104"/>
        </w:rPr>
        <w:t>，</w:t>
      </w:r>
      <w:r w:rsidRPr="00FC031D">
        <w:rPr>
          <w:rFonts w:hint="eastAsia"/>
        </w:rPr>
        <w:t>第</w:t>
      </w:r>
      <w:r w:rsidRPr="00FC031D">
        <w:t>23</w:t>
      </w:r>
      <w:r w:rsidRPr="00FC031D">
        <w:rPr>
          <w:rFonts w:hint="eastAsia"/>
        </w:rPr>
        <w:t>页。</w:t>
      </w:r>
    </w:p>
  </w:footnote>
  <w:footnote w:id="817">
    <w:p w:rsidR="00AB00DE" w:rsidRPr="00FC031D" w:rsidRDefault="00AB00DE" w:rsidP="00560424">
      <w:pPr>
        <w:pStyle w:val="a4"/>
      </w:pPr>
      <w:r w:rsidRPr="00FC031D">
        <w:tab/>
      </w:r>
      <w:r w:rsidRPr="00DF5565">
        <w:rPr>
          <w:color w:val="0000FF"/>
          <w:sz w:val="21"/>
          <w:vertAlign w:val="superscript"/>
        </w:rPr>
        <w:footnoteRef/>
      </w:r>
      <w:r w:rsidRPr="00DF5565">
        <w:rPr>
          <w:color w:val="0000FF"/>
          <w:sz w:val="21"/>
          <w:vertAlign w:val="superscript"/>
        </w:rPr>
        <w:tab/>
      </w:r>
      <w:r w:rsidRPr="00FC031D">
        <w:rPr>
          <w:rFonts w:hint="eastAsia"/>
        </w:rPr>
        <w:t>另见</w:t>
      </w:r>
      <w:r w:rsidRPr="007866F0">
        <w:rPr>
          <w:rFonts w:eastAsia="楷体"/>
        </w:rPr>
        <w:t>石油平台案</w:t>
      </w:r>
      <w:r w:rsidRPr="007866F0">
        <w:rPr>
          <w:rFonts w:eastAsia="楷体"/>
        </w:rPr>
        <w:t>(</w:t>
      </w:r>
      <w:r w:rsidRPr="007866F0">
        <w:rPr>
          <w:rFonts w:eastAsia="楷体"/>
        </w:rPr>
        <w:t>伊朗伊斯兰共和国诉美利坚合众国</w:t>
      </w:r>
      <w:r w:rsidRPr="007866F0">
        <w:rPr>
          <w:rFonts w:eastAsia="楷体"/>
        </w:rPr>
        <w:t>)</w:t>
      </w:r>
      <w:r w:rsidRPr="007866F0">
        <w:rPr>
          <w:rFonts w:eastAsia="楷体"/>
          <w:w w:val="104"/>
        </w:rPr>
        <w:t>，</w:t>
      </w:r>
      <w:r w:rsidRPr="007866F0">
        <w:rPr>
          <w:rFonts w:eastAsia="楷体"/>
        </w:rPr>
        <w:t>初步反对意见，判决，</w:t>
      </w:r>
      <w:r w:rsidRPr="007866F0">
        <w:rPr>
          <w:rFonts w:eastAsia="楷体" w:hint="eastAsia"/>
        </w:rPr>
        <w:t>《</w:t>
      </w:r>
      <w:r w:rsidRPr="007866F0">
        <w:rPr>
          <w:rFonts w:eastAsia="楷体"/>
          <w:w w:val="104"/>
        </w:rPr>
        <w:t>1996</w:t>
      </w:r>
      <w:r w:rsidRPr="007866F0">
        <w:rPr>
          <w:rFonts w:eastAsia="楷体"/>
        </w:rPr>
        <w:t>年国际法院案例汇编</w:t>
      </w:r>
      <w:r w:rsidRPr="007866F0">
        <w:rPr>
          <w:rFonts w:eastAsia="楷体" w:hint="eastAsia"/>
        </w:rPr>
        <w:t>》</w:t>
      </w:r>
      <w:r w:rsidRPr="007866F0">
        <w:rPr>
          <w:rFonts w:eastAsia="楷体"/>
        </w:rPr>
        <w:t>，</w:t>
      </w:r>
      <w:r w:rsidRPr="00FC031D">
        <w:rPr>
          <w:rFonts w:hint="eastAsia"/>
        </w:rPr>
        <w:t>第</w:t>
      </w:r>
      <w:r w:rsidRPr="00FC031D">
        <w:t>803</w:t>
      </w:r>
      <w:r w:rsidRPr="00FC031D">
        <w:rPr>
          <w:rFonts w:hint="eastAsia"/>
        </w:rPr>
        <w:t>页起，见第</w:t>
      </w:r>
      <w:r w:rsidRPr="00FC031D">
        <w:t>815</w:t>
      </w:r>
      <w:r w:rsidRPr="00FC031D">
        <w:rPr>
          <w:rFonts w:hint="eastAsia"/>
        </w:rPr>
        <w:t>页，第</w:t>
      </w:r>
      <w:r w:rsidRPr="00FC031D">
        <w:t>30</w:t>
      </w:r>
      <w:r w:rsidRPr="00FC031D">
        <w:rPr>
          <w:rFonts w:hint="eastAsia"/>
        </w:rPr>
        <w:t>段</w:t>
      </w:r>
      <w:r w:rsidRPr="00FC031D">
        <w:rPr>
          <w:rFonts w:hint="eastAsia"/>
          <w:w w:val="104"/>
        </w:rPr>
        <w:t>；</w:t>
      </w:r>
      <w:r w:rsidRPr="00FC031D">
        <w:rPr>
          <w:rFonts w:eastAsia="楷体" w:hint="eastAsia"/>
        </w:rPr>
        <w:t>尼加拉瓜境内和针对尼加拉瓜的军事活动和准军事活动案</w:t>
      </w:r>
      <w:r w:rsidRPr="007866F0">
        <w:rPr>
          <w:rFonts w:eastAsia="楷体"/>
        </w:rPr>
        <w:t>(</w:t>
      </w:r>
      <w:r w:rsidRPr="007866F0">
        <w:rPr>
          <w:rFonts w:eastAsia="楷体"/>
        </w:rPr>
        <w:t>尼加拉瓜诉美利坚合众国</w:t>
      </w:r>
      <w:r w:rsidRPr="007866F0">
        <w:rPr>
          <w:rFonts w:eastAsia="楷体"/>
        </w:rPr>
        <w:t>)</w:t>
      </w:r>
      <w:r w:rsidRPr="007866F0">
        <w:rPr>
          <w:rFonts w:eastAsia="楷体"/>
          <w:w w:val="104"/>
        </w:rPr>
        <w:t>，</w:t>
      </w:r>
      <w:r w:rsidRPr="007866F0">
        <w:rPr>
          <w:rFonts w:eastAsia="楷体"/>
        </w:rPr>
        <w:t>管辖权和可否受理问题，判决</w:t>
      </w:r>
      <w:r w:rsidRPr="007866F0">
        <w:rPr>
          <w:rFonts w:eastAsia="楷体"/>
          <w:w w:val="104"/>
        </w:rPr>
        <w:t>，</w:t>
      </w:r>
      <w:r w:rsidRPr="007866F0">
        <w:rPr>
          <w:rFonts w:eastAsia="楷体" w:hint="eastAsia"/>
          <w:w w:val="104"/>
        </w:rPr>
        <w:t>《</w:t>
      </w:r>
      <w:r w:rsidRPr="00FC031D">
        <w:rPr>
          <w:w w:val="104"/>
        </w:rPr>
        <w:t>1984</w:t>
      </w:r>
      <w:r w:rsidRPr="00FC031D">
        <w:rPr>
          <w:rFonts w:hint="eastAsia"/>
        </w:rPr>
        <w:t>年</w:t>
      </w:r>
      <w:r w:rsidRPr="007866F0">
        <w:rPr>
          <w:rFonts w:eastAsia="楷体"/>
        </w:rPr>
        <w:t>国际法院案例汇编</w:t>
      </w:r>
      <w:r w:rsidRPr="007866F0">
        <w:rPr>
          <w:rFonts w:eastAsia="楷体" w:hint="eastAsia"/>
          <w:w w:val="104"/>
        </w:rPr>
        <w:t>》</w:t>
      </w:r>
      <w:r w:rsidRPr="007866F0">
        <w:rPr>
          <w:rFonts w:eastAsia="楷体"/>
        </w:rPr>
        <w:t>，</w:t>
      </w:r>
      <w:r w:rsidRPr="00FC031D">
        <w:rPr>
          <w:rFonts w:hint="eastAsia"/>
        </w:rPr>
        <w:t>第</w:t>
      </w:r>
      <w:r w:rsidRPr="00FC031D">
        <w:t>392</w:t>
      </w:r>
      <w:r w:rsidRPr="00FC031D">
        <w:rPr>
          <w:rFonts w:hint="eastAsia"/>
        </w:rPr>
        <w:t>页起，见第</w:t>
      </w:r>
      <w:r w:rsidRPr="00FC031D">
        <w:t>410</w:t>
      </w:r>
      <w:r w:rsidRPr="00FC031D">
        <w:rPr>
          <w:rFonts w:hint="eastAsia"/>
        </w:rPr>
        <w:t>页，第</w:t>
      </w:r>
      <w:r w:rsidRPr="00FC031D">
        <w:t>39</w:t>
      </w:r>
      <w:r w:rsidRPr="00FC031D">
        <w:rPr>
          <w:rFonts w:hint="eastAsia"/>
        </w:rPr>
        <w:t>段</w:t>
      </w:r>
      <w:r w:rsidRPr="00FC031D">
        <w:rPr>
          <w:rFonts w:hint="eastAsia"/>
          <w:w w:val="104"/>
        </w:rPr>
        <w:t>；</w:t>
      </w:r>
      <w:r w:rsidRPr="007866F0">
        <w:rPr>
          <w:rFonts w:eastAsia="楷体" w:hint="eastAsia"/>
        </w:rPr>
        <w:t>检察官</w:t>
      </w:r>
      <w:r w:rsidRPr="007866F0">
        <w:rPr>
          <w:rFonts w:eastAsia="楷体"/>
        </w:rPr>
        <w:t>诉</w:t>
      </w:r>
      <w:r w:rsidRPr="007866F0">
        <w:rPr>
          <w:rFonts w:eastAsia="楷体"/>
        </w:rPr>
        <w:t>Anto Furundžija</w:t>
      </w:r>
      <w:r w:rsidRPr="00FC031D">
        <w:rPr>
          <w:rFonts w:hint="eastAsia"/>
        </w:rPr>
        <w:t>(</w:t>
      </w:r>
      <w:r w:rsidRPr="00FC031D">
        <w:rPr>
          <w:rFonts w:hint="eastAsia"/>
        </w:rPr>
        <w:t>见上文脚注</w:t>
      </w:r>
      <w:r>
        <w:fldChar w:fldCharType="begin"/>
      </w:r>
      <w:r>
        <w:instrText xml:space="preserve"> </w:instrText>
      </w:r>
      <w:r>
        <w:rPr>
          <w:rFonts w:hint="eastAsia"/>
        </w:rPr>
        <w:instrText>NOTEREF _Ref461976631 \h</w:instrText>
      </w:r>
      <w:r>
        <w:instrText xml:space="preserve"> </w:instrText>
      </w:r>
      <w:r>
        <w:fldChar w:fldCharType="separate"/>
      </w:r>
      <w:r w:rsidR="00A73EB9">
        <w:t>740</w:t>
      </w:r>
      <w:r>
        <w:fldChar w:fldCharType="end"/>
      </w:r>
      <w:r w:rsidRPr="00FC031D">
        <w:rPr>
          <w:rFonts w:hint="eastAsia"/>
        </w:rPr>
        <w:t>)</w:t>
      </w:r>
      <w:r w:rsidRPr="00FC031D">
        <w:t>，第</w:t>
      </w:r>
      <w:r w:rsidRPr="00FC031D">
        <w:t>165</w:t>
      </w:r>
      <w:r w:rsidRPr="00FC031D">
        <w:rPr>
          <w:rFonts w:hint="eastAsia"/>
        </w:rPr>
        <w:t>段及以后各段，见</w:t>
      </w:r>
      <w:r w:rsidRPr="00FC031D">
        <w:rPr>
          <w:rFonts w:hint="eastAsia"/>
          <w:w w:val="104"/>
        </w:rPr>
        <w:t>第</w:t>
      </w:r>
      <w:r w:rsidRPr="00FC031D">
        <w:rPr>
          <w:w w:val="104"/>
        </w:rPr>
        <w:t>179</w:t>
      </w:r>
      <w:r w:rsidRPr="00FC031D">
        <w:rPr>
          <w:rFonts w:hint="eastAsia"/>
        </w:rPr>
        <w:t>段</w:t>
      </w:r>
      <w:r w:rsidRPr="00FC031D">
        <w:rPr>
          <w:rFonts w:hint="eastAsia"/>
          <w:w w:val="104"/>
        </w:rPr>
        <w:t>；</w:t>
      </w:r>
      <w:r w:rsidRPr="007866F0">
        <w:rPr>
          <w:rFonts w:eastAsia="楷体"/>
          <w:w w:val="104"/>
        </w:rPr>
        <w:t>Rantsev</w:t>
      </w:r>
      <w:r w:rsidRPr="007866F0">
        <w:rPr>
          <w:rFonts w:eastAsia="楷体" w:hint="eastAsia"/>
          <w:w w:val="104"/>
        </w:rPr>
        <w:t>诉塞浦路斯和俄罗斯，</w:t>
      </w:r>
      <w:r w:rsidRPr="00FC031D">
        <w:t>第</w:t>
      </w:r>
      <w:r w:rsidRPr="00FC031D">
        <w:t>25965/04</w:t>
      </w:r>
      <w:r w:rsidRPr="00FC031D">
        <w:rPr>
          <w:rFonts w:hint="eastAsia"/>
        </w:rPr>
        <w:t>号，</w:t>
      </w:r>
      <w:r w:rsidRPr="00FC031D">
        <w:rPr>
          <w:rFonts w:hint="eastAsia"/>
        </w:rPr>
        <w:t>2010</w:t>
      </w:r>
      <w:r w:rsidRPr="00FC031D">
        <w:rPr>
          <w:rFonts w:hint="eastAsia"/>
        </w:rPr>
        <w:t>年</w:t>
      </w:r>
      <w:r w:rsidRPr="00FC031D">
        <w:rPr>
          <w:rFonts w:hint="eastAsia"/>
        </w:rPr>
        <w:t>1</w:t>
      </w:r>
      <w:r w:rsidRPr="00FC031D">
        <w:rPr>
          <w:rFonts w:hint="eastAsia"/>
        </w:rPr>
        <w:t>月</w:t>
      </w:r>
      <w:r w:rsidRPr="00FC031D">
        <w:rPr>
          <w:rFonts w:hint="eastAsia"/>
        </w:rPr>
        <w:t>7</w:t>
      </w:r>
      <w:r w:rsidRPr="00FC031D">
        <w:rPr>
          <w:rFonts w:hint="eastAsia"/>
        </w:rPr>
        <w:t>日，《</w:t>
      </w:r>
      <w:r w:rsidRPr="00FC031D">
        <w:rPr>
          <w:rFonts w:hint="eastAsia"/>
        </w:rPr>
        <w:t>2010</w:t>
      </w:r>
      <w:r w:rsidRPr="00FC031D">
        <w:rPr>
          <w:rFonts w:hint="eastAsia"/>
        </w:rPr>
        <w:t>年欧洲人权法院案例汇编》</w:t>
      </w:r>
      <w:r w:rsidRPr="00FC031D">
        <w:rPr>
          <w:rFonts w:hint="eastAsia"/>
        </w:rPr>
        <w:t>(</w:t>
      </w:r>
      <w:r w:rsidRPr="00FC031D">
        <w:rPr>
          <w:rFonts w:hint="eastAsia"/>
        </w:rPr>
        <w:t>摘录</w:t>
      </w:r>
      <w:r w:rsidRPr="00FC031D">
        <w:rPr>
          <w:rFonts w:hint="eastAsia"/>
        </w:rPr>
        <w:t>)</w:t>
      </w:r>
      <w:r w:rsidRPr="00FC031D">
        <w:rPr>
          <w:rFonts w:hint="eastAsia"/>
        </w:rPr>
        <w:t>，</w:t>
      </w:r>
      <w:r w:rsidRPr="00FC031D">
        <w:rPr>
          <w:rFonts w:hint="eastAsia"/>
          <w:w w:val="104"/>
        </w:rPr>
        <w:t>第</w:t>
      </w:r>
      <w:r w:rsidRPr="00FC031D">
        <w:rPr>
          <w:w w:val="104"/>
        </w:rPr>
        <w:t>285</w:t>
      </w:r>
      <w:r w:rsidRPr="00FC031D">
        <w:rPr>
          <w:rFonts w:hint="eastAsia"/>
        </w:rPr>
        <w:t>段</w:t>
      </w:r>
      <w:r w:rsidRPr="00FC031D">
        <w:rPr>
          <w:rFonts w:hint="eastAsia"/>
          <w:w w:val="104"/>
        </w:rPr>
        <w:t>；</w:t>
      </w:r>
      <w:r w:rsidRPr="00FC031D">
        <w:rPr>
          <w:rFonts w:hint="eastAsia"/>
        </w:rPr>
        <w:t>较慎重的立场，见世贸组织上诉机构报告</w:t>
      </w:r>
      <w:r w:rsidRPr="00FC031D">
        <w:rPr>
          <w:rFonts w:hint="eastAsia"/>
          <w:w w:val="104"/>
        </w:rPr>
        <w:t>，</w:t>
      </w:r>
      <w:r w:rsidRPr="007866F0">
        <w:rPr>
          <w:rFonts w:eastAsia="楷体"/>
        </w:rPr>
        <w:t>欧共体</w:t>
      </w:r>
      <w:r w:rsidRPr="007866F0">
        <w:rPr>
          <w:rFonts w:eastAsia="楷体" w:hint="eastAsia"/>
        </w:rPr>
        <w:t>－</w:t>
      </w:r>
      <w:r w:rsidRPr="007866F0">
        <w:rPr>
          <w:rFonts w:eastAsia="楷体"/>
        </w:rPr>
        <w:t>鸡块案</w:t>
      </w:r>
      <w:r w:rsidRPr="00FC031D">
        <w:rPr>
          <w:rFonts w:hint="eastAsia"/>
          <w:w w:val="104"/>
        </w:rPr>
        <w:t>，</w:t>
      </w:r>
      <w:r w:rsidRPr="00FC031D">
        <w:rPr>
          <w:w w:val="104"/>
        </w:rPr>
        <w:t>WT/DS269/AB/R</w:t>
      </w:r>
      <w:r w:rsidRPr="00FC031D">
        <w:rPr>
          <w:rFonts w:hint="eastAsia"/>
          <w:w w:val="104"/>
        </w:rPr>
        <w:t>和</w:t>
      </w:r>
      <w:r w:rsidRPr="00FC031D">
        <w:t>Corr.1</w:t>
      </w:r>
      <w:r w:rsidRPr="00FC031D">
        <w:rPr>
          <w:rFonts w:hint="eastAsia"/>
          <w:w w:val="104"/>
        </w:rPr>
        <w:t>、</w:t>
      </w:r>
      <w:r w:rsidRPr="00FC031D">
        <w:rPr>
          <w:w w:val="104"/>
        </w:rPr>
        <w:t>WT/DS286/AB/R</w:t>
      </w:r>
      <w:r w:rsidRPr="00FC031D">
        <w:rPr>
          <w:rFonts w:hint="eastAsia"/>
          <w:w w:val="104"/>
        </w:rPr>
        <w:t>和</w:t>
      </w:r>
      <w:r w:rsidRPr="00FC031D">
        <w:t xml:space="preserve">Corr.1, </w:t>
      </w:r>
      <w:r w:rsidRPr="00FC031D">
        <w:rPr>
          <w:w w:val="104"/>
        </w:rPr>
        <w:t>2005</w:t>
      </w:r>
      <w:r w:rsidRPr="00FC031D">
        <w:rPr>
          <w:rFonts w:hint="eastAsia"/>
        </w:rPr>
        <w:t>年</w:t>
      </w:r>
      <w:r w:rsidRPr="00FC031D">
        <w:t>9</w:t>
      </w:r>
      <w:r w:rsidRPr="00FC031D">
        <w:rPr>
          <w:rFonts w:hint="eastAsia"/>
        </w:rPr>
        <w:t>月</w:t>
      </w:r>
      <w:r w:rsidRPr="00FC031D">
        <w:rPr>
          <w:rFonts w:hint="eastAsia"/>
          <w:w w:val="104"/>
        </w:rPr>
        <w:t>27</w:t>
      </w:r>
      <w:r w:rsidRPr="00FC031D">
        <w:rPr>
          <w:rFonts w:hint="eastAsia"/>
        </w:rPr>
        <w:t>日通过</w:t>
      </w:r>
      <w:r w:rsidRPr="00FC031D">
        <w:rPr>
          <w:rFonts w:hint="eastAsia"/>
          <w:w w:val="104"/>
        </w:rPr>
        <w:t>，</w:t>
      </w:r>
      <w:r w:rsidRPr="00FC031D">
        <w:rPr>
          <w:rFonts w:hint="eastAsia"/>
        </w:rPr>
        <w:t>第</w:t>
      </w:r>
      <w:r w:rsidRPr="00FC031D">
        <w:rPr>
          <w:w w:val="104"/>
        </w:rPr>
        <w:t>272</w:t>
      </w:r>
      <w:r w:rsidRPr="00FC031D">
        <w:rPr>
          <w:rFonts w:hint="eastAsia"/>
        </w:rPr>
        <w:t>段</w:t>
      </w:r>
      <w:r w:rsidRPr="00FC031D">
        <w:rPr>
          <w:rFonts w:hint="eastAsia"/>
          <w:w w:val="104"/>
        </w:rPr>
        <w:t>；</w:t>
      </w:r>
      <w:r w:rsidRPr="00FC031D">
        <w:rPr>
          <w:rFonts w:hint="eastAsia"/>
        </w:rPr>
        <w:t>另见，对于控股有限公司，伊朗</w:t>
      </w:r>
      <w:r w:rsidRPr="00FC031D">
        <w:rPr>
          <w:rFonts w:hint="eastAsia"/>
          <w:w w:val="104"/>
        </w:rPr>
        <w:t>－</w:t>
      </w:r>
      <w:r w:rsidRPr="00FC031D">
        <w:rPr>
          <w:rFonts w:hint="eastAsia"/>
        </w:rPr>
        <w:t>美国索赔法庭，第</w:t>
      </w:r>
      <w:r w:rsidRPr="00FC031D">
        <w:rPr>
          <w:w w:val="104"/>
        </w:rPr>
        <w:t>30-16-3</w:t>
      </w:r>
      <w:r w:rsidRPr="00FC031D">
        <w:rPr>
          <w:rFonts w:hint="eastAsia"/>
        </w:rPr>
        <w:t>号裁决，</w:t>
      </w:r>
      <w:r w:rsidRPr="007866F0">
        <w:rPr>
          <w:rFonts w:eastAsia="楷体"/>
          <w:w w:val="104"/>
        </w:rPr>
        <w:t>RayGo Wagner</w:t>
      </w:r>
      <w:r w:rsidRPr="007866F0">
        <w:rPr>
          <w:rFonts w:eastAsia="楷体"/>
        </w:rPr>
        <w:t>设备公司诉伊朗快递公司，</w:t>
      </w:r>
      <w:r w:rsidRPr="00FC031D">
        <w:rPr>
          <w:rFonts w:hint="eastAsia"/>
        </w:rPr>
        <w:t>《伊朗－美国索赔法庭裁决汇编》</w:t>
      </w:r>
      <w:r w:rsidRPr="00FC031D">
        <w:t>，</w:t>
      </w:r>
      <w:r w:rsidRPr="00FC031D">
        <w:rPr>
          <w:rFonts w:hint="eastAsia"/>
          <w:w w:val="104"/>
        </w:rPr>
        <w:t>第</w:t>
      </w:r>
      <w:r w:rsidRPr="00FC031D">
        <w:rPr>
          <w:w w:val="104"/>
        </w:rPr>
        <w:t>2</w:t>
      </w:r>
      <w:r w:rsidRPr="00FC031D">
        <w:rPr>
          <w:rFonts w:hint="eastAsia"/>
        </w:rPr>
        <w:t>卷</w:t>
      </w:r>
      <w:r w:rsidRPr="00FC031D">
        <w:t>(</w:t>
      </w:r>
      <w:r w:rsidRPr="00FC031D">
        <w:rPr>
          <w:w w:val="104"/>
        </w:rPr>
        <w:t>1983</w:t>
      </w:r>
      <w:r w:rsidRPr="00FC031D">
        <w:rPr>
          <w:rFonts w:hint="eastAsia"/>
        </w:rPr>
        <w:t>年</w:t>
      </w:r>
      <w:r w:rsidRPr="00FC031D">
        <w:t>)</w:t>
      </w:r>
      <w:r w:rsidRPr="00FC031D">
        <w:rPr>
          <w:rFonts w:hint="eastAsia"/>
        </w:rPr>
        <w:t>，第</w:t>
      </w:r>
      <w:r w:rsidRPr="00FC031D">
        <w:t>141</w:t>
      </w:r>
      <w:r w:rsidRPr="00FC031D">
        <w:rPr>
          <w:rFonts w:hint="eastAsia"/>
        </w:rPr>
        <w:t>页起，见第</w:t>
      </w:r>
      <w:r w:rsidRPr="00FC031D">
        <w:t>144</w:t>
      </w:r>
      <w:r w:rsidRPr="00FC031D">
        <w:rPr>
          <w:rFonts w:hint="eastAsia"/>
        </w:rPr>
        <w:t>页</w:t>
      </w:r>
      <w:r w:rsidRPr="00FC031D">
        <w:rPr>
          <w:rFonts w:hint="eastAsia"/>
          <w:w w:val="104"/>
        </w:rPr>
        <w:t>；</w:t>
      </w:r>
      <w:r w:rsidRPr="007866F0">
        <w:rPr>
          <w:rFonts w:eastAsia="楷体"/>
        </w:rPr>
        <w:t>关于</w:t>
      </w:r>
      <w:r w:rsidRPr="007866F0">
        <w:rPr>
          <w:rFonts w:eastAsia="楷体"/>
        </w:rPr>
        <w:t>1961</w:t>
      </w:r>
      <w:r w:rsidRPr="007866F0">
        <w:rPr>
          <w:rFonts w:eastAsia="楷体"/>
        </w:rPr>
        <w:t>年和</w:t>
      </w:r>
      <w:r w:rsidRPr="007866F0">
        <w:rPr>
          <w:rFonts w:eastAsia="楷体"/>
        </w:rPr>
        <w:t>1969</w:t>
      </w:r>
      <w:r w:rsidRPr="007866F0">
        <w:rPr>
          <w:rFonts w:eastAsia="楷体"/>
        </w:rPr>
        <w:t>年德国马克升值是否构成适用</w:t>
      </w:r>
      <w:r w:rsidRPr="007866F0">
        <w:rPr>
          <w:rFonts w:eastAsia="楷体"/>
        </w:rPr>
        <w:t>1953</w:t>
      </w:r>
      <w:r w:rsidRPr="007866F0">
        <w:rPr>
          <w:rFonts w:eastAsia="楷体"/>
        </w:rPr>
        <w:t>年比利时、法国、瑞士、大不列颠及北爱尔兰联合王国和美利坚合众国与德意志联邦共和国关于德国外债的协定附件一</w:t>
      </w:r>
      <w:r w:rsidRPr="007866F0">
        <w:rPr>
          <w:rFonts w:eastAsia="楷体"/>
        </w:rPr>
        <w:t>A</w:t>
      </w:r>
      <w:r w:rsidRPr="007866F0">
        <w:rPr>
          <w:rFonts w:eastAsia="楷体"/>
        </w:rPr>
        <w:t>第</w:t>
      </w:r>
      <w:r w:rsidRPr="007866F0">
        <w:rPr>
          <w:rFonts w:eastAsia="楷体"/>
        </w:rPr>
        <w:t>2</w:t>
      </w:r>
      <w:r w:rsidRPr="007866F0">
        <w:rPr>
          <w:rFonts w:eastAsia="楷体"/>
        </w:rPr>
        <w:t>条</w:t>
      </w:r>
      <w:r w:rsidRPr="007866F0">
        <w:rPr>
          <w:rFonts w:eastAsia="楷体"/>
        </w:rPr>
        <w:t>(e)</w:t>
      </w:r>
      <w:r w:rsidRPr="007866F0">
        <w:rPr>
          <w:rFonts w:eastAsia="楷体"/>
        </w:rPr>
        <w:t>项条款问题案</w:t>
      </w:r>
      <w:r w:rsidRPr="00FC031D">
        <w:t>，</w:t>
      </w:r>
      <w:r w:rsidRPr="00FC031D">
        <w:rPr>
          <w:w w:val="104"/>
        </w:rPr>
        <w:t>1980</w:t>
      </w:r>
      <w:r w:rsidRPr="00FC031D">
        <w:rPr>
          <w:rFonts w:hint="eastAsia"/>
        </w:rPr>
        <w:t>年</w:t>
      </w:r>
      <w:r w:rsidRPr="00FC031D">
        <w:t>5</w:t>
      </w:r>
      <w:r w:rsidRPr="00FC031D">
        <w:rPr>
          <w:rFonts w:hint="eastAsia"/>
        </w:rPr>
        <w:t>月</w:t>
      </w:r>
      <w:r w:rsidRPr="00FC031D">
        <w:rPr>
          <w:w w:val="104"/>
        </w:rPr>
        <w:t>16</w:t>
      </w:r>
      <w:r w:rsidRPr="00FC031D">
        <w:rPr>
          <w:rFonts w:hint="eastAsia"/>
        </w:rPr>
        <w:t>日</w:t>
      </w:r>
      <w:r w:rsidRPr="00FC031D">
        <w:rPr>
          <w:rFonts w:hint="eastAsia"/>
          <w:w w:val="104"/>
        </w:rPr>
        <w:t>，</w:t>
      </w:r>
      <w:r w:rsidRPr="007866F0">
        <w:rPr>
          <w:rFonts w:eastAsia="楷体"/>
        </w:rPr>
        <w:t>《国际仲裁裁决汇编》，</w:t>
      </w:r>
      <w:r w:rsidRPr="00FC031D">
        <w:rPr>
          <w:rFonts w:hint="eastAsia"/>
        </w:rPr>
        <w:t>第十九卷，第</w:t>
      </w:r>
      <w:r w:rsidRPr="00FC031D">
        <w:t>67</w:t>
      </w:r>
      <w:r w:rsidRPr="00FC031D">
        <w:rPr>
          <w:rFonts w:hint="eastAsia"/>
        </w:rPr>
        <w:t>-145</w:t>
      </w:r>
      <w:r w:rsidRPr="00FC031D">
        <w:rPr>
          <w:rFonts w:hint="eastAsia"/>
        </w:rPr>
        <w:t>页，见第</w:t>
      </w:r>
      <w:r w:rsidRPr="00FC031D">
        <w:rPr>
          <w:rFonts w:hint="eastAsia"/>
        </w:rPr>
        <w:t>103-104</w:t>
      </w:r>
      <w:r w:rsidRPr="00FC031D">
        <w:rPr>
          <w:rFonts w:hint="eastAsia"/>
        </w:rPr>
        <w:t>页</w:t>
      </w:r>
      <w:r w:rsidRPr="00FC031D">
        <w:rPr>
          <w:rFonts w:hint="eastAsia"/>
          <w:w w:val="104"/>
          <w:lang w:val="es-ES"/>
        </w:rPr>
        <w:t>，</w:t>
      </w:r>
      <w:r w:rsidRPr="00FC031D">
        <w:rPr>
          <w:rFonts w:hint="eastAsia"/>
          <w:lang w:val="es-ES"/>
        </w:rPr>
        <w:t>第</w:t>
      </w:r>
      <w:r w:rsidRPr="00FC031D">
        <w:rPr>
          <w:lang w:val="es-ES"/>
        </w:rPr>
        <w:t>31</w:t>
      </w:r>
      <w:r w:rsidRPr="00FC031D">
        <w:rPr>
          <w:rFonts w:hint="eastAsia"/>
          <w:lang w:val="es-ES"/>
        </w:rPr>
        <w:t>段。</w:t>
      </w:r>
    </w:p>
  </w:footnote>
  <w:footnote w:id="818">
    <w:p w:rsidR="00AB00DE" w:rsidRPr="00FC031D" w:rsidRDefault="00AB00DE" w:rsidP="00267AB1">
      <w:pPr>
        <w:pStyle w:val="a4"/>
        <w:tabs>
          <w:tab w:val="left" w:pos="4111"/>
        </w:tabs>
        <w:rPr>
          <w:lang w:val="es-ES"/>
        </w:rPr>
      </w:pPr>
      <w:r w:rsidRPr="00FC031D">
        <w:rPr>
          <w:lang w:val="es-ES"/>
        </w:rPr>
        <w:tab/>
      </w:r>
      <w:r w:rsidRPr="00DF5565">
        <w:rPr>
          <w:color w:val="0000FF"/>
          <w:sz w:val="21"/>
          <w:vertAlign w:val="superscript"/>
        </w:rPr>
        <w:footnoteRef/>
      </w:r>
      <w:r w:rsidRPr="00DF5565">
        <w:rPr>
          <w:color w:val="0000FF"/>
          <w:sz w:val="21"/>
          <w:vertAlign w:val="superscript"/>
          <w:lang w:val="es-ES"/>
        </w:rPr>
        <w:tab/>
      </w:r>
      <w:r w:rsidRPr="00FC031D">
        <w:rPr>
          <w:w w:val="104"/>
          <w:lang w:val="es-ES"/>
        </w:rPr>
        <w:t>Kamto,</w:t>
      </w:r>
      <w:r w:rsidRPr="00FC031D">
        <w:rPr>
          <w:rFonts w:hint="eastAsia"/>
          <w:w w:val="104"/>
          <w:lang w:val="es-ES"/>
        </w:rPr>
        <w:t>“</w:t>
      </w:r>
      <w:r w:rsidRPr="00FC031D">
        <w:rPr>
          <w:rFonts w:hint="eastAsia"/>
        </w:rPr>
        <w:t>国际法中的国家意志”</w:t>
      </w:r>
      <w:r w:rsidRPr="00FC031D">
        <w:t>(</w:t>
      </w:r>
      <w:r w:rsidRPr="00FC031D">
        <w:rPr>
          <w:rFonts w:hint="eastAsia"/>
        </w:rPr>
        <w:t>见上文脚注</w:t>
      </w:r>
      <w:r w:rsidRPr="00267AB1">
        <w:rPr>
          <w:rFonts w:asciiTheme="majorBidi" w:hAnsiTheme="majorBidi" w:cstheme="majorBidi"/>
        </w:rPr>
        <w:fldChar w:fldCharType="begin"/>
      </w:r>
      <w:r w:rsidRPr="00267AB1">
        <w:rPr>
          <w:rFonts w:asciiTheme="majorBidi" w:hAnsiTheme="majorBidi" w:cstheme="majorBidi"/>
        </w:rPr>
        <w:instrText xml:space="preserve"> NOTEREF _Ref461974313 \h </w:instrText>
      </w:r>
      <w:r>
        <w:rPr>
          <w:rFonts w:asciiTheme="majorBidi" w:hAnsiTheme="majorBidi" w:cstheme="majorBidi"/>
        </w:rPr>
        <w:instrText xml:space="preserve"> \* MERGEFORMAT </w:instrText>
      </w:r>
      <w:r w:rsidRPr="00267AB1">
        <w:rPr>
          <w:rFonts w:asciiTheme="majorBidi" w:hAnsiTheme="majorBidi" w:cstheme="majorBidi"/>
        </w:rPr>
      </w:r>
      <w:r w:rsidRPr="00267AB1">
        <w:rPr>
          <w:rFonts w:asciiTheme="majorBidi" w:hAnsiTheme="majorBidi" w:cstheme="majorBidi"/>
        </w:rPr>
        <w:fldChar w:fldCharType="separate"/>
      </w:r>
      <w:r w:rsidR="00A73EB9">
        <w:rPr>
          <w:rFonts w:asciiTheme="majorBidi" w:hAnsiTheme="majorBidi" w:cstheme="majorBidi"/>
        </w:rPr>
        <w:t>533</w:t>
      </w:r>
      <w:r w:rsidRPr="00267AB1">
        <w:rPr>
          <w:rFonts w:asciiTheme="majorBidi" w:hAnsiTheme="majorBidi" w:cstheme="majorBidi"/>
        </w:rPr>
        <w:fldChar w:fldCharType="end"/>
      </w:r>
      <w:r w:rsidRPr="00FC031D">
        <w:t>)</w:t>
      </w:r>
      <w:r w:rsidRPr="00FC031D">
        <w:t>，</w:t>
      </w:r>
      <w:r w:rsidRPr="00FC031D">
        <w:rPr>
          <w:rFonts w:hint="eastAsia"/>
          <w:w w:val="104"/>
          <w:lang w:val="es-ES"/>
        </w:rPr>
        <w:t>第</w:t>
      </w:r>
      <w:r w:rsidRPr="00FC031D">
        <w:rPr>
          <w:w w:val="104"/>
          <w:lang w:val="es-ES"/>
        </w:rPr>
        <w:t>134-141</w:t>
      </w:r>
      <w:r w:rsidRPr="00FC031D">
        <w:rPr>
          <w:rFonts w:hint="eastAsia"/>
          <w:lang w:val="es-ES"/>
        </w:rPr>
        <w:t>页</w:t>
      </w:r>
      <w:r w:rsidRPr="00FC031D">
        <w:rPr>
          <w:rFonts w:hint="eastAsia"/>
          <w:w w:val="104"/>
          <w:lang w:val="es-ES"/>
        </w:rPr>
        <w:t>；</w:t>
      </w:r>
      <w:r w:rsidRPr="00FC031D">
        <w:rPr>
          <w:w w:val="104"/>
          <w:lang w:val="es-ES"/>
        </w:rPr>
        <w:t>Yasseen,</w:t>
      </w:r>
      <w:r w:rsidRPr="00FC031D">
        <w:rPr>
          <w:rFonts w:hint="eastAsia"/>
          <w:w w:val="104"/>
          <w:lang w:val="es-ES"/>
        </w:rPr>
        <w:t>“</w:t>
      </w:r>
      <w:r w:rsidRPr="00FC031D">
        <w:rPr>
          <w:rFonts w:hint="eastAsia"/>
        </w:rPr>
        <w:t>……对条约进行解释”</w:t>
      </w:r>
      <w:r w:rsidRPr="00FC031D">
        <w:t>(</w:t>
      </w:r>
      <w:r w:rsidRPr="00FC031D">
        <w:rPr>
          <w:rFonts w:hint="eastAsia"/>
        </w:rPr>
        <w:t>见上文脚注</w:t>
      </w:r>
      <w:r>
        <w:fldChar w:fldCharType="begin"/>
      </w:r>
      <w:r>
        <w:instrText xml:space="preserve"> NOTEREF _Ref461972846 \h </w:instrText>
      </w:r>
      <w:r>
        <w:fldChar w:fldCharType="separate"/>
      </w:r>
      <w:r w:rsidR="00A73EB9">
        <w:t>393</w:t>
      </w:r>
      <w:r>
        <w:fldChar w:fldCharType="end"/>
      </w:r>
      <w:r w:rsidRPr="00FC031D">
        <w:rPr>
          <w:rFonts w:hint="eastAsia"/>
        </w:rPr>
        <w:t>)</w:t>
      </w:r>
      <w:r w:rsidRPr="00FC031D">
        <w:rPr>
          <w:rFonts w:hint="eastAsia"/>
        </w:rPr>
        <w:t>，</w:t>
      </w:r>
      <w:r w:rsidRPr="00FC031D">
        <w:rPr>
          <w:rFonts w:hint="eastAsia"/>
          <w:w w:val="104"/>
          <w:lang w:val="es-ES"/>
        </w:rPr>
        <w:t>第</w:t>
      </w:r>
      <w:r w:rsidRPr="00FC031D">
        <w:rPr>
          <w:w w:val="104"/>
          <w:lang w:val="es-ES"/>
        </w:rPr>
        <w:t>49</w:t>
      </w:r>
      <w:r w:rsidRPr="00FC031D">
        <w:rPr>
          <w:rFonts w:hint="eastAsia"/>
          <w:lang w:val="es-ES"/>
        </w:rPr>
        <w:t>页</w:t>
      </w:r>
      <w:r w:rsidRPr="00FC031D">
        <w:rPr>
          <w:rFonts w:hint="eastAsia"/>
          <w:w w:val="104"/>
          <w:lang w:val="es-ES"/>
        </w:rPr>
        <w:t>；</w:t>
      </w:r>
      <w:r w:rsidRPr="00FC031D">
        <w:rPr>
          <w:w w:val="104"/>
          <w:lang w:val="es-ES"/>
        </w:rPr>
        <w:t xml:space="preserve">Gardiner, </w:t>
      </w:r>
      <w:r w:rsidRPr="00FC031D">
        <w:rPr>
          <w:rFonts w:hint="eastAsia"/>
          <w:w w:val="104"/>
          <w:lang w:val="es-ES"/>
        </w:rPr>
        <w:t>《条约解释》</w:t>
      </w:r>
      <w:r w:rsidRPr="00FC031D">
        <w:t>(</w:t>
      </w:r>
      <w:r w:rsidRPr="00FC031D">
        <w:rPr>
          <w:rFonts w:hint="eastAsia"/>
        </w:rPr>
        <w:t>见上文脚注</w:t>
      </w:r>
      <w:r w:rsidRPr="00D90936">
        <w:rPr>
          <w:rFonts w:asciiTheme="majorBidi" w:hAnsiTheme="majorBidi" w:cstheme="majorBidi"/>
        </w:rPr>
        <w:fldChar w:fldCharType="begin"/>
      </w:r>
      <w:r w:rsidRPr="00D90936">
        <w:rPr>
          <w:rFonts w:asciiTheme="majorBidi" w:hAnsiTheme="majorBidi" w:cstheme="majorBidi"/>
        </w:rPr>
        <w:instrText xml:space="preserve"> NOTEREF _Ref461971974 \h </w:instrText>
      </w:r>
      <w:r>
        <w:rPr>
          <w:rFonts w:asciiTheme="majorBidi" w:hAnsiTheme="majorBidi" w:cstheme="majorBidi"/>
        </w:rPr>
        <w:instrText xml:space="preserve"> \* MERGEFORMAT </w:instrText>
      </w:r>
      <w:r w:rsidRPr="00D90936">
        <w:rPr>
          <w:rFonts w:asciiTheme="majorBidi" w:hAnsiTheme="majorBidi" w:cstheme="majorBidi"/>
        </w:rPr>
      </w:r>
      <w:r w:rsidRPr="00D90936">
        <w:rPr>
          <w:rFonts w:asciiTheme="majorBidi" w:hAnsiTheme="majorBidi" w:cstheme="majorBidi"/>
        </w:rPr>
        <w:fldChar w:fldCharType="separate"/>
      </w:r>
      <w:r w:rsidR="00A73EB9">
        <w:rPr>
          <w:rFonts w:asciiTheme="majorBidi" w:hAnsiTheme="majorBidi" w:cstheme="majorBidi"/>
        </w:rPr>
        <w:t>392</w:t>
      </w:r>
      <w:r w:rsidRPr="00D90936">
        <w:rPr>
          <w:rFonts w:asciiTheme="majorBidi" w:hAnsiTheme="majorBidi" w:cstheme="majorBidi"/>
        </w:rPr>
        <w:fldChar w:fldCharType="end"/>
      </w:r>
      <w:r w:rsidRPr="00FC031D">
        <w:rPr>
          <w:rFonts w:hint="eastAsia"/>
        </w:rPr>
        <w:t>)</w:t>
      </w:r>
      <w:r w:rsidRPr="00FC031D">
        <w:rPr>
          <w:rFonts w:hint="eastAsia"/>
        </w:rPr>
        <w:t>，</w:t>
      </w:r>
      <w:r w:rsidRPr="00FC031D">
        <w:rPr>
          <w:rFonts w:hint="eastAsia"/>
          <w:lang w:val="es-ES"/>
        </w:rPr>
        <w:t>第</w:t>
      </w:r>
      <w:r w:rsidRPr="00FC031D">
        <w:rPr>
          <w:rFonts w:hint="eastAsia"/>
          <w:w w:val="104"/>
          <w:lang w:val="es-ES"/>
        </w:rPr>
        <w:t>267</w:t>
      </w:r>
      <w:r w:rsidRPr="00FC031D">
        <w:rPr>
          <w:rFonts w:hint="eastAsia"/>
          <w:lang w:val="es-ES"/>
        </w:rPr>
        <w:t>页</w:t>
      </w:r>
      <w:r w:rsidRPr="00FC031D">
        <w:rPr>
          <w:rFonts w:hint="eastAsia"/>
          <w:w w:val="104"/>
          <w:lang w:val="es-ES"/>
        </w:rPr>
        <w:t>；</w:t>
      </w:r>
      <w:r w:rsidRPr="00FC031D">
        <w:rPr>
          <w:w w:val="104"/>
          <w:lang w:val="es-ES"/>
        </w:rPr>
        <w:t xml:space="preserve">Villiger, </w:t>
      </w:r>
      <w:r w:rsidRPr="00FC031D">
        <w:rPr>
          <w:rFonts w:hint="eastAsia"/>
        </w:rPr>
        <w:t>《……评注》</w:t>
      </w:r>
      <w:r w:rsidRPr="00FC031D">
        <w:t>(</w:t>
      </w:r>
      <w:r w:rsidRPr="00FC031D">
        <w:rPr>
          <w:rFonts w:hint="eastAsia"/>
        </w:rPr>
        <w:t>见上文脚注</w:t>
      </w:r>
      <w:r>
        <w:rPr>
          <w:spacing w:val="-4"/>
          <w:lang w:val="zh-CN"/>
        </w:rPr>
        <w:fldChar w:fldCharType="begin"/>
      </w:r>
      <w:r>
        <w:rPr>
          <w:spacing w:val="-4"/>
          <w:lang w:val="zh-CN"/>
        </w:rPr>
        <w:instrText xml:space="preserve"> NOTEREF _Ref461972715 \h </w:instrText>
      </w:r>
      <w:r>
        <w:rPr>
          <w:spacing w:val="-4"/>
          <w:lang w:val="zh-CN"/>
        </w:rPr>
      </w:r>
      <w:r>
        <w:rPr>
          <w:spacing w:val="-4"/>
          <w:lang w:val="zh-CN"/>
        </w:rPr>
        <w:fldChar w:fldCharType="separate"/>
      </w:r>
      <w:r w:rsidR="00A73EB9">
        <w:rPr>
          <w:spacing w:val="-4"/>
          <w:lang w:val="zh-CN"/>
        </w:rPr>
        <w:t>414</w:t>
      </w:r>
      <w:r>
        <w:rPr>
          <w:spacing w:val="-4"/>
          <w:lang w:val="zh-CN"/>
        </w:rPr>
        <w:fldChar w:fldCharType="end"/>
      </w:r>
      <w:r w:rsidRPr="00FC031D">
        <w:rPr>
          <w:rFonts w:hint="eastAsia"/>
        </w:rPr>
        <w:t>)</w:t>
      </w:r>
      <w:r w:rsidRPr="00FC031D">
        <w:rPr>
          <w:rFonts w:hint="eastAsia"/>
        </w:rPr>
        <w:t>，</w:t>
      </w:r>
      <w:r w:rsidRPr="00FC031D">
        <w:rPr>
          <w:rFonts w:hint="eastAsia"/>
          <w:w w:val="104"/>
          <w:lang w:val="es-ES"/>
        </w:rPr>
        <w:t>第</w:t>
      </w:r>
      <w:r w:rsidRPr="00FC031D">
        <w:rPr>
          <w:w w:val="104"/>
          <w:lang w:val="es-ES"/>
        </w:rPr>
        <w:t>431</w:t>
      </w:r>
      <w:r w:rsidRPr="00FC031D">
        <w:rPr>
          <w:rFonts w:hint="eastAsia"/>
          <w:lang w:val="es-ES"/>
        </w:rPr>
        <w:t>页，第</w:t>
      </w:r>
      <w:r w:rsidRPr="00FC031D">
        <w:rPr>
          <w:lang w:val="es-ES"/>
        </w:rPr>
        <w:t>22</w:t>
      </w:r>
      <w:r w:rsidRPr="00FC031D">
        <w:rPr>
          <w:rFonts w:hint="eastAsia"/>
          <w:lang w:val="es-ES"/>
        </w:rPr>
        <w:t>段</w:t>
      </w:r>
      <w:r w:rsidRPr="00FC031D">
        <w:rPr>
          <w:rFonts w:hint="eastAsia"/>
          <w:w w:val="104"/>
          <w:lang w:val="es-ES"/>
        </w:rPr>
        <w:t>；</w:t>
      </w:r>
      <w:r w:rsidRPr="00FC031D">
        <w:rPr>
          <w:w w:val="104"/>
          <w:lang w:val="es-ES"/>
        </w:rPr>
        <w:t>Dörr,</w:t>
      </w:r>
      <w:r w:rsidRPr="00FC031D">
        <w:rPr>
          <w:rFonts w:hint="eastAsia"/>
          <w:w w:val="104"/>
          <w:lang w:val="es-ES"/>
        </w:rPr>
        <w:t>“</w:t>
      </w:r>
      <w:r w:rsidRPr="00FC031D">
        <w:rPr>
          <w:rFonts w:hint="eastAsia"/>
        </w:rPr>
        <w:t>第三十一条……</w:t>
      </w:r>
      <w:r w:rsidRPr="00FC031D">
        <w:rPr>
          <w:rFonts w:hint="eastAsia"/>
          <w:lang w:val="es-ES"/>
        </w:rPr>
        <w:t>”</w:t>
      </w:r>
      <w:r w:rsidRPr="00FC031D">
        <w:rPr>
          <w:lang w:val="es-ES"/>
        </w:rPr>
        <w:t>(</w:t>
      </w:r>
      <w:r w:rsidRPr="00FC031D">
        <w:rPr>
          <w:rFonts w:hint="eastAsia"/>
        </w:rPr>
        <w:t>见上文脚注</w:t>
      </w:r>
      <w:r>
        <w:fldChar w:fldCharType="begin"/>
      </w:r>
      <w:r>
        <w:instrText xml:space="preserve"> </w:instrText>
      </w:r>
      <w:r>
        <w:rPr>
          <w:rFonts w:hint="eastAsia"/>
        </w:rPr>
        <w:instrText>NOTEREF _Ref461972537 \h</w:instrText>
      </w:r>
      <w:r>
        <w:instrText xml:space="preserve"> </w:instrText>
      </w:r>
      <w:r>
        <w:fldChar w:fldCharType="separate"/>
      </w:r>
      <w:r w:rsidR="00A73EB9">
        <w:t>439</w:t>
      </w:r>
      <w:r>
        <w:fldChar w:fldCharType="end"/>
      </w:r>
      <w:r w:rsidRPr="00FC031D">
        <w:rPr>
          <w:rFonts w:hint="eastAsia"/>
        </w:rPr>
        <w:t>)</w:t>
      </w:r>
      <w:r w:rsidRPr="00FC031D">
        <w:rPr>
          <w:lang w:val="es-ES"/>
        </w:rPr>
        <w:t>，</w:t>
      </w:r>
      <w:r w:rsidRPr="00FC031D">
        <w:rPr>
          <w:rFonts w:hint="eastAsia"/>
        </w:rPr>
        <w:t>第</w:t>
      </w:r>
      <w:r w:rsidRPr="00FC031D">
        <w:rPr>
          <w:w w:val="104"/>
          <w:lang w:val="es-ES"/>
        </w:rPr>
        <w:t>557</w:t>
      </w:r>
      <w:r w:rsidRPr="00FC031D">
        <w:rPr>
          <w:rFonts w:hint="eastAsia"/>
          <w:lang w:val="es-ES"/>
        </w:rPr>
        <w:t>和</w:t>
      </w:r>
      <w:r w:rsidRPr="00FC031D">
        <w:rPr>
          <w:w w:val="104"/>
          <w:lang w:val="es-ES"/>
        </w:rPr>
        <w:t>559</w:t>
      </w:r>
      <w:r w:rsidRPr="00FC031D">
        <w:rPr>
          <w:rFonts w:hint="eastAsia"/>
          <w:lang w:val="es-ES"/>
        </w:rPr>
        <w:t>页，第</w:t>
      </w:r>
      <w:r w:rsidRPr="00FC031D">
        <w:rPr>
          <w:lang w:val="es-ES"/>
        </w:rPr>
        <w:t>83</w:t>
      </w:r>
      <w:r w:rsidRPr="00FC031D">
        <w:rPr>
          <w:rFonts w:hint="eastAsia"/>
          <w:lang w:val="es-ES"/>
        </w:rPr>
        <w:t>和</w:t>
      </w:r>
      <w:r w:rsidRPr="00FC031D">
        <w:rPr>
          <w:lang w:val="es-ES"/>
        </w:rPr>
        <w:t>86</w:t>
      </w:r>
      <w:r w:rsidRPr="00FC031D">
        <w:rPr>
          <w:rFonts w:hint="eastAsia"/>
          <w:lang w:val="es-ES"/>
        </w:rPr>
        <w:t>段。</w:t>
      </w:r>
    </w:p>
  </w:footnote>
  <w:footnote w:id="819">
    <w:p w:rsidR="00AB00DE" w:rsidRPr="00FC031D" w:rsidRDefault="00AB00DE" w:rsidP="00267AB1">
      <w:pPr>
        <w:pStyle w:val="a4"/>
      </w:pPr>
      <w:r w:rsidRPr="00FC031D">
        <w:rPr>
          <w:lang w:val="es-ES"/>
        </w:rPr>
        <w:tab/>
      </w:r>
      <w:r w:rsidRPr="00DF5565">
        <w:rPr>
          <w:color w:val="0000FF"/>
          <w:sz w:val="21"/>
          <w:vertAlign w:val="superscript"/>
        </w:rPr>
        <w:footnoteRef/>
      </w:r>
      <w:r w:rsidRPr="00DF5565">
        <w:rPr>
          <w:color w:val="0000FF"/>
          <w:sz w:val="21"/>
          <w:vertAlign w:val="superscript"/>
        </w:rPr>
        <w:tab/>
      </w:r>
      <w:r w:rsidRPr="00FC031D">
        <w:rPr>
          <w:rFonts w:hint="eastAsia"/>
          <w:lang w:val="es-ES"/>
        </w:rPr>
        <w:t>例如，当在国际组织的框架内行动时，见</w:t>
      </w:r>
      <w:r w:rsidRPr="00FC031D">
        <w:rPr>
          <w:rFonts w:eastAsia="楷体" w:hint="eastAsia"/>
        </w:rPr>
        <w:t>关于</w:t>
      </w:r>
      <w:r w:rsidRPr="00FC031D">
        <w:rPr>
          <w:rFonts w:eastAsia="楷体"/>
        </w:rPr>
        <w:t>1995</w:t>
      </w:r>
      <w:r w:rsidRPr="00FC031D">
        <w:rPr>
          <w:rFonts w:eastAsia="楷体" w:hint="eastAsia"/>
        </w:rPr>
        <w:t>年</w:t>
      </w:r>
      <w:r w:rsidRPr="00FC031D">
        <w:rPr>
          <w:rFonts w:eastAsia="楷体"/>
        </w:rPr>
        <w:t>9</w:t>
      </w:r>
      <w:r w:rsidRPr="00FC031D">
        <w:rPr>
          <w:rFonts w:eastAsia="楷体" w:hint="eastAsia"/>
        </w:rPr>
        <w:t>月</w:t>
      </w:r>
      <w:r w:rsidRPr="00FC031D">
        <w:rPr>
          <w:rFonts w:eastAsia="楷体"/>
        </w:rPr>
        <w:t>13</w:t>
      </w:r>
      <w:r w:rsidRPr="00FC031D">
        <w:rPr>
          <w:rFonts w:eastAsia="楷体" w:hint="eastAsia"/>
        </w:rPr>
        <w:t>日</w:t>
      </w:r>
      <w:r w:rsidRPr="00FC031D">
        <w:rPr>
          <w:rFonts w:eastAsia="楷体"/>
        </w:rPr>
        <w:t>《临时协定》的适用案</w:t>
      </w:r>
      <w:r w:rsidRPr="007866F0">
        <w:rPr>
          <w:rFonts w:eastAsia="楷体"/>
          <w:lang w:val="es-ES"/>
        </w:rPr>
        <w:t>(</w:t>
      </w:r>
      <w:r w:rsidRPr="007866F0">
        <w:rPr>
          <w:rFonts w:eastAsia="楷体"/>
        </w:rPr>
        <w:t>前南斯拉夫的马其顿共和国</w:t>
      </w:r>
      <w:r w:rsidRPr="007866F0">
        <w:rPr>
          <w:rFonts w:eastAsia="楷体"/>
          <w:lang w:val="es-ES"/>
        </w:rPr>
        <w:t>诉</w:t>
      </w:r>
      <w:r w:rsidRPr="007866F0">
        <w:rPr>
          <w:rFonts w:eastAsia="楷体"/>
        </w:rPr>
        <w:t>希腊</w:t>
      </w:r>
      <w:r w:rsidRPr="007866F0">
        <w:rPr>
          <w:rFonts w:eastAsia="楷体"/>
          <w:lang w:val="es-ES"/>
        </w:rPr>
        <w:t>)</w:t>
      </w:r>
      <w:r w:rsidRPr="007866F0">
        <w:rPr>
          <w:rFonts w:eastAsia="楷体"/>
          <w:w w:val="104"/>
          <w:lang w:val="es-ES"/>
        </w:rPr>
        <w:t>，</w:t>
      </w:r>
      <w:r w:rsidRPr="007866F0">
        <w:rPr>
          <w:rFonts w:eastAsia="楷体"/>
          <w:w w:val="104"/>
          <w:lang w:val="es-ES"/>
        </w:rPr>
        <w:t>2011</w:t>
      </w:r>
      <w:r w:rsidRPr="007866F0">
        <w:rPr>
          <w:rFonts w:eastAsia="楷体"/>
        </w:rPr>
        <w:t>年</w:t>
      </w:r>
      <w:r w:rsidRPr="007866F0">
        <w:rPr>
          <w:rFonts w:eastAsia="楷体"/>
          <w:lang w:val="es-ES"/>
        </w:rPr>
        <w:t>12</w:t>
      </w:r>
      <w:r w:rsidRPr="007866F0">
        <w:rPr>
          <w:rFonts w:eastAsia="楷体"/>
        </w:rPr>
        <w:t>月</w:t>
      </w:r>
      <w:r w:rsidRPr="007866F0">
        <w:rPr>
          <w:rFonts w:eastAsia="楷体"/>
          <w:w w:val="104"/>
          <w:lang w:val="es-ES"/>
        </w:rPr>
        <w:t>5</w:t>
      </w:r>
      <w:r w:rsidRPr="007866F0">
        <w:rPr>
          <w:rFonts w:eastAsia="楷体"/>
        </w:rPr>
        <w:t>日的判决</w:t>
      </w:r>
      <w:r w:rsidRPr="007866F0">
        <w:rPr>
          <w:rFonts w:eastAsia="楷体"/>
          <w:w w:val="104"/>
          <w:lang w:val="es-ES"/>
        </w:rPr>
        <w:t>，</w:t>
      </w:r>
      <w:r w:rsidRPr="00FC031D">
        <w:rPr>
          <w:rFonts w:hint="eastAsia"/>
          <w:lang w:val="es-ES"/>
        </w:rPr>
        <w:t>《</w:t>
      </w:r>
      <w:r w:rsidRPr="00FC031D">
        <w:rPr>
          <w:lang w:val="es-ES"/>
        </w:rPr>
        <w:t>2011</w:t>
      </w:r>
      <w:r w:rsidRPr="00FC031D">
        <w:rPr>
          <w:rFonts w:hint="eastAsia"/>
          <w:lang w:val="es-ES"/>
        </w:rPr>
        <w:t>年国际法院案例汇编》</w:t>
      </w:r>
      <w:r w:rsidRPr="007866F0">
        <w:rPr>
          <w:rFonts w:eastAsia="楷体"/>
        </w:rPr>
        <w:t>，</w:t>
      </w:r>
      <w:r w:rsidRPr="007866F0">
        <w:rPr>
          <w:rFonts w:eastAsia="楷体"/>
          <w:lang w:val="es-ES"/>
        </w:rPr>
        <w:t>第</w:t>
      </w:r>
      <w:r w:rsidRPr="007866F0">
        <w:rPr>
          <w:rFonts w:eastAsia="楷体"/>
          <w:lang w:val="es-ES"/>
        </w:rPr>
        <w:t>644</w:t>
      </w:r>
      <w:r w:rsidRPr="007866F0">
        <w:rPr>
          <w:rFonts w:eastAsia="楷体"/>
          <w:lang w:val="es-ES"/>
        </w:rPr>
        <w:t>页起，见</w:t>
      </w:r>
      <w:r w:rsidRPr="00FC031D">
        <w:rPr>
          <w:rFonts w:hint="eastAsia"/>
        </w:rPr>
        <w:t>第</w:t>
      </w:r>
      <w:r w:rsidRPr="00FC031D">
        <w:rPr>
          <w:w w:val="104"/>
          <w:lang w:val="es-ES"/>
        </w:rPr>
        <w:t>675</w:t>
      </w:r>
      <w:r w:rsidRPr="00FC031D">
        <w:rPr>
          <w:lang w:val="es-ES"/>
        </w:rPr>
        <w:t>-</w:t>
      </w:r>
      <w:r w:rsidRPr="00FC031D">
        <w:rPr>
          <w:w w:val="104"/>
          <w:lang w:val="es-ES"/>
        </w:rPr>
        <w:t>676</w:t>
      </w:r>
      <w:r w:rsidRPr="00FC031D">
        <w:rPr>
          <w:rFonts w:hint="eastAsia"/>
          <w:lang w:val="es-ES"/>
        </w:rPr>
        <w:t>页，第</w:t>
      </w:r>
      <w:r w:rsidRPr="00FC031D">
        <w:rPr>
          <w:w w:val="104"/>
        </w:rPr>
        <w:t>99-101</w:t>
      </w:r>
      <w:r w:rsidRPr="00FC031D">
        <w:rPr>
          <w:rFonts w:hint="eastAsia"/>
        </w:rPr>
        <w:t>段</w:t>
      </w:r>
      <w:r w:rsidRPr="00FC031D">
        <w:rPr>
          <w:rFonts w:hint="eastAsia"/>
          <w:w w:val="104"/>
        </w:rPr>
        <w:t>；</w:t>
      </w:r>
      <w:r w:rsidRPr="00FC031D">
        <w:rPr>
          <w:w w:val="104"/>
        </w:rPr>
        <w:t xml:space="preserve">Kamto, </w:t>
      </w:r>
      <w:r>
        <w:rPr>
          <w:rFonts w:hint="eastAsia"/>
        </w:rPr>
        <w:t>国际法中的国家意志</w:t>
      </w:r>
      <w:r w:rsidRPr="00FC031D">
        <w:t>(</w:t>
      </w:r>
      <w:r w:rsidRPr="00FC031D">
        <w:rPr>
          <w:rFonts w:hint="eastAsia"/>
        </w:rPr>
        <w:t>见上文脚注</w:t>
      </w:r>
      <w:r w:rsidRPr="00267AB1">
        <w:rPr>
          <w:rFonts w:asciiTheme="majorBidi" w:hAnsiTheme="majorBidi" w:cstheme="majorBidi"/>
        </w:rPr>
        <w:fldChar w:fldCharType="begin"/>
      </w:r>
      <w:r w:rsidRPr="00267AB1">
        <w:rPr>
          <w:rFonts w:asciiTheme="majorBidi" w:hAnsiTheme="majorBidi" w:cstheme="majorBidi"/>
        </w:rPr>
        <w:instrText xml:space="preserve"> NOTEREF _Ref461974313 \h </w:instrText>
      </w:r>
      <w:r>
        <w:rPr>
          <w:rFonts w:asciiTheme="majorBidi" w:hAnsiTheme="majorBidi" w:cstheme="majorBidi"/>
        </w:rPr>
        <w:instrText xml:space="preserve"> \* MERGEFORMAT </w:instrText>
      </w:r>
      <w:r w:rsidRPr="00267AB1">
        <w:rPr>
          <w:rFonts w:asciiTheme="majorBidi" w:hAnsiTheme="majorBidi" w:cstheme="majorBidi"/>
        </w:rPr>
      </w:r>
      <w:r w:rsidRPr="00267AB1">
        <w:rPr>
          <w:rFonts w:asciiTheme="majorBidi" w:hAnsiTheme="majorBidi" w:cstheme="majorBidi"/>
        </w:rPr>
        <w:fldChar w:fldCharType="separate"/>
      </w:r>
      <w:r w:rsidR="00A73EB9">
        <w:rPr>
          <w:rFonts w:asciiTheme="majorBidi" w:hAnsiTheme="majorBidi" w:cstheme="majorBidi"/>
        </w:rPr>
        <w:t>533</w:t>
      </w:r>
      <w:r w:rsidRPr="00267AB1">
        <w:rPr>
          <w:rFonts w:asciiTheme="majorBidi" w:hAnsiTheme="majorBidi" w:cstheme="majorBidi"/>
        </w:rPr>
        <w:fldChar w:fldCharType="end"/>
      </w:r>
      <w:r w:rsidRPr="00FC031D">
        <w:t>)</w:t>
      </w:r>
      <w:r w:rsidRPr="00FC031D">
        <w:t>，</w:t>
      </w:r>
      <w:r w:rsidRPr="00FC031D">
        <w:rPr>
          <w:rFonts w:hint="eastAsia"/>
          <w:w w:val="104"/>
        </w:rPr>
        <w:t>第</w:t>
      </w:r>
      <w:r w:rsidRPr="00FC031D">
        <w:rPr>
          <w:w w:val="104"/>
        </w:rPr>
        <w:t>136</w:t>
      </w:r>
      <w:r w:rsidRPr="00FC031D">
        <w:rPr>
          <w:rFonts w:hint="eastAsia"/>
        </w:rPr>
        <w:t>页。</w:t>
      </w:r>
    </w:p>
  </w:footnote>
  <w:footnote w:id="820">
    <w:p w:rsidR="00AB00DE" w:rsidRPr="00FC031D" w:rsidRDefault="00AB00DE" w:rsidP="00DF5565">
      <w:pPr>
        <w:pStyle w:val="a4"/>
      </w:pPr>
      <w:r w:rsidRPr="00FC031D">
        <w:tab/>
      </w:r>
      <w:r w:rsidRPr="00DF5565">
        <w:rPr>
          <w:color w:val="0000FF"/>
          <w:sz w:val="21"/>
          <w:vertAlign w:val="superscript"/>
        </w:rPr>
        <w:footnoteRef/>
      </w:r>
      <w:r w:rsidRPr="00DF5565">
        <w:rPr>
          <w:color w:val="0000FF"/>
          <w:sz w:val="21"/>
          <w:vertAlign w:val="superscript"/>
        </w:rPr>
        <w:tab/>
      </w:r>
      <w:r w:rsidRPr="007866F0">
        <w:rPr>
          <w:rFonts w:eastAsia="楷体"/>
        </w:rPr>
        <w:t>阿根廷和智利比格尔海峡争端案</w:t>
      </w:r>
      <w:r w:rsidRPr="00FC031D">
        <w:rPr>
          <w:rFonts w:hint="eastAsia"/>
          <w:w w:val="104"/>
        </w:rPr>
        <w:t>，</w:t>
      </w:r>
      <w:r w:rsidRPr="00FC031D">
        <w:t>1977</w:t>
      </w:r>
      <w:r w:rsidRPr="00FC031D">
        <w:rPr>
          <w:rFonts w:hint="eastAsia"/>
        </w:rPr>
        <w:t>年</w:t>
      </w:r>
      <w:r w:rsidRPr="00FC031D">
        <w:t>2</w:t>
      </w:r>
      <w:r w:rsidRPr="00FC031D">
        <w:rPr>
          <w:rFonts w:hint="eastAsia"/>
        </w:rPr>
        <w:t>月</w:t>
      </w:r>
      <w:r w:rsidRPr="00FC031D">
        <w:t>18</w:t>
      </w:r>
      <w:r w:rsidRPr="00FC031D">
        <w:rPr>
          <w:rFonts w:hint="eastAsia"/>
        </w:rPr>
        <w:t>日</w:t>
      </w:r>
      <w:r w:rsidRPr="00FC031D">
        <w:rPr>
          <w:rFonts w:hint="eastAsia"/>
          <w:w w:val="104"/>
        </w:rPr>
        <w:t>，</w:t>
      </w:r>
      <w:r w:rsidRPr="007866F0">
        <w:rPr>
          <w:rFonts w:eastAsia="楷体"/>
        </w:rPr>
        <w:t>《国际仲裁裁决汇编》，</w:t>
      </w:r>
      <w:r w:rsidRPr="00FC031D">
        <w:rPr>
          <w:rFonts w:hint="eastAsia"/>
        </w:rPr>
        <w:t>第二十一卷，第二部分，第</w:t>
      </w:r>
      <w:r w:rsidRPr="00FC031D">
        <w:t>53</w:t>
      </w:r>
      <w:r w:rsidRPr="00FC031D">
        <w:rPr>
          <w:rFonts w:hint="eastAsia"/>
        </w:rPr>
        <w:t>-264</w:t>
      </w:r>
      <w:r w:rsidRPr="00FC031D">
        <w:rPr>
          <w:rFonts w:hint="eastAsia"/>
        </w:rPr>
        <w:t>页。</w:t>
      </w:r>
    </w:p>
  </w:footnote>
  <w:footnote w:id="821">
    <w:p w:rsidR="00AB00DE" w:rsidRPr="00FC031D" w:rsidRDefault="00AB00DE" w:rsidP="00DF5565">
      <w:pPr>
        <w:pStyle w:val="a4"/>
      </w:pPr>
      <w:r w:rsidRPr="00FC031D">
        <w:tab/>
      </w:r>
      <w:r w:rsidRPr="00DF5565">
        <w:rPr>
          <w:color w:val="0000FF"/>
          <w:sz w:val="21"/>
          <w:vertAlign w:val="superscript"/>
        </w:rPr>
        <w:footnoteRef/>
      </w:r>
      <w:r w:rsidRPr="00DF5565">
        <w:rPr>
          <w:color w:val="0000FF"/>
          <w:sz w:val="21"/>
          <w:vertAlign w:val="superscript"/>
        </w:rPr>
        <w:tab/>
      </w:r>
      <w:r w:rsidRPr="00FC031D">
        <w:rPr>
          <w:rFonts w:hint="eastAsia"/>
        </w:rPr>
        <w:t>同上</w:t>
      </w:r>
      <w:r w:rsidRPr="00FC031D">
        <w:rPr>
          <w:rFonts w:hint="eastAsia"/>
          <w:w w:val="104"/>
        </w:rPr>
        <w:t>，</w:t>
      </w:r>
      <w:r w:rsidRPr="00FC031D">
        <w:rPr>
          <w:rFonts w:hint="eastAsia"/>
        </w:rPr>
        <w:t>见第</w:t>
      </w:r>
      <w:r w:rsidRPr="00FC031D">
        <w:rPr>
          <w:w w:val="104"/>
        </w:rPr>
        <w:t>187</w:t>
      </w:r>
      <w:r w:rsidRPr="00FC031D">
        <w:rPr>
          <w:rFonts w:hint="eastAsia"/>
        </w:rPr>
        <w:t>页，第</w:t>
      </w:r>
      <w:r w:rsidRPr="00FC031D">
        <w:rPr>
          <w:w w:val="104"/>
        </w:rPr>
        <w:t>169</w:t>
      </w:r>
      <w:r w:rsidRPr="00FC031D">
        <w:t>(</w:t>
      </w:r>
      <w:r w:rsidRPr="00FC031D">
        <w:rPr>
          <w:w w:val="104"/>
        </w:rPr>
        <w:t>a</w:t>
      </w:r>
      <w:r w:rsidRPr="00FC031D">
        <w:t>)</w:t>
      </w:r>
      <w:r w:rsidRPr="00FC031D">
        <w:rPr>
          <w:rFonts w:hint="eastAsia"/>
        </w:rPr>
        <w:t>段。</w:t>
      </w:r>
    </w:p>
  </w:footnote>
  <w:footnote w:id="822">
    <w:p w:rsidR="00AB00DE" w:rsidRPr="00FC031D" w:rsidRDefault="00AB00DE" w:rsidP="00DF5565">
      <w:pPr>
        <w:pStyle w:val="a4"/>
      </w:pPr>
      <w:r w:rsidRPr="00FC031D">
        <w:tab/>
      </w:r>
      <w:r w:rsidRPr="00DF5565">
        <w:rPr>
          <w:color w:val="0000FF"/>
          <w:sz w:val="21"/>
          <w:vertAlign w:val="superscript"/>
        </w:rPr>
        <w:footnoteRef/>
      </w:r>
      <w:r w:rsidRPr="00DF5565">
        <w:rPr>
          <w:color w:val="0000FF"/>
          <w:sz w:val="21"/>
          <w:vertAlign w:val="superscript"/>
        </w:rPr>
        <w:tab/>
      </w:r>
      <w:r w:rsidRPr="00FC031D">
        <w:rPr>
          <w:rFonts w:hint="eastAsia"/>
        </w:rPr>
        <w:t>同上，第</w:t>
      </w:r>
      <w:r w:rsidRPr="00FC031D">
        <w:rPr>
          <w:rFonts w:hint="eastAsia"/>
          <w:w w:val="104"/>
        </w:rPr>
        <w:t>171</w:t>
      </w:r>
      <w:r w:rsidRPr="00FC031D">
        <w:rPr>
          <w:rFonts w:hint="eastAsia"/>
        </w:rPr>
        <w:t>段。</w:t>
      </w:r>
    </w:p>
  </w:footnote>
  <w:footnote w:id="823">
    <w:p w:rsidR="00AB00DE" w:rsidRPr="00FC031D" w:rsidRDefault="00AB00DE" w:rsidP="00DF5565">
      <w:pPr>
        <w:pStyle w:val="a4"/>
      </w:pPr>
      <w:r w:rsidRPr="00FC031D">
        <w:tab/>
      </w:r>
      <w:r w:rsidRPr="00DF5565">
        <w:rPr>
          <w:color w:val="0000FF"/>
          <w:sz w:val="21"/>
          <w:vertAlign w:val="superscript"/>
        </w:rPr>
        <w:footnoteRef/>
      </w:r>
      <w:r w:rsidRPr="00DF5565">
        <w:rPr>
          <w:color w:val="0000FF"/>
          <w:sz w:val="21"/>
          <w:vertAlign w:val="superscript"/>
        </w:rPr>
        <w:tab/>
      </w:r>
      <w:r w:rsidRPr="007866F0">
        <w:rPr>
          <w:rFonts w:eastAsia="楷体"/>
        </w:rPr>
        <w:t>喀麦隆和尼日利亚间陆地和海洋疆界案</w:t>
      </w:r>
      <w:r w:rsidRPr="007866F0">
        <w:rPr>
          <w:rFonts w:eastAsia="楷体"/>
        </w:rPr>
        <w:t>(</w:t>
      </w:r>
      <w:r w:rsidRPr="007866F0">
        <w:rPr>
          <w:rFonts w:eastAsia="楷体"/>
        </w:rPr>
        <w:t>喀麦隆诉尼日利亚：赤道几内亚参与诉讼</w:t>
      </w:r>
      <w:r w:rsidRPr="007866F0">
        <w:rPr>
          <w:rFonts w:eastAsia="楷体"/>
        </w:rPr>
        <w:t>)</w:t>
      </w:r>
      <w:r w:rsidRPr="00FC031D">
        <w:rPr>
          <w:rFonts w:hint="eastAsia"/>
        </w:rPr>
        <w:t>，</w:t>
      </w:r>
      <w:r w:rsidRPr="007866F0">
        <w:rPr>
          <w:rFonts w:eastAsia="楷体"/>
        </w:rPr>
        <w:t>判决，</w:t>
      </w:r>
      <w:r w:rsidRPr="007866F0">
        <w:rPr>
          <w:rFonts w:eastAsia="楷体" w:hint="eastAsia"/>
        </w:rPr>
        <w:t>《</w:t>
      </w:r>
      <w:r w:rsidRPr="007866F0">
        <w:rPr>
          <w:rFonts w:eastAsia="楷体"/>
        </w:rPr>
        <w:t>2002</w:t>
      </w:r>
      <w:r w:rsidRPr="007866F0">
        <w:rPr>
          <w:rFonts w:eastAsia="楷体" w:hint="eastAsia"/>
        </w:rPr>
        <w:t>年</w:t>
      </w:r>
      <w:r w:rsidRPr="007866F0">
        <w:rPr>
          <w:rFonts w:eastAsia="楷体"/>
        </w:rPr>
        <w:t>国际法院案例汇编</w:t>
      </w:r>
      <w:r w:rsidRPr="007866F0">
        <w:rPr>
          <w:rFonts w:eastAsia="楷体" w:hint="eastAsia"/>
        </w:rPr>
        <w:t>》</w:t>
      </w:r>
      <w:r w:rsidRPr="00FC031D">
        <w:rPr>
          <w:rFonts w:hint="eastAsia"/>
        </w:rPr>
        <w:t>，第</w:t>
      </w:r>
      <w:r w:rsidRPr="00FC031D">
        <w:t>303</w:t>
      </w:r>
      <w:r w:rsidRPr="00FC031D">
        <w:rPr>
          <w:rFonts w:hint="eastAsia"/>
        </w:rPr>
        <w:t>页起，见第</w:t>
      </w:r>
      <w:r w:rsidRPr="00FC031D">
        <w:rPr>
          <w:w w:val="104"/>
        </w:rPr>
        <w:t>352</w:t>
      </w:r>
      <w:r w:rsidRPr="00FC031D">
        <w:rPr>
          <w:rFonts w:hint="eastAsia"/>
        </w:rPr>
        <w:t>页，第</w:t>
      </w:r>
      <w:r w:rsidRPr="00FC031D">
        <w:t>67</w:t>
      </w:r>
      <w:r w:rsidRPr="00FC031D">
        <w:rPr>
          <w:rFonts w:hint="eastAsia"/>
        </w:rPr>
        <w:t>段。</w:t>
      </w:r>
    </w:p>
  </w:footnote>
  <w:footnote w:id="824">
    <w:p w:rsidR="00AB00DE" w:rsidRPr="00FC031D" w:rsidRDefault="00AB00DE" w:rsidP="00267AB1">
      <w:pPr>
        <w:pStyle w:val="a4"/>
      </w:pPr>
      <w:r w:rsidRPr="00FC031D">
        <w:tab/>
      </w:r>
      <w:r w:rsidRPr="00DF5565">
        <w:rPr>
          <w:color w:val="0000FF"/>
          <w:sz w:val="21"/>
          <w:vertAlign w:val="superscript"/>
        </w:rPr>
        <w:footnoteRef/>
      </w:r>
      <w:r w:rsidRPr="00DF5565">
        <w:rPr>
          <w:color w:val="0000FF"/>
          <w:sz w:val="21"/>
          <w:vertAlign w:val="superscript"/>
        </w:rPr>
        <w:tab/>
      </w:r>
      <w:r w:rsidRPr="00FC031D">
        <w:rPr>
          <w:rFonts w:hint="eastAsia"/>
        </w:rPr>
        <w:t>同上</w:t>
      </w:r>
      <w:r w:rsidRPr="00FC031D">
        <w:rPr>
          <w:rFonts w:hint="eastAsia"/>
          <w:w w:val="104"/>
        </w:rPr>
        <w:t>，</w:t>
      </w:r>
      <w:r w:rsidRPr="00FC031D">
        <w:rPr>
          <w:rFonts w:hint="eastAsia"/>
        </w:rPr>
        <w:t>见第</w:t>
      </w:r>
      <w:r w:rsidRPr="00FC031D">
        <w:rPr>
          <w:w w:val="104"/>
        </w:rPr>
        <w:t>351</w:t>
      </w:r>
      <w:r w:rsidRPr="00FC031D">
        <w:rPr>
          <w:rFonts w:hint="eastAsia"/>
        </w:rPr>
        <w:t>页，第</w:t>
      </w:r>
      <w:r w:rsidRPr="00FC031D">
        <w:t>64</w:t>
      </w:r>
      <w:r w:rsidRPr="00FC031D">
        <w:rPr>
          <w:rFonts w:hint="eastAsia"/>
        </w:rPr>
        <w:t>段：“……但是，法院指出，鉴于法院已经认定，乍得湖的边界已经划定……自然，事实上必须对尼日利亚的任何行动的效力进行评价，评价其作为违法行为的法律后果”；另见</w:t>
      </w:r>
      <w:r w:rsidRPr="007866F0">
        <w:rPr>
          <w:rFonts w:eastAsia="楷体"/>
        </w:rPr>
        <w:t>边界争端</w:t>
      </w:r>
      <w:r w:rsidRPr="007866F0">
        <w:rPr>
          <w:rFonts w:eastAsia="楷体" w:hint="eastAsia"/>
        </w:rPr>
        <w:t>案</w:t>
      </w:r>
      <w:r w:rsidRPr="007866F0">
        <w:rPr>
          <w:rFonts w:eastAsia="楷体"/>
        </w:rPr>
        <w:t>，判决</w:t>
      </w:r>
      <w:r w:rsidRPr="00FC031D">
        <w:rPr>
          <w:rFonts w:hint="eastAsia"/>
        </w:rPr>
        <w:t>，《</w:t>
      </w:r>
      <w:r w:rsidRPr="007866F0">
        <w:rPr>
          <w:rFonts w:eastAsia="楷体"/>
          <w:w w:val="104"/>
        </w:rPr>
        <w:t>1986</w:t>
      </w:r>
      <w:r w:rsidRPr="007866F0">
        <w:rPr>
          <w:rFonts w:eastAsia="楷体"/>
        </w:rPr>
        <w:t>年国际法院案例汇编</w:t>
      </w:r>
      <w:r w:rsidRPr="00FC031D">
        <w:rPr>
          <w:rFonts w:hint="eastAsia"/>
        </w:rPr>
        <w:t>》</w:t>
      </w:r>
      <w:r w:rsidRPr="007866F0">
        <w:rPr>
          <w:rFonts w:eastAsiaTheme="minorEastAsia"/>
        </w:rPr>
        <w:t>，第</w:t>
      </w:r>
      <w:r w:rsidRPr="00FC031D">
        <w:rPr>
          <w:w w:val="104"/>
        </w:rPr>
        <w:t>554</w:t>
      </w:r>
      <w:r w:rsidRPr="00FC031D">
        <w:rPr>
          <w:rFonts w:hint="eastAsia"/>
        </w:rPr>
        <w:t>页起，见第</w:t>
      </w:r>
      <w:r w:rsidRPr="00FC031D">
        <w:rPr>
          <w:w w:val="104"/>
        </w:rPr>
        <w:t>586</w:t>
      </w:r>
      <w:r w:rsidRPr="00FC031D">
        <w:rPr>
          <w:rFonts w:hint="eastAsia"/>
        </w:rPr>
        <w:t>页，第</w:t>
      </w:r>
      <w:r w:rsidRPr="00FC031D">
        <w:t>63</w:t>
      </w:r>
      <w:r w:rsidRPr="00FC031D">
        <w:rPr>
          <w:rFonts w:hint="eastAsia"/>
        </w:rPr>
        <w:t>段</w:t>
      </w:r>
      <w:r w:rsidRPr="00FC031D">
        <w:rPr>
          <w:rFonts w:hint="eastAsia"/>
          <w:w w:val="104"/>
        </w:rPr>
        <w:t>；</w:t>
      </w:r>
      <w:r w:rsidRPr="007866F0">
        <w:rPr>
          <w:rFonts w:eastAsia="楷体"/>
        </w:rPr>
        <w:t>几内亚比绍和塞内加尔海洋疆界划界案</w:t>
      </w:r>
      <w:r w:rsidRPr="00FC031D">
        <w:rPr>
          <w:rFonts w:ascii="Time New Roman" w:eastAsia="楷体" w:hAnsi="Time New Roman" w:hint="eastAsia"/>
        </w:rPr>
        <w:t>(</w:t>
      </w:r>
      <w:r w:rsidRPr="00FC031D">
        <w:rPr>
          <w:rFonts w:hint="eastAsia"/>
        </w:rPr>
        <w:t>见上文脚注</w:t>
      </w:r>
      <w:r>
        <w:fldChar w:fldCharType="begin"/>
      </w:r>
      <w:r>
        <w:instrText xml:space="preserve"> </w:instrText>
      </w:r>
      <w:r>
        <w:rPr>
          <w:rFonts w:hint="eastAsia"/>
        </w:rPr>
        <w:instrText>NOTEREF _Ref461974370 \h</w:instrText>
      </w:r>
      <w:r>
        <w:instrText xml:space="preserve"> </w:instrText>
      </w:r>
      <w:r>
        <w:fldChar w:fldCharType="separate"/>
      </w:r>
      <w:r w:rsidR="00A73EB9">
        <w:t>730</w:t>
      </w:r>
      <w:r>
        <w:fldChar w:fldCharType="end"/>
      </w:r>
      <w:r w:rsidRPr="00FC031D">
        <w:rPr>
          <w:rFonts w:hint="eastAsia"/>
        </w:rPr>
        <w:t>)</w:t>
      </w:r>
      <w:r w:rsidRPr="00FC031D">
        <w:rPr>
          <w:rFonts w:hint="eastAsia"/>
          <w:w w:val="104"/>
        </w:rPr>
        <w:t>，</w:t>
      </w:r>
      <w:r w:rsidRPr="00FC031D">
        <w:rPr>
          <w:rFonts w:hint="eastAsia"/>
        </w:rPr>
        <w:t>第</w:t>
      </w:r>
      <w:r w:rsidRPr="00FC031D">
        <w:t>181</w:t>
      </w:r>
      <w:r w:rsidRPr="00FC031D">
        <w:rPr>
          <w:rFonts w:hint="eastAsia"/>
        </w:rPr>
        <w:t>页，第</w:t>
      </w:r>
      <w:r w:rsidRPr="00FC031D">
        <w:t>70</w:t>
      </w:r>
      <w:r w:rsidRPr="00FC031D">
        <w:rPr>
          <w:rFonts w:hint="eastAsia"/>
        </w:rPr>
        <w:t>段。</w:t>
      </w:r>
    </w:p>
  </w:footnote>
  <w:footnote w:id="825">
    <w:p w:rsidR="00AB00DE" w:rsidRPr="00FC031D" w:rsidRDefault="00AB00DE" w:rsidP="00D90936">
      <w:pPr>
        <w:pStyle w:val="a4"/>
      </w:pPr>
      <w:r w:rsidRPr="00FC031D">
        <w:tab/>
      </w:r>
      <w:r w:rsidRPr="00DF5565">
        <w:rPr>
          <w:color w:val="0000FF"/>
          <w:sz w:val="21"/>
          <w:vertAlign w:val="superscript"/>
        </w:rPr>
        <w:footnoteRef/>
      </w:r>
      <w:r w:rsidRPr="00DF5565">
        <w:rPr>
          <w:color w:val="0000FF"/>
          <w:sz w:val="21"/>
          <w:vertAlign w:val="superscript"/>
        </w:rPr>
        <w:tab/>
      </w:r>
      <w:r w:rsidRPr="007866F0">
        <w:rPr>
          <w:rFonts w:eastAsia="楷体"/>
        </w:rPr>
        <w:t>利吉丹岛和西巴丹岛的主权归属案</w:t>
      </w:r>
      <w:r w:rsidRPr="007866F0">
        <w:rPr>
          <w:rFonts w:eastAsia="楷体"/>
        </w:rPr>
        <w:t>(</w:t>
      </w:r>
      <w:r w:rsidRPr="00FC031D">
        <w:rPr>
          <w:rFonts w:hint="eastAsia"/>
        </w:rPr>
        <w:t>见上文脚注</w:t>
      </w:r>
      <w:r>
        <w:rPr>
          <w:lang w:val="zh-CN"/>
        </w:rPr>
        <w:fldChar w:fldCharType="begin"/>
      </w:r>
      <w:r>
        <w:rPr>
          <w:lang w:val="zh-CN"/>
        </w:rPr>
        <w:instrText xml:space="preserve"> NOTEREF _Ref461971066 \h </w:instrText>
      </w:r>
      <w:r>
        <w:rPr>
          <w:lang w:val="zh-CN"/>
        </w:rPr>
      </w:r>
      <w:r>
        <w:rPr>
          <w:lang w:val="zh-CN"/>
        </w:rPr>
        <w:fldChar w:fldCharType="separate"/>
      </w:r>
      <w:r w:rsidR="00A73EB9">
        <w:rPr>
          <w:lang w:val="zh-CN"/>
        </w:rPr>
        <w:t>395</w:t>
      </w:r>
      <w:r>
        <w:rPr>
          <w:lang w:val="zh-CN"/>
        </w:rPr>
        <w:fldChar w:fldCharType="end"/>
      </w:r>
      <w:r w:rsidRPr="00FC031D">
        <w:rPr>
          <w:rFonts w:hint="eastAsia"/>
        </w:rPr>
        <w:t>)</w:t>
      </w:r>
      <w:r w:rsidRPr="007866F0">
        <w:rPr>
          <w:rFonts w:eastAsia="楷体"/>
          <w:w w:val="104"/>
        </w:rPr>
        <w:t>，</w:t>
      </w:r>
      <w:r w:rsidRPr="00FC031D">
        <w:rPr>
          <w:rFonts w:hint="eastAsia"/>
        </w:rPr>
        <w:t>第</w:t>
      </w:r>
      <w:r w:rsidRPr="00FC031D">
        <w:rPr>
          <w:w w:val="104"/>
        </w:rPr>
        <w:t>650</w:t>
      </w:r>
      <w:r w:rsidRPr="00FC031D">
        <w:rPr>
          <w:rFonts w:hint="eastAsia"/>
        </w:rPr>
        <w:t>页，第</w:t>
      </w:r>
      <w:r w:rsidRPr="00FC031D">
        <w:t>48</w:t>
      </w:r>
      <w:r w:rsidRPr="00FC031D">
        <w:rPr>
          <w:rFonts w:hint="eastAsia"/>
        </w:rPr>
        <w:t>段</w:t>
      </w:r>
      <w:r w:rsidRPr="00FC031D">
        <w:rPr>
          <w:rFonts w:hint="eastAsia"/>
          <w:w w:val="104"/>
        </w:rPr>
        <w:t>；</w:t>
      </w:r>
      <w:r w:rsidRPr="00FC031D">
        <w:rPr>
          <w:rFonts w:hint="eastAsia"/>
        </w:rPr>
        <w:t>世贸组织上诉机构报告</w:t>
      </w:r>
      <w:r w:rsidRPr="00FC031D">
        <w:rPr>
          <w:rFonts w:hint="eastAsia"/>
          <w:w w:val="104"/>
        </w:rPr>
        <w:t>，</w:t>
      </w:r>
      <w:r w:rsidRPr="007866F0">
        <w:rPr>
          <w:rFonts w:eastAsia="楷体"/>
        </w:rPr>
        <w:t>欧共体</w:t>
      </w:r>
      <w:r w:rsidRPr="00FC031D">
        <w:rPr>
          <w:rFonts w:hint="eastAsia"/>
        </w:rPr>
        <w:t>－</w:t>
      </w:r>
      <w:r w:rsidRPr="007866F0">
        <w:rPr>
          <w:rFonts w:eastAsia="楷体"/>
        </w:rPr>
        <w:t>鸡块案</w:t>
      </w:r>
      <w:r w:rsidRPr="00FC031D">
        <w:rPr>
          <w:rFonts w:hint="eastAsia"/>
          <w:w w:val="104"/>
        </w:rPr>
        <w:t>，</w:t>
      </w:r>
      <w:r w:rsidRPr="00FC031D">
        <w:rPr>
          <w:w w:val="104"/>
        </w:rPr>
        <w:t>WT/DS269/AB/R</w:t>
      </w:r>
      <w:r w:rsidRPr="00FC031D">
        <w:rPr>
          <w:rFonts w:hint="eastAsia"/>
          <w:w w:val="104"/>
        </w:rPr>
        <w:t>和</w:t>
      </w:r>
      <w:r w:rsidRPr="00FC031D">
        <w:t>Corr.1</w:t>
      </w:r>
      <w:r w:rsidRPr="00FC031D">
        <w:rPr>
          <w:rFonts w:hint="eastAsia"/>
          <w:w w:val="104"/>
        </w:rPr>
        <w:t>、</w:t>
      </w:r>
      <w:r w:rsidRPr="00FC031D">
        <w:rPr>
          <w:w w:val="104"/>
        </w:rPr>
        <w:t>WT/DS286/AB/R</w:t>
      </w:r>
      <w:r w:rsidRPr="00FC031D">
        <w:rPr>
          <w:rFonts w:hint="eastAsia"/>
          <w:w w:val="104"/>
        </w:rPr>
        <w:t>和</w:t>
      </w:r>
      <w:r w:rsidRPr="00FC031D">
        <w:t xml:space="preserve">Corr.1, </w:t>
      </w:r>
      <w:r w:rsidRPr="00FC031D">
        <w:rPr>
          <w:w w:val="104"/>
        </w:rPr>
        <w:t>2005</w:t>
      </w:r>
      <w:r w:rsidRPr="00FC031D">
        <w:rPr>
          <w:rFonts w:hint="eastAsia"/>
        </w:rPr>
        <w:t>年</w:t>
      </w:r>
      <w:r w:rsidRPr="00FC031D">
        <w:t>9</w:t>
      </w:r>
      <w:r w:rsidRPr="00FC031D">
        <w:rPr>
          <w:rFonts w:hint="eastAsia"/>
        </w:rPr>
        <w:t>月</w:t>
      </w:r>
      <w:r w:rsidRPr="00FC031D">
        <w:rPr>
          <w:rFonts w:hint="eastAsia"/>
          <w:w w:val="104"/>
        </w:rPr>
        <w:t>27</w:t>
      </w:r>
      <w:r w:rsidRPr="00FC031D">
        <w:rPr>
          <w:rFonts w:hint="eastAsia"/>
        </w:rPr>
        <w:t>日通过</w:t>
      </w:r>
      <w:r w:rsidRPr="00FC031D">
        <w:rPr>
          <w:rFonts w:hint="eastAsia"/>
          <w:w w:val="104"/>
        </w:rPr>
        <w:t>，</w:t>
      </w:r>
      <w:r w:rsidRPr="00FC031D">
        <w:rPr>
          <w:rFonts w:hint="eastAsia"/>
        </w:rPr>
        <w:t>第</w:t>
      </w:r>
      <w:r w:rsidRPr="00FC031D">
        <w:rPr>
          <w:w w:val="104"/>
        </w:rPr>
        <w:t>334</w:t>
      </w:r>
      <w:r w:rsidRPr="00FC031D">
        <w:rPr>
          <w:rFonts w:hint="eastAsia"/>
        </w:rPr>
        <w:t>段</w:t>
      </w:r>
      <w:r w:rsidRPr="00FC031D">
        <w:t>(</w:t>
      </w:r>
      <w:r w:rsidRPr="00FC031D">
        <w:rPr>
          <w:rFonts w:hint="eastAsia"/>
          <w:lang w:val="fr-FR"/>
        </w:rPr>
        <w:t>“</w:t>
      </w:r>
      <w:r w:rsidRPr="00FC031D">
        <w:rPr>
          <w:rFonts w:hint="eastAsia"/>
        </w:rPr>
        <w:t>……仅仅是能够查阅一个公布的判决不能等同于接受……</w:t>
      </w:r>
      <w:r w:rsidRPr="00FC031D">
        <w:rPr>
          <w:rFonts w:hint="eastAsia"/>
          <w:lang w:val="fr-FR"/>
        </w:rPr>
        <w:t>”</w:t>
      </w:r>
      <w:r w:rsidRPr="00FC031D">
        <w:t>)</w:t>
      </w:r>
      <w:r w:rsidRPr="00FC031D">
        <w:rPr>
          <w:rFonts w:hint="eastAsia"/>
          <w:w w:val="104"/>
        </w:rPr>
        <w:t>。</w:t>
      </w:r>
    </w:p>
  </w:footnote>
  <w:footnote w:id="826">
    <w:p w:rsidR="00AB00DE" w:rsidRPr="00FC031D" w:rsidRDefault="00AB00DE" w:rsidP="00D90936">
      <w:pPr>
        <w:pStyle w:val="a4"/>
      </w:pPr>
      <w:r w:rsidRPr="00FC031D">
        <w:tab/>
      </w:r>
      <w:r w:rsidRPr="00DF5565">
        <w:rPr>
          <w:color w:val="0000FF"/>
          <w:sz w:val="21"/>
          <w:vertAlign w:val="superscript"/>
        </w:rPr>
        <w:footnoteRef/>
      </w:r>
      <w:r w:rsidRPr="00DF5565">
        <w:rPr>
          <w:color w:val="0000FF"/>
          <w:sz w:val="21"/>
          <w:vertAlign w:val="superscript"/>
        </w:rPr>
        <w:tab/>
      </w:r>
      <w:r w:rsidRPr="007866F0">
        <w:rPr>
          <w:rFonts w:eastAsia="楷体"/>
        </w:rPr>
        <w:t>卡西基里</w:t>
      </w:r>
      <w:r w:rsidRPr="007866F0">
        <w:rPr>
          <w:rFonts w:eastAsia="楷体"/>
        </w:rPr>
        <w:t>/</w:t>
      </w:r>
      <w:r w:rsidRPr="007866F0">
        <w:rPr>
          <w:rFonts w:eastAsia="楷体"/>
        </w:rPr>
        <w:t>塞杜杜岛案</w:t>
      </w:r>
      <w:r w:rsidRPr="007866F0">
        <w:rPr>
          <w:rFonts w:eastAsia="楷体"/>
        </w:rPr>
        <w:t>(</w:t>
      </w:r>
      <w:r w:rsidRPr="00FC031D">
        <w:rPr>
          <w:rFonts w:hint="eastAsia"/>
        </w:rPr>
        <w:t>见上文脚注</w:t>
      </w:r>
      <w:r>
        <w:rPr>
          <w:lang w:val="zh-CN"/>
        </w:rPr>
        <w:fldChar w:fldCharType="begin"/>
      </w:r>
      <w:r>
        <w:rPr>
          <w:lang w:val="zh-CN"/>
        </w:rPr>
        <w:instrText xml:space="preserve"> NOTEREF _Ref461971066 \h </w:instrText>
      </w:r>
      <w:r>
        <w:rPr>
          <w:lang w:val="zh-CN"/>
        </w:rPr>
      </w:r>
      <w:r>
        <w:rPr>
          <w:lang w:val="zh-CN"/>
        </w:rPr>
        <w:fldChar w:fldCharType="separate"/>
      </w:r>
      <w:r w:rsidR="00A73EB9">
        <w:rPr>
          <w:lang w:val="zh-CN"/>
        </w:rPr>
        <w:t>395</w:t>
      </w:r>
      <w:r>
        <w:rPr>
          <w:lang w:val="zh-CN"/>
        </w:rPr>
        <w:fldChar w:fldCharType="end"/>
      </w:r>
      <w:r w:rsidRPr="00FC031D">
        <w:rPr>
          <w:rFonts w:hint="eastAsia"/>
        </w:rPr>
        <w:t>)</w:t>
      </w:r>
      <w:r w:rsidRPr="007866F0">
        <w:rPr>
          <w:rFonts w:eastAsia="楷体"/>
          <w:w w:val="104"/>
        </w:rPr>
        <w:t>，</w:t>
      </w:r>
      <w:r w:rsidRPr="00FC031D">
        <w:rPr>
          <w:rFonts w:hint="eastAsia"/>
        </w:rPr>
        <w:t>第</w:t>
      </w:r>
      <w:r w:rsidRPr="00FC031D">
        <w:rPr>
          <w:w w:val="104"/>
        </w:rPr>
        <w:t>1089-1091</w:t>
      </w:r>
      <w:r w:rsidRPr="00FC031D">
        <w:rPr>
          <w:rFonts w:hint="eastAsia"/>
        </w:rPr>
        <w:t>页，第</w:t>
      </w:r>
      <w:r w:rsidRPr="00FC031D">
        <w:rPr>
          <w:w w:val="104"/>
        </w:rPr>
        <w:t>65-68</w:t>
      </w:r>
      <w:r w:rsidRPr="00FC031D">
        <w:rPr>
          <w:rFonts w:hint="eastAsia"/>
        </w:rPr>
        <w:t>段。</w:t>
      </w:r>
    </w:p>
  </w:footnote>
  <w:footnote w:id="827">
    <w:p w:rsidR="00AB00DE" w:rsidRPr="00FC031D" w:rsidRDefault="00AB00DE" w:rsidP="00560424">
      <w:pPr>
        <w:pStyle w:val="a4"/>
      </w:pPr>
      <w:r w:rsidRPr="00FC031D">
        <w:tab/>
      </w:r>
      <w:r w:rsidRPr="00DF5565">
        <w:rPr>
          <w:color w:val="0000FF"/>
          <w:sz w:val="21"/>
          <w:vertAlign w:val="superscript"/>
        </w:rPr>
        <w:footnoteRef/>
      </w:r>
      <w:r w:rsidRPr="00DF5565">
        <w:rPr>
          <w:color w:val="0000FF"/>
          <w:sz w:val="21"/>
          <w:vertAlign w:val="superscript"/>
        </w:rPr>
        <w:tab/>
      </w:r>
      <w:r w:rsidRPr="00FC031D">
        <w:rPr>
          <w:rFonts w:hint="eastAsia"/>
        </w:rPr>
        <w:t>世贸组织上诉机构报告</w:t>
      </w:r>
      <w:r w:rsidRPr="00FC031D">
        <w:rPr>
          <w:rFonts w:hint="eastAsia"/>
          <w:w w:val="104"/>
        </w:rPr>
        <w:t>，</w:t>
      </w:r>
      <w:r w:rsidRPr="007866F0">
        <w:rPr>
          <w:rFonts w:eastAsia="楷体"/>
        </w:rPr>
        <w:t>欧共体</w:t>
      </w:r>
      <w:r w:rsidRPr="00FC031D">
        <w:rPr>
          <w:rFonts w:hint="eastAsia"/>
        </w:rPr>
        <w:t>－</w:t>
      </w:r>
      <w:r w:rsidRPr="007866F0">
        <w:rPr>
          <w:rFonts w:eastAsia="楷体"/>
        </w:rPr>
        <w:t>鸡块案</w:t>
      </w:r>
      <w:r w:rsidRPr="007866F0">
        <w:rPr>
          <w:rFonts w:eastAsia="楷体"/>
        </w:rPr>
        <w:t>(</w:t>
      </w:r>
      <w:r w:rsidRPr="00FC031D">
        <w:rPr>
          <w:rFonts w:hint="eastAsia"/>
        </w:rPr>
        <w:t>见上文脚注</w:t>
      </w:r>
      <w:r>
        <w:fldChar w:fldCharType="begin"/>
      </w:r>
      <w:r>
        <w:instrText xml:space="preserve"> </w:instrText>
      </w:r>
      <w:r>
        <w:rPr>
          <w:rFonts w:hint="eastAsia"/>
        </w:rPr>
        <w:instrText>NOTEREF _Ref461976926 \h</w:instrText>
      </w:r>
      <w:r>
        <w:instrText xml:space="preserve"> </w:instrText>
      </w:r>
      <w:r>
        <w:fldChar w:fldCharType="separate"/>
      </w:r>
      <w:r w:rsidR="00A73EB9">
        <w:t>824</w:t>
      </w:r>
      <w:r>
        <w:fldChar w:fldCharType="end"/>
      </w:r>
      <w:r w:rsidRPr="007866F0">
        <w:rPr>
          <w:rFonts w:eastAsia="楷体"/>
        </w:rPr>
        <w:t>)</w:t>
      </w:r>
      <w:r w:rsidRPr="00FC031D">
        <w:rPr>
          <w:rFonts w:hint="eastAsia"/>
          <w:w w:val="104"/>
        </w:rPr>
        <w:t>，</w:t>
      </w:r>
      <w:r w:rsidRPr="00FC031D">
        <w:rPr>
          <w:rFonts w:hint="eastAsia"/>
        </w:rPr>
        <w:t>第</w:t>
      </w:r>
      <w:r w:rsidRPr="00FC031D">
        <w:rPr>
          <w:w w:val="104"/>
        </w:rPr>
        <w:t>272</w:t>
      </w:r>
      <w:r w:rsidRPr="00FC031D">
        <w:rPr>
          <w:rFonts w:hint="eastAsia"/>
        </w:rPr>
        <w:t>段</w:t>
      </w:r>
      <w:r w:rsidRPr="00FC031D">
        <w:t>(</w:t>
      </w:r>
      <w:r w:rsidRPr="00FC031D">
        <w:rPr>
          <w:rFonts w:hint="eastAsia"/>
        </w:rPr>
        <w:t>脚注略</w:t>
      </w:r>
      <w:r w:rsidRPr="00FC031D">
        <w:t>)</w:t>
      </w:r>
      <w:r w:rsidRPr="00FC031D">
        <w:rPr>
          <w:rFonts w:hint="eastAsia"/>
        </w:rPr>
        <w:t>。</w:t>
      </w:r>
    </w:p>
  </w:footnote>
  <w:footnote w:id="828">
    <w:p w:rsidR="00AB00DE" w:rsidRPr="00FC031D" w:rsidRDefault="00AB00DE" w:rsidP="00DF5565">
      <w:pPr>
        <w:pStyle w:val="a4"/>
      </w:pPr>
      <w:r w:rsidRPr="00FC031D">
        <w:tab/>
      </w:r>
      <w:r w:rsidRPr="00DF5565">
        <w:rPr>
          <w:color w:val="0000FF"/>
          <w:sz w:val="21"/>
          <w:vertAlign w:val="superscript"/>
        </w:rPr>
        <w:footnoteRef/>
      </w:r>
      <w:r w:rsidRPr="00DF5565">
        <w:rPr>
          <w:color w:val="0000FF"/>
          <w:sz w:val="21"/>
          <w:vertAlign w:val="superscript"/>
        </w:rPr>
        <w:tab/>
      </w:r>
      <w:r w:rsidRPr="007866F0">
        <w:rPr>
          <w:rFonts w:eastAsia="楷体" w:cs="楷体" w:hint="eastAsia"/>
          <w:lang w:val="zh-CN"/>
        </w:rPr>
        <w:t>“弗吉尼亚</w:t>
      </w:r>
      <w:r w:rsidRPr="007866F0">
        <w:rPr>
          <w:rFonts w:eastAsia="楷体" w:cs="楷体"/>
          <w:lang w:val="zh-CN"/>
        </w:rPr>
        <w:t>G</w:t>
      </w:r>
      <w:r w:rsidRPr="007866F0">
        <w:rPr>
          <w:rFonts w:eastAsia="楷体" w:cs="楷体" w:hint="eastAsia"/>
          <w:lang w:val="zh-CN"/>
        </w:rPr>
        <w:t>号”商船</w:t>
      </w:r>
      <w:r w:rsidRPr="007866F0">
        <w:rPr>
          <w:rFonts w:eastAsia="楷体"/>
        </w:rPr>
        <w:t>案</w:t>
      </w:r>
      <w:r w:rsidRPr="00FC031D">
        <w:t>(</w:t>
      </w:r>
      <w:r w:rsidRPr="007866F0">
        <w:rPr>
          <w:rFonts w:eastAsia="楷体"/>
        </w:rPr>
        <w:t>巴拿马</w:t>
      </w:r>
      <w:r w:rsidRPr="007866F0">
        <w:rPr>
          <w:rFonts w:eastAsia="楷体"/>
        </w:rPr>
        <w:t>/</w:t>
      </w:r>
      <w:r w:rsidRPr="007866F0">
        <w:rPr>
          <w:rFonts w:eastAsia="楷体"/>
        </w:rPr>
        <w:t>几内亚比绍</w:t>
      </w:r>
      <w:r w:rsidRPr="00FC031D">
        <w:t>)</w:t>
      </w:r>
      <w:r w:rsidRPr="00FC031D">
        <w:rPr>
          <w:rFonts w:hint="eastAsia"/>
        </w:rPr>
        <w:t>，判决，《</w:t>
      </w:r>
      <w:r w:rsidRPr="00FC031D">
        <w:t>2014</w:t>
      </w:r>
      <w:r w:rsidRPr="00FC031D">
        <w:rPr>
          <w:rFonts w:hint="eastAsia"/>
        </w:rPr>
        <w:t>年国际海洋法法庭案例汇编》，第</w:t>
      </w:r>
      <w:r w:rsidRPr="00FC031D">
        <w:t>218</w:t>
      </w:r>
      <w:r w:rsidRPr="00FC031D">
        <w:rPr>
          <w:rFonts w:hint="eastAsia"/>
        </w:rPr>
        <w:t>段。</w:t>
      </w:r>
    </w:p>
  </w:footnote>
  <w:footnote w:id="829">
    <w:p w:rsidR="00AB00DE" w:rsidRPr="00FC031D" w:rsidRDefault="00AB00DE" w:rsidP="00DF5565">
      <w:pPr>
        <w:pStyle w:val="a4"/>
      </w:pPr>
      <w:r w:rsidRPr="00FC031D">
        <w:tab/>
      </w:r>
      <w:r w:rsidRPr="00DF5565">
        <w:rPr>
          <w:rStyle w:val="a5"/>
        </w:rPr>
        <w:footnoteRef/>
      </w:r>
      <w:r w:rsidRPr="00FC031D">
        <w:tab/>
      </w:r>
      <w:r w:rsidRPr="00FC031D">
        <w:rPr>
          <w:rFonts w:hint="eastAsia"/>
        </w:rPr>
        <w:t>瑞士，联邦法院，</w:t>
      </w:r>
      <w:r w:rsidRPr="00FC031D">
        <w:rPr>
          <w:rFonts w:hint="eastAsia"/>
        </w:rPr>
        <w:t>1971</w:t>
      </w:r>
      <w:r w:rsidRPr="00FC031D">
        <w:rPr>
          <w:rFonts w:hint="eastAsia"/>
        </w:rPr>
        <w:t>年</w:t>
      </w:r>
      <w:r w:rsidRPr="00FC031D">
        <w:rPr>
          <w:rFonts w:hint="eastAsia"/>
        </w:rPr>
        <w:t>2</w:t>
      </w:r>
      <w:r w:rsidRPr="00FC031D">
        <w:rPr>
          <w:rFonts w:hint="eastAsia"/>
        </w:rPr>
        <w:t>月</w:t>
      </w:r>
      <w:r w:rsidRPr="00FC031D">
        <w:rPr>
          <w:rFonts w:hint="eastAsia"/>
        </w:rPr>
        <w:t>17</w:t>
      </w:r>
      <w:r w:rsidRPr="00FC031D">
        <w:rPr>
          <w:rFonts w:hint="eastAsia"/>
        </w:rPr>
        <w:t>日判决，</w:t>
      </w:r>
      <w:r w:rsidRPr="00FC031D">
        <w:rPr>
          <w:rFonts w:hint="eastAsia"/>
        </w:rPr>
        <w:t xml:space="preserve">BGE, </w:t>
      </w:r>
      <w:r w:rsidRPr="00FC031D">
        <w:rPr>
          <w:rFonts w:hint="eastAsia"/>
        </w:rPr>
        <w:t>第</w:t>
      </w:r>
      <w:r w:rsidRPr="00FC031D">
        <w:rPr>
          <w:rFonts w:hint="eastAsia"/>
        </w:rPr>
        <w:t>97 I</w:t>
      </w:r>
      <w:r w:rsidRPr="00FC031D">
        <w:rPr>
          <w:rFonts w:hint="eastAsia"/>
        </w:rPr>
        <w:t>卷，第</w:t>
      </w:r>
      <w:r w:rsidRPr="00FC031D">
        <w:rPr>
          <w:rFonts w:hint="eastAsia"/>
        </w:rPr>
        <w:t>359</w:t>
      </w:r>
      <w:r w:rsidRPr="00FC031D">
        <w:rPr>
          <w:rFonts w:hint="eastAsia"/>
        </w:rPr>
        <w:t>页，见第</w:t>
      </w:r>
      <w:r w:rsidRPr="00FC031D">
        <w:rPr>
          <w:rFonts w:hint="eastAsia"/>
        </w:rPr>
        <w:t>370-371</w:t>
      </w:r>
      <w:r w:rsidRPr="00FC031D">
        <w:rPr>
          <w:rFonts w:hint="eastAsia"/>
        </w:rPr>
        <w:t>页。</w:t>
      </w:r>
    </w:p>
  </w:footnote>
  <w:footnote w:id="830">
    <w:p w:rsidR="00AB00DE" w:rsidRPr="00FC031D" w:rsidRDefault="00AB00DE" w:rsidP="00DF5565">
      <w:pPr>
        <w:pStyle w:val="a4"/>
      </w:pPr>
      <w:r w:rsidRPr="00FC031D">
        <w:tab/>
      </w:r>
      <w:r w:rsidRPr="00DF5565">
        <w:rPr>
          <w:rStyle w:val="a5"/>
        </w:rPr>
        <w:footnoteRef/>
      </w:r>
      <w:r w:rsidRPr="00FC031D">
        <w:tab/>
      </w:r>
      <w:r w:rsidRPr="00FC031D">
        <w:rPr>
          <w:rFonts w:hint="eastAsia"/>
        </w:rPr>
        <w:t>见美国，最高法院，</w:t>
      </w:r>
      <w:r w:rsidRPr="00FC031D">
        <w:rPr>
          <w:rFonts w:hint="eastAsia"/>
          <w:i/>
        </w:rPr>
        <w:t>O'Connor</w:t>
      </w:r>
      <w:r w:rsidRPr="00FC031D">
        <w:rPr>
          <w:rFonts w:eastAsia="楷体" w:hint="eastAsia"/>
          <w:iCs/>
        </w:rPr>
        <w:t>和</w:t>
      </w:r>
      <w:r w:rsidRPr="00FC031D">
        <w:rPr>
          <w:rFonts w:hint="eastAsia"/>
          <w:i/>
        </w:rPr>
        <w:t>ux</w:t>
      </w:r>
      <w:r w:rsidRPr="007866F0">
        <w:rPr>
          <w:rFonts w:ascii="楷体_GB2312" w:eastAsia="楷体" w:hAnsi="楷体_GB2312" w:hint="eastAsia"/>
        </w:rPr>
        <w:t>诉美国案</w:t>
      </w:r>
      <w:r w:rsidRPr="00FC031D">
        <w:rPr>
          <w:rFonts w:hint="eastAsia"/>
        </w:rPr>
        <w:t>，</w:t>
      </w:r>
      <w:r w:rsidRPr="00FC031D">
        <w:rPr>
          <w:rFonts w:hint="eastAsia"/>
        </w:rPr>
        <w:t xml:space="preserve">479 U.S. 27, </w:t>
      </w:r>
      <w:r w:rsidRPr="00FC031D">
        <w:rPr>
          <w:rFonts w:hint="eastAsia"/>
        </w:rPr>
        <w:t>见第</w:t>
      </w:r>
      <w:r w:rsidRPr="00FC031D">
        <w:rPr>
          <w:rFonts w:hint="eastAsia"/>
        </w:rPr>
        <w:t>33-35</w:t>
      </w:r>
      <w:r w:rsidRPr="00FC031D">
        <w:rPr>
          <w:rFonts w:hint="eastAsia"/>
        </w:rPr>
        <w:t>页；德国，联邦宪法法院，</w:t>
      </w:r>
      <w:r w:rsidRPr="00FC031D">
        <w:rPr>
          <w:rFonts w:hint="eastAsia"/>
        </w:rPr>
        <w:t xml:space="preserve">BVerfGE, </w:t>
      </w:r>
      <w:r w:rsidRPr="00FC031D">
        <w:rPr>
          <w:rFonts w:hint="eastAsia"/>
        </w:rPr>
        <w:t>第</w:t>
      </w:r>
      <w:r w:rsidRPr="00FC031D">
        <w:rPr>
          <w:rFonts w:hint="eastAsia"/>
        </w:rPr>
        <w:t>59</w:t>
      </w:r>
      <w:r w:rsidRPr="00FC031D">
        <w:rPr>
          <w:rFonts w:hint="eastAsia"/>
        </w:rPr>
        <w:t>卷，第</w:t>
      </w:r>
      <w:r w:rsidRPr="00FC031D">
        <w:rPr>
          <w:rFonts w:hint="eastAsia"/>
        </w:rPr>
        <w:t>63</w:t>
      </w:r>
      <w:r w:rsidRPr="00FC031D">
        <w:rPr>
          <w:rFonts w:hint="eastAsia"/>
        </w:rPr>
        <w:t>页起，见第</w:t>
      </w:r>
      <w:r w:rsidRPr="00FC031D">
        <w:rPr>
          <w:rFonts w:hint="eastAsia"/>
        </w:rPr>
        <w:t>94-95</w:t>
      </w:r>
      <w:r w:rsidRPr="00FC031D">
        <w:rPr>
          <w:rFonts w:hint="eastAsia"/>
        </w:rPr>
        <w:t>页。</w:t>
      </w:r>
    </w:p>
  </w:footnote>
  <w:footnote w:id="831">
    <w:p w:rsidR="00AB00DE" w:rsidRPr="00FC031D" w:rsidRDefault="00AB00DE" w:rsidP="00DF5565">
      <w:pPr>
        <w:pStyle w:val="a4"/>
      </w:pPr>
      <w:r w:rsidRPr="00FC031D">
        <w:tab/>
      </w:r>
      <w:r w:rsidRPr="00DF5565">
        <w:rPr>
          <w:rStyle w:val="a5"/>
        </w:rPr>
        <w:footnoteRef/>
      </w:r>
      <w:r w:rsidRPr="00FC031D">
        <w:tab/>
      </w:r>
      <w:r w:rsidRPr="00FC031D">
        <w:rPr>
          <w:rFonts w:hint="eastAsia"/>
        </w:rPr>
        <w:t>见</w:t>
      </w:r>
      <w:r w:rsidRPr="007866F0">
        <w:rPr>
          <w:rFonts w:eastAsia="楷体" w:cs="楷体" w:hint="eastAsia"/>
          <w:lang w:val="zh-CN"/>
        </w:rPr>
        <w:t>联合王国</w:t>
      </w:r>
      <w:r w:rsidRPr="00FC031D">
        <w:rPr>
          <w:rFonts w:hint="eastAsia"/>
        </w:rPr>
        <w:t>，最高法院，</w:t>
      </w:r>
      <w:r w:rsidRPr="00FC031D">
        <w:rPr>
          <w:rFonts w:ascii="楷体_GB2312" w:hAnsi="楷体_GB2312" w:hint="eastAsia"/>
        </w:rPr>
        <w:t>一方面是</w:t>
      </w:r>
      <w:r w:rsidRPr="00FC031D">
        <w:rPr>
          <w:i/>
        </w:rPr>
        <w:t>Assange</w:t>
      </w:r>
      <w:r w:rsidRPr="007866F0">
        <w:rPr>
          <w:rFonts w:ascii="楷体_GB2312" w:eastAsia="楷体" w:hAnsi="楷体_GB2312" w:hint="eastAsia"/>
        </w:rPr>
        <w:t>诉瑞典检察机关案</w:t>
      </w:r>
      <w:r w:rsidRPr="00FC031D">
        <w:rPr>
          <w:rFonts w:hint="eastAsia"/>
        </w:rPr>
        <w:t xml:space="preserve">[2012] UKSC 22, </w:t>
      </w:r>
      <w:r w:rsidRPr="00FC031D">
        <w:rPr>
          <w:rFonts w:hint="eastAsia"/>
        </w:rPr>
        <w:t>第</w:t>
      </w:r>
      <w:r w:rsidRPr="00FC031D">
        <w:rPr>
          <w:rFonts w:hint="eastAsia"/>
        </w:rPr>
        <w:t>68-71</w:t>
      </w:r>
      <w:r w:rsidRPr="00FC031D">
        <w:rPr>
          <w:rFonts w:hint="eastAsia"/>
        </w:rPr>
        <w:t>段</w:t>
      </w:r>
      <w:r w:rsidRPr="00FC031D">
        <w:rPr>
          <w:rFonts w:hint="eastAsia"/>
        </w:rPr>
        <w:t>(Phillips</w:t>
      </w:r>
      <w:r w:rsidRPr="00FC031D">
        <w:rPr>
          <w:rFonts w:hint="eastAsia"/>
        </w:rPr>
        <w:t>勋爵</w:t>
      </w:r>
      <w:r w:rsidRPr="00FC031D">
        <w:rPr>
          <w:rFonts w:hint="eastAsia"/>
        </w:rPr>
        <w:t>)</w:t>
      </w:r>
      <w:r w:rsidRPr="00FC031D">
        <w:rPr>
          <w:rFonts w:hint="eastAsia"/>
        </w:rPr>
        <w:t>；另一方面是</w:t>
      </w:r>
      <w:r w:rsidRPr="00FC031D">
        <w:rPr>
          <w:rFonts w:hint="eastAsia"/>
          <w:i/>
        </w:rPr>
        <w:t>Bucnys</w:t>
      </w:r>
      <w:r w:rsidRPr="007866F0">
        <w:rPr>
          <w:rFonts w:ascii="楷体_GB2312" w:eastAsia="楷体" w:hAnsi="楷体_GB2312" w:hint="eastAsia"/>
        </w:rPr>
        <w:t>诉司法部案</w:t>
      </w:r>
      <w:r w:rsidRPr="00FC031D">
        <w:rPr>
          <w:rFonts w:hint="eastAsia"/>
        </w:rPr>
        <w:t>，</w:t>
      </w:r>
      <w:r w:rsidRPr="007866F0">
        <w:rPr>
          <w:rFonts w:ascii="楷体_GB2312" w:eastAsia="楷体" w:hAnsi="楷体_GB2312" w:hint="eastAsia"/>
        </w:rPr>
        <w:t>立陶宛</w:t>
      </w:r>
      <w:r w:rsidRPr="00FC031D">
        <w:rPr>
          <w:rFonts w:hint="eastAsia"/>
        </w:rPr>
        <w:t xml:space="preserve">[2013] UKSC 71, </w:t>
      </w:r>
      <w:r w:rsidRPr="00FC031D">
        <w:rPr>
          <w:rFonts w:hint="eastAsia"/>
        </w:rPr>
        <w:t>第</w:t>
      </w:r>
      <w:r w:rsidRPr="00FC031D">
        <w:rPr>
          <w:rFonts w:hint="eastAsia"/>
        </w:rPr>
        <w:t>39-43</w:t>
      </w:r>
      <w:r w:rsidRPr="00FC031D">
        <w:rPr>
          <w:rFonts w:hint="eastAsia"/>
        </w:rPr>
        <w:t>段</w:t>
      </w:r>
      <w:r w:rsidRPr="00FC031D">
        <w:rPr>
          <w:rFonts w:hint="eastAsia"/>
        </w:rPr>
        <w:t>(Mance</w:t>
      </w:r>
      <w:r w:rsidRPr="00FC031D">
        <w:rPr>
          <w:rFonts w:hint="eastAsia"/>
        </w:rPr>
        <w:t>勋爵</w:t>
      </w:r>
      <w:r w:rsidRPr="00FC031D">
        <w:rPr>
          <w:rFonts w:hint="eastAsia"/>
        </w:rPr>
        <w:t>)</w:t>
      </w:r>
      <w:r w:rsidRPr="00FC031D">
        <w:rPr>
          <w:rFonts w:hint="eastAsia"/>
        </w:rPr>
        <w:t>。</w:t>
      </w:r>
    </w:p>
  </w:footnote>
  <w:footnote w:id="832">
    <w:p w:rsidR="00AB00DE" w:rsidRPr="00FC031D" w:rsidRDefault="00AB00DE" w:rsidP="00DF5565">
      <w:pPr>
        <w:pStyle w:val="a4"/>
      </w:pPr>
      <w:r w:rsidRPr="00FC031D">
        <w:tab/>
      </w:r>
      <w:r w:rsidRPr="00DF5565">
        <w:rPr>
          <w:color w:val="0000FF"/>
          <w:sz w:val="21"/>
          <w:vertAlign w:val="superscript"/>
        </w:rPr>
        <w:footnoteRef/>
      </w:r>
      <w:r w:rsidRPr="00DF5565">
        <w:rPr>
          <w:color w:val="0000FF"/>
          <w:sz w:val="21"/>
          <w:vertAlign w:val="superscript"/>
        </w:rPr>
        <w:tab/>
      </w:r>
      <w:r w:rsidRPr="007866F0">
        <w:rPr>
          <w:rFonts w:eastAsia="楷体"/>
        </w:rPr>
        <w:t>联合国的特定费用</w:t>
      </w:r>
      <w:r w:rsidRPr="007866F0">
        <w:rPr>
          <w:rFonts w:eastAsia="楷体" w:hint="eastAsia"/>
        </w:rPr>
        <w:t>案</w:t>
      </w:r>
      <w:r w:rsidRPr="007866F0">
        <w:rPr>
          <w:rFonts w:eastAsia="楷体"/>
        </w:rPr>
        <w:t>(</w:t>
      </w:r>
      <w:r w:rsidRPr="007866F0">
        <w:rPr>
          <w:rFonts w:eastAsia="楷体"/>
        </w:rPr>
        <w:t>《宪章》第十七条第二项</w:t>
      </w:r>
      <w:r w:rsidRPr="007866F0">
        <w:rPr>
          <w:rFonts w:eastAsia="楷体"/>
        </w:rPr>
        <w:t>)</w:t>
      </w:r>
      <w:r w:rsidRPr="007866F0">
        <w:rPr>
          <w:rFonts w:eastAsia="楷体"/>
        </w:rPr>
        <w:t>，</w:t>
      </w:r>
      <w:r w:rsidRPr="007866F0">
        <w:rPr>
          <w:rFonts w:eastAsia="楷体"/>
          <w:w w:val="104"/>
        </w:rPr>
        <w:t>1962</w:t>
      </w:r>
      <w:r w:rsidRPr="007866F0">
        <w:rPr>
          <w:rFonts w:eastAsia="楷体"/>
        </w:rPr>
        <w:t>年</w:t>
      </w:r>
      <w:r w:rsidRPr="007866F0">
        <w:rPr>
          <w:rFonts w:eastAsia="楷体"/>
        </w:rPr>
        <w:t>7</w:t>
      </w:r>
      <w:r w:rsidRPr="007866F0">
        <w:rPr>
          <w:rFonts w:eastAsia="楷体"/>
        </w:rPr>
        <w:t>月</w:t>
      </w:r>
      <w:r w:rsidRPr="007866F0">
        <w:rPr>
          <w:rFonts w:eastAsia="楷体"/>
          <w:w w:val="104"/>
        </w:rPr>
        <w:t>20</w:t>
      </w:r>
      <w:r w:rsidRPr="007866F0">
        <w:rPr>
          <w:rFonts w:eastAsia="楷体"/>
        </w:rPr>
        <w:t>日的咨询意见</w:t>
      </w:r>
      <w:r w:rsidRPr="007866F0">
        <w:rPr>
          <w:rFonts w:eastAsia="楷体"/>
          <w:w w:val="104"/>
        </w:rPr>
        <w:t>，</w:t>
      </w:r>
      <w:r w:rsidRPr="007866F0">
        <w:rPr>
          <w:rFonts w:eastAsia="楷体" w:hint="eastAsia"/>
          <w:w w:val="104"/>
        </w:rPr>
        <w:t>《</w:t>
      </w:r>
      <w:r w:rsidRPr="007866F0">
        <w:rPr>
          <w:rFonts w:eastAsia="楷体"/>
          <w:w w:val="104"/>
        </w:rPr>
        <w:t>1962</w:t>
      </w:r>
      <w:r w:rsidRPr="007866F0">
        <w:rPr>
          <w:rFonts w:eastAsia="楷体"/>
        </w:rPr>
        <w:t>年国际法院案例汇编</w:t>
      </w:r>
      <w:r w:rsidRPr="007866F0">
        <w:rPr>
          <w:rFonts w:eastAsia="楷体" w:hint="eastAsia"/>
          <w:w w:val="104"/>
        </w:rPr>
        <w:t>》</w:t>
      </w:r>
      <w:r w:rsidRPr="007866F0">
        <w:rPr>
          <w:rFonts w:eastAsia="楷体"/>
        </w:rPr>
        <w:t>，</w:t>
      </w:r>
      <w:r w:rsidRPr="00FC031D">
        <w:rPr>
          <w:rFonts w:hint="eastAsia"/>
        </w:rPr>
        <w:t>第</w:t>
      </w:r>
      <w:r w:rsidRPr="00FC031D">
        <w:rPr>
          <w:rFonts w:hint="eastAsia"/>
          <w:w w:val="104"/>
        </w:rPr>
        <w:t>151</w:t>
      </w:r>
      <w:r w:rsidRPr="00FC031D">
        <w:rPr>
          <w:rFonts w:hint="eastAsia"/>
        </w:rPr>
        <w:t>页起，见第</w:t>
      </w:r>
      <w:r w:rsidRPr="00FC031D">
        <w:rPr>
          <w:w w:val="104"/>
        </w:rPr>
        <w:t>1</w:t>
      </w:r>
      <w:r w:rsidRPr="00FC031D">
        <w:rPr>
          <w:rFonts w:hint="eastAsia"/>
          <w:w w:val="104"/>
        </w:rPr>
        <w:t>82</w:t>
      </w:r>
      <w:r w:rsidRPr="00FC031D">
        <w:rPr>
          <w:rFonts w:hint="eastAsia"/>
        </w:rPr>
        <w:t>页</w:t>
      </w:r>
      <w:r w:rsidRPr="00FC031D">
        <w:t>(</w:t>
      </w:r>
      <w:r w:rsidRPr="00FC031D">
        <w:rPr>
          <w:w w:val="104"/>
        </w:rPr>
        <w:t>Spender</w:t>
      </w:r>
      <w:r w:rsidRPr="00FC031D">
        <w:rPr>
          <w:rFonts w:hint="eastAsia"/>
        </w:rPr>
        <w:t>法官的不同意见</w:t>
      </w:r>
      <w:r w:rsidRPr="00FC031D">
        <w:t>)</w:t>
      </w:r>
      <w:r w:rsidRPr="00FC031D">
        <w:rPr>
          <w:rFonts w:hint="eastAsia"/>
        </w:rPr>
        <w:t>。</w:t>
      </w:r>
    </w:p>
  </w:footnote>
  <w:footnote w:id="833">
    <w:p w:rsidR="00AB00DE" w:rsidRPr="00FC031D" w:rsidRDefault="00AB00DE" w:rsidP="00560424">
      <w:pPr>
        <w:pStyle w:val="a4"/>
      </w:pPr>
      <w:r w:rsidRPr="00FC031D">
        <w:tab/>
      </w:r>
      <w:r w:rsidRPr="00DF5565">
        <w:rPr>
          <w:color w:val="0000FF"/>
          <w:sz w:val="21"/>
          <w:vertAlign w:val="superscript"/>
        </w:rPr>
        <w:footnoteRef/>
      </w:r>
      <w:r w:rsidRPr="00DF5565">
        <w:rPr>
          <w:color w:val="0000FF"/>
          <w:sz w:val="21"/>
          <w:vertAlign w:val="superscript"/>
        </w:rPr>
        <w:tab/>
      </w:r>
      <w:r w:rsidRPr="00FC031D">
        <w:rPr>
          <w:w w:val="104"/>
        </w:rPr>
        <w:t>Hafner,</w:t>
      </w:r>
      <w:r w:rsidRPr="00FC031D">
        <w:rPr>
          <w:rFonts w:hint="eastAsia"/>
          <w:w w:val="104"/>
        </w:rPr>
        <w:t>“</w:t>
      </w:r>
      <w:r w:rsidRPr="00FC031D">
        <w:rPr>
          <w:rFonts w:hint="eastAsia"/>
        </w:rPr>
        <w:t>嗣后协定和惯例……”</w:t>
      </w:r>
      <w:r w:rsidRPr="00FC031D">
        <w:t>(</w:t>
      </w:r>
      <w:r>
        <w:rPr>
          <w:rFonts w:hint="eastAsia"/>
        </w:rPr>
        <w:t>见</w:t>
      </w:r>
      <w:r w:rsidRPr="00FC031D">
        <w:rPr>
          <w:rFonts w:hint="eastAsia"/>
        </w:rPr>
        <w:t>上文脚注</w:t>
      </w:r>
      <w:r>
        <w:fldChar w:fldCharType="begin"/>
      </w:r>
      <w:r>
        <w:instrText xml:space="preserve"> </w:instrText>
      </w:r>
      <w:r>
        <w:rPr>
          <w:rFonts w:hint="eastAsia"/>
        </w:rPr>
        <w:instrText>NOTEREF _Ref461976124 \h</w:instrText>
      </w:r>
      <w:r>
        <w:instrText xml:space="preserve"> </w:instrText>
      </w:r>
      <w:r>
        <w:fldChar w:fldCharType="separate"/>
      </w:r>
      <w:r w:rsidR="00A73EB9">
        <w:t>655</w:t>
      </w:r>
      <w:r>
        <w:fldChar w:fldCharType="end"/>
      </w:r>
      <w:r w:rsidRPr="00FC031D">
        <w:t>)</w:t>
      </w:r>
      <w:r w:rsidRPr="00FC031D">
        <w:rPr>
          <w:rFonts w:hint="eastAsia"/>
        </w:rPr>
        <w:t>，</w:t>
      </w:r>
      <w:r w:rsidRPr="00FC031D">
        <w:rPr>
          <w:rFonts w:hint="eastAsia"/>
          <w:w w:val="104"/>
        </w:rPr>
        <w:t>第</w:t>
      </w:r>
      <w:r w:rsidRPr="00FC031D">
        <w:rPr>
          <w:w w:val="104"/>
        </w:rPr>
        <w:t>118</w:t>
      </w:r>
      <w:r w:rsidRPr="00FC031D">
        <w:rPr>
          <w:rFonts w:hint="eastAsia"/>
        </w:rPr>
        <w:t>页</w:t>
      </w:r>
      <w:r w:rsidRPr="00FC031D">
        <w:rPr>
          <w:rFonts w:hint="eastAsia"/>
          <w:w w:val="104"/>
        </w:rPr>
        <w:t>；</w:t>
      </w:r>
      <w:r w:rsidRPr="00FC031D">
        <w:rPr>
          <w:rFonts w:hint="eastAsia"/>
        </w:rPr>
        <w:t>这意味着第三十一条第三款所述协定的解释性效力并不一定追溯到条约生效之日，如</w:t>
      </w:r>
      <w:r w:rsidRPr="00FC031D">
        <w:rPr>
          <w:w w:val="104"/>
        </w:rPr>
        <w:t>Yasseen,</w:t>
      </w:r>
      <w:r w:rsidRPr="00FC031D">
        <w:rPr>
          <w:rFonts w:hint="eastAsia"/>
          <w:w w:val="104"/>
        </w:rPr>
        <w:t>“</w:t>
      </w:r>
      <w:r w:rsidRPr="00FC031D">
        <w:rPr>
          <w:rFonts w:hint="eastAsia"/>
        </w:rPr>
        <w:t>……对条约进行解释”</w:t>
      </w:r>
      <w:r w:rsidRPr="00FC031D">
        <w:t>(</w:t>
      </w:r>
      <w:r w:rsidRPr="00FC031D">
        <w:rPr>
          <w:rFonts w:hint="eastAsia"/>
        </w:rPr>
        <w:t>见上文脚注</w:t>
      </w:r>
      <w:r>
        <w:fldChar w:fldCharType="begin"/>
      </w:r>
      <w:r>
        <w:instrText xml:space="preserve"> NOTEREF _Ref461972846 \h </w:instrText>
      </w:r>
      <w:r>
        <w:fldChar w:fldCharType="separate"/>
      </w:r>
      <w:r w:rsidR="00A73EB9">
        <w:t>393</w:t>
      </w:r>
      <w:r>
        <w:fldChar w:fldCharType="end"/>
      </w:r>
      <w:r w:rsidRPr="00FC031D">
        <w:t>)</w:t>
      </w:r>
      <w:r w:rsidRPr="00FC031D">
        <w:rPr>
          <w:rFonts w:hint="eastAsia"/>
        </w:rPr>
        <w:t>，</w:t>
      </w:r>
      <w:r w:rsidRPr="00FC031D">
        <w:rPr>
          <w:rFonts w:hint="eastAsia"/>
          <w:w w:val="104"/>
        </w:rPr>
        <w:t>第</w:t>
      </w:r>
      <w:r w:rsidRPr="00FC031D">
        <w:t>47</w:t>
      </w:r>
      <w:r w:rsidRPr="00FC031D">
        <w:rPr>
          <w:rFonts w:hint="eastAsia"/>
        </w:rPr>
        <w:t>页所主张的那样。</w:t>
      </w:r>
    </w:p>
  </w:footnote>
  <w:footnote w:id="834">
    <w:p w:rsidR="00AB00DE" w:rsidRPr="00FC031D" w:rsidRDefault="00AB00DE" w:rsidP="00560424">
      <w:pPr>
        <w:pStyle w:val="a4"/>
      </w:pPr>
      <w:r w:rsidRPr="00FC031D">
        <w:tab/>
      </w:r>
      <w:r w:rsidRPr="00DF5565">
        <w:rPr>
          <w:color w:val="0000FF"/>
          <w:sz w:val="21"/>
          <w:vertAlign w:val="superscript"/>
        </w:rPr>
        <w:footnoteRef/>
      </w:r>
      <w:r w:rsidRPr="00DF5565">
        <w:rPr>
          <w:color w:val="0000FF"/>
          <w:sz w:val="21"/>
          <w:vertAlign w:val="superscript"/>
        </w:rPr>
        <w:tab/>
      </w:r>
      <w:r w:rsidRPr="00FC031D">
        <w:rPr>
          <w:w w:val="104"/>
        </w:rPr>
        <w:t xml:space="preserve">Karl, </w:t>
      </w:r>
      <w:r w:rsidRPr="00FC031D">
        <w:rPr>
          <w:i/>
          <w:iCs/>
        </w:rPr>
        <w:t>Vertrag und spätere Praxis…</w:t>
      </w:r>
      <w:r w:rsidRPr="00FC031D">
        <w:t>(</w:t>
      </w:r>
      <w:r w:rsidRPr="00FC031D">
        <w:t>见上文脚注</w:t>
      </w:r>
      <w:r>
        <w:fldChar w:fldCharType="begin"/>
      </w:r>
      <w:r>
        <w:instrText xml:space="preserve"> NOTEREF _Ref364163375 \h </w:instrText>
      </w:r>
      <w:r>
        <w:fldChar w:fldCharType="separate"/>
      </w:r>
      <w:r w:rsidR="00A73EB9">
        <w:t>454</w:t>
      </w:r>
      <w:r>
        <w:fldChar w:fldCharType="end"/>
      </w:r>
      <w:r w:rsidRPr="00FC031D">
        <w:t>)</w:t>
      </w:r>
      <w:r w:rsidRPr="00FC031D">
        <w:t>，</w:t>
      </w:r>
      <w:r w:rsidRPr="00FC031D">
        <w:rPr>
          <w:rFonts w:hint="eastAsia"/>
          <w:w w:val="104"/>
        </w:rPr>
        <w:t>第</w:t>
      </w:r>
      <w:r w:rsidRPr="00FC031D">
        <w:rPr>
          <w:w w:val="104"/>
        </w:rPr>
        <w:t>151</w:t>
      </w:r>
      <w:r w:rsidRPr="00FC031D">
        <w:rPr>
          <w:rFonts w:hint="eastAsia"/>
        </w:rPr>
        <w:t>页。</w:t>
      </w:r>
    </w:p>
  </w:footnote>
  <w:footnote w:id="835">
    <w:p w:rsidR="00AB00DE" w:rsidRPr="00FC031D" w:rsidRDefault="00AB00DE" w:rsidP="00DF5565">
      <w:pPr>
        <w:pStyle w:val="a4"/>
      </w:pPr>
      <w:r w:rsidRPr="00FC031D">
        <w:tab/>
      </w:r>
      <w:r w:rsidRPr="00DF5565">
        <w:rPr>
          <w:color w:val="0000FF"/>
          <w:sz w:val="21"/>
          <w:vertAlign w:val="superscript"/>
        </w:rPr>
        <w:footnoteRef/>
      </w:r>
      <w:r w:rsidRPr="00DF5565">
        <w:rPr>
          <w:color w:val="0000FF"/>
          <w:sz w:val="21"/>
          <w:vertAlign w:val="superscript"/>
        </w:rPr>
        <w:tab/>
      </w:r>
      <w:r w:rsidRPr="007866F0">
        <w:rPr>
          <w:rFonts w:eastAsia="楷体"/>
        </w:rPr>
        <w:t>海洋争端</w:t>
      </w:r>
      <w:r w:rsidRPr="007866F0">
        <w:rPr>
          <w:rFonts w:eastAsia="楷体" w:hint="eastAsia"/>
        </w:rPr>
        <w:t>案</w:t>
      </w:r>
      <w:r w:rsidRPr="007866F0">
        <w:rPr>
          <w:rFonts w:eastAsia="楷体"/>
        </w:rPr>
        <w:t>(</w:t>
      </w:r>
      <w:r w:rsidRPr="007866F0">
        <w:rPr>
          <w:rFonts w:eastAsia="楷体"/>
        </w:rPr>
        <w:t>秘鲁诉智利</w:t>
      </w:r>
      <w:r w:rsidRPr="007866F0">
        <w:rPr>
          <w:rFonts w:eastAsia="楷体"/>
        </w:rPr>
        <w:t>)</w:t>
      </w:r>
      <w:r w:rsidRPr="007866F0">
        <w:rPr>
          <w:rFonts w:eastAsia="楷体"/>
          <w:w w:val="104"/>
        </w:rPr>
        <w:t>，</w:t>
      </w:r>
      <w:r w:rsidRPr="00FC031D">
        <w:rPr>
          <w:rFonts w:hint="eastAsia"/>
          <w:w w:val="104"/>
        </w:rPr>
        <w:t>判决，《</w:t>
      </w:r>
      <w:r w:rsidRPr="00FC031D">
        <w:rPr>
          <w:w w:val="104"/>
        </w:rPr>
        <w:t>2014</w:t>
      </w:r>
      <w:r w:rsidRPr="00FC031D">
        <w:rPr>
          <w:w w:val="104"/>
        </w:rPr>
        <w:t>年国际法院</w:t>
      </w:r>
      <w:r w:rsidRPr="00FC031D">
        <w:rPr>
          <w:rFonts w:hint="eastAsia"/>
          <w:w w:val="104"/>
        </w:rPr>
        <w:t>案例汇编》</w:t>
      </w:r>
      <w:r w:rsidRPr="00FC031D">
        <w:rPr>
          <w:w w:val="104"/>
        </w:rPr>
        <w:t>，</w:t>
      </w:r>
      <w:r w:rsidRPr="00FC031D">
        <w:rPr>
          <w:rFonts w:hint="eastAsia"/>
          <w:w w:val="104"/>
        </w:rPr>
        <w:t>第</w:t>
      </w:r>
      <w:r w:rsidRPr="00FC031D">
        <w:rPr>
          <w:rFonts w:hint="eastAsia"/>
          <w:w w:val="104"/>
        </w:rPr>
        <w:t>3</w:t>
      </w:r>
      <w:r w:rsidRPr="00FC031D">
        <w:rPr>
          <w:rFonts w:hint="eastAsia"/>
          <w:w w:val="104"/>
        </w:rPr>
        <w:t>页起，见</w:t>
      </w:r>
      <w:r w:rsidRPr="00FC031D">
        <w:rPr>
          <w:rFonts w:hint="eastAsia"/>
        </w:rPr>
        <w:t>第</w:t>
      </w:r>
      <w:r w:rsidRPr="00FC031D">
        <w:t>5</w:t>
      </w:r>
      <w:r w:rsidRPr="00FC031D">
        <w:rPr>
          <w:rFonts w:hint="eastAsia"/>
        </w:rPr>
        <w:t>2</w:t>
      </w:r>
      <w:r w:rsidRPr="00FC031D">
        <w:rPr>
          <w:rFonts w:hint="eastAsia"/>
        </w:rPr>
        <w:t>页，第</w:t>
      </w:r>
      <w:r w:rsidRPr="00FC031D">
        <w:rPr>
          <w:w w:val="104"/>
        </w:rPr>
        <w:t>142</w:t>
      </w:r>
      <w:r w:rsidRPr="00FC031D">
        <w:rPr>
          <w:rFonts w:hint="eastAsia"/>
        </w:rPr>
        <w:t>段。</w:t>
      </w:r>
    </w:p>
  </w:footnote>
  <w:footnote w:id="836">
    <w:p w:rsidR="00AB00DE" w:rsidRPr="00FC031D" w:rsidRDefault="00AB00DE" w:rsidP="00DF5565">
      <w:pPr>
        <w:pStyle w:val="a4"/>
      </w:pPr>
      <w:r w:rsidRPr="00FC031D">
        <w:tab/>
      </w:r>
      <w:r w:rsidRPr="00DF5565">
        <w:rPr>
          <w:color w:val="0000FF"/>
          <w:sz w:val="21"/>
          <w:vertAlign w:val="superscript"/>
        </w:rPr>
        <w:footnoteRef/>
      </w:r>
      <w:r w:rsidRPr="00DF5565">
        <w:rPr>
          <w:color w:val="0000FF"/>
          <w:sz w:val="21"/>
          <w:vertAlign w:val="superscript"/>
        </w:rPr>
        <w:tab/>
      </w:r>
      <w:r w:rsidRPr="00FC031D">
        <w:rPr>
          <w:rFonts w:hint="eastAsia"/>
        </w:rPr>
        <w:t>其他说法包括：缔约方会议或缔约国大会。</w:t>
      </w:r>
    </w:p>
  </w:footnote>
  <w:footnote w:id="837">
    <w:p w:rsidR="00AB00DE" w:rsidRPr="00FC031D" w:rsidRDefault="00AB00DE" w:rsidP="00DF5565">
      <w:pPr>
        <w:pStyle w:val="a4"/>
      </w:pPr>
      <w:r w:rsidRPr="00FC031D">
        <w:tab/>
      </w:r>
      <w:r w:rsidRPr="00DF5565">
        <w:rPr>
          <w:color w:val="0000FF"/>
          <w:sz w:val="21"/>
          <w:vertAlign w:val="superscript"/>
        </w:rPr>
        <w:footnoteRef/>
      </w:r>
      <w:r w:rsidRPr="00DF5565">
        <w:rPr>
          <w:color w:val="0000FF"/>
          <w:sz w:val="21"/>
          <w:vertAlign w:val="superscript"/>
        </w:rPr>
        <w:tab/>
      </w:r>
      <w:r w:rsidRPr="00FC031D">
        <w:rPr>
          <w:rFonts w:hint="eastAsia"/>
        </w:rPr>
        <w:t>见</w:t>
      </w:r>
      <w:r w:rsidRPr="00FC031D">
        <w:rPr>
          <w:w w:val="104"/>
        </w:rPr>
        <w:t>V. Röben,</w:t>
      </w:r>
      <w:r w:rsidRPr="00FC031D">
        <w:rPr>
          <w:rFonts w:hint="eastAsia"/>
          <w:w w:val="104"/>
        </w:rPr>
        <w:t>“</w:t>
      </w:r>
      <w:r w:rsidRPr="00FC031D">
        <w:rPr>
          <w:rFonts w:hint="eastAsia"/>
        </w:rPr>
        <w:t>缔约国大会</w:t>
      </w:r>
      <w:r w:rsidRPr="00FC031D">
        <w:t>(</w:t>
      </w:r>
      <w:r w:rsidRPr="00FC031D">
        <w:rPr>
          <w:rFonts w:hint="eastAsia"/>
        </w:rPr>
        <w:t>会议</w:t>
      </w:r>
      <w:r w:rsidRPr="00FC031D">
        <w:t>)</w:t>
      </w:r>
      <w:r w:rsidRPr="00FC031D">
        <w:rPr>
          <w:rFonts w:hint="eastAsia"/>
        </w:rPr>
        <w:t>”，载于《马克斯·普朗克国际公法百科全书</w:t>
      </w:r>
      <w:r w:rsidRPr="00FC031D">
        <w:t>》</w:t>
      </w:r>
      <w:r w:rsidRPr="00FC031D">
        <w:t>(www</w:t>
      </w:r>
      <w:r>
        <w:t>.</w:t>
      </w:r>
      <w:r w:rsidRPr="00FC031D">
        <w:t>mpepil.com</w:t>
      </w:r>
      <w:r w:rsidRPr="00FC031D">
        <w:rPr>
          <w:rFonts w:hint="eastAsia"/>
        </w:rPr>
        <w:t>)</w:t>
      </w:r>
      <w:r w:rsidRPr="007866F0">
        <w:rPr>
          <w:rFonts w:eastAsia="楷体"/>
        </w:rPr>
        <w:t>，</w:t>
      </w:r>
      <w:r w:rsidRPr="00FC031D">
        <w:rPr>
          <w:rFonts w:hint="eastAsia"/>
        </w:rPr>
        <w:t>第</w:t>
      </w:r>
      <w:r w:rsidRPr="00FC031D">
        <w:t>605</w:t>
      </w:r>
      <w:r w:rsidRPr="00FC031D">
        <w:rPr>
          <w:rFonts w:hint="eastAsia"/>
        </w:rPr>
        <w:t>页；</w:t>
      </w:r>
      <w:r w:rsidRPr="00FC031D">
        <w:rPr>
          <w:w w:val="104"/>
        </w:rPr>
        <w:t>R.</w:t>
      </w:r>
      <w:r w:rsidRPr="00FC031D">
        <w:rPr>
          <w:rFonts w:hint="eastAsia"/>
        </w:rPr>
        <w:t xml:space="preserve"> </w:t>
      </w:r>
      <w:r w:rsidRPr="00FC031D">
        <w:rPr>
          <w:w w:val="104"/>
        </w:rPr>
        <w:t>R.</w:t>
      </w:r>
      <w:r w:rsidRPr="00FC031D">
        <w:rPr>
          <w:rFonts w:hint="eastAsia"/>
        </w:rPr>
        <w:t xml:space="preserve"> </w:t>
      </w:r>
      <w:r w:rsidRPr="00FC031D">
        <w:rPr>
          <w:w w:val="104"/>
        </w:rPr>
        <w:t>Churchill</w:t>
      </w:r>
      <w:r w:rsidRPr="00FC031D">
        <w:rPr>
          <w:rFonts w:hint="eastAsia"/>
        </w:rPr>
        <w:t>和</w:t>
      </w:r>
      <w:r w:rsidRPr="00FC031D">
        <w:rPr>
          <w:w w:val="104"/>
        </w:rPr>
        <w:t>G. Ulfstein,</w:t>
      </w:r>
      <w:r w:rsidRPr="00FC031D">
        <w:rPr>
          <w:rFonts w:hint="eastAsia"/>
          <w:w w:val="104"/>
        </w:rPr>
        <w:t>“</w:t>
      </w:r>
      <w:r w:rsidRPr="00FC031D">
        <w:rPr>
          <w:rFonts w:hint="eastAsia"/>
        </w:rPr>
        <w:t>多边环境协定中的自治机构安排：国际法中极少受到注意的一个现象”，《美国国际法期刊》，总第</w:t>
      </w:r>
      <w:r w:rsidRPr="00FC031D">
        <w:t>94</w:t>
      </w:r>
      <w:r w:rsidRPr="00FC031D">
        <w:rPr>
          <w:rFonts w:hint="eastAsia"/>
        </w:rPr>
        <w:t>期，第</w:t>
      </w:r>
      <w:r w:rsidRPr="00FC031D">
        <w:t>4</w:t>
      </w:r>
      <w:r w:rsidRPr="00FC031D">
        <w:rPr>
          <w:rFonts w:hint="eastAsia"/>
        </w:rPr>
        <w:t>期</w:t>
      </w:r>
      <w:r w:rsidRPr="00FC031D">
        <w:t>(200</w:t>
      </w:r>
      <w:r w:rsidRPr="00FC031D">
        <w:rPr>
          <w:rFonts w:hint="eastAsia"/>
        </w:rPr>
        <w:t>0</w:t>
      </w:r>
      <w:r w:rsidRPr="00FC031D">
        <w:rPr>
          <w:rFonts w:hint="eastAsia"/>
        </w:rPr>
        <w:t>年</w:t>
      </w:r>
      <w:r w:rsidRPr="00FC031D">
        <w:t>)</w:t>
      </w:r>
      <w:r w:rsidRPr="00FC031D">
        <w:rPr>
          <w:rFonts w:hint="eastAsia"/>
        </w:rPr>
        <w:t>，第</w:t>
      </w:r>
      <w:r w:rsidRPr="00FC031D">
        <w:t>623</w:t>
      </w:r>
      <w:r w:rsidRPr="00FC031D">
        <w:rPr>
          <w:rFonts w:hint="eastAsia"/>
        </w:rPr>
        <w:t>-659</w:t>
      </w:r>
      <w:r w:rsidRPr="00FC031D">
        <w:rPr>
          <w:rFonts w:hint="eastAsia"/>
        </w:rPr>
        <w:t>页；</w:t>
      </w:r>
      <w:r w:rsidRPr="00FC031D">
        <w:rPr>
          <w:w w:val="104"/>
        </w:rPr>
        <w:t>J. Brunnée,</w:t>
      </w:r>
      <w:r w:rsidRPr="00FC031D">
        <w:rPr>
          <w:rFonts w:hint="eastAsia"/>
          <w:w w:val="104"/>
        </w:rPr>
        <w:t>“</w:t>
      </w:r>
      <w:r w:rsidRPr="00FC031D">
        <w:rPr>
          <w:rFonts w:hint="eastAsia"/>
        </w:rPr>
        <w:t>处理同意问题：多边环境协定下的法律制订”，《</w:t>
      </w:r>
      <w:r w:rsidRPr="007866F0">
        <w:rPr>
          <w:rFonts w:eastAsia="楷体"/>
          <w:w w:val="104"/>
        </w:rPr>
        <w:t>Leiden</w:t>
      </w:r>
      <w:r w:rsidRPr="00FC031D">
        <w:rPr>
          <w:rFonts w:hint="eastAsia"/>
        </w:rPr>
        <w:t>国际法期刊</w:t>
      </w:r>
      <w:r w:rsidRPr="007866F0">
        <w:rPr>
          <w:rFonts w:eastAsia="楷体"/>
        </w:rPr>
        <w:t>》，</w:t>
      </w:r>
      <w:r w:rsidRPr="00FC031D">
        <w:rPr>
          <w:rFonts w:hint="eastAsia"/>
        </w:rPr>
        <w:t>总第</w:t>
      </w:r>
      <w:r w:rsidRPr="00FC031D">
        <w:t>15</w:t>
      </w:r>
      <w:r w:rsidRPr="00FC031D">
        <w:rPr>
          <w:rFonts w:hint="eastAsia"/>
        </w:rPr>
        <w:t>期，第</w:t>
      </w:r>
      <w:r w:rsidRPr="00FC031D">
        <w:t>1</w:t>
      </w:r>
      <w:r w:rsidRPr="00FC031D">
        <w:rPr>
          <w:rFonts w:hint="eastAsia"/>
        </w:rPr>
        <w:t>期</w:t>
      </w:r>
      <w:r w:rsidRPr="007866F0">
        <w:rPr>
          <w:rFonts w:eastAsia="楷体"/>
        </w:rPr>
        <w:t>(2002</w:t>
      </w:r>
      <w:r w:rsidRPr="007866F0">
        <w:rPr>
          <w:rFonts w:eastAsia="楷体"/>
        </w:rPr>
        <w:t>年</w:t>
      </w:r>
      <w:r w:rsidRPr="007866F0">
        <w:rPr>
          <w:rFonts w:eastAsia="楷体"/>
        </w:rPr>
        <w:t>)</w:t>
      </w:r>
      <w:r w:rsidRPr="00FC031D">
        <w:t>，第</w:t>
      </w:r>
      <w:r w:rsidRPr="00FC031D">
        <w:t>1-52</w:t>
      </w:r>
      <w:r w:rsidRPr="00FC031D">
        <w:t>页；</w:t>
      </w:r>
      <w:r w:rsidRPr="00FC031D">
        <w:rPr>
          <w:w w:val="104"/>
        </w:rPr>
        <w:t>A. Wiersema,</w:t>
      </w:r>
      <w:r w:rsidRPr="00FC031D">
        <w:rPr>
          <w:rFonts w:hint="eastAsia"/>
          <w:w w:val="104"/>
        </w:rPr>
        <w:t>“</w:t>
      </w:r>
      <w:r w:rsidRPr="00FC031D">
        <w:rPr>
          <w:rFonts w:hint="eastAsia"/>
        </w:rPr>
        <w:t>新的国际法制订者？多边环境协定的缔约方大会”，《</w:t>
      </w:r>
      <w:r w:rsidRPr="007866F0">
        <w:rPr>
          <w:rFonts w:eastAsia="楷体"/>
          <w:w w:val="104"/>
        </w:rPr>
        <w:t>Michigan</w:t>
      </w:r>
      <w:r w:rsidRPr="00FC031D">
        <w:rPr>
          <w:rFonts w:hint="eastAsia"/>
        </w:rPr>
        <w:t>国际法期刊</w:t>
      </w:r>
      <w:r w:rsidRPr="007866F0">
        <w:rPr>
          <w:rFonts w:eastAsia="楷体"/>
        </w:rPr>
        <w:t>》，</w:t>
      </w:r>
      <w:r w:rsidRPr="00FC031D">
        <w:rPr>
          <w:rFonts w:hint="eastAsia"/>
        </w:rPr>
        <w:t>第</w:t>
      </w:r>
      <w:r w:rsidRPr="00FC031D">
        <w:t>31</w:t>
      </w:r>
      <w:r w:rsidRPr="00FC031D">
        <w:t>期，</w:t>
      </w:r>
      <w:r w:rsidRPr="00FC031D">
        <w:rPr>
          <w:rFonts w:hint="eastAsia"/>
        </w:rPr>
        <w:t>第</w:t>
      </w:r>
      <w:r w:rsidRPr="00FC031D">
        <w:rPr>
          <w:rFonts w:hint="eastAsia"/>
        </w:rPr>
        <w:t>1</w:t>
      </w:r>
      <w:r w:rsidRPr="00FC031D">
        <w:rPr>
          <w:rFonts w:hint="eastAsia"/>
        </w:rPr>
        <w:t>期</w:t>
      </w:r>
      <w:r w:rsidRPr="00FC031D">
        <w:rPr>
          <w:rFonts w:hint="eastAsia"/>
        </w:rPr>
        <w:t>(</w:t>
      </w:r>
      <w:r w:rsidRPr="00FC031D">
        <w:t>2009</w:t>
      </w:r>
      <w:r w:rsidRPr="00FC031D">
        <w:t>年</w:t>
      </w:r>
      <w:r w:rsidRPr="00FC031D">
        <w:rPr>
          <w:rFonts w:hint="eastAsia"/>
        </w:rPr>
        <w:t>)</w:t>
      </w:r>
      <w:r w:rsidRPr="00FC031D">
        <w:t>，第</w:t>
      </w:r>
      <w:r w:rsidRPr="00FC031D">
        <w:t>231</w:t>
      </w:r>
      <w:r w:rsidRPr="00FC031D">
        <w:rPr>
          <w:rFonts w:hint="eastAsia"/>
        </w:rPr>
        <w:t>-287</w:t>
      </w:r>
      <w:r w:rsidRPr="00FC031D">
        <w:t>页；</w:t>
      </w:r>
      <w:r w:rsidRPr="00FC031D">
        <w:rPr>
          <w:w w:val="104"/>
        </w:rPr>
        <w:t>L. Boisson de Chazournes,</w:t>
      </w:r>
      <w:r w:rsidRPr="00FC031D">
        <w:rPr>
          <w:rFonts w:hint="eastAsia"/>
          <w:w w:val="104"/>
        </w:rPr>
        <w:t>“</w:t>
      </w:r>
      <w:r w:rsidRPr="00FC031D">
        <w:rPr>
          <w:rFonts w:hint="eastAsia"/>
        </w:rPr>
        <w:t>最后的环境条约”，《环境政策和法律》</w:t>
      </w:r>
      <w:r>
        <w:rPr>
          <w:rFonts w:hint="eastAsia"/>
        </w:rPr>
        <w:t>，</w:t>
      </w:r>
      <w:r w:rsidRPr="00FC031D">
        <w:rPr>
          <w:rFonts w:hint="eastAsia"/>
        </w:rPr>
        <w:t>第</w:t>
      </w:r>
      <w:r w:rsidRPr="00FC031D">
        <w:t>39</w:t>
      </w:r>
      <w:r w:rsidRPr="00FC031D">
        <w:rPr>
          <w:rFonts w:hint="eastAsia"/>
        </w:rPr>
        <w:t>期，第</w:t>
      </w:r>
      <w:r w:rsidRPr="00FC031D">
        <w:t>6</w:t>
      </w:r>
      <w:r w:rsidRPr="00FC031D">
        <w:rPr>
          <w:rFonts w:hint="eastAsia"/>
        </w:rPr>
        <w:t>期</w:t>
      </w:r>
      <w:r w:rsidRPr="00FC031D">
        <w:t>(2009</w:t>
      </w:r>
      <w:r w:rsidRPr="00FC031D">
        <w:rPr>
          <w:rFonts w:hint="eastAsia"/>
        </w:rPr>
        <w:t>年</w:t>
      </w:r>
      <w:r w:rsidRPr="00FC031D">
        <w:t>)</w:t>
      </w:r>
      <w:r w:rsidRPr="00FC031D">
        <w:rPr>
          <w:rFonts w:hint="eastAsia"/>
        </w:rPr>
        <w:t>，第</w:t>
      </w:r>
      <w:r w:rsidRPr="00FC031D">
        <w:rPr>
          <w:w w:val="104"/>
        </w:rPr>
        <w:t>293</w:t>
      </w:r>
      <w:r w:rsidRPr="00FC031D">
        <w:rPr>
          <w:rFonts w:hint="eastAsia"/>
          <w:w w:val="104"/>
        </w:rPr>
        <w:t>-298</w:t>
      </w:r>
      <w:r w:rsidRPr="00FC031D">
        <w:rPr>
          <w:rFonts w:hint="eastAsia"/>
        </w:rPr>
        <w:t>页。</w:t>
      </w:r>
    </w:p>
  </w:footnote>
  <w:footnote w:id="838">
    <w:p w:rsidR="00AB00DE" w:rsidRPr="00FC031D" w:rsidRDefault="00AB00DE" w:rsidP="00D90936">
      <w:pPr>
        <w:pStyle w:val="a4"/>
      </w:pPr>
      <w:r w:rsidRPr="00FC031D">
        <w:tab/>
      </w:r>
      <w:r w:rsidRPr="00DF5565">
        <w:rPr>
          <w:color w:val="0000FF"/>
          <w:sz w:val="21"/>
          <w:vertAlign w:val="superscript"/>
        </w:rPr>
        <w:footnoteRef/>
      </w:r>
      <w:r w:rsidRPr="00DF5565">
        <w:rPr>
          <w:color w:val="0000FF"/>
          <w:sz w:val="21"/>
          <w:vertAlign w:val="superscript"/>
        </w:rPr>
        <w:tab/>
      </w:r>
      <w:r w:rsidRPr="00FC031D">
        <w:rPr>
          <w:rFonts w:hint="eastAsia"/>
        </w:rPr>
        <w:t>《</w:t>
      </w:r>
      <w:r w:rsidRPr="00FC031D">
        <w:rPr>
          <w:rStyle w:val="preferred"/>
          <w:rFonts w:ascii="宋体" w:hAnsi="宋体" w:cs="宋体" w:hint="eastAsia"/>
        </w:rPr>
        <w:t>马拉喀什建立世界贸易组织协定</w:t>
      </w:r>
      <w:r w:rsidRPr="00FC031D">
        <w:rPr>
          <w:rFonts w:hint="eastAsia"/>
        </w:rPr>
        <w:t>》</w:t>
      </w:r>
      <w:r w:rsidRPr="00FC031D">
        <w:rPr>
          <w:rStyle w:val="preferred"/>
        </w:rPr>
        <w:t>(1994</w:t>
      </w:r>
      <w:r w:rsidRPr="00FC031D">
        <w:rPr>
          <w:rStyle w:val="preferred"/>
        </w:rPr>
        <w:t>年</w:t>
      </w:r>
      <w:r w:rsidRPr="00FC031D">
        <w:rPr>
          <w:rStyle w:val="preferred"/>
        </w:rPr>
        <w:t>)(</w:t>
      </w:r>
      <w:r w:rsidRPr="00FC031D">
        <w:rPr>
          <w:rStyle w:val="preferred"/>
        </w:rPr>
        <w:t>见</w:t>
      </w:r>
      <w:r w:rsidRPr="00D90936">
        <w:rPr>
          <w:rStyle w:val="preferred"/>
        </w:rPr>
        <w:t>上文脚注</w:t>
      </w:r>
      <w:r>
        <w:fldChar w:fldCharType="begin"/>
      </w:r>
      <w:r>
        <w:instrText xml:space="preserve"> </w:instrText>
      </w:r>
      <w:r>
        <w:rPr>
          <w:rFonts w:hint="eastAsia"/>
        </w:rPr>
        <w:instrText>NOTEREF _Ref461972226 \h</w:instrText>
      </w:r>
      <w:r>
        <w:instrText xml:space="preserve"> </w:instrText>
      </w:r>
      <w:r>
        <w:fldChar w:fldCharType="separate"/>
      </w:r>
      <w:r w:rsidR="00A73EB9">
        <w:t>445</w:t>
      </w:r>
      <w:r>
        <w:fldChar w:fldCharType="end"/>
      </w:r>
      <w:r w:rsidRPr="007866F0">
        <w:rPr>
          <w:rFonts w:eastAsia="楷体"/>
          <w:w w:val="104"/>
        </w:rPr>
        <w:t>)</w:t>
      </w:r>
      <w:r w:rsidRPr="00FC031D">
        <w:rPr>
          <w:rStyle w:val="preferred"/>
          <w:rFonts w:ascii="宋体" w:hAnsi="宋体" w:cs="宋体" w:hint="eastAsia"/>
        </w:rPr>
        <w:t>；</w:t>
      </w:r>
      <w:r w:rsidRPr="00FC031D">
        <w:rPr>
          <w:rFonts w:hint="eastAsia"/>
        </w:rPr>
        <w:t>《</w:t>
      </w:r>
      <w:r w:rsidRPr="00FC031D">
        <w:rPr>
          <w:rStyle w:val="admitted"/>
          <w:rFonts w:ascii="宋体" w:hAnsi="宋体" w:cs="宋体" w:hint="eastAsia"/>
        </w:rPr>
        <w:t>关于禁止发展、生产、储存和使用化学武器及销毁此种武器的公约</w:t>
      </w:r>
      <w:r w:rsidRPr="00FC031D">
        <w:rPr>
          <w:rFonts w:hint="eastAsia"/>
        </w:rPr>
        <w:t>》</w:t>
      </w:r>
      <w:r w:rsidRPr="00FC031D">
        <w:t>(</w:t>
      </w:r>
      <w:r w:rsidRPr="00FC031D">
        <w:rPr>
          <w:w w:val="104"/>
        </w:rPr>
        <w:t>1993</w:t>
      </w:r>
      <w:r w:rsidRPr="00FC031D">
        <w:t>年</w:t>
      </w:r>
      <w:r w:rsidRPr="00FC031D">
        <w:t>)(</w:t>
      </w:r>
      <w:r w:rsidRPr="00FC031D">
        <w:rPr>
          <w:rStyle w:val="preferred"/>
        </w:rPr>
        <w:t>见上文脚注</w:t>
      </w:r>
      <w:r>
        <w:rPr>
          <w:rStyle w:val="preferred"/>
        </w:rPr>
        <w:fldChar w:fldCharType="begin"/>
      </w:r>
      <w:r>
        <w:rPr>
          <w:rStyle w:val="preferred"/>
        </w:rPr>
        <w:instrText xml:space="preserve"> NOTEREF _Ref461972361 \h </w:instrText>
      </w:r>
      <w:r>
        <w:rPr>
          <w:rStyle w:val="preferred"/>
        </w:rPr>
      </w:r>
      <w:r>
        <w:rPr>
          <w:rStyle w:val="preferred"/>
        </w:rPr>
        <w:fldChar w:fldCharType="separate"/>
      </w:r>
      <w:r w:rsidR="00A73EB9">
        <w:rPr>
          <w:rStyle w:val="preferred"/>
        </w:rPr>
        <w:t>545</w:t>
      </w:r>
      <w:r>
        <w:rPr>
          <w:rStyle w:val="preferred"/>
        </w:rPr>
        <w:fldChar w:fldCharType="end"/>
      </w:r>
      <w:r w:rsidRPr="00FC031D">
        <w:t>)</w:t>
      </w:r>
      <w:r w:rsidRPr="00FC031D">
        <w:t>；</w:t>
      </w:r>
      <w:r w:rsidRPr="00FC031D">
        <w:rPr>
          <w:rFonts w:hint="eastAsia"/>
        </w:rPr>
        <w:t>《国际民用航空组织公约》</w:t>
      </w:r>
      <w:r w:rsidRPr="00FC031D">
        <w:t>(</w:t>
      </w:r>
      <w:r w:rsidRPr="00FC031D">
        <w:rPr>
          <w:rFonts w:hint="eastAsia"/>
        </w:rPr>
        <w:t>《芝加哥公约》，</w:t>
      </w:r>
      <w:r w:rsidRPr="00FC031D">
        <w:rPr>
          <w:rStyle w:val="preferred"/>
          <w:rFonts w:hint="eastAsia"/>
        </w:rPr>
        <w:t>1944</w:t>
      </w:r>
      <w:r w:rsidRPr="00FC031D">
        <w:rPr>
          <w:rFonts w:hint="eastAsia"/>
        </w:rPr>
        <w:t>年</w:t>
      </w:r>
      <w:r w:rsidRPr="00FC031D">
        <w:t>)</w:t>
      </w:r>
      <w:r w:rsidRPr="00FC031D">
        <w:rPr>
          <w:rFonts w:hint="eastAsia"/>
        </w:rPr>
        <w:t>，联合国，《条约汇编》，第</w:t>
      </w:r>
      <w:r w:rsidRPr="00FC031D">
        <w:t>15</w:t>
      </w:r>
      <w:r w:rsidRPr="00FC031D">
        <w:rPr>
          <w:rFonts w:hint="eastAsia"/>
        </w:rPr>
        <w:t>卷，第</w:t>
      </w:r>
      <w:r w:rsidRPr="00FC031D">
        <w:t>102</w:t>
      </w:r>
      <w:r w:rsidRPr="00FC031D">
        <w:rPr>
          <w:rFonts w:hint="eastAsia"/>
        </w:rPr>
        <w:t>号，第</w:t>
      </w:r>
      <w:r w:rsidRPr="00FC031D">
        <w:rPr>
          <w:rFonts w:hint="eastAsia"/>
        </w:rPr>
        <w:t>295</w:t>
      </w:r>
      <w:r w:rsidRPr="00FC031D">
        <w:rPr>
          <w:rFonts w:hint="eastAsia"/>
        </w:rPr>
        <w:t>页。</w:t>
      </w:r>
    </w:p>
  </w:footnote>
  <w:footnote w:id="839">
    <w:p w:rsidR="00AB00DE" w:rsidRPr="00FC031D" w:rsidRDefault="00AB00DE" w:rsidP="00DF5565">
      <w:pPr>
        <w:pStyle w:val="a4"/>
      </w:pPr>
      <w:r w:rsidRPr="00FC031D">
        <w:tab/>
      </w:r>
      <w:r w:rsidRPr="00DF5565">
        <w:rPr>
          <w:color w:val="0000FF"/>
          <w:sz w:val="21"/>
          <w:vertAlign w:val="superscript"/>
        </w:rPr>
        <w:footnoteRef/>
      </w:r>
      <w:r w:rsidRPr="00DF5565">
        <w:rPr>
          <w:color w:val="0000FF"/>
          <w:sz w:val="21"/>
          <w:vertAlign w:val="superscript"/>
        </w:rPr>
        <w:tab/>
      </w:r>
      <w:r w:rsidRPr="00FC031D">
        <w:rPr>
          <w:rFonts w:hint="eastAsia"/>
        </w:rPr>
        <w:t>见下文</w:t>
      </w:r>
      <w:r w:rsidRPr="00FC031D">
        <w:t>结论草案</w:t>
      </w:r>
      <w:r w:rsidRPr="00FC031D">
        <w:t>12</w:t>
      </w:r>
      <w:r w:rsidRPr="00FC031D">
        <w:rPr>
          <w:rFonts w:hint="eastAsia"/>
        </w:rPr>
        <w:t>[11]</w:t>
      </w:r>
      <w:r w:rsidRPr="00FC031D">
        <w:t>。</w:t>
      </w:r>
    </w:p>
  </w:footnote>
  <w:footnote w:id="840">
    <w:p w:rsidR="00AB00DE" w:rsidRPr="00FC031D" w:rsidRDefault="00AB00DE" w:rsidP="008F0A44">
      <w:pPr>
        <w:pStyle w:val="a4"/>
      </w:pPr>
      <w:r w:rsidRPr="00FC031D">
        <w:tab/>
      </w:r>
      <w:r w:rsidRPr="00DF5565">
        <w:rPr>
          <w:color w:val="0000FF"/>
          <w:sz w:val="21"/>
          <w:vertAlign w:val="superscript"/>
        </w:rPr>
        <w:footnoteRef/>
      </w:r>
      <w:r w:rsidRPr="00DF5565">
        <w:rPr>
          <w:color w:val="0000FF"/>
          <w:sz w:val="21"/>
          <w:vertAlign w:val="superscript"/>
        </w:rPr>
        <w:tab/>
      </w:r>
      <w:r w:rsidRPr="008F0A44">
        <w:rPr>
          <w:rFonts w:hint="eastAsia"/>
        </w:rPr>
        <w:t>见《关于禁止发展、生产和储存细菌</w:t>
      </w:r>
      <w:r w:rsidRPr="008F0A44">
        <w:t>(</w:t>
      </w:r>
      <w:r w:rsidRPr="008F0A44">
        <w:rPr>
          <w:rFonts w:hint="eastAsia"/>
        </w:rPr>
        <w:t>生物</w:t>
      </w:r>
      <w:r w:rsidRPr="008F0A44">
        <w:t>)</w:t>
      </w:r>
      <w:r w:rsidRPr="008F0A44">
        <w:rPr>
          <w:rFonts w:hint="eastAsia"/>
        </w:rPr>
        <w:t>及毒素武器和销毁此种武器的公约》</w:t>
      </w:r>
      <w:r w:rsidRPr="008F0A44">
        <w:t>(1972</w:t>
      </w:r>
      <w:r w:rsidRPr="008F0A44">
        <w:rPr>
          <w:rFonts w:hint="eastAsia"/>
        </w:rPr>
        <w:t>年</w:t>
      </w:r>
      <w:r w:rsidRPr="008F0A44">
        <w:t>)(</w:t>
      </w:r>
      <w:r w:rsidRPr="008F0A44">
        <w:rPr>
          <w:rFonts w:hint="eastAsia"/>
        </w:rPr>
        <w:t>见上文脚注</w:t>
      </w:r>
      <w:r>
        <w:rPr>
          <w:rStyle w:val="preferred"/>
        </w:rPr>
        <w:fldChar w:fldCharType="begin"/>
      </w:r>
      <w:r>
        <w:rPr>
          <w:rStyle w:val="preferred"/>
        </w:rPr>
        <w:instrText xml:space="preserve"> NOTEREF _Ref461972361 \h </w:instrText>
      </w:r>
      <w:r>
        <w:rPr>
          <w:rStyle w:val="preferred"/>
        </w:rPr>
      </w:r>
      <w:r>
        <w:rPr>
          <w:rStyle w:val="preferred"/>
        </w:rPr>
        <w:fldChar w:fldCharType="separate"/>
      </w:r>
      <w:r w:rsidR="00A73EB9">
        <w:rPr>
          <w:rStyle w:val="preferred"/>
        </w:rPr>
        <w:t>545</w:t>
      </w:r>
      <w:r>
        <w:rPr>
          <w:rStyle w:val="preferred"/>
        </w:rPr>
        <w:fldChar w:fldCharType="end"/>
      </w:r>
      <w:r w:rsidRPr="008F0A44">
        <w:t>)</w:t>
      </w:r>
      <w:r w:rsidRPr="008F0A44">
        <w:rPr>
          <w:rFonts w:hint="eastAsia"/>
        </w:rPr>
        <w:t>，第十一条。按照这个机制，缔约国在审查会议中须“……审查本公约的实施情况，以保证本公约序言的宗旨和各项条款……正在得到实现。此项审查应考虑到任何与本公约有关的科学和技术的新发展”</w:t>
      </w:r>
      <w:r w:rsidRPr="008F0A44">
        <w:t>(</w:t>
      </w:r>
      <w:r w:rsidRPr="008F0A44">
        <w:rPr>
          <w:rFonts w:hint="eastAsia"/>
        </w:rPr>
        <w:t>第十二条</w:t>
      </w:r>
      <w:r w:rsidRPr="008F0A44">
        <w:t>)</w:t>
      </w:r>
      <w:r w:rsidRPr="008F0A44">
        <w:rPr>
          <w:rFonts w:hint="eastAsia"/>
        </w:rPr>
        <w:t>。</w:t>
      </w:r>
    </w:p>
  </w:footnote>
  <w:footnote w:id="841">
    <w:p w:rsidR="00AB00DE" w:rsidRPr="00FC031D" w:rsidRDefault="00AB00DE" w:rsidP="00DF5565">
      <w:pPr>
        <w:pStyle w:val="a4"/>
      </w:pPr>
      <w:r w:rsidRPr="00FC031D">
        <w:tab/>
      </w:r>
      <w:r w:rsidRPr="00DF5565">
        <w:rPr>
          <w:color w:val="0000FF"/>
          <w:sz w:val="21"/>
          <w:vertAlign w:val="superscript"/>
        </w:rPr>
        <w:footnoteRef/>
      </w:r>
      <w:r w:rsidRPr="00DF5565">
        <w:rPr>
          <w:color w:val="0000FF"/>
          <w:sz w:val="21"/>
          <w:vertAlign w:val="superscript"/>
        </w:rPr>
        <w:tab/>
      </w:r>
      <w:r w:rsidRPr="00FC031D">
        <w:rPr>
          <w:rFonts w:hint="eastAsia"/>
        </w:rPr>
        <w:t>《不扩散核武器条约》</w:t>
      </w:r>
      <w:r w:rsidRPr="00FC031D">
        <w:rPr>
          <w:rStyle w:val="preferred"/>
        </w:rPr>
        <w:t>(</w:t>
      </w:r>
      <w:r w:rsidRPr="00FC031D">
        <w:t>1968</w:t>
      </w:r>
      <w:r w:rsidRPr="00FC031D">
        <w:t>年</w:t>
      </w:r>
      <w:r w:rsidRPr="00FC031D">
        <w:rPr>
          <w:rStyle w:val="preferred"/>
        </w:rPr>
        <w:t>)</w:t>
      </w:r>
      <w:r w:rsidRPr="00FC031D">
        <w:rPr>
          <w:rFonts w:hint="eastAsia"/>
        </w:rPr>
        <w:t>，联合国，《条约汇编》，第</w:t>
      </w:r>
      <w:r w:rsidRPr="00FC031D">
        <w:t>729</w:t>
      </w:r>
      <w:r w:rsidRPr="00FC031D">
        <w:rPr>
          <w:rFonts w:hint="eastAsia"/>
        </w:rPr>
        <w:t>卷，第</w:t>
      </w:r>
      <w:r w:rsidRPr="00FC031D">
        <w:rPr>
          <w:w w:val="104"/>
        </w:rPr>
        <w:t>10485</w:t>
      </w:r>
      <w:r w:rsidRPr="00FC031D">
        <w:rPr>
          <w:rFonts w:hint="eastAsia"/>
        </w:rPr>
        <w:t>号，第</w:t>
      </w:r>
      <w:r w:rsidRPr="00FC031D">
        <w:t>161</w:t>
      </w:r>
      <w:r w:rsidRPr="00FC031D">
        <w:rPr>
          <w:rFonts w:hint="eastAsia"/>
        </w:rPr>
        <w:t>页</w:t>
      </w:r>
      <w:r w:rsidRPr="00FC031D">
        <w:rPr>
          <w:rFonts w:hint="eastAsia"/>
          <w:w w:val="104"/>
        </w:rPr>
        <w:t>；</w:t>
      </w:r>
      <w:r w:rsidRPr="00FC031D">
        <w:rPr>
          <w:rFonts w:hint="eastAsia"/>
        </w:rPr>
        <w:t>第八条第</w:t>
      </w:r>
      <w:r w:rsidRPr="00FC031D">
        <w:t>3</w:t>
      </w:r>
      <w:r w:rsidRPr="00FC031D">
        <w:rPr>
          <w:rFonts w:hint="eastAsia"/>
        </w:rPr>
        <w:t>款规定，</w:t>
      </w:r>
      <w:r w:rsidRPr="00FC031D">
        <w:rPr>
          <w:rFonts w:hint="eastAsia"/>
          <w:bCs/>
        </w:rPr>
        <w:t>在条约生效后会议五年，应举行审查会议，此后，如有此决定，应每隔五年另行召集这种会议，“……</w:t>
      </w:r>
      <w:r w:rsidRPr="00FC031D">
        <w:rPr>
          <w:rFonts w:hint="eastAsia"/>
        </w:rPr>
        <w:t>审查本条约的实施情况，以保证本条约序言的宗旨和本条约的各项条款正在得到实现”。通过这种决定，缔约国逐条审查《不扩散核武器条约》的实施情况，并就后续行动拟订结论和建议</w:t>
      </w:r>
      <w:r w:rsidRPr="00FC031D">
        <w:rPr>
          <w:rFonts w:hint="eastAsia"/>
          <w:bCs/>
        </w:rPr>
        <w:t>。</w:t>
      </w:r>
    </w:p>
  </w:footnote>
  <w:footnote w:id="842">
    <w:p w:rsidR="00AB00DE" w:rsidRPr="00FC031D" w:rsidRDefault="00AB00DE" w:rsidP="00DF5565">
      <w:pPr>
        <w:pStyle w:val="a4"/>
      </w:pPr>
      <w:r w:rsidRPr="00FC031D">
        <w:tab/>
      </w:r>
      <w:r w:rsidRPr="00DF5565">
        <w:rPr>
          <w:color w:val="0000FF"/>
          <w:sz w:val="21"/>
          <w:vertAlign w:val="superscript"/>
        </w:rPr>
        <w:footnoteRef/>
      </w:r>
      <w:r w:rsidRPr="00DF5565">
        <w:rPr>
          <w:color w:val="0000FF"/>
          <w:sz w:val="21"/>
          <w:vertAlign w:val="superscript"/>
        </w:rPr>
        <w:tab/>
      </w:r>
      <w:r w:rsidRPr="00FC031D">
        <w:rPr>
          <w:rFonts w:hint="eastAsia"/>
        </w:rPr>
        <w:t>例证包括</w:t>
      </w:r>
      <w:r w:rsidRPr="00FC031D">
        <w:t>《联合国气候变化框架公约》</w:t>
      </w:r>
      <w:r w:rsidRPr="00FC031D">
        <w:t>(1992</w:t>
      </w:r>
      <w:r w:rsidRPr="00FC031D">
        <w:t>年</w:t>
      </w:r>
      <w:r w:rsidRPr="00FC031D">
        <w:t>)(</w:t>
      </w:r>
      <w:r w:rsidRPr="00FC031D">
        <w:rPr>
          <w:rFonts w:hint="eastAsia"/>
        </w:rPr>
        <w:t>联合国，《条约汇编》，第</w:t>
      </w:r>
      <w:r w:rsidRPr="00FC031D">
        <w:t>1771</w:t>
      </w:r>
      <w:r w:rsidRPr="00FC031D">
        <w:rPr>
          <w:rFonts w:hint="eastAsia"/>
        </w:rPr>
        <w:t>卷，第</w:t>
      </w:r>
      <w:r w:rsidRPr="00FC031D">
        <w:t>30822</w:t>
      </w:r>
      <w:r w:rsidRPr="00FC031D">
        <w:rPr>
          <w:rFonts w:hint="eastAsia"/>
        </w:rPr>
        <w:t>号，第</w:t>
      </w:r>
      <w:r w:rsidRPr="00FC031D">
        <w:t>107</w:t>
      </w:r>
      <w:r w:rsidRPr="00FC031D">
        <w:rPr>
          <w:rFonts w:hint="eastAsia"/>
        </w:rPr>
        <w:t>页</w:t>
      </w:r>
      <w:r w:rsidRPr="00FC031D">
        <w:t>)</w:t>
      </w:r>
      <w:r w:rsidRPr="00FC031D">
        <w:rPr>
          <w:rFonts w:hint="eastAsia"/>
        </w:rPr>
        <w:t>缔约方会议，作为《联合国气候变化框架公约京都议定书》</w:t>
      </w:r>
      <w:r w:rsidRPr="00FC031D">
        <w:t>(</w:t>
      </w:r>
      <w:r w:rsidRPr="00FC031D">
        <w:rPr>
          <w:rFonts w:hint="eastAsia"/>
        </w:rPr>
        <w:t>《京都议定书》，</w:t>
      </w:r>
      <w:r w:rsidRPr="00FC031D">
        <w:t>1997</w:t>
      </w:r>
      <w:r w:rsidRPr="00FC031D">
        <w:rPr>
          <w:rFonts w:hint="eastAsia"/>
        </w:rPr>
        <w:t>年</w:t>
      </w:r>
      <w:r w:rsidRPr="00FC031D">
        <w:t>)(</w:t>
      </w:r>
      <w:r w:rsidRPr="00FC031D">
        <w:rPr>
          <w:rFonts w:hint="eastAsia"/>
        </w:rPr>
        <w:t>联合国，《条约汇编》，第</w:t>
      </w:r>
      <w:r w:rsidRPr="00FC031D">
        <w:t>2303</w:t>
      </w:r>
      <w:r w:rsidRPr="00FC031D">
        <w:rPr>
          <w:rFonts w:hint="eastAsia"/>
        </w:rPr>
        <w:t>卷，第</w:t>
      </w:r>
      <w:r w:rsidRPr="00FC031D">
        <w:t>30822</w:t>
      </w:r>
      <w:r w:rsidRPr="00FC031D">
        <w:rPr>
          <w:rFonts w:hint="eastAsia"/>
        </w:rPr>
        <w:t>号，第</w:t>
      </w:r>
      <w:r w:rsidRPr="00FC031D">
        <w:t>161</w:t>
      </w:r>
      <w:r w:rsidRPr="00FC031D">
        <w:rPr>
          <w:rFonts w:hint="eastAsia"/>
        </w:rPr>
        <w:t>页</w:t>
      </w:r>
      <w:r w:rsidRPr="00FC031D">
        <w:t>)</w:t>
      </w:r>
      <w:r w:rsidRPr="00FC031D">
        <w:rPr>
          <w:rFonts w:hint="eastAsia"/>
        </w:rPr>
        <w:t>缔约方会议的《公约》缔约方会议和《关于特别是作为水禽栖息地的国际重要湿地公约》</w:t>
      </w:r>
      <w:r w:rsidRPr="00FC031D">
        <w:t>(</w:t>
      </w:r>
      <w:r w:rsidRPr="00FC031D">
        <w:rPr>
          <w:rFonts w:hint="eastAsia"/>
        </w:rPr>
        <w:t>《拉姆萨尔公约》，</w:t>
      </w:r>
      <w:r w:rsidRPr="00FC031D">
        <w:t>1971</w:t>
      </w:r>
      <w:r w:rsidRPr="00FC031D">
        <w:rPr>
          <w:rFonts w:hint="eastAsia"/>
        </w:rPr>
        <w:t>年</w:t>
      </w:r>
      <w:r w:rsidRPr="00FC031D">
        <w:t>)(</w:t>
      </w:r>
      <w:r w:rsidRPr="00FC031D">
        <w:rPr>
          <w:rFonts w:hint="eastAsia"/>
        </w:rPr>
        <w:t>联合国，《条约汇编》，第</w:t>
      </w:r>
      <w:r w:rsidRPr="00FC031D">
        <w:t>996</w:t>
      </w:r>
      <w:r w:rsidRPr="00FC031D">
        <w:rPr>
          <w:rFonts w:hint="eastAsia"/>
        </w:rPr>
        <w:t>卷，第</w:t>
      </w:r>
      <w:r w:rsidRPr="00FC031D">
        <w:t>14583</w:t>
      </w:r>
      <w:r w:rsidRPr="00FC031D">
        <w:rPr>
          <w:rFonts w:hint="eastAsia"/>
        </w:rPr>
        <w:t>号，第</w:t>
      </w:r>
      <w:r w:rsidRPr="00FC031D">
        <w:rPr>
          <w:rFonts w:hint="eastAsia"/>
        </w:rPr>
        <w:t>245</w:t>
      </w:r>
      <w:r w:rsidRPr="00FC031D">
        <w:rPr>
          <w:rFonts w:hint="eastAsia"/>
        </w:rPr>
        <w:t>页</w:t>
      </w:r>
      <w:r w:rsidRPr="00FC031D">
        <w:t>)</w:t>
      </w:r>
      <w:r w:rsidRPr="00FC031D">
        <w:rPr>
          <w:rFonts w:hint="eastAsia"/>
        </w:rPr>
        <w:t>缔约方会议。</w:t>
      </w:r>
    </w:p>
  </w:footnote>
  <w:footnote w:id="843">
    <w:p w:rsidR="00AB00DE" w:rsidRPr="00FC031D" w:rsidRDefault="00AB00DE" w:rsidP="00DF5565">
      <w:pPr>
        <w:pStyle w:val="a4"/>
      </w:pPr>
      <w:r w:rsidRPr="00FC031D">
        <w:tab/>
      </w:r>
      <w:r w:rsidRPr="00DF5565">
        <w:rPr>
          <w:color w:val="0000FF"/>
          <w:sz w:val="21"/>
          <w:vertAlign w:val="superscript"/>
        </w:rPr>
        <w:footnoteRef/>
      </w:r>
      <w:r w:rsidRPr="00DF5565">
        <w:rPr>
          <w:color w:val="0000FF"/>
          <w:sz w:val="21"/>
          <w:vertAlign w:val="superscript"/>
        </w:rPr>
        <w:tab/>
      </w:r>
      <w:r w:rsidRPr="00FC031D">
        <w:rPr>
          <w:rFonts w:hint="eastAsia"/>
        </w:rPr>
        <w:t>该公约常常被称为设立了一个国际组织，但事实上并没有这么明确，它为国际捕鲸委员会提供了符合关于缔约国会议当前定义的特点。</w:t>
      </w:r>
    </w:p>
  </w:footnote>
  <w:footnote w:id="844">
    <w:p w:rsidR="00AB00DE" w:rsidRPr="00FC031D" w:rsidRDefault="00AB00DE" w:rsidP="00DF5565">
      <w:pPr>
        <w:pStyle w:val="a4"/>
      </w:pPr>
      <w:r w:rsidRPr="00FC031D">
        <w:tab/>
      </w:r>
      <w:r w:rsidRPr="00DF5565">
        <w:rPr>
          <w:color w:val="0000FF"/>
          <w:sz w:val="21"/>
          <w:vertAlign w:val="superscript"/>
        </w:rPr>
        <w:footnoteRef/>
      </w:r>
      <w:r w:rsidRPr="00DF5565">
        <w:rPr>
          <w:color w:val="0000FF"/>
          <w:sz w:val="21"/>
          <w:vertAlign w:val="superscript"/>
        </w:rPr>
        <w:tab/>
      </w:r>
      <w:r w:rsidRPr="007866F0">
        <w:rPr>
          <w:rFonts w:eastAsia="楷体"/>
        </w:rPr>
        <w:t>南极捕鲸案</w:t>
      </w:r>
      <w:r w:rsidRPr="007866F0">
        <w:rPr>
          <w:rFonts w:eastAsia="楷体"/>
        </w:rPr>
        <w:t>(</w:t>
      </w:r>
      <w:r w:rsidRPr="007866F0">
        <w:rPr>
          <w:rFonts w:eastAsia="楷体"/>
        </w:rPr>
        <w:t>澳大利亚</w:t>
      </w:r>
      <w:r w:rsidRPr="00FC031D">
        <w:rPr>
          <w:rFonts w:hint="eastAsia"/>
          <w:iCs/>
        </w:rPr>
        <w:t>诉</w:t>
      </w:r>
      <w:r w:rsidRPr="007866F0">
        <w:rPr>
          <w:rFonts w:eastAsia="楷体"/>
        </w:rPr>
        <w:t>日本</w:t>
      </w:r>
      <w:r w:rsidRPr="007866F0">
        <w:rPr>
          <w:rFonts w:eastAsia="楷体"/>
          <w:w w:val="104"/>
        </w:rPr>
        <w:t>：</w:t>
      </w:r>
      <w:r w:rsidRPr="007866F0">
        <w:rPr>
          <w:rFonts w:eastAsia="楷体"/>
        </w:rPr>
        <w:t>新西兰参与诉讼</w:t>
      </w:r>
      <w:r w:rsidRPr="007866F0">
        <w:rPr>
          <w:rFonts w:eastAsia="楷体"/>
        </w:rPr>
        <w:t>)</w:t>
      </w:r>
      <w:r w:rsidRPr="007866F0">
        <w:rPr>
          <w:rFonts w:eastAsia="楷体"/>
          <w:w w:val="104"/>
        </w:rPr>
        <w:t>，</w:t>
      </w:r>
      <w:r w:rsidRPr="00FC031D">
        <w:rPr>
          <w:rFonts w:ascii="Time New Roman" w:eastAsia="楷体" w:hAnsi="Time New Roman"/>
        </w:rPr>
        <w:t>判决</w:t>
      </w:r>
      <w:r w:rsidRPr="00FC031D">
        <w:t>，《</w:t>
      </w:r>
      <w:r w:rsidRPr="00FC031D">
        <w:rPr>
          <w:w w:val="104"/>
        </w:rPr>
        <w:t>2014</w:t>
      </w:r>
      <w:r w:rsidRPr="00FC031D">
        <w:t>年国际法院案例汇编》</w:t>
      </w:r>
      <w:r w:rsidRPr="00FC031D">
        <w:rPr>
          <w:w w:val="104"/>
        </w:rPr>
        <w:t>，</w:t>
      </w:r>
      <w:r w:rsidRPr="00FC031D">
        <w:t>第</w:t>
      </w:r>
      <w:r w:rsidRPr="00FC031D">
        <w:t>226</w:t>
      </w:r>
      <w:r w:rsidRPr="00FC031D">
        <w:t>页</w:t>
      </w:r>
      <w:r w:rsidRPr="00FC031D">
        <w:rPr>
          <w:rFonts w:hint="eastAsia"/>
        </w:rPr>
        <w:t>起，见第</w:t>
      </w:r>
      <w:r w:rsidRPr="00FC031D">
        <w:rPr>
          <w:rFonts w:hint="eastAsia"/>
        </w:rPr>
        <w:t>248</w:t>
      </w:r>
      <w:r w:rsidRPr="00FC031D">
        <w:rPr>
          <w:rFonts w:hint="eastAsia"/>
        </w:rPr>
        <w:t>页，第</w:t>
      </w:r>
      <w:r w:rsidRPr="00FC031D">
        <w:rPr>
          <w:rFonts w:hint="eastAsia"/>
        </w:rPr>
        <w:t>46</w:t>
      </w:r>
      <w:r w:rsidRPr="00FC031D">
        <w:rPr>
          <w:rFonts w:hint="eastAsia"/>
        </w:rPr>
        <w:t>段</w:t>
      </w:r>
      <w:r w:rsidRPr="00FC031D">
        <w:t>。</w:t>
      </w:r>
    </w:p>
  </w:footnote>
  <w:footnote w:id="845">
    <w:p w:rsidR="00AB00DE" w:rsidRPr="00FC031D" w:rsidRDefault="00AB00DE" w:rsidP="00DF5565">
      <w:pPr>
        <w:pStyle w:val="a4"/>
      </w:pPr>
      <w:r w:rsidRPr="00FC031D">
        <w:tab/>
      </w:r>
      <w:r w:rsidRPr="00DF5565">
        <w:rPr>
          <w:color w:val="0000FF"/>
          <w:sz w:val="21"/>
          <w:vertAlign w:val="superscript"/>
        </w:rPr>
        <w:footnoteRef/>
      </w:r>
      <w:r w:rsidRPr="00DF5565">
        <w:rPr>
          <w:color w:val="0000FF"/>
          <w:sz w:val="21"/>
          <w:vertAlign w:val="superscript"/>
        </w:rPr>
        <w:tab/>
      </w:r>
      <w:r w:rsidRPr="00FC031D">
        <w:rPr>
          <w:rFonts w:hint="eastAsia"/>
        </w:rPr>
        <w:t>《关于特别是作为水禽栖息地的国际重要湿地公约》：关于审查职能的第</w:t>
      </w:r>
      <w:r w:rsidRPr="00FC031D">
        <w:t>6</w:t>
      </w:r>
      <w:r w:rsidRPr="00FC031D">
        <w:rPr>
          <w:rFonts w:hint="eastAsia"/>
        </w:rPr>
        <w:t>条第</w:t>
      </w:r>
      <w:r w:rsidRPr="00FC031D">
        <w:t>1</w:t>
      </w:r>
      <w:r w:rsidRPr="00FC031D">
        <w:rPr>
          <w:rFonts w:hint="eastAsia"/>
        </w:rPr>
        <w:t>款和关于修正的第</w:t>
      </w:r>
      <w:r w:rsidRPr="00FC031D">
        <w:t>10</w:t>
      </w:r>
      <w:r w:rsidRPr="00FC031D">
        <w:rPr>
          <w:rFonts w:hint="eastAsia"/>
        </w:rPr>
        <w:t>条之二；《联合国气候变化框架公约》：关于审评权力的第七条第</w:t>
      </w:r>
      <w:r w:rsidRPr="00FC031D">
        <w:t>2</w:t>
      </w:r>
      <w:r w:rsidRPr="00FC031D">
        <w:rPr>
          <w:rFonts w:hint="eastAsia"/>
        </w:rPr>
        <w:t>款和关于修正的第十五条；《京都议定书》：关于作为《京都议定书》缔约方会议的《公约》缔约方会议审评权力的第十三条第</w:t>
      </w:r>
      <w:r w:rsidRPr="00FC031D">
        <w:t>4</w:t>
      </w:r>
      <w:r w:rsidRPr="00FC031D">
        <w:rPr>
          <w:rFonts w:hint="eastAsia"/>
        </w:rPr>
        <w:t>款和关于修正程序的第二十条；《濒危野生动植物国际贸易公约》</w:t>
      </w:r>
      <w:r w:rsidRPr="00FC031D">
        <w:t>(</w:t>
      </w:r>
      <w:r w:rsidRPr="00FC031D">
        <w:rPr>
          <w:rFonts w:hint="eastAsia"/>
        </w:rPr>
        <w:t>联合国，《条约汇编》，第</w:t>
      </w:r>
      <w:r w:rsidRPr="00FC031D">
        <w:t>993</w:t>
      </w:r>
      <w:r w:rsidRPr="00FC031D">
        <w:rPr>
          <w:rFonts w:hint="eastAsia"/>
        </w:rPr>
        <w:t>卷，第</w:t>
      </w:r>
      <w:r w:rsidRPr="00FC031D">
        <w:t>14537</w:t>
      </w:r>
      <w:r w:rsidRPr="00FC031D">
        <w:rPr>
          <w:rFonts w:hint="eastAsia"/>
        </w:rPr>
        <w:t>号，第</w:t>
      </w:r>
      <w:r w:rsidRPr="00FC031D">
        <w:t>243</w:t>
      </w:r>
      <w:r w:rsidRPr="00FC031D">
        <w:rPr>
          <w:rFonts w:hint="eastAsia"/>
        </w:rPr>
        <w:t>页</w:t>
      </w:r>
      <w:r w:rsidRPr="00FC031D">
        <w:t>)</w:t>
      </w:r>
      <w:r w:rsidRPr="00FC031D">
        <w:rPr>
          <w:rFonts w:hint="eastAsia"/>
        </w:rPr>
        <w:t>，关于缔约国审查会议的第十一条和关于修正程序的第十七条；《不扩散核武器条约》；《世界卫生组织烟草管制框架公约》</w:t>
      </w:r>
      <w:r w:rsidRPr="00FC031D">
        <w:t>(</w:t>
      </w:r>
      <w:r w:rsidRPr="00FC031D">
        <w:rPr>
          <w:rFonts w:hint="eastAsia"/>
        </w:rPr>
        <w:t>联合国，《条约汇编》，第</w:t>
      </w:r>
      <w:r w:rsidRPr="00FC031D">
        <w:t>2302</w:t>
      </w:r>
      <w:r w:rsidRPr="00FC031D">
        <w:rPr>
          <w:rFonts w:hint="eastAsia"/>
        </w:rPr>
        <w:t>卷，第</w:t>
      </w:r>
      <w:r w:rsidRPr="00FC031D">
        <w:t>41032</w:t>
      </w:r>
      <w:r w:rsidRPr="00FC031D">
        <w:rPr>
          <w:rFonts w:hint="eastAsia"/>
        </w:rPr>
        <w:t>号，第</w:t>
      </w:r>
      <w:r w:rsidRPr="00FC031D">
        <w:t>166</w:t>
      </w:r>
      <w:r w:rsidRPr="00FC031D">
        <w:rPr>
          <w:rFonts w:hint="eastAsia"/>
        </w:rPr>
        <w:t>页</w:t>
      </w:r>
      <w:r w:rsidRPr="00FC031D">
        <w:t>)</w:t>
      </w:r>
      <w:r w:rsidRPr="00FC031D">
        <w:rPr>
          <w:rFonts w:hint="eastAsia"/>
        </w:rPr>
        <w:t>，第</w:t>
      </w:r>
      <w:r w:rsidRPr="00FC031D">
        <w:t>23</w:t>
      </w:r>
      <w:r w:rsidRPr="00FC031D">
        <w:rPr>
          <w:rFonts w:hint="eastAsia"/>
        </w:rPr>
        <w:t>条第</w:t>
      </w:r>
      <w:r w:rsidRPr="00FC031D">
        <w:t>5</w:t>
      </w:r>
      <w:r w:rsidRPr="00FC031D">
        <w:rPr>
          <w:rFonts w:hint="eastAsia"/>
        </w:rPr>
        <w:t>款</w:t>
      </w:r>
      <w:r w:rsidRPr="00FC031D">
        <w:t>(</w:t>
      </w:r>
      <w:r w:rsidRPr="00FC031D">
        <w:rPr>
          <w:rFonts w:hint="eastAsia"/>
        </w:rPr>
        <w:t>审查权力</w:t>
      </w:r>
      <w:r w:rsidRPr="00FC031D">
        <w:t>)</w:t>
      </w:r>
      <w:r w:rsidRPr="00FC031D">
        <w:rPr>
          <w:rFonts w:hint="eastAsia"/>
        </w:rPr>
        <w:t>、第</w:t>
      </w:r>
      <w:r w:rsidRPr="00FC031D">
        <w:t>28</w:t>
      </w:r>
      <w:r w:rsidRPr="00FC031D">
        <w:rPr>
          <w:rFonts w:hint="eastAsia"/>
        </w:rPr>
        <w:t>条</w:t>
      </w:r>
      <w:r w:rsidRPr="00FC031D">
        <w:t>(</w:t>
      </w:r>
      <w:r w:rsidRPr="00FC031D">
        <w:rPr>
          <w:rFonts w:hint="eastAsia"/>
        </w:rPr>
        <w:t>修正</w:t>
      </w:r>
      <w:r w:rsidRPr="00FC031D">
        <w:t>)</w:t>
      </w:r>
      <w:r w:rsidRPr="00FC031D">
        <w:rPr>
          <w:rFonts w:hint="eastAsia"/>
        </w:rPr>
        <w:t>和第</w:t>
      </w:r>
      <w:r w:rsidRPr="00FC031D">
        <w:t>33</w:t>
      </w:r>
      <w:r w:rsidRPr="00FC031D">
        <w:rPr>
          <w:rFonts w:hint="eastAsia"/>
        </w:rPr>
        <w:t>条</w:t>
      </w:r>
      <w:r w:rsidRPr="00FC031D">
        <w:t>(</w:t>
      </w:r>
      <w:r w:rsidRPr="00FC031D">
        <w:rPr>
          <w:rFonts w:hint="eastAsia"/>
        </w:rPr>
        <w:t>议定书</w:t>
      </w:r>
      <w:r w:rsidRPr="00FC031D">
        <w:t>)</w:t>
      </w:r>
      <w:r w:rsidRPr="00FC031D">
        <w:rPr>
          <w:rFonts w:hint="eastAsia"/>
        </w:rPr>
        <w:t>。</w:t>
      </w:r>
    </w:p>
  </w:footnote>
  <w:footnote w:id="846">
    <w:p w:rsidR="00AB00DE" w:rsidRPr="00FC031D" w:rsidRDefault="00AB00DE" w:rsidP="00DF5565">
      <w:pPr>
        <w:pStyle w:val="a4"/>
      </w:pPr>
      <w:r w:rsidRPr="00FC031D">
        <w:tab/>
      </w:r>
      <w:r w:rsidRPr="00DF5565">
        <w:rPr>
          <w:color w:val="0000FF"/>
          <w:sz w:val="21"/>
          <w:vertAlign w:val="superscript"/>
        </w:rPr>
        <w:footnoteRef/>
      </w:r>
      <w:r w:rsidRPr="00DF5565">
        <w:rPr>
          <w:color w:val="0000FF"/>
          <w:sz w:val="21"/>
          <w:vertAlign w:val="superscript"/>
        </w:rPr>
        <w:tab/>
      </w:r>
      <w:r w:rsidRPr="00FC031D">
        <w:rPr>
          <w:rFonts w:hint="eastAsia"/>
        </w:rPr>
        <w:t>《世界卫生组织烟草管制框架公约》第</w:t>
      </w:r>
      <w:r w:rsidRPr="00FC031D">
        <w:t>7</w:t>
      </w:r>
      <w:r w:rsidRPr="00FC031D">
        <w:rPr>
          <w:rFonts w:hint="eastAsia"/>
        </w:rPr>
        <w:t>条和第</w:t>
      </w:r>
      <w:r w:rsidRPr="00FC031D">
        <w:t>9</w:t>
      </w:r>
      <w:r w:rsidRPr="00FC031D">
        <w:rPr>
          <w:rFonts w:hint="eastAsia"/>
        </w:rPr>
        <w:t>条。</w:t>
      </w:r>
    </w:p>
  </w:footnote>
  <w:footnote w:id="847">
    <w:p w:rsidR="00AB00DE" w:rsidRPr="00FC031D" w:rsidRDefault="00AB00DE" w:rsidP="00560424">
      <w:pPr>
        <w:pStyle w:val="a4"/>
      </w:pPr>
      <w:r w:rsidRPr="00FC031D">
        <w:tab/>
      </w:r>
      <w:r w:rsidRPr="00DF5565">
        <w:rPr>
          <w:color w:val="0000FF"/>
          <w:sz w:val="21"/>
          <w:vertAlign w:val="superscript"/>
        </w:rPr>
        <w:footnoteRef/>
      </w:r>
      <w:r w:rsidRPr="00DF5565">
        <w:rPr>
          <w:color w:val="0000FF"/>
          <w:sz w:val="21"/>
          <w:vertAlign w:val="superscript"/>
        </w:rPr>
        <w:tab/>
      </w:r>
      <w:r w:rsidRPr="00FC031D">
        <w:rPr>
          <w:rFonts w:hint="eastAsia"/>
        </w:rPr>
        <w:t>《京都议定书》关于排放贸易的第十七条提供了一个例子，见</w:t>
      </w:r>
      <w:r w:rsidRPr="00FC031D">
        <w:rPr>
          <w:w w:val="104"/>
        </w:rPr>
        <w:t>Churchill</w:t>
      </w:r>
      <w:r>
        <w:rPr>
          <w:w w:val="104"/>
        </w:rPr>
        <w:t xml:space="preserve"> </w:t>
      </w:r>
      <w:r w:rsidRPr="00FC031D">
        <w:rPr>
          <w:rFonts w:hint="eastAsia"/>
        </w:rPr>
        <w:t>和</w:t>
      </w:r>
      <w:r>
        <w:t xml:space="preserve"> </w:t>
      </w:r>
      <w:r>
        <w:rPr>
          <w:w w:val="104"/>
        </w:rPr>
        <w:t>Ulfstein,</w:t>
      </w:r>
      <w:r w:rsidRPr="00FC031D">
        <w:rPr>
          <w:rFonts w:hint="eastAsia"/>
          <w:w w:val="104"/>
        </w:rPr>
        <w:t>“</w:t>
      </w:r>
      <w:r w:rsidRPr="00FC031D">
        <w:rPr>
          <w:rFonts w:hint="eastAsia"/>
        </w:rPr>
        <w:t>多边环境协定中的自治机构安排……”</w:t>
      </w:r>
      <w:r w:rsidRPr="00FC031D">
        <w:rPr>
          <w:rFonts w:hint="eastAsia"/>
        </w:rPr>
        <w:t>(</w:t>
      </w:r>
      <w:r w:rsidRPr="00FC031D">
        <w:rPr>
          <w:rFonts w:hint="eastAsia"/>
        </w:rPr>
        <w:t>上文脚注</w:t>
      </w:r>
      <w:r>
        <w:fldChar w:fldCharType="begin"/>
      </w:r>
      <w:r>
        <w:instrText xml:space="preserve"> </w:instrText>
      </w:r>
      <w:r>
        <w:rPr>
          <w:rFonts w:hint="eastAsia"/>
        </w:rPr>
        <w:instrText>NOTEREF _Ref461976973 \h</w:instrText>
      </w:r>
      <w:r>
        <w:instrText xml:space="preserve"> </w:instrText>
      </w:r>
      <w:r>
        <w:fldChar w:fldCharType="separate"/>
      </w:r>
      <w:r w:rsidR="00A73EB9">
        <w:t>836</w:t>
      </w:r>
      <w:r>
        <w:fldChar w:fldCharType="end"/>
      </w:r>
      <w:r w:rsidRPr="00FC031D">
        <w:rPr>
          <w:rFonts w:hint="eastAsia"/>
        </w:rPr>
        <w:t>)</w:t>
      </w:r>
      <w:r w:rsidRPr="00FC031D">
        <w:rPr>
          <w:rFonts w:hint="eastAsia"/>
        </w:rPr>
        <w:t>，</w:t>
      </w:r>
      <w:r w:rsidRPr="00FC031D">
        <w:rPr>
          <w:rFonts w:hint="eastAsia"/>
          <w:w w:val="104"/>
        </w:rPr>
        <w:t>第</w:t>
      </w:r>
      <w:r w:rsidRPr="00FC031D">
        <w:rPr>
          <w:w w:val="104"/>
        </w:rPr>
        <w:t>639</w:t>
      </w:r>
      <w:r w:rsidRPr="00FC031D">
        <w:rPr>
          <w:rFonts w:hint="eastAsia"/>
        </w:rPr>
        <w:t>页</w:t>
      </w:r>
      <w:r w:rsidRPr="00FC031D">
        <w:rPr>
          <w:rFonts w:hint="eastAsia"/>
          <w:w w:val="104"/>
        </w:rPr>
        <w:t>；</w:t>
      </w:r>
      <w:r w:rsidRPr="00FC031D">
        <w:rPr>
          <w:w w:val="104"/>
        </w:rPr>
        <w:t>J. Brunnée,</w:t>
      </w:r>
      <w:r w:rsidRPr="00FC031D">
        <w:rPr>
          <w:rFonts w:hint="eastAsia"/>
          <w:w w:val="104"/>
        </w:rPr>
        <w:t>“</w:t>
      </w:r>
      <w:r w:rsidRPr="00FC031D">
        <w:rPr>
          <w:rFonts w:hint="eastAsia"/>
        </w:rPr>
        <w:t>重新构建国际法架构？环境框架协定中的同意模式</w:t>
      </w:r>
      <w:r w:rsidRPr="00BA6448">
        <w:rPr>
          <w:rFonts w:hint="eastAsia"/>
        </w:rPr>
        <w:t>”</w:t>
      </w:r>
      <w:r w:rsidRPr="00FC031D">
        <w:rPr>
          <w:rFonts w:hint="eastAsia"/>
        </w:rPr>
        <w:t>，载于</w:t>
      </w:r>
      <w:r w:rsidRPr="00FC031D">
        <w:rPr>
          <w:w w:val="104"/>
        </w:rPr>
        <w:t>R. Wolfrum</w:t>
      </w:r>
      <w:r w:rsidRPr="00FC031D">
        <w:rPr>
          <w:rFonts w:hint="eastAsia"/>
        </w:rPr>
        <w:t>和</w:t>
      </w:r>
      <w:r w:rsidRPr="00FC031D">
        <w:rPr>
          <w:w w:val="104"/>
        </w:rPr>
        <w:t>V. Röben</w:t>
      </w:r>
      <w:r w:rsidRPr="00FC031D">
        <w:rPr>
          <w:rFonts w:hint="eastAsia"/>
        </w:rPr>
        <w:t>所编《条约制订方面的国际法发展》</w:t>
      </w:r>
      <w:r w:rsidRPr="00FC031D">
        <w:t>(</w:t>
      </w:r>
      <w:r w:rsidRPr="00FC031D">
        <w:rPr>
          <w:w w:val="104"/>
        </w:rPr>
        <w:t>Berlin, Springer, 2005</w:t>
      </w:r>
      <w:r w:rsidRPr="00FC031D">
        <w:rPr>
          <w:rFonts w:hint="eastAsia"/>
        </w:rPr>
        <w:t>年</w:t>
      </w:r>
      <w:r w:rsidRPr="00FC031D">
        <w:t>)</w:t>
      </w:r>
      <w:r w:rsidRPr="00FC031D">
        <w:rPr>
          <w:rFonts w:hint="eastAsia"/>
          <w:w w:val="104"/>
        </w:rPr>
        <w:t>，</w:t>
      </w:r>
      <w:r w:rsidRPr="00FC031D">
        <w:rPr>
          <w:rFonts w:hint="eastAsia"/>
        </w:rPr>
        <w:t>第</w:t>
      </w:r>
      <w:r w:rsidRPr="00FC031D">
        <w:rPr>
          <w:w w:val="104"/>
        </w:rPr>
        <w:t>110-115</w:t>
      </w:r>
      <w:r w:rsidRPr="00FC031D">
        <w:rPr>
          <w:rFonts w:hint="eastAsia"/>
        </w:rPr>
        <w:t>页。</w:t>
      </w:r>
    </w:p>
  </w:footnote>
  <w:footnote w:id="848">
    <w:p w:rsidR="00AB00DE" w:rsidRPr="00FC031D" w:rsidRDefault="00AB00DE" w:rsidP="00560424">
      <w:pPr>
        <w:pStyle w:val="a4"/>
      </w:pPr>
      <w:r w:rsidRPr="00FC031D">
        <w:tab/>
      </w:r>
      <w:r w:rsidRPr="00DF5565">
        <w:rPr>
          <w:color w:val="0000FF"/>
          <w:sz w:val="21"/>
          <w:vertAlign w:val="superscript"/>
        </w:rPr>
        <w:footnoteRef/>
      </w:r>
      <w:r w:rsidRPr="00DF5565">
        <w:rPr>
          <w:color w:val="0000FF"/>
          <w:sz w:val="21"/>
          <w:vertAlign w:val="superscript"/>
        </w:rPr>
        <w:tab/>
      </w:r>
      <w:r w:rsidRPr="00FC031D">
        <w:rPr>
          <w:rFonts w:hint="eastAsia"/>
        </w:rPr>
        <w:t>见</w:t>
      </w:r>
      <w:r w:rsidRPr="00FC031D">
        <w:rPr>
          <w:w w:val="104"/>
        </w:rPr>
        <w:t>J. Brunnée,</w:t>
      </w:r>
      <w:r w:rsidRPr="00FC031D">
        <w:rPr>
          <w:rFonts w:hint="eastAsia"/>
          <w:w w:val="104"/>
        </w:rPr>
        <w:t>“</w:t>
      </w:r>
      <w:r w:rsidRPr="00FC031D">
        <w:rPr>
          <w:rFonts w:hint="eastAsia"/>
        </w:rPr>
        <w:t>条约的修正”，载于</w:t>
      </w:r>
      <w:r w:rsidRPr="00FC031D">
        <w:rPr>
          <w:w w:val="104"/>
        </w:rPr>
        <w:t>Hollis,</w:t>
      </w:r>
      <w:r w:rsidRPr="00FC031D">
        <w:rPr>
          <w:w w:val="104"/>
        </w:rPr>
        <w:t>《</w:t>
      </w:r>
      <w:r w:rsidRPr="00FC031D">
        <w:rPr>
          <w:rFonts w:hint="eastAsia"/>
        </w:rPr>
        <w:t>牛津条约指南》</w:t>
      </w:r>
      <w:r w:rsidRPr="00FC031D">
        <w:t>(</w:t>
      </w:r>
      <w:r w:rsidRPr="00FC031D">
        <w:rPr>
          <w:rFonts w:hint="eastAsia"/>
        </w:rPr>
        <w:t>上文脚注</w:t>
      </w:r>
      <w:r>
        <w:fldChar w:fldCharType="begin"/>
      </w:r>
      <w:r>
        <w:instrText xml:space="preserve"> </w:instrText>
      </w:r>
      <w:r>
        <w:rPr>
          <w:rFonts w:hint="eastAsia"/>
        </w:rPr>
        <w:instrText>NOTEREF _Ref461976990 \h</w:instrText>
      </w:r>
      <w:r>
        <w:instrText xml:space="preserve"> </w:instrText>
      </w:r>
      <w:r>
        <w:fldChar w:fldCharType="separate"/>
      </w:r>
      <w:r w:rsidR="00A73EB9">
        <w:t>798</w:t>
      </w:r>
      <w:r>
        <w:fldChar w:fldCharType="end"/>
      </w:r>
      <w:r w:rsidRPr="00FC031D">
        <w:t>)</w:t>
      </w:r>
      <w:r w:rsidRPr="00FC031D">
        <w:rPr>
          <w:rFonts w:hint="eastAsia"/>
        </w:rPr>
        <w:t>，第</w:t>
      </w:r>
      <w:r w:rsidRPr="00FC031D">
        <w:rPr>
          <w:w w:val="104"/>
        </w:rPr>
        <w:t>354-360</w:t>
      </w:r>
      <w:r w:rsidRPr="00FC031D">
        <w:rPr>
          <w:rFonts w:hint="eastAsia"/>
        </w:rPr>
        <w:t>页。</w:t>
      </w:r>
    </w:p>
  </w:footnote>
  <w:footnote w:id="849">
    <w:p w:rsidR="00AB00DE" w:rsidRPr="00FC031D" w:rsidRDefault="00AB00DE" w:rsidP="00DF5565">
      <w:pPr>
        <w:pStyle w:val="a4"/>
      </w:pPr>
      <w:r w:rsidRPr="00FC031D">
        <w:tab/>
      </w:r>
      <w:r w:rsidRPr="00DF5565">
        <w:rPr>
          <w:color w:val="0000FF"/>
          <w:sz w:val="21"/>
          <w:vertAlign w:val="superscript"/>
        </w:rPr>
        <w:footnoteRef/>
      </w:r>
      <w:r w:rsidRPr="00DF5565">
        <w:rPr>
          <w:color w:val="0000FF"/>
          <w:sz w:val="21"/>
          <w:vertAlign w:val="superscript"/>
        </w:rPr>
        <w:tab/>
      </w:r>
      <w:r w:rsidRPr="00FC031D">
        <w:rPr>
          <w:rFonts w:hint="eastAsia"/>
        </w:rPr>
        <w:t>同上。</w:t>
      </w:r>
    </w:p>
  </w:footnote>
  <w:footnote w:id="850">
    <w:p w:rsidR="00AB00DE" w:rsidRPr="00FC031D" w:rsidRDefault="00AB00DE" w:rsidP="00DF5565">
      <w:pPr>
        <w:pStyle w:val="a4"/>
      </w:pPr>
      <w:r w:rsidRPr="00FC031D">
        <w:tab/>
      </w:r>
      <w:r w:rsidRPr="00DF5565">
        <w:rPr>
          <w:color w:val="0000FF"/>
          <w:sz w:val="21"/>
          <w:vertAlign w:val="superscript"/>
        </w:rPr>
        <w:footnoteRef/>
      </w:r>
      <w:r w:rsidRPr="00DF5565">
        <w:rPr>
          <w:color w:val="0000FF"/>
          <w:sz w:val="21"/>
          <w:vertAlign w:val="superscript"/>
        </w:rPr>
        <w:tab/>
      </w:r>
      <w:r w:rsidRPr="00FC031D">
        <w:rPr>
          <w:rFonts w:hint="eastAsia"/>
        </w:rPr>
        <w:t>例如，《联合国气候变化框架公约》就是这样。</w:t>
      </w:r>
    </w:p>
  </w:footnote>
  <w:footnote w:id="851">
    <w:p w:rsidR="00AB00DE" w:rsidRPr="00FC031D" w:rsidRDefault="00AB00DE" w:rsidP="00DF5565">
      <w:pPr>
        <w:pStyle w:val="a4"/>
      </w:pPr>
      <w:r w:rsidRPr="00FC031D">
        <w:tab/>
      </w:r>
      <w:r w:rsidRPr="00DF5565">
        <w:rPr>
          <w:color w:val="0000FF"/>
          <w:sz w:val="21"/>
          <w:vertAlign w:val="superscript"/>
        </w:rPr>
        <w:footnoteRef/>
      </w:r>
      <w:r w:rsidRPr="00DF5565">
        <w:rPr>
          <w:color w:val="0000FF"/>
          <w:sz w:val="21"/>
          <w:vertAlign w:val="superscript"/>
        </w:rPr>
        <w:tab/>
      </w:r>
      <w:r w:rsidRPr="00FC031D">
        <w:rPr>
          <w:rFonts w:hint="eastAsia"/>
        </w:rPr>
        <w:t>见</w:t>
      </w:r>
      <w:r w:rsidRPr="00FC031D">
        <w:t>P. Millett,</w:t>
      </w:r>
      <w:r w:rsidRPr="00FC031D">
        <w:rPr>
          <w:rFonts w:hint="eastAsia"/>
        </w:rPr>
        <w:t>“《生物武器公约》：保障二十一世纪的生物安全”，《冲突和安全法期刊》，总第</w:t>
      </w:r>
      <w:r w:rsidRPr="00FC031D">
        <w:t>15</w:t>
      </w:r>
      <w:r w:rsidRPr="00FC031D">
        <w:rPr>
          <w:rFonts w:hint="eastAsia"/>
        </w:rPr>
        <w:t>期，第</w:t>
      </w:r>
      <w:r w:rsidRPr="00FC031D">
        <w:t>1</w:t>
      </w:r>
      <w:r w:rsidRPr="00FC031D">
        <w:rPr>
          <w:rFonts w:hint="eastAsia"/>
        </w:rPr>
        <w:t>期</w:t>
      </w:r>
      <w:r w:rsidRPr="00FC031D">
        <w:t>(2010</w:t>
      </w:r>
      <w:r w:rsidRPr="00FC031D">
        <w:rPr>
          <w:rFonts w:hint="eastAsia"/>
        </w:rPr>
        <w:t>年</w:t>
      </w:r>
      <w:r w:rsidRPr="00FC031D">
        <w:t>)</w:t>
      </w:r>
      <w:r w:rsidRPr="00FC031D">
        <w:rPr>
          <w:rFonts w:hint="eastAsia"/>
        </w:rPr>
        <w:t>，第</w:t>
      </w:r>
      <w:r w:rsidRPr="00FC031D">
        <w:rPr>
          <w:rFonts w:hint="eastAsia"/>
        </w:rPr>
        <w:t>25-43</w:t>
      </w:r>
      <w:r w:rsidRPr="00FC031D">
        <w:rPr>
          <w:rFonts w:hint="eastAsia"/>
        </w:rPr>
        <w:t>页，见第</w:t>
      </w:r>
      <w:r w:rsidRPr="00FC031D">
        <w:t>33</w:t>
      </w:r>
      <w:r w:rsidRPr="00FC031D">
        <w:rPr>
          <w:rFonts w:hint="eastAsia"/>
        </w:rPr>
        <w:t>页。</w:t>
      </w:r>
    </w:p>
  </w:footnote>
  <w:footnote w:id="852">
    <w:p w:rsidR="00AB00DE" w:rsidRPr="00FC031D" w:rsidRDefault="00AB00DE" w:rsidP="00DF5565">
      <w:pPr>
        <w:pStyle w:val="a4"/>
      </w:pPr>
      <w:r w:rsidRPr="00FC031D">
        <w:tab/>
      </w:r>
      <w:r w:rsidRPr="00DF5565">
        <w:rPr>
          <w:color w:val="0000FF"/>
          <w:sz w:val="21"/>
          <w:vertAlign w:val="superscript"/>
        </w:rPr>
        <w:footnoteRef/>
      </w:r>
      <w:r w:rsidRPr="00DF5565">
        <w:rPr>
          <w:color w:val="0000FF"/>
          <w:sz w:val="21"/>
          <w:vertAlign w:val="superscript"/>
        </w:rPr>
        <w:tab/>
      </w:r>
      <w:r w:rsidRPr="00FC031D">
        <w:rPr>
          <w:rFonts w:hint="eastAsia"/>
        </w:rPr>
        <w:t>“履约和支助股”由缔约国会议创立，以便为会议提供行政支持，并加强缔约国之间的建立信任措施</w:t>
      </w:r>
      <w:r w:rsidRPr="00FC031D">
        <w:t>(</w:t>
      </w:r>
      <w:r w:rsidRPr="00FC031D">
        <w:rPr>
          <w:rFonts w:hint="eastAsia"/>
        </w:rPr>
        <w:t>见《关于禁止发展、生产和储存细菌</w:t>
      </w:r>
      <w:r w:rsidRPr="00FC031D">
        <w:t>(</w:t>
      </w:r>
      <w:r w:rsidRPr="00FC031D">
        <w:rPr>
          <w:rFonts w:hint="eastAsia"/>
        </w:rPr>
        <w:t>生物</w:t>
      </w:r>
      <w:r w:rsidRPr="00FC031D">
        <w:t>)</w:t>
      </w:r>
      <w:r w:rsidRPr="00FC031D">
        <w:rPr>
          <w:rFonts w:hint="eastAsia"/>
        </w:rPr>
        <w:t>及毒素武器和销毁此种武器的公约》缔约国第六次审查会议最后文件</w:t>
      </w:r>
      <w:r w:rsidRPr="00FC031D">
        <w:t>(</w:t>
      </w:r>
      <w:hyperlink r:id="rId95" w:history="1">
        <w:r w:rsidRPr="00FC031D">
          <w:rPr>
            <w:rStyle w:val="af"/>
          </w:rPr>
          <w:t>BWC/CONF.VI/6</w:t>
        </w:r>
      </w:hyperlink>
      <w:r w:rsidRPr="00FC031D">
        <w:t>)</w:t>
      </w:r>
      <w:r w:rsidRPr="00FC031D">
        <w:rPr>
          <w:rFonts w:hint="eastAsia"/>
        </w:rPr>
        <w:t>，第三部分</w:t>
      </w:r>
      <w:r w:rsidRPr="00FC031D">
        <w:rPr>
          <w:rFonts w:ascii="Time New Roman" w:hAnsi="Time New Roman" w:hint="eastAsia"/>
        </w:rPr>
        <w:t>(</w:t>
      </w:r>
      <w:r w:rsidRPr="00FC031D">
        <w:rPr>
          <w:rFonts w:ascii="Time New Roman" w:hAnsi="Time New Roman" w:hint="eastAsia"/>
        </w:rPr>
        <w:t>决定和建议</w:t>
      </w:r>
      <w:r w:rsidRPr="00FC031D">
        <w:rPr>
          <w:rFonts w:ascii="Time New Roman" w:hAnsi="Time New Roman" w:hint="eastAsia"/>
        </w:rPr>
        <w:t>)</w:t>
      </w:r>
      <w:r w:rsidRPr="00FC031D">
        <w:rPr>
          <w:rFonts w:ascii="Time New Roman" w:hAnsi="Time New Roman" w:hint="eastAsia"/>
        </w:rPr>
        <w:t>，</w:t>
      </w:r>
      <w:r w:rsidRPr="00FC031D">
        <w:rPr>
          <w:rFonts w:hint="eastAsia"/>
        </w:rPr>
        <w:t>第</w:t>
      </w:r>
      <w:r w:rsidRPr="00FC031D">
        <w:rPr>
          <w:rFonts w:hint="eastAsia"/>
        </w:rPr>
        <w:t>5</w:t>
      </w:r>
      <w:r w:rsidRPr="00FC031D">
        <w:rPr>
          <w:rFonts w:hint="eastAsia"/>
        </w:rPr>
        <w:t>段</w:t>
      </w:r>
      <w:r w:rsidRPr="00FC031D">
        <w:t>)</w:t>
      </w:r>
      <w:r w:rsidRPr="00FC031D">
        <w:rPr>
          <w:rFonts w:hint="eastAsia"/>
        </w:rPr>
        <w:t>。</w:t>
      </w:r>
    </w:p>
  </w:footnote>
  <w:footnote w:id="853">
    <w:p w:rsidR="00AB00DE" w:rsidRPr="00FC031D" w:rsidRDefault="00AB00DE" w:rsidP="00DF5565">
      <w:pPr>
        <w:pStyle w:val="a4"/>
      </w:pPr>
      <w:r w:rsidRPr="00FC031D">
        <w:tab/>
      </w:r>
      <w:r w:rsidRPr="00DF5565">
        <w:rPr>
          <w:color w:val="0000FF"/>
          <w:sz w:val="21"/>
          <w:vertAlign w:val="superscript"/>
        </w:rPr>
        <w:footnoteRef/>
      </w:r>
      <w:r w:rsidRPr="00DF5565">
        <w:rPr>
          <w:color w:val="0000FF"/>
          <w:sz w:val="21"/>
          <w:vertAlign w:val="superscript"/>
        </w:rPr>
        <w:tab/>
      </w:r>
      <w:r w:rsidRPr="00FC031D">
        <w:rPr>
          <w:rFonts w:hint="eastAsia"/>
        </w:rPr>
        <w:t>见履约和支助股提交的背景资料文件，由公约缔约国第七次审查会议编写，标题为“以前的审查会议就公约每一条款达成的补充谅解和协定”</w:t>
      </w:r>
      <w:r w:rsidRPr="00FC031D">
        <w:t>(</w:t>
      </w:r>
      <w:hyperlink r:id="rId96" w:history="1">
        <w:r w:rsidRPr="00FC031D">
          <w:rPr>
            <w:rStyle w:val="af"/>
          </w:rPr>
          <w:t>BWC/CONF.VII/INF.5</w:t>
        </w:r>
      </w:hyperlink>
      <w:r w:rsidRPr="00FC031D">
        <w:t>)(</w:t>
      </w:r>
      <w:r w:rsidRPr="00FC031D">
        <w:rPr>
          <w:rFonts w:hint="eastAsia"/>
        </w:rPr>
        <w:t>后来进行了更新，增加了会议达成的谅解和协定，</w:t>
      </w:r>
      <w:r w:rsidRPr="00FC031D">
        <w:t>2012</w:t>
      </w:r>
      <w:r w:rsidRPr="00FC031D">
        <w:rPr>
          <w:rFonts w:hint="eastAsia"/>
        </w:rPr>
        <w:t>年，日内瓦</w:t>
      </w:r>
      <w:r w:rsidRPr="00FC031D">
        <w:t>)</w:t>
      </w:r>
      <w:r w:rsidRPr="00FC031D">
        <w:rPr>
          <w:rFonts w:hint="eastAsia"/>
        </w:rPr>
        <w:t>。</w:t>
      </w:r>
    </w:p>
  </w:footnote>
  <w:footnote w:id="854">
    <w:p w:rsidR="00AB00DE" w:rsidRPr="00FC031D" w:rsidRDefault="00AB00DE" w:rsidP="00DF5565">
      <w:pPr>
        <w:pStyle w:val="a4"/>
      </w:pPr>
      <w:r w:rsidRPr="00FC031D">
        <w:tab/>
      </w:r>
      <w:r w:rsidRPr="00DF5565">
        <w:rPr>
          <w:rStyle w:val="a5"/>
        </w:rPr>
        <w:footnoteRef/>
      </w:r>
      <w:r w:rsidRPr="00DF5565">
        <w:rPr>
          <w:rStyle w:val="a5"/>
          <w:rFonts w:hint="eastAsia"/>
        </w:rPr>
        <w:tab/>
      </w:r>
      <w:r w:rsidRPr="00FC031D">
        <w:t>联合国，《条约汇编》，第</w:t>
      </w:r>
      <w:r w:rsidRPr="00FC031D">
        <w:t>1046</w:t>
      </w:r>
      <w:r w:rsidRPr="00FC031D">
        <w:t>卷，第</w:t>
      </w:r>
      <w:r w:rsidRPr="00FC031D">
        <w:t>15749</w:t>
      </w:r>
      <w:r w:rsidRPr="00FC031D">
        <w:t>号，第</w:t>
      </w:r>
      <w:r w:rsidRPr="00FC031D">
        <w:t>120</w:t>
      </w:r>
      <w:r w:rsidRPr="00FC031D">
        <w:t>页。</w:t>
      </w:r>
    </w:p>
  </w:footnote>
  <w:footnote w:id="855">
    <w:p w:rsidR="00AB00DE" w:rsidRPr="00FC031D" w:rsidRDefault="00AB00DE" w:rsidP="00DF5565">
      <w:pPr>
        <w:pStyle w:val="a4"/>
      </w:pPr>
      <w:r w:rsidRPr="00FC031D">
        <w:tab/>
      </w:r>
      <w:r w:rsidRPr="00DF5565">
        <w:rPr>
          <w:color w:val="0000FF"/>
          <w:sz w:val="21"/>
          <w:vertAlign w:val="superscript"/>
        </w:rPr>
        <w:footnoteRef/>
      </w:r>
      <w:r w:rsidRPr="00DF5565">
        <w:rPr>
          <w:color w:val="0000FF"/>
          <w:sz w:val="21"/>
          <w:vertAlign w:val="superscript"/>
        </w:rPr>
        <w:tab/>
      </w:r>
      <w:r w:rsidRPr="00FC031D">
        <w:rPr>
          <w:rFonts w:hint="eastAsia"/>
        </w:rPr>
        <w:t>议程项目</w:t>
      </w:r>
      <w:r w:rsidRPr="00FC031D">
        <w:t>4(</w:t>
      </w:r>
      <w:r w:rsidRPr="00FC031D">
        <w:rPr>
          <w:rFonts w:hint="eastAsia"/>
        </w:rPr>
        <w:t>海洋富氧化</w:t>
      </w:r>
      <w:r w:rsidRPr="00FC031D">
        <w:t>)</w:t>
      </w:r>
      <w:r w:rsidRPr="00FC031D">
        <w:rPr>
          <w:rFonts w:hint="eastAsia"/>
        </w:rPr>
        <w:t>，秘书处关于解释性决议决定的程序性规定的提交材料：海事组织法律事务处的意见，</w:t>
      </w:r>
      <w:r w:rsidRPr="00FC031D">
        <w:t>LC 33/J/6</w:t>
      </w:r>
      <w:r w:rsidRPr="00FC031D">
        <w:rPr>
          <w:rFonts w:hint="eastAsia"/>
        </w:rPr>
        <w:t>号文件，第</w:t>
      </w:r>
      <w:r w:rsidRPr="00FC031D">
        <w:t>3</w:t>
      </w:r>
      <w:r w:rsidRPr="00FC031D">
        <w:rPr>
          <w:rFonts w:hint="eastAsia"/>
        </w:rPr>
        <w:t>段。</w:t>
      </w:r>
    </w:p>
  </w:footnote>
  <w:footnote w:id="856">
    <w:p w:rsidR="00AB00DE" w:rsidRPr="00FC031D" w:rsidRDefault="00AB00DE" w:rsidP="00DF5565">
      <w:pPr>
        <w:pStyle w:val="a4"/>
      </w:pPr>
      <w:r w:rsidRPr="00FC031D">
        <w:tab/>
      </w:r>
      <w:r w:rsidRPr="00DF5565">
        <w:rPr>
          <w:color w:val="0000FF"/>
          <w:sz w:val="21"/>
          <w:vertAlign w:val="superscript"/>
        </w:rPr>
        <w:footnoteRef/>
      </w:r>
      <w:r w:rsidRPr="00DF5565">
        <w:rPr>
          <w:color w:val="0000FF"/>
          <w:sz w:val="21"/>
          <w:vertAlign w:val="superscript"/>
        </w:rPr>
        <w:tab/>
      </w:r>
      <w:r w:rsidRPr="00FC031D">
        <w:rPr>
          <w:rFonts w:hint="eastAsia"/>
        </w:rPr>
        <w:t>见《世界卫生组织烟草控制框架公约》缔约方会议，关于烟草制品非法贸易议定书的政府间谈判机构，“主席关于烟草制品非法贸易议定书的修正案文和一般性辩论：关于议定书范围的法律咨询意见”，卫生组织法律顾问关于烟草制品非法贸易议定书范围的说明</w:t>
      </w:r>
      <w:r w:rsidRPr="00FC031D">
        <w:t xml:space="preserve"> (FCTC/COP/INB-IT/3/INF.DOC./6)</w:t>
      </w:r>
      <w:r w:rsidRPr="00FC031D">
        <w:rPr>
          <w:rFonts w:hint="eastAsia"/>
        </w:rPr>
        <w:t>，附件，第</w:t>
      </w:r>
      <w:r w:rsidRPr="00FC031D">
        <w:t>8</w:t>
      </w:r>
      <w:r w:rsidRPr="00FC031D">
        <w:rPr>
          <w:rFonts w:hint="eastAsia"/>
        </w:rPr>
        <w:t>段；</w:t>
      </w:r>
      <w:r w:rsidRPr="00FC031D">
        <w:t>S.</w:t>
      </w:r>
      <w:r w:rsidRPr="00FC031D">
        <w:rPr>
          <w:rFonts w:hint="eastAsia"/>
        </w:rPr>
        <w:t xml:space="preserve"> </w:t>
      </w:r>
      <w:r w:rsidRPr="00FC031D">
        <w:t>F.</w:t>
      </w:r>
      <w:r w:rsidRPr="00FC031D">
        <w:rPr>
          <w:rFonts w:hint="eastAsia"/>
        </w:rPr>
        <w:t xml:space="preserve"> </w:t>
      </w:r>
      <w:r w:rsidRPr="00FC031D">
        <w:t>Halabi,</w:t>
      </w:r>
      <w:r w:rsidRPr="00FC031D">
        <w:rPr>
          <w:rFonts w:hint="eastAsia"/>
        </w:rPr>
        <w:t>“世界卫生组织烟草控制框架公约：对缔约方会议所通过的指南的分析”，《格鲁吉亚国际和比较法期刊</w:t>
      </w:r>
      <w:r w:rsidRPr="007866F0">
        <w:rPr>
          <w:rFonts w:eastAsia="楷体"/>
        </w:rPr>
        <w:t>》，</w:t>
      </w:r>
      <w:r w:rsidRPr="00FC031D">
        <w:rPr>
          <w:rFonts w:hint="eastAsia"/>
        </w:rPr>
        <w:t>第</w:t>
      </w:r>
      <w:r w:rsidRPr="00FC031D">
        <w:t>39</w:t>
      </w:r>
      <w:r w:rsidRPr="00FC031D">
        <w:rPr>
          <w:rFonts w:hint="eastAsia"/>
        </w:rPr>
        <w:t>期</w:t>
      </w:r>
      <w:r w:rsidRPr="00FC031D">
        <w:rPr>
          <w:rFonts w:ascii="Time New Roman" w:hAnsi="Time New Roman" w:hint="eastAsia"/>
        </w:rPr>
        <w:t>(</w:t>
      </w:r>
      <w:r w:rsidRPr="00FC031D">
        <w:rPr>
          <w:rFonts w:ascii="Time New Roman" w:hAnsi="Time New Roman"/>
        </w:rPr>
        <w:t>2010</w:t>
      </w:r>
      <w:r w:rsidRPr="00FC031D">
        <w:rPr>
          <w:rFonts w:ascii="Time New Roman" w:hAnsi="Time New Roman" w:hint="eastAsia"/>
        </w:rPr>
        <w:t>年</w:t>
      </w:r>
      <w:r w:rsidRPr="00FC031D">
        <w:rPr>
          <w:rFonts w:ascii="Time New Roman" w:hAnsi="Time New Roman" w:hint="eastAsia"/>
        </w:rPr>
        <w:t>)</w:t>
      </w:r>
      <w:r w:rsidRPr="00FC031D">
        <w:rPr>
          <w:rFonts w:hint="eastAsia"/>
        </w:rPr>
        <w:t>，第</w:t>
      </w:r>
      <w:r w:rsidRPr="00FC031D">
        <w:rPr>
          <w:rFonts w:hint="eastAsia"/>
        </w:rPr>
        <w:t>121</w:t>
      </w:r>
      <w:r w:rsidRPr="00FC031D">
        <w:t>-</w:t>
      </w:r>
      <w:r w:rsidRPr="00FC031D">
        <w:rPr>
          <w:rFonts w:hint="eastAsia"/>
        </w:rPr>
        <w:t>183</w:t>
      </w:r>
      <w:r w:rsidRPr="00FC031D">
        <w:rPr>
          <w:rFonts w:hint="eastAsia"/>
        </w:rPr>
        <w:t>页。</w:t>
      </w:r>
    </w:p>
  </w:footnote>
  <w:footnote w:id="857">
    <w:p w:rsidR="00AB00DE" w:rsidRPr="00FC031D" w:rsidRDefault="00AB00DE" w:rsidP="00D90936">
      <w:pPr>
        <w:pStyle w:val="a4"/>
      </w:pPr>
      <w:r w:rsidRPr="00FC031D">
        <w:tab/>
      </w:r>
      <w:r w:rsidRPr="00DF5565">
        <w:rPr>
          <w:color w:val="0000FF"/>
          <w:sz w:val="21"/>
          <w:vertAlign w:val="superscript"/>
        </w:rPr>
        <w:footnoteRef/>
      </w:r>
      <w:r w:rsidRPr="00DF5565">
        <w:rPr>
          <w:color w:val="0000FF"/>
          <w:sz w:val="21"/>
          <w:vertAlign w:val="superscript"/>
        </w:rPr>
        <w:tab/>
      </w:r>
      <w:r w:rsidRPr="00FC031D">
        <w:t>D. H. Joyner,</w:t>
      </w:r>
      <w:r w:rsidRPr="00FC031D">
        <w:t>《</w:t>
      </w:r>
      <w:r w:rsidRPr="00FC031D">
        <w:rPr>
          <w:rFonts w:hint="eastAsia"/>
        </w:rPr>
        <w:t>解释核不扩散条约》</w:t>
      </w:r>
      <w:r w:rsidRPr="00FC031D">
        <w:t>(</w:t>
      </w:r>
      <w:r w:rsidRPr="00FC031D">
        <w:rPr>
          <w:rFonts w:hint="eastAsia"/>
        </w:rPr>
        <w:t>牛津，牛津大学出版社，</w:t>
      </w:r>
      <w:r w:rsidRPr="00FC031D">
        <w:t>2011</w:t>
      </w:r>
      <w:r w:rsidRPr="00FC031D">
        <w:rPr>
          <w:rFonts w:hint="eastAsia"/>
        </w:rPr>
        <w:t>年</w:t>
      </w:r>
      <w:r w:rsidRPr="00FC031D">
        <w:t>)</w:t>
      </w:r>
      <w:r w:rsidRPr="00FC031D">
        <w:rPr>
          <w:rFonts w:hint="eastAsia"/>
        </w:rPr>
        <w:t>，第</w:t>
      </w:r>
      <w:r w:rsidRPr="00FC031D">
        <w:t>83</w:t>
      </w:r>
      <w:r w:rsidRPr="00FC031D">
        <w:rPr>
          <w:rFonts w:hint="eastAsia"/>
        </w:rPr>
        <w:t>页</w:t>
      </w:r>
      <w:r w:rsidRPr="00FC031D">
        <w:t>(</w:t>
      </w:r>
      <w:r w:rsidRPr="00FC031D">
        <w:rPr>
          <w:rFonts w:hint="eastAsia"/>
        </w:rPr>
        <w:t>关于不扩散条约</w:t>
      </w:r>
      <w:r w:rsidRPr="00FC031D">
        <w:t>)</w:t>
      </w:r>
      <w:r w:rsidRPr="00FC031D">
        <w:rPr>
          <w:rFonts w:hint="eastAsia"/>
        </w:rPr>
        <w:t>；</w:t>
      </w:r>
      <w:r w:rsidRPr="00FC031D">
        <w:t>Aust,</w:t>
      </w:r>
      <w:r w:rsidRPr="00FC031D">
        <w:t>《</w:t>
      </w:r>
      <w:r w:rsidRPr="00FC031D">
        <w:rPr>
          <w:rFonts w:hint="eastAsia"/>
        </w:rPr>
        <w:t>现代条约法和实践》</w:t>
      </w:r>
      <w:r w:rsidRPr="00FC031D">
        <w:t>(</w:t>
      </w:r>
      <w:r w:rsidRPr="00FC031D">
        <w:rPr>
          <w:rFonts w:hint="eastAsia"/>
        </w:rPr>
        <w:t>见上文脚注</w:t>
      </w:r>
      <w:r>
        <w:fldChar w:fldCharType="begin"/>
      </w:r>
      <w:r>
        <w:instrText xml:space="preserve"> </w:instrText>
      </w:r>
      <w:r>
        <w:rPr>
          <w:rFonts w:hint="eastAsia"/>
        </w:rPr>
        <w:instrText>NOTEREF _Ref461972435 \h</w:instrText>
      </w:r>
      <w:r>
        <w:instrText xml:space="preserve"> </w:instrText>
      </w:r>
      <w:r>
        <w:fldChar w:fldCharType="separate"/>
      </w:r>
      <w:r w:rsidR="00A73EB9">
        <w:t>525</w:t>
      </w:r>
      <w:r>
        <w:fldChar w:fldCharType="end"/>
      </w:r>
      <w:r w:rsidRPr="00FC031D">
        <w:rPr>
          <w:rFonts w:hint="eastAsia"/>
        </w:rPr>
        <w:t>)</w:t>
      </w:r>
      <w:r w:rsidRPr="00FC031D">
        <w:t>，</w:t>
      </w:r>
      <w:r w:rsidRPr="00FC031D">
        <w:rPr>
          <w:rFonts w:hint="eastAsia"/>
        </w:rPr>
        <w:t>第</w:t>
      </w:r>
      <w:r w:rsidRPr="00FC031D">
        <w:t>213-214</w:t>
      </w:r>
      <w:r w:rsidRPr="00FC031D">
        <w:rPr>
          <w:rFonts w:hint="eastAsia"/>
        </w:rPr>
        <w:t>页。</w:t>
      </w:r>
    </w:p>
  </w:footnote>
  <w:footnote w:id="858">
    <w:p w:rsidR="00AB00DE" w:rsidRPr="00E168FB" w:rsidRDefault="00AB00DE" w:rsidP="00B75685">
      <w:pPr>
        <w:pStyle w:val="a4"/>
      </w:pPr>
      <w:r w:rsidRPr="00E168FB">
        <w:tab/>
      </w:r>
      <w:r w:rsidRPr="00D54A01">
        <w:rPr>
          <w:color w:val="0000FF"/>
          <w:sz w:val="21"/>
          <w:szCs w:val="21"/>
          <w:vertAlign w:val="superscript"/>
        </w:rPr>
        <w:footnoteRef/>
      </w:r>
      <w:r w:rsidRPr="00D54A01">
        <w:rPr>
          <w:color w:val="0000FF"/>
          <w:sz w:val="21"/>
          <w:vertAlign w:val="superscript"/>
        </w:rPr>
        <w:tab/>
      </w:r>
      <w:r w:rsidRPr="00E168FB">
        <w:t>B. M. Carnahan,</w:t>
      </w:r>
      <w:r w:rsidRPr="00E168FB">
        <w:rPr>
          <w:rFonts w:hint="eastAsia"/>
        </w:rPr>
        <w:t>“</w:t>
      </w:r>
      <w:r w:rsidRPr="00E168FB">
        <w:rPr>
          <w:rFonts w:ascii="宋体" w:hAnsi="宋体" w:cs="宋体" w:hint="eastAsia"/>
        </w:rPr>
        <w:t>条约审查会议</w:t>
      </w:r>
      <w:r w:rsidRPr="00E168FB">
        <w:rPr>
          <w:rFonts w:hint="eastAsia"/>
        </w:rPr>
        <w:t>”</w:t>
      </w:r>
      <w:r w:rsidRPr="00E168FB">
        <w:rPr>
          <w:rFonts w:ascii="宋体" w:hAnsi="宋体" w:cs="宋体" w:hint="eastAsia"/>
        </w:rPr>
        <w:t>，《美国国际法期刊》，总第</w:t>
      </w:r>
      <w:r w:rsidRPr="00E168FB">
        <w:t>81</w:t>
      </w:r>
      <w:r w:rsidRPr="00E168FB">
        <w:rPr>
          <w:rFonts w:ascii="宋体" w:hAnsi="宋体" w:cs="宋体" w:hint="eastAsia"/>
        </w:rPr>
        <w:t>期，第</w:t>
      </w:r>
      <w:r w:rsidRPr="00E168FB">
        <w:t>1</w:t>
      </w:r>
      <w:r w:rsidRPr="00E168FB">
        <w:rPr>
          <w:rFonts w:ascii="宋体" w:hAnsi="宋体" w:cs="宋体" w:hint="eastAsia"/>
        </w:rPr>
        <w:t>期</w:t>
      </w:r>
      <w:r w:rsidRPr="00E168FB">
        <w:t>(1987</w:t>
      </w:r>
      <w:r w:rsidRPr="00E168FB">
        <w:rPr>
          <w:rFonts w:ascii="宋体" w:hAnsi="宋体" w:cs="宋体" w:hint="eastAsia"/>
        </w:rPr>
        <w:t>年</w:t>
      </w:r>
      <w:r w:rsidRPr="00E168FB">
        <w:t>)</w:t>
      </w:r>
      <w:r w:rsidRPr="00E168FB">
        <w:rPr>
          <w:rFonts w:ascii="宋体" w:hAnsi="宋体" w:cs="宋体" w:hint="eastAsia"/>
        </w:rPr>
        <w:t>，第</w:t>
      </w:r>
      <w:r w:rsidRPr="00E168FB">
        <w:rPr>
          <w:rFonts w:hint="eastAsia"/>
        </w:rPr>
        <w:t>226-230</w:t>
      </w:r>
      <w:r w:rsidRPr="00E168FB">
        <w:rPr>
          <w:rFonts w:ascii="宋体" w:hAnsi="宋体" w:cs="宋体" w:hint="eastAsia"/>
        </w:rPr>
        <w:t>页，见第</w:t>
      </w:r>
      <w:r w:rsidRPr="00E168FB">
        <w:t>229</w:t>
      </w:r>
      <w:r w:rsidRPr="00E168FB">
        <w:rPr>
          <w:rFonts w:ascii="宋体" w:hAnsi="宋体" w:cs="宋体" w:hint="eastAsia"/>
        </w:rPr>
        <w:t>页。</w:t>
      </w:r>
    </w:p>
  </w:footnote>
  <w:footnote w:id="859">
    <w:p w:rsidR="00AB00DE" w:rsidRPr="00E168FB" w:rsidRDefault="00AB00DE" w:rsidP="00B75685">
      <w:pPr>
        <w:pStyle w:val="a4"/>
      </w:pPr>
      <w:r w:rsidRPr="00E168FB">
        <w:tab/>
      </w:r>
      <w:r w:rsidRPr="00D54A01">
        <w:rPr>
          <w:color w:val="0000FF"/>
          <w:sz w:val="21"/>
          <w:szCs w:val="21"/>
          <w:vertAlign w:val="superscript"/>
        </w:rPr>
        <w:footnoteRef/>
      </w:r>
      <w:r w:rsidRPr="00D54A01">
        <w:rPr>
          <w:color w:val="0000FF"/>
          <w:sz w:val="21"/>
          <w:vertAlign w:val="superscript"/>
        </w:rPr>
        <w:tab/>
      </w:r>
      <w:r w:rsidRPr="00E168FB">
        <w:rPr>
          <w:rFonts w:eastAsia="楷体_GB2312"/>
        </w:rPr>
        <w:t>南极捕鲸案</w:t>
      </w:r>
      <w:r w:rsidRPr="00E168FB">
        <w:rPr>
          <w:rFonts w:eastAsia="楷体_GB2312"/>
        </w:rPr>
        <w:t>(</w:t>
      </w:r>
      <w:r w:rsidRPr="00E168FB">
        <w:rPr>
          <w:rFonts w:eastAsia="楷体_GB2312"/>
        </w:rPr>
        <w:t>澳大利亚</w:t>
      </w:r>
      <w:r w:rsidRPr="00E168FB">
        <w:rPr>
          <w:rFonts w:eastAsia="楷体_GB2312"/>
          <w:iCs/>
        </w:rPr>
        <w:t>诉</w:t>
      </w:r>
      <w:r w:rsidRPr="00E168FB">
        <w:rPr>
          <w:rFonts w:eastAsia="楷体_GB2312"/>
        </w:rPr>
        <w:t>日本：新西兰参与诉讼</w:t>
      </w:r>
      <w:r w:rsidRPr="00E168FB">
        <w:rPr>
          <w:rFonts w:eastAsia="楷体_GB2312"/>
        </w:rPr>
        <w:t>)</w:t>
      </w:r>
      <w:r w:rsidRPr="00E168FB">
        <w:rPr>
          <w:rFonts w:eastAsia="楷体_GB2312"/>
        </w:rPr>
        <w:t>，</w:t>
      </w:r>
      <w:r w:rsidRPr="00E168FB">
        <w:t>判决，《</w:t>
      </w:r>
      <w:r w:rsidRPr="00E168FB">
        <w:rPr>
          <w:w w:val="104"/>
        </w:rPr>
        <w:t>2014</w:t>
      </w:r>
      <w:r w:rsidRPr="00E168FB">
        <w:t>年国际法院案例汇编》</w:t>
      </w:r>
      <w:r w:rsidRPr="00E168FB">
        <w:rPr>
          <w:w w:val="104"/>
        </w:rPr>
        <w:t>，</w:t>
      </w:r>
      <w:r w:rsidRPr="00E168FB">
        <w:t>第</w:t>
      </w:r>
      <w:r w:rsidRPr="00E168FB">
        <w:t>226</w:t>
      </w:r>
      <w:r w:rsidRPr="00E168FB">
        <w:t>页</w:t>
      </w:r>
      <w:r w:rsidRPr="00E168FB">
        <w:rPr>
          <w:rFonts w:hint="eastAsia"/>
        </w:rPr>
        <w:t>起，见第</w:t>
      </w:r>
      <w:r w:rsidRPr="00E168FB">
        <w:rPr>
          <w:rFonts w:hint="eastAsia"/>
        </w:rPr>
        <w:t>248</w:t>
      </w:r>
      <w:r w:rsidRPr="00E168FB">
        <w:rPr>
          <w:rFonts w:hint="eastAsia"/>
        </w:rPr>
        <w:t>页，第</w:t>
      </w:r>
      <w:r w:rsidRPr="00E168FB">
        <w:t>46</w:t>
      </w:r>
      <w:r w:rsidRPr="00E168FB">
        <w:rPr>
          <w:rFonts w:hint="eastAsia"/>
        </w:rPr>
        <w:t>段</w:t>
      </w:r>
      <w:r w:rsidRPr="00E168FB">
        <w:t>。</w:t>
      </w:r>
    </w:p>
  </w:footnote>
  <w:footnote w:id="860">
    <w:p w:rsidR="00AB00DE" w:rsidRPr="00E168FB" w:rsidRDefault="00AB00DE" w:rsidP="00B75685">
      <w:pPr>
        <w:pStyle w:val="a4"/>
      </w:pPr>
      <w:r w:rsidRPr="00E168FB">
        <w:tab/>
      </w:r>
      <w:r w:rsidRPr="00D54A01">
        <w:rPr>
          <w:color w:val="0000FF"/>
          <w:sz w:val="21"/>
          <w:szCs w:val="21"/>
          <w:vertAlign w:val="superscript"/>
        </w:rPr>
        <w:footnoteRef/>
      </w:r>
      <w:r w:rsidRPr="00D54A01">
        <w:rPr>
          <w:color w:val="0000FF"/>
          <w:sz w:val="21"/>
          <w:vertAlign w:val="superscript"/>
        </w:rPr>
        <w:tab/>
      </w:r>
      <w:r w:rsidRPr="00E168FB">
        <w:rPr>
          <w:rFonts w:ascii="宋体" w:hAnsi="宋体" w:cs="宋体" w:hint="eastAsia"/>
        </w:rPr>
        <w:t>《关于禁止发展、生产和储存细菌</w:t>
      </w:r>
      <w:r w:rsidRPr="00E168FB">
        <w:t>(</w:t>
      </w:r>
      <w:r w:rsidRPr="00E168FB">
        <w:rPr>
          <w:rFonts w:ascii="宋体" w:hAnsi="宋体" w:cs="宋体" w:hint="eastAsia"/>
        </w:rPr>
        <w:t>生物</w:t>
      </w:r>
      <w:r w:rsidRPr="00E168FB">
        <w:t>)</w:t>
      </w:r>
      <w:r w:rsidRPr="00E168FB">
        <w:rPr>
          <w:rFonts w:ascii="宋体" w:hAnsi="宋体" w:cs="宋体" w:hint="eastAsia"/>
        </w:rPr>
        <w:t>及毒素武器和销毁此种武器的公约》缔约国第三次审查会议最后声明</w:t>
      </w:r>
      <w:r w:rsidRPr="00E168FB">
        <w:t>，</w:t>
      </w:r>
      <w:r w:rsidRPr="00E168FB">
        <w:t>1991</w:t>
      </w:r>
      <w:r w:rsidRPr="00E168FB">
        <w:t>年</w:t>
      </w:r>
      <w:r w:rsidRPr="00E168FB">
        <w:t>9</w:t>
      </w:r>
      <w:r w:rsidRPr="00E168FB">
        <w:t>月</w:t>
      </w:r>
      <w:r w:rsidRPr="00E168FB">
        <w:t>9</w:t>
      </w:r>
      <w:r w:rsidRPr="00E168FB">
        <w:t>日至</w:t>
      </w:r>
      <w:r w:rsidRPr="00E168FB">
        <w:t>27</w:t>
      </w:r>
      <w:r w:rsidRPr="00E168FB">
        <w:t>日，日内瓦</w:t>
      </w:r>
      <w:r w:rsidRPr="00E168FB">
        <w:t xml:space="preserve">(BWC/CONF.III/23, </w:t>
      </w:r>
      <w:r w:rsidRPr="00E168FB">
        <w:rPr>
          <w:rFonts w:ascii="宋体" w:hAnsi="宋体" w:cs="宋体" w:hint="eastAsia"/>
        </w:rPr>
        <w:t>第二部分</w:t>
      </w:r>
      <w:r w:rsidRPr="00E168FB">
        <w:t>)</w:t>
      </w:r>
      <w:r w:rsidRPr="00E168FB">
        <w:rPr>
          <w:rFonts w:ascii="宋体" w:hAnsi="宋体" w:cs="宋体" w:hint="eastAsia"/>
        </w:rPr>
        <w:t>。</w:t>
      </w:r>
    </w:p>
  </w:footnote>
  <w:footnote w:id="861">
    <w:p w:rsidR="00AB00DE" w:rsidRPr="00E168FB" w:rsidRDefault="00AB00DE" w:rsidP="00B75685">
      <w:pPr>
        <w:pStyle w:val="a4"/>
      </w:pPr>
      <w:r w:rsidRPr="00E168FB">
        <w:rPr>
          <w:rFonts w:hint="eastAsia"/>
        </w:rPr>
        <w:tab/>
      </w:r>
      <w:r w:rsidRPr="00D54A01">
        <w:rPr>
          <w:rStyle w:val="a5"/>
          <w:szCs w:val="21"/>
        </w:rPr>
        <w:footnoteRef/>
      </w:r>
      <w:r w:rsidRPr="00E168FB">
        <w:tab/>
      </w:r>
      <w:r w:rsidRPr="00E168FB">
        <w:rPr>
          <w:rFonts w:hint="eastAsia"/>
        </w:rPr>
        <w:t>联合国，</w:t>
      </w:r>
      <w:r w:rsidRPr="00E168FB">
        <w:t>《条约汇编》，第</w:t>
      </w:r>
      <w:r w:rsidRPr="00E168FB">
        <w:t>1522</w:t>
      </w:r>
      <w:r w:rsidRPr="00E168FB">
        <w:t>卷，第</w:t>
      </w:r>
      <w:r w:rsidRPr="00E168FB">
        <w:t>26369</w:t>
      </w:r>
      <w:r w:rsidRPr="00E168FB">
        <w:t>号，第</w:t>
      </w:r>
      <w:r w:rsidRPr="00E168FB">
        <w:rPr>
          <w:rFonts w:hint="eastAsia"/>
        </w:rPr>
        <w:t>3</w:t>
      </w:r>
      <w:r w:rsidRPr="00E168FB">
        <w:t>页</w:t>
      </w:r>
      <w:r>
        <w:rPr>
          <w:rFonts w:hint="eastAsia"/>
        </w:rPr>
        <w:t>。</w:t>
      </w:r>
    </w:p>
  </w:footnote>
  <w:footnote w:id="862">
    <w:p w:rsidR="00AB00DE" w:rsidRPr="00E168FB" w:rsidRDefault="00AB00DE" w:rsidP="00B75685">
      <w:pPr>
        <w:pStyle w:val="a4"/>
      </w:pPr>
      <w:r w:rsidRPr="00E168FB">
        <w:rPr>
          <w:rFonts w:hint="eastAsia"/>
        </w:rPr>
        <w:tab/>
      </w:r>
      <w:r w:rsidRPr="00D54A01">
        <w:rPr>
          <w:rStyle w:val="a5"/>
          <w:szCs w:val="21"/>
        </w:rPr>
        <w:footnoteRef/>
      </w:r>
      <w:r w:rsidRPr="00E168FB">
        <w:tab/>
      </w:r>
      <w:r w:rsidRPr="00E168FB">
        <w:t>《</w:t>
      </w:r>
      <w:r w:rsidRPr="00E168FB">
        <w:rPr>
          <w:rStyle w:val="preferred"/>
        </w:rPr>
        <w:t>关于消耗臭氧层物质的蒙特利尔议定书哥本哈根修正案</w:t>
      </w:r>
      <w:r w:rsidRPr="00E168FB">
        <w:t>》</w:t>
      </w:r>
      <w:r w:rsidRPr="00E168FB">
        <w:t>(1992</w:t>
      </w:r>
      <w:r w:rsidRPr="00E168FB">
        <w:t>年</w:t>
      </w:r>
      <w:r w:rsidRPr="00E168FB">
        <w:t>)</w:t>
      </w:r>
      <w:r w:rsidRPr="00E168FB">
        <w:t>，联合国，《条约汇编》，第</w:t>
      </w:r>
      <w:r w:rsidRPr="00E168FB">
        <w:t>1785</w:t>
      </w:r>
      <w:r w:rsidRPr="00E168FB">
        <w:t>卷，第</w:t>
      </w:r>
      <w:r w:rsidRPr="00E168FB">
        <w:t>26369</w:t>
      </w:r>
      <w:r w:rsidRPr="00E168FB">
        <w:t>号，第</w:t>
      </w:r>
      <w:r w:rsidRPr="00E168FB">
        <w:t>517</w:t>
      </w:r>
      <w:r w:rsidRPr="00E168FB">
        <w:t>页</w:t>
      </w:r>
      <w:r w:rsidRPr="00E168FB">
        <w:rPr>
          <w:rFonts w:hint="eastAsia"/>
        </w:rPr>
        <w:t>；</w:t>
      </w:r>
      <w:r w:rsidRPr="00E168FB">
        <w:t>以及《</w:t>
      </w:r>
      <w:r w:rsidRPr="00E168FB">
        <w:rPr>
          <w:rStyle w:val="preferred"/>
        </w:rPr>
        <w:t>关于消耗臭氧层物质的蒙特利尔议定书北京修正案</w:t>
      </w:r>
      <w:r w:rsidRPr="00E168FB">
        <w:t>》</w:t>
      </w:r>
      <w:r w:rsidRPr="00E168FB">
        <w:t>(1999</w:t>
      </w:r>
      <w:r w:rsidRPr="00E168FB">
        <w:t>年</w:t>
      </w:r>
      <w:r w:rsidRPr="00E168FB">
        <w:t>)</w:t>
      </w:r>
      <w:r w:rsidRPr="00E168FB">
        <w:t>，同上，第</w:t>
      </w:r>
      <w:r w:rsidRPr="00E168FB">
        <w:t>2173</w:t>
      </w:r>
      <w:r w:rsidRPr="00E168FB">
        <w:t>卷，第</w:t>
      </w:r>
      <w:r w:rsidRPr="00E168FB">
        <w:t>26369</w:t>
      </w:r>
      <w:r w:rsidRPr="00E168FB">
        <w:t>号，第</w:t>
      </w:r>
      <w:r w:rsidRPr="00E168FB">
        <w:t>183</w:t>
      </w:r>
      <w:r w:rsidRPr="00E168FB">
        <w:t>页。</w:t>
      </w:r>
    </w:p>
  </w:footnote>
  <w:footnote w:id="863">
    <w:p w:rsidR="00AB00DE" w:rsidRPr="00E168FB" w:rsidRDefault="00AB00DE" w:rsidP="00B75685">
      <w:pPr>
        <w:pStyle w:val="a4"/>
      </w:pPr>
      <w:r w:rsidRPr="00E168FB">
        <w:tab/>
      </w:r>
      <w:r w:rsidRPr="00D54A01">
        <w:rPr>
          <w:rStyle w:val="a5"/>
          <w:szCs w:val="21"/>
        </w:rPr>
        <w:footnoteRef/>
      </w:r>
      <w:r w:rsidRPr="00D54A01">
        <w:rPr>
          <w:color w:val="0000FF"/>
          <w:sz w:val="21"/>
          <w:vertAlign w:val="superscript"/>
        </w:rPr>
        <w:tab/>
      </w:r>
      <w:r w:rsidRPr="00E168FB">
        <w:rPr>
          <w:rFonts w:ascii="宋体" w:hAnsi="宋体" w:cs="宋体" w:hint="eastAsia"/>
        </w:rPr>
        <w:t>详情见</w:t>
      </w:r>
      <w:r w:rsidRPr="00E168FB">
        <w:t>1999</w:t>
      </w:r>
      <w:r w:rsidRPr="00E168FB">
        <w:rPr>
          <w:rFonts w:ascii="宋体" w:hAnsi="宋体" w:cs="宋体" w:hint="eastAsia"/>
        </w:rPr>
        <w:t>年《北京修正案》各方在《蒙特利尔议定书》关于氢氟碳化合物的第四条下承担义务的第</w:t>
      </w:r>
      <w:r w:rsidRPr="00E168FB">
        <w:t>XV/3</w:t>
      </w:r>
      <w:r w:rsidRPr="00E168FB">
        <w:rPr>
          <w:rFonts w:ascii="宋体" w:hAnsi="宋体" w:cs="宋体" w:hint="eastAsia"/>
        </w:rPr>
        <w:t>号决定；定义本身如下：</w:t>
      </w:r>
      <w:r w:rsidRPr="00E168FB">
        <w:rPr>
          <w:rFonts w:hint="eastAsia"/>
        </w:rPr>
        <w:t>“……</w:t>
      </w:r>
      <w:r w:rsidRPr="00E168FB">
        <w:t xml:space="preserve">(a) </w:t>
      </w:r>
      <w:r w:rsidRPr="00E168FB">
        <w:rPr>
          <w:rFonts w:ascii="宋体" w:hAnsi="宋体" w:cs="宋体" w:hint="eastAsia"/>
        </w:rPr>
        <w:t>第</w:t>
      </w:r>
      <w:r w:rsidRPr="00E168FB">
        <w:t>4</w:t>
      </w:r>
      <w:r w:rsidRPr="00E168FB">
        <w:rPr>
          <w:rFonts w:ascii="宋体" w:hAnsi="宋体" w:cs="宋体" w:hint="eastAsia"/>
        </w:rPr>
        <w:t>条第</w:t>
      </w:r>
      <w:r w:rsidRPr="00E168FB">
        <w:t>9</w:t>
      </w:r>
      <w:r w:rsidRPr="00E168FB">
        <w:rPr>
          <w:rFonts w:ascii="宋体" w:hAnsi="宋体" w:cs="宋体" w:hint="eastAsia"/>
        </w:rPr>
        <w:t>款中的</w:t>
      </w:r>
      <w:r w:rsidRPr="00E168FB">
        <w:rPr>
          <w:rFonts w:hint="eastAsia"/>
        </w:rPr>
        <w:t>‘</w:t>
      </w:r>
      <w:r w:rsidRPr="00E168FB">
        <w:rPr>
          <w:rFonts w:ascii="宋体" w:hAnsi="宋体" w:cs="宋体" w:hint="eastAsia"/>
        </w:rPr>
        <w:t>非本议定书缔约方的国家</w:t>
      </w:r>
      <w:r w:rsidRPr="00E168FB">
        <w:rPr>
          <w:rFonts w:hint="eastAsia"/>
        </w:rPr>
        <w:t>’</w:t>
      </w:r>
      <w:r w:rsidRPr="00E168FB">
        <w:rPr>
          <w:rFonts w:ascii="宋体" w:hAnsi="宋体" w:cs="宋体" w:hint="eastAsia"/>
        </w:rPr>
        <w:t>一语于</w:t>
      </w:r>
      <w:r w:rsidRPr="00E168FB">
        <w:t>2016</w:t>
      </w:r>
      <w:r w:rsidRPr="00E168FB">
        <w:rPr>
          <w:rFonts w:ascii="宋体" w:hAnsi="宋体" w:cs="宋体" w:hint="eastAsia"/>
        </w:rPr>
        <w:t>年</w:t>
      </w:r>
      <w:r w:rsidRPr="00E168FB">
        <w:t>1</w:t>
      </w:r>
      <w:r w:rsidRPr="00E168FB">
        <w:rPr>
          <w:rFonts w:ascii="宋体" w:hAnsi="宋体" w:cs="宋体" w:hint="eastAsia"/>
        </w:rPr>
        <w:t>月</w:t>
      </w:r>
      <w:r w:rsidRPr="00E168FB">
        <w:t>1</w:t>
      </w:r>
      <w:r w:rsidRPr="00E168FB">
        <w:rPr>
          <w:rFonts w:ascii="宋体" w:hAnsi="宋体" w:cs="宋体" w:hint="eastAsia"/>
        </w:rPr>
        <w:t>日之前不适用于那些按《议定书》第</w:t>
      </w:r>
      <w:r w:rsidRPr="00E168FB">
        <w:t>5</w:t>
      </w:r>
      <w:r w:rsidRPr="00E168FB">
        <w:rPr>
          <w:rFonts w:ascii="宋体" w:hAnsi="宋体" w:cs="宋体" w:hint="eastAsia"/>
        </w:rPr>
        <w:t>条第</w:t>
      </w:r>
      <w:r w:rsidRPr="00E168FB">
        <w:t>1</w:t>
      </w:r>
      <w:r w:rsidRPr="00E168FB">
        <w:rPr>
          <w:rFonts w:ascii="宋体" w:hAnsi="宋体" w:cs="宋体" w:hint="eastAsia"/>
        </w:rPr>
        <w:t>款行事的缔约方，届时依照《哥本哈根修正案》和《北京修正案》的相关规定，氟氯烃的生产和消费控制措施将开始对这些按《议定书》第</w:t>
      </w:r>
      <w:r w:rsidRPr="00E168FB">
        <w:t>5</w:t>
      </w:r>
      <w:r w:rsidRPr="00E168FB">
        <w:rPr>
          <w:rFonts w:ascii="宋体" w:hAnsi="宋体" w:cs="宋体" w:hint="eastAsia"/>
        </w:rPr>
        <w:t>条第</w:t>
      </w:r>
      <w:r w:rsidRPr="00E168FB">
        <w:t>1</w:t>
      </w:r>
      <w:r w:rsidRPr="00E168FB">
        <w:rPr>
          <w:rFonts w:ascii="宋体" w:hAnsi="宋体" w:cs="宋体" w:hint="eastAsia"/>
        </w:rPr>
        <w:t>款行事的国家生效；</w:t>
      </w:r>
      <w:r>
        <w:t>(b)</w:t>
      </w:r>
      <w:r w:rsidRPr="00E168FB">
        <w:rPr>
          <w:rFonts w:hint="eastAsia"/>
        </w:rPr>
        <w:t>‘</w:t>
      </w:r>
      <w:r w:rsidRPr="00E168FB">
        <w:rPr>
          <w:rFonts w:ascii="宋体" w:hAnsi="宋体" w:cs="宋体" w:hint="eastAsia"/>
        </w:rPr>
        <w:t>非本议定书缔约方的国家</w:t>
      </w:r>
      <w:r w:rsidRPr="00E168FB">
        <w:rPr>
          <w:rFonts w:hint="eastAsia"/>
        </w:rPr>
        <w:t>’</w:t>
      </w:r>
      <w:r w:rsidRPr="00E168FB">
        <w:rPr>
          <w:rFonts w:ascii="宋体" w:hAnsi="宋体" w:cs="宋体" w:hint="eastAsia"/>
        </w:rPr>
        <w:t>一语包括所有尚未同意受《哥本哈根修正》和《北京修正》约束的其他国家和区域经济一体化组织；</w:t>
      </w:r>
      <w:r w:rsidRPr="00E168FB">
        <w:t xml:space="preserve">(c) </w:t>
      </w:r>
      <w:r w:rsidRPr="00E168FB">
        <w:rPr>
          <w:rFonts w:ascii="宋体" w:hAnsi="宋体" w:cs="宋体" w:hint="eastAsia"/>
        </w:rPr>
        <w:t>但同时还认识到，鉴于在采用对</w:t>
      </w:r>
      <w:r w:rsidRPr="00E168FB">
        <w:rPr>
          <w:rFonts w:hint="eastAsia"/>
        </w:rPr>
        <w:t>‘</w:t>
      </w:r>
      <w:r w:rsidRPr="00E168FB">
        <w:rPr>
          <w:rFonts w:ascii="宋体" w:hAnsi="宋体" w:cs="宋体" w:hint="eastAsia"/>
        </w:rPr>
        <w:t>非本议定书缔约方的国家</w:t>
      </w:r>
      <w:r w:rsidRPr="00E168FB">
        <w:rPr>
          <w:rFonts w:hint="eastAsia"/>
        </w:rPr>
        <w:t>’</w:t>
      </w:r>
      <w:r w:rsidRPr="00E168FB">
        <w:rPr>
          <w:rFonts w:ascii="宋体" w:hAnsi="宋体" w:cs="宋体" w:hint="eastAsia"/>
        </w:rPr>
        <w:t>一语的上述解释时在时间上涉及的实际困难，决定只要所涉国家已于</w:t>
      </w:r>
      <w:r w:rsidRPr="00E168FB">
        <w:t>2004</w:t>
      </w:r>
      <w:r w:rsidRPr="00E168FB">
        <w:rPr>
          <w:rFonts w:ascii="宋体" w:hAnsi="宋体" w:cs="宋体" w:hint="eastAsia"/>
        </w:rPr>
        <w:t>年</w:t>
      </w:r>
      <w:r w:rsidRPr="00E168FB">
        <w:t>3</w:t>
      </w:r>
      <w:r w:rsidRPr="00E168FB">
        <w:rPr>
          <w:rFonts w:ascii="宋体" w:hAnsi="宋体" w:cs="宋体" w:hint="eastAsia"/>
        </w:rPr>
        <w:t>月</w:t>
      </w:r>
      <w:r w:rsidRPr="00E168FB">
        <w:t>31</w:t>
      </w:r>
      <w:r w:rsidRPr="00E168FB">
        <w:rPr>
          <w:rFonts w:ascii="宋体" w:hAnsi="宋体" w:cs="宋体" w:hint="eastAsia"/>
        </w:rPr>
        <w:t>日之前采取了下列各项措施，则以上第</w:t>
      </w:r>
      <w:r w:rsidRPr="00E168FB">
        <w:t>1(b)</w:t>
      </w:r>
      <w:r w:rsidRPr="00E168FB">
        <w:rPr>
          <w:rFonts w:ascii="宋体" w:hAnsi="宋体" w:cs="宋体" w:hint="eastAsia"/>
        </w:rPr>
        <w:t>段便将不对之适用：</w:t>
      </w:r>
      <w:r w:rsidRPr="00E168FB">
        <w:t>(</w:t>
      </w:r>
      <w:r w:rsidRPr="00E168FB">
        <w:rPr>
          <w:rFonts w:ascii="宋体" w:hAnsi="宋体" w:cs="宋体" w:hint="eastAsia"/>
        </w:rPr>
        <w:t>一</w:t>
      </w:r>
      <w:r w:rsidRPr="00E168FB">
        <w:t xml:space="preserve">) </w:t>
      </w:r>
      <w:r w:rsidRPr="00E168FB">
        <w:rPr>
          <w:rFonts w:ascii="宋体" w:hAnsi="宋体" w:cs="宋体" w:hint="eastAsia"/>
        </w:rPr>
        <w:t>通知秘书处它打算尽快批准、加入或接受《北京修正》；</w:t>
      </w:r>
      <w:r w:rsidRPr="00E168FB">
        <w:t>(</w:t>
      </w:r>
      <w:r w:rsidRPr="00E168FB">
        <w:rPr>
          <w:rFonts w:ascii="宋体" w:hAnsi="宋体" w:cs="宋体" w:hint="eastAsia"/>
        </w:rPr>
        <w:t>二</w:t>
      </w:r>
      <w:r w:rsidRPr="00E168FB">
        <w:t xml:space="preserve">) </w:t>
      </w:r>
      <w:r w:rsidRPr="00E168FB">
        <w:rPr>
          <w:rFonts w:ascii="宋体" w:hAnsi="宋体" w:cs="宋体" w:hint="eastAsia"/>
        </w:rPr>
        <w:t>提供证明，确认它已完全遵守经《哥本哈根修正》修正的《议定书》第</w:t>
      </w:r>
      <w:r w:rsidRPr="00E168FB">
        <w:t>2</w:t>
      </w:r>
      <w:r w:rsidRPr="00E168FB">
        <w:rPr>
          <w:rFonts w:ascii="宋体" w:hAnsi="宋体" w:cs="宋体" w:hint="eastAsia"/>
        </w:rPr>
        <w:t>条、第</w:t>
      </w:r>
      <w:r w:rsidRPr="00E168FB">
        <w:t>2A-2G</w:t>
      </w:r>
      <w:r w:rsidRPr="00E168FB">
        <w:rPr>
          <w:rFonts w:ascii="宋体" w:hAnsi="宋体" w:cs="宋体" w:hint="eastAsia"/>
        </w:rPr>
        <w:t>条和第</w:t>
      </w:r>
      <w:r w:rsidRPr="00E168FB">
        <w:t>4</w:t>
      </w:r>
      <w:r w:rsidRPr="00E168FB">
        <w:rPr>
          <w:rFonts w:ascii="宋体" w:hAnsi="宋体" w:cs="宋体" w:hint="eastAsia"/>
        </w:rPr>
        <w:t>条的相关规定；</w:t>
      </w:r>
      <w:r w:rsidRPr="00E168FB">
        <w:t>(</w:t>
      </w:r>
      <w:r w:rsidRPr="00E168FB">
        <w:rPr>
          <w:rFonts w:ascii="宋体" w:hAnsi="宋体" w:cs="宋体" w:hint="eastAsia"/>
        </w:rPr>
        <w:t>三</w:t>
      </w:r>
      <w:r w:rsidRPr="00E168FB">
        <w:t xml:space="preserve">) </w:t>
      </w:r>
      <w:r w:rsidRPr="00E168FB">
        <w:rPr>
          <w:rFonts w:ascii="宋体" w:hAnsi="宋体" w:cs="宋体" w:hint="eastAsia"/>
        </w:rPr>
        <w:t>向秘书处提交了上述第</w:t>
      </w:r>
      <w:r w:rsidRPr="00E168FB">
        <w:t>(</w:t>
      </w:r>
      <w:r w:rsidRPr="00E168FB">
        <w:rPr>
          <w:rFonts w:ascii="宋体" w:hAnsi="宋体" w:cs="宋体" w:hint="eastAsia"/>
        </w:rPr>
        <w:t>一</w:t>
      </w:r>
      <w:r w:rsidRPr="00E168FB">
        <w:t>)</w:t>
      </w:r>
      <w:r w:rsidRPr="00E168FB">
        <w:rPr>
          <w:rFonts w:ascii="宋体" w:hAnsi="宋体" w:cs="宋体" w:hint="eastAsia"/>
        </w:rPr>
        <w:t>和</w:t>
      </w:r>
      <w:r w:rsidRPr="00E168FB">
        <w:t>(</w:t>
      </w:r>
      <w:r w:rsidRPr="00E168FB">
        <w:rPr>
          <w:rFonts w:ascii="宋体" w:hAnsi="宋体" w:cs="宋体" w:hint="eastAsia"/>
        </w:rPr>
        <w:t>二</w:t>
      </w:r>
      <w:r w:rsidRPr="00E168FB">
        <w:t>)</w:t>
      </w:r>
      <w:r w:rsidRPr="00E168FB">
        <w:rPr>
          <w:rFonts w:ascii="宋体" w:hAnsi="宋体" w:cs="宋体" w:hint="eastAsia"/>
        </w:rPr>
        <w:t>项中所述数据，并计划于</w:t>
      </w:r>
      <w:r w:rsidRPr="00E168FB">
        <w:t>2005</w:t>
      </w:r>
      <w:r w:rsidRPr="00E168FB">
        <w:rPr>
          <w:rFonts w:ascii="宋体" w:hAnsi="宋体" w:cs="宋体" w:hint="eastAsia"/>
        </w:rPr>
        <w:t>年</w:t>
      </w:r>
      <w:r w:rsidRPr="00E168FB">
        <w:t>3</w:t>
      </w:r>
      <w:r w:rsidRPr="00E168FB">
        <w:rPr>
          <w:rFonts w:ascii="宋体" w:hAnsi="宋体" w:cs="宋体" w:hint="eastAsia"/>
        </w:rPr>
        <w:t>月</w:t>
      </w:r>
      <w:r w:rsidRPr="00E168FB">
        <w:t>31</w:t>
      </w:r>
      <w:r w:rsidRPr="00E168FB">
        <w:rPr>
          <w:rFonts w:ascii="宋体" w:hAnsi="宋体" w:cs="宋体" w:hint="eastAsia"/>
        </w:rPr>
        <w:t>日予以增订；如系此种情形，则在缔约方第七次会议结束之前便可暂不把此种国家归入</w:t>
      </w:r>
      <w:r w:rsidRPr="00E168FB">
        <w:rPr>
          <w:rFonts w:hint="eastAsia"/>
        </w:rPr>
        <w:t>‘</w:t>
      </w:r>
      <w:r w:rsidRPr="00E168FB">
        <w:rPr>
          <w:rFonts w:ascii="宋体" w:hAnsi="宋体" w:cs="宋体" w:hint="eastAsia"/>
        </w:rPr>
        <w:t>非本议定书缔约方的国家</w:t>
      </w:r>
      <w:r w:rsidRPr="00E168FB">
        <w:rPr>
          <w:rFonts w:hint="eastAsia"/>
        </w:rPr>
        <w:t>’</w:t>
      </w:r>
      <w:r w:rsidRPr="00E168FB">
        <w:rPr>
          <w:rFonts w:ascii="宋体" w:hAnsi="宋体" w:cs="宋体" w:hint="eastAsia"/>
        </w:rPr>
        <w:t>的定义范围</w:t>
      </w:r>
      <w:r w:rsidRPr="00E168FB">
        <w:t>(</w:t>
      </w:r>
      <w:hyperlink r:id="rId97" w:history="1">
        <w:r w:rsidRPr="00E168FB">
          <w:rPr>
            <w:rStyle w:val="af"/>
          </w:rPr>
          <w:t>UNEP/OzL.Pro.15/9</w:t>
        </w:r>
      </w:hyperlink>
      <w:r w:rsidRPr="00E168FB">
        <w:rPr>
          <w:rFonts w:hint="eastAsia"/>
        </w:rPr>
        <w:t>)</w:t>
      </w:r>
      <w:r w:rsidRPr="00E168FB">
        <w:rPr>
          <w:rFonts w:hint="eastAsia"/>
        </w:rPr>
        <w:t>，第十八章，</w:t>
      </w:r>
      <w:r w:rsidRPr="00E168FB">
        <w:t>A</w:t>
      </w:r>
      <w:r w:rsidRPr="00E168FB">
        <w:rPr>
          <w:rFonts w:hint="eastAsia"/>
        </w:rPr>
        <w:t>节，第</w:t>
      </w:r>
      <w:r w:rsidRPr="00E168FB">
        <w:t>XV/3</w:t>
      </w:r>
      <w:r w:rsidRPr="00E168FB">
        <w:rPr>
          <w:rFonts w:hint="eastAsia"/>
        </w:rPr>
        <w:t>号决定，第</w:t>
      </w:r>
      <w:r w:rsidRPr="00E168FB">
        <w:rPr>
          <w:rFonts w:hint="eastAsia"/>
        </w:rPr>
        <w:t>1</w:t>
      </w:r>
      <w:r w:rsidRPr="00E168FB">
        <w:rPr>
          <w:rFonts w:hint="eastAsia"/>
        </w:rPr>
        <w:t>段</w:t>
      </w:r>
      <w:r w:rsidRPr="00E168FB">
        <w:t>)</w:t>
      </w:r>
      <w:r w:rsidRPr="00E168FB">
        <w:rPr>
          <w:rFonts w:ascii="宋体" w:hAnsi="宋体" w:cs="宋体" w:hint="eastAsia"/>
        </w:rPr>
        <w:t>。</w:t>
      </w:r>
    </w:p>
  </w:footnote>
  <w:footnote w:id="864">
    <w:p w:rsidR="00AB00DE" w:rsidRPr="00E168FB" w:rsidRDefault="00AB00DE" w:rsidP="00B75685">
      <w:pPr>
        <w:pStyle w:val="a4"/>
      </w:pPr>
      <w:r w:rsidRPr="00E168FB">
        <w:tab/>
      </w:r>
      <w:r w:rsidRPr="00D54A01">
        <w:rPr>
          <w:rStyle w:val="a5"/>
          <w:szCs w:val="21"/>
        </w:rPr>
        <w:footnoteRef/>
      </w:r>
      <w:r w:rsidRPr="00D54A01">
        <w:rPr>
          <w:color w:val="0000FF"/>
          <w:sz w:val="21"/>
          <w:vertAlign w:val="superscript"/>
        </w:rPr>
        <w:tab/>
      </w:r>
      <w:r w:rsidRPr="00E168FB">
        <w:rPr>
          <w:rFonts w:ascii="宋体" w:hAnsi="宋体" w:cs="宋体" w:hint="eastAsia"/>
        </w:rPr>
        <w:t>见上文本评注第</w:t>
      </w:r>
      <w:r w:rsidRPr="00E168FB">
        <w:t>(8)</w:t>
      </w:r>
      <w:r w:rsidRPr="00E168FB">
        <w:rPr>
          <w:rFonts w:ascii="宋体" w:hAnsi="宋体" w:cs="宋体" w:hint="eastAsia"/>
        </w:rPr>
        <w:t>段。</w:t>
      </w:r>
    </w:p>
  </w:footnote>
  <w:footnote w:id="865">
    <w:p w:rsidR="00AB00DE" w:rsidRPr="00E168FB" w:rsidRDefault="00AB00DE" w:rsidP="00B75685">
      <w:pPr>
        <w:pStyle w:val="a4"/>
      </w:pPr>
      <w:r w:rsidRPr="00E168FB">
        <w:tab/>
      </w:r>
      <w:r w:rsidRPr="00D54A01">
        <w:rPr>
          <w:rStyle w:val="a5"/>
          <w:szCs w:val="21"/>
        </w:rPr>
        <w:footnoteRef/>
      </w:r>
      <w:r w:rsidRPr="00D54A01">
        <w:rPr>
          <w:color w:val="0000FF"/>
          <w:sz w:val="21"/>
          <w:vertAlign w:val="superscript"/>
        </w:rPr>
        <w:tab/>
      </w:r>
      <w:r w:rsidRPr="00E168FB">
        <w:rPr>
          <w:rFonts w:ascii="宋体" w:hAnsi="宋体" w:cs="宋体" w:hint="eastAsia"/>
        </w:rPr>
        <w:t>见缔约方伦敦第十六次磋商会议，</w:t>
      </w:r>
      <w:r w:rsidRPr="00E168FB">
        <w:t>LC.49(16)</w:t>
      </w:r>
      <w:r w:rsidRPr="00E168FB">
        <w:rPr>
          <w:rFonts w:hint="eastAsia"/>
        </w:rPr>
        <w:t>号、</w:t>
      </w:r>
      <w:r w:rsidRPr="00E168FB">
        <w:t>LC.5</w:t>
      </w:r>
      <w:r w:rsidRPr="00E168FB">
        <w:rPr>
          <w:rFonts w:hint="eastAsia"/>
        </w:rPr>
        <w:t>0</w:t>
      </w:r>
      <w:r w:rsidRPr="00E168FB">
        <w:t>(16)</w:t>
      </w:r>
      <w:r w:rsidRPr="00E168FB">
        <w:rPr>
          <w:rFonts w:hint="eastAsia"/>
        </w:rPr>
        <w:t>号</w:t>
      </w:r>
      <w:r w:rsidRPr="00E168FB">
        <w:rPr>
          <w:rFonts w:ascii="宋体" w:hAnsi="宋体" w:cs="宋体" w:hint="eastAsia"/>
        </w:rPr>
        <w:t>和</w:t>
      </w:r>
      <w:r w:rsidRPr="00E168FB">
        <w:t>LC.5</w:t>
      </w:r>
      <w:r w:rsidRPr="00E168FB">
        <w:rPr>
          <w:rFonts w:hint="eastAsia"/>
        </w:rPr>
        <w:t>1</w:t>
      </w:r>
      <w:r w:rsidRPr="00E168FB">
        <w:t>(16)</w:t>
      </w:r>
      <w:r w:rsidRPr="00E168FB">
        <w:rPr>
          <w:rFonts w:hint="eastAsia"/>
        </w:rPr>
        <w:t>号</w:t>
      </w:r>
      <w:r w:rsidRPr="00E168FB">
        <w:rPr>
          <w:rFonts w:ascii="宋体" w:hAnsi="宋体" w:cs="宋体" w:hint="eastAsia"/>
        </w:rPr>
        <w:t>决议(联合国，《条约汇编》，第</w:t>
      </w:r>
      <w:r w:rsidRPr="00E168FB">
        <w:t>1775</w:t>
      </w:r>
      <w:r w:rsidRPr="00E168FB">
        <w:rPr>
          <w:rFonts w:hint="eastAsia"/>
        </w:rPr>
        <w:t>卷，第</w:t>
      </w:r>
      <w:r w:rsidRPr="00E168FB">
        <w:t>15749</w:t>
      </w:r>
      <w:r w:rsidRPr="00E168FB">
        <w:rPr>
          <w:rFonts w:hint="eastAsia"/>
        </w:rPr>
        <w:t>号，第</w:t>
      </w:r>
      <w:r w:rsidRPr="00E168FB">
        <w:t>395</w:t>
      </w:r>
      <w:r w:rsidRPr="00E168FB">
        <w:rPr>
          <w:rFonts w:hint="eastAsia"/>
        </w:rPr>
        <w:t>页</w:t>
      </w:r>
      <w:r w:rsidRPr="00D90936">
        <w:rPr>
          <w:rFonts w:asciiTheme="majorBidi" w:hAnsiTheme="majorBidi" w:cstheme="majorBidi"/>
        </w:rPr>
        <w:t>)</w:t>
      </w:r>
      <w:r w:rsidRPr="00E168FB">
        <w:rPr>
          <w:rFonts w:ascii="宋体" w:hAnsi="宋体" w:cs="宋体" w:hint="eastAsia"/>
        </w:rPr>
        <w:t>。首先，会议决定在</w:t>
      </w:r>
      <w:r w:rsidRPr="00E168FB">
        <w:t>1995</w:t>
      </w:r>
      <w:r w:rsidRPr="00E168FB">
        <w:rPr>
          <w:rFonts w:ascii="宋体" w:hAnsi="宋体" w:cs="宋体" w:hint="eastAsia"/>
        </w:rPr>
        <w:t>年</w:t>
      </w:r>
      <w:r w:rsidRPr="00E168FB">
        <w:t>12</w:t>
      </w:r>
      <w:r w:rsidRPr="00E168FB">
        <w:rPr>
          <w:rFonts w:ascii="宋体" w:hAnsi="宋体" w:cs="宋体" w:hint="eastAsia"/>
        </w:rPr>
        <w:t>月</w:t>
      </w:r>
      <w:r w:rsidRPr="00E168FB">
        <w:t>31</w:t>
      </w:r>
      <w:r w:rsidRPr="00E168FB">
        <w:rPr>
          <w:rFonts w:ascii="宋体" w:hAnsi="宋体" w:cs="宋体" w:hint="eastAsia"/>
        </w:rPr>
        <w:t>日以前修正逐步停止倾倒工业废物的规定；其次，禁止向海洋倾倒工业废物和下水管道废弃物的焚化物。最后，决定取代附件一第</w:t>
      </w:r>
      <w:r w:rsidRPr="00E168FB">
        <w:t>6</w:t>
      </w:r>
      <w:r w:rsidRPr="00E168FB">
        <w:rPr>
          <w:rFonts w:ascii="宋体" w:hAnsi="宋体" w:cs="宋体" w:hint="eastAsia"/>
        </w:rPr>
        <w:t>段，禁止倾倒放射性垃圾或其他放射性物质</w:t>
      </w:r>
      <w:r w:rsidRPr="00E168FB">
        <w:t>(</w:t>
      </w:r>
      <w:r w:rsidRPr="00E168FB">
        <w:rPr>
          <w:rFonts w:ascii="宋体" w:hAnsi="宋体" w:cs="宋体" w:hint="eastAsia"/>
        </w:rPr>
        <w:t>见</w:t>
      </w:r>
      <w:r w:rsidRPr="00E168FB">
        <w:rPr>
          <w:rFonts w:hint="eastAsia"/>
        </w:rPr>
        <w:t>“</w:t>
      </w:r>
      <w:r w:rsidRPr="00E168FB">
        <w:rPr>
          <w:rFonts w:ascii="宋体" w:hAnsi="宋体" w:cs="宋体" w:hint="eastAsia"/>
        </w:rPr>
        <w:t>向海洋倾倒：《防止倾倒废物及其他物质污染海洋的公约》的发展</w:t>
      </w:r>
      <w:r w:rsidRPr="00E168FB">
        <w:t>(LC)</w:t>
      </w:r>
      <w:r w:rsidRPr="00E168FB">
        <w:rPr>
          <w:rFonts w:ascii="宋体" w:hAnsi="宋体" w:cs="宋体" w:hint="eastAsia"/>
        </w:rPr>
        <w:t>，</w:t>
      </w:r>
      <w:r w:rsidRPr="00E168FB">
        <w:t>1972</w:t>
      </w:r>
      <w:r w:rsidRPr="00E168FB">
        <w:rPr>
          <w:rFonts w:ascii="宋体" w:hAnsi="宋体" w:cs="宋体" w:hint="eastAsia"/>
        </w:rPr>
        <w:t>年</w:t>
      </w:r>
      <w:r w:rsidRPr="00E168FB">
        <w:rPr>
          <w:rFonts w:hint="eastAsia"/>
        </w:rPr>
        <w:t>”</w:t>
      </w:r>
      <w:r w:rsidRPr="00E168FB">
        <w:rPr>
          <w:rFonts w:ascii="宋体" w:hAnsi="宋体" w:cs="宋体" w:hint="eastAsia"/>
        </w:rPr>
        <w:t>，《聚焦海事组织》</w:t>
      </w:r>
      <w:r w:rsidRPr="00E168FB">
        <w:t>(1997</w:t>
      </w:r>
      <w:r w:rsidRPr="00E168FB">
        <w:rPr>
          <w:rFonts w:ascii="宋体" w:hAnsi="宋体" w:cs="宋体" w:hint="eastAsia"/>
        </w:rPr>
        <w:t>年</w:t>
      </w:r>
      <w:r w:rsidRPr="00E168FB">
        <w:t>7</w:t>
      </w:r>
      <w:r w:rsidRPr="00E168FB">
        <w:rPr>
          <w:rFonts w:ascii="宋体" w:hAnsi="宋体" w:cs="宋体" w:hint="eastAsia"/>
        </w:rPr>
        <w:t>月</w:t>
      </w:r>
      <w:r w:rsidRPr="00E168FB">
        <w:t>)</w:t>
      </w:r>
      <w:r w:rsidRPr="00E168FB">
        <w:rPr>
          <w:rFonts w:hint="eastAsia"/>
        </w:rPr>
        <w:t>，第</w:t>
      </w:r>
      <w:r w:rsidRPr="00E168FB">
        <w:rPr>
          <w:rFonts w:hint="eastAsia"/>
        </w:rPr>
        <w:t>11</w:t>
      </w:r>
      <w:r w:rsidRPr="00E168FB">
        <w:rPr>
          <w:rFonts w:hint="eastAsia"/>
        </w:rPr>
        <w:t>页</w:t>
      </w:r>
      <w:r w:rsidRPr="00E168FB">
        <w:rPr>
          <w:rFonts w:ascii="宋体" w:hAnsi="宋体" w:cs="宋体" w:hint="eastAsia"/>
        </w:rPr>
        <w:t>)</w:t>
      </w:r>
      <w:r w:rsidRPr="00E168FB">
        <w:rPr>
          <w:rFonts w:eastAsia="楷体_GB2312"/>
        </w:rPr>
        <w:t>。</w:t>
      </w:r>
    </w:p>
  </w:footnote>
  <w:footnote w:id="866">
    <w:p w:rsidR="00AB00DE" w:rsidRPr="00E168FB" w:rsidRDefault="00AB00DE" w:rsidP="00560424">
      <w:pPr>
        <w:pStyle w:val="a4"/>
      </w:pPr>
      <w:r w:rsidRPr="00E168FB">
        <w:tab/>
      </w:r>
      <w:r w:rsidRPr="00D54A01">
        <w:rPr>
          <w:rStyle w:val="a5"/>
          <w:szCs w:val="21"/>
        </w:rPr>
        <w:footnoteRef/>
      </w:r>
      <w:r w:rsidRPr="00D54A01">
        <w:rPr>
          <w:color w:val="0000FF"/>
          <w:sz w:val="21"/>
          <w:vertAlign w:val="superscript"/>
        </w:rPr>
        <w:tab/>
      </w:r>
      <w:r w:rsidRPr="00E168FB">
        <w:rPr>
          <w:rFonts w:ascii="宋体" w:hAnsi="宋体" w:cs="宋体" w:hint="eastAsia"/>
        </w:rPr>
        <w:t>有人主张，对《伦敦倾倒公约》附件一的这些修正</w:t>
      </w:r>
      <w:r w:rsidRPr="00E168FB">
        <w:rPr>
          <w:rFonts w:hint="eastAsia"/>
        </w:rPr>
        <w:t>“</w:t>
      </w:r>
      <w:r w:rsidRPr="00E168FB">
        <w:rPr>
          <w:rFonts w:ascii="宋体" w:hAnsi="宋体" w:cs="宋体" w:hint="eastAsia"/>
        </w:rPr>
        <w:t>是公约的重大变化</w:t>
      </w:r>
      <w:r w:rsidRPr="00E168FB">
        <w:rPr>
          <w:rFonts w:hint="eastAsia"/>
        </w:rPr>
        <w:t>”</w:t>
      </w:r>
      <w:r w:rsidRPr="00E168FB">
        <w:t>(</w:t>
      </w:r>
      <w:r w:rsidRPr="00E168FB">
        <w:rPr>
          <w:rFonts w:ascii="宋体" w:hAnsi="宋体" w:cs="宋体" w:hint="eastAsia"/>
        </w:rPr>
        <w:t>见</w:t>
      </w:r>
      <w:r w:rsidRPr="00E168FB">
        <w:t>Churchill</w:t>
      </w:r>
      <w:r w:rsidRPr="00E168FB">
        <w:rPr>
          <w:rFonts w:ascii="宋体" w:hAnsi="宋体" w:cs="宋体" w:hint="eastAsia"/>
        </w:rPr>
        <w:t>和</w:t>
      </w:r>
      <w:r w:rsidRPr="00E168FB">
        <w:t>Ulfstein,</w:t>
      </w:r>
      <w:r w:rsidRPr="00E168FB">
        <w:rPr>
          <w:rFonts w:hint="eastAsia"/>
        </w:rPr>
        <w:t>“</w:t>
      </w:r>
      <w:r w:rsidRPr="00E168FB">
        <w:rPr>
          <w:rFonts w:ascii="宋体" w:hAnsi="宋体" w:cs="宋体" w:hint="eastAsia"/>
        </w:rPr>
        <w:t>多边环境协定中的自治机构安排……</w:t>
      </w:r>
      <w:r w:rsidRPr="00E168FB">
        <w:rPr>
          <w:rFonts w:hint="eastAsia"/>
        </w:rPr>
        <w:t>”</w:t>
      </w:r>
      <w:r w:rsidRPr="00E168FB">
        <w:rPr>
          <w:rFonts w:hint="eastAsia"/>
        </w:rPr>
        <w:t>(</w:t>
      </w:r>
      <w:r w:rsidRPr="00E168FB">
        <w:rPr>
          <w:rFonts w:hint="eastAsia"/>
        </w:rPr>
        <w:t>上文脚注</w:t>
      </w:r>
      <w:r>
        <w:fldChar w:fldCharType="begin"/>
      </w:r>
      <w:r>
        <w:instrText xml:space="preserve"> </w:instrText>
      </w:r>
      <w:r>
        <w:rPr>
          <w:rFonts w:hint="eastAsia"/>
        </w:rPr>
        <w:instrText>NOTEREF _Ref461976973 \h</w:instrText>
      </w:r>
      <w:r>
        <w:instrText xml:space="preserve"> </w:instrText>
      </w:r>
      <w:r>
        <w:fldChar w:fldCharType="separate"/>
      </w:r>
      <w:r w:rsidR="00A73EB9">
        <w:t>836</w:t>
      </w:r>
      <w:r>
        <w:fldChar w:fldCharType="end"/>
      </w:r>
      <w:r w:rsidRPr="00E168FB">
        <w:rPr>
          <w:rFonts w:hint="eastAsia"/>
        </w:rPr>
        <w:t>)</w:t>
      </w:r>
      <w:r w:rsidRPr="00E168FB">
        <w:rPr>
          <w:rFonts w:ascii="宋体" w:hAnsi="宋体" w:cs="宋体" w:hint="eastAsia"/>
        </w:rPr>
        <w:t>，第</w:t>
      </w:r>
      <w:r w:rsidRPr="00E168FB">
        <w:t>638</w:t>
      </w:r>
      <w:r w:rsidRPr="00E168FB">
        <w:rPr>
          <w:rFonts w:ascii="宋体" w:hAnsi="宋体" w:cs="宋体" w:hint="eastAsia"/>
        </w:rPr>
        <w:t>页</w:t>
      </w:r>
      <w:r w:rsidRPr="00E168FB">
        <w:t>)</w:t>
      </w:r>
      <w:r w:rsidRPr="00E168FB">
        <w:rPr>
          <w:rFonts w:ascii="宋体" w:hAnsi="宋体" w:cs="宋体" w:hint="eastAsia"/>
        </w:rPr>
        <w:t>。</w:t>
      </w:r>
    </w:p>
  </w:footnote>
  <w:footnote w:id="867">
    <w:p w:rsidR="00AB00DE" w:rsidRPr="00E168FB" w:rsidRDefault="00AB00DE" w:rsidP="00B75685">
      <w:pPr>
        <w:pStyle w:val="a4"/>
      </w:pPr>
      <w:r w:rsidRPr="00E168FB">
        <w:tab/>
      </w:r>
      <w:r w:rsidRPr="00D54A01">
        <w:rPr>
          <w:rStyle w:val="a5"/>
          <w:szCs w:val="21"/>
        </w:rPr>
        <w:footnoteRef/>
      </w:r>
      <w:r w:rsidRPr="00D54A01">
        <w:rPr>
          <w:color w:val="0000FF"/>
          <w:sz w:val="21"/>
          <w:vertAlign w:val="superscript"/>
        </w:rPr>
        <w:tab/>
      </w:r>
      <w:r w:rsidRPr="00E168FB">
        <w:rPr>
          <w:rFonts w:ascii="宋体" w:hAnsi="宋体" w:cs="宋体" w:hint="eastAsia"/>
        </w:rPr>
        <w:t>海事组织，《防止倾倒废物及其他物质污染海洋的公约》第十三次缔约方磋商会议报告，</w:t>
      </w:r>
      <w:r w:rsidRPr="00E168FB">
        <w:t xml:space="preserve">LDC 13/15, </w:t>
      </w:r>
      <w:r w:rsidRPr="00E168FB">
        <w:rPr>
          <w:rFonts w:ascii="宋体" w:hAnsi="宋体" w:cs="宋体" w:hint="eastAsia"/>
        </w:rPr>
        <w:t>附件</w:t>
      </w:r>
      <w:r w:rsidRPr="00E168FB">
        <w:rPr>
          <w:rFonts w:hint="eastAsia"/>
        </w:rPr>
        <w:t xml:space="preserve">7, </w:t>
      </w:r>
      <w:r w:rsidRPr="00E168FB">
        <w:t>LDC.41 (13)</w:t>
      </w:r>
      <w:r w:rsidRPr="00E168FB">
        <w:rPr>
          <w:rFonts w:hint="eastAsia"/>
        </w:rPr>
        <w:t>号决议，</w:t>
      </w:r>
      <w:r w:rsidRPr="00E168FB">
        <w:rPr>
          <w:rFonts w:ascii="宋体" w:hAnsi="宋体" w:cs="宋体" w:hint="eastAsia"/>
        </w:rPr>
        <w:t>第</w:t>
      </w:r>
      <w:r w:rsidRPr="00E168FB">
        <w:t>1</w:t>
      </w:r>
      <w:r w:rsidRPr="00E168FB">
        <w:rPr>
          <w:rFonts w:ascii="宋体" w:hAnsi="宋体" w:cs="宋体" w:hint="eastAsia"/>
        </w:rPr>
        <w:t>段。</w:t>
      </w:r>
    </w:p>
  </w:footnote>
  <w:footnote w:id="868">
    <w:p w:rsidR="00AB00DE" w:rsidRPr="00E168FB" w:rsidRDefault="00AB00DE" w:rsidP="00560424">
      <w:pPr>
        <w:pStyle w:val="a4"/>
      </w:pPr>
      <w:r w:rsidRPr="00E168FB">
        <w:tab/>
      </w:r>
      <w:r w:rsidRPr="00D54A01">
        <w:rPr>
          <w:rStyle w:val="a5"/>
          <w:szCs w:val="21"/>
        </w:rPr>
        <w:footnoteRef/>
      </w:r>
      <w:r w:rsidRPr="00D54A01">
        <w:rPr>
          <w:color w:val="0000FF"/>
          <w:sz w:val="21"/>
          <w:vertAlign w:val="superscript"/>
        </w:rPr>
        <w:tab/>
      </w:r>
      <w:r w:rsidRPr="00E168FB">
        <w:t>Churchill</w:t>
      </w:r>
      <w:r w:rsidRPr="00E168FB">
        <w:rPr>
          <w:rFonts w:ascii="宋体" w:hAnsi="宋体" w:cs="宋体" w:hint="eastAsia"/>
        </w:rPr>
        <w:t>和</w:t>
      </w:r>
      <w:r w:rsidRPr="00E168FB">
        <w:t>Ulfstein,</w:t>
      </w:r>
      <w:r w:rsidRPr="00E168FB">
        <w:rPr>
          <w:rFonts w:hint="eastAsia"/>
        </w:rPr>
        <w:t>“</w:t>
      </w:r>
      <w:r w:rsidRPr="00E168FB">
        <w:rPr>
          <w:rFonts w:ascii="宋体" w:hAnsi="宋体" w:cs="宋体" w:hint="eastAsia"/>
        </w:rPr>
        <w:t>多边环境协定中的自治机构安排……</w:t>
      </w:r>
      <w:r w:rsidRPr="00E168FB">
        <w:rPr>
          <w:rFonts w:hint="eastAsia"/>
        </w:rPr>
        <w:t>”</w:t>
      </w:r>
      <w:r w:rsidRPr="00E168FB">
        <w:rPr>
          <w:rFonts w:hint="eastAsia"/>
        </w:rPr>
        <w:t>(</w:t>
      </w:r>
      <w:r w:rsidRPr="00E168FB">
        <w:rPr>
          <w:rFonts w:hint="eastAsia"/>
        </w:rPr>
        <w:t>见上文脚注</w:t>
      </w:r>
      <w:r>
        <w:fldChar w:fldCharType="begin"/>
      </w:r>
      <w:r>
        <w:instrText xml:space="preserve"> </w:instrText>
      </w:r>
      <w:r>
        <w:rPr>
          <w:rFonts w:hint="eastAsia"/>
        </w:rPr>
        <w:instrText>NOTEREF _Ref461976973 \h</w:instrText>
      </w:r>
      <w:r>
        <w:instrText xml:space="preserve"> </w:instrText>
      </w:r>
      <w:r>
        <w:fldChar w:fldCharType="separate"/>
      </w:r>
      <w:r w:rsidR="00A73EB9">
        <w:t>836</w:t>
      </w:r>
      <w:r>
        <w:fldChar w:fldCharType="end"/>
      </w:r>
      <w:r w:rsidRPr="00E168FB">
        <w:rPr>
          <w:rFonts w:hint="eastAsia"/>
        </w:rPr>
        <w:t>)</w:t>
      </w:r>
      <w:r w:rsidRPr="00E168FB">
        <w:rPr>
          <w:rFonts w:ascii="宋体" w:hAnsi="宋体" w:cs="宋体" w:hint="eastAsia"/>
        </w:rPr>
        <w:t>，第</w:t>
      </w:r>
      <w:r w:rsidRPr="00E168FB">
        <w:t>641</w:t>
      </w:r>
      <w:r w:rsidRPr="00E168FB">
        <w:rPr>
          <w:rFonts w:ascii="宋体" w:hAnsi="宋体" w:cs="宋体" w:hint="eastAsia"/>
        </w:rPr>
        <w:t>页。</w:t>
      </w:r>
    </w:p>
  </w:footnote>
  <w:footnote w:id="869">
    <w:p w:rsidR="00AB00DE" w:rsidRPr="00E168FB" w:rsidRDefault="00AB00DE" w:rsidP="00B75685">
      <w:pPr>
        <w:pStyle w:val="a4"/>
      </w:pPr>
      <w:r w:rsidRPr="00E168FB">
        <w:rPr>
          <w:rFonts w:hint="eastAsia"/>
        </w:rPr>
        <w:tab/>
      </w:r>
      <w:r w:rsidRPr="00D54A01">
        <w:rPr>
          <w:rStyle w:val="a5"/>
          <w:szCs w:val="21"/>
        </w:rPr>
        <w:footnoteRef/>
      </w:r>
      <w:r w:rsidRPr="00E168FB">
        <w:rPr>
          <w:rFonts w:hint="eastAsia"/>
        </w:rPr>
        <w:tab/>
      </w:r>
      <w:r w:rsidRPr="00E168FB">
        <w:rPr>
          <w:rFonts w:ascii="宋体" w:hAnsi="宋体" w:cs="宋体"/>
        </w:rPr>
        <w:t>联合国</w:t>
      </w:r>
      <w:r w:rsidRPr="00E168FB">
        <w:t>，《条约汇编》，第</w:t>
      </w:r>
      <w:r w:rsidRPr="00E168FB">
        <w:t>1673</w:t>
      </w:r>
      <w:r w:rsidRPr="00E168FB">
        <w:t>卷，第</w:t>
      </w:r>
      <w:r w:rsidRPr="00E168FB">
        <w:t>28911</w:t>
      </w:r>
      <w:r w:rsidRPr="00E168FB">
        <w:t>号，第</w:t>
      </w:r>
      <w:r w:rsidRPr="00E168FB">
        <w:t>57</w:t>
      </w:r>
      <w:r w:rsidRPr="00E168FB">
        <w:t>页。</w:t>
      </w:r>
    </w:p>
  </w:footnote>
  <w:footnote w:id="870">
    <w:p w:rsidR="00AB00DE" w:rsidRPr="00E168FB" w:rsidRDefault="00AB00DE" w:rsidP="00B75685">
      <w:pPr>
        <w:pStyle w:val="a4"/>
      </w:pPr>
      <w:r w:rsidRPr="00E168FB">
        <w:tab/>
      </w:r>
      <w:r w:rsidRPr="00D54A01">
        <w:rPr>
          <w:rStyle w:val="a5"/>
          <w:szCs w:val="21"/>
        </w:rPr>
        <w:footnoteRef/>
      </w:r>
      <w:r w:rsidRPr="00D54A01">
        <w:rPr>
          <w:color w:val="0000FF"/>
          <w:sz w:val="21"/>
          <w:vertAlign w:val="superscript"/>
        </w:rPr>
        <w:tab/>
      </w:r>
      <w:r w:rsidRPr="00E168FB">
        <w:rPr>
          <w:rFonts w:ascii="宋体" w:hAnsi="宋体" w:cs="宋体" w:hint="eastAsia"/>
        </w:rPr>
        <w:t>见《控制危险废物越境转移及其处置的巴塞尔公约》缔约方会议第十次会议报告</w:t>
      </w:r>
      <w:r w:rsidRPr="00E168FB">
        <w:t>(2011</w:t>
      </w:r>
      <w:r w:rsidRPr="00E168FB">
        <w:rPr>
          <w:rFonts w:ascii="宋体" w:hAnsi="宋体" w:cs="宋体" w:hint="eastAsia"/>
        </w:rPr>
        <w:t>年</w:t>
      </w:r>
      <w:r w:rsidRPr="00E168FB">
        <w:t>10</w:t>
      </w:r>
      <w:r w:rsidRPr="00E168FB">
        <w:rPr>
          <w:rFonts w:ascii="宋体" w:hAnsi="宋体" w:cs="宋体" w:hint="eastAsia"/>
        </w:rPr>
        <w:t>月</w:t>
      </w:r>
      <w:r w:rsidRPr="00E168FB">
        <w:t>17</w:t>
      </w:r>
      <w:r w:rsidRPr="00E168FB">
        <w:rPr>
          <w:rFonts w:ascii="宋体" w:hAnsi="宋体" w:cs="宋体" w:hint="eastAsia"/>
        </w:rPr>
        <w:t>日至</w:t>
      </w:r>
      <w:r w:rsidRPr="00E168FB">
        <w:t>21</w:t>
      </w:r>
      <w:r w:rsidRPr="00E168FB">
        <w:rPr>
          <w:rFonts w:ascii="宋体" w:hAnsi="宋体" w:cs="宋体" w:hint="eastAsia"/>
        </w:rPr>
        <w:t>日，哥伦比亚卡塔赫纳</w:t>
      </w:r>
      <w:r w:rsidRPr="00E168FB">
        <w:t>)</w:t>
      </w:r>
      <w:r w:rsidRPr="00E168FB">
        <w:rPr>
          <w:rFonts w:ascii="宋体" w:hAnsi="宋体" w:cs="宋体" w:hint="eastAsia"/>
        </w:rPr>
        <w:t>，</w:t>
      </w:r>
      <w:r w:rsidRPr="00E168FB">
        <w:t xml:space="preserve">UNEP/CHW.10/28, </w:t>
      </w:r>
      <w:r w:rsidRPr="00E168FB">
        <w:rPr>
          <w:rFonts w:hint="eastAsia"/>
        </w:rPr>
        <w:t>附件一，</w:t>
      </w:r>
      <w:r w:rsidRPr="00E168FB">
        <w:t>BC-10/3</w:t>
      </w:r>
      <w:r w:rsidRPr="00E168FB">
        <w:rPr>
          <w:rFonts w:hint="eastAsia"/>
        </w:rPr>
        <w:t>号决定</w:t>
      </w:r>
      <w:r w:rsidRPr="00E168FB">
        <w:rPr>
          <w:rFonts w:hint="eastAsia"/>
        </w:rPr>
        <w:t>(</w:t>
      </w:r>
      <w:r w:rsidRPr="00E168FB">
        <w:rPr>
          <w:rFonts w:ascii="宋体" w:hAnsi="宋体" w:cs="宋体" w:hint="eastAsia"/>
        </w:rPr>
        <w:t>印度尼西亚－瑞士关于国家牵头改进《巴塞尔公约》效力的倡议</w:t>
      </w:r>
      <w:r w:rsidRPr="00E168FB">
        <w:rPr>
          <w:rFonts w:hint="eastAsia"/>
        </w:rPr>
        <w:t>)</w:t>
      </w:r>
      <w:r w:rsidRPr="00E168FB">
        <w:rPr>
          <w:rFonts w:hint="eastAsia"/>
        </w:rPr>
        <w:t>，</w:t>
      </w:r>
      <w:r w:rsidRPr="00E168FB">
        <w:rPr>
          <w:rFonts w:ascii="宋体" w:hAnsi="宋体" w:cs="宋体" w:hint="eastAsia"/>
        </w:rPr>
        <w:t>第</w:t>
      </w:r>
      <w:r w:rsidRPr="00E168FB">
        <w:t>2</w:t>
      </w:r>
      <w:r w:rsidRPr="00E168FB">
        <w:rPr>
          <w:rFonts w:hint="eastAsia"/>
        </w:rPr>
        <w:t>段</w:t>
      </w:r>
      <w:r w:rsidRPr="00E168FB">
        <w:rPr>
          <w:rFonts w:ascii="宋体" w:hAnsi="宋体" w:cs="宋体" w:hint="eastAsia"/>
        </w:rPr>
        <w:t>。</w:t>
      </w:r>
    </w:p>
  </w:footnote>
  <w:footnote w:id="871">
    <w:p w:rsidR="00AB00DE" w:rsidRPr="00E168FB" w:rsidRDefault="00AB00DE" w:rsidP="00B75685">
      <w:pPr>
        <w:pStyle w:val="a4"/>
      </w:pPr>
      <w:r w:rsidRPr="00D54A01">
        <w:rPr>
          <w:color w:val="0000FF"/>
          <w:sz w:val="21"/>
          <w:vertAlign w:val="superscript"/>
        </w:rPr>
        <w:tab/>
      </w:r>
      <w:r w:rsidRPr="00D54A01">
        <w:rPr>
          <w:rStyle w:val="a5"/>
          <w:szCs w:val="21"/>
        </w:rPr>
        <w:footnoteRef/>
      </w:r>
      <w:r w:rsidRPr="00D54A01">
        <w:rPr>
          <w:color w:val="0000FF"/>
          <w:sz w:val="21"/>
          <w:vertAlign w:val="superscript"/>
        </w:rPr>
        <w:tab/>
      </w:r>
      <w:r w:rsidRPr="00E168FB">
        <w:rPr>
          <w:rFonts w:ascii="宋体" w:hAnsi="宋体" w:cs="宋体" w:hint="eastAsia"/>
        </w:rPr>
        <w:t>同上，第</w:t>
      </w:r>
      <w:r w:rsidRPr="00E168FB">
        <w:rPr>
          <w:rFonts w:hint="eastAsia"/>
        </w:rPr>
        <w:t>三章</w:t>
      </w:r>
      <w:r w:rsidRPr="00E168FB">
        <w:t>A</w:t>
      </w:r>
      <w:r w:rsidRPr="00E168FB">
        <w:rPr>
          <w:rFonts w:ascii="宋体" w:hAnsi="宋体" w:cs="宋体" w:hint="eastAsia"/>
        </w:rPr>
        <w:t>节，第</w:t>
      </w:r>
      <w:r w:rsidRPr="00E168FB">
        <w:t>65</w:t>
      </w:r>
      <w:r w:rsidRPr="00E168FB">
        <w:rPr>
          <w:rFonts w:ascii="宋体" w:hAnsi="宋体" w:cs="宋体" w:hint="eastAsia"/>
        </w:rPr>
        <w:t>段。</w:t>
      </w:r>
    </w:p>
  </w:footnote>
  <w:footnote w:id="872">
    <w:p w:rsidR="00AB00DE" w:rsidRPr="00E168FB" w:rsidRDefault="00AB00DE" w:rsidP="00560424">
      <w:pPr>
        <w:pStyle w:val="a4"/>
      </w:pPr>
      <w:r w:rsidRPr="00E168FB">
        <w:tab/>
      </w:r>
      <w:r w:rsidRPr="00D54A01">
        <w:rPr>
          <w:rStyle w:val="a5"/>
          <w:szCs w:val="21"/>
        </w:rPr>
        <w:footnoteRef/>
      </w:r>
      <w:r w:rsidRPr="00D54A01">
        <w:rPr>
          <w:color w:val="0000FF"/>
          <w:sz w:val="21"/>
          <w:vertAlign w:val="superscript"/>
        </w:rPr>
        <w:tab/>
      </w:r>
      <w:r w:rsidRPr="00E168FB">
        <w:rPr>
          <w:rFonts w:ascii="宋体" w:hAnsi="宋体" w:cs="宋体" w:hint="eastAsia"/>
        </w:rPr>
        <w:t>见</w:t>
      </w:r>
      <w:r w:rsidRPr="00E168FB">
        <w:t>Günther Handl,</w:t>
      </w:r>
      <w:r w:rsidRPr="00E168FB">
        <w:rPr>
          <w:rFonts w:hint="eastAsia"/>
        </w:rPr>
        <w:t>“</w:t>
      </w:r>
      <w:r w:rsidRPr="00E168FB">
        <w:rPr>
          <w:rFonts w:ascii="宋体" w:hAnsi="宋体" w:cs="宋体" w:hint="eastAsia"/>
        </w:rPr>
        <w:t>缔约方会议和其他有政治授权机构的</w:t>
      </w:r>
      <w:r w:rsidRPr="00E168FB">
        <w:t>‘</w:t>
      </w:r>
      <w:r w:rsidRPr="00E168FB">
        <w:rPr>
          <w:rFonts w:ascii="宋体" w:hAnsi="宋体" w:cs="宋体" w:hint="eastAsia"/>
        </w:rPr>
        <w:t>国际法律制订</w:t>
      </w:r>
      <w:r w:rsidRPr="00E168FB">
        <w:t>’</w:t>
      </w:r>
      <w:r w:rsidRPr="00E168FB">
        <w:rPr>
          <w:rFonts w:hint="eastAsia"/>
        </w:rPr>
        <w:t>”</w:t>
      </w:r>
      <w:r w:rsidRPr="00E168FB">
        <w:rPr>
          <w:rFonts w:ascii="宋体" w:hAnsi="宋体" w:cs="宋体" w:hint="eastAsia"/>
        </w:rPr>
        <w:t>，载于</w:t>
      </w:r>
      <w:r w:rsidRPr="00E168FB">
        <w:t>Wolfrum</w:t>
      </w:r>
      <w:r w:rsidRPr="00E168FB">
        <w:rPr>
          <w:rFonts w:ascii="宋体" w:hAnsi="宋体" w:cs="宋体" w:hint="eastAsia"/>
        </w:rPr>
        <w:t>和</w:t>
      </w:r>
      <w:r w:rsidRPr="00E168FB">
        <w:t>Röben,</w:t>
      </w:r>
      <w:r w:rsidRPr="00E168FB">
        <w:t>《</w:t>
      </w:r>
      <w:r w:rsidRPr="00E168FB">
        <w:rPr>
          <w:rFonts w:ascii="宋体" w:hAnsi="宋体" w:cs="宋体" w:hint="eastAsia"/>
        </w:rPr>
        <w:t>国际法在条约形成方面的进展》</w:t>
      </w:r>
      <w:r w:rsidRPr="00E168FB">
        <w:t>(</w:t>
      </w:r>
      <w:r w:rsidRPr="00E168FB">
        <w:t>上文脚注</w:t>
      </w:r>
      <w:r>
        <w:fldChar w:fldCharType="begin"/>
      </w:r>
      <w:r>
        <w:instrText xml:space="preserve"> NOTEREF _Ref461977049 \h </w:instrText>
      </w:r>
      <w:r>
        <w:fldChar w:fldCharType="separate"/>
      </w:r>
      <w:r w:rsidR="00A73EB9">
        <w:t>846</w:t>
      </w:r>
      <w:r>
        <w:fldChar w:fldCharType="end"/>
      </w:r>
      <w:r w:rsidRPr="00E168FB">
        <w:t>)</w:t>
      </w:r>
      <w:r w:rsidRPr="00E168FB">
        <w:rPr>
          <w:rFonts w:ascii="宋体" w:hAnsi="宋体" w:cs="宋体" w:hint="eastAsia"/>
        </w:rPr>
        <w:t>，第</w:t>
      </w:r>
      <w:r w:rsidRPr="00E168FB">
        <w:t>127</w:t>
      </w:r>
      <w:r w:rsidRPr="00E168FB">
        <w:rPr>
          <w:rFonts w:hint="eastAsia"/>
        </w:rPr>
        <w:t>-</w:t>
      </w:r>
      <w:r w:rsidRPr="00E168FB">
        <w:t>143</w:t>
      </w:r>
      <w:r w:rsidRPr="00E168FB">
        <w:rPr>
          <w:rFonts w:ascii="宋体" w:hAnsi="宋体" w:cs="宋体" w:hint="eastAsia"/>
        </w:rPr>
        <w:t>页，见第</w:t>
      </w:r>
      <w:r w:rsidRPr="00E168FB">
        <w:t>132</w:t>
      </w:r>
      <w:r w:rsidRPr="00E168FB">
        <w:rPr>
          <w:rFonts w:ascii="宋体" w:hAnsi="宋体" w:cs="宋体" w:hint="eastAsia"/>
        </w:rPr>
        <w:t>页。</w:t>
      </w:r>
    </w:p>
  </w:footnote>
  <w:footnote w:id="873">
    <w:p w:rsidR="00AB00DE" w:rsidRPr="00E168FB" w:rsidRDefault="00AB00DE" w:rsidP="00B75685">
      <w:pPr>
        <w:pStyle w:val="a4"/>
      </w:pPr>
      <w:r w:rsidRPr="00E168FB">
        <w:tab/>
      </w:r>
      <w:r w:rsidRPr="00D54A01">
        <w:rPr>
          <w:rStyle w:val="a5"/>
          <w:szCs w:val="21"/>
        </w:rPr>
        <w:footnoteRef/>
      </w:r>
      <w:r w:rsidRPr="00D54A01">
        <w:rPr>
          <w:color w:val="0000FF"/>
          <w:sz w:val="21"/>
          <w:vertAlign w:val="superscript"/>
        </w:rPr>
        <w:tab/>
      </w:r>
      <w:r w:rsidRPr="00E168FB">
        <w:rPr>
          <w:rFonts w:ascii="宋体" w:hAnsi="宋体" w:cs="宋体" w:hint="eastAsia"/>
        </w:rPr>
        <w:t>联合国法律顾问所赞成的</w:t>
      </w:r>
      <w:r w:rsidRPr="00E168FB">
        <w:rPr>
          <w:rFonts w:hint="eastAsia"/>
        </w:rPr>
        <w:t>“</w:t>
      </w:r>
      <w:r w:rsidRPr="00E168FB">
        <w:rPr>
          <w:rFonts w:ascii="宋体" w:hAnsi="宋体" w:cs="宋体" w:hint="eastAsia"/>
        </w:rPr>
        <w:t>当前时段的办法</w:t>
      </w:r>
      <w:r w:rsidRPr="00E168FB">
        <w:rPr>
          <w:rFonts w:hint="eastAsia"/>
        </w:rPr>
        <w:t>”</w:t>
      </w:r>
      <w:r w:rsidRPr="00E168FB">
        <w:rPr>
          <w:rFonts w:ascii="宋体" w:hAnsi="宋体" w:cs="宋体" w:hint="eastAsia"/>
        </w:rPr>
        <w:t>规定，</w:t>
      </w:r>
      <w:r w:rsidRPr="00E168FB">
        <w:rPr>
          <w:rFonts w:hint="eastAsia"/>
        </w:rPr>
        <w:t>“</w:t>
      </w:r>
      <w:r w:rsidRPr="00E168FB">
        <w:rPr>
          <w:rFonts w:ascii="宋体" w:hAnsi="宋体" w:cs="宋体" w:hint="eastAsia"/>
        </w:rPr>
        <w:t>当条约对此事项未作规定或比较模糊时，秘书长的惯例是以交存对修正的每份接受文书时条约缔约方的数目来计算接受国的数目。</w:t>
      </w:r>
      <w:r w:rsidRPr="00E168FB">
        <w:rPr>
          <w:rFonts w:hint="eastAsia"/>
        </w:rPr>
        <w:t>”</w:t>
      </w:r>
      <w:r w:rsidRPr="00E168FB">
        <w:rPr>
          <w:rFonts w:ascii="宋体" w:hAnsi="宋体" w:cs="宋体" w:hint="eastAsia"/>
        </w:rPr>
        <w:t>见联合国法律事务厅</w:t>
      </w:r>
      <w:r w:rsidRPr="00E168FB">
        <w:t>2004</w:t>
      </w:r>
      <w:r w:rsidRPr="00E168FB">
        <w:rPr>
          <w:rFonts w:ascii="宋体" w:hAnsi="宋体" w:cs="宋体" w:hint="eastAsia"/>
        </w:rPr>
        <w:t>年</w:t>
      </w:r>
      <w:r w:rsidRPr="00E168FB">
        <w:t>3</w:t>
      </w:r>
      <w:r w:rsidRPr="00E168FB">
        <w:rPr>
          <w:rFonts w:ascii="宋体" w:hAnsi="宋体" w:cs="宋体" w:hint="eastAsia"/>
        </w:rPr>
        <w:t>月</w:t>
      </w:r>
      <w:r w:rsidRPr="00E168FB">
        <w:t>8</w:t>
      </w:r>
      <w:r w:rsidRPr="00E168FB">
        <w:rPr>
          <w:rFonts w:ascii="宋体" w:hAnsi="宋体" w:cs="宋体" w:hint="eastAsia"/>
        </w:rPr>
        <w:t>日备忘录摘要，载于</w:t>
      </w:r>
      <w:r w:rsidRPr="00E168FB">
        <w:t>www.basel.int/TheConvention/</w:t>
      </w:r>
      <w:r w:rsidRPr="00E168FB">
        <w:rPr>
          <w:rFonts w:hint="eastAsia"/>
        </w:rPr>
        <w:t xml:space="preserve"> </w:t>
      </w:r>
      <w:r w:rsidRPr="00E168FB">
        <w:t>Overview/Amendments/Background/tabid/2760/Default.aspx</w:t>
      </w:r>
      <w:r w:rsidRPr="00E168FB">
        <w:rPr>
          <w:rFonts w:ascii="宋体" w:hAnsi="宋体" w:cs="宋体" w:hint="eastAsia"/>
        </w:rPr>
        <w:t>。</w:t>
      </w:r>
    </w:p>
  </w:footnote>
  <w:footnote w:id="874">
    <w:p w:rsidR="00AB00DE" w:rsidRPr="00E168FB" w:rsidRDefault="00AB00DE" w:rsidP="00560424">
      <w:pPr>
        <w:pStyle w:val="a4"/>
      </w:pPr>
      <w:r w:rsidRPr="00E168FB">
        <w:tab/>
      </w:r>
      <w:r w:rsidRPr="00D54A01">
        <w:rPr>
          <w:rStyle w:val="a5"/>
          <w:szCs w:val="21"/>
        </w:rPr>
        <w:footnoteRef/>
      </w:r>
      <w:r w:rsidRPr="00D54A01">
        <w:rPr>
          <w:color w:val="0000FF"/>
          <w:sz w:val="21"/>
          <w:vertAlign w:val="superscript"/>
        </w:rPr>
        <w:tab/>
      </w:r>
      <w:r w:rsidRPr="00E168FB">
        <w:rPr>
          <w:rFonts w:ascii="宋体" w:hAnsi="宋体" w:cs="宋体" w:hint="eastAsia"/>
        </w:rPr>
        <w:t>《巴塞尔公约》缔约方会议的报告……</w:t>
      </w:r>
      <w:r w:rsidRPr="00E168FB">
        <w:rPr>
          <w:rFonts w:ascii="Time New Roman" w:hAnsi="Time New Roman" w:cs="宋体" w:hint="eastAsia"/>
        </w:rPr>
        <w:t>(</w:t>
      </w:r>
      <w:r w:rsidRPr="00E168FB">
        <w:rPr>
          <w:rFonts w:ascii="Time New Roman" w:hAnsi="Time New Roman" w:cs="宋体" w:hint="eastAsia"/>
        </w:rPr>
        <w:t>见上文脚注</w:t>
      </w:r>
      <w:r>
        <w:rPr>
          <w:rFonts w:ascii="Time New Roman" w:hAnsi="Time New Roman" w:cs="宋体" w:hint="eastAsia"/>
        </w:rPr>
        <w:fldChar w:fldCharType="begin"/>
      </w:r>
      <w:r>
        <w:rPr>
          <w:rFonts w:ascii="Time New Roman" w:hAnsi="Time New Roman" w:cs="宋体" w:hint="eastAsia"/>
        </w:rPr>
        <w:instrText xml:space="preserve"> NOTEREF _Ref461977065 \h </w:instrText>
      </w:r>
      <w:r>
        <w:rPr>
          <w:rFonts w:ascii="Time New Roman" w:hAnsi="Time New Roman" w:cs="宋体" w:hint="eastAsia"/>
        </w:rPr>
      </w:r>
      <w:r>
        <w:rPr>
          <w:rFonts w:ascii="Time New Roman" w:hAnsi="Time New Roman" w:cs="宋体" w:hint="eastAsia"/>
        </w:rPr>
        <w:fldChar w:fldCharType="separate"/>
      </w:r>
      <w:r w:rsidR="00A73EB9">
        <w:rPr>
          <w:rFonts w:ascii="Time New Roman" w:hAnsi="Time New Roman" w:cs="宋体" w:hint="eastAsia"/>
        </w:rPr>
        <w:t>869</w:t>
      </w:r>
      <w:r>
        <w:rPr>
          <w:rFonts w:ascii="Time New Roman" w:hAnsi="Time New Roman" w:cs="宋体" w:hint="eastAsia"/>
        </w:rPr>
        <w:fldChar w:fldCharType="end"/>
      </w:r>
      <w:r w:rsidRPr="00E168FB">
        <w:rPr>
          <w:rFonts w:ascii="Time New Roman" w:hAnsi="Time New Roman" w:cs="宋体" w:hint="eastAsia"/>
        </w:rPr>
        <w:t>)</w:t>
      </w:r>
      <w:r w:rsidRPr="00E168FB">
        <w:rPr>
          <w:rFonts w:ascii="Time New Roman" w:hAnsi="Time New Roman" w:cs="宋体" w:hint="eastAsia"/>
        </w:rPr>
        <w:t>，第</w:t>
      </w:r>
      <w:r w:rsidRPr="00E168FB">
        <w:rPr>
          <w:rFonts w:ascii="Time New Roman" w:hAnsi="Time New Roman"/>
        </w:rPr>
        <w:t>68</w:t>
      </w:r>
      <w:r w:rsidRPr="00E168FB">
        <w:rPr>
          <w:rFonts w:ascii="Time New Roman" w:hAnsi="Time New Roman" w:cs="宋体" w:hint="eastAsia"/>
        </w:rPr>
        <w:t>段</w:t>
      </w:r>
      <w:r w:rsidRPr="00E168FB">
        <w:rPr>
          <w:rFonts w:ascii="Time New Roman" w:hAnsi="Time New Roman" w:cs="宋体" w:hint="eastAsia"/>
        </w:rPr>
        <w:t>(</w:t>
      </w:r>
      <w:r w:rsidRPr="00E168FB">
        <w:rPr>
          <w:rFonts w:ascii="Time New Roman" w:hAnsi="Time New Roman" w:cs="宋体" w:hint="eastAsia"/>
        </w:rPr>
        <w:t>强调系本文所加</w:t>
      </w:r>
      <w:r w:rsidRPr="00E168FB">
        <w:rPr>
          <w:rFonts w:ascii="Time New Roman" w:hAnsi="Time New Roman" w:cs="宋体" w:hint="eastAsia"/>
        </w:rPr>
        <w:t>)</w:t>
      </w:r>
      <w:r w:rsidRPr="00E168FB">
        <w:rPr>
          <w:rFonts w:ascii="Time New Roman" w:hAnsi="Time New Roman" w:cs="宋体" w:hint="eastAsia"/>
        </w:rPr>
        <w:t>。</w:t>
      </w:r>
    </w:p>
  </w:footnote>
  <w:footnote w:id="875">
    <w:p w:rsidR="00AB00DE" w:rsidRPr="00E168FB" w:rsidRDefault="00AB00DE" w:rsidP="00B75685">
      <w:pPr>
        <w:pStyle w:val="a4"/>
      </w:pPr>
      <w:r w:rsidRPr="00D54A01">
        <w:rPr>
          <w:color w:val="0000FF"/>
          <w:sz w:val="21"/>
          <w:vertAlign w:val="superscript"/>
        </w:rPr>
        <w:tab/>
      </w:r>
      <w:r w:rsidRPr="00D54A01">
        <w:rPr>
          <w:rStyle w:val="a5"/>
          <w:szCs w:val="21"/>
        </w:rPr>
        <w:footnoteRef/>
      </w:r>
      <w:r w:rsidRPr="00D54A01">
        <w:rPr>
          <w:color w:val="0000FF"/>
          <w:sz w:val="21"/>
          <w:vertAlign w:val="superscript"/>
        </w:rPr>
        <w:tab/>
      </w:r>
      <w:r w:rsidRPr="00E168FB">
        <w:rPr>
          <w:rFonts w:ascii="宋体" w:hAnsi="宋体" w:cs="宋体" w:hint="eastAsia"/>
        </w:rPr>
        <w:t>执行卫生组织《烟草管制框架公约》第</w:t>
      </w:r>
      <w:r w:rsidRPr="00E168FB">
        <w:t>9</w:t>
      </w:r>
      <w:r w:rsidRPr="00E168FB">
        <w:rPr>
          <w:rFonts w:ascii="宋体" w:hAnsi="宋体" w:cs="宋体" w:hint="eastAsia"/>
        </w:rPr>
        <w:t>条和第</w:t>
      </w:r>
      <w:r w:rsidRPr="00E168FB">
        <w:t>10</w:t>
      </w:r>
      <w:r w:rsidRPr="00E168FB">
        <w:rPr>
          <w:rFonts w:ascii="宋体" w:hAnsi="宋体" w:cs="宋体" w:hint="eastAsia"/>
        </w:rPr>
        <w:t>条的部分指南</w:t>
      </w:r>
      <w:r w:rsidRPr="00E168FB">
        <w:t>(</w:t>
      </w:r>
      <w:r w:rsidRPr="00E168FB">
        <w:rPr>
          <w:rFonts w:ascii="宋体" w:eastAsia="楷体" w:hAnsi="宋体" w:cs="宋体" w:hint="eastAsia"/>
        </w:rPr>
        <w:t>管制烟草制品成分和管制烟草制品披露</w:t>
      </w:r>
      <w:r w:rsidRPr="00E168FB">
        <w:t>)</w:t>
      </w:r>
      <w:r w:rsidRPr="00E168FB">
        <w:rPr>
          <w:rFonts w:hint="eastAsia"/>
        </w:rPr>
        <w:t>，</w:t>
      </w:r>
      <w:r w:rsidRPr="00E168FB">
        <w:t>FCTC/COP4(10)</w:t>
      </w:r>
      <w:r w:rsidRPr="00E168FB">
        <w:rPr>
          <w:rFonts w:ascii="宋体" w:hAnsi="宋体" w:cs="宋体" w:hint="eastAsia"/>
        </w:rPr>
        <w:t>，附件，卫生组织《烟草管制框架公约》第</w:t>
      </w:r>
      <w:r w:rsidRPr="00E168FB">
        <w:rPr>
          <w:rFonts w:hint="eastAsia"/>
        </w:rPr>
        <w:t>四届</w:t>
      </w:r>
      <w:r w:rsidRPr="00E168FB">
        <w:rPr>
          <w:rFonts w:ascii="宋体" w:hAnsi="宋体" w:cs="宋体" w:hint="eastAsia"/>
        </w:rPr>
        <w:t>缔约方会议通过</w:t>
      </w:r>
      <w:r w:rsidRPr="00E168FB">
        <w:t>(2010</w:t>
      </w:r>
      <w:r w:rsidRPr="00E168FB">
        <w:rPr>
          <w:rFonts w:ascii="宋体" w:hAnsi="宋体" w:cs="宋体" w:hint="eastAsia"/>
        </w:rPr>
        <w:t>年</w:t>
      </w:r>
      <w:r w:rsidRPr="00E168FB">
        <w:t>11</w:t>
      </w:r>
      <w:r w:rsidRPr="00E168FB">
        <w:rPr>
          <w:rFonts w:ascii="宋体" w:hAnsi="宋体" w:cs="宋体" w:hint="eastAsia"/>
        </w:rPr>
        <w:t>月</w:t>
      </w:r>
      <w:r w:rsidRPr="00E168FB">
        <w:t>15</w:t>
      </w:r>
      <w:r w:rsidRPr="00E168FB">
        <w:rPr>
          <w:rFonts w:ascii="宋体" w:hAnsi="宋体" w:cs="宋体" w:hint="eastAsia"/>
        </w:rPr>
        <w:t>日至</w:t>
      </w:r>
      <w:r w:rsidRPr="00E168FB">
        <w:t>20</w:t>
      </w:r>
      <w:r w:rsidRPr="00E168FB">
        <w:rPr>
          <w:rFonts w:ascii="宋体" w:hAnsi="宋体" w:cs="宋体" w:hint="eastAsia"/>
        </w:rPr>
        <w:t>日，乌拉圭埃斯特角</w:t>
      </w:r>
      <w:r w:rsidRPr="00E168FB">
        <w:t>)</w:t>
      </w:r>
      <w:r w:rsidRPr="00E168FB">
        <w:rPr>
          <w:rFonts w:hint="eastAsia"/>
        </w:rPr>
        <w:t>，载于</w:t>
      </w:r>
      <w:r w:rsidRPr="00E168FB">
        <w:t xml:space="preserve">FCTC/COP/4/DIV/6, </w:t>
      </w:r>
      <w:r w:rsidRPr="00E168FB">
        <w:rPr>
          <w:rFonts w:hint="eastAsia"/>
        </w:rPr>
        <w:t>第</w:t>
      </w:r>
      <w:r w:rsidRPr="00E168FB">
        <w:t>39</w:t>
      </w:r>
      <w:r w:rsidRPr="00E168FB">
        <w:rPr>
          <w:rFonts w:hint="eastAsia"/>
        </w:rPr>
        <w:t>页</w:t>
      </w:r>
      <w:r w:rsidRPr="00E168FB">
        <w:rPr>
          <w:rFonts w:ascii="宋体" w:hAnsi="宋体" w:cs="宋体" w:hint="eastAsia"/>
        </w:rPr>
        <w:t>。</w:t>
      </w:r>
    </w:p>
  </w:footnote>
  <w:footnote w:id="876">
    <w:p w:rsidR="00AB00DE" w:rsidRPr="00E168FB" w:rsidRDefault="00AB00DE" w:rsidP="00B75685">
      <w:pPr>
        <w:pStyle w:val="a4"/>
        <w:rPr>
          <w:lang w:val="es-ES"/>
        </w:rPr>
      </w:pPr>
      <w:r w:rsidRPr="00E168FB">
        <w:tab/>
      </w:r>
      <w:r w:rsidRPr="00D54A01">
        <w:rPr>
          <w:rStyle w:val="a5"/>
          <w:szCs w:val="21"/>
        </w:rPr>
        <w:footnoteRef/>
      </w:r>
      <w:r w:rsidRPr="00D54A01">
        <w:rPr>
          <w:color w:val="0000FF"/>
          <w:sz w:val="21"/>
          <w:vertAlign w:val="superscript"/>
          <w:lang w:val="es-ES"/>
        </w:rPr>
        <w:tab/>
      </w:r>
      <w:r w:rsidRPr="00E168FB">
        <w:rPr>
          <w:rFonts w:eastAsia="楷体_GB2312"/>
        </w:rPr>
        <w:t>南极捕鲸案</w:t>
      </w:r>
      <w:r w:rsidRPr="00E168FB">
        <w:rPr>
          <w:rFonts w:eastAsia="楷体_GB2312"/>
          <w:lang w:val="es-ES"/>
        </w:rPr>
        <w:t>(</w:t>
      </w:r>
      <w:r w:rsidRPr="00E168FB">
        <w:rPr>
          <w:rFonts w:eastAsia="楷体_GB2312"/>
        </w:rPr>
        <w:t>澳大利亚</w:t>
      </w:r>
      <w:r w:rsidRPr="00E168FB">
        <w:rPr>
          <w:rFonts w:eastAsia="楷体_GB2312"/>
          <w:iCs/>
        </w:rPr>
        <w:t>诉</w:t>
      </w:r>
      <w:r w:rsidRPr="00E168FB">
        <w:rPr>
          <w:rFonts w:eastAsia="楷体_GB2312"/>
        </w:rPr>
        <w:t>日本</w:t>
      </w:r>
      <w:r w:rsidRPr="00E168FB">
        <w:rPr>
          <w:rFonts w:eastAsia="楷体_GB2312"/>
          <w:lang w:val="es-ES"/>
        </w:rPr>
        <w:t>：</w:t>
      </w:r>
      <w:r w:rsidRPr="00E168FB">
        <w:rPr>
          <w:rFonts w:eastAsia="楷体_GB2312"/>
        </w:rPr>
        <w:t>新西兰参与诉讼</w:t>
      </w:r>
      <w:r w:rsidRPr="00E168FB">
        <w:rPr>
          <w:rFonts w:eastAsia="楷体_GB2312"/>
          <w:lang w:val="es-ES"/>
        </w:rPr>
        <w:t>)</w:t>
      </w:r>
      <w:r w:rsidRPr="00E168FB">
        <w:rPr>
          <w:rFonts w:eastAsia="楷体_GB2312"/>
          <w:lang w:val="es-ES"/>
        </w:rPr>
        <w:t>，</w:t>
      </w:r>
      <w:r w:rsidRPr="00E168FB">
        <w:t>判决，《</w:t>
      </w:r>
      <w:r w:rsidRPr="00E168FB">
        <w:rPr>
          <w:w w:val="104"/>
        </w:rPr>
        <w:t>2014</w:t>
      </w:r>
      <w:r w:rsidRPr="00E168FB">
        <w:t>年国际法院案例汇编》</w:t>
      </w:r>
      <w:r w:rsidRPr="00E168FB">
        <w:rPr>
          <w:w w:val="104"/>
        </w:rPr>
        <w:t>，</w:t>
      </w:r>
      <w:r w:rsidRPr="00E168FB">
        <w:t>第</w:t>
      </w:r>
      <w:r w:rsidRPr="00E168FB">
        <w:t>226</w:t>
      </w:r>
      <w:r w:rsidRPr="00E168FB">
        <w:t>页</w:t>
      </w:r>
      <w:r w:rsidRPr="00E168FB">
        <w:rPr>
          <w:rFonts w:hint="eastAsia"/>
        </w:rPr>
        <w:t>起，见第</w:t>
      </w:r>
      <w:r w:rsidRPr="00E168FB">
        <w:rPr>
          <w:rFonts w:hint="eastAsia"/>
        </w:rPr>
        <w:t>257</w:t>
      </w:r>
      <w:r w:rsidRPr="00E168FB">
        <w:rPr>
          <w:rFonts w:hint="eastAsia"/>
        </w:rPr>
        <w:t>页，第</w:t>
      </w:r>
      <w:r w:rsidRPr="00E168FB">
        <w:rPr>
          <w:rFonts w:hint="eastAsia"/>
        </w:rPr>
        <w:t>83</w:t>
      </w:r>
      <w:r w:rsidRPr="00E168FB">
        <w:rPr>
          <w:rFonts w:hint="eastAsia"/>
        </w:rPr>
        <w:t>段</w:t>
      </w:r>
      <w:r w:rsidRPr="00E168FB">
        <w:t>。</w:t>
      </w:r>
    </w:p>
  </w:footnote>
  <w:footnote w:id="877">
    <w:p w:rsidR="00AB00DE" w:rsidRPr="00E168FB" w:rsidRDefault="00AB00DE" w:rsidP="00B75685">
      <w:pPr>
        <w:pStyle w:val="a4"/>
        <w:rPr>
          <w:lang w:val="es-ES"/>
        </w:rPr>
      </w:pPr>
      <w:r w:rsidRPr="00E168FB">
        <w:rPr>
          <w:lang w:val="es-ES"/>
        </w:rPr>
        <w:tab/>
      </w:r>
      <w:r w:rsidRPr="00D54A01">
        <w:rPr>
          <w:rStyle w:val="a5"/>
          <w:szCs w:val="21"/>
        </w:rPr>
        <w:footnoteRef/>
      </w:r>
      <w:r w:rsidRPr="00D54A01">
        <w:rPr>
          <w:color w:val="0000FF"/>
          <w:sz w:val="21"/>
          <w:vertAlign w:val="superscript"/>
          <w:lang w:val="es-ES"/>
        </w:rPr>
        <w:tab/>
      </w:r>
      <w:r w:rsidRPr="00E168FB">
        <w:rPr>
          <w:rFonts w:ascii="宋体" w:hAnsi="宋体" w:cs="宋体" w:hint="eastAsia"/>
        </w:rPr>
        <w:t>同上</w:t>
      </w:r>
      <w:r w:rsidRPr="00E168FB">
        <w:rPr>
          <w:rFonts w:ascii="宋体" w:hAnsi="宋体" w:cs="宋体" w:hint="eastAsia"/>
          <w:lang w:val="es-ES"/>
        </w:rPr>
        <w:t>，第</w:t>
      </w:r>
      <w:r w:rsidRPr="00E168FB">
        <w:rPr>
          <w:rFonts w:hint="eastAsia"/>
          <w:lang w:val="es-ES"/>
        </w:rPr>
        <w:t>248</w:t>
      </w:r>
      <w:r w:rsidRPr="00E168FB">
        <w:rPr>
          <w:rFonts w:ascii="宋体" w:hAnsi="宋体" w:cs="宋体" w:hint="eastAsia"/>
          <w:lang w:val="es-ES"/>
        </w:rPr>
        <w:t>页，</w:t>
      </w:r>
      <w:r w:rsidRPr="00E168FB">
        <w:rPr>
          <w:rFonts w:ascii="宋体" w:hAnsi="宋体" w:cs="宋体" w:hint="eastAsia"/>
        </w:rPr>
        <w:t>第</w:t>
      </w:r>
      <w:r w:rsidRPr="00E168FB">
        <w:rPr>
          <w:lang w:val="es-ES"/>
        </w:rPr>
        <w:t>46</w:t>
      </w:r>
      <w:r w:rsidRPr="00E168FB">
        <w:rPr>
          <w:rFonts w:ascii="宋体" w:hAnsi="宋体" w:cs="宋体" w:hint="eastAsia"/>
        </w:rPr>
        <w:t>段。</w:t>
      </w:r>
    </w:p>
  </w:footnote>
  <w:footnote w:id="878">
    <w:p w:rsidR="00AB00DE" w:rsidRPr="00E168FB" w:rsidRDefault="00AB00DE" w:rsidP="00B75685">
      <w:pPr>
        <w:pStyle w:val="a4"/>
        <w:rPr>
          <w:lang w:val="es-ES"/>
        </w:rPr>
      </w:pPr>
      <w:r w:rsidRPr="00E168FB">
        <w:rPr>
          <w:lang w:val="es-ES"/>
        </w:rPr>
        <w:tab/>
      </w:r>
      <w:r w:rsidRPr="00D54A01">
        <w:rPr>
          <w:rStyle w:val="a5"/>
          <w:szCs w:val="21"/>
        </w:rPr>
        <w:footnoteRef/>
      </w:r>
      <w:r w:rsidRPr="00D54A01">
        <w:rPr>
          <w:color w:val="0000FF"/>
          <w:sz w:val="21"/>
          <w:vertAlign w:val="superscript"/>
          <w:lang w:val="es-ES"/>
        </w:rPr>
        <w:tab/>
      </w:r>
      <w:r w:rsidRPr="00E168FB">
        <w:rPr>
          <w:rFonts w:ascii="宋体" w:hAnsi="宋体" w:cs="宋体" w:hint="eastAsia"/>
        </w:rPr>
        <w:t>见上文结论草案</w:t>
      </w:r>
      <w:r w:rsidRPr="00E168FB">
        <w:rPr>
          <w:rFonts w:hint="eastAsia"/>
          <w:lang w:val="es-ES"/>
        </w:rPr>
        <w:t>10[9]</w:t>
      </w:r>
      <w:r w:rsidRPr="00E168FB">
        <w:rPr>
          <w:rFonts w:ascii="宋体" w:hAnsi="宋体" w:cs="宋体" w:hint="eastAsia"/>
        </w:rPr>
        <w:t>的评注第</w:t>
      </w:r>
      <w:r w:rsidRPr="00E168FB">
        <w:rPr>
          <w:lang w:val="es-ES"/>
        </w:rPr>
        <w:t>(2</w:t>
      </w:r>
      <w:r w:rsidRPr="00E168FB">
        <w:rPr>
          <w:rFonts w:hint="eastAsia"/>
          <w:lang w:val="es-ES"/>
        </w:rPr>
        <w:t>3</w:t>
      </w:r>
      <w:r w:rsidRPr="00E168FB">
        <w:rPr>
          <w:lang w:val="es-ES"/>
        </w:rPr>
        <w:t>)-(2</w:t>
      </w:r>
      <w:r w:rsidRPr="00E168FB">
        <w:rPr>
          <w:rFonts w:hint="eastAsia"/>
          <w:lang w:val="es-ES"/>
        </w:rPr>
        <w:t>4</w:t>
      </w:r>
      <w:r w:rsidRPr="00E168FB">
        <w:rPr>
          <w:lang w:val="es-ES"/>
        </w:rPr>
        <w:t>)</w:t>
      </w:r>
      <w:r w:rsidRPr="00E168FB">
        <w:rPr>
          <w:rFonts w:ascii="宋体" w:hAnsi="宋体" w:cs="宋体" w:hint="eastAsia"/>
        </w:rPr>
        <w:t>段。</w:t>
      </w:r>
    </w:p>
  </w:footnote>
  <w:footnote w:id="879">
    <w:p w:rsidR="00AB00DE" w:rsidRPr="00E168FB" w:rsidRDefault="00AB00DE" w:rsidP="00B75685">
      <w:pPr>
        <w:pStyle w:val="a4"/>
        <w:rPr>
          <w:lang w:val="es-ES"/>
        </w:rPr>
      </w:pPr>
      <w:r w:rsidRPr="00E168FB">
        <w:rPr>
          <w:lang w:val="es-ES"/>
        </w:rPr>
        <w:tab/>
      </w:r>
      <w:r w:rsidRPr="00D54A01">
        <w:rPr>
          <w:rStyle w:val="a5"/>
          <w:szCs w:val="21"/>
        </w:rPr>
        <w:footnoteRef/>
      </w:r>
      <w:r w:rsidRPr="00D54A01">
        <w:rPr>
          <w:color w:val="0000FF"/>
          <w:sz w:val="21"/>
          <w:vertAlign w:val="superscript"/>
          <w:lang w:val="es-ES"/>
        </w:rPr>
        <w:tab/>
      </w:r>
      <w:r w:rsidRPr="00E168FB">
        <w:rPr>
          <w:rFonts w:eastAsia="楷体_GB2312"/>
        </w:rPr>
        <w:t>南极捕鲸案</w:t>
      </w:r>
      <w:r w:rsidRPr="00E168FB">
        <w:rPr>
          <w:rFonts w:eastAsia="楷体_GB2312"/>
          <w:lang w:val="es-ES"/>
        </w:rPr>
        <w:t>(</w:t>
      </w:r>
      <w:r w:rsidRPr="00E168FB">
        <w:rPr>
          <w:rFonts w:eastAsia="楷体_GB2312"/>
        </w:rPr>
        <w:t>澳大利亚</w:t>
      </w:r>
      <w:r w:rsidRPr="00E168FB">
        <w:rPr>
          <w:rFonts w:eastAsia="楷体_GB2312"/>
          <w:iCs/>
        </w:rPr>
        <w:t>诉</w:t>
      </w:r>
      <w:r w:rsidRPr="00E168FB">
        <w:rPr>
          <w:rFonts w:eastAsia="楷体_GB2312"/>
        </w:rPr>
        <w:t>日本</w:t>
      </w:r>
      <w:r w:rsidRPr="00E168FB">
        <w:rPr>
          <w:rFonts w:eastAsia="楷体_GB2312"/>
          <w:lang w:val="es-ES"/>
        </w:rPr>
        <w:t>：</w:t>
      </w:r>
      <w:r w:rsidRPr="00E168FB">
        <w:rPr>
          <w:rFonts w:eastAsia="楷体_GB2312"/>
        </w:rPr>
        <w:t>新西兰参与诉讼</w:t>
      </w:r>
      <w:r w:rsidRPr="00E168FB">
        <w:rPr>
          <w:rFonts w:eastAsia="楷体_GB2312"/>
          <w:lang w:val="es-ES"/>
        </w:rPr>
        <w:t>)</w:t>
      </w:r>
      <w:r w:rsidRPr="00E168FB">
        <w:rPr>
          <w:rFonts w:eastAsia="楷体_GB2312"/>
          <w:lang w:val="es-ES"/>
        </w:rPr>
        <w:t>，</w:t>
      </w:r>
      <w:r w:rsidRPr="00E168FB">
        <w:t>判决，《</w:t>
      </w:r>
      <w:r w:rsidRPr="00E168FB">
        <w:rPr>
          <w:w w:val="104"/>
        </w:rPr>
        <w:t>2014</w:t>
      </w:r>
      <w:r w:rsidRPr="00E168FB">
        <w:t>年国际法院案例汇编》</w:t>
      </w:r>
      <w:r w:rsidRPr="00E168FB">
        <w:rPr>
          <w:w w:val="104"/>
        </w:rPr>
        <w:t>，</w:t>
      </w:r>
      <w:r w:rsidRPr="00E168FB">
        <w:t>第</w:t>
      </w:r>
      <w:r w:rsidRPr="00E168FB">
        <w:t>226</w:t>
      </w:r>
      <w:r w:rsidRPr="00E168FB">
        <w:t>页</w:t>
      </w:r>
      <w:r w:rsidRPr="00E168FB">
        <w:rPr>
          <w:rFonts w:hint="eastAsia"/>
        </w:rPr>
        <w:t>起</w:t>
      </w:r>
      <w:r w:rsidRPr="00E168FB">
        <w:rPr>
          <w:lang w:val="es-ES"/>
        </w:rPr>
        <w:t>(</w:t>
      </w:r>
      <w:r w:rsidRPr="00E168FB">
        <w:rPr>
          <w:rFonts w:ascii="宋体" w:hAnsi="宋体" w:cs="宋体" w:hint="eastAsia"/>
        </w:rPr>
        <w:t>临时法官</w:t>
      </w:r>
      <w:r w:rsidRPr="00E168FB">
        <w:rPr>
          <w:lang w:val="es-ES"/>
        </w:rPr>
        <w:t>Charlesworth</w:t>
      </w:r>
      <w:r w:rsidRPr="00E168FB">
        <w:rPr>
          <w:rFonts w:ascii="宋体" w:hAnsi="宋体" w:cs="宋体" w:hint="eastAsia"/>
        </w:rPr>
        <w:t>的个别意见</w:t>
      </w:r>
      <w:r w:rsidRPr="00E168FB">
        <w:rPr>
          <w:rFonts w:ascii="宋体" w:hAnsi="宋体" w:cs="宋体" w:hint="eastAsia"/>
          <w:lang w:val="es-ES"/>
        </w:rPr>
        <w:t>，见第</w:t>
      </w:r>
      <w:r w:rsidRPr="00E168FB">
        <w:t>454</w:t>
      </w:r>
      <w:r w:rsidRPr="00E168FB">
        <w:rPr>
          <w:rFonts w:ascii="宋体" w:hAnsi="宋体" w:cs="宋体" w:hint="eastAsia"/>
          <w:lang w:val="es-ES"/>
        </w:rPr>
        <w:t>页，</w:t>
      </w:r>
      <w:r w:rsidRPr="00E168FB">
        <w:rPr>
          <w:rFonts w:ascii="宋体" w:hAnsi="宋体" w:cs="宋体" w:hint="eastAsia"/>
        </w:rPr>
        <w:t>第</w:t>
      </w:r>
      <w:r w:rsidRPr="00E168FB">
        <w:rPr>
          <w:lang w:val="es-ES"/>
        </w:rPr>
        <w:t>4</w:t>
      </w:r>
      <w:r w:rsidRPr="00E168FB">
        <w:rPr>
          <w:rFonts w:ascii="宋体" w:hAnsi="宋体" w:cs="宋体" w:hint="eastAsia"/>
        </w:rPr>
        <w:t>段</w:t>
      </w:r>
      <w:r w:rsidRPr="00E168FB">
        <w:rPr>
          <w:rFonts w:ascii="宋体" w:hAnsi="宋体" w:cs="宋体" w:hint="eastAsia"/>
          <w:lang w:val="es-ES"/>
        </w:rPr>
        <w:t>：</w:t>
      </w:r>
      <w:r w:rsidRPr="00E168FB">
        <w:rPr>
          <w:rFonts w:hint="eastAsia"/>
          <w:lang w:val="es-ES"/>
        </w:rPr>
        <w:t>“</w:t>
      </w:r>
      <w:r w:rsidRPr="00E168FB">
        <w:rPr>
          <w:rFonts w:ascii="宋体" w:hAnsi="宋体" w:cs="宋体" w:hint="eastAsia"/>
        </w:rPr>
        <w:t>我注意到</w:t>
      </w:r>
      <w:r w:rsidRPr="00E168FB">
        <w:rPr>
          <w:rFonts w:ascii="宋体" w:hAnsi="宋体" w:cs="宋体" w:hint="eastAsia"/>
          <w:lang w:val="es-ES"/>
        </w:rPr>
        <w:t>，</w:t>
      </w:r>
      <w:r w:rsidRPr="00E168FB">
        <w:rPr>
          <w:rFonts w:ascii="Time New Roman" w:eastAsia="楷体" w:hAnsi="Time New Roman" w:cs="宋体" w:hint="eastAsia"/>
          <w:lang w:val="es-ES"/>
        </w:rPr>
        <w:t>[</w:t>
      </w:r>
      <w:r w:rsidRPr="00E168FB">
        <w:rPr>
          <w:rFonts w:ascii="宋体" w:hAnsi="宋体" w:cs="宋体" w:hint="eastAsia"/>
        </w:rPr>
        <w:t>国际捕鲸委员会</w:t>
      </w:r>
      <w:r w:rsidRPr="00E168FB">
        <w:rPr>
          <w:rFonts w:ascii="Time New Roman" w:eastAsia="楷体" w:hAnsi="Time New Roman" w:cs="宋体"/>
        </w:rPr>
        <w:t>]</w:t>
      </w:r>
      <w:r w:rsidRPr="00E168FB">
        <w:rPr>
          <w:rFonts w:ascii="宋体" w:hAnsi="宋体" w:cs="宋体" w:hint="eastAsia"/>
        </w:rPr>
        <w:t>投票通过的决议具有一定的后果</w:t>
      </w:r>
      <w:r w:rsidRPr="00E168FB">
        <w:rPr>
          <w:rFonts w:ascii="宋体" w:hAnsi="宋体" w:cs="宋体" w:hint="eastAsia"/>
          <w:lang w:val="es-ES"/>
        </w:rPr>
        <w:t>，</w:t>
      </w:r>
      <w:r w:rsidRPr="00E168FB">
        <w:rPr>
          <w:rFonts w:ascii="宋体" w:hAnsi="宋体" w:cs="宋体" w:hint="eastAsia"/>
        </w:rPr>
        <w:t>但不属于《维也纳公约》第三十一条第三款的规定范围</w:t>
      </w:r>
      <w:r w:rsidRPr="00E168FB">
        <w:rPr>
          <w:rFonts w:hint="eastAsia"/>
          <w:lang w:val="es-ES"/>
        </w:rPr>
        <w:t>”</w:t>
      </w:r>
      <w:r w:rsidRPr="00E168FB">
        <w:rPr>
          <w:lang w:val="es-ES"/>
        </w:rPr>
        <w:t>)</w:t>
      </w:r>
      <w:r w:rsidRPr="00E168FB">
        <w:rPr>
          <w:rFonts w:ascii="宋体" w:hAnsi="宋体" w:cs="宋体" w:hint="eastAsia"/>
        </w:rPr>
        <w:t>。</w:t>
      </w:r>
    </w:p>
  </w:footnote>
  <w:footnote w:id="880">
    <w:p w:rsidR="00AB00DE" w:rsidRPr="00E168FB" w:rsidRDefault="00AB00DE" w:rsidP="00B75685">
      <w:pPr>
        <w:pStyle w:val="a4"/>
      </w:pPr>
      <w:r w:rsidRPr="00E168FB">
        <w:rPr>
          <w:lang w:val="es-ES"/>
        </w:rPr>
        <w:tab/>
      </w:r>
      <w:r w:rsidRPr="00D54A01">
        <w:rPr>
          <w:rStyle w:val="a5"/>
          <w:szCs w:val="21"/>
        </w:rPr>
        <w:footnoteRef/>
      </w:r>
      <w:r w:rsidRPr="00D54A01">
        <w:rPr>
          <w:color w:val="0000FF"/>
          <w:sz w:val="21"/>
          <w:vertAlign w:val="superscript"/>
        </w:rPr>
        <w:tab/>
      </w:r>
      <w:r w:rsidRPr="00E168FB">
        <w:rPr>
          <w:rFonts w:ascii="宋体" w:hAnsi="宋体" w:cs="宋体" w:hint="eastAsia"/>
        </w:rPr>
        <w:t>《联合国气候变化框架公约》缔约方会议暂时适用缔约方会议及其附属机构议事规则草案(</w:t>
      </w:r>
      <w:hyperlink r:id="rId98" w:history="1">
        <w:r w:rsidRPr="00E168FB">
          <w:rPr>
            <w:rStyle w:val="af"/>
          </w:rPr>
          <w:t>FCCC/CP/1996/2</w:t>
        </w:r>
      </w:hyperlink>
      <w:r w:rsidRPr="00E168FB">
        <w:rPr>
          <w:rFonts w:ascii="宋体" w:hAnsi="宋体" w:cs="宋体" w:hint="eastAsia"/>
        </w:rPr>
        <w:t>)，但有关</w:t>
      </w:r>
      <w:r w:rsidRPr="00E168FB">
        <w:rPr>
          <w:rFonts w:hint="eastAsia"/>
        </w:rPr>
        <w:t>“</w:t>
      </w:r>
      <w:r w:rsidRPr="00E168FB">
        <w:rPr>
          <w:rFonts w:ascii="宋体" w:hAnsi="宋体" w:cs="宋体" w:hint="eastAsia"/>
        </w:rPr>
        <w:t>投票</w:t>
      </w:r>
      <w:r w:rsidRPr="00E168FB">
        <w:rPr>
          <w:rFonts w:hint="eastAsia"/>
        </w:rPr>
        <w:t>”的一章中</w:t>
      </w:r>
      <w:r w:rsidRPr="00E168FB">
        <w:rPr>
          <w:rFonts w:ascii="宋体" w:hAnsi="宋体" w:cs="宋体" w:hint="eastAsia"/>
        </w:rPr>
        <w:t>的规则</w:t>
      </w:r>
      <w:r w:rsidRPr="00E168FB">
        <w:t>42</w:t>
      </w:r>
      <w:r w:rsidRPr="00E168FB">
        <w:rPr>
          <w:rFonts w:ascii="宋体" w:hAnsi="宋体" w:cs="宋体" w:hint="eastAsia"/>
        </w:rPr>
        <w:t>草案例外，因为迄今为止尚未就其中列出的两种投票替代办法中的一种达成一致，见缔约方会议第一届会议报告</w:t>
      </w:r>
      <w:r w:rsidRPr="00E168FB">
        <w:t>(1995</w:t>
      </w:r>
      <w:r w:rsidRPr="00E168FB">
        <w:rPr>
          <w:rFonts w:ascii="宋体" w:hAnsi="宋体" w:cs="宋体" w:hint="eastAsia"/>
        </w:rPr>
        <w:t>年</w:t>
      </w:r>
      <w:r w:rsidRPr="00E168FB">
        <w:t>3</w:t>
      </w:r>
      <w:r w:rsidRPr="00E168FB">
        <w:rPr>
          <w:rFonts w:ascii="宋体" w:hAnsi="宋体" w:cs="宋体" w:hint="eastAsia"/>
        </w:rPr>
        <w:t>月</w:t>
      </w:r>
      <w:r w:rsidRPr="00E168FB">
        <w:t>28</w:t>
      </w:r>
      <w:r w:rsidRPr="00E168FB">
        <w:rPr>
          <w:rFonts w:ascii="宋体" w:hAnsi="宋体" w:cs="宋体" w:hint="eastAsia"/>
        </w:rPr>
        <w:t>日至</w:t>
      </w:r>
      <w:r w:rsidRPr="00E168FB">
        <w:t>4</w:t>
      </w:r>
      <w:r w:rsidRPr="00E168FB">
        <w:rPr>
          <w:rFonts w:ascii="宋体" w:hAnsi="宋体" w:cs="宋体" w:hint="eastAsia"/>
        </w:rPr>
        <w:t>月</w:t>
      </w:r>
      <w:r w:rsidRPr="00E168FB">
        <w:t>7</w:t>
      </w:r>
      <w:r w:rsidRPr="00E168FB">
        <w:rPr>
          <w:rFonts w:ascii="宋体" w:hAnsi="宋体" w:cs="宋体" w:hint="eastAsia"/>
        </w:rPr>
        <w:t>日</w:t>
      </w:r>
      <w:r w:rsidRPr="00E168FB">
        <w:t>) (</w:t>
      </w:r>
      <w:hyperlink r:id="rId99" w:history="1">
        <w:r w:rsidRPr="00E168FB">
          <w:rPr>
            <w:rStyle w:val="af"/>
          </w:rPr>
          <w:t>FCCC/CP/1995/7</w:t>
        </w:r>
      </w:hyperlink>
      <w:r w:rsidRPr="00E168FB">
        <w:t>)</w:t>
      </w:r>
      <w:r w:rsidRPr="00E168FB">
        <w:rPr>
          <w:rFonts w:ascii="宋体" w:hAnsi="宋体" w:cs="宋体" w:hint="eastAsia"/>
        </w:rPr>
        <w:t>，第</w:t>
      </w:r>
      <w:r w:rsidRPr="00E168FB">
        <w:t>8</w:t>
      </w:r>
      <w:r w:rsidRPr="00E168FB">
        <w:rPr>
          <w:rFonts w:ascii="宋体" w:hAnsi="宋体" w:cs="宋体" w:hint="eastAsia"/>
        </w:rPr>
        <w:t>页，第</w:t>
      </w:r>
      <w:r w:rsidRPr="00E168FB">
        <w:t>10</w:t>
      </w:r>
      <w:r w:rsidRPr="00E168FB">
        <w:rPr>
          <w:rFonts w:ascii="宋体" w:hAnsi="宋体" w:cs="宋体" w:hint="eastAsia"/>
        </w:rPr>
        <w:t>段；缔约方会议第十九届会议报告</w:t>
      </w:r>
      <w:r w:rsidRPr="00E168FB">
        <w:t>(2013</w:t>
      </w:r>
      <w:r w:rsidRPr="00E168FB">
        <w:rPr>
          <w:rFonts w:ascii="宋体" w:hAnsi="宋体" w:cs="宋体" w:hint="eastAsia"/>
        </w:rPr>
        <w:t>年</w:t>
      </w:r>
      <w:r w:rsidRPr="00E168FB">
        <w:t>11</w:t>
      </w:r>
      <w:r w:rsidRPr="00E168FB">
        <w:rPr>
          <w:rFonts w:ascii="宋体" w:hAnsi="宋体" w:cs="宋体" w:hint="eastAsia"/>
        </w:rPr>
        <w:t>月</w:t>
      </w:r>
      <w:r w:rsidRPr="00E168FB">
        <w:t>11</w:t>
      </w:r>
      <w:r w:rsidRPr="00E168FB">
        <w:rPr>
          <w:rFonts w:ascii="宋体" w:hAnsi="宋体" w:cs="宋体" w:hint="eastAsia"/>
        </w:rPr>
        <w:t>日至</w:t>
      </w:r>
      <w:r w:rsidRPr="00E168FB">
        <w:t>23</w:t>
      </w:r>
      <w:r w:rsidRPr="00E168FB">
        <w:rPr>
          <w:rFonts w:ascii="宋体" w:hAnsi="宋体" w:cs="宋体" w:hint="eastAsia"/>
        </w:rPr>
        <w:t>日</w:t>
      </w:r>
      <w:r w:rsidRPr="00E168FB">
        <w:t>) (</w:t>
      </w:r>
      <w:hyperlink r:id="rId100" w:history="1">
        <w:r w:rsidRPr="00E168FB">
          <w:rPr>
            <w:rStyle w:val="af"/>
          </w:rPr>
          <w:t>FCCC/CP/2013/10</w:t>
        </w:r>
      </w:hyperlink>
      <w:r w:rsidRPr="00E168FB">
        <w:t>)</w:t>
      </w:r>
      <w:r w:rsidRPr="00E168FB">
        <w:rPr>
          <w:rFonts w:ascii="宋体" w:hAnsi="宋体" w:cs="宋体" w:hint="eastAsia"/>
        </w:rPr>
        <w:t>，第</w:t>
      </w:r>
      <w:r w:rsidRPr="00E168FB">
        <w:t>6</w:t>
      </w:r>
      <w:r w:rsidRPr="00E168FB">
        <w:rPr>
          <w:rFonts w:ascii="宋体" w:hAnsi="宋体" w:cs="宋体" w:hint="eastAsia"/>
        </w:rPr>
        <w:t>页，第</w:t>
      </w:r>
      <w:r w:rsidRPr="00E168FB">
        <w:t>4</w:t>
      </w:r>
      <w:r w:rsidRPr="00E168FB">
        <w:rPr>
          <w:rFonts w:ascii="宋体" w:hAnsi="宋体" w:cs="宋体" w:hint="eastAsia"/>
        </w:rPr>
        <w:t>段；同样，《生物多样性公约》</w:t>
      </w:r>
      <w:r w:rsidRPr="00E168FB">
        <w:rPr>
          <w:rFonts w:ascii="Time New Roman" w:hAnsi="Time New Roman" w:cs="宋体" w:hint="eastAsia"/>
        </w:rPr>
        <w:t>(</w:t>
      </w:r>
      <w:r w:rsidRPr="00E168FB">
        <w:rPr>
          <w:rFonts w:ascii="Time New Roman" w:hAnsi="Time New Roman"/>
        </w:rPr>
        <w:t>1992</w:t>
      </w:r>
      <w:r w:rsidRPr="00E168FB">
        <w:rPr>
          <w:rFonts w:ascii="Time New Roman" w:hAnsi="Time New Roman" w:hint="eastAsia"/>
        </w:rPr>
        <w:t>年，联合国，《条约汇编》，第</w:t>
      </w:r>
      <w:r w:rsidRPr="00E168FB">
        <w:rPr>
          <w:rFonts w:ascii="Time New Roman" w:hAnsi="Time New Roman"/>
        </w:rPr>
        <w:t>1760</w:t>
      </w:r>
      <w:r w:rsidRPr="00E168FB">
        <w:rPr>
          <w:rFonts w:ascii="Time New Roman" w:hAnsi="Time New Roman" w:hint="eastAsia"/>
        </w:rPr>
        <w:t>卷，第</w:t>
      </w:r>
      <w:r w:rsidRPr="00E168FB">
        <w:rPr>
          <w:rFonts w:ascii="Time New Roman" w:hAnsi="Time New Roman"/>
        </w:rPr>
        <w:t>30619</w:t>
      </w:r>
      <w:r w:rsidRPr="00E168FB">
        <w:rPr>
          <w:rFonts w:ascii="Time New Roman" w:hAnsi="Time New Roman" w:hint="eastAsia"/>
        </w:rPr>
        <w:t>号，第</w:t>
      </w:r>
      <w:r w:rsidRPr="00E168FB">
        <w:rPr>
          <w:rFonts w:ascii="Time New Roman" w:hAnsi="Time New Roman"/>
        </w:rPr>
        <w:t>79</w:t>
      </w:r>
      <w:r w:rsidRPr="00E168FB">
        <w:rPr>
          <w:rFonts w:ascii="Time New Roman" w:hAnsi="Time New Roman" w:hint="eastAsia"/>
        </w:rPr>
        <w:t>页</w:t>
      </w:r>
      <w:r w:rsidRPr="00E168FB">
        <w:rPr>
          <w:rFonts w:ascii="Time New Roman" w:hAnsi="Time New Roman" w:cs="宋体" w:hint="eastAsia"/>
        </w:rPr>
        <w:t>)</w:t>
      </w:r>
      <w:r w:rsidRPr="00E168FB">
        <w:rPr>
          <w:rFonts w:ascii="Time New Roman" w:hAnsi="Time New Roman" w:cs="宋体" w:hint="eastAsia"/>
        </w:rPr>
        <w:t>缔约方会议没有通过议</w:t>
      </w:r>
      <w:r w:rsidRPr="00E168FB">
        <w:rPr>
          <w:rFonts w:ascii="宋体" w:hAnsi="宋体" w:cs="宋体" w:hint="eastAsia"/>
        </w:rPr>
        <w:t>事规则中规则</w:t>
      </w:r>
      <w:r w:rsidRPr="00E168FB">
        <w:t>40</w:t>
      </w:r>
      <w:r w:rsidRPr="00E168FB">
        <w:rPr>
          <w:rFonts w:ascii="宋体" w:hAnsi="宋体" w:cs="宋体" w:hint="eastAsia"/>
        </w:rPr>
        <w:t>的第</w:t>
      </w:r>
      <w:r w:rsidRPr="00E168FB">
        <w:t>1</w:t>
      </w:r>
      <w:r w:rsidRPr="00E168FB">
        <w:rPr>
          <w:rFonts w:ascii="宋体" w:hAnsi="宋体" w:cs="宋体" w:hint="eastAsia"/>
        </w:rPr>
        <w:t>段</w:t>
      </w:r>
      <w:r w:rsidRPr="00E168FB">
        <w:t>(</w:t>
      </w:r>
      <w:r w:rsidRPr="00E168FB">
        <w:rPr>
          <w:rFonts w:ascii="宋体" w:hAnsi="宋体" w:cs="宋体" w:hint="eastAsia"/>
        </w:rPr>
        <w:t>投票</w:t>
      </w:r>
      <w:r w:rsidRPr="00E168FB">
        <w:t>)</w:t>
      </w:r>
      <w:r w:rsidRPr="00E168FB">
        <w:rPr>
          <w:rFonts w:ascii="宋体" w:hAnsi="宋体" w:cs="宋体" w:hint="eastAsia"/>
        </w:rPr>
        <w:t>，</w:t>
      </w:r>
      <w:r w:rsidRPr="00E168FB">
        <w:rPr>
          <w:rFonts w:hint="eastAsia"/>
        </w:rPr>
        <w:t>“</w:t>
      </w:r>
      <w:r w:rsidRPr="00E168FB">
        <w:rPr>
          <w:rFonts w:ascii="宋体" w:hAnsi="宋体" w:cs="宋体" w:hint="eastAsia"/>
        </w:rPr>
        <w:t>因为缔约方对于就实质性事项作出决定所需的多数无法达成共识</w:t>
      </w:r>
      <w:r w:rsidRPr="00E168FB">
        <w:rPr>
          <w:rFonts w:hint="eastAsia"/>
        </w:rPr>
        <w:t>”</w:t>
      </w:r>
      <w:r w:rsidRPr="00E168FB">
        <w:rPr>
          <w:rFonts w:ascii="宋体" w:hAnsi="宋体" w:cs="宋体" w:hint="eastAsia"/>
        </w:rPr>
        <w:t>，见《生物多样性公约》缔约方会议第十一次会议报告</w:t>
      </w:r>
      <w:r w:rsidRPr="00E168FB">
        <w:t>(2012</w:t>
      </w:r>
      <w:r w:rsidRPr="00E168FB">
        <w:rPr>
          <w:rFonts w:ascii="宋体" w:hAnsi="宋体" w:cs="宋体" w:hint="eastAsia"/>
        </w:rPr>
        <w:t>年</w:t>
      </w:r>
      <w:r w:rsidRPr="00E168FB">
        <w:t>10</w:t>
      </w:r>
      <w:r w:rsidRPr="00E168FB">
        <w:rPr>
          <w:rFonts w:ascii="宋体" w:hAnsi="宋体" w:cs="宋体" w:hint="eastAsia"/>
        </w:rPr>
        <w:t>月</w:t>
      </w:r>
      <w:r w:rsidRPr="00E168FB">
        <w:t>8</w:t>
      </w:r>
      <w:r w:rsidRPr="00E168FB">
        <w:rPr>
          <w:rFonts w:ascii="宋体" w:hAnsi="宋体" w:cs="宋体" w:hint="eastAsia"/>
        </w:rPr>
        <w:t>日至</w:t>
      </w:r>
      <w:r w:rsidRPr="00E168FB">
        <w:t>19</w:t>
      </w:r>
      <w:r w:rsidRPr="00E168FB">
        <w:rPr>
          <w:rFonts w:ascii="宋体" w:hAnsi="宋体" w:cs="宋体" w:hint="eastAsia"/>
        </w:rPr>
        <w:t>日</w:t>
      </w:r>
      <w:r w:rsidRPr="00E168FB">
        <w:t>) (UNEP/CBD/COP/11/35)</w:t>
      </w:r>
      <w:r w:rsidRPr="00E168FB">
        <w:rPr>
          <w:rFonts w:ascii="宋体" w:hAnsi="宋体" w:cs="宋体" w:hint="eastAsia"/>
        </w:rPr>
        <w:t>，第</w:t>
      </w:r>
      <w:r w:rsidRPr="00E168FB">
        <w:t>65</w:t>
      </w:r>
      <w:r w:rsidRPr="00E168FB">
        <w:rPr>
          <w:rFonts w:ascii="宋体" w:hAnsi="宋体" w:cs="宋体" w:hint="eastAsia"/>
        </w:rPr>
        <w:t>段。</w:t>
      </w:r>
    </w:p>
  </w:footnote>
  <w:footnote w:id="881">
    <w:p w:rsidR="00AB00DE" w:rsidRPr="00E168FB" w:rsidRDefault="00AB00DE" w:rsidP="00B75685">
      <w:pPr>
        <w:pStyle w:val="a4"/>
      </w:pPr>
      <w:r w:rsidRPr="00E168FB">
        <w:tab/>
      </w:r>
      <w:r w:rsidRPr="00D54A01">
        <w:rPr>
          <w:rStyle w:val="a5"/>
          <w:szCs w:val="21"/>
        </w:rPr>
        <w:footnoteRef/>
      </w:r>
      <w:r w:rsidRPr="00D54A01">
        <w:rPr>
          <w:color w:val="0000FF"/>
          <w:sz w:val="21"/>
          <w:vertAlign w:val="superscript"/>
        </w:rPr>
        <w:tab/>
      </w:r>
      <w:r w:rsidRPr="00E168FB">
        <w:rPr>
          <w:rFonts w:ascii="宋体" w:hAnsi="宋体" w:cs="宋体" w:hint="eastAsia"/>
        </w:rPr>
        <w:t>见</w:t>
      </w:r>
      <w:r w:rsidRPr="00E168FB">
        <w:t>1980</w:t>
      </w:r>
      <w:r w:rsidRPr="00E168FB">
        <w:rPr>
          <w:rFonts w:ascii="宋体" w:hAnsi="宋体" w:cs="宋体" w:hint="eastAsia"/>
        </w:rPr>
        <w:t>年</w:t>
      </w:r>
      <w:r w:rsidRPr="00E168FB">
        <w:t>3</w:t>
      </w:r>
      <w:r w:rsidRPr="00E168FB">
        <w:rPr>
          <w:rFonts w:ascii="宋体" w:hAnsi="宋体" w:cs="宋体" w:hint="eastAsia"/>
        </w:rPr>
        <w:t>月</w:t>
      </w:r>
      <w:r w:rsidRPr="00E168FB">
        <w:t>3</w:t>
      </w:r>
      <w:r w:rsidRPr="00E168FB">
        <w:rPr>
          <w:rFonts w:ascii="宋体" w:hAnsi="宋体" w:cs="宋体" w:hint="eastAsia"/>
        </w:rPr>
        <w:t>日至</w:t>
      </w:r>
      <w:r w:rsidRPr="00E168FB">
        <w:t>21</w:t>
      </w:r>
      <w:r w:rsidRPr="00E168FB">
        <w:rPr>
          <w:rFonts w:ascii="宋体" w:hAnsi="宋体" w:cs="宋体" w:hint="eastAsia"/>
        </w:rPr>
        <w:t>日在日内瓦举行的《关于禁止发展、生产和储存细菌</w:t>
      </w:r>
      <w:r w:rsidRPr="00E168FB">
        <w:t>(</w:t>
      </w:r>
      <w:r w:rsidRPr="00E168FB">
        <w:rPr>
          <w:rFonts w:ascii="宋体" w:hAnsi="宋体" w:cs="宋体" w:hint="eastAsia"/>
        </w:rPr>
        <w:t>生物</w:t>
      </w:r>
      <w:r w:rsidRPr="00E168FB">
        <w:t>)</w:t>
      </w:r>
      <w:r w:rsidRPr="00E168FB">
        <w:rPr>
          <w:rFonts w:ascii="宋体" w:hAnsi="宋体" w:cs="宋体" w:hint="eastAsia"/>
        </w:rPr>
        <w:t>及毒素武器和销毁此种武器的公约》缔约国审查会议临时议事规则中规则</w:t>
      </w:r>
      <w:r w:rsidRPr="00E168FB">
        <w:t>28</w:t>
      </w:r>
      <w:r w:rsidRPr="00E168FB">
        <w:rPr>
          <w:rFonts w:ascii="宋体" w:hAnsi="宋体" w:cs="宋体" w:hint="eastAsia"/>
        </w:rPr>
        <w:t>第</w:t>
      </w:r>
      <w:r w:rsidRPr="00E168FB">
        <w:t>2</w:t>
      </w:r>
      <w:r w:rsidRPr="00E168FB">
        <w:rPr>
          <w:rFonts w:ascii="宋体" w:hAnsi="宋体" w:cs="宋体" w:hint="eastAsia"/>
        </w:rPr>
        <w:t>段</w:t>
      </w:r>
      <w:r w:rsidRPr="00E168FB">
        <w:t>(</w:t>
      </w:r>
      <w:r w:rsidRPr="00E168FB">
        <w:rPr>
          <w:w w:val="104"/>
        </w:rPr>
        <w:t>BWC/CONF.I/2</w:t>
      </w:r>
      <w:r w:rsidRPr="00E168FB">
        <w:t>)</w:t>
      </w:r>
      <w:r w:rsidRPr="00E168FB">
        <w:rPr>
          <w:rFonts w:ascii="宋体" w:hAnsi="宋体" w:cs="宋体" w:hint="eastAsia"/>
          <w:w w:val="104"/>
        </w:rPr>
        <w:t>。</w:t>
      </w:r>
    </w:p>
  </w:footnote>
  <w:footnote w:id="882">
    <w:p w:rsidR="00AB00DE" w:rsidRPr="00E168FB" w:rsidRDefault="00AB00DE" w:rsidP="00B75685">
      <w:pPr>
        <w:pStyle w:val="a4"/>
        <w:rPr>
          <w:rFonts w:ascii="宋体" w:hAnsi="宋体" w:cs="宋体"/>
        </w:rPr>
      </w:pPr>
      <w:r w:rsidRPr="00E168FB">
        <w:tab/>
      </w:r>
      <w:r w:rsidRPr="00D54A01">
        <w:rPr>
          <w:rStyle w:val="a5"/>
          <w:szCs w:val="21"/>
        </w:rPr>
        <w:footnoteRef/>
      </w:r>
      <w:r w:rsidRPr="00D54A01">
        <w:rPr>
          <w:color w:val="0000FF"/>
          <w:sz w:val="21"/>
          <w:vertAlign w:val="superscript"/>
        </w:rPr>
        <w:tab/>
      </w:r>
      <w:r w:rsidRPr="00E168FB">
        <w:rPr>
          <w:rFonts w:ascii="宋体" w:hAnsi="宋体" w:cs="宋体" w:hint="eastAsia"/>
        </w:rPr>
        <w:t>见大会</w:t>
      </w:r>
      <w:r w:rsidRPr="00E168FB">
        <w:rPr>
          <w:w w:val="104"/>
        </w:rPr>
        <w:t>2006</w:t>
      </w:r>
      <w:r w:rsidRPr="00E168FB">
        <w:rPr>
          <w:rFonts w:ascii="宋体" w:hAnsi="宋体" w:cs="宋体" w:hint="eastAsia"/>
        </w:rPr>
        <w:t>年</w:t>
      </w:r>
      <w:r w:rsidRPr="00E168FB">
        <w:t>9</w:t>
      </w:r>
      <w:r w:rsidRPr="00E168FB">
        <w:rPr>
          <w:rFonts w:ascii="宋体" w:hAnsi="宋体" w:cs="宋体" w:hint="eastAsia"/>
        </w:rPr>
        <w:t>月</w:t>
      </w:r>
      <w:r w:rsidRPr="00E168FB">
        <w:rPr>
          <w:w w:val="104"/>
        </w:rPr>
        <w:t>8</w:t>
      </w:r>
      <w:r w:rsidRPr="00E168FB">
        <w:rPr>
          <w:rFonts w:ascii="宋体" w:hAnsi="宋体" w:cs="宋体" w:hint="eastAsia"/>
        </w:rPr>
        <w:t>日关于振兴大会的第</w:t>
      </w:r>
      <w:r w:rsidRPr="00E168FB">
        <w:rPr>
          <w:w w:val="104"/>
        </w:rPr>
        <w:t>60/286</w:t>
      </w:r>
      <w:r w:rsidRPr="00E168FB">
        <w:rPr>
          <w:rFonts w:ascii="宋体" w:hAnsi="宋体" w:cs="宋体" w:hint="eastAsia"/>
        </w:rPr>
        <w:t>号决议，它要求秘书处法律事务厅</w:t>
      </w:r>
      <w:r w:rsidRPr="00E168FB">
        <w:rPr>
          <w:rFonts w:hint="eastAsia"/>
        </w:rPr>
        <w:t>“</w:t>
      </w:r>
      <w:r w:rsidRPr="00E168FB">
        <w:rPr>
          <w:rFonts w:ascii="宋体" w:hAnsi="宋体" w:cs="宋体" w:hint="eastAsia"/>
        </w:rPr>
        <w:t>提供有关本组织政府间机构规则和做法的先例和惯例，供公众查询</w:t>
      </w:r>
      <w:r w:rsidRPr="00E168FB">
        <w:rPr>
          <w:rFonts w:hint="eastAsia"/>
        </w:rPr>
        <w:t>”</w:t>
      </w:r>
      <w:r w:rsidRPr="00E168FB">
        <w:t>(</w:t>
      </w:r>
      <w:r w:rsidRPr="00E168FB">
        <w:rPr>
          <w:rFonts w:ascii="宋体" w:hAnsi="宋体" w:cs="宋体" w:hint="eastAsia"/>
        </w:rPr>
        <w:t>第</w:t>
      </w:r>
      <w:r w:rsidRPr="00E168FB">
        <w:t>24</w:t>
      </w:r>
      <w:r w:rsidRPr="00E168FB">
        <w:rPr>
          <w:rFonts w:ascii="宋体" w:hAnsi="宋体" w:cs="宋体" w:hint="eastAsia"/>
        </w:rPr>
        <w:t>段</w:t>
      </w:r>
      <w:r w:rsidRPr="00E168FB">
        <w:t>)</w:t>
      </w:r>
      <w:r w:rsidRPr="00E168FB">
        <w:rPr>
          <w:rFonts w:ascii="宋体" w:hAnsi="宋体" w:cs="宋体" w:hint="eastAsia"/>
        </w:rPr>
        <w:t>。</w:t>
      </w:r>
    </w:p>
  </w:footnote>
  <w:footnote w:id="883">
    <w:p w:rsidR="00AB00DE" w:rsidRPr="00E168FB" w:rsidRDefault="00AB00DE" w:rsidP="00B75685">
      <w:pPr>
        <w:pStyle w:val="a4"/>
      </w:pPr>
      <w:r w:rsidRPr="00E168FB">
        <w:tab/>
      </w:r>
      <w:r w:rsidRPr="00D54A01">
        <w:rPr>
          <w:rStyle w:val="a5"/>
          <w:szCs w:val="21"/>
        </w:rPr>
        <w:footnoteRef/>
      </w:r>
      <w:r w:rsidRPr="00D54A01">
        <w:rPr>
          <w:color w:val="0000FF"/>
          <w:sz w:val="21"/>
          <w:vertAlign w:val="superscript"/>
        </w:rPr>
        <w:tab/>
      </w:r>
      <w:r w:rsidRPr="00E168FB">
        <w:rPr>
          <w:rFonts w:ascii="宋体" w:hAnsi="宋体" w:cs="宋体" w:hint="eastAsia"/>
        </w:rPr>
        <w:t>见秘书处编写的文件</w:t>
      </w:r>
      <w:r w:rsidRPr="00E168FB">
        <w:rPr>
          <w:rFonts w:hint="eastAsia"/>
        </w:rPr>
        <w:t>“</w:t>
      </w:r>
      <w:r w:rsidRPr="00E168FB">
        <w:rPr>
          <w:rFonts w:ascii="宋体" w:hAnsi="宋体" w:cs="宋体" w:hint="eastAsia"/>
        </w:rPr>
        <w:t>联合国实践中的协商一致：概论</w:t>
      </w:r>
      <w:r w:rsidRPr="00E168FB">
        <w:rPr>
          <w:rFonts w:hint="eastAsia"/>
        </w:rPr>
        <w:t>”</w:t>
      </w:r>
      <w:r w:rsidRPr="00E168FB">
        <w:rPr>
          <w:rFonts w:ascii="宋体" w:hAnsi="宋体" w:cs="宋体" w:hint="eastAsia"/>
        </w:rPr>
        <w:t>，载于</w:t>
      </w:r>
      <w:hyperlink r:id="rId101" w:history="1">
        <w:r w:rsidRPr="00E168FB">
          <w:t>http://legal.un.org/ola/</w:t>
        </w:r>
      </w:hyperlink>
      <w:r w:rsidRPr="00E168FB">
        <w:t xml:space="preserve"> </w:t>
      </w:r>
      <w:r w:rsidRPr="00E168FB">
        <w:rPr>
          <w:w w:val="104"/>
        </w:rPr>
        <w:t>media/ GA_RoP/GA_RoP_EN.pdf</w:t>
      </w:r>
      <w:r w:rsidRPr="00E168FB">
        <w:rPr>
          <w:rFonts w:ascii="宋体" w:hAnsi="宋体" w:cs="宋体" w:hint="eastAsia"/>
          <w:w w:val="104"/>
        </w:rPr>
        <w:t>；</w:t>
      </w:r>
      <w:r w:rsidRPr="00E168FB">
        <w:rPr>
          <w:rFonts w:ascii="宋体" w:hAnsi="宋体" w:cs="宋体" w:hint="eastAsia"/>
        </w:rPr>
        <w:t>并见</w:t>
      </w:r>
      <w:r w:rsidRPr="00E168FB">
        <w:rPr>
          <w:w w:val="104"/>
        </w:rPr>
        <w:t>R. Wolfrum</w:t>
      </w:r>
      <w:r w:rsidRPr="00E168FB">
        <w:rPr>
          <w:rFonts w:ascii="宋体" w:hAnsi="宋体" w:cs="宋体" w:hint="eastAsia"/>
        </w:rPr>
        <w:t>和</w:t>
      </w:r>
      <w:r w:rsidRPr="00E168FB">
        <w:rPr>
          <w:w w:val="104"/>
        </w:rPr>
        <w:t>J. Pichon,</w:t>
      </w:r>
      <w:r w:rsidRPr="00E168FB">
        <w:rPr>
          <w:rFonts w:hint="eastAsia"/>
          <w:w w:val="104"/>
        </w:rPr>
        <w:t>“</w:t>
      </w:r>
      <w:r w:rsidRPr="00E168FB">
        <w:rPr>
          <w:rFonts w:ascii="宋体" w:hAnsi="宋体" w:cs="宋体" w:hint="eastAsia"/>
        </w:rPr>
        <w:t>协商一致</w:t>
      </w:r>
      <w:r w:rsidRPr="00E168FB">
        <w:rPr>
          <w:rFonts w:hint="eastAsia"/>
        </w:rPr>
        <w:t>”</w:t>
      </w:r>
      <w:r w:rsidRPr="00E168FB">
        <w:rPr>
          <w:rFonts w:ascii="宋体" w:hAnsi="宋体" w:cs="宋体" w:hint="eastAsia"/>
        </w:rPr>
        <w:t>，载于《马克斯</w:t>
      </w:r>
      <w:r w:rsidRPr="00E168FB">
        <w:rPr>
          <w:rFonts w:hint="eastAsia"/>
        </w:rPr>
        <w:t>·</w:t>
      </w:r>
      <w:r w:rsidRPr="00E168FB">
        <w:rPr>
          <w:rFonts w:ascii="宋体" w:hAnsi="宋体" w:cs="宋体" w:hint="eastAsia"/>
        </w:rPr>
        <w:t>普朗克国际公法百科全书》</w:t>
      </w:r>
      <w:r w:rsidRPr="00E168FB">
        <w:t>(</w:t>
      </w:r>
      <w:r w:rsidRPr="00E168FB">
        <w:rPr>
          <w:rFonts w:hint="eastAsia"/>
        </w:rPr>
        <w:t>www.mpepil.com</w:t>
      </w:r>
      <w:r w:rsidRPr="00E168FB">
        <w:t>)</w:t>
      </w:r>
      <w:r w:rsidRPr="00E168FB">
        <w:rPr>
          <w:rFonts w:ascii="宋体" w:hAnsi="宋体" w:cs="宋体" w:hint="eastAsia"/>
          <w:w w:val="104"/>
        </w:rPr>
        <w:t>，</w:t>
      </w:r>
      <w:r w:rsidRPr="00E168FB">
        <w:rPr>
          <w:rFonts w:ascii="宋体" w:hAnsi="宋体" w:cs="宋体" w:hint="eastAsia"/>
        </w:rPr>
        <w:t>第</w:t>
      </w:r>
      <w:r w:rsidRPr="00E168FB">
        <w:rPr>
          <w:w w:val="104"/>
        </w:rPr>
        <w:t>3-4</w:t>
      </w:r>
      <w:r w:rsidRPr="00E168FB">
        <w:rPr>
          <w:rFonts w:ascii="宋体" w:hAnsi="宋体" w:cs="宋体" w:hint="eastAsia"/>
        </w:rPr>
        <w:t>段和第</w:t>
      </w:r>
      <w:r w:rsidRPr="00E168FB">
        <w:rPr>
          <w:w w:val="104"/>
        </w:rPr>
        <w:t>24</w:t>
      </w:r>
      <w:r w:rsidRPr="00E168FB">
        <w:rPr>
          <w:rFonts w:ascii="宋体" w:hAnsi="宋体" w:cs="宋体" w:hint="eastAsia"/>
        </w:rPr>
        <w:t>段。</w:t>
      </w:r>
    </w:p>
  </w:footnote>
  <w:footnote w:id="884">
    <w:p w:rsidR="00AB00DE" w:rsidRPr="00E168FB" w:rsidRDefault="00AB00DE" w:rsidP="00B75685">
      <w:pPr>
        <w:pStyle w:val="a4"/>
      </w:pPr>
      <w:r w:rsidRPr="00E168FB">
        <w:tab/>
      </w:r>
      <w:r w:rsidRPr="00D54A01">
        <w:rPr>
          <w:rStyle w:val="a5"/>
          <w:szCs w:val="21"/>
        </w:rPr>
        <w:footnoteRef/>
      </w:r>
      <w:r w:rsidRPr="00D54A01">
        <w:rPr>
          <w:color w:val="0000FF"/>
          <w:sz w:val="21"/>
          <w:vertAlign w:val="superscript"/>
        </w:rPr>
        <w:tab/>
      </w:r>
      <w:r w:rsidRPr="00E168FB">
        <w:rPr>
          <w:rFonts w:eastAsia="楷体_GB2312"/>
        </w:rPr>
        <w:t>南极捕鲸案</w:t>
      </w:r>
      <w:r w:rsidRPr="00E168FB">
        <w:rPr>
          <w:rFonts w:eastAsia="楷体_GB2312"/>
        </w:rPr>
        <w:t>(</w:t>
      </w:r>
      <w:r w:rsidRPr="00E168FB">
        <w:rPr>
          <w:rFonts w:eastAsia="楷体_GB2312"/>
        </w:rPr>
        <w:t>澳大利亚</w:t>
      </w:r>
      <w:r w:rsidRPr="00E168FB">
        <w:rPr>
          <w:rFonts w:eastAsia="楷体_GB2312"/>
          <w:iCs/>
          <w:w w:val="104"/>
        </w:rPr>
        <w:t>诉</w:t>
      </w:r>
      <w:r w:rsidRPr="00E168FB">
        <w:rPr>
          <w:rFonts w:eastAsia="楷体_GB2312"/>
        </w:rPr>
        <w:t>日本</w:t>
      </w:r>
      <w:r w:rsidRPr="00E168FB">
        <w:rPr>
          <w:rFonts w:eastAsia="楷体_GB2312"/>
          <w:w w:val="104"/>
        </w:rPr>
        <w:t>：</w:t>
      </w:r>
      <w:r w:rsidRPr="00E168FB">
        <w:rPr>
          <w:rFonts w:eastAsia="楷体_GB2312"/>
        </w:rPr>
        <w:t>新西兰参与诉讼</w:t>
      </w:r>
      <w:r w:rsidRPr="00E168FB">
        <w:rPr>
          <w:rFonts w:eastAsia="楷体_GB2312"/>
        </w:rPr>
        <w:t>)</w:t>
      </w:r>
      <w:r w:rsidRPr="00E168FB">
        <w:rPr>
          <w:rFonts w:eastAsia="楷体_GB2312"/>
          <w:w w:val="104"/>
        </w:rPr>
        <w:t>，</w:t>
      </w:r>
      <w:r w:rsidRPr="00E168FB">
        <w:t>判决，《</w:t>
      </w:r>
      <w:r w:rsidRPr="00E168FB">
        <w:rPr>
          <w:w w:val="104"/>
        </w:rPr>
        <w:t>2014</w:t>
      </w:r>
      <w:r w:rsidRPr="00E168FB">
        <w:t>年国际法院案例汇编》</w:t>
      </w:r>
      <w:r w:rsidRPr="00E168FB">
        <w:rPr>
          <w:w w:val="104"/>
        </w:rPr>
        <w:t>，</w:t>
      </w:r>
      <w:r w:rsidRPr="00E168FB">
        <w:t>第</w:t>
      </w:r>
      <w:r w:rsidRPr="00E168FB">
        <w:t>226</w:t>
      </w:r>
      <w:r w:rsidRPr="00E168FB">
        <w:t>页</w:t>
      </w:r>
      <w:r w:rsidRPr="00E168FB">
        <w:rPr>
          <w:rFonts w:hint="eastAsia"/>
        </w:rPr>
        <w:t>起，第</w:t>
      </w:r>
      <w:r w:rsidRPr="00E168FB">
        <w:rPr>
          <w:rFonts w:hint="eastAsia"/>
        </w:rPr>
        <w:t>257</w:t>
      </w:r>
      <w:r w:rsidRPr="00E168FB">
        <w:rPr>
          <w:rFonts w:hint="eastAsia"/>
        </w:rPr>
        <w:t>页</w:t>
      </w:r>
      <w:r w:rsidRPr="00E168FB">
        <w:rPr>
          <w:rFonts w:eastAsia="楷体_GB2312" w:hint="eastAsia"/>
        </w:rPr>
        <w:t>，</w:t>
      </w:r>
      <w:r w:rsidRPr="00E168FB">
        <w:rPr>
          <w:rFonts w:ascii="宋体" w:hAnsi="宋体" w:cs="宋体" w:hint="eastAsia"/>
          <w:w w:val="104"/>
        </w:rPr>
        <w:t>第</w:t>
      </w:r>
      <w:r w:rsidRPr="00E168FB">
        <w:rPr>
          <w:w w:val="104"/>
        </w:rPr>
        <w:t>83</w:t>
      </w:r>
      <w:r w:rsidRPr="00E168FB">
        <w:rPr>
          <w:rFonts w:ascii="宋体" w:hAnsi="宋体" w:cs="宋体" w:hint="eastAsia"/>
        </w:rPr>
        <w:t>段。</w:t>
      </w:r>
    </w:p>
  </w:footnote>
  <w:footnote w:id="885">
    <w:p w:rsidR="00AB00DE" w:rsidRPr="00E168FB" w:rsidRDefault="00AB00DE" w:rsidP="00B75685">
      <w:pPr>
        <w:pStyle w:val="a4"/>
      </w:pPr>
      <w:r w:rsidRPr="00E168FB">
        <w:tab/>
      </w:r>
      <w:r w:rsidRPr="00D54A01">
        <w:rPr>
          <w:rStyle w:val="a5"/>
          <w:szCs w:val="21"/>
        </w:rPr>
        <w:footnoteRef/>
      </w:r>
      <w:r w:rsidRPr="00D54A01">
        <w:rPr>
          <w:color w:val="0000FF"/>
          <w:sz w:val="21"/>
          <w:vertAlign w:val="superscript"/>
        </w:rPr>
        <w:tab/>
      </w:r>
      <w:r w:rsidRPr="00E168FB">
        <w:t>见《生物多样性公约》缔约方会议第六次会议报告</w:t>
      </w:r>
      <w:r w:rsidRPr="00E168FB">
        <w:t>(</w:t>
      </w:r>
      <w:r w:rsidRPr="00E168FB">
        <w:rPr>
          <w:w w:val="104"/>
        </w:rPr>
        <w:t>UNEP/CBD/COP/6/20</w:t>
      </w:r>
      <w:r w:rsidRPr="00E168FB">
        <w:t>)</w:t>
      </w:r>
      <w:r w:rsidRPr="00E168FB">
        <w:t>，附件一</w:t>
      </w:r>
      <w:r w:rsidRPr="00E168FB">
        <w:rPr>
          <w:w w:val="104"/>
        </w:rPr>
        <w:t>，</w:t>
      </w:r>
      <w:r w:rsidRPr="00E168FB">
        <w:t>第</w:t>
      </w:r>
      <w:r w:rsidRPr="00E168FB">
        <w:rPr>
          <w:w w:val="104"/>
        </w:rPr>
        <w:t>VI/23</w:t>
      </w:r>
      <w:r w:rsidRPr="00E168FB">
        <w:t>号决定。</w:t>
      </w:r>
    </w:p>
  </w:footnote>
  <w:footnote w:id="886">
    <w:p w:rsidR="00AB00DE" w:rsidRPr="00E168FB" w:rsidRDefault="00AB00DE" w:rsidP="00B75685">
      <w:pPr>
        <w:pStyle w:val="a4"/>
      </w:pPr>
      <w:r w:rsidRPr="00E168FB">
        <w:tab/>
      </w:r>
      <w:r w:rsidRPr="00D54A01">
        <w:rPr>
          <w:rStyle w:val="a5"/>
          <w:szCs w:val="21"/>
        </w:rPr>
        <w:footnoteRef/>
      </w:r>
      <w:r w:rsidRPr="00D54A01">
        <w:rPr>
          <w:color w:val="0000FF"/>
          <w:sz w:val="21"/>
          <w:vertAlign w:val="superscript"/>
        </w:rPr>
        <w:tab/>
      </w:r>
      <w:r w:rsidRPr="00E168FB">
        <w:t>同上</w:t>
      </w:r>
      <w:r w:rsidRPr="00E168FB">
        <w:rPr>
          <w:w w:val="104"/>
        </w:rPr>
        <w:t>，</w:t>
      </w:r>
      <w:r w:rsidRPr="00E168FB">
        <w:t>第</w:t>
      </w:r>
      <w:r w:rsidRPr="00E168FB">
        <w:rPr>
          <w:w w:val="104"/>
        </w:rPr>
        <w:t>313</w:t>
      </w:r>
      <w:r w:rsidRPr="00E168FB">
        <w:t>段。</w:t>
      </w:r>
    </w:p>
  </w:footnote>
  <w:footnote w:id="887">
    <w:p w:rsidR="00AB00DE" w:rsidRPr="00E168FB" w:rsidRDefault="00AB00DE" w:rsidP="00B75685">
      <w:pPr>
        <w:pStyle w:val="a4"/>
      </w:pPr>
      <w:r w:rsidRPr="00E168FB">
        <w:tab/>
      </w:r>
      <w:r w:rsidRPr="00D54A01">
        <w:rPr>
          <w:rStyle w:val="a5"/>
          <w:szCs w:val="21"/>
        </w:rPr>
        <w:footnoteRef/>
      </w:r>
      <w:r w:rsidRPr="00D54A01">
        <w:rPr>
          <w:color w:val="0000FF"/>
          <w:sz w:val="21"/>
          <w:vertAlign w:val="superscript"/>
        </w:rPr>
        <w:tab/>
      </w:r>
      <w:r w:rsidRPr="00E168FB">
        <w:rPr>
          <w:iCs/>
        </w:rPr>
        <w:t>同上</w:t>
      </w:r>
      <w:r w:rsidRPr="00E168FB">
        <w:rPr>
          <w:w w:val="104"/>
        </w:rPr>
        <w:t>，</w:t>
      </w:r>
      <w:r w:rsidRPr="00E168FB">
        <w:t>第</w:t>
      </w:r>
      <w:r w:rsidRPr="00E168FB">
        <w:rPr>
          <w:w w:val="104"/>
        </w:rPr>
        <w:t>318</w:t>
      </w:r>
      <w:r w:rsidRPr="00E168FB">
        <w:t>段</w:t>
      </w:r>
      <w:r w:rsidRPr="00E168FB">
        <w:rPr>
          <w:w w:val="104"/>
        </w:rPr>
        <w:t>；</w:t>
      </w:r>
      <w:r w:rsidRPr="00E168FB">
        <w:t>讨论情况见第</w:t>
      </w:r>
      <w:r w:rsidRPr="00E168FB">
        <w:rPr>
          <w:w w:val="104"/>
        </w:rPr>
        <w:t>294-324</w:t>
      </w:r>
      <w:r w:rsidRPr="00E168FB">
        <w:t>段。</w:t>
      </w:r>
    </w:p>
  </w:footnote>
  <w:footnote w:id="888">
    <w:p w:rsidR="00AB00DE" w:rsidRPr="00E168FB" w:rsidRDefault="00AB00DE" w:rsidP="00B75685">
      <w:pPr>
        <w:pStyle w:val="a4"/>
      </w:pPr>
      <w:r w:rsidRPr="00E168FB">
        <w:tab/>
      </w:r>
      <w:r w:rsidRPr="00D54A01">
        <w:rPr>
          <w:rStyle w:val="a5"/>
          <w:szCs w:val="21"/>
        </w:rPr>
        <w:footnoteRef/>
      </w:r>
      <w:r w:rsidRPr="00D54A01">
        <w:rPr>
          <w:color w:val="0000FF"/>
          <w:sz w:val="21"/>
          <w:vertAlign w:val="superscript"/>
        </w:rPr>
        <w:tab/>
      </w:r>
      <w:r w:rsidRPr="00E168FB">
        <w:t>存于《生物多样性公约》秘书处，</w:t>
      </w:r>
      <w:r w:rsidRPr="00E168FB">
        <w:rPr>
          <w:w w:val="104"/>
        </w:rPr>
        <w:t>SCBD/SEL/DBO/30219</w:t>
      </w:r>
      <w:r w:rsidRPr="00E168FB">
        <w:t>号文件</w:t>
      </w:r>
      <w:r w:rsidRPr="00E168FB">
        <w:t>(</w:t>
      </w:r>
      <w:r w:rsidRPr="00E168FB">
        <w:rPr>
          <w:w w:val="104"/>
        </w:rPr>
        <w:t>2002</w:t>
      </w:r>
      <w:r w:rsidRPr="00E168FB">
        <w:t>年</w:t>
      </w:r>
      <w:r w:rsidRPr="00E168FB">
        <w:t>6</w:t>
      </w:r>
      <w:r w:rsidRPr="00E168FB">
        <w:t>月</w:t>
      </w:r>
      <w:r w:rsidRPr="00E168FB">
        <w:rPr>
          <w:w w:val="104"/>
        </w:rPr>
        <w:t>6</w:t>
      </w:r>
      <w:r w:rsidRPr="00E168FB">
        <w:t>日</w:t>
      </w:r>
      <w:r w:rsidRPr="00E168FB">
        <w:t>)</w:t>
      </w:r>
      <w:r w:rsidRPr="00E168FB">
        <w:t>。</w:t>
      </w:r>
    </w:p>
  </w:footnote>
  <w:footnote w:id="889">
    <w:p w:rsidR="00AB00DE" w:rsidRPr="00E168FB" w:rsidRDefault="00AB00DE" w:rsidP="00B75685">
      <w:pPr>
        <w:pStyle w:val="a4"/>
      </w:pPr>
      <w:r w:rsidRPr="00E168FB">
        <w:tab/>
      </w:r>
      <w:r w:rsidRPr="00D54A01">
        <w:rPr>
          <w:rStyle w:val="a5"/>
          <w:szCs w:val="21"/>
        </w:rPr>
        <w:footnoteRef/>
      </w:r>
      <w:r w:rsidRPr="00D54A01">
        <w:rPr>
          <w:color w:val="0000FF"/>
          <w:sz w:val="21"/>
          <w:vertAlign w:val="superscript"/>
        </w:rPr>
        <w:tab/>
      </w:r>
      <w:r w:rsidRPr="00E168FB">
        <w:t>2002</w:t>
      </w:r>
      <w:r w:rsidRPr="00E168FB">
        <w:rPr>
          <w:rFonts w:hint="eastAsia"/>
        </w:rPr>
        <w:t>年</w:t>
      </w:r>
      <w:r w:rsidRPr="00E168FB">
        <w:rPr>
          <w:rFonts w:hint="eastAsia"/>
        </w:rPr>
        <w:t>6</w:t>
      </w:r>
      <w:r w:rsidRPr="00E168FB">
        <w:rPr>
          <w:rFonts w:hint="eastAsia"/>
        </w:rPr>
        <w:t>月</w:t>
      </w:r>
      <w:r w:rsidRPr="00E168FB">
        <w:rPr>
          <w:rFonts w:hint="eastAsia"/>
        </w:rPr>
        <w:t>17</w:t>
      </w:r>
      <w:r w:rsidRPr="00E168FB">
        <w:rPr>
          <w:rFonts w:hint="eastAsia"/>
        </w:rPr>
        <w:t>日的信函，通过传真发送。</w:t>
      </w:r>
    </w:p>
  </w:footnote>
  <w:footnote w:id="890">
    <w:p w:rsidR="00AB00DE" w:rsidRPr="00E168FB" w:rsidRDefault="00AB00DE" w:rsidP="00B75685">
      <w:pPr>
        <w:pStyle w:val="a4"/>
      </w:pPr>
      <w:r w:rsidRPr="00E168FB">
        <w:tab/>
      </w:r>
      <w:r w:rsidRPr="00D54A01">
        <w:rPr>
          <w:rStyle w:val="a5"/>
          <w:szCs w:val="21"/>
        </w:rPr>
        <w:footnoteRef/>
      </w:r>
      <w:r w:rsidRPr="00D54A01">
        <w:rPr>
          <w:color w:val="0000FF"/>
          <w:sz w:val="21"/>
          <w:vertAlign w:val="superscript"/>
        </w:rPr>
        <w:tab/>
      </w:r>
      <w:r w:rsidRPr="00E168FB">
        <w:rPr>
          <w:rFonts w:ascii="宋体" w:hAnsi="宋体" w:cs="宋体" w:hint="eastAsia"/>
          <w:iCs/>
        </w:rPr>
        <w:t>同上</w:t>
      </w:r>
      <w:r w:rsidRPr="00E168FB">
        <w:rPr>
          <w:rFonts w:ascii="宋体" w:hAnsi="宋体" w:cs="宋体" w:hint="eastAsia"/>
        </w:rPr>
        <w:t>。</w:t>
      </w:r>
    </w:p>
  </w:footnote>
  <w:footnote w:id="891">
    <w:p w:rsidR="00AB00DE" w:rsidRPr="00E168FB" w:rsidRDefault="00AB00DE" w:rsidP="00B75685">
      <w:pPr>
        <w:pStyle w:val="a4"/>
      </w:pPr>
      <w:r w:rsidRPr="00E168FB">
        <w:tab/>
      </w:r>
      <w:r w:rsidRPr="00D54A01">
        <w:rPr>
          <w:rStyle w:val="a5"/>
          <w:szCs w:val="21"/>
        </w:rPr>
        <w:footnoteRef/>
      </w:r>
      <w:r w:rsidRPr="00D54A01">
        <w:rPr>
          <w:color w:val="0000FF"/>
          <w:sz w:val="21"/>
          <w:vertAlign w:val="superscript"/>
        </w:rPr>
        <w:tab/>
      </w:r>
      <w:r w:rsidRPr="00E168FB">
        <w:rPr>
          <w:rFonts w:ascii="宋体" w:hAnsi="宋体" w:cs="宋体" w:hint="eastAsia"/>
        </w:rPr>
        <w:t>见</w:t>
      </w:r>
      <w:r w:rsidRPr="00E168FB">
        <w:t>2010</w:t>
      </w:r>
      <w:r w:rsidRPr="00E168FB">
        <w:rPr>
          <w:rFonts w:hint="eastAsia"/>
        </w:rPr>
        <w:t>年</w:t>
      </w:r>
      <w:r w:rsidRPr="00E168FB">
        <w:t>11</w:t>
      </w:r>
      <w:r w:rsidRPr="00E168FB">
        <w:rPr>
          <w:rFonts w:hint="eastAsia"/>
        </w:rPr>
        <w:t>月</w:t>
      </w:r>
      <w:r w:rsidRPr="00E168FB">
        <w:t>29</w:t>
      </w:r>
      <w:r w:rsidRPr="00E168FB">
        <w:rPr>
          <w:rFonts w:hint="eastAsia"/>
        </w:rPr>
        <w:t>日至</w:t>
      </w:r>
      <w:r w:rsidRPr="00E168FB">
        <w:t>12</w:t>
      </w:r>
      <w:r w:rsidRPr="00E168FB">
        <w:rPr>
          <w:rFonts w:hint="eastAsia"/>
        </w:rPr>
        <w:t>月</w:t>
      </w:r>
      <w:r w:rsidRPr="00E168FB">
        <w:t>10</w:t>
      </w:r>
      <w:r w:rsidRPr="00E168FB">
        <w:rPr>
          <w:rFonts w:hint="eastAsia"/>
        </w:rPr>
        <w:t>日在坎</w:t>
      </w:r>
      <w:r w:rsidRPr="00E168FB">
        <w:rPr>
          <w:rFonts w:ascii="宋体" w:hAnsi="宋体" w:cs="宋体" w:hint="eastAsia"/>
        </w:rPr>
        <w:t>昆举行的作为《京都议定书》缔约方会议的《公约》缔约方会议第六届会议报告</w:t>
      </w:r>
      <w:r w:rsidRPr="00E168FB">
        <w:t>(</w:t>
      </w:r>
      <w:hyperlink r:id="rId102" w:history="1">
        <w:r w:rsidRPr="00E168FB">
          <w:rPr>
            <w:rStyle w:val="af"/>
            <w:w w:val="104"/>
          </w:rPr>
          <w:t>FCCC/KP/CMP/2010/12</w:t>
        </w:r>
      </w:hyperlink>
      <w:r w:rsidRPr="00E168FB">
        <w:rPr>
          <w:rFonts w:hint="eastAsia"/>
          <w:w w:val="104"/>
        </w:rPr>
        <w:t>和</w:t>
      </w:r>
      <w:hyperlink r:id="rId103" w:history="1">
        <w:r w:rsidRPr="00E168FB">
          <w:rPr>
            <w:rStyle w:val="af"/>
            <w:w w:val="104"/>
          </w:rPr>
          <w:t>FCCC/KP/CMP/2010/12</w:t>
        </w:r>
        <w:r w:rsidRPr="00E168FB">
          <w:rPr>
            <w:rStyle w:val="af"/>
            <w:rFonts w:hint="eastAsia"/>
            <w:w w:val="104"/>
          </w:rPr>
          <w:t>/</w:t>
        </w:r>
        <w:r w:rsidRPr="00E168FB">
          <w:rPr>
            <w:rStyle w:val="af"/>
            <w:w w:val="104"/>
          </w:rPr>
          <w:t>Add.1</w:t>
        </w:r>
      </w:hyperlink>
      <w:r w:rsidRPr="00E168FB">
        <w:t>)</w:t>
      </w:r>
      <w:r w:rsidRPr="00E168FB">
        <w:rPr>
          <w:rFonts w:hint="eastAsia"/>
        </w:rPr>
        <w:t>，</w:t>
      </w:r>
      <w:r w:rsidRPr="00E168FB">
        <w:rPr>
          <w:rFonts w:ascii="宋体" w:hAnsi="宋体" w:cs="宋体" w:hint="eastAsia"/>
        </w:rPr>
        <w:t>第</w:t>
      </w:r>
      <w:r w:rsidRPr="00E168FB">
        <w:rPr>
          <w:w w:val="104"/>
        </w:rPr>
        <w:t>1/CMP.6</w:t>
      </w:r>
      <w:r w:rsidRPr="00E168FB">
        <w:rPr>
          <w:rFonts w:ascii="宋体" w:hAnsi="宋体" w:cs="宋体" w:hint="eastAsia"/>
        </w:rPr>
        <w:t>号决定(坎昆协议：附件一缔约方在《京都议定书》之下的进一步承诺问题特设工作组第十五届会议的工作结果)和第</w:t>
      </w:r>
      <w:r w:rsidRPr="00E168FB">
        <w:rPr>
          <w:w w:val="104"/>
        </w:rPr>
        <w:t>2/CMP.6</w:t>
      </w:r>
      <w:r w:rsidRPr="00E168FB">
        <w:rPr>
          <w:rFonts w:ascii="宋体" w:hAnsi="宋体" w:cs="宋体" w:hint="eastAsia"/>
        </w:rPr>
        <w:t>号决定(坎昆协议：土地利用、土地利用的变化和林业)</w:t>
      </w:r>
      <w:r w:rsidRPr="00E168FB">
        <w:rPr>
          <w:rFonts w:ascii="宋体" w:hAnsi="宋体" w:cs="宋体" w:hint="eastAsia"/>
          <w:w w:val="104"/>
        </w:rPr>
        <w:t>；</w:t>
      </w:r>
      <w:r w:rsidRPr="00E168FB">
        <w:rPr>
          <w:rFonts w:ascii="宋体" w:hAnsi="宋体" w:cs="宋体" w:hint="eastAsia"/>
        </w:rPr>
        <w:t>以及作为《京都议定书》缔约方会议的《公约》缔约方会议纪要，第</w:t>
      </w:r>
      <w:r w:rsidRPr="00E168FB">
        <w:rPr>
          <w:w w:val="104"/>
        </w:rPr>
        <w:t>29</w:t>
      </w:r>
      <w:r w:rsidRPr="00E168FB">
        <w:rPr>
          <w:rFonts w:ascii="宋体" w:hAnsi="宋体" w:cs="宋体" w:hint="eastAsia"/>
        </w:rPr>
        <w:t>段。</w:t>
      </w:r>
    </w:p>
  </w:footnote>
  <w:footnote w:id="892">
    <w:p w:rsidR="00AB00DE" w:rsidRPr="00E168FB" w:rsidRDefault="00AB00DE" w:rsidP="00267AB1">
      <w:pPr>
        <w:pStyle w:val="a4"/>
      </w:pPr>
      <w:r w:rsidRPr="00E168FB">
        <w:tab/>
      </w:r>
      <w:r w:rsidRPr="00D54A01">
        <w:rPr>
          <w:rStyle w:val="a5"/>
          <w:szCs w:val="21"/>
        </w:rPr>
        <w:footnoteRef/>
      </w:r>
      <w:r w:rsidRPr="00D54A01">
        <w:rPr>
          <w:color w:val="0000FF"/>
          <w:sz w:val="21"/>
          <w:vertAlign w:val="superscript"/>
        </w:rPr>
        <w:tab/>
      </w:r>
      <w:r w:rsidRPr="00E168FB">
        <w:rPr>
          <w:rFonts w:ascii="宋体" w:hAnsi="宋体" w:cs="宋体" w:hint="eastAsia"/>
        </w:rPr>
        <w:t>见</w:t>
      </w:r>
      <w:r w:rsidRPr="00E168FB">
        <w:t>诺尔特</w:t>
      </w:r>
      <w:r w:rsidRPr="00E168FB">
        <w:t>,</w:t>
      </w:r>
      <w:r w:rsidRPr="00E168FB">
        <w:rPr>
          <w:rFonts w:hint="eastAsia"/>
        </w:rPr>
        <w:t>“……</w:t>
      </w:r>
      <w:r w:rsidRPr="00E168FB">
        <w:rPr>
          <w:rFonts w:ascii="宋体" w:hAnsi="宋体" w:cs="宋体" w:hint="eastAsia"/>
        </w:rPr>
        <w:t>国</w:t>
      </w:r>
      <w:r w:rsidRPr="00E168FB">
        <w:t>家</w:t>
      </w:r>
      <w:r w:rsidRPr="00E168FB">
        <w:rPr>
          <w:rFonts w:ascii="宋体" w:hAnsi="宋体" w:cs="宋体" w:hint="eastAsia"/>
        </w:rPr>
        <w:t>嗣后</w:t>
      </w:r>
      <w:r w:rsidRPr="00E168FB">
        <w:t>协定</w:t>
      </w:r>
      <w:r w:rsidRPr="00E168FB">
        <w:rPr>
          <w:rFonts w:ascii="宋体" w:hAnsi="宋体" w:cs="宋体" w:hint="eastAsia"/>
        </w:rPr>
        <w:t>和嗣后惯例”</w:t>
      </w:r>
      <w:r w:rsidRPr="00E168FB">
        <w:t>(</w:t>
      </w:r>
      <w:r w:rsidRPr="00E168FB">
        <w:rPr>
          <w:rFonts w:ascii="宋体" w:hAnsi="宋体" w:cs="宋体" w:hint="eastAsia"/>
        </w:rPr>
        <w:t>上文脚注</w:t>
      </w:r>
      <w:r>
        <w:rPr>
          <w:lang w:val="fr-FR"/>
        </w:rPr>
        <w:fldChar w:fldCharType="begin"/>
      </w:r>
      <w:r>
        <w:rPr>
          <w:lang w:val="fr-FR"/>
        </w:rPr>
        <w:instrText xml:space="preserve"> NOTEREF _Ref461973900 \h </w:instrText>
      </w:r>
      <w:r>
        <w:rPr>
          <w:lang w:val="fr-FR"/>
        </w:rPr>
      </w:r>
      <w:r>
        <w:rPr>
          <w:lang w:val="fr-FR"/>
        </w:rPr>
        <w:fldChar w:fldCharType="separate"/>
      </w:r>
      <w:r w:rsidR="00A73EB9">
        <w:rPr>
          <w:lang w:val="fr-FR"/>
        </w:rPr>
        <w:t>440</w:t>
      </w:r>
      <w:r>
        <w:rPr>
          <w:lang w:val="fr-FR"/>
        </w:rPr>
        <w:fldChar w:fldCharType="end"/>
      </w:r>
      <w:r w:rsidRPr="00E168FB">
        <w:t>)</w:t>
      </w:r>
      <w:r w:rsidRPr="00E168FB">
        <w:rPr>
          <w:rFonts w:ascii="宋体" w:hAnsi="宋体" w:cs="宋体" w:hint="eastAsia"/>
        </w:rPr>
        <w:t>，</w:t>
      </w:r>
      <w:r w:rsidRPr="00E168FB">
        <w:rPr>
          <w:rFonts w:ascii="宋体" w:hAnsi="宋体" w:cs="宋体" w:hint="eastAsia"/>
          <w:w w:val="104"/>
        </w:rPr>
        <w:t>第</w:t>
      </w:r>
      <w:r w:rsidRPr="00E168FB">
        <w:rPr>
          <w:w w:val="104"/>
        </w:rPr>
        <w:t>372-377</w:t>
      </w:r>
      <w:r w:rsidRPr="00E168FB">
        <w:rPr>
          <w:rFonts w:ascii="宋体" w:hAnsi="宋体" w:cs="宋体" w:hint="eastAsia"/>
        </w:rPr>
        <w:t>页。</w:t>
      </w:r>
    </w:p>
  </w:footnote>
  <w:footnote w:id="893">
    <w:p w:rsidR="00AB00DE" w:rsidRPr="00E168FB" w:rsidRDefault="00AB00DE" w:rsidP="00B75685">
      <w:pPr>
        <w:pStyle w:val="a4"/>
      </w:pPr>
      <w:r w:rsidRPr="00E168FB">
        <w:tab/>
      </w:r>
      <w:r w:rsidRPr="00D54A01">
        <w:rPr>
          <w:rStyle w:val="a5"/>
          <w:szCs w:val="21"/>
        </w:rPr>
        <w:footnoteRef/>
      </w:r>
      <w:r w:rsidRPr="00D54A01">
        <w:rPr>
          <w:color w:val="0000FF"/>
          <w:sz w:val="21"/>
          <w:vertAlign w:val="superscript"/>
        </w:rPr>
        <w:tab/>
      </w:r>
      <w:r w:rsidRPr="00E168FB">
        <w:rPr>
          <w:rFonts w:ascii="宋体" w:hAnsi="宋体" w:cs="宋体" w:hint="eastAsia"/>
        </w:rPr>
        <w:t>海事组织，</w:t>
      </w:r>
      <w:r w:rsidRPr="00E168FB">
        <w:rPr>
          <w:rStyle w:val="admitted"/>
          <w:rFonts w:ascii="宋体" w:hAnsi="宋体" w:cs="宋体" w:hint="eastAsia"/>
        </w:rPr>
        <w:t>闭会期间海洋肥化问题工作组</w:t>
      </w:r>
      <w:r w:rsidRPr="00E168FB">
        <w:rPr>
          <w:rStyle w:val="admitted"/>
        </w:rPr>
        <w:t>第</w:t>
      </w:r>
      <w:r w:rsidRPr="00E168FB">
        <w:rPr>
          <w:w w:val="104"/>
        </w:rPr>
        <w:t>3</w:t>
      </w:r>
      <w:r w:rsidRPr="00E168FB">
        <w:rPr>
          <w:rStyle w:val="admitted"/>
        </w:rPr>
        <w:t>次会议报告</w:t>
      </w:r>
      <w:r w:rsidRPr="00E168FB">
        <w:rPr>
          <w:rStyle w:val="admitted"/>
        </w:rPr>
        <w:t>(</w:t>
      </w:r>
      <w:r w:rsidRPr="00E168FB">
        <w:rPr>
          <w:w w:val="104"/>
        </w:rPr>
        <w:t>LC 33/4</w:t>
      </w:r>
      <w:r w:rsidRPr="00E168FB">
        <w:rPr>
          <w:rStyle w:val="admitted"/>
        </w:rPr>
        <w:t>)</w:t>
      </w:r>
      <w:r w:rsidRPr="00E168FB">
        <w:rPr>
          <w:rStyle w:val="admitted"/>
        </w:rPr>
        <w:t>，</w:t>
      </w:r>
      <w:r w:rsidRPr="00E168FB">
        <w:t>第</w:t>
      </w:r>
      <w:r w:rsidRPr="00E168FB">
        <w:rPr>
          <w:w w:val="104"/>
        </w:rPr>
        <w:t>4.15.2</w:t>
      </w:r>
      <w:r w:rsidRPr="00E168FB">
        <w:t>段。</w:t>
      </w:r>
    </w:p>
  </w:footnote>
  <w:footnote w:id="894">
    <w:p w:rsidR="00AB00DE" w:rsidRPr="00E168FB" w:rsidRDefault="00AB00DE" w:rsidP="00560424">
      <w:pPr>
        <w:pStyle w:val="a4"/>
      </w:pPr>
      <w:r w:rsidRPr="00E168FB">
        <w:tab/>
      </w:r>
      <w:r w:rsidRPr="00D54A01">
        <w:rPr>
          <w:rStyle w:val="a5"/>
          <w:szCs w:val="21"/>
        </w:rPr>
        <w:footnoteRef/>
      </w:r>
      <w:r w:rsidRPr="00D54A01">
        <w:rPr>
          <w:color w:val="0000FF"/>
          <w:sz w:val="21"/>
          <w:vertAlign w:val="superscript"/>
        </w:rPr>
        <w:tab/>
      </w:r>
      <w:r w:rsidRPr="00E168FB">
        <w:rPr>
          <w:rFonts w:ascii="宋体" w:hAnsi="宋体" w:cs="宋体" w:hint="eastAsia"/>
        </w:rPr>
        <w:t>海事组织，</w:t>
      </w:r>
      <w:r w:rsidRPr="00E168FB">
        <w:rPr>
          <w:w w:val="104"/>
        </w:rPr>
        <w:t>LC 33/J/6</w:t>
      </w:r>
      <w:r w:rsidRPr="00E168FB">
        <w:rPr>
          <w:rFonts w:ascii="宋体" w:hAnsi="宋体" w:cs="宋体" w:hint="eastAsia"/>
        </w:rPr>
        <w:t>号文件，</w:t>
      </w:r>
      <w:r w:rsidRPr="00560424">
        <w:rPr>
          <w:rFonts w:asciiTheme="majorBidi" w:hAnsiTheme="majorBidi" w:cstheme="majorBidi"/>
        </w:rPr>
        <w:t>第</w:t>
      </w:r>
      <w:r w:rsidRPr="00560424">
        <w:rPr>
          <w:rFonts w:asciiTheme="majorBidi" w:hAnsiTheme="majorBidi" w:cstheme="majorBidi"/>
          <w:w w:val="104"/>
        </w:rPr>
        <w:t>3</w:t>
      </w:r>
      <w:r w:rsidRPr="00560424">
        <w:rPr>
          <w:rFonts w:asciiTheme="majorBidi" w:hAnsiTheme="majorBidi" w:cstheme="majorBidi"/>
        </w:rPr>
        <w:t>段</w:t>
      </w:r>
      <w:r w:rsidRPr="00560424">
        <w:rPr>
          <w:rFonts w:asciiTheme="majorBidi" w:hAnsiTheme="majorBidi" w:cstheme="majorBidi"/>
        </w:rPr>
        <w:t>(</w:t>
      </w:r>
      <w:r w:rsidRPr="00560424">
        <w:rPr>
          <w:rFonts w:asciiTheme="majorBidi" w:hAnsiTheme="majorBidi" w:cstheme="majorBidi"/>
        </w:rPr>
        <w:t>见上文脚注</w:t>
      </w:r>
      <w:r w:rsidRPr="00560424">
        <w:rPr>
          <w:rFonts w:asciiTheme="majorBidi" w:hAnsiTheme="majorBidi" w:cstheme="majorBidi"/>
        </w:rPr>
        <w:fldChar w:fldCharType="begin"/>
      </w:r>
      <w:r w:rsidRPr="00560424">
        <w:rPr>
          <w:rFonts w:asciiTheme="majorBidi" w:hAnsiTheme="majorBidi" w:cstheme="majorBidi"/>
        </w:rPr>
        <w:instrText xml:space="preserve"> NOTEREF _Ref461977076 \h  \* MERGEFORMAT </w:instrText>
      </w:r>
      <w:r w:rsidRPr="00560424">
        <w:rPr>
          <w:rFonts w:asciiTheme="majorBidi" w:hAnsiTheme="majorBidi" w:cstheme="majorBidi"/>
        </w:rPr>
      </w:r>
      <w:r w:rsidRPr="00560424">
        <w:rPr>
          <w:rFonts w:asciiTheme="majorBidi" w:hAnsiTheme="majorBidi" w:cstheme="majorBidi"/>
        </w:rPr>
        <w:fldChar w:fldCharType="separate"/>
      </w:r>
      <w:r w:rsidR="00A73EB9">
        <w:rPr>
          <w:rFonts w:asciiTheme="majorBidi" w:hAnsiTheme="majorBidi" w:cstheme="majorBidi"/>
        </w:rPr>
        <w:t>854</w:t>
      </w:r>
      <w:r w:rsidRPr="00560424">
        <w:rPr>
          <w:rFonts w:asciiTheme="majorBidi" w:hAnsiTheme="majorBidi" w:cstheme="majorBidi"/>
        </w:rPr>
        <w:fldChar w:fldCharType="end"/>
      </w:r>
      <w:r w:rsidRPr="00560424">
        <w:rPr>
          <w:rFonts w:asciiTheme="majorBidi" w:hAnsiTheme="majorBidi" w:cstheme="majorBidi"/>
        </w:rPr>
        <w:t>)</w:t>
      </w:r>
      <w:r w:rsidRPr="00E168FB">
        <w:rPr>
          <w:rFonts w:ascii="宋体" w:hAnsi="宋体" w:cs="宋体" w:hint="eastAsia"/>
        </w:rPr>
        <w:t>。</w:t>
      </w:r>
    </w:p>
  </w:footnote>
  <w:footnote w:id="895">
    <w:p w:rsidR="00AB00DE" w:rsidRPr="00E168FB" w:rsidRDefault="00AB00DE" w:rsidP="00B75685">
      <w:pPr>
        <w:pStyle w:val="a4"/>
      </w:pPr>
      <w:r w:rsidRPr="00E168FB">
        <w:tab/>
      </w:r>
      <w:r w:rsidRPr="00D54A01">
        <w:rPr>
          <w:rStyle w:val="a5"/>
          <w:szCs w:val="21"/>
        </w:rPr>
        <w:footnoteRef/>
      </w:r>
      <w:r w:rsidRPr="00D54A01">
        <w:rPr>
          <w:color w:val="0000FF"/>
          <w:sz w:val="21"/>
          <w:vertAlign w:val="superscript"/>
        </w:rPr>
        <w:tab/>
      </w:r>
      <w:r w:rsidRPr="00E168FB">
        <w:rPr>
          <w:rFonts w:ascii="宋体" w:hAnsi="宋体" w:cs="宋体" w:hint="eastAsia"/>
          <w:lang w:val="fr-FR"/>
        </w:rPr>
        <w:t>同上</w:t>
      </w:r>
      <w:r w:rsidRPr="00E168FB">
        <w:rPr>
          <w:rFonts w:ascii="宋体" w:hAnsi="宋体" w:cs="宋体" w:hint="eastAsia"/>
          <w:w w:val="104"/>
        </w:rPr>
        <w:t>，</w:t>
      </w:r>
      <w:r w:rsidRPr="00E168FB">
        <w:rPr>
          <w:rFonts w:ascii="宋体" w:hAnsi="宋体" w:cs="宋体" w:hint="eastAsia"/>
        </w:rPr>
        <w:t>第</w:t>
      </w:r>
      <w:r w:rsidRPr="00E168FB">
        <w:rPr>
          <w:w w:val="104"/>
        </w:rPr>
        <w:t>8</w:t>
      </w:r>
      <w:r w:rsidRPr="00E168FB">
        <w:rPr>
          <w:rFonts w:ascii="宋体" w:hAnsi="宋体" w:cs="宋体" w:hint="eastAsia"/>
        </w:rPr>
        <w:t>段。</w:t>
      </w:r>
    </w:p>
  </w:footnote>
  <w:footnote w:id="896">
    <w:p w:rsidR="00AB00DE" w:rsidRPr="00E168FB" w:rsidRDefault="00AB00DE" w:rsidP="00B75685">
      <w:pPr>
        <w:pStyle w:val="a4"/>
      </w:pPr>
      <w:r w:rsidRPr="00E168FB">
        <w:tab/>
      </w:r>
      <w:r w:rsidRPr="00D54A01">
        <w:rPr>
          <w:rStyle w:val="a5"/>
          <w:szCs w:val="21"/>
        </w:rPr>
        <w:footnoteRef/>
      </w:r>
      <w:r w:rsidRPr="00D54A01">
        <w:rPr>
          <w:color w:val="0000FF"/>
          <w:sz w:val="21"/>
          <w:vertAlign w:val="superscript"/>
        </w:rPr>
        <w:tab/>
      </w:r>
      <w:r w:rsidRPr="00E168FB">
        <w:rPr>
          <w:rFonts w:ascii="宋体" w:hAnsi="宋体" w:cs="宋体" w:hint="eastAsia"/>
        </w:rPr>
        <w:t>见上文结论草案</w:t>
      </w:r>
      <w:r w:rsidRPr="00E168FB">
        <w:t>10[9]</w:t>
      </w:r>
      <w:r w:rsidRPr="00E168FB">
        <w:t>的</w:t>
      </w:r>
      <w:r w:rsidRPr="00E168FB">
        <w:rPr>
          <w:rFonts w:ascii="宋体" w:hAnsi="宋体" w:cs="宋体" w:hint="eastAsia"/>
        </w:rPr>
        <w:t>评注，第</w:t>
      </w:r>
      <w:r w:rsidRPr="00E168FB">
        <w:t>(</w:t>
      </w:r>
      <w:r w:rsidRPr="00E168FB">
        <w:rPr>
          <w:w w:val="104"/>
        </w:rPr>
        <w:t>9)-(11)</w:t>
      </w:r>
      <w:r w:rsidRPr="00E168FB">
        <w:rPr>
          <w:rFonts w:ascii="宋体" w:hAnsi="宋体" w:cs="宋体" w:hint="eastAsia"/>
        </w:rPr>
        <w:t>段。</w:t>
      </w:r>
    </w:p>
  </w:footnote>
  <w:footnote w:id="897">
    <w:p w:rsidR="00AB00DE" w:rsidRPr="00E168FB" w:rsidRDefault="00AB00DE" w:rsidP="00B75685">
      <w:pPr>
        <w:pStyle w:val="a4"/>
      </w:pPr>
      <w:r w:rsidRPr="00E168FB">
        <w:tab/>
      </w:r>
      <w:r w:rsidRPr="00D54A01">
        <w:rPr>
          <w:rStyle w:val="a5"/>
          <w:szCs w:val="21"/>
        </w:rPr>
        <w:footnoteRef/>
      </w:r>
      <w:r w:rsidRPr="00D54A01">
        <w:rPr>
          <w:color w:val="0000FF"/>
          <w:sz w:val="21"/>
          <w:vertAlign w:val="superscript"/>
        </w:rPr>
        <w:tab/>
      </w:r>
      <w:r w:rsidRPr="00E168FB">
        <w:rPr>
          <w:rFonts w:ascii="宋体" w:hAnsi="宋体" w:cs="宋体" w:hint="eastAsia"/>
        </w:rPr>
        <w:t>上文结论草案</w:t>
      </w:r>
      <w:r w:rsidRPr="00E168FB">
        <w:t>3[2]</w:t>
      </w:r>
      <w:r w:rsidRPr="00E168FB">
        <w:rPr>
          <w:rFonts w:ascii="宋体" w:hAnsi="宋体" w:cs="宋体" w:hint="eastAsia"/>
        </w:rPr>
        <w:t>的评注，第</w:t>
      </w:r>
      <w:r w:rsidRPr="00E168FB">
        <w:t>(</w:t>
      </w:r>
      <w:r w:rsidRPr="00E168FB">
        <w:rPr>
          <w:w w:val="104"/>
        </w:rPr>
        <w:t>4)</w:t>
      </w:r>
      <w:r w:rsidRPr="00E168FB">
        <w:rPr>
          <w:rFonts w:ascii="宋体" w:hAnsi="宋体" w:cs="宋体" w:hint="eastAsia"/>
        </w:rPr>
        <w:t>段。</w:t>
      </w:r>
    </w:p>
  </w:footnote>
  <w:footnote w:id="898">
    <w:p w:rsidR="00AB00DE" w:rsidRPr="00E168FB" w:rsidRDefault="00AB00DE" w:rsidP="00B75685">
      <w:pPr>
        <w:pStyle w:val="a4"/>
      </w:pPr>
      <w:r w:rsidRPr="00E168FB">
        <w:tab/>
      </w:r>
      <w:r w:rsidRPr="00D54A01">
        <w:rPr>
          <w:rStyle w:val="a5"/>
          <w:szCs w:val="21"/>
        </w:rPr>
        <w:footnoteRef/>
      </w:r>
      <w:r w:rsidRPr="00D54A01">
        <w:rPr>
          <w:color w:val="0000FF"/>
          <w:sz w:val="21"/>
          <w:vertAlign w:val="superscript"/>
        </w:rPr>
        <w:tab/>
      </w:r>
      <w:r w:rsidRPr="00E168FB">
        <w:rPr>
          <w:rFonts w:eastAsia="楷体_GB2312"/>
        </w:rPr>
        <w:t>南极捕鲸案</w:t>
      </w:r>
      <w:r w:rsidRPr="00E168FB">
        <w:rPr>
          <w:rFonts w:eastAsia="楷体_GB2312"/>
        </w:rPr>
        <w:t>(</w:t>
      </w:r>
      <w:r w:rsidRPr="00E168FB">
        <w:rPr>
          <w:rFonts w:eastAsia="楷体_GB2312"/>
        </w:rPr>
        <w:t>澳大利亚</w:t>
      </w:r>
      <w:r w:rsidRPr="00E168FB">
        <w:rPr>
          <w:rFonts w:eastAsia="楷体_GB2312"/>
          <w:iCs/>
          <w:w w:val="104"/>
        </w:rPr>
        <w:t>诉</w:t>
      </w:r>
      <w:r w:rsidRPr="00E168FB">
        <w:rPr>
          <w:rFonts w:eastAsia="楷体_GB2312"/>
        </w:rPr>
        <w:t>日本</w:t>
      </w:r>
      <w:r w:rsidRPr="00E168FB">
        <w:rPr>
          <w:rFonts w:eastAsia="楷体_GB2312"/>
          <w:w w:val="104"/>
        </w:rPr>
        <w:t>：</w:t>
      </w:r>
      <w:r w:rsidRPr="00E168FB">
        <w:rPr>
          <w:rFonts w:eastAsia="楷体_GB2312"/>
        </w:rPr>
        <w:t>新西兰参与诉讼</w:t>
      </w:r>
      <w:r w:rsidRPr="00E168FB">
        <w:rPr>
          <w:rFonts w:eastAsia="楷体_GB2312"/>
        </w:rPr>
        <w:t>)</w:t>
      </w:r>
      <w:r w:rsidRPr="00E168FB">
        <w:rPr>
          <w:rFonts w:eastAsia="楷体_GB2312"/>
          <w:w w:val="104"/>
        </w:rPr>
        <w:t>，</w:t>
      </w:r>
      <w:r w:rsidRPr="00E168FB">
        <w:t>判决，《</w:t>
      </w:r>
      <w:r w:rsidRPr="00E168FB">
        <w:rPr>
          <w:w w:val="104"/>
        </w:rPr>
        <w:t>2014</w:t>
      </w:r>
      <w:r w:rsidRPr="00E168FB">
        <w:t>年国际法院案例汇编》</w:t>
      </w:r>
      <w:r w:rsidRPr="00E168FB">
        <w:rPr>
          <w:w w:val="104"/>
        </w:rPr>
        <w:t>，</w:t>
      </w:r>
      <w:r w:rsidRPr="00E168FB">
        <w:t>第</w:t>
      </w:r>
      <w:r w:rsidRPr="00E168FB">
        <w:t>226</w:t>
      </w:r>
      <w:r w:rsidRPr="00E168FB">
        <w:t>页</w:t>
      </w:r>
      <w:r w:rsidRPr="00E168FB">
        <w:rPr>
          <w:rFonts w:eastAsia="楷体_GB2312" w:hint="eastAsia"/>
        </w:rPr>
        <w:t>，</w:t>
      </w:r>
      <w:r w:rsidRPr="00E168FB">
        <w:rPr>
          <w:w w:val="104"/>
        </w:rPr>
        <w:t>Greenwood</w:t>
      </w:r>
      <w:r w:rsidRPr="00E168FB">
        <w:t>法官的个别意见，见第</w:t>
      </w:r>
      <w:r w:rsidRPr="00E168FB">
        <w:t>407-408</w:t>
      </w:r>
      <w:r w:rsidRPr="00E168FB">
        <w:t>页，第</w:t>
      </w:r>
      <w:r w:rsidRPr="00E168FB">
        <w:t>6</w:t>
      </w:r>
      <w:r w:rsidRPr="00E168FB">
        <w:t>段和临时法官</w:t>
      </w:r>
      <w:r w:rsidRPr="00E168FB">
        <w:rPr>
          <w:w w:val="104"/>
        </w:rPr>
        <w:t>Charlesworth</w:t>
      </w:r>
      <w:r w:rsidRPr="00E168FB">
        <w:t>的个别意见</w:t>
      </w:r>
      <w:r w:rsidRPr="00E168FB">
        <w:rPr>
          <w:w w:val="104"/>
        </w:rPr>
        <w:t>，见第</w:t>
      </w:r>
      <w:r w:rsidRPr="00E168FB">
        <w:rPr>
          <w:w w:val="104"/>
        </w:rPr>
        <w:t>453-454</w:t>
      </w:r>
      <w:r w:rsidRPr="00E168FB">
        <w:rPr>
          <w:w w:val="104"/>
        </w:rPr>
        <w:t>页，</w:t>
      </w:r>
      <w:r w:rsidRPr="00E168FB">
        <w:t>第</w:t>
      </w:r>
      <w:r w:rsidRPr="00E168FB">
        <w:rPr>
          <w:w w:val="104"/>
        </w:rPr>
        <w:t>4</w:t>
      </w:r>
      <w:r w:rsidRPr="00E168FB">
        <w:t>段。</w:t>
      </w:r>
    </w:p>
  </w:footnote>
  <w:footnote w:id="899">
    <w:p w:rsidR="00AB00DE" w:rsidRPr="00E168FB" w:rsidRDefault="00AB00DE" w:rsidP="00B75685">
      <w:pPr>
        <w:pStyle w:val="a4"/>
      </w:pPr>
      <w:r w:rsidRPr="00E168FB">
        <w:tab/>
      </w:r>
      <w:r w:rsidRPr="00D54A01">
        <w:rPr>
          <w:rStyle w:val="a5"/>
          <w:szCs w:val="21"/>
        </w:rPr>
        <w:footnoteRef/>
      </w:r>
      <w:r w:rsidRPr="00E168FB">
        <w:tab/>
      </w:r>
      <w:r w:rsidRPr="00E168FB">
        <w:rPr>
          <w:rFonts w:ascii="宋体" w:hAnsi="宋体" w:cs="宋体" w:hint="eastAsia"/>
        </w:rPr>
        <w:t>见上文结论草案</w:t>
      </w:r>
      <w:r w:rsidRPr="00E168FB">
        <w:t>3[2]</w:t>
      </w:r>
      <w:r w:rsidRPr="00E168FB">
        <w:rPr>
          <w:rFonts w:ascii="宋体" w:hAnsi="宋体" w:cs="宋体" w:hint="eastAsia"/>
        </w:rPr>
        <w:t>的评注，第</w:t>
      </w:r>
      <w:r w:rsidRPr="00E168FB">
        <w:t>(4)</w:t>
      </w:r>
      <w:r w:rsidRPr="00E168FB">
        <w:rPr>
          <w:rFonts w:ascii="宋体" w:hAnsi="宋体" w:cs="宋体" w:hint="eastAsia"/>
        </w:rPr>
        <w:t>段。</w:t>
      </w:r>
    </w:p>
  </w:footnote>
  <w:footnote w:id="900">
    <w:p w:rsidR="00AB00DE" w:rsidRPr="00E168FB" w:rsidRDefault="00AB00DE" w:rsidP="00B75685">
      <w:pPr>
        <w:pStyle w:val="a4"/>
      </w:pPr>
      <w:r w:rsidRPr="00E168FB">
        <w:rPr>
          <w:lang w:val="zh-CN"/>
        </w:rPr>
        <w:tab/>
      </w:r>
      <w:r w:rsidRPr="00D54A01">
        <w:rPr>
          <w:rStyle w:val="a5"/>
          <w:szCs w:val="21"/>
        </w:rPr>
        <w:footnoteRef/>
      </w:r>
      <w:r w:rsidRPr="00E168FB">
        <w:rPr>
          <w:lang w:val="zh-CN"/>
        </w:rPr>
        <w:tab/>
      </w:r>
      <w:r w:rsidRPr="00E168FB">
        <w:rPr>
          <w:lang w:val="zh-CN"/>
        </w:rPr>
        <w:t>另见</w:t>
      </w:r>
      <w:r w:rsidRPr="00E168FB">
        <w:rPr>
          <w:lang w:val="zh-CN"/>
        </w:rPr>
        <w:t>1986</w:t>
      </w:r>
      <w:r w:rsidRPr="00E168FB">
        <w:rPr>
          <w:lang w:val="zh-CN"/>
        </w:rPr>
        <w:t>年</w:t>
      </w:r>
      <w:r w:rsidRPr="00E168FB">
        <w:t>《维也纳公约》</w:t>
      </w:r>
      <w:r w:rsidRPr="00E168FB">
        <w:rPr>
          <w:lang w:val="zh-CN"/>
        </w:rPr>
        <w:t>第</w:t>
      </w:r>
      <w:r w:rsidRPr="00E168FB">
        <w:rPr>
          <w:lang w:val="zh-CN"/>
        </w:rPr>
        <w:t>5</w:t>
      </w:r>
      <w:r w:rsidRPr="00E168FB">
        <w:rPr>
          <w:lang w:val="zh-CN"/>
        </w:rPr>
        <w:t>条的平行条款</w:t>
      </w:r>
      <w:r w:rsidRPr="00E168FB">
        <w:rPr>
          <w:lang w:val="zh-CN"/>
        </w:rPr>
        <w:t>(A/CONF.129/15)</w:t>
      </w:r>
      <w:r w:rsidRPr="00E168FB">
        <w:rPr>
          <w:lang w:val="zh-CN"/>
        </w:rPr>
        <w:t>。</w:t>
      </w:r>
    </w:p>
  </w:footnote>
  <w:footnote w:id="901">
    <w:p w:rsidR="00AB00DE" w:rsidRPr="00E168FB" w:rsidRDefault="00AB00DE" w:rsidP="00B75685">
      <w:pPr>
        <w:pStyle w:val="a4"/>
      </w:pPr>
      <w:r w:rsidRPr="00E168FB">
        <w:rPr>
          <w:lang w:val="zh-CN"/>
        </w:rPr>
        <w:tab/>
      </w:r>
      <w:r w:rsidRPr="00D54A01">
        <w:rPr>
          <w:rStyle w:val="a5"/>
          <w:szCs w:val="21"/>
        </w:rPr>
        <w:footnoteRef/>
      </w:r>
      <w:r w:rsidRPr="00E168FB">
        <w:rPr>
          <w:lang w:val="zh-CN"/>
        </w:rPr>
        <w:tab/>
        <w:t>1969</w:t>
      </w:r>
      <w:r w:rsidRPr="00E168FB">
        <w:rPr>
          <w:lang w:val="zh-CN"/>
        </w:rPr>
        <w:t>年</w:t>
      </w:r>
      <w:r w:rsidRPr="00E168FB">
        <w:t>《维也纳公约》</w:t>
      </w:r>
      <w:r w:rsidRPr="00E168FB">
        <w:rPr>
          <w:lang w:val="zh-CN"/>
        </w:rPr>
        <w:t>第二十条第三款规定，条约是一国际组织的组成文书时，保留须经该组织主管机关接受。《关于对条约的保留的第十二次报告》，《</w:t>
      </w:r>
      <w:r w:rsidRPr="00E168FB">
        <w:rPr>
          <w:lang w:val="zh-CN"/>
        </w:rPr>
        <w:t>2007</w:t>
      </w:r>
      <w:r w:rsidRPr="00E168FB">
        <w:rPr>
          <w:lang w:val="zh-CN"/>
        </w:rPr>
        <w:t>年</w:t>
      </w:r>
      <w:r w:rsidRPr="00E168FB">
        <w:rPr>
          <w:rFonts w:ascii="宋体" w:hAnsi="宋体" w:hint="eastAsia"/>
          <w:lang w:val="zh-CN"/>
        </w:rPr>
        <w:t>……</w:t>
      </w:r>
      <w:r w:rsidRPr="00E168FB">
        <w:rPr>
          <w:lang w:val="zh-CN"/>
        </w:rPr>
        <w:t>年鉴》，第二卷</w:t>
      </w:r>
      <w:r w:rsidRPr="00E168FB">
        <w:rPr>
          <w:lang w:val="zh-CN"/>
        </w:rPr>
        <w:t>(</w:t>
      </w:r>
      <w:r w:rsidRPr="00E168FB">
        <w:rPr>
          <w:lang w:val="zh-CN"/>
        </w:rPr>
        <w:t>第一部分</w:t>
      </w:r>
      <w:r w:rsidRPr="00E168FB">
        <w:rPr>
          <w:lang w:val="zh-CN"/>
        </w:rPr>
        <w:t>)</w:t>
      </w:r>
      <w:r w:rsidRPr="00E168FB">
        <w:rPr>
          <w:rFonts w:hint="eastAsia"/>
          <w:lang w:val="zh-CN"/>
        </w:rPr>
        <w:t>，</w:t>
      </w:r>
      <w:r w:rsidRPr="00E168FB">
        <w:rPr>
          <w:lang w:val="zh-CN"/>
        </w:rPr>
        <w:t>A/CN.4/584</w:t>
      </w:r>
      <w:r w:rsidRPr="00E168FB">
        <w:rPr>
          <w:lang w:val="zh-CN"/>
        </w:rPr>
        <w:t>号文件，第</w:t>
      </w:r>
      <w:r w:rsidRPr="00E168FB">
        <w:rPr>
          <w:lang w:val="zh-CN"/>
        </w:rPr>
        <w:t>75-77</w:t>
      </w:r>
      <w:r w:rsidRPr="00E168FB">
        <w:rPr>
          <w:lang w:val="zh-CN"/>
        </w:rPr>
        <w:t>段；</w:t>
      </w:r>
      <w:r w:rsidRPr="00E168FB">
        <w:rPr>
          <w:lang w:val="zh-CN"/>
        </w:rPr>
        <w:t xml:space="preserve">S. Rosenne, </w:t>
      </w:r>
      <w:r w:rsidRPr="00E168FB">
        <w:rPr>
          <w:i/>
          <w:iCs/>
          <w:lang w:val="zh-CN"/>
        </w:rPr>
        <w:t>Developments in the Law of Treaties</w:t>
      </w:r>
      <w:r w:rsidRPr="00E168FB">
        <w:rPr>
          <w:lang w:val="zh-CN"/>
        </w:rPr>
        <w:t xml:space="preserve"> 1945-1986 (Cambridge, Cambridge University Press, 1989)</w:t>
      </w:r>
      <w:r w:rsidRPr="00E168FB">
        <w:rPr>
          <w:lang w:val="zh-CN"/>
        </w:rPr>
        <w:t>，</w:t>
      </w:r>
      <w:r w:rsidRPr="00E168FB">
        <w:rPr>
          <w:lang w:val="zh-CN"/>
        </w:rPr>
        <w:t xml:space="preserve"> p. 204</w:t>
      </w:r>
      <w:r w:rsidRPr="00E168FB">
        <w:rPr>
          <w:lang w:val="zh-CN"/>
        </w:rPr>
        <w:t>。</w:t>
      </w:r>
    </w:p>
  </w:footnote>
  <w:footnote w:id="902">
    <w:p w:rsidR="00AB00DE" w:rsidRPr="00E168FB" w:rsidRDefault="00AB00DE" w:rsidP="00D90936">
      <w:pPr>
        <w:pStyle w:val="a4"/>
      </w:pPr>
      <w:r w:rsidRPr="00E168FB">
        <w:rPr>
          <w:lang w:val="zh-CN"/>
        </w:rPr>
        <w:tab/>
      </w:r>
      <w:r w:rsidRPr="00D54A01">
        <w:rPr>
          <w:rStyle w:val="a5"/>
          <w:szCs w:val="21"/>
        </w:rPr>
        <w:footnoteRef/>
      </w:r>
      <w:r w:rsidRPr="00E168FB">
        <w:rPr>
          <w:lang w:val="zh-CN"/>
        </w:rPr>
        <w:tab/>
      </w:r>
      <w:r w:rsidRPr="00E168FB">
        <w:rPr>
          <w:lang w:val="zh-CN"/>
        </w:rPr>
        <w:t>见《</w:t>
      </w:r>
      <w:r w:rsidRPr="00E168FB">
        <w:rPr>
          <w:lang w:val="zh-CN"/>
        </w:rPr>
        <w:t>1966</w:t>
      </w:r>
      <w:r w:rsidRPr="00E168FB">
        <w:rPr>
          <w:lang w:val="zh-CN"/>
        </w:rPr>
        <w:t>年</w:t>
      </w:r>
      <w:r w:rsidRPr="00E168FB">
        <w:rPr>
          <w:rFonts w:hint="eastAsia"/>
          <w:lang w:val="zh-CN"/>
        </w:rPr>
        <w:t>……</w:t>
      </w:r>
      <w:r w:rsidRPr="00E168FB">
        <w:rPr>
          <w:lang w:val="zh-CN"/>
        </w:rPr>
        <w:t>年鉴》，第二卷，</w:t>
      </w:r>
      <w:r w:rsidRPr="00E168FB">
        <w:rPr>
          <w:lang w:val="zh-CN"/>
        </w:rPr>
        <w:t>A/6309/rev.1</w:t>
      </w:r>
      <w:r w:rsidRPr="00E168FB">
        <w:rPr>
          <w:lang w:val="zh-CN"/>
        </w:rPr>
        <w:t>号文件，第</w:t>
      </w:r>
      <w:r w:rsidRPr="00E168FB">
        <w:rPr>
          <w:lang w:val="zh-CN"/>
        </w:rPr>
        <w:t>191</w:t>
      </w:r>
      <w:r w:rsidRPr="00E168FB">
        <w:rPr>
          <w:lang w:val="zh-CN"/>
        </w:rPr>
        <w:t>页</w:t>
      </w:r>
      <w:r w:rsidRPr="00E168FB">
        <w:rPr>
          <w:lang w:val="zh-CN"/>
        </w:rPr>
        <w:t>(</w:t>
      </w:r>
      <w:r w:rsidRPr="00E168FB">
        <w:rPr>
          <w:lang w:val="zh-CN"/>
        </w:rPr>
        <w:t>第四条草案</w:t>
      </w:r>
      <w:r w:rsidRPr="00E168FB">
        <w:rPr>
          <w:lang w:val="zh-CN"/>
        </w:rPr>
        <w:t>)</w:t>
      </w:r>
      <w:r w:rsidRPr="00E168FB">
        <w:rPr>
          <w:lang w:val="zh-CN"/>
        </w:rPr>
        <w:t>；</w:t>
      </w:r>
      <w:r w:rsidRPr="00E168FB">
        <w:rPr>
          <w:lang w:val="zh-CN"/>
        </w:rPr>
        <w:t>K. Schmalenbach,</w:t>
      </w:r>
      <w:r w:rsidRPr="00E168FB">
        <w:rPr>
          <w:rFonts w:hint="eastAsia"/>
          <w:lang w:val="zh-CN"/>
        </w:rPr>
        <w:t>“</w:t>
      </w:r>
      <w:r w:rsidRPr="00E168FB">
        <w:rPr>
          <w:lang w:val="zh-CN"/>
        </w:rPr>
        <w:t>Art. 5</w:t>
      </w:r>
      <w:r w:rsidRPr="00E168FB">
        <w:rPr>
          <w:rFonts w:hint="eastAsia"/>
          <w:lang w:val="zh-CN"/>
        </w:rPr>
        <w:t>”</w:t>
      </w:r>
      <w:r w:rsidRPr="00E168FB">
        <w:rPr>
          <w:lang w:val="zh-CN"/>
        </w:rPr>
        <w:t>，</w:t>
      </w:r>
      <w:r w:rsidRPr="00E168FB">
        <w:rPr>
          <w:lang w:val="zh-CN"/>
        </w:rPr>
        <w:t xml:space="preserve">in Dörr and K. Schmalenbach, </w:t>
      </w:r>
      <w:r w:rsidRPr="00E168FB">
        <w:rPr>
          <w:i/>
          <w:iCs/>
          <w:lang w:val="zh-CN"/>
        </w:rPr>
        <w:t>Vienna Convention on the Law of Treaties</w:t>
      </w:r>
      <w:r w:rsidRPr="00E168FB">
        <w:rPr>
          <w:lang w:val="zh-CN"/>
        </w:rPr>
        <w:t>…(</w:t>
      </w:r>
      <w:r w:rsidRPr="00E168FB">
        <w:rPr>
          <w:lang w:val="zh-CN"/>
        </w:rPr>
        <w:t>见</w:t>
      </w:r>
      <w:r w:rsidRPr="00E168FB">
        <w:rPr>
          <w:rFonts w:hint="eastAsia"/>
          <w:lang w:val="zh-CN"/>
        </w:rPr>
        <w:t>上文脚注</w:t>
      </w:r>
      <w:r>
        <w:fldChar w:fldCharType="begin"/>
      </w:r>
      <w:r>
        <w:instrText xml:space="preserve"> </w:instrText>
      </w:r>
      <w:r>
        <w:rPr>
          <w:rFonts w:hint="eastAsia"/>
        </w:rPr>
        <w:instrText>NOTEREF _Ref461972537 \h</w:instrText>
      </w:r>
      <w:r>
        <w:instrText xml:space="preserve"> </w:instrText>
      </w:r>
      <w:r>
        <w:fldChar w:fldCharType="separate"/>
      </w:r>
      <w:r w:rsidR="00A73EB9">
        <w:t>439</w:t>
      </w:r>
      <w:r>
        <w:fldChar w:fldCharType="end"/>
      </w:r>
      <w:r w:rsidRPr="00E168FB">
        <w:rPr>
          <w:rFonts w:hint="eastAsia"/>
          <w:lang w:val="zh-CN"/>
        </w:rPr>
        <w:t>)</w:t>
      </w:r>
      <w:r w:rsidRPr="00E168FB">
        <w:rPr>
          <w:lang w:val="zh-CN"/>
        </w:rPr>
        <w:t>，</w:t>
      </w:r>
      <w:r w:rsidRPr="00E168FB">
        <w:rPr>
          <w:lang w:val="zh-CN"/>
        </w:rPr>
        <w:t xml:space="preserve"> p. 89, para. 1</w:t>
      </w:r>
      <w:r w:rsidRPr="00E168FB">
        <w:rPr>
          <w:rFonts w:hint="eastAsia"/>
          <w:lang w:val="zh-CN"/>
        </w:rPr>
        <w:t>。</w:t>
      </w:r>
    </w:p>
  </w:footnote>
  <w:footnote w:id="903">
    <w:p w:rsidR="00AB00DE" w:rsidRPr="00E168FB" w:rsidRDefault="00AB00DE" w:rsidP="00B75685">
      <w:pPr>
        <w:pStyle w:val="a4"/>
      </w:pPr>
      <w:r w:rsidRPr="00E168FB">
        <w:rPr>
          <w:lang w:val="zh-CN"/>
        </w:rPr>
        <w:tab/>
      </w:r>
      <w:r w:rsidRPr="00D54A01">
        <w:rPr>
          <w:rStyle w:val="a5"/>
          <w:szCs w:val="21"/>
        </w:rPr>
        <w:footnoteRef/>
      </w:r>
      <w:r w:rsidRPr="00E168FB">
        <w:rPr>
          <w:lang w:val="zh-CN"/>
        </w:rPr>
        <w:tab/>
      </w:r>
      <w:r w:rsidRPr="00E168FB">
        <w:rPr>
          <w:lang w:val="zh-CN"/>
        </w:rPr>
        <w:t>例如，见</w:t>
      </w:r>
      <w:r w:rsidRPr="00E168FB">
        <w:t>1969</w:t>
      </w:r>
      <w:r w:rsidRPr="00E168FB">
        <w:t>年</w:t>
      </w:r>
      <w:r w:rsidRPr="00E168FB">
        <w:rPr>
          <w:lang w:val="zh-CN"/>
        </w:rPr>
        <w:t>《维也纳公约》第</w:t>
      </w:r>
      <w:r w:rsidRPr="00E168FB">
        <w:rPr>
          <w:rFonts w:hint="eastAsia"/>
          <w:lang w:val="zh-CN"/>
        </w:rPr>
        <w:t>十六</w:t>
      </w:r>
      <w:r w:rsidRPr="00E168FB">
        <w:rPr>
          <w:lang w:val="zh-CN"/>
        </w:rPr>
        <w:t>条，第</w:t>
      </w:r>
      <w:r w:rsidRPr="00E168FB">
        <w:rPr>
          <w:rFonts w:hint="eastAsia"/>
          <w:lang w:val="zh-CN"/>
        </w:rPr>
        <w:t>十九</w:t>
      </w:r>
      <w:r w:rsidRPr="00E168FB">
        <w:rPr>
          <w:lang w:val="zh-CN"/>
        </w:rPr>
        <w:t>条</w:t>
      </w:r>
      <w:r w:rsidRPr="00E168FB">
        <w:rPr>
          <w:lang w:val="zh-CN"/>
        </w:rPr>
        <w:t>(a)</w:t>
      </w:r>
      <w:r w:rsidRPr="00E168FB">
        <w:rPr>
          <w:lang w:val="zh-CN"/>
        </w:rPr>
        <w:t>项和</w:t>
      </w:r>
      <w:r w:rsidRPr="00E168FB">
        <w:rPr>
          <w:lang w:val="zh-CN"/>
        </w:rPr>
        <w:t>(b)</w:t>
      </w:r>
      <w:r w:rsidRPr="00E168FB">
        <w:rPr>
          <w:lang w:val="zh-CN"/>
        </w:rPr>
        <w:t>项，第</w:t>
      </w:r>
      <w:r w:rsidRPr="00E168FB">
        <w:rPr>
          <w:rFonts w:hint="eastAsia"/>
          <w:lang w:val="zh-CN"/>
        </w:rPr>
        <w:t>二十</w:t>
      </w:r>
      <w:r w:rsidRPr="00E168FB">
        <w:rPr>
          <w:lang w:val="zh-CN"/>
        </w:rPr>
        <w:t>条第</w:t>
      </w:r>
      <w:r w:rsidRPr="00E168FB">
        <w:rPr>
          <w:rFonts w:hint="eastAsia"/>
          <w:lang w:val="zh-CN"/>
        </w:rPr>
        <w:t>一</w:t>
      </w:r>
      <w:r w:rsidRPr="00E168FB">
        <w:rPr>
          <w:lang w:val="zh-CN"/>
        </w:rPr>
        <w:t>款、第</w:t>
      </w:r>
      <w:r w:rsidRPr="00E168FB">
        <w:rPr>
          <w:rFonts w:hint="eastAsia"/>
          <w:lang w:val="zh-CN"/>
        </w:rPr>
        <w:t>三</w:t>
      </w:r>
      <w:r w:rsidRPr="00E168FB">
        <w:rPr>
          <w:lang w:val="zh-CN"/>
        </w:rPr>
        <w:t>款至第</w:t>
      </w:r>
      <w:r w:rsidRPr="00E168FB">
        <w:rPr>
          <w:rFonts w:hint="eastAsia"/>
          <w:lang w:val="zh-CN"/>
        </w:rPr>
        <w:t>五</w:t>
      </w:r>
      <w:r w:rsidRPr="00E168FB">
        <w:rPr>
          <w:lang w:val="zh-CN"/>
        </w:rPr>
        <w:t>款，第</w:t>
      </w:r>
      <w:r w:rsidRPr="00E168FB">
        <w:rPr>
          <w:rFonts w:hint="eastAsia"/>
          <w:lang w:val="zh-CN"/>
        </w:rPr>
        <w:t>二十二</w:t>
      </w:r>
      <w:r w:rsidRPr="00E168FB">
        <w:rPr>
          <w:lang w:val="zh-CN"/>
        </w:rPr>
        <w:t>条，第</w:t>
      </w:r>
      <w:r w:rsidRPr="00E168FB">
        <w:rPr>
          <w:rFonts w:hint="eastAsia"/>
          <w:lang w:val="zh-CN"/>
        </w:rPr>
        <w:t>二十四</w:t>
      </w:r>
      <w:r w:rsidRPr="00E168FB">
        <w:rPr>
          <w:lang w:val="zh-CN"/>
        </w:rPr>
        <w:t>条第</w:t>
      </w:r>
      <w:r w:rsidRPr="00E168FB">
        <w:rPr>
          <w:rFonts w:hint="eastAsia"/>
          <w:lang w:val="zh-CN"/>
        </w:rPr>
        <w:t>三</w:t>
      </w:r>
      <w:r w:rsidRPr="00E168FB">
        <w:rPr>
          <w:lang w:val="zh-CN"/>
        </w:rPr>
        <w:t>款，第</w:t>
      </w:r>
      <w:r w:rsidRPr="00E168FB">
        <w:rPr>
          <w:rFonts w:hint="eastAsia"/>
          <w:lang w:val="zh-CN"/>
        </w:rPr>
        <w:t>二十五</w:t>
      </w:r>
      <w:r w:rsidRPr="00E168FB">
        <w:rPr>
          <w:lang w:val="zh-CN"/>
        </w:rPr>
        <w:t>条第</w:t>
      </w:r>
      <w:r w:rsidRPr="00E168FB">
        <w:rPr>
          <w:rFonts w:hint="eastAsia"/>
          <w:lang w:val="zh-CN"/>
        </w:rPr>
        <w:t>二</w:t>
      </w:r>
      <w:r w:rsidRPr="00E168FB">
        <w:rPr>
          <w:lang w:val="zh-CN"/>
        </w:rPr>
        <w:t>款，第</w:t>
      </w:r>
      <w:r w:rsidRPr="00E168FB">
        <w:rPr>
          <w:rFonts w:hint="eastAsia"/>
          <w:lang w:val="zh-CN"/>
        </w:rPr>
        <w:t>四十四</w:t>
      </w:r>
      <w:r w:rsidRPr="00E168FB">
        <w:rPr>
          <w:lang w:val="zh-CN"/>
        </w:rPr>
        <w:t>条第</w:t>
      </w:r>
      <w:r w:rsidRPr="00E168FB">
        <w:rPr>
          <w:rFonts w:hint="eastAsia"/>
          <w:lang w:val="zh-CN"/>
        </w:rPr>
        <w:t>一</w:t>
      </w:r>
      <w:r w:rsidRPr="00E168FB">
        <w:rPr>
          <w:lang w:val="zh-CN"/>
        </w:rPr>
        <w:t>款，第</w:t>
      </w:r>
      <w:r w:rsidRPr="00E168FB">
        <w:rPr>
          <w:rFonts w:hint="eastAsia"/>
          <w:lang w:val="zh-CN"/>
        </w:rPr>
        <w:t>五十五</w:t>
      </w:r>
      <w:r w:rsidRPr="00E168FB">
        <w:rPr>
          <w:lang w:val="zh-CN"/>
        </w:rPr>
        <w:t>条，第</w:t>
      </w:r>
      <w:r w:rsidRPr="00E168FB">
        <w:rPr>
          <w:rFonts w:hint="eastAsia"/>
          <w:lang w:val="zh-CN"/>
        </w:rPr>
        <w:t>五十八</w:t>
      </w:r>
      <w:r w:rsidRPr="00E168FB">
        <w:rPr>
          <w:lang w:val="zh-CN"/>
        </w:rPr>
        <w:t>条第</w:t>
      </w:r>
      <w:r w:rsidRPr="00E168FB">
        <w:rPr>
          <w:rFonts w:hint="eastAsia"/>
          <w:lang w:val="zh-CN"/>
        </w:rPr>
        <w:t>二</w:t>
      </w:r>
      <w:r w:rsidRPr="00E168FB">
        <w:rPr>
          <w:lang w:val="zh-CN"/>
        </w:rPr>
        <w:t>款，第</w:t>
      </w:r>
      <w:r w:rsidRPr="00E168FB">
        <w:rPr>
          <w:rFonts w:hint="eastAsia"/>
          <w:lang w:val="zh-CN"/>
        </w:rPr>
        <w:t>七十</w:t>
      </w:r>
      <w:r w:rsidRPr="00E168FB">
        <w:rPr>
          <w:lang w:val="zh-CN"/>
        </w:rPr>
        <w:t>条第</w:t>
      </w:r>
      <w:r w:rsidRPr="00E168FB">
        <w:rPr>
          <w:rFonts w:hint="eastAsia"/>
          <w:lang w:val="zh-CN"/>
        </w:rPr>
        <w:t>一</w:t>
      </w:r>
      <w:r w:rsidRPr="00E168FB">
        <w:rPr>
          <w:lang w:val="zh-CN"/>
        </w:rPr>
        <w:t>款，第</w:t>
      </w:r>
      <w:r w:rsidRPr="00E168FB">
        <w:rPr>
          <w:rFonts w:hint="eastAsia"/>
          <w:lang w:val="zh-CN"/>
        </w:rPr>
        <w:t>七十二</w:t>
      </w:r>
      <w:r w:rsidRPr="00E168FB">
        <w:rPr>
          <w:lang w:val="zh-CN"/>
        </w:rPr>
        <w:t>条第</w:t>
      </w:r>
      <w:r w:rsidRPr="00E168FB">
        <w:rPr>
          <w:rFonts w:hint="eastAsia"/>
          <w:lang w:val="zh-CN"/>
        </w:rPr>
        <w:t>一</w:t>
      </w:r>
      <w:r w:rsidRPr="00E168FB">
        <w:rPr>
          <w:lang w:val="zh-CN"/>
        </w:rPr>
        <w:t>款，第</w:t>
      </w:r>
      <w:r w:rsidRPr="00E168FB">
        <w:rPr>
          <w:rFonts w:hint="eastAsia"/>
          <w:lang w:val="zh-CN"/>
        </w:rPr>
        <w:t>七十七</w:t>
      </w:r>
      <w:r w:rsidRPr="00E168FB">
        <w:rPr>
          <w:lang w:val="zh-CN"/>
        </w:rPr>
        <w:t>条第</w:t>
      </w:r>
      <w:r w:rsidRPr="00E168FB">
        <w:rPr>
          <w:rFonts w:hint="eastAsia"/>
          <w:lang w:val="zh-CN"/>
        </w:rPr>
        <w:t>一</w:t>
      </w:r>
      <w:r w:rsidRPr="00E168FB">
        <w:rPr>
          <w:lang w:val="zh-CN"/>
        </w:rPr>
        <w:t>款。</w:t>
      </w:r>
    </w:p>
  </w:footnote>
  <w:footnote w:id="904">
    <w:p w:rsidR="00AB00DE" w:rsidRPr="00E168FB" w:rsidRDefault="00AB00DE" w:rsidP="00B75685">
      <w:pPr>
        <w:pStyle w:val="a4"/>
      </w:pPr>
      <w:r w:rsidRPr="00E168FB">
        <w:rPr>
          <w:lang w:val="zh-CN"/>
        </w:rPr>
        <w:tab/>
      </w:r>
      <w:r w:rsidRPr="00D54A01">
        <w:rPr>
          <w:rStyle w:val="a5"/>
          <w:szCs w:val="21"/>
        </w:rPr>
        <w:footnoteRef/>
      </w:r>
      <w:r w:rsidRPr="00E168FB">
        <w:rPr>
          <w:lang w:val="zh-CN"/>
        </w:rPr>
        <w:tab/>
      </w:r>
      <w:r w:rsidRPr="00E168FB">
        <w:rPr>
          <w:lang w:val="zh-CN"/>
        </w:rPr>
        <w:t>后一类由</w:t>
      </w:r>
      <w:r w:rsidRPr="00E168FB">
        <w:rPr>
          <w:lang w:val="zh-CN"/>
        </w:rPr>
        <w:t>1986</w:t>
      </w:r>
      <w:r w:rsidRPr="00E168FB">
        <w:rPr>
          <w:lang w:val="zh-CN"/>
        </w:rPr>
        <w:t>年《维也纳公约》规定</w:t>
      </w:r>
      <w:r w:rsidRPr="00E168FB">
        <w:rPr>
          <w:lang w:val="zh-CN"/>
        </w:rPr>
        <w:t>(A/CONF.129/15)</w:t>
      </w:r>
      <w:r w:rsidRPr="00E168FB">
        <w:rPr>
          <w:lang w:val="zh-CN"/>
        </w:rPr>
        <w:t>。</w:t>
      </w:r>
    </w:p>
  </w:footnote>
  <w:footnote w:id="905">
    <w:p w:rsidR="00AB00DE" w:rsidRPr="00E168FB" w:rsidRDefault="00AB00DE" w:rsidP="00D90936">
      <w:pPr>
        <w:pStyle w:val="a4"/>
      </w:pPr>
      <w:r w:rsidRPr="00E168FB">
        <w:rPr>
          <w:lang w:val="zh-CN"/>
        </w:rPr>
        <w:tab/>
      </w:r>
      <w:r w:rsidRPr="00D54A01">
        <w:rPr>
          <w:rStyle w:val="a5"/>
          <w:szCs w:val="21"/>
        </w:rPr>
        <w:footnoteRef/>
      </w:r>
      <w:r w:rsidRPr="00E168FB">
        <w:rPr>
          <w:lang w:val="zh-CN"/>
        </w:rPr>
        <w:tab/>
      </w:r>
      <w:r w:rsidRPr="00E168FB">
        <w:rPr>
          <w:rFonts w:eastAsia="楷体"/>
          <w:lang w:val="zh-CN"/>
        </w:rPr>
        <w:t>科索沃单方面宣布独立是否符合国际法，咨询意见，《</w:t>
      </w:r>
      <w:r w:rsidRPr="00E168FB">
        <w:rPr>
          <w:rFonts w:eastAsia="楷体"/>
          <w:lang w:val="zh-CN"/>
        </w:rPr>
        <w:t>2010</w:t>
      </w:r>
      <w:r w:rsidRPr="00E168FB">
        <w:rPr>
          <w:rFonts w:eastAsia="楷体"/>
          <w:lang w:val="zh-CN"/>
        </w:rPr>
        <w:t>年国际法院案例汇编》，</w:t>
      </w:r>
      <w:r w:rsidRPr="00E168FB">
        <w:rPr>
          <w:lang w:val="zh-CN"/>
        </w:rPr>
        <w:t>第</w:t>
      </w:r>
      <w:r w:rsidRPr="00E168FB">
        <w:rPr>
          <w:lang w:val="zh-CN"/>
        </w:rPr>
        <w:t>403</w:t>
      </w:r>
      <w:r w:rsidRPr="00E168FB">
        <w:rPr>
          <w:lang w:val="zh-CN"/>
        </w:rPr>
        <w:t>页</w:t>
      </w:r>
      <w:r w:rsidRPr="00E168FB">
        <w:rPr>
          <w:rFonts w:hint="eastAsia"/>
          <w:lang w:val="zh-CN"/>
        </w:rPr>
        <w:t>起</w:t>
      </w:r>
      <w:r w:rsidRPr="00E168FB">
        <w:rPr>
          <w:lang w:val="zh-CN"/>
        </w:rPr>
        <w:t>，见第</w:t>
      </w:r>
      <w:r w:rsidRPr="00E168FB">
        <w:rPr>
          <w:lang w:val="zh-CN"/>
        </w:rPr>
        <w:t>442</w:t>
      </w:r>
      <w:r w:rsidRPr="00E168FB">
        <w:rPr>
          <w:lang w:val="zh-CN"/>
        </w:rPr>
        <w:t>页，第</w:t>
      </w:r>
      <w:r w:rsidRPr="00E168FB">
        <w:rPr>
          <w:lang w:val="zh-CN"/>
        </w:rPr>
        <w:t>94</w:t>
      </w:r>
      <w:r w:rsidRPr="00E168FB">
        <w:rPr>
          <w:lang w:val="zh-CN"/>
        </w:rPr>
        <w:t>段</w:t>
      </w:r>
      <w:r w:rsidRPr="00E168FB">
        <w:rPr>
          <w:lang w:val="zh-CN"/>
        </w:rPr>
        <w:t>(</w:t>
      </w:r>
      <w:r w:rsidRPr="00E168FB">
        <w:rPr>
          <w:rFonts w:hint="eastAsia"/>
          <w:lang w:val="zh-CN"/>
        </w:rPr>
        <w:t>“……</w:t>
      </w:r>
      <w:r w:rsidRPr="00E168FB">
        <w:t>尽管</w:t>
      </w:r>
      <w:r w:rsidRPr="00E168FB">
        <w:rPr>
          <w:lang w:val="zh-CN"/>
        </w:rPr>
        <w:t>《维也纳条约法公约》第三十一条和第三十二条所载关于条约解释的规则可作为指引，但安全理事会决议同条约有所区别，因此在解释安全理事会决议时还需考虑其他因素</w:t>
      </w:r>
      <w:r w:rsidRPr="00E168FB">
        <w:rPr>
          <w:rFonts w:hint="eastAsia"/>
          <w:lang w:val="zh-CN"/>
        </w:rPr>
        <w:t>”</w:t>
      </w:r>
      <w:r w:rsidRPr="00E168FB">
        <w:rPr>
          <w:lang w:val="zh-CN"/>
        </w:rPr>
        <w:t>)</w:t>
      </w:r>
      <w:r w:rsidRPr="00E168FB">
        <w:rPr>
          <w:lang w:val="zh-CN"/>
        </w:rPr>
        <w:t>；另见</w:t>
      </w:r>
      <w:r w:rsidRPr="00E168FB">
        <w:rPr>
          <w:lang w:val="zh-CN"/>
        </w:rPr>
        <w:t xml:space="preserve">H. </w:t>
      </w:r>
      <w:r w:rsidRPr="00E168FB">
        <w:t>Thirlway,</w:t>
      </w:r>
      <w:r w:rsidRPr="00E168FB">
        <w:rPr>
          <w:rFonts w:hint="eastAsia"/>
        </w:rPr>
        <w:t>“</w:t>
      </w:r>
      <w:r w:rsidRPr="00E168FB">
        <w:t>The law and procedure of the International Court of Justice 1960-1989, part eight</w:t>
      </w:r>
      <w:r w:rsidRPr="00E168FB">
        <w:rPr>
          <w:rFonts w:hint="eastAsia"/>
        </w:rPr>
        <w:t>”</w:t>
      </w:r>
      <w:r w:rsidRPr="00E168FB">
        <w:t>，</w:t>
      </w:r>
      <w:r w:rsidRPr="00E168FB">
        <w:rPr>
          <w:i/>
          <w:iCs/>
        </w:rPr>
        <w:t xml:space="preserve">British Yearbook of International Law 1996, </w:t>
      </w:r>
      <w:r w:rsidRPr="00E168FB">
        <w:t>vol. 67, p. 1, at p. 29</w:t>
      </w:r>
      <w:r w:rsidRPr="00E168FB">
        <w:t>；</w:t>
      </w:r>
      <w:r w:rsidRPr="00E168FB">
        <w:t>M.C. Wood,</w:t>
      </w:r>
      <w:r w:rsidRPr="00E168FB">
        <w:rPr>
          <w:rFonts w:hint="eastAsia"/>
        </w:rPr>
        <w:t>“</w:t>
      </w:r>
      <w:r w:rsidRPr="00E168FB">
        <w:t>The interpretation of Security Council resolutions</w:t>
      </w:r>
      <w:r w:rsidRPr="00E168FB">
        <w:rPr>
          <w:rFonts w:hint="eastAsia"/>
        </w:rPr>
        <w:t>”</w:t>
      </w:r>
      <w:r w:rsidRPr="00E168FB">
        <w:t>，</w:t>
      </w:r>
      <w:r w:rsidRPr="00E168FB">
        <w:rPr>
          <w:i/>
          <w:iCs/>
        </w:rPr>
        <w:t xml:space="preserve">Max Planck Yearbook of United Nations Law, </w:t>
      </w:r>
      <w:r w:rsidRPr="00E168FB">
        <w:t>vol. 2 (1998)</w:t>
      </w:r>
      <w:r w:rsidRPr="00E168FB">
        <w:t>，</w:t>
      </w:r>
      <w:r w:rsidRPr="00E168FB">
        <w:t>p. 73, at p. 85</w:t>
      </w:r>
      <w:r w:rsidRPr="00E168FB">
        <w:t>；</w:t>
      </w:r>
      <w:r w:rsidRPr="00E168FB">
        <w:t xml:space="preserve">Gardiner, </w:t>
      </w:r>
      <w:r w:rsidRPr="00E168FB">
        <w:rPr>
          <w:i/>
          <w:iCs/>
        </w:rPr>
        <w:t>Treaty Interpretation</w:t>
      </w:r>
      <w:r w:rsidRPr="00E168FB">
        <w:rPr>
          <w:lang w:val="zh-CN"/>
        </w:rPr>
        <w:t>(</w:t>
      </w:r>
      <w:r w:rsidRPr="00E168FB">
        <w:rPr>
          <w:lang w:val="zh-CN"/>
        </w:rPr>
        <w:t>见上文脚注</w:t>
      </w:r>
      <w:r w:rsidRPr="00D90936">
        <w:rPr>
          <w:rFonts w:asciiTheme="majorBidi" w:hAnsiTheme="majorBidi" w:cstheme="majorBidi"/>
        </w:rPr>
        <w:fldChar w:fldCharType="begin"/>
      </w:r>
      <w:r w:rsidRPr="00D90936">
        <w:rPr>
          <w:rFonts w:asciiTheme="majorBidi" w:hAnsiTheme="majorBidi" w:cstheme="majorBidi"/>
        </w:rPr>
        <w:instrText xml:space="preserve"> NOTEREF _Ref461971974 \h </w:instrText>
      </w:r>
      <w:r>
        <w:rPr>
          <w:rFonts w:asciiTheme="majorBidi" w:hAnsiTheme="majorBidi" w:cstheme="majorBidi"/>
        </w:rPr>
        <w:instrText xml:space="preserve"> \* MERGEFORMAT </w:instrText>
      </w:r>
      <w:r w:rsidRPr="00D90936">
        <w:rPr>
          <w:rFonts w:asciiTheme="majorBidi" w:hAnsiTheme="majorBidi" w:cstheme="majorBidi"/>
        </w:rPr>
      </w:r>
      <w:r w:rsidRPr="00D90936">
        <w:rPr>
          <w:rFonts w:asciiTheme="majorBidi" w:hAnsiTheme="majorBidi" w:cstheme="majorBidi"/>
        </w:rPr>
        <w:fldChar w:fldCharType="separate"/>
      </w:r>
      <w:r w:rsidR="00A73EB9">
        <w:rPr>
          <w:rFonts w:asciiTheme="majorBidi" w:hAnsiTheme="majorBidi" w:cstheme="majorBidi"/>
        </w:rPr>
        <w:t>392</w:t>
      </w:r>
      <w:r w:rsidRPr="00D90936">
        <w:rPr>
          <w:rFonts w:asciiTheme="majorBidi" w:hAnsiTheme="majorBidi" w:cstheme="majorBidi"/>
        </w:rPr>
        <w:fldChar w:fldCharType="end"/>
      </w:r>
      <w:r w:rsidRPr="00E168FB">
        <w:rPr>
          <w:lang w:val="zh-CN"/>
        </w:rPr>
        <w:t>)</w:t>
      </w:r>
      <w:r w:rsidRPr="00E168FB">
        <w:rPr>
          <w:lang w:val="zh-CN"/>
        </w:rPr>
        <w:t>，</w:t>
      </w:r>
      <w:r w:rsidRPr="00E168FB">
        <w:rPr>
          <w:rFonts w:hint="eastAsia"/>
          <w:lang w:val="zh-CN"/>
        </w:rPr>
        <w:t>p.</w:t>
      </w:r>
      <w:r w:rsidRPr="00E168FB">
        <w:rPr>
          <w:lang w:val="zh-CN"/>
        </w:rPr>
        <w:t>128</w:t>
      </w:r>
      <w:r w:rsidRPr="00E168FB">
        <w:rPr>
          <w:lang w:val="zh-CN"/>
        </w:rPr>
        <w:t>。</w:t>
      </w:r>
    </w:p>
  </w:footnote>
  <w:footnote w:id="906">
    <w:p w:rsidR="00AB00DE" w:rsidRPr="00E168FB" w:rsidRDefault="00AB00DE" w:rsidP="00B75685">
      <w:pPr>
        <w:pStyle w:val="a4"/>
      </w:pPr>
      <w:r w:rsidRPr="00E168FB">
        <w:rPr>
          <w:lang w:val="zh-CN"/>
        </w:rPr>
        <w:tab/>
      </w:r>
      <w:r w:rsidRPr="00D54A01">
        <w:rPr>
          <w:rStyle w:val="a5"/>
          <w:szCs w:val="21"/>
        </w:rPr>
        <w:footnoteRef/>
      </w:r>
      <w:r w:rsidRPr="00E168FB">
        <w:rPr>
          <w:lang w:val="zh-CN"/>
        </w:rPr>
        <w:tab/>
      </w:r>
      <w:r w:rsidRPr="00E168FB">
        <w:rPr>
          <w:rFonts w:hint="eastAsia"/>
          <w:lang w:val="zh-CN"/>
        </w:rPr>
        <w:t>“</w:t>
      </w:r>
      <w:r w:rsidRPr="00E168FB">
        <w:rPr>
          <w:rFonts w:eastAsia="楷体"/>
          <w:lang w:val="zh-CN"/>
        </w:rPr>
        <w:t>请求解释</w:t>
      </w:r>
      <w:r w:rsidRPr="00E168FB">
        <w:rPr>
          <w:rFonts w:eastAsia="楷体"/>
          <w:lang w:val="zh-CN"/>
        </w:rPr>
        <w:t>1962</w:t>
      </w:r>
      <w:r w:rsidRPr="00E168FB">
        <w:rPr>
          <w:rFonts w:eastAsia="楷体"/>
          <w:lang w:val="zh-CN"/>
        </w:rPr>
        <w:t>年</w:t>
      </w:r>
      <w:r w:rsidRPr="00E168FB">
        <w:rPr>
          <w:rFonts w:eastAsia="楷体"/>
          <w:lang w:val="zh-CN"/>
        </w:rPr>
        <w:t>6</w:t>
      </w:r>
      <w:r w:rsidRPr="00E168FB">
        <w:rPr>
          <w:rFonts w:eastAsia="楷体"/>
          <w:lang w:val="zh-CN"/>
        </w:rPr>
        <w:t>月</w:t>
      </w:r>
      <w:r w:rsidRPr="00E168FB">
        <w:rPr>
          <w:rFonts w:eastAsia="楷体"/>
          <w:lang w:val="zh-CN"/>
        </w:rPr>
        <w:t>15</w:t>
      </w:r>
      <w:r w:rsidRPr="00E168FB">
        <w:rPr>
          <w:rFonts w:eastAsia="楷体"/>
          <w:lang w:val="zh-CN"/>
        </w:rPr>
        <w:t>日对柏威夏寺</w:t>
      </w:r>
      <w:r w:rsidRPr="00E168FB">
        <w:rPr>
          <w:rFonts w:eastAsia="楷体"/>
          <w:lang w:val="zh-CN"/>
        </w:rPr>
        <w:t>(</w:t>
      </w:r>
      <w:r w:rsidRPr="00E168FB">
        <w:rPr>
          <w:rFonts w:eastAsia="楷体"/>
          <w:lang w:val="zh-CN"/>
        </w:rPr>
        <w:t>柬埔寨诉泰国</w:t>
      </w:r>
      <w:r w:rsidRPr="00E168FB">
        <w:rPr>
          <w:rFonts w:eastAsia="楷体"/>
          <w:lang w:val="zh-CN"/>
        </w:rPr>
        <w:t>)</w:t>
      </w:r>
      <w:r w:rsidRPr="00E168FB">
        <w:rPr>
          <w:rFonts w:eastAsia="楷体"/>
          <w:lang w:val="zh-CN"/>
        </w:rPr>
        <w:t>案所作判决</w:t>
      </w:r>
      <w:r w:rsidRPr="00E168FB">
        <w:rPr>
          <w:rFonts w:eastAsia="楷体" w:hint="eastAsia"/>
          <w:lang w:val="zh-CN"/>
        </w:rPr>
        <w:t>”</w:t>
      </w:r>
      <w:r w:rsidRPr="00E168FB">
        <w:rPr>
          <w:rFonts w:eastAsia="楷体"/>
          <w:lang w:val="zh-CN"/>
        </w:rPr>
        <w:t>，判决，《</w:t>
      </w:r>
      <w:r w:rsidRPr="00E168FB">
        <w:rPr>
          <w:rFonts w:eastAsia="楷体"/>
          <w:lang w:val="zh-CN"/>
        </w:rPr>
        <w:t>2013</w:t>
      </w:r>
      <w:r w:rsidRPr="00E168FB">
        <w:rPr>
          <w:rFonts w:eastAsia="楷体"/>
          <w:lang w:val="zh-CN"/>
        </w:rPr>
        <w:t>年国际法院案例汇编》</w:t>
      </w:r>
      <w:r w:rsidRPr="00E168FB">
        <w:rPr>
          <w:rFonts w:hint="eastAsia"/>
          <w:lang w:val="zh-CN"/>
        </w:rPr>
        <w:t>，</w:t>
      </w:r>
      <w:r w:rsidRPr="00E168FB">
        <w:rPr>
          <w:lang w:val="zh-CN"/>
        </w:rPr>
        <w:t>第</w:t>
      </w:r>
      <w:r w:rsidRPr="00E168FB">
        <w:rPr>
          <w:lang w:val="zh-CN"/>
        </w:rPr>
        <w:t>281</w:t>
      </w:r>
      <w:r w:rsidRPr="00E168FB">
        <w:rPr>
          <w:lang w:val="zh-CN"/>
        </w:rPr>
        <w:t>页</w:t>
      </w:r>
      <w:r w:rsidRPr="00E168FB">
        <w:rPr>
          <w:rFonts w:hint="eastAsia"/>
          <w:lang w:val="zh-CN"/>
        </w:rPr>
        <w:t>起</w:t>
      </w:r>
      <w:r w:rsidRPr="00E168FB">
        <w:rPr>
          <w:lang w:val="zh-CN"/>
        </w:rPr>
        <w:t>，见第</w:t>
      </w:r>
      <w:r w:rsidRPr="00E168FB">
        <w:rPr>
          <w:lang w:val="zh-CN"/>
        </w:rPr>
        <w:t>307</w:t>
      </w:r>
      <w:r w:rsidRPr="00E168FB">
        <w:rPr>
          <w:lang w:val="zh-CN"/>
        </w:rPr>
        <w:t>页，第</w:t>
      </w:r>
      <w:r w:rsidRPr="00E168FB">
        <w:rPr>
          <w:lang w:val="zh-CN"/>
        </w:rPr>
        <w:t>75</w:t>
      </w:r>
      <w:r w:rsidRPr="00E168FB">
        <w:rPr>
          <w:lang w:val="zh-CN"/>
        </w:rPr>
        <w:t>段</w:t>
      </w:r>
      <w:r w:rsidRPr="00E168FB">
        <w:rPr>
          <w:lang w:val="zh-CN"/>
        </w:rPr>
        <w:t>(</w:t>
      </w:r>
      <w:r w:rsidRPr="00E168FB">
        <w:rPr>
          <w:rFonts w:hint="eastAsia"/>
          <w:lang w:val="zh-CN"/>
        </w:rPr>
        <w:t>“</w:t>
      </w:r>
      <w:r w:rsidRPr="00E168FB">
        <w:rPr>
          <w:lang w:val="zh-CN"/>
        </w:rPr>
        <w:t>法院的判决不能等同于一项条约。按</w:t>
      </w:r>
      <w:r w:rsidRPr="00E168FB">
        <w:rPr>
          <w:lang w:val="zh-CN"/>
        </w:rPr>
        <w:t>1969</w:t>
      </w:r>
      <w:r w:rsidRPr="00E168FB">
        <w:rPr>
          <w:lang w:val="zh-CN"/>
        </w:rPr>
        <w:t>年《维也纳条约法公约》第三十一条第三款</w:t>
      </w:r>
      <w:r w:rsidRPr="00E168FB">
        <w:rPr>
          <w:lang w:val="zh-CN"/>
        </w:rPr>
        <w:t>(b)</w:t>
      </w:r>
      <w:r w:rsidRPr="00E168FB">
        <w:rPr>
          <w:lang w:val="zh-CN"/>
        </w:rPr>
        <w:t>项所述的原则，条约这种文书的约束力和内容源自缔约国的同意，其解释可能受到缔约国嗣后行为的影响</w:t>
      </w:r>
      <w:r w:rsidRPr="00E168FB">
        <w:rPr>
          <w:rFonts w:hint="eastAsia"/>
          <w:lang w:val="zh-CN"/>
        </w:rPr>
        <w:t>”</w:t>
      </w:r>
      <w:r w:rsidRPr="00E168FB">
        <w:rPr>
          <w:lang w:val="zh-CN"/>
        </w:rPr>
        <w:t>)</w:t>
      </w:r>
      <w:r w:rsidRPr="00E168FB">
        <w:rPr>
          <w:lang w:val="zh-CN"/>
        </w:rPr>
        <w:t>。</w:t>
      </w:r>
    </w:p>
  </w:footnote>
  <w:footnote w:id="907">
    <w:p w:rsidR="00AB00DE" w:rsidRPr="00E168FB" w:rsidRDefault="00AB00DE" w:rsidP="00B75685">
      <w:pPr>
        <w:pStyle w:val="a4"/>
      </w:pPr>
      <w:r w:rsidRPr="00E168FB">
        <w:rPr>
          <w:lang w:val="zh-CN"/>
        </w:rPr>
        <w:tab/>
      </w:r>
      <w:r w:rsidRPr="00D54A01">
        <w:rPr>
          <w:rStyle w:val="a5"/>
          <w:szCs w:val="21"/>
        </w:rPr>
        <w:footnoteRef/>
      </w:r>
      <w:r w:rsidRPr="00E168FB">
        <w:rPr>
          <w:lang w:val="zh-CN"/>
        </w:rPr>
        <w:tab/>
      </w:r>
      <w:r w:rsidRPr="00E168FB">
        <w:rPr>
          <w:lang w:val="zh-CN"/>
        </w:rPr>
        <w:t>见</w:t>
      </w:r>
      <w:r w:rsidRPr="00E168FB">
        <w:rPr>
          <w:rFonts w:eastAsia="楷体"/>
          <w:lang w:val="zh-CN"/>
        </w:rPr>
        <w:t>女王诉环境、运输和地区事务大臣，第三人为</w:t>
      </w:r>
      <w:r w:rsidRPr="00E168FB">
        <w:rPr>
          <w:rFonts w:eastAsia="楷体"/>
          <w:lang w:val="zh-CN"/>
        </w:rPr>
        <w:t>Alconbury</w:t>
      </w:r>
      <w:r w:rsidRPr="00E168FB">
        <w:rPr>
          <w:rFonts w:eastAsia="楷体"/>
          <w:lang w:val="zh-CN"/>
        </w:rPr>
        <w:t>发展有限公司等</w:t>
      </w:r>
      <w:r w:rsidRPr="00E168FB">
        <w:rPr>
          <w:rFonts w:eastAsia="楷体" w:hint="eastAsia"/>
          <w:lang w:val="zh-CN"/>
        </w:rPr>
        <w:t>案</w:t>
      </w:r>
      <w:r w:rsidRPr="00E168FB">
        <w:rPr>
          <w:lang w:val="zh-CN"/>
        </w:rPr>
        <w:t>[2001] UKHL 23</w:t>
      </w:r>
      <w:r w:rsidRPr="00E168FB">
        <w:rPr>
          <w:lang w:val="zh-CN"/>
        </w:rPr>
        <w:t>；</w:t>
      </w:r>
      <w:r w:rsidRPr="00E168FB">
        <w:rPr>
          <w:rFonts w:eastAsia="楷体"/>
          <w:lang w:val="zh-CN"/>
        </w:rPr>
        <w:t>女王诉特别审裁官</w:t>
      </w:r>
      <w:r w:rsidRPr="00E168FB">
        <w:rPr>
          <w:rFonts w:eastAsia="楷体"/>
          <w:lang w:val="zh-CN"/>
        </w:rPr>
        <w:t>(</w:t>
      </w:r>
      <w:r w:rsidRPr="00E168FB">
        <w:rPr>
          <w:rFonts w:eastAsia="楷体"/>
          <w:lang w:val="zh-CN"/>
        </w:rPr>
        <w:t>应诉人</w:t>
      </w:r>
      <w:r w:rsidRPr="00E168FB">
        <w:rPr>
          <w:rFonts w:eastAsia="楷体"/>
          <w:lang w:val="zh-CN"/>
        </w:rPr>
        <w:t>)</w:t>
      </w:r>
      <w:r w:rsidRPr="00E168FB">
        <w:rPr>
          <w:rFonts w:eastAsia="楷体"/>
          <w:lang w:val="zh-CN"/>
        </w:rPr>
        <w:t>，第三人为</w:t>
      </w:r>
      <w:r w:rsidRPr="00E168FB">
        <w:rPr>
          <w:rFonts w:eastAsia="楷体"/>
          <w:lang w:val="zh-CN"/>
        </w:rPr>
        <w:t>Ullah (FC) (</w:t>
      </w:r>
      <w:r w:rsidRPr="00E168FB">
        <w:rPr>
          <w:rFonts w:eastAsia="楷体"/>
          <w:lang w:val="zh-CN"/>
        </w:rPr>
        <w:t>申诉人</w:t>
      </w:r>
      <w:r w:rsidRPr="00E168FB">
        <w:rPr>
          <w:rFonts w:eastAsia="楷体"/>
          <w:lang w:val="zh-CN"/>
        </w:rPr>
        <w:t>)</w:t>
      </w:r>
      <w:r w:rsidRPr="00E168FB">
        <w:rPr>
          <w:rFonts w:eastAsia="楷体" w:hint="eastAsia"/>
          <w:lang w:val="zh-CN"/>
        </w:rPr>
        <w:t>，</w:t>
      </w:r>
      <w:r w:rsidRPr="00E168FB">
        <w:rPr>
          <w:rFonts w:eastAsia="楷体"/>
          <w:lang w:val="zh-CN"/>
        </w:rPr>
        <w:t>Do (FC) (</w:t>
      </w:r>
      <w:r w:rsidRPr="00E168FB">
        <w:rPr>
          <w:rFonts w:eastAsia="楷体"/>
          <w:lang w:val="zh-CN"/>
        </w:rPr>
        <w:t>申诉人</w:t>
      </w:r>
      <w:r w:rsidRPr="00E168FB">
        <w:rPr>
          <w:rFonts w:eastAsia="楷体"/>
          <w:lang w:val="zh-CN"/>
        </w:rPr>
        <w:t>)</w:t>
      </w:r>
      <w:r w:rsidRPr="00E168FB">
        <w:rPr>
          <w:rFonts w:eastAsia="楷体"/>
          <w:lang w:val="zh-CN"/>
        </w:rPr>
        <w:t>诉内政大臣</w:t>
      </w:r>
      <w:r w:rsidRPr="00E168FB">
        <w:rPr>
          <w:rFonts w:eastAsia="楷体"/>
          <w:lang w:val="zh-CN"/>
        </w:rPr>
        <w:t>(</w:t>
      </w:r>
      <w:r w:rsidRPr="00E168FB">
        <w:rPr>
          <w:rFonts w:eastAsia="楷体"/>
          <w:lang w:val="zh-CN"/>
        </w:rPr>
        <w:t>应诉人</w:t>
      </w:r>
      <w:r w:rsidRPr="00E168FB">
        <w:rPr>
          <w:rFonts w:eastAsia="楷体"/>
          <w:lang w:val="zh-CN"/>
        </w:rPr>
        <w:t>)</w:t>
      </w:r>
      <w:r w:rsidRPr="00E168FB">
        <w:rPr>
          <w:rFonts w:hint="eastAsia"/>
          <w:lang w:val="zh-CN"/>
        </w:rPr>
        <w:t>案</w:t>
      </w:r>
      <w:r w:rsidRPr="00E168FB">
        <w:rPr>
          <w:lang w:val="zh-CN"/>
        </w:rPr>
        <w:t xml:space="preserve">[2004] UKHL 26[20] (Lord Bingham of </w:t>
      </w:r>
      <w:r w:rsidRPr="00E168FB">
        <w:t>Cornhill</w:t>
      </w:r>
      <w:r w:rsidRPr="00E168FB">
        <w:rPr>
          <w:lang w:val="zh-CN"/>
        </w:rPr>
        <w:t>)</w:t>
      </w:r>
      <w:r w:rsidRPr="00E168FB">
        <w:rPr>
          <w:lang w:val="zh-CN"/>
        </w:rPr>
        <w:t>；</w:t>
      </w:r>
      <w:r w:rsidRPr="00E168FB">
        <w:rPr>
          <w:rFonts w:eastAsia="楷体"/>
          <w:lang w:val="zh-CN"/>
        </w:rPr>
        <w:t>女王</w:t>
      </w:r>
      <w:r w:rsidRPr="00E168FB">
        <w:rPr>
          <w:rFonts w:eastAsia="楷体"/>
          <w:lang w:val="zh-CN"/>
        </w:rPr>
        <w:t>(</w:t>
      </w:r>
      <w:r w:rsidRPr="00E168FB">
        <w:rPr>
          <w:rFonts w:eastAsia="楷体"/>
          <w:lang w:val="zh-CN"/>
        </w:rPr>
        <w:t>应动物保护国际的申请</w:t>
      </w:r>
      <w:r w:rsidRPr="00E168FB">
        <w:rPr>
          <w:rFonts w:eastAsia="楷体"/>
          <w:lang w:val="zh-CN"/>
        </w:rPr>
        <w:t>)</w:t>
      </w:r>
      <w:r w:rsidRPr="00E168FB">
        <w:rPr>
          <w:rFonts w:eastAsia="楷体"/>
          <w:lang w:val="zh-CN"/>
        </w:rPr>
        <w:t>诉文化、媒体和体育大臣</w:t>
      </w:r>
      <w:r w:rsidRPr="00E168FB">
        <w:rPr>
          <w:rFonts w:eastAsia="楷体" w:hint="eastAsia"/>
          <w:lang w:val="zh-CN"/>
        </w:rPr>
        <w:t>案</w:t>
      </w:r>
      <w:r w:rsidRPr="00E168FB">
        <w:rPr>
          <w:lang w:val="zh-CN"/>
        </w:rPr>
        <w:t>[2008] UKHL 15</w:t>
      </w:r>
      <w:r w:rsidRPr="00E168FB">
        <w:rPr>
          <w:lang w:val="zh-CN"/>
        </w:rPr>
        <w:t>。</w:t>
      </w:r>
    </w:p>
  </w:footnote>
  <w:footnote w:id="908">
    <w:p w:rsidR="00AB00DE" w:rsidRPr="00E168FB" w:rsidRDefault="00AB00DE" w:rsidP="00B75685">
      <w:pPr>
        <w:pStyle w:val="a4"/>
      </w:pPr>
      <w:r w:rsidRPr="00E168FB">
        <w:rPr>
          <w:lang w:val="zh-CN"/>
        </w:rPr>
        <w:tab/>
      </w:r>
      <w:r w:rsidRPr="00D54A01">
        <w:rPr>
          <w:rStyle w:val="a5"/>
          <w:szCs w:val="21"/>
        </w:rPr>
        <w:footnoteRef/>
      </w:r>
      <w:r w:rsidRPr="00E168FB">
        <w:rPr>
          <w:lang w:val="zh-CN"/>
        </w:rPr>
        <w:tab/>
      </w:r>
      <w:r w:rsidRPr="00E168FB">
        <w:rPr>
          <w:lang w:val="zh-CN"/>
        </w:rPr>
        <w:t>特别是如</w:t>
      </w:r>
      <w:r w:rsidRPr="00E168FB">
        <w:t>《国际法院规约》</w:t>
      </w:r>
      <w:r w:rsidRPr="00E168FB">
        <w:rPr>
          <w:lang w:val="zh-CN"/>
        </w:rPr>
        <w:t>第</w:t>
      </w:r>
      <w:r w:rsidRPr="00E168FB">
        <w:rPr>
          <w:lang w:val="zh-CN"/>
        </w:rPr>
        <w:t>38</w:t>
      </w:r>
      <w:r w:rsidRPr="00E168FB">
        <w:rPr>
          <w:lang w:val="zh-CN"/>
        </w:rPr>
        <w:t>条第</w:t>
      </w:r>
      <w:r w:rsidRPr="00E168FB">
        <w:rPr>
          <w:lang w:val="zh-CN"/>
        </w:rPr>
        <w:t>1</w:t>
      </w:r>
      <w:r w:rsidRPr="00E168FB">
        <w:rPr>
          <w:lang w:val="zh-CN"/>
        </w:rPr>
        <w:t>款</w:t>
      </w:r>
      <w:r w:rsidRPr="00E168FB">
        <w:rPr>
          <w:lang w:val="zh-CN"/>
        </w:rPr>
        <w:t>(d)</w:t>
      </w:r>
      <w:r w:rsidRPr="00E168FB">
        <w:rPr>
          <w:lang w:val="zh-CN"/>
        </w:rPr>
        <w:t>项所述，此类判例可用作确定法律原则的资料。</w:t>
      </w:r>
    </w:p>
  </w:footnote>
  <w:footnote w:id="909">
    <w:p w:rsidR="00AB00DE" w:rsidRPr="00E168FB" w:rsidRDefault="00AB00DE" w:rsidP="00D90936">
      <w:pPr>
        <w:pStyle w:val="a4"/>
      </w:pPr>
      <w:r w:rsidRPr="00E168FB">
        <w:rPr>
          <w:lang w:val="zh-CN"/>
        </w:rPr>
        <w:tab/>
      </w:r>
      <w:r w:rsidRPr="00D54A01">
        <w:rPr>
          <w:rStyle w:val="a5"/>
          <w:szCs w:val="21"/>
        </w:rPr>
        <w:footnoteRef/>
      </w:r>
      <w:r w:rsidRPr="00E168FB">
        <w:rPr>
          <w:lang w:val="zh-CN"/>
        </w:rPr>
        <w:tab/>
      </w:r>
      <w:r w:rsidRPr="00E168FB">
        <w:t xml:space="preserve">Gardiner, </w:t>
      </w:r>
      <w:r w:rsidRPr="00E168FB">
        <w:rPr>
          <w:i/>
          <w:iCs/>
          <w:lang w:val="zh-CN"/>
        </w:rPr>
        <w:t>Treaty Interpretation</w:t>
      </w:r>
      <w:r w:rsidRPr="00E168FB">
        <w:rPr>
          <w:lang w:val="zh-CN"/>
        </w:rPr>
        <w:t xml:space="preserve"> (</w:t>
      </w:r>
      <w:r w:rsidRPr="00E168FB">
        <w:rPr>
          <w:lang w:val="zh-CN"/>
        </w:rPr>
        <w:t>见上文脚注</w:t>
      </w:r>
      <w:r w:rsidRPr="00D90936">
        <w:rPr>
          <w:rFonts w:asciiTheme="majorBidi" w:hAnsiTheme="majorBidi" w:cstheme="majorBidi"/>
        </w:rPr>
        <w:fldChar w:fldCharType="begin"/>
      </w:r>
      <w:r w:rsidRPr="00D90936">
        <w:rPr>
          <w:rFonts w:asciiTheme="majorBidi" w:hAnsiTheme="majorBidi" w:cstheme="majorBidi"/>
        </w:rPr>
        <w:instrText xml:space="preserve"> NOTEREF _Ref461971974 \h </w:instrText>
      </w:r>
      <w:r>
        <w:rPr>
          <w:rFonts w:asciiTheme="majorBidi" w:hAnsiTheme="majorBidi" w:cstheme="majorBidi"/>
        </w:rPr>
        <w:instrText xml:space="preserve"> \* MERGEFORMAT </w:instrText>
      </w:r>
      <w:r w:rsidRPr="00D90936">
        <w:rPr>
          <w:rFonts w:asciiTheme="majorBidi" w:hAnsiTheme="majorBidi" w:cstheme="majorBidi"/>
        </w:rPr>
      </w:r>
      <w:r w:rsidRPr="00D90936">
        <w:rPr>
          <w:rFonts w:asciiTheme="majorBidi" w:hAnsiTheme="majorBidi" w:cstheme="majorBidi"/>
        </w:rPr>
        <w:fldChar w:fldCharType="separate"/>
      </w:r>
      <w:r w:rsidR="00A73EB9">
        <w:rPr>
          <w:rFonts w:asciiTheme="majorBidi" w:hAnsiTheme="majorBidi" w:cstheme="majorBidi"/>
        </w:rPr>
        <w:t>392</w:t>
      </w:r>
      <w:r w:rsidRPr="00D90936">
        <w:rPr>
          <w:rFonts w:asciiTheme="majorBidi" w:hAnsiTheme="majorBidi" w:cstheme="majorBidi"/>
        </w:rPr>
        <w:fldChar w:fldCharType="end"/>
      </w:r>
      <w:r w:rsidRPr="00E168FB">
        <w:rPr>
          <w:lang w:val="zh-CN"/>
        </w:rPr>
        <w:t>)</w:t>
      </w:r>
      <w:r w:rsidRPr="00E168FB">
        <w:rPr>
          <w:lang w:val="zh-CN"/>
        </w:rPr>
        <w:t>，</w:t>
      </w:r>
      <w:r w:rsidRPr="00E168FB">
        <w:rPr>
          <w:rFonts w:hint="eastAsia"/>
          <w:lang w:val="zh-CN"/>
        </w:rPr>
        <w:t>pp.</w:t>
      </w:r>
      <w:r w:rsidRPr="00E168FB">
        <w:rPr>
          <w:lang w:val="zh-CN"/>
        </w:rPr>
        <w:t>281-282</w:t>
      </w:r>
      <w:r w:rsidRPr="00E168FB">
        <w:rPr>
          <w:lang w:val="zh-CN"/>
        </w:rPr>
        <w:t>。</w:t>
      </w:r>
    </w:p>
  </w:footnote>
  <w:footnote w:id="910">
    <w:p w:rsidR="00AB00DE" w:rsidRPr="00E168FB" w:rsidRDefault="00AB00DE" w:rsidP="00B75685">
      <w:pPr>
        <w:pStyle w:val="a4"/>
      </w:pPr>
      <w:r w:rsidRPr="00E168FB">
        <w:rPr>
          <w:lang w:val="zh-CN"/>
        </w:rPr>
        <w:tab/>
      </w:r>
      <w:r w:rsidRPr="00D54A01">
        <w:rPr>
          <w:rStyle w:val="a5"/>
          <w:szCs w:val="21"/>
        </w:rPr>
        <w:footnoteRef/>
      </w:r>
      <w:r w:rsidRPr="00E168FB">
        <w:rPr>
          <w:lang w:val="zh-CN"/>
        </w:rPr>
        <w:tab/>
      </w:r>
      <w:r w:rsidRPr="00E168FB">
        <w:rPr>
          <w:rFonts w:eastAsia="楷体"/>
          <w:lang w:val="zh-CN"/>
        </w:rPr>
        <w:t>国家在武装冲突中使用核武器的合法性，咨询意见，《</w:t>
      </w:r>
      <w:r w:rsidRPr="00E168FB">
        <w:rPr>
          <w:rFonts w:eastAsia="楷体"/>
          <w:lang w:val="zh-CN"/>
        </w:rPr>
        <w:t>1996</w:t>
      </w:r>
      <w:r w:rsidRPr="00E168FB">
        <w:rPr>
          <w:rFonts w:eastAsia="楷体"/>
          <w:lang w:val="zh-CN"/>
        </w:rPr>
        <w:t>年国际法院案例汇编》</w:t>
      </w:r>
      <w:r w:rsidRPr="00E168FB">
        <w:rPr>
          <w:lang w:val="zh-CN"/>
        </w:rPr>
        <w:t>，第</w:t>
      </w:r>
      <w:r w:rsidRPr="00E168FB">
        <w:rPr>
          <w:lang w:val="zh-CN"/>
        </w:rPr>
        <w:t>66</w:t>
      </w:r>
      <w:r w:rsidRPr="00E168FB">
        <w:rPr>
          <w:lang w:val="zh-CN"/>
        </w:rPr>
        <w:t>页</w:t>
      </w:r>
      <w:r w:rsidRPr="00E168FB">
        <w:rPr>
          <w:rFonts w:hint="eastAsia"/>
          <w:lang w:val="zh-CN"/>
        </w:rPr>
        <w:t>起</w:t>
      </w:r>
      <w:r w:rsidRPr="00E168FB">
        <w:rPr>
          <w:lang w:val="zh-CN"/>
        </w:rPr>
        <w:t>，见第</w:t>
      </w:r>
      <w:r w:rsidRPr="00E168FB">
        <w:rPr>
          <w:lang w:val="zh-CN"/>
        </w:rPr>
        <w:t>74</w:t>
      </w:r>
      <w:r w:rsidRPr="00E168FB">
        <w:rPr>
          <w:lang w:val="zh-CN"/>
        </w:rPr>
        <w:t>页，第</w:t>
      </w:r>
      <w:r w:rsidRPr="00E168FB">
        <w:rPr>
          <w:lang w:val="zh-CN"/>
        </w:rPr>
        <w:t>19</w:t>
      </w:r>
      <w:r w:rsidRPr="00E168FB">
        <w:rPr>
          <w:lang w:val="zh-CN"/>
        </w:rPr>
        <w:t>段。</w:t>
      </w:r>
    </w:p>
  </w:footnote>
  <w:footnote w:id="911">
    <w:p w:rsidR="00AB00DE" w:rsidRPr="00E168FB" w:rsidRDefault="00AB00DE" w:rsidP="00B75685">
      <w:pPr>
        <w:pStyle w:val="a4"/>
      </w:pPr>
      <w:r w:rsidRPr="00E168FB">
        <w:rPr>
          <w:lang w:val="zh-CN"/>
        </w:rPr>
        <w:tab/>
      </w:r>
      <w:r w:rsidRPr="00D54A01">
        <w:rPr>
          <w:rStyle w:val="a5"/>
          <w:szCs w:val="21"/>
        </w:rPr>
        <w:footnoteRef/>
      </w:r>
      <w:r w:rsidRPr="00E168FB">
        <w:rPr>
          <w:lang w:val="zh-CN"/>
        </w:rPr>
        <w:tab/>
      </w:r>
      <w:r w:rsidRPr="00E168FB">
        <w:rPr>
          <w:rFonts w:eastAsia="楷体"/>
          <w:lang w:val="zh-CN"/>
        </w:rPr>
        <w:t>联合国某些经费</w:t>
      </w:r>
      <w:r w:rsidRPr="00E168FB">
        <w:rPr>
          <w:rFonts w:eastAsia="楷体"/>
          <w:lang w:val="zh-CN"/>
        </w:rPr>
        <w:t>(</w:t>
      </w:r>
      <w:r w:rsidRPr="00E168FB">
        <w:rPr>
          <w:rFonts w:eastAsia="楷体"/>
          <w:lang w:val="zh-CN"/>
        </w:rPr>
        <w:t>《宪章》第十七条第二项</w:t>
      </w:r>
      <w:r w:rsidRPr="00E168FB">
        <w:rPr>
          <w:rFonts w:eastAsia="楷体"/>
          <w:lang w:val="zh-CN"/>
        </w:rPr>
        <w:t>)</w:t>
      </w:r>
      <w:r w:rsidRPr="00E168FB">
        <w:rPr>
          <w:rFonts w:eastAsia="楷体"/>
          <w:lang w:val="zh-CN"/>
        </w:rPr>
        <w:t>，咨询意见，《</w:t>
      </w:r>
      <w:r w:rsidRPr="00E168FB">
        <w:rPr>
          <w:rFonts w:eastAsia="楷体"/>
          <w:lang w:val="zh-CN"/>
        </w:rPr>
        <w:t>1962</w:t>
      </w:r>
      <w:r w:rsidRPr="00E168FB">
        <w:rPr>
          <w:rFonts w:eastAsia="楷体"/>
          <w:lang w:val="zh-CN"/>
        </w:rPr>
        <w:t>年国际法院案例汇编》</w:t>
      </w:r>
      <w:r w:rsidRPr="00E168FB">
        <w:rPr>
          <w:lang w:val="zh-CN"/>
        </w:rPr>
        <w:t>第</w:t>
      </w:r>
      <w:r w:rsidRPr="00E168FB">
        <w:rPr>
          <w:lang w:val="zh-CN"/>
        </w:rPr>
        <w:t>151</w:t>
      </w:r>
      <w:r w:rsidRPr="00E168FB">
        <w:rPr>
          <w:lang w:val="zh-CN"/>
        </w:rPr>
        <w:t>页</w:t>
      </w:r>
      <w:r w:rsidRPr="00E168FB">
        <w:rPr>
          <w:rFonts w:hint="eastAsia"/>
          <w:lang w:val="zh-CN"/>
        </w:rPr>
        <w:t>起</w:t>
      </w:r>
      <w:r w:rsidRPr="00E168FB">
        <w:rPr>
          <w:lang w:val="zh-CN"/>
        </w:rPr>
        <w:t>，见</w:t>
      </w:r>
      <w:r w:rsidRPr="00E168FB">
        <w:rPr>
          <w:lang w:val="zh-CN"/>
        </w:rPr>
        <w:t>157</w:t>
      </w:r>
      <w:r w:rsidRPr="00E168FB">
        <w:rPr>
          <w:lang w:val="zh-CN"/>
        </w:rPr>
        <w:t>页。</w:t>
      </w:r>
    </w:p>
  </w:footnote>
  <w:footnote w:id="912">
    <w:p w:rsidR="00AB00DE" w:rsidRPr="00E168FB" w:rsidRDefault="00AB00DE" w:rsidP="00B75685">
      <w:pPr>
        <w:pStyle w:val="a4"/>
      </w:pPr>
      <w:r w:rsidRPr="00E168FB">
        <w:rPr>
          <w:lang w:val="zh-CN"/>
        </w:rPr>
        <w:tab/>
      </w:r>
      <w:r w:rsidRPr="00D54A01">
        <w:rPr>
          <w:rStyle w:val="a5"/>
          <w:szCs w:val="21"/>
        </w:rPr>
        <w:footnoteRef/>
      </w:r>
      <w:r w:rsidRPr="00E168FB">
        <w:rPr>
          <w:lang w:val="zh-CN"/>
        </w:rPr>
        <w:tab/>
      </w:r>
      <w:r w:rsidRPr="00E168FB">
        <w:rPr>
          <w:rFonts w:eastAsia="楷体"/>
          <w:lang w:val="zh-CN"/>
        </w:rPr>
        <w:t>国家在武装冲突中使用核武器的合法性，咨询意见，《</w:t>
      </w:r>
      <w:r w:rsidRPr="00E168FB">
        <w:rPr>
          <w:rFonts w:eastAsia="楷体"/>
          <w:lang w:val="zh-CN"/>
        </w:rPr>
        <w:t>1996</w:t>
      </w:r>
      <w:r w:rsidRPr="00E168FB">
        <w:rPr>
          <w:rFonts w:eastAsia="楷体"/>
          <w:lang w:val="zh-CN"/>
        </w:rPr>
        <w:t>年国际法院案例汇编》</w:t>
      </w:r>
      <w:r w:rsidRPr="00E168FB">
        <w:rPr>
          <w:lang w:val="zh-CN"/>
        </w:rPr>
        <w:t>，第</w:t>
      </w:r>
      <w:r w:rsidRPr="00E168FB">
        <w:rPr>
          <w:lang w:val="zh-CN"/>
        </w:rPr>
        <w:t>66</w:t>
      </w:r>
      <w:r w:rsidRPr="00E168FB">
        <w:rPr>
          <w:lang w:val="zh-CN"/>
        </w:rPr>
        <w:t>页</w:t>
      </w:r>
      <w:r w:rsidRPr="00E168FB">
        <w:rPr>
          <w:rFonts w:hint="eastAsia"/>
          <w:lang w:val="zh-CN"/>
        </w:rPr>
        <w:t>起</w:t>
      </w:r>
      <w:r w:rsidRPr="00E168FB">
        <w:rPr>
          <w:lang w:val="zh-CN"/>
        </w:rPr>
        <w:t>，见第</w:t>
      </w:r>
      <w:r w:rsidRPr="00E168FB">
        <w:rPr>
          <w:lang w:val="zh-CN"/>
        </w:rPr>
        <w:t>75</w:t>
      </w:r>
      <w:r w:rsidRPr="00E168FB">
        <w:rPr>
          <w:lang w:val="zh-CN"/>
        </w:rPr>
        <w:t>页，第</w:t>
      </w:r>
      <w:r w:rsidRPr="00E168FB">
        <w:rPr>
          <w:lang w:val="zh-CN"/>
        </w:rPr>
        <w:t>19</w:t>
      </w:r>
      <w:r w:rsidRPr="00E168FB">
        <w:rPr>
          <w:lang w:val="zh-CN"/>
        </w:rPr>
        <w:t>段。</w:t>
      </w:r>
    </w:p>
  </w:footnote>
  <w:footnote w:id="913">
    <w:p w:rsidR="00AB00DE" w:rsidRPr="00E168FB" w:rsidRDefault="00AB00DE" w:rsidP="00B75685">
      <w:pPr>
        <w:pStyle w:val="a4"/>
      </w:pPr>
      <w:r w:rsidRPr="00E168FB">
        <w:rPr>
          <w:lang w:val="zh-CN"/>
        </w:rPr>
        <w:tab/>
      </w:r>
      <w:r w:rsidRPr="00D54A01">
        <w:rPr>
          <w:rStyle w:val="a5"/>
          <w:szCs w:val="21"/>
        </w:rPr>
        <w:footnoteRef/>
      </w:r>
      <w:r w:rsidRPr="00E168FB">
        <w:rPr>
          <w:lang w:val="zh-CN"/>
        </w:rPr>
        <w:tab/>
      </w:r>
      <w:r w:rsidRPr="00E168FB">
        <w:rPr>
          <w:rFonts w:eastAsia="楷体"/>
          <w:lang w:val="zh-CN"/>
        </w:rPr>
        <w:t>同上</w:t>
      </w:r>
      <w:r w:rsidRPr="00E168FB">
        <w:rPr>
          <w:lang w:val="zh-CN"/>
        </w:rPr>
        <w:t>。</w:t>
      </w:r>
    </w:p>
  </w:footnote>
  <w:footnote w:id="914">
    <w:p w:rsidR="00AB00DE" w:rsidRPr="00E168FB" w:rsidRDefault="00AB00DE" w:rsidP="00B75685">
      <w:pPr>
        <w:pStyle w:val="a4"/>
      </w:pPr>
      <w:r w:rsidRPr="00E168FB">
        <w:rPr>
          <w:lang w:val="zh-CN"/>
        </w:rPr>
        <w:tab/>
      </w:r>
      <w:r w:rsidRPr="00D54A01">
        <w:rPr>
          <w:rStyle w:val="a5"/>
          <w:szCs w:val="21"/>
        </w:rPr>
        <w:footnoteRef/>
      </w:r>
      <w:r w:rsidRPr="00E168FB">
        <w:rPr>
          <w:lang w:val="zh-CN"/>
        </w:rPr>
        <w:tab/>
      </w:r>
      <w:r w:rsidRPr="00E168FB">
        <w:rPr>
          <w:rFonts w:eastAsia="楷体"/>
          <w:lang w:val="zh-CN"/>
        </w:rPr>
        <w:t>同上</w:t>
      </w:r>
      <w:r w:rsidRPr="00E168FB">
        <w:rPr>
          <w:lang w:val="zh-CN"/>
        </w:rPr>
        <w:t>。</w:t>
      </w:r>
    </w:p>
  </w:footnote>
  <w:footnote w:id="915">
    <w:p w:rsidR="00AB00DE" w:rsidRPr="00E168FB" w:rsidRDefault="00AB00DE" w:rsidP="00B75685">
      <w:pPr>
        <w:pStyle w:val="a4"/>
      </w:pPr>
      <w:r w:rsidRPr="00E168FB">
        <w:rPr>
          <w:lang w:val="zh-CN"/>
        </w:rPr>
        <w:tab/>
      </w:r>
      <w:r w:rsidRPr="00D54A01">
        <w:rPr>
          <w:rStyle w:val="a5"/>
          <w:szCs w:val="21"/>
        </w:rPr>
        <w:footnoteRef/>
      </w:r>
      <w:r w:rsidRPr="00E168FB">
        <w:rPr>
          <w:lang w:val="zh-CN"/>
        </w:rPr>
        <w:tab/>
      </w:r>
      <w:r w:rsidRPr="00E168FB">
        <w:rPr>
          <w:lang w:val="zh-CN"/>
        </w:rPr>
        <w:t>见</w:t>
      </w:r>
      <w:r w:rsidRPr="00E168FB">
        <w:t>《关于开发乍得湖流域的公约和章程》</w:t>
      </w:r>
      <w:r w:rsidRPr="00E168FB">
        <w:rPr>
          <w:lang w:val="zh-CN"/>
        </w:rPr>
        <w:t>(</w:t>
      </w:r>
      <w:r w:rsidRPr="00E168FB">
        <w:rPr>
          <w:lang w:val="zh-CN"/>
        </w:rPr>
        <w:t>《</w:t>
      </w:r>
      <w:r w:rsidRPr="00E168FB">
        <w:rPr>
          <w:lang w:val="zh-CN"/>
        </w:rPr>
        <w:t>1964</w:t>
      </w:r>
      <w:r w:rsidRPr="00E168FB">
        <w:rPr>
          <w:lang w:val="zh-CN"/>
        </w:rPr>
        <w:t>年拉密堡条约》</w:t>
      </w:r>
      <w:r w:rsidRPr="00E168FB">
        <w:rPr>
          <w:lang w:val="zh-CN"/>
        </w:rPr>
        <w:t>)</w:t>
      </w:r>
      <w:r w:rsidRPr="00E168FB">
        <w:rPr>
          <w:lang w:val="zh-CN"/>
        </w:rPr>
        <w:t>第十七条，</w:t>
      </w:r>
      <w:r w:rsidRPr="00E168FB">
        <w:rPr>
          <w:i/>
          <w:iCs/>
          <w:lang w:val="zh-CN"/>
        </w:rPr>
        <w:t xml:space="preserve">Heidelberg Journal of International Law, </w:t>
      </w:r>
      <w:r w:rsidRPr="00E168FB">
        <w:rPr>
          <w:lang w:val="zh-CN"/>
        </w:rPr>
        <w:t>vol. 34 (1974)</w:t>
      </w:r>
      <w:r w:rsidRPr="00E168FB">
        <w:rPr>
          <w:lang w:val="zh-CN"/>
        </w:rPr>
        <w:t>，</w:t>
      </w:r>
      <w:r w:rsidRPr="00E168FB">
        <w:rPr>
          <w:rFonts w:hint="eastAsia"/>
          <w:lang w:val="zh-CN"/>
        </w:rPr>
        <w:t>见第</w:t>
      </w:r>
      <w:r w:rsidRPr="00E168FB">
        <w:rPr>
          <w:lang w:val="zh-CN"/>
        </w:rPr>
        <w:t>80</w:t>
      </w:r>
      <w:r w:rsidRPr="00E168FB">
        <w:rPr>
          <w:rFonts w:hint="eastAsia"/>
          <w:lang w:val="zh-CN"/>
        </w:rPr>
        <w:t>页；一般参考：</w:t>
      </w:r>
      <w:r w:rsidRPr="00E168FB">
        <w:rPr>
          <w:lang w:val="zh-CN"/>
        </w:rPr>
        <w:t>P.H. Sand,</w:t>
      </w:r>
      <w:r w:rsidRPr="00E168FB">
        <w:rPr>
          <w:rFonts w:hint="eastAsia"/>
          <w:lang w:val="zh-CN"/>
        </w:rPr>
        <w:t>“</w:t>
      </w:r>
      <w:r w:rsidRPr="00E168FB">
        <w:rPr>
          <w:lang w:val="zh-CN"/>
        </w:rPr>
        <w:t>Development of International Water Law in the Lake Chad Basin</w:t>
      </w:r>
      <w:r w:rsidRPr="00E168FB">
        <w:rPr>
          <w:rFonts w:hint="eastAsia"/>
          <w:lang w:val="zh-CN"/>
        </w:rPr>
        <w:t>”</w:t>
      </w:r>
      <w:r w:rsidRPr="00E168FB">
        <w:rPr>
          <w:lang w:val="zh-CN"/>
        </w:rPr>
        <w:t>，</w:t>
      </w:r>
      <w:r w:rsidRPr="00E168FB">
        <w:rPr>
          <w:rFonts w:eastAsia="楷体" w:hint="eastAsia"/>
          <w:lang w:val="zh-CN"/>
        </w:rPr>
        <w:t>同上</w:t>
      </w:r>
      <w:r w:rsidRPr="00E168FB">
        <w:rPr>
          <w:rFonts w:ascii="Time New Roman" w:hAnsi="Time New Roman" w:hint="eastAsia"/>
          <w:lang w:val="zh-CN"/>
        </w:rPr>
        <w:t>，</w:t>
      </w:r>
      <w:r w:rsidRPr="00E168FB">
        <w:rPr>
          <w:lang w:val="zh-CN"/>
        </w:rPr>
        <w:t>pp. 52-76</w:t>
      </w:r>
      <w:r w:rsidRPr="00E168FB">
        <w:rPr>
          <w:lang w:val="zh-CN"/>
        </w:rPr>
        <w:t>。</w:t>
      </w:r>
    </w:p>
  </w:footnote>
  <w:footnote w:id="916">
    <w:p w:rsidR="00AB00DE" w:rsidRPr="00E168FB" w:rsidRDefault="00AB00DE" w:rsidP="00B75685">
      <w:pPr>
        <w:pStyle w:val="a4"/>
      </w:pPr>
      <w:r w:rsidRPr="00E168FB">
        <w:rPr>
          <w:lang w:val="zh-CN"/>
        </w:rPr>
        <w:tab/>
      </w:r>
      <w:r w:rsidRPr="00D54A01">
        <w:rPr>
          <w:rStyle w:val="a5"/>
          <w:szCs w:val="21"/>
        </w:rPr>
        <w:footnoteRef/>
      </w:r>
      <w:r w:rsidRPr="00E168FB">
        <w:rPr>
          <w:lang w:val="zh-CN"/>
        </w:rPr>
        <w:tab/>
      </w:r>
      <w:r w:rsidRPr="00E168FB">
        <w:rPr>
          <w:rFonts w:eastAsia="楷体"/>
          <w:lang w:val="zh-CN"/>
        </w:rPr>
        <w:t>喀麦隆和尼日利亚间陆地和海洋疆界</w:t>
      </w:r>
      <w:r w:rsidRPr="00E168FB">
        <w:rPr>
          <w:rFonts w:eastAsia="楷体" w:hint="eastAsia"/>
          <w:lang w:val="zh-CN"/>
        </w:rPr>
        <w:t>案</w:t>
      </w:r>
      <w:r w:rsidRPr="00E168FB">
        <w:rPr>
          <w:lang w:val="zh-CN"/>
        </w:rPr>
        <w:t>，</w:t>
      </w:r>
      <w:r w:rsidRPr="00E168FB">
        <w:rPr>
          <w:rFonts w:eastAsia="楷体"/>
          <w:lang w:val="zh-CN"/>
        </w:rPr>
        <w:t>初步反对意见，判决，《</w:t>
      </w:r>
      <w:r w:rsidRPr="00E168FB">
        <w:rPr>
          <w:rFonts w:eastAsia="楷体"/>
          <w:lang w:val="zh-CN"/>
        </w:rPr>
        <w:t>1998</w:t>
      </w:r>
      <w:r w:rsidRPr="00E168FB">
        <w:rPr>
          <w:rFonts w:eastAsia="楷体"/>
          <w:lang w:val="zh-CN"/>
        </w:rPr>
        <w:t>年国际法院案例汇编》</w:t>
      </w:r>
      <w:r w:rsidRPr="00E168FB">
        <w:rPr>
          <w:lang w:val="zh-CN"/>
        </w:rPr>
        <w:t>，第</w:t>
      </w:r>
      <w:r w:rsidRPr="00E168FB">
        <w:rPr>
          <w:lang w:val="zh-CN"/>
        </w:rPr>
        <w:t>275</w:t>
      </w:r>
      <w:r w:rsidRPr="00E168FB">
        <w:rPr>
          <w:lang w:val="zh-CN"/>
        </w:rPr>
        <w:t>页</w:t>
      </w:r>
      <w:r w:rsidRPr="00E168FB">
        <w:rPr>
          <w:rFonts w:hint="eastAsia"/>
          <w:lang w:val="zh-CN"/>
        </w:rPr>
        <w:t>起</w:t>
      </w:r>
      <w:r w:rsidRPr="00E168FB">
        <w:rPr>
          <w:lang w:val="zh-CN"/>
        </w:rPr>
        <w:t>，见第</w:t>
      </w:r>
      <w:r w:rsidRPr="00E168FB">
        <w:rPr>
          <w:lang w:val="zh-CN"/>
        </w:rPr>
        <w:t>305</w:t>
      </w:r>
      <w:r w:rsidRPr="00E168FB">
        <w:rPr>
          <w:lang w:val="zh-CN"/>
        </w:rPr>
        <w:t>页，</w:t>
      </w:r>
      <w:r w:rsidRPr="00E168FB">
        <w:t>第</w:t>
      </w:r>
      <w:r w:rsidRPr="00E168FB">
        <w:t>65</w:t>
      </w:r>
      <w:r w:rsidRPr="00E168FB">
        <w:rPr>
          <w:lang w:val="zh-CN"/>
        </w:rPr>
        <w:t>段。</w:t>
      </w:r>
    </w:p>
  </w:footnote>
  <w:footnote w:id="917">
    <w:p w:rsidR="00AB00DE" w:rsidRPr="00E168FB" w:rsidRDefault="00AB00DE" w:rsidP="00B75685">
      <w:pPr>
        <w:pStyle w:val="a4"/>
      </w:pPr>
      <w:r w:rsidRPr="00E168FB">
        <w:rPr>
          <w:lang w:val="zh-CN"/>
        </w:rPr>
        <w:tab/>
      </w:r>
      <w:r w:rsidRPr="00D54A01">
        <w:rPr>
          <w:rStyle w:val="a5"/>
          <w:szCs w:val="21"/>
        </w:rPr>
        <w:footnoteRef/>
      </w:r>
      <w:r w:rsidRPr="00E168FB">
        <w:rPr>
          <w:lang w:val="zh-CN"/>
        </w:rPr>
        <w:tab/>
      </w:r>
      <w:r w:rsidRPr="00E168FB">
        <w:rPr>
          <w:rFonts w:eastAsia="楷体"/>
          <w:lang w:val="zh-CN"/>
        </w:rPr>
        <w:t>同上</w:t>
      </w:r>
      <w:r w:rsidRPr="00E168FB">
        <w:rPr>
          <w:lang w:val="zh-CN"/>
        </w:rPr>
        <w:t>，见第</w:t>
      </w:r>
      <w:r w:rsidRPr="00E168FB">
        <w:rPr>
          <w:lang w:val="zh-CN"/>
        </w:rPr>
        <w:t>306-</w:t>
      </w:r>
      <w:r w:rsidRPr="00E168FB">
        <w:t>307</w:t>
      </w:r>
      <w:r w:rsidRPr="00E168FB">
        <w:rPr>
          <w:lang w:val="zh-CN"/>
        </w:rPr>
        <w:t>页，第</w:t>
      </w:r>
      <w:r w:rsidRPr="00E168FB">
        <w:rPr>
          <w:lang w:val="zh-CN"/>
        </w:rPr>
        <w:t>67</w:t>
      </w:r>
      <w:r w:rsidRPr="00E168FB">
        <w:rPr>
          <w:lang w:val="zh-CN"/>
        </w:rPr>
        <w:t>段。</w:t>
      </w:r>
    </w:p>
  </w:footnote>
  <w:footnote w:id="918">
    <w:p w:rsidR="00AB00DE" w:rsidRPr="00E168FB" w:rsidRDefault="00AB00DE" w:rsidP="00B75685">
      <w:pPr>
        <w:pStyle w:val="a4"/>
      </w:pPr>
      <w:r w:rsidRPr="00E168FB">
        <w:rPr>
          <w:lang w:val="zh-CN"/>
        </w:rPr>
        <w:tab/>
      </w:r>
      <w:r w:rsidRPr="00D54A01">
        <w:rPr>
          <w:rStyle w:val="a5"/>
          <w:szCs w:val="21"/>
        </w:rPr>
        <w:footnoteRef/>
      </w:r>
      <w:r w:rsidRPr="00E168FB">
        <w:rPr>
          <w:lang w:val="zh-CN"/>
        </w:rPr>
        <w:tab/>
      </w:r>
      <w:r w:rsidRPr="00E168FB">
        <w:rPr>
          <w:rFonts w:eastAsia="楷体"/>
          <w:lang w:val="zh-CN"/>
        </w:rPr>
        <w:t>南极捕鲸</w:t>
      </w:r>
      <w:r w:rsidRPr="00E168FB">
        <w:rPr>
          <w:rFonts w:eastAsia="楷体"/>
          <w:lang w:val="zh-CN"/>
        </w:rPr>
        <w:t>(</w:t>
      </w:r>
      <w:r w:rsidRPr="00E168FB">
        <w:rPr>
          <w:rFonts w:eastAsia="楷体"/>
          <w:lang w:val="zh-CN"/>
        </w:rPr>
        <w:t>澳大利亚诉日本：新西兰参与</w:t>
      </w:r>
      <w:r w:rsidRPr="00E168FB">
        <w:rPr>
          <w:rFonts w:eastAsia="楷体"/>
          <w:lang w:val="zh-CN"/>
        </w:rPr>
        <w:t>)</w:t>
      </w:r>
      <w:r w:rsidRPr="00E168FB">
        <w:rPr>
          <w:rFonts w:eastAsia="楷体"/>
          <w:lang w:val="zh-CN"/>
        </w:rPr>
        <w:t>案，判决，《</w:t>
      </w:r>
      <w:r w:rsidRPr="00E168FB">
        <w:rPr>
          <w:rFonts w:eastAsia="楷体"/>
          <w:lang w:val="zh-CN"/>
        </w:rPr>
        <w:t>2014</w:t>
      </w:r>
      <w:r w:rsidRPr="00E168FB">
        <w:rPr>
          <w:rFonts w:eastAsia="楷体"/>
          <w:lang w:val="zh-CN"/>
        </w:rPr>
        <w:t>年国际法院案例汇编》</w:t>
      </w:r>
      <w:r w:rsidRPr="00E168FB">
        <w:rPr>
          <w:lang w:val="zh-CN"/>
        </w:rPr>
        <w:t>，第</w:t>
      </w:r>
      <w:r w:rsidRPr="00E168FB">
        <w:rPr>
          <w:lang w:val="zh-CN"/>
        </w:rPr>
        <w:t>226</w:t>
      </w:r>
      <w:r w:rsidRPr="00E168FB">
        <w:rPr>
          <w:lang w:val="zh-CN"/>
        </w:rPr>
        <w:t>页；另见下文脚注</w:t>
      </w:r>
      <w:r w:rsidRPr="00E168FB">
        <w:rPr>
          <w:rFonts w:hint="eastAsia"/>
          <w:lang w:val="zh-CN"/>
        </w:rPr>
        <w:t>944</w:t>
      </w:r>
      <w:r w:rsidRPr="00E168FB">
        <w:rPr>
          <w:lang w:val="zh-CN"/>
        </w:rPr>
        <w:t>和随附文本。</w:t>
      </w:r>
    </w:p>
  </w:footnote>
  <w:footnote w:id="919">
    <w:p w:rsidR="00AB00DE" w:rsidRPr="00E168FB" w:rsidRDefault="00AB00DE" w:rsidP="00B75685">
      <w:pPr>
        <w:pStyle w:val="a4"/>
      </w:pPr>
      <w:r w:rsidRPr="00E168FB">
        <w:rPr>
          <w:lang w:val="zh-CN"/>
        </w:rPr>
        <w:tab/>
      </w:r>
      <w:r w:rsidRPr="00D54A01">
        <w:rPr>
          <w:rStyle w:val="a5"/>
          <w:szCs w:val="21"/>
        </w:rPr>
        <w:footnoteRef/>
      </w:r>
      <w:r w:rsidRPr="00E168FB">
        <w:rPr>
          <w:lang w:val="zh-CN"/>
        </w:rPr>
        <w:tab/>
      </w:r>
      <w:r w:rsidRPr="00E168FB">
        <w:rPr>
          <w:lang w:val="zh-CN"/>
        </w:rPr>
        <w:t>见</w:t>
      </w:r>
      <w:r w:rsidRPr="00E168FB">
        <w:rPr>
          <w:lang w:val="zh-CN"/>
        </w:rPr>
        <w:t>1969</w:t>
      </w:r>
      <w:r w:rsidRPr="00E168FB">
        <w:rPr>
          <w:lang w:val="zh-CN"/>
        </w:rPr>
        <w:t>年</w:t>
      </w:r>
      <w:r w:rsidRPr="00E168FB">
        <w:t>《维也纳公约》</w:t>
      </w:r>
      <w:r w:rsidRPr="00E168FB">
        <w:rPr>
          <w:lang w:val="zh-CN"/>
        </w:rPr>
        <w:t>第三十九条至第四十一条。</w:t>
      </w:r>
    </w:p>
  </w:footnote>
  <w:footnote w:id="920">
    <w:p w:rsidR="00AB00DE" w:rsidRPr="00E168FB" w:rsidRDefault="00AB00DE" w:rsidP="00B75685">
      <w:pPr>
        <w:pStyle w:val="a4"/>
      </w:pPr>
      <w:r w:rsidRPr="00E168FB">
        <w:rPr>
          <w:lang w:val="zh-CN"/>
        </w:rPr>
        <w:tab/>
      </w:r>
      <w:r w:rsidRPr="00D54A01">
        <w:rPr>
          <w:rStyle w:val="a5"/>
          <w:szCs w:val="21"/>
        </w:rPr>
        <w:footnoteRef/>
      </w:r>
      <w:r w:rsidRPr="00E168FB">
        <w:rPr>
          <w:lang w:val="zh-CN"/>
        </w:rPr>
        <w:tab/>
      </w:r>
      <w:r w:rsidRPr="00E168FB">
        <w:rPr>
          <w:lang w:val="zh-CN"/>
        </w:rPr>
        <w:t>见</w:t>
      </w:r>
      <w:r w:rsidRPr="00E168FB">
        <w:t>马德里欧洲理事会</w:t>
      </w:r>
      <w:r w:rsidRPr="00E168FB">
        <w:rPr>
          <w:lang w:val="zh-CN"/>
        </w:rPr>
        <w:t>，主席的结论，欧洲联盟公报，第</w:t>
      </w:r>
      <w:r w:rsidRPr="00E168FB">
        <w:rPr>
          <w:lang w:val="zh-CN"/>
        </w:rPr>
        <w:t>12</w:t>
      </w:r>
      <w:r w:rsidRPr="00E168FB">
        <w:rPr>
          <w:lang w:val="zh-CN"/>
        </w:rPr>
        <w:t>号</w:t>
      </w:r>
      <w:r w:rsidRPr="00E168FB">
        <w:rPr>
          <w:lang w:val="zh-CN"/>
        </w:rPr>
        <w:t>(1995</w:t>
      </w:r>
      <w:r w:rsidRPr="00E168FB">
        <w:rPr>
          <w:lang w:val="zh-CN"/>
        </w:rPr>
        <w:t>年</w:t>
      </w:r>
      <w:r w:rsidRPr="00E168FB">
        <w:rPr>
          <w:lang w:val="zh-CN"/>
        </w:rPr>
        <w:t>)</w:t>
      </w:r>
      <w:r w:rsidRPr="00E168FB">
        <w:rPr>
          <w:lang w:val="zh-CN"/>
        </w:rPr>
        <w:t>，第</w:t>
      </w:r>
      <w:r w:rsidRPr="00E168FB">
        <w:rPr>
          <w:lang w:val="zh-CN"/>
        </w:rPr>
        <w:t>9</w:t>
      </w:r>
      <w:r w:rsidRPr="00E168FB">
        <w:rPr>
          <w:lang w:val="zh-CN"/>
        </w:rPr>
        <w:t>页起，见第</w:t>
      </w:r>
      <w:r w:rsidRPr="00E168FB">
        <w:rPr>
          <w:lang w:val="zh-CN"/>
        </w:rPr>
        <w:t>10</w:t>
      </w:r>
      <w:r w:rsidRPr="00E168FB">
        <w:rPr>
          <w:lang w:val="zh-CN"/>
        </w:rPr>
        <w:t>页，第</w:t>
      </w:r>
      <w:r w:rsidRPr="00E168FB">
        <w:rPr>
          <w:lang w:val="zh-CN"/>
        </w:rPr>
        <w:t>I.A.I</w:t>
      </w:r>
      <w:r w:rsidRPr="00E168FB">
        <w:rPr>
          <w:lang w:val="zh-CN"/>
        </w:rPr>
        <w:t>节</w:t>
      </w:r>
      <w:r w:rsidRPr="00E168FB">
        <w:rPr>
          <w:lang w:val="zh-CN"/>
        </w:rPr>
        <w:t>)</w:t>
      </w:r>
      <w:r w:rsidRPr="00E168FB">
        <w:rPr>
          <w:lang w:val="zh-CN"/>
        </w:rPr>
        <w:t>。</w:t>
      </w:r>
    </w:p>
  </w:footnote>
  <w:footnote w:id="921">
    <w:p w:rsidR="00AB00DE" w:rsidRPr="00E168FB" w:rsidRDefault="00AB00DE" w:rsidP="00B75685">
      <w:pPr>
        <w:pStyle w:val="a4"/>
      </w:pPr>
      <w:r w:rsidRPr="00E168FB">
        <w:rPr>
          <w:lang w:val="zh-CN"/>
        </w:rPr>
        <w:tab/>
      </w:r>
      <w:r w:rsidRPr="00D54A01">
        <w:rPr>
          <w:rStyle w:val="a5"/>
          <w:szCs w:val="21"/>
        </w:rPr>
        <w:footnoteRef/>
      </w:r>
      <w:r w:rsidRPr="00E168FB">
        <w:rPr>
          <w:lang w:val="zh-CN"/>
        </w:rPr>
        <w:tab/>
      </w:r>
      <w:r w:rsidRPr="00E168FB">
        <w:rPr>
          <w:rFonts w:eastAsia="楷体"/>
          <w:lang w:val="zh-CN"/>
        </w:rPr>
        <w:t>同上</w:t>
      </w:r>
      <w:r w:rsidRPr="00E168FB">
        <w:rPr>
          <w:lang w:val="zh-CN"/>
        </w:rPr>
        <w:t>。</w:t>
      </w:r>
    </w:p>
  </w:footnote>
  <w:footnote w:id="922">
    <w:p w:rsidR="00AB00DE" w:rsidRPr="00E168FB" w:rsidRDefault="00AB00DE" w:rsidP="00560424">
      <w:pPr>
        <w:pStyle w:val="a4"/>
      </w:pPr>
      <w:r w:rsidRPr="00E168FB">
        <w:rPr>
          <w:lang w:val="zh-CN"/>
        </w:rPr>
        <w:tab/>
      </w:r>
      <w:r w:rsidRPr="00D54A01">
        <w:rPr>
          <w:rStyle w:val="a5"/>
          <w:szCs w:val="21"/>
        </w:rPr>
        <w:footnoteRef/>
      </w:r>
      <w:r w:rsidRPr="00E168FB">
        <w:rPr>
          <w:lang w:val="zh-CN"/>
        </w:rPr>
        <w:tab/>
      </w:r>
      <w:r w:rsidRPr="00E168FB">
        <w:rPr>
          <w:lang w:val="zh-CN"/>
        </w:rPr>
        <w:t>见</w:t>
      </w:r>
      <w:r w:rsidRPr="00E168FB">
        <w:rPr>
          <w:lang w:val="zh-CN"/>
        </w:rPr>
        <w:t xml:space="preserve">Aust, </w:t>
      </w:r>
      <w:r w:rsidRPr="00E168FB">
        <w:rPr>
          <w:i/>
        </w:rPr>
        <w:t>Modern Treaty Law and Practice</w:t>
      </w:r>
      <w:r w:rsidRPr="00E168FB">
        <w:rPr>
          <w:lang w:val="zh-CN"/>
        </w:rPr>
        <w:t>(</w:t>
      </w:r>
      <w:r w:rsidRPr="00E168FB">
        <w:rPr>
          <w:lang w:val="zh-CN"/>
        </w:rPr>
        <w:t>上文脚注</w:t>
      </w:r>
      <w:r>
        <w:fldChar w:fldCharType="begin"/>
      </w:r>
      <w:r>
        <w:instrText xml:space="preserve"> </w:instrText>
      </w:r>
      <w:r>
        <w:rPr>
          <w:rFonts w:hint="eastAsia"/>
        </w:rPr>
        <w:instrText>NOTEREF _Ref461972435 \h</w:instrText>
      </w:r>
      <w:r>
        <w:instrText xml:space="preserve"> </w:instrText>
      </w:r>
      <w:r>
        <w:fldChar w:fldCharType="separate"/>
      </w:r>
      <w:r w:rsidR="00A73EB9">
        <w:t>525</w:t>
      </w:r>
      <w:r>
        <w:fldChar w:fldCharType="end"/>
      </w:r>
      <w:r w:rsidRPr="00E168FB">
        <w:rPr>
          <w:lang w:val="zh-CN"/>
        </w:rPr>
        <w:t>)</w:t>
      </w:r>
      <w:r w:rsidRPr="00E168FB">
        <w:rPr>
          <w:lang w:val="zh-CN"/>
        </w:rPr>
        <w:t>，</w:t>
      </w:r>
      <w:r w:rsidRPr="00E168FB">
        <w:rPr>
          <w:lang w:val="zh-CN"/>
        </w:rPr>
        <w:t>p. 215</w:t>
      </w:r>
      <w:r w:rsidRPr="00E168FB">
        <w:rPr>
          <w:lang w:val="zh-CN"/>
        </w:rPr>
        <w:t>；</w:t>
      </w:r>
      <w:r w:rsidRPr="00E168FB">
        <w:rPr>
          <w:lang w:val="zh-CN"/>
        </w:rPr>
        <w:t>Hafner,</w:t>
      </w:r>
      <w:r w:rsidRPr="00E168FB">
        <w:rPr>
          <w:rFonts w:hint="eastAsia"/>
          <w:lang w:val="zh-CN"/>
        </w:rPr>
        <w:t>“</w:t>
      </w:r>
      <w:r w:rsidRPr="00E168FB">
        <w:t>Subsequent agreements and practice</w:t>
      </w:r>
      <w:r w:rsidRPr="00E168FB">
        <w:rPr>
          <w:lang w:val="zh-CN"/>
        </w:rPr>
        <w:t>…</w:t>
      </w:r>
      <w:r w:rsidRPr="00E168FB">
        <w:rPr>
          <w:rFonts w:hint="eastAsia"/>
          <w:lang w:val="zh-CN"/>
        </w:rPr>
        <w:t>”</w:t>
      </w:r>
      <w:r w:rsidRPr="00E168FB">
        <w:rPr>
          <w:lang w:val="zh-CN"/>
        </w:rPr>
        <w:t>(</w:t>
      </w:r>
      <w:r w:rsidRPr="00E168FB">
        <w:rPr>
          <w:lang w:val="zh-CN"/>
        </w:rPr>
        <w:t>见上文上文脚注</w:t>
      </w:r>
      <w:r>
        <w:rPr>
          <w:lang w:val="zh-CN"/>
        </w:rPr>
        <w:fldChar w:fldCharType="begin"/>
      </w:r>
      <w:r>
        <w:rPr>
          <w:lang w:val="zh-CN"/>
        </w:rPr>
        <w:instrText xml:space="preserve"> NOTEREF _Ref461976124 \h </w:instrText>
      </w:r>
      <w:r>
        <w:rPr>
          <w:lang w:val="zh-CN"/>
        </w:rPr>
      </w:r>
      <w:r>
        <w:rPr>
          <w:lang w:val="zh-CN"/>
        </w:rPr>
        <w:fldChar w:fldCharType="separate"/>
      </w:r>
      <w:r w:rsidR="00A73EB9">
        <w:rPr>
          <w:lang w:val="zh-CN"/>
        </w:rPr>
        <w:t>655</w:t>
      </w:r>
      <w:r>
        <w:rPr>
          <w:lang w:val="zh-CN"/>
        </w:rPr>
        <w:fldChar w:fldCharType="end"/>
      </w:r>
      <w:r w:rsidRPr="00E168FB">
        <w:rPr>
          <w:lang w:val="zh-CN"/>
        </w:rPr>
        <w:t>)</w:t>
      </w:r>
      <w:r w:rsidRPr="00E168FB">
        <w:rPr>
          <w:lang w:val="zh-CN"/>
        </w:rPr>
        <w:t>，</w:t>
      </w:r>
      <w:r w:rsidRPr="00E168FB">
        <w:rPr>
          <w:rFonts w:hint="eastAsia"/>
          <w:lang w:val="zh-CN"/>
        </w:rPr>
        <w:t xml:space="preserve">at </w:t>
      </w:r>
      <w:r w:rsidRPr="00E168FB">
        <w:rPr>
          <w:lang w:val="zh-CN"/>
        </w:rPr>
        <w:t>pp. 109-110</w:t>
      </w:r>
      <w:r w:rsidRPr="00E168FB">
        <w:rPr>
          <w:lang w:val="zh-CN"/>
        </w:rPr>
        <w:t>。</w:t>
      </w:r>
    </w:p>
  </w:footnote>
  <w:footnote w:id="923">
    <w:p w:rsidR="00AB00DE" w:rsidRPr="00E168FB" w:rsidRDefault="00AB00DE" w:rsidP="00B75685">
      <w:pPr>
        <w:pStyle w:val="a4"/>
        <w:rPr>
          <w:spacing w:val="-2"/>
        </w:rPr>
      </w:pPr>
      <w:r w:rsidRPr="00E168FB">
        <w:rPr>
          <w:lang w:val="zh-CN"/>
        </w:rPr>
        <w:tab/>
      </w:r>
      <w:r w:rsidRPr="00D54A01">
        <w:rPr>
          <w:rStyle w:val="a5"/>
          <w:szCs w:val="21"/>
        </w:rPr>
        <w:footnoteRef/>
      </w:r>
      <w:r w:rsidRPr="00E168FB">
        <w:tab/>
      </w:r>
      <w:r w:rsidRPr="00E168FB">
        <w:rPr>
          <w:spacing w:val="-2"/>
        </w:rPr>
        <w:t xml:space="preserve">P.C.G. Kapteyn and P. VerLoren van Themaat, </w:t>
      </w:r>
      <w:r w:rsidRPr="00E168FB">
        <w:rPr>
          <w:i/>
          <w:spacing w:val="-2"/>
        </w:rPr>
        <w:t xml:space="preserve">Introduction to the Law of the European Communities, </w:t>
      </w:r>
      <w:r w:rsidRPr="00E168FB">
        <w:rPr>
          <w:spacing w:val="-2"/>
        </w:rPr>
        <w:t>3rd edition, L.W. Gormley, ed. (London, Kluwer Law International, 1998)</w:t>
      </w:r>
      <w:r w:rsidRPr="00E168FB">
        <w:rPr>
          <w:spacing w:val="-2"/>
        </w:rPr>
        <w:t>，</w:t>
      </w:r>
      <w:r w:rsidRPr="00E168FB">
        <w:rPr>
          <w:spacing w:val="-2"/>
        </w:rPr>
        <w:t xml:space="preserve"> pp. 340-343.</w:t>
      </w:r>
    </w:p>
  </w:footnote>
  <w:footnote w:id="924">
    <w:p w:rsidR="00AB00DE" w:rsidRPr="00E168FB" w:rsidRDefault="00AB00DE" w:rsidP="00B75685">
      <w:pPr>
        <w:pStyle w:val="a4"/>
      </w:pPr>
      <w:r w:rsidRPr="00E168FB">
        <w:tab/>
      </w:r>
      <w:r w:rsidRPr="00D54A01">
        <w:rPr>
          <w:rStyle w:val="a5"/>
          <w:szCs w:val="21"/>
        </w:rPr>
        <w:footnoteRef/>
      </w:r>
      <w:r w:rsidRPr="00E168FB">
        <w:tab/>
        <w:t>C-181/91</w:t>
      </w:r>
      <w:r w:rsidRPr="00E168FB">
        <w:rPr>
          <w:lang w:val="zh-CN"/>
        </w:rPr>
        <w:t>和</w:t>
      </w:r>
      <w:r w:rsidRPr="00E168FB">
        <w:t>C-248/91</w:t>
      </w:r>
      <w:r w:rsidRPr="00E168FB">
        <w:rPr>
          <w:lang w:val="zh-CN"/>
        </w:rPr>
        <w:t>号案</w:t>
      </w:r>
      <w:r w:rsidRPr="00E168FB">
        <w:t>，</w:t>
      </w:r>
      <w:r w:rsidRPr="00E168FB">
        <w:rPr>
          <w:rFonts w:eastAsia="楷体"/>
          <w:lang w:val="zh-CN"/>
        </w:rPr>
        <w:t>议会诉理事会和委员会</w:t>
      </w:r>
      <w:r w:rsidRPr="00E168FB">
        <w:t>[1993</w:t>
      </w:r>
      <w:r w:rsidRPr="00E168FB">
        <w:rPr>
          <w:lang w:val="zh-CN"/>
        </w:rPr>
        <w:t>年</w:t>
      </w:r>
      <w:r w:rsidRPr="00E168FB">
        <w:t>]</w:t>
      </w:r>
      <w:r w:rsidRPr="00E168FB">
        <w:t>，</w:t>
      </w:r>
      <w:r w:rsidRPr="00E168FB">
        <w:rPr>
          <w:lang w:val="zh-CN"/>
        </w:rPr>
        <w:t>欧洲法院第</w:t>
      </w:r>
      <w:r w:rsidRPr="00E168FB">
        <w:t>I-3713</w:t>
      </w:r>
      <w:r w:rsidRPr="00E168FB">
        <w:rPr>
          <w:lang w:val="zh-CN"/>
        </w:rPr>
        <w:t>号报告</w:t>
      </w:r>
      <w:r w:rsidRPr="00E168FB">
        <w:t>，</w:t>
      </w:r>
      <w:r w:rsidRPr="00E168FB">
        <w:rPr>
          <w:lang w:val="zh-CN"/>
        </w:rPr>
        <w:t>第</w:t>
      </w:r>
      <w:r w:rsidRPr="00E168FB">
        <w:t>12</w:t>
      </w:r>
      <w:r w:rsidRPr="00E168FB">
        <w:rPr>
          <w:lang w:val="zh-CN"/>
        </w:rPr>
        <w:t>段。</w:t>
      </w:r>
    </w:p>
  </w:footnote>
  <w:footnote w:id="925">
    <w:p w:rsidR="00AB00DE" w:rsidRPr="00E168FB" w:rsidRDefault="00AB00DE" w:rsidP="00B75685">
      <w:pPr>
        <w:pStyle w:val="a4"/>
      </w:pPr>
      <w:r w:rsidRPr="00E168FB">
        <w:tab/>
      </w:r>
      <w:r w:rsidRPr="00D54A01">
        <w:rPr>
          <w:rStyle w:val="a5"/>
          <w:szCs w:val="21"/>
        </w:rPr>
        <w:footnoteRef/>
      </w:r>
      <w:r w:rsidRPr="00E168FB">
        <w:rPr>
          <w:lang w:val="zh-CN"/>
        </w:rPr>
        <w:tab/>
      </w:r>
      <w:r w:rsidRPr="00E168FB">
        <w:rPr>
          <w:rFonts w:eastAsia="楷体"/>
          <w:lang w:val="zh-CN"/>
        </w:rPr>
        <w:t>同上</w:t>
      </w:r>
      <w:r w:rsidRPr="00E168FB">
        <w:rPr>
          <w:lang w:val="zh-CN"/>
        </w:rPr>
        <w:t>，</w:t>
      </w:r>
      <w:r w:rsidRPr="00E168FB">
        <w:t>第</w:t>
      </w:r>
      <w:r w:rsidRPr="00E168FB">
        <w:t>14</w:t>
      </w:r>
      <w:r w:rsidRPr="00E168FB">
        <w:rPr>
          <w:lang w:val="zh-CN"/>
        </w:rPr>
        <w:t>段。</w:t>
      </w:r>
    </w:p>
  </w:footnote>
  <w:footnote w:id="926">
    <w:p w:rsidR="00AB00DE" w:rsidRPr="00E168FB" w:rsidRDefault="00AB00DE" w:rsidP="00B75685">
      <w:pPr>
        <w:pStyle w:val="a4"/>
      </w:pPr>
      <w:r w:rsidRPr="00E168FB">
        <w:rPr>
          <w:lang w:val="zh-CN"/>
        </w:rPr>
        <w:tab/>
      </w:r>
      <w:r w:rsidRPr="00D54A01">
        <w:rPr>
          <w:rStyle w:val="a5"/>
          <w:szCs w:val="21"/>
        </w:rPr>
        <w:footnoteRef/>
      </w:r>
      <w:r w:rsidRPr="00E168FB">
        <w:rPr>
          <w:lang w:val="zh-CN"/>
        </w:rPr>
        <w:tab/>
      </w:r>
      <w:r w:rsidRPr="00E168FB">
        <w:rPr>
          <w:lang w:val="zh-CN"/>
        </w:rPr>
        <w:t>见上文结论草案</w:t>
      </w:r>
      <w:r w:rsidRPr="00E168FB">
        <w:rPr>
          <w:lang w:val="zh-CN"/>
        </w:rPr>
        <w:t>2[1]</w:t>
      </w:r>
      <w:r w:rsidRPr="00E168FB">
        <w:rPr>
          <w:rFonts w:hint="eastAsia"/>
          <w:lang w:val="zh-CN"/>
        </w:rPr>
        <w:t>，</w:t>
      </w:r>
      <w:r w:rsidRPr="00E168FB">
        <w:rPr>
          <w:lang w:val="zh-CN"/>
        </w:rPr>
        <w:t>第</w:t>
      </w:r>
      <w:r w:rsidRPr="00E168FB">
        <w:rPr>
          <w:lang w:val="zh-CN"/>
        </w:rPr>
        <w:t>4</w:t>
      </w:r>
      <w:r w:rsidRPr="00E168FB">
        <w:rPr>
          <w:lang w:val="zh-CN"/>
        </w:rPr>
        <w:t>段和结论草案</w:t>
      </w:r>
      <w:r w:rsidRPr="00E168FB">
        <w:rPr>
          <w:lang w:val="zh-CN"/>
        </w:rPr>
        <w:t>4</w:t>
      </w:r>
      <w:r w:rsidRPr="00E168FB">
        <w:rPr>
          <w:lang w:val="zh-CN"/>
        </w:rPr>
        <w:t>第</w:t>
      </w:r>
      <w:r w:rsidRPr="00E168FB">
        <w:rPr>
          <w:lang w:val="zh-CN"/>
        </w:rPr>
        <w:t>3</w:t>
      </w:r>
      <w:r w:rsidRPr="00E168FB">
        <w:rPr>
          <w:lang w:val="zh-CN"/>
        </w:rPr>
        <w:t>段</w:t>
      </w:r>
      <w:r w:rsidRPr="00E168FB">
        <w:rPr>
          <w:rFonts w:hint="eastAsia"/>
          <w:lang w:val="zh-CN"/>
        </w:rPr>
        <w:t>，</w:t>
      </w:r>
      <w:r w:rsidRPr="00E168FB">
        <w:rPr>
          <w:lang w:val="zh-CN"/>
        </w:rPr>
        <w:t>及结论草案</w:t>
      </w:r>
      <w:r w:rsidRPr="00E168FB">
        <w:rPr>
          <w:lang w:val="zh-CN"/>
        </w:rPr>
        <w:t>1</w:t>
      </w:r>
      <w:r w:rsidRPr="00E168FB">
        <w:rPr>
          <w:lang w:val="zh-CN"/>
        </w:rPr>
        <w:t>评注第</w:t>
      </w:r>
      <w:r w:rsidRPr="00E168FB">
        <w:rPr>
          <w:lang w:val="zh-CN"/>
        </w:rPr>
        <w:t>10</w:t>
      </w:r>
      <w:r w:rsidRPr="00E168FB">
        <w:rPr>
          <w:lang w:val="zh-CN"/>
        </w:rPr>
        <w:t>段和结论草案</w:t>
      </w:r>
      <w:r w:rsidRPr="00E168FB">
        <w:rPr>
          <w:lang w:val="zh-CN"/>
        </w:rPr>
        <w:t>4</w:t>
      </w:r>
      <w:r w:rsidRPr="00E168FB">
        <w:rPr>
          <w:lang w:val="zh-CN"/>
        </w:rPr>
        <w:t>评注第</w:t>
      </w:r>
      <w:r w:rsidRPr="00E168FB">
        <w:rPr>
          <w:rFonts w:hint="eastAsia"/>
          <w:lang w:val="zh-CN"/>
        </w:rPr>
        <w:t>(</w:t>
      </w:r>
      <w:r w:rsidRPr="00E168FB">
        <w:rPr>
          <w:lang w:val="zh-CN"/>
        </w:rPr>
        <w:t>2</w:t>
      </w:r>
      <w:r w:rsidRPr="00E168FB">
        <w:rPr>
          <w:rFonts w:hint="eastAsia"/>
          <w:lang w:val="zh-CN"/>
        </w:rPr>
        <w:t>3)</w:t>
      </w:r>
      <w:r w:rsidRPr="00E168FB">
        <w:rPr>
          <w:lang w:val="zh-CN"/>
        </w:rPr>
        <w:t>-</w:t>
      </w:r>
      <w:r w:rsidRPr="00E168FB">
        <w:rPr>
          <w:rFonts w:hint="eastAsia"/>
          <w:lang w:val="zh-CN"/>
        </w:rPr>
        <w:t>(</w:t>
      </w:r>
      <w:r w:rsidRPr="00E168FB">
        <w:rPr>
          <w:lang w:val="zh-CN"/>
        </w:rPr>
        <w:t>3</w:t>
      </w:r>
      <w:r w:rsidRPr="00E168FB">
        <w:rPr>
          <w:rFonts w:hint="eastAsia"/>
          <w:lang w:val="zh-CN"/>
        </w:rPr>
        <w:t>7)</w:t>
      </w:r>
      <w:r w:rsidRPr="00E168FB">
        <w:rPr>
          <w:lang w:val="zh-CN"/>
        </w:rPr>
        <w:t>段。</w:t>
      </w:r>
    </w:p>
  </w:footnote>
  <w:footnote w:id="927">
    <w:p w:rsidR="00AB00DE" w:rsidRPr="00E168FB" w:rsidRDefault="00AB00DE" w:rsidP="00D90936">
      <w:pPr>
        <w:pStyle w:val="a4"/>
      </w:pPr>
      <w:r w:rsidRPr="00E168FB">
        <w:rPr>
          <w:lang w:val="zh-CN"/>
        </w:rPr>
        <w:tab/>
      </w:r>
      <w:r w:rsidRPr="00D54A01">
        <w:rPr>
          <w:rStyle w:val="a5"/>
          <w:szCs w:val="21"/>
        </w:rPr>
        <w:footnoteRef/>
      </w:r>
      <w:r w:rsidRPr="00E168FB">
        <w:rPr>
          <w:lang w:val="zh-CN"/>
        </w:rPr>
        <w:tab/>
      </w:r>
      <w:r w:rsidRPr="00E168FB">
        <w:rPr>
          <w:lang w:val="zh-CN"/>
        </w:rPr>
        <w:t>又如</w:t>
      </w:r>
      <w:r w:rsidRPr="00E168FB">
        <w:t>《国际民用航空公约》</w:t>
      </w:r>
      <w:r w:rsidRPr="00E168FB">
        <w:rPr>
          <w:lang w:val="zh-CN"/>
        </w:rPr>
        <w:t>(</w:t>
      </w:r>
      <w:r w:rsidRPr="00E168FB">
        <w:rPr>
          <w:lang w:val="zh-CN"/>
        </w:rPr>
        <w:t>见上文脚注</w:t>
      </w:r>
      <w:r>
        <w:rPr>
          <w:lang w:val="zh-CN"/>
        </w:rPr>
        <w:fldChar w:fldCharType="begin"/>
      </w:r>
      <w:r>
        <w:rPr>
          <w:lang w:val="zh-CN"/>
        </w:rPr>
        <w:instrText xml:space="preserve"> NOTEREF _Ref461972678 \h </w:instrText>
      </w:r>
      <w:r>
        <w:rPr>
          <w:lang w:val="zh-CN"/>
        </w:rPr>
      </w:r>
      <w:r>
        <w:rPr>
          <w:lang w:val="zh-CN"/>
        </w:rPr>
        <w:fldChar w:fldCharType="separate"/>
      </w:r>
      <w:r w:rsidR="00A73EB9">
        <w:rPr>
          <w:lang w:val="zh-CN"/>
        </w:rPr>
        <w:t>837</w:t>
      </w:r>
      <w:r>
        <w:rPr>
          <w:lang w:val="zh-CN"/>
        </w:rPr>
        <w:fldChar w:fldCharType="end"/>
      </w:r>
      <w:r w:rsidRPr="00E168FB">
        <w:rPr>
          <w:lang w:val="zh-CN"/>
        </w:rPr>
        <w:t>)</w:t>
      </w:r>
      <w:r w:rsidRPr="00E168FB">
        <w:rPr>
          <w:lang w:val="zh-CN"/>
        </w:rPr>
        <w:t>；</w:t>
      </w:r>
      <w:r w:rsidRPr="00E168FB">
        <w:t>P.P.C. Haanappel,</w:t>
      </w:r>
      <w:r w:rsidRPr="00E168FB">
        <w:rPr>
          <w:rFonts w:hint="eastAsia"/>
        </w:rPr>
        <w:t>“</w:t>
      </w:r>
      <w:r w:rsidRPr="00E168FB">
        <w:t>Bilateral air transport agreements – 1913-1980</w:t>
      </w:r>
      <w:r w:rsidRPr="00E168FB">
        <w:rPr>
          <w:rFonts w:hint="eastAsia"/>
        </w:rPr>
        <w:t>”</w:t>
      </w:r>
      <w:r w:rsidRPr="00E168FB">
        <w:t>，</w:t>
      </w:r>
      <w:r w:rsidRPr="00E168FB">
        <w:rPr>
          <w:i/>
        </w:rPr>
        <w:t xml:space="preserve">International Trade Law Journal, </w:t>
      </w:r>
      <w:r w:rsidRPr="00E168FB">
        <w:t>vol. 5, No. 2 (1980)</w:t>
      </w:r>
      <w:r w:rsidRPr="00E168FB">
        <w:t>，</w:t>
      </w:r>
      <w:r w:rsidRPr="00E168FB">
        <w:t>pp. 241-267</w:t>
      </w:r>
      <w:r w:rsidRPr="00E168FB">
        <w:t>；</w:t>
      </w:r>
      <w:r w:rsidRPr="00E168FB">
        <w:t>L. Tomas,</w:t>
      </w:r>
      <w:r w:rsidRPr="00E168FB">
        <w:rPr>
          <w:rFonts w:hint="eastAsia"/>
        </w:rPr>
        <w:t>“</w:t>
      </w:r>
      <w:r w:rsidRPr="00E168FB">
        <w:t>Air transport agreements, regulation of liability</w:t>
      </w:r>
      <w:r w:rsidRPr="00E168FB">
        <w:rPr>
          <w:rFonts w:hint="eastAsia"/>
        </w:rPr>
        <w:t>”</w:t>
      </w:r>
      <w:r w:rsidRPr="00E168FB">
        <w:t xml:space="preserve"> in </w:t>
      </w:r>
      <w:r w:rsidRPr="00E168FB">
        <w:rPr>
          <w:i/>
        </w:rPr>
        <w:t>Max Planck Encyclopedia of Public International Law</w:t>
      </w:r>
      <w:r w:rsidRPr="00E168FB">
        <w:rPr>
          <w:rFonts w:hint="eastAsia"/>
          <w:iCs/>
        </w:rPr>
        <w:t>(www.mpepil.com)</w:t>
      </w:r>
      <w:r w:rsidRPr="00E168FB">
        <w:rPr>
          <w:lang w:val="zh-CN"/>
        </w:rPr>
        <w:t>；</w:t>
      </w:r>
      <w:r w:rsidRPr="00E168FB">
        <w:t xml:space="preserve">B.F. Havel, </w:t>
      </w:r>
      <w:r w:rsidRPr="00E168FB">
        <w:rPr>
          <w:i/>
        </w:rPr>
        <w:t>Beyond Open Skies, A New Regime for International Aviation</w:t>
      </w:r>
      <w:r w:rsidRPr="00E168FB">
        <w:t xml:space="preserve"> (Alphen aan den Rijn, Kluwer Law International, 2009)</w:t>
      </w:r>
      <w:r w:rsidRPr="00E168FB">
        <w:t>，</w:t>
      </w:r>
      <w:r w:rsidRPr="00E168FB">
        <w:t xml:space="preserve"> p. 10</w:t>
      </w:r>
      <w:r w:rsidRPr="00E168FB">
        <w:rPr>
          <w:rFonts w:hint="eastAsia"/>
        </w:rPr>
        <w:t>。</w:t>
      </w:r>
    </w:p>
  </w:footnote>
  <w:footnote w:id="928">
    <w:p w:rsidR="00AB00DE" w:rsidRPr="00E168FB" w:rsidRDefault="00AB00DE" w:rsidP="00B75685">
      <w:pPr>
        <w:pStyle w:val="a4"/>
      </w:pPr>
      <w:r w:rsidRPr="00E168FB">
        <w:rPr>
          <w:lang w:val="zh-CN"/>
        </w:rPr>
        <w:tab/>
      </w:r>
      <w:r w:rsidRPr="00D54A01">
        <w:rPr>
          <w:rStyle w:val="a5"/>
          <w:szCs w:val="21"/>
        </w:rPr>
        <w:footnoteRef/>
      </w:r>
      <w:r w:rsidRPr="00E168FB">
        <w:rPr>
          <w:lang w:val="zh-CN"/>
        </w:rPr>
        <w:tab/>
      </w:r>
      <w:r w:rsidRPr="00E168FB">
        <w:t>R. Higgins,</w:t>
      </w:r>
      <w:r w:rsidRPr="00E168FB">
        <w:rPr>
          <w:rFonts w:hint="eastAsia"/>
        </w:rPr>
        <w:t>“</w:t>
      </w:r>
      <w:r w:rsidRPr="00E168FB">
        <w:t>The Development of international law by the political organs of the United Nations</w:t>
      </w:r>
      <w:r w:rsidRPr="00E168FB">
        <w:rPr>
          <w:rFonts w:hint="eastAsia"/>
        </w:rPr>
        <w:t>”</w:t>
      </w:r>
      <w:r w:rsidRPr="00E168FB">
        <w:t>，</w:t>
      </w:r>
      <w:r w:rsidRPr="00E168FB">
        <w:rPr>
          <w:i/>
        </w:rPr>
        <w:t>Proceedings of the American Society of International Law at its 59th Annual Meeting</w:t>
      </w:r>
      <w:r w:rsidRPr="00E168FB">
        <w:t xml:space="preserve"> (Washington, D.C.</w:t>
      </w:r>
      <w:r w:rsidRPr="00E168FB">
        <w:t>，</w:t>
      </w:r>
      <w:r w:rsidRPr="00E168FB">
        <w:t>April 22-24, 1965)</w:t>
      </w:r>
      <w:r w:rsidRPr="00E168FB">
        <w:t>，</w:t>
      </w:r>
      <w:r w:rsidRPr="00E168FB">
        <w:t>pp. 116-124, at p. 119</w:t>
      </w:r>
      <w:r w:rsidRPr="00E168FB">
        <w:rPr>
          <w:lang w:val="zh-CN"/>
        </w:rPr>
        <w:t>；国际组织的惯例，除出自或体现在第</w:t>
      </w:r>
      <w:r w:rsidRPr="00E168FB">
        <w:rPr>
          <w:lang w:val="zh-CN"/>
        </w:rPr>
        <w:t>2</w:t>
      </w:r>
      <w:r w:rsidRPr="00E168FB">
        <w:rPr>
          <w:lang w:val="zh-CN"/>
        </w:rPr>
        <w:t>段所述缔约方本身的共识或惯例中外，还可能其本身就是第</w:t>
      </w:r>
      <w:r w:rsidRPr="00E168FB">
        <w:rPr>
          <w:lang w:val="zh-CN"/>
        </w:rPr>
        <w:t>3</w:t>
      </w:r>
      <w:r w:rsidRPr="00E168FB">
        <w:rPr>
          <w:lang w:val="zh-CN"/>
        </w:rPr>
        <w:t>段所述的一种解释手段</w:t>
      </w:r>
      <w:r w:rsidRPr="00E168FB">
        <w:rPr>
          <w:lang w:val="zh-CN"/>
        </w:rPr>
        <w:t>(</w:t>
      </w:r>
      <w:r w:rsidRPr="00E168FB">
        <w:rPr>
          <w:lang w:val="zh-CN"/>
        </w:rPr>
        <w:t>见下文第</w:t>
      </w:r>
      <w:r w:rsidRPr="00E168FB">
        <w:rPr>
          <w:rFonts w:hint="eastAsia"/>
          <w:lang w:val="zh-CN"/>
        </w:rPr>
        <w:t>(</w:t>
      </w:r>
      <w:r w:rsidRPr="00E168FB">
        <w:rPr>
          <w:lang w:val="zh-CN"/>
        </w:rPr>
        <w:t>25</w:t>
      </w:r>
      <w:r w:rsidRPr="00E168FB">
        <w:rPr>
          <w:rFonts w:hint="eastAsia"/>
          <w:lang w:val="zh-CN"/>
        </w:rPr>
        <w:t>)</w:t>
      </w:r>
      <w:r w:rsidRPr="00E168FB">
        <w:rPr>
          <w:lang w:val="zh-CN"/>
        </w:rPr>
        <w:t>-</w:t>
      </w:r>
      <w:r w:rsidRPr="00E168FB">
        <w:rPr>
          <w:rFonts w:hint="eastAsia"/>
          <w:lang w:val="zh-CN"/>
        </w:rPr>
        <w:t>(</w:t>
      </w:r>
      <w:r w:rsidRPr="00E168FB">
        <w:rPr>
          <w:lang w:val="zh-CN"/>
        </w:rPr>
        <w:t>35</w:t>
      </w:r>
      <w:r w:rsidRPr="00E168FB">
        <w:rPr>
          <w:rFonts w:hint="eastAsia"/>
          <w:lang w:val="zh-CN"/>
        </w:rPr>
        <w:t>)</w:t>
      </w:r>
      <w:r w:rsidRPr="00E168FB">
        <w:rPr>
          <w:lang w:val="zh-CN"/>
        </w:rPr>
        <w:t>段</w:t>
      </w:r>
      <w:r w:rsidRPr="00E168FB">
        <w:rPr>
          <w:lang w:val="zh-CN"/>
        </w:rPr>
        <w:t>)</w:t>
      </w:r>
      <w:r w:rsidRPr="00E168FB">
        <w:rPr>
          <w:lang w:val="zh-CN"/>
        </w:rPr>
        <w:t>。</w:t>
      </w:r>
    </w:p>
  </w:footnote>
  <w:footnote w:id="929">
    <w:p w:rsidR="00AB00DE" w:rsidRPr="00E168FB" w:rsidRDefault="00AB00DE" w:rsidP="00B75685">
      <w:pPr>
        <w:pStyle w:val="a4"/>
      </w:pPr>
      <w:r w:rsidRPr="00E168FB">
        <w:rPr>
          <w:lang w:val="zh-CN"/>
        </w:rPr>
        <w:tab/>
      </w:r>
      <w:r w:rsidRPr="00D54A01">
        <w:rPr>
          <w:rStyle w:val="a5"/>
          <w:szCs w:val="21"/>
        </w:rPr>
        <w:footnoteRef/>
      </w:r>
      <w:r w:rsidRPr="00E168FB">
        <w:rPr>
          <w:lang w:val="zh-CN"/>
        </w:rPr>
        <w:tab/>
      </w:r>
      <w:r w:rsidRPr="00E168FB">
        <w:rPr>
          <w:rFonts w:eastAsia="楷体"/>
          <w:lang w:val="zh-CN"/>
        </w:rPr>
        <w:t>国家在武装冲突中使用核武器的合法性，咨询意见，《</w:t>
      </w:r>
      <w:r w:rsidRPr="00E168FB">
        <w:rPr>
          <w:rFonts w:eastAsia="楷体"/>
          <w:lang w:val="zh-CN"/>
        </w:rPr>
        <w:t>1996</w:t>
      </w:r>
      <w:r w:rsidRPr="00E168FB">
        <w:rPr>
          <w:rFonts w:eastAsia="楷体"/>
          <w:lang w:val="zh-CN"/>
        </w:rPr>
        <w:t>年国际法院案例汇编》</w:t>
      </w:r>
      <w:r w:rsidRPr="00E168FB">
        <w:rPr>
          <w:lang w:val="zh-CN"/>
        </w:rPr>
        <w:t>，第</w:t>
      </w:r>
      <w:r w:rsidRPr="00E168FB">
        <w:rPr>
          <w:lang w:val="zh-CN"/>
        </w:rPr>
        <w:t>66</w:t>
      </w:r>
      <w:r w:rsidRPr="00E168FB">
        <w:rPr>
          <w:lang w:val="zh-CN"/>
        </w:rPr>
        <w:t>页起，见第</w:t>
      </w:r>
      <w:r w:rsidRPr="00E168FB">
        <w:rPr>
          <w:lang w:val="zh-CN"/>
        </w:rPr>
        <w:t>81</w:t>
      </w:r>
      <w:r w:rsidRPr="00E168FB">
        <w:rPr>
          <w:lang w:val="zh-CN"/>
        </w:rPr>
        <w:t>页，第</w:t>
      </w:r>
      <w:r w:rsidRPr="00E168FB">
        <w:rPr>
          <w:lang w:val="zh-CN"/>
        </w:rPr>
        <w:t>27</w:t>
      </w:r>
      <w:r w:rsidRPr="00E168FB">
        <w:rPr>
          <w:lang w:val="zh-CN"/>
        </w:rPr>
        <w:t>段。</w:t>
      </w:r>
    </w:p>
  </w:footnote>
  <w:footnote w:id="930">
    <w:p w:rsidR="00AB00DE" w:rsidRPr="00E168FB" w:rsidRDefault="00AB00DE" w:rsidP="00B75685">
      <w:pPr>
        <w:pStyle w:val="a4"/>
      </w:pPr>
      <w:r w:rsidRPr="00E168FB">
        <w:rPr>
          <w:lang w:val="zh-CN"/>
        </w:rPr>
        <w:tab/>
      </w:r>
      <w:r w:rsidRPr="00D54A01">
        <w:rPr>
          <w:rStyle w:val="a5"/>
          <w:szCs w:val="21"/>
        </w:rPr>
        <w:footnoteRef/>
      </w:r>
      <w:r w:rsidRPr="00E168FB">
        <w:rPr>
          <w:lang w:val="zh-CN"/>
        </w:rPr>
        <w:tab/>
      </w:r>
      <w:r w:rsidRPr="00E168FB">
        <w:rPr>
          <w:lang w:val="zh-CN"/>
        </w:rPr>
        <w:t>常设国际法院在关于</w:t>
      </w:r>
      <w:r w:rsidRPr="00E168FB">
        <w:rPr>
          <w:rFonts w:eastAsia="楷体"/>
          <w:lang w:val="zh-CN"/>
        </w:rPr>
        <w:t>国际劳工组织附带规范雇主个人工作的权限一案</w:t>
      </w:r>
      <w:r w:rsidRPr="00E168FB">
        <w:rPr>
          <w:lang w:val="zh-CN"/>
        </w:rPr>
        <w:t>的咨询意见中便采用了这种办法，</w:t>
      </w:r>
      <w:r w:rsidRPr="00E168FB">
        <w:rPr>
          <w:lang w:val="zh-CN"/>
        </w:rPr>
        <w:t>1926</w:t>
      </w:r>
      <w:r w:rsidRPr="00E168FB">
        <w:rPr>
          <w:lang w:val="zh-CN"/>
        </w:rPr>
        <w:t>年</w:t>
      </w:r>
      <w:r w:rsidRPr="00E168FB">
        <w:rPr>
          <w:lang w:val="zh-CN"/>
        </w:rPr>
        <w:t>7</w:t>
      </w:r>
      <w:r w:rsidRPr="00E168FB">
        <w:rPr>
          <w:lang w:val="zh-CN"/>
        </w:rPr>
        <w:t>月</w:t>
      </w:r>
      <w:r w:rsidRPr="00E168FB">
        <w:rPr>
          <w:lang w:val="zh-CN"/>
        </w:rPr>
        <w:t>23</w:t>
      </w:r>
      <w:r w:rsidRPr="00E168FB">
        <w:rPr>
          <w:lang w:val="zh-CN"/>
        </w:rPr>
        <w:t>日，</w:t>
      </w:r>
      <w:r w:rsidRPr="00E168FB">
        <w:rPr>
          <w:rFonts w:eastAsia="楷体"/>
          <w:lang w:val="zh-CN"/>
        </w:rPr>
        <w:t>《常设国际法院案例汇编》，</w:t>
      </w:r>
      <w:r w:rsidRPr="00E168FB">
        <w:rPr>
          <w:rFonts w:eastAsia="楷体"/>
          <w:lang w:val="zh-CN"/>
        </w:rPr>
        <w:t>B</w:t>
      </w:r>
      <w:r w:rsidRPr="00E168FB">
        <w:rPr>
          <w:rFonts w:eastAsia="楷体"/>
          <w:lang w:val="zh-CN"/>
        </w:rPr>
        <w:t>辑第</w:t>
      </w:r>
      <w:r w:rsidRPr="00E168FB">
        <w:rPr>
          <w:rFonts w:eastAsia="楷体"/>
          <w:lang w:val="zh-CN"/>
        </w:rPr>
        <w:t>13</w:t>
      </w:r>
      <w:r w:rsidRPr="00E168FB">
        <w:rPr>
          <w:rFonts w:eastAsia="楷体"/>
          <w:lang w:val="zh-CN"/>
        </w:rPr>
        <w:t>号</w:t>
      </w:r>
      <w:r w:rsidRPr="00E168FB">
        <w:rPr>
          <w:lang w:val="zh-CN"/>
        </w:rPr>
        <w:t>，见第</w:t>
      </w:r>
      <w:r w:rsidRPr="00E168FB">
        <w:rPr>
          <w:lang w:val="zh-CN"/>
        </w:rPr>
        <w:t>19-20</w:t>
      </w:r>
      <w:r w:rsidRPr="00E168FB">
        <w:rPr>
          <w:lang w:val="zh-CN"/>
        </w:rPr>
        <w:t>页；见</w:t>
      </w:r>
      <w:r w:rsidRPr="00E168FB">
        <w:rPr>
          <w:lang w:val="zh-CN"/>
        </w:rPr>
        <w:t xml:space="preserve">S. </w:t>
      </w:r>
      <w:r w:rsidRPr="00E168FB">
        <w:t>Engel,</w:t>
      </w:r>
      <w:r w:rsidRPr="00E168FB">
        <w:rPr>
          <w:rFonts w:hint="eastAsia"/>
        </w:rPr>
        <w:t>“</w:t>
      </w:r>
      <w:r w:rsidRPr="00E168FB">
        <w:t>‘Living’ international constitutions and the world court (the subsequent practice of international organs under their constituent instruments)</w:t>
      </w:r>
      <w:r w:rsidRPr="00E168FB">
        <w:rPr>
          <w:rFonts w:hint="eastAsia"/>
        </w:rPr>
        <w:t>”</w:t>
      </w:r>
      <w:r w:rsidRPr="00E168FB">
        <w:t>，</w:t>
      </w:r>
      <w:r w:rsidRPr="00E168FB">
        <w:rPr>
          <w:i/>
        </w:rPr>
        <w:t xml:space="preserve">International and Comparative Law Quarterly, </w:t>
      </w:r>
      <w:r w:rsidRPr="00E168FB">
        <w:t>vol. 16 (1967)</w:t>
      </w:r>
      <w:r w:rsidRPr="00E168FB">
        <w:t>，</w:t>
      </w:r>
      <w:r w:rsidRPr="00E168FB">
        <w:t>pp. 865-910, at p. 871</w:t>
      </w:r>
      <w:r w:rsidRPr="00E168FB">
        <w:rPr>
          <w:lang w:val="zh-CN"/>
        </w:rPr>
        <w:t>。</w:t>
      </w:r>
    </w:p>
  </w:footnote>
  <w:footnote w:id="931">
    <w:p w:rsidR="00AB00DE" w:rsidRPr="00E168FB" w:rsidRDefault="00AB00DE" w:rsidP="00B75685">
      <w:pPr>
        <w:pStyle w:val="a4"/>
      </w:pPr>
      <w:r w:rsidRPr="00E168FB">
        <w:tab/>
      </w:r>
      <w:r w:rsidRPr="00D54A01">
        <w:rPr>
          <w:rStyle w:val="a5"/>
          <w:szCs w:val="21"/>
        </w:rPr>
        <w:footnoteRef/>
      </w:r>
      <w:r w:rsidRPr="00E168FB">
        <w:rPr>
          <w:lang w:val="zh-CN"/>
        </w:rPr>
        <w:tab/>
      </w:r>
      <w:r w:rsidRPr="00E168FB">
        <w:rPr>
          <w:lang w:val="zh-CN"/>
        </w:rPr>
        <w:t>世贸组织上诉机构报告，</w:t>
      </w:r>
      <w:r w:rsidRPr="00E168FB">
        <w:rPr>
          <w:rFonts w:eastAsia="楷体"/>
          <w:lang w:val="zh-CN"/>
        </w:rPr>
        <w:t>美国</w:t>
      </w:r>
      <w:r w:rsidRPr="00E168FB">
        <w:rPr>
          <w:rFonts w:eastAsia="楷体" w:hint="eastAsia"/>
          <w:lang w:val="zh-CN"/>
        </w:rPr>
        <w:t>－</w:t>
      </w:r>
      <w:r w:rsidRPr="00E168FB">
        <w:rPr>
          <w:rFonts w:eastAsia="楷体"/>
          <w:lang w:val="zh-CN"/>
        </w:rPr>
        <w:t>影响丁香烟生产和销售</w:t>
      </w:r>
      <w:r w:rsidRPr="00E168FB">
        <w:rPr>
          <w:rFonts w:eastAsia="楷体" w:hint="eastAsia"/>
          <w:lang w:val="zh-CN"/>
        </w:rPr>
        <w:t>的</w:t>
      </w:r>
      <w:r w:rsidRPr="00E168FB">
        <w:rPr>
          <w:rFonts w:eastAsia="楷体"/>
          <w:lang w:val="zh-CN"/>
        </w:rPr>
        <w:t>措施</w:t>
      </w:r>
      <w:r w:rsidRPr="00E168FB">
        <w:rPr>
          <w:rFonts w:eastAsia="楷体" w:hint="eastAsia"/>
          <w:lang w:val="zh-CN"/>
        </w:rPr>
        <w:t>案</w:t>
      </w:r>
      <w:r w:rsidRPr="00E168FB">
        <w:rPr>
          <w:rFonts w:hint="eastAsia"/>
          <w:lang w:val="zh-CN"/>
        </w:rPr>
        <w:t>，</w:t>
      </w:r>
      <w:r w:rsidRPr="00E168FB">
        <w:rPr>
          <w:lang w:val="zh-CN"/>
        </w:rPr>
        <w:t>WT/DS406/AB/R, 2012</w:t>
      </w:r>
      <w:r w:rsidRPr="00E168FB">
        <w:rPr>
          <w:lang w:val="zh-CN"/>
        </w:rPr>
        <w:t>年</w:t>
      </w:r>
      <w:r w:rsidRPr="00E168FB">
        <w:rPr>
          <w:lang w:val="zh-CN"/>
        </w:rPr>
        <w:t>4</w:t>
      </w:r>
      <w:r w:rsidRPr="00E168FB">
        <w:rPr>
          <w:lang w:val="zh-CN"/>
        </w:rPr>
        <w:t>月</w:t>
      </w:r>
      <w:r w:rsidRPr="00E168FB">
        <w:rPr>
          <w:lang w:val="zh-CN"/>
        </w:rPr>
        <w:t>4</w:t>
      </w:r>
      <w:r w:rsidRPr="00E168FB">
        <w:rPr>
          <w:lang w:val="zh-CN"/>
        </w:rPr>
        <w:t>日通过，第</w:t>
      </w:r>
      <w:r w:rsidRPr="00E168FB">
        <w:rPr>
          <w:lang w:val="zh-CN"/>
        </w:rPr>
        <w:t>262</w:t>
      </w:r>
      <w:r w:rsidRPr="00E168FB">
        <w:rPr>
          <w:lang w:val="zh-CN"/>
        </w:rPr>
        <w:t>段</w:t>
      </w:r>
      <w:r w:rsidRPr="00E168FB">
        <w:rPr>
          <w:lang w:val="zh-CN"/>
        </w:rPr>
        <w:t>(</w:t>
      </w:r>
      <w:r w:rsidRPr="00E168FB">
        <w:rPr>
          <w:lang w:val="zh-CN"/>
        </w:rPr>
        <w:t>强调</w:t>
      </w:r>
      <w:r w:rsidRPr="00E168FB">
        <w:rPr>
          <w:rFonts w:hint="eastAsia"/>
          <w:lang w:val="zh-CN"/>
        </w:rPr>
        <w:t>系原文所有</w:t>
      </w:r>
      <w:r w:rsidRPr="00E168FB">
        <w:rPr>
          <w:lang w:val="zh-CN"/>
        </w:rPr>
        <w:t>)</w:t>
      </w:r>
      <w:r w:rsidRPr="00E168FB">
        <w:rPr>
          <w:lang w:val="zh-CN"/>
        </w:rPr>
        <w:t>。</w:t>
      </w:r>
    </w:p>
  </w:footnote>
  <w:footnote w:id="932">
    <w:p w:rsidR="00AB00DE" w:rsidRPr="00E168FB" w:rsidRDefault="00AB00DE" w:rsidP="00B75685">
      <w:pPr>
        <w:pStyle w:val="a4"/>
      </w:pPr>
      <w:r w:rsidRPr="00E168FB">
        <w:rPr>
          <w:lang w:val="zh-CN"/>
        </w:rPr>
        <w:tab/>
      </w:r>
      <w:r w:rsidRPr="00D54A01">
        <w:rPr>
          <w:rStyle w:val="a5"/>
          <w:szCs w:val="21"/>
        </w:rPr>
        <w:footnoteRef/>
      </w:r>
      <w:r w:rsidRPr="00E168FB">
        <w:rPr>
          <w:lang w:val="zh-CN"/>
        </w:rPr>
        <w:tab/>
      </w:r>
      <w:r w:rsidRPr="00E168FB">
        <w:rPr>
          <w:rFonts w:eastAsia="楷体"/>
          <w:lang w:val="zh-CN"/>
        </w:rPr>
        <w:t>同上</w:t>
      </w:r>
      <w:r w:rsidRPr="00E168FB">
        <w:rPr>
          <w:lang w:val="zh-CN"/>
        </w:rPr>
        <w:t>(</w:t>
      </w:r>
      <w:r w:rsidRPr="00E168FB">
        <w:rPr>
          <w:lang w:val="zh-CN"/>
        </w:rPr>
        <w:t>脚注略</w:t>
      </w:r>
      <w:r w:rsidRPr="00E168FB">
        <w:rPr>
          <w:lang w:val="zh-CN"/>
        </w:rPr>
        <w:t>)</w:t>
      </w:r>
      <w:r w:rsidRPr="00E168FB">
        <w:rPr>
          <w:lang w:val="zh-CN"/>
        </w:rPr>
        <w:t>；</w:t>
      </w:r>
      <w:r w:rsidRPr="00E168FB">
        <w:rPr>
          <w:rFonts w:hint="eastAsia"/>
          <w:lang w:val="zh-CN"/>
        </w:rPr>
        <w:t>《</w:t>
      </w:r>
      <w:r w:rsidRPr="00E168FB">
        <w:rPr>
          <w:lang w:val="zh-CN"/>
        </w:rPr>
        <w:t>多哈部长级会议决定</w:t>
      </w:r>
      <w:r w:rsidRPr="00E168FB">
        <w:rPr>
          <w:rFonts w:hint="eastAsia"/>
          <w:lang w:val="zh-CN"/>
        </w:rPr>
        <w:t>》</w:t>
      </w:r>
      <w:r w:rsidRPr="00E168FB">
        <w:rPr>
          <w:lang w:val="zh-CN"/>
        </w:rPr>
        <w:t>尽管不涉及《世贸组织协定》本身的条款，但涉及其中一个附件</w:t>
      </w:r>
      <w:r w:rsidRPr="00E168FB">
        <w:rPr>
          <w:lang w:val="zh-CN"/>
        </w:rPr>
        <w:t>(</w:t>
      </w:r>
      <w:r w:rsidRPr="00E168FB">
        <w:t>《技术性贸易壁垒协议》</w:t>
      </w:r>
      <w:r w:rsidRPr="00E168FB">
        <w:rPr>
          <w:lang w:val="zh-CN"/>
        </w:rPr>
        <w:t>)</w:t>
      </w:r>
      <w:r w:rsidRPr="00E168FB">
        <w:rPr>
          <w:lang w:val="zh-CN"/>
        </w:rPr>
        <w:t>，该附件是《建立世贸组织的协定》的</w:t>
      </w:r>
      <w:r w:rsidRPr="00E168FB">
        <w:rPr>
          <w:rFonts w:hint="eastAsia"/>
          <w:lang w:val="zh-CN"/>
        </w:rPr>
        <w:t>“</w:t>
      </w:r>
      <w:r w:rsidRPr="00E168FB">
        <w:rPr>
          <w:lang w:val="zh-CN"/>
        </w:rPr>
        <w:t>完整组成部分</w:t>
      </w:r>
      <w:r w:rsidRPr="00E168FB">
        <w:rPr>
          <w:rFonts w:hint="eastAsia"/>
          <w:lang w:val="zh-CN"/>
        </w:rPr>
        <w:t>”</w:t>
      </w:r>
      <w:r w:rsidRPr="00E168FB">
        <w:rPr>
          <w:lang w:val="zh-CN"/>
        </w:rPr>
        <w:t>(</w:t>
      </w:r>
      <w:r w:rsidRPr="00E168FB">
        <w:rPr>
          <w:lang w:val="zh-CN"/>
        </w:rPr>
        <w:t>《世贸组织协定》第</w:t>
      </w:r>
      <w:r w:rsidRPr="00E168FB">
        <w:rPr>
          <w:lang w:val="zh-CN"/>
        </w:rPr>
        <w:t>2</w:t>
      </w:r>
      <w:r w:rsidRPr="00E168FB">
        <w:rPr>
          <w:lang w:val="zh-CN"/>
        </w:rPr>
        <w:t>条第</w:t>
      </w:r>
      <w:r w:rsidRPr="00E168FB">
        <w:rPr>
          <w:lang w:val="zh-CN"/>
        </w:rPr>
        <w:t>2</w:t>
      </w:r>
      <w:r w:rsidRPr="00E168FB">
        <w:rPr>
          <w:lang w:val="zh-CN"/>
        </w:rPr>
        <w:t>款</w:t>
      </w:r>
      <w:r w:rsidRPr="00E168FB">
        <w:rPr>
          <w:lang w:val="zh-CN"/>
        </w:rPr>
        <w:t>)</w:t>
      </w:r>
      <w:r w:rsidRPr="00E168FB">
        <w:rPr>
          <w:lang w:val="zh-CN"/>
        </w:rPr>
        <w:t>。</w:t>
      </w:r>
    </w:p>
  </w:footnote>
  <w:footnote w:id="933">
    <w:p w:rsidR="00AB00DE" w:rsidRPr="00E168FB" w:rsidRDefault="00AB00DE" w:rsidP="00B75685">
      <w:pPr>
        <w:pStyle w:val="a4"/>
      </w:pPr>
      <w:r w:rsidRPr="00E168FB">
        <w:rPr>
          <w:lang w:val="zh-CN"/>
        </w:rPr>
        <w:tab/>
      </w:r>
      <w:r w:rsidRPr="00D54A01">
        <w:rPr>
          <w:rStyle w:val="a5"/>
          <w:szCs w:val="21"/>
        </w:rPr>
        <w:footnoteRef/>
      </w:r>
      <w:r w:rsidRPr="00E168FB">
        <w:rPr>
          <w:lang w:val="zh-CN"/>
        </w:rPr>
        <w:tab/>
      </w:r>
      <w:r w:rsidRPr="00E168FB">
        <w:rPr>
          <w:rFonts w:eastAsia="楷体"/>
          <w:lang w:val="zh-CN"/>
        </w:rPr>
        <w:t>尼加拉瓜境内和针对尼加拉瓜的军事和准军事活动</w:t>
      </w:r>
      <w:r w:rsidRPr="00E168FB">
        <w:rPr>
          <w:rFonts w:eastAsia="楷体"/>
          <w:lang w:val="zh-CN"/>
        </w:rPr>
        <w:t>(</w:t>
      </w:r>
      <w:r w:rsidRPr="00E168FB">
        <w:rPr>
          <w:rFonts w:eastAsia="楷体"/>
          <w:lang w:val="zh-CN"/>
        </w:rPr>
        <w:t>尼加拉瓜诉美利坚合众国</w:t>
      </w:r>
      <w:r w:rsidRPr="00E168FB">
        <w:rPr>
          <w:rFonts w:eastAsia="楷体"/>
          <w:lang w:val="zh-CN"/>
        </w:rPr>
        <w:t>)</w:t>
      </w:r>
      <w:r w:rsidRPr="00E168FB">
        <w:rPr>
          <w:rFonts w:eastAsia="楷体"/>
          <w:lang w:val="zh-CN"/>
        </w:rPr>
        <w:t>，案情，判决，《</w:t>
      </w:r>
      <w:r w:rsidRPr="00E168FB">
        <w:rPr>
          <w:rFonts w:eastAsia="楷体"/>
          <w:lang w:val="zh-CN"/>
        </w:rPr>
        <w:t>1986</w:t>
      </w:r>
      <w:r w:rsidRPr="00E168FB">
        <w:rPr>
          <w:rFonts w:eastAsia="楷体"/>
          <w:lang w:val="zh-CN"/>
        </w:rPr>
        <w:t>年国际法院案例汇编》</w:t>
      </w:r>
      <w:r w:rsidRPr="00E168FB">
        <w:rPr>
          <w:lang w:val="zh-CN"/>
        </w:rPr>
        <w:t>，第</w:t>
      </w:r>
      <w:r w:rsidRPr="00E168FB">
        <w:rPr>
          <w:lang w:val="zh-CN"/>
        </w:rPr>
        <w:t>14</w:t>
      </w:r>
      <w:r w:rsidRPr="00E168FB">
        <w:rPr>
          <w:lang w:val="zh-CN"/>
        </w:rPr>
        <w:t>页起，见第</w:t>
      </w:r>
      <w:r w:rsidRPr="00E168FB">
        <w:rPr>
          <w:lang w:val="zh-CN"/>
        </w:rPr>
        <w:t>100</w:t>
      </w:r>
      <w:r w:rsidRPr="00E168FB">
        <w:rPr>
          <w:lang w:val="zh-CN"/>
        </w:rPr>
        <w:t>页，第</w:t>
      </w:r>
      <w:r w:rsidRPr="00E168FB">
        <w:rPr>
          <w:lang w:val="zh-CN"/>
        </w:rPr>
        <w:t>188</w:t>
      </w:r>
      <w:r w:rsidRPr="00E168FB">
        <w:rPr>
          <w:lang w:val="zh-CN"/>
        </w:rPr>
        <w:t>段：</w:t>
      </w:r>
      <w:r w:rsidRPr="00E168FB">
        <w:rPr>
          <w:rFonts w:hint="eastAsia"/>
          <w:lang w:val="zh-CN"/>
        </w:rPr>
        <w:t>“……</w:t>
      </w:r>
      <w:r w:rsidRPr="00E168FB">
        <w:rPr>
          <w:lang w:val="zh-CN"/>
        </w:rPr>
        <w:t>对此类决议文本的同意所具效力不能被理解为仅是</w:t>
      </w:r>
      <w:r w:rsidRPr="00E168FB">
        <w:rPr>
          <w:rFonts w:hint="eastAsia"/>
          <w:lang w:val="zh-CN"/>
        </w:rPr>
        <w:t>‘</w:t>
      </w:r>
      <w:r w:rsidRPr="00E168FB">
        <w:rPr>
          <w:lang w:val="zh-CN"/>
        </w:rPr>
        <w:t>重申和阐明</w:t>
      </w:r>
      <w:r w:rsidRPr="00E168FB">
        <w:rPr>
          <w:rFonts w:hint="eastAsia"/>
          <w:lang w:val="zh-CN"/>
        </w:rPr>
        <w:t>’</w:t>
      </w:r>
      <w:r w:rsidRPr="00E168FB">
        <w:rPr>
          <w:lang w:val="zh-CN"/>
        </w:rPr>
        <w:t>《宪章》中的条约义务。相反，同意的效力可被理解为自身接受决议宣示的一项规则或一套规则的有效性</w:t>
      </w:r>
      <w:r w:rsidRPr="00E168FB">
        <w:rPr>
          <w:rFonts w:hint="eastAsia"/>
          <w:lang w:val="zh-CN"/>
        </w:rPr>
        <w:t>”</w:t>
      </w:r>
      <w:r w:rsidRPr="00E168FB">
        <w:rPr>
          <w:lang w:val="zh-CN"/>
        </w:rPr>
        <w:t>。这段话的主要目的在于解释大会决议在形成习惯法方面可能起到的作用，但同时也确认了与条约有关的论点，即：此类决议可能有助于表达缔约方对于把《联合国宪章》解释为条约的共识或立场</w:t>
      </w:r>
      <w:r w:rsidRPr="00E168FB">
        <w:rPr>
          <w:rFonts w:hint="eastAsia"/>
          <w:lang w:val="zh-CN"/>
        </w:rPr>
        <w:t>(</w:t>
      </w:r>
      <w:r w:rsidRPr="00E168FB">
        <w:rPr>
          <w:rFonts w:hint="eastAsia"/>
          <w:lang w:val="zh-CN"/>
        </w:rPr>
        <w:t>“</w:t>
      </w:r>
      <w:r w:rsidRPr="00E168FB">
        <w:rPr>
          <w:lang w:val="zh-CN"/>
        </w:rPr>
        <w:t>阐明</w:t>
      </w:r>
      <w:r w:rsidRPr="00E168FB">
        <w:rPr>
          <w:rFonts w:hint="eastAsia"/>
          <w:lang w:val="zh-CN"/>
        </w:rPr>
        <w:t>”</w:t>
      </w:r>
      <w:r w:rsidRPr="00E168FB">
        <w:rPr>
          <w:rFonts w:hint="eastAsia"/>
          <w:lang w:val="zh-CN"/>
        </w:rPr>
        <w:t>)</w:t>
      </w:r>
      <w:r w:rsidRPr="00E168FB">
        <w:rPr>
          <w:lang w:val="zh-CN"/>
        </w:rPr>
        <w:t>；</w:t>
      </w:r>
      <w:r w:rsidRPr="00E168FB">
        <w:rPr>
          <w:rFonts w:hint="eastAsia"/>
          <w:lang w:val="zh-CN"/>
        </w:rPr>
        <w:t>相似的还有</w:t>
      </w:r>
      <w:r w:rsidRPr="00E168FB">
        <w:rPr>
          <w:lang w:val="zh-CN"/>
        </w:rPr>
        <w:t>：</w:t>
      </w:r>
      <w:r w:rsidRPr="00E168FB">
        <w:rPr>
          <w:rFonts w:eastAsia="楷体"/>
          <w:lang w:val="zh-CN"/>
        </w:rPr>
        <w:t>科索沃单方面宣布独立是否符合国际法，咨询意见，《</w:t>
      </w:r>
      <w:r w:rsidRPr="00E168FB">
        <w:rPr>
          <w:rFonts w:eastAsia="楷体"/>
          <w:lang w:val="zh-CN"/>
        </w:rPr>
        <w:t>2010</w:t>
      </w:r>
      <w:r w:rsidRPr="00E168FB">
        <w:rPr>
          <w:rFonts w:eastAsia="楷体"/>
          <w:lang w:val="zh-CN"/>
        </w:rPr>
        <w:t>年国际法院案例汇编》</w:t>
      </w:r>
      <w:r w:rsidRPr="00E168FB">
        <w:rPr>
          <w:lang w:val="zh-CN"/>
        </w:rPr>
        <w:t>，第</w:t>
      </w:r>
      <w:r w:rsidRPr="00E168FB">
        <w:rPr>
          <w:lang w:val="zh-CN"/>
        </w:rPr>
        <w:t>403</w:t>
      </w:r>
      <w:r w:rsidRPr="00E168FB">
        <w:rPr>
          <w:lang w:val="zh-CN"/>
        </w:rPr>
        <w:t>页起，见第</w:t>
      </w:r>
      <w:r w:rsidRPr="00E168FB">
        <w:rPr>
          <w:lang w:val="zh-CN"/>
        </w:rPr>
        <w:t>437</w:t>
      </w:r>
      <w:r w:rsidRPr="00E168FB">
        <w:rPr>
          <w:lang w:val="zh-CN"/>
        </w:rPr>
        <w:t>页，第</w:t>
      </w:r>
      <w:r w:rsidRPr="00E168FB">
        <w:rPr>
          <w:lang w:val="zh-CN"/>
        </w:rPr>
        <w:t>80</w:t>
      </w:r>
      <w:r w:rsidRPr="00E168FB">
        <w:rPr>
          <w:lang w:val="zh-CN"/>
        </w:rPr>
        <w:t>段；在此意义上，例如</w:t>
      </w:r>
      <w:r w:rsidRPr="00E168FB">
        <w:t>L.B. Sohn,</w:t>
      </w:r>
      <w:r w:rsidRPr="00E168FB">
        <w:rPr>
          <w:rFonts w:hint="eastAsia"/>
        </w:rPr>
        <w:t>“</w:t>
      </w:r>
      <w:r w:rsidRPr="00E168FB">
        <w:t>The UN system as authoritative interpreter of its law</w:t>
      </w:r>
      <w:r w:rsidRPr="00E168FB">
        <w:rPr>
          <w:rFonts w:hint="eastAsia"/>
        </w:rPr>
        <w:t>”</w:t>
      </w:r>
      <w:r w:rsidRPr="00E168FB">
        <w:t>，</w:t>
      </w:r>
      <w:r w:rsidRPr="00E168FB">
        <w:t xml:space="preserve">in </w:t>
      </w:r>
      <w:r w:rsidRPr="00E168FB">
        <w:rPr>
          <w:i/>
        </w:rPr>
        <w:t xml:space="preserve">United Nations Legal Order, </w:t>
      </w:r>
      <w:r w:rsidRPr="00E168FB">
        <w:t>vol. 1, O. Schachter and C.C. Joyner, eds. (Cambridge, American Society of International Law/Cambridge University Press, 1995)</w:t>
      </w:r>
      <w:r w:rsidRPr="00E168FB">
        <w:t>，</w:t>
      </w:r>
      <w:r w:rsidRPr="00E168FB">
        <w:t>pp. 169-229, at p. 177 (</w:t>
      </w:r>
      <w:r w:rsidRPr="00E168FB">
        <w:rPr>
          <w:lang w:val="zh-CN"/>
        </w:rPr>
        <w:t>针对</w:t>
      </w:r>
      <w:r w:rsidRPr="00E168FB">
        <w:rPr>
          <w:rFonts w:eastAsia="楷体"/>
          <w:lang w:val="zh-CN"/>
        </w:rPr>
        <w:t>尼加拉瓜案</w:t>
      </w:r>
      <w:r w:rsidRPr="00E168FB">
        <w:rPr>
          <w:lang w:val="zh-CN"/>
        </w:rPr>
        <w:t>指出</w:t>
      </w:r>
      <w:r w:rsidRPr="00E168FB">
        <w:t>，</w:t>
      </w:r>
      <w:r w:rsidRPr="00E168FB">
        <w:rPr>
          <w:rFonts w:hint="eastAsia"/>
        </w:rPr>
        <w:t>“</w:t>
      </w:r>
      <w:r w:rsidRPr="00E168FB">
        <w:rPr>
          <w:lang w:val="zh-CN"/>
        </w:rPr>
        <w:t>法院同意《友好关系宣言》是对《宪章》的权威解释</w:t>
      </w:r>
      <w:r w:rsidRPr="00E168FB">
        <w:rPr>
          <w:rFonts w:hint="eastAsia"/>
        </w:rPr>
        <w:t>”</w:t>
      </w:r>
      <w:r w:rsidRPr="00E168FB">
        <w:t>)</w:t>
      </w:r>
      <w:r w:rsidRPr="00E168FB">
        <w:rPr>
          <w:lang w:val="zh-CN"/>
        </w:rPr>
        <w:t>。</w:t>
      </w:r>
    </w:p>
  </w:footnote>
  <w:footnote w:id="934">
    <w:p w:rsidR="00AB00DE" w:rsidRPr="00E168FB" w:rsidRDefault="00AB00DE" w:rsidP="00B75685">
      <w:pPr>
        <w:pStyle w:val="a4"/>
      </w:pPr>
      <w:r w:rsidRPr="00E168FB">
        <w:tab/>
      </w:r>
      <w:r w:rsidRPr="00D54A01">
        <w:rPr>
          <w:rStyle w:val="a5"/>
          <w:szCs w:val="21"/>
        </w:rPr>
        <w:footnoteRef/>
      </w:r>
      <w:r w:rsidRPr="00E168FB">
        <w:tab/>
        <w:t xml:space="preserve">H. G. Schermers and N. M. Blokker, </w:t>
      </w:r>
      <w:r w:rsidRPr="00E168FB">
        <w:rPr>
          <w:i/>
          <w:iCs/>
        </w:rPr>
        <w:t xml:space="preserve">International Institutional Law, </w:t>
      </w:r>
      <w:r w:rsidRPr="00E168FB">
        <w:t>5th revised edition  (Leiden/Boston, Martinus Nijhoff, 2011)</w:t>
      </w:r>
      <w:r w:rsidRPr="00E168FB">
        <w:t>，</w:t>
      </w:r>
      <w:r w:rsidRPr="00E168FB">
        <w:t>p. 854 (</w:t>
      </w:r>
      <w:r w:rsidRPr="00E168FB">
        <w:rPr>
          <w:lang w:val="zh-CN"/>
        </w:rPr>
        <w:t>提到油污赔偿基金大会就基金组成文书所作的解释</w:t>
      </w:r>
      <w:r w:rsidRPr="00E168FB">
        <w:t>)</w:t>
      </w:r>
      <w:r w:rsidRPr="00E168FB">
        <w:t>；</w:t>
      </w:r>
      <w:r w:rsidRPr="00E168FB">
        <w:t>M. Cogen,</w:t>
      </w:r>
      <w:r w:rsidRPr="00E168FB">
        <w:rPr>
          <w:rFonts w:hint="eastAsia"/>
        </w:rPr>
        <w:t>“</w:t>
      </w:r>
      <w:r w:rsidRPr="00E168FB">
        <w:t>Membership, associate membership and pre-accession arrangements of CERN, ESO, ESA, and EUMETSAT</w:t>
      </w:r>
      <w:r w:rsidRPr="00E168FB">
        <w:rPr>
          <w:rFonts w:hint="eastAsia"/>
        </w:rPr>
        <w:t>”</w:t>
      </w:r>
      <w:r w:rsidRPr="00E168FB">
        <w:t>，</w:t>
      </w:r>
      <w:r w:rsidRPr="00E168FB">
        <w:rPr>
          <w:i/>
          <w:iCs/>
        </w:rPr>
        <w:t xml:space="preserve">International Organizations Law Review, </w:t>
      </w:r>
      <w:r w:rsidRPr="00E168FB">
        <w:t>vol. 9 (2012)</w:t>
      </w:r>
      <w:r w:rsidRPr="00E168FB">
        <w:t>，</w:t>
      </w:r>
      <w:r w:rsidRPr="00E168FB">
        <w:t>pp. 145-179, at pp. 157-158 (</w:t>
      </w:r>
      <w:r w:rsidRPr="00E168FB">
        <w:rPr>
          <w:lang w:val="zh-CN"/>
        </w:rPr>
        <w:t>提到</w:t>
      </w:r>
      <w:r w:rsidRPr="00E168FB">
        <w:t>2010</w:t>
      </w:r>
      <w:r w:rsidRPr="00E168FB">
        <w:rPr>
          <w:lang w:val="zh-CN"/>
        </w:rPr>
        <w:t>年</w:t>
      </w:r>
      <w:r w:rsidRPr="00E168FB">
        <w:t>6</w:t>
      </w:r>
      <w:r w:rsidRPr="00E168FB">
        <w:rPr>
          <w:lang w:val="zh-CN"/>
        </w:rPr>
        <w:t>月</w:t>
      </w:r>
      <w:r w:rsidRPr="00E168FB">
        <w:t>17</w:t>
      </w:r>
      <w:r w:rsidRPr="00E168FB">
        <w:rPr>
          <w:lang w:val="zh-CN"/>
        </w:rPr>
        <w:t>日欧洲核研究组织一致通过</w:t>
      </w:r>
      <w:r w:rsidRPr="00E168FB">
        <w:t>决定，</w:t>
      </w:r>
      <w:r w:rsidRPr="00E168FB">
        <w:rPr>
          <w:lang w:val="zh-CN"/>
        </w:rPr>
        <w:t>该决定将《欧洲核研究组织公约》的接纳标准解释为属于</w:t>
      </w:r>
      <w:r w:rsidRPr="00E168FB">
        <w:t>1969</w:t>
      </w:r>
      <w:r w:rsidRPr="00E168FB">
        <w:rPr>
          <w:lang w:val="zh-CN"/>
        </w:rPr>
        <w:t>年《维也纳公约》第三十一条第三款</w:t>
      </w:r>
      <w:r w:rsidRPr="00E168FB">
        <w:t>(a)</w:t>
      </w:r>
      <w:r w:rsidRPr="00E168FB">
        <w:rPr>
          <w:lang w:val="zh-CN"/>
        </w:rPr>
        <w:t>项所述的嗣后协定</w:t>
      </w:r>
      <w:r w:rsidRPr="00E168FB">
        <w:t>)</w:t>
      </w:r>
      <w:r w:rsidRPr="00E168FB">
        <w:rPr>
          <w:lang w:val="zh-CN"/>
        </w:rPr>
        <w:t>。</w:t>
      </w:r>
      <w:r w:rsidRPr="00E168FB">
        <w:t xml:space="preserve"> </w:t>
      </w:r>
    </w:p>
  </w:footnote>
  <w:footnote w:id="935">
    <w:p w:rsidR="00AB00DE" w:rsidRPr="00E168FB" w:rsidRDefault="00AB00DE" w:rsidP="00D90936">
      <w:pPr>
        <w:pStyle w:val="a4"/>
      </w:pPr>
      <w:r w:rsidRPr="00E168FB">
        <w:tab/>
      </w:r>
      <w:r w:rsidRPr="00D54A01">
        <w:rPr>
          <w:rStyle w:val="a5"/>
          <w:szCs w:val="21"/>
        </w:rPr>
        <w:footnoteRef/>
      </w:r>
      <w:r w:rsidRPr="00E168FB">
        <w:tab/>
      </w:r>
      <w:r w:rsidRPr="00E168FB">
        <w:rPr>
          <w:lang w:val="zh-CN"/>
        </w:rPr>
        <w:t>见</w:t>
      </w:r>
      <w:r w:rsidRPr="00E168FB">
        <w:t>E. Jimémez de Aréchega,</w:t>
      </w:r>
      <w:r w:rsidRPr="00E168FB">
        <w:rPr>
          <w:rFonts w:hint="eastAsia"/>
        </w:rPr>
        <w:t>“</w:t>
      </w:r>
      <w:r w:rsidRPr="00E168FB">
        <w:t>International law in the past third of a century</w:t>
      </w:r>
      <w:r w:rsidRPr="00E168FB">
        <w:rPr>
          <w:rFonts w:hint="eastAsia"/>
        </w:rPr>
        <w:t>”</w:t>
      </w:r>
      <w:r w:rsidRPr="00E168FB">
        <w:t>，</w:t>
      </w:r>
      <w:r w:rsidRPr="00E168FB">
        <w:rPr>
          <w:i/>
          <w:iCs/>
        </w:rPr>
        <w:t>Recueil des Cours</w:t>
      </w:r>
      <w:r w:rsidRPr="00E168FB">
        <w:t xml:space="preserve"> …</w:t>
      </w:r>
      <w:r w:rsidRPr="00E168FB">
        <w:rPr>
          <w:i/>
          <w:iCs/>
        </w:rPr>
        <w:t xml:space="preserve">1978, </w:t>
      </w:r>
      <w:r w:rsidRPr="00E168FB">
        <w:t>vol. 159, pp. 1-334, at p. 32 (</w:t>
      </w:r>
      <w:r w:rsidRPr="00E168FB">
        <w:rPr>
          <w:lang w:val="zh-CN"/>
        </w:rPr>
        <w:t>谈到《友好关系宣言》时指出</w:t>
      </w:r>
      <w:r w:rsidRPr="00E168FB">
        <w:t>，</w:t>
      </w:r>
      <w:r w:rsidRPr="00E168FB">
        <w:rPr>
          <w:rFonts w:hint="eastAsia"/>
        </w:rPr>
        <w:t>“</w:t>
      </w:r>
      <w:r w:rsidRPr="00E168FB">
        <w:rPr>
          <w:lang w:val="zh-CN"/>
        </w:rPr>
        <w:t>该决议</w:t>
      </w:r>
      <w:r w:rsidRPr="00E168FB">
        <w:rPr>
          <w:rFonts w:hint="eastAsia"/>
        </w:rPr>
        <w:t>……</w:t>
      </w:r>
      <w:r w:rsidRPr="00E168FB">
        <w:rPr>
          <w:lang w:val="zh-CN"/>
        </w:rPr>
        <w:t>构成了《宪章》全体缔约方对这些基本原则所持观点和由此产生的某些推论的权威表述。鉴于这种情形，《宣言》的法律份量和权威似乎难以否认：它既是确认</w:t>
      </w:r>
      <w:r w:rsidRPr="00E168FB">
        <w:t>会员国</w:t>
      </w:r>
      <w:r w:rsidRPr="00E168FB">
        <w:rPr>
          <w:lang w:val="zh-CN"/>
        </w:rPr>
        <w:t>自己认为习惯法现有准则之构成的决议，又是其所有成员通过嗣后协定和嗣后惯例对《宪章》的解释</w:t>
      </w:r>
      <w:r w:rsidRPr="00E168FB">
        <w:rPr>
          <w:rFonts w:hint="eastAsia"/>
          <w:lang w:val="zh-CN"/>
        </w:rPr>
        <w:t>”</w:t>
      </w:r>
      <w:r w:rsidRPr="00E168FB">
        <w:rPr>
          <w:lang w:val="zh-CN"/>
        </w:rPr>
        <w:t>)</w:t>
      </w:r>
      <w:r w:rsidRPr="00E168FB">
        <w:rPr>
          <w:lang w:val="zh-CN"/>
        </w:rPr>
        <w:t>；</w:t>
      </w:r>
      <w:r w:rsidRPr="00E168FB">
        <w:rPr>
          <w:lang w:val="zh-CN"/>
        </w:rPr>
        <w:t>O. Schachter,</w:t>
      </w:r>
      <w:r w:rsidRPr="00E168FB">
        <w:rPr>
          <w:rFonts w:hint="eastAsia"/>
          <w:lang w:val="zh-CN"/>
        </w:rPr>
        <w:t>“</w:t>
      </w:r>
      <w:r w:rsidRPr="00E168FB">
        <w:rPr>
          <w:lang w:val="zh-CN"/>
        </w:rPr>
        <w:t>General course in public international law</w:t>
      </w:r>
      <w:r w:rsidRPr="00E168FB">
        <w:rPr>
          <w:rFonts w:hint="eastAsia"/>
          <w:lang w:val="zh-CN"/>
        </w:rPr>
        <w:t>”</w:t>
      </w:r>
      <w:r w:rsidRPr="00E168FB">
        <w:rPr>
          <w:lang w:val="zh-CN"/>
        </w:rPr>
        <w:t>，</w:t>
      </w:r>
      <w:r w:rsidRPr="00E168FB">
        <w:rPr>
          <w:i/>
          <w:iCs/>
          <w:lang w:val="zh-CN"/>
        </w:rPr>
        <w:t xml:space="preserve">Recueil des Cours …1982, </w:t>
      </w:r>
      <w:r w:rsidRPr="00E168FB">
        <w:rPr>
          <w:lang w:val="zh-CN"/>
        </w:rPr>
        <w:t>vol. 178, pp. 9-396, at p. 113 (</w:t>
      </w:r>
      <w:r w:rsidRPr="00E168FB">
        <w:rPr>
          <w:rFonts w:hint="eastAsia"/>
          <w:lang w:val="zh-CN"/>
        </w:rPr>
        <w:t>“……</w:t>
      </w:r>
      <w:r w:rsidRPr="00E168FB">
        <w:rPr>
          <w:lang w:val="zh-CN"/>
        </w:rPr>
        <w:t>可把用于解释和</w:t>
      </w:r>
      <w:r w:rsidRPr="00E168FB">
        <w:rPr>
          <w:rFonts w:hint="eastAsia"/>
          <w:lang w:val="zh-CN"/>
        </w:rPr>
        <w:t>‘</w:t>
      </w:r>
      <w:r w:rsidRPr="00E168FB">
        <w:rPr>
          <w:lang w:val="zh-CN"/>
        </w:rPr>
        <w:t>具体化</w:t>
      </w:r>
      <w:r w:rsidRPr="00E168FB">
        <w:rPr>
          <w:rFonts w:hint="eastAsia"/>
          <w:lang w:val="zh-CN"/>
        </w:rPr>
        <w:t>’</w:t>
      </w:r>
      <w:r w:rsidRPr="00E168FB">
        <w:rPr>
          <w:lang w:val="zh-CN"/>
        </w:rPr>
        <w:t>《宪章》各项原则</w:t>
      </w:r>
      <w:r w:rsidRPr="00E168FB">
        <w:rPr>
          <w:lang w:val="zh-CN"/>
        </w:rPr>
        <w:t>(</w:t>
      </w:r>
      <w:r w:rsidRPr="00E168FB">
        <w:rPr>
          <w:lang w:val="zh-CN"/>
        </w:rPr>
        <w:t>不论是作为一般规则还是针对具体情形</w:t>
      </w:r>
      <w:r w:rsidRPr="00E168FB">
        <w:rPr>
          <w:lang w:val="zh-CN"/>
        </w:rPr>
        <w:t>)</w:t>
      </w:r>
      <w:r w:rsidRPr="00E168FB">
        <w:rPr>
          <w:lang w:val="zh-CN"/>
        </w:rPr>
        <w:t>的法律宣示性决议视为缔约方对其现有条约义务的权威解释。在此意义上，这些决议属于解释，且经所有会员国同意，所以完全属于确定的法律渊源。</w:t>
      </w:r>
      <w:r w:rsidRPr="00E168FB">
        <w:rPr>
          <w:rFonts w:hint="eastAsia"/>
        </w:rPr>
        <w:t>”</w:t>
      </w:r>
      <w:r w:rsidRPr="00E168FB">
        <w:t>)</w:t>
      </w:r>
      <w:r w:rsidRPr="00E168FB">
        <w:t>；</w:t>
      </w:r>
      <w:r w:rsidRPr="00E168FB">
        <w:t>P. Kunig,</w:t>
      </w:r>
      <w:r w:rsidRPr="00E168FB">
        <w:rPr>
          <w:rFonts w:hint="eastAsia"/>
        </w:rPr>
        <w:t>“</w:t>
      </w:r>
      <w:r w:rsidRPr="00E168FB">
        <w:t>United Nations Charter, interpretation of</w:t>
      </w:r>
      <w:r w:rsidRPr="00E168FB">
        <w:rPr>
          <w:rFonts w:hint="eastAsia"/>
        </w:rPr>
        <w:t>”</w:t>
      </w:r>
      <w:r w:rsidRPr="00E168FB">
        <w:t>，</w:t>
      </w:r>
      <w:r w:rsidRPr="00E168FB">
        <w:t xml:space="preserve">in </w:t>
      </w:r>
      <w:r w:rsidRPr="00E168FB">
        <w:rPr>
          <w:i/>
          <w:iCs/>
        </w:rPr>
        <w:t xml:space="preserve">Max Planck Encyclopedia of Public International Law, </w:t>
      </w:r>
      <w:r w:rsidRPr="00E168FB">
        <w:t>vol. X (</w:t>
      </w:r>
      <w:r w:rsidRPr="00E168FB">
        <w:rPr>
          <w:rFonts w:hint="eastAsia"/>
        </w:rPr>
        <w:t>www.mpepil.com</w:t>
      </w:r>
      <w:r w:rsidRPr="00E168FB">
        <w:t>)</w:t>
      </w:r>
      <w:r w:rsidRPr="00E168FB">
        <w:t>，</w:t>
      </w:r>
      <w:r w:rsidRPr="00E168FB">
        <w:t xml:space="preserve"> p. 273 et seq.</w:t>
      </w:r>
      <w:r w:rsidRPr="00E168FB">
        <w:t>，</w:t>
      </w:r>
      <w:r w:rsidRPr="00E168FB">
        <w:t>at p. 275(</w:t>
      </w:r>
      <w:r w:rsidRPr="00E168FB">
        <w:rPr>
          <w:lang w:val="zh-CN"/>
        </w:rPr>
        <w:t>指出</w:t>
      </w:r>
      <w:r w:rsidRPr="00E168FB">
        <w:t>，</w:t>
      </w:r>
      <w:r w:rsidRPr="00E168FB">
        <w:rPr>
          <w:rFonts w:hint="eastAsia"/>
        </w:rPr>
        <w:t>“</w:t>
      </w:r>
      <w:r w:rsidRPr="00E168FB">
        <w:rPr>
          <w:lang w:val="zh-CN"/>
        </w:rPr>
        <w:t>它们</w:t>
      </w:r>
      <w:r w:rsidRPr="00E168FB">
        <w:t>[</w:t>
      </w:r>
      <w:r w:rsidRPr="00E168FB">
        <w:rPr>
          <w:lang w:val="zh-CN"/>
        </w:rPr>
        <w:t>即大会决议</w:t>
      </w:r>
      <w:r w:rsidRPr="00E168FB">
        <w:t>]</w:t>
      </w:r>
      <w:r w:rsidRPr="00E168FB">
        <w:rPr>
          <w:lang w:val="zh-CN"/>
        </w:rPr>
        <w:t>如果以协商一致的方式获得通过</w:t>
      </w:r>
      <w:r w:rsidRPr="00E168FB">
        <w:t>，</w:t>
      </w:r>
      <w:r w:rsidRPr="00E168FB">
        <w:rPr>
          <w:lang w:val="zh-CN"/>
        </w:rPr>
        <w:t>就能在</w:t>
      </w:r>
      <w:r w:rsidRPr="00E168FB">
        <w:rPr>
          <w:rFonts w:hint="eastAsia"/>
        </w:rPr>
        <w:t>……</w:t>
      </w:r>
      <w:r w:rsidRPr="00E168FB">
        <w:rPr>
          <w:lang w:val="zh-CN"/>
        </w:rPr>
        <w:t>解释《联合国宪章》方面发挥重大作用</w:t>
      </w:r>
      <w:r w:rsidRPr="00E168FB">
        <w:rPr>
          <w:rFonts w:hint="eastAsia"/>
        </w:rPr>
        <w:t>”</w:t>
      </w:r>
      <w:r w:rsidRPr="00E168FB">
        <w:t>)</w:t>
      </w:r>
      <w:r w:rsidRPr="00E168FB">
        <w:t>；</w:t>
      </w:r>
      <w:r w:rsidRPr="00E168FB">
        <w:t xml:space="preserve">Aust, </w:t>
      </w:r>
      <w:r w:rsidRPr="00E168FB">
        <w:rPr>
          <w:i/>
          <w:iCs/>
        </w:rPr>
        <w:t>Modern Treaty Law and Practice</w:t>
      </w:r>
      <w:r w:rsidRPr="00E168FB">
        <w:t>(</w:t>
      </w:r>
      <w:r w:rsidRPr="00E168FB">
        <w:rPr>
          <w:lang w:val="zh-CN"/>
        </w:rPr>
        <w:t>见上文脚注</w:t>
      </w:r>
      <w:r>
        <w:fldChar w:fldCharType="begin"/>
      </w:r>
      <w:r>
        <w:instrText xml:space="preserve"> </w:instrText>
      </w:r>
      <w:r>
        <w:rPr>
          <w:rFonts w:hint="eastAsia"/>
        </w:rPr>
        <w:instrText>NOTEREF _Ref461972435 \h</w:instrText>
      </w:r>
      <w:r>
        <w:instrText xml:space="preserve"> </w:instrText>
      </w:r>
      <w:r>
        <w:fldChar w:fldCharType="separate"/>
      </w:r>
      <w:r w:rsidR="00A73EB9">
        <w:t>525</w:t>
      </w:r>
      <w:r>
        <w:fldChar w:fldCharType="end"/>
      </w:r>
      <w:r w:rsidRPr="00E168FB">
        <w:t>)</w:t>
      </w:r>
      <w:r w:rsidRPr="00E168FB">
        <w:t>，</w:t>
      </w:r>
      <w:r w:rsidRPr="00E168FB">
        <w:rPr>
          <w:lang w:val="zh-CN"/>
        </w:rPr>
        <w:t>第</w:t>
      </w:r>
      <w:r w:rsidRPr="00E168FB">
        <w:t>213</w:t>
      </w:r>
      <w:r w:rsidRPr="00E168FB">
        <w:rPr>
          <w:lang w:val="zh-CN"/>
        </w:rPr>
        <w:t>页</w:t>
      </w:r>
      <w:r w:rsidRPr="00E168FB">
        <w:t>(</w:t>
      </w:r>
      <w:r w:rsidRPr="00E168FB">
        <w:rPr>
          <w:lang w:val="zh-CN"/>
        </w:rPr>
        <w:t>提到联合国大会</w:t>
      </w:r>
      <w:r w:rsidRPr="00E168FB">
        <w:t>1996</w:t>
      </w:r>
      <w:r w:rsidRPr="00E168FB">
        <w:rPr>
          <w:lang w:val="zh-CN"/>
        </w:rPr>
        <w:t>年</w:t>
      </w:r>
      <w:r w:rsidRPr="00E168FB">
        <w:t>12</w:t>
      </w:r>
      <w:r w:rsidRPr="00E168FB">
        <w:rPr>
          <w:lang w:val="zh-CN"/>
        </w:rPr>
        <w:t>月</w:t>
      </w:r>
      <w:r w:rsidRPr="00E168FB">
        <w:t>17</w:t>
      </w:r>
      <w:r w:rsidRPr="00E168FB">
        <w:rPr>
          <w:lang w:val="zh-CN"/>
        </w:rPr>
        <w:t>日关于消除国际恐怖主义的措施的第</w:t>
      </w:r>
      <w:r w:rsidRPr="00E168FB">
        <w:t>51/210</w:t>
      </w:r>
      <w:r w:rsidRPr="00E168FB">
        <w:rPr>
          <w:lang w:val="zh-CN"/>
        </w:rPr>
        <w:t>号决议</w:t>
      </w:r>
      <w:r w:rsidRPr="00E168FB">
        <w:rPr>
          <w:rFonts w:hint="eastAsia"/>
        </w:rPr>
        <w:t>“</w:t>
      </w:r>
      <w:r w:rsidRPr="00E168FB">
        <w:rPr>
          <w:lang w:val="zh-CN"/>
        </w:rPr>
        <w:t>可被视为关于解释《联合国宪章》的嗣后协定</w:t>
      </w:r>
      <w:r w:rsidRPr="00E168FB">
        <w:rPr>
          <w:rFonts w:hint="eastAsia"/>
        </w:rPr>
        <w:t>”</w:t>
      </w:r>
      <w:r w:rsidRPr="00E168FB">
        <w:t>)</w:t>
      </w:r>
      <w:r w:rsidRPr="00E168FB">
        <w:rPr>
          <w:lang w:val="zh-CN"/>
        </w:rPr>
        <w:t>。</w:t>
      </w:r>
      <w:r w:rsidRPr="00E168FB">
        <w:rPr>
          <w:rFonts w:hint="eastAsia"/>
          <w:lang w:val="zh-CN"/>
        </w:rPr>
        <w:t>著述者</w:t>
      </w:r>
      <w:r w:rsidRPr="00E168FB">
        <w:rPr>
          <w:lang w:val="zh-CN"/>
        </w:rPr>
        <w:t>提到的所有决议均以协商一致的方式获得通过。</w:t>
      </w:r>
    </w:p>
  </w:footnote>
  <w:footnote w:id="936">
    <w:p w:rsidR="00AB00DE" w:rsidRPr="00E168FB" w:rsidRDefault="00AB00DE" w:rsidP="00B75685">
      <w:pPr>
        <w:pStyle w:val="a4"/>
      </w:pPr>
      <w:r w:rsidRPr="00E168FB">
        <w:rPr>
          <w:lang w:val="zh-CN"/>
        </w:rPr>
        <w:tab/>
      </w:r>
      <w:r w:rsidRPr="00D54A01">
        <w:rPr>
          <w:rStyle w:val="a5"/>
          <w:szCs w:val="21"/>
        </w:rPr>
        <w:footnoteRef/>
      </w:r>
      <w:r w:rsidRPr="00E168FB">
        <w:rPr>
          <w:lang w:val="zh-CN"/>
        </w:rPr>
        <w:tab/>
      </w:r>
      <w:r w:rsidRPr="00E168FB">
        <w:rPr>
          <w:lang w:val="zh-CN"/>
        </w:rPr>
        <w:t>世贸组织上诉</w:t>
      </w:r>
      <w:r w:rsidRPr="00E168FB">
        <w:t>机构</w:t>
      </w:r>
      <w:r w:rsidRPr="00E168FB">
        <w:rPr>
          <w:lang w:val="zh-CN"/>
        </w:rPr>
        <w:t>报告，</w:t>
      </w:r>
      <w:r w:rsidRPr="00E168FB">
        <w:rPr>
          <w:rFonts w:eastAsia="楷体"/>
          <w:lang w:val="zh-CN"/>
        </w:rPr>
        <w:t>美国</w:t>
      </w:r>
      <w:r w:rsidRPr="00E168FB">
        <w:rPr>
          <w:rFonts w:eastAsia="楷体" w:hint="eastAsia"/>
          <w:lang w:val="zh-CN"/>
        </w:rPr>
        <w:t>－</w:t>
      </w:r>
      <w:r w:rsidRPr="00E168FB">
        <w:rPr>
          <w:rFonts w:eastAsia="楷体"/>
          <w:lang w:val="zh-CN"/>
        </w:rPr>
        <w:t>影响丁香烟生产和销售</w:t>
      </w:r>
      <w:r w:rsidRPr="00E168FB">
        <w:rPr>
          <w:rFonts w:eastAsia="楷体" w:hint="eastAsia"/>
          <w:lang w:val="zh-CN"/>
        </w:rPr>
        <w:t>的</w:t>
      </w:r>
      <w:r w:rsidRPr="00E168FB">
        <w:rPr>
          <w:rFonts w:eastAsia="楷体"/>
          <w:lang w:val="zh-CN"/>
        </w:rPr>
        <w:t>措施</w:t>
      </w:r>
      <w:r w:rsidRPr="00E168FB">
        <w:rPr>
          <w:rFonts w:eastAsia="楷体" w:hint="eastAsia"/>
          <w:lang w:val="zh-CN"/>
        </w:rPr>
        <w:t>案</w:t>
      </w:r>
      <w:r w:rsidRPr="00E168FB">
        <w:rPr>
          <w:rFonts w:hint="eastAsia"/>
          <w:lang w:val="zh-CN"/>
        </w:rPr>
        <w:t>，</w:t>
      </w:r>
      <w:r w:rsidRPr="00E168FB">
        <w:rPr>
          <w:lang w:val="zh-CN"/>
        </w:rPr>
        <w:t>WT/DS406/AB/R, 2012</w:t>
      </w:r>
      <w:r w:rsidRPr="00E168FB">
        <w:rPr>
          <w:lang w:val="zh-CN"/>
        </w:rPr>
        <w:t>年</w:t>
      </w:r>
      <w:r w:rsidRPr="00E168FB">
        <w:rPr>
          <w:lang w:val="zh-CN"/>
        </w:rPr>
        <w:t>4</w:t>
      </w:r>
      <w:r w:rsidRPr="00E168FB">
        <w:rPr>
          <w:lang w:val="zh-CN"/>
        </w:rPr>
        <w:t>月</w:t>
      </w:r>
      <w:r>
        <w:rPr>
          <w:rFonts w:hint="eastAsia"/>
          <w:lang w:val="zh-CN"/>
        </w:rPr>
        <w:t>2</w:t>
      </w:r>
      <w:r w:rsidRPr="00E168FB">
        <w:rPr>
          <w:lang w:val="zh-CN"/>
        </w:rPr>
        <w:t>4</w:t>
      </w:r>
      <w:r w:rsidRPr="00E168FB">
        <w:rPr>
          <w:lang w:val="zh-CN"/>
        </w:rPr>
        <w:t>日通过，第</w:t>
      </w:r>
      <w:r w:rsidRPr="00E168FB">
        <w:rPr>
          <w:lang w:val="zh-CN"/>
        </w:rPr>
        <w:t>265</w:t>
      </w:r>
      <w:r w:rsidRPr="00E168FB">
        <w:rPr>
          <w:lang w:val="zh-CN"/>
        </w:rPr>
        <w:t>段。</w:t>
      </w:r>
    </w:p>
  </w:footnote>
  <w:footnote w:id="937">
    <w:p w:rsidR="00AB00DE" w:rsidRPr="00E168FB" w:rsidRDefault="00AB00DE" w:rsidP="00B75685">
      <w:pPr>
        <w:pStyle w:val="a4"/>
      </w:pPr>
      <w:r w:rsidRPr="00E168FB">
        <w:rPr>
          <w:lang w:val="zh-CN"/>
        </w:rPr>
        <w:tab/>
      </w:r>
      <w:r w:rsidRPr="00D54A01">
        <w:rPr>
          <w:rStyle w:val="a5"/>
          <w:szCs w:val="21"/>
        </w:rPr>
        <w:footnoteRef/>
      </w:r>
      <w:r w:rsidRPr="00E168FB">
        <w:tab/>
        <w:t xml:space="preserve">Y. Bonzon, </w:t>
      </w:r>
      <w:r w:rsidRPr="00E168FB">
        <w:rPr>
          <w:i/>
          <w:iCs/>
        </w:rPr>
        <w:t>Public Participation and Legitimacy in the WTO</w:t>
      </w:r>
      <w:r w:rsidRPr="00E168FB">
        <w:t>(Cambridge, Cambridge University Press, 2014)</w:t>
      </w:r>
      <w:r w:rsidRPr="00E168FB">
        <w:t>，</w:t>
      </w:r>
      <w:r w:rsidRPr="00E168FB">
        <w:t>pp. 114-115.</w:t>
      </w:r>
      <w:r w:rsidRPr="00E168FB">
        <w:rPr>
          <w:rFonts w:hint="eastAsia"/>
        </w:rPr>
        <w:t xml:space="preserve"> </w:t>
      </w:r>
    </w:p>
  </w:footnote>
  <w:footnote w:id="938">
    <w:p w:rsidR="00AB00DE" w:rsidRPr="00E168FB" w:rsidRDefault="00AB00DE" w:rsidP="00B75685">
      <w:pPr>
        <w:pStyle w:val="a4"/>
      </w:pPr>
      <w:r w:rsidRPr="00E168FB">
        <w:tab/>
      </w:r>
      <w:r w:rsidRPr="00D54A01">
        <w:rPr>
          <w:rStyle w:val="a5"/>
          <w:szCs w:val="21"/>
        </w:rPr>
        <w:footnoteRef/>
      </w:r>
      <w:r w:rsidRPr="00E168FB">
        <w:rPr>
          <w:lang w:val="zh-CN"/>
        </w:rPr>
        <w:tab/>
      </w:r>
      <w:r w:rsidRPr="00E168FB">
        <w:rPr>
          <w:rFonts w:eastAsia="楷体"/>
          <w:lang w:val="zh-CN"/>
        </w:rPr>
        <w:t>南非不顾安全理事会第</w:t>
      </w:r>
      <w:r w:rsidRPr="00E168FB">
        <w:rPr>
          <w:rFonts w:eastAsia="楷体"/>
          <w:lang w:val="zh-CN"/>
        </w:rPr>
        <w:t>276(1970)</w:t>
      </w:r>
      <w:r w:rsidRPr="00E168FB">
        <w:rPr>
          <w:rFonts w:eastAsia="楷体"/>
          <w:lang w:val="zh-CN"/>
        </w:rPr>
        <w:t>号决议继续留驻纳米比亚</w:t>
      </w:r>
      <w:r w:rsidRPr="00E168FB">
        <w:rPr>
          <w:rFonts w:eastAsia="楷体"/>
          <w:lang w:val="zh-CN"/>
        </w:rPr>
        <w:t>(</w:t>
      </w:r>
      <w:r w:rsidRPr="00E168FB">
        <w:rPr>
          <w:rFonts w:eastAsia="楷体"/>
          <w:lang w:val="zh-CN"/>
        </w:rPr>
        <w:t>西南非洲</w:t>
      </w:r>
      <w:r w:rsidRPr="00E168FB">
        <w:rPr>
          <w:rFonts w:eastAsia="楷体"/>
          <w:lang w:val="zh-CN"/>
        </w:rPr>
        <w:t>)</w:t>
      </w:r>
      <w:r w:rsidRPr="00E168FB">
        <w:rPr>
          <w:rFonts w:eastAsia="楷体"/>
          <w:lang w:val="zh-CN"/>
        </w:rPr>
        <w:t>对各国的法律后果</w:t>
      </w:r>
      <w:r w:rsidRPr="00E168FB">
        <w:rPr>
          <w:lang w:val="zh-CN"/>
        </w:rPr>
        <w:t>，</w:t>
      </w:r>
      <w:r w:rsidRPr="00E168FB">
        <w:rPr>
          <w:rFonts w:eastAsia="楷体"/>
          <w:lang w:val="zh-CN"/>
        </w:rPr>
        <w:t>咨询意见，《</w:t>
      </w:r>
      <w:r w:rsidRPr="00E168FB">
        <w:rPr>
          <w:rFonts w:eastAsia="楷体"/>
          <w:lang w:val="zh-CN"/>
        </w:rPr>
        <w:t>1971</w:t>
      </w:r>
      <w:r w:rsidRPr="00E168FB">
        <w:rPr>
          <w:rFonts w:eastAsia="楷体"/>
          <w:lang w:val="zh-CN"/>
        </w:rPr>
        <w:t>年国际法院案例汇编》</w:t>
      </w:r>
      <w:r w:rsidRPr="00E168FB">
        <w:rPr>
          <w:lang w:val="zh-CN"/>
        </w:rPr>
        <w:t>，第</w:t>
      </w:r>
      <w:r w:rsidRPr="00E168FB">
        <w:rPr>
          <w:lang w:val="zh-CN"/>
        </w:rPr>
        <w:t>16</w:t>
      </w:r>
      <w:r w:rsidRPr="00E168FB">
        <w:rPr>
          <w:lang w:val="zh-CN"/>
        </w:rPr>
        <w:t>页起，见第</w:t>
      </w:r>
      <w:r w:rsidRPr="00E168FB">
        <w:rPr>
          <w:lang w:val="zh-CN"/>
        </w:rPr>
        <w:t>22</w:t>
      </w:r>
      <w:r w:rsidRPr="00E168FB">
        <w:rPr>
          <w:lang w:val="zh-CN"/>
        </w:rPr>
        <w:t>页。</w:t>
      </w:r>
    </w:p>
  </w:footnote>
  <w:footnote w:id="939">
    <w:p w:rsidR="00AB00DE" w:rsidRPr="00E168FB" w:rsidRDefault="00AB00DE" w:rsidP="00B75685">
      <w:pPr>
        <w:pStyle w:val="a4"/>
      </w:pPr>
      <w:r w:rsidRPr="00E168FB">
        <w:rPr>
          <w:lang w:val="zh-CN"/>
        </w:rPr>
        <w:tab/>
      </w:r>
      <w:r w:rsidRPr="00D54A01">
        <w:rPr>
          <w:rStyle w:val="a5"/>
          <w:szCs w:val="21"/>
        </w:rPr>
        <w:footnoteRef/>
      </w:r>
      <w:r w:rsidRPr="00E168FB">
        <w:rPr>
          <w:lang w:val="zh-CN"/>
        </w:rPr>
        <w:tab/>
      </w:r>
      <w:r w:rsidRPr="00E168FB">
        <w:t>H. Thirlway,</w:t>
      </w:r>
      <w:r w:rsidRPr="00E168FB">
        <w:rPr>
          <w:rFonts w:hint="eastAsia"/>
        </w:rPr>
        <w:t>“</w:t>
      </w:r>
      <w:r w:rsidRPr="00E168FB">
        <w:t>The law and procedure of the International Court of Justice 1960-1989, Part Two</w:t>
      </w:r>
      <w:r w:rsidRPr="00E168FB">
        <w:rPr>
          <w:rFonts w:hint="eastAsia"/>
        </w:rPr>
        <w:t>”</w:t>
      </w:r>
      <w:r w:rsidRPr="00E168FB">
        <w:t>，</w:t>
      </w:r>
      <w:r w:rsidRPr="00E168FB">
        <w:rPr>
          <w:i/>
        </w:rPr>
        <w:t xml:space="preserve">British Yearbook of International Law 1990, </w:t>
      </w:r>
      <w:r w:rsidRPr="00E168FB">
        <w:t xml:space="preserve">vol. 61, pp. 1-133, at pp. 76 </w:t>
      </w:r>
      <w:r w:rsidRPr="00E168FB">
        <w:rPr>
          <w:lang w:val="zh-CN"/>
        </w:rPr>
        <w:t>(</w:t>
      </w:r>
      <w:r w:rsidRPr="00E168FB">
        <w:rPr>
          <w:lang w:val="zh-CN"/>
        </w:rPr>
        <w:t>提到</w:t>
      </w:r>
      <w:r w:rsidRPr="00E168FB">
        <w:rPr>
          <w:rFonts w:hint="eastAsia"/>
          <w:lang w:val="zh-CN"/>
        </w:rPr>
        <w:t>“</w:t>
      </w:r>
      <w:r w:rsidRPr="00E168FB">
        <w:rPr>
          <w:lang w:val="zh-CN"/>
        </w:rPr>
        <w:t>法院提及该组织</w:t>
      </w:r>
      <w:r w:rsidRPr="00E168FB">
        <w:rPr>
          <w:rFonts w:hint="eastAsia"/>
          <w:lang w:val="zh-CN"/>
        </w:rPr>
        <w:t>‘</w:t>
      </w:r>
      <w:r w:rsidRPr="00E168FB">
        <w:rPr>
          <w:lang w:val="zh-CN"/>
        </w:rPr>
        <w:t>的</w:t>
      </w:r>
      <w:r w:rsidRPr="00E168FB">
        <w:rPr>
          <w:rFonts w:hint="eastAsia"/>
          <w:lang w:val="zh-CN"/>
        </w:rPr>
        <w:t>’</w:t>
      </w:r>
      <w:r w:rsidRPr="00E168FB">
        <w:rPr>
          <w:lang w:val="zh-CN"/>
        </w:rPr>
        <w:t>惯例，很可能是想指这不是该组织作为一个实体在其与国际法其他主体的关系中遵循的惯例，而是在整个组织范围内得到遵循、批准或尊重的惯例。从这个角度看，该惯例</w:t>
      </w:r>
      <w:r w:rsidRPr="00E168FB">
        <w:rPr>
          <w:rFonts w:hint="eastAsia"/>
          <w:lang w:val="zh-CN"/>
        </w:rPr>
        <w:t>……</w:t>
      </w:r>
      <w:r w:rsidRPr="00E168FB">
        <w:rPr>
          <w:lang w:val="zh-CN"/>
        </w:rPr>
        <w:t>不如说是在相关时刻安全理事会其他成员承认此类决议的有效性，实际上是所有会员国以默许接受的方式承认此类决议的有效性</w:t>
      </w:r>
      <w:r w:rsidRPr="00E168FB">
        <w:rPr>
          <w:rFonts w:hint="eastAsia"/>
          <w:lang w:val="zh-CN"/>
        </w:rPr>
        <w:t>”</w:t>
      </w:r>
      <w:r w:rsidRPr="00E168FB">
        <w:rPr>
          <w:lang w:val="zh-CN"/>
        </w:rPr>
        <w:t>)</w:t>
      </w:r>
      <w:r w:rsidRPr="00E168FB">
        <w:rPr>
          <w:lang w:val="zh-CN"/>
        </w:rPr>
        <w:t>。</w:t>
      </w:r>
    </w:p>
  </w:footnote>
  <w:footnote w:id="940">
    <w:p w:rsidR="00AB00DE" w:rsidRPr="00E168FB" w:rsidRDefault="00AB00DE" w:rsidP="00B75685">
      <w:pPr>
        <w:pStyle w:val="a4"/>
      </w:pPr>
      <w:r w:rsidRPr="00E168FB">
        <w:rPr>
          <w:lang w:val="zh-CN"/>
        </w:rPr>
        <w:tab/>
      </w:r>
      <w:r w:rsidRPr="00D54A01">
        <w:rPr>
          <w:rStyle w:val="a5"/>
          <w:szCs w:val="21"/>
        </w:rPr>
        <w:footnoteRef/>
      </w:r>
      <w:r w:rsidRPr="00E168FB">
        <w:rPr>
          <w:lang w:val="zh-CN"/>
        </w:rPr>
        <w:tab/>
      </w:r>
      <w:r w:rsidRPr="00E168FB">
        <w:rPr>
          <w:rFonts w:eastAsia="楷体"/>
          <w:lang w:val="zh-CN"/>
        </w:rPr>
        <w:t>在巴勒斯坦被占领土修建隔离墙的法律后果，咨询意见，《</w:t>
      </w:r>
      <w:r w:rsidRPr="00E168FB">
        <w:rPr>
          <w:rFonts w:eastAsia="楷体"/>
          <w:lang w:val="zh-CN"/>
        </w:rPr>
        <w:t>2004</w:t>
      </w:r>
      <w:r w:rsidRPr="00E168FB">
        <w:rPr>
          <w:rFonts w:eastAsia="楷体"/>
          <w:lang w:val="zh-CN"/>
        </w:rPr>
        <w:t>年国际法院案例汇编》</w:t>
      </w:r>
      <w:r w:rsidRPr="00E168FB">
        <w:rPr>
          <w:lang w:val="zh-CN"/>
        </w:rPr>
        <w:t>，第</w:t>
      </w:r>
      <w:r w:rsidRPr="00E168FB">
        <w:rPr>
          <w:lang w:val="zh-CN"/>
        </w:rPr>
        <w:t>136</w:t>
      </w:r>
      <w:r w:rsidRPr="00E168FB">
        <w:rPr>
          <w:lang w:val="zh-CN"/>
        </w:rPr>
        <w:t>页起，见第</w:t>
      </w:r>
      <w:r w:rsidRPr="00E168FB">
        <w:rPr>
          <w:lang w:val="zh-CN"/>
        </w:rPr>
        <w:t>150</w:t>
      </w:r>
      <w:r w:rsidRPr="00E168FB">
        <w:rPr>
          <w:lang w:val="zh-CN"/>
        </w:rPr>
        <w:t>页</w:t>
      </w:r>
      <w:r w:rsidRPr="00E168FB">
        <w:rPr>
          <w:lang w:val="zh-CN"/>
        </w:rPr>
        <w:t>(</w:t>
      </w:r>
      <w:r w:rsidRPr="00E168FB">
        <w:rPr>
          <w:lang w:val="zh-CN"/>
        </w:rPr>
        <w:t>强调</w:t>
      </w:r>
      <w:r w:rsidRPr="00E168FB">
        <w:rPr>
          <w:rFonts w:hint="eastAsia"/>
          <w:lang w:val="zh-CN"/>
        </w:rPr>
        <w:t>系本文所加</w:t>
      </w:r>
      <w:r w:rsidRPr="00E168FB">
        <w:rPr>
          <w:lang w:val="zh-CN"/>
        </w:rPr>
        <w:t>)</w:t>
      </w:r>
      <w:r w:rsidRPr="00E168FB">
        <w:rPr>
          <w:lang w:val="zh-CN"/>
        </w:rPr>
        <w:t>。</w:t>
      </w:r>
    </w:p>
  </w:footnote>
  <w:footnote w:id="941">
    <w:p w:rsidR="00AB00DE" w:rsidRPr="00E168FB" w:rsidRDefault="00AB00DE" w:rsidP="00B75685">
      <w:pPr>
        <w:pStyle w:val="a4"/>
      </w:pPr>
      <w:r w:rsidRPr="00E168FB">
        <w:rPr>
          <w:lang w:val="zh-CN"/>
        </w:rPr>
        <w:tab/>
      </w:r>
      <w:r w:rsidRPr="00D54A01">
        <w:rPr>
          <w:rStyle w:val="a5"/>
          <w:szCs w:val="21"/>
        </w:rPr>
        <w:footnoteRef/>
      </w:r>
      <w:r w:rsidRPr="00E168FB">
        <w:rPr>
          <w:lang w:val="zh-CN"/>
        </w:rPr>
        <w:tab/>
      </w:r>
      <w:r w:rsidRPr="00E168FB">
        <w:rPr>
          <w:rFonts w:eastAsia="楷体"/>
          <w:lang w:val="zh-CN"/>
        </w:rPr>
        <w:t>同上</w:t>
      </w:r>
      <w:r w:rsidRPr="00E168FB">
        <w:rPr>
          <w:lang w:val="zh-CN"/>
        </w:rPr>
        <w:t>。</w:t>
      </w:r>
    </w:p>
  </w:footnote>
  <w:footnote w:id="942">
    <w:p w:rsidR="00AB00DE" w:rsidRPr="00E168FB" w:rsidRDefault="00AB00DE" w:rsidP="00D90936">
      <w:pPr>
        <w:pStyle w:val="a4"/>
      </w:pPr>
      <w:r w:rsidRPr="00E168FB">
        <w:rPr>
          <w:lang w:val="zh-CN"/>
        </w:rPr>
        <w:tab/>
      </w:r>
      <w:r w:rsidRPr="00D54A01">
        <w:rPr>
          <w:rStyle w:val="a5"/>
          <w:szCs w:val="21"/>
        </w:rPr>
        <w:footnoteRef/>
      </w:r>
      <w:r w:rsidRPr="00E168FB">
        <w:rPr>
          <w:lang w:val="zh-CN"/>
        </w:rPr>
        <w:tab/>
      </w:r>
      <w:r w:rsidRPr="00E168FB">
        <w:rPr>
          <w:spacing w:val="-4"/>
          <w:lang w:val="zh-CN"/>
        </w:rPr>
        <w:t>见上文结论草案</w:t>
      </w:r>
      <w:r w:rsidRPr="00E168FB">
        <w:rPr>
          <w:spacing w:val="-4"/>
          <w:lang w:val="zh-CN"/>
        </w:rPr>
        <w:t>10[9]</w:t>
      </w:r>
      <w:r w:rsidRPr="00E168FB">
        <w:rPr>
          <w:spacing w:val="-4"/>
        </w:rPr>
        <w:t>评注</w:t>
      </w:r>
      <w:r w:rsidRPr="00E168FB">
        <w:rPr>
          <w:spacing w:val="-4"/>
          <w:lang w:val="zh-CN"/>
        </w:rPr>
        <w:t>，第</w:t>
      </w:r>
      <w:r w:rsidRPr="00E168FB">
        <w:rPr>
          <w:spacing w:val="-4"/>
          <w:lang w:val="zh-CN"/>
        </w:rPr>
        <w:t>2</w:t>
      </w:r>
      <w:r w:rsidRPr="00E168FB">
        <w:rPr>
          <w:spacing w:val="-4"/>
          <w:lang w:val="zh-CN"/>
        </w:rPr>
        <w:t>段，第</w:t>
      </w:r>
      <w:r w:rsidRPr="00E168FB">
        <w:rPr>
          <w:spacing w:val="-4"/>
          <w:lang w:val="zh-CN"/>
        </w:rPr>
        <w:t>2</w:t>
      </w:r>
      <w:r w:rsidRPr="00E168FB">
        <w:rPr>
          <w:spacing w:val="-4"/>
          <w:lang w:val="zh-CN"/>
        </w:rPr>
        <w:t>句，第</w:t>
      </w:r>
      <w:r w:rsidRPr="00E168FB">
        <w:rPr>
          <w:spacing w:val="-4"/>
          <w:lang w:val="zh-CN"/>
        </w:rPr>
        <w:t>(13)-(2</w:t>
      </w:r>
      <w:r w:rsidRPr="00E168FB">
        <w:rPr>
          <w:rFonts w:hint="eastAsia"/>
          <w:spacing w:val="-4"/>
          <w:lang w:val="zh-CN"/>
        </w:rPr>
        <w:t>5</w:t>
      </w:r>
      <w:r w:rsidRPr="00E168FB">
        <w:rPr>
          <w:spacing w:val="-4"/>
          <w:lang w:val="zh-CN"/>
        </w:rPr>
        <w:t>)</w:t>
      </w:r>
      <w:r w:rsidRPr="00E168FB">
        <w:rPr>
          <w:spacing w:val="-4"/>
          <w:lang w:val="zh-CN"/>
        </w:rPr>
        <w:t>段；</w:t>
      </w:r>
      <w:r w:rsidRPr="00E168FB">
        <w:rPr>
          <w:spacing w:val="-4"/>
          <w:lang w:val="zh-CN"/>
        </w:rPr>
        <w:t xml:space="preserve">Villiger, </w:t>
      </w:r>
      <w:r w:rsidRPr="00E168FB">
        <w:rPr>
          <w:rFonts w:eastAsia="楷体"/>
          <w:spacing w:val="-4"/>
          <w:lang w:val="zh-CN"/>
        </w:rPr>
        <w:t>评注</w:t>
      </w:r>
      <w:r w:rsidRPr="00E168FB">
        <w:rPr>
          <w:rFonts w:hint="eastAsia"/>
          <w:spacing w:val="-4"/>
          <w:lang w:val="zh-CN"/>
        </w:rPr>
        <w:t>……</w:t>
      </w:r>
      <w:r w:rsidRPr="00E168FB">
        <w:rPr>
          <w:spacing w:val="-4"/>
          <w:lang w:val="zh-CN"/>
        </w:rPr>
        <w:t>(</w:t>
      </w:r>
      <w:r w:rsidRPr="00E168FB">
        <w:rPr>
          <w:spacing w:val="-4"/>
          <w:lang w:val="zh-CN"/>
        </w:rPr>
        <w:t>见上文脚注</w:t>
      </w:r>
      <w:r>
        <w:rPr>
          <w:spacing w:val="-4"/>
          <w:lang w:val="zh-CN"/>
        </w:rPr>
        <w:fldChar w:fldCharType="begin"/>
      </w:r>
      <w:r>
        <w:rPr>
          <w:spacing w:val="-4"/>
          <w:lang w:val="zh-CN"/>
        </w:rPr>
        <w:instrText xml:space="preserve"> NOTEREF _Ref461972715 \h </w:instrText>
      </w:r>
      <w:r>
        <w:rPr>
          <w:spacing w:val="-4"/>
          <w:lang w:val="zh-CN"/>
        </w:rPr>
      </w:r>
      <w:r>
        <w:rPr>
          <w:spacing w:val="-4"/>
          <w:lang w:val="zh-CN"/>
        </w:rPr>
        <w:fldChar w:fldCharType="separate"/>
      </w:r>
      <w:r w:rsidR="00A73EB9">
        <w:rPr>
          <w:spacing w:val="-4"/>
          <w:lang w:val="zh-CN"/>
        </w:rPr>
        <w:t>414</w:t>
      </w:r>
      <w:r>
        <w:rPr>
          <w:spacing w:val="-4"/>
          <w:lang w:val="zh-CN"/>
        </w:rPr>
        <w:fldChar w:fldCharType="end"/>
      </w:r>
      <w:r w:rsidRPr="00E168FB">
        <w:rPr>
          <w:spacing w:val="-4"/>
          <w:lang w:val="zh-CN"/>
        </w:rPr>
        <w:t>)</w:t>
      </w:r>
      <w:r w:rsidRPr="00E168FB">
        <w:rPr>
          <w:spacing w:val="-4"/>
          <w:lang w:val="zh-CN"/>
        </w:rPr>
        <w:t>，第</w:t>
      </w:r>
      <w:r w:rsidRPr="00E168FB">
        <w:rPr>
          <w:spacing w:val="-4"/>
          <w:lang w:val="zh-CN"/>
        </w:rPr>
        <w:t>431-432</w:t>
      </w:r>
      <w:r w:rsidRPr="00E168FB">
        <w:rPr>
          <w:spacing w:val="-4"/>
          <w:lang w:val="zh-CN"/>
        </w:rPr>
        <w:t>页，第</w:t>
      </w:r>
      <w:r w:rsidRPr="00E168FB">
        <w:rPr>
          <w:spacing w:val="-4"/>
          <w:lang w:val="zh-CN"/>
        </w:rPr>
        <w:t>22</w:t>
      </w:r>
      <w:r w:rsidRPr="00E168FB">
        <w:rPr>
          <w:spacing w:val="-4"/>
          <w:lang w:val="zh-CN"/>
        </w:rPr>
        <w:t>段；</w:t>
      </w:r>
      <w:r w:rsidRPr="00E168FB">
        <w:rPr>
          <w:spacing w:val="-4"/>
          <w:lang w:val="zh-CN"/>
        </w:rPr>
        <w:t>J. Arato,</w:t>
      </w:r>
      <w:r w:rsidRPr="00E168FB">
        <w:rPr>
          <w:rFonts w:hint="eastAsia"/>
          <w:spacing w:val="-4"/>
          <w:lang w:val="zh-CN"/>
        </w:rPr>
        <w:t>“</w:t>
      </w:r>
      <w:r w:rsidRPr="00E168FB">
        <w:rPr>
          <w:spacing w:val="-4"/>
        </w:rPr>
        <w:t>Treaty interpretation and constitutional transformation</w:t>
      </w:r>
      <w:r w:rsidRPr="00E168FB">
        <w:rPr>
          <w:rFonts w:hint="eastAsia"/>
          <w:spacing w:val="-4"/>
        </w:rPr>
        <w:t>”</w:t>
      </w:r>
      <w:r w:rsidRPr="00E168FB">
        <w:rPr>
          <w:spacing w:val="-4"/>
        </w:rPr>
        <w:t>，</w:t>
      </w:r>
      <w:r w:rsidRPr="00E168FB">
        <w:rPr>
          <w:i/>
          <w:spacing w:val="-4"/>
        </w:rPr>
        <w:t xml:space="preserve">Yale Journal of International Law, </w:t>
      </w:r>
      <w:r w:rsidRPr="00E168FB">
        <w:rPr>
          <w:spacing w:val="-4"/>
        </w:rPr>
        <w:t>vol. 38, No. 2 (2013)</w:t>
      </w:r>
      <w:r w:rsidRPr="00E168FB">
        <w:rPr>
          <w:spacing w:val="-4"/>
        </w:rPr>
        <w:t>，</w:t>
      </w:r>
      <w:r w:rsidRPr="00E168FB">
        <w:rPr>
          <w:spacing w:val="-4"/>
        </w:rPr>
        <w:t xml:space="preserve"> pp. 289-357, at p. 322</w:t>
      </w:r>
      <w:r w:rsidRPr="00E168FB">
        <w:rPr>
          <w:spacing w:val="-4"/>
          <w:lang w:val="zh-CN"/>
        </w:rPr>
        <w:t>。</w:t>
      </w:r>
    </w:p>
  </w:footnote>
  <w:footnote w:id="943">
    <w:p w:rsidR="00AB00DE" w:rsidRPr="00E168FB" w:rsidRDefault="00AB00DE" w:rsidP="00D90936">
      <w:pPr>
        <w:pStyle w:val="a4"/>
      </w:pPr>
      <w:r w:rsidRPr="00E168FB">
        <w:rPr>
          <w:lang w:val="zh-CN"/>
        </w:rPr>
        <w:tab/>
      </w:r>
      <w:r w:rsidRPr="00D54A01">
        <w:rPr>
          <w:rStyle w:val="a5"/>
          <w:szCs w:val="21"/>
        </w:rPr>
        <w:footnoteRef/>
      </w:r>
      <w:r w:rsidRPr="00E168FB">
        <w:rPr>
          <w:lang w:val="zh-CN"/>
        </w:rPr>
        <w:tab/>
        <w:t xml:space="preserve">Gardiner, </w:t>
      </w:r>
      <w:r w:rsidRPr="00E168FB">
        <w:rPr>
          <w:i/>
          <w:iCs/>
        </w:rPr>
        <w:t>Treaty Interpretation</w:t>
      </w:r>
      <w:r w:rsidRPr="00E168FB">
        <w:rPr>
          <w:lang w:val="zh-CN"/>
        </w:rPr>
        <w:t xml:space="preserve"> (</w:t>
      </w:r>
      <w:r w:rsidRPr="00E168FB">
        <w:rPr>
          <w:lang w:val="zh-CN"/>
        </w:rPr>
        <w:t>见上文脚注</w:t>
      </w:r>
      <w:r w:rsidRPr="00D90936">
        <w:rPr>
          <w:rFonts w:asciiTheme="majorBidi" w:hAnsiTheme="majorBidi" w:cstheme="majorBidi"/>
        </w:rPr>
        <w:fldChar w:fldCharType="begin"/>
      </w:r>
      <w:r w:rsidRPr="00D90936">
        <w:rPr>
          <w:rFonts w:asciiTheme="majorBidi" w:hAnsiTheme="majorBidi" w:cstheme="majorBidi"/>
        </w:rPr>
        <w:instrText xml:space="preserve"> NOTEREF _Ref461971974 \h </w:instrText>
      </w:r>
      <w:r>
        <w:rPr>
          <w:rFonts w:asciiTheme="majorBidi" w:hAnsiTheme="majorBidi" w:cstheme="majorBidi"/>
        </w:rPr>
        <w:instrText xml:space="preserve"> \* MERGEFORMAT </w:instrText>
      </w:r>
      <w:r w:rsidRPr="00D90936">
        <w:rPr>
          <w:rFonts w:asciiTheme="majorBidi" w:hAnsiTheme="majorBidi" w:cstheme="majorBidi"/>
        </w:rPr>
      </w:r>
      <w:r w:rsidRPr="00D90936">
        <w:rPr>
          <w:rFonts w:asciiTheme="majorBidi" w:hAnsiTheme="majorBidi" w:cstheme="majorBidi"/>
        </w:rPr>
        <w:fldChar w:fldCharType="separate"/>
      </w:r>
      <w:r w:rsidR="00A73EB9">
        <w:rPr>
          <w:rFonts w:asciiTheme="majorBidi" w:hAnsiTheme="majorBidi" w:cstheme="majorBidi"/>
        </w:rPr>
        <w:t>392</w:t>
      </w:r>
      <w:r w:rsidRPr="00D90936">
        <w:rPr>
          <w:rFonts w:asciiTheme="majorBidi" w:hAnsiTheme="majorBidi" w:cstheme="majorBidi"/>
        </w:rPr>
        <w:fldChar w:fldCharType="end"/>
      </w:r>
      <w:r w:rsidRPr="00E168FB">
        <w:rPr>
          <w:lang w:val="zh-CN"/>
        </w:rPr>
        <w:t>)</w:t>
      </w:r>
      <w:r w:rsidRPr="00E168FB">
        <w:rPr>
          <w:lang w:val="zh-CN"/>
        </w:rPr>
        <w:t>，</w:t>
      </w:r>
      <w:r w:rsidRPr="00E168FB">
        <w:rPr>
          <w:rFonts w:hint="eastAsia"/>
          <w:lang w:val="zh-CN"/>
        </w:rPr>
        <w:t>p.</w:t>
      </w:r>
      <w:r w:rsidRPr="00E168FB">
        <w:rPr>
          <w:lang w:val="zh-CN"/>
        </w:rPr>
        <w:t>281</w:t>
      </w:r>
      <w:r w:rsidRPr="00E168FB">
        <w:rPr>
          <w:lang w:val="zh-CN"/>
        </w:rPr>
        <w:t>。</w:t>
      </w:r>
    </w:p>
  </w:footnote>
  <w:footnote w:id="944">
    <w:p w:rsidR="00AB00DE" w:rsidRPr="00E168FB" w:rsidRDefault="00AB00DE" w:rsidP="00B75685">
      <w:pPr>
        <w:pStyle w:val="a4"/>
      </w:pPr>
      <w:r w:rsidRPr="00E168FB">
        <w:rPr>
          <w:lang w:val="zh-CN"/>
        </w:rPr>
        <w:tab/>
      </w:r>
      <w:r w:rsidRPr="00D54A01">
        <w:rPr>
          <w:rStyle w:val="a5"/>
          <w:szCs w:val="21"/>
        </w:rPr>
        <w:footnoteRef/>
      </w:r>
      <w:r w:rsidRPr="00E168FB">
        <w:tab/>
      </w:r>
      <w:r w:rsidRPr="00E168FB">
        <w:rPr>
          <w:rFonts w:eastAsia="楷体"/>
          <w:lang w:val="zh-CN"/>
        </w:rPr>
        <w:t>同上</w:t>
      </w:r>
      <w:r w:rsidRPr="00E168FB">
        <w:rPr>
          <w:lang w:val="zh-CN"/>
        </w:rPr>
        <w:t>。</w:t>
      </w:r>
    </w:p>
  </w:footnote>
  <w:footnote w:id="945">
    <w:p w:rsidR="00AB00DE" w:rsidRPr="00E168FB" w:rsidRDefault="00AB00DE" w:rsidP="00B75685">
      <w:pPr>
        <w:pStyle w:val="a4"/>
      </w:pPr>
      <w:r w:rsidRPr="00E168FB">
        <w:tab/>
      </w:r>
      <w:r w:rsidRPr="00D54A01">
        <w:rPr>
          <w:rStyle w:val="a5"/>
          <w:szCs w:val="21"/>
        </w:rPr>
        <w:footnoteRef/>
      </w:r>
      <w:r w:rsidRPr="00E168FB">
        <w:tab/>
        <w:t xml:space="preserve">S. Schiele, </w:t>
      </w:r>
      <w:r w:rsidRPr="00E168FB">
        <w:rPr>
          <w:i/>
        </w:rPr>
        <w:t xml:space="preserve">Evolution of International Environmental Regimes: The Case of Climate Change </w:t>
      </w:r>
      <w:r w:rsidRPr="00E168FB">
        <w:t>(Cambridge, Cambridge University Press, 2014)</w:t>
      </w:r>
      <w:r w:rsidRPr="00E168FB">
        <w:t>，</w:t>
      </w:r>
      <w:r w:rsidRPr="00E168FB">
        <w:t>pp. 37-38</w:t>
      </w:r>
      <w:r w:rsidRPr="00E168FB">
        <w:t>；</w:t>
      </w:r>
      <w:r w:rsidRPr="00E168FB">
        <w:t xml:space="preserve">A. Gillespie, </w:t>
      </w:r>
      <w:r w:rsidRPr="00E168FB">
        <w:rPr>
          <w:i/>
        </w:rPr>
        <w:t>Whaling Diplomacy: Defining Issues in International Environmental Law</w:t>
      </w:r>
      <w:r w:rsidRPr="00E168FB">
        <w:t xml:space="preserve"> (Cheltenham, Edward Elgar, 2005)</w:t>
      </w:r>
      <w:r w:rsidRPr="00E168FB">
        <w:t>，</w:t>
      </w:r>
      <w:r w:rsidRPr="00E168FB">
        <w:t xml:space="preserve"> p. 411.</w:t>
      </w:r>
    </w:p>
  </w:footnote>
  <w:footnote w:id="946">
    <w:p w:rsidR="00AB00DE" w:rsidRPr="00E168FB" w:rsidRDefault="00AB00DE" w:rsidP="00B75685">
      <w:pPr>
        <w:pStyle w:val="a4"/>
      </w:pPr>
      <w:r w:rsidRPr="00E168FB">
        <w:tab/>
      </w:r>
      <w:r w:rsidRPr="00D54A01">
        <w:rPr>
          <w:rStyle w:val="a5"/>
          <w:szCs w:val="21"/>
        </w:rPr>
        <w:footnoteRef/>
      </w:r>
      <w:r w:rsidRPr="00E168FB">
        <w:rPr>
          <w:lang w:val="zh-CN"/>
        </w:rPr>
        <w:tab/>
      </w:r>
      <w:r w:rsidRPr="00E168FB">
        <w:rPr>
          <w:rFonts w:eastAsia="楷体"/>
          <w:lang w:val="zh-CN"/>
        </w:rPr>
        <w:t>南极捕鲸案</w:t>
      </w:r>
      <w:r w:rsidRPr="00E168FB">
        <w:rPr>
          <w:rFonts w:eastAsia="楷体"/>
          <w:lang w:val="zh-CN"/>
        </w:rPr>
        <w:t>(</w:t>
      </w:r>
      <w:r w:rsidRPr="00E168FB">
        <w:rPr>
          <w:rFonts w:eastAsia="楷体"/>
          <w:lang w:val="zh-CN"/>
        </w:rPr>
        <w:t>澳大利亚诉日本：新西兰参与诉讼</w:t>
      </w:r>
      <w:r w:rsidRPr="00E168FB">
        <w:rPr>
          <w:rFonts w:eastAsia="楷体"/>
          <w:lang w:val="zh-CN"/>
        </w:rPr>
        <w:t>)</w:t>
      </w:r>
      <w:r w:rsidRPr="00E168FB">
        <w:rPr>
          <w:rFonts w:eastAsia="楷体"/>
          <w:lang w:val="zh-CN"/>
        </w:rPr>
        <w:t>，判决，《</w:t>
      </w:r>
      <w:r w:rsidRPr="00E168FB">
        <w:rPr>
          <w:rFonts w:eastAsia="楷体"/>
          <w:lang w:val="zh-CN"/>
        </w:rPr>
        <w:t>2014</w:t>
      </w:r>
      <w:r w:rsidRPr="00E168FB">
        <w:rPr>
          <w:rFonts w:eastAsia="楷体"/>
          <w:lang w:val="zh-CN"/>
        </w:rPr>
        <w:t>年国际法院案例汇编》，</w:t>
      </w:r>
      <w:r w:rsidRPr="00E168FB">
        <w:t>第</w:t>
      </w:r>
      <w:r w:rsidRPr="00E168FB">
        <w:t>226</w:t>
      </w:r>
      <w:r w:rsidRPr="00E168FB">
        <w:rPr>
          <w:lang w:val="zh-CN"/>
        </w:rPr>
        <w:t>页。</w:t>
      </w:r>
    </w:p>
  </w:footnote>
  <w:footnote w:id="947">
    <w:p w:rsidR="00AB00DE" w:rsidRPr="00E168FB" w:rsidRDefault="00AB00DE" w:rsidP="00B75685">
      <w:pPr>
        <w:pStyle w:val="a4"/>
      </w:pPr>
      <w:r w:rsidRPr="00E168FB">
        <w:rPr>
          <w:lang w:val="zh-CN"/>
        </w:rPr>
        <w:tab/>
      </w:r>
      <w:r w:rsidRPr="00D54A01">
        <w:rPr>
          <w:rStyle w:val="a5"/>
          <w:szCs w:val="21"/>
        </w:rPr>
        <w:footnoteRef/>
      </w:r>
      <w:r w:rsidRPr="00E168FB">
        <w:rPr>
          <w:lang w:val="zh-CN"/>
        </w:rPr>
        <w:tab/>
      </w:r>
      <w:r w:rsidRPr="00E168FB">
        <w:rPr>
          <w:rFonts w:eastAsia="楷体"/>
          <w:lang w:val="zh-CN"/>
        </w:rPr>
        <w:t>同上</w:t>
      </w:r>
      <w:r w:rsidRPr="00E168FB">
        <w:rPr>
          <w:lang w:val="zh-CN"/>
        </w:rPr>
        <w:t>，</w:t>
      </w:r>
      <w:r w:rsidRPr="00E168FB">
        <w:rPr>
          <w:rFonts w:hint="eastAsia"/>
          <w:lang w:val="zh-CN"/>
        </w:rPr>
        <w:t>第</w:t>
      </w:r>
      <w:r w:rsidRPr="00E168FB">
        <w:rPr>
          <w:rFonts w:hint="eastAsia"/>
          <w:lang w:val="zh-CN"/>
        </w:rPr>
        <w:t>257</w:t>
      </w:r>
      <w:r w:rsidRPr="00E168FB">
        <w:rPr>
          <w:rFonts w:hint="eastAsia"/>
          <w:lang w:val="zh-CN"/>
        </w:rPr>
        <w:t>页，</w:t>
      </w:r>
      <w:r w:rsidRPr="00E168FB">
        <w:rPr>
          <w:lang w:val="zh-CN"/>
        </w:rPr>
        <w:t>第</w:t>
      </w:r>
      <w:r w:rsidRPr="00E168FB">
        <w:rPr>
          <w:lang w:val="zh-CN"/>
        </w:rPr>
        <w:t>83</w:t>
      </w:r>
      <w:r w:rsidRPr="00E168FB">
        <w:rPr>
          <w:lang w:val="zh-CN"/>
        </w:rPr>
        <w:t>段。</w:t>
      </w:r>
    </w:p>
  </w:footnote>
  <w:footnote w:id="948">
    <w:p w:rsidR="00AB00DE" w:rsidRPr="00E168FB" w:rsidRDefault="00AB00DE" w:rsidP="00B75685">
      <w:pPr>
        <w:pStyle w:val="a4"/>
      </w:pPr>
      <w:r w:rsidRPr="00E168FB">
        <w:rPr>
          <w:lang w:val="zh-CN"/>
        </w:rPr>
        <w:tab/>
      </w:r>
      <w:r w:rsidRPr="00D54A01">
        <w:rPr>
          <w:rStyle w:val="a5"/>
          <w:szCs w:val="21"/>
        </w:rPr>
        <w:footnoteRef/>
      </w:r>
      <w:r w:rsidRPr="00E168FB">
        <w:rPr>
          <w:lang w:val="zh-CN"/>
        </w:rPr>
        <w:tab/>
      </w:r>
      <w:r w:rsidRPr="00A2626C">
        <w:rPr>
          <w:spacing w:val="-1"/>
          <w:lang w:val="zh-CN"/>
        </w:rPr>
        <w:t>见</w:t>
      </w:r>
      <w:r w:rsidRPr="00A2626C">
        <w:rPr>
          <w:rFonts w:eastAsia="楷体"/>
          <w:spacing w:val="-1"/>
          <w:lang w:val="zh-CN"/>
        </w:rPr>
        <w:t>在被占领巴勒斯坦领土修建隔离墙的法律后果，咨询意见，《</w:t>
      </w:r>
      <w:r w:rsidRPr="00A2626C">
        <w:rPr>
          <w:rFonts w:eastAsia="楷体"/>
          <w:spacing w:val="-1"/>
          <w:lang w:val="zh-CN"/>
        </w:rPr>
        <w:t>2004</w:t>
      </w:r>
      <w:r w:rsidRPr="00A2626C">
        <w:rPr>
          <w:rFonts w:eastAsia="楷体"/>
          <w:spacing w:val="-1"/>
          <w:lang w:val="zh-CN"/>
        </w:rPr>
        <w:t>年国际法院案例汇编》</w:t>
      </w:r>
      <w:r w:rsidRPr="00A2626C">
        <w:rPr>
          <w:spacing w:val="-1"/>
          <w:lang w:val="zh-CN"/>
        </w:rPr>
        <w:t>，第</w:t>
      </w:r>
      <w:r w:rsidRPr="00A2626C">
        <w:rPr>
          <w:spacing w:val="-1"/>
          <w:lang w:val="zh-CN"/>
        </w:rPr>
        <w:t>136</w:t>
      </w:r>
      <w:r w:rsidRPr="00A2626C">
        <w:rPr>
          <w:spacing w:val="-1"/>
          <w:lang w:val="zh-CN"/>
        </w:rPr>
        <w:t>页起，见第</w:t>
      </w:r>
      <w:r w:rsidRPr="00A2626C">
        <w:rPr>
          <w:spacing w:val="-1"/>
          <w:lang w:val="zh-CN"/>
        </w:rPr>
        <w:t>149</w:t>
      </w:r>
      <w:r w:rsidRPr="00A2626C">
        <w:rPr>
          <w:spacing w:val="-1"/>
          <w:lang w:val="zh-CN"/>
        </w:rPr>
        <w:t>页</w:t>
      </w:r>
      <w:r w:rsidRPr="00A2626C">
        <w:rPr>
          <w:rFonts w:hint="eastAsia"/>
          <w:spacing w:val="-1"/>
          <w:lang w:val="zh-CN"/>
        </w:rPr>
        <w:t>(</w:t>
      </w:r>
      <w:r w:rsidRPr="00A2626C">
        <w:rPr>
          <w:spacing w:val="-1"/>
          <w:lang w:val="zh-CN"/>
        </w:rPr>
        <w:t>提及大会</w:t>
      </w:r>
      <w:r w:rsidRPr="00A2626C">
        <w:rPr>
          <w:spacing w:val="-1"/>
        </w:rPr>
        <w:t>1961</w:t>
      </w:r>
      <w:r w:rsidRPr="00A2626C">
        <w:rPr>
          <w:spacing w:val="-1"/>
        </w:rPr>
        <w:t>年</w:t>
      </w:r>
      <w:r w:rsidRPr="00A2626C">
        <w:rPr>
          <w:spacing w:val="-1"/>
        </w:rPr>
        <w:t>4</w:t>
      </w:r>
      <w:r w:rsidRPr="00A2626C">
        <w:rPr>
          <w:spacing w:val="-1"/>
        </w:rPr>
        <w:t>月</w:t>
      </w:r>
      <w:r w:rsidRPr="00A2626C">
        <w:rPr>
          <w:spacing w:val="-1"/>
        </w:rPr>
        <w:t>15</w:t>
      </w:r>
      <w:r w:rsidRPr="00A2626C">
        <w:rPr>
          <w:spacing w:val="-1"/>
        </w:rPr>
        <w:t>日</w:t>
      </w:r>
      <w:r w:rsidRPr="00A2626C">
        <w:rPr>
          <w:spacing w:val="-1"/>
          <w:lang w:val="zh-CN"/>
        </w:rPr>
        <w:t>第</w:t>
      </w:r>
      <w:r w:rsidRPr="00A2626C">
        <w:rPr>
          <w:spacing w:val="-1"/>
          <w:lang w:val="zh-CN"/>
        </w:rPr>
        <w:t>1600</w:t>
      </w:r>
      <w:r w:rsidRPr="00A2626C">
        <w:rPr>
          <w:spacing w:val="-1"/>
        </w:rPr>
        <w:t xml:space="preserve"> </w:t>
      </w:r>
      <w:r w:rsidRPr="00A2626C">
        <w:rPr>
          <w:spacing w:val="-1"/>
          <w:lang w:val="zh-CN"/>
        </w:rPr>
        <w:t>(XV)</w:t>
      </w:r>
      <w:r w:rsidRPr="00A2626C">
        <w:rPr>
          <w:spacing w:val="-1"/>
          <w:lang w:val="zh-CN"/>
        </w:rPr>
        <w:t>号决议</w:t>
      </w:r>
      <w:r w:rsidRPr="00A2626C">
        <w:rPr>
          <w:spacing w:val="-1"/>
          <w:lang w:val="zh-CN"/>
        </w:rPr>
        <w:t>(</w:t>
      </w:r>
      <w:r w:rsidRPr="00A2626C">
        <w:rPr>
          <w:spacing w:val="-1"/>
          <w:lang w:val="zh-CN"/>
        </w:rPr>
        <w:t>以</w:t>
      </w:r>
      <w:r w:rsidRPr="00A2626C">
        <w:rPr>
          <w:spacing w:val="-1"/>
          <w:lang w:val="zh-CN"/>
        </w:rPr>
        <w:t>60</w:t>
      </w:r>
      <w:r w:rsidRPr="00A2626C">
        <w:rPr>
          <w:spacing w:val="-1"/>
          <w:lang w:val="zh-CN"/>
        </w:rPr>
        <w:t>票赞成、</w:t>
      </w:r>
      <w:r w:rsidRPr="00A2626C">
        <w:rPr>
          <w:spacing w:val="-1"/>
          <w:lang w:val="zh-CN"/>
        </w:rPr>
        <w:t>23</w:t>
      </w:r>
      <w:r w:rsidRPr="00A2626C">
        <w:rPr>
          <w:spacing w:val="-1"/>
          <w:lang w:val="zh-CN"/>
        </w:rPr>
        <w:t>票弃权和</w:t>
      </w:r>
      <w:r w:rsidRPr="00A2626C">
        <w:rPr>
          <w:spacing w:val="-1"/>
          <w:lang w:val="zh-CN"/>
        </w:rPr>
        <w:t>16</w:t>
      </w:r>
      <w:r w:rsidRPr="00A2626C">
        <w:rPr>
          <w:spacing w:val="-1"/>
          <w:lang w:val="zh-CN"/>
        </w:rPr>
        <w:t>票反对获得通过，反对国包括苏联和</w:t>
      </w:r>
      <w:r w:rsidRPr="00A2626C">
        <w:rPr>
          <w:rFonts w:hint="eastAsia"/>
          <w:spacing w:val="-1"/>
          <w:lang w:val="zh-CN"/>
        </w:rPr>
        <w:t>“</w:t>
      </w:r>
      <w:r w:rsidRPr="00A2626C">
        <w:rPr>
          <w:spacing w:val="-1"/>
          <w:lang w:val="zh-CN"/>
        </w:rPr>
        <w:t>东方阵营</w:t>
      </w:r>
      <w:r w:rsidRPr="00A2626C">
        <w:rPr>
          <w:rFonts w:hint="eastAsia"/>
          <w:spacing w:val="-1"/>
          <w:lang w:val="zh-CN"/>
        </w:rPr>
        <w:t>”</w:t>
      </w:r>
      <w:r w:rsidRPr="00A2626C">
        <w:rPr>
          <w:spacing w:val="-1"/>
          <w:lang w:val="zh-CN"/>
        </w:rPr>
        <w:t>的其他一些国家</w:t>
      </w:r>
      <w:r w:rsidRPr="00A2626C">
        <w:rPr>
          <w:rFonts w:hint="eastAsia"/>
          <w:spacing w:val="-1"/>
          <w:lang w:val="zh-CN"/>
        </w:rPr>
        <w:t>)</w:t>
      </w:r>
      <w:r w:rsidRPr="00A2626C">
        <w:rPr>
          <w:spacing w:val="-1"/>
          <w:lang w:val="zh-CN"/>
        </w:rPr>
        <w:t>和大会</w:t>
      </w:r>
      <w:r w:rsidRPr="00A2626C">
        <w:rPr>
          <w:spacing w:val="-1"/>
          <w:lang w:val="zh-CN"/>
        </w:rPr>
        <w:t>1963</w:t>
      </w:r>
      <w:r w:rsidRPr="00A2626C">
        <w:rPr>
          <w:spacing w:val="-1"/>
          <w:lang w:val="zh-CN"/>
        </w:rPr>
        <w:t>年</w:t>
      </w:r>
      <w:r w:rsidRPr="00A2626C">
        <w:rPr>
          <w:spacing w:val="-1"/>
          <w:lang w:val="zh-CN"/>
        </w:rPr>
        <w:t>12</w:t>
      </w:r>
      <w:r w:rsidRPr="00A2626C">
        <w:rPr>
          <w:spacing w:val="-1"/>
          <w:lang w:val="zh-CN"/>
        </w:rPr>
        <w:t>月</w:t>
      </w:r>
      <w:r w:rsidRPr="00A2626C">
        <w:rPr>
          <w:spacing w:val="-1"/>
          <w:lang w:val="zh-CN"/>
        </w:rPr>
        <w:t>13</w:t>
      </w:r>
      <w:r w:rsidRPr="00A2626C">
        <w:rPr>
          <w:spacing w:val="-1"/>
          <w:lang w:val="zh-CN"/>
        </w:rPr>
        <w:t>日第</w:t>
      </w:r>
      <w:r w:rsidRPr="00A2626C">
        <w:rPr>
          <w:spacing w:val="-1"/>
          <w:lang w:val="zh-CN"/>
        </w:rPr>
        <w:t>1913</w:t>
      </w:r>
      <w:r w:rsidRPr="00A2626C">
        <w:rPr>
          <w:spacing w:val="-1"/>
        </w:rPr>
        <w:t xml:space="preserve"> </w:t>
      </w:r>
      <w:r w:rsidRPr="00A2626C">
        <w:rPr>
          <w:spacing w:val="-1"/>
          <w:lang w:val="zh-CN"/>
        </w:rPr>
        <w:t>(XVIII)</w:t>
      </w:r>
      <w:r w:rsidRPr="00A2626C">
        <w:rPr>
          <w:spacing w:val="-1"/>
          <w:lang w:val="zh-CN"/>
        </w:rPr>
        <w:t>号决议，</w:t>
      </w:r>
      <w:r w:rsidRPr="00A2626C">
        <w:rPr>
          <w:rFonts w:hint="eastAsia"/>
          <w:spacing w:val="-1"/>
          <w:lang w:val="zh-CN"/>
        </w:rPr>
        <w:t>(</w:t>
      </w:r>
      <w:r w:rsidRPr="00A2626C">
        <w:rPr>
          <w:spacing w:val="-1"/>
          <w:lang w:val="zh-CN"/>
        </w:rPr>
        <w:t>以</w:t>
      </w:r>
      <w:r w:rsidRPr="00A2626C">
        <w:rPr>
          <w:spacing w:val="-1"/>
          <w:lang w:val="zh-CN"/>
        </w:rPr>
        <w:t>91</w:t>
      </w:r>
      <w:r w:rsidRPr="00A2626C">
        <w:rPr>
          <w:spacing w:val="-1"/>
          <w:lang w:val="zh-CN"/>
        </w:rPr>
        <w:t>票赞同、西班牙和葡萄牙</w:t>
      </w:r>
      <w:r w:rsidRPr="00A2626C">
        <w:rPr>
          <w:spacing w:val="-1"/>
          <w:lang w:val="zh-CN"/>
        </w:rPr>
        <w:t>2</w:t>
      </w:r>
      <w:r w:rsidRPr="00A2626C">
        <w:rPr>
          <w:spacing w:val="-1"/>
          <w:lang w:val="zh-CN"/>
        </w:rPr>
        <w:t>票反对获得通过</w:t>
      </w:r>
      <w:r w:rsidRPr="00A2626C">
        <w:rPr>
          <w:rFonts w:hint="eastAsia"/>
          <w:spacing w:val="-1"/>
          <w:lang w:val="zh-CN"/>
        </w:rPr>
        <w:t>)</w:t>
      </w:r>
      <w:r w:rsidRPr="00E168FB">
        <w:rPr>
          <w:lang w:val="zh-CN"/>
        </w:rPr>
        <w:t>。</w:t>
      </w:r>
    </w:p>
  </w:footnote>
  <w:footnote w:id="949">
    <w:p w:rsidR="00AB00DE" w:rsidRPr="00E168FB" w:rsidRDefault="00AB00DE" w:rsidP="00B75685">
      <w:pPr>
        <w:pStyle w:val="a4"/>
        <w:rPr>
          <w:lang w:val="fr-CH"/>
        </w:rPr>
      </w:pPr>
      <w:r w:rsidRPr="00E168FB">
        <w:rPr>
          <w:lang w:val="zh-CN"/>
        </w:rPr>
        <w:tab/>
      </w:r>
      <w:r w:rsidRPr="00D54A01">
        <w:rPr>
          <w:rStyle w:val="a5"/>
          <w:szCs w:val="21"/>
        </w:rPr>
        <w:footnoteRef/>
      </w:r>
      <w:r w:rsidRPr="00E168FB">
        <w:rPr>
          <w:lang w:val="zh-CN"/>
        </w:rPr>
        <w:tab/>
      </w:r>
      <w:r w:rsidRPr="00E168FB">
        <w:rPr>
          <w:rFonts w:eastAsia="楷体"/>
          <w:lang w:val="zh-CN"/>
        </w:rPr>
        <w:t>国家在武装冲突中使用核武器的合法性，咨询意见，《</w:t>
      </w:r>
      <w:r w:rsidRPr="00E168FB">
        <w:rPr>
          <w:rFonts w:eastAsia="楷体"/>
          <w:lang w:val="zh-CN"/>
        </w:rPr>
        <w:t>1996</w:t>
      </w:r>
      <w:r w:rsidRPr="00E168FB">
        <w:rPr>
          <w:rFonts w:eastAsia="楷体"/>
          <w:lang w:val="zh-CN"/>
        </w:rPr>
        <w:t>年国际法院案例汇编》</w:t>
      </w:r>
      <w:r w:rsidRPr="00E168FB">
        <w:rPr>
          <w:lang w:val="zh-CN"/>
        </w:rPr>
        <w:t>，第</w:t>
      </w:r>
      <w:r w:rsidRPr="00E168FB">
        <w:rPr>
          <w:lang w:val="zh-CN"/>
        </w:rPr>
        <w:t>66</w:t>
      </w:r>
      <w:r w:rsidRPr="00E168FB">
        <w:rPr>
          <w:lang w:val="zh-CN"/>
        </w:rPr>
        <w:t>页起，见第</w:t>
      </w:r>
      <w:r w:rsidRPr="00E168FB">
        <w:rPr>
          <w:lang w:val="zh-CN"/>
        </w:rPr>
        <w:t>74</w:t>
      </w:r>
      <w:r w:rsidRPr="00E168FB">
        <w:rPr>
          <w:lang w:val="zh-CN"/>
        </w:rPr>
        <w:t>页；另见</w:t>
      </w:r>
      <w:r w:rsidRPr="00E168FB">
        <w:t xml:space="preserve">D. </w:t>
      </w:r>
      <w:r w:rsidRPr="00E168FB">
        <w:rPr>
          <w:lang w:val="fr-CH"/>
        </w:rPr>
        <w:t xml:space="preserve">Simon, </w:t>
      </w:r>
      <w:r w:rsidRPr="00E168FB">
        <w:rPr>
          <w:i/>
          <w:lang w:val="fr-CH"/>
        </w:rPr>
        <w:t xml:space="preserve">L’interprétation judiciaire des traités d’organisations </w:t>
      </w:r>
      <w:r w:rsidRPr="00E168FB">
        <w:rPr>
          <w:i/>
          <w:iCs/>
          <w:lang w:val="fr-CH"/>
        </w:rPr>
        <w:t>internationals</w:t>
      </w:r>
      <w:r w:rsidRPr="00E168FB">
        <w:rPr>
          <w:lang w:val="fr-CH"/>
        </w:rPr>
        <w:t xml:space="preserve"> (Paris, Pedone, 1981)</w:t>
      </w:r>
      <w:r w:rsidRPr="00E168FB">
        <w:rPr>
          <w:lang w:val="fr-CH"/>
        </w:rPr>
        <w:t>，</w:t>
      </w:r>
      <w:r w:rsidRPr="00E168FB">
        <w:rPr>
          <w:lang w:val="fr-CH"/>
        </w:rPr>
        <w:t>pp. 379-384</w:t>
      </w:r>
      <w:r w:rsidRPr="00E168FB">
        <w:rPr>
          <w:lang w:val="zh-CN"/>
        </w:rPr>
        <w:t>。</w:t>
      </w:r>
    </w:p>
  </w:footnote>
  <w:footnote w:id="950">
    <w:p w:rsidR="00AB00DE" w:rsidRPr="00E168FB" w:rsidRDefault="00AB00DE" w:rsidP="00B75685">
      <w:pPr>
        <w:pStyle w:val="a4"/>
      </w:pPr>
      <w:r w:rsidRPr="00E168FB">
        <w:rPr>
          <w:lang w:val="fr-CH"/>
        </w:rPr>
        <w:tab/>
      </w:r>
      <w:r w:rsidRPr="00D54A01">
        <w:rPr>
          <w:rStyle w:val="a5"/>
          <w:szCs w:val="21"/>
        </w:rPr>
        <w:footnoteRef/>
      </w:r>
      <w:r w:rsidRPr="00E168FB">
        <w:rPr>
          <w:lang w:val="zh-CN"/>
        </w:rPr>
        <w:tab/>
      </w:r>
      <w:r w:rsidRPr="00E168FB">
        <w:rPr>
          <w:rFonts w:eastAsia="楷体"/>
          <w:lang w:val="zh-CN"/>
        </w:rPr>
        <w:t>联合国大会接纳国家加入联合国的权限，咨询意见，《</w:t>
      </w:r>
      <w:r w:rsidRPr="00E168FB">
        <w:rPr>
          <w:rFonts w:eastAsia="楷体"/>
          <w:lang w:val="zh-CN"/>
        </w:rPr>
        <w:t>1950</w:t>
      </w:r>
      <w:r w:rsidRPr="00E168FB">
        <w:rPr>
          <w:rFonts w:eastAsia="楷体"/>
          <w:lang w:val="zh-CN"/>
        </w:rPr>
        <w:t>年国际法院案例汇编》，</w:t>
      </w:r>
      <w:r w:rsidRPr="00E168FB">
        <w:rPr>
          <w:lang w:val="zh-CN"/>
        </w:rPr>
        <w:t>第</w:t>
      </w:r>
      <w:r w:rsidRPr="00E168FB">
        <w:rPr>
          <w:lang w:val="zh-CN"/>
        </w:rPr>
        <w:t>4</w:t>
      </w:r>
      <w:r w:rsidRPr="00E168FB">
        <w:rPr>
          <w:lang w:val="zh-CN"/>
        </w:rPr>
        <w:t>页起，见第</w:t>
      </w:r>
      <w:r w:rsidRPr="00E168FB">
        <w:rPr>
          <w:lang w:val="zh-CN"/>
        </w:rPr>
        <w:t>9</w:t>
      </w:r>
      <w:r w:rsidRPr="00E168FB">
        <w:rPr>
          <w:lang w:val="zh-CN"/>
        </w:rPr>
        <w:t>页。</w:t>
      </w:r>
    </w:p>
  </w:footnote>
  <w:footnote w:id="951">
    <w:p w:rsidR="00AB00DE" w:rsidRPr="00A37112" w:rsidRDefault="00AB00DE" w:rsidP="003E31C7">
      <w:pPr>
        <w:pStyle w:val="a4"/>
      </w:pPr>
      <w:r w:rsidRPr="00A37112">
        <w:rPr>
          <w:lang w:val="zh-CN"/>
        </w:rPr>
        <w:tab/>
      </w:r>
      <w:r w:rsidRPr="00902223">
        <w:rPr>
          <w:rStyle w:val="a5"/>
          <w:szCs w:val="21"/>
          <w:lang w:val="zh-CN"/>
        </w:rPr>
        <w:footnoteRef/>
      </w:r>
      <w:r w:rsidRPr="00A37112">
        <w:rPr>
          <w:lang w:val="zh-CN"/>
        </w:rPr>
        <w:tab/>
      </w:r>
      <w:r w:rsidRPr="00A37112">
        <w:rPr>
          <w:rFonts w:eastAsia="楷体"/>
          <w:lang w:val="zh-CN"/>
        </w:rPr>
        <w:t>《联合国特权和豁免公约》第六条第二十二节的适用，咨询意见，《</w:t>
      </w:r>
      <w:r w:rsidRPr="00A37112">
        <w:rPr>
          <w:rFonts w:eastAsia="楷体"/>
          <w:lang w:val="zh-CN"/>
        </w:rPr>
        <w:t>1989</w:t>
      </w:r>
      <w:r w:rsidRPr="00A37112">
        <w:rPr>
          <w:rFonts w:eastAsia="楷体"/>
          <w:lang w:val="zh-CN"/>
        </w:rPr>
        <w:t>年国际法院案例汇编》，</w:t>
      </w:r>
      <w:r w:rsidRPr="00A37112">
        <w:t>第</w:t>
      </w:r>
      <w:r w:rsidRPr="00A37112">
        <w:t>177</w:t>
      </w:r>
      <w:r w:rsidRPr="00A37112">
        <w:t>页起，见第</w:t>
      </w:r>
      <w:r w:rsidRPr="00A37112">
        <w:t>194</w:t>
      </w:r>
      <w:r w:rsidRPr="00A37112">
        <w:t>页，第</w:t>
      </w:r>
      <w:r w:rsidRPr="00A37112">
        <w:t>48</w:t>
      </w:r>
      <w:r w:rsidRPr="00A37112">
        <w:t>段。</w:t>
      </w:r>
    </w:p>
  </w:footnote>
  <w:footnote w:id="952">
    <w:p w:rsidR="00AB00DE" w:rsidRPr="00A37112" w:rsidRDefault="00AB00DE" w:rsidP="003E31C7">
      <w:pPr>
        <w:pStyle w:val="a4"/>
      </w:pPr>
      <w:r w:rsidRPr="00A37112">
        <w:rPr>
          <w:lang w:val="zh-CN"/>
        </w:rPr>
        <w:tab/>
      </w:r>
      <w:r w:rsidRPr="00902223">
        <w:rPr>
          <w:rStyle w:val="a5"/>
          <w:szCs w:val="21"/>
          <w:lang w:val="zh-CN"/>
        </w:rPr>
        <w:footnoteRef/>
      </w:r>
      <w:r w:rsidRPr="00A37112">
        <w:rPr>
          <w:lang w:val="zh-CN"/>
        </w:rPr>
        <w:tab/>
      </w:r>
      <w:r w:rsidRPr="00A37112">
        <w:rPr>
          <w:rFonts w:eastAsia="楷体"/>
          <w:lang w:val="zh-CN"/>
        </w:rPr>
        <w:t>政府间海事协商组织海上安全委员会的组成，咨询意见，《</w:t>
      </w:r>
      <w:r w:rsidRPr="00A37112">
        <w:rPr>
          <w:rFonts w:eastAsia="楷体"/>
          <w:lang w:val="zh-CN"/>
        </w:rPr>
        <w:t>1960</w:t>
      </w:r>
      <w:r w:rsidRPr="00A37112">
        <w:rPr>
          <w:rFonts w:eastAsia="楷体"/>
          <w:lang w:val="zh-CN"/>
        </w:rPr>
        <w:t>年国际法院案例汇编》，</w:t>
      </w:r>
      <w:r w:rsidRPr="00A37112">
        <w:rPr>
          <w:lang w:val="zh-CN"/>
        </w:rPr>
        <w:t>第</w:t>
      </w:r>
      <w:r w:rsidRPr="00A37112">
        <w:rPr>
          <w:lang w:val="zh-CN"/>
        </w:rPr>
        <w:t>150</w:t>
      </w:r>
      <w:r w:rsidRPr="00A37112">
        <w:rPr>
          <w:lang w:val="zh-CN"/>
        </w:rPr>
        <w:t>页起，见第</w:t>
      </w:r>
      <w:r w:rsidRPr="00A37112">
        <w:rPr>
          <w:lang w:val="zh-CN"/>
        </w:rPr>
        <w:t>169</w:t>
      </w:r>
      <w:r w:rsidRPr="00A37112">
        <w:rPr>
          <w:lang w:val="zh-CN"/>
        </w:rPr>
        <w:t>页。</w:t>
      </w:r>
    </w:p>
  </w:footnote>
  <w:footnote w:id="953">
    <w:p w:rsidR="00AB00DE" w:rsidRPr="00A37112" w:rsidRDefault="00AB00DE" w:rsidP="003E31C7">
      <w:pPr>
        <w:pStyle w:val="a4"/>
      </w:pPr>
      <w:r w:rsidRPr="00A37112">
        <w:rPr>
          <w:lang w:val="zh-CN"/>
        </w:rPr>
        <w:tab/>
      </w:r>
      <w:r w:rsidRPr="00902223">
        <w:rPr>
          <w:rStyle w:val="a5"/>
          <w:szCs w:val="21"/>
          <w:lang w:val="zh-CN"/>
        </w:rPr>
        <w:footnoteRef/>
      </w:r>
      <w:r w:rsidRPr="00A37112">
        <w:rPr>
          <w:lang w:val="zh-CN"/>
        </w:rPr>
        <w:tab/>
      </w:r>
      <w:r w:rsidRPr="00A37112">
        <w:rPr>
          <w:rFonts w:eastAsia="楷体"/>
          <w:lang w:val="zh-CN"/>
        </w:rPr>
        <w:t>联合国的某些经费</w:t>
      </w:r>
      <w:r w:rsidRPr="00A37112">
        <w:rPr>
          <w:rFonts w:eastAsia="楷体"/>
          <w:lang w:val="zh-CN"/>
        </w:rPr>
        <w:t>(</w:t>
      </w:r>
      <w:r w:rsidRPr="00A37112">
        <w:rPr>
          <w:rFonts w:eastAsia="楷体"/>
          <w:lang w:val="zh-CN"/>
        </w:rPr>
        <w:t>《宪章》第十七条第二项</w:t>
      </w:r>
      <w:r w:rsidRPr="00A37112">
        <w:rPr>
          <w:rFonts w:eastAsia="楷体"/>
          <w:lang w:val="zh-CN"/>
        </w:rPr>
        <w:t>)</w:t>
      </w:r>
      <w:r w:rsidRPr="00A37112">
        <w:rPr>
          <w:rFonts w:eastAsia="楷体"/>
          <w:lang w:val="zh-CN"/>
        </w:rPr>
        <w:t>，咨询意见，《</w:t>
      </w:r>
      <w:r w:rsidRPr="00A37112">
        <w:rPr>
          <w:rFonts w:eastAsia="楷体"/>
          <w:lang w:val="zh-CN"/>
        </w:rPr>
        <w:t>1962</w:t>
      </w:r>
      <w:r w:rsidRPr="00A37112">
        <w:rPr>
          <w:rFonts w:eastAsia="楷体"/>
          <w:lang w:val="zh-CN"/>
        </w:rPr>
        <w:t>年国际法院案例汇编》，</w:t>
      </w:r>
      <w:r w:rsidRPr="00A37112">
        <w:rPr>
          <w:lang w:val="zh-CN"/>
        </w:rPr>
        <w:t>第</w:t>
      </w:r>
      <w:r w:rsidRPr="00A37112">
        <w:rPr>
          <w:lang w:val="zh-CN"/>
        </w:rPr>
        <w:t>151</w:t>
      </w:r>
      <w:r w:rsidRPr="00A37112">
        <w:rPr>
          <w:lang w:val="zh-CN"/>
        </w:rPr>
        <w:t>页起，见第</w:t>
      </w:r>
      <w:r w:rsidRPr="00A37112">
        <w:rPr>
          <w:lang w:val="zh-CN"/>
        </w:rPr>
        <w:t>168</w:t>
      </w:r>
      <w:r w:rsidRPr="00A37112">
        <w:rPr>
          <w:lang w:val="zh-CN"/>
        </w:rPr>
        <w:t>页。</w:t>
      </w:r>
    </w:p>
  </w:footnote>
  <w:footnote w:id="954">
    <w:p w:rsidR="00AB00DE" w:rsidRPr="00A37112" w:rsidRDefault="00AB00DE" w:rsidP="00560424">
      <w:pPr>
        <w:pStyle w:val="a4"/>
      </w:pPr>
      <w:r w:rsidRPr="00A37112">
        <w:rPr>
          <w:lang w:val="zh-CN"/>
        </w:rPr>
        <w:tab/>
      </w:r>
      <w:r w:rsidRPr="00902223">
        <w:rPr>
          <w:rStyle w:val="a5"/>
          <w:szCs w:val="21"/>
          <w:lang w:val="zh-CN"/>
        </w:rPr>
        <w:footnoteRef/>
      </w:r>
      <w:r w:rsidRPr="00A37112">
        <w:rPr>
          <w:lang w:val="zh-CN"/>
        </w:rPr>
        <w:tab/>
      </w:r>
      <w:r w:rsidRPr="00A37112">
        <w:rPr>
          <w:lang w:val="zh-CN"/>
        </w:rPr>
        <w:t>见</w:t>
      </w:r>
      <w:r w:rsidRPr="005715FC">
        <w:rPr>
          <w:rFonts w:asciiTheme="majorBidi" w:hAnsiTheme="majorBidi" w:cstheme="majorBidi"/>
        </w:rPr>
        <w:t xml:space="preserve">See J. Klabbers, </w:t>
      </w:r>
      <w:r w:rsidRPr="005715FC">
        <w:rPr>
          <w:rFonts w:asciiTheme="majorBidi" w:hAnsiTheme="majorBidi" w:cstheme="majorBidi"/>
          <w:i/>
          <w:iCs/>
        </w:rPr>
        <w:t>An Introduction to Institutional Law</w:t>
      </w:r>
      <w:r w:rsidRPr="005715FC">
        <w:rPr>
          <w:rFonts w:asciiTheme="majorBidi" w:hAnsiTheme="majorBidi" w:cstheme="majorBidi"/>
        </w:rPr>
        <w:t xml:space="preserve">, 2nd edition (Cambridge, Cambridge University Press, 2009), p. 90; C.F. Amerasinghe, </w:t>
      </w:r>
      <w:r w:rsidRPr="005715FC">
        <w:rPr>
          <w:rFonts w:asciiTheme="majorBidi" w:hAnsiTheme="majorBidi" w:cstheme="majorBidi"/>
          <w:i/>
          <w:iCs/>
        </w:rPr>
        <w:t>Principles of the Institutional Law of International Organizations</w:t>
      </w:r>
      <w:r w:rsidRPr="005715FC">
        <w:rPr>
          <w:rFonts w:asciiTheme="majorBidi" w:hAnsiTheme="majorBidi" w:cstheme="majorBidi"/>
        </w:rPr>
        <w:t xml:space="preserve">, 2nd edition (Cambridge, Cambridge University Press, 2005), p. 25; J.E. Alvarez, </w:t>
      </w:r>
      <w:r w:rsidRPr="005715FC">
        <w:rPr>
          <w:rFonts w:asciiTheme="majorBidi" w:hAnsiTheme="majorBidi" w:cstheme="majorBidi"/>
          <w:i/>
          <w:iCs/>
        </w:rPr>
        <w:t>International</w:t>
      </w:r>
      <w:r w:rsidRPr="005715FC">
        <w:rPr>
          <w:rFonts w:asciiTheme="majorBidi" w:hAnsiTheme="majorBidi" w:cstheme="majorBidi"/>
        </w:rPr>
        <w:t xml:space="preserve"> </w:t>
      </w:r>
      <w:r w:rsidRPr="005715FC">
        <w:rPr>
          <w:rFonts w:asciiTheme="majorBidi" w:hAnsiTheme="majorBidi" w:cstheme="majorBidi"/>
          <w:i/>
          <w:iCs/>
        </w:rPr>
        <w:t>Organizations as Law-Makers</w:t>
      </w:r>
      <w:r w:rsidRPr="005715FC">
        <w:rPr>
          <w:rFonts w:asciiTheme="majorBidi" w:hAnsiTheme="majorBidi" w:cstheme="majorBidi"/>
        </w:rPr>
        <w:t xml:space="preserve"> (Oxford, Oxford University Press, 2006), p. 80; Rosenne, </w:t>
      </w:r>
      <w:r w:rsidRPr="005715FC">
        <w:rPr>
          <w:rFonts w:asciiTheme="majorBidi" w:hAnsiTheme="majorBidi" w:cstheme="majorBidi"/>
          <w:i/>
        </w:rPr>
        <w:t>Developments in the Law of Treaties …</w:t>
      </w:r>
      <w:r>
        <w:rPr>
          <w:rFonts w:asciiTheme="majorBidi" w:hAnsiTheme="majorBidi" w:cstheme="majorBidi" w:hint="eastAsia"/>
          <w:i/>
        </w:rPr>
        <w:t xml:space="preserve"> </w:t>
      </w:r>
      <w:r w:rsidRPr="00A37112">
        <w:t>(</w:t>
      </w:r>
      <w:r w:rsidRPr="00A37112">
        <w:rPr>
          <w:rFonts w:hint="eastAsia"/>
        </w:rPr>
        <w:t>见上文脚注</w:t>
      </w:r>
      <w:r>
        <w:fldChar w:fldCharType="begin"/>
      </w:r>
      <w:r>
        <w:instrText xml:space="preserve"> </w:instrText>
      </w:r>
      <w:r>
        <w:rPr>
          <w:rFonts w:hint="eastAsia"/>
        </w:rPr>
        <w:instrText>NOTEREF _Ref461977135 \h</w:instrText>
      </w:r>
      <w:r>
        <w:instrText xml:space="preserve"> </w:instrText>
      </w:r>
      <w:r>
        <w:fldChar w:fldCharType="separate"/>
      </w:r>
      <w:r w:rsidR="00A73EB9">
        <w:t>514</w:t>
      </w:r>
      <w:r>
        <w:fldChar w:fldCharType="end"/>
      </w:r>
      <w:r w:rsidRPr="00A37112">
        <w:t>)</w:t>
      </w:r>
      <w:r w:rsidRPr="00A37112">
        <w:t>，</w:t>
      </w:r>
      <w:r w:rsidRPr="00A37112">
        <w:t>pp. 224-225</w:t>
      </w:r>
      <w:r w:rsidRPr="00A37112">
        <w:rPr>
          <w:lang w:val="zh-CN"/>
        </w:rPr>
        <w:t>。</w:t>
      </w:r>
    </w:p>
  </w:footnote>
  <w:footnote w:id="955">
    <w:p w:rsidR="00AB00DE" w:rsidRPr="00A37112" w:rsidRDefault="00AB00DE" w:rsidP="00267AB1">
      <w:pPr>
        <w:pStyle w:val="a4"/>
      </w:pPr>
      <w:r w:rsidRPr="00A37112">
        <w:tab/>
      </w:r>
      <w:r w:rsidRPr="00902223">
        <w:rPr>
          <w:rStyle w:val="a5"/>
          <w:szCs w:val="21"/>
          <w:lang w:val="zh-CN"/>
        </w:rPr>
        <w:footnoteRef/>
      </w:r>
      <w:r w:rsidRPr="00A37112">
        <w:tab/>
      </w:r>
      <w:r w:rsidRPr="00A37112">
        <w:rPr>
          <w:lang w:val="zh-CN"/>
        </w:rPr>
        <w:t>见</w:t>
      </w:r>
      <w:r w:rsidRPr="005715FC">
        <w:rPr>
          <w:rFonts w:asciiTheme="majorBidi" w:hAnsiTheme="majorBidi" w:cstheme="majorBidi"/>
        </w:rPr>
        <w:t>Lauterpacht, “The development of the law of international organization …”</w:t>
      </w:r>
      <w:r w:rsidRPr="00A37112">
        <w:t>(</w:t>
      </w:r>
      <w:r w:rsidRPr="00A37112">
        <w:rPr>
          <w:rFonts w:hint="eastAsia"/>
        </w:rPr>
        <w:t>上文脚注</w:t>
      </w:r>
      <w:r>
        <w:fldChar w:fldCharType="begin"/>
      </w:r>
      <w:r>
        <w:instrText xml:space="preserve"> NOTEREF _Ref461972846 \h </w:instrText>
      </w:r>
      <w:r>
        <w:fldChar w:fldCharType="separate"/>
      </w:r>
      <w:r w:rsidR="00A73EB9">
        <w:t>393</w:t>
      </w:r>
      <w:r>
        <w:fldChar w:fldCharType="end"/>
      </w:r>
      <w:r w:rsidRPr="005715FC">
        <w:rPr>
          <w:rFonts w:asciiTheme="majorBidi" w:hAnsiTheme="majorBidi" w:cstheme="majorBidi"/>
        </w:rPr>
        <w:t xml:space="preserve">), at p. 460; N.M. Blokker, “Beyond ‘Dili’: on the powers and practice of international organizations”, in </w:t>
      </w:r>
      <w:r w:rsidRPr="005715FC">
        <w:rPr>
          <w:rFonts w:asciiTheme="majorBidi" w:hAnsiTheme="majorBidi" w:cstheme="majorBidi"/>
          <w:i/>
        </w:rPr>
        <w:t>State, Sovereignty, and International Governance</w:t>
      </w:r>
      <w:r w:rsidRPr="005715FC">
        <w:rPr>
          <w:rFonts w:asciiTheme="majorBidi" w:hAnsiTheme="majorBidi" w:cstheme="majorBidi"/>
        </w:rPr>
        <w:t>, G. Kreijen, ed.</w:t>
      </w:r>
      <w:r w:rsidRPr="005715FC">
        <w:rPr>
          <w:rFonts w:asciiTheme="majorBidi" w:hAnsiTheme="majorBidi" w:cstheme="majorBidi"/>
          <w:i/>
        </w:rPr>
        <w:t xml:space="preserve"> </w:t>
      </w:r>
      <w:r w:rsidRPr="005715FC">
        <w:rPr>
          <w:rFonts w:asciiTheme="majorBidi" w:hAnsiTheme="majorBidi" w:cstheme="majorBidi"/>
        </w:rPr>
        <w:t>(Oxford, Oxford University Press, 2002), pp. 299-322, at pp. 312-318</w:t>
      </w:r>
      <w:r w:rsidRPr="00A37112">
        <w:rPr>
          <w:lang w:val="zh-CN"/>
        </w:rPr>
        <w:t>。</w:t>
      </w:r>
    </w:p>
  </w:footnote>
  <w:footnote w:id="956">
    <w:p w:rsidR="00AB00DE" w:rsidRPr="00A37112" w:rsidRDefault="00AB00DE" w:rsidP="00560424">
      <w:pPr>
        <w:pStyle w:val="a4"/>
      </w:pPr>
      <w:r w:rsidRPr="00A37112">
        <w:tab/>
      </w:r>
      <w:r w:rsidRPr="00902223">
        <w:rPr>
          <w:rStyle w:val="a5"/>
          <w:szCs w:val="21"/>
          <w:lang w:val="zh-CN"/>
        </w:rPr>
        <w:footnoteRef/>
      </w:r>
      <w:r w:rsidRPr="00A37112">
        <w:tab/>
      </w:r>
      <w:r w:rsidRPr="005715FC">
        <w:rPr>
          <w:rFonts w:asciiTheme="majorBidi" w:hAnsiTheme="majorBidi" w:cstheme="majorBidi"/>
        </w:rPr>
        <w:t xml:space="preserve">C. Brölmann, “Specialized rules of treaty interpretation: international organizations”, in Hollis, </w:t>
      </w:r>
      <w:r w:rsidRPr="005715FC">
        <w:rPr>
          <w:rFonts w:asciiTheme="majorBidi" w:hAnsiTheme="majorBidi" w:cstheme="majorBidi"/>
          <w:i/>
        </w:rPr>
        <w:t>The Oxford Guide to Treaties</w:t>
      </w:r>
      <w:r w:rsidRPr="005715FC">
        <w:rPr>
          <w:rFonts w:asciiTheme="majorBidi" w:hAnsiTheme="majorBidi" w:cstheme="majorBidi"/>
        </w:rPr>
        <w:t xml:space="preserve"> </w:t>
      </w:r>
      <w:r w:rsidRPr="00A37112">
        <w:t>(</w:t>
      </w:r>
      <w:r w:rsidRPr="00A37112">
        <w:rPr>
          <w:rFonts w:hint="eastAsia"/>
        </w:rPr>
        <w:t>见上文脚注</w:t>
      </w:r>
      <w:r>
        <w:fldChar w:fldCharType="begin"/>
      </w:r>
      <w:r>
        <w:instrText xml:space="preserve"> </w:instrText>
      </w:r>
      <w:r>
        <w:rPr>
          <w:rFonts w:hint="eastAsia"/>
        </w:rPr>
        <w:instrText>NOTEREF _Ref461972715 \h</w:instrText>
      </w:r>
      <w:r>
        <w:instrText xml:space="preserve"> </w:instrText>
      </w:r>
      <w:r>
        <w:fldChar w:fldCharType="separate"/>
      </w:r>
      <w:r w:rsidR="00A73EB9">
        <w:t>414</w:t>
      </w:r>
      <w:r>
        <w:fldChar w:fldCharType="end"/>
      </w:r>
      <w:r w:rsidRPr="005715FC">
        <w:rPr>
          <w:rFonts w:asciiTheme="majorBidi" w:hAnsiTheme="majorBidi" w:cstheme="majorBidi"/>
        </w:rPr>
        <w:t xml:space="preserve">), pp. 507-534, at pp. 520-521; S. Kadelbach, “The interpretation of the Charter”, in </w:t>
      </w:r>
      <w:r w:rsidRPr="005715FC">
        <w:rPr>
          <w:rFonts w:asciiTheme="majorBidi" w:hAnsiTheme="majorBidi" w:cstheme="majorBidi"/>
          <w:i/>
        </w:rPr>
        <w:t>The Charter of the United Nations: A Commentary</w:t>
      </w:r>
      <w:r w:rsidRPr="005715FC">
        <w:rPr>
          <w:rFonts w:asciiTheme="majorBidi" w:hAnsiTheme="majorBidi" w:cstheme="majorBidi"/>
        </w:rPr>
        <w:t xml:space="preserve">, 3rd edition, B. Simma </w:t>
      </w:r>
      <w:r w:rsidRPr="005715FC">
        <w:rPr>
          <w:rFonts w:asciiTheme="majorBidi" w:hAnsiTheme="majorBidi" w:cstheme="majorBidi"/>
          <w:iCs/>
        </w:rPr>
        <w:t>and others,</w:t>
      </w:r>
      <w:r w:rsidRPr="005715FC">
        <w:rPr>
          <w:rFonts w:asciiTheme="majorBidi" w:hAnsiTheme="majorBidi" w:cstheme="majorBidi"/>
        </w:rPr>
        <w:t xml:space="preserve"> eds. (Oxford, Oxford University Press, 2012), p. 71, at p. 80; Gardiner, </w:t>
      </w:r>
      <w:r w:rsidRPr="005715FC">
        <w:rPr>
          <w:rFonts w:asciiTheme="majorBidi" w:hAnsiTheme="majorBidi" w:cstheme="majorBidi"/>
          <w:i/>
          <w:iCs/>
        </w:rPr>
        <w:t>Treaty Interpretation</w:t>
      </w:r>
      <w:r w:rsidRPr="005715FC">
        <w:rPr>
          <w:rFonts w:asciiTheme="majorBidi" w:hAnsiTheme="majorBidi" w:cstheme="majorBidi"/>
        </w:rPr>
        <w:t xml:space="preserve"> </w:t>
      </w:r>
      <w:r w:rsidRPr="00A37112">
        <w:t>(</w:t>
      </w:r>
      <w:r w:rsidRPr="00A37112">
        <w:rPr>
          <w:rFonts w:hint="eastAsia"/>
        </w:rPr>
        <w:t>见上文脚注</w:t>
      </w:r>
      <w:r w:rsidRPr="00D90936">
        <w:rPr>
          <w:rFonts w:asciiTheme="majorBidi" w:hAnsiTheme="majorBidi" w:cstheme="majorBidi"/>
        </w:rPr>
        <w:fldChar w:fldCharType="begin"/>
      </w:r>
      <w:r w:rsidRPr="00D90936">
        <w:rPr>
          <w:rFonts w:asciiTheme="majorBidi" w:hAnsiTheme="majorBidi" w:cstheme="majorBidi"/>
        </w:rPr>
        <w:instrText xml:space="preserve"> NOTEREF _Ref461971974 \h </w:instrText>
      </w:r>
      <w:r>
        <w:rPr>
          <w:rFonts w:asciiTheme="majorBidi" w:hAnsiTheme="majorBidi" w:cstheme="majorBidi"/>
        </w:rPr>
        <w:instrText xml:space="preserve"> \* MERGEFORMAT </w:instrText>
      </w:r>
      <w:r w:rsidRPr="00D90936">
        <w:rPr>
          <w:rFonts w:asciiTheme="majorBidi" w:hAnsiTheme="majorBidi" w:cstheme="majorBidi"/>
        </w:rPr>
      </w:r>
      <w:r w:rsidRPr="00D90936">
        <w:rPr>
          <w:rFonts w:asciiTheme="majorBidi" w:hAnsiTheme="majorBidi" w:cstheme="majorBidi"/>
        </w:rPr>
        <w:fldChar w:fldCharType="separate"/>
      </w:r>
      <w:r w:rsidR="00A73EB9">
        <w:rPr>
          <w:rFonts w:asciiTheme="majorBidi" w:hAnsiTheme="majorBidi" w:cstheme="majorBidi"/>
        </w:rPr>
        <w:t>392</w:t>
      </w:r>
      <w:r w:rsidRPr="00D90936">
        <w:rPr>
          <w:rFonts w:asciiTheme="majorBidi" w:hAnsiTheme="majorBidi" w:cstheme="majorBidi"/>
        </w:rPr>
        <w:fldChar w:fldCharType="end"/>
      </w:r>
      <w:r w:rsidRPr="005715FC">
        <w:rPr>
          <w:rFonts w:asciiTheme="majorBidi" w:hAnsiTheme="majorBidi" w:cstheme="majorBidi"/>
        </w:rPr>
        <w:t>), pp. 127 and 281</w:t>
      </w:r>
      <w:r w:rsidRPr="00A37112">
        <w:rPr>
          <w:rFonts w:hint="eastAsia"/>
        </w:rPr>
        <w:t>。</w:t>
      </w:r>
    </w:p>
  </w:footnote>
  <w:footnote w:id="957">
    <w:p w:rsidR="00AB00DE" w:rsidRPr="00A37112" w:rsidRDefault="00AB00DE" w:rsidP="00560424">
      <w:pPr>
        <w:pStyle w:val="a4"/>
      </w:pPr>
      <w:r w:rsidRPr="00A37112">
        <w:tab/>
      </w:r>
      <w:r w:rsidRPr="00902223">
        <w:rPr>
          <w:rStyle w:val="a5"/>
          <w:szCs w:val="21"/>
          <w:lang w:val="zh-CN"/>
        </w:rPr>
        <w:footnoteRef/>
      </w:r>
      <w:r w:rsidRPr="00A37112">
        <w:tab/>
      </w:r>
      <w:r w:rsidRPr="005715FC">
        <w:rPr>
          <w:rFonts w:asciiTheme="majorBidi" w:hAnsiTheme="majorBidi" w:cstheme="majorBidi"/>
        </w:rPr>
        <w:t xml:space="preserve">Gardiner, </w:t>
      </w:r>
      <w:r w:rsidRPr="005715FC">
        <w:rPr>
          <w:rFonts w:asciiTheme="majorBidi" w:hAnsiTheme="majorBidi" w:cstheme="majorBidi"/>
          <w:i/>
          <w:iCs/>
        </w:rPr>
        <w:t>Treaty Interpretation</w:t>
      </w:r>
      <w:r w:rsidRPr="005715FC">
        <w:rPr>
          <w:rFonts w:asciiTheme="majorBidi" w:hAnsiTheme="majorBidi" w:cstheme="majorBidi"/>
        </w:rPr>
        <w:t xml:space="preserve"> </w:t>
      </w:r>
      <w:r w:rsidRPr="00A37112">
        <w:t>(</w:t>
      </w:r>
      <w:r w:rsidRPr="00A37112">
        <w:rPr>
          <w:lang w:val="zh-CN"/>
        </w:rPr>
        <w:t>见上文脚注</w:t>
      </w:r>
      <w:r w:rsidRPr="00D90936">
        <w:rPr>
          <w:rFonts w:asciiTheme="majorBidi" w:hAnsiTheme="majorBidi" w:cstheme="majorBidi"/>
        </w:rPr>
        <w:fldChar w:fldCharType="begin"/>
      </w:r>
      <w:r w:rsidRPr="00D90936">
        <w:rPr>
          <w:rFonts w:asciiTheme="majorBidi" w:hAnsiTheme="majorBidi" w:cstheme="majorBidi"/>
        </w:rPr>
        <w:instrText xml:space="preserve"> NOTEREF _Ref461971974 \h </w:instrText>
      </w:r>
      <w:r>
        <w:rPr>
          <w:rFonts w:asciiTheme="majorBidi" w:hAnsiTheme="majorBidi" w:cstheme="majorBidi"/>
        </w:rPr>
        <w:instrText xml:space="preserve"> \* MERGEFORMAT </w:instrText>
      </w:r>
      <w:r w:rsidRPr="00D90936">
        <w:rPr>
          <w:rFonts w:asciiTheme="majorBidi" w:hAnsiTheme="majorBidi" w:cstheme="majorBidi"/>
        </w:rPr>
      </w:r>
      <w:r w:rsidRPr="00D90936">
        <w:rPr>
          <w:rFonts w:asciiTheme="majorBidi" w:hAnsiTheme="majorBidi" w:cstheme="majorBidi"/>
        </w:rPr>
        <w:fldChar w:fldCharType="separate"/>
      </w:r>
      <w:r w:rsidR="00A73EB9">
        <w:rPr>
          <w:rFonts w:asciiTheme="majorBidi" w:hAnsiTheme="majorBidi" w:cstheme="majorBidi"/>
        </w:rPr>
        <w:t>392</w:t>
      </w:r>
      <w:r w:rsidRPr="00D90936">
        <w:rPr>
          <w:rFonts w:asciiTheme="majorBidi" w:hAnsiTheme="majorBidi" w:cstheme="majorBidi"/>
        </w:rPr>
        <w:fldChar w:fldCharType="end"/>
      </w:r>
      <w:r w:rsidRPr="005715FC">
        <w:rPr>
          <w:rFonts w:asciiTheme="majorBidi" w:hAnsiTheme="majorBidi" w:cstheme="majorBidi"/>
        </w:rPr>
        <w:t xml:space="preserve">), p. 282; Schermers and Blokker, </w:t>
      </w:r>
      <w:r w:rsidRPr="005715FC">
        <w:rPr>
          <w:rFonts w:asciiTheme="majorBidi" w:hAnsiTheme="majorBidi" w:cstheme="majorBidi"/>
          <w:i/>
        </w:rPr>
        <w:t>International Institutional Law</w:t>
      </w:r>
      <w:r w:rsidRPr="00A37112">
        <w:t xml:space="preserve"> (</w:t>
      </w:r>
      <w:r w:rsidRPr="00A37112">
        <w:rPr>
          <w:lang w:val="zh-CN"/>
        </w:rPr>
        <w:t>见上文脚注</w:t>
      </w:r>
      <w:r>
        <w:rPr>
          <w:lang w:val="zh-CN"/>
        </w:rPr>
        <w:fldChar w:fldCharType="begin"/>
      </w:r>
      <w:r w:rsidRPr="00560424">
        <w:instrText xml:space="preserve"> NOTEREF _Ref461977235 \h </w:instrText>
      </w:r>
      <w:r>
        <w:rPr>
          <w:lang w:val="zh-CN"/>
        </w:rPr>
      </w:r>
      <w:r>
        <w:rPr>
          <w:lang w:val="zh-CN"/>
        </w:rPr>
        <w:fldChar w:fldCharType="separate"/>
      </w:r>
      <w:r w:rsidR="00A73EB9">
        <w:t>933</w:t>
      </w:r>
      <w:r>
        <w:rPr>
          <w:lang w:val="zh-CN"/>
        </w:rPr>
        <w:fldChar w:fldCharType="end"/>
      </w:r>
      <w:r w:rsidRPr="005715FC">
        <w:rPr>
          <w:rFonts w:asciiTheme="majorBidi" w:hAnsiTheme="majorBidi" w:cstheme="majorBidi"/>
        </w:rPr>
        <w:t xml:space="preserve">), p. 844; J. Crawford, </w:t>
      </w:r>
      <w:r w:rsidRPr="005715FC">
        <w:rPr>
          <w:rFonts w:asciiTheme="majorBidi" w:hAnsiTheme="majorBidi" w:cstheme="majorBidi"/>
          <w:i/>
        </w:rPr>
        <w:t>Brownlie’s Principles of Public International Law</w:t>
      </w:r>
      <w:r w:rsidRPr="005715FC">
        <w:rPr>
          <w:rFonts w:asciiTheme="majorBidi" w:hAnsiTheme="majorBidi" w:cstheme="majorBidi"/>
        </w:rPr>
        <w:t xml:space="preserve">, 8th edition (Oxford, Oxford University Press, 2012), p. 187; Klabbers, </w:t>
      </w:r>
      <w:r w:rsidRPr="005715FC">
        <w:rPr>
          <w:rFonts w:asciiTheme="majorBidi" w:hAnsiTheme="majorBidi" w:cstheme="majorBidi"/>
          <w:i/>
          <w:iCs/>
        </w:rPr>
        <w:t xml:space="preserve">An Introduction to Institutional Law </w:t>
      </w:r>
      <w:r w:rsidRPr="00A37112">
        <w:t>(</w:t>
      </w:r>
      <w:r w:rsidRPr="00A37112">
        <w:rPr>
          <w:lang w:val="zh-CN"/>
        </w:rPr>
        <w:t>见上文脚注</w:t>
      </w:r>
      <w:r>
        <w:rPr>
          <w:lang w:val="zh-CN"/>
        </w:rPr>
        <w:fldChar w:fldCharType="begin"/>
      </w:r>
      <w:r w:rsidRPr="00560424">
        <w:instrText xml:space="preserve"> NOTEREF _Ref461977252 \h </w:instrText>
      </w:r>
      <w:r>
        <w:rPr>
          <w:lang w:val="zh-CN"/>
        </w:rPr>
      </w:r>
      <w:r>
        <w:rPr>
          <w:lang w:val="zh-CN"/>
        </w:rPr>
        <w:fldChar w:fldCharType="separate"/>
      </w:r>
      <w:r w:rsidR="00A73EB9">
        <w:t>953</w:t>
      </w:r>
      <w:r>
        <w:rPr>
          <w:lang w:val="zh-CN"/>
        </w:rPr>
        <w:fldChar w:fldCharType="end"/>
      </w:r>
      <w:r w:rsidRPr="00A37112">
        <w:t>)</w:t>
      </w:r>
      <w:r w:rsidRPr="00A37112">
        <w:t>，</w:t>
      </w:r>
      <w:r w:rsidRPr="00A37112">
        <w:rPr>
          <w:lang w:val="zh-CN"/>
        </w:rPr>
        <w:t>第</w:t>
      </w:r>
      <w:r w:rsidRPr="00A37112">
        <w:t>89–90</w:t>
      </w:r>
      <w:r w:rsidRPr="00A37112">
        <w:rPr>
          <w:lang w:val="zh-CN"/>
        </w:rPr>
        <w:t>页</w:t>
      </w:r>
      <w:r w:rsidRPr="00A37112">
        <w:t>；</w:t>
      </w:r>
      <w:r w:rsidRPr="00A37112">
        <w:rPr>
          <w:lang w:val="zh-CN"/>
        </w:rPr>
        <w:t>另见</w:t>
      </w:r>
      <w:r w:rsidRPr="00A37112">
        <w:rPr>
          <w:rFonts w:eastAsia="楷体"/>
          <w:lang w:val="zh-CN"/>
        </w:rPr>
        <w:t>关于</w:t>
      </w:r>
      <w:r w:rsidRPr="00A37112">
        <w:rPr>
          <w:rFonts w:eastAsia="楷体"/>
        </w:rPr>
        <w:t>2001</w:t>
      </w:r>
      <w:r w:rsidRPr="00A37112">
        <w:rPr>
          <w:rFonts w:eastAsia="楷体"/>
          <w:lang w:val="zh-CN"/>
        </w:rPr>
        <w:t>年</w:t>
      </w:r>
      <w:r w:rsidRPr="00A37112">
        <w:rPr>
          <w:rFonts w:eastAsia="楷体"/>
        </w:rPr>
        <w:t>1</w:t>
      </w:r>
      <w:r w:rsidRPr="00A37112">
        <w:rPr>
          <w:rFonts w:eastAsia="楷体"/>
          <w:lang w:val="zh-CN"/>
        </w:rPr>
        <w:t>月</w:t>
      </w:r>
      <w:r w:rsidRPr="00A37112">
        <w:rPr>
          <w:rFonts w:eastAsia="楷体"/>
        </w:rPr>
        <w:t>8</w:t>
      </w:r>
      <w:r w:rsidRPr="00A37112">
        <w:rPr>
          <w:rFonts w:eastAsia="楷体"/>
          <w:lang w:val="zh-CN"/>
        </w:rPr>
        <w:t>日召回私人持股合法性及此类股份估值适用标准的部分裁决</w:t>
      </w:r>
      <w:r w:rsidRPr="00A37112">
        <w:rPr>
          <w:rFonts w:eastAsia="楷体"/>
        </w:rPr>
        <w:t>，</w:t>
      </w:r>
      <w:r w:rsidRPr="00A37112">
        <w:rPr>
          <w:rFonts w:eastAsia="楷体"/>
        </w:rPr>
        <w:t>2002</w:t>
      </w:r>
      <w:r w:rsidRPr="00A37112">
        <w:rPr>
          <w:rFonts w:eastAsia="楷体"/>
          <w:lang w:val="zh-CN"/>
        </w:rPr>
        <w:t>年</w:t>
      </w:r>
      <w:r w:rsidRPr="00A37112">
        <w:rPr>
          <w:rFonts w:eastAsia="楷体"/>
        </w:rPr>
        <w:t>11</w:t>
      </w:r>
      <w:r w:rsidRPr="00A37112">
        <w:rPr>
          <w:rFonts w:eastAsia="楷体"/>
          <w:lang w:val="zh-CN"/>
        </w:rPr>
        <w:t>月</w:t>
      </w:r>
      <w:r w:rsidRPr="00A37112">
        <w:rPr>
          <w:rFonts w:eastAsia="楷体"/>
        </w:rPr>
        <w:t>22</w:t>
      </w:r>
      <w:r w:rsidRPr="00A37112">
        <w:rPr>
          <w:rFonts w:eastAsia="楷体"/>
          <w:lang w:val="zh-CN"/>
        </w:rPr>
        <w:t>日</w:t>
      </w:r>
      <w:r w:rsidRPr="00A37112">
        <w:rPr>
          <w:rFonts w:eastAsia="楷体"/>
        </w:rPr>
        <w:t>，</w:t>
      </w:r>
      <w:r w:rsidRPr="00A37112">
        <w:rPr>
          <w:rFonts w:eastAsia="楷体"/>
          <w:lang w:val="zh-CN"/>
        </w:rPr>
        <w:t>《联合国国际仲裁裁决汇编》</w:t>
      </w:r>
      <w:r w:rsidRPr="00A37112">
        <w:rPr>
          <w:rFonts w:eastAsia="楷体"/>
        </w:rPr>
        <w:t>，</w:t>
      </w:r>
      <w:r w:rsidRPr="00A37112">
        <w:rPr>
          <w:lang w:val="zh-CN"/>
        </w:rPr>
        <w:t>第二十三卷</w:t>
      </w:r>
      <w:r w:rsidRPr="00A37112">
        <w:t>(</w:t>
      </w:r>
      <w:r w:rsidRPr="00A37112">
        <w:rPr>
          <w:lang w:val="zh-CN"/>
        </w:rPr>
        <w:t>出售品</w:t>
      </w:r>
      <w:r w:rsidRPr="00A37112">
        <w:t>编号</w:t>
      </w:r>
      <w:r w:rsidRPr="00A37112">
        <w:t>E/F.04.V.15)</w:t>
      </w:r>
      <w:r w:rsidRPr="00A37112">
        <w:t>，</w:t>
      </w:r>
      <w:r w:rsidRPr="00A37112">
        <w:rPr>
          <w:lang w:val="zh-CN"/>
        </w:rPr>
        <w:t>第</w:t>
      </w:r>
      <w:r w:rsidRPr="00A37112">
        <w:t>183-251</w:t>
      </w:r>
      <w:r w:rsidRPr="00A37112">
        <w:rPr>
          <w:lang w:val="zh-CN"/>
        </w:rPr>
        <w:t>页</w:t>
      </w:r>
      <w:r w:rsidRPr="00A37112">
        <w:t>，</w:t>
      </w:r>
      <w:r w:rsidRPr="00A37112">
        <w:rPr>
          <w:lang w:val="zh-CN"/>
        </w:rPr>
        <w:t>见第</w:t>
      </w:r>
      <w:r w:rsidRPr="00A37112">
        <w:t>224</w:t>
      </w:r>
      <w:r w:rsidRPr="00A37112">
        <w:rPr>
          <w:lang w:val="zh-CN"/>
        </w:rPr>
        <w:t>页</w:t>
      </w:r>
      <w:r w:rsidRPr="00A37112">
        <w:t>，</w:t>
      </w:r>
      <w:r w:rsidRPr="00A37112">
        <w:rPr>
          <w:lang w:val="zh-CN"/>
        </w:rPr>
        <w:t>第</w:t>
      </w:r>
      <w:r w:rsidRPr="00A37112">
        <w:t>145</w:t>
      </w:r>
      <w:r w:rsidRPr="00A37112">
        <w:rPr>
          <w:lang w:val="zh-CN"/>
        </w:rPr>
        <w:t>段。</w:t>
      </w:r>
    </w:p>
  </w:footnote>
  <w:footnote w:id="958">
    <w:p w:rsidR="00AB00DE" w:rsidRPr="00A37112" w:rsidRDefault="00AB00DE" w:rsidP="003E31C7">
      <w:pPr>
        <w:pStyle w:val="a4"/>
      </w:pPr>
      <w:r w:rsidRPr="00A37112">
        <w:tab/>
      </w:r>
      <w:r w:rsidRPr="00902223">
        <w:rPr>
          <w:rStyle w:val="a5"/>
          <w:szCs w:val="21"/>
          <w:lang w:val="zh-CN"/>
        </w:rPr>
        <w:footnoteRef/>
      </w:r>
      <w:r w:rsidRPr="00A37112">
        <w:rPr>
          <w:lang w:val="zh-CN"/>
        </w:rPr>
        <w:tab/>
      </w:r>
      <w:r w:rsidRPr="00A37112">
        <w:rPr>
          <w:lang w:val="zh-CN"/>
        </w:rPr>
        <w:t>委员会可以</w:t>
      </w:r>
      <w:r w:rsidRPr="00A37112">
        <w:rPr>
          <w:rFonts w:hint="eastAsia"/>
          <w:lang w:val="zh-CN"/>
        </w:rPr>
        <w:t>在二读时</w:t>
      </w:r>
      <w:r w:rsidRPr="00A37112">
        <w:rPr>
          <w:lang w:val="zh-CN"/>
        </w:rPr>
        <w:t>重新审视结论草案</w:t>
      </w:r>
      <w:r w:rsidRPr="00A37112">
        <w:rPr>
          <w:lang w:val="zh-CN"/>
        </w:rPr>
        <w:t>2[1]</w:t>
      </w:r>
      <w:r w:rsidRPr="00A37112">
        <w:rPr>
          <w:rFonts w:hint="eastAsia"/>
          <w:lang w:val="zh-CN"/>
        </w:rPr>
        <w:t>第</w:t>
      </w:r>
      <w:r w:rsidRPr="00A37112">
        <w:rPr>
          <w:lang w:val="zh-CN"/>
        </w:rPr>
        <w:t>4</w:t>
      </w:r>
      <w:r w:rsidRPr="00A37112">
        <w:rPr>
          <w:rFonts w:hint="eastAsia"/>
          <w:lang w:val="zh-CN"/>
        </w:rPr>
        <w:t>段</w:t>
      </w:r>
      <w:r w:rsidRPr="00A37112">
        <w:rPr>
          <w:lang w:val="zh-CN"/>
        </w:rPr>
        <w:t>和</w:t>
      </w:r>
      <w:r w:rsidRPr="00A37112">
        <w:rPr>
          <w:rFonts w:hint="eastAsia"/>
          <w:lang w:val="zh-CN"/>
        </w:rPr>
        <w:t>结论草案</w:t>
      </w:r>
      <w:r w:rsidRPr="00A37112">
        <w:rPr>
          <w:lang w:val="zh-CN"/>
        </w:rPr>
        <w:t>4</w:t>
      </w:r>
      <w:r w:rsidRPr="00A37112">
        <w:rPr>
          <w:rFonts w:hint="eastAsia"/>
          <w:lang w:val="zh-CN"/>
        </w:rPr>
        <w:t>第</w:t>
      </w:r>
      <w:r w:rsidRPr="00A37112">
        <w:rPr>
          <w:lang w:val="zh-CN"/>
        </w:rPr>
        <w:t>3</w:t>
      </w:r>
      <w:r w:rsidRPr="00A37112">
        <w:rPr>
          <w:rFonts w:hint="eastAsia"/>
          <w:lang w:val="zh-CN"/>
        </w:rPr>
        <w:t>段</w:t>
      </w:r>
      <w:r w:rsidRPr="00A37112">
        <w:rPr>
          <w:lang w:val="zh-CN"/>
        </w:rPr>
        <w:t>中</w:t>
      </w:r>
      <w:r w:rsidRPr="00A37112">
        <w:rPr>
          <w:rFonts w:hint="eastAsia"/>
          <w:lang w:val="zh-CN"/>
        </w:rPr>
        <w:t>“</w:t>
      </w:r>
      <w:r w:rsidRPr="00A37112">
        <w:rPr>
          <w:lang w:val="zh-CN"/>
        </w:rPr>
        <w:t>其他嗣后惯例</w:t>
      </w:r>
      <w:r w:rsidRPr="00A37112">
        <w:rPr>
          <w:rFonts w:hint="eastAsia"/>
          <w:lang w:val="zh-CN"/>
        </w:rPr>
        <w:t>”</w:t>
      </w:r>
      <w:r w:rsidRPr="00A37112">
        <w:rPr>
          <w:lang w:val="zh-CN"/>
        </w:rPr>
        <w:t>的定义，以澄清国际组织的自身惯例是否应该纳入该类；该类目前仅限于缔约国的惯例；见国际法委员会第六十五届会议报告，</w:t>
      </w:r>
      <w:r w:rsidRPr="00A37112">
        <w:rPr>
          <w:rFonts w:eastAsia="楷体"/>
          <w:lang w:val="zh-CN"/>
        </w:rPr>
        <w:t>《大会正式记录，第六十八届会议，补编第</w:t>
      </w:r>
      <w:r w:rsidRPr="00A37112">
        <w:rPr>
          <w:rFonts w:eastAsia="楷体"/>
          <w:lang w:val="zh-CN"/>
        </w:rPr>
        <w:t>10</w:t>
      </w:r>
      <w:r w:rsidRPr="00A37112">
        <w:rPr>
          <w:rFonts w:eastAsia="楷体"/>
          <w:lang w:val="zh-CN"/>
        </w:rPr>
        <w:t>号》</w:t>
      </w:r>
      <w:r w:rsidRPr="00A37112">
        <w:rPr>
          <w:lang w:val="zh-CN"/>
        </w:rPr>
        <w:t>(</w:t>
      </w:r>
      <w:hyperlink r:id="rId104" w:history="1">
        <w:r w:rsidRPr="00A37112">
          <w:rPr>
            <w:rStyle w:val="af"/>
            <w:lang w:val="zh-CN"/>
          </w:rPr>
          <w:t>A/68/10</w:t>
        </w:r>
      </w:hyperlink>
      <w:r w:rsidRPr="00A37112">
        <w:rPr>
          <w:lang w:val="zh-CN"/>
        </w:rPr>
        <w:t>)</w:t>
      </w:r>
      <w:r w:rsidRPr="00A37112">
        <w:rPr>
          <w:lang w:val="zh-CN"/>
        </w:rPr>
        <w:t>，第四章，第</w:t>
      </w:r>
      <w:r w:rsidRPr="00A37112">
        <w:rPr>
          <w:lang w:val="zh-CN"/>
        </w:rPr>
        <w:t>11-12</w:t>
      </w:r>
      <w:r w:rsidRPr="00A37112">
        <w:rPr>
          <w:lang w:val="zh-CN"/>
        </w:rPr>
        <w:t>页。</w:t>
      </w:r>
    </w:p>
  </w:footnote>
  <w:footnote w:id="959">
    <w:p w:rsidR="00AB00DE" w:rsidRPr="00A37112" w:rsidRDefault="00AB00DE" w:rsidP="003E31C7">
      <w:pPr>
        <w:pStyle w:val="a4"/>
      </w:pPr>
      <w:r w:rsidRPr="00A37112">
        <w:rPr>
          <w:lang w:val="zh-CN"/>
        </w:rPr>
        <w:tab/>
      </w:r>
      <w:r w:rsidRPr="00902223">
        <w:rPr>
          <w:rStyle w:val="a5"/>
          <w:szCs w:val="21"/>
          <w:lang w:val="zh-CN"/>
        </w:rPr>
        <w:footnoteRef/>
      </w:r>
      <w:r w:rsidRPr="00A37112">
        <w:rPr>
          <w:lang w:val="zh-CN"/>
        </w:rPr>
        <w:tab/>
      </w:r>
      <w:r w:rsidRPr="00A37112">
        <w:rPr>
          <w:lang w:val="zh-CN"/>
        </w:rPr>
        <w:t>见</w:t>
      </w:r>
      <w:r w:rsidRPr="00A37112">
        <w:rPr>
          <w:rFonts w:eastAsia="楷体"/>
          <w:lang w:val="zh-CN"/>
        </w:rPr>
        <w:t>在被占领巴勒斯坦领土修建隔离墙的法律后果，咨询意见，《</w:t>
      </w:r>
      <w:r w:rsidRPr="00A37112">
        <w:rPr>
          <w:rFonts w:eastAsia="楷体"/>
          <w:lang w:val="zh-CN"/>
        </w:rPr>
        <w:t>2004</w:t>
      </w:r>
      <w:r w:rsidRPr="00A37112">
        <w:rPr>
          <w:rFonts w:eastAsia="楷体"/>
          <w:lang w:val="zh-CN"/>
        </w:rPr>
        <w:t>年国际法院案例汇编》，</w:t>
      </w:r>
      <w:r w:rsidRPr="00A37112">
        <w:rPr>
          <w:lang w:val="zh-CN"/>
        </w:rPr>
        <w:t>第</w:t>
      </w:r>
      <w:r w:rsidRPr="00A37112">
        <w:rPr>
          <w:lang w:val="zh-CN"/>
        </w:rPr>
        <w:t>136</w:t>
      </w:r>
      <w:r w:rsidRPr="00A37112">
        <w:rPr>
          <w:lang w:val="zh-CN"/>
        </w:rPr>
        <w:t>页起，见第</w:t>
      </w:r>
      <w:r w:rsidRPr="00A37112">
        <w:rPr>
          <w:lang w:val="zh-CN"/>
        </w:rPr>
        <w:t>149</w:t>
      </w:r>
      <w:r w:rsidRPr="00A37112">
        <w:rPr>
          <w:lang w:val="zh-CN"/>
        </w:rPr>
        <w:t>页</w:t>
      </w:r>
      <w:r w:rsidRPr="00A37112">
        <w:rPr>
          <w:lang w:val="zh-CN"/>
        </w:rPr>
        <w:t>(</w:t>
      </w:r>
      <w:r w:rsidRPr="00A37112">
        <w:rPr>
          <w:lang w:val="zh-CN"/>
        </w:rPr>
        <w:t>提及大会</w:t>
      </w:r>
      <w:r w:rsidRPr="00A37112">
        <w:rPr>
          <w:lang w:val="zh-CN"/>
        </w:rPr>
        <w:t>1961</w:t>
      </w:r>
      <w:r w:rsidRPr="00A37112">
        <w:rPr>
          <w:lang w:val="zh-CN"/>
        </w:rPr>
        <w:t>年</w:t>
      </w:r>
      <w:r w:rsidRPr="00A37112">
        <w:rPr>
          <w:lang w:val="zh-CN"/>
        </w:rPr>
        <w:t>4</w:t>
      </w:r>
      <w:r w:rsidRPr="00A37112">
        <w:rPr>
          <w:lang w:val="zh-CN"/>
        </w:rPr>
        <w:t>月</w:t>
      </w:r>
      <w:r w:rsidRPr="00A37112">
        <w:rPr>
          <w:lang w:val="zh-CN"/>
        </w:rPr>
        <w:t>15</w:t>
      </w:r>
      <w:r w:rsidRPr="00A37112">
        <w:rPr>
          <w:lang w:val="zh-CN"/>
        </w:rPr>
        <w:t>日第</w:t>
      </w:r>
      <w:r w:rsidRPr="00A37112">
        <w:rPr>
          <w:lang w:val="zh-CN"/>
        </w:rPr>
        <w:t>1600(XV)</w:t>
      </w:r>
      <w:r w:rsidRPr="00A37112">
        <w:rPr>
          <w:lang w:val="zh-CN"/>
        </w:rPr>
        <w:t>号决议</w:t>
      </w:r>
      <w:r w:rsidRPr="00A37112">
        <w:rPr>
          <w:lang w:val="zh-CN"/>
        </w:rPr>
        <w:t>(</w:t>
      </w:r>
      <w:r w:rsidRPr="00A37112">
        <w:rPr>
          <w:lang w:val="zh-CN"/>
        </w:rPr>
        <w:t>以</w:t>
      </w:r>
      <w:r w:rsidRPr="00A37112">
        <w:rPr>
          <w:lang w:val="zh-CN"/>
        </w:rPr>
        <w:t>60</w:t>
      </w:r>
      <w:r w:rsidRPr="00A37112">
        <w:rPr>
          <w:lang w:val="zh-CN"/>
        </w:rPr>
        <w:t>票赞成、</w:t>
      </w:r>
      <w:r w:rsidRPr="00A37112">
        <w:rPr>
          <w:lang w:val="zh-CN"/>
        </w:rPr>
        <w:t>23</w:t>
      </w:r>
      <w:r w:rsidRPr="00A37112">
        <w:rPr>
          <w:lang w:val="zh-CN"/>
        </w:rPr>
        <w:t>票</w:t>
      </w:r>
      <w:r w:rsidRPr="00A37112">
        <w:t>弃权</w:t>
      </w:r>
      <w:r w:rsidRPr="00A37112">
        <w:rPr>
          <w:lang w:val="zh-CN"/>
        </w:rPr>
        <w:t>和</w:t>
      </w:r>
      <w:r w:rsidRPr="00A37112">
        <w:rPr>
          <w:lang w:val="zh-CN"/>
        </w:rPr>
        <w:t>16</w:t>
      </w:r>
      <w:r w:rsidRPr="00A37112">
        <w:rPr>
          <w:lang w:val="zh-CN"/>
        </w:rPr>
        <w:t>票反对获得通过，反对国包括苏联和</w:t>
      </w:r>
      <w:r w:rsidRPr="00A37112">
        <w:rPr>
          <w:rFonts w:hint="eastAsia"/>
          <w:lang w:val="zh-CN"/>
        </w:rPr>
        <w:t>“</w:t>
      </w:r>
      <w:r w:rsidRPr="00A37112">
        <w:rPr>
          <w:lang w:val="zh-CN"/>
        </w:rPr>
        <w:t>东方阵营</w:t>
      </w:r>
      <w:r w:rsidRPr="00A37112">
        <w:rPr>
          <w:rFonts w:hint="eastAsia"/>
          <w:lang w:val="zh-CN"/>
        </w:rPr>
        <w:t>”</w:t>
      </w:r>
      <w:r w:rsidRPr="00A37112">
        <w:rPr>
          <w:lang w:val="zh-CN"/>
        </w:rPr>
        <w:t>的其他一些国家</w:t>
      </w:r>
      <w:r w:rsidRPr="00A37112">
        <w:rPr>
          <w:lang w:val="zh-CN"/>
        </w:rPr>
        <w:t>)</w:t>
      </w:r>
      <w:r w:rsidRPr="00A37112">
        <w:rPr>
          <w:lang w:val="zh-CN"/>
        </w:rPr>
        <w:t>和大会</w:t>
      </w:r>
      <w:r w:rsidRPr="00A37112">
        <w:rPr>
          <w:lang w:val="zh-CN"/>
        </w:rPr>
        <w:t>1963</w:t>
      </w:r>
      <w:r w:rsidRPr="00A37112">
        <w:rPr>
          <w:lang w:val="zh-CN"/>
        </w:rPr>
        <w:t>年</w:t>
      </w:r>
      <w:r w:rsidRPr="00A37112">
        <w:rPr>
          <w:lang w:val="zh-CN"/>
        </w:rPr>
        <w:t>12</w:t>
      </w:r>
      <w:r w:rsidRPr="00A37112">
        <w:rPr>
          <w:lang w:val="zh-CN"/>
        </w:rPr>
        <w:t>月</w:t>
      </w:r>
      <w:r w:rsidRPr="00A37112">
        <w:rPr>
          <w:lang w:val="zh-CN"/>
        </w:rPr>
        <w:t>13</w:t>
      </w:r>
      <w:r w:rsidRPr="00A37112">
        <w:rPr>
          <w:lang w:val="zh-CN"/>
        </w:rPr>
        <w:t>日第</w:t>
      </w:r>
      <w:r w:rsidRPr="00A37112">
        <w:rPr>
          <w:lang w:val="zh-CN"/>
        </w:rPr>
        <w:t>1913(XVIII)</w:t>
      </w:r>
      <w:r w:rsidRPr="00A37112">
        <w:rPr>
          <w:lang w:val="zh-CN"/>
        </w:rPr>
        <w:t>号决议，</w:t>
      </w:r>
      <w:r w:rsidRPr="00A37112">
        <w:rPr>
          <w:lang w:val="zh-CN"/>
        </w:rPr>
        <w:t>(</w:t>
      </w:r>
      <w:r w:rsidRPr="00A37112">
        <w:rPr>
          <w:lang w:val="zh-CN"/>
        </w:rPr>
        <w:t>以</w:t>
      </w:r>
      <w:r w:rsidRPr="00A37112">
        <w:rPr>
          <w:lang w:val="zh-CN"/>
        </w:rPr>
        <w:t>91</w:t>
      </w:r>
      <w:r w:rsidRPr="00A37112">
        <w:rPr>
          <w:lang w:val="zh-CN"/>
        </w:rPr>
        <w:t>票赞同、西班牙和葡萄牙</w:t>
      </w:r>
      <w:r w:rsidRPr="00A37112">
        <w:rPr>
          <w:lang w:val="zh-CN"/>
        </w:rPr>
        <w:t>2</w:t>
      </w:r>
      <w:r w:rsidRPr="00A37112">
        <w:rPr>
          <w:lang w:val="zh-CN"/>
        </w:rPr>
        <w:t>票反对获得通过</w:t>
      </w:r>
      <w:r w:rsidRPr="00A37112">
        <w:rPr>
          <w:lang w:val="zh-CN"/>
        </w:rPr>
        <w:t>)</w:t>
      </w:r>
      <w:r w:rsidRPr="00A37112">
        <w:rPr>
          <w:lang w:val="zh-CN"/>
        </w:rPr>
        <w:t>。</w:t>
      </w:r>
    </w:p>
  </w:footnote>
  <w:footnote w:id="960">
    <w:p w:rsidR="00AB00DE" w:rsidRPr="00A37112" w:rsidRDefault="00AB00DE" w:rsidP="003E31C7">
      <w:pPr>
        <w:pStyle w:val="a4"/>
      </w:pPr>
      <w:r w:rsidRPr="00A37112">
        <w:rPr>
          <w:lang w:val="zh-CN"/>
        </w:rPr>
        <w:tab/>
      </w:r>
      <w:r w:rsidRPr="00902223">
        <w:rPr>
          <w:rStyle w:val="a5"/>
          <w:szCs w:val="21"/>
          <w:lang w:val="zh-CN"/>
        </w:rPr>
        <w:footnoteRef/>
      </w:r>
      <w:r w:rsidRPr="00A37112">
        <w:rPr>
          <w:lang w:val="zh-CN"/>
        </w:rPr>
        <w:tab/>
      </w:r>
      <w:r w:rsidRPr="00A37112">
        <w:rPr>
          <w:lang w:val="zh-CN"/>
        </w:rPr>
        <w:t>国际法院所用的措辞是</w:t>
      </w:r>
      <w:r w:rsidRPr="00A37112">
        <w:rPr>
          <w:rFonts w:hint="eastAsia"/>
          <w:lang w:val="zh-CN"/>
        </w:rPr>
        <w:t>“……</w:t>
      </w:r>
      <w:r w:rsidRPr="00A37112">
        <w:rPr>
          <w:lang w:val="zh-CN"/>
        </w:rPr>
        <w:t>其组成文件中具体规定或默示的，</w:t>
      </w:r>
      <w:r w:rsidRPr="00A37112">
        <w:t>以及</w:t>
      </w:r>
      <w:r w:rsidRPr="00A37112">
        <w:rPr>
          <w:lang w:val="zh-CN"/>
        </w:rPr>
        <w:t>在实践中发展的宗旨和职能</w:t>
      </w:r>
      <w:r w:rsidRPr="00A37112">
        <w:rPr>
          <w:rFonts w:hint="eastAsia"/>
          <w:lang w:val="zh-CN"/>
        </w:rPr>
        <w:t>”</w:t>
      </w:r>
      <w:r w:rsidRPr="00A37112">
        <w:rPr>
          <w:lang w:val="zh-CN"/>
        </w:rPr>
        <w:t>，</w:t>
      </w:r>
      <w:r w:rsidRPr="00A37112">
        <w:rPr>
          <w:rFonts w:eastAsia="楷体"/>
          <w:lang w:val="zh-CN"/>
        </w:rPr>
        <w:t>执行联合国公务时所受损害的补偿，咨询意见，</w:t>
      </w:r>
      <w:r w:rsidRPr="00D17A94">
        <w:rPr>
          <w:rFonts w:ascii="Time New Roman" w:hAnsi="Time New Roman"/>
          <w:lang w:val="zh-CN"/>
        </w:rPr>
        <w:t>《</w:t>
      </w:r>
      <w:r w:rsidRPr="00D17A94">
        <w:rPr>
          <w:rFonts w:ascii="Time New Roman" w:hAnsi="Time New Roman"/>
          <w:lang w:val="zh-CN"/>
        </w:rPr>
        <w:t>1949</w:t>
      </w:r>
      <w:r w:rsidRPr="00D17A94">
        <w:rPr>
          <w:rFonts w:ascii="Time New Roman" w:hAnsi="Time New Roman"/>
          <w:lang w:val="zh-CN"/>
        </w:rPr>
        <w:t>年国际法院案例汇编》，</w:t>
      </w:r>
      <w:r w:rsidRPr="00A37112">
        <w:rPr>
          <w:lang w:val="zh-CN"/>
        </w:rPr>
        <w:t>第</w:t>
      </w:r>
      <w:r w:rsidRPr="00A37112">
        <w:rPr>
          <w:lang w:val="zh-CN"/>
        </w:rPr>
        <w:t>174</w:t>
      </w:r>
      <w:r w:rsidRPr="00A37112">
        <w:rPr>
          <w:lang w:val="zh-CN"/>
        </w:rPr>
        <w:t>页起，见第</w:t>
      </w:r>
      <w:r w:rsidRPr="00A37112">
        <w:rPr>
          <w:lang w:val="zh-CN"/>
        </w:rPr>
        <w:t>180</w:t>
      </w:r>
      <w:r w:rsidRPr="00A37112">
        <w:rPr>
          <w:lang w:val="zh-CN"/>
        </w:rPr>
        <w:t>页。</w:t>
      </w:r>
    </w:p>
  </w:footnote>
  <w:footnote w:id="961">
    <w:p w:rsidR="00AB00DE" w:rsidRPr="00A37112" w:rsidRDefault="00AB00DE" w:rsidP="00560424">
      <w:pPr>
        <w:pStyle w:val="a4"/>
      </w:pPr>
      <w:r w:rsidRPr="00A37112">
        <w:rPr>
          <w:lang w:val="zh-CN"/>
        </w:rPr>
        <w:tab/>
      </w:r>
      <w:r w:rsidRPr="00902223">
        <w:rPr>
          <w:rStyle w:val="a5"/>
          <w:szCs w:val="21"/>
          <w:lang w:val="zh-CN"/>
        </w:rPr>
        <w:footnoteRef/>
      </w:r>
      <w:r w:rsidRPr="00A37112">
        <w:rPr>
          <w:lang w:val="zh-CN"/>
        </w:rPr>
        <w:tab/>
      </w:r>
      <w:r w:rsidRPr="00A37112">
        <w:rPr>
          <w:lang w:val="zh-CN"/>
        </w:rPr>
        <w:t>见结论草案</w:t>
      </w:r>
      <w:r w:rsidRPr="00A37112">
        <w:rPr>
          <w:lang w:val="zh-CN"/>
        </w:rPr>
        <w:t>1</w:t>
      </w:r>
      <w:r w:rsidRPr="00A37112">
        <w:rPr>
          <w:lang w:val="zh-CN"/>
        </w:rPr>
        <w:t>的评注第</w:t>
      </w:r>
      <w:r w:rsidRPr="00A37112">
        <w:rPr>
          <w:rFonts w:hint="eastAsia"/>
          <w:lang w:val="zh-CN"/>
        </w:rPr>
        <w:t>(</w:t>
      </w:r>
      <w:r w:rsidRPr="00A37112">
        <w:rPr>
          <w:lang w:val="zh-CN"/>
        </w:rPr>
        <w:t>15</w:t>
      </w:r>
      <w:r w:rsidRPr="00A37112">
        <w:rPr>
          <w:rFonts w:hint="eastAsia"/>
          <w:lang w:val="zh-CN"/>
        </w:rPr>
        <w:t>)</w:t>
      </w:r>
      <w:r w:rsidRPr="00A37112">
        <w:rPr>
          <w:lang w:val="zh-CN"/>
        </w:rPr>
        <w:t>段和上文脚注</w:t>
      </w:r>
      <w:r>
        <w:rPr>
          <w:lang w:val="zh-CN"/>
        </w:rPr>
        <w:fldChar w:fldCharType="begin"/>
      </w:r>
      <w:r>
        <w:rPr>
          <w:lang w:val="zh-CN"/>
        </w:rPr>
        <w:instrText xml:space="preserve"> NOTEREF _Ref461977280 \h </w:instrText>
      </w:r>
      <w:r>
        <w:rPr>
          <w:lang w:val="zh-CN"/>
        </w:rPr>
      </w:r>
      <w:r>
        <w:rPr>
          <w:lang w:val="zh-CN"/>
        </w:rPr>
        <w:fldChar w:fldCharType="separate"/>
      </w:r>
      <w:r w:rsidR="00A73EB9">
        <w:rPr>
          <w:lang w:val="zh-CN"/>
        </w:rPr>
        <w:t>429</w:t>
      </w:r>
      <w:r>
        <w:rPr>
          <w:lang w:val="zh-CN"/>
        </w:rPr>
        <w:fldChar w:fldCharType="end"/>
      </w:r>
      <w:r w:rsidRPr="00A37112">
        <w:rPr>
          <w:lang w:val="zh-CN"/>
        </w:rPr>
        <w:t>；尤其另见</w:t>
      </w:r>
      <w:r w:rsidRPr="00A37112">
        <w:rPr>
          <w:rFonts w:eastAsia="楷体"/>
          <w:lang w:val="zh-CN"/>
        </w:rPr>
        <w:t>喀麦隆和尼日利亚间陆地和海洋疆界案，初步反对意见，判决，《</w:t>
      </w:r>
      <w:r>
        <w:rPr>
          <w:rFonts w:eastAsia="楷体"/>
          <w:lang w:val="zh-CN"/>
        </w:rPr>
        <w:t>1998</w:t>
      </w:r>
      <w:r w:rsidRPr="00A37112">
        <w:rPr>
          <w:rFonts w:eastAsia="楷体"/>
          <w:lang w:val="zh-CN"/>
        </w:rPr>
        <w:t>年国际法院判例汇编》，</w:t>
      </w:r>
      <w:r w:rsidRPr="00A37112">
        <w:rPr>
          <w:lang w:val="zh-CN"/>
        </w:rPr>
        <w:t>第</w:t>
      </w:r>
      <w:r w:rsidRPr="00A37112">
        <w:rPr>
          <w:lang w:val="zh-CN"/>
        </w:rPr>
        <w:t>275</w:t>
      </w:r>
      <w:r w:rsidRPr="00A37112">
        <w:rPr>
          <w:lang w:val="zh-CN"/>
        </w:rPr>
        <w:t>页起，见第</w:t>
      </w:r>
      <w:r w:rsidRPr="00A37112">
        <w:rPr>
          <w:lang w:val="zh-CN"/>
        </w:rPr>
        <w:t>306-307</w:t>
      </w:r>
      <w:r w:rsidRPr="00A37112">
        <w:rPr>
          <w:lang w:val="zh-CN"/>
        </w:rPr>
        <w:t>页，第</w:t>
      </w:r>
      <w:r w:rsidRPr="00A37112">
        <w:rPr>
          <w:lang w:val="zh-CN"/>
        </w:rPr>
        <w:t>67</w:t>
      </w:r>
      <w:r w:rsidRPr="00A37112">
        <w:rPr>
          <w:lang w:val="zh-CN"/>
        </w:rPr>
        <w:t>段。</w:t>
      </w:r>
    </w:p>
  </w:footnote>
  <w:footnote w:id="962">
    <w:p w:rsidR="00AB00DE" w:rsidRPr="00A37112" w:rsidRDefault="00AB00DE" w:rsidP="003E31C7">
      <w:pPr>
        <w:pStyle w:val="a4"/>
      </w:pPr>
      <w:r w:rsidRPr="00A37112">
        <w:rPr>
          <w:lang w:val="zh-CN"/>
        </w:rPr>
        <w:tab/>
      </w:r>
      <w:r w:rsidRPr="00902223">
        <w:rPr>
          <w:rStyle w:val="a5"/>
          <w:szCs w:val="21"/>
          <w:lang w:val="zh-CN"/>
        </w:rPr>
        <w:footnoteRef/>
      </w:r>
      <w:r w:rsidRPr="00A37112">
        <w:rPr>
          <w:lang w:val="zh-CN"/>
        </w:rPr>
        <w:tab/>
      </w:r>
      <w:r w:rsidRPr="00A37112">
        <w:rPr>
          <w:lang w:val="zh-CN"/>
        </w:rPr>
        <w:t>见</w:t>
      </w:r>
      <w:r w:rsidRPr="00A37112">
        <w:rPr>
          <w:rFonts w:eastAsia="楷体"/>
          <w:lang w:val="zh-CN"/>
        </w:rPr>
        <w:t>西南非洲</w:t>
      </w:r>
      <w:r w:rsidRPr="00A37112">
        <w:rPr>
          <w:rFonts w:hint="eastAsia"/>
        </w:rPr>
        <w:t>－</w:t>
      </w:r>
      <w:r w:rsidRPr="00A37112">
        <w:rPr>
          <w:rFonts w:eastAsia="楷体"/>
          <w:lang w:val="zh-CN"/>
        </w:rPr>
        <w:t>表决程序案，</w:t>
      </w:r>
      <w:r w:rsidRPr="00A37112">
        <w:rPr>
          <w:rFonts w:eastAsia="楷体"/>
          <w:lang w:val="zh-CN"/>
        </w:rPr>
        <w:t>1955</w:t>
      </w:r>
      <w:r w:rsidRPr="00A37112">
        <w:rPr>
          <w:rFonts w:eastAsia="楷体"/>
          <w:lang w:val="zh-CN"/>
        </w:rPr>
        <w:t>年</w:t>
      </w:r>
      <w:r w:rsidRPr="00A37112">
        <w:rPr>
          <w:rFonts w:eastAsia="楷体"/>
          <w:lang w:val="zh-CN"/>
        </w:rPr>
        <w:t>6</w:t>
      </w:r>
      <w:r w:rsidRPr="00A37112">
        <w:rPr>
          <w:rFonts w:eastAsia="楷体"/>
          <w:lang w:val="zh-CN"/>
        </w:rPr>
        <w:t>月</w:t>
      </w:r>
      <w:r w:rsidRPr="00A37112">
        <w:rPr>
          <w:rFonts w:eastAsia="楷体"/>
          <w:lang w:val="zh-CN"/>
        </w:rPr>
        <w:t>7</w:t>
      </w:r>
      <w:r w:rsidRPr="00A37112">
        <w:rPr>
          <w:rFonts w:eastAsia="楷体"/>
          <w:lang w:val="zh-CN"/>
        </w:rPr>
        <w:t>日的咨询意见，《</w:t>
      </w:r>
      <w:r w:rsidRPr="00A37112">
        <w:rPr>
          <w:rFonts w:eastAsia="楷体"/>
          <w:lang w:val="zh-CN"/>
        </w:rPr>
        <w:t>1955</w:t>
      </w:r>
      <w:r w:rsidRPr="00A37112">
        <w:rPr>
          <w:rFonts w:eastAsia="楷体"/>
          <w:lang w:val="zh-CN"/>
        </w:rPr>
        <w:t>年国际法院案例汇编》，</w:t>
      </w:r>
      <w:r w:rsidRPr="00A37112">
        <w:rPr>
          <w:lang w:val="zh-CN"/>
        </w:rPr>
        <w:t>第</w:t>
      </w:r>
      <w:r w:rsidRPr="00A37112">
        <w:rPr>
          <w:lang w:val="zh-CN"/>
        </w:rPr>
        <w:t>67</w:t>
      </w:r>
      <w:r w:rsidRPr="00A37112">
        <w:rPr>
          <w:lang w:val="zh-CN"/>
        </w:rPr>
        <w:t>页起，劳特帕赫特法官的个别意见，见第</w:t>
      </w:r>
      <w:r w:rsidRPr="00A37112">
        <w:rPr>
          <w:lang w:val="zh-CN"/>
        </w:rPr>
        <w:t>106</w:t>
      </w:r>
      <w:r w:rsidRPr="00A37112">
        <w:rPr>
          <w:lang w:val="zh-CN"/>
        </w:rPr>
        <w:t>页。</w:t>
      </w:r>
      <w:r w:rsidRPr="00A37112">
        <w:rPr>
          <w:rFonts w:hint="eastAsia"/>
          <w:lang w:val="zh-CN"/>
        </w:rPr>
        <w:t>(</w:t>
      </w:r>
      <w:r w:rsidRPr="00A37112">
        <w:rPr>
          <w:rFonts w:hint="eastAsia"/>
          <w:lang w:val="zh-CN"/>
        </w:rPr>
        <w:t>“……</w:t>
      </w:r>
      <w:r w:rsidRPr="00A37112">
        <w:rPr>
          <w:lang w:val="zh-CN"/>
        </w:rPr>
        <w:t>在适当解释基本文书时，必须不仅考虑到原始文书的正式文字，而且要考虑到其实践中的运作并联系本组织存在期间所出现的各种</w:t>
      </w:r>
      <w:r w:rsidRPr="00A37112">
        <w:t>趋势</w:t>
      </w:r>
      <w:r w:rsidRPr="00A37112">
        <w:rPr>
          <w:rFonts w:hint="eastAsia"/>
          <w:lang w:val="zh-CN"/>
        </w:rPr>
        <w:t>”</w:t>
      </w:r>
      <w:r w:rsidRPr="00A37112">
        <w:rPr>
          <w:rFonts w:hint="eastAsia"/>
          <w:lang w:val="zh-CN"/>
        </w:rPr>
        <w:t>)</w:t>
      </w:r>
      <w:r w:rsidRPr="00A37112">
        <w:rPr>
          <w:lang w:val="zh-CN"/>
        </w:rPr>
        <w:t>。</w:t>
      </w:r>
    </w:p>
  </w:footnote>
  <w:footnote w:id="963">
    <w:p w:rsidR="00AB00DE" w:rsidRPr="00A37112" w:rsidRDefault="00AB00DE" w:rsidP="003E31C7">
      <w:pPr>
        <w:pStyle w:val="a4"/>
      </w:pPr>
      <w:r w:rsidRPr="00A37112">
        <w:rPr>
          <w:lang w:val="zh-CN"/>
        </w:rPr>
        <w:tab/>
      </w:r>
      <w:r w:rsidRPr="00902223">
        <w:rPr>
          <w:rStyle w:val="a5"/>
          <w:szCs w:val="21"/>
          <w:lang w:val="zh-CN"/>
        </w:rPr>
        <w:footnoteRef/>
      </w:r>
      <w:r w:rsidRPr="00A37112">
        <w:rPr>
          <w:lang w:val="zh-CN"/>
        </w:rPr>
        <w:tab/>
      </w:r>
      <w:r w:rsidRPr="00A37112">
        <w:rPr>
          <w:lang w:val="zh-CN"/>
        </w:rPr>
        <w:t>评论家们正在就以下问题进行辩论，即：某些国际组织具体的机构性质，</w:t>
      </w:r>
      <w:r w:rsidRPr="00A37112">
        <w:t>加上</w:t>
      </w:r>
      <w:r w:rsidRPr="00A37112">
        <w:rPr>
          <w:lang w:val="zh-CN"/>
        </w:rPr>
        <w:t>其组成文书中所显示的原则和价值，是否也能够导致人们借鉴国家宪法，对此类文书作出</w:t>
      </w:r>
      <w:r w:rsidRPr="00A37112">
        <w:rPr>
          <w:rFonts w:hint="eastAsia"/>
          <w:lang w:val="zh-CN"/>
        </w:rPr>
        <w:t>“</w:t>
      </w:r>
      <w:r w:rsidRPr="00A37112">
        <w:rPr>
          <w:lang w:val="zh-CN"/>
        </w:rPr>
        <w:t>宪法性</w:t>
      </w:r>
      <w:r w:rsidRPr="00A37112">
        <w:rPr>
          <w:rFonts w:hint="eastAsia"/>
          <w:lang w:val="zh-CN"/>
        </w:rPr>
        <w:t>”</w:t>
      </w:r>
      <w:r w:rsidRPr="00A37112">
        <w:rPr>
          <w:lang w:val="zh-CN"/>
        </w:rPr>
        <w:t>解释？例如，见</w:t>
      </w:r>
      <w:r w:rsidRPr="005715FC">
        <w:rPr>
          <w:rFonts w:asciiTheme="majorBidi" w:hAnsiTheme="majorBidi" w:cstheme="majorBidi"/>
        </w:rPr>
        <w:t xml:space="preserve">J.E. Alvarez, “Constitutional interpretation in international organizations”, in </w:t>
      </w:r>
      <w:r w:rsidRPr="005715FC">
        <w:rPr>
          <w:rFonts w:asciiTheme="majorBidi" w:hAnsiTheme="majorBidi" w:cstheme="majorBidi"/>
          <w:i/>
          <w:iCs/>
        </w:rPr>
        <w:t>The Legitimacy of International Organizations</w:t>
      </w:r>
      <w:r w:rsidRPr="005715FC">
        <w:rPr>
          <w:rFonts w:asciiTheme="majorBidi" w:hAnsiTheme="majorBidi" w:cstheme="majorBidi"/>
        </w:rPr>
        <w:t xml:space="preserve"> J.-M. Coicaud and V. Heiskanen, eds. (Tokyo, United Nations University Press, 2001), pp. 104-154;. A. Peters, “L’acte constitutif de l’organisation internationale”, </w:t>
      </w:r>
      <w:r w:rsidRPr="005715FC">
        <w:rPr>
          <w:rFonts w:asciiTheme="majorBidi" w:hAnsiTheme="majorBidi" w:cstheme="majorBidi"/>
          <w:iCs/>
        </w:rPr>
        <w:t>in</w:t>
      </w:r>
      <w:r w:rsidRPr="005715FC">
        <w:rPr>
          <w:rFonts w:asciiTheme="majorBidi" w:hAnsiTheme="majorBidi" w:cstheme="majorBidi"/>
          <w:i/>
        </w:rPr>
        <w:t xml:space="preserve"> </w:t>
      </w:r>
      <w:r w:rsidRPr="005715FC">
        <w:rPr>
          <w:rFonts w:asciiTheme="majorBidi" w:hAnsiTheme="majorBidi" w:cstheme="majorBidi"/>
        </w:rPr>
        <w:t xml:space="preserve">E. Lagrange and J.-M. Sorel, eds., </w:t>
      </w:r>
      <w:r w:rsidRPr="005715FC">
        <w:rPr>
          <w:rFonts w:asciiTheme="majorBidi" w:hAnsiTheme="majorBidi" w:cstheme="majorBidi"/>
          <w:i/>
        </w:rPr>
        <w:t xml:space="preserve">Droit des organisations internationales </w:t>
      </w:r>
      <w:r w:rsidRPr="005715FC">
        <w:rPr>
          <w:rFonts w:asciiTheme="majorBidi" w:hAnsiTheme="majorBidi" w:cstheme="majorBidi"/>
        </w:rPr>
        <w:t xml:space="preserve">(Paris, LGDJ, 2013), pp. 216-218; </w:t>
      </w:r>
      <w:r w:rsidRPr="005715FC">
        <w:rPr>
          <w:rFonts w:asciiTheme="majorBidi" w:hAnsiTheme="majorBidi" w:cstheme="majorBidi"/>
          <w:color w:val="000000"/>
        </w:rPr>
        <w:t xml:space="preserve">M. Wood, “‘Constitutionalization’ of International Law: A Sceptical Voice”, in </w:t>
      </w:r>
      <w:r w:rsidRPr="005715FC">
        <w:rPr>
          <w:rFonts w:asciiTheme="majorBidi" w:hAnsiTheme="majorBidi" w:cstheme="majorBidi"/>
          <w:bCs/>
          <w:i/>
          <w:color w:val="000000"/>
        </w:rPr>
        <w:t>International Law and Power: Perspectives on Legal Order and Justice</w:t>
      </w:r>
      <w:r w:rsidRPr="005715FC">
        <w:rPr>
          <w:rFonts w:asciiTheme="majorBidi" w:hAnsiTheme="majorBidi" w:cstheme="majorBidi"/>
          <w:bCs/>
          <w:color w:val="000000"/>
        </w:rPr>
        <w:t xml:space="preserve">. </w:t>
      </w:r>
      <w:r w:rsidRPr="005715FC">
        <w:rPr>
          <w:rFonts w:asciiTheme="majorBidi" w:hAnsiTheme="majorBidi" w:cstheme="majorBidi"/>
          <w:bCs/>
          <w:i/>
          <w:color w:val="000000"/>
        </w:rPr>
        <w:t xml:space="preserve">Essays in Honour of Colin Warbrick, </w:t>
      </w:r>
      <w:r w:rsidRPr="005715FC">
        <w:rPr>
          <w:rFonts w:asciiTheme="majorBidi" w:hAnsiTheme="majorBidi" w:cstheme="majorBidi"/>
          <w:color w:val="000000"/>
        </w:rPr>
        <w:t>K.H. Kaikobad and M. Bohlinder, eds.</w:t>
      </w:r>
      <w:r w:rsidRPr="005715FC">
        <w:rPr>
          <w:rFonts w:asciiTheme="majorBidi" w:hAnsiTheme="majorBidi" w:cstheme="majorBidi"/>
          <w:bCs/>
          <w:color w:val="000000"/>
        </w:rPr>
        <w:t xml:space="preserve"> (Leiden/Boston, Brill/Nijhoff,</w:t>
      </w:r>
      <w:r w:rsidRPr="005715FC">
        <w:rPr>
          <w:rFonts w:asciiTheme="majorBidi" w:hAnsiTheme="majorBidi" w:cstheme="majorBidi"/>
          <w:color w:val="000000"/>
        </w:rPr>
        <w:t xml:space="preserve"> 2009), pp. 85-97</w:t>
      </w:r>
      <w:r w:rsidRPr="00A37112">
        <w:rPr>
          <w:rFonts w:hint="eastAsia"/>
          <w:lang w:val="zh-CN"/>
        </w:rPr>
        <w:t>。</w:t>
      </w:r>
    </w:p>
  </w:footnote>
  <w:footnote w:id="964">
    <w:p w:rsidR="00AB00DE" w:rsidRPr="00A37112" w:rsidRDefault="00AB00DE" w:rsidP="00560424">
      <w:pPr>
        <w:pStyle w:val="a4"/>
      </w:pPr>
      <w:r w:rsidRPr="00A37112">
        <w:tab/>
      </w:r>
      <w:r w:rsidRPr="00902223">
        <w:rPr>
          <w:rStyle w:val="a5"/>
          <w:szCs w:val="21"/>
          <w:lang w:val="zh-CN"/>
        </w:rPr>
        <w:footnoteRef/>
      </w:r>
      <w:r w:rsidRPr="00A37112">
        <w:tab/>
      </w:r>
      <w:r w:rsidRPr="00A37112">
        <w:rPr>
          <w:rFonts w:eastAsia="楷体"/>
          <w:lang w:val="zh-CN"/>
        </w:rPr>
        <w:t>南非不顾安全理事会第</w:t>
      </w:r>
      <w:r w:rsidRPr="00A37112">
        <w:rPr>
          <w:rFonts w:eastAsia="楷体"/>
        </w:rPr>
        <w:t>276(1970)</w:t>
      </w:r>
      <w:r w:rsidRPr="00A37112">
        <w:rPr>
          <w:rFonts w:eastAsia="楷体"/>
          <w:lang w:val="zh-CN"/>
        </w:rPr>
        <w:t>号决议继续留驻纳米比亚</w:t>
      </w:r>
      <w:r w:rsidRPr="00A37112">
        <w:rPr>
          <w:rFonts w:eastAsia="楷体"/>
        </w:rPr>
        <w:t>(</w:t>
      </w:r>
      <w:r w:rsidRPr="00A37112">
        <w:rPr>
          <w:rFonts w:eastAsia="楷体"/>
          <w:lang w:val="zh-CN"/>
        </w:rPr>
        <w:t>西南非洲</w:t>
      </w:r>
      <w:r w:rsidRPr="00A37112">
        <w:rPr>
          <w:rFonts w:eastAsia="楷体"/>
        </w:rPr>
        <w:t>)</w:t>
      </w:r>
      <w:r w:rsidRPr="00A37112">
        <w:rPr>
          <w:rFonts w:eastAsia="楷体"/>
          <w:lang w:val="zh-CN"/>
        </w:rPr>
        <w:t>对各国的法律后果</w:t>
      </w:r>
      <w:r w:rsidRPr="00A37112">
        <w:rPr>
          <w:rFonts w:eastAsia="楷体"/>
        </w:rPr>
        <w:t>，</w:t>
      </w:r>
      <w:r w:rsidRPr="00A37112">
        <w:rPr>
          <w:rFonts w:eastAsia="楷体"/>
          <w:lang w:val="zh-CN"/>
        </w:rPr>
        <w:t>咨询意见</w:t>
      </w:r>
      <w:r w:rsidRPr="00A37112">
        <w:rPr>
          <w:rFonts w:eastAsia="楷体"/>
        </w:rPr>
        <w:t>，</w:t>
      </w:r>
      <w:r w:rsidRPr="00A37112">
        <w:rPr>
          <w:rFonts w:eastAsia="楷体"/>
          <w:lang w:val="zh-CN"/>
        </w:rPr>
        <w:t>《</w:t>
      </w:r>
      <w:r w:rsidRPr="00A37112">
        <w:rPr>
          <w:rFonts w:eastAsia="楷体"/>
        </w:rPr>
        <w:t>1971</w:t>
      </w:r>
      <w:r w:rsidRPr="00A37112">
        <w:rPr>
          <w:rFonts w:eastAsia="楷体"/>
          <w:lang w:val="zh-CN"/>
        </w:rPr>
        <w:t>年国际法院案例汇编》</w:t>
      </w:r>
      <w:r w:rsidRPr="00A37112">
        <w:rPr>
          <w:rFonts w:eastAsia="楷体"/>
        </w:rPr>
        <w:t>，</w:t>
      </w:r>
      <w:r w:rsidRPr="00A37112">
        <w:rPr>
          <w:lang w:val="zh-CN"/>
        </w:rPr>
        <w:t>第</w:t>
      </w:r>
      <w:r w:rsidRPr="00A37112">
        <w:t>31-32</w:t>
      </w:r>
      <w:r w:rsidRPr="00A37112">
        <w:rPr>
          <w:lang w:val="zh-CN"/>
        </w:rPr>
        <w:t>页</w:t>
      </w:r>
      <w:r w:rsidRPr="00A37112">
        <w:t>，</w:t>
      </w:r>
      <w:r w:rsidRPr="00A37112">
        <w:rPr>
          <w:lang w:val="zh-CN"/>
        </w:rPr>
        <w:t>第</w:t>
      </w:r>
      <w:r w:rsidRPr="00A37112">
        <w:t>53</w:t>
      </w:r>
      <w:r w:rsidRPr="00A37112">
        <w:rPr>
          <w:lang w:val="zh-CN"/>
        </w:rPr>
        <w:t>段</w:t>
      </w:r>
      <w:r w:rsidRPr="00A37112">
        <w:t>；</w:t>
      </w:r>
      <w:r w:rsidRPr="00A37112">
        <w:rPr>
          <w:lang w:val="zh-CN"/>
        </w:rPr>
        <w:t>另见结论草案</w:t>
      </w:r>
      <w:r w:rsidRPr="00A37112">
        <w:t>8[3]</w:t>
      </w:r>
      <w:r w:rsidRPr="00A37112">
        <w:rPr>
          <w:lang w:val="zh-CN"/>
        </w:rPr>
        <w:t>及评注</w:t>
      </w:r>
      <w:r w:rsidRPr="00A37112">
        <w:t>，</w:t>
      </w:r>
      <w:r w:rsidRPr="00A37112">
        <w:rPr>
          <w:lang w:val="zh-CN"/>
        </w:rPr>
        <w:t>第</w:t>
      </w:r>
      <w:r w:rsidRPr="00A37112">
        <w:t>(24)-(30)</w:t>
      </w:r>
      <w:r w:rsidRPr="00A37112">
        <w:rPr>
          <w:lang w:val="zh-CN"/>
        </w:rPr>
        <w:t>段</w:t>
      </w:r>
      <w:r w:rsidRPr="00A37112">
        <w:t>；</w:t>
      </w:r>
      <w:r w:rsidRPr="00A37112">
        <w:t>Dörr,</w:t>
      </w:r>
      <w:r w:rsidRPr="00A37112">
        <w:rPr>
          <w:rFonts w:hint="eastAsia"/>
        </w:rPr>
        <w:t>“</w:t>
      </w:r>
      <w:r w:rsidRPr="00A37112">
        <w:t>Article 31 …</w:t>
      </w:r>
      <w:r w:rsidRPr="00A37112">
        <w:rPr>
          <w:rFonts w:hint="eastAsia"/>
        </w:rPr>
        <w:t>”</w:t>
      </w:r>
      <w:r w:rsidRPr="00A37112">
        <w:rPr>
          <w:rFonts w:hint="eastAsia"/>
        </w:rPr>
        <w:t>(</w:t>
      </w:r>
      <w:r w:rsidRPr="00A37112">
        <w:rPr>
          <w:lang w:val="zh-CN"/>
        </w:rPr>
        <w:t>见上文脚注</w:t>
      </w:r>
      <w:r>
        <w:fldChar w:fldCharType="begin"/>
      </w:r>
      <w:r>
        <w:instrText xml:space="preserve"> </w:instrText>
      </w:r>
      <w:r>
        <w:rPr>
          <w:rFonts w:hint="eastAsia"/>
        </w:rPr>
        <w:instrText>NOTEREF _Ref461972537 \h</w:instrText>
      </w:r>
      <w:r>
        <w:instrText xml:space="preserve"> </w:instrText>
      </w:r>
      <w:r>
        <w:fldChar w:fldCharType="separate"/>
      </w:r>
      <w:r w:rsidR="00A73EB9">
        <w:t>439</w:t>
      </w:r>
      <w:r>
        <w:fldChar w:fldCharType="end"/>
      </w:r>
      <w:r w:rsidRPr="00A37112">
        <w:t>)</w:t>
      </w:r>
      <w:r w:rsidRPr="00A37112">
        <w:t>，</w:t>
      </w:r>
      <w:r w:rsidRPr="00A37112">
        <w:t>p. 537, para. 31</w:t>
      </w:r>
      <w:r w:rsidRPr="00A37112">
        <w:t>；</w:t>
      </w:r>
      <w:r w:rsidRPr="00A37112">
        <w:t>Schmalenbach,</w:t>
      </w:r>
      <w:r w:rsidRPr="00A37112">
        <w:rPr>
          <w:rFonts w:hint="eastAsia"/>
        </w:rPr>
        <w:t>“</w:t>
      </w:r>
      <w:r w:rsidRPr="00A37112">
        <w:t>Art. 5</w:t>
      </w:r>
      <w:r w:rsidRPr="00A37112">
        <w:rPr>
          <w:rFonts w:hint="eastAsia"/>
        </w:rPr>
        <w:t>”</w:t>
      </w:r>
      <w:r w:rsidRPr="00A37112">
        <w:t>(</w:t>
      </w:r>
      <w:r w:rsidRPr="00A37112">
        <w:rPr>
          <w:lang w:val="zh-CN"/>
        </w:rPr>
        <w:t>上文脚注</w:t>
      </w:r>
      <w:r>
        <w:rPr>
          <w:lang w:val="zh-CN"/>
        </w:rPr>
        <w:fldChar w:fldCharType="begin"/>
      </w:r>
      <w:r>
        <w:rPr>
          <w:lang w:val="zh-CN"/>
        </w:rPr>
        <w:instrText xml:space="preserve"> NOTEREF _Ref461977294 \h </w:instrText>
      </w:r>
      <w:r>
        <w:rPr>
          <w:lang w:val="zh-CN"/>
        </w:rPr>
      </w:r>
      <w:r>
        <w:rPr>
          <w:lang w:val="zh-CN"/>
        </w:rPr>
        <w:fldChar w:fldCharType="separate"/>
      </w:r>
      <w:r w:rsidR="00A73EB9">
        <w:rPr>
          <w:lang w:val="zh-CN"/>
        </w:rPr>
        <w:t>901</w:t>
      </w:r>
      <w:r>
        <w:rPr>
          <w:lang w:val="zh-CN"/>
        </w:rPr>
        <w:fldChar w:fldCharType="end"/>
      </w:r>
      <w:r w:rsidRPr="00A37112">
        <w:t>)</w:t>
      </w:r>
      <w:r w:rsidRPr="00A37112">
        <w:t>，</w:t>
      </w:r>
      <w:r w:rsidRPr="00A37112">
        <w:t>p. 92, para. 7</w:t>
      </w:r>
      <w:r w:rsidRPr="00A37112">
        <w:rPr>
          <w:lang w:val="zh-CN"/>
        </w:rPr>
        <w:t>。</w:t>
      </w:r>
    </w:p>
  </w:footnote>
  <w:footnote w:id="965">
    <w:p w:rsidR="00AB00DE" w:rsidRPr="00A37112" w:rsidRDefault="00AB00DE" w:rsidP="00D90936">
      <w:pPr>
        <w:pStyle w:val="a4"/>
      </w:pPr>
      <w:r w:rsidRPr="00A37112">
        <w:tab/>
      </w:r>
      <w:r w:rsidRPr="00902223">
        <w:rPr>
          <w:rStyle w:val="a5"/>
          <w:szCs w:val="21"/>
          <w:lang w:val="zh-CN"/>
        </w:rPr>
        <w:footnoteRef/>
      </w:r>
      <w:r w:rsidRPr="00A37112">
        <w:tab/>
      </w:r>
      <w:r w:rsidRPr="00A37112">
        <w:rPr>
          <w:lang w:val="zh-CN"/>
        </w:rPr>
        <w:t>见</w:t>
      </w:r>
      <w:r w:rsidRPr="00A37112">
        <w:t>Dörr (</w:t>
      </w:r>
      <w:r w:rsidRPr="00A37112">
        <w:rPr>
          <w:lang w:val="zh-CN"/>
        </w:rPr>
        <w:t>上文脚注</w:t>
      </w:r>
      <w:r>
        <w:fldChar w:fldCharType="begin"/>
      </w:r>
      <w:r>
        <w:instrText xml:space="preserve"> </w:instrText>
      </w:r>
      <w:r>
        <w:rPr>
          <w:rFonts w:hint="eastAsia"/>
        </w:rPr>
        <w:instrText>NOTEREF _Ref461972537 \h</w:instrText>
      </w:r>
      <w:r>
        <w:instrText xml:space="preserve"> </w:instrText>
      </w:r>
      <w:r>
        <w:fldChar w:fldCharType="separate"/>
      </w:r>
      <w:r w:rsidR="00A73EB9">
        <w:t>439</w:t>
      </w:r>
      <w:r>
        <w:fldChar w:fldCharType="end"/>
      </w:r>
      <w:r w:rsidRPr="00A37112">
        <w:rPr>
          <w:lang w:val="zh-CN"/>
        </w:rPr>
        <w:t>)</w:t>
      </w:r>
      <w:r w:rsidRPr="00A37112">
        <w:t>，</w:t>
      </w:r>
      <w:r w:rsidRPr="00A37112">
        <w:rPr>
          <w:lang w:val="zh-CN"/>
        </w:rPr>
        <w:t>第</w:t>
      </w:r>
      <w:r w:rsidRPr="00A37112">
        <w:t>21</w:t>
      </w:r>
      <w:r w:rsidRPr="00A37112">
        <w:rPr>
          <w:lang w:val="zh-CN"/>
        </w:rPr>
        <w:t>段。</w:t>
      </w:r>
    </w:p>
  </w:footnote>
  <w:footnote w:id="966">
    <w:p w:rsidR="00AB00DE" w:rsidRPr="00A37112" w:rsidRDefault="00AB00DE" w:rsidP="003E31C7">
      <w:pPr>
        <w:pStyle w:val="a4"/>
      </w:pPr>
      <w:r w:rsidRPr="00A37112">
        <w:tab/>
      </w:r>
      <w:r w:rsidRPr="00902223">
        <w:rPr>
          <w:rStyle w:val="a5"/>
          <w:szCs w:val="21"/>
          <w:lang w:val="zh-CN"/>
        </w:rPr>
        <w:footnoteRef/>
      </w:r>
      <w:r w:rsidRPr="00A37112">
        <w:rPr>
          <w:lang w:val="zh-CN"/>
        </w:rPr>
        <w:tab/>
      </w:r>
      <w:r w:rsidRPr="00A37112">
        <w:rPr>
          <w:rFonts w:eastAsia="楷体"/>
          <w:lang w:val="zh-CN"/>
        </w:rPr>
        <w:t>联合国某些经费</w:t>
      </w:r>
      <w:r w:rsidRPr="00A37112">
        <w:rPr>
          <w:rFonts w:eastAsia="楷体"/>
          <w:lang w:val="zh-CN"/>
        </w:rPr>
        <w:t>(</w:t>
      </w:r>
      <w:r w:rsidRPr="00A37112">
        <w:rPr>
          <w:rFonts w:eastAsia="楷体"/>
          <w:lang w:val="zh-CN"/>
        </w:rPr>
        <w:t>《宪章》第十七条第二项</w:t>
      </w:r>
      <w:r w:rsidRPr="00A37112">
        <w:rPr>
          <w:rFonts w:eastAsia="楷体"/>
          <w:lang w:val="zh-CN"/>
        </w:rPr>
        <w:t>)</w:t>
      </w:r>
      <w:r w:rsidRPr="00A37112">
        <w:rPr>
          <w:rFonts w:eastAsia="楷体"/>
          <w:lang w:val="zh-CN"/>
        </w:rPr>
        <w:t>，咨询意见，《</w:t>
      </w:r>
      <w:r w:rsidRPr="00A37112">
        <w:rPr>
          <w:rFonts w:eastAsia="楷体"/>
          <w:lang w:val="zh-CN"/>
        </w:rPr>
        <w:t>1962</w:t>
      </w:r>
      <w:r w:rsidRPr="00A37112">
        <w:rPr>
          <w:rFonts w:eastAsia="楷体"/>
          <w:lang w:val="zh-CN"/>
        </w:rPr>
        <w:t>年国际法院案例汇编》</w:t>
      </w:r>
      <w:r w:rsidRPr="00A37112">
        <w:rPr>
          <w:lang w:val="zh-CN"/>
        </w:rPr>
        <w:t>，</w:t>
      </w:r>
      <w:r w:rsidRPr="00A37112">
        <w:t>第</w:t>
      </w:r>
      <w:r w:rsidRPr="00A37112">
        <w:t>151</w:t>
      </w:r>
      <w:r w:rsidRPr="00A37112">
        <w:rPr>
          <w:lang w:val="zh-CN"/>
        </w:rPr>
        <w:t>页起，见</w:t>
      </w:r>
      <w:r w:rsidRPr="00A37112">
        <w:rPr>
          <w:lang w:val="zh-CN"/>
        </w:rPr>
        <w:t>168</w:t>
      </w:r>
      <w:r w:rsidRPr="00A37112">
        <w:rPr>
          <w:lang w:val="zh-CN"/>
        </w:rPr>
        <w:t>页</w:t>
      </w:r>
      <w:r w:rsidRPr="00A37112">
        <w:rPr>
          <w:lang w:val="zh-CN"/>
        </w:rPr>
        <w:t>(</w:t>
      </w:r>
      <w:r w:rsidRPr="00A37112">
        <w:rPr>
          <w:rFonts w:hint="eastAsia"/>
          <w:lang w:val="zh-CN"/>
        </w:rPr>
        <w:t>“</w:t>
      </w:r>
      <w:r w:rsidRPr="00A37112">
        <w:rPr>
          <w:lang w:val="zh-CN"/>
        </w:rPr>
        <w:t>但如果该组织采取行动证明其言论，即这样做对于实现联合国明文规定的宗旨之一是适当的，就可推定这种行动没有超越该组织的权力</w:t>
      </w:r>
      <w:r w:rsidRPr="00A37112">
        <w:rPr>
          <w:rFonts w:hint="eastAsia"/>
          <w:lang w:val="zh-CN"/>
        </w:rPr>
        <w:t>”</w:t>
      </w:r>
      <w:r w:rsidRPr="00A37112">
        <w:rPr>
          <w:lang w:val="zh-CN"/>
        </w:rPr>
        <w:t>)</w:t>
      </w:r>
      <w:r w:rsidRPr="00A37112">
        <w:rPr>
          <w:lang w:val="zh-CN"/>
        </w:rPr>
        <w:t>。</w:t>
      </w:r>
    </w:p>
  </w:footnote>
  <w:footnote w:id="967">
    <w:p w:rsidR="00AB00DE" w:rsidRPr="00A37112" w:rsidRDefault="00AB00DE" w:rsidP="00560424">
      <w:pPr>
        <w:pStyle w:val="a4"/>
      </w:pPr>
      <w:r w:rsidRPr="00A37112">
        <w:rPr>
          <w:lang w:val="zh-CN"/>
        </w:rPr>
        <w:tab/>
      </w:r>
      <w:r w:rsidRPr="00902223">
        <w:rPr>
          <w:rStyle w:val="a5"/>
          <w:szCs w:val="21"/>
          <w:lang w:val="zh-CN"/>
        </w:rPr>
        <w:footnoteRef/>
      </w:r>
      <w:r w:rsidRPr="00A37112">
        <w:rPr>
          <w:lang w:val="zh-CN"/>
        </w:rPr>
        <w:tab/>
      </w:r>
      <w:r w:rsidRPr="00A37112">
        <w:rPr>
          <w:lang w:val="zh-CN"/>
        </w:rPr>
        <w:t>见上文结论草案</w:t>
      </w:r>
      <w:r w:rsidRPr="00A37112">
        <w:rPr>
          <w:lang w:val="zh-CN"/>
        </w:rPr>
        <w:t>5</w:t>
      </w:r>
      <w:r w:rsidRPr="00A37112">
        <w:rPr>
          <w:lang w:val="zh-CN"/>
        </w:rPr>
        <w:t>评注，第</w:t>
      </w:r>
      <w:r w:rsidRPr="00A37112">
        <w:rPr>
          <w:lang w:val="zh-CN"/>
        </w:rPr>
        <w:t>(14)</w:t>
      </w:r>
      <w:r w:rsidRPr="00A37112">
        <w:rPr>
          <w:lang w:val="zh-CN"/>
        </w:rPr>
        <w:t>段。然而，委员会可能最终会按照结论草案</w:t>
      </w:r>
      <w:r w:rsidRPr="00A37112">
        <w:rPr>
          <w:lang w:val="zh-CN"/>
        </w:rPr>
        <w:t>12[11]</w:t>
      </w:r>
      <w:r w:rsidRPr="00A37112">
        <w:rPr>
          <w:lang w:val="zh-CN"/>
        </w:rPr>
        <w:t>重新拟定</w:t>
      </w:r>
      <w:r w:rsidRPr="00A37112">
        <w:t>结论</w:t>
      </w:r>
      <w:r w:rsidRPr="00A37112">
        <w:rPr>
          <w:lang w:val="zh-CN"/>
        </w:rPr>
        <w:t>草案</w:t>
      </w:r>
      <w:r w:rsidRPr="00A37112">
        <w:rPr>
          <w:lang w:val="zh-CN"/>
        </w:rPr>
        <w:t xml:space="preserve">5, </w:t>
      </w:r>
      <w:r w:rsidRPr="00A37112">
        <w:rPr>
          <w:lang w:val="zh-CN"/>
        </w:rPr>
        <w:t>以明确两者的关系。另见上文脚注</w:t>
      </w:r>
      <w:r>
        <w:rPr>
          <w:lang w:val="zh-CN"/>
        </w:rPr>
        <w:fldChar w:fldCharType="begin"/>
      </w:r>
      <w:r>
        <w:rPr>
          <w:lang w:val="zh-CN"/>
        </w:rPr>
        <w:instrText xml:space="preserve"> NOTEREF _Ref461977304 \h </w:instrText>
      </w:r>
      <w:r>
        <w:rPr>
          <w:lang w:val="zh-CN"/>
        </w:rPr>
      </w:r>
      <w:r>
        <w:rPr>
          <w:lang w:val="zh-CN"/>
        </w:rPr>
        <w:fldChar w:fldCharType="separate"/>
      </w:r>
      <w:r w:rsidR="00A73EB9">
        <w:rPr>
          <w:lang w:val="zh-CN"/>
        </w:rPr>
        <w:t>957</w:t>
      </w:r>
      <w:r>
        <w:rPr>
          <w:lang w:val="zh-CN"/>
        </w:rPr>
        <w:fldChar w:fldCharType="end"/>
      </w:r>
      <w:r w:rsidRPr="00A37112">
        <w:rPr>
          <w:lang w:val="zh-CN"/>
        </w:rPr>
        <w:t>。</w:t>
      </w:r>
    </w:p>
  </w:footnote>
  <w:footnote w:id="968">
    <w:p w:rsidR="00AB00DE" w:rsidRPr="00A37112" w:rsidRDefault="00AB00DE" w:rsidP="003E31C7">
      <w:pPr>
        <w:pStyle w:val="a4"/>
      </w:pPr>
      <w:r w:rsidRPr="00A37112">
        <w:rPr>
          <w:lang w:val="zh-CN"/>
        </w:rPr>
        <w:tab/>
      </w:r>
      <w:r w:rsidRPr="00902223">
        <w:rPr>
          <w:rStyle w:val="a5"/>
          <w:szCs w:val="21"/>
          <w:lang w:val="zh-CN"/>
        </w:rPr>
        <w:footnoteRef/>
      </w:r>
      <w:r w:rsidRPr="00A37112">
        <w:rPr>
          <w:lang w:val="zh-CN"/>
        </w:rPr>
        <w:tab/>
      </w:r>
      <w:r w:rsidRPr="00A37112">
        <w:rPr>
          <w:rFonts w:hint="eastAsia"/>
          <w:lang w:val="zh-CN"/>
        </w:rPr>
        <w:t>“</w:t>
      </w:r>
      <w:r w:rsidRPr="00A37112">
        <w:rPr>
          <w:lang w:val="zh-CN"/>
        </w:rPr>
        <w:t>关于国际组织的责任的条款草案</w:t>
      </w:r>
      <w:r w:rsidRPr="00A37112">
        <w:rPr>
          <w:rFonts w:hint="eastAsia"/>
          <w:lang w:val="zh-CN"/>
        </w:rPr>
        <w:t>”</w:t>
      </w:r>
      <w:r w:rsidRPr="00A37112">
        <w:rPr>
          <w:lang w:val="zh-CN"/>
        </w:rPr>
        <w:t>，总评注，第</w:t>
      </w:r>
      <w:r w:rsidRPr="00A37112">
        <w:rPr>
          <w:lang w:val="zh-CN"/>
        </w:rPr>
        <w:t>(7)</w:t>
      </w:r>
      <w:r w:rsidRPr="00A37112">
        <w:rPr>
          <w:lang w:val="zh-CN"/>
        </w:rPr>
        <w:t>段，</w:t>
      </w:r>
      <w:r w:rsidRPr="00A37112">
        <w:rPr>
          <w:lang w:val="zh-CN"/>
        </w:rPr>
        <w:t>(</w:t>
      </w:r>
      <w:r w:rsidRPr="00A37112">
        <w:rPr>
          <w:lang w:val="zh-CN"/>
        </w:rPr>
        <w:t>国际法委员会第六十</w:t>
      </w:r>
      <w:r w:rsidRPr="00A37112">
        <w:rPr>
          <w:rFonts w:hint="eastAsia"/>
          <w:lang w:val="zh-CN"/>
        </w:rPr>
        <w:t>三</w:t>
      </w:r>
      <w:r w:rsidRPr="00A37112">
        <w:rPr>
          <w:lang w:val="zh-CN"/>
        </w:rPr>
        <w:t>届</w:t>
      </w:r>
      <w:r w:rsidRPr="00A37112">
        <w:t>会议</w:t>
      </w:r>
      <w:r w:rsidRPr="00A37112">
        <w:rPr>
          <w:lang w:val="zh-CN"/>
        </w:rPr>
        <w:t>报告，</w:t>
      </w:r>
      <w:r w:rsidRPr="00A37112">
        <w:rPr>
          <w:rFonts w:hint="eastAsia"/>
          <w:lang w:val="zh-CN"/>
        </w:rPr>
        <w:t>《</w:t>
      </w:r>
      <w:r w:rsidRPr="00A37112">
        <w:rPr>
          <w:rFonts w:eastAsia="楷体"/>
          <w:lang w:val="zh-CN"/>
        </w:rPr>
        <w:t>大会正式记录，第六十六届会议，补编第</w:t>
      </w:r>
      <w:r w:rsidRPr="00A37112">
        <w:rPr>
          <w:rFonts w:eastAsia="楷体"/>
          <w:lang w:val="zh-CN"/>
        </w:rPr>
        <w:t>10</w:t>
      </w:r>
      <w:r w:rsidRPr="00A37112">
        <w:rPr>
          <w:rFonts w:eastAsia="楷体"/>
          <w:lang w:val="zh-CN"/>
        </w:rPr>
        <w:t>号</w:t>
      </w:r>
      <w:r w:rsidRPr="00A37112">
        <w:rPr>
          <w:rFonts w:eastAsia="楷体" w:hint="eastAsia"/>
          <w:lang w:val="zh-CN"/>
        </w:rPr>
        <w:t>》</w:t>
      </w:r>
      <w:r w:rsidRPr="00A37112">
        <w:rPr>
          <w:lang w:val="zh-CN"/>
        </w:rPr>
        <w:t>(</w:t>
      </w:r>
      <w:hyperlink r:id="rId105" w:history="1">
        <w:r w:rsidRPr="00A37112">
          <w:rPr>
            <w:rStyle w:val="af"/>
            <w:lang w:val="zh-CN"/>
          </w:rPr>
          <w:t>A/66/10</w:t>
        </w:r>
      </w:hyperlink>
      <w:r w:rsidRPr="00A37112">
        <w:rPr>
          <w:lang w:val="zh-CN"/>
        </w:rPr>
        <w:t>)</w:t>
      </w:r>
      <w:r w:rsidRPr="00A37112">
        <w:rPr>
          <w:lang w:val="zh-CN"/>
        </w:rPr>
        <w:t>，第五章，第</w:t>
      </w:r>
      <w:r w:rsidRPr="00A37112">
        <w:rPr>
          <w:lang w:val="zh-CN"/>
        </w:rPr>
        <w:t>70</w:t>
      </w:r>
      <w:r w:rsidRPr="00A37112">
        <w:rPr>
          <w:lang w:val="zh-CN"/>
        </w:rPr>
        <w:t>页，第</w:t>
      </w:r>
      <w:r w:rsidRPr="00A37112">
        <w:rPr>
          <w:lang w:val="zh-CN"/>
        </w:rPr>
        <w:t>88</w:t>
      </w:r>
      <w:r w:rsidRPr="00A37112">
        <w:rPr>
          <w:lang w:val="zh-CN"/>
        </w:rPr>
        <w:t>段</w:t>
      </w:r>
      <w:r w:rsidRPr="00A37112">
        <w:rPr>
          <w:lang w:val="zh-CN"/>
        </w:rPr>
        <w:t>)</w:t>
      </w:r>
      <w:r w:rsidRPr="00A37112">
        <w:rPr>
          <w:lang w:val="zh-CN"/>
        </w:rPr>
        <w:t>。</w:t>
      </w:r>
    </w:p>
  </w:footnote>
  <w:footnote w:id="969">
    <w:p w:rsidR="00AB00DE" w:rsidRPr="00A37112" w:rsidRDefault="00AB00DE" w:rsidP="00560424">
      <w:pPr>
        <w:pStyle w:val="a4"/>
      </w:pPr>
      <w:r w:rsidRPr="00A37112">
        <w:rPr>
          <w:lang w:val="zh-CN"/>
        </w:rPr>
        <w:tab/>
      </w:r>
      <w:r w:rsidRPr="00902223">
        <w:rPr>
          <w:rStyle w:val="a5"/>
          <w:szCs w:val="21"/>
          <w:lang w:val="zh-CN"/>
        </w:rPr>
        <w:footnoteRef/>
      </w:r>
      <w:r w:rsidRPr="00A37112">
        <w:rPr>
          <w:lang w:val="zh-CN"/>
        </w:rPr>
        <w:tab/>
      </w:r>
      <w:r w:rsidRPr="00A37112">
        <w:rPr>
          <w:lang w:val="zh-CN"/>
        </w:rPr>
        <w:t>例如，见</w:t>
      </w:r>
      <w:r w:rsidRPr="005715FC">
        <w:rPr>
          <w:rFonts w:asciiTheme="majorBidi" w:hAnsiTheme="majorBidi" w:cstheme="majorBidi"/>
        </w:rPr>
        <w:t xml:space="preserve">Klabbers, </w:t>
      </w:r>
      <w:r w:rsidRPr="005715FC">
        <w:rPr>
          <w:rFonts w:asciiTheme="majorBidi" w:hAnsiTheme="majorBidi" w:cstheme="majorBidi"/>
          <w:i/>
          <w:iCs/>
        </w:rPr>
        <w:t xml:space="preserve">An Introduction to Institutional Law </w:t>
      </w:r>
      <w:r w:rsidRPr="00A37112">
        <w:rPr>
          <w:lang w:val="zh-CN"/>
        </w:rPr>
        <w:t>(</w:t>
      </w:r>
      <w:r w:rsidRPr="00A37112">
        <w:rPr>
          <w:lang w:val="zh-CN"/>
        </w:rPr>
        <w:t>上文脚注</w:t>
      </w:r>
      <w:r>
        <w:rPr>
          <w:lang w:val="zh-CN"/>
        </w:rPr>
        <w:fldChar w:fldCharType="begin"/>
      </w:r>
      <w:r>
        <w:rPr>
          <w:lang w:val="zh-CN"/>
        </w:rPr>
        <w:instrText xml:space="preserve"> NOTEREF _Ref461977252 \h </w:instrText>
      </w:r>
      <w:r>
        <w:rPr>
          <w:lang w:val="zh-CN"/>
        </w:rPr>
      </w:r>
      <w:r>
        <w:rPr>
          <w:lang w:val="zh-CN"/>
        </w:rPr>
        <w:fldChar w:fldCharType="separate"/>
      </w:r>
      <w:r w:rsidR="00A73EB9">
        <w:rPr>
          <w:lang w:val="zh-CN"/>
        </w:rPr>
        <w:t>953</w:t>
      </w:r>
      <w:r>
        <w:rPr>
          <w:lang w:val="zh-CN"/>
        </w:rPr>
        <w:fldChar w:fldCharType="end"/>
      </w:r>
      <w:r w:rsidRPr="005715FC">
        <w:rPr>
          <w:rFonts w:asciiTheme="majorBidi" w:hAnsiTheme="majorBidi" w:cstheme="majorBidi"/>
          <w:iCs/>
        </w:rPr>
        <w:t>)</w:t>
      </w:r>
      <w:r w:rsidRPr="005715FC">
        <w:rPr>
          <w:rFonts w:asciiTheme="majorBidi" w:hAnsiTheme="majorBidi" w:cstheme="majorBidi"/>
        </w:rPr>
        <w:t>, p. 88; Schmalenbach, “Art. 5”</w:t>
      </w:r>
      <w:r w:rsidRPr="00A37112">
        <w:rPr>
          <w:lang w:val="zh-CN"/>
        </w:rPr>
        <w:t>(</w:t>
      </w:r>
      <w:r w:rsidRPr="00A37112">
        <w:rPr>
          <w:lang w:val="zh-CN"/>
        </w:rPr>
        <w:t>上文脚注</w:t>
      </w:r>
      <w:r>
        <w:rPr>
          <w:lang w:val="zh-CN"/>
        </w:rPr>
        <w:fldChar w:fldCharType="begin"/>
      </w:r>
      <w:r>
        <w:rPr>
          <w:lang w:val="zh-CN"/>
        </w:rPr>
        <w:instrText xml:space="preserve"> NOTEREF _Ref461977294 \h </w:instrText>
      </w:r>
      <w:r>
        <w:rPr>
          <w:lang w:val="zh-CN"/>
        </w:rPr>
      </w:r>
      <w:r>
        <w:rPr>
          <w:lang w:val="zh-CN"/>
        </w:rPr>
        <w:fldChar w:fldCharType="separate"/>
      </w:r>
      <w:r w:rsidR="00A73EB9">
        <w:rPr>
          <w:lang w:val="zh-CN"/>
        </w:rPr>
        <w:t>901</w:t>
      </w:r>
      <w:r>
        <w:rPr>
          <w:lang w:val="zh-CN"/>
        </w:rPr>
        <w:fldChar w:fldCharType="end"/>
      </w:r>
      <w:r w:rsidRPr="005715FC">
        <w:rPr>
          <w:rFonts w:asciiTheme="majorBidi" w:hAnsiTheme="majorBidi" w:cstheme="majorBidi"/>
        </w:rPr>
        <w:t>), p. 89, para. 1, and p. 96, para. 15; Brölmann, “Specialized rules of treaty interpretation …”</w:t>
      </w:r>
      <w:r w:rsidRPr="00A37112">
        <w:t>(</w:t>
      </w:r>
      <w:r w:rsidRPr="00A37112">
        <w:rPr>
          <w:lang w:val="zh-CN"/>
        </w:rPr>
        <w:t>上文脚注</w:t>
      </w:r>
      <w:r>
        <w:fldChar w:fldCharType="begin"/>
      </w:r>
      <w:r w:rsidRPr="00560424">
        <w:instrText xml:space="preserve"> NOTEREF _Ref461977339 \h </w:instrText>
      </w:r>
      <w:r>
        <w:fldChar w:fldCharType="separate"/>
      </w:r>
      <w:r w:rsidR="00A73EB9">
        <w:t>955</w:t>
      </w:r>
      <w:r>
        <w:fldChar w:fldCharType="end"/>
      </w:r>
      <w:r w:rsidRPr="005715FC">
        <w:rPr>
          <w:rFonts w:asciiTheme="majorBidi" w:hAnsiTheme="majorBidi" w:cstheme="majorBidi"/>
          <w:iCs/>
        </w:rPr>
        <w:t>)</w:t>
      </w:r>
      <w:r w:rsidRPr="005715FC">
        <w:rPr>
          <w:rFonts w:asciiTheme="majorBidi" w:hAnsiTheme="majorBidi" w:cstheme="majorBidi"/>
        </w:rPr>
        <w:t>, p. 522; Dörr, “Article 31 …”</w:t>
      </w:r>
      <w:r w:rsidRPr="00A37112">
        <w:t>(</w:t>
      </w:r>
      <w:r w:rsidRPr="00A37112">
        <w:rPr>
          <w:lang w:val="zh-CN"/>
        </w:rPr>
        <w:t>见上文脚注</w:t>
      </w:r>
      <w:r>
        <w:fldChar w:fldCharType="begin"/>
      </w:r>
      <w:r>
        <w:instrText xml:space="preserve"> </w:instrText>
      </w:r>
      <w:r>
        <w:rPr>
          <w:rFonts w:hint="eastAsia"/>
        </w:rPr>
        <w:instrText>NOTEREF _Ref461972537 \h</w:instrText>
      </w:r>
      <w:r>
        <w:instrText xml:space="preserve"> </w:instrText>
      </w:r>
      <w:r>
        <w:fldChar w:fldCharType="separate"/>
      </w:r>
      <w:r w:rsidR="00A73EB9">
        <w:t>439</w:t>
      </w:r>
      <w:r>
        <w:fldChar w:fldCharType="end"/>
      </w:r>
      <w:r w:rsidRPr="005715FC">
        <w:rPr>
          <w:rFonts w:asciiTheme="majorBidi" w:hAnsiTheme="majorBidi" w:cstheme="majorBidi"/>
        </w:rPr>
        <w:t>), p. 538, para. 32</w:t>
      </w:r>
      <w:r w:rsidRPr="00A37112">
        <w:rPr>
          <w:lang w:val="zh-CN"/>
        </w:rPr>
        <w:t>。</w:t>
      </w:r>
    </w:p>
  </w:footnote>
  <w:footnote w:id="970">
    <w:p w:rsidR="00AB00DE" w:rsidRPr="00A37112" w:rsidRDefault="00AB00DE" w:rsidP="003E31C7">
      <w:pPr>
        <w:pStyle w:val="a4"/>
      </w:pPr>
      <w:r w:rsidRPr="00A37112">
        <w:tab/>
      </w:r>
      <w:r w:rsidRPr="00902223">
        <w:rPr>
          <w:rStyle w:val="a5"/>
          <w:szCs w:val="21"/>
          <w:lang w:val="zh-CN"/>
        </w:rPr>
        <w:footnoteRef/>
      </w:r>
      <w:r w:rsidRPr="00A37112">
        <w:rPr>
          <w:lang w:val="zh-CN"/>
        </w:rPr>
        <w:tab/>
      </w:r>
      <w:r w:rsidRPr="00A37112">
        <w:rPr>
          <w:lang w:val="zh-CN"/>
        </w:rPr>
        <w:t>世贸组织上诉机构报告，</w:t>
      </w:r>
      <w:r w:rsidRPr="00A37112">
        <w:rPr>
          <w:rFonts w:eastAsia="楷体"/>
          <w:lang w:val="zh-CN"/>
        </w:rPr>
        <w:t>美国</w:t>
      </w:r>
      <w:r w:rsidRPr="00A37112">
        <w:rPr>
          <w:rFonts w:hint="eastAsia"/>
        </w:rPr>
        <w:t>—</w:t>
      </w:r>
      <w:r w:rsidRPr="00A37112">
        <w:rPr>
          <w:rFonts w:eastAsia="楷体"/>
          <w:lang w:val="zh-CN"/>
        </w:rPr>
        <w:t>影响丁香烟生产和销售</w:t>
      </w:r>
      <w:r w:rsidRPr="00A37112">
        <w:rPr>
          <w:rFonts w:eastAsia="楷体" w:hint="eastAsia"/>
          <w:lang w:val="zh-CN"/>
        </w:rPr>
        <w:t>的</w:t>
      </w:r>
      <w:r w:rsidRPr="00A37112">
        <w:rPr>
          <w:rFonts w:eastAsia="楷体"/>
          <w:lang w:val="zh-CN"/>
        </w:rPr>
        <w:t>措施</w:t>
      </w:r>
      <w:r w:rsidRPr="00A37112">
        <w:rPr>
          <w:rFonts w:eastAsia="楷体" w:hint="eastAsia"/>
          <w:lang w:val="zh-CN"/>
        </w:rPr>
        <w:t>案</w:t>
      </w:r>
      <w:r w:rsidRPr="00A37112">
        <w:rPr>
          <w:rFonts w:hint="eastAsia"/>
          <w:lang w:val="zh-CN"/>
        </w:rPr>
        <w:t>，</w:t>
      </w:r>
      <w:r w:rsidRPr="00A37112">
        <w:rPr>
          <w:lang w:val="zh-CN"/>
        </w:rPr>
        <w:t>WT/DS406/AB/R, 2012</w:t>
      </w:r>
      <w:r w:rsidRPr="00A37112">
        <w:rPr>
          <w:lang w:val="zh-CN"/>
        </w:rPr>
        <w:t>年</w:t>
      </w:r>
      <w:r w:rsidRPr="00A37112">
        <w:rPr>
          <w:lang w:val="zh-CN"/>
        </w:rPr>
        <w:t>4</w:t>
      </w:r>
      <w:r w:rsidRPr="00A37112">
        <w:rPr>
          <w:lang w:val="zh-CN"/>
        </w:rPr>
        <w:t>月</w:t>
      </w:r>
      <w:r w:rsidRPr="00A37112">
        <w:rPr>
          <w:lang w:val="zh-CN"/>
        </w:rPr>
        <w:t>4</w:t>
      </w:r>
      <w:r w:rsidRPr="00A37112">
        <w:rPr>
          <w:lang w:val="zh-CN"/>
        </w:rPr>
        <w:t>日通过，第</w:t>
      </w:r>
      <w:r w:rsidRPr="00A37112">
        <w:rPr>
          <w:lang w:val="zh-CN"/>
        </w:rPr>
        <w:t>252-257</w:t>
      </w:r>
      <w:r w:rsidRPr="00A37112">
        <w:rPr>
          <w:lang w:val="zh-CN"/>
        </w:rPr>
        <w:t>段。</w:t>
      </w:r>
    </w:p>
  </w:footnote>
  <w:footnote w:id="971">
    <w:p w:rsidR="00AB00DE" w:rsidRPr="00A37112" w:rsidRDefault="00AB00DE" w:rsidP="00D90936">
      <w:pPr>
        <w:pStyle w:val="a4"/>
      </w:pPr>
      <w:r w:rsidRPr="00A37112">
        <w:rPr>
          <w:lang w:val="zh-CN"/>
        </w:rPr>
        <w:tab/>
      </w:r>
      <w:r w:rsidRPr="00902223">
        <w:rPr>
          <w:rStyle w:val="a5"/>
          <w:szCs w:val="21"/>
          <w:lang w:val="zh-CN"/>
        </w:rPr>
        <w:footnoteRef/>
      </w:r>
      <w:r w:rsidRPr="00A37112">
        <w:rPr>
          <w:lang w:val="zh-CN"/>
        </w:rPr>
        <w:tab/>
      </w:r>
      <w:r w:rsidRPr="00A37112">
        <w:rPr>
          <w:lang w:val="zh-CN"/>
        </w:rPr>
        <w:t>大多数</w:t>
      </w:r>
      <w:r w:rsidRPr="00A37112">
        <w:t>所谓</w:t>
      </w:r>
      <w:r w:rsidRPr="00A37112">
        <w:rPr>
          <w:lang w:val="zh-CN"/>
        </w:rPr>
        <w:t>的解释条款确定哪个机关有权权威地解释条约或其中某些条款，而不是制订</w:t>
      </w:r>
      <w:r w:rsidRPr="00A37112">
        <w:rPr>
          <w:rFonts w:hint="eastAsia"/>
          <w:lang w:val="zh-CN"/>
        </w:rPr>
        <w:t>“</w:t>
      </w:r>
      <w:r w:rsidRPr="00A37112">
        <w:rPr>
          <w:lang w:val="zh-CN"/>
        </w:rPr>
        <w:t>关于</w:t>
      </w:r>
      <w:r w:rsidRPr="00A37112">
        <w:rPr>
          <w:rFonts w:hint="eastAsia"/>
          <w:lang w:val="zh-CN"/>
        </w:rPr>
        <w:t>”</w:t>
      </w:r>
      <w:r w:rsidRPr="00A37112">
        <w:rPr>
          <w:lang w:val="zh-CN"/>
        </w:rPr>
        <w:t>解释本身的具体规则，见</w:t>
      </w:r>
      <w:r w:rsidRPr="005715FC">
        <w:rPr>
          <w:rFonts w:asciiTheme="majorBidi" w:hAnsiTheme="majorBidi" w:cstheme="majorBidi"/>
        </w:rPr>
        <w:t xml:space="preserve">C. Fernández de Casadevante y Romani, </w:t>
      </w:r>
      <w:r w:rsidRPr="005715FC">
        <w:rPr>
          <w:rFonts w:asciiTheme="majorBidi" w:hAnsiTheme="majorBidi" w:cstheme="majorBidi"/>
          <w:i/>
        </w:rPr>
        <w:t>Sovereignty and Interpretation of International Norms</w:t>
      </w:r>
      <w:r w:rsidRPr="005715FC">
        <w:rPr>
          <w:rFonts w:asciiTheme="majorBidi" w:hAnsiTheme="majorBidi" w:cstheme="majorBidi"/>
        </w:rPr>
        <w:t xml:space="preserve"> (Berlin/Heidelberg, Springer, 2007), pp. 26-27; Dörr, “Article 31 …”</w:t>
      </w:r>
      <w:r w:rsidRPr="00D830B5">
        <w:t>(</w:t>
      </w:r>
      <w:r w:rsidRPr="00A37112">
        <w:rPr>
          <w:lang w:val="zh-CN"/>
        </w:rPr>
        <w:t>见上文脚注</w:t>
      </w:r>
      <w:r>
        <w:fldChar w:fldCharType="begin"/>
      </w:r>
      <w:r>
        <w:instrText xml:space="preserve"> </w:instrText>
      </w:r>
      <w:r>
        <w:rPr>
          <w:rFonts w:hint="eastAsia"/>
        </w:rPr>
        <w:instrText>NOTEREF _Ref461972537 \h</w:instrText>
      </w:r>
      <w:r>
        <w:instrText xml:space="preserve"> </w:instrText>
      </w:r>
      <w:r>
        <w:fldChar w:fldCharType="separate"/>
      </w:r>
      <w:r w:rsidR="00A73EB9">
        <w:t>439</w:t>
      </w:r>
      <w:r>
        <w:fldChar w:fldCharType="end"/>
      </w:r>
      <w:r w:rsidRPr="00D830B5">
        <w:t>)</w:t>
      </w:r>
      <w:r>
        <w:rPr>
          <w:rFonts w:hint="eastAsia"/>
        </w:rPr>
        <w:t xml:space="preserve">, </w:t>
      </w:r>
      <w:r w:rsidRPr="00A37112">
        <w:t>p. 537, para. 32</w:t>
      </w:r>
      <w:r w:rsidRPr="00A37112">
        <w:rPr>
          <w:lang w:val="zh-CN"/>
        </w:rPr>
        <w:t>。</w:t>
      </w:r>
    </w:p>
  </w:footnote>
  <w:footnote w:id="972">
    <w:p w:rsidR="00AB00DE" w:rsidRPr="00A37112" w:rsidRDefault="00AB00DE" w:rsidP="003E31C7">
      <w:pPr>
        <w:pStyle w:val="a4"/>
      </w:pPr>
      <w:r w:rsidRPr="00A37112">
        <w:tab/>
      </w:r>
      <w:r w:rsidRPr="00902223">
        <w:rPr>
          <w:rStyle w:val="a5"/>
          <w:szCs w:val="21"/>
          <w:lang w:val="zh-CN"/>
        </w:rPr>
        <w:footnoteRef/>
      </w:r>
      <w:r w:rsidRPr="00A37112">
        <w:tab/>
      </w:r>
      <w:r w:rsidRPr="00A37112">
        <w:rPr>
          <w:lang w:val="zh-CN"/>
        </w:rPr>
        <w:t>见</w:t>
      </w:r>
      <w:r w:rsidRPr="00A37112">
        <w:t>1986</w:t>
      </w:r>
      <w:r w:rsidRPr="00A37112">
        <w:rPr>
          <w:lang w:val="zh-CN"/>
        </w:rPr>
        <w:t>年《维也纳公约》</w:t>
      </w:r>
      <w:r w:rsidRPr="00A37112">
        <w:t>，</w:t>
      </w:r>
      <w:r w:rsidRPr="00A37112">
        <w:rPr>
          <w:lang w:val="zh-CN"/>
        </w:rPr>
        <w:t>第二条</w:t>
      </w:r>
      <w:r w:rsidRPr="00A37112">
        <w:t>(j)</w:t>
      </w:r>
      <w:r w:rsidRPr="00A37112">
        <w:rPr>
          <w:lang w:val="zh-CN"/>
        </w:rPr>
        <w:t>项</w:t>
      </w:r>
      <w:r w:rsidRPr="00A37112">
        <w:t>；</w:t>
      </w:r>
      <w:r w:rsidRPr="00A37112">
        <w:rPr>
          <w:lang w:val="zh-CN"/>
        </w:rPr>
        <w:t>国际法委员会关于国际组织的责任的条款草案</w:t>
      </w:r>
      <w:r w:rsidRPr="00A37112">
        <w:t>，</w:t>
      </w:r>
      <w:r w:rsidRPr="00A37112">
        <w:rPr>
          <w:lang w:val="zh-CN"/>
        </w:rPr>
        <w:t>第二条</w:t>
      </w:r>
      <w:r w:rsidRPr="00A37112">
        <w:t>(b)</w:t>
      </w:r>
      <w:r w:rsidRPr="00A37112">
        <w:rPr>
          <w:lang w:val="zh-CN"/>
        </w:rPr>
        <w:t>项</w:t>
      </w:r>
      <w:r w:rsidRPr="00A37112">
        <w:t>，</w:t>
      </w:r>
      <w:r w:rsidRPr="00A37112">
        <w:rPr>
          <w:lang w:val="zh-CN"/>
        </w:rPr>
        <w:t>国际法委员会第六十三届会议报告</w:t>
      </w:r>
      <w:r w:rsidRPr="00A37112">
        <w:t>，</w:t>
      </w:r>
      <w:r w:rsidRPr="00A37112">
        <w:rPr>
          <w:lang w:val="zh-CN"/>
        </w:rPr>
        <w:t>《</w:t>
      </w:r>
      <w:r w:rsidRPr="00A37112">
        <w:rPr>
          <w:rFonts w:eastAsia="楷体"/>
          <w:lang w:val="zh-CN"/>
        </w:rPr>
        <w:t>大会正式记录</w:t>
      </w:r>
      <w:r w:rsidRPr="00A37112">
        <w:rPr>
          <w:rFonts w:eastAsia="楷体"/>
        </w:rPr>
        <w:t>，</w:t>
      </w:r>
      <w:r w:rsidRPr="00A37112">
        <w:rPr>
          <w:rFonts w:eastAsia="楷体"/>
          <w:lang w:val="zh-CN"/>
        </w:rPr>
        <w:t>第六十六届会议</w:t>
      </w:r>
      <w:r w:rsidRPr="00A37112">
        <w:rPr>
          <w:rFonts w:eastAsia="楷体"/>
        </w:rPr>
        <w:t>，</w:t>
      </w:r>
      <w:r w:rsidRPr="00A37112">
        <w:rPr>
          <w:rFonts w:eastAsia="楷体"/>
          <w:lang w:val="zh-CN"/>
        </w:rPr>
        <w:t>补编第</w:t>
      </w:r>
      <w:r w:rsidRPr="00A37112">
        <w:rPr>
          <w:rFonts w:eastAsia="楷体"/>
        </w:rPr>
        <w:t>10</w:t>
      </w:r>
      <w:r w:rsidRPr="00A37112">
        <w:rPr>
          <w:rFonts w:eastAsia="楷体"/>
          <w:lang w:val="zh-CN"/>
        </w:rPr>
        <w:t>号</w:t>
      </w:r>
      <w:r w:rsidRPr="00A37112">
        <w:rPr>
          <w:lang w:val="zh-CN"/>
        </w:rPr>
        <w:t>》</w:t>
      </w:r>
      <w:r w:rsidRPr="00A37112">
        <w:t>(</w:t>
      </w:r>
      <w:hyperlink r:id="rId106" w:history="1">
        <w:r w:rsidRPr="00A37112">
          <w:rPr>
            <w:rStyle w:val="af"/>
          </w:rPr>
          <w:t>A/66/10</w:t>
        </w:r>
      </w:hyperlink>
      <w:r w:rsidRPr="00A37112">
        <w:t>)</w:t>
      </w:r>
      <w:r w:rsidRPr="00A37112">
        <w:t>，</w:t>
      </w:r>
      <w:r w:rsidRPr="00A37112">
        <w:rPr>
          <w:lang w:val="zh-CN"/>
        </w:rPr>
        <w:t>第五章</w:t>
      </w:r>
      <w:r w:rsidRPr="00A37112">
        <w:t>，</w:t>
      </w:r>
      <w:r w:rsidRPr="00A37112">
        <w:t>E</w:t>
      </w:r>
      <w:r w:rsidRPr="00A37112">
        <w:rPr>
          <w:lang w:val="zh-CN"/>
        </w:rPr>
        <w:t>节</w:t>
      </w:r>
      <w:r w:rsidRPr="00A37112">
        <w:t>，</w:t>
      </w:r>
      <w:r w:rsidRPr="00A37112">
        <w:rPr>
          <w:lang w:val="zh-CN"/>
        </w:rPr>
        <w:t>第</w:t>
      </w:r>
      <w:r w:rsidRPr="00A37112">
        <w:t>87</w:t>
      </w:r>
      <w:r w:rsidRPr="00A37112">
        <w:rPr>
          <w:lang w:val="zh-CN"/>
        </w:rPr>
        <w:t>段</w:t>
      </w:r>
      <w:r w:rsidRPr="00A37112">
        <w:t>；</w:t>
      </w:r>
      <w:r w:rsidRPr="005715FC">
        <w:rPr>
          <w:rFonts w:asciiTheme="majorBidi" w:hAnsiTheme="majorBidi" w:cstheme="majorBidi"/>
        </w:rPr>
        <w:t xml:space="preserve">C. Peters, “Subsequent practice and established practice of international organizations”, </w:t>
      </w:r>
      <w:r w:rsidRPr="005715FC">
        <w:rPr>
          <w:rFonts w:asciiTheme="majorBidi" w:hAnsiTheme="majorBidi" w:cstheme="majorBidi"/>
          <w:i/>
        </w:rPr>
        <w:t>Göttingen Journal of International Law</w:t>
      </w:r>
      <w:r w:rsidRPr="005715FC">
        <w:rPr>
          <w:rFonts w:asciiTheme="majorBidi" w:hAnsiTheme="majorBidi" w:cstheme="majorBidi"/>
        </w:rPr>
        <w:t>, vol. 3 (2011), pp. 617-642</w:t>
      </w:r>
      <w:r w:rsidRPr="00A37112">
        <w:rPr>
          <w:lang w:val="zh-CN"/>
        </w:rPr>
        <w:t>。</w:t>
      </w:r>
    </w:p>
  </w:footnote>
  <w:footnote w:id="973">
    <w:p w:rsidR="00AB00DE" w:rsidRPr="00A37112" w:rsidRDefault="00AB00DE" w:rsidP="003E31C7">
      <w:pPr>
        <w:pStyle w:val="a4"/>
      </w:pPr>
      <w:r w:rsidRPr="00A37112">
        <w:tab/>
      </w:r>
      <w:r w:rsidRPr="00902223">
        <w:rPr>
          <w:rStyle w:val="a5"/>
          <w:szCs w:val="21"/>
          <w:lang w:val="zh-CN"/>
        </w:rPr>
        <w:footnoteRef/>
      </w:r>
      <w:r w:rsidRPr="00A37112">
        <w:rPr>
          <w:lang w:val="zh-CN"/>
        </w:rPr>
        <w:tab/>
      </w:r>
      <w:r w:rsidRPr="00A37112">
        <w:t>《</w:t>
      </w:r>
      <w:r w:rsidRPr="00A37112">
        <w:t>1982</w:t>
      </w:r>
      <w:r w:rsidRPr="00A37112">
        <w:t>年</w:t>
      </w:r>
      <w:r w:rsidRPr="00A37112">
        <w:rPr>
          <w:rFonts w:hint="eastAsia"/>
        </w:rPr>
        <w:t>……</w:t>
      </w:r>
      <w:r w:rsidRPr="00A37112">
        <w:t>年鉴》</w:t>
      </w:r>
      <w:r w:rsidRPr="00A37112">
        <w:rPr>
          <w:lang w:val="zh-CN"/>
        </w:rPr>
        <w:t>，第二卷</w:t>
      </w:r>
      <w:r w:rsidRPr="00A37112">
        <w:rPr>
          <w:lang w:val="zh-CN"/>
        </w:rPr>
        <w:t>(</w:t>
      </w:r>
      <w:r w:rsidRPr="00A37112">
        <w:rPr>
          <w:lang w:val="zh-CN"/>
        </w:rPr>
        <w:t>第二部分</w:t>
      </w:r>
      <w:r w:rsidRPr="00A37112">
        <w:rPr>
          <w:lang w:val="zh-CN"/>
        </w:rPr>
        <w:t>)</w:t>
      </w:r>
      <w:r w:rsidRPr="00A37112">
        <w:rPr>
          <w:lang w:val="zh-CN"/>
        </w:rPr>
        <w:t>，第二章，第</w:t>
      </w:r>
      <w:r w:rsidRPr="00A37112">
        <w:rPr>
          <w:lang w:val="zh-CN"/>
        </w:rPr>
        <w:t>21</w:t>
      </w:r>
      <w:r w:rsidRPr="00A37112">
        <w:rPr>
          <w:lang w:val="zh-CN"/>
        </w:rPr>
        <w:t>页，第二条第</w:t>
      </w:r>
      <w:r w:rsidRPr="00A37112">
        <w:rPr>
          <w:lang w:val="zh-CN"/>
        </w:rPr>
        <w:t>1</w:t>
      </w:r>
      <w:r w:rsidRPr="00A37112">
        <w:rPr>
          <w:lang w:val="zh-CN"/>
        </w:rPr>
        <w:t>款</w:t>
      </w:r>
      <w:r w:rsidRPr="00A37112">
        <w:rPr>
          <w:lang w:val="zh-CN"/>
        </w:rPr>
        <w:t>(j)</w:t>
      </w:r>
      <w:r w:rsidRPr="00A37112">
        <w:rPr>
          <w:lang w:val="zh-CN"/>
        </w:rPr>
        <w:t>项草案的评注，第</w:t>
      </w:r>
      <w:r w:rsidRPr="00A37112">
        <w:rPr>
          <w:lang w:val="zh-CN"/>
        </w:rPr>
        <w:t>(25)</w:t>
      </w:r>
      <w:r w:rsidRPr="00A37112">
        <w:rPr>
          <w:lang w:val="zh-CN"/>
        </w:rPr>
        <w:t>段。</w:t>
      </w:r>
      <w:r w:rsidRPr="00A37112">
        <w:rPr>
          <w:lang w:val="zh-CN"/>
        </w:rPr>
        <w:t xml:space="preserve"> </w:t>
      </w:r>
    </w:p>
  </w:footnote>
  <w:footnote w:id="974">
    <w:p w:rsidR="00AB00DE" w:rsidRPr="00A37112" w:rsidRDefault="00AB00DE" w:rsidP="003E31C7">
      <w:pPr>
        <w:pStyle w:val="a4"/>
      </w:pPr>
      <w:r w:rsidRPr="00A37112">
        <w:rPr>
          <w:lang w:val="zh-CN"/>
        </w:rPr>
        <w:tab/>
      </w:r>
      <w:r w:rsidRPr="00902223">
        <w:rPr>
          <w:rStyle w:val="a5"/>
          <w:szCs w:val="21"/>
          <w:lang w:val="zh-CN"/>
        </w:rPr>
        <w:footnoteRef/>
      </w:r>
      <w:r w:rsidRPr="00A37112">
        <w:rPr>
          <w:lang w:val="zh-CN"/>
        </w:rPr>
        <w:tab/>
      </w:r>
      <w:r w:rsidRPr="00A37112">
        <w:rPr>
          <w:lang w:val="zh-CN"/>
        </w:rPr>
        <w:t>国际法委员会第六十三届会议报告，</w:t>
      </w:r>
      <w:r w:rsidRPr="00A37112">
        <w:rPr>
          <w:rFonts w:eastAsia="楷体" w:hint="eastAsia"/>
          <w:lang w:val="zh-CN"/>
        </w:rPr>
        <w:t>《</w:t>
      </w:r>
      <w:r w:rsidRPr="00A37112">
        <w:rPr>
          <w:rFonts w:eastAsia="楷体"/>
          <w:lang w:val="zh-CN"/>
        </w:rPr>
        <w:t>大会正式记录，第六十六届会议，补编第</w:t>
      </w:r>
      <w:r w:rsidRPr="00A37112">
        <w:rPr>
          <w:rFonts w:eastAsia="楷体"/>
          <w:lang w:val="zh-CN"/>
        </w:rPr>
        <w:t>10</w:t>
      </w:r>
      <w:r w:rsidRPr="00A37112">
        <w:rPr>
          <w:rFonts w:eastAsia="楷体"/>
          <w:lang w:val="zh-CN"/>
        </w:rPr>
        <w:t>号</w:t>
      </w:r>
      <w:r w:rsidRPr="00A37112">
        <w:rPr>
          <w:rFonts w:eastAsia="楷体" w:hint="eastAsia"/>
          <w:lang w:val="zh-CN"/>
        </w:rPr>
        <w:t>》</w:t>
      </w:r>
      <w:r w:rsidRPr="00A37112">
        <w:rPr>
          <w:lang w:val="zh-CN"/>
        </w:rPr>
        <w:t>(</w:t>
      </w:r>
      <w:hyperlink r:id="rId107" w:history="1">
        <w:r w:rsidRPr="00A37112">
          <w:rPr>
            <w:rStyle w:val="af"/>
            <w:lang w:val="zh-CN"/>
          </w:rPr>
          <w:t>A/66/10</w:t>
        </w:r>
      </w:hyperlink>
      <w:r w:rsidRPr="00A37112">
        <w:rPr>
          <w:lang w:val="zh-CN"/>
        </w:rPr>
        <w:t>)</w:t>
      </w:r>
      <w:r w:rsidRPr="00A37112">
        <w:rPr>
          <w:lang w:val="zh-CN"/>
        </w:rPr>
        <w:t>，第五章，第</w:t>
      </w:r>
      <w:r w:rsidRPr="00A37112">
        <w:rPr>
          <w:lang w:val="zh-CN"/>
        </w:rPr>
        <w:t>52</w:t>
      </w:r>
      <w:r w:rsidRPr="00A37112">
        <w:rPr>
          <w:lang w:val="zh-CN"/>
        </w:rPr>
        <w:t>页。</w:t>
      </w:r>
    </w:p>
  </w:footnote>
  <w:footnote w:id="975">
    <w:p w:rsidR="00AB00DE" w:rsidRPr="00A37112" w:rsidRDefault="00AB00DE" w:rsidP="00560424">
      <w:pPr>
        <w:pStyle w:val="a4"/>
      </w:pPr>
      <w:r w:rsidRPr="00A37112">
        <w:rPr>
          <w:lang w:val="zh-CN"/>
        </w:rPr>
        <w:tab/>
      </w:r>
      <w:r w:rsidRPr="00902223">
        <w:rPr>
          <w:rStyle w:val="a5"/>
          <w:szCs w:val="21"/>
          <w:lang w:val="zh-CN"/>
        </w:rPr>
        <w:footnoteRef/>
      </w:r>
      <w:r w:rsidRPr="00A37112">
        <w:rPr>
          <w:lang w:val="zh-CN"/>
        </w:rPr>
        <w:tab/>
      </w:r>
      <w:r w:rsidRPr="00A37112">
        <w:rPr>
          <w:lang w:val="zh-CN"/>
        </w:rPr>
        <w:t>见</w:t>
      </w:r>
      <w:r w:rsidRPr="005715FC">
        <w:rPr>
          <w:rFonts w:asciiTheme="majorBidi" w:hAnsiTheme="majorBidi" w:cstheme="majorBidi"/>
        </w:rPr>
        <w:t>Higgins, “The Development of international law …”</w:t>
      </w:r>
      <w:r w:rsidRPr="00A37112">
        <w:rPr>
          <w:lang w:val="zh-CN"/>
        </w:rPr>
        <w:t>(</w:t>
      </w:r>
      <w:r w:rsidRPr="00A37112">
        <w:rPr>
          <w:lang w:val="zh-CN"/>
        </w:rPr>
        <w:t>上文脚注</w:t>
      </w:r>
      <w:r>
        <w:rPr>
          <w:lang w:val="zh-CN"/>
        </w:rPr>
        <w:fldChar w:fldCharType="begin"/>
      </w:r>
      <w:r>
        <w:rPr>
          <w:lang w:val="zh-CN"/>
        </w:rPr>
        <w:instrText xml:space="preserve"> NOTEREF _Ref461977350 \h </w:instrText>
      </w:r>
      <w:r>
        <w:rPr>
          <w:lang w:val="zh-CN"/>
        </w:rPr>
      </w:r>
      <w:r>
        <w:rPr>
          <w:lang w:val="zh-CN"/>
        </w:rPr>
        <w:fldChar w:fldCharType="separate"/>
      </w:r>
      <w:r w:rsidR="00A73EB9">
        <w:rPr>
          <w:lang w:val="zh-CN"/>
        </w:rPr>
        <w:t>927</w:t>
      </w:r>
      <w:r>
        <w:rPr>
          <w:lang w:val="zh-CN"/>
        </w:rPr>
        <w:fldChar w:fldCharType="end"/>
      </w:r>
      <w:r w:rsidRPr="00A37112">
        <w:rPr>
          <w:lang w:val="zh-CN"/>
        </w:rPr>
        <w:t>)</w:t>
      </w:r>
      <w:r>
        <w:rPr>
          <w:rFonts w:hint="eastAsia"/>
          <w:lang w:val="zh-CN"/>
        </w:rPr>
        <w:t xml:space="preserve">, </w:t>
      </w:r>
      <w:r w:rsidRPr="00A37112">
        <w:t xml:space="preserve">at p. 121 </w:t>
      </w:r>
      <w:r w:rsidRPr="00A37112">
        <w:rPr>
          <w:lang w:val="zh-CN"/>
        </w:rPr>
        <w:t>(</w:t>
      </w:r>
      <w:r w:rsidRPr="00A37112">
        <w:rPr>
          <w:rFonts w:hint="eastAsia"/>
          <w:lang w:val="zh-CN"/>
        </w:rPr>
        <w:t>“</w:t>
      </w:r>
      <w:r w:rsidRPr="00A37112">
        <w:rPr>
          <w:lang w:val="zh-CN"/>
        </w:rPr>
        <w:t>条约解释的若干方面与这一领域的习惯做法融合得非常接近</w:t>
      </w:r>
      <w:r w:rsidRPr="00A37112">
        <w:rPr>
          <w:rFonts w:hint="eastAsia"/>
          <w:lang w:val="zh-CN"/>
        </w:rPr>
        <w:t>”</w:t>
      </w:r>
      <w:r w:rsidRPr="00A37112">
        <w:rPr>
          <w:lang w:val="zh-CN"/>
        </w:rPr>
        <w:t>)</w:t>
      </w:r>
      <w:r w:rsidRPr="00A37112">
        <w:rPr>
          <w:lang w:val="zh-CN"/>
        </w:rPr>
        <w:t>；</w:t>
      </w:r>
      <w:r w:rsidRPr="00A37112">
        <w:rPr>
          <w:lang w:val="zh-CN"/>
        </w:rPr>
        <w:t>Peters,</w:t>
      </w:r>
      <w:r w:rsidRPr="00A37112">
        <w:rPr>
          <w:rFonts w:hint="eastAsia"/>
          <w:lang w:val="zh-CN"/>
        </w:rPr>
        <w:t>“</w:t>
      </w:r>
      <w:r w:rsidRPr="00A37112">
        <w:rPr>
          <w:lang w:val="zh-CN"/>
        </w:rPr>
        <w:t>Subsequent practice …</w:t>
      </w:r>
      <w:r w:rsidRPr="00A37112">
        <w:rPr>
          <w:rFonts w:hint="eastAsia"/>
          <w:lang w:val="zh-CN"/>
        </w:rPr>
        <w:t>”</w:t>
      </w:r>
      <w:r w:rsidRPr="00A37112">
        <w:rPr>
          <w:lang w:val="zh-CN"/>
        </w:rPr>
        <w:t>(</w:t>
      </w:r>
      <w:r w:rsidRPr="00A37112">
        <w:rPr>
          <w:lang w:val="zh-CN"/>
        </w:rPr>
        <w:t>上文脚注</w:t>
      </w:r>
      <w:r>
        <w:rPr>
          <w:lang w:val="zh-CN"/>
        </w:rPr>
        <w:fldChar w:fldCharType="begin"/>
      </w:r>
      <w:r>
        <w:rPr>
          <w:lang w:val="zh-CN"/>
        </w:rPr>
        <w:instrText xml:space="preserve"> NOTEREF _Ref461977369 \h </w:instrText>
      </w:r>
      <w:r>
        <w:rPr>
          <w:lang w:val="zh-CN"/>
        </w:rPr>
      </w:r>
      <w:r>
        <w:rPr>
          <w:lang w:val="zh-CN"/>
        </w:rPr>
        <w:fldChar w:fldCharType="separate"/>
      </w:r>
      <w:r w:rsidR="00A73EB9">
        <w:rPr>
          <w:lang w:val="zh-CN"/>
        </w:rPr>
        <w:t>971</w:t>
      </w:r>
      <w:r>
        <w:rPr>
          <w:lang w:val="zh-CN"/>
        </w:rPr>
        <w:fldChar w:fldCharType="end"/>
      </w:r>
      <w:r w:rsidRPr="00A37112">
        <w:rPr>
          <w:lang w:val="zh-CN"/>
        </w:rPr>
        <w:t>)</w:t>
      </w:r>
      <w:r w:rsidRPr="00A37112">
        <w:rPr>
          <w:lang w:val="zh-CN"/>
        </w:rPr>
        <w:t>，</w:t>
      </w:r>
      <w:r w:rsidRPr="00A37112">
        <w:t xml:space="preserve">at pp. 630-631 </w:t>
      </w:r>
      <w:r w:rsidRPr="00A37112">
        <w:rPr>
          <w:lang w:val="zh-CN"/>
        </w:rPr>
        <w:t>(</w:t>
      </w:r>
      <w:r w:rsidRPr="00A37112">
        <w:rPr>
          <w:rFonts w:hint="eastAsia"/>
          <w:lang w:val="zh-CN"/>
        </w:rPr>
        <w:t>“……</w:t>
      </w:r>
      <w:r w:rsidRPr="00A37112">
        <w:rPr>
          <w:lang w:val="zh-CN"/>
        </w:rPr>
        <w:t>应视为该组织的一种习惯国际法</w:t>
      </w:r>
      <w:r w:rsidRPr="00A37112">
        <w:rPr>
          <w:rFonts w:hint="eastAsia"/>
          <w:lang w:val="zh-CN"/>
        </w:rPr>
        <w:t>”</w:t>
      </w:r>
      <w:r w:rsidRPr="00A37112">
        <w:rPr>
          <w:lang w:val="zh-CN"/>
        </w:rPr>
        <w:t>)</w:t>
      </w:r>
      <w:r w:rsidRPr="00A37112">
        <w:rPr>
          <w:lang w:val="zh-CN"/>
        </w:rPr>
        <w:t>；将</w:t>
      </w:r>
      <w:r w:rsidRPr="00A37112">
        <w:rPr>
          <w:rFonts w:hint="eastAsia"/>
          <w:lang w:val="zh-CN"/>
        </w:rPr>
        <w:t>“</w:t>
      </w:r>
      <w:r w:rsidRPr="00A37112">
        <w:rPr>
          <w:lang w:val="zh-CN"/>
        </w:rPr>
        <w:t>组织已确立的做法</w:t>
      </w:r>
      <w:r w:rsidRPr="00A37112">
        <w:rPr>
          <w:rFonts w:hint="eastAsia"/>
          <w:lang w:val="zh-CN"/>
        </w:rPr>
        <w:t>”</w:t>
      </w:r>
      <w:r w:rsidRPr="00A37112">
        <w:rPr>
          <w:lang w:val="zh-CN"/>
        </w:rPr>
        <w:t>限定为所谓的内部规则是没有说服力的，因为委员会表示，</w:t>
      </w:r>
      <w:r w:rsidRPr="00A37112">
        <w:rPr>
          <w:rFonts w:hint="eastAsia"/>
          <w:lang w:val="zh-CN"/>
        </w:rPr>
        <w:t>“</w:t>
      </w:r>
      <w:r w:rsidRPr="00A37112">
        <w:rPr>
          <w:lang w:val="zh-CN"/>
        </w:rPr>
        <w:t>采用一个组织的</w:t>
      </w:r>
      <w:r w:rsidRPr="00A37112">
        <w:rPr>
          <w:rFonts w:hint="eastAsia"/>
          <w:lang w:val="zh-CN"/>
        </w:rPr>
        <w:t>‘</w:t>
      </w:r>
      <w:r w:rsidRPr="00A37112">
        <w:rPr>
          <w:lang w:val="zh-CN"/>
        </w:rPr>
        <w:t>内部</w:t>
      </w:r>
      <w:r w:rsidRPr="00A37112">
        <w:rPr>
          <w:rFonts w:hint="eastAsia"/>
          <w:lang w:val="zh-CN"/>
        </w:rPr>
        <w:t>’</w:t>
      </w:r>
      <w:r w:rsidRPr="00A37112">
        <w:rPr>
          <w:lang w:val="zh-CN"/>
        </w:rPr>
        <w:t>法这个提法会出现一些问题，因为虽然这种法律有其对内的一面，但在其他方面还有国际性质</w:t>
      </w:r>
      <w:r w:rsidRPr="00A37112">
        <w:rPr>
          <w:rFonts w:hint="eastAsia"/>
          <w:lang w:val="zh-CN"/>
        </w:rPr>
        <w:t>”</w:t>
      </w:r>
      <w:r w:rsidRPr="00A37112">
        <w:rPr>
          <w:lang w:val="zh-CN"/>
        </w:rPr>
        <w:t>，《</w:t>
      </w:r>
      <w:r w:rsidRPr="00A37112">
        <w:rPr>
          <w:lang w:val="zh-CN"/>
        </w:rPr>
        <w:t>1982</w:t>
      </w:r>
      <w:r w:rsidRPr="00A37112">
        <w:rPr>
          <w:lang w:val="zh-CN"/>
        </w:rPr>
        <w:t>年</w:t>
      </w:r>
      <w:r w:rsidRPr="00A37112">
        <w:rPr>
          <w:rFonts w:hint="eastAsia"/>
          <w:lang w:val="zh-CN"/>
        </w:rPr>
        <w:t>……</w:t>
      </w:r>
      <w:r w:rsidRPr="00A37112">
        <w:rPr>
          <w:lang w:val="zh-CN"/>
        </w:rPr>
        <w:t>年鉴》，第二卷</w:t>
      </w:r>
      <w:r w:rsidRPr="00A37112">
        <w:rPr>
          <w:lang w:val="zh-CN"/>
        </w:rPr>
        <w:t>(</w:t>
      </w:r>
      <w:r w:rsidRPr="00A37112">
        <w:rPr>
          <w:lang w:val="zh-CN"/>
        </w:rPr>
        <w:t>第二部分</w:t>
      </w:r>
      <w:r w:rsidRPr="00A37112">
        <w:rPr>
          <w:lang w:val="zh-CN"/>
        </w:rPr>
        <w:t>)</w:t>
      </w:r>
      <w:r w:rsidRPr="00A37112">
        <w:rPr>
          <w:lang w:val="zh-CN"/>
        </w:rPr>
        <w:t>，第二章，第</w:t>
      </w:r>
      <w:r w:rsidRPr="00A37112">
        <w:rPr>
          <w:lang w:val="zh-CN"/>
        </w:rPr>
        <w:t>21</w:t>
      </w:r>
      <w:r w:rsidRPr="00A37112">
        <w:rPr>
          <w:lang w:val="zh-CN"/>
        </w:rPr>
        <w:t>页，第二条第</w:t>
      </w:r>
      <w:r w:rsidRPr="00A37112">
        <w:rPr>
          <w:lang w:val="zh-CN"/>
        </w:rPr>
        <w:t>1</w:t>
      </w:r>
      <w:r w:rsidRPr="00A37112">
        <w:rPr>
          <w:lang w:val="zh-CN"/>
        </w:rPr>
        <w:t>款</w:t>
      </w:r>
      <w:r w:rsidRPr="00A37112">
        <w:rPr>
          <w:lang w:val="zh-CN"/>
        </w:rPr>
        <w:t>(j)</w:t>
      </w:r>
      <w:r w:rsidRPr="00A37112">
        <w:rPr>
          <w:lang w:val="zh-CN"/>
        </w:rPr>
        <w:t>项草案的评注，第</w:t>
      </w:r>
      <w:r w:rsidRPr="00A37112">
        <w:rPr>
          <w:lang w:val="zh-CN"/>
        </w:rPr>
        <w:t>(25)</w:t>
      </w:r>
      <w:r w:rsidRPr="00A37112">
        <w:rPr>
          <w:lang w:val="zh-CN"/>
        </w:rPr>
        <w:t>段；</w:t>
      </w:r>
      <w:r w:rsidRPr="005715FC">
        <w:rPr>
          <w:rFonts w:asciiTheme="majorBidi" w:hAnsiTheme="majorBidi" w:cstheme="majorBidi"/>
        </w:rPr>
        <w:t xml:space="preserve">Schermers and Blokker, </w:t>
      </w:r>
      <w:r w:rsidRPr="005715FC">
        <w:rPr>
          <w:rFonts w:asciiTheme="majorBidi" w:hAnsiTheme="majorBidi" w:cstheme="majorBidi"/>
          <w:i/>
        </w:rPr>
        <w:t>International Institutional Law</w:t>
      </w:r>
      <w:r w:rsidRPr="00A37112">
        <w:rPr>
          <w:lang w:val="zh-CN"/>
        </w:rPr>
        <w:t xml:space="preserve"> (</w:t>
      </w:r>
      <w:r w:rsidRPr="00A37112">
        <w:rPr>
          <w:lang w:val="zh-CN"/>
        </w:rPr>
        <w:t>见上文脚注</w:t>
      </w:r>
      <w:r>
        <w:rPr>
          <w:lang w:val="zh-CN"/>
        </w:rPr>
        <w:fldChar w:fldCharType="begin"/>
      </w:r>
      <w:r>
        <w:rPr>
          <w:lang w:val="zh-CN"/>
        </w:rPr>
        <w:instrText xml:space="preserve"> NOTEREF _Ref461977235 \h </w:instrText>
      </w:r>
      <w:r>
        <w:rPr>
          <w:lang w:val="zh-CN"/>
        </w:rPr>
      </w:r>
      <w:r>
        <w:rPr>
          <w:lang w:val="zh-CN"/>
        </w:rPr>
        <w:fldChar w:fldCharType="separate"/>
      </w:r>
      <w:r w:rsidR="00A73EB9">
        <w:rPr>
          <w:lang w:val="zh-CN"/>
        </w:rPr>
        <w:t>933</w:t>
      </w:r>
      <w:r>
        <w:rPr>
          <w:lang w:val="zh-CN"/>
        </w:rPr>
        <w:fldChar w:fldCharType="end"/>
      </w:r>
      <w:r w:rsidRPr="005715FC">
        <w:rPr>
          <w:rFonts w:asciiTheme="majorBidi" w:hAnsiTheme="majorBidi" w:cstheme="majorBidi"/>
        </w:rPr>
        <w:t xml:space="preserve">), at p. 766; but see C. Ahlborn, “The rules of international organizations and the law of international responsibility”, </w:t>
      </w:r>
      <w:r w:rsidRPr="005715FC">
        <w:rPr>
          <w:rFonts w:asciiTheme="majorBidi" w:hAnsiTheme="majorBidi" w:cstheme="majorBidi"/>
          <w:i/>
        </w:rPr>
        <w:t>International Organizations Law Review</w:t>
      </w:r>
      <w:r w:rsidRPr="005715FC">
        <w:rPr>
          <w:rFonts w:asciiTheme="majorBidi" w:hAnsiTheme="majorBidi" w:cstheme="majorBidi"/>
        </w:rPr>
        <w:t>, vol. 8 (2011), pp. 397-482, at pp. 424-428</w:t>
      </w:r>
      <w:r w:rsidRPr="00A37112">
        <w:rPr>
          <w:lang w:val="zh-CN"/>
        </w:rPr>
        <w:t>。</w:t>
      </w:r>
    </w:p>
  </w:footnote>
  <w:footnote w:id="976">
    <w:p w:rsidR="00AB00DE" w:rsidRPr="00A37112" w:rsidRDefault="00AB00DE" w:rsidP="00560424">
      <w:pPr>
        <w:pStyle w:val="a4"/>
      </w:pPr>
      <w:r w:rsidRPr="00A37112">
        <w:tab/>
      </w:r>
      <w:r w:rsidRPr="00902223">
        <w:rPr>
          <w:rStyle w:val="a5"/>
          <w:szCs w:val="21"/>
          <w:lang w:val="zh-CN"/>
        </w:rPr>
        <w:footnoteRef/>
      </w:r>
      <w:r w:rsidRPr="00A37112">
        <w:tab/>
      </w:r>
      <w:r w:rsidRPr="005715FC">
        <w:rPr>
          <w:rFonts w:asciiTheme="majorBidi" w:hAnsiTheme="majorBidi" w:cstheme="majorBidi"/>
        </w:rPr>
        <w:t>Blokker, “Beyond ‘Dili’ …”</w:t>
      </w:r>
      <w:r w:rsidRPr="00A37112">
        <w:t>(</w:t>
      </w:r>
      <w:r w:rsidRPr="00A37112">
        <w:rPr>
          <w:lang w:val="zh-CN"/>
        </w:rPr>
        <w:t>见上文脚注</w:t>
      </w:r>
      <w:r>
        <w:fldChar w:fldCharType="begin"/>
      </w:r>
      <w:r w:rsidRPr="00560424">
        <w:instrText xml:space="preserve"> NOTEREF _Ref461977393 \h </w:instrText>
      </w:r>
      <w:r>
        <w:fldChar w:fldCharType="separate"/>
      </w:r>
      <w:r w:rsidR="00A73EB9">
        <w:t>954</w:t>
      </w:r>
      <w:r>
        <w:fldChar w:fldCharType="end"/>
      </w:r>
      <w:r w:rsidRPr="00A37112">
        <w:t>)</w:t>
      </w:r>
      <w:r>
        <w:rPr>
          <w:rFonts w:hint="eastAsia"/>
        </w:rPr>
        <w:t xml:space="preserve">, </w:t>
      </w:r>
      <w:r w:rsidRPr="00A37112">
        <w:t>p. 312</w:t>
      </w:r>
      <w:r w:rsidRPr="00A37112">
        <w:rPr>
          <w:lang w:val="zh-CN"/>
        </w:rPr>
        <w:t>。</w:t>
      </w:r>
    </w:p>
  </w:footnote>
  <w:footnote w:id="977">
    <w:p w:rsidR="00AB00DE" w:rsidRPr="00A37112" w:rsidRDefault="00AB00DE" w:rsidP="00560424">
      <w:pPr>
        <w:pStyle w:val="a4"/>
      </w:pPr>
      <w:r w:rsidRPr="00A37112">
        <w:tab/>
      </w:r>
      <w:r w:rsidRPr="00902223">
        <w:rPr>
          <w:rStyle w:val="a5"/>
          <w:szCs w:val="21"/>
          <w:lang w:val="zh-CN"/>
        </w:rPr>
        <w:footnoteRef/>
      </w:r>
      <w:r w:rsidRPr="00A37112">
        <w:tab/>
      </w:r>
      <w:r w:rsidRPr="005715FC">
        <w:rPr>
          <w:rFonts w:asciiTheme="majorBidi" w:hAnsiTheme="majorBidi" w:cstheme="majorBidi"/>
        </w:rPr>
        <w:t>Lauterpacht, “The development of the law of international organization …”</w:t>
      </w:r>
      <w:r w:rsidRPr="00A37112">
        <w:t>(</w:t>
      </w:r>
      <w:r w:rsidRPr="00A37112">
        <w:t>上文脚注</w:t>
      </w:r>
      <w:r>
        <w:fldChar w:fldCharType="begin"/>
      </w:r>
      <w:r>
        <w:instrText xml:space="preserve"> NOTEREF _Ref461977405 \h </w:instrText>
      </w:r>
      <w:r>
        <w:fldChar w:fldCharType="separate"/>
      </w:r>
      <w:r w:rsidR="00A73EB9">
        <w:t>779</w:t>
      </w:r>
      <w:r>
        <w:fldChar w:fldCharType="end"/>
      </w:r>
      <w:r w:rsidRPr="00A37112">
        <w:t>)</w:t>
      </w:r>
      <w:r>
        <w:rPr>
          <w:rFonts w:hint="eastAsia"/>
        </w:rPr>
        <w:t xml:space="preserve">, </w:t>
      </w:r>
      <w:r w:rsidRPr="00A37112">
        <w:t>p. 464 (</w:t>
      </w:r>
      <w:r w:rsidRPr="00A37112">
        <w:rPr>
          <w:rFonts w:hint="eastAsia"/>
        </w:rPr>
        <w:t>“</w:t>
      </w:r>
      <w:r w:rsidRPr="00A37112">
        <w:t>全体成员</w:t>
      </w:r>
      <w:r w:rsidRPr="00A37112">
        <w:rPr>
          <w:lang w:val="zh-CN"/>
        </w:rPr>
        <w:t>普遍的同意</w:t>
      </w:r>
      <w:r w:rsidRPr="00A37112">
        <w:rPr>
          <w:rFonts w:hint="eastAsia"/>
        </w:rPr>
        <w:t>”</w:t>
      </w:r>
      <w:r w:rsidRPr="00A37112">
        <w:t>)</w:t>
      </w:r>
      <w:r w:rsidRPr="00A37112">
        <w:t>；</w:t>
      </w:r>
      <w:r w:rsidRPr="005715FC">
        <w:rPr>
          <w:rFonts w:asciiTheme="majorBidi" w:hAnsiTheme="majorBidi" w:cstheme="majorBidi"/>
        </w:rPr>
        <w:t>Higgins, “The Development of international law …”</w:t>
      </w:r>
      <w:r w:rsidRPr="00A37112">
        <w:t>(</w:t>
      </w:r>
      <w:r w:rsidRPr="00A37112">
        <w:rPr>
          <w:lang w:val="zh-CN"/>
        </w:rPr>
        <w:t>上文脚注</w:t>
      </w:r>
      <w:r w:rsidRPr="00A37112">
        <w:rPr>
          <w:rFonts w:hint="eastAsia"/>
        </w:rPr>
        <w:t>927</w:t>
      </w:r>
      <w:r w:rsidRPr="00A37112">
        <w:t>)</w:t>
      </w:r>
      <w:r w:rsidRPr="00A37112">
        <w:t>，</w:t>
      </w:r>
      <w:r w:rsidRPr="00A37112">
        <w:t>p. 121(</w:t>
      </w:r>
      <w:r w:rsidRPr="00A37112">
        <w:rPr>
          <w:rFonts w:hint="eastAsia"/>
        </w:rPr>
        <w:t>“</w:t>
      </w:r>
      <w:r w:rsidRPr="00A37112">
        <w:rPr>
          <w:lang w:val="zh-CN"/>
        </w:rPr>
        <w:t>此处</w:t>
      </w:r>
      <w:r w:rsidRPr="00A37112">
        <w:t>，</w:t>
      </w:r>
      <w:r w:rsidRPr="00A37112">
        <w:rPr>
          <w:lang w:val="zh-CN"/>
        </w:rPr>
        <w:t>长度和默认的程度可能需要比别处弱一些</w:t>
      </w:r>
      <w:r w:rsidRPr="00A37112">
        <w:t>，</w:t>
      </w:r>
      <w:r w:rsidRPr="00A37112">
        <w:rPr>
          <w:lang w:val="zh-CN"/>
        </w:rPr>
        <w:t>因为联合国机关无疑具有作出此类</w:t>
      </w:r>
      <w:r w:rsidRPr="00A37112">
        <w:t>[</w:t>
      </w:r>
      <w:r w:rsidRPr="00A37112">
        <w:rPr>
          <w:lang w:val="zh-CN"/>
        </w:rPr>
        <w:t>关于其自身管辖权和职权</w:t>
      </w:r>
      <w:r w:rsidRPr="00A37112">
        <w:t>]</w:t>
      </w:r>
      <w:r w:rsidRPr="00A37112">
        <w:rPr>
          <w:lang w:val="zh-CN"/>
        </w:rPr>
        <w:t>决定的最初权威</w:t>
      </w:r>
      <w:r w:rsidRPr="00A37112">
        <w:rPr>
          <w:rFonts w:hint="eastAsia"/>
        </w:rPr>
        <w:t>”</w:t>
      </w:r>
      <w:r w:rsidRPr="00A37112">
        <w:t>)</w:t>
      </w:r>
      <w:r w:rsidRPr="00A37112">
        <w:t>；</w:t>
      </w:r>
      <w:r w:rsidRPr="005715FC">
        <w:rPr>
          <w:rFonts w:asciiTheme="majorBidi" w:hAnsiTheme="majorBidi" w:cstheme="majorBidi"/>
        </w:rPr>
        <w:t>Peters, “Subsequent practice and established practice …”</w:t>
      </w:r>
      <w:r w:rsidRPr="00A37112">
        <w:t>(</w:t>
      </w:r>
      <w:r w:rsidRPr="00A37112">
        <w:t>上文脚注</w:t>
      </w:r>
      <w:r>
        <w:fldChar w:fldCharType="begin"/>
      </w:r>
      <w:r>
        <w:instrText xml:space="preserve"> NOTEREF _Ref461977369 \h </w:instrText>
      </w:r>
      <w:r>
        <w:fldChar w:fldCharType="separate"/>
      </w:r>
      <w:r w:rsidR="00A73EB9">
        <w:t>971</w:t>
      </w:r>
      <w:r>
        <w:fldChar w:fldCharType="end"/>
      </w:r>
      <w:r w:rsidRPr="00A37112">
        <w:t>)</w:t>
      </w:r>
      <w:r w:rsidRPr="00A37112">
        <w:t>，</w:t>
      </w:r>
      <w:r w:rsidRPr="00A37112">
        <w:t>pp. 633-641</w:t>
      </w:r>
      <w:r w:rsidRPr="00A37112">
        <w:t>。</w:t>
      </w:r>
    </w:p>
  </w:footnote>
  <w:footnote w:id="978">
    <w:p w:rsidR="00AB00DE" w:rsidRPr="00A37112" w:rsidRDefault="00AB00DE" w:rsidP="003E31C7">
      <w:pPr>
        <w:pStyle w:val="a4"/>
      </w:pPr>
      <w:r w:rsidRPr="00A37112">
        <w:rPr>
          <w:rFonts w:hint="eastAsia"/>
        </w:rPr>
        <w:tab/>
      </w:r>
      <w:r w:rsidRPr="00902223">
        <w:rPr>
          <w:rStyle w:val="a5"/>
          <w:szCs w:val="21"/>
        </w:rPr>
        <w:footnoteRef/>
      </w:r>
      <w:r>
        <w:rPr>
          <w:rFonts w:hint="eastAsia"/>
        </w:rPr>
        <w:tab/>
      </w:r>
      <w:r w:rsidRPr="00A37112">
        <w:rPr>
          <w:rFonts w:hint="eastAsia"/>
          <w:snapToGrid/>
          <w:color w:val="000000"/>
          <w:w w:val="104"/>
          <w:lang w:val="en-GB"/>
        </w:rPr>
        <w:t>见</w:t>
      </w:r>
      <w:r w:rsidRPr="005715FC">
        <w:rPr>
          <w:w w:val="104"/>
        </w:rPr>
        <w:t xml:space="preserve">Nigel Rodley, “The role and impact of treaty bodies”, in </w:t>
      </w:r>
      <w:r w:rsidRPr="005715FC">
        <w:rPr>
          <w:i/>
          <w:w w:val="104"/>
        </w:rPr>
        <w:t>The Oxford Handbook of International Human Rights Law</w:t>
      </w:r>
      <w:r w:rsidRPr="005715FC">
        <w:rPr>
          <w:iCs/>
          <w:w w:val="104"/>
        </w:rPr>
        <w:t>,</w:t>
      </w:r>
      <w:r w:rsidRPr="005715FC">
        <w:rPr>
          <w:w w:val="104"/>
        </w:rPr>
        <w:t xml:space="preserve"> D. Shelton, ed. (Oxford, Oxford University Press, 2013), pp. 621-641, at pp. 622-623</w:t>
      </w:r>
      <w:r w:rsidRPr="00A37112">
        <w:rPr>
          <w:rFonts w:hint="eastAsia"/>
          <w:snapToGrid/>
          <w:color w:val="000000"/>
          <w:w w:val="104"/>
          <w:lang w:val="en-GB"/>
        </w:rPr>
        <w:t>。</w:t>
      </w:r>
    </w:p>
  </w:footnote>
  <w:footnote w:id="979">
    <w:p w:rsidR="00AB00DE" w:rsidRPr="00A37112" w:rsidRDefault="00AB00DE" w:rsidP="003E31C7">
      <w:pPr>
        <w:pStyle w:val="a4"/>
        <w:rPr>
          <w:color w:val="000000"/>
        </w:rPr>
      </w:pPr>
      <w:r w:rsidRPr="00A37112">
        <w:rPr>
          <w:color w:val="000000"/>
          <w:w w:val="104"/>
        </w:rPr>
        <w:tab/>
      </w:r>
      <w:r w:rsidRPr="00902223">
        <w:rPr>
          <w:rStyle w:val="a5"/>
          <w:w w:val="104"/>
          <w:szCs w:val="21"/>
        </w:rPr>
        <w:footnoteRef/>
      </w:r>
      <w:r w:rsidRPr="00A37112">
        <w:rPr>
          <w:color w:val="000000"/>
          <w:w w:val="104"/>
        </w:rPr>
        <w:tab/>
      </w:r>
      <w:hyperlink r:id="rId108" w:history="1">
        <w:r w:rsidRPr="00A37112">
          <w:rPr>
            <w:color w:val="000000"/>
            <w:lang w:val="en-GB"/>
          </w:rPr>
          <w:t>《消除一切形式种族歧视国际公约》</w:t>
        </w:r>
        <w:r w:rsidRPr="00A37112">
          <w:rPr>
            <w:rFonts w:hint="eastAsia"/>
            <w:color w:val="000000"/>
            <w:lang w:val="en-GB"/>
          </w:rPr>
          <w:t>第八至第十四条</w:t>
        </w:r>
        <w:r w:rsidRPr="00A37112">
          <w:rPr>
            <w:rFonts w:hint="eastAsia"/>
            <w:color w:val="000000"/>
            <w:lang w:val="en-GB"/>
          </w:rPr>
          <w:t>(</w:t>
        </w:r>
        <w:r w:rsidRPr="00A37112">
          <w:rPr>
            <w:color w:val="000000"/>
            <w:lang w:val="en-GB"/>
          </w:rPr>
          <w:t>1966</w:t>
        </w:r>
        <w:r w:rsidRPr="00A37112">
          <w:rPr>
            <w:color w:val="000000"/>
            <w:lang w:val="en-GB"/>
          </w:rPr>
          <w:t>年</w:t>
        </w:r>
        <w:r w:rsidRPr="00A37112">
          <w:rPr>
            <w:color w:val="000000"/>
            <w:lang w:val="en-GB"/>
          </w:rPr>
          <w:t>3</w:t>
        </w:r>
        <w:r w:rsidRPr="00A37112">
          <w:rPr>
            <w:color w:val="000000"/>
            <w:lang w:val="en-GB"/>
          </w:rPr>
          <w:t>月</w:t>
        </w:r>
        <w:r w:rsidRPr="00A37112">
          <w:rPr>
            <w:color w:val="000000"/>
            <w:lang w:val="en-GB"/>
          </w:rPr>
          <w:t>7</w:t>
        </w:r>
        <w:r w:rsidRPr="00A37112">
          <w:rPr>
            <w:color w:val="000000"/>
            <w:lang w:val="en-GB"/>
          </w:rPr>
          <w:t>日</w:t>
        </w:r>
        <w:r w:rsidRPr="00A37112">
          <w:rPr>
            <w:rFonts w:hint="eastAsia"/>
            <w:color w:val="000000"/>
            <w:lang w:val="en-GB"/>
          </w:rPr>
          <w:t>，纽约</w:t>
        </w:r>
        <w:r w:rsidRPr="00A37112">
          <w:rPr>
            <w:color w:val="000000"/>
            <w:lang w:val="en-GB"/>
          </w:rPr>
          <w:t>)</w:t>
        </w:r>
        <w:r w:rsidRPr="00A37112">
          <w:rPr>
            <w:color w:val="000000"/>
            <w:lang w:val="en-GB"/>
          </w:rPr>
          <w:t>，联合国，《条约汇编》，第</w:t>
        </w:r>
        <w:r w:rsidRPr="00A37112">
          <w:rPr>
            <w:color w:val="000000"/>
            <w:lang w:val="en-GB"/>
          </w:rPr>
          <w:t>660</w:t>
        </w:r>
        <w:r w:rsidRPr="00A37112">
          <w:rPr>
            <w:color w:val="000000"/>
            <w:lang w:val="en-GB"/>
          </w:rPr>
          <w:t>卷，第</w:t>
        </w:r>
        <w:r w:rsidRPr="00A37112">
          <w:rPr>
            <w:color w:val="000000"/>
            <w:lang w:val="en-GB"/>
          </w:rPr>
          <w:t>9464</w:t>
        </w:r>
        <w:r w:rsidRPr="00A37112">
          <w:rPr>
            <w:color w:val="000000"/>
            <w:lang w:val="en-GB"/>
          </w:rPr>
          <w:t>号，第</w:t>
        </w:r>
        <w:r w:rsidRPr="00A37112">
          <w:rPr>
            <w:color w:val="000000"/>
            <w:lang w:val="en-GB"/>
          </w:rPr>
          <w:t>195</w:t>
        </w:r>
        <w:r w:rsidRPr="00A37112">
          <w:rPr>
            <w:color w:val="000000"/>
            <w:lang w:val="en-GB"/>
          </w:rPr>
          <w:t>页</w:t>
        </w:r>
      </w:hyperlink>
      <w:r w:rsidRPr="00A37112">
        <w:rPr>
          <w:rFonts w:hint="eastAsia"/>
          <w:color w:val="000000"/>
          <w:lang w:val="en-GB"/>
        </w:rPr>
        <w:t>。</w:t>
      </w:r>
    </w:p>
  </w:footnote>
  <w:footnote w:id="980">
    <w:p w:rsidR="00AB00DE" w:rsidRPr="00A37112" w:rsidRDefault="00AB00DE" w:rsidP="003E31C7">
      <w:pPr>
        <w:pStyle w:val="a4"/>
        <w:rPr>
          <w:color w:val="000000"/>
          <w:w w:val="104"/>
        </w:rPr>
      </w:pPr>
      <w:r w:rsidRPr="00A37112">
        <w:rPr>
          <w:color w:val="000000"/>
          <w:w w:val="104"/>
        </w:rPr>
        <w:tab/>
      </w:r>
      <w:r w:rsidRPr="00902223">
        <w:rPr>
          <w:rStyle w:val="a5"/>
          <w:w w:val="104"/>
          <w:szCs w:val="21"/>
        </w:rPr>
        <w:footnoteRef/>
      </w:r>
      <w:r w:rsidRPr="00A37112">
        <w:rPr>
          <w:rFonts w:hint="eastAsia"/>
          <w:color w:val="000000"/>
          <w:w w:val="104"/>
        </w:rPr>
        <w:tab/>
      </w:r>
      <w:hyperlink r:id="rId109" w:history="1">
        <w:r w:rsidRPr="00A37112">
          <w:rPr>
            <w:color w:val="000000"/>
            <w:lang w:val="en-GB"/>
          </w:rPr>
          <w:t>《公民权利和政治权利国际公约》</w:t>
        </w:r>
      </w:hyperlink>
      <w:r w:rsidRPr="00A37112">
        <w:rPr>
          <w:rFonts w:hint="eastAsia"/>
          <w:color w:val="000000"/>
          <w:lang w:val="en-GB"/>
        </w:rPr>
        <w:t>第二十八至第四十五条</w:t>
      </w:r>
      <w:r w:rsidRPr="00A37112">
        <w:rPr>
          <w:color w:val="000000"/>
          <w:lang w:val="en-GB"/>
        </w:rPr>
        <w:t>(</w:t>
      </w:r>
      <w:r w:rsidRPr="00A37112">
        <w:rPr>
          <w:rFonts w:hint="eastAsia"/>
          <w:color w:val="000000"/>
          <w:lang w:val="en-GB"/>
        </w:rPr>
        <w:t>1966</w:t>
      </w:r>
      <w:r w:rsidRPr="00A37112">
        <w:rPr>
          <w:rFonts w:hint="eastAsia"/>
          <w:color w:val="000000"/>
          <w:lang w:val="en-GB"/>
        </w:rPr>
        <w:t>年</w:t>
      </w:r>
      <w:r w:rsidRPr="00A37112">
        <w:rPr>
          <w:rFonts w:hint="eastAsia"/>
          <w:color w:val="000000"/>
          <w:lang w:val="en-GB"/>
        </w:rPr>
        <w:t>12</w:t>
      </w:r>
      <w:r w:rsidRPr="00A37112">
        <w:rPr>
          <w:rFonts w:hint="eastAsia"/>
          <w:color w:val="000000"/>
          <w:lang w:val="en-GB"/>
        </w:rPr>
        <w:t>月</w:t>
      </w:r>
      <w:r w:rsidRPr="00A37112">
        <w:rPr>
          <w:rFonts w:hint="eastAsia"/>
          <w:color w:val="000000"/>
          <w:lang w:val="en-GB"/>
        </w:rPr>
        <w:t>19</w:t>
      </w:r>
      <w:r w:rsidRPr="00A37112">
        <w:rPr>
          <w:rFonts w:hint="eastAsia"/>
          <w:color w:val="000000"/>
          <w:lang w:val="en-GB"/>
        </w:rPr>
        <w:t>日，纽约</w:t>
      </w:r>
      <w:r w:rsidRPr="00A37112">
        <w:rPr>
          <w:color w:val="000000"/>
          <w:lang w:val="en-GB"/>
        </w:rPr>
        <w:t>)</w:t>
      </w:r>
      <w:r w:rsidRPr="00A37112">
        <w:rPr>
          <w:rFonts w:hint="eastAsia"/>
          <w:color w:val="000000"/>
          <w:lang w:val="en-GB"/>
        </w:rPr>
        <w:t>，同上，</w:t>
      </w:r>
      <w:r w:rsidRPr="00A37112">
        <w:rPr>
          <w:color w:val="000000"/>
          <w:lang w:val="en-GB"/>
        </w:rPr>
        <w:t>第</w:t>
      </w:r>
      <w:r w:rsidRPr="00A37112">
        <w:rPr>
          <w:color w:val="000000"/>
          <w:lang w:val="en-GB"/>
        </w:rPr>
        <w:t>999</w:t>
      </w:r>
      <w:r w:rsidRPr="00A37112">
        <w:rPr>
          <w:color w:val="000000"/>
          <w:lang w:val="en-GB"/>
        </w:rPr>
        <w:t>卷，第</w:t>
      </w:r>
      <w:r w:rsidRPr="00A37112">
        <w:rPr>
          <w:color w:val="000000"/>
          <w:lang w:val="en-GB"/>
        </w:rPr>
        <w:t>14668</w:t>
      </w:r>
      <w:r w:rsidRPr="00A37112">
        <w:rPr>
          <w:color w:val="000000"/>
          <w:lang w:val="en-GB"/>
        </w:rPr>
        <w:t>号，第</w:t>
      </w:r>
      <w:r w:rsidRPr="00A37112">
        <w:rPr>
          <w:color w:val="000000"/>
          <w:lang w:val="en-GB"/>
        </w:rPr>
        <w:t>171</w:t>
      </w:r>
      <w:r w:rsidRPr="00A37112">
        <w:rPr>
          <w:color w:val="000000"/>
          <w:lang w:val="en-GB"/>
        </w:rPr>
        <w:t>页</w:t>
      </w:r>
      <w:r w:rsidRPr="00A37112">
        <w:rPr>
          <w:rFonts w:hint="eastAsia"/>
          <w:color w:val="000000"/>
          <w:lang w:val="en-GB"/>
        </w:rPr>
        <w:t>。</w:t>
      </w:r>
    </w:p>
  </w:footnote>
  <w:footnote w:id="981">
    <w:p w:rsidR="00AB00DE" w:rsidRPr="00A37112" w:rsidRDefault="00AB00DE" w:rsidP="00BA6448">
      <w:pPr>
        <w:pStyle w:val="a4"/>
        <w:rPr>
          <w:color w:val="000000"/>
          <w:lang w:val="en-GB"/>
        </w:rPr>
      </w:pPr>
      <w:r w:rsidRPr="00A37112">
        <w:rPr>
          <w:color w:val="000000"/>
          <w:w w:val="104"/>
        </w:rPr>
        <w:tab/>
      </w:r>
      <w:r w:rsidRPr="00902223">
        <w:rPr>
          <w:rStyle w:val="a5"/>
          <w:w w:val="104"/>
          <w:szCs w:val="21"/>
        </w:rPr>
        <w:footnoteRef/>
      </w:r>
      <w:r w:rsidRPr="00A37112">
        <w:rPr>
          <w:color w:val="000000"/>
          <w:w w:val="104"/>
        </w:rPr>
        <w:tab/>
      </w:r>
      <w:hyperlink r:id="rId110" w:history="1">
        <w:r w:rsidRPr="00A37112">
          <w:rPr>
            <w:color w:val="000000"/>
            <w:lang w:val="en-GB"/>
          </w:rPr>
          <w:t>《消除对妇女一切形式歧视公约》</w:t>
        </w:r>
        <w:r w:rsidRPr="00A37112">
          <w:rPr>
            <w:rFonts w:hint="eastAsia"/>
            <w:color w:val="000000"/>
            <w:lang w:val="en-GB"/>
          </w:rPr>
          <w:t>第十七至第二十二条</w:t>
        </w:r>
        <w:r w:rsidRPr="00A37112">
          <w:rPr>
            <w:color w:val="000000"/>
            <w:lang w:val="en-GB"/>
          </w:rPr>
          <w:t>(1979</w:t>
        </w:r>
        <w:r w:rsidRPr="00A37112">
          <w:rPr>
            <w:rFonts w:hint="eastAsia"/>
            <w:color w:val="000000"/>
            <w:lang w:val="en-GB"/>
          </w:rPr>
          <w:t>年</w:t>
        </w:r>
        <w:r w:rsidRPr="00A37112">
          <w:rPr>
            <w:rFonts w:hint="eastAsia"/>
            <w:color w:val="000000"/>
            <w:lang w:val="en-GB"/>
          </w:rPr>
          <w:t>12</w:t>
        </w:r>
        <w:r w:rsidRPr="00A37112">
          <w:rPr>
            <w:rFonts w:hint="eastAsia"/>
            <w:color w:val="000000"/>
            <w:lang w:val="en-GB"/>
          </w:rPr>
          <w:t>月</w:t>
        </w:r>
        <w:r w:rsidRPr="00A37112">
          <w:rPr>
            <w:rFonts w:hint="eastAsia"/>
            <w:color w:val="000000"/>
            <w:lang w:val="en-GB"/>
          </w:rPr>
          <w:t>18</w:t>
        </w:r>
        <w:r w:rsidRPr="00A37112">
          <w:rPr>
            <w:rFonts w:hint="eastAsia"/>
            <w:color w:val="000000"/>
            <w:lang w:val="en-GB"/>
          </w:rPr>
          <w:t>日，纽约</w:t>
        </w:r>
        <w:r w:rsidRPr="00A37112">
          <w:rPr>
            <w:color w:val="000000"/>
            <w:lang w:val="en-GB"/>
          </w:rPr>
          <w:t>)</w:t>
        </w:r>
        <w:r w:rsidRPr="00A37112">
          <w:rPr>
            <w:rFonts w:hint="eastAsia"/>
            <w:color w:val="000000"/>
            <w:lang w:val="en-GB"/>
          </w:rPr>
          <w:t>，同上，</w:t>
        </w:r>
        <w:r w:rsidRPr="00A37112">
          <w:rPr>
            <w:color w:val="000000"/>
            <w:lang w:val="en-GB"/>
          </w:rPr>
          <w:t>第</w:t>
        </w:r>
        <w:r w:rsidRPr="00A37112">
          <w:rPr>
            <w:color w:val="000000"/>
            <w:lang w:val="en-GB"/>
          </w:rPr>
          <w:t>1249</w:t>
        </w:r>
        <w:r w:rsidRPr="00A37112">
          <w:rPr>
            <w:color w:val="000000"/>
            <w:lang w:val="en-GB"/>
          </w:rPr>
          <w:t>卷，第</w:t>
        </w:r>
        <w:r w:rsidRPr="00A37112">
          <w:rPr>
            <w:color w:val="000000"/>
            <w:lang w:val="en-GB"/>
          </w:rPr>
          <w:t>20378</w:t>
        </w:r>
        <w:r w:rsidRPr="00A37112">
          <w:rPr>
            <w:color w:val="000000"/>
            <w:lang w:val="en-GB"/>
          </w:rPr>
          <w:t>号，第</w:t>
        </w:r>
        <w:r w:rsidRPr="00A37112">
          <w:rPr>
            <w:color w:val="000000"/>
            <w:lang w:val="en-GB"/>
          </w:rPr>
          <w:t>13</w:t>
        </w:r>
        <w:r w:rsidRPr="00A37112">
          <w:rPr>
            <w:color w:val="000000"/>
            <w:lang w:val="en-GB"/>
          </w:rPr>
          <w:t>页</w:t>
        </w:r>
      </w:hyperlink>
      <w:r w:rsidRPr="00A37112">
        <w:rPr>
          <w:rFonts w:hint="eastAsia"/>
          <w:color w:val="000000"/>
          <w:lang w:val="en-GB"/>
        </w:rPr>
        <w:t>。</w:t>
      </w:r>
    </w:p>
  </w:footnote>
  <w:footnote w:id="982">
    <w:p w:rsidR="00AB00DE" w:rsidRPr="00A37112" w:rsidRDefault="00AB00DE" w:rsidP="00BA6448">
      <w:pPr>
        <w:pStyle w:val="a4"/>
        <w:rPr>
          <w:w w:val="104"/>
        </w:rPr>
      </w:pPr>
      <w:r w:rsidRPr="00A37112">
        <w:rPr>
          <w:w w:val="104"/>
        </w:rPr>
        <w:tab/>
      </w:r>
      <w:r w:rsidRPr="00902223">
        <w:rPr>
          <w:rStyle w:val="a5"/>
          <w:w w:val="104"/>
          <w:szCs w:val="21"/>
        </w:rPr>
        <w:footnoteRef/>
      </w:r>
      <w:r w:rsidRPr="00A37112">
        <w:rPr>
          <w:w w:val="104"/>
        </w:rPr>
        <w:t xml:space="preserve"> </w:t>
      </w:r>
      <w:r w:rsidRPr="00A37112">
        <w:rPr>
          <w:w w:val="104"/>
        </w:rPr>
        <w:tab/>
      </w:r>
      <w:hyperlink r:id="rId111" w:history="1">
        <w:r w:rsidRPr="00A37112">
          <w:rPr>
            <w:color w:val="000000"/>
            <w:lang w:val="en-GB"/>
          </w:rPr>
          <w:t>《</w:t>
        </w:r>
        <w:r w:rsidRPr="00A37112">
          <w:rPr>
            <w:rFonts w:hint="eastAsia"/>
            <w:color w:val="000000"/>
            <w:lang w:val="en-GB"/>
          </w:rPr>
          <w:t>残疾人权利</w:t>
        </w:r>
        <w:r w:rsidRPr="00A37112">
          <w:rPr>
            <w:color w:val="000000"/>
            <w:lang w:val="en-GB"/>
          </w:rPr>
          <w:t>公约》</w:t>
        </w:r>
        <w:r w:rsidRPr="00A37112">
          <w:rPr>
            <w:rFonts w:hint="eastAsia"/>
            <w:color w:val="000000"/>
            <w:lang w:val="en-GB"/>
          </w:rPr>
          <w:t>第三十四至第三十九条</w:t>
        </w:r>
        <w:r w:rsidRPr="00A37112">
          <w:rPr>
            <w:rFonts w:hint="eastAsia"/>
            <w:color w:val="000000"/>
            <w:lang w:val="en-GB"/>
          </w:rPr>
          <w:t>(200</w:t>
        </w:r>
        <w:r w:rsidRPr="00A37112">
          <w:rPr>
            <w:color w:val="000000"/>
            <w:lang w:val="en-GB"/>
          </w:rPr>
          <w:t>6</w:t>
        </w:r>
        <w:r w:rsidRPr="00A37112">
          <w:rPr>
            <w:color w:val="000000"/>
            <w:lang w:val="en-GB"/>
          </w:rPr>
          <w:t>年</w:t>
        </w:r>
        <w:r w:rsidRPr="00A37112">
          <w:rPr>
            <w:rFonts w:hint="eastAsia"/>
            <w:color w:val="000000"/>
            <w:lang w:val="en-GB"/>
          </w:rPr>
          <w:t>12</w:t>
        </w:r>
        <w:r w:rsidRPr="00A37112">
          <w:rPr>
            <w:color w:val="000000"/>
            <w:lang w:val="en-GB"/>
          </w:rPr>
          <w:t>月</w:t>
        </w:r>
        <w:r w:rsidRPr="00A37112">
          <w:rPr>
            <w:rFonts w:hint="eastAsia"/>
            <w:color w:val="000000"/>
            <w:lang w:val="en-GB"/>
          </w:rPr>
          <w:t>13</w:t>
        </w:r>
        <w:r w:rsidRPr="00A37112">
          <w:rPr>
            <w:color w:val="000000"/>
            <w:lang w:val="en-GB"/>
          </w:rPr>
          <w:t>日</w:t>
        </w:r>
        <w:r w:rsidRPr="00A37112">
          <w:rPr>
            <w:rFonts w:hint="eastAsia"/>
            <w:color w:val="000000"/>
            <w:lang w:val="en-GB"/>
          </w:rPr>
          <w:t>，纽约</w:t>
        </w:r>
        <w:r w:rsidRPr="00A37112">
          <w:rPr>
            <w:color w:val="000000"/>
            <w:lang w:val="en-GB"/>
          </w:rPr>
          <w:t>)</w:t>
        </w:r>
        <w:r w:rsidRPr="00A37112">
          <w:rPr>
            <w:color w:val="000000"/>
            <w:lang w:val="en-GB"/>
          </w:rPr>
          <w:t>，</w:t>
        </w:r>
      </w:hyperlink>
      <w:r w:rsidRPr="00A37112">
        <w:rPr>
          <w:rFonts w:hint="eastAsia"/>
          <w:color w:val="000000"/>
          <w:lang w:val="en-GB"/>
        </w:rPr>
        <w:t>同上，第</w:t>
      </w:r>
      <w:r w:rsidRPr="00A37112">
        <w:rPr>
          <w:w w:val="104"/>
        </w:rPr>
        <w:t>2515</w:t>
      </w:r>
      <w:r w:rsidRPr="00A37112">
        <w:rPr>
          <w:rFonts w:hint="eastAsia"/>
          <w:w w:val="104"/>
        </w:rPr>
        <w:t>卷，第</w:t>
      </w:r>
      <w:r w:rsidRPr="00A37112">
        <w:rPr>
          <w:w w:val="104"/>
        </w:rPr>
        <w:t>44910</w:t>
      </w:r>
      <w:r w:rsidRPr="00A37112">
        <w:rPr>
          <w:rFonts w:hint="eastAsia"/>
          <w:w w:val="104"/>
        </w:rPr>
        <w:t>号，第</w:t>
      </w:r>
      <w:r w:rsidRPr="00A37112">
        <w:rPr>
          <w:w w:val="104"/>
        </w:rPr>
        <w:t>3</w:t>
      </w:r>
      <w:r w:rsidRPr="00A37112">
        <w:rPr>
          <w:rFonts w:hint="eastAsia"/>
          <w:w w:val="104"/>
        </w:rPr>
        <w:t>页。</w:t>
      </w:r>
    </w:p>
  </w:footnote>
  <w:footnote w:id="983">
    <w:p w:rsidR="00AB00DE" w:rsidRPr="00A37112" w:rsidRDefault="00AB00DE" w:rsidP="003E31C7">
      <w:pPr>
        <w:pStyle w:val="a4"/>
      </w:pPr>
      <w:r w:rsidRPr="00A37112">
        <w:tab/>
      </w:r>
      <w:r w:rsidRPr="00902223">
        <w:rPr>
          <w:rStyle w:val="a5"/>
          <w:szCs w:val="21"/>
        </w:rPr>
        <w:footnoteRef/>
      </w:r>
      <w:r>
        <w:rPr>
          <w:rFonts w:hint="eastAsia"/>
        </w:rPr>
        <w:tab/>
      </w:r>
      <w:hyperlink r:id="rId112" w:history="1">
        <w:r w:rsidRPr="00A37112">
          <w:rPr>
            <w:color w:val="000000"/>
            <w:lang w:val="en-GB"/>
          </w:rPr>
          <w:t>《</w:t>
        </w:r>
        <w:r w:rsidRPr="00A37112">
          <w:rPr>
            <w:rFonts w:hint="eastAsia"/>
            <w:color w:val="000000"/>
            <w:lang w:val="en-GB"/>
          </w:rPr>
          <w:t>儿童权利</w:t>
        </w:r>
        <w:r w:rsidRPr="00A37112">
          <w:rPr>
            <w:color w:val="000000"/>
            <w:lang w:val="en-GB"/>
          </w:rPr>
          <w:t>公约》</w:t>
        </w:r>
        <w:r w:rsidRPr="00A37112">
          <w:rPr>
            <w:rFonts w:hint="eastAsia"/>
            <w:color w:val="000000"/>
            <w:lang w:val="en-GB"/>
          </w:rPr>
          <w:t>第</w:t>
        </w:r>
        <w:r w:rsidRPr="00A37112">
          <w:rPr>
            <w:rFonts w:hint="eastAsia"/>
            <w:color w:val="000000"/>
            <w:lang w:val="en-GB"/>
          </w:rPr>
          <w:t>43</w:t>
        </w:r>
        <w:r w:rsidRPr="00A37112">
          <w:rPr>
            <w:rFonts w:hint="eastAsia"/>
            <w:color w:val="000000"/>
            <w:lang w:val="en-GB"/>
          </w:rPr>
          <w:t>至第</w:t>
        </w:r>
        <w:r w:rsidRPr="00A37112">
          <w:rPr>
            <w:rFonts w:hint="eastAsia"/>
            <w:color w:val="000000"/>
            <w:lang w:val="en-GB"/>
          </w:rPr>
          <w:t>45</w:t>
        </w:r>
        <w:r w:rsidRPr="00A37112">
          <w:rPr>
            <w:rFonts w:hint="eastAsia"/>
            <w:color w:val="000000"/>
            <w:lang w:val="en-GB"/>
          </w:rPr>
          <w:t>条</w:t>
        </w:r>
        <w:r w:rsidRPr="00A37112">
          <w:rPr>
            <w:rFonts w:hint="eastAsia"/>
            <w:color w:val="000000"/>
            <w:lang w:val="en-GB"/>
          </w:rPr>
          <w:t>(1989</w:t>
        </w:r>
        <w:r w:rsidRPr="00A37112">
          <w:rPr>
            <w:color w:val="000000"/>
            <w:lang w:val="en-GB"/>
          </w:rPr>
          <w:t>年</w:t>
        </w:r>
        <w:r w:rsidRPr="00A37112">
          <w:rPr>
            <w:rFonts w:hint="eastAsia"/>
            <w:color w:val="000000"/>
            <w:lang w:val="en-GB"/>
          </w:rPr>
          <w:t>11</w:t>
        </w:r>
        <w:r w:rsidRPr="00A37112">
          <w:rPr>
            <w:color w:val="000000"/>
            <w:lang w:val="en-GB"/>
          </w:rPr>
          <w:t>月</w:t>
        </w:r>
        <w:r w:rsidRPr="00A37112">
          <w:rPr>
            <w:rFonts w:hint="eastAsia"/>
            <w:color w:val="000000"/>
            <w:lang w:val="en-GB"/>
          </w:rPr>
          <w:t>20</w:t>
        </w:r>
        <w:r w:rsidRPr="00A37112">
          <w:rPr>
            <w:color w:val="000000"/>
            <w:lang w:val="en-GB"/>
          </w:rPr>
          <w:t>日</w:t>
        </w:r>
        <w:r w:rsidRPr="00A37112">
          <w:rPr>
            <w:rFonts w:hint="eastAsia"/>
            <w:color w:val="000000"/>
            <w:lang w:val="en-GB"/>
          </w:rPr>
          <w:t>，纽约</w:t>
        </w:r>
        <w:r w:rsidRPr="00A37112">
          <w:rPr>
            <w:color w:val="000000"/>
            <w:lang w:val="en-GB"/>
          </w:rPr>
          <w:t>)</w:t>
        </w:r>
        <w:r w:rsidRPr="00A37112">
          <w:rPr>
            <w:color w:val="000000"/>
            <w:lang w:val="en-GB"/>
          </w:rPr>
          <w:t>，</w:t>
        </w:r>
      </w:hyperlink>
      <w:r w:rsidRPr="00A37112">
        <w:rPr>
          <w:rFonts w:hint="eastAsia"/>
          <w:color w:val="000000"/>
          <w:lang w:val="en-GB"/>
        </w:rPr>
        <w:t>同上，第</w:t>
      </w:r>
      <w:r w:rsidRPr="00A37112">
        <w:rPr>
          <w:rFonts w:hint="eastAsia"/>
          <w:color w:val="000000"/>
          <w:lang w:val="en-GB"/>
        </w:rPr>
        <w:t>1577</w:t>
      </w:r>
      <w:r w:rsidRPr="00A37112">
        <w:rPr>
          <w:rFonts w:hint="eastAsia"/>
          <w:w w:val="104"/>
        </w:rPr>
        <w:t>卷，第</w:t>
      </w:r>
      <w:r w:rsidRPr="00A37112">
        <w:rPr>
          <w:rFonts w:hint="eastAsia"/>
          <w:w w:val="104"/>
        </w:rPr>
        <w:t>27531</w:t>
      </w:r>
      <w:r w:rsidRPr="00A37112">
        <w:rPr>
          <w:rFonts w:hint="eastAsia"/>
          <w:w w:val="104"/>
        </w:rPr>
        <w:t>号，第</w:t>
      </w:r>
      <w:r w:rsidRPr="00A37112">
        <w:rPr>
          <w:w w:val="104"/>
        </w:rPr>
        <w:t>3</w:t>
      </w:r>
      <w:r w:rsidRPr="00A37112">
        <w:rPr>
          <w:rFonts w:hint="eastAsia"/>
          <w:w w:val="104"/>
        </w:rPr>
        <w:t>页。</w:t>
      </w:r>
    </w:p>
  </w:footnote>
  <w:footnote w:id="984">
    <w:p w:rsidR="00AB00DE" w:rsidRPr="00A37112" w:rsidRDefault="00AB00DE" w:rsidP="00BA6448">
      <w:pPr>
        <w:pStyle w:val="a4"/>
        <w:rPr>
          <w:color w:val="000000"/>
        </w:rPr>
      </w:pPr>
      <w:r w:rsidRPr="00A37112">
        <w:rPr>
          <w:color w:val="000000"/>
          <w:w w:val="104"/>
        </w:rPr>
        <w:tab/>
      </w:r>
      <w:r w:rsidRPr="00902223">
        <w:rPr>
          <w:rStyle w:val="a5"/>
          <w:w w:val="104"/>
          <w:szCs w:val="21"/>
        </w:rPr>
        <w:footnoteRef/>
      </w:r>
      <w:r w:rsidRPr="00A37112">
        <w:rPr>
          <w:color w:val="000000"/>
          <w:w w:val="104"/>
        </w:rPr>
        <w:tab/>
      </w:r>
      <w:hyperlink r:id="rId113" w:history="1">
        <w:r w:rsidRPr="00A37112">
          <w:rPr>
            <w:color w:val="000000"/>
            <w:lang w:val="en-GB"/>
          </w:rPr>
          <w:t>《禁止酷刑和其他残忍、不人道或有辱人格的待遇或处罚公约》</w:t>
        </w:r>
        <w:r w:rsidRPr="00A37112">
          <w:rPr>
            <w:rFonts w:hint="eastAsia"/>
            <w:color w:val="000000"/>
            <w:lang w:val="en-GB"/>
          </w:rPr>
          <w:t>第</w:t>
        </w:r>
        <w:r w:rsidRPr="00A37112">
          <w:rPr>
            <w:rFonts w:hint="eastAsia"/>
            <w:color w:val="000000"/>
            <w:lang w:val="en-GB"/>
          </w:rPr>
          <w:t>17</w:t>
        </w:r>
        <w:r w:rsidRPr="00A37112">
          <w:rPr>
            <w:rFonts w:hint="eastAsia"/>
            <w:color w:val="000000"/>
            <w:lang w:val="en-GB"/>
          </w:rPr>
          <w:t>至第</w:t>
        </w:r>
        <w:r w:rsidRPr="00A37112">
          <w:rPr>
            <w:rFonts w:hint="eastAsia"/>
            <w:color w:val="000000"/>
            <w:lang w:val="en-GB"/>
          </w:rPr>
          <w:t>24</w:t>
        </w:r>
        <w:r w:rsidRPr="00A37112">
          <w:rPr>
            <w:rFonts w:hint="eastAsia"/>
            <w:color w:val="000000"/>
            <w:lang w:val="en-GB"/>
          </w:rPr>
          <w:t>条</w:t>
        </w:r>
        <w:r w:rsidRPr="00A37112">
          <w:rPr>
            <w:color w:val="000000"/>
            <w:lang w:val="en-GB"/>
          </w:rPr>
          <w:t>(1984</w:t>
        </w:r>
        <w:r w:rsidRPr="00A37112">
          <w:rPr>
            <w:rFonts w:hint="eastAsia"/>
            <w:color w:val="000000"/>
            <w:lang w:val="en-GB"/>
          </w:rPr>
          <w:t>年</w:t>
        </w:r>
        <w:r w:rsidRPr="00A37112">
          <w:rPr>
            <w:rFonts w:hint="eastAsia"/>
            <w:color w:val="000000"/>
            <w:lang w:val="en-GB"/>
          </w:rPr>
          <w:t>12</w:t>
        </w:r>
        <w:r w:rsidRPr="00A37112">
          <w:rPr>
            <w:rFonts w:hint="eastAsia"/>
            <w:color w:val="000000"/>
            <w:lang w:val="en-GB"/>
          </w:rPr>
          <w:t>月</w:t>
        </w:r>
        <w:r w:rsidRPr="00A37112">
          <w:rPr>
            <w:rFonts w:hint="eastAsia"/>
            <w:color w:val="000000"/>
            <w:lang w:val="en-GB"/>
          </w:rPr>
          <w:t>10</w:t>
        </w:r>
        <w:r w:rsidRPr="00A37112">
          <w:rPr>
            <w:rFonts w:hint="eastAsia"/>
            <w:color w:val="000000"/>
            <w:lang w:val="en-GB"/>
          </w:rPr>
          <w:t>日，纽约</w:t>
        </w:r>
        <w:r w:rsidRPr="00A37112">
          <w:rPr>
            <w:color w:val="000000"/>
            <w:lang w:val="en-GB"/>
          </w:rPr>
          <w:t>)</w:t>
        </w:r>
        <w:r w:rsidRPr="00A37112">
          <w:rPr>
            <w:rFonts w:hint="eastAsia"/>
            <w:color w:val="000000"/>
            <w:lang w:val="en-GB"/>
          </w:rPr>
          <w:t>，同上</w:t>
        </w:r>
        <w:r w:rsidRPr="00A37112">
          <w:rPr>
            <w:color w:val="000000"/>
            <w:lang w:val="en-GB"/>
          </w:rPr>
          <w:t>，第</w:t>
        </w:r>
        <w:r w:rsidRPr="00A37112">
          <w:rPr>
            <w:color w:val="000000"/>
            <w:lang w:val="en-GB"/>
          </w:rPr>
          <w:t>1465</w:t>
        </w:r>
        <w:r w:rsidRPr="00A37112">
          <w:rPr>
            <w:color w:val="000000"/>
            <w:lang w:val="en-GB"/>
          </w:rPr>
          <w:t>卷，第</w:t>
        </w:r>
        <w:r w:rsidRPr="00A37112">
          <w:rPr>
            <w:color w:val="000000"/>
            <w:lang w:val="en-GB"/>
          </w:rPr>
          <w:t>24841</w:t>
        </w:r>
        <w:r w:rsidRPr="00A37112">
          <w:rPr>
            <w:color w:val="000000"/>
            <w:lang w:val="en-GB"/>
          </w:rPr>
          <w:t>号，第</w:t>
        </w:r>
        <w:r w:rsidRPr="00A37112">
          <w:rPr>
            <w:color w:val="000000"/>
            <w:lang w:val="en-GB"/>
          </w:rPr>
          <w:t>85</w:t>
        </w:r>
        <w:r w:rsidRPr="00A37112">
          <w:rPr>
            <w:color w:val="000000"/>
            <w:lang w:val="en-GB"/>
          </w:rPr>
          <w:t>页</w:t>
        </w:r>
      </w:hyperlink>
      <w:r w:rsidRPr="00A37112">
        <w:rPr>
          <w:rFonts w:hint="eastAsia"/>
          <w:color w:val="000000"/>
          <w:lang w:val="en-GB"/>
        </w:rPr>
        <w:t>。</w:t>
      </w:r>
    </w:p>
  </w:footnote>
  <w:footnote w:id="985">
    <w:p w:rsidR="00AB00DE" w:rsidRPr="00A37112" w:rsidRDefault="00AB00DE" w:rsidP="003E31C7">
      <w:pPr>
        <w:pStyle w:val="a4"/>
        <w:rPr>
          <w:color w:val="000000"/>
        </w:rPr>
      </w:pPr>
      <w:r w:rsidRPr="00A37112">
        <w:rPr>
          <w:color w:val="000000"/>
          <w:w w:val="104"/>
        </w:rPr>
        <w:tab/>
      </w:r>
      <w:r w:rsidRPr="00902223">
        <w:rPr>
          <w:rStyle w:val="a5"/>
          <w:w w:val="104"/>
          <w:szCs w:val="21"/>
        </w:rPr>
        <w:footnoteRef/>
      </w:r>
      <w:r w:rsidRPr="00A37112">
        <w:rPr>
          <w:color w:val="000000"/>
          <w:w w:val="104"/>
        </w:rPr>
        <w:tab/>
      </w:r>
      <w:r w:rsidRPr="00A37112">
        <w:rPr>
          <w:rFonts w:hint="eastAsia"/>
          <w:color w:val="000000"/>
          <w:lang w:val="en-GB"/>
        </w:rPr>
        <w:t>大陆架界限委员会是根据</w:t>
      </w:r>
      <w:hyperlink r:id="rId114" w:history="1">
        <w:r w:rsidRPr="00A37112">
          <w:rPr>
            <w:rFonts w:hint="eastAsia"/>
            <w:color w:val="000000"/>
            <w:lang w:val="en-GB"/>
          </w:rPr>
          <w:t>《联合国海洋法公约》第七十六条第</w:t>
        </w:r>
        <w:r w:rsidRPr="00A37112">
          <w:rPr>
            <w:rFonts w:hint="eastAsia"/>
            <w:color w:val="000000"/>
            <w:lang w:val="en-GB"/>
          </w:rPr>
          <w:t>8</w:t>
        </w:r>
        <w:r w:rsidRPr="00A37112">
          <w:rPr>
            <w:rFonts w:hint="eastAsia"/>
            <w:color w:val="000000"/>
            <w:lang w:val="en-GB"/>
          </w:rPr>
          <w:t>款和该《公约》附件二设立的</w:t>
        </w:r>
        <w:r w:rsidRPr="00A37112">
          <w:rPr>
            <w:color w:val="000000"/>
            <w:lang w:val="en-GB"/>
          </w:rPr>
          <w:t>(1982</w:t>
        </w:r>
        <w:r w:rsidRPr="00A37112">
          <w:rPr>
            <w:rFonts w:hint="eastAsia"/>
            <w:color w:val="000000"/>
            <w:lang w:val="en-GB"/>
          </w:rPr>
          <w:t>年</w:t>
        </w:r>
        <w:r w:rsidRPr="00A37112">
          <w:rPr>
            <w:rFonts w:hint="eastAsia"/>
            <w:color w:val="000000"/>
            <w:lang w:val="en-GB"/>
          </w:rPr>
          <w:t>12</w:t>
        </w:r>
        <w:r w:rsidRPr="00A37112">
          <w:rPr>
            <w:rFonts w:hint="eastAsia"/>
            <w:color w:val="000000"/>
            <w:lang w:val="en-GB"/>
          </w:rPr>
          <w:t>月</w:t>
        </w:r>
        <w:r w:rsidRPr="00A37112">
          <w:rPr>
            <w:rFonts w:hint="eastAsia"/>
            <w:color w:val="000000"/>
            <w:lang w:val="en-GB"/>
          </w:rPr>
          <w:t>10</w:t>
        </w:r>
        <w:r w:rsidRPr="00A37112">
          <w:rPr>
            <w:rFonts w:hint="eastAsia"/>
            <w:color w:val="000000"/>
            <w:lang w:val="en-GB"/>
          </w:rPr>
          <w:t>日，蒙特哥湾</w:t>
        </w:r>
        <w:r w:rsidRPr="00A37112">
          <w:rPr>
            <w:color w:val="000000"/>
            <w:lang w:val="en-GB"/>
          </w:rPr>
          <w:t>)</w:t>
        </w:r>
        <w:r w:rsidRPr="00A37112">
          <w:rPr>
            <w:color w:val="000000"/>
            <w:lang w:val="en-GB"/>
          </w:rPr>
          <w:t>，联合国，《条约汇编》，第</w:t>
        </w:r>
        <w:r w:rsidRPr="00A37112">
          <w:rPr>
            <w:color w:val="000000"/>
            <w:lang w:val="en-GB"/>
          </w:rPr>
          <w:t>1833</w:t>
        </w:r>
        <w:r w:rsidRPr="00A37112">
          <w:rPr>
            <w:color w:val="000000"/>
            <w:lang w:val="en-GB"/>
          </w:rPr>
          <w:t>卷，第</w:t>
        </w:r>
        <w:r w:rsidRPr="00A37112">
          <w:rPr>
            <w:color w:val="000000"/>
            <w:lang w:val="en-GB"/>
          </w:rPr>
          <w:t>31363</w:t>
        </w:r>
        <w:r w:rsidRPr="00A37112">
          <w:rPr>
            <w:color w:val="000000"/>
            <w:lang w:val="en-GB"/>
          </w:rPr>
          <w:t>号，第</w:t>
        </w:r>
        <w:r w:rsidRPr="00A37112">
          <w:rPr>
            <w:color w:val="000000"/>
            <w:lang w:val="en-GB"/>
          </w:rPr>
          <w:t>3</w:t>
        </w:r>
        <w:r w:rsidRPr="00A37112">
          <w:rPr>
            <w:color w:val="000000"/>
            <w:lang w:val="en-GB"/>
          </w:rPr>
          <w:t>页</w:t>
        </w:r>
        <w:r w:rsidRPr="00A37112">
          <w:rPr>
            <w:rFonts w:hint="eastAsia"/>
            <w:color w:val="000000"/>
            <w:lang w:val="en-GB"/>
          </w:rPr>
          <w:t>。</w:t>
        </w:r>
      </w:hyperlink>
    </w:p>
  </w:footnote>
  <w:footnote w:id="986">
    <w:p w:rsidR="00AB00DE" w:rsidRPr="00A37112" w:rsidRDefault="00AB00DE" w:rsidP="003E31C7">
      <w:pPr>
        <w:pStyle w:val="a4"/>
        <w:rPr>
          <w:color w:val="000000"/>
        </w:rPr>
      </w:pPr>
      <w:r w:rsidRPr="00A37112">
        <w:rPr>
          <w:color w:val="000000"/>
          <w:w w:val="104"/>
        </w:rPr>
        <w:tab/>
      </w:r>
      <w:r w:rsidRPr="00902223">
        <w:rPr>
          <w:rStyle w:val="a5"/>
          <w:w w:val="104"/>
          <w:szCs w:val="21"/>
        </w:rPr>
        <w:footnoteRef/>
      </w:r>
      <w:r w:rsidRPr="00A37112">
        <w:rPr>
          <w:color w:val="000000"/>
          <w:w w:val="104"/>
        </w:rPr>
        <w:tab/>
      </w:r>
      <w:r w:rsidRPr="00A37112">
        <w:rPr>
          <w:rFonts w:hint="eastAsia"/>
          <w:color w:val="000000"/>
          <w:w w:val="104"/>
        </w:rPr>
        <w:t>《奥胡斯公约》遵约委员会是根据</w:t>
      </w:r>
      <w:hyperlink r:id="rId115" w:history="1">
        <w:r w:rsidRPr="00A37112">
          <w:rPr>
            <w:rFonts w:hint="eastAsia"/>
            <w:color w:val="000000"/>
          </w:rPr>
          <w:t>《在环境问题上获得信息、公众参与决策和诉诸法律的公约》第十五条设立的</w:t>
        </w:r>
        <w:r w:rsidRPr="00A37112">
          <w:rPr>
            <w:color w:val="000000"/>
          </w:rPr>
          <w:t xml:space="preserve"> (1998</w:t>
        </w:r>
        <w:r w:rsidRPr="00A37112">
          <w:rPr>
            <w:rFonts w:hint="eastAsia"/>
            <w:color w:val="000000"/>
          </w:rPr>
          <w:t>年</w:t>
        </w:r>
        <w:r w:rsidRPr="00A37112">
          <w:rPr>
            <w:rFonts w:hint="eastAsia"/>
            <w:color w:val="000000"/>
          </w:rPr>
          <w:t>6</w:t>
        </w:r>
        <w:r w:rsidRPr="00A37112">
          <w:rPr>
            <w:rFonts w:hint="eastAsia"/>
            <w:color w:val="000000"/>
          </w:rPr>
          <w:t>月</w:t>
        </w:r>
        <w:r w:rsidRPr="00A37112">
          <w:rPr>
            <w:rFonts w:hint="eastAsia"/>
            <w:color w:val="000000"/>
          </w:rPr>
          <w:t>25</w:t>
        </w:r>
        <w:r w:rsidRPr="00A37112">
          <w:rPr>
            <w:rFonts w:hint="eastAsia"/>
            <w:color w:val="000000"/>
          </w:rPr>
          <w:t>日，丹麦奥胡斯</w:t>
        </w:r>
        <w:r w:rsidRPr="00A37112">
          <w:rPr>
            <w:color w:val="000000"/>
          </w:rPr>
          <w:t>)</w:t>
        </w:r>
        <w:r w:rsidRPr="00A37112">
          <w:rPr>
            <w:rFonts w:hint="eastAsia"/>
            <w:color w:val="000000"/>
          </w:rPr>
          <w:t>，同上</w:t>
        </w:r>
        <w:r w:rsidRPr="00A37112">
          <w:rPr>
            <w:color w:val="000000"/>
          </w:rPr>
          <w:t>，第</w:t>
        </w:r>
        <w:r w:rsidRPr="00A37112">
          <w:rPr>
            <w:color w:val="000000"/>
          </w:rPr>
          <w:t>2161</w:t>
        </w:r>
        <w:r w:rsidRPr="00A37112">
          <w:rPr>
            <w:color w:val="000000"/>
          </w:rPr>
          <w:t>卷，第</w:t>
        </w:r>
        <w:r w:rsidRPr="00A37112">
          <w:rPr>
            <w:color w:val="000000"/>
          </w:rPr>
          <w:t>37770</w:t>
        </w:r>
        <w:r w:rsidRPr="00A37112">
          <w:rPr>
            <w:color w:val="000000"/>
          </w:rPr>
          <w:t>号，第</w:t>
        </w:r>
        <w:r w:rsidRPr="00A37112">
          <w:rPr>
            <w:color w:val="000000"/>
          </w:rPr>
          <w:t>447</w:t>
        </w:r>
        <w:r w:rsidRPr="00A37112">
          <w:rPr>
            <w:color w:val="000000"/>
          </w:rPr>
          <w:t>页</w:t>
        </w:r>
      </w:hyperlink>
      <w:r w:rsidRPr="00A37112">
        <w:rPr>
          <w:rFonts w:hint="eastAsia"/>
          <w:color w:val="000000"/>
        </w:rPr>
        <w:t>，以及</w:t>
      </w:r>
      <w:r w:rsidRPr="00A37112">
        <w:rPr>
          <w:rFonts w:hint="eastAsia"/>
          <w:color w:val="000000"/>
        </w:rPr>
        <w:t>2002</w:t>
      </w:r>
      <w:r w:rsidRPr="00A37112">
        <w:rPr>
          <w:rFonts w:hint="eastAsia"/>
          <w:color w:val="000000"/>
        </w:rPr>
        <w:t>年缔约方会议第一届会议通过的关于审查遵约情况的第</w:t>
      </w:r>
      <w:r w:rsidRPr="00A37112">
        <w:rPr>
          <w:color w:val="000000"/>
        </w:rPr>
        <w:t>I/7</w:t>
      </w:r>
      <w:r w:rsidRPr="00A37112">
        <w:rPr>
          <w:rFonts w:hint="eastAsia"/>
          <w:color w:val="000000"/>
        </w:rPr>
        <w:t>号决定</w:t>
      </w:r>
      <w:r w:rsidRPr="00A37112">
        <w:rPr>
          <w:color w:val="000000"/>
        </w:rPr>
        <w:t>(</w:t>
      </w:r>
      <w:hyperlink r:id="rId116" w:history="1">
        <w:r w:rsidRPr="00A37112">
          <w:rPr>
            <w:color w:val="000000"/>
          </w:rPr>
          <w:t>ECE/MP.PP/2/Add.8</w:t>
        </w:r>
      </w:hyperlink>
      <w:r w:rsidRPr="00A37112">
        <w:rPr>
          <w:color w:val="000000"/>
        </w:rPr>
        <w:t>)</w:t>
      </w:r>
      <w:r w:rsidRPr="00A37112">
        <w:rPr>
          <w:rFonts w:hint="eastAsia"/>
          <w:color w:val="000000"/>
        </w:rPr>
        <w:t>。</w:t>
      </w:r>
    </w:p>
  </w:footnote>
  <w:footnote w:id="987">
    <w:p w:rsidR="00AB00DE" w:rsidRPr="00A37112" w:rsidRDefault="00AB00DE" w:rsidP="003E31C7">
      <w:pPr>
        <w:pStyle w:val="a4"/>
        <w:rPr>
          <w:color w:val="000000"/>
          <w:w w:val="104"/>
        </w:rPr>
      </w:pPr>
      <w:r w:rsidRPr="00A37112">
        <w:rPr>
          <w:color w:val="000000"/>
          <w:w w:val="104"/>
        </w:rPr>
        <w:tab/>
      </w:r>
      <w:r w:rsidRPr="00902223">
        <w:rPr>
          <w:rStyle w:val="a5"/>
          <w:w w:val="104"/>
          <w:szCs w:val="21"/>
        </w:rPr>
        <w:footnoteRef/>
      </w:r>
      <w:r w:rsidRPr="00A37112">
        <w:rPr>
          <w:color w:val="000000"/>
          <w:w w:val="104"/>
        </w:rPr>
        <w:tab/>
      </w:r>
      <w:r w:rsidRPr="00A37112">
        <w:rPr>
          <w:rFonts w:hint="eastAsia"/>
          <w:color w:val="000000"/>
        </w:rPr>
        <w:t>国际麻醉品管制局是根据</w:t>
      </w:r>
      <w:hyperlink r:id="rId117" w:history="1">
        <w:r w:rsidRPr="00A37112">
          <w:rPr>
            <w:color w:val="000000"/>
          </w:rPr>
          <w:t>《麻醉品单一公约》</w:t>
        </w:r>
        <w:r w:rsidRPr="00A37112">
          <w:rPr>
            <w:rFonts w:hint="eastAsia"/>
            <w:color w:val="000000"/>
          </w:rPr>
          <w:t>第五条设立的</w:t>
        </w:r>
        <w:r w:rsidRPr="00A37112">
          <w:rPr>
            <w:color w:val="000000"/>
          </w:rPr>
          <w:t xml:space="preserve"> (1961</w:t>
        </w:r>
        <w:r w:rsidRPr="00A37112">
          <w:rPr>
            <w:color w:val="000000"/>
          </w:rPr>
          <w:t>年</w:t>
        </w:r>
        <w:r w:rsidRPr="00A37112">
          <w:rPr>
            <w:color w:val="000000"/>
          </w:rPr>
          <w:t>3</w:t>
        </w:r>
        <w:r w:rsidRPr="00A37112">
          <w:rPr>
            <w:color w:val="000000"/>
          </w:rPr>
          <w:t>月</w:t>
        </w:r>
        <w:r w:rsidRPr="00A37112">
          <w:rPr>
            <w:color w:val="000000"/>
          </w:rPr>
          <w:t>30</w:t>
        </w:r>
        <w:r w:rsidRPr="00A37112">
          <w:rPr>
            <w:color w:val="000000"/>
          </w:rPr>
          <w:t>日</w:t>
        </w:r>
        <w:r w:rsidRPr="00A37112">
          <w:rPr>
            <w:rFonts w:hint="eastAsia"/>
            <w:color w:val="000000"/>
          </w:rPr>
          <w:t>，纽约</w:t>
        </w:r>
        <w:r w:rsidRPr="00A37112">
          <w:rPr>
            <w:color w:val="000000"/>
          </w:rPr>
          <w:t>)</w:t>
        </w:r>
        <w:r w:rsidRPr="00A37112">
          <w:rPr>
            <w:color w:val="000000"/>
          </w:rPr>
          <w:t>，联合国，《条约汇编》，第</w:t>
        </w:r>
        <w:r w:rsidRPr="00A37112">
          <w:rPr>
            <w:color w:val="000000"/>
          </w:rPr>
          <w:t>520</w:t>
        </w:r>
        <w:r w:rsidRPr="00A37112">
          <w:rPr>
            <w:color w:val="000000"/>
          </w:rPr>
          <w:t>卷，第</w:t>
        </w:r>
        <w:r w:rsidRPr="00A37112">
          <w:rPr>
            <w:color w:val="000000"/>
          </w:rPr>
          <w:t>7515</w:t>
        </w:r>
        <w:r w:rsidRPr="00A37112">
          <w:rPr>
            <w:color w:val="000000"/>
          </w:rPr>
          <w:t>号，第</w:t>
        </w:r>
        <w:r w:rsidRPr="00A37112">
          <w:rPr>
            <w:color w:val="000000"/>
          </w:rPr>
          <w:t>151</w:t>
        </w:r>
        <w:r w:rsidRPr="00A37112">
          <w:rPr>
            <w:color w:val="000000"/>
          </w:rPr>
          <w:t>页</w:t>
        </w:r>
      </w:hyperlink>
      <w:r w:rsidRPr="00A37112">
        <w:rPr>
          <w:rFonts w:hint="eastAsia"/>
          <w:color w:val="000000"/>
          <w:w w:val="104"/>
        </w:rPr>
        <w:t>。</w:t>
      </w:r>
    </w:p>
  </w:footnote>
  <w:footnote w:id="988">
    <w:p w:rsidR="00AB00DE" w:rsidRPr="00A37112" w:rsidRDefault="00AB00DE" w:rsidP="003E31C7">
      <w:pPr>
        <w:pStyle w:val="a4"/>
        <w:rPr>
          <w:color w:val="000000"/>
        </w:rPr>
      </w:pPr>
      <w:r w:rsidRPr="00A37112">
        <w:rPr>
          <w:color w:val="000000"/>
          <w:w w:val="104"/>
        </w:rPr>
        <w:tab/>
      </w:r>
      <w:r w:rsidRPr="00902223">
        <w:rPr>
          <w:rStyle w:val="a5"/>
          <w:w w:val="104"/>
          <w:szCs w:val="21"/>
        </w:rPr>
        <w:footnoteRef/>
      </w:r>
      <w:r w:rsidRPr="00A37112">
        <w:rPr>
          <w:color w:val="000000"/>
          <w:w w:val="104"/>
        </w:rPr>
        <w:tab/>
      </w:r>
      <w:r w:rsidRPr="00A37112">
        <w:rPr>
          <w:rFonts w:hint="eastAsia"/>
          <w:color w:val="000000"/>
        </w:rPr>
        <w:t>例如，见</w:t>
      </w:r>
      <w:hyperlink r:id="rId118" w:history="1">
        <w:r w:rsidRPr="00A37112">
          <w:rPr>
            <w:color w:val="000000"/>
          </w:rPr>
          <w:t>《公民权利和政治权利国际公约》</w:t>
        </w:r>
      </w:hyperlink>
      <w:r w:rsidRPr="00A37112">
        <w:rPr>
          <w:rFonts w:hint="eastAsia"/>
          <w:color w:val="000000"/>
        </w:rPr>
        <w:t>第二十八条第</w:t>
      </w:r>
      <w:r w:rsidRPr="00A37112">
        <w:rPr>
          <w:rFonts w:hint="eastAsia"/>
          <w:color w:val="000000"/>
        </w:rPr>
        <w:t>3</w:t>
      </w:r>
      <w:r w:rsidRPr="00A37112">
        <w:rPr>
          <w:rFonts w:hint="eastAsia"/>
          <w:color w:val="000000"/>
        </w:rPr>
        <w:t>款；另见</w:t>
      </w:r>
      <w:hyperlink r:id="rId119" w:history="1">
        <w:r w:rsidRPr="00A37112">
          <w:rPr>
            <w:color w:val="000000"/>
          </w:rPr>
          <w:t>Christian Tomuschat, Human Rights: Between Idealism and Realism, 3rd edition (Oxford, Oxford University Press, 2014)</w:t>
        </w:r>
        <w:r w:rsidRPr="00A37112">
          <w:rPr>
            <w:color w:val="000000"/>
          </w:rPr>
          <w:t>，</w:t>
        </w:r>
        <w:r w:rsidRPr="00A37112">
          <w:rPr>
            <w:color w:val="000000"/>
          </w:rPr>
          <w:t>p. 219</w:t>
        </w:r>
      </w:hyperlink>
      <w:r w:rsidRPr="00A37112">
        <w:rPr>
          <w:rFonts w:hint="eastAsia"/>
          <w:color w:val="000000"/>
          <w:w w:val="104"/>
        </w:rPr>
        <w:t>。</w:t>
      </w:r>
    </w:p>
  </w:footnote>
  <w:footnote w:id="989">
    <w:p w:rsidR="00AB00DE" w:rsidRPr="00BA6448" w:rsidRDefault="00AB00DE" w:rsidP="003E31C7">
      <w:pPr>
        <w:pStyle w:val="a4"/>
        <w:rPr>
          <w:color w:val="000000"/>
        </w:rPr>
      </w:pPr>
      <w:r w:rsidRPr="00A37112">
        <w:rPr>
          <w:color w:val="000000"/>
          <w:w w:val="104"/>
        </w:rPr>
        <w:tab/>
      </w:r>
      <w:r w:rsidRPr="00902223">
        <w:rPr>
          <w:rStyle w:val="a5"/>
          <w:w w:val="104"/>
          <w:szCs w:val="21"/>
        </w:rPr>
        <w:footnoteRef/>
      </w:r>
      <w:r w:rsidRPr="00A37112">
        <w:rPr>
          <w:rFonts w:hint="eastAsia"/>
          <w:color w:val="000000"/>
          <w:w w:val="104"/>
        </w:rPr>
        <w:tab/>
      </w:r>
      <w:r w:rsidRPr="00BA6448">
        <w:rPr>
          <w:rFonts w:hint="eastAsia"/>
          <w:color w:val="000000"/>
        </w:rPr>
        <w:t>具体而言，各缔约方会议的决定就属于这种情况，</w:t>
      </w:r>
      <w:r w:rsidRPr="00A37112">
        <w:rPr>
          <w:rFonts w:hint="eastAsia"/>
          <w:color w:val="000000"/>
        </w:rPr>
        <w:t>见结论草案</w:t>
      </w:r>
      <w:r w:rsidRPr="00A37112">
        <w:rPr>
          <w:rFonts w:hint="eastAsia"/>
          <w:color w:val="000000"/>
        </w:rPr>
        <w:t>1</w:t>
      </w:r>
      <w:r w:rsidRPr="00BA6448">
        <w:rPr>
          <w:color w:val="000000"/>
        </w:rPr>
        <w:t>2 [11]</w:t>
      </w:r>
      <w:r w:rsidRPr="00BA6448">
        <w:rPr>
          <w:rFonts w:hint="eastAsia"/>
          <w:color w:val="000000"/>
        </w:rPr>
        <w:t>。</w:t>
      </w:r>
    </w:p>
  </w:footnote>
  <w:footnote w:id="990">
    <w:p w:rsidR="00AB00DE" w:rsidRPr="00A37112" w:rsidRDefault="00AB00DE" w:rsidP="003E31C7">
      <w:pPr>
        <w:pStyle w:val="a4"/>
        <w:rPr>
          <w:color w:val="000000"/>
        </w:rPr>
      </w:pPr>
      <w:r w:rsidRPr="00A37112">
        <w:rPr>
          <w:color w:val="000000"/>
          <w:w w:val="104"/>
        </w:rPr>
        <w:tab/>
      </w:r>
      <w:r w:rsidRPr="00902223">
        <w:rPr>
          <w:rStyle w:val="a5"/>
          <w:w w:val="104"/>
          <w:szCs w:val="21"/>
        </w:rPr>
        <w:footnoteRef/>
      </w:r>
      <w:r w:rsidRPr="00A37112">
        <w:rPr>
          <w:color w:val="000000"/>
          <w:w w:val="104"/>
        </w:rPr>
        <w:tab/>
      </w:r>
      <w:r w:rsidRPr="00A37112">
        <w:rPr>
          <w:rFonts w:hint="eastAsia"/>
          <w:color w:val="000000"/>
        </w:rPr>
        <w:t>国际劳工组织</w:t>
      </w:r>
      <w:r w:rsidRPr="00A37112">
        <w:rPr>
          <w:rFonts w:hint="eastAsia"/>
          <w:color w:val="000000"/>
        </w:rPr>
        <w:t>(</w:t>
      </w:r>
      <w:r w:rsidRPr="00A37112">
        <w:rPr>
          <w:rFonts w:hint="eastAsia"/>
          <w:color w:val="000000"/>
        </w:rPr>
        <w:t>劳工组织</w:t>
      </w:r>
      <w:r w:rsidRPr="00A37112">
        <w:rPr>
          <w:rFonts w:hint="eastAsia"/>
          <w:color w:val="000000"/>
        </w:rPr>
        <w:t>)</w:t>
      </w:r>
      <w:hyperlink r:id="rId120" w:history="1">
        <w:r w:rsidRPr="00A37112">
          <w:rPr>
            <w:rFonts w:hint="eastAsia"/>
            <w:color w:val="000000"/>
          </w:rPr>
          <w:t>实施公约与建议书专家委员会</w:t>
        </w:r>
      </w:hyperlink>
      <w:r w:rsidRPr="00A37112">
        <w:rPr>
          <w:rFonts w:hint="eastAsia"/>
          <w:color w:val="000000"/>
        </w:rPr>
        <w:t>是属于国际组织机关的专家机构的重要例子。该机构于</w:t>
      </w:r>
      <w:r w:rsidRPr="00A37112">
        <w:rPr>
          <w:rFonts w:hint="eastAsia"/>
          <w:color w:val="000000"/>
        </w:rPr>
        <w:t>1926</w:t>
      </w:r>
      <w:r w:rsidRPr="00A37112">
        <w:rPr>
          <w:rFonts w:hint="eastAsia"/>
          <w:color w:val="000000"/>
        </w:rPr>
        <w:t>年设立，负责审查政府关于已批准公约的报告，由</w:t>
      </w:r>
      <w:r w:rsidRPr="00A37112">
        <w:rPr>
          <w:rFonts w:hint="eastAsia"/>
          <w:color w:val="000000"/>
        </w:rPr>
        <w:t>20</w:t>
      </w:r>
      <w:r w:rsidRPr="00A37112">
        <w:rPr>
          <w:rFonts w:hint="eastAsia"/>
          <w:color w:val="000000"/>
        </w:rPr>
        <w:t>名来自不同地域、法律系统和文化的知名法学家组成，由劳工组织理事会任命，任期三年，见</w:t>
      </w:r>
      <w:hyperlink r:id="rId121" w:history="1">
        <w:r w:rsidRPr="00A37112">
          <w:rPr>
            <w:color w:val="000000"/>
          </w:rPr>
          <w:t>www.ilo.org</w:t>
        </w:r>
      </w:hyperlink>
      <w:r w:rsidRPr="00A37112">
        <w:rPr>
          <w:rFonts w:hint="eastAsia"/>
          <w:color w:val="000000"/>
        </w:rPr>
        <w:t>和劳工组织向委员会提供的</w:t>
      </w:r>
      <w:hyperlink r:id="rId122" w:history="1">
        <w:r w:rsidRPr="00A37112">
          <w:rPr>
            <w:rFonts w:hint="eastAsia"/>
            <w:color w:val="000000"/>
          </w:rPr>
          <w:t>资料</w:t>
        </w:r>
      </w:hyperlink>
      <w:r w:rsidRPr="00A37112">
        <w:rPr>
          <w:rFonts w:hint="eastAsia"/>
          <w:color w:val="000000"/>
        </w:rPr>
        <w:t>，可查阅国际法委员会网站：</w:t>
      </w:r>
      <w:hyperlink r:id="rId123" w:history="1">
        <w:r w:rsidRPr="00421513">
          <w:rPr>
            <w:rStyle w:val="af"/>
            <w:color w:val="000000"/>
          </w:rPr>
          <w:t>http://legal.un.org/ilc/guide/</w:t>
        </w:r>
        <w:r w:rsidRPr="00421513">
          <w:rPr>
            <w:rStyle w:val="af"/>
            <w:rFonts w:hint="eastAsia"/>
            <w:color w:val="000000"/>
          </w:rPr>
          <w:t xml:space="preserve"> </w:t>
        </w:r>
        <w:r w:rsidRPr="00421513">
          <w:rPr>
            <w:rStyle w:val="af"/>
            <w:color w:val="000000"/>
          </w:rPr>
          <w:t>1_11.shtml</w:t>
        </w:r>
      </w:hyperlink>
      <w:r w:rsidRPr="00A37112">
        <w:rPr>
          <w:rFonts w:hint="eastAsia"/>
          <w:color w:val="000000"/>
        </w:rPr>
        <w:t>。</w:t>
      </w:r>
    </w:p>
  </w:footnote>
  <w:footnote w:id="991">
    <w:p w:rsidR="00AB00DE" w:rsidRPr="00A37112" w:rsidRDefault="00AB00DE" w:rsidP="003E31C7">
      <w:pPr>
        <w:pStyle w:val="a4"/>
        <w:rPr>
          <w:color w:val="000000"/>
        </w:rPr>
      </w:pPr>
      <w:r w:rsidRPr="00A37112">
        <w:rPr>
          <w:color w:val="000000"/>
          <w:w w:val="104"/>
        </w:rPr>
        <w:tab/>
      </w:r>
      <w:r w:rsidRPr="00902223">
        <w:rPr>
          <w:rStyle w:val="a5"/>
          <w:w w:val="104"/>
          <w:szCs w:val="21"/>
        </w:rPr>
        <w:footnoteRef/>
      </w:r>
      <w:r w:rsidRPr="00A37112">
        <w:rPr>
          <w:color w:val="000000"/>
          <w:w w:val="104"/>
        </w:rPr>
        <w:tab/>
      </w:r>
      <w:r w:rsidRPr="00A37112">
        <w:rPr>
          <w:rFonts w:hint="eastAsia"/>
          <w:color w:val="000000"/>
        </w:rPr>
        <w:t>关于国际组织责任的条款草案第</w:t>
      </w:r>
      <w:r w:rsidRPr="00A37112">
        <w:rPr>
          <w:rFonts w:hint="eastAsia"/>
          <w:color w:val="000000"/>
        </w:rPr>
        <w:t>6</w:t>
      </w:r>
      <w:r w:rsidRPr="00A37112">
        <w:rPr>
          <w:rFonts w:hint="eastAsia"/>
          <w:color w:val="000000"/>
        </w:rPr>
        <w:t>条第</w:t>
      </w:r>
      <w:r w:rsidRPr="00A37112">
        <w:rPr>
          <w:rFonts w:hint="eastAsia"/>
          <w:color w:val="000000"/>
        </w:rPr>
        <w:t>1</w:t>
      </w:r>
      <w:r w:rsidRPr="00A37112">
        <w:rPr>
          <w:rFonts w:hint="eastAsia"/>
          <w:color w:val="000000"/>
        </w:rPr>
        <w:t>款，大会</w:t>
      </w:r>
      <w:r w:rsidRPr="00A37112">
        <w:rPr>
          <w:rFonts w:hint="eastAsia"/>
          <w:color w:val="000000"/>
        </w:rPr>
        <w:t>2011</w:t>
      </w:r>
      <w:r w:rsidRPr="00A37112">
        <w:rPr>
          <w:rFonts w:hint="eastAsia"/>
          <w:color w:val="000000"/>
        </w:rPr>
        <w:t>年</w:t>
      </w:r>
      <w:r w:rsidRPr="00A37112">
        <w:rPr>
          <w:rFonts w:hint="eastAsia"/>
          <w:color w:val="000000"/>
        </w:rPr>
        <w:t>12</w:t>
      </w:r>
      <w:r w:rsidRPr="00A37112">
        <w:rPr>
          <w:rFonts w:hint="eastAsia"/>
          <w:color w:val="000000"/>
        </w:rPr>
        <w:t>月</w:t>
      </w:r>
      <w:r w:rsidRPr="00A37112">
        <w:rPr>
          <w:rFonts w:hint="eastAsia"/>
          <w:color w:val="000000"/>
        </w:rPr>
        <w:t>9</w:t>
      </w:r>
      <w:r w:rsidRPr="00A37112">
        <w:rPr>
          <w:rFonts w:hint="eastAsia"/>
          <w:color w:val="000000"/>
        </w:rPr>
        <w:t>日</w:t>
      </w:r>
      <w:hyperlink r:id="rId124" w:history="1">
        <w:r w:rsidRPr="00A37112">
          <w:rPr>
            <w:rFonts w:hint="eastAsia"/>
            <w:color w:val="000000"/>
          </w:rPr>
          <w:t>第</w:t>
        </w:r>
        <w:r w:rsidRPr="00A37112">
          <w:rPr>
            <w:color w:val="000000"/>
          </w:rPr>
          <w:t>66/100</w:t>
        </w:r>
      </w:hyperlink>
      <w:r w:rsidRPr="00A37112">
        <w:rPr>
          <w:rFonts w:hint="eastAsia"/>
          <w:color w:val="000000"/>
        </w:rPr>
        <w:t>号决议，附件</w:t>
      </w:r>
      <w:r w:rsidRPr="00A37112">
        <w:rPr>
          <w:color w:val="000000"/>
        </w:rPr>
        <w:t>(</w:t>
      </w:r>
      <w:r w:rsidRPr="00A37112">
        <w:rPr>
          <w:rFonts w:hint="eastAsia"/>
          <w:color w:val="000000"/>
        </w:rPr>
        <w:t>其评注见</w:t>
      </w:r>
      <w:r w:rsidRPr="00A37112">
        <w:rPr>
          <w:color w:val="000000"/>
        </w:rPr>
        <w:t>《大会正式记录，</w:t>
      </w:r>
      <w:r w:rsidRPr="00A37112">
        <w:rPr>
          <w:rFonts w:hint="eastAsia"/>
          <w:color w:val="000000"/>
        </w:rPr>
        <w:t>第六十六届会议，补编第</w:t>
      </w:r>
      <w:r w:rsidRPr="00A37112">
        <w:rPr>
          <w:rFonts w:hint="eastAsia"/>
          <w:color w:val="000000"/>
        </w:rPr>
        <w:t>10</w:t>
      </w:r>
      <w:r w:rsidRPr="00A37112">
        <w:rPr>
          <w:rFonts w:hint="eastAsia"/>
          <w:color w:val="000000"/>
        </w:rPr>
        <w:t>号》</w:t>
      </w:r>
      <w:r w:rsidRPr="00A37112">
        <w:rPr>
          <w:color w:val="000000"/>
        </w:rPr>
        <w:t>(A/66/10)</w:t>
      </w:r>
      <w:r w:rsidRPr="00A37112">
        <w:rPr>
          <w:rFonts w:hint="eastAsia"/>
          <w:color w:val="000000"/>
        </w:rPr>
        <w:t>，第五章，</w:t>
      </w:r>
      <w:r w:rsidRPr="00A37112">
        <w:rPr>
          <w:rFonts w:hint="eastAsia"/>
          <w:color w:val="000000"/>
        </w:rPr>
        <w:t>E</w:t>
      </w:r>
      <w:r w:rsidRPr="00A37112">
        <w:rPr>
          <w:rFonts w:hint="eastAsia"/>
          <w:color w:val="000000"/>
        </w:rPr>
        <w:t>节</w:t>
      </w:r>
      <w:r w:rsidRPr="00A37112">
        <w:rPr>
          <w:color w:val="000000"/>
        </w:rPr>
        <w:t>)</w:t>
      </w:r>
      <w:r w:rsidRPr="00A37112">
        <w:rPr>
          <w:rFonts w:hint="eastAsia"/>
          <w:color w:val="000000"/>
        </w:rPr>
        <w:t>；任意拘留问题工作组是一例由以个人身份任职的专家组成的机构，其任务授权来自人权理事会</w:t>
      </w:r>
      <w:r w:rsidRPr="00A37112">
        <w:rPr>
          <w:rFonts w:hint="eastAsia"/>
          <w:color w:val="000000"/>
        </w:rPr>
        <w:t>2013</w:t>
      </w:r>
      <w:r w:rsidRPr="00A37112">
        <w:rPr>
          <w:rFonts w:hint="eastAsia"/>
          <w:color w:val="000000"/>
        </w:rPr>
        <w:t>年</w:t>
      </w:r>
      <w:r w:rsidRPr="00A37112">
        <w:rPr>
          <w:rFonts w:hint="eastAsia"/>
          <w:color w:val="000000"/>
        </w:rPr>
        <w:t>9</w:t>
      </w:r>
      <w:r w:rsidRPr="00A37112">
        <w:rPr>
          <w:rFonts w:hint="eastAsia"/>
          <w:color w:val="000000"/>
        </w:rPr>
        <w:t>月</w:t>
      </w:r>
      <w:r w:rsidRPr="00A37112">
        <w:rPr>
          <w:rFonts w:hint="eastAsia"/>
          <w:color w:val="000000"/>
        </w:rPr>
        <w:t>26</w:t>
      </w:r>
      <w:r w:rsidRPr="00A37112">
        <w:rPr>
          <w:rFonts w:hint="eastAsia"/>
          <w:color w:val="000000"/>
        </w:rPr>
        <w:t>日</w:t>
      </w:r>
      <w:hyperlink r:id="rId125" w:history="1">
        <w:r w:rsidRPr="00A37112">
          <w:rPr>
            <w:rFonts w:hint="eastAsia"/>
            <w:color w:val="000000"/>
          </w:rPr>
          <w:t>第</w:t>
        </w:r>
        <w:r w:rsidRPr="00A37112">
          <w:rPr>
            <w:color w:val="000000"/>
          </w:rPr>
          <w:t>24/7</w:t>
        </w:r>
      </w:hyperlink>
      <w:r w:rsidRPr="00A37112">
        <w:rPr>
          <w:rFonts w:hint="eastAsia"/>
          <w:color w:val="000000"/>
        </w:rPr>
        <w:t>号决议</w:t>
      </w:r>
      <w:r w:rsidRPr="00A37112">
        <w:rPr>
          <w:color w:val="000000"/>
        </w:rPr>
        <w:t>，《大会正式记录，</w:t>
      </w:r>
      <w:r w:rsidRPr="00A37112">
        <w:rPr>
          <w:rFonts w:hint="eastAsia"/>
          <w:color w:val="000000"/>
        </w:rPr>
        <w:t>第六十八届会议，补编第</w:t>
      </w:r>
      <w:r w:rsidRPr="00A37112">
        <w:rPr>
          <w:color w:val="000000"/>
        </w:rPr>
        <w:t>53</w:t>
      </w:r>
      <w:r w:rsidRPr="00A37112">
        <w:rPr>
          <w:rFonts w:hint="eastAsia"/>
          <w:color w:val="000000"/>
        </w:rPr>
        <w:t>号》</w:t>
      </w:r>
      <w:r w:rsidRPr="00A37112">
        <w:rPr>
          <w:color w:val="000000"/>
        </w:rPr>
        <w:t>(</w:t>
      </w:r>
      <w:hyperlink r:id="rId126" w:history="1">
        <w:r w:rsidRPr="00A37112">
          <w:rPr>
            <w:color w:val="000000"/>
          </w:rPr>
          <w:t>A/68/53/Add.1</w:t>
        </w:r>
      </w:hyperlink>
      <w:r w:rsidRPr="00A37112">
        <w:rPr>
          <w:color w:val="000000"/>
        </w:rPr>
        <w:t>)</w:t>
      </w:r>
      <w:r w:rsidRPr="00A37112">
        <w:rPr>
          <w:rFonts w:hint="eastAsia"/>
          <w:color w:val="000000"/>
        </w:rPr>
        <w:t>。该工作组是理事会的附属机构，因此不是结论草案</w:t>
      </w:r>
      <w:r w:rsidRPr="00A37112">
        <w:rPr>
          <w:color w:val="000000"/>
        </w:rPr>
        <w:t>13 [12]</w:t>
      </w:r>
      <w:r w:rsidRPr="00A37112">
        <w:rPr>
          <w:rFonts w:hint="eastAsia"/>
          <w:color w:val="000000"/>
        </w:rPr>
        <w:t>所称的专家条约机构，见</w:t>
      </w:r>
      <w:hyperlink r:id="rId127" w:history="1">
        <w:r w:rsidRPr="00A37112">
          <w:rPr>
            <w:color w:val="000000"/>
          </w:rPr>
          <w:t>www.ohchr.org/EN/Issues/Detention/Pages/WGADIndex.aspx</w:t>
        </w:r>
      </w:hyperlink>
      <w:r w:rsidRPr="00A37112">
        <w:rPr>
          <w:rFonts w:hint="eastAsia"/>
          <w:color w:val="000000"/>
        </w:rPr>
        <w:t>。</w:t>
      </w:r>
    </w:p>
  </w:footnote>
  <w:footnote w:id="992">
    <w:p w:rsidR="00AB00DE" w:rsidRPr="00A37112" w:rsidRDefault="00AB00DE" w:rsidP="003E31C7">
      <w:pPr>
        <w:pStyle w:val="a4"/>
        <w:rPr>
          <w:color w:val="000000"/>
        </w:rPr>
      </w:pPr>
      <w:r w:rsidRPr="00A37112">
        <w:rPr>
          <w:color w:val="000000"/>
        </w:rPr>
        <w:tab/>
      </w:r>
      <w:r w:rsidRPr="00902223">
        <w:rPr>
          <w:rStyle w:val="a5"/>
          <w:szCs w:val="21"/>
        </w:rPr>
        <w:footnoteRef/>
      </w:r>
      <w:r w:rsidRPr="00A37112">
        <w:rPr>
          <w:rFonts w:hint="eastAsia"/>
          <w:color w:val="000000"/>
        </w:rPr>
        <w:tab/>
      </w:r>
      <w:r w:rsidRPr="00BA6448">
        <w:rPr>
          <w:rFonts w:hint="eastAsia"/>
          <w:color w:val="000000"/>
        </w:rPr>
        <w:t>经济及社会理事会，</w:t>
      </w:r>
      <w:r w:rsidRPr="00BA6448">
        <w:rPr>
          <w:rFonts w:hint="eastAsia"/>
          <w:color w:val="000000"/>
        </w:rPr>
        <w:t>1987</w:t>
      </w:r>
      <w:r w:rsidRPr="00BA6448">
        <w:rPr>
          <w:rFonts w:hint="eastAsia"/>
          <w:color w:val="000000"/>
        </w:rPr>
        <w:t>年</w:t>
      </w:r>
      <w:r w:rsidRPr="00BA6448">
        <w:rPr>
          <w:rFonts w:hint="eastAsia"/>
          <w:color w:val="000000"/>
        </w:rPr>
        <w:t>5</w:t>
      </w:r>
      <w:r w:rsidRPr="00BA6448">
        <w:rPr>
          <w:rFonts w:hint="eastAsia"/>
          <w:color w:val="000000"/>
        </w:rPr>
        <w:t>月</w:t>
      </w:r>
      <w:r w:rsidRPr="00BA6448">
        <w:rPr>
          <w:rFonts w:hint="eastAsia"/>
          <w:color w:val="000000"/>
        </w:rPr>
        <w:t>26</w:t>
      </w:r>
      <w:r w:rsidRPr="00BA6448">
        <w:rPr>
          <w:rFonts w:hint="eastAsia"/>
          <w:color w:val="000000"/>
        </w:rPr>
        <w:t>日第</w:t>
      </w:r>
      <w:r w:rsidRPr="00BA6448">
        <w:rPr>
          <w:rFonts w:hint="eastAsia"/>
          <w:color w:val="000000"/>
        </w:rPr>
        <w:t>1</w:t>
      </w:r>
      <w:r w:rsidRPr="00BA6448">
        <w:rPr>
          <w:color w:val="000000"/>
        </w:rPr>
        <w:t>987/5</w:t>
      </w:r>
      <w:r w:rsidRPr="00BA6448">
        <w:rPr>
          <w:rFonts w:hint="eastAsia"/>
          <w:color w:val="000000"/>
        </w:rPr>
        <w:t>号决议</w:t>
      </w:r>
      <w:r w:rsidRPr="00BA6448">
        <w:rPr>
          <w:color w:val="000000"/>
        </w:rPr>
        <w:t>(</w:t>
      </w:r>
      <w:hyperlink r:id="rId128" w:history="1">
        <w:r w:rsidRPr="00BA6448">
          <w:t>E/C.12/1989/4</w:t>
        </w:r>
      </w:hyperlink>
      <w:r w:rsidRPr="00BA6448">
        <w:rPr>
          <w:rFonts w:hint="eastAsia"/>
          <w:color w:val="000000"/>
        </w:rPr>
        <w:t>），第</w:t>
      </w:r>
      <w:r w:rsidRPr="00BA6448">
        <w:rPr>
          <w:color w:val="000000"/>
        </w:rPr>
        <w:t>9</w:t>
      </w:r>
      <w:r w:rsidRPr="00BA6448">
        <w:rPr>
          <w:rFonts w:hint="eastAsia"/>
          <w:color w:val="000000"/>
        </w:rPr>
        <w:t>段。</w:t>
      </w:r>
    </w:p>
  </w:footnote>
  <w:footnote w:id="993">
    <w:p w:rsidR="00AB00DE" w:rsidRPr="00A37112" w:rsidRDefault="00AB00DE" w:rsidP="003E31C7">
      <w:pPr>
        <w:pStyle w:val="a4"/>
        <w:rPr>
          <w:color w:val="000000"/>
        </w:rPr>
      </w:pPr>
      <w:r w:rsidRPr="00A37112">
        <w:rPr>
          <w:color w:val="000000"/>
          <w:spacing w:val="5"/>
          <w:w w:val="104"/>
        </w:rPr>
        <w:tab/>
      </w:r>
      <w:r w:rsidRPr="00902223">
        <w:rPr>
          <w:rStyle w:val="a5"/>
          <w:szCs w:val="21"/>
        </w:rPr>
        <w:footnoteRef/>
      </w:r>
      <w:r w:rsidRPr="00A37112">
        <w:rPr>
          <w:color w:val="000000"/>
          <w:spacing w:val="5"/>
          <w:w w:val="104"/>
        </w:rPr>
        <w:tab/>
      </w:r>
      <w:r w:rsidRPr="00A37112">
        <w:rPr>
          <w:rFonts w:hint="eastAsia"/>
          <w:color w:val="000000"/>
        </w:rPr>
        <w:t>大会</w:t>
      </w:r>
      <w:r w:rsidRPr="00A37112">
        <w:rPr>
          <w:rFonts w:hint="eastAsia"/>
          <w:color w:val="000000"/>
        </w:rPr>
        <w:t>2008</w:t>
      </w:r>
      <w:r w:rsidRPr="00A37112">
        <w:rPr>
          <w:rFonts w:hint="eastAsia"/>
          <w:color w:val="000000"/>
        </w:rPr>
        <w:t>年</w:t>
      </w:r>
      <w:r w:rsidRPr="00A37112">
        <w:rPr>
          <w:rFonts w:hint="eastAsia"/>
          <w:color w:val="000000"/>
        </w:rPr>
        <w:t>12</w:t>
      </w:r>
      <w:r w:rsidRPr="00A37112">
        <w:rPr>
          <w:rFonts w:hint="eastAsia"/>
          <w:color w:val="000000"/>
        </w:rPr>
        <w:t>月</w:t>
      </w:r>
      <w:r w:rsidRPr="00A37112">
        <w:rPr>
          <w:rFonts w:hint="eastAsia"/>
          <w:color w:val="000000"/>
        </w:rPr>
        <w:t>10</w:t>
      </w:r>
      <w:r w:rsidRPr="00A37112">
        <w:rPr>
          <w:rFonts w:hint="eastAsia"/>
          <w:color w:val="000000"/>
        </w:rPr>
        <w:t>日第</w:t>
      </w:r>
      <w:r w:rsidRPr="00A37112">
        <w:rPr>
          <w:rFonts w:hint="eastAsia"/>
          <w:color w:val="000000"/>
        </w:rPr>
        <w:t>63/117</w:t>
      </w:r>
      <w:r w:rsidRPr="00A37112">
        <w:rPr>
          <w:rFonts w:hint="eastAsia"/>
          <w:color w:val="000000"/>
        </w:rPr>
        <w:t>号决议所附《经济、社会及文化权利国际公约任择议定书》第一至第十五条。</w:t>
      </w:r>
    </w:p>
  </w:footnote>
  <w:footnote w:id="994">
    <w:p w:rsidR="00AB00DE" w:rsidRPr="00BA6448" w:rsidRDefault="00AB00DE" w:rsidP="003E31C7">
      <w:pPr>
        <w:pStyle w:val="a4"/>
        <w:rPr>
          <w:color w:val="000000"/>
        </w:rPr>
      </w:pPr>
      <w:r w:rsidRPr="00A37112">
        <w:rPr>
          <w:color w:val="000000"/>
          <w:w w:val="104"/>
        </w:rPr>
        <w:tab/>
      </w:r>
      <w:r w:rsidRPr="00902223">
        <w:rPr>
          <w:rStyle w:val="a5"/>
          <w:w w:val="104"/>
          <w:szCs w:val="21"/>
        </w:rPr>
        <w:footnoteRef/>
      </w:r>
      <w:r w:rsidRPr="00A37112">
        <w:rPr>
          <w:color w:val="000000"/>
          <w:w w:val="104"/>
        </w:rPr>
        <w:tab/>
      </w:r>
      <w:hyperlink r:id="rId129" w:history="1">
        <w:r w:rsidRPr="00A37112">
          <w:rPr>
            <w:rFonts w:hint="eastAsia"/>
            <w:color w:val="000000"/>
          </w:rPr>
          <w:t>《联合国气候变化框架公约京都议定书</w:t>
        </w:r>
        <w:r w:rsidRPr="00A37112">
          <w:rPr>
            <w:rFonts w:hint="eastAsia"/>
            <w:color w:val="000000"/>
            <w:w w:val="104"/>
          </w:rPr>
          <w:t>》</w:t>
        </w:r>
      </w:hyperlink>
      <w:r w:rsidRPr="00A37112">
        <w:rPr>
          <w:color w:val="000000"/>
        </w:rPr>
        <w:t>(1997</w:t>
      </w:r>
      <w:r w:rsidRPr="00A37112">
        <w:rPr>
          <w:rFonts w:hint="eastAsia"/>
          <w:color w:val="000000"/>
        </w:rPr>
        <w:t>年</w:t>
      </w:r>
      <w:r w:rsidRPr="00A37112">
        <w:rPr>
          <w:rFonts w:hint="eastAsia"/>
          <w:color w:val="000000"/>
        </w:rPr>
        <w:t>12</w:t>
      </w:r>
      <w:r w:rsidRPr="00A37112">
        <w:rPr>
          <w:rFonts w:hint="eastAsia"/>
          <w:color w:val="000000"/>
        </w:rPr>
        <w:t>月</w:t>
      </w:r>
      <w:r w:rsidRPr="00A37112">
        <w:rPr>
          <w:rFonts w:hint="eastAsia"/>
          <w:color w:val="000000"/>
        </w:rPr>
        <w:t>11</w:t>
      </w:r>
      <w:r w:rsidRPr="00A37112">
        <w:rPr>
          <w:rFonts w:hint="eastAsia"/>
          <w:color w:val="000000"/>
        </w:rPr>
        <w:t>日，京都</w:t>
      </w:r>
      <w:r w:rsidRPr="00A37112">
        <w:rPr>
          <w:color w:val="000000"/>
        </w:rPr>
        <w:t>) (</w:t>
      </w:r>
      <w:r w:rsidRPr="00A37112">
        <w:rPr>
          <w:color w:val="000000"/>
        </w:rPr>
        <w:t>联合国，《条约汇编》，第</w:t>
      </w:r>
      <w:r w:rsidRPr="00A37112">
        <w:rPr>
          <w:color w:val="000000"/>
        </w:rPr>
        <w:t>2303</w:t>
      </w:r>
      <w:r w:rsidRPr="00A37112">
        <w:rPr>
          <w:color w:val="000000"/>
        </w:rPr>
        <w:t>卷，第</w:t>
      </w:r>
      <w:r w:rsidRPr="00A37112">
        <w:rPr>
          <w:color w:val="000000"/>
        </w:rPr>
        <w:t>30822</w:t>
      </w:r>
      <w:r w:rsidRPr="00A37112">
        <w:rPr>
          <w:color w:val="000000"/>
        </w:rPr>
        <w:t>号，第</w:t>
      </w:r>
      <w:r w:rsidRPr="00A37112">
        <w:rPr>
          <w:color w:val="000000"/>
        </w:rPr>
        <w:t>162</w:t>
      </w:r>
      <w:r w:rsidRPr="00A37112">
        <w:rPr>
          <w:color w:val="000000"/>
        </w:rPr>
        <w:t>页</w:t>
      </w:r>
      <w:r w:rsidRPr="00A37112">
        <w:rPr>
          <w:color w:val="000000"/>
        </w:rPr>
        <w:t>)</w:t>
      </w:r>
      <w:r w:rsidRPr="00A37112">
        <w:rPr>
          <w:rFonts w:hint="eastAsia"/>
          <w:color w:val="000000"/>
        </w:rPr>
        <w:t>遵约委员会是根据《议定书》第十八条和缔约方会议第七届会议</w:t>
      </w:r>
      <w:r w:rsidRPr="00A37112">
        <w:rPr>
          <w:color w:val="000000"/>
          <w:w w:val="104"/>
        </w:rPr>
        <w:t>(</w:t>
      </w:r>
      <w:hyperlink r:id="rId130" w:history="1">
        <w:r w:rsidRPr="00A37112">
          <w:rPr>
            <w:rStyle w:val="af"/>
            <w:color w:val="000000"/>
            <w:w w:val="104"/>
          </w:rPr>
          <w:t>FCCC/CP/2001/13/Add.3</w:t>
        </w:r>
      </w:hyperlink>
      <w:r w:rsidRPr="00A37112">
        <w:rPr>
          <w:color w:val="000000"/>
          <w:w w:val="104"/>
        </w:rPr>
        <w:t>)</w:t>
      </w:r>
      <w:r w:rsidRPr="00A37112">
        <w:rPr>
          <w:rFonts w:hint="eastAsia"/>
          <w:color w:val="000000"/>
        </w:rPr>
        <w:t>通过的关于与《京都议定书》规定的遵约有关的程序和机制的第</w:t>
      </w:r>
      <w:r w:rsidRPr="00A37112">
        <w:rPr>
          <w:rFonts w:hint="eastAsia"/>
          <w:color w:val="000000"/>
        </w:rPr>
        <w:t>24/</w:t>
      </w:r>
      <w:r w:rsidRPr="00BA6448">
        <w:rPr>
          <w:color w:val="000000"/>
        </w:rPr>
        <w:t>CP.7</w:t>
      </w:r>
      <w:r w:rsidRPr="00BA6448">
        <w:rPr>
          <w:rFonts w:hint="eastAsia"/>
          <w:color w:val="000000"/>
        </w:rPr>
        <w:t>号决定设立的。</w:t>
      </w:r>
    </w:p>
  </w:footnote>
  <w:footnote w:id="995">
    <w:p w:rsidR="00AB00DE" w:rsidRPr="00421513" w:rsidRDefault="00AB00DE" w:rsidP="003E31C7">
      <w:pPr>
        <w:pStyle w:val="a4"/>
        <w:rPr>
          <w:color w:val="000000"/>
        </w:rPr>
      </w:pPr>
      <w:r w:rsidRPr="00A37112">
        <w:rPr>
          <w:color w:val="000000"/>
          <w:w w:val="104"/>
        </w:rPr>
        <w:tab/>
      </w:r>
      <w:r w:rsidRPr="00902223">
        <w:rPr>
          <w:rStyle w:val="a5"/>
          <w:w w:val="104"/>
          <w:szCs w:val="21"/>
        </w:rPr>
        <w:footnoteRef/>
      </w:r>
      <w:r w:rsidRPr="00A37112">
        <w:rPr>
          <w:color w:val="000000"/>
          <w:w w:val="104"/>
        </w:rPr>
        <w:tab/>
      </w:r>
      <w:r w:rsidRPr="00421513">
        <w:rPr>
          <w:rFonts w:hint="eastAsia"/>
          <w:color w:val="000000"/>
        </w:rPr>
        <w:t>见</w:t>
      </w:r>
      <w:hyperlink r:id="rId131" w:history="1">
        <w:r w:rsidRPr="00A37112">
          <w:rPr>
            <w:color w:val="000000"/>
          </w:rPr>
          <w:t>《公民权利和政治权利国际公约</w:t>
        </w:r>
        <w:r w:rsidRPr="00421513">
          <w:t>》</w:t>
        </w:r>
      </w:hyperlink>
      <w:r w:rsidRPr="00421513">
        <w:rPr>
          <w:rFonts w:hint="eastAsia"/>
          <w:color w:val="000000"/>
        </w:rPr>
        <w:t>，第四十二条第</w:t>
      </w:r>
      <w:r w:rsidRPr="00421513">
        <w:rPr>
          <w:rFonts w:hint="eastAsia"/>
          <w:color w:val="000000"/>
        </w:rPr>
        <w:t>7</w:t>
      </w:r>
      <w:r w:rsidRPr="00421513">
        <w:rPr>
          <w:rFonts w:hint="eastAsia"/>
          <w:color w:val="000000"/>
        </w:rPr>
        <w:t>款</w:t>
      </w:r>
      <w:r w:rsidRPr="00421513">
        <w:rPr>
          <w:rFonts w:hint="eastAsia"/>
          <w:color w:val="000000"/>
        </w:rPr>
        <w:t>(</w:t>
      </w:r>
      <w:r w:rsidRPr="00421513">
        <w:rPr>
          <w:rFonts w:hint="eastAsia"/>
          <w:color w:val="000000"/>
        </w:rPr>
        <w:t>丙</w:t>
      </w:r>
      <w:r w:rsidRPr="00421513">
        <w:rPr>
          <w:rFonts w:hint="eastAsia"/>
          <w:color w:val="000000"/>
        </w:rPr>
        <w:t>)</w:t>
      </w:r>
      <w:r w:rsidRPr="00421513">
        <w:rPr>
          <w:rFonts w:hint="eastAsia"/>
          <w:color w:val="000000"/>
        </w:rPr>
        <w:t>项；</w:t>
      </w:r>
      <w:hyperlink r:id="rId132" w:history="1">
        <w:r w:rsidRPr="00A37112">
          <w:rPr>
            <w:color w:val="000000"/>
          </w:rPr>
          <w:t>《公民权利和政治权利国际公约任择议定书》</w:t>
        </w:r>
      </w:hyperlink>
      <w:r w:rsidRPr="00421513">
        <w:rPr>
          <w:rFonts w:hint="eastAsia"/>
          <w:color w:val="000000"/>
        </w:rPr>
        <w:t>，第五条第</w:t>
      </w:r>
      <w:r w:rsidRPr="00421513">
        <w:rPr>
          <w:rFonts w:hint="eastAsia"/>
          <w:color w:val="000000"/>
        </w:rPr>
        <w:t>4</w:t>
      </w:r>
      <w:r w:rsidRPr="00421513">
        <w:rPr>
          <w:rFonts w:hint="eastAsia"/>
          <w:color w:val="000000"/>
        </w:rPr>
        <w:t>款；</w:t>
      </w:r>
      <w:r w:rsidRPr="00421513">
        <w:rPr>
          <w:color w:val="000000"/>
        </w:rPr>
        <w:t>《经济、社会及文化权利国际公约任择议定书》</w:t>
      </w:r>
      <w:r w:rsidRPr="00421513">
        <w:rPr>
          <w:rFonts w:hint="eastAsia"/>
          <w:color w:val="000000"/>
        </w:rPr>
        <w:t>，第九条第一款。</w:t>
      </w:r>
    </w:p>
  </w:footnote>
  <w:footnote w:id="996">
    <w:p w:rsidR="00AB00DE" w:rsidRPr="00421513" w:rsidRDefault="00AB00DE" w:rsidP="003E31C7">
      <w:pPr>
        <w:pStyle w:val="a4"/>
        <w:rPr>
          <w:color w:val="000000"/>
        </w:rPr>
      </w:pPr>
      <w:r w:rsidRPr="00A37112">
        <w:rPr>
          <w:color w:val="000000"/>
          <w:w w:val="104"/>
        </w:rPr>
        <w:tab/>
      </w:r>
      <w:r w:rsidRPr="00902223">
        <w:rPr>
          <w:rStyle w:val="a5"/>
          <w:w w:val="104"/>
          <w:szCs w:val="21"/>
        </w:rPr>
        <w:footnoteRef/>
      </w:r>
      <w:r w:rsidRPr="00A37112">
        <w:rPr>
          <w:color w:val="000000"/>
          <w:w w:val="104"/>
        </w:rPr>
        <w:tab/>
      </w:r>
      <w:r w:rsidRPr="00421513">
        <w:rPr>
          <w:rFonts w:hint="eastAsia"/>
          <w:color w:val="000000"/>
        </w:rPr>
        <w:t>见</w:t>
      </w:r>
      <w:hyperlink r:id="rId133" w:history="1">
        <w:r w:rsidRPr="00A37112">
          <w:rPr>
            <w:color w:val="000000"/>
          </w:rPr>
          <w:t>《消除一切形式种族歧视国际公约》</w:t>
        </w:r>
      </w:hyperlink>
      <w:r w:rsidRPr="00421513">
        <w:rPr>
          <w:rFonts w:hint="eastAsia"/>
          <w:color w:val="000000"/>
        </w:rPr>
        <w:t>，第九条第二款；</w:t>
      </w:r>
      <w:hyperlink r:id="rId134" w:history="1">
        <w:r w:rsidRPr="00A37112">
          <w:rPr>
            <w:color w:val="000000"/>
          </w:rPr>
          <w:t>《消除对妇女一切形式歧视公约》</w:t>
        </w:r>
      </w:hyperlink>
      <w:r w:rsidRPr="00421513">
        <w:rPr>
          <w:rFonts w:hint="eastAsia"/>
          <w:color w:val="000000"/>
        </w:rPr>
        <w:t>，第二十一条第</w:t>
      </w:r>
      <w:r w:rsidRPr="00421513">
        <w:rPr>
          <w:rFonts w:hint="eastAsia"/>
          <w:color w:val="000000"/>
        </w:rPr>
        <w:t>1</w:t>
      </w:r>
      <w:r w:rsidRPr="00421513">
        <w:rPr>
          <w:rFonts w:hint="eastAsia"/>
          <w:color w:val="000000"/>
        </w:rPr>
        <w:t>款；</w:t>
      </w:r>
      <w:hyperlink r:id="rId135" w:history="1">
        <w:r w:rsidRPr="00A37112">
          <w:rPr>
            <w:color w:val="000000"/>
          </w:rPr>
          <w:t>《儿童权利公约》</w:t>
        </w:r>
        <w:r w:rsidRPr="00A37112">
          <w:rPr>
            <w:color w:val="000000"/>
          </w:rPr>
          <w:t xml:space="preserve"> (1989</w:t>
        </w:r>
        <w:r w:rsidRPr="00A37112">
          <w:rPr>
            <w:rFonts w:hint="eastAsia"/>
            <w:color w:val="000000"/>
          </w:rPr>
          <w:t>年</w:t>
        </w:r>
        <w:r w:rsidRPr="00A37112">
          <w:rPr>
            <w:rFonts w:hint="eastAsia"/>
            <w:color w:val="000000"/>
          </w:rPr>
          <w:t>11</w:t>
        </w:r>
        <w:r w:rsidRPr="00A37112">
          <w:rPr>
            <w:rFonts w:hint="eastAsia"/>
            <w:color w:val="000000"/>
          </w:rPr>
          <w:t>月</w:t>
        </w:r>
        <w:r w:rsidRPr="00A37112">
          <w:rPr>
            <w:rFonts w:hint="eastAsia"/>
            <w:color w:val="000000"/>
          </w:rPr>
          <w:t>29</w:t>
        </w:r>
        <w:r w:rsidRPr="00A37112">
          <w:rPr>
            <w:rFonts w:hint="eastAsia"/>
            <w:color w:val="000000"/>
          </w:rPr>
          <w:t>日，纽约</w:t>
        </w:r>
        <w:r w:rsidRPr="00A37112">
          <w:rPr>
            <w:color w:val="000000"/>
          </w:rPr>
          <w:t>) (</w:t>
        </w:r>
        <w:r w:rsidRPr="00A37112">
          <w:rPr>
            <w:color w:val="000000"/>
          </w:rPr>
          <w:t>联合国，《条约汇编》，第</w:t>
        </w:r>
        <w:r w:rsidRPr="00A37112">
          <w:rPr>
            <w:color w:val="000000"/>
          </w:rPr>
          <w:t>1577</w:t>
        </w:r>
        <w:r w:rsidRPr="00A37112">
          <w:rPr>
            <w:color w:val="000000"/>
          </w:rPr>
          <w:t>卷，第</w:t>
        </w:r>
        <w:r w:rsidRPr="00A37112">
          <w:rPr>
            <w:color w:val="000000"/>
          </w:rPr>
          <w:t>27531</w:t>
        </w:r>
        <w:r w:rsidRPr="00A37112">
          <w:rPr>
            <w:color w:val="000000"/>
          </w:rPr>
          <w:t>号，第</w:t>
        </w:r>
        <w:r w:rsidRPr="00A37112">
          <w:rPr>
            <w:color w:val="000000"/>
          </w:rPr>
          <w:t>3</w:t>
        </w:r>
        <w:r w:rsidRPr="00A37112">
          <w:rPr>
            <w:color w:val="000000"/>
          </w:rPr>
          <w:t>页</w:t>
        </w:r>
        <w:r w:rsidRPr="00A37112">
          <w:rPr>
            <w:color w:val="000000"/>
          </w:rPr>
          <w:t>)</w:t>
        </w:r>
      </w:hyperlink>
      <w:r w:rsidRPr="00421513">
        <w:rPr>
          <w:rFonts w:hint="eastAsia"/>
          <w:color w:val="000000"/>
        </w:rPr>
        <w:t>，第四十五条</w:t>
      </w:r>
      <w:r w:rsidRPr="00421513">
        <w:rPr>
          <w:color w:val="000000"/>
        </w:rPr>
        <w:t>(d)</w:t>
      </w:r>
      <w:r w:rsidRPr="00421513">
        <w:rPr>
          <w:rFonts w:hint="eastAsia"/>
          <w:color w:val="000000"/>
        </w:rPr>
        <w:t>项；</w:t>
      </w:r>
      <w:hyperlink r:id="rId136" w:history="1">
        <w:r w:rsidRPr="00A37112">
          <w:rPr>
            <w:color w:val="000000"/>
          </w:rPr>
          <w:t>《保护所有人免遭强迫失踪国际公约》</w:t>
        </w:r>
      </w:hyperlink>
      <w:r w:rsidRPr="00421513">
        <w:rPr>
          <w:color w:val="000000"/>
        </w:rPr>
        <w:t>(2006</w:t>
      </w:r>
      <w:r w:rsidRPr="00421513">
        <w:rPr>
          <w:rFonts w:hint="eastAsia"/>
          <w:color w:val="000000"/>
        </w:rPr>
        <w:t>年</w:t>
      </w:r>
      <w:r w:rsidRPr="00421513">
        <w:rPr>
          <w:rFonts w:hint="eastAsia"/>
          <w:color w:val="000000"/>
        </w:rPr>
        <w:t>12</w:t>
      </w:r>
      <w:r w:rsidRPr="00421513">
        <w:rPr>
          <w:rFonts w:hint="eastAsia"/>
          <w:color w:val="000000"/>
        </w:rPr>
        <w:t>月</w:t>
      </w:r>
      <w:r w:rsidRPr="00421513">
        <w:rPr>
          <w:rFonts w:hint="eastAsia"/>
          <w:color w:val="000000"/>
        </w:rPr>
        <w:t>20</w:t>
      </w:r>
      <w:r w:rsidRPr="00421513">
        <w:rPr>
          <w:rFonts w:hint="eastAsia"/>
          <w:color w:val="000000"/>
        </w:rPr>
        <w:t>日，纽约</w:t>
      </w:r>
      <w:r w:rsidRPr="00421513">
        <w:rPr>
          <w:color w:val="000000"/>
        </w:rPr>
        <w:t>) (</w:t>
      </w:r>
      <w:r w:rsidRPr="00421513">
        <w:rPr>
          <w:rFonts w:hint="eastAsia"/>
          <w:color w:val="000000"/>
        </w:rPr>
        <w:t>同上</w:t>
      </w:r>
      <w:r w:rsidRPr="00421513">
        <w:rPr>
          <w:color w:val="000000"/>
        </w:rPr>
        <w:t>，第</w:t>
      </w:r>
      <w:r w:rsidRPr="00421513">
        <w:rPr>
          <w:color w:val="000000"/>
        </w:rPr>
        <w:t>2716</w:t>
      </w:r>
      <w:r w:rsidRPr="00421513">
        <w:rPr>
          <w:color w:val="000000"/>
        </w:rPr>
        <w:t>卷，第</w:t>
      </w:r>
      <w:r w:rsidRPr="00421513">
        <w:rPr>
          <w:color w:val="000000"/>
        </w:rPr>
        <w:t>48088</w:t>
      </w:r>
      <w:r w:rsidRPr="00421513">
        <w:rPr>
          <w:color w:val="000000"/>
        </w:rPr>
        <w:t>号，第</w:t>
      </w:r>
      <w:r w:rsidRPr="00421513">
        <w:rPr>
          <w:color w:val="000000"/>
        </w:rPr>
        <w:t>3</w:t>
      </w:r>
      <w:r w:rsidRPr="00421513">
        <w:rPr>
          <w:color w:val="000000"/>
        </w:rPr>
        <w:t>页</w:t>
      </w:r>
      <w:r w:rsidRPr="00421513">
        <w:rPr>
          <w:color w:val="000000"/>
        </w:rPr>
        <w:t>)</w:t>
      </w:r>
      <w:r w:rsidRPr="00421513">
        <w:rPr>
          <w:rFonts w:hint="eastAsia"/>
          <w:color w:val="000000"/>
        </w:rPr>
        <w:t>，第三十三条第五款；</w:t>
      </w:r>
      <w:hyperlink r:id="rId137" w:history="1">
        <w:r w:rsidRPr="00A37112">
          <w:rPr>
            <w:color w:val="000000"/>
          </w:rPr>
          <w:t>《联合国海洋法公约》</w:t>
        </w:r>
      </w:hyperlink>
      <w:r w:rsidRPr="00421513">
        <w:rPr>
          <w:color w:val="000000"/>
        </w:rPr>
        <w:t>(1982</w:t>
      </w:r>
      <w:r w:rsidRPr="00421513">
        <w:rPr>
          <w:rFonts w:hint="eastAsia"/>
          <w:color w:val="000000"/>
        </w:rPr>
        <w:t>年</w:t>
      </w:r>
      <w:r w:rsidRPr="00421513">
        <w:rPr>
          <w:rFonts w:hint="eastAsia"/>
          <w:color w:val="000000"/>
        </w:rPr>
        <w:t>12</w:t>
      </w:r>
      <w:r w:rsidRPr="00421513">
        <w:rPr>
          <w:rFonts w:hint="eastAsia"/>
          <w:color w:val="000000"/>
        </w:rPr>
        <w:t>月</w:t>
      </w:r>
      <w:r w:rsidRPr="00421513">
        <w:rPr>
          <w:rFonts w:hint="eastAsia"/>
          <w:color w:val="000000"/>
        </w:rPr>
        <w:t>10</w:t>
      </w:r>
      <w:r w:rsidRPr="00421513">
        <w:rPr>
          <w:rFonts w:hint="eastAsia"/>
          <w:color w:val="000000"/>
        </w:rPr>
        <w:t>日，蒙特哥湾</w:t>
      </w:r>
      <w:r w:rsidRPr="00421513">
        <w:rPr>
          <w:color w:val="000000"/>
        </w:rPr>
        <w:t>) (</w:t>
      </w:r>
      <w:r w:rsidRPr="00421513">
        <w:rPr>
          <w:rFonts w:hint="eastAsia"/>
          <w:color w:val="000000"/>
        </w:rPr>
        <w:t>同上</w:t>
      </w:r>
      <w:r w:rsidRPr="00421513">
        <w:rPr>
          <w:color w:val="000000"/>
        </w:rPr>
        <w:t>，第</w:t>
      </w:r>
      <w:r w:rsidRPr="00421513">
        <w:rPr>
          <w:color w:val="000000"/>
        </w:rPr>
        <w:t>1833</w:t>
      </w:r>
      <w:r w:rsidRPr="00421513">
        <w:rPr>
          <w:color w:val="000000"/>
        </w:rPr>
        <w:t>卷，第</w:t>
      </w:r>
      <w:r w:rsidRPr="00421513">
        <w:rPr>
          <w:color w:val="000000"/>
        </w:rPr>
        <w:t>31363</w:t>
      </w:r>
      <w:r w:rsidRPr="00421513">
        <w:rPr>
          <w:color w:val="000000"/>
        </w:rPr>
        <w:t>号，第</w:t>
      </w:r>
      <w:r w:rsidRPr="00421513">
        <w:rPr>
          <w:color w:val="000000"/>
        </w:rPr>
        <w:t>3</w:t>
      </w:r>
      <w:r w:rsidRPr="00421513">
        <w:rPr>
          <w:color w:val="000000"/>
        </w:rPr>
        <w:t>页</w:t>
      </w:r>
      <w:r w:rsidRPr="00421513">
        <w:rPr>
          <w:color w:val="000000"/>
        </w:rPr>
        <w:t>)</w:t>
      </w:r>
      <w:r w:rsidRPr="00421513">
        <w:rPr>
          <w:rFonts w:hint="eastAsia"/>
          <w:color w:val="000000"/>
        </w:rPr>
        <w:t>，第七十六条第</w:t>
      </w:r>
      <w:r w:rsidRPr="00421513">
        <w:rPr>
          <w:rFonts w:hint="eastAsia"/>
          <w:color w:val="000000"/>
        </w:rPr>
        <w:t>8</w:t>
      </w:r>
      <w:r w:rsidRPr="00421513">
        <w:rPr>
          <w:rFonts w:hint="eastAsia"/>
          <w:color w:val="000000"/>
        </w:rPr>
        <w:t>款。</w:t>
      </w:r>
    </w:p>
  </w:footnote>
  <w:footnote w:id="997">
    <w:p w:rsidR="00AB00DE" w:rsidRPr="00A37112" w:rsidRDefault="00AB00DE" w:rsidP="003E31C7">
      <w:pPr>
        <w:pStyle w:val="a4"/>
        <w:rPr>
          <w:color w:val="000000"/>
          <w:spacing w:val="5"/>
          <w:w w:val="104"/>
        </w:rPr>
      </w:pPr>
      <w:r w:rsidRPr="00A37112">
        <w:rPr>
          <w:color w:val="000000"/>
          <w:spacing w:val="5"/>
          <w:w w:val="104"/>
        </w:rPr>
        <w:tab/>
      </w:r>
      <w:r w:rsidRPr="00902223">
        <w:rPr>
          <w:rStyle w:val="a5"/>
          <w:w w:val="104"/>
          <w:szCs w:val="21"/>
        </w:rPr>
        <w:footnoteRef/>
      </w:r>
      <w:r w:rsidRPr="00A37112">
        <w:rPr>
          <w:rFonts w:hint="eastAsia"/>
          <w:color w:val="000000"/>
          <w:spacing w:val="5"/>
          <w:w w:val="104"/>
        </w:rPr>
        <w:tab/>
      </w:r>
      <w:r w:rsidRPr="00421513">
        <w:rPr>
          <w:rFonts w:hint="eastAsia"/>
          <w:color w:val="000000"/>
        </w:rPr>
        <w:t>见</w:t>
      </w:r>
      <w:hyperlink r:id="rId138" w:history="1">
        <w:r w:rsidRPr="00A37112">
          <w:rPr>
            <w:color w:val="000000"/>
          </w:rPr>
          <w:t>《禁止酷刑和其他残忍、不人道或有辱人格的待遇或处罚公约》</w:t>
        </w:r>
      </w:hyperlink>
      <w:r w:rsidRPr="00421513">
        <w:rPr>
          <w:rFonts w:hint="eastAsia"/>
          <w:color w:val="000000"/>
        </w:rPr>
        <w:t>，第</w:t>
      </w:r>
      <w:r w:rsidRPr="00421513">
        <w:rPr>
          <w:color w:val="000000"/>
        </w:rPr>
        <w:t>19</w:t>
      </w:r>
      <w:r w:rsidRPr="00421513">
        <w:rPr>
          <w:rFonts w:hint="eastAsia"/>
          <w:color w:val="000000"/>
        </w:rPr>
        <w:t>条第</w:t>
      </w:r>
      <w:r w:rsidRPr="00421513">
        <w:rPr>
          <w:color w:val="000000"/>
        </w:rPr>
        <w:t>3</w:t>
      </w:r>
      <w:r w:rsidRPr="00421513">
        <w:rPr>
          <w:rFonts w:hint="eastAsia"/>
          <w:color w:val="000000"/>
        </w:rPr>
        <w:t>款；</w:t>
      </w:r>
      <w:hyperlink r:id="rId139" w:history="1">
        <w:r w:rsidRPr="00A37112">
          <w:rPr>
            <w:color w:val="000000"/>
          </w:rPr>
          <w:t>《公民权利和政治权利国际公约》</w:t>
        </w:r>
      </w:hyperlink>
      <w:r w:rsidRPr="00421513">
        <w:rPr>
          <w:rFonts w:hint="eastAsia"/>
          <w:color w:val="000000"/>
        </w:rPr>
        <w:t>，第四十条第四款；</w:t>
      </w:r>
      <w:hyperlink r:id="rId140" w:history="1">
        <w:r w:rsidRPr="00A37112">
          <w:rPr>
            <w:color w:val="000000"/>
          </w:rPr>
          <w:t>《保护所有移徙工人及其家庭成员权利国际公约》</w:t>
        </w:r>
        <w:r w:rsidRPr="00A37112">
          <w:rPr>
            <w:color w:val="000000"/>
          </w:rPr>
          <w:t>(1990</w:t>
        </w:r>
        <w:r w:rsidRPr="00A37112">
          <w:rPr>
            <w:rFonts w:hint="eastAsia"/>
            <w:color w:val="000000"/>
          </w:rPr>
          <w:t>年</w:t>
        </w:r>
        <w:r w:rsidRPr="00A37112">
          <w:rPr>
            <w:rFonts w:hint="eastAsia"/>
            <w:color w:val="000000"/>
          </w:rPr>
          <w:t>12</w:t>
        </w:r>
        <w:r w:rsidRPr="00A37112">
          <w:rPr>
            <w:rFonts w:hint="eastAsia"/>
            <w:color w:val="000000"/>
          </w:rPr>
          <w:t>月</w:t>
        </w:r>
        <w:r w:rsidRPr="00A37112">
          <w:rPr>
            <w:rFonts w:hint="eastAsia"/>
            <w:color w:val="000000"/>
          </w:rPr>
          <w:t>18</w:t>
        </w:r>
        <w:r w:rsidRPr="00A37112">
          <w:rPr>
            <w:rFonts w:hint="eastAsia"/>
            <w:color w:val="000000"/>
          </w:rPr>
          <w:t>日，纽约</w:t>
        </w:r>
        <w:r w:rsidRPr="00A37112">
          <w:rPr>
            <w:color w:val="000000"/>
          </w:rPr>
          <w:t>) (</w:t>
        </w:r>
        <w:r w:rsidRPr="00A37112">
          <w:rPr>
            <w:color w:val="000000"/>
          </w:rPr>
          <w:t>联合国，《条约汇编》，第</w:t>
        </w:r>
        <w:r w:rsidRPr="00A37112">
          <w:rPr>
            <w:color w:val="000000"/>
          </w:rPr>
          <w:t>2220</w:t>
        </w:r>
        <w:r w:rsidRPr="00A37112">
          <w:rPr>
            <w:color w:val="000000"/>
          </w:rPr>
          <w:t>卷，第</w:t>
        </w:r>
        <w:r w:rsidRPr="00A37112">
          <w:rPr>
            <w:color w:val="000000"/>
          </w:rPr>
          <w:t>39481</w:t>
        </w:r>
        <w:r w:rsidRPr="00A37112">
          <w:rPr>
            <w:color w:val="000000"/>
          </w:rPr>
          <w:t>号，第</w:t>
        </w:r>
        <w:r w:rsidRPr="00A37112">
          <w:rPr>
            <w:color w:val="000000"/>
          </w:rPr>
          <w:t>3</w:t>
        </w:r>
        <w:r w:rsidRPr="00A37112">
          <w:rPr>
            <w:color w:val="000000"/>
          </w:rPr>
          <w:t>页</w:t>
        </w:r>
      </w:hyperlink>
      <w:r w:rsidRPr="00A37112">
        <w:rPr>
          <w:color w:val="000000"/>
        </w:rPr>
        <w:t>)</w:t>
      </w:r>
      <w:r w:rsidRPr="00A37112">
        <w:rPr>
          <w:rFonts w:hint="eastAsia"/>
          <w:color w:val="000000"/>
        </w:rPr>
        <w:t>，第</w:t>
      </w:r>
      <w:r w:rsidRPr="00A37112">
        <w:rPr>
          <w:rFonts w:hint="eastAsia"/>
          <w:color w:val="000000"/>
        </w:rPr>
        <w:t>74</w:t>
      </w:r>
      <w:r w:rsidRPr="00A37112">
        <w:rPr>
          <w:rFonts w:hint="eastAsia"/>
          <w:color w:val="000000"/>
        </w:rPr>
        <w:t>条</w:t>
      </w:r>
      <w:r w:rsidRPr="00421513">
        <w:rPr>
          <w:rFonts w:hint="eastAsia"/>
          <w:color w:val="000000"/>
        </w:rPr>
        <w:t>。</w:t>
      </w:r>
    </w:p>
  </w:footnote>
  <w:footnote w:id="998">
    <w:p w:rsidR="00AB00DE" w:rsidRPr="00421513" w:rsidRDefault="00AB00DE" w:rsidP="00560424">
      <w:pPr>
        <w:pStyle w:val="a4"/>
        <w:rPr>
          <w:color w:val="000000"/>
        </w:rPr>
      </w:pPr>
      <w:r w:rsidRPr="00A37112">
        <w:rPr>
          <w:color w:val="000000"/>
          <w:w w:val="104"/>
        </w:rPr>
        <w:tab/>
      </w:r>
      <w:r w:rsidRPr="00902223">
        <w:rPr>
          <w:rStyle w:val="a5"/>
          <w:w w:val="104"/>
          <w:szCs w:val="21"/>
        </w:rPr>
        <w:footnoteRef/>
      </w:r>
      <w:r w:rsidRPr="00A37112">
        <w:rPr>
          <w:color w:val="000000"/>
          <w:w w:val="104"/>
        </w:rPr>
        <w:tab/>
      </w:r>
      <w:r w:rsidRPr="00421513">
        <w:rPr>
          <w:rFonts w:hint="eastAsia"/>
          <w:color w:val="000000"/>
        </w:rPr>
        <w:t>关于审查遵约情况的第</w:t>
      </w:r>
      <w:r w:rsidRPr="00421513">
        <w:rPr>
          <w:color w:val="000000"/>
        </w:rPr>
        <w:t>I/7</w:t>
      </w:r>
      <w:r w:rsidRPr="00421513">
        <w:rPr>
          <w:rFonts w:hint="eastAsia"/>
          <w:color w:val="000000"/>
        </w:rPr>
        <w:t>号决定</w:t>
      </w:r>
      <w:r w:rsidRPr="00421513">
        <w:rPr>
          <w:color w:val="000000"/>
        </w:rPr>
        <w:t>(</w:t>
      </w:r>
      <w:r w:rsidRPr="00421513">
        <w:rPr>
          <w:rFonts w:hint="eastAsia"/>
          <w:color w:val="000000"/>
        </w:rPr>
        <w:t>见上文脚注</w:t>
      </w:r>
      <w:r>
        <w:rPr>
          <w:color w:val="000000"/>
        </w:rPr>
        <w:fldChar w:fldCharType="begin"/>
      </w:r>
      <w:r>
        <w:rPr>
          <w:color w:val="000000"/>
        </w:rPr>
        <w:instrText xml:space="preserve"> </w:instrText>
      </w:r>
      <w:r>
        <w:rPr>
          <w:rFonts w:hint="eastAsia"/>
          <w:color w:val="000000"/>
        </w:rPr>
        <w:instrText>NOTEREF _Ref444758618 \h</w:instrText>
      </w:r>
      <w:r>
        <w:rPr>
          <w:color w:val="000000"/>
        </w:rPr>
        <w:instrText xml:space="preserve"> </w:instrText>
      </w:r>
      <w:r>
        <w:rPr>
          <w:color w:val="000000"/>
        </w:rPr>
      </w:r>
      <w:r>
        <w:rPr>
          <w:color w:val="000000"/>
        </w:rPr>
        <w:fldChar w:fldCharType="separate"/>
      </w:r>
      <w:r w:rsidR="00A73EB9">
        <w:rPr>
          <w:color w:val="000000"/>
        </w:rPr>
        <w:t>985</w:t>
      </w:r>
      <w:r>
        <w:rPr>
          <w:color w:val="000000"/>
        </w:rPr>
        <w:fldChar w:fldCharType="end"/>
      </w:r>
      <w:r w:rsidRPr="00421513">
        <w:rPr>
          <w:color w:val="000000"/>
        </w:rPr>
        <w:t>)</w:t>
      </w:r>
      <w:r w:rsidRPr="00421513">
        <w:rPr>
          <w:rFonts w:hint="eastAsia"/>
          <w:color w:val="000000"/>
        </w:rPr>
        <w:t>，第十一节，第</w:t>
      </w:r>
      <w:r w:rsidRPr="00421513">
        <w:rPr>
          <w:rFonts w:hint="eastAsia"/>
          <w:color w:val="000000"/>
        </w:rPr>
        <w:t>36</w:t>
      </w:r>
      <w:r w:rsidRPr="00421513">
        <w:rPr>
          <w:rFonts w:hint="eastAsia"/>
          <w:color w:val="000000"/>
        </w:rPr>
        <w:t>段，和第十二节，第</w:t>
      </w:r>
      <w:r w:rsidRPr="00421513">
        <w:rPr>
          <w:rFonts w:hint="eastAsia"/>
          <w:color w:val="000000"/>
        </w:rPr>
        <w:t>37</w:t>
      </w:r>
      <w:r w:rsidRPr="00421513">
        <w:rPr>
          <w:rFonts w:hint="eastAsia"/>
          <w:color w:val="000000"/>
        </w:rPr>
        <w:t>段；</w:t>
      </w:r>
      <w:hyperlink r:id="rId141" w:history="1">
        <w:r w:rsidRPr="00A37112">
          <w:rPr>
            <w:rFonts w:hint="eastAsia"/>
            <w:color w:val="000000"/>
          </w:rPr>
          <w:t>《麻醉品单一公约》</w:t>
        </w:r>
      </w:hyperlink>
      <w:r w:rsidRPr="00421513">
        <w:rPr>
          <w:rFonts w:hint="eastAsia"/>
          <w:color w:val="000000"/>
        </w:rPr>
        <w:t>，第十四条。</w:t>
      </w:r>
    </w:p>
  </w:footnote>
  <w:footnote w:id="999">
    <w:p w:rsidR="00AB00DE" w:rsidRPr="00421513" w:rsidRDefault="00AB00DE" w:rsidP="003E31C7">
      <w:pPr>
        <w:pStyle w:val="a4"/>
        <w:rPr>
          <w:color w:val="000000"/>
        </w:rPr>
      </w:pPr>
      <w:r w:rsidRPr="00A37112">
        <w:rPr>
          <w:color w:val="000000"/>
          <w:w w:val="104"/>
        </w:rPr>
        <w:tab/>
      </w:r>
      <w:r w:rsidRPr="00902223">
        <w:rPr>
          <w:rStyle w:val="a5"/>
          <w:w w:val="104"/>
          <w:szCs w:val="21"/>
        </w:rPr>
        <w:footnoteRef/>
      </w:r>
      <w:r w:rsidRPr="00A37112">
        <w:rPr>
          <w:color w:val="000000"/>
          <w:w w:val="104"/>
        </w:rPr>
        <w:tab/>
      </w:r>
      <w:r w:rsidRPr="00A37112">
        <w:rPr>
          <w:rFonts w:hint="eastAsia"/>
          <w:color w:val="000000"/>
        </w:rPr>
        <w:t>关于与《京都议定书》规定的遵约有关的程序和机制的第</w:t>
      </w:r>
      <w:r w:rsidRPr="00A37112">
        <w:rPr>
          <w:color w:val="000000"/>
        </w:rPr>
        <w:t>24/CP.7</w:t>
      </w:r>
      <w:r w:rsidRPr="00A37112">
        <w:rPr>
          <w:rFonts w:hint="eastAsia"/>
          <w:color w:val="000000"/>
        </w:rPr>
        <w:t>号决定</w:t>
      </w:r>
      <w:r w:rsidRPr="00421513">
        <w:rPr>
          <w:rFonts w:hint="eastAsia"/>
          <w:color w:val="000000"/>
        </w:rPr>
        <w:t>(</w:t>
      </w:r>
      <w:r w:rsidRPr="00421513">
        <w:rPr>
          <w:rFonts w:hint="eastAsia"/>
          <w:color w:val="000000"/>
        </w:rPr>
        <w:t>见上文脚注</w:t>
      </w:r>
      <w:r w:rsidRPr="00A37112">
        <w:rPr>
          <w:color w:val="000000"/>
          <w:w w:val="104"/>
        </w:rPr>
        <w:fldChar w:fldCharType="begin"/>
      </w:r>
      <w:r w:rsidRPr="00A37112">
        <w:rPr>
          <w:color w:val="000000"/>
          <w:w w:val="104"/>
        </w:rPr>
        <w:instrText xml:space="preserve"> NOTEREF _Ref444758571 \h  \* MERGEFORMAT </w:instrText>
      </w:r>
      <w:r w:rsidRPr="00A37112">
        <w:rPr>
          <w:color w:val="000000"/>
          <w:w w:val="104"/>
        </w:rPr>
      </w:r>
      <w:r w:rsidRPr="00A37112">
        <w:rPr>
          <w:color w:val="000000"/>
          <w:w w:val="104"/>
        </w:rPr>
        <w:fldChar w:fldCharType="separate"/>
      </w:r>
      <w:r w:rsidR="00A73EB9">
        <w:rPr>
          <w:color w:val="000000"/>
          <w:w w:val="104"/>
        </w:rPr>
        <w:t>993</w:t>
      </w:r>
      <w:r w:rsidRPr="00A37112">
        <w:rPr>
          <w:color w:val="000000"/>
          <w:w w:val="104"/>
        </w:rPr>
        <w:fldChar w:fldCharType="end"/>
      </w:r>
      <w:r w:rsidRPr="00A37112">
        <w:rPr>
          <w:color w:val="000000"/>
          <w:w w:val="104"/>
        </w:rPr>
        <w:t>)</w:t>
      </w:r>
      <w:r w:rsidRPr="00A37112">
        <w:rPr>
          <w:rFonts w:hint="eastAsia"/>
          <w:color w:val="000000"/>
          <w:w w:val="104"/>
        </w:rPr>
        <w:t>，</w:t>
      </w:r>
      <w:r w:rsidRPr="00421513">
        <w:rPr>
          <w:rFonts w:hint="eastAsia"/>
          <w:color w:val="000000"/>
        </w:rPr>
        <w:t>附件，第十五节。</w:t>
      </w:r>
    </w:p>
  </w:footnote>
  <w:footnote w:id="1000">
    <w:p w:rsidR="00AB00DE" w:rsidRPr="00A37112" w:rsidRDefault="00AB00DE" w:rsidP="00560424">
      <w:pPr>
        <w:pStyle w:val="a4"/>
        <w:rPr>
          <w:w w:val="104"/>
        </w:rPr>
      </w:pPr>
      <w:r w:rsidRPr="00A37112">
        <w:rPr>
          <w:color w:val="000000"/>
          <w:w w:val="104"/>
        </w:rPr>
        <w:tab/>
      </w:r>
      <w:r w:rsidRPr="00902223">
        <w:rPr>
          <w:rStyle w:val="a5"/>
          <w:w w:val="104"/>
          <w:szCs w:val="21"/>
        </w:rPr>
        <w:footnoteRef/>
      </w:r>
      <w:r w:rsidRPr="00A37112">
        <w:rPr>
          <w:color w:val="000000"/>
          <w:w w:val="104"/>
        </w:rPr>
        <w:tab/>
      </w:r>
      <w:r w:rsidRPr="00421513">
        <w:rPr>
          <w:rFonts w:hint="eastAsia"/>
          <w:color w:val="000000"/>
        </w:rPr>
        <w:t>见</w:t>
      </w:r>
      <w:r w:rsidRPr="00421513">
        <w:rPr>
          <w:color w:val="000000"/>
        </w:rPr>
        <w:t>《大会正式记录，</w:t>
      </w:r>
      <w:r w:rsidRPr="00421513">
        <w:rPr>
          <w:rFonts w:hint="eastAsia"/>
          <w:color w:val="000000"/>
        </w:rPr>
        <w:t>第七十届会议，补编第</w:t>
      </w:r>
      <w:r w:rsidRPr="00421513">
        <w:rPr>
          <w:color w:val="000000"/>
        </w:rPr>
        <w:t>10</w:t>
      </w:r>
      <w:r w:rsidRPr="00421513">
        <w:rPr>
          <w:rFonts w:hint="eastAsia"/>
          <w:color w:val="000000"/>
        </w:rPr>
        <w:t>号》</w:t>
      </w:r>
      <w:r w:rsidRPr="00421513">
        <w:rPr>
          <w:color w:val="000000"/>
        </w:rPr>
        <w:t>(</w:t>
      </w:r>
      <w:hyperlink r:id="rId142" w:history="1">
        <w:r w:rsidRPr="00A37112">
          <w:rPr>
            <w:color w:val="000000"/>
          </w:rPr>
          <w:t>A/70/10</w:t>
        </w:r>
      </w:hyperlink>
      <w:r w:rsidRPr="00421513">
        <w:rPr>
          <w:color w:val="000000"/>
        </w:rPr>
        <w:t>)</w:t>
      </w:r>
      <w:r w:rsidRPr="00421513">
        <w:rPr>
          <w:rFonts w:hint="eastAsia"/>
          <w:color w:val="000000"/>
        </w:rPr>
        <w:t>，第三章，第</w:t>
      </w:r>
      <w:r w:rsidRPr="00421513">
        <w:rPr>
          <w:color w:val="000000"/>
        </w:rPr>
        <w:t>26 (b)</w:t>
      </w:r>
      <w:r>
        <w:rPr>
          <w:rFonts w:hint="eastAsia"/>
          <w:color w:val="000000"/>
        </w:rPr>
        <w:t>段；另</w:t>
      </w:r>
      <w:r w:rsidRPr="00421513">
        <w:rPr>
          <w:rFonts w:hint="eastAsia"/>
          <w:color w:val="000000"/>
        </w:rPr>
        <w:t>见“关于联合国人权条约机构调查结果影响的最后报告”，国际法协会，</w:t>
      </w:r>
      <w:r w:rsidRPr="00421513">
        <w:rPr>
          <w:rFonts w:ascii="Time New Roman" w:eastAsia="楷体" w:hAnsi="Time New Roman" w:hint="eastAsia"/>
          <w:color w:val="000000"/>
        </w:rPr>
        <w:t>第七十一届会议报告</w:t>
      </w:r>
      <w:r>
        <w:rPr>
          <w:rFonts w:hint="eastAsia"/>
          <w:color w:val="000000"/>
        </w:rPr>
        <w:t xml:space="preserve"> (</w:t>
      </w:r>
      <w:r w:rsidRPr="00421513">
        <w:rPr>
          <w:rFonts w:hint="eastAsia"/>
          <w:color w:val="000000"/>
        </w:rPr>
        <w:t>见上文脚注</w:t>
      </w:r>
      <w:r>
        <w:rPr>
          <w:color w:val="000000"/>
        </w:rPr>
        <w:fldChar w:fldCharType="begin"/>
      </w:r>
      <w:r>
        <w:rPr>
          <w:color w:val="000000"/>
        </w:rPr>
        <w:instrText xml:space="preserve"> </w:instrText>
      </w:r>
      <w:r>
        <w:rPr>
          <w:rFonts w:hint="eastAsia"/>
          <w:color w:val="000000"/>
        </w:rPr>
        <w:instrText>NOTEREF _Ref461977454 \h</w:instrText>
      </w:r>
      <w:r>
        <w:rPr>
          <w:color w:val="000000"/>
        </w:rPr>
        <w:instrText xml:space="preserve"> </w:instrText>
      </w:r>
      <w:r>
        <w:rPr>
          <w:color w:val="000000"/>
        </w:rPr>
      </w:r>
      <w:r>
        <w:rPr>
          <w:color w:val="000000"/>
        </w:rPr>
        <w:fldChar w:fldCharType="separate"/>
      </w:r>
      <w:r w:rsidR="00A73EB9">
        <w:rPr>
          <w:color w:val="000000"/>
        </w:rPr>
        <w:t>540</w:t>
      </w:r>
      <w:r>
        <w:rPr>
          <w:color w:val="000000"/>
        </w:rPr>
        <w:fldChar w:fldCharType="end"/>
      </w:r>
      <w:r>
        <w:rPr>
          <w:rFonts w:hint="eastAsia"/>
          <w:color w:val="000000"/>
        </w:rPr>
        <w:t>)</w:t>
      </w:r>
      <w:r w:rsidRPr="00A37112">
        <w:rPr>
          <w:rFonts w:hint="eastAsia"/>
        </w:rPr>
        <w:t>第</w:t>
      </w:r>
      <w:r w:rsidRPr="00A37112">
        <w:rPr>
          <w:rFonts w:hint="eastAsia"/>
        </w:rPr>
        <w:t>5</w:t>
      </w:r>
      <w:r w:rsidRPr="00A37112">
        <w:rPr>
          <w:rFonts w:hint="eastAsia"/>
        </w:rPr>
        <w:t>页，第</w:t>
      </w:r>
      <w:r w:rsidRPr="00A37112">
        <w:rPr>
          <w:rFonts w:hint="eastAsia"/>
        </w:rPr>
        <w:t>15</w:t>
      </w:r>
      <w:r w:rsidRPr="00A37112">
        <w:rPr>
          <w:rFonts w:hint="eastAsia"/>
        </w:rPr>
        <w:t>段；</w:t>
      </w:r>
      <w:r w:rsidRPr="005715FC">
        <w:rPr>
          <w:w w:val="104"/>
        </w:rPr>
        <w:t>European Commission for Democracy through Law (Venice Commission), “Report on the implementation of international human rights treaties in domestic law and the role of courts” (</w:t>
      </w:r>
      <w:hyperlink r:id="rId143" w:history="1">
        <w:r w:rsidRPr="005715FC">
          <w:rPr>
            <w:w w:val="104"/>
          </w:rPr>
          <w:t>CDL-AD(2014)036</w:t>
        </w:r>
      </w:hyperlink>
      <w:r w:rsidRPr="005715FC">
        <w:rPr>
          <w:w w:val="104"/>
        </w:rPr>
        <w:t>), adopted by the Venice Commission at its 100th plenary session (Rome, 10-11 October 2014), p. 31, para. 78</w:t>
      </w:r>
      <w:r w:rsidRPr="00A37112">
        <w:rPr>
          <w:w w:val="104"/>
        </w:rPr>
        <w:t>.</w:t>
      </w:r>
    </w:p>
  </w:footnote>
  <w:footnote w:id="1001">
    <w:p w:rsidR="00AB00DE" w:rsidRPr="00A37112" w:rsidRDefault="00AB00DE" w:rsidP="00BA6448">
      <w:pPr>
        <w:pStyle w:val="a4"/>
        <w:rPr>
          <w:color w:val="000000"/>
        </w:rPr>
      </w:pPr>
      <w:r w:rsidRPr="00A37112">
        <w:rPr>
          <w:color w:val="000000"/>
          <w:w w:val="104"/>
        </w:rPr>
        <w:tab/>
      </w:r>
      <w:r w:rsidRPr="00902223">
        <w:rPr>
          <w:rStyle w:val="a5"/>
          <w:w w:val="104"/>
          <w:szCs w:val="21"/>
        </w:rPr>
        <w:footnoteRef/>
      </w:r>
      <w:r w:rsidRPr="00A37112">
        <w:rPr>
          <w:color w:val="000000"/>
          <w:w w:val="104"/>
        </w:rPr>
        <w:tab/>
      </w:r>
      <w:r w:rsidRPr="00A37112">
        <w:rPr>
          <w:rFonts w:hint="eastAsia"/>
          <w:color w:val="000000"/>
        </w:rPr>
        <w:t>见</w:t>
      </w:r>
      <w:hyperlink r:id="rId144" w:history="1">
        <w:r w:rsidRPr="00A37112">
          <w:rPr>
            <w:rFonts w:eastAsia="楷体"/>
            <w:color w:val="000000"/>
          </w:rPr>
          <w:t>艾哈迈杜</w:t>
        </w:r>
        <w:r w:rsidRPr="00A37112">
          <w:rPr>
            <w:rFonts w:eastAsia="楷体" w:hint="eastAsia"/>
            <w:color w:val="000000"/>
          </w:rPr>
          <w:t>·</w:t>
        </w:r>
        <w:r w:rsidRPr="00A37112">
          <w:rPr>
            <w:rFonts w:eastAsia="楷体"/>
            <w:color w:val="000000"/>
          </w:rPr>
          <w:t>萨迪奥</w:t>
        </w:r>
        <w:r w:rsidRPr="00A37112">
          <w:rPr>
            <w:rFonts w:eastAsia="楷体" w:hint="eastAsia"/>
            <w:color w:val="000000"/>
          </w:rPr>
          <w:t>·</w:t>
        </w:r>
        <w:r w:rsidRPr="00A37112">
          <w:rPr>
            <w:rFonts w:eastAsia="楷体"/>
            <w:color w:val="000000"/>
          </w:rPr>
          <w:t>迪亚洛</w:t>
        </w:r>
        <w:r w:rsidRPr="00A37112">
          <w:rPr>
            <w:color w:val="000000"/>
          </w:rPr>
          <w:t>案</w:t>
        </w:r>
        <w:r w:rsidRPr="00A37112">
          <w:rPr>
            <w:color w:val="000000"/>
          </w:rPr>
          <w:t>(</w:t>
        </w:r>
        <w:r w:rsidRPr="00A37112">
          <w:rPr>
            <w:color w:val="000000"/>
          </w:rPr>
          <w:t>几内亚共和国诉刚果民主共和国</w:t>
        </w:r>
        <w:r w:rsidRPr="00A37112">
          <w:rPr>
            <w:color w:val="000000"/>
          </w:rPr>
          <w:t>)</w:t>
        </w:r>
        <w:r w:rsidRPr="00A37112">
          <w:rPr>
            <w:color w:val="000000"/>
          </w:rPr>
          <w:t>，案情实质，判决，《</w:t>
        </w:r>
        <w:r w:rsidRPr="00A37112">
          <w:rPr>
            <w:color w:val="000000"/>
          </w:rPr>
          <w:t>2010</w:t>
        </w:r>
        <w:r w:rsidRPr="00A37112">
          <w:rPr>
            <w:color w:val="000000"/>
          </w:rPr>
          <w:t>年国际法院案例汇编》，第</w:t>
        </w:r>
        <w:r w:rsidRPr="00A37112">
          <w:rPr>
            <w:color w:val="000000"/>
          </w:rPr>
          <w:t>639</w:t>
        </w:r>
        <w:r w:rsidRPr="00A37112">
          <w:rPr>
            <w:color w:val="000000"/>
          </w:rPr>
          <w:t>页起，见第</w:t>
        </w:r>
        <w:r w:rsidRPr="00A37112">
          <w:rPr>
            <w:color w:val="000000"/>
          </w:rPr>
          <w:t>663-664</w:t>
        </w:r>
        <w:r w:rsidRPr="00A37112">
          <w:rPr>
            <w:color w:val="000000"/>
          </w:rPr>
          <w:t>页，第</w:t>
        </w:r>
        <w:r w:rsidRPr="00A37112">
          <w:rPr>
            <w:color w:val="000000"/>
          </w:rPr>
          <w:t>66</w:t>
        </w:r>
        <w:r w:rsidRPr="00A37112">
          <w:rPr>
            <w:color w:val="000000"/>
          </w:rPr>
          <w:t>段</w:t>
        </w:r>
      </w:hyperlink>
      <w:r w:rsidRPr="00A37112">
        <w:rPr>
          <w:rFonts w:hint="eastAsia"/>
          <w:color w:val="000000"/>
        </w:rPr>
        <w:t>；</w:t>
      </w:r>
      <w:r w:rsidRPr="005715FC">
        <w:t>Rodley, “The role and impact of treaty bodies”</w:t>
      </w:r>
      <w:r w:rsidRPr="00A37112">
        <w:rPr>
          <w:color w:val="000000"/>
        </w:rPr>
        <w:t>(</w:t>
      </w:r>
      <w:r w:rsidRPr="00A37112">
        <w:rPr>
          <w:rFonts w:hint="eastAsia"/>
          <w:color w:val="000000"/>
        </w:rPr>
        <w:t>上文脚注</w:t>
      </w:r>
      <w:r>
        <w:rPr>
          <w:color w:val="000000"/>
        </w:rPr>
        <w:fldChar w:fldCharType="begin"/>
      </w:r>
      <w:r>
        <w:rPr>
          <w:color w:val="000000"/>
        </w:rPr>
        <w:instrText xml:space="preserve"> </w:instrText>
      </w:r>
      <w:r>
        <w:rPr>
          <w:rFonts w:hint="eastAsia"/>
          <w:color w:val="000000"/>
        </w:rPr>
        <w:instrText>NOTEREF _Ref461984204 \h</w:instrText>
      </w:r>
      <w:r>
        <w:rPr>
          <w:color w:val="000000"/>
        </w:rPr>
        <w:instrText xml:space="preserve"> </w:instrText>
      </w:r>
      <w:r>
        <w:rPr>
          <w:color w:val="000000"/>
        </w:rPr>
      </w:r>
      <w:r>
        <w:rPr>
          <w:color w:val="000000"/>
        </w:rPr>
        <w:fldChar w:fldCharType="separate"/>
      </w:r>
      <w:r w:rsidR="00A73EB9">
        <w:rPr>
          <w:color w:val="000000"/>
        </w:rPr>
        <w:t>977</w:t>
      </w:r>
      <w:r>
        <w:rPr>
          <w:color w:val="000000"/>
        </w:rPr>
        <w:fldChar w:fldCharType="end"/>
      </w:r>
      <w:r w:rsidRPr="005715FC">
        <w:rPr>
          <w:w w:val="104"/>
        </w:rPr>
        <w:t>)</w:t>
      </w:r>
      <w:r w:rsidRPr="005715FC">
        <w:t>, p. 640</w:t>
      </w:r>
      <w:r w:rsidRPr="005715FC">
        <w:rPr>
          <w:w w:val="104"/>
        </w:rPr>
        <w:t xml:space="preserve">; </w:t>
      </w:r>
      <w:r w:rsidRPr="005715FC">
        <w:rPr>
          <w:i/>
          <w:iCs/>
          <w:w w:val="104"/>
        </w:rPr>
        <w:t>Case Law of the Aarhus Convention Compliance Committee (2004-2011)</w:t>
      </w:r>
      <w:r w:rsidRPr="005715FC">
        <w:rPr>
          <w:w w:val="104"/>
        </w:rPr>
        <w:t xml:space="preserve">, 2nd edition, A. Andrusevych, T. Alge and C. Konrad, eds. (Lviv, </w:t>
      </w:r>
      <w:r w:rsidRPr="005715FC">
        <w:rPr>
          <w:rFonts w:asciiTheme="majorBidi" w:hAnsiTheme="majorBidi" w:cstheme="majorBidi"/>
        </w:rPr>
        <w:t>Resource and Analysis Center “Society and Environment”</w:t>
      </w:r>
      <w:r w:rsidRPr="005715FC">
        <w:rPr>
          <w:rFonts w:ascii="GaramondC-Light" w:hAnsi="GaramondC-Light" w:cs="GaramondC-Light"/>
        </w:rPr>
        <w:t>,</w:t>
      </w:r>
      <w:r w:rsidRPr="005715FC">
        <w:rPr>
          <w:w w:val="104"/>
        </w:rPr>
        <w:t xml:space="preserve"> 2011);</w:t>
      </w:r>
      <w:r w:rsidRPr="00A37112">
        <w:rPr>
          <w:rFonts w:hint="eastAsia"/>
          <w:color w:val="000000"/>
        </w:rPr>
        <w:t>“</w:t>
      </w:r>
      <w:r w:rsidRPr="00A37112">
        <w:rPr>
          <w:color w:val="000000"/>
        </w:rPr>
        <w:t>2005</w:t>
      </w:r>
      <w:r w:rsidRPr="00A37112">
        <w:rPr>
          <w:rFonts w:hint="eastAsia"/>
          <w:color w:val="000000"/>
        </w:rPr>
        <w:t>年</w:t>
      </w:r>
      <w:r w:rsidRPr="00A37112">
        <w:rPr>
          <w:color w:val="000000"/>
        </w:rPr>
        <w:t>2</w:t>
      </w:r>
      <w:r w:rsidRPr="00A37112">
        <w:rPr>
          <w:rFonts w:hint="eastAsia"/>
          <w:color w:val="000000"/>
        </w:rPr>
        <w:t>月</w:t>
      </w:r>
      <w:r w:rsidRPr="00A37112">
        <w:rPr>
          <w:color w:val="000000"/>
        </w:rPr>
        <w:t>18</w:t>
      </w:r>
      <w:r w:rsidRPr="00A37112">
        <w:rPr>
          <w:rFonts w:hint="eastAsia"/>
          <w:color w:val="000000"/>
        </w:rPr>
        <w:t>日至今通过的《奥胡斯公约》遵约委员会调查结果汇编”，可查</w:t>
      </w:r>
      <w:r w:rsidRPr="00832363">
        <w:t>www.unece.org/fileadmin/DAM/ env/pp/compliance/</w:t>
      </w:r>
      <w:r w:rsidRPr="00832363">
        <w:rPr>
          <w:rFonts w:hint="eastAsia"/>
        </w:rPr>
        <w:t xml:space="preserve"> </w:t>
      </w:r>
      <w:r w:rsidRPr="00832363">
        <w:t>Compilation_of_CC_findings.pdf</w:t>
      </w:r>
      <w:r w:rsidRPr="00A37112">
        <w:rPr>
          <w:color w:val="000000"/>
        </w:rPr>
        <w:t xml:space="preserve"> (</w:t>
      </w:r>
      <w:r w:rsidRPr="00A37112">
        <w:rPr>
          <w:rFonts w:hint="eastAsia"/>
          <w:color w:val="000000"/>
        </w:rPr>
        <w:t>访问日期：</w:t>
      </w:r>
      <w:r w:rsidRPr="00A37112">
        <w:rPr>
          <w:rFonts w:hint="eastAsia"/>
          <w:color w:val="000000"/>
        </w:rPr>
        <w:t>2016</w:t>
      </w:r>
      <w:r w:rsidRPr="00A37112">
        <w:rPr>
          <w:rFonts w:hint="eastAsia"/>
          <w:color w:val="000000"/>
        </w:rPr>
        <w:t>年</w:t>
      </w:r>
      <w:r w:rsidRPr="00A37112">
        <w:rPr>
          <w:rFonts w:hint="eastAsia"/>
          <w:color w:val="000000"/>
        </w:rPr>
        <w:t>7</w:t>
      </w:r>
      <w:r w:rsidRPr="00A37112">
        <w:rPr>
          <w:rFonts w:hint="eastAsia"/>
          <w:color w:val="000000"/>
        </w:rPr>
        <w:t>月</w:t>
      </w:r>
      <w:r w:rsidRPr="00A37112">
        <w:rPr>
          <w:rFonts w:hint="eastAsia"/>
          <w:color w:val="000000"/>
        </w:rPr>
        <w:t>8</w:t>
      </w:r>
      <w:r w:rsidRPr="00A37112">
        <w:rPr>
          <w:rFonts w:hint="eastAsia"/>
          <w:color w:val="000000"/>
        </w:rPr>
        <w:t>日</w:t>
      </w:r>
      <w:r w:rsidRPr="00A37112">
        <w:rPr>
          <w:color w:val="000000"/>
        </w:rPr>
        <w:t>)</w:t>
      </w:r>
      <w:r w:rsidRPr="00A37112">
        <w:rPr>
          <w:rFonts w:hint="eastAsia"/>
          <w:color w:val="000000"/>
        </w:rPr>
        <w:t>。</w:t>
      </w:r>
    </w:p>
  </w:footnote>
  <w:footnote w:id="1002">
    <w:p w:rsidR="00AB00DE" w:rsidRPr="00A37112" w:rsidRDefault="00AB00DE" w:rsidP="00BA6448">
      <w:pPr>
        <w:pStyle w:val="a4"/>
        <w:rPr>
          <w:color w:val="000000"/>
        </w:rPr>
      </w:pPr>
      <w:r w:rsidRPr="00A37112">
        <w:rPr>
          <w:color w:val="000000"/>
          <w:w w:val="104"/>
        </w:rPr>
        <w:tab/>
      </w:r>
      <w:r w:rsidRPr="00902223">
        <w:rPr>
          <w:rStyle w:val="a5"/>
          <w:w w:val="104"/>
          <w:szCs w:val="21"/>
        </w:rPr>
        <w:footnoteRef/>
      </w:r>
      <w:r w:rsidRPr="00A37112">
        <w:rPr>
          <w:color w:val="000000"/>
          <w:w w:val="104"/>
        </w:rPr>
        <w:tab/>
      </w:r>
      <w:r w:rsidRPr="005715FC">
        <w:rPr>
          <w:w w:val="104"/>
        </w:rPr>
        <w:t>R. Van Alebeek and A. Nollkaemper, “The legal status of decisions by human rights treaty bodies in national law”, in</w:t>
      </w:r>
      <w:r w:rsidRPr="005715FC">
        <w:rPr>
          <w:i/>
          <w:w w:val="104"/>
        </w:rPr>
        <w:t xml:space="preserve"> UN Human Rights Treaty Bodies: Law and Legitimacy</w:t>
      </w:r>
      <w:r w:rsidRPr="005715FC">
        <w:rPr>
          <w:iCs/>
          <w:w w:val="104"/>
        </w:rPr>
        <w:t xml:space="preserve">, </w:t>
      </w:r>
      <w:r w:rsidRPr="005715FC">
        <w:rPr>
          <w:w w:val="104"/>
        </w:rPr>
        <w:t xml:space="preserve">H. Keller and L. Grover, eds. (Cambridge, United Kingdom, Cambridge University Press, 2012), pp. 356-413, at p. 402; </w:t>
      </w:r>
      <w:r w:rsidRPr="005715FC">
        <w:t>Rodley, “The role and impact of treaty bodies”</w:t>
      </w:r>
      <w:r w:rsidRPr="00A37112">
        <w:rPr>
          <w:color w:val="000000"/>
        </w:rPr>
        <w:t>(</w:t>
      </w:r>
      <w:r w:rsidRPr="00A37112">
        <w:rPr>
          <w:rFonts w:hint="eastAsia"/>
          <w:color w:val="000000"/>
        </w:rPr>
        <w:t>见上文脚注</w:t>
      </w:r>
      <w:r>
        <w:rPr>
          <w:color w:val="000000"/>
        </w:rPr>
        <w:fldChar w:fldCharType="begin"/>
      </w:r>
      <w:r>
        <w:rPr>
          <w:color w:val="000000"/>
        </w:rPr>
        <w:instrText xml:space="preserve"> </w:instrText>
      </w:r>
      <w:r>
        <w:rPr>
          <w:rFonts w:hint="eastAsia"/>
          <w:color w:val="000000"/>
        </w:rPr>
        <w:instrText>NOTEREF _Ref461984204 \h</w:instrText>
      </w:r>
      <w:r>
        <w:rPr>
          <w:color w:val="000000"/>
        </w:rPr>
        <w:instrText xml:space="preserve"> </w:instrText>
      </w:r>
      <w:r>
        <w:rPr>
          <w:color w:val="000000"/>
        </w:rPr>
      </w:r>
      <w:r>
        <w:rPr>
          <w:color w:val="000000"/>
        </w:rPr>
        <w:fldChar w:fldCharType="separate"/>
      </w:r>
      <w:r w:rsidR="00A73EB9">
        <w:rPr>
          <w:color w:val="000000"/>
        </w:rPr>
        <w:t>977</w:t>
      </w:r>
      <w:r>
        <w:rPr>
          <w:color w:val="000000"/>
        </w:rPr>
        <w:fldChar w:fldCharType="end"/>
      </w:r>
      <w:r w:rsidRPr="005715FC">
        <w:t>), p. 639</w:t>
      </w:r>
      <w:r w:rsidRPr="005715FC">
        <w:rPr>
          <w:w w:val="104"/>
        </w:rPr>
        <w:t>; K. Mechlem, “</w:t>
      </w:r>
      <w:hyperlink r:id="rId145" w:history="1">
        <w:r w:rsidRPr="005715FC">
          <w:rPr>
            <w:w w:val="104"/>
          </w:rPr>
          <w:t>Treaty bodies and the interpretation of human rights</w:t>
        </w:r>
      </w:hyperlink>
      <w:r w:rsidRPr="005715FC">
        <w:rPr>
          <w:w w:val="104"/>
        </w:rPr>
        <w:t xml:space="preserve">”, </w:t>
      </w:r>
      <w:r w:rsidRPr="005715FC">
        <w:rPr>
          <w:i/>
          <w:w w:val="104"/>
        </w:rPr>
        <w:t>Vanderbilt Journal of Transnational Law</w:t>
      </w:r>
      <w:r w:rsidRPr="005715FC">
        <w:rPr>
          <w:w w:val="104"/>
        </w:rPr>
        <w:t>, vol. 42 (2009), pp. 905-947, at p. 908.</w:t>
      </w:r>
    </w:p>
  </w:footnote>
  <w:footnote w:id="1003">
    <w:p w:rsidR="00AB00DE" w:rsidRPr="00A37112" w:rsidRDefault="00AB00DE" w:rsidP="00560424">
      <w:pPr>
        <w:pStyle w:val="a4"/>
        <w:rPr>
          <w:color w:val="000000"/>
        </w:rPr>
      </w:pPr>
      <w:r w:rsidRPr="00A37112">
        <w:rPr>
          <w:color w:val="000000"/>
          <w:w w:val="104"/>
        </w:rPr>
        <w:tab/>
      </w:r>
      <w:r w:rsidRPr="00902223">
        <w:rPr>
          <w:rStyle w:val="a5"/>
          <w:w w:val="104"/>
          <w:szCs w:val="21"/>
        </w:rPr>
        <w:footnoteRef/>
      </w:r>
      <w:r w:rsidRPr="00A37112">
        <w:rPr>
          <w:color w:val="000000"/>
          <w:w w:val="104"/>
        </w:rPr>
        <w:tab/>
      </w:r>
      <w:r w:rsidRPr="00A37112">
        <w:rPr>
          <w:rFonts w:hint="eastAsia"/>
          <w:color w:val="000000"/>
        </w:rPr>
        <w:t>这一点在文献中得到了普遍接受，见</w:t>
      </w:r>
      <w:r w:rsidRPr="00A37112">
        <w:rPr>
          <w:rFonts w:hint="eastAsia"/>
        </w:rPr>
        <w:t>国际法协会，</w:t>
      </w:r>
      <w:r w:rsidRPr="00A37112">
        <w:rPr>
          <w:rFonts w:eastAsia="楷体" w:hint="eastAsia"/>
        </w:rPr>
        <w:t>第七十一届会议报告</w:t>
      </w:r>
      <w:r w:rsidRPr="00A37112">
        <w:rPr>
          <w:rFonts w:hint="eastAsia"/>
        </w:rPr>
        <w:t>（上文脚注</w:t>
      </w:r>
      <w:r>
        <w:rPr>
          <w:color w:val="000000"/>
        </w:rPr>
        <w:fldChar w:fldCharType="begin"/>
      </w:r>
      <w:r>
        <w:rPr>
          <w:color w:val="000000"/>
        </w:rPr>
        <w:instrText xml:space="preserve"> </w:instrText>
      </w:r>
      <w:r>
        <w:rPr>
          <w:rFonts w:hint="eastAsia"/>
          <w:color w:val="000000"/>
        </w:rPr>
        <w:instrText>NOTEREF _Ref461977454 \h</w:instrText>
      </w:r>
      <w:r>
        <w:rPr>
          <w:color w:val="000000"/>
        </w:rPr>
        <w:instrText xml:space="preserve"> </w:instrText>
      </w:r>
      <w:r>
        <w:rPr>
          <w:color w:val="000000"/>
        </w:rPr>
      </w:r>
      <w:r>
        <w:rPr>
          <w:color w:val="000000"/>
        </w:rPr>
        <w:fldChar w:fldCharType="separate"/>
      </w:r>
      <w:r w:rsidR="00A73EB9">
        <w:rPr>
          <w:color w:val="000000"/>
        </w:rPr>
        <w:t>540</w:t>
      </w:r>
      <w:r>
        <w:rPr>
          <w:color w:val="000000"/>
        </w:rPr>
        <w:fldChar w:fldCharType="end"/>
      </w:r>
      <w:r>
        <w:rPr>
          <w:rFonts w:hint="eastAsia"/>
          <w:color w:val="000000"/>
        </w:rPr>
        <w:t>)</w:t>
      </w:r>
      <w:r w:rsidRPr="00A37112">
        <w:rPr>
          <w:rFonts w:hint="eastAsia"/>
        </w:rPr>
        <w:t>，第</w:t>
      </w:r>
      <w:r w:rsidRPr="00A37112">
        <w:rPr>
          <w:rFonts w:hint="eastAsia"/>
        </w:rPr>
        <w:t>5</w:t>
      </w:r>
      <w:r w:rsidRPr="00A37112">
        <w:rPr>
          <w:rFonts w:hint="eastAsia"/>
        </w:rPr>
        <w:t>页，第</w:t>
      </w:r>
      <w:r w:rsidRPr="00A37112">
        <w:rPr>
          <w:rFonts w:hint="eastAsia"/>
        </w:rPr>
        <w:t>15</w:t>
      </w:r>
      <w:r w:rsidRPr="00A37112">
        <w:rPr>
          <w:rFonts w:hint="eastAsia"/>
        </w:rPr>
        <w:t>段；</w:t>
      </w:r>
      <w:r w:rsidRPr="00A37112">
        <w:t xml:space="preserve">Rodley, </w:t>
      </w:r>
      <w:r w:rsidRPr="00A37112">
        <w:rPr>
          <w:w w:val="104"/>
        </w:rPr>
        <w:t xml:space="preserve">“The role and impact of treaty bodies” (see footnote </w:t>
      </w:r>
      <w:r w:rsidRPr="00A37112">
        <w:rPr>
          <w:w w:val="104"/>
        </w:rPr>
        <w:fldChar w:fldCharType="begin"/>
      </w:r>
      <w:r w:rsidRPr="00A37112">
        <w:rPr>
          <w:w w:val="104"/>
        </w:rPr>
        <w:instrText xml:space="preserve"> NOTEREF _Ref442778808 \h  \* MERGEFORMAT </w:instrText>
      </w:r>
      <w:r w:rsidRPr="00A37112">
        <w:rPr>
          <w:w w:val="104"/>
        </w:rPr>
      </w:r>
      <w:r w:rsidRPr="00A37112">
        <w:rPr>
          <w:w w:val="104"/>
        </w:rPr>
        <w:fldChar w:fldCharType="separate"/>
      </w:r>
      <w:r w:rsidR="00A73EB9">
        <w:rPr>
          <w:w w:val="104"/>
        </w:rPr>
        <w:t>981</w:t>
      </w:r>
      <w:r w:rsidRPr="00A37112">
        <w:rPr>
          <w:w w:val="104"/>
        </w:rPr>
        <w:fldChar w:fldCharType="end"/>
      </w:r>
      <w:r w:rsidRPr="00A37112">
        <w:rPr>
          <w:w w:val="104"/>
        </w:rPr>
        <w:t xml:space="preserve"> above)</w:t>
      </w:r>
      <w:r w:rsidRPr="00A37112">
        <w:t>, p. 639</w:t>
      </w:r>
      <w:r w:rsidRPr="00A37112">
        <w:rPr>
          <w:w w:val="104"/>
        </w:rPr>
        <w:t xml:space="preserve">; </w:t>
      </w:r>
      <w:hyperlink r:id="rId146" w:history="1">
        <w:r w:rsidRPr="00A37112">
          <w:rPr>
            <w:w w:val="104"/>
          </w:rPr>
          <w:t xml:space="preserve">Tomuschat, Human Rights … (footnote </w:t>
        </w:r>
        <w:r>
          <w:rPr>
            <w:w w:val="104"/>
          </w:rPr>
          <w:fldChar w:fldCharType="begin"/>
        </w:r>
        <w:r>
          <w:rPr>
            <w:w w:val="104"/>
          </w:rPr>
          <w:instrText xml:space="preserve"> NOTEREF _Ref461787101 </w:instrText>
        </w:r>
        <w:r>
          <w:rPr>
            <w:w w:val="104"/>
          </w:rPr>
          <w:fldChar w:fldCharType="separate"/>
        </w:r>
        <w:r w:rsidR="00A73EB9">
          <w:rPr>
            <w:w w:val="104"/>
          </w:rPr>
          <w:t>987</w:t>
        </w:r>
        <w:r>
          <w:rPr>
            <w:w w:val="104"/>
          </w:rPr>
          <w:fldChar w:fldCharType="end"/>
        </w:r>
        <w:r>
          <w:rPr>
            <w:rFonts w:hint="eastAsia"/>
            <w:w w:val="104"/>
          </w:rPr>
          <w:t xml:space="preserve"> </w:t>
        </w:r>
        <w:r w:rsidRPr="00A37112">
          <w:rPr>
            <w:w w:val="104"/>
          </w:rPr>
          <w:t>above), pp. 233 and 267</w:t>
        </w:r>
      </w:hyperlink>
      <w:r w:rsidRPr="00A37112">
        <w:rPr>
          <w:w w:val="104"/>
        </w:rPr>
        <w:t xml:space="preserve">; D. Shelton, “The legal status of normative pronouncements of human rights treaty bodies” in Coexistence, Cooperation and Solidarity, Liber Amicorum Rüdiger Wolfrum, vol. I, H.P. Hestermeyer and others, eds. (Leiden; Boston, Martinus Nijhoff Publishers, 2012), pp. 553-575, at p. 559; H. </w:t>
      </w:r>
      <w:r w:rsidRPr="00A37112">
        <w:t xml:space="preserve">Keller and L. Grover, </w:t>
      </w:r>
      <w:hyperlink r:id="rId147" w:history="1">
        <w:r w:rsidRPr="00A37112">
          <w:rPr>
            <w:w w:val="104"/>
          </w:rPr>
          <w:t>“General comments of the Human Rights Committee and their legitimacy”</w:t>
        </w:r>
      </w:hyperlink>
      <w:r w:rsidRPr="00A37112">
        <w:t>, in Keller and Grover, UN Human Rights Treaty Bodies</w:t>
      </w:r>
      <w:r w:rsidRPr="00A37112">
        <w:rPr>
          <w:w w:val="104"/>
        </w:rPr>
        <w:t xml:space="preserve"> </w:t>
      </w:r>
      <w:r w:rsidRPr="00A37112">
        <w:t xml:space="preserve">… (see footnote </w:t>
      </w:r>
      <w:r w:rsidRPr="00A37112">
        <w:fldChar w:fldCharType="begin"/>
      </w:r>
      <w:r w:rsidRPr="00A37112">
        <w:instrText xml:space="preserve"> NOTEREF _Ref442779550 \h  \* MERGEFORMAT </w:instrText>
      </w:r>
      <w:r w:rsidRPr="00A37112">
        <w:fldChar w:fldCharType="separate"/>
      </w:r>
      <w:r w:rsidR="00A73EB9">
        <w:t>1000</w:t>
      </w:r>
      <w:r w:rsidRPr="00A37112">
        <w:fldChar w:fldCharType="end"/>
      </w:r>
      <w:r w:rsidRPr="00A37112">
        <w:t xml:space="preserve"> above), pp. 116-198, at p. 129</w:t>
      </w:r>
      <w:r w:rsidRPr="00A37112">
        <w:rPr>
          <w:w w:val="104"/>
        </w:rPr>
        <w:t xml:space="preserve">; Venice </w:t>
      </w:r>
      <w:hyperlink r:id="rId148" w:history="1">
        <w:r w:rsidRPr="00A37112">
          <w:rPr>
            <w:w w:val="104"/>
          </w:rPr>
          <w:t>Commission</w:t>
        </w:r>
      </w:hyperlink>
      <w:r w:rsidRPr="00A37112">
        <w:rPr>
          <w:w w:val="104"/>
        </w:rPr>
        <w:t xml:space="preserve">, “Report on the implementation of international human rights treaties … (footnote </w:t>
      </w:r>
      <w:r>
        <w:rPr>
          <w:w w:val="104"/>
        </w:rPr>
        <w:fldChar w:fldCharType="begin"/>
      </w:r>
      <w:r>
        <w:rPr>
          <w:w w:val="104"/>
        </w:rPr>
        <w:instrText xml:space="preserve"> NOTEREF _Ref457308341 </w:instrText>
      </w:r>
      <w:r>
        <w:rPr>
          <w:w w:val="104"/>
        </w:rPr>
        <w:fldChar w:fldCharType="separate"/>
      </w:r>
      <w:r w:rsidR="00A73EB9">
        <w:rPr>
          <w:w w:val="104"/>
        </w:rPr>
        <w:t>999</w:t>
      </w:r>
      <w:r>
        <w:rPr>
          <w:w w:val="104"/>
        </w:rPr>
        <w:fldChar w:fldCharType="end"/>
      </w:r>
      <w:r w:rsidRPr="00A37112">
        <w:rPr>
          <w:w w:val="104"/>
        </w:rPr>
        <w:t xml:space="preserve"> above), p. 30, para. 76</w:t>
      </w:r>
      <w:r w:rsidRPr="00A37112">
        <w:rPr>
          <w:color w:val="000000"/>
        </w:rPr>
        <w:t>；</w:t>
      </w:r>
      <w:r w:rsidRPr="00A37112">
        <w:rPr>
          <w:rFonts w:hint="eastAsia"/>
          <w:color w:val="000000"/>
        </w:rPr>
        <w:t>关于《京都议定书》第十八条和第</w:t>
      </w:r>
      <w:r w:rsidRPr="00A37112">
        <w:rPr>
          <w:color w:val="000000"/>
        </w:rPr>
        <w:t>24/CP.7</w:t>
      </w:r>
      <w:r w:rsidRPr="00A37112">
        <w:rPr>
          <w:rFonts w:hint="eastAsia"/>
          <w:color w:val="000000"/>
        </w:rPr>
        <w:t>号决定中“断定”这一术语，见</w:t>
      </w:r>
      <w:r w:rsidRPr="00A37112">
        <w:rPr>
          <w:color w:val="000000"/>
        </w:rPr>
        <w:t xml:space="preserve">G. Ulfstein and J. Werksmann, </w:t>
      </w:r>
      <w:r w:rsidRPr="00A37112">
        <w:rPr>
          <w:w w:val="104"/>
        </w:rPr>
        <w:t>“</w:t>
      </w:r>
      <w:hyperlink r:id="rId149" w:history="1">
        <w:r w:rsidRPr="00A37112">
          <w:rPr>
            <w:color w:val="000000"/>
          </w:rPr>
          <w:t>The Kyoto compliance system: towards hard enforcement</w:t>
        </w:r>
      </w:hyperlink>
      <w:r w:rsidRPr="00A37112">
        <w:rPr>
          <w:w w:val="104"/>
        </w:rPr>
        <w:t>”</w:t>
      </w:r>
      <w:r w:rsidRPr="00A37112">
        <w:rPr>
          <w:color w:val="000000"/>
        </w:rPr>
        <w:t>，</w:t>
      </w:r>
      <w:r w:rsidRPr="00A37112">
        <w:rPr>
          <w:color w:val="000000"/>
        </w:rPr>
        <w:t>in Implementing the Climate Regime: International Compliance, O.S. Stokke, J. Hovi and G. Ulfstein, eds. (London, Fridtjof Nansen Institut, 2005)</w:t>
      </w:r>
      <w:r>
        <w:rPr>
          <w:rFonts w:hint="eastAsia"/>
          <w:color w:val="000000"/>
        </w:rPr>
        <w:t xml:space="preserve">, </w:t>
      </w:r>
      <w:r w:rsidRPr="00A37112">
        <w:rPr>
          <w:color w:val="000000"/>
        </w:rPr>
        <w:t>pp. 39-62, at pp. 55-56</w:t>
      </w:r>
      <w:r w:rsidRPr="00A37112">
        <w:rPr>
          <w:rFonts w:hint="eastAsia"/>
          <w:color w:val="000000"/>
        </w:rPr>
        <w:t>。</w:t>
      </w:r>
    </w:p>
  </w:footnote>
  <w:footnote w:id="1004">
    <w:p w:rsidR="00AB00DE" w:rsidRPr="00A37112" w:rsidRDefault="00AB00DE" w:rsidP="000012AC">
      <w:pPr>
        <w:pStyle w:val="a4"/>
        <w:rPr>
          <w:color w:val="000000"/>
          <w:w w:val="104"/>
        </w:rPr>
      </w:pPr>
      <w:r w:rsidRPr="00A37112">
        <w:rPr>
          <w:color w:val="000000"/>
          <w:w w:val="104"/>
        </w:rPr>
        <w:tab/>
      </w:r>
      <w:r w:rsidRPr="00902223">
        <w:rPr>
          <w:rStyle w:val="a5"/>
          <w:w w:val="104"/>
          <w:szCs w:val="21"/>
        </w:rPr>
        <w:footnoteRef/>
      </w:r>
      <w:r w:rsidRPr="00A37112">
        <w:rPr>
          <w:color w:val="000000"/>
          <w:w w:val="104"/>
        </w:rPr>
        <w:tab/>
      </w:r>
      <w:r w:rsidRPr="00A37112">
        <w:rPr>
          <w:w w:val="104"/>
        </w:rPr>
        <w:t xml:space="preserve">W. Kälin, “Examination of state reports”, in Keller and Grover, UN Human Rights Treaty Bodies … (see footnote </w:t>
      </w:r>
      <w:r w:rsidRPr="00A37112">
        <w:rPr>
          <w:w w:val="104"/>
        </w:rPr>
        <w:fldChar w:fldCharType="begin"/>
      </w:r>
      <w:r w:rsidRPr="00A37112">
        <w:rPr>
          <w:w w:val="104"/>
        </w:rPr>
        <w:instrText xml:space="preserve"> NOTEREF _Ref442779550 \h  \* MERGEFORMAT </w:instrText>
      </w:r>
      <w:r w:rsidRPr="00A37112">
        <w:rPr>
          <w:w w:val="104"/>
        </w:rPr>
      </w:r>
      <w:r w:rsidRPr="00A37112">
        <w:rPr>
          <w:w w:val="104"/>
        </w:rPr>
        <w:fldChar w:fldCharType="separate"/>
      </w:r>
      <w:r w:rsidR="00A73EB9">
        <w:rPr>
          <w:w w:val="104"/>
        </w:rPr>
        <w:t>1000</w:t>
      </w:r>
      <w:r w:rsidRPr="00A37112">
        <w:rPr>
          <w:w w:val="104"/>
        </w:rPr>
        <w:fldChar w:fldCharType="end"/>
      </w:r>
      <w:r w:rsidRPr="00A37112">
        <w:rPr>
          <w:w w:val="104"/>
        </w:rPr>
        <w:t xml:space="preserve"> above), pp. 16-72; G. Ulfstein, “Individual complaints”, ibid., pp. 73-115; </w:t>
      </w:r>
      <w:hyperlink r:id="rId150" w:history="1">
        <w:r w:rsidRPr="00A37112">
          <w:rPr>
            <w:w w:val="104"/>
          </w:rPr>
          <w:t>Mechlem</w:t>
        </w:r>
      </w:hyperlink>
      <w:r w:rsidRPr="00A37112">
        <w:rPr>
          <w:w w:val="104"/>
        </w:rPr>
        <w:t xml:space="preserve">, “Treaty bodies … (see footnote </w:t>
      </w:r>
      <w:r w:rsidRPr="00A37112">
        <w:rPr>
          <w:w w:val="104"/>
        </w:rPr>
        <w:fldChar w:fldCharType="begin"/>
      </w:r>
      <w:r w:rsidRPr="00A37112">
        <w:rPr>
          <w:w w:val="104"/>
        </w:rPr>
        <w:instrText xml:space="preserve"> NOTEREF _Ref442779550 \h  \* MERGEFORMAT </w:instrText>
      </w:r>
      <w:r w:rsidRPr="00A37112">
        <w:rPr>
          <w:w w:val="104"/>
        </w:rPr>
      </w:r>
      <w:r w:rsidRPr="00A37112">
        <w:rPr>
          <w:w w:val="104"/>
        </w:rPr>
        <w:fldChar w:fldCharType="separate"/>
      </w:r>
      <w:r w:rsidR="00A73EB9">
        <w:rPr>
          <w:w w:val="104"/>
        </w:rPr>
        <w:t>1000</w:t>
      </w:r>
      <w:r w:rsidRPr="00A37112">
        <w:rPr>
          <w:w w:val="104"/>
        </w:rPr>
        <w:fldChar w:fldCharType="end"/>
      </w:r>
      <w:r w:rsidRPr="00A37112">
        <w:rPr>
          <w:w w:val="104"/>
        </w:rPr>
        <w:t xml:space="preserve"> above), pp. 922-930</w:t>
      </w:r>
      <w:r w:rsidRPr="00A37112">
        <w:rPr>
          <w:color w:val="000000"/>
        </w:rPr>
        <w:t>；《公民权利和政治权利国际公约》</w:t>
      </w:r>
      <w:r w:rsidRPr="00A37112">
        <w:rPr>
          <w:rFonts w:hint="eastAsia"/>
          <w:color w:val="000000"/>
        </w:rPr>
        <w:t>之下一般性建议的法律依据是第四十条第</w:t>
      </w:r>
      <w:r w:rsidRPr="00A37112">
        <w:rPr>
          <w:rFonts w:hint="eastAsia"/>
          <w:color w:val="000000"/>
        </w:rPr>
        <w:t>4</w:t>
      </w:r>
      <w:r w:rsidRPr="00A37112">
        <w:rPr>
          <w:rFonts w:hint="eastAsia"/>
          <w:color w:val="000000"/>
        </w:rPr>
        <w:t>款，但是对人权条约之下的其他专家机构，也已经普遍接受了这一惯例，见</w:t>
      </w:r>
      <w:r w:rsidRPr="00A37112">
        <w:t xml:space="preserve">Keller and Grover, “General comments …” (footnote </w:t>
      </w:r>
      <w:fldSimple w:instr=" NOTEREF _Ref457308387 ">
        <w:r w:rsidR="00A73EB9">
          <w:t>1002</w:t>
        </w:r>
      </w:fldSimple>
      <w:r w:rsidRPr="00A37112">
        <w:t xml:space="preserve"> above)</w:t>
      </w:r>
      <w:r w:rsidRPr="00A37112">
        <w:rPr>
          <w:w w:val="104"/>
        </w:rPr>
        <w:t xml:space="preserve">, pp. </w:t>
      </w:r>
      <w:r w:rsidRPr="00A37112">
        <w:t>127-128</w:t>
      </w:r>
      <w:r w:rsidRPr="00A37112">
        <w:rPr>
          <w:rFonts w:hint="eastAsia"/>
          <w:color w:val="000000"/>
          <w:w w:val="104"/>
        </w:rPr>
        <w:t>。</w:t>
      </w:r>
    </w:p>
  </w:footnote>
  <w:footnote w:id="1005">
    <w:p w:rsidR="00AB00DE" w:rsidRPr="00A37112" w:rsidRDefault="00AB00DE" w:rsidP="00BA6448">
      <w:pPr>
        <w:pStyle w:val="a4"/>
        <w:rPr>
          <w:color w:val="000000"/>
        </w:rPr>
      </w:pPr>
      <w:r w:rsidRPr="00A37112">
        <w:rPr>
          <w:color w:val="000000"/>
          <w:spacing w:val="5"/>
          <w:w w:val="104"/>
        </w:rPr>
        <w:tab/>
      </w:r>
      <w:r w:rsidRPr="00902223">
        <w:rPr>
          <w:rStyle w:val="a5"/>
          <w:w w:val="104"/>
          <w:szCs w:val="21"/>
        </w:rPr>
        <w:footnoteRef/>
      </w:r>
      <w:r w:rsidRPr="00A37112">
        <w:rPr>
          <w:color w:val="000000"/>
          <w:spacing w:val="5"/>
          <w:w w:val="104"/>
        </w:rPr>
        <w:tab/>
      </w:r>
      <w:r w:rsidRPr="00A37112">
        <w:rPr>
          <w:rFonts w:hint="eastAsia"/>
          <w:color w:val="000000"/>
        </w:rPr>
        <w:t>例如，</w:t>
      </w:r>
      <w:r w:rsidRPr="00A37112">
        <w:t xml:space="preserve">Rodley, “The role and impact of treaty bodies” (see footnote </w:t>
      </w:r>
      <w:r>
        <w:rPr>
          <w:color w:val="000000"/>
        </w:rPr>
        <w:fldChar w:fldCharType="begin"/>
      </w:r>
      <w:r>
        <w:rPr>
          <w:color w:val="000000"/>
        </w:rPr>
        <w:instrText xml:space="preserve"> </w:instrText>
      </w:r>
      <w:r>
        <w:rPr>
          <w:rFonts w:hint="eastAsia"/>
          <w:color w:val="000000"/>
        </w:rPr>
        <w:instrText>NOTEREF _Ref461984204 \h</w:instrText>
      </w:r>
      <w:r>
        <w:rPr>
          <w:color w:val="000000"/>
        </w:rPr>
        <w:instrText xml:space="preserve"> </w:instrText>
      </w:r>
      <w:r>
        <w:rPr>
          <w:color w:val="000000"/>
        </w:rPr>
      </w:r>
      <w:r>
        <w:rPr>
          <w:color w:val="000000"/>
        </w:rPr>
        <w:fldChar w:fldCharType="separate"/>
      </w:r>
      <w:r w:rsidR="00A73EB9">
        <w:rPr>
          <w:color w:val="000000"/>
        </w:rPr>
        <w:t>977</w:t>
      </w:r>
      <w:r>
        <w:rPr>
          <w:color w:val="000000"/>
        </w:rPr>
        <w:fldChar w:fldCharType="end"/>
      </w:r>
      <w:r w:rsidRPr="00A37112">
        <w:rPr>
          <w:spacing w:val="5"/>
          <w:w w:val="104"/>
        </w:rPr>
        <w:t xml:space="preserve"> a</w:t>
      </w:r>
      <w:r w:rsidRPr="00A37112">
        <w:t>bove), p. 639</w:t>
      </w:r>
      <w:r w:rsidRPr="00A37112">
        <w:rPr>
          <w:spacing w:val="5"/>
          <w:w w:val="104"/>
        </w:rPr>
        <w:t xml:space="preserve">; </w:t>
      </w:r>
      <w:r w:rsidRPr="00A37112">
        <w:t>Shelton, “The legal status of normative pronouncements</w:t>
      </w:r>
      <w:r w:rsidRPr="00A37112">
        <w:rPr>
          <w:spacing w:val="5"/>
          <w:w w:val="104"/>
        </w:rPr>
        <w:t xml:space="preserve"> …” (see footnote</w:t>
      </w:r>
      <w:r w:rsidRPr="00A37112">
        <w:t xml:space="preserve"> </w:t>
      </w:r>
      <w:fldSimple w:instr=" NOTEREF _Ref457308387 ">
        <w:r w:rsidR="00A73EB9">
          <w:t>1002</w:t>
        </w:r>
      </w:fldSimple>
      <w:r w:rsidRPr="00A37112">
        <w:rPr>
          <w:spacing w:val="5"/>
          <w:w w:val="104"/>
        </w:rPr>
        <w:t xml:space="preserve"> above)</w:t>
      </w:r>
      <w:r w:rsidRPr="00A37112">
        <w:t>, pp. 574-575</w:t>
      </w:r>
      <w:r w:rsidRPr="00A37112">
        <w:rPr>
          <w:spacing w:val="5"/>
          <w:w w:val="104"/>
        </w:rPr>
        <w:t xml:space="preserve">; </w:t>
      </w:r>
      <w:hyperlink r:id="rId151" w:history="1">
        <w:r w:rsidRPr="00A37112">
          <w:rPr>
            <w:spacing w:val="5"/>
            <w:w w:val="104"/>
          </w:rPr>
          <w:t>A. Boyle and C. Chinkin, The Making of International Law (Oxford, Oxford University Press, 2007), p. 155</w:t>
        </w:r>
      </w:hyperlink>
      <w:r w:rsidRPr="00A37112">
        <w:rPr>
          <w:rFonts w:hint="eastAsia"/>
          <w:color w:val="000000"/>
        </w:rPr>
        <w:t>。</w:t>
      </w:r>
    </w:p>
  </w:footnote>
  <w:footnote w:id="1006">
    <w:p w:rsidR="00AB00DE" w:rsidRPr="00A37112" w:rsidRDefault="00AB00DE" w:rsidP="00BA6448">
      <w:pPr>
        <w:pStyle w:val="a4"/>
        <w:rPr>
          <w:color w:val="000000"/>
          <w:w w:val="104"/>
        </w:rPr>
      </w:pPr>
      <w:r w:rsidRPr="00A37112">
        <w:rPr>
          <w:color w:val="000000"/>
          <w:w w:val="104"/>
        </w:rPr>
        <w:tab/>
      </w:r>
      <w:r w:rsidRPr="00902223">
        <w:rPr>
          <w:rStyle w:val="a5"/>
          <w:w w:val="104"/>
          <w:szCs w:val="21"/>
        </w:rPr>
        <w:footnoteRef/>
      </w:r>
      <w:r w:rsidRPr="00A37112">
        <w:rPr>
          <w:color w:val="000000"/>
          <w:w w:val="104"/>
        </w:rPr>
        <w:tab/>
      </w:r>
      <w:r w:rsidRPr="00A37112">
        <w:rPr>
          <w:rFonts w:hint="eastAsia"/>
          <w:color w:val="000000"/>
        </w:rPr>
        <w:t>第</w:t>
      </w:r>
      <w:r w:rsidRPr="00A37112">
        <w:rPr>
          <w:rFonts w:hint="eastAsia"/>
          <w:color w:val="000000"/>
        </w:rPr>
        <w:t>33</w:t>
      </w:r>
      <w:r w:rsidRPr="00A37112">
        <w:rPr>
          <w:rFonts w:hint="eastAsia"/>
          <w:color w:val="000000"/>
        </w:rPr>
        <w:t>号一般性意见草案</w:t>
      </w:r>
      <w:r w:rsidRPr="00A37112">
        <w:rPr>
          <w:color w:val="000000"/>
        </w:rPr>
        <w:t>(</w:t>
      </w:r>
      <w:r w:rsidRPr="00A37112">
        <w:rPr>
          <w:rFonts w:hint="eastAsia"/>
          <w:color w:val="000000"/>
        </w:rPr>
        <w:t>缔约国根据《公民权利和政治权利任择议定书》所承担的义务</w:t>
      </w:r>
      <w:r w:rsidRPr="00A37112">
        <w:rPr>
          <w:color w:val="000000"/>
        </w:rPr>
        <w:t>) (2008</w:t>
      </w:r>
      <w:r w:rsidRPr="00A37112">
        <w:rPr>
          <w:rFonts w:hint="eastAsia"/>
          <w:color w:val="000000"/>
        </w:rPr>
        <w:t>年</w:t>
      </w:r>
      <w:r w:rsidRPr="00A37112">
        <w:rPr>
          <w:color w:val="000000"/>
        </w:rPr>
        <w:t>8</w:t>
      </w:r>
      <w:r w:rsidRPr="00A37112">
        <w:rPr>
          <w:rFonts w:hint="eastAsia"/>
          <w:color w:val="000000"/>
        </w:rPr>
        <w:t>月</w:t>
      </w:r>
      <w:r w:rsidRPr="00A37112">
        <w:rPr>
          <w:color w:val="000000"/>
        </w:rPr>
        <w:t>18</w:t>
      </w:r>
      <w:r w:rsidRPr="00A37112">
        <w:rPr>
          <w:rFonts w:hint="eastAsia"/>
          <w:color w:val="000000"/>
        </w:rPr>
        <w:t>日第二次修订稿</w:t>
      </w:r>
      <w:r w:rsidRPr="00A37112">
        <w:rPr>
          <w:color w:val="000000"/>
        </w:rPr>
        <w:t>) (</w:t>
      </w:r>
      <w:hyperlink r:id="rId152" w:history="1">
        <w:r w:rsidRPr="00A37112">
          <w:rPr>
            <w:color w:val="000000"/>
          </w:rPr>
          <w:t>CCPR/C/GC/33/CRP.3</w:t>
        </w:r>
      </w:hyperlink>
      <w:r w:rsidRPr="00A37112">
        <w:rPr>
          <w:color w:val="000000"/>
        </w:rPr>
        <w:t>)</w:t>
      </w:r>
      <w:r w:rsidRPr="00A37112">
        <w:rPr>
          <w:rFonts w:hint="eastAsia"/>
          <w:color w:val="000000"/>
        </w:rPr>
        <w:t>，</w:t>
      </w:r>
      <w:r w:rsidRPr="00A37112">
        <w:rPr>
          <w:color w:val="000000"/>
        </w:rPr>
        <w:t>2008</w:t>
      </w:r>
      <w:r w:rsidRPr="00A37112">
        <w:rPr>
          <w:rFonts w:hint="eastAsia"/>
          <w:color w:val="000000"/>
        </w:rPr>
        <w:t>年</w:t>
      </w:r>
      <w:r w:rsidRPr="00A37112">
        <w:rPr>
          <w:rFonts w:hint="eastAsia"/>
          <w:color w:val="000000"/>
        </w:rPr>
        <w:t>8</w:t>
      </w:r>
      <w:r w:rsidRPr="00A37112">
        <w:rPr>
          <w:rFonts w:hint="eastAsia"/>
          <w:color w:val="000000"/>
        </w:rPr>
        <w:t>月</w:t>
      </w:r>
      <w:r w:rsidRPr="00A37112">
        <w:rPr>
          <w:rFonts w:hint="eastAsia"/>
          <w:color w:val="000000"/>
        </w:rPr>
        <w:t>25</w:t>
      </w:r>
      <w:r w:rsidRPr="00A37112">
        <w:rPr>
          <w:rFonts w:hint="eastAsia"/>
          <w:color w:val="000000"/>
        </w:rPr>
        <w:t>日，见第</w:t>
      </w:r>
      <w:r w:rsidRPr="00A37112">
        <w:rPr>
          <w:color w:val="000000"/>
        </w:rPr>
        <w:t>17</w:t>
      </w:r>
      <w:r w:rsidRPr="00A37112">
        <w:rPr>
          <w:rFonts w:hint="eastAsia"/>
          <w:color w:val="000000"/>
        </w:rPr>
        <w:t>段；若干著述者也提出了这一立场，见</w:t>
      </w:r>
      <w:r w:rsidRPr="00A37112">
        <w:rPr>
          <w:color w:val="000000"/>
        </w:rPr>
        <w:t xml:space="preserve">Keller and Grover, </w:t>
      </w:r>
      <w:r w:rsidRPr="00A37112">
        <w:rPr>
          <w:rFonts w:hint="eastAsia"/>
          <w:color w:val="000000"/>
        </w:rPr>
        <w:t>“</w:t>
      </w:r>
      <w:r w:rsidRPr="00A37112">
        <w:rPr>
          <w:color w:val="000000"/>
        </w:rPr>
        <w:t>General comments …</w:t>
      </w:r>
      <w:r w:rsidRPr="00A37112">
        <w:rPr>
          <w:rFonts w:hint="eastAsia"/>
          <w:color w:val="000000"/>
        </w:rPr>
        <w:t>”</w:t>
      </w:r>
      <w:r w:rsidRPr="00A37112">
        <w:rPr>
          <w:color w:val="000000"/>
        </w:rPr>
        <w:t>(</w:t>
      </w:r>
      <w:r w:rsidRPr="00A37112">
        <w:rPr>
          <w:rFonts w:hint="eastAsia"/>
          <w:color w:val="000000"/>
        </w:rPr>
        <w:t>上文脚注</w:t>
      </w:r>
      <w:fldSimple w:instr=" NOTEREF _Ref457308387 ">
        <w:r w:rsidR="00A73EB9">
          <w:t>1002</w:t>
        </w:r>
      </w:fldSimple>
      <w:r w:rsidRPr="00A37112">
        <w:rPr>
          <w:color w:val="000000"/>
        </w:rPr>
        <w:t>)</w:t>
      </w:r>
      <w:r w:rsidRPr="00A37112">
        <w:rPr>
          <w:color w:val="000000"/>
        </w:rPr>
        <w:t>，</w:t>
      </w:r>
      <w:r w:rsidRPr="00A37112">
        <w:rPr>
          <w:color w:val="000000"/>
        </w:rPr>
        <w:t xml:space="preserve"> pp. 130-132 with further references</w:t>
      </w:r>
      <w:r w:rsidRPr="00A37112">
        <w:rPr>
          <w:rFonts w:hint="eastAsia"/>
          <w:color w:val="000000"/>
        </w:rPr>
        <w:t>。</w:t>
      </w:r>
    </w:p>
  </w:footnote>
  <w:footnote w:id="1007">
    <w:p w:rsidR="00AB00DE" w:rsidRPr="00A37112" w:rsidRDefault="00AB00DE" w:rsidP="003E31C7">
      <w:pPr>
        <w:pStyle w:val="a4"/>
        <w:rPr>
          <w:color w:val="000000"/>
        </w:rPr>
      </w:pPr>
      <w:r w:rsidRPr="00A37112">
        <w:rPr>
          <w:color w:val="000000"/>
          <w:spacing w:val="5"/>
          <w:w w:val="104"/>
        </w:rPr>
        <w:tab/>
      </w:r>
      <w:r w:rsidRPr="00902223">
        <w:rPr>
          <w:rStyle w:val="a5"/>
          <w:w w:val="104"/>
          <w:szCs w:val="21"/>
        </w:rPr>
        <w:footnoteRef/>
      </w:r>
      <w:r w:rsidRPr="00A37112">
        <w:rPr>
          <w:color w:val="000000"/>
          <w:spacing w:val="5"/>
          <w:w w:val="104"/>
        </w:rPr>
        <w:tab/>
      </w:r>
      <w:r w:rsidRPr="00A37112">
        <w:rPr>
          <w:rFonts w:hint="eastAsia"/>
          <w:color w:val="000000"/>
        </w:rPr>
        <w:t>例如，见</w:t>
      </w:r>
      <w:r w:rsidRPr="005715FC">
        <w:rPr>
          <w:spacing w:val="5"/>
          <w:w w:val="104"/>
        </w:rPr>
        <w:t>“</w:t>
      </w:r>
      <w:r w:rsidRPr="00A37112">
        <w:rPr>
          <w:color w:val="000000"/>
        </w:rPr>
        <w:t>Comments of the United States of America on the Human Rights Committee’s ‘Draft general comment 33: The Obligations of States Parties under the Optional Protocol to the International Covenant Civil and Political Rights’</w:t>
      </w:r>
      <w:r w:rsidRPr="00A37112">
        <w:rPr>
          <w:w w:val="104"/>
        </w:rPr>
        <w:t>”</w:t>
      </w:r>
      <w:r w:rsidRPr="00A37112">
        <w:rPr>
          <w:rFonts w:hint="eastAsia"/>
          <w:color w:val="000000"/>
        </w:rPr>
        <w:t>，</w:t>
      </w:r>
      <w:r w:rsidRPr="00A37112">
        <w:rPr>
          <w:color w:val="000000"/>
        </w:rPr>
        <w:t xml:space="preserve">17 October 2008, para. 17. Available from </w:t>
      </w:r>
      <w:hyperlink r:id="rId153" w:history="1">
        <w:r w:rsidRPr="00A37112">
          <w:rPr>
            <w:color w:val="000000"/>
          </w:rPr>
          <w:t>www.state.gov/documents/organization/138851.pdf</w:t>
        </w:r>
      </w:hyperlink>
      <w:r w:rsidRPr="00A37112">
        <w:rPr>
          <w:color w:val="000000"/>
        </w:rPr>
        <w:t xml:space="preserve"> (accessed 8 July 2016)</w:t>
      </w:r>
      <w:r w:rsidRPr="00A37112">
        <w:rPr>
          <w:rFonts w:hint="eastAsia"/>
          <w:color w:val="000000"/>
        </w:rPr>
        <w:t>。</w:t>
      </w:r>
    </w:p>
  </w:footnote>
  <w:footnote w:id="1008">
    <w:p w:rsidR="00AB00DE" w:rsidRPr="00A37112" w:rsidRDefault="00AB00DE" w:rsidP="003E31C7">
      <w:pPr>
        <w:pStyle w:val="a4"/>
        <w:rPr>
          <w:color w:val="000000"/>
        </w:rPr>
      </w:pPr>
      <w:r w:rsidRPr="00A37112">
        <w:rPr>
          <w:color w:val="000000"/>
          <w:spacing w:val="5"/>
          <w:w w:val="104"/>
        </w:rPr>
        <w:tab/>
      </w:r>
      <w:r w:rsidRPr="00902223">
        <w:rPr>
          <w:rStyle w:val="a5"/>
          <w:w w:val="104"/>
          <w:szCs w:val="21"/>
        </w:rPr>
        <w:footnoteRef/>
      </w:r>
      <w:r w:rsidRPr="00A37112">
        <w:rPr>
          <w:color w:val="000000"/>
          <w:spacing w:val="5"/>
          <w:w w:val="104"/>
        </w:rPr>
        <w:tab/>
      </w:r>
      <w:r w:rsidRPr="00A37112">
        <w:rPr>
          <w:rFonts w:hint="eastAsia"/>
          <w:color w:val="000000"/>
        </w:rPr>
        <w:t>人权事务委员会的报告</w:t>
      </w:r>
      <w:r w:rsidRPr="00A37112">
        <w:rPr>
          <w:color w:val="000000"/>
        </w:rPr>
        <w:t>，《大会正式记录，</w:t>
      </w:r>
      <w:r w:rsidRPr="00A37112">
        <w:rPr>
          <w:rFonts w:hint="eastAsia"/>
          <w:color w:val="000000"/>
        </w:rPr>
        <w:t>第六十四届会议</w:t>
      </w:r>
      <w:r w:rsidRPr="00A37112">
        <w:rPr>
          <w:color w:val="000000"/>
        </w:rPr>
        <w:t>，补编第</w:t>
      </w:r>
      <w:r w:rsidRPr="00A37112">
        <w:rPr>
          <w:color w:val="000000"/>
        </w:rPr>
        <w:t>40</w:t>
      </w:r>
      <w:r w:rsidRPr="00A37112">
        <w:rPr>
          <w:color w:val="000000"/>
        </w:rPr>
        <w:t>号》</w:t>
      </w:r>
      <w:r w:rsidRPr="00A37112">
        <w:rPr>
          <w:color w:val="000000"/>
        </w:rPr>
        <w:t>(</w:t>
      </w:r>
      <w:hyperlink r:id="rId154" w:history="1">
        <w:r w:rsidRPr="00A37112">
          <w:rPr>
            <w:color w:val="000000"/>
          </w:rPr>
          <w:t>A/64/40)</w:t>
        </w:r>
        <w:r w:rsidRPr="00A37112">
          <w:rPr>
            <w:rFonts w:hint="eastAsia"/>
            <w:color w:val="000000"/>
          </w:rPr>
          <w:t>，第一卷，附件五。</w:t>
        </w:r>
      </w:hyperlink>
    </w:p>
  </w:footnote>
  <w:footnote w:id="1009">
    <w:p w:rsidR="00AB00DE" w:rsidRPr="00A37112" w:rsidRDefault="00AB00DE" w:rsidP="003E31C7">
      <w:pPr>
        <w:pStyle w:val="a4"/>
        <w:rPr>
          <w:color w:val="000000"/>
        </w:rPr>
      </w:pPr>
      <w:r w:rsidRPr="00A37112">
        <w:rPr>
          <w:color w:val="000000"/>
        </w:rPr>
        <w:tab/>
      </w:r>
      <w:r w:rsidRPr="00902223">
        <w:rPr>
          <w:snapToGrid/>
          <w:color w:val="0000FF"/>
          <w:sz w:val="21"/>
          <w:szCs w:val="21"/>
          <w:vertAlign w:val="superscript"/>
        </w:rPr>
        <w:footnoteRef/>
      </w:r>
      <w:r w:rsidRPr="00A37112">
        <w:rPr>
          <w:color w:val="000000"/>
        </w:rPr>
        <w:t xml:space="preserve"> </w:t>
      </w:r>
      <w:r w:rsidRPr="00A37112">
        <w:rPr>
          <w:color w:val="000000"/>
        </w:rPr>
        <w:tab/>
      </w:r>
      <w:r w:rsidRPr="00A37112">
        <w:rPr>
          <w:rFonts w:hint="eastAsia"/>
          <w:color w:val="000000"/>
        </w:rPr>
        <w:t>例如见《大会正式记录，第七十届会议，第六委员会》，第</w:t>
      </w:r>
      <w:r w:rsidRPr="00A37112">
        <w:rPr>
          <w:color w:val="000000"/>
        </w:rPr>
        <w:t>22</w:t>
      </w:r>
      <w:r w:rsidRPr="00A37112">
        <w:rPr>
          <w:rFonts w:hint="eastAsia"/>
          <w:color w:val="000000"/>
        </w:rPr>
        <w:t>次会议简要记录</w:t>
      </w:r>
      <w:r w:rsidRPr="00A37112">
        <w:rPr>
          <w:color w:val="000000"/>
        </w:rPr>
        <w:t>(</w:t>
      </w:r>
      <w:hyperlink r:id="rId155" w:history="1">
        <w:r w:rsidRPr="00A37112">
          <w:rPr>
            <w:rStyle w:val="af"/>
            <w:color w:val="000000"/>
            <w:w w:val="104"/>
          </w:rPr>
          <w:t>A/C.6/70/SR.22</w:t>
        </w:r>
      </w:hyperlink>
      <w:r w:rsidRPr="00A37112">
        <w:rPr>
          <w:color w:val="000000"/>
        </w:rPr>
        <w:t>)</w:t>
      </w:r>
      <w:r w:rsidRPr="00A37112">
        <w:rPr>
          <w:rFonts w:hint="eastAsia"/>
          <w:color w:val="000000"/>
        </w:rPr>
        <w:t>，</w:t>
      </w:r>
      <w:r w:rsidRPr="00A37112">
        <w:rPr>
          <w:color w:val="000000"/>
        </w:rPr>
        <w:t>2015</w:t>
      </w:r>
      <w:r w:rsidRPr="00A37112">
        <w:rPr>
          <w:rFonts w:hint="eastAsia"/>
          <w:color w:val="000000"/>
        </w:rPr>
        <w:t>年</w:t>
      </w:r>
      <w:r w:rsidRPr="00A37112">
        <w:rPr>
          <w:color w:val="000000"/>
        </w:rPr>
        <w:t>11</w:t>
      </w:r>
      <w:r w:rsidRPr="00A37112">
        <w:rPr>
          <w:rFonts w:hint="eastAsia"/>
          <w:color w:val="000000"/>
        </w:rPr>
        <w:t>月</w:t>
      </w:r>
      <w:r w:rsidRPr="00A37112">
        <w:rPr>
          <w:color w:val="000000"/>
        </w:rPr>
        <w:t>6</w:t>
      </w:r>
      <w:r w:rsidRPr="00A37112">
        <w:rPr>
          <w:rFonts w:hint="eastAsia"/>
          <w:color w:val="000000"/>
        </w:rPr>
        <w:t>日，第</w:t>
      </w:r>
      <w:r w:rsidRPr="00A37112">
        <w:rPr>
          <w:color w:val="000000"/>
        </w:rPr>
        <w:t>46</w:t>
      </w:r>
      <w:r w:rsidRPr="00A37112">
        <w:rPr>
          <w:rFonts w:hint="eastAsia"/>
          <w:color w:val="000000"/>
        </w:rPr>
        <w:t>段</w:t>
      </w:r>
      <w:r w:rsidRPr="00A37112">
        <w:rPr>
          <w:color w:val="000000"/>
        </w:rPr>
        <w:t>(</w:t>
      </w:r>
      <w:r w:rsidRPr="00A37112">
        <w:rPr>
          <w:rFonts w:hint="eastAsia"/>
          <w:color w:val="000000"/>
        </w:rPr>
        <w:t>美国：“……缔约国对条约机构的声明或活动作出的反应在某些情况下可以构成第三十一条第三款所述的</w:t>
      </w:r>
      <w:r w:rsidRPr="00A37112">
        <w:rPr>
          <w:color w:val="000000"/>
        </w:rPr>
        <w:t>(</w:t>
      </w:r>
      <w:r w:rsidRPr="00A37112">
        <w:rPr>
          <w:rFonts w:hint="eastAsia"/>
          <w:color w:val="000000"/>
        </w:rPr>
        <w:t>这些国家的</w:t>
      </w:r>
      <w:r w:rsidRPr="00A37112">
        <w:rPr>
          <w:color w:val="000000"/>
        </w:rPr>
        <w:t>)</w:t>
      </w:r>
      <w:r w:rsidRPr="00A37112">
        <w:rPr>
          <w:rFonts w:hint="eastAsia"/>
          <w:color w:val="000000"/>
        </w:rPr>
        <w:t>嗣后惯例”</w:t>
      </w:r>
      <w:r w:rsidRPr="00A37112">
        <w:rPr>
          <w:color w:val="000000"/>
        </w:rPr>
        <w:t>)</w:t>
      </w:r>
      <w:r w:rsidRPr="00A37112">
        <w:rPr>
          <w:rFonts w:hint="eastAsia"/>
          <w:color w:val="000000"/>
        </w:rPr>
        <w:t>。</w:t>
      </w:r>
    </w:p>
  </w:footnote>
  <w:footnote w:id="1010">
    <w:p w:rsidR="00AB00DE" w:rsidRPr="00A37112" w:rsidRDefault="00AB00DE" w:rsidP="003E31C7">
      <w:pPr>
        <w:pStyle w:val="a4"/>
        <w:rPr>
          <w:color w:val="000000"/>
        </w:rPr>
      </w:pPr>
      <w:r w:rsidRPr="00A37112">
        <w:rPr>
          <w:color w:val="000000"/>
        </w:rPr>
        <w:tab/>
      </w:r>
      <w:r w:rsidRPr="00902223">
        <w:rPr>
          <w:snapToGrid/>
          <w:color w:val="0000FF"/>
          <w:sz w:val="21"/>
          <w:szCs w:val="21"/>
          <w:vertAlign w:val="superscript"/>
        </w:rPr>
        <w:footnoteRef/>
      </w:r>
      <w:r w:rsidRPr="00A37112">
        <w:rPr>
          <w:color w:val="000000"/>
        </w:rPr>
        <w:t xml:space="preserve"> </w:t>
      </w:r>
      <w:r w:rsidRPr="00A37112">
        <w:rPr>
          <w:color w:val="000000"/>
        </w:rPr>
        <w:tab/>
      </w:r>
      <w:r w:rsidRPr="00A37112">
        <w:rPr>
          <w:rFonts w:hint="eastAsia"/>
          <w:color w:val="000000"/>
        </w:rPr>
        <w:t>见结论草案</w:t>
      </w:r>
      <w:r w:rsidRPr="00A37112">
        <w:rPr>
          <w:color w:val="000000"/>
        </w:rPr>
        <w:t>3[2]</w:t>
      </w:r>
      <w:r w:rsidRPr="00A37112">
        <w:rPr>
          <w:rFonts w:hint="eastAsia"/>
          <w:color w:val="000000"/>
        </w:rPr>
        <w:t>评注第</w:t>
      </w:r>
      <w:r w:rsidRPr="00A37112">
        <w:rPr>
          <w:color w:val="000000"/>
        </w:rPr>
        <w:t>(11)</w:t>
      </w:r>
      <w:r w:rsidRPr="00A37112">
        <w:rPr>
          <w:rFonts w:hint="eastAsia"/>
          <w:color w:val="000000"/>
        </w:rPr>
        <w:t>段。</w:t>
      </w:r>
    </w:p>
  </w:footnote>
  <w:footnote w:id="1011">
    <w:p w:rsidR="00AB00DE" w:rsidRPr="00A37112" w:rsidRDefault="00AB00DE" w:rsidP="00560424">
      <w:pPr>
        <w:pStyle w:val="a4"/>
        <w:rPr>
          <w:color w:val="000000"/>
        </w:rPr>
      </w:pPr>
      <w:r w:rsidRPr="00A37112">
        <w:rPr>
          <w:color w:val="000000"/>
        </w:rPr>
        <w:tab/>
      </w:r>
      <w:r w:rsidRPr="00902223">
        <w:rPr>
          <w:snapToGrid/>
          <w:color w:val="0000FF"/>
          <w:sz w:val="21"/>
          <w:szCs w:val="21"/>
          <w:vertAlign w:val="superscript"/>
        </w:rPr>
        <w:footnoteRef/>
      </w:r>
      <w:r w:rsidRPr="00A37112">
        <w:rPr>
          <w:rFonts w:hint="eastAsia"/>
          <w:color w:val="000000"/>
        </w:rPr>
        <w:tab/>
      </w:r>
      <w:r w:rsidRPr="00A37112">
        <w:rPr>
          <w:rFonts w:hint="eastAsia"/>
          <w:color w:val="000000"/>
        </w:rPr>
        <w:t>见</w:t>
      </w:r>
      <w:r w:rsidRPr="00A37112">
        <w:rPr>
          <w:rFonts w:hint="eastAsia"/>
        </w:rPr>
        <w:t>国际法协会，</w:t>
      </w:r>
      <w:r w:rsidRPr="00A37112">
        <w:rPr>
          <w:rFonts w:eastAsia="楷体" w:hint="eastAsia"/>
        </w:rPr>
        <w:t>第七十一届会议报告</w:t>
      </w:r>
      <w:r>
        <w:rPr>
          <w:rFonts w:hint="eastAsia"/>
        </w:rPr>
        <w:t>(</w:t>
      </w:r>
      <w:r w:rsidRPr="00A37112">
        <w:rPr>
          <w:rFonts w:hint="eastAsia"/>
        </w:rPr>
        <w:t>上文脚注</w:t>
      </w:r>
      <w:r>
        <w:rPr>
          <w:color w:val="000000"/>
        </w:rPr>
        <w:fldChar w:fldCharType="begin"/>
      </w:r>
      <w:r>
        <w:rPr>
          <w:color w:val="000000"/>
        </w:rPr>
        <w:instrText xml:space="preserve"> </w:instrText>
      </w:r>
      <w:r>
        <w:rPr>
          <w:rFonts w:hint="eastAsia"/>
          <w:color w:val="000000"/>
        </w:rPr>
        <w:instrText>NOTEREF _Ref461977454 \h</w:instrText>
      </w:r>
      <w:r>
        <w:rPr>
          <w:color w:val="000000"/>
        </w:rPr>
        <w:instrText xml:space="preserve"> </w:instrText>
      </w:r>
      <w:r>
        <w:rPr>
          <w:color w:val="000000"/>
        </w:rPr>
      </w:r>
      <w:r>
        <w:rPr>
          <w:color w:val="000000"/>
        </w:rPr>
        <w:fldChar w:fldCharType="separate"/>
      </w:r>
      <w:r w:rsidR="00A73EB9">
        <w:rPr>
          <w:color w:val="000000"/>
        </w:rPr>
        <w:t>540</w:t>
      </w:r>
      <w:r>
        <w:rPr>
          <w:color w:val="000000"/>
        </w:rPr>
        <w:fldChar w:fldCharType="end"/>
      </w:r>
      <w:r>
        <w:rPr>
          <w:rFonts w:hint="eastAsia"/>
          <w:color w:val="000000"/>
        </w:rPr>
        <w:t>)</w:t>
      </w:r>
      <w:r w:rsidRPr="00A37112">
        <w:rPr>
          <w:rFonts w:hint="eastAsia"/>
        </w:rPr>
        <w:t>，第</w:t>
      </w:r>
      <w:r w:rsidRPr="00A37112">
        <w:rPr>
          <w:rFonts w:hint="eastAsia"/>
        </w:rPr>
        <w:t>6</w:t>
      </w:r>
      <w:r w:rsidRPr="00A37112">
        <w:rPr>
          <w:rFonts w:hint="eastAsia"/>
        </w:rPr>
        <w:t>页，第</w:t>
      </w:r>
      <w:r w:rsidRPr="00A37112">
        <w:rPr>
          <w:rFonts w:hint="eastAsia"/>
        </w:rPr>
        <w:t>21</w:t>
      </w:r>
      <w:r w:rsidRPr="00A37112">
        <w:rPr>
          <w:rFonts w:hint="eastAsia"/>
        </w:rPr>
        <w:t>段</w:t>
      </w:r>
      <w:r w:rsidRPr="00A37112">
        <w:rPr>
          <w:rFonts w:hint="eastAsia"/>
          <w:color w:val="000000"/>
        </w:rPr>
        <w:t>。</w:t>
      </w:r>
    </w:p>
  </w:footnote>
  <w:footnote w:id="1012">
    <w:p w:rsidR="00AB00DE" w:rsidRPr="00A37112" w:rsidRDefault="00AB00DE" w:rsidP="000012AC">
      <w:pPr>
        <w:pStyle w:val="a4"/>
        <w:rPr>
          <w:color w:val="000000"/>
        </w:rPr>
      </w:pPr>
      <w:r w:rsidRPr="00A37112">
        <w:rPr>
          <w:color w:val="000000"/>
        </w:rPr>
        <w:tab/>
      </w:r>
      <w:r w:rsidRPr="00902223">
        <w:rPr>
          <w:snapToGrid/>
          <w:color w:val="0000FF"/>
          <w:sz w:val="21"/>
          <w:szCs w:val="21"/>
          <w:vertAlign w:val="superscript"/>
        </w:rPr>
        <w:footnoteRef/>
      </w:r>
      <w:r w:rsidRPr="00A37112">
        <w:rPr>
          <w:color w:val="000000"/>
        </w:rPr>
        <w:tab/>
      </w:r>
      <w:r w:rsidRPr="00A37112">
        <w:rPr>
          <w:rFonts w:hint="eastAsia"/>
          <w:color w:val="000000"/>
        </w:rPr>
        <w:t>例如</w:t>
      </w:r>
      <w:hyperlink r:id="rId156" w:history="1">
        <w:r w:rsidRPr="00BA6448">
          <w:rPr>
            <w:rFonts w:hint="eastAsia"/>
          </w:rPr>
          <w:t>见</w:t>
        </w:r>
      </w:hyperlink>
      <w:hyperlink r:id="rId157" w:history="1">
        <w:r w:rsidRPr="00A37112">
          <w:rPr>
            <w:w w:val="104"/>
          </w:rPr>
          <w:t>Mechlem</w:t>
        </w:r>
      </w:hyperlink>
      <w:r w:rsidRPr="00A37112">
        <w:rPr>
          <w:w w:val="104"/>
        </w:rPr>
        <w:t xml:space="preserve">, “Treaty bodies … (footnote </w:t>
      </w:r>
      <w:r w:rsidRPr="00A37112">
        <w:rPr>
          <w:w w:val="104"/>
        </w:rPr>
        <w:fldChar w:fldCharType="begin"/>
      </w:r>
      <w:r w:rsidRPr="00A37112">
        <w:rPr>
          <w:w w:val="104"/>
        </w:rPr>
        <w:instrText xml:space="preserve"> NOTEREF _Ref442779550 \h  \* MERGEFORMAT </w:instrText>
      </w:r>
      <w:r w:rsidRPr="00A37112">
        <w:rPr>
          <w:w w:val="104"/>
        </w:rPr>
      </w:r>
      <w:r w:rsidRPr="00A37112">
        <w:rPr>
          <w:w w:val="104"/>
        </w:rPr>
        <w:fldChar w:fldCharType="separate"/>
      </w:r>
      <w:r w:rsidR="00A73EB9">
        <w:rPr>
          <w:w w:val="104"/>
        </w:rPr>
        <w:t>1000</w:t>
      </w:r>
      <w:r w:rsidRPr="00A37112">
        <w:rPr>
          <w:w w:val="104"/>
        </w:rPr>
        <w:fldChar w:fldCharType="end"/>
      </w:r>
      <w:r w:rsidRPr="00A37112">
        <w:rPr>
          <w:w w:val="104"/>
        </w:rPr>
        <w:t xml:space="preserve"> above), pp. 920-921; </w:t>
      </w:r>
      <w:r w:rsidRPr="00A37112">
        <w:t>B. Schlütter, “</w:t>
      </w:r>
      <w:r w:rsidRPr="00A37112">
        <w:rPr>
          <w:kern w:val="1"/>
        </w:rPr>
        <w:t>Aspects of human rights interpretation by the UN treaty bodies”</w:t>
      </w:r>
      <w:r w:rsidRPr="00A37112">
        <w:t xml:space="preserve">, in Keller and Grover, UN Human Rights Treaty Bodies … (footnote </w:t>
      </w:r>
      <w:r w:rsidRPr="00A37112">
        <w:fldChar w:fldCharType="begin"/>
      </w:r>
      <w:r w:rsidRPr="00A37112">
        <w:instrText xml:space="preserve"> NOTEREF _Ref442779550 \h  \* MERGEFORMAT </w:instrText>
      </w:r>
      <w:r w:rsidRPr="00A37112">
        <w:fldChar w:fldCharType="separate"/>
      </w:r>
      <w:r w:rsidR="00A73EB9">
        <w:t>1000</w:t>
      </w:r>
      <w:r w:rsidRPr="00A37112">
        <w:fldChar w:fldCharType="end"/>
      </w:r>
      <w:r w:rsidRPr="00A37112">
        <w:t xml:space="preserve"> above)</w:t>
      </w:r>
      <w:r w:rsidRPr="00A37112">
        <w:rPr>
          <w:kern w:val="1"/>
        </w:rPr>
        <w:t xml:space="preserve">, </w:t>
      </w:r>
      <w:r w:rsidRPr="00A37112">
        <w:t xml:space="preserve">pp. 289-290; </w:t>
      </w:r>
      <w:r w:rsidRPr="00A37112">
        <w:rPr>
          <w:w w:val="104"/>
        </w:rPr>
        <w:t>Ulfstein and Werksmann, “</w:t>
      </w:r>
      <w:hyperlink r:id="rId158" w:history="1">
        <w:r w:rsidRPr="00A37112">
          <w:t>The Kyoto compliance system</w:t>
        </w:r>
        <w:r w:rsidRPr="00A37112">
          <w:rPr>
            <w:w w:val="104"/>
          </w:rPr>
          <w:t xml:space="preserve"> …” </w:t>
        </w:r>
      </w:hyperlink>
      <w:r w:rsidRPr="00A37112">
        <w:rPr>
          <w:w w:val="104"/>
        </w:rPr>
        <w:t xml:space="preserve">(footnote </w:t>
      </w:r>
      <w:fldSimple w:instr=" NOTEREF _Ref457308387 ">
        <w:r w:rsidR="00A73EB9">
          <w:t>1002</w:t>
        </w:r>
      </w:fldSimple>
      <w:r w:rsidRPr="00A37112">
        <w:rPr>
          <w:w w:val="104"/>
        </w:rPr>
        <w:t xml:space="preserve"> above),</w:t>
      </w:r>
      <w:r w:rsidRPr="00A37112">
        <w:t xml:space="preserve"> p. 96</w:t>
      </w:r>
      <w:r w:rsidRPr="00A37112">
        <w:rPr>
          <w:rFonts w:hint="eastAsia"/>
          <w:color w:val="000000"/>
        </w:rPr>
        <w:t>。</w:t>
      </w:r>
    </w:p>
  </w:footnote>
  <w:footnote w:id="1013">
    <w:p w:rsidR="00AB00DE" w:rsidRPr="00A37112" w:rsidRDefault="00AB00DE" w:rsidP="003E31C7">
      <w:pPr>
        <w:pStyle w:val="a4"/>
        <w:rPr>
          <w:color w:val="000000"/>
        </w:rPr>
      </w:pPr>
      <w:r w:rsidRPr="00A37112">
        <w:rPr>
          <w:color w:val="000000"/>
        </w:rPr>
        <w:tab/>
      </w:r>
      <w:r w:rsidRPr="00902223">
        <w:rPr>
          <w:snapToGrid/>
          <w:color w:val="0000FF"/>
          <w:sz w:val="21"/>
          <w:szCs w:val="21"/>
          <w:vertAlign w:val="superscript"/>
        </w:rPr>
        <w:footnoteRef/>
      </w:r>
      <w:r w:rsidRPr="00A37112">
        <w:rPr>
          <w:color w:val="000000"/>
        </w:rPr>
        <w:tab/>
      </w:r>
      <w:hyperlink r:id="rId159" w:history="1">
        <w:r w:rsidRPr="00A37112">
          <w:rPr>
            <w:rStyle w:val="af"/>
            <w:rFonts w:hint="eastAsia"/>
            <w:color w:val="000000"/>
          </w:rPr>
          <w:t>大会</w:t>
        </w:r>
        <w:r w:rsidRPr="00A37112">
          <w:rPr>
            <w:rStyle w:val="af"/>
            <w:color w:val="000000"/>
          </w:rPr>
          <w:t>2010</w:t>
        </w:r>
        <w:r w:rsidRPr="00A37112">
          <w:rPr>
            <w:rStyle w:val="af"/>
            <w:rFonts w:hint="eastAsia"/>
            <w:color w:val="000000"/>
          </w:rPr>
          <w:t>年</w:t>
        </w:r>
        <w:r w:rsidRPr="00A37112">
          <w:rPr>
            <w:rStyle w:val="af"/>
            <w:color w:val="000000"/>
          </w:rPr>
          <w:t>12</w:t>
        </w:r>
        <w:r w:rsidRPr="00A37112">
          <w:rPr>
            <w:rStyle w:val="af"/>
            <w:rFonts w:hint="eastAsia"/>
            <w:color w:val="000000"/>
          </w:rPr>
          <w:t>月</w:t>
        </w:r>
        <w:r w:rsidRPr="00A37112">
          <w:rPr>
            <w:rStyle w:val="af"/>
            <w:color w:val="000000"/>
          </w:rPr>
          <w:t>21</w:t>
        </w:r>
        <w:r w:rsidRPr="00A37112">
          <w:rPr>
            <w:rStyle w:val="af"/>
            <w:rFonts w:hint="eastAsia"/>
            <w:color w:val="000000"/>
          </w:rPr>
          <w:t>日第</w:t>
        </w:r>
        <w:r w:rsidRPr="00A37112">
          <w:rPr>
            <w:rStyle w:val="af"/>
            <w:color w:val="000000"/>
          </w:rPr>
          <w:t>65/221</w:t>
        </w:r>
        <w:r w:rsidRPr="00A37112">
          <w:rPr>
            <w:rStyle w:val="af"/>
            <w:rFonts w:hint="eastAsia"/>
            <w:color w:val="000000"/>
          </w:rPr>
          <w:t>号决议</w:t>
        </w:r>
      </w:hyperlink>
      <w:r w:rsidRPr="00A37112">
        <w:rPr>
          <w:rFonts w:hint="eastAsia"/>
          <w:color w:val="000000"/>
        </w:rPr>
        <w:t>，第</w:t>
      </w:r>
      <w:r w:rsidRPr="00A37112">
        <w:rPr>
          <w:color w:val="000000"/>
        </w:rPr>
        <w:t>5</w:t>
      </w:r>
      <w:r w:rsidRPr="00A37112">
        <w:rPr>
          <w:rFonts w:hint="eastAsia"/>
          <w:color w:val="000000"/>
        </w:rPr>
        <w:t>段，脚注</w:t>
      </w:r>
      <w:r w:rsidRPr="00A37112">
        <w:rPr>
          <w:color w:val="000000"/>
        </w:rPr>
        <w:t>8</w:t>
      </w:r>
      <w:r w:rsidRPr="00A37112">
        <w:rPr>
          <w:rFonts w:hint="eastAsia"/>
          <w:color w:val="000000"/>
        </w:rPr>
        <w:t>，和</w:t>
      </w:r>
      <w:r w:rsidRPr="00A37112">
        <w:rPr>
          <w:color w:val="000000"/>
        </w:rPr>
        <w:t>2013</w:t>
      </w:r>
      <w:r w:rsidRPr="00A37112">
        <w:rPr>
          <w:rFonts w:hint="eastAsia"/>
          <w:color w:val="000000"/>
        </w:rPr>
        <w:t>年</w:t>
      </w:r>
      <w:r w:rsidRPr="00A37112">
        <w:rPr>
          <w:color w:val="000000"/>
        </w:rPr>
        <w:t>12</w:t>
      </w:r>
      <w:r w:rsidRPr="00A37112">
        <w:rPr>
          <w:rFonts w:hint="eastAsia"/>
          <w:color w:val="000000"/>
        </w:rPr>
        <w:t>月</w:t>
      </w:r>
      <w:r w:rsidRPr="00A37112">
        <w:rPr>
          <w:color w:val="000000"/>
        </w:rPr>
        <w:t>18</w:t>
      </w:r>
      <w:r w:rsidRPr="00A37112">
        <w:rPr>
          <w:rFonts w:hint="eastAsia"/>
          <w:color w:val="000000"/>
        </w:rPr>
        <w:t>日第</w:t>
      </w:r>
      <w:hyperlink r:id="rId160" w:history="1">
        <w:r w:rsidRPr="00A37112">
          <w:rPr>
            <w:rStyle w:val="af"/>
            <w:color w:val="000000"/>
          </w:rPr>
          <w:t>68/178</w:t>
        </w:r>
      </w:hyperlink>
      <w:r w:rsidRPr="00A37112">
        <w:rPr>
          <w:rFonts w:hint="eastAsia"/>
          <w:color w:val="000000"/>
        </w:rPr>
        <w:t>号决议，第</w:t>
      </w:r>
      <w:r w:rsidRPr="00A37112">
        <w:rPr>
          <w:color w:val="000000"/>
        </w:rPr>
        <w:t>5</w:t>
      </w:r>
      <w:r w:rsidRPr="00A37112">
        <w:rPr>
          <w:rFonts w:hint="eastAsia"/>
          <w:color w:val="000000"/>
        </w:rPr>
        <w:t>段，脚注</w:t>
      </w:r>
      <w:r w:rsidRPr="00A37112">
        <w:rPr>
          <w:color w:val="000000"/>
        </w:rPr>
        <w:t>8</w:t>
      </w:r>
      <w:r w:rsidRPr="00A37112">
        <w:rPr>
          <w:rFonts w:hint="eastAsia"/>
          <w:color w:val="000000"/>
        </w:rPr>
        <w:t>。</w:t>
      </w:r>
    </w:p>
  </w:footnote>
  <w:footnote w:id="1014">
    <w:p w:rsidR="00AB00DE" w:rsidRPr="00A37112" w:rsidRDefault="00AB00DE" w:rsidP="003E31C7">
      <w:pPr>
        <w:pStyle w:val="a4"/>
        <w:rPr>
          <w:color w:val="000000"/>
        </w:rPr>
      </w:pPr>
      <w:r w:rsidRPr="00A37112">
        <w:rPr>
          <w:color w:val="000000"/>
        </w:rPr>
        <w:tab/>
      </w:r>
      <w:r w:rsidRPr="00902223">
        <w:rPr>
          <w:snapToGrid/>
          <w:color w:val="0000FF"/>
          <w:sz w:val="21"/>
          <w:szCs w:val="21"/>
          <w:vertAlign w:val="superscript"/>
        </w:rPr>
        <w:footnoteRef/>
      </w:r>
      <w:r w:rsidRPr="00A37112">
        <w:rPr>
          <w:color w:val="000000"/>
        </w:rPr>
        <w:tab/>
      </w:r>
      <w:r w:rsidRPr="00A37112">
        <w:rPr>
          <w:rFonts w:hint="eastAsia"/>
          <w:color w:val="000000"/>
        </w:rPr>
        <w:t>人权事务委员会的报告，《大会正式记录，第五十六届会议，补编第</w:t>
      </w:r>
      <w:r w:rsidRPr="00A37112">
        <w:rPr>
          <w:color w:val="000000"/>
        </w:rPr>
        <w:t>40</w:t>
      </w:r>
      <w:r w:rsidRPr="00A37112">
        <w:rPr>
          <w:rFonts w:hint="eastAsia"/>
          <w:color w:val="000000"/>
        </w:rPr>
        <w:t>号》</w:t>
      </w:r>
      <w:r w:rsidRPr="00A37112">
        <w:rPr>
          <w:color w:val="000000"/>
        </w:rPr>
        <w:t>(</w:t>
      </w:r>
      <w:hyperlink r:id="rId161" w:history="1">
        <w:r w:rsidRPr="00A37112">
          <w:rPr>
            <w:color w:val="000000"/>
          </w:rPr>
          <w:t>A/56/40)</w:t>
        </w:r>
        <w:r w:rsidRPr="00A37112">
          <w:rPr>
            <w:rFonts w:hint="eastAsia"/>
            <w:color w:val="000000"/>
          </w:rPr>
          <w:t>，第一卷，附件六。</w:t>
        </w:r>
      </w:hyperlink>
    </w:p>
  </w:footnote>
  <w:footnote w:id="1015">
    <w:p w:rsidR="00AB00DE" w:rsidRPr="00A37112" w:rsidRDefault="00AB00DE" w:rsidP="003E31C7">
      <w:pPr>
        <w:pStyle w:val="a4"/>
        <w:rPr>
          <w:color w:val="000000"/>
        </w:rPr>
      </w:pPr>
      <w:r w:rsidRPr="00A37112">
        <w:rPr>
          <w:rFonts w:hint="eastAsia"/>
          <w:color w:val="000000"/>
        </w:rPr>
        <w:tab/>
      </w:r>
      <w:r w:rsidRPr="00902223">
        <w:rPr>
          <w:rStyle w:val="a5"/>
          <w:szCs w:val="21"/>
        </w:rPr>
        <w:footnoteRef/>
      </w:r>
      <w:r w:rsidRPr="00A37112">
        <w:rPr>
          <w:rFonts w:hint="eastAsia"/>
          <w:color w:val="000000"/>
        </w:rPr>
        <w:tab/>
      </w:r>
      <w:r w:rsidRPr="00A37112">
        <w:rPr>
          <w:rFonts w:hint="eastAsia"/>
          <w:color w:val="000000"/>
        </w:rPr>
        <w:t>同上，第</w:t>
      </w:r>
      <w:r w:rsidRPr="00A37112">
        <w:rPr>
          <w:rFonts w:hint="eastAsia"/>
          <w:color w:val="000000"/>
        </w:rPr>
        <w:t>2</w:t>
      </w:r>
      <w:r w:rsidRPr="00A37112">
        <w:rPr>
          <w:rFonts w:hint="eastAsia"/>
          <w:color w:val="000000"/>
        </w:rPr>
        <w:t>段。</w:t>
      </w:r>
    </w:p>
  </w:footnote>
  <w:footnote w:id="1016">
    <w:p w:rsidR="00AB00DE" w:rsidRPr="00A37112" w:rsidRDefault="00AB00DE" w:rsidP="003E31C7">
      <w:pPr>
        <w:pStyle w:val="a4"/>
        <w:rPr>
          <w:color w:val="000000"/>
        </w:rPr>
      </w:pPr>
      <w:r w:rsidRPr="00A37112">
        <w:rPr>
          <w:color w:val="000000"/>
        </w:rPr>
        <w:tab/>
      </w:r>
      <w:r w:rsidRPr="00902223">
        <w:rPr>
          <w:snapToGrid/>
          <w:color w:val="0000FF"/>
          <w:sz w:val="21"/>
          <w:szCs w:val="21"/>
          <w:vertAlign w:val="superscript"/>
        </w:rPr>
        <w:footnoteRef/>
      </w:r>
      <w:r w:rsidRPr="00A37112">
        <w:rPr>
          <w:color w:val="000000"/>
        </w:rPr>
        <w:tab/>
      </w:r>
      <w:r w:rsidRPr="00A37112">
        <w:rPr>
          <w:rFonts w:hint="eastAsia"/>
          <w:color w:val="000000"/>
        </w:rPr>
        <w:t>见结论草案</w:t>
      </w:r>
      <w:r w:rsidRPr="00A37112">
        <w:rPr>
          <w:color w:val="000000"/>
        </w:rPr>
        <w:t>11 [10]</w:t>
      </w:r>
      <w:r w:rsidRPr="00A37112">
        <w:rPr>
          <w:rFonts w:hint="eastAsia"/>
          <w:color w:val="000000"/>
        </w:rPr>
        <w:t>第</w:t>
      </w:r>
      <w:r w:rsidRPr="00A37112">
        <w:rPr>
          <w:color w:val="000000"/>
        </w:rPr>
        <w:t>3</w:t>
      </w:r>
      <w:r w:rsidRPr="00A37112">
        <w:rPr>
          <w:rFonts w:hint="eastAsia"/>
          <w:color w:val="000000"/>
        </w:rPr>
        <w:t>段及其评注。</w:t>
      </w:r>
    </w:p>
  </w:footnote>
  <w:footnote w:id="1017">
    <w:p w:rsidR="00AB00DE" w:rsidRPr="00A37112" w:rsidRDefault="00AB00DE" w:rsidP="003E31C7">
      <w:pPr>
        <w:pStyle w:val="a4"/>
        <w:rPr>
          <w:color w:val="000000"/>
        </w:rPr>
      </w:pPr>
      <w:r w:rsidRPr="00A37112">
        <w:rPr>
          <w:color w:val="000000"/>
        </w:rPr>
        <w:tab/>
      </w:r>
      <w:r w:rsidRPr="00902223">
        <w:rPr>
          <w:snapToGrid/>
          <w:color w:val="0000FF"/>
          <w:sz w:val="21"/>
          <w:szCs w:val="21"/>
          <w:vertAlign w:val="superscript"/>
        </w:rPr>
        <w:footnoteRef/>
      </w:r>
      <w:r w:rsidRPr="00A37112">
        <w:rPr>
          <w:color w:val="000000"/>
        </w:rPr>
        <w:tab/>
      </w:r>
      <w:r w:rsidRPr="00A37112">
        <w:rPr>
          <w:rFonts w:hint="eastAsia"/>
          <w:color w:val="000000"/>
        </w:rPr>
        <w:t>经济、社会及文化权利委员会，第</w:t>
      </w:r>
      <w:r w:rsidRPr="00A37112">
        <w:rPr>
          <w:color w:val="000000"/>
        </w:rPr>
        <w:t>15</w:t>
      </w:r>
      <w:r w:rsidRPr="00A37112">
        <w:rPr>
          <w:rFonts w:hint="eastAsia"/>
          <w:color w:val="000000"/>
        </w:rPr>
        <w:t>号一般性意见</w:t>
      </w:r>
      <w:r w:rsidRPr="00A37112">
        <w:rPr>
          <w:color w:val="000000"/>
        </w:rPr>
        <w:t>(2002</w:t>
      </w:r>
      <w:r w:rsidRPr="00A37112">
        <w:rPr>
          <w:rFonts w:hint="eastAsia"/>
          <w:color w:val="000000"/>
        </w:rPr>
        <w:t>年</w:t>
      </w:r>
      <w:r w:rsidRPr="00A37112">
        <w:rPr>
          <w:color w:val="000000"/>
        </w:rPr>
        <w:t>)</w:t>
      </w:r>
      <w:r w:rsidRPr="00A37112">
        <w:rPr>
          <w:rFonts w:hint="eastAsia"/>
          <w:color w:val="000000"/>
        </w:rPr>
        <w:t>，《</w:t>
      </w:r>
      <w:r w:rsidRPr="00A37112">
        <w:rPr>
          <w:color w:val="000000"/>
        </w:rPr>
        <w:t>2003</w:t>
      </w:r>
      <w:r w:rsidRPr="00A37112">
        <w:rPr>
          <w:rFonts w:hint="eastAsia"/>
          <w:color w:val="000000"/>
        </w:rPr>
        <w:t>年经济及社会理事会正式记录，补编第</w:t>
      </w:r>
      <w:r w:rsidRPr="00A37112">
        <w:rPr>
          <w:color w:val="000000"/>
        </w:rPr>
        <w:t>2</w:t>
      </w:r>
      <w:r w:rsidRPr="00A37112">
        <w:rPr>
          <w:rFonts w:hint="eastAsia"/>
          <w:color w:val="000000"/>
        </w:rPr>
        <w:t>号》</w:t>
      </w:r>
      <w:r w:rsidRPr="00A37112">
        <w:rPr>
          <w:color w:val="000000"/>
        </w:rPr>
        <w:t>(</w:t>
      </w:r>
      <w:hyperlink r:id="rId162" w:history="1">
        <w:r w:rsidRPr="00A37112">
          <w:rPr>
            <w:rStyle w:val="af"/>
            <w:color w:val="000000"/>
            <w:w w:val="104"/>
          </w:rPr>
          <w:t>E/2003/22-E/C.12/2002/13</w:t>
        </w:r>
      </w:hyperlink>
      <w:r w:rsidRPr="00A37112">
        <w:rPr>
          <w:color w:val="000000"/>
        </w:rPr>
        <w:t>)</w:t>
      </w:r>
      <w:r w:rsidRPr="00A37112">
        <w:rPr>
          <w:rFonts w:hint="eastAsia"/>
          <w:color w:val="000000"/>
        </w:rPr>
        <w:t>，附件四，第</w:t>
      </w:r>
      <w:r w:rsidRPr="00A37112">
        <w:rPr>
          <w:color w:val="000000"/>
        </w:rPr>
        <w:t>2</w:t>
      </w:r>
      <w:r w:rsidRPr="00A37112">
        <w:rPr>
          <w:rFonts w:hint="eastAsia"/>
          <w:color w:val="000000"/>
        </w:rPr>
        <w:t>段。</w:t>
      </w:r>
      <w:r w:rsidRPr="00A37112">
        <w:rPr>
          <w:color w:val="000000"/>
        </w:rPr>
        <w:t>(</w:t>
      </w:r>
      <w:r w:rsidRPr="00A37112">
        <w:rPr>
          <w:rFonts w:hint="eastAsia"/>
          <w:color w:val="000000"/>
        </w:rPr>
        <w:t>“水权意味着每个人都有权获得供个人和家庭使用的充足、安全、可接受、便于汲取和负担得起的用水”</w:t>
      </w:r>
      <w:r w:rsidRPr="00A37112">
        <w:rPr>
          <w:color w:val="000000"/>
        </w:rPr>
        <w:t>)</w:t>
      </w:r>
      <w:r w:rsidRPr="00A37112">
        <w:rPr>
          <w:rFonts w:hint="eastAsia"/>
          <w:color w:val="000000"/>
        </w:rPr>
        <w:t>。</w:t>
      </w:r>
    </w:p>
  </w:footnote>
  <w:footnote w:id="1018">
    <w:p w:rsidR="00AB00DE" w:rsidRPr="00A37112" w:rsidRDefault="00AB00DE" w:rsidP="003E31C7">
      <w:pPr>
        <w:pStyle w:val="a4"/>
        <w:rPr>
          <w:color w:val="000000"/>
        </w:rPr>
      </w:pPr>
      <w:r w:rsidRPr="00A37112">
        <w:rPr>
          <w:color w:val="000000"/>
        </w:rPr>
        <w:tab/>
      </w:r>
      <w:r w:rsidRPr="00902223">
        <w:rPr>
          <w:snapToGrid/>
          <w:color w:val="0000FF"/>
          <w:sz w:val="21"/>
          <w:szCs w:val="21"/>
          <w:vertAlign w:val="superscript"/>
        </w:rPr>
        <w:footnoteRef/>
      </w:r>
      <w:r w:rsidRPr="00A37112">
        <w:rPr>
          <w:color w:val="000000"/>
        </w:rPr>
        <w:tab/>
      </w:r>
      <w:r w:rsidRPr="00A37112">
        <w:rPr>
          <w:rFonts w:hint="eastAsia"/>
          <w:color w:val="000000"/>
        </w:rPr>
        <w:t>大会</w:t>
      </w:r>
      <w:r w:rsidRPr="00A37112">
        <w:rPr>
          <w:color w:val="000000"/>
        </w:rPr>
        <w:t>2015</w:t>
      </w:r>
      <w:r w:rsidRPr="00A37112">
        <w:rPr>
          <w:rFonts w:hint="eastAsia"/>
          <w:color w:val="000000"/>
        </w:rPr>
        <w:t>年</w:t>
      </w:r>
      <w:r w:rsidRPr="00A37112">
        <w:rPr>
          <w:color w:val="000000"/>
        </w:rPr>
        <w:t>12</w:t>
      </w:r>
      <w:r w:rsidRPr="00A37112">
        <w:rPr>
          <w:rFonts w:hint="eastAsia"/>
          <w:color w:val="000000"/>
        </w:rPr>
        <w:t>月</w:t>
      </w:r>
      <w:r w:rsidRPr="00A37112">
        <w:rPr>
          <w:color w:val="000000"/>
        </w:rPr>
        <w:t>17</w:t>
      </w:r>
      <w:r w:rsidRPr="00A37112">
        <w:rPr>
          <w:rFonts w:hint="eastAsia"/>
          <w:color w:val="000000"/>
        </w:rPr>
        <w:t>日第</w:t>
      </w:r>
      <w:hyperlink r:id="rId163" w:history="1">
        <w:r w:rsidRPr="00A37112">
          <w:rPr>
            <w:rStyle w:val="af"/>
            <w:color w:val="000000"/>
            <w:w w:val="104"/>
          </w:rPr>
          <w:t>70/169</w:t>
        </w:r>
      </w:hyperlink>
      <w:r w:rsidRPr="00A37112">
        <w:rPr>
          <w:rFonts w:hint="eastAsia"/>
          <w:color w:val="000000"/>
        </w:rPr>
        <w:t>号决议回顾了经济、社会及文化权利委员会关于水权的第</w:t>
      </w:r>
      <w:r w:rsidRPr="00A37112">
        <w:rPr>
          <w:color w:val="000000"/>
        </w:rPr>
        <w:t>15</w:t>
      </w:r>
      <w:r w:rsidRPr="00A37112">
        <w:rPr>
          <w:rFonts w:hint="eastAsia"/>
          <w:color w:val="000000"/>
        </w:rPr>
        <w:t>号一般性意见</w:t>
      </w:r>
      <w:r w:rsidRPr="00A37112">
        <w:rPr>
          <w:color w:val="000000"/>
        </w:rPr>
        <w:t>(</w:t>
      </w:r>
      <w:r w:rsidRPr="00A37112">
        <w:rPr>
          <w:rFonts w:hint="eastAsia"/>
          <w:color w:val="000000"/>
        </w:rPr>
        <w:t>见上文脚注</w:t>
      </w:r>
      <w:r w:rsidRPr="00A37112">
        <w:rPr>
          <w:color w:val="000000"/>
        </w:rPr>
        <w:fldChar w:fldCharType="begin"/>
      </w:r>
      <w:r w:rsidRPr="00A37112">
        <w:rPr>
          <w:color w:val="000000"/>
        </w:rPr>
        <w:instrText xml:space="preserve"> </w:instrText>
      </w:r>
      <w:r w:rsidRPr="00A37112">
        <w:rPr>
          <w:rFonts w:hint="eastAsia"/>
          <w:color w:val="000000"/>
        </w:rPr>
        <w:instrText>NOTEREF _Ref455906554 \h</w:instrText>
      </w:r>
      <w:r w:rsidRPr="00A37112">
        <w:rPr>
          <w:color w:val="000000"/>
        </w:rPr>
        <w:instrText xml:space="preserve">  \* MERGEFORMAT </w:instrText>
      </w:r>
      <w:r w:rsidRPr="00A37112">
        <w:rPr>
          <w:color w:val="000000"/>
        </w:rPr>
      </w:r>
      <w:r w:rsidRPr="00A37112">
        <w:rPr>
          <w:color w:val="000000"/>
        </w:rPr>
        <w:fldChar w:fldCharType="separate"/>
      </w:r>
      <w:r w:rsidR="00A73EB9">
        <w:rPr>
          <w:color w:val="000000"/>
        </w:rPr>
        <w:t>1016</w:t>
      </w:r>
      <w:r w:rsidRPr="00A37112">
        <w:rPr>
          <w:color w:val="000000"/>
        </w:rPr>
        <w:fldChar w:fldCharType="end"/>
      </w:r>
      <w:r w:rsidRPr="00A37112">
        <w:rPr>
          <w:color w:val="000000"/>
        </w:rPr>
        <w:t>)</w:t>
      </w:r>
      <w:r w:rsidRPr="00A37112">
        <w:rPr>
          <w:rFonts w:hint="eastAsia"/>
          <w:color w:val="000000"/>
        </w:rPr>
        <w:t>，并使用了相同的用语：“确认享受安全饮用水的人权意味着每个人都有权不受歧视地获得供个人和家庭使用的充足、安全、可接受、便于汲取和负担得起的用水”</w:t>
      </w:r>
      <w:r w:rsidRPr="00A37112">
        <w:rPr>
          <w:color w:val="000000"/>
        </w:rPr>
        <w:t>(</w:t>
      </w:r>
      <w:r w:rsidRPr="00A37112">
        <w:rPr>
          <w:rFonts w:hint="eastAsia"/>
          <w:color w:val="000000"/>
        </w:rPr>
        <w:t>第</w:t>
      </w:r>
      <w:r w:rsidRPr="00A37112">
        <w:rPr>
          <w:color w:val="000000"/>
        </w:rPr>
        <w:t>2</w:t>
      </w:r>
      <w:r w:rsidRPr="00A37112">
        <w:rPr>
          <w:rFonts w:hint="eastAsia"/>
          <w:color w:val="000000"/>
        </w:rPr>
        <w:t>段</w:t>
      </w:r>
      <w:r w:rsidRPr="00A37112">
        <w:rPr>
          <w:color w:val="000000"/>
        </w:rPr>
        <w:t>)</w:t>
      </w:r>
      <w:r w:rsidRPr="00A37112">
        <w:rPr>
          <w:rFonts w:hint="eastAsia"/>
          <w:color w:val="000000"/>
        </w:rPr>
        <w:t>。</w:t>
      </w:r>
    </w:p>
  </w:footnote>
  <w:footnote w:id="1019">
    <w:p w:rsidR="00AB00DE" w:rsidRPr="00A37112" w:rsidRDefault="00AB00DE" w:rsidP="003E31C7">
      <w:pPr>
        <w:pStyle w:val="a4"/>
        <w:rPr>
          <w:color w:val="000000"/>
        </w:rPr>
      </w:pPr>
      <w:r w:rsidRPr="00A37112">
        <w:rPr>
          <w:color w:val="000000"/>
        </w:rPr>
        <w:tab/>
      </w:r>
      <w:r w:rsidRPr="00902223">
        <w:rPr>
          <w:snapToGrid/>
          <w:color w:val="0000FF"/>
          <w:sz w:val="21"/>
          <w:szCs w:val="21"/>
          <w:vertAlign w:val="superscript"/>
        </w:rPr>
        <w:footnoteRef/>
      </w:r>
      <w:r w:rsidRPr="00A37112">
        <w:rPr>
          <w:color w:val="000000"/>
        </w:rPr>
        <w:tab/>
      </w:r>
      <w:r w:rsidRPr="00A37112">
        <w:rPr>
          <w:rFonts w:hint="eastAsia"/>
          <w:color w:val="000000"/>
        </w:rPr>
        <w:t>见结论草案</w:t>
      </w:r>
      <w:r w:rsidRPr="00A37112">
        <w:rPr>
          <w:color w:val="000000"/>
        </w:rPr>
        <w:t>11[10]</w:t>
      </w:r>
      <w:r w:rsidRPr="00A37112">
        <w:rPr>
          <w:rFonts w:hint="eastAsia"/>
          <w:color w:val="000000"/>
        </w:rPr>
        <w:t>，第</w:t>
      </w:r>
      <w:r w:rsidRPr="00A37112">
        <w:rPr>
          <w:color w:val="000000"/>
        </w:rPr>
        <w:t>3</w:t>
      </w:r>
      <w:r w:rsidRPr="00A37112">
        <w:rPr>
          <w:rFonts w:hint="eastAsia"/>
          <w:color w:val="000000"/>
        </w:rPr>
        <w:t>段，及其评注，第</w:t>
      </w:r>
      <w:r w:rsidRPr="00A37112">
        <w:rPr>
          <w:color w:val="000000"/>
        </w:rPr>
        <w:t>(31)-(38)</w:t>
      </w:r>
      <w:r w:rsidRPr="00A37112">
        <w:rPr>
          <w:rFonts w:hint="eastAsia"/>
          <w:color w:val="000000"/>
        </w:rPr>
        <w:t>段；就关于水权的第</w:t>
      </w:r>
      <w:r w:rsidRPr="00A37112">
        <w:rPr>
          <w:color w:val="000000"/>
        </w:rPr>
        <w:t>70/169</w:t>
      </w:r>
      <w:r w:rsidRPr="00A37112">
        <w:rPr>
          <w:rFonts w:hint="eastAsia"/>
          <w:color w:val="000000"/>
        </w:rPr>
        <w:t>号决议</w:t>
      </w:r>
      <w:r w:rsidRPr="00A37112">
        <w:rPr>
          <w:color w:val="000000"/>
        </w:rPr>
        <w:t>(</w:t>
      </w:r>
      <w:r w:rsidRPr="00A37112">
        <w:rPr>
          <w:rFonts w:hint="eastAsia"/>
          <w:color w:val="000000"/>
        </w:rPr>
        <w:t>见上文脚注</w:t>
      </w:r>
      <w:r w:rsidRPr="00A37112">
        <w:rPr>
          <w:color w:val="000000"/>
        </w:rPr>
        <w:fldChar w:fldCharType="begin"/>
      </w:r>
      <w:r w:rsidRPr="00A37112">
        <w:rPr>
          <w:color w:val="000000"/>
        </w:rPr>
        <w:instrText xml:space="preserve"> </w:instrText>
      </w:r>
      <w:r w:rsidRPr="00A37112">
        <w:rPr>
          <w:rFonts w:hint="eastAsia"/>
          <w:color w:val="000000"/>
        </w:rPr>
        <w:instrText>NOTEREF _Ref455906684 \h</w:instrText>
      </w:r>
      <w:r w:rsidRPr="00A37112">
        <w:rPr>
          <w:color w:val="000000"/>
        </w:rPr>
        <w:instrText xml:space="preserve">  \* MERGEFORMAT </w:instrText>
      </w:r>
      <w:r w:rsidRPr="00A37112">
        <w:rPr>
          <w:color w:val="000000"/>
        </w:rPr>
      </w:r>
      <w:r w:rsidRPr="00A37112">
        <w:rPr>
          <w:color w:val="000000"/>
        </w:rPr>
        <w:fldChar w:fldCharType="separate"/>
      </w:r>
      <w:r w:rsidR="00A73EB9">
        <w:rPr>
          <w:color w:val="000000"/>
        </w:rPr>
        <w:t>1017</w:t>
      </w:r>
      <w:r w:rsidRPr="00A37112">
        <w:rPr>
          <w:color w:val="000000"/>
        </w:rPr>
        <w:fldChar w:fldCharType="end"/>
      </w:r>
      <w:r w:rsidRPr="00A37112">
        <w:rPr>
          <w:color w:val="000000"/>
        </w:rPr>
        <w:t>)</w:t>
      </w:r>
      <w:r w:rsidRPr="00A37112">
        <w:rPr>
          <w:rFonts w:hint="eastAsia"/>
          <w:color w:val="000000"/>
        </w:rPr>
        <w:t>而言，“……美国不赞同关于第</w:t>
      </w:r>
      <w:r w:rsidRPr="00A37112">
        <w:rPr>
          <w:color w:val="000000"/>
        </w:rPr>
        <w:t>2</w:t>
      </w:r>
      <w:r w:rsidRPr="00A37112">
        <w:rPr>
          <w:rFonts w:hint="eastAsia"/>
          <w:color w:val="000000"/>
        </w:rPr>
        <w:t>段的协调一致，理由是界定享有水和卫生设施的权利采用的措辞仅以经济、社会及文化权利委员会及特别报告员的观点为基础，而且从未在任何国际协定中出现过，也未反映出任何国际协商一致”</w:t>
      </w:r>
      <w:r w:rsidRPr="00A37112">
        <w:rPr>
          <w:color w:val="000000"/>
        </w:rPr>
        <w:t>(</w:t>
      </w:r>
      <w:r w:rsidRPr="00A37112">
        <w:rPr>
          <w:rFonts w:hint="eastAsia"/>
          <w:color w:val="000000"/>
        </w:rPr>
        <w:t>见《大会正式记录，第七十届会议，第三委员会，第</w:t>
      </w:r>
      <w:r w:rsidRPr="00A37112">
        <w:rPr>
          <w:color w:val="000000"/>
        </w:rPr>
        <w:t>55</w:t>
      </w:r>
      <w:r w:rsidRPr="00A37112">
        <w:rPr>
          <w:rFonts w:hint="eastAsia"/>
          <w:color w:val="000000"/>
        </w:rPr>
        <w:t>次会议》</w:t>
      </w:r>
      <w:r w:rsidRPr="00A37112">
        <w:rPr>
          <w:color w:val="000000"/>
        </w:rPr>
        <w:t>(</w:t>
      </w:r>
      <w:hyperlink r:id="rId164" w:history="1">
        <w:r w:rsidRPr="00A37112">
          <w:rPr>
            <w:rStyle w:val="af"/>
            <w:color w:val="000000"/>
          </w:rPr>
          <w:t>A/C.3/70/SR.55</w:t>
        </w:r>
      </w:hyperlink>
      <w:r w:rsidRPr="00A37112">
        <w:rPr>
          <w:color w:val="000000"/>
        </w:rPr>
        <w:t>)</w:t>
      </w:r>
      <w:r w:rsidRPr="00A37112">
        <w:rPr>
          <w:rFonts w:hint="eastAsia"/>
          <w:color w:val="000000"/>
        </w:rPr>
        <w:t>，</w:t>
      </w:r>
      <w:r w:rsidRPr="00A37112">
        <w:rPr>
          <w:color w:val="000000"/>
        </w:rPr>
        <w:t>2015</w:t>
      </w:r>
      <w:r w:rsidRPr="00A37112">
        <w:rPr>
          <w:rFonts w:hint="eastAsia"/>
          <w:color w:val="000000"/>
        </w:rPr>
        <w:t>年</w:t>
      </w:r>
      <w:r w:rsidRPr="00A37112">
        <w:rPr>
          <w:color w:val="000000"/>
        </w:rPr>
        <w:t>11</w:t>
      </w:r>
      <w:r w:rsidRPr="00A37112">
        <w:rPr>
          <w:rFonts w:hint="eastAsia"/>
          <w:color w:val="000000"/>
        </w:rPr>
        <w:t>月</w:t>
      </w:r>
      <w:r w:rsidRPr="00A37112">
        <w:rPr>
          <w:color w:val="000000"/>
        </w:rPr>
        <w:t>24</w:t>
      </w:r>
      <w:r w:rsidRPr="00A37112">
        <w:rPr>
          <w:rFonts w:hint="eastAsia"/>
          <w:color w:val="000000"/>
        </w:rPr>
        <w:t>日，第</w:t>
      </w:r>
      <w:r w:rsidRPr="00A37112">
        <w:rPr>
          <w:color w:val="000000"/>
        </w:rPr>
        <w:t>144</w:t>
      </w:r>
      <w:r w:rsidRPr="00A37112">
        <w:rPr>
          <w:rFonts w:hint="eastAsia"/>
          <w:color w:val="000000"/>
        </w:rPr>
        <w:t>段</w:t>
      </w:r>
      <w:r w:rsidRPr="00A37112">
        <w:rPr>
          <w:color w:val="000000"/>
        </w:rPr>
        <w:t>)</w:t>
      </w:r>
      <w:r w:rsidRPr="00A37112">
        <w:rPr>
          <w:rFonts w:hint="eastAsia"/>
          <w:color w:val="000000"/>
        </w:rPr>
        <w:t>。并不完全清楚的是，美国是否就此简单重申其立场，即该项决议并不承认委员会此种声明的某种具体效力，或是不同意定义的实质内容。</w:t>
      </w:r>
    </w:p>
  </w:footnote>
  <w:footnote w:id="1020">
    <w:p w:rsidR="00AB00DE" w:rsidRPr="00A37112" w:rsidRDefault="00AB00DE" w:rsidP="003E31C7">
      <w:pPr>
        <w:pStyle w:val="a4"/>
        <w:rPr>
          <w:color w:val="000000"/>
        </w:rPr>
      </w:pPr>
      <w:r w:rsidRPr="00A37112">
        <w:rPr>
          <w:rFonts w:hint="eastAsia"/>
          <w:color w:val="000000"/>
        </w:rPr>
        <w:tab/>
      </w:r>
      <w:r w:rsidRPr="00902223">
        <w:rPr>
          <w:rStyle w:val="a5"/>
          <w:szCs w:val="21"/>
        </w:rPr>
        <w:footnoteRef/>
      </w:r>
      <w:r w:rsidRPr="00A37112">
        <w:rPr>
          <w:rFonts w:hint="eastAsia"/>
          <w:color w:val="000000"/>
        </w:rPr>
        <w:tab/>
      </w:r>
      <w:r w:rsidRPr="00A37112">
        <w:rPr>
          <w:color w:val="000000"/>
          <w:lang w:val="zh-CN"/>
        </w:rPr>
        <w:t>见大会</w:t>
      </w:r>
      <w:r w:rsidRPr="00A37112">
        <w:rPr>
          <w:color w:val="000000"/>
          <w:lang w:val="zh-CN"/>
        </w:rPr>
        <w:t>2014</w:t>
      </w:r>
      <w:r w:rsidRPr="00A37112">
        <w:rPr>
          <w:color w:val="000000"/>
          <w:lang w:val="zh-CN"/>
        </w:rPr>
        <w:t>年</w:t>
      </w:r>
      <w:r w:rsidRPr="00A37112">
        <w:rPr>
          <w:color w:val="000000"/>
          <w:lang w:val="zh-CN"/>
        </w:rPr>
        <w:t>12</w:t>
      </w:r>
      <w:r w:rsidRPr="00A37112">
        <w:rPr>
          <w:color w:val="000000"/>
          <w:lang w:val="zh-CN"/>
        </w:rPr>
        <w:t>月</w:t>
      </w:r>
      <w:r w:rsidRPr="00A37112">
        <w:rPr>
          <w:color w:val="000000"/>
          <w:lang w:val="zh-CN"/>
        </w:rPr>
        <w:t>18</w:t>
      </w:r>
      <w:r w:rsidRPr="00A37112">
        <w:rPr>
          <w:color w:val="000000"/>
          <w:lang w:val="zh-CN"/>
        </w:rPr>
        <w:t>日第</w:t>
      </w:r>
      <w:r w:rsidRPr="00A37112">
        <w:rPr>
          <w:color w:val="000000"/>
          <w:lang w:val="zh-CN"/>
        </w:rPr>
        <w:t>69/166</w:t>
      </w:r>
      <w:r w:rsidRPr="00A37112">
        <w:rPr>
          <w:color w:val="000000"/>
          <w:lang w:val="zh-CN"/>
        </w:rPr>
        <w:t>号决议，未经表决获得通过，回顾人权事务委员会关于尊重隐私、家庭、住宅和通信权，以及保护荣誉和声誉问题的第</w:t>
      </w:r>
      <w:r w:rsidRPr="00A37112">
        <w:rPr>
          <w:color w:val="000000"/>
          <w:lang w:val="zh-CN"/>
        </w:rPr>
        <w:t>16</w:t>
      </w:r>
      <w:r w:rsidRPr="00A37112">
        <w:rPr>
          <w:color w:val="000000"/>
          <w:lang w:val="zh-CN"/>
        </w:rPr>
        <w:t>号一般性意见</w:t>
      </w:r>
      <w:r w:rsidRPr="00A37112">
        <w:rPr>
          <w:color w:val="000000"/>
          <w:lang w:val="zh-CN"/>
        </w:rPr>
        <w:t>(</w:t>
      </w:r>
      <w:r w:rsidRPr="00A37112">
        <w:rPr>
          <w:color w:val="000000"/>
          <w:lang w:val="zh-CN"/>
        </w:rPr>
        <w:t>《大会正式记录，第四十三届会议，补编第</w:t>
      </w:r>
      <w:r w:rsidRPr="00A37112">
        <w:rPr>
          <w:color w:val="000000"/>
          <w:lang w:val="zh-CN"/>
        </w:rPr>
        <w:t>40</w:t>
      </w:r>
      <w:r w:rsidRPr="00A37112">
        <w:rPr>
          <w:color w:val="000000"/>
          <w:lang w:val="zh-CN"/>
        </w:rPr>
        <w:t>号》</w:t>
      </w:r>
      <w:r w:rsidRPr="00A37112">
        <w:rPr>
          <w:color w:val="000000"/>
          <w:lang w:val="zh-CN"/>
        </w:rPr>
        <w:t>(A/43/40)</w:t>
      </w:r>
      <w:r w:rsidRPr="00A37112">
        <w:rPr>
          <w:color w:val="000000"/>
          <w:lang w:val="zh-CN"/>
        </w:rPr>
        <w:t>，附件六</w:t>
      </w:r>
      <w:r w:rsidRPr="00A37112">
        <w:rPr>
          <w:color w:val="000000"/>
          <w:lang w:val="zh-CN"/>
        </w:rPr>
        <w:t>)</w:t>
      </w:r>
      <w:r w:rsidRPr="00A37112">
        <w:rPr>
          <w:color w:val="000000"/>
          <w:lang w:val="zh-CN"/>
        </w:rPr>
        <w:t>。</w:t>
      </w:r>
    </w:p>
  </w:footnote>
  <w:footnote w:id="1021">
    <w:p w:rsidR="00AB00DE" w:rsidRPr="00A37112" w:rsidRDefault="00AB00DE" w:rsidP="003E31C7">
      <w:pPr>
        <w:pStyle w:val="a4"/>
        <w:rPr>
          <w:color w:val="000000"/>
        </w:rPr>
      </w:pPr>
      <w:r w:rsidRPr="00A37112">
        <w:rPr>
          <w:color w:val="000000"/>
          <w:lang w:val="zh-CN"/>
        </w:rPr>
        <w:tab/>
      </w:r>
      <w:r w:rsidRPr="00902223">
        <w:rPr>
          <w:rStyle w:val="a5"/>
          <w:szCs w:val="21"/>
          <w:lang w:val="zh-CN"/>
        </w:rPr>
        <w:footnoteRef/>
      </w:r>
      <w:r w:rsidRPr="00A37112">
        <w:rPr>
          <w:rFonts w:hint="eastAsia"/>
          <w:color w:val="000000"/>
          <w:lang w:val="zh-CN"/>
        </w:rPr>
        <w:tab/>
      </w:r>
      <w:r w:rsidRPr="00A37112">
        <w:rPr>
          <w:color w:val="000000"/>
          <w:lang w:val="zh-CN"/>
        </w:rPr>
        <w:t>见大会</w:t>
      </w:r>
      <w:r w:rsidRPr="00A37112">
        <w:rPr>
          <w:color w:val="000000"/>
          <w:lang w:val="zh-CN"/>
        </w:rPr>
        <w:t>2014</w:t>
      </w:r>
      <w:r w:rsidRPr="00A37112">
        <w:rPr>
          <w:color w:val="000000"/>
          <w:lang w:val="zh-CN"/>
        </w:rPr>
        <w:t>年</w:t>
      </w:r>
      <w:r w:rsidRPr="00A37112">
        <w:rPr>
          <w:color w:val="000000"/>
          <w:lang w:val="zh-CN"/>
        </w:rPr>
        <w:t>12</w:t>
      </w:r>
      <w:r w:rsidRPr="00A37112">
        <w:rPr>
          <w:color w:val="000000"/>
          <w:lang w:val="zh-CN"/>
        </w:rPr>
        <w:t>月</w:t>
      </w:r>
      <w:r w:rsidRPr="00A37112">
        <w:rPr>
          <w:color w:val="000000"/>
          <w:lang w:val="zh-CN"/>
        </w:rPr>
        <w:t>18</w:t>
      </w:r>
      <w:r w:rsidRPr="00A37112">
        <w:rPr>
          <w:color w:val="000000"/>
          <w:lang w:val="zh-CN"/>
        </w:rPr>
        <w:t>日第</w:t>
      </w:r>
      <w:r w:rsidRPr="00A37112">
        <w:rPr>
          <w:color w:val="000000"/>
          <w:lang w:val="zh-CN"/>
        </w:rPr>
        <w:t>69/157</w:t>
      </w:r>
      <w:r w:rsidRPr="00A37112">
        <w:rPr>
          <w:color w:val="000000"/>
          <w:lang w:val="zh-CN"/>
        </w:rPr>
        <w:t>号决议，未经表决获得通过；以及</w:t>
      </w:r>
      <w:r w:rsidRPr="00A37112">
        <w:rPr>
          <w:color w:val="000000"/>
          <w:lang w:val="zh-CN"/>
        </w:rPr>
        <w:t>2013</w:t>
      </w:r>
      <w:r w:rsidRPr="00A37112">
        <w:rPr>
          <w:color w:val="000000"/>
          <w:lang w:val="zh-CN"/>
        </w:rPr>
        <w:t>年</w:t>
      </w:r>
      <w:r w:rsidRPr="00A37112">
        <w:rPr>
          <w:color w:val="000000"/>
          <w:lang w:val="zh-CN"/>
        </w:rPr>
        <w:t>12</w:t>
      </w:r>
      <w:r w:rsidRPr="00A37112">
        <w:rPr>
          <w:color w:val="000000"/>
          <w:lang w:val="zh-CN"/>
        </w:rPr>
        <w:t>月</w:t>
      </w:r>
      <w:r w:rsidRPr="00A37112">
        <w:rPr>
          <w:color w:val="000000"/>
          <w:lang w:val="zh-CN"/>
        </w:rPr>
        <w:t>18</w:t>
      </w:r>
      <w:r w:rsidRPr="00A37112">
        <w:rPr>
          <w:color w:val="000000"/>
          <w:lang w:val="zh-CN"/>
        </w:rPr>
        <w:t>日第</w:t>
      </w:r>
      <w:r w:rsidRPr="00A37112">
        <w:rPr>
          <w:color w:val="000000"/>
          <w:lang w:val="zh-CN"/>
        </w:rPr>
        <w:t>68/147</w:t>
      </w:r>
      <w:r w:rsidRPr="00A37112">
        <w:rPr>
          <w:color w:val="000000"/>
          <w:lang w:val="zh-CN"/>
        </w:rPr>
        <w:t>号决议，未经表决获得通过。</w:t>
      </w:r>
    </w:p>
  </w:footnote>
  <w:footnote w:id="1022">
    <w:p w:rsidR="00AB00DE" w:rsidRPr="00A37112" w:rsidRDefault="00AB00DE" w:rsidP="00560424">
      <w:pPr>
        <w:pStyle w:val="a4"/>
        <w:rPr>
          <w:color w:val="000000"/>
        </w:rPr>
      </w:pPr>
      <w:r w:rsidRPr="00A37112">
        <w:rPr>
          <w:color w:val="000000"/>
          <w:lang w:val="zh-CN"/>
        </w:rPr>
        <w:tab/>
      </w:r>
      <w:r w:rsidRPr="00902223">
        <w:rPr>
          <w:rStyle w:val="a5"/>
          <w:szCs w:val="21"/>
          <w:lang w:val="zh-CN"/>
        </w:rPr>
        <w:footnoteRef/>
      </w:r>
      <w:r w:rsidRPr="00A37112">
        <w:rPr>
          <w:rFonts w:hint="eastAsia"/>
          <w:color w:val="000000"/>
          <w:lang w:val="zh-CN"/>
        </w:rPr>
        <w:tab/>
      </w:r>
      <w:r w:rsidRPr="00A37112">
        <w:rPr>
          <w:color w:val="000000"/>
          <w:lang w:val="zh-CN"/>
        </w:rPr>
        <w:t>关于审查遵约情况的第</w:t>
      </w:r>
      <w:r w:rsidRPr="00A37112">
        <w:rPr>
          <w:color w:val="000000"/>
          <w:lang w:val="zh-CN"/>
        </w:rPr>
        <w:t>I/7</w:t>
      </w:r>
      <w:r w:rsidRPr="00A37112">
        <w:rPr>
          <w:color w:val="000000"/>
          <w:lang w:val="zh-CN"/>
        </w:rPr>
        <w:t>号决定</w:t>
      </w:r>
      <w:r w:rsidRPr="00A37112">
        <w:rPr>
          <w:rFonts w:hint="eastAsia"/>
          <w:color w:val="000000"/>
          <w:lang w:val="zh-CN"/>
        </w:rPr>
        <w:t>(</w:t>
      </w:r>
      <w:r w:rsidRPr="00A37112">
        <w:rPr>
          <w:color w:val="000000"/>
          <w:lang w:val="zh-CN"/>
        </w:rPr>
        <w:t>见上文脚注</w:t>
      </w:r>
      <w:r>
        <w:rPr>
          <w:color w:val="000000"/>
          <w:lang w:val="zh-CN"/>
        </w:rPr>
        <w:fldChar w:fldCharType="begin"/>
      </w:r>
      <w:r>
        <w:rPr>
          <w:color w:val="000000"/>
          <w:lang w:val="zh-CN"/>
        </w:rPr>
        <w:instrText xml:space="preserve"> NOTEREF _Ref444758618 \h </w:instrText>
      </w:r>
      <w:r>
        <w:rPr>
          <w:color w:val="000000"/>
          <w:lang w:val="zh-CN"/>
        </w:rPr>
      </w:r>
      <w:r>
        <w:rPr>
          <w:color w:val="000000"/>
          <w:lang w:val="zh-CN"/>
        </w:rPr>
        <w:fldChar w:fldCharType="separate"/>
      </w:r>
      <w:r w:rsidR="00A73EB9">
        <w:rPr>
          <w:color w:val="000000"/>
          <w:lang w:val="zh-CN"/>
        </w:rPr>
        <w:t>985</w:t>
      </w:r>
      <w:r>
        <w:rPr>
          <w:color w:val="000000"/>
          <w:lang w:val="zh-CN"/>
        </w:rPr>
        <w:fldChar w:fldCharType="end"/>
      </w:r>
      <w:r w:rsidRPr="00A37112">
        <w:rPr>
          <w:rFonts w:hint="eastAsia"/>
          <w:color w:val="000000"/>
          <w:lang w:val="zh-CN"/>
        </w:rPr>
        <w:t>)</w:t>
      </w:r>
      <w:r w:rsidRPr="00A37112">
        <w:rPr>
          <w:color w:val="000000"/>
          <w:lang w:val="zh-CN"/>
        </w:rPr>
        <w:t>，附件，第三和第十二节，第</w:t>
      </w:r>
      <w:r w:rsidRPr="00A37112">
        <w:rPr>
          <w:color w:val="000000"/>
          <w:lang w:val="zh-CN"/>
        </w:rPr>
        <w:t>37</w:t>
      </w:r>
      <w:r w:rsidRPr="00A37112">
        <w:rPr>
          <w:color w:val="000000"/>
          <w:lang w:val="zh-CN"/>
        </w:rPr>
        <w:t>段；</w:t>
      </w:r>
      <w:r w:rsidRPr="00A37112">
        <w:rPr>
          <w:color w:val="000000"/>
          <w:lang w:val="zh-CN"/>
        </w:rPr>
        <w:t>V. Koester, “The Convention on Access to Information, Public Participation in Decision-making and Access to Justice in Environmental Matters (Aarhus Convention)”, in Making Treaties Work, Human Rights, Environment and Arms Control, G. Ulfstein and others, eds. (Cambridge, United Kingdom, Cambridge University Press, 2007),</w:t>
      </w:r>
      <w:r w:rsidRPr="00A37112">
        <w:rPr>
          <w:rFonts w:hint="eastAsia"/>
          <w:color w:val="000000"/>
          <w:lang w:val="zh-CN"/>
        </w:rPr>
        <w:t xml:space="preserve"> </w:t>
      </w:r>
      <w:r>
        <w:rPr>
          <w:rFonts w:hint="eastAsia"/>
          <w:color w:val="000000"/>
          <w:lang w:val="zh-CN"/>
        </w:rPr>
        <w:t xml:space="preserve"> </w:t>
      </w:r>
      <w:r w:rsidRPr="00A37112">
        <w:rPr>
          <w:color w:val="000000"/>
          <w:lang w:val="zh-CN"/>
        </w:rPr>
        <w:t>pp. 179-217, at p. 203</w:t>
      </w:r>
      <w:r w:rsidRPr="00A37112">
        <w:rPr>
          <w:color w:val="000000"/>
          <w:lang w:val="zh-CN"/>
        </w:rPr>
        <w:t>。</w:t>
      </w:r>
    </w:p>
  </w:footnote>
  <w:footnote w:id="1023">
    <w:p w:rsidR="00AB00DE" w:rsidRPr="00A37112" w:rsidRDefault="00AB00DE" w:rsidP="003E31C7">
      <w:pPr>
        <w:pStyle w:val="a4"/>
        <w:rPr>
          <w:color w:val="000000"/>
        </w:rPr>
      </w:pPr>
      <w:r w:rsidRPr="00A37112">
        <w:rPr>
          <w:color w:val="000000"/>
          <w:lang w:val="zh-CN"/>
        </w:rPr>
        <w:tab/>
      </w:r>
      <w:r w:rsidRPr="00902223">
        <w:rPr>
          <w:rStyle w:val="a5"/>
          <w:szCs w:val="21"/>
          <w:lang w:val="zh-CN"/>
        </w:rPr>
        <w:footnoteRef/>
      </w:r>
      <w:r w:rsidRPr="00A37112">
        <w:rPr>
          <w:rFonts w:hint="eastAsia"/>
          <w:color w:val="000000"/>
          <w:lang w:val="zh-CN"/>
        </w:rPr>
        <w:tab/>
      </w:r>
      <w:r w:rsidRPr="00A37112">
        <w:rPr>
          <w:color w:val="000000"/>
          <w:lang w:val="zh-CN"/>
        </w:rPr>
        <w:t>见人权理事会</w:t>
      </w:r>
      <w:r w:rsidRPr="00A37112">
        <w:rPr>
          <w:color w:val="000000"/>
          <w:lang w:val="zh-CN"/>
        </w:rPr>
        <w:t>2015</w:t>
      </w:r>
      <w:r w:rsidRPr="00A37112">
        <w:rPr>
          <w:color w:val="000000"/>
          <w:lang w:val="zh-CN"/>
        </w:rPr>
        <w:t>年</w:t>
      </w:r>
      <w:r w:rsidRPr="00A37112">
        <w:rPr>
          <w:color w:val="000000"/>
          <w:lang w:val="zh-CN"/>
        </w:rPr>
        <w:t>3</w:t>
      </w:r>
      <w:r w:rsidRPr="00A37112">
        <w:rPr>
          <w:color w:val="000000"/>
          <w:lang w:val="zh-CN"/>
        </w:rPr>
        <w:t>月</w:t>
      </w:r>
      <w:r w:rsidRPr="00A37112">
        <w:rPr>
          <w:color w:val="000000"/>
          <w:lang w:val="zh-CN"/>
        </w:rPr>
        <w:t>26</w:t>
      </w:r>
      <w:r w:rsidRPr="00A37112">
        <w:rPr>
          <w:color w:val="000000"/>
          <w:lang w:val="zh-CN"/>
        </w:rPr>
        <w:t>日第</w:t>
      </w:r>
      <w:r w:rsidRPr="00A37112">
        <w:rPr>
          <w:color w:val="000000"/>
          <w:lang w:val="zh-CN"/>
        </w:rPr>
        <w:t>28/16</w:t>
      </w:r>
      <w:r w:rsidRPr="00A37112">
        <w:rPr>
          <w:color w:val="000000"/>
          <w:lang w:val="zh-CN"/>
        </w:rPr>
        <w:t>号和</w:t>
      </w:r>
      <w:r w:rsidRPr="00A37112">
        <w:rPr>
          <w:color w:val="000000"/>
          <w:lang w:val="zh-CN"/>
        </w:rPr>
        <w:t>2015</w:t>
      </w:r>
      <w:r w:rsidRPr="00A37112">
        <w:rPr>
          <w:color w:val="000000"/>
          <w:lang w:val="zh-CN"/>
        </w:rPr>
        <w:t>年</w:t>
      </w:r>
      <w:r w:rsidRPr="00A37112">
        <w:rPr>
          <w:color w:val="000000"/>
          <w:lang w:val="zh-CN"/>
        </w:rPr>
        <w:t>3</w:t>
      </w:r>
      <w:r w:rsidRPr="00A37112">
        <w:rPr>
          <w:color w:val="000000"/>
          <w:lang w:val="zh-CN"/>
        </w:rPr>
        <w:t>月</w:t>
      </w:r>
      <w:r w:rsidRPr="00A37112">
        <w:rPr>
          <w:color w:val="000000"/>
          <w:lang w:val="zh-CN"/>
        </w:rPr>
        <w:t>27</w:t>
      </w:r>
      <w:r w:rsidRPr="00A37112">
        <w:rPr>
          <w:color w:val="000000"/>
          <w:lang w:val="zh-CN"/>
        </w:rPr>
        <w:t>日第</w:t>
      </w:r>
      <w:r w:rsidRPr="00A37112">
        <w:rPr>
          <w:color w:val="000000"/>
          <w:lang w:val="zh-CN"/>
        </w:rPr>
        <w:t>28/19</w:t>
      </w:r>
      <w:r w:rsidRPr="00A37112">
        <w:rPr>
          <w:color w:val="000000"/>
          <w:lang w:val="zh-CN"/>
        </w:rPr>
        <w:t>号决议，未经表决获得通过</w:t>
      </w:r>
      <w:r w:rsidRPr="00A37112">
        <w:rPr>
          <w:rFonts w:hint="eastAsia"/>
          <w:color w:val="000000"/>
          <w:lang w:val="zh-CN"/>
        </w:rPr>
        <w:t>(</w:t>
      </w:r>
      <w:r w:rsidRPr="00A37112">
        <w:rPr>
          <w:color w:val="000000"/>
          <w:lang w:val="zh-CN"/>
        </w:rPr>
        <w:t>人权理事会报告，《大会正式记录，第七十届会议，补编第</w:t>
      </w:r>
      <w:r w:rsidRPr="00A37112">
        <w:rPr>
          <w:color w:val="000000"/>
          <w:lang w:val="zh-CN"/>
        </w:rPr>
        <w:t>53</w:t>
      </w:r>
      <w:r w:rsidRPr="00A37112">
        <w:rPr>
          <w:color w:val="000000"/>
          <w:lang w:val="zh-CN"/>
        </w:rPr>
        <w:t>号》</w:t>
      </w:r>
      <w:r w:rsidRPr="00A37112">
        <w:rPr>
          <w:color w:val="000000"/>
          <w:lang w:val="zh-CN"/>
        </w:rPr>
        <w:t>(A/70/53))</w:t>
      </w:r>
      <w:r w:rsidRPr="00A37112">
        <w:rPr>
          <w:color w:val="000000"/>
          <w:lang w:val="zh-CN"/>
        </w:rPr>
        <w:t>。</w:t>
      </w:r>
    </w:p>
  </w:footnote>
  <w:footnote w:id="1024">
    <w:p w:rsidR="00AB00DE" w:rsidRPr="00A37112" w:rsidRDefault="00AB00DE" w:rsidP="003E31C7">
      <w:pPr>
        <w:pStyle w:val="a4"/>
        <w:rPr>
          <w:color w:val="000000"/>
          <w:spacing w:val="2"/>
        </w:rPr>
      </w:pPr>
      <w:r w:rsidRPr="00A37112">
        <w:rPr>
          <w:color w:val="000000"/>
          <w:lang w:val="zh-CN"/>
        </w:rPr>
        <w:tab/>
      </w:r>
      <w:r w:rsidRPr="00902223">
        <w:rPr>
          <w:rStyle w:val="a5"/>
          <w:w w:val="104"/>
          <w:szCs w:val="21"/>
          <w:lang w:val="zh-CN"/>
        </w:rPr>
        <w:footnoteRef/>
      </w:r>
      <w:r w:rsidRPr="00A37112">
        <w:rPr>
          <w:color w:val="000000"/>
          <w:lang w:val="zh-CN"/>
        </w:rPr>
        <w:tab/>
      </w:r>
      <w:r w:rsidRPr="00A37112">
        <w:rPr>
          <w:color w:val="000000"/>
          <w:lang w:val="zh-CN"/>
        </w:rPr>
        <w:t>见上文脚注</w:t>
      </w:r>
      <w:r w:rsidRPr="00A37112">
        <w:rPr>
          <w:color w:val="000000"/>
          <w:lang w:val="zh-CN"/>
        </w:rPr>
        <w:fldChar w:fldCharType="begin"/>
      </w:r>
      <w:r w:rsidRPr="00A37112">
        <w:rPr>
          <w:color w:val="000000"/>
          <w:lang w:val="zh-CN"/>
        </w:rPr>
        <w:instrText xml:space="preserve"> NOTEREF _Ref443716805 \h  \* MERGEFORMAT </w:instrText>
      </w:r>
      <w:r w:rsidRPr="00A37112">
        <w:rPr>
          <w:color w:val="000000"/>
          <w:lang w:val="zh-CN"/>
        </w:rPr>
      </w:r>
      <w:r w:rsidRPr="00A37112">
        <w:rPr>
          <w:color w:val="000000"/>
          <w:lang w:val="zh-CN"/>
        </w:rPr>
        <w:fldChar w:fldCharType="separate"/>
      </w:r>
      <w:r w:rsidR="00A73EB9">
        <w:rPr>
          <w:color w:val="000000"/>
          <w:lang w:val="zh-CN"/>
        </w:rPr>
        <w:t>986</w:t>
      </w:r>
      <w:r w:rsidRPr="00A37112">
        <w:rPr>
          <w:color w:val="000000"/>
          <w:lang w:val="zh-CN"/>
        </w:rPr>
        <w:fldChar w:fldCharType="end"/>
      </w:r>
      <w:r w:rsidRPr="00A37112">
        <w:rPr>
          <w:color w:val="000000"/>
          <w:lang w:val="zh-CN"/>
        </w:rPr>
        <w:t>。</w:t>
      </w:r>
    </w:p>
  </w:footnote>
  <w:footnote w:id="1025">
    <w:p w:rsidR="00AB00DE" w:rsidRPr="00A37112" w:rsidRDefault="00AB00DE" w:rsidP="003E31C7">
      <w:pPr>
        <w:pStyle w:val="a4"/>
        <w:rPr>
          <w:color w:val="000000"/>
        </w:rPr>
      </w:pPr>
      <w:r w:rsidRPr="00A37112">
        <w:rPr>
          <w:color w:val="000000"/>
          <w:lang w:val="zh-CN"/>
        </w:rPr>
        <w:tab/>
      </w:r>
      <w:r w:rsidRPr="00902223">
        <w:rPr>
          <w:rStyle w:val="a5"/>
          <w:w w:val="104"/>
          <w:szCs w:val="21"/>
          <w:lang w:val="zh-CN"/>
        </w:rPr>
        <w:footnoteRef/>
      </w:r>
      <w:r w:rsidRPr="00A37112">
        <w:rPr>
          <w:color w:val="000000"/>
          <w:lang w:val="zh-CN"/>
        </w:rPr>
        <w:tab/>
      </w:r>
      <w:r w:rsidRPr="00A37112">
        <w:rPr>
          <w:color w:val="000000"/>
          <w:lang w:val="zh-CN"/>
        </w:rPr>
        <w:t>见《国际麻醉品管制局</w:t>
      </w:r>
      <w:r w:rsidRPr="00A37112">
        <w:rPr>
          <w:color w:val="000000"/>
          <w:lang w:val="zh-CN"/>
        </w:rPr>
        <w:t>2009</w:t>
      </w:r>
      <w:r w:rsidRPr="00A37112">
        <w:rPr>
          <w:color w:val="000000"/>
          <w:lang w:val="zh-CN"/>
        </w:rPr>
        <w:t>年报告》</w:t>
      </w:r>
      <w:r w:rsidRPr="00A37112">
        <w:rPr>
          <w:rFonts w:hint="eastAsia"/>
          <w:color w:val="000000"/>
          <w:lang w:val="zh-CN"/>
        </w:rPr>
        <w:t>(</w:t>
      </w:r>
      <w:r w:rsidRPr="00A37112">
        <w:rPr>
          <w:color w:val="000000"/>
          <w:lang w:val="zh-CN"/>
        </w:rPr>
        <w:t>E/INCB/2009/1</w:t>
      </w:r>
      <w:r w:rsidRPr="00A37112">
        <w:rPr>
          <w:color w:val="000000"/>
          <w:lang w:val="zh-CN"/>
        </w:rPr>
        <w:t>，联合国出版物，出售品编号</w:t>
      </w:r>
      <w:r w:rsidRPr="00A37112">
        <w:rPr>
          <w:color w:val="000000"/>
          <w:lang w:val="zh-CN"/>
        </w:rPr>
        <w:t>E.10.XI.1)</w:t>
      </w:r>
      <w:r w:rsidRPr="00A37112">
        <w:rPr>
          <w:color w:val="000000"/>
          <w:lang w:val="zh-CN"/>
        </w:rPr>
        <w:t>，第</w:t>
      </w:r>
      <w:r w:rsidRPr="00A37112">
        <w:rPr>
          <w:color w:val="000000"/>
          <w:lang w:val="zh-CN"/>
        </w:rPr>
        <w:t>278</w:t>
      </w:r>
      <w:r w:rsidRPr="00A37112">
        <w:rPr>
          <w:color w:val="000000"/>
          <w:lang w:val="zh-CN"/>
        </w:rPr>
        <w:t>段；另见</w:t>
      </w:r>
      <w:r w:rsidRPr="00A37112">
        <w:rPr>
          <w:color w:val="000000"/>
          <w:lang w:val="zh-CN"/>
        </w:rPr>
        <w:t xml:space="preserve">J. </w:t>
      </w:r>
      <w:r w:rsidRPr="00A37112">
        <w:rPr>
          <w:color w:val="000000"/>
        </w:rPr>
        <w:t>Csete and D. Wolfe, “Closed to reason: the International Narcotics Control Board and HIV/AIDS” (Canadian HIV/AIDS Legal Network/International Harm Reduction Development of the Open Society Institute, 2007), pp. 12-18</w:t>
      </w:r>
      <w:r w:rsidRPr="00A37112">
        <w:rPr>
          <w:rFonts w:hint="eastAsia"/>
          <w:color w:val="000000"/>
        </w:rPr>
        <w:t>。</w:t>
      </w:r>
    </w:p>
  </w:footnote>
  <w:footnote w:id="1026">
    <w:p w:rsidR="00AB00DE" w:rsidRPr="00A37112" w:rsidRDefault="00AB00DE" w:rsidP="003E31C7">
      <w:pPr>
        <w:pStyle w:val="a4"/>
        <w:rPr>
          <w:color w:val="000000"/>
        </w:rPr>
      </w:pPr>
      <w:r w:rsidRPr="00A37112">
        <w:rPr>
          <w:color w:val="000000"/>
        </w:rPr>
        <w:tab/>
      </w:r>
      <w:r w:rsidRPr="00902223">
        <w:rPr>
          <w:rStyle w:val="a5"/>
          <w:w w:val="104"/>
          <w:szCs w:val="21"/>
          <w:lang w:val="zh-CN"/>
        </w:rPr>
        <w:footnoteRef/>
      </w:r>
      <w:r w:rsidRPr="00A37112">
        <w:rPr>
          <w:color w:val="000000"/>
        </w:rPr>
        <w:tab/>
        <w:t>D. Barrett, Unique in International Relations? A Comparison of the International Narcotics Control Board and the UN Human Rights Treaty Bodies (London, International Harm Reduction Association, 2008), p. 8</w:t>
      </w:r>
      <w:r w:rsidRPr="00A37112">
        <w:rPr>
          <w:rFonts w:hint="eastAsia"/>
          <w:color w:val="000000"/>
        </w:rPr>
        <w:t>。</w:t>
      </w:r>
    </w:p>
  </w:footnote>
  <w:footnote w:id="1027">
    <w:p w:rsidR="00AB00DE" w:rsidRPr="00A37112" w:rsidRDefault="00AB00DE" w:rsidP="003E31C7">
      <w:pPr>
        <w:pStyle w:val="a4"/>
        <w:rPr>
          <w:color w:val="000000"/>
        </w:rPr>
      </w:pPr>
      <w:r w:rsidRPr="00A37112">
        <w:rPr>
          <w:color w:val="000000"/>
        </w:rPr>
        <w:tab/>
      </w:r>
      <w:r w:rsidRPr="00902223">
        <w:rPr>
          <w:rStyle w:val="a5"/>
          <w:szCs w:val="21"/>
          <w:lang w:val="zh-CN"/>
        </w:rPr>
        <w:footnoteRef/>
      </w:r>
      <w:r w:rsidRPr="00A37112">
        <w:rPr>
          <w:color w:val="000000"/>
        </w:rPr>
        <w:tab/>
      </w:r>
      <w:r w:rsidRPr="00A37112">
        <w:rPr>
          <w:color w:val="000000"/>
          <w:lang w:val="zh-CN"/>
        </w:rPr>
        <w:t>人权条约的专家条约机构很少出于解释某一条约条款的目的而试图</w:t>
      </w:r>
      <w:r w:rsidRPr="00A37112">
        <w:rPr>
          <w:rFonts w:hint="eastAsia"/>
          <w:color w:val="000000"/>
          <w:lang w:val="zh-CN"/>
        </w:rPr>
        <w:t>确定</w:t>
      </w:r>
      <w:r w:rsidRPr="00A37112">
        <w:rPr>
          <w:color w:val="000000"/>
          <w:lang w:val="zh-CN"/>
        </w:rPr>
        <w:t>缔约方的惯例</w:t>
      </w:r>
      <w:r w:rsidRPr="00A37112">
        <w:rPr>
          <w:color w:val="000000"/>
        </w:rPr>
        <w:t>，</w:t>
      </w:r>
      <w:r w:rsidRPr="00A37112">
        <w:rPr>
          <w:rFonts w:hint="eastAsia"/>
          <w:color w:val="000000"/>
          <w:lang w:val="zh-CN"/>
        </w:rPr>
        <w:t>举例</w:t>
      </w:r>
      <w:r w:rsidRPr="00A37112">
        <w:rPr>
          <w:color w:val="000000"/>
          <w:lang w:val="zh-CN"/>
        </w:rPr>
        <w:t>见</w:t>
      </w:r>
      <w:r w:rsidRPr="00A37112">
        <w:rPr>
          <w:color w:val="000000"/>
        </w:rPr>
        <w:t>，</w:t>
      </w:r>
      <w:r w:rsidRPr="00A37112">
        <w:rPr>
          <w:color w:val="000000"/>
        </w:rPr>
        <w:t>G. Nolte, “Jurisprudence under special regimes relating to subsequent agreements and subsequent practice: second report for the ILC Study Group on treaties over time”, in Treaties and Subsequent Practice, G. Nolte, ed. (Oxford, Oxford University Press, 2013), pp. 210-278; Schlütter, “Aspects of human rights interpretation …” (</w:t>
      </w:r>
      <w:r w:rsidRPr="00A37112">
        <w:rPr>
          <w:color w:val="000000"/>
          <w:lang w:val="zh-CN"/>
        </w:rPr>
        <w:t>见上文脚注</w:t>
      </w:r>
      <w:r w:rsidRPr="00A37112">
        <w:rPr>
          <w:color w:val="000000"/>
        </w:rPr>
        <w:fldChar w:fldCharType="begin"/>
      </w:r>
      <w:r w:rsidRPr="00A37112">
        <w:rPr>
          <w:color w:val="000000"/>
        </w:rPr>
        <w:instrText xml:space="preserve"> NOTEREF _Ref453186776 \h  \* MERGEFORMAT </w:instrText>
      </w:r>
      <w:r w:rsidRPr="00A37112">
        <w:rPr>
          <w:color w:val="000000"/>
        </w:rPr>
      </w:r>
      <w:r w:rsidRPr="00A37112">
        <w:rPr>
          <w:color w:val="000000"/>
        </w:rPr>
        <w:fldChar w:fldCharType="separate"/>
      </w:r>
      <w:r w:rsidR="00A73EB9">
        <w:rPr>
          <w:color w:val="000000"/>
        </w:rPr>
        <w:t>1011</w:t>
      </w:r>
      <w:r w:rsidRPr="00A37112">
        <w:rPr>
          <w:color w:val="000000"/>
        </w:rPr>
        <w:fldChar w:fldCharType="end"/>
      </w:r>
      <w:r w:rsidRPr="00A37112">
        <w:rPr>
          <w:color w:val="000000"/>
        </w:rPr>
        <w:t>), p. 318</w:t>
      </w:r>
      <w:r w:rsidRPr="00A37112">
        <w:rPr>
          <w:rFonts w:hint="eastAsia"/>
          <w:color w:val="000000"/>
        </w:rPr>
        <w:t>。</w:t>
      </w:r>
    </w:p>
  </w:footnote>
  <w:footnote w:id="1028">
    <w:p w:rsidR="00AB00DE" w:rsidRPr="00A37112" w:rsidRDefault="00AB00DE" w:rsidP="00255402">
      <w:pPr>
        <w:pStyle w:val="a4"/>
        <w:rPr>
          <w:color w:val="000000"/>
        </w:rPr>
      </w:pPr>
      <w:r w:rsidRPr="00A37112">
        <w:rPr>
          <w:color w:val="000000"/>
        </w:rPr>
        <w:tab/>
      </w:r>
      <w:r w:rsidRPr="00902223">
        <w:rPr>
          <w:rStyle w:val="a5"/>
          <w:w w:val="104"/>
          <w:szCs w:val="21"/>
          <w:lang w:val="zh-CN"/>
        </w:rPr>
        <w:footnoteRef/>
      </w:r>
      <w:r w:rsidRPr="00A37112">
        <w:rPr>
          <w:color w:val="000000"/>
        </w:rPr>
        <w:tab/>
      </w:r>
      <w:r w:rsidRPr="00A37112">
        <w:rPr>
          <w:color w:val="000000"/>
          <w:lang w:val="zh-CN"/>
        </w:rPr>
        <w:t>见结论草案</w:t>
      </w:r>
      <w:r w:rsidRPr="00A37112">
        <w:rPr>
          <w:color w:val="000000"/>
        </w:rPr>
        <w:t>10</w:t>
      </w:r>
      <w:r w:rsidRPr="00A37112">
        <w:rPr>
          <w:rFonts w:hint="eastAsia"/>
          <w:color w:val="000000"/>
        </w:rPr>
        <w:t xml:space="preserve"> </w:t>
      </w:r>
      <w:r w:rsidRPr="00A37112">
        <w:rPr>
          <w:color w:val="000000"/>
        </w:rPr>
        <w:t>[9]</w:t>
      </w:r>
      <w:r w:rsidRPr="00A37112">
        <w:rPr>
          <w:color w:val="000000"/>
        </w:rPr>
        <w:t>，</w:t>
      </w:r>
      <w:r w:rsidRPr="00A37112">
        <w:rPr>
          <w:color w:val="000000"/>
          <w:lang w:val="zh-CN"/>
        </w:rPr>
        <w:t>第</w:t>
      </w:r>
      <w:r w:rsidRPr="00A37112">
        <w:rPr>
          <w:color w:val="000000"/>
        </w:rPr>
        <w:t>2</w:t>
      </w:r>
      <w:r w:rsidRPr="00A37112">
        <w:rPr>
          <w:color w:val="000000"/>
          <w:lang w:val="zh-CN"/>
        </w:rPr>
        <w:t>段。</w:t>
      </w:r>
    </w:p>
  </w:footnote>
  <w:footnote w:id="1029">
    <w:p w:rsidR="00AB00DE" w:rsidRPr="00A37112" w:rsidRDefault="00AB00DE" w:rsidP="003E31C7">
      <w:pPr>
        <w:pStyle w:val="a4"/>
        <w:rPr>
          <w:color w:val="000000"/>
        </w:rPr>
      </w:pPr>
      <w:r w:rsidRPr="00A37112">
        <w:rPr>
          <w:color w:val="000000"/>
        </w:rPr>
        <w:tab/>
      </w:r>
      <w:r w:rsidRPr="00902223">
        <w:rPr>
          <w:rStyle w:val="a5"/>
          <w:w w:val="104"/>
          <w:szCs w:val="21"/>
          <w:lang w:val="zh-CN"/>
        </w:rPr>
        <w:footnoteRef/>
      </w:r>
      <w:r w:rsidRPr="00A37112">
        <w:rPr>
          <w:color w:val="000000"/>
        </w:rPr>
        <w:tab/>
        <w:t>See Ulfstein and Werksmann, “The Kyoto compliance system …” (</w:t>
      </w:r>
      <w:r w:rsidRPr="00A37112">
        <w:rPr>
          <w:rFonts w:hint="eastAsia"/>
          <w:color w:val="000000"/>
        </w:rPr>
        <w:t>上文脚注</w:t>
      </w:r>
      <w:r w:rsidRPr="00A37112">
        <w:rPr>
          <w:color w:val="000000"/>
        </w:rPr>
        <w:fldChar w:fldCharType="begin"/>
      </w:r>
      <w:r w:rsidRPr="00A37112">
        <w:rPr>
          <w:color w:val="000000"/>
        </w:rPr>
        <w:instrText xml:space="preserve"> </w:instrText>
      </w:r>
      <w:r w:rsidRPr="00A37112">
        <w:rPr>
          <w:rFonts w:hint="eastAsia"/>
          <w:color w:val="000000"/>
        </w:rPr>
        <w:instrText>NOTEREF _Ref457308387 \h</w:instrText>
      </w:r>
      <w:r w:rsidRPr="00A37112">
        <w:rPr>
          <w:color w:val="000000"/>
        </w:rPr>
        <w:instrText xml:space="preserve">  \* MERGEFORMAT </w:instrText>
      </w:r>
      <w:r w:rsidRPr="00A37112">
        <w:rPr>
          <w:color w:val="000000"/>
        </w:rPr>
      </w:r>
      <w:r w:rsidRPr="00A37112">
        <w:rPr>
          <w:color w:val="000000"/>
        </w:rPr>
        <w:fldChar w:fldCharType="separate"/>
      </w:r>
      <w:r w:rsidR="00A73EB9">
        <w:rPr>
          <w:color w:val="000000"/>
        </w:rPr>
        <w:t>1002</w:t>
      </w:r>
      <w:r w:rsidRPr="00A37112">
        <w:rPr>
          <w:color w:val="000000"/>
        </w:rPr>
        <w:fldChar w:fldCharType="end"/>
      </w:r>
      <w:r w:rsidRPr="00A37112">
        <w:rPr>
          <w:color w:val="000000"/>
        </w:rPr>
        <w:t>), p. 97; Van Alebeek and Nollkaemper, “The legal status of decisions by human rights treaty bodies …” (</w:t>
      </w:r>
      <w:r w:rsidRPr="00A37112">
        <w:rPr>
          <w:color w:val="000000"/>
          <w:lang w:val="zh-CN"/>
        </w:rPr>
        <w:t>上文脚注</w:t>
      </w:r>
      <w:r w:rsidRPr="00A37112">
        <w:rPr>
          <w:color w:val="000000"/>
        </w:rPr>
        <w:fldChar w:fldCharType="begin"/>
      </w:r>
      <w:r w:rsidRPr="00A37112">
        <w:rPr>
          <w:color w:val="000000"/>
        </w:rPr>
        <w:instrText xml:space="preserve"> NOTEREF _Ref457308354 \h  \* MERGEFORMAT </w:instrText>
      </w:r>
      <w:r w:rsidRPr="00A37112">
        <w:rPr>
          <w:color w:val="000000"/>
        </w:rPr>
      </w:r>
      <w:r w:rsidRPr="00A37112">
        <w:rPr>
          <w:color w:val="000000"/>
        </w:rPr>
        <w:fldChar w:fldCharType="separate"/>
      </w:r>
      <w:r w:rsidR="00A73EB9">
        <w:rPr>
          <w:color w:val="000000"/>
        </w:rPr>
        <w:t>1001</w:t>
      </w:r>
      <w:r w:rsidRPr="00A37112">
        <w:rPr>
          <w:color w:val="000000"/>
        </w:rPr>
        <w:fldChar w:fldCharType="end"/>
      </w:r>
      <w:r w:rsidRPr="00A37112">
        <w:rPr>
          <w:color w:val="000000"/>
        </w:rPr>
        <w:t>), p. 410</w:t>
      </w:r>
      <w:r w:rsidRPr="00A37112">
        <w:rPr>
          <w:rFonts w:hint="eastAsia"/>
          <w:color w:val="000000"/>
        </w:rPr>
        <w:t>。</w:t>
      </w:r>
    </w:p>
  </w:footnote>
  <w:footnote w:id="1030">
    <w:p w:rsidR="00AB00DE" w:rsidRPr="00A37112" w:rsidRDefault="00AB00DE" w:rsidP="003E31C7">
      <w:pPr>
        <w:pStyle w:val="a4"/>
        <w:rPr>
          <w:color w:val="000000"/>
        </w:rPr>
      </w:pPr>
      <w:r w:rsidRPr="00A37112">
        <w:rPr>
          <w:color w:val="000000"/>
        </w:rPr>
        <w:tab/>
      </w:r>
      <w:r w:rsidRPr="00902223">
        <w:rPr>
          <w:rStyle w:val="a5"/>
          <w:w w:val="104"/>
          <w:szCs w:val="21"/>
          <w:lang w:val="zh-CN"/>
        </w:rPr>
        <w:footnoteRef/>
      </w:r>
      <w:r w:rsidRPr="00A37112">
        <w:rPr>
          <w:color w:val="000000"/>
          <w:lang w:val="zh-CN"/>
        </w:rPr>
        <w:tab/>
      </w:r>
      <w:r w:rsidRPr="00A37112">
        <w:rPr>
          <w:color w:val="000000"/>
          <w:lang w:val="zh-CN"/>
        </w:rPr>
        <w:t>例如对其提出的某项保留的允许性的声明，见委员会</w:t>
      </w:r>
      <w:r w:rsidRPr="00A37112">
        <w:rPr>
          <w:color w:val="000000"/>
          <w:lang w:val="zh-CN"/>
        </w:rPr>
        <w:t>2011</w:t>
      </w:r>
      <w:r w:rsidRPr="00A37112">
        <w:rPr>
          <w:color w:val="000000"/>
          <w:lang w:val="zh-CN"/>
        </w:rPr>
        <w:t>年通过的《对条约的保留实践指南》，指南</w:t>
      </w:r>
      <w:r w:rsidRPr="00A37112">
        <w:rPr>
          <w:color w:val="000000"/>
          <w:lang w:val="zh-CN"/>
        </w:rPr>
        <w:t>3.2.3</w:t>
      </w:r>
      <w:r w:rsidRPr="00A37112">
        <w:rPr>
          <w:color w:val="000000"/>
          <w:lang w:val="zh-CN"/>
        </w:rPr>
        <w:t>及其评注第</w:t>
      </w:r>
      <w:r w:rsidRPr="00A37112">
        <w:rPr>
          <w:color w:val="000000"/>
          <w:lang w:val="zh-CN"/>
        </w:rPr>
        <w:t>(3)</w:t>
      </w:r>
      <w:r w:rsidRPr="00A37112">
        <w:rPr>
          <w:color w:val="000000"/>
          <w:lang w:val="zh-CN"/>
        </w:rPr>
        <w:t>段，国际法委员会报告，《大会正式记录，第六十六届会议，补编第</w:t>
      </w:r>
      <w:r w:rsidRPr="00A37112">
        <w:rPr>
          <w:color w:val="000000"/>
          <w:lang w:val="zh-CN"/>
        </w:rPr>
        <w:t>10</w:t>
      </w:r>
      <w:r w:rsidRPr="00A37112">
        <w:rPr>
          <w:color w:val="000000"/>
          <w:lang w:val="zh-CN"/>
        </w:rPr>
        <w:t>号》</w:t>
      </w:r>
      <w:r w:rsidRPr="00A37112">
        <w:rPr>
          <w:color w:val="000000"/>
          <w:lang w:val="zh-CN"/>
        </w:rPr>
        <w:t>(A/66/10/Add.1)</w:t>
      </w:r>
      <w:r w:rsidRPr="00A37112">
        <w:rPr>
          <w:color w:val="000000"/>
          <w:lang w:val="zh-CN"/>
        </w:rPr>
        <w:t>。</w:t>
      </w:r>
    </w:p>
  </w:footnote>
  <w:footnote w:id="1031">
    <w:p w:rsidR="00AB00DE" w:rsidRPr="00A37112" w:rsidRDefault="00AB00DE" w:rsidP="003E31C7">
      <w:pPr>
        <w:pStyle w:val="a4"/>
        <w:rPr>
          <w:color w:val="000000"/>
        </w:rPr>
      </w:pPr>
      <w:r w:rsidRPr="00A37112">
        <w:rPr>
          <w:color w:val="000000"/>
          <w:lang w:val="zh-CN"/>
        </w:rPr>
        <w:tab/>
      </w:r>
      <w:r w:rsidRPr="00902223">
        <w:rPr>
          <w:rStyle w:val="a5"/>
          <w:w w:val="104"/>
          <w:szCs w:val="21"/>
          <w:lang w:val="zh-CN"/>
        </w:rPr>
        <w:footnoteRef/>
      </w:r>
      <w:r w:rsidRPr="00A37112">
        <w:rPr>
          <w:color w:val="000000"/>
        </w:rPr>
        <w:tab/>
        <w:t xml:space="preserve">C. Tomuschat, “Human Rights Committee”, in The Max Planck Encyclopedia of Public International Law (www.mpepil.com), at para. 14 </w:t>
      </w:r>
      <w:r w:rsidRPr="00A37112">
        <w:rPr>
          <w:w w:val="104"/>
        </w:rPr>
        <w:t xml:space="preserve"> (“States parties cannot simply ignore them [individual communications], but have to consider them in good faith (bona fide) …  not to react at all … would appear to amount to a violation …”).</w:t>
      </w:r>
    </w:p>
  </w:footnote>
  <w:footnote w:id="1032">
    <w:p w:rsidR="00AB00DE" w:rsidRPr="00EE2BC7" w:rsidRDefault="00AB00DE" w:rsidP="003E31C7">
      <w:pPr>
        <w:pStyle w:val="a4"/>
        <w:rPr>
          <w:color w:val="000000"/>
          <w:lang w:val="zh-CN"/>
        </w:rPr>
      </w:pPr>
      <w:r w:rsidRPr="00A37112">
        <w:rPr>
          <w:color w:val="000000"/>
          <w:spacing w:val="5"/>
          <w:w w:val="104"/>
        </w:rPr>
        <w:tab/>
      </w:r>
      <w:r w:rsidRPr="00902223">
        <w:rPr>
          <w:rStyle w:val="a5"/>
          <w:w w:val="104"/>
          <w:szCs w:val="21"/>
        </w:rPr>
        <w:footnoteRef/>
      </w:r>
      <w:r w:rsidRPr="00A37112">
        <w:rPr>
          <w:color w:val="000000"/>
          <w:spacing w:val="5"/>
          <w:w w:val="104"/>
        </w:rPr>
        <w:tab/>
      </w:r>
      <w:r w:rsidRPr="00A37112">
        <w:rPr>
          <w:rFonts w:eastAsia="楷体"/>
          <w:color w:val="000000"/>
          <w:spacing w:val="5"/>
          <w:w w:val="104"/>
        </w:rPr>
        <w:t>艾哈迈杜</w:t>
      </w:r>
      <w:r>
        <w:rPr>
          <w:rFonts w:hint="eastAsia"/>
          <w:lang w:val="fr-CH"/>
        </w:rPr>
        <w:t>·</w:t>
      </w:r>
      <w:r w:rsidRPr="00A37112">
        <w:rPr>
          <w:rFonts w:eastAsia="楷体"/>
          <w:color w:val="000000"/>
          <w:spacing w:val="5"/>
          <w:w w:val="104"/>
        </w:rPr>
        <w:t>萨迪奥</w:t>
      </w:r>
      <w:r>
        <w:rPr>
          <w:rFonts w:hint="eastAsia"/>
          <w:lang w:val="fr-CH"/>
        </w:rPr>
        <w:t>·</w:t>
      </w:r>
      <w:r w:rsidRPr="00A37112">
        <w:rPr>
          <w:rFonts w:eastAsia="楷体"/>
          <w:color w:val="000000"/>
          <w:spacing w:val="5"/>
          <w:w w:val="104"/>
        </w:rPr>
        <w:t>迪亚洛</w:t>
      </w:r>
      <w:r w:rsidRPr="00EE2BC7">
        <w:rPr>
          <w:color w:val="000000"/>
          <w:lang w:val="zh-CN"/>
        </w:rPr>
        <w:t>案</w:t>
      </w:r>
      <w:r w:rsidRPr="00EE2BC7">
        <w:rPr>
          <w:color w:val="000000"/>
          <w:lang w:val="zh-CN"/>
        </w:rPr>
        <w:t>(</w:t>
      </w:r>
      <w:r w:rsidRPr="00255402">
        <w:rPr>
          <w:rFonts w:ascii="Time New Roman" w:eastAsia="楷体" w:hAnsi="Time New Roman"/>
          <w:color w:val="000000"/>
          <w:lang w:val="zh-CN"/>
        </w:rPr>
        <w:t>几内亚共和国诉刚果民主共和国</w:t>
      </w:r>
      <w:r w:rsidRPr="00EE2BC7">
        <w:rPr>
          <w:color w:val="000000"/>
          <w:lang w:val="zh-CN"/>
        </w:rPr>
        <w:t>)</w:t>
      </w:r>
      <w:r w:rsidRPr="00EE2BC7">
        <w:rPr>
          <w:color w:val="000000"/>
          <w:lang w:val="zh-CN"/>
        </w:rPr>
        <w:t>，</w:t>
      </w:r>
      <w:r w:rsidRPr="00EE2BC7">
        <w:rPr>
          <w:rFonts w:hint="eastAsia"/>
          <w:color w:val="000000"/>
          <w:lang w:val="zh-CN"/>
        </w:rPr>
        <w:t>实质问题</w:t>
      </w:r>
      <w:r w:rsidRPr="00EE2BC7">
        <w:rPr>
          <w:color w:val="000000"/>
          <w:lang w:val="zh-CN"/>
        </w:rPr>
        <w:t>，判决书，《</w:t>
      </w:r>
      <w:r w:rsidRPr="00EE2BC7">
        <w:rPr>
          <w:color w:val="000000"/>
          <w:lang w:val="zh-CN"/>
        </w:rPr>
        <w:t>2010</w:t>
      </w:r>
      <w:r w:rsidRPr="00EE2BC7">
        <w:rPr>
          <w:color w:val="000000"/>
          <w:lang w:val="zh-CN"/>
        </w:rPr>
        <w:t>年国际法院案例汇编》，第</w:t>
      </w:r>
      <w:r w:rsidRPr="00EE2BC7">
        <w:rPr>
          <w:color w:val="000000"/>
          <w:lang w:val="zh-CN"/>
        </w:rPr>
        <w:t>639</w:t>
      </w:r>
      <w:r w:rsidRPr="00EE2BC7">
        <w:rPr>
          <w:color w:val="000000"/>
          <w:lang w:val="zh-CN"/>
        </w:rPr>
        <w:t>页起，见第</w:t>
      </w:r>
      <w:r w:rsidRPr="00EE2BC7">
        <w:rPr>
          <w:color w:val="000000"/>
          <w:lang w:val="zh-CN"/>
        </w:rPr>
        <w:t>663-664</w:t>
      </w:r>
      <w:r w:rsidRPr="00EE2BC7">
        <w:rPr>
          <w:color w:val="000000"/>
          <w:lang w:val="zh-CN"/>
        </w:rPr>
        <w:t>页，第</w:t>
      </w:r>
      <w:r w:rsidRPr="00EE2BC7">
        <w:rPr>
          <w:color w:val="000000"/>
          <w:lang w:val="zh-CN"/>
        </w:rPr>
        <w:t>66</w:t>
      </w:r>
      <w:r w:rsidRPr="00EE2BC7">
        <w:rPr>
          <w:color w:val="000000"/>
          <w:lang w:val="zh-CN"/>
        </w:rPr>
        <w:t>段；另见</w:t>
      </w:r>
      <w:hyperlink r:id="rId165" w:history="1">
        <w:r w:rsidRPr="00EE2BC7">
          <w:rPr>
            <w:lang w:val="zh-CN"/>
          </w:rPr>
          <w:t>国际劳工组织行政法庭关于对国际农业发展基金提起的申诉的第</w:t>
        </w:r>
        <w:r w:rsidRPr="00EE2BC7">
          <w:rPr>
            <w:lang w:val="zh-CN"/>
          </w:rPr>
          <w:t>2867</w:t>
        </w:r>
        <w:r w:rsidRPr="00EE2BC7">
          <w:rPr>
            <w:lang w:val="zh-CN"/>
          </w:rPr>
          <w:t>号判决，咨询意见，《</w:t>
        </w:r>
        <w:r w:rsidRPr="00EE2BC7">
          <w:rPr>
            <w:lang w:val="zh-CN"/>
          </w:rPr>
          <w:t>2012</w:t>
        </w:r>
        <w:r w:rsidRPr="00EE2BC7">
          <w:rPr>
            <w:lang w:val="zh-CN"/>
          </w:rPr>
          <w:t>年国际法院案例汇编》，第</w:t>
        </w:r>
        <w:r w:rsidRPr="00EE2BC7">
          <w:rPr>
            <w:lang w:val="zh-CN"/>
          </w:rPr>
          <w:t>10</w:t>
        </w:r>
        <w:r w:rsidRPr="00EE2BC7">
          <w:rPr>
            <w:lang w:val="zh-CN"/>
          </w:rPr>
          <w:t>页起，</w:t>
        </w:r>
      </w:hyperlink>
      <w:r w:rsidRPr="00EE2BC7">
        <w:rPr>
          <w:color w:val="000000"/>
          <w:lang w:val="zh-CN"/>
        </w:rPr>
        <w:t>见第</w:t>
      </w:r>
      <w:r w:rsidRPr="00EE2BC7">
        <w:rPr>
          <w:color w:val="000000"/>
          <w:lang w:val="zh-CN"/>
        </w:rPr>
        <w:t>27</w:t>
      </w:r>
      <w:r w:rsidRPr="00EE2BC7">
        <w:rPr>
          <w:color w:val="000000"/>
          <w:lang w:val="zh-CN"/>
        </w:rPr>
        <w:t>页，第</w:t>
      </w:r>
      <w:r w:rsidRPr="00EE2BC7">
        <w:rPr>
          <w:color w:val="000000"/>
          <w:lang w:val="zh-CN"/>
        </w:rPr>
        <w:t>39</w:t>
      </w:r>
      <w:r w:rsidRPr="00EE2BC7">
        <w:rPr>
          <w:color w:val="000000"/>
          <w:lang w:val="zh-CN"/>
        </w:rPr>
        <w:t>段；</w:t>
      </w:r>
      <w:hyperlink r:id="rId166" w:history="1">
        <w:r w:rsidRPr="00EE2BC7">
          <w:rPr>
            <w:rFonts w:hint="eastAsia"/>
            <w:color w:val="000000"/>
            <w:lang w:val="zh-CN"/>
          </w:rPr>
          <w:t>在巴勒斯坦被占领土修建隔离墙的法律后果，</w:t>
        </w:r>
      </w:hyperlink>
      <w:r w:rsidRPr="00EE2BC7">
        <w:rPr>
          <w:color w:val="000000"/>
          <w:lang w:val="zh-CN"/>
        </w:rPr>
        <w:t>咨询意见，《</w:t>
      </w:r>
      <w:r w:rsidRPr="00EE2BC7">
        <w:rPr>
          <w:color w:val="000000"/>
          <w:lang w:val="zh-CN"/>
        </w:rPr>
        <w:t>2004</w:t>
      </w:r>
      <w:r w:rsidRPr="00EE2BC7">
        <w:rPr>
          <w:color w:val="000000"/>
          <w:lang w:val="zh-CN"/>
        </w:rPr>
        <w:t>年国际法院案例汇编》，第</w:t>
      </w:r>
      <w:r w:rsidRPr="00EE2BC7">
        <w:rPr>
          <w:color w:val="000000"/>
          <w:lang w:val="zh-CN"/>
        </w:rPr>
        <w:t>136</w:t>
      </w:r>
      <w:r w:rsidRPr="00EE2BC7">
        <w:rPr>
          <w:color w:val="000000"/>
          <w:lang w:val="zh-CN"/>
        </w:rPr>
        <w:t>页起，见第</w:t>
      </w:r>
      <w:r w:rsidRPr="00EE2BC7">
        <w:rPr>
          <w:color w:val="000000"/>
          <w:lang w:val="zh-CN"/>
        </w:rPr>
        <w:t>179-181</w:t>
      </w:r>
      <w:r w:rsidRPr="00EE2BC7">
        <w:rPr>
          <w:color w:val="000000"/>
          <w:lang w:val="zh-CN"/>
        </w:rPr>
        <w:t>页，第</w:t>
      </w:r>
      <w:r w:rsidRPr="00EE2BC7">
        <w:rPr>
          <w:color w:val="000000"/>
          <w:lang w:val="zh-CN"/>
        </w:rPr>
        <w:t>109-110</w:t>
      </w:r>
      <w:r w:rsidRPr="00EE2BC7">
        <w:rPr>
          <w:color w:val="000000"/>
          <w:lang w:val="zh-CN"/>
        </w:rPr>
        <w:t>和</w:t>
      </w:r>
      <w:r w:rsidRPr="00EE2BC7">
        <w:rPr>
          <w:color w:val="000000"/>
          <w:lang w:val="zh-CN"/>
        </w:rPr>
        <w:t>112</w:t>
      </w:r>
      <w:r w:rsidRPr="00EE2BC7">
        <w:rPr>
          <w:color w:val="000000"/>
          <w:lang w:val="zh-CN"/>
        </w:rPr>
        <w:t>段，以及第</w:t>
      </w:r>
      <w:r w:rsidRPr="00EE2BC7">
        <w:rPr>
          <w:color w:val="000000"/>
          <w:lang w:val="zh-CN"/>
        </w:rPr>
        <w:t>192-193</w:t>
      </w:r>
      <w:r w:rsidRPr="00EE2BC7">
        <w:rPr>
          <w:color w:val="000000"/>
          <w:lang w:val="zh-CN"/>
        </w:rPr>
        <w:t>页，第</w:t>
      </w:r>
      <w:r w:rsidRPr="00EE2BC7">
        <w:rPr>
          <w:color w:val="000000"/>
          <w:lang w:val="zh-CN"/>
        </w:rPr>
        <w:t>136</w:t>
      </w:r>
      <w:r w:rsidRPr="00EE2BC7">
        <w:rPr>
          <w:color w:val="000000"/>
          <w:lang w:val="zh-CN"/>
        </w:rPr>
        <w:t>段，其中法院提到人权事务委员会和经济、社会及文化权利委员会的多项声明；另见</w:t>
      </w:r>
      <w:hyperlink r:id="rId167" w:history="1">
        <w:r w:rsidRPr="00EE2BC7">
          <w:rPr>
            <w:lang w:val="zh-CN"/>
          </w:rPr>
          <w:t>与起诉或引渡义务有关的问题</w:t>
        </w:r>
      </w:hyperlink>
      <w:r w:rsidRPr="00EE2BC7">
        <w:rPr>
          <w:color w:val="000000"/>
          <w:lang w:val="zh-CN"/>
        </w:rPr>
        <w:t>(</w:t>
      </w:r>
      <w:r w:rsidRPr="00EE2BC7">
        <w:rPr>
          <w:color w:val="000000"/>
          <w:lang w:val="zh-CN"/>
        </w:rPr>
        <w:t>比利时诉塞内加尔</w:t>
      </w:r>
      <w:r w:rsidRPr="00EE2BC7">
        <w:rPr>
          <w:color w:val="000000"/>
          <w:lang w:val="zh-CN"/>
        </w:rPr>
        <w:t>)</w:t>
      </w:r>
      <w:r w:rsidRPr="00EE2BC7">
        <w:rPr>
          <w:color w:val="000000"/>
          <w:lang w:val="zh-CN"/>
        </w:rPr>
        <w:t>，判决书，《</w:t>
      </w:r>
      <w:r w:rsidRPr="00EE2BC7">
        <w:rPr>
          <w:color w:val="000000"/>
          <w:lang w:val="zh-CN"/>
        </w:rPr>
        <w:t>2012</w:t>
      </w:r>
      <w:r w:rsidRPr="00EE2BC7">
        <w:rPr>
          <w:color w:val="000000"/>
          <w:lang w:val="zh-CN"/>
        </w:rPr>
        <w:t>年国际法院案例汇编》，第</w:t>
      </w:r>
      <w:r w:rsidRPr="00EE2BC7">
        <w:rPr>
          <w:color w:val="000000"/>
          <w:lang w:val="zh-CN"/>
        </w:rPr>
        <w:t>422</w:t>
      </w:r>
      <w:r w:rsidRPr="00EE2BC7">
        <w:rPr>
          <w:color w:val="000000"/>
          <w:lang w:val="zh-CN"/>
        </w:rPr>
        <w:t>页起，见第</w:t>
      </w:r>
      <w:r w:rsidRPr="00EE2BC7">
        <w:rPr>
          <w:color w:val="000000"/>
          <w:lang w:val="zh-CN"/>
        </w:rPr>
        <w:t>457</w:t>
      </w:r>
      <w:r w:rsidRPr="00EE2BC7">
        <w:rPr>
          <w:color w:val="000000"/>
          <w:lang w:val="zh-CN"/>
        </w:rPr>
        <w:t>页，第</w:t>
      </w:r>
      <w:r w:rsidRPr="00EE2BC7">
        <w:rPr>
          <w:color w:val="000000"/>
          <w:lang w:val="zh-CN"/>
        </w:rPr>
        <w:t>101</w:t>
      </w:r>
      <w:r w:rsidRPr="00EE2BC7">
        <w:rPr>
          <w:color w:val="000000"/>
          <w:lang w:val="zh-CN"/>
        </w:rPr>
        <w:t>段，其中提及禁止酷刑委员会在确定《禁止酷刑公约》的时间范围时的声明。</w:t>
      </w:r>
    </w:p>
  </w:footnote>
  <w:footnote w:id="1033">
    <w:p w:rsidR="00AB00DE" w:rsidRPr="00A37112" w:rsidRDefault="00AB00DE" w:rsidP="00756819">
      <w:pPr>
        <w:pStyle w:val="a4"/>
        <w:keepLines w:val="0"/>
        <w:rPr>
          <w:color w:val="000000"/>
          <w:spacing w:val="4"/>
          <w:w w:val="104"/>
        </w:rPr>
      </w:pPr>
      <w:r w:rsidRPr="00A37112">
        <w:rPr>
          <w:color w:val="000000"/>
          <w:w w:val="104"/>
        </w:rPr>
        <w:tab/>
      </w:r>
      <w:r w:rsidRPr="00902223">
        <w:rPr>
          <w:rStyle w:val="a5"/>
          <w:w w:val="104"/>
          <w:szCs w:val="21"/>
        </w:rPr>
        <w:footnoteRef/>
      </w:r>
      <w:r w:rsidRPr="00A37112">
        <w:rPr>
          <w:color w:val="000000"/>
          <w:w w:val="104"/>
        </w:rPr>
        <w:tab/>
      </w:r>
      <w:hyperlink r:id="rId168" w:history="1">
        <w:r w:rsidRPr="00EE2BC7">
          <w:t>美洲人权法院，</w:t>
        </w:r>
        <w:r w:rsidRPr="00EE2BC7">
          <w:rPr>
            <w:rFonts w:ascii="Time New Roman" w:eastAsia="楷体" w:hAnsi="Time New Roman"/>
          </w:rPr>
          <w:t>宪法法院</w:t>
        </w:r>
        <w:r w:rsidRPr="00EE2BC7">
          <w:rPr>
            <w:rFonts w:ascii="Time New Roman" w:eastAsia="楷体" w:hAnsi="Time New Roman"/>
          </w:rPr>
          <w:t>(Camba Campos</w:t>
        </w:r>
        <w:r w:rsidRPr="00EE2BC7">
          <w:rPr>
            <w:rFonts w:ascii="Time New Roman" w:eastAsia="楷体" w:hAnsi="Time New Roman"/>
          </w:rPr>
          <w:t>和其他人</w:t>
        </w:r>
        <w:r w:rsidRPr="00EE2BC7">
          <w:rPr>
            <w:rFonts w:ascii="Time New Roman" w:eastAsia="楷体" w:hAnsi="Time New Roman"/>
          </w:rPr>
          <w:t>)</w:t>
        </w:r>
        <w:r w:rsidRPr="00EE2BC7">
          <w:rPr>
            <w:rFonts w:ascii="Time New Roman" w:eastAsia="楷体" w:hAnsi="Time New Roman"/>
          </w:rPr>
          <w:t>诉厄瓜多尔</w:t>
        </w:r>
        <w:r w:rsidRPr="00EE2BC7">
          <w:t>案，初步反对意见，案情，赔偿和费用，</w:t>
        </w:r>
        <w:r w:rsidRPr="00EE2BC7">
          <w:t>2013</w:t>
        </w:r>
        <w:r w:rsidRPr="00EE2BC7">
          <w:t>年</w:t>
        </w:r>
        <w:r w:rsidRPr="00EE2BC7">
          <w:t>8</w:t>
        </w:r>
        <w:r w:rsidRPr="00EE2BC7">
          <w:t>月</w:t>
        </w:r>
        <w:r w:rsidRPr="00EE2BC7">
          <w:t>28</w:t>
        </w:r>
        <w:r w:rsidRPr="00EE2BC7">
          <w:t>日判决书，</w:t>
        </w:r>
        <w:r w:rsidRPr="00EE2BC7">
          <w:t>Series C No. 268</w:t>
        </w:r>
        <w:r w:rsidRPr="00EE2BC7">
          <w:t>，第</w:t>
        </w:r>
        <w:r w:rsidRPr="00EE2BC7">
          <w:t>189</w:t>
        </w:r>
        <w:r w:rsidRPr="00EE2BC7">
          <w:t>和第</w:t>
        </w:r>
        <w:r w:rsidRPr="00EE2BC7">
          <w:t>191</w:t>
        </w:r>
        <w:r w:rsidRPr="00EE2BC7">
          <w:t>段；非洲人权和人民权利委员会，</w:t>
        </w:r>
        <w:r w:rsidRPr="00EE2BC7">
          <w:rPr>
            <w:rFonts w:ascii="Time New Roman" w:eastAsia="楷体" w:hAnsi="Time New Roman"/>
          </w:rPr>
          <w:t>公民自由组织及其他方诉尼日利亚</w:t>
        </w:r>
        <w:r w:rsidRPr="00EE2BC7">
          <w:t>案，第</w:t>
        </w:r>
        <w:r w:rsidRPr="00EE2BC7">
          <w:t>218/98</w:t>
        </w:r>
        <w:r w:rsidRPr="00EE2BC7">
          <w:t>号来文，关于提交给非洲委员会第二十九届常会</w:t>
        </w:r>
        <w:r w:rsidRPr="00EE2BC7">
          <w:t>(2001</w:t>
        </w:r>
        <w:r w:rsidRPr="00EE2BC7">
          <w:t>年</w:t>
        </w:r>
        <w:r w:rsidRPr="00EE2BC7">
          <w:t>5</w:t>
        </w:r>
        <w:r w:rsidRPr="00EE2BC7">
          <w:t>月，的黎波里</w:t>
        </w:r>
        <w:r w:rsidRPr="00EE2BC7">
          <w:t>)</w:t>
        </w:r>
        <w:r w:rsidRPr="00EE2BC7">
          <w:t>的来文的决定，见第</w:t>
        </w:r>
      </w:hyperlink>
      <w:r w:rsidRPr="00EE2BC7">
        <w:t>24</w:t>
      </w:r>
      <w:r w:rsidRPr="00EE2BC7">
        <w:t>段</w:t>
      </w:r>
      <w:r w:rsidRPr="00EE2BC7">
        <w:rPr>
          <w:rFonts w:hint="eastAsia"/>
        </w:rPr>
        <w:t>(</w:t>
      </w:r>
      <w:r w:rsidRPr="00EE2BC7">
        <w:rPr>
          <w:rFonts w:hint="eastAsia"/>
        </w:rPr>
        <w:t>“</w:t>
      </w:r>
      <w:r w:rsidRPr="00EE2BC7">
        <w:t>在解释和适用《宪章》过程中，委员会</w:t>
      </w:r>
      <w:r w:rsidRPr="00EE2BC7">
        <w:rPr>
          <w:rFonts w:hint="eastAsia"/>
        </w:rPr>
        <w:t>……</w:t>
      </w:r>
      <w:r w:rsidRPr="00EE2BC7">
        <w:t>还受《宪章》和包括联合国条约机构的决定和一般性意见在内的国际人权标准的指导</w:t>
      </w:r>
      <w:r w:rsidRPr="00EE2BC7">
        <w:rPr>
          <w:rFonts w:hint="eastAsia"/>
        </w:rPr>
        <w:t>”</w:t>
      </w:r>
      <w:r w:rsidRPr="00EE2BC7">
        <w:t>)</w:t>
      </w:r>
      <w:r w:rsidRPr="00EE2BC7">
        <w:t>；</w:t>
      </w:r>
      <w:hyperlink r:id="rId169" w:history="1">
        <w:r w:rsidRPr="00EE2BC7">
          <w:t>非洲人权和人民权利委员会，</w:t>
        </w:r>
        <w:r w:rsidRPr="00EE2BC7">
          <w:rPr>
            <w:rFonts w:ascii="Time New Roman" w:eastAsia="楷体" w:hAnsi="Time New Roman"/>
          </w:rPr>
          <w:t>社会和经济权利行动中心及经济和社会权利中心诉尼日利亚</w:t>
        </w:r>
        <w:r w:rsidRPr="00EE2BC7">
          <w:t>案，第</w:t>
        </w:r>
        <w:r w:rsidRPr="00EE2BC7">
          <w:t>155/96</w:t>
        </w:r>
        <w:r w:rsidRPr="00EE2BC7">
          <w:t>号来文，关于提交给非洲委员会第三十届常会</w:t>
        </w:r>
        <w:r w:rsidRPr="00EE2BC7">
          <w:t>(2001</w:t>
        </w:r>
        <w:r w:rsidRPr="00EE2BC7">
          <w:t>年</w:t>
        </w:r>
        <w:r w:rsidRPr="00EE2BC7">
          <w:t>10</w:t>
        </w:r>
        <w:r w:rsidRPr="00EE2BC7">
          <w:t>月，班珠尔</w:t>
        </w:r>
        <w:r w:rsidRPr="00EE2BC7">
          <w:t>)</w:t>
        </w:r>
        <w:r w:rsidRPr="00EE2BC7">
          <w:t>的来文的决定，见第</w:t>
        </w:r>
        <w:r w:rsidRPr="00EE2BC7">
          <w:t>63</w:t>
        </w:r>
        <w:r w:rsidRPr="00EE2BC7">
          <w:t>段</w:t>
        </w:r>
      </w:hyperlink>
      <w:r w:rsidRPr="00EE2BC7">
        <w:rPr>
          <w:rFonts w:hint="eastAsia"/>
        </w:rPr>
        <w:t>(</w:t>
      </w:r>
      <w:r w:rsidRPr="00EE2BC7">
        <w:rPr>
          <w:rFonts w:hint="eastAsia"/>
        </w:rPr>
        <w:t>“</w:t>
      </w:r>
      <w:r w:rsidRPr="00EE2BC7">
        <w:t>借鉴经济、社会和文化权利委员会在其第</w:t>
      </w:r>
      <w:r w:rsidRPr="00EE2BC7">
        <w:t>7</w:t>
      </w:r>
      <w:r w:rsidRPr="00EE2BC7">
        <w:t>号一般性意见中的</w:t>
      </w:r>
      <w:r w:rsidRPr="00EE2BC7">
        <w:rPr>
          <w:rFonts w:hint="eastAsia"/>
        </w:rPr>
        <w:t>“</w:t>
      </w:r>
      <w:r w:rsidRPr="00EE2BC7">
        <w:t>强行驱逐</w:t>
      </w:r>
      <w:r w:rsidRPr="00EE2BC7">
        <w:rPr>
          <w:rFonts w:hint="eastAsia"/>
        </w:rPr>
        <w:t>”</w:t>
      </w:r>
      <w:r w:rsidRPr="00EE2BC7">
        <w:t>一词的定义</w:t>
      </w:r>
      <w:r w:rsidRPr="00EE2BC7">
        <w:rPr>
          <w:rFonts w:hint="eastAsia"/>
        </w:rPr>
        <w:t>”</w:t>
      </w:r>
      <w:r w:rsidRPr="00EE2BC7">
        <w:rPr>
          <w:rFonts w:hint="eastAsia"/>
        </w:rPr>
        <w:t>)</w:t>
      </w:r>
      <w:r w:rsidRPr="00EE2BC7">
        <w:t>；</w:t>
      </w:r>
      <w:hyperlink r:id="rId170" w:history="1">
        <w:r w:rsidRPr="00EE2BC7">
          <w:rPr>
            <w:rFonts w:ascii="Time New Roman" w:eastAsia="楷体" w:hAnsi="Time New Roman"/>
          </w:rPr>
          <w:t>Marguš</w:t>
        </w:r>
        <w:r w:rsidRPr="00EE2BC7">
          <w:rPr>
            <w:rFonts w:ascii="Time New Roman" w:eastAsia="楷体" w:hAnsi="Time New Roman"/>
          </w:rPr>
          <w:t>诉克罗地亚</w:t>
        </w:r>
        <w:r w:rsidRPr="00EE2BC7">
          <w:t>案</w:t>
        </w:r>
        <w:r w:rsidRPr="00EE2BC7">
          <w:t>[GC]</w:t>
        </w:r>
        <w:r w:rsidRPr="00EE2BC7">
          <w:t>，第</w:t>
        </w:r>
        <w:r w:rsidRPr="00EE2BC7">
          <w:t>4455/10</w:t>
        </w:r>
        <w:r w:rsidRPr="00EE2BC7">
          <w:t>号，《</w:t>
        </w:r>
        <w:r w:rsidRPr="00EE2BC7">
          <w:t>2014</w:t>
        </w:r>
        <w:r w:rsidRPr="00EE2BC7">
          <w:t>年欧洲人权法院案例汇编》</w:t>
        </w:r>
        <w:r w:rsidRPr="00EE2BC7">
          <w:rPr>
            <w:rFonts w:hint="eastAsia"/>
          </w:rPr>
          <w:t>(</w:t>
        </w:r>
        <w:r w:rsidRPr="00EE2BC7">
          <w:t>摘要</w:t>
        </w:r>
        <w:r w:rsidRPr="00EE2BC7">
          <w:rPr>
            <w:rFonts w:hint="eastAsia"/>
          </w:rPr>
          <w:t>)</w:t>
        </w:r>
        <w:r w:rsidRPr="00EE2BC7">
          <w:t>，第</w:t>
        </w:r>
        <w:r w:rsidRPr="00EE2BC7">
          <w:t>48-50</w:t>
        </w:r>
        <w:r w:rsidRPr="00EE2BC7">
          <w:t>段；</w:t>
        </w:r>
      </w:hyperlink>
      <w:hyperlink r:id="rId171" w:history="1">
        <w:r w:rsidRPr="00EE2BC7">
          <w:rPr>
            <w:rFonts w:ascii="Time New Roman" w:eastAsia="楷体" w:hAnsi="Time New Roman"/>
          </w:rPr>
          <w:t>巴卡诉匈牙利</w:t>
        </w:r>
        <w:r w:rsidRPr="00EE2BC7">
          <w:t>案，第</w:t>
        </w:r>
        <w:r w:rsidRPr="00EE2BC7">
          <w:t>20261/12</w:t>
        </w:r>
        <w:r w:rsidRPr="00EE2BC7">
          <w:rPr>
            <w:rFonts w:hint="eastAsia"/>
          </w:rPr>
          <w:t xml:space="preserve"> </w:t>
        </w:r>
        <w:r w:rsidRPr="00EE2BC7">
          <w:t>[2014]</w:t>
        </w:r>
        <w:r w:rsidRPr="00EE2BC7">
          <w:t>号，</w:t>
        </w:r>
        <w:r w:rsidRPr="00EE2BC7">
          <w:t>2014</w:t>
        </w:r>
        <w:r w:rsidRPr="00EE2BC7">
          <w:t>年</w:t>
        </w:r>
        <w:r w:rsidRPr="00EE2BC7">
          <w:t>5</w:t>
        </w:r>
        <w:r w:rsidRPr="00EE2BC7">
          <w:t>月</w:t>
        </w:r>
        <w:r w:rsidRPr="00EE2BC7">
          <w:t>27</w:t>
        </w:r>
        <w:r w:rsidRPr="00EE2BC7">
          <w:t>日，第</w:t>
        </w:r>
        <w:r w:rsidRPr="00EE2BC7">
          <w:t>58</w:t>
        </w:r>
        <w:r w:rsidRPr="00EE2BC7">
          <w:t>段</w:t>
        </w:r>
      </w:hyperlink>
      <w:r w:rsidRPr="00EE2BC7">
        <w:t>；</w:t>
      </w:r>
      <w:hyperlink r:id="rId172" w:history="1">
        <w:r w:rsidRPr="00EE2BC7">
          <w:t xml:space="preserve">Othman (Abu Qatada) </w:t>
        </w:r>
        <w:r w:rsidRPr="00EE2BC7">
          <w:rPr>
            <w:rFonts w:ascii="Time New Roman" w:eastAsia="楷体" w:hAnsi="Time New Roman"/>
          </w:rPr>
          <w:t>诉联合王国</w:t>
        </w:r>
        <w:r w:rsidRPr="00EE2BC7">
          <w:t>案，第</w:t>
        </w:r>
        <w:r w:rsidRPr="00EE2BC7">
          <w:t>8139/09</w:t>
        </w:r>
        <w:r w:rsidRPr="00EE2BC7">
          <w:t>号，《</w:t>
        </w:r>
        <w:r w:rsidRPr="00EE2BC7">
          <w:t>2012</w:t>
        </w:r>
        <w:r w:rsidRPr="00EE2BC7">
          <w:t>年欧洲人权法院案例汇编》</w:t>
        </w:r>
        <w:r w:rsidRPr="00EE2BC7">
          <w:rPr>
            <w:rFonts w:hint="eastAsia"/>
          </w:rPr>
          <w:t>(</w:t>
        </w:r>
        <w:r w:rsidRPr="00EE2BC7">
          <w:t>摘要</w:t>
        </w:r>
        <w:r w:rsidRPr="00EE2BC7">
          <w:rPr>
            <w:rFonts w:hint="eastAsia"/>
          </w:rPr>
          <w:t>)</w:t>
        </w:r>
        <w:r w:rsidRPr="00EE2BC7">
          <w:t>，第</w:t>
        </w:r>
        <w:r w:rsidRPr="00EE2BC7">
          <w:t>107-108</w:t>
        </w:r>
        <w:r w:rsidRPr="00EE2BC7">
          <w:t>、</w:t>
        </w:r>
        <w:r w:rsidRPr="00EE2BC7">
          <w:t>147-151</w:t>
        </w:r>
        <w:r w:rsidRPr="00EE2BC7">
          <w:t>、</w:t>
        </w:r>
        <w:r w:rsidRPr="00EE2BC7">
          <w:t>155</w:t>
        </w:r>
        <w:r w:rsidRPr="00EE2BC7">
          <w:t>和</w:t>
        </w:r>
        <w:r w:rsidRPr="00EE2BC7">
          <w:t>158</w:t>
        </w:r>
      </w:hyperlink>
      <w:r w:rsidRPr="00EE2BC7">
        <w:t>段；</w:t>
      </w:r>
      <w:hyperlink r:id="rId173" w:history="1">
        <w:r w:rsidRPr="00EE2BC7">
          <w:t>Gäfgen</w:t>
        </w:r>
        <w:r w:rsidRPr="00EE2BC7">
          <w:rPr>
            <w:rFonts w:ascii="Time New Roman" w:eastAsia="楷体" w:hAnsi="Time New Roman"/>
          </w:rPr>
          <w:t>诉德国</w:t>
        </w:r>
        <w:r w:rsidRPr="00EE2BC7">
          <w:t>案</w:t>
        </w:r>
        <w:r w:rsidRPr="00EE2BC7">
          <w:t>[GC]</w:t>
        </w:r>
        <w:r w:rsidRPr="00EE2BC7">
          <w:t>，第</w:t>
        </w:r>
        <w:r w:rsidRPr="00EE2BC7">
          <w:t>22978/05</w:t>
        </w:r>
        <w:r w:rsidRPr="00EE2BC7">
          <w:t>号，《</w:t>
        </w:r>
        <w:r w:rsidRPr="00EE2BC7">
          <w:t>2010</w:t>
        </w:r>
        <w:r w:rsidRPr="00EE2BC7">
          <w:t>年欧洲人权法院案例汇编》</w:t>
        </w:r>
      </w:hyperlink>
      <w:r w:rsidRPr="00EE2BC7">
        <w:t>，第</w:t>
      </w:r>
      <w:r w:rsidRPr="00EE2BC7">
        <w:t>68</w:t>
      </w:r>
      <w:r w:rsidRPr="00EE2BC7">
        <w:t>段和第</w:t>
      </w:r>
      <w:r w:rsidRPr="00EE2BC7">
        <w:t>70-72</w:t>
      </w:r>
      <w:r w:rsidRPr="00EE2BC7">
        <w:t>段；另见国际法协会第七十三届会议报告</w:t>
      </w:r>
      <w:r w:rsidRPr="00EE2BC7">
        <w:rPr>
          <w:rFonts w:hint="eastAsia"/>
        </w:rPr>
        <w:t>(</w:t>
      </w:r>
      <w:r w:rsidRPr="00EE2BC7">
        <w:t>上文脚注</w:t>
      </w:r>
      <w:r>
        <w:fldChar w:fldCharType="begin"/>
      </w:r>
      <w:r>
        <w:instrText xml:space="preserve"> NOTEREF _Ref461977454 \h </w:instrText>
      </w:r>
      <w:r>
        <w:fldChar w:fldCharType="separate"/>
      </w:r>
      <w:r w:rsidR="00A73EB9">
        <w:t>540</w:t>
      </w:r>
      <w:r>
        <w:fldChar w:fldCharType="end"/>
      </w:r>
      <w:r w:rsidRPr="00EE2BC7">
        <w:t>)</w:t>
      </w:r>
      <w:r w:rsidRPr="00EE2BC7">
        <w:t>，第</w:t>
      </w:r>
      <w:r w:rsidRPr="00EE2BC7">
        <w:t>29-38</w:t>
      </w:r>
      <w:r w:rsidRPr="00EE2BC7">
        <w:t>页，第</w:t>
      </w:r>
      <w:r w:rsidRPr="00EE2BC7">
        <w:t>116-155</w:t>
      </w:r>
      <w:r w:rsidRPr="00EE2BC7">
        <w:t>页。</w:t>
      </w:r>
    </w:p>
  </w:footnote>
  <w:footnote w:id="1034">
    <w:p w:rsidR="00AB00DE" w:rsidRPr="00A37112" w:rsidRDefault="00AB00DE" w:rsidP="00255402">
      <w:pPr>
        <w:pStyle w:val="a4"/>
        <w:rPr>
          <w:color w:val="000000"/>
          <w:w w:val="104"/>
        </w:rPr>
      </w:pPr>
      <w:r w:rsidRPr="00A37112">
        <w:rPr>
          <w:color w:val="000000"/>
          <w:w w:val="104"/>
        </w:rPr>
        <w:tab/>
      </w:r>
      <w:r w:rsidRPr="00902223">
        <w:rPr>
          <w:rStyle w:val="a5"/>
          <w:w w:val="104"/>
          <w:szCs w:val="21"/>
        </w:rPr>
        <w:footnoteRef/>
      </w:r>
      <w:r w:rsidRPr="00A37112">
        <w:rPr>
          <w:color w:val="000000"/>
          <w:w w:val="104"/>
        </w:rPr>
        <w:tab/>
      </w:r>
      <w:r w:rsidRPr="00EE2BC7">
        <w:t>见威尼斯委员会引用的决定，《关于</w:t>
      </w:r>
      <w:r w:rsidRPr="00EE2BC7">
        <w:rPr>
          <w:rFonts w:hint="eastAsia"/>
        </w:rPr>
        <w:t>……</w:t>
      </w:r>
      <w:r w:rsidRPr="00EE2BC7">
        <w:t>落实国际人权条约的报告》</w:t>
      </w:r>
      <w:r w:rsidRPr="00EE2BC7">
        <w:rPr>
          <w:rFonts w:hint="eastAsia"/>
        </w:rPr>
        <w:t>(</w:t>
      </w:r>
      <w:r w:rsidRPr="00EE2BC7">
        <w:t>上文脚注</w:t>
      </w:r>
      <w:r>
        <w:fldChar w:fldCharType="begin"/>
      </w:r>
      <w:r>
        <w:instrText xml:space="preserve"> NOTEREF _Ref457308341 \h </w:instrText>
      </w:r>
      <w:r>
        <w:fldChar w:fldCharType="separate"/>
      </w:r>
      <w:r w:rsidR="00A73EB9">
        <w:t>999</w:t>
      </w:r>
      <w:r>
        <w:fldChar w:fldCharType="end"/>
      </w:r>
      <w:r w:rsidRPr="00EE2BC7">
        <w:t>)</w:t>
      </w:r>
      <w:r w:rsidRPr="00EE2BC7">
        <w:t>，见第</w:t>
      </w:r>
      <w:r w:rsidRPr="00EE2BC7">
        <w:t>76</w:t>
      </w:r>
      <w:r w:rsidRPr="00EE2BC7">
        <w:t>段，脚注</w:t>
      </w:r>
      <w:r w:rsidRPr="00EE2BC7">
        <w:t>172</w:t>
      </w:r>
      <w:r w:rsidRPr="00EE2BC7">
        <w:t>和</w:t>
      </w:r>
      <w:r w:rsidRPr="00EE2BC7">
        <w:t>173</w:t>
      </w:r>
      <w:r w:rsidRPr="00EE2BC7">
        <w:rPr>
          <w:rFonts w:hint="eastAsia"/>
        </w:rPr>
        <w:t>(</w:t>
      </w:r>
      <w:hyperlink r:id="rId174" w:history="1">
        <w:r w:rsidRPr="00EE2BC7">
          <w:t>爱尔兰，最高法院：</w:t>
        </w:r>
        <w:r w:rsidRPr="00EE2BC7">
          <w:t>Kavanagh (Joseph)</w:t>
        </w:r>
        <w:r w:rsidRPr="00EE2BC7">
          <w:t>诉</w:t>
        </w:r>
        <w:r w:rsidRPr="00EE2BC7">
          <w:t>Mountjoy</w:t>
        </w:r>
        <w:r w:rsidRPr="00EE2BC7">
          <w:rPr>
            <w:rFonts w:ascii="Time New Roman" w:eastAsia="楷体" w:hAnsi="Time New Roman"/>
          </w:rPr>
          <w:t>监狱长和司法部长</w:t>
        </w:r>
        <w:r w:rsidRPr="00EE2BC7">
          <w:t>案</w:t>
        </w:r>
        <w:r w:rsidRPr="00EE2BC7">
          <w:t>[2002] IESC 13 (2002</w:t>
        </w:r>
        <w:r w:rsidRPr="00EE2BC7">
          <w:t>年</w:t>
        </w:r>
        <w:r w:rsidRPr="00EE2BC7">
          <w:t>3</w:t>
        </w:r>
        <w:r w:rsidRPr="00EE2BC7">
          <w:t>月</w:t>
        </w:r>
        <w:r w:rsidRPr="00EE2BC7">
          <w:t>1</w:t>
        </w:r>
        <w:r w:rsidRPr="00EE2BC7">
          <w:t>日</w:t>
        </w:r>
        <w:r w:rsidRPr="00EE2BC7">
          <w:t>)</w:t>
        </w:r>
        <w:r w:rsidRPr="00EE2BC7">
          <w:t>，第</w:t>
        </w:r>
        <w:r w:rsidRPr="00EE2BC7">
          <w:t>36</w:t>
        </w:r>
        <w:r w:rsidRPr="00EE2BC7">
          <w:t>段；法国，国务委员会：</w:t>
        </w:r>
        <w:r w:rsidRPr="00255402">
          <w:rPr>
            <w:rFonts w:asciiTheme="majorBidi" w:hAnsiTheme="majorBidi" w:cstheme="majorBidi"/>
          </w:rPr>
          <w:t>Hauchemaille</w:t>
        </w:r>
        <w:r w:rsidRPr="00255402">
          <w:rPr>
            <w:rFonts w:ascii="Time New Roman" w:eastAsia="楷体" w:hAnsi="Time New Roman"/>
          </w:rPr>
          <w:t>诉法国</w:t>
        </w:r>
        <w:r w:rsidRPr="00255402">
          <w:t>案</w:t>
        </w:r>
        <w:r w:rsidRPr="00EE2BC7">
          <w:t>，</w:t>
        </w:r>
        <w:r w:rsidRPr="00EE2BC7">
          <w:t>case no 238849,</w:t>
        </w:r>
        <w:r w:rsidRPr="00EE2BC7">
          <w:rPr>
            <w:rFonts w:hint="eastAsia"/>
          </w:rPr>
          <w:t xml:space="preserve"> </w:t>
        </w:r>
        <w:r w:rsidRPr="00EE2BC7">
          <w:t>2001</w:t>
        </w:r>
        <w:r w:rsidRPr="00EE2BC7">
          <w:t>年</w:t>
        </w:r>
        <w:r w:rsidRPr="00EE2BC7">
          <w:t>10</w:t>
        </w:r>
        <w:r w:rsidRPr="00EE2BC7">
          <w:t>月</w:t>
        </w:r>
        <w:r w:rsidRPr="00EE2BC7">
          <w:t>11</w:t>
        </w:r>
        <w:r w:rsidRPr="00EE2BC7">
          <w:t>日，</w:t>
        </w:r>
        <w:r w:rsidRPr="00EE2BC7">
          <w:t>ILDC 767(FR2001)</w:t>
        </w:r>
        <w:r w:rsidRPr="00EE2BC7">
          <w:t>，</w:t>
        </w:r>
      </w:hyperlink>
      <w:hyperlink r:id="rId175" w:history="1"/>
      <w:r w:rsidRPr="00A37112">
        <w:rPr>
          <w:color w:val="000000"/>
          <w:w w:val="104"/>
        </w:rPr>
        <w:t>第</w:t>
      </w:r>
      <w:r w:rsidRPr="00A37112">
        <w:rPr>
          <w:color w:val="000000"/>
          <w:w w:val="104"/>
        </w:rPr>
        <w:t>22</w:t>
      </w:r>
      <w:r w:rsidRPr="00A37112">
        <w:rPr>
          <w:color w:val="000000"/>
          <w:w w:val="104"/>
        </w:rPr>
        <w:t>段</w:t>
      </w:r>
      <w:r w:rsidRPr="00A37112">
        <w:rPr>
          <w:rFonts w:hint="eastAsia"/>
          <w:color w:val="000000"/>
          <w:w w:val="104"/>
        </w:rPr>
        <w:t>)</w:t>
      </w:r>
      <w:r w:rsidRPr="00A37112">
        <w:rPr>
          <w:color w:val="000000"/>
          <w:w w:val="104"/>
        </w:rPr>
        <w:t>。</w:t>
      </w:r>
    </w:p>
  </w:footnote>
  <w:footnote w:id="1035">
    <w:p w:rsidR="00AB00DE" w:rsidRPr="00A37112" w:rsidRDefault="00AB00DE" w:rsidP="00560424">
      <w:pPr>
        <w:pStyle w:val="a4"/>
        <w:rPr>
          <w:color w:val="000000"/>
          <w:w w:val="104"/>
        </w:rPr>
      </w:pPr>
      <w:r w:rsidRPr="00A37112">
        <w:rPr>
          <w:color w:val="000000"/>
          <w:w w:val="104"/>
        </w:rPr>
        <w:tab/>
      </w:r>
      <w:r w:rsidRPr="00902223">
        <w:rPr>
          <w:rStyle w:val="a5"/>
          <w:w w:val="104"/>
          <w:szCs w:val="21"/>
        </w:rPr>
        <w:footnoteRef/>
      </w:r>
      <w:r w:rsidRPr="00A37112">
        <w:rPr>
          <w:color w:val="000000"/>
          <w:w w:val="104"/>
        </w:rPr>
        <w:tab/>
      </w:r>
      <w:r w:rsidRPr="00EE2BC7">
        <w:t>国际法协会第七十一届会议报告</w:t>
      </w:r>
      <w:r w:rsidRPr="00EE2BC7">
        <w:t>(</w:t>
      </w:r>
      <w:r w:rsidRPr="00EE2BC7">
        <w:t>上文脚注</w:t>
      </w:r>
      <w:r>
        <w:fldChar w:fldCharType="begin"/>
      </w:r>
      <w:r>
        <w:instrText xml:space="preserve"> NOTEREF _Ref461977454 \h </w:instrText>
      </w:r>
      <w:r>
        <w:fldChar w:fldCharType="separate"/>
      </w:r>
      <w:r w:rsidR="00A73EB9">
        <w:t>540</w:t>
      </w:r>
      <w:r>
        <w:fldChar w:fldCharType="end"/>
      </w:r>
      <w:r w:rsidRPr="00EE2BC7">
        <w:t>)</w:t>
      </w:r>
      <w:r w:rsidRPr="00EE2BC7">
        <w:t>，第</w:t>
      </w:r>
      <w:r w:rsidRPr="00EE2BC7">
        <w:t>43</w:t>
      </w:r>
      <w:r w:rsidRPr="00EE2BC7">
        <w:t>页，第</w:t>
      </w:r>
      <w:r w:rsidRPr="00EE2BC7">
        <w:t>175</w:t>
      </w:r>
      <w:r w:rsidRPr="00EE2BC7">
        <w:t>段；</w:t>
      </w:r>
      <w:hyperlink r:id="rId176" w:history="1">
        <w:r w:rsidRPr="00EE2BC7">
          <w:t>德国，联邦行政法院，</w:t>
        </w:r>
        <w:r w:rsidRPr="00EE2BC7">
          <w:t>BVerwGE</w:t>
        </w:r>
        <w:r w:rsidRPr="00EE2BC7">
          <w:t>，第</w:t>
        </w:r>
        <w:r w:rsidRPr="00EE2BC7">
          <w:t>134</w:t>
        </w:r>
        <w:r w:rsidRPr="00EE2BC7">
          <w:t>卷，第</w:t>
        </w:r>
        <w:r w:rsidRPr="00EE2BC7">
          <w:t>1</w:t>
        </w:r>
        <w:r w:rsidRPr="00EE2BC7">
          <w:t>页起，见第</w:t>
        </w:r>
        <w:r w:rsidRPr="00EE2BC7">
          <w:t>22</w:t>
        </w:r>
        <w:r w:rsidRPr="00EE2BC7">
          <w:t>页，第</w:t>
        </w:r>
        <w:r w:rsidRPr="00EE2BC7">
          <w:t>48</w:t>
        </w:r>
        <w:r w:rsidRPr="00EE2BC7">
          <w:t>段。</w:t>
        </w:r>
      </w:hyperlink>
    </w:p>
  </w:footnote>
  <w:footnote w:id="1036">
    <w:p w:rsidR="00AB00DE" w:rsidRPr="00A37112" w:rsidRDefault="00AB00DE" w:rsidP="003E31C7">
      <w:pPr>
        <w:pStyle w:val="a4"/>
        <w:rPr>
          <w:color w:val="000000"/>
          <w:w w:val="104"/>
        </w:rPr>
      </w:pPr>
      <w:r w:rsidRPr="00A37112">
        <w:rPr>
          <w:color w:val="000000"/>
          <w:w w:val="104"/>
        </w:rPr>
        <w:tab/>
      </w:r>
      <w:r w:rsidRPr="00902223">
        <w:rPr>
          <w:rStyle w:val="a5"/>
          <w:w w:val="104"/>
          <w:szCs w:val="21"/>
        </w:rPr>
        <w:footnoteRef/>
      </w:r>
      <w:r w:rsidRPr="00A37112">
        <w:rPr>
          <w:color w:val="000000"/>
          <w:w w:val="104"/>
        </w:rPr>
        <w:tab/>
      </w:r>
      <w:r w:rsidRPr="00EE2BC7">
        <w:t>2011</w:t>
      </w:r>
      <w:r w:rsidRPr="00EE2BC7">
        <w:t>年国际法委员会报告，《大会正式记录》，第六十六届会议，补编第</w:t>
      </w:r>
      <w:r w:rsidRPr="00EE2BC7">
        <w:t>10</w:t>
      </w:r>
      <w:r w:rsidRPr="00EE2BC7">
        <w:t>号</w:t>
      </w:r>
      <w:r w:rsidRPr="00EE2BC7">
        <w:t>(</w:t>
      </w:r>
      <w:hyperlink r:id="rId177" w:history="1">
        <w:r w:rsidRPr="00EE2BC7">
          <w:t>A/66/10</w:t>
        </w:r>
      </w:hyperlink>
      <w:r w:rsidRPr="00EE2BC7">
        <w:t>/</w:t>
      </w:r>
      <w:r w:rsidRPr="00EE2BC7">
        <w:rPr>
          <w:rFonts w:hint="eastAsia"/>
        </w:rPr>
        <w:t xml:space="preserve"> </w:t>
      </w:r>
      <w:r w:rsidRPr="00EE2BC7">
        <w:t>Add.1)</w:t>
      </w:r>
      <w:r w:rsidRPr="00EE2BC7">
        <w:t>。</w:t>
      </w:r>
    </w:p>
  </w:footnote>
  <w:footnote w:id="1037">
    <w:p w:rsidR="00AB00DE" w:rsidRPr="00A37112" w:rsidRDefault="00AB00DE" w:rsidP="003E31C7">
      <w:pPr>
        <w:pStyle w:val="a4"/>
      </w:pPr>
      <w:r w:rsidRPr="00A37112">
        <w:tab/>
      </w:r>
      <w:r w:rsidRPr="00902223">
        <w:rPr>
          <w:rStyle w:val="a5"/>
          <w:szCs w:val="21"/>
        </w:rPr>
        <w:footnoteRef/>
      </w:r>
      <w:r w:rsidRPr="00A37112">
        <w:t xml:space="preserve"> </w:t>
      </w:r>
      <w:r w:rsidRPr="00A37112">
        <w:tab/>
      </w:r>
      <w:r w:rsidRPr="00A37112">
        <w:rPr>
          <w:rFonts w:hint="eastAsia"/>
        </w:rPr>
        <w:t>“</w:t>
      </w:r>
      <w:r w:rsidRPr="00A37112">
        <w:t>当然，如果这些机构已被赋予决策权</w:t>
      </w:r>
      <w:r w:rsidRPr="00A37112">
        <w:rPr>
          <w:rFonts w:hint="eastAsia"/>
        </w:rPr>
        <w:t>，则当事方</w:t>
      </w:r>
      <w:r w:rsidRPr="00A37112">
        <w:t>必须遵守</w:t>
      </w:r>
      <w:r w:rsidRPr="00A37112">
        <w:rPr>
          <w:rFonts w:hint="eastAsia"/>
        </w:rPr>
        <w:t>它</w:t>
      </w:r>
      <w:r w:rsidRPr="00A37112">
        <w:t>们的决定，但是，目前在实践中，除了区域人权法院以外，还没有这么做。与此相反，其他监督机构在保留方面和</w:t>
      </w:r>
      <w:r w:rsidRPr="00A37112">
        <w:rPr>
          <w:rFonts w:hint="eastAsia"/>
        </w:rPr>
        <w:t>它</w:t>
      </w:r>
      <w:r w:rsidRPr="00A37112">
        <w:t>们拥有宣示权力的其他方面没有任何法律决策权，因此，</w:t>
      </w:r>
      <w:r w:rsidRPr="00A37112">
        <w:rPr>
          <w:rFonts w:hint="eastAsia"/>
        </w:rPr>
        <w:t>它</w:t>
      </w:r>
      <w:r w:rsidRPr="00A37112">
        <w:t>们得出的结论不具有法律约束力，缔约国只是</w:t>
      </w:r>
      <w:r w:rsidRPr="00A37112">
        <w:rPr>
          <w:rFonts w:hint="eastAsia"/>
        </w:rPr>
        <w:t>有义务</w:t>
      </w:r>
      <w:r w:rsidRPr="00A37112">
        <w:t>诚意地</w:t>
      </w:r>
      <w:r w:rsidRPr="00A37112">
        <w:rPr>
          <w:rFonts w:hint="eastAsia"/>
        </w:rPr>
        <w:t>“</w:t>
      </w:r>
      <w:r w:rsidRPr="00A37112">
        <w:t>顾及</w:t>
      </w:r>
      <w:r w:rsidRPr="00A37112">
        <w:rPr>
          <w:rFonts w:hint="eastAsia"/>
        </w:rPr>
        <w:t>”</w:t>
      </w:r>
      <w:r w:rsidRPr="00A37112">
        <w:t>其评估</w:t>
      </w:r>
      <w:r w:rsidRPr="00A37112">
        <w:rPr>
          <w:rFonts w:hint="eastAsia"/>
        </w:rPr>
        <w:t>”</w:t>
      </w:r>
      <w:r w:rsidRPr="00A37112">
        <w:t>(</w:t>
      </w:r>
      <w:r w:rsidRPr="00A37112">
        <w:rPr>
          <w:rFonts w:hint="eastAsia"/>
        </w:rPr>
        <w:t>同上，</w:t>
      </w:r>
      <w:r w:rsidRPr="00EE2BC7">
        <w:rPr>
          <w:rFonts w:hint="eastAsia"/>
        </w:rPr>
        <w:t>准则</w:t>
      </w:r>
      <w:r w:rsidRPr="00EE2BC7">
        <w:t>3.2.3</w:t>
      </w:r>
      <w:r w:rsidRPr="00EE2BC7">
        <w:rPr>
          <w:rFonts w:hint="eastAsia"/>
        </w:rPr>
        <w:t>评注第</w:t>
      </w:r>
      <w:r w:rsidRPr="00EE2BC7">
        <w:rPr>
          <w:rFonts w:hint="eastAsia"/>
        </w:rPr>
        <w:t>(3)</w:t>
      </w:r>
      <w:r w:rsidRPr="00EE2BC7">
        <w:rPr>
          <w:rFonts w:hint="eastAsia"/>
        </w:rPr>
        <w:t>段</w:t>
      </w:r>
      <w:r w:rsidRPr="00EE2BC7">
        <w:t>)</w:t>
      </w:r>
      <w:r w:rsidRPr="00EE2BC7">
        <w:rPr>
          <w:rFonts w:hint="eastAsia"/>
        </w:rPr>
        <w:t>。</w:t>
      </w:r>
    </w:p>
  </w:footnote>
  <w:footnote w:id="1038">
    <w:p w:rsidR="00AB00DE" w:rsidRPr="00EE2BC7" w:rsidRDefault="00AB00DE" w:rsidP="00560424">
      <w:pPr>
        <w:pStyle w:val="a4"/>
      </w:pPr>
      <w:r w:rsidRPr="00A37112">
        <w:rPr>
          <w:color w:val="000000"/>
          <w:w w:val="104"/>
        </w:rPr>
        <w:tab/>
      </w:r>
      <w:r w:rsidRPr="00902223">
        <w:rPr>
          <w:rStyle w:val="a5"/>
          <w:w w:val="104"/>
          <w:szCs w:val="21"/>
        </w:rPr>
        <w:footnoteRef/>
      </w:r>
      <w:r w:rsidRPr="00A37112">
        <w:rPr>
          <w:color w:val="000000"/>
          <w:w w:val="104"/>
        </w:rPr>
        <w:tab/>
      </w:r>
      <w:r w:rsidRPr="00EE2BC7">
        <w:t>国际法协会第七十一届会议报告</w:t>
      </w:r>
      <w:r w:rsidRPr="00EE2BC7">
        <w:t>(</w:t>
      </w:r>
      <w:r w:rsidRPr="00EE2BC7">
        <w:t>见上文脚注</w:t>
      </w:r>
      <w:r>
        <w:fldChar w:fldCharType="begin"/>
      </w:r>
      <w:r>
        <w:instrText xml:space="preserve"> NOTEREF _Ref461977454 \h </w:instrText>
      </w:r>
      <w:r>
        <w:fldChar w:fldCharType="separate"/>
      </w:r>
      <w:r w:rsidR="00A73EB9">
        <w:t>540</w:t>
      </w:r>
      <w:r>
        <w:fldChar w:fldCharType="end"/>
      </w:r>
      <w:r w:rsidRPr="00EE2BC7">
        <w:t>)</w:t>
      </w:r>
      <w:r w:rsidRPr="00EE2BC7">
        <w:t>，第</w:t>
      </w:r>
      <w:r w:rsidRPr="00EE2BC7">
        <w:t>5</w:t>
      </w:r>
      <w:r w:rsidRPr="00EE2BC7">
        <w:t>页，第</w:t>
      </w:r>
      <w:r w:rsidRPr="00EE2BC7">
        <w:t>17</w:t>
      </w:r>
      <w:r w:rsidRPr="00EE2BC7">
        <w:t>段；</w:t>
      </w:r>
      <w:hyperlink r:id="rId178" w:history="1">
        <w:r w:rsidRPr="00EE2BC7">
          <w:t>Van Alebeek and Nollkaemper, “The legal status of decisions by human rights treaty bodies</w:t>
        </w:r>
        <w:r w:rsidRPr="00EE2BC7">
          <w:rPr>
            <w:rFonts w:hint="eastAsia"/>
          </w:rPr>
          <w:t xml:space="preserve"> </w:t>
        </w:r>
        <w:r w:rsidRPr="00EE2BC7">
          <w:t>…” (</w:t>
        </w:r>
        <w:r w:rsidRPr="00EE2BC7">
          <w:t>上文脚注</w:t>
        </w:r>
        <w:r w:rsidRPr="00A37112">
          <w:rPr>
            <w:color w:val="000000"/>
          </w:rPr>
          <w:fldChar w:fldCharType="begin"/>
        </w:r>
        <w:r w:rsidRPr="00A37112">
          <w:rPr>
            <w:color w:val="000000"/>
          </w:rPr>
          <w:instrText xml:space="preserve"> NOTEREF _Ref457308354 \h  \* MERGEFORMAT </w:instrText>
        </w:r>
        <w:r w:rsidRPr="00A37112">
          <w:rPr>
            <w:color w:val="000000"/>
          </w:rPr>
        </w:r>
        <w:r w:rsidRPr="00A37112">
          <w:rPr>
            <w:color w:val="000000"/>
          </w:rPr>
          <w:fldChar w:fldCharType="separate"/>
        </w:r>
        <w:r w:rsidR="00A73EB9">
          <w:rPr>
            <w:color w:val="000000"/>
          </w:rPr>
          <w:t>1001</w:t>
        </w:r>
        <w:r w:rsidRPr="00A37112">
          <w:rPr>
            <w:color w:val="000000"/>
          </w:rPr>
          <w:fldChar w:fldCharType="end"/>
        </w:r>
        <w:r w:rsidRPr="00EE2BC7">
          <w:t>)</w:t>
        </w:r>
        <w:r w:rsidRPr="00EE2BC7">
          <w:t>，第</w:t>
        </w:r>
        <w:r w:rsidRPr="00EE2BC7">
          <w:t>401</w:t>
        </w:r>
      </w:hyperlink>
      <w:r w:rsidRPr="00EE2BC7">
        <w:t>页；属于这种情况的少数几个判决书之一是大阪高等法院</w:t>
      </w:r>
      <w:r w:rsidRPr="00EE2BC7">
        <w:t>1994</w:t>
      </w:r>
      <w:r w:rsidRPr="00EE2BC7">
        <w:t>年</w:t>
      </w:r>
      <w:r w:rsidRPr="00EE2BC7">
        <w:t>10</w:t>
      </w:r>
      <w:r w:rsidRPr="00EE2BC7">
        <w:t>月</w:t>
      </w:r>
      <w:r w:rsidRPr="00EE2BC7">
        <w:t>28</w:t>
      </w:r>
      <w:r w:rsidRPr="00EE2BC7">
        <w:t>日判决书，第</w:t>
      </w:r>
      <w:r w:rsidRPr="00EE2BC7">
        <w:t>1513</w:t>
      </w:r>
      <w:r w:rsidRPr="00EE2BC7">
        <w:t>号《判例时报》，第</w:t>
      </w:r>
      <w:r w:rsidRPr="00EE2BC7">
        <w:t>71</w:t>
      </w:r>
      <w:r w:rsidRPr="00EE2BC7">
        <w:t>、</w:t>
      </w:r>
      <w:r w:rsidRPr="00EE2BC7">
        <w:t>87</w:t>
      </w:r>
      <w:r w:rsidRPr="00EE2BC7">
        <w:t>、</w:t>
      </w:r>
      <w:r w:rsidRPr="00EE2BC7">
        <w:t>38</w:t>
      </w:r>
      <w:r w:rsidRPr="00EE2BC7">
        <w:t>页</w:t>
      </w:r>
      <w:r w:rsidRPr="00EE2BC7">
        <w:t>(</w:t>
      </w:r>
      <w:hyperlink r:id="rId179" w:history="1">
        <w:r w:rsidRPr="00EE2BC7">
          <w:t>国际法协会第七十一届会议报告</w:t>
        </w:r>
      </w:hyperlink>
      <w:r w:rsidRPr="00EE2BC7">
        <w:t>引用</w:t>
      </w:r>
      <w:r w:rsidRPr="00EE2BC7">
        <w:t>(</w:t>
      </w:r>
      <w:r w:rsidRPr="00EE2BC7">
        <w:t>见上文脚注</w:t>
      </w:r>
      <w:r>
        <w:fldChar w:fldCharType="begin"/>
      </w:r>
      <w:r>
        <w:instrText xml:space="preserve"> NOTEREF _Ref461977454 \h </w:instrText>
      </w:r>
      <w:r>
        <w:fldChar w:fldCharType="separate"/>
      </w:r>
      <w:r w:rsidR="00A73EB9">
        <w:t>540</w:t>
      </w:r>
      <w:r>
        <w:fldChar w:fldCharType="end"/>
      </w:r>
      <w:r w:rsidRPr="00EE2BC7">
        <w:t>)</w:t>
      </w:r>
      <w:r w:rsidRPr="00EE2BC7">
        <w:t>，见第</w:t>
      </w:r>
      <w:r w:rsidRPr="00EE2BC7">
        <w:t>20</w:t>
      </w:r>
      <w:r w:rsidRPr="00EE2BC7">
        <w:t>段，脚注</w:t>
      </w:r>
      <w:r w:rsidRPr="00EE2BC7">
        <w:t>22)</w:t>
      </w:r>
      <w:r w:rsidRPr="00EE2BC7">
        <w:t>；还可查阅</w:t>
      </w:r>
      <w:hyperlink r:id="rId180" w:history="1">
        <w:r w:rsidRPr="00EE2BC7">
          <w:t>Japanese Annual of International Law, vol. 38 (1995)</w:t>
        </w:r>
      </w:hyperlink>
      <w:r w:rsidRPr="00EE2BC7">
        <w:t>，第</w:t>
      </w:r>
      <w:r w:rsidRPr="00EE2BC7">
        <w:t>109-150</w:t>
      </w:r>
      <w:r w:rsidRPr="00EE2BC7">
        <w:t>页，见第</w:t>
      </w:r>
      <w:r w:rsidRPr="00EE2BC7">
        <w:t>118-133</w:t>
      </w:r>
      <w:r w:rsidRPr="00EE2BC7">
        <w:t>页；和德国，联邦行政法院</w:t>
      </w:r>
      <w:r w:rsidRPr="00EE2BC7">
        <w:t>(</w:t>
      </w:r>
      <w:r w:rsidRPr="00EE2BC7">
        <w:t>见上文脚注</w:t>
      </w:r>
      <w:r>
        <w:fldChar w:fldCharType="begin"/>
      </w:r>
      <w:r>
        <w:instrText xml:space="preserve"> NOTEREF _Ref461977616 \h </w:instrText>
      </w:r>
      <w:r>
        <w:fldChar w:fldCharType="separate"/>
      </w:r>
      <w:r w:rsidR="00A73EB9">
        <w:t>1034</w:t>
      </w:r>
      <w:r>
        <w:fldChar w:fldCharType="end"/>
      </w:r>
      <w:r w:rsidRPr="00EE2BC7">
        <w:t>)</w:t>
      </w:r>
      <w:r w:rsidRPr="00EE2BC7">
        <w:t>。</w:t>
      </w:r>
    </w:p>
  </w:footnote>
  <w:footnote w:id="1039">
    <w:p w:rsidR="00AB00DE" w:rsidRPr="00EE2BC7" w:rsidRDefault="00AB00DE" w:rsidP="003E31C7">
      <w:pPr>
        <w:pStyle w:val="a4"/>
      </w:pPr>
      <w:r w:rsidRPr="00A37112">
        <w:rPr>
          <w:color w:val="000000"/>
        </w:rPr>
        <w:tab/>
      </w:r>
      <w:r w:rsidRPr="00902223">
        <w:rPr>
          <w:rStyle w:val="a5"/>
          <w:szCs w:val="21"/>
        </w:rPr>
        <w:footnoteRef/>
      </w:r>
      <w:r w:rsidRPr="00A37112">
        <w:rPr>
          <w:rFonts w:hint="eastAsia"/>
          <w:color w:val="000000"/>
        </w:rPr>
        <w:tab/>
      </w:r>
      <w:hyperlink r:id="rId181" w:history="1">
        <w:hyperlink r:id="rId182" w:history="1">
          <w:r w:rsidRPr="00EE2BC7">
            <w:t>在巴勒斯坦被占领土修建隔离墙的法律后果</w:t>
          </w:r>
        </w:hyperlink>
        <w:r w:rsidRPr="00EE2BC7">
          <w:t>，咨询意见，《</w:t>
        </w:r>
        <w:r w:rsidRPr="00EE2BC7">
          <w:t>2004</w:t>
        </w:r>
        <w:r w:rsidRPr="00EE2BC7">
          <w:t>年国际法院案例汇编》，第</w:t>
        </w:r>
        <w:r w:rsidRPr="00EE2BC7">
          <w:t>136</w:t>
        </w:r>
        <w:r w:rsidRPr="00EE2BC7">
          <w:t>页起，见第</w:t>
        </w:r>
        <w:r w:rsidRPr="00EE2BC7">
          <w:t>179</w:t>
        </w:r>
        <w:r w:rsidRPr="00EE2BC7">
          <w:t>页，第</w:t>
        </w:r>
        <w:r w:rsidRPr="00EE2BC7">
          <w:t>109</w:t>
        </w:r>
      </w:hyperlink>
      <w:r w:rsidRPr="00EE2BC7">
        <w:t>段。</w:t>
      </w:r>
    </w:p>
  </w:footnote>
  <w:footnote w:id="1040">
    <w:p w:rsidR="00AB00DE" w:rsidRPr="00EE2BC7" w:rsidRDefault="00AB00DE" w:rsidP="00560424">
      <w:pPr>
        <w:pStyle w:val="a4"/>
      </w:pPr>
      <w:r w:rsidRPr="00A37112">
        <w:rPr>
          <w:color w:val="000000"/>
          <w:w w:val="104"/>
        </w:rPr>
        <w:tab/>
      </w:r>
      <w:r w:rsidRPr="00902223">
        <w:rPr>
          <w:rStyle w:val="a5"/>
          <w:w w:val="104"/>
          <w:szCs w:val="21"/>
        </w:rPr>
        <w:footnoteRef/>
      </w:r>
      <w:r w:rsidRPr="00A37112">
        <w:rPr>
          <w:color w:val="000000"/>
          <w:w w:val="104"/>
        </w:rPr>
        <w:tab/>
      </w:r>
      <w:r w:rsidRPr="00A37112">
        <w:t>大阪高等法院明确指出</w:t>
      </w:r>
      <w:r w:rsidRPr="00A37112">
        <w:rPr>
          <w:rFonts w:hint="eastAsia"/>
        </w:rPr>
        <w:t>：“</w:t>
      </w:r>
      <w:r w:rsidRPr="00A37112">
        <w:t>可以认为，应该借助</w:t>
      </w:r>
      <w:r w:rsidRPr="00A37112">
        <w:rPr>
          <w:rFonts w:hint="eastAsia"/>
        </w:rPr>
        <w:t>“</w:t>
      </w:r>
      <w:r w:rsidRPr="00A37112">
        <w:t>一般性意见</w:t>
      </w:r>
      <w:r w:rsidRPr="00A37112">
        <w:rPr>
          <w:rFonts w:hint="eastAsia"/>
        </w:rPr>
        <w:t>”</w:t>
      </w:r>
      <w:r w:rsidRPr="00A37112">
        <w:t>和</w:t>
      </w:r>
      <w:r w:rsidRPr="00A37112">
        <w:rPr>
          <w:rFonts w:hint="eastAsia"/>
        </w:rPr>
        <w:t>“</w:t>
      </w:r>
      <w:r w:rsidRPr="00A37112">
        <w:t>意见</w:t>
      </w:r>
      <w:r w:rsidRPr="00A37112">
        <w:rPr>
          <w:rFonts w:hint="eastAsia"/>
        </w:rPr>
        <w:t>”</w:t>
      </w:r>
      <w:r w:rsidRPr="00EE2BC7">
        <w:rPr>
          <w:rFonts w:hint="eastAsia"/>
        </w:rPr>
        <w:t>……</w:t>
      </w:r>
      <w:r w:rsidRPr="00A37112">
        <w:t>，作为解释《公民权利和政治权利国际公约》的补充资料。</w:t>
      </w:r>
      <w:r w:rsidRPr="00A37112">
        <w:rPr>
          <w:rFonts w:hint="eastAsia"/>
        </w:rPr>
        <w:t>”</w:t>
      </w:r>
      <w:r w:rsidRPr="00A37112">
        <w:t>大阪高等法院</w:t>
      </w:r>
      <w:r w:rsidRPr="00A37112">
        <w:rPr>
          <w:rFonts w:hint="eastAsia"/>
        </w:rPr>
        <w:t>1994</w:t>
      </w:r>
      <w:r w:rsidRPr="00A37112">
        <w:rPr>
          <w:rFonts w:hint="eastAsia"/>
        </w:rPr>
        <w:t>年</w:t>
      </w:r>
      <w:r w:rsidRPr="00A37112">
        <w:rPr>
          <w:rFonts w:hint="eastAsia"/>
        </w:rPr>
        <w:t>10</w:t>
      </w:r>
      <w:r w:rsidRPr="00A37112">
        <w:rPr>
          <w:rFonts w:hint="eastAsia"/>
        </w:rPr>
        <w:t>月</w:t>
      </w:r>
      <w:r w:rsidRPr="00A37112">
        <w:rPr>
          <w:rFonts w:hint="eastAsia"/>
        </w:rPr>
        <w:t>28</w:t>
      </w:r>
      <w:r w:rsidRPr="00A37112">
        <w:rPr>
          <w:rFonts w:hint="eastAsia"/>
        </w:rPr>
        <w:t>日判决</w:t>
      </w:r>
      <w:r>
        <w:rPr>
          <w:rFonts w:hint="eastAsia"/>
        </w:rPr>
        <w:t>(</w:t>
      </w:r>
      <w:r w:rsidRPr="00A37112">
        <w:rPr>
          <w:rFonts w:hint="eastAsia"/>
        </w:rPr>
        <w:t>上文脚注</w:t>
      </w:r>
      <w:r>
        <w:fldChar w:fldCharType="begin"/>
      </w:r>
      <w:r>
        <w:instrText xml:space="preserve"> </w:instrText>
      </w:r>
      <w:r>
        <w:rPr>
          <w:rFonts w:hint="eastAsia"/>
        </w:rPr>
        <w:instrText>NOTEREF _Ref453231032 \h</w:instrText>
      </w:r>
      <w:r>
        <w:instrText xml:space="preserve"> </w:instrText>
      </w:r>
      <w:r>
        <w:fldChar w:fldCharType="separate"/>
      </w:r>
      <w:r w:rsidR="00A73EB9">
        <w:t>1037</w:t>
      </w:r>
      <w:r>
        <w:fldChar w:fldCharType="end"/>
      </w:r>
      <w:r>
        <w:rPr>
          <w:rFonts w:hint="eastAsia"/>
        </w:rPr>
        <w:t>)</w:t>
      </w:r>
      <w:r w:rsidRPr="00A37112">
        <w:rPr>
          <w:rFonts w:hint="eastAsia"/>
        </w:rPr>
        <w:t>，</w:t>
      </w:r>
      <w:hyperlink r:id="rId183" w:history="1">
        <w:r w:rsidRPr="00EE2BC7">
          <w:t>国际法协会第七十一届会议报告</w:t>
        </w:r>
      </w:hyperlink>
      <w:r w:rsidRPr="00EE2BC7">
        <w:t>引用</w:t>
      </w:r>
      <w:r w:rsidRPr="00EE2BC7">
        <w:t>(</w:t>
      </w:r>
      <w:r w:rsidRPr="00EE2BC7">
        <w:t>见上文脚注</w:t>
      </w:r>
      <w:r>
        <w:fldChar w:fldCharType="begin"/>
      </w:r>
      <w:r>
        <w:instrText xml:space="preserve"> NOTEREF _Ref461977454 \h </w:instrText>
      </w:r>
      <w:r>
        <w:fldChar w:fldCharType="separate"/>
      </w:r>
      <w:r w:rsidR="00A73EB9">
        <w:t>540</w:t>
      </w:r>
      <w:r>
        <w:fldChar w:fldCharType="end"/>
      </w:r>
      <w:r w:rsidRPr="00EE2BC7">
        <w:t>)</w:t>
      </w:r>
      <w:r w:rsidRPr="00EE2BC7">
        <w:t>，见第</w:t>
      </w:r>
      <w:r w:rsidRPr="00EE2BC7">
        <w:rPr>
          <w:rFonts w:hint="eastAsia"/>
        </w:rPr>
        <w:t>85</w:t>
      </w:r>
      <w:r w:rsidRPr="00EE2BC7">
        <w:t>段，脚注</w:t>
      </w:r>
      <w:r w:rsidRPr="00EE2BC7">
        <w:rPr>
          <w:rFonts w:hint="eastAsia"/>
        </w:rPr>
        <w:t>178</w:t>
      </w:r>
      <w:r w:rsidRPr="00EE2BC7">
        <w:rPr>
          <w:rFonts w:hint="eastAsia"/>
        </w:rPr>
        <w:t>，另外可查阅</w:t>
      </w:r>
      <w:hyperlink r:id="rId184" w:history="1">
        <w:r w:rsidRPr="00EE2BC7">
          <w:t>Japanese Annual of International Law, vol. 38 (1995)</w:t>
        </w:r>
      </w:hyperlink>
      <w:r w:rsidRPr="00EE2BC7">
        <w:t>, at pp. 129-130</w:t>
      </w:r>
      <w:r w:rsidRPr="00EE2BC7">
        <w:rPr>
          <w:rFonts w:hint="eastAsia"/>
        </w:rPr>
        <w:t>；</w:t>
      </w:r>
      <w:r w:rsidRPr="00EE2BC7">
        <w:t>例如</w:t>
      </w:r>
      <w:r w:rsidRPr="00EE2BC7">
        <w:rPr>
          <w:rFonts w:hint="eastAsia"/>
        </w:rPr>
        <w:t>也</w:t>
      </w:r>
      <w:r w:rsidRPr="00EE2BC7">
        <w:t>见荷兰，中央上诉法庭，</w:t>
      </w:r>
      <w:hyperlink r:id="rId185" w:history="1">
        <w:r w:rsidRPr="00EE2BC7">
          <w:t>Appellante</w:t>
        </w:r>
        <w:r w:rsidRPr="00EE2BC7">
          <w:t>诉</w:t>
        </w:r>
        <w:r w:rsidRPr="00EE2BC7">
          <w:t>de Raad van Bestuur van de Sociale Verzekeringsbank</w:t>
        </w:r>
        <w:r w:rsidRPr="00EE2BC7">
          <w:t>案，</w:t>
        </w:r>
      </w:hyperlink>
      <w:r w:rsidRPr="00EE2BC7">
        <w:t>(</w:t>
      </w:r>
      <w:r w:rsidRPr="00EE2BC7">
        <w:rPr>
          <w:rFonts w:hint="eastAsia"/>
        </w:rPr>
        <w:t>可查阅</w:t>
      </w:r>
      <w:hyperlink r:id="rId186" w:history="1">
        <w:r w:rsidRPr="00EE2BC7">
          <w:t>http://deeplink.rechtspraak.nl/uitspraak?id=ECLI:NL:CRVB:2006:AY5560</w:t>
        </w:r>
      </w:hyperlink>
      <w:r w:rsidRPr="00EE2BC7">
        <w:t xml:space="preserve">, </w:t>
      </w:r>
      <w:r w:rsidRPr="00EE2BC7">
        <w:rPr>
          <w:rFonts w:hint="eastAsia"/>
        </w:rPr>
        <w:t>2016</w:t>
      </w:r>
      <w:r w:rsidRPr="00EE2BC7">
        <w:rPr>
          <w:rFonts w:hint="eastAsia"/>
        </w:rPr>
        <w:t>年</w:t>
      </w:r>
      <w:r w:rsidRPr="00EE2BC7">
        <w:rPr>
          <w:rFonts w:hint="eastAsia"/>
        </w:rPr>
        <w:t>7</w:t>
      </w:r>
      <w:r w:rsidRPr="00EE2BC7">
        <w:rPr>
          <w:rFonts w:hint="eastAsia"/>
        </w:rPr>
        <w:t>月</w:t>
      </w:r>
      <w:r w:rsidRPr="00EE2BC7">
        <w:rPr>
          <w:rFonts w:hint="eastAsia"/>
        </w:rPr>
        <w:t>11</w:t>
      </w:r>
      <w:r w:rsidRPr="00EE2BC7">
        <w:rPr>
          <w:rFonts w:hint="eastAsia"/>
        </w:rPr>
        <w:t>日登录</w:t>
      </w:r>
      <w:r w:rsidRPr="00EE2BC7">
        <w:t>)</w:t>
      </w:r>
      <w:r w:rsidRPr="00EE2BC7">
        <w:t>；联合王国，一方面，上议院，</w:t>
      </w:r>
      <w:r w:rsidRPr="00EE2BC7">
        <w:t>Jones</w:t>
      </w:r>
      <w:r w:rsidRPr="00421513">
        <w:rPr>
          <w:rFonts w:ascii="Time New Roman" w:eastAsia="楷体" w:hAnsi="Time New Roman"/>
        </w:rPr>
        <w:t>诉沙特阿拉伯</w:t>
      </w:r>
      <w:r w:rsidRPr="00EE2BC7">
        <w:t>案，</w:t>
      </w:r>
      <w:r w:rsidRPr="00EE2BC7">
        <w:rPr>
          <w:rFonts w:hint="eastAsia"/>
        </w:rPr>
        <w:t>2016</w:t>
      </w:r>
      <w:r w:rsidRPr="00EE2BC7">
        <w:rPr>
          <w:rFonts w:hint="eastAsia"/>
        </w:rPr>
        <w:t>年</w:t>
      </w:r>
      <w:r w:rsidRPr="00EE2BC7">
        <w:rPr>
          <w:rFonts w:hint="eastAsia"/>
        </w:rPr>
        <w:t>6</w:t>
      </w:r>
      <w:r w:rsidRPr="00EE2BC7">
        <w:rPr>
          <w:rFonts w:hint="eastAsia"/>
        </w:rPr>
        <w:t>月</w:t>
      </w:r>
      <w:r w:rsidRPr="00EE2BC7">
        <w:rPr>
          <w:rFonts w:hint="eastAsia"/>
        </w:rPr>
        <w:t>14</w:t>
      </w:r>
      <w:r w:rsidRPr="00EE2BC7">
        <w:rPr>
          <w:rFonts w:hint="eastAsia"/>
        </w:rPr>
        <w:t>日</w:t>
      </w:r>
      <w:r w:rsidRPr="00EE2BC7">
        <w:t xml:space="preserve"> [2006] UKHL 26 (</w:t>
      </w:r>
      <w:r w:rsidRPr="00EE2BC7">
        <w:rPr>
          <w:rFonts w:hint="eastAsia"/>
        </w:rPr>
        <w:t>“</w:t>
      </w:r>
      <w:r w:rsidRPr="00EE2BC7">
        <w:t>无价值</w:t>
      </w:r>
      <w:r w:rsidRPr="00EE2BC7">
        <w:rPr>
          <w:rFonts w:hint="eastAsia"/>
        </w:rPr>
        <w:t>”</w:t>
      </w:r>
      <w:r w:rsidRPr="00EE2BC7">
        <w:t>)</w:t>
      </w:r>
      <w:r w:rsidRPr="00EE2BC7">
        <w:t>，另一方面，</w:t>
      </w:r>
      <w:hyperlink r:id="rId187" w:history="1">
        <w:r w:rsidRPr="00EE2BC7">
          <w:t>上议院，</w:t>
        </w:r>
        <w:r w:rsidRPr="00EE2BC7">
          <w:t xml:space="preserve">A. </w:t>
        </w:r>
        <w:r w:rsidRPr="00421513">
          <w:rPr>
            <w:rFonts w:ascii="Time New Roman" w:eastAsia="楷体" w:hAnsi="Time New Roman"/>
          </w:rPr>
          <w:t>诉内政大臣</w:t>
        </w:r>
        <w:r w:rsidRPr="00EE2BC7">
          <w:t>案</w:t>
        </w:r>
        <w:r w:rsidRPr="00EE2BC7">
          <w:t xml:space="preserve"> [2005] UKHL 71</w:t>
        </w:r>
        <w:r w:rsidRPr="00EE2BC7">
          <w:t>，第</w:t>
        </w:r>
        <w:r w:rsidRPr="00EE2BC7">
          <w:t>34-36</w:t>
        </w:r>
      </w:hyperlink>
      <w:r w:rsidRPr="00EE2BC7">
        <w:t>段</w:t>
      </w:r>
      <w:r w:rsidRPr="00EE2BC7">
        <w:rPr>
          <w:rFonts w:hint="eastAsia"/>
        </w:rPr>
        <w:t>(</w:t>
      </w:r>
      <w:r w:rsidRPr="00EE2BC7">
        <w:t>依据条约机构的声明确立一项排除法证据规则，防止利用通过酷刑手段获得的信息</w:t>
      </w:r>
      <w:r w:rsidRPr="00EE2BC7">
        <w:rPr>
          <w:rFonts w:hint="eastAsia"/>
        </w:rPr>
        <w:t>)</w:t>
      </w:r>
      <w:r w:rsidRPr="00EE2BC7">
        <w:t>和</w:t>
      </w:r>
      <w:hyperlink r:id="rId188" w:history="1">
        <w:r w:rsidRPr="00EE2BC7">
          <w:t>上诉法院：</w:t>
        </w:r>
        <w:r w:rsidRPr="00EE2BC7">
          <w:t xml:space="preserve">R </w:t>
        </w:r>
        <w:r w:rsidRPr="00421513">
          <w:rPr>
            <w:rFonts w:ascii="Time New Roman" w:eastAsia="楷体" w:hAnsi="Time New Roman"/>
          </w:rPr>
          <w:t>(</w:t>
        </w:r>
        <w:r w:rsidRPr="00421513">
          <w:rPr>
            <w:rFonts w:ascii="Time New Roman" w:eastAsia="楷体" w:hAnsi="Time New Roman"/>
          </w:rPr>
          <w:t>斯凯尼案的应用</w:t>
        </w:r>
        <w:r w:rsidRPr="00421513">
          <w:rPr>
            <w:rFonts w:ascii="Time New Roman" w:eastAsia="楷体" w:hAnsi="Time New Roman"/>
          </w:rPr>
          <w:t>)</w:t>
        </w:r>
        <w:r w:rsidRPr="00421513">
          <w:rPr>
            <w:rFonts w:ascii="Time New Roman" w:eastAsia="楷体" w:hAnsi="Time New Roman"/>
          </w:rPr>
          <w:t>诉国防大臣</w:t>
        </w:r>
        <w:r w:rsidRPr="00EE2BC7">
          <w:t>案，申请进行司法审查，</w:t>
        </w:r>
        <w:r w:rsidRPr="00EE2BC7">
          <w:t>(2005) EWCA Civ 1609</w:t>
        </w:r>
        <w:r w:rsidRPr="00EE2BC7">
          <w:t>号，</w:t>
        </w:r>
        <w:r w:rsidRPr="00EE2BC7">
          <w:t>(2006) HRLR 7</w:t>
        </w:r>
        <w:r w:rsidRPr="00EE2BC7">
          <w:t>号，第</w:t>
        </w:r>
        <w:r w:rsidRPr="00EE2BC7">
          <w:t>101</w:t>
        </w:r>
        <w:r w:rsidRPr="00EE2BC7">
          <w:t>段</w:t>
        </w:r>
      </w:hyperlink>
      <w:r w:rsidRPr="00EE2BC7">
        <w:rPr>
          <w:rFonts w:hint="eastAsia"/>
        </w:rPr>
        <w:t>(</w:t>
      </w:r>
      <w:r w:rsidRPr="00EE2BC7">
        <w:t>援引人权事务委员会第</w:t>
      </w:r>
      <w:r w:rsidRPr="00EE2BC7">
        <w:t>31</w:t>
      </w:r>
      <w:r w:rsidRPr="00EE2BC7">
        <w:t>号一般性意见，确立《</w:t>
      </w:r>
      <w:r w:rsidRPr="00EE2BC7">
        <w:t>1998</w:t>
      </w:r>
      <w:r w:rsidRPr="00EE2BC7">
        <w:t>年人权法》域外适用</w:t>
      </w:r>
      <w:r w:rsidRPr="00EE2BC7">
        <w:rPr>
          <w:rFonts w:hint="eastAsia"/>
        </w:rPr>
        <w:t>)</w:t>
      </w:r>
      <w:r w:rsidRPr="00EE2BC7">
        <w:t>；南非：一方面：威特沃特斯兰高等法院：</w:t>
      </w:r>
      <w:r w:rsidRPr="00EE2BC7">
        <w:t xml:space="preserve">Bon Vista </w:t>
      </w:r>
      <w:r w:rsidRPr="00421513">
        <w:rPr>
          <w:rFonts w:ascii="Time New Roman" w:eastAsia="楷体" w:hAnsi="Time New Roman"/>
        </w:rPr>
        <w:t xml:space="preserve">Mansions </w:t>
      </w:r>
      <w:r w:rsidRPr="00421513">
        <w:rPr>
          <w:rFonts w:ascii="Time New Roman" w:eastAsia="楷体" w:hAnsi="Time New Roman"/>
        </w:rPr>
        <w:t>居民诉南部都市地方理事会</w:t>
      </w:r>
      <w:r w:rsidRPr="00EE2BC7">
        <w:t>案，</w:t>
      </w:r>
      <w:r w:rsidRPr="00EE2BC7">
        <w:t xml:space="preserve">2002 (6) BCLR, </w:t>
      </w:r>
      <w:r w:rsidRPr="00EE2BC7">
        <w:rPr>
          <w:rFonts w:hint="eastAsia"/>
        </w:rPr>
        <w:t>第</w:t>
      </w:r>
      <w:r w:rsidRPr="00EE2BC7">
        <w:t>625</w:t>
      </w:r>
      <w:r w:rsidRPr="00EE2BC7">
        <w:rPr>
          <w:rFonts w:hint="eastAsia"/>
        </w:rPr>
        <w:t>页起，见第</w:t>
      </w:r>
      <w:r w:rsidRPr="00EE2BC7">
        <w:t>629</w:t>
      </w:r>
      <w:r w:rsidRPr="00EE2BC7">
        <w:rPr>
          <w:rFonts w:hint="eastAsia"/>
        </w:rPr>
        <w:t>页</w:t>
      </w:r>
      <w:r w:rsidRPr="00EE2BC7">
        <w:t>(</w:t>
      </w:r>
      <w:r w:rsidRPr="00EE2BC7">
        <w:rPr>
          <w:rFonts w:hint="eastAsia"/>
        </w:rPr>
        <w:t>“</w:t>
      </w:r>
      <w:r w:rsidRPr="00EE2BC7">
        <w:t>一般性意见具有国际法所规定的权威性地位</w:t>
      </w:r>
      <w:r w:rsidRPr="00EE2BC7">
        <w:rPr>
          <w:rFonts w:hint="eastAsia"/>
        </w:rPr>
        <w:t>”</w:t>
      </w:r>
      <w:r w:rsidRPr="00EE2BC7">
        <w:t>)</w:t>
      </w:r>
      <w:r w:rsidRPr="00EE2BC7">
        <w:t>，</w:t>
      </w:r>
      <w:r w:rsidRPr="00EE2BC7">
        <w:rPr>
          <w:rFonts w:hint="eastAsia"/>
        </w:rPr>
        <w:t>国际法协会第七十一届会议报告第</w:t>
      </w:r>
      <w:r w:rsidRPr="00EE2BC7">
        <w:rPr>
          <w:rFonts w:hint="eastAsia"/>
        </w:rPr>
        <w:t>11</w:t>
      </w:r>
      <w:r w:rsidRPr="00EE2BC7">
        <w:rPr>
          <w:rFonts w:hint="eastAsia"/>
        </w:rPr>
        <w:t>段引用</w:t>
      </w:r>
      <w:r w:rsidRPr="00EE2BC7">
        <w:t>(</w:t>
      </w:r>
      <w:r w:rsidRPr="00EE2BC7">
        <w:rPr>
          <w:rFonts w:hint="eastAsia"/>
        </w:rPr>
        <w:t>上文脚注</w:t>
      </w:r>
      <w:r>
        <w:fldChar w:fldCharType="begin"/>
      </w:r>
      <w:r>
        <w:instrText xml:space="preserve"> NOTEREF _Ref461977454 \h </w:instrText>
      </w:r>
      <w:r>
        <w:fldChar w:fldCharType="separate"/>
      </w:r>
      <w:r w:rsidR="00A73EB9">
        <w:t>540</w:t>
      </w:r>
      <w:r>
        <w:fldChar w:fldCharType="end"/>
      </w:r>
      <w:r w:rsidRPr="00EE2BC7">
        <w:t>)</w:t>
      </w:r>
      <w:r w:rsidRPr="00EE2BC7">
        <w:t>另一方面，</w:t>
      </w:r>
      <w:hyperlink r:id="rId189" w:history="1">
        <w:r w:rsidRPr="00EE2BC7">
          <w:t>宪法法院：</w:t>
        </w:r>
        <w:r w:rsidRPr="00421513">
          <w:rPr>
            <w:rFonts w:ascii="Time New Roman" w:eastAsia="楷体" w:hAnsi="Time New Roman"/>
          </w:rPr>
          <w:t>卫生部长和其他人诉治疗行动运动和其他人</w:t>
        </w:r>
        <w:r w:rsidRPr="00EE2BC7">
          <w:t>案</w:t>
        </w:r>
        <w:r w:rsidRPr="00EE2BC7">
          <w:rPr>
            <w:rFonts w:hint="eastAsia"/>
          </w:rPr>
          <w:t>(</w:t>
        </w:r>
        <w:r w:rsidRPr="00EE2BC7">
          <w:t>第</w:t>
        </w:r>
        <w:r w:rsidRPr="00EE2BC7">
          <w:t>2</w:t>
        </w:r>
        <w:r w:rsidRPr="00EE2BC7">
          <w:t>号</w:t>
        </w:r>
        <w:r w:rsidRPr="00EE2BC7">
          <w:rPr>
            <w:rFonts w:hint="eastAsia"/>
          </w:rPr>
          <w:t>)</w:t>
        </w:r>
        <w:r w:rsidRPr="00EE2BC7">
          <w:t>(CCT 8/02)[2002] ZACC 15</w:t>
        </w:r>
        <w:r w:rsidRPr="00EE2BC7">
          <w:t>，第</w:t>
        </w:r>
        <w:r w:rsidRPr="00EE2BC7">
          <w:t>26</w:t>
        </w:r>
        <w:r w:rsidRPr="00EE2BC7">
          <w:t>和</w:t>
        </w:r>
        <w:r w:rsidRPr="00EE2BC7">
          <w:t>37</w:t>
        </w:r>
        <w:r w:rsidRPr="00EE2BC7">
          <w:t>段</w:t>
        </w:r>
      </w:hyperlink>
      <w:r w:rsidRPr="00EE2BC7">
        <w:rPr>
          <w:rFonts w:hint="eastAsia"/>
        </w:rPr>
        <w:t>(</w:t>
      </w:r>
      <w:r w:rsidRPr="00EE2BC7">
        <w:t>反对</w:t>
      </w:r>
      <w:r w:rsidRPr="00EE2BC7">
        <w:rPr>
          <w:rFonts w:hint="eastAsia"/>
        </w:rPr>
        <w:t>[</w:t>
      </w:r>
      <w:r w:rsidRPr="00EE2BC7">
        <w:t>适用</w:t>
      </w:r>
      <w:r w:rsidRPr="00EE2BC7">
        <w:rPr>
          <w:rFonts w:hint="eastAsia"/>
        </w:rPr>
        <w:t>]</w:t>
      </w:r>
      <w:r w:rsidRPr="00EE2BC7">
        <w:t>经济、社会和文化权利委员会一般性意见第</w:t>
      </w:r>
      <w:r w:rsidRPr="00EE2BC7">
        <w:t>3</w:t>
      </w:r>
      <w:r w:rsidRPr="00EE2BC7">
        <w:t>号规定的</w:t>
      </w:r>
      <w:r w:rsidRPr="00EE2BC7">
        <w:rPr>
          <w:rFonts w:hint="eastAsia"/>
        </w:rPr>
        <w:t>“</w:t>
      </w:r>
      <w:r w:rsidRPr="00EE2BC7">
        <w:t>最低核心标准</w:t>
      </w:r>
      <w:r w:rsidRPr="00EE2BC7">
        <w:rPr>
          <w:rFonts w:hint="eastAsia"/>
        </w:rPr>
        <w:t>”</w:t>
      </w:r>
      <w:r w:rsidRPr="00EE2BC7">
        <w:rPr>
          <w:rFonts w:hint="eastAsia"/>
        </w:rPr>
        <w:t>)</w:t>
      </w:r>
      <w:r w:rsidRPr="00EE2BC7">
        <w:t>(</w:t>
      </w:r>
      <w:r w:rsidRPr="00EE2BC7">
        <w:t>《经济及社会理事会正式记录》</w:t>
      </w:r>
      <w:r w:rsidRPr="00EE2BC7">
        <w:t>1991</w:t>
      </w:r>
      <w:r w:rsidRPr="00EE2BC7">
        <w:t>年，补编第</w:t>
      </w:r>
      <w:r w:rsidRPr="00EE2BC7">
        <w:t>3</w:t>
      </w:r>
      <w:r w:rsidRPr="00EE2BC7">
        <w:t>号</w:t>
      </w:r>
      <w:r w:rsidRPr="00EE2BC7">
        <w:t>(E</w:t>
      </w:r>
      <w:hyperlink r:id="rId190" w:history="1">
        <w:r w:rsidRPr="00EE2BC7">
          <w:t>/1991/23-E/C.12/1990/8</w:t>
        </w:r>
        <w:r w:rsidRPr="00EE2BC7">
          <w:t>和</w:t>
        </w:r>
        <w:r w:rsidRPr="00EE2BC7">
          <w:t>Corr.1)</w:t>
        </w:r>
        <w:r w:rsidRPr="00EE2BC7">
          <w:t>，附件三，第</w:t>
        </w:r>
        <w:r w:rsidRPr="00EE2BC7">
          <w:t>83</w:t>
        </w:r>
      </w:hyperlink>
      <w:r w:rsidRPr="00EE2BC7">
        <w:t>页</w:t>
      </w:r>
      <w:r w:rsidRPr="00EE2BC7">
        <w:t>)</w:t>
      </w:r>
      <w:r w:rsidRPr="00EE2BC7">
        <w:t>；日本，东京区法院，</w:t>
      </w:r>
      <w:r w:rsidRPr="00EE2BC7">
        <w:t>2001</w:t>
      </w:r>
      <w:r w:rsidRPr="00EE2BC7">
        <w:t>年</w:t>
      </w:r>
      <w:r w:rsidRPr="00EE2BC7">
        <w:t>3</w:t>
      </w:r>
      <w:r w:rsidRPr="00EE2BC7">
        <w:t>月</w:t>
      </w:r>
      <w:r w:rsidRPr="00EE2BC7">
        <w:t>15</w:t>
      </w:r>
      <w:r w:rsidRPr="00EE2BC7">
        <w:t>日判决书，</w:t>
      </w:r>
      <w:r w:rsidRPr="00EE2BC7">
        <w:t xml:space="preserve"> 1784 Hanrei Jiho 67, at 74 (</w:t>
      </w:r>
      <w:r w:rsidRPr="00EE2BC7">
        <w:rPr>
          <w:rFonts w:hint="eastAsia"/>
        </w:rPr>
        <w:t>“</w:t>
      </w:r>
      <w:r w:rsidRPr="00EE2BC7">
        <w:t>一般性意见既不是对《公民权利和政治权利国际公约》的权威性解释，也不对条约在日本的解释具约束力</w:t>
      </w:r>
      <w:r w:rsidRPr="00EE2BC7">
        <w:rPr>
          <w:rFonts w:hint="eastAsia"/>
        </w:rPr>
        <w:t>”</w:t>
      </w:r>
      <w:r w:rsidRPr="00EE2BC7">
        <w:t>)</w:t>
      </w:r>
      <w:r w:rsidRPr="00EE2BC7">
        <w:rPr>
          <w:rFonts w:hint="eastAsia"/>
        </w:rPr>
        <w:t>，国际法协会第七十一届会议报告第</w:t>
      </w:r>
      <w:r w:rsidRPr="00EE2BC7">
        <w:rPr>
          <w:rFonts w:hint="eastAsia"/>
        </w:rPr>
        <w:t>87</w:t>
      </w:r>
      <w:r w:rsidRPr="00EE2BC7">
        <w:rPr>
          <w:rFonts w:hint="eastAsia"/>
        </w:rPr>
        <w:t>段引用</w:t>
      </w:r>
      <w:r w:rsidRPr="00EE2BC7">
        <w:t>(</w:t>
      </w:r>
      <w:r w:rsidRPr="00EE2BC7">
        <w:rPr>
          <w:rFonts w:hint="eastAsia"/>
        </w:rPr>
        <w:t>上文脚注</w:t>
      </w:r>
      <w:r>
        <w:fldChar w:fldCharType="begin"/>
      </w:r>
      <w:r>
        <w:instrText xml:space="preserve"> NOTEREF _Ref461977454 \h </w:instrText>
      </w:r>
      <w:r>
        <w:fldChar w:fldCharType="separate"/>
      </w:r>
      <w:r w:rsidR="00A73EB9">
        <w:t>540</w:t>
      </w:r>
      <w:r>
        <w:fldChar w:fldCharType="end"/>
      </w:r>
      <w:r w:rsidRPr="00EE2BC7">
        <w:t>)</w:t>
      </w:r>
      <w:r w:rsidRPr="00EE2BC7">
        <w:t>。</w:t>
      </w:r>
    </w:p>
  </w:footnote>
  <w:footnote w:id="1041">
    <w:p w:rsidR="00AB00DE" w:rsidRPr="00EE2BC7" w:rsidRDefault="00AB00DE" w:rsidP="003E31C7">
      <w:pPr>
        <w:pStyle w:val="a4"/>
      </w:pPr>
      <w:r w:rsidRPr="00A37112">
        <w:rPr>
          <w:color w:val="000000"/>
          <w:w w:val="104"/>
        </w:rPr>
        <w:tab/>
      </w:r>
      <w:r w:rsidRPr="00902223">
        <w:rPr>
          <w:rStyle w:val="a5"/>
          <w:w w:val="104"/>
          <w:szCs w:val="21"/>
        </w:rPr>
        <w:footnoteRef/>
      </w:r>
      <w:r w:rsidRPr="00A37112">
        <w:rPr>
          <w:color w:val="000000"/>
          <w:w w:val="104"/>
        </w:rPr>
        <w:tab/>
      </w:r>
      <w:r w:rsidRPr="00EE2BC7">
        <w:t>见结论草案</w:t>
      </w:r>
      <w:r w:rsidRPr="00EE2BC7">
        <w:t>2 [3]</w:t>
      </w:r>
      <w:r w:rsidRPr="00EE2BC7">
        <w:t>评注第</w:t>
      </w:r>
      <w:r w:rsidRPr="00EE2BC7">
        <w:t>(15)</w:t>
      </w:r>
      <w:r w:rsidRPr="00EE2BC7">
        <w:t>段，脚注</w:t>
      </w:r>
      <w:r w:rsidRPr="00EE2BC7">
        <w:rPr>
          <w:rFonts w:hint="eastAsia"/>
        </w:rPr>
        <w:t>429</w:t>
      </w:r>
      <w:r w:rsidRPr="00EE2BC7">
        <w:t>；另见结论草案</w:t>
      </w:r>
      <w:r w:rsidRPr="00EE2BC7">
        <w:t>12 [11]</w:t>
      </w:r>
      <w:r w:rsidRPr="00EE2BC7">
        <w:t>，第</w:t>
      </w:r>
      <w:r w:rsidRPr="00EE2BC7">
        <w:t>3</w:t>
      </w:r>
      <w:r w:rsidRPr="00EE2BC7">
        <w:t>段。</w:t>
      </w:r>
    </w:p>
  </w:footnote>
  <w:footnote w:id="1042">
    <w:p w:rsidR="00AB00DE" w:rsidRPr="00EE2BC7" w:rsidRDefault="00AB00DE" w:rsidP="003E31C7">
      <w:pPr>
        <w:pStyle w:val="a4"/>
      </w:pPr>
      <w:r w:rsidRPr="00A37112">
        <w:rPr>
          <w:w w:val="104"/>
        </w:rPr>
        <w:tab/>
      </w:r>
      <w:r w:rsidRPr="00902223">
        <w:rPr>
          <w:rStyle w:val="a5"/>
          <w:w w:val="104"/>
          <w:szCs w:val="21"/>
        </w:rPr>
        <w:footnoteRef/>
      </w:r>
      <w:r w:rsidRPr="00A37112">
        <w:rPr>
          <w:w w:val="104"/>
        </w:rPr>
        <w:t xml:space="preserve"> </w:t>
      </w:r>
      <w:r w:rsidRPr="00A37112">
        <w:rPr>
          <w:w w:val="104"/>
        </w:rPr>
        <w:tab/>
      </w:r>
      <w:r w:rsidRPr="00EE2BC7">
        <w:rPr>
          <w:rFonts w:hint="eastAsia"/>
        </w:rPr>
        <w:t>见结论草案</w:t>
      </w:r>
      <w:r w:rsidRPr="00EE2BC7">
        <w:t>12 [11]</w:t>
      </w:r>
      <w:r w:rsidRPr="00EE2BC7">
        <w:rPr>
          <w:rFonts w:hint="eastAsia"/>
        </w:rPr>
        <w:t>第</w:t>
      </w:r>
      <w:r w:rsidRPr="00EE2BC7">
        <w:rPr>
          <w:rFonts w:hint="eastAsia"/>
        </w:rPr>
        <w:t>3</w:t>
      </w:r>
      <w:r w:rsidRPr="00EE2BC7">
        <w:rPr>
          <w:rFonts w:hint="eastAsia"/>
        </w:rPr>
        <w:t>段。</w:t>
      </w:r>
    </w:p>
  </w:footnote>
  <w:footnote w:id="1043">
    <w:p w:rsidR="00AB00DE" w:rsidRPr="00A37112" w:rsidRDefault="00AB00DE" w:rsidP="002D0371">
      <w:pPr>
        <w:pStyle w:val="a4"/>
        <w:rPr>
          <w:color w:val="000000"/>
          <w:w w:val="104"/>
        </w:rPr>
      </w:pPr>
      <w:r w:rsidRPr="00A37112">
        <w:rPr>
          <w:color w:val="000000"/>
          <w:w w:val="104"/>
        </w:rPr>
        <w:tab/>
      </w:r>
      <w:r w:rsidRPr="00902223">
        <w:rPr>
          <w:rStyle w:val="a5"/>
          <w:w w:val="104"/>
          <w:szCs w:val="21"/>
        </w:rPr>
        <w:footnoteRef/>
      </w:r>
      <w:r w:rsidRPr="00A37112">
        <w:rPr>
          <w:color w:val="000000"/>
          <w:w w:val="104"/>
        </w:rPr>
        <w:tab/>
      </w:r>
      <w:r w:rsidRPr="002D0371">
        <w:rPr>
          <w:rFonts w:hint="eastAsia"/>
        </w:rPr>
        <w:t>专家的声明的确是“适用条约”的行为，因为委员会认为，这种适用“不仅包括在国际上或在国内为适用条约</w:t>
      </w:r>
      <w:r>
        <w:rPr>
          <w:rFonts w:hint="eastAsia"/>
          <w:spacing w:val="-50"/>
        </w:rPr>
        <w:t>―</w:t>
      </w:r>
      <w:r>
        <w:rPr>
          <w:rFonts w:hint="eastAsia"/>
        </w:rPr>
        <w:t>―</w:t>
      </w:r>
      <w:r w:rsidRPr="002D0371">
        <w:rPr>
          <w:rFonts w:hint="eastAsia"/>
        </w:rPr>
        <w:t>包括为遵守或确保履行条约义务</w:t>
      </w:r>
      <w:r>
        <w:rPr>
          <w:rFonts w:hint="eastAsia"/>
          <w:spacing w:val="-50"/>
        </w:rPr>
        <w:t>―</w:t>
      </w:r>
      <w:r>
        <w:rPr>
          <w:rFonts w:hint="eastAsia"/>
        </w:rPr>
        <w:t>―</w:t>
      </w:r>
      <w:r w:rsidRPr="002D0371">
        <w:rPr>
          <w:rFonts w:hint="eastAsia"/>
        </w:rPr>
        <w:t>采取的官方行为，而且除其他外，也包括有关条约解释的官方声明”</w:t>
      </w:r>
      <w:r>
        <w:rPr>
          <w:rFonts w:hint="eastAsia"/>
        </w:rPr>
        <w:t>(</w:t>
      </w:r>
      <w:r w:rsidRPr="002D0371">
        <w:rPr>
          <w:rFonts w:hint="eastAsia"/>
        </w:rPr>
        <w:t>见结论草案</w:t>
      </w:r>
      <w:r w:rsidRPr="002D0371">
        <w:t>4</w:t>
      </w:r>
      <w:r w:rsidRPr="002D0371">
        <w:rPr>
          <w:rFonts w:hint="eastAsia"/>
        </w:rPr>
        <w:t>的评注第</w:t>
      </w:r>
      <w:r w:rsidRPr="002D0371">
        <w:t>(18)</w:t>
      </w:r>
      <w:r w:rsidRPr="002D0371">
        <w:rPr>
          <w:rFonts w:hint="eastAsia"/>
        </w:rPr>
        <w:t>段</w:t>
      </w:r>
      <w:r>
        <w:rPr>
          <w:rFonts w:hint="eastAsia"/>
        </w:rPr>
        <w:t>)</w:t>
      </w:r>
      <w:r w:rsidRPr="002D0371">
        <w:rPr>
          <w:rFonts w:hint="eastAsia"/>
        </w:rPr>
        <w:t>。</w:t>
      </w:r>
    </w:p>
  </w:footnote>
  <w:footnote w:id="1044">
    <w:p w:rsidR="00AB00DE" w:rsidRPr="00EE2BC7" w:rsidRDefault="00AB00DE" w:rsidP="003E31C7">
      <w:pPr>
        <w:pStyle w:val="a4"/>
      </w:pPr>
      <w:r w:rsidRPr="00A37112">
        <w:rPr>
          <w:color w:val="000000"/>
        </w:rPr>
        <w:tab/>
      </w:r>
      <w:r w:rsidRPr="00902223">
        <w:rPr>
          <w:rStyle w:val="a5"/>
          <w:szCs w:val="21"/>
        </w:rPr>
        <w:footnoteRef/>
      </w:r>
      <w:r w:rsidRPr="00A37112">
        <w:rPr>
          <w:rFonts w:hint="eastAsia"/>
          <w:color w:val="000000"/>
        </w:rPr>
        <w:tab/>
      </w:r>
      <w:hyperlink r:id="rId191" w:history="1">
        <w:hyperlink r:id="rId192" w:history="1">
          <w:r w:rsidRPr="00EE2BC7">
            <w:rPr>
              <w:rFonts w:ascii="Time New Roman" w:eastAsia="楷体" w:hAnsi="Time New Roman"/>
            </w:rPr>
            <w:t>艾哈迈杜</w:t>
          </w:r>
          <w:r w:rsidRPr="00EE2BC7">
            <w:rPr>
              <w:rFonts w:ascii="Time New Roman" w:eastAsia="楷体" w:hAnsi="Time New Roman" w:hint="eastAsia"/>
            </w:rPr>
            <w:t>·</w:t>
          </w:r>
          <w:r w:rsidRPr="00EE2BC7">
            <w:rPr>
              <w:rFonts w:ascii="Time New Roman" w:eastAsia="楷体" w:hAnsi="Time New Roman"/>
            </w:rPr>
            <w:t>萨迪奥</w:t>
          </w:r>
          <w:r w:rsidRPr="00EE2BC7">
            <w:rPr>
              <w:rFonts w:ascii="Time New Roman" w:eastAsia="楷体" w:hAnsi="Time New Roman" w:hint="eastAsia"/>
            </w:rPr>
            <w:t>·</w:t>
          </w:r>
          <w:r w:rsidRPr="00EE2BC7">
            <w:rPr>
              <w:rFonts w:ascii="Time New Roman" w:eastAsia="楷体" w:hAnsi="Time New Roman"/>
            </w:rPr>
            <w:t>迪亚洛</w:t>
          </w:r>
          <w:r w:rsidRPr="00EE2BC7">
            <w:t>案</w:t>
          </w:r>
          <w:r w:rsidRPr="00EE2BC7">
            <w:t>(</w:t>
          </w:r>
          <w:r w:rsidRPr="00EE2BC7">
            <w:rPr>
              <w:rFonts w:ascii="Time New Roman" w:eastAsia="楷体" w:hAnsi="Time New Roman"/>
            </w:rPr>
            <w:t>几内亚共和国诉刚果民主共和国</w:t>
          </w:r>
          <w:r w:rsidRPr="00EE2BC7">
            <w:t>)</w:t>
          </w:r>
          <w:r w:rsidRPr="00EE2BC7">
            <w:t>，</w:t>
          </w:r>
          <w:r w:rsidRPr="00EE2BC7">
            <w:rPr>
              <w:rFonts w:ascii="Time New Roman" w:eastAsia="楷体" w:hAnsi="Time New Roman"/>
            </w:rPr>
            <w:t>案情，判决书</w:t>
          </w:r>
          <w:r w:rsidRPr="00EE2BC7">
            <w:rPr>
              <w:rFonts w:hint="eastAsia"/>
            </w:rPr>
            <w:t>，</w:t>
          </w:r>
          <w:r w:rsidRPr="00EE2BC7">
            <w:t>《</w:t>
          </w:r>
          <w:r w:rsidRPr="00EE2BC7">
            <w:t>2010</w:t>
          </w:r>
          <w:r w:rsidRPr="00EE2BC7">
            <w:t>年国际法院案例汇编》，第</w:t>
          </w:r>
          <w:r w:rsidRPr="00EE2BC7">
            <w:t>639</w:t>
          </w:r>
          <w:r w:rsidRPr="00EE2BC7">
            <w:t>页起，</w:t>
          </w:r>
        </w:hyperlink>
        <w:r w:rsidRPr="00EE2BC7">
          <w:t>见第</w:t>
        </w:r>
        <w:r w:rsidRPr="00EE2BC7">
          <w:t>663-664</w:t>
        </w:r>
        <w:r w:rsidRPr="00EE2BC7">
          <w:t>页，第</w:t>
        </w:r>
        <w:r w:rsidRPr="00EE2BC7">
          <w:t>66</w:t>
        </w:r>
        <w:r w:rsidRPr="00EE2BC7">
          <w:t>段</w:t>
        </w:r>
      </w:hyperlink>
      <w:r w:rsidRPr="00EE2BC7">
        <w:t>。</w:t>
      </w:r>
    </w:p>
  </w:footnote>
  <w:footnote w:id="1045">
    <w:p w:rsidR="00AB00DE" w:rsidRPr="00A37112" w:rsidRDefault="00AB00DE" w:rsidP="00560424">
      <w:pPr>
        <w:pStyle w:val="a4"/>
        <w:rPr>
          <w:color w:val="000000"/>
          <w:w w:val="104"/>
        </w:rPr>
      </w:pPr>
      <w:r w:rsidRPr="00A37112">
        <w:rPr>
          <w:color w:val="000000"/>
          <w:w w:val="104"/>
        </w:rPr>
        <w:tab/>
      </w:r>
      <w:r w:rsidRPr="00902223">
        <w:rPr>
          <w:rStyle w:val="a5"/>
          <w:w w:val="104"/>
          <w:szCs w:val="21"/>
        </w:rPr>
        <w:footnoteRef/>
      </w:r>
      <w:r w:rsidRPr="00A37112">
        <w:rPr>
          <w:color w:val="000000"/>
          <w:w w:val="104"/>
        </w:rPr>
        <w:tab/>
      </w:r>
      <w:r w:rsidRPr="00A37112">
        <w:rPr>
          <w:rFonts w:hint="eastAsia"/>
        </w:rPr>
        <w:t>在结论草案</w:t>
      </w:r>
      <w:r w:rsidRPr="00A37112">
        <w:t>12 [11]</w:t>
      </w:r>
      <w:r w:rsidRPr="00A37112">
        <w:rPr>
          <w:rFonts w:hint="eastAsia"/>
        </w:rPr>
        <w:t>第</w:t>
      </w:r>
      <w:r w:rsidRPr="00A37112">
        <w:rPr>
          <w:rFonts w:hint="eastAsia"/>
        </w:rPr>
        <w:t>3</w:t>
      </w:r>
      <w:r w:rsidRPr="00A37112">
        <w:rPr>
          <w:rFonts w:hint="eastAsia"/>
        </w:rPr>
        <w:t>段的评注里，委员会指出：“</w:t>
      </w:r>
      <w:r w:rsidRPr="00A37112">
        <w:rPr>
          <w:lang w:val="zh-CN"/>
        </w:rPr>
        <w:t>委员会可以</w:t>
      </w:r>
      <w:r w:rsidRPr="00A37112">
        <w:rPr>
          <w:rFonts w:hint="eastAsia"/>
          <w:lang w:val="zh-CN"/>
        </w:rPr>
        <w:t>在二读时</w:t>
      </w:r>
      <w:r w:rsidRPr="00A37112">
        <w:rPr>
          <w:lang w:val="zh-CN"/>
        </w:rPr>
        <w:t>重新审视结论草案</w:t>
      </w:r>
      <w:r w:rsidRPr="00A37112">
        <w:rPr>
          <w:lang w:val="zh-CN"/>
        </w:rPr>
        <w:t>2[1]</w:t>
      </w:r>
      <w:r w:rsidRPr="00A37112">
        <w:rPr>
          <w:rFonts w:hint="eastAsia"/>
          <w:lang w:val="zh-CN"/>
        </w:rPr>
        <w:t>第</w:t>
      </w:r>
      <w:r w:rsidRPr="00A37112">
        <w:rPr>
          <w:lang w:val="zh-CN"/>
        </w:rPr>
        <w:t>4</w:t>
      </w:r>
      <w:r w:rsidRPr="00A37112">
        <w:rPr>
          <w:rFonts w:hint="eastAsia"/>
          <w:lang w:val="zh-CN"/>
        </w:rPr>
        <w:t>段</w:t>
      </w:r>
      <w:r w:rsidRPr="00A37112">
        <w:rPr>
          <w:lang w:val="zh-CN"/>
        </w:rPr>
        <w:t>和</w:t>
      </w:r>
      <w:r w:rsidRPr="00A37112">
        <w:rPr>
          <w:rFonts w:hint="eastAsia"/>
          <w:lang w:val="zh-CN"/>
        </w:rPr>
        <w:t>结论草案</w:t>
      </w:r>
      <w:r w:rsidRPr="00A37112">
        <w:rPr>
          <w:lang w:val="zh-CN"/>
        </w:rPr>
        <w:t>4</w:t>
      </w:r>
      <w:r w:rsidRPr="00A37112">
        <w:rPr>
          <w:rFonts w:hint="eastAsia"/>
          <w:lang w:val="zh-CN"/>
        </w:rPr>
        <w:t>第</w:t>
      </w:r>
      <w:r w:rsidRPr="00A37112">
        <w:rPr>
          <w:lang w:val="zh-CN"/>
        </w:rPr>
        <w:t>3</w:t>
      </w:r>
      <w:r w:rsidRPr="00A37112">
        <w:rPr>
          <w:rFonts w:hint="eastAsia"/>
          <w:lang w:val="zh-CN"/>
        </w:rPr>
        <w:t>段</w:t>
      </w:r>
      <w:r w:rsidRPr="00A37112">
        <w:rPr>
          <w:lang w:val="zh-CN"/>
        </w:rPr>
        <w:t>中</w:t>
      </w:r>
      <w:r w:rsidRPr="00A37112">
        <w:rPr>
          <w:rFonts w:hint="eastAsia"/>
          <w:lang w:val="zh-CN"/>
        </w:rPr>
        <w:t>“</w:t>
      </w:r>
      <w:r w:rsidRPr="00A37112">
        <w:rPr>
          <w:lang w:val="zh-CN"/>
        </w:rPr>
        <w:t>其他嗣后惯例</w:t>
      </w:r>
      <w:r w:rsidRPr="00A37112">
        <w:rPr>
          <w:rFonts w:hint="eastAsia"/>
          <w:lang w:val="zh-CN"/>
        </w:rPr>
        <w:t>”</w:t>
      </w:r>
      <w:r w:rsidRPr="00A37112">
        <w:rPr>
          <w:lang w:val="zh-CN"/>
        </w:rPr>
        <w:t>的定义，以澄清国际组织的自身惯例是否应该纳入该类；该类目前仅限于缔约国的惯例</w:t>
      </w:r>
      <w:r w:rsidRPr="00A37112">
        <w:rPr>
          <w:rFonts w:hint="eastAsia"/>
          <w:lang w:val="zh-CN"/>
        </w:rPr>
        <w:t>”</w:t>
      </w:r>
      <w:r w:rsidRPr="00A37112">
        <w:t>(</w:t>
      </w:r>
      <w:r w:rsidRPr="00A37112">
        <w:rPr>
          <w:rFonts w:hint="eastAsia"/>
        </w:rPr>
        <w:t>见上文脚注</w:t>
      </w:r>
      <w:r>
        <w:fldChar w:fldCharType="begin"/>
      </w:r>
      <w:r>
        <w:instrText xml:space="preserve"> </w:instrText>
      </w:r>
      <w:r>
        <w:rPr>
          <w:rFonts w:hint="eastAsia"/>
        </w:rPr>
        <w:instrText>NOTEREF _Ref461977304 \h</w:instrText>
      </w:r>
      <w:r>
        <w:instrText xml:space="preserve"> </w:instrText>
      </w:r>
      <w:r>
        <w:fldChar w:fldCharType="separate"/>
      </w:r>
      <w:r w:rsidR="00A73EB9">
        <w:t>957</w:t>
      </w:r>
      <w:r>
        <w:fldChar w:fldCharType="end"/>
      </w:r>
      <w:r w:rsidRPr="00A37112">
        <w:t>)</w:t>
      </w:r>
      <w:r w:rsidRPr="00A37112">
        <w:rPr>
          <w:color w:val="000000"/>
          <w:w w:val="104"/>
        </w:rPr>
        <w:t>。</w:t>
      </w:r>
    </w:p>
  </w:footnote>
  <w:footnote w:id="1046">
    <w:p w:rsidR="00AB00DE" w:rsidRPr="00DD10AC" w:rsidRDefault="00AB00DE" w:rsidP="00CD5A8C">
      <w:pPr>
        <w:pStyle w:val="a4"/>
      </w:pPr>
      <w:r w:rsidRPr="00DD10AC">
        <w:tab/>
      </w:r>
      <w:r w:rsidRPr="00193F6E">
        <w:rPr>
          <w:rStyle w:val="a5"/>
          <w:rFonts w:eastAsia="Cambria"/>
        </w:rPr>
        <w:footnoteRef/>
      </w:r>
      <w:r w:rsidRPr="00DD10AC">
        <w:tab/>
      </w:r>
      <w:r w:rsidRPr="00614DAF">
        <w:rPr>
          <w:rFonts w:ascii="宋体" w:hAnsi="宋体" w:cs="宋体" w:hint="eastAsia"/>
        </w:rPr>
        <w:t>《大会正式记录</w:t>
      </w:r>
      <w:r>
        <w:rPr>
          <w:rFonts w:ascii="宋体" w:hAnsi="宋体" w:cs="宋体" w:hint="eastAsia"/>
        </w:rPr>
        <w:t>，</w:t>
      </w:r>
      <w:r w:rsidRPr="00614DAF">
        <w:rPr>
          <w:rFonts w:ascii="宋体" w:hAnsi="宋体" w:cs="宋体" w:hint="eastAsia"/>
        </w:rPr>
        <w:t>第六十九届会议</w:t>
      </w:r>
      <w:r>
        <w:rPr>
          <w:rFonts w:ascii="宋体" w:hAnsi="宋体" w:cs="宋体" w:hint="eastAsia"/>
        </w:rPr>
        <w:t>，</w:t>
      </w:r>
      <w:r w:rsidRPr="00614DAF">
        <w:rPr>
          <w:rFonts w:ascii="宋体" w:hAnsi="宋体" w:cs="宋体" w:hint="eastAsia"/>
        </w:rPr>
        <w:t>补编第</w:t>
      </w:r>
      <w:r>
        <w:t>1</w:t>
      </w:r>
      <w:r w:rsidRPr="00614DAF">
        <w:t>0</w:t>
      </w:r>
      <w:r w:rsidRPr="00614DAF">
        <w:rPr>
          <w:rFonts w:ascii="宋体" w:hAnsi="宋体" w:cs="宋体" w:hint="eastAsia"/>
        </w:rPr>
        <w:t>号》</w:t>
      </w:r>
      <w:r>
        <w:t>(</w:t>
      </w:r>
      <w:hyperlink r:id="rId193" w:history="1">
        <w:r>
          <w:rPr>
            <w:rStyle w:val="af"/>
          </w:rPr>
          <w:t>A/69/1</w:t>
        </w:r>
        <w:r w:rsidRPr="00DD10AC">
          <w:rPr>
            <w:rStyle w:val="af"/>
          </w:rPr>
          <w:t>0</w:t>
        </w:r>
      </w:hyperlink>
      <w:r>
        <w:t>)</w:t>
      </w:r>
      <w:r>
        <w:rPr>
          <w:rFonts w:eastAsiaTheme="minorEastAsia" w:hint="eastAsia"/>
        </w:rPr>
        <w:t>，</w:t>
      </w:r>
      <w:r w:rsidRPr="00614DAF">
        <w:rPr>
          <w:rFonts w:ascii="宋体" w:hAnsi="宋体" w:cs="宋体" w:hint="eastAsia"/>
        </w:rPr>
        <w:t>第</w:t>
      </w:r>
      <w:r>
        <w:rPr>
          <w:rFonts w:eastAsiaTheme="minorEastAsia" w:hint="eastAsia"/>
        </w:rPr>
        <w:t>266</w:t>
      </w:r>
      <w:r w:rsidRPr="00614DAF">
        <w:rPr>
          <w:rFonts w:ascii="宋体" w:hAnsi="宋体" w:cs="宋体" w:hint="eastAsia"/>
        </w:rPr>
        <w:t>段。</w:t>
      </w:r>
    </w:p>
  </w:footnote>
  <w:footnote w:id="1047">
    <w:p w:rsidR="00AB00DE" w:rsidRDefault="00AB00DE" w:rsidP="00CD5A8C">
      <w:pPr>
        <w:pStyle w:val="a4"/>
      </w:pPr>
      <w:r>
        <w:tab/>
      </w:r>
      <w:r w:rsidRPr="00193F6E">
        <w:rPr>
          <w:rStyle w:val="a5"/>
        </w:rPr>
        <w:footnoteRef/>
      </w:r>
      <w:r>
        <w:tab/>
      </w:r>
      <w:r w:rsidRPr="00F05425">
        <w:rPr>
          <w:rFonts w:ascii="宋体" w:hAnsi="宋体" w:cs="宋体" w:hint="eastAsia"/>
        </w:rPr>
        <w:t>同上</w:t>
      </w:r>
      <w:r>
        <w:rPr>
          <w:rFonts w:ascii="宋体" w:hAnsi="宋体" w:cs="宋体" w:hint="eastAsia"/>
        </w:rPr>
        <w:t>，</w:t>
      </w:r>
      <w:r w:rsidRPr="00F05425">
        <w:rPr>
          <w:rFonts w:ascii="宋体" w:hAnsi="宋体" w:cs="宋体" w:hint="eastAsia"/>
        </w:rPr>
        <w:t>《第</w:t>
      </w:r>
      <w:r>
        <w:rPr>
          <w:rFonts w:ascii="宋体" w:hAnsi="宋体" w:cs="宋体" w:hint="eastAsia"/>
        </w:rPr>
        <w:t>七十</w:t>
      </w:r>
      <w:r w:rsidRPr="00F05425">
        <w:rPr>
          <w:rFonts w:ascii="宋体" w:hAnsi="宋体" w:cs="宋体" w:hint="eastAsia"/>
        </w:rPr>
        <w:t>届会议</w:t>
      </w:r>
      <w:r>
        <w:rPr>
          <w:rFonts w:ascii="宋体" w:hAnsi="宋体" w:cs="宋体" w:hint="eastAsia"/>
        </w:rPr>
        <w:t>，</w:t>
      </w:r>
      <w:r w:rsidRPr="00F05425">
        <w:rPr>
          <w:rFonts w:ascii="宋体" w:hAnsi="宋体" w:cs="宋体" w:hint="eastAsia"/>
        </w:rPr>
        <w:t>补编第</w:t>
      </w:r>
      <w:r>
        <w:t>1</w:t>
      </w:r>
      <w:r w:rsidRPr="00F05425">
        <w:t>0</w:t>
      </w:r>
      <w:r w:rsidRPr="00F05425">
        <w:rPr>
          <w:rFonts w:ascii="宋体" w:hAnsi="宋体" w:cs="宋体" w:hint="eastAsia"/>
        </w:rPr>
        <w:t>号》</w:t>
      </w:r>
      <w:r>
        <w:t>(</w:t>
      </w:r>
      <w:hyperlink r:id="rId194" w:history="1">
        <w:r>
          <w:rPr>
            <w:rStyle w:val="af"/>
          </w:rPr>
          <w:t>A/70/1</w:t>
        </w:r>
        <w:r w:rsidRPr="00DD10AC">
          <w:rPr>
            <w:rStyle w:val="af"/>
          </w:rPr>
          <w:t>0</w:t>
        </w:r>
      </w:hyperlink>
      <w:r>
        <w:t>)</w:t>
      </w:r>
      <w:r>
        <w:rPr>
          <w:rFonts w:ascii="宋体" w:hAnsi="宋体" w:cs="宋体" w:hint="eastAsia"/>
        </w:rPr>
        <w:t>，</w:t>
      </w:r>
      <w:r w:rsidRPr="00F05425">
        <w:rPr>
          <w:rFonts w:ascii="宋体" w:hAnsi="宋体" w:cs="宋体" w:hint="eastAsia"/>
        </w:rPr>
        <w:t>第</w:t>
      </w:r>
      <w:r>
        <w:t>11</w:t>
      </w:r>
      <w:r w:rsidRPr="00F05425">
        <w:t>0</w:t>
      </w:r>
      <w:r>
        <w:rPr>
          <w:rFonts w:eastAsiaTheme="minorEastAsia" w:hint="eastAsia"/>
        </w:rPr>
        <w:t>-</w:t>
      </w:r>
      <w:r>
        <w:t>117</w:t>
      </w:r>
      <w:r w:rsidRPr="00F05425">
        <w:rPr>
          <w:rFonts w:ascii="宋体" w:hAnsi="宋体" w:cs="宋体" w:hint="eastAsia"/>
        </w:rPr>
        <w:t>段。</w:t>
      </w:r>
    </w:p>
  </w:footnote>
  <w:footnote w:id="1048">
    <w:p w:rsidR="00AB00DE" w:rsidRPr="00C94447" w:rsidRDefault="00AB00DE" w:rsidP="00CD5A8C">
      <w:pPr>
        <w:pStyle w:val="a4"/>
      </w:pPr>
      <w:r>
        <w:tab/>
      </w:r>
      <w:r w:rsidRPr="00193F6E">
        <w:rPr>
          <w:rStyle w:val="a5"/>
        </w:rPr>
        <w:footnoteRef/>
      </w:r>
      <w:r>
        <w:tab/>
      </w:r>
      <w:r w:rsidRPr="009924C1">
        <w:rPr>
          <w:rFonts w:ascii="宋体" w:hAnsi="宋体" w:cs="宋体" w:hint="eastAsia"/>
        </w:rPr>
        <w:t>同上</w:t>
      </w:r>
      <w:r>
        <w:rPr>
          <w:rFonts w:ascii="宋体" w:hAnsi="宋体" w:cs="宋体" w:hint="eastAsia"/>
        </w:rPr>
        <w:t>，</w:t>
      </w:r>
      <w:r w:rsidRPr="009924C1">
        <w:rPr>
          <w:rFonts w:ascii="宋体" w:hAnsi="宋体" w:cs="宋体" w:hint="eastAsia"/>
        </w:rPr>
        <w:t>《第</w:t>
      </w:r>
      <w:r>
        <w:rPr>
          <w:rFonts w:ascii="宋体" w:hAnsi="宋体" w:cs="宋体" w:hint="eastAsia"/>
        </w:rPr>
        <w:t>七</w:t>
      </w:r>
      <w:r w:rsidRPr="009924C1">
        <w:rPr>
          <w:rFonts w:ascii="宋体" w:hAnsi="宋体" w:cs="宋体" w:hint="eastAsia"/>
        </w:rPr>
        <w:t>十届会议</w:t>
      </w:r>
      <w:r>
        <w:rPr>
          <w:rFonts w:ascii="宋体" w:hAnsi="宋体" w:cs="宋体" w:hint="eastAsia"/>
        </w:rPr>
        <w:t>，</w:t>
      </w:r>
      <w:r w:rsidRPr="009924C1">
        <w:rPr>
          <w:rFonts w:ascii="宋体" w:hAnsi="宋体" w:cs="宋体" w:hint="eastAsia"/>
        </w:rPr>
        <w:t>补编第</w:t>
      </w:r>
      <w:r>
        <w:t>1</w:t>
      </w:r>
      <w:r w:rsidRPr="009924C1">
        <w:t>0</w:t>
      </w:r>
      <w:r w:rsidRPr="009924C1">
        <w:rPr>
          <w:rFonts w:ascii="宋体" w:hAnsi="宋体" w:cs="宋体" w:hint="eastAsia"/>
        </w:rPr>
        <w:t>号》</w:t>
      </w:r>
      <w:r>
        <w:t>(</w:t>
      </w:r>
      <w:hyperlink r:id="rId195" w:history="1">
        <w:r>
          <w:rPr>
            <w:rStyle w:val="af"/>
          </w:rPr>
          <w:t>A/70/1</w:t>
        </w:r>
        <w:r w:rsidRPr="00DD10AC">
          <w:rPr>
            <w:rStyle w:val="af"/>
          </w:rPr>
          <w:t>0</w:t>
        </w:r>
      </w:hyperlink>
      <w:r>
        <w:t>)</w:t>
      </w:r>
      <w:r>
        <w:rPr>
          <w:rFonts w:ascii="宋体" w:hAnsi="宋体" w:cs="宋体" w:hint="eastAsia"/>
        </w:rPr>
        <w:t>，</w:t>
      </w:r>
      <w:r w:rsidRPr="009924C1">
        <w:rPr>
          <w:rFonts w:ascii="宋体" w:hAnsi="宋体" w:cs="宋体" w:hint="eastAsia"/>
        </w:rPr>
        <w:t>第</w:t>
      </w:r>
      <w:r>
        <w:t>11</w:t>
      </w:r>
      <w:r>
        <w:rPr>
          <w:rFonts w:eastAsiaTheme="minorEastAsia" w:hint="eastAsia"/>
        </w:rPr>
        <w:t>5</w:t>
      </w:r>
      <w:r w:rsidRPr="009924C1">
        <w:rPr>
          <w:rFonts w:ascii="宋体" w:hAnsi="宋体" w:cs="宋体" w:hint="eastAsia"/>
        </w:rPr>
        <w:t>段。</w:t>
      </w:r>
    </w:p>
  </w:footnote>
  <w:footnote w:id="1049">
    <w:p w:rsidR="00AB00DE" w:rsidRPr="005D1F43" w:rsidRDefault="00AB00DE" w:rsidP="00CD5A8C">
      <w:pPr>
        <w:pStyle w:val="a4"/>
        <w:rPr>
          <w:rFonts w:eastAsiaTheme="minorEastAsia"/>
        </w:rPr>
      </w:pPr>
      <w:r w:rsidRPr="00C94447">
        <w:tab/>
      </w:r>
      <w:r w:rsidRPr="00193F6E">
        <w:rPr>
          <w:rStyle w:val="a5"/>
          <w:rFonts w:eastAsia="Cambria"/>
        </w:rPr>
        <w:footnoteRef/>
      </w:r>
      <w:r w:rsidRPr="00C94447">
        <w:tab/>
      </w:r>
      <w:r w:rsidRPr="005D1F43">
        <w:rPr>
          <w:rFonts w:ascii="宋体" w:hAnsi="宋体" w:cs="宋体" w:hint="eastAsia"/>
        </w:rPr>
        <w:t>见第</w:t>
      </w:r>
      <w:r>
        <w:t>32</w:t>
      </w:r>
      <w:r>
        <w:rPr>
          <w:rFonts w:eastAsiaTheme="minorEastAsia" w:hint="eastAsia"/>
        </w:rPr>
        <w:t>96</w:t>
      </w:r>
      <w:r w:rsidRPr="005D1F43">
        <w:rPr>
          <w:rFonts w:ascii="宋体" w:hAnsi="宋体" w:cs="宋体" w:hint="eastAsia"/>
        </w:rPr>
        <w:t>至第</w:t>
      </w:r>
      <w:r>
        <w:rPr>
          <w:rFonts w:eastAsiaTheme="minorEastAsia" w:hint="eastAsia"/>
        </w:rPr>
        <w:t>3301</w:t>
      </w:r>
      <w:r w:rsidRPr="005D1F43">
        <w:rPr>
          <w:rFonts w:ascii="宋体" w:hAnsi="宋体" w:cs="宋体" w:hint="eastAsia"/>
        </w:rPr>
        <w:t>次会议临时简要记录</w:t>
      </w:r>
      <w:r>
        <w:t>(</w:t>
      </w:r>
      <w:hyperlink r:id="rId196" w:history="1">
        <w:r>
          <w:rPr>
            <w:rStyle w:val="af"/>
          </w:rPr>
          <w:t>A/CN</w:t>
        </w:r>
        <w:r w:rsidRPr="00C94447">
          <w:rPr>
            <w:rStyle w:val="af"/>
          </w:rPr>
          <w:t>.</w:t>
        </w:r>
        <w:r>
          <w:rPr>
            <w:rStyle w:val="af"/>
          </w:rPr>
          <w:t>4/SR</w:t>
        </w:r>
        <w:r w:rsidRPr="00C94447">
          <w:rPr>
            <w:rStyle w:val="af"/>
          </w:rPr>
          <w:t>.</w:t>
        </w:r>
        <w:r>
          <w:rPr>
            <w:rStyle w:val="af"/>
          </w:rPr>
          <w:t>3296</w:t>
        </w:r>
      </w:hyperlink>
      <w:r>
        <w:rPr>
          <w:rFonts w:eastAsiaTheme="minorEastAsia" w:hint="eastAsia"/>
        </w:rPr>
        <w:t>、</w:t>
      </w:r>
      <w:hyperlink r:id="rId197" w:history="1">
        <w:r>
          <w:rPr>
            <w:rStyle w:val="af"/>
          </w:rPr>
          <w:t>A/CN</w:t>
        </w:r>
        <w:r w:rsidRPr="00C94447">
          <w:rPr>
            <w:rStyle w:val="af"/>
          </w:rPr>
          <w:t>.</w:t>
        </w:r>
        <w:r>
          <w:rPr>
            <w:rStyle w:val="af"/>
          </w:rPr>
          <w:t>4/SR</w:t>
        </w:r>
        <w:r w:rsidRPr="00C94447">
          <w:rPr>
            <w:rStyle w:val="af"/>
          </w:rPr>
          <w:t>.</w:t>
        </w:r>
        <w:r>
          <w:rPr>
            <w:rStyle w:val="af"/>
          </w:rPr>
          <w:t>3297</w:t>
        </w:r>
      </w:hyperlink>
      <w:r>
        <w:rPr>
          <w:rFonts w:eastAsiaTheme="minorEastAsia" w:hint="eastAsia"/>
        </w:rPr>
        <w:t>、</w:t>
      </w:r>
      <w:hyperlink r:id="rId198" w:history="1">
        <w:r>
          <w:rPr>
            <w:rStyle w:val="af"/>
          </w:rPr>
          <w:t>A/CN</w:t>
        </w:r>
        <w:r w:rsidRPr="00C94447">
          <w:rPr>
            <w:rStyle w:val="af"/>
          </w:rPr>
          <w:t>.</w:t>
        </w:r>
        <w:r>
          <w:rPr>
            <w:rStyle w:val="af"/>
          </w:rPr>
          <w:t>4/SR</w:t>
        </w:r>
        <w:r w:rsidRPr="00C94447">
          <w:rPr>
            <w:rStyle w:val="af"/>
          </w:rPr>
          <w:t>.</w:t>
        </w:r>
        <w:r>
          <w:rPr>
            <w:rStyle w:val="af"/>
            <w:rFonts w:hint="eastAsia"/>
          </w:rPr>
          <w:t xml:space="preserve"> </w:t>
        </w:r>
        <w:r>
          <w:rPr>
            <w:rStyle w:val="af"/>
          </w:rPr>
          <w:t>3298</w:t>
        </w:r>
      </w:hyperlink>
      <w:r>
        <w:rPr>
          <w:rFonts w:eastAsiaTheme="minorEastAsia" w:hint="eastAsia"/>
        </w:rPr>
        <w:t>、</w:t>
      </w:r>
      <w:hyperlink r:id="rId199" w:history="1">
        <w:r>
          <w:rPr>
            <w:rStyle w:val="af"/>
          </w:rPr>
          <w:t>A/CN</w:t>
        </w:r>
        <w:r w:rsidRPr="00C94447">
          <w:rPr>
            <w:rStyle w:val="af"/>
          </w:rPr>
          <w:t>.</w:t>
        </w:r>
        <w:r>
          <w:rPr>
            <w:rStyle w:val="af"/>
          </w:rPr>
          <w:t>4/SR</w:t>
        </w:r>
        <w:r w:rsidRPr="00C94447">
          <w:rPr>
            <w:rStyle w:val="af"/>
          </w:rPr>
          <w:t>.</w:t>
        </w:r>
        <w:r>
          <w:rPr>
            <w:rStyle w:val="af"/>
          </w:rPr>
          <w:t>3299</w:t>
        </w:r>
      </w:hyperlink>
      <w:r>
        <w:rPr>
          <w:rFonts w:eastAsiaTheme="minorEastAsia" w:hint="eastAsia"/>
        </w:rPr>
        <w:t>、</w:t>
      </w:r>
      <w:hyperlink r:id="rId200" w:history="1">
        <w:r>
          <w:rPr>
            <w:rStyle w:val="af"/>
          </w:rPr>
          <w:t>A/CN</w:t>
        </w:r>
        <w:r w:rsidRPr="00C94447">
          <w:rPr>
            <w:rStyle w:val="af"/>
          </w:rPr>
          <w:t>.</w:t>
        </w:r>
        <w:r>
          <w:rPr>
            <w:rStyle w:val="af"/>
          </w:rPr>
          <w:t>4/SR</w:t>
        </w:r>
        <w:r w:rsidRPr="00C94447">
          <w:rPr>
            <w:rStyle w:val="af"/>
          </w:rPr>
          <w:t>.</w:t>
        </w:r>
        <w:r>
          <w:rPr>
            <w:rStyle w:val="af"/>
          </w:rPr>
          <w:t>33</w:t>
        </w:r>
        <w:r w:rsidRPr="00C94447">
          <w:rPr>
            <w:rStyle w:val="af"/>
          </w:rPr>
          <w:t>00</w:t>
        </w:r>
      </w:hyperlink>
      <w:r>
        <w:rPr>
          <w:rFonts w:eastAsiaTheme="minorEastAsia" w:hint="eastAsia"/>
        </w:rPr>
        <w:t>和</w:t>
      </w:r>
      <w:hyperlink r:id="rId201" w:history="1">
        <w:r>
          <w:rPr>
            <w:rStyle w:val="af"/>
          </w:rPr>
          <w:t>A/CN</w:t>
        </w:r>
        <w:r w:rsidRPr="00C94447">
          <w:rPr>
            <w:rStyle w:val="af"/>
          </w:rPr>
          <w:t>.</w:t>
        </w:r>
        <w:r>
          <w:rPr>
            <w:rStyle w:val="af"/>
          </w:rPr>
          <w:t>4/SR</w:t>
        </w:r>
        <w:r w:rsidRPr="00C94447">
          <w:rPr>
            <w:rStyle w:val="af"/>
          </w:rPr>
          <w:t>.</w:t>
        </w:r>
        <w:r>
          <w:rPr>
            <w:rStyle w:val="af"/>
          </w:rPr>
          <w:t>33</w:t>
        </w:r>
        <w:r w:rsidRPr="00C94447">
          <w:rPr>
            <w:rStyle w:val="af"/>
          </w:rPr>
          <w:t>0</w:t>
        </w:r>
        <w:r>
          <w:rPr>
            <w:rStyle w:val="af"/>
          </w:rPr>
          <w:t>1</w:t>
        </w:r>
      </w:hyperlink>
      <w:r>
        <w:t>)</w:t>
      </w:r>
      <w:r>
        <w:rPr>
          <w:rFonts w:eastAsiaTheme="minorEastAsia" w:hint="eastAsia"/>
        </w:rPr>
        <w:t>。</w:t>
      </w:r>
    </w:p>
  </w:footnote>
  <w:footnote w:id="1050">
    <w:p w:rsidR="00AB00DE" w:rsidRPr="00273DD7" w:rsidRDefault="00AB00DE" w:rsidP="00CD5A8C">
      <w:pPr>
        <w:pStyle w:val="a4"/>
        <w:rPr>
          <w:rFonts w:eastAsiaTheme="minorEastAsia"/>
        </w:rPr>
      </w:pPr>
      <w:r>
        <w:tab/>
      </w:r>
      <w:r w:rsidRPr="00193F6E">
        <w:rPr>
          <w:rStyle w:val="a5"/>
          <w:rFonts w:eastAsia="Cambria"/>
        </w:rPr>
        <w:footnoteRef/>
      </w:r>
      <w:r w:rsidRPr="00C94447">
        <w:tab/>
      </w:r>
      <w:r w:rsidRPr="00273DD7">
        <w:rPr>
          <w:rFonts w:ascii="宋体" w:hAnsi="宋体" w:cs="宋体" w:hint="eastAsia"/>
        </w:rPr>
        <w:t>见关于危害人类罪的第二次报告</w:t>
      </w:r>
      <w:r>
        <w:t>(</w:t>
      </w:r>
      <w:hyperlink r:id="rId202" w:history="1">
        <w:r>
          <w:rPr>
            <w:rStyle w:val="af"/>
          </w:rPr>
          <w:t>A/CN</w:t>
        </w:r>
        <w:r w:rsidRPr="00C94447">
          <w:rPr>
            <w:rStyle w:val="af"/>
          </w:rPr>
          <w:t>.</w:t>
        </w:r>
        <w:r>
          <w:rPr>
            <w:rStyle w:val="af"/>
          </w:rPr>
          <w:t>4/69</w:t>
        </w:r>
        <w:r w:rsidRPr="00C94447">
          <w:rPr>
            <w:rStyle w:val="af"/>
          </w:rPr>
          <w:t>0</w:t>
        </w:r>
      </w:hyperlink>
      <w:r>
        <w:rPr>
          <w:rStyle w:val="af"/>
        </w:rPr>
        <w:t>)</w:t>
      </w:r>
      <w:r>
        <w:t>：</w:t>
      </w:r>
      <w:r>
        <w:rPr>
          <w:rFonts w:eastAsiaTheme="minorEastAsia" w:hint="eastAsia"/>
        </w:rPr>
        <w:t>第</w:t>
      </w:r>
      <w:r>
        <w:rPr>
          <w:rFonts w:eastAsiaTheme="minorEastAsia" w:hint="eastAsia"/>
        </w:rPr>
        <w:t>5</w:t>
      </w:r>
      <w:r>
        <w:rPr>
          <w:rFonts w:eastAsiaTheme="minorEastAsia" w:hint="eastAsia"/>
        </w:rPr>
        <w:t>条草案</w:t>
      </w:r>
      <w:r>
        <w:t>(</w:t>
      </w:r>
      <w:r>
        <w:rPr>
          <w:rFonts w:ascii="宋体" w:hAnsi="宋体" w:cs="宋体" w:hint="eastAsia"/>
          <w:bCs/>
          <w:iCs/>
        </w:rPr>
        <w:t>在国内法中定为</w:t>
      </w:r>
      <w:r w:rsidRPr="00273DD7">
        <w:rPr>
          <w:rFonts w:ascii="宋体" w:hAnsi="宋体" w:cs="宋体" w:hint="eastAsia"/>
          <w:bCs/>
          <w:iCs/>
        </w:rPr>
        <w:t>刑事</w:t>
      </w:r>
      <w:r>
        <w:rPr>
          <w:rFonts w:ascii="宋体" w:hAnsi="宋体" w:cs="宋体" w:hint="eastAsia"/>
          <w:bCs/>
          <w:iCs/>
        </w:rPr>
        <w:t>犯罪</w:t>
      </w:r>
      <w:r>
        <w:t>)</w:t>
      </w:r>
      <w:r>
        <w:t>；</w:t>
      </w:r>
      <w:r w:rsidRPr="00273DD7">
        <w:rPr>
          <w:rFonts w:ascii="宋体" w:hAnsi="宋体" w:cs="宋体" w:hint="eastAsia"/>
        </w:rPr>
        <w:t>第</w:t>
      </w:r>
      <w:r>
        <w:rPr>
          <w:rFonts w:eastAsiaTheme="minorEastAsia" w:hint="eastAsia"/>
        </w:rPr>
        <w:t>6</w:t>
      </w:r>
      <w:r w:rsidRPr="00273DD7">
        <w:rPr>
          <w:rFonts w:ascii="宋体" w:hAnsi="宋体" w:cs="宋体" w:hint="eastAsia"/>
        </w:rPr>
        <w:t>条草案</w:t>
      </w:r>
      <w:r>
        <w:t>(</w:t>
      </w:r>
      <w:r w:rsidRPr="00273DD7">
        <w:rPr>
          <w:rFonts w:ascii="宋体" w:hAnsi="宋体" w:cs="宋体" w:hint="eastAsia"/>
        </w:rPr>
        <w:t>国家管辖权</w:t>
      </w:r>
      <w:r>
        <w:rPr>
          <w:rFonts w:ascii="宋体" w:hAnsi="宋体" w:cs="宋体" w:hint="eastAsia"/>
        </w:rPr>
        <w:t>的确定</w:t>
      </w:r>
      <w:r>
        <w:t>)</w:t>
      </w:r>
      <w:r>
        <w:t>；</w:t>
      </w:r>
      <w:r w:rsidRPr="00273DD7">
        <w:rPr>
          <w:rFonts w:ascii="宋体" w:hAnsi="宋体" w:cs="宋体" w:hint="eastAsia"/>
        </w:rPr>
        <w:t>第</w:t>
      </w:r>
      <w:r>
        <w:rPr>
          <w:rFonts w:eastAsiaTheme="minorEastAsia" w:hint="eastAsia"/>
        </w:rPr>
        <w:t>7</w:t>
      </w:r>
      <w:r w:rsidRPr="00273DD7">
        <w:rPr>
          <w:rFonts w:ascii="宋体" w:hAnsi="宋体" w:cs="宋体" w:hint="eastAsia"/>
        </w:rPr>
        <w:t>条草案</w:t>
      </w:r>
      <w:r>
        <w:t>(</w:t>
      </w:r>
      <w:r w:rsidRPr="00273DD7">
        <w:rPr>
          <w:rFonts w:ascii="宋体" w:hAnsi="宋体" w:cs="宋体" w:hint="eastAsia"/>
        </w:rPr>
        <w:t>开展一般性调查与合作以查明被指控罪犯</w:t>
      </w:r>
      <w:r>
        <w:t>)</w:t>
      </w:r>
      <w:r>
        <w:t>；</w:t>
      </w:r>
      <w:r w:rsidRPr="00273DD7">
        <w:rPr>
          <w:rFonts w:ascii="宋体" w:hAnsi="宋体" w:cs="宋体" w:hint="eastAsia"/>
        </w:rPr>
        <w:t>第</w:t>
      </w:r>
      <w:r>
        <w:rPr>
          <w:rFonts w:eastAsiaTheme="minorEastAsia" w:hint="eastAsia"/>
        </w:rPr>
        <w:t>8</w:t>
      </w:r>
      <w:r w:rsidRPr="00273DD7">
        <w:rPr>
          <w:rFonts w:ascii="宋体" w:hAnsi="宋体" w:cs="宋体" w:hint="eastAsia"/>
        </w:rPr>
        <w:t>条草案</w:t>
      </w:r>
      <w:r>
        <w:t>(</w:t>
      </w:r>
      <w:r w:rsidRPr="00273DD7">
        <w:rPr>
          <w:rFonts w:ascii="宋体" w:hAnsi="宋体" w:cs="宋体" w:hint="eastAsia"/>
          <w:bCs/>
          <w:iCs/>
        </w:rPr>
        <w:t>被指控罪犯所在地行使国家管辖权</w:t>
      </w:r>
      <w:r>
        <w:rPr>
          <w:bCs/>
          <w:iCs/>
        </w:rPr>
        <w:t>)</w:t>
      </w:r>
      <w:r>
        <w:rPr>
          <w:bCs/>
          <w:iCs/>
        </w:rPr>
        <w:t>；</w:t>
      </w:r>
      <w:r w:rsidRPr="00273DD7">
        <w:rPr>
          <w:rFonts w:ascii="宋体" w:hAnsi="宋体" w:cs="宋体" w:hint="eastAsia"/>
          <w:bCs/>
          <w:iCs/>
        </w:rPr>
        <w:t>第</w:t>
      </w:r>
      <w:r>
        <w:rPr>
          <w:rFonts w:eastAsiaTheme="minorEastAsia" w:hint="eastAsia"/>
          <w:bCs/>
          <w:iCs/>
        </w:rPr>
        <w:t>9</w:t>
      </w:r>
      <w:r w:rsidRPr="00273DD7">
        <w:rPr>
          <w:rFonts w:ascii="宋体" w:hAnsi="宋体" w:cs="宋体" w:hint="eastAsia"/>
          <w:bCs/>
          <w:iCs/>
        </w:rPr>
        <w:t>条草案</w:t>
      </w:r>
      <w:r>
        <w:rPr>
          <w:bCs/>
          <w:iCs/>
        </w:rPr>
        <w:t>(</w:t>
      </w:r>
      <w:r w:rsidRPr="005D1F43">
        <w:rPr>
          <w:rFonts w:ascii="宋体" w:hAnsi="宋体" w:cs="宋体" w:hint="eastAsia"/>
          <w:bCs/>
        </w:rPr>
        <w:t>引渡或审判</w:t>
      </w:r>
      <w:r>
        <w:rPr>
          <w:bCs/>
          <w:iCs/>
        </w:rPr>
        <w:t>)</w:t>
      </w:r>
      <w:r>
        <w:rPr>
          <w:bCs/>
          <w:iCs/>
        </w:rPr>
        <w:t>；</w:t>
      </w:r>
      <w:r w:rsidRPr="00273DD7">
        <w:rPr>
          <w:rFonts w:ascii="宋体" w:hAnsi="宋体" w:cs="宋体" w:hint="eastAsia"/>
          <w:bCs/>
          <w:iCs/>
        </w:rPr>
        <w:t>第</w:t>
      </w:r>
      <w:r>
        <w:rPr>
          <w:rFonts w:eastAsiaTheme="minorEastAsia" w:hint="eastAsia"/>
          <w:bCs/>
          <w:iCs/>
        </w:rPr>
        <w:t>10</w:t>
      </w:r>
      <w:r w:rsidRPr="00273DD7">
        <w:rPr>
          <w:rFonts w:ascii="宋体" w:hAnsi="宋体" w:cs="宋体" w:hint="eastAsia"/>
          <w:bCs/>
          <w:iCs/>
        </w:rPr>
        <w:t>条草案</w:t>
      </w:r>
      <w:r>
        <w:rPr>
          <w:bCs/>
          <w:iCs/>
        </w:rPr>
        <w:t>(</w:t>
      </w:r>
      <w:r w:rsidRPr="00273DD7">
        <w:rPr>
          <w:rFonts w:ascii="宋体" w:hAnsi="宋体" w:cs="宋体" w:hint="eastAsia"/>
          <w:bCs/>
          <w:iCs/>
        </w:rPr>
        <w:t>公平对待被指控罪犯</w:t>
      </w:r>
      <w:r>
        <w:t>)</w:t>
      </w:r>
      <w:r>
        <w:rPr>
          <w:rFonts w:eastAsiaTheme="minorEastAsia" w:hint="eastAsia"/>
        </w:rPr>
        <w:t>。</w:t>
      </w:r>
    </w:p>
  </w:footnote>
  <w:footnote w:id="1051">
    <w:p w:rsidR="00AB00DE" w:rsidRPr="00291C62" w:rsidRDefault="00AB00DE" w:rsidP="00CD5A8C">
      <w:pPr>
        <w:pStyle w:val="a4"/>
      </w:pPr>
      <w:r>
        <w:tab/>
      </w:r>
      <w:r w:rsidRPr="00193F6E">
        <w:rPr>
          <w:rStyle w:val="a5"/>
        </w:rPr>
        <w:footnoteRef/>
      </w:r>
      <w:r>
        <w:tab/>
      </w:r>
      <w:r w:rsidRPr="00C36785">
        <w:rPr>
          <w:rFonts w:ascii="宋体" w:hAnsi="宋体" w:cs="宋体" w:hint="eastAsia"/>
        </w:rPr>
        <w:t>本款的位置将在以后讨论。</w:t>
      </w:r>
    </w:p>
  </w:footnote>
  <w:footnote w:id="1052">
    <w:p w:rsidR="00AB00DE" w:rsidRPr="00C60D57" w:rsidRDefault="00AB00DE" w:rsidP="00CD5A8C">
      <w:pPr>
        <w:pStyle w:val="a4"/>
        <w:tabs>
          <w:tab w:val="right" w:pos="0"/>
        </w:tabs>
      </w:pPr>
      <w:r w:rsidRPr="00C60D57">
        <w:tab/>
      </w:r>
      <w:r w:rsidRPr="00193F6E">
        <w:rPr>
          <w:rStyle w:val="a5"/>
          <w:szCs w:val="21"/>
        </w:rPr>
        <w:footnoteRef/>
      </w:r>
      <w:r w:rsidRPr="00C60D57">
        <w:tab/>
      </w:r>
      <w:r>
        <w:t>194</w:t>
      </w:r>
      <w:r>
        <w:rPr>
          <w:rFonts w:hint="eastAsia"/>
        </w:rPr>
        <w:t>6</w:t>
      </w:r>
      <w:r w:rsidRPr="00C60D57">
        <w:t>年</w:t>
      </w:r>
      <w:r w:rsidRPr="00C60D57">
        <w:t>9</w:t>
      </w:r>
      <w:r w:rsidRPr="00C60D57">
        <w:t>月</w:t>
      </w:r>
      <w:r w:rsidRPr="00C60D57">
        <w:t>30</w:t>
      </w:r>
      <w:r w:rsidRPr="00C60D57">
        <w:t>日判决，载于《国际军事法庭对主要战争罪犯的审判》</w:t>
      </w:r>
      <w:r>
        <w:t>(</w:t>
      </w:r>
      <w:r w:rsidRPr="00C60D57">
        <w:t>1945</w:t>
      </w:r>
      <w:r w:rsidRPr="00C60D57">
        <w:t>年</w:t>
      </w:r>
      <w:r w:rsidRPr="00C60D57">
        <w:t>11</w:t>
      </w:r>
      <w:r w:rsidRPr="00C60D57">
        <w:t>月</w:t>
      </w:r>
      <w:r w:rsidRPr="00C60D57">
        <w:t>14</w:t>
      </w:r>
      <w:r w:rsidRPr="00C60D57">
        <w:t>日至</w:t>
      </w:r>
      <w:r w:rsidRPr="00C60D57">
        <w:t>19</w:t>
      </w:r>
      <w:r>
        <w:t>4</w:t>
      </w:r>
      <w:r>
        <w:rPr>
          <w:rFonts w:hint="eastAsia"/>
        </w:rPr>
        <w:t>6</w:t>
      </w:r>
      <w:r w:rsidRPr="00C60D57">
        <w:t>年</w:t>
      </w:r>
      <w:r w:rsidRPr="00C60D57">
        <w:t>10</w:t>
      </w:r>
      <w:r w:rsidRPr="00C60D57">
        <w:t>月</w:t>
      </w:r>
      <w:r w:rsidRPr="00C60D57">
        <w:t>1</w:t>
      </w:r>
      <w:r w:rsidRPr="00C60D57">
        <w:t>日，纽伦堡</w:t>
      </w:r>
      <w:r>
        <w:t>)</w:t>
      </w:r>
      <w:r w:rsidRPr="00C60D57">
        <w:t>，第</w:t>
      </w:r>
      <w:r w:rsidRPr="00C60D57">
        <w:t>22</w:t>
      </w:r>
      <w:r w:rsidRPr="00C60D57">
        <w:t>卷</w:t>
      </w:r>
      <w:r>
        <w:t>(</w:t>
      </w:r>
      <w:r w:rsidRPr="00C60D57">
        <w:t>1948</w:t>
      </w:r>
      <w:r w:rsidRPr="00C60D57">
        <w:t>年</w:t>
      </w:r>
      <w:r>
        <w:t>)</w:t>
      </w:r>
      <w:r w:rsidRPr="00C60D57">
        <w:t>，第</w:t>
      </w:r>
      <w:r w:rsidRPr="00C60D57">
        <w:t>466</w:t>
      </w:r>
      <w:r w:rsidRPr="00C60D57">
        <w:t>页。</w:t>
      </w:r>
    </w:p>
  </w:footnote>
  <w:footnote w:id="1053">
    <w:p w:rsidR="00AB00DE" w:rsidRPr="00C60D57" w:rsidRDefault="00AB00DE" w:rsidP="00CD5A8C">
      <w:pPr>
        <w:pStyle w:val="a4"/>
      </w:pPr>
      <w:r w:rsidRPr="00C60D57">
        <w:tab/>
      </w:r>
      <w:r w:rsidRPr="00193F6E">
        <w:rPr>
          <w:rStyle w:val="a5"/>
          <w:szCs w:val="21"/>
        </w:rPr>
        <w:footnoteRef/>
      </w:r>
      <w:r w:rsidRPr="00C60D57">
        <w:tab/>
      </w:r>
      <w:r w:rsidRPr="00C60D57">
        <w:t>《</w:t>
      </w:r>
      <w:r w:rsidRPr="00C60D57">
        <w:t>1950</w:t>
      </w:r>
      <w:r w:rsidRPr="00C60D57">
        <w:t>年</w:t>
      </w:r>
      <w:r w:rsidRPr="002E28D0">
        <w:rPr>
          <w:rFonts w:cs="Arial Unicode MS" w:hint="eastAsia"/>
          <w:u w:color="000000"/>
          <w:bdr w:val="nil"/>
          <w:lang w:val="en-GB"/>
        </w:rPr>
        <w:t>……</w:t>
      </w:r>
      <w:r w:rsidRPr="00C60D57">
        <w:t>年鉴》，第二卷，</w:t>
      </w:r>
      <w:r w:rsidRPr="00C60D57">
        <w:t>A/131</w:t>
      </w:r>
      <w:r>
        <w:t>6</w:t>
      </w:r>
      <w:r>
        <w:rPr>
          <w:rFonts w:eastAsiaTheme="minorEastAsia" w:hint="eastAsia"/>
        </w:rPr>
        <w:t>号</w:t>
      </w:r>
      <w:r w:rsidRPr="00C60D57">
        <w:t>文件</w:t>
      </w:r>
      <w:r>
        <w:rPr>
          <w:rFonts w:eastAsiaTheme="minorEastAsia" w:hint="eastAsia"/>
        </w:rPr>
        <w:t>，</w:t>
      </w:r>
      <w:r w:rsidRPr="00C60D57">
        <w:t>第三部分，第</w:t>
      </w:r>
      <w:r w:rsidRPr="00C60D57">
        <w:t>374</w:t>
      </w:r>
      <w:r w:rsidRPr="00C60D57">
        <w:t>页</w:t>
      </w:r>
      <w:r>
        <w:t>，</w:t>
      </w:r>
      <w:r w:rsidRPr="00C60D57">
        <w:t>第</w:t>
      </w:r>
      <w:r w:rsidRPr="00C60D57">
        <w:t>97</w:t>
      </w:r>
      <w:r w:rsidRPr="00C60D57">
        <w:t>段</w:t>
      </w:r>
      <w:r>
        <w:t>(</w:t>
      </w:r>
      <w:r w:rsidRPr="00C60D57">
        <w:t>原则</w:t>
      </w:r>
      <w:r w:rsidRPr="00C60D57">
        <w:t>1</w:t>
      </w:r>
      <w:r>
        <w:t>)</w:t>
      </w:r>
      <w:r w:rsidRPr="00C60D57">
        <w:t>。</w:t>
      </w:r>
    </w:p>
  </w:footnote>
  <w:footnote w:id="1054">
    <w:p w:rsidR="00AB00DE" w:rsidRPr="00C60D57" w:rsidRDefault="00AB00DE" w:rsidP="00CD5A8C">
      <w:pPr>
        <w:pStyle w:val="a4"/>
      </w:pPr>
      <w:r w:rsidRPr="00C60D57">
        <w:tab/>
      </w:r>
      <w:r w:rsidRPr="00193F6E">
        <w:rPr>
          <w:rStyle w:val="a5"/>
          <w:szCs w:val="21"/>
        </w:rPr>
        <w:footnoteRef/>
      </w:r>
      <w:r w:rsidRPr="00C60D57">
        <w:tab/>
      </w:r>
      <w:r w:rsidRPr="00C60D57">
        <w:t>《战争罪及危害人类罪不适用法定时效公约》</w:t>
      </w:r>
      <w:r>
        <w:t>(19</w:t>
      </w:r>
      <w:r>
        <w:rPr>
          <w:rFonts w:hint="eastAsia"/>
        </w:rPr>
        <w:t>6</w:t>
      </w:r>
      <w:r w:rsidRPr="00C60D57">
        <w:t>8</w:t>
      </w:r>
      <w:r w:rsidRPr="00C60D57">
        <w:t>年</w:t>
      </w:r>
      <w:r w:rsidRPr="00C60D57">
        <w:t>11</w:t>
      </w:r>
      <w:r w:rsidRPr="00C60D57">
        <w:t>月</w:t>
      </w:r>
      <w:r w:rsidRPr="00C60D57">
        <w:t>26</w:t>
      </w:r>
      <w:r w:rsidRPr="00C60D57">
        <w:t>日，纽约</w:t>
      </w:r>
      <w:r>
        <w:t>)</w:t>
      </w:r>
      <w:r w:rsidRPr="00C60D57">
        <w:t>，联合国，《条约汇编》</w:t>
      </w:r>
      <w:r>
        <w:rPr>
          <w:rFonts w:eastAsiaTheme="minorEastAsia" w:hint="eastAsia"/>
        </w:rPr>
        <w:t>，</w:t>
      </w:r>
      <w:r w:rsidRPr="00C60D57">
        <w:t>第</w:t>
      </w:r>
      <w:r w:rsidRPr="00C60D57">
        <w:t>754</w:t>
      </w:r>
      <w:r w:rsidRPr="00C60D57">
        <w:t>卷，第</w:t>
      </w:r>
      <w:r w:rsidRPr="00C60D57">
        <w:t>10823</w:t>
      </w:r>
      <w:r w:rsidRPr="00C60D57">
        <w:t>号，第</w:t>
      </w:r>
      <w:r w:rsidRPr="00C60D57">
        <w:t>73</w:t>
      </w:r>
      <w:r w:rsidRPr="00C60D57">
        <w:t>页。截至</w:t>
      </w:r>
      <w:r w:rsidRPr="00C60D57">
        <w:t>2016</w:t>
      </w:r>
      <w:r w:rsidRPr="00C60D57">
        <w:t>年</w:t>
      </w:r>
      <w:r>
        <w:rPr>
          <w:rFonts w:eastAsiaTheme="minorEastAsia" w:hint="eastAsia"/>
        </w:rPr>
        <w:t>8</w:t>
      </w:r>
      <w:r>
        <w:t>月，这项公约</w:t>
      </w:r>
      <w:r w:rsidRPr="00C60D57">
        <w:t>有</w:t>
      </w:r>
      <w:r w:rsidRPr="00C60D57">
        <w:t>55</w:t>
      </w:r>
      <w:r w:rsidRPr="00C60D57">
        <w:t>个缔约方。</w:t>
      </w:r>
    </w:p>
  </w:footnote>
  <w:footnote w:id="1055">
    <w:p w:rsidR="00AB00DE" w:rsidRPr="00C60D57" w:rsidRDefault="00AB00DE" w:rsidP="00CD5A8C">
      <w:pPr>
        <w:pStyle w:val="a4"/>
      </w:pPr>
      <w:r w:rsidRPr="00C60D57">
        <w:tab/>
      </w:r>
      <w:r w:rsidRPr="00193F6E">
        <w:rPr>
          <w:rStyle w:val="a5"/>
          <w:szCs w:val="21"/>
        </w:rPr>
        <w:footnoteRef/>
      </w:r>
      <w:r w:rsidRPr="00C60D57">
        <w:tab/>
      </w:r>
      <w:r w:rsidRPr="00C60D57">
        <w:t>《国际刑事法院罗马规约》</w:t>
      </w:r>
      <w:r>
        <w:t>(</w:t>
      </w:r>
      <w:r w:rsidRPr="00C60D57">
        <w:t>1998</w:t>
      </w:r>
      <w:r w:rsidRPr="00C60D57">
        <w:t>年</w:t>
      </w:r>
      <w:r w:rsidRPr="00C60D57">
        <w:t>7</w:t>
      </w:r>
      <w:r w:rsidRPr="00C60D57">
        <w:t>月</w:t>
      </w:r>
      <w:r w:rsidRPr="00C60D57">
        <w:t>17</w:t>
      </w:r>
      <w:r w:rsidRPr="00C60D57">
        <w:t>日，罗马</w:t>
      </w:r>
      <w:r>
        <w:t>)</w:t>
      </w:r>
      <w:r w:rsidRPr="00C60D57">
        <w:t>，联合国</w:t>
      </w:r>
      <w:r>
        <w:rPr>
          <w:rFonts w:eastAsiaTheme="minorEastAsia" w:hint="eastAsia"/>
        </w:rPr>
        <w:t>，</w:t>
      </w:r>
      <w:r w:rsidRPr="00C60D57">
        <w:t>《条约汇编》，第</w:t>
      </w:r>
      <w:r w:rsidRPr="00C60D57">
        <w:t>2187</w:t>
      </w:r>
      <w:r w:rsidRPr="00C60D57">
        <w:t>卷，第</w:t>
      </w:r>
      <w:r w:rsidRPr="00C60D57">
        <w:t>38544</w:t>
      </w:r>
      <w:r w:rsidRPr="00C60D57">
        <w:t>号，第</w:t>
      </w:r>
      <w:r w:rsidRPr="00C60D57">
        <w:t>3</w:t>
      </w:r>
      <w:r w:rsidRPr="00C60D57">
        <w:t>页。</w:t>
      </w:r>
    </w:p>
  </w:footnote>
  <w:footnote w:id="1056">
    <w:p w:rsidR="00AB00DE" w:rsidRPr="00C60D57" w:rsidRDefault="00AB00DE" w:rsidP="00CD5A8C">
      <w:pPr>
        <w:pStyle w:val="a4"/>
      </w:pPr>
      <w:r w:rsidRPr="00C60D57">
        <w:tab/>
      </w:r>
      <w:r w:rsidRPr="00193F6E">
        <w:rPr>
          <w:rStyle w:val="a5"/>
          <w:szCs w:val="21"/>
        </w:rPr>
        <w:footnoteRef/>
      </w:r>
      <w:r w:rsidRPr="00C60D57">
        <w:tab/>
      </w:r>
      <w:r w:rsidRPr="00C60D57">
        <w:t>见关于科特迪瓦对</w:t>
      </w:r>
      <w:r w:rsidRPr="00C60D57">
        <w:t>2014</w:t>
      </w:r>
      <w:r w:rsidRPr="00C60D57">
        <w:t>年</w:t>
      </w:r>
      <w:r w:rsidRPr="00C60D57">
        <w:t>12</w:t>
      </w:r>
      <w:r w:rsidRPr="00C60D57">
        <w:t>月</w:t>
      </w:r>
      <w:r w:rsidRPr="00C60D57">
        <w:t>11</w:t>
      </w:r>
      <w:r w:rsidRPr="00C60D57">
        <w:t>日第一预审庭题为</w:t>
      </w:r>
      <w:r>
        <w:rPr>
          <w:rFonts w:hint="eastAsia"/>
        </w:rPr>
        <w:t>“</w:t>
      </w:r>
      <w:r w:rsidRPr="00C60D57">
        <w:t>关于科特迪瓦质疑西蒙</w:t>
      </w:r>
      <w:r>
        <w:rPr>
          <w:rFonts w:hint="eastAsia"/>
        </w:rPr>
        <w:t>·</w:t>
      </w:r>
      <w:r w:rsidRPr="00C60D57">
        <w:t>巴博案件可受理性的裁定</w:t>
      </w:r>
      <w:r>
        <w:rPr>
          <w:rFonts w:hint="eastAsia"/>
        </w:rPr>
        <w:t>”</w:t>
      </w:r>
      <w:r w:rsidRPr="00C60D57">
        <w:t>提起上诉的裁决，上诉庭，第</w:t>
      </w:r>
      <w:r>
        <w:t>ICC-02/11-01/12 OA</w:t>
      </w:r>
      <w:r w:rsidRPr="00C60D57">
        <w:t>号</w:t>
      </w:r>
      <w:r>
        <w:t>(</w:t>
      </w:r>
      <w:r w:rsidRPr="00C60D57">
        <w:t>2015</w:t>
      </w:r>
      <w:r w:rsidRPr="00C60D57">
        <w:t>年</w:t>
      </w:r>
      <w:r w:rsidRPr="00C60D57">
        <w:t>5</w:t>
      </w:r>
      <w:r w:rsidRPr="00C60D57">
        <w:t>月</w:t>
      </w:r>
      <w:r w:rsidRPr="00C60D57">
        <w:t>27</w:t>
      </w:r>
      <w:r w:rsidRPr="00C60D57">
        <w:t>日</w:t>
      </w:r>
      <w:r>
        <w:t>) (</w:t>
      </w:r>
      <w:r w:rsidRPr="00C60D57">
        <w:t>其中认定，国家起诉扰乱和平、组织武装团伙和破坏国家安全等国内普通罪行不是基于和本案行为大体相同的行为，即所指称的谋杀、强奸、其他不人道行为和迫害等危害人类罪。可查阅</w:t>
      </w:r>
      <w:hyperlink r:id="rId203" w:history="1">
        <w:r w:rsidRPr="004558F8">
          <w:rPr>
            <w:rStyle w:val="af"/>
          </w:rPr>
          <w:t>www.icc-cpi.int/CourtRecords/CR2015_06088.PDF</w:t>
        </w:r>
      </w:hyperlink>
      <w:r w:rsidRPr="00C60D57">
        <w:t xml:space="preserve"> </w:t>
      </w:r>
      <w:r>
        <w:t>(201</w:t>
      </w:r>
      <w:r>
        <w:rPr>
          <w:rFonts w:eastAsiaTheme="minorEastAsia" w:hint="eastAsia"/>
        </w:rPr>
        <w:t>6</w:t>
      </w:r>
      <w:r w:rsidRPr="00C60D57">
        <w:t>年</w:t>
      </w:r>
      <w:r w:rsidRPr="00C60D57">
        <w:t>6</w:t>
      </w:r>
      <w:r w:rsidRPr="00C60D57">
        <w:t>月</w:t>
      </w:r>
      <w:r w:rsidRPr="00C60D57">
        <w:t>22</w:t>
      </w:r>
      <w:r w:rsidRPr="00C60D57">
        <w:t>日检索</w:t>
      </w:r>
      <w:r>
        <w:t>)</w:t>
      </w:r>
      <w:r w:rsidRPr="00C60D57">
        <w:t>。</w:t>
      </w:r>
    </w:p>
  </w:footnote>
  <w:footnote w:id="1057">
    <w:p w:rsidR="00AB00DE" w:rsidRPr="00C60D57" w:rsidRDefault="00AB00DE" w:rsidP="00CD5A8C">
      <w:pPr>
        <w:pStyle w:val="a4"/>
      </w:pPr>
      <w:r w:rsidRPr="00C60D57">
        <w:tab/>
      </w:r>
      <w:r w:rsidRPr="00193F6E">
        <w:rPr>
          <w:rStyle w:val="a5"/>
          <w:szCs w:val="21"/>
        </w:rPr>
        <w:footnoteRef/>
      </w:r>
      <w:r w:rsidRPr="00C60D57">
        <w:tab/>
      </w:r>
      <w:r w:rsidRPr="00C60D57">
        <w:t>《禁止酷刑和其他残忍、不人道或有辱人格的待遇或处罚公约》</w:t>
      </w:r>
      <w:r>
        <w:t>(</w:t>
      </w:r>
      <w:r w:rsidRPr="00C60D57">
        <w:t>1984</w:t>
      </w:r>
      <w:r w:rsidRPr="00C60D57">
        <w:t>年</w:t>
      </w:r>
      <w:r w:rsidRPr="00C60D57">
        <w:t>12</w:t>
      </w:r>
      <w:r w:rsidRPr="00C60D57">
        <w:t>月</w:t>
      </w:r>
      <w:r w:rsidRPr="00C60D57">
        <w:t>10</w:t>
      </w:r>
      <w:r w:rsidRPr="00C60D57">
        <w:t>日，纽约</w:t>
      </w:r>
      <w:r>
        <w:t>)</w:t>
      </w:r>
      <w:r>
        <w:rPr>
          <w:rFonts w:eastAsiaTheme="minorEastAsia" w:hint="eastAsia"/>
        </w:rPr>
        <w:t>，</w:t>
      </w:r>
      <w:r>
        <w:t>联合国</w:t>
      </w:r>
      <w:r>
        <w:rPr>
          <w:rFonts w:eastAsiaTheme="minorEastAsia" w:hint="eastAsia"/>
        </w:rPr>
        <w:t>，</w:t>
      </w:r>
      <w:r w:rsidRPr="00C60D57">
        <w:t>《条约汇编》第</w:t>
      </w:r>
      <w:r w:rsidRPr="00C60D57">
        <w:t>1465</w:t>
      </w:r>
      <w:r w:rsidRPr="00C60D57">
        <w:t>卷，第</w:t>
      </w:r>
      <w:r w:rsidRPr="00C60D57">
        <w:t>24841</w:t>
      </w:r>
      <w:r w:rsidRPr="00C60D57">
        <w:t>号，第</w:t>
      </w:r>
      <w:r w:rsidRPr="00C60D57">
        <w:t>85</w:t>
      </w:r>
      <w:r w:rsidRPr="00C60D57">
        <w:t>页</w:t>
      </w:r>
      <w:r>
        <w:t>(</w:t>
      </w:r>
      <w:r w:rsidRPr="00C60D57">
        <w:t>下称《禁止酷刑公约》</w:t>
      </w:r>
      <w:r>
        <w:t>)</w:t>
      </w:r>
      <w:r w:rsidRPr="00C60D57">
        <w:t>。</w:t>
      </w:r>
    </w:p>
  </w:footnote>
  <w:footnote w:id="1058">
    <w:p w:rsidR="00AB00DE" w:rsidRPr="00C60D57" w:rsidRDefault="00AB00DE" w:rsidP="00CD5A8C">
      <w:pPr>
        <w:pStyle w:val="a4"/>
      </w:pPr>
      <w:r w:rsidRPr="00C60D57">
        <w:tab/>
      </w:r>
      <w:r w:rsidRPr="00193F6E">
        <w:rPr>
          <w:rStyle w:val="a5"/>
          <w:szCs w:val="21"/>
        </w:rPr>
        <w:footnoteRef/>
      </w:r>
      <w:r w:rsidRPr="00C60D57">
        <w:tab/>
      </w:r>
      <w:r w:rsidRPr="00C60D57">
        <w:t>见禁止酷刑委员会《第</w:t>
      </w:r>
      <w:r w:rsidRPr="00C60D57">
        <w:t>2</w:t>
      </w:r>
      <w:r w:rsidRPr="00C60D57">
        <w:t>号一般性意见》</w:t>
      </w:r>
      <w:r>
        <w:t>(</w:t>
      </w:r>
      <w:r w:rsidRPr="00C60D57">
        <w:t>2007</w:t>
      </w:r>
      <w:r w:rsidRPr="00C60D57">
        <w:t>年</w:t>
      </w:r>
      <w:r>
        <w:t>)</w:t>
      </w:r>
      <w:r w:rsidRPr="00C60D57">
        <w:t>，第</w:t>
      </w:r>
      <w:r w:rsidRPr="00C60D57">
        <w:t>9</w:t>
      </w:r>
      <w:r>
        <w:t>段</w:t>
      </w:r>
      <w:r>
        <w:rPr>
          <w:rFonts w:eastAsiaTheme="minorEastAsia" w:hint="eastAsia"/>
        </w:rPr>
        <w:t>，</w:t>
      </w:r>
      <w:r w:rsidRPr="00C60D57">
        <w:t>《大会正式记录，第六十三届会议，补编第</w:t>
      </w:r>
      <w:r w:rsidRPr="00C60D57">
        <w:t>44</w:t>
      </w:r>
      <w:r w:rsidRPr="00C60D57">
        <w:t>号》</w:t>
      </w:r>
      <w:r>
        <w:t>(</w:t>
      </w:r>
      <w:r w:rsidRPr="00C60D57">
        <w:t>A/63/44</w:t>
      </w:r>
      <w:r>
        <w:t>)</w:t>
      </w:r>
      <w:r w:rsidRPr="00C60D57">
        <w:t>，附件六；又见禁止酷刑委员会，同上，</w:t>
      </w:r>
      <w:r>
        <w:rPr>
          <w:rFonts w:eastAsiaTheme="minorEastAsia" w:hint="eastAsia"/>
        </w:rPr>
        <w:t>《</w:t>
      </w:r>
      <w:r w:rsidRPr="00C60D57">
        <w:t>第五十八届会议，补编第</w:t>
      </w:r>
      <w:r w:rsidRPr="00C60D57">
        <w:t>44</w:t>
      </w:r>
      <w:r w:rsidRPr="00C60D57">
        <w:t>号</w:t>
      </w:r>
      <w:r>
        <w:rPr>
          <w:rFonts w:eastAsiaTheme="minorEastAsia" w:hint="eastAsia"/>
        </w:rPr>
        <w:t>》</w:t>
      </w:r>
      <w:r>
        <w:t>(</w:t>
      </w:r>
      <w:r w:rsidRPr="00C60D57">
        <w:t>A/58/44</w:t>
      </w:r>
      <w:r>
        <w:t>)</w:t>
      </w:r>
      <w:r>
        <w:t>，</w:t>
      </w:r>
      <w:r w:rsidRPr="00C60D57">
        <w:t>第三章，审议缔约国在《公约》第</w:t>
      </w:r>
      <w:r w:rsidRPr="00C60D57">
        <w:t>19</w:t>
      </w:r>
      <w:r w:rsidRPr="00C60D57">
        <w:t>条下提交的报告，斯洛文尼亚，第</w:t>
      </w:r>
      <w:r>
        <w:t>115(</w:t>
      </w:r>
      <w:r w:rsidRPr="00C60D57">
        <w:t>a</w:t>
      </w:r>
      <w:r>
        <w:t>)</w:t>
      </w:r>
      <w:r w:rsidRPr="00C60D57">
        <w:t>段和比利时，第</w:t>
      </w:r>
      <w:r w:rsidRPr="00C60D57">
        <w:t>130</w:t>
      </w:r>
      <w:r w:rsidRPr="00C60D57">
        <w:t>段。</w:t>
      </w:r>
    </w:p>
  </w:footnote>
  <w:footnote w:id="1059">
    <w:p w:rsidR="00AB00DE" w:rsidRPr="00C60D57" w:rsidRDefault="00AB00DE" w:rsidP="00ED18FA">
      <w:pPr>
        <w:pStyle w:val="a4"/>
      </w:pPr>
      <w:r w:rsidRPr="00C60D57">
        <w:tab/>
      </w:r>
      <w:r w:rsidRPr="00193F6E">
        <w:rPr>
          <w:rStyle w:val="a5"/>
          <w:szCs w:val="21"/>
        </w:rPr>
        <w:footnoteRef/>
      </w:r>
      <w:r w:rsidRPr="00C60D57">
        <w:tab/>
      </w:r>
      <w:r w:rsidRPr="00C60D57">
        <w:t>例如，见《关于制止非法劫持航空器的公约》</w:t>
      </w:r>
      <w:r>
        <w:t>(</w:t>
      </w:r>
      <w:r w:rsidRPr="00C60D57">
        <w:t>1970</w:t>
      </w:r>
      <w:r w:rsidRPr="00C60D57">
        <w:t>年</w:t>
      </w:r>
      <w:r w:rsidRPr="00C60D57">
        <w:t>12</w:t>
      </w:r>
      <w:r w:rsidRPr="00C60D57">
        <w:t>月</w:t>
      </w:r>
      <w:r w:rsidRPr="00C60D57">
        <w:t>16</w:t>
      </w:r>
      <w:r w:rsidRPr="00C60D57">
        <w:t>日，海牙</w:t>
      </w:r>
      <w:r>
        <w:t>)</w:t>
      </w:r>
      <w:r w:rsidRPr="00C60D57">
        <w:t>，联合国，《条约汇编》</w:t>
      </w:r>
      <w:r>
        <w:rPr>
          <w:rFonts w:eastAsiaTheme="minorEastAsia" w:hint="eastAsia"/>
        </w:rPr>
        <w:t>，</w:t>
      </w:r>
      <w:r w:rsidRPr="00C60D57">
        <w:t>第</w:t>
      </w:r>
      <w:r w:rsidRPr="00C60D57">
        <w:t>860</w:t>
      </w:r>
      <w:r w:rsidRPr="00C60D57">
        <w:t>卷，第</w:t>
      </w:r>
      <w:r w:rsidRPr="00C60D57">
        <w:t>12325</w:t>
      </w:r>
      <w:r w:rsidRPr="00C60D57">
        <w:t>号，第</w:t>
      </w:r>
      <w:r w:rsidRPr="00C60D57">
        <w:t>105</w:t>
      </w:r>
      <w:r w:rsidRPr="00C60D57">
        <w:t>页</w:t>
      </w:r>
      <w:r>
        <w:rPr>
          <w:rFonts w:eastAsiaTheme="minorEastAsia" w:hint="eastAsia"/>
        </w:rPr>
        <w:t>，</w:t>
      </w:r>
      <w:r w:rsidRPr="00C60D57">
        <w:t>第</w:t>
      </w:r>
      <w:r w:rsidRPr="00C60D57">
        <w:t>2</w:t>
      </w:r>
      <w:r w:rsidRPr="00C60D57">
        <w:t>条；《关于防止和惩处侵害应受国际保护人员包括外交代表的罪行的纽约公约》</w:t>
      </w:r>
      <w:r>
        <w:t>(</w:t>
      </w:r>
      <w:r w:rsidRPr="00C60D57">
        <w:t>1973</w:t>
      </w:r>
      <w:r w:rsidRPr="00C60D57">
        <w:t>年</w:t>
      </w:r>
      <w:r w:rsidRPr="00C60D57">
        <w:t>12</w:t>
      </w:r>
      <w:r w:rsidRPr="00C60D57">
        <w:t>月</w:t>
      </w:r>
      <w:r w:rsidRPr="00C60D57">
        <w:t>14</w:t>
      </w:r>
      <w:r w:rsidRPr="00C60D57">
        <w:t>日，纽约</w:t>
      </w:r>
      <w:r>
        <w:t>)</w:t>
      </w:r>
      <w:r w:rsidRPr="00C60D57">
        <w:t>，同上，第</w:t>
      </w:r>
      <w:r w:rsidRPr="00C60D57">
        <w:t>1035</w:t>
      </w:r>
      <w:r w:rsidRPr="00C60D57">
        <w:t>卷，第</w:t>
      </w:r>
      <w:r w:rsidRPr="00C60D57">
        <w:t>15410</w:t>
      </w:r>
      <w:r w:rsidRPr="00C60D57">
        <w:t>号，第</w:t>
      </w:r>
      <w:r w:rsidRPr="00C60D57">
        <w:t>167</w:t>
      </w:r>
      <w:r w:rsidRPr="00C60D57">
        <w:t>页，第</w:t>
      </w:r>
      <w:r w:rsidRPr="00C60D57">
        <w:t>2</w:t>
      </w:r>
      <w:r w:rsidRPr="00C60D57">
        <w:t>条第</w:t>
      </w:r>
      <w:r w:rsidRPr="00C60D57">
        <w:t>2</w:t>
      </w:r>
      <w:r w:rsidRPr="00C60D57">
        <w:t>款；《反对劫持人质国际公约》</w:t>
      </w:r>
      <w:r>
        <w:t>(</w:t>
      </w:r>
      <w:r w:rsidRPr="00C60D57">
        <w:t>1979</w:t>
      </w:r>
      <w:r w:rsidRPr="00C60D57">
        <w:t>年</w:t>
      </w:r>
      <w:r w:rsidRPr="00C60D57">
        <w:t>12</w:t>
      </w:r>
      <w:r w:rsidRPr="00C60D57">
        <w:t>月</w:t>
      </w:r>
      <w:r w:rsidRPr="00C60D57">
        <w:t>17</w:t>
      </w:r>
      <w:r w:rsidRPr="00C60D57">
        <w:t>日，纽约</w:t>
      </w:r>
      <w:r>
        <w:t>)</w:t>
      </w:r>
      <w:r>
        <w:t>，</w:t>
      </w:r>
      <w:r w:rsidRPr="00C60D57">
        <w:t>第</w:t>
      </w:r>
      <w:r w:rsidRPr="00C60D57">
        <w:t>1316</w:t>
      </w:r>
      <w:r w:rsidRPr="00C60D57">
        <w:t>卷，第</w:t>
      </w:r>
      <w:r w:rsidRPr="00C60D57">
        <w:t>21931</w:t>
      </w:r>
      <w:r w:rsidRPr="00C60D57">
        <w:t>号，第</w:t>
      </w:r>
      <w:r w:rsidRPr="00C60D57">
        <w:t>205</w:t>
      </w:r>
      <w:r w:rsidRPr="00C60D57">
        <w:t>页，第</w:t>
      </w:r>
      <w:r w:rsidRPr="00C60D57">
        <w:t>2</w:t>
      </w:r>
      <w:r w:rsidRPr="00C60D57">
        <w:t>条；《禁止酷刑公约》</w:t>
      </w:r>
      <w:r>
        <w:t>(</w:t>
      </w:r>
      <w:r w:rsidRPr="00C60D57">
        <w:t>见上文脚注</w:t>
      </w:r>
      <w:r>
        <w:fldChar w:fldCharType="begin"/>
      </w:r>
      <w:r>
        <w:instrText xml:space="preserve"> NOTEREF _Ref440121835 \h </w:instrText>
      </w:r>
      <w:r>
        <w:fldChar w:fldCharType="separate"/>
      </w:r>
      <w:r w:rsidR="00A73EB9">
        <w:t>1056</w:t>
      </w:r>
      <w:r>
        <w:fldChar w:fldCharType="end"/>
      </w:r>
      <w:r>
        <w:t>)</w:t>
      </w:r>
      <w:r w:rsidRPr="00C60D57">
        <w:t>，第</w:t>
      </w:r>
      <w:r w:rsidRPr="00C60D57">
        <w:t>4</w:t>
      </w:r>
      <w:r w:rsidRPr="00C60D57">
        <w:t>条；《美洲防止和惩处酷刑公约》</w:t>
      </w:r>
      <w:r>
        <w:t>(</w:t>
      </w:r>
      <w:r w:rsidRPr="00C60D57">
        <w:t>1985</w:t>
      </w:r>
      <w:r w:rsidRPr="00C60D57">
        <w:t>年</w:t>
      </w:r>
      <w:r w:rsidRPr="00C60D57">
        <w:t>12</w:t>
      </w:r>
      <w:r w:rsidRPr="00C60D57">
        <w:t>月</w:t>
      </w:r>
      <w:r w:rsidRPr="00C60D57">
        <w:t>9</w:t>
      </w:r>
      <w:r w:rsidRPr="00C60D57">
        <w:t>日</w:t>
      </w:r>
      <w:r>
        <w:rPr>
          <w:rFonts w:eastAsiaTheme="minorEastAsia" w:hint="eastAsia"/>
        </w:rPr>
        <w:t>，</w:t>
      </w:r>
      <w:r w:rsidRPr="00C60D57">
        <w:t>卡塔赫纳</w:t>
      </w:r>
      <w:r>
        <w:t>)</w:t>
      </w:r>
      <w:r w:rsidRPr="00C60D57">
        <w:t>，美洲国家组织，《条约汇编》，第</w:t>
      </w:r>
      <w:r w:rsidRPr="00C60D57">
        <w:t>67</w:t>
      </w:r>
      <w:r w:rsidRPr="00C60D57">
        <w:t>号，第</w:t>
      </w:r>
      <w:r w:rsidRPr="00C60D57">
        <w:t>6</w:t>
      </w:r>
      <w:r w:rsidRPr="00C60D57">
        <w:t>条；《联合国人员和有关人员安全公约》</w:t>
      </w:r>
      <w:r>
        <w:t>(</w:t>
      </w:r>
      <w:r w:rsidRPr="00C60D57">
        <w:t>1994</w:t>
      </w:r>
      <w:r w:rsidRPr="00C60D57">
        <w:t>年</w:t>
      </w:r>
      <w:r w:rsidRPr="00C60D57">
        <w:t>12</w:t>
      </w:r>
      <w:r w:rsidRPr="00C60D57">
        <w:t>月</w:t>
      </w:r>
      <w:r w:rsidRPr="00C60D57">
        <w:t>9</w:t>
      </w:r>
      <w:r w:rsidRPr="00C60D57">
        <w:t>日，纽约</w:t>
      </w:r>
      <w:r>
        <w:t>)</w:t>
      </w:r>
      <w:r w:rsidRPr="00C60D57">
        <w:t>，同上，第</w:t>
      </w:r>
      <w:r w:rsidRPr="00C60D57">
        <w:t>2051</w:t>
      </w:r>
      <w:r w:rsidRPr="00C60D57">
        <w:t>卷，第</w:t>
      </w:r>
      <w:r w:rsidRPr="00C60D57">
        <w:t>35457</w:t>
      </w:r>
      <w:r w:rsidRPr="00C60D57">
        <w:t>号，第</w:t>
      </w:r>
      <w:r w:rsidRPr="00C60D57">
        <w:t>363</w:t>
      </w:r>
      <w:r w:rsidRPr="00C60D57">
        <w:t>页，第</w:t>
      </w:r>
      <w:r w:rsidRPr="00C60D57">
        <w:t>9</w:t>
      </w:r>
      <w:r w:rsidRPr="00C60D57">
        <w:t>条第</w:t>
      </w:r>
      <w:r w:rsidRPr="00C60D57">
        <w:t>2</w:t>
      </w:r>
      <w:r w:rsidRPr="00C60D57">
        <w:t>款；《美洲被迫失踪人士公约》</w:t>
      </w:r>
      <w:r>
        <w:t>(</w:t>
      </w:r>
      <w:r w:rsidRPr="00C60D57">
        <w:t>1994</w:t>
      </w:r>
      <w:r w:rsidRPr="00C60D57">
        <w:t>年</w:t>
      </w:r>
      <w:r w:rsidRPr="00C60D57">
        <w:t>6</w:t>
      </w:r>
      <w:r w:rsidRPr="00C60D57">
        <w:t>月</w:t>
      </w:r>
      <w:r w:rsidRPr="00C60D57">
        <w:t>9</w:t>
      </w:r>
      <w:r w:rsidRPr="00C60D57">
        <w:t>日，贝伦杜帕拉</w:t>
      </w:r>
      <w:r>
        <w:t>)</w:t>
      </w:r>
      <w:r w:rsidRPr="00C60D57">
        <w:t>，美</w:t>
      </w:r>
      <w:r>
        <w:t>洲国家组织</w:t>
      </w:r>
      <w:r>
        <w:rPr>
          <w:rFonts w:eastAsiaTheme="minorEastAsia" w:hint="eastAsia"/>
        </w:rPr>
        <w:t>，</w:t>
      </w:r>
      <w:r w:rsidRPr="00C60D57">
        <w:t>《条约汇编》，第</w:t>
      </w:r>
      <w:r w:rsidRPr="00C60D57">
        <w:t>68</w:t>
      </w:r>
      <w:r w:rsidRPr="00C60D57">
        <w:t>号，第</w:t>
      </w:r>
      <w:r w:rsidRPr="00C60D57">
        <w:t>3</w:t>
      </w:r>
      <w:r w:rsidRPr="00C60D57">
        <w:t>条；《制止恐怖主义爆炸的国际公约》</w:t>
      </w:r>
      <w:r>
        <w:t>(</w:t>
      </w:r>
      <w:r w:rsidRPr="00C60D57">
        <w:t>1997</w:t>
      </w:r>
      <w:r w:rsidRPr="00C60D57">
        <w:t>年</w:t>
      </w:r>
      <w:r w:rsidRPr="00C60D57">
        <w:t>12</w:t>
      </w:r>
      <w:r w:rsidRPr="00C60D57">
        <w:t>月</w:t>
      </w:r>
      <w:r w:rsidRPr="00C60D57">
        <w:t>15</w:t>
      </w:r>
      <w:r w:rsidRPr="00C60D57">
        <w:t>日，纽约</w:t>
      </w:r>
      <w:r>
        <w:t>)</w:t>
      </w:r>
      <w:r w:rsidRPr="00C60D57">
        <w:t>，</w:t>
      </w:r>
      <w:r>
        <w:rPr>
          <w:rFonts w:eastAsiaTheme="minorEastAsia" w:hint="eastAsia"/>
        </w:rPr>
        <w:t>联合国，《条约汇编》，</w:t>
      </w:r>
      <w:r w:rsidRPr="00C60D57">
        <w:t>第</w:t>
      </w:r>
      <w:r w:rsidRPr="00C60D57">
        <w:t>2149</w:t>
      </w:r>
      <w:r w:rsidRPr="00C60D57">
        <w:t>卷，第</w:t>
      </w:r>
      <w:r w:rsidRPr="00C60D57">
        <w:t>37517</w:t>
      </w:r>
      <w:r w:rsidRPr="00C60D57">
        <w:t>号，第</w:t>
      </w:r>
      <w:r w:rsidRPr="00C60D57">
        <w:t>256</w:t>
      </w:r>
      <w:r w:rsidRPr="00C60D57">
        <w:t>页，第</w:t>
      </w:r>
      <w:r w:rsidRPr="00C60D57">
        <w:t>4</w:t>
      </w:r>
      <w:r w:rsidRPr="00C60D57">
        <w:t>条；《制止向恐怖主义提供资助的国际公约》</w:t>
      </w:r>
      <w:r>
        <w:t>(</w:t>
      </w:r>
      <w:r w:rsidRPr="00C60D57">
        <w:t>1999</w:t>
      </w:r>
      <w:r w:rsidRPr="00C60D57">
        <w:t>年</w:t>
      </w:r>
      <w:r w:rsidRPr="00C60D57">
        <w:t>12</w:t>
      </w:r>
      <w:r w:rsidRPr="00C60D57">
        <w:t>月</w:t>
      </w:r>
      <w:r>
        <w:t>9</w:t>
      </w:r>
      <w:r w:rsidRPr="00C60D57">
        <w:t>日，纽约</w:t>
      </w:r>
      <w:r>
        <w:t>)</w:t>
      </w:r>
      <w:r w:rsidRPr="00C60D57">
        <w:t>，同上，第</w:t>
      </w:r>
      <w:r w:rsidRPr="00C60D57">
        <w:t>2178</w:t>
      </w:r>
      <w:r w:rsidRPr="00C60D57">
        <w:t>卷，第</w:t>
      </w:r>
      <w:r w:rsidRPr="00C60D57">
        <w:t>3834</w:t>
      </w:r>
      <w:r>
        <w:rPr>
          <w:rFonts w:eastAsiaTheme="minorEastAsia" w:hint="eastAsia"/>
        </w:rPr>
        <w:t>9</w:t>
      </w:r>
      <w:r w:rsidRPr="00C60D57">
        <w:t>号，第</w:t>
      </w:r>
      <w:r w:rsidRPr="00C60D57">
        <w:t>197</w:t>
      </w:r>
      <w:r w:rsidRPr="00C60D57">
        <w:t>页，第</w:t>
      </w:r>
      <w:r w:rsidRPr="00C60D57">
        <w:t>4</w:t>
      </w:r>
      <w:r w:rsidRPr="00C60D57">
        <w:t>条；《非统组织</w:t>
      </w:r>
      <w:r w:rsidRPr="00C60D57">
        <w:t>[</w:t>
      </w:r>
      <w:r w:rsidRPr="00C60D57">
        <w:t>非洲统一组织</w:t>
      </w:r>
      <w:r w:rsidRPr="00C60D57">
        <w:t>]</w:t>
      </w:r>
      <w:r w:rsidRPr="00C60D57">
        <w:t>防止和打击恐怖主义公约》</w:t>
      </w:r>
      <w:r>
        <w:t>(</w:t>
      </w:r>
      <w:r w:rsidRPr="00C60D57">
        <w:t>1999</w:t>
      </w:r>
      <w:r w:rsidRPr="00C60D57">
        <w:t>年</w:t>
      </w:r>
      <w:r w:rsidRPr="00C60D57">
        <w:t>7</w:t>
      </w:r>
      <w:r w:rsidRPr="00C60D57">
        <w:t>月</w:t>
      </w:r>
      <w:r w:rsidRPr="00C60D57">
        <w:t>14</w:t>
      </w:r>
      <w:r w:rsidRPr="00C60D57">
        <w:t>日，阿尔及尔</w:t>
      </w:r>
      <w:r>
        <w:t>)</w:t>
      </w:r>
      <w:r w:rsidRPr="00C60D57">
        <w:t>，同上，第</w:t>
      </w:r>
      <w:r w:rsidRPr="00C60D57">
        <w:t>2219</w:t>
      </w:r>
      <w:r w:rsidRPr="00C60D57">
        <w:t>卷，第</w:t>
      </w:r>
      <w:r w:rsidRPr="00C60D57">
        <w:t>39464</w:t>
      </w:r>
      <w:r w:rsidRPr="00C60D57">
        <w:t>号，第</w:t>
      </w:r>
      <w:r w:rsidRPr="00C60D57">
        <w:t>179</w:t>
      </w:r>
      <w:r w:rsidRPr="00C60D57">
        <w:t>页，第</w:t>
      </w:r>
      <w:r w:rsidRPr="00C60D57">
        <w:t>2</w:t>
      </w:r>
      <w:r w:rsidRPr="00C60D57">
        <w:t>条</w:t>
      </w:r>
      <w:r>
        <w:t>(</w:t>
      </w:r>
      <w:r w:rsidRPr="00C60D57">
        <w:t>a</w:t>
      </w:r>
      <w:r>
        <w:t>)</w:t>
      </w:r>
      <w:r w:rsidRPr="00C60D57">
        <w:t>款；《联合国打击跨国有组织犯罪公约关于预防、禁止和惩治贩运人口特别是妇女和儿童行为的补充议定书》</w:t>
      </w:r>
      <w:r>
        <w:t>(</w:t>
      </w:r>
      <w:r w:rsidRPr="00C60D57">
        <w:t>2000</w:t>
      </w:r>
      <w:r w:rsidRPr="00C60D57">
        <w:t>年</w:t>
      </w:r>
      <w:r w:rsidRPr="00C60D57">
        <w:t>11</w:t>
      </w:r>
      <w:r w:rsidRPr="00C60D57">
        <w:t>月</w:t>
      </w:r>
      <w:r w:rsidRPr="00C60D57">
        <w:t>15</w:t>
      </w:r>
      <w:r w:rsidRPr="00C60D57">
        <w:t>日，纽约</w:t>
      </w:r>
      <w:r>
        <w:t>)</w:t>
      </w:r>
      <w:r w:rsidRPr="00C60D57">
        <w:t>，同上，第</w:t>
      </w:r>
      <w:r w:rsidRPr="00C60D57">
        <w:t>2237</w:t>
      </w:r>
      <w:r w:rsidRPr="00C60D57">
        <w:t>卷，第</w:t>
      </w:r>
      <w:r w:rsidRPr="00C60D57">
        <w:t>39574</w:t>
      </w:r>
      <w:r w:rsidRPr="00C60D57">
        <w:t>号，第</w:t>
      </w:r>
      <w:r w:rsidRPr="00C60D57">
        <w:t>319</w:t>
      </w:r>
      <w:r w:rsidRPr="00C60D57">
        <w:t>页，第</w:t>
      </w:r>
      <w:r w:rsidRPr="00C60D57">
        <w:t>5</w:t>
      </w:r>
      <w:r w:rsidRPr="00C60D57">
        <w:t>条第</w:t>
      </w:r>
      <w:r w:rsidRPr="00C60D57">
        <w:t>1</w:t>
      </w:r>
      <w:r w:rsidRPr="00C60D57">
        <w:t>款；《保护所有人免遭强迫失踪国际公约》</w:t>
      </w:r>
      <w:r>
        <w:t>(</w:t>
      </w:r>
      <w:r w:rsidRPr="00C60D57">
        <w:t>2006</w:t>
      </w:r>
      <w:r w:rsidRPr="00C60D57">
        <w:t>年</w:t>
      </w:r>
      <w:r w:rsidRPr="00C60D57">
        <w:t>12</w:t>
      </w:r>
      <w:r w:rsidRPr="00C60D57">
        <w:t>月</w:t>
      </w:r>
      <w:r w:rsidRPr="00C60D57">
        <w:t>20</w:t>
      </w:r>
      <w:r w:rsidRPr="00C60D57">
        <w:t>日，纽约</w:t>
      </w:r>
      <w:r>
        <w:t>)</w:t>
      </w:r>
      <w:r w:rsidRPr="00C60D57">
        <w:t>，同上，第</w:t>
      </w:r>
      <w:r w:rsidRPr="00C60D57">
        <w:t>2716</w:t>
      </w:r>
      <w:r w:rsidRPr="00C60D57">
        <w:t>卷，第</w:t>
      </w:r>
      <w:r w:rsidRPr="00C60D57">
        <w:t>48088</w:t>
      </w:r>
      <w:r w:rsidRPr="00C60D57">
        <w:t>号，第</w:t>
      </w:r>
      <w:r w:rsidRPr="00C60D57">
        <w:t>3</w:t>
      </w:r>
      <w:r w:rsidRPr="00C60D57">
        <w:t>页，第</w:t>
      </w:r>
      <w:r w:rsidRPr="00C60D57">
        <w:t>7</w:t>
      </w:r>
      <w:r w:rsidRPr="00C60D57">
        <w:t>条第</w:t>
      </w:r>
      <w:r w:rsidRPr="00C60D57">
        <w:t>1</w:t>
      </w:r>
      <w:r w:rsidRPr="00C60D57">
        <w:t>款；《东南亚国家联盟反恐怖主义公约》</w:t>
      </w:r>
      <w:r>
        <w:t>(</w:t>
      </w:r>
      <w:r w:rsidRPr="00C60D57">
        <w:t>2007</w:t>
      </w:r>
      <w:r w:rsidRPr="00C60D57">
        <w:t>年</w:t>
      </w:r>
      <w:r w:rsidRPr="00C60D57">
        <w:t>1</w:t>
      </w:r>
      <w:r w:rsidRPr="00C60D57">
        <w:t>月</w:t>
      </w:r>
      <w:r w:rsidRPr="00C60D57">
        <w:t>13</w:t>
      </w:r>
      <w:r w:rsidRPr="00C60D57">
        <w:t>日，宿务</w:t>
      </w:r>
      <w:r>
        <w:t>)</w:t>
      </w:r>
      <w:r w:rsidRPr="00C60D57">
        <w:t>，第</w:t>
      </w:r>
      <w:r w:rsidRPr="00C60D57">
        <w:t>9</w:t>
      </w:r>
      <w:r w:rsidRPr="00C60D57">
        <w:t>条第</w:t>
      </w:r>
      <w:r w:rsidRPr="00C60D57">
        <w:t>1</w:t>
      </w:r>
      <w:r w:rsidRPr="00C60D57">
        <w:t>款</w:t>
      </w:r>
      <w:r>
        <w:t>，见《与预防和打击国际恐怖主义有关的国际文书》，联合国出版物，</w:t>
      </w:r>
      <w:r>
        <w:rPr>
          <w:rFonts w:eastAsiaTheme="minorEastAsia" w:hint="eastAsia"/>
        </w:rPr>
        <w:t>出</w:t>
      </w:r>
      <w:r w:rsidRPr="00C60D57">
        <w:t>售品编号</w:t>
      </w:r>
      <w:r w:rsidRPr="00C60D57">
        <w:t xml:space="preserve">E.08.V.2 </w:t>
      </w:r>
      <w:r>
        <w:t>(</w:t>
      </w:r>
      <w:r w:rsidRPr="00C60D57">
        <w:t>2008</w:t>
      </w:r>
      <w:r w:rsidRPr="00C60D57">
        <w:t>年，纽约</w:t>
      </w:r>
      <w:r>
        <w:t>)</w:t>
      </w:r>
      <w:r>
        <w:t>，</w:t>
      </w:r>
      <w:r w:rsidRPr="00C60D57">
        <w:t>第</w:t>
      </w:r>
      <w:r w:rsidRPr="00C60D57">
        <w:t>336</w:t>
      </w:r>
      <w:r w:rsidRPr="00C60D57">
        <w:t>页。</w:t>
      </w:r>
    </w:p>
  </w:footnote>
  <w:footnote w:id="1060">
    <w:p w:rsidR="00AB00DE" w:rsidRPr="00C60D57" w:rsidRDefault="00AB00DE" w:rsidP="00CD5A8C">
      <w:pPr>
        <w:pStyle w:val="a4"/>
      </w:pPr>
      <w:r w:rsidRPr="00C60D57">
        <w:tab/>
      </w:r>
      <w:r w:rsidRPr="00193F6E">
        <w:rPr>
          <w:rStyle w:val="a5"/>
          <w:szCs w:val="21"/>
        </w:rPr>
        <w:footnoteRef/>
      </w:r>
      <w:r w:rsidRPr="00C60D57">
        <w:tab/>
      </w:r>
      <w:r w:rsidRPr="00C60D57">
        <w:t>《防止及惩治灭绝种族罪公约》</w:t>
      </w:r>
      <w:r>
        <w:t>(</w:t>
      </w:r>
      <w:r w:rsidRPr="00C60D57">
        <w:t>1948</w:t>
      </w:r>
      <w:r w:rsidRPr="00C60D57">
        <w:t>年</w:t>
      </w:r>
      <w:r w:rsidRPr="00C60D57">
        <w:t>12</w:t>
      </w:r>
      <w:r w:rsidRPr="00C60D57">
        <w:t>月</w:t>
      </w:r>
      <w:r w:rsidRPr="00C60D57">
        <w:t>9</w:t>
      </w:r>
      <w:r w:rsidRPr="00C60D57">
        <w:t>日，巴黎</w:t>
      </w:r>
      <w:r>
        <w:t>)</w:t>
      </w:r>
      <w:r>
        <w:t>，联合国</w:t>
      </w:r>
      <w:r>
        <w:rPr>
          <w:rFonts w:eastAsiaTheme="minorEastAsia" w:hint="eastAsia"/>
        </w:rPr>
        <w:t>，</w:t>
      </w:r>
      <w:r w:rsidRPr="00C60D57">
        <w:t>《条约汇编》</w:t>
      </w:r>
      <w:r>
        <w:rPr>
          <w:rFonts w:eastAsiaTheme="minorEastAsia" w:hint="eastAsia"/>
        </w:rPr>
        <w:t>，</w:t>
      </w:r>
      <w:r w:rsidRPr="00C60D57">
        <w:t>第</w:t>
      </w:r>
      <w:r w:rsidRPr="00C60D57">
        <w:t>78</w:t>
      </w:r>
      <w:r w:rsidRPr="00C60D57">
        <w:t>卷，第</w:t>
      </w:r>
      <w:r w:rsidRPr="00C60D57">
        <w:t>1021</w:t>
      </w:r>
      <w:r w:rsidRPr="00C60D57">
        <w:t>号，第</w:t>
      </w:r>
      <w:r w:rsidRPr="00C60D57">
        <w:t>277</w:t>
      </w:r>
      <w:r w:rsidRPr="00C60D57">
        <w:t>页，第</w:t>
      </w:r>
      <w:r w:rsidRPr="00C60D57">
        <w:t>5</w:t>
      </w:r>
      <w:r w:rsidRPr="00C60D57">
        <w:t>条。</w:t>
      </w:r>
    </w:p>
  </w:footnote>
  <w:footnote w:id="1061">
    <w:p w:rsidR="00AB00DE" w:rsidRPr="00CD5A8C" w:rsidRDefault="00AB00DE" w:rsidP="00CD5A8C">
      <w:pPr>
        <w:pStyle w:val="a4"/>
        <w:tabs>
          <w:tab w:val="right" w:pos="0"/>
        </w:tabs>
        <w:rPr>
          <w:lang w:val="fr-CH"/>
        </w:rPr>
      </w:pPr>
      <w:r w:rsidRPr="00C60D57">
        <w:tab/>
      </w:r>
      <w:r w:rsidRPr="00193F6E">
        <w:rPr>
          <w:rStyle w:val="a5"/>
          <w:szCs w:val="21"/>
        </w:rPr>
        <w:footnoteRef/>
      </w:r>
      <w:r w:rsidRPr="00C60D57">
        <w:tab/>
      </w:r>
      <w:r w:rsidRPr="00C60D57">
        <w:t>《改善战地武装部队伤者病者境遇之日内瓦公约》</w:t>
      </w:r>
      <w:r>
        <w:t>(</w:t>
      </w:r>
      <w:r w:rsidRPr="00C60D57">
        <w:t>1949</w:t>
      </w:r>
      <w:r w:rsidRPr="00C60D57">
        <w:t>年</w:t>
      </w:r>
      <w:r w:rsidRPr="00C60D57">
        <w:t>8</w:t>
      </w:r>
      <w:r w:rsidRPr="00C60D57">
        <w:t>月</w:t>
      </w:r>
      <w:r w:rsidRPr="00C60D57">
        <w:t>12</w:t>
      </w:r>
      <w:r w:rsidRPr="00C60D57">
        <w:t>日，日内瓦</w:t>
      </w:r>
      <w:r>
        <w:t>)</w:t>
      </w:r>
      <w:r w:rsidRPr="00C60D57">
        <w:t>，同上，第</w:t>
      </w:r>
      <w:r w:rsidRPr="00C60D57">
        <w:t>75</w:t>
      </w:r>
      <w:r w:rsidRPr="00C60D57">
        <w:t>卷，第</w:t>
      </w:r>
      <w:r w:rsidRPr="00C60D57">
        <w:t>970</w:t>
      </w:r>
      <w:r w:rsidRPr="00C60D57">
        <w:t>号，第</w:t>
      </w:r>
      <w:r w:rsidRPr="00C60D57">
        <w:t>31</w:t>
      </w:r>
      <w:r w:rsidRPr="00C60D57">
        <w:t>页，第</w:t>
      </w:r>
      <w:r w:rsidRPr="00C60D57">
        <w:t>49</w:t>
      </w:r>
      <w:r w:rsidRPr="00C60D57">
        <w:t>条</w:t>
      </w:r>
      <w:r>
        <w:t>(</w:t>
      </w:r>
      <w:r w:rsidRPr="00C60D57">
        <w:t>《日内瓦第一公约》</w:t>
      </w:r>
      <w:r>
        <w:t>)</w:t>
      </w:r>
      <w:r w:rsidRPr="00C60D57">
        <w:t>；《改善海上武装部队伤者病者及遇船难者境遇之日内瓦公约》</w:t>
      </w:r>
      <w:r>
        <w:t>(</w:t>
      </w:r>
      <w:r w:rsidRPr="00C60D57">
        <w:t>1949</w:t>
      </w:r>
      <w:r w:rsidRPr="00C60D57">
        <w:t>年</w:t>
      </w:r>
      <w:r w:rsidRPr="00C60D57">
        <w:t>8</w:t>
      </w:r>
      <w:r w:rsidRPr="00C60D57">
        <w:t>月</w:t>
      </w:r>
      <w:r w:rsidRPr="00C60D57">
        <w:t>12</w:t>
      </w:r>
      <w:r w:rsidRPr="00C60D57">
        <w:t>日，日内瓦</w:t>
      </w:r>
      <w:r>
        <w:t>)</w:t>
      </w:r>
      <w:r w:rsidRPr="00C60D57">
        <w:t>，同上，第</w:t>
      </w:r>
      <w:r w:rsidRPr="00C60D57">
        <w:t>971</w:t>
      </w:r>
      <w:r w:rsidRPr="00C60D57">
        <w:t>号，第</w:t>
      </w:r>
      <w:r w:rsidRPr="00C60D57">
        <w:t>85</w:t>
      </w:r>
      <w:r w:rsidRPr="00C60D57">
        <w:t>页，第</w:t>
      </w:r>
      <w:r w:rsidRPr="00C60D57">
        <w:t>50</w:t>
      </w:r>
      <w:r w:rsidRPr="00C60D57">
        <w:t>条</w:t>
      </w:r>
      <w:r>
        <w:t>(</w:t>
      </w:r>
      <w:r w:rsidRPr="00C60D57">
        <w:t>《日内瓦第二公约》</w:t>
      </w:r>
      <w:r>
        <w:t>)</w:t>
      </w:r>
      <w:r w:rsidRPr="00C60D57">
        <w:t>；《关于战俘待遇之日内瓦公约》</w:t>
      </w:r>
      <w:r>
        <w:t>(</w:t>
      </w:r>
      <w:r w:rsidRPr="00C60D57">
        <w:t>1949</w:t>
      </w:r>
      <w:r w:rsidRPr="00C60D57">
        <w:t>年</w:t>
      </w:r>
      <w:r w:rsidRPr="00C60D57">
        <w:t>8</w:t>
      </w:r>
      <w:r w:rsidRPr="00C60D57">
        <w:t>月</w:t>
      </w:r>
      <w:r w:rsidRPr="00C60D57">
        <w:t>12</w:t>
      </w:r>
      <w:r w:rsidRPr="00C60D57">
        <w:t>日，日内瓦</w:t>
      </w:r>
      <w:r>
        <w:t>)</w:t>
      </w:r>
      <w:r>
        <w:rPr>
          <w:rFonts w:eastAsiaTheme="minorEastAsia" w:hint="eastAsia"/>
        </w:rPr>
        <w:t>，</w:t>
      </w:r>
      <w:r w:rsidRPr="00C60D57">
        <w:t>同上，第</w:t>
      </w:r>
      <w:r w:rsidRPr="00C60D57">
        <w:t>972</w:t>
      </w:r>
      <w:r w:rsidRPr="00C60D57">
        <w:t>号，第</w:t>
      </w:r>
      <w:r w:rsidRPr="00C60D57">
        <w:t>135</w:t>
      </w:r>
      <w:r w:rsidRPr="00C60D57">
        <w:t>页，第</w:t>
      </w:r>
      <w:r w:rsidRPr="00C60D57">
        <w:t>129</w:t>
      </w:r>
      <w:r w:rsidRPr="00C60D57">
        <w:t>条</w:t>
      </w:r>
      <w:r>
        <w:t>(</w:t>
      </w:r>
      <w:r w:rsidRPr="00C60D57">
        <w:t>《日内瓦第三公约》</w:t>
      </w:r>
      <w:r>
        <w:t>)</w:t>
      </w:r>
      <w:r w:rsidRPr="00C60D57">
        <w:t>；《关于战时保护平民之日内瓦公约》</w:t>
      </w:r>
      <w:r>
        <w:t>(</w:t>
      </w:r>
      <w:r w:rsidRPr="00C60D57">
        <w:t>1949</w:t>
      </w:r>
      <w:r w:rsidRPr="00C60D57">
        <w:t>年</w:t>
      </w:r>
      <w:r w:rsidRPr="00C60D57">
        <w:t>8</w:t>
      </w:r>
      <w:r w:rsidRPr="00C60D57">
        <w:t>月</w:t>
      </w:r>
      <w:r w:rsidRPr="00C60D57">
        <w:t>12</w:t>
      </w:r>
      <w:r w:rsidRPr="00C60D57">
        <w:t>日，日内瓦</w:t>
      </w:r>
      <w:r>
        <w:t>)</w:t>
      </w:r>
      <w:r w:rsidRPr="00C60D57">
        <w:t>，同上，第</w:t>
      </w:r>
      <w:r w:rsidRPr="00C60D57">
        <w:t>973</w:t>
      </w:r>
      <w:r w:rsidRPr="00C60D57">
        <w:t>号，第</w:t>
      </w:r>
      <w:r w:rsidRPr="00C60D57">
        <w:t>287</w:t>
      </w:r>
      <w:r w:rsidRPr="00C60D57">
        <w:t>页，第</w:t>
      </w:r>
      <w:r w:rsidRPr="00C60D57">
        <w:t>146</w:t>
      </w:r>
      <w:r w:rsidRPr="00C60D57">
        <w:t>条</w:t>
      </w:r>
      <w:r>
        <w:t>(</w:t>
      </w:r>
      <w:r w:rsidRPr="00C60D57">
        <w:t>《日内瓦第四公约》</w:t>
      </w:r>
      <w:r>
        <w:t>)</w:t>
      </w:r>
      <w:r w:rsidRPr="00C60D57">
        <w:t>。</w:t>
      </w:r>
      <w:r w:rsidRPr="00CD5A8C">
        <w:rPr>
          <w:lang w:val="fr-CH"/>
        </w:rPr>
        <w:t>2016</w:t>
      </w:r>
      <w:r w:rsidRPr="00C60D57">
        <w:t>年关于《日内瓦第一公约》第</w:t>
      </w:r>
      <w:r w:rsidRPr="00CD5A8C">
        <w:rPr>
          <w:lang w:val="fr-CH"/>
        </w:rPr>
        <w:t>49</w:t>
      </w:r>
      <w:r w:rsidRPr="00C60D57">
        <w:t>条</w:t>
      </w:r>
      <w:r w:rsidRPr="00CD5A8C">
        <w:rPr>
          <w:lang w:val="fr-CH"/>
        </w:rPr>
        <w:t>(</w:t>
      </w:r>
      <w:r w:rsidRPr="00C60D57">
        <w:t>刑事制裁</w:t>
      </w:r>
      <w:r w:rsidRPr="00CD5A8C">
        <w:rPr>
          <w:lang w:val="fr-CH"/>
        </w:rPr>
        <w:t>)</w:t>
      </w:r>
      <w:r w:rsidRPr="00C60D57">
        <w:t>的评注</w:t>
      </w:r>
      <w:r w:rsidRPr="00CD5A8C">
        <w:rPr>
          <w:lang w:val="fr-CH"/>
        </w:rPr>
        <w:t>(</w:t>
      </w:r>
      <w:r w:rsidRPr="00C60D57">
        <w:t>下称</w:t>
      </w:r>
      <w:r w:rsidRPr="00CD5A8C">
        <w:rPr>
          <w:lang w:val="fr-CH"/>
        </w:rPr>
        <w:t>2016</w:t>
      </w:r>
      <w:r w:rsidRPr="00C60D57">
        <w:t>年</w:t>
      </w:r>
      <w:r>
        <w:t>红十字委员会</w:t>
      </w:r>
      <w:r w:rsidRPr="00C60D57">
        <w:t>关于第</w:t>
      </w:r>
      <w:r w:rsidRPr="00CD5A8C">
        <w:rPr>
          <w:lang w:val="fr-CH"/>
        </w:rPr>
        <w:t>49</w:t>
      </w:r>
      <w:r w:rsidRPr="00C60D57">
        <w:t>条的评注</w:t>
      </w:r>
      <w:r w:rsidRPr="00CD5A8C">
        <w:rPr>
          <w:lang w:val="fr-CH"/>
        </w:rPr>
        <w:t>)</w:t>
      </w:r>
      <w:r w:rsidRPr="00CD5A8C">
        <w:rPr>
          <w:rFonts w:eastAsiaTheme="minorEastAsia" w:hint="eastAsia"/>
          <w:lang w:val="fr-CH"/>
        </w:rPr>
        <w:t>，</w:t>
      </w:r>
      <w:r w:rsidRPr="00C60D57">
        <w:t>见</w:t>
      </w:r>
      <w:r>
        <w:t>红十字委员会</w:t>
      </w:r>
      <w:r w:rsidRPr="00C60D57">
        <w:t>网页</w:t>
      </w:r>
      <w:r w:rsidRPr="00CD5A8C">
        <w:rPr>
          <w:spacing w:val="14"/>
          <w:lang w:val="fr-CH"/>
        </w:rPr>
        <w:t>www.icrc.org/applic/ihl/ihl.nsf/</w:t>
      </w:r>
      <w:r w:rsidRPr="00CD5A8C">
        <w:rPr>
          <w:rStyle w:val="af"/>
          <w:rFonts w:hint="eastAsia"/>
          <w:spacing w:val="14"/>
          <w:lang w:val="fr-CH"/>
        </w:rPr>
        <w:t xml:space="preserve"> </w:t>
      </w:r>
      <w:r w:rsidRPr="00CD5A8C">
        <w:rPr>
          <w:spacing w:val="14"/>
          <w:lang w:val="fr-CH"/>
        </w:rPr>
        <w:t>Comment.xsp</w:t>
      </w:r>
      <w:r w:rsidRPr="00CD5A8C">
        <w:rPr>
          <w:rFonts w:hint="eastAsia"/>
          <w:lang w:val="fr-CH"/>
        </w:rPr>
        <w:t>?</w:t>
      </w:r>
      <w:r w:rsidRPr="00CD5A8C">
        <w:rPr>
          <w:lang w:val="fr-CH"/>
        </w:rPr>
        <w:t>action=openDocument&amp;documentId=3ED0B7D33BF425F3C1257F7D00589C84</w:t>
      </w:r>
      <w:r w:rsidRPr="00C60D57">
        <w:t>。</w:t>
      </w:r>
    </w:p>
  </w:footnote>
  <w:footnote w:id="1062">
    <w:p w:rsidR="00AB00DE" w:rsidRPr="00C60D57" w:rsidRDefault="00AB00DE" w:rsidP="00CD5A8C">
      <w:pPr>
        <w:pStyle w:val="a4"/>
        <w:tabs>
          <w:tab w:val="right" w:pos="0"/>
        </w:tabs>
      </w:pPr>
      <w:r w:rsidRPr="00CD5A8C">
        <w:rPr>
          <w:lang w:val="fr-CH"/>
        </w:rPr>
        <w:tab/>
      </w:r>
      <w:r w:rsidRPr="00193F6E">
        <w:rPr>
          <w:rStyle w:val="a5"/>
          <w:szCs w:val="21"/>
        </w:rPr>
        <w:footnoteRef/>
      </w:r>
      <w:r w:rsidRPr="00C60D57">
        <w:tab/>
      </w:r>
      <w:r w:rsidRPr="00C60D57">
        <w:t>《关于控诉和惩处欧洲轴心国主要战犯的协定》</w:t>
      </w:r>
      <w:r>
        <w:t>(</w:t>
      </w:r>
      <w:r w:rsidRPr="00C60D57">
        <w:t>1945</w:t>
      </w:r>
      <w:r w:rsidRPr="00C60D57">
        <w:t>年</w:t>
      </w:r>
      <w:r w:rsidRPr="00C60D57">
        <w:t>8</w:t>
      </w:r>
      <w:r w:rsidRPr="00C60D57">
        <w:t>月</w:t>
      </w:r>
      <w:r w:rsidRPr="00C60D57">
        <w:t>8</w:t>
      </w:r>
      <w:r w:rsidRPr="00C60D57">
        <w:t>日，伦敦</w:t>
      </w:r>
      <w:r>
        <w:t>)</w:t>
      </w:r>
      <w:r>
        <w:t>，</w:t>
      </w:r>
      <w:r w:rsidRPr="00C60D57">
        <w:t>《国际军事法庭宪章》，第</w:t>
      </w:r>
      <w:r w:rsidRPr="00C60D57">
        <w:t>6</w:t>
      </w:r>
      <w:r w:rsidRPr="00C60D57">
        <w:t>条，联合国，《条约汇编》，第</w:t>
      </w:r>
      <w:r w:rsidRPr="00C60D57">
        <w:t>82</w:t>
      </w:r>
      <w:r w:rsidRPr="00C60D57">
        <w:t>卷，第</w:t>
      </w:r>
      <w:r w:rsidRPr="00C60D57">
        <w:t>251</w:t>
      </w:r>
      <w:r w:rsidRPr="00C60D57">
        <w:t>号，第</w:t>
      </w:r>
      <w:r w:rsidRPr="00C60D57">
        <w:t>279</w:t>
      </w:r>
      <w:r w:rsidRPr="00C60D57">
        <w:t>页</w:t>
      </w:r>
      <w:r>
        <w:t>(</w:t>
      </w:r>
      <w:r w:rsidRPr="00C60D57">
        <w:t>下称《纽伦堡宪章》。</w:t>
      </w:r>
    </w:p>
  </w:footnote>
  <w:footnote w:id="1063">
    <w:p w:rsidR="00AB00DE" w:rsidRPr="00C60D57" w:rsidRDefault="00AB00DE" w:rsidP="00CD5A8C">
      <w:pPr>
        <w:pStyle w:val="a4"/>
        <w:tabs>
          <w:tab w:val="right" w:pos="1195"/>
          <w:tab w:val="left" w:pos="1264"/>
          <w:tab w:val="left" w:pos="1695"/>
          <w:tab w:val="left" w:pos="2126"/>
          <w:tab w:val="left" w:pos="2557"/>
        </w:tabs>
        <w:ind w:right="1264"/>
      </w:pPr>
      <w:r w:rsidRPr="00C60D57">
        <w:tab/>
      </w:r>
      <w:r w:rsidRPr="00193F6E">
        <w:rPr>
          <w:rStyle w:val="a5"/>
          <w:szCs w:val="21"/>
        </w:rPr>
        <w:footnoteRef/>
      </w:r>
      <w:r w:rsidRPr="00C60D57">
        <w:tab/>
      </w:r>
      <w:r w:rsidRPr="00C60D57">
        <w:t>《起诉应对</w:t>
      </w:r>
      <w:r w:rsidRPr="00C60D57">
        <w:t>1991</w:t>
      </w:r>
      <w:r w:rsidRPr="00C60D57">
        <w:t>年以来前南斯拉夫境内所犯严重违反国际人道主义法行为负责者的国际法庭规约》，经安全理事会</w:t>
      </w:r>
      <w:r w:rsidRPr="00C60D57">
        <w:t>1993</w:t>
      </w:r>
      <w:r w:rsidRPr="00C60D57">
        <w:t>年</w:t>
      </w:r>
      <w:r w:rsidRPr="00C60D57">
        <w:t>5</w:t>
      </w:r>
      <w:r w:rsidRPr="00C60D57">
        <w:t>月</w:t>
      </w:r>
      <w:r w:rsidRPr="00C60D57">
        <w:t>25</w:t>
      </w:r>
      <w:r w:rsidRPr="00C60D57">
        <w:t>日第</w:t>
      </w:r>
      <w:r w:rsidRPr="00C60D57">
        <w:t>827</w:t>
      </w:r>
      <w:r>
        <w:t>(</w:t>
      </w:r>
      <w:r w:rsidRPr="00C60D57">
        <w:t>1993</w:t>
      </w:r>
      <w:r>
        <w:t>)</w:t>
      </w:r>
      <w:r w:rsidRPr="00C60D57">
        <w:t>号决议通过，载于秘书长按照安理会第</w:t>
      </w:r>
      <w:r w:rsidRPr="00C60D57">
        <w:t>808</w:t>
      </w:r>
      <w:r>
        <w:rPr>
          <w:rFonts w:hint="eastAsia"/>
        </w:rPr>
        <w:t xml:space="preserve"> </w:t>
      </w:r>
      <w:r>
        <w:t>(</w:t>
      </w:r>
      <w:r w:rsidRPr="00C60D57">
        <w:t>1993</w:t>
      </w:r>
      <w:r>
        <w:t>)</w:t>
      </w:r>
      <w:r w:rsidRPr="00C60D57">
        <w:t>号</w:t>
      </w:r>
      <w:r>
        <w:rPr>
          <w:rFonts w:eastAsiaTheme="minorEastAsia" w:hint="eastAsia"/>
        </w:rPr>
        <w:t>决议</w:t>
      </w:r>
      <w:r>
        <w:t>提交的报告</w:t>
      </w:r>
      <w:r>
        <w:rPr>
          <w:rFonts w:hint="eastAsia"/>
        </w:rPr>
        <w:t>第</w:t>
      </w:r>
      <w:r>
        <w:rPr>
          <w:rFonts w:hint="eastAsia"/>
        </w:rPr>
        <w:t>2</w:t>
      </w:r>
      <w:r>
        <w:rPr>
          <w:rFonts w:hint="eastAsia"/>
        </w:rPr>
        <w:t>段，</w:t>
      </w:r>
      <w:r w:rsidRPr="00C60D57">
        <w:t>S/25704</w:t>
      </w:r>
      <w:r w:rsidRPr="00C60D57">
        <w:t>和</w:t>
      </w:r>
      <w:r>
        <w:rPr>
          <w:rFonts w:eastAsiaTheme="minorEastAsia" w:hint="eastAsia"/>
        </w:rPr>
        <w:t>Add.1</w:t>
      </w:r>
      <w:r>
        <w:rPr>
          <w:rFonts w:eastAsiaTheme="minorEastAsia" w:hint="eastAsia"/>
        </w:rPr>
        <w:t>，</w:t>
      </w:r>
      <w:r w:rsidRPr="00C60D57">
        <w:t>附件，第</w:t>
      </w:r>
      <w:r w:rsidRPr="00C60D57">
        <w:t>7</w:t>
      </w:r>
      <w:r w:rsidRPr="00C60D57">
        <w:t>条第</w:t>
      </w:r>
      <w:r w:rsidRPr="00C60D57">
        <w:t>1</w:t>
      </w:r>
      <w:r w:rsidRPr="00C60D57">
        <w:t>款。</w:t>
      </w:r>
    </w:p>
  </w:footnote>
  <w:footnote w:id="1064">
    <w:p w:rsidR="00AB00DE" w:rsidRPr="00C60D57" w:rsidRDefault="00AB00DE" w:rsidP="00CD5A8C">
      <w:pPr>
        <w:pStyle w:val="a4"/>
        <w:tabs>
          <w:tab w:val="right" w:pos="1195"/>
          <w:tab w:val="left" w:pos="1264"/>
          <w:tab w:val="left" w:pos="1695"/>
          <w:tab w:val="left" w:pos="2126"/>
          <w:tab w:val="left" w:pos="2557"/>
        </w:tabs>
        <w:ind w:right="1264"/>
      </w:pPr>
      <w:r w:rsidRPr="00C60D57">
        <w:tab/>
      </w:r>
      <w:r w:rsidRPr="00193F6E">
        <w:rPr>
          <w:rStyle w:val="a5"/>
          <w:szCs w:val="21"/>
        </w:rPr>
        <w:footnoteRef/>
      </w:r>
      <w:r w:rsidRPr="00C60D57">
        <w:tab/>
      </w:r>
      <w:r w:rsidRPr="00C60D57">
        <w:t>《起诉应对</w:t>
      </w:r>
      <w:r w:rsidRPr="00C60D57">
        <w:t>1994</w:t>
      </w:r>
      <w:r w:rsidRPr="00C60D57">
        <w:t>年</w:t>
      </w:r>
      <w:r w:rsidRPr="00C60D57">
        <w:t>1</w:t>
      </w:r>
      <w:r w:rsidRPr="00C60D57">
        <w:t>月</w:t>
      </w:r>
      <w:r w:rsidRPr="00C60D57">
        <w:t>1</w:t>
      </w:r>
      <w:r w:rsidRPr="00C60D57">
        <w:t>日至</w:t>
      </w:r>
      <w:r w:rsidRPr="00C60D57">
        <w:t>12</w:t>
      </w:r>
      <w:r w:rsidRPr="00C60D57">
        <w:t>月</w:t>
      </w:r>
      <w:r w:rsidRPr="00C60D57">
        <w:t>31</w:t>
      </w:r>
      <w:r w:rsidRPr="00C60D57">
        <w:t>日期间在卢旺达境内的灭绝种族和其他严重违反国际人道主义法行为负责者和应对这一期间邻国境内灭绝种族和其他这类违法行为负责的卢旺达公民的国际刑事法庭规约》，经安全理事会</w:t>
      </w:r>
      <w:r w:rsidRPr="00C60D57">
        <w:t>1994</w:t>
      </w:r>
      <w:r w:rsidRPr="00C60D57">
        <w:t>年</w:t>
      </w:r>
      <w:r w:rsidRPr="00C60D57">
        <w:t>11</w:t>
      </w:r>
      <w:r w:rsidRPr="00C60D57">
        <w:t>月</w:t>
      </w:r>
      <w:r w:rsidRPr="00C60D57">
        <w:t>8</w:t>
      </w:r>
      <w:r w:rsidRPr="00C60D57">
        <w:t>日第</w:t>
      </w:r>
      <w:r w:rsidRPr="00C60D57">
        <w:t>955</w:t>
      </w:r>
      <w:r>
        <w:t>(</w:t>
      </w:r>
      <w:r w:rsidRPr="00C60D57">
        <w:t>1994</w:t>
      </w:r>
      <w:r>
        <w:t>)</w:t>
      </w:r>
      <w:r w:rsidRPr="00C60D57">
        <w:t>号决议通过，附件，第</w:t>
      </w:r>
      <w:r w:rsidRPr="00C60D57">
        <w:t>6</w:t>
      </w:r>
      <w:r w:rsidRPr="00C60D57">
        <w:t>条第</w:t>
      </w:r>
      <w:r w:rsidRPr="00C60D57">
        <w:t>1</w:t>
      </w:r>
      <w:r w:rsidRPr="00C60D57">
        <w:t>款。</w:t>
      </w:r>
    </w:p>
  </w:footnote>
  <w:footnote w:id="1065">
    <w:p w:rsidR="00AB00DE" w:rsidRPr="00502429" w:rsidRDefault="00AB00DE" w:rsidP="00560424">
      <w:pPr>
        <w:pStyle w:val="a4"/>
        <w:rPr>
          <w:rFonts w:eastAsiaTheme="minorEastAsia"/>
        </w:rPr>
      </w:pPr>
      <w:r w:rsidRPr="00C60D57">
        <w:tab/>
      </w:r>
      <w:r w:rsidRPr="00193F6E">
        <w:rPr>
          <w:rStyle w:val="a5"/>
          <w:szCs w:val="21"/>
        </w:rPr>
        <w:footnoteRef/>
      </w:r>
      <w:r w:rsidRPr="00C60D57">
        <w:tab/>
      </w:r>
      <w:r w:rsidRPr="00C60D57">
        <w:t>见</w:t>
      </w:r>
      <w:r>
        <w:rPr>
          <w:rFonts w:eastAsiaTheme="minorEastAsia" w:hint="eastAsia"/>
        </w:rPr>
        <w:t>《罗马规约》</w:t>
      </w:r>
      <w:r>
        <w:rPr>
          <w:rFonts w:eastAsiaTheme="minorEastAsia" w:hint="eastAsia"/>
        </w:rPr>
        <w:t>(</w:t>
      </w:r>
      <w:r>
        <w:rPr>
          <w:rFonts w:eastAsiaTheme="minorEastAsia" w:hint="eastAsia"/>
        </w:rPr>
        <w:t>上文脚注</w:t>
      </w:r>
      <w:r>
        <w:rPr>
          <w:rFonts w:eastAsiaTheme="minorEastAsia"/>
        </w:rPr>
        <w:fldChar w:fldCharType="begin"/>
      </w:r>
      <w:r>
        <w:rPr>
          <w:rFonts w:eastAsiaTheme="minorEastAsia"/>
        </w:rPr>
        <w:instrText xml:space="preserve"> </w:instrText>
      </w:r>
      <w:r>
        <w:rPr>
          <w:rFonts w:eastAsiaTheme="minorEastAsia" w:hint="eastAsia"/>
        </w:rPr>
        <w:instrText>NOTEREF _Ref426474525 \h</w:instrText>
      </w:r>
      <w:r>
        <w:rPr>
          <w:rFonts w:eastAsiaTheme="minorEastAsia"/>
        </w:rPr>
        <w:instrText xml:space="preserve"> </w:instrText>
      </w:r>
      <w:r>
        <w:rPr>
          <w:rFonts w:eastAsiaTheme="minorEastAsia"/>
        </w:rPr>
      </w:r>
      <w:r>
        <w:rPr>
          <w:rFonts w:eastAsiaTheme="minorEastAsia"/>
        </w:rPr>
        <w:fldChar w:fldCharType="separate"/>
      </w:r>
      <w:r w:rsidR="00A73EB9">
        <w:rPr>
          <w:rFonts w:eastAsiaTheme="minorEastAsia"/>
        </w:rPr>
        <w:t>1054</w:t>
      </w:r>
      <w:r>
        <w:rPr>
          <w:rFonts w:eastAsiaTheme="minorEastAsia"/>
        </w:rPr>
        <w:fldChar w:fldCharType="end"/>
      </w:r>
      <w:r>
        <w:rPr>
          <w:rFonts w:eastAsiaTheme="minorEastAsia" w:hint="eastAsia"/>
        </w:rPr>
        <w:t>)</w:t>
      </w:r>
      <w:r>
        <w:rPr>
          <w:rFonts w:eastAsiaTheme="minorEastAsia" w:hint="eastAsia"/>
        </w:rPr>
        <w:t>，</w:t>
      </w:r>
      <w:r w:rsidRPr="00C60D57">
        <w:t>第</w:t>
      </w:r>
      <w:r>
        <w:rPr>
          <w:rFonts w:eastAsiaTheme="minorEastAsia" w:hint="eastAsia"/>
        </w:rPr>
        <w:t>二十五</w:t>
      </w:r>
      <w:r w:rsidRPr="00C60D57">
        <w:t>条第</w:t>
      </w:r>
      <w:r>
        <w:rPr>
          <w:rFonts w:eastAsiaTheme="minorEastAsia" w:hint="eastAsia"/>
        </w:rPr>
        <w:t>(</w:t>
      </w:r>
      <w:r>
        <w:rPr>
          <w:rFonts w:eastAsiaTheme="minorEastAsia" w:hint="eastAsia"/>
        </w:rPr>
        <w:t>二</w:t>
      </w:r>
      <w:r>
        <w:rPr>
          <w:rFonts w:eastAsiaTheme="minorEastAsia" w:hint="eastAsia"/>
        </w:rPr>
        <w:t>)</w:t>
      </w:r>
      <w:r w:rsidRPr="00C60D57">
        <w:t>款和第</w:t>
      </w:r>
      <w:r>
        <w:rPr>
          <w:rFonts w:eastAsiaTheme="minorEastAsia" w:hint="eastAsia"/>
        </w:rPr>
        <w:t>(</w:t>
      </w:r>
      <w:r>
        <w:rPr>
          <w:rFonts w:eastAsiaTheme="minorEastAsia" w:hint="eastAsia"/>
        </w:rPr>
        <w:t>三</w:t>
      </w:r>
      <w:r>
        <w:rPr>
          <w:rFonts w:eastAsiaTheme="minorEastAsia" w:hint="eastAsia"/>
        </w:rPr>
        <w:t>)</w:t>
      </w:r>
      <w:r w:rsidRPr="00C60D57">
        <w:t>款</w:t>
      </w:r>
      <w:r>
        <w:rPr>
          <w:rFonts w:eastAsiaTheme="minorEastAsia" w:hint="eastAsia"/>
        </w:rPr>
        <w:t>第</w:t>
      </w:r>
      <w:r>
        <w:rPr>
          <w:rFonts w:eastAsiaTheme="minorEastAsia" w:hint="eastAsia"/>
        </w:rPr>
        <w:t>1</w:t>
      </w:r>
      <w:r w:rsidRPr="00C60D57">
        <w:t>项。</w:t>
      </w:r>
    </w:p>
  </w:footnote>
  <w:footnote w:id="1066">
    <w:p w:rsidR="00AB00DE" w:rsidRPr="00C60D57" w:rsidRDefault="00AB00DE" w:rsidP="00CD5A8C">
      <w:pPr>
        <w:pStyle w:val="a4"/>
      </w:pPr>
      <w:r w:rsidRPr="00C60D57">
        <w:tab/>
      </w:r>
      <w:r w:rsidRPr="00193F6E">
        <w:rPr>
          <w:rStyle w:val="a5"/>
          <w:szCs w:val="21"/>
        </w:rPr>
        <w:footnoteRef/>
      </w:r>
      <w:r w:rsidRPr="00C60D57">
        <w:tab/>
      </w:r>
      <w:r w:rsidRPr="00C60D57">
        <w:t>《联合国和塞拉利昂政府关于设立塞拉利昂特别法庭协定》</w:t>
      </w:r>
      <w:r>
        <w:t>(</w:t>
      </w:r>
      <w:r w:rsidRPr="00C60D57">
        <w:t>附《规约》</w:t>
      </w:r>
      <w:r>
        <w:t>)</w:t>
      </w:r>
      <w:r w:rsidRPr="00C60D57">
        <w:t>，</w:t>
      </w:r>
      <w:r>
        <w:t>(</w:t>
      </w:r>
      <w:r w:rsidRPr="00C60D57">
        <w:t>2002</w:t>
      </w:r>
      <w:r w:rsidRPr="00C60D57">
        <w:t>年</w:t>
      </w:r>
      <w:r w:rsidRPr="00C60D57">
        <w:t>1</w:t>
      </w:r>
      <w:r w:rsidRPr="00C60D57">
        <w:t>月</w:t>
      </w:r>
      <w:r w:rsidRPr="00C60D57">
        <w:t>16</w:t>
      </w:r>
      <w:r w:rsidRPr="00C60D57">
        <w:t>日，弗里敦</w:t>
      </w:r>
      <w:r>
        <w:t>)</w:t>
      </w:r>
      <w:r w:rsidRPr="00C60D57">
        <w:t>，联合国，《条约汇编》，第</w:t>
      </w:r>
      <w:r w:rsidRPr="00C60D57">
        <w:t>2178</w:t>
      </w:r>
      <w:r w:rsidRPr="00C60D57">
        <w:t>卷，第</w:t>
      </w:r>
      <w:r w:rsidRPr="00C60D57">
        <w:t>38342</w:t>
      </w:r>
      <w:r w:rsidRPr="00C60D57">
        <w:t>号，第</w:t>
      </w:r>
      <w:r w:rsidRPr="00C60D57">
        <w:t>137</w:t>
      </w:r>
      <w:r w:rsidRPr="00C60D57">
        <w:t>页，第</w:t>
      </w:r>
      <w:r w:rsidRPr="00C60D57">
        <w:t>6</w:t>
      </w:r>
      <w:r w:rsidRPr="00C60D57">
        <w:t>条第</w:t>
      </w:r>
      <w:r w:rsidRPr="00C60D57">
        <w:t>1</w:t>
      </w:r>
      <w:r w:rsidRPr="00C60D57">
        <w:t>款</w:t>
      </w:r>
      <w:r>
        <w:t>(</w:t>
      </w:r>
      <w:r w:rsidRPr="00C60D57">
        <w:t>下称《塞拉利昂问题特别法庭规约》</w:t>
      </w:r>
      <w:r>
        <w:t>)</w:t>
      </w:r>
      <w:r w:rsidRPr="00C60D57">
        <w:t>。</w:t>
      </w:r>
    </w:p>
  </w:footnote>
  <w:footnote w:id="1067">
    <w:p w:rsidR="00AB00DE" w:rsidRPr="00C60D57" w:rsidRDefault="00AB00DE" w:rsidP="00CD5A8C">
      <w:pPr>
        <w:pStyle w:val="a4"/>
      </w:pPr>
      <w:r w:rsidRPr="00C60D57">
        <w:tab/>
      </w:r>
      <w:r w:rsidRPr="00193F6E">
        <w:rPr>
          <w:rStyle w:val="a5"/>
          <w:szCs w:val="21"/>
        </w:rPr>
        <w:footnoteRef/>
      </w:r>
      <w:r w:rsidRPr="00C60D57">
        <w:tab/>
      </w:r>
      <w:r>
        <w:t>联合国东帝汶过渡行政当局</w:t>
      </w:r>
      <w:r>
        <w:rPr>
          <w:rFonts w:hint="eastAsia"/>
        </w:rPr>
        <w:t>,</w:t>
      </w:r>
      <w:r w:rsidRPr="00C60D57">
        <w:t>《关于设立具有重大刑事罪专属管辖权的审判小组的第</w:t>
      </w:r>
      <w:r w:rsidRPr="00C60D57">
        <w:t>2000/15</w:t>
      </w:r>
      <w:r w:rsidRPr="00C60D57">
        <w:t>号条例》</w:t>
      </w:r>
      <w:r>
        <w:t>(</w:t>
      </w:r>
      <w:r w:rsidRPr="00C60D57">
        <w:t>UNTAET/REG/2000/15</w:t>
      </w:r>
      <w:r>
        <w:t>)</w:t>
      </w:r>
      <w:r w:rsidRPr="00C60D57">
        <w:t>，第</w:t>
      </w:r>
      <w:r w:rsidRPr="00C60D57">
        <w:t>5</w:t>
      </w:r>
      <w:r w:rsidRPr="00C60D57">
        <w:t>节</w:t>
      </w:r>
      <w:r>
        <w:t>(</w:t>
      </w:r>
      <w:r w:rsidRPr="00C60D57">
        <w:t>2000</w:t>
      </w:r>
      <w:r w:rsidRPr="00C60D57">
        <w:t>年</w:t>
      </w:r>
      <w:r>
        <w:t>)</w:t>
      </w:r>
      <w:r>
        <w:rPr>
          <w:rFonts w:hint="eastAsia"/>
        </w:rPr>
        <w:t xml:space="preserve"> </w:t>
      </w:r>
      <w:r>
        <w:t>(</w:t>
      </w:r>
      <w:r w:rsidRPr="00C60D57">
        <w:t>下称《</w:t>
      </w:r>
      <w:r>
        <w:t>东帝汶法庭宪章</w:t>
      </w:r>
      <w:r w:rsidRPr="00C60D57">
        <w:t>》</w:t>
      </w:r>
      <w:r>
        <w:t>)</w:t>
      </w:r>
      <w:r w:rsidRPr="00C60D57">
        <w:t>。</w:t>
      </w:r>
    </w:p>
  </w:footnote>
  <w:footnote w:id="1068">
    <w:p w:rsidR="00AB00DE" w:rsidRPr="00C60D57" w:rsidRDefault="00AB00DE" w:rsidP="00CD5A8C">
      <w:pPr>
        <w:pStyle w:val="a4"/>
      </w:pPr>
      <w:r w:rsidRPr="00C60D57">
        <w:tab/>
      </w:r>
      <w:r w:rsidRPr="00193F6E">
        <w:rPr>
          <w:rStyle w:val="a5"/>
          <w:szCs w:val="21"/>
        </w:rPr>
        <w:footnoteRef/>
      </w:r>
      <w:r w:rsidRPr="00C60D57">
        <w:tab/>
      </w:r>
      <w:r w:rsidRPr="00C60D57">
        <w:t>《设立起诉在民主柬埔寨时期实施的罪行的柬埔寨法院特别法庭法》，</w:t>
      </w:r>
      <w:r w:rsidRPr="00C60D57">
        <w:t>2004</w:t>
      </w:r>
      <w:r w:rsidRPr="00C60D57">
        <w:t>年</w:t>
      </w:r>
      <w:r w:rsidRPr="00C60D57">
        <w:t>10</w:t>
      </w:r>
      <w:r w:rsidRPr="00C60D57">
        <w:t>月</w:t>
      </w:r>
      <w:r w:rsidRPr="00C60D57">
        <w:t>27</w:t>
      </w:r>
      <w:r w:rsidRPr="00C60D57">
        <w:t>日</w:t>
      </w:r>
      <w:r>
        <w:t>(</w:t>
      </w:r>
      <w:r w:rsidRPr="00C60D57">
        <w:t>NS/RKM/1004/006</w:t>
      </w:r>
      <w:r>
        <w:t>)</w:t>
      </w:r>
      <w:r w:rsidRPr="00C60D57">
        <w:t>，第</w:t>
      </w:r>
      <w:r w:rsidRPr="00C60D57">
        <w:t>5</w:t>
      </w:r>
      <w:r w:rsidRPr="00C60D57">
        <w:t>条。可查阅</w:t>
      </w:r>
      <w:hyperlink r:id="rId204" w:history="1">
        <w:r w:rsidRPr="00C60D57">
          <w:rPr>
            <w:rStyle w:val="af"/>
          </w:rPr>
          <w:t>www.eccc.gov.kh/en/documents/legal/law-establishment-extraordinary-chambers-amended</w:t>
        </w:r>
      </w:hyperlink>
      <w:r w:rsidRPr="00C60D57">
        <w:t xml:space="preserve"> </w:t>
      </w:r>
      <w:r>
        <w:t>(</w:t>
      </w:r>
      <w:r w:rsidRPr="00C60D57">
        <w:t>2016</w:t>
      </w:r>
      <w:r w:rsidRPr="00C60D57">
        <w:t>年</w:t>
      </w:r>
      <w:r w:rsidRPr="00C60D57">
        <w:t>6</w:t>
      </w:r>
      <w:r w:rsidRPr="00C60D57">
        <w:t>月</w:t>
      </w:r>
      <w:r w:rsidRPr="00C60D57">
        <w:t>22</w:t>
      </w:r>
      <w:r w:rsidRPr="00C60D57">
        <w:t>日检索，下称《柬埔寨特别法庭协定》</w:t>
      </w:r>
      <w:r>
        <w:t>)</w:t>
      </w:r>
      <w:r w:rsidRPr="00C60D57">
        <w:t>。另见《联合国和柬埔寨王国政府关于按照柬埔寨法律起诉在民主柬埔寨时期实施的罪行的协定》</w:t>
      </w:r>
      <w:r>
        <w:t>(</w:t>
      </w:r>
      <w:r w:rsidRPr="00C60D57">
        <w:t>2003</w:t>
      </w:r>
      <w:r w:rsidRPr="00C60D57">
        <w:t>年</w:t>
      </w:r>
      <w:r w:rsidRPr="00C60D57">
        <w:t>6</w:t>
      </w:r>
      <w:r w:rsidRPr="00C60D57">
        <w:t>月</w:t>
      </w:r>
      <w:r w:rsidRPr="00C60D57">
        <w:t>6</w:t>
      </w:r>
      <w:r w:rsidRPr="00C60D57">
        <w:t>日，金边</w:t>
      </w:r>
      <w:r>
        <w:t>)</w:t>
      </w:r>
      <w:r w:rsidRPr="00C60D57">
        <w:t>，联合国，《条约汇编》，第</w:t>
      </w:r>
      <w:r w:rsidRPr="00C60D57">
        <w:t>2329</w:t>
      </w:r>
      <w:r w:rsidRPr="00C60D57">
        <w:t>卷，第</w:t>
      </w:r>
      <w:r w:rsidRPr="00C60D57">
        <w:t>117</w:t>
      </w:r>
      <w:r w:rsidRPr="00C60D57">
        <w:t>页。</w:t>
      </w:r>
    </w:p>
  </w:footnote>
  <w:footnote w:id="1069">
    <w:p w:rsidR="00AB00DE" w:rsidRPr="00C60D57" w:rsidRDefault="00AB00DE" w:rsidP="00255402">
      <w:pPr>
        <w:pStyle w:val="a4"/>
      </w:pPr>
      <w:r w:rsidRPr="00C60D57">
        <w:tab/>
      </w:r>
      <w:r w:rsidRPr="00193F6E">
        <w:rPr>
          <w:rStyle w:val="a5"/>
          <w:szCs w:val="21"/>
        </w:rPr>
        <w:footnoteRef/>
      </w:r>
      <w:r w:rsidRPr="00C60D57">
        <w:tab/>
      </w:r>
      <w:r>
        <w:t>《伊拉克特别法庭规约》</w:t>
      </w:r>
      <w:r>
        <w:rPr>
          <w:rFonts w:hint="eastAsia"/>
        </w:rPr>
        <w:t>,</w:t>
      </w:r>
      <w:r w:rsidRPr="00C60D57">
        <w:t>《国际法材料》，第</w:t>
      </w:r>
      <w:r w:rsidRPr="00C60D57">
        <w:t>43</w:t>
      </w:r>
      <w:r w:rsidRPr="00C60D57">
        <w:t>卷，第</w:t>
      </w:r>
      <w:r w:rsidRPr="00C60D57">
        <w:t>23</w:t>
      </w:r>
      <w:r>
        <w:rPr>
          <w:rFonts w:hint="eastAsia"/>
        </w:rPr>
        <w:t>1</w:t>
      </w:r>
      <w:r w:rsidRPr="00C60D57">
        <w:t>页，第</w:t>
      </w:r>
      <w:r w:rsidRPr="00C60D57">
        <w:t>10</w:t>
      </w:r>
      <w:r>
        <w:t>(</w:t>
      </w:r>
      <w:r w:rsidRPr="00C60D57">
        <w:t>b</w:t>
      </w:r>
      <w:r>
        <w:t>)</w:t>
      </w:r>
      <w:r w:rsidRPr="00C60D57">
        <w:t>条</w:t>
      </w:r>
      <w:r>
        <w:t>(</w:t>
      </w:r>
      <w:r w:rsidRPr="00C60D57">
        <w:t>2004</w:t>
      </w:r>
      <w:r w:rsidRPr="00C60D57">
        <w:t>年</w:t>
      </w:r>
      <w:r>
        <w:t>)</w:t>
      </w:r>
      <w:r>
        <w:rPr>
          <w:rFonts w:hint="eastAsia"/>
        </w:rPr>
        <w:t xml:space="preserve"> </w:t>
      </w:r>
      <w:r>
        <w:t>(</w:t>
      </w:r>
      <w:r w:rsidRPr="00C60D57">
        <w:t>下称</w:t>
      </w:r>
      <w:r>
        <w:rPr>
          <w:rFonts w:hint="eastAsia"/>
        </w:rPr>
        <w:t>“</w:t>
      </w:r>
      <w:r w:rsidRPr="00C60D57">
        <w:t>伊拉克最高刑事法庭</w:t>
      </w:r>
      <w:r>
        <w:rPr>
          <w:rFonts w:hint="eastAsia"/>
        </w:rPr>
        <w:t>”</w:t>
      </w:r>
      <w:r>
        <w:t>)</w:t>
      </w:r>
      <w:r w:rsidRPr="00C60D57">
        <w:t>。伊拉克临时政府</w:t>
      </w:r>
      <w:r w:rsidRPr="00C60D57">
        <w:t>2005</w:t>
      </w:r>
      <w:r w:rsidRPr="00C60D57">
        <w:t>年在原规约的基础上颁布了新的规约，将法庭更名为</w:t>
      </w:r>
      <w:r>
        <w:rPr>
          <w:rFonts w:hint="eastAsia"/>
        </w:rPr>
        <w:t>“</w:t>
      </w:r>
      <w:r w:rsidRPr="00C60D57">
        <w:t>伊拉克最高刑事法庭</w:t>
      </w:r>
      <w:r>
        <w:rPr>
          <w:rFonts w:hint="eastAsia"/>
        </w:rPr>
        <w:t>”</w:t>
      </w:r>
      <w:r w:rsidRPr="00C60D57">
        <w:t>。见《伊拉克特别法庭法》，第</w:t>
      </w:r>
      <w:r w:rsidRPr="00C60D57">
        <w:t>10</w:t>
      </w:r>
      <w:r w:rsidRPr="00C60D57">
        <w:t>号，《伊拉克共和国政府公报》，第</w:t>
      </w:r>
      <w:r w:rsidRPr="00C60D57">
        <w:t>47</w:t>
      </w:r>
      <w:r w:rsidRPr="00C60D57">
        <w:t>卷，第</w:t>
      </w:r>
      <w:r w:rsidRPr="00C60D57">
        <w:t>4006</w:t>
      </w:r>
      <w:r w:rsidRPr="00C60D57">
        <w:t>号</w:t>
      </w:r>
      <w:r>
        <w:t>(</w:t>
      </w:r>
      <w:r w:rsidRPr="00C60D57">
        <w:t>2005</w:t>
      </w:r>
      <w:r w:rsidRPr="00C60D57">
        <w:t>年</w:t>
      </w:r>
      <w:r w:rsidRPr="00C60D57">
        <w:t>10</w:t>
      </w:r>
      <w:r w:rsidRPr="00C60D57">
        <w:t>月</w:t>
      </w:r>
      <w:r w:rsidRPr="00C60D57">
        <w:t>18</w:t>
      </w:r>
      <w:r w:rsidRPr="00C60D57">
        <w:t>日</w:t>
      </w:r>
      <w:r>
        <w:t>)</w:t>
      </w:r>
      <w:r w:rsidRPr="00C60D57">
        <w:t>。</w:t>
      </w:r>
    </w:p>
  </w:footnote>
  <w:footnote w:id="1070">
    <w:p w:rsidR="00AB00DE" w:rsidRPr="00C60D57" w:rsidRDefault="00AB00DE" w:rsidP="00CD5A8C">
      <w:pPr>
        <w:pStyle w:val="a4"/>
      </w:pPr>
      <w:r w:rsidRPr="00C60D57">
        <w:tab/>
      </w:r>
      <w:r w:rsidRPr="00193F6E">
        <w:rPr>
          <w:rStyle w:val="a5"/>
          <w:szCs w:val="21"/>
        </w:rPr>
        <w:footnoteRef/>
      </w:r>
      <w:r w:rsidRPr="00C60D57">
        <w:tab/>
      </w:r>
      <w:r w:rsidRPr="00C60D57">
        <w:t>《在塞内加尔法院系统内设立的起诉</w:t>
      </w:r>
      <w:r w:rsidRPr="00C60D57">
        <w:t>1982</w:t>
      </w:r>
      <w:r w:rsidRPr="00C60D57">
        <w:t>年</w:t>
      </w:r>
      <w:r w:rsidRPr="00C60D57">
        <w:t>6</w:t>
      </w:r>
      <w:r w:rsidRPr="00C60D57">
        <w:t>月</w:t>
      </w:r>
      <w:r w:rsidRPr="00C60D57">
        <w:t>7</w:t>
      </w:r>
      <w:r w:rsidRPr="00C60D57">
        <w:t>日至</w:t>
      </w:r>
      <w:r w:rsidRPr="00C60D57">
        <w:t>1990</w:t>
      </w:r>
      <w:r w:rsidRPr="00C60D57">
        <w:t>年</w:t>
      </w:r>
      <w:r w:rsidRPr="00C60D57">
        <w:t>12</w:t>
      </w:r>
      <w:r w:rsidRPr="00C60D57">
        <w:t>月</w:t>
      </w:r>
      <w:r w:rsidRPr="00C60D57">
        <w:t>1</w:t>
      </w:r>
      <w:r>
        <w:t>日间在乍得共和国领土内所犯国际罪行的非洲特别法庭规约》</w:t>
      </w:r>
      <w:r>
        <w:t>,</w:t>
      </w:r>
      <w:r w:rsidRPr="00C60D57">
        <w:t>《国际法材料》，第</w:t>
      </w:r>
      <w:r w:rsidRPr="00C60D57">
        <w:t>52</w:t>
      </w:r>
      <w:r w:rsidRPr="00C60D57">
        <w:t>卷，第</w:t>
      </w:r>
      <w:r w:rsidRPr="00C60D57">
        <w:t>1028</w:t>
      </w:r>
      <w:r w:rsidRPr="00C60D57">
        <w:t>页，第</w:t>
      </w:r>
      <w:r w:rsidRPr="00C60D57">
        <w:t>4</w:t>
      </w:r>
      <w:r>
        <w:t>(</w:t>
      </w:r>
      <w:r w:rsidRPr="00C60D57">
        <w:t>b</w:t>
      </w:r>
      <w:r>
        <w:t>)</w:t>
      </w:r>
      <w:r w:rsidRPr="00C60D57">
        <w:t>和第</w:t>
      </w:r>
      <w:r w:rsidRPr="00C60D57">
        <w:t>6</w:t>
      </w:r>
      <w:r w:rsidRPr="00C60D57">
        <w:t>条</w:t>
      </w:r>
      <w:r>
        <w:t xml:space="preserve"> (</w:t>
      </w:r>
      <w:r w:rsidRPr="00C60D57">
        <w:t>2013</w:t>
      </w:r>
      <w:r w:rsidRPr="00C60D57">
        <w:t>年</w:t>
      </w:r>
      <w:r>
        <w:t>)</w:t>
      </w:r>
      <w:r>
        <w:rPr>
          <w:rFonts w:hint="eastAsia"/>
        </w:rPr>
        <w:t xml:space="preserve"> </w:t>
      </w:r>
      <w:r>
        <w:t>(</w:t>
      </w:r>
      <w:r w:rsidRPr="00C60D57">
        <w:t>下称</w:t>
      </w:r>
      <w:r>
        <w:rPr>
          <w:rFonts w:hint="eastAsia"/>
        </w:rPr>
        <w:t>“</w:t>
      </w:r>
      <w:r w:rsidRPr="00C60D57">
        <w:t>非洲特别法庭规约</w:t>
      </w:r>
      <w:r>
        <w:rPr>
          <w:rFonts w:hint="eastAsia"/>
        </w:rPr>
        <w:t>”</w:t>
      </w:r>
      <w:r>
        <w:t>)</w:t>
      </w:r>
      <w:r w:rsidRPr="00C60D57">
        <w:t>。</w:t>
      </w:r>
    </w:p>
  </w:footnote>
  <w:footnote w:id="1071">
    <w:p w:rsidR="00AB00DE" w:rsidRPr="00C60D57" w:rsidRDefault="00AB00DE" w:rsidP="00CD5A8C">
      <w:pPr>
        <w:pStyle w:val="a4"/>
      </w:pPr>
      <w:r w:rsidRPr="00C60D57">
        <w:tab/>
      </w:r>
      <w:r w:rsidRPr="00193F6E">
        <w:rPr>
          <w:rStyle w:val="a5"/>
          <w:szCs w:val="21"/>
        </w:rPr>
        <w:footnoteRef/>
      </w:r>
      <w:r w:rsidRPr="00C60D57">
        <w:tab/>
      </w:r>
      <w:r w:rsidRPr="00C60D57">
        <w:t>《防止及惩治灭绝种族罪公约》，第三条</w:t>
      </w:r>
      <w:r>
        <w:t>(</w:t>
      </w:r>
      <w:r w:rsidRPr="00C60D57">
        <w:t>a</w:t>
      </w:r>
      <w:r>
        <w:t>)</w:t>
      </w:r>
      <w:r w:rsidRPr="00C60D57">
        <w:t>项</w:t>
      </w:r>
      <w:r>
        <w:t>)</w:t>
      </w:r>
      <w:r w:rsidRPr="00C60D57">
        <w:t>和第四条。</w:t>
      </w:r>
    </w:p>
  </w:footnote>
  <w:footnote w:id="1072">
    <w:p w:rsidR="00AB00DE" w:rsidRPr="00C60D57" w:rsidRDefault="00AB00DE" w:rsidP="00560424">
      <w:pPr>
        <w:pStyle w:val="a4"/>
      </w:pPr>
      <w:r w:rsidRPr="00193F6E">
        <w:rPr>
          <w:rStyle w:val="a5"/>
          <w:szCs w:val="21"/>
        </w:rPr>
        <w:tab/>
      </w:r>
      <w:r w:rsidRPr="00193F6E">
        <w:rPr>
          <w:rStyle w:val="a5"/>
          <w:szCs w:val="21"/>
        </w:rPr>
        <w:footnoteRef/>
      </w:r>
      <w:r w:rsidRPr="00C60D57">
        <w:tab/>
      </w:r>
      <w:r>
        <w:rPr>
          <w:rFonts w:eastAsiaTheme="minorEastAsia" w:hint="eastAsia"/>
        </w:rPr>
        <w:t>《罗马规约》</w:t>
      </w:r>
      <w:r>
        <w:rPr>
          <w:rFonts w:eastAsiaTheme="minorEastAsia" w:hint="eastAsia"/>
        </w:rPr>
        <w:t>(</w:t>
      </w:r>
      <w:r>
        <w:rPr>
          <w:rFonts w:eastAsiaTheme="minorEastAsia" w:hint="eastAsia"/>
        </w:rPr>
        <w:t>见上文脚注</w:t>
      </w:r>
      <w:r>
        <w:rPr>
          <w:rFonts w:eastAsiaTheme="minorEastAsia"/>
        </w:rPr>
        <w:fldChar w:fldCharType="begin"/>
      </w:r>
      <w:r>
        <w:rPr>
          <w:rFonts w:eastAsiaTheme="minorEastAsia"/>
        </w:rPr>
        <w:instrText xml:space="preserve"> </w:instrText>
      </w:r>
      <w:r>
        <w:rPr>
          <w:rFonts w:eastAsiaTheme="minorEastAsia" w:hint="eastAsia"/>
        </w:rPr>
        <w:instrText>NOTEREF _Ref426474525 \h</w:instrText>
      </w:r>
      <w:r>
        <w:rPr>
          <w:rFonts w:eastAsiaTheme="minorEastAsia"/>
        </w:rPr>
        <w:instrText xml:space="preserve"> </w:instrText>
      </w:r>
      <w:r>
        <w:rPr>
          <w:rFonts w:eastAsiaTheme="minorEastAsia"/>
        </w:rPr>
      </w:r>
      <w:r>
        <w:rPr>
          <w:rFonts w:eastAsiaTheme="minorEastAsia"/>
        </w:rPr>
        <w:fldChar w:fldCharType="separate"/>
      </w:r>
      <w:r w:rsidR="00A73EB9">
        <w:rPr>
          <w:rFonts w:eastAsiaTheme="minorEastAsia"/>
        </w:rPr>
        <w:t>1054</w:t>
      </w:r>
      <w:r>
        <w:rPr>
          <w:rFonts w:eastAsiaTheme="minorEastAsia"/>
        </w:rPr>
        <w:fldChar w:fldCharType="end"/>
      </w:r>
      <w:r>
        <w:rPr>
          <w:rFonts w:eastAsiaTheme="minorEastAsia" w:hint="eastAsia"/>
        </w:rPr>
        <w:t>)</w:t>
      </w:r>
      <w:r>
        <w:rPr>
          <w:rFonts w:eastAsiaTheme="minorEastAsia" w:hint="eastAsia"/>
        </w:rPr>
        <w:t>，</w:t>
      </w:r>
      <w:r w:rsidRPr="00634E33">
        <w:rPr>
          <w:lang w:val="zh-CN"/>
        </w:rPr>
        <w:t>第</w:t>
      </w:r>
      <w:r>
        <w:rPr>
          <w:rFonts w:eastAsiaTheme="minorEastAsia" w:hint="eastAsia"/>
          <w:lang w:val="zh-CN"/>
        </w:rPr>
        <w:t>二十五</w:t>
      </w:r>
      <w:r w:rsidRPr="00634E33">
        <w:rPr>
          <w:lang w:val="zh-CN"/>
        </w:rPr>
        <w:t>条第</w:t>
      </w:r>
      <w:r>
        <w:rPr>
          <w:rFonts w:eastAsiaTheme="minorEastAsia" w:hint="eastAsia"/>
          <w:lang w:val="zh-CN"/>
        </w:rPr>
        <w:t>(</w:t>
      </w:r>
      <w:r>
        <w:rPr>
          <w:rFonts w:eastAsiaTheme="minorEastAsia" w:hint="eastAsia"/>
          <w:lang w:val="zh-CN"/>
        </w:rPr>
        <w:t>三</w:t>
      </w:r>
      <w:r>
        <w:rPr>
          <w:rFonts w:eastAsiaTheme="minorEastAsia" w:hint="eastAsia"/>
          <w:lang w:val="zh-CN"/>
        </w:rPr>
        <w:t>)</w:t>
      </w:r>
      <w:r>
        <w:rPr>
          <w:rFonts w:eastAsiaTheme="minorEastAsia" w:hint="eastAsia"/>
          <w:lang w:val="zh-CN"/>
        </w:rPr>
        <w:t>款第</w:t>
      </w:r>
      <w:r>
        <w:rPr>
          <w:rFonts w:eastAsiaTheme="minorEastAsia" w:hint="eastAsia"/>
          <w:lang w:val="zh-CN"/>
        </w:rPr>
        <w:t>6</w:t>
      </w:r>
      <w:r w:rsidRPr="00634E33">
        <w:rPr>
          <w:lang w:val="zh-CN"/>
        </w:rPr>
        <w:t>项。</w:t>
      </w:r>
    </w:p>
  </w:footnote>
  <w:footnote w:id="1073">
    <w:p w:rsidR="00AB00DE" w:rsidRPr="00C60D57" w:rsidRDefault="00AB00DE" w:rsidP="00CD5A8C">
      <w:pPr>
        <w:pStyle w:val="a4"/>
      </w:pPr>
      <w:r w:rsidRPr="00193F6E">
        <w:rPr>
          <w:rStyle w:val="a5"/>
          <w:szCs w:val="21"/>
        </w:rPr>
        <w:tab/>
      </w:r>
      <w:r w:rsidRPr="00193F6E">
        <w:rPr>
          <w:rStyle w:val="a5"/>
          <w:szCs w:val="21"/>
        </w:rPr>
        <w:footnoteRef/>
      </w:r>
      <w:r w:rsidRPr="00C60D57">
        <w:tab/>
      </w:r>
      <w:r w:rsidRPr="00677AD9">
        <w:rPr>
          <w:rFonts w:eastAsia="楷体"/>
        </w:rPr>
        <w:t>检察官诉班达和杰宝案</w:t>
      </w:r>
      <w:r w:rsidRPr="00C60D57">
        <w:t>，</w:t>
      </w:r>
      <w:r w:rsidRPr="00C60D57">
        <w:t>ICC-02/05-03/09</w:t>
      </w:r>
      <w:r w:rsidRPr="00C60D57">
        <w:t>号案</w:t>
      </w:r>
      <w:r>
        <w:rPr>
          <w:rFonts w:eastAsiaTheme="minorEastAsia" w:hint="eastAsia"/>
        </w:rPr>
        <w:t>件</w:t>
      </w:r>
      <w:r w:rsidRPr="00C60D57">
        <w:t>，关于</w:t>
      </w:r>
      <w:r w:rsidRPr="00C60D57">
        <w:t>2011</w:t>
      </w:r>
      <w:r w:rsidRPr="00C60D57">
        <w:t>年</w:t>
      </w:r>
      <w:r w:rsidRPr="00C60D57">
        <w:t>3</w:t>
      </w:r>
      <w:r w:rsidRPr="00C60D57">
        <w:t>月</w:t>
      </w:r>
      <w:r w:rsidRPr="00C60D57">
        <w:t>7</w:t>
      </w:r>
      <w:r w:rsidRPr="00C60D57">
        <w:t>日</w:t>
      </w:r>
      <w:r>
        <w:rPr>
          <w:rFonts w:hint="eastAsia"/>
        </w:rPr>
        <w:t>“</w:t>
      </w:r>
      <w:r w:rsidRPr="00C60D57">
        <w:t>确认指控的决定</w:t>
      </w:r>
      <w:r>
        <w:rPr>
          <w:rFonts w:hint="eastAsia"/>
        </w:rPr>
        <w:t>”</w:t>
      </w:r>
      <w:r w:rsidRPr="00C60D57">
        <w:t>的更正，国际刑事法院第一预审分庭，第</w:t>
      </w:r>
      <w:r w:rsidRPr="00C60D57">
        <w:t>96</w:t>
      </w:r>
      <w:r w:rsidRPr="00C60D57">
        <w:t>段。</w:t>
      </w:r>
    </w:p>
  </w:footnote>
  <w:footnote w:id="1074">
    <w:p w:rsidR="00AB00DE" w:rsidRPr="00C60D57" w:rsidRDefault="00AB00DE" w:rsidP="00560424">
      <w:pPr>
        <w:pStyle w:val="a4"/>
      </w:pPr>
      <w:r w:rsidRPr="00C60D57">
        <w:tab/>
      </w:r>
      <w:r w:rsidRPr="00193F6E">
        <w:rPr>
          <w:rStyle w:val="a5"/>
          <w:szCs w:val="21"/>
        </w:rPr>
        <w:footnoteRef/>
      </w:r>
      <w:r w:rsidRPr="00C60D57">
        <w:tab/>
      </w:r>
      <w:r w:rsidRPr="00C60D57">
        <w:t>《</w:t>
      </w:r>
      <w:r>
        <w:t>前南斯拉夫问题国际刑事法庭</w:t>
      </w:r>
      <w:r w:rsidRPr="00C60D57">
        <w:t>规约》</w:t>
      </w:r>
      <w:r>
        <w:t>(</w:t>
      </w:r>
      <w:r w:rsidRPr="00C60D57">
        <w:t>见上文脚注</w:t>
      </w:r>
      <w:r>
        <w:rPr>
          <w:rFonts w:eastAsiaTheme="minorEastAsia"/>
        </w:rPr>
        <w:fldChar w:fldCharType="begin"/>
      </w:r>
      <w:r>
        <w:instrText xml:space="preserve"> NOTEREF _Ref456626288 \h </w:instrText>
      </w:r>
      <w:r>
        <w:rPr>
          <w:rFonts w:eastAsiaTheme="minorEastAsia"/>
        </w:rPr>
      </w:r>
      <w:r>
        <w:rPr>
          <w:rFonts w:eastAsiaTheme="minorEastAsia"/>
        </w:rPr>
        <w:fldChar w:fldCharType="separate"/>
      </w:r>
      <w:r w:rsidR="00A73EB9">
        <w:t>1062</w:t>
      </w:r>
      <w:r>
        <w:rPr>
          <w:rFonts w:eastAsiaTheme="minorEastAsia"/>
        </w:rPr>
        <w:fldChar w:fldCharType="end"/>
      </w:r>
      <w:r>
        <w:t>)</w:t>
      </w:r>
      <w:r w:rsidRPr="00C60D57">
        <w:t>，第</w:t>
      </w:r>
      <w:r w:rsidRPr="00C60D57">
        <w:t>7</w:t>
      </w:r>
      <w:r w:rsidRPr="00C60D57">
        <w:t>条第</w:t>
      </w:r>
      <w:r w:rsidRPr="00C60D57">
        <w:t>1</w:t>
      </w:r>
      <w:r w:rsidRPr="00C60D57">
        <w:t>款。该法庭的各项裁决分析了此种刑事责任。例如见</w:t>
      </w:r>
      <w:r w:rsidRPr="00C57F39">
        <w:rPr>
          <w:rFonts w:eastAsia="楷体"/>
        </w:rPr>
        <w:t>检察官诉</w:t>
      </w:r>
      <w:r w:rsidRPr="00C57F39">
        <w:rPr>
          <w:rFonts w:eastAsia="楷体"/>
          <w:i/>
        </w:rPr>
        <w:t>Duško Tadić</w:t>
      </w:r>
      <w:r w:rsidRPr="00C57F39">
        <w:rPr>
          <w:rFonts w:eastAsia="楷体"/>
        </w:rPr>
        <w:t>案</w:t>
      </w:r>
      <w:r w:rsidRPr="00C60D57">
        <w:t>，</w:t>
      </w:r>
      <w:r w:rsidRPr="00C60D57">
        <w:t>IT-94-1-A</w:t>
      </w:r>
      <w:r w:rsidRPr="00C60D57">
        <w:t>号案件</w:t>
      </w:r>
      <w:r>
        <w:t>，</w:t>
      </w:r>
      <w:r w:rsidRPr="00C60D57">
        <w:t>上诉庭，</w:t>
      </w:r>
      <w:r w:rsidRPr="00C60D57">
        <w:t>1999</w:t>
      </w:r>
      <w:r w:rsidRPr="00C60D57">
        <w:t>年</w:t>
      </w:r>
      <w:r w:rsidRPr="00C60D57">
        <w:t>7</w:t>
      </w:r>
      <w:r w:rsidRPr="00C60D57">
        <w:t>月</w:t>
      </w:r>
      <w:r w:rsidRPr="00C60D57">
        <w:t>15</w:t>
      </w:r>
      <w:r w:rsidRPr="00C60D57">
        <w:t>日判决，</w:t>
      </w:r>
      <w:r>
        <w:t>前南斯拉夫问题国际刑事法庭</w:t>
      </w:r>
      <w:r w:rsidRPr="00C60D57">
        <w:t>，</w:t>
      </w:r>
      <w:r w:rsidRPr="00C60D57">
        <w:t>1999</w:t>
      </w:r>
      <w:r w:rsidRPr="00C60D57">
        <w:t>年司法报告，第</w:t>
      </w:r>
      <w:r w:rsidRPr="00C60D57">
        <w:t>220</w:t>
      </w:r>
      <w:r w:rsidRPr="00C60D57">
        <w:t>段</w:t>
      </w:r>
      <w:r>
        <w:t>(</w:t>
      </w:r>
      <w:r w:rsidRPr="00C60D57">
        <w:t>下称</w:t>
      </w:r>
      <w:r>
        <w:rPr>
          <w:rFonts w:hint="eastAsia"/>
        </w:rPr>
        <w:t>“</w:t>
      </w:r>
      <w:r w:rsidRPr="00C60D57">
        <w:t>1999</w:t>
      </w:r>
      <w:r w:rsidRPr="00C60D57">
        <w:t>年</w:t>
      </w:r>
      <w:r w:rsidRPr="00C60D57">
        <w:rPr>
          <w:i/>
        </w:rPr>
        <w:t>Tadić</w:t>
      </w:r>
      <w:r w:rsidRPr="00C60D57">
        <w:t>案</w:t>
      </w:r>
      <w:r>
        <w:rPr>
          <w:rFonts w:hint="eastAsia"/>
        </w:rPr>
        <w:t>”</w:t>
      </w:r>
      <w:r>
        <w:t>)</w:t>
      </w:r>
      <w:r w:rsidRPr="00C60D57">
        <w:t xml:space="preserve"> </w:t>
      </w:r>
      <w:r>
        <w:t>(</w:t>
      </w:r>
      <w:r w:rsidRPr="00C60D57">
        <w:t>认定</w:t>
      </w:r>
      <w:r>
        <w:rPr>
          <w:rFonts w:hint="eastAsia"/>
        </w:rPr>
        <w:t>“</w:t>
      </w:r>
      <w:r w:rsidRPr="00C60D57">
        <w:t>共同策划概念作为共犯罪责的形式之一已为习惯国际法牢固确立</w:t>
      </w:r>
      <w:r>
        <w:rPr>
          <w:rFonts w:hint="eastAsia"/>
        </w:rPr>
        <w:t>”</w:t>
      </w:r>
      <w:r>
        <w:t>)</w:t>
      </w:r>
      <w:r w:rsidRPr="00C60D57">
        <w:t>。</w:t>
      </w:r>
    </w:p>
  </w:footnote>
  <w:footnote w:id="1075">
    <w:p w:rsidR="00AB00DE" w:rsidRPr="00C60D57" w:rsidRDefault="00AB00DE" w:rsidP="00560424">
      <w:pPr>
        <w:pStyle w:val="a4"/>
        <w:tabs>
          <w:tab w:val="right" w:pos="0"/>
        </w:tabs>
      </w:pPr>
      <w:r w:rsidRPr="00C60D57">
        <w:tab/>
      </w:r>
      <w:r w:rsidRPr="00193F6E">
        <w:rPr>
          <w:rStyle w:val="a5"/>
          <w:szCs w:val="21"/>
        </w:rPr>
        <w:footnoteRef/>
      </w:r>
      <w:r w:rsidRPr="00C60D57">
        <w:tab/>
      </w:r>
      <w:r w:rsidRPr="00C60D57">
        <w:t>《卢旺达问题国际</w:t>
      </w:r>
      <w:r>
        <w:rPr>
          <w:rFonts w:eastAsiaTheme="minorEastAsia" w:hint="eastAsia"/>
        </w:rPr>
        <w:t>刑事</w:t>
      </w:r>
      <w:r w:rsidRPr="00C60D57">
        <w:t>法庭规约》</w:t>
      </w:r>
      <w:r>
        <w:t>(</w:t>
      </w:r>
      <w:r w:rsidRPr="00C60D57">
        <w:t>见上文脚注</w:t>
      </w:r>
      <w:r>
        <w:rPr>
          <w:rFonts w:eastAsiaTheme="minorEastAsia"/>
        </w:rPr>
        <w:fldChar w:fldCharType="begin"/>
      </w:r>
      <w:r>
        <w:instrText xml:space="preserve"> NOTEREF _Ref456626318 \h </w:instrText>
      </w:r>
      <w:r>
        <w:rPr>
          <w:rFonts w:eastAsiaTheme="minorEastAsia"/>
        </w:rPr>
      </w:r>
      <w:r>
        <w:rPr>
          <w:rFonts w:eastAsiaTheme="minorEastAsia"/>
        </w:rPr>
        <w:fldChar w:fldCharType="separate"/>
      </w:r>
      <w:r w:rsidR="00A73EB9">
        <w:t>1063</w:t>
      </w:r>
      <w:r>
        <w:rPr>
          <w:rFonts w:eastAsiaTheme="minorEastAsia"/>
        </w:rPr>
        <w:fldChar w:fldCharType="end"/>
      </w:r>
      <w:r>
        <w:t>)</w:t>
      </w:r>
      <w:r>
        <w:t>，</w:t>
      </w:r>
      <w:r w:rsidRPr="00C60D57">
        <w:t>第</w:t>
      </w:r>
      <w:r w:rsidRPr="00C60D57">
        <w:t>6</w:t>
      </w:r>
      <w:r w:rsidRPr="00C60D57">
        <w:t>条第</w:t>
      </w:r>
      <w:r w:rsidRPr="00C60D57">
        <w:t>1</w:t>
      </w:r>
      <w:r w:rsidRPr="00C60D57">
        <w:t>款。</w:t>
      </w:r>
    </w:p>
  </w:footnote>
  <w:footnote w:id="1076">
    <w:p w:rsidR="00AB00DE" w:rsidRPr="00C60D57" w:rsidRDefault="00AB00DE" w:rsidP="00CD5A8C">
      <w:pPr>
        <w:pStyle w:val="a4"/>
        <w:tabs>
          <w:tab w:val="right" w:pos="0"/>
        </w:tabs>
      </w:pPr>
      <w:r w:rsidRPr="00C60D57">
        <w:tab/>
      </w:r>
      <w:r w:rsidRPr="00193F6E">
        <w:rPr>
          <w:rStyle w:val="a5"/>
          <w:szCs w:val="21"/>
        </w:rPr>
        <w:footnoteRef/>
      </w:r>
      <w:r w:rsidRPr="00C60D57">
        <w:tab/>
      </w:r>
      <w:r w:rsidRPr="00C60D57">
        <w:t>例如，见</w:t>
      </w:r>
      <w:r w:rsidRPr="00C57F39">
        <w:rPr>
          <w:rFonts w:eastAsia="楷体"/>
        </w:rPr>
        <w:t>检察官诉</w:t>
      </w:r>
      <w:r w:rsidRPr="00C57F39">
        <w:rPr>
          <w:rFonts w:eastAsia="楷体"/>
        </w:rPr>
        <w:t xml:space="preserve"> Furundžija</w:t>
      </w:r>
      <w:r w:rsidRPr="00C57F39">
        <w:rPr>
          <w:rFonts w:eastAsia="楷体" w:hint="eastAsia"/>
        </w:rPr>
        <w:t>案，</w:t>
      </w:r>
      <w:r w:rsidRPr="00C60D57">
        <w:t>IT-95-17/1-T</w:t>
      </w:r>
      <w:r w:rsidRPr="00C60D57">
        <w:t>号案件，</w:t>
      </w:r>
      <w:r w:rsidRPr="00CA6AD0">
        <w:t>第二审判分庭，</w:t>
      </w:r>
      <w:r w:rsidRPr="00CA6AD0">
        <w:t>1998</w:t>
      </w:r>
      <w:r w:rsidRPr="00CA6AD0">
        <w:t>年</w:t>
      </w:r>
      <w:r w:rsidRPr="00CA6AD0">
        <w:t>12</w:t>
      </w:r>
      <w:r w:rsidRPr="00CA6AD0">
        <w:t>月</w:t>
      </w:r>
      <w:r w:rsidRPr="00CA6AD0">
        <w:t>10</w:t>
      </w:r>
      <w:r w:rsidRPr="00CA6AD0">
        <w:t>日的判决，前</w:t>
      </w:r>
      <w:r>
        <w:t>南斯拉夫问题国际刑事法庭</w:t>
      </w:r>
      <w:r w:rsidRPr="00C60D57">
        <w:t>，</w:t>
      </w:r>
      <w:r>
        <w:rPr>
          <w:rFonts w:ascii="宋体" w:hAnsi="宋体" w:cs="宋体" w:hint="eastAsia"/>
        </w:rPr>
        <w:t>《</w:t>
      </w:r>
      <w:r w:rsidRPr="00C60D57">
        <w:t>199</w:t>
      </w:r>
      <w:r>
        <w:rPr>
          <w:rFonts w:eastAsiaTheme="minorEastAsia" w:hint="eastAsia"/>
        </w:rPr>
        <w:t>8</w:t>
      </w:r>
      <w:r w:rsidRPr="00C60D57">
        <w:t>年司法报告</w:t>
      </w:r>
      <w:r>
        <w:rPr>
          <w:rFonts w:ascii="宋体" w:hAnsi="宋体" w:cs="宋体" w:hint="eastAsia"/>
        </w:rPr>
        <w:t>》</w:t>
      </w:r>
      <w:r w:rsidRPr="00C60D57">
        <w:t>，第</w:t>
      </w:r>
      <w:r w:rsidRPr="00C60D57">
        <w:t>246</w:t>
      </w:r>
      <w:r w:rsidRPr="00C60D57">
        <w:t>段</w:t>
      </w:r>
      <w:r>
        <w:t>(</w:t>
      </w:r>
      <w:r w:rsidRPr="00C60D57">
        <w:t>认定</w:t>
      </w:r>
      <w:r>
        <w:rPr>
          <w:rFonts w:hint="eastAsia"/>
        </w:rPr>
        <w:t>“</w:t>
      </w:r>
      <w:r w:rsidRPr="00C60D57">
        <w:t>如果他知道很可能将实施一些罪行之一，而且实际上确实实施了其中一个罪行，那么他意图协助实施这一罪行，并犯有协助和煽动罪</w:t>
      </w:r>
      <w:r>
        <w:rPr>
          <w:rFonts w:hint="eastAsia"/>
        </w:rPr>
        <w:t>”</w:t>
      </w:r>
      <w:r>
        <w:t>)</w:t>
      </w:r>
      <w:r w:rsidRPr="00C60D57">
        <w:t>。</w:t>
      </w:r>
    </w:p>
  </w:footnote>
  <w:footnote w:id="1077">
    <w:p w:rsidR="00AB00DE" w:rsidRPr="00C60D57" w:rsidRDefault="00AB00DE" w:rsidP="00560424">
      <w:pPr>
        <w:pStyle w:val="a4"/>
        <w:tabs>
          <w:tab w:val="right" w:pos="0"/>
        </w:tabs>
      </w:pPr>
      <w:r w:rsidRPr="00C60D57">
        <w:tab/>
      </w:r>
      <w:r w:rsidRPr="00193F6E">
        <w:rPr>
          <w:rStyle w:val="a5"/>
          <w:szCs w:val="21"/>
        </w:rPr>
        <w:footnoteRef/>
      </w:r>
      <w:r w:rsidRPr="00C60D57">
        <w:tab/>
      </w:r>
      <w:r w:rsidRPr="00C60D57">
        <w:t>《塞拉利昂问题特别法庭规约》</w:t>
      </w:r>
      <w:r>
        <w:t>(</w:t>
      </w:r>
      <w:r w:rsidRPr="00C60D57">
        <w:t>见上文脚注</w:t>
      </w:r>
      <w:r>
        <w:rPr>
          <w:rFonts w:eastAsiaTheme="minorEastAsia"/>
        </w:rPr>
        <w:fldChar w:fldCharType="begin"/>
      </w:r>
      <w:r>
        <w:instrText xml:space="preserve"> NOTEREF _Ref456777187 \h </w:instrText>
      </w:r>
      <w:r>
        <w:rPr>
          <w:rFonts w:eastAsiaTheme="minorEastAsia"/>
        </w:rPr>
      </w:r>
      <w:r>
        <w:rPr>
          <w:rFonts w:eastAsiaTheme="minorEastAsia"/>
        </w:rPr>
        <w:fldChar w:fldCharType="separate"/>
      </w:r>
      <w:r w:rsidR="00A73EB9">
        <w:t>1065</w:t>
      </w:r>
      <w:r>
        <w:rPr>
          <w:rFonts w:eastAsiaTheme="minorEastAsia"/>
        </w:rPr>
        <w:fldChar w:fldCharType="end"/>
      </w:r>
      <w:r>
        <w:t>)</w:t>
      </w:r>
      <w:r w:rsidRPr="00C60D57">
        <w:t>，第</w:t>
      </w:r>
      <w:r w:rsidRPr="00C60D57">
        <w:t>6</w:t>
      </w:r>
      <w:r w:rsidRPr="00C60D57">
        <w:t>条第</w:t>
      </w:r>
      <w:r w:rsidRPr="00C60D57">
        <w:t>1</w:t>
      </w:r>
      <w:r w:rsidRPr="00C60D57">
        <w:t>款。</w:t>
      </w:r>
    </w:p>
  </w:footnote>
  <w:footnote w:id="1078">
    <w:p w:rsidR="00AB00DE" w:rsidRPr="00C60D57" w:rsidRDefault="00AB00DE" w:rsidP="00560424">
      <w:pPr>
        <w:pStyle w:val="a4"/>
      </w:pPr>
      <w:r w:rsidRPr="00C60D57">
        <w:tab/>
      </w:r>
      <w:r w:rsidRPr="00193F6E">
        <w:rPr>
          <w:rStyle w:val="a5"/>
          <w:szCs w:val="21"/>
        </w:rPr>
        <w:footnoteRef/>
      </w:r>
      <w:r w:rsidRPr="00C60D57">
        <w:tab/>
      </w:r>
      <w:r>
        <w:rPr>
          <w:rFonts w:ascii="宋体" w:hAnsi="宋体" w:cs="宋体" w:hint="eastAsia"/>
        </w:rPr>
        <w:t>《</w:t>
      </w:r>
      <w:r>
        <w:t>东帝汶法庭宪章</w:t>
      </w:r>
      <w:r>
        <w:rPr>
          <w:rFonts w:ascii="宋体" w:hAnsi="宋体" w:cs="宋体" w:hint="eastAsia"/>
        </w:rPr>
        <w:t>》</w:t>
      </w:r>
      <w:r>
        <w:t>(</w:t>
      </w:r>
      <w:r w:rsidRPr="00C60D57">
        <w:t>见上文脚注</w:t>
      </w:r>
      <w:r>
        <w:rPr>
          <w:rFonts w:eastAsiaTheme="minorEastAsia"/>
        </w:rPr>
        <w:fldChar w:fldCharType="begin"/>
      </w:r>
      <w:r>
        <w:instrText xml:space="preserve"> NOTEREF _Ref456777214 \h </w:instrText>
      </w:r>
      <w:r>
        <w:rPr>
          <w:rFonts w:eastAsiaTheme="minorEastAsia"/>
        </w:rPr>
      </w:r>
      <w:r>
        <w:rPr>
          <w:rFonts w:eastAsiaTheme="minorEastAsia"/>
        </w:rPr>
        <w:fldChar w:fldCharType="separate"/>
      </w:r>
      <w:r w:rsidR="00A73EB9">
        <w:t>1066</w:t>
      </w:r>
      <w:r>
        <w:rPr>
          <w:rFonts w:eastAsiaTheme="minorEastAsia"/>
        </w:rPr>
        <w:fldChar w:fldCharType="end"/>
      </w:r>
      <w:r>
        <w:t>)</w:t>
      </w:r>
      <w:r w:rsidRPr="00C60D57">
        <w:t>，第</w:t>
      </w:r>
      <w:r w:rsidRPr="00C60D57">
        <w:t>14</w:t>
      </w:r>
      <w:r w:rsidRPr="00C60D57">
        <w:t>节。</w:t>
      </w:r>
    </w:p>
  </w:footnote>
  <w:footnote w:id="1079">
    <w:p w:rsidR="00AB00DE" w:rsidRPr="00C60D57" w:rsidRDefault="00AB00DE" w:rsidP="00CD5A8C">
      <w:pPr>
        <w:pStyle w:val="a4"/>
      </w:pPr>
      <w:r w:rsidRPr="00C60D57">
        <w:tab/>
      </w:r>
      <w:r w:rsidRPr="00193F6E">
        <w:rPr>
          <w:rStyle w:val="a5"/>
          <w:szCs w:val="21"/>
        </w:rPr>
        <w:footnoteRef/>
      </w:r>
      <w:r w:rsidRPr="00C60D57">
        <w:tab/>
      </w:r>
      <w:r w:rsidRPr="00C60D57">
        <w:t>《柬埔寨法院特别法庭协定》</w:t>
      </w:r>
      <w:r>
        <w:t>(</w:t>
      </w:r>
      <w:r w:rsidRPr="00C60D57">
        <w:t>见上文脚注</w:t>
      </w:r>
      <w:r>
        <w:fldChar w:fldCharType="begin"/>
      </w:r>
      <w:r>
        <w:instrText xml:space="preserve"> NOTEREF _Ref456777235 \h  \* MERGEFORMAT </w:instrText>
      </w:r>
      <w:r>
        <w:fldChar w:fldCharType="separate"/>
      </w:r>
      <w:r w:rsidR="00A73EB9">
        <w:t>1067</w:t>
      </w:r>
      <w:r>
        <w:fldChar w:fldCharType="end"/>
      </w:r>
      <w:r>
        <w:t>)</w:t>
      </w:r>
      <w:r w:rsidRPr="00C60D57">
        <w:t>，第</w:t>
      </w:r>
      <w:r w:rsidRPr="00C60D57">
        <w:t>29</w:t>
      </w:r>
      <w:r w:rsidRPr="00C60D57">
        <w:t>条。</w:t>
      </w:r>
    </w:p>
  </w:footnote>
  <w:footnote w:id="1080">
    <w:p w:rsidR="00AB00DE" w:rsidRPr="00C60D57" w:rsidRDefault="00AB00DE" w:rsidP="00CD5A8C">
      <w:pPr>
        <w:pStyle w:val="a4"/>
      </w:pPr>
      <w:r w:rsidRPr="00C60D57">
        <w:tab/>
      </w:r>
      <w:r w:rsidRPr="00193F6E">
        <w:rPr>
          <w:rStyle w:val="a5"/>
          <w:szCs w:val="21"/>
        </w:rPr>
        <w:footnoteRef/>
      </w:r>
      <w:r w:rsidRPr="00C60D57">
        <w:tab/>
      </w:r>
      <w:r w:rsidRPr="00C60D57">
        <w:t>《伊拉克</w:t>
      </w:r>
      <w:r>
        <w:rPr>
          <w:rFonts w:eastAsiaTheme="minorEastAsia" w:hint="eastAsia"/>
        </w:rPr>
        <w:t>最高刑事</w:t>
      </w:r>
      <w:r w:rsidRPr="00C60D57">
        <w:t>法庭规约》</w:t>
      </w:r>
      <w:r>
        <w:t>(</w:t>
      </w:r>
      <w:r w:rsidRPr="00C60D57">
        <w:t>见上文脚注</w:t>
      </w:r>
      <w:r>
        <w:fldChar w:fldCharType="begin"/>
      </w:r>
      <w:r>
        <w:instrText xml:space="preserve"> NOTEREF _Ref456777251 \h  \* MERGEFORMAT </w:instrText>
      </w:r>
      <w:r>
        <w:fldChar w:fldCharType="separate"/>
      </w:r>
      <w:r w:rsidR="00A73EB9">
        <w:t>1068</w:t>
      </w:r>
      <w:r>
        <w:fldChar w:fldCharType="end"/>
      </w:r>
      <w:r>
        <w:t>)</w:t>
      </w:r>
      <w:r w:rsidRPr="00C60D57">
        <w:t>，第</w:t>
      </w:r>
      <w:r w:rsidRPr="00C60D57">
        <w:t>15</w:t>
      </w:r>
      <w:r w:rsidRPr="00C60D57">
        <w:t>条。</w:t>
      </w:r>
    </w:p>
  </w:footnote>
  <w:footnote w:id="1081">
    <w:p w:rsidR="00AB00DE" w:rsidRPr="00C60D57" w:rsidRDefault="00AB00DE" w:rsidP="00CD5A8C">
      <w:pPr>
        <w:pStyle w:val="a4"/>
      </w:pPr>
      <w:r w:rsidRPr="00C60D57">
        <w:tab/>
      </w:r>
      <w:r w:rsidRPr="00193F6E">
        <w:rPr>
          <w:rStyle w:val="a5"/>
          <w:szCs w:val="21"/>
        </w:rPr>
        <w:footnoteRef/>
      </w:r>
      <w:r w:rsidRPr="00C60D57">
        <w:tab/>
      </w:r>
      <w:r w:rsidRPr="00C60D57">
        <w:t>《非洲特别法庭规约》</w:t>
      </w:r>
      <w:r>
        <w:t>(</w:t>
      </w:r>
      <w:r w:rsidRPr="00C60D57">
        <w:t>见上文脚注</w:t>
      </w:r>
      <w:r>
        <w:fldChar w:fldCharType="begin"/>
      </w:r>
      <w:r>
        <w:instrText xml:space="preserve"> NOTEREF _Ref456777269 \h  \* MERGEFORMAT </w:instrText>
      </w:r>
      <w:r>
        <w:fldChar w:fldCharType="separate"/>
      </w:r>
      <w:r w:rsidR="00A73EB9">
        <w:t>1069</w:t>
      </w:r>
      <w:r>
        <w:fldChar w:fldCharType="end"/>
      </w:r>
      <w:r>
        <w:t>)</w:t>
      </w:r>
      <w:r w:rsidRPr="00C60D57">
        <w:t>，第</w:t>
      </w:r>
      <w:r w:rsidRPr="00C60D57">
        <w:t>10</w:t>
      </w:r>
      <w:r w:rsidRPr="00C60D57">
        <w:t>条</w:t>
      </w:r>
      <w:r w:rsidRPr="00C60D57">
        <w:t>.</w:t>
      </w:r>
    </w:p>
  </w:footnote>
  <w:footnote w:id="1082">
    <w:p w:rsidR="00AB00DE" w:rsidRPr="00C60D57" w:rsidRDefault="00AB00DE" w:rsidP="00560424">
      <w:pPr>
        <w:pStyle w:val="a4"/>
      </w:pPr>
      <w:r w:rsidRPr="00C60D57">
        <w:tab/>
      </w:r>
      <w:r w:rsidRPr="00193F6E">
        <w:rPr>
          <w:rStyle w:val="a5"/>
          <w:szCs w:val="21"/>
        </w:rPr>
        <w:footnoteRef/>
      </w:r>
      <w:r w:rsidRPr="00C60D57">
        <w:tab/>
      </w:r>
      <w:r>
        <w:rPr>
          <w:rFonts w:eastAsiaTheme="minorEastAsia" w:hint="eastAsia"/>
        </w:rPr>
        <w:t>《罗马规约》</w:t>
      </w:r>
      <w:r>
        <w:rPr>
          <w:rFonts w:eastAsiaTheme="minorEastAsia" w:hint="eastAsia"/>
        </w:rPr>
        <w:t>(</w:t>
      </w:r>
      <w:r>
        <w:rPr>
          <w:rFonts w:eastAsiaTheme="minorEastAsia" w:hint="eastAsia"/>
        </w:rPr>
        <w:t>见上文脚注</w:t>
      </w:r>
      <w:r>
        <w:rPr>
          <w:rFonts w:eastAsiaTheme="minorEastAsia"/>
        </w:rPr>
        <w:fldChar w:fldCharType="begin"/>
      </w:r>
      <w:r>
        <w:rPr>
          <w:rFonts w:eastAsiaTheme="minorEastAsia"/>
        </w:rPr>
        <w:instrText xml:space="preserve"> </w:instrText>
      </w:r>
      <w:r>
        <w:rPr>
          <w:rFonts w:eastAsiaTheme="minorEastAsia" w:hint="eastAsia"/>
        </w:rPr>
        <w:instrText>NOTEREF _Ref426474525 \h</w:instrText>
      </w:r>
      <w:r>
        <w:rPr>
          <w:rFonts w:eastAsiaTheme="minorEastAsia"/>
        </w:rPr>
        <w:instrText xml:space="preserve"> </w:instrText>
      </w:r>
      <w:r>
        <w:rPr>
          <w:rFonts w:eastAsiaTheme="minorEastAsia"/>
        </w:rPr>
      </w:r>
      <w:r>
        <w:rPr>
          <w:rFonts w:eastAsiaTheme="minorEastAsia"/>
        </w:rPr>
        <w:fldChar w:fldCharType="separate"/>
      </w:r>
      <w:r w:rsidR="00A73EB9">
        <w:rPr>
          <w:rFonts w:eastAsiaTheme="minorEastAsia"/>
        </w:rPr>
        <w:t>1054</w:t>
      </w:r>
      <w:r>
        <w:rPr>
          <w:rFonts w:eastAsiaTheme="minorEastAsia"/>
        </w:rPr>
        <w:fldChar w:fldCharType="end"/>
      </w:r>
      <w:r>
        <w:rPr>
          <w:rFonts w:eastAsiaTheme="minorEastAsia" w:hint="eastAsia"/>
        </w:rPr>
        <w:t>)</w:t>
      </w:r>
      <w:r>
        <w:rPr>
          <w:rFonts w:eastAsiaTheme="minorEastAsia" w:hint="eastAsia"/>
        </w:rPr>
        <w:t>，</w:t>
      </w:r>
      <w:r w:rsidRPr="00C60D57">
        <w:t>第</w:t>
      </w:r>
      <w:r>
        <w:rPr>
          <w:rFonts w:eastAsiaTheme="minorEastAsia" w:hint="eastAsia"/>
        </w:rPr>
        <w:t>二十五</w:t>
      </w:r>
      <w:r w:rsidRPr="00C60D57">
        <w:t>条第</w:t>
      </w:r>
      <w:r>
        <w:rPr>
          <w:rFonts w:eastAsiaTheme="minorEastAsia" w:hint="eastAsia"/>
        </w:rPr>
        <w:t>(</w:t>
      </w:r>
      <w:r>
        <w:rPr>
          <w:rFonts w:eastAsiaTheme="minorEastAsia" w:hint="eastAsia"/>
        </w:rPr>
        <w:t>三</w:t>
      </w:r>
      <w:r>
        <w:rPr>
          <w:rFonts w:eastAsiaTheme="minorEastAsia" w:hint="eastAsia"/>
        </w:rPr>
        <w:t>)</w:t>
      </w:r>
      <w:r w:rsidRPr="00C60D57">
        <w:t>款</w:t>
      </w:r>
      <w:r>
        <w:rPr>
          <w:rFonts w:eastAsiaTheme="minorEastAsia" w:hint="eastAsia"/>
        </w:rPr>
        <w:t>第</w:t>
      </w:r>
      <w:r>
        <w:rPr>
          <w:rFonts w:eastAsiaTheme="minorEastAsia" w:hint="eastAsia"/>
        </w:rPr>
        <w:t>1-4</w:t>
      </w:r>
      <w:r w:rsidRPr="00C60D57">
        <w:t>项。</w:t>
      </w:r>
    </w:p>
  </w:footnote>
  <w:footnote w:id="1083">
    <w:p w:rsidR="00AB00DE" w:rsidRPr="00C60D57" w:rsidRDefault="00AB00DE" w:rsidP="00CD5A8C">
      <w:pPr>
        <w:pStyle w:val="a4"/>
      </w:pPr>
      <w:r w:rsidRPr="00C60D57">
        <w:tab/>
      </w:r>
      <w:r w:rsidRPr="00193F6E">
        <w:rPr>
          <w:rStyle w:val="a5"/>
          <w:szCs w:val="21"/>
        </w:rPr>
        <w:footnoteRef/>
      </w:r>
      <w:r w:rsidRPr="00C60D57">
        <w:tab/>
      </w:r>
      <w:r w:rsidRPr="009B0F71">
        <w:rPr>
          <w:rFonts w:hint="eastAsia"/>
        </w:rPr>
        <w:t>《</w:t>
      </w:r>
      <w:r w:rsidRPr="009B0F71">
        <w:rPr>
          <w:rFonts w:ascii="宋体" w:hAnsi="宋体" w:cs="宋体" w:hint="eastAsia"/>
        </w:rPr>
        <w:t>战</w:t>
      </w:r>
      <w:r w:rsidRPr="009B0F71">
        <w:rPr>
          <w:rFonts w:ascii="MS Mincho" w:hAnsi="MS Mincho" w:cs="MS Mincho" w:hint="eastAsia"/>
        </w:rPr>
        <w:t>争罪及危害人</w:t>
      </w:r>
      <w:r w:rsidRPr="009B0F71">
        <w:rPr>
          <w:rFonts w:ascii="宋体" w:hAnsi="宋体" w:cs="宋体" w:hint="eastAsia"/>
        </w:rPr>
        <w:t>类</w:t>
      </w:r>
      <w:r w:rsidRPr="009B0F71">
        <w:rPr>
          <w:rFonts w:ascii="MS Mincho" w:hAnsi="MS Mincho" w:cs="MS Mincho" w:hint="eastAsia"/>
        </w:rPr>
        <w:t>罪不适用法定</w:t>
      </w:r>
      <w:r w:rsidRPr="009B0F71">
        <w:rPr>
          <w:rFonts w:ascii="宋体" w:hAnsi="宋体" w:cs="宋体" w:hint="eastAsia"/>
        </w:rPr>
        <w:t>时</w:t>
      </w:r>
      <w:r w:rsidRPr="009B0F71">
        <w:rPr>
          <w:rFonts w:ascii="MS Mincho" w:hAnsi="MS Mincho" w:cs="MS Mincho" w:hint="eastAsia"/>
        </w:rPr>
        <w:t>效公</w:t>
      </w:r>
      <w:r w:rsidRPr="009B0F71">
        <w:rPr>
          <w:rFonts w:ascii="宋体" w:hAnsi="宋体" w:cs="宋体" w:hint="eastAsia"/>
        </w:rPr>
        <w:t>约</w:t>
      </w:r>
      <w:r w:rsidRPr="009B0F71">
        <w:rPr>
          <w:rFonts w:ascii="MS Mincho" w:hAnsi="MS Mincho" w:cs="MS Mincho" w:hint="eastAsia"/>
        </w:rPr>
        <w:t>》</w:t>
      </w:r>
      <w:r>
        <w:rPr>
          <w:rFonts w:ascii="MS Mincho" w:eastAsiaTheme="minorEastAsia" w:hAnsi="MS Mincho" w:cs="MS Mincho" w:hint="eastAsia"/>
        </w:rPr>
        <w:t>，</w:t>
      </w:r>
      <w:r w:rsidRPr="00C60D57">
        <w:t>第三条</w:t>
      </w:r>
      <w:r>
        <w:t>(</w:t>
      </w:r>
      <w:r w:rsidRPr="00C60D57">
        <w:t>b</w:t>
      </w:r>
      <w:r>
        <w:t>)</w:t>
      </w:r>
      <w:r w:rsidRPr="00C60D57">
        <w:t>-</w:t>
      </w:r>
      <w:r>
        <w:t>(</w:t>
      </w:r>
      <w:r w:rsidRPr="00C60D57">
        <w:t>e</w:t>
      </w:r>
      <w:r>
        <w:t>)</w:t>
      </w:r>
      <w:r w:rsidRPr="00C60D57">
        <w:t>项。</w:t>
      </w:r>
    </w:p>
  </w:footnote>
  <w:footnote w:id="1084">
    <w:p w:rsidR="00AB00DE" w:rsidRPr="00C60D57" w:rsidRDefault="00AB00DE" w:rsidP="00CD5A8C">
      <w:pPr>
        <w:pStyle w:val="a4"/>
      </w:pPr>
      <w:r w:rsidRPr="00C60D57">
        <w:tab/>
      </w:r>
      <w:r w:rsidRPr="00193F6E">
        <w:rPr>
          <w:rStyle w:val="a5"/>
          <w:szCs w:val="21"/>
        </w:rPr>
        <w:footnoteRef/>
      </w:r>
      <w:r w:rsidRPr="00C60D57">
        <w:tab/>
      </w:r>
      <w:r w:rsidRPr="00C60D57">
        <w:t>《战争罪及危害人类罪不适用法定时效公约》</w:t>
      </w:r>
      <w:r>
        <w:rPr>
          <w:rFonts w:eastAsiaTheme="minorEastAsia" w:hint="eastAsia"/>
        </w:rPr>
        <w:t>，</w:t>
      </w:r>
      <w:r w:rsidRPr="00C60D57">
        <w:t>第二条。</w:t>
      </w:r>
    </w:p>
  </w:footnote>
  <w:footnote w:id="1085">
    <w:p w:rsidR="00AB00DE" w:rsidRPr="00C60D57" w:rsidRDefault="00AB00DE" w:rsidP="00CD5A8C">
      <w:pPr>
        <w:pStyle w:val="a4"/>
      </w:pPr>
      <w:r w:rsidRPr="00C60D57">
        <w:tab/>
      </w:r>
      <w:r w:rsidRPr="00193F6E">
        <w:rPr>
          <w:rStyle w:val="a5"/>
          <w:szCs w:val="21"/>
        </w:rPr>
        <w:footnoteRef/>
      </w:r>
      <w:r w:rsidRPr="00C60D57">
        <w:tab/>
      </w:r>
      <w:r w:rsidRPr="00C60D57">
        <w:t>《保护所有人免遭强迫失踪国际公约》第</w:t>
      </w:r>
      <w:r w:rsidRPr="00C60D57">
        <w:t>6</w:t>
      </w:r>
      <w:r w:rsidRPr="00C60D57">
        <w:t>条第</w:t>
      </w:r>
      <w:r w:rsidRPr="00C60D57">
        <w:t>1</w:t>
      </w:r>
      <w:r w:rsidRPr="00C60D57">
        <w:t>款</w:t>
      </w:r>
      <w:r>
        <w:t>(</w:t>
      </w:r>
      <w:r w:rsidRPr="00C60D57">
        <w:t>a</w:t>
      </w:r>
      <w:r>
        <w:t>)</w:t>
      </w:r>
      <w:r w:rsidRPr="00C60D57">
        <w:t>项。</w:t>
      </w:r>
    </w:p>
  </w:footnote>
  <w:footnote w:id="1086">
    <w:p w:rsidR="00AB00DE" w:rsidRPr="00C60D57" w:rsidRDefault="00AB00DE" w:rsidP="00CD5A8C">
      <w:pPr>
        <w:pStyle w:val="a4"/>
      </w:pPr>
      <w:r w:rsidRPr="00C60D57">
        <w:tab/>
      </w:r>
      <w:r w:rsidRPr="00193F6E">
        <w:rPr>
          <w:rStyle w:val="a5"/>
          <w:szCs w:val="21"/>
        </w:rPr>
        <w:footnoteRef/>
      </w:r>
      <w:r w:rsidRPr="00C60D57">
        <w:tab/>
      </w:r>
      <w:r w:rsidRPr="00C60D57">
        <w:t>例如，见</w:t>
      </w:r>
      <w:r w:rsidRPr="00C57F39">
        <w:rPr>
          <w:rFonts w:eastAsia="楷体"/>
        </w:rPr>
        <w:t>美利坚合众国诉</w:t>
      </w:r>
      <w:r w:rsidRPr="00C57F39">
        <w:rPr>
          <w:rFonts w:eastAsia="楷体"/>
          <w:i/>
        </w:rPr>
        <w:t>Wilhelm von Leeb</w:t>
      </w:r>
      <w:r w:rsidRPr="00C57F39">
        <w:rPr>
          <w:rFonts w:eastAsia="楷体"/>
          <w:iCs/>
        </w:rPr>
        <w:t>等人</w:t>
      </w:r>
      <w:r w:rsidRPr="00C57F39">
        <w:rPr>
          <w:rFonts w:eastAsia="楷体" w:hint="eastAsia"/>
          <w:iCs/>
        </w:rPr>
        <w:t>案</w:t>
      </w:r>
      <w:r>
        <w:t>(</w:t>
      </w:r>
      <w:r>
        <w:rPr>
          <w:rFonts w:hint="eastAsia"/>
        </w:rPr>
        <w:t>“</w:t>
      </w:r>
      <w:r w:rsidRPr="00C60D57">
        <w:t>高级指挥官案</w:t>
      </w:r>
      <w:r>
        <w:rPr>
          <w:rFonts w:hint="eastAsia"/>
        </w:rPr>
        <w:t>”</w:t>
      </w:r>
      <w:r>
        <w:t>)</w:t>
      </w:r>
      <w:r>
        <w:t>，</w:t>
      </w:r>
      <w:r w:rsidRPr="00C60D57">
        <w:t>纽伦堡军事法庭的战犯审判，第</w:t>
      </w:r>
      <w:r w:rsidRPr="00C60D57">
        <w:t>11</w:t>
      </w:r>
      <w:r w:rsidRPr="00C60D57">
        <w:t>卷</w:t>
      </w:r>
      <w:r>
        <w:t>(</w:t>
      </w:r>
      <w:r w:rsidRPr="00C60D57">
        <w:t>华盛顿哥伦比亚特区，美国政府出版局，</w:t>
      </w:r>
      <w:r w:rsidRPr="00C60D57">
        <w:t>1950</w:t>
      </w:r>
      <w:r w:rsidRPr="00C60D57">
        <w:t>年</w:t>
      </w:r>
      <w:r>
        <w:t>)</w:t>
      </w:r>
      <w:r>
        <w:t>，</w:t>
      </w:r>
      <w:r w:rsidRPr="00C60D57">
        <w:t>第</w:t>
      </w:r>
      <w:r w:rsidRPr="00C60D57">
        <w:t>543-544</w:t>
      </w:r>
      <w:r w:rsidRPr="00C60D57">
        <w:t>页。</w:t>
      </w:r>
    </w:p>
  </w:footnote>
  <w:footnote w:id="1087">
    <w:p w:rsidR="00AB00DE" w:rsidRPr="00A01244" w:rsidRDefault="00AB00DE" w:rsidP="00CD5A8C">
      <w:pPr>
        <w:pStyle w:val="a4"/>
        <w:rPr>
          <w:rFonts w:eastAsiaTheme="minorEastAsia"/>
        </w:rPr>
      </w:pPr>
      <w:r>
        <w:tab/>
      </w:r>
      <w:r w:rsidRPr="00193F6E">
        <w:rPr>
          <w:rStyle w:val="a5"/>
        </w:rPr>
        <w:footnoteRef/>
      </w:r>
      <w:r>
        <w:t xml:space="preserve"> </w:t>
      </w:r>
      <w:r>
        <w:tab/>
      </w:r>
      <w:r>
        <w:rPr>
          <w:rFonts w:eastAsiaTheme="minorEastAsia" w:hint="eastAsia"/>
        </w:rPr>
        <w:t>同上；</w:t>
      </w:r>
      <w:r w:rsidRPr="00A01244">
        <w:rPr>
          <w:rFonts w:eastAsiaTheme="minorEastAsia" w:hint="eastAsia"/>
        </w:rPr>
        <w:t>另见</w:t>
      </w:r>
      <w:r w:rsidRPr="00A01244">
        <w:rPr>
          <w:i/>
          <w:iCs/>
        </w:rPr>
        <w:t>International Criminal Law: International Enforcement</w:t>
      </w:r>
      <w:r w:rsidRPr="00A01244">
        <w:t xml:space="preserve">, M.C. Bassiouni, ed., vol. III, 3rd ed. (Leiden, 3tinus Nijhoff, 2008, p. 461); and K.J. Heller, </w:t>
      </w:r>
      <w:r w:rsidRPr="00A01244">
        <w:rPr>
          <w:i/>
          <w:iCs/>
        </w:rPr>
        <w:t>The Nuremberg Military Tribunals and the Origins of International Criminal Law</w:t>
      </w:r>
      <w:r w:rsidRPr="00A01244">
        <w:t xml:space="preserve"> (Oxford, Oxford University Press, 2011), pp. 262–263</w:t>
      </w:r>
      <w:r w:rsidRPr="00A01244">
        <w:rPr>
          <w:rFonts w:eastAsiaTheme="minorEastAsia" w:hint="eastAsia"/>
        </w:rPr>
        <w:t>。</w:t>
      </w:r>
    </w:p>
  </w:footnote>
  <w:footnote w:id="1088">
    <w:p w:rsidR="00AB00DE" w:rsidRPr="00C60D57" w:rsidRDefault="00AB00DE" w:rsidP="00CD5A8C">
      <w:pPr>
        <w:pStyle w:val="a4"/>
      </w:pPr>
      <w:r w:rsidRPr="00C60D57">
        <w:tab/>
      </w:r>
      <w:r w:rsidRPr="00193F6E">
        <w:rPr>
          <w:rStyle w:val="a5"/>
          <w:szCs w:val="21"/>
        </w:rPr>
        <w:footnoteRef/>
      </w:r>
      <w:r w:rsidRPr="00C60D57">
        <w:tab/>
      </w:r>
      <w:r w:rsidRPr="00C60D57">
        <w:t>见</w:t>
      </w:r>
      <w:r w:rsidRPr="00D97275">
        <w:rPr>
          <w:rFonts w:eastAsia="楷体"/>
        </w:rPr>
        <w:t>检察官诉</w:t>
      </w:r>
      <w:r w:rsidRPr="00D97275">
        <w:rPr>
          <w:rFonts w:eastAsia="楷体" w:hint="eastAsia"/>
          <w:i/>
          <w:iCs/>
        </w:rPr>
        <w:t xml:space="preserve">Alfred </w:t>
      </w:r>
      <w:r w:rsidRPr="00D97275">
        <w:rPr>
          <w:rFonts w:eastAsia="楷体"/>
          <w:i/>
          <w:iCs/>
        </w:rPr>
        <w:t>Musema</w:t>
      </w:r>
      <w:r w:rsidRPr="00D97275">
        <w:rPr>
          <w:rFonts w:eastAsia="楷体" w:hint="eastAsia"/>
        </w:rPr>
        <w:t>案</w:t>
      </w:r>
      <w:r>
        <w:rPr>
          <w:rFonts w:eastAsiaTheme="minorEastAsia" w:hint="eastAsia"/>
        </w:rPr>
        <w:t>，</w:t>
      </w:r>
      <w:r w:rsidRPr="00C60D57">
        <w:t>ICTR-96-13</w:t>
      </w:r>
      <w:r>
        <w:rPr>
          <w:rFonts w:hint="eastAsia"/>
        </w:rPr>
        <w:t>-</w:t>
      </w:r>
      <w:r w:rsidRPr="00C60D57">
        <w:t>A</w:t>
      </w:r>
      <w:r w:rsidRPr="00C60D57">
        <w:t>号案件，卢旺达问题国际</w:t>
      </w:r>
      <w:r>
        <w:rPr>
          <w:rFonts w:eastAsiaTheme="minorEastAsia" w:hint="eastAsia"/>
        </w:rPr>
        <w:t>刑事</w:t>
      </w:r>
      <w:r w:rsidRPr="00C60D57">
        <w:t>法庭，第一审判分庭，</w:t>
      </w:r>
      <w:r w:rsidRPr="00C60D57">
        <w:t>2000</w:t>
      </w:r>
      <w:r w:rsidRPr="00C60D57">
        <w:t>年</w:t>
      </w:r>
      <w:r w:rsidRPr="00C60D57">
        <w:t>1</w:t>
      </w:r>
      <w:r w:rsidRPr="00C60D57">
        <w:t>月</w:t>
      </w:r>
      <w:r w:rsidRPr="00C60D57">
        <w:t>27</w:t>
      </w:r>
      <w:r w:rsidRPr="00C60D57">
        <w:t>日的判决，第</w:t>
      </w:r>
      <w:r w:rsidRPr="00C60D57">
        <w:t>132</w:t>
      </w:r>
      <w:r w:rsidRPr="00C60D57">
        <w:t>段。</w:t>
      </w:r>
    </w:p>
  </w:footnote>
  <w:footnote w:id="1089">
    <w:p w:rsidR="00AB00DE" w:rsidRPr="00C60D57" w:rsidRDefault="00AB00DE" w:rsidP="00CD5A8C">
      <w:pPr>
        <w:pStyle w:val="a4"/>
      </w:pPr>
      <w:r w:rsidRPr="00C60D57">
        <w:tab/>
      </w:r>
      <w:r w:rsidRPr="00193F6E">
        <w:rPr>
          <w:rStyle w:val="a5"/>
          <w:szCs w:val="21"/>
        </w:rPr>
        <w:footnoteRef/>
      </w:r>
      <w:r w:rsidRPr="00C60D57">
        <w:tab/>
      </w:r>
      <w:r w:rsidRPr="00C60D57">
        <w:t>《</w:t>
      </w:r>
      <w:r>
        <w:t>前南斯拉夫问题国际刑事法庭</w:t>
      </w:r>
      <w:r w:rsidRPr="00C60D57">
        <w:t>规约》</w:t>
      </w:r>
      <w:r>
        <w:t>(</w:t>
      </w:r>
      <w:r w:rsidRPr="00C60D57">
        <w:t>见上文脚注</w:t>
      </w:r>
      <w:r>
        <w:fldChar w:fldCharType="begin"/>
      </w:r>
      <w:r>
        <w:instrText xml:space="preserve"> NOTEREF _Ref456626288 \h  \* MERGEFORMAT </w:instrText>
      </w:r>
      <w:r>
        <w:fldChar w:fldCharType="separate"/>
      </w:r>
      <w:r w:rsidR="00A73EB9">
        <w:t>1062</w:t>
      </w:r>
      <w:r>
        <w:fldChar w:fldCharType="end"/>
      </w:r>
      <w:r>
        <w:t>)</w:t>
      </w:r>
      <w:r>
        <w:t>，</w:t>
      </w:r>
      <w:r w:rsidRPr="00C60D57">
        <w:t>第</w:t>
      </w:r>
      <w:r w:rsidRPr="00C60D57">
        <w:t>7</w:t>
      </w:r>
      <w:r w:rsidRPr="00C60D57">
        <w:t>条第</w:t>
      </w:r>
      <w:r w:rsidRPr="00C60D57">
        <w:t>3</w:t>
      </w:r>
      <w:r w:rsidRPr="00C60D57">
        <w:t>款。</w:t>
      </w:r>
    </w:p>
  </w:footnote>
  <w:footnote w:id="1090">
    <w:p w:rsidR="00AB00DE" w:rsidRPr="00C60D57" w:rsidRDefault="00AB00DE" w:rsidP="00CD5A8C">
      <w:pPr>
        <w:pStyle w:val="a4"/>
        <w:tabs>
          <w:tab w:val="right" w:pos="0"/>
        </w:tabs>
      </w:pPr>
      <w:r w:rsidRPr="00C60D57">
        <w:tab/>
      </w:r>
      <w:r w:rsidRPr="00193F6E">
        <w:rPr>
          <w:rStyle w:val="a5"/>
          <w:szCs w:val="21"/>
        </w:rPr>
        <w:footnoteRef/>
      </w:r>
      <w:r w:rsidRPr="00C60D57">
        <w:tab/>
      </w:r>
      <w:r w:rsidRPr="00C60D57">
        <w:t>例如，见</w:t>
      </w:r>
      <w:r w:rsidRPr="00D97275">
        <w:rPr>
          <w:rFonts w:eastAsia="楷体"/>
        </w:rPr>
        <w:t>检察官诉</w:t>
      </w:r>
      <w:r w:rsidRPr="00C60D57">
        <w:rPr>
          <w:i/>
        </w:rPr>
        <w:t>Zlatko Aleksovsk</w:t>
      </w:r>
      <w:r>
        <w:rPr>
          <w:i/>
        </w:rPr>
        <w:t>i</w:t>
      </w:r>
      <w:r w:rsidRPr="00D97275">
        <w:rPr>
          <w:rFonts w:eastAsia="楷体" w:hint="eastAsia"/>
        </w:rPr>
        <w:t>案</w:t>
      </w:r>
      <w:r w:rsidRPr="00D97275">
        <w:rPr>
          <w:rFonts w:eastAsiaTheme="minorEastAsia" w:hint="eastAsia"/>
          <w:iCs/>
        </w:rPr>
        <w:t>，</w:t>
      </w:r>
      <w:r w:rsidRPr="00C60D57">
        <w:t>IT-95-14/1-T</w:t>
      </w:r>
      <w:r w:rsidRPr="00C60D57">
        <w:t>号案件</w:t>
      </w:r>
      <w:r>
        <w:t>，</w:t>
      </w:r>
      <w:r w:rsidRPr="00C60D57">
        <w:t>前南斯拉夫问题国际刑事法庭，审判分庭，</w:t>
      </w:r>
      <w:r w:rsidRPr="00C60D57">
        <w:t>1999</w:t>
      </w:r>
      <w:r w:rsidRPr="00C60D57">
        <w:t>年</w:t>
      </w:r>
      <w:r w:rsidRPr="00C60D57">
        <w:t>6</w:t>
      </w:r>
      <w:r w:rsidRPr="00C60D57">
        <w:t>月</w:t>
      </w:r>
      <w:r w:rsidRPr="00C60D57">
        <w:t>25</w:t>
      </w:r>
      <w:r w:rsidRPr="00C60D57">
        <w:t>日的判决，第</w:t>
      </w:r>
      <w:r w:rsidRPr="00C60D57">
        <w:t>66-77</w:t>
      </w:r>
      <w:r w:rsidRPr="00C60D57">
        <w:t>段；</w:t>
      </w:r>
      <w:r w:rsidRPr="00377BCA">
        <w:rPr>
          <w:rFonts w:eastAsia="楷体"/>
        </w:rPr>
        <w:t>检察官诉</w:t>
      </w:r>
      <w:r w:rsidRPr="00377BCA">
        <w:rPr>
          <w:rFonts w:eastAsia="楷体" w:hint="eastAsia"/>
        </w:rPr>
        <w:t xml:space="preserve"> </w:t>
      </w:r>
      <w:r w:rsidRPr="00377BCA">
        <w:rPr>
          <w:rFonts w:eastAsia="楷体"/>
        </w:rPr>
        <w:t xml:space="preserve">Zejnil Delalić </w:t>
      </w:r>
      <w:r w:rsidRPr="00377BCA">
        <w:rPr>
          <w:rFonts w:eastAsia="楷体"/>
        </w:rPr>
        <w:t>等人</w:t>
      </w:r>
      <w:r>
        <w:rPr>
          <w:rFonts w:eastAsia="楷体" w:hint="eastAsia"/>
        </w:rPr>
        <w:t>案</w:t>
      </w:r>
      <w:r w:rsidRPr="00C60D57">
        <w:t>，</w:t>
      </w:r>
      <w:r w:rsidRPr="00C60D57">
        <w:t>IT-96-21-T</w:t>
      </w:r>
      <w:r w:rsidRPr="00C60D57">
        <w:t>号案件</w:t>
      </w:r>
      <w:r>
        <w:t>，</w:t>
      </w:r>
      <w:r w:rsidRPr="00C60D57">
        <w:t>1998</w:t>
      </w:r>
      <w:r w:rsidRPr="00C60D57">
        <w:t>年</w:t>
      </w:r>
      <w:r w:rsidRPr="00C60D57">
        <w:t>11</w:t>
      </w:r>
      <w:r w:rsidRPr="00C60D57">
        <w:t>月</w:t>
      </w:r>
      <w:r w:rsidRPr="00C60D57">
        <w:t>16</w:t>
      </w:r>
      <w:r w:rsidRPr="00C60D57">
        <w:t>日的判决，前南斯拉夫问题国际刑事法庭，审判分庭，第</w:t>
      </w:r>
      <w:r w:rsidRPr="00C60D57">
        <w:t>330-400</w:t>
      </w:r>
      <w:r w:rsidRPr="00C60D57">
        <w:t>段和</w:t>
      </w:r>
      <w:r>
        <w:rPr>
          <w:rFonts w:eastAsiaTheme="minorEastAsia" w:hint="eastAsia"/>
        </w:rPr>
        <w:t>第</w:t>
      </w:r>
      <w:r w:rsidRPr="00C60D57">
        <w:t>605-810</w:t>
      </w:r>
      <w:r w:rsidRPr="00C60D57">
        <w:t>段。</w:t>
      </w:r>
    </w:p>
  </w:footnote>
  <w:footnote w:id="1091">
    <w:p w:rsidR="00AB00DE" w:rsidRPr="00C60D57" w:rsidRDefault="00AB00DE" w:rsidP="00560424">
      <w:pPr>
        <w:pStyle w:val="a4"/>
      </w:pPr>
      <w:r w:rsidRPr="00C60D57">
        <w:tab/>
      </w:r>
      <w:r w:rsidRPr="00193F6E">
        <w:rPr>
          <w:rStyle w:val="a5"/>
          <w:szCs w:val="21"/>
        </w:rPr>
        <w:footnoteRef/>
      </w:r>
      <w:r w:rsidRPr="00C60D57">
        <w:tab/>
      </w:r>
      <w:r w:rsidRPr="00C60D57">
        <w:t>《</w:t>
      </w:r>
      <w:r>
        <w:t>前南斯拉夫问题国际刑事法庭</w:t>
      </w:r>
      <w:r w:rsidRPr="00C60D57">
        <w:t>规约》</w:t>
      </w:r>
      <w:r>
        <w:t>(</w:t>
      </w:r>
      <w:r w:rsidRPr="00C60D57">
        <w:t>见上文脚注</w:t>
      </w:r>
      <w:r>
        <w:rPr>
          <w:rFonts w:eastAsiaTheme="minorEastAsia"/>
        </w:rPr>
        <w:fldChar w:fldCharType="begin"/>
      </w:r>
      <w:r>
        <w:instrText xml:space="preserve"> NOTEREF _Ref456626318 \h </w:instrText>
      </w:r>
      <w:r>
        <w:rPr>
          <w:rFonts w:eastAsiaTheme="minorEastAsia"/>
        </w:rPr>
      </w:r>
      <w:r>
        <w:rPr>
          <w:rFonts w:eastAsiaTheme="minorEastAsia"/>
        </w:rPr>
        <w:fldChar w:fldCharType="separate"/>
      </w:r>
      <w:r w:rsidR="00A73EB9">
        <w:t>1063</w:t>
      </w:r>
      <w:r>
        <w:rPr>
          <w:rFonts w:eastAsiaTheme="minorEastAsia"/>
        </w:rPr>
        <w:fldChar w:fldCharType="end"/>
      </w:r>
      <w:r>
        <w:t>)</w:t>
      </w:r>
      <w:r>
        <w:rPr>
          <w:rFonts w:eastAsiaTheme="minorEastAsia" w:hint="eastAsia"/>
        </w:rPr>
        <w:t>，</w:t>
      </w:r>
      <w:r w:rsidRPr="00C60D57">
        <w:t>第</w:t>
      </w:r>
      <w:r w:rsidRPr="00C60D57">
        <w:t>6</w:t>
      </w:r>
      <w:r w:rsidRPr="00C60D57">
        <w:t>条第</w:t>
      </w:r>
      <w:r w:rsidRPr="00C60D57">
        <w:t>3</w:t>
      </w:r>
      <w:r w:rsidRPr="00C60D57">
        <w:t>款。</w:t>
      </w:r>
    </w:p>
  </w:footnote>
  <w:footnote w:id="1092">
    <w:p w:rsidR="00AB00DE" w:rsidRPr="00C60D57" w:rsidRDefault="00AB00DE" w:rsidP="00CD5A8C">
      <w:pPr>
        <w:pStyle w:val="a4"/>
        <w:tabs>
          <w:tab w:val="right" w:pos="0"/>
        </w:tabs>
      </w:pPr>
      <w:r w:rsidRPr="00C60D57">
        <w:tab/>
      </w:r>
      <w:r w:rsidRPr="00193F6E">
        <w:rPr>
          <w:rStyle w:val="a5"/>
          <w:szCs w:val="21"/>
        </w:rPr>
        <w:footnoteRef/>
      </w:r>
      <w:r w:rsidRPr="00C60D57">
        <w:tab/>
      </w:r>
      <w:r w:rsidRPr="00C60D57">
        <w:t>见</w:t>
      </w:r>
      <w:r w:rsidRPr="00D66AEC">
        <w:rPr>
          <w:rFonts w:eastAsia="楷体"/>
        </w:rPr>
        <w:t>检察官诉</w:t>
      </w:r>
      <w:r w:rsidRPr="00D66AEC">
        <w:rPr>
          <w:rFonts w:eastAsia="楷体"/>
          <w:i/>
        </w:rPr>
        <w:t xml:space="preserve">Jean-Paul </w:t>
      </w:r>
      <w:r w:rsidRPr="00D66AEC">
        <w:rPr>
          <w:rFonts w:eastAsia="楷体"/>
        </w:rPr>
        <w:t>Akayesu</w:t>
      </w:r>
      <w:r w:rsidRPr="00D66AEC">
        <w:rPr>
          <w:rFonts w:eastAsia="楷体" w:hint="eastAsia"/>
        </w:rPr>
        <w:t>案</w:t>
      </w:r>
      <w:r>
        <w:rPr>
          <w:rFonts w:eastAsiaTheme="minorEastAsia" w:hint="eastAsia"/>
        </w:rPr>
        <w:t>，</w:t>
      </w:r>
      <w:r w:rsidRPr="00C60D57">
        <w:t>ICTR-96-4</w:t>
      </w:r>
      <w:r>
        <w:rPr>
          <w:rFonts w:hint="eastAsia"/>
        </w:rPr>
        <w:t>-T</w:t>
      </w:r>
      <w:r w:rsidRPr="00C60D57">
        <w:t>号案件，卢旺达问题国际</w:t>
      </w:r>
      <w:r>
        <w:rPr>
          <w:rFonts w:eastAsiaTheme="minorEastAsia" w:hint="eastAsia"/>
        </w:rPr>
        <w:t>刑事</w:t>
      </w:r>
      <w:r w:rsidRPr="00C60D57">
        <w:t>法庭，审判分庭</w:t>
      </w:r>
      <w:r>
        <w:rPr>
          <w:rFonts w:eastAsiaTheme="minorEastAsia" w:hint="eastAsia"/>
        </w:rPr>
        <w:t>，</w:t>
      </w:r>
      <w:r w:rsidRPr="00C60D57">
        <w:t>1998</w:t>
      </w:r>
      <w:r w:rsidRPr="00C60D57">
        <w:t>年</w:t>
      </w:r>
      <w:r w:rsidRPr="00C60D57">
        <w:t>9</w:t>
      </w:r>
      <w:r w:rsidRPr="00C60D57">
        <w:t>月</w:t>
      </w:r>
      <w:r w:rsidRPr="00C60D57">
        <w:t>2</w:t>
      </w:r>
      <w:r>
        <w:t>日的判决</w:t>
      </w:r>
      <w:r w:rsidRPr="00C60D57">
        <w:t>；</w:t>
      </w:r>
      <w:r w:rsidRPr="00D66AEC">
        <w:rPr>
          <w:rFonts w:eastAsia="楷体"/>
        </w:rPr>
        <w:t>检察官诉</w:t>
      </w:r>
      <w:r w:rsidRPr="00D66AEC">
        <w:rPr>
          <w:rFonts w:eastAsia="楷体"/>
          <w:i/>
        </w:rPr>
        <w:t xml:space="preserve">Jean </w:t>
      </w:r>
      <w:r w:rsidRPr="00D66AEC">
        <w:rPr>
          <w:rFonts w:eastAsia="楷体"/>
        </w:rPr>
        <w:t>Kambanda</w:t>
      </w:r>
      <w:r w:rsidRPr="00D66AEC">
        <w:rPr>
          <w:rFonts w:eastAsia="楷体" w:hint="eastAsia"/>
        </w:rPr>
        <w:t>案</w:t>
      </w:r>
      <w:r>
        <w:rPr>
          <w:rFonts w:eastAsia="楷体" w:hint="eastAsia"/>
        </w:rPr>
        <w:t>，</w:t>
      </w:r>
      <w:r w:rsidRPr="00C60D57">
        <w:t>ICTR-97-23-S</w:t>
      </w:r>
      <w:r w:rsidRPr="00C60D57">
        <w:t>号案件，</w:t>
      </w:r>
      <w:r>
        <w:t>卢旺达问题国际刑事法庭</w:t>
      </w:r>
      <w:r w:rsidRPr="00C60D57">
        <w:t>，审判分庭</w:t>
      </w:r>
      <w:r>
        <w:rPr>
          <w:rFonts w:eastAsiaTheme="minorEastAsia" w:hint="eastAsia"/>
        </w:rPr>
        <w:t>，</w:t>
      </w:r>
      <w:r w:rsidRPr="00C60D57">
        <w:t>1998</w:t>
      </w:r>
      <w:r w:rsidRPr="00C60D57">
        <w:t>年</w:t>
      </w:r>
      <w:r w:rsidRPr="00C60D57">
        <w:t>9</w:t>
      </w:r>
      <w:r w:rsidRPr="00C60D57">
        <w:t>月</w:t>
      </w:r>
      <w:r w:rsidRPr="00C60D57">
        <w:t>4</w:t>
      </w:r>
      <w:r>
        <w:t>日的判决</w:t>
      </w:r>
      <w:r w:rsidRPr="00C60D57">
        <w:t>。</w:t>
      </w:r>
    </w:p>
  </w:footnote>
  <w:footnote w:id="1093">
    <w:p w:rsidR="00AB00DE" w:rsidRPr="00C60D57" w:rsidRDefault="00AB00DE" w:rsidP="00CD5A8C">
      <w:pPr>
        <w:pStyle w:val="a4"/>
      </w:pPr>
      <w:r w:rsidRPr="00C60D57">
        <w:tab/>
      </w:r>
      <w:r w:rsidRPr="00193F6E">
        <w:rPr>
          <w:rStyle w:val="a5"/>
          <w:szCs w:val="21"/>
        </w:rPr>
        <w:footnoteRef/>
      </w:r>
      <w:r w:rsidRPr="00C60D57">
        <w:tab/>
      </w:r>
      <w:r w:rsidRPr="00C60D57">
        <w:t>《塞拉利昂问题特别法庭规约》</w:t>
      </w:r>
      <w:r>
        <w:t>(</w:t>
      </w:r>
      <w:r w:rsidRPr="00C60D57">
        <w:t>见上文脚注</w:t>
      </w:r>
      <w:r>
        <w:fldChar w:fldCharType="begin"/>
      </w:r>
      <w:r>
        <w:instrText xml:space="preserve"> NOTEREF _Ref456777187 \h  \* MERGEFORMAT </w:instrText>
      </w:r>
      <w:r>
        <w:fldChar w:fldCharType="separate"/>
      </w:r>
      <w:r w:rsidR="00A73EB9">
        <w:t>1065</w:t>
      </w:r>
      <w:r>
        <w:fldChar w:fldCharType="end"/>
      </w:r>
      <w:r>
        <w:t>)</w:t>
      </w:r>
      <w:r w:rsidRPr="00C60D57">
        <w:t>，第</w:t>
      </w:r>
      <w:r w:rsidRPr="00C60D57">
        <w:t>6</w:t>
      </w:r>
      <w:r>
        <w:t>条</w:t>
      </w:r>
      <w:r w:rsidRPr="00C60D57">
        <w:t>第</w:t>
      </w:r>
      <w:r w:rsidRPr="00C60D57">
        <w:t>3</w:t>
      </w:r>
      <w:r w:rsidRPr="00C60D57">
        <w:t>款。</w:t>
      </w:r>
    </w:p>
  </w:footnote>
  <w:footnote w:id="1094">
    <w:p w:rsidR="00AB00DE" w:rsidRPr="00C60D57" w:rsidRDefault="00AB00DE" w:rsidP="00CD5A8C">
      <w:pPr>
        <w:pStyle w:val="a4"/>
      </w:pPr>
      <w:r w:rsidRPr="00C60D57">
        <w:tab/>
      </w:r>
      <w:r w:rsidRPr="00193F6E">
        <w:rPr>
          <w:rStyle w:val="a5"/>
          <w:szCs w:val="21"/>
        </w:rPr>
        <w:footnoteRef/>
      </w:r>
      <w:r w:rsidRPr="00C60D57">
        <w:tab/>
      </w:r>
      <w:r w:rsidRPr="00C60D57">
        <w:t>《黎巴嫩问题特别法庭规约》，安全理事会</w:t>
      </w:r>
      <w:r w:rsidRPr="00C60D57">
        <w:t>2007</w:t>
      </w:r>
      <w:r w:rsidRPr="00C60D57">
        <w:t>年</w:t>
      </w:r>
      <w:r w:rsidRPr="00C60D57">
        <w:t>5</w:t>
      </w:r>
      <w:r w:rsidRPr="00C60D57">
        <w:t>月</w:t>
      </w:r>
      <w:r w:rsidRPr="00C60D57">
        <w:t>30</w:t>
      </w:r>
      <w:r w:rsidRPr="00C60D57">
        <w:t>日第</w:t>
      </w:r>
      <w:r w:rsidRPr="00C60D57">
        <w:t>1757</w:t>
      </w:r>
      <w:r>
        <w:t>(</w:t>
      </w:r>
      <w:r w:rsidRPr="00C60D57">
        <w:t>2007</w:t>
      </w:r>
      <w:r>
        <w:t>)</w:t>
      </w:r>
      <w:r w:rsidRPr="00C60D57">
        <w:t>号决议，</w:t>
      </w:r>
      <w:r>
        <w:t>(</w:t>
      </w:r>
      <w:r w:rsidRPr="00C60D57">
        <w:t>包括附件和附录</w:t>
      </w:r>
      <w:r>
        <w:t>)</w:t>
      </w:r>
      <w:r w:rsidRPr="00C60D57">
        <w:t>，第</w:t>
      </w:r>
      <w:r w:rsidRPr="00C60D57">
        <w:t>3</w:t>
      </w:r>
      <w:r>
        <w:t>条</w:t>
      </w:r>
      <w:r w:rsidRPr="00C60D57">
        <w:t>第</w:t>
      </w:r>
      <w:r w:rsidRPr="00C60D57">
        <w:t>2</w:t>
      </w:r>
      <w:r w:rsidRPr="00C60D57">
        <w:t>款。</w:t>
      </w:r>
    </w:p>
  </w:footnote>
  <w:footnote w:id="1095">
    <w:p w:rsidR="00AB00DE" w:rsidRPr="00C60D57" w:rsidRDefault="00AB00DE" w:rsidP="00CD5A8C">
      <w:pPr>
        <w:pStyle w:val="a4"/>
      </w:pPr>
      <w:r w:rsidRPr="00C60D57">
        <w:tab/>
      </w:r>
      <w:r w:rsidRPr="00193F6E">
        <w:rPr>
          <w:rStyle w:val="a5"/>
          <w:szCs w:val="21"/>
        </w:rPr>
        <w:footnoteRef/>
      </w:r>
      <w:r w:rsidRPr="00C60D57">
        <w:tab/>
      </w:r>
      <w:r w:rsidRPr="00C60D57">
        <w:t>《</w:t>
      </w:r>
      <w:r>
        <w:t>东帝汶法庭宪章</w:t>
      </w:r>
      <w:r w:rsidRPr="00C60D57">
        <w:t>》</w:t>
      </w:r>
      <w:r>
        <w:t>(</w:t>
      </w:r>
      <w:r w:rsidRPr="00C60D57">
        <w:t>见上文脚注</w:t>
      </w:r>
      <w:r>
        <w:fldChar w:fldCharType="begin"/>
      </w:r>
      <w:r>
        <w:instrText xml:space="preserve"> NOTEREF _Ref456777214 \h  \* MERGEFORMAT </w:instrText>
      </w:r>
      <w:r>
        <w:fldChar w:fldCharType="separate"/>
      </w:r>
      <w:r w:rsidR="00A73EB9">
        <w:t>1066</w:t>
      </w:r>
      <w:r>
        <w:fldChar w:fldCharType="end"/>
      </w:r>
      <w:r>
        <w:t>)</w:t>
      </w:r>
      <w:r>
        <w:t>，</w:t>
      </w:r>
      <w:r w:rsidRPr="00C60D57">
        <w:t>第</w:t>
      </w:r>
      <w:r w:rsidRPr="00C60D57">
        <w:t>16</w:t>
      </w:r>
      <w:r w:rsidRPr="00C60D57">
        <w:t>节。</w:t>
      </w:r>
    </w:p>
  </w:footnote>
  <w:footnote w:id="1096">
    <w:p w:rsidR="00AB00DE" w:rsidRPr="00C60D57" w:rsidRDefault="00AB00DE" w:rsidP="00CD5A8C">
      <w:pPr>
        <w:pStyle w:val="a4"/>
      </w:pPr>
      <w:r w:rsidRPr="00C60D57">
        <w:tab/>
      </w:r>
      <w:r w:rsidRPr="00193F6E">
        <w:rPr>
          <w:rStyle w:val="a5"/>
          <w:szCs w:val="21"/>
        </w:rPr>
        <w:footnoteRef/>
      </w:r>
      <w:r w:rsidRPr="00C60D57">
        <w:tab/>
      </w:r>
      <w:r w:rsidRPr="00C60D57">
        <w:t>《柬埔寨特别法庭协定》</w:t>
      </w:r>
      <w:r>
        <w:t>(</w:t>
      </w:r>
      <w:r w:rsidRPr="00C60D57">
        <w:t>见上文脚注</w:t>
      </w:r>
      <w:r>
        <w:fldChar w:fldCharType="begin"/>
      </w:r>
      <w:r>
        <w:instrText xml:space="preserve"> NOTEREF _Ref456777235 \h  \* MERGEFORMAT </w:instrText>
      </w:r>
      <w:r>
        <w:fldChar w:fldCharType="separate"/>
      </w:r>
      <w:r w:rsidR="00A73EB9">
        <w:t>1067</w:t>
      </w:r>
      <w:r>
        <w:fldChar w:fldCharType="end"/>
      </w:r>
      <w:r>
        <w:t>)</w:t>
      </w:r>
      <w:r>
        <w:t>，</w:t>
      </w:r>
      <w:r w:rsidRPr="00C60D57">
        <w:t>第</w:t>
      </w:r>
      <w:r w:rsidRPr="00C60D57">
        <w:t>29</w:t>
      </w:r>
      <w:r w:rsidRPr="00C60D57">
        <w:t>条。</w:t>
      </w:r>
    </w:p>
  </w:footnote>
  <w:footnote w:id="1097">
    <w:p w:rsidR="00AB00DE" w:rsidRPr="00C60D57" w:rsidRDefault="00AB00DE" w:rsidP="00CD5A8C">
      <w:pPr>
        <w:pStyle w:val="a4"/>
      </w:pPr>
      <w:r w:rsidRPr="00C60D57">
        <w:tab/>
      </w:r>
      <w:r w:rsidRPr="00193F6E">
        <w:rPr>
          <w:rStyle w:val="a5"/>
          <w:szCs w:val="21"/>
        </w:rPr>
        <w:footnoteRef/>
      </w:r>
      <w:r w:rsidRPr="00C60D57">
        <w:tab/>
      </w:r>
      <w:r w:rsidRPr="00C60D57">
        <w:t>《伊拉克最高刑事法庭规约》</w:t>
      </w:r>
      <w:r>
        <w:t>(</w:t>
      </w:r>
      <w:r w:rsidRPr="00C60D57">
        <w:t>见上文脚注</w:t>
      </w:r>
      <w:r>
        <w:fldChar w:fldCharType="begin"/>
      </w:r>
      <w:r>
        <w:instrText xml:space="preserve"> NOTEREF _Ref456777251 \h  \* MERGEFORMAT </w:instrText>
      </w:r>
      <w:r>
        <w:fldChar w:fldCharType="separate"/>
      </w:r>
      <w:r w:rsidR="00A73EB9">
        <w:t>1068</w:t>
      </w:r>
      <w:r>
        <w:fldChar w:fldCharType="end"/>
      </w:r>
      <w:r>
        <w:t>)</w:t>
      </w:r>
      <w:r>
        <w:t>，</w:t>
      </w:r>
      <w:r w:rsidRPr="00C60D57">
        <w:t>第</w:t>
      </w:r>
      <w:r w:rsidRPr="00C60D57">
        <w:t>15</w:t>
      </w:r>
      <w:r w:rsidRPr="00C60D57">
        <w:t>条。</w:t>
      </w:r>
    </w:p>
  </w:footnote>
  <w:footnote w:id="1098">
    <w:p w:rsidR="00AB00DE" w:rsidRPr="00C60D57" w:rsidRDefault="00AB00DE" w:rsidP="00CD5A8C">
      <w:pPr>
        <w:pStyle w:val="a4"/>
      </w:pPr>
      <w:r w:rsidRPr="00C60D57">
        <w:tab/>
      </w:r>
      <w:r w:rsidRPr="00193F6E">
        <w:rPr>
          <w:rStyle w:val="a5"/>
          <w:szCs w:val="21"/>
        </w:rPr>
        <w:footnoteRef/>
      </w:r>
      <w:r w:rsidRPr="00C60D57">
        <w:tab/>
      </w:r>
      <w:r>
        <w:rPr>
          <w:rFonts w:eastAsiaTheme="minorEastAsia" w:hint="eastAsia"/>
        </w:rPr>
        <w:t>《罗马规约》</w:t>
      </w:r>
      <w:r>
        <w:rPr>
          <w:rFonts w:eastAsiaTheme="minorEastAsia" w:hint="eastAsia"/>
        </w:rPr>
        <w:t>(</w:t>
      </w:r>
      <w:r>
        <w:rPr>
          <w:rFonts w:eastAsiaTheme="minorEastAsia" w:hint="eastAsia"/>
        </w:rPr>
        <w:t>见脚注</w:t>
      </w:r>
      <w:r>
        <w:rPr>
          <w:rFonts w:eastAsiaTheme="minorEastAsia" w:hint="eastAsia"/>
        </w:rPr>
        <w:t>1054)</w:t>
      </w:r>
      <w:r>
        <w:rPr>
          <w:rFonts w:eastAsiaTheme="minorEastAsia" w:hint="eastAsia"/>
        </w:rPr>
        <w:t>，第二十八条。</w:t>
      </w:r>
      <w:r w:rsidRPr="00C60D57">
        <w:t>《非洲特别法庭规约》</w:t>
      </w:r>
      <w:r>
        <w:t>(</w:t>
      </w:r>
      <w:r w:rsidRPr="00C60D57">
        <w:t>见上文脚注</w:t>
      </w:r>
      <w:r>
        <w:fldChar w:fldCharType="begin"/>
      </w:r>
      <w:r>
        <w:instrText xml:space="preserve"> NOTEREF _Ref456777269 \h  \* MERGEFORMAT </w:instrText>
      </w:r>
      <w:r>
        <w:fldChar w:fldCharType="separate"/>
      </w:r>
      <w:r w:rsidR="00A73EB9">
        <w:t>1069</w:t>
      </w:r>
      <w:r>
        <w:fldChar w:fldCharType="end"/>
      </w:r>
      <w:r>
        <w:t>)</w:t>
      </w:r>
      <w:r w:rsidRPr="00C60D57">
        <w:t>，第</w:t>
      </w:r>
      <w:r w:rsidRPr="00C60D57">
        <w:t>10</w:t>
      </w:r>
      <w:r w:rsidRPr="00C60D57">
        <w:t>条。</w:t>
      </w:r>
    </w:p>
  </w:footnote>
  <w:footnote w:id="1099">
    <w:p w:rsidR="00AB00DE" w:rsidRPr="00C60D57" w:rsidRDefault="00AB00DE" w:rsidP="00CD5A8C">
      <w:pPr>
        <w:pStyle w:val="a4"/>
      </w:pPr>
      <w:r w:rsidRPr="00C60D57">
        <w:tab/>
      </w:r>
      <w:r w:rsidRPr="00193F6E">
        <w:rPr>
          <w:rStyle w:val="a5"/>
          <w:szCs w:val="21"/>
        </w:rPr>
        <w:footnoteRef/>
      </w:r>
      <w:r w:rsidRPr="00C60D57">
        <w:tab/>
      </w:r>
      <w:r w:rsidRPr="00C60D57">
        <w:t>例如，见</w:t>
      </w:r>
      <w:r w:rsidRPr="00D66AEC">
        <w:rPr>
          <w:rFonts w:eastAsia="楷体"/>
        </w:rPr>
        <w:t>检察官诉</w:t>
      </w:r>
      <w:r w:rsidRPr="00D66AEC">
        <w:rPr>
          <w:rFonts w:eastAsia="楷体"/>
        </w:rPr>
        <w:t>Kordić</w:t>
      </w:r>
      <w:r w:rsidRPr="00D66AEC">
        <w:rPr>
          <w:rFonts w:eastAsia="楷体" w:hint="eastAsia"/>
        </w:rPr>
        <w:t xml:space="preserve"> </w:t>
      </w:r>
      <w:r w:rsidRPr="00D66AEC">
        <w:rPr>
          <w:rFonts w:eastAsia="楷体"/>
        </w:rPr>
        <w:t>和</w:t>
      </w:r>
      <w:r w:rsidRPr="00D66AEC">
        <w:rPr>
          <w:rFonts w:eastAsia="楷体" w:hint="eastAsia"/>
        </w:rPr>
        <w:t xml:space="preserve"> </w:t>
      </w:r>
      <w:r w:rsidRPr="00D66AEC">
        <w:rPr>
          <w:rFonts w:eastAsia="楷体"/>
        </w:rPr>
        <w:t>Čerkez</w:t>
      </w:r>
      <w:r w:rsidRPr="00D66AEC">
        <w:rPr>
          <w:rFonts w:eastAsia="楷体" w:hint="eastAsia"/>
        </w:rPr>
        <w:t xml:space="preserve"> </w:t>
      </w:r>
      <w:r w:rsidRPr="00D66AEC">
        <w:rPr>
          <w:rFonts w:eastAsia="楷体"/>
        </w:rPr>
        <w:t>案</w:t>
      </w:r>
      <w:r w:rsidRPr="00C60D57">
        <w:t>，</w:t>
      </w:r>
      <w:r>
        <w:t>IT-95-14/2</w:t>
      </w:r>
      <w:r>
        <w:rPr>
          <w:rFonts w:hint="eastAsia"/>
        </w:rPr>
        <w:t>-</w:t>
      </w:r>
      <w:r w:rsidRPr="00C60D57">
        <w:t>T</w:t>
      </w:r>
      <w:r w:rsidRPr="00C60D57">
        <w:t>号案</w:t>
      </w:r>
      <w:r>
        <w:rPr>
          <w:rFonts w:eastAsiaTheme="minorEastAsia" w:hint="eastAsia"/>
        </w:rPr>
        <w:t>件</w:t>
      </w:r>
      <w:r w:rsidRPr="00C60D57">
        <w:t>，前南斯拉夫问题国际刑事法庭，审判分庭，</w:t>
      </w:r>
      <w:r w:rsidRPr="00C60D57">
        <w:t>2001</w:t>
      </w:r>
      <w:r w:rsidRPr="00C60D57">
        <w:t>年</w:t>
      </w:r>
      <w:r w:rsidRPr="00C60D57">
        <w:t>2</w:t>
      </w:r>
      <w:r w:rsidRPr="00C60D57">
        <w:t>月</w:t>
      </w:r>
      <w:r w:rsidRPr="00C60D57">
        <w:t>26</w:t>
      </w:r>
      <w:r w:rsidRPr="00C60D57">
        <w:t>日的判决，第</w:t>
      </w:r>
      <w:r w:rsidRPr="00C60D57">
        <w:t>369</w:t>
      </w:r>
      <w:r w:rsidRPr="00C60D57">
        <w:t>段。</w:t>
      </w:r>
    </w:p>
  </w:footnote>
  <w:footnote w:id="1100">
    <w:p w:rsidR="00AB00DE" w:rsidRPr="00C60D57" w:rsidRDefault="00AB00DE" w:rsidP="00CD5A8C">
      <w:pPr>
        <w:pStyle w:val="a4"/>
        <w:tabs>
          <w:tab w:val="right" w:pos="0"/>
        </w:tabs>
      </w:pPr>
      <w:r w:rsidRPr="00C60D57">
        <w:tab/>
      </w:r>
      <w:r w:rsidRPr="00193F6E">
        <w:rPr>
          <w:rStyle w:val="a5"/>
          <w:szCs w:val="21"/>
        </w:rPr>
        <w:footnoteRef/>
      </w:r>
      <w:r w:rsidRPr="00C60D57">
        <w:tab/>
      </w:r>
      <w:r w:rsidRPr="003774B0">
        <w:rPr>
          <w:rFonts w:eastAsia="楷体"/>
        </w:rPr>
        <w:t>检察官诉</w:t>
      </w:r>
      <w:r w:rsidRPr="003774B0">
        <w:rPr>
          <w:rFonts w:eastAsia="楷体"/>
          <w:i/>
        </w:rPr>
        <w:t xml:space="preserve"> Jean-Pierre Bemba Gombo</w:t>
      </w:r>
      <w:r w:rsidRPr="003774B0">
        <w:rPr>
          <w:rFonts w:eastAsia="楷体"/>
        </w:rPr>
        <w:t>案</w:t>
      </w:r>
      <w:r w:rsidRPr="003774B0">
        <w:rPr>
          <w:rFonts w:eastAsiaTheme="minorEastAsia" w:hint="eastAsia"/>
          <w:iCs/>
        </w:rPr>
        <w:t>，</w:t>
      </w:r>
      <w:r w:rsidRPr="00C60D57">
        <w:t>ICC-01/05-01/08</w:t>
      </w:r>
      <w:r w:rsidRPr="00C60D57">
        <w:t>号案件，国际刑事法院第三审判庭，</w:t>
      </w:r>
      <w:r w:rsidRPr="00C60D57">
        <w:t>2016</w:t>
      </w:r>
      <w:r w:rsidRPr="00C60D57">
        <w:t>年</w:t>
      </w:r>
      <w:r w:rsidRPr="00C60D57">
        <w:t>3</w:t>
      </w:r>
      <w:r w:rsidRPr="00C60D57">
        <w:t>月</w:t>
      </w:r>
      <w:r w:rsidRPr="00C60D57">
        <w:t>21</w:t>
      </w:r>
      <w:r w:rsidRPr="00C60D57">
        <w:t>日的判决，第</w:t>
      </w:r>
      <w:r w:rsidRPr="00C60D57">
        <w:t>630</w:t>
      </w:r>
      <w:r>
        <w:rPr>
          <w:rFonts w:eastAsiaTheme="minorEastAsia" w:hint="eastAsia"/>
        </w:rPr>
        <w:t>、第</w:t>
      </w:r>
      <w:r w:rsidRPr="00C60D57">
        <w:t>638</w:t>
      </w:r>
      <w:r w:rsidRPr="00C60D57">
        <w:t>和</w:t>
      </w:r>
      <w:r>
        <w:rPr>
          <w:rFonts w:eastAsiaTheme="minorEastAsia" w:hint="eastAsia"/>
        </w:rPr>
        <w:t>第</w:t>
      </w:r>
      <w:r>
        <w:rPr>
          <w:rFonts w:eastAsiaTheme="minorEastAsia" w:hint="eastAsia"/>
        </w:rPr>
        <w:t>734</w:t>
      </w:r>
      <w:r w:rsidRPr="00C60D57">
        <w:t>段。</w:t>
      </w:r>
    </w:p>
  </w:footnote>
  <w:footnote w:id="1101">
    <w:p w:rsidR="00AB00DE" w:rsidRPr="00C60D57" w:rsidRDefault="00AB00DE" w:rsidP="00CD5A8C">
      <w:pPr>
        <w:pStyle w:val="a4"/>
        <w:tabs>
          <w:tab w:val="right" w:pos="0"/>
        </w:tabs>
      </w:pPr>
      <w:r w:rsidRPr="00C60D57">
        <w:tab/>
      </w:r>
      <w:r w:rsidRPr="00193F6E">
        <w:rPr>
          <w:rStyle w:val="a5"/>
          <w:szCs w:val="21"/>
        </w:rPr>
        <w:footnoteRef/>
      </w:r>
      <w:r w:rsidRPr="00C60D57">
        <w:tab/>
      </w:r>
      <w:r w:rsidRPr="00C60D57">
        <w:t>见人权委员会第六十一届会议报告，《经济及社会理事会正式记录，</w:t>
      </w:r>
      <w:r w:rsidRPr="00C60D57">
        <w:t>2005</w:t>
      </w:r>
      <w:r w:rsidRPr="00C60D57">
        <w:t>年，补编第</w:t>
      </w:r>
      <w:r w:rsidRPr="00C60D57">
        <w:t>3</w:t>
      </w:r>
      <w:r w:rsidRPr="00C60D57">
        <w:t>号》</w:t>
      </w:r>
      <w:r>
        <w:t>(</w:t>
      </w:r>
      <w:hyperlink r:id="rId205" w:history="1">
        <w:r w:rsidRPr="00FB1156">
          <w:t>E/2005/23-E/CN.4/2005/135</w:t>
        </w:r>
      </w:hyperlink>
      <w:r>
        <w:t>)</w:t>
      </w:r>
      <w:r w:rsidRPr="00C60D57">
        <w:t>，</w:t>
      </w:r>
      <w:r w:rsidRPr="00C60D57">
        <w:t>2005</w:t>
      </w:r>
      <w:r w:rsidRPr="00C60D57">
        <w:t>年</w:t>
      </w:r>
      <w:r w:rsidRPr="00C60D57">
        <w:t>4</w:t>
      </w:r>
      <w:r w:rsidRPr="00C60D57">
        <w:t>月</w:t>
      </w:r>
      <w:r w:rsidRPr="00C60D57">
        <w:t>21</w:t>
      </w:r>
      <w:r w:rsidRPr="00C60D57">
        <w:t>日关于有罪不罚问题的第</w:t>
      </w:r>
      <w:r w:rsidRPr="00C60D57">
        <w:t>2005/81</w:t>
      </w:r>
      <w:r w:rsidRPr="00C60D57">
        <w:t>号决议，第</w:t>
      </w:r>
      <w:r w:rsidRPr="00C60D57">
        <w:t>6</w:t>
      </w:r>
      <w:r w:rsidRPr="00C60D57">
        <w:t>段</w:t>
      </w:r>
      <w:r>
        <w:t>(</w:t>
      </w:r>
      <w:r w:rsidRPr="00C60D57">
        <w:t>敦促</w:t>
      </w:r>
      <w:r>
        <w:rPr>
          <w:rFonts w:hint="eastAsia"/>
        </w:rPr>
        <w:t>“</w:t>
      </w:r>
      <w:r w:rsidRPr="00C60D57">
        <w:t>各国确保各级军事指挥员和其他长官意识到根据国际法他们要对</w:t>
      </w:r>
      <w:r w:rsidRPr="002E28D0">
        <w:rPr>
          <w:rFonts w:cs="Arial Unicode MS" w:hint="eastAsia"/>
          <w:u w:color="000000"/>
          <w:bdr w:val="nil"/>
          <w:lang w:val="en-GB"/>
        </w:rPr>
        <w:t>……</w:t>
      </w:r>
      <w:r w:rsidRPr="00C60D57">
        <w:t>危害人类罪</w:t>
      </w:r>
      <w:r w:rsidRPr="002E28D0">
        <w:rPr>
          <w:rFonts w:cs="Arial Unicode MS" w:hint="eastAsia"/>
          <w:u w:color="000000"/>
          <w:bdr w:val="nil"/>
          <w:lang w:val="en-GB"/>
        </w:rPr>
        <w:t>……</w:t>
      </w:r>
      <w:r w:rsidRPr="00C60D57">
        <w:t>负有刑事责任的情况，包括在某些情况下，他们要对在其有效指挥和控制下的下属所犯罪行负有刑事责任</w:t>
      </w:r>
      <w:r>
        <w:rPr>
          <w:rFonts w:hint="eastAsia"/>
        </w:rPr>
        <w:t>”</w:t>
      </w:r>
      <w:r>
        <w:t>)</w:t>
      </w:r>
      <w:r w:rsidRPr="00C60D57">
        <w:t>。</w:t>
      </w:r>
    </w:p>
  </w:footnote>
  <w:footnote w:id="1102">
    <w:p w:rsidR="00AB00DE" w:rsidRPr="00C60D57" w:rsidRDefault="00AB00DE" w:rsidP="00CD5A8C">
      <w:pPr>
        <w:pStyle w:val="a4"/>
        <w:tabs>
          <w:tab w:val="right" w:pos="0"/>
        </w:tabs>
      </w:pPr>
      <w:r w:rsidRPr="00C60D57">
        <w:tab/>
      </w:r>
      <w:r w:rsidRPr="00193F6E">
        <w:rPr>
          <w:rStyle w:val="a5"/>
          <w:szCs w:val="21"/>
        </w:rPr>
        <w:footnoteRef/>
      </w:r>
      <w:r w:rsidRPr="00C60D57">
        <w:tab/>
      </w:r>
      <w:r w:rsidRPr="00C60D57">
        <w:t>例如，见《</w:t>
      </w:r>
      <w:r w:rsidRPr="00C60D57">
        <w:t>1949</w:t>
      </w:r>
      <w:r w:rsidRPr="00C60D57">
        <w:t>年</w:t>
      </w:r>
      <w:r w:rsidRPr="00C60D57">
        <w:t>8</w:t>
      </w:r>
      <w:r w:rsidRPr="00C60D57">
        <w:t>月</w:t>
      </w:r>
      <w:r w:rsidRPr="00C60D57">
        <w:t>12</w:t>
      </w:r>
      <w:r w:rsidRPr="00C60D57">
        <w:t>日日内瓦四公约关于保护国际性武装冲突受难者的附加议定书》</w:t>
      </w:r>
      <w:r>
        <w:t>(</w:t>
      </w:r>
      <w:r>
        <w:rPr>
          <w:rFonts w:hint="eastAsia"/>
        </w:rPr>
        <w:t>《</w:t>
      </w:r>
      <w:r w:rsidRPr="00C60D57">
        <w:t>第一议定书》</w:t>
      </w:r>
      <w:r>
        <w:t>) (</w:t>
      </w:r>
      <w:r w:rsidRPr="00C60D57">
        <w:t>1977</w:t>
      </w:r>
      <w:r w:rsidRPr="00C60D57">
        <w:t>年</w:t>
      </w:r>
      <w:r w:rsidRPr="00C60D57">
        <w:t>6</w:t>
      </w:r>
      <w:r w:rsidRPr="00C60D57">
        <w:t>月</w:t>
      </w:r>
      <w:r w:rsidRPr="00C60D57">
        <w:t>8</w:t>
      </w:r>
      <w:r w:rsidRPr="00C60D57">
        <w:t>日，日内瓦</w:t>
      </w:r>
      <w:r>
        <w:t>)</w:t>
      </w:r>
      <w:r w:rsidRPr="00C60D57">
        <w:rPr>
          <w:color w:val="000000"/>
        </w:rPr>
        <w:t>，</w:t>
      </w:r>
      <w:r>
        <w:t>联合国</w:t>
      </w:r>
      <w:r>
        <w:rPr>
          <w:rFonts w:eastAsiaTheme="minorEastAsia" w:hint="eastAsia"/>
        </w:rPr>
        <w:t>，</w:t>
      </w:r>
      <w:r w:rsidRPr="00C60D57">
        <w:t>《条约汇编》，第</w:t>
      </w:r>
      <w:r w:rsidRPr="00C60D57">
        <w:t>1125</w:t>
      </w:r>
      <w:r w:rsidRPr="00C60D57">
        <w:t>卷，</w:t>
      </w:r>
      <w:r>
        <w:rPr>
          <w:rFonts w:eastAsiaTheme="minorEastAsia" w:hint="eastAsia"/>
        </w:rPr>
        <w:t>第</w:t>
      </w:r>
      <w:r>
        <w:rPr>
          <w:rFonts w:eastAsiaTheme="minorEastAsia" w:hint="eastAsia"/>
        </w:rPr>
        <w:t>17512</w:t>
      </w:r>
      <w:r>
        <w:rPr>
          <w:rFonts w:eastAsiaTheme="minorEastAsia" w:hint="eastAsia"/>
        </w:rPr>
        <w:t>号，</w:t>
      </w:r>
      <w:r w:rsidRPr="00C60D57">
        <w:t>第</w:t>
      </w:r>
      <w:r w:rsidRPr="00C60D57">
        <w:t>3</w:t>
      </w:r>
      <w:r w:rsidRPr="00C60D57">
        <w:t>页，第</w:t>
      </w:r>
      <w:r w:rsidRPr="00C60D57">
        <w:t>86</w:t>
      </w:r>
      <w:r w:rsidRPr="00C60D57">
        <w:t>条第</w:t>
      </w:r>
      <w:r w:rsidRPr="00C60D57">
        <w:t>2</w:t>
      </w:r>
      <w:r>
        <w:t>款；</w:t>
      </w:r>
      <w:r w:rsidRPr="00C60D57">
        <w:t>《保护所有人免遭强迫失踪国际公约》，第</w:t>
      </w:r>
      <w:r w:rsidRPr="00C60D57">
        <w:t>6</w:t>
      </w:r>
      <w:r w:rsidRPr="00C60D57">
        <w:t>条第</w:t>
      </w:r>
      <w:r w:rsidRPr="00C60D57">
        <w:t>1</w:t>
      </w:r>
      <w:r w:rsidRPr="00C60D57">
        <w:t>款。</w:t>
      </w:r>
    </w:p>
  </w:footnote>
  <w:footnote w:id="1103">
    <w:p w:rsidR="00AB00DE" w:rsidRPr="00C60D57" w:rsidRDefault="00AB00DE" w:rsidP="00560424">
      <w:pPr>
        <w:pStyle w:val="a4"/>
        <w:tabs>
          <w:tab w:val="right" w:pos="0"/>
        </w:tabs>
      </w:pPr>
      <w:r w:rsidRPr="00C60D57">
        <w:tab/>
      </w:r>
      <w:r w:rsidRPr="00193F6E">
        <w:rPr>
          <w:rStyle w:val="a5"/>
          <w:szCs w:val="21"/>
        </w:rPr>
        <w:footnoteRef/>
      </w:r>
      <w:r w:rsidRPr="00C60D57">
        <w:tab/>
      </w:r>
      <w:r w:rsidRPr="00C60D57">
        <w:t>见人权委员会关于有罪不罚问题的第</w:t>
      </w:r>
      <w:r w:rsidRPr="00C60D57">
        <w:t>2005/81</w:t>
      </w:r>
      <w:r w:rsidRPr="00C60D57">
        <w:t>号决议</w:t>
      </w:r>
      <w:r>
        <w:t>(</w:t>
      </w:r>
      <w:r w:rsidRPr="00C60D57">
        <w:t>上文脚注</w:t>
      </w:r>
      <w:r>
        <w:rPr>
          <w:rFonts w:eastAsiaTheme="minorEastAsia"/>
        </w:rPr>
        <w:fldChar w:fldCharType="begin"/>
      </w:r>
      <w:r>
        <w:instrText xml:space="preserve"> NOTEREF _Ref454443574 \h </w:instrText>
      </w:r>
      <w:r>
        <w:rPr>
          <w:rFonts w:eastAsiaTheme="minorEastAsia"/>
        </w:rPr>
      </w:r>
      <w:r>
        <w:rPr>
          <w:rFonts w:eastAsiaTheme="minorEastAsia"/>
        </w:rPr>
        <w:fldChar w:fldCharType="separate"/>
      </w:r>
      <w:r w:rsidR="00A73EB9">
        <w:t>1100</w:t>
      </w:r>
      <w:r>
        <w:rPr>
          <w:rFonts w:eastAsiaTheme="minorEastAsia"/>
        </w:rPr>
        <w:fldChar w:fldCharType="end"/>
      </w:r>
      <w:r>
        <w:t>)</w:t>
      </w:r>
      <w:r w:rsidRPr="00C60D57">
        <w:t>，第</w:t>
      </w:r>
      <w:r w:rsidRPr="00C60D57">
        <w:t>6</w:t>
      </w:r>
      <w:r w:rsidRPr="00C60D57">
        <w:t>段</w:t>
      </w:r>
      <w:r>
        <w:t>(</w:t>
      </w:r>
      <w:r w:rsidRPr="00C60D57">
        <w:t>敦促所有各国</w:t>
      </w:r>
      <w:r>
        <w:rPr>
          <w:rFonts w:hint="eastAsia"/>
        </w:rPr>
        <w:t>“</w:t>
      </w:r>
      <w:r w:rsidRPr="00C60D57">
        <w:t>确保所有有关人员都得知国际法对以上级命令为理由进行的辩护作出的限制</w:t>
      </w:r>
      <w:r>
        <w:rPr>
          <w:rFonts w:hint="eastAsia"/>
        </w:rPr>
        <w:t>”</w:t>
      </w:r>
      <w:r>
        <w:t>)</w:t>
      </w:r>
      <w:r w:rsidRPr="00C60D57">
        <w:t>。</w:t>
      </w:r>
    </w:p>
  </w:footnote>
  <w:footnote w:id="1104">
    <w:p w:rsidR="00AB00DE" w:rsidRPr="00C60D57" w:rsidRDefault="00AB00DE" w:rsidP="00CD5A8C">
      <w:pPr>
        <w:pStyle w:val="a4"/>
      </w:pPr>
      <w:r w:rsidRPr="00C60D57">
        <w:tab/>
      </w:r>
      <w:r w:rsidRPr="00193F6E">
        <w:rPr>
          <w:rStyle w:val="a5"/>
          <w:szCs w:val="21"/>
        </w:rPr>
        <w:footnoteRef/>
      </w:r>
      <w:r w:rsidRPr="00C60D57">
        <w:tab/>
      </w:r>
      <w:r w:rsidRPr="00C60D57">
        <w:t>《对主要战争罪犯的审判》</w:t>
      </w:r>
      <w:r>
        <w:rPr>
          <w:iCs/>
        </w:rPr>
        <w:t>(</w:t>
      </w:r>
      <w:r w:rsidRPr="00C60D57">
        <w:rPr>
          <w:iCs/>
        </w:rPr>
        <w:t>见上文脚注</w:t>
      </w:r>
      <w:r>
        <w:rPr>
          <w:iCs/>
        </w:rPr>
        <w:fldChar w:fldCharType="begin"/>
      </w:r>
      <w:r>
        <w:rPr>
          <w:iCs/>
        </w:rPr>
        <w:instrText xml:space="preserve"> NOTEREF _Ref426983427 \h  \* MERGEFORMAT </w:instrText>
      </w:r>
      <w:r>
        <w:rPr>
          <w:iCs/>
        </w:rPr>
      </w:r>
      <w:r>
        <w:rPr>
          <w:iCs/>
        </w:rPr>
        <w:fldChar w:fldCharType="separate"/>
      </w:r>
      <w:r w:rsidR="00A73EB9">
        <w:rPr>
          <w:iCs/>
        </w:rPr>
        <w:t>1051</w:t>
      </w:r>
      <w:r>
        <w:rPr>
          <w:iCs/>
        </w:rPr>
        <w:fldChar w:fldCharType="end"/>
      </w:r>
      <w:r>
        <w:t>)</w:t>
      </w:r>
      <w:r w:rsidRPr="00C60D57">
        <w:t>，第</w:t>
      </w:r>
      <w:r w:rsidRPr="00C60D57">
        <w:t>466</w:t>
      </w:r>
      <w:r w:rsidRPr="00C60D57">
        <w:t>页。</w:t>
      </w:r>
    </w:p>
  </w:footnote>
  <w:footnote w:id="1105">
    <w:p w:rsidR="00AB00DE" w:rsidRPr="00C60D57" w:rsidRDefault="00AB00DE" w:rsidP="00CD5A8C">
      <w:pPr>
        <w:pStyle w:val="a4"/>
        <w:tabs>
          <w:tab w:val="right" w:pos="0"/>
        </w:tabs>
      </w:pPr>
      <w:r w:rsidRPr="00C60D57">
        <w:tab/>
      </w:r>
      <w:r w:rsidRPr="00193F6E">
        <w:rPr>
          <w:rStyle w:val="a5"/>
          <w:szCs w:val="21"/>
        </w:rPr>
        <w:footnoteRef/>
      </w:r>
      <w:r w:rsidRPr="00C60D57">
        <w:tab/>
      </w:r>
      <w:r w:rsidRPr="00C60D57">
        <w:t>《远东国际军事法庭宪章》</w:t>
      </w:r>
      <w:r>
        <w:t>(</w:t>
      </w:r>
      <w:r w:rsidRPr="00C60D57">
        <w:t>1946</w:t>
      </w:r>
      <w:r w:rsidRPr="00C60D57">
        <w:t>年</w:t>
      </w:r>
      <w:r w:rsidRPr="00C60D57">
        <w:t>1</w:t>
      </w:r>
      <w:r w:rsidRPr="00C60D57">
        <w:t>月</w:t>
      </w:r>
      <w:r w:rsidRPr="00C60D57">
        <w:t>19</w:t>
      </w:r>
      <w:r w:rsidRPr="00C60D57">
        <w:t>日，东京</w:t>
      </w:r>
      <w:r>
        <w:t>)</w:t>
      </w:r>
      <w:r w:rsidRPr="00C60D57">
        <w:t xml:space="preserve"> </w:t>
      </w:r>
      <w:r>
        <w:t>(</w:t>
      </w:r>
      <w:r w:rsidRPr="00C60D57">
        <w:t>1946</w:t>
      </w:r>
      <w:r w:rsidRPr="00C60D57">
        <w:t>年</w:t>
      </w:r>
      <w:r w:rsidRPr="00C60D57">
        <w:t>4</w:t>
      </w:r>
      <w:r w:rsidRPr="00C60D57">
        <w:t>月</w:t>
      </w:r>
      <w:r w:rsidRPr="00C60D57">
        <w:t>26</w:t>
      </w:r>
      <w:r w:rsidRPr="00C60D57">
        <w:t>日修正</w:t>
      </w:r>
      <w:r>
        <w:t>)</w:t>
      </w:r>
      <w:r w:rsidRPr="00C60D57">
        <w:t>，</w:t>
      </w:r>
      <w:r w:rsidRPr="00C60D57">
        <w:rPr>
          <w:i/>
          <w:iCs/>
        </w:rPr>
        <w:t>Treaties and Other International Agreements of the United States of America 1776-194</w:t>
      </w:r>
      <w:r>
        <w:rPr>
          <w:i/>
          <w:iCs/>
        </w:rPr>
        <w:t>9,</w:t>
      </w:r>
      <w:r w:rsidRPr="00C60D57">
        <w:t xml:space="preserve"> vol. </w:t>
      </w:r>
      <w:r>
        <w:t>4,</w:t>
      </w:r>
      <w:r w:rsidRPr="00C60D57">
        <w:t xml:space="preserve"> C. Bevans ed. </w:t>
      </w:r>
      <w:r>
        <w:t>(</w:t>
      </w:r>
      <w:r w:rsidRPr="00C60D57">
        <w:t>Washingto</w:t>
      </w:r>
      <w:r>
        <w:t xml:space="preserve">n, </w:t>
      </w:r>
      <w:r w:rsidRPr="00C60D57">
        <w:t>D.C.</w:t>
      </w:r>
      <w:r>
        <w:t>，</w:t>
      </w:r>
      <w:r w:rsidRPr="00C60D57">
        <w:t>Department of Stat</w:t>
      </w:r>
      <w:r>
        <w:t xml:space="preserve">e, </w:t>
      </w:r>
      <w:r w:rsidRPr="00C60D57">
        <w:t>1968</w:t>
      </w:r>
      <w:r>
        <w:t>)</w:t>
      </w:r>
      <w:r>
        <w:t>，</w:t>
      </w:r>
      <w:r w:rsidRPr="00C60D57">
        <w:t>p. 2</w:t>
      </w:r>
      <w:r>
        <w:t>0,</w:t>
      </w:r>
      <w:r w:rsidRPr="00C60D57">
        <w:t xml:space="preserve"> at p. 2</w:t>
      </w:r>
      <w:r>
        <w:t>3,</w:t>
      </w:r>
      <w:r w:rsidRPr="00C60D57">
        <w:t xml:space="preserve"> art. 6 </w:t>
      </w:r>
      <w:r>
        <w:t>(</w:t>
      </w:r>
      <w:r>
        <w:t>下称</w:t>
      </w:r>
      <w:r w:rsidRPr="00C60D57">
        <w:t>《东京宪章》</w:t>
      </w:r>
      <w:r>
        <w:t>)</w:t>
      </w:r>
      <w:r w:rsidRPr="00C60D57">
        <w:t>。</w:t>
      </w:r>
    </w:p>
  </w:footnote>
  <w:footnote w:id="1106">
    <w:p w:rsidR="00AB00DE" w:rsidRPr="00C60D57" w:rsidRDefault="00AB00DE" w:rsidP="00CD5A8C">
      <w:pPr>
        <w:pStyle w:val="a4"/>
      </w:pPr>
      <w:r w:rsidRPr="00C60D57">
        <w:tab/>
      </w:r>
      <w:r w:rsidRPr="00193F6E">
        <w:rPr>
          <w:rStyle w:val="a5"/>
          <w:szCs w:val="21"/>
        </w:rPr>
        <w:footnoteRef/>
      </w:r>
      <w:r w:rsidRPr="00C60D57">
        <w:tab/>
      </w:r>
      <w:r w:rsidRPr="00C60D57">
        <w:t>《</w:t>
      </w:r>
      <w:r>
        <w:t>前南斯拉夫问题国际刑事法庭</w:t>
      </w:r>
      <w:r w:rsidRPr="00C60D57">
        <w:t>规约》</w:t>
      </w:r>
      <w:r>
        <w:t>(</w:t>
      </w:r>
      <w:r w:rsidRPr="00C60D57">
        <w:t>见上文脚注</w:t>
      </w:r>
      <w:r>
        <w:fldChar w:fldCharType="begin"/>
      </w:r>
      <w:r>
        <w:instrText xml:space="preserve"> NOTEREF _Ref456626288 \h  \* MERGEFORMAT </w:instrText>
      </w:r>
      <w:r>
        <w:fldChar w:fldCharType="separate"/>
      </w:r>
      <w:r w:rsidR="00A73EB9">
        <w:t>1062</w:t>
      </w:r>
      <w:r>
        <w:fldChar w:fldCharType="end"/>
      </w:r>
      <w:r>
        <w:t>)</w:t>
      </w:r>
      <w:r w:rsidRPr="00C60D57">
        <w:t>，第</w:t>
      </w:r>
      <w:r w:rsidRPr="00C60D57">
        <w:t>7</w:t>
      </w:r>
      <w:r w:rsidRPr="00C60D57">
        <w:t>条第</w:t>
      </w:r>
      <w:r w:rsidRPr="00C60D57">
        <w:t>4</w:t>
      </w:r>
      <w:r w:rsidRPr="00C60D57">
        <w:t>款。</w:t>
      </w:r>
    </w:p>
  </w:footnote>
  <w:footnote w:id="1107">
    <w:p w:rsidR="00AB00DE" w:rsidRPr="00C60D57" w:rsidRDefault="00AB00DE" w:rsidP="00CD5A8C">
      <w:pPr>
        <w:pStyle w:val="a4"/>
      </w:pPr>
      <w:r w:rsidRPr="00C60D57">
        <w:tab/>
      </w:r>
      <w:r w:rsidRPr="00193F6E">
        <w:rPr>
          <w:rStyle w:val="a5"/>
          <w:szCs w:val="21"/>
        </w:rPr>
        <w:footnoteRef/>
      </w:r>
      <w:r w:rsidRPr="00C60D57">
        <w:tab/>
      </w:r>
      <w:r w:rsidRPr="00C60D57">
        <w:t>《</w:t>
      </w:r>
      <w:r>
        <w:t>卢旺达问题国际刑事法庭</w:t>
      </w:r>
      <w:r w:rsidRPr="00C60D57">
        <w:t>规约》</w:t>
      </w:r>
      <w:r>
        <w:t>(</w:t>
      </w:r>
      <w:r w:rsidRPr="00C60D57">
        <w:t>见上文脚注</w:t>
      </w:r>
      <w:r>
        <w:fldChar w:fldCharType="begin"/>
      </w:r>
      <w:r>
        <w:instrText xml:space="preserve"> NOTEREF _Ref456626318 \h  \* MERGEFORMAT </w:instrText>
      </w:r>
      <w:r>
        <w:fldChar w:fldCharType="separate"/>
      </w:r>
      <w:r w:rsidR="00A73EB9">
        <w:t>1063</w:t>
      </w:r>
      <w:r>
        <w:fldChar w:fldCharType="end"/>
      </w:r>
      <w:r>
        <w:t>)</w:t>
      </w:r>
      <w:r>
        <w:t>，</w:t>
      </w:r>
      <w:r w:rsidRPr="00C60D57">
        <w:t>第</w:t>
      </w:r>
      <w:r w:rsidRPr="00C60D57">
        <w:t>6</w:t>
      </w:r>
      <w:r w:rsidRPr="00C60D57">
        <w:t>条第</w:t>
      </w:r>
      <w:r w:rsidRPr="00C60D57">
        <w:t>4</w:t>
      </w:r>
      <w:r w:rsidRPr="00C60D57">
        <w:t>款。</w:t>
      </w:r>
    </w:p>
  </w:footnote>
  <w:footnote w:id="1108">
    <w:p w:rsidR="00AB00DE" w:rsidRPr="00C60D57" w:rsidRDefault="00AB00DE" w:rsidP="00CD5A8C">
      <w:pPr>
        <w:pStyle w:val="a4"/>
      </w:pPr>
      <w:r w:rsidRPr="00C60D57">
        <w:tab/>
      </w:r>
      <w:r w:rsidRPr="00193F6E">
        <w:rPr>
          <w:rStyle w:val="a5"/>
          <w:szCs w:val="21"/>
        </w:rPr>
        <w:footnoteRef/>
      </w:r>
      <w:r w:rsidRPr="00C60D57">
        <w:tab/>
      </w:r>
      <w:r w:rsidRPr="00C60D57">
        <w:t>《塞拉利昂问题特别法庭规约》</w:t>
      </w:r>
      <w:r>
        <w:t>(</w:t>
      </w:r>
      <w:r w:rsidRPr="00C60D57">
        <w:t>见上文脚注</w:t>
      </w:r>
      <w:r>
        <w:fldChar w:fldCharType="begin"/>
      </w:r>
      <w:r>
        <w:instrText xml:space="preserve"> NOTEREF _Ref456777187 \h  \* MERGEFORMAT </w:instrText>
      </w:r>
      <w:r>
        <w:fldChar w:fldCharType="separate"/>
      </w:r>
      <w:r w:rsidR="00A73EB9">
        <w:t>1065</w:t>
      </w:r>
      <w:r>
        <w:fldChar w:fldCharType="end"/>
      </w:r>
      <w:r>
        <w:t>)</w:t>
      </w:r>
      <w:r w:rsidRPr="00C60D57">
        <w:t>，第</w:t>
      </w:r>
      <w:r w:rsidRPr="00C60D57">
        <w:t>6</w:t>
      </w:r>
      <w:r>
        <w:t>条</w:t>
      </w:r>
      <w:r w:rsidRPr="00C60D57">
        <w:t>第</w:t>
      </w:r>
      <w:r w:rsidRPr="00C60D57">
        <w:t>4</w:t>
      </w:r>
      <w:r w:rsidRPr="00C60D57">
        <w:t>款。</w:t>
      </w:r>
    </w:p>
  </w:footnote>
  <w:footnote w:id="1109">
    <w:p w:rsidR="00AB00DE" w:rsidRPr="00C60D57" w:rsidRDefault="00AB00DE" w:rsidP="00CD5A8C">
      <w:pPr>
        <w:pStyle w:val="a4"/>
      </w:pPr>
      <w:r w:rsidRPr="00C60D57">
        <w:tab/>
      </w:r>
      <w:r w:rsidRPr="00193F6E">
        <w:rPr>
          <w:rStyle w:val="a5"/>
          <w:szCs w:val="21"/>
        </w:rPr>
        <w:footnoteRef/>
      </w:r>
      <w:r w:rsidRPr="00C60D57">
        <w:tab/>
      </w:r>
      <w:r w:rsidRPr="00C60D57">
        <w:t>《黎巴嫩问题特别法庭规约》</w:t>
      </w:r>
      <w:r>
        <w:t>(</w:t>
      </w:r>
      <w:r w:rsidRPr="00C60D57">
        <w:t>见上文脚注</w:t>
      </w:r>
      <w:r>
        <w:rPr>
          <w:rFonts w:eastAsiaTheme="minorEastAsia" w:hint="eastAsia"/>
        </w:rPr>
        <w:t>1093</w:t>
      </w:r>
      <w:r>
        <w:t>)</w:t>
      </w:r>
      <w:r w:rsidRPr="00C60D57">
        <w:t>，第</w:t>
      </w:r>
      <w:r w:rsidRPr="00C60D57">
        <w:t>3</w:t>
      </w:r>
      <w:r>
        <w:t>条</w:t>
      </w:r>
      <w:r w:rsidRPr="00C60D57">
        <w:t>第</w:t>
      </w:r>
      <w:r w:rsidRPr="00C60D57">
        <w:t>3</w:t>
      </w:r>
      <w:r w:rsidRPr="00C60D57">
        <w:t>款。</w:t>
      </w:r>
    </w:p>
  </w:footnote>
  <w:footnote w:id="1110">
    <w:p w:rsidR="00AB00DE" w:rsidRPr="00C60D57" w:rsidRDefault="00AB00DE" w:rsidP="00CD5A8C">
      <w:pPr>
        <w:pStyle w:val="a4"/>
      </w:pPr>
      <w:r w:rsidRPr="00C60D57">
        <w:tab/>
      </w:r>
      <w:r w:rsidRPr="00193F6E">
        <w:rPr>
          <w:rStyle w:val="a5"/>
          <w:szCs w:val="21"/>
        </w:rPr>
        <w:footnoteRef/>
      </w:r>
      <w:r w:rsidRPr="00C60D57">
        <w:tab/>
      </w:r>
      <w:r w:rsidRPr="00C60D57">
        <w:t>《</w:t>
      </w:r>
      <w:r>
        <w:t>东帝汶法庭宪章</w:t>
      </w:r>
      <w:r w:rsidRPr="00C60D57">
        <w:t>》</w:t>
      </w:r>
      <w:r>
        <w:t>(</w:t>
      </w:r>
      <w:r w:rsidRPr="00C60D57">
        <w:t>见上文脚注</w:t>
      </w:r>
      <w:r>
        <w:fldChar w:fldCharType="begin"/>
      </w:r>
      <w:r>
        <w:instrText xml:space="preserve"> NOTEREF _Ref456777214 \h  \* MERGEFORMAT </w:instrText>
      </w:r>
      <w:r>
        <w:fldChar w:fldCharType="separate"/>
      </w:r>
      <w:r w:rsidR="00A73EB9">
        <w:t>1066</w:t>
      </w:r>
      <w:r>
        <w:fldChar w:fldCharType="end"/>
      </w:r>
      <w:r>
        <w:t>)</w:t>
      </w:r>
      <w:r>
        <w:t>，</w:t>
      </w:r>
      <w:r w:rsidRPr="00C60D57">
        <w:t>第</w:t>
      </w:r>
      <w:r w:rsidRPr="00C60D57">
        <w:t>21</w:t>
      </w:r>
      <w:r w:rsidRPr="00C60D57">
        <w:t>节。</w:t>
      </w:r>
    </w:p>
  </w:footnote>
  <w:footnote w:id="1111">
    <w:p w:rsidR="00AB00DE" w:rsidRPr="00C60D57" w:rsidRDefault="00AB00DE" w:rsidP="00CD5A8C">
      <w:pPr>
        <w:pStyle w:val="a4"/>
      </w:pPr>
      <w:r w:rsidRPr="00C60D57">
        <w:tab/>
      </w:r>
      <w:r w:rsidRPr="00193F6E">
        <w:rPr>
          <w:rStyle w:val="a5"/>
          <w:szCs w:val="21"/>
        </w:rPr>
        <w:footnoteRef/>
      </w:r>
      <w:r w:rsidRPr="00C60D57">
        <w:tab/>
      </w:r>
      <w:r w:rsidRPr="00C60D57">
        <w:t>《柬埔寨特别法庭协定》</w:t>
      </w:r>
      <w:r>
        <w:t>(</w:t>
      </w:r>
      <w:r w:rsidRPr="00C60D57">
        <w:t>见上文脚注</w:t>
      </w:r>
      <w:r>
        <w:fldChar w:fldCharType="begin"/>
      </w:r>
      <w:r>
        <w:instrText xml:space="preserve"> NOTEREF _Ref456777235 \h  \* MERGEFORMAT </w:instrText>
      </w:r>
      <w:r>
        <w:fldChar w:fldCharType="separate"/>
      </w:r>
      <w:r w:rsidR="00A73EB9">
        <w:t>1067</w:t>
      </w:r>
      <w:r>
        <w:fldChar w:fldCharType="end"/>
      </w:r>
      <w:r>
        <w:t>)</w:t>
      </w:r>
      <w:r>
        <w:t>，</w:t>
      </w:r>
      <w:r w:rsidRPr="00C60D57">
        <w:t>第</w:t>
      </w:r>
      <w:r w:rsidRPr="00C60D57">
        <w:t>29</w:t>
      </w:r>
      <w:r w:rsidRPr="00C60D57">
        <w:t>条。</w:t>
      </w:r>
    </w:p>
  </w:footnote>
  <w:footnote w:id="1112">
    <w:p w:rsidR="00AB00DE" w:rsidRPr="00C60D57" w:rsidRDefault="00AB00DE" w:rsidP="00CD5A8C">
      <w:pPr>
        <w:pStyle w:val="a4"/>
      </w:pPr>
      <w:r w:rsidRPr="00C60D57">
        <w:tab/>
      </w:r>
      <w:r w:rsidRPr="00193F6E">
        <w:rPr>
          <w:rStyle w:val="a5"/>
          <w:szCs w:val="21"/>
        </w:rPr>
        <w:footnoteRef/>
      </w:r>
      <w:r w:rsidRPr="00C60D57">
        <w:tab/>
      </w:r>
      <w:r w:rsidRPr="00C60D57">
        <w:t>《伊拉克最高刑事法庭规约》</w:t>
      </w:r>
      <w:r>
        <w:t>(</w:t>
      </w:r>
      <w:r w:rsidRPr="00C60D57">
        <w:t>见上文脚注</w:t>
      </w:r>
      <w:r>
        <w:fldChar w:fldCharType="begin"/>
      </w:r>
      <w:r>
        <w:instrText xml:space="preserve"> NOTEREF _Ref456777251 \h  \* MERGEFORMAT </w:instrText>
      </w:r>
      <w:r>
        <w:fldChar w:fldCharType="separate"/>
      </w:r>
      <w:r w:rsidR="00A73EB9">
        <w:t>1068</w:t>
      </w:r>
      <w:r>
        <w:fldChar w:fldCharType="end"/>
      </w:r>
      <w:r>
        <w:t>)</w:t>
      </w:r>
      <w:r>
        <w:t>，</w:t>
      </w:r>
      <w:r w:rsidRPr="00C60D57">
        <w:t>第</w:t>
      </w:r>
      <w:r w:rsidRPr="00C60D57">
        <w:t>15</w:t>
      </w:r>
      <w:r w:rsidRPr="00C60D57">
        <w:t>条。</w:t>
      </w:r>
    </w:p>
  </w:footnote>
  <w:footnote w:id="1113">
    <w:p w:rsidR="00AB00DE" w:rsidRPr="00C60D57" w:rsidRDefault="00AB00DE" w:rsidP="00CD5A8C">
      <w:pPr>
        <w:pStyle w:val="a4"/>
      </w:pPr>
      <w:r w:rsidRPr="00C60D57">
        <w:tab/>
      </w:r>
      <w:r w:rsidRPr="00193F6E">
        <w:rPr>
          <w:rStyle w:val="a5"/>
          <w:szCs w:val="21"/>
        </w:rPr>
        <w:footnoteRef/>
      </w:r>
      <w:r w:rsidRPr="00C60D57">
        <w:tab/>
      </w:r>
      <w:r w:rsidRPr="00C60D57">
        <w:t>《非洲特别法庭规约》</w:t>
      </w:r>
      <w:r>
        <w:t>(</w:t>
      </w:r>
      <w:r w:rsidRPr="00C60D57">
        <w:t>见上文脚注</w:t>
      </w:r>
      <w:r>
        <w:fldChar w:fldCharType="begin"/>
      </w:r>
      <w:r>
        <w:instrText xml:space="preserve"> NOTEREF _Ref456777269 \h  \* MERGEFORMAT </w:instrText>
      </w:r>
      <w:r>
        <w:fldChar w:fldCharType="separate"/>
      </w:r>
      <w:r w:rsidR="00A73EB9">
        <w:t>1069</w:t>
      </w:r>
      <w:r>
        <w:fldChar w:fldCharType="end"/>
      </w:r>
      <w:r>
        <w:t>)</w:t>
      </w:r>
      <w:r w:rsidRPr="00C60D57">
        <w:t>，第</w:t>
      </w:r>
      <w:r w:rsidRPr="00C60D57">
        <w:t>10</w:t>
      </w:r>
      <w:r w:rsidRPr="00C60D57">
        <w:t>条第</w:t>
      </w:r>
      <w:r w:rsidRPr="00C60D57">
        <w:t>5</w:t>
      </w:r>
      <w:r w:rsidRPr="00C60D57">
        <w:t>款。</w:t>
      </w:r>
    </w:p>
  </w:footnote>
  <w:footnote w:id="1114">
    <w:p w:rsidR="00AB00DE" w:rsidRPr="00C60D57" w:rsidRDefault="00AB00DE" w:rsidP="00CD5A8C">
      <w:pPr>
        <w:pStyle w:val="a4"/>
      </w:pPr>
      <w:r w:rsidRPr="00C60D57">
        <w:tab/>
      </w:r>
      <w:r w:rsidRPr="00193F6E">
        <w:rPr>
          <w:rStyle w:val="a5"/>
          <w:szCs w:val="21"/>
        </w:rPr>
        <w:footnoteRef/>
      </w:r>
      <w:r w:rsidRPr="00C60D57">
        <w:tab/>
      </w:r>
      <w:r w:rsidRPr="00C60D57">
        <w:t>例如，见《</w:t>
      </w:r>
      <w:r>
        <w:t>前南斯拉夫问题国际刑事法庭</w:t>
      </w:r>
      <w:r w:rsidRPr="00C60D57">
        <w:t>规约》</w:t>
      </w:r>
      <w:r>
        <w:t>(</w:t>
      </w:r>
      <w:r w:rsidRPr="00C60D57">
        <w:t>上文脚注</w:t>
      </w:r>
      <w:r>
        <w:fldChar w:fldCharType="begin"/>
      </w:r>
      <w:r>
        <w:instrText xml:space="preserve"> NOTEREF _Ref456626288 \h  \* MERGEFORMAT </w:instrText>
      </w:r>
      <w:r>
        <w:fldChar w:fldCharType="separate"/>
      </w:r>
      <w:r w:rsidR="00A73EB9">
        <w:t>1062</w:t>
      </w:r>
      <w:r>
        <w:fldChar w:fldCharType="end"/>
      </w:r>
      <w:r>
        <w:t>)</w:t>
      </w:r>
      <w:r w:rsidRPr="00C60D57">
        <w:t>，第</w:t>
      </w:r>
      <w:r w:rsidRPr="00C60D57">
        <w:t>7</w:t>
      </w:r>
      <w:r w:rsidRPr="00C60D57">
        <w:t>条第</w:t>
      </w:r>
      <w:r w:rsidRPr="00C60D57">
        <w:t>4</w:t>
      </w:r>
      <w:r w:rsidRPr="00C60D57">
        <w:t>款；《</w:t>
      </w:r>
      <w:r>
        <w:t>卢旺达问题国际刑事法庭</w:t>
      </w:r>
      <w:r w:rsidRPr="00C60D57">
        <w:t>规约》</w:t>
      </w:r>
      <w:r>
        <w:t>(</w:t>
      </w:r>
      <w:r w:rsidRPr="00C60D57">
        <w:t>上文脚注</w:t>
      </w:r>
      <w:r>
        <w:fldChar w:fldCharType="begin"/>
      </w:r>
      <w:r>
        <w:instrText xml:space="preserve"> NOTEREF _Ref456626318 \h  \* MERGEFORMAT </w:instrText>
      </w:r>
      <w:r>
        <w:fldChar w:fldCharType="separate"/>
      </w:r>
      <w:r w:rsidR="00A73EB9">
        <w:t>1063</w:t>
      </w:r>
      <w:r>
        <w:fldChar w:fldCharType="end"/>
      </w:r>
      <w:r>
        <w:t>)</w:t>
      </w:r>
      <w:r>
        <w:t>，</w:t>
      </w:r>
      <w:r w:rsidRPr="00C60D57">
        <w:t>第</w:t>
      </w:r>
      <w:r w:rsidRPr="00C60D57">
        <w:t>6</w:t>
      </w:r>
      <w:r w:rsidRPr="00C60D57">
        <w:t>条第</w:t>
      </w:r>
      <w:r w:rsidRPr="00C60D57">
        <w:t>4</w:t>
      </w:r>
      <w:r w:rsidRPr="00C60D57">
        <w:t>款；《塞拉利昂问题特别法庭规约》</w:t>
      </w:r>
      <w:r>
        <w:t>(</w:t>
      </w:r>
      <w:r w:rsidRPr="00C60D57">
        <w:t>上文脚注</w:t>
      </w:r>
      <w:r>
        <w:fldChar w:fldCharType="begin"/>
      </w:r>
      <w:r>
        <w:instrText xml:space="preserve"> NOTEREF _Ref456777187 \h  \* MERGEFORMAT </w:instrText>
      </w:r>
      <w:r>
        <w:fldChar w:fldCharType="separate"/>
      </w:r>
      <w:r w:rsidR="00A73EB9">
        <w:t>1065</w:t>
      </w:r>
      <w:r>
        <w:fldChar w:fldCharType="end"/>
      </w:r>
      <w:r>
        <w:t>)</w:t>
      </w:r>
      <w:r w:rsidRPr="00C60D57">
        <w:t>，第</w:t>
      </w:r>
      <w:r w:rsidRPr="00C60D57">
        <w:t>6</w:t>
      </w:r>
      <w:r>
        <w:t>条</w:t>
      </w:r>
      <w:r w:rsidRPr="00C60D57">
        <w:t>第</w:t>
      </w:r>
      <w:r w:rsidRPr="00C60D57">
        <w:t>4</w:t>
      </w:r>
      <w:r w:rsidRPr="00C60D57">
        <w:t>款；《</w:t>
      </w:r>
      <w:r>
        <w:t>东帝汶法庭宪章</w:t>
      </w:r>
      <w:r w:rsidRPr="00C60D57">
        <w:t>》</w:t>
      </w:r>
      <w:r>
        <w:t>(</w:t>
      </w:r>
      <w:r w:rsidRPr="00C60D57">
        <w:t>上文脚注</w:t>
      </w:r>
      <w:r>
        <w:fldChar w:fldCharType="begin"/>
      </w:r>
      <w:r>
        <w:instrText xml:space="preserve"> NOTEREF _Ref456777214 \h  \* MERGEFORMAT </w:instrText>
      </w:r>
      <w:r>
        <w:fldChar w:fldCharType="separate"/>
      </w:r>
      <w:r w:rsidR="00A73EB9">
        <w:t>1066</w:t>
      </w:r>
      <w:r>
        <w:fldChar w:fldCharType="end"/>
      </w:r>
      <w:r>
        <w:t>)</w:t>
      </w:r>
      <w:r>
        <w:t>，</w:t>
      </w:r>
      <w:r w:rsidRPr="00C60D57">
        <w:t>第</w:t>
      </w:r>
      <w:r w:rsidRPr="00C60D57">
        <w:t>21</w:t>
      </w:r>
      <w:r w:rsidRPr="00C60D57">
        <w:t>节。</w:t>
      </w:r>
    </w:p>
  </w:footnote>
  <w:footnote w:id="1115">
    <w:p w:rsidR="00AB00DE" w:rsidRPr="00C60D57" w:rsidRDefault="00AB00DE" w:rsidP="00CD5A8C">
      <w:pPr>
        <w:pStyle w:val="a4"/>
      </w:pPr>
      <w:r w:rsidRPr="00C60D57">
        <w:tab/>
      </w:r>
      <w:r w:rsidRPr="00193F6E">
        <w:rPr>
          <w:rStyle w:val="a5"/>
          <w:szCs w:val="21"/>
        </w:rPr>
        <w:footnoteRef/>
      </w:r>
      <w:r w:rsidRPr="00C60D57">
        <w:tab/>
      </w:r>
      <w:r w:rsidRPr="00C60D57">
        <w:t>《禁止酷刑公约》第</w:t>
      </w:r>
      <w:r w:rsidRPr="00C60D57">
        <w:t>2</w:t>
      </w:r>
      <w:r w:rsidRPr="00C60D57">
        <w:t>条第</w:t>
      </w:r>
      <w:r w:rsidRPr="00C60D57">
        <w:t>3</w:t>
      </w:r>
      <w:r w:rsidRPr="00C60D57">
        <w:t>款</w:t>
      </w:r>
      <w:r>
        <w:t>(</w:t>
      </w:r>
      <w:r>
        <w:rPr>
          <w:rFonts w:hint="eastAsia"/>
        </w:rPr>
        <w:t>“</w:t>
      </w:r>
      <w:r w:rsidRPr="00C60D57">
        <w:t>上级官员或政府当局的命令不得援引为施行酷刑的理由</w:t>
      </w:r>
      <w:r>
        <w:rPr>
          <w:rFonts w:hint="eastAsia"/>
        </w:rPr>
        <w:t>”</w:t>
      </w:r>
      <w:r>
        <w:t>)</w:t>
      </w:r>
      <w:r w:rsidRPr="00C60D57">
        <w:t>。</w:t>
      </w:r>
    </w:p>
  </w:footnote>
  <w:footnote w:id="1116">
    <w:p w:rsidR="00AB00DE" w:rsidRPr="00C60D57" w:rsidRDefault="00AB00DE" w:rsidP="00CD5A8C">
      <w:pPr>
        <w:pStyle w:val="a4"/>
      </w:pPr>
      <w:r w:rsidRPr="00C60D57">
        <w:tab/>
      </w:r>
      <w:r w:rsidRPr="00193F6E">
        <w:rPr>
          <w:rStyle w:val="a5"/>
          <w:szCs w:val="21"/>
        </w:rPr>
        <w:footnoteRef/>
      </w:r>
      <w:r w:rsidRPr="00193F6E">
        <w:rPr>
          <w:rStyle w:val="a5"/>
          <w:szCs w:val="21"/>
        </w:rPr>
        <w:tab/>
      </w:r>
      <w:r w:rsidRPr="00A43AD6">
        <w:rPr>
          <w:spacing w:val="-3"/>
        </w:rPr>
        <w:t>《美洲防止和惩处酷刑公约》第</w:t>
      </w:r>
      <w:r w:rsidRPr="00A43AD6">
        <w:rPr>
          <w:spacing w:val="-3"/>
        </w:rPr>
        <w:t>4</w:t>
      </w:r>
      <w:r w:rsidRPr="00A43AD6">
        <w:rPr>
          <w:spacing w:val="-3"/>
        </w:rPr>
        <w:t>条</w:t>
      </w:r>
      <w:r>
        <w:rPr>
          <w:spacing w:val="-3"/>
        </w:rPr>
        <w:t>(</w:t>
      </w:r>
      <w:r w:rsidRPr="00A43AD6">
        <w:rPr>
          <w:rFonts w:hint="eastAsia"/>
          <w:spacing w:val="-3"/>
        </w:rPr>
        <w:t>“</w:t>
      </w:r>
      <w:r w:rsidRPr="00A43AD6">
        <w:rPr>
          <w:spacing w:val="-3"/>
        </w:rPr>
        <w:t>按照上级命令行事这一事实不能豁免相应的刑事责任</w:t>
      </w:r>
      <w:r w:rsidRPr="00A43AD6">
        <w:rPr>
          <w:rFonts w:hint="eastAsia"/>
          <w:spacing w:val="-3"/>
        </w:rPr>
        <w:t>”</w:t>
      </w:r>
      <w:r>
        <w:rPr>
          <w:spacing w:val="-3"/>
        </w:rPr>
        <w:t>)</w:t>
      </w:r>
      <w:r w:rsidRPr="00C60D57">
        <w:t>。</w:t>
      </w:r>
    </w:p>
  </w:footnote>
  <w:footnote w:id="1117">
    <w:p w:rsidR="00AB00DE" w:rsidRPr="00C60D57" w:rsidRDefault="00AB00DE" w:rsidP="00CD5A8C">
      <w:pPr>
        <w:pStyle w:val="a4"/>
      </w:pPr>
      <w:r w:rsidRPr="00C60D57">
        <w:tab/>
      </w:r>
      <w:r w:rsidRPr="00193F6E">
        <w:rPr>
          <w:rStyle w:val="a5"/>
          <w:szCs w:val="21"/>
        </w:rPr>
        <w:footnoteRef/>
      </w:r>
      <w:r w:rsidRPr="00C60D57">
        <w:tab/>
      </w:r>
      <w:r w:rsidRPr="00C60D57">
        <w:t>《美洲被迫失踪人士公约》</w:t>
      </w:r>
      <w:r>
        <w:t>，</w:t>
      </w:r>
      <w:r w:rsidRPr="00C60D57">
        <w:t>第</w:t>
      </w:r>
      <w:r w:rsidRPr="00C60D57">
        <w:t>8</w:t>
      </w:r>
      <w:r w:rsidRPr="00C60D57">
        <w:t>条</w:t>
      </w:r>
      <w:r>
        <w:t>(</w:t>
      </w:r>
      <w:r>
        <w:rPr>
          <w:rFonts w:hint="eastAsia"/>
        </w:rPr>
        <w:t>“</w:t>
      </w:r>
      <w:r w:rsidRPr="00C60D57">
        <w:t>不应受理以正当服从规定、授权或鼓励强迫失踪的上级命令或指示作为辩护理由。所有接受此类命令的人均有权利和义务不服从命令</w:t>
      </w:r>
      <w:r>
        <w:rPr>
          <w:rFonts w:hint="eastAsia"/>
        </w:rPr>
        <w:t>”</w:t>
      </w:r>
      <w:r>
        <w:t>)</w:t>
      </w:r>
      <w:r w:rsidRPr="00C60D57">
        <w:t>。</w:t>
      </w:r>
    </w:p>
  </w:footnote>
  <w:footnote w:id="1118">
    <w:p w:rsidR="00AB00DE" w:rsidRPr="00C60D57" w:rsidRDefault="00AB00DE" w:rsidP="00CD5A8C">
      <w:pPr>
        <w:pStyle w:val="a4"/>
      </w:pPr>
      <w:r w:rsidRPr="00C60D57">
        <w:tab/>
      </w:r>
      <w:r w:rsidRPr="00193F6E">
        <w:rPr>
          <w:rStyle w:val="a5"/>
          <w:szCs w:val="21"/>
        </w:rPr>
        <w:footnoteRef/>
      </w:r>
      <w:r w:rsidRPr="00C60D57">
        <w:tab/>
      </w:r>
      <w:r w:rsidRPr="00C60D57">
        <w:t>《保护所有人免遭强迫失踪国际公约》，第</w:t>
      </w:r>
      <w:r w:rsidRPr="00C60D57">
        <w:t>6</w:t>
      </w:r>
      <w:r w:rsidRPr="00C60D57">
        <w:t>条第</w:t>
      </w:r>
      <w:r w:rsidRPr="00C60D57">
        <w:t>2</w:t>
      </w:r>
      <w:r w:rsidRPr="00C60D57">
        <w:t>款</w:t>
      </w:r>
      <w:r>
        <w:t>(</w:t>
      </w:r>
      <w:r>
        <w:rPr>
          <w:rFonts w:hint="eastAsia"/>
        </w:rPr>
        <w:t>“</w:t>
      </w:r>
      <w:r w:rsidRPr="00C60D57">
        <w:t>不得援引任何公共机构包括民政、军事或其他机构的任何命令或指示作为被强迫失踪的理由</w:t>
      </w:r>
      <w:r>
        <w:rPr>
          <w:rFonts w:hint="eastAsia"/>
        </w:rPr>
        <w:t>”</w:t>
      </w:r>
      <w:r>
        <w:t>)</w:t>
      </w:r>
      <w:r>
        <w:rPr>
          <w:rFonts w:eastAsiaTheme="minorEastAsia" w:hint="eastAsia"/>
        </w:rPr>
        <w:t>。</w:t>
      </w:r>
      <w:r w:rsidRPr="00C60D57">
        <w:t>这条规定在起草阶段</w:t>
      </w:r>
      <w:r>
        <w:rPr>
          <w:rFonts w:hint="eastAsia"/>
        </w:rPr>
        <w:t>“</w:t>
      </w:r>
      <w:r w:rsidRPr="00C60D57">
        <w:t>得到了广泛赞同</w:t>
      </w:r>
      <w:r>
        <w:rPr>
          <w:rFonts w:hint="eastAsia"/>
        </w:rPr>
        <w:t>”</w:t>
      </w:r>
      <w:r w:rsidRPr="00C60D57">
        <w:t>。见人权委员会，起草一个关于保护所有人不遭受强迫失踪的具有法律拘束力的规范性文书委员会闭会期间不限成员名额工作组的报告</w:t>
      </w:r>
      <w:r>
        <w:t>(</w:t>
      </w:r>
      <w:hyperlink r:id="rId206" w:history="1">
        <w:r w:rsidRPr="009533C3">
          <w:t>E/CN.4/2004/59</w:t>
        </w:r>
      </w:hyperlink>
      <w:r>
        <w:t>)</w:t>
      </w:r>
      <w:r>
        <w:t>，</w:t>
      </w:r>
      <w:r w:rsidRPr="00C60D57">
        <w:t>第</w:t>
      </w:r>
      <w:r w:rsidRPr="00C60D57">
        <w:t>72</w:t>
      </w:r>
      <w:r w:rsidRPr="00C60D57">
        <w:t>段</w:t>
      </w:r>
      <w:r>
        <w:t>(</w:t>
      </w:r>
      <w:r w:rsidRPr="00C60D57">
        <w:t>强迫失踪问题工作组的报告</w:t>
      </w:r>
      <w:r>
        <w:t>)</w:t>
      </w:r>
      <w:r w:rsidRPr="00DC5329">
        <w:t>；又见《保护所有人不遭受强迫失踪宣言》，大会</w:t>
      </w:r>
      <w:r w:rsidRPr="00DC5329">
        <w:t>1992</w:t>
      </w:r>
      <w:r w:rsidRPr="00DC5329">
        <w:t>年</w:t>
      </w:r>
      <w:r w:rsidRPr="00DC5329">
        <w:t>12</w:t>
      </w:r>
      <w:r w:rsidRPr="00DC5329">
        <w:t>月</w:t>
      </w:r>
      <w:r w:rsidRPr="00DC5329">
        <w:t>18</w:t>
      </w:r>
      <w:r w:rsidRPr="00DC5329">
        <w:t>日，第</w:t>
      </w:r>
      <w:hyperlink r:id="rId207" w:history="1">
        <w:r w:rsidRPr="00DC5329">
          <w:t>47/133</w:t>
        </w:r>
      </w:hyperlink>
      <w:r w:rsidRPr="00C60D57">
        <w:t>号决议</w:t>
      </w:r>
      <w:r>
        <w:rPr>
          <w:rFonts w:hint="eastAsia"/>
        </w:rPr>
        <w:t>，第</w:t>
      </w:r>
      <w:r>
        <w:rPr>
          <w:rFonts w:hint="eastAsia"/>
        </w:rPr>
        <w:t>6</w:t>
      </w:r>
      <w:r>
        <w:rPr>
          <w:rFonts w:hint="eastAsia"/>
        </w:rPr>
        <w:t>条</w:t>
      </w:r>
      <w:r w:rsidRPr="00C60D57">
        <w:t>。</w:t>
      </w:r>
    </w:p>
  </w:footnote>
  <w:footnote w:id="1119">
    <w:p w:rsidR="00AB00DE" w:rsidRPr="00C60D57" w:rsidRDefault="00AB00DE" w:rsidP="00CD5A8C">
      <w:pPr>
        <w:pStyle w:val="a4"/>
      </w:pPr>
      <w:r w:rsidRPr="00C60D57">
        <w:tab/>
      </w:r>
      <w:r w:rsidRPr="00193F6E">
        <w:rPr>
          <w:rStyle w:val="a5"/>
          <w:szCs w:val="21"/>
        </w:rPr>
        <w:footnoteRef/>
      </w:r>
      <w:r w:rsidRPr="00C60D57">
        <w:tab/>
      </w:r>
      <w:r>
        <w:t>禁止酷刑委员会的报告</w:t>
      </w:r>
      <w:r>
        <w:rPr>
          <w:rFonts w:hint="eastAsia"/>
        </w:rPr>
        <w:t>,</w:t>
      </w:r>
      <w:r w:rsidRPr="00C60D57">
        <w:t>《大会正式记录，第六十一届会议，补编第</w:t>
      </w:r>
      <w:r w:rsidRPr="00C60D57">
        <w:t>44</w:t>
      </w:r>
      <w:r w:rsidRPr="00C60D57">
        <w:t>号》</w:t>
      </w:r>
      <w:r>
        <w:t>(</w:t>
      </w:r>
      <w:r w:rsidRPr="00C60D57">
        <w:t>A/61/44</w:t>
      </w:r>
      <w:r>
        <w:t>)</w:t>
      </w:r>
      <w:r w:rsidRPr="00C60D57">
        <w:t>，第三章，审议缔约国根据《公约》第</w:t>
      </w:r>
      <w:r w:rsidRPr="00C60D57">
        <w:t>19</w:t>
      </w:r>
      <w:r w:rsidRPr="00C60D57">
        <w:t>条提交的报告，危地马拉，第</w:t>
      </w:r>
      <w:r w:rsidRPr="00C60D57">
        <w:t>32</w:t>
      </w:r>
      <w:r>
        <w:t>(</w:t>
      </w:r>
      <w:r w:rsidRPr="00C60D57">
        <w:t>13</w:t>
      </w:r>
      <w:r>
        <w:t>)</w:t>
      </w:r>
      <w:r w:rsidRPr="00C60D57">
        <w:t>段。</w:t>
      </w:r>
    </w:p>
  </w:footnote>
  <w:footnote w:id="1120">
    <w:p w:rsidR="00AB00DE" w:rsidRPr="00C60D57" w:rsidRDefault="00AB00DE" w:rsidP="00CD5A8C">
      <w:pPr>
        <w:pStyle w:val="a4"/>
      </w:pPr>
      <w:r w:rsidRPr="00C60D57">
        <w:tab/>
      </w:r>
      <w:r w:rsidRPr="00193F6E">
        <w:rPr>
          <w:rStyle w:val="a5"/>
          <w:szCs w:val="21"/>
        </w:rPr>
        <w:footnoteRef/>
      </w:r>
      <w:r w:rsidRPr="00C60D57">
        <w:tab/>
      </w:r>
      <w:r w:rsidRPr="00113837">
        <w:rPr>
          <w:spacing w:val="-1"/>
        </w:rPr>
        <w:t>例如，见禁止酷刑委员会的报告</w:t>
      </w:r>
      <w:r w:rsidRPr="00113837">
        <w:rPr>
          <w:rFonts w:hint="eastAsia"/>
          <w:spacing w:val="-1"/>
        </w:rPr>
        <w:t>,</w:t>
      </w:r>
      <w:r w:rsidRPr="00113837">
        <w:rPr>
          <w:spacing w:val="-1"/>
        </w:rPr>
        <w:t>《大会正式记录，第五十九届会议，补编第</w:t>
      </w:r>
      <w:r w:rsidRPr="00113837">
        <w:rPr>
          <w:spacing w:val="-1"/>
        </w:rPr>
        <w:t>44</w:t>
      </w:r>
      <w:r w:rsidRPr="00113837">
        <w:rPr>
          <w:spacing w:val="-1"/>
        </w:rPr>
        <w:t>号》</w:t>
      </w:r>
      <w:r>
        <w:t>(</w:t>
      </w:r>
      <w:r w:rsidRPr="00C60D57">
        <w:t>A/59/44</w:t>
      </w:r>
      <w:r>
        <w:t>)</w:t>
      </w:r>
      <w:r w:rsidRPr="00C60D57">
        <w:t>，第三章，审议缔约国根据《公约》第</w:t>
      </w:r>
      <w:r w:rsidRPr="00C60D57">
        <w:t>19</w:t>
      </w:r>
      <w:r w:rsidRPr="00C60D57">
        <w:t>条提交的报告，智利，第</w:t>
      </w:r>
      <w:r w:rsidRPr="00C60D57">
        <w:t>56</w:t>
      </w:r>
      <w:r>
        <w:t>(</w:t>
      </w:r>
      <w:r w:rsidRPr="00C60D57">
        <w:t>i</w:t>
      </w:r>
      <w:r>
        <w:t>)</w:t>
      </w:r>
      <w:r w:rsidRPr="00C60D57">
        <w:t>段；又见，同上，</w:t>
      </w:r>
      <w:r>
        <w:rPr>
          <w:rFonts w:eastAsiaTheme="minorEastAsia" w:hint="eastAsia"/>
        </w:rPr>
        <w:t>《</w:t>
      </w:r>
      <w:r w:rsidRPr="00C60D57">
        <w:t>第六十届会议，补编第</w:t>
      </w:r>
      <w:r w:rsidRPr="00C60D57">
        <w:t>44</w:t>
      </w:r>
      <w:r w:rsidRPr="00C60D57">
        <w:t>号</w:t>
      </w:r>
      <w:r>
        <w:rPr>
          <w:rFonts w:eastAsiaTheme="minorEastAsia" w:hint="eastAsia"/>
        </w:rPr>
        <w:t>》</w:t>
      </w:r>
      <w:r>
        <w:t>(</w:t>
      </w:r>
      <w:r w:rsidRPr="00C60D57">
        <w:t>A/60/44</w:t>
      </w:r>
      <w:r>
        <w:t>)</w:t>
      </w:r>
      <w:r w:rsidRPr="00C60D57">
        <w:t>，第三章，审议缔约国根据《公约》第</w:t>
      </w:r>
      <w:r w:rsidRPr="00C60D57">
        <w:t>19</w:t>
      </w:r>
      <w:r w:rsidRPr="00C60D57">
        <w:t>条提交的报告，阿根廷，第</w:t>
      </w:r>
      <w:r w:rsidRPr="00C60D57">
        <w:t>31</w:t>
      </w:r>
      <w:r>
        <w:rPr>
          <w:rFonts w:hint="eastAsia"/>
        </w:rPr>
        <w:t xml:space="preserve"> </w:t>
      </w:r>
      <w:r>
        <w:t>(</w:t>
      </w:r>
      <w:r w:rsidRPr="00C60D57">
        <w:t>a</w:t>
      </w:r>
      <w:r>
        <w:t>)</w:t>
      </w:r>
      <w:r w:rsidRPr="00C60D57">
        <w:t>段</w:t>
      </w:r>
      <w:r>
        <w:t>(</w:t>
      </w:r>
      <w:r w:rsidRPr="00C60D57">
        <w:t>赞扬阿根廷宣布其正当服从法案</w:t>
      </w:r>
      <w:r>
        <w:rPr>
          <w:rFonts w:hint="eastAsia"/>
        </w:rPr>
        <w:t>“</w:t>
      </w:r>
      <w:r w:rsidRPr="00C60D57">
        <w:t>绝对无效</w:t>
      </w:r>
      <w:r>
        <w:rPr>
          <w:rFonts w:hint="eastAsia"/>
        </w:rPr>
        <w:t>”</w:t>
      </w:r>
      <w:r>
        <w:t>)</w:t>
      </w:r>
      <w:r w:rsidRPr="00C60D57">
        <w:t>。</w:t>
      </w:r>
    </w:p>
  </w:footnote>
  <w:footnote w:id="1121">
    <w:p w:rsidR="00AB00DE" w:rsidRPr="00C60D57" w:rsidRDefault="00AB00DE" w:rsidP="00CD5A8C">
      <w:pPr>
        <w:pStyle w:val="a4"/>
      </w:pPr>
      <w:r w:rsidRPr="00C60D57">
        <w:tab/>
      </w:r>
      <w:r w:rsidRPr="00193F6E">
        <w:rPr>
          <w:rStyle w:val="a5"/>
          <w:szCs w:val="21"/>
        </w:rPr>
        <w:footnoteRef/>
      </w:r>
      <w:r w:rsidRPr="00C60D57">
        <w:tab/>
      </w:r>
      <w:r w:rsidRPr="00C60D57">
        <w:t>管制委员会关于惩治战争罪、危害和平罪和危害人类罪罪犯的第</w:t>
      </w:r>
      <w:r w:rsidRPr="00C60D57">
        <w:t>10</w:t>
      </w:r>
      <w:r w:rsidRPr="00C60D57">
        <w:t>号法令，第</w:t>
      </w:r>
      <w:r w:rsidRPr="00C60D57">
        <w:t>2</w:t>
      </w:r>
      <w:r w:rsidRPr="00C60D57">
        <w:t>条第</w:t>
      </w:r>
      <w:r w:rsidRPr="00C60D57">
        <w:t>5</w:t>
      </w:r>
      <w:r w:rsidRPr="00C60D57">
        <w:t>款，</w:t>
      </w:r>
      <w:r w:rsidRPr="00C60D57">
        <w:t>1945</w:t>
      </w:r>
      <w:r w:rsidRPr="00C60D57">
        <w:t>年</w:t>
      </w:r>
      <w:r w:rsidRPr="00C60D57">
        <w:t>12</w:t>
      </w:r>
      <w:r w:rsidRPr="00C60D57">
        <w:t>月</w:t>
      </w:r>
      <w:r w:rsidRPr="00C60D57">
        <w:t>20</w:t>
      </w:r>
      <w:r w:rsidRPr="00C60D57">
        <w:t>日，德国管制委员会官方公报，第</w:t>
      </w:r>
      <w:r w:rsidRPr="00C60D57">
        <w:t>3</w:t>
      </w:r>
      <w:r w:rsidRPr="00C60D57">
        <w:t>卷第</w:t>
      </w:r>
      <w:r w:rsidRPr="00C60D57">
        <w:t>52</w:t>
      </w:r>
      <w:r w:rsidRPr="00C60D57">
        <w:t>页</w:t>
      </w:r>
      <w:r>
        <w:t>(</w:t>
      </w:r>
      <w:r w:rsidRPr="00C60D57">
        <w:t>1946</w:t>
      </w:r>
      <w:r w:rsidRPr="00C60D57">
        <w:t>年</w:t>
      </w:r>
      <w:r>
        <w:t>)</w:t>
      </w:r>
      <w:r w:rsidRPr="00C60D57">
        <w:t>。</w:t>
      </w:r>
    </w:p>
  </w:footnote>
  <w:footnote w:id="1122">
    <w:p w:rsidR="00AB00DE" w:rsidRPr="00C60D57" w:rsidRDefault="00AB00DE" w:rsidP="00560424">
      <w:pPr>
        <w:pStyle w:val="a4"/>
      </w:pPr>
      <w:r w:rsidRPr="00C60D57">
        <w:tab/>
      </w:r>
      <w:r w:rsidRPr="00193F6E">
        <w:rPr>
          <w:rStyle w:val="a5"/>
          <w:szCs w:val="21"/>
        </w:rPr>
        <w:footnoteRef/>
      </w:r>
      <w:r w:rsidRPr="00C60D57">
        <w:tab/>
      </w:r>
      <w:r>
        <w:rPr>
          <w:rFonts w:eastAsiaTheme="minorEastAsia" w:hint="eastAsia"/>
        </w:rPr>
        <w:t>《罗马规约》</w:t>
      </w:r>
      <w:r>
        <w:rPr>
          <w:rFonts w:eastAsiaTheme="minorEastAsia" w:hint="eastAsia"/>
        </w:rPr>
        <w:t>(</w:t>
      </w:r>
      <w:r>
        <w:rPr>
          <w:rFonts w:eastAsiaTheme="minorEastAsia" w:hint="eastAsia"/>
        </w:rPr>
        <w:t>见上文脚注</w:t>
      </w:r>
      <w:r>
        <w:rPr>
          <w:rFonts w:eastAsiaTheme="minorEastAsia"/>
        </w:rPr>
        <w:fldChar w:fldCharType="begin"/>
      </w:r>
      <w:r>
        <w:rPr>
          <w:rFonts w:eastAsiaTheme="minorEastAsia"/>
        </w:rPr>
        <w:instrText xml:space="preserve"> </w:instrText>
      </w:r>
      <w:r>
        <w:rPr>
          <w:rFonts w:eastAsiaTheme="minorEastAsia" w:hint="eastAsia"/>
        </w:rPr>
        <w:instrText>NOTEREF _Ref426474525 \h</w:instrText>
      </w:r>
      <w:r>
        <w:rPr>
          <w:rFonts w:eastAsiaTheme="minorEastAsia"/>
        </w:rPr>
        <w:instrText xml:space="preserve"> </w:instrText>
      </w:r>
      <w:r>
        <w:rPr>
          <w:rFonts w:eastAsiaTheme="minorEastAsia"/>
        </w:rPr>
      </w:r>
      <w:r>
        <w:rPr>
          <w:rFonts w:eastAsiaTheme="minorEastAsia"/>
        </w:rPr>
        <w:fldChar w:fldCharType="separate"/>
      </w:r>
      <w:r w:rsidR="00A73EB9">
        <w:rPr>
          <w:rFonts w:eastAsiaTheme="minorEastAsia"/>
        </w:rPr>
        <w:t>1054</w:t>
      </w:r>
      <w:r>
        <w:rPr>
          <w:rFonts w:eastAsiaTheme="minorEastAsia"/>
        </w:rPr>
        <w:fldChar w:fldCharType="end"/>
      </w:r>
      <w:r>
        <w:rPr>
          <w:rFonts w:eastAsiaTheme="minorEastAsia" w:hint="eastAsia"/>
        </w:rPr>
        <w:t>)</w:t>
      </w:r>
      <w:r>
        <w:rPr>
          <w:rFonts w:eastAsiaTheme="minorEastAsia" w:hint="eastAsia"/>
        </w:rPr>
        <w:t>，</w:t>
      </w:r>
      <w:r w:rsidRPr="00FF5468">
        <w:t>第</w:t>
      </w:r>
      <w:r w:rsidRPr="00FF5468">
        <w:rPr>
          <w:rFonts w:eastAsiaTheme="minorEastAsia" w:hint="eastAsia"/>
        </w:rPr>
        <w:t>二十九</w:t>
      </w:r>
      <w:r w:rsidRPr="009118E0">
        <w:t>条。</w:t>
      </w:r>
    </w:p>
  </w:footnote>
  <w:footnote w:id="1123">
    <w:p w:rsidR="00AB00DE" w:rsidRPr="00C60D57" w:rsidRDefault="00AB00DE" w:rsidP="00CD5A8C">
      <w:pPr>
        <w:pStyle w:val="a4"/>
      </w:pPr>
      <w:r w:rsidRPr="00C60D57">
        <w:tab/>
      </w:r>
      <w:r w:rsidRPr="00193F6E">
        <w:rPr>
          <w:rStyle w:val="a5"/>
          <w:szCs w:val="21"/>
        </w:rPr>
        <w:footnoteRef/>
      </w:r>
      <w:r w:rsidRPr="00C60D57">
        <w:tab/>
      </w:r>
      <w:r w:rsidRPr="00C60D57">
        <w:t>见联合国设立国际刑事法院全权代表外交会议，</w:t>
      </w:r>
      <w:r w:rsidRPr="00C60D57">
        <w:t>1998</w:t>
      </w:r>
      <w:r w:rsidRPr="00C60D57">
        <w:t>年</w:t>
      </w:r>
      <w:r w:rsidRPr="00C60D57">
        <w:t>6</w:t>
      </w:r>
      <w:r w:rsidRPr="00C60D57">
        <w:t>月</w:t>
      </w:r>
      <w:r w:rsidRPr="00C60D57">
        <w:t>15</w:t>
      </w:r>
      <w:r w:rsidRPr="00C60D57">
        <w:t>日至</w:t>
      </w:r>
      <w:r w:rsidRPr="00C60D57">
        <w:t>7</w:t>
      </w:r>
      <w:r w:rsidRPr="00C60D57">
        <w:t>月</w:t>
      </w:r>
      <w:r w:rsidRPr="00C60D57">
        <w:t>17</w:t>
      </w:r>
      <w:r w:rsidRPr="00C60D57">
        <w:t>日，</w:t>
      </w:r>
      <w:r w:rsidRPr="00C60D57">
        <w:t>A/CONF.183/13</w:t>
      </w:r>
      <w:r>
        <w:t>(Vol</w:t>
      </w:r>
      <w:r>
        <w:rPr>
          <w:rFonts w:hint="eastAsia"/>
        </w:rPr>
        <w:t xml:space="preserve">. </w:t>
      </w:r>
      <w:r w:rsidRPr="00C60D57">
        <w:t>II</w:t>
      </w:r>
      <w:r>
        <w:t>)</w:t>
      </w:r>
      <w:r>
        <w:rPr>
          <w:rFonts w:eastAsiaTheme="minorEastAsia" w:hint="eastAsia"/>
        </w:rPr>
        <w:t>号</w:t>
      </w:r>
      <w:r w:rsidRPr="00C60D57">
        <w:t>文件，第</w:t>
      </w:r>
      <w:r w:rsidRPr="00C60D57">
        <w:t>138</w:t>
      </w:r>
      <w:r w:rsidRPr="00C60D57">
        <w:t>页，第</w:t>
      </w:r>
      <w:r w:rsidRPr="00C60D57">
        <w:t>2</w:t>
      </w:r>
      <w:r w:rsidRPr="00C60D57">
        <w:t>次会议</w:t>
      </w:r>
      <w:r>
        <w:t>(</w:t>
      </w:r>
      <w:r w:rsidRPr="00C60D57">
        <w:t>A/CONF.183/C.1/SR.2</w:t>
      </w:r>
      <w:r>
        <w:t>)</w:t>
      </w:r>
      <w:r>
        <w:t>，</w:t>
      </w:r>
      <w:r w:rsidRPr="00C60D57">
        <w:t>第</w:t>
      </w:r>
      <w:r w:rsidRPr="00C60D57">
        <w:t>45-74</w:t>
      </w:r>
      <w:r w:rsidRPr="00C60D57">
        <w:t>段。</w:t>
      </w:r>
    </w:p>
  </w:footnote>
  <w:footnote w:id="1124">
    <w:p w:rsidR="00AB00DE" w:rsidRPr="00C60D57" w:rsidRDefault="00AB00DE" w:rsidP="00CD5A8C">
      <w:pPr>
        <w:pStyle w:val="a4"/>
      </w:pPr>
      <w:r w:rsidRPr="00C60D57">
        <w:tab/>
      </w:r>
      <w:r w:rsidRPr="00193F6E">
        <w:rPr>
          <w:rStyle w:val="a5"/>
          <w:szCs w:val="21"/>
        </w:rPr>
        <w:footnoteRef/>
      </w:r>
      <w:r w:rsidRPr="00C60D57">
        <w:tab/>
      </w:r>
      <w:r w:rsidRPr="00C60D57">
        <w:t>《柬埔寨特别法庭协定》</w:t>
      </w:r>
      <w:r>
        <w:t>(</w:t>
      </w:r>
      <w:r w:rsidRPr="00C60D57">
        <w:t>见上文脚注</w:t>
      </w:r>
      <w:r>
        <w:fldChar w:fldCharType="begin"/>
      </w:r>
      <w:r>
        <w:instrText xml:space="preserve"> NOTEREF _Ref456777235 \h  \* MERGEFORMAT </w:instrText>
      </w:r>
      <w:r>
        <w:fldChar w:fldCharType="separate"/>
      </w:r>
      <w:r w:rsidR="00A73EB9">
        <w:t>1067</w:t>
      </w:r>
      <w:r>
        <w:fldChar w:fldCharType="end"/>
      </w:r>
      <w:r>
        <w:t>)</w:t>
      </w:r>
      <w:r w:rsidRPr="00C60D57">
        <w:t>，第</w:t>
      </w:r>
      <w:r w:rsidRPr="00C60D57">
        <w:t>5</w:t>
      </w:r>
      <w:r>
        <w:t>条；《伊拉克特别法庭规约》</w:t>
      </w:r>
      <w:r>
        <w:t>(</w:t>
      </w:r>
      <w:r w:rsidRPr="00C60D57">
        <w:t>见上文脚注</w:t>
      </w:r>
      <w:r>
        <w:fldChar w:fldCharType="begin"/>
      </w:r>
      <w:r>
        <w:instrText xml:space="preserve"> NOTEREF _Ref456777251 \h  \* MERGEFORMAT </w:instrText>
      </w:r>
      <w:r>
        <w:fldChar w:fldCharType="separate"/>
      </w:r>
      <w:r w:rsidR="00A73EB9">
        <w:t>1068</w:t>
      </w:r>
      <w:r>
        <w:fldChar w:fldCharType="end"/>
      </w:r>
      <w:r>
        <w:t>)</w:t>
      </w:r>
      <w:r w:rsidRPr="00C60D57">
        <w:t>第</w:t>
      </w:r>
      <w:r w:rsidRPr="00C60D57">
        <w:t>17</w:t>
      </w:r>
      <w:r w:rsidRPr="00C60D57">
        <w:t>条</w:t>
      </w:r>
      <w:r>
        <w:t>(</w:t>
      </w:r>
      <w:r w:rsidRPr="00C60D57">
        <w:t>d</w:t>
      </w:r>
      <w:r>
        <w:t>)</w:t>
      </w:r>
      <w:r w:rsidRPr="00C60D57">
        <w:t>项；</w:t>
      </w:r>
      <w:r w:rsidRPr="00FF5468">
        <w:t>《东帝汶法庭宪章》</w:t>
      </w:r>
      <w:r w:rsidRPr="00FF5468">
        <w:t>(</w:t>
      </w:r>
      <w:r w:rsidRPr="00FF5468">
        <w:t>见上文</w:t>
      </w:r>
      <w:r w:rsidRPr="00C60D57">
        <w:t>脚注</w:t>
      </w:r>
      <w:r>
        <w:fldChar w:fldCharType="begin"/>
      </w:r>
      <w:r>
        <w:instrText xml:space="preserve"> NOTEREF _Ref456777214 \h  \* MERGEFORMAT </w:instrText>
      </w:r>
      <w:r>
        <w:fldChar w:fldCharType="separate"/>
      </w:r>
      <w:r w:rsidR="00A73EB9">
        <w:t>1066</w:t>
      </w:r>
      <w:r>
        <w:fldChar w:fldCharType="end"/>
      </w:r>
      <w:r>
        <w:t>)</w:t>
      </w:r>
      <w:r>
        <w:t>，</w:t>
      </w:r>
      <w:r w:rsidRPr="00C60D57">
        <w:t>第</w:t>
      </w:r>
      <w:r w:rsidRPr="00C60D57">
        <w:t>17.1</w:t>
      </w:r>
      <w:r w:rsidRPr="00C60D57">
        <w:t>节；又见第三委员会的报告</w:t>
      </w:r>
      <w:r>
        <w:t>(</w:t>
      </w:r>
      <w:hyperlink r:id="rId208" w:history="1">
        <w:r w:rsidRPr="00FB1156">
          <w:t>A/57/806</w:t>
        </w:r>
      </w:hyperlink>
      <w:r>
        <w:rPr>
          <w:iCs/>
        </w:rPr>
        <w:t>)</w:t>
      </w:r>
      <w:r w:rsidRPr="00C60D57">
        <w:rPr>
          <w:iCs/>
        </w:rPr>
        <w:t>，第</w:t>
      </w:r>
      <w:r w:rsidRPr="00C60D57">
        <w:rPr>
          <w:iCs/>
        </w:rPr>
        <w:t>10</w:t>
      </w:r>
      <w:r w:rsidRPr="00C60D57">
        <w:rPr>
          <w:iCs/>
        </w:rPr>
        <w:t>段</w:t>
      </w:r>
      <w:r>
        <w:rPr>
          <w:iCs/>
        </w:rPr>
        <w:t>(</w:t>
      </w:r>
      <w:r w:rsidRPr="00C60D57">
        <w:rPr>
          <w:iCs/>
        </w:rPr>
        <w:t>审判红色高棉</w:t>
      </w:r>
      <w:r>
        <w:rPr>
          <w:iCs/>
        </w:rPr>
        <w:t>)</w:t>
      </w:r>
      <w:r w:rsidRPr="00C60D57">
        <w:rPr>
          <w:iCs/>
        </w:rPr>
        <w:t>和大会</w:t>
      </w:r>
      <w:r w:rsidRPr="00C60D57">
        <w:rPr>
          <w:iCs/>
        </w:rPr>
        <w:t>2003</w:t>
      </w:r>
      <w:r w:rsidRPr="00C60D57">
        <w:rPr>
          <w:iCs/>
        </w:rPr>
        <w:t>年</w:t>
      </w:r>
      <w:r w:rsidRPr="00C60D57">
        <w:rPr>
          <w:iCs/>
        </w:rPr>
        <w:t>5</w:t>
      </w:r>
      <w:r w:rsidRPr="00C60D57">
        <w:rPr>
          <w:iCs/>
        </w:rPr>
        <w:t>月</w:t>
      </w:r>
      <w:r w:rsidRPr="00C60D57">
        <w:rPr>
          <w:iCs/>
        </w:rPr>
        <w:t>13</w:t>
      </w:r>
      <w:r w:rsidRPr="00C60D57">
        <w:rPr>
          <w:iCs/>
        </w:rPr>
        <w:t>日第</w:t>
      </w:r>
      <w:hyperlink r:id="rId209" w:history="1">
        <w:r w:rsidRPr="00FB1156">
          <w:t>57/228</w:t>
        </w:r>
      </w:hyperlink>
      <w:r>
        <w:rPr>
          <w:rFonts w:hint="eastAsia"/>
        </w:rPr>
        <w:t xml:space="preserve"> </w:t>
      </w:r>
      <w:r w:rsidRPr="00C60D57">
        <w:t>B</w:t>
      </w:r>
      <w:r w:rsidRPr="00C60D57">
        <w:t>号决议。此外，应该指出，柬埔寨法院特别法庭获得对在其成立前数十年</w:t>
      </w:r>
      <w:r>
        <w:t>(</w:t>
      </w:r>
      <w:r w:rsidRPr="00C60D57">
        <w:t>即</w:t>
      </w:r>
      <w:r w:rsidRPr="00C60D57">
        <w:t>1975</w:t>
      </w:r>
      <w:r w:rsidRPr="00C60D57">
        <w:t>年至</w:t>
      </w:r>
      <w:r w:rsidRPr="00C60D57">
        <w:t>1979</w:t>
      </w:r>
      <w:r w:rsidRPr="00C60D57">
        <w:t>年红色高棉执政时期</w:t>
      </w:r>
      <w:r>
        <w:t>)</w:t>
      </w:r>
      <w:r w:rsidRPr="00C60D57">
        <w:t>犯下的危害人类罪的管辖权。</w:t>
      </w:r>
    </w:p>
  </w:footnote>
  <w:footnote w:id="1125">
    <w:p w:rsidR="00AB00DE" w:rsidRPr="00C60D57" w:rsidRDefault="00AB00DE" w:rsidP="00CD5A8C">
      <w:pPr>
        <w:pStyle w:val="a4"/>
      </w:pPr>
      <w:r w:rsidRPr="00C60D57">
        <w:tab/>
      </w:r>
      <w:r w:rsidRPr="00193F6E">
        <w:rPr>
          <w:rStyle w:val="a5"/>
          <w:szCs w:val="21"/>
        </w:rPr>
        <w:footnoteRef/>
      </w:r>
      <w:r w:rsidRPr="00C60D57">
        <w:tab/>
      </w:r>
      <w:r w:rsidRPr="00C60D57">
        <w:t>大会</w:t>
      </w:r>
      <w:r w:rsidRPr="00C60D57">
        <w:t>1967</w:t>
      </w:r>
      <w:r w:rsidRPr="00C60D57">
        <w:t>年</w:t>
      </w:r>
      <w:r w:rsidRPr="00C60D57">
        <w:t>12</w:t>
      </w:r>
      <w:r w:rsidRPr="00C60D57">
        <w:t>月</w:t>
      </w:r>
      <w:r w:rsidRPr="00C60D57">
        <w:t>18</w:t>
      </w:r>
      <w:r w:rsidRPr="00C60D57">
        <w:t>日题为</w:t>
      </w:r>
      <w:r>
        <w:rPr>
          <w:rFonts w:hint="eastAsia"/>
        </w:rPr>
        <w:t>“</w:t>
      </w:r>
      <w:r w:rsidRPr="00C60D57">
        <w:t>惩治战争罪犯及危害人类罪犯问题</w:t>
      </w:r>
      <w:r>
        <w:rPr>
          <w:rFonts w:hint="eastAsia"/>
        </w:rPr>
        <w:t>”</w:t>
      </w:r>
      <w:r w:rsidRPr="00C60D57">
        <w:t>的第</w:t>
      </w:r>
      <w:hyperlink r:id="rId210" w:history="1">
        <w:r w:rsidRPr="00FB1156">
          <w:t xml:space="preserve">2338 </w:t>
        </w:r>
        <w:r>
          <w:t>(</w:t>
        </w:r>
        <w:r w:rsidRPr="00FB1156">
          <w:t>XXII</w:t>
        </w:r>
      </w:hyperlink>
      <w:r>
        <w:t>)</w:t>
      </w:r>
      <w:r w:rsidRPr="00C60D57">
        <w:t>号决议，又见大会</w:t>
      </w:r>
      <w:r w:rsidRPr="00C60D57">
        <w:t>1970</w:t>
      </w:r>
      <w:r w:rsidRPr="00C60D57">
        <w:t>年</w:t>
      </w:r>
      <w:r w:rsidRPr="00C60D57">
        <w:t>12</w:t>
      </w:r>
      <w:r w:rsidRPr="00C60D57">
        <w:t>月</w:t>
      </w:r>
      <w:r w:rsidRPr="00C60D57">
        <w:t>15</w:t>
      </w:r>
      <w:r w:rsidRPr="00C60D57">
        <w:t>日第</w:t>
      </w:r>
      <w:hyperlink r:id="rId211" w:history="1">
        <w:r w:rsidRPr="00FB1156">
          <w:t xml:space="preserve">2712 </w:t>
        </w:r>
        <w:r>
          <w:t>(</w:t>
        </w:r>
        <w:r w:rsidRPr="00FB1156">
          <w:t>XXV</w:t>
        </w:r>
      </w:hyperlink>
      <w:r>
        <w:t>)</w:t>
      </w:r>
      <w:r w:rsidRPr="00C60D57">
        <w:t>号决议和</w:t>
      </w:r>
      <w:r w:rsidRPr="00C60D57">
        <w:t>1971</w:t>
      </w:r>
      <w:r w:rsidRPr="00C60D57">
        <w:t>年</w:t>
      </w:r>
      <w:r w:rsidRPr="00C60D57">
        <w:t>12</w:t>
      </w:r>
      <w:r w:rsidRPr="00C60D57">
        <w:t>月</w:t>
      </w:r>
      <w:r w:rsidRPr="00C60D57">
        <w:t>18</w:t>
      </w:r>
      <w:r w:rsidRPr="00C60D57">
        <w:t>日第</w:t>
      </w:r>
      <w:hyperlink r:id="rId212" w:history="1">
        <w:r w:rsidRPr="00FB1156">
          <w:t xml:space="preserve">2840 </w:t>
        </w:r>
        <w:r>
          <w:t>(</w:t>
        </w:r>
        <w:r w:rsidRPr="00FB1156">
          <w:t>XXVI</w:t>
        </w:r>
      </w:hyperlink>
      <w:r>
        <w:t>)</w:t>
      </w:r>
      <w:r w:rsidRPr="00C60D57">
        <w:t>号决议。</w:t>
      </w:r>
    </w:p>
  </w:footnote>
  <w:footnote w:id="1126">
    <w:p w:rsidR="00AB00DE" w:rsidRPr="00C60D57" w:rsidRDefault="00AB00DE" w:rsidP="00CD5A8C">
      <w:pPr>
        <w:pStyle w:val="a4"/>
      </w:pPr>
      <w:r w:rsidRPr="00C60D57">
        <w:tab/>
      </w:r>
      <w:r w:rsidRPr="00193F6E">
        <w:rPr>
          <w:rStyle w:val="a5"/>
          <w:szCs w:val="21"/>
        </w:rPr>
        <w:footnoteRef/>
      </w:r>
      <w:r w:rsidRPr="00193F6E">
        <w:rPr>
          <w:rStyle w:val="a5"/>
          <w:szCs w:val="21"/>
        </w:rPr>
        <w:tab/>
      </w:r>
      <w:r w:rsidRPr="00C60D57">
        <w:t>《战争罪及危害人类罪不适用法定时效公约》，第四条。</w:t>
      </w:r>
    </w:p>
  </w:footnote>
  <w:footnote w:id="1127">
    <w:p w:rsidR="00AB00DE" w:rsidRPr="00C60D57" w:rsidRDefault="00AB00DE" w:rsidP="00CD5A8C">
      <w:pPr>
        <w:pStyle w:val="a4"/>
      </w:pPr>
      <w:r w:rsidRPr="00C60D57">
        <w:tab/>
      </w:r>
      <w:r w:rsidRPr="00193F6E">
        <w:rPr>
          <w:rStyle w:val="a5"/>
          <w:szCs w:val="21"/>
        </w:rPr>
        <w:footnoteRef/>
      </w:r>
      <w:r w:rsidRPr="00193F6E">
        <w:rPr>
          <w:rStyle w:val="a5"/>
          <w:szCs w:val="21"/>
        </w:rPr>
        <w:tab/>
      </w:r>
      <w:r w:rsidRPr="00C60D57">
        <w:t>《危害人类罪和战争罪不适用法定时效欧洲公约》</w:t>
      </w:r>
      <w:r>
        <w:t>(</w:t>
      </w:r>
      <w:r w:rsidRPr="00C60D57">
        <w:t>1974</w:t>
      </w:r>
      <w:r w:rsidRPr="00C60D57">
        <w:t>年</w:t>
      </w:r>
      <w:r w:rsidRPr="00C60D57">
        <w:t>1</w:t>
      </w:r>
      <w:r w:rsidRPr="00C60D57">
        <w:t>月</w:t>
      </w:r>
      <w:r w:rsidRPr="00C60D57">
        <w:t>25</w:t>
      </w:r>
      <w:r w:rsidRPr="00C60D57">
        <w:t>日，斯特拉斯堡</w:t>
      </w:r>
      <w:r>
        <w:t>)</w:t>
      </w:r>
      <w:r>
        <w:t>，欧洲委员会</w:t>
      </w:r>
      <w:r>
        <w:rPr>
          <w:rFonts w:eastAsiaTheme="minorEastAsia" w:hint="eastAsia"/>
        </w:rPr>
        <w:t>，</w:t>
      </w:r>
      <w:r w:rsidRPr="00C60D57">
        <w:t>《欧洲条约汇编》，第</w:t>
      </w:r>
      <w:r w:rsidRPr="00C60D57">
        <w:t>82</w:t>
      </w:r>
      <w:r w:rsidRPr="00C60D57">
        <w:t>号，第</w:t>
      </w:r>
      <w:r w:rsidRPr="00C60D57">
        <w:t>1</w:t>
      </w:r>
      <w:r w:rsidRPr="00C60D57">
        <w:t>条。</w:t>
      </w:r>
    </w:p>
  </w:footnote>
  <w:footnote w:id="1128">
    <w:p w:rsidR="00AB00DE" w:rsidRPr="00C60D57" w:rsidRDefault="00AB00DE" w:rsidP="00CD5A8C">
      <w:pPr>
        <w:pStyle w:val="a4"/>
      </w:pPr>
      <w:r w:rsidRPr="00C60D57">
        <w:tab/>
      </w:r>
      <w:r w:rsidRPr="00193F6E">
        <w:rPr>
          <w:rStyle w:val="a5"/>
          <w:szCs w:val="21"/>
        </w:rPr>
        <w:footnoteRef/>
      </w:r>
      <w:r w:rsidRPr="00C60D57">
        <w:tab/>
      </w:r>
      <w:r w:rsidRPr="00C60D57">
        <w:t>例如，见禁止酷刑委员会的报告，《大会正式记录，第六十二届会议，补编第</w:t>
      </w:r>
      <w:r w:rsidRPr="00C60D57">
        <w:t>44</w:t>
      </w:r>
      <w:r w:rsidRPr="00C60D57">
        <w:t>号》</w:t>
      </w:r>
      <w:r>
        <w:t>(</w:t>
      </w:r>
      <w:r w:rsidRPr="00C60D57">
        <w:t>A/62/44</w:t>
      </w:r>
      <w:r>
        <w:t>)</w:t>
      </w:r>
      <w:r w:rsidRPr="00C60D57">
        <w:t>，第三章，审议缔约国根据《公约》第</w:t>
      </w:r>
      <w:r w:rsidRPr="00C60D57">
        <w:t>19</w:t>
      </w:r>
      <w:r w:rsidRPr="00C60D57">
        <w:t>条提交的报告，意大利，第</w:t>
      </w:r>
      <w:r w:rsidRPr="00C60D57">
        <w:t>40</w:t>
      </w:r>
      <w:r>
        <w:rPr>
          <w:rFonts w:hint="eastAsia"/>
        </w:rPr>
        <w:t xml:space="preserve"> </w:t>
      </w:r>
      <w:r>
        <w:t>(</w:t>
      </w:r>
      <w:r w:rsidRPr="00C60D57">
        <w:t>19</w:t>
      </w:r>
      <w:r>
        <w:t>)</w:t>
      </w:r>
      <w:r w:rsidRPr="00C60D57">
        <w:t>段。</w:t>
      </w:r>
    </w:p>
  </w:footnote>
  <w:footnote w:id="1129">
    <w:p w:rsidR="00AB00DE" w:rsidRPr="00C60D57" w:rsidRDefault="00AB00DE" w:rsidP="00CD5A8C">
      <w:pPr>
        <w:pStyle w:val="a4"/>
      </w:pPr>
      <w:r w:rsidRPr="00C60D57">
        <w:tab/>
      </w:r>
      <w:r w:rsidRPr="00193F6E">
        <w:rPr>
          <w:rStyle w:val="a5"/>
          <w:szCs w:val="21"/>
        </w:rPr>
        <w:footnoteRef/>
      </w:r>
      <w:r w:rsidRPr="00C60D57">
        <w:tab/>
      </w:r>
      <w:r w:rsidRPr="00C60D57">
        <w:t>《公民权利和政治权利国际公约》</w:t>
      </w:r>
      <w:r>
        <w:t>(</w:t>
      </w:r>
      <w:r w:rsidRPr="00C60D57">
        <w:t>1966</w:t>
      </w:r>
      <w:r w:rsidRPr="00C60D57">
        <w:t>年</w:t>
      </w:r>
      <w:r w:rsidRPr="00C60D57">
        <w:t>12</w:t>
      </w:r>
      <w:r w:rsidRPr="00C60D57">
        <w:t>月</w:t>
      </w:r>
      <w:r w:rsidRPr="00C60D57">
        <w:t>16</w:t>
      </w:r>
      <w:r w:rsidRPr="00C60D57">
        <w:t>日</w:t>
      </w:r>
      <w:r>
        <w:t>，</w:t>
      </w:r>
      <w:r>
        <w:rPr>
          <w:rFonts w:hint="eastAsia"/>
        </w:rPr>
        <w:t>纽约</w:t>
      </w:r>
      <w:r>
        <w:t>)</w:t>
      </w:r>
      <w:r>
        <w:t>，联合国</w:t>
      </w:r>
      <w:r>
        <w:rPr>
          <w:rFonts w:eastAsiaTheme="minorEastAsia" w:hint="eastAsia"/>
        </w:rPr>
        <w:t>，</w:t>
      </w:r>
      <w:r w:rsidRPr="00C60D57">
        <w:t>《条约汇编》，第</w:t>
      </w:r>
      <w:r w:rsidRPr="00C60D57">
        <w:t>999</w:t>
      </w:r>
      <w:r w:rsidRPr="00C60D57">
        <w:t>卷，第</w:t>
      </w:r>
      <w:r w:rsidRPr="00C60D57">
        <w:t>14668</w:t>
      </w:r>
      <w:r w:rsidRPr="00C60D57">
        <w:t>卷，第</w:t>
      </w:r>
      <w:r w:rsidRPr="00C60D57">
        <w:t>171</w:t>
      </w:r>
      <w:r w:rsidRPr="00C60D57">
        <w:t>页。</w:t>
      </w:r>
    </w:p>
  </w:footnote>
  <w:footnote w:id="1130">
    <w:p w:rsidR="00AB00DE" w:rsidRPr="00C60D57" w:rsidRDefault="00AB00DE" w:rsidP="00CD5A8C">
      <w:pPr>
        <w:pStyle w:val="a4"/>
      </w:pPr>
      <w:r w:rsidRPr="00C60D57">
        <w:tab/>
      </w:r>
      <w:r w:rsidRPr="00193F6E">
        <w:rPr>
          <w:rStyle w:val="a5"/>
          <w:szCs w:val="21"/>
        </w:rPr>
        <w:footnoteRef/>
      </w:r>
      <w:r w:rsidRPr="00C60D57">
        <w:tab/>
      </w:r>
      <w:r w:rsidRPr="00C60D57">
        <w:t>例如，见人权事务委员会的报告，《大会正式记录，第六十三届会议，补编第</w:t>
      </w:r>
      <w:r w:rsidRPr="00C60D57">
        <w:t>40</w:t>
      </w:r>
      <w:r w:rsidRPr="00C60D57">
        <w:t>号》</w:t>
      </w:r>
      <w:r>
        <w:t>(</w:t>
      </w:r>
      <w:r w:rsidRPr="00C60D57">
        <w:t>A/63/40</w:t>
      </w:r>
      <w:r>
        <w:t>)</w:t>
      </w:r>
      <w:r w:rsidRPr="00C60D57">
        <w:t>，第一卷，第四章，审议缔约国根据《公约》第</w:t>
      </w:r>
      <w:r w:rsidRPr="00C60D57">
        <w:t>40</w:t>
      </w:r>
      <w:r w:rsidRPr="00C60D57">
        <w:t>条提交的报告和由于未提交报告而公开发表结论性意见的国别情况，巴拿马，</w:t>
      </w:r>
      <w:r>
        <w:t>(</w:t>
      </w:r>
      <w:r w:rsidRPr="00C60D57">
        <w:t>A</w:t>
      </w:r>
      <w:r w:rsidRPr="00C60D57">
        <w:t>节，第</w:t>
      </w:r>
      <w:r w:rsidRPr="00C60D57">
        <w:t>79</w:t>
      </w:r>
      <w:r w:rsidRPr="00C60D57">
        <w:t>段</w:t>
      </w:r>
      <w:r>
        <w:t>)</w:t>
      </w:r>
      <w:r w:rsidRPr="00C60D57">
        <w:t>，第</w:t>
      </w:r>
      <w:r>
        <w:t>(</w:t>
      </w:r>
      <w:r w:rsidRPr="00C60D57">
        <w:t>7</w:t>
      </w:r>
      <w:r>
        <w:t>)</w:t>
      </w:r>
      <w:r w:rsidRPr="00C60D57">
        <w:t>段。</w:t>
      </w:r>
    </w:p>
  </w:footnote>
  <w:footnote w:id="1131">
    <w:p w:rsidR="00AB00DE" w:rsidRPr="00C60D57" w:rsidRDefault="00AB00DE" w:rsidP="00CD5A8C">
      <w:pPr>
        <w:pStyle w:val="a4"/>
      </w:pPr>
      <w:r w:rsidRPr="00C60D57">
        <w:tab/>
      </w:r>
      <w:r w:rsidRPr="00193F6E">
        <w:rPr>
          <w:rStyle w:val="a5"/>
          <w:szCs w:val="21"/>
        </w:rPr>
        <w:footnoteRef/>
      </w:r>
      <w:r w:rsidRPr="00C60D57">
        <w:tab/>
      </w:r>
      <w:r w:rsidRPr="00C60D57">
        <w:t>《保护所有人免遭强迫失踪国际公约》，第</w:t>
      </w:r>
      <w:r w:rsidRPr="00C60D57">
        <w:t>8</w:t>
      </w:r>
      <w:r w:rsidRPr="00C60D57">
        <w:t>条第</w:t>
      </w:r>
      <w:r w:rsidRPr="00C60D57">
        <w:t>1</w:t>
      </w:r>
      <w:r w:rsidRPr="00C60D57">
        <w:t>款</w:t>
      </w:r>
      <w:hyperlink r:id="rId213" w:history="1"/>
      <w:r>
        <w:t>(</w:t>
      </w:r>
      <w:r w:rsidRPr="00C60D57">
        <w:t>a</w:t>
      </w:r>
      <w:r>
        <w:t>)</w:t>
      </w:r>
      <w:r w:rsidRPr="00C60D57">
        <w:t>项。相形之下，《美洲被迫失踪人士公约》规定，所有被迫失踪案件的刑事起诉和惩治不受时效限制。</w:t>
      </w:r>
    </w:p>
  </w:footnote>
  <w:footnote w:id="1132">
    <w:p w:rsidR="00AB00DE" w:rsidRPr="00C60D57" w:rsidRDefault="00AB00DE" w:rsidP="00334F8C">
      <w:pPr>
        <w:pStyle w:val="a4"/>
      </w:pPr>
      <w:r w:rsidRPr="00C60D57">
        <w:tab/>
      </w:r>
      <w:r w:rsidRPr="00193F6E">
        <w:rPr>
          <w:rStyle w:val="a5"/>
          <w:szCs w:val="21"/>
        </w:rPr>
        <w:footnoteRef/>
      </w:r>
      <w:r w:rsidRPr="00C60D57">
        <w:tab/>
      </w:r>
      <w:r w:rsidRPr="00C60D57">
        <w:t>起草一个关于保护所有人不遭受强迫失踪的具有法律拘束力的规范性文书不限成员名额工作组的报告</w:t>
      </w:r>
      <w:r>
        <w:t>(</w:t>
      </w:r>
      <w:hyperlink r:id="rId214" w:history="1">
        <w:r w:rsidRPr="00FB1156">
          <w:t>E/CN.4/2004/59</w:t>
        </w:r>
      </w:hyperlink>
      <w:r>
        <w:t>)</w:t>
      </w:r>
      <w:r>
        <w:t>，</w:t>
      </w:r>
      <w:r>
        <w:t>(</w:t>
      </w:r>
      <w:r w:rsidRPr="00C60D57">
        <w:t>见上文脚注</w:t>
      </w:r>
      <w:r>
        <w:rPr>
          <w:rFonts w:eastAsiaTheme="minorEastAsia"/>
        </w:rPr>
        <w:fldChar w:fldCharType="begin"/>
      </w:r>
      <w:r>
        <w:instrText xml:space="preserve"> NOTEREF _Ref426554190 \h </w:instrText>
      </w:r>
      <w:r>
        <w:rPr>
          <w:rFonts w:eastAsiaTheme="minorEastAsia"/>
        </w:rPr>
      </w:r>
      <w:r>
        <w:rPr>
          <w:rFonts w:eastAsiaTheme="minorEastAsia"/>
        </w:rPr>
        <w:fldChar w:fldCharType="separate"/>
      </w:r>
      <w:r w:rsidR="00A73EB9">
        <w:t>1117</w:t>
      </w:r>
      <w:r>
        <w:rPr>
          <w:rFonts w:eastAsiaTheme="minorEastAsia"/>
        </w:rPr>
        <w:fldChar w:fldCharType="end"/>
      </w:r>
      <w:r>
        <w:t>)</w:t>
      </w:r>
      <w:r w:rsidRPr="00C60D57">
        <w:t>，第</w:t>
      </w:r>
      <w:r w:rsidRPr="00C60D57">
        <w:t>43-46</w:t>
      </w:r>
      <w:r w:rsidRPr="00C60D57">
        <w:t>段和第</w:t>
      </w:r>
      <w:r w:rsidRPr="00C60D57">
        <w:t>56</w:t>
      </w:r>
      <w:r w:rsidRPr="00C60D57">
        <w:t>段。</w:t>
      </w:r>
    </w:p>
  </w:footnote>
  <w:footnote w:id="1133">
    <w:p w:rsidR="00AB00DE" w:rsidRPr="00C60D57" w:rsidRDefault="00AB00DE" w:rsidP="00CD5A8C">
      <w:pPr>
        <w:pStyle w:val="a4"/>
      </w:pPr>
      <w:r w:rsidRPr="00C60D57">
        <w:tab/>
      </w:r>
      <w:r w:rsidRPr="00193F6E">
        <w:rPr>
          <w:rStyle w:val="a5"/>
          <w:szCs w:val="21"/>
        </w:rPr>
        <w:footnoteRef/>
      </w:r>
      <w:r w:rsidRPr="00193F6E">
        <w:rPr>
          <w:rStyle w:val="a5"/>
          <w:szCs w:val="21"/>
        </w:rPr>
        <w:tab/>
      </w:r>
      <w:r w:rsidRPr="00C60D57">
        <w:t>《</w:t>
      </w:r>
      <w:r w:rsidRPr="00C60D57">
        <w:t>1996</w:t>
      </w:r>
      <w:r w:rsidRPr="00C60D57">
        <w:t>年</w:t>
      </w:r>
      <w:r w:rsidRPr="002E28D0">
        <w:rPr>
          <w:rFonts w:cs="Arial Unicode MS" w:hint="eastAsia"/>
          <w:u w:color="000000"/>
          <w:bdr w:val="nil"/>
          <w:lang w:val="en-GB"/>
        </w:rPr>
        <w:t>……</w:t>
      </w:r>
      <w:r w:rsidRPr="00C60D57">
        <w:t>年鉴》，第二卷</w:t>
      </w:r>
      <w:r>
        <w:t>(</w:t>
      </w:r>
      <w:r w:rsidRPr="00C60D57">
        <w:t>第二部分</w:t>
      </w:r>
      <w:r>
        <w:t>)</w:t>
      </w:r>
      <w:r w:rsidRPr="00C60D57">
        <w:t>，第二章，</w:t>
      </w:r>
      <w:r w:rsidRPr="00C60D57">
        <w:t>D</w:t>
      </w:r>
      <w:r w:rsidRPr="00C60D57">
        <w:t>节，第</w:t>
      </w:r>
      <w:r w:rsidRPr="00C60D57">
        <w:t>3</w:t>
      </w:r>
      <w:r w:rsidRPr="00C60D57">
        <w:t>条。</w:t>
      </w:r>
    </w:p>
  </w:footnote>
  <w:footnote w:id="1134">
    <w:p w:rsidR="00AB00DE" w:rsidRPr="00C60D57" w:rsidRDefault="00AB00DE" w:rsidP="00CD5A8C">
      <w:pPr>
        <w:pStyle w:val="a4"/>
      </w:pPr>
      <w:r w:rsidRPr="00C60D57">
        <w:rPr>
          <w:lang w:val="es-ES"/>
        </w:rPr>
        <w:tab/>
      </w:r>
      <w:r w:rsidRPr="00193F6E">
        <w:rPr>
          <w:rStyle w:val="a5"/>
          <w:szCs w:val="21"/>
        </w:rPr>
        <w:footnoteRef/>
      </w:r>
      <w:r w:rsidRPr="00193F6E">
        <w:rPr>
          <w:rStyle w:val="a5"/>
          <w:szCs w:val="21"/>
        </w:rPr>
        <w:tab/>
      </w:r>
      <w:r w:rsidRPr="00C60D57">
        <w:t>同上</w:t>
      </w:r>
      <w:r w:rsidRPr="00C60D57">
        <w:rPr>
          <w:lang w:val="es-ES"/>
        </w:rPr>
        <w:t>，对</w:t>
      </w:r>
      <w:r w:rsidRPr="00C60D57">
        <w:t>第</w:t>
      </w:r>
      <w:r w:rsidRPr="00C60D57">
        <w:rPr>
          <w:lang w:val="es-ES"/>
        </w:rPr>
        <w:t>3</w:t>
      </w:r>
      <w:r w:rsidRPr="00C60D57">
        <w:rPr>
          <w:lang w:val="es-ES"/>
        </w:rPr>
        <w:t>条的评注第</w:t>
      </w:r>
      <w:r>
        <w:rPr>
          <w:lang w:val="es-ES"/>
        </w:rPr>
        <w:t>(</w:t>
      </w:r>
      <w:r w:rsidRPr="00C60D57">
        <w:rPr>
          <w:lang w:val="es-ES"/>
        </w:rPr>
        <w:t>3</w:t>
      </w:r>
      <w:r>
        <w:rPr>
          <w:lang w:val="es-ES"/>
        </w:rPr>
        <w:t>)</w:t>
      </w:r>
      <w:r w:rsidRPr="00C60D57">
        <w:rPr>
          <w:lang w:val="es-ES"/>
        </w:rPr>
        <w:t>段。</w:t>
      </w:r>
    </w:p>
  </w:footnote>
  <w:footnote w:id="1135">
    <w:p w:rsidR="00AB00DE" w:rsidRPr="00C60D57" w:rsidRDefault="00AB00DE" w:rsidP="00CD5A8C">
      <w:pPr>
        <w:pStyle w:val="a4"/>
      </w:pPr>
      <w:r w:rsidRPr="00C60D57">
        <w:tab/>
      </w:r>
      <w:r w:rsidRPr="00193F6E">
        <w:rPr>
          <w:rStyle w:val="a5"/>
          <w:szCs w:val="21"/>
        </w:rPr>
        <w:footnoteRef/>
      </w:r>
      <w:r w:rsidRPr="00193F6E">
        <w:rPr>
          <w:rStyle w:val="a5"/>
          <w:szCs w:val="21"/>
        </w:rPr>
        <w:tab/>
      </w:r>
      <w:r w:rsidRPr="00C60D57">
        <w:t>同上。</w:t>
      </w:r>
    </w:p>
  </w:footnote>
  <w:footnote w:id="1136">
    <w:p w:rsidR="00AB00DE" w:rsidRPr="00C60D57" w:rsidRDefault="00AB00DE" w:rsidP="00CD5A8C">
      <w:pPr>
        <w:pStyle w:val="a4"/>
      </w:pPr>
      <w:r w:rsidRPr="00C60D57">
        <w:tab/>
      </w:r>
      <w:r w:rsidRPr="00193F6E">
        <w:rPr>
          <w:rStyle w:val="a5"/>
          <w:szCs w:val="21"/>
        </w:rPr>
        <w:footnoteRef/>
      </w:r>
      <w:r w:rsidRPr="00193F6E">
        <w:rPr>
          <w:rStyle w:val="a5"/>
          <w:szCs w:val="21"/>
        </w:rPr>
        <w:tab/>
      </w:r>
      <w:r w:rsidRPr="00C60D57">
        <w:t>《</w:t>
      </w:r>
      <w:r>
        <w:t>前南斯拉夫问题国际刑事法庭</w:t>
      </w:r>
      <w:r w:rsidRPr="00C60D57">
        <w:t>规约》</w:t>
      </w:r>
      <w:r>
        <w:t>(</w:t>
      </w:r>
      <w:r w:rsidRPr="00C60D57">
        <w:t>见上文脚注</w:t>
      </w:r>
      <w:r>
        <w:fldChar w:fldCharType="begin"/>
      </w:r>
      <w:r>
        <w:instrText xml:space="preserve"> NOTEREF _Ref456626288 \h  \* MERGEFORMAT </w:instrText>
      </w:r>
      <w:r>
        <w:fldChar w:fldCharType="separate"/>
      </w:r>
      <w:r w:rsidR="00A73EB9">
        <w:t>1062</w:t>
      </w:r>
      <w:r>
        <w:fldChar w:fldCharType="end"/>
      </w:r>
      <w:r>
        <w:t>)</w:t>
      </w:r>
      <w:r w:rsidRPr="00C60D57">
        <w:t>，第</w:t>
      </w:r>
      <w:r w:rsidRPr="00C60D57">
        <w:t>24</w:t>
      </w:r>
      <w:r w:rsidRPr="00C60D57">
        <w:t>条第</w:t>
      </w:r>
      <w:r w:rsidRPr="00C60D57">
        <w:t>1</w:t>
      </w:r>
      <w:r w:rsidRPr="00C60D57">
        <w:t>款。</w:t>
      </w:r>
    </w:p>
  </w:footnote>
  <w:footnote w:id="1137">
    <w:p w:rsidR="00AB00DE" w:rsidRPr="00C60D57" w:rsidRDefault="00AB00DE" w:rsidP="00CD5A8C">
      <w:pPr>
        <w:pStyle w:val="a4"/>
      </w:pPr>
      <w:r w:rsidRPr="00C60D57">
        <w:rPr>
          <w:iCs/>
        </w:rPr>
        <w:tab/>
      </w:r>
      <w:r w:rsidRPr="00193F6E">
        <w:rPr>
          <w:rStyle w:val="a5"/>
          <w:szCs w:val="21"/>
        </w:rPr>
        <w:footnoteRef/>
      </w:r>
      <w:r w:rsidRPr="00193F6E">
        <w:rPr>
          <w:rStyle w:val="a5"/>
          <w:szCs w:val="21"/>
        </w:rPr>
        <w:tab/>
      </w:r>
      <w:r w:rsidRPr="00C60D57">
        <w:rPr>
          <w:iCs/>
        </w:rPr>
        <w:t>同上，</w:t>
      </w:r>
      <w:r w:rsidRPr="00C60D57">
        <w:t>第</w:t>
      </w:r>
      <w:r w:rsidRPr="00C60D57">
        <w:t>24</w:t>
      </w:r>
      <w:r w:rsidRPr="00C60D57">
        <w:t>条第</w:t>
      </w:r>
      <w:r w:rsidRPr="00C60D57">
        <w:t>2</w:t>
      </w:r>
      <w:r w:rsidRPr="00C60D57">
        <w:t>款。</w:t>
      </w:r>
    </w:p>
  </w:footnote>
  <w:footnote w:id="1138">
    <w:p w:rsidR="00AB00DE" w:rsidRPr="00C60D57" w:rsidRDefault="00AB00DE" w:rsidP="00CD5A8C">
      <w:pPr>
        <w:pStyle w:val="a4"/>
      </w:pPr>
      <w:r w:rsidRPr="00C60D57">
        <w:tab/>
      </w:r>
      <w:r w:rsidRPr="00193F6E">
        <w:rPr>
          <w:rStyle w:val="a5"/>
          <w:szCs w:val="21"/>
        </w:rPr>
        <w:footnoteRef/>
      </w:r>
      <w:r w:rsidRPr="00193F6E">
        <w:rPr>
          <w:rStyle w:val="a5"/>
          <w:szCs w:val="21"/>
        </w:rPr>
        <w:tab/>
      </w:r>
      <w:r w:rsidRPr="00C60D57">
        <w:t>《</w:t>
      </w:r>
      <w:r>
        <w:t>卢旺达问题国际刑事法庭</w:t>
      </w:r>
      <w:r w:rsidRPr="00C60D57">
        <w:t>规约》</w:t>
      </w:r>
      <w:r>
        <w:t>(</w:t>
      </w:r>
      <w:r w:rsidRPr="00C60D57">
        <w:t>见上文脚注</w:t>
      </w:r>
      <w:r>
        <w:fldChar w:fldCharType="begin"/>
      </w:r>
      <w:r>
        <w:instrText xml:space="preserve"> NOTEREF _Ref456626318 \h  \* MERGEFORMAT </w:instrText>
      </w:r>
      <w:r>
        <w:fldChar w:fldCharType="separate"/>
      </w:r>
      <w:r w:rsidR="00A73EB9">
        <w:t>1063</w:t>
      </w:r>
      <w:r>
        <w:fldChar w:fldCharType="end"/>
      </w:r>
      <w:r>
        <w:t>)</w:t>
      </w:r>
      <w:r>
        <w:t>，</w:t>
      </w:r>
      <w:r w:rsidRPr="00C60D57">
        <w:t>第</w:t>
      </w:r>
      <w:r w:rsidRPr="00C60D57">
        <w:t>23</w:t>
      </w:r>
      <w:r w:rsidRPr="00C60D57">
        <w:t>条第</w:t>
      </w:r>
      <w:r w:rsidRPr="00C60D57">
        <w:t>1</w:t>
      </w:r>
      <w:r w:rsidRPr="00C60D57">
        <w:t>款。</w:t>
      </w:r>
    </w:p>
  </w:footnote>
  <w:footnote w:id="1139">
    <w:p w:rsidR="00AB00DE" w:rsidRPr="00C60D57" w:rsidRDefault="00AB00DE" w:rsidP="00334F8C">
      <w:pPr>
        <w:pStyle w:val="a4"/>
      </w:pPr>
      <w:r w:rsidRPr="00C60D57">
        <w:tab/>
      </w:r>
      <w:r w:rsidRPr="00193F6E">
        <w:rPr>
          <w:rStyle w:val="a5"/>
          <w:szCs w:val="21"/>
        </w:rPr>
        <w:footnoteRef/>
      </w:r>
      <w:r w:rsidRPr="00193F6E">
        <w:rPr>
          <w:rStyle w:val="a5"/>
          <w:szCs w:val="21"/>
        </w:rPr>
        <w:tab/>
      </w:r>
      <w:r w:rsidRPr="00C60D57">
        <w:t>《罗马规约》</w:t>
      </w:r>
      <w:r>
        <w:rPr>
          <w:rFonts w:eastAsiaTheme="minorEastAsia" w:hint="eastAsia"/>
        </w:rPr>
        <w:t>(</w:t>
      </w:r>
      <w:r>
        <w:rPr>
          <w:rFonts w:eastAsiaTheme="minorEastAsia" w:hint="eastAsia"/>
        </w:rPr>
        <w:t>见上文脚注</w:t>
      </w:r>
      <w:r>
        <w:rPr>
          <w:rFonts w:eastAsiaTheme="minorEastAsia"/>
        </w:rPr>
        <w:fldChar w:fldCharType="begin"/>
      </w:r>
      <w:r>
        <w:rPr>
          <w:rFonts w:eastAsiaTheme="minorEastAsia"/>
        </w:rPr>
        <w:instrText xml:space="preserve"> </w:instrText>
      </w:r>
      <w:r>
        <w:rPr>
          <w:rFonts w:eastAsiaTheme="minorEastAsia" w:hint="eastAsia"/>
        </w:rPr>
        <w:instrText>NOTEREF _Ref426474525 \h</w:instrText>
      </w:r>
      <w:r>
        <w:rPr>
          <w:rFonts w:eastAsiaTheme="minorEastAsia"/>
        </w:rPr>
        <w:instrText xml:space="preserve"> </w:instrText>
      </w:r>
      <w:r>
        <w:rPr>
          <w:rFonts w:eastAsiaTheme="minorEastAsia"/>
        </w:rPr>
      </w:r>
      <w:r>
        <w:rPr>
          <w:rFonts w:eastAsiaTheme="minorEastAsia"/>
        </w:rPr>
        <w:fldChar w:fldCharType="separate"/>
      </w:r>
      <w:r w:rsidR="00A73EB9">
        <w:rPr>
          <w:rFonts w:eastAsiaTheme="minorEastAsia"/>
        </w:rPr>
        <w:t>1054</w:t>
      </w:r>
      <w:r>
        <w:rPr>
          <w:rFonts w:eastAsiaTheme="minorEastAsia"/>
        </w:rPr>
        <w:fldChar w:fldCharType="end"/>
      </w:r>
      <w:r>
        <w:rPr>
          <w:rFonts w:eastAsiaTheme="minorEastAsia" w:hint="eastAsia"/>
        </w:rPr>
        <w:t>)</w:t>
      </w:r>
      <w:r>
        <w:rPr>
          <w:rFonts w:eastAsiaTheme="minorEastAsia" w:hint="eastAsia"/>
        </w:rPr>
        <w:t>，</w:t>
      </w:r>
      <w:r w:rsidRPr="00C60D57">
        <w:t>第七十七条。</w:t>
      </w:r>
    </w:p>
  </w:footnote>
  <w:footnote w:id="1140">
    <w:p w:rsidR="00AB00DE" w:rsidRPr="00C60D57" w:rsidRDefault="00AB00DE" w:rsidP="00334F8C">
      <w:pPr>
        <w:pStyle w:val="a4"/>
      </w:pPr>
      <w:r w:rsidRPr="00C60D57">
        <w:tab/>
      </w:r>
      <w:r w:rsidRPr="00193F6E">
        <w:rPr>
          <w:rStyle w:val="a5"/>
          <w:szCs w:val="21"/>
        </w:rPr>
        <w:footnoteRef/>
      </w:r>
      <w:r w:rsidRPr="00193F6E">
        <w:rPr>
          <w:rStyle w:val="a5"/>
          <w:szCs w:val="21"/>
        </w:rPr>
        <w:tab/>
      </w:r>
      <w:r w:rsidRPr="00C60D57">
        <w:t>《塞拉利昂问题特别法庭规约》</w:t>
      </w:r>
      <w:r>
        <w:t>(</w:t>
      </w:r>
      <w:r w:rsidRPr="00C60D57">
        <w:t>见上文脚注</w:t>
      </w:r>
      <w:r>
        <w:rPr>
          <w:rFonts w:eastAsiaTheme="minorEastAsia"/>
        </w:rPr>
        <w:fldChar w:fldCharType="begin"/>
      </w:r>
      <w:r>
        <w:instrText xml:space="preserve"> NOTEREF _Ref456777187 \h </w:instrText>
      </w:r>
      <w:r>
        <w:rPr>
          <w:rFonts w:eastAsiaTheme="minorEastAsia"/>
        </w:rPr>
      </w:r>
      <w:r>
        <w:rPr>
          <w:rFonts w:eastAsiaTheme="minorEastAsia"/>
        </w:rPr>
        <w:fldChar w:fldCharType="separate"/>
      </w:r>
      <w:r w:rsidR="00A73EB9">
        <w:t>1065</w:t>
      </w:r>
      <w:r>
        <w:rPr>
          <w:rFonts w:eastAsiaTheme="minorEastAsia"/>
        </w:rPr>
        <w:fldChar w:fldCharType="end"/>
      </w:r>
      <w:r>
        <w:t>)</w:t>
      </w:r>
      <w:r w:rsidRPr="00C60D57">
        <w:t>，第</w:t>
      </w:r>
      <w:r w:rsidRPr="00C60D57">
        <w:t>19</w:t>
      </w:r>
      <w:r w:rsidRPr="00C60D57">
        <w:t>条。</w:t>
      </w:r>
    </w:p>
  </w:footnote>
  <w:footnote w:id="1141">
    <w:p w:rsidR="00AB00DE" w:rsidRPr="00C60D57" w:rsidRDefault="00AB00DE" w:rsidP="00CD5A8C">
      <w:pPr>
        <w:pStyle w:val="a4"/>
      </w:pPr>
      <w:r w:rsidRPr="00C60D57">
        <w:tab/>
      </w:r>
      <w:r w:rsidRPr="00193F6E">
        <w:rPr>
          <w:rStyle w:val="a5"/>
          <w:szCs w:val="21"/>
        </w:rPr>
        <w:footnoteRef/>
      </w:r>
      <w:r w:rsidRPr="00193F6E">
        <w:rPr>
          <w:rStyle w:val="a5"/>
          <w:szCs w:val="21"/>
        </w:rPr>
        <w:tab/>
      </w:r>
      <w:r w:rsidRPr="00C60D57">
        <w:t>《黎巴嫩问题特别法庭规约》</w:t>
      </w:r>
      <w:r>
        <w:t>(</w:t>
      </w:r>
      <w:r w:rsidRPr="00C60D57">
        <w:t>见上文脚注</w:t>
      </w:r>
      <w:r>
        <w:fldChar w:fldCharType="begin"/>
      </w:r>
      <w:r>
        <w:instrText xml:space="preserve"> NOTEREF _Ref456792904 \h  \* MERGEFORMAT </w:instrText>
      </w:r>
      <w:r>
        <w:fldChar w:fldCharType="separate"/>
      </w:r>
      <w:r w:rsidR="00A73EB9">
        <w:t>1093</w:t>
      </w:r>
      <w:r>
        <w:fldChar w:fldCharType="end"/>
      </w:r>
      <w:r>
        <w:t>)</w:t>
      </w:r>
      <w:r w:rsidRPr="00C60D57">
        <w:t>，第</w:t>
      </w:r>
      <w:r w:rsidRPr="00C60D57">
        <w:t>24</w:t>
      </w:r>
      <w:r w:rsidRPr="00C60D57">
        <w:t>条。</w:t>
      </w:r>
    </w:p>
  </w:footnote>
  <w:footnote w:id="1142">
    <w:p w:rsidR="00AB00DE" w:rsidRPr="00C60D57" w:rsidRDefault="00AB00DE" w:rsidP="00CD5A8C">
      <w:pPr>
        <w:pStyle w:val="a4"/>
      </w:pPr>
      <w:r w:rsidRPr="00C60D57">
        <w:tab/>
      </w:r>
      <w:r w:rsidRPr="00193F6E">
        <w:rPr>
          <w:rStyle w:val="a5"/>
          <w:szCs w:val="21"/>
        </w:rPr>
        <w:footnoteRef/>
      </w:r>
      <w:r w:rsidRPr="00193F6E">
        <w:rPr>
          <w:rStyle w:val="a5"/>
          <w:szCs w:val="21"/>
        </w:rPr>
        <w:tab/>
      </w:r>
      <w:r w:rsidRPr="00C60D57">
        <w:t>《</w:t>
      </w:r>
      <w:r>
        <w:t>东帝汶法庭宪章</w:t>
      </w:r>
      <w:r w:rsidRPr="00C60D57">
        <w:t>》</w:t>
      </w:r>
      <w:r>
        <w:t>(</w:t>
      </w:r>
      <w:r w:rsidRPr="00C60D57">
        <w:t>见上文脚注</w:t>
      </w:r>
      <w:r>
        <w:fldChar w:fldCharType="begin"/>
      </w:r>
      <w:r>
        <w:instrText xml:space="preserve"> NOTEREF _Ref456777214 \h  \* MERGEFORMAT </w:instrText>
      </w:r>
      <w:r>
        <w:fldChar w:fldCharType="separate"/>
      </w:r>
      <w:r w:rsidR="00A73EB9">
        <w:t>1066</w:t>
      </w:r>
      <w:r>
        <w:fldChar w:fldCharType="end"/>
      </w:r>
      <w:r>
        <w:t>)</w:t>
      </w:r>
      <w:r>
        <w:t>，</w:t>
      </w:r>
      <w:r w:rsidRPr="00C60D57">
        <w:t>第</w:t>
      </w:r>
      <w:r w:rsidRPr="00C60D57">
        <w:t>10</w:t>
      </w:r>
      <w:r w:rsidRPr="00C60D57">
        <w:t>节。</w:t>
      </w:r>
    </w:p>
  </w:footnote>
  <w:footnote w:id="1143">
    <w:p w:rsidR="00AB00DE" w:rsidRPr="00C60D57" w:rsidRDefault="00AB00DE" w:rsidP="00CD5A8C">
      <w:pPr>
        <w:pStyle w:val="a4"/>
      </w:pPr>
      <w:r w:rsidRPr="00C60D57">
        <w:tab/>
      </w:r>
      <w:r w:rsidRPr="00193F6E">
        <w:rPr>
          <w:rStyle w:val="a5"/>
          <w:szCs w:val="21"/>
        </w:rPr>
        <w:footnoteRef/>
      </w:r>
      <w:r w:rsidRPr="00C60D57">
        <w:tab/>
      </w:r>
      <w:r w:rsidRPr="00C60D57">
        <w:t>《柬埔寨特别法庭协定》</w:t>
      </w:r>
      <w:r>
        <w:t>(</w:t>
      </w:r>
      <w:r w:rsidRPr="00C60D57">
        <w:t>见上文脚注</w:t>
      </w:r>
      <w:r>
        <w:fldChar w:fldCharType="begin"/>
      </w:r>
      <w:r>
        <w:instrText xml:space="preserve"> NOTEREF _Ref456777235 \h  \* MERGEFORMAT </w:instrText>
      </w:r>
      <w:r>
        <w:fldChar w:fldCharType="separate"/>
      </w:r>
      <w:r w:rsidR="00A73EB9">
        <w:t>1067</w:t>
      </w:r>
      <w:r>
        <w:fldChar w:fldCharType="end"/>
      </w:r>
      <w:r>
        <w:t>)</w:t>
      </w:r>
      <w:r>
        <w:t>，</w:t>
      </w:r>
      <w:r w:rsidRPr="00C60D57">
        <w:t>第</w:t>
      </w:r>
      <w:r w:rsidRPr="00C60D57">
        <w:t>39</w:t>
      </w:r>
      <w:r w:rsidRPr="00C60D57">
        <w:t>条。</w:t>
      </w:r>
    </w:p>
  </w:footnote>
  <w:footnote w:id="1144">
    <w:p w:rsidR="00AB00DE" w:rsidRPr="00C60D57" w:rsidRDefault="00AB00DE" w:rsidP="00CD5A8C">
      <w:pPr>
        <w:pStyle w:val="a4"/>
      </w:pPr>
      <w:r w:rsidRPr="00C60D57">
        <w:tab/>
      </w:r>
      <w:r w:rsidRPr="00193F6E">
        <w:rPr>
          <w:rStyle w:val="a5"/>
          <w:szCs w:val="21"/>
        </w:rPr>
        <w:footnoteRef/>
      </w:r>
      <w:r w:rsidRPr="00193F6E">
        <w:rPr>
          <w:rStyle w:val="a5"/>
          <w:szCs w:val="21"/>
        </w:rPr>
        <w:tab/>
      </w:r>
      <w:r w:rsidRPr="00C60D57">
        <w:t>《伊拉克最高刑事法庭规约》</w:t>
      </w:r>
      <w:r>
        <w:t>(</w:t>
      </w:r>
      <w:r w:rsidRPr="00C60D57">
        <w:t>见上文脚注</w:t>
      </w:r>
      <w:r>
        <w:rPr>
          <w:rFonts w:eastAsiaTheme="minorEastAsia" w:hint="eastAsia"/>
        </w:rPr>
        <w:t>1068</w:t>
      </w:r>
      <w:r>
        <w:t>)</w:t>
      </w:r>
      <w:r>
        <w:t>，</w:t>
      </w:r>
      <w:r w:rsidRPr="00C60D57">
        <w:t>第</w:t>
      </w:r>
      <w:r w:rsidRPr="00C60D57">
        <w:t>24</w:t>
      </w:r>
      <w:r w:rsidRPr="00C60D57">
        <w:t>条。</w:t>
      </w:r>
    </w:p>
  </w:footnote>
  <w:footnote w:id="1145">
    <w:p w:rsidR="00AB00DE" w:rsidRPr="00C60D57" w:rsidRDefault="00AB00DE" w:rsidP="00CD5A8C">
      <w:pPr>
        <w:pStyle w:val="a4"/>
      </w:pPr>
      <w:r w:rsidRPr="00C60D57">
        <w:tab/>
      </w:r>
      <w:r w:rsidRPr="00193F6E">
        <w:rPr>
          <w:rStyle w:val="a5"/>
          <w:szCs w:val="21"/>
        </w:rPr>
        <w:footnoteRef/>
      </w:r>
      <w:r w:rsidRPr="00193F6E">
        <w:rPr>
          <w:rStyle w:val="a5"/>
          <w:szCs w:val="21"/>
        </w:rPr>
        <w:tab/>
      </w:r>
      <w:r w:rsidRPr="00C60D57">
        <w:t>《非洲特别法庭规约》</w:t>
      </w:r>
      <w:r>
        <w:t>(</w:t>
      </w:r>
      <w:r w:rsidRPr="00C60D57">
        <w:t>见上文脚注</w:t>
      </w:r>
      <w:r>
        <w:fldChar w:fldCharType="begin"/>
      </w:r>
      <w:r>
        <w:instrText xml:space="preserve"> NOTEREF _Ref456777269 \h  \* MERGEFORMAT </w:instrText>
      </w:r>
      <w:r>
        <w:fldChar w:fldCharType="separate"/>
      </w:r>
      <w:r w:rsidR="00A73EB9">
        <w:t>1069</w:t>
      </w:r>
      <w:r>
        <w:fldChar w:fldCharType="end"/>
      </w:r>
      <w:r>
        <w:t>)</w:t>
      </w:r>
      <w:r w:rsidRPr="00C60D57">
        <w:t>，第</w:t>
      </w:r>
      <w:r w:rsidRPr="00C60D57">
        <w:t>24</w:t>
      </w:r>
      <w:r w:rsidRPr="00C60D57">
        <w:t>条。</w:t>
      </w:r>
    </w:p>
  </w:footnote>
  <w:footnote w:id="1146">
    <w:p w:rsidR="00AB00DE" w:rsidRPr="00C60D57" w:rsidRDefault="00AB00DE" w:rsidP="00334F8C">
      <w:pPr>
        <w:pStyle w:val="a4"/>
      </w:pPr>
      <w:r w:rsidRPr="00C60D57">
        <w:tab/>
      </w:r>
      <w:r w:rsidRPr="00193F6E">
        <w:rPr>
          <w:rStyle w:val="a5"/>
          <w:szCs w:val="21"/>
        </w:rPr>
        <w:footnoteRef/>
      </w:r>
      <w:r w:rsidRPr="00193F6E">
        <w:rPr>
          <w:rStyle w:val="a5"/>
          <w:szCs w:val="21"/>
        </w:rPr>
        <w:tab/>
      </w:r>
      <w:r w:rsidRPr="00C60D57">
        <w:t>见起草一个关于保护所有人不遭受强迫失踪的具有法律拘束力的规范性文书委员会闭会期间不限成员名额工作组的报告</w:t>
      </w:r>
      <w:r>
        <w:t>(</w:t>
      </w:r>
      <w:hyperlink r:id="rId215" w:history="1">
        <w:r w:rsidRPr="00C60D57">
          <w:rPr>
            <w:rStyle w:val="af"/>
          </w:rPr>
          <w:t>E/CN.4/2004/59</w:t>
        </w:r>
      </w:hyperlink>
      <w:r>
        <w:t>)</w:t>
      </w:r>
      <w:r w:rsidRPr="00C60D57">
        <w:t>，第</w:t>
      </w:r>
      <w:r w:rsidRPr="00C60D57">
        <w:t>58</w:t>
      </w:r>
      <w:r w:rsidRPr="00C60D57">
        <w:t>段</w:t>
      </w:r>
      <w:r>
        <w:t>(</w:t>
      </w:r>
      <w:r w:rsidRPr="00C60D57">
        <w:t>表示</w:t>
      </w:r>
      <w:r>
        <w:rPr>
          <w:rFonts w:hint="eastAsia"/>
        </w:rPr>
        <w:t>“</w:t>
      </w:r>
      <w:r w:rsidRPr="00C60D57">
        <w:t>若干代表团欢迎</w:t>
      </w:r>
      <w:r>
        <w:t>(</w:t>
      </w:r>
      <w:r w:rsidRPr="00C60D57">
        <w:t>该条款</w:t>
      </w:r>
      <w:r>
        <w:t>)</w:t>
      </w:r>
      <w:r w:rsidRPr="00C60D57">
        <w:t>赋予缔约国灵活的余地</w:t>
      </w:r>
      <w:r>
        <w:rPr>
          <w:rFonts w:hint="eastAsia"/>
        </w:rPr>
        <w:t>”</w:t>
      </w:r>
      <w:r>
        <w:t>)</w:t>
      </w:r>
      <w:r>
        <w:t>；起草反对劫持人质国际公约特设委员会</w:t>
      </w:r>
      <w:r>
        <w:rPr>
          <w:rFonts w:eastAsiaTheme="minorEastAsia" w:hint="eastAsia"/>
        </w:rPr>
        <w:t>的</w:t>
      </w:r>
      <w:r>
        <w:t>报告</w:t>
      </w:r>
      <w:r>
        <w:rPr>
          <w:rFonts w:eastAsiaTheme="minorEastAsia" w:hint="eastAsia"/>
        </w:rPr>
        <w:t>，</w:t>
      </w:r>
      <w:r w:rsidRPr="00C60D57">
        <w:t>《大会正式记录，第三十二届会议，补编第</w:t>
      </w:r>
      <w:r w:rsidRPr="00C60D57">
        <w:t>39</w:t>
      </w:r>
      <w:r w:rsidRPr="00C60D57">
        <w:t>号》</w:t>
      </w:r>
      <w:r>
        <w:t>(</w:t>
      </w:r>
      <w:hyperlink r:id="rId216" w:history="1">
        <w:r w:rsidRPr="00C60D57">
          <w:rPr>
            <w:rStyle w:val="af"/>
          </w:rPr>
          <w:t>A/32/39</w:t>
        </w:r>
      </w:hyperlink>
      <w:r>
        <w:t>)</w:t>
      </w:r>
      <w:r>
        <w:rPr>
          <w:rFonts w:eastAsiaTheme="minorEastAsia" w:hint="eastAsia"/>
        </w:rPr>
        <w:t>，</w:t>
      </w:r>
      <w:r w:rsidRPr="00C60D57">
        <w:t>附件一</w:t>
      </w:r>
      <w:r>
        <w:t>(</w:t>
      </w:r>
      <w:r w:rsidRPr="00C60D57">
        <w:t>委员会第</w:t>
      </w:r>
      <w:r w:rsidRPr="00C60D57">
        <w:t>1</w:t>
      </w:r>
      <w:r w:rsidRPr="00C60D57">
        <w:t>至第</w:t>
      </w:r>
      <w:r w:rsidRPr="00C60D57">
        <w:t>19</w:t>
      </w:r>
      <w:r w:rsidRPr="00C60D57">
        <w:t>次会议简要记录</w:t>
      </w:r>
      <w:r>
        <w:t>)</w:t>
      </w:r>
      <w:r w:rsidRPr="00C60D57">
        <w:t>，第</w:t>
      </w:r>
      <w:r w:rsidRPr="00C60D57">
        <w:t>13</w:t>
      </w:r>
      <w:r w:rsidRPr="00C60D57">
        <w:t>次会议</w:t>
      </w:r>
      <w:r>
        <w:t>(</w:t>
      </w:r>
      <w:r w:rsidRPr="00C60D57">
        <w:t>1977</w:t>
      </w:r>
      <w:r w:rsidRPr="00C60D57">
        <w:t>年</w:t>
      </w:r>
      <w:r w:rsidRPr="00C60D57">
        <w:t>8</w:t>
      </w:r>
      <w:r w:rsidRPr="00C60D57">
        <w:t>月</w:t>
      </w:r>
      <w:r w:rsidRPr="00C60D57">
        <w:t>15</w:t>
      </w:r>
      <w:r w:rsidRPr="00C60D57">
        <w:t>日</w:t>
      </w:r>
      <w:r>
        <w:t>)</w:t>
      </w:r>
      <w:r w:rsidRPr="00C60D57">
        <w:t>，第</w:t>
      </w:r>
      <w:r w:rsidRPr="00C60D57">
        <w:t>4</w:t>
      </w:r>
      <w:r w:rsidRPr="00C60D57">
        <w:t>段</w:t>
      </w:r>
      <w:r>
        <w:t>(</w:t>
      </w:r>
      <w:r w:rsidRPr="00C60D57">
        <w:t>美利坚合众国的类似意见</w:t>
      </w:r>
      <w:r>
        <w:t>)</w:t>
      </w:r>
      <w:r w:rsidRPr="00C60D57">
        <w:t>；人权委员会关于有罪不罚问题的第</w:t>
      </w:r>
      <w:r w:rsidRPr="00C60D57">
        <w:t>2005/81</w:t>
      </w:r>
      <w:r w:rsidRPr="00C60D57">
        <w:t>号决议</w:t>
      </w:r>
      <w:r>
        <w:t>(</w:t>
      </w:r>
      <w:r w:rsidRPr="00C60D57">
        <w:t>见上文脚注</w:t>
      </w:r>
      <w:r>
        <w:rPr>
          <w:rFonts w:eastAsiaTheme="minorEastAsia"/>
        </w:rPr>
        <w:fldChar w:fldCharType="begin"/>
      </w:r>
      <w:r>
        <w:instrText xml:space="preserve"> NOTEREF _Ref454443574 \h </w:instrText>
      </w:r>
      <w:r>
        <w:rPr>
          <w:rFonts w:eastAsiaTheme="minorEastAsia"/>
        </w:rPr>
      </w:r>
      <w:r>
        <w:rPr>
          <w:rFonts w:eastAsiaTheme="minorEastAsia"/>
        </w:rPr>
        <w:fldChar w:fldCharType="separate"/>
      </w:r>
      <w:r w:rsidR="00A73EB9">
        <w:t>1100</w:t>
      </w:r>
      <w:r>
        <w:rPr>
          <w:rFonts w:eastAsiaTheme="minorEastAsia"/>
        </w:rPr>
        <w:fldChar w:fldCharType="end"/>
      </w:r>
      <w:r>
        <w:t>)</w:t>
      </w:r>
      <w:r w:rsidRPr="00C60D57">
        <w:t>，第</w:t>
      </w:r>
      <w:r w:rsidRPr="00C60D57">
        <w:t>15</w:t>
      </w:r>
      <w:r w:rsidRPr="00C60D57">
        <w:t>段</w:t>
      </w:r>
      <w:r>
        <w:t>(</w:t>
      </w:r>
      <w:r w:rsidRPr="00C60D57">
        <w:t>呼吁</w:t>
      </w:r>
      <w:r>
        <w:rPr>
          <w:rFonts w:hint="eastAsia"/>
        </w:rPr>
        <w:t>“</w:t>
      </w:r>
      <w:r w:rsidRPr="00C60D57">
        <w:t>各国确保</w:t>
      </w:r>
      <w:r>
        <w:rPr>
          <w:rFonts w:eastAsiaTheme="minorEastAsia" w:hint="eastAsia"/>
        </w:rPr>
        <w:t>……</w:t>
      </w:r>
      <w:r w:rsidRPr="00C60D57">
        <w:t>量刑适当，适合所犯罪行的严重程度</w:t>
      </w:r>
      <w:r>
        <w:rPr>
          <w:rFonts w:hint="eastAsia"/>
        </w:rPr>
        <w:t>”</w:t>
      </w:r>
      <w:r>
        <w:t>)</w:t>
      </w:r>
      <w:r w:rsidRPr="00C60D57">
        <w:t>。</w:t>
      </w:r>
    </w:p>
  </w:footnote>
  <w:footnote w:id="1147">
    <w:p w:rsidR="00AB00DE" w:rsidRPr="00C60D57" w:rsidRDefault="00AB00DE" w:rsidP="00CD5A8C">
      <w:pPr>
        <w:pStyle w:val="a4"/>
      </w:pPr>
      <w:r w:rsidRPr="00C60D57">
        <w:tab/>
      </w:r>
      <w:r w:rsidRPr="00193F6E">
        <w:rPr>
          <w:rStyle w:val="a5"/>
          <w:szCs w:val="21"/>
        </w:rPr>
        <w:footnoteRef/>
      </w:r>
      <w:r w:rsidRPr="00193F6E">
        <w:rPr>
          <w:rStyle w:val="a5"/>
          <w:szCs w:val="21"/>
        </w:rPr>
        <w:tab/>
      </w:r>
      <w:r w:rsidRPr="00C60D57">
        <w:t>见</w:t>
      </w:r>
      <w:r w:rsidRPr="0012738B">
        <w:t>《防止及惩治灭绝种族罪公约》</w:t>
      </w:r>
      <w:r>
        <w:rPr>
          <w:rFonts w:eastAsiaTheme="minorEastAsia" w:hint="eastAsia"/>
        </w:rPr>
        <w:t>，</w:t>
      </w:r>
      <w:r w:rsidRPr="00C60D57">
        <w:t>第五条。</w:t>
      </w:r>
    </w:p>
  </w:footnote>
  <w:footnote w:id="1148">
    <w:p w:rsidR="00AB00DE" w:rsidRPr="00C60D57" w:rsidRDefault="00AB00DE" w:rsidP="00CD5A8C">
      <w:pPr>
        <w:pStyle w:val="a4"/>
      </w:pPr>
      <w:r w:rsidRPr="00C60D57">
        <w:tab/>
      </w:r>
      <w:r w:rsidRPr="00193F6E">
        <w:rPr>
          <w:rStyle w:val="a5"/>
          <w:szCs w:val="21"/>
        </w:rPr>
        <w:footnoteRef/>
      </w:r>
      <w:r w:rsidRPr="00C60D57">
        <w:tab/>
      </w:r>
      <w:r w:rsidRPr="00C60D57">
        <w:t>《日内瓦第一公约》第四十九条、《日内瓦第二公约》第五十条、《日内瓦第三公约》第一百二十九条、《日内瓦第四公约》第一百四十六条；见</w:t>
      </w:r>
      <w:r w:rsidRPr="00C60D57">
        <w:t>2016</w:t>
      </w:r>
      <w:r w:rsidRPr="00C60D57">
        <w:t>年</w:t>
      </w:r>
      <w:r>
        <w:t>红十字委员会</w:t>
      </w:r>
      <w:r w:rsidRPr="00C60D57">
        <w:t>关于第</w:t>
      </w:r>
      <w:r w:rsidRPr="00C60D57">
        <w:t>49</w:t>
      </w:r>
      <w:r w:rsidRPr="00C60D57">
        <w:t>条的评注</w:t>
      </w:r>
      <w:r>
        <w:t>(</w:t>
      </w:r>
      <w:r w:rsidRPr="00C60D57">
        <w:t>见上文脚注</w:t>
      </w:r>
      <w:r>
        <w:fldChar w:fldCharType="begin"/>
      </w:r>
      <w:r>
        <w:instrText xml:space="preserve"> NOTEREF _Ref426541692 \h  \* MERGEFORMAT </w:instrText>
      </w:r>
      <w:r>
        <w:fldChar w:fldCharType="separate"/>
      </w:r>
      <w:r w:rsidR="00A73EB9">
        <w:t>1060</w:t>
      </w:r>
      <w:r>
        <w:fldChar w:fldCharType="end"/>
      </w:r>
      <w:r>
        <w:t>)</w:t>
      </w:r>
      <w:r w:rsidRPr="00C60D57">
        <w:t>，第</w:t>
      </w:r>
      <w:r w:rsidRPr="00C60D57">
        <w:t>2838-2846</w:t>
      </w:r>
      <w:r w:rsidRPr="00C60D57">
        <w:t>段。</w:t>
      </w:r>
    </w:p>
  </w:footnote>
  <w:footnote w:id="1149">
    <w:p w:rsidR="00AB00DE" w:rsidRPr="00C60D57" w:rsidRDefault="00AB00DE" w:rsidP="00CD5A8C">
      <w:pPr>
        <w:pStyle w:val="a4"/>
      </w:pPr>
      <w:r w:rsidRPr="00C60D57">
        <w:tab/>
      </w:r>
      <w:r w:rsidRPr="00193F6E">
        <w:rPr>
          <w:rStyle w:val="a5"/>
          <w:szCs w:val="21"/>
        </w:rPr>
        <w:footnoteRef/>
      </w:r>
      <w:r w:rsidRPr="00193F6E">
        <w:rPr>
          <w:rStyle w:val="a5"/>
          <w:szCs w:val="21"/>
        </w:rPr>
        <w:tab/>
      </w:r>
      <w:r w:rsidRPr="00C60D57">
        <w:t>见《关于防止和惩处侵害应受国际保护人员包括外交代表的罪行的公约》，第二条第</w:t>
      </w:r>
      <w:r w:rsidRPr="00C60D57">
        <w:t>2</w:t>
      </w:r>
      <w:r w:rsidRPr="00C60D57">
        <w:t>款</w:t>
      </w:r>
      <w:r>
        <w:t>(</w:t>
      </w:r>
      <w:r>
        <w:rPr>
          <w:rFonts w:hint="eastAsia"/>
        </w:rPr>
        <w:t>“</w:t>
      </w:r>
      <w:r w:rsidRPr="00C60D57">
        <w:t>每一缔约国应按照这类罪行的严重性处以适当的惩罚</w:t>
      </w:r>
      <w:r>
        <w:rPr>
          <w:rFonts w:hint="eastAsia"/>
        </w:rPr>
        <w:t>”</w:t>
      </w:r>
      <w:r>
        <w:t>)</w:t>
      </w:r>
      <w:r w:rsidRPr="00C60D57">
        <w:t>。</w:t>
      </w:r>
    </w:p>
  </w:footnote>
  <w:footnote w:id="1150">
    <w:p w:rsidR="00AB00DE" w:rsidRPr="00C60D57" w:rsidRDefault="00AB00DE" w:rsidP="00CD5A8C">
      <w:pPr>
        <w:pStyle w:val="a4"/>
      </w:pPr>
      <w:r w:rsidRPr="00C60D57">
        <w:tab/>
      </w:r>
      <w:r w:rsidRPr="00193F6E">
        <w:rPr>
          <w:rStyle w:val="a5"/>
          <w:szCs w:val="21"/>
        </w:rPr>
        <w:footnoteRef/>
      </w:r>
      <w:r w:rsidRPr="00C60D57">
        <w:tab/>
      </w:r>
      <w:r w:rsidRPr="00C60D57">
        <w:t>《</w:t>
      </w:r>
      <w:r w:rsidRPr="00C60D57">
        <w:t>1972</w:t>
      </w:r>
      <w:r w:rsidRPr="00C60D57">
        <w:t>年</w:t>
      </w:r>
      <w:r w:rsidRPr="002E28D0">
        <w:rPr>
          <w:rFonts w:cs="Arial Unicode MS" w:hint="eastAsia"/>
          <w:u w:color="000000"/>
          <w:bdr w:val="nil"/>
          <w:lang w:val="en-GB"/>
        </w:rPr>
        <w:t>……</w:t>
      </w:r>
      <w:r w:rsidRPr="00C60D57">
        <w:t>年鉴》，第二卷，</w:t>
      </w:r>
      <w:r w:rsidRPr="00C60D57">
        <w:t>A/8710/Rev.</w:t>
      </w:r>
      <w:r>
        <w:t>1</w:t>
      </w:r>
      <w:r>
        <w:rPr>
          <w:rFonts w:eastAsiaTheme="minorEastAsia" w:hint="eastAsia"/>
        </w:rPr>
        <w:t>号</w:t>
      </w:r>
      <w:r w:rsidRPr="00C60D57">
        <w:t>文件</w:t>
      </w:r>
      <w:r>
        <w:t>,</w:t>
      </w:r>
      <w:r w:rsidRPr="00C60D57">
        <w:t xml:space="preserve"> </w:t>
      </w:r>
      <w:r w:rsidRPr="00C60D57">
        <w:t>第三章，</w:t>
      </w:r>
      <w:r w:rsidRPr="00C60D57">
        <w:t>B</w:t>
      </w:r>
      <w:r w:rsidRPr="00C60D57">
        <w:t>节</w:t>
      </w:r>
      <w:r>
        <w:t>(</w:t>
      </w:r>
      <w:r w:rsidRPr="00C60D57">
        <w:t>关于防止及惩治侵害外交代表和其他应受国际保护人员的罪行的条款草案</w:t>
      </w:r>
      <w:r>
        <w:t>)</w:t>
      </w:r>
      <w:r w:rsidRPr="00C60D57">
        <w:t>，对第</w:t>
      </w:r>
      <w:r w:rsidRPr="00C60D57">
        <w:t>2</w:t>
      </w:r>
      <w:r w:rsidRPr="00C60D57">
        <w:t>条草案第</w:t>
      </w:r>
      <w:r w:rsidRPr="00C60D57">
        <w:t>2</w:t>
      </w:r>
      <w:r w:rsidRPr="00C60D57">
        <w:t>款的评注第</w:t>
      </w:r>
      <w:r>
        <w:t>(12)</w:t>
      </w:r>
      <w:r w:rsidRPr="00C60D57">
        <w:t>段。</w:t>
      </w:r>
    </w:p>
  </w:footnote>
  <w:footnote w:id="1151">
    <w:p w:rsidR="00AB00DE" w:rsidRPr="00C60D57" w:rsidRDefault="00AB00DE" w:rsidP="00CD5A8C">
      <w:pPr>
        <w:pStyle w:val="a4"/>
      </w:pPr>
      <w:r w:rsidRPr="00C60D57">
        <w:tab/>
      </w:r>
      <w:r w:rsidRPr="00193F6E">
        <w:rPr>
          <w:rStyle w:val="a5"/>
          <w:szCs w:val="21"/>
        </w:rPr>
        <w:footnoteRef/>
      </w:r>
      <w:r w:rsidRPr="00C60D57">
        <w:tab/>
      </w:r>
      <w:r w:rsidRPr="00C60D57">
        <w:t>《禁止酷刑公约》第</w:t>
      </w:r>
      <w:r w:rsidRPr="00C60D57">
        <w:t>4</w:t>
      </w:r>
      <w:r w:rsidRPr="00C60D57">
        <w:t>条，又见《联合国人员和有关人员安全公约》第九条第</w:t>
      </w:r>
      <w:r w:rsidRPr="00C60D57">
        <w:t>2</w:t>
      </w:r>
      <w:r w:rsidRPr="00C60D57">
        <w:t>款、《制止恐怖主义爆炸的国际公约》第四条</w:t>
      </w:r>
      <w:r>
        <w:t>(</w:t>
      </w:r>
      <w:r w:rsidRPr="00C60D57">
        <w:t>b</w:t>
      </w:r>
      <w:r>
        <w:t>)</w:t>
      </w:r>
      <w:r w:rsidRPr="00C60D57">
        <w:t>项、《制止向恐怖主义提供资助的国际公约》第四条</w:t>
      </w:r>
      <w:r>
        <w:t>(</w:t>
      </w:r>
      <w:r w:rsidRPr="00C60D57">
        <w:t>b</w:t>
      </w:r>
      <w:r>
        <w:t>)</w:t>
      </w:r>
      <w:r w:rsidRPr="00C60D57">
        <w:t>项、《非统组织防止和打击恐怖主义公约》第二条</w:t>
      </w:r>
      <w:r>
        <w:t>(</w:t>
      </w:r>
      <w:r w:rsidRPr="00C60D57">
        <w:t>a</w:t>
      </w:r>
      <w:r>
        <w:t>)</w:t>
      </w:r>
      <w:r w:rsidRPr="00C60D57">
        <w:t>项。</w:t>
      </w:r>
    </w:p>
  </w:footnote>
  <w:footnote w:id="1152">
    <w:p w:rsidR="00AB00DE" w:rsidRPr="00C60D57" w:rsidRDefault="00AB00DE" w:rsidP="00CD5A8C">
      <w:pPr>
        <w:pStyle w:val="a4"/>
      </w:pPr>
      <w:r w:rsidRPr="00C60D57">
        <w:tab/>
      </w:r>
      <w:r w:rsidRPr="00193F6E">
        <w:rPr>
          <w:rStyle w:val="a5"/>
          <w:szCs w:val="21"/>
        </w:rPr>
        <w:footnoteRef/>
      </w:r>
      <w:r w:rsidRPr="00C60D57">
        <w:tab/>
      </w:r>
      <w:r w:rsidRPr="00C60D57">
        <w:t>例如，见《保护所有人免遭强迫失踪国际公约》第七条第</w:t>
      </w:r>
      <w:r w:rsidRPr="00C60D57">
        <w:t>1</w:t>
      </w:r>
      <w:r w:rsidRPr="00C60D57">
        <w:t>款、《美洲防止和惩处酷刑公约》第</w:t>
      </w:r>
      <w:r w:rsidRPr="00C60D57">
        <w:t>6</w:t>
      </w:r>
      <w:r w:rsidRPr="00C60D57">
        <w:t>条、《美洲被迫失踪人士公约》第</w:t>
      </w:r>
      <w:r w:rsidRPr="00C60D57">
        <w:t>3</w:t>
      </w:r>
      <w:r w:rsidRPr="00C60D57">
        <w:t>条。</w:t>
      </w:r>
    </w:p>
  </w:footnote>
  <w:footnote w:id="1153">
    <w:p w:rsidR="00AB00DE" w:rsidRPr="009959CA" w:rsidRDefault="00AB00DE" w:rsidP="00CD5A8C">
      <w:pPr>
        <w:pStyle w:val="a4"/>
      </w:pPr>
      <w:r>
        <w:rPr>
          <w:rFonts w:hint="eastAsia"/>
          <w:sz w:val="21"/>
          <w:szCs w:val="21"/>
          <w:lang w:val="zh-CN"/>
        </w:rPr>
        <w:tab/>
      </w:r>
      <w:r w:rsidRPr="00193F6E">
        <w:rPr>
          <w:rStyle w:val="a5"/>
          <w:rFonts w:cstheme="majorBidi"/>
          <w:lang w:val="zh-CN"/>
        </w:rPr>
        <w:footnoteRef/>
      </w:r>
      <w:r>
        <w:rPr>
          <w:rFonts w:hint="eastAsia"/>
          <w:sz w:val="21"/>
          <w:szCs w:val="21"/>
          <w:lang w:val="zh-CN"/>
        </w:rPr>
        <w:tab/>
      </w:r>
      <w:r w:rsidRPr="009959CA">
        <w:rPr>
          <w:lang w:val="zh-CN"/>
        </w:rPr>
        <w:t>例如，见黎巴嫩问题特别法庭，</w:t>
      </w:r>
      <w:r w:rsidRPr="002F3821">
        <w:rPr>
          <w:rFonts w:eastAsia="楷体"/>
          <w:lang w:val="zh-CN"/>
        </w:rPr>
        <w:t>New TV S.A.L. Karma Mohamed Tashin Al Khayat</w:t>
      </w:r>
      <w:r w:rsidRPr="002F3821">
        <w:rPr>
          <w:rFonts w:eastAsia="楷体"/>
          <w:lang w:val="zh-CN"/>
        </w:rPr>
        <w:t>案</w:t>
      </w:r>
      <w:r w:rsidRPr="009959CA">
        <w:rPr>
          <w:lang w:val="zh-CN"/>
        </w:rPr>
        <w:t>，</w:t>
      </w:r>
      <w:r w:rsidRPr="009959CA">
        <w:rPr>
          <w:lang w:val="zh-CN"/>
        </w:rPr>
        <w:t xml:space="preserve"> STL-14-05/PT/AP/AR126.1</w:t>
      </w:r>
      <w:r w:rsidRPr="009959CA">
        <w:rPr>
          <w:lang w:val="zh-CN"/>
        </w:rPr>
        <w:t>号案件，上诉分庭</w:t>
      </w:r>
      <w:r w:rsidRPr="009959CA">
        <w:rPr>
          <w:lang w:val="zh-CN"/>
        </w:rPr>
        <w:t>2014</w:t>
      </w:r>
      <w:r w:rsidRPr="009959CA">
        <w:rPr>
          <w:lang w:val="zh-CN"/>
        </w:rPr>
        <w:t>年</w:t>
      </w:r>
      <w:r w:rsidRPr="009959CA">
        <w:rPr>
          <w:lang w:val="zh-CN"/>
        </w:rPr>
        <w:t>10</w:t>
      </w:r>
      <w:r w:rsidRPr="009959CA">
        <w:rPr>
          <w:lang w:val="zh-CN"/>
        </w:rPr>
        <w:t>月</w:t>
      </w:r>
      <w:r w:rsidRPr="009959CA">
        <w:rPr>
          <w:lang w:val="zh-CN"/>
        </w:rPr>
        <w:t>2</w:t>
      </w:r>
      <w:r w:rsidRPr="009959CA">
        <w:rPr>
          <w:lang w:val="zh-CN"/>
        </w:rPr>
        <w:t>日就关于藐视法庭诉讼中的属人管辖权的中间上诉作出的</w:t>
      </w:r>
      <w:r w:rsidRPr="009959CA">
        <w:rPr>
          <w:rFonts w:hint="eastAsia"/>
          <w:lang w:val="zh-CN"/>
        </w:rPr>
        <w:t>裁决</w:t>
      </w:r>
      <w:r w:rsidRPr="009959CA">
        <w:rPr>
          <w:lang w:val="zh-CN"/>
        </w:rPr>
        <w:t>，第</w:t>
      </w:r>
      <w:r w:rsidRPr="009959CA">
        <w:rPr>
          <w:lang w:val="zh-CN"/>
        </w:rPr>
        <w:t>58</w:t>
      </w:r>
      <w:r w:rsidRPr="009959CA">
        <w:rPr>
          <w:lang w:val="zh-CN"/>
        </w:rPr>
        <w:t>段</w:t>
      </w:r>
      <w:r>
        <w:rPr>
          <w:rFonts w:hint="eastAsia"/>
          <w:lang w:val="zh-CN"/>
        </w:rPr>
        <w:t>(</w:t>
      </w:r>
      <w:r w:rsidRPr="009959CA">
        <w:rPr>
          <w:lang w:val="zh-CN"/>
        </w:rPr>
        <w:t>下称</w:t>
      </w:r>
      <w:r>
        <w:rPr>
          <w:rFonts w:hint="eastAsia"/>
          <w:lang w:val="zh-CN"/>
        </w:rPr>
        <w:t>“</w:t>
      </w:r>
      <w:r w:rsidRPr="009959CA">
        <w:rPr>
          <w:lang w:val="zh-CN"/>
        </w:rPr>
        <w:t>黎特别法庭上诉裁决</w:t>
      </w:r>
      <w:r>
        <w:rPr>
          <w:rFonts w:hint="eastAsia"/>
          <w:lang w:val="zh-CN"/>
        </w:rPr>
        <w:t>”</w:t>
      </w:r>
      <w:r>
        <w:rPr>
          <w:rFonts w:hint="eastAsia"/>
          <w:lang w:val="zh-CN"/>
        </w:rPr>
        <w:t>)(</w:t>
      </w:r>
      <w:r>
        <w:rPr>
          <w:rFonts w:hint="eastAsia"/>
          <w:lang w:val="zh-CN"/>
        </w:rPr>
        <w:t>“</w:t>
      </w:r>
      <w:r w:rsidRPr="009959CA">
        <w:rPr>
          <w:lang w:val="zh-CN"/>
        </w:rPr>
        <w:t>不同国家体系关于企业刑事责任和相关处罚的做法各异</w:t>
      </w:r>
      <w:r w:rsidRPr="001D61EC">
        <w:rPr>
          <w:rFonts w:hint="eastAsia"/>
          <w:lang w:val="zh-CN"/>
        </w:rPr>
        <w:t>”</w:t>
      </w:r>
      <w:r>
        <w:rPr>
          <w:rFonts w:hint="eastAsia"/>
          <w:lang w:val="zh-CN"/>
        </w:rPr>
        <w:t>)</w:t>
      </w:r>
      <w:r w:rsidRPr="009959CA">
        <w:rPr>
          <w:lang w:val="zh-CN"/>
        </w:rPr>
        <w:t>。</w:t>
      </w:r>
    </w:p>
  </w:footnote>
  <w:footnote w:id="1154">
    <w:p w:rsidR="00AB00DE" w:rsidRPr="00C87030" w:rsidRDefault="00AB00DE" w:rsidP="00CD5A8C">
      <w:pPr>
        <w:pStyle w:val="a4"/>
      </w:pPr>
      <w:r>
        <w:rPr>
          <w:rFonts w:hint="eastAsia"/>
          <w:sz w:val="21"/>
          <w:szCs w:val="21"/>
        </w:rPr>
        <w:tab/>
      </w:r>
      <w:r w:rsidRPr="00193F6E">
        <w:rPr>
          <w:rStyle w:val="a5"/>
          <w:szCs w:val="21"/>
          <w:lang w:val="zh-CN"/>
        </w:rPr>
        <w:footnoteRef/>
      </w:r>
      <w:r w:rsidRPr="009959CA">
        <w:rPr>
          <w:rFonts w:hint="eastAsia"/>
        </w:rPr>
        <w:tab/>
      </w:r>
      <w:r w:rsidRPr="009959CA">
        <w:rPr>
          <w:lang w:val="es-ES"/>
        </w:rPr>
        <w:t>例如</w:t>
      </w:r>
      <w:r w:rsidRPr="009959CA">
        <w:t>，</w:t>
      </w:r>
      <w:r w:rsidRPr="009959CA">
        <w:rPr>
          <w:lang w:val="es-ES"/>
        </w:rPr>
        <w:t>见</w:t>
      </w:r>
      <w:hyperlink r:id="rId217" w:history="1">
        <w:r w:rsidRPr="007F721A">
          <w:t>Ecuador Código Orgánico Integral Penal</w:t>
        </w:r>
      </w:hyperlink>
      <w:r w:rsidRPr="009959CA">
        <w:t xml:space="preserve">, </w:t>
      </w:r>
      <w:r w:rsidRPr="007F721A">
        <w:rPr>
          <w:i/>
          <w:iCs/>
        </w:rPr>
        <w:t xml:space="preserve">Registro Oficial, Suplemento, Año 1 </w:t>
      </w:r>
      <w:r w:rsidRPr="009959CA">
        <w:t>N° 180, 2014</w:t>
      </w:r>
      <w:r w:rsidRPr="009959CA">
        <w:t>年</w:t>
      </w:r>
      <w:r w:rsidRPr="009959CA">
        <w:t>2</w:t>
      </w:r>
      <w:r w:rsidRPr="009959CA">
        <w:t>月</w:t>
      </w:r>
      <w:r w:rsidRPr="009959CA">
        <w:t>10</w:t>
      </w:r>
      <w:r w:rsidRPr="009959CA">
        <w:t>日，第</w:t>
      </w:r>
      <w:r w:rsidRPr="009959CA">
        <w:t>90</w:t>
      </w:r>
      <w:r w:rsidRPr="009959CA">
        <w:t>条。</w:t>
      </w:r>
      <w:r>
        <w:rPr>
          <w:rFonts w:eastAsiaTheme="minorEastAsia" w:hint="eastAsia"/>
        </w:rPr>
        <w:t>对法人的惩罚</w:t>
      </w:r>
      <w:r>
        <w:t>(</w:t>
      </w:r>
      <w:r w:rsidRPr="009959CA">
        <w:rPr>
          <w:lang w:val="es-ES"/>
        </w:rPr>
        <w:t>关于危害人类罪的一节规定</w:t>
      </w:r>
      <w:r w:rsidRPr="00C87030">
        <w:rPr>
          <w:rFonts w:hint="eastAsia"/>
        </w:rPr>
        <w:t>：</w:t>
      </w:r>
      <w:r w:rsidRPr="00C87030">
        <w:t>“Cuando una persona jurídica sea la responsable de cualquiera de los delitos de esta Sección, será sancionada con la extinción de la misma”</w:t>
      </w:r>
      <w:r>
        <w:t>)</w:t>
      </w:r>
      <w:r w:rsidRPr="009959CA">
        <w:t>。</w:t>
      </w:r>
    </w:p>
  </w:footnote>
  <w:footnote w:id="1155">
    <w:p w:rsidR="00AB00DE" w:rsidRPr="009959CA" w:rsidRDefault="00AB00DE" w:rsidP="00CD5A8C">
      <w:pPr>
        <w:pStyle w:val="a4"/>
        <w:rPr>
          <w:lang w:val="es-ES"/>
        </w:rPr>
      </w:pPr>
      <w:r w:rsidRPr="00C87030">
        <w:rPr>
          <w:rFonts w:hint="eastAsia"/>
          <w:sz w:val="21"/>
          <w:szCs w:val="21"/>
        </w:rPr>
        <w:tab/>
      </w:r>
      <w:r w:rsidRPr="00193F6E">
        <w:rPr>
          <w:rStyle w:val="a5"/>
          <w:szCs w:val="21"/>
          <w:lang w:val="zh-CN"/>
        </w:rPr>
        <w:footnoteRef/>
      </w:r>
      <w:r>
        <w:rPr>
          <w:rFonts w:hint="eastAsia"/>
          <w:sz w:val="21"/>
          <w:szCs w:val="21"/>
          <w:lang w:val="es-ES"/>
        </w:rPr>
        <w:tab/>
      </w:r>
      <w:r w:rsidRPr="009959CA">
        <w:rPr>
          <w:lang w:val="zh-CN"/>
        </w:rPr>
        <w:t>例如</w:t>
      </w:r>
      <w:r w:rsidRPr="009959CA">
        <w:rPr>
          <w:lang w:val="es-ES"/>
        </w:rPr>
        <w:t>，</w:t>
      </w:r>
      <w:r w:rsidRPr="009959CA">
        <w:rPr>
          <w:lang w:val="zh-CN"/>
        </w:rPr>
        <w:t>见</w:t>
      </w:r>
      <w:r w:rsidRPr="002F3821">
        <w:rPr>
          <w:rFonts w:eastAsia="楷体"/>
          <w:lang w:val="zh-CN"/>
        </w:rPr>
        <w:t>美国诉</w:t>
      </w:r>
      <w:r w:rsidRPr="002F3821">
        <w:rPr>
          <w:rFonts w:eastAsia="楷体"/>
          <w:lang w:val="es-ES"/>
        </w:rPr>
        <w:t>Krauch</w:t>
      </w:r>
      <w:r w:rsidRPr="002F3821">
        <w:rPr>
          <w:rFonts w:eastAsia="楷体"/>
          <w:lang w:val="zh-CN"/>
        </w:rPr>
        <w:t>及其他人</w:t>
      </w:r>
      <w:r w:rsidRPr="009959CA">
        <w:rPr>
          <w:lang w:val="es-ES"/>
        </w:rPr>
        <w:t>，</w:t>
      </w:r>
      <w:r w:rsidRPr="009959CA">
        <w:rPr>
          <w:lang w:val="zh-CN"/>
        </w:rPr>
        <w:t>见</w:t>
      </w:r>
      <w:r w:rsidRPr="009959CA">
        <w:rPr>
          <w:rFonts w:hint="eastAsia"/>
          <w:lang w:val="zh-CN"/>
        </w:rPr>
        <w:t>纽伦堡军事法庭对战犯的审判</w:t>
      </w:r>
      <w:r>
        <w:rPr>
          <w:lang w:val="es-ES"/>
        </w:rPr>
        <w:t>(</w:t>
      </w:r>
      <w:r w:rsidRPr="002F3821">
        <w:rPr>
          <w:rFonts w:eastAsia="楷体"/>
          <w:lang w:val="es-ES"/>
        </w:rPr>
        <w:t>I.G. Farben</w:t>
      </w:r>
      <w:r w:rsidRPr="002F3821">
        <w:rPr>
          <w:rFonts w:eastAsia="楷体" w:hint="eastAsia"/>
          <w:lang w:val="es-ES"/>
        </w:rPr>
        <w:t>案</w:t>
      </w:r>
      <w:r>
        <w:rPr>
          <w:lang w:val="es-ES"/>
        </w:rPr>
        <w:t>)</w:t>
      </w:r>
      <w:r w:rsidRPr="009959CA">
        <w:rPr>
          <w:rFonts w:hint="eastAsia"/>
          <w:lang w:val="es-ES"/>
        </w:rPr>
        <w:t>，第七至八卷</w:t>
      </w:r>
      <w:r>
        <w:rPr>
          <w:lang w:val="es-ES"/>
        </w:rPr>
        <w:t>(</w:t>
      </w:r>
      <w:r w:rsidRPr="009959CA">
        <w:rPr>
          <w:rFonts w:hint="eastAsia"/>
          <w:lang w:val="es-ES"/>
        </w:rPr>
        <w:t>华盛顿特区，纽伦堡军事法庭，</w:t>
      </w:r>
      <w:r w:rsidRPr="009959CA">
        <w:rPr>
          <w:lang w:val="es-ES"/>
        </w:rPr>
        <w:t>1952</w:t>
      </w:r>
      <w:r w:rsidRPr="009959CA">
        <w:rPr>
          <w:rFonts w:hint="eastAsia"/>
          <w:lang w:val="es-ES"/>
        </w:rPr>
        <w:t>年</w:t>
      </w:r>
      <w:r>
        <w:rPr>
          <w:lang w:val="es-ES"/>
        </w:rPr>
        <w:t>)</w:t>
      </w:r>
      <w:r w:rsidRPr="009959CA">
        <w:rPr>
          <w:lang w:val="zh-CN"/>
        </w:rPr>
        <w:t>。</w:t>
      </w:r>
    </w:p>
  </w:footnote>
  <w:footnote w:id="1156">
    <w:p w:rsidR="00AB00DE" w:rsidRPr="007B0B45" w:rsidRDefault="00AB00DE" w:rsidP="00CD5A8C">
      <w:pPr>
        <w:pStyle w:val="a4"/>
        <w:rPr>
          <w:szCs w:val="21"/>
        </w:rPr>
      </w:pPr>
      <w:r>
        <w:rPr>
          <w:rFonts w:hint="eastAsia"/>
          <w:szCs w:val="21"/>
          <w:lang w:val="zh-CN"/>
        </w:rPr>
        <w:tab/>
      </w:r>
      <w:r w:rsidRPr="00193F6E">
        <w:rPr>
          <w:rStyle w:val="a5"/>
          <w:szCs w:val="21"/>
          <w:lang w:val="zh-CN"/>
        </w:rPr>
        <w:footnoteRef/>
      </w:r>
      <w:r>
        <w:rPr>
          <w:rFonts w:hint="eastAsia"/>
          <w:szCs w:val="21"/>
          <w:lang w:val="zh-CN"/>
        </w:rPr>
        <w:tab/>
      </w:r>
      <w:r>
        <w:rPr>
          <w:rFonts w:hint="eastAsia"/>
          <w:szCs w:val="21"/>
          <w:lang w:val="zh-CN"/>
        </w:rPr>
        <w:t>见</w:t>
      </w:r>
      <w:r w:rsidRPr="007B0B45">
        <w:rPr>
          <w:szCs w:val="21"/>
          <w:lang w:val="zh-CN"/>
        </w:rPr>
        <w:t>《联合国设立国际刑事法院全权代表外交会议正式记录，罗马</w:t>
      </w:r>
      <w:r>
        <w:rPr>
          <w:rFonts w:hint="eastAsia"/>
          <w:szCs w:val="21"/>
          <w:lang w:val="zh-CN"/>
        </w:rPr>
        <w:t>，</w:t>
      </w:r>
      <w:r w:rsidRPr="007B0B45">
        <w:rPr>
          <w:szCs w:val="21"/>
          <w:lang w:val="zh-CN"/>
        </w:rPr>
        <w:t>1998</w:t>
      </w:r>
      <w:r w:rsidRPr="007B0B45">
        <w:rPr>
          <w:szCs w:val="21"/>
          <w:lang w:val="zh-CN"/>
        </w:rPr>
        <w:t>年</w:t>
      </w:r>
      <w:r w:rsidRPr="007B0B45">
        <w:rPr>
          <w:szCs w:val="21"/>
          <w:lang w:val="zh-CN"/>
        </w:rPr>
        <w:t>6</w:t>
      </w:r>
      <w:r w:rsidRPr="007B0B45">
        <w:rPr>
          <w:szCs w:val="21"/>
          <w:lang w:val="zh-CN"/>
        </w:rPr>
        <w:t>月</w:t>
      </w:r>
      <w:r w:rsidRPr="007B0B45">
        <w:rPr>
          <w:szCs w:val="21"/>
          <w:lang w:val="zh-CN"/>
        </w:rPr>
        <w:t>15</w:t>
      </w:r>
      <w:r w:rsidRPr="007B0B45">
        <w:rPr>
          <w:szCs w:val="21"/>
          <w:lang w:val="zh-CN"/>
        </w:rPr>
        <w:t>日至</w:t>
      </w:r>
      <w:r w:rsidRPr="007B0B45">
        <w:rPr>
          <w:szCs w:val="21"/>
          <w:lang w:val="zh-CN"/>
        </w:rPr>
        <w:t>7</w:t>
      </w:r>
      <w:r w:rsidRPr="007B0B45">
        <w:rPr>
          <w:szCs w:val="21"/>
          <w:lang w:val="zh-CN"/>
        </w:rPr>
        <w:t>月</w:t>
      </w:r>
      <w:r w:rsidRPr="007B0B45">
        <w:rPr>
          <w:szCs w:val="21"/>
          <w:lang w:val="zh-CN"/>
        </w:rPr>
        <w:t>17</w:t>
      </w:r>
      <w:r>
        <w:rPr>
          <w:szCs w:val="21"/>
          <w:lang w:val="zh-CN"/>
        </w:rPr>
        <w:t>日</w:t>
      </w:r>
      <w:r w:rsidRPr="007B0B45">
        <w:rPr>
          <w:szCs w:val="21"/>
          <w:lang w:val="zh-CN"/>
        </w:rPr>
        <w:t>》，第三卷</w:t>
      </w:r>
      <w:r>
        <w:rPr>
          <w:szCs w:val="21"/>
          <w:lang w:val="zh-CN"/>
        </w:rPr>
        <w:t>(</w:t>
      </w:r>
      <w:r w:rsidRPr="007B0B45">
        <w:rPr>
          <w:szCs w:val="21"/>
          <w:lang w:val="zh-CN"/>
        </w:rPr>
        <w:t>A/CONF.183/13</w:t>
      </w:r>
      <w:r>
        <w:rPr>
          <w:szCs w:val="21"/>
          <w:lang w:val="zh-CN"/>
        </w:rPr>
        <w:t>)</w:t>
      </w:r>
      <w:r>
        <w:rPr>
          <w:szCs w:val="21"/>
          <w:lang w:val="zh-CN"/>
        </w:rPr>
        <w:t>，</w:t>
      </w:r>
      <w:r w:rsidRPr="007B0B45">
        <w:rPr>
          <w:szCs w:val="21"/>
          <w:lang w:val="zh-CN"/>
        </w:rPr>
        <w:t>A/CONF.183/2</w:t>
      </w:r>
      <w:r w:rsidRPr="007B0B45">
        <w:rPr>
          <w:szCs w:val="21"/>
          <w:lang w:val="zh-CN"/>
        </w:rPr>
        <w:t>号文件，第</w:t>
      </w:r>
      <w:r w:rsidRPr="007B0B45">
        <w:rPr>
          <w:szCs w:val="21"/>
          <w:lang w:val="zh-CN"/>
        </w:rPr>
        <w:t>23</w:t>
      </w:r>
      <w:r w:rsidRPr="007B0B45">
        <w:rPr>
          <w:szCs w:val="21"/>
          <w:lang w:val="zh-CN"/>
        </w:rPr>
        <w:t>条第</w:t>
      </w:r>
      <w:r w:rsidRPr="007B0B45">
        <w:rPr>
          <w:szCs w:val="21"/>
          <w:lang w:val="zh-CN"/>
        </w:rPr>
        <w:t>6</w:t>
      </w:r>
      <w:r>
        <w:rPr>
          <w:rFonts w:hint="eastAsia"/>
          <w:szCs w:val="21"/>
          <w:lang w:val="zh-CN"/>
        </w:rPr>
        <w:t>款</w:t>
      </w:r>
      <w:r>
        <w:rPr>
          <w:szCs w:val="21"/>
          <w:lang w:val="zh-CN"/>
        </w:rPr>
        <w:t>，</w:t>
      </w:r>
      <w:r w:rsidRPr="007B0B45">
        <w:rPr>
          <w:szCs w:val="21"/>
          <w:lang w:val="zh-CN"/>
        </w:rPr>
        <w:t>脚注</w:t>
      </w:r>
      <w:r w:rsidRPr="007B0B45">
        <w:rPr>
          <w:szCs w:val="21"/>
          <w:lang w:val="zh-CN"/>
        </w:rPr>
        <w:t>71</w:t>
      </w:r>
      <w:r w:rsidRPr="007B0B45">
        <w:rPr>
          <w:szCs w:val="21"/>
          <w:lang w:val="zh-CN"/>
        </w:rPr>
        <w:t>。</w:t>
      </w:r>
    </w:p>
  </w:footnote>
  <w:footnote w:id="1157">
    <w:p w:rsidR="00AB00DE" w:rsidRPr="007B0B45" w:rsidRDefault="00AB00DE" w:rsidP="00CD5A8C">
      <w:pPr>
        <w:pStyle w:val="a4"/>
        <w:rPr>
          <w:sz w:val="21"/>
          <w:szCs w:val="21"/>
        </w:rPr>
      </w:pPr>
      <w:r>
        <w:rPr>
          <w:rFonts w:hint="eastAsia"/>
          <w:sz w:val="21"/>
          <w:szCs w:val="21"/>
          <w:lang w:val="zh-CN"/>
        </w:rPr>
        <w:tab/>
      </w:r>
      <w:r w:rsidRPr="00193F6E">
        <w:rPr>
          <w:rStyle w:val="a5"/>
          <w:szCs w:val="21"/>
          <w:lang w:val="zh-CN"/>
        </w:rPr>
        <w:footnoteRef/>
      </w:r>
      <w:r>
        <w:rPr>
          <w:rFonts w:hint="eastAsia"/>
          <w:sz w:val="21"/>
          <w:szCs w:val="21"/>
          <w:lang w:val="zh-CN"/>
        </w:rPr>
        <w:tab/>
      </w:r>
      <w:r w:rsidRPr="00A77B2C">
        <w:rPr>
          <w:szCs w:val="21"/>
          <w:lang w:val="zh-CN"/>
        </w:rPr>
        <w:t>《</w:t>
      </w:r>
      <w:r w:rsidRPr="00A77B2C">
        <w:rPr>
          <w:szCs w:val="21"/>
          <w:lang w:val="zh-CN"/>
        </w:rPr>
        <w:t>199</w:t>
      </w:r>
      <w:r w:rsidRPr="00A77B2C">
        <w:rPr>
          <w:rFonts w:hint="eastAsia"/>
          <w:szCs w:val="21"/>
          <w:lang w:val="zh-CN"/>
        </w:rPr>
        <w:t>6</w:t>
      </w:r>
      <w:r w:rsidRPr="00A77B2C">
        <w:rPr>
          <w:szCs w:val="21"/>
          <w:lang w:val="zh-CN"/>
        </w:rPr>
        <w:t>年</w:t>
      </w:r>
      <w:r w:rsidRPr="00A77B2C">
        <w:rPr>
          <w:rFonts w:hint="eastAsia"/>
          <w:szCs w:val="21"/>
          <w:lang w:val="zh-CN"/>
        </w:rPr>
        <w:t>……</w:t>
      </w:r>
      <w:r w:rsidRPr="00A77B2C">
        <w:rPr>
          <w:szCs w:val="21"/>
          <w:lang w:val="zh-CN"/>
        </w:rPr>
        <w:t>年鉴》，第二卷</w:t>
      </w:r>
      <w:r>
        <w:rPr>
          <w:rFonts w:hint="eastAsia"/>
          <w:szCs w:val="21"/>
          <w:lang w:val="zh-CN"/>
        </w:rPr>
        <w:t>(</w:t>
      </w:r>
      <w:r w:rsidRPr="00A77B2C">
        <w:rPr>
          <w:szCs w:val="21"/>
          <w:lang w:val="zh-CN"/>
        </w:rPr>
        <w:t>第二部分</w:t>
      </w:r>
      <w:r>
        <w:rPr>
          <w:rFonts w:hint="eastAsia"/>
          <w:szCs w:val="21"/>
          <w:lang w:val="zh-CN"/>
        </w:rPr>
        <w:t>)</w:t>
      </w:r>
      <w:r w:rsidRPr="00A77B2C">
        <w:rPr>
          <w:szCs w:val="21"/>
          <w:lang w:val="zh-CN"/>
        </w:rPr>
        <w:t>，第二章，</w:t>
      </w:r>
      <w:r w:rsidRPr="00A77B2C">
        <w:rPr>
          <w:szCs w:val="21"/>
          <w:lang w:val="zh-CN"/>
        </w:rPr>
        <w:t>D</w:t>
      </w:r>
      <w:r w:rsidRPr="00A77B2C">
        <w:rPr>
          <w:szCs w:val="21"/>
          <w:lang w:val="zh-CN"/>
        </w:rPr>
        <w:t>节，第</w:t>
      </w:r>
      <w:r w:rsidRPr="00A77B2C">
        <w:rPr>
          <w:szCs w:val="21"/>
          <w:lang w:val="zh-CN"/>
        </w:rPr>
        <w:t>23</w:t>
      </w:r>
      <w:r w:rsidRPr="00A77B2C">
        <w:rPr>
          <w:szCs w:val="21"/>
          <w:lang w:val="zh-CN"/>
        </w:rPr>
        <w:t>页。</w:t>
      </w:r>
    </w:p>
  </w:footnote>
  <w:footnote w:id="1158">
    <w:p w:rsidR="00AB00DE" w:rsidRPr="00A77B2C" w:rsidRDefault="00AB00DE" w:rsidP="00CD5A8C">
      <w:pPr>
        <w:pStyle w:val="a4"/>
        <w:rPr>
          <w:szCs w:val="21"/>
          <w:lang w:val="zh-CN"/>
        </w:rPr>
      </w:pPr>
      <w:r>
        <w:rPr>
          <w:rFonts w:hint="eastAsia"/>
          <w:szCs w:val="21"/>
          <w:lang w:val="zh-CN"/>
        </w:rPr>
        <w:tab/>
      </w:r>
      <w:r w:rsidRPr="00193F6E">
        <w:rPr>
          <w:rStyle w:val="a5"/>
          <w:szCs w:val="21"/>
          <w:lang w:val="zh-CN"/>
        </w:rPr>
        <w:footnoteRef/>
      </w:r>
      <w:r>
        <w:rPr>
          <w:rFonts w:hint="eastAsia"/>
          <w:szCs w:val="21"/>
          <w:lang w:val="zh-CN"/>
        </w:rPr>
        <w:tab/>
      </w:r>
      <w:r w:rsidRPr="00A77B2C">
        <w:rPr>
          <w:szCs w:val="21"/>
          <w:lang w:val="zh-CN"/>
        </w:rPr>
        <w:t>见修正《非洲司法和人权法院章程》的议定书，</w:t>
      </w:r>
      <w:r w:rsidRPr="00A77B2C">
        <w:rPr>
          <w:szCs w:val="21"/>
          <w:lang w:val="zh-CN"/>
        </w:rPr>
        <w:t>2014</w:t>
      </w:r>
      <w:r w:rsidRPr="00A77B2C">
        <w:rPr>
          <w:szCs w:val="21"/>
          <w:lang w:val="zh-CN"/>
        </w:rPr>
        <w:t>年</w:t>
      </w:r>
      <w:r w:rsidRPr="00A77B2C">
        <w:rPr>
          <w:szCs w:val="21"/>
          <w:lang w:val="zh-CN"/>
        </w:rPr>
        <w:t>6</w:t>
      </w:r>
      <w:r w:rsidRPr="00A77B2C">
        <w:rPr>
          <w:szCs w:val="21"/>
          <w:lang w:val="zh-CN"/>
        </w:rPr>
        <w:t>月</w:t>
      </w:r>
      <w:r w:rsidRPr="00A77B2C">
        <w:rPr>
          <w:szCs w:val="21"/>
          <w:lang w:val="zh-CN"/>
        </w:rPr>
        <w:t>27</w:t>
      </w:r>
      <w:r w:rsidRPr="00A77B2C">
        <w:rPr>
          <w:szCs w:val="21"/>
          <w:lang w:val="zh-CN"/>
        </w:rPr>
        <w:t>日，第</w:t>
      </w:r>
      <w:r w:rsidRPr="00A77B2C">
        <w:rPr>
          <w:szCs w:val="21"/>
          <w:lang w:val="zh-CN"/>
        </w:rPr>
        <w:t>46C</w:t>
      </w:r>
      <w:r w:rsidRPr="00A77B2C">
        <w:rPr>
          <w:szCs w:val="21"/>
          <w:lang w:val="zh-CN"/>
        </w:rPr>
        <w:t>条。</w:t>
      </w:r>
    </w:p>
  </w:footnote>
  <w:footnote w:id="1159">
    <w:p w:rsidR="00AB00DE" w:rsidRPr="007B0B45" w:rsidRDefault="00AB00DE" w:rsidP="00334F8C">
      <w:pPr>
        <w:pStyle w:val="a4"/>
        <w:rPr>
          <w:sz w:val="21"/>
          <w:szCs w:val="21"/>
        </w:rPr>
      </w:pPr>
      <w:r>
        <w:rPr>
          <w:rFonts w:hint="eastAsia"/>
          <w:sz w:val="21"/>
          <w:szCs w:val="21"/>
          <w:lang w:val="zh-CN"/>
        </w:rPr>
        <w:tab/>
      </w:r>
      <w:r w:rsidRPr="00193F6E">
        <w:rPr>
          <w:rStyle w:val="a5"/>
          <w:szCs w:val="21"/>
          <w:lang w:val="zh-CN"/>
        </w:rPr>
        <w:footnoteRef/>
      </w:r>
      <w:r>
        <w:rPr>
          <w:rFonts w:hint="eastAsia"/>
          <w:sz w:val="21"/>
          <w:szCs w:val="21"/>
          <w:lang w:val="zh-CN"/>
        </w:rPr>
        <w:tab/>
      </w:r>
      <w:r w:rsidRPr="00A77B2C">
        <w:rPr>
          <w:szCs w:val="21"/>
          <w:lang w:val="zh-CN"/>
        </w:rPr>
        <w:t>黎特别法庭上诉裁决</w:t>
      </w:r>
      <w:r>
        <w:rPr>
          <w:rFonts w:hint="eastAsia"/>
          <w:szCs w:val="21"/>
          <w:lang w:val="zh-CN"/>
        </w:rPr>
        <w:t>(</w:t>
      </w:r>
      <w:r w:rsidRPr="00A77B2C">
        <w:rPr>
          <w:szCs w:val="21"/>
          <w:lang w:val="zh-CN"/>
        </w:rPr>
        <w:t>见上文脚注</w:t>
      </w:r>
      <w:r>
        <w:rPr>
          <w:szCs w:val="21"/>
          <w:lang w:val="zh-CN"/>
        </w:rPr>
        <w:fldChar w:fldCharType="begin"/>
      </w:r>
      <w:r>
        <w:rPr>
          <w:szCs w:val="21"/>
          <w:lang w:val="zh-CN"/>
        </w:rPr>
        <w:instrText xml:space="preserve"> NOTEREF _Ref461977863 \h </w:instrText>
      </w:r>
      <w:r>
        <w:rPr>
          <w:szCs w:val="21"/>
          <w:lang w:val="zh-CN"/>
        </w:rPr>
      </w:r>
      <w:r>
        <w:rPr>
          <w:szCs w:val="21"/>
          <w:lang w:val="zh-CN"/>
        </w:rPr>
        <w:fldChar w:fldCharType="separate"/>
      </w:r>
      <w:r w:rsidR="00A73EB9">
        <w:rPr>
          <w:szCs w:val="21"/>
          <w:lang w:val="zh-CN"/>
        </w:rPr>
        <w:t>1152</w:t>
      </w:r>
      <w:r>
        <w:rPr>
          <w:szCs w:val="21"/>
          <w:lang w:val="zh-CN"/>
        </w:rPr>
        <w:fldChar w:fldCharType="end"/>
      </w:r>
      <w:r>
        <w:rPr>
          <w:rFonts w:hint="eastAsia"/>
          <w:szCs w:val="21"/>
          <w:lang w:val="zh-CN"/>
        </w:rPr>
        <w:t>)</w:t>
      </w:r>
      <w:r w:rsidRPr="00A77B2C">
        <w:rPr>
          <w:szCs w:val="21"/>
          <w:lang w:val="zh-CN"/>
        </w:rPr>
        <w:t>。法庭最终判定法人</w:t>
      </w:r>
      <w:r w:rsidRPr="00A77B2C">
        <w:rPr>
          <w:szCs w:val="21"/>
          <w:lang w:val="zh-CN"/>
        </w:rPr>
        <w:t>Al Jadeed</w:t>
      </w:r>
      <w:r w:rsidRPr="00A77B2C">
        <w:rPr>
          <w:szCs w:val="21"/>
          <w:lang w:val="zh-CN"/>
        </w:rPr>
        <w:t>电视台无罪。见</w:t>
      </w:r>
      <w:r w:rsidRPr="002F3821">
        <w:rPr>
          <w:rFonts w:eastAsia="楷体"/>
          <w:szCs w:val="21"/>
          <w:lang w:val="zh-CN"/>
        </w:rPr>
        <w:t>Al Jadeed [Co.] S.A.L./New T.V.S.A.L.(N.T.V.) Karma Mohamed Tahsin Al Khayat</w:t>
      </w:r>
      <w:r w:rsidRPr="002F3821">
        <w:rPr>
          <w:rFonts w:eastAsia="楷体"/>
          <w:szCs w:val="21"/>
          <w:lang w:val="zh-CN"/>
        </w:rPr>
        <w:t>案</w:t>
      </w:r>
      <w:r w:rsidRPr="00A77B2C">
        <w:rPr>
          <w:szCs w:val="21"/>
          <w:lang w:val="zh-CN"/>
        </w:rPr>
        <w:t>，案件号</w:t>
      </w:r>
      <w:r w:rsidRPr="00A77B2C">
        <w:rPr>
          <w:szCs w:val="21"/>
          <w:lang w:val="zh-CN"/>
        </w:rPr>
        <w:t>STL-14-05/T/CJ</w:t>
      </w:r>
      <w:r w:rsidRPr="00A77B2C">
        <w:rPr>
          <w:szCs w:val="21"/>
          <w:lang w:val="zh-CN"/>
        </w:rPr>
        <w:t>，藐视</w:t>
      </w:r>
      <w:r w:rsidRPr="00A77B2C">
        <w:rPr>
          <w:rFonts w:hint="eastAsia"/>
          <w:szCs w:val="21"/>
          <w:lang w:val="zh-CN"/>
        </w:rPr>
        <w:t>法庭案法官</w:t>
      </w:r>
      <w:r w:rsidRPr="00A77B2C">
        <w:rPr>
          <w:szCs w:val="21"/>
          <w:lang w:val="zh-CN"/>
        </w:rPr>
        <w:t>，</w:t>
      </w:r>
      <w:r w:rsidRPr="00A77B2C">
        <w:rPr>
          <w:szCs w:val="21"/>
          <w:lang w:val="zh-CN"/>
        </w:rPr>
        <w:t>2015</w:t>
      </w:r>
      <w:r w:rsidRPr="00A77B2C">
        <w:rPr>
          <w:szCs w:val="21"/>
          <w:lang w:val="zh-CN"/>
        </w:rPr>
        <w:t>年</w:t>
      </w:r>
      <w:r w:rsidRPr="00A77B2C">
        <w:rPr>
          <w:szCs w:val="21"/>
          <w:lang w:val="zh-CN"/>
        </w:rPr>
        <w:t>9</w:t>
      </w:r>
      <w:r w:rsidRPr="00A77B2C">
        <w:rPr>
          <w:szCs w:val="21"/>
          <w:lang w:val="zh-CN"/>
        </w:rPr>
        <w:t>月</w:t>
      </w:r>
      <w:r w:rsidRPr="00A77B2C">
        <w:rPr>
          <w:szCs w:val="21"/>
          <w:lang w:val="zh-CN"/>
        </w:rPr>
        <w:t>18</w:t>
      </w:r>
      <w:r w:rsidRPr="00A77B2C">
        <w:rPr>
          <w:szCs w:val="21"/>
          <w:lang w:val="zh-CN"/>
        </w:rPr>
        <w:t>日的裁决，黎巴嫩问题特别法庭，第</w:t>
      </w:r>
      <w:r w:rsidRPr="00A77B2C">
        <w:rPr>
          <w:szCs w:val="21"/>
          <w:lang w:val="zh-CN"/>
        </w:rPr>
        <w:t>55</w:t>
      </w:r>
      <w:r w:rsidRPr="00A77B2C">
        <w:rPr>
          <w:szCs w:val="21"/>
          <w:lang w:val="zh-CN"/>
        </w:rPr>
        <w:t>段</w:t>
      </w:r>
      <w:r>
        <w:rPr>
          <w:rFonts w:hint="eastAsia"/>
          <w:szCs w:val="21"/>
          <w:lang w:val="zh-CN"/>
        </w:rPr>
        <w:t>(</w:t>
      </w:r>
      <w:r w:rsidRPr="00A77B2C">
        <w:rPr>
          <w:szCs w:val="21"/>
          <w:lang w:val="zh-CN"/>
        </w:rPr>
        <w:t>下称</w:t>
      </w:r>
      <w:r>
        <w:rPr>
          <w:rFonts w:hint="eastAsia"/>
          <w:szCs w:val="21"/>
          <w:lang w:val="zh-CN"/>
        </w:rPr>
        <w:t>“</w:t>
      </w:r>
      <w:r w:rsidRPr="00A77B2C">
        <w:rPr>
          <w:szCs w:val="21"/>
          <w:lang w:val="zh-CN"/>
        </w:rPr>
        <w:t>黎特别法庭藐视</w:t>
      </w:r>
      <w:r w:rsidRPr="00A77B2C">
        <w:rPr>
          <w:rFonts w:hint="eastAsia"/>
          <w:szCs w:val="21"/>
          <w:lang w:val="zh-CN"/>
        </w:rPr>
        <w:t>法庭案</w:t>
      </w:r>
      <w:r w:rsidRPr="00A77B2C">
        <w:rPr>
          <w:szCs w:val="21"/>
          <w:lang w:val="zh-CN"/>
        </w:rPr>
        <w:t>法官裁决</w:t>
      </w:r>
      <w:r>
        <w:rPr>
          <w:rFonts w:hint="eastAsia"/>
          <w:szCs w:val="21"/>
          <w:lang w:val="zh-CN"/>
        </w:rPr>
        <w:t>”</w:t>
      </w:r>
      <w:r>
        <w:rPr>
          <w:rFonts w:hint="eastAsia"/>
          <w:szCs w:val="21"/>
          <w:lang w:val="zh-CN"/>
        </w:rPr>
        <w:t>)</w:t>
      </w:r>
      <w:r w:rsidRPr="00A77B2C">
        <w:rPr>
          <w:szCs w:val="21"/>
          <w:lang w:val="zh-CN"/>
        </w:rPr>
        <w:t>；</w:t>
      </w:r>
      <w:r w:rsidRPr="00AB120A">
        <w:rPr>
          <w:rFonts w:eastAsia="楷体"/>
          <w:szCs w:val="21"/>
          <w:lang w:val="zh-CN"/>
        </w:rPr>
        <w:t>Al Jadeed [Co.] S.A.L./New T.V.S.A.L.(N.T.V.) Karma Mohamed Tahsin Al Khayat</w:t>
      </w:r>
      <w:r w:rsidRPr="00AB120A">
        <w:rPr>
          <w:rFonts w:eastAsia="楷体"/>
          <w:szCs w:val="21"/>
          <w:lang w:val="zh-CN"/>
        </w:rPr>
        <w:t>案</w:t>
      </w:r>
      <w:r w:rsidRPr="00A77B2C">
        <w:rPr>
          <w:szCs w:val="21"/>
          <w:lang w:val="zh-CN"/>
        </w:rPr>
        <w:t>，案件号</w:t>
      </w:r>
      <w:r w:rsidRPr="00A77B2C">
        <w:rPr>
          <w:szCs w:val="21"/>
          <w:lang w:val="zh-CN"/>
        </w:rPr>
        <w:t>STL-14-05/A/AP</w:t>
      </w:r>
      <w:r w:rsidRPr="00A77B2C">
        <w:rPr>
          <w:szCs w:val="21"/>
          <w:lang w:val="zh-CN"/>
        </w:rPr>
        <w:t>，上诉分庭，</w:t>
      </w:r>
      <w:r w:rsidRPr="00A77B2C">
        <w:rPr>
          <w:szCs w:val="21"/>
          <w:lang w:val="zh-CN"/>
        </w:rPr>
        <w:t>2016</w:t>
      </w:r>
      <w:r w:rsidRPr="00A77B2C">
        <w:rPr>
          <w:szCs w:val="21"/>
          <w:lang w:val="zh-CN"/>
        </w:rPr>
        <w:t>年</w:t>
      </w:r>
      <w:r w:rsidRPr="00A77B2C">
        <w:rPr>
          <w:szCs w:val="21"/>
          <w:lang w:val="zh-CN"/>
        </w:rPr>
        <w:t>3</w:t>
      </w:r>
      <w:r w:rsidRPr="00A77B2C">
        <w:rPr>
          <w:szCs w:val="21"/>
          <w:lang w:val="zh-CN"/>
        </w:rPr>
        <w:t>月</w:t>
      </w:r>
      <w:r w:rsidRPr="00A77B2C">
        <w:rPr>
          <w:szCs w:val="21"/>
          <w:lang w:val="zh-CN"/>
        </w:rPr>
        <w:t>8</w:t>
      </w:r>
      <w:r w:rsidRPr="00A77B2C">
        <w:rPr>
          <w:szCs w:val="21"/>
          <w:lang w:val="zh-CN"/>
        </w:rPr>
        <w:t>日的</w:t>
      </w:r>
      <w:r w:rsidRPr="00A77B2C">
        <w:rPr>
          <w:rFonts w:hint="eastAsia"/>
          <w:szCs w:val="21"/>
          <w:lang w:val="zh-CN"/>
        </w:rPr>
        <w:t>裁决</w:t>
      </w:r>
      <w:r w:rsidRPr="007B0B45">
        <w:rPr>
          <w:sz w:val="21"/>
          <w:szCs w:val="21"/>
          <w:lang w:val="zh-CN"/>
        </w:rPr>
        <w:t>。</w:t>
      </w:r>
    </w:p>
  </w:footnote>
  <w:footnote w:id="1160">
    <w:p w:rsidR="00AB00DE" w:rsidRPr="00A77B2C" w:rsidRDefault="00AB00DE" w:rsidP="00CD5A8C">
      <w:pPr>
        <w:pStyle w:val="a4"/>
        <w:rPr>
          <w:szCs w:val="21"/>
          <w:lang w:val="zh-CN"/>
        </w:rPr>
      </w:pPr>
      <w:r>
        <w:rPr>
          <w:rFonts w:hint="eastAsia"/>
          <w:szCs w:val="21"/>
          <w:lang w:val="zh-CN"/>
        </w:rPr>
        <w:tab/>
      </w:r>
      <w:r w:rsidRPr="00193F6E">
        <w:rPr>
          <w:rStyle w:val="a5"/>
          <w:szCs w:val="21"/>
          <w:lang w:val="zh-CN"/>
        </w:rPr>
        <w:footnoteRef/>
      </w:r>
      <w:r>
        <w:rPr>
          <w:rFonts w:hint="eastAsia"/>
          <w:szCs w:val="21"/>
          <w:lang w:val="zh-CN"/>
        </w:rPr>
        <w:tab/>
      </w:r>
      <w:r w:rsidRPr="00A77B2C">
        <w:rPr>
          <w:szCs w:val="21"/>
          <w:lang w:val="zh-CN"/>
        </w:rPr>
        <w:t>见《禁止并惩治种族隔离罪行国际公约》</w:t>
      </w:r>
      <w:r>
        <w:rPr>
          <w:szCs w:val="21"/>
          <w:lang w:val="zh-CN"/>
        </w:rPr>
        <w:t>(</w:t>
      </w:r>
      <w:r w:rsidRPr="00A77B2C">
        <w:rPr>
          <w:szCs w:val="21"/>
          <w:lang w:val="zh-CN"/>
        </w:rPr>
        <w:t>1973</w:t>
      </w:r>
      <w:r w:rsidRPr="00A77B2C">
        <w:rPr>
          <w:szCs w:val="21"/>
          <w:lang w:val="zh-CN"/>
        </w:rPr>
        <w:t>年</w:t>
      </w:r>
      <w:r w:rsidRPr="00A77B2C">
        <w:rPr>
          <w:szCs w:val="21"/>
          <w:lang w:val="zh-CN"/>
        </w:rPr>
        <w:t>11</w:t>
      </w:r>
      <w:r w:rsidRPr="00A77B2C">
        <w:rPr>
          <w:szCs w:val="21"/>
          <w:lang w:val="zh-CN"/>
        </w:rPr>
        <w:t>月</w:t>
      </w:r>
      <w:r w:rsidRPr="00A77B2C">
        <w:rPr>
          <w:szCs w:val="21"/>
          <w:lang w:val="zh-CN"/>
        </w:rPr>
        <w:t>30</w:t>
      </w:r>
      <w:r w:rsidRPr="00A77B2C">
        <w:rPr>
          <w:szCs w:val="21"/>
          <w:lang w:val="zh-CN"/>
        </w:rPr>
        <w:t>日，纽约</w:t>
      </w:r>
      <w:r>
        <w:rPr>
          <w:szCs w:val="21"/>
          <w:lang w:val="zh-CN"/>
        </w:rPr>
        <w:t>)</w:t>
      </w:r>
      <w:r w:rsidRPr="00A77B2C">
        <w:rPr>
          <w:szCs w:val="21"/>
          <w:lang w:val="zh-CN"/>
        </w:rPr>
        <w:t>，联合国，</w:t>
      </w:r>
      <w:r>
        <w:rPr>
          <w:rFonts w:eastAsiaTheme="minorEastAsia" w:hint="eastAsia"/>
          <w:szCs w:val="21"/>
          <w:lang w:val="zh-CN"/>
        </w:rPr>
        <w:t>《</w:t>
      </w:r>
      <w:r w:rsidRPr="00A77B2C">
        <w:rPr>
          <w:szCs w:val="21"/>
          <w:lang w:val="zh-CN"/>
        </w:rPr>
        <w:t>条约汇编</w:t>
      </w:r>
      <w:r>
        <w:rPr>
          <w:rFonts w:eastAsiaTheme="minorEastAsia" w:hint="eastAsia"/>
          <w:szCs w:val="21"/>
          <w:lang w:val="zh-CN"/>
        </w:rPr>
        <w:t>》</w:t>
      </w:r>
      <w:r w:rsidRPr="00A77B2C">
        <w:rPr>
          <w:szCs w:val="21"/>
          <w:lang w:val="zh-CN"/>
        </w:rPr>
        <w:t>，第</w:t>
      </w:r>
      <w:r w:rsidRPr="00A77B2C">
        <w:rPr>
          <w:szCs w:val="21"/>
          <w:lang w:val="zh-CN"/>
        </w:rPr>
        <w:t>1015</w:t>
      </w:r>
      <w:r w:rsidRPr="00A77B2C">
        <w:rPr>
          <w:szCs w:val="21"/>
          <w:lang w:val="zh-CN"/>
        </w:rPr>
        <w:t>卷，第</w:t>
      </w:r>
      <w:r w:rsidRPr="00A77B2C">
        <w:rPr>
          <w:szCs w:val="21"/>
          <w:lang w:val="zh-CN"/>
        </w:rPr>
        <w:t>14861</w:t>
      </w:r>
      <w:r w:rsidRPr="00A77B2C">
        <w:rPr>
          <w:szCs w:val="21"/>
          <w:lang w:val="zh-CN"/>
        </w:rPr>
        <w:t>号，第</w:t>
      </w:r>
      <w:r w:rsidRPr="00A77B2C">
        <w:rPr>
          <w:szCs w:val="21"/>
          <w:lang w:val="zh-CN"/>
        </w:rPr>
        <w:t>243</w:t>
      </w:r>
      <w:r w:rsidRPr="00A77B2C">
        <w:rPr>
          <w:szCs w:val="21"/>
          <w:lang w:val="zh-CN"/>
        </w:rPr>
        <w:t>页，第一条第</w:t>
      </w:r>
      <w:r w:rsidRPr="00A77B2C">
        <w:rPr>
          <w:szCs w:val="21"/>
          <w:lang w:val="zh-CN"/>
        </w:rPr>
        <w:t>2</w:t>
      </w:r>
      <w:r w:rsidRPr="00A77B2C">
        <w:rPr>
          <w:szCs w:val="21"/>
          <w:lang w:val="zh-CN"/>
        </w:rPr>
        <w:t>款</w:t>
      </w:r>
      <w:r>
        <w:rPr>
          <w:szCs w:val="21"/>
          <w:lang w:val="zh-CN"/>
        </w:rPr>
        <w:t>(</w:t>
      </w:r>
      <w:r w:rsidRPr="00A77B2C">
        <w:rPr>
          <w:szCs w:val="21"/>
          <w:lang w:val="zh-CN"/>
        </w:rPr>
        <w:t>“</w:t>
      </w:r>
      <w:r w:rsidRPr="00A77B2C">
        <w:rPr>
          <w:szCs w:val="21"/>
          <w:lang w:val="zh-CN"/>
        </w:rPr>
        <w:t>本公约缔约国宣布：凡是犯种族隔离罪行的组织、机构或个人即为犯罪</w:t>
      </w:r>
      <w:r w:rsidRPr="00A77B2C">
        <w:rPr>
          <w:szCs w:val="21"/>
          <w:lang w:val="zh-CN"/>
        </w:rPr>
        <w:t>”</w:t>
      </w:r>
      <w:r>
        <w:rPr>
          <w:szCs w:val="21"/>
          <w:lang w:val="zh-CN"/>
        </w:rPr>
        <w:t>)</w:t>
      </w:r>
      <w:r w:rsidRPr="00A77B2C">
        <w:rPr>
          <w:szCs w:val="21"/>
          <w:lang w:val="zh-CN"/>
        </w:rPr>
        <w:t>。</w:t>
      </w:r>
    </w:p>
  </w:footnote>
  <w:footnote w:id="1161">
    <w:p w:rsidR="00AB00DE" w:rsidRPr="00A77B2C" w:rsidRDefault="00AB00DE" w:rsidP="00CD5A8C">
      <w:pPr>
        <w:pStyle w:val="a4"/>
        <w:rPr>
          <w:szCs w:val="21"/>
          <w:lang w:val="zh-CN"/>
        </w:rPr>
      </w:pPr>
      <w:r>
        <w:rPr>
          <w:rFonts w:hint="eastAsia"/>
          <w:sz w:val="21"/>
          <w:szCs w:val="21"/>
          <w:lang w:val="zh-CN"/>
        </w:rPr>
        <w:tab/>
      </w:r>
      <w:r w:rsidRPr="00193F6E">
        <w:rPr>
          <w:rStyle w:val="a5"/>
          <w:szCs w:val="21"/>
          <w:lang w:val="zh-CN"/>
        </w:rPr>
        <w:footnoteRef/>
      </w:r>
      <w:r>
        <w:rPr>
          <w:rFonts w:hint="eastAsia"/>
          <w:sz w:val="21"/>
          <w:szCs w:val="21"/>
          <w:lang w:val="zh-CN"/>
        </w:rPr>
        <w:tab/>
      </w:r>
      <w:r w:rsidRPr="00A77B2C">
        <w:rPr>
          <w:szCs w:val="21"/>
          <w:lang w:val="zh-CN"/>
        </w:rPr>
        <w:t>《控制危险废物越境转移及其处置巴塞尔公约》</w:t>
      </w:r>
      <w:r>
        <w:rPr>
          <w:szCs w:val="21"/>
          <w:lang w:val="zh-CN"/>
        </w:rPr>
        <w:t>(</w:t>
      </w:r>
      <w:r w:rsidRPr="00A77B2C">
        <w:rPr>
          <w:szCs w:val="21"/>
          <w:lang w:val="zh-CN"/>
        </w:rPr>
        <w:t>1989</w:t>
      </w:r>
      <w:r w:rsidRPr="00A77B2C">
        <w:rPr>
          <w:szCs w:val="21"/>
          <w:lang w:val="zh-CN"/>
        </w:rPr>
        <w:t>年</w:t>
      </w:r>
      <w:r w:rsidRPr="00A77B2C">
        <w:rPr>
          <w:szCs w:val="21"/>
          <w:lang w:val="zh-CN"/>
        </w:rPr>
        <w:t>3</w:t>
      </w:r>
      <w:r w:rsidRPr="00A77B2C">
        <w:rPr>
          <w:szCs w:val="21"/>
          <w:lang w:val="zh-CN"/>
        </w:rPr>
        <w:t>月</w:t>
      </w:r>
      <w:r w:rsidRPr="00A77B2C">
        <w:rPr>
          <w:szCs w:val="21"/>
          <w:lang w:val="zh-CN"/>
        </w:rPr>
        <w:t>22</w:t>
      </w:r>
      <w:r w:rsidRPr="00A77B2C">
        <w:rPr>
          <w:szCs w:val="21"/>
          <w:lang w:val="zh-CN"/>
        </w:rPr>
        <w:t>日，巴塞尔</w:t>
      </w:r>
      <w:r>
        <w:rPr>
          <w:szCs w:val="21"/>
          <w:lang w:val="zh-CN"/>
        </w:rPr>
        <w:t>)</w:t>
      </w:r>
      <w:r w:rsidRPr="00A77B2C">
        <w:rPr>
          <w:szCs w:val="21"/>
          <w:lang w:val="zh-CN"/>
        </w:rPr>
        <w:t>，同上，第</w:t>
      </w:r>
      <w:r w:rsidRPr="00A77B2C">
        <w:rPr>
          <w:szCs w:val="21"/>
          <w:lang w:val="zh-CN"/>
        </w:rPr>
        <w:t>1673</w:t>
      </w:r>
      <w:r w:rsidRPr="00A77B2C">
        <w:rPr>
          <w:szCs w:val="21"/>
          <w:lang w:val="zh-CN"/>
        </w:rPr>
        <w:t>卷，第</w:t>
      </w:r>
      <w:r w:rsidRPr="00A77B2C">
        <w:rPr>
          <w:szCs w:val="21"/>
          <w:lang w:val="zh-CN"/>
        </w:rPr>
        <w:t>28911</w:t>
      </w:r>
      <w:r w:rsidRPr="00A77B2C">
        <w:rPr>
          <w:rFonts w:hint="eastAsia"/>
          <w:szCs w:val="21"/>
          <w:lang w:val="zh-CN"/>
        </w:rPr>
        <w:t>号</w:t>
      </w:r>
      <w:r w:rsidRPr="00A77B2C">
        <w:rPr>
          <w:szCs w:val="21"/>
          <w:lang w:val="zh-CN"/>
        </w:rPr>
        <w:t>，第</w:t>
      </w:r>
      <w:r w:rsidRPr="00A77B2C">
        <w:rPr>
          <w:szCs w:val="21"/>
          <w:lang w:val="zh-CN"/>
        </w:rPr>
        <w:t>57</w:t>
      </w:r>
      <w:r w:rsidRPr="00A77B2C">
        <w:rPr>
          <w:szCs w:val="21"/>
          <w:lang w:val="zh-CN"/>
        </w:rPr>
        <w:t>页，第</w:t>
      </w:r>
      <w:r w:rsidRPr="00A77B2C">
        <w:rPr>
          <w:szCs w:val="21"/>
          <w:lang w:val="zh-CN"/>
        </w:rPr>
        <w:t>2</w:t>
      </w:r>
      <w:r w:rsidRPr="00A77B2C">
        <w:rPr>
          <w:szCs w:val="21"/>
          <w:lang w:val="zh-CN"/>
        </w:rPr>
        <w:t>条第</w:t>
      </w:r>
      <w:r w:rsidRPr="00A77B2C">
        <w:rPr>
          <w:szCs w:val="21"/>
          <w:lang w:val="zh-CN"/>
        </w:rPr>
        <w:t>14</w:t>
      </w:r>
      <w:r w:rsidRPr="00A77B2C">
        <w:rPr>
          <w:szCs w:val="21"/>
          <w:lang w:val="zh-CN"/>
        </w:rPr>
        <w:t>款</w:t>
      </w:r>
      <w:r>
        <w:rPr>
          <w:rFonts w:hint="eastAsia"/>
          <w:szCs w:val="21"/>
          <w:lang w:val="zh-CN"/>
        </w:rPr>
        <w:t>(</w:t>
      </w:r>
      <w:r>
        <w:rPr>
          <w:rFonts w:hint="eastAsia"/>
          <w:szCs w:val="21"/>
          <w:lang w:val="zh-CN"/>
        </w:rPr>
        <w:t>“</w:t>
      </w:r>
      <w:r w:rsidRPr="00A77B2C">
        <w:rPr>
          <w:szCs w:val="21"/>
          <w:lang w:val="zh-CN"/>
        </w:rPr>
        <w:t>为本公约的目的：</w:t>
      </w:r>
      <w:r>
        <w:rPr>
          <w:rFonts w:hint="eastAsia"/>
        </w:rPr>
        <w:t>……</w:t>
      </w:r>
      <w:r>
        <w:rPr>
          <w:rFonts w:hint="eastAsia"/>
          <w:szCs w:val="21"/>
          <w:lang w:val="zh-CN"/>
        </w:rPr>
        <w:t>“</w:t>
      </w:r>
      <w:r w:rsidRPr="00A77B2C">
        <w:rPr>
          <w:szCs w:val="21"/>
          <w:lang w:val="zh-CN"/>
        </w:rPr>
        <w:t>人</w:t>
      </w:r>
      <w:r w:rsidRPr="00A77B2C">
        <w:rPr>
          <w:szCs w:val="21"/>
          <w:lang w:val="zh-CN"/>
        </w:rPr>
        <w:t>”</w:t>
      </w:r>
      <w:r w:rsidRPr="00A77B2C">
        <w:rPr>
          <w:szCs w:val="21"/>
          <w:lang w:val="zh-CN"/>
        </w:rPr>
        <w:t>是指任何自然人或法人</w:t>
      </w:r>
      <w:r>
        <w:rPr>
          <w:rFonts w:hint="eastAsia"/>
          <w:szCs w:val="21"/>
          <w:lang w:val="zh-CN"/>
        </w:rPr>
        <w:t>)</w:t>
      </w:r>
      <w:r w:rsidRPr="00A77B2C">
        <w:rPr>
          <w:szCs w:val="21"/>
          <w:lang w:val="zh-CN"/>
        </w:rPr>
        <w:t>和第</w:t>
      </w:r>
      <w:r w:rsidRPr="00A77B2C">
        <w:rPr>
          <w:szCs w:val="21"/>
          <w:lang w:val="zh-CN"/>
        </w:rPr>
        <w:t>4</w:t>
      </w:r>
      <w:r w:rsidRPr="00A77B2C">
        <w:rPr>
          <w:szCs w:val="21"/>
          <w:lang w:val="zh-CN"/>
        </w:rPr>
        <w:t>条第</w:t>
      </w:r>
      <w:r w:rsidRPr="00A77B2C">
        <w:rPr>
          <w:szCs w:val="21"/>
          <w:lang w:val="zh-CN"/>
        </w:rPr>
        <w:t>3</w:t>
      </w:r>
      <w:r w:rsidRPr="00A77B2C">
        <w:rPr>
          <w:szCs w:val="21"/>
          <w:lang w:val="zh-CN"/>
        </w:rPr>
        <w:t>款</w:t>
      </w:r>
      <w:r>
        <w:rPr>
          <w:rFonts w:hint="eastAsia"/>
          <w:szCs w:val="21"/>
          <w:lang w:val="zh-CN"/>
        </w:rPr>
        <w:t>(</w:t>
      </w:r>
      <w:r>
        <w:rPr>
          <w:rFonts w:hint="eastAsia"/>
          <w:szCs w:val="21"/>
          <w:lang w:val="zh-CN"/>
        </w:rPr>
        <w:t>“</w:t>
      </w:r>
      <w:r w:rsidRPr="00A77B2C">
        <w:rPr>
          <w:szCs w:val="21"/>
          <w:lang w:val="zh-CN"/>
        </w:rPr>
        <w:t>各缔约国认为危险废物或其他废物的非法运输为犯罪行为</w:t>
      </w:r>
      <w:r>
        <w:rPr>
          <w:rFonts w:hint="eastAsia"/>
          <w:szCs w:val="21"/>
          <w:lang w:val="zh-CN"/>
        </w:rPr>
        <w:t>”</w:t>
      </w:r>
      <w:r>
        <w:rPr>
          <w:rFonts w:hint="eastAsia"/>
          <w:szCs w:val="21"/>
          <w:lang w:val="zh-CN"/>
        </w:rPr>
        <w:t>)</w:t>
      </w:r>
      <w:r w:rsidRPr="00A77B2C">
        <w:rPr>
          <w:szCs w:val="21"/>
          <w:lang w:val="zh-CN"/>
        </w:rPr>
        <w:t>。</w:t>
      </w:r>
    </w:p>
  </w:footnote>
  <w:footnote w:id="1162">
    <w:p w:rsidR="00AB00DE" w:rsidRPr="00A77B2C" w:rsidRDefault="00AB00DE" w:rsidP="00CD5A8C">
      <w:pPr>
        <w:pStyle w:val="a4"/>
        <w:rPr>
          <w:szCs w:val="21"/>
          <w:lang w:val="zh-CN"/>
        </w:rPr>
      </w:pPr>
      <w:r>
        <w:rPr>
          <w:rFonts w:hint="eastAsia"/>
          <w:sz w:val="21"/>
          <w:szCs w:val="21"/>
          <w:lang w:val="zh-CN"/>
        </w:rPr>
        <w:tab/>
      </w:r>
      <w:r w:rsidRPr="00193F6E">
        <w:rPr>
          <w:rStyle w:val="a5"/>
          <w:szCs w:val="21"/>
          <w:lang w:val="zh-CN"/>
        </w:rPr>
        <w:footnoteRef/>
      </w:r>
      <w:r>
        <w:rPr>
          <w:rFonts w:hint="eastAsia"/>
          <w:sz w:val="21"/>
          <w:szCs w:val="21"/>
          <w:lang w:val="zh-CN"/>
        </w:rPr>
        <w:tab/>
      </w:r>
      <w:r>
        <w:rPr>
          <w:lang w:val="zh-CN"/>
        </w:rPr>
        <w:t>《制止向恐怖主义提供资助的国际公约》</w:t>
      </w:r>
      <w:r>
        <w:rPr>
          <w:rFonts w:eastAsiaTheme="minorEastAsia" w:hint="eastAsia"/>
          <w:lang w:val="zh-CN"/>
        </w:rPr>
        <w:t>，</w:t>
      </w:r>
      <w:r w:rsidRPr="00A77B2C">
        <w:rPr>
          <w:szCs w:val="21"/>
          <w:lang w:val="zh-CN"/>
        </w:rPr>
        <w:t>第</w:t>
      </w:r>
      <w:r w:rsidRPr="00A77B2C">
        <w:rPr>
          <w:szCs w:val="21"/>
          <w:lang w:val="zh-CN"/>
        </w:rPr>
        <w:t>5</w:t>
      </w:r>
      <w:r w:rsidRPr="00A77B2C">
        <w:rPr>
          <w:szCs w:val="21"/>
          <w:lang w:val="zh-CN"/>
        </w:rPr>
        <w:t>条。谈判期间提出的促成第</w:t>
      </w:r>
      <w:r w:rsidRPr="00A77B2C">
        <w:rPr>
          <w:szCs w:val="21"/>
          <w:lang w:val="zh-CN"/>
        </w:rPr>
        <w:t>5</w:t>
      </w:r>
      <w:r w:rsidRPr="00A77B2C">
        <w:rPr>
          <w:szCs w:val="21"/>
          <w:lang w:val="zh-CN"/>
        </w:rPr>
        <w:t>条的提案见</w:t>
      </w:r>
      <w:r w:rsidRPr="00A77B2C">
        <w:rPr>
          <w:rFonts w:hint="eastAsia"/>
          <w:szCs w:val="21"/>
          <w:lang w:val="zh-CN"/>
        </w:rPr>
        <w:t>《</w:t>
      </w:r>
      <w:r w:rsidRPr="00A77B2C">
        <w:rPr>
          <w:szCs w:val="21"/>
          <w:lang w:val="zh-CN"/>
        </w:rPr>
        <w:t>消除国际恐怖主义的措施：工作组的报告</w:t>
      </w:r>
      <w:r w:rsidRPr="00A77B2C">
        <w:rPr>
          <w:rFonts w:hint="eastAsia"/>
          <w:szCs w:val="21"/>
          <w:lang w:val="zh-CN"/>
        </w:rPr>
        <w:t>》</w:t>
      </w:r>
      <w:r>
        <w:rPr>
          <w:szCs w:val="21"/>
          <w:lang w:val="zh-CN"/>
        </w:rPr>
        <w:t>(</w:t>
      </w:r>
      <w:r w:rsidRPr="00A77B2C">
        <w:rPr>
          <w:szCs w:val="21"/>
          <w:lang w:val="zh-CN"/>
        </w:rPr>
        <w:t>A/C.6/54/L.2</w:t>
      </w:r>
      <w:r>
        <w:rPr>
          <w:szCs w:val="21"/>
          <w:lang w:val="zh-CN"/>
        </w:rPr>
        <w:t>)</w:t>
      </w:r>
      <w:r>
        <w:rPr>
          <w:rFonts w:hint="eastAsia"/>
          <w:szCs w:val="21"/>
          <w:lang w:val="zh-CN"/>
        </w:rPr>
        <w:t>(</w:t>
      </w:r>
      <w:r w:rsidRPr="00A77B2C">
        <w:rPr>
          <w:szCs w:val="21"/>
          <w:lang w:val="zh-CN"/>
        </w:rPr>
        <w:t>1999</w:t>
      </w:r>
      <w:r w:rsidRPr="00A77B2C">
        <w:rPr>
          <w:szCs w:val="21"/>
          <w:lang w:val="zh-CN"/>
        </w:rPr>
        <w:t>年</w:t>
      </w:r>
      <w:r w:rsidRPr="00A77B2C">
        <w:rPr>
          <w:szCs w:val="21"/>
          <w:lang w:val="zh-CN"/>
        </w:rPr>
        <w:t>10</w:t>
      </w:r>
      <w:r w:rsidRPr="00A77B2C">
        <w:rPr>
          <w:szCs w:val="21"/>
          <w:lang w:val="zh-CN"/>
        </w:rPr>
        <w:t>月</w:t>
      </w:r>
      <w:r w:rsidRPr="00A77B2C">
        <w:rPr>
          <w:szCs w:val="21"/>
          <w:lang w:val="zh-CN"/>
        </w:rPr>
        <w:t>26</w:t>
      </w:r>
      <w:r w:rsidRPr="00A77B2C">
        <w:rPr>
          <w:szCs w:val="21"/>
          <w:lang w:val="zh-CN"/>
        </w:rPr>
        <w:t>日</w:t>
      </w:r>
      <w:r>
        <w:rPr>
          <w:rFonts w:hint="eastAsia"/>
          <w:szCs w:val="21"/>
          <w:lang w:val="zh-CN"/>
        </w:rPr>
        <w:t>)</w:t>
      </w:r>
      <w:r w:rsidRPr="00A77B2C">
        <w:rPr>
          <w:szCs w:val="21"/>
          <w:lang w:val="zh-CN"/>
        </w:rPr>
        <w:t>。</w:t>
      </w:r>
    </w:p>
  </w:footnote>
  <w:footnote w:id="1163">
    <w:p w:rsidR="00AB00DE" w:rsidRPr="00A77B2C" w:rsidRDefault="00AB00DE" w:rsidP="00CD5A8C">
      <w:pPr>
        <w:pStyle w:val="a4"/>
        <w:rPr>
          <w:szCs w:val="21"/>
          <w:lang w:val="zh-CN"/>
        </w:rPr>
      </w:pPr>
      <w:r>
        <w:rPr>
          <w:rFonts w:hint="eastAsia"/>
          <w:sz w:val="21"/>
          <w:szCs w:val="21"/>
          <w:lang w:val="zh-CN"/>
        </w:rPr>
        <w:tab/>
      </w:r>
      <w:r w:rsidRPr="00193F6E">
        <w:rPr>
          <w:rStyle w:val="a5"/>
          <w:szCs w:val="21"/>
          <w:lang w:val="zh-CN"/>
        </w:rPr>
        <w:footnoteRef/>
      </w:r>
      <w:r>
        <w:rPr>
          <w:rFonts w:hint="eastAsia"/>
          <w:sz w:val="21"/>
          <w:szCs w:val="21"/>
          <w:lang w:val="zh-CN"/>
        </w:rPr>
        <w:tab/>
      </w:r>
      <w:r>
        <w:rPr>
          <w:lang w:val="zh-CN"/>
        </w:rPr>
        <w:t>《联合国打击跨国有组织犯罪公约》</w:t>
      </w:r>
      <w:r>
        <w:rPr>
          <w:rFonts w:eastAsiaTheme="minorEastAsia" w:hint="eastAsia"/>
          <w:lang w:val="zh-CN"/>
        </w:rPr>
        <w:t>，</w:t>
      </w:r>
      <w:r w:rsidRPr="00A77B2C">
        <w:rPr>
          <w:szCs w:val="21"/>
          <w:lang w:val="zh-CN"/>
        </w:rPr>
        <w:t>第</w:t>
      </w:r>
      <w:r w:rsidRPr="00A77B2C">
        <w:rPr>
          <w:szCs w:val="21"/>
          <w:lang w:val="zh-CN"/>
        </w:rPr>
        <w:t>10</w:t>
      </w:r>
      <w:r w:rsidRPr="00A77B2C">
        <w:rPr>
          <w:szCs w:val="21"/>
          <w:lang w:val="zh-CN"/>
        </w:rPr>
        <w:t>条。</w:t>
      </w:r>
    </w:p>
  </w:footnote>
  <w:footnote w:id="1164">
    <w:p w:rsidR="00AB00DE" w:rsidRPr="00F903D8" w:rsidRDefault="00AB00DE" w:rsidP="00CD5A8C">
      <w:pPr>
        <w:pStyle w:val="a4"/>
      </w:pPr>
      <w:r>
        <w:rPr>
          <w:rFonts w:hint="eastAsia"/>
          <w:sz w:val="21"/>
          <w:szCs w:val="21"/>
          <w:lang w:val="zh-CN"/>
        </w:rPr>
        <w:tab/>
      </w:r>
      <w:r w:rsidRPr="00193F6E">
        <w:rPr>
          <w:rStyle w:val="a5"/>
          <w:szCs w:val="21"/>
          <w:lang w:val="zh-CN"/>
        </w:rPr>
        <w:footnoteRef/>
      </w:r>
      <w:r>
        <w:rPr>
          <w:rFonts w:hint="eastAsia"/>
          <w:sz w:val="21"/>
          <w:szCs w:val="21"/>
          <w:lang w:val="zh-CN"/>
        </w:rPr>
        <w:tab/>
      </w:r>
      <w:r w:rsidRPr="00F903D8">
        <w:rPr>
          <w:lang w:val="zh-CN"/>
        </w:rPr>
        <w:t>《儿童权利公约关于买卖儿童、儿童卖淫和儿童色情制品问题的任择议定书》</w:t>
      </w:r>
      <w:r>
        <w:rPr>
          <w:lang w:val="zh-CN"/>
        </w:rPr>
        <w:t>(</w:t>
      </w:r>
      <w:r w:rsidRPr="00F903D8">
        <w:rPr>
          <w:lang w:val="zh-CN"/>
        </w:rPr>
        <w:t>2000</w:t>
      </w:r>
      <w:r w:rsidRPr="00F903D8">
        <w:rPr>
          <w:lang w:val="zh-CN"/>
        </w:rPr>
        <w:t>年</w:t>
      </w:r>
      <w:r w:rsidRPr="00F903D8">
        <w:rPr>
          <w:lang w:val="zh-CN"/>
        </w:rPr>
        <w:t>5</w:t>
      </w:r>
      <w:r w:rsidRPr="00F903D8">
        <w:rPr>
          <w:lang w:val="zh-CN"/>
        </w:rPr>
        <w:t>月</w:t>
      </w:r>
      <w:r w:rsidRPr="00F903D8">
        <w:rPr>
          <w:lang w:val="zh-CN"/>
        </w:rPr>
        <w:t>25</w:t>
      </w:r>
      <w:r w:rsidRPr="00F903D8">
        <w:rPr>
          <w:lang w:val="zh-CN"/>
        </w:rPr>
        <w:t>日</w:t>
      </w:r>
      <w:r w:rsidRPr="00F903D8">
        <w:rPr>
          <w:rFonts w:hint="eastAsia"/>
          <w:lang w:val="zh-CN"/>
        </w:rPr>
        <w:t>，</w:t>
      </w:r>
      <w:r w:rsidRPr="00F903D8">
        <w:rPr>
          <w:lang w:val="zh-CN"/>
        </w:rPr>
        <w:t>纽约</w:t>
      </w:r>
      <w:r>
        <w:rPr>
          <w:lang w:val="zh-CN"/>
        </w:rPr>
        <w:t>)</w:t>
      </w:r>
      <w:r w:rsidRPr="00F903D8">
        <w:rPr>
          <w:lang w:val="zh-CN"/>
        </w:rPr>
        <w:t>，联合国，</w:t>
      </w:r>
      <w:r>
        <w:rPr>
          <w:rFonts w:eastAsiaTheme="minorEastAsia" w:hint="eastAsia"/>
          <w:lang w:val="zh-CN"/>
        </w:rPr>
        <w:t>《</w:t>
      </w:r>
      <w:r w:rsidRPr="00F903D8">
        <w:rPr>
          <w:lang w:val="zh-CN"/>
        </w:rPr>
        <w:t>条约汇编</w:t>
      </w:r>
      <w:r>
        <w:rPr>
          <w:rFonts w:eastAsiaTheme="minorEastAsia" w:hint="eastAsia"/>
          <w:lang w:val="zh-CN"/>
        </w:rPr>
        <w:t>》</w:t>
      </w:r>
      <w:r w:rsidRPr="00F903D8">
        <w:rPr>
          <w:lang w:val="zh-CN"/>
        </w:rPr>
        <w:t>，第</w:t>
      </w:r>
      <w:r w:rsidRPr="00F903D8">
        <w:rPr>
          <w:lang w:val="zh-CN"/>
        </w:rPr>
        <w:t>2171</w:t>
      </w:r>
      <w:r w:rsidRPr="00F903D8">
        <w:rPr>
          <w:lang w:val="zh-CN"/>
        </w:rPr>
        <w:t>卷，第</w:t>
      </w:r>
      <w:r w:rsidRPr="00F903D8">
        <w:rPr>
          <w:lang w:val="zh-CN"/>
        </w:rPr>
        <w:t>27531</w:t>
      </w:r>
      <w:r w:rsidRPr="00F903D8">
        <w:rPr>
          <w:lang w:val="zh-CN"/>
        </w:rPr>
        <w:t>号，第</w:t>
      </w:r>
      <w:r w:rsidRPr="00F903D8">
        <w:rPr>
          <w:lang w:val="zh-CN"/>
        </w:rPr>
        <w:t>227</w:t>
      </w:r>
      <w:r w:rsidRPr="00F903D8">
        <w:rPr>
          <w:lang w:val="zh-CN"/>
        </w:rPr>
        <w:t>页。</w:t>
      </w:r>
    </w:p>
  </w:footnote>
  <w:footnote w:id="1165">
    <w:p w:rsidR="00AB00DE" w:rsidRPr="00F903D8" w:rsidRDefault="00AB00DE" w:rsidP="00D111E4">
      <w:pPr>
        <w:pStyle w:val="a4"/>
        <w:rPr>
          <w:lang w:val="zh-CN"/>
        </w:rPr>
      </w:pPr>
      <w:r>
        <w:rPr>
          <w:rFonts w:hint="eastAsia"/>
          <w:sz w:val="21"/>
          <w:szCs w:val="21"/>
          <w:lang w:val="zh-CN"/>
        </w:rPr>
        <w:tab/>
      </w:r>
      <w:r w:rsidRPr="00193F6E">
        <w:rPr>
          <w:rStyle w:val="a5"/>
          <w:szCs w:val="21"/>
          <w:lang w:val="zh-CN"/>
        </w:rPr>
        <w:footnoteRef/>
      </w:r>
      <w:r>
        <w:rPr>
          <w:rFonts w:hint="eastAsia"/>
          <w:sz w:val="21"/>
          <w:szCs w:val="21"/>
          <w:lang w:val="zh-CN"/>
        </w:rPr>
        <w:tab/>
      </w:r>
      <w:r w:rsidRPr="00180C8B">
        <w:rPr>
          <w:spacing w:val="-4"/>
          <w:lang w:val="zh-CN"/>
        </w:rPr>
        <w:t>《联合国反腐败公约》</w:t>
      </w:r>
      <w:r>
        <w:rPr>
          <w:rFonts w:eastAsiaTheme="minorEastAsia" w:hint="eastAsia"/>
          <w:spacing w:val="-4"/>
          <w:lang w:val="zh-CN"/>
        </w:rPr>
        <w:t>，</w:t>
      </w:r>
      <w:r w:rsidRPr="00F903D8">
        <w:rPr>
          <w:lang w:val="zh-CN"/>
        </w:rPr>
        <w:t>第</w:t>
      </w:r>
      <w:r w:rsidRPr="00F903D8">
        <w:rPr>
          <w:lang w:val="zh-CN"/>
        </w:rPr>
        <w:t>26</w:t>
      </w:r>
      <w:r w:rsidRPr="00F903D8">
        <w:rPr>
          <w:lang w:val="zh-CN"/>
        </w:rPr>
        <w:t>条。背景见联合国毒品和犯罪问题办公室，</w:t>
      </w:r>
      <w:r w:rsidRPr="00A77B2C">
        <w:rPr>
          <w:szCs w:val="21"/>
          <w:lang w:val="zh-CN"/>
        </w:rPr>
        <w:t>《</w:t>
      </w:r>
      <w:r w:rsidRPr="00F903D8">
        <w:rPr>
          <w:lang w:val="zh-CN"/>
        </w:rPr>
        <w:t>谈判拟订</w:t>
      </w:r>
      <w:r>
        <w:rPr>
          <w:rFonts w:hint="eastAsia"/>
        </w:rPr>
        <w:t>〈</w:t>
      </w:r>
      <w:r w:rsidRPr="00F903D8">
        <w:rPr>
          <w:lang w:val="zh-CN"/>
        </w:rPr>
        <w:t>联合国反腐败公约</w:t>
      </w:r>
      <w:r>
        <w:rPr>
          <w:rFonts w:hint="eastAsia"/>
          <w:lang w:val="zh-CN"/>
        </w:rPr>
        <w:t>〉</w:t>
      </w:r>
      <w:r w:rsidRPr="00F903D8">
        <w:rPr>
          <w:lang w:val="zh-CN"/>
        </w:rPr>
        <w:t>的准备工作文件</w:t>
      </w:r>
      <w:r w:rsidRPr="00F903D8">
        <w:rPr>
          <w:rFonts w:hint="eastAsia"/>
          <w:lang w:val="zh-CN"/>
        </w:rPr>
        <w:t>》</w:t>
      </w:r>
      <w:r>
        <w:rPr>
          <w:rFonts w:hint="eastAsia"/>
          <w:lang w:val="zh-CN"/>
        </w:rPr>
        <w:t>(</w:t>
      </w:r>
      <w:r w:rsidRPr="00F903D8">
        <w:rPr>
          <w:lang w:val="zh-CN"/>
        </w:rPr>
        <w:t>联合国出版物，出售品编号</w:t>
      </w:r>
      <w:r w:rsidRPr="00F903D8">
        <w:rPr>
          <w:lang w:val="zh-CN"/>
        </w:rPr>
        <w:t>E.10.V.13</w:t>
      </w:r>
      <w:r>
        <w:rPr>
          <w:rFonts w:hint="eastAsia"/>
          <w:lang w:val="zh-CN"/>
        </w:rPr>
        <w:t>)</w:t>
      </w:r>
      <w:r w:rsidRPr="00F903D8">
        <w:rPr>
          <w:lang w:val="zh-CN"/>
        </w:rPr>
        <w:t>，第</w:t>
      </w:r>
      <w:r w:rsidRPr="00F903D8">
        <w:rPr>
          <w:lang w:val="zh-CN"/>
        </w:rPr>
        <w:t>233-235</w:t>
      </w:r>
      <w:r w:rsidRPr="00F903D8">
        <w:rPr>
          <w:lang w:val="zh-CN"/>
        </w:rPr>
        <w:t>页，《执行</w:t>
      </w:r>
      <w:r>
        <w:rPr>
          <w:rFonts w:hint="eastAsia"/>
          <w:lang w:val="zh-CN"/>
        </w:rPr>
        <w:t>〈</w:t>
      </w:r>
      <w:r w:rsidRPr="00F903D8">
        <w:rPr>
          <w:lang w:val="zh-CN"/>
        </w:rPr>
        <w:t>联合国反腐败公约</w:t>
      </w:r>
      <w:r>
        <w:rPr>
          <w:rFonts w:hint="eastAsia"/>
          <w:lang w:val="zh-CN"/>
        </w:rPr>
        <w:t>〉</w:t>
      </w:r>
      <w:r w:rsidRPr="00F903D8">
        <w:rPr>
          <w:lang w:val="zh-CN"/>
        </w:rPr>
        <w:t>的立法指南》</w:t>
      </w:r>
      <w:r>
        <w:rPr>
          <w:rFonts w:hint="eastAsia"/>
          <w:lang w:val="zh-CN"/>
        </w:rPr>
        <w:t>(</w:t>
      </w:r>
      <w:r w:rsidRPr="00F903D8">
        <w:rPr>
          <w:lang w:val="zh-CN"/>
        </w:rPr>
        <w:t>修订版</w:t>
      </w:r>
      <w:r w:rsidRPr="00F903D8">
        <w:rPr>
          <w:rFonts w:hint="eastAsia"/>
          <w:lang w:val="zh-CN"/>
        </w:rPr>
        <w:t>第</w:t>
      </w:r>
      <w:r w:rsidRPr="00F903D8">
        <w:rPr>
          <w:rFonts w:hint="eastAsia"/>
          <w:lang w:val="zh-CN"/>
        </w:rPr>
        <w:t>2</w:t>
      </w:r>
      <w:r w:rsidRPr="00F903D8">
        <w:rPr>
          <w:rFonts w:hint="eastAsia"/>
          <w:lang w:val="zh-CN"/>
        </w:rPr>
        <w:t>版</w:t>
      </w:r>
      <w:r w:rsidRPr="00F903D8">
        <w:rPr>
          <w:lang w:val="zh-CN"/>
        </w:rPr>
        <w:t>，</w:t>
      </w:r>
      <w:r w:rsidRPr="00F903D8">
        <w:rPr>
          <w:lang w:val="zh-CN"/>
        </w:rPr>
        <w:t>2012</w:t>
      </w:r>
      <w:r w:rsidRPr="00F903D8">
        <w:rPr>
          <w:lang w:val="zh-CN"/>
        </w:rPr>
        <w:t>年</w:t>
      </w:r>
      <w:r>
        <w:rPr>
          <w:rFonts w:hint="eastAsia"/>
          <w:lang w:val="zh-CN"/>
        </w:rPr>
        <w:t>)</w:t>
      </w:r>
      <w:r w:rsidRPr="00F903D8">
        <w:rPr>
          <w:lang w:val="zh-CN"/>
        </w:rPr>
        <w:t>，第</w:t>
      </w:r>
      <w:r w:rsidRPr="00F903D8">
        <w:rPr>
          <w:lang w:val="zh-CN"/>
        </w:rPr>
        <w:t>107-113</w:t>
      </w:r>
      <w:r w:rsidRPr="00F903D8">
        <w:rPr>
          <w:lang w:val="zh-CN"/>
        </w:rPr>
        <w:t>页。经济合作与发展组织通过的类似公约见《禁止在国际商业交易中贿赂外国公职人员公约》</w:t>
      </w:r>
      <w:r>
        <w:rPr>
          <w:lang w:val="zh-CN"/>
        </w:rPr>
        <w:t>(</w:t>
      </w:r>
      <w:r w:rsidRPr="00F903D8">
        <w:rPr>
          <w:lang w:val="zh-CN"/>
        </w:rPr>
        <w:t>1997</w:t>
      </w:r>
      <w:r w:rsidRPr="00F903D8">
        <w:rPr>
          <w:lang w:val="zh-CN"/>
        </w:rPr>
        <w:t>年</w:t>
      </w:r>
      <w:r w:rsidRPr="00F903D8">
        <w:rPr>
          <w:lang w:val="zh-CN"/>
        </w:rPr>
        <w:t>11</w:t>
      </w:r>
      <w:r w:rsidRPr="00F903D8">
        <w:rPr>
          <w:lang w:val="zh-CN"/>
        </w:rPr>
        <w:t>月</w:t>
      </w:r>
      <w:r w:rsidRPr="00F903D8">
        <w:rPr>
          <w:lang w:val="zh-CN"/>
        </w:rPr>
        <w:t>21</w:t>
      </w:r>
      <w:r w:rsidRPr="00F903D8">
        <w:rPr>
          <w:lang w:val="zh-CN"/>
        </w:rPr>
        <w:t>日，巴黎</w:t>
      </w:r>
      <w:r>
        <w:rPr>
          <w:rFonts w:hint="eastAsia"/>
          <w:lang w:val="zh-CN"/>
        </w:rPr>
        <w:t>)</w:t>
      </w:r>
      <w:r w:rsidRPr="00F903D8">
        <w:rPr>
          <w:rFonts w:hint="eastAsia"/>
          <w:lang w:val="zh-CN"/>
        </w:rPr>
        <w:t>，</w:t>
      </w:r>
      <w:r w:rsidRPr="00F903D8">
        <w:rPr>
          <w:lang w:val="zh-CN"/>
        </w:rPr>
        <w:t>第二条</w:t>
      </w:r>
      <w:r>
        <w:rPr>
          <w:rFonts w:hint="eastAsia"/>
          <w:lang w:val="zh-CN"/>
        </w:rPr>
        <w:t>(</w:t>
      </w:r>
      <w:r w:rsidRPr="00F903D8">
        <w:rPr>
          <w:rFonts w:hint="eastAsia"/>
          <w:lang w:val="zh-CN"/>
        </w:rPr>
        <w:t>“</w:t>
      </w:r>
      <w:r w:rsidRPr="00F903D8">
        <w:rPr>
          <w:lang w:val="zh-CN"/>
        </w:rPr>
        <w:t>每一缔约方应依照其法律准则采取必要措施以确定法人因行贿外国公职人员而承担的责任</w:t>
      </w:r>
      <w:r w:rsidRPr="00F903D8">
        <w:rPr>
          <w:rFonts w:hint="eastAsia"/>
          <w:lang w:val="zh-CN"/>
        </w:rPr>
        <w:t>”</w:t>
      </w:r>
      <w:r>
        <w:rPr>
          <w:rFonts w:hint="eastAsia"/>
          <w:lang w:val="zh-CN"/>
        </w:rPr>
        <w:t>)</w:t>
      </w:r>
      <w:r w:rsidRPr="00F903D8">
        <w:rPr>
          <w:lang w:val="zh-CN"/>
        </w:rPr>
        <w:t>，可查阅</w:t>
      </w:r>
      <w:hyperlink r:id="rId218" w:history="1">
        <w:r w:rsidRPr="007765C1">
          <w:rPr>
            <w:rStyle w:val="af"/>
            <w:lang w:val="zh-CN"/>
          </w:rPr>
          <w:t>www.oecd.org/daf/anti-bribery/ConvCombatBribery_ENG.pdf</w:t>
        </w:r>
      </w:hyperlink>
      <w:r>
        <w:t xml:space="preserve"> </w:t>
      </w:r>
      <w:r>
        <w:rPr>
          <w:rFonts w:hint="eastAsia"/>
          <w:lang w:val="zh-CN"/>
        </w:rPr>
        <w:t>(</w:t>
      </w:r>
      <w:r w:rsidRPr="00F903D8">
        <w:rPr>
          <w:lang w:val="zh-CN"/>
        </w:rPr>
        <w:t>2016</w:t>
      </w:r>
      <w:r w:rsidRPr="00F903D8">
        <w:rPr>
          <w:lang w:val="zh-CN"/>
        </w:rPr>
        <w:t>年</w:t>
      </w:r>
      <w:r w:rsidRPr="00F903D8">
        <w:rPr>
          <w:lang w:val="zh-CN"/>
        </w:rPr>
        <w:t>7</w:t>
      </w:r>
      <w:r w:rsidRPr="00F903D8">
        <w:rPr>
          <w:lang w:val="zh-CN"/>
        </w:rPr>
        <w:t>月</w:t>
      </w:r>
      <w:r w:rsidRPr="00F903D8">
        <w:rPr>
          <w:lang w:val="zh-CN"/>
        </w:rPr>
        <w:t>11</w:t>
      </w:r>
      <w:r w:rsidRPr="00F903D8">
        <w:rPr>
          <w:lang w:val="zh-CN"/>
        </w:rPr>
        <w:t>日查阅</w:t>
      </w:r>
      <w:r>
        <w:rPr>
          <w:lang w:val="zh-CN"/>
        </w:rPr>
        <w:t>)</w:t>
      </w:r>
      <w:r w:rsidRPr="00F903D8">
        <w:rPr>
          <w:lang w:val="zh-CN"/>
        </w:rPr>
        <w:t>。</w:t>
      </w:r>
    </w:p>
  </w:footnote>
  <w:footnote w:id="1166">
    <w:p w:rsidR="00AB00DE" w:rsidRPr="00F903D8" w:rsidRDefault="00AB00DE" w:rsidP="00CD5A8C">
      <w:pPr>
        <w:pStyle w:val="a4"/>
        <w:rPr>
          <w:lang w:val="zh-CN"/>
        </w:rPr>
      </w:pPr>
      <w:r>
        <w:rPr>
          <w:rFonts w:hint="eastAsia"/>
          <w:sz w:val="21"/>
          <w:szCs w:val="21"/>
          <w:lang w:val="zh-CN"/>
        </w:rPr>
        <w:tab/>
      </w:r>
      <w:r w:rsidRPr="00193F6E">
        <w:rPr>
          <w:rStyle w:val="a5"/>
          <w:szCs w:val="21"/>
          <w:lang w:val="zh-CN"/>
        </w:rPr>
        <w:footnoteRef/>
      </w:r>
      <w:r>
        <w:rPr>
          <w:rFonts w:hint="eastAsia"/>
          <w:sz w:val="21"/>
          <w:szCs w:val="21"/>
          <w:lang w:val="zh-CN"/>
        </w:rPr>
        <w:tab/>
      </w:r>
      <w:r w:rsidRPr="00F903D8">
        <w:rPr>
          <w:lang w:val="zh-CN"/>
        </w:rPr>
        <w:t>《制止危及大陆架固定平台安全非法行为议定书》的</w:t>
      </w:r>
      <w:r w:rsidRPr="00F903D8">
        <w:rPr>
          <w:lang w:val="zh-CN"/>
        </w:rPr>
        <w:t>2005</w:t>
      </w:r>
      <w:r w:rsidRPr="00F903D8">
        <w:rPr>
          <w:lang w:val="zh-CN"/>
        </w:rPr>
        <w:t>年议定书</w:t>
      </w:r>
      <w:r>
        <w:rPr>
          <w:lang w:val="zh-CN"/>
        </w:rPr>
        <w:t>(</w:t>
      </w:r>
      <w:r w:rsidRPr="00F903D8">
        <w:rPr>
          <w:lang w:val="zh-CN"/>
        </w:rPr>
        <w:t>2005</w:t>
      </w:r>
      <w:r w:rsidRPr="00F903D8">
        <w:rPr>
          <w:lang w:val="zh-CN"/>
        </w:rPr>
        <w:t>年</w:t>
      </w:r>
      <w:r w:rsidRPr="00F903D8">
        <w:rPr>
          <w:lang w:val="zh-CN"/>
        </w:rPr>
        <w:t>10</w:t>
      </w:r>
      <w:r w:rsidRPr="00F903D8">
        <w:rPr>
          <w:lang w:val="zh-CN"/>
        </w:rPr>
        <w:t>月</w:t>
      </w:r>
      <w:r w:rsidRPr="00F903D8">
        <w:rPr>
          <w:lang w:val="zh-CN"/>
        </w:rPr>
        <w:t>14</w:t>
      </w:r>
      <w:r w:rsidRPr="00F903D8">
        <w:rPr>
          <w:lang w:val="zh-CN"/>
        </w:rPr>
        <w:t>日，伦敦</w:t>
      </w:r>
      <w:r>
        <w:rPr>
          <w:lang w:val="zh-CN"/>
        </w:rPr>
        <w:t>)</w:t>
      </w:r>
      <w:r w:rsidRPr="00F903D8">
        <w:rPr>
          <w:lang w:val="zh-CN"/>
        </w:rPr>
        <w:t>，第五条</w:t>
      </w:r>
      <w:r>
        <w:rPr>
          <w:lang w:val="zh-CN"/>
        </w:rPr>
        <w:t>(</w:t>
      </w:r>
      <w:r w:rsidRPr="00F903D8">
        <w:rPr>
          <w:lang w:val="zh-CN"/>
        </w:rPr>
        <w:t>19</w:t>
      </w:r>
      <w:r>
        <w:rPr>
          <w:rFonts w:hint="eastAsia"/>
          <w:lang w:val="zh-CN"/>
        </w:rPr>
        <w:t>8</w:t>
      </w:r>
      <w:r w:rsidRPr="00F903D8">
        <w:rPr>
          <w:lang w:val="zh-CN"/>
        </w:rPr>
        <w:t>8</w:t>
      </w:r>
      <w:r w:rsidRPr="00F903D8">
        <w:rPr>
          <w:lang w:val="zh-CN"/>
        </w:rPr>
        <w:t>年公约及其议定书见联合国，</w:t>
      </w:r>
      <w:r>
        <w:rPr>
          <w:rFonts w:eastAsiaTheme="minorEastAsia" w:hint="eastAsia"/>
          <w:lang w:val="zh-CN"/>
        </w:rPr>
        <w:t>《</w:t>
      </w:r>
      <w:r w:rsidRPr="00F903D8">
        <w:rPr>
          <w:lang w:val="zh-CN"/>
        </w:rPr>
        <w:t>条约汇编</w:t>
      </w:r>
      <w:r>
        <w:rPr>
          <w:rFonts w:eastAsiaTheme="minorEastAsia" w:hint="eastAsia"/>
          <w:lang w:val="zh-CN"/>
        </w:rPr>
        <w:t>》</w:t>
      </w:r>
      <w:r w:rsidRPr="00F903D8">
        <w:rPr>
          <w:lang w:val="zh-CN"/>
        </w:rPr>
        <w:t>，第</w:t>
      </w:r>
      <w:r w:rsidRPr="00F903D8">
        <w:rPr>
          <w:lang w:val="zh-CN"/>
        </w:rPr>
        <w:t>1678</w:t>
      </w:r>
      <w:r w:rsidRPr="00F903D8">
        <w:rPr>
          <w:lang w:val="zh-CN"/>
        </w:rPr>
        <w:t>卷，第</w:t>
      </w:r>
      <w:r w:rsidRPr="00F903D8">
        <w:rPr>
          <w:lang w:val="zh-CN"/>
        </w:rPr>
        <w:t>29004</w:t>
      </w:r>
      <w:r w:rsidRPr="00F903D8">
        <w:rPr>
          <w:lang w:val="zh-CN"/>
        </w:rPr>
        <w:t>号，第</w:t>
      </w:r>
      <w:r w:rsidRPr="00F903D8">
        <w:rPr>
          <w:lang w:val="zh-CN"/>
        </w:rPr>
        <w:t>201</w:t>
      </w:r>
      <w:r w:rsidRPr="00F903D8">
        <w:rPr>
          <w:lang w:val="zh-CN"/>
        </w:rPr>
        <w:t>页</w:t>
      </w:r>
      <w:r>
        <w:rPr>
          <w:lang w:val="zh-CN"/>
        </w:rPr>
        <w:t>)</w:t>
      </w:r>
      <w:r w:rsidRPr="00F903D8">
        <w:rPr>
          <w:lang w:val="zh-CN"/>
        </w:rPr>
        <w:t>。</w:t>
      </w:r>
    </w:p>
  </w:footnote>
  <w:footnote w:id="1167">
    <w:p w:rsidR="00AB00DE" w:rsidRPr="00F903D8" w:rsidRDefault="00AB00DE" w:rsidP="00CD5A8C">
      <w:pPr>
        <w:pStyle w:val="a4"/>
        <w:rPr>
          <w:lang w:val="zh-CN"/>
        </w:rPr>
      </w:pPr>
      <w:r>
        <w:rPr>
          <w:rFonts w:hint="eastAsia"/>
          <w:sz w:val="21"/>
          <w:szCs w:val="21"/>
          <w:lang w:val="zh-CN"/>
        </w:rPr>
        <w:tab/>
      </w:r>
      <w:r w:rsidRPr="00193F6E">
        <w:rPr>
          <w:rStyle w:val="a5"/>
          <w:szCs w:val="21"/>
          <w:lang w:val="zh-CN"/>
        </w:rPr>
        <w:footnoteRef/>
      </w:r>
      <w:r>
        <w:rPr>
          <w:rFonts w:hint="eastAsia"/>
          <w:sz w:val="21"/>
          <w:szCs w:val="21"/>
          <w:lang w:val="zh-CN"/>
        </w:rPr>
        <w:tab/>
      </w:r>
      <w:r w:rsidRPr="00F903D8">
        <w:rPr>
          <w:lang w:val="zh-CN"/>
        </w:rPr>
        <w:t>例如，见欧洲委员会《反腐败刑法公约》</w:t>
      </w:r>
      <w:r>
        <w:rPr>
          <w:rFonts w:hint="eastAsia"/>
          <w:lang w:val="zh-CN"/>
        </w:rPr>
        <w:t>(</w:t>
      </w:r>
      <w:r w:rsidRPr="00F903D8">
        <w:rPr>
          <w:lang w:val="zh-CN"/>
        </w:rPr>
        <w:t>1999</w:t>
      </w:r>
      <w:r w:rsidRPr="00F903D8">
        <w:rPr>
          <w:lang w:val="zh-CN"/>
        </w:rPr>
        <w:t>年</w:t>
      </w:r>
      <w:r w:rsidRPr="00F903D8">
        <w:rPr>
          <w:lang w:val="zh-CN"/>
        </w:rPr>
        <w:t>1</w:t>
      </w:r>
      <w:r w:rsidRPr="00F903D8">
        <w:rPr>
          <w:lang w:val="zh-CN"/>
        </w:rPr>
        <w:t>月</w:t>
      </w:r>
      <w:r w:rsidRPr="00F903D8">
        <w:rPr>
          <w:lang w:val="zh-CN"/>
        </w:rPr>
        <w:t>27</w:t>
      </w:r>
      <w:r w:rsidRPr="00F903D8">
        <w:rPr>
          <w:lang w:val="zh-CN"/>
        </w:rPr>
        <w:t>日，斯特拉斯堡</w:t>
      </w:r>
      <w:r>
        <w:rPr>
          <w:lang w:val="zh-CN"/>
        </w:rPr>
        <w:t>)</w:t>
      </w:r>
      <w:r w:rsidRPr="00F903D8">
        <w:rPr>
          <w:lang w:val="zh-CN"/>
        </w:rPr>
        <w:t>，联合国，</w:t>
      </w:r>
      <w:r>
        <w:rPr>
          <w:rFonts w:eastAsiaTheme="minorEastAsia" w:hint="eastAsia"/>
          <w:lang w:val="zh-CN"/>
        </w:rPr>
        <w:t>《</w:t>
      </w:r>
      <w:r w:rsidRPr="00F903D8">
        <w:rPr>
          <w:lang w:val="zh-CN"/>
        </w:rPr>
        <w:t>条约汇编</w:t>
      </w:r>
      <w:r>
        <w:rPr>
          <w:rFonts w:eastAsiaTheme="minorEastAsia" w:hint="eastAsia"/>
          <w:lang w:val="zh-CN"/>
        </w:rPr>
        <w:t>》</w:t>
      </w:r>
      <w:r w:rsidRPr="00F903D8">
        <w:rPr>
          <w:lang w:val="zh-CN"/>
        </w:rPr>
        <w:t>，第</w:t>
      </w:r>
      <w:r w:rsidRPr="00F903D8">
        <w:rPr>
          <w:lang w:val="zh-CN"/>
        </w:rPr>
        <w:t>2216</w:t>
      </w:r>
      <w:r w:rsidRPr="00F903D8">
        <w:rPr>
          <w:lang w:val="zh-CN"/>
        </w:rPr>
        <w:t>卷，第</w:t>
      </w:r>
      <w:r w:rsidRPr="00F903D8">
        <w:rPr>
          <w:lang w:val="zh-CN"/>
        </w:rPr>
        <w:t>39391</w:t>
      </w:r>
      <w:r w:rsidRPr="00F903D8">
        <w:rPr>
          <w:lang w:val="zh-CN"/>
        </w:rPr>
        <w:t>号，第</w:t>
      </w:r>
      <w:r w:rsidRPr="00F903D8">
        <w:rPr>
          <w:lang w:val="zh-CN"/>
        </w:rPr>
        <w:t>225</w:t>
      </w:r>
      <w:r w:rsidRPr="00F903D8">
        <w:rPr>
          <w:lang w:val="zh-CN"/>
        </w:rPr>
        <w:t>页，第</w:t>
      </w:r>
      <w:r w:rsidRPr="00F903D8">
        <w:rPr>
          <w:lang w:val="zh-CN"/>
        </w:rPr>
        <w:t>18</w:t>
      </w:r>
      <w:r w:rsidRPr="00F903D8">
        <w:rPr>
          <w:lang w:val="zh-CN"/>
        </w:rPr>
        <w:t>条，以及</w:t>
      </w:r>
      <w:r>
        <w:rPr>
          <w:rFonts w:hint="eastAsia"/>
          <w:lang w:val="zh-CN"/>
        </w:rPr>
        <w:t>(</w:t>
      </w:r>
      <w:r w:rsidRPr="00F903D8">
        <w:rPr>
          <w:lang w:val="zh-CN"/>
        </w:rPr>
        <w:t>关于贿赂仲裁员和陪审员的</w:t>
      </w:r>
      <w:r>
        <w:rPr>
          <w:rFonts w:hint="eastAsia"/>
          <w:lang w:val="zh-CN"/>
        </w:rPr>
        <w:t>)</w:t>
      </w:r>
      <w:r w:rsidRPr="00F903D8">
        <w:rPr>
          <w:lang w:val="zh-CN"/>
        </w:rPr>
        <w:t>补充议定书</w:t>
      </w:r>
      <w:r>
        <w:rPr>
          <w:rFonts w:hint="eastAsia"/>
          <w:lang w:val="zh-CN"/>
        </w:rPr>
        <w:t>(</w:t>
      </w:r>
      <w:r w:rsidRPr="00F903D8">
        <w:rPr>
          <w:lang w:val="zh-CN"/>
        </w:rPr>
        <w:t>2003</w:t>
      </w:r>
      <w:r w:rsidRPr="00F903D8">
        <w:rPr>
          <w:lang w:val="zh-CN"/>
        </w:rPr>
        <w:t>年</w:t>
      </w:r>
      <w:r w:rsidRPr="00F903D8">
        <w:rPr>
          <w:lang w:val="zh-CN"/>
        </w:rPr>
        <w:t>5</w:t>
      </w:r>
      <w:r w:rsidRPr="00F903D8">
        <w:rPr>
          <w:lang w:val="zh-CN"/>
        </w:rPr>
        <w:t>月</w:t>
      </w:r>
      <w:r w:rsidRPr="00F903D8">
        <w:rPr>
          <w:lang w:val="zh-CN"/>
        </w:rPr>
        <w:t>15</w:t>
      </w:r>
      <w:r w:rsidRPr="00F903D8">
        <w:rPr>
          <w:lang w:val="zh-CN"/>
        </w:rPr>
        <w:t>日，斯特拉斯堡</w:t>
      </w:r>
      <w:r>
        <w:rPr>
          <w:rFonts w:hint="eastAsia"/>
          <w:lang w:val="zh-CN"/>
        </w:rPr>
        <w:t>)</w:t>
      </w:r>
      <w:r w:rsidRPr="00F903D8">
        <w:rPr>
          <w:lang w:val="zh-CN"/>
        </w:rPr>
        <w:t>，同上，第</w:t>
      </w:r>
      <w:r w:rsidRPr="00F903D8">
        <w:rPr>
          <w:lang w:val="zh-CN"/>
        </w:rPr>
        <w:t>2466</w:t>
      </w:r>
      <w:r w:rsidRPr="00F903D8">
        <w:rPr>
          <w:lang w:val="zh-CN"/>
        </w:rPr>
        <w:t>卷，第</w:t>
      </w:r>
      <w:r w:rsidRPr="00F903D8">
        <w:rPr>
          <w:lang w:val="zh-CN"/>
        </w:rPr>
        <w:t>39391</w:t>
      </w:r>
      <w:r w:rsidRPr="00F903D8">
        <w:rPr>
          <w:lang w:val="zh-CN"/>
        </w:rPr>
        <w:t>号，第</w:t>
      </w:r>
      <w:r w:rsidRPr="00F903D8">
        <w:rPr>
          <w:lang w:val="zh-CN"/>
        </w:rPr>
        <w:t>168</w:t>
      </w:r>
      <w:r w:rsidRPr="00F903D8">
        <w:rPr>
          <w:lang w:val="zh-CN"/>
        </w:rPr>
        <w:t>页；《欧洲制止恐怖主义公约》</w:t>
      </w:r>
      <w:r>
        <w:rPr>
          <w:rFonts w:hint="eastAsia"/>
          <w:lang w:val="zh-CN"/>
        </w:rPr>
        <w:t>(</w:t>
      </w:r>
      <w:r w:rsidRPr="00F903D8">
        <w:rPr>
          <w:lang w:val="zh-CN"/>
        </w:rPr>
        <w:t>1977</w:t>
      </w:r>
      <w:r w:rsidRPr="00F903D8">
        <w:rPr>
          <w:lang w:val="zh-CN"/>
        </w:rPr>
        <w:t>年</w:t>
      </w:r>
      <w:r w:rsidRPr="00F903D8">
        <w:rPr>
          <w:lang w:val="zh-CN"/>
        </w:rPr>
        <w:t>1</w:t>
      </w:r>
      <w:r w:rsidRPr="00F903D8">
        <w:rPr>
          <w:lang w:val="zh-CN"/>
        </w:rPr>
        <w:t>月</w:t>
      </w:r>
      <w:r w:rsidRPr="00F903D8">
        <w:rPr>
          <w:lang w:val="zh-CN"/>
        </w:rPr>
        <w:t>27</w:t>
      </w:r>
      <w:r w:rsidRPr="00F903D8">
        <w:rPr>
          <w:lang w:val="zh-CN"/>
        </w:rPr>
        <w:t>日，斯特拉斯堡</w:t>
      </w:r>
      <w:r>
        <w:rPr>
          <w:rFonts w:hint="eastAsia"/>
          <w:lang w:val="zh-CN"/>
        </w:rPr>
        <w:t>)</w:t>
      </w:r>
      <w:r w:rsidRPr="00F903D8">
        <w:rPr>
          <w:lang w:val="zh-CN"/>
        </w:rPr>
        <w:t>，同上，第</w:t>
      </w:r>
      <w:r w:rsidRPr="00F903D8">
        <w:rPr>
          <w:lang w:val="zh-CN"/>
        </w:rPr>
        <w:t>1137</w:t>
      </w:r>
      <w:r w:rsidRPr="00F903D8">
        <w:rPr>
          <w:lang w:val="zh-CN"/>
        </w:rPr>
        <w:t>卷，第</w:t>
      </w:r>
      <w:r w:rsidRPr="00F903D8">
        <w:rPr>
          <w:lang w:val="zh-CN"/>
        </w:rPr>
        <w:t>17828</w:t>
      </w:r>
      <w:r w:rsidRPr="00F903D8">
        <w:rPr>
          <w:lang w:val="zh-CN"/>
        </w:rPr>
        <w:t>号，第</w:t>
      </w:r>
      <w:r w:rsidRPr="00F903D8">
        <w:rPr>
          <w:lang w:val="zh-CN"/>
        </w:rPr>
        <w:t>93</w:t>
      </w:r>
      <w:r w:rsidRPr="00F903D8">
        <w:rPr>
          <w:lang w:val="zh-CN"/>
        </w:rPr>
        <w:t>页，第</w:t>
      </w:r>
      <w:r w:rsidRPr="00F903D8">
        <w:rPr>
          <w:lang w:val="zh-CN"/>
        </w:rPr>
        <w:t>10</w:t>
      </w:r>
      <w:r w:rsidRPr="00F903D8">
        <w:rPr>
          <w:lang w:val="zh-CN"/>
        </w:rPr>
        <w:t>条。</w:t>
      </w:r>
    </w:p>
  </w:footnote>
  <w:footnote w:id="1168">
    <w:p w:rsidR="00AB00DE" w:rsidRPr="00F903D8" w:rsidRDefault="00AB00DE" w:rsidP="00CD5A8C">
      <w:pPr>
        <w:pStyle w:val="a4"/>
        <w:rPr>
          <w:lang w:val="zh-CN"/>
        </w:rPr>
      </w:pPr>
      <w:r>
        <w:rPr>
          <w:rFonts w:hint="eastAsia"/>
          <w:szCs w:val="21"/>
          <w:lang w:val="zh-CN"/>
        </w:rPr>
        <w:tab/>
      </w:r>
      <w:r w:rsidRPr="00193F6E">
        <w:rPr>
          <w:rStyle w:val="a5"/>
          <w:szCs w:val="21"/>
          <w:lang w:val="zh-CN"/>
        </w:rPr>
        <w:footnoteRef/>
      </w:r>
      <w:r>
        <w:rPr>
          <w:rFonts w:hint="eastAsia"/>
          <w:szCs w:val="21"/>
          <w:lang w:val="zh-CN"/>
        </w:rPr>
        <w:tab/>
      </w:r>
      <w:r w:rsidRPr="00F903D8">
        <w:rPr>
          <w:lang w:val="zh-CN"/>
        </w:rPr>
        <w:t>例如，见《美洲国家反腐败公约》，第</w:t>
      </w:r>
      <w:r w:rsidRPr="00F903D8">
        <w:rPr>
          <w:lang w:val="zh-CN"/>
        </w:rPr>
        <w:t>8</w:t>
      </w:r>
      <w:r w:rsidRPr="00F903D8">
        <w:rPr>
          <w:lang w:val="zh-CN"/>
        </w:rPr>
        <w:t>条；《南部非洲发展共同体反腐败议定书》</w:t>
      </w:r>
      <w:r>
        <w:rPr>
          <w:rFonts w:hint="eastAsia"/>
          <w:lang w:val="zh-CN"/>
        </w:rPr>
        <w:t>(</w:t>
      </w:r>
      <w:r w:rsidRPr="00F903D8">
        <w:rPr>
          <w:lang w:val="zh-CN"/>
        </w:rPr>
        <w:t>2001</w:t>
      </w:r>
      <w:r w:rsidRPr="00F903D8">
        <w:rPr>
          <w:lang w:val="zh-CN"/>
        </w:rPr>
        <w:t>年</w:t>
      </w:r>
      <w:r w:rsidRPr="00F903D8">
        <w:rPr>
          <w:lang w:val="zh-CN"/>
        </w:rPr>
        <w:t>8</w:t>
      </w:r>
      <w:r w:rsidRPr="00F903D8">
        <w:rPr>
          <w:lang w:val="zh-CN"/>
        </w:rPr>
        <w:t>月</w:t>
      </w:r>
      <w:r w:rsidRPr="00F903D8">
        <w:rPr>
          <w:lang w:val="zh-CN"/>
        </w:rPr>
        <w:t>14</w:t>
      </w:r>
      <w:r w:rsidRPr="00F903D8">
        <w:rPr>
          <w:lang w:val="zh-CN"/>
        </w:rPr>
        <w:t>日</w:t>
      </w:r>
      <w:r>
        <w:rPr>
          <w:rFonts w:eastAsiaTheme="minorEastAsia" w:hint="eastAsia"/>
          <w:lang w:val="zh-CN"/>
        </w:rPr>
        <w:t>，</w:t>
      </w:r>
      <w:r>
        <w:rPr>
          <w:lang w:val="zh-CN"/>
        </w:rPr>
        <w:t>马拉维布兰太尔</w:t>
      </w:r>
      <w:r>
        <w:rPr>
          <w:rFonts w:hint="eastAsia"/>
          <w:lang w:val="zh-CN"/>
        </w:rPr>
        <w:t>)</w:t>
      </w:r>
      <w:r w:rsidRPr="00F903D8">
        <w:rPr>
          <w:lang w:val="zh-CN"/>
        </w:rPr>
        <w:t>，可查阅</w:t>
      </w:r>
      <w:hyperlink r:id="rId219" w:history="1">
        <w:r w:rsidRPr="007765C1">
          <w:rPr>
            <w:rStyle w:val="af"/>
            <w:lang w:val="zh-CN"/>
          </w:rPr>
          <w:t>www.sadc.int/files/7913/5292/8361/Protocol_Against_</w:t>
        </w:r>
        <w:r w:rsidRPr="007765C1">
          <w:rPr>
            <w:rStyle w:val="af"/>
            <w:rFonts w:hint="eastAsia"/>
            <w:lang w:val="zh-CN"/>
          </w:rPr>
          <w:t xml:space="preserve"> </w:t>
        </w:r>
        <w:r w:rsidRPr="007765C1">
          <w:rPr>
            <w:rStyle w:val="af"/>
            <w:lang w:val="zh-CN"/>
          </w:rPr>
          <w:t>Corruption2001.pdf</w:t>
        </w:r>
      </w:hyperlink>
      <w:r>
        <w:t xml:space="preserve"> </w:t>
      </w:r>
      <w:r w:rsidRPr="00F903D8">
        <w:rPr>
          <w:lang w:val="zh-CN"/>
        </w:rPr>
        <w:t>，第</w:t>
      </w:r>
      <w:r w:rsidRPr="00F903D8">
        <w:rPr>
          <w:lang w:val="zh-CN"/>
        </w:rPr>
        <w:t>4</w:t>
      </w:r>
      <w:r w:rsidRPr="00F903D8">
        <w:rPr>
          <w:lang w:val="zh-CN"/>
        </w:rPr>
        <w:t>条第</w:t>
      </w:r>
      <w:r w:rsidRPr="00F903D8">
        <w:rPr>
          <w:lang w:val="zh-CN"/>
        </w:rPr>
        <w:t>2</w:t>
      </w:r>
      <w:r w:rsidRPr="00F903D8">
        <w:rPr>
          <w:rFonts w:hint="eastAsia"/>
          <w:lang w:val="zh-CN"/>
        </w:rPr>
        <w:t>款</w:t>
      </w:r>
      <w:r w:rsidRPr="00F903D8">
        <w:rPr>
          <w:lang w:val="zh-CN"/>
        </w:rPr>
        <w:t>；《非洲联盟预防和打击腐败公约》，第</w:t>
      </w:r>
      <w:r w:rsidRPr="00F903D8">
        <w:rPr>
          <w:lang w:val="zh-CN"/>
        </w:rPr>
        <w:t>11</w:t>
      </w:r>
      <w:r w:rsidRPr="00F903D8">
        <w:rPr>
          <w:lang w:val="zh-CN"/>
        </w:rPr>
        <w:t>条第</w:t>
      </w:r>
      <w:r w:rsidRPr="00F903D8">
        <w:rPr>
          <w:lang w:val="zh-CN"/>
        </w:rPr>
        <w:t>1</w:t>
      </w:r>
      <w:r w:rsidRPr="00F903D8">
        <w:rPr>
          <w:rFonts w:hint="eastAsia"/>
          <w:lang w:val="zh-CN"/>
        </w:rPr>
        <w:t>款</w:t>
      </w:r>
      <w:r w:rsidRPr="00F903D8">
        <w:rPr>
          <w:lang w:val="zh-CN"/>
        </w:rPr>
        <w:t>。</w:t>
      </w:r>
    </w:p>
  </w:footnote>
  <w:footnote w:id="1169">
    <w:p w:rsidR="00AB00DE" w:rsidRPr="00677FA3" w:rsidRDefault="00AB00DE" w:rsidP="00CD5A8C">
      <w:pPr>
        <w:pStyle w:val="a4"/>
      </w:pPr>
      <w:r>
        <w:rPr>
          <w:rFonts w:hint="eastAsia"/>
          <w:sz w:val="21"/>
          <w:szCs w:val="21"/>
          <w:lang w:val="zh-CN"/>
        </w:rPr>
        <w:tab/>
      </w:r>
      <w:r w:rsidRPr="00193F6E">
        <w:rPr>
          <w:rStyle w:val="a5"/>
          <w:szCs w:val="21"/>
          <w:lang w:val="zh-CN"/>
        </w:rPr>
        <w:footnoteRef/>
      </w:r>
      <w:r>
        <w:rPr>
          <w:rFonts w:hint="eastAsia"/>
          <w:sz w:val="21"/>
          <w:szCs w:val="21"/>
          <w:lang w:val="zh-CN"/>
        </w:rPr>
        <w:tab/>
      </w:r>
      <w:r w:rsidRPr="00677FA3">
        <w:rPr>
          <w:lang w:val="zh-CN"/>
        </w:rPr>
        <w:t>欧洲委员会《反腐败刑法公约》</w:t>
      </w:r>
      <w:r w:rsidRPr="00677FA3">
        <w:rPr>
          <w:rFonts w:hint="eastAsia"/>
          <w:lang w:val="zh-CN"/>
        </w:rPr>
        <w:t>明文</w:t>
      </w:r>
      <w:r w:rsidRPr="00677FA3">
        <w:rPr>
          <w:lang w:val="zh-CN"/>
        </w:rPr>
        <w:t>作出排除</w:t>
      </w:r>
      <w:r>
        <w:rPr>
          <w:rFonts w:hint="eastAsia"/>
          <w:lang w:val="zh-CN"/>
        </w:rPr>
        <w:t>(</w:t>
      </w:r>
      <w:r w:rsidRPr="00677FA3">
        <w:rPr>
          <w:lang w:val="zh-CN"/>
        </w:rPr>
        <w:t>例如，见第</w:t>
      </w:r>
      <w:r w:rsidRPr="00677FA3">
        <w:rPr>
          <w:lang w:val="zh-CN"/>
        </w:rPr>
        <w:t>1</w:t>
      </w:r>
      <w:r w:rsidRPr="00677FA3">
        <w:rPr>
          <w:lang w:val="zh-CN"/>
        </w:rPr>
        <w:t>条</w:t>
      </w:r>
      <w:r>
        <w:rPr>
          <w:rFonts w:hint="eastAsia"/>
          <w:lang w:val="zh-CN"/>
        </w:rPr>
        <w:t>(</w:t>
      </w:r>
      <w:r w:rsidRPr="00677FA3">
        <w:rPr>
          <w:lang w:val="zh-CN"/>
        </w:rPr>
        <w:t>d</w:t>
      </w:r>
      <w:r>
        <w:rPr>
          <w:rFonts w:hint="eastAsia"/>
          <w:lang w:val="zh-CN"/>
        </w:rPr>
        <w:t>)</w:t>
      </w:r>
      <w:r w:rsidRPr="00677FA3">
        <w:rPr>
          <w:lang w:val="zh-CN"/>
        </w:rPr>
        <w:t>项，</w:t>
      </w:r>
      <w:r>
        <w:rPr>
          <w:rFonts w:hint="eastAsia"/>
          <w:lang w:val="zh-CN"/>
        </w:rPr>
        <w:t>“</w:t>
      </w:r>
      <w:r w:rsidRPr="00677FA3">
        <w:rPr>
          <w:lang w:val="zh-CN"/>
        </w:rPr>
        <w:t>为本公约的目的，</w:t>
      </w:r>
      <w:r>
        <w:rPr>
          <w:rFonts w:hint="eastAsia"/>
        </w:rPr>
        <w:t>……</w:t>
      </w:r>
      <w:r>
        <w:rPr>
          <w:rFonts w:hint="eastAsia"/>
          <w:lang w:val="zh-CN"/>
        </w:rPr>
        <w:t>“</w:t>
      </w:r>
      <w:r w:rsidRPr="00677FA3">
        <w:rPr>
          <w:lang w:val="zh-CN"/>
        </w:rPr>
        <w:t>法人</w:t>
      </w:r>
      <w:r>
        <w:rPr>
          <w:rFonts w:hint="eastAsia"/>
          <w:lang w:val="zh-CN"/>
        </w:rPr>
        <w:t>”</w:t>
      </w:r>
      <w:r w:rsidRPr="00677FA3">
        <w:rPr>
          <w:lang w:val="zh-CN"/>
        </w:rPr>
        <w:t>应指根据适用的国内法具有此种地位的任何实体，但不包括国家或行使国家权力的其他公共机构以及公共国际组织</w:t>
      </w:r>
      <w:r>
        <w:rPr>
          <w:rFonts w:hint="eastAsia"/>
          <w:lang w:val="zh-CN"/>
        </w:rPr>
        <w:t>”</w:t>
      </w:r>
      <w:r>
        <w:rPr>
          <w:rFonts w:hint="eastAsia"/>
          <w:lang w:val="zh-CN"/>
        </w:rPr>
        <w:t>)</w:t>
      </w:r>
      <w:r w:rsidRPr="00677FA3">
        <w:rPr>
          <w:lang w:val="zh-CN"/>
        </w:rPr>
        <w:t>。</w:t>
      </w:r>
    </w:p>
  </w:footnote>
  <w:footnote w:id="1170">
    <w:p w:rsidR="00AB00DE" w:rsidRPr="00677FA3" w:rsidRDefault="00AB00DE" w:rsidP="00334F8C">
      <w:pPr>
        <w:pStyle w:val="a4"/>
        <w:rPr>
          <w:lang w:val="zh-CN"/>
        </w:rPr>
      </w:pPr>
      <w:r>
        <w:rPr>
          <w:rFonts w:hint="eastAsia"/>
          <w:sz w:val="21"/>
          <w:szCs w:val="21"/>
          <w:lang w:val="zh-CN"/>
        </w:rPr>
        <w:tab/>
      </w:r>
      <w:r w:rsidRPr="00193F6E">
        <w:rPr>
          <w:rStyle w:val="a5"/>
          <w:szCs w:val="21"/>
          <w:lang w:val="zh-CN"/>
        </w:rPr>
        <w:footnoteRef/>
      </w:r>
      <w:r>
        <w:rPr>
          <w:rFonts w:hint="eastAsia"/>
          <w:sz w:val="21"/>
          <w:szCs w:val="21"/>
          <w:lang w:val="zh-CN"/>
        </w:rPr>
        <w:tab/>
      </w:r>
      <w:r w:rsidRPr="00677FA3">
        <w:rPr>
          <w:lang w:val="zh-CN"/>
        </w:rPr>
        <w:t>关于不同普通法和民法对法人责任管辖权差异的概述，见黎特别法庭藐视</w:t>
      </w:r>
      <w:r w:rsidRPr="00677FA3">
        <w:rPr>
          <w:rFonts w:hint="eastAsia"/>
          <w:lang w:val="zh-CN"/>
        </w:rPr>
        <w:t>法庭案</w:t>
      </w:r>
      <w:r w:rsidRPr="00677FA3">
        <w:rPr>
          <w:lang w:val="zh-CN"/>
        </w:rPr>
        <w:t>法官裁决</w:t>
      </w:r>
      <w:r>
        <w:rPr>
          <w:lang w:val="zh-CN"/>
        </w:rPr>
        <w:t>(</w:t>
      </w:r>
      <w:r w:rsidRPr="00677FA3">
        <w:rPr>
          <w:lang w:val="zh-CN"/>
        </w:rPr>
        <w:t>上文脚注</w:t>
      </w:r>
      <w:r>
        <w:rPr>
          <w:lang w:val="zh-CN"/>
        </w:rPr>
        <w:fldChar w:fldCharType="begin"/>
      </w:r>
      <w:r>
        <w:rPr>
          <w:lang w:val="zh-CN"/>
        </w:rPr>
        <w:instrText xml:space="preserve"> NOTEREF _Ref461977863 \h </w:instrText>
      </w:r>
      <w:r>
        <w:rPr>
          <w:lang w:val="zh-CN"/>
        </w:rPr>
      </w:r>
      <w:r>
        <w:rPr>
          <w:lang w:val="zh-CN"/>
        </w:rPr>
        <w:fldChar w:fldCharType="separate"/>
      </w:r>
      <w:r w:rsidR="00A73EB9">
        <w:rPr>
          <w:lang w:val="zh-CN"/>
        </w:rPr>
        <w:t>1152</w:t>
      </w:r>
      <w:r>
        <w:rPr>
          <w:lang w:val="zh-CN"/>
        </w:rPr>
        <w:fldChar w:fldCharType="end"/>
      </w:r>
      <w:r>
        <w:rPr>
          <w:lang w:val="zh-CN"/>
        </w:rPr>
        <w:t>)</w:t>
      </w:r>
      <w:r w:rsidRPr="00677FA3">
        <w:rPr>
          <w:lang w:val="zh-CN"/>
        </w:rPr>
        <w:t>，第</w:t>
      </w:r>
      <w:r w:rsidRPr="00677FA3">
        <w:rPr>
          <w:lang w:val="zh-CN"/>
        </w:rPr>
        <w:t>63-67</w:t>
      </w:r>
      <w:r w:rsidRPr="00677FA3">
        <w:rPr>
          <w:lang w:val="zh-CN"/>
        </w:rPr>
        <w:t>段。</w:t>
      </w:r>
    </w:p>
  </w:footnote>
  <w:footnote w:id="1171">
    <w:p w:rsidR="00AB00DE" w:rsidRPr="00677FA3" w:rsidRDefault="00AB00DE" w:rsidP="00CD5A8C">
      <w:pPr>
        <w:pStyle w:val="a4"/>
        <w:rPr>
          <w:lang w:val="zh-CN"/>
        </w:rPr>
      </w:pPr>
      <w:r>
        <w:rPr>
          <w:rFonts w:hint="eastAsia"/>
          <w:sz w:val="21"/>
          <w:szCs w:val="21"/>
          <w:lang w:val="zh-CN"/>
        </w:rPr>
        <w:tab/>
      </w:r>
      <w:r w:rsidRPr="00193F6E">
        <w:rPr>
          <w:rStyle w:val="a5"/>
          <w:szCs w:val="21"/>
          <w:lang w:val="zh-CN"/>
        </w:rPr>
        <w:footnoteRef/>
      </w:r>
      <w:r>
        <w:rPr>
          <w:rFonts w:hint="eastAsia"/>
          <w:sz w:val="21"/>
          <w:szCs w:val="21"/>
          <w:lang w:val="zh-CN"/>
        </w:rPr>
        <w:tab/>
      </w:r>
      <w:r w:rsidRPr="00677FA3">
        <w:rPr>
          <w:lang w:val="zh-CN"/>
        </w:rPr>
        <w:t>第</w:t>
      </w:r>
      <w:r w:rsidRPr="00677FA3">
        <w:rPr>
          <w:lang w:val="zh-CN"/>
        </w:rPr>
        <w:t>10</w:t>
      </w:r>
      <w:r w:rsidRPr="00677FA3">
        <w:rPr>
          <w:lang w:val="zh-CN"/>
        </w:rPr>
        <w:t>条第</w:t>
      </w:r>
      <w:r w:rsidRPr="00677FA3">
        <w:rPr>
          <w:lang w:val="zh-CN"/>
        </w:rPr>
        <w:t>2</w:t>
      </w:r>
      <w:r w:rsidRPr="00677FA3">
        <w:rPr>
          <w:lang w:val="zh-CN"/>
        </w:rPr>
        <w:t>款</w:t>
      </w:r>
      <w:r>
        <w:rPr>
          <w:lang w:val="zh-CN"/>
        </w:rPr>
        <w:t>(</w:t>
      </w:r>
      <w:r>
        <w:rPr>
          <w:rFonts w:hint="eastAsia"/>
          <w:lang w:val="zh-CN"/>
        </w:rPr>
        <w:t>“</w:t>
      </w:r>
      <w:r w:rsidRPr="00562194">
        <w:rPr>
          <w:rFonts w:hint="eastAsia"/>
          <w:lang w:val="zh-CN"/>
        </w:rPr>
        <w:t>在不违反缔约国法律原则的情况下，法人责任可包括刑事、民事或行政责任。</w:t>
      </w:r>
      <w:r>
        <w:rPr>
          <w:rFonts w:hint="eastAsia"/>
          <w:lang w:val="zh-CN"/>
        </w:rPr>
        <w:t>”</w:t>
      </w:r>
      <w:r>
        <w:rPr>
          <w:lang w:val="zh-CN"/>
        </w:rPr>
        <w:t>)</w:t>
      </w:r>
      <w:r w:rsidRPr="00677FA3">
        <w:rPr>
          <w:lang w:val="zh-CN"/>
        </w:rPr>
        <w:t>；另见《制止向恐怖主义提供资助的国际公约》第</w:t>
      </w:r>
      <w:r w:rsidRPr="00677FA3">
        <w:rPr>
          <w:lang w:val="zh-CN"/>
        </w:rPr>
        <w:t>5</w:t>
      </w:r>
      <w:r w:rsidRPr="00677FA3">
        <w:rPr>
          <w:lang w:val="zh-CN"/>
        </w:rPr>
        <w:t>条第</w:t>
      </w:r>
      <w:r w:rsidRPr="00677FA3">
        <w:rPr>
          <w:lang w:val="zh-CN"/>
        </w:rPr>
        <w:t>1</w:t>
      </w:r>
      <w:r w:rsidRPr="00677FA3">
        <w:rPr>
          <w:lang w:val="zh-CN"/>
        </w:rPr>
        <w:t>款</w:t>
      </w:r>
      <w:r>
        <w:rPr>
          <w:lang w:val="zh-CN"/>
        </w:rPr>
        <w:t>(</w:t>
      </w:r>
      <w:r>
        <w:rPr>
          <w:rFonts w:hint="eastAsia"/>
          <w:lang w:val="zh-CN"/>
        </w:rPr>
        <w:t>“</w:t>
      </w:r>
      <w:r w:rsidRPr="00677FA3">
        <w:rPr>
          <w:lang w:val="zh-CN"/>
        </w:rPr>
        <w:t>每一缔约国应根据其本国法律原则采取必要措施</w:t>
      </w:r>
      <w:r>
        <w:rPr>
          <w:rFonts w:hint="eastAsia"/>
          <w:lang w:val="zh-CN"/>
        </w:rPr>
        <w:t>，</w:t>
      </w:r>
      <w:r w:rsidRPr="00677FA3">
        <w:rPr>
          <w:lang w:val="zh-CN"/>
        </w:rPr>
        <w:t>以致当一个负责管理或控制设在其领土内或根据其法律设立的法律实体的人在以该身份犯下了本公约第</w:t>
      </w:r>
      <w:r w:rsidRPr="00677FA3">
        <w:rPr>
          <w:lang w:val="zh-CN"/>
        </w:rPr>
        <w:t>2</w:t>
      </w:r>
      <w:r w:rsidRPr="00677FA3">
        <w:rPr>
          <w:lang w:val="zh-CN"/>
        </w:rPr>
        <w:t>条所述罪行时</w:t>
      </w:r>
      <w:r>
        <w:rPr>
          <w:rFonts w:hint="eastAsia"/>
          <w:lang w:val="zh-CN"/>
        </w:rPr>
        <w:t>，</w:t>
      </w:r>
      <w:r w:rsidRPr="00677FA3">
        <w:rPr>
          <w:lang w:val="zh-CN"/>
        </w:rPr>
        <w:t>得以追究该法律实体的责任</w:t>
      </w:r>
      <w:r w:rsidRPr="00677FA3">
        <w:rPr>
          <w:rFonts w:hint="eastAsia"/>
          <w:lang w:val="zh-CN"/>
        </w:rPr>
        <w:t>。</w:t>
      </w:r>
      <w:r w:rsidRPr="00677FA3">
        <w:rPr>
          <w:lang w:val="zh-CN"/>
        </w:rPr>
        <w:t>这些责任可以是刑事</w:t>
      </w:r>
      <w:r w:rsidRPr="00677FA3">
        <w:rPr>
          <w:rFonts w:hint="eastAsia"/>
          <w:lang w:val="zh-CN"/>
        </w:rPr>
        <w:t>、</w:t>
      </w:r>
      <w:r w:rsidRPr="00677FA3">
        <w:rPr>
          <w:lang w:val="zh-CN"/>
        </w:rPr>
        <w:t>民事或行政责任</w:t>
      </w:r>
      <w:r w:rsidRPr="0047733C">
        <w:rPr>
          <w:rStyle w:val="SingleTxtGCChar"/>
          <w:rFonts w:hint="eastAsia"/>
        </w:rPr>
        <w:t>”</w:t>
      </w:r>
      <w:r>
        <w:rPr>
          <w:lang w:val="zh-CN"/>
        </w:rPr>
        <w:t>)</w:t>
      </w:r>
      <w:r w:rsidRPr="00677FA3">
        <w:rPr>
          <w:lang w:val="zh-CN"/>
        </w:rPr>
        <w:t>。</w:t>
      </w:r>
    </w:p>
  </w:footnote>
  <w:footnote w:id="1172">
    <w:p w:rsidR="00AB00DE" w:rsidRPr="00677FA3" w:rsidRDefault="00AB00DE" w:rsidP="00CD5A8C">
      <w:pPr>
        <w:pStyle w:val="a4"/>
        <w:rPr>
          <w:lang w:val="zh-CN"/>
        </w:rPr>
      </w:pPr>
      <w:r>
        <w:rPr>
          <w:rFonts w:hint="eastAsia"/>
          <w:sz w:val="21"/>
          <w:szCs w:val="21"/>
          <w:lang w:val="zh-CN"/>
        </w:rPr>
        <w:tab/>
      </w:r>
      <w:r w:rsidRPr="00193F6E">
        <w:rPr>
          <w:rStyle w:val="a5"/>
          <w:szCs w:val="21"/>
          <w:lang w:val="zh-CN"/>
        </w:rPr>
        <w:footnoteRef/>
      </w:r>
      <w:r>
        <w:rPr>
          <w:rFonts w:hint="eastAsia"/>
          <w:sz w:val="21"/>
          <w:szCs w:val="21"/>
          <w:lang w:val="zh-CN"/>
        </w:rPr>
        <w:tab/>
      </w:r>
      <w:r w:rsidRPr="00677FA3">
        <w:rPr>
          <w:lang w:val="zh-CN"/>
        </w:rPr>
        <w:t>第二十六条第二款</w:t>
      </w:r>
      <w:r>
        <w:rPr>
          <w:lang w:val="zh-CN"/>
        </w:rPr>
        <w:t>(</w:t>
      </w:r>
      <w:r>
        <w:rPr>
          <w:rFonts w:hint="eastAsia"/>
          <w:lang w:val="zh-CN"/>
        </w:rPr>
        <w:t>“</w:t>
      </w:r>
      <w:r w:rsidRPr="00677FA3">
        <w:rPr>
          <w:lang w:val="zh-CN"/>
        </w:rPr>
        <w:t>在不违反缔约国法律原则的情况下，法人责任可以包括刑事责任、民事责任或者行政责任</w:t>
      </w:r>
      <w:r>
        <w:rPr>
          <w:rFonts w:hint="eastAsia"/>
          <w:lang w:val="zh-CN"/>
        </w:rPr>
        <w:t>”</w:t>
      </w:r>
      <w:r>
        <w:rPr>
          <w:lang w:val="zh-CN"/>
        </w:rPr>
        <w:t>)</w:t>
      </w:r>
      <w:r w:rsidRPr="00677FA3">
        <w:rPr>
          <w:lang w:val="zh-CN"/>
        </w:rPr>
        <w:t>。</w:t>
      </w:r>
    </w:p>
  </w:footnote>
  <w:footnote w:id="1173">
    <w:p w:rsidR="00AB00DE" w:rsidRPr="00C60D57" w:rsidRDefault="00AB00DE" w:rsidP="00CD5A8C">
      <w:pPr>
        <w:pStyle w:val="a4"/>
      </w:pPr>
      <w:r w:rsidRPr="00C60D57">
        <w:tab/>
      </w:r>
      <w:r w:rsidRPr="00193F6E">
        <w:rPr>
          <w:rStyle w:val="a5"/>
          <w:szCs w:val="21"/>
        </w:rPr>
        <w:footnoteRef/>
      </w:r>
      <w:r w:rsidRPr="00193F6E">
        <w:rPr>
          <w:rStyle w:val="a5"/>
          <w:szCs w:val="21"/>
        </w:rPr>
        <w:tab/>
      </w:r>
      <w:hyperlink r:id="rId220" w:history="1">
        <w:r w:rsidRPr="00695705">
          <w:t>《</w:t>
        </w:r>
        <w:r w:rsidRPr="00695705">
          <w:t>1996</w:t>
        </w:r>
        <w:r w:rsidRPr="00695705">
          <w:t>年</w:t>
        </w:r>
        <w:r w:rsidRPr="002E28D0">
          <w:rPr>
            <w:rFonts w:cs="Arial Unicode MS" w:hint="eastAsia"/>
            <w:u w:color="000000"/>
            <w:bdr w:val="nil"/>
            <w:lang w:val="en-GB"/>
          </w:rPr>
          <w:t>……</w:t>
        </w:r>
        <w:r w:rsidRPr="00695705">
          <w:t>年鉴》</w:t>
        </w:r>
      </w:hyperlink>
      <w:r w:rsidRPr="00C60D57">
        <w:t>，第二卷</w:t>
      </w:r>
      <w:r>
        <w:t>(</w:t>
      </w:r>
      <w:r w:rsidRPr="00C60D57">
        <w:t>第二部分</w:t>
      </w:r>
      <w:r>
        <w:t>)</w:t>
      </w:r>
      <w:r w:rsidRPr="00C60D57">
        <w:t>，第二章，</w:t>
      </w:r>
      <w:r w:rsidRPr="00C60D57">
        <w:t>D</w:t>
      </w:r>
      <w:r w:rsidRPr="00C60D57">
        <w:t>节，第</w:t>
      </w:r>
      <w:r w:rsidRPr="00C60D57">
        <w:t>8</w:t>
      </w:r>
      <w:r w:rsidRPr="00C60D57">
        <w:t>条。</w:t>
      </w:r>
    </w:p>
  </w:footnote>
  <w:footnote w:id="1174">
    <w:p w:rsidR="00AB00DE" w:rsidRPr="00C60D57" w:rsidRDefault="00AB00DE" w:rsidP="00CD5A8C">
      <w:pPr>
        <w:pStyle w:val="a4"/>
      </w:pPr>
      <w:r w:rsidRPr="00C60D57">
        <w:tab/>
      </w:r>
      <w:r w:rsidRPr="00193F6E">
        <w:rPr>
          <w:rStyle w:val="a5"/>
          <w:szCs w:val="21"/>
        </w:rPr>
        <w:footnoteRef/>
      </w:r>
      <w:r w:rsidRPr="00193F6E">
        <w:rPr>
          <w:rStyle w:val="a5"/>
          <w:szCs w:val="21"/>
        </w:rPr>
        <w:tab/>
      </w:r>
      <w:r w:rsidRPr="00C60D57">
        <w:rPr>
          <w:iCs/>
        </w:rPr>
        <w:t>同上，第</w:t>
      </w:r>
      <w:r w:rsidRPr="00C60D57">
        <w:rPr>
          <w:iCs/>
        </w:rPr>
        <w:t>8</w:t>
      </w:r>
      <w:r w:rsidRPr="00C60D57">
        <w:rPr>
          <w:iCs/>
        </w:rPr>
        <w:t>条评注第</w:t>
      </w:r>
      <w:r>
        <w:rPr>
          <w:iCs/>
        </w:rPr>
        <w:t>(</w:t>
      </w:r>
      <w:r w:rsidRPr="00C60D57">
        <w:rPr>
          <w:iCs/>
        </w:rPr>
        <w:t>5</w:t>
      </w:r>
      <w:r>
        <w:rPr>
          <w:iCs/>
        </w:rPr>
        <w:t>)</w:t>
      </w:r>
      <w:r w:rsidRPr="00C60D57">
        <w:rPr>
          <w:iCs/>
        </w:rPr>
        <w:t>段。</w:t>
      </w:r>
    </w:p>
  </w:footnote>
  <w:footnote w:id="1175">
    <w:p w:rsidR="00AB00DE" w:rsidRPr="00C60D57" w:rsidRDefault="00AB00DE" w:rsidP="00CD5A8C">
      <w:pPr>
        <w:pStyle w:val="a4"/>
      </w:pPr>
      <w:r w:rsidRPr="00C60D57">
        <w:rPr>
          <w:iCs/>
        </w:rPr>
        <w:tab/>
      </w:r>
      <w:r w:rsidRPr="00193F6E">
        <w:rPr>
          <w:rStyle w:val="a5"/>
          <w:szCs w:val="21"/>
        </w:rPr>
        <w:footnoteRef/>
      </w:r>
      <w:r w:rsidRPr="00C60D57">
        <w:rPr>
          <w:iCs/>
        </w:rPr>
        <w:tab/>
      </w:r>
      <w:r w:rsidRPr="00C60D57">
        <w:rPr>
          <w:iCs/>
        </w:rPr>
        <w:t>人权委员会，起草一个关于保护所有人不遭受强迫失踪的具有法律拘束力的规范性文书委员会闭会期间不限成员名额工作组的报告</w:t>
      </w:r>
      <w:r>
        <w:t>(</w:t>
      </w:r>
      <w:hyperlink r:id="rId221" w:history="1">
        <w:r w:rsidRPr="00C60D57">
          <w:rPr>
            <w:rStyle w:val="af"/>
          </w:rPr>
          <w:t>E/CN.4/2003/71</w:t>
        </w:r>
      </w:hyperlink>
      <w:r>
        <w:t>)</w:t>
      </w:r>
      <w:r w:rsidRPr="00C60D57">
        <w:t>，第</w:t>
      </w:r>
      <w:r w:rsidRPr="00C60D57">
        <w:t>65</w:t>
      </w:r>
      <w:r w:rsidRPr="00C60D57">
        <w:t>段。</w:t>
      </w:r>
    </w:p>
  </w:footnote>
  <w:footnote w:id="1176">
    <w:p w:rsidR="00AB00DE" w:rsidRPr="00C60D57" w:rsidRDefault="00AB00DE" w:rsidP="00CD5A8C">
      <w:pPr>
        <w:pStyle w:val="a4"/>
      </w:pPr>
      <w:r w:rsidRPr="00C60D57">
        <w:tab/>
      </w:r>
      <w:r w:rsidRPr="00193F6E">
        <w:rPr>
          <w:rStyle w:val="a5"/>
          <w:szCs w:val="21"/>
        </w:rPr>
        <w:footnoteRef/>
      </w:r>
      <w:r w:rsidRPr="00C60D57">
        <w:tab/>
      </w:r>
      <w:r w:rsidRPr="00C60D57">
        <w:t>见</w:t>
      </w:r>
      <w:r w:rsidRPr="00632B2D">
        <w:rPr>
          <w:rFonts w:eastAsia="楷体" w:hint="eastAsia"/>
        </w:rPr>
        <w:t>与起诉或引渡义务有关的问题</w:t>
      </w:r>
      <w:r w:rsidRPr="001C7DED">
        <w:rPr>
          <w:rFonts w:ascii="宋体" w:eastAsia="楷体" w:hAnsi="宋体" w:cs="宋体" w:hint="eastAsia"/>
        </w:rPr>
        <w:t>案</w:t>
      </w:r>
      <w:r>
        <w:rPr>
          <w:rFonts w:eastAsia="楷体" w:hint="eastAsia"/>
        </w:rPr>
        <w:t>(</w:t>
      </w:r>
      <w:r w:rsidRPr="00632B2D">
        <w:rPr>
          <w:rFonts w:eastAsia="楷体" w:hint="eastAsia"/>
        </w:rPr>
        <w:t>比利时诉塞内加尔</w:t>
      </w:r>
      <w:r>
        <w:rPr>
          <w:rFonts w:eastAsia="楷体" w:hint="eastAsia"/>
        </w:rPr>
        <w:t>)</w:t>
      </w:r>
      <w:r>
        <w:rPr>
          <w:iCs/>
        </w:rPr>
        <w:t>，判决</w:t>
      </w:r>
      <w:r>
        <w:rPr>
          <w:rFonts w:eastAsiaTheme="minorEastAsia" w:hint="eastAsia"/>
          <w:iCs/>
        </w:rPr>
        <w:t>，</w:t>
      </w:r>
      <w:r w:rsidRPr="00C60D57">
        <w:rPr>
          <w:iCs/>
        </w:rPr>
        <w:t>《</w:t>
      </w:r>
      <w:r w:rsidRPr="00C60D57">
        <w:rPr>
          <w:iCs/>
        </w:rPr>
        <w:t>2012</w:t>
      </w:r>
      <w:r w:rsidRPr="00C60D57">
        <w:rPr>
          <w:iCs/>
        </w:rPr>
        <w:t>年国际法院案例汇编》，第</w:t>
      </w:r>
      <w:r w:rsidRPr="00C60D57">
        <w:t>422</w:t>
      </w:r>
      <w:r w:rsidRPr="00C60D57">
        <w:t>页</w:t>
      </w:r>
      <w:r>
        <w:rPr>
          <w:rFonts w:eastAsiaTheme="minorEastAsia" w:hint="eastAsia"/>
        </w:rPr>
        <w:t>起</w:t>
      </w:r>
      <w:r w:rsidRPr="00C60D57">
        <w:t>，见第</w:t>
      </w:r>
      <w:r w:rsidRPr="00C60D57">
        <w:t>451</w:t>
      </w:r>
      <w:r w:rsidRPr="00C60D57">
        <w:t>页，第</w:t>
      </w:r>
      <w:r w:rsidRPr="00C60D57">
        <w:t>75</w:t>
      </w:r>
      <w:r w:rsidRPr="00C60D57">
        <w:t>段。</w:t>
      </w:r>
    </w:p>
  </w:footnote>
  <w:footnote w:id="1177">
    <w:p w:rsidR="00AB00DE" w:rsidRPr="00C60D57" w:rsidRDefault="00AB00DE" w:rsidP="00CD5A8C">
      <w:pPr>
        <w:pStyle w:val="a4"/>
      </w:pPr>
      <w:r w:rsidRPr="00C60D57">
        <w:tab/>
      </w:r>
      <w:r w:rsidRPr="00193F6E">
        <w:rPr>
          <w:rStyle w:val="a5"/>
          <w:szCs w:val="21"/>
        </w:rPr>
        <w:footnoteRef/>
      </w:r>
      <w:r w:rsidRPr="00193F6E">
        <w:rPr>
          <w:rStyle w:val="a5"/>
          <w:szCs w:val="21"/>
        </w:rPr>
        <w:tab/>
      </w:r>
      <w:r w:rsidRPr="00C60D57">
        <w:t>例如，见</w:t>
      </w:r>
      <w:hyperlink r:id="rId222" w:history="1">
        <w:r w:rsidRPr="00695705">
          <w:t>《关于制止非法劫持航空器的公约》</w:t>
        </w:r>
      </w:hyperlink>
      <w:r w:rsidRPr="00C60D57">
        <w:t>，第</w:t>
      </w:r>
      <w:r w:rsidRPr="00C60D57">
        <w:t>4</w:t>
      </w:r>
      <w:r w:rsidRPr="00C60D57">
        <w:t>条；</w:t>
      </w:r>
      <w:hyperlink r:id="rId223" w:history="1">
        <w:r w:rsidRPr="00695705">
          <w:t>《制止危害民用航空安全非法行为公约》</w:t>
        </w:r>
      </w:hyperlink>
      <w:r>
        <w:t>(</w:t>
      </w:r>
      <w:r w:rsidRPr="00C60D57">
        <w:t>1971</w:t>
      </w:r>
      <w:r w:rsidRPr="00C60D57">
        <w:t>年</w:t>
      </w:r>
      <w:r w:rsidRPr="00C60D57">
        <w:t>9</w:t>
      </w:r>
      <w:r w:rsidRPr="00C60D57">
        <w:t>月</w:t>
      </w:r>
      <w:r w:rsidRPr="00C60D57">
        <w:t>23</w:t>
      </w:r>
      <w:r w:rsidRPr="00C60D57">
        <w:t>日，蒙特利尔</w:t>
      </w:r>
      <w:r>
        <w:t>)</w:t>
      </w:r>
      <w:r w:rsidRPr="00C60D57">
        <w:t>，联合国，《条约汇编》，第</w:t>
      </w:r>
      <w:r w:rsidRPr="00C60D57">
        <w:t>974</w:t>
      </w:r>
      <w:r w:rsidRPr="00C60D57">
        <w:t>卷，第</w:t>
      </w:r>
      <w:r w:rsidRPr="00C60D57">
        <w:t>14118</w:t>
      </w:r>
      <w:r w:rsidRPr="00C60D57">
        <w:t>号，第</w:t>
      </w:r>
      <w:r w:rsidRPr="00C60D57">
        <w:t>177</w:t>
      </w:r>
      <w:r w:rsidRPr="00C60D57">
        <w:t>页，第</w:t>
      </w:r>
      <w:r w:rsidRPr="00C60D57">
        <w:t>5</w:t>
      </w:r>
      <w:r w:rsidRPr="00C60D57">
        <w:t>条，第</w:t>
      </w:r>
      <w:r w:rsidRPr="00C60D57">
        <w:t>1</w:t>
      </w:r>
      <w:r w:rsidRPr="00C60D57">
        <w:t>款</w:t>
      </w:r>
      <w:r>
        <w:t>(</w:t>
      </w:r>
      <w:r w:rsidRPr="00C60D57">
        <w:t>a</w:t>
      </w:r>
      <w:r>
        <w:t>)</w:t>
      </w:r>
      <w:r w:rsidRPr="00C60D57">
        <w:t>-</w:t>
      </w:r>
      <w:r>
        <w:t>(</w:t>
      </w:r>
      <w:r w:rsidRPr="00C60D57">
        <w:t>b</w:t>
      </w:r>
      <w:r>
        <w:t>)</w:t>
      </w:r>
      <w:r w:rsidRPr="00C60D57">
        <w:t>项；</w:t>
      </w:r>
      <w:hyperlink r:id="rId224" w:history="1">
        <w:r w:rsidRPr="00695705">
          <w:t>《关于防止和惩处侵害应受国际保护人员包括外交代表的罪行的公约》</w:t>
        </w:r>
      </w:hyperlink>
      <w:r w:rsidRPr="00C60D57">
        <w:t>，第</w:t>
      </w:r>
      <w:r w:rsidRPr="00C60D57">
        <w:t>3</w:t>
      </w:r>
      <w:r w:rsidRPr="00C60D57">
        <w:t>条；</w:t>
      </w:r>
      <w:hyperlink r:id="rId225" w:history="1">
        <w:r w:rsidRPr="00695705">
          <w:t>《反对劫持人质国际公约》</w:t>
        </w:r>
      </w:hyperlink>
      <w:r w:rsidRPr="00C60D57">
        <w:t>，第</w:t>
      </w:r>
      <w:r w:rsidRPr="00C60D57">
        <w:t>5</w:t>
      </w:r>
      <w:r w:rsidRPr="00C60D57">
        <w:t>条；</w:t>
      </w:r>
      <w:hyperlink r:id="rId226" w:history="1">
        <w:r w:rsidRPr="00695705">
          <w:t>《美洲防止和惩处酷刑公约》</w:t>
        </w:r>
      </w:hyperlink>
      <w:r w:rsidRPr="00C60D57">
        <w:t>，第</w:t>
      </w:r>
      <w:r w:rsidRPr="00C60D57">
        <w:t>12</w:t>
      </w:r>
      <w:r w:rsidRPr="00C60D57">
        <w:t>条；《禁止酷刑公约》，第</w:t>
      </w:r>
      <w:r w:rsidRPr="00C60D57">
        <w:t>5</w:t>
      </w:r>
      <w:r w:rsidRPr="00C60D57">
        <w:t>条；</w:t>
      </w:r>
      <w:hyperlink r:id="rId227" w:history="1">
        <w:r w:rsidRPr="00695705">
          <w:t>《联合国人员和有关人员安全公约》</w:t>
        </w:r>
      </w:hyperlink>
      <w:r w:rsidRPr="00C60D57">
        <w:t>，第</w:t>
      </w:r>
      <w:r w:rsidRPr="00C60D57">
        <w:t>10</w:t>
      </w:r>
      <w:r w:rsidRPr="00C60D57">
        <w:t>条；</w:t>
      </w:r>
      <w:hyperlink r:id="rId228" w:history="1">
        <w:r w:rsidRPr="00695705">
          <w:t>《美洲被迫失踪人士公约》</w:t>
        </w:r>
      </w:hyperlink>
      <w:r w:rsidRPr="00C60D57">
        <w:t>，第四条；</w:t>
      </w:r>
      <w:hyperlink r:id="rId229" w:history="1">
        <w:r w:rsidRPr="00695705">
          <w:t>《制止恐怖主义爆炸国际公约》</w:t>
        </w:r>
      </w:hyperlink>
      <w:r w:rsidRPr="00C60D57">
        <w:t>，第</w:t>
      </w:r>
      <w:r w:rsidRPr="00C60D57">
        <w:t>6</w:t>
      </w:r>
      <w:r w:rsidRPr="00C60D57">
        <w:t>条；</w:t>
      </w:r>
      <w:hyperlink r:id="rId230" w:history="1">
        <w:r w:rsidRPr="00695705">
          <w:t>《制止向恐怖主义提供资助的国际公约》</w:t>
        </w:r>
      </w:hyperlink>
      <w:r w:rsidRPr="00C60D57">
        <w:t>，第</w:t>
      </w:r>
      <w:r w:rsidRPr="00C60D57">
        <w:t>7</w:t>
      </w:r>
      <w:r w:rsidRPr="00C60D57">
        <w:t>条；</w:t>
      </w:r>
      <w:hyperlink r:id="rId231" w:history="1">
        <w:r w:rsidRPr="00695705">
          <w:t>《</w:t>
        </w:r>
        <w:r w:rsidRPr="00C60D57">
          <w:t>非统组织</w:t>
        </w:r>
        <w:r w:rsidRPr="00695705">
          <w:t>防止和打击恐怖主义公约》</w:t>
        </w:r>
      </w:hyperlink>
      <w:r w:rsidRPr="00C60D57">
        <w:t>，第</w:t>
      </w:r>
      <w:r w:rsidRPr="00C60D57">
        <w:t>6</w:t>
      </w:r>
      <w:r w:rsidRPr="00C60D57">
        <w:t>条第</w:t>
      </w:r>
      <w:r w:rsidRPr="00C60D57">
        <w:t>1</w:t>
      </w:r>
      <w:r w:rsidRPr="00C60D57">
        <w:t>款；</w:t>
      </w:r>
      <w:hyperlink r:id="rId232" w:history="1">
        <w:r w:rsidRPr="00695705">
          <w:t>《联合国打击跨国有组织犯罪公约》</w:t>
        </w:r>
      </w:hyperlink>
      <w:r>
        <w:t>(</w:t>
      </w:r>
      <w:r w:rsidRPr="00C60D57">
        <w:t>2000</w:t>
      </w:r>
      <w:r w:rsidRPr="00C60D57">
        <w:t>年</w:t>
      </w:r>
      <w:r w:rsidRPr="00C60D57">
        <w:t>11</w:t>
      </w:r>
      <w:r w:rsidRPr="00C60D57">
        <w:t>月</w:t>
      </w:r>
      <w:r w:rsidRPr="00C60D57">
        <w:t>15</w:t>
      </w:r>
      <w:r w:rsidRPr="00C60D57">
        <w:t>日，纽约</w:t>
      </w:r>
      <w:r>
        <w:t>)</w:t>
      </w:r>
      <w:r w:rsidRPr="00C60D57">
        <w:t>，联合国，《条约汇编》，第</w:t>
      </w:r>
      <w:r w:rsidRPr="00C60D57">
        <w:t>2225</w:t>
      </w:r>
      <w:r w:rsidRPr="00C60D57">
        <w:t>卷，第</w:t>
      </w:r>
      <w:r w:rsidRPr="00C60D57">
        <w:t>39574</w:t>
      </w:r>
      <w:r w:rsidRPr="00C60D57">
        <w:t>号，第</w:t>
      </w:r>
      <w:r w:rsidRPr="00C60D57">
        <w:t>209</w:t>
      </w:r>
      <w:r w:rsidRPr="00C60D57">
        <w:t>页，第</w:t>
      </w:r>
      <w:r w:rsidRPr="00C60D57">
        <w:t>15</w:t>
      </w:r>
      <w:r w:rsidRPr="00C60D57">
        <w:t>条；</w:t>
      </w:r>
      <w:hyperlink r:id="rId233" w:history="1">
        <w:r w:rsidRPr="00695705">
          <w:t>《保护所有人免遭强迫失踪国际公约》</w:t>
        </w:r>
      </w:hyperlink>
      <w:r w:rsidRPr="00C60D57">
        <w:t>，第</w:t>
      </w:r>
      <w:r w:rsidRPr="00C60D57">
        <w:t>9</w:t>
      </w:r>
      <w:r w:rsidRPr="00C60D57">
        <w:t>条第</w:t>
      </w:r>
      <w:r w:rsidRPr="00C60D57">
        <w:t>1-2</w:t>
      </w:r>
      <w:r w:rsidRPr="00C60D57">
        <w:t>款；</w:t>
      </w:r>
      <w:hyperlink r:id="rId234" w:history="1">
        <w:r w:rsidRPr="00695705">
          <w:t>《东盟打击恐怖主义公约》</w:t>
        </w:r>
      </w:hyperlink>
      <w:r w:rsidRPr="00C60D57">
        <w:t>，第七条第</w:t>
      </w:r>
      <w:r>
        <w:t>(</w:t>
      </w:r>
      <w:r w:rsidRPr="00C60D57">
        <w:t>1</w:t>
      </w:r>
      <w:r>
        <w:t>)</w:t>
      </w:r>
      <w:r w:rsidRPr="00C60D57">
        <w:t>-</w:t>
      </w:r>
      <w:r>
        <w:t>(</w:t>
      </w:r>
      <w:r w:rsidRPr="00C60D57">
        <w:t>3</w:t>
      </w:r>
      <w:r>
        <w:t>)</w:t>
      </w:r>
      <w:r w:rsidRPr="00C60D57">
        <w:t>款。</w:t>
      </w:r>
    </w:p>
  </w:footnote>
  <w:footnote w:id="1178">
    <w:p w:rsidR="00AB00DE" w:rsidRPr="00BD3FE8" w:rsidRDefault="00AB00DE" w:rsidP="00CD5A8C">
      <w:pPr>
        <w:pStyle w:val="a4"/>
        <w:rPr>
          <w:rFonts w:eastAsiaTheme="minorEastAsia"/>
        </w:rPr>
      </w:pPr>
      <w:r w:rsidRPr="00C60D57">
        <w:tab/>
      </w:r>
      <w:r w:rsidRPr="00193F6E">
        <w:rPr>
          <w:rStyle w:val="a5"/>
          <w:szCs w:val="21"/>
        </w:rPr>
        <w:footnoteRef/>
      </w:r>
      <w:r w:rsidRPr="00C60D57">
        <w:tab/>
      </w:r>
      <w:r w:rsidRPr="001C7DED">
        <w:rPr>
          <w:rFonts w:asciiTheme="majorBidi" w:eastAsia="楷体" w:hAnsiTheme="majorBidi" w:cstheme="majorBidi"/>
          <w:iCs/>
        </w:rPr>
        <w:t>2000</w:t>
      </w:r>
      <w:r w:rsidRPr="001C7DED">
        <w:rPr>
          <w:rFonts w:asciiTheme="majorBidi" w:eastAsia="楷体" w:hAnsiTheme="majorBidi" w:cstheme="majorBidi"/>
          <w:iCs/>
        </w:rPr>
        <w:t>年</w:t>
      </w:r>
      <w:r w:rsidRPr="001C7DED">
        <w:rPr>
          <w:rFonts w:asciiTheme="majorBidi" w:eastAsia="楷体" w:hAnsiTheme="majorBidi" w:cstheme="majorBidi"/>
          <w:iCs/>
        </w:rPr>
        <w:t>4</w:t>
      </w:r>
      <w:r w:rsidRPr="001C7DED">
        <w:rPr>
          <w:rFonts w:asciiTheme="majorBidi" w:eastAsia="楷体" w:hAnsiTheme="majorBidi" w:cstheme="majorBidi"/>
          <w:iCs/>
        </w:rPr>
        <w:t>月</w:t>
      </w:r>
      <w:r w:rsidRPr="001C7DED">
        <w:rPr>
          <w:rFonts w:asciiTheme="majorBidi" w:eastAsia="楷体" w:hAnsiTheme="majorBidi" w:cstheme="majorBidi"/>
          <w:iCs/>
        </w:rPr>
        <w:t>11</w:t>
      </w:r>
      <w:r w:rsidRPr="001C7DED">
        <w:rPr>
          <w:rFonts w:asciiTheme="majorBidi" w:eastAsia="楷体" w:hAnsiTheme="majorBidi" w:cstheme="majorBidi"/>
          <w:iCs/>
        </w:rPr>
        <w:t>日逮捕令案</w:t>
      </w:r>
      <w:r>
        <w:rPr>
          <w:rFonts w:asciiTheme="majorBidi" w:hAnsiTheme="majorBidi" w:cstheme="majorBidi"/>
          <w:iCs/>
        </w:rPr>
        <w:t>(</w:t>
      </w:r>
      <w:r w:rsidRPr="00701495">
        <w:rPr>
          <w:rFonts w:asciiTheme="majorBidi" w:eastAsia="楷体" w:hAnsiTheme="majorBidi" w:cstheme="majorBidi"/>
          <w:iCs/>
        </w:rPr>
        <w:t>刚果民主共和国诉比利时</w:t>
      </w:r>
      <w:r>
        <w:rPr>
          <w:rFonts w:asciiTheme="majorBidi" w:hAnsiTheme="majorBidi" w:cstheme="majorBidi"/>
        </w:rPr>
        <w:t>)</w:t>
      </w:r>
      <w:r w:rsidRPr="00BD3FE8">
        <w:rPr>
          <w:rFonts w:asciiTheme="majorBidi" w:hAnsiTheme="majorBidi" w:cstheme="majorBidi"/>
        </w:rPr>
        <w:t>，</w:t>
      </w:r>
      <w:r w:rsidRPr="00BD3FE8">
        <w:rPr>
          <w:rFonts w:asciiTheme="majorBidi" w:eastAsiaTheme="minorEastAsia" w:hAnsiTheme="majorBidi" w:cstheme="majorBidi"/>
        </w:rPr>
        <w:t>判决，</w:t>
      </w:r>
      <w:r w:rsidRPr="00BD3FE8">
        <w:rPr>
          <w:rFonts w:asciiTheme="majorBidi" w:hAnsiTheme="majorBidi" w:cstheme="majorBidi"/>
        </w:rPr>
        <w:t>《</w:t>
      </w:r>
      <w:r w:rsidRPr="00BD3FE8">
        <w:rPr>
          <w:rFonts w:asciiTheme="majorBidi" w:hAnsiTheme="majorBidi" w:cstheme="majorBidi"/>
        </w:rPr>
        <w:t>2002</w:t>
      </w:r>
      <w:r w:rsidRPr="00BD3FE8">
        <w:rPr>
          <w:rFonts w:asciiTheme="majorBidi" w:hAnsiTheme="majorBidi" w:cstheme="majorBidi"/>
        </w:rPr>
        <w:t>年国际法院案例汇编》</w:t>
      </w:r>
      <w:r w:rsidRPr="00BD3FE8">
        <w:rPr>
          <w:rFonts w:asciiTheme="majorBidi" w:eastAsiaTheme="minorEastAsia" w:hAnsiTheme="majorBidi" w:cstheme="majorBidi"/>
        </w:rPr>
        <w:t>，</w:t>
      </w:r>
      <w:r w:rsidRPr="00BD3FE8">
        <w:rPr>
          <w:rFonts w:asciiTheme="majorBidi" w:hAnsiTheme="majorBidi" w:cstheme="majorBidi"/>
        </w:rPr>
        <w:t>第</w:t>
      </w:r>
      <w:r w:rsidRPr="00BD3FE8">
        <w:rPr>
          <w:rFonts w:asciiTheme="majorBidi" w:hAnsiTheme="majorBidi" w:cstheme="majorBidi"/>
        </w:rPr>
        <w:t>3</w:t>
      </w:r>
      <w:r w:rsidRPr="00BD3FE8">
        <w:rPr>
          <w:rFonts w:asciiTheme="majorBidi" w:hAnsiTheme="majorBidi" w:cstheme="majorBidi"/>
        </w:rPr>
        <w:t>页</w:t>
      </w:r>
      <w:r>
        <w:rPr>
          <w:rFonts w:asciiTheme="majorBidi" w:eastAsiaTheme="minorEastAsia" w:hAnsiTheme="majorBidi" w:cstheme="majorBidi" w:hint="eastAsia"/>
        </w:rPr>
        <w:t>，</w:t>
      </w:r>
      <w:hyperlink r:id="rId235" w:history="1">
        <w:r w:rsidRPr="00695705">
          <w:t>希金斯、科艾曼斯和比尔根塔尔法官的联合个别意见</w:t>
        </w:r>
      </w:hyperlink>
      <w:r>
        <w:rPr>
          <w:rFonts w:eastAsiaTheme="minorEastAsia" w:hint="eastAsia"/>
        </w:rPr>
        <w:t>，</w:t>
      </w:r>
      <w:r>
        <w:rPr>
          <w:rFonts w:asciiTheme="majorBidi" w:eastAsiaTheme="minorEastAsia" w:hAnsiTheme="majorBidi" w:cstheme="majorBidi" w:hint="eastAsia"/>
        </w:rPr>
        <w:t>第</w:t>
      </w:r>
      <w:r>
        <w:rPr>
          <w:rFonts w:asciiTheme="majorBidi" w:eastAsiaTheme="minorEastAsia" w:hAnsiTheme="majorBidi" w:cstheme="majorBidi" w:hint="eastAsia"/>
        </w:rPr>
        <w:t>51</w:t>
      </w:r>
      <w:r>
        <w:rPr>
          <w:rFonts w:asciiTheme="majorBidi" w:eastAsiaTheme="minorEastAsia" w:hAnsiTheme="majorBidi" w:cstheme="majorBidi" w:hint="eastAsia"/>
        </w:rPr>
        <w:t>段</w:t>
      </w:r>
      <w:r w:rsidRPr="00C60D57">
        <w:t>。</w:t>
      </w:r>
    </w:p>
  </w:footnote>
  <w:footnote w:id="1179">
    <w:p w:rsidR="00AB00DE" w:rsidRPr="00C60D57" w:rsidRDefault="00AB00DE" w:rsidP="00CD5A8C">
      <w:pPr>
        <w:pStyle w:val="a4"/>
      </w:pPr>
      <w:r w:rsidRPr="00C60D57">
        <w:tab/>
      </w:r>
      <w:r w:rsidRPr="00193F6E">
        <w:rPr>
          <w:rStyle w:val="a5"/>
          <w:szCs w:val="21"/>
        </w:rPr>
        <w:footnoteRef/>
      </w:r>
      <w:r w:rsidRPr="00193F6E">
        <w:rPr>
          <w:rStyle w:val="a5"/>
          <w:szCs w:val="21"/>
        </w:rPr>
        <w:tab/>
      </w:r>
      <w:r w:rsidRPr="00C60D57">
        <w:t>见《大会正式记录，第七十届会议，补编第</w:t>
      </w:r>
      <w:r w:rsidRPr="00C60D57">
        <w:t>10</w:t>
      </w:r>
      <w:r w:rsidRPr="00C60D57">
        <w:t>号</w:t>
      </w:r>
      <w:r w:rsidRPr="00C60D57">
        <w:rPr>
          <w:iCs/>
        </w:rPr>
        <w:t>》</w:t>
      </w:r>
      <w:r>
        <w:rPr>
          <w:iCs/>
        </w:rPr>
        <w:t>(</w:t>
      </w:r>
      <w:hyperlink r:id="rId236" w:history="1">
        <w:r w:rsidRPr="00C60D57">
          <w:rPr>
            <w:rStyle w:val="af"/>
          </w:rPr>
          <w:t>A/70/10</w:t>
        </w:r>
      </w:hyperlink>
      <w:r>
        <w:t>)</w:t>
      </w:r>
      <w:r w:rsidRPr="00C60D57">
        <w:rPr>
          <w:iCs/>
        </w:rPr>
        <w:t>，</w:t>
      </w:r>
      <w:r w:rsidRPr="00C60D57">
        <w:t>第七章，</w:t>
      </w:r>
      <w:r w:rsidRPr="00C60D57">
        <w:t>C</w:t>
      </w:r>
      <w:r w:rsidRPr="00C60D57">
        <w:t>节，第</w:t>
      </w:r>
      <w:r w:rsidRPr="00C60D57">
        <w:t>4</w:t>
      </w:r>
      <w:r w:rsidRPr="00C60D57">
        <w:t>条，第</w:t>
      </w:r>
      <w:r w:rsidRPr="00C60D57">
        <w:t>1</w:t>
      </w:r>
      <w:r w:rsidRPr="00C60D57">
        <w:t>款</w:t>
      </w:r>
      <w:r>
        <w:t>(</w:t>
      </w:r>
      <w:r w:rsidRPr="00C60D57">
        <w:t>a</w:t>
      </w:r>
      <w:r>
        <w:t>)</w:t>
      </w:r>
      <w:r w:rsidRPr="00C60D57">
        <w:t>项</w:t>
      </w:r>
      <w:r>
        <w:t>(</w:t>
      </w:r>
      <w:r w:rsidRPr="00C60D57">
        <w:t>提及</w:t>
      </w:r>
      <w:r>
        <w:rPr>
          <w:rFonts w:hint="eastAsia"/>
        </w:rPr>
        <w:t>“</w:t>
      </w:r>
      <w:r w:rsidRPr="00C60D57">
        <w:t>在其管辖或控制的任何领土内</w:t>
      </w:r>
      <w:r>
        <w:rPr>
          <w:rFonts w:hint="eastAsia"/>
        </w:rPr>
        <w:t>”</w:t>
      </w:r>
      <w:r>
        <w:t>)</w:t>
      </w:r>
      <w:r w:rsidRPr="00C60D57">
        <w:t>。</w:t>
      </w:r>
    </w:p>
  </w:footnote>
  <w:footnote w:id="1180">
    <w:p w:rsidR="00AB00DE" w:rsidRPr="00C60D57" w:rsidRDefault="00AB00DE" w:rsidP="00CD5A8C">
      <w:pPr>
        <w:pStyle w:val="a4"/>
      </w:pPr>
      <w:r w:rsidRPr="00C60D57">
        <w:tab/>
      </w:r>
      <w:r w:rsidRPr="00193F6E">
        <w:rPr>
          <w:rStyle w:val="a5"/>
          <w:szCs w:val="21"/>
        </w:rPr>
        <w:footnoteRef/>
      </w:r>
      <w:r w:rsidRPr="00C60D57">
        <w:tab/>
      </w:r>
      <w:r w:rsidRPr="00C60D57">
        <w:t>见拟订一项打击跨国有组织犯罪国际公约特设委员会，《联合国打击跨国有组织犯罪公约》修订草案</w:t>
      </w:r>
      <w:r>
        <w:t>(</w:t>
      </w:r>
      <w:r w:rsidRPr="00C60D57">
        <w:t>A/AC.254/4/Rev.4</w:t>
      </w:r>
      <w:r>
        <w:t>)</w:t>
      </w:r>
      <w:r w:rsidRPr="00C60D57">
        <w:t>，脚注</w:t>
      </w:r>
      <w:r w:rsidRPr="00C60D57">
        <w:t>10</w:t>
      </w:r>
      <w:r>
        <w:t>2</w:t>
      </w:r>
      <w:r>
        <w:rPr>
          <w:rFonts w:eastAsiaTheme="minorEastAsia" w:hint="eastAsia"/>
        </w:rPr>
        <w:t>，</w:t>
      </w:r>
      <w:r w:rsidRPr="00C60D57">
        <w:t>第</w:t>
      </w:r>
      <w:r>
        <w:rPr>
          <w:rFonts w:hint="eastAsia"/>
        </w:rPr>
        <w:t>20</w:t>
      </w:r>
      <w:r w:rsidRPr="00C60D57">
        <w:t>页；另见欧洲委员会，《反腐败刑法公约》解释性报告，《欧洲条约汇编》，第</w:t>
      </w:r>
      <w:r w:rsidRPr="00C60D57">
        <w:t>173</w:t>
      </w:r>
      <w:r w:rsidRPr="00C60D57">
        <w:t>号，第</w:t>
      </w:r>
      <w:r w:rsidRPr="00C60D57">
        <w:t>83</w:t>
      </w:r>
      <w:r w:rsidRPr="00C60D57">
        <w:t>段</w:t>
      </w:r>
      <w:r>
        <w:t>(</w:t>
      </w:r>
      <w:r>
        <w:rPr>
          <w:rFonts w:hint="eastAsia"/>
        </w:rPr>
        <w:t>“</w:t>
      </w:r>
      <w:r w:rsidRPr="00C60D57">
        <w:t>管辖权历来依据属地或国籍。然而，在反腐败领域，这些原则有时可能不足以用于行使管辖权，例如在发生于缔约方领土之外，不涉及其国民但仍然影响其利益</w:t>
      </w:r>
      <w:r>
        <w:t>(</w:t>
      </w:r>
      <w:r w:rsidRPr="00C60D57">
        <w:t>如国家安全</w:t>
      </w:r>
      <w:r>
        <w:t>)</w:t>
      </w:r>
      <w:r w:rsidRPr="00C60D57">
        <w:t>的案件中。本条第</w:t>
      </w:r>
      <w:r w:rsidRPr="00C60D57">
        <w:t>4</w:t>
      </w:r>
      <w:r w:rsidRPr="00C60D57">
        <w:t>款允许缔约方依照其国内法，确定其他类型的管辖权。</w:t>
      </w:r>
      <w:r>
        <w:rPr>
          <w:rFonts w:hint="eastAsia"/>
        </w:rPr>
        <w:t>”</w:t>
      </w:r>
      <w:r>
        <w:t>)</w:t>
      </w:r>
      <w:r w:rsidRPr="00C60D57">
        <w:t>。</w:t>
      </w:r>
    </w:p>
  </w:footnote>
  <w:footnote w:id="1181">
    <w:p w:rsidR="00AB00DE" w:rsidRPr="00C60D57" w:rsidRDefault="00AB00DE" w:rsidP="00334F8C">
      <w:pPr>
        <w:pStyle w:val="a4"/>
      </w:pPr>
      <w:r w:rsidRPr="00C60D57">
        <w:tab/>
      </w:r>
      <w:r w:rsidRPr="00193F6E">
        <w:rPr>
          <w:rStyle w:val="a5"/>
          <w:szCs w:val="21"/>
        </w:rPr>
        <w:footnoteRef/>
      </w:r>
      <w:r w:rsidRPr="00150F31">
        <w:rPr>
          <w:rStyle w:val="a5"/>
          <w:szCs w:val="21"/>
        </w:rPr>
        <w:tab/>
      </w:r>
      <w:hyperlink r:id="rId237" w:history="1">
        <w:r w:rsidRPr="005D3450">
          <w:rPr>
            <w:rFonts w:eastAsia="楷体"/>
          </w:rPr>
          <w:t>2000</w:t>
        </w:r>
        <w:r w:rsidRPr="005D3450">
          <w:rPr>
            <w:rFonts w:eastAsia="楷体"/>
          </w:rPr>
          <w:t>年</w:t>
        </w:r>
        <w:r w:rsidRPr="005D3450">
          <w:rPr>
            <w:rFonts w:eastAsia="楷体"/>
          </w:rPr>
          <w:t>4</w:t>
        </w:r>
        <w:r w:rsidRPr="005D3450">
          <w:rPr>
            <w:rFonts w:eastAsia="楷体"/>
          </w:rPr>
          <w:t>月</w:t>
        </w:r>
        <w:r w:rsidRPr="005D3450">
          <w:rPr>
            <w:rFonts w:eastAsia="楷体"/>
          </w:rPr>
          <w:t>11</w:t>
        </w:r>
        <w:r w:rsidRPr="005D3450">
          <w:rPr>
            <w:rFonts w:eastAsia="楷体"/>
          </w:rPr>
          <w:t>日逮捕令案</w:t>
        </w:r>
      </w:hyperlink>
      <w:r>
        <w:t>(</w:t>
      </w:r>
      <w:r>
        <w:rPr>
          <w:rFonts w:eastAsiaTheme="minorEastAsia" w:hint="eastAsia"/>
        </w:rPr>
        <w:t>见上文脚注</w:t>
      </w:r>
      <w:r>
        <w:rPr>
          <w:rFonts w:eastAsiaTheme="minorEastAsia"/>
        </w:rPr>
        <w:fldChar w:fldCharType="begin"/>
      </w:r>
      <w:r>
        <w:rPr>
          <w:rFonts w:eastAsiaTheme="minorEastAsia"/>
        </w:rPr>
        <w:instrText xml:space="preserve"> </w:instrText>
      </w:r>
      <w:r>
        <w:rPr>
          <w:rFonts w:eastAsiaTheme="minorEastAsia" w:hint="eastAsia"/>
        </w:rPr>
        <w:instrText>NOTEREF _Ref426554685 \h</w:instrText>
      </w:r>
      <w:r>
        <w:rPr>
          <w:rFonts w:eastAsiaTheme="minorEastAsia"/>
        </w:rPr>
        <w:instrText xml:space="preserve"> </w:instrText>
      </w:r>
      <w:r>
        <w:rPr>
          <w:rFonts w:eastAsiaTheme="minorEastAsia"/>
        </w:rPr>
      </w:r>
      <w:r>
        <w:rPr>
          <w:rFonts w:eastAsiaTheme="minorEastAsia"/>
        </w:rPr>
        <w:fldChar w:fldCharType="separate"/>
      </w:r>
      <w:r w:rsidR="00A73EB9">
        <w:rPr>
          <w:rFonts w:eastAsiaTheme="minorEastAsia"/>
        </w:rPr>
        <w:t>1177</w:t>
      </w:r>
      <w:r>
        <w:rPr>
          <w:rFonts w:eastAsiaTheme="minorEastAsia"/>
        </w:rPr>
        <w:fldChar w:fldCharType="end"/>
      </w:r>
      <w:r>
        <w:t>)</w:t>
      </w:r>
      <w:r w:rsidRPr="00C60D57">
        <w:t>，</w:t>
      </w:r>
      <w:hyperlink r:id="rId238" w:history="1">
        <w:r w:rsidRPr="00695705">
          <w:t>希金斯、科艾曼斯和比尔根塔尔法官的联合个别意见</w:t>
        </w:r>
      </w:hyperlink>
      <w:r>
        <w:rPr>
          <w:rFonts w:eastAsiaTheme="minorEastAsia" w:hint="eastAsia"/>
        </w:rPr>
        <w:t>，第</w:t>
      </w:r>
      <w:r>
        <w:rPr>
          <w:rFonts w:eastAsiaTheme="minorEastAsia" w:hint="eastAsia"/>
        </w:rPr>
        <w:t>51</w:t>
      </w:r>
      <w:r>
        <w:rPr>
          <w:rFonts w:eastAsiaTheme="minorEastAsia" w:hint="eastAsia"/>
        </w:rPr>
        <w:t>段</w:t>
      </w:r>
      <w:r w:rsidRPr="00C60D57">
        <w:t>。</w:t>
      </w:r>
    </w:p>
  </w:footnote>
  <w:footnote w:id="1182">
    <w:p w:rsidR="00AB00DE" w:rsidRPr="00C60D57" w:rsidRDefault="00AB00DE" w:rsidP="00CD5A8C">
      <w:pPr>
        <w:pStyle w:val="a4"/>
      </w:pPr>
      <w:r w:rsidRPr="00C60D57">
        <w:tab/>
      </w:r>
      <w:r w:rsidRPr="00193F6E">
        <w:rPr>
          <w:rStyle w:val="a5"/>
          <w:szCs w:val="21"/>
        </w:rPr>
        <w:footnoteRef/>
      </w:r>
      <w:r w:rsidRPr="00193F6E">
        <w:rPr>
          <w:rStyle w:val="a5"/>
          <w:szCs w:val="21"/>
        </w:rPr>
        <w:tab/>
      </w:r>
      <w:r w:rsidRPr="00C60D57">
        <w:t>同上，纪尧姆法官的个别意见</w:t>
      </w:r>
      <w:r>
        <w:rPr>
          <w:rFonts w:eastAsiaTheme="minorEastAsia" w:hint="eastAsia"/>
        </w:rPr>
        <w:t>，第</w:t>
      </w:r>
      <w:r>
        <w:rPr>
          <w:rFonts w:eastAsiaTheme="minorEastAsia" w:hint="eastAsia"/>
        </w:rPr>
        <w:t>9</w:t>
      </w:r>
      <w:r>
        <w:rPr>
          <w:rFonts w:eastAsiaTheme="minorEastAsia" w:hint="eastAsia"/>
        </w:rPr>
        <w:t>段</w:t>
      </w:r>
      <w:r>
        <w:t>(</w:t>
      </w:r>
      <w:r w:rsidRPr="00C60D57">
        <w:t>强调系本文所加</w:t>
      </w:r>
      <w:r>
        <w:t>)</w:t>
      </w:r>
      <w:r w:rsidRPr="00C60D57">
        <w:t>。</w:t>
      </w:r>
    </w:p>
  </w:footnote>
  <w:footnote w:id="1183">
    <w:p w:rsidR="00AB00DE" w:rsidRPr="00C60D57" w:rsidRDefault="00AB00DE" w:rsidP="00CD5A8C">
      <w:pPr>
        <w:pStyle w:val="a4"/>
      </w:pPr>
      <w:r w:rsidRPr="00C60D57">
        <w:tab/>
      </w:r>
      <w:r w:rsidRPr="00193F6E">
        <w:rPr>
          <w:rStyle w:val="a5"/>
          <w:szCs w:val="21"/>
        </w:rPr>
        <w:footnoteRef/>
      </w:r>
      <w:r w:rsidRPr="00C60D57">
        <w:tab/>
      </w:r>
      <w:r w:rsidRPr="00C60D57">
        <w:t>例如，见</w:t>
      </w:r>
      <w:hyperlink r:id="rId239" w:history="1">
        <w:r w:rsidRPr="000A0851">
          <w:t>《美洲防止和惩处酷刑公约》</w:t>
        </w:r>
      </w:hyperlink>
      <w:r w:rsidRPr="00C60D57">
        <w:t>，第</w:t>
      </w:r>
      <w:r w:rsidRPr="00C60D57">
        <w:t>8</w:t>
      </w:r>
      <w:r w:rsidRPr="00C60D57">
        <w:t>条；</w:t>
      </w:r>
      <w:hyperlink r:id="rId240" w:history="1">
        <w:r w:rsidRPr="000A0851">
          <w:t>《保护所有人免遭强迫失踪国际公约》</w:t>
        </w:r>
      </w:hyperlink>
      <w:r w:rsidRPr="00C60D57">
        <w:t>，第</w:t>
      </w:r>
      <w:r w:rsidRPr="00C60D57">
        <w:t>12</w:t>
      </w:r>
      <w:r w:rsidRPr="00C60D57">
        <w:t>条第</w:t>
      </w:r>
      <w:r w:rsidRPr="00C60D57">
        <w:t>2</w:t>
      </w:r>
      <w:r w:rsidRPr="00C60D57">
        <w:t>款；</w:t>
      </w:r>
      <w:hyperlink r:id="rId241" w:history="1">
        <w:r w:rsidRPr="000A0851">
          <w:t>《欧洲委员会防止和打击暴力侵害妇女行为和家庭暴力公约》</w:t>
        </w:r>
      </w:hyperlink>
      <w:r>
        <w:t>(</w:t>
      </w:r>
      <w:r w:rsidRPr="00C60D57">
        <w:t>2011</w:t>
      </w:r>
      <w:r w:rsidRPr="00C60D57">
        <w:t>年</w:t>
      </w:r>
      <w:r w:rsidRPr="00C60D57">
        <w:t>5</w:t>
      </w:r>
      <w:r w:rsidRPr="00C60D57">
        <w:t>月</w:t>
      </w:r>
      <w:r w:rsidRPr="00C60D57">
        <w:t>11</w:t>
      </w:r>
      <w:r w:rsidRPr="00C60D57">
        <w:t>日，伊斯坦布尔</w:t>
      </w:r>
      <w:r>
        <w:t>)</w:t>
      </w:r>
      <w:r w:rsidRPr="00C60D57">
        <w:t>，欧洲委员会，《欧洲条约汇编》，第</w:t>
      </w:r>
      <w:r w:rsidRPr="00C60D57">
        <w:t>210</w:t>
      </w:r>
      <w:r w:rsidRPr="00C60D57">
        <w:t>号，第</w:t>
      </w:r>
      <w:r w:rsidRPr="00C60D57">
        <w:t>55</w:t>
      </w:r>
      <w:r w:rsidRPr="00C60D57">
        <w:t>条第</w:t>
      </w:r>
      <w:r w:rsidRPr="00C60D57">
        <w:t>1</w:t>
      </w:r>
      <w:r w:rsidRPr="00C60D57">
        <w:t>款。</w:t>
      </w:r>
    </w:p>
  </w:footnote>
  <w:footnote w:id="1184">
    <w:p w:rsidR="00AB00DE" w:rsidRPr="00C60D57" w:rsidRDefault="00AB00DE" w:rsidP="00CD5A8C">
      <w:pPr>
        <w:pStyle w:val="a4"/>
      </w:pPr>
      <w:r w:rsidRPr="00C60D57">
        <w:tab/>
      </w:r>
      <w:r w:rsidRPr="00193F6E">
        <w:rPr>
          <w:rStyle w:val="a5"/>
          <w:szCs w:val="21"/>
        </w:rPr>
        <w:footnoteRef/>
      </w:r>
      <w:r w:rsidRPr="00193F6E">
        <w:rPr>
          <w:rStyle w:val="a5"/>
          <w:szCs w:val="21"/>
        </w:rPr>
        <w:tab/>
      </w:r>
      <w:r w:rsidRPr="00C60D57">
        <w:t>见</w:t>
      </w:r>
      <w:r w:rsidRPr="002C5386">
        <w:rPr>
          <w:rFonts w:eastAsia="楷体"/>
          <w:iCs/>
        </w:rPr>
        <w:t>Encarnacíon Blanco Abad</w:t>
      </w:r>
      <w:r w:rsidRPr="002C5386">
        <w:rPr>
          <w:rFonts w:eastAsia="楷体" w:hint="eastAsia"/>
          <w:iCs/>
        </w:rPr>
        <w:t xml:space="preserve"> </w:t>
      </w:r>
      <w:r w:rsidRPr="002C5386">
        <w:rPr>
          <w:rFonts w:eastAsia="楷体"/>
          <w:iCs/>
        </w:rPr>
        <w:t>诉西班牙</w:t>
      </w:r>
      <w:r w:rsidRPr="00C60D57">
        <w:rPr>
          <w:iCs/>
        </w:rPr>
        <w:t>，</w:t>
      </w:r>
      <w:r w:rsidRPr="00C60D57">
        <w:t>第</w:t>
      </w:r>
      <w:r w:rsidRPr="00C60D57">
        <w:t>59/1996</w:t>
      </w:r>
      <w:r w:rsidRPr="00C60D57">
        <w:t>号来文，</w:t>
      </w:r>
      <w:r w:rsidRPr="00C60D57">
        <w:t>1998</w:t>
      </w:r>
      <w:r w:rsidRPr="00C60D57">
        <w:t>年</w:t>
      </w:r>
      <w:r w:rsidRPr="00C60D57">
        <w:t>5</w:t>
      </w:r>
      <w:r w:rsidRPr="00C60D57">
        <w:t>月</w:t>
      </w:r>
      <w:r w:rsidRPr="00C60D57">
        <w:t>14</w:t>
      </w:r>
      <w:r w:rsidRPr="00C60D57">
        <w:t>日，第</w:t>
      </w:r>
      <w:r w:rsidRPr="00C60D57">
        <w:t>8.2</w:t>
      </w:r>
      <w:r w:rsidRPr="00C60D57">
        <w:t>段，载于禁止酷刑委员会的报告，《大会正式记录，第五十三届会议，补编第</w:t>
      </w:r>
      <w:r w:rsidRPr="00C60D57">
        <w:t>44</w:t>
      </w:r>
      <w:r w:rsidRPr="00C60D57">
        <w:t>号》</w:t>
      </w:r>
      <w:r>
        <w:t>(</w:t>
      </w:r>
      <w:hyperlink r:id="rId242" w:history="1">
        <w:r w:rsidRPr="00C60D57">
          <w:rPr>
            <w:rStyle w:val="af"/>
          </w:rPr>
          <w:t>A/53/44</w:t>
        </w:r>
      </w:hyperlink>
      <w:r>
        <w:t>)</w:t>
      </w:r>
      <w:r w:rsidRPr="00C60D57">
        <w:t>，附件十，</w:t>
      </w:r>
      <w:r w:rsidRPr="00C60D57">
        <w:t>A.3</w:t>
      </w:r>
      <w:r w:rsidRPr="00C60D57">
        <w:t>节；</w:t>
      </w:r>
      <w:r w:rsidRPr="002C5386">
        <w:rPr>
          <w:rFonts w:eastAsia="楷体"/>
          <w:iCs/>
        </w:rPr>
        <w:t xml:space="preserve">Danilo Dimitrijevic </w:t>
      </w:r>
      <w:r w:rsidRPr="002C5386">
        <w:rPr>
          <w:rFonts w:eastAsia="楷体"/>
          <w:iCs/>
        </w:rPr>
        <w:t>诉塞尔维亚和黑山</w:t>
      </w:r>
      <w:r w:rsidRPr="00C60D57">
        <w:t>，第</w:t>
      </w:r>
      <w:r w:rsidRPr="00C60D57">
        <w:t>172/2000</w:t>
      </w:r>
      <w:r w:rsidRPr="00C60D57">
        <w:t>号来文，</w:t>
      </w:r>
      <w:r w:rsidRPr="00C60D57">
        <w:t>2005</w:t>
      </w:r>
      <w:r w:rsidRPr="00C60D57">
        <w:t>年</w:t>
      </w:r>
      <w:r w:rsidRPr="00C60D57">
        <w:t>11</w:t>
      </w:r>
      <w:r w:rsidRPr="00C60D57">
        <w:t>月</w:t>
      </w:r>
      <w:r w:rsidRPr="00C60D57">
        <w:t>16</w:t>
      </w:r>
      <w:r w:rsidRPr="00C60D57">
        <w:t>日，第</w:t>
      </w:r>
      <w:r w:rsidRPr="00C60D57">
        <w:t>7.3</w:t>
      </w:r>
      <w:r w:rsidRPr="00C60D57">
        <w:t>段，同上，《第六十一届会议，补编第</w:t>
      </w:r>
      <w:r w:rsidRPr="00C60D57">
        <w:t>44</w:t>
      </w:r>
      <w:r w:rsidRPr="00C60D57">
        <w:t>号》</w:t>
      </w:r>
      <w:r>
        <w:t>(</w:t>
      </w:r>
      <w:hyperlink r:id="rId243" w:history="1">
        <w:r w:rsidRPr="00C60D57">
          <w:rPr>
            <w:rStyle w:val="af"/>
          </w:rPr>
          <w:t>A/61/44</w:t>
        </w:r>
      </w:hyperlink>
      <w:r>
        <w:t>)</w:t>
      </w:r>
      <w:r w:rsidRPr="00C60D57">
        <w:t>，附件八，</w:t>
      </w:r>
      <w:r w:rsidRPr="00C60D57">
        <w:t>A</w:t>
      </w:r>
      <w:r w:rsidRPr="00C60D57">
        <w:t>节。</w:t>
      </w:r>
    </w:p>
  </w:footnote>
  <w:footnote w:id="1185">
    <w:p w:rsidR="00AB00DE" w:rsidRPr="00C60D57" w:rsidRDefault="00AB00DE" w:rsidP="00CD5A8C">
      <w:pPr>
        <w:pStyle w:val="a4"/>
      </w:pPr>
      <w:r w:rsidRPr="00C60D57">
        <w:tab/>
      </w:r>
      <w:r w:rsidRPr="00193F6E">
        <w:rPr>
          <w:rStyle w:val="a5"/>
          <w:szCs w:val="21"/>
        </w:rPr>
        <w:footnoteRef/>
      </w:r>
      <w:r w:rsidRPr="00C60D57">
        <w:tab/>
      </w:r>
      <w:r w:rsidRPr="00C60D57">
        <w:t>见</w:t>
      </w:r>
      <w:r w:rsidRPr="002C5386">
        <w:rPr>
          <w:rFonts w:eastAsia="楷体"/>
          <w:iCs/>
        </w:rPr>
        <w:t>Dhaou Belgacem Thabti</w:t>
      </w:r>
      <w:r w:rsidRPr="002C5386">
        <w:rPr>
          <w:rFonts w:eastAsia="楷体" w:hint="eastAsia"/>
          <w:iCs/>
        </w:rPr>
        <w:t xml:space="preserve"> </w:t>
      </w:r>
      <w:r w:rsidRPr="002C5386">
        <w:rPr>
          <w:rFonts w:eastAsia="楷体"/>
          <w:iCs/>
        </w:rPr>
        <w:t>诉突尼斯</w:t>
      </w:r>
      <w:r w:rsidRPr="00C60D57">
        <w:rPr>
          <w:iCs/>
        </w:rPr>
        <w:t>，</w:t>
      </w:r>
      <w:r w:rsidRPr="00C60D57">
        <w:t>第</w:t>
      </w:r>
      <w:r w:rsidRPr="00C60D57">
        <w:t>187/2001</w:t>
      </w:r>
      <w:r w:rsidRPr="00C60D57">
        <w:t>号来文，</w:t>
      </w:r>
      <w:r w:rsidRPr="00C60D57">
        <w:t>2003</w:t>
      </w:r>
      <w:r w:rsidRPr="00C60D57">
        <w:t>年</w:t>
      </w:r>
      <w:r w:rsidRPr="00C60D57">
        <w:t>11</w:t>
      </w:r>
      <w:r w:rsidRPr="00C60D57">
        <w:t>月</w:t>
      </w:r>
      <w:r w:rsidRPr="00C60D57">
        <w:t>14</w:t>
      </w:r>
      <w:r w:rsidRPr="00C60D57">
        <w:t>日，第</w:t>
      </w:r>
      <w:r w:rsidRPr="00C60D57">
        <w:t>10.4</w:t>
      </w:r>
      <w:r w:rsidRPr="00C60D57">
        <w:t>段，同上，《第五十九届会议，补编第</w:t>
      </w:r>
      <w:r w:rsidRPr="00C60D57">
        <w:t>44</w:t>
      </w:r>
      <w:r w:rsidRPr="00C60D57">
        <w:t>号》</w:t>
      </w:r>
      <w:r>
        <w:t>(</w:t>
      </w:r>
      <w:hyperlink r:id="rId244" w:history="1">
        <w:r w:rsidRPr="00C60D57">
          <w:rPr>
            <w:rStyle w:val="af"/>
          </w:rPr>
          <w:t>A/59/44</w:t>
        </w:r>
      </w:hyperlink>
      <w:r>
        <w:t>)</w:t>
      </w:r>
      <w:r w:rsidRPr="00C60D57">
        <w:t>，附件七，</w:t>
      </w:r>
      <w:r w:rsidRPr="00C60D57">
        <w:t>A</w:t>
      </w:r>
      <w:r w:rsidRPr="00C60D57">
        <w:t>节。</w:t>
      </w:r>
    </w:p>
  </w:footnote>
  <w:footnote w:id="1186">
    <w:p w:rsidR="00AB00DE" w:rsidRPr="00C60D57" w:rsidRDefault="00AB00DE" w:rsidP="00CD5A8C">
      <w:pPr>
        <w:pStyle w:val="a4"/>
      </w:pPr>
      <w:r w:rsidRPr="00C60D57">
        <w:tab/>
      </w:r>
      <w:r w:rsidRPr="00193F6E">
        <w:rPr>
          <w:rStyle w:val="a5"/>
          <w:szCs w:val="21"/>
        </w:rPr>
        <w:footnoteRef/>
      </w:r>
      <w:r w:rsidRPr="00C60D57">
        <w:tab/>
      </w:r>
      <w:r w:rsidRPr="00C60D57">
        <w:t>例如，见</w:t>
      </w:r>
      <w:r w:rsidRPr="002C5386">
        <w:rPr>
          <w:rFonts w:eastAsia="楷体"/>
          <w:iCs/>
        </w:rPr>
        <w:t>Bairamov</w:t>
      </w:r>
      <w:r w:rsidRPr="002C5386">
        <w:rPr>
          <w:rFonts w:eastAsia="楷体" w:hint="eastAsia"/>
          <w:iCs/>
        </w:rPr>
        <w:t xml:space="preserve"> </w:t>
      </w:r>
      <w:r w:rsidRPr="002C5386">
        <w:rPr>
          <w:rFonts w:eastAsia="楷体"/>
          <w:iCs/>
        </w:rPr>
        <w:t>诉哈萨克斯坦</w:t>
      </w:r>
      <w:r w:rsidRPr="00C60D57">
        <w:rPr>
          <w:i/>
        </w:rPr>
        <w:t>，</w:t>
      </w:r>
      <w:r w:rsidRPr="00C60D57">
        <w:t>第</w:t>
      </w:r>
      <w:r w:rsidRPr="00C60D57">
        <w:t>497/2012</w:t>
      </w:r>
      <w:r w:rsidRPr="00C60D57">
        <w:t>号来文，</w:t>
      </w:r>
      <w:r w:rsidRPr="00C60D57">
        <w:t>2014</w:t>
      </w:r>
      <w:r w:rsidRPr="00C60D57">
        <w:t>年</w:t>
      </w:r>
      <w:r w:rsidRPr="00C60D57">
        <w:t>5</w:t>
      </w:r>
      <w:r w:rsidRPr="00C60D57">
        <w:t>月</w:t>
      </w:r>
      <w:r w:rsidRPr="00C60D57">
        <w:t>14</w:t>
      </w:r>
      <w:r w:rsidRPr="00C60D57">
        <w:t>日，第</w:t>
      </w:r>
      <w:r w:rsidRPr="00C60D57">
        <w:t>8.7-8.8</w:t>
      </w:r>
      <w:r w:rsidRPr="00C60D57">
        <w:t>段，同上，《第六十九届会议，补编第</w:t>
      </w:r>
      <w:r w:rsidRPr="00C60D57">
        <w:t>44</w:t>
      </w:r>
      <w:r w:rsidRPr="00C60D57">
        <w:t>号》</w:t>
      </w:r>
      <w:r>
        <w:t>(</w:t>
      </w:r>
      <w:hyperlink r:id="rId245" w:history="1">
        <w:r w:rsidRPr="00C60D57">
          <w:rPr>
            <w:rStyle w:val="af"/>
          </w:rPr>
          <w:t>A/69/44</w:t>
        </w:r>
      </w:hyperlink>
      <w:r>
        <w:t>)</w:t>
      </w:r>
      <w:r w:rsidRPr="00C60D57">
        <w:t>，附件十四。</w:t>
      </w:r>
    </w:p>
  </w:footnote>
  <w:footnote w:id="1187">
    <w:p w:rsidR="00AB00DE" w:rsidRPr="00C60D57" w:rsidRDefault="00AB00DE" w:rsidP="00CD5A8C">
      <w:pPr>
        <w:pStyle w:val="a4"/>
      </w:pPr>
      <w:r w:rsidRPr="00C60D57">
        <w:tab/>
      </w:r>
      <w:r w:rsidRPr="00193F6E">
        <w:rPr>
          <w:rStyle w:val="a5"/>
          <w:szCs w:val="21"/>
        </w:rPr>
        <w:footnoteRef/>
      </w:r>
      <w:r w:rsidRPr="00C60D57">
        <w:tab/>
        <w:t xml:space="preserve">Qani Halimi-Nedzibi </w:t>
      </w:r>
      <w:r w:rsidRPr="00C60D57">
        <w:t>诉奥地利，第</w:t>
      </w:r>
      <w:r w:rsidRPr="00C60D57">
        <w:t>8/1991</w:t>
      </w:r>
      <w:r w:rsidRPr="00C60D57">
        <w:t>号来文，</w:t>
      </w:r>
      <w:r w:rsidRPr="00C60D57">
        <w:t>1993</w:t>
      </w:r>
      <w:r w:rsidRPr="00C60D57">
        <w:t>年</w:t>
      </w:r>
      <w:r w:rsidRPr="00C60D57">
        <w:t>11</w:t>
      </w:r>
      <w:r w:rsidRPr="00C60D57">
        <w:t>月</w:t>
      </w:r>
      <w:r w:rsidRPr="00C60D57">
        <w:t>18</w:t>
      </w:r>
      <w:r w:rsidRPr="00C60D57">
        <w:t>日，第</w:t>
      </w:r>
      <w:r w:rsidRPr="00C60D57">
        <w:t>13.5</w:t>
      </w:r>
      <w:r w:rsidRPr="00C60D57">
        <w:t>段，同上，《第四十九届会议，补编第</w:t>
      </w:r>
      <w:r w:rsidRPr="00C60D57">
        <w:t>44</w:t>
      </w:r>
      <w:r w:rsidRPr="00C60D57">
        <w:t>号》</w:t>
      </w:r>
      <w:r>
        <w:t>(</w:t>
      </w:r>
      <w:hyperlink r:id="rId246" w:history="1">
        <w:r w:rsidRPr="00C60D57">
          <w:rPr>
            <w:rStyle w:val="af"/>
          </w:rPr>
          <w:t>A/49/44</w:t>
        </w:r>
      </w:hyperlink>
      <w:r>
        <w:t>)</w:t>
      </w:r>
      <w:r w:rsidRPr="00C60D57">
        <w:t>，附件五。</w:t>
      </w:r>
    </w:p>
  </w:footnote>
  <w:footnote w:id="1188">
    <w:p w:rsidR="00AB00DE" w:rsidRPr="00C60D57" w:rsidRDefault="00AB00DE" w:rsidP="00CD5A8C">
      <w:pPr>
        <w:pStyle w:val="a4"/>
      </w:pPr>
      <w:r w:rsidRPr="00C60D57">
        <w:tab/>
      </w:r>
      <w:r w:rsidRPr="00193F6E">
        <w:rPr>
          <w:rStyle w:val="a5"/>
          <w:szCs w:val="21"/>
        </w:rPr>
        <w:footnoteRef/>
      </w:r>
      <w:r w:rsidRPr="00193F6E">
        <w:rPr>
          <w:rStyle w:val="a5"/>
          <w:szCs w:val="21"/>
        </w:rPr>
        <w:tab/>
      </w:r>
      <w:r w:rsidRPr="002C5386">
        <w:rPr>
          <w:rFonts w:eastAsia="楷体"/>
          <w:iCs/>
        </w:rPr>
        <w:t xml:space="preserve">Encarnacíon Blanco Abad </w:t>
      </w:r>
      <w:r w:rsidRPr="002C5386">
        <w:rPr>
          <w:rFonts w:eastAsia="楷体"/>
          <w:iCs/>
        </w:rPr>
        <w:t>诉西班牙</w:t>
      </w:r>
      <w:r>
        <w:rPr>
          <w:iCs/>
        </w:rPr>
        <w:t>(</w:t>
      </w:r>
      <w:r w:rsidRPr="00C60D57">
        <w:rPr>
          <w:iCs/>
        </w:rPr>
        <w:t>见上文脚注</w:t>
      </w:r>
      <w:r w:rsidRPr="00C60D57">
        <w:fldChar w:fldCharType="begin"/>
      </w:r>
      <w:r w:rsidRPr="00C60D57">
        <w:instrText xml:space="preserve"> NOTEREF _Ref426707772 \h  \* MERGEFORMAT </w:instrText>
      </w:r>
      <w:r w:rsidRPr="00C60D57">
        <w:fldChar w:fldCharType="separate"/>
      </w:r>
      <w:r w:rsidR="00A73EB9">
        <w:t>1183</w:t>
      </w:r>
      <w:r w:rsidRPr="00C60D57">
        <w:fldChar w:fldCharType="end"/>
      </w:r>
      <w:r>
        <w:t>)</w:t>
      </w:r>
      <w:r w:rsidRPr="00C60D57">
        <w:t>，第</w:t>
      </w:r>
      <w:r w:rsidRPr="00C60D57">
        <w:t>8.2</w:t>
      </w:r>
      <w:r w:rsidRPr="00C60D57">
        <w:t>段。</w:t>
      </w:r>
    </w:p>
  </w:footnote>
  <w:footnote w:id="1189">
    <w:p w:rsidR="00AB00DE" w:rsidRPr="00C60D57" w:rsidRDefault="00AB00DE" w:rsidP="00CD5A8C">
      <w:pPr>
        <w:pStyle w:val="a4"/>
      </w:pPr>
      <w:r w:rsidRPr="00C60D57">
        <w:tab/>
      </w:r>
      <w:r w:rsidRPr="00193F6E">
        <w:rPr>
          <w:rStyle w:val="a5"/>
          <w:szCs w:val="21"/>
        </w:rPr>
        <w:footnoteRef/>
      </w:r>
      <w:r w:rsidRPr="00C60D57">
        <w:tab/>
      </w:r>
      <w:r w:rsidRPr="00C60D57">
        <w:t>禁止酷刑委员会的报告，《大会正式记录，第四十九届会议，补编第</w:t>
      </w:r>
      <w:r w:rsidRPr="00C60D57">
        <w:t>44</w:t>
      </w:r>
      <w:r w:rsidRPr="00C60D57">
        <w:t>号》</w:t>
      </w:r>
      <w:r>
        <w:t>(</w:t>
      </w:r>
      <w:hyperlink r:id="rId247" w:history="1">
        <w:r w:rsidRPr="00C60D57">
          <w:rPr>
            <w:rStyle w:val="af"/>
          </w:rPr>
          <w:t>A/49/44</w:t>
        </w:r>
      </w:hyperlink>
      <w:r>
        <w:t>)</w:t>
      </w:r>
      <w:r w:rsidRPr="00C60D57">
        <w:t>，第四章，审议缔约国根据《公约》第</w:t>
      </w:r>
      <w:r w:rsidRPr="00C60D57">
        <w:t>19</w:t>
      </w:r>
      <w:r w:rsidRPr="00C60D57">
        <w:t>条提出的报告，厄瓜多尔，第</w:t>
      </w:r>
      <w:r w:rsidRPr="00C60D57">
        <w:t>97-105</w:t>
      </w:r>
      <w:r w:rsidRPr="00C60D57">
        <w:t>至段，见第</w:t>
      </w:r>
      <w:r w:rsidRPr="00C60D57">
        <w:t>105</w:t>
      </w:r>
      <w:r w:rsidRPr="00C60D57">
        <w:t>段。</w:t>
      </w:r>
    </w:p>
  </w:footnote>
  <w:footnote w:id="1190">
    <w:p w:rsidR="00AB00DE" w:rsidRPr="00C60D57" w:rsidRDefault="00AB00DE" w:rsidP="00CD5A8C">
      <w:pPr>
        <w:pStyle w:val="a4"/>
      </w:pPr>
      <w:r w:rsidRPr="00C60D57">
        <w:tab/>
      </w:r>
      <w:r w:rsidRPr="00193F6E">
        <w:rPr>
          <w:rStyle w:val="a5"/>
          <w:szCs w:val="21"/>
        </w:rPr>
        <w:footnoteRef/>
      </w:r>
      <w:r w:rsidRPr="00C60D57">
        <w:tab/>
      </w:r>
      <w:r w:rsidRPr="00C60D57">
        <w:t>同上，《第五十六届会议，补编第</w:t>
      </w:r>
      <w:r w:rsidRPr="00C60D57">
        <w:t>44</w:t>
      </w:r>
      <w:r w:rsidRPr="00C60D57">
        <w:t>号》</w:t>
      </w:r>
      <w:r>
        <w:t>(</w:t>
      </w:r>
      <w:hyperlink r:id="rId248" w:history="1">
        <w:r w:rsidRPr="00C60D57">
          <w:rPr>
            <w:rStyle w:val="af"/>
          </w:rPr>
          <w:t>A/56/44</w:t>
        </w:r>
      </w:hyperlink>
      <w:r>
        <w:t>)</w:t>
      </w:r>
      <w:r w:rsidRPr="00C60D57">
        <w:t>，第四章，审议缔约国根据《公约》第</w:t>
      </w:r>
      <w:r w:rsidRPr="00C60D57">
        <w:t>19</w:t>
      </w:r>
      <w:r w:rsidRPr="00C60D57">
        <w:t>条提出的报告，危地马拉，第</w:t>
      </w:r>
      <w:r w:rsidRPr="00C60D57">
        <w:t>67-76</w:t>
      </w:r>
      <w:r w:rsidRPr="00C60D57">
        <w:t>段，见第</w:t>
      </w:r>
      <w:r w:rsidRPr="00C60D57">
        <w:t>76</w:t>
      </w:r>
      <w:r w:rsidRPr="00C60D57">
        <w:t>段</w:t>
      </w:r>
      <w:r>
        <w:t>(</w:t>
      </w:r>
      <w:r w:rsidRPr="00C60D57">
        <w:t>d</w:t>
      </w:r>
      <w:r>
        <w:t>)</w:t>
      </w:r>
      <w:r w:rsidRPr="00C60D57">
        <w:t>分段。</w:t>
      </w:r>
    </w:p>
  </w:footnote>
  <w:footnote w:id="1191">
    <w:p w:rsidR="00AB00DE" w:rsidRPr="00C60D57" w:rsidRDefault="00AB00DE" w:rsidP="00CD5A8C">
      <w:pPr>
        <w:pStyle w:val="a4"/>
      </w:pPr>
      <w:r w:rsidRPr="00C60D57">
        <w:tab/>
      </w:r>
      <w:r w:rsidRPr="00193F6E">
        <w:rPr>
          <w:rStyle w:val="a5"/>
          <w:szCs w:val="21"/>
        </w:rPr>
        <w:footnoteRef/>
      </w:r>
      <w:r w:rsidRPr="00C60D57">
        <w:tab/>
      </w:r>
      <w:r w:rsidRPr="002C5386">
        <w:rPr>
          <w:rFonts w:eastAsia="楷体"/>
        </w:rPr>
        <w:t xml:space="preserve">Khaled Ben M’Barek </w:t>
      </w:r>
      <w:r w:rsidRPr="002C5386">
        <w:rPr>
          <w:rFonts w:eastAsia="楷体"/>
        </w:rPr>
        <w:t>诉突尼斯</w:t>
      </w:r>
      <w:r w:rsidRPr="00C60D57">
        <w:t>，第</w:t>
      </w:r>
      <w:r w:rsidRPr="00C60D57">
        <w:t>60/1996</w:t>
      </w:r>
      <w:r w:rsidRPr="00C60D57">
        <w:t>号来文，</w:t>
      </w:r>
      <w:r w:rsidRPr="00C60D57">
        <w:t>1999</w:t>
      </w:r>
      <w:r w:rsidRPr="00C60D57">
        <w:t>年</w:t>
      </w:r>
      <w:r w:rsidRPr="00C60D57">
        <w:t>11</w:t>
      </w:r>
      <w:r w:rsidRPr="00C60D57">
        <w:t>月</w:t>
      </w:r>
      <w:r w:rsidRPr="00C60D57">
        <w:t>10</w:t>
      </w:r>
      <w:r w:rsidRPr="00C60D57">
        <w:t>日，第</w:t>
      </w:r>
      <w:r w:rsidRPr="00C60D57">
        <w:t>11.9-11.10</w:t>
      </w:r>
      <w:r w:rsidRPr="00C60D57">
        <w:t>段，同上，《第五十五届会议，补编第</w:t>
      </w:r>
      <w:r w:rsidRPr="00C60D57">
        <w:t>44</w:t>
      </w:r>
      <w:r w:rsidRPr="00C60D57">
        <w:t>号》</w:t>
      </w:r>
      <w:r>
        <w:t>(</w:t>
      </w:r>
      <w:hyperlink r:id="rId249" w:history="1">
        <w:r w:rsidRPr="00C60D57">
          <w:rPr>
            <w:rStyle w:val="af"/>
          </w:rPr>
          <w:t>A/55/44</w:t>
        </w:r>
      </w:hyperlink>
      <w:r>
        <w:t>)</w:t>
      </w:r>
      <w:r w:rsidRPr="00C60D57">
        <w:t>，附件八，</w:t>
      </w:r>
      <w:r w:rsidRPr="00C60D57">
        <w:t>A</w:t>
      </w:r>
      <w:r w:rsidRPr="00C60D57">
        <w:t>节。</w:t>
      </w:r>
    </w:p>
  </w:footnote>
  <w:footnote w:id="1192">
    <w:p w:rsidR="00AB00DE" w:rsidRPr="00C60D57" w:rsidRDefault="00AB00DE" w:rsidP="00CD5A8C">
      <w:pPr>
        <w:pStyle w:val="a4"/>
      </w:pPr>
      <w:r w:rsidRPr="00C60D57">
        <w:tab/>
      </w:r>
      <w:r w:rsidRPr="00193F6E">
        <w:rPr>
          <w:rStyle w:val="a5"/>
          <w:szCs w:val="21"/>
        </w:rPr>
        <w:footnoteRef/>
      </w:r>
      <w:r w:rsidRPr="00C60D57">
        <w:tab/>
      </w:r>
      <w:r w:rsidRPr="00C60D57">
        <w:t>见人权事务委员会第</w:t>
      </w:r>
      <w:r w:rsidRPr="00C60D57">
        <w:t>31</w:t>
      </w:r>
      <w:r w:rsidRPr="00C60D57">
        <w:t>号一般性评论，第</w:t>
      </w:r>
      <w:r w:rsidRPr="00C60D57">
        <w:t>15</w:t>
      </w:r>
      <w:r w:rsidRPr="00C60D57">
        <w:t>段</w:t>
      </w:r>
      <w:r>
        <w:t>(</w:t>
      </w:r>
      <w:r w:rsidRPr="00C60D57">
        <w:t>人权事务委员会的报告，《大会正式记录，第五十九届会议，补编第</w:t>
      </w:r>
      <w:r w:rsidRPr="00C60D57">
        <w:t>40</w:t>
      </w:r>
      <w:r w:rsidRPr="00C60D57">
        <w:t>号》</w:t>
      </w:r>
      <w:r>
        <w:t>(</w:t>
      </w:r>
      <w:hyperlink r:id="rId250" w:history="1">
        <w:r w:rsidRPr="00C60D57">
          <w:rPr>
            <w:rStyle w:val="af"/>
          </w:rPr>
          <w:t>A/59/40</w:t>
        </w:r>
      </w:hyperlink>
      <w:r>
        <w:t>)</w:t>
      </w:r>
      <w:r w:rsidRPr="00C60D57">
        <w:t>，第一卷，附件三</w:t>
      </w:r>
      <w:r>
        <w:t>)</w:t>
      </w:r>
      <w:r w:rsidRPr="00C60D57">
        <w:t>；另见</w:t>
      </w:r>
      <w:r w:rsidRPr="00C60D57">
        <w:rPr>
          <w:iCs/>
        </w:rPr>
        <w:t xml:space="preserve">Nazriev </w:t>
      </w:r>
      <w:r w:rsidRPr="002E4B11">
        <w:rPr>
          <w:rFonts w:ascii="Time New Roman" w:eastAsia="楷体" w:hAnsi="Time New Roman"/>
        </w:rPr>
        <w:t>诉塔吉克斯坦</w:t>
      </w:r>
      <w:r w:rsidRPr="00C60D57">
        <w:rPr>
          <w:iCs/>
        </w:rPr>
        <w:t>，</w:t>
      </w:r>
      <w:r w:rsidRPr="00C60D57">
        <w:t>第</w:t>
      </w:r>
      <w:r w:rsidRPr="00C60D57">
        <w:t>1044/2002</w:t>
      </w:r>
      <w:r w:rsidRPr="00C60D57">
        <w:t>号来文，</w:t>
      </w:r>
      <w:r w:rsidRPr="00C60D57">
        <w:t>2006</w:t>
      </w:r>
      <w:r w:rsidRPr="00C60D57">
        <w:t>年</w:t>
      </w:r>
      <w:r w:rsidRPr="00C60D57">
        <w:t>3</w:t>
      </w:r>
      <w:r w:rsidRPr="00C60D57">
        <w:t>月</w:t>
      </w:r>
      <w:r w:rsidRPr="00C60D57">
        <w:t>17</w:t>
      </w:r>
      <w:r w:rsidRPr="00C60D57">
        <w:t>日通过的意见，第</w:t>
      </w:r>
      <w:r w:rsidRPr="00C60D57">
        <w:t>8.2</w:t>
      </w:r>
      <w:r w:rsidRPr="00C60D57">
        <w:t>段</w:t>
      </w:r>
      <w:r>
        <w:t>(</w:t>
      </w:r>
      <w:r w:rsidRPr="00C60D57">
        <w:t>同上，《第六十一届会议，补编第</w:t>
      </w:r>
      <w:r w:rsidRPr="00C60D57">
        <w:t>40</w:t>
      </w:r>
      <w:r w:rsidRPr="00C60D57">
        <w:t>号》</w:t>
      </w:r>
      <w:r>
        <w:t>(</w:t>
      </w:r>
      <w:hyperlink r:id="rId251" w:history="1">
        <w:r w:rsidRPr="00C60D57">
          <w:rPr>
            <w:rStyle w:val="af"/>
          </w:rPr>
          <w:t>A/61/40</w:t>
        </w:r>
        <w:r>
          <w:rPr>
            <w:rStyle w:val="af"/>
          </w:rPr>
          <w:t>)</w:t>
        </w:r>
        <w:r w:rsidRPr="00C60D57">
          <w:rPr>
            <w:rStyle w:val="af"/>
          </w:rPr>
          <w:t>，</w:t>
        </w:r>
        <w:r w:rsidRPr="000A0851">
          <w:t>第二卷</w:t>
        </w:r>
      </w:hyperlink>
      <w:r w:rsidRPr="00C60D57">
        <w:t>，附件五，</w:t>
      </w:r>
      <w:r w:rsidRPr="00C60D57">
        <w:t>P</w:t>
      </w:r>
      <w:r w:rsidRPr="00C60D57">
        <w:t>节</w:t>
      </w:r>
      <w:r>
        <w:t>)</w:t>
      </w:r>
      <w:r w:rsidRPr="00C60D57">
        <w:t>；</w:t>
      </w:r>
      <w:r w:rsidRPr="00C60D57">
        <w:rPr>
          <w:iCs/>
        </w:rPr>
        <w:t xml:space="preserve">Kouidis </w:t>
      </w:r>
      <w:r w:rsidRPr="002E4B11">
        <w:rPr>
          <w:rFonts w:ascii="Time New Roman" w:eastAsia="楷体" w:hAnsi="Time New Roman"/>
        </w:rPr>
        <w:t>诉希腊</w:t>
      </w:r>
      <w:r w:rsidRPr="00C60D57">
        <w:rPr>
          <w:iCs/>
        </w:rPr>
        <w:t>，</w:t>
      </w:r>
      <w:r w:rsidRPr="00C60D57">
        <w:t>第</w:t>
      </w:r>
      <w:r w:rsidRPr="00C60D57">
        <w:t>1070/2002</w:t>
      </w:r>
      <w:r w:rsidRPr="00C60D57">
        <w:t>号来文，</w:t>
      </w:r>
      <w:r w:rsidRPr="00C60D57">
        <w:t>2006</w:t>
      </w:r>
      <w:r w:rsidRPr="00C60D57">
        <w:t>年</w:t>
      </w:r>
      <w:r w:rsidRPr="00C60D57">
        <w:t>3</w:t>
      </w:r>
      <w:r w:rsidRPr="00C60D57">
        <w:t>月</w:t>
      </w:r>
      <w:r w:rsidRPr="00C60D57">
        <w:t>28</w:t>
      </w:r>
      <w:r w:rsidRPr="00C60D57">
        <w:t>日通过的意见，第</w:t>
      </w:r>
      <w:r w:rsidRPr="00C60D57">
        <w:t>9</w:t>
      </w:r>
      <w:r w:rsidRPr="00C60D57">
        <w:t>段</w:t>
      </w:r>
      <w:r>
        <w:t>(</w:t>
      </w:r>
      <w:r w:rsidRPr="00C60D57">
        <w:t>同上，</w:t>
      </w:r>
      <w:r w:rsidRPr="00C60D57">
        <w:t>T</w:t>
      </w:r>
      <w:r w:rsidRPr="00C60D57">
        <w:t>节</w:t>
      </w:r>
      <w:r>
        <w:t>)</w:t>
      </w:r>
      <w:r w:rsidRPr="00C60D57">
        <w:t>；</w:t>
      </w:r>
      <w:r w:rsidRPr="00C60D57">
        <w:t xml:space="preserve">Agabekov </w:t>
      </w:r>
      <w:r w:rsidRPr="002E4B11">
        <w:rPr>
          <w:rFonts w:ascii="Time New Roman" w:eastAsia="楷体" w:hAnsi="Time New Roman"/>
        </w:rPr>
        <w:t>诉乌兹别克斯坦</w:t>
      </w:r>
      <w:r w:rsidRPr="00C60D57">
        <w:t>，第</w:t>
      </w:r>
      <w:r w:rsidRPr="00C60D57">
        <w:t>1071/2002</w:t>
      </w:r>
      <w:r w:rsidRPr="00C60D57">
        <w:t>号来文，</w:t>
      </w:r>
      <w:r w:rsidRPr="00C60D57">
        <w:t>2007</w:t>
      </w:r>
      <w:r w:rsidRPr="00C60D57">
        <w:t>年</w:t>
      </w:r>
      <w:r w:rsidRPr="00C60D57">
        <w:t>3</w:t>
      </w:r>
      <w:r w:rsidRPr="00C60D57">
        <w:t>月</w:t>
      </w:r>
      <w:r w:rsidRPr="00C60D57">
        <w:t>16</w:t>
      </w:r>
      <w:r w:rsidRPr="00C60D57">
        <w:t>日通过的意见，第</w:t>
      </w:r>
      <w:r w:rsidRPr="00C60D57">
        <w:t>7.2</w:t>
      </w:r>
      <w:r w:rsidRPr="00C60D57">
        <w:t>段</w:t>
      </w:r>
      <w:r>
        <w:t>(</w:t>
      </w:r>
      <w:r>
        <w:t>同上</w:t>
      </w:r>
      <w:r>
        <w:rPr>
          <w:rFonts w:hint="eastAsia"/>
        </w:rPr>
        <w:t>,</w:t>
      </w:r>
      <w:r w:rsidRPr="00C60D57">
        <w:t>《第六十二届会议，补编第</w:t>
      </w:r>
      <w:r w:rsidRPr="00C60D57">
        <w:t>40</w:t>
      </w:r>
      <w:r w:rsidRPr="00C60D57">
        <w:t>号》</w:t>
      </w:r>
      <w:r>
        <w:t>(</w:t>
      </w:r>
      <w:hyperlink r:id="rId252" w:history="1">
        <w:r w:rsidRPr="00C60D57">
          <w:rPr>
            <w:rStyle w:val="af"/>
          </w:rPr>
          <w:t>A/62/40</w:t>
        </w:r>
      </w:hyperlink>
      <w:r>
        <w:t>)</w:t>
      </w:r>
      <w:r w:rsidRPr="00C60D57">
        <w:t>，第二卷，附件七，</w:t>
      </w:r>
      <w:r w:rsidRPr="00C60D57">
        <w:t>I</w:t>
      </w:r>
      <w:r w:rsidRPr="00C60D57">
        <w:t>节</w:t>
      </w:r>
      <w:r>
        <w:t>)</w:t>
      </w:r>
      <w:r w:rsidRPr="00C60D57">
        <w:t>；</w:t>
      </w:r>
      <w:r w:rsidRPr="00C60D57">
        <w:rPr>
          <w:iCs/>
        </w:rPr>
        <w:t>Karimov</w:t>
      </w:r>
      <w:r>
        <w:rPr>
          <w:rFonts w:hint="eastAsia"/>
          <w:iCs/>
        </w:rPr>
        <w:t xml:space="preserve"> </w:t>
      </w:r>
      <w:r w:rsidRPr="002E4B11">
        <w:rPr>
          <w:rFonts w:ascii="Time New Roman" w:eastAsia="楷体" w:hAnsi="Time New Roman"/>
          <w:iCs/>
        </w:rPr>
        <w:t>诉塔吉克斯坦</w:t>
      </w:r>
      <w:r w:rsidRPr="00C60D57">
        <w:rPr>
          <w:iCs/>
        </w:rPr>
        <w:t>和</w:t>
      </w:r>
      <w:r w:rsidRPr="00C60D57">
        <w:rPr>
          <w:iCs/>
        </w:rPr>
        <w:t>Nursatov</w:t>
      </w:r>
      <w:r>
        <w:rPr>
          <w:rFonts w:hint="eastAsia"/>
          <w:iCs/>
        </w:rPr>
        <w:t xml:space="preserve"> </w:t>
      </w:r>
      <w:r w:rsidRPr="002E4B11">
        <w:rPr>
          <w:rFonts w:ascii="Time New Roman" w:eastAsia="楷体" w:hAnsi="Time New Roman"/>
          <w:iCs/>
        </w:rPr>
        <w:t>诉塔吉克斯坦</w:t>
      </w:r>
      <w:r w:rsidRPr="00C60D57">
        <w:rPr>
          <w:iCs/>
        </w:rPr>
        <w:t>，</w:t>
      </w:r>
      <w:r w:rsidRPr="00C60D57">
        <w:t>第</w:t>
      </w:r>
      <w:r w:rsidRPr="00C60D57">
        <w:t>1108/2002</w:t>
      </w:r>
      <w:r w:rsidRPr="00C60D57">
        <w:t>号和第</w:t>
      </w:r>
      <w:r w:rsidRPr="00C60D57">
        <w:t>1121/2002</w:t>
      </w:r>
      <w:r w:rsidRPr="00C60D57">
        <w:t>号来文，</w:t>
      </w:r>
      <w:r w:rsidRPr="00C60D57">
        <w:t>2007</w:t>
      </w:r>
      <w:r w:rsidRPr="00C60D57">
        <w:t>年</w:t>
      </w:r>
      <w:r w:rsidRPr="00C60D57">
        <w:t>3</w:t>
      </w:r>
      <w:r w:rsidRPr="00C60D57">
        <w:t>月</w:t>
      </w:r>
      <w:r w:rsidRPr="00C60D57">
        <w:t>26</w:t>
      </w:r>
      <w:r w:rsidRPr="00C60D57">
        <w:t>日通过的意见，第</w:t>
      </w:r>
      <w:r w:rsidRPr="00C60D57">
        <w:t>7.2</w:t>
      </w:r>
      <w:r w:rsidRPr="00C60D57">
        <w:t>段</w:t>
      </w:r>
      <w:r>
        <w:t>(</w:t>
      </w:r>
      <w:r w:rsidRPr="00C60D57">
        <w:t>同上，</w:t>
      </w:r>
      <w:r w:rsidRPr="00C60D57">
        <w:t>H</w:t>
      </w:r>
      <w:r w:rsidRPr="00C60D57">
        <w:t>节</w:t>
      </w:r>
      <w:r>
        <w:t>)</w:t>
      </w:r>
      <w:r w:rsidRPr="00C60D57">
        <w:t>。</w:t>
      </w:r>
    </w:p>
  </w:footnote>
  <w:footnote w:id="1193">
    <w:p w:rsidR="00AB00DE" w:rsidRPr="00C60D57" w:rsidRDefault="00AB00DE" w:rsidP="00AC70E2">
      <w:pPr>
        <w:pStyle w:val="a4"/>
      </w:pPr>
      <w:r w:rsidRPr="00C60D57">
        <w:tab/>
      </w:r>
      <w:r w:rsidRPr="00193F6E">
        <w:rPr>
          <w:rStyle w:val="a5"/>
          <w:szCs w:val="21"/>
        </w:rPr>
        <w:footnoteRef/>
      </w:r>
      <w:r w:rsidRPr="00C60D57">
        <w:tab/>
      </w:r>
      <w:r w:rsidRPr="00C60D57">
        <w:t>例如，见欧洲人权法院，</w:t>
      </w:r>
      <w:r w:rsidRPr="00C60D57">
        <w:rPr>
          <w:iCs/>
        </w:rPr>
        <w:t xml:space="preserve">Ergi </w:t>
      </w:r>
      <w:r w:rsidRPr="006F369C">
        <w:rPr>
          <w:rFonts w:ascii="Time New Roman" w:eastAsia="楷体" w:hAnsi="Time New Roman"/>
          <w:iCs/>
        </w:rPr>
        <w:t>诉土耳其</w:t>
      </w:r>
      <w:r w:rsidRPr="00C60D57">
        <w:t>，</w:t>
      </w:r>
      <w:r w:rsidRPr="00C60D57">
        <w:t>1998</w:t>
      </w:r>
      <w:r w:rsidRPr="00C60D57">
        <w:t>年</w:t>
      </w:r>
      <w:r w:rsidRPr="00C60D57">
        <w:t>7</w:t>
      </w:r>
      <w:r w:rsidRPr="00C60D57">
        <w:t>月</w:t>
      </w:r>
      <w:r w:rsidRPr="00C60D57">
        <w:t>28</w:t>
      </w:r>
      <w:r w:rsidRPr="00C60D57">
        <w:t>日，</w:t>
      </w:r>
      <w:r w:rsidRPr="00C60D57">
        <w:rPr>
          <w:iCs/>
        </w:rPr>
        <w:t>《判决和决定汇编》，</w:t>
      </w:r>
      <w:r w:rsidRPr="00C60D57">
        <w:rPr>
          <w:iCs/>
        </w:rPr>
        <w:t>1998</w:t>
      </w:r>
      <w:r w:rsidRPr="00C60D57">
        <w:rPr>
          <w:iCs/>
        </w:rPr>
        <w:t>年第四辑，</w:t>
      </w:r>
      <w:r w:rsidRPr="00C60D57">
        <w:t>第</w:t>
      </w:r>
      <w:r w:rsidRPr="00C60D57">
        <w:t>82</w:t>
      </w:r>
      <w:r w:rsidRPr="00C60D57">
        <w:t>段，第</w:t>
      </w:r>
      <w:r w:rsidRPr="00C60D57">
        <w:t>85-86</w:t>
      </w:r>
      <w:r w:rsidRPr="00C60D57">
        <w:t>段；</w:t>
      </w:r>
      <w:r w:rsidRPr="00C60D57">
        <w:rPr>
          <w:iCs/>
        </w:rPr>
        <w:t xml:space="preserve">Bati </w:t>
      </w:r>
      <w:r w:rsidRPr="006F369C">
        <w:rPr>
          <w:rFonts w:ascii="Time New Roman" w:eastAsia="楷体" w:hAnsi="Time New Roman"/>
          <w:iCs/>
        </w:rPr>
        <w:t>等诉土耳其</w:t>
      </w:r>
      <w:r w:rsidRPr="00C60D57">
        <w:rPr>
          <w:iCs/>
        </w:rPr>
        <w:t>，</w:t>
      </w:r>
      <w:r w:rsidRPr="00C60D57">
        <w:t>第</w:t>
      </w:r>
      <w:r w:rsidRPr="00C60D57">
        <w:t>33097/96</w:t>
      </w:r>
      <w:r w:rsidRPr="00C60D57">
        <w:t>和第</w:t>
      </w:r>
      <w:r w:rsidRPr="00C60D57">
        <w:t>57834/00</w:t>
      </w:r>
      <w:r w:rsidRPr="00C60D57">
        <w:t>号，《欧洲人权法院判决和决定汇编》，</w:t>
      </w:r>
      <w:r w:rsidRPr="00C60D57">
        <w:t>2004</w:t>
      </w:r>
      <w:r w:rsidRPr="00C60D57">
        <w:t>年第四辑，第</w:t>
      </w:r>
      <w:r w:rsidRPr="00C60D57">
        <w:t>133</w:t>
      </w:r>
      <w:r w:rsidRPr="00C60D57">
        <w:t>段；</w:t>
      </w:r>
      <w:r w:rsidRPr="00C60D57">
        <w:rPr>
          <w:iCs/>
        </w:rPr>
        <w:t>Paniagua Morales</w:t>
      </w:r>
      <w:r w:rsidRPr="002E4B11">
        <w:rPr>
          <w:rFonts w:ascii="Time New Roman" w:eastAsia="楷体" w:hAnsi="Time New Roman"/>
          <w:iCs/>
        </w:rPr>
        <w:t>等诉危地马拉</w:t>
      </w:r>
      <w:r w:rsidRPr="00C60D57">
        <w:t>，</w:t>
      </w:r>
      <w:r w:rsidRPr="00C60D57">
        <w:rPr>
          <w:iCs/>
        </w:rPr>
        <w:t>1998</w:t>
      </w:r>
      <w:r w:rsidRPr="00C60D57">
        <w:rPr>
          <w:iCs/>
        </w:rPr>
        <w:t>年</w:t>
      </w:r>
      <w:r w:rsidRPr="00C60D57">
        <w:rPr>
          <w:iCs/>
        </w:rPr>
        <w:t>3</w:t>
      </w:r>
      <w:r w:rsidRPr="00C60D57">
        <w:rPr>
          <w:iCs/>
        </w:rPr>
        <w:t>月</w:t>
      </w:r>
      <w:r w:rsidRPr="00C60D57">
        <w:rPr>
          <w:iCs/>
        </w:rPr>
        <w:t>8</w:t>
      </w:r>
      <w:r>
        <w:rPr>
          <w:rFonts w:hint="eastAsia"/>
          <w:iCs/>
        </w:rPr>
        <w:t>日</w:t>
      </w:r>
      <w:r w:rsidRPr="00C60D57">
        <w:rPr>
          <w:iCs/>
        </w:rPr>
        <w:t>的判决，美洲人权法院，</w:t>
      </w:r>
      <w:r w:rsidRPr="00C60D57">
        <w:t>C</w:t>
      </w:r>
      <w:r w:rsidRPr="00C60D57">
        <w:t>辑，第</w:t>
      </w:r>
      <w:r w:rsidRPr="00C60D57">
        <w:t>37</w:t>
      </w:r>
      <w:r w:rsidRPr="00C60D57">
        <w:t>号；</w:t>
      </w:r>
      <w:r>
        <w:rPr>
          <w:rFonts w:hint="eastAsia"/>
        </w:rPr>
        <w:t>“</w:t>
      </w:r>
      <w:r w:rsidRPr="00C60D57">
        <w:t>法外处决和强迫失踪</w:t>
      </w:r>
      <w:r>
        <w:rPr>
          <w:rFonts w:hint="eastAsia"/>
        </w:rPr>
        <w:t>－</w:t>
      </w:r>
      <w:r w:rsidRPr="00C60D57">
        <w:t>秘鲁</w:t>
      </w:r>
      <w:r>
        <w:rPr>
          <w:rFonts w:hint="eastAsia"/>
          <w:iCs/>
        </w:rPr>
        <w:t>”</w:t>
      </w:r>
      <w:r w:rsidRPr="00C60D57">
        <w:rPr>
          <w:iCs/>
        </w:rPr>
        <w:t>，第</w:t>
      </w:r>
      <w:r w:rsidRPr="00C60D57">
        <w:rPr>
          <w:iCs/>
        </w:rPr>
        <w:t>101/01</w:t>
      </w:r>
      <w:r w:rsidRPr="00C60D57">
        <w:rPr>
          <w:iCs/>
        </w:rPr>
        <w:t>号报告</w:t>
      </w:r>
      <w:r w:rsidRPr="00C60D57">
        <w:t>，</w:t>
      </w:r>
      <w:r w:rsidRPr="00C60D57">
        <w:t>2001</w:t>
      </w:r>
      <w:r w:rsidRPr="00C60D57">
        <w:t>年</w:t>
      </w:r>
      <w:r w:rsidRPr="00C60D57">
        <w:t>10</w:t>
      </w:r>
      <w:r w:rsidRPr="00C60D57">
        <w:t>月</w:t>
      </w:r>
      <w:r w:rsidRPr="00C60D57">
        <w:t>11</w:t>
      </w:r>
      <w:r w:rsidRPr="00C60D57">
        <w:t>日，美洲人权委员会，</w:t>
      </w:r>
      <w:r w:rsidRPr="00C60D57">
        <w:t>OEA/Ser./L/V/II.114 doc.5 re</w:t>
      </w:r>
      <w:r>
        <w:t xml:space="preserve">v, </w:t>
      </w:r>
      <w:r w:rsidRPr="00C60D57">
        <w:t>第</w:t>
      </w:r>
      <w:r w:rsidRPr="00C60D57">
        <w:t>563</w:t>
      </w:r>
      <w:r w:rsidRPr="00C60D57">
        <w:t>页。</w:t>
      </w:r>
    </w:p>
  </w:footnote>
  <w:footnote w:id="1194">
    <w:p w:rsidR="00AB00DE" w:rsidRPr="00C60D57" w:rsidRDefault="00AB00DE" w:rsidP="00CD5A8C">
      <w:pPr>
        <w:pStyle w:val="a4"/>
      </w:pPr>
      <w:r w:rsidRPr="00C60D57">
        <w:tab/>
      </w:r>
      <w:r w:rsidRPr="00193F6E">
        <w:rPr>
          <w:rStyle w:val="a5"/>
          <w:szCs w:val="21"/>
        </w:rPr>
        <w:footnoteRef/>
      </w:r>
      <w:r w:rsidRPr="00C60D57">
        <w:tab/>
      </w:r>
      <w:r w:rsidRPr="000A0851">
        <w:rPr>
          <w:spacing w:val="-2"/>
        </w:rPr>
        <w:t>大会</w:t>
      </w:r>
      <w:r w:rsidRPr="000A0851">
        <w:rPr>
          <w:spacing w:val="-2"/>
        </w:rPr>
        <w:t>1969</w:t>
      </w:r>
      <w:r w:rsidRPr="000A0851">
        <w:rPr>
          <w:spacing w:val="-2"/>
        </w:rPr>
        <w:t>年</w:t>
      </w:r>
      <w:r w:rsidRPr="000A0851">
        <w:rPr>
          <w:spacing w:val="-2"/>
        </w:rPr>
        <w:t>12</w:t>
      </w:r>
      <w:r w:rsidRPr="000A0851">
        <w:rPr>
          <w:spacing w:val="-2"/>
        </w:rPr>
        <w:t>月</w:t>
      </w:r>
      <w:r w:rsidRPr="000A0851">
        <w:rPr>
          <w:spacing w:val="-2"/>
        </w:rPr>
        <w:t>15</w:t>
      </w:r>
      <w:r w:rsidRPr="000A0851">
        <w:rPr>
          <w:spacing w:val="-2"/>
        </w:rPr>
        <w:t>日关于战争罪犯及危害人类罪犯之惩治问题的第</w:t>
      </w:r>
      <w:r w:rsidRPr="000A0851">
        <w:rPr>
          <w:spacing w:val="-2"/>
        </w:rPr>
        <w:t>2583</w:t>
      </w:r>
      <w:r>
        <w:rPr>
          <w:spacing w:val="-2"/>
        </w:rPr>
        <w:t>(</w:t>
      </w:r>
      <w:r w:rsidRPr="000A0851">
        <w:rPr>
          <w:spacing w:val="-2"/>
        </w:rPr>
        <w:t>XXIV</w:t>
      </w:r>
      <w:r>
        <w:rPr>
          <w:spacing w:val="-2"/>
        </w:rPr>
        <w:t>)</w:t>
      </w:r>
      <w:r w:rsidRPr="000A0851">
        <w:rPr>
          <w:spacing w:val="-2"/>
        </w:rPr>
        <w:t>号决议，第</w:t>
      </w:r>
      <w:r w:rsidRPr="000A0851">
        <w:rPr>
          <w:spacing w:val="-2"/>
        </w:rPr>
        <w:t>1</w:t>
      </w:r>
      <w:r w:rsidRPr="000A0851">
        <w:rPr>
          <w:spacing w:val="-2"/>
        </w:rPr>
        <w:t>段</w:t>
      </w:r>
      <w:r w:rsidRPr="00C60D57">
        <w:t>。</w:t>
      </w:r>
    </w:p>
  </w:footnote>
  <w:footnote w:id="1195">
    <w:p w:rsidR="00AB00DE" w:rsidRPr="00C60D57" w:rsidRDefault="00AB00DE" w:rsidP="00CD5A8C">
      <w:pPr>
        <w:pStyle w:val="a4"/>
      </w:pPr>
      <w:r w:rsidRPr="00C60D57">
        <w:tab/>
      </w:r>
      <w:r w:rsidRPr="00193F6E">
        <w:rPr>
          <w:rStyle w:val="a5"/>
          <w:szCs w:val="21"/>
        </w:rPr>
        <w:footnoteRef/>
      </w:r>
      <w:r w:rsidRPr="00C60D57">
        <w:tab/>
      </w:r>
      <w:r w:rsidRPr="000A0851">
        <w:rPr>
          <w:spacing w:val="-2"/>
        </w:rPr>
        <w:t>大会</w:t>
      </w:r>
      <w:r w:rsidRPr="000A0851">
        <w:rPr>
          <w:spacing w:val="-2"/>
        </w:rPr>
        <w:t>1971</w:t>
      </w:r>
      <w:r w:rsidRPr="000A0851">
        <w:rPr>
          <w:spacing w:val="-2"/>
        </w:rPr>
        <w:t>年</w:t>
      </w:r>
      <w:r w:rsidRPr="000A0851">
        <w:rPr>
          <w:spacing w:val="-2"/>
        </w:rPr>
        <w:t>12</w:t>
      </w:r>
      <w:r w:rsidRPr="000A0851">
        <w:rPr>
          <w:spacing w:val="-2"/>
        </w:rPr>
        <w:t>月</w:t>
      </w:r>
      <w:r w:rsidRPr="000A0851">
        <w:rPr>
          <w:spacing w:val="-2"/>
        </w:rPr>
        <w:t>18</w:t>
      </w:r>
      <w:r w:rsidRPr="000A0851">
        <w:rPr>
          <w:spacing w:val="-2"/>
        </w:rPr>
        <w:t>日关于战争罪犯及危害人类罪犯的惩治问题的第</w:t>
      </w:r>
      <w:r w:rsidRPr="000A0851">
        <w:rPr>
          <w:spacing w:val="-2"/>
        </w:rPr>
        <w:t>2840</w:t>
      </w:r>
      <w:r>
        <w:rPr>
          <w:spacing w:val="-2"/>
        </w:rPr>
        <w:t>(</w:t>
      </w:r>
      <w:r w:rsidRPr="000A0851">
        <w:rPr>
          <w:spacing w:val="-2"/>
        </w:rPr>
        <w:t>XXVI</w:t>
      </w:r>
      <w:r>
        <w:rPr>
          <w:spacing w:val="-2"/>
        </w:rPr>
        <w:t>)</w:t>
      </w:r>
      <w:r w:rsidRPr="000A0851">
        <w:rPr>
          <w:spacing w:val="-2"/>
        </w:rPr>
        <w:t>号决议，第</w:t>
      </w:r>
      <w:r w:rsidRPr="000A0851">
        <w:rPr>
          <w:spacing w:val="-2"/>
        </w:rPr>
        <w:t>4</w:t>
      </w:r>
      <w:r w:rsidRPr="000A0851">
        <w:rPr>
          <w:spacing w:val="-2"/>
        </w:rPr>
        <w:t>段</w:t>
      </w:r>
      <w:r w:rsidRPr="00C60D57">
        <w:t>。</w:t>
      </w:r>
    </w:p>
  </w:footnote>
  <w:footnote w:id="1196">
    <w:p w:rsidR="00AB00DE" w:rsidRPr="00C60D57" w:rsidRDefault="00AB00DE" w:rsidP="00CD5A8C">
      <w:pPr>
        <w:pStyle w:val="a4"/>
      </w:pPr>
      <w:r w:rsidRPr="00C60D57">
        <w:tab/>
      </w:r>
      <w:r w:rsidRPr="00193F6E">
        <w:rPr>
          <w:rStyle w:val="a5"/>
          <w:szCs w:val="21"/>
        </w:rPr>
        <w:footnoteRef/>
      </w:r>
      <w:r w:rsidRPr="00C60D57">
        <w:tab/>
      </w:r>
      <w:r w:rsidRPr="00C60D57">
        <w:t>安全理事会</w:t>
      </w:r>
      <w:r w:rsidRPr="00C60D57">
        <w:t>2009</w:t>
      </w:r>
      <w:r w:rsidRPr="00C60D57">
        <w:t>年</w:t>
      </w:r>
      <w:r w:rsidRPr="00C60D57">
        <w:t>11</w:t>
      </w:r>
      <w:r w:rsidRPr="00C60D57">
        <w:t>月</w:t>
      </w:r>
      <w:r w:rsidRPr="00C60D57">
        <w:t>11</w:t>
      </w:r>
      <w:r w:rsidRPr="00C60D57">
        <w:t>日第</w:t>
      </w:r>
      <w:hyperlink r:id="rId253" w:history="1">
        <w:r w:rsidRPr="007F0135">
          <w:rPr>
            <w:rStyle w:val="af"/>
          </w:rPr>
          <w:t>1894 (2009)</w:t>
        </w:r>
      </w:hyperlink>
      <w:r w:rsidRPr="00C60D57">
        <w:t>号决议，第</w:t>
      </w:r>
      <w:r w:rsidRPr="00C60D57">
        <w:t>10</w:t>
      </w:r>
      <w:r w:rsidRPr="00C60D57">
        <w:t>段。</w:t>
      </w:r>
    </w:p>
  </w:footnote>
  <w:footnote w:id="1197">
    <w:p w:rsidR="00AB00DE" w:rsidRPr="00C60D57" w:rsidRDefault="00AB00DE" w:rsidP="00CD5A8C">
      <w:pPr>
        <w:pStyle w:val="a4"/>
      </w:pPr>
      <w:r w:rsidRPr="00C60D57">
        <w:tab/>
      </w:r>
      <w:r w:rsidRPr="00193F6E">
        <w:rPr>
          <w:rStyle w:val="a5"/>
          <w:szCs w:val="21"/>
        </w:rPr>
        <w:footnoteRef/>
      </w:r>
      <w:r w:rsidRPr="00C60D57">
        <w:tab/>
      </w:r>
      <w:r w:rsidRPr="00C60D57">
        <w:t>例如，见</w:t>
      </w:r>
      <w:hyperlink r:id="rId254" w:history="1">
        <w:r w:rsidRPr="000A0851">
          <w:t>《关于制止非法劫持航空器的公约》</w:t>
        </w:r>
        <w:r w:rsidRPr="00C60D57">
          <w:t>，</w:t>
        </w:r>
      </w:hyperlink>
      <w:r w:rsidRPr="00C60D57">
        <w:t>第</w:t>
      </w:r>
      <w:r w:rsidRPr="00C60D57">
        <w:t>6</w:t>
      </w:r>
      <w:r w:rsidRPr="00C60D57">
        <w:t>条；</w:t>
      </w:r>
      <w:hyperlink r:id="rId255" w:history="1">
        <w:r w:rsidRPr="000A0851">
          <w:t>《制止危害民用航空安全非法行为公约》</w:t>
        </w:r>
      </w:hyperlink>
      <w:r w:rsidRPr="00C60D57">
        <w:t>，第</w:t>
      </w:r>
      <w:r w:rsidRPr="00C60D57">
        <w:t>6</w:t>
      </w:r>
      <w:r w:rsidRPr="00C60D57">
        <w:t>条；</w:t>
      </w:r>
      <w:hyperlink r:id="rId256" w:history="1">
        <w:r w:rsidRPr="000A0851">
          <w:t>《反对劫持人质国际公约》</w:t>
        </w:r>
      </w:hyperlink>
      <w:r w:rsidRPr="00C60D57">
        <w:t>，</w:t>
      </w:r>
      <w:r w:rsidRPr="00C60D57">
        <w:t>6</w:t>
      </w:r>
      <w:r w:rsidRPr="00C60D57">
        <w:t>条；</w:t>
      </w:r>
      <w:hyperlink r:id="rId257" w:history="1">
        <w:r w:rsidRPr="000A0851">
          <w:t>《美洲防止和惩处酷刑公约》</w:t>
        </w:r>
      </w:hyperlink>
      <w:r w:rsidRPr="00C60D57">
        <w:t>，第</w:t>
      </w:r>
      <w:r w:rsidRPr="00C60D57">
        <w:t>8</w:t>
      </w:r>
      <w:r w:rsidRPr="00C60D57">
        <w:t>条；</w:t>
      </w:r>
      <w:hyperlink r:id="rId258" w:history="1">
        <w:r w:rsidRPr="000A0851">
          <w:t>《制止恐怖主义爆炸国际公约》</w:t>
        </w:r>
      </w:hyperlink>
      <w:r w:rsidRPr="00C60D57">
        <w:t>，第</w:t>
      </w:r>
      <w:r w:rsidRPr="00C60D57">
        <w:t>7</w:t>
      </w:r>
      <w:r w:rsidRPr="00C60D57">
        <w:t>条；</w:t>
      </w:r>
      <w:hyperlink r:id="rId259" w:history="1">
        <w:r w:rsidRPr="000A0851">
          <w:t>《制止向恐怖主义提供资助的国际公约》</w:t>
        </w:r>
      </w:hyperlink>
      <w:r w:rsidRPr="00C60D57">
        <w:t>，第</w:t>
      </w:r>
      <w:r w:rsidRPr="00C60D57">
        <w:t>9</w:t>
      </w:r>
      <w:r w:rsidRPr="00C60D57">
        <w:t>条；《非统组织防止和打击恐怖主义公约》，第</w:t>
      </w:r>
      <w:r w:rsidRPr="00C60D57">
        <w:t>7</w:t>
      </w:r>
      <w:r w:rsidRPr="00C60D57">
        <w:t>条；</w:t>
      </w:r>
      <w:hyperlink r:id="rId260" w:history="1">
        <w:r w:rsidRPr="000A0851">
          <w:t>《保护所有人免遭强迫失踪国际公约》</w:t>
        </w:r>
      </w:hyperlink>
      <w:r w:rsidRPr="00C60D57">
        <w:t>，第</w:t>
      </w:r>
      <w:r w:rsidRPr="00C60D57">
        <w:t>10</w:t>
      </w:r>
      <w:r w:rsidRPr="00C60D57">
        <w:t>条；</w:t>
      </w:r>
      <w:hyperlink r:id="rId261" w:history="1">
        <w:r w:rsidRPr="000A0851">
          <w:t>《东盟打击恐怖主义公约》</w:t>
        </w:r>
      </w:hyperlink>
      <w:r w:rsidRPr="00C60D57">
        <w:t>，第八条。</w:t>
      </w:r>
    </w:p>
  </w:footnote>
  <w:footnote w:id="1198">
    <w:p w:rsidR="00AB00DE" w:rsidRPr="00C60D57" w:rsidRDefault="00AB00DE" w:rsidP="00CD5A8C">
      <w:pPr>
        <w:pStyle w:val="a4"/>
      </w:pPr>
      <w:r w:rsidRPr="00C60D57">
        <w:tab/>
      </w:r>
      <w:r w:rsidRPr="00193F6E">
        <w:rPr>
          <w:rStyle w:val="a5"/>
          <w:szCs w:val="21"/>
        </w:rPr>
        <w:footnoteRef/>
      </w:r>
      <w:r w:rsidRPr="00C60D57">
        <w:tab/>
      </w:r>
      <w:r w:rsidRPr="00C60D57">
        <w:t>《禁止酷刑公约》，第</w:t>
      </w:r>
      <w:r w:rsidRPr="00C60D57">
        <w:t>6</w:t>
      </w:r>
      <w:r w:rsidRPr="00C60D57">
        <w:t>条。</w:t>
      </w:r>
    </w:p>
  </w:footnote>
  <w:footnote w:id="1199">
    <w:p w:rsidR="00AB00DE" w:rsidRPr="00C60D57" w:rsidRDefault="00AB00DE" w:rsidP="00334F8C">
      <w:pPr>
        <w:pStyle w:val="a4"/>
      </w:pPr>
      <w:r w:rsidRPr="00C60D57">
        <w:tab/>
      </w:r>
      <w:r w:rsidRPr="00193F6E">
        <w:rPr>
          <w:rStyle w:val="a5"/>
          <w:szCs w:val="21"/>
        </w:rPr>
        <w:footnoteRef/>
      </w:r>
      <w:r w:rsidRPr="00C60D57">
        <w:tab/>
      </w:r>
      <w:hyperlink r:id="rId262" w:history="1">
        <w:r w:rsidRPr="00E075D9">
          <w:rPr>
            <w:rFonts w:eastAsia="楷体"/>
          </w:rPr>
          <w:t>与起诉或引渡义务有关的问题</w:t>
        </w:r>
      </w:hyperlink>
      <w:r>
        <w:rPr>
          <w:rFonts w:eastAsia="楷体" w:hint="eastAsia"/>
        </w:rPr>
        <w:t>案</w:t>
      </w:r>
      <w:r>
        <w:rPr>
          <w:iCs/>
        </w:rPr>
        <w:t>(</w:t>
      </w:r>
      <w:r w:rsidRPr="00C60D57">
        <w:rPr>
          <w:iCs/>
        </w:rPr>
        <w:t>见上文脚注</w:t>
      </w:r>
      <w:r>
        <w:rPr>
          <w:rFonts w:eastAsiaTheme="minorEastAsia"/>
        </w:rPr>
        <w:fldChar w:fldCharType="begin"/>
      </w:r>
      <w:r>
        <w:rPr>
          <w:iCs/>
        </w:rPr>
        <w:instrText xml:space="preserve"> NOTEREF _Ref453660069 \h </w:instrText>
      </w:r>
      <w:r>
        <w:rPr>
          <w:rFonts w:eastAsiaTheme="minorEastAsia"/>
        </w:rPr>
      </w:r>
      <w:r>
        <w:rPr>
          <w:rFonts w:eastAsiaTheme="minorEastAsia"/>
        </w:rPr>
        <w:fldChar w:fldCharType="separate"/>
      </w:r>
      <w:r w:rsidR="00A73EB9">
        <w:rPr>
          <w:iCs/>
        </w:rPr>
        <w:t>1175</w:t>
      </w:r>
      <w:r>
        <w:rPr>
          <w:rFonts w:eastAsiaTheme="minorEastAsia"/>
        </w:rPr>
        <w:fldChar w:fldCharType="end"/>
      </w:r>
      <w:r>
        <w:t>)</w:t>
      </w:r>
      <w:r w:rsidRPr="00C60D57">
        <w:t>，第</w:t>
      </w:r>
      <w:r w:rsidRPr="00C60D57">
        <w:t>450</w:t>
      </w:r>
      <w:r w:rsidRPr="00C60D57">
        <w:t>页，第</w:t>
      </w:r>
      <w:r w:rsidRPr="00C60D57">
        <w:t>72</w:t>
      </w:r>
      <w:r w:rsidRPr="00C60D57">
        <w:t>段。</w:t>
      </w:r>
    </w:p>
  </w:footnote>
  <w:footnote w:id="1200">
    <w:p w:rsidR="00AB00DE" w:rsidRPr="00C60D57" w:rsidRDefault="00AB00DE" w:rsidP="00CD5A8C">
      <w:pPr>
        <w:pStyle w:val="a4"/>
        <w:rPr>
          <w:iCs/>
          <w:lang w:val="es-ES"/>
        </w:rPr>
      </w:pPr>
      <w:r w:rsidRPr="00C60D57">
        <w:rPr>
          <w:lang w:val="es-ES"/>
        </w:rPr>
        <w:tab/>
      </w:r>
      <w:r w:rsidRPr="00193F6E">
        <w:rPr>
          <w:rStyle w:val="a5"/>
          <w:szCs w:val="21"/>
        </w:rPr>
        <w:footnoteRef/>
      </w:r>
      <w:r w:rsidRPr="00C60D57">
        <w:rPr>
          <w:lang w:val="es-ES"/>
        </w:rPr>
        <w:tab/>
      </w:r>
      <w:r w:rsidRPr="00C60D57">
        <w:rPr>
          <w:iCs/>
        </w:rPr>
        <w:t>同上，</w:t>
      </w:r>
      <w:r w:rsidRPr="00C60D57">
        <w:rPr>
          <w:iCs/>
          <w:lang w:val="es-ES"/>
        </w:rPr>
        <w:t>第</w:t>
      </w:r>
      <w:r w:rsidRPr="00C60D57">
        <w:rPr>
          <w:iCs/>
          <w:lang w:val="es-ES"/>
        </w:rPr>
        <w:t>453</w:t>
      </w:r>
      <w:r w:rsidRPr="00C60D57">
        <w:rPr>
          <w:iCs/>
          <w:lang w:val="es-ES"/>
        </w:rPr>
        <w:t>页，第</w:t>
      </w:r>
      <w:r w:rsidRPr="00C60D57">
        <w:rPr>
          <w:iCs/>
          <w:lang w:val="es-ES"/>
        </w:rPr>
        <w:t>83</w:t>
      </w:r>
      <w:r w:rsidRPr="00C60D57">
        <w:rPr>
          <w:iCs/>
          <w:lang w:val="es-ES"/>
        </w:rPr>
        <w:t>段。</w:t>
      </w:r>
    </w:p>
  </w:footnote>
  <w:footnote w:id="1201">
    <w:p w:rsidR="00AB00DE" w:rsidRPr="00C60D57" w:rsidRDefault="00AB00DE" w:rsidP="00CD5A8C">
      <w:pPr>
        <w:pStyle w:val="a4"/>
        <w:rPr>
          <w:iCs/>
          <w:lang w:val="es-ES"/>
        </w:rPr>
      </w:pPr>
      <w:r w:rsidRPr="00C60D57">
        <w:rPr>
          <w:iCs/>
          <w:lang w:val="es-ES"/>
        </w:rPr>
        <w:tab/>
      </w:r>
      <w:r w:rsidRPr="00193F6E">
        <w:rPr>
          <w:rStyle w:val="a5"/>
          <w:szCs w:val="21"/>
        </w:rPr>
        <w:footnoteRef/>
      </w:r>
      <w:r w:rsidRPr="00C60D57">
        <w:rPr>
          <w:iCs/>
          <w:lang w:val="es-ES"/>
        </w:rPr>
        <w:tab/>
      </w:r>
      <w:r w:rsidRPr="00C60D57">
        <w:rPr>
          <w:iCs/>
        </w:rPr>
        <w:t>同上</w:t>
      </w:r>
      <w:r w:rsidRPr="00C60D57">
        <w:rPr>
          <w:iCs/>
          <w:lang w:val="es-ES"/>
        </w:rPr>
        <w:t>，第</w:t>
      </w:r>
      <w:r w:rsidRPr="00C60D57">
        <w:rPr>
          <w:iCs/>
          <w:lang w:val="es-ES"/>
        </w:rPr>
        <w:t>454</w:t>
      </w:r>
      <w:r w:rsidRPr="00C60D57">
        <w:rPr>
          <w:iCs/>
          <w:lang w:val="es-ES"/>
        </w:rPr>
        <w:t>页，第</w:t>
      </w:r>
      <w:r w:rsidRPr="00C60D57">
        <w:rPr>
          <w:iCs/>
          <w:lang w:val="es-ES"/>
        </w:rPr>
        <w:t>86</w:t>
      </w:r>
      <w:r w:rsidRPr="00C60D57">
        <w:rPr>
          <w:iCs/>
          <w:lang w:val="es-ES"/>
        </w:rPr>
        <w:t>段。</w:t>
      </w:r>
    </w:p>
  </w:footnote>
  <w:footnote w:id="1202">
    <w:p w:rsidR="00AB00DE" w:rsidRPr="00C60D57" w:rsidRDefault="00AB00DE" w:rsidP="00CD5A8C">
      <w:pPr>
        <w:pStyle w:val="a4"/>
        <w:rPr>
          <w:lang w:val="es-ES"/>
        </w:rPr>
      </w:pPr>
      <w:r w:rsidRPr="00C60D57">
        <w:rPr>
          <w:iCs/>
          <w:lang w:val="es-ES"/>
        </w:rPr>
        <w:tab/>
      </w:r>
      <w:r w:rsidRPr="00193F6E">
        <w:rPr>
          <w:rStyle w:val="a5"/>
          <w:szCs w:val="21"/>
        </w:rPr>
        <w:footnoteRef/>
      </w:r>
      <w:r w:rsidRPr="00C60D57">
        <w:rPr>
          <w:iCs/>
          <w:lang w:val="es-ES"/>
        </w:rPr>
        <w:tab/>
      </w:r>
      <w:r w:rsidRPr="00C60D57">
        <w:rPr>
          <w:iCs/>
        </w:rPr>
        <w:t>同上</w:t>
      </w:r>
      <w:r w:rsidRPr="00C60D57">
        <w:rPr>
          <w:iCs/>
          <w:lang w:val="es-ES"/>
        </w:rPr>
        <w:t>，</w:t>
      </w:r>
      <w:r w:rsidRPr="00C60D57">
        <w:t>第</w:t>
      </w:r>
      <w:r w:rsidRPr="00C60D57">
        <w:rPr>
          <w:lang w:val="es-ES"/>
        </w:rPr>
        <w:t>451</w:t>
      </w:r>
      <w:r w:rsidRPr="00C60D57">
        <w:t>页</w:t>
      </w:r>
      <w:r w:rsidRPr="00C60D57">
        <w:rPr>
          <w:lang w:val="es-ES"/>
        </w:rPr>
        <w:t>，</w:t>
      </w:r>
      <w:r w:rsidRPr="00C60D57">
        <w:t>第</w:t>
      </w:r>
      <w:r w:rsidRPr="00C60D57">
        <w:rPr>
          <w:lang w:val="es-ES"/>
        </w:rPr>
        <w:t>74</w:t>
      </w:r>
      <w:r w:rsidRPr="00C60D57">
        <w:t>段。</w:t>
      </w:r>
    </w:p>
  </w:footnote>
  <w:footnote w:id="1203">
    <w:p w:rsidR="00AB00DE" w:rsidRPr="00C60D57" w:rsidRDefault="00AB00DE" w:rsidP="00CD5A8C">
      <w:pPr>
        <w:pStyle w:val="a4"/>
      </w:pPr>
      <w:r w:rsidRPr="00C60D57">
        <w:tab/>
      </w:r>
      <w:r w:rsidRPr="00193F6E">
        <w:rPr>
          <w:rStyle w:val="a5"/>
          <w:szCs w:val="21"/>
        </w:rPr>
        <w:footnoteRef/>
      </w:r>
      <w:r w:rsidRPr="00C60D57">
        <w:tab/>
      </w:r>
      <w:r w:rsidRPr="00C60D57">
        <w:t>见《大会正式记录，第六十九届会议，补编第</w:t>
      </w:r>
      <w:r w:rsidRPr="00C60D57">
        <w:t>10</w:t>
      </w:r>
      <w:r w:rsidRPr="00C60D57">
        <w:t>号》</w:t>
      </w:r>
      <w:r>
        <w:t>(</w:t>
      </w:r>
      <w:r w:rsidRPr="00C60D57">
        <w:t>A/69/10</w:t>
      </w:r>
      <w:r>
        <w:t>)</w:t>
      </w:r>
      <w:r w:rsidRPr="00C60D57">
        <w:t>，第六章。</w:t>
      </w:r>
    </w:p>
  </w:footnote>
  <w:footnote w:id="1204">
    <w:p w:rsidR="00AB00DE" w:rsidRPr="00E075D9" w:rsidRDefault="00AB00DE" w:rsidP="00CD5A8C">
      <w:pPr>
        <w:pStyle w:val="a4"/>
      </w:pPr>
      <w:r w:rsidRPr="00C60D57">
        <w:tab/>
      </w:r>
      <w:r w:rsidRPr="00193F6E">
        <w:rPr>
          <w:rStyle w:val="a5"/>
          <w:szCs w:val="21"/>
        </w:rPr>
        <w:footnoteRef/>
      </w:r>
      <w:r w:rsidRPr="00C60D57">
        <w:tab/>
      </w:r>
      <w:r>
        <w:rPr>
          <w:rFonts w:hint="eastAsia"/>
        </w:rPr>
        <w:t>“</w:t>
      </w:r>
      <w:r w:rsidRPr="00C60D57">
        <w:t>对与国际法委员会就</w:t>
      </w:r>
      <w:r>
        <w:rPr>
          <w:rFonts w:hint="eastAsia"/>
        </w:rPr>
        <w:t>‘</w:t>
      </w:r>
      <w:r w:rsidRPr="00C60D57">
        <w:t>引渡或起诉</w:t>
      </w:r>
      <w:r>
        <w:t>(</w:t>
      </w:r>
      <w:r w:rsidRPr="00C60D57">
        <w:t>aut dedere aut judicare</w:t>
      </w:r>
      <w:r>
        <w:t>)</w:t>
      </w:r>
      <w:r w:rsidRPr="00C60D57">
        <w:t>义务</w:t>
      </w:r>
      <w:r w:rsidRPr="00C60D57">
        <w:t>’</w:t>
      </w:r>
      <w:r w:rsidRPr="00C60D57">
        <w:t>专题</w:t>
      </w:r>
      <w:r>
        <w:rPr>
          <w:rFonts w:eastAsiaTheme="minorEastAsia" w:hint="eastAsia"/>
        </w:rPr>
        <w:t>开展的</w:t>
      </w:r>
      <w:r w:rsidRPr="00C60D57">
        <w:t>工作可能有关的多边公约的调查</w:t>
      </w:r>
      <w:r>
        <w:rPr>
          <w:rFonts w:hint="eastAsia"/>
        </w:rPr>
        <w:t>”</w:t>
      </w:r>
      <w:r>
        <w:t>，</w:t>
      </w:r>
      <w:r w:rsidRPr="00C60D57">
        <w:t>秘书处的研究报告</w:t>
      </w:r>
      <w:r>
        <w:t>(</w:t>
      </w:r>
      <w:r w:rsidRPr="00C60D57">
        <w:t>A/CN.4/630</w:t>
      </w:r>
      <w:r>
        <w:t>)</w:t>
      </w:r>
      <w:r w:rsidRPr="00C60D57">
        <w:t>。</w:t>
      </w:r>
    </w:p>
  </w:footnote>
  <w:footnote w:id="1205">
    <w:p w:rsidR="00AB00DE" w:rsidRPr="00C60D57" w:rsidRDefault="00AB00DE" w:rsidP="00AC70E2">
      <w:pPr>
        <w:pStyle w:val="a4"/>
      </w:pPr>
      <w:r w:rsidRPr="00C60D57">
        <w:tab/>
      </w:r>
      <w:r w:rsidRPr="00193F6E">
        <w:rPr>
          <w:rStyle w:val="a5"/>
          <w:szCs w:val="21"/>
        </w:rPr>
        <w:footnoteRef/>
      </w:r>
      <w:r w:rsidRPr="00C60D57">
        <w:tab/>
      </w:r>
      <w:r w:rsidRPr="00C60D57">
        <w:t>《</w:t>
      </w:r>
      <w:r w:rsidRPr="00C60D57">
        <w:t>1996</w:t>
      </w:r>
      <w:r w:rsidRPr="00C60D57">
        <w:t>年</w:t>
      </w:r>
      <w:r w:rsidRPr="002E28D0">
        <w:rPr>
          <w:rFonts w:cs="Arial Unicode MS" w:hint="eastAsia"/>
          <w:u w:color="000000"/>
          <w:bdr w:val="nil"/>
          <w:lang w:val="en-GB"/>
        </w:rPr>
        <w:t>……</w:t>
      </w:r>
      <w:r w:rsidRPr="00C60D57">
        <w:t>年鉴》，第二卷</w:t>
      </w:r>
      <w:r>
        <w:t>(</w:t>
      </w:r>
      <w:r w:rsidRPr="00C60D57">
        <w:t>第二部分</w:t>
      </w:r>
      <w:r>
        <w:t>)</w:t>
      </w:r>
      <w:r w:rsidRPr="00C60D57">
        <w:t>，第二章，</w:t>
      </w:r>
      <w:r w:rsidRPr="00C60D57">
        <w:t>D</w:t>
      </w:r>
      <w:r w:rsidRPr="00C60D57">
        <w:t>节</w:t>
      </w:r>
      <w:r>
        <w:t>(</w:t>
      </w:r>
      <w:r w:rsidRPr="00C60D57">
        <w:t>第</w:t>
      </w:r>
      <w:r w:rsidRPr="00C60D57">
        <w:t>9</w:t>
      </w:r>
      <w:r w:rsidRPr="00C60D57">
        <w:t>条</w:t>
      </w:r>
      <w:r>
        <w:t>)</w:t>
      </w:r>
      <w:r w:rsidRPr="00C60D57">
        <w:t>；另见人权委员会关于有罪不</w:t>
      </w:r>
      <w:r>
        <w:rPr>
          <w:rFonts w:hint="eastAsia"/>
        </w:rPr>
        <w:t>罚</w:t>
      </w:r>
      <w:r w:rsidRPr="00C60D57">
        <w:t>问题的第</w:t>
      </w:r>
      <w:r w:rsidRPr="00C60D57">
        <w:t>2005/81</w:t>
      </w:r>
      <w:r w:rsidRPr="00C60D57">
        <w:t>号决议</w:t>
      </w:r>
      <w:r>
        <w:t>(</w:t>
      </w:r>
      <w:r w:rsidRPr="00C60D57">
        <w:t>上文脚注</w:t>
      </w:r>
      <w:r>
        <w:rPr>
          <w:rFonts w:eastAsiaTheme="minorEastAsia"/>
        </w:rPr>
        <w:fldChar w:fldCharType="begin"/>
      </w:r>
      <w:r>
        <w:instrText xml:space="preserve"> NOTEREF _Ref454443574 \h </w:instrText>
      </w:r>
      <w:r>
        <w:rPr>
          <w:rFonts w:eastAsiaTheme="minorEastAsia"/>
        </w:rPr>
      </w:r>
      <w:r>
        <w:rPr>
          <w:rFonts w:eastAsiaTheme="minorEastAsia"/>
        </w:rPr>
        <w:fldChar w:fldCharType="separate"/>
      </w:r>
      <w:r w:rsidR="00A73EB9">
        <w:t>1100</w:t>
      </w:r>
      <w:r>
        <w:rPr>
          <w:rFonts w:eastAsiaTheme="minorEastAsia"/>
        </w:rPr>
        <w:fldChar w:fldCharType="end"/>
      </w:r>
      <w:r>
        <w:t>)</w:t>
      </w:r>
      <w:r w:rsidRPr="00C60D57">
        <w:t>，第</w:t>
      </w:r>
      <w:r w:rsidRPr="00C60D57">
        <w:t>2</w:t>
      </w:r>
      <w:r w:rsidRPr="00C60D57">
        <w:t>段</w:t>
      </w:r>
      <w:r>
        <w:t>(</w:t>
      </w:r>
      <w:r w:rsidRPr="00C60D57">
        <w:t>确认</w:t>
      </w:r>
      <w:r>
        <w:rPr>
          <w:rFonts w:hint="eastAsia"/>
        </w:rPr>
        <w:t>“</w:t>
      </w:r>
      <w:r w:rsidRPr="00C60D57">
        <w:t>各国必须按照国际法规定的义务起诉或引渡</w:t>
      </w:r>
      <w:r w:rsidRPr="002E28D0">
        <w:rPr>
          <w:rFonts w:cs="Arial Unicode MS" w:hint="eastAsia"/>
          <w:u w:color="000000"/>
          <w:bdr w:val="nil"/>
          <w:lang w:val="en-GB"/>
        </w:rPr>
        <w:t>……</w:t>
      </w:r>
      <w:r w:rsidRPr="00C60D57">
        <w:t>危害人类罪等国际罪行的肇事者及其同谋，以将其绳之以法，并敦促各国采取有效措施履行这些义务</w:t>
      </w:r>
      <w:r>
        <w:rPr>
          <w:rFonts w:hint="eastAsia"/>
        </w:rPr>
        <w:t>”</w:t>
      </w:r>
      <w:r>
        <w:t>)</w:t>
      </w:r>
      <w:r w:rsidRPr="00C60D57">
        <w:t>。</w:t>
      </w:r>
    </w:p>
  </w:footnote>
  <w:footnote w:id="1206">
    <w:p w:rsidR="00AB00DE" w:rsidRPr="00C60D57" w:rsidRDefault="00AB00DE" w:rsidP="00334F8C">
      <w:pPr>
        <w:pStyle w:val="a4"/>
      </w:pPr>
      <w:r w:rsidRPr="00C60D57">
        <w:tab/>
      </w:r>
      <w:r w:rsidRPr="00193F6E">
        <w:rPr>
          <w:rStyle w:val="a5"/>
          <w:szCs w:val="21"/>
        </w:rPr>
        <w:footnoteRef/>
      </w:r>
      <w:r w:rsidRPr="00C60D57">
        <w:tab/>
      </w:r>
      <w:r w:rsidRPr="00C60D57">
        <w:t>见美洲国家组织</w:t>
      </w:r>
      <w:r>
        <w:t>(</w:t>
      </w:r>
      <w:r w:rsidRPr="00C60D57">
        <w:t>美洲组织</w:t>
      </w:r>
      <w:r>
        <w:t>)</w:t>
      </w:r>
      <w:r>
        <w:t>，</w:t>
      </w:r>
      <w:r w:rsidRPr="008779BD">
        <w:t>《防止和惩治以侵害个人罪行和相关勒索罪行形式进行的具有国际影响的恐怖主义行为公约》</w:t>
      </w:r>
      <w:r>
        <w:t>(</w:t>
      </w:r>
      <w:r w:rsidRPr="008779BD">
        <w:t>1971</w:t>
      </w:r>
      <w:r w:rsidRPr="008779BD">
        <w:t>年</w:t>
      </w:r>
      <w:r w:rsidRPr="008779BD">
        <w:t>2</w:t>
      </w:r>
      <w:r w:rsidRPr="008779BD">
        <w:t>月</w:t>
      </w:r>
      <w:r w:rsidRPr="008779BD">
        <w:t>2</w:t>
      </w:r>
      <w:r w:rsidRPr="008779BD">
        <w:t>日，华盛顿</w:t>
      </w:r>
      <w:r>
        <w:rPr>
          <w:rFonts w:eastAsiaTheme="minorEastAsia" w:hint="eastAsia"/>
        </w:rPr>
        <w:t>特区</w:t>
      </w:r>
      <w:r>
        <w:t>)</w:t>
      </w:r>
      <w:r w:rsidRPr="008779BD">
        <w:t>，联合国，《条约汇编》，第</w:t>
      </w:r>
      <w:r w:rsidRPr="008779BD">
        <w:t>1438</w:t>
      </w:r>
      <w:r w:rsidRPr="008779BD">
        <w:t>卷，第</w:t>
      </w:r>
      <w:r w:rsidRPr="008779BD">
        <w:t>24371</w:t>
      </w:r>
      <w:r w:rsidRPr="008779BD">
        <w:t>号，第</w:t>
      </w:r>
      <w:r w:rsidRPr="008779BD">
        <w:t>195</w:t>
      </w:r>
      <w:r w:rsidRPr="008779BD">
        <w:t>页，第</w:t>
      </w:r>
      <w:r w:rsidRPr="008779BD">
        <w:t>5</w:t>
      </w:r>
      <w:r w:rsidRPr="008779BD">
        <w:t>条；《非洲统一组织消除非洲雇佣军制度公约》</w:t>
      </w:r>
      <w:r>
        <w:t>(</w:t>
      </w:r>
      <w:r w:rsidRPr="008779BD">
        <w:t>1977</w:t>
      </w:r>
      <w:r w:rsidRPr="008779BD">
        <w:t>年</w:t>
      </w:r>
      <w:r w:rsidRPr="008779BD">
        <w:t>7</w:t>
      </w:r>
      <w:r w:rsidRPr="008779BD">
        <w:t>月</w:t>
      </w:r>
      <w:r w:rsidRPr="008779BD">
        <w:t>3</w:t>
      </w:r>
      <w:r w:rsidRPr="008779BD">
        <w:t>日，利伯维尔</w:t>
      </w:r>
      <w:r>
        <w:t>)</w:t>
      </w:r>
      <w:r w:rsidRPr="008779BD">
        <w:t>，同上，第</w:t>
      </w:r>
      <w:r w:rsidRPr="008779BD">
        <w:t>1490</w:t>
      </w:r>
      <w:r w:rsidRPr="008779BD">
        <w:t>卷，第</w:t>
      </w:r>
      <w:r w:rsidRPr="008779BD">
        <w:t>25573</w:t>
      </w:r>
      <w:r w:rsidRPr="008779BD">
        <w:t>号，第</w:t>
      </w:r>
      <w:r w:rsidRPr="008779BD">
        <w:t>89</w:t>
      </w:r>
      <w:r w:rsidRPr="008779BD">
        <w:t>页，第</w:t>
      </w:r>
      <w:r w:rsidRPr="008779BD">
        <w:t>8-9</w:t>
      </w:r>
      <w:r w:rsidRPr="008779BD">
        <w:t>条，第</w:t>
      </w:r>
      <w:r w:rsidRPr="008779BD">
        <w:t>2-3</w:t>
      </w:r>
      <w:r w:rsidRPr="008779BD">
        <w:t>款；《欧洲制止恐怖主义公约》</w:t>
      </w:r>
      <w:r>
        <w:t>(</w:t>
      </w:r>
      <w:r w:rsidRPr="008779BD">
        <w:t>1977</w:t>
      </w:r>
      <w:r w:rsidRPr="008779BD">
        <w:t>年</w:t>
      </w:r>
      <w:r w:rsidRPr="008779BD">
        <w:t>1</w:t>
      </w:r>
      <w:r w:rsidRPr="008779BD">
        <w:t>月</w:t>
      </w:r>
      <w:r w:rsidRPr="008779BD">
        <w:t>27</w:t>
      </w:r>
      <w:r w:rsidRPr="008779BD">
        <w:t>日，斯特拉斯堡</w:t>
      </w:r>
      <w:r>
        <w:t>)</w:t>
      </w:r>
      <w:r w:rsidRPr="008779BD">
        <w:t>，同上，第</w:t>
      </w:r>
      <w:r w:rsidRPr="008779BD">
        <w:t>1137</w:t>
      </w:r>
      <w:r w:rsidRPr="008779BD">
        <w:t>卷，第</w:t>
      </w:r>
      <w:r w:rsidRPr="008779BD">
        <w:t>17828</w:t>
      </w:r>
      <w:r w:rsidRPr="008779BD">
        <w:t>号，第</w:t>
      </w:r>
      <w:r w:rsidRPr="008779BD">
        <w:t>93</w:t>
      </w:r>
      <w:r w:rsidRPr="008779BD">
        <w:t>页，第</w:t>
      </w:r>
      <w:r w:rsidRPr="008779BD">
        <w:t>7</w:t>
      </w:r>
      <w:r w:rsidRPr="008779BD">
        <w:t>条；《美洲防止和惩处酷刑公约》，第</w:t>
      </w:r>
      <w:r w:rsidRPr="008779BD">
        <w:t>14</w:t>
      </w:r>
      <w:r w:rsidRPr="008779BD">
        <w:t>条；《南亚区域合作联盟制止恐怖主义活动区域公约》</w:t>
      </w:r>
      <w:r>
        <w:t>(</w:t>
      </w:r>
      <w:r w:rsidRPr="008779BD">
        <w:t>1987</w:t>
      </w:r>
      <w:r w:rsidRPr="008779BD">
        <w:t>年</w:t>
      </w:r>
      <w:r w:rsidRPr="008779BD">
        <w:t>11</w:t>
      </w:r>
      <w:r w:rsidRPr="008779BD">
        <w:t>月</w:t>
      </w:r>
      <w:r w:rsidRPr="008779BD">
        <w:t>4</w:t>
      </w:r>
      <w:r w:rsidRPr="008779BD">
        <w:t>日，加德满都</w:t>
      </w:r>
      <w:r>
        <w:t>)</w:t>
      </w:r>
      <w:r w:rsidRPr="008779BD">
        <w:t>，《关于预防和制止</w:t>
      </w:r>
      <w:r w:rsidRPr="002E28D0">
        <w:rPr>
          <w:rFonts w:cs="Arial Unicode MS" w:hint="eastAsia"/>
          <w:u w:color="000000"/>
          <w:bdr w:val="nil"/>
          <w:lang w:val="en-GB"/>
        </w:rPr>
        <w:t>……</w:t>
      </w:r>
      <w:r w:rsidRPr="008779BD">
        <w:t>的国际文书》</w:t>
      </w:r>
      <w:r>
        <w:t>(</w:t>
      </w:r>
      <w:r w:rsidRPr="008779BD">
        <w:t>见上文脚注</w:t>
      </w:r>
      <w:r>
        <w:rPr>
          <w:rFonts w:eastAsiaTheme="minorEastAsia"/>
        </w:rPr>
        <w:fldChar w:fldCharType="begin"/>
      </w:r>
      <w:r>
        <w:instrText xml:space="preserve"> NOTEREF _Ref453232663 \h </w:instrText>
      </w:r>
      <w:r>
        <w:rPr>
          <w:rFonts w:eastAsiaTheme="minorEastAsia"/>
        </w:rPr>
      </w:r>
      <w:r>
        <w:rPr>
          <w:rFonts w:eastAsiaTheme="minorEastAsia"/>
        </w:rPr>
        <w:fldChar w:fldCharType="separate"/>
      </w:r>
      <w:r w:rsidR="00A73EB9">
        <w:t>1058</w:t>
      </w:r>
      <w:r>
        <w:rPr>
          <w:rFonts w:eastAsiaTheme="minorEastAsia"/>
        </w:rPr>
        <w:fldChar w:fldCharType="end"/>
      </w:r>
      <w:r>
        <w:t>)</w:t>
      </w:r>
      <w:r w:rsidRPr="008779BD">
        <w:t>，</w:t>
      </w:r>
      <w:r w:rsidRPr="008779BD">
        <w:t>174</w:t>
      </w:r>
      <w:r w:rsidRPr="008779BD">
        <w:t>页起，第四条，第</w:t>
      </w:r>
      <w:r w:rsidRPr="008779BD">
        <w:t>176</w:t>
      </w:r>
      <w:r w:rsidRPr="008779BD">
        <w:t>页；《美洲被迫失踪人士公约》</w:t>
      </w:r>
      <w:r>
        <w:t>，</w:t>
      </w:r>
      <w:r w:rsidRPr="00C60D57">
        <w:t>第</w:t>
      </w:r>
      <w:r w:rsidRPr="00C60D57">
        <w:t>6</w:t>
      </w:r>
      <w:r w:rsidRPr="00C60D57">
        <w:t>条；《美洲国际贩卖未成年人问题公约》</w:t>
      </w:r>
      <w:r>
        <w:t>(</w:t>
      </w:r>
      <w:r w:rsidRPr="00C60D57">
        <w:t>1994</w:t>
      </w:r>
      <w:r w:rsidRPr="00C60D57">
        <w:t>年</w:t>
      </w:r>
      <w:r w:rsidRPr="00C60D57">
        <w:t>3</w:t>
      </w:r>
      <w:r w:rsidRPr="00C60D57">
        <w:t>月</w:t>
      </w:r>
      <w:r w:rsidRPr="00C60D57">
        <w:t>18</w:t>
      </w:r>
      <w:r w:rsidRPr="00C60D57">
        <w:t>日，墨西哥城</w:t>
      </w:r>
      <w:r>
        <w:t>)</w:t>
      </w:r>
      <w:r>
        <w:t>，</w:t>
      </w:r>
      <w:r w:rsidRPr="00C60D57">
        <w:t>美洲组织，《条约汇编》</w:t>
      </w:r>
      <w:r>
        <w:t>，</w:t>
      </w:r>
      <w:r w:rsidRPr="00C60D57">
        <w:t>第</w:t>
      </w:r>
      <w:r w:rsidRPr="00C60D57">
        <w:t>79</w:t>
      </w:r>
      <w:r w:rsidRPr="00C60D57">
        <w:t>号</w:t>
      </w:r>
      <w:r>
        <w:t>，</w:t>
      </w:r>
      <w:r w:rsidRPr="00C60D57">
        <w:t>第</w:t>
      </w:r>
      <w:r w:rsidRPr="00C60D57">
        <w:t>9</w:t>
      </w:r>
      <w:r w:rsidRPr="00C60D57">
        <w:t>条；《美洲国家反腐败公约》</w:t>
      </w:r>
      <w:r>
        <w:t>(</w:t>
      </w:r>
      <w:r w:rsidRPr="00C60D57">
        <w:t>1996</w:t>
      </w:r>
      <w:r w:rsidRPr="00C60D57">
        <w:t>年</w:t>
      </w:r>
      <w:r w:rsidRPr="00C60D57">
        <w:t>3</w:t>
      </w:r>
      <w:r w:rsidRPr="00C60D57">
        <w:t>月</w:t>
      </w:r>
      <w:r w:rsidRPr="00C60D57">
        <w:t>29</w:t>
      </w:r>
      <w:r w:rsidRPr="00C60D57">
        <w:t>日，加拉加斯</w:t>
      </w:r>
      <w:r>
        <w:t>)</w:t>
      </w:r>
      <w:r>
        <w:t>，</w:t>
      </w:r>
      <w:r w:rsidRPr="00C60D57">
        <w:t>第</w:t>
      </w:r>
      <w:r w:rsidRPr="00C60D57">
        <w:t>13</w:t>
      </w:r>
      <w:r w:rsidRPr="00C60D57">
        <w:t>条，第</w:t>
      </w:r>
      <w:r w:rsidRPr="00C60D57">
        <w:t>6</w:t>
      </w:r>
      <w:r w:rsidRPr="00C60D57">
        <w:t>款；《美洲国家禁止非法制造和贩运火器、弹药、爆炸物及其他有关材料公约》</w:t>
      </w:r>
      <w:r>
        <w:t>(</w:t>
      </w:r>
      <w:r w:rsidRPr="00C60D57">
        <w:t>1997</w:t>
      </w:r>
      <w:r w:rsidRPr="00C60D57">
        <w:t>年</w:t>
      </w:r>
      <w:r w:rsidRPr="00C60D57">
        <w:t>11</w:t>
      </w:r>
      <w:r w:rsidRPr="00C60D57">
        <w:t>月</w:t>
      </w:r>
      <w:r w:rsidRPr="00C60D57">
        <w:t>14</w:t>
      </w:r>
      <w:r w:rsidRPr="00C60D57">
        <w:t>日，华盛顿</w:t>
      </w:r>
      <w:r>
        <w:rPr>
          <w:rFonts w:eastAsiaTheme="minorEastAsia" w:hint="eastAsia"/>
        </w:rPr>
        <w:t>特区</w:t>
      </w:r>
      <w:r>
        <w:t>)</w:t>
      </w:r>
      <w:r w:rsidRPr="00C60D57">
        <w:t>，第</w:t>
      </w:r>
      <w:r w:rsidRPr="00C60D57">
        <w:t>19</w:t>
      </w:r>
      <w:r w:rsidRPr="00C60D57">
        <w:t>条，第</w:t>
      </w:r>
      <w:r w:rsidRPr="00C60D57">
        <w:t>6</w:t>
      </w:r>
      <w:r w:rsidRPr="00C60D57">
        <w:t>款</w:t>
      </w:r>
      <w:r>
        <w:t>；</w:t>
      </w:r>
      <w:r w:rsidRPr="00C60D57">
        <w:t>阿拉伯国家联盟，《阿拉伯制止恐怖主义公约》</w:t>
      </w:r>
      <w:r>
        <w:t>(</w:t>
      </w:r>
      <w:r w:rsidRPr="00C60D57">
        <w:t>1998</w:t>
      </w:r>
      <w:r w:rsidRPr="00C60D57">
        <w:t>年</w:t>
      </w:r>
      <w:r w:rsidRPr="00C60D57">
        <w:t>4</w:t>
      </w:r>
      <w:r w:rsidRPr="00C60D57">
        <w:t>月</w:t>
      </w:r>
      <w:r w:rsidRPr="00C60D57">
        <w:t>22</w:t>
      </w:r>
      <w:r w:rsidRPr="00C60D57">
        <w:t>日，开罗</w:t>
      </w:r>
      <w:r>
        <w:t>)</w:t>
      </w:r>
      <w:r w:rsidRPr="00C60D57">
        <w:t>《关于预防和制止</w:t>
      </w:r>
      <w:r w:rsidRPr="002E28D0">
        <w:rPr>
          <w:rFonts w:cs="Arial Unicode MS" w:hint="eastAsia"/>
          <w:u w:color="000000"/>
          <w:bdr w:val="nil"/>
          <w:lang w:val="en-GB"/>
        </w:rPr>
        <w:t>……</w:t>
      </w:r>
      <w:r w:rsidRPr="00C60D57">
        <w:t>的国际文书》</w:t>
      </w:r>
      <w:r>
        <w:t>(</w:t>
      </w:r>
      <w:r w:rsidRPr="00C60D57">
        <w:t>见上文脚注</w:t>
      </w:r>
      <w:r w:rsidRPr="00C60D57">
        <w:fldChar w:fldCharType="begin"/>
      </w:r>
      <w:r w:rsidRPr="00C60D57">
        <w:instrText xml:space="preserve"> NOTEREF _Ref453232663 \h  \* MERGEFORMAT </w:instrText>
      </w:r>
      <w:r w:rsidRPr="00C60D57">
        <w:fldChar w:fldCharType="separate"/>
      </w:r>
      <w:r w:rsidR="00A73EB9">
        <w:t>1058</w:t>
      </w:r>
      <w:r w:rsidRPr="00C60D57">
        <w:fldChar w:fldCharType="end"/>
      </w:r>
      <w:r>
        <w:t>)</w:t>
      </w:r>
      <w:r w:rsidRPr="00C60D57">
        <w:t>，第</w:t>
      </w:r>
      <w:r w:rsidRPr="00C60D57">
        <w:t>178</w:t>
      </w:r>
      <w:r w:rsidRPr="00C60D57">
        <w:t>页起，第</w:t>
      </w:r>
      <w:r w:rsidRPr="00C60D57">
        <w:t>6</w:t>
      </w:r>
      <w:r w:rsidRPr="00C60D57">
        <w:t>条，第</w:t>
      </w:r>
      <w:r w:rsidRPr="00C60D57">
        <w:t>183</w:t>
      </w:r>
      <w:r w:rsidRPr="00C60D57">
        <w:t>页</w:t>
      </w:r>
      <w:r w:rsidRPr="008779BD">
        <w:t>；欧洲委员会，《反腐败刑法公约》</w:t>
      </w:r>
      <w:r>
        <w:t>(</w:t>
      </w:r>
      <w:r w:rsidRPr="00C60D57">
        <w:t>1999</w:t>
      </w:r>
      <w:r w:rsidRPr="00C60D57">
        <w:t>年</w:t>
      </w:r>
      <w:r w:rsidRPr="00C60D57">
        <w:t>1</w:t>
      </w:r>
      <w:r w:rsidRPr="00C60D57">
        <w:t>月</w:t>
      </w:r>
      <w:r w:rsidRPr="00C60D57">
        <w:t>27</w:t>
      </w:r>
      <w:r w:rsidRPr="00C60D57">
        <w:t>日，斯特拉斯堡</w:t>
      </w:r>
      <w:r>
        <w:t>)</w:t>
      </w:r>
      <w:r>
        <w:t>，</w:t>
      </w:r>
      <w:r w:rsidRPr="00C60D57">
        <w:t>《欧洲条约汇编》，第</w:t>
      </w:r>
      <w:r w:rsidRPr="00C60D57">
        <w:t>173</w:t>
      </w:r>
      <w:r w:rsidRPr="00C60D57">
        <w:t>号，第</w:t>
      </w:r>
      <w:r w:rsidRPr="00C60D57">
        <w:t>27</w:t>
      </w:r>
      <w:r w:rsidRPr="00C60D57">
        <w:t>条第</w:t>
      </w:r>
      <w:r w:rsidRPr="00C60D57">
        <w:t>5</w:t>
      </w:r>
      <w:r w:rsidRPr="00C60D57">
        <w:t>款；《伊斯兰会议组织关于打击国际恐怖主义的公约》</w:t>
      </w:r>
      <w:r>
        <w:t>(</w:t>
      </w:r>
      <w:r w:rsidRPr="00C60D57">
        <w:t>1999</w:t>
      </w:r>
      <w:r w:rsidRPr="00C60D57">
        <w:t>年</w:t>
      </w:r>
      <w:r w:rsidRPr="00C60D57">
        <w:t>7</w:t>
      </w:r>
      <w:r w:rsidRPr="00C60D57">
        <w:t>月</w:t>
      </w:r>
      <w:r w:rsidRPr="00C60D57">
        <w:t>1</w:t>
      </w:r>
      <w:r w:rsidRPr="00C60D57">
        <w:t>日，瓦加杜古</w:t>
      </w:r>
      <w:r>
        <w:t>)</w:t>
      </w:r>
      <w:r>
        <w:t>，</w:t>
      </w:r>
      <w:r w:rsidRPr="00C60D57">
        <w:t>第</w:t>
      </w:r>
      <w:r w:rsidRPr="00C60D57">
        <w:t>59/26-P</w:t>
      </w:r>
      <w:r w:rsidRPr="00C60D57">
        <w:t>号决议附件，可查阅</w:t>
      </w:r>
      <w:r>
        <w:rPr>
          <w:rFonts w:hint="eastAsia"/>
        </w:rPr>
        <w:t xml:space="preserve"> </w:t>
      </w:r>
      <w:hyperlink r:id="rId263" w:history="1">
        <w:r w:rsidRPr="00C60D57">
          <w:rPr>
            <w:rStyle w:val="af"/>
          </w:rPr>
          <w:t>www.oic-oci.org/english/convenion/terrorism_convention.htm</w:t>
        </w:r>
      </w:hyperlink>
      <w:r>
        <w:t>，</w:t>
      </w:r>
      <w:r w:rsidRPr="00C60D57">
        <w:t>第</w:t>
      </w:r>
      <w:r w:rsidRPr="00C60D57">
        <w:t>6</w:t>
      </w:r>
      <w:r w:rsidRPr="00C60D57">
        <w:t>条；欧洲委员会，</w:t>
      </w:r>
      <w:r w:rsidRPr="008779BD">
        <w:t>《网络犯罪公约》</w:t>
      </w:r>
      <w:r>
        <w:t>(</w:t>
      </w:r>
      <w:r w:rsidRPr="00C60D57">
        <w:t>2001</w:t>
      </w:r>
      <w:r w:rsidRPr="00C60D57">
        <w:t>年</w:t>
      </w:r>
      <w:r w:rsidRPr="00C60D57">
        <w:t>11</w:t>
      </w:r>
      <w:r w:rsidRPr="00C60D57">
        <w:t>月</w:t>
      </w:r>
      <w:r w:rsidRPr="00C60D57">
        <w:t>23</w:t>
      </w:r>
      <w:r w:rsidRPr="00C60D57">
        <w:t>日，布达佩斯</w:t>
      </w:r>
      <w:r>
        <w:t>)</w:t>
      </w:r>
      <w:r w:rsidRPr="00C60D57">
        <w:t>，《欧洲条约汇编》，第</w:t>
      </w:r>
      <w:r w:rsidRPr="00C60D57">
        <w:t>185</w:t>
      </w:r>
      <w:r w:rsidRPr="00C60D57">
        <w:t>号，第</w:t>
      </w:r>
      <w:r w:rsidRPr="00C60D57">
        <w:t>24</w:t>
      </w:r>
      <w:r w:rsidRPr="00C60D57">
        <w:t>条第</w:t>
      </w:r>
      <w:r w:rsidRPr="00C60D57">
        <w:t>6</w:t>
      </w:r>
      <w:r w:rsidRPr="00C60D57">
        <w:t>款；</w:t>
      </w:r>
      <w:r w:rsidRPr="008779BD">
        <w:t>《非洲联盟预防和打击腐败公约》</w:t>
      </w:r>
      <w:r>
        <w:t>(</w:t>
      </w:r>
      <w:r w:rsidRPr="008779BD">
        <w:t>2003</w:t>
      </w:r>
      <w:r w:rsidRPr="008779BD">
        <w:t>年</w:t>
      </w:r>
      <w:r w:rsidRPr="008779BD">
        <w:t>7</w:t>
      </w:r>
      <w:r w:rsidRPr="008779BD">
        <w:t>月</w:t>
      </w:r>
      <w:r w:rsidRPr="008779BD">
        <w:t>11</w:t>
      </w:r>
      <w:r w:rsidRPr="008779BD">
        <w:t>日，马普托</w:t>
      </w:r>
      <w:r>
        <w:t>)</w:t>
      </w:r>
      <w:r w:rsidRPr="008779BD">
        <w:t>，可查阅</w:t>
      </w:r>
      <w:hyperlink r:id="rId264" w:history="1">
        <w:r w:rsidRPr="00316AFF">
          <w:rPr>
            <w:rStyle w:val="af"/>
          </w:rPr>
          <w:t>www.au.int/en/sites/default/files/treaties/7786-file-african_union_convention_preventing_combating_</w:t>
        </w:r>
        <w:r w:rsidRPr="00316AFF">
          <w:rPr>
            <w:rStyle w:val="af"/>
            <w:rFonts w:hint="eastAsia"/>
          </w:rPr>
          <w:t xml:space="preserve"> </w:t>
        </w:r>
        <w:r w:rsidRPr="00316AFF">
          <w:rPr>
            <w:rStyle w:val="af"/>
          </w:rPr>
          <w:t xml:space="preserve">corruption.pdf, </w:t>
        </w:r>
        <w:r w:rsidRPr="00316AFF">
          <w:rPr>
            <w:rStyle w:val="af"/>
          </w:rPr>
          <w:t>第</w:t>
        </w:r>
        <w:r w:rsidRPr="00316AFF">
          <w:rPr>
            <w:rStyle w:val="af"/>
          </w:rPr>
          <w:t>15</w:t>
        </w:r>
        <w:r w:rsidRPr="00316AFF">
          <w:rPr>
            <w:rStyle w:val="af"/>
          </w:rPr>
          <w:t>条第</w:t>
        </w:r>
        <w:r w:rsidRPr="00316AFF">
          <w:rPr>
            <w:rStyle w:val="af"/>
          </w:rPr>
          <w:t>6</w:t>
        </w:r>
      </w:hyperlink>
      <w:r w:rsidRPr="00C60D57">
        <w:t>款；欧洲委员会，</w:t>
      </w:r>
      <w:r w:rsidRPr="008779BD">
        <w:t>防止恐怖主义公约</w:t>
      </w:r>
      <w:r>
        <w:t>(</w:t>
      </w:r>
      <w:r w:rsidRPr="00C60D57">
        <w:t>2005</w:t>
      </w:r>
      <w:r w:rsidRPr="00C60D57">
        <w:t>年</w:t>
      </w:r>
      <w:r w:rsidRPr="00C60D57">
        <w:t>5</w:t>
      </w:r>
      <w:r w:rsidRPr="00C60D57">
        <w:t>月</w:t>
      </w:r>
      <w:r w:rsidRPr="00C60D57">
        <w:t>16</w:t>
      </w:r>
      <w:r w:rsidRPr="00C60D57">
        <w:t>日，华沙</w:t>
      </w:r>
      <w:r>
        <w:t>)</w:t>
      </w:r>
      <w:r>
        <w:t>，</w:t>
      </w:r>
      <w:r w:rsidRPr="00C60D57">
        <w:t>《欧洲委员会条约汇编》</w:t>
      </w:r>
      <w:r w:rsidRPr="008779BD">
        <w:t>，第</w:t>
      </w:r>
      <w:r w:rsidRPr="00C60D57">
        <w:t>196</w:t>
      </w:r>
      <w:r w:rsidRPr="00C60D57">
        <w:t>号，第</w:t>
      </w:r>
      <w:r w:rsidRPr="00C60D57">
        <w:t>18</w:t>
      </w:r>
      <w:r w:rsidRPr="00C60D57">
        <w:t>条；</w:t>
      </w:r>
      <w:r w:rsidRPr="008779BD">
        <w:t>《欧洲委员会打击人口贩运公约》</w:t>
      </w:r>
      <w:r>
        <w:t>(</w:t>
      </w:r>
      <w:r w:rsidRPr="00C60D57">
        <w:t>2005</w:t>
      </w:r>
      <w:r w:rsidRPr="00C60D57">
        <w:t>年</w:t>
      </w:r>
      <w:r w:rsidRPr="00C60D57">
        <w:t>5</w:t>
      </w:r>
      <w:r w:rsidRPr="00C60D57">
        <w:t>月</w:t>
      </w:r>
      <w:r w:rsidRPr="00C60D57">
        <w:t>16</w:t>
      </w:r>
      <w:r w:rsidRPr="00C60D57">
        <w:t>日，华沙</w:t>
      </w:r>
      <w:r>
        <w:t>)</w:t>
      </w:r>
      <w:r w:rsidRPr="00C60D57">
        <w:t>，《欧洲委员会条约汇编》，第</w:t>
      </w:r>
      <w:r w:rsidRPr="00C60D57">
        <w:t>197</w:t>
      </w:r>
      <w:r w:rsidRPr="00C60D57">
        <w:t>号，第</w:t>
      </w:r>
      <w:r w:rsidRPr="00C60D57">
        <w:t>31</w:t>
      </w:r>
      <w:r w:rsidRPr="00C60D57">
        <w:t>条第</w:t>
      </w:r>
      <w:r w:rsidRPr="00C60D57">
        <w:t>3</w:t>
      </w:r>
      <w:r w:rsidRPr="00C60D57">
        <w:t>款；《东盟反恐公约》</w:t>
      </w:r>
      <w:r>
        <w:t>(</w:t>
      </w:r>
      <w:r w:rsidRPr="00C60D57">
        <w:t>见上文脚注</w:t>
      </w:r>
      <w:r w:rsidRPr="00C60D57">
        <w:fldChar w:fldCharType="begin"/>
      </w:r>
      <w:r w:rsidRPr="00C60D57">
        <w:instrText xml:space="preserve"> NOTEREF _Ref453232663 \h  \* MERGEFORMAT </w:instrText>
      </w:r>
      <w:r w:rsidRPr="00C60D57">
        <w:fldChar w:fldCharType="separate"/>
      </w:r>
      <w:r w:rsidR="00A73EB9">
        <w:t>1058</w:t>
      </w:r>
      <w:r w:rsidRPr="00C60D57">
        <w:fldChar w:fldCharType="end"/>
      </w:r>
      <w:r>
        <w:t>)</w:t>
      </w:r>
      <w:r w:rsidRPr="00C60D57">
        <w:t>，第十三条第</w:t>
      </w:r>
      <w:r w:rsidRPr="00C60D57">
        <w:t>1</w:t>
      </w:r>
      <w:r w:rsidRPr="00C60D57">
        <w:t>款。</w:t>
      </w:r>
    </w:p>
  </w:footnote>
  <w:footnote w:id="1207">
    <w:p w:rsidR="00AB00DE" w:rsidRPr="00C60D57" w:rsidRDefault="00AB00DE" w:rsidP="00CD5A8C">
      <w:pPr>
        <w:pStyle w:val="a4"/>
      </w:pPr>
      <w:r w:rsidRPr="00C60D57">
        <w:tab/>
      </w:r>
      <w:r w:rsidRPr="00193F6E">
        <w:rPr>
          <w:rStyle w:val="a5"/>
          <w:szCs w:val="21"/>
        </w:rPr>
        <w:footnoteRef/>
      </w:r>
      <w:r w:rsidRPr="00C60D57">
        <w:tab/>
      </w:r>
      <w:r w:rsidRPr="008779BD">
        <w:t>《关于制止非法劫持航空器的公约》</w:t>
      </w:r>
      <w:r w:rsidRPr="00C60D57">
        <w:t>，第</w:t>
      </w:r>
      <w:r w:rsidRPr="00C60D57">
        <w:t>7</w:t>
      </w:r>
      <w:r w:rsidRPr="00C60D57">
        <w:t>条。</w:t>
      </w:r>
    </w:p>
  </w:footnote>
  <w:footnote w:id="1208">
    <w:p w:rsidR="00AB00DE" w:rsidRPr="00C60D57" w:rsidRDefault="00AB00DE" w:rsidP="00334F8C">
      <w:pPr>
        <w:pStyle w:val="a4"/>
      </w:pPr>
      <w:r w:rsidRPr="00C60D57">
        <w:tab/>
      </w:r>
      <w:r w:rsidRPr="00193F6E">
        <w:rPr>
          <w:rStyle w:val="a5"/>
          <w:szCs w:val="21"/>
        </w:rPr>
        <w:footnoteRef/>
      </w:r>
      <w:r w:rsidRPr="00193F6E">
        <w:rPr>
          <w:rStyle w:val="a5"/>
          <w:szCs w:val="21"/>
        </w:rPr>
        <w:tab/>
      </w:r>
      <w:r w:rsidRPr="00C60D57">
        <w:t>见</w:t>
      </w:r>
      <w:r w:rsidRPr="00C60D57">
        <w:t>A/CN.4/63</w:t>
      </w:r>
      <w:r>
        <w:t>0(</w:t>
      </w:r>
      <w:r>
        <w:rPr>
          <w:rFonts w:eastAsiaTheme="minorEastAsia" w:hint="eastAsia"/>
        </w:rPr>
        <w:t>上文脚注</w:t>
      </w:r>
      <w:r>
        <w:fldChar w:fldCharType="begin"/>
      </w:r>
      <w:r>
        <w:instrText xml:space="preserve"> NOTEREF _Ref456800325 \h  \* MERGEFORMAT </w:instrText>
      </w:r>
      <w:r>
        <w:fldChar w:fldCharType="separate"/>
      </w:r>
      <w:r w:rsidR="00A73EB9">
        <w:t>1203</w:t>
      </w:r>
      <w:r>
        <w:fldChar w:fldCharType="end"/>
      </w:r>
      <w:r>
        <w:t>)</w:t>
      </w:r>
      <w:r w:rsidRPr="00C60D57">
        <w:t>，第</w:t>
      </w:r>
      <w:r w:rsidRPr="00C60D57">
        <w:t>74-75</w:t>
      </w:r>
      <w:r w:rsidRPr="00C60D57">
        <w:t>页。</w:t>
      </w:r>
    </w:p>
  </w:footnote>
  <w:footnote w:id="1209">
    <w:p w:rsidR="00AB00DE" w:rsidRPr="00C60D57" w:rsidRDefault="00AB00DE" w:rsidP="00AC70E2">
      <w:pPr>
        <w:pStyle w:val="a4"/>
      </w:pPr>
      <w:r w:rsidRPr="00C60D57">
        <w:tab/>
      </w:r>
      <w:r w:rsidRPr="00193F6E">
        <w:rPr>
          <w:rStyle w:val="a5"/>
          <w:szCs w:val="21"/>
        </w:rPr>
        <w:footnoteRef/>
      </w:r>
      <w:r w:rsidRPr="00C60D57">
        <w:tab/>
      </w:r>
      <w:r w:rsidRPr="00C60D57">
        <w:t>主席</w:t>
      </w:r>
      <w:r w:rsidRPr="00C60D57">
        <w:t>Gilbert Guillaume</w:t>
      </w:r>
      <w:r>
        <w:rPr>
          <w:rFonts w:hint="eastAsia"/>
        </w:rPr>
        <w:t xml:space="preserve"> </w:t>
      </w:r>
      <w:r>
        <w:t>(</w:t>
      </w:r>
      <w:r w:rsidRPr="00C60D57">
        <w:t>法国代表</w:t>
      </w:r>
      <w:r>
        <w:t>)</w:t>
      </w:r>
      <w:r w:rsidRPr="00C60D57">
        <w:t>的发言，国际民航组织法律委员会第</w:t>
      </w:r>
      <w:r>
        <w:rPr>
          <w:rFonts w:hint="eastAsia"/>
        </w:rPr>
        <w:t>十七</w:t>
      </w:r>
      <w:r w:rsidRPr="00C60D57">
        <w:t>届会议，</w:t>
      </w:r>
      <w:r w:rsidRPr="00C60D57">
        <w:t>1970</w:t>
      </w:r>
      <w:r w:rsidRPr="00C60D57">
        <w:t>年</w:t>
      </w:r>
      <w:r w:rsidRPr="00C60D57">
        <w:t>2</w:t>
      </w:r>
      <w:r w:rsidRPr="00C60D57">
        <w:t>月</w:t>
      </w:r>
      <w:r w:rsidRPr="00C60D57">
        <w:t>9</w:t>
      </w:r>
      <w:r w:rsidRPr="00C60D57">
        <w:t>日至</w:t>
      </w:r>
      <w:r w:rsidRPr="00C60D57">
        <w:t>3</w:t>
      </w:r>
      <w:r w:rsidRPr="00C60D57">
        <w:t>月</w:t>
      </w:r>
      <w:r w:rsidRPr="00C60D57">
        <w:t>11</w:t>
      </w:r>
      <w:r w:rsidRPr="00C60D57">
        <w:t>日，蒙特利尔，《关于非法劫持航空器问题的会议记录和文件》，第</w:t>
      </w:r>
      <w:r w:rsidRPr="00C60D57">
        <w:t>30</w:t>
      </w:r>
      <w:r w:rsidRPr="00C60D57">
        <w:t>次会议</w:t>
      </w:r>
      <w:r>
        <w:t>(</w:t>
      </w:r>
      <w:r w:rsidRPr="00C60D57">
        <w:t>1970</w:t>
      </w:r>
      <w:r w:rsidRPr="00C60D57">
        <w:t>年</w:t>
      </w:r>
      <w:r w:rsidRPr="00C60D57">
        <w:t>3</w:t>
      </w:r>
      <w:r w:rsidRPr="00C60D57">
        <w:t>月</w:t>
      </w:r>
      <w:r w:rsidRPr="00C60D57">
        <w:t>3</w:t>
      </w:r>
      <w:r w:rsidRPr="00C60D57">
        <w:t>日</w:t>
      </w:r>
      <w:r>
        <w:t>)</w:t>
      </w:r>
      <w:r>
        <w:rPr>
          <w:rFonts w:hint="eastAsia"/>
        </w:rPr>
        <w:t xml:space="preserve"> </w:t>
      </w:r>
      <w:r>
        <w:t>(</w:t>
      </w:r>
      <w:r w:rsidRPr="00C60D57">
        <w:t>8877-LC/161</w:t>
      </w:r>
      <w:r w:rsidRPr="00C60D57">
        <w:t>号文件</w:t>
      </w:r>
      <w:r>
        <w:t>)</w:t>
      </w:r>
      <w:r w:rsidRPr="00C60D57">
        <w:t>，第</w:t>
      </w:r>
      <w:r w:rsidRPr="00C60D57">
        <w:t>15</w:t>
      </w:r>
      <w:r w:rsidRPr="00C60D57">
        <w:t>段。</w:t>
      </w:r>
    </w:p>
  </w:footnote>
  <w:footnote w:id="1210">
    <w:p w:rsidR="00AB00DE" w:rsidRPr="00C60D57" w:rsidRDefault="00AB00DE" w:rsidP="00334F8C">
      <w:pPr>
        <w:pStyle w:val="a4"/>
      </w:pPr>
      <w:r w:rsidRPr="00C60D57">
        <w:tab/>
      </w:r>
      <w:r w:rsidRPr="00193F6E">
        <w:rPr>
          <w:rStyle w:val="a5"/>
          <w:szCs w:val="21"/>
        </w:rPr>
        <w:footnoteRef/>
      </w:r>
      <w:r w:rsidRPr="00193F6E">
        <w:rPr>
          <w:rStyle w:val="a5"/>
          <w:szCs w:val="21"/>
        </w:rPr>
        <w:tab/>
      </w:r>
      <w:r w:rsidRPr="006C7628">
        <w:rPr>
          <w:rFonts w:eastAsia="楷体"/>
        </w:rPr>
        <w:t>与起诉或引渡义务有关的问题案</w:t>
      </w:r>
      <w:r>
        <w:rPr>
          <w:iCs/>
        </w:rPr>
        <w:t>(</w:t>
      </w:r>
      <w:r w:rsidRPr="00C60D57">
        <w:rPr>
          <w:iCs/>
        </w:rPr>
        <w:t>见上文脚注</w:t>
      </w:r>
      <w:r>
        <w:rPr>
          <w:rFonts w:eastAsiaTheme="minorEastAsia"/>
        </w:rPr>
        <w:fldChar w:fldCharType="begin"/>
      </w:r>
      <w:r>
        <w:rPr>
          <w:iCs/>
        </w:rPr>
        <w:instrText xml:space="preserve"> NOTEREF _Ref453660069 \h </w:instrText>
      </w:r>
      <w:r>
        <w:rPr>
          <w:rFonts w:eastAsiaTheme="minorEastAsia"/>
        </w:rPr>
      </w:r>
      <w:r>
        <w:rPr>
          <w:rFonts w:eastAsiaTheme="minorEastAsia"/>
        </w:rPr>
        <w:fldChar w:fldCharType="separate"/>
      </w:r>
      <w:r w:rsidR="00A73EB9">
        <w:rPr>
          <w:iCs/>
        </w:rPr>
        <w:t>1175</w:t>
      </w:r>
      <w:r>
        <w:rPr>
          <w:rFonts w:eastAsiaTheme="minorEastAsia"/>
        </w:rPr>
        <w:fldChar w:fldCharType="end"/>
      </w:r>
      <w:r>
        <w:t>)</w:t>
      </w:r>
      <w:r w:rsidRPr="00C60D57">
        <w:t>，第</w:t>
      </w:r>
      <w:r w:rsidRPr="00C60D57">
        <w:t>454-461</w:t>
      </w:r>
      <w:r w:rsidRPr="00C60D57">
        <w:t>页，第</w:t>
      </w:r>
      <w:r w:rsidRPr="00C60D57">
        <w:t>90-91</w:t>
      </w:r>
      <w:r w:rsidRPr="00C60D57">
        <w:t>段、第</w:t>
      </w:r>
      <w:r w:rsidRPr="00C60D57">
        <w:t>94-95</w:t>
      </w:r>
      <w:r w:rsidRPr="00C60D57">
        <w:t>段、第</w:t>
      </w:r>
      <w:r w:rsidRPr="00C60D57">
        <w:t>114-115</w:t>
      </w:r>
      <w:r w:rsidRPr="00C60D57">
        <w:t>段和第</w:t>
      </w:r>
      <w:r w:rsidRPr="00C60D57">
        <w:t>120</w:t>
      </w:r>
      <w:r w:rsidRPr="00C60D57">
        <w:t>段。</w:t>
      </w:r>
    </w:p>
  </w:footnote>
  <w:footnote w:id="1211">
    <w:p w:rsidR="00AB00DE" w:rsidRPr="00C60D57" w:rsidRDefault="00AB00DE" w:rsidP="00CD5A8C">
      <w:pPr>
        <w:pStyle w:val="a4"/>
      </w:pPr>
      <w:r w:rsidRPr="00C60D57">
        <w:tab/>
      </w:r>
      <w:r w:rsidRPr="00193F6E">
        <w:rPr>
          <w:rStyle w:val="a5"/>
          <w:szCs w:val="21"/>
        </w:rPr>
        <w:footnoteRef/>
      </w:r>
      <w:r w:rsidRPr="00C60D57">
        <w:tab/>
      </w:r>
      <w:r w:rsidRPr="00C60D57">
        <w:t>同上，第</w:t>
      </w:r>
      <w:r w:rsidRPr="00C60D57">
        <w:t>460</w:t>
      </w:r>
      <w:r w:rsidRPr="00C60D57">
        <w:t>页，第</w:t>
      </w:r>
      <w:r w:rsidRPr="00C60D57">
        <w:t>112</w:t>
      </w:r>
      <w:r w:rsidRPr="00C60D57">
        <w:t>段。</w:t>
      </w:r>
    </w:p>
  </w:footnote>
  <w:footnote w:id="1212">
    <w:p w:rsidR="00AB00DE" w:rsidRPr="00C60D57" w:rsidRDefault="00AB00DE" w:rsidP="00CD5A8C">
      <w:pPr>
        <w:pStyle w:val="a4"/>
      </w:pPr>
      <w:r w:rsidRPr="00C60D57">
        <w:tab/>
      </w:r>
      <w:r w:rsidRPr="00193F6E">
        <w:rPr>
          <w:rStyle w:val="a5"/>
          <w:szCs w:val="21"/>
        </w:rPr>
        <w:footnoteRef/>
      </w:r>
      <w:r w:rsidRPr="00193F6E">
        <w:rPr>
          <w:rStyle w:val="a5"/>
          <w:szCs w:val="21"/>
        </w:rPr>
        <w:tab/>
      </w:r>
      <w:r w:rsidRPr="00C60D57">
        <w:t>同上。</w:t>
      </w:r>
    </w:p>
  </w:footnote>
  <w:footnote w:id="1213">
    <w:p w:rsidR="00AB00DE" w:rsidRPr="00C60D57" w:rsidRDefault="00AB00DE" w:rsidP="00CD5A8C">
      <w:pPr>
        <w:pStyle w:val="a4"/>
      </w:pPr>
      <w:r w:rsidRPr="00C60D57">
        <w:tab/>
      </w:r>
      <w:r w:rsidRPr="00193F6E">
        <w:rPr>
          <w:rStyle w:val="a5"/>
          <w:szCs w:val="21"/>
        </w:rPr>
        <w:footnoteRef/>
      </w:r>
      <w:r w:rsidRPr="00193F6E">
        <w:rPr>
          <w:rStyle w:val="a5"/>
          <w:szCs w:val="21"/>
        </w:rPr>
        <w:tab/>
      </w:r>
      <w:r w:rsidRPr="00C60D57">
        <w:t>同上，第</w:t>
      </w:r>
      <w:r w:rsidRPr="00C60D57">
        <w:t>460</w:t>
      </w:r>
      <w:r w:rsidRPr="00C60D57">
        <w:t>页，第</w:t>
      </w:r>
      <w:r w:rsidRPr="00C60D57">
        <w:t>113</w:t>
      </w:r>
      <w:r w:rsidRPr="00C60D57">
        <w:t>段。</w:t>
      </w:r>
    </w:p>
  </w:footnote>
  <w:footnote w:id="1214">
    <w:p w:rsidR="00AB00DE" w:rsidRPr="00C60D57" w:rsidRDefault="00AB00DE" w:rsidP="00CD5A8C">
      <w:pPr>
        <w:pStyle w:val="a4"/>
      </w:pPr>
      <w:r w:rsidRPr="00C60D57">
        <w:tab/>
      </w:r>
      <w:r w:rsidRPr="00193F6E">
        <w:rPr>
          <w:rStyle w:val="a5"/>
          <w:szCs w:val="21"/>
        </w:rPr>
        <w:footnoteRef/>
      </w:r>
      <w:r w:rsidRPr="00C60D57">
        <w:tab/>
      </w:r>
      <w:r w:rsidRPr="00C60D57">
        <w:t>《大会正式记录，第六十九届会议，补编第</w:t>
      </w:r>
      <w:r w:rsidRPr="00C60D57">
        <w:t>10</w:t>
      </w:r>
      <w:r w:rsidRPr="00C60D57">
        <w:t>号》</w:t>
      </w:r>
      <w:r>
        <w:t>(</w:t>
      </w:r>
      <w:hyperlink r:id="rId265" w:history="1">
        <w:r w:rsidRPr="00C60D57">
          <w:rPr>
            <w:rStyle w:val="af"/>
          </w:rPr>
          <w:t>A/69/10</w:t>
        </w:r>
      </w:hyperlink>
      <w:r>
        <w:t>)</w:t>
      </w:r>
      <w:r w:rsidRPr="00C60D57">
        <w:t>，第六章，</w:t>
      </w:r>
      <w:r w:rsidRPr="00C60D57">
        <w:t>C</w:t>
      </w:r>
      <w:r w:rsidRPr="00C60D57">
        <w:t>节</w:t>
      </w:r>
      <w:r>
        <w:t>(</w:t>
      </w:r>
      <w:r w:rsidRPr="00C60D57">
        <w:t>本专题最后报告</w:t>
      </w:r>
      <w:r>
        <w:t>)</w:t>
      </w:r>
      <w:r w:rsidRPr="00C60D57">
        <w:t>，第</w:t>
      </w:r>
      <w:r>
        <w:t>(</w:t>
      </w:r>
      <w:r w:rsidRPr="00C60D57">
        <w:t>35</w:t>
      </w:r>
      <w:r>
        <w:t>)</w:t>
      </w:r>
      <w:r w:rsidRPr="00C60D57">
        <w:t>段，第</w:t>
      </w:r>
      <w:r w:rsidRPr="00C60D57">
        <w:t>155-156</w:t>
      </w:r>
      <w:r w:rsidRPr="00C60D57">
        <w:t>段。</w:t>
      </w:r>
    </w:p>
  </w:footnote>
  <w:footnote w:id="1215">
    <w:p w:rsidR="00AB00DE" w:rsidRPr="00C60D57" w:rsidRDefault="00AB00DE" w:rsidP="00CD5A8C">
      <w:pPr>
        <w:pStyle w:val="a4"/>
      </w:pPr>
      <w:r w:rsidRPr="00C60D57">
        <w:tab/>
      </w:r>
      <w:r w:rsidRPr="00193F6E">
        <w:rPr>
          <w:rStyle w:val="a5"/>
          <w:szCs w:val="21"/>
        </w:rPr>
        <w:footnoteRef/>
      </w:r>
      <w:r w:rsidRPr="00C60D57">
        <w:tab/>
      </w:r>
      <w:r w:rsidRPr="00C60D57">
        <w:t>例如见，欧洲联盟，理事会</w:t>
      </w:r>
      <w:r w:rsidRPr="00C60D57">
        <w:t>2002</w:t>
      </w:r>
      <w:r w:rsidRPr="00C60D57">
        <w:t>年</w:t>
      </w:r>
      <w:r w:rsidRPr="00C60D57">
        <w:t>6</w:t>
      </w:r>
      <w:r w:rsidRPr="00C60D57">
        <w:t>月</w:t>
      </w:r>
      <w:r w:rsidRPr="00C60D57">
        <w:t>13</w:t>
      </w:r>
      <w:r>
        <w:t>日关于欧洲逮捕令和成员国之间移交程序的框架决定</w:t>
      </w:r>
      <w:r>
        <w:rPr>
          <w:rFonts w:hint="eastAsia"/>
        </w:rPr>
        <w:t>,</w:t>
      </w:r>
      <w:r w:rsidRPr="001F6EA8">
        <w:rPr>
          <w:spacing w:val="-4"/>
        </w:rPr>
        <w:t>《欧洲共同体公报》，</w:t>
      </w:r>
      <w:r w:rsidRPr="001F6EA8">
        <w:rPr>
          <w:spacing w:val="-4"/>
        </w:rPr>
        <w:t>L</w:t>
      </w:r>
      <w:r w:rsidRPr="001F6EA8">
        <w:rPr>
          <w:rFonts w:hint="eastAsia"/>
          <w:spacing w:val="-4"/>
          <w:vertAlign w:val="subscript"/>
        </w:rPr>
        <w:t xml:space="preserve"> </w:t>
      </w:r>
      <w:r w:rsidRPr="001F6EA8">
        <w:rPr>
          <w:spacing w:val="-4"/>
        </w:rPr>
        <w:t>190</w:t>
      </w:r>
      <w:r w:rsidRPr="001F6EA8">
        <w:rPr>
          <w:spacing w:val="-4"/>
        </w:rPr>
        <w:t>号，</w:t>
      </w:r>
      <w:r w:rsidRPr="001F6EA8">
        <w:rPr>
          <w:spacing w:val="-4"/>
        </w:rPr>
        <w:t>2002</w:t>
      </w:r>
      <w:r w:rsidRPr="001F6EA8">
        <w:rPr>
          <w:spacing w:val="-4"/>
        </w:rPr>
        <w:t>年</w:t>
      </w:r>
      <w:r w:rsidRPr="001F6EA8">
        <w:rPr>
          <w:spacing w:val="-4"/>
        </w:rPr>
        <w:t>7</w:t>
      </w:r>
      <w:r w:rsidRPr="001F6EA8">
        <w:rPr>
          <w:spacing w:val="-4"/>
        </w:rPr>
        <w:t>月</w:t>
      </w:r>
      <w:r w:rsidRPr="001F6EA8">
        <w:rPr>
          <w:spacing w:val="-4"/>
        </w:rPr>
        <w:t>18</w:t>
      </w:r>
      <w:r w:rsidRPr="001F6EA8">
        <w:rPr>
          <w:spacing w:val="-4"/>
        </w:rPr>
        <w:t>日，第</w:t>
      </w:r>
      <w:r w:rsidRPr="001F6EA8">
        <w:rPr>
          <w:spacing w:val="-4"/>
        </w:rPr>
        <w:t>1</w:t>
      </w:r>
      <w:r w:rsidRPr="001F6EA8">
        <w:rPr>
          <w:spacing w:val="-4"/>
        </w:rPr>
        <w:t>页，可查阅</w:t>
      </w:r>
      <w:r>
        <w:rPr>
          <w:spacing w:val="-4"/>
        </w:rPr>
        <w:t xml:space="preserve"> </w:t>
      </w:r>
      <w:hyperlink r:id="rId266" w:history="1">
        <w:r w:rsidRPr="00DE26AB">
          <w:rPr>
            <w:rStyle w:val="af"/>
            <w:u w:color="0000FF"/>
          </w:rPr>
          <w:t>http://eur-lex.europa.eu/ LexUriServ/LexUriServ.do?uri=CELEX:32002F0584:en:HTML</w:t>
        </w:r>
      </w:hyperlink>
      <w:r w:rsidRPr="008274AC">
        <w:t>。</w:t>
      </w:r>
      <w:r w:rsidRPr="00C60D57">
        <w:t>该框架决定第</w:t>
      </w:r>
      <w:r w:rsidRPr="00C60D57">
        <w:t>1</w:t>
      </w:r>
      <w:r w:rsidRPr="00C60D57">
        <w:t>条规定：</w:t>
      </w:r>
      <w:r>
        <w:rPr>
          <w:rFonts w:hint="eastAsia"/>
        </w:rPr>
        <w:t>“</w:t>
      </w:r>
      <w:r w:rsidRPr="00C60D57">
        <w:t>欧洲逮捕令是成员国签发的司法判决，其目的是使另一成员国逮捕和</w:t>
      </w:r>
      <w:r w:rsidRPr="006E1801">
        <w:rPr>
          <w:rFonts w:eastAsia="楷体"/>
        </w:rPr>
        <w:t>移交</w:t>
      </w:r>
      <w:r w:rsidRPr="00C60D57">
        <w:t>所要求的人，以便进行刑事起诉或执行监禁判决或拘留令</w:t>
      </w:r>
      <w:r>
        <w:rPr>
          <w:rFonts w:hint="eastAsia"/>
        </w:rPr>
        <w:t>”</w:t>
      </w:r>
      <w:r>
        <w:t>(</w:t>
      </w:r>
      <w:r w:rsidRPr="00C60D57">
        <w:t>强调</w:t>
      </w:r>
      <w:r>
        <w:rPr>
          <w:rFonts w:eastAsiaTheme="minorEastAsia" w:hint="eastAsia"/>
        </w:rPr>
        <w:t>系本文所加</w:t>
      </w:r>
      <w:r>
        <w:t>)</w:t>
      </w:r>
      <w:r w:rsidRPr="00C60D57">
        <w:t>。</w:t>
      </w:r>
    </w:p>
  </w:footnote>
  <w:footnote w:id="1216">
    <w:p w:rsidR="00AB00DE" w:rsidRPr="00C60D57" w:rsidRDefault="00AB00DE" w:rsidP="00CD5A8C">
      <w:pPr>
        <w:pStyle w:val="a4"/>
      </w:pPr>
      <w:r w:rsidRPr="00C60D57">
        <w:tab/>
      </w:r>
      <w:r w:rsidRPr="00193F6E">
        <w:rPr>
          <w:rStyle w:val="a5"/>
          <w:szCs w:val="21"/>
        </w:rPr>
        <w:footnoteRef/>
      </w:r>
      <w:r w:rsidRPr="00CA71DD">
        <w:rPr>
          <w:rStyle w:val="a5"/>
          <w:szCs w:val="21"/>
        </w:rPr>
        <w:tab/>
      </w:r>
      <w:r w:rsidRPr="00C60D57">
        <w:t>见</w:t>
      </w:r>
      <w:r w:rsidRPr="008274AC">
        <w:t>《保护所有人免遭强迫失踪国际公约》</w:t>
      </w:r>
      <w:r>
        <w:rPr>
          <w:rFonts w:eastAsiaTheme="minorEastAsia" w:hint="eastAsia"/>
        </w:rPr>
        <w:t>，</w:t>
      </w:r>
      <w:r w:rsidRPr="00C60D57">
        <w:t>第十一条第一款。</w:t>
      </w:r>
    </w:p>
  </w:footnote>
  <w:footnote w:id="1217">
    <w:p w:rsidR="00AB00DE" w:rsidRPr="00C60D57" w:rsidRDefault="00AB00DE" w:rsidP="00CD5A8C">
      <w:pPr>
        <w:pStyle w:val="a4"/>
      </w:pPr>
      <w:r w:rsidRPr="00C60D57">
        <w:tab/>
      </w:r>
      <w:r w:rsidRPr="00193F6E">
        <w:rPr>
          <w:rStyle w:val="a5"/>
          <w:szCs w:val="21"/>
        </w:rPr>
        <w:footnoteRef/>
      </w:r>
      <w:r w:rsidRPr="00CA71DD">
        <w:rPr>
          <w:rStyle w:val="a5"/>
          <w:szCs w:val="21"/>
        </w:rPr>
        <w:tab/>
      </w:r>
      <w:r w:rsidRPr="00C60D57">
        <w:t>《世界人权宣言》，大会</w:t>
      </w:r>
      <w:r>
        <w:t>1948</w:t>
      </w:r>
      <w:r w:rsidRPr="00C60D57">
        <w:t>年</w:t>
      </w:r>
      <w:r>
        <w:t>12</w:t>
      </w:r>
      <w:r w:rsidRPr="00C60D57">
        <w:t>月</w:t>
      </w:r>
      <w:r>
        <w:t>1</w:t>
      </w:r>
      <w:r>
        <w:rPr>
          <w:rFonts w:hint="eastAsia"/>
        </w:rPr>
        <w:t>0</w:t>
      </w:r>
      <w:r w:rsidRPr="00C60D57">
        <w:t>日第</w:t>
      </w:r>
      <w:r w:rsidRPr="00C60D57">
        <w:t>217A</w:t>
      </w:r>
      <w:r>
        <w:rPr>
          <w:rFonts w:hint="eastAsia"/>
        </w:rPr>
        <w:t xml:space="preserve"> </w:t>
      </w:r>
      <w:r>
        <w:t>(</w:t>
      </w:r>
      <w:r w:rsidRPr="00C60D57">
        <w:t>三</w:t>
      </w:r>
      <w:r>
        <w:t>)</w:t>
      </w:r>
      <w:r w:rsidRPr="00C60D57">
        <w:t>号决议，第十至第十一条。</w:t>
      </w:r>
    </w:p>
  </w:footnote>
  <w:footnote w:id="1218">
    <w:p w:rsidR="00AB00DE" w:rsidRPr="00C60D57" w:rsidRDefault="00AB00DE" w:rsidP="00CD5A8C">
      <w:pPr>
        <w:pStyle w:val="a4"/>
      </w:pPr>
      <w:r w:rsidRPr="00C60D57">
        <w:tab/>
      </w:r>
      <w:r w:rsidRPr="00193F6E">
        <w:rPr>
          <w:rStyle w:val="a5"/>
          <w:szCs w:val="21"/>
        </w:rPr>
        <w:footnoteRef/>
      </w:r>
      <w:r w:rsidRPr="00C60D57">
        <w:tab/>
      </w:r>
      <w:r w:rsidRPr="00C60D57">
        <w:t>例如见</w:t>
      </w:r>
      <w:r>
        <w:rPr>
          <w:rFonts w:hint="eastAsia"/>
        </w:rPr>
        <w:t>,</w:t>
      </w:r>
      <w:r w:rsidRPr="00BD4A62">
        <w:t>《关于防止和惩处侵害应受国际保护人员包括外交代表的罪行的公约》</w:t>
      </w:r>
      <w:r w:rsidRPr="00C60D57">
        <w:t>，第九条；</w:t>
      </w:r>
      <w:r w:rsidRPr="00BD4A62">
        <w:t>《反对劫持人质国际公约》</w:t>
      </w:r>
      <w:r w:rsidRPr="00C60D57">
        <w:t>，第八条第</w:t>
      </w:r>
      <w:r>
        <w:t>2</w:t>
      </w:r>
      <w:r w:rsidRPr="00C60D57">
        <w:t>款；</w:t>
      </w:r>
      <w:r w:rsidRPr="00BD4A62">
        <w:t>《禁止酷刑和其他残忍、不人道或有辱人格的待遇或处罚公约》</w:t>
      </w:r>
      <w:r w:rsidRPr="00C60D57">
        <w:t>，第</w:t>
      </w:r>
      <w:r>
        <w:t>7</w:t>
      </w:r>
      <w:r w:rsidRPr="00C60D57">
        <w:t>条第</w:t>
      </w:r>
      <w:r>
        <w:t>3</w:t>
      </w:r>
      <w:r w:rsidRPr="00C60D57">
        <w:t>款；</w:t>
      </w:r>
      <w:r w:rsidRPr="00BD4A62">
        <w:t>《制止危及海上航行安全非法行为公约》</w:t>
      </w:r>
      <w:r>
        <w:t>(</w:t>
      </w:r>
      <w:r w:rsidRPr="00C60D57">
        <w:t>1988</w:t>
      </w:r>
      <w:r w:rsidRPr="00C60D57">
        <w:t>年</w:t>
      </w:r>
      <w:r w:rsidRPr="00C60D57">
        <w:t>3</w:t>
      </w:r>
      <w:r w:rsidRPr="00C60D57">
        <w:t>月</w:t>
      </w:r>
      <w:r w:rsidRPr="00C60D57">
        <w:t>10</w:t>
      </w:r>
      <w:r w:rsidRPr="00C60D57">
        <w:t>日，罗马</w:t>
      </w:r>
      <w:r>
        <w:t>)</w:t>
      </w:r>
      <w:r>
        <w:t>，联合国</w:t>
      </w:r>
      <w:r>
        <w:rPr>
          <w:rFonts w:hint="eastAsia"/>
        </w:rPr>
        <w:t>,</w:t>
      </w:r>
      <w:r w:rsidRPr="00C60D57">
        <w:t>《条约汇编》，第</w:t>
      </w:r>
      <w:r w:rsidRPr="00C60D57">
        <w:t>1678</w:t>
      </w:r>
      <w:r w:rsidRPr="00C60D57">
        <w:t>卷，第</w:t>
      </w:r>
      <w:r w:rsidRPr="00C60D57">
        <w:t>29004</w:t>
      </w:r>
      <w:r w:rsidRPr="00C60D57">
        <w:t>号，第</w:t>
      </w:r>
      <w:r>
        <w:t>2</w:t>
      </w:r>
      <w:r>
        <w:rPr>
          <w:rFonts w:hint="eastAsia"/>
        </w:rPr>
        <w:t>0</w:t>
      </w:r>
      <w:r>
        <w:t>1</w:t>
      </w:r>
      <w:r w:rsidRPr="00C60D57">
        <w:t>页，第十条第</w:t>
      </w:r>
      <w:r>
        <w:t>2</w:t>
      </w:r>
      <w:r w:rsidRPr="00C60D57">
        <w:t>款；</w:t>
      </w:r>
      <w:r w:rsidRPr="00BD4A62">
        <w:t>《儿童权利公约》</w:t>
      </w:r>
      <w:r>
        <w:t>(</w:t>
      </w:r>
      <w:r w:rsidRPr="00C60D57">
        <w:t>1989</w:t>
      </w:r>
      <w:r w:rsidRPr="00C60D57">
        <w:t>年</w:t>
      </w:r>
      <w:r>
        <w:t>11</w:t>
      </w:r>
      <w:r w:rsidRPr="00C60D57">
        <w:t>月</w:t>
      </w:r>
      <w:r>
        <w:t>2</w:t>
      </w:r>
      <w:r>
        <w:rPr>
          <w:rFonts w:hint="eastAsia"/>
        </w:rPr>
        <w:t>0</w:t>
      </w:r>
      <w:r w:rsidRPr="00C60D57">
        <w:t>日，纽约</w:t>
      </w:r>
      <w:r>
        <w:t>)</w:t>
      </w:r>
      <w:r w:rsidRPr="00C60D57">
        <w:t>，同上，第</w:t>
      </w:r>
      <w:r w:rsidRPr="00C60D57">
        <w:t>1577</w:t>
      </w:r>
      <w:r w:rsidRPr="00C60D57">
        <w:t>卷，第</w:t>
      </w:r>
      <w:r w:rsidRPr="00C60D57">
        <w:t>27531</w:t>
      </w:r>
      <w:r w:rsidRPr="00C60D57">
        <w:t>号，第</w:t>
      </w:r>
      <w:r>
        <w:t>3</w:t>
      </w:r>
      <w:r w:rsidRPr="00C60D57">
        <w:t>页，第</w:t>
      </w:r>
      <w:r>
        <w:t>4</w:t>
      </w:r>
      <w:r>
        <w:rPr>
          <w:rFonts w:hint="eastAsia"/>
        </w:rPr>
        <w:t>0</w:t>
      </w:r>
      <w:r w:rsidRPr="00C60D57">
        <w:t>条第</w:t>
      </w:r>
      <w:r>
        <w:t>2</w:t>
      </w:r>
      <w:r w:rsidRPr="00C60D57">
        <w:t>款</w:t>
      </w:r>
      <w:r>
        <w:t>(</w:t>
      </w:r>
      <w:r w:rsidRPr="00C60D57">
        <w:t>b</w:t>
      </w:r>
      <w:r>
        <w:t>)</w:t>
      </w:r>
      <w:r w:rsidRPr="00C60D57">
        <w:t>项；</w:t>
      </w:r>
      <w:r w:rsidRPr="00BD4A62">
        <w:t>《反对招募、使用、资助和训练雇佣军国际公约》</w:t>
      </w:r>
      <w:r>
        <w:t>(</w:t>
      </w:r>
      <w:r w:rsidRPr="00C60D57">
        <w:t>1989</w:t>
      </w:r>
      <w:r w:rsidRPr="00C60D57">
        <w:t>年</w:t>
      </w:r>
      <w:r w:rsidRPr="00C60D57">
        <w:t>12</w:t>
      </w:r>
      <w:r w:rsidRPr="00C60D57">
        <w:t>月</w:t>
      </w:r>
      <w:r w:rsidRPr="00C60D57">
        <w:t>4</w:t>
      </w:r>
      <w:r w:rsidRPr="00C60D57">
        <w:t>日，纽约</w:t>
      </w:r>
      <w:r>
        <w:t>)</w:t>
      </w:r>
      <w:r w:rsidRPr="00C60D57">
        <w:t>，同上，第</w:t>
      </w:r>
      <w:r w:rsidRPr="00C60D57">
        <w:t>2163</w:t>
      </w:r>
      <w:r w:rsidRPr="00C60D57">
        <w:t>卷，第</w:t>
      </w:r>
      <w:r w:rsidRPr="00C60D57">
        <w:t>37789</w:t>
      </w:r>
      <w:r w:rsidRPr="00C60D57">
        <w:t>号，第</w:t>
      </w:r>
      <w:r w:rsidRPr="00C60D57">
        <w:t>75</w:t>
      </w:r>
      <w:r w:rsidRPr="00C60D57">
        <w:t>页，第</w:t>
      </w:r>
      <w:r w:rsidRPr="00C60D57">
        <w:t>11</w:t>
      </w:r>
      <w:r w:rsidRPr="00C60D57">
        <w:t>条；</w:t>
      </w:r>
      <w:r w:rsidRPr="00BD4A62">
        <w:t>《制止恐怖主义爆炸事件的国际公约》</w:t>
      </w:r>
      <w:r w:rsidRPr="00C60D57">
        <w:t>，第</w:t>
      </w:r>
      <w:r w:rsidRPr="00C60D57">
        <w:t>14</w:t>
      </w:r>
      <w:r w:rsidRPr="00C60D57">
        <w:t>条；《</w:t>
      </w:r>
      <w:r>
        <w:t>1954</w:t>
      </w:r>
      <w:r w:rsidRPr="00C60D57">
        <w:t>年关于发生武装冲突时保护文化财产的海牙公约第二议定书》</w:t>
      </w:r>
      <w:r>
        <w:t>(</w:t>
      </w:r>
      <w:r w:rsidRPr="00C60D57">
        <w:t>1999</w:t>
      </w:r>
      <w:r w:rsidRPr="00C60D57">
        <w:t>年</w:t>
      </w:r>
      <w:r w:rsidRPr="00C60D57">
        <w:t>3</w:t>
      </w:r>
      <w:r w:rsidRPr="00C60D57">
        <w:t>月</w:t>
      </w:r>
      <w:r w:rsidRPr="00C60D57">
        <w:t>26</w:t>
      </w:r>
      <w:r w:rsidRPr="00C60D57">
        <w:t>日，海牙</w:t>
      </w:r>
      <w:r>
        <w:t>)</w:t>
      </w:r>
      <w:r w:rsidRPr="00C60D57">
        <w:t>，联合国，《条约汇编》，第</w:t>
      </w:r>
      <w:r w:rsidRPr="00C60D57">
        <w:t>2253</w:t>
      </w:r>
      <w:r w:rsidRPr="00C60D57">
        <w:t>卷，第</w:t>
      </w:r>
      <w:r w:rsidRPr="00C60D57">
        <w:t>3511</w:t>
      </w:r>
      <w:r w:rsidRPr="00C60D57">
        <w:t>号，第</w:t>
      </w:r>
      <w:r w:rsidRPr="00C60D57">
        <w:t>17</w:t>
      </w:r>
      <w:r w:rsidRPr="00C60D57">
        <w:t>条第</w:t>
      </w:r>
      <w:r w:rsidRPr="00C60D57">
        <w:t>2</w:t>
      </w:r>
      <w:r w:rsidRPr="00C60D57">
        <w:t>款；</w:t>
      </w:r>
      <w:r w:rsidRPr="00BD4A62">
        <w:t>《制止向恐怖主义提供资助的国际公约》</w:t>
      </w:r>
      <w:r w:rsidRPr="00C60D57">
        <w:t>，第</w:t>
      </w:r>
      <w:r>
        <w:t>17</w:t>
      </w:r>
      <w:r w:rsidRPr="00C60D57">
        <w:t>条；</w:t>
      </w:r>
      <w:r w:rsidRPr="00BD4A62">
        <w:t>《联合国打击跨国有组织犯罪公约》</w:t>
      </w:r>
      <w:r w:rsidRPr="00C60D57">
        <w:t>，第</w:t>
      </w:r>
      <w:r>
        <w:t>16</w:t>
      </w:r>
      <w:r w:rsidRPr="00C60D57">
        <w:t>条第</w:t>
      </w:r>
      <w:r>
        <w:t>13</w:t>
      </w:r>
      <w:r w:rsidRPr="00C60D57">
        <w:t>款；</w:t>
      </w:r>
      <w:r w:rsidRPr="00BD4A62">
        <w:t>《联合国反腐败公约》</w:t>
      </w:r>
      <w:r>
        <w:t>(</w:t>
      </w:r>
      <w:r w:rsidRPr="00C60D57">
        <w:t>2003</w:t>
      </w:r>
      <w:r w:rsidRPr="00C60D57">
        <w:t>年</w:t>
      </w:r>
      <w:r>
        <w:t>1</w:t>
      </w:r>
      <w:r>
        <w:rPr>
          <w:rFonts w:hint="eastAsia"/>
        </w:rPr>
        <w:t>0</w:t>
      </w:r>
      <w:r w:rsidRPr="00C60D57">
        <w:t>月</w:t>
      </w:r>
      <w:r>
        <w:t>31</w:t>
      </w:r>
      <w:r w:rsidRPr="00C60D57">
        <w:t>日，纽约</w:t>
      </w:r>
      <w:r>
        <w:t>)</w:t>
      </w:r>
      <w:r w:rsidRPr="00C60D57">
        <w:t>，联合国，《条约汇编》，第</w:t>
      </w:r>
      <w:r w:rsidRPr="00C60D57">
        <w:t>2349</w:t>
      </w:r>
      <w:r w:rsidRPr="00C60D57">
        <w:t>卷，第</w:t>
      </w:r>
      <w:r w:rsidRPr="00C60D57">
        <w:t>42146</w:t>
      </w:r>
      <w:r w:rsidRPr="00C60D57">
        <w:t>号，第</w:t>
      </w:r>
      <w:r w:rsidRPr="00C60D57">
        <w:t>41</w:t>
      </w:r>
      <w:r w:rsidRPr="00C60D57">
        <w:t>页，第四十四条第十四款；</w:t>
      </w:r>
      <w:r w:rsidRPr="00BD4A62">
        <w:t>《制止核恐怖主义行为国际公约》</w:t>
      </w:r>
      <w:r>
        <w:t>(</w:t>
      </w:r>
      <w:r w:rsidRPr="00C60D57">
        <w:t>2005</w:t>
      </w:r>
      <w:r w:rsidRPr="00C60D57">
        <w:t>年</w:t>
      </w:r>
      <w:r w:rsidRPr="00C60D57">
        <w:t>4</w:t>
      </w:r>
      <w:r w:rsidRPr="00C60D57">
        <w:t>月</w:t>
      </w:r>
      <w:r w:rsidRPr="00C60D57">
        <w:t>13</w:t>
      </w:r>
      <w:r w:rsidRPr="00C60D57">
        <w:t>日，纽约</w:t>
      </w:r>
      <w:r>
        <w:t>)</w:t>
      </w:r>
      <w:r w:rsidRPr="00C60D57">
        <w:t>，同上，第</w:t>
      </w:r>
      <w:r w:rsidRPr="00C60D57">
        <w:t>2445</w:t>
      </w:r>
      <w:r w:rsidRPr="00C60D57">
        <w:t>卷，第</w:t>
      </w:r>
      <w:r w:rsidRPr="00C60D57">
        <w:t>44004</w:t>
      </w:r>
      <w:r w:rsidRPr="00C60D57">
        <w:t>号，第</w:t>
      </w:r>
      <w:r w:rsidRPr="00C60D57">
        <w:t>89</w:t>
      </w:r>
      <w:r w:rsidRPr="00C60D57">
        <w:t>页，第十二条；</w:t>
      </w:r>
      <w:r w:rsidRPr="00BD4A62">
        <w:t>《保护所有人免遭强迫失踪国际公约》</w:t>
      </w:r>
      <w:r w:rsidRPr="00C60D57">
        <w:t>，第十一条第三款；</w:t>
      </w:r>
      <w:r w:rsidRPr="00BD4A62">
        <w:t>《东盟反恐公约》</w:t>
      </w:r>
      <w:r w:rsidRPr="00C60D57">
        <w:t>，第八条第</w:t>
      </w:r>
      <w:r>
        <w:t>1</w:t>
      </w:r>
      <w:r w:rsidRPr="00C60D57">
        <w:t>款。</w:t>
      </w:r>
    </w:p>
  </w:footnote>
  <w:footnote w:id="1219">
    <w:p w:rsidR="00AB00DE" w:rsidRPr="00C60D57" w:rsidRDefault="00AB00DE" w:rsidP="00AC70E2">
      <w:pPr>
        <w:pStyle w:val="a4"/>
      </w:pPr>
      <w:r w:rsidRPr="00C60D57">
        <w:tab/>
      </w:r>
      <w:r w:rsidRPr="00193F6E">
        <w:rPr>
          <w:rStyle w:val="a5"/>
          <w:szCs w:val="21"/>
        </w:rPr>
        <w:footnoteRef/>
      </w:r>
      <w:r w:rsidRPr="00C60D57">
        <w:tab/>
      </w:r>
      <w:r w:rsidRPr="00C60D57">
        <w:t>《</w:t>
      </w:r>
      <w:r w:rsidRPr="00C60D57">
        <w:t>1972</w:t>
      </w:r>
      <w:r w:rsidRPr="00C60D57">
        <w:t>年</w:t>
      </w:r>
      <w:r w:rsidRPr="002E28D0">
        <w:rPr>
          <w:rFonts w:cs="Arial Unicode MS" w:hint="eastAsia"/>
          <w:u w:color="000000"/>
          <w:bdr w:val="nil"/>
          <w:lang w:val="en-GB"/>
        </w:rPr>
        <w:t>……</w:t>
      </w:r>
      <w:r w:rsidRPr="00C60D57">
        <w:t>年鉴》，第二卷，</w:t>
      </w:r>
      <w:r w:rsidRPr="00C60D57">
        <w:t>A/8710/</w:t>
      </w:r>
      <w:r>
        <w:rPr>
          <w:rFonts w:hint="eastAsia"/>
        </w:rPr>
        <w:t>R</w:t>
      </w:r>
      <w:r w:rsidRPr="00C60D57">
        <w:t>ev.1</w:t>
      </w:r>
      <w:r w:rsidRPr="00C60D57">
        <w:t>号文件，第三章</w:t>
      </w:r>
      <w:r w:rsidRPr="00C60D57">
        <w:t>B</w:t>
      </w:r>
      <w:r w:rsidRPr="00C60D57">
        <w:t>节</w:t>
      </w:r>
      <w:r>
        <w:t>(</w:t>
      </w:r>
      <w:r w:rsidRPr="00C60D57">
        <w:t>关于防止及惩治侵害外交代表和其他应受国际保护人员的罪行的条款草案</w:t>
      </w:r>
      <w:r>
        <w:t>)</w:t>
      </w:r>
      <w:r w:rsidRPr="00C60D57">
        <w:t>，第</w:t>
      </w:r>
      <w:r w:rsidRPr="00C60D57">
        <w:t>8</w:t>
      </w:r>
      <w:r w:rsidRPr="00C60D57">
        <w:t>条的评注，第</w:t>
      </w:r>
      <w:r w:rsidRPr="00C60D57">
        <w:t>320</w:t>
      </w:r>
      <w:r w:rsidRPr="00C60D57">
        <w:t>页。</w:t>
      </w:r>
    </w:p>
  </w:footnote>
  <w:footnote w:id="1220">
    <w:p w:rsidR="00AB00DE" w:rsidRPr="00C60D57" w:rsidRDefault="00AB00DE" w:rsidP="00CD5A8C">
      <w:pPr>
        <w:pStyle w:val="a4"/>
      </w:pPr>
      <w:r w:rsidRPr="00C60D57">
        <w:tab/>
      </w:r>
      <w:r w:rsidRPr="00193F6E">
        <w:rPr>
          <w:rStyle w:val="a5"/>
          <w:szCs w:val="21"/>
        </w:rPr>
        <w:footnoteRef/>
      </w:r>
      <w:r w:rsidRPr="00C60D57">
        <w:tab/>
      </w:r>
      <w:r w:rsidRPr="00C60D57">
        <w:t>同上。</w:t>
      </w:r>
    </w:p>
  </w:footnote>
  <w:footnote w:id="1221">
    <w:p w:rsidR="00AB00DE" w:rsidRPr="00C60D57" w:rsidRDefault="00AB00DE" w:rsidP="00CD5A8C">
      <w:pPr>
        <w:pStyle w:val="a4"/>
      </w:pPr>
      <w:r w:rsidRPr="00C60D57">
        <w:tab/>
      </w:r>
      <w:r w:rsidRPr="00193F6E">
        <w:rPr>
          <w:rStyle w:val="a5"/>
          <w:szCs w:val="21"/>
        </w:rPr>
        <w:footnoteRef/>
      </w:r>
      <w:r w:rsidRPr="00C60D57">
        <w:tab/>
      </w:r>
      <w:r w:rsidRPr="00C60D57">
        <w:t>同上。</w:t>
      </w:r>
    </w:p>
  </w:footnote>
  <w:footnote w:id="1222">
    <w:p w:rsidR="00AB00DE" w:rsidRPr="00C60D57" w:rsidRDefault="00AB00DE" w:rsidP="00CD5A8C">
      <w:pPr>
        <w:pStyle w:val="a4"/>
      </w:pPr>
      <w:r w:rsidRPr="00C60D57">
        <w:tab/>
      </w:r>
      <w:r w:rsidRPr="00193F6E">
        <w:rPr>
          <w:rStyle w:val="a5"/>
          <w:szCs w:val="21"/>
        </w:rPr>
        <w:footnoteRef/>
      </w:r>
      <w:r w:rsidRPr="00C60D57">
        <w:tab/>
      </w:r>
      <w:r w:rsidRPr="006F7AE0">
        <w:t>人权事务委员会第</w:t>
      </w:r>
      <w:r w:rsidRPr="006F7AE0">
        <w:t>32</w:t>
      </w:r>
      <w:r w:rsidRPr="006F7AE0">
        <w:t>号一般性意见</w:t>
      </w:r>
      <w:r>
        <w:t>(</w:t>
      </w:r>
      <w:r w:rsidRPr="00C60D57">
        <w:t>2007</w:t>
      </w:r>
      <w:r w:rsidRPr="00C60D57">
        <w:t>年</w:t>
      </w:r>
      <w:r>
        <w:t>)</w:t>
      </w:r>
      <w:r w:rsidRPr="00C60D57">
        <w:t>，第十四条</w:t>
      </w:r>
      <w:r>
        <w:t>(</w:t>
      </w:r>
      <w:r w:rsidRPr="00C60D57">
        <w:t>在法庭和裁判所前一律平等和获得公正审判的权利</w:t>
      </w:r>
      <w:r>
        <w:t>)</w:t>
      </w:r>
      <w:r w:rsidRPr="00C60D57">
        <w:t>，</w:t>
      </w:r>
      <w:r>
        <w:rPr>
          <w:rFonts w:eastAsiaTheme="minorEastAsia" w:hint="eastAsia"/>
        </w:rPr>
        <w:t>《大会正式记录，第六十二届会议，补编第</w:t>
      </w:r>
      <w:r>
        <w:rPr>
          <w:rFonts w:eastAsiaTheme="minorEastAsia" w:hint="eastAsia"/>
        </w:rPr>
        <w:t>40</w:t>
      </w:r>
      <w:r>
        <w:rPr>
          <w:rFonts w:eastAsiaTheme="minorEastAsia" w:hint="eastAsia"/>
        </w:rPr>
        <w:t>号》</w:t>
      </w:r>
      <w:r>
        <w:rPr>
          <w:rFonts w:eastAsiaTheme="minorEastAsia" w:hint="eastAsia"/>
        </w:rPr>
        <w:t>(A/62/40)</w:t>
      </w:r>
      <w:r>
        <w:rPr>
          <w:rFonts w:eastAsiaTheme="minorEastAsia" w:hint="eastAsia"/>
        </w:rPr>
        <w:t>，</w:t>
      </w:r>
      <w:r w:rsidRPr="00C60D57">
        <w:t>附件六，第</w:t>
      </w:r>
      <w:r w:rsidRPr="00C60D57">
        <w:t>2</w:t>
      </w:r>
      <w:r w:rsidRPr="00C60D57">
        <w:t>段；另见第</w:t>
      </w:r>
      <w:r w:rsidRPr="00C60D57">
        <w:t>18-28</w:t>
      </w:r>
      <w:r w:rsidRPr="00C60D57">
        <w:t>段。</w:t>
      </w:r>
    </w:p>
  </w:footnote>
  <w:footnote w:id="1223">
    <w:p w:rsidR="00AB00DE" w:rsidRPr="00C60D57" w:rsidRDefault="00AB00DE" w:rsidP="00CD5A8C">
      <w:pPr>
        <w:pStyle w:val="a4"/>
      </w:pPr>
      <w:r w:rsidRPr="00C60D57">
        <w:tab/>
      </w:r>
      <w:r w:rsidRPr="00193F6E">
        <w:rPr>
          <w:rStyle w:val="a5"/>
          <w:szCs w:val="21"/>
        </w:rPr>
        <w:footnoteRef/>
      </w:r>
      <w:r w:rsidRPr="00C60D57">
        <w:tab/>
      </w:r>
      <w:r>
        <w:t>例如见</w:t>
      </w:r>
      <w:r w:rsidRPr="00C60D57">
        <w:t>《美洲人权公约：</w:t>
      </w:r>
      <w:r>
        <w:rPr>
          <w:rFonts w:hint="eastAsia"/>
        </w:rPr>
        <w:t>“</w:t>
      </w:r>
      <w:r w:rsidRPr="00C60D57">
        <w:t>哥斯达黎加圣何塞公约</w:t>
      </w:r>
      <w:r>
        <w:rPr>
          <w:rFonts w:hint="eastAsia"/>
        </w:rPr>
        <w:t>”</w:t>
      </w:r>
      <w:r w:rsidRPr="00C60D57">
        <w:t>》</w:t>
      </w:r>
      <w:r>
        <w:t>(</w:t>
      </w:r>
      <w:r w:rsidRPr="00C60D57">
        <w:t>1969</w:t>
      </w:r>
      <w:r w:rsidRPr="00C60D57">
        <w:t>年</w:t>
      </w:r>
      <w:r w:rsidRPr="00C60D57">
        <w:t>11</w:t>
      </w:r>
      <w:r w:rsidRPr="00C60D57">
        <w:t>月</w:t>
      </w:r>
      <w:r w:rsidRPr="00C60D57">
        <w:t>22</w:t>
      </w:r>
      <w:r w:rsidRPr="00C60D57">
        <w:t>日，圣何塞</w:t>
      </w:r>
      <w:r>
        <w:t>)</w:t>
      </w:r>
      <w:r w:rsidRPr="00C60D57">
        <w:t>，联合国，《条约汇编》，第</w:t>
      </w:r>
      <w:r w:rsidRPr="00C60D57">
        <w:t>1144</w:t>
      </w:r>
      <w:r w:rsidRPr="00C60D57">
        <w:t>卷，第</w:t>
      </w:r>
      <w:r w:rsidRPr="00C60D57">
        <w:t>17955</w:t>
      </w:r>
      <w:r w:rsidRPr="00C60D57">
        <w:t>号，第</w:t>
      </w:r>
      <w:r w:rsidRPr="00C60D57">
        <w:t>123</w:t>
      </w:r>
      <w:r w:rsidRPr="00C60D57">
        <w:t>页，第八条；《非洲人权和人民权利宪章》</w:t>
      </w:r>
      <w:r>
        <w:t>(</w:t>
      </w:r>
      <w:r w:rsidRPr="00C60D57">
        <w:t>1981</w:t>
      </w:r>
      <w:r w:rsidRPr="00C60D57">
        <w:t>年</w:t>
      </w:r>
      <w:r w:rsidRPr="00C60D57">
        <w:t>6</w:t>
      </w:r>
      <w:r w:rsidRPr="00C60D57">
        <w:t>月</w:t>
      </w:r>
      <w:r w:rsidRPr="00C60D57">
        <w:t>27</w:t>
      </w:r>
      <w:r w:rsidRPr="00C60D57">
        <w:t>日，内罗毕</w:t>
      </w:r>
      <w:r>
        <w:t>)</w:t>
      </w:r>
      <w:r w:rsidRPr="00C60D57">
        <w:t>，同上，第</w:t>
      </w:r>
      <w:r w:rsidRPr="00C60D57">
        <w:t>1520</w:t>
      </w:r>
      <w:r w:rsidRPr="00C60D57">
        <w:t>卷，第</w:t>
      </w:r>
      <w:r w:rsidRPr="00C60D57">
        <w:t>26363</w:t>
      </w:r>
      <w:r w:rsidRPr="00C60D57">
        <w:t>号，第</w:t>
      </w:r>
      <w:r w:rsidRPr="00C60D57">
        <w:t>217</w:t>
      </w:r>
      <w:r w:rsidRPr="00C60D57">
        <w:t>页，第七条；《保护人权与基本自由公约》</w:t>
      </w:r>
      <w:r>
        <w:t>(</w:t>
      </w:r>
      <w:r w:rsidRPr="00C60D57">
        <w:t>1950</w:t>
      </w:r>
      <w:r w:rsidRPr="00C60D57">
        <w:t>年</w:t>
      </w:r>
      <w:r w:rsidRPr="00C60D57">
        <w:t>11</w:t>
      </w:r>
      <w:r w:rsidRPr="00C60D57">
        <w:t>月</w:t>
      </w:r>
      <w:r w:rsidRPr="00C60D57">
        <w:t>4</w:t>
      </w:r>
      <w:r w:rsidRPr="00C60D57">
        <w:t>日，罗马</w:t>
      </w:r>
      <w:r>
        <w:t>)</w:t>
      </w:r>
      <w:r w:rsidRPr="00C60D57">
        <w:t>，同上，第</w:t>
      </w:r>
      <w:r w:rsidRPr="00C60D57">
        <w:t>213</w:t>
      </w:r>
      <w:r w:rsidRPr="00C60D57">
        <w:t>卷，第</w:t>
      </w:r>
      <w:r w:rsidRPr="00C60D57">
        <w:t>2889</w:t>
      </w:r>
      <w:r w:rsidRPr="00C60D57">
        <w:t>号，第</w:t>
      </w:r>
      <w:r w:rsidRPr="00C60D57">
        <w:t>221</w:t>
      </w:r>
      <w:r w:rsidRPr="00C60D57">
        <w:t>页，第六条。</w:t>
      </w:r>
    </w:p>
  </w:footnote>
  <w:footnote w:id="1224">
    <w:p w:rsidR="00AB00DE" w:rsidRPr="00C60D57" w:rsidRDefault="00AB00DE" w:rsidP="00334F8C">
      <w:pPr>
        <w:pStyle w:val="a4"/>
      </w:pPr>
      <w:r w:rsidRPr="00C60D57">
        <w:tab/>
      </w:r>
      <w:r w:rsidRPr="00193F6E">
        <w:rPr>
          <w:rStyle w:val="a5"/>
          <w:szCs w:val="21"/>
        </w:rPr>
        <w:footnoteRef/>
      </w:r>
      <w:r w:rsidRPr="00C60D57">
        <w:tab/>
      </w:r>
      <w:r>
        <w:t>例如见</w:t>
      </w:r>
      <w:r w:rsidRPr="00C60D57">
        <w:t>《世界人权宣言》</w:t>
      </w:r>
      <w:r>
        <w:t>(</w:t>
      </w:r>
      <w:r w:rsidRPr="00C60D57">
        <w:t>上文脚注</w:t>
      </w:r>
      <w:r>
        <w:rPr>
          <w:rFonts w:eastAsiaTheme="minorEastAsia"/>
        </w:rPr>
        <w:fldChar w:fldCharType="begin"/>
      </w:r>
      <w:r>
        <w:instrText xml:space="preserve"> NOTEREF _Ref453701683 \h </w:instrText>
      </w:r>
      <w:r>
        <w:rPr>
          <w:rFonts w:eastAsiaTheme="minorEastAsia"/>
        </w:rPr>
      </w:r>
      <w:r>
        <w:rPr>
          <w:rFonts w:eastAsiaTheme="minorEastAsia"/>
        </w:rPr>
        <w:fldChar w:fldCharType="separate"/>
      </w:r>
      <w:r w:rsidR="00A73EB9">
        <w:t>1216</w:t>
      </w:r>
      <w:r>
        <w:rPr>
          <w:rFonts w:eastAsiaTheme="minorEastAsia"/>
        </w:rPr>
        <w:fldChar w:fldCharType="end"/>
      </w:r>
      <w:r>
        <w:t>)</w:t>
      </w:r>
      <w:r w:rsidRPr="00C60D57">
        <w:t>；第九届美洲国家国际会议通过的《美洲关于人的权利和义务宣言》</w:t>
      </w:r>
      <w:r>
        <w:t>(</w:t>
      </w:r>
      <w:r w:rsidRPr="00C60D57">
        <w:t>1948</w:t>
      </w:r>
      <w:r w:rsidRPr="00C60D57">
        <w:t>年</w:t>
      </w:r>
      <w:r>
        <w:t>5</w:t>
      </w:r>
      <w:r w:rsidRPr="00C60D57">
        <w:t>月</w:t>
      </w:r>
      <w:r>
        <w:t>2</w:t>
      </w:r>
      <w:r w:rsidRPr="00C60D57">
        <w:t>日，波哥大</w:t>
      </w:r>
      <w:r>
        <w:t>)(</w:t>
      </w:r>
      <w:r>
        <w:rPr>
          <w:rFonts w:eastAsiaTheme="minorEastAsia" w:hint="eastAsia"/>
        </w:rPr>
        <w:t>见</w:t>
      </w:r>
      <w:r w:rsidRPr="00AC70E2">
        <w:rPr>
          <w:u w:color="0000FF"/>
        </w:rPr>
        <w:t>www.oas.org/dil/1948%20American%2012</w:t>
      </w:r>
      <w:r>
        <w:rPr>
          <w:rFonts w:hint="eastAsia"/>
          <w:u w:color="0000FF"/>
        </w:rPr>
        <w:t xml:space="preserve"> </w:t>
      </w:r>
      <w:r w:rsidRPr="00CD5A8C">
        <w:rPr>
          <w:u w:color="0000FF"/>
        </w:rPr>
        <w:t>laration%</w:t>
      </w:r>
      <w:r w:rsidRPr="00CD5A8C">
        <w:rPr>
          <w:rFonts w:hint="eastAsia"/>
          <w:u w:color="0000FF"/>
        </w:rPr>
        <w:t xml:space="preserve"> </w:t>
      </w:r>
      <w:r w:rsidRPr="00CD5A8C">
        <w:rPr>
          <w:u w:color="0000FF"/>
        </w:rPr>
        <w:t>20of%20the%20Rights%20and%20Duties%20</w:t>
      </w:r>
      <w:r w:rsidRPr="00CD5A8C">
        <w:rPr>
          <w:rFonts w:hint="eastAsia"/>
          <w:u w:color="0000FF"/>
        </w:rPr>
        <w:t xml:space="preserve"> </w:t>
      </w:r>
      <w:r w:rsidRPr="00CD5A8C">
        <w:rPr>
          <w:u w:color="0000FF"/>
        </w:rPr>
        <w:t>of%20Man.pdf</w:t>
      </w:r>
      <w:r>
        <w:t>)</w:t>
      </w:r>
      <w:r>
        <w:t>；</w:t>
      </w:r>
      <w:r w:rsidRPr="00C60D57">
        <w:t>《开罗伊斯兰人权宣言》，伊斯兰合作组织第</w:t>
      </w:r>
      <w:r w:rsidRPr="00C60D57">
        <w:t>49/19-P</w:t>
      </w:r>
      <w:r w:rsidRPr="00C60D57">
        <w:t>号决议，附件，可查阅</w:t>
      </w:r>
      <w:r>
        <w:rPr>
          <w:rFonts w:hint="eastAsia"/>
        </w:rPr>
        <w:t xml:space="preserve"> </w:t>
      </w:r>
      <w:r w:rsidRPr="00AC70E2">
        <w:t>www.oicoci.org/english/article/</w:t>
      </w:r>
      <w:r>
        <w:rPr>
          <w:rFonts w:hint="eastAsia"/>
        </w:rPr>
        <w:t xml:space="preserve"> </w:t>
      </w:r>
      <w:r w:rsidRPr="00CD5A8C">
        <w:t>human.htm</w:t>
      </w:r>
      <w:r>
        <w:t>；《欧洲联盟基本权利宪章》</w:t>
      </w:r>
      <w:r>
        <w:rPr>
          <w:rFonts w:hint="eastAsia"/>
        </w:rPr>
        <w:t>,</w:t>
      </w:r>
      <w:r w:rsidRPr="00C60D57">
        <w:t>《欧洲共同体公报》，</w:t>
      </w:r>
      <w:r w:rsidRPr="00C60D57">
        <w:t>C 364</w:t>
      </w:r>
      <w:r w:rsidRPr="00C60D57">
        <w:t>号，</w:t>
      </w:r>
      <w:r w:rsidRPr="00C60D57">
        <w:t>2000</w:t>
      </w:r>
      <w:r w:rsidRPr="00C60D57">
        <w:t>年</w:t>
      </w:r>
      <w:r w:rsidRPr="00C60D57">
        <w:t>12</w:t>
      </w:r>
      <w:r w:rsidRPr="00C60D57">
        <w:t>月</w:t>
      </w:r>
      <w:r w:rsidRPr="00C60D57">
        <w:t>18</w:t>
      </w:r>
      <w:r w:rsidRPr="00C60D57">
        <w:t>日，第</w:t>
      </w:r>
      <w:r w:rsidRPr="00C60D57">
        <w:t>1</w:t>
      </w:r>
      <w:r w:rsidRPr="00C60D57">
        <w:t>页。</w:t>
      </w:r>
    </w:p>
  </w:footnote>
  <w:footnote w:id="1225">
    <w:p w:rsidR="00AB00DE" w:rsidRPr="00C60D57" w:rsidRDefault="00AB00DE" w:rsidP="00CD5A8C">
      <w:pPr>
        <w:pStyle w:val="a4"/>
      </w:pPr>
      <w:r w:rsidRPr="00C60D57">
        <w:tab/>
      </w:r>
      <w:r w:rsidRPr="00193F6E">
        <w:rPr>
          <w:rStyle w:val="a5"/>
          <w:szCs w:val="21"/>
        </w:rPr>
        <w:footnoteRef/>
      </w:r>
      <w:r w:rsidRPr="00C60D57">
        <w:tab/>
      </w:r>
      <w:r w:rsidRPr="00E30C1F">
        <w:t>《维也纳领事关系公约》</w:t>
      </w:r>
      <w:r>
        <w:t>(</w:t>
      </w:r>
      <w:r w:rsidRPr="00C60D57">
        <w:t>1963</w:t>
      </w:r>
      <w:r w:rsidRPr="00C60D57">
        <w:t>年</w:t>
      </w:r>
      <w:r>
        <w:t>4</w:t>
      </w:r>
      <w:r w:rsidRPr="00C60D57">
        <w:t>月</w:t>
      </w:r>
      <w:r>
        <w:t>24</w:t>
      </w:r>
      <w:r w:rsidRPr="00C60D57">
        <w:t>日，维也纳</w:t>
      </w:r>
      <w:r>
        <w:t>)</w:t>
      </w:r>
      <w:r>
        <w:t>，</w:t>
      </w:r>
      <w:r w:rsidRPr="00C60D57">
        <w:t>联合国，《条约汇编》</w:t>
      </w:r>
      <w:r>
        <w:rPr>
          <w:rFonts w:eastAsiaTheme="minorEastAsia" w:hint="eastAsia"/>
        </w:rPr>
        <w:t>，</w:t>
      </w:r>
      <w:r w:rsidRPr="00C60D57">
        <w:t>第</w:t>
      </w:r>
      <w:r w:rsidRPr="00C60D57">
        <w:t>596</w:t>
      </w:r>
      <w:r w:rsidRPr="00C60D57">
        <w:t>卷，第</w:t>
      </w:r>
      <w:r w:rsidRPr="00C60D57">
        <w:t>8638</w:t>
      </w:r>
      <w:r w:rsidRPr="00C60D57">
        <w:t>号，第</w:t>
      </w:r>
      <w:r w:rsidRPr="00C60D57">
        <w:t>261</w:t>
      </w:r>
      <w:r w:rsidRPr="00C60D57">
        <w:t>页，第三十六条第一款。</w:t>
      </w:r>
    </w:p>
  </w:footnote>
  <w:footnote w:id="1226">
    <w:p w:rsidR="00AB00DE" w:rsidRPr="00C60D57" w:rsidRDefault="00AB00DE" w:rsidP="00CD5A8C">
      <w:pPr>
        <w:pStyle w:val="a4"/>
      </w:pPr>
      <w:r w:rsidRPr="00C60D57">
        <w:tab/>
      </w:r>
      <w:r w:rsidRPr="00193F6E">
        <w:rPr>
          <w:rStyle w:val="a5"/>
          <w:szCs w:val="21"/>
        </w:rPr>
        <w:footnoteRef/>
      </w:r>
      <w:r w:rsidRPr="00C60D57">
        <w:tab/>
      </w:r>
      <w:r w:rsidRPr="00983BE3">
        <w:rPr>
          <w:rFonts w:eastAsia="楷体"/>
        </w:rPr>
        <w:t>拉格朗案</w:t>
      </w:r>
      <w:r>
        <w:t>(</w:t>
      </w:r>
      <w:r w:rsidRPr="001F6EA8">
        <w:rPr>
          <w:rFonts w:ascii="Time New Roman" w:eastAsia="楷体" w:hAnsi="Time New Roman"/>
        </w:rPr>
        <w:t>德国诉美利坚合众国</w:t>
      </w:r>
      <w:r>
        <w:t>)</w:t>
      </w:r>
      <w:r w:rsidRPr="00C60D57">
        <w:t>，判决，《</w:t>
      </w:r>
      <w:r w:rsidRPr="00C60D57">
        <w:t>2001</w:t>
      </w:r>
      <w:r w:rsidRPr="00C60D57">
        <w:t>年国际法院案例汇编》，第</w:t>
      </w:r>
      <w:r w:rsidRPr="00C60D57">
        <w:t>466</w:t>
      </w:r>
      <w:r w:rsidRPr="00C60D57">
        <w:t>页起，见第</w:t>
      </w:r>
      <w:hyperlink r:id="rId267" w:history="1">
        <w:r w:rsidRPr="00E30C1F">
          <w:t>492</w:t>
        </w:r>
        <w:r w:rsidRPr="00E30C1F">
          <w:t>页，第</w:t>
        </w:r>
        <w:r w:rsidRPr="00E30C1F">
          <w:t>74</w:t>
        </w:r>
      </w:hyperlink>
      <w:r w:rsidRPr="00E30C1F">
        <w:t>段</w:t>
      </w:r>
      <w:r>
        <w:t>，</w:t>
      </w:r>
      <w:r>
        <w:t>(</w:t>
      </w:r>
      <w:r>
        <w:rPr>
          <w:rFonts w:hint="eastAsia"/>
        </w:rPr>
        <w:t>“</w:t>
      </w:r>
      <w:r w:rsidRPr="00C60D57">
        <w:t>第三十六条第一款规定了一项旨在促进执行领事保护制度的互相关联的制度</w:t>
      </w:r>
      <w:r>
        <w:rPr>
          <w:rFonts w:hint="eastAsia"/>
        </w:rPr>
        <w:t>”</w:t>
      </w:r>
      <w:r>
        <w:t>)</w:t>
      </w:r>
      <w:r>
        <w:t>，</w:t>
      </w:r>
      <w:r w:rsidRPr="00C60D57">
        <w:t>并见第</w:t>
      </w:r>
      <w:r w:rsidRPr="00C60D57">
        <w:t>494</w:t>
      </w:r>
      <w:r w:rsidRPr="00C60D57">
        <w:t>页，第</w:t>
      </w:r>
      <w:r w:rsidRPr="00C60D57">
        <w:t>77</w:t>
      </w:r>
      <w:r w:rsidRPr="00C60D57">
        <w:t>段</w:t>
      </w:r>
      <w:r>
        <w:t>(</w:t>
      </w:r>
      <w:r>
        <w:rPr>
          <w:rFonts w:hint="eastAsia"/>
        </w:rPr>
        <w:t>“</w:t>
      </w:r>
      <w:r w:rsidRPr="00C60D57">
        <w:t>基于这些规定的案文，法院认为，第三十六条第一款确立了个人权利</w:t>
      </w:r>
      <w:r>
        <w:rPr>
          <w:rFonts w:hint="eastAsia"/>
        </w:rPr>
        <w:t>”</w:t>
      </w:r>
      <w:r>
        <w:t>)</w:t>
      </w:r>
      <w:r w:rsidRPr="00C60D57">
        <w:t>。</w:t>
      </w:r>
    </w:p>
  </w:footnote>
  <w:footnote w:id="1227">
    <w:p w:rsidR="00AB00DE" w:rsidRPr="00C60D57" w:rsidRDefault="00AB00DE" w:rsidP="00CD5A8C">
      <w:pPr>
        <w:pStyle w:val="a4"/>
      </w:pPr>
      <w:r w:rsidRPr="00C60D57">
        <w:tab/>
      </w:r>
      <w:r w:rsidRPr="00193F6E">
        <w:rPr>
          <w:rStyle w:val="a5"/>
          <w:szCs w:val="21"/>
        </w:rPr>
        <w:footnoteRef/>
      </w:r>
      <w:r w:rsidRPr="00C60D57">
        <w:tab/>
      </w:r>
      <w:r w:rsidRPr="00C60D57">
        <w:t>例如见</w:t>
      </w:r>
      <w:r w:rsidRPr="00E30C1F">
        <w:t>《关于制止非法劫持航空器的公约》</w:t>
      </w:r>
      <w:r>
        <w:t>，</w:t>
      </w:r>
      <w:r w:rsidRPr="00C60D57">
        <w:t>第六条</w:t>
      </w:r>
      <w:r>
        <w:t>；</w:t>
      </w:r>
      <w:r w:rsidRPr="00E30C1F">
        <w:t>《制止危害民用航空安全非法行为公约》</w:t>
      </w:r>
      <w:r>
        <w:t>，</w:t>
      </w:r>
      <w:r w:rsidRPr="00C60D57">
        <w:t>第六条第三款；</w:t>
      </w:r>
      <w:r w:rsidRPr="00E30C1F">
        <w:t>《关于防止和惩处侵害应受国际保护人员包括外交代表的罪行的公约》</w:t>
      </w:r>
      <w:r w:rsidRPr="00C60D57">
        <w:t>，第六条第</w:t>
      </w:r>
      <w:r>
        <w:t>2</w:t>
      </w:r>
      <w:r w:rsidRPr="00C60D57">
        <w:t>款；</w:t>
      </w:r>
      <w:r w:rsidRPr="00E30C1F">
        <w:t>《反对劫持人质国际公约》</w:t>
      </w:r>
      <w:r w:rsidRPr="00C60D57">
        <w:t>，第六条第</w:t>
      </w:r>
      <w:r>
        <w:t>3</w:t>
      </w:r>
      <w:r w:rsidRPr="00C60D57">
        <w:t>款；《禁止酷刑公约》第</w:t>
      </w:r>
      <w:r>
        <w:t>6</w:t>
      </w:r>
      <w:r w:rsidRPr="00C60D57">
        <w:t>条第</w:t>
      </w:r>
      <w:r>
        <w:t>3</w:t>
      </w:r>
      <w:r w:rsidRPr="00C60D57">
        <w:t>款；</w:t>
      </w:r>
      <w:r w:rsidRPr="00E30C1F">
        <w:t>《联合国人员和有关人员安全公约》</w:t>
      </w:r>
      <w:r w:rsidRPr="00C60D57">
        <w:t>，第十七条第二款；</w:t>
      </w:r>
      <w:r w:rsidRPr="00E30C1F">
        <w:t>《制止恐怖主义爆炸事件的国际公约》</w:t>
      </w:r>
      <w:r>
        <w:t>，</w:t>
      </w:r>
      <w:r w:rsidRPr="00C60D57">
        <w:t>第</w:t>
      </w:r>
      <w:r w:rsidRPr="00C60D57">
        <w:t>7</w:t>
      </w:r>
      <w:r w:rsidRPr="00C60D57">
        <w:t>条第</w:t>
      </w:r>
      <w:r w:rsidRPr="00C60D57">
        <w:t>3</w:t>
      </w:r>
      <w:r w:rsidRPr="00C60D57">
        <w:t>款；</w:t>
      </w:r>
      <w:r w:rsidRPr="00E30C1F">
        <w:t>《制止向恐怖主义提供资助的国际公约》</w:t>
      </w:r>
      <w:r>
        <w:t>，</w:t>
      </w:r>
      <w:r w:rsidRPr="00C60D57">
        <w:t>第</w:t>
      </w:r>
      <w:r w:rsidRPr="00C60D57">
        <w:t>9</w:t>
      </w:r>
      <w:r w:rsidRPr="00C60D57">
        <w:t>条第</w:t>
      </w:r>
      <w:r>
        <w:t>3</w:t>
      </w:r>
      <w:r w:rsidRPr="00C60D57">
        <w:t>款；</w:t>
      </w:r>
      <w:r w:rsidRPr="00E30C1F">
        <w:t>《非统组织防止和打击恐怖主义公约》</w:t>
      </w:r>
      <w:r w:rsidRPr="00C60D57">
        <w:t>，第七条第</w:t>
      </w:r>
      <w:r>
        <w:t>3</w:t>
      </w:r>
      <w:r w:rsidRPr="00C60D57">
        <w:t>款；</w:t>
      </w:r>
      <w:r w:rsidRPr="00E30C1F">
        <w:t>《保护所有人免遭强迫失踪国际公约》</w:t>
      </w:r>
      <w:r w:rsidRPr="00C60D57">
        <w:t>，第十条第三款；</w:t>
      </w:r>
      <w:r w:rsidRPr="00E30C1F">
        <w:t>《东盟反恐公约》</w:t>
      </w:r>
      <w:r>
        <w:t>，</w:t>
      </w:r>
      <w:r w:rsidRPr="00C60D57">
        <w:t>第八条第</w:t>
      </w:r>
      <w:r>
        <w:t>4</w:t>
      </w:r>
      <w:r w:rsidRPr="00C60D57">
        <w:t>款。</w:t>
      </w:r>
    </w:p>
  </w:footnote>
  <w:footnote w:id="1228">
    <w:p w:rsidR="00AB00DE" w:rsidRPr="00C60D57" w:rsidRDefault="00AB00DE" w:rsidP="00CD5A8C">
      <w:pPr>
        <w:pStyle w:val="a4"/>
      </w:pPr>
      <w:r w:rsidRPr="00C60D57">
        <w:tab/>
      </w:r>
      <w:r w:rsidRPr="00193F6E">
        <w:rPr>
          <w:rStyle w:val="a5"/>
          <w:szCs w:val="21"/>
        </w:rPr>
        <w:footnoteRef/>
      </w:r>
      <w:r w:rsidRPr="00C60D57">
        <w:tab/>
      </w:r>
      <w:r w:rsidRPr="00C60D57">
        <w:t>《维也纳领事关系公约》，第三十六条第二款。</w:t>
      </w:r>
    </w:p>
  </w:footnote>
  <w:footnote w:id="1229">
    <w:p w:rsidR="00AB00DE" w:rsidRPr="00C60D57" w:rsidRDefault="00AB00DE" w:rsidP="00CD5A8C">
      <w:pPr>
        <w:pStyle w:val="a4"/>
      </w:pPr>
      <w:r w:rsidRPr="00C60D57">
        <w:tab/>
      </w:r>
      <w:r w:rsidRPr="00193F6E">
        <w:rPr>
          <w:rStyle w:val="a5"/>
          <w:szCs w:val="21"/>
        </w:rPr>
        <w:footnoteRef/>
      </w:r>
      <w:r w:rsidRPr="00C60D57">
        <w:tab/>
      </w:r>
      <w:r w:rsidRPr="00C60D57">
        <w:t>例如见，</w:t>
      </w:r>
      <w:hyperlink r:id="rId268" w:history="1">
        <w:r w:rsidRPr="00E30C1F">
          <w:t>《反对劫持人质国际公约》</w:t>
        </w:r>
      </w:hyperlink>
      <w:r>
        <w:t>，</w:t>
      </w:r>
      <w:r w:rsidRPr="00C60D57">
        <w:t>第四条；</w:t>
      </w:r>
      <w:r w:rsidRPr="00E30C1F">
        <w:t>《制止恐怖主义爆炸事件的国际公约》</w:t>
      </w:r>
      <w:r>
        <w:t>，</w:t>
      </w:r>
      <w:r w:rsidRPr="00C60D57">
        <w:t>第</w:t>
      </w:r>
      <w:r w:rsidRPr="00C60D57">
        <w:t>7</w:t>
      </w:r>
      <w:r w:rsidRPr="00C60D57">
        <w:t>条第</w:t>
      </w:r>
      <w:r>
        <w:t>4</w:t>
      </w:r>
      <w:r w:rsidRPr="00C60D57">
        <w:t>款；</w:t>
      </w:r>
      <w:r w:rsidRPr="00E30C1F">
        <w:t>《制止向恐怖主义提供资助的国际公约》</w:t>
      </w:r>
      <w:r w:rsidRPr="00C60D57">
        <w:t>第</w:t>
      </w:r>
      <w:r w:rsidRPr="00C60D57">
        <w:t>9</w:t>
      </w:r>
      <w:r w:rsidRPr="00C60D57">
        <w:t>条第</w:t>
      </w:r>
      <w:r w:rsidRPr="00C60D57">
        <w:t>4</w:t>
      </w:r>
      <w:r w:rsidRPr="00C60D57">
        <w:t>款</w:t>
      </w:r>
      <w:r>
        <w:t>；</w:t>
      </w:r>
      <w:r w:rsidRPr="00E30C1F">
        <w:t>《非统组织防止和打击恐怖主义公约》</w:t>
      </w:r>
      <w:r w:rsidRPr="00C60D57">
        <w:t>第七条第</w:t>
      </w:r>
      <w:r w:rsidRPr="00C60D57">
        <w:t>4</w:t>
      </w:r>
      <w:r w:rsidRPr="00C60D57">
        <w:t>款；</w:t>
      </w:r>
      <w:r w:rsidRPr="00E30C1F">
        <w:t>《东盟反恐公约》</w:t>
      </w:r>
      <w:r>
        <w:t>，</w:t>
      </w:r>
      <w:r w:rsidRPr="00C60D57">
        <w:t>第八条第</w:t>
      </w:r>
      <w:r w:rsidRPr="00C60D57">
        <w:t>5</w:t>
      </w:r>
      <w:r w:rsidRPr="00C60D57">
        <w:t>款。</w:t>
      </w:r>
    </w:p>
  </w:footnote>
  <w:footnote w:id="1230">
    <w:p w:rsidR="00AB00DE" w:rsidRPr="00C60D57" w:rsidRDefault="00AB00DE" w:rsidP="00CD5A8C">
      <w:pPr>
        <w:pStyle w:val="a4"/>
      </w:pPr>
      <w:r w:rsidRPr="00C60D57">
        <w:tab/>
      </w:r>
      <w:r w:rsidRPr="00193F6E">
        <w:rPr>
          <w:rStyle w:val="a5"/>
          <w:szCs w:val="21"/>
        </w:rPr>
        <w:footnoteRef/>
      </w:r>
      <w:r w:rsidRPr="00C60D57">
        <w:tab/>
      </w:r>
      <w:r w:rsidRPr="00C60D57">
        <w:t>《</w:t>
      </w:r>
      <w:r>
        <w:t>1961</w:t>
      </w:r>
      <w:r w:rsidRPr="00C60D57">
        <w:t>年</w:t>
      </w:r>
      <w:r w:rsidRPr="002E28D0">
        <w:rPr>
          <w:rFonts w:cs="Arial Unicode MS" w:hint="eastAsia"/>
          <w:u w:color="000000"/>
          <w:bdr w:val="nil"/>
          <w:lang w:val="en-GB"/>
        </w:rPr>
        <w:t>……</w:t>
      </w:r>
      <w:r w:rsidRPr="000E7967">
        <w:t>年鉴</w:t>
      </w:r>
      <w:r w:rsidRPr="00C60D57">
        <w:t>》，第二卷，</w:t>
      </w:r>
      <w:r w:rsidRPr="00C60D57">
        <w:t>A/4843</w:t>
      </w:r>
      <w:r w:rsidRPr="00C60D57">
        <w:t>号文件，关于领事关系的条款草案和评注，第</w:t>
      </w:r>
      <w:r>
        <w:t>36</w:t>
      </w:r>
      <w:r w:rsidRPr="00C60D57">
        <w:t>条的评注第</w:t>
      </w:r>
      <w:r>
        <w:t>(</w:t>
      </w:r>
      <w:r w:rsidRPr="00C60D57">
        <w:t>5</w:t>
      </w:r>
      <w:r>
        <w:t>)</w:t>
      </w:r>
      <w:r w:rsidRPr="00C60D57">
        <w:t>和</w:t>
      </w:r>
      <w:r>
        <w:t>(</w:t>
      </w:r>
      <w:r w:rsidRPr="00C60D57">
        <w:t>7</w:t>
      </w:r>
      <w:r>
        <w:t>)</w:t>
      </w:r>
      <w:r w:rsidRPr="00C60D57">
        <w:t>段。</w:t>
      </w:r>
    </w:p>
  </w:footnote>
  <w:footnote w:id="1231">
    <w:p w:rsidR="00AB00DE" w:rsidRPr="00C60D57" w:rsidRDefault="00AB00DE" w:rsidP="00CD5A8C">
      <w:pPr>
        <w:pStyle w:val="a4"/>
      </w:pPr>
      <w:r w:rsidRPr="00C60D57">
        <w:tab/>
      </w:r>
      <w:r w:rsidRPr="00193F6E">
        <w:rPr>
          <w:rStyle w:val="a5"/>
          <w:szCs w:val="21"/>
        </w:rPr>
        <w:footnoteRef/>
      </w:r>
      <w:r w:rsidRPr="00C60D57">
        <w:tab/>
      </w:r>
      <w:r w:rsidRPr="00983BE3">
        <w:rPr>
          <w:rFonts w:eastAsia="楷体"/>
        </w:rPr>
        <w:t>拉格朗案</w:t>
      </w:r>
      <w:r>
        <w:t>(</w:t>
      </w:r>
      <w:r w:rsidRPr="00C60D57">
        <w:t>见上文脚注</w:t>
      </w:r>
      <w:r w:rsidRPr="00C60D57">
        <w:fldChar w:fldCharType="begin"/>
      </w:r>
      <w:r w:rsidRPr="00C60D57">
        <w:instrText xml:space="preserve"> NOTEREF _Ref453701877 \h  \* MERGEFORMAT </w:instrText>
      </w:r>
      <w:r w:rsidRPr="00C60D57">
        <w:fldChar w:fldCharType="separate"/>
      </w:r>
      <w:r w:rsidR="00A73EB9">
        <w:t>1225</w:t>
      </w:r>
      <w:r w:rsidRPr="00C60D57">
        <w:fldChar w:fldCharType="end"/>
      </w:r>
      <w:r>
        <w:t>)</w:t>
      </w:r>
      <w:r>
        <w:t>，</w:t>
      </w:r>
      <w:r w:rsidRPr="00C60D57">
        <w:t>第</w:t>
      </w:r>
      <w:r w:rsidRPr="00C60D57">
        <w:t>497</w:t>
      </w:r>
      <w:r w:rsidRPr="00C60D57">
        <w:t>页，第</w:t>
      </w:r>
      <w:r w:rsidRPr="00C60D57">
        <w:t>89</w:t>
      </w:r>
      <w:r w:rsidRPr="00C60D57">
        <w:t>段。</w:t>
      </w:r>
    </w:p>
  </w:footnote>
  <w:footnote w:id="1232">
    <w:p w:rsidR="00AB00DE" w:rsidRPr="00D97463" w:rsidRDefault="00AB00DE" w:rsidP="00AC70E2">
      <w:pPr>
        <w:pStyle w:val="aa"/>
      </w:pPr>
      <w:r>
        <w:tab/>
      </w:r>
      <w:r w:rsidRPr="00681AC8">
        <w:rPr>
          <w:rStyle w:val="a5"/>
          <w:lang w:val="zh-CN"/>
        </w:rPr>
        <w:footnoteRef/>
      </w:r>
      <w:r>
        <w:rPr>
          <w:lang w:val="zh-CN"/>
        </w:rPr>
        <w:tab/>
      </w:r>
      <w:r>
        <w:rPr>
          <w:lang w:val="zh-CN"/>
        </w:rPr>
        <w:t>在</w:t>
      </w:r>
      <w:r>
        <w:rPr>
          <w:lang w:val="zh-CN"/>
        </w:rPr>
        <w:t>2013</w:t>
      </w:r>
      <w:r>
        <w:rPr>
          <w:lang w:val="zh-CN"/>
        </w:rPr>
        <w:t>年</w:t>
      </w:r>
      <w:r>
        <w:rPr>
          <w:lang w:val="zh-CN"/>
        </w:rPr>
        <w:t>8</w:t>
      </w:r>
      <w:r>
        <w:rPr>
          <w:lang w:val="zh-CN"/>
        </w:rPr>
        <w:t>月</w:t>
      </w:r>
      <w:r>
        <w:rPr>
          <w:lang w:val="zh-CN"/>
        </w:rPr>
        <w:t>9</w:t>
      </w:r>
      <w:r>
        <w:rPr>
          <w:lang w:val="zh-CN"/>
        </w:rPr>
        <w:t>日举行的第</w:t>
      </w:r>
      <w:r>
        <w:rPr>
          <w:lang w:val="zh-CN"/>
        </w:rPr>
        <w:t>3197</w:t>
      </w:r>
      <w:r>
        <w:rPr>
          <w:lang w:val="zh-CN"/>
        </w:rPr>
        <w:t>次会议上</w:t>
      </w:r>
      <w:r>
        <w:rPr>
          <w:lang w:val="zh-CN"/>
        </w:rPr>
        <w:t>(</w:t>
      </w:r>
      <w:r>
        <w:rPr>
          <w:rFonts w:hint="eastAsia"/>
          <w:lang w:val="zh-CN"/>
        </w:rPr>
        <w:t>《</w:t>
      </w:r>
      <w:r>
        <w:rPr>
          <w:lang w:val="zh-CN"/>
        </w:rPr>
        <w:t>大会正式记录，第六十八届会议，补编第</w:t>
      </w:r>
      <w:r>
        <w:rPr>
          <w:lang w:val="zh-CN"/>
        </w:rPr>
        <w:t>10</w:t>
      </w:r>
      <w:r>
        <w:rPr>
          <w:lang w:val="zh-CN"/>
        </w:rPr>
        <w:t>号</w:t>
      </w:r>
      <w:r>
        <w:rPr>
          <w:rFonts w:hint="eastAsia"/>
          <w:lang w:val="zh-CN"/>
        </w:rPr>
        <w:t>》</w:t>
      </w:r>
      <w:r>
        <w:rPr>
          <w:lang w:val="zh-CN"/>
        </w:rPr>
        <w:t>(</w:t>
      </w:r>
      <w:hyperlink r:id="rId269" w:history="1">
        <w:r w:rsidRPr="00D97463">
          <w:rPr>
            <w:rStyle w:val="af"/>
          </w:rPr>
          <w:t>A/68/10</w:t>
        </w:r>
      </w:hyperlink>
      <w:r>
        <w:rPr>
          <w:lang w:val="zh-CN"/>
        </w:rPr>
        <w:t>)</w:t>
      </w:r>
      <w:r>
        <w:rPr>
          <w:lang w:val="zh-CN"/>
        </w:rPr>
        <w:t>，第</w:t>
      </w:r>
      <w:r>
        <w:rPr>
          <w:lang w:val="zh-CN"/>
        </w:rPr>
        <w:t>168</w:t>
      </w:r>
      <w:r>
        <w:rPr>
          <w:lang w:val="zh-CN"/>
        </w:rPr>
        <w:t>段</w:t>
      </w:r>
      <w:r>
        <w:rPr>
          <w:lang w:val="zh-CN"/>
        </w:rPr>
        <w:t>)</w:t>
      </w:r>
      <w:r>
        <w:rPr>
          <w:lang w:val="zh-CN"/>
        </w:rPr>
        <w:t>。委员会将此专题列入工作方案时有以下谅解：</w:t>
      </w:r>
      <w:r>
        <w:rPr>
          <w:rFonts w:hint="eastAsia"/>
          <w:lang w:val="zh-CN"/>
        </w:rPr>
        <w:t>“</w:t>
      </w:r>
      <w:r>
        <w:rPr>
          <w:lang w:val="zh-CN"/>
        </w:rPr>
        <w:t xml:space="preserve">(a) </w:t>
      </w:r>
      <w:r>
        <w:rPr>
          <w:lang w:val="zh-CN"/>
        </w:rPr>
        <w:t>此专题工作的进行方式不会影响有关的政治谈判，包括就气候变化、臭氧层消耗、远距离跨界空气污染进行的政治谈判。此专题不会处理，</w:t>
      </w:r>
      <w:r>
        <w:rPr>
          <w:rFonts w:hint="eastAsia"/>
          <w:lang w:val="zh-CN"/>
        </w:rPr>
        <w:t>但也</w:t>
      </w:r>
      <w:r>
        <w:rPr>
          <w:lang w:val="zh-CN"/>
        </w:rPr>
        <w:t>不妨碍诸如下述问题：国家及其国民的赔偿责任、污染者付费原则、谨慎原则、共同但有区别的责任、向发展中国家转让资金和技术</w:t>
      </w:r>
      <w:r>
        <w:rPr>
          <w:rFonts w:hint="eastAsia"/>
          <w:lang w:val="zh-CN"/>
        </w:rPr>
        <w:t>，</w:t>
      </w:r>
      <w:r>
        <w:rPr>
          <w:lang w:val="zh-CN"/>
        </w:rPr>
        <w:t>包括知识产权；</w:t>
      </w:r>
      <w:r>
        <w:rPr>
          <w:lang w:val="zh-CN"/>
        </w:rPr>
        <w:t xml:space="preserve">(b) </w:t>
      </w:r>
      <w:r>
        <w:rPr>
          <w:lang w:val="zh-CN"/>
        </w:rPr>
        <w:t>这一专题也不会处理具体物质，例如国家之间正在谈判的黑碳、对流层臭氧以及其他双重影响物质。这一专题不会试图</w:t>
      </w:r>
      <w:r>
        <w:rPr>
          <w:rFonts w:hint="eastAsia"/>
          <w:lang w:val="fr-CH"/>
        </w:rPr>
        <w:t>“</w:t>
      </w:r>
      <w:r>
        <w:rPr>
          <w:lang w:val="zh-CN"/>
        </w:rPr>
        <w:t>弥补</w:t>
      </w:r>
      <w:r>
        <w:rPr>
          <w:rFonts w:hint="eastAsia"/>
          <w:lang w:val="fr-CH"/>
        </w:rPr>
        <w:t>”</w:t>
      </w:r>
      <w:r>
        <w:rPr>
          <w:lang w:val="zh-CN"/>
        </w:rPr>
        <w:t>条约制度存在的</w:t>
      </w:r>
      <w:r>
        <w:rPr>
          <w:rFonts w:hint="eastAsia"/>
          <w:lang w:val="zh-CN"/>
        </w:rPr>
        <w:t>缺陷</w:t>
      </w:r>
      <w:r>
        <w:rPr>
          <w:lang w:val="zh-CN"/>
        </w:rPr>
        <w:t>；</w:t>
      </w:r>
      <w:r>
        <w:rPr>
          <w:lang w:val="zh-CN"/>
        </w:rPr>
        <w:t xml:space="preserve">(c) </w:t>
      </w:r>
      <w:r>
        <w:rPr>
          <w:lang w:val="zh-CN"/>
        </w:rPr>
        <w:t>与外层空间有关的问题，包括外层空间的划界问题，不在</w:t>
      </w:r>
      <w:r>
        <w:rPr>
          <w:rFonts w:hint="eastAsia"/>
          <w:lang w:val="zh-CN"/>
        </w:rPr>
        <w:t>此</w:t>
      </w:r>
      <w:r>
        <w:rPr>
          <w:lang w:val="zh-CN"/>
        </w:rPr>
        <w:t>专题的范围之内；</w:t>
      </w:r>
      <w:r>
        <w:rPr>
          <w:lang w:val="zh-CN"/>
        </w:rPr>
        <w:t>(d)</w:t>
      </w:r>
      <w:r>
        <w:rPr>
          <w:rFonts w:hint="eastAsia"/>
          <w:lang w:val="zh-CN"/>
        </w:rPr>
        <w:t xml:space="preserve"> </w:t>
      </w:r>
      <w:r>
        <w:rPr>
          <w:rFonts w:hint="eastAsia"/>
          <w:lang w:val="zh-CN"/>
        </w:rPr>
        <w:t>此</w:t>
      </w:r>
      <w:r>
        <w:rPr>
          <w:lang w:val="zh-CN"/>
        </w:rPr>
        <w:t>专题的工作结果将是指南草案，但这种指南草案不会试图给现行条约制度强加条约制度尚不具有的法律规则或法律原则。特别报告员的报告将以上述谅解为基础。</w:t>
      </w:r>
      <w:r>
        <w:rPr>
          <w:rFonts w:hint="eastAsia"/>
          <w:lang w:val="fr-CH"/>
        </w:rPr>
        <w:t>”</w:t>
      </w:r>
      <w:r>
        <w:rPr>
          <w:lang w:val="zh-CN"/>
        </w:rPr>
        <w:t>大会</w:t>
      </w:r>
      <w:r>
        <w:rPr>
          <w:lang w:val="zh-CN"/>
        </w:rPr>
        <w:t>2013</w:t>
      </w:r>
      <w:r>
        <w:rPr>
          <w:lang w:val="zh-CN"/>
        </w:rPr>
        <w:t>年</w:t>
      </w:r>
      <w:r>
        <w:rPr>
          <w:lang w:val="zh-CN"/>
        </w:rPr>
        <w:t>12</w:t>
      </w:r>
      <w:r>
        <w:rPr>
          <w:lang w:val="zh-CN"/>
        </w:rPr>
        <w:t>月</w:t>
      </w:r>
      <w:r>
        <w:rPr>
          <w:lang w:val="zh-CN"/>
        </w:rPr>
        <w:t>16</w:t>
      </w:r>
      <w:r>
        <w:rPr>
          <w:lang w:val="zh-CN"/>
        </w:rPr>
        <w:t>日第</w:t>
      </w:r>
      <w:r>
        <w:rPr>
          <w:lang w:val="zh-CN"/>
        </w:rPr>
        <w:t>68/112</w:t>
      </w:r>
      <w:r>
        <w:rPr>
          <w:lang w:val="zh-CN"/>
        </w:rPr>
        <w:t>号决议第</w:t>
      </w:r>
      <w:r>
        <w:rPr>
          <w:lang w:val="zh-CN"/>
        </w:rPr>
        <w:t>6</w:t>
      </w:r>
      <w:r>
        <w:rPr>
          <w:lang w:val="zh-CN"/>
        </w:rPr>
        <w:t>段注意到委员会决定将此专题列入工作方案。委员会第六十三届会议</w:t>
      </w:r>
      <w:r>
        <w:rPr>
          <w:lang w:val="zh-CN"/>
        </w:rPr>
        <w:t>(2011</w:t>
      </w:r>
      <w:r>
        <w:rPr>
          <w:lang w:val="zh-CN"/>
        </w:rPr>
        <w:t>年</w:t>
      </w:r>
      <w:r>
        <w:rPr>
          <w:lang w:val="zh-CN"/>
        </w:rPr>
        <w:t>)</w:t>
      </w:r>
      <w:r>
        <w:rPr>
          <w:lang w:val="zh-CN"/>
        </w:rPr>
        <w:t>按照委员会报告附件</w:t>
      </w:r>
      <w:r>
        <w:rPr>
          <w:lang w:val="zh-CN"/>
        </w:rPr>
        <w:t>B</w:t>
      </w:r>
      <w:r>
        <w:rPr>
          <w:lang w:val="zh-CN"/>
        </w:rPr>
        <w:t>所载建议</w:t>
      </w:r>
      <w:r>
        <w:rPr>
          <w:lang w:val="zh-CN"/>
        </w:rPr>
        <w:t>(</w:t>
      </w:r>
      <w:r>
        <w:rPr>
          <w:lang w:val="zh-CN"/>
        </w:rPr>
        <w:t>《大会正式记录，第六十六届会议，补编第</w:t>
      </w:r>
      <w:r>
        <w:rPr>
          <w:lang w:val="zh-CN"/>
        </w:rPr>
        <w:t>10</w:t>
      </w:r>
      <w:r>
        <w:rPr>
          <w:lang w:val="zh-CN"/>
        </w:rPr>
        <w:t>号》</w:t>
      </w:r>
      <w:r>
        <w:rPr>
          <w:lang w:val="zh-CN"/>
        </w:rPr>
        <w:t>(</w:t>
      </w:r>
      <w:hyperlink r:id="rId270" w:history="1">
        <w:r w:rsidRPr="00D97463">
          <w:rPr>
            <w:rStyle w:val="af"/>
          </w:rPr>
          <w:t>A/66/10</w:t>
        </w:r>
      </w:hyperlink>
      <w:r>
        <w:rPr>
          <w:lang w:val="zh-CN"/>
        </w:rPr>
        <w:t>)</w:t>
      </w:r>
      <w:r>
        <w:rPr>
          <w:lang w:val="zh-CN"/>
        </w:rPr>
        <w:t>，第</w:t>
      </w:r>
      <w:r>
        <w:rPr>
          <w:lang w:val="zh-CN"/>
        </w:rPr>
        <w:t>365</w:t>
      </w:r>
      <w:r>
        <w:rPr>
          <w:lang w:val="zh-CN"/>
        </w:rPr>
        <w:t>段</w:t>
      </w:r>
      <w:r>
        <w:rPr>
          <w:lang w:val="zh-CN"/>
        </w:rPr>
        <w:t>)</w:t>
      </w:r>
      <w:r>
        <w:rPr>
          <w:lang w:val="zh-CN"/>
        </w:rPr>
        <w:t>，将此专题列入长期工作方案。</w:t>
      </w:r>
    </w:p>
  </w:footnote>
  <w:footnote w:id="1233">
    <w:p w:rsidR="00AB00DE" w:rsidRPr="00D97463" w:rsidRDefault="00AB00DE" w:rsidP="006735D4">
      <w:pPr>
        <w:pStyle w:val="aa"/>
      </w:pPr>
      <w:r>
        <w:tab/>
      </w:r>
      <w:r w:rsidRPr="00681AC8">
        <w:rPr>
          <w:rStyle w:val="a5"/>
          <w:lang w:val="zh-CN"/>
        </w:rPr>
        <w:footnoteRef/>
      </w:r>
      <w:r w:rsidRPr="00971B27">
        <w:tab/>
      </w:r>
      <w:r>
        <w:rPr>
          <w:lang w:val="zh-CN"/>
        </w:rPr>
        <w:t>关于保护大气层的第一次报告</w:t>
      </w:r>
      <w:r>
        <w:t>(</w:t>
      </w:r>
      <w:hyperlink r:id="rId271" w:history="1">
        <w:r w:rsidRPr="00381CB5">
          <w:rPr>
            <w:rStyle w:val="af"/>
          </w:rPr>
          <w:t>A/CN.4/667</w:t>
        </w:r>
      </w:hyperlink>
      <w:r>
        <w:t>)</w:t>
      </w:r>
      <w:r>
        <w:rPr>
          <w:lang w:val="zh-CN"/>
        </w:rPr>
        <w:t>。</w:t>
      </w:r>
    </w:p>
  </w:footnote>
  <w:footnote w:id="1234">
    <w:p w:rsidR="00AB00DE" w:rsidRPr="008E4A59" w:rsidRDefault="00AB00DE" w:rsidP="006735D4">
      <w:pPr>
        <w:pStyle w:val="aa"/>
      </w:pPr>
      <w:r>
        <w:tab/>
      </w:r>
      <w:r w:rsidRPr="00681AC8">
        <w:rPr>
          <w:rStyle w:val="a5"/>
          <w:lang w:val="zh-CN"/>
        </w:rPr>
        <w:footnoteRef/>
      </w:r>
      <w:r>
        <w:tab/>
      </w:r>
      <w:r>
        <w:rPr>
          <w:lang w:val="zh-CN"/>
        </w:rPr>
        <w:t>关于保护大气层的第二次报告</w:t>
      </w:r>
      <w:r>
        <w:t>(</w:t>
      </w:r>
      <w:hyperlink r:id="rId272" w:history="1">
        <w:r w:rsidRPr="00F91147">
          <w:rPr>
            <w:rStyle w:val="af"/>
          </w:rPr>
          <w:t>A/CN.4/681</w:t>
        </w:r>
      </w:hyperlink>
      <w:r>
        <w:t>)</w:t>
      </w:r>
      <w:r>
        <w:rPr>
          <w:lang w:val="zh-CN"/>
        </w:rPr>
        <w:t>。</w:t>
      </w:r>
    </w:p>
  </w:footnote>
  <w:footnote w:id="1235">
    <w:p w:rsidR="00AB00DE" w:rsidRPr="001524C0" w:rsidRDefault="00AB00DE" w:rsidP="006735D4">
      <w:pPr>
        <w:pStyle w:val="aa"/>
      </w:pPr>
      <w:r>
        <w:tab/>
      </w:r>
      <w:r w:rsidRPr="00681AC8">
        <w:rPr>
          <w:rStyle w:val="a5"/>
          <w:lang w:val="zh-CN"/>
        </w:rPr>
        <w:footnoteRef/>
      </w:r>
      <w:r>
        <w:tab/>
      </w:r>
      <w:r>
        <w:rPr>
          <w:lang w:val="zh-CN"/>
        </w:rPr>
        <w:t>《大会正式记录，第七十届会议，补编第</w:t>
      </w:r>
      <w:r>
        <w:rPr>
          <w:lang w:val="zh-CN"/>
        </w:rPr>
        <w:t>10</w:t>
      </w:r>
      <w:r>
        <w:rPr>
          <w:lang w:val="zh-CN"/>
        </w:rPr>
        <w:t>号》</w:t>
      </w:r>
      <w:r>
        <w:rPr>
          <w:lang w:val="zh-CN"/>
        </w:rPr>
        <w:t>(</w:t>
      </w:r>
      <w:hyperlink r:id="rId273" w:history="1">
        <w:r w:rsidRPr="00D97463">
          <w:rPr>
            <w:rStyle w:val="af"/>
          </w:rPr>
          <w:t>A/</w:t>
        </w:r>
        <w:r>
          <w:rPr>
            <w:rStyle w:val="af"/>
          </w:rPr>
          <w:t>70</w:t>
        </w:r>
        <w:r w:rsidRPr="00D97463">
          <w:rPr>
            <w:rStyle w:val="af"/>
          </w:rPr>
          <w:t>/10</w:t>
        </w:r>
      </w:hyperlink>
      <w:r>
        <w:rPr>
          <w:lang w:val="zh-CN"/>
        </w:rPr>
        <w:t>)</w:t>
      </w:r>
      <w:r>
        <w:rPr>
          <w:lang w:val="zh-CN"/>
        </w:rPr>
        <w:t>，第</w:t>
      </w:r>
      <w:r>
        <w:rPr>
          <w:lang w:val="zh-CN"/>
        </w:rPr>
        <w:t>53-54</w:t>
      </w:r>
      <w:r>
        <w:rPr>
          <w:lang w:val="zh-CN"/>
        </w:rPr>
        <w:t>段。</w:t>
      </w:r>
    </w:p>
  </w:footnote>
  <w:footnote w:id="1236">
    <w:p w:rsidR="00AB00DE" w:rsidRPr="00391598" w:rsidRDefault="00AB00DE" w:rsidP="006735D4">
      <w:pPr>
        <w:pStyle w:val="aa"/>
      </w:pPr>
      <w:r>
        <w:tab/>
      </w:r>
      <w:r w:rsidRPr="00681AC8">
        <w:rPr>
          <w:rStyle w:val="a5"/>
          <w:lang w:val="zh-CN"/>
        </w:rPr>
        <w:footnoteRef/>
      </w:r>
      <w:r>
        <w:rPr>
          <w:lang w:val="zh-CN"/>
        </w:rPr>
        <w:tab/>
      </w:r>
      <w:r>
        <w:rPr>
          <w:lang w:val="zh-CN"/>
        </w:rPr>
        <w:t>与科学家开展的关于保护大气层的对话由特别报告员村濑信也先生主持。世界气象组织</w:t>
      </w:r>
      <w:r>
        <w:rPr>
          <w:lang w:val="zh-CN"/>
        </w:rPr>
        <w:t>(</w:t>
      </w:r>
      <w:r>
        <w:rPr>
          <w:lang w:val="zh-CN"/>
        </w:rPr>
        <w:t>气象组织</w:t>
      </w:r>
      <w:r>
        <w:rPr>
          <w:lang w:val="zh-CN"/>
        </w:rPr>
        <w:t>)</w:t>
      </w:r>
      <w:r>
        <w:rPr>
          <w:lang w:val="zh-CN"/>
        </w:rPr>
        <w:t>大气科学委员会主席</w:t>
      </w:r>
      <w:r w:rsidRPr="00391598">
        <w:t>Øystein Hov</w:t>
      </w:r>
      <w:r>
        <w:rPr>
          <w:lang w:val="zh-CN"/>
        </w:rPr>
        <w:t>先生发表了</w:t>
      </w:r>
      <w:r>
        <w:rPr>
          <w:rFonts w:hint="eastAsia"/>
          <w:lang w:val="zh-CN"/>
        </w:rPr>
        <w:t>题</w:t>
      </w:r>
      <w:r>
        <w:rPr>
          <w:lang w:val="zh-CN"/>
        </w:rPr>
        <w:t>为</w:t>
      </w:r>
      <w:r>
        <w:rPr>
          <w:rFonts w:hint="eastAsia"/>
          <w:lang w:val="fr-CH"/>
        </w:rPr>
        <w:t>“</w:t>
      </w:r>
      <w:r>
        <w:rPr>
          <w:lang w:val="zh-CN"/>
        </w:rPr>
        <w:t>地球工程</w:t>
      </w:r>
      <w:r w:rsidRPr="00BA7914">
        <w:rPr>
          <w:rFonts w:hint="eastAsia"/>
          <w:spacing w:val="-50"/>
          <w:lang w:val="fr-CH"/>
        </w:rPr>
        <w:t>―</w:t>
      </w:r>
      <w:r w:rsidRPr="00BA7914">
        <w:rPr>
          <w:rFonts w:hint="eastAsia"/>
          <w:lang w:val="fr-CH"/>
        </w:rPr>
        <w:t>―</w:t>
      </w:r>
      <w:r>
        <w:rPr>
          <w:lang w:val="zh-CN"/>
        </w:rPr>
        <w:t>前进方向？</w:t>
      </w:r>
      <w:r>
        <w:rPr>
          <w:rFonts w:hint="eastAsia"/>
          <w:lang w:val="fr-CH"/>
        </w:rPr>
        <w:t>”</w:t>
      </w:r>
      <w:r>
        <w:rPr>
          <w:lang w:val="zh-CN"/>
        </w:rPr>
        <w:t>的演讲；欧洲经济委员会《远距离</w:t>
      </w:r>
      <w:r>
        <w:rPr>
          <w:rFonts w:hint="eastAsia"/>
          <w:lang w:val="zh-CN"/>
        </w:rPr>
        <w:t>跨界</w:t>
      </w:r>
      <w:r>
        <w:rPr>
          <w:lang w:val="zh-CN"/>
        </w:rPr>
        <w:t>空气污染公约》</w:t>
      </w:r>
      <w:r>
        <w:rPr>
          <w:rFonts w:hint="eastAsia"/>
          <w:lang w:val="zh-CN"/>
        </w:rPr>
        <w:t>影响</w:t>
      </w:r>
      <w:r>
        <w:rPr>
          <w:lang w:val="zh-CN"/>
        </w:rPr>
        <w:t>问题工作组主席</w:t>
      </w:r>
      <w:r>
        <w:rPr>
          <w:lang w:val="zh-CN"/>
        </w:rPr>
        <w:t>Peringe Grennfelt</w:t>
      </w:r>
      <w:r>
        <w:rPr>
          <w:lang w:val="zh-CN"/>
        </w:rPr>
        <w:t>先生探讨了</w:t>
      </w:r>
      <w:r>
        <w:rPr>
          <w:rFonts w:hint="eastAsia"/>
          <w:lang w:val="fr-CH"/>
        </w:rPr>
        <w:t>“</w:t>
      </w:r>
      <w:r>
        <w:rPr>
          <w:rFonts w:hint="eastAsia"/>
          <w:lang w:val="zh-CN"/>
        </w:rPr>
        <w:t>跨界</w:t>
      </w:r>
      <w:r>
        <w:rPr>
          <w:lang w:val="zh-CN"/>
        </w:rPr>
        <w:t>空气污染与气候变化之间的联系</w:t>
      </w:r>
      <w:r>
        <w:rPr>
          <w:rFonts w:hint="eastAsia"/>
          <w:lang w:val="fr-CH"/>
        </w:rPr>
        <w:t>”</w:t>
      </w:r>
      <w:r>
        <w:rPr>
          <w:lang w:val="zh-CN"/>
        </w:rPr>
        <w:t>；气象组织</w:t>
      </w:r>
      <w:r w:rsidRPr="00A6528F">
        <w:rPr>
          <w:rFonts w:hint="eastAsia"/>
          <w:lang w:val="zh-CN"/>
        </w:rPr>
        <w:t>办公厅暨对外关系司司长</w:t>
      </w:r>
      <w:r>
        <w:rPr>
          <w:lang w:val="zh-CN"/>
        </w:rPr>
        <w:t>Christian Blondin</w:t>
      </w:r>
      <w:r>
        <w:rPr>
          <w:lang w:val="zh-CN"/>
        </w:rPr>
        <w:t>先生分析了</w:t>
      </w:r>
      <w:r>
        <w:rPr>
          <w:rFonts w:hint="eastAsia"/>
          <w:lang w:val="fr-CH"/>
        </w:rPr>
        <w:t>“</w:t>
      </w:r>
      <w:r>
        <w:rPr>
          <w:lang w:val="zh-CN"/>
        </w:rPr>
        <w:t>2015</w:t>
      </w:r>
      <w:r>
        <w:rPr>
          <w:lang w:val="zh-CN"/>
        </w:rPr>
        <w:t>年《巴黎协定》的科学方面</w:t>
      </w:r>
      <w:r>
        <w:rPr>
          <w:rFonts w:hint="eastAsia"/>
          <w:lang w:val="fr-CH"/>
        </w:rPr>
        <w:t>”</w:t>
      </w:r>
      <w:r>
        <w:rPr>
          <w:lang w:val="zh-CN"/>
        </w:rPr>
        <w:t>；联合国环境规划署</w:t>
      </w:r>
      <w:r>
        <w:rPr>
          <w:lang w:val="zh-CN"/>
        </w:rPr>
        <w:t>(</w:t>
      </w:r>
      <w:r>
        <w:rPr>
          <w:lang w:val="zh-CN"/>
        </w:rPr>
        <w:t>环境署</w:t>
      </w:r>
      <w:r>
        <w:rPr>
          <w:lang w:val="zh-CN"/>
        </w:rPr>
        <w:t>)</w:t>
      </w:r>
      <w:r>
        <w:rPr>
          <w:lang w:val="zh-CN"/>
        </w:rPr>
        <w:t>预警和评估司专题评估股负责人</w:t>
      </w:r>
      <w:r>
        <w:rPr>
          <w:lang w:val="zh-CN"/>
        </w:rPr>
        <w:t>Valentin Foltescu</w:t>
      </w:r>
      <w:r>
        <w:rPr>
          <w:lang w:val="zh-CN"/>
        </w:rPr>
        <w:t>先生概述了</w:t>
      </w:r>
      <w:r>
        <w:rPr>
          <w:rFonts w:hint="eastAsia"/>
          <w:lang w:val="fr-CH"/>
        </w:rPr>
        <w:t>“</w:t>
      </w:r>
      <w:r>
        <w:rPr>
          <w:lang w:val="zh-CN"/>
        </w:rPr>
        <w:t>最新调查结果和空气污染影响估计</w:t>
      </w:r>
      <w:r>
        <w:rPr>
          <w:rFonts w:hint="eastAsia"/>
          <w:lang w:val="fr-CH"/>
        </w:rPr>
        <w:t>”</w:t>
      </w:r>
      <w:r>
        <w:rPr>
          <w:lang w:val="zh-CN"/>
        </w:rPr>
        <w:t>；环境署环境法律和公约司副司长</w:t>
      </w:r>
      <w:r>
        <w:rPr>
          <w:lang w:val="zh-CN"/>
        </w:rPr>
        <w:t>Masa Nagai</w:t>
      </w:r>
      <w:r>
        <w:rPr>
          <w:lang w:val="zh-CN"/>
        </w:rPr>
        <w:t>先生讨论了</w:t>
      </w:r>
      <w:r>
        <w:rPr>
          <w:rFonts w:hint="eastAsia"/>
          <w:lang w:val="fr-CH"/>
        </w:rPr>
        <w:t>“</w:t>
      </w:r>
      <w:r>
        <w:rPr>
          <w:rFonts w:hint="eastAsia"/>
          <w:lang w:val="zh-CN"/>
        </w:rPr>
        <w:t>科学</w:t>
      </w:r>
      <w:r>
        <w:rPr>
          <w:lang w:val="zh-CN"/>
        </w:rPr>
        <w:t>与</w:t>
      </w:r>
      <w:r>
        <w:rPr>
          <w:rFonts w:hint="eastAsia"/>
          <w:lang w:val="zh-CN"/>
        </w:rPr>
        <w:t>法律</w:t>
      </w:r>
      <w:r>
        <w:rPr>
          <w:lang w:val="zh-CN"/>
        </w:rPr>
        <w:t>挂钩</w:t>
      </w:r>
      <w:r>
        <w:rPr>
          <w:rFonts w:hint="eastAsia"/>
          <w:lang w:val="fr-CH"/>
        </w:rPr>
        <w:t>”</w:t>
      </w:r>
      <w:r>
        <w:rPr>
          <w:lang w:val="zh-CN"/>
        </w:rPr>
        <w:t>的问题。对话之后是问答环节。以上</w:t>
      </w:r>
      <w:hyperlink r:id="rId274" w:history="1">
        <w:r w:rsidRPr="00971B27">
          <w:rPr>
            <w:rStyle w:val="af"/>
            <w:rFonts w:hint="eastAsia"/>
          </w:rPr>
          <w:t>非正式对话概要</w:t>
        </w:r>
      </w:hyperlink>
      <w:r>
        <w:rPr>
          <w:lang w:val="zh-CN"/>
        </w:rPr>
        <w:t>可查阅委员会网站。</w:t>
      </w:r>
    </w:p>
  </w:footnote>
  <w:footnote w:id="1237">
    <w:p w:rsidR="00AB00DE" w:rsidRPr="00D97463" w:rsidRDefault="00AB00DE" w:rsidP="006735D4">
      <w:pPr>
        <w:pStyle w:val="aa"/>
      </w:pPr>
      <w:r>
        <w:tab/>
      </w:r>
      <w:r w:rsidRPr="00681AC8">
        <w:rPr>
          <w:rStyle w:val="a5"/>
        </w:rPr>
        <w:footnoteRef/>
      </w:r>
      <w:r w:rsidRPr="0067685C">
        <w:rPr>
          <w:i/>
        </w:rPr>
        <w:tab/>
      </w:r>
      <w:r>
        <w:rPr>
          <w:rFonts w:hint="eastAsia"/>
        </w:rPr>
        <w:t>括号</w:t>
      </w:r>
      <w:r w:rsidRPr="00FC787B">
        <w:rPr>
          <w:rFonts w:hint="eastAsia"/>
        </w:rPr>
        <w:t>内的备选案文</w:t>
      </w:r>
      <w:r>
        <w:rPr>
          <w:rFonts w:hint="eastAsia"/>
        </w:rPr>
        <w:t>有待进一步审议</w:t>
      </w:r>
      <w:r w:rsidRPr="00FC787B">
        <w:rPr>
          <w:rFonts w:hint="eastAsia"/>
        </w:rPr>
        <w:t>。</w:t>
      </w:r>
    </w:p>
  </w:footnote>
  <w:footnote w:id="1238">
    <w:p w:rsidR="00AB00DE" w:rsidRPr="00D97463" w:rsidRDefault="00AB00DE" w:rsidP="006735D4">
      <w:pPr>
        <w:pStyle w:val="aa"/>
      </w:pPr>
      <w:r>
        <w:tab/>
      </w:r>
      <w:r w:rsidRPr="00681AC8">
        <w:rPr>
          <w:rStyle w:val="a5"/>
        </w:rPr>
        <w:footnoteRef/>
      </w:r>
      <w:r w:rsidRPr="00D97463">
        <w:t xml:space="preserve"> </w:t>
      </w:r>
      <w:r>
        <w:tab/>
      </w:r>
      <w:r>
        <w:rPr>
          <w:rFonts w:hint="eastAsia"/>
          <w:lang w:val="zh-CN"/>
        </w:rPr>
        <w:t>本届会议对这条指南草案重新编号。方括号内显示原编号。</w:t>
      </w:r>
    </w:p>
  </w:footnote>
  <w:footnote w:id="1239">
    <w:p w:rsidR="00AB00DE" w:rsidRPr="00512D6A" w:rsidRDefault="00AB00DE" w:rsidP="006735D4">
      <w:pPr>
        <w:pStyle w:val="a4"/>
        <w:rPr>
          <w:rFonts w:eastAsiaTheme="minorEastAsia"/>
        </w:rPr>
      </w:pPr>
      <w:r w:rsidRPr="007E001F">
        <w:rPr>
          <w:rFonts w:hint="eastAsia"/>
        </w:rPr>
        <w:tab/>
      </w:r>
      <w:r w:rsidRPr="00681AC8">
        <w:rPr>
          <w:rStyle w:val="a5"/>
          <w:lang w:val="zh-CN"/>
        </w:rPr>
        <w:footnoteRef/>
      </w:r>
      <w:r w:rsidRPr="007E001F">
        <w:rPr>
          <w:rStyle w:val="a5"/>
          <w:lang w:val="zh-CN"/>
        </w:rPr>
        <w:t xml:space="preserve"> </w:t>
      </w:r>
      <w:r w:rsidRPr="007E001F">
        <w:rPr>
          <w:rFonts w:hint="eastAsia"/>
        </w:rPr>
        <w:tab/>
      </w:r>
      <w:r w:rsidRPr="007E001F">
        <w:t>依据是成为《国际劳工组织章程》</w:t>
      </w:r>
      <w:r w:rsidRPr="007E001F">
        <w:rPr>
          <w:rFonts w:hint="eastAsia"/>
        </w:rPr>
        <w:t>第</w:t>
      </w:r>
      <w:r w:rsidRPr="007E001F">
        <w:t>19</w:t>
      </w:r>
      <w:r w:rsidRPr="007E001F">
        <w:t>条第</w:t>
      </w:r>
      <w:r w:rsidRPr="007E001F">
        <w:t>3</w:t>
      </w:r>
      <w:r w:rsidRPr="007E001F">
        <w:t>款</w:t>
      </w:r>
      <w:r>
        <w:rPr>
          <w:rFonts w:hint="eastAsia"/>
        </w:rPr>
        <w:t>(</w:t>
      </w:r>
      <w:r w:rsidRPr="007E001F">
        <w:rPr>
          <w:rFonts w:hint="eastAsia"/>
        </w:rPr>
        <w:t>1946</w:t>
      </w:r>
      <w:r w:rsidRPr="007E001F">
        <w:rPr>
          <w:rFonts w:hint="eastAsia"/>
        </w:rPr>
        <w:t>年</w:t>
      </w:r>
      <w:r w:rsidRPr="007E001F">
        <w:rPr>
          <w:rFonts w:hint="eastAsia"/>
        </w:rPr>
        <w:t>10</w:t>
      </w:r>
      <w:r w:rsidRPr="007E001F">
        <w:rPr>
          <w:rFonts w:hint="eastAsia"/>
        </w:rPr>
        <w:t>月</w:t>
      </w:r>
      <w:r w:rsidRPr="007E001F">
        <w:rPr>
          <w:rFonts w:hint="eastAsia"/>
        </w:rPr>
        <w:t>9</w:t>
      </w:r>
      <w:r w:rsidRPr="007E001F">
        <w:rPr>
          <w:rFonts w:hint="eastAsia"/>
        </w:rPr>
        <w:t>日，联合国</w:t>
      </w:r>
      <w:r>
        <w:rPr>
          <w:rFonts w:eastAsiaTheme="minorEastAsia" w:hint="eastAsia"/>
        </w:rPr>
        <w:t>，</w:t>
      </w:r>
      <w:r w:rsidRPr="007E001F">
        <w:rPr>
          <w:rFonts w:hint="eastAsia"/>
        </w:rPr>
        <w:t>《条约</w:t>
      </w:r>
      <w:r>
        <w:rPr>
          <w:rFonts w:eastAsiaTheme="minorEastAsia" w:hint="eastAsia"/>
        </w:rPr>
        <w:t>汇编</w:t>
      </w:r>
      <w:r w:rsidRPr="007E001F">
        <w:rPr>
          <w:rFonts w:hint="eastAsia"/>
        </w:rPr>
        <w:t>》，第</w:t>
      </w:r>
      <w:r w:rsidRPr="007E001F">
        <w:rPr>
          <w:rFonts w:hint="eastAsia"/>
        </w:rPr>
        <w:t>15</w:t>
      </w:r>
      <w:r w:rsidRPr="007E001F">
        <w:rPr>
          <w:rFonts w:hint="eastAsia"/>
        </w:rPr>
        <w:t>卷，第</w:t>
      </w:r>
      <w:r w:rsidRPr="007E001F">
        <w:rPr>
          <w:rFonts w:hint="eastAsia"/>
        </w:rPr>
        <w:t>229</w:t>
      </w:r>
      <w:r w:rsidRPr="007E001F">
        <w:rPr>
          <w:rFonts w:hint="eastAsia"/>
        </w:rPr>
        <w:t>号，第</w:t>
      </w:r>
      <w:r w:rsidRPr="007E001F">
        <w:rPr>
          <w:rFonts w:hint="eastAsia"/>
        </w:rPr>
        <w:t>35</w:t>
      </w:r>
      <w:r w:rsidRPr="007E001F">
        <w:rPr>
          <w:rFonts w:hint="eastAsia"/>
        </w:rPr>
        <w:t>页</w:t>
      </w:r>
      <w:r>
        <w:rPr>
          <w:rFonts w:hint="eastAsia"/>
        </w:rPr>
        <w:t>)</w:t>
      </w:r>
      <w:r w:rsidRPr="007E001F">
        <w:t>的</w:t>
      </w:r>
      <w:r w:rsidRPr="007E001F">
        <w:t>1919</w:t>
      </w:r>
      <w:r w:rsidRPr="007E001F">
        <w:t>年《凡尔赛条约》</w:t>
      </w:r>
      <w:r>
        <w:t>(</w:t>
      </w:r>
      <w:r w:rsidRPr="007E001F">
        <w:t>《</w:t>
      </w:r>
      <w:hyperlink r:id="rId275" w:tgtFrame="_blank" w:history="1">
        <w:r w:rsidRPr="007E001F">
          <w:rPr>
            <w:rStyle w:val="af"/>
          </w:rPr>
          <w:t>协约国</w:t>
        </w:r>
      </w:hyperlink>
      <w:r w:rsidRPr="007E001F">
        <w:t>和参战各国对德和约》</w:t>
      </w:r>
      <w:r w:rsidRPr="007E001F">
        <w:rPr>
          <w:rFonts w:hint="eastAsia"/>
        </w:rPr>
        <w:t>，</w:t>
      </w:r>
      <w:r w:rsidRPr="007E001F">
        <w:t>1919</w:t>
      </w:r>
      <w:r w:rsidRPr="007E001F">
        <w:rPr>
          <w:rFonts w:hint="eastAsia"/>
        </w:rPr>
        <w:t>年</w:t>
      </w:r>
      <w:r w:rsidRPr="007E001F">
        <w:rPr>
          <w:rFonts w:hint="eastAsia"/>
        </w:rPr>
        <w:t>6</w:t>
      </w:r>
      <w:r w:rsidRPr="007E001F">
        <w:rPr>
          <w:rFonts w:hint="eastAsia"/>
        </w:rPr>
        <w:t>月</w:t>
      </w:r>
      <w:r w:rsidRPr="007E001F">
        <w:rPr>
          <w:rFonts w:hint="eastAsia"/>
        </w:rPr>
        <w:t>28</w:t>
      </w:r>
      <w:r w:rsidRPr="007E001F">
        <w:rPr>
          <w:rFonts w:hint="eastAsia"/>
        </w:rPr>
        <w:t>日</w:t>
      </w:r>
      <w:r>
        <w:rPr>
          <w:rFonts w:hint="eastAsia"/>
        </w:rPr>
        <w:t>)</w:t>
      </w:r>
      <w:r w:rsidRPr="007E001F">
        <w:t>第</w:t>
      </w:r>
      <w:r w:rsidRPr="007E001F">
        <w:t>405</w:t>
      </w:r>
      <w:r w:rsidRPr="007E001F">
        <w:t>条第</w:t>
      </w:r>
      <w:r w:rsidRPr="007E001F">
        <w:t>3</w:t>
      </w:r>
      <w:r w:rsidRPr="007E001F">
        <w:t>款</w:t>
      </w:r>
      <w:r>
        <w:t>(</w:t>
      </w:r>
      <w:r w:rsidRPr="007E001F">
        <w:t>劳工公约</w:t>
      </w:r>
      <w:r w:rsidRPr="007E001F">
        <w:rPr>
          <w:rFonts w:hint="eastAsia"/>
        </w:rPr>
        <w:t>“</w:t>
      </w:r>
      <w:r w:rsidRPr="007E001F">
        <w:t>应适当顾及</w:t>
      </w:r>
      <w:r w:rsidRPr="007E001F">
        <w:rPr>
          <w:rFonts w:hint="eastAsia"/>
        </w:rPr>
        <w:t>”</w:t>
      </w:r>
      <w:r w:rsidRPr="007E001F">
        <w:t>当地产业条件</w:t>
      </w:r>
      <w:r w:rsidRPr="007E001F">
        <w:rPr>
          <w:rFonts w:hint="eastAsia"/>
        </w:rPr>
        <w:t>“</w:t>
      </w:r>
      <w:r w:rsidRPr="007E001F">
        <w:t>迥异</w:t>
      </w:r>
      <w:r w:rsidRPr="007E001F">
        <w:rPr>
          <w:rFonts w:hint="eastAsia"/>
        </w:rPr>
        <w:t>”</w:t>
      </w:r>
      <w:r w:rsidRPr="007E001F">
        <w:t>的各国特殊情况</w:t>
      </w:r>
      <w:r>
        <w:t>)</w:t>
      </w:r>
      <w:r w:rsidRPr="007E001F">
        <w:t>。</w:t>
      </w:r>
      <w:r w:rsidRPr="007E001F">
        <w:rPr>
          <w:rFonts w:hint="eastAsia"/>
        </w:rPr>
        <w:t>同一原则还见于该组织</w:t>
      </w:r>
      <w:r w:rsidRPr="007E001F">
        <w:rPr>
          <w:rFonts w:hint="eastAsia"/>
        </w:rPr>
        <w:t>1919</w:t>
      </w:r>
      <w:r w:rsidRPr="007E001F">
        <w:rPr>
          <w:rFonts w:hint="eastAsia"/>
        </w:rPr>
        <w:t>年批准的一些公约以及嗣后通过的一些公约。见</w:t>
      </w:r>
      <w:r w:rsidRPr="007E001F">
        <w:t xml:space="preserve">Iwao F. </w:t>
      </w:r>
      <w:hyperlink r:id="rId276" w:history="1">
        <w:r w:rsidRPr="007E001F">
          <w:rPr>
            <w:rStyle w:val="af"/>
          </w:rPr>
          <w:t>Ayusawa, International Labor Legislation</w:t>
        </w:r>
      </w:hyperlink>
      <w:r w:rsidRPr="007E001F">
        <w:t xml:space="preserve"> </w:t>
      </w:r>
      <w:r>
        <w:t>(</w:t>
      </w:r>
      <w:r w:rsidRPr="007E001F">
        <w:t>New York, Columbia University, 1920</w:t>
      </w:r>
      <w:r>
        <w:t>)</w:t>
      </w:r>
      <w:r w:rsidRPr="007E001F">
        <w:t>，</w:t>
      </w:r>
      <w:r w:rsidRPr="007E001F">
        <w:t xml:space="preserve">chap. VI, pp. 149 </w:t>
      </w:r>
      <w:r w:rsidRPr="007E001F">
        <w:rPr>
          <w:i/>
        </w:rPr>
        <w:t>et seq</w:t>
      </w:r>
      <w:r>
        <w:rPr>
          <w:rFonts w:hint="eastAsia"/>
        </w:rPr>
        <w:t>。</w:t>
      </w:r>
    </w:p>
  </w:footnote>
  <w:footnote w:id="1240">
    <w:p w:rsidR="00AB00DE" w:rsidRPr="009A33E5" w:rsidRDefault="00AB00DE" w:rsidP="006735D4">
      <w:pPr>
        <w:pStyle w:val="a4"/>
      </w:pPr>
      <w:r w:rsidRPr="007E001F">
        <w:rPr>
          <w:rFonts w:hint="eastAsia"/>
          <w:lang w:val="zh-CN"/>
        </w:rPr>
        <w:tab/>
      </w:r>
      <w:r w:rsidRPr="00681AC8">
        <w:rPr>
          <w:rStyle w:val="a5"/>
          <w:lang w:val="zh-CN"/>
        </w:rPr>
        <w:footnoteRef/>
      </w:r>
      <w:r w:rsidRPr="007E001F">
        <w:rPr>
          <w:rStyle w:val="a5"/>
          <w:rFonts w:hint="eastAsia"/>
          <w:lang w:val="zh-CN"/>
        </w:rPr>
        <w:tab/>
      </w:r>
      <w:r w:rsidRPr="009A33E5">
        <w:t>见</w:t>
      </w:r>
      <w:r w:rsidRPr="009A33E5">
        <w:t>1978</w:t>
      </w:r>
      <w:r w:rsidRPr="009A33E5">
        <w:t>年国际法委员会</w:t>
      </w:r>
      <w:r w:rsidRPr="009A33E5">
        <w:rPr>
          <w:rFonts w:hint="eastAsia"/>
        </w:rPr>
        <w:t>第三十届会议通过的</w:t>
      </w:r>
      <w:r w:rsidRPr="009A33E5">
        <w:t>最惠国条款草案</w:t>
      </w:r>
      <w:r w:rsidRPr="009A33E5">
        <w:rPr>
          <w:rFonts w:hint="eastAsia"/>
        </w:rPr>
        <w:t>的第</w:t>
      </w:r>
      <w:r w:rsidRPr="009A33E5">
        <w:t>23</w:t>
      </w:r>
      <w:r w:rsidRPr="009A33E5">
        <w:rPr>
          <w:rFonts w:hint="eastAsia"/>
        </w:rPr>
        <w:t>条</w:t>
      </w:r>
      <w:r w:rsidRPr="009A33E5">
        <w:t>(</w:t>
      </w:r>
      <w:r w:rsidRPr="009A33E5">
        <w:t>最惠国条款与普遍优惠制待遇的关系</w:t>
      </w:r>
      <w:r w:rsidRPr="009A33E5">
        <w:t>)</w:t>
      </w:r>
      <w:r w:rsidRPr="009A33E5">
        <w:t>和</w:t>
      </w:r>
      <w:r w:rsidRPr="009A33E5">
        <w:rPr>
          <w:rFonts w:hint="eastAsia"/>
        </w:rPr>
        <w:t>第</w:t>
      </w:r>
      <w:r w:rsidRPr="009A33E5">
        <w:t>30</w:t>
      </w:r>
      <w:r w:rsidRPr="009A33E5">
        <w:rPr>
          <w:rFonts w:hint="eastAsia"/>
        </w:rPr>
        <w:t>条</w:t>
      </w:r>
      <w:r w:rsidRPr="009A33E5">
        <w:t>(</w:t>
      </w:r>
      <w:r w:rsidRPr="009A33E5">
        <w:t>有利于发展中国家的国际法新规则</w:t>
      </w:r>
      <w:r w:rsidRPr="009A33E5">
        <w:t>)</w:t>
      </w:r>
      <w:r w:rsidRPr="009A33E5">
        <w:t>，《</w:t>
      </w:r>
      <w:r w:rsidRPr="009A33E5">
        <w:t>1978</w:t>
      </w:r>
      <w:r w:rsidRPr="009A33E5">
        <w:t>年</w:t>
      </w:r>
      <w:r w:rsidRPr="009A33E5">
        <w:rPr>
          <w:rFonts w:ascii="宋体" w:hAnsi="宋体"/>
        </w:rPr>
        <w:t>…</w:t>
      </w:r>
      <w:r w:rsidRPr="009A33E5">
        <w:rPr>
          <w:rFonts w:eastAsiaTheme="minorEastAsia" w:hint="eastAsia"/>
        </w:rPr>
        <w:t>…</w:t>
      </w:r>
      <w:r w:rsidRPr="009A33E5">
        <w:t>年鉴》，第二卷</w:t>
      </w:r>
      <w:r w:rsidRPr="009A33E5">
        <w:rPr>
          <w:rFonts w:eastAsiaTheme="minorEastAsia" w:hint="eastAsia"/>
        </w:rPr>
        <w:t>(</w:t>
      </w:r>
      <w:r w:rsidRPr="009A33E5">
        <w:t>第二部分</w:t>
      </w:r>
      <w:r w:rsidRPr="009A33E5">
        <w:rPr>
          <w:rFonts w:eastAsiaTheme="minorEastAsia" w:hint="eastAsia"/>
        </w:rPr>
        <w:t>)</w:t>
      </w:r>
      <w:r w:rsidRPr="009A33E5">
        <w:t>，</w:t>
      </w:r>
      <w:r w:rsidRPr="009A33E5">
        <w:rPr>
          <w:rFonts w:hint="eastAsia"/>
        </w:rPr>
        <w:t>第</w:t>
      </w:r>
      <w:r w:rsidRPr="009A33E5">
        <w:rPr>
          <w:rFonts w:hint="eastAsia"/>
        </w:rPr>
        <w:t>74</w:t>
      </w:r>
      <w:r w:rsidRPr="009A33E5">
        <w:rPr>
          <w:rFonts w:hint="eastAsia"/>
        </w:rPr>
        <w:t>段</w:t>
      </w:r>
      <w:r w:rsidRPr="009A33E5">
        <w:rPr>
          <w:rFonts w:eastAsiaTheme="minorEastAsia" w:hint="eastAsia"/>
        </w:rPr>
        <w:t>，另见</w:t>
      </w:r>
      <w:r w:rsidRPr="009A33E5">
        <w:t>第</w:t>
      </w:r>
      <w:r w:rsidRPr="009A33E5">
        <w:t>47</w:t>
      </w:r>
      <w:r w:rsidRPr="009A33E5">
        <w:t>至</w:t>
      </w:r>
      <w:r w:rsidRPr="009A33E5">
        <w:t>72</w:t>
      </w:r>
      <w:r w:rsidRPr="009A33E5">
        <w:t>段。</w:t>
      </w:r>
      <w:r w:rsidRPr="009A33E5">
        <w:t>S</w:t>
      </w:r>
      <w:r w:rsidRPr="009A33E5">
        <w:rPr>
          <w:rFonts w:eastAsiaTheme="minorEastAsia" w:hint="eastAsia"/>
        </w:rPr>
        <w:t xml:space="preserve">. </w:t>
      </w:r>
      <w:r w:rsidRPr="009A33E5">
        <w:t xml:space="preserve">Murase, </w:t>
      </w:r>
      <w:r w:rsidRPr="009A33E5">
        <w:rPr>
          <w:i/>
        </w:rPr>
        <w:t xml:space="preserve">Economic Basis of International Law, </w:t>
      </w:r>
      <w:r w:rsidRPr="009A33E5">
        <w:t>(Tokyo, Yuhikaku, 2001)</w:t>
      </w:r>
      <w:r w:rsidRPr="009A33E5">
        <w:rPr>
          <w:rFonts w:hint="eastAsia"/>
        </w:rPr>
        <w:t>，</w:t>
      </w:r>
      <w:r w:rsidRPr="009A33E5">
        <w:t>pp. 109-179(</w:t>
      </w:r>
      <w:r w:rsidRPr="009A33E5">
        <w:rPr>
          <w:rFonts w:hint="eastAsia"/>
        </w:rPr>
        <w:t>in Japanese</w:t>
      </w:r>
      <w:r w:rsidRPr="009A33E5">
        <w:t>)</w:t>
      </w:r>
      <w:r w:rsidRPr="009A33E5">
        <w:t>。</w:t>
      </w:r>
      <w:r w:rsidRPr="009A33E5">
        <w:rPr>
          <w:rFonts w:eastAsiaTheme="minorEastAsia" w:hint="eastAsia"/>
        </w:rPr>
        <w:t>又</w:t>
      </w:r>
      <w:r w:rsidRPr="009A33E5">
        <w:t>见</w:t>
      </w:r>
      <w:r w:rsidRPr="009A33E5">
        <w:t>1947</w:t>
      </w:r>
      <w:r w:rsidRPr="009A33E5">
        <w:t>年《关税和贸易总协定》第十八条</w:t>
      </w:r>
      <w:r w:rsidRPr="009A33E5">
        <w:rPr>
          <w:rFonts w:hint="eastAsia"/>
        </w:rPr>
        <w:t>所述早先给予</w:t>
      </w:r>
      <w:r w:rsidRPr="009A33E5">
        <w:t>发展中国家</w:t>
      </w:r>
      <w:r w:rsidRPr="009A33E5">
        <w:rPr>
          <w:rFonts w:hint="eastAsia"/>
        </w:rPr>
        <w:t>的</w:t>
      </w:r>
      <w:r w:rsidRPr="009A33E5">
        <w:t>例外</w:t>
      </w:r>
      <w:r w:rsidRPr="009A33E5">
        <w:rPr>
          <w:rFonts w:hint="eastAsia"/>
        </w:rPr>
        <w:t>待遇</w:t>
      </w:r>
      <w:r w:rsidRPr="009A33E5">
        <w:t>，联合国</w:t>
      </w:r>
      <w:r w:rsidRPr="009A33E5">
        <w:rPr>
          <w:rFonts w:eastAsiaTheme="minorEastAsia" w:hint="eastAsia"/>
        </w:rPr>
        <w:t>，</w:t>
      </w:r>
      <w:r w:rsidRPr="009A33E5">
        <w:t>《条约汇编》，第</w:t>
      </w:r>
      <w:r w:rsidRPr="009A33E5">
        <w:t>55</w:t>
      </w:r>
      <w:r w:rsidRPr="009A33E5">
        <w:t>卷，</w:t>
      </w:r>
      <w:r w:rsidRPr="009A33E5">
        <w:rPr>
          <w:rFonts w:hint="eastAsia"/>
        </w:rPr>
        <w:t>第</w:t>
      </w:r>
      <w:r w:rsidRPr="009A33E5">
        <w:rPr>
          <w:rFonts w:hint="eastAsia"/>
        </w:rPr>
        <w:t>814</w:t>
      </w:r>
      <w:r w:rsidRPr="009A33E5">
        <w:rPr>
          <w:rFonts w:hint="eastAsia"/>
        </w:rPr>
        <w:t>号，</w:t>
      </w:r>
      <w:r w:rsidRPr="009A33E5">
        <w:t>第</w:t>
      </w:r>
      <w:r w:rsidRPr="009A33E5">
        <w:t>194</w:t>
      </w:r>
      <w:r w:rsidRPr="009A33E5">
        <w:t>页。</w:t>
      </w:r>
    </w:p>
  </w:footnote>
  <w:footnote w:id="1241">
    <w:p w:rsidR="00AB00DE" w:rsidRPr="007E001F" w:rsidRDefault="00AB00DE" w:rsidP="006735D4">
      <w:pPr>
        <w:pStyle w:val="a4"/>
        <w:rPr>
          <w:lang w:eastAsia="ja-JP"/>
        </w:rPr>
      </w:pPr>
      <w:r w:rsidRPr="007E001F">
        <w:tab/>
      </w:r>
      <w:r w:rsidRPr="00681AC8">
        <w:rPr>
          <w:rStyle w:val="a5"/>
        </w:rPr>
        <w:footnoteRef/>
      </w:r>
      <w:r w:rsidRPr="007E001F">
        <w:rPr>
          <w:rStyle w:val="a5"/>
        </w:rPr>
        <w:t xml:space="preserve"> </w:t>
      </w:r>
      <w:r w:rsidRPr="007E001F">
        <w:tab/>
        <w:t>1972</w:t>
      </w:r>
      <w:r w:rsidRPr="007E001F">
        <w:t>年</w:t>
      </w:r>
      <w:r w:rsidRPr="007E001F">
        <w:t>6</w:t>
      </w:r>
      <w:r w:rsidRPr="007E001F">
        <w:t>月</w:t>
      </w:r>
      <w:r w:rsidRPr="007E001F">
        <w:t>16</w:t>
      </w:r>
      <w:r w:rsidRPr="007E001F">
        <w:t>日在斯德哥尔摩通过，见《联合国人类环境大会报告</w:t>
      </w:r>
      <w:r w:rsidRPr="007E001F">
        <w:rPr>
          <w:rFonts w:hint="eastAsia"/>
        </w:rPr>
        <w:t>》</w:t>
      </w:r>
      <w:r w:rsidRPr="007E001F">
        <w:t>，斯德哥尔摩，</w:t>
      </w:r>
      <w:r w:rsidRPr="007E001F">
        <w:t>1972</w:t>
      </w:r>
      <w:r w:rsidRPr="007E001F">
        <w:t>年</w:t>
      </w:r>
      <w:r w:rsidRPr="007E001F">
        <w:t>6</w:t>
      </w:r>
      <w:r w:rsidRPr="007E001F">
        <w:t>月</w:t>
      </w:r>
      <w:r w:rsidRPr="007E001F">
        <w:t>5</w:t>
      </w:r>
      <w:r w:rsidRPr="007E001F">
        <w:t>日至</w:t>
      </w:r>
      <w:r w:rsidRPr="007E001F">
        <w:t>16</w:t>
      </w:r>
      <w:r w:rsidRPr="007E001F">
        <w:t>日</w:t>
      </w:r>
      <w:r>
        <w:t>(</w:t>
      </w:r>
      <w:hyperlink r:id="rId277" w:history="1">
        <w:r w:rsidRPr="007E001F">
          <w:rPr>
            <w:rStyle w:val="af"/>
          </w:rPr>
          <w:t>A/CONF.48/14/Rev.1</w:t>
        </w:r>
        <w:r>
          <w:rPr>
            <w:rStyle w:val="af"/>
            <w:rFonts w:eastAsiaTheme="minorEastAsia" w:hint="eastAsia"/>
          </w:rPr>
          <w:t>和</w:t>
        </w:r>
        <w:r w:rsidRPr="007E001F">
          <w:rPr>
            <w:rStyle w:val="af"/>
          </w:rPr>
          <w:t>Corr.</w:t>
        </w:r>
      </w:hyperlink>
      <w:r>
        <w:rPr>
          <w:rStyle w:val="af"/>
          <w:rFonts w:eastAsiaTheme="minorEastAsia" w:hint="eastAsia"/>
        </w:rPr>
        <w:t>1)</w:t>
      </w:r>
      <w:r w:rsidRPr="007E001F">
        <w:rPr>
          <w:rFonts w:hint="eastAsia"/>
        </w:rPr>
        <w:t>，</w:t>
      </w:r>
      <w:r w:rsidRPr="007E001F">
        <w:t>第一部分，第一章</w:t>
      </w:r>
      <w:r w:rsidRPr="007E001F">
        <w:rPr>
          <w:rFonts w:hint="eastAsia"/>
        </w:rPr>
        <w:t>。</w:t>
      </w:r>
      <w:r w:rsidRPr="007E001F">
        <w:t xml:space="preserve">See Louis B. Sohn, </w:t>
      </w:r>
      <w:r w:rsidRPr="007E001F">
        <w:rPr>
          <w:rFonts w:hint="eastAsia"/>
        </w:rPr>
        <w:t>“</w:t>
      </w:r>
      <w:r w:rsidRPr="007E001F">
        <w:t xml:space="preserve">The Stockholm </w:t>
      </w:r>
      <w:r>
        <w:t>12</w:t>
      </w:r>
      <w:r w:rsidRPr="007E001F">
        <w:t>laration on the Human Environment</w:t>
      </w:r>
      <w:r w:rsidRPr="007E001F">
        <w:rPr>
          <w:rFonts w:hint="eastAsia"/>
        </w:rPr>
        <w:t>”</w:t>
      </w:r>
      <w:r w:rsidRPr="007E001F">
        <w:t>，</w:t>
      </w:r>
      <w:hyperlink r:id="rId278" w:history="1">
        <w:r w:rsidRPr="007E001F">
          <w:rPr>
            <w:rStyle w:val="af"/>
          </w:rPr>
          <w:t>Harvard International Law Journal, vol. 14</w:t>
        </w:r>
      </w:hyperlink>
      <w:r w:rsidRPr="007E001F">
        <w:t xml:space="preserve"> </w:t>
      </w:r>
      <w:r>
        <w:t>(</w:t>
      </w:r>
      <w:r w:rsidRPr="007E001F">
        <w:t>1973</w:t>
      </w:r>
      <w:r>
        <w:t>)</w:t>
      </w:r>
      <w:r w:rsidRPr="007E001F">
        <w:t>，</w:t>
      </w:r>
      <w:r w:rsidRPr="007E001F">
        <w:t>pp. 423-515, at pp. 485-493</w:t>
      </w:r>
      <w:r w:rsidRPr="007E001F">
        <w:rPr>
          <w:rFonts w:hint="eastAsia"/>
        </w:rPr>
        <w:t>。</w:t>
      </w:r>
    </w:p>
  </w:footnote>
  <w:footnote w:id="1242">
    <w:p w:rsidR="00AB00DE" w:rsidRPr="007E001F" w:rsidRDefault="00AB00DE" w:rsidP="006735D4">
      <w:pPr>
        <w:pStyle w:val="a4"/>
        <w:rPr>
          <w:lang w:eastAsia="ja-JP"/>
        </w:rPr>
      </w:pPr>
      <w:r w:rsidRPr="007E001F">
        <w:tab/>
      </w:r>
      <w:r w:rsidRPr="00681AC8">
        <w:rPr>
          <w:rStyle w:val="a5"/>
        </w:rPr>
        <w:footnoteRef/>
      </w:r>
      <w:r w:rsidRPr="007E001F">
        <w:rPr>
          <w:rStyle w:val="a5"/>
        </w:rPr>
        <w:t xml:space="preserve"> </w:t>
      </w:r>
      <w:r w:rsidRPr="007E001F">
        <w:rPr>
          <w:rFonts w:hint="eastAsia"/>
        </w:rPr>
        <w:tab/>
      </w:r>
      <w:r w:rsidRPr="007E001F">
        <w:t>1992</w:t>
      </w:r>
      <w:r w:rsidRPr="007E001F">
        <w:t>年</w:t>
      </w:r>
      <w:r w:rsidRPr="007E001F">
        <w:t>6</w:t>
      </w:r>
      <w:r w:rsidRPr="007E001F">
        <w:t>月</w:t>
      </w:r>
      <w:r w:rsidRPr="007E001F">
        <w:t>14</w:t>
      </w:r>
      <w:r w:rsidRPr="007E001F">
        <w:t>日在里约热内卢通过，见《联合国环境与发展会议报告</w:t>
      </w:r>
      <w:r w:rsidRPr="007E001F">
        <w:rPr>
          <w:rFonts w:hint="eastAsia"/>
        </w:rPr>
        <w:t>》</w:t>
      </w:r>
      <w:r w:rsidRPr="007E001F">
        <w:t>，</w:t>
      </w:r>
      <w:r w:rsidRPr="007E001F">
        <w:t>1992</w:t>
      </w:r>
      <w:r w:rsidRPr="007E001F">
        <w:t>年</w:t>
      </w:r>
      <w:r w:rsidRPr="007E001F">
        <w:t>6</w:t>
      </w:r>
      <w:r w:rsidRPr="007E001F">
        <w:t>月</w:t>
      </w:r>
      <w:r w:rsidRPr="007E001F">
        <w:t>3</w:t>
      </w:r>
      <w:r w:rsidRPr="007E001F">
        <w:t>日至</w:t>
      </w:r>
      <w:r w:rsidRPr="007E001F">
        <w:t>14</w:t>
      </w:r>
      <w:r w:rsidRPr="007E001F">
        <w:t>日，里约热内卢</w:t>
      </w:r>
      <w:r>
        <w:rPr>
          <w:rFonts w:hint="eastAsia"/>
        </w:rPr>
        <w:t>(</w:t>
      </w:r>
      <w:hyperlink r:id="rId279" w:history="1">
        <w:r w:rsidRPr="007E001F">
          <w:rPr>
            <w:rStyle w:val="af"/>
          </w:rPr>
          <w:t>A/CONF.151/26/Rev.1</w:t>
        </w:r>
        <w:r>
          <w:rPr>
            <w:rStyle w:val="af"/>
          </w:rPr>
          <w:t>(</w:t>
        </w:r>
        <w:r w:rsidRPr="007E001F">
          <w:rPr>
            <w:rStyle w:val="af"/>
            <w:rFonts w:hint="eastAsia"/>
          </w:rPr>
          <w:t>第一卷</w:t>
        </w:r>
        <w:r>
          <w:rPr>
            <w:rStyle w:val="af"/>
          </w:rPr>
          <w:t>)</w:t>
        </w:r>
        <w:r>
          <w:rPr>
            <w:rStyle w:val="af"/>
            <w:rFonts w:eastAsiaTheme="minorEastAsia" w:hint="eastAsia"/>
          </w:rPr>
          <w:t>和</w:t>
        </w:r>
        <w:r>
          <w:rPr>
            <w:rStyle w:val="af"/>
            <w:rFonts w:eastAsiaTheme="minorEastAsia" w:hint="eastAsia"/>
          </w:rPr>
          <w:t>Corr.1</w:t>
        </w:r>
        <w:r>
          <w:rPr>
            <w:rStyle w:val="af"/>
            <w:rFonts w:hint="eastAsia"/>
          </w:rPr>
          <w:t>)</w:t>
        </w:r>
      </w:hyperlink>
      <w:r w:rsidRPr="007E001F">
        <w:rPr>
          <w:rFonts w:hint="eastAsia"/>
        </w:rPr>
        <w:t>，第</w:t>
      </w:r>
      <w:r w:rsidRPr="007E001F">
        <w:rPr>
          <w:rFonts w:hint="eastAsia"/>
        </w:rPr>
        <w:t>1</w:t>
      </w:r>
      <w:r w:rsidRPr="007E001F">
        <w:rPr>
          <w:rFonts w:hint="eastAsia"/>
        </w:rPr>
        <w:t>号决议</w:t>
      </w:r>
      <w:r w:rsidRPr="007E001F">
        <w:t>，第</w:t>
      </w:r>
      <w:r w:rsidRPr="007E001F">
        <w:t>3</w:t>
      </w:r>
      <w:r w:rsidRPr="007E001F">
        <w:t>页</w:t>
      </w:r>
      <w:r w:rsidRPr="007E001F">
        <w:rPr>
          <w:rFonts w:hint="eastAsia"/>
        </w:rPr>
        <w:t>。</w:t>
      </w:r>
    </w:p>
  </w:footnote>
  <w:footnote w:id="1243">
    <w:p w:rsidR="00AB00DE" w:rsidRPr="008A21A7" w:rsidRDefault="00AB00DE" w:rsidP="006735D4">
      <w:pPr>
        <w:pStyle w:val="a4"/>
      </w:pPr>
      <w:r>
        <w:tab/>
      </w:r>
      <w:r w:rsidRPr="00681AC8">
        <w:rPr>
          <w:rStyle w:val="a5"/>
        </w:rPr>
        <w:footnoteRef/>
      </w:r>
      <w:r w:rsidRPr="00363D11">
        <w:tab/>
      </w:r>
      <w:r w:rsidRPr="007E001F">
        <w:rPr>
          <w:spacing w:val="-2"/>
        </w:rPr>
        <w:t>联合国</w:t>
      </w:r>
      <w:r>
        <w:rPr>
          <w:rFonts w:eastAsiaTheme="minorEastAsia" w:hint="eastAsia"/>
          <w:spacing w:val="-2"/>
        </w:rPr>
        <w:t>，</w:t>
      </w:r>
      <w:r w:rsidRPr="007E001F">
        <w:rPr>
          <w:spacing w:val="-2"/>
        </w:rPr>
        <w:t>《条约汇编》，第</w:t>
      </w:r>
      <w:r>
        <w:rPr>
          <w:rFonts w:eastAsiaTheme="minorEastAsia" w:hint="eastAsia"/>
          <w:spacing w:val="-2"/>
        </w:rPr>
        <w:t>1771</w:t>
      </w:r>
      <w:r w:rsidRPr="007E001F">
        <w:rPr>
          <w:spacing w:val="-2"/>
        </w:rPr>
        <w:t>卷，</w:t>
      </w:r>
      <w:r w:rsidRPr="007E001F">
        <w:rPr>
          <w:rFonts w:hint="eastAsia"/>
          <w:spacing w:val="-2"/>
        </w:rPr>
        <w:t>第</w:t>
      </w:r>
      <w:r>
        <w:rPr>
          <w:rFonts w:eastAsiaTheme="minorEastAsia" w:hint="eastAsia"/>
          <w:spacing w:val="-2"/>
        </w:rPr>
        <w:t>30822</w:t>
      </w:r>
      <w:r w:rsidRPr="007E001F">
        <w:rPr>
          <w:rFonts w:hint="eastAsia"/>
          <w:spacing w:val="-2"/>
        </w:rPr>
        <w:t>号，</w:t>
      </w:r>
      <w:r w:rsidRPr="007E001F">
        <w:rPr>
          <w:spacing w:val="-2"/>
        </w:rPr>
        <w:t>第</w:t>
      </w:r>
      <w:r w:rsidRPr="007E001F">
        <w:rPr>
          <w:spacing w:val="-2"/>
        </w:rPr>
        <w:t>1</w:t>
      </w:r>
      <w:r>
        <w:rPr>
          <w:rFonts w:eastAsiaTheme="minorEastAsia" w:hint="eastAsia"/>
          <w:spacing w:val="-2"/>
        </w:rPr>
        <w:t>07</w:t>
      </w:r>
      <w:r w:rsidRPr="007E001F">
        <w:rPr>
          <w:spacing w:val="-2"/>
        </w:rPr>
        <w:t>页。</w:t>
      </w:r>
    </w:p>
  </w:footnote>
  <w:footnote w:id="1244">
    <w:p w:rsidR="00AB00DE" w:rsidRPr="00342A9B" w:rsidRDefault="00AB00DE" w:rsidP="006735D4">
      <w:pPr>
        <w:pStyle w:val="a4"/>
        <w:rPr>
          <w:rFonts w:eastAsiaTheme="minorEastAsia"/>
        </w:rPr>
      </w:pPr>
      <w:r w:rsidRPr="009E184B">
        <w:tab/>
      </w:r>
      <w:r w:rsidRPr="00681AC8">
        <w:rPr>
          <w:rStyle w:val="a5"/>
        </w:rPr>
        <w:footnoteRef/>
      </w:r>
      <w:r w:rsidRPr="009E184B">
        <w:tab/>
      </w:r>
      <w:r>
        <w:rPr>
          <w:rFonts w:eastAsiaTheme="minorEastAsia" w:hint="eastAsia"/>
        </w:rPr>
        <w:t>2015</w:t>
      </w:r>
      <w:r>
        <w:rPr>
          <w:rFonts w:eastAsiaTheme="minorEastAsia" w:hint="eastAsia"/>
        </w:rPr>
        <w:t>年</w:t>
      </w:r>
      <w:r>
        <w:rPr>
          <w:rFonts w:eastAsiaTheme="minorEastAsia" w:hint="eastAsia"/>
        </w:rPr>
        <w:t>11</w:t>
      </w:r>
      <w:r>
        <w:rPr>
          <w:rFonts w:eastAsiaTheme="minorEastAsia" w:hint="eastAsia"/>
        </w:rPr>
        <w:t>月</w:t>
      </w:r>
      <w:r>
        <w:rPr>
          <w:rFonts w:eastAsiaTheme="minorEastAsia" w:hint="eastAsia"/>
        </w:rPr>
        <w:t>30</w:t>
      </w:r>
      <w:r>
        <w:rPr>
          <w:rFonts w:eastAsiaTheme="minorEastAsia" w:hint="eastAsia"/>
        </w:rPr>
        <w:t>日至</w:t>
      </w:r>
      <w:r>
        <w:rPr>
          <w:rFonts w:eastAsiaTheme="minorEastAsia" w:hint="eastAsia"/>
        </w:rPr>
        <w:t>12</w:t>
      </w:r>
      <w:r>
        <w:rPr>
          <w:rFonts w:eastAsiaTheme="minorEastAsia" w:hint="eastAsia"/>
        </w:rPr>
        <w:t>月</w:t>
      </w:r>
      <w:r>
        <w:rPr>
          <w:rFonts w:eastAsiaTheme="minorEastAsia" w:hint="eastAsia"/>
        </w:rPr>
        <w:t>13</w:t>
      </w:r>
      <w:r>
        <w:rPr>
          <w:rFonts w:eastAsiaTheme="minorEastAsia" w:hint="eastAsia"/>
        </w:rPr>
        <w:t>日在巴黎举行的《公约》缔约方会议第二十一届会议报告</w:t>
      </w:r>
      <w:r>
        <w:t>(FCCC/CP/2015/10/Add.1)</w:t>
      </w:r>
      <w:r>
        <w:rPr>
          <w:rFonts w:eastAsiaTheme="minorEastAsia" w:hint="eastAsia"/>
        </w:rPr>
        <w:t>，附件。</w:t>
      </w:r>
    </w:p>
  </w:footnote>
  <w:footnote w:id="1245">
    <w:p w:rsidR="00AB00DE" w:rsidRPr="007E001F" w:rsidRDefault="00AB00DE" w:rsidP="006735D4">
      <w:pPr>
        <w:pStyle w:val="a4"/>
      </w:pPr>
      <w:r w:rsidRPr="007E001F">
        <w:tab/>
      </w:r>
      <w:r w:rsidRPr="00681AC8">
        <w:rPr>
          <w:rStyle w:val="a5"/>
        </w:rPr>
        <w:footnoteRef/>
      </w:r>
      <w:r w:rsidRPr="007E001F">
        <w:rPr>
          <w:rStyle w:val="a5"/>
        </w:rPr>
        <w:t xml:space="preserve"> </w:t>
      </w:r>
      <w:r w:rsidRPr="007E001F">
        <w:tab/>
      </w:r>
      <w:r w:rsidRPr="007E001F">
        <w:rPr>
          <w:rFonts w:hint="eastAsia"/>
        </w:rPr>
        <w:t>大会</w:t>
      </w:r>
      <w:r w:rsidRPr="007E001F">
        <w:rPr>
          <w:rFonts w:hint="eastAsia"/>
        </w:rPr>
        <w:t>1997</w:t>
      </w:r>
      <w:r w:rsidRPr="007E001F">
        <w:rPr>
          <w:rFonts w:hint="eastAsia"/>
        </w:rPr>
        <w:t>年</w:t>
      </w:r>
      <w:r w:rsidRPr="007E001F">
        <w:rPr>
          <w:rFonts w:hint="eastAsia"/>
        </w:rPr>
        <w:t>5</w:t>
      </w:r>
      <w:r w:rsidRPr="007E001F">
        <w:rPr>
          <w:rFonts w:hint="eastAsia"/>
        </w:rPr>
        <w:t>月</w:t>
      </w:r>
      <w:r w:rsidRPr="007E001F">
        <w:rPr>
          <w:rFonts w:hint="eastAsia"/>
        </w:rPr>
        <w:t>21</w:t>
      </w:r>
      <w:r w:rsidRPr="007E001F">
        <w:rPr>
          <w:rFonts w:hint="eastAsia"/>
        </w:rPr>
        <w:t>日在第</w:t>
      </w:r>
      <w:r w:rsidRPr="007E001F">
        <w:rPr>
          <w:rFonts w:hint="eastAsia"/>
        </w:rPr>
        <w:t>51/229</w:t>
      </w:r>
      <w:r w:rsidRPr="007E001F">
        <w:rPr>
          <w:rFonts w:hint="eastAsia"/>
        </w:rPr>
        <w:t>号决议</w:t>
      </w:r>
      <w:r>
        <w:rPr>
          <w:rFonts w:hint="eastAsia"/>
        </w:rPr>
        <w:t>(</w:t>
      </w:r>
      <w:r w:rsidRPr="007E001F">
        <w:rPr>
          <w:rFonts w:hint="eastAsia"/>
        </w:rPr>
        <w:t>附件</w:t>
      </w:r>
      <w:r>
        <w:rPr>
          <w:rFonts w:hint="eastAsia"/>
        </w:rPr>
        <w:t>)</w:t>
      </w:r>
      <w:r w:rsidRPr="007E001F">
        <w:rPr>
          <w:rFonts w:hint="eastAsia"/>
        </w:rPr>
        <w:t>中通过。《公约》于</w:t>
      </w:r>
      <w:r w:rsidRPr="007E001F">
        <w:rPr>
          <w:rFonts w:hint="eastAsia"/>
        </w:rPr>
        <w:t>2014</w:t>
      </w:r>
      <w:r w:rsidRPr="007E001F">
        <w:rPr>
          <w:rFonts w:hint="eastAsia"/>
        </w:rPr>
        <w:t>年</w:t>
      </w:r>
      <w:r w:rsidRPr="007E001F">
        <w:rPr>
          <w:rFonts w:hint="eastAsia"/>
        </w:rPr>
        <w:t>8</w:t>
      </w:r>
      <w:r w:rsidRPr="007E001F">
        <w:rPr>
          <w:rFonts w:hint="eastAsia"/>
        </w:rPr>
        <w:t>月</w:t>
      </w:r>
      <w:r w:rsidRPr="007E001F">
        <w:rPr>
          <w:rFonts w:hint="eastAsia"/>
        </w:rPr>
        <w:t>17</w:t>
      </w:r>
      <w:r w:rsidRPr="007E001F">
        <w:rPr>
          <w:rFonts w:hint="eastAsia"/>
        </w:rPr>
        <w:t>日生效。</w:t>
      </w:r>
    </w:p>
  </w:footnote>
  <w:footnote w:id="1246">
    <w:p w:rsidR="00AB00DE" w:rsidRPr="007E001F" w:rsidRDefault="00AB00DE" w:rsidP="006735D4">
      <w:pPr>
        <w:pStyle w:val="a4"/>
        <w:rPr>
          <w:lang w:eastAsia="ja-JP"/>
        </w:rPr>
      </w:pPr>
      <w:r w:rsidRPr="007E001F">
        <w:tab/>
      </w:r>
      <w:r w:rsidRPr="00681AC8">
        <w:rPr>
          <w:rStyle w:val="a5"/>
        </w:rPr>
        <w:footnoteRef/>
      </w:r>
      <w:r w:rsidRPr="007E001F">
        <w:rPr>
          <w:rStyle w:val="a5"/>
        </w:rPr>
        <w:t xml:space="preserve"> </w:t>
      </w:r>
      <w:r w:rsidRPr="007E001F">
        <w:rPr>
          <w:rFonts w:hint="eastAsia"/>
        </w:rPr>
        <w:tab/>
      </w:r>
      <w:r w:rsidRPr="007E001F">
        <w:rPr>
          <w:rFonts w:hint="eastAsia"/>
        </w:rPr>
        <w:t>见联合国《国际仲裁裁决报告》第三卷，</w:t>
      </w:r>
      <w:r>
        <w:rPr>
          <w:rFonts w:hint="eastAsia"/>
        </w:rPr>
        <w:t>(</w:t>
      </w:r>
      <w:r w:rsidRPr="007E001F">
        <w:rPr>
          <w:rFonts w:hint="eastAsia"/>
        </w:rPr>
        <w:t>出售品编号</w:t>
      </w:r>
      <w:r w:rsidRPr="007E001F">
        <w:rPr>
          <w:rFonts w:hint="eastAsia"/>
        </w:rPr>
        <w:t>1949.V.2</w:t>
      </w:r>
      <w:r>
        <w:rPr>
          <w:rFonts w:hint="eastAsia"/>
        </w:rPr>
        <w:t>)</w:t>
      </w:r>
      <w:r w:rsidRPr="007E001F">
        <w:rPr>
          <w:rFonts w:hint="eastAsia"/>
        </w:rPr>
        <w:t>，</w:t>
      </w:r>
      <w:r>
        <w:rPr>
          <w:rFonts w:eastAsiaTheme="minorEastAsia" w:hint="eastAsia"/>
        </w:rPr>
        <w:t>第</w:t>
      </w:r>
      <w:r w:rsidRPr="007E001F">
        <w:rPr>
          <w:rFonts w:hint="eastAsia"/>
        </w:rPr>
        <w:t>1905-1982</w:t>
      </w:r>
      <w:r w:rsidRPr="007E001F">
        <w:rPr>
          <w:rFonts w:hint="eastAsia"/>
        </w:rPr>
        <w:t>页</w:t>
      </w:r>
      <w:r>
        <w:rPr>
          <w:rFonts w:hint="eastAsia"/>
        </w:rPr>
        <w:t>(</w:t>
      </w:r>
      <w:r w:rsidRPr="007E001F">
        <w:rPr>
          <w:rFonts w:hint="eastAsia"/>
        </w:rPr>
        <w:t>1941</w:t>
      </w:r>
      <w:r w:rsidRPr="007E001F">
        <w:rPr>
          <w:rFonts w:hint="eastAsia"/>
        </w:rPr>
        <w:t>年</w:t>
      </w:r>
      <w:r w:rsidRPr="007E001F">
        <w:rPr>
          <w:rFonts w:hint="eastAsia"/>
        </w:rPr>
        <w:t>3</w:t>
      </w:r>
      <w:r w:rsidRPr="007E001F">
        <w:rPr>
          <w:rFonts w:hint="eastAsia"/>
        </w:rPr>
        <w:t>月</w:t>
      </w:r>
      <w:r w:rsidRPr="007E001F">
        <w:rPr>
          <w:rFonts w:hint="eastAsia"/>
        </w:rPr>
        <w:t>11</w:t>
      </w:r>
      <w:r w:rsidRPr="007E001F">
        <w:rPr>
          <w:rFonts w:hint="eastAsia"/>
        </w:rPr>
        <w:t>日裁决</w:t>
      </w:r>
      <w:r>
        <w:rPr>
          <w:rFonts w:hint="eastAsia"/>
        </w:rPr>
        <w:t>)</w:t>
      </w:r>
      <w:r w:rsidRPr="007E001F">
        <w:rPr>
          <w:rFonts w:hint="eastAsia"/>
        </w:rPr>
        <w:t>，第</w:t>
      </w:r>
      <w:r w:rsidRPr="007E001F">
        <w:rPr>
          <w:rFonts w:hint="eastAsia"/>
        </w:rPr>
        <w:t>1965</w:t>
      </w:r>
      <w:r w:rsidRPr="007E001F">
        <w:rPr>
          <w:rFonts w:hint="eastAsia"/>
        </w:rPr>
        <w:t>页及以下；特别报告员</w:t>
      </w:r>
      <w:r>
        <w:rPr>
          <w:rFonts w:eastAsiaTheme="minorEastAsia" w:hint="eastAsia"/>
        </w:rPr>
        <w:t>的</w:t>
      </w:r>
      <w:r w:rsidRPr="007E001F">
        <w:rPr>
          <w:rFonts w:hint="eastAsia"/>
        </w:rPr>
        <w:t>第一次报告</w:t>
      </w:r>
      <w:r>
        <w:rPr>
          <w:rFonts w:hint="eastAsia"/>
        </w:rPr>
        <w:t>(</w:t>
      </w:r>
      <w:r w:rsidRPr="007E001F">
        <w:rPr>
          <w:rFonts w:hint="eastAsia"/>
        </w:rPr>
        <w:t>A/CN.4/667</w:t>
      </w:r>
      <w:r>
        <w:rPr>
          <w:rFonts w:hint="eastAsia"/>
        </w:rPr>
        <w:t>)</w:t>
      </w:r>
      <w:r w:rsidRPr="007E001F">
        <w:rPr>
          <w:rFonts w:hint="eastAsia"/>
        </w:rPr>
        <w:t>，第</w:t>
      </w:r>
      <w:r w:rsidRPr="007E001F">
        <w:rPr>
          <w:rFonts w:hint="eastAsia"/>
        </w:rPr>
        <w:t>43</w:t>
      </w:r>
      <w:r w:rsidRPr="007E001F">
        <w:rPr>
          <w:rFonts w:hint="eastAsia"/>
        </w:rPr>
        <w:t>段。另见</w:t>
      </w:r>
      <w:r w:rsidRPr="007E001F">
        <w:t xml:space="preserve">A.K. Kuhn, </w:t>
      </w:r>
      <w:r w:rsidRPr="007E001F">
        <w:rPr>
          <w:rFonts w:hint="eastAsia"/>
        </w:rPr>
        <w:t>“</w:t>
      </w:r>
      <w:r w:rsidRPr="007E001F">
        <w:t>The Trail Smelter Arbitration, United States and Canada</w:t>
      </w:r>
      <w:r w:rsidRPr="007E001F">
        <w:rPr>
          <w:rFonts w:hint="eastAsia"/>
        </w:rPr>
        <w:t>”</w:t>
      </w:r>
      <w:r w:rsidRPr="007E001F">
        <w:t>，</w:t>
      </w:r>
      <w:hyperlink r:id="rId280" w:history="1">
        <w:r w:rsidRPr="007E001F">
          <w:rPr>
            <w:rStyle w:val="af"/>
          </w:rPr>
          <w:t>American Journal of International Law, vol. 32</w:t>
        </w:r>
      </w:hyperlink>
      <w:r w:rsidRPr="007E001F">
        <w:t xml:space="preserve"> </w:t>
      </w:r>
      <w:r>
        <w:t>(</w:t>
      </w:r>
      <w:r w:rsidRPr="007E001F">
        <w:t>1938</w:t>
      </w:r>
      <w:r>
        <w:t>)</w:t>
      </w:r>
      <w:r w:rsidRPr="007E001F">
        <w:t>，</w:t>
      </w:r>
      <w:r w:rsidRPr="007E001F">
        <w:t xml:space="preserve">pp. 785-788 and </w:t>
      </w:r>
      <w:r w:rsidRPr="007E001F">
        <w:rPr>
          <w:i/>
        </w:rPr>
        <w:t>ibid</w:t>
      </w:r>
      <w:r w:rsidRPr="007E001F">
        <w:t>.</w:t>
      </w:r>
      <w:r w:rsidRPr="007E001F">
        <w:t>，</w:t>
      </w:r>
      <w:r w:rsidRPr="007E001F">
        <w:t xml:space="preserve">vol. </w:t>
      </w:r>
      <w:hyperlink r:id="rId281" w:history="1">
        <w:r w:rsidRPr="007E001F">
          <w:rPr>
            <w:rStyle w:val="af"/>
          </w:rPr>
          <w:t xml:space="preserve">35 </w:t>
        </w:r>
        <w:r>
          <w:rPr>
            <w:rStyle w:val="af"/>
          </w:rPr>
          <w:t>(</w:t>
        </w:r>
        <w:r w:rsidRPr="007E001F">
          <w:rPr>
            <w:rStyle w:val="af"/>
          </w:rPr>
          <w:t>1941</w:t>
        </w:r>
        <w:r>
          <w:rPr>
            <w:rStyle w:val="af"/>
          </w:rPr>
          <w:t>)</w:t>
        </w:r>
        <w:r w:rsidRPr="007E001F">
          <w:rPr>
            <w:rStyle w:val="af"/>
          </w:rPr>
          <w:t>，</w:t>
        </w:r>
        <w:r w:rsidRPr="007E001F">
          <w:rPr>
            <w:rStyle w:val="af"/>
          </w:rPr>
          <w:t>pp. 665-666</w:t>
        </w:r>
      </w:hyperlink>
      <w:r w:rsidRPr="007E001F">
        <w:t>；</w:t>
      </w:r>
      <w:r w:rsidRPr="007E001F">
        <w:t xml:space="preserve">and J.E. Read, </w:t>
      </w:r>
      <w:r w:rsidRPr="007E001F">
        <w:rPr>
          <w:rFonts w:hint="eastAsia"/>
        </w:rPr>
        <w:t>“</w:t>
      </w:r>
      <w:r w:rsidRPr="007E001F">
        <w:t>The Trail Smelter Dispute</w:t>
      </w:r>
      <w:hyperlink r:id="rId282" w:history="1">
        <w:r w:rsidRPr="007E001F">
          <w:rPr>
            <w:rStyle w:val="af"/>
            <w:rFonts w:hint="eastAsia"/>
          </w:rPr>
          <w:t>”</w:t>
        </w:r>
        <w:r w:rsidRPr="007E001F">
          <w:rPr>
            <w:rStyle w:val="af"/>
          </w:rPr>
          <w:t>，</w:t>
        </w:r>
        <w:r w:rsidRPr="007E001F">
          <w:rPr>
            <w:rStyle w:val="af"/>
          </w:rPr>
          <w:t>Canadian Yearbook of International Law, vol. 1</w:t>
        </w:r>
      </w:hyperlink>
      <w:r w:rsidRPr="007E001F">
        <w:t xml:space="preserve"> </w:t>
      </w:r>
      <w:r>
        <w:t>(</w:t>
      </w:r>
      <w:r w:rsidRPr="007E001F">
        <w:t>1963</w:t>
      </w:r>
      <w:r>
        <w:t>)</w:t>
      </w:r>
      <w:r w:rsidRPr="007E001F">
        <w:t>，</w:t>
      </w:r>
      <w:r w:rsidRPr="007E001F">
        <w:t>pp. 213-229</w:t>
      </w:r>
      <w:r w:rsidRPr="007E001F">
        <w:rPr>
          <w:rFonts w:hint="eastAsia"/>
        </w:rPr>
        <w:t>。</w:t>
      </w:r>
    </w:p>
  </w:footnote>
  <w:footnote w:id="1247">
    <w:p w:rsidR="00AB00DE" w:rsidRPr="007E001F" w:rsidRDefault="00AB00DE" w:rsidP="006735D4">
      <w:pPr>
        <w:pStyle w:val="a4"/>
      </w:pPr>
      <w:r w:rsidRPr="007E001F">
        <w:tab/>
      </w:r>
      <w:r w:rsidRPr="00681AC8">
        <w:rPr>
          <w:rStyle w:val="a5"/>
        </w:rPr>
        <w:footnoteRef/>
      </w:r>
      <w:r w:rsidRPr="007E001F">
        <w:rPr>
          <w:rStyle w:val="a5"/>
        </w:rPr>
        <w:t xml:space="preserve"> </w:t>
      </w:r>
      <w:r w:rsidRPr="007E001F">
        <w:tab/>
      </w:r>
      <w:r w:rsidRPr="007E001F">
        <w:rPr>
          <w:rFonts w:hint="eastAsia"/>
        </w:rPr>
        <w:t>第四十八条</w:t>
      </w:r>
      <w:r>
        <w:rPr>
          <w:rFonts w:hint="eastAsia"/>
        </w:rPr>
        <w:t>(</w:t>
      </w:r>
      <w:r w:rsidRPr="007E001F">
        <w:t>受害国以外的国家援引责任</w:t>
      </w:r>
      <w:r>
        <w:rPr>
          <w:rFonts w:hint="eastAsia"/>
        </w:rPr>
        <w:t>)</w:t>
      </w:r>
      <w:r w:rsidRPr="007E001F">
        <w:rPr>
          <w:rFonts w:hint="eastAsia"/>
        </w:rPr>
        <w:t>规定，“</w:t>
      </w:r>
      <w:r w:rsidRPr="007E001F">
        <w:rPr>
          <w:rFonts w:hint="eastAsia"/>
        </w:rPr>
        <w:t xml:space="preserve">1. </w:t>
      </w:r>
      <w:r w:rsidRPr="007E001F">
        <w:t>受害国以外的</w:t>
      </w:r>
      <w:r w:rsidRPr="007E001F">
        <w:rPr>
          <w:rFonts w:hint="eastAsia"/>
        </w:rPr>
        <w:t>另一</w:t>
      </w:r>
      <w:r w:rsidRPr="007E001F">
        <w:t>国家有权按照该条第</w:t>
      </w:r>
      <w:r w:rsidRPr="007E001F">
        <w:t>2</w:t>
      </w:r>
      <w:r w:rsidRPr="007E001F">
        <w:t>款在下列情况下对另一国援引责任</w:t>
      </w:r>
      <w:r>
        <w:rPr>
          <w:rFonts w:eastAsiaTheme="minorEastAsia" w:hint="eastAsia"/>
        </w:rPr>
        <w:t>……</w:t>
      </w:r>
      <w:r w:rsidRPr="007E001F">
        <w:t>，</w:t>
      </w:r>
      <w:r>
        <w:t>(</w:t>
      </w:r>
      <w:r w:rsidRPr="007E001F">
        <w:t>b</w:t>
      </w:r>
      <w:r>
        <w:t>)</w:t>
      </w:r>
      <w:r w:rsidRPr="007E001F">
        <w:rPr>
          <w:rFonts w:hint="eastAsia"/>
        </w:rPr>
        <w:t xml:space="preserve"> </w:t>
      </w:r>
      <w:r w:rsidRPr="007E001F">
        <w:t>被违背的义务是对整个国际社会承担的义务</w:t>
      </w:r>
      <w:r w:rsidRPr="007E001F">
        <w:rPr>
          <w:rFonts w:hint="eastAsia"/>
        </w:rPr>
        <w:t>”</w:t>
      </w:r>
      <w:r>
        <w:t>(</w:t>
      </w:r>
      <w:r w:rsidRPr="007E001F">
        <w:rPr>
          <w:rFonts w:hint="eastAsia"/>
        </w:rPr>
        <w:t>大会</w:t>
      </w:r>
      <w:r w:rsidRPr="007E001F">
        <w:rPr>
          <w:rFonts w:hint="eastAsia"/>
        </w:rPr>
        <w:t>2001</w:t>
      </w:r>
      <w:r w:rsidRPr="007E001F">
        <w:rPr>
          <w:rFonts w:hint="eastAsia"/>
        </w:rPr>
        <w:t>年</w:t>
      </w:r>
      <w:r w:rsidRPr="007E001F">
        <w:rPr>
          <w:rFonts w:hint="eastAsia"/>
        </w:rPr>
        <w:t>12</w:t>
      </w:r>
      <w:r w:rsidRPr="007E001F">
        <w:rPr>
          <w:rFonts w:hint="eastAsia"/>
        </w:rPr>
        <w:t>月</w:t>
      </w:r>
      <w:r w:rsidRPr="007E001F">
        <w:rPr>
          <w:rFonts w:hint="eastAsia"/>
        </w:rPr>
        <w:t>12</w:t>
      </w:r>
      <w:r w:rsidRPr="007E001F">
        <w:rPr>
          <w:rFonts w:hint="eastAsia"/>
        </w:rPr>
        <w:t>日第</w:t>
      </w:r>
      <w:r w:rsidRPr="007E001F">
        <w:t>56/83</w:t>
      </w:r>
      <w:r w:rsidRPr="007E001F">
        <w:rPr>
          <w:rFonts w:hint="eastAsia"/>
        </w:rPr>
        <w:t>号决议。委员会通过的条款草案及其评注，见</w:t>
      </w:r>
      <w:r w:rsidRPr="007E001F">
        <w:rPr>
          <w:color w:val="000000" w:themeColor="text1"/>
        </w:rPr>
        <w:t>《</w:t>
      </w:r>
      <w:r w:rsidRPr="007E001F">
        <w:rPr>
          <w:color w:val="000000" w:themeColor="text1"/>
        </w:rPr>
        <w:t>2001</w:t>
      </w:r>
      <w:r w:rsidRPr="007E001F">
        <w:rPr>
          <w:color w:val="000000" w:themeColor="text1"/>
        </w:rPr>
        <w:t>年</w:t>
      </w:r>
      <w:r w:rsidRPr="007E001F">
        <w:rPr>
          <w:rFonts w:eastAsiaTheme="minorEastAsia" w:hint="eastAsia"/>
        </w:rPr>
        <w:t>……</w:t>
      </w:r>
      <w:r w:rsidRPr="007E001F">
        <w:rPr>
          <w:color w:val="000000" w:themeColor="text1"/>
        </w:rPr>
        <w:t>年鉴》，第二卷</w:t>
      </w:r>
      <w:r>
        <w:rPr>
          <w:color w:val="000000" w:themeColor="text1"/>
        </w:rPr>
        <w:t>(</w:t>
      </w:r>
      <w:r w:rsidRPr="007E001F">
        <w:rPr>
          <w:color w:val="000000" w:themeColor="text1"/>
        </w:rPr>
        <w:t>第二部分</w:t>
      </w:r>
      <w:r>
        <w:rPr>
          <w:color w:val="000000" w:themeColor="text1"/>
        </w:rPr>
        <w:t>)</w:t>
      </w:r>
      <w:r w:rsidRPr="007E001F">
        <w:rPr>
          <w:rFonts w:hint="eastAsia"/>
          <w:color w:val="000000" w:themeColor="text1"/>
        </w:rPr>
        <w:t>和更正，第四章，</w:t>
      </w:r>
      <w:r w:rsidRPr="007E001F">
        <w:rPr>
          <w:color w:val="000000" w:themeColor="text1"/>
        </w:rPr>
        <w:t>E</w:t>
      </w:r>
      <w:r w:rsidRPr="007E001F">
        <w:rPr>
          <w:rFonts w:hint="eastAsia"/>
          <w:color w:val="000000" w:themeColor="text1"/>
        </w:rPr>
        <w:t>节</w:t>
      </w:r>
      <w:r>
        <w:t>)</w:t>
      </w:r>
      <w:r w:rsidRPr="007E001F">
        <w:rPr>
          <w:rFonts w:hint="eastAsia"/>
        </w:rPr>
        <w:t>。</w:t>
      </w:r>
    </w:p>
  </w:footnote>
  <w:footnote w:id="1248">
    <w:p w:rsidR="00AB00DE" w:rsidRPr="007E001F" w:rsidRDefault="00AB00DE" w:rsidP="006735D4">
      <w:pPr>
        <w:pStyle w:val="a4"/>
      </w:pPr>
      <w:r w:rsidRPr="007E001F">
        <w:tab/>
      </w:r>
      <w:r w:rsidRPr="00681AC8">
        <w:rPr>
          <w:rStyle w:val="a5"/>
        </w:rPr>
        <w:footnoteRef/>
      </w:r>
      <w:r w:rsidRPr="007E001F">
        <w:rPr>
          <w:rStyle w:val="a5"/>
        </w:rPr>
        <w:t xml:space="preserve"> </w:t>
      </w:r>
      <w:r w:rsidRPr="007E001F">
        <w:tab/>
      </w:r>
      <w:r w:rsidRPr="007E001F">
        <w:rPr>
          <w:rFonts w:ascii="Time New Roman" w:eastAsia="楷体" w:hAnsi="Time New Roman" w:hint="eastAsia"/>
        </w:rPr>
        <w:t>乌拉圭河沿岸</w:t>
      </w:r>
      <w:r w:rsidRPr="007E001F">
        <w:rPr>
          <w:rFonts w:ascii="Time New Roman" w:eastAsia="楷体" w:hAnsi="Time New Roman"/>
        </w:rPr>
        <w:t>纸浆厂</w:t>
      </w:r>
      <w:r w:rsidRPr="007E001F">
        <w:rPr>
          <w:rFonts w:ascii="Time New Roman" w:eastAsia="楷体" w:hAnsi="Time New Roman" w:hint="eastAsia"/>
        </w:rPr>
        <w:t>案</w:t>
      </w:r>
      <w:r>
        <w:t>(</w:t>
      </w:r>
      <w:r w:rsidRPr="007E001F">
        <w:rPr>
          <w:rFonts w:ascii="Time New Roman" w:eastAsia="楷体" w:hAnsi="Time New Roman"/>
        </w:rPr>
        <w:t>阿根廷诉乌拉圭</w:t>
      </w:r>
      <w:r>
        <w:rPr>
          <w:rFonts w:ascii="Time New Roman" w:eastAsia="楷体" w:hAnsi="Time New Roman" w:hint="eastAsia"/>
        </w:rPr>
        <w:t>)</w:t>
      </w:r>
      <w:r w:rsidRPr="007E001F">
        <w:rPr>
          <w:rFonts w:ascii="Time New Roman" w:eastAsia="楷体" w:hAnsi="Time New Roman" w:hint="eastAsia"/>
        </w:rPr>
        <w:t>，判决</w:t>
      </w:r>
      <w:r w:rsidRPr="007E001F">
        <w:rPr>
          <w:rFonts w:hint="eastAsia"/>
        </w:rPr>
        <w:t>，《</w:t>
      </w:r>
      <w:r w:rsidRPr="007E001F">
        <w:rPr>
          <w:rFonts w:hint="eastAsia"/>
        </w:rPr>
        <w:t>2010</w:t>
      </w:r>
      <w:r w:rsidRPr="007E001F">
        <w:rPr>
          <w:rFonts w:hint="eastAsia"/>
        </w:rPr>
        <w:t>年国际法院案例汇编》，第</w:t>
      </w:r>
      <w:r w:rsidRPr="007E001F">
        <w:rPr>
          <w:rFonts w:hint="eastAsia"/>
        </w:rPr>
        <w:t>14</w:t>
      </w:r>
      <w:r w:rsidRPr="007E001F">
        <w:rPr>
          <w:rFonts w:hint="eastAsia"/>
        </w:rPr>
        <w:t>页起，见第</w:t>
      </w:r>
      <w:r w:rsidRPr="007E001F">
        <w:rPr>
          <w:rFonts w:hint="eastAsia"/>
        </w:rPr>
        <w:t>55</w:t>
      </w:r>
      <w:r w:rsidRPr="007E001F">
        <w:rPr>
          <w:rFonts w:hint="eastAsia"/>
        </w:rPr>
        <w:t>页，第</w:t>
      </w:r>
      <w:r w:rsidRPr="007E001F">
        <w:rPr>
          <w:rFonts w:hint="eastAsia"/>
        </w:rPr>
        <w:t>101</w:t>
      </w:r>
      <w:r w:rsidRPr="007E001F">
        <w:rPr>
          <w:rFonts w:hint="eastAsia"/>
        </w:rPr>
        <w:t>段</w:t>
      </w:r>
      <w:r>
        <w:rPr>
          <w:rFonts w:hint="eastAsia"/>
        </w:rPr>
        <w:t>(</w:t>
      </w:r>
      <w:r w:rsidRPr="007E001F">
        <w:rPr>
          <w:rFonts w:hint="eastAsia"/>
        </w:rPr>
        <w:t>“</w:t>
      </w:r>
      <w:r w:rsidRPr="007E001F">
        <w:rPr>
          <w:rFonts w:eastAsiaTheme="minorEastAsia" w:hint="eastAsia"/>
        </w:rPr>
        <w:t>……</w:t>
      </w:r>
      <w:r w:rsidRPr="007E001F">
        <w:rPr>
          <w:rFonts w:hint="eastAsia"/>
        </w:rPr>
        <w:t>预防原则，作为一项习惯规则，源自于尽职义务</w:t>
      </w:r>
      <w:r w:rsidRPr="007E001F">
        <w:rPr>
          <w:rFonts w:eastAsiaTheme="minorEastAsia" w:hint="eastAsia"/>
        </w:rPr>
        <w:t>……</w:t>
      </w:r>
      <w:r w:rsidRPr="007E001F">
        <w:rPr>
          <w:rFonts w:hint="eastAsia"/>
        </w:rPr>
        <w:t>”</w:t>
      </w:r>
      <w:r>
        <w:rPr>
          <w:rFonts w:hint="eastAsia"/>
        </w:rPr>
        <w:t>)</w:t>
      </w:r>
      <w:r w:rsidRPr="007E001F">
        <w:rPr>
          <w:rFonts w:hint="eastAsia"/>
        </w:rPr>
        <w:t>。</w:t>
      </w:r>
    </w:p>
  </w:footnote>
  <w:footnote w:id="1249">
    <w:p w:rsidR="00AB00DE" w:rsidRPr="007E001F" w:rsidRDefault="00AB00DE" w:rsidP="006735D4">
      <w:pPr>
        <w:pStyle w:val="a4"/>
      </w:pPr>
      <w:r w:rsidRPr="007E001F">
        <w:tab/>
      </w:r>
      <w:r w:rsidRPr="00681AC8">
        <w:rPr>
          <w:rStyle w:val="a5"/>
        </w:rPr>
        <w:footnoteRef/>
      </w:r>
      <w:r w:rsidRPr="007E001F">
        <w:rPr>
          <w:rStyle w:val="a5"/>
        </w:rPr>
        <w:t xml:space="preserve"> </w:t>
      </w:r>
      <w:r w:rsidRPr="007E001F">
        <w:tab/>
      </w:r>
      <w:r w:rsidRPr="007E001F">
        <w:rPr>
          <w:rFonts w:hint="eastAsia"/>
        </w:rPr>
        <w:t>《联合国海洋法公约》</w:t>
      </w:r>
      <w:r>
        <w:rPr>
          <w:rFonts w:hint="eastAsia"/>
        </w:rPr>
        <w:t>(</w:t>
      </w:r>
      <w:r w:rsidRPr="007E001F">
        <w:rPr>
          <w:rFonts w:hint="eastAsia"/>
        </w:rPr>
        <w:t>1982</w:t>
      </w:r>
      <w:r w:rsidRPr="007E001F">
        <w:rPr>
          <w:rFonts w:hint="eastAsia"/>
        </w:rPr>
        <w:t>年</w:t>
      </w:r>
      <w:r w:rsidRPr="007E001F">
        <w:rPr>
          <w:rFonts w:hint="eastAsia"/>
        </w:rPr>
        <w:t>12</w:t>
      </w:r>
      <w:r w:rsidRPr="007E001F">
        <w:rPr>
          <w:rFonts w:hint="eastAsia"/>
        </w:rPr>
        <w:t>月</w:t>
      </w:r>
      <w:r w:rsidRPr="007E001F">
        <w:rPr>
          <w:rFonts w:hint="eastAsia"/>
        </w:rPr>
        <w:t>10</w:t>
      </w:r>
      <w:r w:rsidRPr="007E001F">
        <w:rPr>
          <w:rFonts w:hint="eastAsia"/>
        </w:rPr>
        <w:t>日，蒙特哥湾</w:t>
      </w:r>
      <w:r>
        <w:rPr>
          <w:rFonts w:hint="eastAsia"/>
        </w:rPr>
        <w:t>)</w:t>
      </w:r>
      <w:r w:rsidRPr="007E001F">
        <w:rPr>
          <w:rFonts w:hint="eastAsia"/>
        </w:rPr>
        <w:t>，联合国</w:t>
      </w:r>
      <w:r>
        <w:rPr>
          <w:rFonts w:eastAsiaTheme="minorEastAsia" w:hint="eastAsia"/>
        </w:rPr>
        <w:t>，</w:t>
      </w:r>
      <w:r w:rsidRPr="007E001F">
        <w:rPr>
          <w:rFonts w:hint="eastAsia"/>
        </w:rPr>
        <w:t>《条约汇编》，第</w:t>
      </w:r>
      <w:r w:rsidRPr="007E001F">
        <w:rPr>
          <w:rFonts w:hint="eastAsia"/>
        </w:rPr>
        <w:t>1833</w:t>
      </w:r>
      <w:r w:rsidRPr="007E001F">
        <w:rPr>
          <w:rFonts w:hint="eastAsia"/>
        </w:rPr>
        <w:t>卷，第</w:t>
      </w:r>
      <w:r w:rsidRPr="007E001F">
        <w:rPr>
          <w:rFonts w:hint="eastAsia"/>
        </w:rPr>
        <w:t>31363</w:t>
      </w:r>
      <w:r w:rsidRPr="007E001F">
        <w:rPr>
          <w:rFonts w:hint="eastAsia"/>
        </w:rPr>
        <w:t>号，第</w:t>
      </w:r>
      <w:r w:rsidRPr="007E001F">
        <w:rPr>
          <w:rFonts w:hint="eastAsia"/>
        </w:rPr>
        <w:t>3</w:t>
      </w:r>
      <w:r w:rsidRPr="007E001F">
        <w:rPr>
          <w:rFonts w:hint="eastAsia"/>
        </w:rPr>
        <w:t>页，第</w:t>
      </w:r>
      <w:r w:rsidRPr="007E001F">
        <w:rPr>
          <w:rFonts w:hint="eastAsia"/>
        </w:rPr>
        <w:t>194</w:t>
      </w:r>
      <w:r w:rsidRPr="007E001F">
        <w:rPr>
          <w:rFonts w:hint="eastAsia"/>
        </w:rPr>
        <w:t>条。</w:t>
      </w:r>
    </w:p>
  </w:footnote>
  <w:footnote w:id="1250">
    <w:p w:rsidR="00AB00DE" w:rsidRPr="007E001F" w:rsidRDefault="00AB00DE" w:rsidP="006735D4">
      <w:pPr>
        <w:pStyle w:val="a4"/>
      </w:pPr>
      <w:r w:rsidRPr="007E001F">
        <w:tab/>
      </w:r>
      <w:r w:rsidRPr="00681AC8">
        <w:rPr>
          <w:rStyle w:val="a5"/>
        </w:rPr>
        <w:footnoteRef/>
      </w:r>
      <w:r w:rsidRPr="007E001F">
        <w:rPr>
          <w:rStyle w:val="a5"/>
        </w:rPr>
        <w:t xml:space="preserve"> </w:t>
      </w:r>
      <w:r w:rsidRPr="007E001F">
        <w:tab/>
      </w:r>
      <w:r w:rsidRPr="007E001F">
        <w:rPr>
          <w:rFonts w:hint="eastAsia"/>
        </w:rPr>
        <w:t>《联合国气候变化框架公约》</w:t>
      </w:r>
      <w:r>
        <w:rPr>
          <w:rFonts w:hint="eastAsia"/>
        </w:rPr>
        <w:t>(</w:t>
      </w:r>
      <w:r w:rsidRPr="007E001F">
        <w:rPr>
          <w:rFonts w:hint="eastAsia"/>
        </w:rPr>
        <w:t>1992</w:t>
      </w:r>
      <w:r w:rsidRPr="007E001F">
        <w:rPr>
          <w:rFonts w:hint="eastAsia"/>
        </w:rPr>
        <w:t>年</w:t>
      </w:r>
      <w:r w:rsidRPr="007E001F">
        <w:rPr>
          <w:rFonts w:hint="eastAsia"/>
        </w:rPr>
        <w:t>5</w:t>
      </w:r>
      <w:r w:rsidRPr="007E001F">
        <w:rPr>
          <w:rFonts w:hint="eastAsia"/>
        </w:rPr>
        <w:t>月</w:t>
      </w:r>
      <w:r w:rsidRPr="007E001F">
        <w:rPr>
          <w:rFonts w:hint="eastAsia"/>
        </w:rPr>
        <w:t>9</w:t>
      </w:r>
      <w:r w:rsidRPr="007E001F">
        <w:rPr>
          <w:rFonts w:hint="eastAsia"/>
        </w:rPr>
        <w:t>日，纽约</w:t>
      </w:r>
      <w:r>
        <w:rPr>
          <w:rFonts w:hint="eastAsia"/>
        </w:rPr>
        <w:t>)</w:t>
      </w:r>
      <w:r w:rsidRPr="007E001F">
        <w:rPr>
          <w:rFonts w:hint="eastAsia"/>
        </w:rPr>
        <w:t>，联合国《条约汇编》，第</w:t>
      </w:r>
      <w:r w:rsidRPr="007E001F">
        <w:rPr>
          <w:rFonts w:hint="eastAsia"/>
        </w:rPr>
        <w:t>1771</w:t>
      </w:r>
      <w:r w:rsidRPr="007E001F">
        <w:rPr>
          <w:rFonts w:hint="eastAsia"/>
        </w:rPr>
        <w:t>卷，第</w:t>
      </w:r>
      <w:r w:rsidRPr="007E001F">
        <w:rPr>
          <w:rFonts w:hint="eastAsia"/>
        </w:rPr>
        <w:t>30822</w:t>
      </w:r>
      <w:r w:rsidRPr="007E001F">
        <w:rPr>
          <w:rFonts w:hint="eastAsia"/>
        </w:rPr>
        <w:t>号，第</w:t>
      </w:r>
      <w:r w:rsidRPr="007E001F">
        <w:rPr>
          <w:rFonts w:hint="eastAsia"/>
        </w:rPr>
        <w:t>107</w:t>
      </w:r>
      <w:r w:rsidRPr="007E001F">
        <w:rPr>
          <w:rFonts w:hint="eastAsia"/>
        </w:rPr>
        <w:t>页，第</w:t>
      </w:r>
      <w:r w:rsidRPr="007E001F">
        <w:rPr>
          <w:rFonts w:hint="eastAsia"/>
        </w:rPr>
        <w:t>4</w:t>
      </w:r>
      <w:r w:rsidRPr="007E001F">
        <w:rPr>
          <w:rFonts w:hint="eastAsia"/>
        </w:rPr>
        <w:t>条。</w:t>
      </w:r>
    </w:p>
  </w:footnote>
  <w:footnote w:id="1251">
    <w:p w:rsidR="00AB00DE" w:rsidRPr="007E001F" w:rsidRDefault="00AB00DE" w:rsidP="006735D4">
      <w:pPr>
        <w:pStyle w:val="a4"/>
      </w:pPr>
      <w:r w:rsidRPr="007E001F">
        <w:tab/>
      </w:r>
      <w:r w:rsidRPr="00681AC8">
        <w:rPr>
          <w:rStyle w:val="a5"/>
        </w:rPr>
        <w:footnoteRef/>
      </w:r>
      <w:r w:rsidRPr="007E001F">
        <w:rPr>
          <w:rStyle w:val="a5"/>
        </w:rPr>
        <w:t xml:space="preserve"> </w:t>
      </w:r>
      <w:r w:rsidRPr="007E001F">
        <w:rPr>
          <w:rFonts w:hint="eastAsia"/>
        </w:rPr>
        <w:tab/>
      </w:r>
      <w:r w:rsidRPr="007E001F">
        <w:rPr>
          <w:rFonts w:hint="eastAsia"/>
        </w:rPr>
        <w:t>《</w:t>
      </w:r>
      <w:r w:rsidRPr="007E001F">
        <w:rPr>
          <w:rFonts w:hint="eastAsia"/>
        </w:rPr>
        <w:t>2001</w:t>
      </w:r>
      <w:r w:rsidRPr="007E001F">
        <w:rPr>
          <w:rFonts w:hint="eastAsia"/>
        </w:rPr>
        <w:t>年</w:t>
      </w:r>
      <w:r w:rsidRPr="007E001F">
        <w:rPr>
          <w:rFonts w:eastAsiaTheme="minorEastAsia" w:hint="eastAsia"/>
        </w:rPr>
        <w:t>……</w:t>
      </w:r>
      <w:r w:rsidRPr="007E001F">
        <w:rPr>
          <w:rFonts w:hint="eastAsia"/>
        </w:rPr>
        <w:t>年鉴》，第二卷</w:t>
      </w:r>
      <w:r>
        <w:rPr>
          <w:rFonts w:hint="eastAsia"/>
        </w:rPr>
        <w:t>(</w:t>
      </w:r>
      <w:r w:rsidRPr="007E001F">
        <w:rPr>
          <w:rFonts w:hint="eastAsia"/>
        </w:rPr>
        <w:t>第二部分</w:t>
      </w:r>
      <w:r>
        <w:rPr>
          <w:rFonts w:hint="eastAsia"/>
        </w:rPr>
        <w:t>)</w:t>
      </w:r>
      <w:r w:rsidRPr="007E001F">
        <w:rPr>
          <w:rFonts w:hint="eastAsia"/>
        </w:rPr>
        <w:t>，第五章，</w:t>
      </w:r>
      <w:r w:rsidRPr="007E001F">
        <w:t>E</w:t>
      </w:r>
      <w:r w:rsidRPr="007E001F">
        <w:rPr>
          <w:rFonts w:hint="eastAsia"/>
        </w:rPr>
        <w:t>节，第</w:t>
      </w:r>
      <w:r w:rsidRPr="007E001F">
        <w:t>3</w:t>
      </w:r>
      <w:r w:rsidRPr="007E001F">
        <w:rPr>
          <w:rFonts w:hint="eastAsia"/>
        </w:rPr>
        <w:t>条</w:t>
      </w:r>
      <w:r>
        <w:rPr>
          <w:rFonts w:hint="eastAsia"/>
        </w:rPr>
        <w:t>(</w:t>
      </w:r>
      <w:r w:rsidRPr="007E001F">
        <w:rPr>
          <w:rFonts w:hint="eastAsia"/>
        </w:rPr>
        <w:t>预防</w:t>
      </w:r>
      <w:r>
        <w:rPr>
          <w:rFonts w:hint="eastAsia"/>
        </w:rPr>
        <w:t>)</w:t>
      </w:r>
      <w:r w:rsidRPr="007E001F">
        <w:rPr>
          <w:rFonts w:hint="eastAsia"/>
        </w:rPr>
        <w:t>：“起源国应采取一切适当措施，防止重大越境损害或随时尽量减少这种危险”。委员会还在国家对国际不法行为责任的条款中论述了预防义务。</w:t>
      </w:r>
      <w:r w:rsidRPr="007E001F">
        <w:t>第</w:t>
      </w:r>
      <w:r w:rsidRPr="007E001F">
        <w:t>14</w:t>
      </w:r>
      <w:r w:rsidRPr="007E001F">
        <w:t>条第</w:t>
      </w:r>
      <w:r w:rsidRPr="007E001F">
        <w:t>3</w:t>
      </w:r>
      <w:r w:rsidRPr="007E001F">
        <w:t>款规定，</w:t>
      </w:r>
      <w:r w:rsidRPr="007E001F">
        <w:rPr>
          <w:rFonts w:hint="eastAsia"/>
        </w:rPr>
        <w:t>“</w:t>
      </w:r>
      <w:r w:rsidRPr="007E001F">
        <w:t>一国违背要求它防止某一特定事件之国际义务的行为开始于该事件发生的时刻，并延续至该事件持续的整个期间</w:t>
      </w:r>
      <w:r w:rsidRPr="007E001F">
        <w:rPr>
          <w:rFonts w:eastAsiaTheme="minorEastAsia" w:hint="eastAsia"/>
        </w:rPr>
        <w:t>……</w:t>
      </w:r>
      <w:r w:rsidRPr="007E001F">
        <w:rPr>
          <w:rFonts w:hint="eastAsia"/>
        </w:rPr>
        <w:t>”</w:t>
      </w:r>
      <w:r>
        <w:t>(</w:t>
      </w:r>
      <w:r w:rsidRPr="007E001F">
        <w:rPr>
          <w:rFonts w:hint="eastAsia"/>
        </w:rPr>
        <w:t>出处同上，第四章，</w:t>
      </w:r>
      <w:r w:rsidRPr="007E001F">
        <w:t>E</w:t>
      </w:r>
      <w:r w:rsidRPr="007E001F">
        <w:rPr>
          <w:rFonts w:hint="eastAsia"/>
        </w:rPr>
        <w:t>节。根据</w:t>
      </w:r>
      <w:r w:rsidRPr="007E001F">
        <w:t>评注，</w:t>
      </w:r>
      <w:r w:rsidRPr="007E001F">
        <w:rPr>
          <w:rFonts w:hint="eastAsia"/>
        </w:rPr>
        <w:t>“</w:t>
      </w:r>
      <w:r w:rsidRPr="007E001F">
        <w:t>对预防义务的通常理解是作出最大努力的义务，要求国家采取一切合理或必要措施防止某一事件发生，但不能确保事件不致发生</w:t>
      </w:r>
      <w:r w:rsidRPr="007E001F">
        <w:rPr>
          <w:rFonts w:hint="eastAsia"/>
        </w:rPr>
        <w:t>”</w:t>
      </w:r>
      <w:r>
        <w:t>(</w:t>
      </w:r>
      <w:r w:rsidRPr="007E001F">
        <w:rPr>
          <w:rFonts w:hint="eastAsia"/>
        </w:rPr>
        <w:t>出处同上，第</w:t>
      </w:r>
      <w:r w:rsidRPr="007E001F">
        <w:rPr>
          <w:rFonts w:hint="eastAsia"/>
        </w:rPr>
        <w:t>14</w:t>
      </w:r>
      <w:r w:rsidRPr="007E001F">
        <w:rPr>
          <w:rFonts w:hint="eastAsia"/>
        </w:rPr>
        <w:t>条第</w:t>
      </w:r>
      <w:r w:rsidRPr="007E001F">
        <w:rPr>
          <w:rFonts w:hint="eastAsia"/>
        </w:rPr>
        <w:t>3</w:t>
      </w:r>
      <w:r w:rsidRPr="007E001F">
        <w:rPr>
          <w:rFonts w:hint="eastAsia"/>
        </w:rPr>
        <w:t>款评注第</w:t>
      </w:r>
      <w:r>
        <w:t>(</w:t>
      </w:r>
      <w:r w:rsidRPr="007E001F">
        <w:t>14</w:t>
      </w:r>
      <w:r>
        <w:t>)</w:t>
      </w:r>
      <w:r w:rsidRPr="007E001F">
        <w:rPr>
          <w:rFonts w:hint="eastAsia"/>
        </w:rPr>
        <w:t>段</w:t>
      </w:r>
      <w:r>
        <w:t>)</w:t>
      </w:r>
      <w:r w:rsidRPr="007E001F">
        <w:rPr>
          <w:rFonts w:hint="eastAsia"/>
        </w:rPr>
        <w:t>。</w:t>
      </w:r>
      <w:r w:rsidRPr="007E001F">
        <w:t>评注</w:t>
      </w:r>
      <w:r w:rsidRPr="007E001F">
        <w:rPr>
          <w:rFonts w:hint="eastAsia"/>
        </w:rPr>
        <w:t>指出，“</w:t>
      </w:r>
      <w:r w:rsidRPr="007E001F">
        <w:rPr>
          <w:rFonts w:ascii="Time New Roman" w:eastAsia="楷体" w:hAnsi="Time New Roman"/>
        </w:rPr>
        <w:t>特雷尔冶炼厂仲裁裁决案</w:t>
      </w:r>
      <w:r w:rsidRPr="007E001F">
        <w:rPr>
          <w:rFonts w:hint="eastAsia"/>
        </w:rPr>
        <w:t xml:space="preserve"> [</w:t>
      </w:r>
      <w:r>
        <w:rPr>
          <w:rFonts w:hint="eastAsia"/>
        </w:rPr>
        <w:t>联合国《国际仲裁裁决汇编》</w:t>
      </w:r>
      <w:r w:rsidRPr="007E001F">
        <w:t>，</w:t>
      </w:r>
      <w:r w:rsidRPr="007E001F">
        <w:rPr>
          <w:rFonts w:hint="eastAsia"/>
        </w:rPr>
        <w:t>第三卷</w:t>
      </w:r>
      <w:r>
        <w:t>(</w:t>
      </w:r>
      <w:r w:rsidRPr="007E001F">
        <w:rPr>
          <w:rFonts w:hint="eastAsia"/>
        </w:rPr>
        <w:t>出售品编号</w:t>
      </w:r>
      <w:r w:rsidRPr="007E001F">
        <w:t>1949.V.2</w:t>
      </w:r>
      <w:r>
        <w:t>)</w:t>
      </w:r>
      <w:r w:rsidRPr="007E001F">
        <w:rPr>
          <w:rFonts w:hint="eastAsia"/>
        </w:rPr>
        <w:t>，</w:t>
      </w:r>
      <w:r w:rsidRPr="007E001F">
        <w:t>1905-1982</w:t>
      </w:r>
      <w:r w:rsidRPr="007E001F">
        <w:rPr>
          <w:rFonts w:hint="eastAsia"/>
        </w:rPr>
        <w:t>页</w:t>
      </w:r>
      <w:r w:rsidRPr="007E001F">
        <w:t>]</w:t>
      </w:r>
      <w:r w:rsidRPr="007E001F">
        <w:t>处理的</w:t>
      </w:r>
      <w:r w:rsidRPr="007E001F">
        <w:rPr>
          <w:rFonts w:hint="eastAsia"/>
        </w:rPr>
        <w:t>是</w:t>
      </w:r>
      <w:r w:rsidRPr="007E001F">
        <w:t>防止空气污染造成越境损害的义务</w:t>
      </w:r>
      <w:r w:rsidRPr="007E001F">
        <w:rPr>
          <w:rFonts w:hint="eastAsia"/>
        </w:rPr>
        <w:t>”，</w:t>
      </w:r>
      <w:r w:rsidRPr="007E001F">
        <w:t>正是</w:t>
      </w:r>
      <w:r w:rsidRPr="007E001F">
        <w:rPr>
          <w:rFonts w:hint="eastAsia"/>
        </w:rPr>
        <w:t>预防</w:t>
      </w:r>
      <w:r w:rsidRPr="007E001F">
        <w:t>义务的一个例子</w:t>
      </w:r>
      <w:r>
        <w:t xml:space="preserve"> (</w:t>
      </w:r>
      <w:r w:rsidRPr="007E001F">
        <w:rPr>
          <w:rFonts w:hint="eastAsia"/>
        </w:rPr>
        <w:t>出处同上</w:t>
      </w:r>
      <w:r>
        <w:t>)</w:t>
      </w:r>
      <w:r w:rsidRPr="007E001F">
        <w:rPr>
          <w:rFonts w:hint="eastAsia"/>
        </w:rPr>
        <w:t>。</w:t>
      </w:r>
    </w:p>
  </w:footnote>
  <w:footnote w:id="1252">
    <w:p w:rsidR="00AB00DE" w:rsidRPr="007E001F" w:rsidRDefault="00AB00DE" w:rsidP="006735D4">
      <w:pPr>
        <w:pStyle w:val="a4"/>
        <w:rPr>
          <w:rFonts w:ascii="宋体" w:eastAsiaTheme="minorEastAsia" w:hAnsi="宋体" w:cs="宋体"/>
        </w:rPr>
      </w:pPr>
      <w:r w:rsidRPr="007E001F">
        <w:tab/>
      </w:r>
      <w:r w:rsidRPr="00681AC8">
        <w:rPr>
          <w:rStyle w:val="a5"/>
        </w:rPr>
        <w:footnoteRef/>
      </w:r>
      <w:r w:rsidRPr="007E001F">
        <w:rPr>
          <w:rStyle w:val="a5"/>
        </w:rPr>
        <w:t xml:space="preserve"> </w:t>
      </w:r>
      <w:r w:rsidRPr="007E001F">
        <w:rPr>
          <w:szCs w:val="21"/>
        </w:rPr>
        <w:tab/>
      </w:r>
      <w:r w:rsidRPr="007E001F">
        <w:rPr>
          <w:rFonts w:hint="eastAsia"/>
        </w:rPr>
        <w:t>国际法院也强调</w:t>
      </w:r>
      <w:r w:rsidRPr="007E001F">
        <w:rPr>
          <w:rFonts w:eastAsiaTheme="minorEastAsia" w:hint="eastAsia"/>
        </w:rPr>
        <w:t>了</w:t>
      </w:r>
      <w:r>
        <w:rPr>
          <w:rFonts w:hint="eastAsia"/>
        </w:rPr>
        <w:t>预防问题。在</w:t>
      </w:r>
      <w:r w:rsidRPr="007E001F">
        <w:t>Gabčíkovo-Nagymaros</w:t>
      </w:r>
      <w:r w:rsidRPr="007E001F">
        <w:rPr>
          <w:rFonts w:ascii="Time New Roman" w:eastAsia="楷体" w:hAnsi="Time New Roman"/>
        </w:rPr>
        <w:t>项目</w:t>
      </w:r>
      <w:r w:rsidRPr="007E001F">
        <w:rPr>
          <w:rFonts w:ascii="Time New Roman" w:eastAsia="楷体" w:hAnsi="Time New Roman" w:hint="eastAsia"/>
        </w:rPr>
        <w:t>案</w:t>
      </w:r>
      <w:r w:rsidRPr="007E001F">
        <w:t>中，国际法院表示</w:t>
      </w:r>
      <w:r w:rsidRPr="007E001F">
        <w:rPr>
          <w:rFonts w:eastAsiaTheme="minorEastAsia" w:hint="eastAsia"/>
        </w:rPr>
        <w:t>，“</w:t>
      </w:r>
      <w:r w:rsidRPr="007E001F">
        <w:t>应该铭记</w:t>
      </w:r>
      <w:r w:rsidRPr="007E001F">
        <w:rPr>
          <w:rFonts w:eastAsiaTheme="minorEastAsia" w:hint="eastAsia"/>
        </w:rPr>
        <w:t>，</w:t>
      </w:r>
      <w:r w:rsidRPr="007E001F">
        <w:t>鉴于对环境造成的损害不可逆转的性质，而对这种损害进行赔偿的机制也具有局限性</w:t>
      </w:r>
      <w:r w:rsidRPr="007E001F">
        <w:rPr>
          <w:rFonts w:eastAsiaTheme="minorEastAsia" w:hint="eastAsia"/>
        </w:rPr>
        <w:t>，</w:t>
      </w:r>
      <w:r w:rsidRPr="007E001F">
        <w:t>在环境保护领域需要加以警惕和预防</w:t>
      </w:r>
      <w:r w:rsidRPr="007E001F">
        <w:rPr>
          <w:rFonts w:hint="eastAsia"/>
        </w:rPr>
        <w:t>”</w:t>
      </w:r>
      <w:r>
        <w:rPr>
          <w:rFonts w:eastAsiaTheme="minorEastAsia" w:hint="eastAsia"/>
        </w:rPr>
        <w:t>(</w:t>
      </w:r>
      <w:r w:rsidRPr="007E001F">
        <w:rPr>
          <w:rFonts w:asciiTheme="majorBidi" w:hAnsiTheme="majorBidi" w:cstheme="majorBidi"/>
        </w:rPr>
        <w:t>Gab</w:t>
      </w:r>
      <w:r w:rsidRPr="007E001F">
        <w:rPr>
          <w:rFonts w:asciiTheme="majorBidi" w:eastAsia="MS Mincho" w:hAnsiTheme="majorBidi" w:cstheme="majorBidi"/>
        </w:rPr>
        <w:t>č</w:t>
      </w:r>
      <w:r w:rsidRPr="007E001F">
        <w:rPr>
          <w:rFonts w:asciiTheme="majorBidi" w:hAnsiTheme="majorBidi" w:cstheme="majorBidi"/>
        </w:rPr>
        <w:t>íkovo-Nagymaros</w:t>
      </w:r>
      <w:r w:rsidRPr="007E001F">
        <w:rPr>
          <w:rFonts w:ascii="Time New Roman" w:eastAsia="楷体" w:hAnsi="Time New Roman" w:cs="宋体"/>
        </w:rPr>
        <w:t>项目</w:t>
      </w:r>
      <w:r w:rsidRPr="007E001F">
        <w:rPr>
          <w:rFonts w:ascii="Time New Roman" w:eastAsia="楷体" w:hAnsi="Time New Roman" w:cs="宋体" w:hint="eastAsia"/>
        </w:rPr>
        <w:t>案</w:t>
      </w:r>
      <w:r w:rsidRPr="007356C2">
        <w:rPr>
          <w:rFonts w:ascii="宋体" w:eastAsia="楷体" w:hAnsi="宋体" w:cs="宋体"/>
        </w:rPr>
        <w:t>(</w:t>
      </w:r>
      <w:r w:rsidRPr="007356C2">
        <w:rPr>
          <w:rFonts w:ascii="宋体" w:eastAsia="楷体" w:hAnsi="宋体" w:cs="宋体"/>
        </w:rPr>
        <w:t>匈牙利</w:t>
      </w:r>
      <w:r w:rsidRPr="007356C2">
        <w:rPr>
          <w:rFonts w:asciiTheme="majorBidi" w:eastAsia="楷体" w:hAnsiTheme="majorBidi" w:cstheme="majorBidi"/>
        </w:rPr>
        <w:t>/</w:t>
      </w:r>
      <w:r w:rsidRPr="007356C2">
        <w:rPr>
          <w:rFonts w:ascii="宋体" w:eastAsia="楷体" w:hAnsi="宋体" w:cs="宋体"/>
        </w:rPr>
        <w:t>斯洛伐克</w:t>
      </w:r>
      <w:r w:rsidRPr="007356C2">
        <w:rPr>
          <w:rFonts w:ascii="宋体" w:eastAsia="楷体" w:hAnsi="宋体" w:cs="宋体"/>
        </w:rPr>
        <w:t>)</w:t>
      </w:r>
      <w:r w:rsidRPr="007E001F">
        <w:rPr>
          <w:rFonts w:ascii="宋体" w:hAnsi="宋体" w:cs="宋体"/>
        </w:rPr>
        <w:t>，判决，</w:t>
      </w:r>
      <w:r w:rsidRPr="007E001F">
        <w:rPr>
          <w:rFonts w:ascii="宋体" w:hAnsi="宋体" w:cs="宋体" w:hint="eastAsia"/>
        </w:rPr>
        <w:t>《</w:t>
      </w:r>
      <w:r w:rsidRPr="007E001F">
        <w:rPr>
          <w:rFonts w:asciiTheme="majorBidi" w:hAnsiTheme="majorBidi" w:cstheme="majorBidi"/>
        </w:rPr>
        <w:t>1997</w:t>
      </w:r>
      <w:r w:rsidRPr="007E001F">
        <w:rPr>
          <w:rFonts w:ascii="宋体" w:hAnsi="宋体" w:cs="宋体"/>
        </w:rPr>
        <w:t>年国际法院</w:t>
      </w:r>
      <w:r w:rsidRPr="007E001F">
        <w:rPr>
          <w:rFonts w:ascii="宋体" w:hAnsi="宋体" w:cs="宋体" w:hint="eastAsia"/>
        </w:rPr>
        <w:t>案例汇编</w:t>
      </w:r>
      <w:r w:rsidRPr="007E001F">
        <w:rPr>
          <w:rFonts w:ascii="宋体" w:hAnsi="宋体" w:cs="宋体"/>
        </w:rPr>
        <w:t>》，</w:t>
      </w:r>
      <w:r w:rsidRPr="007E001F">
        <w:rPr>
          <w:rFonts w:asciiTheme="majorBidi" w:hAnsiTheme="majorBidi" w:cstheme="majorBidi"/>
        </w:rPr>
        <w:t>第</w:t>
      </w:r>
      <w:r w:rsidRPr="007E001F">
        <w:rPr>
          <w:rFonts w:asciiTheme="majorBidi" w:hAnsiTheme="majorBidi" w:cstheme="majorBidi"/>
        </w:rPr>
        <w:t>7</w:t>
      </w:r>
      <w:r w:rsidRPr="007E001F">
        <w:rPr>
          <w:rFonts w:asciiTheme="majorBidi" w:hAnsiTheme="majorBidi" w:cstheme="majorBidi"/>
        </w:rPr>
        <w:t>页起，见第</w:t>
      </w:r>
      <w:r w:rsidRPr="007E001F">
        <w:rPr>
          <w:rFonts w:asciiTheme="majorBidi" w:hAnsiTheme="majorBidi" w:cstheme="majorBidi"/>
        </w:rPr>
        <w:t>78</w:t>
      </w:r>
      <w:r w:rsidRPr="007E001F">
        <w:rPr>
          <w:rFonts w:asciiTheme="majorBidi" w:hAnsiTheme="majorBidi" w:cstheme="majorBidi"/>
        </w:rPr>
        <w:t>页，第</w:t>
      </w:r>
      <w:r w:rsidRPr="007E001F">
        <w:rPr>
          <w:rFonts w:asciiTheme="majorBidi" w:hAnsiTheme="majorBidi" w:cstheme="majorBidi"/>
        </w:rPr>
        <w:t>14</w:t>
      </w:r>
      <w:r w:rsidRPr="007E001F">
        <w:rPr>
          <w:rFonts w:asciiTheme="majorBidi" w:hAnsiTheme="majorBidi" w:cstheme="majorBidi" w:hint="eastAsia"/>
        </w:rPr>
        <w:t>0</w:t>
      </w:r>
      <w:r w:rsidRPr="007E001F">
        <w:rPr>
          <w:rFonts w:asciiTheme="majorBidi" w:hAnsiTheme="majorBidi" w:cstheme="majorBidi"/>
        </w:rPr>
        <w:t>段</w:t>
      </w:r>
      <w:r>
        <w:rPr>
          <w:rFonts w:ascii="宋体" w:hAnsi="宋体" w:cs="宋体" w:hint="eastAsia"/>
        </w:rPr>
        <w:t>)</w:t>
      </w:r>
      <w:r w:rsidRPr="007E001F">
        <w:rPr>
          <w:rFonts w:ascii="宋体" w:hAnsi="宋体" w:cs="宋体" w:hint="eastAsia"/>
        </w:rPr>
        <w:t>。</w:t>
      </w:r>
      <w:r w:rsidRPr="007E001F">
        <w:t>仲裁法庭在</w:t>
      </w:r>
      <w:r w:rsidRPr="007E001F">
        <w:rPr>
          <w:rFonts w:ascii="Time New Roman" w:eastAsia="楷体" w:hAnsi="Time New Roman"/>
        </w:rPr>
        <w:t>莱茵铁路公司案</w:t>
      </w:r>
      <w:r w:rsidRPr="007E001F">
        <w:t>中也指出，</w:t>
      </w:r>
      <w:r w:rsidRPr="007E001F">
        <w:rPr>
          <w:rFonts w:eastAsiaTheme="minorEastAsia" w:hint="eastAsia"/>
        </w:rPr>
        <w:t>“</w:t>
      </w:r>
      <w:r w:rsidRPr="007E001F">
        <w:t>今天，国际环境法越来越重视预防责任</w:t>
      </w:r>
      <w:r w:rsidRPr="007E001F">
        <w:rPr>
          <w:rFonts w:eastAsiaTheme="minorEastAsia" w:hint="eastAsia"/>
        </w:rPr>
        <w:t>”</w:t>
      </w:r>
      <w:r>
        <w:rPr>
          <w:rFonts w:eastAsiaTheme="minorEastAsia" w:hint="eastAsia"/>
        </w:rPr>
        <w:t>(</w:t>
      </w:r>
      <w:r w:rsidRPr="007E001F">
        <w:rPr>
          <w:rFonts w:ascii="Time New Roman" w:eastAsia="楷体" w:hAnsi="Time New Roman" w:hint="eastAsia"/>
        </w:rPr>
        <w:t>比利时与荷兰王国</w:t>
      </w:r>
      <w:r w:rsidRPr="007E001F">
        <w:rPr>
          <w:rFonts w:ascii="Time New Roman" w:eastAsia="楷体" w:hAnsi="Time New Roman"/>
        </w:rPr>
        <w:t>莱茵铁路公司案</w:t>
      </w:r>
      <w:r w:rsidRPr="007E001F">
        <w:rPr>
          <w:rFonts w:eastAsiaTheme="minorEastAsia" w:hint="eastAsia"/>
        </w:rPr>
        <w:t>仲裁裁决</w:t>
      </w:r>
      <w:r w:rsidRPr="007E001F">
        <w:rPr>
          <w:rFonts w:hint="eastAsia"/>
        </w:rPr>
        <w:t>，</w:t>
      </w:r>
      <w:r w:rsidRPr="007E001F">
        <w:rPr>
          <w:rFonts w:hint="eastAsia"/>
        </w:rPr>
        <w:t>2005</w:t>
      </w:r>
      <w:r w:rsidRPr="007E001F">
        <w:rPr>
          <w:rFonts w:hint="eastAsia"/>
        </w:rPr>
        <w:t>年</w:t>
      </w:r>
      <w:r w:rsidRPr="007E001F">
        <w:rPr>
          <w:rFonts w:hint="eastAsia"/>
        </w:rPr>
        <w:t>5</w:t>
      </w:r>
      <w:r w:rsidRPr="007E001F">
        <w:rPr>
          <w:rFonts w:hint="eastAsia"/>
        </w:rPr>
        <w:t>月</w:t>
      </w:r>
      <w:r w:rsidRPr="007E001F">
        <w:rPr>
          <w:rFonts w:eastAsiaTheme="minorEastAsia" w:hint="eastAsia"/>
        </w:rPr>
        <w:t>24</w:t>
      </w:r>
      <w:r w:rsidRPr="007E001F">
        <w:rPr>
          <w:rFonts w:eastAsiaTheme="minorEastAsia" w:hint="eastAsia"/>
        </w:rPr>
        <w:t>日的决定</w:t>
      </w:r>
      <w:r w:rsidRPr="007E001F">
        <w:rPr>
          <w:rFonts w:hint="eastAsia"/>
        </w:rPr>
        <w:t>，</w:t>
      </w:r>
      <w:r>
        <w:rPr>
          <w:rFonts w:hint="eastAsia"/>
        </w:rPr>
        <w:t>联合国《国际仲裁裁决汇编》</w:t>
      </w:r>
      <w:r w:rsidRPr="007E001F">
        <w:t>，</w:t>
      </w:r>
      <w:r w:rsidRPr="007E001F">
        <w:rPr>
          <w:rFonts w:hint="eastAsia"/>
        </w:rPr>
        <w:t>第</w:t>
      </w:r>
      <w:r>
        <w:rPr>
          <w:rFonts w:eastAsiaTheme="minorEastAsia" w:hint="eastAsia"/>
        </w:rPr>
        <w:t>二十七</w:t>
      </w:r>
      <w:r w:rsidRPr="007E001F">
        <w:rPr>
          <w:rFonts w:hint="eastAsia"/>
        </w:rPr>
        <w:t>卷，</w:t>
      </w:r>
      <w:r w:rsidRPr="007E001F">
        <w:rPr>
          <w:rFonts w:eastAsiaTheme="minorEastAsia" w:hint="eastAsia"/>
        </w:rPr>
        <w:t>第</w:t>
      </w:r>
      <w:r w:rsidRPr="007E001F">
        <w:t>35-125</w:t>
      </w:r>
      <w:r w:rsidRPr="007E001F">
        <w:rPr>
          <w:rFonts w:eastAsiaTheme="minorEastAsia" w:hint="eastAsia"/>
        </w:rPr>
        <w:t>页起，见第</w:t>
      </w:r>
      <w:r w:rsidRPr="007E001F">
        <w:t>116</w:t>
      </w:r>
      <w:r w:rsidRPr="007E001F">
        <w:rPr>
          <w:rFonts w:eastAsiaTheme="minorEastAsia" w:hint="eastAsia"/>
        </w:rPr>
        <w:t>页，第</w:t>
      </w:r>
      <w:r w:rsidRPr="007E001F">
        <w:t>222</w:t>
      </w:r>
      <w:r w:rsidRPr="007E001F">
        <w:rPr>
          <w:rFonts w:eastAsiaTheme="minorEastAsia" w:hint="eastAsia"/>
        </w:rPr>
        <w:t>段</w:t>
      </w:r>
      <w:r>
        <w:t>)</w:t>
      </w:r>
      <w:r w:rsidRPr="007E001F">
        <w:rPr>
          <w:rFonts w:eastAsiaTheme="minorEastAsia" w:hint="eastAsia"/>
        </w:rPr>
        <w:t>。</w:t>
      </w:r>
    </w:p>
  </w:footnote>
  <w:footnote w:id="1253">
    <w:p w:rsidR="00AB00DE" w:rsidRPr="007E001F" w:rsidRDefault="00AB00DE" w:rsidP="006735D4">
      <w:pPr>
        <w:pStyle w:val="a4"/>
      </w:pPr>
      <w:r w:rsidRPr="007E001F">
        <w:tab/>
      </w:r>
      <w:r w:rsidRPr="00681AC8">
        <w:rPr>
          <w:rStyle w:val="a5"/>
        </w:rPr>
        <w:footnoteRef/>
      </w:r>
      <w:r w:rsidRPr="007E001F">
        <w:rPr>
          <w:rStyle w:val="a5"/>
        </w:rPr>
        <w:t xml:space="preserve"> </w:t>
      </w:r>
      <w:r w:rsidRPr="007E001F">
        <w:tab/>
      </w:r>
      <w:r w:rsidRPr="007356C2">
        <w:rPr>
          <w:rFonts w:eastAsia="楷体" w:hint="eastAsia"/>
        </w:rPr>
        <w:t>威胁使用或使用核武器的合法性，咨询意见，</w:t>
      </w:r>
      <w:r w:rsidRPr="007E001F">
        <w:rPr>
          <w:rFonts w:hint="eastAsia"/>
        </w:rPr>
        <w:t>《</w:t>
      </w:r>
      <w:r w:rsidRPr="007E001F">
        <w:rPr>
          <w:rFonts w:hint="eastAsia"/>
        </w:rPr>
        <w:t>1996</w:t>
      </w:r>
      <w:r w:rsidRPr="007E001F">
        <w:rPr>
          <w:rFonts w:hint="eastAsia"/>
        </w:rPr>
        <w:t>年国际法院案例汇编》，第</w:t>
      </w:r>
      <w:r w:rsidRPr="007E001F">
        <w:rPr>
          <w:rFonts w:hint="eastAsia"/>
        </w:rPr>
        <w:t>226</w:t>
      </w:r>
      <w:r w:rsidRPr="007E001F">
        <w:rPr>
          <w:rFonts w:hint="eastAsia"/>
        </w:rPr>
        <w:t>页起，见第</w:t>
      </w:r>
      <w:r w:rsidRPr="007E001F">
        <w:rPr>
          <w:rFonts w:hint="eastAsia"/>
        </w:rPr>
        <w:t>241-242</w:t>
      </w:r>
      <w:r w:rsidRPr="007E001F">
        <w:rPr>
          <w:rFonts w:hint="eastAsia"/>
        </w:rPr>
        <w:t>页，第</w:t>
      </w:r>
      <w:r w:rsidRPr="007E001F">
        <w:rPr>
          <w:rFonts w:hint="eastAsia"/>
        </w:rPr>
        <w:t>29</w:t>
      </w:r>
      <w:r w:rsidRPr="007E001F">
        <w:rPr>
          <w:rFonts w:hint="eastAsia"/>
        </w:rPr>
        <w:t>段。</w:t>
      </w:r>
    </w:p>
  </w:footnote>
  <w:footnote w:id="1254">
    <w:p w:rsidR="00AB00DE" w:rsidRPr="007E001F" w:rsidRDefault="00AB00DE" w:rsidP="00334F8C">
      <w:pPr>
        <w:pStyle w:val="a4"/>
        <w:rPr>
          <w:rFonts w:eastAsiaTheme="minorEastAsia"/>
        </w:rPr>
      </w:pPr>
      <w:r w:rsidRPr="007E001F">
        <w:tab/>
      </w:r>
      <w:r w:rsidRPr="00681AC8">
        <w:rPr>
          <w:rStyle w:val="a5"/>
        </w:rPr>
        <w:footnoteRef/>
      </w:r>
      <w:r w:rsidRPr="007E001F">
        <w:rPr>
          <w:rStyle w:val="a5"/>
        </w:rPr>
        <w:t xml:space="preserve"> </w:t>
      </w:r>
      <w:r w:rsidRPr="007E001F">
        <w:tab/>
      </w:r>
      <w:r w:rsidRPr="007E001F">
        <w:rPr>
          <w:rFonts w:asciiTheme="majorBidi" w:hAnsiTheme="majorBidi" w:cstheme="majorBidi"/>
        </w:rPr>
        <w:t>Gab</w:t>
      </w:r>
      <w:r w:rsidRPr="007E001F">
        <w:rPr>
          <w:rFonts w:asciiTheme="majorBidi" w:eastAsia="MS Mincho" w:hAnsiTheme="majorBidi" w:cstheme="majorBidi"/>
        </w:rPr>
        <w:t>č</w:t>
      </w:r>
      <w:r w:rsidRPr="007E001F">
        <w:rPr>
          <w:rFonts w:asciiTheme="majorBidi" w:hAnsiTheme="majorBidi" w:cstheme="majorBidi"/>
        </w:rPr>
        <w:t>íkovo-Nagymaros</w:t>
      </w:r>
      <w:r w:rsidRPr="007E001F">
        <w:rPr>
          <w:rFonts w:ascii="Time New Roman" w:eastAsia="楷体" w:hAnsi="Time New Roman" w:cs="宋体"/>
        </w:rPr>
        <w:t>项目</w:t>
      </w:r>
      <w:r w:rsidRPr="007E001F">
        <w:rPr>
          <w:rFonts w:ascii="Time New Roman" w:eastAsia="楷体" w:hAnsi="Time New Roman" w:cs="宋体" w:hint="eastAsia"/>
        </w:rPr>
        <w:t>案</w:t>
      </w:r>
      <w:r>
        <w:rPr>
          <w:rFonts w:hint="eastAsia"/>
        </w:rPr>
        <w:t>(</w:t>
      </w:r>
      <w:r w:rsidRPr="007E001F">
        <w:rPr>
          <w:rFonts w:hint="eastAsia"/>
        </w:rPr>
        <w:t>见上文脚注</w:t>
      </w:r>
      <w:r>
        <w:fldChar w:fldCharType="begin"/>
      </w:r>
      <w:r>
        <w:instrText xml:space="preserve"> </w:instrText>
      </w:r>
      <w:r>
        <w:rPr>
          <w:rFonts w:hint="eastAsia"/>
        </w:rPr>
        <w:instrText>NOTEREF _Ref455049189 \h</w:instrText>
      </w:r>
      <w:r>
        <w:instrText xml:space="preserve"> </w:instrText>
      </w:r>
      <w:r>
        <w:fldChar w:fldCharType="separate"/>
      </w:r>
      <w:r w:rsidR="00A73EB9">
        <w:t>1251</w:t>
      </w:r>
      <w:r>
        <w:fldChar w:fldCharType="end"/>
      </w:r>
      <w:r>
        <w:rPr>
          <w:rFonts w:hint="eastAsia"/>
        </w:rPr>
        <w:t>)</w:t>
      </w:r>
      <w:r w:rsidRPr="007E001F">
        <w:rPr>
          <w:rFonts w:hint="eastAsia"/>
        </w:rPr>
        <w:t>，第</w:t>
      </w:r>
      <w:r w:rsidRPr="007E001F">
        <w:rPr>
          <w:rFonts w:hint="eastAsia"/>
        </w:rPr>
        <w:t>41</w:t>
      </w:r>
      <w:r w:rsidRPr="007E001F">
        <w:rPr>
          <w:rFonts w:hint="eastAsia"/>
        </w:rPr>
        <w:t>页，第</w:t>
      </w:r>
      <w:r w:rsidRPr="007E001F">
        <w:rPr>
          <w:rFonts w:hint="eastAsia"/>
        </w:rPr>
        <w:t>53</w:t>
      </w:r>
      <w:r>
        <w:rPr>
          <w:rFonts w:hint="eastAsia"/>
        </w:rPr>
        <w:t>段；法院在</w:t>
      </w:r>
      <w:r w:rsidRPr="007E001F">
        <w:rPr>
          <w:rFonts w:ascii="Time New Roman" w:eastAsia="楷体" w:hAnsi="Time New Roman" w:cs="宋体" w:hint="eastAsia"/>
        </w:rPr>
        <w:t>乌拉圭河沿岸纸浆厂案</w:t>
      </w:r>
      <w:r w:rsidRPr="007E001F">
        <w:rPr>
          <w:rFonts w:hint="eastAsia"/>
        </w:rPr>
        <w:t>中援引了同一段落</w:t>
      </w:r>
      <w:r>
        <w:rPr>
          <w:rFonts w:hint="eastAsia"/>
        </w:rPr>
        <w:t>(</w:t>
      </w:r>
      <w:r w:rsidRPr="007E001F">
        <w:rPr>
          <w:rFonts w:hint="eastAsia"/>
        </w:rPr>
        <w:t>见上文脚注</w:t>
      </w:r>
      <w:r>
        <w:fldChar w:fldCharType="begin"/>
      </w:r>
      <w:r>
        <w:instrText xml:space="preserve"> </w:instrText>
      </w:r>
      <w:r>
        <w:rPr>
          <w:rFonts w:hint="eastAsia"/>
        </w:rPr>
        <w:instrText>NOTEREF _Ref455049568 \h</w:instrText>
      </w:r>
      <w:r>
        <w:instrText xml:space="preserve"> </w:instrText>
      </w:r>
      <w:r>
        <w:fldChar w:fldCharType="separate"/>
      </w:r>
      <w:r w:rsidR="00A73EB9">
        <w:t>1247</w:t>
      </w:r>
      <w:r>
        <w:fldChar w:fldCharType="end"/>
      </w:r>
      <w:r>
        <w:rPr>
          <w:rFonts w:hint="eastAsia"/>
        </w:rPr>
        <w:t>)</w:t>
      </w:r>
      <w:r w:rsidRPr="007E001F">
        <w:rPr>
          <w:rFonts w:hint="eastAsia"/>
        </w:rPr>
        <w:t>，第</w:t>
      </w:r>
      <w:r w:rsidRPr="007E001F">
        <w:rPr>
          <w:rFonts w:hint="eastAsia"/>
        </w:rPr>
        <w:t>78</w:t>
      </w:r>
      <w:r w:rsidRPr="007E001F">
        <w:rPr>
          <w:rFonts w:hint="eastAsia"/>
        </w:rPr>
        <w:t>页，第</w:t>
      </w:r>
      <w:r w:rsidRPr="007E001F">
        <w:rPr>
          <w:rFonts w:hint="eastAsia"/>
        </w:rPr>
        <w:t>193</w:t>
      </w:r>
      <w:r w:rsidRPr="007E001F">
        <w:rPr>
          <w:rFonts w:hint="eastAsia"/>
        </w:rPr>
        <w:t>段。</w:t>
      </w:r>
    </w:p>
  </w:footnote>
  <w:footnote w:id="1255">
    <w:p w:rsidR="00AB00DE" w:rsidRPr="007E001F" w:rsidRDefault="00AB00DE" w:rsidP="00334F8C">
      <w:pPr>
        <w:pStyle w:val="a4"/>
      </w:pPr>
      <w:r w:rsidRPr="007E001F">
        <w:tab/>
      </w:r>
      <w:r w:rsidRPr="00681AC8">
        <w:rPr>
          <w:rStyle w:val="a5"/>
        </w:rPr>
        <w:footnoteRef/>
      </w:r>
      <w:r w:rsidRPr="007E001F">
        <w:rPr>
          <w:rStyle w:val="a5"/>
        </w:rPr>
        <w:t xml:space="preserve"> </w:t>
      </w:r>
      <w:r w:rsidRPr="007E001F">
        <w:rPr>
          <w:rFonts w:hint="eastAsia"/>
        </w:rPr>
        <w:tab/>
      </w:r>
      <w:r w:rsidRPr="007E001F">
        <w:rPr>
          <w:rFonts w:ascii="Time New Roman" w:eastAsia="楷体" w:hAnsi="Time New Roman" w:cs="宋体" w:hint="eastAsia"/>
        </w:rPr>
        <w:t>莱茵铁路公司案</w:t>
      </w:r>
      <w:r>
        <w:rPr>
          <w:rFonts w:hint="eastAsia"/>
        </w:rPr>
        <w:t>(</w:t>
      </w:r>
      <w:r w:rsidRPr="007E001F">
        <w:rPr>
          <w:rFonts w:hint="eastAsia"/>
        </w:rPr>
        <w:t>见上文脚注</w:t>
      </w:r>
      <w:r>
        <w:fldChar w:fldCharType="begin"/>
      </w:r>
      <w:r>
        <w:instrText xml:space="preserve"> </w:instrText>
      </w:r>
      <w:r>
        <w:rPr>
          <w:rFonts w:hint="eastAsia"/>
        </w:rPr>
        <w:instrText>NOTEREF _Ref455049189 \h</w:instrText>
      </w:r>
      <w:r>
        <w:instrText xml:space="preserve"> </w:instrText>
      </w:r>
      <w:r>
        <w:fldChar w:fldCharType="separate"/>
      </w:r>
      <w:r w:rsidR="00A73EB9">
        <w:t>1251</w:t>
      </w:r>
      <w:r>
        <w:fldChar w:fldCharType="end"/>
      </w:r>
      <w:r>
        <w:rPr>
          <w:rFonts w:hint="eastAsia"/>
        </w:rPr>
        <w:t>)</w:t>
      </w:r>
      <w:r w:rsidRPr="007E001F">
        <w:rPr>
          <w:rFonts w:hint="eastAsia"/>
        </w:rPr>
        <w:t>，第</w:t>
      </w:r>
      <w:r w:rsidRPr="007E001F">
        <w:rPr>
          <w:rFonts w:hint="eastAsia"/>
        </w:rPr>
        <w:t>66-67</w:t>
      </w:r>
      <w:r w:rsidRPr="007E001F">
        <w:rPr>
          <w:rFonts w:hint="eastAsia"/>
        </w:rPr>
        <w:t>页，第</w:t>
      </w:r>
      <w:r w:rsidRPr="007E001F">
        <w:rPr>
          <w:rFonts w:hint="eastAsia"/>
        </w:rPr>
        <w:t>59</w:t>
      </w:r>
      <w:r w:rsidRPr="007E001F">
        <w:rPr>
          <w:rFonts w:hint="eastAsia"/>
        </w:rPr>
        <w:t>段。</w:t>
      </w:r>
    </w:p>
  </w:footnote>
  <w:footnote w:id="1256">
    <w:p w:rsidR="00AB00DE" w:rsidRPr="001B4A99" w:rsidRDefault="00AB00DE" w:rsidP="006735D4">
      <w:pPr>
        <w:pStyle w:val="a4"/>
        <w:rPr>
          <w:rFonts w:eastAsiaTheme="minorEastAsia"/>
        </w:rPr>
      </w:pPr>
      <w:r w:rsidRPr="008A21A7">
        <w:tab/>
      </w:r>
      <w:r w:rsidRPr="00681AC8">
        <w:rPr>
          <w:rStyle w:val="a5"/>
        </w:rPr>
        <w:footnoteRef/>
      </w:r>
      <w:r w:rsidRPr="00215259">
        <w:t xml:space="preserve"> </w:t>
      </w:r>
      <w:r w:rsidRPr="008A21A7">
        <w:tab/>
      </w:r>
      <w:r>
        <w:rPr>
          <w:rFonts w:eastAsiaTheme="minorEastAsia" w:hint="eastAsia"/>
        </w:rPr>
        <w:t>例如，见《联合国海洋法公约》</w:t>
      </w:r>
      <w:r>
        <w:t>(1982</w:t>
      </w:r>
      <w:r>
        <w:rPr>
          <w:rFonts w:ascii="宋体" w:hAnsi="宋体" w:cs="宋体" w:hint="eastAsia"/>
        </w:rPr>
        <w:t>年</w:t>
      </w:r>
      <w:r>
        <w:t>12</w:t>
      </w:r>
      <w:r>
        <w:rPr>
          <w:rFonts w:ascii="宋体" w:hAnsi="宋体" w:cs="宋体" w:hint="eastAsia"/>
        </w:rPr>
        <w:t>月</w:t>
      </w:r>
      <w:r>
        <w:t>10</w:t>
      </w:r>
      <w:r>
        <w:rPr>
          <w:rFonts w:ascii="宋体" w:hAnsi="宋体" w:cs="宋体" w:hint="eastAsia"/>
        </w:rPr>
        <w:t>日</w:t>
      </w:r>
      <w:r>
        <w:rPr>
          <w:rFonts w:eastAsiaTheme="minorEastAsia" w:hint="eastAsia"/>
        </w:rPr>
        <w:t>年</w:t>
      </w:r>
      <w:r>
        <w:rPr>
          <w:rFonts w:eastAsiaTheme="minorEastAsia" w:hint="eastAsia"/>
        </w:rPr>
        <w:t>12</w:t>
      </w:r>
      <w:r>
        <w:rPr>
          <w:rFonts w:eastAsiaTheme="minorEastAsia" w:hint="eastAsia"/>
        </w:rPr>
        <w:t>月</w:t>
      </w:r>
      <w:r>
        <w:rPr>
          <w:rFonts w:eastAsiaTheme="minorEastAsia" w:hint="eastAsia"/>
        </w:rPr>
        <w:t>10</w:t>
      </w:r>
      <w:r>
        <w:rPr>
          <w:rFonts w:eastAsiaTheme="minorEastAsia" w:hint="eastAsia"/>
        </w:rPr>
        <w:t>日，蒙特哥湾</w:t>
      </w:r>
      <w:r>
        <w:t>)</w:t>
      </w:r>
      <w:r>
        <w:rPr>
          <w:rFonts w:eastAsiaTheme="minorEastAsia" w:hint="eastAsia"/>
        </w:rPr>
        <w:t>，联合国，《条约汇编》，第</w:t>
      </w:r>
      <w:r>
        <w:t>1833</w:t>
      </w:r>
      <w:r>
        <w:rPr>
          <w:rFonts w:eastAsiaTheme="minorEastAsia" w:hint="eastAsia"/>
        </w:rPr>
        <w:t>卷，第</w:t>
      </w:r>
      <w:r>
        <w:t>31363</w:t>
      </w:r>
      <w:r>
        <w:rPr>
          <w:rFonts w:eastAsiaTheme="minorEastAsia" w:hint="eastAsia"/>
        </w:rPr>
        <w:t>号，第</w:t>
      </w:r>
      <w:r>
        <w:rPr>
          <w:rFonts w:eastAsiaTheme="minorEastAsia" w:hint="eastAsia"/>
        </w:rPr>
        <w:t>3</w:t>
      </w:r>
      <w:r>
        <w:rPr>
          <w:rFonts w:eastAsiaTheme="minorEastAsia" w:hint="eastAsia"/>
        </w:rPr>
        <w:t>页；</w:t>
      </w:r>
      <w:r w:rsidRPr="004C6A57">
        <w:rPr>
          <w:rFonts w:eastAsiaTheme="minorEastAsia" w:hint="eastAsia"/>
        </w:rPr>
        <w:t>《保护臭氧层维也纳公约》</w:t>
      </w:r>
      <w:r>
        <w:t>(1985</w:t>
      </w:r>
      <w:r>
        <w:rPr>
          <w:rFonts w:ascii="宋体" w:hAnsi="宋体" w:cs="宋体" w:hint="eastAsia"/>
        </w:rPr>
        <w:t>年</w:t>
      </w:r>
      <w:r>
        <w:t>3</w:t>
      </w:r>
      <w:r>
        <w:rPr>
          <w:rFonts w:ascii="宋体" w:hAnsi="宋体" w:cs="宋体" w:hint="eastAsia"/>
        </w:rPr>
        <w:t>月</w:t>
      </w:r>
      <w:r>
        <w:t>22</w:t>
      </w:r>
      <w:r>
        <w:rPr>
          <w:rFonts w:ascii="宋体" w:hAnsi="宋体" w:cs="宋体" w:hint="eastAsia"/>
        </w:rPr>
        <w:t>日，</w:t>
      </w:r>
      <w:r>
        <w:rPr>
          <w:rFonts w:eastAsiaTheme="minorEastAsia" w:hint="eastAsia"/>
        </w:rPr>
        <w:t>维也纳</w:t>
      </w:r>
      <w:r>
        <w:t>)</w:t>
      </w:r>
      <w:r>
        <w:rPr>
          <w:rFonts w:eastAsiaTheme="minorEastAsia" w:hint="eastAsia"/>
        </w:rPr>
        <w:t>，同上，第</w:t>
      </w:r>
      <w:r>
        <w:t>1513</w:t>
      </w:r>
      <w:r>
        <w:rPr>
          <w:rFonts w:eastAsiaTheme="minorEastAsia" w:hint="eastAsia"/>
        </w:rPr>
        <w:t>卷，第</w:t>
      </w:r>
      <w:r>
        <w:t>26164</w:t>
      </w:r>
      <w:r>
        <w:rPr>
          <w:rFonts w:eastAsiaTheme="minorEastAsia" w:hint="eastAsia"/>
        </w:rPr>
        <w:t>号，第</w:t>
      </w:r>
      <w:r>
        <w:t>293</w:t>
      </w:r>
      <w:r>
        <w:rPr>
          <w:rFonts w:eastAsiaTheme="minorEastAsia" w:hint="eastAsia"/>
        </w:rPr>
        <w:t>页；《联合国气候变化框架公约》</w:t>
      </w:r>
      <w:r>
        <w:t>(1992</w:t>
      </w:r>
      <w:r>
        <w:rPr>
          <w:rFonts w:ascii="宋体" w:hAnsi="宋体" w:cs="宋体" w:hint="eastAsia"/>
        </w:rPr>
        <w:t>年</w:t>
      </w:r>
      <w:r>
        <w:t>5</w:t>
      </w:r>
      <w:r>
        <w:rPr>
          <w:rFonts w:ascii="宋体" w:hAnsi="宋体" w:cs="宋体" w:hint="eastAsia"/>
        </w:rPr>
        <w:t>月</w:t>
      </w:r>
      <w:r>
        <w:t>9</w:t>
      </w:r>
      <w:r>
        <w:rPr>
          <w:rFonts w:ascii="宋体" w:hAnsi="宋体" w:cs="宋体" w:hint="eastAsia"/>
        </w:rPr>
        <w:t>日</w:t>
      </w:r>
      <w:r>
        <w:rPr>
          <w:rFonts w:eastAsiaTheme="minorEastAsia" w:hint="eastAsia"/>
        </w:rPr>
        <w:t>，纽约</w:t>
      </w:r>
      <w:r>
        <w:t>)</w:t>
      </w:r>
      <w:r>
        <w:rPr>
          <w:rFonts w:eastAsiaTheme="minorEastAsia" w:hint="eastAsia"/>
        </w:rPr>
        <w:t>，同上，第</w:t>
      </w:r>
      <w:r>
        <w:t>1771</w:t>
      </w:r>
      <w:r>
        <w:rPr>
          <w:rFonts w:eastAsiaTheme="minorEastAsia" w:hint="eastAsia"/>
        </w:rPr>
        <w:t>卷，第</w:t>
      </w:r>
      <w:r>
        <w:t>30822</w:t>
      </w:r>
      <w:r>
        <w:rPr>
          <w:rFonts w:eastAsiaTheme="minorEastAsia" w:hint="eastAsia"/>
        </w:rPr>
        <w:t>号，第</w:t>
      </w:r>
      <w:r>
        <w:t>107</w:t>
      </w:r>
      <w:r>
        <w:rPr>
          <w:rFonts w:eastAsiaTheme="minorEastAsia" w:hint="eastAsia"/>
        </w:rPr>
        <w:t>页；《生物多样性公约》</w:t>
      </w:r>
      <w:r>
        <w:t>(1992</w:t>
      </w:r>
      <w:r>
        <w:rPr>
          <w:rFonts w:ascii="宋体" w:hAnsi="宋体" w:cs="宋体" w:hint="eastAsia"/>
        </w:rPr>
        <w:t>年</w:t>
      </w:r>
      <w:r>
        <w:t>6</w:t>
      </w:r>
      <w:r>
        <w:rPr>
          <w:rFonts w:ascii="宋体" w:hAnsi="宋体" w:cs="宋体" w:hint="eastAsia"/>
        </w:rPr>
        <w:t>月</w:t>
      </w:r>
      <w:r>
        <w:t>5</w:t>
      </w:r>
      <w:r>
        <w:rPr>
          <w:rFonts w:ascii="宋体" w:hAnsi="宋体" w:cs="宋体" w:hint="eastAsia"/>
        </w:rPr>
        <w:t>日</w:t>
      </w:r>
      <w:r>
        <w:rPr>
          <w:rFonts w:eastAsiaTheme="minorEastAsia" w:hint="eastAsia"/>
        </w:rPr>
        <w:t>，里约热内卢</w:t>
      </w:r>
      <w:r>
        <w:t>)</w:t>
      </w:r>
      <w:r>
        <w:rPr>
          <w:rFonts w:eastAsiaTheme="minorEastAsia" w:hint="eastAsia"/>
        </w:rPr>
        <w:t>，同上，第</w:t>
      </w:r>
      <w:r>
        <w:t>1760</w:t>
      </w:r>
      <w:r>
        <w:rPr>
          <w:rFonts w:eastAsiaTheme="minorEastAsia" w:hint="eastAsia"/>
        </w:rPr>
        <w:t>卷，第</w:t>
      </w:r>
      <w:r>
        <w:t>30619</w:t>
      </w:r>
      <w:r>
        <w:rPr>
          <w:rFonts w:eastAsiaTheme="minorEastAsia" w:hint="eastAsia"/>
        </w:rPr>
        <w:t>号，第</w:t>
      </w:r>
      <w:r>
        <w:t>79</w:t>
      </w:r>
      <w:r>
        <w:rPr>
          <w:rFonts w:eastAsiaTheme="minorEastAsia" w:hint="eastAsia"/>
        </w:rPr>
        <w:t>页，</w:t>
      </w:r>
      <w:r>
        <w:rPr>
          <w:rStyle w:val="preferred"/>
        </w:rPr>
        <w:t>《联合国关于在发生严重干旱和</w:t>
      </w:r>
      <w:r>
        <w:rPr>
          <w:rStyle w:val="preferred"/>
        </w:rPr>
        <w:t>/</w:t>
      </w:r>
      <w:r>
        <w:rPr>
          <w:rStyle w:val="preferred"/>
        </w:rPr>
        <w:t>或荒漠化的国家特别是在非洲防治荒漠化的公约》</w:t>
      </w:r>
      <w:r>
        <w:t>(1994</w:t>
      </w:r>
      <w:r>
        <w:rPr>
          <w:rFonts w:ascii="宋体" w:hAnsi="宋体" w:cs="宋体" w:hint="eastAsia"/>
        </w:rPr>
        <w:t>年</w:t>
      </w:r>
      <w:r>
        <w:t>10</w:t>
      </w:r>
      <w:r>
        <w:rPr>
          <w:rFonts w:ascii="宋体" w:hAnsi="宋体" w:cs="宋体" w:hint="eastAsia"/>
        </w:rPr>
        <w:t>月</w:t>
      </w:r>
      <w:r>
        <w:t>14</w:t>
      </w:r>
      <w:r>
        <w:rPr>
          <w:rFonts w:ascii="宋体" w:hAnsi="宋体" w:cs="宋体" w:hint="eastAsia"/>
        </w:rPr>
        <w:t>日</w:t>
      </w:r>
      <w:r>
        <w:rPr>
          <w:rFonts w:eastAsiaTheme="minorEastAsia" w:hint="eastAsia"/>
        </w:rPr>
        <w:t>，巴黎</w:t>
      </w:r>
      <w:r>
        <w:t>)</w:t>
      </w:r>
      <w:r>
        <w:rPr>
          <w:rFonts w:eastAsiaTheme="minorEastAsia" w:hint="eastAsia"/>
        </w:rPr>
        <w:t>，同上，第</w:t>
      </w:r>
      <w:r>
        <w:t>1954</w:t>
      </w:r>
      <w:r>
        <w:rPr>
          <w:rFonts w:eastAsiaTheme="minorEastAsia" w:hint="eastAsia"/>
        </w:rPr>
        <w:t>卷，第</w:t>
      </w:r>
      <w:r>
        <w:t xml:space="preserve"> 33480</w:t>
      </w:r>
      <w:r>
        <w:rPr>
          <w:rFonts w:eastAsiaTheme="minorEastAsia" w:hint="eastAsia"/>
        </w:rPr>
        <w:t>号，第</w:t>
      </w:r>
      <w:r>
        <w:t>3</w:t>
      </w:r>
      <w:r>
        <w:rPr>
          <w:rFonts w:eastAsiaTheme="minorEastAsia" w:hint="eastAsia"/>
        </w:rPr>
        <w:t>页；《</w:t>
      </w:r>
      <w:r>
        <w:rPr>
          <w:rStyle w:val="preferred"/>
        </w:rPr>
        <w:t>关于持久性有机污染物的斯德哥尔摩公约</w:t>
      </w:r>
      <w:r>
        <w:rPr>
          <w:rFonts w:eastAsiaTheme="minorEastAsia" w:hint="eastAsia"/>
        </w:rPr>
        <w:t>》</w:t>
      </w:r>
      <w:r>
        <w:t>(2001</w:t>
      </w:r>
      <w:r>
        <w:rPr>
          <w:rFonts w:ascii="宋体" w:hAnsi="宋体" w:cs="宋体" w:hint="eastAsia"/>
        </w:rPr>
        <w:t>年</w:t>
      </w:r>
      <w:r>
        <w:t>5</w:t>
      </w:r>
      <w:r>
        <w:rPr>
          <w:rFonts w:ascii="宋体" w:hAnsi="宋体" w:cs="宋体" w:hint="eastAsia"/>
        </w:rPr>
        <w:t>月</w:t>
      </w:r>
      <w:r>
        <w:t>22</w:t>
      </w:r>
      <w:r>
        <w:rPr>
          <w:rFonts w:ascii="宋体" w:hAnsi="宋体" w:cs="宋体" w:hint="eastAsia"/>
        </w:rPr>
        <w:t>日</w:t>
      </w:r>
      <w:r>
        <w:rPr>
          <w:rFonts w:eastAsiaTheme="minorEastAsia" w:hint="eastAsia"/>
        </w:rPr>
        <w:t>，斯德哥尔摩</w:t>
      </w:r>
      <w:r>
        <w:t>)</w:t>
      </w:r>
      <w:r>
        <w:rPr>
          <w:rFonts w:eastAsiaTheme="minorEastAsia" w:hint="eastAsia"/>
        </w:rPr>
        <w:t>，同上，第</w:t>
      </w:r>
      <w:r>
        <w:t>2256</w:t>
      </w:r>
      <w:r>
        <w:rPr>
          <w:rFonts w:eastAsiaTheme="minorEastAsia" w:hint="eastAsia"/>
        </w:rPr>
        <w:t>卷，第</w:t>
      </w:r>
      <w:r>
        <w:t>40214</w:t>
      </w:r>
      <w:r>
        <w:rPr>
          <w:rFonts w:eastAsiaTheme="minorEastAsia" w:hint="eastAsia"/>
        </w:rPr>
        <w:t>号，第</w:t>
      </w:r>
      <w:r>
        <w:t>119</w:t>
      </w:r>
      <w:r>
        <w:rPr>
          <w:rFonts w:eastAsiaTheme="minorEastAsia" w:hint="eastAsia"/>
        </w:rPr>
        <w:t>页，以及《</w:t>
      </w:r>
      <w:r w:rsidRPr="00211641">
        <w:rPr>
          <w:rFonts w:eastAsiaTheme="minorEastAsia" w:hint="eastAsia"/>
        </w:rPr>
        <w:t>《关于汞的水俣公约》</w:t>
      </w:r>
      <w:r>
        <w:t>(2013</w:t>
      </w:r>
      <w:r>
        <w:rPr>
          <w:rFonts w:ascii="宋体" w:hAnsi="宋体" w:cs="宋体" w:hint="eastAsia"/>
        </w:rPr>
        <w:t>年</w:t>
      </w:r>
      <w:r>
        <w:t>10</w:t>
      </w:r>
      <w:r>
        <w:rPr>
          <w:rFonts w:ascii="宋体" w:hAnsi="宋体" w:cs="宋体" w:hint="eastAsia"/>
        </w:rPr>
        <w:t>月</w:t>
      </w:r>
      <w:r>
        <w:t>10</w:t>
      </w:r>
      <w:r>
        <w:rPr>
          <w:rFonts w:ascii="宋体" w:hAnsi="宋体" w:cs="宋体" w:hint="eastAsia"/>
        </w:rPr>
        <w:t>日</w:t>
      </w:r>
      <w:r>
        <w:rPr>
          <w:rFonts w:eastAsiaTheme="minorEastAsia" w:hint="eastAsia"/>
        </w:rPr>
        <w:t>，熊本</w:t>
      </w:r>
      <w:r>
        <w:t>)</w:t>
      </w:r>
      <w:r>
        <w:rPr>
          <w:rFonts w:eastAsiaTheme="minorEastAsia" w:hint="eastAsia"/>
        </w:rPr>
        <w:t>，可查阅</w:t>
      </w:r>
      <w:hyperlink r:id="rId283" w:history="1">
        <w:r w:rsidRPr="005E12A2">
          <w:rPr>
            <w:rStyle w:val="af"/>
          </w:rPr>
          <w:t>https://treaties.un.org</w:t>
        </w:r>
      </w:hyperlink>
      <w:r>
        <w:t xml:space="preserve"> (</w:t>
      </w:r>
      <w:r>
        <w:rPr>
          <w:rFonts w:eastAsiaTheme="minorEastAsia" w:hint="eastAsia"/>
        </w:rPr>
        <w:t>向秘书长交存的多边条约状况，第</w:t>
      </w:r>
      <w:r w:rsidRPr="001B4A99">
        <w:t>XVII.17</w:t>
      </w:r>
      <w:r w:rsidRPr="001B4A99">
        <w:rPr>
          <w:rFonts w:eastAsiaTheme="minorEastAsia" w:hint="eastAsia"/>
        </w:rPr>
        <w:t>章</w:t>
      </w:r>
      <w:r w:rsidRPr="001B4A99">
        <w:t>)</w:t>
      </w:r>
      <w:r>
        <w:rPr>
          <w:rFonts w:eastAsiaTheme="minorEastAsia" w:hint="eastAsia"/>
        </w:rPr>
        <w:t>。</w:t>
      </w:r>
    </w:p>
  </w:footnote>
  <w:footnote w:id="1257">
    <w:p w:rsidR="00AB00DE" w:rsidRPr="007E001F" w:rsidRDefault="00AB00DE" w:rsidP="006735D4">
      <w:pPr>
        <w:pStyle w:val="a4"/>
      </w:pPr>
      <w:r w:rsidRPr="007E001F">
        <w:tab/>
      </w:r>
      <w:r w:rsidRPr="00681AC8">
        <w:rPr>
          <w:rStyle w:val="a5"/>
        </w:rPr>
        <w:footnoteRef/>
      </w:r>
      <w:r w:rsidRPr="007E001F">
        <w:rPr>
          <w:rStyle w:val="a5"/>
        </w:rPr>
        <w:t xml:space="preserve"> </w:t>
      </w:r>
      <w:r w:rsidRPr="007E001F">
        <w:tab/>
      </w:r>
      <w:r w:rsidRPr="007E001F">
        <w:rPr>
          <w:rFonts w:hint="eastAsia"/>
        </w:rPr>
        <w:t>第二</w:t>
      </w:r>
      <w:r w:rsidRPr="007E001F">
        <w:rPr>
          <w:rFonts w:hint="eastAsia"/>
          <w:bCs/>
        </w:rPr>
        <w:t>条第</w:t>
      </w:r>
      <w:r w:rsidRPr="007E001F">
        <w:rPr>
          <w:bCs/>
        </w:rPr>
        <w:t>1</w:t>
      </w:r>
      <w:r w:rsidRPr="007E001F">
        <w:rPr>
          <w:rFonts w:hint="eastAsia"/>
          <w:bCs/>
        </w:rPr>
        <w:t>款。</w:t>
      </w:r>
    </w:p>
  </w:footnote>
  <w:footnote w:id="1258">
    <w:p w:rsidR="00AB00DE" w:rsidRPr="007E001F" w:rsidRDefault="00AB00DE" w:rsidP="006735D4">
      <w:pPr>
        <w:pStyle w:val="a4"/>
      </w:pPr>
      <w:r w:rsidRPr="007E001F">
        <w:tab/>
      </w:r>
      <w:r w:rsidRPr="00681AC8">
        <w:rPr>
          <w:rStyle w:val="a5"/>
        </w:rPr>
        <w:footnoteRef/>
      </w:r>
      <w:r w:rsidRPr="007E001F">
        <w:rPr>
          <w:rStyle w:val="a5"/>
        </w:rPr>
        <w:t xml:space="preserve"> </w:t>
      </w:r>
      <w:r w:rsidRPr="007E001F">
        <w:rPr>
          <w:rFonts w:hint="eastAsia"/>
        </w:rPr>
        <w:tab/>
      </w:r>
      <w:r w:rsidRPr="007E001F">
        <w:rPr>
          <w:rFonts w:ascii="Time New Roman" w:eastAsia="楷体" w:hAnsi="Time New Roman"/>
        </w:rPr>
        <w:t>哥斯达黎加沿圣胡安河修建道路</w:t>
      </w:r>
      <w:r w:rsidRPr="007E001F">
        <w:rPr>
          <w:rFonts w:ascii="Time New Roman" w:eastAsia="楷体" w:hAnsi="Time New Roman" w:hint="eastAsia"/>
        </w:rPr>
        <w:t>案</w:t>
      </w:r>
      <w:r>
        <w:rPr>
          <w:rFonts w:hint="eastAsia"/>
        </w:rPr>
        <w:t>(</w:t>
      </w:r>
      <w:r w:rsidRPr="007E001F">
        <w:rPr>
          <w:rFonts w:ascii="Time New Roman" w:eastAsia="楷体" w:hAnsi="Time New Roman" w:hint="eastAsia"/>
        </w:rPr>
        <w:t>尼加拉瓜诉</w:t>
      </w:r>
      <w:r w:rsidRPr="007E001F">
        <w:rPr>
          <w:rFonts w:ascii="Time New Roman" w:eastAsia="楷体" w:hAnsi="Time New Roman"/>
        </w:rPr>
        <w:t>哥斯达黎加</w:t>
      </w:r>
      <w:r>
        <w:rPr>
          <w:rFonts w:eastAsiaTheme="minorEastAsia" w:hint="eastAsia"/>
          <w:color w:val="000000"/>
          <w:u w:color="000000"/>
          <w:bdr w:val="nil"/>
        </w:rPr>
        <w:t>)</w:t>
      </w:r>
      <w:r w:rsidRPr="007E001F">
        <w:rPr>
          <w:rFonts w:eastAsiaTheme="minorEastAsia" w:hint="eastAsia"/>
          <w:color w:val="000000"/>
          <w:u w:color="000000"/>
          <w:bdr w:val="nil"/>
        </w:rPr>
        <w:t>，</w:t>
      </w:r>
      <w:r w:rsidRPr="007E001F">
        <w:rPr>
          <w:rFonts w:eastAsiaTheme="minorEastAsia" w:hint="eastAsia"/>
          <w:color w:val="000000"/>
          <w:u w:color="000000"/>
          <w:bdr w:val="nil"/>
        </w:rPr>
        <w:t>2015</w:t>
      </w:r>
      <w:r w:rsidRPr="007E001F">
        <w:rPr>
          <w:rFonts w:eastAsiaTheme="minorEastAsia" w:hint="eastAsia"/>
          <w:color w:val="000000"/>
          <w:u w:color="000000"/>
          <w:bdr w:val="nil"/>
        </w:rPr>
        <w:t>年</w:t>
      </w:r>
      <w:r w:rsidRPr="007E001F">
        <w:rPr>
          <w:rFonts w:eastAsiaTheme="minorEastAsia" w:hint="eastAsia"/>
          <w:color w:val="000000"/>
          <w:u w:color="000000"/>
          <w:bdr w:val="nil"/>
        </w:rPr>
        <w:t>12</w:t>
      </w:r>
      <w:r w:rsidRPr="007E001F">
        <w:rPr>
          <w:rFonts w:eastAsiaTheme="minorEastAsia" w:hint="eastAsia"/>
          <w:color w:val="000000"/>
          <w:u w:color="000000"/>
          <w:bdr w:val="nil"/>
        </w:rPr>
        <w:t>月</w:t>
      </w:r>
      <w:r w:rsidRPr="007E001F">
        <w:rPr>
          <w:rFonts w:eastAsiaTheme="minorEastAsia" w:hint="eastAsia"/>
          <w:color w:val="000000"/>
          <w:u w:color="000000"/>
          <w:bdr w:val="nil"/>
        </w:rPr>
        <w:t>16</w:t>
      </w:r>
      <w:r w:rsidRPr="007E001F">
        <w:rPr>
          <w:rFonts w:eastAsiaTheme="minorEastAsia" w:hint="eastAsia"/>
          <w:color w:val="000000"/>
          <w:u w:color="000000"/>
          <w:bdr w:val="nil"/>
        </w:rPr>
        <w:t>日</w:t>
      </w:r>
      <w:r w:rsidRPr="007E001F">
        <w:rPr>
          <w:rFonts w:hint="eastAsia"/>
        </w:rPr>
        <w:t>的判决，第</w:t>
      </w:r>
      <w:r w:rsidRPr="007E001F">
        <w:rPr>
          <w:rFonts w:hint="eastAsia"/>
        </w:rPr>
        <w:t>153</w:t>
      </w:r>
      <w:r w:rsidRPr="007E001F">
        <w:rPr>
          <w:rFonts w:hint="eastAsia"/>
        </w:rPr>
        <w:t>段。</w:t>
      </w:r>
    </w:p>
  </w:footnote>
  <w:footnote w:id="1259">
    <w:p w:rsidR="00AB00DE" w:rsidRPr="007E001F" w:rsidRDefault="00AB00DE" w:rsidP="006735D4">
      <w:pPr>
        <w:pStyle w:val="a4"/>
      </w:pPr>
      <w:r w:rsidRPr="007E001F">
        <w:tab/>
      </w:r>
      <w:r w:rsidRPr="00681AC8">
        <w:rPr>
          <w:rStyle w:val="a5"/>
        </w:rPr>
        <w:footnoteRef/>
      </w:r>
      <w:r w:rsidRPr="007E001F">
        <w:rPr>
          <w:rStyle w:val="a5"/>
        </w:rPr>
        <w:t xml:space="preserve"> </w:t>
      </w:r>
      <w:r w:rsidRPr="007E001F">
        <w:rPr>
          <w:rFonts w:hint="eastAsia"/>
        </w:rPr>
        <w:tab/>
      </w:r>
      <w:r w:rsidRPr="007E001F">
        <w:rPr>
          <w:rFonts w:hint="eastAsia"/>
        </w:rPr>
        <w:t>出处同上，第</w:t>
      </w:r>
      <w:r w:rsidRPr="007E001F">
        <w:t>168</w:t>
      </w:r>
      <w:r w:rsidRPr="007E001F">
        <w:rPr>
          <w:rFonts w:hint="eastAsia"/>
        </w:rPr>
        <w:t>段。</w:t>
      </w:r>
    </w:p>
  </w:footnote>
  <w:footnote w:id="1260">
    <w:p w:rsidR="00AB00DE" w:rsidRPr="007E001F" w:rsidRDefault="00AB00DE" w:rsidP="006735D4">
      <w:pPr>
        <w:pStyle w:val="a4"/>
      </w:pPr>
      <w:r w:rsidRPr="007E001F">
        <w:tab/>
      </w:r>
      <w:r w:rsidRPr="00681AC8">
        <w:rPr>
          <w:rStyle w:val="a5"/>
        </w:rPr>
        <w:footnoteRef/>
      </w:r>
      <w:r w:rsidRPr="007E001F">
        <w:rPr>
          <w:rStyle w:val="a5"/>
        </w:rPr>
        <w:t xml:space="preserve"> </w:t>
      </w:r>
      <w:r w:rsidRPr="007E001F">
        <w:rPr>
          <w:rFonts w:hint="eastAsia"/>
        </w:rPr>
        <w:tab/>
      </w:r>
      <w:r w:rsidRPr="007E001F">
        <w:rPr>
          <w:rFonts w:hint="eastAsia"/>
        </w:rPr>
        <w:t>出处同上，小和田恒法官的个人意见，第</w:t>
      </w:r>
      <w:r w:rsidRPr="007E001F">
        <w:t>18</w:t>
      </w:r>
      <w:r w:rsidRPr="007E001F">
        <w:rPr>
          <w:rFonts w:hint="eastAsia"/>
        </w:rPr>
        <w:t>段。</w:t>
      </w:r>
    </w:p>
  </w:footnote>
  <w:footnote w:id="1261">
    <w:p w:rsidR="00AB00DE" w:rsidRPr="000D4E65" w:rsidRDefault="00AB00DE" w:rsidP="006735D4">
      <w:pPr>
        <w:pStyle w:val="a4"/>
        <w:rPr>
          <w:rFonts w:eastAsiaTheme="minorEastAsia"/>
          <w:iCs/>
        </w:rPr>
      </w:pPr>
      <w:r>
        <w:tab/>
      </w:r>
      <w:r w:rsidRPr="00681AC8">
        <w:rPr>
          <w:rStyle w:val="a5"/>
        </w:rPr>
        <w:footnoteRef/>
      </w:r>
      <w:r>
        <w:t xml:space="preserve"> </w:t>
      </w:r>
      <w:r>
        <w:tab/>
      </w:r>
      <w:r w:rsidRPr="007E001F">
        <w:t>Gabčíkovo-Nagymaros</w:t>
      </w:r>
      <w:r w:rsidRPr="007E001F">
        <w:rPr>
          <w:rFonts w:ascii="Time New Roman" w:eastAsia="楷体" w:hAnsi="Time New Roman"/>
        </w:rPr>
        <w:t>项目</w:t>
      </w:r>
      <w:r w:rsidRPr="007E001F">
        <w:rPr>
          <w:rFonts w:ascii="Time New Roman" w:eastAsia="楷体" w:hAnsi="Time New Roman" w:hint="eastAsia"/>
        </w:rPr>
        <w:t>案</w:t>
      </w:r>
      <w:r w:rsidRPr="008A21A7">
        <w:rPr>
          <w:rFonts w:asciiTheme="majorBidi" w:hAnsiTheme="majorBidi" w:cstheme="majorBidi"/>
          <w:iCs/>
        </w:rPr>
        <w:t>(</w:t>
      </w:r>
      <w:r>
        <w:rPr>
          <w:rFonts w:asciiTheme="majorBidi" w:eastAsiaTheme="minorEastAsia" w:hAnsiTheme="majorBidi" w:cstheme="majorBidi" w:hint="eastAsia"/>
          <w:iCs/>
        </w:rPr>
        <w:t>见上文脚注</w:t>
      </w:r>
      <w:r>
        <w:rPr>
          <w:rFonts w:asciiTheme="majorBidi" w:hAnsiTheme="majorBidi" w:cstheme="majorBidi"/>
          <w:iCs/>
        </w:rPr>
        <w:fldChar w:fldCharType="begin"/>
      </w:r>
      <w:r>
        <w:rPr>
          <w:rFonts w:asciiTheme="majorBidi" w:hAnsiTheme="majorBidi" w:cstheme="majorBidi"/>
          <w:iCs/>
        </w:rPr>
        <w:instrText xml:space="preserve"> NOTEREF _Ref455049189 \h  \* MERGEFORMAT </w:instrText>
      </w:r>
      <w:r>
        <w:rPr>
          <w:rFonts w:asciiTheme="majorBidi" w:hAnsiTheme="majorBidi" w:cstheme="majorBidi"/>
          <w:iCs/>
        </w:rPr>
      </w:r>
      <w:r>
        <w:rPr>
          <w:rFonts w:asciiTheme="majorBidi" w:hAnsiTheme="majorBidi" w:cstheme="majorBidi"/>
          <w:iCs/>
        </w:rPr>
        <w:fldChar w:fldCharType="separate"/>
      </w:r>
      <w:r w:rsidR="00A73EB9">
        <w:rPr>
          <w:rFonts w:asciiTheme="majorBidi" w:hAnsiTheme="majorBidi" w:cstheme="majorBidi"/>
          <w:iCs/>
        </w:rPr>
        <w:t>1251</w:t>
      </w:r>
      <w:r>
        <w:rPr>
          <w:rFonts w:asciiTheme="majorBidi" w:hAnsiTheme="majorBidi" w:cstheme="majorBidi"/>
          <w:iCs/>
        </w:rPr>
        <w:fldChar w:fldCharType="end"/>
      </w:r>
      <w:r>
        <w:rPr>
          <w:rFonts w:asciiTheme="majorBidi" w:hAnsiTheme="majorBidi" w:cstheme="majorBidi"/>
          <w:iCs/>
        </w:rPr>
        <w:t>)</w:t>
      </w:r>
      <w:r>
        <w:rPr>
          <w:rFonts w:asciiTheme="majorBidi" w:eastAsiaTheme="minorEastAsia" w:hAnsiTheme="majorBidi" w:cstheme="majorBidi" w:hint="eastAsia"/>
          <w:iCs/>
        </w:rPr>
        <w:t>。</w:t>
      </w:r>
    </w:p>
  </w:footnote>
  <w:footnote w:id="1262">
    <w:p w:rsidR="00AB00DE" w:rsidRPr="000D4E65" w:rsidRDefault="00AB00DE" w:rsidP="006735D4">
      <w:pPr>
        <w:pStyle w:val="a4"/>
        <w:rPr>
          <w:rFonts w:eastAsiaTheme="minorEastAsia"/>
          <w:iCs/>
        </w:rPr>
      </w:pPr>
      <w:r>
        <w:tab/>
      </w:r>
      <w:r w:rsidRPr="00681AC8">
        <w:rPr>
          <w:rStyle w:val="a5"/>
        </w:rPr>
        <w:footnoteRef/>
      </w:r>
      <w:r>
        <w:t xml:space="preserve"> </w:t>
      </w:r>
      <w:r>
        <w:tab/>
      </w:r>
      <w:r w:rsidRPr="007E001F">
        <w:rPr>
          <w:rFonts w:ascii="Time New Roman" w:eastAsia="楷体" w:hAnsi="Time New Roman" w:hint="eastAsia"/>
        </w:rPr>
        <w:t>乌拉圭河沿岸</w:t>
      </w:r>
      <w:r w:rsidRPr="007E001F">
        <w:rPr>
          <w:rFonts w:ascii="Time New Roman" w:eastAsia="楷体" w:hAnsi="Time New Roman"/>
        </w:rPr>
        <w:t>纸浆厂</w:t>
      </w:r>
      <w:r w:rsidRPr="007E001F">
        <w:rPr>
          <w:rFonts w:ascii="Time New Roman" w:eastAsia="楷体" w:hAnsi="Time New Roman" w:hint="eastAsia"/>
        </w:rPr>
        <w:t>案</w:t>
      </w:r>
      <w:r w:rsidRPr="008A21A7">
        <w:rPr>
          <w:rFonts w:asciiTheme="majorBidi" w:hAnsiTheme="majorBidi" w:cstheme="majorBidi"/>
          <w:iCs/>
          <w:u w:color="000000"/>
          <w:bdr w:val="nil"/>
        </w:rPr>
        <w:t>(</w:t>
      </w:r>
      <w:r>
        <w:rPr>
          <w:rFonts w:asciiTheme="majorBidi" w:eastAsiaTheme="minorEastAsia" w:hAnsiTheme="majorBidi" w:cstheme="majorBidi" w:hint="eastAsia"/>
          <w:iCs/>
        </w:rPr>
        <w:t>见上文脚注</w:t>
      </w:r>
      <w:r>
        <w:rPr>
          <w:rFonts w:asciiTheme="majorBidi" w:hAnsiTheme="majorBidi" w:cstheme="majorBidi"/>
          <w:iCs/>
          <w:u w:color="000000"/>
          <w:bdr w:val="nil"/>
        </w:rPr>
        <w:fldChar w:fldCharType="begin"/>
      </w:r>
      <w:r>
        <w:rPr>
          <w:rFonts w:asciiTheme="majorBidi" w:hAnsiTheme="majorBidi" w:cstheme="majorBidi"/>
          <w:iCs/>
          <w:u w:color="000000"/>
          <w:bdr w:val="nil"/>
        </w:rPr>
        <w:instrText xml:space="preserve"> NOTEREF _Ref455049568 \h  \* MERGEFORMAT </w:instrText>
      </w:r>
      <w:r>
        <w:rPr>
          <w:rFonts w:asciiTheme="majorBidi" w:hAnsiTheme="majorBidi" w:cstheme="majorBidi"/>
          <w:iCs/>
          <w:u w:color="000000"/>
          <w:bdr w:val="nil"/>
        </w:rPr>
      </w:r>
      <w:r>
        <w:rPr>
          <w:rFonts w:asciiTheme="majorBidi" w:hAnsiTheme="majorBidi" w:cstheme="majorBidi"/>
          <w:iCs/>
          <w:u w:color="000000"/>
          <w:bdr w:val="nil"/>
        </w:rPr>
        <w:fldChar w:fldCharType="separate"/>
      </w:r>
      <w:r w:rsidR="00A73EB9">
        <w:rPr>
          <w:rFonts w:asciiTheme="majorBidi" w:hAnsiTheme="majorBidi" w:cstheme="majorBidi"/>
          <w:iCs/>
          <w:u w:color="000000"/>
          <w:bdr w:val="nil"/>
        </w:rPr>
        <w:t>1247</w:t>
      </w:r>
      <w:r>
        <w:rPr>
          <w:rFonts w:asciiTheme="majorBidi" w:hAnsiTheme="majorBidi" w:cstheme="majorBidi"/>
          <w:iCs/>
          <w:u w:color="000000"/>
          <w:bdr w:val="nil"/>
        </w:rPr>
        <w:fldChar w:fldCharType="end"/>
      </w:r>
      <w:r w:rsidRPr="008A21A7">
        <w:rPr>
          <w:rFonts w:asciiTheme="majorBidi" w:hAnsiTheme="majorBidi" w:cstheme="majorBidi"/>
          <w:iCs/>
          <w:u w:color="000000"/>
          <w:bdr w:val="nil"/>
        </w:rPr>
        <w:t>)</w:t>
      </w:r>
      <w:r>
        <w:rPr>
          <w:rFonts w:asciiTheme="majorBidi" w:eastAsiaTheme="minorEastAsia" w:hAnsiTheme="majorBidi" w:cstheme="majorBidi" w:hint="eastAsia"/>
          <w:iCs/>
          <w:u w:color="000000"/>
          <w:bdr w:val="nil"/>
        </w:rPr>
        <w:t>。</w:t>
      </w:r>
    </w:p>
  </w:footnote>
  <w:footnote w:id="1263">
    <w:p w:rsidR="00AB00DE" w:rsidRPr="00CA1E0B" w:rsidRDefault="00AB00DE" w:rsidP="006735D4">
      <w:pPr>
        <w:pStyle w:val="a4"/>
        <w:rPr>
          <w:rFonts w:eastAsiaTheme="minorEastAsia"/>
        </w:rPr>
      </w:pPr>
      <w:r w:rsidRPr="005715FC">
        <w:tab/>
      </w:r>
      <w:r w:rsidRPr="00681AC8">
        <w:rPr>
          <w:rStyle w:val="a5"/>
        </w:rPr>
        <w:footnoteRef/>
      </w:r>
      <w:r w:rsidRPr="005715FC">
        <w:t xml:space="preserve"> </w:t>
      </w:r>
      <w:r w:rsidRPr="005715FC">
        <w:tab/>
      </w:r>
      <w:r w:rsidRPr="007E001F">
        <w:rPr>
          <w:rFonts w:ascii="宋体" w:hAnsi="宋体" w:cs="宋体" w:hint="eastAsia"/>
        </w:rPr>
        <w:t>国际海洋法法庭，</w:t>
      </w:r>
      <w:r>
        <w:rPr>
          <w:rFonts w:hint="eastAsia"/>
          <w:lang w:val="fr-CH"/>
        </w:rPr>
        <w:t>“</w:t>
      </w:r>
      <w:r w:rsidRPr="007E001F">
        <w:rPr>
          <w:rFonts w:ascii="Time New Roman" w:eastAsia="楷体" w:hAnsi="Time New Roman" w:hint="eastAsia"/>
        </w:rPr>
        <w:t>国家对</w:t>
      </w:r>
      <w:r w:rsidRPr="007E001F">
        <w:rPr>
          <w:rFonts w:ascii="Time New Roman" w:eastAsia="楷体" w:hAnsi="Time New Roman"/>
        </w:rPr>
        <w:t>区域内活动的责任和义务</w:t>
      </w:r>
      <w:r>
        <w:rPr>
          <w:rFonts w:ascii="Time New Roman" w:eastAsia="楷体" w:hAnsi="Time New Roman"/>
        </w:rPr>
        <w:t>(</w:t>
      </w:r>
      <w:r w:rsidRPr="007E001F">
        <w:rPr>
          <w:rFonts w:ascii="Time New Roman" w:eastAsia="楷体" w:hAnsi="Time New Roman" w:hint="eastAsia"/>
        </w:rPr>
        <w:t>请求</w:t>
      </w:r>
      <w:r w:rsidRPr="007E001F">
        <w:rPr>
          <w:rFonts w:ascii="Time New Roman" w:eastAsia="楷体" w:hAnsi="Time New Roman"/>
        </w:rPr>
        <w:t>海底争端分庭提</w:t>
      </w:r>
      <w:r w:rsidRPr="007E001F">
        <w:rPr>
          <w:rFonts w:ascii="Time New Roman" w:eastAsia="楷体" w:hAnsi="Time New Roman" w:hint="eastAsia"/>
        </w:rPr>
        <w:t>出</w:t>
      </w:r>
      <w:r w:rsidRPr="007E001F">
        <w:rPr>
          <w:rFonts w:ascii="Time New Roman" w:eastAsia="楷体" w:hAnsi="Time New Roman"/>
        </w:rPr>
        <w:t>咨询意见</w:t>
      </w:r>
      <w:r>
        <w:rPr>
          <w:rFonts w:ascii="Time New Roman" w:eastAsia="楷体" w:hAnsi="Time New Roman"/>
        </w:rPr>
        <w:t>)</w:t>
      </w:r>
      <w:r w:rsidRPr="007E001F">
        <w:rPr>
          <w:rFonts w:hint="eastAsia"/>
        </w:rPr>
        <w:t>”</w:t>
      </w:r>
      <w:r w:rsidRPr="007E001F">
        <w:rPr>
          <w:rFonts w:ascii="宋体" w:hAnsi="宋体" w:cs="宋体" w:hint="eastAsia"/>
        </w:rPr>
        <w:t>，咨询意见，</w:t>
      </w:r>
      <w:r w:rsidRPr="007E001F">
        <w:t>2011</w:t>
      </w:r>
      <w:r w:rsidRPr="007E001F">
        <w:rPr>
          <w:rFonts w:ascii="宋体" w:hAnsi="宋体" w:cs="宋体" w:hint="eastAsia"/>
        </w:rPr>
        <w:t>年</w:t>
      </w:r>
      <w:r w:rsidRPr="007E001F">
        <w:t>2</w:t>
      </w:r>
      <w:r w:rsidRPr="007E001F">
        <w:rPr>
          <w:rFonts w:ascii="宋体" w:hAnsi="宋体" w:cs="宋体" w:hint="eastAsia"/>
        </w:rPr>
        <w:t>月</w:t>
      </w:r>
      <w:r w:rsidRPr="007E001F">
        <w:t>1</w:t>
      </w:r>
      <w:r w:rsidRPr="007E001F">
        <w:rPr>
          <w:rFonts w:ascii="宋体" w:hAnsi="宋体" w:cs="宋体" w:hint="eastAsia"/>
        </w:rPr>
        <w:t>日，《</w:t>
      </w:r>
      <w:r w:rsidRPr="007E001F">
        <w:rPr>
          <w:rFonts w:hint="eastAsia"/>
        </w:rPr>
        <w:t>2011</w:t>
      </w:r>
      <w:r w:rsidRPr="007E001F">
        <w:rPr>
          <w:rFonts w:ascii="宋体" w:hAnsi="宋体" w:cs="宋体" w:hint="eastAsia"/>
        </w:rPr>
        <w:t>年国际海洋法法庭案例汇编》，第</w:t>
      </w:r>
      <w:r w:rsidRPr="007E001F">
        <w:rPr>
          <w:rFonts w:hint="eastAsia"/>
        </w:rPr>
        <w:t>10</w:t>
      </w:r>
      <w:r w:rsidRPr="007E001F">
        <w:rPr>
          <w:rFonts w:ascii="宋体" w:hAnsi="宋体" w:cs="宋体" w:hint="eastAsia"/>
        </w:rPr>
        <w:t>页，第</w:t>
      </w:r>
      <w:r w:rsidRPr="007E001F">
        <w:t>122</w:t>
      </w:r>
      <w:r w:rsidRPr="007E001F">
        <w:rPr>
          <w:rFonts w:ascii="宋体" w:hAnsi="宋体" w:cs="宋体" w:hint="eastAsia"/>
        </w:rPr>
        <w:t>段和第</w:t>
      </w:r>
      <w:r w:rsidRPr="007E001F">
        <w:t>141-150</w:t>
      </w:r>
      <w:r w:rsidRPr="007E001F">
        <w:rPr>
          <w:rFonts w:ascii="宋体" w:hAnsi="宋体" w:cs="宋体" w:hint="eastAsia"/>
        </w:rPr>
        <w:t>段。</w:t>
      </w:r>
    </w:p>
  </w:footnote>
  <w:footnote w:id="1264">
    <w:p w:rsidR="00AB00DE" w:rsidRPr="007E001F" w:rsidRDefault="00AB00DE" w:rsidP="006735D4">
      <w:pPr>
        <w:pStyle w:val="a4"/>
      </w:pPr>
      <w:r w:rsidRPr="007E001F">
        <w:tab/>
      </w:r>
      <w:r w:rsidRPr="00681AC8">
        <w:rPr>
          <w:rStyle w:val="a5"/>
        </w:rPr>
        <w:footnoteRef/>
      </w:r>
      <w:r w:rsidRPr="007E001F">
        <w:rPr>
          <w:rStyle w:val="a5"/>
        </w:rPr>
        <w:t xml:space="preserve"> </w:t>
      </w:r>
      <w:r w:rsidRPr="007E001F">
        <w:tab/>
      </w:r>
      <w:r w:rsidRPr="007E001F">
        <w:t>《越境环境影响评估公约》，</w:t>
      </w:r>
      <w:r>
        <w:rPr>
          <w:rFonts w:hint="eastAsia"/>
        </w:rPr>
        <w:t>(</w:t>
      </w:r>
      <w:r w:rsidRPr="007E001F">
        <w:rPr>
          <w:rFonts w:hint="eastAsia"/>
        </w:rPr>
        <w:t>1991</w:t>
      </w:r>
      <w:r w:rsidRPr="007E001F">
        <w:rPr>
          <w:rFonts w:hint="eastAsia"/>
        </w:rPr>
        <w:t>年</w:t>
      </w:r>
      <w:r w:rsidRPr="007E001F">
        <w:rPr>
          <w:rFonts w:hint="eastAsia"/>
        </w:rPr>
        <w:t>2</w:t>
      </w:r>
      <w:r w:rsidRPr="007E001F">
        <w:rPr>
          <w:rFonts w:hint="eastAsia"/>
        </w:rPr>
        <w:t>月</w:t>
      </w:r>
      <w:r w:rsidRPr="007E001F">
        <w:rPr>
          <w:rFonts w:hint="eastAsia"/>
        </w:rPr>
        <w:t>25</w:t>
      </w:r>
      <w:r w:rsidRPr="007E001F">
        <w:rPr>
          <w:rFonts w:hint="eastAsia"/>
        </w:rPr>
        <w:t>日，</w:t>
      </w:r>
      <w:r w:rsidRPr="007E001F">
        <w:t>埃斯波</w:t>
      </w:r>
      <w:r>
        <w:rPr>
          <w:rFonts w:hint="eastAsia"/>
        </w:rPr>
        <w:t>)</w:t>
      </w:r>
      <w:r w:rsidRPr="007E001F">
        <w:rPr>
          <w:rFonts w:hint="eastAsia"/>
        </w:rPr>
        <w:t>，</w:t>
      </w:r>
      <w:r w:rsidRPr="007E001F">
        <w:t>联合国</w:t>
      </w:r>
      <w:r>
        <w:rPr>
          <w:rFonts w:eastAsiaTheme="minorEastAsia" w:hint="eastAsia"/>
        </w:rPr>
        <w:t>，</w:t>
      </w:r>
      <w:r w:rsidRPr="007E001F">
        <w:rPr>
          <w:rFonts w:hint="eastAsia"/>
        </w:rPr>
        <w:t>《</w:t>
      </w:r>
      <w:r w:rsidRPr="007E001F">
        <w:t>条约汇编》，第</w:t>
      </w:r>
      <w:r w:rsidRPr="007E001F">
        <w:t>1989</w:t>
      </w:r>
      <w:r w:rsidRPr="007E001F">
        <w:t>卷，第</w:t>
      </w:r>
      <w:r w:rsidRPr="007E001F">
        <w:t>34028</w:t>
      </w:r>
      <w:r w:rsidRPr="007E001F">
        <w:t>号</w:t>
      </w:r>
      <w:r w:rsidRPr="007E001F">
        <w:rPr>
          <w:rFonts w:hint="eastAsia"/>
        </w:rPr>
        <w:t>，第</w:t>
      </w:r>
      <w:r w:rsidRPr="007E001F">
        <w:rPr>
          <w:rFonts w:hint="eastAsia"/>
        </w:rPr>
        <w:t>309</w:t>
      </w:r>
      <w:r w:rsidRPr="007E001F">
        <w:rPr>
          <w:rFonts w:hint="eastAsia"/>
        </w:rPr>
        <w:t>页。</w:t>
      </w:r>
    </w:p>
  </w:footnote>
  <w:footnote w:id="1265">
    <w:p w:rsidR="00AB00DE" w:rsidRPr="007E001F" w:rsidRDefault="00AB00DE" w:rsidP="00334F8C">
      <w:pPr>
        <w:pStyle w:val="a4"/>
        <w:rPr>
          <w:color w:val="000000" w:themeColor="text1"/>
        </w:rPr>
      </w:pPr>
      <w:r w:rsidRPr="007E001F">
        <w:rPr>
          <w:color w:val="000000" w:themeColor="text1"/>
        </w:rPr>
        <w:tab/>
      </w:r>
      <w:r w:rsidRPr="00681AC8">
        <w:rPr>
          <w:rStyle w:val="a5"/>
        </w:rPr>
        <w:footnoteRef/>
      </w:r>
      <w:r w:rsidRPr="007E001F">
        <w:rPr>
          <w:rStyle w:val="a5"/>
        </w:rPr>
        <w:t xml:space="preserve"> </w:t>
      </w:r>
      <w:r w:rsidRPr="007E001F">
        <w:rPr>
          <w:color w:val="000000" w:themeColor="text1"/>
        </w:rPr>
        <w:tab/>
      </w:r>
      <w:r w:rsidRPr="007E001F">
        <w:rPr>
          <w:rFonts w:ascii="Time New Roman" w:eastAsia="楷体" w:hAnsi="Time New Roman" w:hint="eastAsia"/>
        </w:rPr>
        <w:t>乌拉圭河沿岸纸浆厂案</w:t>
      </w:r>
      <w:r>
        <w:rPr>
          <w:rFonts w:hint="eastAsia"/>
        </w:rPr>
        <w:t>(</w:t>
      </w:r>
      <w:r w:rsidRPr="007E001F">
        <w:rPr>
          <w:rFonts w:hint="eastAsia"/>
        </w:rPr>
        <w:t>见上文脚注</w:t>
      </w:r>
      <w:r>
        <w:rPr>
          <w:rFonts w:asciiTheme="majorBidi" w:hAnsiTheme="majorBidi" w:cstheme="majorBidi"/>
          <w:iCs/>
          <w:u w:color="000000"/>
          <w:bdr w:val="nil"/>
        </w:rPr>
        <w:fldChar w:fldCharType="begin"/>
      </w:r>
      <w:r>
        <w:rPr>
          <w:rFonts w:asciiTheme="majorBidi" w:hAnsiTheme="majorBidi" w:cstheme="majorBidi"/>
          <w:iCs/>
          <w:u w:color="000000"/>
          <w:bdr w:val="nil"/>
        </w:rPr>
        <w:instrText xml:space="preserve"> NOTEREF _Ref455049568 \h  \* MERGEFORMAT </w:instrText>
      </w:r>
      <w:r>
        <w:rPr>
          <w:rFonts w:asciiTheme="majorBidi" w:hAnsiTheme="majorBidi" w:cstheme="majorBidi"/>
          <w:iCs/>
          <w:u w:color="000000"/>
          <w:bdr w:val="nil"/>
        </w:rPr>
      </w:r>
      <w:r>
        <w:rPr>
          <w:rFonts w:asciiTheme="majorBidi" w:hAnsiTheme="majorBidi" w:cstheme="majorBidi"/>
          <w:iCs/>
          <w:u w:color="000000"/>
          <w:bdr w:val="nil"/>
        </w:rPr>
        <w:fldChar w:fldCharType="separate"/>
      </w:r>
      <w:r w:rsidR="00A73EB9">
        <w:rPr>
          <w:rFonts w:asciiTheme="majorBidi" w:hAnsiTheme="majorBidi" w:cstheme="majorBidi"/>
          <w:iCs/>
          <w:u w:color="000000"/>
          <w:bdr w:val="nil"/>
        </w:rPr>
        <w:t>1247</w:t>
      </w:r>
      <w:r>
        <w:rPr>
          <w:rFonts w:asciiTheme="majorBidi" w:hAnsiTheme="majorBidi" w:cstheme="majorBidi"/>
          <w:iCs/>
          <w:u w:color="000000"/>
          <w:bdr w:val="nil"/>
        </w:rPr>
        <w:fldChar w:fldCharType="end"/>
      </w:r>
      <w:r>
        <w:rPr>
          <w:rFonts w:hint="eastAsia"/>
        </w:rPr>
        <w:t>)</w:t>
      </w:r>
      <w:r w:rsidRPr="007E001F">
        <w:rPr>
          <w:rFonts w:hint="eastAsia"/>
        </w:rPr>
        <w:t>，第</w:t>
      </w:r>
      <w:r w:rsidRPr="007E001F">
        <w:rPr>
          <w:rFonts w:hint="eastAsia"/>
        </w:rPr>
        <w:t>83</w:t>
      </w:r>
      <w:r w:rsidRPr="007E001F">
        <w:rPr>
          <w:rFonts w:hint="eastAsia"/>
        </w:rPr>
        <w:t>页，第</w:t>
      </w:r>
      <w:r w:rsidRPr="007E001F">
        <w:rPr>
          <w:rFonts w:hint="eastAsia"/>
        </w:rPr>
        <w:t>204</w:t>
      </w:r>
      <w:r w:rsidRPr="007E001F">
        <w:rPr>
          <w:rFonts w:hint="eastAsia"/>
        </w:rPr>
        <w:t>段。</w:t>
      </w:r>
    </w:p>
  </w:footnote>
  <w:footnote w:id="1266">
    <w:p w:rsidR="00AB00DE" w:rsidRPr="007E001F" w:rsidRDefault="00AB00DE" w:rsidP="006735D4">
      <w:pPr>
        <w:pStyle w:val="a4"/>
      </w:pPr>
      <w:r w:rsidRPr="007E001F">
        <w:rPr>
          <w:color w:val="000000" w:themeColor="text1"/>
        </w:rPr>
        <w:tab/>
      </w:r>
      <w:r w:rsidRPr="00681AC8">
        <w:rPr>
          <w:rStyle w:val="a5"/>
        </w:rPr>
        <w:footnoteRef/>
      </w:r>
      <w:r w:rsidRPr="007E001F">
        <w:rPr>
          <w:rStyle w:val="a5"/>
        </w:rPr>
        <w:t xml:space="preserve"> </w:t>
      </w:r>
      <w:r w:rsidRPr="007E001F">
        <w:rPr>
          <w:rFonts w:hint="eastAsia"/>
          <w:color w:val="000000" w:themeColor="text1"/>
        </w:rPr>
        <w:tab/>
      </w:r>
      <w:r w:rsidRPr="007E001F">
        <w:rPr>
          <w:color w:val="000000" w:themeColor="text1"/>
        </w:rPr>
        <w:t>委员会在工作中经常使用</w:t>
      </w:r>
      <w:r w:rsidRPr="007E001F">
        <w:rPr>
          <w:rFonts w:hint="eastAsia"/>
          <w:color w:val="000000" w:themeColor="text1"/>
        </w:rPr>
        <w:t>“</w:t>
      </w:r>
      <w:r w:rsidRPr="007E001F">
        <w:rPr>
          <w:color w:val="000000" w:themeColor="text1"/>
        </w:rPr>
        <w:t>重大</w:t>
      </w:r>
      <w:r w:rsidRPr="007E001F">
        <w:rPr>
          <w:rFonts w:hint="eastAsia"/>
          <w:color w:val="000000" w:themeColor="text1"/>
        </w:rPr>
        <w:t>”</w:t>
      </w:r>
      <w:r w:rsidRPr="007E001F">
        <w:rPr>
          <w:color w:val="000000" w:themeColor="text1"/>
        </w:rPr>
        <w:t>一词，包括在</w:t>
      </w:r>
      <w:r>
        <w:rPr>
          <w:rFonts w:hint="eastAsia"/>
          <w:noProof/>
        </w:rPr>
        <w:t>预防危险活动的越境损害</w:t>
      </w:r>
      <w:r>
        <w:rPr>
          <w:rFonts w:eastAsiaTheme="minorEastAsia" w:hint="eastAsia"/>
          <w:color w:val="000000" w:themeColor="text1"/>
        </w:rPr>
        <w:t>条款</w:t>
      </w:r>
      <w:r>
        <w:rPr>
          <w:color w:val="000000" w:themeColor="text1"/>
        </w:rPr>
        <w:t>(</w:t>
      </w:r>
      <w:r w:rsidRPr="007E001F">
        <w:rPr>
          <w:color w:val="000000" w:themeColor="text1"/>
        </w:rPr>
        <w:t>2001</w:t>
      </w:r>
      <w:r w:rsidRPr="007E001F">
        <w:rPr>
          <w:color w:val="000000" w:themeColor="text1"/>
        </w:rPr>
        <w:t>年</w:t>
      </w:r>
      <w:r>
        <w:rPr>
          <w:color w:val="000000" w:themeColor="text1"/>
        </w:rPr>
        <w:t>)</w:t>
      </w:r>
      <w:r w:rsidRPr="007E001F">
        <w:rPr>
          <w:color w:val="000000" w:themeColor="text1"/>
        </w:rPr>
        <w:t>中使用。</w:t>
      </w:r>
      <w:r w:rsidRPr="007E001F">
        <w:rPr>
          <w:rFonts w:hint="eastAsia"/>
          <w:color w:val="000000" w:themeColor="text1"/>
        </w:rPr>
        <w:t>当时</w:t>
      </w:r>
      <w:r w:rsidRPr="007E001F">
        <w:rPr>
          <w:color w:val="000000" w:themeColor="text1"/>
        </w:rPr>
        <w:t>，委员会选择不对该词进行界定，</w:t>
      </w:r>
      <w:r w:rsidRPr="007E001F">
        <w:rPr>
          <w:rFonts w:hint="eastAsia"/>
          <w:color w:val="000000" w:themeColor="text1"/>
        </w:rPr>
        <w:t>承认“</w:t>
      </w:r>
      <w:r w:rsidRPr="007E001F">
        <w:rPr>
          <w:color w:val="000000" w:themeColor="text1"/>
        </w:rPr>
        <w:t>重大</w:t>
      </w:r>
      <w:r w:rsidRPr="007E001F">
        <w:rPr>
          <w:rFonts w:hint="eastAsia"/>
          <w:color w:val="000000" w:themeColor="text1"/>
        </w:rPr>
        <w:t>”</w:t>
      </w:r>
      <w:r w:rsidRPr="007E001F">
        <w:rPr>
          <w:color w:val="000000" w:themeColor="text1"/>
        </w:rPr>
        <w:t>一词需要作事实判定，而不是法律判定</w:t>
      </w:r>
      <w:r>
        <w:rPr>
          <w:color w:val="000000" w:themeColor="text1"/>
        </w:rPr>
        <w:t>(</w:t>
      </w:r>
      <w:r w:rsidRPr="007E001F">
        <w:rPr>
          <w:rFonts w:hint="eastAsia"/>
          <w:color w:val="000000" w:themeColor="text1"/>
        </w:rPr>
        <w:t>见一般性评注，第</w:t>
      </w:r>
      <w:r>
        <w:rPr>
          <w:color w:val="000000" w:themeColor="text1"/>
        </w:rPr>
        <w:t>(</w:t>
      </w:r>
      <w:r w:rsidRPr="007E001F">
        <w:rPr>
          <w:rFonts w:hint="eastAsia"/>
          <w:color w:val="000000" w:themeColor="text1"/>
        </w:rPr>
        <w:t>4</w:t>
      </w:r>
      <w:r>
        <w:rPr>
          <w:color w:val="000000" w:themeColor="text1"/>
        </w:rPr>
        <w:t>)</w:t>
      </w:r>
      <w:r w:rsidRPr="007E001F">
        <w:rPr>
          <w:rFonts w:hint="eastAsia"/>
          <w:color w:val="000000" w:themeColor="text1"/>
        </w:rPr>
        <w:t>段，</w:t>
      </w:r>
      <w:r w:rsidRPr="007E001F">
        <w:rPr>
          <w:color w:val="000000" w:themeColor="text1"/>
        </w:rPr>
        <w:t>《</w:t>
      </w:r>
      <w:r w:rsidRPr="007E001F">
        <w:rPr>
          <w:color w:val="000000" w:themeColor="text1"/>
        </w:rPr>
        <w:t>2001</w:t>
      </w:r>
      <w:r w:rsidRPr="007E001F">
        <w:rPr>
          <w:color w:val="000000" w:themeColor="text1"/>
        </w:rPr>
        <w:t>年</w:t>
      </w:r>
      <w:r w:rsidRPr="007E001F">
        <w:rPr>
          <w:rFonts w:eastAsiaTheme="minorEastAsia" w:hint="eastAsia"/>
        </w:rPr>
        <w:t>……</w:t>
      </w:r>
      <w:r w:rsidRPr="007E001F">
        <w:rPr>
          <w:color w:val="000000" w:themeColor="text1"/>
        </w:rPr>
        <w:t>年鉴》，第二卷</w:t>
      </w:r>
      <w:r w:rsidRPr="007E001F">
        <w:rPr>
          <w:rFonts w:hint="eastAsia"/>
          <w:color w:val="000000" w:themeColor="text1"/>
        </w:rPr>
        <w:t>，</w:t>
      </w:r>
      <w:r>
        <w:rPr>
          <w:color w:val="000000" w:themeColor="text1"/>
        </w:rPr>
        <w:t>(</w:t>
      </w:r>
      <w:r w:rsidRPr="007E001F">
        <w:rPr>
          <w:color w:val="000000" w:themeColor="text1"/>
        </w:rPr>
        <w:t>第二部分</w:t>
      </w:r>
      <w:r>
        <w:rPr>
          <w:color w:val="000000" w:themeColor="text1"/>
        </w:rPr>
        <w:t>)</w:t>
      </w:r>
      <w:r w:rsidRPr="007E001F">
        <w:rPr>
          <w:rFonts w:hint="eastAsia"/>
          <w:color w:val="000000" w:themeColor="text1"/>
        </w:rPr>
        <w:t>，第五章，</w:t>
      </w:r>
      <w:r w:rsidRPr="007E001F">
        <w:rPr>
          <w:color w:val="000000" w:themeColor="text1"/>
        </w:rPr>
        <w:t>E</w:t>
      </w:r>
      <w:r w:rsidRPr="007E001F">
        <w:rPr>
          <w:rFonts w:hint="eastAsia"/>
          <w:color w:val="000000" w:themeColor="text1"/>
        </w:rPr>
        <w:t>节</w:t>
      </w:r>
      <w:r>
        <w:rPr>
          <w:rFonts w:hint="eastAsia"/>
          <w:color w:val="000000" w:themeColor="text1"/>
        </w:rPr>
        <w:t>)</w:t>
      </w:r>
      <w:r w:rsidRPr="007E001F">
        <w:rPr>
          <w:rFonts w:hint="eastAsia"/>
          <w:color w:val="000000" w:themeColor="text1"/>
        </w:rPr>
        <w:t>。另</w:t>
      </w:r>
      <w:r w:rsidRPr="007E001F">
        <w:t>见</w:t>
      </w:r>
      <w:r>
        <w:rPr>
          <w:rFonts w:hint="eastAsia"/>
          <w:noProof/>
        </w:rPr>
        <w:t>预防危险活动的越境损害</w:t>
      </w:r>
      <w:r>
        <w:rPr>
          <w:rFonts w:eastAsiaTheme="minorEastAsia" w:hint="eastAsia"/>
          <w:color w:val="000000" w:themeColor="text1"/>
        </w:rPr>
        <w:t>条款</w:t>
      </w:r>
      <w:r w:rsidRPr="007E001F">
        <w:t>第</w:t>
      </w:r>
      <w:r w:rsidRPr="007E001F">
        <w:t>2</w:t>
      </w:r>
      <w:r w:rsidRPr="007E001F">
        <w:t>条评注第</w:t>
      </w:r>
      <w:r>
        <w:t>(</w:t>
      </w:r>
      <w:r w:rsidRPr="007E001F">
        <w:t>4</w:t>
      </w:r>
      <w:r>
        <w:t>)</w:t>
      </w:r>
      <w:r w:rsidRPr="007E001F">
        <w:t>和第</w:t>
      </w:r>
      <w:r>
        <w:t>(</w:t>
      </w:r>
      <w:r w:rsidRPr="007E001F">
        <w:t>7</w:t>
      </w:r>
      <w:r>
        <w:t>)</w:t>
      </w:r>
      <w:r w:rsidRPr="007E001F">
        <w:t>段</w:t>
      </w:r>
      <w:r>
        <w:t>)</w:t>
      </w:r>
      <w:r>
        <w:rPr>
          <w:rFonts w:hint="eastAsia"/>
        </w:rPr>
        <w:t>(</w:t>
      </w:r>
      <w:r w:rsidRPr="007E001F">
        <w:rPr>
          <w:rFonts w:hint="eastAsia"/>
        </w:rPr>
        <w:t>出处同上</w:t>
      </w:r>
      <w:r>
        <w:rPr>
          <w:rFonts w:hint="eastAsia"/>
        </w:rPr>
        <w:t>)</w:t>
      </w:r>
      <w:r w:rsidRPr="007E001F">
        <w:t>。</w:t>
      </w:r>
      <w:r w:rsidRPr="007E001F">
        <w:rPr>
          <w:rFonts w:hint="eastAsia"/>
        </w:rPr>
        <w:t>还</w:t>
      </w:r>
      <w:r w:rsidRPr="007E001F">
        <w:t>见</w:t>
      </w:r>
      <w:r w:rsidRPr="008A515B">
        <w:t>《</w:t>
      </w:r>
      <w:r w:rsidRPr="008A515B">
        <w:rPr>
          <w:rFonts w:ascii="宋体" w:hAnsi="宋体" w:cs="宋体" w:hint="eastAsia"/>
        </w:rPr>
        <w:t>关于危险活动造成的跨界损害案件中损失分配的原则草案</w:t>
      </w:r>
      <w:r w:rsidRPr="008A515B">
        <w:t>》评注</w:t>
      </w:r>
      <w:r w:rsidRPr="008A515B">
        <w:t>(</w:t>
      </w:r>
      <w:r w:rsidRPr="008A515B">
        <w:t>原则</w:t>
      </w:r>
      <w:r w:rsidRPr="008A515B">
        <w:t>2</w:t>
      </w:r>
      <w:r w:rsidRPr="008A515B">
        <w:t>评注</w:t>
      </w:r>
      <w:r w:rsidRPr="007E001F">
        <w:rPr>
          <w:rFonts w:hint="eastAsia"/>
        </w:rPr>
        <w:t>，</w:t>
      </w:r>
      <w:r w:rsidRPr="007E001F">
        <w:t>第</w:t>
      </w:r>
      <w:r>
        <w:t>(</w:t>
      </w:r>
      <w:r w:rsidRPr="007E001F">
        <w:t>1</w:t>
      </w:r>
      <w:r>
        <w:t>)</w:t>
      </w:r>
      <w:r w:rsidRPr="007E001F">
        <w:t>至</w:t>
      </w:r>
      <w:r>
        <w:t>(</w:t>
      </w:r>
      <w:r w:rsidRPr="007E001F">
        <w:t>3</w:t>
      </w:r>
      <w:r>
        <w:t>)</w:t>
      </w:r>
      <w:r w:rsidRPr="007E001F">
        <w:t>段</w:t>
      </w:r>
      <w:r>
        <w:rPr>
          <w:rFonts w:eastAsiaTheme="minorEastAsia" w:hint="eastAsia"/>
        </w:rPr>
        <w:t>，</w:t>
      </w:r>
      <w:r w:rsidRPr="007E001F">
        <w:rPr>
          <w:color w:val="000000" w:themeColor="text1"/>
        </w:rPr>
        <w:t>《</w:t>
      </w:r>
      <w:r w:rsidRPr="007E001F">
        <w:rPr>
          <w:color w:val="000000" w:themeColor="text1"/>
        </w:rPr>
        <w:t>200</w:t>
      </w:r>
      <w:r w:rsidRPr="007E001F">
        <w:rPr>
          <w:rFonts w:hint="eastAsia"/>
          <w:color w:val="000000" w:themeColor="text1"/>
        </w:rPr>
        <w:t>6</w:t>
      </w:r>
      <w:r w:rsidRPr="007E001F">
        <w:rPr>
          <w:color w:val="000000" w:themeColor="text1"/>
        </w:rPr>
        <w:t>年</w:t>
      </w:r>
      <w:r w:rsidRPr="007E001F">
        <w:rPr>
          <w:rFonts w:eastAsiaTheme="minorEastAsia" w:hint="eastAsia"/>
        </w:rPr>
        <w:t>……</w:t>
      </w:r>
      <w:r w:rsidRPr="007E001F">
        <w:rPr>
          <w:color w:val="000000" w:themeColor="text1"/>
        </w:rPr>
        <w:t>年鉴》，第二卷</w:t>
      </w:r>
      <w:r>
        <w:rPr>
          <w:color w:val="000000" w:themeColor="text1"/>
        </w:rPr>
        <w:t>(</w:t>
      </w:r>
      <w:r w:rsidRPr="007E001F">
        <w:rPr>
          <w:color w:val="000000" w:themeColor="text1"/>
        </w:rPr>
        <w:t>第二部分</w:t>
      </w:r>
      <w:r>
        <w:rPr>
          <w:color w:val="000000" w:themeColor="text1"/>
        </w:rPr>
        <w:t>)</w:t>
      </w:r>
      <w:r w:rsidRPr="007E001F">
        <w:rPr>
          <w:rFonts w:hint="eastAsia"/>
          <w:color w:val="000000" w:themeColor="text1"/>
        </w:rPr>
        <w:t>第五章，</w:t>
      </w:r>
      <w:r w:rsidRPr="007E001F">
        <w:rPr>
          <w:color w:val="000000" w:themeColor="text1"/>
        </w:rPr>
        <w:t>E</w:t>
      </w:r>
      <w:r w:rsidRPr="007E001F">
        <w:rPr>
          <w:rFonts w:hint="eastAsia"/>
          <w:color w:val="000000" w:themeColor="text1"/>
        </w:rPr>
        <w:t>节</w:t>
      </w:r>
      <w:r>
        <w:rPr>
          <w:rFonts w:hint="eastAsia"/>
          <w:color w:val="000000" w:themeColor="text1"/>
        </w:rPr>
        <w:t>)</w:t>
      </w:r>
      <w:r w:rsidRPr="007E001F">
        <w:t>。</w:t>
      </w:r>
      <w:r>
        <w:t>)</w:t>
      </w:r>
    </w:p>
  </w:footnote>
  <w:footnote w:id="1267">
    <w:p w:rsidR="00AB00DE" w:rsidRPr="00D357C0" w:rsidRDefault="00AB00DE" w:rsidP="006735D4">
      <w:pPr>
        <w:pStyle w:val="a4"/>
        <w:rPr>
          <w:rFonts w:eastAsiaTheme="minorEastAsia"/>
        </w:rPr>
      </w:pPr>
      <w:r>
        <w:tab/>
      </w:r>
      <w:r w:rsidRPr="00681AC8">
        <w:rPr>
          <w:rStyle w:val="a5"/>
        </w:rPr>
        <w:footnoteRef/>
      </w:r>
      <w:r>
        <w:t xml:space="preserve"> </w:t>
      </w:r>
      <w:r>
        <w:tab/>
      </w:r>
      <w:r>
        <w:rPr>
          <w:rFonts w:eastAsiaTheme="minorEastAsia" w:hint="eastAsia"/>
        </w:rPr>
        <w:t>见指南草案</w:t>
      </w:r>
      <w:r>
        <w:t>7</w:t>
      </w:r>
      <w:r>
        <w:rPr>
          <w:rFonts w:eastAsiaTheme="minorEastAsia" w:hint="eastAsia"/>
        </w:rPr>
        <w:t>。</w:t>
      </w:r>
    </w:p>
  </w:footnote>
  <w:footnote w:id="1268">
    <w:p w:rsidR="00AB00DE" w:rsidRPr="007E001F" w:rsidRDefault="00AB00DE" w:rsidP="006735D4">
      <w:pPr>
        <w:pStyle w:val="a4"/>
      </w:pPr>
      <w:r w:rsidRPr="007E001F">
        <w:tab/>
      </w:r>
      <w:r w:rsidRPr="00681AC8">
        <w:rPr>
          <w:rStyle w:val="a5"/>
        </w:rPr>
        <w:footnoteRef/>
      </w:r>
      <w:r w:rsidRPr="007E001F">
        <w:rPr>
          <w:rStyle w:val="a5"/>
        </w:rPr>
        <w:t xml:space="preserve"> </w:t>
      </w:r>
      <w:r w:rsidRPr="007E001F">
        <w:tab/>
      </w:r>
      <w:r w:rsidRPr="007E001F">
        <w:rPr>
          <w:rFonts w:hint="eastAsia"/>
        </w:rPr>
        <w:t>《越境环境影响评估公约关于战略环境评估的基辅议定书》</w:t>
      </w:r>
      <w:r>
        <w:rPr>
          <w:rFonts w:hint="eastAsia"/>
        </w:rPr>
        <w:t>(</w:t>
      </w:r>
      <w:r w:rsidRPr="007E001F">
        <w:rPr>
          <w:rFonts w:hint="eastAsia"/>
        </w:rPr>
        <w:t>2003</w:t>
      </w:r>
      <w:r w:rsidRPr="007E001F">
        <w:rPr>
          <w:rFonts w:hint="eastAsia"/>
        </w:rPr>
        <w:t>年</w:t>
      </w:r>
      <w:r w:rsidRPr="007E001F">
        <w:rPr>
          <w:rFonts w:hint="eastAsia"/>
        </w:rPr>
        <w:t>5</w:t>
      </w:r>
      <w:r w:rsidRPr="007E001F">
        <w:rPr>
          <w:rFonts w:hint="eastAsia"/>
        </w:rPr>
        <w:t>月</w:t>
      </w:r>
      <w:r w:rsidRPr="007E001F">
        <w:rPr>
          <w:rFonts w:hint="eastAsia"/>
        </w:rPr>
        <w:t>21</w:t>
      </w:r>
      <w:r w:rsidRPr="007E001F">
        <w:rPr>
          <w:rFonts w:hint="eastAsia"/>
        </w:rPr>
        <w:t>日，基辅</w:t>
      </w:r>
      <w:r>
        <w:rPr>
          <w:rFonts w:hint="eastAsia"/>
        </w:rPr>
        <w:t>)</w:t>
      </w:r>
      <w:r w:rsidRPr="007E001F">
        <w:rPr>
          <w:rFonts w:hint="eastAsia"/>
        </w:rPr>
        <w:t>，文件</w:t>
      </w:r>
      <w:r w:rsidRPr="007E001F">
        <w:t>ECE/MP.EIA/2003/2</w:t>
      </w:r>
      <w:r>
        <w:t>(</w:t>
      </w:r>
      <w:r w:rsidRPr="007E001F">
        <w:rPr>
          <w:rFonts w:hint="eastAsia"/>
        </w:rPr>
        <w:t>可查阅：</w:t>
      </w:r>
      <w:hyperlink r:id="rId284" w:history="1">
        <w:r w:rsidRPr="007E001F">
          <w:rPr>
            <w:rStyle w:val="af"/>
          </w:rPr>
          <w:t>www.unece.org/fileadmin/DAM/env/eia/documents/legaltexts/</w:t>
        </w:r>
        <w:r w:rsidRPr="007E001F">
          <w:rPr>
            <w:rStyle w:val="af"/>
            <w:rFonts w:hint="eastAsia"/>
          </w:rPr>
          <w:br/>
        </w:r>
        <w:r w:rsidRPr="007E001F">
          <w:rPr>
            <w:rStyle w:val="af"/>
          </w:rPr>
          <w:t>protocolenglish</w:t>
        </w:r>
      </w:hyperlink>
      <w:r>
        <w:t>)</w:t>
      </w:r>
      <w:r w:rsidRPr="007E001F">
        <w:t>，</w:t>
      </w:r>
      <w:r w:rsidRPr="007E001F">
        <w:rPr>
          <w:rFonts w:hint="eastAsia"/>
        </w:rPr>
        <w:t>第</w:t>
      </w:r>
      <w:r w:rsidRPr="007E001F">
        <w:t>2</w:t>
      </w:r>
      <w:r w:rsidRPr="007E001F">
        <w:rPr>
          <w:rFonts w:hint="eastAsia"/>
          <w:lang w:val="es-ES"/>
        </w:rPr>
        <w:t>条第</w:t>
      </w:r>
      <w:r w:rsidRPr="007E001F">
        <w:t>6-7</w:t>
      </w:r>
      <w:r w:rsidRPr="007E001F">
        <w:rPr>
          <w:rFonts w:hint="eastAsia"/>
        </w:rPr>
        <w:t>款。</w:t>
      </w:r>
    </w:p>
  </w:footnote>
  <w:footnote w:id="1269">
    <w:p w:rsidR="00AB00DE" w:rsidRPr="00AB5FF2" w:rsidRDefault="00AB00DE" w:rsidP="006735D4">
      <w:pPr>
        <w:pStyle w:val="a4"/>
        <w:rPr>
          <w:rFonts w:eastAsiaTheme="minorEastAsia"/>
        </w:rPr>
      </w:pPr>
      <w:r w:rsidRPr="007E001F">
        <w:tab/>
      </w:r>
      <w:r w:rsidRPr="00681AC8">
        <w:rPr>
          <w:rStyle w:val="a5"/>
        </w:rPr>
        <w:footnoteRef/>
      </w:r>
      <w:r w:rsidRPr="007E001F">
        <w:rPr>
          <w:rStyle w:val="a5"/>
        </w:rPr>
        <w:t xml:space="preserve"> </w:t>
      </w:r>
      <w:r w:rsidRPr="007E001F">
        <w:tab/>
      </w:r>
      <w:r w:rsidRPr="007E001F">
        <w:t>《在环境问题上获得信息、公众参与决策和诉诸法律的公约</w:t>
      </w:r>
      <w:r>
        <w:rPr>
          <w:rFonts w:hint="eastAsia"/>
        </w:rPr>
        <w:t>》</w:t>
      </w:r>
      <w:r>
        <w:rPr>
          <w:rFonts w:hint="eastAsia"/>
        </w:rPr>
        <w:t>(</w:t>
      </w:r>
      <w:r w:rsidRPr="007E001F">
        <w:rPr>
          <w:rFonts w:hint="eastAsia"/>
        </w:rPr>
        <w:t>1998</w:t>
      </w:r>
      <w:r w:rsidRPr="007E001F">
        <w:rPr>
          <w:rFonts w:hint="eastAsia"/>
        </w:rPr>
        <w:t>年</w:t>
      </w:r>
      <w:r w:rsidRPr="007E001F">
        <w:rPr>
          <w:rFonts w:hint="eastAsia"/>
        </w:rPr>
        <w:t>6</w:t>
      </w:r>
      <w:r w:rsidRPr="007E001F">
        <w:rPr>
          <w:rFonts w:hint="eastAsia"/>
        </w:rPr>
        <w:t>月</w:t>
      </w:r>
      <w:r w:rsidRPr="007E001F">
        <w:rPr>
          <w:rFonts w:hint="eastAsia"/>
        </w:rPr>
        <w:t>28</w:t>
      </w:r>
      <w:r w:rsidRPr="007E001F">
        <w:rPr>
          <w:rFonts w:hint="eastAsia"/>
        </w:rPr>
        <w:t>日，奥胡斯</w:t>
      </w:r>
      <w:r>
        <w:rPr>
          <w:rFonts w:hint="eastAsia"/>
        </w:rPr>
        <w:t>)</w:t>
      </w:r>
      <w:r w:rsidRPr="007E001F">
        <w:rPr>
          <w:rFonts w:hint="eastAsia"/>
        </w:rPr>
        <w:t>，联合国</w:t>
      </w:r>
      <w:r>
        <w:rPr>
          <w:rFonts w:eastAsiaTheme="minorEastAsia" w:hint="eastAsia"/>
        </w:rPr>
        <w:t>，</w:t>
      </w:r>
      <w:r w:rsidRPr="007E001F">
        <w:rPr>
          <w:rFonts w:hint="eastAsia"/>
        </w:rPr>
        <w:t>《条约汇编》，第</w:t>
      </w:r>
      <w:r w:rsidRPr="007E001F">
        <w:rPr>
          <w:rFonts w:hint="eastAsia"/>
        </w:rPr>
        <w:t>2161</w:t>
      </w:r>
      <w:r w:rsidRPr="007E001F">
        <w:rPr>
          <w:rFonts w:hint="eastAsia"/>
        </w:rPr>
        <w:t>卷，第</w:t>
      </w:r>
      <w:r w:rsidRPr="007E001F">
        <w:rPr>
          <w:rFonts w:hint="eastAsia"/>
        </w:rPr>
        <w:t>37770</w:t>
      </w:r>
      <w:r w:rsidRPr="007E001F">
        <w:rPr>
          <w:rFonts w:hint="eastAsia"/>
        </w:rPr>
        <w:t>号，第</w:t>
      </w:r>
      <w:r w:rsidRPr="007E001F">
        <w:rPr>
          <w:rFonts w:hint="eastAsia"/>
        </w:rPr>
        <w:t>447</w:t>
      </w:r>
      <w:r w:rsidRPr="007E001F">
        <w:rPr>
          <w:rFonts w:hint="eastAsia"/>
        </w:rPr>
        <w:t>页。</w:t>
      </w:r>
    </w:p>
  </w:footnote>
  <w:footnote w:id="1270">
    <w:p w:rsidR="00AB00DE" w:rsidRPr="007E001F" w:rsidRDefault="00AB00DE" w:rsidP="006735D4">
      <w:pPr>
        <w:pStyle w:val="a4"/>
      </w:pPr>
      <w:r w:rsidRPr="007E001F">
        <w:tab/>
      </w:r>
      <w:r w:rsidRPr="00681AC8">
        <w:rPr>
          <w:rStyle w:val="a5"/>
        </w:rPr>
        <w:footnoteRef/>
      </w:r>
      <w:r w:rsidRPr="007E001F">
        <w:rPr>
          <w:rStyle w:val="a5"/>
        </w:rPr>
        <w:t xml:space="preserve"> </w:t>
      </w:r>
      <w:r w:rsidRPr="007E001F">
        <w:tab/>
      </w:r>
      <w:r w:rsidRPr="007E001F">
        <w:rPr>
          <w:rFonts w:hint="eastAsia"/>
        </w:rPr>
        <w:t>第</w:t>
      </w:r>
      <w:r w:rsidRPr="007E001F">
        <w:t>2</w:t>
      </w:r>
      <w:r w:rsidRPr="007E001F">
        <w:rPr>
          <w:rFonts w:hint="eastAsia"/>
        </w:rPr>
        <w:t>条第</w:t>
      </w:r>
      <w:r w:rsidRPr="007E001F">
        <w:t>6-7</w:t>
      </w:r>
      <w:r w:rsidRPr="007E001F">
        <w:rPr>
          <w:rFonts w:hint="eastAsia"/>
        </w:rPr>
        <w:t>款。</w:t>
      </w:r>
    </w:p>
  </w:footnote>
  <w:footnote w:id="1271">
    <w:p w:rsidR="00AB00DE" w:rsidRPr="007E001F" w:rsidRDefault="00AB00DE" w:rsidP="006735D4">
      <w:pPr>
        <w:pStyle w:val="a4"/>
        <w:rPr>
          <w:rFonts w:eastAsiaTheme="minorEastAsia"/>
        </w:rPr>
      </w:pPr>
      <w:r w:rsidRPr="007E001F">
        <w:tab/>
      </w:r>
      <w:r w:rsidRPr="00681AC8">
        <w:rPr>
          <w:rStyle w:val="a5"/>
        </w:rPr>
        <w:footnoteRef/>
      </w:r>
      <w:r w:rsidRPr="007E001F">
        <w:rPr>
          <w:rStyle w:val="a5"/>
        </w:rPr>
        <w:t xml:space="preserve"> </w:t>
      </w:r>
      <w:r w:rsidRPr="007E001F">
        <w:tab/>
      </w:r>
      <w:r w:rsidRPr="007E001F">
        <w:rPr>
          <w:rFonts w:eastAsiaTheme="minorEastAsia" w:hint="eastAsia"/>
        </w:rPr>
        <w:t>见</w:t>
      </w:r>
      <w:r w:rsidRPr="007E001F">
        <w:t>2015</w:t>
      </w:r>
      <w:r w:rsidRPr="007E001F">
        <w:rPr>
          <w:rFonts w:eastAsiaTheme="minorEastAsia" w:hint="eastAsia"/>
        </w:rPr>
        <w:t>年委员会第六十七届会议暂时通过的关于保护大气层的指南草案序言评注第</w:t>
      </w:r>
      <w:r>
        <w:rPr>
          <w:rFonts w:eastAsiaTheme="minorEastAsia" w:hint="eastAsia"/>
        </w:rPr>
        <w:t>(</w:t>
      </w:r>
      <w:r w:rsidRPr="007E001F">
        <w:rPr>
          <w:rFonts w:eastAsiaTheme="minorEastAsia" w:hint="eastAsia"/>
        </w:rPr>
        <w:t>2</w:t>
      </w:r>
      <w:r>
        <w:rPr>
          <w:rFonts w:eastAsiaTheme="minorEastAsia" w:hint="eastAsia"/>
        </w:rPr>
        <w:t>)</w:t>
      </w:r>
      <w:r w:rsidRPr="007E001F">
        <w:rPr>
          <w:rFonts w:eastAsiaTheme="minorEastAsia" w:hint="eastAsia"/>
        </w:rPr>
        <w:t>段，</w:t>
      </w:r>
      <w:r w:rsidRPr="007E001F">
        <w:rPr>
          <w:rFonts w:eastAsiaTheme="minorEastAsia" w:hint="eastAsia"/>
          <w:iCs/>
        </w:rPr>
        <w:t>《大会正式记录，第七十届会议，补编第</w:t>
      </w:r>
      <w:r w:rsidRPr="007E001F">
        <w:rPr>
          <w:rFonts w:eastAsiaTheme="minorEastAsia" w:hint="eastAsia"/>
          <w:iCs/>
        </w:rPr>
        <w:t>10</w:t>
      </w:r>
      <w:r w:rsidRPr="007E001F">
        <w:rPr>
          <w:rFonts w:eastAsiaTheme="minorEastAsia" w:hint="eastAsia"/>
          <w:iCs/>
        </w:rPr>
        <w:t>号》</w:t>
      </w:r>
      <w:r>
        <w:t>(</w:t>
      </w:r>
      <w:hyperlink r:id="rId285" w:history="1">
        <w:r w:rsidRPr="007E001F">
          <w:t>A/70/10</w:t>
        </w:r>
      </w:hyperlink>
      <w:r>
        <w:t>)</w:t>
      </w:r>
      <w:r w:rsidRPr="007E001F">
        <w:rPr>
          <w:rFonts w:eastAsiaTheme="minorEastAsia" w:hint="eastAsia"/>
        </w:rPr>
        <w:t>，第五章，</w:t>
      </w:r>
      <w:r w:rsidRPr="007E001F">
        <w:rPr>
          <w:rFonts w:eastAsiaTheme="minorEastAsia" w:hint="eastAsia"/>
        </w:rPr>
        <w:t>C</w:t>
      </w:r>
      <w:r w:rsidRPr="007E001F">
        <w:rPr>
          <w:rFonts w:eastAsiaTheme="minorEastAsia" w:hint="eastAsia"/>
        </w:rPr>
        <w:t>节。</w:t>
      </w:r>
    </w:p>
  </w:footnote>
  <w:footnote w:id="1272">
    <w:p w:rsidR="00AB00DE" w:rsidRPr="007E001F" w:rsidRDefault="00AB00DE" w:rsidP="006735D4">
      <w:pPr>
        <w:pStyle w:val="a4"/>
      </w:pPr>
      <w:r w:rsidRPr="007E001F">
        <w:tab/>
      </w:r>
      <w:r w:rsidRPr="00681AC8">
        <w:rPr>
          <w:rStyle w:val="a5"/>
        </w:rPr>
        <w:footnoteRef/>
      </w:r>
      <w:r w:rsidRPr="007E001F">
        <w:rPr>
          <w:rStyle w:val="a5"/>
        </w:rPr>
        <w:t xml:space="preserve"> </w:t>
      </w:r>
      <w:r w:rsidRPr="007E001F">
        <w:tab/>
      </w:r>
      <w:r w:rsidRPr="007E001F">
        <w:rPr>
          <w:rFonts w:eastAsiaTheme="minorEastAsia" w:hint="eastAsia"/>
        </w:rPr>
        <w:t>第</w:t>
      </w:r>
      <w:r w:rsidRPr="007E001F">
        <w:t>5</w:t>
      </w:r>
      <w:r w:rsidRPr="007E001F">
        <w:rPr>
          <w:rFonts w:eastAsiaTheme="minorEastAsia" w:hint="eastAsia"/>
        </w:rPr>
        <w:t>和第</w:t>
      </w:r>
      <w:r w:rsidRPr="007E001F">
        <w:rPr>
          <w:rFonts w:eastAsiaTheme="minorEastAsia" w:hint="eastAsia"/>
        </w:rPr>
        <w:t>6</w:t>
      </w:r>
      <w:r w:rsidRPr="007E001F">
        <w:rPr>
          <w:rFonts w:eastAsiaTheme="minorEastAsia" w:hint="eastAsia"/>
        </w:rPr>
        <w:t>条。委员会通过的条款草案及其评注，见</w:t>
      </w:r>
      <w:hyperlink r:id="rId286" w:history="1">
        <w:r w:rsidRPr="007E001F">
          <w:t>《</w:t>
        </w:r>
        <w:r w:rsidRPr="007E001F">
          <w:t>1994</w:t>
        </w:r>
        <w:r w:rsidRPr="007E001F">
          <w:t>年</w:t>
        </w:r>
        <w:r w:rsidRPr="007E001F">
          <w:rPr>
            <w:rFonts w:eastAsiaTheme="minorEastAsia" w:hint="eastAsia"/>
          </w:rPr>
          <w:t>……</w:t>
        </w:r>
        <w:r w:rsidRPr="007E001F">
          <w:t>年鉴》</w:t>
        </w:r>
      </w:hyperlink>
      <w:r w:rsidRPr="007E001F">
        <w:rPr>
          <w:rFonts w:eastAsiaTheme="minorEastAsia" w:hint="eastAsia"/>
        </w:rPr>
        <w:t>，第二卷</w:t>
      </w:r>
      <w:r>
        <w:t>(</w:t>
      </w:r>
      <w:r w:rsidRPr="007E001F">
        <w:rPr>
          <w:rFonts w:eastAsiaTheme="minorEastAsia" w:hint="eastAsia"/>
        </w:rPr>
        <w:t>第二部分</w:t>
      </w:r>
      <w:r>
        <w:t>)</w:t>
      </w:r>
      <w:r w:rsidRPr="007E001F">
        <w:rPr>
          <w:rFonts w:eastAsiaTheme="minorEastAsia" w:hint="eastAsia"/>
        </w:rPr>
        <w:t>，第三章，</w:t>
      </w:r>
      <w:r w:rsidRPr="007E001F">
        <w:rPr>
          <w:rFonts w:eastAsiaTheme="minorEastAsia" w:hint="eastAsia"/>
        </w:rPr>
        <w:t>E</w:t>
      </w:r>
      <w:r w:rsidRPr="007E001F">
        <w:rPr>
          <w:rFonts w:eastAsiaTheme="minorEastAsia" w:hint="eastAsia"/>
        </w:rPr>
        <w:t>节。</w:t>
      </w:r>
    </w:p>
  </w:footnote>
  <w:footnote w:id="1273">
    <w:p w:rsidR="00AB00DE" w:rsidRPr="007E001F" w:rsidRDefault="00AB00DE" w:rsidP="006735D4">
      <w:pPr>
        <w:pStyle w:val="a4"/>
      </w:pPr>
      <w:r w:rsidRPr="007E001F">
        <w:tab/>
      </w:r>
      <w:r w:rsidRPr="00681AC8">
        <w:rPr>
          <w:rStyle w:val="a5"/>
        </w:rPr>
        <w:footnoteRef/>
      </w:r>
      <w:r w:rsidRPr="007E001F">
        <w:rPr>
          <w:rStyle w:val="a5"/>
        </w:rPr>
        <w:t xml:space="preserve"> </w:t>
      </w:r>
      <w:r w:rsidRPr="007E001F">
        <w:tab/>
      </w:r>
      <w:r w:rsidRPr="007E001F">
        <w:rPr>
          <w:rFonts w:eastAsiaTheme="minorEastAsia" w:hint="eastAsia"/>
        </w:rPr>
        <w:t>大会</w:t>
      </w:r>
      <w:r w:rsidRPr="007E001F">
        <w:rPr>
          <w:rFonts w:eastAsiaTheme="minorEastAsia" w:hint="eastAsia"/>
        </w:rPr>
        <w:t>2008</w:t>
      </w:r>
      <w:r w:rsidRPr="007E001F">
        <w:rPr>
          <w:rFonts w:eastAsiaTheme="minorEastAsia" w:hint="eastAsia"/>
        </w:rPr>
        <w:t>年</w:t>
      </w:r>
      <w:r w:rsidRPr="007E001F">
        <w:rPr>
          <w:rFonts w:eastAsiaTheme="minorEastAsia" w:hint="eastAsia"/>
        </w:rPr>
        <w:t>12</w:t>
      </w:r>
      <w:r w:rsidRPr="007E001F">
        <w:rPr>
          <w:rFonts w:eastAsiaTheme="minorEastAsia" w:hint="eastAsia"/>
        </w:rPr>
        <w:t>月</w:t>
      </w:r>
      <w:r w:rsidRPr="007E001F">
        <w:rPr>
          <w:rFonts w:eastAsiaTheme="minorEastAsia" w:hint="eastAsia"/>
        </w:rPr>
        <w:t>11</w:t>
      </w:r>
      <w:r w:rsidRPr="007E001F">
        <w:rPr>
          <w:rFonts w:eastAsiaTheme="minorEastAsia" w:hint="eastAsia"/>
        </w:rPr>
        <w:t>日第</w:t>
      </w:r>
      <w:hyperlink r:id="rId287" w:history="1">
        <w:r w:rsidRPr="007E001F">
          <w:t>63/124</w:t>
        </w:r>
      </w:hyperlink>
      <w:r w:rsidRPr="007E001F">
        <w:rPr>
          <w:rFonts w:eastAsiaTheme="minorEastAsia" w:hint="eastAsia"/>
        </w:rPr>
        <w:t>号决议，附件，第</w:t>
      </w:r>
      <w:r w:rsidRPr="007E001F">
        <w:t>4-5</w:t>
      </w:r>
      <w:r w:rsidRPr="007E001F">
        <w:rPr>
          <w:rFonts w:eastAsiaTheme="minorEastAsia" w:hint="eastAsia"/>
        </w:rPr>
        <w:t>条。委员会通过的条款草案及其评注，见</w:t>
      </w:r>
      <w:hyperlink r:id="rId288" w:history="1">
        <w:r w:rsidRPr="007E001F">
          <w:t>《</w:t>
        </w:r>
        <w:r w:rsidRPr="007E001F">
          <w:t>2008</w:t>
        </w:r>
        <w:r w:rsidRPr="007E001F">
          <w:t>年</w:t>
        </w:r>
        <w:r w:rsidRPr="007E001F">
          <w:rPr>
            <w:rFonts w:eastAsiaTheme="minorEastAsia" w:hint="eastAsia"/>
          </w:rPr>
          <w:t>……</w:t>
        </w:r>
        <w:r w:rsidRPr="007E001F">
          <w:t>年鉴》</w:t>
        </w:r>
      </w:hyperlink>
      <w:r w:rsidRPr="007E001F">
        <w:rPr>
          <w:rFonts w:eastAsiaTheme="minorEastAsia" w:hint="eastAsia"/>
        </w:rPr>
        <w:t>，第二卷</w:t>
      </w:r>
      <w:r>
        <w:rPr>
          <w:rFonts w:eastAsiaTheme="minorEastAsia" w:hint="eastAsia"/>
        </w:rPr>
        <w:t>(</w:t>
      </w:r>
      <w:r w:rsidRPr="007E001F">
        <w:rPr>
          <w:rFonts w:eastAsiaTheme="minorEastAsia" w:hint="eastAsia"/>
        </w:rPr>
        <w:t>第二部分</w:t>
      </w:r>
      <w:r>
        <w:rPr>
          <w:rFonts w:eastAsiaTheme="minorEastAsia" w:hint="eastAsia"/>
        </w:rPr>
        <w:t>)</w:t>
      </w:r>
      <w:r w:rsidRPr="007E001F">
        <w:rPr>
          <w:rFonts w:eastAsiaTheme="minorEastAsia" w:hint="eastAsia"/>
        </w:rPr>
        <w:t>，第四章，</w:t>
      </w:r>
      <w:r w:rsidRPr="007E001F">
        <w:rPr>
          <w:rFonts w:eastAsiaTheme="minorEastAsia" w:hint="eastAsia"/>
        </w:rPr>
        <w:t>E</w:t>
      </w:r>
      <w:r w:rsidRPr="007E001F">
        <w:rPr>
          <w:rFonts w:eastAsiaTheme="minorEastAsia" w:hint="eastAsia"/>
        </w:rPr>
        <w:t>节。</w:t>
      </w:r>
    </w:p>
  </w:footnote>
  <w:footnote w:id="1274">
    <w:p w:rsidR="00AB00DE" w:rsidRPr="008A21A7" w:rsidRDefault="00AB00DE" w:rsidP="006735D4">
      <w:pPr>
        <w:pStyle w:val="a4"/>
      </w:pPr>
      <w:r>
        <w:tab/>
      </w:r>
      <w:r w:rsidRPr="00681AC8">
        <w:rPr>
          <w:rStyle w:val="a5"/>
        </w:rPr>
        <w:footnoteRef/>
      </w:r>
      <w:r>
        <w:t xml:space="preserve"> </w:t>
      </w:r>
      <w:r>
        <w:tab/>
      </w:r>
      <w:r>
        <w:rPr>
          <w:rFonts w:eastAsiaTheme="minorEastAsia" w:hint="eastAsia"/>
        </w:rPr>
        <w:t>见下文指南草案</w:t>
      </w:r>
      <w:r>
        <w:rPr>
          <w:rFonts w:eastAsiaTheme="minorEastAsia" w:hint="eastAsia"/>
        </w:rPr>
        <w:t>7</w:t>
      </w:r>
      <w:r>
        <w:rPr>
          <w:rFonts w:eastAsiaTheme="minorEastAsia" w:hint="eastAsia"/>
        </w:rPr>
        <w:t>。</w:t>
      </w:r>
    </w:p>
  </w:footnote>
  <w:footnote w:id="1275">
    <w:p w:rsidR="00AB00DE" w:rsidRPr="007E001F" w:rsidRDefault="00AB00DE" w:rsidP="00334F8C">
      <w:pPr>
        <w:pStyle w:val="a4"/>
        <w:rPr>
          <w:rFonts w:eastAsiaTheme="minorEastAsia"/>
        </w:rPr>
      </w:pPr>
      <w:r w:rsidRPr="007E001F">
        <w:tab/>
      </w:r>
      <w:r w:rsidRPr="00681AC8">
        <w:rPr>
          <w:rStyle w:val="a5"/>
        </w:rPr>
        <w:footnoteRef/>
      </w:r>
      <w:r w:rsidRPr="007E001F">
        <w:rPr>
          <w:rStyle w:val="a5"/>
        </w:rPr>
        <w:t xml:space="preserve"> </w:t>
      </w:r>
      <w:r w:rsidRPr="007E001F">
        <w:tab/>
        <w:t>Gabčíkovo-Nagymaros</w:t>
      </w:r>
      <w:r w:rsidRPr="007E001F">
        <w:rPr>
          <w:rFonts w:ascii="楷体" w:eastAsia="楷体" w:hAnsi="楷体"/>
          <w:lang w:val="es-ES"/>
        </w:rPr>
        <w:t>项目案</w:t>
      </w:r>
      <w:r>
        <w:rPr>
          <w:iCs/>
        </w:rPr>
        <w:t>(</w:t>
      </w:r>
      <w:r w:rsidRPr="007E001F">
        <w:rPr>
          <w:rFonts w:eastAsiaTheme="minorEastAsia" w:hint="eastAsia"/>
          <w:iCs/>
          <w:lang w:val="es-ES"/>
        </w:rPr>
        <w:t>见上文脚注</w:t>
      </w:r>
      <w:r>
        <w:rPr>
          <w:rFonts w:asciiTheme="majorBidi" w:hAnsiTheme="majorBidi" w:cstheme="majorBidi"/>
          <w:iCs/>
        </w:rPr>
        <w:fldChar w:fldCharType="begin"/>
      </w:r>
      <w:r>
        <w:rPr>
          <w:rFonts w:asciiTheme="majorBidi" w:hAnsiTheme="majorBidi" w:cstheme="majorBidi"/>
          <w:iCs/>
        </w:rPr>
        <w:instrText xml:space="preserve"> NOTEREF _Ref455049189 \h  \* MERGEFORMAT </w:instrText>
      </w:r>
      <w:r>
        <w:rPr>
          <w:rFonts w:asciiTheme="majorBidi" w:hAnsiTheme="majorBidi" w:cstheme="majorBidi"/>
          <w:iCs/>
        </w:rPr>
      </w:r>
      <w:r>
        <w:rPr>
          <w:rFonts w:asciiTheme="majorBidi" w:hAnsiTheme="majorBidi" w:cstheme="majorBidi"/>
          <w:iCs/>
        </w:rPr>
        <w:fldChar w:fldCharType="separate"/>
      </w:r>
      <w:r w:rsidR="00A73EB9">
        <w:rPr>
          <w:rFonts w:asciiTheme="majorBidi" w:hAnsiTheme="majorBidi" w:cstheme="majorBidi"/>
          <w:iCs/>
        </w:rPr>
        <w:t>1251</w:t>
      </w:r>
      <w:r>
        <w:rPr>
          <w:rFonts w:asciiTheme="majorBidi" w:hAnsiTheme="majorBidi" w:cstheme="majorBidi"/>
          <w:iCs/>
        </w:rPr>
        <w:fldChar w:fldCharType="end"/>
      </w:r>
      <w:r>
        <w:rPr>
          <w:iCs/>
        </w:rPr>
        <w:t>)</w:t>
      </w:r>
      <w:r w:rsidRPr="007E001F">
        <w:rPr>
          <w:rFonts w:eastAsiaTheme="minorEastAsia" w:hint="eastAsia"/>
          <w:iCs/>
        </w:rPr>
        <w:t>，</w:t>
      </w:r>
      <w:r w:rsidRPr="007E001F">
        <w:rPr>
          <w:rFonts w:eastAsiaTheme="minorEastAsia" w:hint="eastAsia"/>
          <w:iCs/>
          <w:lang w:val="es-ES"/>
        </w:rPr>
        <w:t>第</w:t>
      </w:r>
      <w:r w:rsidRPr="007E001F">
        <w:rPr>
          <w:rFonts w:eastAsiaTheme="minorEastAsia" w:hint="eastAsia"/>
          <w:iCs/>
        </w:rPr>
        <w:t>78</w:t>
      </w:r>
      <w:r w:rsidRPr="007E001F">
        <w:rPr>
          <w:rFonts w:eastAsiaTheme="minorEastAsia" w:hint="eastAsia"/>
          <w:iCs/>
          <w:lang w:val="es-ES"/>
        </w:rPr>
        <w:t>页</w:t>
      </w:r>
      <w:r w:rsidRPr="007E001F">
        <w:rPr>
          <w:rFonts w:eastAsiaTheme="minorEastAsia" w:hint="eastAsia"/>
          <w:iCs/>
        </w:rPr>
        <w:t>，</w:t>
      </w:r>
      <w:r w:rsidRPr="007E001F">
        <w:rPr>
          <w:rFonts w:eastAsiaTheme="minorEastAsia" w:hint="eastAsia"/>
          <w:iCs/>
          <w:lang w:val="es-ES"/>
        </w:rPr>
        <w:t>第</w:t>
      </w:r>
      <w:r w:rsidRPr="007E001F">
        <w:t>140</w:t>
      </w:r>
      <w:r w:rsidRPr="007E001F">
        <w:rPr>
          <w:rFonts w:eastAsiaTheme="minorEastAsia" w:hint="eastAsia"/>
        </w:rPr>
        <w:t>段。</w:t>
      </w:r>
    </w:p>
  </w:footnote>
  <w:footnote w:id="1276">
    <w:p w:rsidR="00AB00DE" w:rsidRPr="007E001F" w:rsidRDefault="00AB00DE" w:rsidP="00ED18FA">
      <w:pPr>
        <w:pStyle w:val="a4"/>
        <w:spacing w:line="250" w:lineRule="exact"/>
        <w:rPr>
          <w:rFonts w:eastAsiaTheme="minorEastAsia"/>
        </w:rPr>
      </w:pPr>
      <w:r w:rsidRPr="007E001F">
        <w:tab/>
      </w:r>
      <w:r w:rsidRPr="00681AC8">
        <w:rPr>
          <w:rStyle w:val="a5"/>
        </w:rPr>
        <w:footnoteRef/>
      </w:r>
      <w:r w:rsidRPr="007E001F">
        <w:rPr>
          <w:rStyle w:val="a5"/>
        </w:rPr>
        <w:t xml:space="preserve"> </w:t>
      </w:r>
      <w:r w:rsidRPr="007E001F">
        <w:tab/>
      </w:r>
      <w:r w:rsidRPr="007E001F">
        <w:t>在</w:t>
      </w:r>
      <w:r w:rsidRPr="007E001F">
        <w:t>2006</w:t>
      </w:r>
      <w:r w:rsidRPr="007E001F">
        <w:t>年</w:t>
      </w:r>
      <w:r w:rsidRPr="007E001F">
        <w:rPr>
          <w:rFonts w:eastAsia="楷体" w:hint="eastAsia"/>
        </w:rPr>
        <w:t>纸浆厂案</w:t>
      </w:r>
      <w:r w:rsidRPr="007E001F">
        <w:rPr>
          <w:rFonts w:asciiTheme="majorEastAsia" w:eastAsiaTheme="majorEastAsia" w:hAnsiTheme="majorEastAsia" w:hint="eastAsia"/>
        </w:rPr>
        <w:t>的命令中</w:t>
      </w:r>
      <w:r w:rsidRPr="007E001F">
        <w:rPr>
          <w:rFonts w:ascii="宋体" w:hAnsi="宋体" w:cs="宋体" w:hint="eastAsia"/>
        </w:rPr>
        <w:t>，</w:t>
      </w:r>
      <w:r w:rsidRPr="007E001F">
        <w:rPr>
          <w:rFonts w:ascii="宋体" w:hAnsi="宋体" w:cs="宋体"/>
        </w:rPr>
        <w:t>国际法院着重强调</w:t>
      </w:r>
      <w:r w:rsidRPr="007E001F">
        <w:rPr>
          <w:rFonts w:ascii="宋体" w:hAnsi="宋体" w:cs="宋体" w:hint="eastAsia"/>
        </w:rPr>
        <w:t>了</w:t>
      </w:r>
      <w:r w:rsidRPr="007E001F">
        <w:rPr>
          <w:rFonts w:eastAsiaTheme="minorEastAsia" w:hint="eastAsia"/>
        </w:rPr>
        <w:t>“确保对共有自然资源予以环境保护同时允许可持续经济发展这一需要的重要性”</w:t>
      </w:r>
      <w:r>
        <w:t>(</w:t>
      </w:r>
      <w:r w:rsidRPr="007E001F">
        <w:rPr>
          <w:rFonts w:eastAsia="楷体" w:hint="eastAsia"/>
        </w:rPr>
        <w:t>乌拉圭河沿岸纸浆厂案</w:t>
      </w:r>
      <w:r>
        <w:rPr>
          <w:rFonts w:eastAsia="楷体" w:hint="eastAsia"/>
        </w:rPr>
        <w:t>(</w:t>
      </w:r>
      <w:r w:rsidRPr="007E001F">
        <w:rPr>
          <w:rFonts w:eastAsia="楷体" w:hint="eastAsia"/>
        </w:rPr>
        <w:t>阿根廷诉乌拉圭</w:t>
      </w:r>
      <w:r>
        <w:rPr>
          <w:rFonts w:eastAsia="楷体" w:hint="eastAsia"/>
        </w:rPr>
        <w:t>)</w:t>
      </w:r>
      <w:r w:rsidRPr="007E001F">
        <w:rPr>
          <w:rFonts w:eastAsiaTheme="minorEastAsia" w:hint="eastAsia"/>
        </w:rPr>
        <w:t>，临时措施，</w:t>
      </w:r>
      <w:hyperlink r:id="rId289" w:history="1">
        <w:r w:rsidRPr="007E001F">
          <w:t>2006</w:t>
        </w:r>
        <w:r w:rsidRPr="007E001F">
          <w:t>年</w:t>
        </w:r>
        <w:r w:rsidRPr="007E001F">
          <w:t>7</w:t>
        </w:r>
        <w:r w:rsidRPr="007E001F">
          <w:t>月</w:t>
        </w:r>
        <w:r w:rsidRPr="007E001F">
          <w:t>13</w:t>
        </w:r>
        <w:r w:rsidRPr="007E001F">
          <w:t>日的命令</w:t>
        </w:r>
      </w:hyperlink>
      <w:r w:rsidRPr="007E001F">
        <w:rPr>
          <w:rFonts w:eastAsiaTheme="minorEastAsia" w:hint="eastAsia"/>
        </w:rPr>
        <w:t>，</w:t>
      </w:r>
      <w:r w:rsidRPr="007E001F">
        <w:rPr>
          <w:rFonts w:asciiTheme="majorBidi" w:hAnsiTheme="majorBidi" w:cstheme="majorBidi"/>
        </w:rPr>
        <w:t>《</w:t>
      </w:r>
      <w:r w:rsidRPr="007E001F">
        <w:rPr>
          <w:rFonts w:asciiTheme="majorBidi" w:hAnsiTheme="majorBidi" w:cstheme="majorBidi"/>
        </w:rPr>
        <w:t>20</w:t>
      </w:r>
      <w:r w:rsidRPr="007E001F">
        <w:rPr>
          <w:rFonts w:asciiTheme="majorBidi" w:eastAsiaTheme="minorEastAsia" w:hAnsiTheme="majorBidi" w:cstheme="majorBidi" w:hint="eastAsia"/>
        </w:rPr>
        <w:t>06</w:t>
      </w:r>
      <w:r w:rsidRPr="007E001F">
        <w:rPr>
          <w:rFonts w:asciiTheme="majorBidi" w:hAnsiTheme="majorBidi" w:cstheme="majorBidi"/>
        </w:rPr>
        <w:t>年国际法院案例汇编》</w:t>
      </w:r>
      <w:r w:rsidRPr="007E001F">
        <w:rPr>
          <w:rFonts w:eastAsiaTheme="minorEastAsia" w:hint="eastAsia"/>
          <w:iCs/>
        </w:rPr>
        <w:t>，第</w:t>
      </w:r>
      <w:r w:rsidRPr="007E001F">
        <w:rPr>
          <w:iCs/>
        </w:rPr>
        <w:t>113</w:t>
      </w:r>
      <w:r w:rsidRPr="007E001F">
        <w:rPr>
          <w:rFonts w:eastAsiaTheme="minorEastAsia" w:hint="eastAsia"/>
          <w:iCs/>
        </w:rPr>
        <w:t>页起，见第</w:t>
      </w:r>
      <w:r w:rsidRPr="007E001F">
        <w:t>133</w:t>
      </w:r>
      <w:r w:rsidRPr="007E001F">
        <w:rPr>
          <w:rFonts w:eastAsiaTheme="minorEastAsia" w:hint="eastAsia"/>
        </w:rPr>
        <w:t>页，第</w:t>
      </w:r>
      <w:r w:rsidRPr="007E001F">
        <w:t>80</w:t>
      </w:r>
      <w:r w:rsidRPr="007E001F">
        <w:rPr>
          <w:rFonts w:eastAsiaTheme="minorEastAsia" w:hint="eastAsia"/>
        </w:rPr>
        <w:t>段</w:t>
      </w:r>
      <w:r>
        <w:t>)</w:t>
      </w:r>
      <w:r w:rsidRPr="007E001F">
        <w:rPr>
          <w:rFonts w:eastAsiaTheme="minorEastAsia" w:hint="eastAsia"/>
        </w:rPr>
        <w:t>；</w:t>
      </w:r>
      <w:r w:rsidRPr="007E001F">
        <w:rPr>
          <w:rFonts w:ascii="宋体" w:hAnsi="宋体" w:cs="宋体"/>
        </w:rPr>
        <w:t>世贸组织上诉机构</w:t>
      </w:r>
      <w:r w:rsidRPr="007E001F">
        <w:t>1998</w:t>
      </w:r>
      <w:r w:rsidRPr="007E001F">
        <w:rPr>
          <w:rFonts w:ascii="宋体" w:hAnsi="宋体" w:cs="宋体" w:hint="eastAsia"/>
        </w:rPr>
        <w:t>年关于</w:t>
      </w:r>
      <w:r w:rsidRPr="007E001F">
        <w:rPr>
          <w:rFonts w:eastAsia="楷体" w:hint="eastAsia"/>
        </w:rPr>
        <w:t>美国－禁止进口特定虾类和虾类制品案</w:t>
      </w:r>
      <w:r w:rsidRPr="007E001F">
        <w:rPr>
          <w:rFonts w:ascii="宋体" w:hAnsi="宋体" w:cs="宋体"/>
        </w:rPr>
        <w:t>的决定指出</w:t>
      </w:r>
      <w:r w:rsidRPr="007E001F">
        <w:rPr>
          <w:rFonts w:eastAsiaTheme="minorEastAsia" w:hint="eastAsia"/>
        </w:rPr>
        <w:t>，“回顾世贸组织成员在《世贸组织协定》序言中明确确认了可持续发展的目标，我们认为，已经不能再认为</w:t>
      </w:r>
      <w:r w:rsidRPr="007E001F">
        <w:rPr>
          <w:rFonts w:eastAsiaTheme="minorEastAsia" w:hint="eastAsia"/>
        </w:rPr>
        <w:t>1994</w:t>
      </w:r>
      <w:r w:rsidRPr="007E001F">
        <w:rPr>
          <w:rFonts w:eastAsiaTheme="minorEastAsia" w:hint="eastAsia"/>
        </w:rPr>
        <w:t>年《关税与贸易总协定》第</w:t>
      </w:r>
      <w:r w:rsidRPr="007E001F">
        <w:rPr>
          <w:rFonts w:eastAsiaTheme="minorEastAsia" w:hint="eastAsia"/>
        </w:rPr>
        <w:t>20</w:t>
      </w:r>
      <w:r w:rsidRPr="007E001F">
        <w:rPr>
          <w:rFonts w:eastAsiaTheme="minorEastAsia" w:hint="eastAsia"/>
        </w:rPr>
        <w:t>条</w:t>
      </w:r>
      <w:r>
        <w:rPr>
          <w:rFonts w:eastAsiaTheme="minorEastAsia" w:hint="eastAsia"/>
        </w:rPr>
        <w:t>(</w:t>
      </w:r>
      <w:r w:rsidRPr="007E001F">
        <w:rPr>
          <w:rFonts w:eastAsiaTheme="minorEastAsia" w:hint="eastAsia"/>
        </w:rPr>
        <w:t>g</w:t>
      </w:r>
      <w:r>
        <w:rPr>
          <w:rFonts w:eastAsiaTheme="minorEastAsia" w:hint="eastAsia"/>
        </w:rPr>
        <w:t>)</w:t>
      </w:r>
      <w:r w:rsidRPr="007E001F">
        <w:rPr>
          <w:rFonts w:eastAsiaTheme="minorEastAsia" w:hint="eastAsia"/>
        </w:rPr>
        <w:t>款可解释为只包括对可用尽的矿物或其他非生物资源的保护”</w:t>
      </w:r>
      <w:r>
        <w:t>(</w:t>
      </w:r>
      <w:r w:rsidRPr="007E001F">
        <w:rPr>
          <w:rFonts w:ascii="宋体" w:hAnsi="宋体" w:cs="宋体" w:hint="eastAsia"/>
          <w:color w:val="000000"/>
        </w:rPr>
        <w:t>上诉</w:t>
      </w:r>
      <w:r w:rsidRPr="007E001F">
        <w:rPr>
          <w:rFonts w:ascii="宋体" w:hAnsi="宋体" w:cs="宋体"/>
          <w:color w:val="000000"/>
        </w:rPr>
        <w:t>机构报告</w:t>
      </w:r>
      <w:r w:rsidRPr="007E001F">
        <w:rPr>
          <w:rFonts w:ascii="宋体" w:hAnsi="宋体" w:cs="宋体" w:hint="eastAsia"/>
          <w:color w:val="000000"/>
        </w:rPr>
        <w:t>，</w:t>
      </w:r>
      <w:r w:rsidRPr="007E001F">
        <w:rPr>
          <w:rFonts w:eastAsia="楷体" w:hint="eastAsia"/>
        </w:rPr>
        <w:t>美国－禁止进口特定虾类和虾类制品案</w:t>
      </w:r>
      <w:r w:rsidRPr="007E001F">
        <w:rPr>
          <w:rFonts w:eastAsiaTheme="minorEastAsia" w:hint="eastAsia"/>
          <w:color w:val="000000"/>
        </w:rPr>
        <w:t>，</w:t>
      </w:r>
      <w:hyperlink r:id="rId290" w:history="1">
        <w:r w:rsidRPr="007E001F">
          <w:t>WT/DS58/AB/R</w:t>
        </w:r>
      </w:hyperlink>
      <w:r w:rsidRPr="007E001F">
        <w:rPr>
          <w:color w:val="000000"/>
        </w:rPr>
        <w:t>，</w:t>
      </w:r>
      <w:r w:rsidRPr="007E001F">
        <w:rPr>
          <w:color w:val="000000"/>
        </w:rPr>
        <w:t>1998</w:t>
      </w:r>
      <w:r w:rsidRPr="007E001F">
        <w:rPr>
          <w:color w:val="000000"/>
        </w:rPr>
        <w:t>年</w:t>
      </w:r>
      <w:r w:rsidRPr="007E001F">
        <w:rPr>
          <w:color w:val="000000"/>
        </w:rPr>
        <w:t>11</w:t>
      </w:r>
      <w:r w:rsidRPr="007E001F">
        <w:rPr>
          <w:color w:val="000000"/>
        </w:rPr>
        <w:t>月</w:t>
      </w:r>
      <w:r w:rsidRPr="007E001F">
        <w:rPr>
          <w:color w:val="000000"/>
        </w:rPr>
        <w:t>6</w:t>
      </w:r>
      <w:r w:rsidRPr="007E001F">
        <w:rPr>
          <w:color w:val="000000"/>
        </w:rPr>
        <w:t>日通过，第</w:t>
      </w:r>
      <w:r w:rsidRPr="007E001F">
        <w:rPr>
          <w:color w:val="000000"/>
        </w:rPr>
        <w:t>131</w:t>
      </w:r>
      <w:r w:rsidRPr="007E001F">
        <w:rPr>
          <w:rFonts w:ascii="宋体" w:hAnsi="宋体" w:cs="宋体"/>
          <w:color w:val="000000"/>
        </w:rPr>
        <w:t>段</w:t>
      </w:r>
      <w:r w:rsidRPr="007E001F">
        <w:rPr>
          <w:rFonts w:ascii="宋体" w:hAnsi="宋体" w:cs="宋体" w:hint="eastAsia"/>
          <w:color w:val="000000"/>
        </w:rPr>
        <w:t>，</w:t>
      </w:r>
      <w:r w:rsidRPr="007E001F">
        <w:rPr>
          <w:rFonts w:ascii="宋体" w:hAnsi="宋体" w:cs="宋体"/>
          <w:color w:val="000000"/>
        </w:rPr>
        <w:t>另见第</w:t>
      </w:r>
      <w:r w:rsidRPr="007E001F">
        <w:rPr>
          <w:color w:val="000000"/>
        </w:rPr>
        <w:t>129</w:t>
      </w:r>
      <w:r w:rsidRPr="007E001F">
        <w:rPr>
          <w:rFonts w:ascii="宋体" w:hAnsi="宋体" w:cs="宋体"/>
          <w:color w:val="000000"/>
        </w:rPr>
        <w:t>和第</w:t>
      </w:r>
      <w:r w:rsidRPr="007E001F">
        <w:rPr>
          <w:color w:val="000000"/>
        </w:rPr>
        <w:t>153</w:t>
      </w:r>
      <w:r w:rsidRPr="007E001F">
        <w:rPr>
          <w:rFonts w:ascii="宋体" w:hAnsi="宋体" w:cs="宋体"/>
          <w:color w:val="000000"/>
        </w:rPr>
        <w:t>段</w:t>
      </w:r>
      <w:r>
        <w:t>)</w:t>
      </w:r>
      <w:r w:rsidRPr="007E001F">
        <w:rPr>
          <w:rFonts w:ascii="宋体" w:hAnsi="宋体" w:cs="宋体" w:hint="eastAsia"/>
        </w:rPr>
        <w:t>；在</w:t>
      </w:r>
      <w:r w:rsidRPr="007E001F">
        <w:rPr>
          <w:rFonts w:asciiTheme="majorBidi" w:hAnsiTheme="majorBidi" w:cstheme="majorBidi"/>
        </w:rPr>
        <w:t>2005</w:t>
      </w:r>
      <w:r w:rsidRPr="007E001F">
        <w:rPr>
          <w:rFonts w:ascii="宋体" w:hAnsi="宋体" w:cs="宋体" w:hint="eastAsia"/>
        </w:rPr>
        <w:t>年</w:t>
      </w:r>
      <w:r w:rsidRPr="007E001F">
        <w:rPr>
          <w:rFonts w:eastAsia="楷体" w:hint="eastAsia"/>
        </w:rPr>
        <w:t>莱茵铁路公司</w:t>
      </w:r>
      <w:r w:rsidRPr="007E001F">
        <w:rPr>
          <w:rFonts w:hint="eastAsia"/>
        </w:rPr>
        <w:t>仲裁案中，仲裁庭认定如下：</w:t>
      </w:r>
      <w:r w:rsidRPr="007E001F">
        <w:rPr>
          <w:rFonts w:eastAsiaTheme="minorEastAsia" w:hint="eastAsia"/>
        </w:rPr>
        <w:t>“在环境法领域中，对以下问题存在不少争议，什么属于</w:t>
      </w:r>
      <w:r w:rsidRPr="007E001F">
        <w:rPr>
          <w:rFonts w:asciiTheme="minorEastAsia" w:eastAsiaTheme="minorEastAsia" w:hAnsiTheme="minorEastAsia" w:hint="eastAsia"/>
        </w:rPr>
        <w:t>‘</w:t>
      </w:r>
      <w:r w:rsidRPr="007E001F">
        <w:rPr>
          <w:rFonts w:eastAsiaTheme="minorEastAsia" w:hint="eastAsia"/>
        </w:rPr>
        <w:t>原则</w:t>
      </w:r>
      <w:r w:rsidRPr="007E001F">
        <w:rPr>
          <w:rFonts w:asciiTheme="minorEastAsia" w:eastAsiaTheme="minorEastAsia" w:hAnsiTheme="minorEastAsia" w:hint="eastAsia"/>
        </w:rPr>
        <w:t>’</w:t>
      </w:r>
      <w:r w:rsidRPr="007E001F">
        <w:rPr>
          <w:rFonts w:eastAsiaTheme="minorEastAsia" w:hint="eastAsia"/>
        </w:rPr>
        <w:t>，什么属于</w:t>
      </w:r>
      <w:r w:rsidRPr="007E001F">
        <w:rPr>
          <w:rFonts w:asciiTheme="minorEastAsia" w:eastAsiaTheme="minorEastAsia" w:hAnsiTheme="minorEastAsia" w:hint="eastAsia"/>
        </w:rPr>
        <w:t>‘</w:t>
      </w:r>
      <w:r w:rsidRPr="007E001F">
        <w:rPr>
          <w:rFonts w:eastAsiaTheme="minorEastAsia" w:hint="eastAsia"/>
        </w:rPr>
        <w:t>规则</w:t>
      </w:r>
      <w:r w:rsidRPr="007E001F">
        <w:rPr>
          <w:rFonts w:asciiTheme="minorEastAsia" w:eastAsiaTheme="minorEastAsia" w:hAnsiTheme="minorEastAsia" w:hint="eastAsia"/>
        </w:rPr>
        <w:t>’</w:t>
      </w:r>
      <w:r w:rsidRPr="007E001F">
        <w:rPr>
          <w:rFonts w:eastAsiaTheme="minorEastAsia" w:hint="eastAsia"/>
        </w:rPr>
        <w:t>：什么是</w:t>
      </w:r>
      <w:r w:rsidRPr="007E001F">
        <w:rPr>
          <w:rFonts w:asciiTheme="minorEastAsia" w:eastAsiaTheme="minorEastAsia" w:hAnsiTheme="minorEastAsia" w:hint="eastAsia"/>
        </w:rPr>
        <w:t>‘</w:t>
      </w:r>
      <w:r w:rsidRPr="007E001F">
        <w:rPr>
          <w:rFonts w:eastAsiaTheme="minorEastAsia" w:hint="eastAsia"/>
        </w:rPr>
        <w:t>软</w:t>
      </w:r>
      <w:r w:rsidRPr="007E001F">
        <w:rPr>
          <w:rFonts w:asciiTheme="minorEastAsia" w:eastAsiaTheme="minorEastAsia" w:hAnsiTheme="minorEastAsia" w:hint="eastAsia"/>
        </w:rPr>
        <w:t>’</w:t>
      </w:r>
      <w:r w:rsidRPr="007E001F">
        <w:rPr>
          <w:rFonts w:eastAsiaTheme="minorEastAsia" w:hint="eastAsia"/>
        </w:rPr>
        <w:t>法；哪些环境条约法或原则对习惯国际法的发展作出了贡献。……新出现的原则，不论其当前地位如何，均提到……可持续发展。……重要的是，这些新出现的原则现在使环境保护成为了发展进程的一部分。环境法与发展法不是相互替代的关系，而是相互增强的一体的概念，要求是，若发展可能对环境造成显著危害，则有义务防止或至少减缓这种危害。……本庭认为，这一义务已成为了一项一般国际法原则”，</w:t>
      </w:r>
      <w:hyperlink r:id="rId291" w:history="1">
        <w:r w:rsidRPr="007E001F">
          <w:rPr>
            <w:rFonts w:eastAsia="楷体"/>
          </w:rPr>
          <w:t>莱茵铁路公司案</w:t>
        </w:r>
      </w:hyperlink>
      <w:r>
        <w:rPr>
          <w:iCs/>
        </w:rPr>
        <w:t>(</w:t>
      </w:r>
      <w:r w:rsidRPr="007E001F">
        <w:rPr>
          <w:rFonts w:ascii="宋体" w:hAnsi="宋体" w:cs="宋体"/>
          <w:iCs/>
        </w:rPr>
        <w:t>见上文脚注</w:t>
      </w:r>
      <w:r>
        <w:rPr>
          <w:rFonts w:asciiTheme="majorBidi" w:hAnsiTheme="majorBidi" w:cstheme="majorBidi"/>
          <w:iCs/>
        </w:rPr>
        <w:fldChar w:fldCharType="begin"/>
      </w:r>
      <w:r>
        <w:rPr>
          <w:rFonts w:asciiTheme="majorBidi" w:hAnsiTheme="majorBidi" w:cstheme="majorBidi"/>
          <w:iCs/>
        </w:rPr>
        <w:instrText xml:space="preserve"> NOTEREF _Ref455049189 \h  \* MERGEFORMAT </w:instrText>
      </w:r>
      <w:r>
        <w:rPr>
          <w:rFonts w:asciiTheme="majorBidi" w:hAnsiTheme="majorBidi" w:cstheme="majorBidi"/>
          <w:iCs/>
        </w:rPr>
      </w:r>
      <w:r>
        <w:rPr>
          <w:rFonts w:asciiTheme="majorBidi" w:hAnsiTheme="majorBidi" w:cstheme="majorBidi"/>
          <w:iCs/>
        </w:rPr>
        <w:fldChar w:fldCharType="separate"/>
      </w:r>
      <w:r w:rsidR="00A73EB9">
        <w:rPr>
          <w:rFonts w:asciiTheme="majorBidi" w:hAnsiTheme="majorBidi" w:cstheme="majorBidi"/>
          <w:iCs/>
        </w:rPr>
        <w:t>1251</w:t>
      </w:r>
      <w:r>
        <w:rPr>
          <w:rFonts w:asciiTheme="majorBidi" w:hAnsiTheme="majorBidi" w:cstheme="majorBidi"/>
          <w:iCs/>
        </w:rPr>
        <w:fldChar w:fldCharType="end"/>
      </w:r>
      <w:r>
        <w:rPr>
          <w:iCs/>
        </w:rPr>
        <w:t>)</w:t>
      </w:r>
      <w:r w:rsidRPr="007E001F">
        <w:rPr>
          <w:rFonts w:ascii="宋体" w:hAnsi="宋体" w:cs="宋体" w:hint="eastAsia"/>
          <w:iCs/>
        </w:rPr>
        <w:t>，</w:t>
      </w:r>
      <w:r w:rsidRPr="007E001F">
        <w:rPr>
          <w:rFonts w:ascii="宋体" w:hAnsi="宋体" w:cs="宋体"/>
          <w:iCs/>
        </w:rPr>
        <w:t>第</w:t>
      </w:r>
      <w:r w:rsidRPr="007E001F">
        <w:t>58-59</w:t>
      </w:r>
      <w:r w:rsidRPr="007E001F">
        <w:rPr>
          <w:rFonts w:ascii="宋体" w:hAnsi="宋体" w:cs="宋体"/>
        </w:rPr>
        <w:t>段</w:t>
      </w:r>
      <w:r w:rsidRPr="007E001F">
        <w:rPr>
          <w:rFonts w:ascii="宋体" w:hAnsi="宋体" w:cs="宋体" w:hint="eastAsia"/>
        </w:rPr>
        <w:t>；</w:t>
      </w:r>
      <w:r w:rsidRPr="007E001F">
        <w:t>2013</w:t>
      </w:r>
      <w:r w:rsidRPr="007E001F">
        <w:rPr>
          <w:rFonts w:eastAsiaTheme="minorEastAsia" w:hint="eastAsia"/>
        </w:rPr>
        <w:t>年</w:t>
      </w:r>
      <w:r w:rsidRPr="007E001F">
        <w:rPr>
          <w:rFonts w:eastAsia="楷体" w:hint="eastAsia"/>
          <w:iCs/>
        </w:rPr>
        <w:t>印度河水域吉申甘加河仲裁案</w:t>
      </w:r>
      <w:r>
        <w:rPr>
          <w:rFonts w:eastAsia="楷体"/>
          <w:iCs/>
        </w:rPr>
        <w:t>(</w:t>
      </w:r>
      <w:r w:rsidRPr="007E001F">
        <w:rPr>
          <w:rFonts w:eastAsia="楷体" w:hint="eastAsia"/>
          <w:iCs/>
        </w:rPr>
        <w:t>巴基斯坦诉印度</w:t>
      </w:r>
      <w:r>
        <w:rPr>
          <w:rFonts w:eastAsia="楷体"/>
          <w:iCs/>
        </w:rPr>
        <w:t>)</w:t>
      </w:r>
      <w:r w:rsidRPr="007E001F">
        <w:rPr>
          <w:rFonts w:eastAsiaTheme="minorEastAsia" w:hint="eastAsia"/>
        </w:rPr>
        <w:t>部分裁决中写道：“无疑，根据当代习惯国际法，各国在规划和开发可能对邻国造成损害的项目时，必须考虑到环境保护问题，自</w:t>
      </w:r>
      <w:r w:rsidRPr="007E001F">
        <w:rPr>
          <w:rFonts w:eastAsia="楷体" w:hint="eastAsia"/>
        </w:rPr>
        <w:t>特雷尔冶炼厂案</w:t>
      </w:r>
      <w:r w:rsidRPr="007E001F">
        <w:rPr>
          <w:rFonts w:eastAsiaTheme="minorEastAsia" w:hint="eastAsia"/>
        </w:rPr>
        <w:t>的时代以来，一系列国际……仲裁裁决均提到了以可持续方式管理自然资源的必要性。特别是，国际法院在</w:t>
      </w:r>
      <w:r w:rsidRPr="007E001F">
        <w:t>Gabčíkovo-N</w:t>
      </w:r>
      <w:r w:rsidRPr="007E001F">
        <w:rPr>
          <w:iCs/>
        </w:rPr>
        <w:t>agymaros</w:t>
      </w:r>
      <w:r w:rsidRPr="007E001F">
        <w:rPr>
          <w:rFonts w:ascii="楷体" w:eastAsia="楷体" w:hAnsi="楷体"/>
          <w:iCs/>
        </w:rPr>
        <w:t>项目案</w:t>
      </w:r>
      <w:r w:rsidRPr="007E001F">
        <w:rPr>
          <w:rFonts w:ascii="楷体" w:eastAsiaTheme="majorEastAsia" w:hAnsi="楷体" w:hint="eastAsia"/>
          <w:iCs/>
        </w:rPr>
        <w:t>中阐释了</w:t>
      </w:r>
      <w:r w:rsidRPr="007E001F">
        <w:rPr>
          <w:rFonts w:asciiTheme="minorEastAsia" w:eastAsiaTheme="minorEastAsia" w:hAnsiTheme="minorEastAsia" w:hint="eastAsia"/>
        </w:rPr>
        <w:t>‘</w:t>
      </w:r>
      <w:r w:rsidRPr="007E001F">
        <w:rPr>
          <w:rFonts w:eastAsiaTheme="minorEastAsia" w:hint="eastAsia"/>
        </w:rPr>
        <w:t>可持续发展</w:t>
      </w:r>
      <w:r w:rsidRPr="007E001F">
        <w:rPr>
          <w:rFonts w:asciiTheme="minorEastAsia" w:eastAsiaTheme="minorEastAsia" w:hAnsiTheme="minorEastAsia" w:hint="eastAsia"/>
        </w:rPr>
        <w:t>’原则，提到‘</w:t>
      </w:r>
      <w:r w:rsidRPr="007E001F">
        <w:rPr>
          <w:rFonts w:ascii="楷体" w:eastAsiaTheme="majorEastAsia" w:hAnsi="楷体" w:hint="eastAsia"/>
          <w:lang w:val="es-ES"/>
        </w:rPr>
        <w:t>需要调和环境保护与经济发展</w:t>
      </w:r>
      <w:r w:rsidRPr="007E001F">
        <w:rPr>
          <w:rFonts w:asciiTheme="minorEastAsia" w:eastAsiaTheme="minorEastAsia" w:hAnsiTheme="minorEastAsia" w:hint="eastAsia"/>
        </w:rPr>
        <w:t>’”</w:t>
      </w:r>
      <w:r>
        <w:t>(</w:t>
      </w:r>
      <w:r w:rsidRPr="007E001F">
        <w:rPr>
          <w:rFonts w:hint="eastAsia"/>
        </w:rPr>
        <w:t>《常设仲裁法院裁决汇编》</w:t>
      </w:r>
      <w:r w:rsidRPr="007E001F">
        <w:rPr>
          <w:rFonts w:eastAsiaTheme="minorEastAsia" w:hint="eastAsia"/>
        </w:rPr>
        <w:t>，</w:t>
      </w:r>
      <w:r w:rsidRPr="007E001F">
        <w:rPr>
          <w:rFonts w:eastAsia="楷体" w:hint="eastAsia"/>
          <w:iCs/>
        </w:rPr>
        <w:t>印度河水域吉申甘加河仲裁案</w:t>
      </w:r>
      <w:r>
        <w:rPr>
          <w:rFonts w:eastAsia="楷体"/>
          <w:iCs/>
        </w:rPr>
        <w:t>(</w:t>
      </w:r>
      <w:r w:rsidRPr="007E001F">
        <w:rPr>
          <w:rFonts w:eastAsia="楷体" w:hint="eastAsia"/>
          <w:iCs/>
        </w:rPr>
        <w:t>巴基斯坦诉印度</w:t>
      </w:r>
      <w:r>
        <w:rPr>
          <w:rFonts w:eastAsia="楷体"/>
          <w:iCs/>
        </w:rPr>
        <w:t>)</w:t>
      </w:r>
      <w:r w:rsidRPr="007E001F">
        <w:rPr>
          <w:rFonts w:eastAsiaTheme="minorEastAsia" w:hint="eastAsia"/>
          <w:iCs/>
        </w:rPr>
        <w:t>：《</w:t>
      </w:r>
      <w:r w:rsidRPr="007E001F">
        <w:rPr>
          <w:rFonts w:eastAsiaTheme="minorEastAsia" w:hint="eastAsia"/>
          <w:iCs/>
        </w:rPr>
        <w:t>2010-2013</w:t>
      </w:r>
      <w:r w:rsidRPr="007E001F">
        <w:rPr>
          <w:rFonts w:eastAsiaTheme="minorEastAsia" w:hint="eastAsia"/>
          <w:iCs/>
        </w:rPr>
        <w:t>年诉讼记录》，</w:t>
      </w:r>
      <w:hyperlink r:id="rId292" w:history="1">
        <w:r w:rsidRPr="007E001F">
          <w:t>2013</w:t>
        </w:r>
        <w:r w:rsidRPr="007E001F">
          <w:t>年</w:t>
        </w:r>
        <w:r w:rsidRPr="007E001F">
          <w:t>2</w:t>
        </w:r>
        <w:r w:rsidRPr="007E001F">
          <w:t>月</w:t>
        </w:r>
        <w:r w:rsidRPr="007E001F">
          <w:t>18</w:t>
        </w:r>
        <w:r w:rsidRPr="007E001F">
          <w:t>日的部分裁决</w:t>
        </w:r>
      </w:hyperlink>
      <w:r w:rsidRPr="007E001F">
        <w:rPr>
          <w:rFonts w:eastAsiaTheme="minorEastAsia" w:hint="eastAsia"/>
        </w:rPr>
        <w:t>，第</w:t>
      </w:r>
      <w:r w:rsidRPr="007E001F">
        <w:t>449</w:t>
      </w:r>
      <w:r w:rsidRPr="007E001F">
        <w:rPr>
          <w:rFonts w:eastAsiaTheme="minorEastAsia" w:hint="eastAsia"/>
        </w:rPr>
        <w:t>段。</w:t>
      </w:r>
      <w:r w:rsidRPr="007E001F">
        <w:rPr>
          <w:rFonts w:eastAsiaTheme="minorEastAsia" w:hint="eastAsia"/>
        </w:rPr>
        <w:t>2013</w:t>
      </w:r>
      <w:r w:rsidRPr="007E001F">
        <w:rPr>
          <w:rFonts w:eastAsiaTheme="minorEastAsia" w:hint="eastAsia"/>
        </w:rPr>
        <w:t>年</w:t>
      </w:r>
      <w:r w:rsidRPr="007E001F">
        <w:rPr>
          <w:rFonts w:eastAsiaTheme="minorEastAsia" w:hint="eastAsia"/>
        </w:rPr>
        <w:t>12</w:t>
      </w:r>
      <w:r w:rsidRPr="007E001F">
        <w:rPr>
          <w:rFonts w:eastAsiaTheme="minorEastAsia" w:hint="eastAsia"/>
        </w:rPr>
        <w:t>月</w:t>
      </w:r>
      <w:r w:rsidRPr="007E001F">
        <w:rPr>
          <w:rFonts w:eastAsiaTheme="minorEastAsia" w:hint="eastAsia"/>
        </w:rPr>
        <w:t>20</w:t>
      </w:r>
      <w:r w:rsidRPr="007E001F">
        <w:rPr>
          <w:rFonts w:eastAsiaTheme="minorEastAsia" w:hint="eastAsia"/>
        </w:rPr>
        <w:t>日最终裁决第</w:t>
      </w:r>
      <w:r w:rsidRPr="007E001F">
        <w:rPr>
          <w:rFonts w:eastAsiaTheme="minorEastAsia" w:hint="eastAsia"/>
        </w:rPr>
        <w:t>111</w:t>
      </w:r>
      <w:r w:rsidRPr="007E001F">
        <w:rPr>
          <w:rFonts w:eastAsiaTheme="minorEastAsia" w:hint="eastAsia"/>
        </w:rPr>
        <w:t>段证实了这一点。</w:t>
      </w:r>
    </w:p>
  </w:footnote>
  <w:footnote w:id="1277">
    <w:p w:rsidR="00AB00DE" w:rsidRPr="00C94E90" w:rsidRDefault="00AB00DE" w:rsidP="00C8126A">
      <w:pPr>
        <w:pStyle w:val="a4"/>
        <w:spacing w:after="0" w:line="230" w:lineRule="exact"/>
        <w:rPr>
          <w:rFonts w:eastAsiaTheme="minorEastAsia"/>
        </w:rPr>
      </w:pPr>
      <w:r w:rsidRPr="007E001F">
        <w:tab/>
      </w:r>
      <w:r w:rsidRPr="00681AC8">
        <w:rPr>
          <w:rStyle w:val="a5"/>
        </w:rPr>
        <w:footnoteRef/>
      </w:r>
      <w:r w:rsidRPr="007E001F">
        <w:rPr>
          <w:rStyle w:val="a5"/>
        </w:rPr>
        <w:t xml:space="preserve"> </w:t>
      </w:r>
      <w:r w:rsidRPr="007E001F">
        <w:tab/>
      </w:r>
      <w:r w:rsidRPr="007E001F">
        <w:rPr>
          <w:rFonts w:asciiTheme="minorEastAsia" w:eastAsiaTheme="minorEastAsia" w:hAnsiTheme="minorEastAsia" w:hint="eastAsia"/>
        </w:rPr>
        <w:t>例如，</w:t>
      </w:r>
      <w:r w:rsidRPr="007E001F">
        <w:t>见</w:t>
      </w:r>
      <w:r w:rsidRPr="005715FC">
        <w:t>J</w:t>
      </w:r>
      <w:r>
        <w:t>.</w:t>
      </w:r>
      <w:r w:rsidRPr="005715FC">
        <w:t xml:space="preserve"> Kokott, “Equity in international law”, in </w:t>
      </w:r>
      <w:r w:rsidRPr="005715FC">
        <w:rPr>
          <w:i/>
        </w:rPr>
        <w:t>Fair Weather? Equity Concerns in Climate Change</w:t>
      </w:r>
      <w:r w:rsidRPr="005715FC">
        <w:t>, F</w:t>
      </w:r>
      <w:r>
        <w:t>.</w:t>
      </w:r>
      <w:r w:rsidRPr="005715FC">
        <w:t xml:space="preserve"> L. Toth, ed. (Abingdon and New York, Routledge, 2014), pp. 173-192</w:t>
      </w:r>
      <w:r>
        <w:rPr>
          <w:rFonts w:eastAsiaTheme="minorEastAsia" w:hint="eastAsia"/>
        </w:rPr>
        <w:t>；</w:t>
      </w:r>
      <w:hyperlink r:id="rId293" w:history="1">
        <w:r>
          <w:rPr>
            <w:rFonts w:ascii="楷体" w:eastAsia="楷体" w:hAnsi="楷体" w:cs="宋体" w:hint="eastAsia"/>
          </w:rPr>
          <w:t>边界争端案</w:t>
        </w:r>
        <w:r>
          <w:rPr>
            <w:rFonts w:ascii="楷体" w:eastAsia="楷体" w:hAnsi="楷体"/>
          </w:rPr>
          <w:t>(</w:t>
        </w:r>
        <w:r w:rsidRPr="007E001F">
          <w:rPr>
            <w:rFonts w:ascii="楷体" w:eastAsia="楷体" w:hAnsi="楷体" w:cs="宋体" w:hint="eastAsia"/>
          </w:rPr>
          <w:t>布基纳法索诉马里</w:t>
        </w:r>
        <w:r>
          <w:rPr>
            <w:rFonts w:ascii="楷体" w:eastAsia="楷体" w:hAnsi="楷体"/>
          </w:rPr>
          <w:t>)</w:t>
        </w:r>
      </w:hyperlink>
      <w:r w:rsidRPr="007E001F">
        <w:rPr>
          <w:rFonts w:ascii="楷体" w:eastAsia="楷体" w:hAnsi="楷体" w:cs="宋体" w:hint="eastAsia"/>
        </w:rPr>
        <w:t>，</w:t>
      </w:r>
      <w:r w:rsidRPr="007E001F">
        <w:rPr>
          <w:rFonts w:ascii="宋体" w:hAnsi="宋体" w:cs="宋体" w:hint="eastAsia"/>
        </w:rPr>
        <w:t>《</w:t>
      </w:r>
      <w:r w:rsidRPr="007E001F">
        <w:rPr>
          <w:rFonts w:asciiTheme="majorBidi" w:eastAsiaTheme="minorEastAsia" w:hAnsiTheme="majorBidi" w:cstheme="majorBidi" w:hint="eastAsia"/>
        </w:rPr>
        <w:t>1986</w:t>
      </w:r>
      <w:r w:rsidRPr="007E001F">
        <w:rPr>
          <w:rFonts w:ascii="宋体" w:hAnsi="宋体" w:cs="宋体" w:hint="eastAsia"/>
        </w:rPr>
        <w:t>年国际法院案例汇编》</w:t>
      </w:r>
      <w:r w:rsidRPr="007E001F">
        <w:rPr>
          <w:rFonts w:eastAsiaTheme="minorEastAsia" w:hint="eastAsia"/>
          <w:iCs/>
        </w:rPr>
        <w:t>，</w:t>
      </w:r>
      <w:r w:rsidRPr="007E001F">
        <w:rPr>
          <w:rFonts w:asciiTheme="minorEastAsia" w:eastAsiaTheme="minorEastAsia" w:hAnsiTheme="minorEastAsia" w:hint="eastAsia"/>
        </w:rPr>
        <w:t>第</w:t>
      </w:r>
      <w:r w:rsidRPr="007E001F">
        <w:t>554</w:t>
      </w:r>
      <w:r w:rsidRPr="007E001F">
        <w:rPr>
          <w:rFonts w:ascii="宋体" w:hAnsi="宋体" w:cs="宋体"/>
        </w:rPr>
        <w:t>页</w:t>
      </w:r>
      <w:r w:rsidRPr="007E001F">
        <w:rPr>
          <w:rFonts w:ascii="宋体" w:hAnsi="宋体" w:cs="宋体" w:hint="eastAsia"/>
        </w:rPr>
        <w:t>；</w:t>
      </w:r>
      <w:r w:rsidRPr="007E001F">
        <w:t>See, in general, P</w:t>
      </w:r>
      <w:r>
        <w:rPr>
          <w:rFonts w:eastAsiaTheme="minorEastAsia" w:hint="eastAsia"/>
        </w:rPr>
        <w:t>.</w:t>
      </w:r>
      <w:r w:rsidRPr="007E001F">
        <w:t xml:space="preserve"> Weil, </w:t>
      </w:r>
      <w:r w:rsidRPr="007E001F">
        <w:rPr>
          <w:rFonts w:hint="eastAsia"/>
        </w:rPr>
        <w:t>“</w:t>
      </w:r>
      <w:r w:rsidRPr="007E001F">
        <w:t>L’équité da</w:t>
      </w:r>
      <w:r>
        <w:t xml:space="preserve">ns la jurisprudence de la Cour </w:t>
      </w:r>
      <w:r>
        <w:rPr>
          <w:rFonts w:eastAsiaTheme="minorEastAsia" w:hint="eastAsia"/>
        </w:rPr>
        <w:t>i</w:t>
      </w:r>
      <w:r w:rsidRPr="007E001F">
        <w:t>nternationale de Justice: Un mystère en voie de dissipation</w:t>
      </w:r>
      <w:r w:rsidRPr="007E001F">
        <w:t>？</w:t>
      </w:r>
      <w:r w:rsidRPr="007E001F">
        <w:rPr>
          <w:rFonts w:hint="eastAsia"/>
        </w:rPr>
        <w:t>”</w:t>
      </w:r>
      <w:r w:rsidRPr="007E001F">
        <w:t>，</w:t>
      </w:r>
      <w:r w:rsidRPr="007E001F">
        <w:t xml:space="preserve">in </w:t>
      </w:r>
      <w:hyperlink r:id="rId294" w:anchor="contentsTabAnchor" w:history="1">
        <w:r w:rsidRPr="007E001F">
          <w:rPr>
            <w:i/>
          </w:rPr>
          <w:t>Fifty Years of the International Court of Justice: Essays in Honour of Sir Robert Jennings</w:t>
        </w:r>
      </w:hyperlink>
      <w:r w:rsidRPr="007E001F">
        <w:rPr>
          <w:iCs/>
        </w:rPr>
        <w:t>，</w:t>
      </w:r>
      <w:r w:rsidRPr="007E001F">
        <w:t>V</w:t>
      </w:r>
      <w:r>
        <w:rPr>
          <w:rFonts w:eastAsiaTheme="minorEastAsia" w:hint="eastAsia"/>
        </w:rPr>
        <w:t>.</w:t>
      </w:r>
      <w:r w:rsidRPr="007E001F">
        <w:t xml:space="preserve"> Lowe and M</w:t>
      </w:r>
      <w:r>
        <w:rPr>
          <w:rFonts w:eastAsiaTheme="minorEastAsia" w:hint="eastAsia"/>
        </w:rPr>
        <w:t>.</w:t>
      </w:r>
      <w:r w:rsidRPr="007E001F">
        <w:t xml:space="preserve"> Fitzmaurice, eds. </w:t>
      </w:r>
      <w:r>
        <w:t>(</w:t>
      </w:r>
      <w:r w:rsidRPr="007E001F">
        <w:t>Cambridge, United Kingdom, Cambridge University Press, 1996</w:t>
      </w:r>
      <w:r>
        <w:t>)</w:t>
      </w:r>
      <w:r w:rsidRPr="007E001F">
        <w:t>，</w:t>
      </w:r>
      <w:r w:rsidRPr="007E001F">
        <w:t xml:space="preserve">pp. </w:t>
      </w:r>
      <w:hyperlink r:id="rId295" w:history="1">
        <w:r w:rsidRPr="007E001F">
          <w:t>121-144</w:t>
        </w:r>
      </w:hyperlink>
      <w:r w:rsidRPr="007E001F">
        <w:t>；</w:t>
      </w:r>
      <w:r w:rsidRPr="007E001F">
        <w:t>F</w:t>
      </w:r>
      <w:r>
        <w:rPr>
          <w:rFonts w:eastAsiaTheme="minorEastAsia" w:hint="eastAsia"/>
        </w:rPr>
        <w:t xml:space="preserve">. </w:t>
      </w:r>
      <w:r w:rsidRPr="007E001F">
        <w:t>Francioni,</w:t>
      </w:r>
      <w:r w:rsidRPr="007E001F">
        <w:rPr>
          <w:rFonts w:hint="eastAsia"/>
        </w:rPr>
        <w:t>“</w:t>
      </w:r>
      <w:hyperlink r:id="rId296" w:history="1">
        <w:r w:rsidRPr="007E001F">
          <w:t>Equity in international law</w:t>
        </w:r>
      </w:hyperlink>
      <w:r w:rsidRPr="007E001F">
        <w:t>，</w:t>
      </w:r>
      <w:r w:rsidRPr="007E001F">
        <w:rPr>
          <w:rFonts w:hint="eastAsia"/>
        </w:rPr>
        <w:t>”</w:t>
      </w:r>
      <w:r w:rsidRPr="007E001F">
        <w:t xml:space="preserve">in </w:t>
      </w:r>
      <w:r w:rsidRPr="007E001F">
        <w:rPr>
          <w:i/>
          <w:iCs/>
        </w:rPr>
        <w:t xml:space="preserve">Max Plank Encyclopedia of Public International Law, </w:t>
      </w:r>
      <w:r w:rsidRPr="007E001F">
        <w:t>vol. III, R. Wolfrum, ed.</w:t>
      </w:r>
      <w:r w:rsidRPr="007E001F">
        <w:rPr>
          <w:i/>
          <w:iCs/>
        </w:rPr>
        <w:t xml:space="preserve"> </w:t>
      </w:r>
      <w:r>
        <w:t>(</w:t>
      </w:r>
      <w:r w:rsidRPr="007E001F">
        <w:t>Oxford, Oxford University Press, 2013</w:t>
      </w:r>
      <w:r>
        <w:t>)</w:t>
      </w:r>
      <w:r w:rsidRPr="007E001F">
        <w:t>，</w:t>
      </w:r>
      <w:r w:rsidRPr="007E001F">
        <w:t>pp. 632-642</w:t>
      </w:r>
      <w:r>
        <w:rPr>
          <w:rFonts w:eastAsiaTheme="minorEastAsia" w:hint="eastAsia"/>
        </w:rPr>
        <w:t>.</w:t>
      </w:r>
    </w:p>
  </w:footnote>
  <w:footnote w:id="1278">
    <w:p w:rsidR="00AB00DE" w:rsidRPr="007E001F" w:rsidRDefault="00AB00DE" w:rsidP="006735D4">
      <w:pPr>
        <w:pStyle w:val="a4"/>
      </w:pPr>
      <w:r w:rsidRPr="007E001F">
        <w:tab/>
      </w:r>
      <w:r w:rsidRPr="00681AC8">
        <w:rPr>
          <w:rStyle w:val="a5"/>
        </w:rPr>
        <w:footnoteRef/>
      </w:r>
      <w:r w:rsidRPr="007E001F">
        <w:rPr>
          <w:rStyle w:val="a5"/>
        </w:rPr>
        <w:t xml:space="preserve"> </w:t>
      </w:r>
      <w:r w:rsidRPr="007E001F">
        <w:tab/>
      </w:r>
      <w:r>
        <w:rPr>
          <w:rFonts w:eastAsiaTheme="minorEastAsia" w:hint="eastAsia"/>
        </w:rPr>
        <w:t xml:space="preserve">C. </w:t>
      </w:r>
      <w:r w:rsidRPr="007E001F">
        <w:t>Redgwell,</w:t>
      </w:r>
      <w:r w:rsidRPr="00C94E90">
        <w:t xml:space="preserve"> </w:t>
      </w:r>
      <w:r w:rsidRPr="00094436">
        <w:t xml:space="preserve">“Principles and emerging norms in international law: Intra- and Inter-generational equity,” </w:t>
      </w:r>
      <w:r w:rsidRPr="00C86CA1">
        <w:rPr>
          <w:i/>
          <w:iCs/>
        </w:rPr>
        <w:t>in</w:t>
      </w:r>
      <w:r w:rsidRPr="00094436">
        <w:t xml:space="preserve"> Cinnamon P. Carlarne, et al., eds., </w:t>
      </w:r>
      <w:hyperlink r:id="rId297" w:history="1">
        <w:r w:rsidRPr="00C86CA1">
          <w:rPr>
            <w:rStyle w:val="af"/>
          </w:rPr>
          <w:t>The Oxford Handbook on International Climate Change Law</w:t>
        </w:r>
      </w:hyperlink>
      <w:r w:rsidRPr="00094436">
        <w:t xml:space="preserve"> (Oxford: Oxford Unive</w:t>
      </w:r>
      <w:r>
        <w:t>rsity Press, 2016), pp. 185-201; D. Shelton, “Equity” in D.</w:t>
      </w:r>
      <w:r w:rsidRPr="00094436">
        <w:t xml:space="preserve"> Bodansky, et al., </w:t>
      </w:r>
      <w:hyperlink r:id="rId298" w:anchor="reader_0199552150" w:history="1">
        <w:r w:rsidRPr="002809DD">
          <w:rPr>
            <w:rStyle w:val="af"/>
          </w:rPr>
          <w:t>Oxford Handbook of International Environmental Law</w:t>
        </w:r>
      </w:hyperlink>
      <w:r w:rsidRPr="00094436">
        <w:t xml:space="preserve"> (</w:t>
      </w:r>
      <w:r w:rsidRPr="00094436">
        <w:rPr>
          <w:spacing w:val="2"/>
        </w:rPr>
        <w:t xml:space="preserve">Oxford: Oxford University Press, </w:t>
      </w:r>
      <w:r w:rsidRPr="00094436">
        <w:t>200</w:t>
      </w:r>
      <w:r>
        <w:t>8</w:t>
      </w:r>
      <w:r w:rsidRPr="00094436">
        <w:t>), pp.</w:t>
      </w:r>
      <w:r>
        <w:t> 639</w:t>
      </w:r>
      <w:r w:rsidRPr="00094436">
        <w:t>-</w:t>
      </w:r>
      <w:r>
        <w:t>662</w:t>
      </w:r>
      <w:r>
        <w:rPr>
          <w:rFonts w:eastAsiaTheme="minorEastAsia" w:hint="eastAsia"/>
        </w:rPr>
        <w:t>.</w:t>
      </w:r>
    </w:p>
  </w:footnote>
  <w:footnote w:id="1279">
    <w:p w:rsidR="00AB00DE" w:rsidRPr="007E001F" w:rsidRDefault="00AB00DE" w:rsidP="006735D4">
      <w:pPr>
        <w:pStyle w:val="a4"/>
        <w:rPr>
          <w:rFonts w:eastAsiaTheme="minorEastAsia"/>
        </w:rPr>
      </w:pPr>
      <w:r w:rsidRPr="007E001F">
        <w:tab/>
      </w:r>
      <w:r w:rsidRPr="00681AC8">
        <w:rPr>
          <w:rStyle w:val="a5"/>
        </w:rPr>
        <w:footnoteRef/>
      </w:r>
      <w:r w:rsidRPr="007E001F">
        <w:rPr>
          <w:rStyle w:val="a5"/>
        </w:rPr>
        <w:t xml:space="preserve"> </w:t>
      </w:r>
      <w:r w:rsidRPr="007E001F">
        <w:tab/>
      </w:r>
      <w:hyperlink r:id="rId299" w:history="1">
        <w:r w:rsidRPr="007E001F">
          <w:t>《禁止为军事或任何其他敌对目的使用改变环境的技术的公约》</w:t>
        </w:r>
      </w:hyperlink>
      <w:r>
        <w:t>(</w:t>
      </w:r>
      <w:r w:rsidRPr="007E001F">
        <w:t>1976</w:t>
      </w:r>
      <w:r w:rsidRPr="007E001F">
        <w:rPr>
          <w:rFonts w:eastAsiaTheme="minorEastAsia" w:hint="eastAsia"/>
        </w:rPr>
        <w:t>年</w:t>
      </w:r>
      <w:r w:rsidRPr="007E001F">
        <w:rPr>
          <w:rFonts w:eastAsiaTheme="minorEastAsia" w:hint="eastAsia"/>
        </w:rPr>
        <w:t>12</w:t>
      </w:r>
      <w:r w:rsidRPr="007E001F">
        <w:rPr>
          <w:rFonts w:eastAsiaTheme="minorEastAsia" w:hint="eastAsia"/>
        </w:rPr>
        <w:t>月</w:t>
      </w:r>
      <w:r w:rsidRPr="007E001F">
        <w:rPr>
          <w:rFonts w:eastAsiaTheme="minorEastAsia" w:hint="eastAsia"/>
        </w:rPr>
        <w:t>10</w:t>
      </w:r>
      <w:r w:rsidRPr="007E001F">
        <w:rPr>
          <w:rFonts w:eastAsiaTheme="minorEastAsia" w:hint="eastAsia"/>
        </w:rPr>
        <w:t>日，纽约</w:t>
      </w:r>
      <w:r>
        <w:t>)</w:t>
      </w:r>
      <w:r w:rsidRPr="007E001F">
        <w:t>，联合国</w:t>
      </w:r>
      <w:r>
        <w:rPr>
          <w:rFonts w:eastAsiaTheme="minorEastAsia" w:hint="eastAsia"/>
        </w:rPr>
        <w:t>，</w:t>
      </w:r>
      <w:r w:rsidRPr="007E001F">
        <w:t>《条约汇编》，</w:t>
      </w:r>
      <w:r w:rsidRPr="007E001F">
        <w:rPr>
          <w:rFonts w:eastAsiaTheme="minorEastAsia" w:hint="eastAsia"/>
        </w:rPr>
        <w:t>第</w:t>
      </w:r>
      <w:r w:rsidRPr="007E001F">
        <w:t>1108</w:t>
      </w:r>
      <w:r w:rsidRPr="007E001F">
        <w:rPr>
          <w:rFonts w:eastAsiaTheme="minorEastAsia" w:hint="eastAsia"/>
        </w:rPr>
        <w:t>卷，第</w:t>
      </w:r>
      <w:r w:rsidRPr="007E001F">
        <w:t>17119</w:t>
      </w:r>
      <w:r w:rsidRPr="007E001F">
        <w:rPr>
          <w:rFonts w:eastAsiaTheme="minorEastAsia" w:hint="eastAsia"/>
        </w:rPr>
        <w:t>号，第</w:t>
      </w:r>
      <w:r w:rsidRPr="007E001F">
        <w:t>151</w:t>
      </w:r>
      <w:r w:rsidRPr="007E001F">
        <w:rPr>
          <w:rFonts w:eastAsiaTheme="minorEastAsia" w:hint="eastAsia"/>
        </w:rPr>
        <w:t>页。</w:t>
      </w:r>
    </w:p>
  </w:footnote>
  <w:footnote w:id="1280">
    <w:p w:rsidR="00AB00DE" w:rsidRPr="007E001F" w:rsidRDefault="00AB00DE" w:rsidP="006735D4">
      <w:pPr>
        <w:pStyle w:val="a4"/>
        <w:rPr>
          <w:rFonts w:eastAsiaTheme="minorEastAsia"/>
        </w:rPr>
      </w:pPr>
      <w:r w:rsidRPr="007E001F">
        <w:tab/>
      </w:r>
      <w:r w:rsidRPr="00681AC8">
        <w:rPr>
          <w:rStyle w:val="a5"/>
        </w:rPr>
        <w:footnoteRef/>
      </w:r>
      <w:r w:rsidRPr="007E001F">
        <w:rPr>
          <w:rStyle w:val="a5"/>
        </w:rPr>
        <w:t xml:space="preserve"> </w:t>
      </w:r>
      <w:r w:rsidRPr="007E001F">
        <w:tab/>
      </w:r>
      <w:r w:rsidRPr="007E001F">
        <w:rPr>
          <w:rFonts w:eastAsiaTheme="minorEastAsia" w:hint="eastAsia"/>
        </w:rPr>
        <w:t>见第一条。</w:t>
      </w:r>
    </w:p>
  </w:footnote>
  <w:footnote w:id="1281">
    <w:p w:rsidR="00AB00DE" w:rsidRPr="007E001F" w:rsidRDefault="00AB00DE" w:rsidP="006735D4">
      <w:pPr>
        <w:pStyle w:val="a4"/>
      </w:pPr>
      <w:r w:rsidRPr="007E001F">
        <w:tab/>
      </w:r>
      <w:r w:rsidRPr="00681AC8">
        <w:rPr>
          <w:rStyle w:val="a5"/>
        </w:rPr>
        <w:footnoteRef/>
      </w:r>
      <w:r w:rsidRPr="007E001F">
        <w:rPr>
          <w:rStyle w:val="a5"/>
        </w:rPr>
        <w:t xml:space="preserve"> </w:t>
      </w:r>
      <w:r w:rsidRPr="007E001F">
        <w:tab/>
      </w:r>
      <w:r w:rsidRPr="007E001F">
        <w:rPr>
          <w:rFonts w:eastAsiaTheme="minorEastAsia" w:hint="eastAsia"/>
        </w:rPr>
        <w:t>《</w:t>
      </w:r>
      <w:r w:rsidRPr="007E001F">
        <w:rPr>
          <w:rFonts w:hint="eastAsia"/>
        </w:rPr>
        <w:t>一九四九年八月十二日日内瓦四公约关于保护国际性武装冲突受难者的附加议定书</w:t>
      </w:r>
      <w:r w:rsidRPr="007E001F">
        <w:rPr>
          <w:rFonts w:eastAsiaTheme="minorEastAsia" w:hint="eastAsia"/>
        </w:rPr>
        <w:t>》</w:t>
      </w:r>
      <w:r>
        <w:rPr>
          <w:rFonts w:hint="eastAsia"/>
        </w:rPr>
        <w:t>(</w:t>
      </w:r>
      <w:r w:rsidRPr="007E001F">
        <w:rPr>
          <w:rFonts w:eastAsiaTheme="minorEastAsia" w:hint="eastAsia"/>
        </w:rPr>
        <w:t>《</w:t>
      </w:r>
      <w:r w:rsidRPr="007E001F">
        <w:rPr>
          <w:rFonts w:hint="eastAsia"/>
        </w:rPr>
        <w:t>第一议定书</w:t>
      </w:r>
      <w:r w:rsidRPr="007E001F">
        <w:rPr>
          <w:rFonts w:eastAsiaTheme="minorEastAsia" w:hint="eastAsia"/>
        </w:rPr>
        <w:t>》</w:t>
      </w:r>
      <w:r>
        <w:rPr>
          <w:rFonts w:hint="eastAsia"/>
        </w:rPr>
        <w:t>)</w:t>
      </w:r>
      <w:r w:rsidRPr="007E001F">
        <w:rPr>
          <w:rFonts w:eastAsiaTheme="minorEastAsia" w:hint="eastAsia"/>
        </w:rPr>
        <w:t>，</w:t>
      </w:r>
      <w:r w:rsidRPr="007E001F">
        <w:rPr>
          <w:rFonts w:asciiTheme="majorBidi" w:hAnsiTheme="majorBidi" w:cstheme="majorBidi"/>
        </w:rPr>
        <w:t>1977</w:t>
      </w:r>
      <w:r w:rsidRPr="007E001F">
        <w:rPr>
          <w:rFonts w:asciiTheme="majorBidi" w:eastAsiaTheme="minorEastAsia" w:hAnsiTheme="majorBidi" w:cstheme="majorBidi" w:hint="eastAsia"/>
        </w:rPr>
        <w:t>年</w:t>
      </w:r>
      <w:r w:rsidRPr="007E001F">
        <w:rPr>
          <w:rFonts w:asciiTheme="majorBidi" w:hAnsiTheme="majorBidi" w:cstheme="majorBidi"/>
        </w:rPr>
        <w:t>，联合国</w:t>
      </w:r>
      <w:r>
        <w:rPr>
          <w:rFonts w:asciiTheme="majorBidi" w:eastAsiaTheme="minorEastAsia" w:hAnsiTheme="majorBidi" w:cstheme="majorBidi" w:hint="eastAsia"/>
        </w:rPr>
        <w:t>，</w:t>
      </w:r>
      <w:r w:rsidRPr="007E001F">
        <w:rPr>
          <w:rFonts w:asciiTheme="majorBidi" w:hAnsiTheme="majorBidi" w:cstheme="majorBidi"/>
        </w:rPr>
        <w:t>《条约汇编》，</w:t>
      </w:r>
      <w:r w:rsidRPr="007E001F">
        <w:rPr>
          <w:rFonts w:asciiTheme="majorBidi" w:eastAsiaTheme="minorEastAsia" w:hAnsiTheme="majorBidi" w:cstheme="majorBidi" w:hint="eastAsia"/>
        </w:rPr>
        <w:t>第</w:t>
      </w:r>
      <w:r w:rsidRPr="007E001F">
        <w:rPr>
          <w:rFonts w:asciiTheme="majorBidi" w:hAnsiTheme="majorBidi" w:cstheme="majorBidi"/>
        </w:rPr>
        <w:t>1125</w:t>
      </w:r>
      <w:r w:rsidRPr="007E001F">
        <w:rPr>
          <w:rFonts w:asciiTheme="majorBidi" w:eastAsiaTheme="minorEastAsia" w:hAnsiTheme="majorBidi" w:cstheme="majorBidi" w:hint="eastAsia"/>
        </w:rPr>
        <w:t>卷，第</w:t>
      </w:r>
      <w:r w:rsidRPr="007E001F">
        <w:rPr>
          <w:rFonts w:asciiTheme="majorBidi" w:hAnsiTheme="majorBidi" w:cstheme="majorBidi"/>
        </w:rPr>
        <w:t>17512</w:t>
      </w:r>
      <w:r w:rsidRPr="007E001F">
        <w:rPr>
          <w:rFonts w:asciiTheme="majorBidi" w:eastAsiaTheme="minorEastAsia" w:hAnsiTheme="majorBidi" w:cstheme="majorBidi" w:hint="eastAsia"/>
        </w:rPr>
        <w:t>号，第</w:t>
      </w:r>
      <w:r w:rsidRPr="007E001F">
        <w:rPr>
          <w:rFonts w:asciiTheme="majorBidi" w:hAnsiTheme="majorBidi" w:cstheme="majorBidi"/>
        </w:rPr>
        <w:t>3</w:t>
      </w:r>
      <w:r w:rsidRPr="007E001F">
        <w:rPr>
          <w:rFonts w:asciiTheme="majorBidi" w:eastAsiaTheme="minorEastAsia" w:hAnsiTheme="majorBidi" w:cstheme="majorBidi" w:hint="eastAsia"/>
        </w:rPr>
        <w:t>页，</w:t>
      </w:r>
      <w:r w:rsidRPr="007E001F">
        <w:rPr>
          <w:rFonts w:eastAsiaTheme="minorEastAsia" w:hint="eastAsia"/>
        </w:rPr>
        <w:t>第三十五条第三款和第五十五条；另见</w:t>
      </w:r>
      <w:hyperlink r:id="rId300" w:history="1">
        <w:r w:rsidRPr="007E001F">
          <w:t>《国际刑事法院罗马规约》</w:t>
        </w:r>
      </w:hyperlink>
      <w:r w:rsidRPr="007E001F">
        <w:t>，联合国</w:t>
      </w:r>
      <w:r>
        <w:rPr>
          <w:rFonts w:eastAsiaTheme="minorEastAsia" w:hint="eastAsia"/>
        </w:rPr>
        <w:t>，</w:t>
      </w:r>
      <w:r w:rsidRPr="007E001F">
        <w:t>《条约汇编》，</w:t>
      </w:r>
      <w:hyperlink r:id="rId301" w:tgtFrame="_blank" w:history="1">
        <w:r w:rsidRPr="007E001F">
          <w:rPr>
            <w:rFonts w:asciiTheme="majorBidi" w:hAnsiTheme="majorBidi" w:cstheme="majorBidi"/>
          </w:rPr>
          <w:t>第</w:t>
        </w:r>
        <w:r w:rsidRPr="007E001F">
          <w:rPr>
            <w:rFonts w:asciiTheme="majorBidi" w:hAnsiTheme="majorBidi" w:cstheme="majorBidi"/>
          </w:rPr>
          <w:t>2187</w:t>
        </w:r>
        <w:r w:rsidRPr="007E001F">
          <w:rPr>
            <w:rFonts w:asciiTheme="majorBidi" w:hAnsiTheme="majorBidi" w:cstheme="majorBidi"/>
          </w:rPr>
          <w:t>卷</w:t>
        </w:r>
      </w:hyperlink>
      <w:r w:rsidRPr="007E001F">
        <w:rPr>
          <w:rFonts w:asciiTheme="majorBidi" w:hAnsiTheme="majorBidi" w:cstheme="majorBidi" w:hint="eastAsia"/>
        </w:rPr>
        <w:t>，第</w:t>
      </w:r>
      <w:r w:rsidRPr="007E001F">
        <w:rPr>
          <w:rFonts w:asciiTheme="majorBidi" w:hAnsiTheme="majorBidi" w:cstheme="majorBidi"/>
        </w:rPr>
        <w:t>38544</w:t>
      </w:r>
      <w:r w:rsidRPr="007E001F">
        <w:rPr>
          <w:rFonts w:asciiTheme="majorBidi" w:hAnsiTheme="majorBidi" w:cstheme="majorBidi" w:hint="eastAsia"/>
        </w:rPr>
        <w:t>号，第</w:t>
      </w:r>
      <w:r w:rsidRPr="007E001F">
        <w:rPr>
          <w:rFonts w:asciiTheme="majorBidi" w:hAnsiTheme="majorBidi" w:cstheme="majorBidi"/>
        </w:rPr>
        <w:t>3</w:t>
      </w:r>
      <w:r w:rsidRPr="007E001F">
        <w:rPr>
          <w:rFonts w:asciiTheme="majorBidi" w:hAnsiTheme="majorBidi" w:cstheme="majorBidi" w:hint="eastAsia"/>
        </w:rPr>
        <w:t>页，第八条</w:t>
      </w:r>
      <w:r w:rsidRPr="007E001F">
        <w:rPr>
          <w:rFonts w:eastAsiaTheme="minorEastAsia" w:hint="eastAsia"/>
        </w:rPr>
        <w:t>第</w:t>
      </w:r>
      <w:r>
        <w:rPr>
          <w:rFonts w:eastAsiaTheme="minorEastAsia" w:hint="eastAsia"/>
        </w:rPr>
        <w:t>(</w:t>
      </w:r>
      <w:r w:rsidRPr="007E001F">
        <w:rPr>
          <w:rFonts w:eastAsiaTheme="minorEastAsia" w:hint="eastAsia"/>
        </w:rPr>
        <w:t>二</w:t>
      </w:r>
      <w:r>
        <w:rPr>
          <w:rFonts w:eastAsiaTheme="minorEastAsia" w:hint="eastAsia"/>
        </w:rPr>
        <w:t>)</w:t>
      </w:r>
      <w:r w:rsidRPr="007E001F">
        <w:rPr>
          <w:rFonts w:eastAsiaTheme="minorEastAsia" w:hint="eastAsia"/>
        </w:rPr>
        <w:t>款</w:t>
      </w:r>
      <w:r>
        <w:rPr>
          <w:rFonts w:eastAsiaTheme="minorEastAsia" w:hint="eastAsia"/>
        </w:rPr>
        <w:t>第</w:t>
      </w:r>
      <w:r w:rsidRPr="007E001F">
        <w:rPr>
          <w:rFonts w:eastAsiaTheme="minorEastAsia" w:hint="eastAsia"/>
        </w:rPr>
        <w:t>2</w:t>
      </w:r>
      <w:r w:rsidRPr="007E001F">
        <w:rPr>
          <w:rFonts w:eastAsiaTheme="minorEastAsia" w:hint="eastAsia"/>
        </w:rPr>
        <w:t>项</w:t>
      </w:r>
      <w:r>
        <w:rPr>
          <w:rFonts w:eastAsiaTheme="minorEastAsia" w:hint="eastAsia"/>
        </w:rPr>
        <w:t>(</w:t>
      </w:r>
      <w:r w:rsidRPr="007E001F">
        <w:rPr>
          <w:rFonts w:eastAsiaTheme="minorEastAsia" w:hint="eastAsia"/>
        </w:rPr>
        <w:t>4</w:t>
      </w:r>
      <w:r>
        <w:rPr>
          <w:rFonts w:eastAsiaTheme="minorEastAsia" w:hint="eastAsia"/>
        </w:rPr>
        <w:t>)</w:t>
      </w:r>
      <w:r w:rsidRPr="007E001F">
        <w:rPr>
          <w:rFonts w:eastAsiaTheme="minorEastAsia" w:hint="eastAsia"/>
        </w:rPr>
        <w:t>目。</w:t>
      </w:r>
    </w:p>
  </w:footnote>
  <w:footnote w:id="1282">
    <w:p w:rsidR="00AB00DE" w:rsidRPr="007E001F" w:rsidRDefault="00AB00DE" w:rsidP="006735D4">
      <w:pPr>
        <w:pStyle w:val="a4"/>
        <w:rPr>
          <w:rFonts w:eastAsiaTheme="minorEastAsia"/>
        </w:rPr>
      </w:pPr>
      <w:r w:rsidRPr="007E001F">
        <w:tab/>
      </w:r>
      <w:r w:rsidRPr="00681AC8">
        <w:rPr>
          <w:rStyle w:val="a5"/>
        </w:rPr>
        <w:footnoteRef/>
      </w:r>
      <w:r w:rsidRPr="007E001F">
        <w:rPr>
          <w:rStyle w:val="a5"/>
        </w:rPr>
        <w:t xml:space="preserve"> </w:t>
      </w:r>
      <w:r w:rsidRPr="007E001F">
        <w:tab/>
      </w:r>
      <w:r w:rsidRPr="007E001F">
        <w:rPr>
          <w:rFonts w:hint="eastAsia"/>
        </w:rPr>
        <w:t>《</w:t>
      </w:r>
      <w:r w:rsidRPr="007E001F">
        <w:rPr>
          <w:rFonts w:asciiTheme="majorBidi" w:eastAsiaTheme="minorEastAsia" w:hAnsiTheme="majorBidi" w:cstheme="majorBidi" w:hint="eastAsia"/>
          <w:spacing w:val="2"/>
        </w:rPr>
        <w:t>〈</w:t>
      </w:r>
      <w:r w:rsidRPr="007E001F">
        <w:rPr>
          <w:rFonts w:hint="eastAsia"/>
        </w:rPr>
        <w:t>联合国气候变化框架公约</w:t>
      </w:r>
      <w:r w:rsidRPr="007E001F">
        <w:rPr>
          <w:rFonts w:asciiTheme="majorBidi" w:eastAsiaTheme="minorEastAsia" w:hAnsiTheme="majorBidi" w:cstheme="majorBidi" w:hint="eastAsia"/>
          <w:spacing w:val="2"/>
        </w:rPr>
        <w:t>〉</w:t>
      </w:r>
      <w:hyperlink r:id="rId302" w:history="1">
        <w:r w:rsidRPr="007E001F">
          <w:t>京都议定书</w:t>
        </w:r>
      </w:hyperlink>
      <w:r w:rsidRPr="007E001F">
        <w:rPr>
          <w:rFonts w:hint="eastAsia"/>
        </w:rPr>
        <w:t>》</w:t>
      </w:r>
      <w:r>
        <w:t>(</w:t>
      </w:r>
      <w:r w:rsidRPr="007E001F">
        <w:t>1997</w:t>
      </w:r>
      <w:r w:rsidRPr="007E001F">
        <w:rPr>
          <w:rFonts w:eastAsiaTheme="minorEastAsia" w:hint="eastAsia"/>
        </w:rPr>
        <w:t>年</w:t>
      </w:r>
      <w:r w:rsidRPr="007E001F">
        <w:rPr>
          <w:rFonts w:eastAsiaTheme="minorEastAsia" w:hint="eastAsia"/>
        </w:rPr>
        <w:t>12</w:t>
      </w:r>
      <w:r w:rsidRPr="007E001F">
        <w:rPr>
          <w:rFonts w:eastAsiaTheme="minorEastAsia" w:hint="eastAsia"/>
        </w:rPr>
        <w:t>月</w:t>
      </w:r>
      <w:r w:rsidRPr="007E001F">
        <w:rPr>
          <w:rFonts w:eastAsiaTheme="minorEastAsia" w:hint="eastAsia"/>
        </w:rPr>
        <w:t>11</w:t>
      </w:r>
      <w:r w:rsidRPr="007E001F">
        <w:rPr>
          <w:rFonts w:eastAsiaTheme="minorEastAsia" w:hint="eastAsia"/>
        </w:rPr>
        <w:t>日，京都</w:t>
      </w:r>
      <w:r>
        <w:t>)</w:t>
      </w:r>
      <w:r w:rsidRPr="007E001F">
        <w:t>，联合国</w:t>
      </w:r>
      <w:r>
        <w:rPr>
          <w:rFonts w:eastAsiaTheme="minorEastAsia" w:hint="eastAsia"/>
        </w:rPr>
        <w:t>，</w:t>
      </w:r>
      <w:r w:rsidRPr="007E001F">
        <w:t>《条约汇编》，</w:t>
      </w:r>
      <w:r w:rsidRPr="007E001F">
        <w:rPr>
          <w:rFonts w:eastAsiaTheme="minorEastAsia" w:hint="eastAsia"/>
        </w:rPr>
        <w:t>第</w:t>
      </w:r>
      <w:r w:rsidRPr="007E001F">
        <w:t>2303</w:t>
      </w:r>
      <w:r w:rsidRPr="007E001F">
        <w:rPr>
          <w:rFonts w:eastAsiaTheme="minorEastAsia" w:hint="eastAsia"/>
        </w:rPr>
        <w:t>卷，第</w:t>
      </w:r>
      <w:r w:rsidRPr="007E001F">
        <w:t>30822</w:t>
      </w:r>
      <w:r w:rsidRPr="007E001F">
        <w:rPr>
          <w:rFonts w:eastAsiaTheme="minorEastAsia" w:hint="eastAsia"/>
        </w:rPr>
        <w:t>号，第</w:t>
      </w:r>
      <w:r w:rsidRPr="007E001F">
        <w:t>162</w:t>
      </w:r>
      <w:r w:rsidRPr="007E001F">
        <w:rPr>
          <w:rFonts w:eastAsiaTheme="minorEastAsia" w:hint="eastAsia"/>
        </w:rPr>
        <w:t>页。</w:t>
      </w:r>
    </w:p>
  </w:footnote>
  <w:footnote w:id="1283">
    <w:p w:rsidR="00AB00DE" w:rsidRPr="007E001F" w:rsidRDefault="00AB00DE" w:rsidP="006735D4">
      <w:pPr>
        <w:pStyle w:val="a4"/>
      </w:pPr>
      <w:r w:rsidRPr="007E001F">
        <w:tab/>
      </w:r>
      <w:r w:rsidRPr="00681AC8">
        <w:rPr>
          <w:rStyle w:val="a5"/>
        </w:rPr>
        <w:footnoteRef/>
      </w:r>
      <w:r w:rsidRPr="007E001F">
        <w:rPr>
          <w:rStyle w:val="a5"/>
        </w:rPr>
        <w:t xml:space="preserve"> </w:t>
      </w:r>
      <w:r w:rsidRPr="007E001F">
        <w:tab/>
      </w:r>
      <w:hyperlink r:id="rId303" w:history="1">
        <w:r w:rsidRPr="007E001F">
          <w:t>《防止倾倒废物及其他物质污染海洋的公约》</w:t>
        </w:r>
      </w:hyperlink>
      <w:r>
        <w:t>(</w:t>
      </w:r>
      <w:r w:rsidRPr="007E001F">
        <w:t>1972</w:t>
      </w:r>
      <w:r w:rsidRPr="007E001F">
        <w:rPr>
          <w:rFonts w:eastAsiaTheme="minorEastAsia" w:hint="eastAsia"/>
        </w:rPr>
        <w:t>年</w:t>
      </w:r>
      <w:r w:rsidRPr="007E001F">
        <w:rPr>
          <w:rFonts w:eastAsiaTheme="minorEastAsia" w:hint="eastAsia"/>
        </w:rPr>
        <w:t>12</w:t>
      </w:r>
      <w:r w:rsidRPr="007E001F">
        <w:rPr>
          <w:rFonts w:eastAsiaTheme="minorEastAsia" w:hint="eastAsia"/>
        </w:rPr>
        <w:t>月</w:t>
      </w:r>
      <w:r w:rsidRPr="007E001F">
        <w:rPr>
          <w:rFonts w:eastAsiaTheme="minorEastAsia" w:hint="eastAsia"/>
        </w:rPr>
        <w:t>29</w:t>
      </w:r>
      <w:r w:rsidRPr="007E001F">
        <w:rPr>
          <w:rFonts w:eastAsiaTheme="minorEastAsia" w:hint="eastAsia"/>
        </w:rPr>
        <w:t>日，伦敦、墨西哥城、莫斯科和华盛顿特区</w:t>
      </w:r>
      <w:r>
        <w:t>)</w:t>
      </w:r>
      <w:r w:rsidRPr="007E001F">
        <w:t>，联合国</w:t>
      </w:r>
      <w:r>
        <w:rPr>
          <w:rFonts w:eastAsiaTheme="minorEastAsia" w:hint="eastAsia"/>
        </w:rPr>
        <w:t>，</w:t>
      </w:r>
      <w:r w:rsidRPr="007E001F">
        <w:t>《条约汇编》，</w:t>
      </w:r>
      <w:r w:rsidRPr="007E001F">
        <w:rPr>
          <w:rFonts w:eastAsiaTheme="minorEastAsia" w:hint="eastAsia"/>
        </w:rPr>
        <w:t>第</w:t>
      </w:r>
      <w:r w:rsidRPr="007E001F">
        <w:t>1046</w:t>
      </w:r>
      <w:r w:rsidRPr="007E001F">
        <w:rPr>
          <w:rFonts w:eastAsiaTheme="minorEastAsia" w:hint="eastAsia"/>
        </w:rPr>
        <w:t>卷，第</w:t>
      </w:r>
      <w:r w:rsidRPr="007E001F">
        <w:t>15749</w:t>
      </w:r>
      <w:r w:rsidRPr="007E001F">
        <w:rPr>
          <w:rFonts w:eastAsiaTheme="minorEastAsia" w:hint="eastAsia"/>
        </w:rPr>
        <w:t>号，第</w:t>
      </w:r>
      <w:r w:rsidRPr="007E001F">
        <w:t>138</w:t>
      </w:r>
      <w:r w:rsidRPr="007E001F">
        <w:rPr>
          <w:rFonts w:eastAsiaTheme="minorEastAsia" w:hint="eastAsia"/>
        </w:rPr>
        <w:t>页。</w:t>
      </w:r>
    </w:p>
  </w:footnote>
  <w:footnote w:id="1284">
    <w:p w:rsidR="00AB00DE" w:rsidRPr="007E001F" w:rsidRDefault="00AB00DE" w:rsidP="006735D4">
      <w:pPr>
        <w:pStyle w:val="a4"/>
      </w:pPr>
      <w:r w:rsidRPr="007E001F">
        <w:tab/>
      </w:r>
      <w:r w:rsidRPr="00681AC8">
        <w:rPr>
          <w:rStyle w:val="a5"/>
        </w:rPr>
        <w:footnoteRef/>
      </w:r>
      <w:r w:rsidRPr="007E001F">
        <w:rPr>
          <w:rStyle w:val="a5"/>
        </w:rPr>
        <w:t xml:space="preserve"> </w:t>
      </w:r>
      <w:r w:rsidRPr="007E001F">
        <w:tab/>
      </w:r>
      <w:r w:rsidRPr="007E001F">
        <w:rPr>
          <w:rFonts w:hint="eastAsia"/>
          <w:spacing w:val="2"/>
        </w:rPr>
        <w:t>《</w:t>
      </w:r>
      <w:r w:rsidRPr="007E001F">
        <w:rPr>
          <w:spacing w:val="2"/>
        </w:rPr>
        <w:t>1972</w:t>
      </w:r>
      <w:r w:rsidRPr="007E001F">
        <w:rPr>
          <w:rFonts w:hint="eastAsia"/>
          <w:spacing w:val="2"/>
        </w:rPr>
        <w:t>年〈防止倾倒废物及其他物质污染海洋的公约〉</w:t>
      </w:r>
      <w:r w:rsidRPr="007E001F">
        <w:rPr>
          <w:spacing w:val="2"/>
        </w:rPr>
        <w:t>1996</w:t>
      </w:r>
      <w:r w:rsidRPr="007E001F">
        <w:rPr>
          <w:rFonts w:hint="eastAsia"/>
          <w:spacing w:val="2"/>
        </w:rPr>
        <w:t>年议定书》</w:t>
      </w:r>
      <w:r>
        <w:rPr>
          <w:spacing w:val="2"/>
        </w:rPr>
        <w:t>(</w:t>
      </w:r>
      <w:r w:rsidRPr="007E001F">
        <w:rPr>
          <w:spacing w:val="2"/>
        </w:rPr>
        <w:t>1996</w:t>
      </w:r>
      <w:r w:rsidRPr="007E001F">
        <w:rPr>
          <w:spacing w:val="2"/>
        </w:rPr>
        <w:t>年</w:t>
      </w:r>
      <w:r w:rsidRPr="007E001F">
        <w:rPr>
          <w:rFonts w:eastAsiaTheme="minorEastAsia" w:hint="eastAsia"/>
          <w:spacing w:val="2"/>
        </w:rPr>
        <w:t>11</w:t>
      </w:r>
      <w:r w:rsidRPr="007E001F">
        <w:rPr>
          <w:rFonts w:eastAsiaTheme="minorEastAsia" w:hint="eastAsia"/>
          <w:spacing w:val="2"/>
        </w:rPr>
        <w:t>月</w:t>
      </w:r>
      <w:r w:rsidRPr="007E001F">
        <w:rPr>
          <w:rFonts w:eastAsiaTheme="minorEastAsia" w:hint="eastAsia"/>
          <w:spacing w:val="2"/>
        </w:rPr>
        <w:t>7</w:t>
      </w:r>
      <w:r w:rsidRPr="007E001F">
        <w:rPr>
          <w:rFonts w:eastAsiaTheme="minorEastAsia" w:hint="eastAsia"/>
          <w:spacing w:val="2"/>
        </w:rPr>
        <w:t>日，</w:t>
      </w:r>
      <w:r w:rsidRPr="007E001F">
        <w:rPr>
          <w:rFonts w:asciiTheme="minorEastAsia" w:eastAsiaTheme="minorEastAsia" w:hAnsiTheme="minorEastAsia" w:hint="eastAsia"/>
          <w:spacing w:val="2"/>
        </w:rPr>
        <w:t>伦敦</w:t>
      </w:r>
      <w:r>
        <w:rPr>
          <w:spacing w:val="2"/>
        </w:rPr>
        <w:t>)</w:t>
      </w:r>
      <w:r w:rsidRPr="007E001F">
        <w:rPr>
          <w:rFonts w:asciiTheme="minorEastAsia" w:eastAsiaTheme="minorEastAsia" w:hAnsiTheme="minorEastAsia" w:hint="eastAsia"/>
          <w:spacing w:val="2"/>
        </w:rPr>
        <w:t>，国际</w:t>
      </w:r>
      <w:r w:rsidRPr="007E001F">
        <w:rPr>
          <w:spacing w:val="2"/>
        </w:rPr>
        <w:t>法律资料</w:t>
      </w:r>
      <w:r w:rsidRPr="007E001F">
        <w:rPr>
          <w:rFonts w:asciiTheme="minorEastAsia" w:eastAsiaTheme="minorEastAsia" w:hAnsiTheme="minorEastAsia" w:hint="eastAsia"/>
          <w:spacing w:val="2"/>
        </w:rPr>
        <w:t>，</w:t>
      </w:r>
      <w:r w:rsidRPr="007E001F">
        <w:rPr>
          <w:spacing w:val="2"/>
        </w:rPr>
        <w:t>第</w:t>
      </w:r>
      <w:r w:rsidRPr="007E001F">
        <w:rPr>
          <w:spacing w:val="2"/>
        </w:rPr>
        <w:t>36</w:t>
      </w:r>
      <w:r w:rsidRPr="007E001F">
        <w:rPr>
          <w:spacing w:val="2"/>
        </w:rPr>
        <w:t>卷</w:t>
      </w:r>
      <w:r>
        <w:rPr>
          <w:spacing w:val="2"/>
        </w:rPr>
        <w:t>(</w:t>
      </w:r>
      <w:r w:rsidRPr="007E001F">
        <w:rPr>
          <w:spacing w:val="2"/>
        </w:rPr>
        <w:t>1997</w:t>
      </w:r>
      <w:r w:rsidRPr="007E001F">
        <w:rPr>
          <w:spacing w:val="2"/>
        </w:rPr>
        <w:t>年</w:t>
      </w:r>
      <w:r>
        <w:rPr>
          <w:spacing w:val="2"/>
        </w:rPr>
        <w:t>)</w:t>
      </w:r>
      <w:r w:rsidRPr="007E001F">
        <w:rPr>
          <w:rFonts w:asciiTheme="minorEastAsia" w:eastAsiaTheme="minorEastAsia" w:hAnsiTheme="minorEastAsia" w:hint="eastAsia"/>
          <w:spacing w:val="2"/>
        </w:rPr>
        <w:t>，</w:t>
      </w:r>
      <w:r w:rsidRPr="007E001F">
        <w:rPr>
          <w:spacing w:val="2"/>
        </w:rPr>
        <w:t>第</w:t>
      </w:r>
      <w:r w:rsidRPr="007E001F">
        <w:rPr>
          <w:spacing w:val="2"/>
        </w:rPr>
        <w:t>7</w:t>
      </w:r>
      <w:r w:rsidRPr="007E001F">
        <w:rPr>
          <w:spacing w:val="2"/>
        </w:rPr>
        <w:t>页</w:t>
      </w:r>
      <w:r w:rsidRPr="007E001F">
        <w:rPr>
          <w:rFonts w:asciiTheme="minorEastAsia" w:eastAsiaTheme="minorEastAsia" w:hAnsiTheme="minorEastAsia" w:hint="eastAsia"/>
          <w:spacing w:val="2"/>
        </w:rPr>
        <w:t>。</w:t>
      </w:r>
    </w:p>
  </w:footnote>
  <w:footnote w:id="1285">
    <w:p w:rsidR="00AB00DE" w:rsidRPr="007E001F" w:rsidRDefault="00AB00DE" w:rsidP="006735D4">
      <w:pPr>
        <w:pStyle w:val="a4"/>
        <w:rPr>
          <w:rFonts w:eastAsiaTheme="minorEastAsia"/>
        </w:rPr>
      </w:pPr>
      <w:r w:rsidRPr="007E001F">
        <w:tab/>
      </w:r>
      <w:r w:rsidRPr="00681AC8">
        <w:rPr>
          <w:rStyle w:val="a5"/>
        </w:rPr>
        <w:footnoteRef/>
      </w:r>
      <w:r w:rsidRPr="007E001F">
        <w:rPr>
          <w:rStyle w:val="a5"/>
        </w:rPr>
        <w:t xml:space="preserve"> </w:t>
      </w:r>
      <w:r w:rsidRPr="007E001F">
        <w:tab/>
      </w:r>
      <w:r w:rsidRPr="007E001F">
        <w:rPr>
          <w:rFonts w:eastAsiaTheme="minorEastAsia" w:hint="eastAsia"/>
        </w:rPr>
        <w:t>见《关于外空间发展视角下大气科学进步及其应用的第二次报告》</w:t>
      </w:r>
      <w:r>
        <w:t>(</w:t>
      </w:r>
      <w:r w:rsidRPr="007E001F">
        <w:rPr>
          <w:rFonts w:eastAsiaTheme="minorEastAsia" w:hint="eastAsia"/>
        </w:rPr>
        <w:t>日内瓦，世界气象组织，</w:t>
      </w:r>
      <w:r w:rsidRPr="007E001F">
        <w:rPr>
          <w:rFonts w:eastAsiaTheme="minorEastAsia" w:hint="eastAsia"/>
        </w:rPr>
        <w:t>1963</w:t>
      </w:r>
      <w:r w:rsidRPr="007E001F">
        <w:rPr>
          <w:rFonts w:eastAsiaTheme="minorEastAsia" w:hint="eastAsia"/>
        </w:rPr>
        <w:t>年</w:t>
      </w:r>
      <w:r>
        <w:t>)</w:t>
      </w:r>
      <w:r w:rsidRPr="007E001F">
        <w:rPr>
          <w:rFonts w:eastAsiaTheme="minorEastAsia" w:hint="eastAsia"/>
        </w:rPr>
        <w:t>；另见</w:t>
      </w:r>
      <w:r w:rsidRPr="007E001F">
        <w:rPr>
          <w:rFonts w:ascii="宋体" w:hAnsi="宋体" w:cs="宋体" w:hint="eastAsia"/>
        </w:rPr>
        <w:t>联合国环境规划署理事会</w:t>
      </w:r>
      <w:r w:rsidRPr="007E001F">
        <w:rPr>
          <w:rFonts w:asciiTheme="majorBidi" w:hAnsiTheme="majorBidi" w:cstheme="majorBidi"/>
        </w:rPr>
        <w:t>1980</w:t>
      </w:r>
      <w:r w:rsidRPr="007E001F">
        <w:rPr>
          <w:rFonts w:asciiTheme="majorBidi" w:hAnsiTheme="majorBidi" w:cstheme="majorBidi"/>
        </w:rPr>
        <w:t>年</w:t>
      </w:r>
      <w:r w:rsidRPr="007E001F">
        <w:rPr>
          <w:rFonts w:asciiTheme="majorBidi" w:hAnsiTheme="majorBidi" w:cstheme="majorBidi"/>
        </w:rPr>
        <w:t>4</w:t>
      </w:r>
      <w:r w:rsidRPr="007E001F">
        <w:rPr>
          <w:rFonts w:asciiTheme="majorBidi" w:hAnsiTheme="majorBidi" w:cstheme="majorBidi"/>
        </w:rPr>
        <w:t>月</w:t>
      </w:r>
      <w:r w:rsidRPr="007E001F">
        <w:rPr>
          <w:rFonts w:asciiTheme="majorBidi" w:hAnsiTheme="majorBidi" w:cstheme="majorBidi"/>
        </w:rPr>
        <w:t>29</w:t>
      </w:r>
      <w:r w:rsidRPr="007E001F">
        <w:rPr>
          <w:rFonts w:asciiTheme="majorBidi" w:hAnsiTheme="majorBidi" w:cstheme="majorBidi"/>
        </w:rPr>
        <w:t>日</w:t>
      </w:r>
      <w:hyperlink r:id="rId304" w:history="1">
        <w:r w:rsidRPr="007E001F">
          <w:t>第</w:t>
        </w:r>
        <w:r w:rsidRPr="007E001F">
          <w:t>8/7</w:t>
        </w:r>
        <w:r w:rsidRPr="007E001F">
          <w:t>号决定</w:t>
        </w:r>
      </w:hyperlink>
      <w:r>
        <w:t>(</w:t>
      </w:r>
      <w:r w:rsidRPr="007E001F">
        <w:rPr>
          <w:rFonts w:eastAsiaTheme="minorEastAsia" w:hint="eastAsia"/>
        </w:rPr>
        <w:t>地球观察：评估外部界限</w:t>
      </w:r>
      <w:r>
        <w:t>)</w:t>
      </w:r>
      <w:r w:rsidRPr="007E001F">
        <w:rPr>
          <w:rFonts w:eastAsiaTheme="minorEastAsia" w:hint="eastAsia"/>
        </w:rPr>
        <w:t>A</w:t>
      </w:r>
      <w:r w:rsidRPr="007E001F">
        <w:rPr>
          <w:rFonts w:eastAsiaTheme="minorEastAsia" w:hint="eastAsia"/>
        </w:rPr>
        <w:t>部分</w:t>
      </w:r>
      <w:r>
        <w:t>(</w:t>
      </w:r>
      <w:r w:rsidRPr="007E001F">
        <w:rPr>
          <w:rFonts w:eastAsiaTheme="minorEastAsia" w:hint="eastAsia"/>
        </w:rPr>
        <w:t>关于各国在人工影响天气方面开展合作的规定</w:t>
      </w:r>
      <w:r>
        <w:t>)</w:t>
      </w:r>
      <w:r w:rsidRPr="007E001F">
        <w:rPr>
          <w:rFonts w:eastAsiaTheme="minorEastAsia" w:hint="eastAsia"/>
        </w:rPr>
        <w:t>。</w:t>
      </w:r>
    </w:p>
  </w:footnote>
  <w:footnote w:id="1286">
    <w:p w:rsidR="00AB00DE" w:rsidRPr="007E001F" w:rsidRDefault="00AB00DE" w:rsidP="006735D4">
      <w:pPr>
        <w:pStyle w:val="a4"/>
        <w:rPr>
          <w:rFonts w:eastAsiaTheme="minorEastAsia"/>
        </w:rPr>
      </w:pPr>
      <w:r w:rsidRPr="007E001F">
        <w:tab/>
      </w:r>
      <w:r w:rsidRPr="00681AC8">
        <w:rPr>
          <w:rStyle w:val="a5"/>
        </w:rPr>
        <w:footnoteRef/>
      </w:r>
      <w:r w:rsidRPr="007E001F">
        <w:rPr>
          <w:rStyle w:val="a5"/>
        </w:rPr>
        <w:t xml:space="preserve"> </w:t>
      </w:r>
      <w:r w:rsidRPr="007E001F">
        <w:tab/>
      </w:r>
      <w:hyperlink r:id="rId305" w:history="1">
        <w:r w:rsidRPr="007E001F">
          <w:rPr>
            <w:rFonts w:eastAsia="楷体"/>
          </w:rPr>
          <w:t>南方蓝鳍金枪鱼案</w:t>
        </w:r>
      </w:hyperlink>
      <w:r>
        <w:rPr>
          <w:rFonts w:eastAsia="楷体"/>
        </w:rPr>
        <w:t>(</w:t>
      </w:r>
      <w:r w:rsidRPr="007E001F">
        <w:rPr>
          <w:rFonts w:eastAsia="楷体" w:hint="eastAsia"/>
        </w:rPr>
        <w:t>新西兰诉日本；澳大利亚诉日本</w:t>
      </w:r>
      <w:r>
        <w:rPr>
          <w:rFonts w:eastAsia="楷体"/>
        </w:rPr>
        <w:t>)</w:t>
      </w:r>
      <w:r w:rsidRPr="007E001F">
        <w:rPr>
          <w:rFonts w:eastAsiaTheme="minorEastAsia" w:hint="eastAsia"/>
        </w:rPr>
        <w:t>，临时措施，</w:t>
      </w:r>
      <w:r w:rsidRPr="007E001F">
        <w:t>1999</w:t>
      </w:r>
      <w:r w:rsidRPr="007E001F">
        <w:rPr>
          <w:rFonts w:eastAsiaTheme="minorEastAsia" w:hint="eastAsia"/>
        </w:rPr>
        <w:t>年</w:t>
      </w:r>
      <w:r w:rsidRPr="007E001F">
        <w:rPr>
          <w:rFonts w:eastAsiaTheme="minorEastAsia" w:hint="eastAsia"/>
        </w:rPr>
        <w:t>8</w:t>
      </w:r>
      <w:r w:rsidRPr="007E001F">
        <w:rPr>
          <w:rFonts w:eastAsiaTheme="minorEastAsia" w:hint="eastAsia"/>
        </w:rPr>
        <w:t>月</w:t>
      </w:r>
      <w:r w:rsidRPr="007E001F">
        <w:rPr>
          <w:rFonts w:eastAsiaTheme="minorEastAsia" w:hint="eastAsia"/>
        </w:rPr>
        <w:t>27</w:t>
      </w:r>
      <w:r w:rsidRPr="007E001F">
        <w:rPr>
          <w:rFonts w:eastAsiaTheme="minorEastAsia" w:hint="eastAsia"/>
        </w:rPr>
        <w:t>日的命令，《</w:t>
      </w:r>
      <w:r w:rsidRPr="007E001F">
        <w:rPr>
          <w:rFonts w:eastAsiaTheme="minorEastAsia" w:hint="eastAsia"/>
        </w:rPr>
        <w:t>1999</w:t>
      </w:r>
      <w:r w:rsidRPr="007E001F">
        <w:rPr>
          <w:rFonts w:eastAsiaTheme="minorEastAsia" w:hint="eastAsia"/>
        </w:rPr>
        <w:t>年国际海洋法法庭案例汇编》，第</w:t>
      </w:r>
      <w:r w:rsidRPr="007E001F">
        <w:t>280</w:t>
      </w:r>
      <w:r w:rsidRPr="007E001F">
        <w:rPr>
          <w:rFonts w:eastAsiaTheme="minorEastAsia" w:hint="eastAsia"/>
        </w:rPr>
        <w:t>页，见第</w:t>
      </w:r>
      <w:r w:rsidRPr="007E001F">
        <w:t>77</w:t>
      </w:r>
      <w:r w:rsidRPr="007E001F">
        <w:rPr>
          <w:rFonts w:eastAsiaTheme="minorEastAsia" w:hint="eastAsia"/>
        </w:rPr>
        <w:t>段。</w:t>
      </w:r>
      <w:r>
        <w:rPr>
          <w:rFonts w:eastAsiaTheme="minorEastAsia" w:hint="eastAsia"/>
        </w:rPr>
        <w:t>该法庭指出，“有鉴于此，法庭认为，双方应在这种情况下谨慎和审慎行事，以确保采取有效保护措施，防止对</w:t>
      </w:r>
      <w:r w:rsidRPr="00603940">
        <w:rPr>
          <w:rFonts w:eastAsiaTheme="minorEastAsia"/>
        </w:rPr>
        <w:t>南方蓝鳍金枪鱼</w:t>
      </w:r>
      <w:r>
        <w:rPr>
          <w:rFonts w:eastAsiaTheme="minorEastAsia" w:hint="eastAsia"/>
        </w:rPr>
        <w:t>鱼种造成严重危害。”</w:t>
      </w:r>
    </w:p>
  </w:footnote>
  <w:footnote w:id="1287">
    <w:p w:rsidR="00AB00DE" w:rsidRPr="007E001F" w:rsidRDefault="00AB00DE" w:rsidP="006735D4">
      <w:pPr>
        <w:pStyle w:val="a4"/>
        <w:rPr>
          <w:rFonts w:eastAsiaTheme="minorEastAsia"/>
        </w:rPr>
      </w:pPr>
      <w:r w:rsidRPr="007E001F">
        <w:tab/>
      </w:r>
      <w:r w:rsidRPr="00681AC8">
        <w:rPr>
          <w:rStyle w:val="a5"/>
        </w:rPr>
        <w:footnoteRef/>
      </w:r>
      <w:r w:rsidRPr="007E001F">
        <w:rPr>
          <w:rStyle w:val="a5"/>
        </w:rPr>
        <w:t xml:space="preserve"> </w:t>
      </w:r>
      <w:r w:rsidRPr="007E001F">
        <w:tab/>
      </w:r>
      <w:hyperlink r:id="rId306" w:history="1">
        <w:r w:rsidRPr="007E001F">
          <w:rPr>
            <w:rFonts w:eastAsia="楷体"/>
          </w:rPr>
          <w:t>混合氧化物核燃料厂案</w:t>
        </w:r>
      </w:hyperlink>
      <w:r>
        <w:rPr>
          <w:rFonts w:eastAsia="楷体"/>
        </w:rPr>
        <w:t>(</w:t>
      </w:r>
      <w:r w:rsidRPr="007E001F">
        <w:rPr>
          <w:rFonts w:eastAsia="楷体" w:hint="eastAsia"/>
        </w:rPr>
        <w:t>爱尔兰诉联合王国</w:t>
      </w:r>
      <w:r>
        <w:rPr>
          <w:rFonts w:eastAsia="楷体"/>
        </w:rPr>
        <w:t>)</w:t>
      </w:r>
      <w:r w:rsidRPr="007E001F">
        <w:rPr>
          <w:rFonts w:eastAsia="楷体" w:hint="eastAsia"/>
        </w:rPr>
        <w:t>，</w:t>
      </w:r>
      <w:r w:rsidRPr="007E001F">
        <w:rPr>
          <w:rFonts w:eastAsiaTheme="minorEastAsia" w:hint="eastAsia"/>
        </w:rPr>
        <w:t>临时措施，</w:t>
      </w:r>
      <w:r w:rsidRPr="007E001F">
        <w:t>2001</w:t>
      </w:r>
      <w:r w:rsidRPr="007E001F">
        <w:rPr>
          <w:rFonts w:eastAsiaTheme="minorEastAsia" w:hint="eastAsia"/>
        </w:rPr>
        <w:t>年</w:t>
      </w:r>
      <w:r w:rsidRPr="007E001F">
        <w:rPr>
          <w:rFonts w:eastAsiaTheme="minorEastAsia" w:hint="eastAsia"/>
        </w:rPr>
        <w:t>12</w:t>
      </w:r>
      <w:r w:rsidRPr="007E001F">
        <w:rPr>
          <w:rFonts w:eastAsiaTheme="minorEastAsia" w:hint="eastAsia"/>
        </w:rPr>
        <w:t>月</w:t>
      </w:r>
      <w:r w:rsidRPr="007E001F">
        <w:rPr>
          <w:rFonts w:eastAsiaTheme="minorEastAsia" w:hint="eastAsia"/>
        </w:rPr>
        <w:t>3</w:t>
      </w:r>
      <w:r w:rsidRPr="007E001F">
        <w:rPr>
          <w:rFonts w:eastAsiaTheme="minorEastAsia" w:hint="eastAsia"/>
        </w:rPr>
        <w:t>日的命令，《</w:t>
      </w:r>
      <w:r w:rsidRPr="007E001F">
        <w:rPr>
          <w:rFonts w:eastAsiaTheme="minorEastAsia" w:hint="eastAsia"/>
        </w:rPr>
        <w:t>2001</w:t>
      </w:r>
      <w:r w:rsidRPr="007E001F">
        <w:rPr>
          <w:rFonts w:eastAsiaTheme="minorEastAsia" w:hint="eastAsia"/>
        </w:rPr>
        <w:t>年国际海洋法法庭案例汇编》，第</w:t>
      </w:r>
      <w:r w:rsidRPr="007E001F">
        <w:t>95</w:t>
      </w:r>
      <w:r w:rsidRPr="007E001F">
        <w:rPr>
          <w:rFonts w:eastAsiaTheme="minorEastAsia" w:hint="eastAsia"/>
        </w:rPr>
        <w:t>页，见第</w:t>
      </w:r>
      <w:r w:rsidRPr="007E001F">
        <w:t>84</w:t>
      </w:r>
      <w:r w:rsidRPr="007E001F">
        <w:rPr>
          <w:rFonts w:eastAsiaTheme="minorEastAsia" w:hint="eastAsia"/>
        </w:rPr>
        <w:t>段</w:t>
      </w:r>
      <w:r>
        <w:rPr>
          <w:rFonts w:eastAsiaTheme="minorEastAsia" w:hint="eastAsia"/>
        </w:rPr>
        <w:t>(</w:t>
      </w:r>
      <w:r>
        <w:rPr>
          <w:rFonts w:eastAsiaTheme="minorEastAsia" w:hint="eastAsia"/>
        </w:rPr>
        <w:t>“有</w:t>
      </w:r>
      <w:r w:rsidRPr="0012652C">
        <w:rPr>
          <w:rFonts w:eastAsiaTheme="minorEastAsia" w:hint="eastAsia"/>
        </w:rPr>
        <w:t>鉴于此，法庭认为，</w:t>
      </w:r>
      <w:r w:rsidRPr="0012652C">
        <w:rPr>
          <w:rFonts w:hint="eastAsia"/>
        </w:rPr>
        <w:t>审慎和谨慎原则要求</w:t>
      </w:r>
      <w:r w:rsidRPr="0012652C">
        <w:rPr>
          <w:rFonts w:eastAsiaTheme="minorEastAsia" w:hint="eastAsia"/>
        </w:rPr>
        <w:t>爱尔兰</w:t>
      </w:r>
      <w:r w:rsidRPr="0012652C">
        <w:rPr>
          <w:rFonts w:hint="eastAsia"/>
        </w:rPr>
        <w:t>和</w:t>
      </w:r>
      <w:r w:rsidRPr="0012652C">
        <w:rPr>
          <w:rFonts w:eastAsiaTheme="minorEastAsia" w:hint="eastAsia"/>
        </w:rPr>
        <w:t>联合王国开展合作，</w:t>
      </w:r>
      <w:r w:rsidRPr="0012652C">
        <w:rPr>
          <w:rFonts w:hint="eastAsia"/>
        </w:rPr>
        <w:t>交流</w:t>
      </w:r>
      <w:r w:rsidRPr="0012652C">
        <w:rPr>
          <w:rFonts w:eastAsiaTheme="minorEastAsia" w:hint="eastAsia"/>
        </w:rPr>
        <w:t>关于</w:t>
      </w:r>
      <w:r w:rsidRPr="0012652C">
        <w:rPr>
          <w:rFonts w:eastAsiaTheme="minorEastAsia"/>
        </w:rPr>
        <w:t>混合氧化物核燃料厂</w:t>
      </w:r>
      <w:r w:rsidRPr="0012652C">
        <w:rPr>
          <w:rFonts w:eastAsiaTheme="minorEastAsia" w:hint="eastAsia"/>
        </w:rPr>
        <w:t>的运营所造成的风险或影响的</w:t>
      </w:r>
      <w:r w:rsidRPr="0012652C">
        <w:rPr>
          <w:rFonts w:hint="eastAsia"/>
        </w:rPr>
        <w:t>信息</w:t>
      </w:r>
      <w:r w:rsidRPr="0012652C">
        <w:rPr>
          <w:rFonts w:eastAsiaTheme="minorEastAsia" w:hint="eastAsia"/>
        </w:rPr>
        <w:t>，</w:t>
      </w:r>
      <w:r w:rsidRPr="0012652C">
        <w:rPr>
          <w:rFonts w:hint="eastAsia"/>
        </w:rPr>
        <w:t>并</w:t>
      </w:r>
      <w:r w:rsidRPr="0012652C">
        <w:rPr>
          <w:rFonts w:eastAsiaTheme="minorEastAsia" w:hint="eastAsia"/>
        </w:rPr>
        <w:t>酌情</w:t>
      </w:r>
      <w:r w:rsidRPr="0012652C">
        <w:rPr>
          <w:rFonts w:hint="eastAsia"/>
        </w:rPr>
        <w:t>制定应对这些风险或影响的方式</w:t>
      </w:r>
      <w:r w:rsidRPr="0012652C">
        <w:rPr>
          <w:rFonts w:eastAsiaTheme="minorEastAsia" w:hint="eastAsia"/>
        </w:rPr>
        <w:t>”</w:t>
      </w:r>
      <w:r w:rsidRPr="0012652C">
        <w:rPr>
          <w:rFonts w:eastAsiaTheme="minorEastAsia" w:hint="eastAsia"/>
        </w:rPr>
        <w:t>)</w:t>
      </w:r>
      <w:r w:rsidRPr="0012652C">
        <w:rPr>
          <w:rFonts w:eastAsiaTheme="minorEastAsia" w:hint="eastAsia"/>
        </w:rPr>
        <w:t>。</w:t>
      </w:r>
    </w:p>
  </w:footnote>
  <w:footnote w:id="1288">
    <w:p w:rsidR="00AB00DE" w:rsidRPr="007E001F" w:rsidRDefault="00AB00DE" w:rsidP="006735D4">
      <w:pPr>
        <w:pStyle w:val="a4"/>
        <w:rPr>
          <w:rFonts w:eastAsiaTheme="minorEastAsia"/>
        </w:rPr>
      </w:pPr>
      <w:r w:rsidRPr="007E001F">
        <w:tab/>
      </w:r>
      <w:r w:rsidRPr="00681AC8">
        <w:rPr>
          <w:rStyle w:val="a5"/>
        </w:rPr>
        <w:footnoteRef/>
      </w:r>
      <w:r w:rsidRPr="007E001F">
        <w:rPr>
          <w:rStyle w:val="a5"/>
        </w:rPr>
        <w:t xml:space="preserve"> </w:t>
      </w:r>
      <w:r w:rsidRPr="007E001F">
        <w:tab/>
      </w:r>
      <w:hyperlink r:id="rId307" w:history="1">
        <w:r w:rsidRPr="007E001F">
          <w:rPr>
            <w:rFonts w:eastAsia="楷体"/>
          </w:rPr>
          <w:t>新加坡在柔佛海峡及周边填海案</w:t>
        </w:r>
        <w:r>
          <w:rPr>
            <w:rFonts w:eastAsia="楷体"/>
          </w:rPr>
          <w:t>(</w:t>
        </w:r>
        <w:r w:rsidRPr="007E001F">
          <w:rPr>
            <w:rFonts w:eastAsia="楷体"/>
          </w:rPr>
          <w:t>马来西亚诉新加坡</w:t>
        </w:r>
        <w:r>
          <w:rPr>
            <w:rFonts w:eastAsia="楷体"/>
          </w:rPr>
          <w:t>)</w:t>
        </w:r>
      </w:hyperlink>
      <w:r w:rsidRPr="007E001F">
        <w:rPr>
          <w:rFonts w:eastAsiaTheme="minorEastAsia" w:hint="eastAsia"/>
        </w:rPr>
        <w:t>，临时措施，</w:t>
      </w:r>
      <w:r w:rsidRPr="007E001F">
        <w:t>2003</w:t>
      </w:r>
      <w:r w:rsidRPr="007E001F">
        <w:rPr>
          <w:rFonts w:eastAsiaTheme="minorEastAsia" w:hint="eastAsia"/>
        </w:rPr>
        <w:t>年</w:t>
      </w:r>
      <w:r w:rsidRPr="007E001F">
        <w:rPr>
          <w:rFonts w:eastAsiaTheme="minorEastAsia" w:hint="eastAsia"/>
        </w:rPr>
        <w:t>10</w:t>
      </w:r>
      <w:r w:rsidRPr="007E001F">
        <w:rPr>
          <w:rFonts w:eastAsiaTheme="minorEastAsia" w:hint="eastAsia"/>
        </w:rPr>
        <w:t>月</w:t>
      </w:r>
      <w:r w:rsidRPr="007E001F">
        <w:rPr>
          <w:rFonts w:eastAsiaTheme="minorEastAsia" w:hint="eastAsia"/>
        </w:rPr>
        <w:t>8</w:t>
      </w:r>
      <w:r w:rsidRPr="007E001F">
        <w:rPr>
          <w:rFonts w:eastAsiaTheme="minorEastAsia" w:hint="eastAsia"/>
        </w:rPr>
        <w:t>日的命令，《</w:t>
      </w:r>
      <w:r w:rsidRPr="007E001F">
        <w:rPr>
          <w:rFonts w:eastAsiaTheme="minorEastAsia" w:hint="eastAsia"/>
        </w:rPr>
        <w:t>2003</w:t>
      </w:r>
      <w:r w:rsidRPr="007E001F">
        <w:rPr>
          <w:rFonts w:eastAsiaTheme="minorEastAsia" w:hint="eastAsia"/>
        </w:rPr>
        <w:t>年国际海洋法法庭案例汇编》，第</w:t>
      </w:r>
      <w:r w:rsidRPr="007E001F">
        <w:rPr>
          <w:rFonts w:eastAsiaTheme="minorEastAsia" w:hint="eastAsia"/>
        </w:rPr>
        <w:t>10</w:t>
      </w:r>
      <w:r w:rsidRPr="007E001F">
        <w:rPr>
          <w:rFonts w:eastAsiaTheme="minorEastAsia" w:hint="eastAsia"/>
        </w:rPr>
        <w:t>页，见第</w:t>
      </w:r>
      <w:r w:rsidRPr="007E001F">
        <w:t>99</w:t>
      </w:r>
      <w:r w:rsidRPr="007E001F">
        <w:rPr>
          <w:rFonts w:eastAsiaTheme="minorEastAsia" w:hint="eastAsia"/>
        </w:rPr>
        <w:t>段。</w:t>
      </w:r>
    </w:p>
  </w:footnote>
  <w:footnote w:id="1289">
    <w:p w:rsidR="00AB00DE" w:rsidRPr="003B17FA" w:rsidRDefault="00AB00DE" w:rsidP="006735D4">
      <w:pPr>
        <w:pStyle w:val="a4"/>
        <w:rPr>
          <w:rFonts w:asciiTheme="majorBidi" w:hAnsiTheme="majorBidi" w:cstheme="majorBidi"/>
          <w:sz w:val="24"/>
          <w:szCs w:val="24"/>
        </w:rPr>
      </w:pPr>
      <w:r>
        <w:rPr>
          <w:rFonts w:asciiTheme="majorBidi" w:hAnsiTheme="majorBidi" w:cstheme="majorBidi"/>
          <w:sz w:val="24"/>
          <w:szCs w:val="24"/>
        </w:rPr>
        <w:tab/>
      </w:r>
      <w:r w:rsidRPr="00681AC8">
        <w:rPr>
          <w:rFonts w:cstheme="majorBidi"/>
          <w:color w:val="0000FF"/>
          <w:sz w:val="21"/>
          <w:szCs w:val="24"/>
          <w:vertAlign w:val="superscript"/>
        </w:rPr>
        <w:footnoteRef/>
      </w:r>
      <w:r>
        <w:rPr>
          <w:rFonts w:asciiTheme="majorBidi" w:hAnsiTheme="majorBidi" w:cstheme="majorBidi"/>
          <w:sz w:val="24"/>
          <w:szCs w:val="24"/>
        </w:rPr>
        <w:tab/>
      </w:r>
      <w:r w:rsidRPr="00BE66C0">
        <w:rPr>
          <w:rFonts w:asciiTheme="majorBidi" w:hAnsiTheme="majorBidi" w:cstheme="majorBidi"/>
          <w:color w:val="000000" w:themeColor="text1"/>
          <w:szCs w:val="24"/>
        </w:rPr>
        <w:t>2015</w:t>
      </w:r>
      <w:r w:rsidRPr="00BE66C0">
        <w:rPr>
          <w:rFonts w:asciiTheme="majorBidi" w:hAnsiTheme="majorBidi" w:cstheme="majorBidi"/>
          <w:color w:val="000000" w:themeColor="text1"/>
          <w:szCs w:val="24"/>
        </w:rPr>
        <w:t>年</w:t>
      </w:r>
      <w:r w:rsidRPr="00BE66C0">
        <w:rPr>
          <w:rFonts w:asciiTheme="majorBidi" w:hAnsiTheme="majorBidi" w:cstheme="majorBidi"/>
          <w:color w:val="000000" w:themeColor="text1"/>
          <w:szCs w:val="24"/>
        </w:rPr>
        <w:t>5</w:t>
      </w:r>
      <w:r w:rsidRPr="00BE66C0">
        <w:rPr>
          <w:rFonts w:asciiTheme="majorBidi" w:hAnsiTheme="majorBidi" w:cstheme="majorBidi"/>
          <w:color w:val="000000" w:themeColor="text1"/>
          <w:szCs w:val="24"/>
        </w:rPr>
        <w:t>月</w:t>
      </w:r>
      <w:r w:rsidRPr="00BE66C0">
        <w:rPr>
          <w:rFonts w:asciiTheme="majorBidi" w:hAnsiTheme="majorBidi" w:cstheme="majorBidi"/>
          <w:color w:val="000000" w:themeColor="text1"/>
          <w:szCs w:val="24"/>
        </w:rPr>
        <w:t>27</w:t>
      </w:r>
      <w:r w:rsidRPr="00BE66C0">
        <w:rPr>
          <w:rFonts w:asciiTheme="majorBidi" w:hAnsiTheme="majorBidi" w:cstheme="majorBidi"/>
          <w:color w:val="000000" w:themeColor="text1"/>
          <w:szCs w:val="24"/>
        </w:rPr>
        <w:t>日举行的第</w:t>
      </w:r>
      <w:r w:rsidRPr="00BE66C0">
        <w:rPr>
          <w:rFonts w:asciiTheme="majorBidi" w:hAnsiTheme="majorBidi" w:cstheme="majorBidi"/>
          <w:color w:val="000000" w:themeColor="text1"/>
          <w:szCs w:val="24"/>
        </w:rPr>
        <w:t>3257</w:t>
      </w:r>
      <w:r>
        <w:rPr>
          <w:rFonts w:asciiTheme="majorBidi" w:hAnsiTheme="majorBidi" w:cstheme="majorBidi"/>
          <w:color w:val="000000" w:themeColor="text1"/>
          <w:szCs w:val="24"/>
        </w:rPr>
        <w:t>次会议</w:t>
      </w:r>
      <w:r w:rsidRPr="00BE66C0">
        <w:rPr>
          <w:rFonts w:asciiTheme="majorBidi" w:hAnsiTheme="majorBidi" w:cstheme="majorBidi"/>
          <w:color w:val="000000" w:themeColor="text1"/>
          <w:szCs w:val="24"/>
        </w:rPr>
        <w:t>(</w:t>
      </w:r>
      <w:r w:rsidRPr="00BE66C0">
        <w:rPr>
          <w:rFonts w:asciiTheme="majorBidi" w:hAnsiTheme="majorBidi" w:cstheme="majorBidi"/>
          <w:color w:val="000000" w:themeColor="text1"/>
          <w:szCs w:val="24"/>
        </w:rPr>
        <w:t>《大会正式记录，第七十届会议，补编第</w:t>
      </w:r>
      <w:r w:rsidRPr="00BE66C0">
        <w:rPr>
          <w:rFonts w:asciiTheme="majorBidi" w:hAnsiTheme="majorBidi" w:cstheme="majorBidi"/>
          <w:color w:val="000000" w:themeColor="text1"/>
          <w:szCs w:val="24"/>
        </w:rPr>
        <w:t>10</w:t>
      </w:r>
      <w:r w:rsidRPr="00BE66C0">
        <w:rPr>
          <w:rFonts w:asciiTheme="majorBidi" w:hAnsiTheme="majorBidi" w:cstheme="majorBidi"/>
          <w:color w:val="000000" w:themeColor="text1"/>
          <w:szCs w:val="24"/>
        </w:rPr>
        <w:t>号》</w:t>
      </w:r>
      <w:r w:rsidRPr="00BE66C0">
        <w:rPr>
          <w:rFonts w:asciiTheme="majorBidi" w:hAnsiTheme="majorBidi" w:cstheme="majorBidi"/>
          <w:color w:val="000000" w:themeColor="text1"/>
          <w:szCs w:val="24"/>
        </w:rPr>
        <w:t>(</w:t>
      </w:r>
      <w:hyperlink r:id="rId308" w:history="1">
        <w:r w:rsidRPr="00BE66C0">
          <w:rPr>
            <w:rStyle w:val="af"/>
            <w:rFonts w:asciiTheme="majorBidi" w:hAnsiTheme="majorBidi" w:cstheme="majorBidi"/>
            <w:color w:val="000000" w:themeColor="text1"/>
          </w:rPr>
          <w:t>A/70/10</w:t>
        </w:r>
      </w:hyperlink>
      <w:r w:rsidRPr="00BE66C0">
        <w:rPr>
          <w:rFonts w:asciiTheme="majorBidi" w:hAnsiTheme="majorBidi" w:cstheme="majorBidi"/>
          <w:color w:val="000000" w:themeColor="text1"/>
          <w:szCs w:val="24"/>
        </w:rPr>
        <w:t>)</w:t>
      </w:r>
      <w:r w:rsidRPr="00BE66C0">
        <w:rPr>
          <w:rFonts w:asciiTheme="majorBidi" w:hAnsiTheme="majorBidi" w:cstheme="majorBidi"/>
          <w:color w:val="000000" w:themeColor="text1"/>
          <w:szCs w:val="24"/>
        </w:rPr>
        <w:t>，第</w:t>
      </w:r>
      <w:r w:rsidRPr="00BE66C0">
        <w:rPr>
          <w:rFonts w:asciiTheme="majorBidi" w:hAnsiTheme="majorBidi" w:cstheme="majorBidi"/>
          <w:color w:val="000000" w:themeColor="text1"/>
          <w:szCs w:val="24"/>
        </w:rPr>
        <w:t>286</w:t>
      </w:r>
      <w:r w:rsidRPr="00BE66C0">
        <w:rPr>
          <w:rFonts w:asciiTheme="majorBidi" w:hAnsiTheme="majorBidi" w:cstheme="majorBidi"/>
          <w:color w:val="000000" w:themeColor="text1"/>
          <w:szCs w:val="24"/>
        </w:rPr>
        <w:t>段</w:t>
      </w:r>
      <w:r w:rsidRPr="00BE66C0">
        <w:rPr>
          <w:rFonts w:asciiTheme="majorBidi" w:hAnsiTheme="majorBidi" w:cstheme="majorBidi"/>
          <w:color w:val="000000" w:themeColor="text1"/>
          <w:szCs w:val="24"/>
        </w:rPr>
        <w:t>)</w:t>
      </w:r>
      <w:r w:rsidRPr="00BE66C0">
        <w:rPr>
          <w:rFonts w:asciiTheme="majorBidi" w:hAnsiTheme="majorBidi" w:cstheme="majorBidi"/>
          <w:color w:val="000000" w:themeColor="text1"/>
          <w:szCs w:val="24"/>
        </w:rPr>
        <w:t>。委员会第六十六届会议</w:t>
      </w:r>
      <w:r w:rsidRPr="00BE66C0">
        <w:rPr>
          <w:rFonts w:asciiTheme="majorBidi" w:hAnsiTheme="majorBidi" w:cstheme="majorBidi"/>
          <w:color w:val="000000" w:themeColor="text1"/>
          <w:szCs w:val="24"/>
        </w:rPr>
        <w:t>(2014</w:t>
      </w:r>
      <w:r w:rsidRPr="00BE66C0">
        <w:rPr>
          <w:rFonts w:asciiTheme="majorBidi" w:hAnsiTheme="majorBidi" w:cstheme="majorBidi"/>
          <w:color w:val="000000" w:themeColor="text1"/>
          <w:szCs w:val="24"/>
        </w:rPr>
        <w:t>年</w:t>
      </w:r>
      <w:r w:rsidRPr="00BE66C0">
        <w:rPr>
          <w:rFonts w:asciiTheme="majorBidi" w:hAnsiTheme="majorBidi" w:cstheme="majorBidi"/>
          <w:color w:val="000000" w:themeColor="text1"/>
          <w:szCs w:val="24"/>
        </w:rPr>
        <w:t>)</w:t>
      </w:r>
      <w:r w:rsidRPr="00BE66C0">
        <w:rPr>
          <w:rFonts w:asciiTheme="majorBidi" w:hAnsiTheme="majorBidi" w:cstheme="majorBidi"/>
          <w:color w:val="000000" w:themeColor="text1"/>
          <w:szCs w:val="24"/>
        </w:rPr>
        <w:t>按照委员会报告附件所载的建议</w:t>
      </w:r>
      <w:r w:rsidRPr="00BE66C0">
        <w:rPr>
          <w:rFonts w:asciiTheme="majorBidi" w:hAnsiTheme="majorBidi" w:cstheme="majorBidi"/>
          <w:color w:val="000000" w:themeColor="text1"/>
          <w:szCs w:val="24"/>
        </w:rPr>
        <w:t>(</w:t>
      </w:r>
      <w:r w:rsidRPr="00BE66C0">
        <w:rPr>
          <w:rFonts w:asciiTheme="majorBidi" w:hAnsiTheme="majorBidi" w:cstheme="majorBidi"/>
          <w:color w:val="000000" w:themeColor="text1"/>
          <w:szCs w:val="24"/>
        </w:rPr>
        <w:t>同上，《第六十九届会议，补编第</w:t>
      </w:r>
      <w:r w:rsidRPr="00BE66C0">
        <w:rPr>
          <w:rFonts w:asciiTheme="majorBidi" w:hAnsiTheme="majorBidi" w:cstheme="majorBidi"/>
          <w:color w:val="000000" w:themeColor="text1"/>
          <w:szCs w:val="24"/>
        </w:rPr>
        <w:t>10</w:t>
      </w:r>
      <w:r w:rsidRPr="00BE66C0">
        <w:rPr>
          <w:rFonts w:asciiTheme="majorBidi" w:hAnsiTheme="majorBidi" w:cstheme="majorBidi"/>
          <w:color w:val="000000" w:themeColor="text1"/>
          <w:szCs w:val="24"/>
        </w:rPr>
        <w:t>号》</w:t>
      </w:r>
      <w:r w:rsidRPr="00BE66C0">
        <w:rPr>
          <w:rFonts w:asciiTheme="majorBidi" w:hAnsiTheme="majorBidi" w:cstheme="majorBidi"/>
          <w:color w:val="000000" w:themeColor="text1"/>
          <w:szCs w:val="24"/>
        </w:rPr>
        <w:t>(</w:t>
      </w:r>
      <w:hyperlink r:id="rId309" w:history="1">
        <w:r w:rsidRPr="00BE66C0">
          <w:rPr>
            <w:rStyle w:val="af"/>
            <w:rFonts w:asciiTheme="majorBidi" w:hAnsiTheme="majorBidi" w:cstheme="majorBidi"/>
            <w:color w:val="000000" w:themeColor="text1"/>
          </w:rPr>
          <w:t>A/69/10</w:t>
        </w:r>
      </w:hyperlink>
      <w:r w:rsidRPr="00BE66C0">
        <w:rPr>
          <w:rFonts w:asciiTheme="majorBidi" w:hAnsiTheme="majorBidi" w:cstheme="majorBidi"/>
          <w:color w:val="000000" w:themeColor="text1"/>
          <w:szCs w:val="24"/>
        </w:rPr>
        <w:t>))</w:t>
      </w:r>
      <w:r w:rsidRPr="00BE66C0">
        <w:rPr>
          <w:rFonts w:asciiTheme="majorBidi" w:hAnsiTheme="majorBidi" w:cstheme="majorBidi"/>
          <w:color w:val="000000" w:themeColor="text1"/>
          <w:szCs w:val="24"/>
        </w:rPr>
        <w:t>将</w:t>
      </w:r>
      <w:r>
        <w:rPr>
          <w:rFonts w:asciiTheme="majorBidi" w:eastAsiaTheme="minorEastAsia" w:hAnsiTheme="majorBidi" w:cstheme="majorBidi" w:hint="eastAsia"/>
          <w:color w:val="000000" w:themeColor="text1"/>
          <w:szCs w:val="24"/>
        </w:rPr>
        <w:t>此</w:t>
      </w:r>
      <w:r w:rsidRPr="00BE66C0">
        <w:rPr>
          <w:rFonts w:asciiTheme="majorBidi" w:hAnsiTheme="majorBidi" w:cstheme="majorBidi"/>
          <w:color w:val="000000" w:themeColor="text1"/>
          <w:szCs w:val="24"/>
        </w:rPr>
        <w:t>专题列入长期工作方案</w:t>
      </w:r>
      <w:r w:rsidRPr="00B472E7">
        <w:rPr>
          <w:rFonts w:asciiTheme="majorBidi" w:hAnsiTheme="majorBidi" w:cstheme="majorBidi" w:hint="eastAsia"/>
          <w:szCs w:val="24"/>
        </w:rPr>
        <w:t>。</w:t>
      </w:r>
    </w:p>
  </w:footnote>
  <w:footnote w:id="1290">
    <w:p w:rsidR="00AB00DE" w:rsidRPr="00BF353D" w:rsidRDefault="00AB00DE" w:rsidP="006735D4">
      <w:pPr>
        <w:pStyle w:val="a4"/>
        <w:rPr>
          <w:rFonts w:asciiTheme="majorBidi" w:hAnsiTheme="majorBidi" w:cstheme="majorBidi"/>
          <w:sz w:val="24"/>
          <w:szCs w:val="24"/>
        </w:rPr>
      </w:pPr>
      <w:r>
        <w:rPr>
          <w:rFonts w:asciiTheme="majorBidi" w:hAnsiTheme="majorBidi" w:cstheme="majorBidi"/>
          <w:sz w:val="24"/>
          <w:szCs w:val="24"/>
        </w:rPr>
        <w:tab/>
      </w:r>
      <w:r w:rsidRPr="00681AC8">
        <w:rPr>
          <w:rFonts w:cstheme="majorBidi"/>
          <w:color w:val="0000FF"/>
          <w:sz w:val="21"/>
          <w:szCs w:val="24"/>
          <w:vertAlign w:val="superscript"/>
        </w:rPr>
        <w:footnoteRef/>
      </w:r>
      <w:r>
        <w:rPr>
          <w:rFonts w:asciiTheme="majorBidi" w:hAnsiTheme="majorBidi" w:cstheme="majorBidi"/>
          <w:sz w:val="24"/>
          <w:szCs w:val="24"/>
        </w:rPr>
        <w:tab/>
      </w:r>
      <w:r w:rsidRPr="00BE66C0">
        <w:rPr>
          <w:rFonts w:asciiTheme="majorBidi" w:hAnsiTheme="majorBidi" w:cstheme="majorBidi"/>
          <w:szCs w:val="24"/>
        </w:rPr>
        <w:t>http://legal.un.org/ilc</w:t>
      </w:r>
      <w:r>
        <w:rPr>
          <w:rFonts w:asciiTheme="majorBidi" w:hAnsiTheme="majorBidi" w:cstheme="majorBidi" w:hint="eastAsia"/>
          <w:szCs w:val="24"/>
        </w:rPr>
        <w:t>。</w:t>
      </w:r>
    </w:p>
  </w:footnote>
  <w:footnote w:id="1291">
    <w:p w:rsidR="00AB00DE" w:rsidRPr="00E42063" w:rsidRDefault="00AB00DE" w:rsidP="006735D4">
      <w:pPr>
        <w:pStyle w:val="a4"/>
      </w:pPr>
      <w:r>
        <w:tab/>
      </w:r>
      <w:r w:rsidRPr="00681AC8">
        <w:rPr>
          <w:rStyle w:val="a5"/>
        </w:rPr>
        <w:footnoteRef/>
      </w:r>
      <w:r>
        <w:tab/>
      </w:r>
      <w:r w:rsidRPr="00E42063">
        <w:rPr>
          <w:rFonts w:asciiTheme="majorBidi" w:hAnsiTheme="majorBidi" w:cstheme="majorBidi" w:hint="eastAsia"/>
          <w:szCs w:val="24"/>
        </w:rPr>
        <w:t>见</w:t>
      </w:r>
      <w:r w:rsidRPr="00E42063">
        <w:rPr>
          <w:rFonts w:asciiTheme="majorBidi" w:hAnsiTheme="majorBidi" w:cstheme="majorBidi"/>
          <w:szCs w:val="24"/>
        </w:rPr>
        <w:t>H. Lauterpacht</w:t>
      </w:r>
      <w:r w:rsidRPr="00BE66C0">
        <w:rPr>
          <w:rFonts w:asciiTheme="majorBidi" w:hAnsiTheme="majorBidi" w:cstheme="majorBidi" w:hint="eastAsia"/>
          <w:color w:val="000000" w:themeColor="text1"/>
          <w:szCs w:val="24"/>
        </w:rPr>
        <w:t>，关于条约法的报告，《</w:t>
      </w:r>
      <w:r w:rsidRPr="00BE66C0">
        <w:rPr>
          <w:rFonts w:asciiTheme="majorBidi" w:hAnsiTheme="majorBidi" w:cstheme="majorBidi" w:hint="eastAsia"/>
          <w:color w:val="000000" w:themeColor="text1"/>
          <w:szCs w:val="24"/>
        </w:rPr>
        <w:t>1953</w:t>
      </w:r>
      <w:r w:rsidRPr="00BE66C0">
        <w:rPr>
          <w:rFonts w:asciiTheme="majorBidi" w:hAnsiTheme="majorBidi" w:cstheme="majorBidi" w:hint="eastAsia"/>
          <w:color w:val="000000" w:themeColor="text1"/>
          <w:szCs w:val="24"/>
        </w:rPr>
        <w:t>年……年鉴》，第二卷，</w:t>
      </w:r>
      <w:hyperlink r:id="rId310" w:history="1">
        <w:r w:rsidRPr="00BE66C0">
          <w:rPr>
            <w:rStyle w:val="af"/>
            <w:rFonts w:asciiTheme="majorBidi" w:hAnsiTheme="majorBidi" w:cstheme="majorBidi"/>
            <w:color w:val="000000" w:themeColor="text1"/>
          </w:rPr>
          <w:t>A/CN.</w:t>
        </w:r>
        <w:r w:rsidRPr="00BE66C0">
          <w:rPr>
            <w:rStyle w:val="af"/>
            <w:rFonts w:asciiTheme="majorBidi" w:hAnsiTheme="majorBidi" w:cstheme="majorBidi" w:hint="eastAsia"/>
            <w:color w:val="000000" w:themeColor="text1"/>
          </w:rPr>
          <w:t>4</w:t>
        </w:r>
        <w:r w:rsidRPr="00BE66C0">
          <w:rPr>
            <w:rStyle w:val="af"/>
            <w:rFonts w:asciiTheme="majorBidi" w:hAnsiTheme="majorBidi" w:cstheme="majorBidi"/>
            <w:color w:val="000000" w:themeColor="text1"/>
          </w:rPr>
          <w:t>/63</w:t>
        </w:r>
      </w:hyperlink>
      <w:r w:rsidRPr="00E42063">
        <w:rPr>
          <w:rFonts w:asciiTheme="majorBidi" w:hAnsiTheme="majorBidi" w:cstheme="majorBidi" w:hint="eastAsia"/>
          <w:szCs w:val="24"/>
        </w:rPr>
        <w:t>号文件，第</w:t>
      </w:r>
      <w:r w:rsidRPr="00E42063">
        <w:rPr>
          <w:rFonts w:asciiTheme="majorBidi" w:hAnsiTheme="majorBidi" w:cstheme="majorBidi"/>
          <w:szCs w:val="24"/>
        </w:rPr>
        <w:t>154</w:t>
      </w:r>
      <w:r w:rsidRPr="00E42063">
        <w:rPr>
          <w:rFonts w:asciiTheme="majorBidi" w:hAnsiTheme="majorBidi" w:cstheme="majorBidi" w:hint="eastAsia"/>
          <w:szCs w:val="24"/>
        </w:rPr>
        <w:t>页。</w:t>
      </w:r>
    </w:p>
  </w:footnote>
  <w:footnote w:id="1292">
    <w:p w:rsidR="00AB00DE" w:rsidRPr="00E42063" w:rsidRDefault="00AB00DE" w:rsidP="006735D4">
      <w:pPr>
        <w:pStyle w:val="a4"/>
      </w:pPr>
      <w:r w:rsidRPr="00E42063">
        <w:tab/>
      </w:r>
      <w:r w:rsidRPr="00681AC8">
        <w:rPr>
          <w:rStyle w:val="a5"/>
        </w:rPr>
        <w:footnoteRef/>
      </w:r>
      <w:r w:rsidRPr="00E42063">
        <w:tab/>
      </w:r>
      <w:r w:rsidRPr="00E42063">
        <w:rPr>
          <w:rFonts w:hint="eastAsia"/>
        </w:rPr>
        <w:t>见</w:t>
      </w:r>
      <w:r>
        <w:rPr>
          <w:rFonts w:eastAsiaTheme="minorEastAsia" w:hint="eastAsia"/>
        </w:rPr>
        <w:t>特别报告员的第一次报告</w:t>
      </w:r>
      <w:r>
        <w:rPr>
          <w:rFonts w:eastAsiaTheme="minorEastAsia" w:hint="eastAsia"/>
        </w:rPr>
        <w:t>(</w:t>
      </w:r>
      <w:r w:rsidRPr="00F26418">
        <w:rPr>
          <w:rFonts w:eastAsiaTheme="minorEastAsia"/>
        </w:rPr>
        <w:t>A/CN.4/</w:t>
      </w:r>
      <w:r>
        <w:rPr>
          <w:rFonts w:eastAsiaTheme="minorEastAsia" w:hint="eastAsia"/>
        </w:rPr>
        <w:t>693)</w:t>
      </w:r>
      <w:r w:rsidRPr="00E42063">
        <w:rPr>
          <w:rFonts w:asciiTheme="majorBidi" w:hAnsiTheme="majorBidi" w:cstheme="majorBidi" w:hint="eastAsia"/>
          <w:szCs w:val="24"/>
        </w:rPr>
        <w:t>，第</w:t>
      </w:r>
      <w:r>
        <w:rPr>
          <w:rFonts w:asciiTheme="majorBidi" w:eastAsiaTheme="minorEastAsia" w:hAnsiTheme="majorBidi" w:cstheme="majorBidi" w:hint="eastAsia"/>
          <w:szCs w:val="24"/>
        </w:rPr>
        <w:t>29</w:t>
      </w:r>
      <w:r>
        <w:rPr>
          <w:rFonts w:asciiTheme="majorBidi" w:eastAsiaTheme="minorEastAsia" w:hAnsiTheme="majorBidi" w:cstheme="majorBidi" w:hint="eastAsia"/>
          <w:szCs w:val="24"/>
        </w:rPr>
        <w:t>段。</w:t>
      </w:r>
    </w:p>
  </w:footnote>
  <w:footnote w:id="1293">
    <w:p w:rsidR="00AB00DE" w:rsidRPr="00BE66C0" w:rsidRDefault="00AB00DE" w:rsidP="006735D4">
      <w:pPr>
        <w:pStyle w:val="a4"/>
        <w:rPr>
          <w:rFonts w:asciiTheme="majorBidi" w:hAnsiTheme="majorBidi" w:cstheme="majorBidi"/>
          <w:color w:val="000000" w:themeColor="text1"/>
          <w:szCs w:val="24"/>
        </w:rPr>
      </w:pPr>
      <w:r w:rsidRPr="00E42063">
        <w:rPr>
          <w:rFonts w:asciiTheme="majorBidi" w:hAnsiTheme="majorBidi" w:cstheme="majorBidi"/>
          <w:sz w:val="24"/>
          <w:szCs w:val="24"/>
        </w:rPr>
        <w:tab/>
      </w:r>
      <w:r w:rsidRPr="00681AC8">
        <w:rPr>
          <w:rStyle w:val="a5"/>
        </w:rPr>
        <w:footnoteRef/>
      </w:r>
      <w:r w:rsidRPr="00E42063">
        <w:rPr>
          <w:rFonts w:asciiTheme="majorBidi" w:hAnsiTheme="majorBidi" w:cstheme="majorBidi"/>
          <w:sz w:val="24"/>
          <w:szCs w:val="24"/>
        </w:rPr>
        <w:tab/>
      </w:r>
      <w:r w:rsidRPr="00F26418">
        <w:rPr>
          <w:rFonts w:eastAsiaTheme="minorEastAsia" w:hint="eastAsia"/>
        </w:rPr>
        <w:t>同上，第</w:t>
      </w:r>
      <w:r w:rsidRPr="00F26418">
        <w:rPr>
          <w:rFonts w:eastAsiaTheme="minorEastAsia" w:hint="eastAsia"/>
        </w:rPr>
        <w:t>31</w:t>
      </w:r>
      <w:r w:rsidRPr="00F26418">
        <w:rPr>
          <w:rFonts w:eastAsiaTheme="minorEastAsia" w:hint="eastAsia"/>
        </w:rPr>
        <w:t>段。</w:t>
      </w:r>
    </w:p>
  </w:footnote>
  <w:footnote w:id="1294">
    <w:p w:rsidR="00AB00DE" w:rsidRPr="00ED7B5F" w:rsidRDefault="00AB00DE" w:rsidP="006735D4">
      <w:pPr>
        <w:pStyle w:val="a4"/>
        <w:rPr>
          <w:rFonts w:asciiTheme="majorBidi" w:hAnsiTheme="majorBidi" w:cstheme="majorBidi"/>
          <w:sz w:val="24"/>
          <w:szCs w:val="24"/>
        </w:rPr>
      </w:pPr>
      <w:r w:rsidRPr="00E42063">
        <w:rPr>
          <w:rFonts w:asciiTheme="majorBidi" w:hAnsiTheme="majorBidi" w:cstheme="majorBidi"/>
          <w:sz w:val="24"/>
          <w:szCs w:val="24"/>
        </w:rPr>
        <w:tab/>
      </w:r>
      <w:r w:rsidRPr="00681AC8">
        <w:rPr>
          <w:rFonts w:cstheme="majorBidi"/>
          <w:color w:val="0000FF"/>
          <w:sz w:val="21"/>
          <w:szCs w:val="24"/>
          <w:vertAlign w:val="superscript"/>
        </w:rPr>
        <w:footnoteRef/>
      </w:r>
      <w:r w:rsidRPr="00E42063">
        <w:rPr>
          <w:rFonts w:asciiTheme="majorBidi" w:hAnsiTheme="majorBidi" w:cstheme="majorBidi"/>
          <w:sz w:val="24"/>
          <w:szCs w:val="24"/>
        </w:rPr>
        <w:tab/>
      </w:r>
      <w:r w:rsidRPr="00E42063">
        <w:rPr>
          <w:rFonts w:asciiTheme="majorBidi" w:hAnsiTheme="majorBidi" w:cstheme="majorBidi" w:hint="eastAsia"/>
          <w:szCs w:val="24"/>
        </w:rPr>
        <w:t>见第</w:t>
      </w:r>
      <w:r w:rsidRPr="00E42063">
        <w:rPr>
          <w:rFonts w:asciiTheme="majorBidi" w:hAnsiTheme="majorBidi" w:cstheme="majorBidi"/>
          <w:szCs w:val="24"/>
        </w:rPr>
        <w:t>33</w:t>
      </w:r>
      <w:r w:rsidRPr="00E42063">
        <w:rPr>
          <w:rFonts w:asciiTheme="majorBidi" w:hAnsiTheme="majorBidi" w:cstheme="majorBidi" w:hint="eastAsia"/>
          <w:szCs w:val="24"/>
        </w:rPr>
        <w:t>段。</w:t>
      </w:r>
    </w:p>
  </w:footnote>
  <w:footnote w:id="1295">
    <w:p w:rsidR="00AB00DE" w:rsidRPr="001971F4" w:rsidRDefault="00AB00DE" w:rsidP="006735D4">
      <w:pPr>
        <w:pStyle w:val="a4"/>
        <w:rPr>
          <w:rFonts w:asciiTheme="majorBidi" w:hAnsiTheme="majorBidi" w:cstheme="majorBidi"/>
          <w:sz w:val="24"/>
          <w:szCs w:val="24"/>
        </w:rPr>
      </w:pPr>
      <w:r>
        <w:rPr>
          <w:rFonts w:asciiTheme="majorBidi" w:hAnsiTheme="majorBidi" w:cstheme="majorBidi"/>
          <w:sz w:val="24"/>
          <w:szCs w:val="24"/>
        </w:rPr>
        <w:tab/>
      </w:r>
      <w:r w:rsidRPr="00681AC8">
        <w:rPr>
          <w:rFonts w:cstheme="majorBidi"/>
          <w:color w:val="0000FF"/>
          <w:sz w:val="21"/>
          <w:szCs w:val="24"/>
          <w:vertAlign w:val="superscript"/>
        </w:rPr>
        <w:footnoteRef/>
      </w:r>
      <w:r>
        <w:rPr>
          <w:rFonts w:asciiTheme="majorBidi" w:hAnsiTheme="majorBidi" w:cstheme="majorBidi"/>
          <w:sz w:val="24"/>
          <w:szCs w:val="24"/>
        </w:rPr>
        <w:tab/>
      </w:r>
      <w:r>
        <w:rPr>
          <w:rFonts w:asciiTheme="majorBidi" w:hAnsiTheme="majorBidi" w:cstheme="majorBidi" w:hint="eastAsia"/>
          <w:szCs w:val="24"/>
        </w:rPr>
        <w:t>联合国，《条约汇编》，第</w:t>
      </w:r>
      <w:r>
        <w:rPr>
          <w:rFonts w:asciiTheme="majorBidi" w:hAnsiTheme="majorBidi" w:cstheme="majorBidi" w:hint="eastAsia"/>
          <w:szCs w:val="24"/>
        </w:rPr>
        <w:t>1155</w:t>
      </w:r>
      <w:r>
        <w:rPr>
          <w:rFonts w:asciiTheme="majorBidi" w:hAnsiTheme="majorBidi" w:cstheme="majorBidi" w:hint="eastAsia"/>
          <w:szCs w:val="24"/>
        </w:rPr>
        <w:t>卷，第</w:t>
      </w:r>
      <w:r w:rsidRPr="00E402EF">
        <w:rPr>
          <w:rFonts w:asciiTheme="majorBidi" w:hAnsiTheme="majorBidi" w:cstheme="majorBidi"/>
          <w:szCs w:val="24"/>
        </w:rPr>
        <w:t>18232</w:t>
      </w:r>
      <w:r>
        <w:rPr>
          <w:rFonts w:asciiTheme="majorBidi" w:hAnsiTheme="majorBidi" w:cstheme="majorBidi" w:hint="eastAsia"/>
          <w:szCs w:val="24"/>
        </w:rPr>
        <w:t>号，第</w:t>
      </w:r>
      <w:r w:rsidRPr="003B17FA">
        <w:rPr>
          <w:rFonts w:asciiTheme="majorBidi" w:hAnsiTheme="majorBidi" w:cstheme="majorBidi"/>
          <w:szCs w:val="24"/>
        </w:rPr>
        <w:t>331</w:t>
      </w:r>
      <w:r>
        <w:rPr>
          <w:rFonts w:asciiTheme="majorBidi" w:hAnsiTheme="majorBidi" w:cstheme="majorBidi" w:hint="eastAsia"/>
          <w:szCs w:val="24"/>
        </w:rPr>
        <w:t>页。</w:t>
      </w:r>
    </w:p>
  </w:footnote>
  <w:footnote w:id="1296">
    <w:p w:rsidR="00AB00DE" w:rsidRPr="00BB1231" w:rsidRDefault="00AB00DE" w:rsidP="006735D4">
      <w:pPr>
        <w:pStyle w:val="a4"/>
        <w:rPr>
          <w:rFonts w:asciiTheme="majorBidi" w:hAnsiTheme="majorBidi" w:cstheme="majorBidi"/>
          <w:iCs/>
          <w:szCs w:val="24"/>
        </w:rPr>
      </w:pPr>
      <w:r>
        <w:rPr>
          <w:rFonts w:asciiTheme="majorBidi" w:hAnsiTheme="majorBidi" w:cstheme="majorBidi"/>
          <w:sz w:val="24"/>
          <w:szCs w:val="24"/>
        </w:rPr>
        <w:tab/>
      </w:r>
      <w:r w:rsidRPr="00681AC8">
        <w:rPr>
          <w:rFonts w:cstheme="majorBidi"/>
          <w:color w:val="0000FF"/>
          <w:sz w:val="21"/>
          <w:szCs w:val="24"/>
          <w:vertAlign w:val="superscript"/>
        </w:rPr>
        <w:footnoteRef/>
      </w:r>
      <w:r>
        <w:rPr>
          <w:rFonts w:asciiTheme="majorBidi" w:hAnsiTheme="majorBidi" w:cstheme="majorBidi"/>
          <w:sz w:val="24"/>
          <w:szCs w:val="24"/>
        </w:rPr>
        <w:tab/>
      </w:r>
      <w:r w:rsidRPr="00E42063">
        <w:rPr>
          <w:rFonts w:hint="eastAsia"/>
        </w:rPr>
        <w:t>见</w:t>
      </w:r>
      <w:r>
        <w:rPr>
          <w:rFonts w:eastAsiaTheme="minorEastAsia" w:hint="eastAsia"/>
        </w:rPr>
        <w:t>特别报告员的第一次报告</w:t>
      </w:r>
      <w:r>
        <w:rPr>
          <w:rFonts w:eastAsiaTheme="minorEastAsia" w:hint="eastAsia"/>
        </w:rPr>
        <w:t>(</w:t>
      </w:r>
      <w:r w:rsidRPr="00F26418">
        <w:rPr>
          <w:rFonts w:eastAsiaTheme="minorEastAsia"/>
        </w:rPr>
        <w:t>A/CN.4/</w:t>
      </w:r>
      <w:r>
        <w:rPr>
          <w:rFonts w:eastAsiaTheme="minorEastAsia" w:hint="eastAsia"/>
        </w:rPr>
        <w:t>693)</w:t>
      </w:r>
      <w:r w:rsidRPr="00E42063">
        <w:rPr>
          <w:rFonts w:asciiTheme="majorBidi" w:hAnsiTheme="majorBidi" w:cstheme="majorBidi" w:hint="eastAsia"/>
          <w:szCs w:val="24"/>
        </w:rPr>
        <w:t>，第</w:t>
      </w:r>
      <w:r>
        <w:rPr>
          <w:rFonts w:asciiTheme="majorBidi" w:eastAsiaTheme="minorEastAsia" w:hAnsiTheme="majorBidi" w:cstheme="majorBidi" w:hint="eastAsia"/>
          <w:szCs w:val="24"/>
        </w:rPr>
        <w:t>46</w:t>
      </w:r>
      <w:r>
        <w:rPr>
          <w:rFonts w:asciiTheme="majorBidi" w:eastAsiaTheme="minorEastAsia" w:hAnsiTheme="majorBidi" w:cstheme="majorBidi" w:hint="eastAsia"/>
          <w:szCs w:val="24"/>
        </w:rPr>
        <w:t>段</w:t>
      </w:r>
      <w:r>
        <w:rPr>
          <w:rFonts w:asciiTheme="majorBidi" w:hAnsiTheme="majorBidi" w:cstheme="majorBidi" w:hint="eastAsia"/>
          <w:iCs/>
          <w:szCs w:val="24"/>
        </w:rPr>
        <w:t>。</w:t>
      </w:r>
    </w:p>
  </w:footnote>
  <w:footnote w:id="1297">
    <w:p w:rsidR="00AB00DE" w:rsidRPr="00515FA2" w:rsidRDefault="00AB00DE" w:rsidP="006735D4">
      <w:pPr>
        <w:pStyle w:val="a4"/>
        <w:rPr>
          <w:rFonts w:asciiTheme="majorBidi" w:hAnsiTheme="majorBidi" w:cstheme="majorBidi"/>
          <w:szCs w:val="24"/>
        </w:rPr>
      </w:pPr>
      <w:r>
        <w:rPr>
          <w:rFonts w:asciiTheme="majorBidi" w:hAnsiTheme="majorBidi" w:cstheme="majorBidi"/>
          <w:sz w:val="24"/>
          <w:szCs w:val="24"/>
        </w:rPr>
        <w:tab/>
      </w:r>
      <w:r w:rsidRPr="00681AC8">
        <w:rPr>
          <w:rFonts w:cstheme="majorBidi"/>
          <w:color w:val="0000FF"/>
          <w:sz w:val="21"/>
          <w:szCs w:val="24"/>
          <w:vertAlign w:val="superscript"/>
        </w:rPr>
        <w:footnoteRef/>
      </w:r>
      <w:r>
        <w:rPr>
          <w:rFonts w:asciiTheme="majorBidi" w:hAnsiTheme="majorBidi" w:cstheme="majorBidi"/>
          <w:sz w:val="24"/>
          <w:szCs w:val="24"/>
        </w:rPr>
        <w:tab/>
      </w:r>
      <w:r>
        <w:rPr>
          <w:rFonts w:asciiTheme="majorBidi" w:hAnsiTheme="majorBidi" w:cstheme="majorBidi" w:hint="eastAsia"/>
          <w:szCs w:val="24"/>
        </w:rPr>
        <w:t>特别报告员第一</w:t>
      </w:r>
      <w:r w:rsidRPr="00515FA2">
        <w:rPr>
          <w:rFonts w:asciiTheme="majorBidi" w:hAnsiTheme="majorBidi" w:cstheme="majorBidi" w:hint="eastAsia"/>
          <w:szCs w:val="24"/>
        </w:rPr>
        <w:t>次报告</w:t>
      </w:r>
      <w:r>
        <w:rPr>
          <w:rFonts w:asciiTheme="majorBidi" w:hAnsiTheme="majorBidi" w:cstheme="majorBidi" w:hint="eastAsia"/>
          <w:szCs w:val="24"/>
        </w:rPr>
        <w:t>提出</w:t>
      </w:r>
      <w:r w:rsidRPr="00515FA2">
        <w:rPr>
          <w:rFonts w:asciiTheme="majorBidi" w:hAnsiTheme="majorBidi" w:cstheme="majorBidi" w:hint="eastAsia"/>
          <w:szCs w:val="24"/>
        </w:rPr>
        <w:t>的结论草案案文</w:t>
      </w:r>
      <w:r>
        <w:rPr>
          <w:rFonts w:asciiTheme="majorBidi" w:hAnsiTheme="majorBidi" w:cstheme="majorBidi" w:hint="eastAsia"/>
          <w:szCs w:val="24"/>
        </w:rPr>
        <w:t>如下：</w:t>
      </w:r>
    </w:p>
    <w:p w:rsidR="00AB00DE" w:rsidRPr="00EF4857" w:rsidRDefault="00AB00DE" w:rsidP="006735D4">
      <w:pPr>
        <w:pStyle w:val="a4"/>
        <w:tabs>
          <w:tab w:val="clear" w:pos="1021"/>
          <w:tab w:val="right" w:pos="1134"/>
        </w:tabs>
        <w:ind w:firstLine="0"/>
        <w:rPr>
          <w:rFonts w:asciiTheme="majorBidi" w:eastAsia="黑体" w:hAnsiTheme="majorBidi" w:cstheme="majorBidi"/>
          <w:szCs w:val="24"/>
        </w:rPr>
      </w:pPr>
      <w:r w:rsidRPr="00EF4857">
        <w:rPr>
          <w:rFonts w:asciiTheme="majorBidi" w:eastAsia="黑体" w:hAnsiTheme="majorBidi" w:cstheme="majorBidi" w:hint="eastAsia"/>
          <w:szCs w:val="24"/>
        </w:rPr>
        <w:t>结论草案</w:t>
      </w:r>
      <w:r w:rsidRPr="00EF4857">
        <w:rPr>
          <w:rFonts w:asciiTheme="majorBidi" w:eastAsia="黑体" w:hAnsiTheme="majorBidi" w:cstheme="majorBidi" w:hint="eastAsia"/>
          <w:szCs w:val="24"/>
        </w:rPr>
        <w:t>1</w:t>
      </w:r>
    </w:p>
    <w:p w:rsidR="00AB00DE" w:rsidRPr="005C5BD2" w:rsidRDefault="00AB00DE" w:rsidP="006735D4">
      <w:pPr>
        <w:pStyle w:val="a4"/>
        <w:tabs>
          <w:tab w:val="clear" w:pos="1021"/>
          <w:tab w:val="right" w:pos="1134"/>
        </w:tabs>
        <w:ind w:firstLine="0"/>
        <w:rPr>
          <w:rFonts w:asciiTheme="majorBidi" w:hAnsiTheme="majorBidi" w:cstheme="majorBidi"/>
          <w:b/>
          <w:bCs/>
          <w:szCs w:val="24"/>
        </w:rPr>
      </w:pPr>
      <w:r w:rsidRPr="00EF4857">
        <w:rPr>
          <w:rFonts w:asciiTheme="majorBidi" w:eastAsia="黑体" w:hAnsiTheme="majorBidi" w:cstheme="majorBidi" w:hint="eastAsia"/>
          <w:szCs w:val="24"/>
        </w:rPr>
        <w:t>范围</w:t>
      </w:r>
    </w:p>
    <w:p w:rsidR="00AB00DE" w:rsidRPr="003B17FA" w:rsidRDefault="00AB00DE" w:rsidP="006735D4">
      <w:pPr>
        <w:pStyle w:val="a4"/>
        <w:tabs>
          <w:tab w:val="clear" w:pos="1021"/>
        </w:tabs>
        <w:ind w:left="1498" w:hanging="364"/>
        <w:rPr>
          <w:rFonts w:asciiTheme="majorBidi" w:hAnsiTheme="majorBidi" w:cstheme="majorBidi"/>
          <w:szCs w:val="24"/>
        </w:rPr>
      </w:pPr>
      <w:r>
        <w:rPr>
          <w:rFonts w:asciiTheme="majorBidi" w:eastAsiaTheme="minorEastAsia" w:hAnsiTheme="majorBidi" w:cstheme="majorBidi" w:hint="eastAsia"/>
          <w:szCs w:val="24"/>
        </w:rPr>
        <w:tab/>
      </w:r>
      <w:r>
        <w:rPr>
          <w:rFonts w:asciiTheme="majorBidi" w:hAnsiTheme="majorBidi" w:cstheme="majorBidi" w:hint="eastAsia"/>
          <w:szCs w:val="24"/>
        </w:rPr>
        <w:t>本结论草案涉及识别强行</w:t>
      </w:r>
      <w:r w:rsidRPr="006B50E8">
        <w:rPr>
          <w:rFonts w:asciiTheme="majorBidi" w:hAnsiTheme="majorBidi" w:cstheme="majorBidi" w:hint="eastAsia"/>
          <w:szCs w:val="24"/>
        </w:rPr>
        <w:t>法规则的方式以及规则产生的法律后果。</w:t>
      </w:r>
    </w:p>
    <w:p w:rsidR="00AB00DE" w:rsidRPr="00EF4857" w:rsidRDefault="00AB00DE" w:rsidP="006735D4">
      <w:pPr>
        <w:pStyle w:val="a4"/>
        <w:tabs>
          <w:tab w:val="clear" w:pos="1021"/>
          <w:tab w:val="right" w:pos="1134"/>
        </w:tabs>
        <w:ind w:firstLine="0"/>
        <w:rPr>
          <w:rFonts w:asciiTheme="majorBidi" w:eastAsia="黑体" w:hAnsiTheme="majorBidi" w:cstheme="majorBidi"/>
          <w:szCs w:val="24"/>
        </w:rPr>
      </w:pPr>
      <w:r w:rsidRPr="00EF4857">
        <w:rPr>
          <w:rFonts w:asciiTheme="majorBidi" w:eastAsia="黑体" w:hAnsiTheme="majorBidi" w:cstheme="majorBidi" w:hint="eastAsia"/>
          <w:szCs w:val="24"/>
        </w:rPr>
        <w:t>结论草案</w:t>
      </w:r>
      <w:r w:rsidRPr="00EF4857">
        <w:rPr>
          <w:rFonts w:asciiTheme="majorBidi" w:eastAsia="黑体" w:hAnsiTheme="majorBidi" w:cstheme="majorBidi"/>
          <w:szCs w:val="24"/>
        </w:rPr>
        <w:t>2</w:t>
      </w:r>
    </w:p>
    <w:p w:rsidR="00AB00DE" w:rsidRPr="00210078" w:rsidRDefault="00AB00DE" w:rsidP="006735D4">
      <w:pPr>
        <w:pStyle w:val="a4"/>
        <w:tabs>
          <w:tab w:val="clear" w:pos="1021"/>
          <w:tab w:val="right" w:pos="1134"/>
        </w:tabs>
        <w:ind w:firstLine="0"/>
        <w:rPr>
          <w:rFonts w:asciiTheme="majorBidi" w:hAnsiTheme="majorBidi" w:cstheme="majorBidi"/>
          <w:b/>
          <w:bCs/>
          <w:szCs w:val="24"/>
        </w:rPr>
      </w:pPr>
      <w:r w:rsidRPr="00EF4857">
        <w:rPr>
          <w:rFonts w:asciiTheme="majorBidi" w:eastAsia="黑体" w:hAnsiTheme="majorBidi" w:cstheme="majorBidi" w:hint="eastAsia"/>
          <w:szCs w:val="24"/>
        </w:rPr>
        <w:t>国际法规则的更改、克减和废除</w:t>
      </w:r>
    </w:p>
    <w:p w:rsidR="00AB00DE" w:rsidRPr="003B17FA" w:rsidRDefault="00AB00DE" w:rsidP="006735D4">
      <w:pPr>
        <w:pStyle w:val="a4"/>
        <w:tabs>
          <w:tab w:val="clear" w:pos="1021"/>
        </w:tabs>
        <w:ind w:firstLine="0"/>
        <w:rPr>
          <w:rFonts w:asciiTheme="majorBidi" w:hAnsiTheme="majorBidi" w:cstheme="majorBidi"/>
          <w:szCs w:val="24"/>
        </w:rPr>
      </w:pPr>
      <w:r w:rsidRPr="003B17FA">
        <w:rPr>
          <w:rFonts w:asciiTheme="majorBidi" w:hAnsiTheme="majorBidi" w:cstheme="majorBidi"/>
          <w:szCs w:val="24"/>
        </w:rPr>
        <w:t>1.</w:t>
      </w:r>
      <w:r>
        <w:rPr>
          <w:rFonts w:asciiTheme="majorBidi" w:hAnsiTheme="majorBidi" w:cstheme="majorBidi" w:hint="eastAsia"/>
          <w:szCs w:val="24"/>
        </w:rPr>
        <w:t xml:space="preserve">  </w:t>
      </w:r>
      <w:r w:rsidRPr="000544D1">
        <w:rPr>
          <w:rFonts w:asciiTheme="majorBidi" w:hAnsiTheme="majorBidi" w:cstheme="majorBidi" w:hint="eastAsia"/>
          <w:szCs w:val="24"/>
        </w:rPr>
        <w:t>国际法规则可经规则适用各国之间的协定予以更改、克减或废除，除非所涉规则</w:t>
      </w:r>
      <w:r w:rsidRPr="000544D1">
        <w:rPr>
          <w:rFonts w:asciiTheme="majorBidi" w:hAnsiTheme="majorBidi" w:cstheme="majorBidi" w:hint="eastAsia"/>
          <w:szCs w:val="24"/>
        </w:rPr>
        <w:t>(</w:t>
      </w:r>
      <w:r w:rsidRPr="000544D1">
        <w:rPr>
          <w:rFonts w:asciiTheme="majorBidi" w:hAnsiTheme="majorBidi" w:cstheme="majorBidi" w:hint="eastAsia"/>
          <w:szCs w:val="24"/>
        </w:rPr>
        <w:t>酌定法</w:t>
      </w:r>
      <w:r w:rsidRPr="000544D1">
        <w:rPr>
          <w:rFonts w:asciiTheme="majorBidi" w:hAnsiTheme="majorBidi" w:cstheme="majorBidi" w:hint="eastAsia"/>
          <w:szCs w:val="24"/>
        </w:rPr>
        <w:t>)</w:t>
      </w:r>
      <w:r w:rsidRPr="000544D1">
        <w:rPr>
          <w:rFonts w:asciiTheme="majorBidi" w:hAnsiTheme="majorBidi" w:cstheme="majorBidi" w:hint="eastAsia"/>
          <w:szCs w:val="24"/>
        </w:rPr>
        <w:t>禁止此种更改、克减或废除。此种更改、克减或废除可通过条约、习惯国际法或其他协定的方式进行。</w:t>
      </w:r>
    </w:p>
    <w:p w:rsidR="00AB00DE" w:rsidRPr="003B17FA" w:rsidRDefault="00AB00DE" w:rsidP="006735D4">
      <w:pPr>
        <w:pStyle w:val="a4"/>
        <w:tabs>
          <w:tab w:val="clear" w:pos="1021"/>
        </w:tabs>
        <w:ind w:firstLine="0"/>
        <w:rPr>
          <w:rFonts w:asciiTheme="majorBidi" w:hAnsiTheme="majorBidi" w:cstheme="majorBidi"/>
          <w:szCs w:val="24"/>
        </w:rPr>
      </w:pPr>
      <w:r w:rsidRPr="003B17FA">
        <w:rPr>
          <w:rFonts w:asciiTheme="majorBidi" w:hAnsiTheme="majorBidi" w:cstheme="majorBidi"/>
          <w:szCs w:val="24"/>
        </w:rPr>
        <w:t>2.</w:t>
      </w:r>
      <w:r>
        <w:rPr>
          <w:rFonts w:asciiTheme="majorBidi" w:hAnsiTheme="majorBidi" w:cstheme="majorBidi" w:hint="eastAsia"/>
          <w:szCs w:val="24"/>
        </w:rPr>
        <w:t xml:space="preserve">  </w:t>
      </w:r>
      <w:r w:rsidRPr="00BA5225">
        <w:rPr>
          <w:rFonts w:asciiTheme="majorBidi" w:hAnsiTheme="majorBidi" w:cstheme="majorBidi" w:hint="eastAsia"/>
          <w:szCs w:val="24"/>
        </w:rPr>
        <w:t>一般国际法</w:t>
      </w:r>
      <w:r>
        <w:rPr>
          <w:rFonts w:asciiTheme="majorBidi" w:hAnsiTheme="majorBidi" w:cstheme="majorBidi" w:hint="eastAsia"/>
          <w:szCs w:val="24"/>
        </w:rPr>
        <w:t>的</w:t>
      </w:r>
      <w:r w:rsidRPr="00BA5225">
        <w:rPr>
          <w:rFonts w:asciiTheme="majorBidi" w:hAnsiTheme="majorBidi" w:cstheme="majorBidi" w:hint="eastAsia"/>
          <w:szCs w:val="24"/>
        </w:rPr>
        <w:t>强制</w:t>
      </w:r>
      <w:r>
        <w:rPr>
          <w:rFonts w:asciiTheme="majorBidi" w:hAnsiTheme="majorBidi" w:cstheme="majorBidi" w:hint="eastAsia"/>
          <w:szCs w:val="24"/>
        </w:rPr>
        <w:t>性</w:t>
      </w:r>
      <w:r w:rsidRPr="00BA5225">
        <w:rPr>
          <w:rFonts w:asciiTheme="majorBidi" w:hAnsiTheme="majorBidi" w:cstheme="majorBidi" w:hint="eastAsia"/>
          <w:szCs w:val="24"/>
        </w:rPr>
        <w:t>规范</w:t>
      </w:r>
      <w:r>
        <w:rPr>
          <w:rFonts w:asciiTheme="majorBidi" w:hAnsiTheme="majorBidi" w:cstheme="majorBidi" w:hint="eastAsia"/>
          <w:szCs w:val="24"/>
        </w:rPr>
        <w:t>属于</w:t>
      </w:r>
      <w:r w:rsidRPr="00BA5225">
        <w:rPr>
          <w:rFonts w:asciiTheme="majorBidi" w:hAnsiTheme="majorBidi" w:cstheme="majorBidi" w:hint="eastAsia"/>
          <w:szCs w:val="24"/>
        </w:rPr>
        <w:t>第</w:t>
      </w:r>
      <w:r w:rsidRPr="00BA5225">
        <w:rPr>
          <w:rFonts w:asciiTheme="majorBidi" w:hAnsiTheme="majorBidi" w:cstheme="majorBidi" w:hint="eastAsia"/>
          <w:szCs w:val="24"/>
        </w:rPr>
        <w:t>1</w:t>
      </w:r>
      <w:r>
        <w:rPr>
          <w:rFonts w:asciiTheme="majorBidi" w:hAnsiTheme="majorBidi" w:cstheme="majorBidi" w:hint="eastAsia"/>
          <w:szCs w:val="24"/>
        </w:rPr>
        <w:t>款所载规则的</w:t>
      </w:r>
      <w:r w:rsidRPr="00BA5225">
        <w:rPr>
          <w:rFonts w:asciiTheme="majorBidi" w:hAnsiTheme="majorBidi" w:cstheme="majorBidi" w:hint="eastAsia"/>
          <w:szCs w:val="24"/>
        </w:rPr>
        <w:t>例外情况</w:t>
      </w:r>
      <w:r>
        <w:rPr>
          <w:rFonts w:asciiTheme="majorBidi" w:hAnsiTheme="majorBidi" w:cstheme="majorBidi" w:hint="eastAsia"/>
          <w:szCs w:val="24"/>
        </w:rPr>
        <w:t>，只有具有同等性质的规则方</w:t>
      </w:r>
      <w:r w:rsidRPr="00BA5225">
        <w:rPr>
          <w:rFonts w:asciiTheme="majorBidi" w:hAnsiTheme="majorBidi" w:cstheme="majorBidi" w:hint="eastAsia"/>
          <w:szCs w:val="24"/>
        </w:rPr>
        <w:t>能更改、克减或废除强制</w:t>
      </w:r>
      <w:r>
        <w:rPr>
          <w:rFonts w:asciiTheme="majorBidi" w:hAnsiTheme="majorBidi" w:cstheme="majorBidi" w:hint="eastAsia"/>
          <w:szCs w:val="24"/>
        </w:rPr>
        <w:t>性</w:t>
      </w:r>
      <w:r w:rsidRPr="00BA5225">
        <w:rPr>
          <w:rFonts w:asciiTheme="majorBidi" w:hAnsiTheme="majorBidi" w:cstheme="majorBidi" w:hint="eastAsia"/>
          <w:szCs w:val="24"/>
        </w:rPr>
        <w:t>规范。</w:t>
      </w:r>
    </w:p>
    <w:p w:rsidR="00AB00DE" w:rsidRPr="00EF4857" w:rsidRDefault="00AB00DE" w:rsidP="006735D4">
      <w:pPr>
        <w:pStyle w:val="a4"/>
        <w:tabs>
          <w:tab w:val="clear" w:pos="1021"/>
          <w:tab w:val="right" w:pos="1134"/>
        </w:tabs>
        <w:ind w:firstLine="0"/>
        <w:rPr>
          <w:rFonts w:asciiTheme="majorBidi" w:eastAsia="黑体" w:hAnsiTheme="majorBidi" w:cstheme="majorBidi"/>
          <w:szCs w:val="24"/>
        </w:rPr>
      </w:pPr>
      <w:r w:rsidRPr="00EF4857">
        <w:rPr>
          <w:rFonts w:asciiTheme="majorBidi" w:eastAsia="黑体" w:hAnsiTheme="majorBidi" w:cstheme="majorBidi" w:hint="eastAsia"/>
          <w:szCs w:val="24"/>
        </w:rPr>
        <w:t>结论草案</w:t>
      </w:r>
      <w:r w:rsidRPr="00EF4857">
        <w:rPr>
          <w:rFonts w:asciiTheme="majorBidi" w:eastAsia="黑体" w:hAnsiTheme="majorBidi" w:cstheme="majorBidi"/>
          <w:szCs w:val="24"/>
        </w:rPr>
        <w:t>3</w:t>
      </w:r>
    </w:p>
    <w:p w:rsidR="00AB00DE" w:rsidRPr="008930D9" w:rsidRDefault="00AB00DE" w:rsidP="006735D4">
      <w:pPr>
        <w:pStyle w:val="a4"/>
        <w:tabs>
          <w:tab w:val="clear" w:pos="1021"/>
          <w:tab w:val="right" w:pos="1134"/>
        </w:tabs>
        <w:ind w:firstLine="0"/>
        <w:rPr>
          <w:rFonts w:asciiTheme="majorBidi" w:hAnsiTheme="majorBidi" w:cstheme="majorBidi"/>
          <w:b/>
          <w:bCs/>
          <w:szCs w:val="24"/>
        </w:rPr>
      </w:pPr>
      <w:r w:rsidRPr="00EF4857">
        <w:rPr>
          <w:rFonts w:asciiTheme="majorBidi" w:eastAsia="黑体" w:hAnsiTheme="majorBidi" w:cstheme="majorBidi" w:hint="eastAsia"/>
          <w:szCs w:val="24"/>
        </w:rPr>
        <w:t>强行法的一般性</w:t>
      </w:r>
    </w:p>
    <w:p w:rsidR="00AB00DE" w:rsidRPr="003B17FA" w:rsidRDefault="00AB00DE" w:rsidP="006735D4">
      <w:pPr>
        <w:pStyle w:val="a4"/>
        <w:tabs>
          <w:tab w:val="clear" w:pos="1021"/>
        </w:tabs>
        <w:ind w:firstLine="0"/>
        <w:rPr>
          <w:rFonts w:asciiTheme="majorBidi" w:hAnsiTheme="majorBidi" w:cstheme="majorBidi"/>
          <w:szCs w:val="24"/>
        </w:rPr>
      </w:pPr>
      <w:r w:rsidRPr="003B17FA">
        <w:rPr>
          <w:rFonts w:asciiTheme="majorBidi" w:hAnsiTheme="majorBidi" w:cstheme="majorBidi"/>
          <w:szCs w:val="24"/>
        </w:rPr>
        <w:t>1.</w:t>
      </w:r>
      <w:r>
        <w:rPr>
          <w:rFonts w:asciiTheme="majorBidi" w:hAnsiTheme="majorBidi" w:cstheme="majorBidi" w:hint="eastAsia"/>
          <w:szCs w:val="24"/>
        </w:rPr>
        <w:t xml:space="preserve">  </w:t>
      </w:r>
      <w:r w:rsidRPr="00391A48">
        <w:rPr>
          <w:rFonts w:asciiTheme="majorBidi" w:hAnsiTheme="majorBidi" w:cstheme="majorBidi" w:hint="eastAsia"/>
          <w:szCs w:val="24"/>
        </w:rPr>
        <w:t>国际法</w:t>
      </w:r>
      <w:r>
        <w:rPr>
          <w:rFonts w:asciiTheme="majorBidi" w:hAnsiTheme="majorBidi" w:cstheme="majorBidi" w:hint="eastAsia"/>
          <w:szCs w:val="24"/>
        </w:rPr>
        <w:t>的</w:t>
      </w:r>
      <w:r w:rsidRPr="00391A48">
        <w:rPr>
          <w:rFonts w:asciiTheme="majorBidi" w:hAnsiTheme="majorBidi" w:cstheme="majorBidi" w:hint="eastAsia"/>
          <w:szCs w:val="24"/>
        </w:rPr>
        <w:t>强制</w:t>
      </w:r>
      <w:r>
        <w:rPr>
          <w:rFonts w:asciiTheme="majorBidi" w:hAnsiTheme="majorBidi" w:cstheme="majorBidi" w:hint="eastAsia"/>
          <w:szCs w:val="24"/>
        </w:rPr>
        <w:t>性</w:t>
      </w:r>
      <w:r w:rsidRPr="00391A48">
        <w:rPr>
          <w:rFonts w:asciiTheme="majorBidi" w:hAnsiTheme="majorBidi" w:cstheme="majorBidi" w:hint="eastAsia"/>
          <w:szCs w:val="24"/>
        </w:rPr>
        <w:t>规范</w:t>
      </w:r>
      <w:r w:rsidRPr="00391A48">
        <w:rPr>
          <w:rFonts w:asciiTheme="majorBidi" w:hAnsiTheme="majorBidi" w:cstheme="majorBidi" w:hint="eastAsia"/>
          <w:szCs w:val="24"/>
        </w:rPr>
        <w:t>(</w:t>
      </w:r>
      <w:r>
        <w:rPr>
          <w:rFonts w:asciiTheme="majorBidi" w:hAnsiTheme="majorBidi" w:cstheme="majorBidi" w:hint="eastAsia"/>
          <w:szCs w:val="24"/>
        </w:rPr>
        <w:t>强行</w:t>
      </w:r>
      <w:r w:rsidRPr="00391A48">
        <w:rPr>
          <w:rFonts w:asciiTheme="majorBidi" w:hAnsiTheme="majorBidi" w:cstheme="majorBidi" w:hint="eastAsia"/>
          <w:szCs w:val="24"/>
        </w:rPr>
        <w:t>法</w:t>
      </w:r>
      <w:r w:rsidRPr="00391A48">
        <w:rPr>
          <w:rFonts w:asciiTheme="majorBidi" w:hAnsiTheme="majorBidi" w:cstheme="majorBidi" w:hint="eastAsia"/>
          <w:szCs w:val="24"/>
        </w:rPr>
        <w:t>)</w:t>
      </w:r>
      <w:r>
        <w:rPr>
          <w:rFonts w:asciiTheme="majorBidi" w:hAnsiTheme="majorBidi" w:cstheme="majorBidi" w:hint="eastAsia"/>
          <w:szCs w:val="24"/>
        </w:rPr>
        <w:t>指各国组成的</w:t>
      </w:r>
      <w:r w:rsidRPr="00391A48">
        <w:rPr>
          <w:rFonts w:asciiTheme="majorBidi" w:hAnsiTheme="majorBidi" w:cstheme="majorBidi" w:hint="eastAsia"/>
          <w:szCs w:val="24"/>
        </w:rPr>
        <w:t>国际社会</w:t>
      </w:r>
      <w:r>
        <w:rPr>
          <w:rFonts w:ascii="宋体" w:hAnsi="宋体" w:cs="宋体" w:hint="eastAsia"/>
          <w:szCs w:val="24"/>
        </w:rPr>
        <w:t>整体接受</w:t>
      </w:r>
      <w:r w:rsidRPr="00391A48">
        <w:rPr>
          <w:rFonts w:asciiTheme="majorBidi" w:hAnsiTheme="majorBidi" w:cstheme="majorBidi" w:hint="eastAsia"/>
          <w:szCs w:val="24"/>
        </w:rPr>
        <w:t>并公认为不容更改、克减或废除的</w:t>
      </w:r>
      <w:r>
        <w:rPr>
          <w:rFonts w:asciiTheme="majorBidi" w:hAnsiTheme="majorBidi" w:cstheme="majorBidi" w:hint="eastAsia"/>
          <w:szCs w:val="24"/>
        </w:rPr>
        <w:t>一般国际法</w:t>
      </w:r>
      <w:r w:rsidRPr="00391A48">
        <w:rPr>
          <w:rFonts w:asciiTheme="majorBidi" w:hAnsiTheme="majorBidi" w:cstheme="majorBidi" w:hint="eastAsia"/>
          <w:szCs w:val="24"/>
        </w:rPr>
        <w:t>规范。</w:t>
      </w:r>
    </w:p>
    <w:p w:rsidR="00AB00DE" w:rsidRPr="003B17FA" w:rsidRDefault="00AB00DE" w:rsidP="006735D4">
      <w:pPr>
        <w:pStyle w:val="a4"/>
        <w:tabs>
          <w:tab w:val="clear" w:pos="1021"/>
        </w:tabs>
        <w:ind w:firstLine="0"/>
        <w:rPr>
          <w:rFonts w:asciiTheme="majorBidi" w:hAnsiTheme="majorBidi" w:cstheme="majorBidi"/>
          <w:sz w:val="24"/>
          <w:szCs w:val="24"/>
        </w:rPr>
      </w:pPr>
      <w:r w:rsidRPr="003B17FA">
        <w:rPr>
          <w:rFonts w:asciiTheme="majorBidi" w:hAnsiTheme="majorBidi" w:cstheme="majorBidi"/>
          <w:szCs w:val="24"/>
        </w:rPr>
        <w:t>2.</w:t>
      </w:r>
      <w:r>
        <w:rPr>
          <w:rFonts w:asciiTheme="majorBidi" w:eastAsiaTheme="minorEastAsia" w:hAnsiTheme="majorBidi" w:cstheme="majorBidi" w:hint="eastAsia"/>
          <w:szCs w:val="24"/>
        </w:rPr>
        <w:t xml:space="preserve">  </w:t>
      </w:r>
      <w:r>
        <w:rPr>
          <w:rFonts w:asciiTheme="majorBidi" w:hAnsiTheme="majorBidi" w:cstheme="majorBidi" w:hint="eastAsia"/>
          <w:szCs w:val="24"/>
        </w:rPr>
        <w:t>强行</w:t>
      </w:r>
      <w:r w:rsidRPr="00B54E74">
        <w:rPr>
          <w:rFonts w:asciiTheme="majorBidi" w:hAnsiTheme="majorBidi" w:cstheme="majorBidi" w:hint="eastAsia"/>
          <w:szCs w:val="24"/>
        </w:rPr>
        <w:t>法规范保护国际社会的基本价值观，其等级高于国际法其他规范且普遍适用。</w:t>
      </w:r>
    </w:p>
  </w:footnote>
  <w:footnote w:id="1298">
    <w:p w:rsidR="00AB00DE" w:rsidRPr="00EF4857" w:rsidRDefault="00AB00DE" w:rsidP="006735D4">
      <w:pPr>
        <w:pStyle w:val="a4"/>
        <w:rPr>
          <w:color w:val="000000" w:themeColor="text1"/>
        </w:rPr>
      </w:pPr>
      <w:r w:rsidRPr="00236196">
        <w:tab/>
      </w:r>
      <w:r w:rsidRPr="00681AC8">
        <w:rPr>
          <w:rStyle w:val="a5"/>
        </w:rPr>
        <w:footnoteRef/>
      </w:r>
      <w:r w:rsidRPr="00236196">
        <w:tab/>
      </w:r>
      <w:r w:rsidRPr="00EF4857">
        <w:rPr>
          <w:rFonts w:hint="eastAsia"/>
          <w:color w:val="000000" w:themeColor="text1"/>
        </w:rPr>
        <w:t>见</w:t>
      </w:r>
      <w:hyperlink r:id="rId311" w:history="1">
        <w:r w:rsidRPr="00EF4857">
          <w:rPr>
            <w:rStyle w:val="af"/>
            <w:color w:val="000000" w:themeColor="text1"/>
          </w:rPr>
          <w:t>《</w:t>
        </w:r>
        <w:r w:rsidRPr="00EF4857">
          <w:rPr>
            <w:rStyle w:val="af"/>
            <w:color w:val="000000" w:themeColor="text1"/>
          </w:rPr>
          <w:t>2001</w:t>
        </w:r>
        <w:r w:rsidRPr="00EF4857">
          <w:rPr>
            <w:rStyle w:val="af"/>
            <w:color w:val="000000" w:themeColor="text1"/>
          </w:rPr>
          <w:t>年</w:t>
        </w:r>
        <w:r w:rsidRPr="00EF4857">
          <w:rPr>
            <w:rFonts w:asciiTheme="majorBidi" w:hAnsiTheme="majorBidi" w:cstheme="majorBidi" w:hint="eastAsia"/>
            <w:color w:val="000000" w:themeColor="text1"/>
            <w:szCs w:val="24"/>
          </w:rPr>
          <w:t>……</w:t>
        </w:r>
        <w:r w:rsidRPr="00EF4857">
          <w:rPr>
            <w:rStyle w:val="af"/>
            <w:color w:val="000000" w:themeColor="text1"/>
          </w:rPr>
          <w:t>年鉴》</w:t>
        </w:r>
      </w:hyperlink>
      <w:r w:rsidRPr="00EF4857">
        <w:rPr>
          <w:rFonts w:hint="eastAsia"/>
          <w:color w:val="000000" w:themeColor="text1"/>
        </w:rPr>
        <w:t>，第二卷</w:t>
      </w:r>
      <w:r w:rsidRPr="00EF4857">
        <w:rPr>
          <w:color w:val="000000" w:themeColor="text1"/>
        </w:rPr>
        <w:t>(</w:t>
      </w:r>
      <w:r w:rsidRPr="00EF4857">
        <w:rPr>
          <w:rFonts w:hint="eastAsia"/>
          <w:color w:val="000000" w:themeColor="text1"/>
        </w:rPr>
        <w:t>第二部分</w:t>
      </w:r>
      <w:r w:rsidRPr="00EF4857">
        <w:rPr>
          <w:color w:val="000000" w:themeColor="text1"/>
        </w:rPr>
        <w:t>)</w:t>
      </w:r>
      <w:r w:rsidRPr="00EF4857">
        <w:rPr>
          <w:rFonts w:hint="eastAsia"/>
          <w:color w:val="000000" w:themeColor="text1"/>
        </w:rPr>
        <w:t>及更正，第四章，</w:t>
      </w:r>
      <w:r w:rsidRPr="00EF4857">
        <w:rPr>
          <w:rFonts w:hint="eastAsia"/>
          <w:color w:val="000000" w:themeColor="text1"/>
        </w:rPr>
        <w:t>E</w:t>
      </w:r>
      <w:r w:rsidRPr="00EF4857">
        <w:rPr>
          <w:rFonts w:hint="eastAsia"/>
          <w:color w:val="000000" w:themeColor="text1"/>
        </w:rPr>
        <w:t>节。</w:t>
      </w:r>
    </w:p>
  </w:footnote>
  <w:footnote w:id="1299">
    <w:p w:rsidR="00AB00DE" w:rsidRPr="00EF4857" w:rsidRDefault="00AB00DE" w:rsidP="006735D4">
      <w:pPr>
        <w:pStyle w:val="a4"/>
        <w:rPr>
          <w:color w:val="000000" w:themeColor="text1"/>
        </w:rPr>
      </w:pPr>
      <w:r w:rsidRPr="00236196">
        <w:tab/>
      </w:r>
      <w:r w:rsidRPr="00681AC8">
        <w:rPr>
          <w:rStyle w:val="a5"/>
        </w:rPr>
        <w:footnoteRef/>
      </w:r>
      <w:r>
        <w:tab/>
      </w:r>
      <w:r w:rsidRPr="00EF4857">
        <w:rPr>
          <w:rFonts w:hint="eastAsia"/>
          <w:color w:val="000000" w:themeColor="text1"/>
        </w:rPr>
        <w:t>见</w:t>
      </w:r>
      <w:hyperlink r:id="rId312" w:history="1">
        <w:r w:rsidRPr="00EF4857">
          <w:rPr>
            <w:rStyle w:val="af"/>
            <w:color w:val="000000" w:themeColor="text1"/>
          </w:rPr>
          <w:t>《</w:t>
        </w:r>
        <w:r w:rsidRPr="00EF4857">
          <w:rPr>
            <w:rStyle w:val="af"/>
            <w:color w:val="000000" w:themeColor="text1"/>
          </w:rPr>
          <w:t>2006</w:t>
        </w:r>
        <w:r w:rsidRPr="00EF4857">
          <w:rPr>
            <w:rStyle w:val="af"/>
            <w:color w:val="000000" w:themeColor="text1"/>
          </w:rPr>
          <w:t>年</w:t>
        </w:r>
        <w:r w:rsidRPr="00EF4857">
          <w:rPr>
            <w:rFonts w:asciiTheme="majorBidi" w:hAnsiTheme="majorBidi" w:cstheme="majorBidi" w:hint="eastAsia"/>
            <w:color w:val="000000" w:themeColor="text1"/>
            <w:szCs w:val="24"/>
          </w:rPr>
          <w:t>……</w:t>
        </w:r>
        <w:r w:rsidRPr="00EF4857">
          <w:rPr>
            <w:rStyle w:val="af"/>
            <w:color w:val="000000" w:themeColor="text1"/>
          </w:rPr>
          <w:t>年鉴》</w:t>
        </w:r>
      </w:hyperlink>
      <w:r w:rsidRPr="00EF4857">
        <w:rPr>
          <w:rFonts w:hint="eastAsia"/>
          <w:color w:val="000000" w:themeColor="text1"/>
        </w:rPr>
        <w:t>，第二卷</w:t>
      </w:r>
      <w:r w:rsidRPr="00EF4857">
        <w:rPr>
          <w:color w:val="000000" w:themeColor="text1"/>
        </w:rPr>
        <w:t>(</w:t>
      </w:r>
      <w:r w:rsidRPr="00EF4857">
        <w:rPr>
          <w:rFonts w:hint="eastAsia"/>
          <w:color w:val="000000" w:themeColor="text1"/>
        </w:rPr>
        <w:t>第二部分</w:t>
      </w:r>
      <w:r w:rsidRPr="00EF4857">
        <w:rPr>
          <w:color w:val="000000" w:themeColor="text1"/>
        </w:rPr>
        <w:t>)</w:t>
      </w:r>
      <w:r w:rsidRPr="00EF4857">
        <w:rPr>
          <w:rFonts w:hint="eastAsia"/>
          <w:color w:val="000000" w:themeColor="text1"/>
        </w:rPr>
        <w:t>，第十二章，</w:t>
      </w:r>
      <w:r w:rsidRPr="00EF4857">
        <w:rPr>
          <w:color w:val="000000" w:themeColor="text1"/>
        </w:rPr>
        <w:t>D</w:t>
      </w:r>
      <w:r w:rsidRPr="00EF4857">
        <w:rPr>
          <w:rFonts w:hint="eastAsia"/>
          <w:color w:val="000000" w:themeColor="text1"/>
        </w:rPr>
        <w:t>节，以及</w:t>
      </w:r>
      <w:hyperlink r:id="rId313" w:history="1">
        <w:r w:rsidRPr="00EF4857">
          <w:rPr>
            <w:rStyle w:val="af"/>
            <w:color w:val="000000" w:themeColor="text1"/>
          </w:rPr>
          <w:t>A/CN.4/L.682</w:t>
        </w:r>
      </w:hyperlink>
      <w:r w:rsidRPr="00EF4857">
        <w:rPr>
          <w:rFonts w:hint="eastAsia"/>
          <w:color w:val="000000" w:themeColor="text1"/>
        </w:rPr>
        <w:t>和</w:t>
      </w:r>
      <w:hyperlink r:id="rId314" w:history="1">
        <w:r w:rsidRPr="00EF4857">
          <w:rPr>
            <w:rStyle w:val="af"/>
            <w:color w:val="000000" w:themeColor="text1"/>
          </w:rPr>
          <w:t>Corr.1</w:t>
        </w:r>
      </w:hyperlink>
      <w:r w:rsidRPr="00EF4857">
        <w:rPr>
          <w:rFonts w:hint="eastAsia"/>
          <w:color w:val="000000" w:themeColor="text1"/>
        </w:rPr>
        <w:t>。</w:t>
      </w:r>
    </w:p>
  </w:footnote>
  <w:footnote w:id="1300">
    <w:p w:rsidR="00AB00DE" w:rsidRPr="00EF4857" w:rsidRDefault="00AB00DE" w:rsidP="006735D4">
      <w:pPr>
        <w:pStyle w:val="a4"/>
        <w:rPr>
          <w:color w:val="000000" w:themeColor="text1"/>
        </w:rPr>
      </w:pPr>
      <w:r w:rsidRPr="00236196">
        <w:tab/>
      </w:r>
      <w:r w:rsidRPr="00681AC8">
        <w:rPr>
          <w:rStyle w:val="a5"/>
        </w:rPr>
        <w:footnoteRef/>
      </w:r>
      <w:r>
        <w:tab/>
      </w:r>
      <w:r>
        <w:rPr>
          <w:rFonts w:hint="eastAsia"/>
        </w:rPr>
        <w:t>见</w:t>
      </w:r>
      <w:r w:rsidRPr="00EF4857">
        <w:rPr>
          <w:rFonts w:hint="eastAsia"/>
          <w:color w:val="000000" w:themeColor="text1"/>
        </w:rPr>
        <w:t>《大会正式记录，第六十六届会议，补编第</w:t>
      </w:r>
      <w:r w:rsidRPr="00EF4857">
        <w:rPr>
          <w:rFonts w:hint="eastAsia"/>
          <w:color w:val="000000" w:themeColor="text1"/>
        </w:rPr>
        <w:t>10</w:t>
      </w:r>
      <w:r w:rsidRPr="00EF4857">
        <w:rPr>
          <w:rFonts w:hint="eastAsia"/>
          <w:color w:val="000000" w:themeColor="text1"/>
        </w:rPr>
        <w:t>号》</w:t>
      </w:r>
      <w:r w:rsidRPr="00EF4857">
        <w:rPr>
          <w:color w:val="000000" w:themeColor="text1"/>
        </w:rPr>
        <w:t>(</w:t>
      </w:r>
      <w:hyperlink r:id="rId315" w:history="1">
        <w:r w:rsidRPr="00EF4857">
          <w:rPr>
            <w:rStyle w:val="af"/>
            <w:color w:val="000000" w:themeColor="text1"/>
          </w:rPr>
          <w:t>A/66/10</w:t>
        </w:r>
      </w:hyperlink>
      <w:r w:rsidRPr="00EF4857">
        <w:rPr>
          <w:color w:val="000000" w:themeColor="text1"/>
        </w:rPr>
        <w:t>)</w:t>
      </w:r>
      <w:r w:rsidRPr="00EF4857">
        <w:rPr>
          <w:rFonts w:hint="eastAsia"/>
          <w:color w:val="000000" w:themeColor="text1"/>
        </w:rPr>
        <w:t>，第五章，</w:t>
      </w:r>
      <w:r w:rsidRPr="00EF4857">
        <w:rPr>
          <w:rFonts w:hint="eastAsia"/>
          <w:color w:val="000000" w:themeColor="text1"/>
        </w:rPr>
        <w:t>E</w:t>
      </w:r>
      <w:r w:rsidRPr="00EF4857">
        <w:rPr>
          <w:rFonts w:hint="eastAsia"/>
          <w:color w:val="000000" w:themeColor="text1"/>
        </w:rPr>
        <w:t>节。</w:t>
      </w:r>
    </w:p>
  </w:footnote>
  <w:footnote w:id="1301">
    <w:p w:rsidR="00AB00DE" w:rsidRPr="00EF4857" w:rsidRDefault="00AB00DE" w:rsidP="006735D4">
      <w:pPr>
        <w:pStyle w:val="a4"/>
        <w:rPr>
          <w:color w:val="000000" w:themeColor="text1"/>
        </w:rPr>
      </w:pPr>
      <w:r w:rsidRPr="00236196">
        <w:tab/>
      </w:r>
      <w:r w:rsidRPr="00681AC8">
        <w:rPr>
          <w:rStyle w:val="a5"/>
        </w:rPr>
        <w:footnoteRef/>
      </w:r>
      <w:r w:rsidRPr="00236196">
        <w:tab/>
      </w:r>
      <w:r w:rsidRPr="00EF4857">
        <w:rPr>
          <w:rFonts w:hint="eastAsia"/>
          <w:color w:val="000000" w:themeColor="text1"/>
        </w:rPr>
        <w:t>同上，</w:t>
      </w:r>
      <w:hyperlink r:id="rId316" w:history="1">
        <w:r w:rsidRPr="00EF4857">
          <w:rPr>
            <w:rStyle w:val="af"/>
            <w:rFonts w:hint="eastAsia"/>
            <w:color w:val="000000" w:themeColor="text1"/>
          </w:rPr>
          <w:t>第四章</w:t>
        </w:r>
      </w:hyperlink>
      <w:r w:rsidRPr="00EF4857">
        <w:rPr>
          <w:rFonts w:hint="eastAsia"/>
          <w:color w:val="000000" w:themeColor="text1"/>
        </w:rPr>
        <w:t>，</w:t>
      </w:r>
      <w:r w:rsidRPr="00EF4857">
        <w:rPr>
          <w:color w:val="000000" w:themeColor="text1"/>
        </w:rPr>
        <w:t>F</w:t>
      </w:r>
      <w:r w:rsidRPr="00EF4857">
        <w:rPr>
          <w:rFonts w:hint="eastAsia"/>
          <w:color w:val="000000" w:themeColor="text1"/>
        </w:rPr>
        <w:t>节</w:t>
      </w:r>
      <w:r w:rsidRPr="00EF4857">
        <w:rPr>
          <w:color w:val="000000" w:themeColor="text1"/>
        </w:rPr>
        <w:t>(</w:t>
      </w:r>
      <w:r w:rsidRPr="00EF4857">
        <w:rPr>
          <w:rFonts w:hint="eastAsia"/>
          <w:color w:val="000000" w:themeColor="text1"/>
        </w:rPr>
        <w:t>指南草案评注见</w:t>
      </w:r>
      <w:hyperlink r:id="rId317" w:history="1">
        <w:r w:rsidRPr="00EF4857">
          <w:rPr>
            <w:rStyle w:val="af"/>
            <w:color w:val="000000" w:themeColor="text1"/>
          </w:rPr>
          <w:t>A/66/10/Add.1</w:t>
        </w:r>
      </w:hyperlink>
      <w:r w:rsidRPr="00EF4857">
        <w:rPr>
          <w:color w:val="000000" w:themeColor="text1"/>
        </w:rPr>
        <w:t>)</w:t>
      </w:r>
      <w:r w:rsidRPr="00EF4857">
        <w:rPr>
          <w:rFonts w:hint="eastAsia"/>
          <w:color w:val="000000" w:themeColor="text1"/>
        </w:rPr>
        <w:t>。</w:t>
      </w:r>
    </w:p>
  </w:footnote>
  <w:footnote w:id="1302">
    <w:p w:rsidR="00AB00DE" w:rsidRPr="005637C0" w:rsidRDefault="00AB00DE" w:rsidP="006735D4">
      <w:pPr>
        <w:pStyle w:val="a4"/>
      </w:pPr>
      <w:r w:rsidRPr="00236196">
        <w:tab/>
      </w:r>
      <w:r w:rsidRPr="00681AC8">
        <w:rPr>
          <w:rStyle w:val="a5"/>
        </w:rPr>
        <w:footnoteRef/>
      </w:r>
      <w:r w:rsidRPr="00236196">
        <w:tab/>
      </w:r>
      <w:r w:rsidRPr="00EF4857">
        <w:rPr>
          <w:rFonts w:hint="eastAsia"/>
          <w:color w:val="000000" w:themeColor="text1"/>
        </w:rPr>
        <w:t>同上，</w:t>
      </w:r>
      <w:r>
        <w:rPr>
          <w:rStyle w:val="af"/>
          <w:rFonts w:hint="eastAsia"/>
          <w:color w:val="000000" w:themeColor="text1"/>
        </w:rPr>
        <w:t>第</w:t>
      </w:r>
      <w:r>
        <w:rPr>
          <w:rStyle w:val="af"/>
          <w:rFonts w:eastAsiaTheme="minorEastAsia" w:hint="eastAsia"/>
          <w:color w:val="000000" w:themeColor="text1"/>
        </w:rPr>
        <w:t>六</w:t>
      </w:r>
      <w:r w:rsidRPr="00EF4857">
        <w:rPr>
          <w:rStyle w:val="af"/>
          <w:rFonts w:hint="eastAsia"/>
          <w:color w:val="000000" w:themeColor="text1"/>
        </w:rPr>
        <w:t>章</w:t>
      </w:r>
      <w:r w:rsidRPr="00EF4857">
        <w:rPr>
          <w:rFonts w:hint="eastAsia"/>
          <w:color w:val="000000" w:themeColor="text1"/>
        </w:rPr>
        <w:t>，</w:t>
      </w:r>
      <w:r w:rsidRPr="00EF4857">
        <w:rPr>
          <w:rFonts w:hint="eastAsia"/>
          <w:color w:val="000000" w:themeColor="text1"/>
        </w:rPr>
        <w:t>E</w:t>
      </w:r>
      <w:r w:rsidRPr="00EF4857">
        <w:rPr>
          <w:rFonts w:hint="eastAsia"/>
          <w:color w:val="000000" w:themeColor="text1"/>
        </w:rPr>
        <w:t>节。</w:t>
      </w:r>
    </w:p>
  </w:footnote>
  <w:footnote w:id="1303">
    <w:p w:rsidR="00AB00DE" w:rsidRPr="0046221B" w:rsidRDefault="00AB00DE" w:rsidP="006735D4">
      <w:pPr>
        <w:pStyle w:val="a4"/>
        <w:rPr>
          <w:sz w:val="20"/>
        </w:rPr>
      </w:pPr>
      <w:r w:rsidRPr="003C1757">
        <w:rPr>
          <w:rFonts w:hint="eastAsia"/>
        </w:rPr>
        <w:tab/>
      </w:r>
      <w:r w:rsidRPr="00681AC8">
        <w:rPr>
          <w:rStyle w:val="a5"/>
          <w:lang w:val="zh-CN"/>
        </w:rPr>
        <w:footnoteRef/>
      </w:r>
      <w:r>
        <w:rPr>
          <w:rFonts w:hint="eastAsia"/>
          <w:lang w:val="zh-CN"/>
        </w:rPr>
        <w:tab/>
      </w:r>
      <w:r>
        <w:rPr>
          <w:lang w:val="zh-CN"/>
        </w:rPr>
        <w:t>2013</w:t>
      </w:r>
      <w:r>
        <w:rPr>
          <w:lang w:val="zh-CN"/>
        </w:rPr>
        <w:t>年</w:t>
      </w:r>
      <w:r>
        <w:rPr>
          <w:lang w:val="zh-CN"/>
        </w:rPr>
        <w:t>5</w:t>
      </w:r>
      <w:r>
        <w:rPr>
          <w:lang w:val="zh-CN"/>
        </w:rPr>
        <w:t>月</w:t>
      </w:r>
      <w:r>
        <w:rPr>
          <w:lang w:val="zh-CN"/>
        </w:rPr>
        <w:t>28</w:t>
      </w:r>
      <w:r>
        <w:rPr>
          <w:lang w:val="zh-CN"/>
        </w:rPr>
        <w:t>日委员会第</w:t>
      </w:r>
      <w:r>
        <w:rPr>
          <w:lang w:val="zh-CN"/>
        </w:rPr>
        <w:t>3171</w:t>
      </w:r>
      <w:r>
        <w:rPr>
          <w:lang w:val="zh-CN"/>
        </w:rPr>
        <w:t>次会议做出这一决定</w:t>
      </w:r>
      <w:r>
        <w:rPr>
          <w:lang w:val="zh-CN"/>
        </w:rPr>
        <w:t>(</w:t>
      </w:r>
      <w:r>
        <w:rPr>
          <w:lang w:val="zh-CN"/>
        </w:rPr>
        <w:t>见《大会正式记录，第六十八届会议，补编第</w:t>
      </w:r>
      <w:r>
        <w:rPr>
          <w:lang w:val="zh-CN"/>
        </w:rPr>
        <w:t>10</w:t>
      </w:r>
      <w:r>
        <w:rPr>
          <w:lang w:val="zh-CN"/>
        </w:rPr>
        <w:t>号》</w:t>
      </w:r>
      <w:r>
        <w:rPr>
          <w:lang w:val="zh-CN"/>
        </w:rPr>
        <w:t>(</w:t>
      </w:r>
      <w:hyperlink r:id="rId318" w:history="1">
        <w:r w:rsidRPr="00E37175">
          <w:rPr>
            <w:rStyle w:val="af"/>
            <w:lang w:val="zh-CN"/>
          </w:rPr>
          <w:t>A/68/10</w:t>
        </w:r>
      </w:hyperlink>
      <w:r>
        <w:rPr>
          <w:lang w:val="zh-CN"/>
        </w:rPr>
        <w:t>)</w:t>
      </w:r>
      <w:r>
        <w:rPr>
          <w:lang w:val="zh-CN"/>
        </w:rPr>
        <w:t>，第</w:t>
      </w:r>
      <w:r>
        <w:rPr>
          <w:lang w:val="zh-CN"/>
        </w:rPr>
        <w:t>167</w:t>
      </w:r>
      <w:r>
        <w:rPr>
          <w:lang w:val="zh-CN"/>
        </w:rPr>
        <w:t>段</w:t>
      </w:r>
      <w:r>
        <w:rPr>
          <w:lang w:val="zh-CN"/>
        </w:rPr>
        <w:t>)</w:t>
      </w:r>
      <w:r>
        <w:rPr>
          <w:lang w:val="zh-CN"/>
        </w:rPr>
        <w:t>。本专题提纲，</w:t>
      </w:r>
      <w:r w:rsidRPr="00024903">
        <w:rPr>
          <w:rFonts w:eastAsiaTheme="minorEastAsia"/>
          <w:lang w:val="zh-CN"/>
        </w:rPr>
        <w:t>同上，</w:t>
      </w:r>
      <w:r>
        <w:rPr>
          <w:rFonts w:eastAsiaTheme="minorEastAsia" w:hint="eastAsia"/>
          <w:lang w:val="zh-CN"/>
        </w:rPr>
        <w:t>《</w:t>
      </w:r>
      <w:r w:rsidRPr="00024903">
        <w:rPr>
          <w:rFonts w:eastAsiaTheme="minorEastAsia"/>
          <w:lang w:val="zh-CN"/>
        </w:rPr>
        <w:t>第六十六届会议，补编第</w:t>
      </w:r>
      <w:r w:rsidRPr="00024903">
        <w:rPr>
          <w:rFonts w:eastAsiaTheme="minorEastAsia"/>
          <w:lang w:val="zh-CN"/>
        </w:rPr>
        <w:t>10</w:t>
      </w:r>
      <w:r w:rsidRPr="00024903">
        <w:rPr>
          <w:rFonts w:eastAsiaTheme="minorEastAsia"/>
          <w:lang w:val="zh-CN"/>
        </w:rPr>
        <w:t>号</w:t>
      </w:r>
      <w:r>
        <w:rPr>
          <w:rFonts w:eastAsiaTheme="minorEastAsia" w:hint="eastAsia"/>
          <w:lang w:val="zh-CN"/>
        </w:rPr>
        <w:t>》</w:t>
      </w:r>
      <w:r>
        <w:rPr>
          <w:lang w:val="zh-CN"/>
        </w:rPr>
        <w:t>(</w:t>
      </w:r>
      <w:hyperlink r:id="rId319" w:history="1">
        <w:r w:rsidRPr="00E37175">
          <w:rPr>
            <w:rStyle w:val="af"/>
            <w:lang w:val="zh-CN"/>
          </w:rPr>
          <w:t>A/66/10</w:t>
        </w:r>
      </w:hyperlink>
      <w:r>
        <w:rPr>
          <w:lang w:val="zh-CN"/>
        </w:rPr>
        <w:t>)</w:t>
      </w:r>
      <w:r>
        <w:rPr>
          <w:lang w:val="zh-CN"/>
        </w:rPr>
        <w:t>，附件</w:t>
      </w:r>
      <w:r>
        <w:rPr>
          <w:lang w:val="zh-CN"/>
        </w:rPr>
        <w:t>E</w:t>
      </w:r>
      <w:r>
        <w:rPr>
          <w:lang w:val="zh-CN"/>
        </w:rPr>
        <w:t>。</w:t>
      </w:r>
    </w:p>
  </w:footnote>
  <w:footnote w:id="1304">
    <w:p w:rsidR="00AB00DE" w:rsidRPr="00FC3ECB" w:rsidRDefault="00AB00DE" w:rsidP="006735D4">
      <w:pPr>
        <w:pStyle w:val="a4"/>
        <w:rPr>
          <w:rFonts w:eastAsiaTheme="majorEastAsia"/>
          <w:sz w:val="20"/>
        </w:rPr>
      </w:pPr>
      <w:r>
        <w:rPr>
          <w:rFonts w:hint="eastAsia"/>
          <w:lang w:val="zh-CN"/>
        </w:rPr>
        <w:tab/>
      </w:r>
      <w:r w:rsidRPr="00681AC8">
        <w:rPr>
          <w:rStyle w:val="a5"/>
          <w:lang w:val="zh-CN"/>
        </w:rPr>
        <w:footnoteRef/>
      </w:r>
      <w:r>
        <w:rPr>
          <w:rFonts w:hint="eastAsia"/>
          <w:lang w:val="zh-CN"/>
        </w:rPr>
        <w:tab/>
      </w:r>
      <w:r w:rsidRPr="00FC3ECB">
        <w:rPr>
          <w:rFonts w:eastAsiaTheme="majorEastAsia"/>
          <w:lang w:val="zh-CN"/>
        </w:rPr>
        <w:t>同上，</w:t>
      </w:r>
      <w:r w:rsidRPr="00FC3ECB">
        <w:rPr>
          <w:rFonts w:eastAsiaTheme="majorEastAsia" w:hint="eastAsia"/>
          <w:lang w:val="zh-CN"/>
        </w:rPr>
        <w:t>《</w:t>
      </w:r>
      <w:r w:rsidRPr="00FC3ECB">
        <w:rPr>
          <w:rFonts w:eastAsiaTheme="majorEastAsia"/>
          <w:lang w:val="zh-CN"/>
        </w:rPr>
        <w:t>第六十九届会议，补编第</w:t>
      </w:r>
      <w:r w:rsidRPr="00FC3ECB">
        <w:rPr>
          <w:rFonts w:eastAsiaTheme="majorEastAsia"/>
          <w:lang w:val="zh-CN"/>
        </w:rPr>
        <w:t>10</w:t>
      </w:r>
      <w:r w:rsidRPr="00FC3ECB">
        <w:rPr>
          <w:rFonts w:eastAsiaTheme="majorEastAsia"/>
          <w:lang w:val="zh-CN"/>
        </w:rPr>
        <w:t>号</w:t>
      </w:r>
      <w:r w:rsidRPr="00FC3ECB">
        <w:rPr>
          <w:rFonts w:eastAsiaTheme="majorEastAsia" w:hint="eastAsia"/>
          <w:lang w:val="zh-CN"/>
        </w:rPr>
        <w:t>》</w:t>
      </w:r>
      <w:r w:rsidRPr="00FC3ECB">
        <w:rPr>
          <w:rFonts w:eastAsiaTheme="majorEastAsia"/>
          <w:lang w:val="zh-CN"/>
        </w:rPr>
        <w:t>(</w:t>
      </w:r>
      <w:hyperlink r:id="rId320" w:history="1">
        <w:r w:rsidRPr="00FC3ECB">
          <w:rPr>
            <w:rStyle w:val="af"/>
            <w:rFonts w:eastAsiaTheme="majorEastAsia"/>
            <w:lang w:val="zh-CN"/>
          </w:rPr>
          <w:t>A/69/10</w:t>
        </w:r>
      </w:hyperlink>
      <w:r w:rsidRPr="00FC3ECB">
        <w:rPr>
          <w:rFonts w:eastAsiaTheme="majorEastAsia"/>
          <w:lang w:val="zh-CN"/>
        </w:rPr>
        <w:t>)</w:t>
      </w:r>
      <w:r w:rsidRPr="00FC3ECB">
        <w:rPr>
          <w:rFonts w:eastAsiaTheme="majorEastAsia"/>
          <w:lang w:val="zh-CN"/>
        </w:rPr>
        <w:t>，第</w:t>
      </w:r>
      <w:r w:rsidRPr="00FC3ECB">
        <w:rPr>
          <w:rFonts w:eastAsiaTheme="majorEastAsia"/>
          <w:lang w:val="zh-CN"/>
        </w:rPr>
        <w:t>186-222</w:t>
      </w:r>
      <w:r w:rsidRPr="00FC3ECB">
        <w:rPr>
          <w:rFonts w:eastAsiaTheme="majorEastAsia"/>
          <w:lang w:val="zh-CN"/>
        </w:rPr>
        <w:t>段。</w:t>
      </w:r>
    </w:p>
  </w:footnote>
  <w:footnote w:id="1305">
    <w:p w:rsidR="00AB00DE" w:rsidRPr="0046221B" w:rsidRDefault="00AB00DE" w:rsidP="006735D4">
      <w:pPr>
        <w:pStyle w:val="a4"/>
        <w:rPr>
          <w:sz w:val="20"/>
        </w:rPr>
      </w:pPr>
      <w:r w:rsidRPr="00FC3ECB">
        <w:rPr>
          <w:rFonts w:eastAsiaTheme="majorEastAsia" w:hint="eastAsia"/>
          <w:lang w:val="zh-CN"/>
        </w:rPr>
        <w:tab/>
      </w:r>
      <w:r w:rsidRPr="00681AC8">
        <w:rPr>
          <w:rStyle w:val="a5"/>
          <w:rFonts w:eastAsiaTheme="majorEastAsia"/>
          <w:lang w:val="zh-CN"/>
        </w:rPr>
        <w:footnoteRef/>
      </w:r>
      <w:r w:rsidRPr="00FC3ECB">
        <w:rPr>
          <w:rFonts w:eastAsiaTheme="majorEastAsia" w:hint="eastAsia"/>
          <w:lang w:val="zh-CN"/>
        </w:rPr>
        <w:tab/>
      </w:r>
      <w:r w:rsidRPr="00FC3ECB">
        <w:rPr>
          <w:rFonts w:eastAsiaTheme="majorEastAsia"/>
          <w:lang w:val="zh-CN"/>
        </w:rPr>
        <w:t>同上，</w:t>
      </w:r>
      <w:r w:rsidRPr="00FC3ECB">
        <w:rPr>
          <w:rFonts w:eastAsiaTheme="majorEastAsia" w:hint="eastAsia"/>
          <w:lang w:val="zh-CN"/>
        </w:rPr>
        <w:t>《</w:t>
      </w:r>
      <w:r w:rsidRPr="00FC3ECB">
        <w:rPr>
          <w:rFonts w:eastAsiaTheme="majorEastAsia"/>
          <w:lang w:val="zh-CN"/>
        </w:rPr>
        <w:t>第七十届会议，补编第</w:t>
      </w:r>
      <w:r w:rsidRPr="00FC3ECB">
        <w:rPr>
          <w:rFonts w:eastAsiaTheme="majorEastAsia"/>
          <w:lang w:val="zh-CN"/>
        </w:rPr>
        <w:t>10</w:t>
      </w:r>
      <w:r w:rsidRPr="00FC3ECB">
        <w:rPr>
          <w:rFonts w:eastAsiaTheme="majorEastAsia"/>
          <w:lang w:val="zh-CN"/>
        </w:rPr>
        <w:t>号</w:t>
      </w:r>
      <w:r w:rsidRPr="00FC3ECB">
        <w:rPr>
          <w:rFonts w:eastAsiaTheme="majorEastAsia" w:hint="eastAsia"/>
          <w:lang w:val="zh-CN"/>
        </w:rPr>
        <w:t>》</w:t>
      </w:r>
      <w:r>
        <w:rPr>
          <w:lang w:val="zh-CN"/>
        </w:rPr>
        <w:t>(</w:t>
      </w:r>
      <w:hyperlink r:id="rId321" w:history="1">
        <w:r w:rsidRPr="00E37175">
          <w:rPr>
            <w:rStyle w:val="af"/>
            <w:lang w:val="zh-CN"/>
          </w:rPr>
          <w:t>A/70/10</w:t>
        </w:r>
      </w:hyperlink>
      <w:r>
        <w:rPr>
          <w:lang w:val="zh-CN"/>
        </w:rPr>
        <w:t>)</w:t>
      </w:r>
      <w:r>
        <w:rPr>
          <w:lang w:val="zh-CN"/>
        </w:rPr>
        <w:t>，第</w:t>
      </w:r>
      <w:r>
        <w:rPr>
          <w:lang w:val="zh-CN"/>
        </w:rPr>
        <w:t>130-170</w:t>
      </w:r>
      <w:r>
        <w:rPr>
          <w:lang w:val="zh-CN"/>
        </w:rPr>
        <w:t>段。</w:t>
      </w:r>
    </w:p>
  </w:footnote>
  <w:footnote w:id="1306">
    <w:p w:rsidR="00AB00DE" w:rsidRPr="0046221B" w:rsidRDefault="00AB00DE" w:rsidP="006735D4">
      <w:pPr>
        <w:pStyle w:val="a4"/>
        <w:rPr>
          <w:sz w:val="20"/>
        </w:rPr>
      </w:pPr>
      <w:r>
        <w:rPr>
          <w:rFonts w:hint="eastAsia"/>
          <w:lang w:val="zh-CN"/>
        </w:rPr>
        <w:tab/>
      </w:r>
      <w:r w:rsidRPr="00681AC8">
        <w:rPr>
          <w:rStyle w:val="a5"/>
          <w:lang w:val="zh-CN"/>
        </w:rPr>
        <w:footnoteRef/>
      </w:r>
      <w:r>
        <w:rPr>
          <w:rFonts w:hint="eastAsia"/>
          <w:lang w:val="zh-CN"/>
        </w:rPr>
        <w:tab/>
      </w:r>
      <w:r>
        <w:rPr>
          <w:lang w:val="zh-CN"/>
        </w:rPr>
        <w:t>特别报告员</w:t>
      </w:r>
      <w:r>
        <w:rPr>
          <w:rFonts w:eastAsiaTheme="minorEastAsia" w:hint="eastAsia"/>
          <w:lang w:val="zh-CN"/>
        </w:rPr>
        <w:t>第三次报告</w:t>
      </w:r>
      <w:r>
        <w:rPr>
          <w:lang w:val="zh-CN"/>
        </w:rPr>
        <w:t>建议的原则草案</w:t>
      </w:r>
      <w:r>
        <w:rPr>
          <w:lang w:val="zh-CN"/>
        </w:rPr>
        <w:t>1-1</w:t>
      </w:r>
      <w:r>
        <w:rPr>
          <w:lang w:val="zh-CN"/>
        </w:rPr>
        <w:t>、</w:t>
      </w:r>
      <w:r>
        <w:rPr>
          <w:lang w:val="zh-CN"/>
        </w:rPr>
        <w:t>1-3</w:t>
      </w:r>
      <w:r>
        <w:rPr>
          <w:lang w:val="zh-CN"/>
        </w:rPr>
        <w:t>和</w:t>
      </w:r>
      <w:r>
        <w:rPr>
          <w:lang w:val="zh-CN"/>
        </w:rPr>
        <w:t>1-4</w:t>
      </w:r>
      <w:r>
        <w:rPr>
          <w:lang w:val="zh-CN"/>
        </w:rPr>
        <w:t>案文如下：</w:t>
      </w:r>
    </w:p>
    <w:p w:rsidR="00AB00DE" w:rsidRPr="001A39A6" w:rsidRDefault="00AB00DE" w:rsidP="006735D4">
      <w:pPr>
        <w:pStyle w:val="a4"/>
        <w:rPr>
          <w:rFonts w:eastAsia="黑体"/>
          <w:b/>
          <w:bCs/>
          <w:sz w:val="20"/>
        </w:rPr>
      </w:pPr>
      <w:r>
        <w:rPr>
          <w:lang w:val="zh-CN"/>
        </w:rPr>
        <w:tab/>
      </w:r>
      <w:r>
        <w:rPr>
          <w:rFonts w:hint="eastAsia"/>
          <w:lang w:val="zh-CN"/>
        </w:rPr>
        <w:tab/>
      </w:r>
      <w:r w:rsidRPr="001A39A6">
        <w:rPr>
          <w:rFonts w:eastAsia="黑体"/>
          <w:lang w:val="zh-CN"/>
        </w:rPr>
        <w:t>原则草案</w:t>
      </w:r>
      <w:r>
        <w:rPr>
          <w:rFonts w:eastAsia="黑体"/>
          <w:lang w:val="zh-CN"/>
        </w:rPr>
        <w:t>1</w:t>
      </w:r>
      <w:r w:rsidRPr="001A39A6">
        <w:rPr>
          <w:rFonts w:eastAsia="黑体"/>
          <w:lang w:val="zh-CN"/>
        </w:rPr>
        <w:t>-</w:t>
      </w:r>
      <w:r>
        <w:rPr>
          <w:rFonts w:eastAsia="黑体"/>
          <w:lang w:val="zh-CN"/>
        </w:rPr>
        <w:t>1</w:t>
      </w:r>
      <w:r w:rsidRPr="001A39A6">
        <w:rPr>
          <w:rFonts w:eastAsia="黑体" w:hint="eastAsia"/>
          <w:lang w:val="zh-CN"/>
        </w:rPr>
        <w:br/>
      </w:r>
      <w:r w:rsidRPr="001A39A6">
        <w:rPr>
          <w:rFonts w:eastAsia="黑体"/>
          <w:lang w:val="zh-CN"/>
        </w:rPr>
        <w:t>实施和强制执行</w:t>
      </w:r>
    </w:p>
    <w:p w:rsidR="00AB00DE" w:rsidRPr="0046221B" w:rsidRDefault="00AB00DE" w:rsidP="006735D4">
      <w:pPr>
        <w:pStyle w:val="a4"/>
        <w:rPr>
          <w:sz w:val="20"/>
        </w:rPr>
      </w:pPr>
      <w:r>
        <w:rPr>
          <w:lang w:val="zh-CN"/>
        </w:rPr>
        <w:tab/>
      </w:r>
      <w:r>
        <w:rPr>
          <w:rFonts w:hint="eastAsia"/>
          <w:lang w:val="zh-CN"/>
        </w:rPr>
        <w:tab/>
      </w:r>
      <w:r>
        <w:rPr>
          <w:lang w:val="zh-CN"/>
        </w:rPr>
        <w:t>各国应采取一切必要步骤，通过有效立法、行政、司法或其他防止措施，依照国际法加强与武装冲突有关的自然环境保护。</w:t>
      </w:r>
    </w:p>
    <w:p w:rsidR="00AB00DE" w:rsidRPr="001A39A6" w:rsidRDefault="00AB00DE" w:rsidP="006735D4">
      <w:pPr>
        <w:pStyle w:val="a4"/>
        <w:rPr>
          <w:rFonts w:eastAsia="黑体"/>
          <w:b/>
          <w:bCs/>
          <w:sz w:val="20"/>
        </w:rPr>
      </w:pPr>
      <w:r>
        <w:rPr>
          <w:lang w:val="zh-CN"/>
        </w:rPr>
        <w:tab/>
      </w:r>
      <w:r>
        <w:rPr>
          <w:lang w:val="zh-CN"/>
        </w:rPr>
        <w:tab/>
      </w:r>
      <w:r w:rsidRPr="001A39A6">
        <w:rPr>
          <w:rFonts w:eastAsia="黑体"/>
          <w:lang w:val="zh-CN"/>
        </w:rPr>
        <w:t>原则草案</w:t>
      </w:r>
      <w:r>
        <w:rPr>
          <w:rFonts w:eastAsia="黑体"/>
          <w:lang w:val="zh-CN"/>
        </w:rPr>
        <w:t>1</w:t>
      </w:r>
      <w:r w:rsidRPr="001A39A6">
        <w:rPr>
          <w:rFonts w:eastAsia="黑体"/>
          <w:lang w:val="zh-CN"/>
        </w:rPr>
        <w:t>-</w:t>
      </w:r>
      <w:r>
        <w:rPr>
          <w:rFonts w:eastAsia="黑体"/>
          <w:lang w:val="zh-CN"/>
        </w:rPr>
        <w:t>3</w:t>
      </w:r>
      <w:r w:rsidRPr="001A39A6">
        <w:rPr>
          <w:rFonts w:eastAsia="黑体" w:hint="eastAsia"/>
          <w:lang w:val="zh-CN"/>
        </w:rPr>
        <w:br/>
      </w:r>
      <w:r w:rsidRPr="001A39A6">
        <w:rPr>
          <w:rFonts w:eastAsia="黑体"/>
          <w:lang w:val="zh-CN"/>
        </w:rPr>
        <w:t>部队地位协定和特派团地位协定</w:t>
      </w:r>
    </w:p>
    <w:p w:rsidR="00AB00DE" w:rsidRPr="0046221B" w:rsidRDefault="00AB00DE" w:rsidP="006735D4">
      <w:pPr>
        <w:pStyle w:val="a4"/>
        <w:rPr>
          <w:sz w:val="20"/>
        </w:rPr>
      </w:pPr>
      <w:r>
        <w:rPr>
          <w:rFonts w:hint="eastAsia"/>
          <w:lang w:val="zh-CN"/>
        </w:rPr>
        <w:tab/>
      </w:r>
      <w:r>
        <w:rPr>
          <w:rFonts w:hint="eastAsia"/>
          <w:lang w:val="zh-CN"/>
        </w:rPr>
        <w:tab/>
      </w:r>
      <w:r>
        <w:rPr>
          <w:lang w:val="zh-CN"/>
        </w:rPr>
        <w:t>鼓励各国和各国际组织将关于环境法规及责任的条款纳入其部队地位协定或特派团地位协定。此种条款可包括防止措施、影响评估、恢复和清理措施。</w:t>
      </w:r>
    </w:p>
    <w:p w:rsidR="00AB00DE" w:rsidRPr="001A39A6" w:rsidRDefault="00AB00DE" w:rsidP="006735D4">
      <w:pPr>
        <w:pStyle w:val="a4"/>
        <w:rPr>
          <w:rFonts w:eastAsia="黑体"/>
          <w:b/>
          <w:sz w:val="20"/>
        </w:rPr>
      </w:pPr>
      <w:r>
        <w:rPr>
          <w:rFonts w:hint="eastAsia"/>
          <w:lang w:val="zh-CN"/>
        </w:rPr>
        <w:tab/>
      </w:r>
      <w:r>
        <w:rPr>
          <w:rFonts w:hint="eastAsia"/>
          <w:lang w:val="zh-CN"/>
        </w:rPr>
        <w:tab/>
      </w:r>
      <w:r w:rsidRPr="001A39A6">
        <w:rPr>
          <w:rFonts w:eastAsia="黑体"/>
          <w:lang w:val="zh-CN"/>
        </w:rPr>
        <w:t>原则草案</w:t>
      </w:r>
      <w:r>
        <w:rPr>
          <w:rFonts w:eastAsia="黑体"/>
          <w:lang w:val="zh-CN"/>
        </w:rPr>
        <w:t>1</w:t>
      </w:r>
      <w:r w:rsidRPr="001A39A6">
        <w:rPr>
          <w:rFonts w:eastAsia="黑体"/>
          <w:lang w:val="zh-CN"/>
        </w:rPr>
        <w:t>-</w:t>
      </w:r>
      <w:r>
        <w:rPr>
          <w:rFonts w:eastAsia="黑体"/>
          <w:lang w:val="zh-CN"/>
        </w:rPr>
        <w:t>4</w:t>
      </w:r>
      <w:r w:rsidRPr="001A39A6">
        <w:rPr>
          <w:rFonts w:eastAsia="黑体"/>
          <w:lang w:val="zh-CN"/>
        </w:rPr>
        <w:br/>
      </w:r>
      <w:r w:rsidRPr="001A39A6">
        <w:rPr>
          <w:rFonts w:eastAsia="黑体"/>
          <w:lang w:val="zh-CN"/>
        </w:rPr>
        <w:t>和平行动</w:t>
      </w:r>
    </w:p>
    <w:p w:rsidR="00AB00DE" w:rsidRPr="0046221B" w:rsidRDefault="00AB00DE" w:rsidP="006735D4">
      <w:pPr>
        <w:pStyle w:val="a4"/>
        <w:rPr>
          <w:sz w:val="20"/>
        </w:rPr>
      </w:pPr>
      <w:r>
        <w:rPr>
          <w:rFonts w:hint="eastAsia"/>
          <w:lang w:val="zh-CN"/>
        </w:rPr>
        <w:tab/>
      </w:r>
      <w:r>
        <w:rPr>
          <w:rFonts w:hint="eastAsia"/>
          <w:lang w:val="zh-CN"/>
        </w:rPr>
        <w:tab/>
      </w:r>
      <w:r>
        <w:rPr>
          <w:lang w:val="zh-CN"/>
        </w:rPr>
        <w:t>参与和平行动的各国和各组织须考虑这些行动对环境的影响，并采取一切必要措施，防止、减轻和补救其负面的环境后果。</w:t>
      </w:r>
    </w:p>
  </w:footnote>
  <w:footnote w:id="1307">
    <w:p w:rsidR="00AB00DE" w:rsidRPr="0046221B" w:rsidRDefault="00AB00DE" w:rsidP="006735D4">
      <w:pPr>
        <w:pStyle w:val="a4"/>
        <w:rPr>
          <w:sz w:val="20"/>
        </w:rPr>
      </w:pPr>
      <w:r>
        <w:rPr>
          <w:rFonts w:hint="eastAsia"/>
          <w:lang w:val="zh-CN"/>
        </w:rPr>
        <w:tab/>
      </w:r>
      <w:r w:rsidRPr="00681AC8">
        <w:rPr>
          <w:rStyle w:val="a5"/>
          <w:lang w:val="zh-CN"/>
        </w:rPr>
        <w:footnoteRef/>
      </w:r>
      <w:r>
        <w:rPr>
          <w:rFonts w:hint="eastAsia"/>
          <w:lang w:val="zh-CN"/>
        </w:rPr>
        <w:tab/>
      </w:r>
      <w:r>
        <w:rPr>
          <w:lang w:val="zh-CN"/>
        </w:rPr>
        <w:t>特别报告员</w:t>
      </w:r>
      <w:r>
        <w:rPr>
          <w:rFonts w:eastAsiaTheme="minorEastAsia" w:hint="eastAsia"/>
          <w:lang w:val="zh-CN"/>
        </w:rPr>
        <w:t>第三次报告</w:t>
      </w:r>
      <w:r>
        <w:rPr>
          <w:lang w:val="zh-CN"/>
        </w:rPr>
        <w:t>建议的原则草案</w:t>
      </w:r>
      <w:r>
        <w:rPr>
          <w:lang w:val="zh-CN"/>
        </w:rPr>
        <w:t>3-1</w:t>
      </w:r>
      <w:r>
        <w:rPr>
          <w:lang w:val="zh-CN"/>
        </w:rPr>
        <w:t>至</w:t>
      </w:r>
      <w:r>
        <w:rPr>
          <w:lang w:val="zh-CN"/>
        </w:rPr>
        <w:t>3-5</w:t>
      </w:r>
      <w:r>
        <w:rPr>
          <w:lang w:val="zh-CN"/>
        </w:rPr>
        <w:t>案文如下：</w:t>
      </w:r>
    </w:p>
    <w:p w:rsidR="00AB00DE" w:rsidRPr="001A39A6" w:rsidRDefault="00AB00DE" w:rsidP="006735D4">
      <w:pPr>
        <w:pStyle w:val="a4"/>
        <w:rPr>
          <w:rFonts w:ascii="Time New Roman" w:eastAsia="黑体" w:hAnsi="Time New Roman" w:hint="eastAsia"/>
          <w:b/>
          <w:bCs/>
          <w:sz w:val="20"/>
        </w:rPr>
      </w:pPr>
      <w:r>
        <w:rPr>
          <w:lang w:val="zh-CN"/>
        </w:rPr>
        <w:tab/>
      </w:r>
      <w:r>
        <w:rPr>
          <w:rFonts w:hint="eastAsia"/>
          <w:lang w:val="zh-CN"/>
        </w:rPr>
        <w:tab/>
      </w:r>
      <w:r w:rsidRPr="001A39A6">
        <w:rPr>
          <w:rFonts w:ascii="Time New Roman" w:eastAsia="黑体" w:hAnsi="Time New Roman"/>
          <w:lang w:val="zh-CN"/>
        </w:rPr>
        <w:t>原则草案</w:t>
      </w:r>
      <w:r>
        <w:rPr>
          <w:rFonts w:ascii="Time New Roman" w:eastAsia="黑体" w:hAnsi="Time New Roman"/>
          <w:lang w:val="zh-CN"/>
        </w:rPr>
        <w:t>3</w:t>
      </w:r>
      <w:r w:rsidRPr="001A39A6">
        <w:rPr>
          <w:rFonts w:ascii="Time New Roman" w:eastAsia="黑体" w:hAnsi="Time New Roman"/>
          <w:lang w:val="zh-CN"/>
        </w:rPr>
        <w:t>-</w:t>
      </w:r>
      <w:r>
        <w:rPr>
          <w:rFonts w:ascii="Time New Roman" w:eastAsia="黑体" w:hAnsi="Time New Roman"/>
          <w:lang w:val="zh-CN"/>
        </w:rPr>
        <w:t>1</w:t>
      </w:r>
      <w:r w:rsidRPr="001A39A6">
        <w:rPr>
          <w:rFonts w:ascii="Time New Roman" w:eastAsia="黑体" w:hAnsi="Time New Roman" w:hint="eastAsia"/>
          <w:lang w:val="zh-CN"/>
        </w:rPr>
        <w:br/>
      </w:r>
      <w:r w:rsidRPr="001A39A6">
        <w:rPr>
          <w:rFonts w:ascii="Time New Roman" w:eastAsia="黑体" w:hAnsi="Time New Roman"/>
          <w:lang w:val="zh-CN"/>
        </w:rPr>
        <w:t>和平协定</w:t>
      </w:r>
    </w:p>
    <w:p w:rsidR="00AB00DE" w:rsidRPr="0046221B" w:rsidRDefault="00AB00DE" w:rsidP="006735D4">
      <w:pPr>
        <w:pStyle w:val="a4"/>
        <w:rPr>
          <w:sz w:val="20"/>
        </w:rPr>
      </w:pPr>
      <w:r>
        <w:rPr>
          <w:lang w:val="zh-CN"/>
        </w:rPr>
        <w:tab/>
      </w:r>
      <w:r>
        <w:rPr>
          <w:rFonts w:hint="eastAsia"/>
          <w:lang w:val="zh-CN"/>
        </w:rPr>
        <w:tab/>
      </w:r>
      <w:r>
        <w:rPr>
          <w:lang w:val="zh-CN"/>
        </w:rPr>
        <w:t>鼓励冲突各方在和平协定中解决因武装冲突受损害的环境的恢复和保护相关事项。</w:t>
      </w:r>
    </w:p>
    <w:p w:rsidR="00AB00DE" w:rsidRPr="001A39A6" w:rsidRDefault="00AB00DE" w:rsidP="006735D4">
      <w:pPr>
        <w:pStyle w:val="a4"/>
        <w:rPr>
          <w:rFonts w:ascii="Time New Roman" w:eastAsia="黑体" w:hAnsi="Time New Roman" w:hint="eastAsia"/>
          <w:b/>
          <w:bCs/>
          <w:sz w:val="20"/>
        </w:rPr>
      </w:pPr>
      <w:r>
        <w:rPr>
          <w:rFonts w:hint="eastAsia"/>
          <w:lang w:val="zh-CN"/>
        </w:rPr>
        <w:tab/>
      </w:r>
      <w:r>
        <w:rPr>
          <w:rFonts w:hint="eastAsia"/>
          <w:lang w:val="zh-CN"/>
        </w:rPr>
        <w:tab/>
      </w:r>
      <w:r w:rsidRPr="001A39A6">
        <w:rPr>
          <w:rFonts w:ascii="Time New Roman" w:eastAsia="黑体" w:hAnsi="Time New Roman"/>
          <w:lang w:val="zh-CN"/>
        </w:rPr>
        <w:t>原则草案</w:t>
      </w:r>
      <w:r>
        <w:rPr>
          <w:rFonts w:ascii="Time New Roman" w:eastAsia="黑体" w:hAnsi="Time New Roman"/>
          <w:lang w:val="zh-CN"/>
        </w:rPr>
        <w:t>3</w:t>
      </w:r>
      <w:r w:rsidRPr="001A39A6">
        <w:rPr>
          <w:rFonts w:ascii="Time New Roman" w:eastAsia="黑体" w:hAnsi="Time New Roman"/>
          <w:lang w:val="zh-CN"/>
        </w:rPr>
        <w:t>-</w:t>
      </w:r>
      <w:r>
        <w:rPr>
          <w:rFonts w:ascii="Time New Roman" w:eastAsia="黑体" w:hAnsi="Time New Roman"/>
          <w:lang w:val="zh-CN"/>
        </w:rPr>
        <w:t>2</w:t>
      </w:r>
      <w:r w:rsidRPr="001A39A6">
        <w:rPr>
          <w:rFonts w:ascii="Time New Roman" w:eastAsia="黑体" w:hAnsi="Time New Roman" w:hint="eastAsia"/>
          <w:lang w:val="zh-CN"/>
        </w:rPr>
        <w:br/>
      </w:r>
      <w:r w:rsidRPr="001A39A6">
        <w:rPr>
          <w:rFonts w:ascii="Time New Roman" w:eastAsia="黑体" w:hAnsi="Time New Roman"/>
          <w:lang w:val="zh-CN"/>
        </w:rPr>
        <w:t>冲突后环境评估和审查</w:t>
      </w:r>
    </w:p>
    <w:p w:rsidR="00AB00DE" w:rsidRPr="0046221B" w:rsidRDefault="00AB00DE" w:rsidP="006735D4">
      <w:pPr>
        <w:pStyle w:val="a4"/>
        <w:rPr>
          <w:sz w:val="20"/>
        </w:rPr>
      </w:pPr>
      <w:r>
        <w:rPr>
          <w:rFonts w:hint="eastAsia"/>
          <w:lang w:val="zh-CN"/>
        </w:rPr>
        <w:tab/>
      </w:r>
      <w:r>
        <w:rPr>
          <w:rFonts w:hint="eastAsia"/>
          <w:lang w:val="zh-CN"/>
        </w:rPr>
        <w:tab/>
      </w:r>
      <w:r>
        <w:rPr>
          <w:lang w:val="zh-CN"/>
        </w:rPr>
        <w:t>1.</w:t>
      </w:r>
      <w:r>
        <w:rPr>
          <w:rFonts w:hint="eastAsia"/>
          <w:lang w:val="zh-CN"/>
        </w:rPr>
        <w:t xml:space="preserve">  </w:t>
      </w:r>
      <w:r>
        <w:rPr>
          <w:lang w:val="zh-CN"/>
        </w:rPr>
        <w:t>鼓励各国及前武装冲突各方相互合作，并与相关国际组织合作，以便实施冲突后环境评估及复原措施。</w:t>
      </w:r>
    </w:p>
    <w:p w:rsidR="00AB00DE" w:rsidRPr="0046221B" w:rsidRDefault="00AB00DE" w:rsidP="006735D4">
      <w:pPr>
        <w:pStyle w:val="a4"/>
        <w:rPr>
          <w:sz w:val="20"/>
        </w:rPr>
      </w:pPr>
      <w:r>
        <w:rPr>
          <w:rFonts w:hint="eastAsia"/>
        </w:rPr>
        <w:tab/>
      </w:r>
      <w:r>
        <w:rPr>
          <w:rFonts w:hint="eastAsia"/>
        </w:rPr>
        <w:tab/>
      </w:r>
      <w:r>
        <w:rPr>
          <w:lang w:val="zh-CN"/>
        </w:rPr>
        <w:t xml:space="preserve">2. </w:t>
      </w:r>
      <w:r>
        <w:rPr>
          <w:rFonts w:hint="eastAsia"/>
          <w:lang w:val="zh-CN"/>
        </w:rPr>
        <w:t xml:space="preserve"> </w:t>
      </w:r>
      <w:r>
        <w:rPr>
          <w:lang w:val="zh-CN"/>
        </w:rPr>
        <w:t>和平行动结束后随即进行的审查应查明、分析并评价这些行动对环境造成的任何有害于环境的影响，以努力在今后行动中减轻或补救这些有害影响。</w:t>
      </w:r>
    </w:p>
    <w:p w:rsidR="00AB00DE" w:rsidRPr="001A39A6" w:rsidRDefault="00AB00DE" w:rsidP="006735D4">
      <w:pPr>
        <w:pStyle w:val="a4"/>
        <w:rPr>
          <w:rFonts w:ascii="Time New Roman" w:eastAsia="黑体" w:hAnsi="Time New Roman" w:hint="eastAsia"/>
          <w:b/>
          <w:bCs/>
          <w:sz w:val="20"/>
        </w:rPr>
      </w:pPr>
      <w:r w:rsidRPr="001A39A6">
        <w:rPr>
          <w:rFonts w:ascii="Time New Roman" w:eastAsia="黑体" w:hAnsi="Time New Roman" w:hint="eastAsia"/>
          <w:lang w:val="zh-CN"/>
        </w:rPr>
        <w:tab/>
      </w:r>
      <w:r w:rsidRPr="001A39A6">
        <w:rPr>
          <w:rFonts w:ascii="Time New Roman" w:eastAsia="黑体" w:hAnsi="Time New Roman" w:hint="eastAsia"/>
          <w:lang w:val="zh-CN"/>
        </w:rPr>
        <w:tab/>
      </w:r>
      <w:r w:rsidRPr="001A39A6">
        <w:rPr>
          <w:rFonts w:ascii="Time New Roman" w:eastAsia="黑体" w:hAnsi="Time New Roman"/>
          <w:lang w:val="zh-CN"/>
        </w:rPr>
        <w:t>原则草案</w:t>
      </w:r>
      <w:r>
        <w:rPr>
          <w:rFonts w:ascii="Time New Roman" w:eastAsia="黑体" w:hAnsi="Time New Roman"/>
          <w:lang w:val="zh-CN"/>
        </w:rPr>
        <w:t>3</w:t>
      </w:r>
      <w:r w:rsidRPr="001A39A6">
        <w:rPr>
          <w:rFonts w:ascii="Time New Roman" w:eastAsia="黑体" w:hAnsi="Time New Roman"/>
          <w:lang w:val="zh-CN"/>
        </w:rPr>
        <w:t>-</w:t>
      </w:r>
      <w:r>
        <w:rPr>
          <w:rFonts w:ascii="Time New Roman" w:eastAsia="黑体" w:hAnsi="Time New Roman"/>
          <w:lang w:val="zh-CN"/>
        </w:rPr>
        <w:t>3</w:t>
      </w:r>
      <w:r w:rsidRPr="001A39A6">
        <w:rPr>
          <w:rFonts w:ascii="Time New Roman" w:eastAsia="黑体" w:hAnsi="Time New Roman" w:hint="eastAsia"/>
          <w:lang w:val="zh-CN"/>
        </w:rPr>
        <w:br/>
      </w:r>
      <w:r w:rsidRPr="001A39A6">
        <w:rPr>
          <w:rFonts w:ascii="Time New Roman" w:eastAsia="黑体" w:hAnsi="Time New Roman"/>
          <w:lang w:val="zh-CN"/>
        </w:rPr>
        <w:t>战争遗留物</w:t>
      </w:r>
      <w:r w:rsidRPr="001A39A6">
        <w:rPr>
          <w:rFonts w:ascii="Time New Roman" w:eastAsia="黑体" w:hAnsi="Time New Roman"/>
          <w:lang w:val="zh-CN"/>
        </w:rPr>
        <w:t xml:space="preserve"> </w:t>
      </w:r>
    </w:p>
    <w:p w:rsidR="00AB00DE" w:rsidRPr="0046221B" w:rsidRDefault="00AB00DE" w:rsidP="006735D4">
      <w:pPr>
        <w:pStyle w:val="a4"/>
        <w:rPr>
          <w:sz w:val="20"/>
        </w:rPr>
      </w:pPr>
      <w:r>
        <w:rPr>
          <w:rFonts w:hint="eastAsia"/>
        </w:rPr>
        <w:tab/>
      </w:r>
      <w:r>
        <w:rPr>
          <w:rFonts w:hint="eastAsia"/>
        </w:rPr>
        <w:tab/>
      </w:r>
      <w:r>
        <w:rPr>
          <w:lang w:val="zh-CN"/>
        </w:rPr>
        <w:t xml:space="preserve">1. </w:t>
      </w:r>
      <w:r>
        <w:rPr>
          <w:rFonts w:hint="eastAsia"/>
          <w:lang w:val="zh-CN"/>
        </w:rPr>
        <w:t xml:space="preserve"> </w:t>
      </w:r>
      <w:r>
        <w:rPr>
          <w:lang w:val="zh-CN"/>
        </w:rPr>
        <w:t>在现行敌对行动停止之后须毫不拖延地按照国际法规定的义务，清除、移除、销毁或维护所有雷场、雷区、地雷、诱杀装置、爆炸性弹药和其他装置。</w:t>
      </w:r>
    </w:p>
    <w:p w:rsidR="00AB00DE" w:rsidRPr="00DB77A0" w:rsidRDefault="00AB00DE" w:rsidP="006735D4">
      <w:pPr>
        <w:pStyle w:val="a4"/>
        <w:rPr>
          <w:rFonts w:eastAsiaTheme="minorEastAsia"/>
          <w:sz w:val="20"/>
        </w:rPr>
      </w:pPr>
      <w:r>
        <w:rPr>
          <w:rFonts w:hint="eastAsia"/>
        </w:rPr>
        <w:tab/>
      </w:r>
      <w:r>
        <w:rPr>
          <w:rFonts w:hint="eastAsia"/>
        </w:rPr>
        <w:tab/>
      </w:r>
      <w:r>
        <w:rPr>
          <w:lang w:val="zh-CN"/>
        </w:rPr>
        <w:t xml:space="preserve">2. </w:t>
      </w:r>
      <w:r>
        <w:rPr>
          <w:rFonts w:hint="eastAsia"/>
          <w:lang w:val="zh-CN"/>
        </w:rPr>
        <w:t xml:space="preserve"> </w:t>
      </w:r>
      <w:r>
        <w:rPr>
          <w:lang w:val="zh-CN"/>
        </w:rPr>
        <w:t>凡必要时，各方须努力相互，以及酌情与其他国家和国际组织就提供技术和物质援助，包括在适当情况下采取必要联合行动履行此类责任，达成协议。</w:t>
      </w:r>
    </w:p>
    <w:p w:rsidR="00AB00DE" w:rsidRPr="001A39A6" w:rsidRDefault="00AB00DE" w:rsidP="006735D4">
      <w:pPr>
        <w:pStyle w:val="a4"/>
        <w:rPr>
          <w:rFonts w:ascii="Time New Roman" w:eastAsia="黑体" w:hAnsi="Time New Roman" w:hint="eastAsia"/>
          <w:b/>
          <w:sz w:val="20"/>
        </w:rPr>
      </w:pPr>
      <w:r>
        <w:rPr>
          <w:rFonts w:hint="eastAsia"/>
          <w:lang w:val="zh-CN"/>
        </w:rPr>
        <w:tab/>
      </w:r>
      <w:r>
        <w:rPr>
          <w:rFonts w:hint="eastAsia"/>
          <w:lang w:val="zh-CN"/>
        </w:rPr>
        <w:tab/>
      </w:r>
      <w:r w:rsidRPr="001A39A6">
        <w:rPr>
          <w:rFonts w:ascii="Time New Roman" w:eastAsia="黑体" w:hAnsi="Time New Roman"/>
          <w:lang w:val="zh-CN"/>
        </w:rPr>
        <w:t>原则草案</w:t>
      </w:r>
      <w:r>
        <w:rPr>
          <w:rFonts w:ascii="Time New Roman" w:eastAsia="黑体" w:hAnsi="Time New Roman"/>
          <w:lang w:val="zh-CN"/>
        </w:rPr>
        <w:t>3</w:t>
      </w:r>
      <w:r w:rsidRPr="001A39A6">
        <w:rPr>
          <w:rFonts w:ascii="Time New Roman" w:eastAsia="黑体" w:hAnsi="Time New Roman"/>
          <w:lang w:val="zh-CN"/>
        </w:rPr>
        <w:t>-</w:t>
      </w:r>
      <w:r>
        <w:rPr>
          <w:rFonts w:ascii="Time New Roman" w:eastAsia="黑体" w:hAnsi="Time New Roman"/>
          <w:lang w:val="zh-CN"/>
        </w:rPr>
        <w:t>4</w:t>
      </w:r>
      <w:r w:rsidRPr="001A39A6">
        <w:rPr>
          <w:rFonts w:ascii="Time New Roman" w:eastAsia="黑体" w:hAnsi="Time New Roman" w:hint="eastAsia"/>
          <w:lang w:val="zh-CN"/>
        </w:rPr>
        <w:br/>
      </w:r>
      <w:r w:rsidRPr="001A39A6">
        <w:rPr>
          <w:rFonts w:ascii="Time New Roman" w:eastAsia="黑体" w:hAnsi="Time New Roman"/>
          <w:lang w:val="zh-CN"/>
        </w:rPr>
        <w:t>海上战争遗留物</w:t>
      </w:r>
    </w:p>
    <w:p w:rsidR="00AB00DE" w:rsidRPr="0046221B" w:rsidRDefault="00AB00DE" w:rsidP="006735D4">
      <w:pPr>
        <w:pStyle w:val="a4"/>
        <w:rPr>
          <w:sz w:val="20"/>
        </w:rPr>
      </w:pPr>
      <w:r>
        <w:rPr>
          <w:rFonts w:hint="eastAsia"/>
          <w:lang w:val="zh-CN"/>
        </w:rPr>
        <w:tab/>
      </w:r>
      <w:r>
        <w:rPr>
          <w:rFonts w:hint="eastAsia"/>
          <w:lang w:val="zh-CN"/>
        </w:rPr>
        <w:tab/>
      </w:r>
      <w:r>
        <w:rPr>
          <w:lang w:val="zh-CN"/>
        </w:rPr>
        <w:t xml:space="preserve">1. </w:t>
      </w:r>
      <w:r>
        <w:rPr>
          <w:rFonts w:hint="eastAsia"/>
          <w:lang w:val="zh-CN"/>
        </w:rPr>
        <w:t xml:space="preserve"> </w:t>
      </w:r>
      <w:r>
        <w:rPr>
          <w:lang w:val="zh-CN"/>
        </w:rPr>
        <w:t>各国和各国际组织须合作确保战争遗留物不构成对环境、对公共健康或对海员安全的威胁。</w:t>
      </w:r>
    </w:p>
    <w:p w:rsidR="00AB00DE" w:rsidRPr="0046221B" w:rsidRDefault="00AB00DE" w:rsidP="006735D4">
      <w:pPr>
        <w:pStyle w:val="a4"/>
        <w:rPr>
          <w:sz w:val="20"/>
        </w:rPr>
      </w:pPr>
      <w:r>
        <w:rPr>
          <w:rFonts w:hint="eastAsia"/>
        </w:rPr>
        <w:tab/>
      </w:r>
      <w:r>
        <w:rPr>
          <w:rFonts w:hint="eastAsia"/>
        </w:rPr>
        <w:tab/>
      </w:r>
      <w:r>
        <w:rPr>
          <w:lang w:val="zh-CN"/>
        </w:rPr>
        <w:t xml:space="preserve">2. </w:t>
      </w:r>
      <w:r>
        <w:rPr>
          <w:rFonts w:hint="eastAsia"/>
          <w:lang w:val="zh-CN"/>
        </w:rPr>
        <w:t xml:space="preserve"> </w:t>
      </w:r>
      <w:r>
        <w:rPr>
          <w:lang w:val="zh-CN"/>
        </w:rPr>
        <w:t>为此，各国和各组织须努力进行海域勘测并使有关信息可供自由查阅。</w:t>
      </w:r>
    </w:p>
    <w:p w:rsidR="00AB00DE" w:rsidRPr="001A39A6" w:rsidRDefault="00AB00DE" w:rsidP="006735D4">
      <w:pPr>
        <w:pStyle w:val="a4"/>
        <w:rPr>
          <w:rFonts w:ascii="Time New Roman" w:eastAsia="黑体" w:hAnsi="Time New Roman" w:hint="eastAsia"/>
          <w:b/>
          <w:sz w:val="20"/>
        </w:rPr>
      </w:pPr>
      <w:r>
        <w:rPr>
          <w:rFonts w:hint="eastAsia"/>
        </w:rPr>
        <w:tab/>
      </w:r>
      <w:r>
        <w:rPr>
          <w:rFonts w:hint="eastAsia"/>
        </w:rPr>
        <w:tab/>
      </w:r>
      <w:r w:rsidRPr="001A39A6">
        <w:rPr>
          <w:rFonts w:ascii="Time New Roman" w:eastAsia="黑体" w:hAnsi="Time New Roman"/>
          <w:lang w:val="zh-CN"/>
        </w:rPr>
        <w:t>原则草案</w:t>
      </w:r>
      <w:r>
        <w:rPr>
          <w:rFonts w:ascii="Time New Roman" w:eastAsia="黑体" w:hAnsi="Time New Roman"/>
          <w:lang w:val="zh-CN"/>
        </w:rPr>
        <w:t>3</w:t>
      </w:r>
      <w:r w:rsidRPr="001A39A6">
        <w:rPr>
          <w:rFonts w:ascii="Time New Roman" w:eastAsia="黑体" w:hAnsi="Time New Roman"/>
          <w:lang w:val="zh-CN"/>
        </w:rPr>
        <w:t>-</w:t>
      </w:r>
      <w:r>
        <w:rPr>
          <w:rFonts w:ascii="Time New Roman" w:eastAsia="黑体" w:hAnsi="Time New Roman"/>
          <w:lang w:val="zh-CN"/>
        </w:rPr>
        <w:t>5</w:t>
      </w:r>
      <w:r w:rsidRPr="001A39A6">
        <w:rPr>
          <w:rFonts w:ascii="Time New Roman" w:eastAsia="黑体" w:hAnsi="Time New Roman" w:hint="eastAsia"/>
          <w:lang w:val="zh-CN"/>
        </w:rPr>
        <w:br/>
      </w:r>
      <w:r w:rsidRPr="001A39A6">
        <w:rPr>
          <w:rFonts w:ascii="Time New Roman" w:eastAsia="黑体" w:hAnsi="Time New Roman"/>
          <w:lang w:val="zh-CN"/>
        </w:rPr>
        <w:t>获取和分享信息</w:t>
      </w:r>
    </w:p>
    <w:p w:rsidR="00AB00DE" w:rsidRPr="0046221B" w:rsidRDefault="00AB00DE" w:rsidP="006735D4">
      <w:pPr>
        <w:pStyle w:val="a4"/>
        <w:rPr>
          <w:sz w:val="20"/>
        </w:rPr>
      </w:pPr>
      <w:r>
        <w:rPr>
          <w:lang w:val="zh-CN"/>
        </w:rPr>
        <w:tab/>
      </w:r>
      <w:r>
        <w:rPr>
          <w:rFonts w:hint="eastAsia"/>
          <w:lang w:val="zh-CN"/>
        </w:rPr>
        <w:tab/>
      </w:r>
      <w:r>
        <w:rPr>
          <w:lang w:val="zh-CN"/>
        </w:rPr>
        <w:t>为加强与武装冲突有关的环境保护，各国和各国际组织须依照国际法规定的义务，准许获取并分享信息。</w:t>
      </w:r>
    </w:p>
  </w:footnote>
  <w:footnote w:id="1308">
    <w:p w:rsidR="00AB00DE" w:rsidRPr="0046221B" w:rsidRDefault="00AB00DE" w:rsidP="006735D4">
      <w:pPr>
        <w:pStyle w:val="a4"/>
        <w:rPr>
          <w:sz w:val="20"/>
        </w:rPr>
      </w:pPr>
      <w:r>
        <w:rPr>
          <w:rFonts w:hint="eastAsia"/>
          <w:lang w:val="zh-CN"/>
        </w:rPr>
        <w:tab/>
      </w:r>
      <w:r w:rsidRPr="00681AC8">
        <w:rPr>
          <w:rStyle w:val="a5"/>
          <w:lang w:val="zh-CN"/>
        </w:rPr>
        <w:footnoteRef/>
      </w:r>
      <w:r>
        <w:rPr>
          <w:rFonts w:hint="eastAsia"/>
          <w:lang w:val="zh-CN"/>
        </w:rPr>
        <w:tab/>
      </w:r>
      <w:r>
        <w:rPr>
          <w:lang w:val="zh-CN"/>
        </w:rPr>
        <w:t>特别报告员</w:t>
      </w:r>
      <w:r>
        <w:rPr>
          <w:rFonts w:eastAsiaTheme="minorEastAsia" w:hint="eastAsia"/>
          <w:lang w:val="zh-CN"/>
        </w:rPr>
        <w:t>第三次报告</w:t>
      </w:r>
      <w:r>
        <w:rPr>
          <w:lang w:val="zh-CN"/>
        </w:rPr>
        <w:t>建议的原则草案</w:t>
      </w:r>
      <w:r>
        <w:rPr>
          <w:rFonts w:hint="eastAsia"/>
          <w:lang w:val="zh-CN"/>
        </w:rPr>
        <w:t>4</w:t>
      </w:r>
      <w:r>
        <w:rPr>
          <w:lang w:val="zh-CN"/>
        </w:rPr>
        <w:t>-1</w:t>
      </w:r>
      <w:r>
        <w:rPr>
          <w:lang w:val="zh-CN"/>
        </w:rPr>
        <w:t>案文如下：</w:t>
      </w:r>
    </w:p>
    <w:p w:rsidR="00AB00DE" w:rsidRPr="001A39A6" w:rsidRDefault="00AB00DE" w:rsidP="006735D4">
      <w:pPr>
        <w:pStyle w:val="a4"/>
        <w:rPr>
          <w:rFonts w:ascii="Time New Roman" w:eastAsia="黑体" w:hAnsi="Time New Roman" w:hint="eastAsia"/>
          <w:b/>
          <w:bCs/>
          <w:sz w:val="20"/>
        </w:rPr>
      </w:pPr>
      <w:r>
        <w:rPr>
          <w:rFonts w:hint="eastAsia"/>
          <w:lang w:val="zh-CN"/>
        </w:rPr>
        <w:tab/>
      </w:r>
      <w:r>
        <w:rPr>
          <w:rFonts w:hint="eastAsia"/>
          <w:lang w:val="zh-CN"/>
        </w:rPr>
        <w:tab/>
      </w:r>
      <w:r w:rsidRPr="001A39A6">
        <w:rPr>
          <w:rFonts w:ascii="Time New Roman" w:eastAsia="黑体" w:hAnsi="Time New Roman"/>
          <w:lang w:val="zh-CN"/>
        </w:rPr>
        <w:t>原则草案</w:t>
      </w:r>
      <w:r>
        <w:rPr>
          <w:rFonts w:ascii="Time New Roman" w:eastAsia="黑体" w:hAnsi="Time New Roman"/>
          <w:lang w:val="zh-CN"/>
        </w:rPr>
        <w:t>4</w:t>
      </w:r>
      <w:r w:rsidRPr="001A39A6">
        <w:rPr>
          <w:rFonts w:ascii="Time New Roman" w:eastAsia="黑体" w:hAnsi="Time New Roman"/>
          <w:lang w:val="zh-CN"/>
        </w:rPr>
        <w:t>-</w:t>
      </w:r>
      <w:r>
        <w:rPr>
          <w:rFonts w:ascii="Time New Roman" w:eastAsia="黑体" w:hAnsi="Time New Roman"/>
          <w:lang w:val="zh-CN"/>
        </w:rPr>
        <w:t>1</w:t>
      </w:r>
      <w:r w:rsidRPr="001A39A6">
        <w:rPr>
          <w:rFonts w:ascii="Time New Roman" w:eastAsia="黑体" w:hAnsi="Time New Roman" w:hint="eastAsia"/>
          <w:lang w:val="zh-CN"/>
        </w:rPr>
        <w:br/>
      </w:r>
      <w:r w:rsidRPr="001A39A6">
        <w:rPr>
          <w:rFonts w:ascii="Time New Roman" w:eastAsia="黑体" w:hAnsi="Time New Roman"/>
          <w:lang w:val="zh-CN"/>
        </w:rPr>
        <w:t>土著人民权利</w:t>
      </w:r>
    </w:p>
    <w:p w:rsidR="00AB00DE" w:rsidRPr="0046221B" w:rsidRDefault="00AB00DE" w:rsidP="006735D4">
      <w:pPr>
        <w:pStyle w:val="a4"/>
        <w:rPr>
          <w:sz w:val="20"/>
        </w:rPr>
      </w:pPr>
      <w:r>
        <w:rPr>
          <w:rFonts w:hint="eastAsia"/>
          <w:lang w:val="zh-CN"/>
        </w:rPr>
        <w:tab/>
      </w:r>
      <w:r>
        <w:rPr>
          <w:rFonts w:hint="eastAsia"/>
          <w:lang w:val="zh-CN"/>
        </w:rPr>
        <w:tab/>
      </w:r>
      <w:r>
        <w:rPr>
          <w:lang w:val="zh-CN"/>
        </w:rPr>
        <w:t xml:space="preserve">1. </w:t>
      </w:r>
      <w:r>
        <w:rPr>
          <w:rFonts w:hint="eastAsia"/>
          <w:lang w:val="zh-CN"/>
        </w:rPr>
        <w:t xml:space="preserve"> </w:t>
      </w:r>
      <w:r>
        <w:rPr>
          <w:lang w:val="zh-CN"/>
        </w:rPr>
        <w:t>土著人民在其土地和自然环境方面的传统知识及做法须始终受到尊重。</w:t>
      </w:r>
    </w:p>
    <w:p w:rsidR="00AB00DE" w:rsidRPr="0046221B" w:rsidRDefault="00AB00DE" w:rsidP="006735D4">
      <w:pPr>
        <w:pStyle w:val="a4"/>
        <w:rPr>
          <w:sz w:val="20"/>
        </w:rPr>
      </w:pPr>
      <w:r>
        <w:rPr>
          <w:rFonts w:hint="eastAsia"/>
          <w:lang w:val="zh-CN"/>
        </w:rPr>
        <w:tab/>
      </w:r>
      <w:r>
        <w:rPr>
          <w:rFonts w:hint="eastAsia"/>
          <w:lang w:val="zh-CN"/>
        </w:rPr>
        <w:tab/>
      </w:r>
      <w:r>
        <w:rPr>
          <w:lang w:val="zh-CN"/>
        </w:rPr>
        <w:t xml:space="preserve">2. </w:t>
      </w:r>
      <w:r>
        <w:rPr>
          <w:rFonts w:hint="eastAsia"/>
          <w:lang w:val="zh-CN"/>
        </w:rPr>
        <w:t xml:space="preserve"> </w:t>
      </w:r>
      <w:r>
        <w:rPr>
          <w:lang w:val="zh-CN"/>
        </w:rPr>
        <w:t>各国有义务与土著人民合作协商，并在因使用他们的土地及领地而可能对土地产生重大影响时，征求他们自由、事先且知情的同意。</w:t>
      </w:r>
    </w:p>
  </w:footnote>
  <w:footnote w:id="1309">
    <w:p w:rsidR="00AB00DE" w:rsidRPr="0046221B" w:rsidRDefault="00AB00DE" w:rsidP="006735D4">
      <w:pPr>
        <w:pStyle w:val="a4"/>
        <w:rPr>
          <w:sz w:val="20"/>
        </w:rPr>
      </w:pPr>
      <w:r>
        <w:rPr>
          <w:rFonts w:hint="eastAsia"/>
        </w:rPr>
        <w:tab/>
      </w:r>
      <w:r w:rsidRPr="00681AC8">
        <w:rPr>
          <w:rStyle w:val="a5"/>
          <w:lang w:val="zh-CN"/>
        </w:rPr>
        <w:footnoteRef/>
      </w:r>
      <w:r>
        <w:rPr>
          <w:rFonts w:hint="eastAsia"/>
        </w:rPr>
        <w:tab/>
      </w:r>
      <w:r>
        <w:rPr>
          <w:lang w:val="zh-CN"/>
        </w:rPr>
        <w:t>起草委员会主席的发言</w:t>
      </w:r>
      <w:r>
        <w:t>，</w:t>
      </w:r>
      <w:r>
        <w:rPr>
          <w:lang w:val="zh-CN"/>
        </w:rPr>
        <w:t>可</w:t>
      </w:r>
      <w:r>
        <w:rPr>
          <w:rFonts w:hint="eastAsia"/>
          <w:lang w:val="zh-CN"/>
        </w:rPr>
        <w:t>在</w:t>
      </w:r>
      <w:r>
        <w:rPr>
          <w:lang w:val="zh-CN"/>
        </w:rPr>
        <w:t>委员会网站</w:t>
      </w:r>
      <w:r>
        <w:rPr>
          <w:rFonts w:hint="eastAsia"/>
          <w:lang w:val="zh-CN"/>
        </w:rPr>
        <w:t>上</w:t>
      </w:r>
      <w:r>
        <w:rPr>
          <w:lang w:val="zh-CN"/>
        </w:rPr>
        <w:t>查阅</w:t>
      </w:r>
      <w:r>
        <w:t>(http://legal</w:t>
      </w:r>
      <w:r w:rsidRPr="0079435A">
        <w:t>.</w:t>
      </w:r>
      <w:r>
        <w:t>un</w:t>
      </w:r>
      <w:r w:rsidRPr="0079435A">
        <w:t>.</w:t>
      </w:r>
      <w:r>
        <w:t>org/ilc)</w:t>
      </w:r>
      <w:r>
        <w:rPr>
          <w:lang w:val="zh-CN"/>
        </w:rPr>
        <w:t>。</w:t>
      </w:r>
    </w:p>
  </w:footnote>
  <w:footnote w:id="1310">
    <w:p w:rsidR="00AB00DE" w:rsidRPr="00963542" w:rsidRDefault="00AB00DE" w:rsidP="006735D4">
      <w:pPr>
        <w:pStyle w:val="a4"/>
        <w:rPr>
          <w:rFonts w:eastAsiaTheme="minorEastAsia"/>
        </w:rPr>
      </w:pPr>
      <w:r>
        <w:tab/>
      </w:r>
      <w:r w:rsidRPr="00681AC8">
        <w:rPr>
          <w:rStyle w:val="a5"/>
        </w:rPr>
        <w:footnoteRef/>
      </w:r>
      <w:r>
        <w:t xml:space="preserve"> </w:t>
      </w:r>
      <w:r>
        <w:tab/>
      </w:r>
      <w:r w:rsidRPr="00681ADD">
        <w:rPr>
          <w:lang w:val="zh-CN"/>
        </w:rPr>
        <w:t>起草委员会暂时通过的原则草案</w:t>
      </w:r>
      <w:r>
        <w:rPr>
          <w:rFonts w:eastAsiaTheme="minorEastAsia" w:hint="eastAsia"/>
          <w:lang w:val="zh-CN"/>
        </w:rPr>
        <w:t>案文如下：</w:t>
      </w:r>
    </w:p>
    <w:p w:rsidR="00AB00DE" w:rsidRPr="00F9180D" w:rsidRDefault="00AB00DE" w:rsidP="006735D4">
      <w:pPr>
        <w:pStyle w:val="HChGC"/>
        <w:spacing w:before="0" w:after="0" w:line="240" w:lineRule="exact"/>
        <w:rPr>
          <w:sz w:val="18"/>
          <w:szCs w:val="18"/>
        </w:rPr>
      </w:pPr>
      <w:r>
        <w:tab/>
      </w:r>
      <w:r>
        <w:tab/>
      </w:r>
      <w:r w:rsidRPr="00F9180D">
        <w:rPr>
          <w:rFonts w:hint="eastAsia"/>
          <w:sz w:val="18"/>
          <w:szCs w:val="18"/>
        </w:rPr>
        <w:t>导言</w:t>
      </w:r>
    </w:p>
    <w:p w:rsidR="00AB00DE" w:rsidRPr="00F9180D" w:rsidRDefault="00AB00DE" w:rsidP="006735D4">
      <w:pPr>
        <w:pStyle w:val="SingleTxtGC"/>
        <w:spacing w:after="0" w:line="240" w:lineRule="exact"/>
        <w:rPr>
          <w:sz w:val="18"/>
          <w:szCs w:val="18"/>
        </w:rPr>
      </w:pPr>
      <w:r w:rsidRPr="00F9180D">
        <w:rPr>
          <w:sz w:val="18"/>
          <w:szCs w:val="18"/>
        </w:rPr>
        <w:t>[…]</w:t>
      </w:r>
    </w:p>
    <w:p w:rsidR="00AB00DE" w:rsidRPr="00F9180D" w:rsidRDefault="00AB00DE" w:rsidP="006735D4">
      <w:pPr>
        <w:pStyle w:val="HChGC"/>
        <w:spacing w:before="0" w:after="0" w:line="240" w:lineRule="exact"/>
        <w:rPr>
          <w:sz w:val="18"/>
          <w:szCs w:val="18"/>
        </w:rPr>
      </w:pPr>
      <w:r w:rsidRPr="00F9180D">
        <w:rPr>
          <w:sz w:val="18"/>
          <w:szCs w:val="18"/>
        </w:rPr>
        <w:tab/>
      </w:r>
      <w:r w:rsidRPr="00F9180D">
        <w:rPr>
          <w:sz w:val="18"/>
          <w:szCs w:val="18"/>
        </w:rPr>
        <w:tab/>
      </w:r>
      <w:r w:rsidRPr="00F9180D">
        <w:rPr>
          <w:rFonts w:hint="eastAsia"/>
          <w:sz w:val="18"/>
          <w:szCs w:val="18"/>
        </w:rPr>
        <w:t>第一部分</w:t>
      </w:r>
      <w:r w:rsidRPr="00F9180D">
        <w:rPr>
          <w:sz w:val="18"/>
          <w:szCs w:val="18"/>
        </w:rPr>
        <w:br/>
      </w:r>
      <w:r w:rsidRPr="00F9180D">
        <w:rPr>
          <w:rFonts w:hint="eastAsia"/>
          <w:sz w:val="18"/>
          <w:szCs w:val="18"/>
        </w:rPr>
        <w:t>一般原则</w:t>
      </w:r>
    </w:p>
    <w:p w:rsidR="00AB00DE" w:rsidRPr="00F9180D" w:rsidRDefault="00AB00DE" w:rsidP="006735D4">
      <w:pPr>
        <w:pStyle w:val="HChGC"/>
        <w:spacing w:before="0" w:after="0" w:line="240" w:lineRule="exact"/>
        <w:rPr>
          <w:sz w:val="18"/>
          <w:szCs w:val="18"/>
        </w:rPr>
      </w:pPr>
      <w:r w:rsidRPr="00F9180D">
        <w:rPr>
          <w:sz w:val="18"/>
          <w:szCs w:val="18"/>
        </w:rPr>
        <w:tab/>
      </w:r>
      <w:r w:rsidRPr="00F9180D">
        <w:rPr>
          <w:sz w:val="18"/>
          <w:szCs w:val="18"/>
        </w:rPr>
        <w:tab/>
      </w:r>
      <w:r w:rsidRPr="00F9180D">
        <w:rPr>
          <w:rFonts w:hint="eastAsia"/>
          <w:sz w:val="18"/>
          <w:szCs w:val="18"/>
        </w:rPr>
        <w:t>原则草案</w:t>
      </w:r>
      <w:r w:rsidRPr="00F9180D">
        <w:rPr>
          <w:sz w:val="18"/>
          <w:szCs w:val="18"/>
        </w:rPr>
        <w:t>4</w:t>
      </w:r>
    </w:p>
    <w:p w:rsidR="00AB00DE" w:rsidRPr="00F9180D" w:rsidRDefault="00AB00DE" w:rsidP="006735D4">
      <w:pPr>
        <w:pStyle w:val="H23GC"/>
        <w:spacing w:before="0" w:after="0" w:line="240" w:lineRule="exact"/>
        <w:rPr>
          <w:sz w:val="18"/>
          <w:szCs w:val="18"/>
        </w:rPr>
      </w:pPr>
      <w:r w:rsidRPr="00F9180D">
        <w:rPr>
          <w:sz w:val="18"/>
          <w:szCs w:val="18"/>
        </w:rPr>
        <w:tab/>
      </w:r>
      <w:r w:rsidRPr="00F9180D">
        <w:rPr>
          <w:sz w:val="18"/>
          <w:szCs w:val="18"/>
        </w:rPr>
        <w:tab/>
      </w:r>
      <w:r w:rsidRPr="00F9180D">
        <w:rPr>
          <w:rFonts w:hint="eastAsia"/>
          <w:sz w:val="18"/>
          <w:szCs w:val="18"/>
        </w:rPr>
        <w:t>加强环境保护的措施</w:t>
      </w:r>
    </w:p>
    <w:p w:rsidR="00AB00DE" w:rsidRPr="00F9180D" w:rsidRDefault="00AB00DE" w:rsidP="006735D4">
      <w:pPr>
        <w:pStyle w:val="SingleTxtGC"/>
        <w:spacing w:after="0" w:line="240" w:lineRule="exact"/>
        <w:rPr>
          <w:sz w:val="18"/>
          <w:szCs w:val="18"/>
        </w:rPr>
      </w:pPr>
      <w:r w:rsidRPr="00F9180D">
        <w:rPr>
          <w:sz w:val="18"/>
          <w:szCs w:val="18"/>
        </w:rPr>
        <w:t>1.</w:t>
      </w:r>
      <w:r w:rsidRPr="00F9180D">
        <w:rPr>
          <w:sz w:val="18"/>
          <w:szCs w:val="18"/>
        </w:rPr>
        <w:tab/>
      </w:r>
      <w:r w:rsidRPr="00F9180D">
        <w:rPr>
          <w:rFonts w:hint="eastAsia"/>
          <w:sz w:val="18"/>
          <w:szCs w:val="18"/>
        </w:rPr>
        <w:t>各国应依照国际法规定的义务，采取有效的立法、行政、司法或其他措施，加强与武装冲突有关的环境保护。</w:t>
      </w:r>
    </w:p>
    <w:p w:rsidR="00AB00DE" w:rsidRPr="00F9180D" w:rsidRDefault="00AB00DE" w:rsidP="006735D4">
      <w:pPr>
        <w:pStyle w:val="SingleTxtGC"/>
        <w:spacing w:after="0" w:line="240" w:lineRule="exact"/>
        <w:rPr>
          <w:sz w:val="18"/>
          <w:szCs w:val="18"/>
        </w:rPr>
      </w:pPr>
      <w:r w:rsidRPr="00F9180D">
        <w:rPr>
          <w:sz w:val="18"/>
          <w:szCs w:val="18"/>
        </w:rPr>
        <w:t>2.</w:t>
      </w:r>
      <w:r w:rsidRPr="00F9180D">
        <w:rPr>
          <w:sz w:val="18"/>
          <w:szCs w:val="18"/>
        </w:rPr>
        <w:tab/>
      </w:r>
      <w:r w:rsidRPr="00F9180D">
        <w:rPr>
          <w:rFonts w:hint="eastAsia"/>
          <w:sz w:val="18"/>
          <w:szCs w:val="18"/>
        </w:rPr>
        <w:t>各国还应酌情采取进一步措施，加强与武装冲突有关的环境保护。</w:t>
      </w:r>
    </w:p>
    <w:p w:rsidR="00AB00DE" w:rsidRPr="00F9180D" w:rsidRDefault="00AB00DE" w:rsidP="006735D4">
      <w:pPr>
        <w:pStyle w:val="SingleTxtGC"/>
        <w:spacing w:after="0" w:line="240" w:lineRule="exact"/>
        <w:rPr>
          <w:sz w:val="18"/>
          <w:szCs w:val="18"/>
        </w:rPr>
      </w:pPr>
      <w:r w:rsidRPr="00F9180D">
        <w:rPr>
          <w:sz w:val="18"/>
          <w:szCs w:val="18"/>
        </w:rPr>
        <w:t>[…]</w:t>
      </w:r>
    </w:p>
    <w:p w:rsidR="00AB00DE" w:rsidRPr="00F9180D" w:rsidRDefault="00AB00DE" w:rsidP="006735D4">
      <w:pPr>
        <w:pStyle w:val="H1GC"/>
        <w:spacing w:before="0" w:after="0" w:line="240" w:lineRule="exact"/>
        <w:rPr>
          <w:sz w:val="18"/>
          <w:szCs w:val="18"/>
        </w:rPr>
      </w:pPr>
      <w:r w:rsidRPr="00F9180D">
        <w:rPr>
          <w:sz w:val="18"/>
          <w:szCs w:val="18"/>
        </w:rPr>
        <w:tab/>
      </w:r>
      <w:r w:rsidRPr="00F9180D">
        <w:rPr>
          <w:sz w:val="18"/>
          <w:szCs w:val="18"/>
        </w:rPr>
        <w:tab/>
      </w:r>
      <w:r w:rsidRPr="00F9180D">
        <w:rPr>
          <w:rFonts w:hint="eastAsia"/>
          <w:sz w:val="18"/>
          <w:szCs w:val="18"/>
        </w:rPr>
        <w:t>原则草案</w:t>
      </w:r>
      <w:r w:rsidRPr="00F9180D">
        <w:rPr>
          <w:sz w:val="18"/>
          <w:szCs w:val="18"/>
        </w:rPr>
        <w:t>6</w:t>
      </w:r>
      <w:r w:rsidRPr="00F9180D">
        <w:rPr>
          <w:sz w:val="18"/>
          <w:szCs w:val="18"/>
        </w:rPr>
        <w:br/>
      </w:r>
      <w:r w:rsidRPr="00F9180D">
        <w:rPr>
          <w:rFonts w:hint="eastAsia"/>
          <w:sz w:val="18"/>
          <w:szCs w:val="18"/>
        </w:rPr>
        <w:t>保护土著人民的环境</w:t>
      </w:r>
    </w:p>
    <w:p w:rsidR="00AB00DE" w:rsidRPr="00F9180D" w:rsidRDefault="00AB00DE" w:rsidP="006735D4">
      <w:pPr>
        <w:pStyle w:val="SingleTxtGC"/>
        <w:spacing w:after="0" w:line="240" w:lineRule="exact"/>
        <w:rPr>
          <w:sz w:val="18"/>
          <w:szCs w:val="18"/>
        </w:rPr>
      </w:pPr>
      <w:r w:rsidRPr="00F9180D">
        <w:rPr>
          <w:sz w:val="18"/>
          <w:szCs w:val="18"/>
        </w:rPr>
        <w:t>1.</w:t>
      </w:r>
      <w:r w:rsidRPr="00F9180D">
        <w:rPr>
          <w:sz w:val="18"/>
          <w:szCs w:val="18"/>
        </w:rPr>
        <w:tab/>
      </w:r>
      <w:r w:rsidRPr="00F9180D">
        <w:rPr>
          <w:rFonts w:hint="eastAsia"/>
          <w:sz w:val="18"/>
          <w:szCs w:val="18"/>
        </w:rPr>
        <w:t>各国应采取适当措施，在发生武装冲突时保护土著人民所居土地的环境。</w:t>
      </w:r>
    </w:p>
    <w:p w:rsidR="00AB00DE" w:rsidRPr="00F9180D" w:rsidRDefault="00AB00DE" w:rsidP="006735D4">
      <w:pPr>
        <w:pStyle w:val="SingleTxtGC"/>
        <w:spacing w:after="0" w:line="240" w:lineRule="exact"/>
        <w:rPr>
          <w:sz w:val="18"/>
          <w:szCs w:val="18"/>
        </w:rPr>
      </w:pPr>
      <w:r w:rsidRPr="00F9180D">
        <w:rPr>
          <w:sz w:val="18"/>
          <w:szCs w:val="18"/>
        </w:rPr>
        <w:t>2.</w:t>
      </w:r>
      <w:r w:rsidRPr="00F9180D">
        <w:rPr>
          <w:sz w:val="18"/>
          <w:szCs w:val="18"/>
        </w:rPr>
        <w:tab/>
      </w:r>
      <w:r w:rsidRPr="00F9180D">
        <w:rPr>
          <w:rFonts w:hint="eastAsia"/>
          <w:sz w:val="18"/>
          <w:szCs w:val="18"/>
        </w:rPr>
        <w:t>土著人民居住的土地，环境受到武装冲突的有害影响，各国应在冲突结束后借助适当程序，特别是通过土著人民自身的代表机构，同受影响的土著人民开展有效的协商与合作，以便采取补救措施。</w:t>
      </w:r>
    </w:p>
    <w:p w:rsidR="00AB00DE" w:rsidRPr="00F9180D" w:rsidRDefault="00AB00DE" w:rsidP="006735D4">
      <w:pPr>
        <w:pStyle w:val="H1GC"/>
        <w:spacing w:before="0" w:after="0" w:line="240" w:lineRule="exact"/>
        <w:rPr>
          <w:sz w:val="18"/>
          <w:szCs w:val="18"/>
        </w:rPr>
      </w:pPr>
      <w:r w:rsidRPr="00F9180D">
        <w:rPr>
          <w:sz w:val="18"/>
          <w:szCs w:val="18"/>
        </w:rPr>
        <w:tab/>
      </w:r>
      <w:r w:rsidRPr="00F9180D">
        <w:rPr>
          <w:sz w:val="18"/>
          <w:szCs w:val="18"/>
        </w:rPr>
        <w:tab/>
      </w:r>
      <w:r w:rsidRPr="00F9180D">
        <w:rPr>
          <w:rFonts w:hint="eastAsia"/>
          <w:sz w:val="18"/>
          <w:szCs w:val="18"/>
        </w:rPr>
        <w:t>原则草案</w:t>
      </w:r>
      <w:r w:rsidRPr="00F9180D">
        <w:rPr>
          <w:sz w:val="18"/>
          <w:szCs w:val="18"/>
        </w:rPr>
        <w:t>7</w:t>
      </w:r>
      <w:r w:rsidRPr="00F9180D">
        <w:rPr>
          <w:sz w:val="18"/>
          <w:szCs w:val="18"/>
        </w:rPr>
        <w:br/>
      </w:r>
      <w:r w:rsidRPr="00F9180D">
        <w:rPr>
          <w:rFonts w:hint="eastAsia"/>
          <w:sz w:val="18"/>
          <w:szCs w:val="18"/>
        </w:rPr>
        <w:t>与武装冲突有关的驻军协议</w:t>
      </w:r>
    </w:p>
    <w:p w:rsidR="00AB00DE" w:rsidRPr="00F9180D" w:rsidRDefault="00AB00DE" w:rsidP="006735D4">
      <w:pPr>
        <w:pStyle w:val="SingleTxtGC"/>
        <w:spacing w:after="0" w:line="240" w:lineRule="exact"/>
        <w:rPr>
          <w:sz w:val="18"/>
          <w:szCs w:val="18"/>
        </w:rPr>
      </w:pPr>
      <w:r w:rsidRPr="00F9180D">
        <w:rPr>
          <w:sz w:val="18"/>
          <w:szCs w:val="18"/>
        </w:rPr>
        <w:tab/>
      </w:r>
      <w:r w:rsidRPr="00F9180D">
        <w:rPr>
          <w:rFonts w:hint="eastAsia"/>
          <w:sz w:val="18"/>
          <w:szCs w:val="18"/>
        </w:rPr>
        <w:t>各国和国际组织应酌情将环境保护条款纳入与武装冲突有关的驻军协议。此种条款可包括预防措施、影响评估、恢复和清理措施。</w:t>
      </w:r>
    </w:p>
    <w:p w:rsidR="00AB00DE" w:rsidRPr="00F9180D" w:rsidRDefault="00AB00DE" w:rsidP="006735D4">
      <w:pPr>
        <w:pStyle w:val="H1GC"/>
        <w:spacing w:before="0" w:after="0" w:line="240" w:lineRule="exact"/>
        <w:rPr>
          <w:sz w:val="18"/>
          <w:szCs w:val="18"/>
        </w:rPr>
      </w:pPr>
      <w:r w:rsidRPr="00F9180D">
        <w:rPr>
          <w:sz w:val="18"/>
          <w:szCs w:val="18"/>
        </w:rPr>
        <w:tab/>
      </w:r>
      <w:r w:rsidRPr="00F9180D">
        <w:rPr>
          <w:sz w:val="18"/>
          <w:szCs w:val="18"/>
        </w:rPr>
        <w:tab/>
      </w:r>
      <w:r w:rsidRPr="00F9180D">
        <w:rPr>
          <w:rFonts w:hint="eastAsia"/>
          <w:sz w:val="18"/>
          <w:szCs w:val="18"/>
        </w:rPr>
        <w:t>原则草案</w:t>
      </w:r>
      <w:r w:rsidRPr="00F9180D">
        <w:rPr>
          <w:sz w:val="18"/>
          <w:szCs w:val="18"/>
        </w:rPr>
        <w:t>8</w:t>
      </w:r>
      <w:r w:rsidRPr="00F9180D">
        <w:rPr>
          <w:sz w:val="18"/>
          <w:szCs w:val="18"/>
        </w:rPr>
        <w:br/>
      </w:r>
      <w:r w:rsidRPr="00F9180D">
        <w:rPr>
          <w:rFonts w:hint="eastAsia"/>
          <w:sz w:val="18"/>
          <w:szCs w:val="18"/>
        </w:rPr>
        <w:t>和平行动</w:t>
      </w:r>
    </w:p>
    <w:p w:rsidR="00AB00DE" w:rsidRPr="00F9180D" w:rsidRDefault="00AB00DE" w:rsidP="006735D4">
      <w:pPr>
        <w:pStyle w:val="SingleTxtGC"/>
        <w:spacing w:after="0" w:line="240" w:lineRule="exact"/>
        <w:rPr>
          <w:sz w:val="18"/>
          <w:szCs w:val="18"/>
        </w:rPr>
      </w:pPr>
      <w:r w:rsidRPr="00F9180D">
        <w:rPr>
          <w:sz w:val="18"/>
          <w:szCs w:val="18"/>
        </w:rPr>
        <w:tab/>
      </w:r>
      <w:r w:rsidRPr="00F9180D">
        <w:rPr>
          <w:rFonts w:hint="eastAsia"/>
          <w:sz w:val="18"/>
          <w:szCs w:val="18"/>
        </w:rPr>
        <w:t>各国和国际组织参加与武装冲突有关的和平行动，应考虑这些行动对环境的影响，并采取适当措施，防止、减轻和补救其负面的环境后果。</w:t>
      </w:r>
    </w:p>
    <w:p w:rsidR="00AB00DE" w:rsidRPr="00F9180D" w:rsidRDefault="00AB00DE" w:rsidP="006735D4">
      <w:pPr>
        <w:pStyle w:val="HChGC"/>
        <w:spacing w:before="0" w:after="0" w:line="240" w:lineRule="exact"/>
        <w:rPr>
          <w:sz w:val="18"/>
          <w:szCs w:val="18"/>
        </w:rPr>
      </w:pPr>
      <w:r w:rsidRPr="00F9180D">
        <w:rPr>
          <w:sz w:val="18"/>
          <w:szCs w:val="18"/>
        </w:rPr>
        <w:tab/>
      </w:r>
      <w:r w:rsidRPr="00F9180D">
        <w:rPr>
          <w:sz w:val="18"/>
          <w:szCs w:val="18"/>
        </w:rPr>
        <w:tab/>
      </w:r>
      <w:r w:rsidRPr="00F9180D">
        <w:rPr>
          <w:rFonts w:hint="eastAsia"/>
          <w:sz w:val="18"/>
          <w:szCs w:val="18"/>
        </w:rPr>
        <w:t>第二部分</w:t>
      </w:r>
      <w:r w:rsidRPr="00F9180D">
        <w:rPr>
          <w:sz w:val="18"/>
          <w:szCs w:val="18"/>
        </w:rPr>
        <w:br/>
      </w:r>
      <w:r w:rsidRPr="00F9180D">
        <w:rPr>
          <w:rFonts w:hint="eastAsia"/>
          <w:sz w:val="18"/>
          <w:szCs w:val="18"/>
        </w:rPr>
        <w:t>适用于武装冲突期间的原则</w:t>
      </w:r>
    </w:p>
    <w:p w:rsidR="00AB00DE" w:rsidRPr="00F9180D" w:rsidRDefault="00AB00DE" w:rsidP="006735D4">
      <w:pPr>
        <w:pStyle w:val="SingleTxtGC"/>
        <w:spacing w:after="0" w:line="240" w:lineRule="exact"/>
        <w:rPr>
          <w:sz w:val="18"/>
          <w:szCs w:val="18"/>
        </w:rPr>
      </w:pPr>
      <w:r w:rsidRPr="00F9180D">
        <w:rPr>
          <w:sz w:val="18"/>
          <w:szCs w:val="18"/>
        </w:rPr>
        <w:t>[…]</w:t>
      </w:r>
    </w:p>
    <w:p w:rsidR="00AB00DE" w:rsidRPr="00F9180D" w:rsidRDefault="00AB00DE" w:rsidP="006735D4">
      <w:pPr>
        <w:pStyle w:val="HChGC"/>
        <w:spacing w:before="0" w:after="0" w:line="240" w:lineRule="exact"/>
        <w:rPr>
          <w:sz w:val="18"/>
          <w:szCs w:val="18"/>
        </w:rPr>
      </w:pPr>
      <w:r w:rsidRPr="00F9180D">
        <w:rPr>
          <w:sz w:val="18"/>
          <w:szCs w:val="18"/>
        </w:rPr>
        <w:tab/>
      </w:r>
      <w:r w:rsidRPr="00F9180D">
        <w:rPr>
          <w:sz w:val="18"/>
          <w:szCs w:val="18"/>
        </w:rPr>
        <w:tab/>
      </w:r>
      <w:r w:rsidRPr="00F9180D">
        <w:rPr>
          <w:rFonts w:hint="eastAsia"/>
          <w:sz w:val="18"/>
          <w:szCs w:val="18"/>
        </w:rPr>
        <w:t>第三部分</w:t>
      </w:r>
      <w:r w:rsidRPr="00F9180D">
        <w:rPr>
          <w:sz w:val="18"/>
          <w:szCs w:val="18"/>
        </w:rPr>
        <w:br/>
      </w:r>
      <w:r w:rsidRPr="00F9180D">
        <w:rPr>
          <w:rFonts w:hint="eastAsia"/>
          <w:sz w:val="18"/>
          <w:szCs w:val="18"/>
        </w:rPr>
        <w:t>适用于武装冲突后的原则</w:t>
      </w:r>
    </w:p>
    <w:p w:rsidR="00AB00DE" w:rsidRPr="00F9180D" w:rsidRDefault="00AB00DE" w:rsidP="006735D4">
      <w:pPr>
        <w:pStyle w:val="H1GC"/>
        <w:spacing w:before="0" w:after="0" w:line="240" w:lineRule="exact"/>
        <w:rPr>
          <w:sz w:val="18"/>
          <w:szCs w:val="18"/>
        </w:rPr>
      </w:pPr>
      <w:r w:rsidRPr="00F9180D">
        <w:rPr>
          <w:sz w:val="18"/>
          <w:szCs w:val="18"/>
        </w:rPr>
        <w:tab/>
      </w:r>
      <w:r w:rsidRPr="00F9180D">
        <w:rPr>
          <w:sz w:val="18"/>
          <w:szCs w:val="18"/>
        </w:rPr>
        <w:tab/>
      </w:r>
      <w:r w:rsidRPr="00F9180D">
        <w:rPr>
          <w:rFonts w:hint="eastAsia"/>
          <w:sz w:val="18"/>
          <w:szCs w:val="18"/>
        </w:rPr>
        <w:t>原则草案</w:t>
      </w:r>
      <w:r w:rsidRPr="00F9180D">
        <w:rPr>
          <w:sz w:val="18"/>
          <w:szCs w:val="18"/>
        </w:rPr>
        <w:t>14</w:t>
      </w:r>
      <w:r w:rsidRPr="00F9180D">
        <w:rPr>
          <w:sz w:val="18"/>
          <w:szCs w:val="18"/>
        </w:rPr>
        <w:br/>
      </w:r>
      <w:r w:rsidRPr="00F9180D">
        <w:rPr>
          <w:rFonts w:hint="eastAsia"/>
          <w:sz w:val="18"/>
          <w:szCs w:val="18"/>
        </w:rPr>
        <w:t>和平进程</w:t>
      </w:r>
    </w:p>
    <w:p w:rsidR="00AB00DE" w:rsidRPr="00F9180D" w:rsidRDefault="00AB00DE" w:rsidP="006735D4">
      <w:pPr>
        <w:pStyle w:val="SingleTxtGC"/>
        <w:spacing w:after="0" w:line="240" w:lineRule="exact"/>
        <w:rPr>
          <w:sz w:val="18"/>
          <w:szCs w:val="18"/>
        </w:rPr>
      </w:pPr>
      <w:r w:rsidRPr="00F9180D">
        <w:rPr>
          <w:sz w:val="18"/>
          <w:szCs w:val="18"/>
        </w:rPr>
        <w:t>1.</w:t>
      </w:r>
      <w:r w:rsidRPr="00F9180D">
        <w:rPr>
          <w:sz w:val="18"/>
          <w:szCs w:val="18"/>
        </w:rPr>
        <w:tab/>
      </w:r>
      <w:r w:rsidRPr="00F9180D">
        <w:rPr>
          <w:rFonts w:hint="eastAsia"/>
          <w:sz w:val="18"/>
          <w:szCs w:val="18"/>
        </w:rPr>
        <w:t>武装冲突各方对冲突所造成的环境破坏，应解决有关环境的恢复和保护问题，将之作为和平进程的一部分，包括酌情在和平协议中处理此事。</w:t>
      </w:r>
    </w:p>
    <w:p w:rsidR="00AB00DE" w:rsidRPr="00F9180D" w:rsidRDefault="00AB00DE" w:rsidP="006735D4">
      <w:pPr>
        <w:pStyle w:val="SingleTxtGC"/>
        <w:spacing w:after="0" w:line="240" w:lineRule="exact"/>
        <w:rPr>
          <w:sz w:val="18"/>
          <w:szCs w:val="18"/>
        </w:rPr>
      </w:pPr>
      <w:r w:rsidRPr="00F9180D">
        <w:rPr>
          <w:sz w:val="18"/>
          <w:szCs w:val="18"/>
        </w:rPr>
        <w:t>2.</w:t>
      </w:r>
      <w:r w:rsidRPr="00F9180D">
        <w:rPr>
          <w:sz w:val="18"/>
          <w:szCs w:val="18"/>
        </w:rPr>
        <w:tab/>
      </w:r>
      <w:r w:rsidRPr="00F9180D">
        <w:rPr>
          <w:rFonts w:hint="eastAsia"/>
          <w:sz w:val="18"/>
          <w:szCs w:val="18"/>
        </w:rPr>
        <w:t>有关国际组织应酌情在这方面发挥协助作用。</w:t>
      </w:r>
    </w:p>
    <w:p w:rsidR="00AB00DE" w:rsidRPr="00F9180D" w:rsidRDefault="00AB00DE" w:rsidP="006735D4">
      <w:pPr>
        <w:pStyle w:val="H1GC"/>
        <w:spacing w:before="0" w:after="0" w:line="240" w:lineRule="exact"/>
        <w:rPr>
          <w:sz w:val="18"/>
          <w:szCs w:val="18"/>
        </w:rPr>
      </w:pPr>
      <w:r w:rsidRPr="00F9180D">
        <w:rPr>
          <w:sz w:val="18"/>
          <w:szCs w:val="18"/>
        </w:rPr>
        <w:tab/>
      </w:r>
      <w:r w:rsidRPr="00F9180D">
        <w:rPr>
          <w:sz w:val="18"/>
          <w:szCs w:val="18"/>
        </w:rPr>
        <w:tab/>
      </w:r>
      <w:r w:rsidRPr="00F9180D">
        <w:rPr>
          <w:rFonts w:hint="eastAsia"/>
          <w:sz w:val="18"/>
          <w:szCs w:val="18"/>
        </w:rPr>
        <w:t>原则草案</w:t>
      </w:r>
      <w:r w:rsidRPr="00F9180D">
        <w:rPr>
          <w:sz w:val="18"/>
          <w:szCs w:val="18"/>
        </w:rPr>
        <w:t>15</w:t>
      </w:r>
      <w:r w:rsidRPr="00F9180D">
        <w:rPr>
          <w:sz w:val="18"/>
          <w:szCs w:val="18"/>
        </w:rPr>
        <w:br/>
      </w:r>
      <w:r w:rsidRPr="00F9180D">
        <w:rPr>
          <w:rFonts w:hint="eastAsia"/>
          <w:sz w:val="18"/>
          <w:szCs w:val="18"/>
        </w:rPr>
        <w:t>武装冲突后的环境评估与补救措施</w:t>
      </w:r>
    </w:p>
    <w:p w:rsidR="00AB00DE" w:rsidRPr="00F9180D" w:rsidRDefault="00AB00DE" w:rsidP="006735D4">
      <w:pPr>
        <w:pStyle w:val="SingleTxtGC"/>
        <w:spacing w:after="0" w:line="240" w:lineRule="exact"/>
        <w:rPr>
          <w:sz w:val="18"/>
          <w:szCs w:val="18"/>
        </w:rPr>
      </w:pPr>
      <w:r w:rsidRPr="00F9180D">
        <w:rPr>
          <w:sz w:val="18"/>
          <w:szCs w:val="18"/>
        </w:rPr>
        <w:tab/>
      </w:r>
      <w:r w:rsidRPr="00F9180D">
        <w:rPr>
          <w:rFonts w:hint="eastAsia"/>
          <w:sz w:val="18"/>
          <w:szCs w:val="18"/>
        </w:rPr>
        <w:t>鼓励包括国际组织在内的有关行为方在武装冲突后的环境评估与补救措施方面开展合作。</w:t>
      </w:r>
    </w:p>
    <w:p w:rsidR="00AB00DE" w:rsidRPr="00F9180D" w:rsidRDefault="00AB00DE" w:rsidP="006735D4">
      <w:pPr>
        <w:pStyle w:val="H1GC"/>
        <w:spacing w:before="0" w:after="0" w:line="240" w:lineRule="exact"/>
        <w:rPr>
          <w:sz w:val="18"/>
          <w:szCs w:val="18"/>
        </w:rPr>
      </w:pPr>
      <w:r w:rsidRPr="00F9180D">
        <w:rPr>
          <w:sz w:val="18"/>
          <w:szCs w:val="18"/>
        </w:rPr>
        <w:tab/>
      </w:r>
      <w:r w:rsidRPr="00F9180D">
        <w:rPr>
          <w:sz w:val="18"/>
          <w:szCs w:val="18"/>
        </w:rPr>
        <w:tab/>
      </w:r>
      <w:r w:rsidRPr="00F9180D">
        <w:rPr>
          <w:rFonts w:hint="eastAsia"/>
          <w:sz w:val="18"/>
          <w:szCs w:val="18"/>
        </w:rPr>
        <w:t>原则草案</w:t>
      </w:r>
      <w:r w:rsidRPr="00F9180D">
        <w:rPr>
          <w:sz w:val="18"/>
          <w:szCs w:val="18"/>
        </w:rPr>
        <w:t>16</w:t>
      </w:r>
      <w:r w:rsidRPr="00F9180D">
        <w:rPr>
          <w:sz w:val="18"/>
          <w:szCs w:val="18"/>
        </w:rPr>
        <w:br/>
      </w:r>
      <w:r w:rsidRPr="00F9180D">
        <w:rPr>
          <w:rFonts w:hint="eastAsia"/>
          <w:sz w:val="18"/>
          <w:szCs w:val="18"/>
        </w:rPr>
        <w:t>战争遗留物</w:t>
      </w:r>
    </w:p>
    <w:p w:rsidR="00AB00DE" w:rsidRPr="00F9180D" w:rsidRDefault="00AB00DE" w:rsidP="006735D4">
      <w:pPr>
        <w:pStyle w:val="SingleTxtGC"/>
        <w:spacing w:after="0" w:line="240" w:lineRule="exact"/>
        <w:rPr>
          <w:sz w:val="18"/>
          <w:szCs w:val="18"/>
        </w:rPr>
      </w:pPr>
      <w:r w:rsidRPr="00F9180D">
        <w:rPr>
          <w:sz w:val="18"/>
          <w:szCs w:val="18"/>
        </w:rPr>
        <w:t>1.</w:t>
      </w:r>
      <w:r w:rsidRPr="00F9180D">
        <w:rPr>
          <w:sz w:val="18"/>
          <w:szCs w:val="18"/>
        </w:rPr>
        <w:tab/>
      </w:r>
      <w:r w:rsidRPr="00F9180D">
        <w:rPr>
          <w:rFonts w:hint="eastAsia"/>
          <w:sz w:val="18"/>
          <w:szCs w:val="18"/>
        </w:rPr>
        <w:t>武装冲突后，冲突各方应争取消除其管辖或控制下造成或可能造成环境破坏的有毒和危险的战争遗留物，或使之无害。应根据适用的国际法规则采取此类措施。</w:t>
      </w:r>
    </w:p>
    <w:p w:rsidR="00AB00DE" w:rsidRPr="00F9180D" w:rsidRDefault="00AB00DE" w:rsidP="006735D4">
      <w:pPr>
        <w:pStyle w:val="SingleTxtGC"/>
        <w:spacing w:after="0" w:line="240" w:lineRule="exact"/>
        <w:rPr>
          <w:sz w:val="18"/>
          <w:szCs w:val="18"/>
        </w:rPr>
      </w:pPr>
      <w:r w:rsidRPr="00F9180D">
        <w:rPr>
          <w:sz w:val="18"/>
          <w:szCs w:val="18"/>
        </w:rPr>
        <w:t>2.</w:t>
      </w:r>
      <w:r w:rsidRPr="00F9180D">
        <w:rPr>
          <w:sz w:val="18"/>
          <w:szCs w:val="18"/>
        </w:rPr>
        <w:tab/>
      </w:r>
      <w:r w:rsidRPr="00F9180D">
        <w:rPr>
          <w:rFonts w:hint="eastAsia"/>
          <w:sz w:val="18"/>
          <w:szCs w:val="18"/>
        </w:rPr>
        <w:t>各方还应争取相互并酌情同他国和国际组织就技术与物资援助达成协议，包括在适当情况下开展联合行动，消除这种有毒和危险的战争遗留物或使之无害。</w:t>
      </w:r>
    </w:p>
    <w:p w:rsidR="00AB00DE" w:rsidRPr="00F9180D" w:rsidRDefault="00AB00DE" w:rsidP="006735D4">
      <w:pPr>
        <w:pStyle w:val="SingleTxtGC"/>
        <w:spacing w:after="0" w:line="240" w:lineRule="exact"/>
        <w:rPr>
          <w:sz w:val="18"/>
          <w:szCs w:val="18"/>
        </w:rPr>
      </w:pPr>
      <w:r w:rsidRPr="00F9180D">
        <w:rPr>
          <w:sz w:val="18"/>
          <w:szCs w:val="18"/>
        </w:rPr>
        <w:t>3.</w:t>
      </w:r>
      <w:r w:rsidRPr="00F9180D">
        <w:rPr>
          <w:sz w:val="18"/>
          <w:szCs w:val="18"/>
        </w:rPr>
        <w:tab/>
      </w:r>
      <w:r w:rsidRPr="00F9180D">
        <w:rPr>
          <w:rFonts w:hint="eastAsia"/>
          <w:sz w:val="18"/>
          <w:szCs w:val="18"/>
        </w:rPr>
        <w:t>第</w:t>
      </w:r>
      <w:r w:rsidRPr="00F9180D">
        <w:rPr>
          <w:sz w:val="18"/>
          <w:szCs w:val="18"/>
        </w:rPr>
        <w:t>1</w:t>
      </w:r>
      <w:r w:rsidRPr="00F9180D">
        <w:rPr>
          <w:rFonts w:hint="eastAsia"/>
          <w:sz w:val="18"/>
          <w:szCs w:val="18"/>
        </w:rPr>
        <w:t>和第</w:t>
      </w:r>
      <w:r w:rsidRPr="00F9180D">
        <w:rPr>
          <w:sz w:val="18"/>
          <w:szCs w:val="18"/>
        </w:rPr>
        <w:t>2</w:t>
      </w:r>
      <w:r w:rsidRPr="00F9180D">
        <w:rPr>
          <w:rFonts w:hint="eastAsia"/>
          <w:sz w:val="18"/>
          <w:szCs w:val="18"/>
        </w:rPr>
        <w:t>段不妨碍国际法规定的任何清除、移除、销毁或维护雷场、雷区、地雷、诱杀装置、爆炸性弹药和其他装置之权利和义务。</w:t>
      </w:r>
    </w:p>
    <w:p w:rsidR="00AB00DE" w:rsidRPr="00F9180D" w:rsidRDefault="00AB00DE" w:rsidP="006735D4">
      <w:pPr>
        <w:pStyle w:val="H1GC"/>
        <w:spacing w:before="0" w:after="0" w:line="240" w:lineRule="exact"/>
        <w:rPr>
          <w:sz w:val="18"/>
          <w:szCs w:val="18"/>
        </w:rPr>
      </w:pPr>
      <w:r w:rsidRPr="00F9180D">
        <w:rPr>
          <w:sz w:val="18"/>
          <w:szCs w:val="18"/>
        </w:rPr>
        <w:tab/>
      </w:r>
      <w:r w:rsidRPr="00F9180D">
        <w:rPr>
          <w:sz w:val="18"/>
          <w:szCs w:val="18"/>
        </w:rPr>
        <w:tab/>
      </w:r>
      <w:r w:rsidRPr="00F9180D">
        <w:rPr>
          <w:rFonts w:hint="eastAsia"/>
          <w:sz w:val="18"/>
          <w:szCs w:val="18"/>
        </w:rPr>
        <w:t>原则草案</w:t>
      </w:r>
      <w:r w:rsidRPr="00F9180D">
        <w:rPr>
          <w:sz w:val="18"/>
          <w:szCs w:val="18"/>
        </w:rPr>
        <w:t>17</w:t>
      </w:r>
      <w:r w:rsidRPr="00F9180D">
        <w:rPr>
          <w:sz w:val="18"/>
          <w:szCs w:val="18"/>
        </w:rPr>
        <w:br/>
      </w:r>
      <w:r w:rsidRPr="00F9180D">
        <w:rPr>
          <w:rFonts w:hint="eastAsia"/>
          <w:sz w:val="18"/>
          <w:szCs w:val="18"/>
        </w:rPr>
        <w:t>海上战争遗留物</w:t>
      </w:r>
    </w:p>
    <w:p w:rsidR="00AB00DE" w:rsidRPr="00F9180D" w:rsidRDefault="00AB00DE" w:rsidP="006735D4">
      <w:pPr>
        <w:pStyle w:val="SingleTxtGC"/>
        <w:spacing w:after="0" w:line="240" w:lineRule="exact"/>
        <w:rPr>
          <w:sz w:val="18"/>
          <w:szCs w:val="18"/>
        </w:rPr>
      </w:pPr>
      <w:r w:rsidRPr="00F9180D">
        <w:rPr>
          <w:sz w:val="18"/>
          <w:szCs w:val="18"/>
        </w:rPr>
        <w:tab/>
      </w:r>
      <w:r w:rsidRPr="00F9180D">
        <w:rPr>
          <w:rFonts w:hint="eastAsia"/>
          <w:sz w:val="18"/>
          <w:szCs w:val="18"/>
        </w:rPr>
        <w:t>各国和有关国际组织应开展合作，确保海上战争遗留物不对环境构成危险。</w:t>
      </w:r>
    </w:p>
    <w:p w:rsidR="00AB00DE" w:rsidRPr="00F9180D" w:rsidRDefault="00AB00DE" w:rsidP="006735D4">
      <w:pPr>
        <w:pStyle w:val="H1GC"/>
        <w:spacing w:before="0" w:after="0" w:line="240" w:lineRule="exact"/>
        <w:rPr>
          <w:sz w:val="18"/>
          <w:szCs w:val="18"/>
        </w:rPr>
      </w:pPr>
      <w:r w:rsidRPr="00F9180D">
        <w:rPr>
          <w:sz w:val="18"/>
          <w:szCs w:val="18"/>
        </w:rPr>
        <w:tab/>
      </w:r>
      <w:r w:rsidRPr="00F9180D">
        <w:rPr>
          <w:sz w:val="18"/>
          <w:szCs w:val="18"/>
        </w:rPr>
        <w:tab/>
      </w:r>
      <w:r w:rsidRPr="00F9180D">
        <w:rPr>
          <w:rFonts w:hint="eastAsia"/>
          <w:sz w:val="18"/>
          <w:szCs w:val="18"/>
        </w:rPr>
        <w:t>原则草案</w:t>
      </w:r>
      <w:r w:rsidRPr="00F9180D">
        <w:rPr>
          <w:sz w:val="18"/>
          <w:szCs w:val="18"/>
        </w:rPr>
        <w:t>18</w:t>
      </w:r>
      <w:r w:rsidRPr="00F9180D">
        <w:rPr>
          <w:sz w:val="18"/>
          <w:szCs w:val="18"/>
        </w:rPr>
        <w:br/>
      </w:r>
      <w:r w:rsidRPr="00F9180D">
        <w:rPr>
          <w:rFonts w:hint="eastAsia"/>
          <w:sz w:val="18"/>
          <w:szCs w:val="18"/>
        </w:rPr>
        <w:t>共享与准许获取信息</w:t>
      </w:r>
    </w:p>
    <w:p w:rsidR="00AB00DE" w:rsidRPr="00F9180D" w:rsidRDefault="00AB00DE" w:rsidP="006735D4">
      <w:pPr>
        <w:pStyle w:val="SingleTxtGC"/>
        <w:spacing w:after="0" w:line="240" w:lineRule="exact"/>
        <w:rPr>
          <w:sz w:val="18"/>
          <w:szCs w:val="18"/>
        </w:rPr>
      </w:pPr>
      <w:r w:rsidRPr="00F9180D">
        <w:rPr>
          <w:sz w:val="18"/>
          <w:szCs w:val="18"/>
        </w:rPr>
        <w:t>1.</w:t>
      </w:r>
      <w:r w:rsidRPr="00F9180D">
        <w:rPr>
          <w:sz w:val="18"/>
          <w:szCs w:val="18"/>
        </w:rPr>
        <w:tab/>
      </w:r>
      <w:r w:rsidRPr="00F9180D">
        <w:rPr>
          <w:rFonts w:hint="eastAsia"/>
          <w:sz w:val="18"/>
          <w:szCs w:val="18"/>
        </w:rPr>
        <w:t>为便利武装冲突后采取补救措施，各国和有关国际组织应按国际法规定的义务，共享并准许获取相关信息。</w:t>
      </w:r>
    </w:p>
    <w:p w:rsidR="00AB00DE" w:rsidRPr="00F9180D" w:rsidRDefault="00AB00DE" w:rsidP="006735D4">
      <w:pPr>
        <w:pStyle w:val="SingleTxtGC"/>
        <w:spacing w:after="0" w:line="240" w:lineRule="exact"/>
        <w:rPr>
          <w:sz w:val="18"/>
          <w:szCs w:val="18"/>
        </w:rPr>
      </w:pPr>
      <w:r w:rsidRPr="00F9180D">
        <w:rPr>
          <w:sz w:val="18"/>
          <w:szCs w:val="18"/>
        </w:rPr>
        <w:t>2.</w:t>
      </w:r>
      <w:r w:rsidRPr="00F9180D">
        <w:rPr>
          <w:sz w:val="18"/>
          <w:szCs w:val="18"/>
        </w:rPr>
        <w:tab/>
      </w:r>
      <w:r w:rsidRPr="00F9180D">
        <w:rPr>
          <w:rFonts w:hint="eastAsia"/>
          <w:sz w:val="18"/>
          <w:szCs w:val="18"/>
        </w:rPr>
        <w:t>本原则草案中并无任何内容要求一国或国际组织必须分享和准许获取对其国防或安全至关重要的信息。但国家或国际组织应诚意合作，根据具体情况提供尽可能多的信息。</w:t>
      </w:r>
    </w:p>
    <w:p w:rsidR="00AB00DE" w:rsidRPr="0042038F" w:rsidRDefault="00AB00DE" w:rsidP="006735D4">
      <w:pPr>
        <w:pStyle w:val="a4"/>
      </w:pPr>
    </w:p>
  </w:footnote>
  <w:footnote w:id="1311">
    <w:p w:rsidR="00AB00DE" w:rsidRPr="0046221B" w:rsidRDefault="00AB00DE" w:rsidP="006735D4">
      <w:pPr>
        <w:pStyle w:val="a4"/>
        <w:rPr>
          <w:sz w:val="20"/>
        </w:rPr>
      </w:pPr>
      <w:r w:rsidRPr="001A39A6">
        <w:rPr>
          <w:rFonts w:hint="eastAsia"/>
        </w:rPr>
        <w:tab/>
      </w:r>
      <w:r w:rsidRPr="00681AC8">
        <w:rPr>
          <w:rStyle w:val="a5"/>
          <w:lang w:val="zh-CN"/>
        </w:rPr>
        <w:footnoteRef/>
      </w:r>
      <w:r>
        <w:rPr>
          <w:rFonts w:hint="eastAsia"/>
          <w:lang w:val="zh-CN"/>
        </w:rPr>
        <w:tab/>
      </w:r>
      <w:r w:rsidRPr="00DB77A0">
        <w:rPr>
          <w:rFonts w:eastAsiaTheme="majorEastAsia"/>
          <w:lang w:val="zh-CN"/>
        </w:rPr>
        <w:t>《大会正式记录，第六十六届会议，补编第</w:t>
      </w:r>
      <w:r w:rsidRPr="00DB77A0">
        <w:rPr>
          <w:rFonts w:eastAsiaTheme="majorEastAsia"/>
          <w:lang w:val="zh-CN"/>
        </w:rPr>
        <w:t>10</w:t>
      </w:r>
      <w:r w:rsidRPr="00DB77A0">
        <w:rPr>
          <w:rFonts w:eastAsiaTheme="majorEastAsia"/>
          <w:lang w:val="zh-CN"/>
        </w:rPr>
        <w:t>号》</w:t>
      </w:r>
      <w:r w:rsidRPr="00DB77A0">
        <w:rPr>
          <w:rFonts w:eastAsiaTheme="majorEastAsia"/>
          <w:lang w:val="zh-CN"/>
        </w:rPr>
        <w:t>(</w:t>
      </w:r>
      <w:hyperlink r:id="rId322" w:history="1">
        <w:r w:rsidRPr="00E37175">
          <w:rPr>
            <w:rStyle w:val="af"/>
            <w:lang w:val="zh-CN"/>
          </w:rPr>
          <w:t>A/66/10</w:t>
        </w:r>
      </w:hyperlink>
      <w:r>
        <w:rPr>
          <w:lang w:val="zh-CN"/>
        </w:rPr>
        <w:t>)</w:t>
      </w:r>
      <w:r>
        <w:rPr>
          <w:lang w:val="zh-CN"/>
        </w:rPr>
        <w:t>，第六章，</w:t>
      </w:r>
      <w:r>
        <w:rPr>
          <w:lang w:val="zh-CN"/>
        </w:rPr>
        <w:t>E</w:t>
      </w:r>
      <w:r>
        <w:rPr>
          <w:lang w:val="zh-CN"/>
        </w:rPr>
        <w:t>节。</w:t>
      </w:r>
    </w:p>
  </w:footnote>
  <w:footnote w:id="1312">
    <w:p w:rsidR="00AB00DE" w:rsidRPr="00C07537" w:rsidRDefault="00AB00DE" w:rsidP="006735D4">
      <w:pPr>
        <w:pStyle w:val="a4"/>
      </w:pPr>
      <w:r>
        <w:rPr>
          <w:rFonts w:hint="eastAsia"/>
          <w:lang w:val="zh-CN"/>
        </w:rPr>
        <w:tab/>
      </w:r>
      <w:r w:rsidRPr="00681AC8">
        <w:rPr>
          <w:rStyle w:val="a5"/>
          <w:lang w:val="zh-CN"/>
        </w:rPr>
        <w:footnoteRef/>
      </w:r>
      <w:r>
        <w:rPr>
          <w:rFonts w:hint="eastAsia"/>
          <w:lang w:val="zh-CN"/>
        </w:rPr>
        <w:tab/>
      </w:r>
      <w:r>
        <w:rPr>
          <w:lang w:val="zh-CN"/>
        </w:rPr>
        <w:t>见第</w:t>
      </w:r>
      <w:r>
        <w:rPr>
          <w:lang w:val="zh-CN"/>
        </w:rPr>
        <w:t>7</w:t>
      </w:r>
      <w:r>
        <w:rPr>
          <w:lang w:val="zh-CN"/>
        </w:rPr>
        <w:t>条所述指示性清单，载于</w:t>
      </w:r>
      <w:r>
        <w:rPr>
          <w:rFonts w:hint="eastAsia"/>
          <w:lang w:val="zh-CN"/>
        </w:rPr>
        <w:t>关于</w:t>
      </w:r>
      <w:r>
        <w:rPr>
          <w:lang w:val="zh-CN"/>
        </w:rPr>
        <w:t>武装冲突对条约的影响</w:t>
      </w:r>
      <w:r>
        <w:rPr>
          <w:rFonts w:hint="eastAsia"/>
          <w:lang w:val="zh-CN"/>
        </w:rPr>
        <w:t>的</w:t>
      </w:r>
      <w:r>
        <w:rPr>
          <w:lang w:val="zh-CN"/>
        </w:rPr>
        <w:t>条款附件</w:t>
      </w:r>
      <w:r>
        <w:rPr>
          <w:lang w:val="zh-CN"/>
        </w:rPr>
        <w:t>(</w:t>
      </w:r>
      <w:r>
        <w:rPr>
          <w:lang w:val="zh-CN"/>
        </w:rPr>
        <w:t>同上</w:t>
      </w:r>
      <w:r>
        <w:rPr>
          <w:lang w:val="zh-CN"/>
        </w:rPr>
        <w:t>)</w:t>
      </w:r>
      <w:r>
        <w:rPr>
          <w:lang w:val="zh-CN"/>
        </w:rPr>
        <w:t>。</w:t>
      </w:r>
    </w:p>
  </w:footnote>
  <w:footnote w:id="1313">
    <w:p w:rsidR="00AB00DE" w:rsidRPr="0046221B" w:rsidRDefault="00AB00DE" w:rsidP="006735D4">
      <w:pPr>
        <w:pStyle w:val="a4"/>
        <w:rPr>
          <w:rFonts w:asciiTheme="majorBidi" w:hAnsiTheme="majorBidi" w:cstheme="majorBidi"/>
          <w:sz w:val="20"/>
        </w:rPr>
      </w:pPr>
      <w:r>
        <w:rPr>
          <w:rFonts w:hint="eastAsia"/>
        </w:rPr>
        <w:tab/>
      </w:r>
      <w:r w:rsidRPr="00681AC8">
        <w:rPr>
          <w:rStyle w:val="a5"/>
          <w:lang w:val="zh-CN"/>
        </w:rPr>
        <w:footnoteRef/>
      </w:r>
      <w:r>
        <w:rPr>
          <w:rFonts w:hint="eastAsia"/>
        </w:rPr>
        <w:tab/>
      </w:r>
      <w:r>
        <w:rPr>
          <w:lang w:val="zh-CN"/>
        </w:rPr>
        <w:t>《敷设水下自动触发水雷公约》</w:t>
      </w:r>
      <w:r>
        <w:t>(19</w:t>
      </w:r>
      <w:r w:rsidRPr="0079435A">
        <w:t>0</w:t>
      </w:r>
      <w:r>
        <w:t>7</w:t>
      </w:r>
      <w:r>
        <w:rPr>
          <w:lang w:val="zh-CN"/>
        </w:rPr>
        <w:t>年第八号公约</w:t>
      </w:r>
      <w:r>
        <w:t>)(19</w:t>
      </w:r>
      <w:r w:rsidRPr="0079435A">
        <w:t>0</w:t>
      </w:r>
      <w:r>
        <w:t>7</w:t>
      </w:r>
      <w:r>
        <w:rPr>
          <w:lang w:val="zh-CN"/>
        </w:rPr>
        <w:t>年</w:t>
      </w:r>
      <w:r>
        <w:t>1</w:t>
      </w:r>
      <w:r w:rsidRPr="0079435A">
        <w:t>0</w:t>
      </w:r>
      <w:r>
        <w:rPr>
          <w:lang w:val="zh-CN"/>
        </w:rPr>
        <w:t>月</w:t>
      </w:r>
      <w:r>
        <w:t>18</w:t>
      </w:r>
      <w:r>
        <w:rPr>
          <w:lang w:val="zh-CN"/>
        </w:rPr>
        <w:t>日</w:t>
      </w:r>
      <w:r>
        <w:t>，</w:t>
      </w:r>
      <w:r>
        <w:rPr>
          <w:lang w:val="zh-CN"/>
        </w:rPr>
        <w:t>海牙</w:t>
      </w:r>
      <w:r>
        <w:t>)</w:t>
      </w:r>
      <w:r>
        <w:t>，</w:t>
      </w:r>
      <w:r>
        <w:rPr>
          <w:color w:val="000000"/>
        </w:rPr>
        <w:t>《</w:t>
      </w:r>
      <w:r>
        <w:rPr>
          <w:color w:val="000000"/>
        </w:rPr>
        <w:t>1899</w:t>
      </w:r>
      <w:r>
        <w:rPr>
          <w:color w:val="000000"/>
        </w:rPr>
        <w:t>年和</w:t>
      </w:r>
      <w:r>
        <w:rPr>
          <w:color w:val="000000"/>
        </w:rPr>
        <w:t>1907</w:t>
      </w:r>
      <w:r>
        <w:rPr>
          <w:color w:val="000000"/>
        </w:rPr>
        <w:t>年海牙公约和宣言》</w:t>
      </w:r>
      <w:r>
        <w:rPr>
          <w:rFonts w:hint="eastAsia"/>
        </w:rPr>
        <w:t>，</w:t>
      </w:r>
      <w:r>
        <w:t>J</w:t>
      </w:r>
      <w:r w:rsidRPr="0079435A">
        <w:t>.</w:t>
      </w:r>
      <w:r>
        <w:t>B</w:t>
      </w:r>
      <w:r w:rsidRPr="0079435A">
        <w:t xml:space="preserve">. </w:t>
      </w:r>
      <w:r>
        <w:t>Scott</w:t>
      </w:r>
      <w:r>
        <w:rPr>
          <w:rFonts w:eastAsiaTheme="minorEastAsia" w:hint="eastAsia"/>
        </w:rPr>
        <w:t>编</w:t>
      </w:r>
      <w:r>
        <w:rPr>
          <w:rFonts w:hint="eastAsia"/>
        </w:rPr>
        <w:t>(</w:t>
      </w:r>
      <w:r>
        <w:rPr>
          <w:color w:val="000000"/>
        </w:rPr>
        <w:t>牛津大学出版社，</w:t>
      </w:r>
      <w:r>
        <w:rPr>
          <w:color w:val="000000"/>
        </w:rPr>
        <w:t>1915</w:t>
      </w:r>
      <w:r>
        <w:rPr>
          <w:color w:val="000000"/>
        </w:rPr>
        <w:t>年，纽约</w:t>
      </w:r>
      <w:r>
        <w:rPr>
          <w:rFonts w:hint="eastAsia"/>
          <w:color w:val="000000"/>
        </w:rPr>
        <w:t>)</w:t>
      </w:r>
      <w:r>
        <w:rPr>
          <w:rFonts w:hint="eastAsia"/>
          <w:color w:val="000000"/>
        </w:rPr>
        <w:t>，</w:t>
      </w:r>
      <w:r>
        <w:rPr>
          <w:lang w:val="zh-CN"/>
        </w:rPr>
        <w:t>第</w:t>
      </w:r>
      <w:r>
        <w:t>151</w:t>
      </w:r>
      <w:r>
        <w:rPr>
          <w:lang w:val="zh-CN"/>
        </w:rPr>
        <w:t>页。</w:t>
      </w:r>
    </w:p>
  </w:footnote>
  <w:footnote w:id="1314">
    <w:p w:rsidR="00AB00DE" w:rsidRPr="0046221B" w:rsidRDefault="00AB00DE" w:rsidP="006735D4">
      <w:pPr>
        <w:pStyle w:val="a4"/>
        <w:rPr>
          <w:rFonts w:asciiTheme="majorBidi" w:hAnsiTheme="majorBidi" w:cstheme="majorBidi"/>
          <w:sz w:val="20"/>
        </w:rPr>
      </w:pPr>
      <w:r>
        <w:rPr>
          <w:rFonts w:hint="eastAsia"/>
        </w:rPr>
        <w:tab/>
      </w:r>
      <w:r w:rsidRPr="00681AC8">
        <w:rPr>
          <w:rStyle w:val="a5"/>
          <w:szCs w:val="21"/>
          <w:lang w:val="zh-CN"/>
        </w:rPr>
        <w:footnoteRef/>
      </w:r>
      <w:r>
        <w:rPr>
          <w:rFonts w:hint="eastAsia"/>
        </w:rPr>
        <w:tab/>
      </w:r>
      <w:r>
        <w:rPr>
          <w:lang w:val="zh-CN"/>
        </w:rPr>
        <w:t>大会</w:t>
      </w:r>
      <w:r>
        <w:t>2</w:t>
      </w:r>
      <w:r w:rsidRPr="000E7546">
        <w:t>00</w:t>
      </w:r>
      <w:r>
        <w:t>7</w:t>
      </w:r>
      <w:r>
        <w:rPr>
          <w:lang w:val="zh-CN"/>
        </w:rPr>
        <w:t>年</w:t>
      </w:r>
      <w:r>
        <w:t>9</w:t>
      </w:r>
      <w:r>
        <w:rPr>
          <w:lang w:val="zh-CN"/>
        </w:rPr>
        <w:t>月</w:t>
      </w:r>
      <w:r>
        <w:t>13</w:t>
      </w:r>
      <w:r>
        <w:rPr>
          <w:lang w:val="zh-CN"/>
        </w:rPr>
        <w:t>日</w:t>
      </w:r>
      <w:r>
        <w:rPr>
          <w:rFonts w:hint="eastAsia"/>
          <w:lang w:val="zh-CN"/>
        </w:rPr>
        <w:t>第</w:t>
      </w:r>
      <w:hyperlink r:id="rId323" w:history="1">
        <w:r>
          <w:rPr>
            <w:rStyle w:val="af"/>
          </w:rPr>
          <w:t>61/295</w:t>
        </w:r>
      </w:hyperlink>
      <w:r>
        <w:rPr>
          <w:lang w:val="zh-CN"/>
        </w:rPr>
        <w:t>号决议。</w:t>
      </w:r>
    </w:p>
  </w:footnote>
  <w:footnote w:id="1315">
    <w:p w:rsidR="00AB00DE" w:rsidRPr="0046221B" w:rsidRDefault="00AB00DE" w:rsidP="006735D4">
      <w:pPr>
        <w:pStyle w:val="a4"/>
        <w:rPr>
          <w:sz w:val="20"/>
        </w:rPr>
      </w:pPr>
      <w:r>
        <w:rPr>
          <w:rFonts w:hint="eastAsia"/>
        </w:rPr>
        <w:tab/>
      </w:r>
      <w:r w:rsidRPr="00681AC8">
        <w:rPr>
          <w:rStyle w:val="a5"/>
          <w:szCs w:val="21"/>
          <w:lang w:val="zh-CN"/>
        </w:rPr>
        <w:footnoteRef/>
      </w:r>
      <w:r>
        <w:rPr>
          <w:rFonts w:hint="eastAsia"/>
        </w:rPr>
        <w:tab/>
      </w:r>
      <w:r>
        <w:rPr>
          <w:lang w:val="zh-CN"/>
        </w:rPr>
        <w:t>美洲国家组织</w:t>
      </w:r>
      <w:r>
        <w:rPr>
          <w:rFonts w:hint="eastAsia"/>
        </w:rPr>
        <w:t>，</w:t>
      </w:r>
      <w:r>
        <w:t>AG/RES</w:t>
      </w:r>
      <w:r w:rsidRPr="000E7546">
        <w:t>.</w:t>
      </w:r>
      <w:r>
        <w:t>2888</w:t>
      </w:r>
      <w:r>
        <w:rPr>
          <w:rFonts w:hint="eastAsia"/>
        </w:rPr>
        <w:t>(</w:t>
      </w:r>
      <w:r>
        <w:t>XLVI</w:t>
      </w:r>
      <w:r w:rsidRPr="000E7546">
        <w:t>-</w:t>
      </w:r>
      <w:r>
        <w:t>O/16</w:t>
      </w:r>
      <w:r>
        <w:rPr>
          <w:rFonts w:hint="eastAsia"/>
        </w:rPr>
        <w:t>)</w:t>
      </w:r>
      <w:r>
        <w:rPr>
          <w:rFonts w:hint="eastAsia"/>
        </w:rPr>
        <w:t>，</w:t>
      </w:r>
      <w:r>
        <w:t>2</w:t>
      </w:r>
      <w:r w:rsidRPr="000E7546">
        <w:t>0</w:t>
      </w:r>
      <w:r>
        <w:t>16</w:t>
      </w:r>
      <w:r>
        <w:rPr>
          <w:lang w:val="zh-CN"/>
        </w:rPr>
        <w:t>年</w:t>
      </w:r>
      <w:r>
        <w:t>6</w:t>
      </w:r>
      <w:r>
        <w:rPr>
          <w:lang w:val="zh-CN"/>
        </w:rPr>
        <w:t>月</w:t>
      </w:r>
      <w:r>
        <w:t>15</w:t>
      </w:r>
      <w:r>
        <w:rPr>
          <w:lang w:val="zh-CN"/>
        </w:rPr>
        <w:t>日。</w:t>
      </w:r>
    </w:p>
  </w:footnote>
  <w:footnote w:id="1316">
    <w:p w:rsidR="00AB00DE" w:rsidRPr="0046221B" w:rsidRDefault="00AB00DE" w:rsidP="006735D4">
      <w:pPr>
        <w:pStyle w:val="a4"/>
        <w:rPr>
          <w:sz w:val="20"/>
        </w:rPr>
      </w:pPr>
      <w:r>
        <w:rPr>
          <w:rFonts w:hint="eastAsia"/>
          <w:lang w:val="zh-CN"/>
        </w:rPr>
        <w:tab/>
      </w:r>
      <w:r w:rsidRPr="00681AC8">
        <w:rPr>
          <w:rStyle w:val="a5"/>
          <w:szCs w:val="21"/>
          <w:lang w:val="zh-CN"/>
        </w:rPr>
        <w:footnoteRef/>
      </w:r>
      <w:r>
        <w:rPr>
          <w:rFonts w:hint="eastAsia"/>
          <w:lang w:val="zh-CN"/>
        </w:rPr>
        <w:tab/>
      </w:r>
      <w:r>
        <w:rPr>
          <w:lang w:val="zh-CN"/>
        </w:rPr>
        <w:t>《大会正式记</w:t>
      </w:r>
      <w:r w:rsidRPr="00A63810">
        <w:rPr>
          <w:rFonts w:eastAsiaTheme="minorEastAsia"/>
          <w:lang w:val="zh-CN"/>
        </w:rPr>
        <w:t>录，第七十届会议，补编第</w:t>
      </w:r>
      <w:r w:rsidRPr="00A63810">
        <w:rPr>
          <w:rFonts w:eastAsiaTheme="minorEastAsia"/>
          <w:lang w:val="zh-CN"/>
        </w:rPr>
        <w:t>10</w:t>
      </w:r>
      <w:r w:rsidRPr="00A63810">
        <w:rPr>
          <w:rFonts w:eastAsiaTheme="minorEastAsia"/>
          <w:lang w:val="zh-CN"/>
        </w:rPr>
        <w:t>号》</w:t>
      </w:r>
      <w:r>
        <w:rPr>
          <w:lang w:val="zh-CN"/>
        </w:rPr>
        <w:t>(</w:t>
      </w:r>
      <w:hyperlink r:id="rId324" w:history="1">
        <w:r w:rsidRPr="00E37175">
          <w:rPr>
            <w:rStyle w:val="af"/>
            <w:lang w:val="zh-CN"/>
          </w:rPr>
          <w:t>A/70/10</w:t>
        </w:r>
      </w:hyperlink>
      <w:r>
        <w:rPr>
          <w:lang w:val="zh-CN"/>
        </w:rPr>
        <w:t>)</w:t>
      </w:r>
      <w:r>
        <w:rPr>
          <w:lang w:val="zh-CN"/>
        </w:rPr>
        <w:t>，第</w:t>
      </w:r>
      <w:r>
        <w:rPr>
          <w:lang w:val="zh-CN"/>
        </w:rPr>
        <w:t>134</w:t>
      </w:r>
      <w:r>
        <w:rPr>
          <w:lang w:val="zh-CN"/>
        </w:rPr>
        <w:t>段。</w:t>
      </w:r>
    </w:p>
  </w:footnote>
  <w:footnote w:id="1317">
    <w:p w:rsidR="00AB00DE" w:rsidRPr="0046221B" w:rsidRDefault="00AB00DE" w:rsidP="006735D4">
      <w:pPr>
        <w:pStyle w:val="a4"/>
        <w:rPr>
          <w:sz w:val="20"/>
        </w:rPr>
      </w:pPr>
      <w:r>
        <w:rPr>
          <w:rFonts w:hint="eastAsia"/>
          <w:lang w:val="zh-CN"/>
        </w:rPr>
        <w:tab/>
      </w:r>
      <w:r w:rsidRPr="00681AC8">
        <w:rPr>
          <w:rStyle w:val="a5"/>
          <w:lang w:val="zh-CN"/>
        </w:rPr>
        <w:footnoteRef/>
      </w:r>
      <w:r>
        <w:rPr>
          <w:rFonts w:hint="eastAsia"/>
          <w:lang w:val="zh-CN"/>
        </w:rPr>
        <w:tab/>
      </w:r>
      <w:r>
        <w:rPr>
          <w:lang w:val="zh-CN"/>
        </w:rPr>
        <w:t>友好、通商和航海条约以及涉及私权利的协定</w:t>
      </w:r>
      <w:r>
        <w:rPr>
          <w:lang w:val="zh-CN"/>
        </w:rPr>
        <w:t>(</w:t>
      </w:r>
      <w:r>
        <w:rPr>
          <w:lang w:val="zh-CN"/>
        </w:rPr>
        <w:t>见</w:t>
      </w:r>
      <w:r>
        <w:rPr>
          <w:rFonts w:hint="eastAsia"/>
          <w:lang w:val="zh-CN"/>
        </w:rPr>
        <w:t>“</w:t>
      </w:r>
      <w:r>
        <w:rPr>
          <w:lang w:val="zh-CN"/>
        </w:rPr>
        <w:t>第</w:t>
      </w:r>
      <w:r>
        <w:rPr>
          <w:lang w:val="zh-CN"/>
        </w:rPr>
        <w:t>7</w:t>
      </w:r>
      <w:r>
        <w:rPr>
          <w:lang w:val="zh-CN"/>
        </w:rPr>
        <w:t>条所指条约的指示性清单</w:t>
      </w:r>
      <w:r>
        <w:rPr>
          <w:rFonts w:hint="eastAsia"/>
          <w:lang w:val="zh-CN"/>
        </w:rPr>
        <w:t>”</w:t>
      </w:r>
      <w:r>
        <w:rPr>
          <w:lang w:val="zh-CN"/>
        </w:rPr>
        <w:t>，载于条款草案附件，</w:t>
      </w:r>
      <w:r w:rsidRPr="00B4237E">
        <w:rPr>
          <w:rFonts w:eastAsiaTheme="minorEastAsia"/>
          <w:lang w:val="zh-CN"/>
        </w:rPr>
        <w:t>《大会正式记录，第六十六届会议，补编第</w:t>
      </w:r>
      <w:r w:rsidRPr="00B4237E">
        <w:rPr>
          <w:rFonts w:eastAsiaTheme="minorEastAsia"/>
          <w:lang w:val="zh-CN"/>
        </w:rPr>
        <w:t>10</w:t>
      </w:r>
      <w:r w:rsidRPr="00B4237E">
        <w:rPr>
          <w:rFonts w:eastAsiaTheme="minorEastAsia"/>
          <w:lang w:val="zh-CN"/>
        </w:rPr>
        <w:t>号》</w:t>
      </w:r>
      <w:r w:rsidRPr="00B4237E">
        <w:rPr>
          <w:rFonts w:eastAsiaTheme="minorEastAsia"/>
          <w:lang w:val="zh-CN"/>
        </w:rPr>
        <w:t>(</w:t>
      </w:r>
      <w:hyperlink r:id="rId325" w:history="1">
        <w:r w:rsidRPr="00B4237E">
          <w:rPr>
            <w:rStyle w:val="af"/>
            <w:rFonts w:eastAsiaTheme="minorEastAsia"/>
            <w:lang w:val="zh-CN"/>
          </w:rPr>
          <w:t>A/66/10</w:t>
        </w:r>
      </w:hyperlink>
      <w:r w:rsidRPr="00B4237E">
        <w:rPr>
          <w:rFonts w:eastAsiaTheme="minorEastAsia"/>
          <w:lang w:val="zh-CN"/>
        </w:rPr>
        <w:t>)</w:t>
      </w:r>
      <w:r w:rsidRPr="00B4237E">
        <w:rPr>
          <w:rFonts w:eastAsiaTheme="minorEastAsia"/>
          <w:lang w:val="zh-CN"/>
        </w:rPr>
        <w:t>，第六章，</w:t>
      </w:r>
      <w:r w:rsidRPr="00B4237E">
        <w:rPr>
          <w:rFonts w:eastAsiaTheme="minorEastAsia"/>
          <w:lang w:val="zh-CN"/>
        </w:rPr>
        <w:t>E</w:t>
      </w:r>
      <w:r w:rsidRPr="00B4237E">
        <w:rPr>
          <w:rFonts w:eastAsiaTheme="minorEastAsia"/>
          <w:lang w:val="zh-CN"/>
        </w:rPr>
        <w:t>节。</w:t>
      </w:r>
    </w:p>
  </w:footnote>
  <w:footnote w:id="1318">
    <w:p w:rsidR="00AB00DE" w:rsidRPr="00ED18FA" w:rsidRDefault="00AB00DE" w:rsidP="006735D4">
      <w:pPr>
        <w:pStyle w:val="a4"/>
        <w:rPr>
          <w:lang w:val="zh-CN"/>
        </w:rPr>
      </w:pPr>
      <w:r>
        <w:rPr>
          <w:rFonts w:hint="eastAsia"/>
          <w:lang w:val="zh-CN"/>
        </w:rPr>
        <w:tab/>
      </w:r>
      <w:r w:rsidRPr="00681AC8">
        <w:rPr>
          <w:rStyle w:val="a5"/>
          <w:lang w:val="zh-CN"/>
        </w:rPr>
        <w:footnoteRef/>
      </w:r>
      <w:r>
        <w:rPr>
          <w:rFonts w:hint="eastAsia"/>
          <w:lang w:val="zh-CN"/>
        </w:rPr>
        <w:tab/>
      </w:r>
      <w:r>
        <w:rPr>
          <w:lang w:val="zh-CN"/>
        </w:rPr>
        <w:t>《禁止或限制使用某些可被认为具有过分伤害力或滥杀滥伤作用的常规武器公约》所附、于</w:t>
      </w:r>
      <w:r>
        <w:rPr>
          <w:lang w:val="zh-CN"/>
        </w:rPr>
        <w:t>1996</w:t>
      </w:r>
      <w:r>
        <w:rPr>
          <w:lang w:val="zh-CN"/>
        </w:rPr>
        <w:t>年</w:t>
      </w:r>
      <w:r>
        <w:rPr>
          <w:lang w:val="zh-CN"/>
        </w:rPr>
        <w:t>5</w:t>
      </w:r>
      <w:r>
        <w:rPr>
          <w:lang w:val="zh-CN"/>
        </w:rPr>
        <w:t>月</w:t>
      </w:r>
      <w:r>
        <w:rPr>
          <w:lang w:val="zh-CN"/>
        </w:rPr>
        <w:t>3</w:t>
      </w:r>
      <w:r>
        <w:rPr>
          <w:lang w:val="zh-CN"/>
        </w:rPr>
        <w:t>日修正的《禁止或限制使用地雷、诱杀装置和其他装置的议定书》</w:t>
      </w:r>
      <w:r>
        <w:rPr>
          <w:lang w:val="zh-CN"/>
        </w:rPr>
        <w:t>(</w:t>
      </w:r>
      <w:r>
        <w:rPr>
          <w:lang w:val="zh-CN"/>
        </w:rPr>
        <w:t>《</w:t>
      </w:r>
      <w:r>
        <w:rPr>
          <w:lang w:val="zh-CN"/>
        </w:rPr>
        <w:t>1996</w:t>
      </w:r>
      <w:r>
        <w:rPr>
          <w:lang w:val="zh-CN"/>
        </w:rPr>
        <w:t>年</w:t>
      </w:r>
      <w:r>
        <w:rPr>
          <w:lang w:val="zh-CN"/>
        </w:rPr>
        <w:t>5</w:t>
      </w:r>
      <w:r>
        <w:rPr>
          <w:lang w:val="zh-CN"/>
        </w:rPr>
        <w:t>月</w:t>
      </w:r>
      <w:r>
        <w:rPr>
          <w:lang w:val="zh-CN"/>
        </w:rPr>
        <w:t>3</w:t>
      </w:r>
      <w:r>
        <w:rPr>
          <w:lang w:val="zh-CN"/>
        </w:rPr>
        <w:t>日修正的第二议定书》</w:t>
      </w:r>
      <w:r>
        <w:rPr>
          <w:lang w:val="zh-CN"/>
        </w:rPr>
        <w:t>)(1996</w:t>
      </w:r>
      <w:r>
        <w:rPr>
          <w:lang w:val="zh-CN"/>
        </w:rPr>
        <w:t>年</w:t>
      </w:r>
      <w:r>
        <w:rPr>
          <w:lang w:val="zh-CN"/>
        </w:rPr>
        <w:t>5</w:t>
      </w:r>
      <w:r>
        <w:rPr>
          <w:lang w:val="zh-CN"/>
        </w:rPr>
        <w:t>月</w:t>
      </w:r>
      <w:r>
        <w:rPr>
          <w:lang w:val="zh-CN"/>
        </w:rPr>
        <w:t>3</w:t>
      </w:r>
      <w:r>
        <w:rPr>
          <w:lang w:val="zh-CN"/>
        </w:rPr>
        <w:t>日，日内瓦</w:t>
      </w:r>
      <w:r>
        <w:rPr>
          <w:lang w:val="zh-CN"/>
        </w:rPr>
        <w:t>)</w:t>
      </w:r>
      <w:r>
        <w:rPr>
          <w:lang w:val="zh-CN"/>
        </w:rPr>
        <w:t>，联合国，</w:t>
      </w:r>
      <w:hyperlink r:id="rId326" w:history="1">
        <w:r w:rsidRPr="00ED18FA">
          <w:t>《条约汇编》，第</w:t>
        </w:r>
        <w:r w:rsidRPr="00ED18FA">
          <w:t>2048</w:t>
        </w:r>
        <w:r w:rsidRPr="00ED18FA">
          <w:t>卷</w:t>
        </w:r>
      </w:hyperlink>
      <w:r>
        <w:rPr>
          <w:lang w:val="zh-CN"/>
        </w:rPr>
        <w:t>，第</w:t>
      </w:r>
      <w:r>
        <w:rPr>
          <w:lang w:val="zh-CN"/>
        </w:rPr>
        <w:t>22495</w:t>
      </w:r>
      <w:r>
        <w:rPr>
          <w:lang w:val="zh-CN"/>
        </w:rPr>
        <w:t>号，第</w:t>
      </w:r>
      <w:r>
        <w:rPr>
          <w:lang w:val="zh-CN"/>
        </w:rPr>
        <w:t>93</w:t>
      </w:r>
      <w:r>
        <w:rPr>
          <w:lang w:val="zh-CN"/>
        </w:rPr>
        <w:t>页。</w:t>
      </w:r>
    </w:p>
  </w:footnote>
  <w:footnote w:id="1319">
    <w:p w:rsidR="00AB00DE" w:rsidRPr="00ED18FA" w:rsidRDefault="00AB00DE" w:rsidP="006735D4">
      <w:pPr>
        <w:pStyle w:val="a4"/>
        <w:rPr>
          <w:lang w:val="zh-CN"/>
        </w:rPr>
      </w:pPr>
      <w:r>
        <w:rPr>
          <w:rFonts w:hint="eastAsia"/>
          <w:lang w:val="zh-CN"/>
        </w:rPr>
        <w:tab/>
      </w:r>
      <w:r w:rsidRPr="00681AC8">
        <w:rPr>
          <w:rStyle w:val="a5"/>
          <w:lang w:val="zh-CN"/>
        </w:rPr>
        <w:footnoteRef/>
      </w:r>
      <w:r>
        <w:rPr>
          <w:rFonts w:hint="eastAsia"/>
          <w:lang w:val="zh-CN"/>
        </w:rPr>
        <w:tab/>
      </w:r>
      <w:r>
        <w:rPr>
          <w:lang w:val="zh-CN"/>
        </w:rPr>
        <w:t>《联合国土著人民权利宣言》。大会</w:t>
      </w:r>
      <w:r>
        <w:rPr>
          <w:lang w:val="zh-CN"/>
        </w:rPr>
        <w:t>2007</w:t>
      </w:r>
      <w:r>
        <w:rPr>
          <w:lang w:val="zh-CN"/>
        </w:rPr>
        <w:t>年</w:t>
      </w:r>
      <w:r>
        <w:rPr>
          <w:lang w:val="zh-CN"/>
        </w:rPr>
        <w:t>9</w:t>
      </w:r>
      <w:r>
        <w:rPr>
          <w:lang w:val="zh-CN"/>
        </w:rPr>
        <w:t>月</w:t>
      </w:r>
      <w:r>
        <w:rPr>
          <w:lang w:val="zh-CN"/>
        </w:rPr>
        <w:t>13</w:t>
      </w:r>
      <w:r>
        <w:rPr>
          <w:lang w:val="zh-CN"/>
        </w:rPr>
        <w:t>日</w:t>
      </w:r>
      <w:hyperlink r:id="rId327" w:history="1">
        <w:r w:rsidRPr="00E37175">
          <w:rPr>
            <w:lang w:val="zh-CN"/>
          </w:rPr>
          <w:t>第</w:t>
        </w:r>
        <w:r w:rsidRPr="00E37175">
          <w:rPr>
            <w:rStyle w:val="af"/>
            <w:lang w:val="zh-CN"/>
          </w:rPr>
          <w:t>61/295</w:t>
        </w:r>
      </w:hyperlink>
      <w:r>
        <w:rPr>
          <w:lang w:val="zh-CN"/>
        </w:rPr>
        <w:t>号决议和《关于独立国家境内土著和部落民族的第</w:t>
      </w:r>
      <w:r>
        <w:rPr>
          <w:lang w:val="zh-CN"/>
        </w:rPr>
        <w:t>169</w:t>
      </w:r>
      <w:r>
        <w:rPr>
          <w:lang w:val="zh-CN"/>
        </w:rPr>
        <w:t>号公约》</w:t>
      </w:r>
      <w:r>
        <w:rPr>
          <w:lang w:val="zh-CN"/>
        </w:rPr>
        <w:t>(1989</w:t>
      </w:r>
      <w:r>
        <w:rPr>
          <w:lang w:val="zh-CN"/>
        </w:rPr>
        <w:t>年</w:t>
      </w:r>
      <w:r>
        <w:rPr>
          <w:lang w:val="zh-CN"/>
        </w:rPr>
        <w:t>6</w:t>
      </w:r>
      <w:r>
        <w:rPr>
          <w:lang w:val="zh-CN"/>
        </w:rPr>
        <w:t>月</w:t>
      </w:r>
      <w:r>
        <w:rPr>
          <w:lang w:val="zh-CN"/>
        </w:rPr>
        <w:t>27</w:t>
      </w:r>
      <w:r>
        <w:rPr>
          <w:lang w:val="zh-CN"/>
        </w:rPr>
        <w:t>日，日内瓦</w:t>
      </w:r>
      <w:r>
        <w:rPr>
          <w:lang w:val="zh-CN"/>
        </w:rPr>
        <w:t>)</w:t>
      </w:r>
      <w:r>
        <w:rPr>
          <w:lang w:val="zh-CN"/>
        </w:rPr>
        <w:t>，联合国，</w:t>
      </w:r>
      <w:hyperlink r:id="rId328" w:history="1">
        <w:r w:rsidRPr="00ED18FA">
          <w:t>《条约汇编》</w:t>
        </w:r>
        <w:r w:rsidRPr="00ED18FA">
          <w:rPr>
            <w:rFonts w:hint="eastAsia"/>
          </w:rPr>
          <w:t>，</w:t>
        </w:r>
        <w:r w:rsidRPr="00ED18FA">
          <w:t>第</w:t>
        </w:r>
        <w:r w:rsidRPr="00ED18FA">
          <w:t>1650</w:t>
        </w:r>
        <w:r w:rsidRPr="00ED18FA">
          <w:t>卷</w:t>
        </w:r>
      </w:hyperlink>
      <w:r>
        <w:rPr>
          <w:lang w:val="zh-CN"/>
        </w:rPr>
        <w:t>，第</w:t>
      </w:r>
      <w:r>
        <w:rPr>
          <w:lang w:val="zh-CN"/>
        </w:rPr>
        <w:t>28383</w:t>
      </w:r>
      <w:r>
        <w:rPr>
          <w:lang w:val="zh-CN"/>
        </w:rPr>
        <w:t>号，第</w:t>
      </w:r>
      <w:r>
        <w:rPr>
          <w:lang w:val="zh-CN"/>
        </w:rPr>
        <w:t>383</w:t>
      </w:r>
      <w:r>
        <w:rPr>
          <w:lang w:val="zh-CN"/>
        </w:rPr>
        <w:t>页。</w:t>
      </w:r>
    </w:p>
  </w:footnote>
  <w:footnote w:id="1320">
    <w:p w:rsidR="00AB00DE" w:rsidRPr="00681AC8" w:rsidRDefault="00AB00DE" w:rsidP="006735D4">
      <w:pPr>
        <w:pStyle w:val="a4"/>
      </w:pPr>
      <w:r>
        <w:rPr>
          <w:rFonts w:hint="eastAsia"/>
        </w:rPr>
        <w:tab/>
      </w:r>
      <w:r w:rsidRPr="00681AC8">
        <w:rPr>
          <w:rStyle w:val="a5"/>
          <w:rFonts w:cstheme="majorBidi"/>
        </w:rPr>
        <w:footnoteRef/>
      </w:r>
      <w:r w:rsidRPr="00682858">
        <w:tab/>
      </w:r>
      <w:r w:rsidRPr="00681AC8">
        <w:t>委员会以前已选择将其工作成果制定为原则草案，如</w:t>
      </w:r>
      <w:r w:rsidRPr="00681AC8">
        <w:rPr>
          <w:rFonts w:ascii="宋体" w:hAnsi="宋体" w:cs="宋体" w:hint="eastAsia"/>
        </w:rPr>
        <w:t>关于危险活动造成的跨界损害案件中损失分配的原则草案</w:t>
      </w:r>
      <w:r w:rsidRPr="00681AC8">
        <w:t>。见</w:t>
      </w:r>
      <w:r w:rsidRPr="00681AC8">
        <w:rPr>
          <w:rFonts w:eastAsiaTheme="minorEastAsia"/>
        </w:rPr>
        <w:t>《</w:t>
      </w:r>
      <w:r w:rsidRPr="00681AC8">
        <w:rPr>
          <w:rFonts w:ascii="Time New Roman" w:eastAsiaTheme="minorEastAsia" w:hAnsi="Time New Roman"/>
        </w:rPr>
        <w:t>2006</w:t>
      </w:r>
      <w:r w:rsidRPr="00681AC8">
        <w:rPr>
          <w:rFonts w:ascii="Time New Roman" w:eastAsiaTheme="minorEastAsia" w:hAnsi="Time New Roman"/>
        </w:rPr>
        <w:t>年</w:t>
      </w:r>
      <w:r w:rsidRPr="00681AC8">
        <w:rPr>
          <w:rFonts w:hint="eastAsia"/>
        </w:rPr>
        <w:t>……</w:t>
      </w:r>
      <w:r w:rsidRPr="00681AC8">
        <w:rPr>
          <w:rFonts w:ascii="Time New Roman" w:eastAsiaTheme="minorEastAsia" w:hAnsi="Time New Roman"/>
        </w:rPr>
        <w:t>年鉴》</w:t>
      </w:r>
      <w:r w:rsidRPr="00681AC8">
        <w:t>，第二卷</w:t>
      </w:r>
      <w:r w:rsidRPr="00681AC8">
        <w:t>(</w:t>
      </w:r>
      <w:r w:rsidRPr="00681AC8">
        <w:t>第二部分</w:t>
      </w:r>
      <w:r w:rsidRPr="00681AC8">
        <w:t>)</w:t>
      </w:r>
      <w:r w:rsidRPr="00681AC8">
        <w:t>，</w:t>
      </w:r>
      <w:r w:rsidRPr="00681AC8">
        <w:rPr>
          <w:rFonts w:ascii="宋体" w:hAnsi="宋体" w:cs="宋体" w:hint="eastAsia"/>
        </w:rPr>
        <w:t>关于危险活动造成的跨界损害案件中损失分配的原则草案</w:t>
      </w:r>
      <w:r w:rsidRPr="00681AC8">
        <w:t>。</w:t>
      </w:r>
    </w:p>
  </w:footnote>
  <w:footnote w:id="1321">
    <w:p w:rsidR="00AB00DE" w:rsidRPr="00682858" w:rsidRDefault="00AB00DE" w:rsidP="006735D4">
      <w:pPr>
        <w:pStyle w:val="a4"/>
      </w:pPr>
      <w:r w:rsidRPr="00682858">
        <w:tab/>
      </w:r>
      <w:r w:rsidRPr="00681AC8">
        <w:rPr>
          <w:rStyle w:val="a5"/>
          <w:rFonts w:cstheme="majorBidi"/>
        </w:rPr>
        <w:footnoteRef/>
      </w:r>
      <w:r w:rsidRPr="00682858">
        <w:tab/>
      </w:r>
      <w:r>
        <w:t>A/CN</w:t>
      </w:r>
      <w:r w:rsidRPr="00682858">
        <w:t>.</w:t>
      </w:r>
      <w:r>
        <w:t>4/674</w:t>
      </w:r>
      <w:r>
        <w:t>，</w:t>
      </w:r>
      <w:r w:rsidRPr="00682858">
        <w:t>第</w:t>
      </w:r>
      <w:r>
        <w:t>78</w:t>
      </w:r>
      <w:r w:rsidRPr="00682858">
        <w:t>和第</w:t>
      </w:r>
      <w:r>
        <w:t>86</w:t>
      </w:r>
      <w:r w:rsidRPr="00682858">
        <w:t>段。</w:t>
      </w:r>
    </w:p>
  </w:footnote>
  <w:footnote w:id="1322">
    <w:p w:rsidR="00AB00DE" w:rsidRPr="00682858" w:rsidRDefault="00AB00DE" w:rsidP="006735D4">
      <w:pPr>
        <w:pStyle w:val="a4"/>
      </w:pPr>
      <w:r w:rsidRPr="00682858">
        <w:tab/>
      </w:r>
      <w:r w:rsidRPr="00681AC8">
        <w:rPr>
          <w:rStyle w:val="a5"/>
          <w:rFonts w:cstheme="majorBidi"/>
        </w:rPr>
        <w:footnoteRef/>
      </w:r>
      <w:r w:rsidRPr="00682858">
        <w:tab/>
      </w:r>
      <w:r>
        <w:t>2014</w:t>
      </w:r>
      <w:r w:rsidRPr="00682858">
        <w:t>年</w:t>
      </w:r>
      <w:r>
        <w:t>7</w:t>
      </w:r>
      <w:r w:rsidRPr="00682858">
        <w:t>月</w:t>
      </w:r>
      <w:r>
        <w:t>18</w:t>
      </w:r>
      <w:r w:rsidRPr="00682858">
        <w:t>日特别报告员在委员会第</w:t>
      </w:r>
      <w:r>
        <w:rPr>
          <w:rFonts w:eastAsiaTheme="minorEastAsia" w:hint="eastAsia"/>
        </w:rPr>
        <w:t>3227</w:t>
      </w:r>
      <w:r w:rsidRPr="00682858">
        <w:t>次会议上的介绍性发言</w:t>
      </w:r>
      <w:r>
        <w:t>(</w:t>
      </w:r>
      <w:r w:rsidRPr="00682858">
        <w:t>未反映在第</w:t>
      </w:r>
      <w:r>
        <w:rPr>
          <w:rFonts w:eastAsiaTheme="minorEastAsia" w:hint="eastAsia"/>
        </w:rPr>
        <w:t>3227</w:t>
      </w:r>
      <w:r w:rsidRPr="00682858">
        <w:t>次会议</w:t>
      </w:r>
      <w:r>
        <w:rPr>
          <w:rFonts w:eastAsiaTheme="minorEastAsia" w:hint="eastAsia"/>
        </w:rPr>
        <w:t>临时</w:t>
      </w:r>
      <w:r w:rsidRPr="00682858">
        <w:t>简要记录</w:t>
      </w:r>
      <w:r>
        <w:t>(A/CN</w:t>
      </w:r>
      <w:r w:rsidRPr="00682858">
        <w:t>.</w:t>
      </w:r>
      <w:r>
        <w:t>4/SR</w:t>
      </w:r>
      <w:r w:rsidRPr="00682858">
        <w:t>.</w:t>
      </w:r>
      <w:r>
        <w:t>3227)</w:t>
      </w:r>
      <w:r>
        <w:rPr>
          <w:rFonts w:eastAsiaTheme="minorEastAsia" w:hint="eastAsia"/>
        </w:rPr>
        <w:t>中</w:t>
      </w:r>
      <w:r>
        <w:t>)</w:t>
      </w:r>
      <w:r w:rsidRPr="00682858">
        <w:t>。</w:t>
      </w:r>
    </w:p>
  </w:footnote>
  <w:footnote w:id="1323">
    <w:p w:rsidR="00AB00DE" w:rsidRPr="00682858" w:rsidRDefault="00AB00DE" w:rsidP="006735D4">
      <w:pPr>
        <w:pStyle w:val="a4"/>
      </w:pPr>
      <w:r w:rsidRPr="00682858">
        <w:tab/>
      </w:r>
      <w:r w:rsidRPr="00681AC8">
        <w:rPr>
          <w:rStyle w:val="a5"/>
          <w:rFonts w:cstheme="majorBidi"/>
        </w:rPr>
        <w:footnoteRef/>
      </w:r>
      <w:r w:rsidRPr="00682858">
        <w:tab/>
      </w:r>
      <w:r>
        <w:t>A/CN</w:t>
      </w:r>
      <w:r w:rsidRPr="00682858">
        <w:t>.</w:t>
      </w:r>
      <w:r>
        <w:t>4/685</w:t>
      </w:r>
      <w:r>
        <w:t>，</w:t>
      </w:r>
      <w:r w:rsidRPr="00682858">
        <w:t>附件一。</w:t>
      </w:r>
    </w:p>
  </w:footnote>
  <w:footnote w:id="1324">
    <w:p w:rsidR="00AB00DE" w:rsidRPr="00682858" w:rsidRDefault="00AB00DE" w:rsidP="006735D4">
      <w:pPr>
        <w:pStyle w:val="a4"/>
      </w:pPr>
      <w:r w:rsidRPr="00682858">
        <w:tab/>
      </w:r>
      <w:r w:rsidRPr="00681AC8">
        <w:rPr>
          <w:rStyle w:val="a5"/>
          <w:rFonts w:cstheme="majorBidi"/>
        </w:rPr>
        <w:footnoteRef/>
      </w:r>
      <w:r w:rsidRPr="00682858">
        <w:tab/>
      </w:r>
      <w:r>
        <w:t>201</w:t>
      </w:r>
      <w:r>
        <w:rPr>
          <w:rFonts w:hint="eastAsia"/>
        </w:rPr>
        <w:t>5</w:t>
      </w:r>
      <w:r w:rsidRPr="00682858">
        <w:t>年</w:t>
      </w:r>
      <w:r>
        <w:t>7</w:t>
      </w:r>
      <w:r w:rsidRPr="00682858">
        <w:t>月</w:t>
      </w:r>
      <w:r>
        <w:rPr>
          <w:rFonts w:hint="eastAsia"/>
        </w:rPr>
        <w:t>6</w:t>
      </w:r>
      <w:r w:rsidRPr="00682858">
        <w:t>日特别报告员在委员会第</w:t>
      </w:r>
      <w:r>
        <w:rPr>
          <w:rFonts w:eastAsiaTheme="minorEastAsia" w:hint="eastAsia"/>
        </w:rPr>
        <w:t>3264</w:t>
      </w:r>
      <w:r w:rsidRPr="00682858">
        <w:t>次会议上的介绍性发言</w:t>
      </w:r>
      <w:r>
        <w:t>(</w:t>
      </w:r>
      <w:r w:rsidRPr="00682858">
        <w:t>部分反映在第</w:t>
      </w:r>
      <w:r>
        <w:rPr>
          <w:rFonts w:eastAsiaTheme="minorEastAsia" w:hint="eastAsia"/>
        </w:rPr>
        <w:t>3264</w:t>
      </w:r>
      <w:r w:rsidRPr="00682858">
        <w:t>次会议简要记录</w:t>
      </w:r>
      <w:r>
        <w:t>(A/CN</w:t>
      </w:r>
      <w:r w:rsidRPr="00682858">
        <w:t>.</w:t>
      </w:r>
      <w:r>
        <w:t>4/SR</w:t>
      </w:r>
      <w:r w:rsidRPr="00682858">
        <w:t>.</w:t>
      </w:r>
      <w:r>
        <w:t>32</w:t>
      </w:r>
      <w:r>
        <w:rPr>
          <w:rFonts w:eastAsia="Times New Roman"/>
        </w:rPr>
        <w:t>64</w:t>
      </w:r>
      <w:r>
        <w:t>，</w:t>
      </w:r>
      <w:r w:rsidRPr="00682858">
        <w:t>第</w:t>
      </w:r>
      <w:r>
        <w:t>8</w:t>
      </w:r>
      <w:r w:rsidRPr="00682858">
        <w:t>页</w:t>
      </w:r>
      <w:r>
        <w:t>)</w:t>
      </w:r>
      <w:r w:rsidRPr="00682858">
        <w:t>内</w:t>
      </w:r>
      <w:r>
        <w:t>)</w:t>
      </w:r>
      <w:r w:rsidRPr="00682858">
        <w:t>。</w:t>
      </w:r>
    </w:p>
  </w:footnote>
  <w:footnote w:id="1325">
    <w:p w:rsidR="00AB00DE" w:rsidRPr="00682858" w:rsidRDefault="00AB00DE" w:rsidP="006735D4">
      <w:pPr>
        <w:pStyle w:val="a4"/>
        <w:rPr>
          <w:rFonts w:asciiTheme="majorBidi" w:hAnsiTheme="majorBidi" w:cstheme="majorBidi"/>
        </w:rPr>
      </w:pPr>
      <w:r>
        <w:rPr>
          <w:rFonts w:hint="eastAsia"/>
        </w:rPr>
        <w:tab/>
      </w:r>
      <w:r w:rsidRPr="00681AC8">
        <w:rPr>
          <w:rStyle w:val="a5"/>
          <w:rFonts w:cstheme="majorBidi"/>
        </w:rPr>
        <w:footnoteRef/>
      </w:r>
      <w:r w:rsidRPr="00682858">
        <w:rPr>
          <w:rFonts w:asciiTheme="majorBidi" w:hAnsiTheme="majorBidi" w:cstheme="majorBidi"/>
        </w:rPr>
        <w:tab/>
      </w:r>
      <w:r>
        <w:rPr>
          <w:rFonts w:asciiTheme="majorBidi" w:hAnsiTheme="majorBidi" w:cstheme="majorBidi"/>
          <w:spacing w:val="-4"/>
        </w:rPr>
        <w:t>本</w:t>
      </w:r>
      <w:r>
        <w:rPr>
          <w:rFonts w:asciiTheme="majorBidi" w:eastAsiaTheme="minorEastAsia" w:hAnsiTheme="majorBidi" w:cstheme="majorBidi" w:hint="eastAsia"/>
          <w:spacing w:val="-4"/>
        </w:rPr>
        <w:t>专</w:t>
      </w:r>
      <w:r w:rsidRPr="006053BE">
        <w:rPr>
          <w:rFonts w:asciiTheme="majorBidi" w:hAnsiTheme="majorBidi" w:cstheme="majorBidi"/>
          <w:spacing w:val="-4"/>
        </w:rPr>
        <w:t>题于</w:t>
      </w:r>
      <w:r w:rsidRPr="006053BE">
        <w:rPr>
          <w:rFonts w:asciiTheme="majorBidi" w:hAnsiTheme="majorBidi" w:cstheme="majorBidi"/>
          <w:spacing w:val="-4"/>
        </w:rPr>
        <w:t>2011</w:t>
      </w:r>
      <w:r w:rsidRPr="006053BE">
        <w:rPr>
          <w:rFonts w:asciiTheme="majorBidi" w:hAnsiTheme="majorBidi" w:cstheme="majorBidi"/>
          <w:spacing w:val="-4"/>
        </w:rPr>
        <w:t>年列入委员会的长期工作方案，并于</w:t>
      </w:r>
      <w:r w:rsidRPr="006053BE">
        <w:rPr>
          <w:rFonts w:asciiTheme="majorBidi" w:hAnsiTheme="majorBidi" w:cstheme="majorBidi"/>
          <w:spacing w:val="-4"/>
        </w:rPr>
        <w:t>2013</w:t>
      </w:r>
      <w:r w:rsidRPr="006053BE">
        <w:rPr>
          <w:rFonts w:asciiTheme="majorBidi" w:hAnsiTheme="majorBidi" w:cstheme="majorBidi"/>
          <w:spacing w:val="-4"/>
        </w:rPr>
        <w:t>年转</w:t>
      </w:r>
      <w:r>
        <w:rPr>
          <w:rFonts w:asciiTheme="majorBidi" w:eastAsiaTheme="minorEastAsia" w:hAnsiTheme="majorBidi" w:cstheme="majorBidi" w:hint="eastAsia"/>
          <w:spacing w:val="-4"/>
        </w:rPr>
        <w:t>列</w:t>
      </w:r>
      <w:r w:rsidRPr="006053BE">
        <w:rPr>
          <w:rFonts w:asciiTheme="majorBidi" w:hAnsiTheme="majorBidi" w:cstheme="majorBidi"/>
          <w:spacing w:val="-4"/>
        </w:rPr>
        <w:t>入当前工作方案，见《大会正式记</w:t>
      </w:r>
      <w:r w:rsidRPr="00682858">
        <w:rPr>
          <w:rFonts w:asciiTheme="majorBidi" w:hAnsiTheme="majorBidi" w:cstheme="majorBidi"/>
        </w:rPr>
        <w:t>录</w:t>
      </w:r>
      <w:r>
        <w:rPr>
          <w:rFonts w:asciiTheme="majorBidi" w:hAnsiTheme="majorBidi" w:cstheme="majorBidi"/>
        </w:rPr>
        <w:t>，</w:t>
      </w:r>
      <w:r w:rsidRPr="00682858">
        <w:rPr>
          <w:rFonts w:asciiTheme="majorBidi" w:hAnsiTheme="majorBidi" w:cstheme="majorBidi"/>
        </w:rPr>
        <w:t>第六十六届会议</w:t>
      </w:r>
      <w:r>
        <w:rPr>
          <w:rFonts w:asciiTheme="majorBidi" w:hAnsiTheme="majorBidi" w:cstheme="majorBidi"/>
        </w:rPr>
        <w:t>，</w:t>
      </w:r>
      <w:r w:rsidRPr="00682858">
        <w:rPr>
          <w:rFonts w:asciiTheme="majorBidi" w:hAnsiTheme="majorBidi" w:cstheme="majorBidi"/>
        </w:rPr>
        <w:t>补编第</w:t>
      </w:r>
      <w:r>
        <w:rPr>
          <w:rFonts w:asciiTheme="majorBidi" w:hAnsiTheme="majorBidi" w:cstheme="majorBidi"/>
        </w:rPr>
        <w:t>10</w:t>
      </w:r>
      <w:r w:rsidRPr="00682858">
        <w:rPr>
          <w:rFonts w:asciiTheme="majorBidi" w:hAnsiTheme="majorBidi" w:cstheme="majorBidi"/>
        </w:rPr>
        <w:t>号》</w:t>
      </w:r>
      <w:r>
        <w:rPr>
          <w:rFonts w:asciiTheme="majorBidi" w:hAnsiTheme="majorBidi" w:cstheme="majorBidi"/>
        </w:rPr>
        <w:t>(A/66/10)</w:t>
      </w:r>
      <w:r>
        <w:rPr>
          <w:rFonts w:asciiTheme="majorBidi" w:hAnsiTheme="majorBidi" w:cstheme="majorBidi"/>
        </w:rPr>
        <w:t>，</w:t>
      </w:r>
      <w:r w:rsidRPr="00682858">
        <w:rPr>
          <w:rFonts w:asciiTheme="majorBidi" w:hAnsiTheme="majorBidi" w:cstheme="majorBidi"/>
        </w:rPr>
        <w:t>附件</w:t>
      </w:r>
      <w:r>
        <w:rPr>
          <w:rFonts w:asciiTheme="majorBidi" w:hAnsiTheme="majorBidi" w:cstheme="majorBidi"/>
        </w:rPr>
        <w:t>E</w:t>
      </w:r>
      <w:r>
        <w:rPr>
          <w:rFonts w:asciiTheme="majorBidi" w:eastAsiaTheme="minorEastAsia" w:hAnsiTheme="majorBidi" w:cstheme="majorBidi" w:hint="eastAsia"/>
        </w:rPr>
        <w:t>，</w:t>
      </w:r>
      <w:r w:rsidRPr="00682858">
        <w:rPr>
          <w:rFonts w:asciiTheme="majorBidi" w:hAnsiTheme="majorBidi" w:cstheme="majorBidi"/>
        </w:rPr>
        <w:t>并见同上</w:t>
      </w:r>
      <w:r>
        <w:rPr>
          <w:rFonts w:asciiTheme="majorBidi" w:hAnsiTheme="majorBidi" w:cstheme="majorBidi"/>
        </w:rPr>
        <w:t>，</w:t>
      </w:r>
      <w:r w:rsidRPr="00682858">
        <w:rPr>
          <w:rFonts w:asciiTheme="majorBidi" w:hAnsiTheme="majorBidi" w:cstheme="majorBidi"/>
        </w:rPr>
        <w:t>《第六十八届会议</w:t>
      </w:r>
      <w:r>
        <w:rPr>
          <w:rFonts w:asciiTheme="majorBidi" w:hAnsiTheme="majorBidi" w:cstheme="majorBidi"/>
        </w:rPr>
        <w:t>，</w:t>
      </w:r>
      <w:r w:rsidRPr="00682858">
        <w:rPr>
          <w:rFonts w:asciiTheme="majorBidi" w:hAnsiTheme="majorBidi" w:cstheme="majorBidi"/>
        </w:rPr>
        <w:t>补编第</w:t>
      </w:r>
      <w:r>
        <w:rPr>
          <w:rFonts w:asciiTheme="majorBidi" w:hAnsiTheme="majorBidi" w:cstheme="majorBidi"/>
        </w:rPr>
        <w:t>10</w:t>
      </w:r>
      <w:r w:rsidRPr="00682858">
        <w:rPr>
          <w:rFonts w:asciiTheme="majorBidi" w:hAnsiTheme="majorBidi" w:cstheme="majorBidi"/>
        </w:rPr>
        <w:t>号》</w:t>
      </w:r>
      <w:r>
        <w:rPr>
          <w:rFonts w:asciiTheme="majorBidi" w:hAnsiTheme="majorBidi" w:cstheme="majorBidi"/>
        </w:rPr>
        <w:t>(A/68/10)</w:t>
      </w:r>
      <w:r w:rsidRPr="00682858">
        <w:rPr>
          <w:rFonts w:asciiTheme="majorBidi" w:hAnsiTheme="majorBidi" w:cstheme="majorBidi"/>
        </w:rPr>
        <w:t>第</w:t>
      </w:r>
      <w:r>
        <w:rPr>
          <w:rFonts w:asciiTheme="majorBidi" w:hAnsiTheme="majorBidi" w:cstheme="majorBidi"/>
        </w:rPr>
        <w:t>131</w:t>
      </w:r>
      <w:r w:rsidRPr="00682858">
        <w:rPr>
          <w:rFonts w:asciiTheme="majorBidi" w:hAnsiTheme="majorBidi" w:cstheme="majorBidi"/>
        </w:rPr>
        <w:t>段。</w:t>
      </w:r>
    </w:p>
  </w:footnote>
  <w:footnote w:id="1326">
    <w:p w:rsidR="00AB00DE" w:rsidRPr="00682858" w:rsidRDefault="00AB00DE" w:rsidP="006735D4">
      <w:pPr>
        <w:pStyle w:val="a4"/>
        <w:rPr>
          <w:rFonts w:asciiTheme="majorBidi" w:hAnsiTheme="majorBidi" w:cstheme="majorBidi"/>
        </w:rPr>
      </w:pPr>
      <w:r w:rsidRPr="00682858">
        <w:rPr>
          <w:rFonts w:asciiTheme="majorBidi" w:hAnsiTheme="majorBidi" w:cstheme="majorBidi"/>
        </w:rPr>
        <w:tab/>
      </w:r>
      <w:r w:rsidRPr="00681AC8">
        <w:rPr>
          <w:rStyle w:val="a5"/>
          <w:rFonts w:cstheme="majorBidi"/>
        </w:rPr>
        <w:footnoteRef/>
      </w:r>
      <w:r w:rsidRPr="00682858">
        <w:rPr>
          <w:rFonts w:asciiTheme="majorBidi" w:hAnsiTheme="majorBidi" w:cstheme="majorBidi"/>
        </w:rPr>
        <w:tab/>
      </w:r>
      <w:r w:rsidRPr="006053BE">
        <w:rPr>
          <w:rFonts w:asciiTheme="majorBidi" w:hAnsiTheme="majorBidi" w:cstheme="majorBidi"/>
          <w:spacing w:val="-4"/>
        </w:rPr>
        <w:t>见同上，《第六十八届会议，补编第</w:t>
      </w:r>
      <w:r w:rsidRPr="006053BE">
        <w:rPr>
          <w:rFonts w:asciiTheme="majorBidi" w:hAnsiTheme="majorBidi" w:cstheme="majorBidi"/>
          <w:spacing w:val="-4"/>
        </w:rPr>
        <w:t>10</w:t>
      </w:r>
      <w:r w:rsidRPr="006053BE">
        <w:rPr>
          <w:rFonts w:asciiTheme="majorBidi" w:hAnsiTheme="majorBidi" w:cstheme="majorBidi"/>
          <w:spacing w:val="-4"/>
        </w:rPr>
        <w:t>号</w:t>
      </w:r>
      <w:r w:rsidRPr="006053BE">
        <w:rPr>
          <w:rFonts w:asciiTheme="majorBidi" w:hAnsiTheme="majorBidi" w:cstheme="majorBidi"/>
          <w:spacing w:val="-4"/>
        </w:rPr>
        <w:t>(A/68/10)</w:t>
      </w:r>
      <w:r w:rsidRPr="006053BE">
        <w:rPr>
          <w:rFonts w:asciiTheme="majorBidi" w:hAnsiTheme="majorBidi" w:cstheme="majorBidi"/>
          <w:spacing w:val="-4"/>
        </w:rPr>
        <w:t>第</w:t>
      </w:r>
      <w:r w:rsidRPr="006053BE">
        <w:rPr>
          <w:rFonts w:asciiTheme="majorBidi" w:hAnsiTheme="majorBidi" w:cstheme="majorBidi"/>
          <w:spacing w:val="-4"/>
        </w:rPr>
        <w:t>135</w:t>
      </w:r>
      <w:r w:rsidRPr="006053BE">
        <w:rPr>
          <w:rFonts w:asciiTheme="majorBidi" w:hAnsiTheme="majorBidi" w:cstheme="majorBidi"/>
          <w:spacing w:val="-4"/>
        </w:rPr>
        <w:t>段，并见同上，《第六十九届会议</w:t>
      </w:r>
      <w:r>
        <w:rPr>
          <w:rFonts w:asciiTheme="majorBidi" w:hAnsiTheme="majorBidi" w:cstheme="majorBidi"/>
        </w:rPr>
        <w:t>，</w:t>
      </w:r>
      <w:r w:rsidRPr="00682858">
        <w:rPr>
          <w:rFonts w:asciiTheme="majorBidi" w:hAnsiTheme="majorBidi" w:cstheme="majorBidi"/>
        </w:rPr>
        <w:t>补编第</w:t>
      </w:r>
      <w:r>
        <w:rPr>
          <w:rFonts w:asciiTheme="majorBidi" w:hAnsiTheme="majorBidi" w:cstheme="majorBidi"/>
        </w:rPr>
        <w:t>10</w:t>
      </w:r>
      <w:r w:rsidRPr="00682858">
        <w:rPr>
          <w:rFonts w:asciiTheme="majorBidi" w:hAnsiTheme="majorBidi" w:cstheme="majorBidi"/>
        </w:rPr>
        <w:t>号》</w:t>
      </w:r>
      <w:r>
        <w:rPr>
          <w:rFonts w:asciiTheme="majorBidi" w:hAnsiTheme="majorBidi" w:cstheme="majorBidi"/>
        </w:rPr>
        <w:t>(A/69/10)</w:t>
      </w:r>
      <w:r w:rsidRPr="00682858">
        <w:rPr>
          <w:rFonts w:asciiTheme="majorBidi" w:hAnsiTheme="majorBidi" w:cstheme="majorBidi"/>
        </w:rPr>
        <w:t>第</w:t>
      </w:r>
      <w:r>
        <w:rPr>
          <w:rFonts w:asciiTheme="majorBidi" w:hAnsiTheme="majorBidi" w:cstheme="majorBidi"/>
        </w:rPr>
        <w:t>192</w:t>
      </w:r>
      <w:r w:rsidRPr="00682858">
        <w:rPr>
          <w:rFonts w:asciiTheme="majorBidi" w:hAnsiTheme="majorBidi" w:cstheme="majorBidi"/>
        </w:rPr>
        <w:t>至第</w:t>
      </w:r>
      <w:r>
        <w:rPr>
          <w:rFonts w:asciiTheme="majorBidi" w:hAnsiTheme="majorBidi" w:cstheme="majorBidi"/>
        </w:rPr>
        <w:t>213</w:t>
      </w:r>
      <w:r w:rsidRPr="00682858">
        <w:rPr>
          <w:rFonts w:asciiTheme="majorBidi" w:hAnsiTheme="majorBidi" w:cstheme="majorBidi"/>
        </w:rPr>
        <w:t>段。</w:t>
      </w:r>
    </w:p>
  </w:footnote>
  <w:footnote w:id="1327">
    <w:p w:rsidR="00AB00DE" w:rsidRPr="009E2E6C" w:rsidRDefault="00AB00DE" w:rsidP="006735D4">
      <w:pPr>
        <w:pStyle w:val="a4"/>
        <w:rPr>
          <w:rFonts w:eastAsiaTheme="minorEastAsia"/>
        </w:rPr>
      </w:pPr>
      <w:r>
        <w:tab/>
      </w:r>
      <w:r w:rsidRPr="00681AC8">
        <w:rPr>
          <w:rStyle w:val="a5"/>
        </w:rPr>
        <w:footnoteRef/>
      </w:r>
      <w:r>
        <w:tab/>
      </w:r>
      <w:r>
        <w:rPr>
          <w:rFonts w:eastAsiaTheme="minorEastAsia" w:hint="eastAsia"/>
          <w:color w:val="000000" w:themeColor="text1"/>
        </w:rPr>
        <w:t>应特别报告员的请求，关于术语使用的临时提议被提交起草委员会，提交该款的目的是为了便利讨论。</w:t>
      </w:r>
    </w:p>
  </w:footnote>
  <w:footnote w:id="1328">
    <w:p w:rsidR="00AB00DE" w:rsidRPr="00682858" w:rsidRDefault="00AB00DE" w:rsidP="006735D4">
      <w:pPr>
        <w:pStyle w:val="a4"/>
      </w:pPr>
      <w:r>
        <w:rPr>
          <w:rFonts w:hint="eastAsia"/>
        </w:rPr>
        <w:tab/>
      </w:r>
      <w:r w:rsidRPr="00681AC8">
        <w:rPr>
          <w:rStyle w:val="a5"/>
          <w:rFonts w:cstheme="majorBidi"/>
        </w:rPr>
        <w:footnoteRef/>
      </w:r>
      <w:r w:rsidRPr="00E64449">
        <w:rPr>
          <w:rStyle w:val="a5"/>
          <w:rFonts w:asciiTheme="majorBidi" w:hAnsiTheme="majorBidi"/>
          <w:color w:val="000000" w:themeColor="text1"/>
        </w:rPr>
        <w:tab/>
      </w:r>
      <w:r w:rsidRPr="00682858">
        <w:t>例如</w:t>
      </w:r>
      <w:r>
        <w:t>，</w:t>
      </w:r>
      <w:r w:rsidRPr="00682858">
        <w:t>见</w:t>
      </w:r>
      <w:r>
        <w:t>A/CN</w:t>
      </w:r>
      <w:r w:rsidRPr="00682858">
        <w:t>.</w:t>
      </w:r>
      <w:r>
        <w:t>4/685</w:t>
      </w:r>
      <w:r>
        <w:rPr>
          <w:spacing w:val="-4"/>
        </w:rPr>
        <w:t>，</w:t>
      </w:r>
      <w:r w:rsidRPr="00682858">
        <w:t>第</w:t>
      </w:r>
      <w:r>
        <w:t>18</w:t>
      </w:r>
      <w:r w:rsidRPr="00682858">
        <w:t>段。</w:t>
      </w:r>
    </w:p>
  </w:footnote>
  <w:footnote w:id="1329">
    <w:p w:rsidR="00AB00DE" w:rsidRPr="00682858" w:rsidRDefault="00AB00DE" w:rsidP="006735D4">
      <w:pPr>
        <w:pStyle w:val="a4"/>
      </w:pPr>
      <w:r w:rsidRPr="00682858">
        <w:tab/>
      </w:r>
      <w:r w:rsidRPr="00681AC8">
        <w:rPr>
          <w:rStyle w:val="a5"/>
          <w:rFonts w:cstheme="majorBidi"/>
        </w:rPr>
        <w:footnoteRef/>
      </w:r>
      <w:r w:rsidRPr="00682858">
        <w:tab/>
      </w:r>
      <w:r w:rsidRPr="00682858">
        <w:t>同上</w:t>
      </w:r>
      <w:r>
        <w:t>，</w:t>
      </w:r>
      <w:r w:rsidRPr="00682858">
        <w:t>脚注</w:t>
      </w:r>
      <w:r>
        <w:t>18</w:t>
      </w:r>
      <w:r>
        <w:rPr>
          <w:rFonts w:eastAsiaTheme="minorEastAsia" w:hint="eastAsia"/>
        </w:rPr>
        <w:t>，</w:t>
      </w:r>
      <w:r w:rsidRPr="00682858">
        <w:t>挪威</w:t>
      </w:r>
      <w:r>
        <w:t>(</w:t>
      </w:r>
      <w:r w:rsidRPr="00682858">
        <w:t>代表北欧国家</w:t>
      </w:r>
      <w:r>
        <w:t>)(A/C</w:t>
      </w:r>
      <w:r w:rsidRPr="00682858">
        <w:t>.</w:t>
      </w:r>
      <w:r>
        <w:t>6/69/SR</w:t>
      </w:r>
      <w:r w:rsidRPr="00682858">
        <w:t>.</w:t>
      </w:r>
      <w:r>
        <w:t>25,</w:t>
      </w:r>
      <w:r>
        <w:rPr>
          <w:rFonts w:hint="eastAsia"/>
        </w:rPr>
        <w:t xml:space="preserve"> </w:t>
      </w:r>
      <w:r w:rsidRPr="00682858">
        <w:t>第</w:t>
      </w:r>
      <w:r>
        <w:t>133</w:t>
      </w:r>
      <w:r w:rsidRPr="00682858">
        <w:t>段</w:t>
      </w:r>
      <w:r>
        <w:t>)</w:t>
      </w:r>
      <w:r w:rsidRPr="00682858">
        <w:t>、葡萄牙</w:t>
      </w:r>
      <w:r>
        <w:t>(A/C</w:t>
      </w:r>
      <w:r w:rsidRPr="00682858">
        <w:t>.</w:t>
      </w:r>
      <w:r>
        <w:t>6/69/SR</w:t>
      </w:r>
      <w:r w:rsidRPr="00682858">
        <w:t>.</w:t>
      </w:r>
      <w:r>
        <w:t>26</w:t>
      </w:r>
      <w:r>
        <w:rPr>
          <w:spacing w:val="-4"/>
        </w:rPr>
        <w:t>，</w:t>
      </w:r>
      <w:r w:rsidRPr="00682858">
        <w:t>第</w:t>
      </w:r>
      <w:r>
        <w:t>6</w:t>
      </w:r>
      <w:r w:rsidRPr="00682858">
        <w:t>段</w:t>
      </w:r>
      <w:r>
        <w:t>)</w:t>
      </w:r>
      <w:r w:rsidRPr="00682858">
        <w:t>、新加坡</w:t>
      </w:r>
      <w:r>
        <w:t>(A/C</w:t>
      </w:r>
      <w:r w:rsidRPr="00682858">
        <w:t>.</w:t>
      </w:r>
      <w:r>
        <w:t>6/69/SR</w:t>
      </w:r>
      <w:r w:rsidRPr="00682858">
        <w:t>.</w:t>
      </w:r>
      <w:r>
        <w:t>26,</w:t>
      </w:r>
      <w:r>
        <w:rPr>
          <w:rFonts w:hint="eastAsia"/>
        </w:rPr>
        <w:t xml:space="preserve"> </w:t>
      </w:r>
      <w:r w:rsidRPr="00682858">
        <w:t>第</w:t>
      </w:r>
      <w:r>
        <w:t>66</w:t>
      </w:r>
      <w:r w:rsidRPr="00682858">
        <w:t>段</w:t>
      </w:r>
      <w:r>
        <w:t>)</w:t>
      </w:r>
      <w:r w:rsidRPr="00682858">
        <w:t>、新西兰</w:t>
      </w:r>
      <w:r>
        <w:t>(A/C</w:t>
      </w:r>
      <w:r w:rsidRPr="00682858">
        <w:t>.</w:t>
      </w:r>
      <w:r>
        <w:t>6/69/SR</w:t>
      </w:r>
      <w:r w:rsidRPr="00682858">
        <w:t>.</w:t>
      </w:r>
      <w:r>
        <w:t>27</w:t>
      </w:r>
      <w:r>
        <w:rPr>
          <w:spacing w:val="-4"/>
        </w:rPr>
        <w:t>，</w:t>
      </w:r>
      <w:r w:rsidRPr="00682858">
        <w:t>第</w:t>
      </w:r>
      <w:r>
        <w:t>3</w:t>
      </w:r>
      <w:r w:rsidRPr="00682858">
        <w:t>段</w:t>
      </w:r>
      <w:r>
        <w:t>)</w:t>
      </w:r>
      <w:r w:rsidRPr="00682858">
        <w:t>和印度尼西亚</w:t>
      </w:r>
      <w:r>
        <w:t>(A/C</w:t>
      </w:r>
      <w:r w:rsidRPr="00682858">
        <w:t>.</w:t>
      </w:r>
      <w:r>
        <w:t>6/69/SR</w:t>
      </w:r>
      <w:r w:rsidRPr="00682858">
        <w:t>.</w:t>
      </w:r>
      <w:r>
        <w:t>27</w:t>
      </w:r>
      <w:r>
        <w:rPr>
          <w:spacing w:val="-4"/>
        </w:rPr>
        <w:t>，</w:t>
      </w:r>
      <w:r w:rsidRPr="00682858">
        <w:t>第</w:t>
      </w:r>
      <w:r>
        <w:t>67</w:t>
      </w:r>
      <w:r w:rsidRPr="00682858">
        <w:t>段</w:t>
      </w:r>
      <w:r>
        <w:t>)</w:t>
      </w:r>
      <w:r w:rsidRPr="00682858">
        <w:t>。</w:t>
      </w:r>
    </w:p>
  </w:footnote>
  <w:footnote w:id="1330">
    <w:p w:rsidR="00AB00DE" w:rsidRPr="00682858" w:rsidRDefault="00AB00DE" w:rsidP="006735D4">
      <w:pPr>
        <w:pStyle w:val="a4"/>
      </w:pPr>
      <w:r w:rsidRPr="00682858">
        <w:tab/>
      </w:r>
      <w:r w:rsidRPr="00681AC8">
        <w:rPr>
          <w:rStyle w:val="a5"/>
          <w:rFonts w:cstheme="majorBidi"/>
        </w:rPr>
        <w:footnoteRef/>
      </w:r>
      <w:r w:rsidRPr="00682858">
        <w:tab/>
      </w:r>
      <w:r w:rsidRPr="00682858">
        <w:t>例如</w:t>
      </w:r>
      <w:r>
        <w:t>，</w:t>
      </w:r>
      <w:r w:rsidRPr="00682858">
        <w:t>可能需要在占领期间采取补救措施。</w:t>
      </w:r>
    </w:p>
  </w:footnote>
  <w:footnote w:id="1331">
    <w:p w:rsidR="00AB00DE" w:rsidRPr="00682858" w:rsidRDefault="00AB00DE" w:rsidP="006735D4">
      <w:pPr>
        <w:pStyle w:val="a4"/>
      </w:pPr>
      <w:r>
        <w:rPr>
          <w:rFonts w:hint="eastAsia"/>
        </w:rPr>
        <w:tab/>
      </w:r>
      <w:r w:rsidRPr="00681AC8">
        <w:rPr>
          <w:rStyle w:val="a5"/>
          <w:rFonts w:cstheme="majorBidi"/>
        </w:rPr>
        <w:footnoteRef/>
      </w:r>
      <w:r w:rsidRPr="00682858">
        <w:tab/>
      </w:r>
      <w:r>
        <w:t>A/CN</w:t>
      </w:r>
      <w:r w:rsidRPr="00682858">
        <w:t>.</w:t>
      </w:r>
      <w:r>
        <w:t>4/685</w:t>
      </w:r>
      <w:r>
        <w:rPr>
          <w:spacing w:val="-4"/>
        </w:rPr>
        <w:t>，</w:t>
      </w:r>
      <w:r w:rsidRPr="00682858">
        <w:t>第</w:t>
      </w:r>
      <w:r>
        <w:t>210</w:t>
      </w:r>
      <w:r w:rsidRPr="00682858">
        <w:t>段。</w:t>
      </w:r>
    </w:p>
  </w:footnote>
  <w:footnote w:id="1332">
    <w:p w:rsidR="00AB00DE" w:rsidRPr="00682858" w:rsidRDefault="00AB00DE" w:rsidP="006735D4">
      <w:pPr>
        <w:pStyle w:val="a4"/>
      </w:pPr>
      <w:r w:rsidRPr="00682858">
        <w:tab/>
      </w:r>
      <w:r w:rsidRPr="00681AC8">
        <w:rPr>
          <w:rStyle w:val="a5"/>
          <w:rFonts w:cstheme="majorBidi"/>
        </w:rPr>
        <w:footnoteRef/>
      </w:r>
      <w:r w:rsidRPr="00682858">
        <w:tab/>
      </w:r>
      <w:r w:rsidRPr="00682858">
        <w:t>见</w:t>
      </w:r>
      <w:r w:rsidRPr="00682858">
        <w:rPr>
          <w:spacing w:val="-4"/>
        </w:rPr>
        <w:t>《</w:t>
      </w:r>
      <w:r>
        <w:t>1949</w:t>
      </w:r>
      <w:r w:rsidRPr="00682858">
        <w:t>年</w:t>
      </w:r>
      <w:r>
        <w:t>8</w:t>
      </w:r>
      <w:r w:rsidRPr="00682858">
        <w:t>月</w:t>
      </w:r>
      <w:r>
        <w:t>12</w:t>
      </w:r>
      <w:r w:rsidRPr="00682858">
        <w:t>日</w:t>
      </w:r>
      <w:r w:rsidRPr="00682858">
        <w:rPr>
          <w:spacing w:val="-4"/>
        </w:rPr>
        <w:t>日内瓦四公约关于保护国际性武装冲突受难者的附加议定书》</w:t>
      </w:r>
      <w:r>
        <w:t>(</w:t>
      </w:r>
      <w:r w:rsidRPr="00682858">
        <w:t>第一附加议定书</w:t>
      </w:r>
      <w:r>
        <w:t>)</w:t>
      </w:r>
      <w:r>
        <w:t>，</w:t>
      </w:r>
      <w:r>
        <w:t>1977</w:t>
      </w:r>
      <w:r w:rsidRPr="00682858">
        <w:t>年</w:t>
      </w:r>
      <w:r>
        <w:rPr>
          <w:rFonts w:eastAsiaTheme="minorEastAsia" w:hint="eastAsia"/>
        </w:rPr>
        <w:t>，</w:t>
      </w:r>
      <w:r w:rsidRPr="00682858">
        <w:rPr>
          <w:bCs/>
        </w:rPr>
        <w:t>联合国</w:t>
      </w:r>
      <w:r>
        <w:rPr>
          <w:bCs/>
        </w:rPr>
        <w:t>，</w:t>
      </w:r>
      <w:r w:rsidRPr="00682858">
        <w:rPr>
          <w:bCs/>
        </w:rPr>
        <w:t>《条约汇编》</w:t>
      </w:r>
      <w:r>
        <w:rPr>
          <w:bCs/>
        </w:rPr>
        <w:t>，</w:t>
      </w:r>
      <w:r w:rsidRPr="00682858">
        <w:rPr>
          <w:bCs/>
        </w:rPr>
        <w:t>第</w:t>
      </w:r>
      <w:r>
        <w:rPr>
          <w:bCs/>
        </w:rPr>
        <w:t>1125</w:t>
      </w:r>
      <w:r w:rsidRPr="00682858">
        <w:rPr>
          <w:bCs/>
        </w:rPr>
        <w:t>卷</w:t>
      </w:r>
      <w:r>
        <w:rPr>
          <w:bCs/>
        </w:rPr>
        <w:t>，</w:t>
      </w:r>
      <w:r w:rsidRPr="00682858">
        <w:rPr>
          <w:bCs/>
        </w:rPr>
        <w:t>第</w:t>
      </w:r>
      <w:r>
        <w:rPr>
          <w:bCs/>
        </w:rPr>
        <w:t>17512</w:t>
      </w:r>
      <w:r w:rsidRPr="00682858">
        <w:rPr>
          <w:bCs/>
        </w:rPr>
        <w:t>号</w:t>
      </w:r>
      <w:r w:rsidRPr="00C15615">
        <w:rPr>
          <w:bCs/>
          <w:color w:val="000000" w:themeColor="text1"/>
        </w:rPr>
        <w:t>，第</w:t>
      </w:r>
      <w:r w:rsidRPr="00C15615">
        <w:rPr>
          <w:bCs/>
          <w:color w:val="000000" w:themeColor="text1"/>
        </w:rPr>
        <w:t>3</w:t>
      </w:r>
      <w:r w:rsidRPr="00C15615">
        <w:rPr>
          <w:bCs/>
          <w:color w:val="000000" w:themeColor="text1"/>
        </w:rPr>
        <w:t>页，</w:t>
      </w:r>
      <w:r w:rsidRPr="00682858">
        <w:rPr>
          <w:bCs/>
        </w:rPr>
        <w:t>第六十条</w:t>
      </w:r>
      <w:r w:rsidRPr="00682858">
        <w:t>。</w:t>
      </w:r>
      <w:r w:rsidRPr="00F47AFC">
        <w:rPr>
          <w:spacing w:val="-4"/>
        </w:rPr>
        <w:t>另见</w:t>
      </w:r>
      <w:r w:rsidRPr="005715FC">
        <w:rPr>
          <w:color w:val="000000" w:themeColor="text1"/>
        </w:rPr>
        <w:t>J-M</w:t>
      </w:r>
      <w:r>
        <w:rPr>
          <w:color w:val="000000" w:themeColor="text1"/>
        </w:rPr>
        <w:t>.</w:t>
      </w:r>
      <w:r>
        <w:rPr>
          <w:rFonts w:eastAsiaTheme="minorEastAsia" w:hint="eastAsia"/>
          <w:color w:val="000000" w:themeColor="text1"/>
        </w:rPr>
        <w:t xml:space="preserve"> </w:t>
      </w:r>
      <w:r>
        <w:rPr>
          <w:spacing w:val="-4"/>
        </w:rPr>
        <w:t>Henckaerts</w:t>
      </w:r>
      <w:r w:rsidRPr="00F47AFC">
        <w:rPr>
          <w:spacing w:val="-4"/>
        </w:rPr>
        <w:t>和</w:t>
      </w:r>
      <w:r>
        <w:rPr>
          <w:spacing w:val="-4"/>
        </w:rPr>
        <w:t>Louise</w:t>
      </w:r>
      <w:r w:rsidRPr="00F47AFC">
        <w:rPr>
          <w:spacing w:val="-4"/>
        </w:rPr>
        <w:t xml:space="preserve"> </w:t>
      </w:r>
      <w:r>
        <w:rPr>
          <w:spacing w:val="-4"/>
        </w:rPr>
        <w:t>Doswald</w:t>
      </w:r>
      <w:r w:rsidRPr="00F47AFC">
        <w:rPr>
          <w:spacing w:val="-4"/>
        </w:rPr>
        <w:t>-</w:t>
      </w:r>
      <w:r>
        <w:rPr>
          <w:spacing w:val="-4"/>
        </w:rPr>
        <w:t>Beck</w:t>
      </w:r>
      <w:r w:rsidRPr="00F47AFC">
        <w:rPr>
          <w:spacing w:val="-4"/>
        </w:rPr>
        <w:t>著</w:t>
      </w:r>
      <w:r>
        <w:rPr>
          <w:spacing w:val="-4"/>
        </w:rPr>
        <w:t>，</w:t>
      </w:r>
      <w:r>
        <w:rPr>
          <w:i/>
          <w:iCs/>
          <w:spacing w:val="-4"/>
        </w:rPr>
        <w:t>Customary</w:t>
      </w:r>
      <w:r w:rsidRPr="00F47AFC">
        <w:rPr>
          <w:i/>
          <w:iCs/>
          <w:spacing w:val="-4"/>
        </w:rPr>
        <w:t xml:space="preserve"> </w:t>
      </w:r>
      <w:r>
        <w:rPr>
          <w:i/>
          <w:iCs/>
          <w:spacing w:val="-4"/>
        </w:rPr>
        <w:t>International</w:t>
      </w:r>
      <w:r w:rsidRPr="00F47AFC">
        <w:rPr>
          <w:i/>
          <w:iCs/>
          <w:spacing w:val="-4"/>
        </w:rPr>
        <w:t xml:space="preserve"> </w:t>
      </w:r>
      <w:r>
        <w:rPr>
          <w:i/>
          <w:iCs/>
          <w:spacing w:val="-4"/>
        </w:rPr>
        <w:t>Humanitarian</w:t>
      </w:r>
      <w:r w:rsidRPr="00F47AFC">
        <w:rPr>
          <w:i/>
          <w:iCs/>
          <w:spacing w:val="-4"/>
        </w:rPr>
        <w:t xml:space="preserve"> </w:t>
      </w:r>
      <w:r>
        <w:rPr>
          <w:i/>
          <w:iCs/>
          <w:spacing w:val="-4"/>
        </w:rPr>
        <w:t xml:space="preserve">Law:Rules, </w:t>
      </w:r>
      <w:r>
        <w:rPr>
          <w:spacing w:val="-4"/>
        </w:rPr>
        <w:t>vol</w:t>
      </w:r>
      <w:r w:rsidRPr="00F47AFC">
        <w:rPr>
          <w:spacing w:val="-4"/>
        </w:rPr>
        <w:t xml:space="preserve">. </w:t>
      </w:r>
      <w:r>
        <w:rPr>
          <w:spacing w:val="-4"/>
        </w:rPr>
        <w:t>I(</w:t>
      </w:r>
      <w:r w:rsidRPr="00F47AFC">
        <w:rPr>
          <w:spacing w:val="-4"/>
        </w:rPr>
        <w:t>剑桥</w:t>
      </w:r>
      <w:r>
        <w:rPr>
          <w:spacing w:val="-4"/>
        </w:rPr>
        <w:t>：</w:t>
      </w:r>
      <w:r w:rsidRPr="00F47AFC">
        <w:rPr>
          <w:spacing w:val="-4"/>
        </w:rPr>
        <w:t>剑桥大学出版社</w:t>
      </w:r>
      <w:r>
        <w:rPr>
          <w:spacing w:val="-4"/>
        </w:rPr>
        <w:t>，</w:t>
      </w:r>
      <w:r>
        <w:rPr>
          <w:spacing w:val="-4"/>
        </w:rPr>
        <w:t>2005</w:t>
      </w:r>
      <w:r w:rsidRPr="00F47AFC">
        <w:rPr>
          <w:spacing w:val="-4"/>
        </w:rPr>
        <w:t>年</w:t>
      </w:r>
      <w:r>
        <w:rPr>
          <w:spacing w:val="-4"/>
        </w:rPr>
        <w:t>)</w:t>
      </w:r>
      <w:r>
        <w:rPr>
          <w:spacing w:val="-4"/>
        </w:rPr>
        <w:t>，</w:t>
      </w:r>
      <w:r w:rsidRPr="00F47AFC">
        <w:rPr>
          <w:spacing w:val="-4"/>
        </w:rPr>
        <w:t>第</w:t>
      </w:r>
      <w:r>
        <w:rPr>
          <w:spacing w:val="-4"/>
        </w:rPr>
        <w:t>120</w:t>
      </w:r>
      <w:r w:rsidRPr="00F47AFC">
        <w:rPr>
          <w:spacing w:val="-4"/>
        </w:rPr>
        <w:t>页</w:t>
      </w:r>
      <w:r>
        <w:rPr>
          <w:rFonts w:eastAsiaTheme="minorEastAsia" w:hint="eastAsia"/>
          <w:spacing w:val="-4"/>
        </w:rPr>
        <w:t>。</w:t>
      </w:r>
      <w:r>
        <w:rPr>
          <w:spacing w:val="-4"/>
        </w:rPr>
        <w:t>红十字委员会</w:t>
      </w:r>
      <w:r w:rsidRPr="00F47AFC">
        <w:rPr>
          <w:spacing w:val="-4"/>
        </w:rPr>
        <w:t>关于习惯国际法的研究报告认为</w:t>
      </w:r>
      <w:r>
        <w:rPr>
          <w:spacing w:val="-4"/>
        </w:rPr>
        <w:t>，</w:t>
      </w:r>
      <w:r w:rsidRPr="00F47AFC">
        <w:rPr>
          <w:spacing w:val="-4"/>
        </w:rPr>
        <w:t>这构成习惯国际法下的一条规则</w:t>
      </w:r>
      <w:r>
        <w:rPr>
          <w:spacing w:val="-4"/>
        </w:rPr>
        <w:t>，</w:t>
      </w:r>
      <w:r w:rsidRPr="00F47AFC">
        <w:rPr>
          <w:spacing w:val="-4"/>
        </w:rPr>
        <w:t>对国际和非国际武装冲突均适用</w:t>
      </w:r>
      <w:r w:rsidRPr="00682858">
        <w:t>。</w:t>
      </w:r>
    </w:p>
  </w:footnote>
  <w:footnote w:id="1333">
    <w:p w:rsidR="00AB00DE" w:rsidRPr="00682858" w:rsidRDefault="00AB00DE" w:rsidP="006735D4">
      <w:pPr>
        <w:pStyle w:val="a4"/>
        <w:rPr>
          <w:i/>
          <w:iCs/>
        </w:rPr>
      </w:pPr>
      <w:r w:rsidRPr="00682858">
        <w:tab/>
      </w:r>
      <w:r w:rsidRPr="00681AC8">
        <w:rPr>
          <w:rStyle w:val="a5"/>
          <w:rFonts w:cstheme="majorBidi"/>
        </w:rPr>
        <w:footnoteRef/>
      </w:r>
      <w:r w:rsidRPr="00682858">
        <w:tab/>
      </w:r>
      <w:r w:rsidRPr="00682858">
        <w:t>例如</w:t>
      </w:r>
      <w:r>
        <w:t>，</w:t>
      </w:r>
      <w:r w:rsidRPr="00682858">
        <w:t>见《南极条约》</w:t>
      </w:r>
      <w:r>
        <w:t>，</w:t>
      </w:r>
      <w:r>
        <w:t>1959</w:t>
      </w:r>
      <w:r w:rsidRPr="00682858">
        <w:t>年</w:t>
      </w:r>
      <w:r>
        <w:t>12</w:t>
      </w:r>
      <w:r w:rsidRPr="00682858">
        <w:t>月</w:t>
      </w:r>
      <w:r>
        <w:t>1</w:t>
      </w:r>
      <w:r w:rsidRPr="00682858">
        <w:t>日订于华盛顿</w:t>
      </w:r>
      <w:r>
        <w:t>(</w:t>
      </w:r>
      <w:r w:rsidRPr="00682858">
        <w:rPr>
          <w:bCs/>
        </w:rPr>
        <w:t>联合国</w:t>
      </w:r>
      <w:r>
        <w:rPr>
          <w:bCs/>
        </w:rPr>
        <w:t>，</w:t>
      </w:r>
      <w:r w:rsidRPr="00682858">
        <w:rPr>
          <w:bCs/>
        </w:rPr>
        <w:t>《条约汇编》</w:t>
      </w:r>
      <w:r>
        <w:rPr>
          <w:bCs/>
        </w:rPr>
        <w:t>，</w:t>
      </w:r>
      <w:r w:rsidRPr="00682858">
        <w:rPr>
          <w:bCs/>
        </w:rPr>
        <w:t>第</w:t>
      </w:r>
      <w:r>
        <w:rPr>
          <w:bCs/>
        </w:rPr>
        <w:t>402</w:t>
      </w:r>
      <w:r w:rsidRPr="00682858">
        <w:rPr>
          <w:bCs/>
        </w:rPr>
        <w:t>卷</w:t>
      </w:r>
      <w:r>
        <w:rPr>
          <w:bCs/>
        </w:rPr>
        <w:t>，</w:t>
      </w:r>
      <w:r w:rsidRPr="00682858">
        <w:rPr>
          <w:bCs/>
        </w:rPr>
        <w:t>第</w:t>
      </w:r>
      <w:r>
        <w:rPr>
          <w:bCs/>
        </w:rPr>
        <w:t>5778</w:t>
      </w:r>
      <w:r w:rsidRPr="00682858">
        <w:rPr>
          <w:bCs/>
        </w:rPr>
        <w:t>号</w:t>
      </w:r>
      <w:r>
        <w:rPr>
          <w:bCs/>
        </w:rPr>
        <w:t>)</w:t>
      </w:r>
      <w:r>
        <w:rPr>
          <w:bCs/>
        </w:rPr>
        <w:t>，</w:t>
      </w:r>
      <w:r w:rsidRPr="00682858">
        <w:rPr>
          <w:bCs/>
        </w:rPr>
        <w:t>第一条</w:t>
      </w:r>
      <w:r w:rsidRPr="00682858">
        <w:t>。例如</w:t>
      </w:r>
      <w:r>
        <w:t>，</w:t>
      </w:r>
      <w:r w:rsidRPr="00682858">
        <w:t>见</w:t>
      </w:r>
      <w:r>
        <w:rPr>
          <w:spacing w:val="-4"/>
        </w:rPr>
        <w:t>M</w:t>
      </w:r>
      <w:r>
        <w:rPr>
          <w:rFonts w:eastAsiaTheme="minorEastAsia" w:hint="eastAsia"/>
          <w:spacing w:val="-4"/>
        </w:rPr>
        <w:t>.</w:t>
      </w:r>
      <w:r w:rsidRPr="00682858">
        <w:t xml:space="preserve"> </w:t>
      </w:r>
      <w:r>
        <w:t>Bj</w:t>
      </w:r>
      <w:r w:rsidRPr="00682858">
        <w:t>ö</w:t>
      </w:r>
      <w:r>
        <w:t>rklund</w:t>
      </w:r>
      <w:r w:rsidRPr="00682858">
        <w:t>和</w:t>
      </w:r>
      <w:r>
        <w:t>A</w:t>
      </w:r>
      <w:r>
        <w:rPr>
          <w:rFonts w:eastAsiaTheme="minorEastAsia" w:hint="eastAsia"/>
        </w:rPr>
        <w:t xml:space="preserve">. </w:t>
      </w:r>
      <w:r>
        <w:t>Rosas</w:t>
      </w:r>
      <w:r w:rsidRPr="00682858">
        <w:t>著</w:t>
      </w:r>
      <w:r w:rsidRPr="00682858">
        <w:rPr>
          <w:i/>
          <w:iCs/>
        </w:rPr>
        <w:t>Å</w:t>
      </w:r>
      <w:r>
        <w:rPr>
          <w:i/>
          <w:iCs/>
        </w:rPr>
        <w:t>lands</w:t>
      </w:r>
      <w:r w:rsidRPr="00682858">
        <w:rPr>
          <w:i/>
          <w:iCs/>
        </w:rPr>
        <w:t>ö</w:t>
      </w:r>
      <w:r>
        <w:rPr>
          <w:i/>
          <w:iCs/>
        </w:rPr>
        <w:t>arnas</w:t>
      </w:r>
      <w:r w:rsidRPr="00682858">
        <w:rPr>
          <w:i/>
          <w:iCs/>
        </w:rPr>
        <w:t xml:space="preserve"> </w:t>
      </w:r>
      <w:r>
        <w:rPr>
          <w:i/>
          <w:iCs/>
        </w:rPr>
        <w:t>Demilitarisering</w:t>
      </w:r>
      <w:r w:rsidRPr="00682858">
        <w:rPr>
          <w:i/>
          <w:iCs/>
        </w:rPr>
        <w:t xml:space="preserve"> </w:t>
      </w:r>
      <w:r>
        <w:rPr>
          <w:i/>
          <w:iCs/>
        </w:rPr>
        <w:t>och</w:t>
      </w:r>
      <w:r w:rsidRPr="00682858">
        <w:rPr>
          <w:i/>
          <w:iCs/>
        </w:rPr>
        <w:t xml:space="preserve"> </w:t>
      </w:r>
      <w:r>
        <w:rPr>
          <w:i/>
          <w:iCs/>
        </w:rPr>
        <w:t>Neutralisering</w:t>
      </w:r>
      <w:r w:rsidRPr="00682858">
        <w:rPr>
          <w:i/>
          <w:iCs/>
        </w:rPr>
        <w:t xml:space="preserve"> </w:t>
      </w:r>
      <w:r>
        <w:t>(</w:t>
      </w:r>
      <w:r w:rsidRPr="00682858">
        <w:t>奥布</w:t>
      </w:r>
      <w:r>
        <w:t>：</w:t>
      </w:r>
      <w:r w:rsidRPr="00682858">
        <w:t>奥布大学出版社</w:t>
      </w:r>
      <w:r>
        <w:t>，</w:t>
      </w:r>
      <w:r>
        <w:t>1990</w:t>
      </w:r>
      <w:r w:rsidRPr="00682858">
        <w:t>年</w:t>
      </w:r>
      <w:r>
        <w:t>)</w:t>
      </w:r>
      <w:r w:rsidRPr="00682858">
        <w:t>中的定义。奥兰群岛既是非军事区</w:t>
      </w:r>
      <w:r>
        <w:t>，</w:t>
      </w:r>
      <w:r w:rsidRPr="00682858">
        <w:t>又是中立区。</w:t>
      </w:r>
      <w:r>
        <w:t>Bj</w:t>
      </w:r>
      <w:r w:rsidRPr="00682858">
        <w:t>ö</w:t>
      </w:r>
      <w:r>
        <w:t>rklund</w:t>
      </w:r>
      <w:r w:rsidRPr="00682858">
        <w:t>和</w:t>
      </w:r>
      <w:r>
        <w:t>Rosas</w:t>
      </w:r>
      <w:r w:rsidRPr="00682858">
        <w:t>和还列举了斯匹次卑尔根、南极洲和麦哲伦海峡等中立区</w:t>
      </w:r>
      <w:r>
        <w:t>(</w:t>
      </w:r>
      <w:r w:rsidRPr="00682858">
        <w:t>见第</w:t>
      </w:r>
      <w:r>
        <w:t>17</w:t>
      </w:r>
      <w:r w:rsidRPr="00682858">
        <w:t>页</w:t>
      </w:r>
      <w:r>
        <w:t>)</w:t>
      </w:r>
      <w:r w:rsidRPr="00682858">
        <w:t>。另见</w:t>
      </w:r>
      <w:r>
        <w:t>L</w:t>
      </w:r>
      <w:r>
        <w:rPr>
          <w:rFonts w:eastAsiaTheme="minorEastAsia" w:hint="eastAsia"/>
        </w:rPr>
        <w:t>.</w:t>
      </w:r>
      <w:r w:rsidRPr="00682858">
        <w:t xml:space="preserve"> </w:t>
      </w:r>
      <w:r>
        <w:t>Hannikainen</w:t>
      </w:r>
      <w:r w:rsidRPr="00682858">
        <w:t>著</w:t>
      </w:r>
      <w:r>
        <w:t>，</w:t>
      </w:r>
      <w:r>
        <w:rPr>
          <w:rFonts w:hint="eastAsia"/>
        </w:rPr>
        <w:t>“</w:t>
      </w:r>
      <w:r>
        <w:t>The</w:t>
      </w:r>
      <w:r w:rsidRPr="00682858">
        <w:t xml:space="preserve"> </w:t>
      </w:r>
      <w:r>
        <w:t>Continued</w:t>
      </w:r>
      <w:r w:rsidRPr="00682858">
        <w:t xml:space="preserve"> </w:t>
      </w:r>
      <w:r>
        <w:t>Validity</w:t>
      </w:r>
      <w:r w:rsidRPr="00682858">
        <w:t xml:space="preserve"> </w:t>
      </w:r>
      <w:r>
        <w:t>of</w:t>
      </w:r>
      <w:r w:rsidRPr="00682858">
        <w:t xml:space="preserve"> </w:t>
      </w:r>
      <w:r>
        <w:t>the</w:t>
      </w:r>
      <w:r w:rsidRPr="00682858">
        <w:t xml:space="preserve"> </w:t>
      </w:r>
      <w:r>
        <w:t>Demilitarized</w:t>
      </w:r>
      <w:r w:rsidRPr="00682858">
        <w:t xml:space="preserve"> </w:t>
      </w:r>
      <w:r>
        <w:t>and</w:t>
      </w:r>
      <w:r w:rsidRPr="00682858">
        <w:t xml:space="preserve"> </w:t>
      </w:r>
      <w:r>
        <w:t>Neutralized</w:t>
      </w:r>
      <w:r w:rsidRPr="00682858">
        <w:t xml:space="preserve"> </w:t>
      </w:r>
      <w:r>
        <w:t>Status</w:t>
      </w:r>
      <w:r w:rsidRPr="00682858">
        <w:t xml:space="preserve"> </w:t>
      </w:r>
      <w:r>
        <w:t>of</w:t>
      </w:r>
      <w:r w:rsidRPr="00682858">
        <w:t xml:space="preserve"> </w:t>
      </w:r>
      <w:r>
        <w:t>the</w:t>
      </w:r>
      <w:r w:rsidRPr="00682858">
        <w:t xml:space="preserve"> Å</w:t>
      </w:r>
      <w:r>
        <w:t>land</w:t>
      </w:r>
      <w:r w:rsidRPr="00682858">
        <w:t xml:space="preserve"> </w:t>
      </w:r>
      <w:r>
        <w:t>Islands</w:t>
      </w:r>
      <w:r>
        <w:rPr>
          <w:rFonts w:hint="eastAsia"/>
        </w:rPr>
        <w:t>”</w:t>
      </w:r>
      <w:r>
        <w:rPr>
          <w:i/>
          <w:iCs/>
        </w:rPr>
        <w:t>Zeitschrift</w:t>
      </w:r>
      <w:r w:rsidRPr="00682858">
        <w:rPr>
          <w:i/>
          <w:iCs/>
        </w:rPr>
        <w:t xml:space="preserve"> </w:t>
      </w:r>
      <w:r>
        <w:rPr>
          <w:i/>
          <w:iCs/>
        </w:rPr>
        <w:t>f</w:t>
      </w:r>
      <w:r w:rsidRPr="00682858">
        <w:rPr>
          <w:i/>
          <w:iCs/>
        </w:rPr>
        <w:t>ű</w:t>
      </w:r>
      <w:r>
        <w:rPr>
          <w:i/>
          <w:iCs/>
        </w:rPr>
        <w:t>r</w:t>
      </w:r>
      <w:r w:rsidRPr="00682858">
        <w:rPr>
          <w:i/>
          <w:iCs/>
        </w:rPr>
        <w:t xml:space="preserve"> </w:t>
      </w:r>
      <w:r>
        <w:rPr>
          <w:i/>
          <w:iCs/>
        </w:rPr>
        <w:t>ausl</w:t>
      </w:r>
      <w:r w:rsidRPr="00682858">
        <w:rPr>
          <w:i/>
          <w:iCs/>
        </w:rPr>
        <w:t>ä</w:t>
      </w:r>
      <w:r>
        <w:rPr>
          <w:i/>
          <w:iCs/>
        </w:rPr>
        <w:t>ndisches</w:t>
      </w:r>
      <w:r w:rsidRPr="00682858">
        <w:rPr>
          <w:i/>
          <w:iCs/>
        </w:rPr>
        <w:t xml:space="preserve"> ö</w:t>
      </w:r>
      <w:r>
        <w:rPr>
          <w:i/>
          <w:iCs/>
        </w:rPr>
        <w:t>ffentliches</w:t>
      </w:r>
      <w:r w:rsidRPr="00682858">
        <w:rPr>
          <w:i/>
          <w:iCs/>
        </w:rPr>
        <w:t xml:space="preserve"> </w:t>
      </w:r>
      <w:r>
        <w:rPr>
          <w:i/>
          <w:iCs/>
        </w:rPr>
        <w:t>Recht</w:t>
      </w:r>
      <w:r w:rsidRPr="00682858">
        <w:rPr>
          <w:i/>
          <w:iCs/>
        </w:rPr>
        <w:t xml:space="preserve"> </w:t>
      </w:r>
      <w:r>
        <w:rPr>
          <w:i/>
          <w:iCs/>
        </w:rPr>
        <w:t>und</w:t>
      </w:r>
      <w:r w:rsidRPr="00682858">
        <w:rPr>
          <w:i/>
          <w:iCs/>
        </w:rPr>
        <w:t xml:space="preserve"> </w:t>
      </w:r>
      <w:r>
        <w:rPr>
          <w:i/>
          <w:iCs/>
        </w:rPr>
        <w:t>V</w:t>
      </w:r>
      <w:r w:rsidRPr="00682858">
        <w:rPr>
          <w:i/>
          <w:iCs/>
        </w:rPr>
        <w:t>ö</w:t>
      </w:r>
      <w:r>
        <w:rPr>
          <w:i/>
          <w:iCs/>
        </w:rPr>
        <w:t xml:space="preserve">lkerrecht, </w:t>
      </w:r>
      <w:r w:rsidRPr="00682858">
        <w:rPr>
          <w:iCs/>
        </w:rPr>
        <w:t>第</w:t>
      </w:r>
      <w:r>
        <w:rPr>
          <w:iCs/>
        </w:rPr>
        <w:t>54</w:t>
      </w:r>
      <w:r w:rsidRPr="00682858">
        <w:rPr>
          <w:iCs/>
        </w:rPr>
        <w:t>卷</w:t>
      </w:r>
      <w:r>
        <w:rPr>
          <w:iCs/>
        </w:rPr>
        <w:t>(1994</w:t>
      </w:r>
      <w:r w:rsidRPr="00682858">
        <w:rPr>
          <w:iCs/>
        </w:rPr>
        <w:t>年</w:t>
      </w:r>
      <w:r>
        <w:rPr>
          <w:iCs/>
        </w:rPr>
        <w:t>)</w:t>
      </w:r>
      <w:r>
        <w:rPr>
          <w:iCs/>
        </w:rPr>
        <w:t>，</w:t>
      </w:r>
      <w:r w:rsidRPr="00682858">
        <w:t>第</w:t>
      </w:r>
      <w:r>
        <w:t>616</w:t>
      </w:r>
      <w:r w:rsidRPr="00682858">
        <w:t>页。</w:t>
      </w:r>
    </w:p>
  </w:footnote>
  <w:footnote w:id="1334">
    <w:p w:rsidR="00AB00DE" w:rsidRPr="00682858" w:rsidRDefault="00AB00DE" w:rsidP="006735D4">
      <w:pPr>
        <w:pStyle w:val="a4"/>
      </w:pPr>
      <w:r w:rsidRPr="00682858">
        <w:tab/>
      </w:r>
      <w:r w:rsidRPr="00681AC8">
        <w:rPr>
          <w:rStyle w:val="a5"/>
          <w:rFonts w:cstheme="majorBidi"/>
        </w:rPr>
        <w:footnoteRef/>
      </w:r>
      <w:r w:rsidRPr="00682858">
        <w:tab/>
      </w:r>
      <w:r w:rsidRPr="00682858">
        <w:rPr>
          <w:iCs/>
        </w:rPr>
        <w:t>同上。</w:t>
      </w:r>
    </w:p>
  </w:footnote>
  <w:footnote w:id="1335">
    <w:p w:rsidR="00AB00DE" w:rsidRPr="00682858" w:rsidRDefault="00AB00DE" w:rsidP="006735D4">
      <w:pPr>
        <w:pStyle w:val="a4"/>
      </w:pPr>
      <w:r w:rsidRPr="00682858">
        <w:tab/>
      </w:r>
      <w:r w:rsidRPr="00681AC8">
        <w:rPr>
          <w:rStyle w:val="a5"/>
          <w:rFonts w:cstheme="majorBidi"/>
        </w:rPr>
        <w:footnoteRef/>
      </w:r>
      <w:r w:rsidRPr="00682858">
        <w:tab/>
      </w:r>
      <w:r w:rsidRPr="00682858">
        <w:t>见</w:t>
      </w:r>
      <w:r>
        <w:t>A/CN</w:t>
      </w:r>
      <w:r w:rsidRPr="00682858">
        <w:t>.</w:t>
      </w:r>
      <w:r>
        <w:t>4/685,</w:t>
      </w:r>
      <w:r>
        <w:rPr>
          <w:rFonts w:hint="eastAsia"/>
        </w:rPr>
        <w:t xml:space="preserve"> </w:t>
      </w:r>
      <w:r w:rsidRPr="00682858">
        <w:t>第</w:t>
      </w:r>
      <w:r>
        <w:t>225</w:t>
      </w:r>
      <w:r w:rsidRPr="00682858">
        <w:t>段。另见</w:t>
      </w:r>
      <w:r>
        <w:t>C</w:t>
      </w:r>
      <w:r>
        <w:rPr>
          <w:rFonts w:eastAsiaTheme="minorEastAsia" w:hint="eastAsia"/>
        </w:rPr>
        <w:t>.</w:t>
      </w:r>
      <w:r w:rsidRPr="00682858">
        <w:t xml:space="preserve"> </w:t>
      </w:r>
      <w:r>
        <w:t>Droege</w:t>
      </w:r>
      <w:r w:rsidRPr="00682858">
        <w:t xml:space="preserve"> </w:t>
      </w:r>
      <w:r w:rsidRPr="00682858">
        <w:t>和</w:t>
      </w:r>
      <w:r w:rsidRPr="005715FC">
        <w:rPr>
          <w:color w:val="000000" w:themeColor="text1"/>
        </w:rPr>
        <w:t>M</w:t>
      </w:r>
      <w:r>
        <w:rPr>
          <w:color w:val="000000" w:themeColor="text1"/>
        </w:rPr>
        <w:t>.</w:t>
      </w:r>
      <w:r w:rsidRPr="005715FC">
        <w:rPr>
          <w:color w:val="000000" w:themeColor="text1"/>
        </w:rPr>
        <w:t>-L</w:t>
      </w:r>
      <w:r>
        <w:rPr>
          <w:color w:val="000000" w:themeColor="text1"/>
        </w:rPr>
        <w:t>.</w:t>
      </w:r>
      <w:r w:rsidRPr="005715FC">
        <w:rPr>
          <w:color w:val="000000" w:themeColor="text1"/>
        </w:rPr>
        <w:t xml:space="preserve"> </w:t>
      </w:r>
      <w:r>
        <w:t>Tougas</w:t>
      </w:r>
      <w:r w:rsidRPr="00682858">
        <w:t>著</w:t>
      </w:r>
      <w:r>
        <w:t>，</w:t>
      </w:r>
      <w:r>
        <w:rPr>
          <w:rFonts w:hint="eastAsia"/>
        </w:rPr>
        <w:t>“</w:t>
      </w:r>
      <w:r>
        <w:t>The</w:t>
      </w:r>
      <w:r w:rsidRPr="00682858">
        <w:t xml:space="preserve"> </w:t>
      </w:r>
      <w:r>
        <w:t>Protection</w:t>
      </w:r>
      <w:r w:rsidRPr="00682858">
        <w:t xml:space="preserve"> </w:t>
      </w:r>
      <w:r>
        <w:t>of</w:t>
      </w:r>
      <w:r w:rsidRPr="00682858">
        <w:t xml:space="preserve"> </w:t>
      </w:r>
      <w:r>
        <w:t>the</w:t>
      </w:r>
      <w:r w:rsidRPr="00072EFA">
        <w:t xml:space="preserve"> </w:t>
      </w:r>
      <w:r>
        <w:t>Natural</w:t>
      </w:r>
      <w:r w:rsidRPr="00072EFA">
        <w:t xml:space="preserve"> </w:t>
      </w:r>
      <w:r>
        <w:t>Environment</w:t>
      </w:r>
      <w:r w:rsidRPr="00072EFA">
        <w:t xml:space="preserve"> </w:t>
      </w:r>
      <w:r>
        <w:t>in</w:t>
      </w:r>
      <w:r w:rsidRPr="00072EFA">
        <w:t xml:space="preserve"> </w:t>
      </w:r>
      <w:r>
        <w:t>Armed</w:t>
      </w:r>
      <w:r w:rsidRPr="00072EFA">
        <w:t xml:space="preserve"> </w:t>
      </w:r>
      <w:r>
        <w:t>Conflict</w:t>
      </w:r>
      <w:r w:rsidRPr="007B3AA5">
        <w:rPr>
          <w:spacing w:val="-40"/>
        </w:rPr>
        <w:t xml:space="preserve">―― </w:t>
      </w:r>
      <w:r>
        <w:rPr>
          <w:rStyle w:val="SingleTxtGCChar"/>
          <w:rFonts w:asciiTheme="majorBidi" w:hAnsiTheme="majorBidi" w:cstheme="majorBidi"/>
        </w:rPr>
        <w:t>E</w:t>
      </w:r>
      <w:r>
        <w:t>xisting</w:t>
      </w:r>
      <w:r w:rsidRPr="00072EFA">
        <w:t xml:space="preserve"> </w:t>
      </w:r>
      <w:r>
        <w:t>Rules</w:t>
      </w:r>
      <w:r w:rsidRPr="00072EFA">
        <w:t xml:space="preserve"> </w:t>
      </w:r>
      <w:r>
        <w:rPr>
          <w:spacing w:val="-4"/>
        </w:rPr>
        <w:t>and</w:t>
      </w:r>
      <w:r w:rsidRPr="00072EFA">
        <w:t xml:space="preserve"> </w:t>
      </w:r>
      <w:r>
        <w:t>Need</w:t>
      </w:r>
      <w:r w:rsidRPr="00072EFA">
        <w:t xml:space="preserve"> </w:t>
      </w:r>
      <w:r>
        <w:t>for</w:t>
      </w:r>
      <w:r w:rsidRPr="00072EFA">
        <w:t xml:space="preserve"> </w:t>
      </w:r>
      <w:r>
        <w:t>Further</w:t>
      </w:r>
      <w:r w:rsidRPr="00072EFA">
        <w:t xml:space="preserve"> </w:t>
      </w:r>
      <w:r>
        <w:t>Legal</w:t>
      </w:r>
      <w:r w:rsidRPr="00072EFA">
        <w:t xml:space="preserve"> </w:t>
      </w:r>
      <w:r>
        <w:t>Protection</w:t>
      </w:r>
      <w:r>
        <w:rPr>
          <w:rFonts w:hint="eastAsia"/>
        </w:rPr>
        <w:t>”</w:t>
      </w:r>
      <w:r>
        <w:t>，</w:t>
      </w:r>
      <w:r w:rsidRPr="00682858">
        <w:t>《北欧国际法杂志》</w:t>
      </w:r>
      <w:r>
        <w:rPr>
          <w:iCs/>
        </w:rPr>
        <w:t>，</w:t>
      </w:r>
      <w:r w:rsidRPr="00682858">
        <w:rPr>
          <w:iCs/>
        </w:rPr>
        <w:t>第</w:t>
      </w:r>
      <w:r>
        <w:rPr>
          <w:iCs/>
        </w:rPr>
        <w:t>82</w:t>
      </w:r>
      <w:r w:rsidRPr="00682858">
        <w:rPr>
          <w:iCs/>
        </w:rPr>
        <w:t>卷</w:t>
      </w:r>
      <w:r>
        <w:rPr>
          <w:iCs/>
        </w:rPr>
        <w:t>(2013</w:t>
      </w:r>
      <w:r w:rsidRPr="00682858">
        <w:rPr>
          <w:iCs/>
        </w:rPr>
        <w:t>年</w:t>
      </w:r>
      <w:r>
        <w:rPr>
          <w:iCs/>
        </w:rPr>
        <w:t>)</w:t>
      </w:r>
      <w:r>
        <w:rPr>
          <w:iCs/>
        </w:rPr>
        <w:t>，</w:t>
      </w:r>
      <w:r w:rsidRPr="00682858">
        <w:rPr>
          <w:iCs/>
        </w:rPr>
        <w:t>第</w:t>
      </w:r>
      <w:r>
        <w:rPr>
          <w:iCs/>
        </w:rPr>
        <w:t>43</w:t>
      </w:r>
      <w:r w:rsidRPr="00682858">
        <w:rPr>
          <w:iCs/>
        </w:rPr>
        <w:t>页。</w:t>
      </w:r>
    </w:p>
  </w:footnote>
  <w:footnote w:id="1336">
    <w:p w:rsidR="00AB00DE" w:rsidRPr="00DE50E6" w:rsidRDefault="00AB00DE" w:rsidP="006735D4">
      <w:pPr>
        <w:pStyle w:val="a4"/>
        <w:rPr>
          <w:spacing w:val="-2"/>
        </w:rPr>
      </w:pPr>
      <w:r w:rsidRPr="00682858">
        <w:tab/>
      </w:r>
      <w:r w:rsidRPr="00681AC8">
        <w:rPr>
          <w:rStyle w:val="a5"/>
          <w:rFonts w:cstheme="majorBidi"/>
        </w:rPr>
        <w:footnoteRef/>
      </w:r>
      <w:r w:rsidRPr="00682858">
        <w:tab/>
      </w:r>
      <w:r w:rsidRPr="00DE50E6">
        <w:rPr>
          <w:spacing w:val="-2"/>
        </w:rPr>
        <w:t>会议第三委员会工作组提出了一项提案，即条款草案</w:t>
      </w:r>
      <w:r w:rsidRPr="00DE50E6">
        <w:rPr>
          <w:spacing w:val="-2"/>
        </w:rPr>
        <w:t>48</w:t>
      </w:r>
      <w:r w:rsidRPr="00DE50E6">
        <w:rPr>
          <w:spacing w:val="-2"/>
        </w:rPr>
        <w:t>之三，其中规定</w:t>
      </w:r>
      <w:r w:rsidRPr="00DE50E6">
        <w:rPr>
          <w:rFonts w:hint="eastAsia"/>
          <w:spacing w:val="-2"/>
        </w:rPr>
        <w:t>“</w:t>
      </w:r>
      <w:r w:rsidRPr="00DE50E6">
        <w:rPr>
          <w:spacing w:val="-2"/>
        </w:rPr>
        <w:t>向对方宣布了的具有适当标记和界线的公认自然保护区应受保护和尊重，除非这种保护区被专用于军事目的</w:t>
      </w:r>
      <w:r w:rsidRPr="00DE50E6">
        <w:rPr>
          <w:rFonts w:hint="eastAsia"/>
          <w:spacing w:val="-2"/>
        </w:rPr>
        <w:t>”</w:t>
      </w:r>
      <w:r w:rsidRPr="00DE50E6">
        <w:rPr>
          <w:spacing w:val="-2"/>
        </w:rPr>
        <w:t>。见</w:t>
      </w:r>
      <w:r w:rsidRPr="00DE50E6">
        <w:rPr>
          <w:spacing w:val="-2"/>
        </w:rPr>
        <w:t>C</w:t>
      </w:r>
      <w:r w:rsidRPr="00DE50E6">
        <w:rPr>
          <w:rFonts w:eastAsiaTheme="minorEastAsia" w:hint="eastAsia"/>
          <w:spacing w:val="-2"/>
        </w:rPr>
        <w:t>.</w:t>
      </w:r>
      <w:r w:rsidRPr="00DE50E6">
        <w:rPr>
          <w:spacing w:val="-2"/>
        </w:rPr>
        <w:t xml:space="preserve"> Pilloud</w:t>
      </w:r>
      <w:r w:rsidRPr="00DE50E6">
        <w:rPr>
          <w:spacing w:val="-2"/>
        </w:rPr>
        <w:t>和</w:t>
      </w:r>
      <w:r w:rsidRPr="00DE50E6">
        <w:rPr>
          <w:spacing w:val="-2"/>
        </w:rPr>
        <w:t>J</w:t>
      </w:r>
      <w:r w:rsidRPr="00DE50E6">
        <w:rPr>
          <w:rFonts w:eastAsiaTheme="minorEastAsia" w:hint="eastAsia"/>
          <w:spacing w:val="-2"/>
        </w:rPr>
        <w:t>.</w:t>
      </w:r>
      <w:r w:rsidRPr="00DE50E6">
        <w:rPr>
          <w:spacing w:val="-2"/>
        </w:rPr>
        <w:t xml:space="preserve"> Pictet</w:t>
      </w:r>
      <w:r w:rsidRPr="00DE50E6">
        <w:rPr>
          <w:spacing w:val="-2"/>
        </w:rPr>
        <w:t>著，</w:t>
      </w:r>
      <w:r w:rsidRPr="00DE50E6">
        <w:rPr>
          <w:rFonts w:hint="eastAsia"/>
          <w:spacing w:val="-2"/>
        </w:rPr>
        <w:t>“</w:t>
      </w:r>
      <w:r w:rsidRPr="00DE50E6">
        <w:rPr>
          <w:rFonts w:eastAsiaTheme="minorEastAsia" w:hint="eastAsia"/>
          <w:spacing w:val="-2"/>
        </w:rPr>
        <w:t>第五十五条：对自然环境的保护</w:t>
      </w:r>
      <w:r w:rsidRPr="00DE50E6">
        <w:rPr>
          <w:rFonts w:hint="eastAsia"/>
          <w:spacing w:val="-2"/>
        </w:rPr>
        <w:t>”</w:t>
      </w:r>
      <w:r w:rsidRPr="00DE50E6">
        <w:rPr>
          <w:spacing w:val="-2"/>
        </w:rPr>
        <w:t>，载于</w:t>
      </w:r>
      <w:r w:rsidRPr="00DE50E6">
        <w:rPr>
          <w:spacing w:val="-2"/>
        </w:rPr>
        <w:t>Y</w:t>
      </w:r>
      <w:r w:rsidRPr="00DE50E6">
        <w:rPr>
          <w:rFonts w:eastAsiaTheme="minorEastAsia" w:hint="eastAsia"/>
          <w:spacing w:val="-2"/>
        </w:rPr>
        <w:t>.</w:t>
      </w:r>
      <w:r w:rsidRPr="00DE50E6">
        <w:rPr>
          <w:spacing w:val="-2"/>
        </w:rPr>
        <w:t xml:space="preserve"> Sandoz</w:t>
      </w:r>
      <w:r w:rsidRPr="00DE50E6">
        <w:rPr>
          <w:spacing w:val="-2"/>
        </w:rPr>
        <w:t>、</w:t>
      </w:r>
      <w:r w:rsidRPr="00DE50E6">
        <w:rPr>
          <w:spacing w:val="-2"/>
        </w:rPr>
        <w:t>C</w:t>
      </w:r>
      <w:r w:rsidRPr="00DE50E6">
        <w:rPr>
          <w:rFonts w:eastAsiaTheme="minorEastAsia" w:hint="eastAsia"/>
          <w:spacing w:val="-2"/>
        </w:rPr>
        <w:t>.</w:t>
      </w:r>
      <w:r w:rsidRPr="00DE50E6">
        <w:rPr>
          <w:spacing w:val="-2"/>
        </w:rPr>
        <w:t xml:space="preserve"> Swinarski</w:t>
      </w:r>
      <w:r w:rsidRPr="00DE50E6">
        <w:rPr>
          <w:spacing w:val="-2"/>
        </w:rPr>
        <w:t>和</w:t>
      </w:r>
      <w:r w:rsidRPr="00DE50E6">
        <w:rPr>
          <w:spacing w:val="-2"/>
        </w:rPr>
        <w:t>B</w:t>
      </w:r>
      <w:r w:rsidRPr="00DE50E6">
        <w:rPr>
          <w:rFonts w:eastAsiaTheme="minorEastAsia" w:hint="eastAsia"/>
          <w:spacing w:val="-2"/>
        </w:rPr>
        <w:t>.</w:t>
      </w:r>
      <w:r w:rsidRPr="00DE50E6">
        <w:rPr>
          <w:spacing w:val="-2"/>
        </w:rPr>
        <w:t xml:space="preserve"> Zimmerman</w:t>
      </w:r>
      <w:r w:rsidRPr="00DE50E6">
        <w:rPr>
          <w:rFonts w:eastAsiaTheme="minorEastAsia" w:hint="eastAsia"/>
          <w:spacing w:val="-2"/>
        </w:rPr>
        <w:t>编，《红十字委员会对</w:t>
      </w:r>
      <w:r w:rsidRPr="00DE50E6">
        <w:rPr>
          <w:rFonts w:eastAsiaTheme="minorEastAsia" w:hint="eastAsia"/>
          <w:spacing w:val="-2"/>
        </w:rPr>
        <w:t>1949</w:t>
      </w:r>
      <w:r w:rsidRPr="00DE50E6">
        <w:rPr>
          <w:rFonts w:eastAsiaTheme="minorEastAsia" w:hint="eastAsia"/>
          <w:spacing w:val="-2"/>
        </w:rPr>
        <w:t>年</w:t>
      </w:r>
      <w:r w:rsidRPr="00DE50E6">
        <w:rPr>
          <w:rFonts w:eastAsiaTheme="minorEastAsia" w:hint="eastAsia"/>
          <w:spacing w:val="-2"/>
        </w:rPr>
        <w:t>8</w:t>
      </w:r>
      <w:r w:rsidRPr="00DE50E6">
        <w:rPr>
          <w:rFonts w:eastAsiaTheme="minorEastAsia" w:hint="eastAsia"/>
          <w:spacing w:val="-2"/>
        </w:rPr>
        <w:t>月</w:t>
      </w:r>
      <w:r w:rsidRPr="00DE50E6">
        <w:rPr>
          <w:rFonts w:eastAsiaTheme="minorEastAsia" w:hint="eastAsia"/>
          <w:spacing w:val="-2"/>
        </w:rPr>
        <w:t>12</w:t>
      </w:r>
      <w:r w:rsidRPr="00DE50E6">
        <w:rPr>
          <w:rFonts w:eastAsiaTheme="minorEastAsia" w:hint="eastAsia"/>
          <w:spacing w:val="-2"/>
        </w:rPr>
        <w:t>日日内瓦四公约</w:t>
      </w:r>
      <w:r w:rsidRPr="00DE50E6">
        <w:rPr>
          <w:rFonts w:eastAsiaTheme="minorEastAsia" w:hint="eastAsia"/>
          <w:spacing w:val="-2"/>
        </w:rPr>
        <w:t>1977</w:t>
      </w:r>
      <w:r w:rsidRPr="00DE50E6">
        <w:rPr>
          <w:rFonts w:eastAsiaTheme="minorEastAsia" w:hint="eastAsia"/>
          <w:spacing w:val="-2"/>
        </w:rPr>
        <w:t>年</w:t>
      </w:r>
      <w:r w:rsidRPr="00DE50E6">
        <w:rPr>
          <w:rFonts w:eastAsiaTheme="minorEastAsia" w:hint="eastAsia"/>
          <w:spacing w:val="-2"/>
        </w:rPr>
        <w:t>6</w:t>
      </w:r>
      <w:r w:rsidRPr="00DE50E6">
        <w:rPr>
          <w:rFonts w:eastAsiaTheme="minorEastAsia" w:hint="eastAsia"/>
          <w:spacing w:val="-2"/>
        </w:rPr>
        <w:t>月</w:t>
      </w:r>
      <w:r w:rsidRPr="00DE50E6">
        <w:rPr>
          <w:rFonts w:eastAsiaTheme="minorEastAsia" w:hint="eastAsia"/>
          <w:spacing w:val="-2"/>
        </w:rPr>
        <w:t>8</w:t>
      </w:r>
      <w:r w:rsidRPr="00DE50E6">
        <w:rPr>
          <w:rFonts w:eastAsiaTheme="minorEastAsia" w:hint="eastAsia"/>
          <w:spacing w:val="-2"/>
        </w:rPr>
        <w:t>日附加议定书的评注》</w:t>
      </w:r>
      <w:r w:rsidRPr="00DE50E6">
        <w:rPr>
          <w:spacing w:val="-2"/>
        </w:rPr>
        <w:t>(</w:t>
      </w:r>
      <w:r w:rsidRPr="00DE50E6">
        <w:rPr>
          <w:spacing w:val="-2"/>
        </w:rPr>
        <w:t>日内瓦</w:t>
      </w:r>
      <w:r w:rsidRPr="00DE50E6">
        <w:rPr>
          <w:rFonts w:eastAsiaTheme="minorEastAsia" w:hint="eastAsia"/>
          <w:spacing w:val="-2"/>
        </w:rPr>
        <w:t>，</w:t>
      </w:r>
      <w:r w:rsidRPr="00DE50E6">
        <w:rPr>
          <w:spacing w:val="-2"/>
        </w:rPr>
        <w:t>Martinus Nijhoff, 1987</w:t>
      </w:r>
      <w:r w:rsidRPr="00DE50E6">
        <w:rPr>
          <w:spacing w:val="-2"/>
        </w:rPr>
        <w:t>年</w:t>
      </w:r>
      <w:r w:rsidRPr="00DE50E6">
        <w:rPr>
          <w:spacing w:val="-2"/>
        </w:rPr>
        <w:t>)</w:t>
      </w:r>
      <w:r w:rsidRPr="00DE50E6">
        <w:rPr>
          <w:rFonts w:eastAsiaTheme="minorEastAsia" w:hint="eastAsia"/>
          <w:spacing w:val="-2"/>
        </w:rPr>
        <w:t>，</w:t>
      </w:r>
      <w:r w:rsidRPr="00DE50E6">
        <w:rPr>
          <w:spacing w:val="-2"/>
        </w:rPr>
        <w:t>第</w:t>
      </w:r>
      <w:r w:rsidRPr="00DE50E6">
        <w:rPr>
          <w:spacing w:val="-2"/>
        </w:rPr>
        <w:t>664</w:t>
      </w:r>
      <w:r w:rsidRPr="00DE50E6">
        <w:rPr>
          <w:spacing w:val="-2"/>
        </w:rPr>
        <w:t>页，第</w:t>
      </w:r>
      <w:r w:rsidRPr="00DE50E6">
        <w:rPr>
          <w:spacing w:val="-2"/>
        </w:rPr>
        <w:t>2138-2139</w:t>
      </w:r>
      <w:r w:rsidRPr="00DE50E6">
        <w:rPr>
          <w:spacing w:val="-2"/>
        </w:rPr>
        <w:t>段。</w:t>
      </w:r>
    </w:p>
  </w:footnote>
  <w:footnote w:id="1337">
    <w:p w:rsidR="00AB00DE" w:rsidRPr="00682858" w:rsidRDefault="00AB00DE" w:rsidP="006735D4">
      <w:pPr>
        <w:pStyle w:val="a4"/>
      </w:pPr>
      <w:r w:rsidRPr="00682858">
        <w:tab/>
      </w:r>
      <w:r w:rsidRPr="00681AC8">
        <w:rPr>
          <w:rStyle w:val="a5"/>
          <w:rFonts w:cstheme="majorBidi"/>
        </w:rPr>
        <w:footnoteRef/>
      </w:r>
      <w:r w:rsidRPr="00682858">
        <w:tab/>
      </w:r>
      <w:r w:rsidRPr="00682858">
        <w:t>这一点在常设法院</w:t>
      </w:r>
      <w:r w:rsidRPr="00C15615">
        <w:rPr>
          <w:rFonts w:eastAsia="楷体"/>
          <w:iCs/>
        </w:rPr>
        <w:t>Factory At Chorzó</w:t>
      </w:r>
      <w:r w:rsidRPr="00C15615">
        <w:rPr>
          <w:rFonts w:eastAsia="楷体"/>
          <w:iCs/>
        </w:rPr>
        <w:t>案</w:t>
      </w:r>
      <w:r w:rsidRPr="00682858">
        <w:t>中得到承认</w:t>
      </w:r>
      <w:r>
        <w:t>，</w:t>
      </w:r>
      <w:r w:rsidRPr="00682858">
        <w:t>常设国际法院</w:t>
      </w:r>
      <w:r>
        <w:t>，</w:t>
      </w:r>
      <w:r w:rsidRPr="00682858">
        <w:t>《</w:t>
      </w:r>
      <w:r>
        <w:t>A</w:t>
      </w:r>
      <w:r w:rsidRPr="00682858">
        <w:t>辑》</w:t>
      </w:r>
      <w:r>
        <w:t>，</w:t>
      </w:r>
      <w:r w:rsidRPr="00682858">
        <w:t>第</w:t>
      </w:r>
      <w:r>
        <w:t>17</w:t>
      </w:r>
      <w:r w:rsidRPr="00682858">
        <w:t>号</w:t>
      </w:r>
      <w:r>
        <w:t>，</w:t>
      </w:r>
      <w:r w:rsidRPr="00682858">
        <w:t>第</w:t>
      </w:r>
      <w:r>
        <w:t>45</w:t>
      </w:r>
      <w:r w:rsidRPr="00682858">
        <w:t>页</w:t>
      </w:r>
      <w:r>
        <w:t>；</w:t>
      </w:r>
      <w:r w:rsidRPr="00682858">
        <w:t>并反映在《维也纳条约法公约》第三十四条</w:t>
      </w:r>
      <w:r>
        <w:rPr>
          <w:rFonts w:eastAsiaTheme="minorEastAsia" w:hint="eastAsia"/>
        </w:rPr>
        <w:t>(</w:t>
      </w:r>
      <w:r>
        <w:t>1969</w:t>
      </w:r>
      <w:r w:rsidRPr="00682858">
        <w:t>年</w:t>
      </w:r>
      <w:r>
        <w:t>5</w:t>
      </w:r>
      <w:r w:rsidRPr="00682858">
        <w:t>月</w:t>
      </w:r>
      <w:r>
        <w:t>23</w:t>
      </w:r>
      <w:r w:rsidRPr="00682858">
        <w:t>日</w:t>
      </w:r>
      <w:r>
        <w:rPr>
          <w:rFonts w:eastAsiaTheme="minorEastAsia" w:hint="eastAsia"/>
        </w:rPr>
        <w:t>，</w:t>
      </w:r>
      <w:r w:rsidRPr="00682858">
        <w:t>维也纳</w:t>
      </w:r>
      <w:r>
        <w:rPr>
          <w:rFonts w:eastAsiaTheme="minorEastAsia" w:hint="eastAsia"/>
        </w:rPr>
        <w:t>)</w:t>
      </w:r>
      <w:r>
        <w:rPr>
          <w:rFonts w:eastAsiaTheme="minorEastAsia" w:hint="eastAsia"/>
        </w:rPr>
        <w:t>中</w:t>
      </w:r>
      <w:r>
        <w:t>，</w:t>
      </w:r>
      <w:r w:rsidRPr="00682858">
        <w:rPr>
          <w:bCs/>
        </w:rPr>
        <w:t>联合国</w:t>
      </w:r>
      <w:r>
        <w:rPr>
          <w:bCs/>
        </w:rPr>
        <w:t>，</w:t>
      </w:r>
      <w:r w:rsidRPr="00682858">
        <w:rPr>
          <w:bCs/>
        </w:rPr>
        <w:t>《条约汇编》</w:t>
      </w:r>
      <w:r>
        <w:rPr>
          <w:bCs/>
        </w:rPr>
        <w:t>，</w:t>
      </w:r>
      <w:r w:rsidRPr="00682858">
        <w:rPr>
          <w:bCs/>
        </w:rPr>
        <w:t>第</w:t>
      </w:r>
      <w:r>
        <w:rPr>
          <w:bCs/>
        </w:rPr>
        <w:t>1155</w:t>
      </w:r>
      <w:r w:rsidRPr="00682858">
        <w:rPr>
          <w:bCs/>
        </w:rPr>
        <w:t>卷</w:t>
      </w:r>
      <w:r>
        <w:rPr>
          <w:bCs/>
        </w:rPr>
        <w:t>，</w:t>
      </w:r>
      <w:r w:rsidRPr="00682858">
        <w:rPr>
          <w:bCs/>
        </w:rPr>
        <w:t>第</w:t>
      </w:r>
      <w:r>
        <w:rPr>
          <w:bCs/>
        </w:rPr>
        <w:t>18232</w:t>
      </w:r>
      <w:r w:rsidRPr="00682858">
        <w:rPr>
          <w:bCs/>
        </w:rPr>
        <w:t>号</w:t>
      </w:r>
      <w:r>
        <w:t>，</w:t>
      </w:r>
      <w:r w:rsidRPr="00682858">
        <w:t>第</w:t>
      </w:r>
      <w:r>
        <w:t>331</w:t>
      </w:r>
      <w:r w:rsidRPr="00682858">
        <w:t>页。</w:t>
      </w:r>
    </w:p>
  </w:footnote>
  <w:footnote w:id="1338">
    <w:p w:rsidR="00AB00DE" w:rsidRPr="00682858" w:rsidRDefault="00AB00DE" w:rsidP="006735D4">
      <w:pPr>
        <w:pStyle w:val="a4"/>
      </w:pPr>
      <w:r w:rsidRPr="00682858">
        <w:tab/>
      </w:r>
      <w:r w:rsidRPr="00681AC8">
        <w:rPr>
          <w:rStyle w:val="a5"/>
          <w:rFonts w:cstheme="majorBidi"/>
        </w:rPr>
        <w:footnoteRef/>
      </w:r>
      <w:r w:rsidRPr="00682858">
        <w:tab/>
      </w:r>
      <w:r>
        <w:t>A/CN</w:t>
      </w:r>
      <w:r w:rsidRPr="00682858">
        <w:t>.</w:t>
      </w:r>
      <w:r>
        <w:t>4/685</w:t>
      </w:r>
      <w:r>
        <w:rPr>
          <w:spacing w:val="-4"/>
        </w:rPr>
        <w:t>，</w:t>
      </w:r>
      <w:r w:rsidRPr="00682858">
        <w:t>第</w:t>
      </w:r>
      <w:r>
        <w:t>218</w:t>
      </w:r>
      <w:r w:rsidRPr="00682858">
        <w:t>段。</w:t>
      </w:r>
    </w:p>
  </w:footnote>
  <w:footnote w:id="1339">
    <w:p w:rsidR="00AB00DE" w:rsidRPr="00682858" w:rsidRDefault="00AB00DE" w:rsidP="006735D4">
      <w:pPr>
        <w:pStyle w:val="a4"/>
      </w:pPr>
      <w:r w:rsidRPr="00682858">
        <w:tab/>
      </w:r>
      <w:r w:rsidRPr="00681AC8">
        <w:rPr>
          <w:rStyle w:val="a5"/>
          <w:rFonts w:cstheme="majorBidi"/>
        </w:rPr>
        <w:footnoteRef/>
      </w:r>
      <w:r w:rsidRPr="00682858">
        <w:tab/>
      </w:r>
      <w:r w:rsidRPr="00682858">
        <w:t>《保护世界文化和自然遗产公约》</w:t>
      </w:r>
      <w:r>
        <w:t>(</w:t>
      </w:r>
      <w:r w:rsidRPr="00682858">
        <w:t>世界遗产公约</w:t>
      </w:r>
      <w:r>
        <w:t>)</w:t>
      </w:r>
      <w:r>
        <w:rPr>
          <w:rFonts w:eastAsiaTheme="minorEastAsia" w:hint="eastAsia"/>
        </w:rPr>
        <w:t>(</w:t>
      </w:r>
      <w:r>
        <w:rPr>
          <w:spacing w:val="-4"/>
        </w:rPr>
        <w:t>1972</w:t>
      </w:r>
      <w:r w:rsidRPr="00682858">
        <w:rPr>
          <w:spacing w:val="-4"/>
        </w:rPr>
        <w:t>年</w:t>
      </w:r>
      <w:r>
        <w:rPr>
          <w:spacing w:val="-4"/>
        </w:rPr>
        <w:t>11</w:t>
      </w:r>
      <w:r w:rsidRPr="00682858">
        <w:t>月</w:t>
      </w:r>
      <w:r>
        <w:t>16</w:t>
      </w:r>
      <w:r w:rsidRPr="00682858">
        <w:t>日</w:t>
      </w:r>
      <w:r>
        <w:rPr>
          <w:rFonts w:eastAsiaTheme="minorEastAsia" w:hint="eastAsia"/>
        </w:rPr>
        <w:t>，</w:t>
      </w:r>
      <w:r w:rsidRPr="00682858">
        <w:t>巴黎</w:t>
      </w:r>
      <w:r>
        <w:rPr>
          <w:rFonts w:eastAsiaTheme="minorEastAsia" w:hint="eastAsia"/>
        </w:rPr>
        <w:t>)</w:t>
      </w:r>
      <w:r>
        <w:rPr>
          <w:rFonts w:eastAsiaTheme="minorEastAsia" w:hint="eastAsia"/>
        </w:rPr>
        <w:t>，</w:t>
      </w:r>
      <w:r w:rsidRPr="00682858">
        <w:t>联合国</w:t>
      </w:r>
      <w:r>
        <w:t>，</w:t>
      </w:r>
      <w:r w:rsidRPr="00682858">
        <w:t>《条约汇编》</w:t>
      </w:r>
      <w:r>
        <w:t>，</w:t>
      </w:r>
      <w:r w:rsidRPr="00682858">
        <w:t>第</w:t>
      </w:r>
      <w:r>
        <w:t>1037</w:t>
      </w:r>
      <w:r w:rsidRPr="00682858">
        <w:t>卷</w:t>
      </w:r>
      <w:r>
        <w:t>，</w:t>
      </w:r>
      <w:r w:rsidRPr="00682858">
        <w:t>第</w:t>
      </w:r>
      <w:r>
        <w:t>15511</w:t>
      </w:r>
      <w:r w:rsidRPr="00682858">
        <w:t>号</w:t>
      </w:r>
      <w:r>
        <w:t>，</w:t>
      </w:r>
      <w:r w:rsidRPr="00682858">
        <w:t>第</w:t>
      </w:r>
      <w:r>
        <w:rPr>
          <w:rFonts w:eastAsiaTheme="minorEastAsia" w:hint="eastAsia"/>
        </w:rPr>
        <w:t>151</w:t>
      </w:r>
      <w:r w:rsidRPr="00682858">
        <w:t>页。</w:t>
      </w:r>
    </w:p>
  </w:footnote>
  <w:footnote w:id="1340">
    <w:p w:rsidR="00AB00DE" w:rsidRPr="00682858" w:rsidRDefault="00AB00DE" w:rsidP="006735D4">
      <w:pPr>
        <w:pStyle w:val="a4"/>
      </w:pPr>
      <w:r w:rsidRPr="00682858">
        <w:tab/>
      </w:r>
      <w:r w:rsidRPr="00681AC8">
        <w:rPr>
          <w:rStyle w:val="a5"/>
          <w:rFonts w:cstheme="majorBidi"/>
        </w:rPr>
        <w:footnoteRef/>
      </w:r>
      <w:r w:rsidRPr="00682858">
        <w:tab/>
      </w:r>
      <w:r w:rsidRPr="00682858">
        <w:t>教科文组织</w:t>
      </w:r>
      <w:r>
        <w:t>，《实施</w:t>
      </w:r>
      <w:r>
        <w:rPr>
          <w:rFonts w:hint="eastAsia"/>
        </w:rPr>
        <w:t>(</w:t>
      </w:r>
      <w:r>
        <w:t>世界遗产公约</w:t>
      </w:r>
      <w:r>
        <w:rPr>
          <w:rFonts w:hint="eastAsia"/>
        </w:rPr>
        <w:t>)</w:t>
      </w:r>
      <w:r w:rsidRPr="00682858">
        <w:t>操作指南》</w:t>
      </w:r>
      <w:r>
        <w:t>(</w:t>
      </w:r>
      <w:r>
        <w:rPr>
          <w:spacing w:val="-4"/>
        </w:rPr>
        <w:t>2015</w:t>
      </w:r>
      <w:r w:rsidRPr="00682858">
        <w:rPr>
          <w:spacing w:val="-4"/>
        </w:rPr>
        <w:t>年</w:t>
      </w:r>
      <w:r>
        <w:rPr>
          <w:spacing w:val="-4"/>
        </w:rPr>
        <w:t>7</w:t>
      </w:r>
      <w:r w:rsidRPr="00682858">
        <w:t>月</w:t>
      </w:r>
      <w:r>
        <w:t>8</w:t>
      </w:r>
      <w:r w:rsidRPr="00682858">
        <w:t>日</w:t>
      </w:r>
      <w:r>
        <w:t>)WHC</w:t>
      </w:r>
      <w:r w:rsidRPr="00682858">
        <w:t>.</w:t>
      </w:r>
      <w:r>
        <w:t>15/01,</w:t>
      </w:r>
      <w:r>
        <w:rPr>
          <w:rFonts w:hint="eastAsia"/>
        </w:rPr>
        <w:t xml:space="preserve"> </w:t>
      </w:r>
      <w:r w:rsidRPr="00682858">
        <w:t>第</w:t>
      </w:r>
      <w:r>
        <w:t>77.1</w:t>
      </w:r>
      <w:r w:rsidRPr="00682858">
        <w:t>段。目前</w:t>
      </w:r>
      <w:r>
        <w:t>，</w:t>
      </w:r>
      <w:r w:rsidRPr="00682858">
        <w:t>全世界共有</w:t>
      </w:r>
      <w:r>
        <w:t>197</w:t>
      </w:r>
      <w:r w:rsidRPr="00682858">
        <w:t>处自然遗产列入了《世界遗产名录》。根据《世界遗产</w:t>
      </w:r>
      <w:r w:rsidRPr="000A3C22">
        <w:t>公约</w:t>
      </w:r>
      <w:r w:rsidRPr="00682858">
        <w:t>》第</w:t>
      </w:r>
      <w:r>
        <w:t>11</w:t>
      </w:r>
      <w:r w:rsidRPr="00682858">
        <w:t>条第</w:t>
      </w:r>
      <w:r>
        <w:t>4</w:t>
      </w:r>
      <w:r w:rsidRPr="00682858">
        <w:t>款</w:t>
      </w:r>
      <w:r>
        <w:t>，</w:t>
      </w:r>
      <w:r w:rsidRPr="00682858">
        <w:t>其中一些遗产也列入了《濒危世界遗产名录》。</w:t>
      </w:r>
    </w:p>
  </w:footnote>
  <w:footnote w:id="1341">
    <w:p w:rsidR="00AB00DE" w:rsidRPr="00682858" w:rsidRDefault="00AB00DE" w:rsidP="006735D4">
      <w:pPr>
        <w:pStyle w:val="a4"/>
      </w:pPr>
      <w:r w:rsidRPr="00682858">
        <w:tab/>
      </w:r>
      <w:r w:rsidRPr="00681AC8">
        <w:rPr>
          <w:rStyle w:val="a5"/>
          <w:rFonts w:cstheme="majorBidi"/>
        </w:rPr>
        <w:footnoteRef/>
      </w:r>
      <w:r w:rsidRPr="00682858">
        <w:tab/>
      </w:r>
      <w:r>
        <w:t>1954</w:t>
      </w:r>
      <w:r w:rsidRPr="00682858">
        <w:t>年《关于发生武装冲突时保护文化财产的公约》</w:t>
      </w:r>
      <w:r>
        <w:rPr>
          <w:rFonts w:eastAsiaTheme="minorEastAsia" w:hint="eastAsia"/>
        </w:rPr>
        <w:t>(</w:t>
      </w:r>
      <w:r>
        <w:rPr>
          <w:spacing w:val="-4"/>
        </w:rPr>
        <w:t>1954</w:t>
      </w:r>
      <w:r w:rsidRPr="00682858">
        <w:rPr>
          <w:spacing w:val="-4"/>
        </w:rPr>
        <w:t>年</w:t>
      </w:r>
      <w:r>
        <w:rPr>
          <w:spacing w:val="-4"/>
        </w:rPr>
        <w:t>5</w:t>
      </w:r>
      <w:r w:rsidRPr="00682858">
        <w:t>月</w:t>
      </w:r>
      <w:r>
        <w:t>14</w:t>
      </w:r>
      <w:r w:rsidRPr="00682858">
        <w:t>日</w:t>
      </w:r>
      <w:r>
        <w:rPr>
          <w:rFonts w:eastAsiaTheme="minorEastAsia" w:hint="eastAsia"/>
        </w:rPr>
        <w:t>，</w:t>
      </w:r>
      <w:r w:rsidRPr="00682858">
        <w:t>海牙</w:t>
      </w:r>
      <w:r>
        <w:rPr>
          <w:rFonts w:eastAsiaTheme="minorEastAsia" w:hint="eastAsia"/>
        </w:rPr>
        <w:t>)</w:t>
      </w:r>
      <w:r>
        <w:t>，</w:t>
      </w:r>
      <w:r w:rsidRPr="00682858">
        <w:rPr>
          <w:bCs/>
        </w:rPr>
        <w:t>联合国</w:t>
      </w:r>
      <w:r>
        <w:rPr>
          <w:bCs/>
        </w:rPr>
        <w:t>，</w:t>
      </w:r>
      <w:r w:rsidRPr="00682858">
        <w:rPr>
          <w:bCs/>
        </w:rPr>
        <w:t>《条约汇编》</w:t>
      </w:r>
      <w:r>
        <w:rPr>
          <w:bCs/>
        </w:rPr>
        <w:t>，</w:t>
      </w:r>
      <w:r w:rsidRPr="00682858">
        <w:rPr>
          <w:bCs/>
        </w:rPr>
        <w:t>第</w:t>
      </w:r>
      <w:r>
        <w:rPr>
          <w:bCs/>
        </w:rPr>
        <w:t>249</w:t>
      </w:r>
      <w:r w:rsidRPr="00682858">
        <w:rPr>
          <w:bCs/>
        </w:rPr>
        <w:t>卷</w:t>
      </w:r>
      <w:r>
        <w:rPr>
          <w:bCs/>
        </w:rPr>
        <w:t>，</w:t>
      </w:r>
      <w:r w:rsidRPr="00682858">
        <w:rPr>
          <w:bCs/>
        </w:rPr>
        <w:t>第</w:t>
      </w:r>
      <w:r>
        <w:rPr>
          <w:bCs/>
        </w:rPr>
        <w:t>3511</w:t>
      </w:r>
      <w:r w:rsidRPr="00682858">
        <w:rPr>
          <w:bCs/>
        </w:rPr>
        <w:t>号</w:t>
      </w:r>
      <w:r>
        <w:rPr>
          <w:bCs/>
        </w:rPr>
        <w:t>，</w:t>
      </w:r>
      <w:r w:rsidRPr="00682858">
        <w:rPr>
          <w:bCs/>
        </w:rPr>
        <w:t>第</w:t>
      </w:r>
      <w:r>
        <w:rPr>
          <w:bCs/>
        </w:rPr>
        <w:t>240</w:t>
      </w:r>
      <w:r w:rsidRPr="00682858">
        <w:rPr>
          <w:bCs/>
        </w:rPr>
        <w:t>页</w:t>
      </w:r>
      <w:r w:rsidRPr="00682858">
        <w:t>。</w:t>
      </w:r>
    </w:p>
  </w:footnote>
  <w:footnote w:id="1342">
    <w:p w:rsidR="00AB00DE" w:rsidRPr="00F47AFC" w:rsidRDefault="00AB00DE" w:rsidP="006735D4">
      <w:pPr>
        <w:pStyle w:val="a4"/>
        <w:rPr>
          <w:spacing w:val="-4"/>
        </w:rPr>
      </w:pPr>
      <w:r w:rsidRPr="00682858">
        <w:tab/>
      </w:r>
      <w:r w:rsidRPr="00681AC8">
        <w:rPr>
          <w:rStyle w:val="a5"/>
          <w:rFonts w:cstheme="majorBidi"/>
        </w:rPr>
        <w:footnoteRef/>
      </w:r>
      <w:r w:rsidRPr="00E64449">
        <w:rPr>
          <w:rStyle w:val="a5"/>
          <w:rFonts w:asciiTheme="majorBidi" w:hAnsiTheme="majorBidi"/>
          <w:color w:val="000000" w:themeColor="text1"/>
        </w:rPr>
        <w:tab/>
      </w:r>
      <w:r w:rsidRPr="00F47AFC">
        <w:rPr>
          <w:spacing w:val="-4"/>
        </w:rPr>
        <w:t>《</w:t>
      </w:r>
      <w:r>
        <w:rPr>
          <w:spacing w:val="-4"/>
        </w:rPr>
        <w:t>1954</w:t>
      </w:r>
      <w:r w:rsidRPr="00F47AFC">
        <w:rPr>
          <w:spacing w:val="-4"/>
        </w:rPr>
        <w:t>年关于发生武装冲突时保护文化财产的海牙公约第二议定书</w:t>
      </w:r>
      <w:r w:rsidRPr="00F47AFC">
        <w:rPr>
          <w:bCs/>
          <w:spacing w:val="-4"/>
        </w:rPr>
        <w:t>》</w:t>
      </w:r>
      <w:r>
        <w:rPr>
          <w:bCs/>
          <w:spacing w:val="-4"/>
        </w:rPr>
        <w:t>(1999</w:t>
      </w:r>
      <w:r w:rsidRPr="00F47AFC">
        <w:rPr>
          <w:bCs/>
          <w:spacing w:val="-4"/>
        </w:rPr>
        <w:t>年第二议定书</w:t>
      </w:r>
      <w:r>
        <w:rPr>
          <w:bCs/>
          <w:spacing w:val="-4"/>
        </w:rPr>
        <w:t>)</w:t>
      </w:r>
      <w:r>
        <w:rPr>
          <w:rFonts w:eastAsiaTheme="minorEastAsia" w:hint="eastAsia"/>
          <w:spacing w:val="-4"/>
        </w:rPr>
        <w:t>(</w:t>
      </w:r>
      <w:r w:rsidRPr="00F47AFC">
        <w:rPr>
          <w:bCs/>
          <w:spacing w:val="-4"/>
        </w:rPr>
        <w:t>海牙</w:t>
      </w:r>
      <w:r>
        <w:rPr>
          <w:rFonts w:eastAsiaTheme="minorEastAsia" w:hint="eastAsia"/>
          <w:bCs/>
          <w:spacing w:val="-4"/>
        </w:rPr>
        <w:t>，</w:t>
      </w:r>
      <w:r>
        <w:rPr>
          <w:bCs/>
          <w:spacing w:val="-4"/>
        </w:rPr>
        <w:t>1999</w:t>
      </w:r>
      <w:r w:rsidRPr="00F47AFC">
        <w:rPr>
          <w:bCs/>
          <w:spacing w:val="-4"/>
        </w:rPr>
        <w:t>年</w:t>
      </w:r>
      <w:r>
        <w:rPr>
          <w:bCs/>
          <w:spacing w:val="-4"/>
        </w:rPr>
        <w:t>3</w:t>
      </w:r>
      <w:r w:rsidRPr="00F47AFC">
        <w:rPr>
          <w:bCs/>
          <w:spacing w:val="-4"/>
        </w:rPr>
        <w:t>月</w:t>
      </w:r>
      <w:r>
        <w:rPr>
          <w:bCs/>
          <w:spacing w:val="-4"/>
        </w:rPr>
        <w:t>26</w:t>
      </w:r>
      <w:r w:rsidRPr="00F47AFC">
        <w:rPr>
          <w:bCs/>
          <w:spacing w:val="-4"/>
        </w:rPr>
        <w:t>日</w:t>
      </w:r>
      <w:r>
        <w:rPr>
          <w:rFonts w:eastAsiaTheme="minorEastAsia" w:hint="eastAsia"/>
          <w:spacing w:val="-4"/>
        </w:rPr>
        <w:t>)</w:t>
      </w:r>
      <w:r>
        <w:rPr>
          <w:spacing w:val="-4"/>
        </w:rPr>
        <w:t>，</w:t>
      </w:r>
      <w:r w:rsidRPr="00F47AFC">
        <w:rPr>
          <w:bCs/>
          <w:spacing w:val="-4"/>
        </w:rPr>
        <w:t>联合国</w:t>
      </w:r>
      <w:r>
        <w:rPr>
          <w:bCs/>
          <w:spacing w:val="-4"/>
        </w:rPr>
        <w:t>，</w:t>
      </w:r>
      <w:r w:rsidRPr="00F47AFC">
        <w:rPr>
          <w:bCs/>
          <w:spacing w:val="-4"/>
        </w:rPr>
        <w:t>《条约汇编》</w:t>
      </w:r>
      <w:r>
        <w:rPr>
          <w:bCs/>
          <w:spacing w:val="-4"/>
        </w:rPr>
        <w:t>，</w:t>
      </w:r>
      <w:r w:rsidRPr="00F47AFC">
        <w:rPr>
          <w:bCs/>
          <w:spacing w:val="-4"/>
        </w:rPr>
        <w:t>第</w:t>
      </w:r>
      <w:r>
        <w:rPr>
          <w:bCs/>
          <w:spacing w:val="-4"/>
        </w:rPr>
        <w:t>2253</w:t>
      </w:r>
      <w:r w:rsidRPr="00F47AFC">
        <w:rPr>
          <w:bCs/>
          <w:spacing w:val="-4"/>
        </w:rPr>
        <w:t>卷</w:t>
      </w:r>
      <w:r>
        <w:rPr>
          <w:bCs/>
          <w:spacing w:val="-4"/>
        </w:rPr>
        <w:t>，</w:t>
      </w:r>
      <w:r w:rsidRPr="00F47AFC">
        <w:rPr>
          <w:spacing w:val="-4"/>
        </w:rPr>
        <w:t>第</w:t>
      </w:r>
      <w:r>
        <w:rPr>
          <w:spacing w:val="-4"/>
        </w:rPr>
        <w:t>3511</w:t>
      </w:r>
      <w:r w:rsidRPr="00F47AFC">
        <w:rPr>
          <w:bCs/>
          <w:spacing w:val="-4"/>
        </w:rPr>
        <w:t>号</w:t>
      </w:r>
      <w:r>
        <w:rPr>
          <w:bCs/>
          <w:spacing w:val="-4"/>
        </w:rPr>
        <w:t>，</w:t>
      </w:r>
      <w:r w:rsidRPr="00F47AFC">
        <w:rPr>
          <w:bCs/>
          <w:spacing w:val="-4"/>
        </w:rPr>
        <w:t>第</w:t>
      </w:r>
      <w:r>
        <w:rPr>
          <w:bCs/>
          <w:spacing w:val="-4"/>
        </w:rPr>
        <w:t>172</w:t>
      </w:r>
      <w:r w:rsidRPr="00F47AFC">
        <w:rPr>
          <w:bCs/>
          <w:spacing w:val="-4"/>
        </w:rPr>
        <w:t>页</w:t>
      </w:r>
      <w:r w:rsidRPr="00F47AFC">
        <w:rPr>
          <w:spacing w:val="-4"/>
        </w:rPr>
        <w:t>。</w:t>
      </w:r>
    </w:p>
  </w:footnote>
  <w:footnote w:id="1343">
    <w:p w:rsidR="00AB00DE" w:rsidRPr="00302CF7" w:rsidRDefault="00AB00DE" w:rsidP="006735D4">
      <w:pPr>
        <w:pStyle w:val="a4"/>
        <w:rPr>
          <w:rFonts w:asciiTheme="majorBidi" w:eastAsiaTheme="minorEastAsia" w:hAnsiTheme="majorBidi" w:cstheme="majorBidi"/>
          <w:spacing w:val="-4"/>
        </w:rPr>
      </w:pPr>
      <w:r w:rsidRPr="00682858">
        <w:rPr>
          <w:rFonts w:asciiTheme="majorBidi" w:hAnsiTheme="majorBidi" w:cstheme="majorBidi"/>
        </w:rPr>
        <w:tab/>
      </w:r>
      <w:r w:rsidRPr="00681AC8">
        <w:rPr>
          <w:rStyle w:val="a5"/>
          <w:rFonts w:cstheme="majorBidi"/>
        </w:rPr>
        <w:footnoteRef/>
      </w:r>
      <w:r w:rsidRPr="00682858">
        <w:rPr>
          <w:rFonts w:asciiTheme="majorBidi" w:hAnsiTheme="majorBidi" w:cstheme="majorBidi"/>
        </w:rPr>
        <w:tab/>
      </w:r>
      <w:r w:rsidRPr="00682858">
        <w:rPr>
          <w:rFonts w:asciiTheme="majorBidi" w:hAnsiTheme="majorBidi" w:cstheme="majorBidi"/>
        </w:rPr>
        <w:t>《生物多样性公约》</w:t>
      </w:r>
      <w:r>
        <w:rPr>
          <w:rFonts w:asciiTheme="majorBidi" w:eastAsiaTheme="minorEastAsia" w:hAnsiTheme="majorBidi" w:cstheme="majorBidi" w:hint="eastAsia"/>
        </w:rPr>
        <w:t>(</w:t>
      </w:r>
      <w:r>
        <w:rPr>
          <w:rFonts w:asciiTheme="majorBidi" w:hAnsiTheme="majorBidi" w:cstheme="majorBidi"/>
        </w:rPr>
        <w:t>1992</w:t>
      </w:r>
      <w:r w:rsidRPr="00682858">
        <w:rPr>
          <w:rFonts w:asciiTheme="majorBidi" w:hAnsiTheme="majorBidi" w:cstheme="majorBidi"/>
        </w:rPr>
        <w:t>年</w:t>
      </w:r>
      <w:r>
        <w:rPr>
          <w:rFonts w:asciiTheme="majorBidi" w:hAnsiTheme="majorBidi" w:cstheme="majorBidi"/>
        </w:rPr>
        <w:t>6</w:t>
      </w:r>
      <w:r w:rsidRPr="00682858">
        <w:rPr>
          <w:rFonts w:asciiTheme="majorBidi" w:hAnsiTheme="majorBidi" w:cstheme="majorBidi"/>
        </w:rPr>
        <w:t>月</w:t>
      </w:r>
      <w:r>
        <w:rPr>
          <w:rFonts w:asciiTheme="majorBidi" w:hAnsiTheme="majorBidi" w:cstheme="majorBidi"/>
        </w:rPr>
        <w:t>5</w:t>
      </w:r>
      <w:r w:rsidRPr="00682858">
        <w:rPr>
          <w:rFonts w:asciiTheme="majorBidi" w:hAnsiTheme="majorBidi" w:cstheme="majorBidi"/>
        </w:rPr>
        <w:t>日</w:t>
      </w:r>
      <w:r>
        <w:rPr>
          <w:rFonts w:asciiTheme="majorBidi" w:eastAsiaTheme="minorEastAsia" w:hAnsiTheme="majorBidi" w:cstheme="majorBidi" w:hint="eastAsia"/>
        </w:rPr>
        <w:t>，</w:t>
      </w:r>
      <w:r w:rsidRPr="00682858">
        <w:rPr>
          <w:rFonts w:asciiTheme="majorBidi" w:hAnsiTheme="majorBidi" w:cstheme="majorBidi"/>
        </w:rPr>
        <w:t>里约热内卢</w:t>
      </w:r>
      <w:r>
        <w:rPr>
          <w:rFonts w:asciiTheme="majorBidi" w:eastAsiaTheme="minorEastAsia" w:hAnsiTheme="majorBidi" w:cstheme="majorBidi" w:hint="eastAsia"/>
        </w:rPr>
        <w:t>)</w:t>
      </w:r>
      <w:r>
        <w:rPr>
          <w:rFonts w:asciiTheme="majorBidi" w:hAnsiTheme="majorBidi" w:cstheme="majorBidi"/>
        </w:rPr>
        <w:t>，</w:t>
      </w:r>
      <w:r w:rsidRPr="00682858">
        <w:rPr>
          <w:rFonts w:asciiTheme="majorBidi" w:hAnsiTheme="majorBidi" w:cstheme="majorBidi"/>
        </w:rPr>
        <w:t>联合国</w:t>
      </w:r>
      <w:r>
        <w:rPr>
          <w:rFonts w:asciiTheme="majorBidi" w:hAnsiTheme="majorBidi" w:cstheme="majorBidi"/>
          <w:spacing w:val="-4"/>
        </w:rPr>
        <w:t>，</w:t>
      </w:r>
      <w:r w:rsidRPr="00682858">
        <w:rPr>
          <w:rFonts w:asciiTheme="majorBidi" w:hAnsiTheme="majorBidi" w:cstheme="majorBidi"/>
          <w:spacing w:val="-4"/>
        </w:rPr>
        <w:t>《条约汇编》</w:t>
      </w:r>
      <w:r>
        <w:rPr>
          <w:rFonts w:asciiTheme="majorBidi" w:hAnsiTheme="majorBidi" w:cstheme="majorBidi"/>
          <w:spacing w:val="-4"/>
        </w:rPr>
        <w:t>，</w:t>
      </w:r>
      <w:r w:rsidRPr="00682858">
        <w:rPr>
          <w:rFonts w:asciiTheme="majorBidi" w:hAnsiTheme="majorBidi" w:cstheme="majorBidi"/>
          <w:spacing w:val="-4"/>
        </w:rPr>
        <w:t>第</w:t>
      </w:r>
      <w:r>
        <w:rPr>
          <w:rFonts w:asciiTheme="majorBidi" w:hAnsiTheme="majorBidi" w:cstheme="majorBidi"/>
          <w:spacing w:val="-4"/>
        </w:rPr>
        <w:t>1760</w:t>
      </w:r>
      <w:r w:rsidRPr="00682858">
        <w:rPr>
          <w:rFonts w:asciiTheme="majorBidi" w:hAnsiTheme="majorBidi" w:cstheme="majorBidi"/>
          <w:spacing w:val="-4"/>
        </w:rPr>
        <w:t>卷</w:t>
      </w:r>
      <w:r>
        <w:rPr>
          <w:rFonts w:asciiTheme="majorBidi" w:hAnsiTheme="majorBidi" w:cstheme="majorBidi"/>
          <w:spacing w:val="-4"/>
        </w:rPr>
        <w:t>，</w:t>
      </w:r>
      <w:r w:rsidRPr="00682858">
        <w:rPr>
          <w:rFonts w:asciiTheme="majorBidi" w:hAnsiTheme="majorBidi" w:cstheme="majorBidi"/>
          <w:spacing w:val="-4"/>
        </w:rPr>
        <w:t>第</w:t>
      </w:r>
      <w:r>
        <w:rPr>
          <w:rFonts w:asciiTheme="majorBidi" w:hAnsiTheme="majorBidi" w:cstheme="majorBidi"/>
          <w:spacing w:val="-4"/>
        </w:rPr>
        <w:t>30619</w:t>
      </w:r>
      <w:r w:rsidRPr="00682858">
        <w:rPr>
          <w:rFonts w:asciiTheme="majorBidi" w:hAnsiTheme="majorBidi" w:cstheme="majorBidi"/>
          <w:spacing w:val="-4"/>
        </w:rPr>
        <w:t>号</w:t>
      </w:r>
      <w:r>
        <w:rPr>
          <w:rFonts w:asciiTheme="majorBidi" w:hAnsiTheme="majorBidi" w:cstheme="majorBidi"/>
          <w:spacing w:val="-4"/>
        </w:rPr>
        <w:t>，</w:t>
      </w:r>
      <w:r w:rsidRPr="00682858">
        <w:rPr>
          <w:rFonts w:asciiTheme="majorBidi" w:hAnsiTheme="majorBidi" w:cstheme="majorBidi"/>
          <w:spacing w:val="-4"/>
        </w:rPr>
        <w:t>第</w:t>
      </w:r>
      <w:r>
        <w:rPr>
          <w:rFonts w:asciiTheme="majorBidi" w:hAnsiTheme="majorBidi" w:cstheme="majorBidi"/>
          <w:spacing w:val="-4"/>
        </w:rPr>
        <w:t>79</w:t>
      </w:r>
      <w:r w:rsidRPr="00682858">
        <w:rPr>
          <w:rFonts w:asciiTheme="majorBidi" w:hAnsiTheme="majorBidi" w:cstheme="majorBidi"/>
          <w:spacing w:val="-4"/>
        </w:rPr>
        <w:t>页。</w:t>
      </w:r>
    </w:p>
  </w:footnote>
  <w:footnote w:id="1344">
    <w:p w:rsidR="00AB00DE" w:rsidRPr="00682858" w:rsidRDefault="00AB00DE" w:rsidP="006735D4">
      <w:pPr>
        <w:pStyle w:val="a4"/>
        <w:rPr>
          <w:rFonts w:asciiTheme="majorBidi" w:hAnsiTheme="majorBidi" w:cstheme="majorBidi"/>
          <w:spacing w:val="-4"/>
        </w:rPr>
      </w:pPr>
      <w:r w:rsidRPr="00682858">
        <w:rPr>
          <w:rFonts w:asciiTheme="majorBidi" w:hAnsiTheme="majorBidi" w:cstheme="majorBidi"/>
          <w:spacing w:val="-4"/>
        </w:rPr>
        <w:tab/>
      </w:r>
      <w:r w:rsidRPr="00681AC8">
        <w:rPr>
          <w:rStyle w:val="a5"/>
        </w:rPr>
        <w:footnoteRef/>
      </w:r>
      <w:r w:rsidRPr="00E64449">
        <w:rPr>
          <w:rStyle w:val="a5"/>
          <w:rFonts w:asciiTheme="majorBidi" w:hAnsiTheme="majorBidi"/>
          <w:color w:val="000000" w:themeColor="text1"/>
        </w:rPr>
        <w:tab/>
      </w:r>
      <w:r w:rsidRPr="00682858">
        <w:rPr>
          <w:rFonts w:asciiTheme="majorBidi" w:hAnsiTheme="majorBidi" w:cstheme="majorBidi"/>
          <w:spacing w:val="-4"/>
        </w:rPr>
        <w:t>大会第</w:t>
      </w:r>
      <w:r>
        <w:rPr>
          <w:rFonts w:asciiTheme="majorBidi" w:hAnsiTheme="majorBidi" w:cstheme="majorBidi"/>
          <w:spacing w:val="-4"/>
        </w:rPr>
        <w:t>61/295</w:t>
      </w:r>
      <w:r w:rsidRPr="00682858">
        <w:rPr>
          <w:rFonts w:asciiTheme="majorBidi" w:hAnsiTheme="majorBidi" w:cstheme="majorBidi"/>
          <w:spacing w:val="-4"/>
        </w:rPr>
        <w:t>号决议附件</w:t>
      </w:r>
      <w:r>
        <w:rPr>
          <w:rFonts w:asciiTheme="majorBidi" w:hAnsiTheme="majorBidi" w:cstheme="majorBidi"/>
          <w:spacing w:val="-4"/>
        </w:rPr>
        <w:t>，</w:t>
      </w:r>
      <w:r w:rsidRPr="00682858">
        <w:rPr>
          <w:rFonts w:asciiTheme="majorBidi" w:hAnsiTheme="majorBidi" w:cstheme="majorBidi"/>
          <w:spacing w:val="-4"/>
        </w:rPr>
        <w:t>第</w:t>
      </w:r>
      <w:r>
        <w:rPr>
          <w:rFonts w:asciiTheme="majorBidi" w:hAnsiTheme="majorBidi" w:cstheme="majorBidi"/>
          <w:spacing w:val="-4"/>
        </w:rPr>
        <w:t>12</w:t>
      </w:r>
      <w:r w:rsidRPr="00682858">
        <w:rPr>
          <w:rFonts w:asciiTheme="majorBidi" w:hAnsiTheme="majorBidi" w:cstheme="majorBidi"/>
          <w:spacing w:val="-4"/>
        </w:rPr>
        <w:t>条。</w:t>
      </w:r>
    </w:p>
  </w:footnote>
  <w:footnote w:id="1345">
    <w:p w:rsidR="00AB00DE" w:rsidRPr="008F00E7" w:rsidRDefault="00AB00DE" w:rsidP="006735D4">
      <w:pPr>
        <w:pStyle w:val="a4"/>
        <w:rPr>
          <w:rFonts w:asciiTheme="majorBidi" w:hAnsiTheme="majorBidi" w:cstheme="majorBidi"/>
        </w:rPr>
      </w:pPr>
      <w:r w:rsidRPr="00682858">
        <w:rPr>
          <w:rFonts w:asciiTheme="majorBidi" w:hAnsiTheme="majorBidi" w:cstheme="majorBidi"/>
          <w:spacing w:val="-4"/>
        </w:rPr>
        <w:tab/>
      </w:r>
      <w:r w:rsidRPr="00681AC8">
        <w:rPr>
          <w:rStyle w:val="a5"/>
        </w:rPr>
        <w:footnoteRef/>
      </w:r>
      <w:r w:rsidRPr="00682858">
        <w:rPr>
          <w:rFonts w:asciiTheme="majorBidi" w:hAnsiTheme="majorBidi" w:cstheme="majorBidi"/>
          <w:spacing w:val="-4"/>
        </w:rPr>
        <w:tab/>
      </w:r>
      <w:r w:rsidRPr="008F00E7">
        <w:rPr>
          <w:rFonts w:asciiTheme="majorBidi" w:hAnsiTheme="majorBidi" w:cstheme="majorBidi"/>
        </w:rPr>
        <w:t>《关于危害环境的活动造成损害的民事责任公约》</w:t>
      </w:r>
      <w:r w:rsidRPr="008F00E7">
        <w:rPr>
          <w:rFonts w:asciiTheme="majorBidi" w:eastAsiaTheme="minorEastAsia" w:hAnsiTheme="majorBidi" w:cstheme="majorBidi" w:hint="eastAsia"/>
        </w:rPr>
        <w:t>(</w:t>
      </w:r>
      <w:r w:rsidRPr="008F00E7">
        <w:rPr>
          <w:rFonts w:asciiTheme="majorBidi" w:hAnsiTheme="majorBidi" w:cstheme="majorBidi"/>
        </w:rPr>
        <w:t>1993</w:t>
      </w:r>
      <w:r w:rsidRPr="008F00E7">
        <w:rPr>
          <w:rFonts w:asciiTheme="majorBidi" w:hAnsiTheme="majorBidi" w:cstheme="majorBidi"/>
        </w:rPr>
        <w:t>年</w:t>
      </w:r>
      <w:r w:rsidRPr="008F00E7">
        <w:rPr>
          <w:rFonts w:asciiTheme="majorBidi" w:hAnsiTheme="majorBidi" w:cstheme="majorBidi"/>
        </w:rPr>
        <w:t>6</w:t>
      </w:r>
      <w:r w:rsidRPr="008F00E7">
        <w:rPr>
          <w:rFonts w:asciiTheme="majorBidi" w:hAnsiTheme="majorBidi" w:cstheme="majorBidi"/>
        </w:rPr>
        <w:t>月</w:t>
      </w:r>
      <w:r w:rsidRPr="008F00E7">
        <w:rPr>
          <w:rFonts w:asciiTheme="majorBidi" w:hAnsiTheme="majorBidi" w:cstheme="majorBidi"/>
        </w:rPr>
        <w:t>21</w:t>
      </w:r>
      <w:r w:rsidRPr="008F00E7">
        <w:rPr>
          <w:rFonts w:asciiTheme="majorBidi" w:hAnsiTheme="majorBidi" w:cstheme="majorBidi"/>
        </w:rPr>
        <w:t>日</w:t>
      </w:r>
      <w:r w:rsidRPr="008F00E7">
        <w:rPr>
          <w:rFonts w:asciiTheme="majorBidi" w:eastAsiaTheme="minorEastAsia" w:hAnsiTheme="majorBidi" w:cstheme="majorBidi" w:hint="eastAsia"/>
        </w:rPr>
        <w:t>，</w:t>
      </w:r>
      <w:r w:rsidRPr="008F00E7">
        <w:rPr>
          <w:rFonts w:asciiTheme="majorBidi" w:hAnsiTheme="majorBidi" w:cstheme="majorBidi"/>
        </w:rPr>
        <w:t>卢加诺</w:t>
      </w:r>
      <w:r w:rsidRPr="008F00E7">
        <w:rPr>
          <w:rFonts w:asciiTheme="majorBidi" w:eastAsiaTheme="minorEastAsia" w:hAnsiTheme="majorBidi" w:cstheme="majorBidi" w:hint="eastAsia"/>
        </w:rPr>
        <w:t>)</w:t>
      </w:r>
      <w:r w:rsidRPr="008F00E7">
        <w:rPr>
          <w:rFonts w:asciiTheme="majorBidi" w:hAnsiTheme="majorBidi" w:cstheme="majorBidi"/>
        </w:rPr>
        <w:t>，欧洲委员会，《欧洲条约汇编》，第</w:t>
      </w:r>
      <w:r w:rsidRPr="008F00E7">
        <w:rPr>
          <w:rFonts w:asciiTheme="majorBidi" w:hAnsiTheme="majorBidi" w:cstheme="majorBidi"/>
        </w:rPr>
        <w:t>150</w:t>
      </w:r>
      <w:r w:rsidRPr="008F00E7">
        <w:rPr>
          <w:rFonts w:asciiTheme="majorBidi" w:hAnsiTheme="majorBidi" w:cstheme="majorBidi"/>
        </w:rPr>
        <w:t>号。欲了解有关多边环境协定对具有特别环境意义的区域的适用问题的更多情况，可参阅</w:t>
      </w:r>
      <w:r w:rsidRPr="008F00E7">
        <w:rPr>
          <w:rFonts w:asciiTheme="majorBidi" w:hAnsiTheme="majorBidi" w:cstheme="majorBidi"/>
        </w:rPr>
        <w:t>B</w:t>
      </w:r>
      <w:r w:rsidRPr="008F00E7">
        <w:rPr>
          <w:rFonts w:asciiTheme="majorBidi" w:eastAsiaTheme="minorEastAsia" w:hAnsiTheme="majorBidi" w:cstheme="majorBidi" w:hint="eastAsia"/>
        </w:rPr>
        <w:t>.</w:t>
      </w:r>
      <w:r w:rsidRPr="008F00E7">
        <w:rPr>
          <w:rFonts w:asciiTheme="majorBidi" w:hAnsiTheme="majorBidi" w:cstheme="majorBidi"/>
        </w:rPr>
        <w:t xml:space="preserve"> Sjöstedt</w:t>
      </w:r>
      <w:r w:rsidRPr="008F00E7">
        <w:rPr>
          <w:rFonts w:asciiTheme="majorBidi" w:hAnsiTheme="majorBidi" w:cstheme="majorBidi"/>
        </w:rPr>
        <w:t>著，</w:t>
      </w:r>
      <w:r w:rsidRPr="008F00E7">
        <w:rPr>
          <w:rFonts w:asciiTheme="majorBidi" w:hAnsiTheme="majorBidi" w:cstheme="majorBidi"/>
        </w:rPr>
        <w:t>Protecting the Environment in Relation to Armed Conflict:The Role of Multilateral Environmental Agreements (</w:t>
      </w:r>
      <w:r w:rsidRPr="008F00E7">
        <w:rPr>
          <w:rFonts w:asciiTheme="majorBidi" w:hAnsiTheme="majorBidi" w:cstheme="majorBidi"/>
        </w:rPr>
        <w:t>博士论文，伦德大学，</w:t>
      </w:r>
      <w:r w:rsidRPr="008F00E7">
        <w:rPr>
          <w:rFonts w:asciiTheme="majorBidi" w:hAnsiTheme="majorBidi" w:cstheme="majorBidi"/>
        </w:rPr>
        <w:t>2016</w:t>
      </w:r>
      <w:r w:rsidRPr="008F00E7">
        <w:rPr>
          <w:rFonts w:asciiTheme="majorBidi" w:hAnsiTheme="majorBidi" w:cstheme="majorBidi"/>
        </w:rPr>
        <w:t>年</w:t>
      </w:r>
      <w:r w:rsidRPr="008F00E7">
        <w:rPr>
          <w:rFonts w:asciiTheme="majorBidi" w:hAnsiTheme="majorBidi" w:cstheme="majorBidi"/>
        </w:rPr>
        <w:t>)</w:t>
      </w:r>
      <w:r w:rsidRPr="008F00E7">
        <w:rPr>
          <w:rFonts w:asciiTheme="majorBidi" w:hAnsiTheme="majorBidi" w:cstheme="majorBidi"/>
        </w:rPr>
        <w:t>。</w:t>
      </w:r>
    </w:p>
  </w:footnote>
  <w:footnote w:id="1346">
    <w:p w:rsidR="00AB00DE" w:rsidRPr="008F00E7" w:rsidRDefault="00AB00DE" w:rsidP="006735D4">
      <w:pPr>
        <w:pStyle w:val="a4"/>
        <w:rPr>
          <w:rFonts w:asciiTheme="majorBidi" w:hAnsiTheme="majorBidi" w:cstheme="majorBidi"/>
        </w:rPr>
      </w:pPr>
      <w:r w:rsidRPr="00682858">
        <w:rPr>
          <w:rFonts w:asciiTheme="majorBidi" w:hAnsiTheme="majorBidi" w:cstheme="majorBidi"/>
          <w:spacing w:val="-4"/>
        </w:rPr>
        <w:tab/>
      </w:r>
      <w:r w:rsidRPr="00681AC8">
        <w:rPr>
          <w:rStyle w:val="a5"/>
        </w:rPr>
        <w:footnoteRef/>
      </w:r>
      <w:r w:rsidRPr="00682858">
        <w:rPr>
          <w:rFonts w:asciiTheme="majorBidi" w:hAnsiTheme="majorBidi" w:cstheme="majorBidi"/>
          <w:spacing w:val="-4"/>
          <w:vertAlign w:val="superscript"/>
        </w:rPr>
        <w:tab/>
      </w:r>
      <w:r w:rsidRPr="008F00E7">
        <w:rPr>
          <w:rFonts w:asciiTheme="majorBidi" w:hAnsiTheme="majorBidi" w:cstheme="majorBidi"/>
        </w:rPr>
        <w:t>《跨界水道和国际湖泊保护和利用公约》</w:t>
      </w:r>
      <w:r w:rsidRPr="008F00E7">
        <w:rPr>
          <w:rFonts w:asciiTheme="majorBidi" w:eastAsiaTheme="minorEastAsia" w:hAnsiTheme="majorBidi" w:cstheme="majorBidi" w:hint="eastAsia"/>
        </w:rPr>
        <w:t>(</w:t>
      </w:r>
      <w:r w:rsidRPr="008F00E7">
        <w:rPr>
          <w:rFonts w:asciiTheme="majorBidi" w:hAnsiTheme="majorBidi" w:cstheme="majorBidi"/>
        </w:rPr>
        <w:t>1992</w:t>
      </w:r>
      <w:r w:rsidRPr="008F00E7">
        <w:rPr>
          <w:rFonts w:asciiTheme="majorBidi" w:hAnsiTheme="majorBidi" w:cstheme="majorBidi"/>
        </w:rPr>
        <w:t>年</w:t>
      </w:r>
      <w:r w:rsidRPr="008F00E7">
        <w:rPr>
          <w:rFonts w:asciiTheme="majorBidi" w:hAnsiTheme="majorBidi" w:cstheme="majorBidi"/>
        </w:rPr>
        <w:t>3</w:t>
      </w:r>
      <w:r w:rsidRPr="008F00E7">
        <w:rPr>
          <w:rFonts w:asciiTheme="majorBidi" w:hAnsiTheme="majorBidi" w:cstheme="majorBidi"/>
        </w:rPr>
        <w:t>月</w:t>
      </w:r>
      <w:r w:rsidRPr="008F00E7">
        <w:rPr>
          <w:rFonts w:asciiTheme="majorBidi" w:hAnsiTheme="majorBidi" w:cstheme="majorBidi"/>
        </w:rPr>
        <w:t>17</w:t>
      </w:r>
      <w:r w:rsidRPr="008F00E7">
        <w:rPr>
          <w:rFonts w:asciiTheme="majorBidi" w:hAnsiTheme="majorBidi" w:cstheme="majorBidi"/>
        </w:rPr>
        <w:t>日</w:t>
      </w:r>
      <w:r w:rsidRPr="008F00E7">
        <w:rPr>
          <w:rFonts w:asciiTheme="majorBidi" w:eastAsiaTheme="minorEastAsia" w:hAnsiTheme="majorBidi" w:cstheme="majorBidi" w:hint="eastAsia"/>
        </w:rPr>
        <w:t>，</w:t>
      </w:r>
      <w:r w:rsidRPr="008F00E7">
        <w:rPr>
          <w:rFonts w:asciiTheme="majorBidi" w:hAnsiTheme="majorBidi" w:cstheme="majorBidi"/>
        </w:rPr>
        <w:t>赫尔辛基</w:t>
      </w:r>
      <w:r w:rsidRPr="008F00E7">
        <w:rPr>
          <w:rFonts w:asciiTheme="majorBidi" w:eastAsiaTheme="minorEastAsia" w:hAnsiTheme="majorBidi" w:cstheme="majorBidi" w:hint="eastAsia"/>
        </w:rPr>
        <w:t>)</w:t>
      </w:r>
      <w:r w:rsidRPr="008F00E7">
        <w:rPr>
          <w:rFonts w:asciiTheme="majorBidi" w:hAnsiTheme="majorBidi" w:cstheme="majorBidi"/>
        </w:rPr>
        <w:t>，联合国，《条约汇编》，第</w:t>
      </w:r>
      <w:r w:rsidRPr="008F00E7">
        <w:rPr>
          <w:rFonts w:asciiTheme="majorBidi" w:hAnsiTheme="majorBidi" w:cstheme="majorBidi"/>
        </w:rPr>
        <w:t>1936</w:t>
      </w:r>
      <w:r w:rsidRPr="008F00E7">
        <w:rPr>
          <w:rFonts w:asciiTheme="majorBidi" w:hAnsiTheme="majorBidi" w:cstheme="majorBidi"/>
        </w:rPr>
        <w:t>卷，第</w:t>
      </w:r>
      <w:r w:rsidRPr="008F00E7">
        <w:rPr>
          <w:rFonts w:asciiTheme="majorBidi" w:hAnsiTheme="majorBidi" w:cstheme="majorBidi"/>
        </w:rPr>
        <w:t>33207</w:t>
      </w:r>
      <w:r w:rsidRPr="008F00E7">
        <w:rPr>
          <w:rFonts w:asciiTheme="majorBidi" w:hAnsiTheme="majorBidi" w:cstheme="majorBidi"/>
        </w:rPr>
        <w:t>号，第</w:t>
      </w:r>
      <w:r w:rsidRPr="008F00E7">
        <w:rPr>
          <w:rFonts w:asciiTheme="majorBidi" w:hAnsiTheme="majorBidi" w:cstheme="majorBidi"/>
        </w:rPr>
        <w:t>269</w:t>
      </w:r>
      <w:r w:rsidRPr="008F00E7">
        <w:rPr>
          <w:rFonts w:asciiTheme="majorBidi" w:hAnsiTheme="majorBidi" w:cstheme="majorBidi"/>
        </w:rPr>
        <w:t>页。</w:t>
      </w:r>
    </w:p>
  </w:footnote>
  <w:footnote w:id="1347">
    <w:p w:rsidR="00AB00DE" w:rsidRPr="008F00E7" w:rsidRDefault="00AB00DE" w:rsidP="006735D4">
      <w:pPr>
        <w:pStyle w:val="a4"/>
      </w:pPr>
      <w:r w:rsidRPr="001054A1">
        <w:tab/>
      </w:r>
      <w:r w:rsidRPr="00681AC8">
        <w:rPr>
          <w:rStyle w:val="a5"/>
          <w:rFonts w:cstheme="majorBidi"/>
        </w:rPr>
        <w:footnoteRef/>
      </w:r>
      <w:r w:rsidRPr="001054A1">
        <w:tab/>
      </w:r>
      <w:r w:rsidRPr="008F00E7">
        <w:t>《生物多样性公约》序言。</w:t>
      </w:r>
    </w:p>
  </w:footnote>
  <w:footnote w:id="1348">
    <w:p w:rsidR="00AB00DE" w:rsidRPr="008F00E7" w:rsidRDefault="00AB00DE" w:rsidP="006735D4">
      <w:pPr>
        <w:pStyle w:val="a4"/>
      </w:pPr>
      <w:r w:rsidRPr="008F00E7">
        <w:tab/>
      </w:r>
      <w:r w:rsidRPr="00681AC8">
        <w:rPr>
          <w:rStyle w:val="a5"/>
          <w:rFonts w:cstheme="majorBidi"/>
        </w:rPr>
        <w:footnoteRef/>
      </w:r>
      <w:r w:rsidRPr="008F00E7">
        <w:tab/>
      </w:r>
      <w:r w:rsidRPr="008F00E7">
        <w:t>国际自然保护联盟，禁止在国际保护区开展敌对军事活动公约草案</w:t>
      </w:r>
      <w:r w:rsidRPr="008F00E7">
        <w:t>(1996</w:t>
      </w:r>
      <w:r w:rsidRPr="008F00E7">
        <w:t>年</w:t>
      </w:r>
      <w:r w:rsidRPr="008F00E7">
        <w:t>)</w:t>
      </w:r>
      <w:r w:rsidRPr="008F00E7">
        <w:t>，第</w:t>
      </w:r>
      <w:r w:rsidRPr="008F00E7">
        <w:t>1</w:t>
      </w:r>
      <w:r w:rsidRPr="008F00E7">
        <w:t>条。</w:t>
      </w:r>
    </w:p>
  </w:footnote>
  <w:footnote w:id="1349">
    <w:p w:rsidR="00AB00DE" w:rsidRPr="008F00E7" w:rsidRDefault="00AB00DE" w:rsidP="006735D4">
      <w:pPr>
        <w:pStyle w:val="a4"/>
      </w:pPr>
      <w:r w:rsidRPr="008F00E7">
        <w:tab/>
      </w:r>
      <w:r w:rsidRPr="00681AC8">
        <w:rPr>
          <w:rStyle w:val="a5"/>
          <w:rFonts w:cstheme="majorBidi"/>
        </w:rPr>
        <w:footnoteRef/>
      </w:r>
      <w:r w:rsidRPr="008F00E7">
        <w:rPr>
          <w:vertAlign w:val="superscript"/>
        </w:rPr>
        <w:tab/>
      </w:r>
      <w:r w:rsidRPr="008F00E7">
        <w:t>日本《文化财产保护法》，第</w:t>
      </w:r>
      <w:r w:rsidRPr="008F00E7">
        <w:t>214</w:t>
      </w:r>
      <w:r w:rsidRPr="008F00E7">
        <w:t>号法，</w:t>
      </w:r>
      <w:r w:rsidRPr="008F00E7">
        <w:t>1950</w:t>
      </w:r>
      <w:r w:rsidRPr="008F00E7">
        <w:t>年</w:t>
      </w:r>
      <w:r w:rsidRPr="008F00E7">
        <w:t>5</w:t>
      </w:r>
      <w:r w:rsidRPr="008F00E7">
        <w:t>月</w:t>
      </w:r>
      <w:r w:rsidRPr="008F00E7">
        <w:t>30</w:t>
      </w:r>
      <w:r w:rsidRPr="008F00E7">
        <w:t>日</w:t>
      </w:r>
      <w:r w:rsidRPr="008F00E7">
        <w:rPr>
          <w:rFonts w:eastAsiaTheme="minorEastAsia" w:hint="eastAsia"/>
        </w:rPr>
        <w:t>。</w:t>
      </w:r>
      <w:r w:rsidRPr="008F00E7">
        <w:t>见</w:t>
      </w:r>
      <w:r w:rsidRPr="00C37E00">
        <w:rPr>
          <w:rFonts w:asciiTheme="majorBidi" w:hAnsiTheme="majorBidi" w:cstheme="majorBidi"/>
        </w:rPr>
        <w:t>http:</w:t>
      </w:r>
      <w:r w:rsidRPr="00C37E00">
        <w:rPr>
          <w:rFonts w:asciiTheme="majorBidi" w:hAnsiTheme="majorBidi" w:cstheme="majorBidi" w:hint="eastAsia"/>
        </w:rPr>
        <w:t>//</w:t>
      </w:r>
      <w:r w:rsidRPr="00C37E00">
        <w:rPr>
          <w:rFonts w:asciiTheme="majorBidi" w:hAnsiTheme="majorBidi" w:cstheme="majorBidi"/>
        </w:rPr>
        <w:t>www.unesco.org/culture/</w:t>
      </w:r>
      <w:r w:rsidRPr="00C37E00">
        <w:rPr>
          <w:rFonts w:asciiTheme="majorBidi" w:hAnsiTheme="majorBidi" w:cstheme="majorBidi" w:hint="eastAsia"/>
        </w:rPr>
        <w:t xml:space="preserve"> </w:t>
      </w:r>
      <w:r w:rsidRPr="00C37E00">
        <w:rPr>
          <w:rFonts w:asciiTheme="majorBidi" w:hAnsiTheme="majorBidi" w:cstheme="majorBidi"/>
        </w:rPr>
        <w:t>natlaws/media/pdf/japan/japan_l</w:t>
      </w:r>
      <w:r w:rsidRPr="00C37E00">
        <w:rPr>
          <w:rFonts w:asciiTheme="majorBidi" w:hAnsiTheme="majorBidi" w:cstheme="majorBidi" w:hint="eastAsia"/>
        </w:rPr>
        <w:t xml:space="preserve"> </w:t>
      </w:r>
      <w:r w:rsidRPr="00C37E00">
        <w:rPr>
          <w:rFonts w:asciiTheme="majorBidi" w:hAnsiTheme="majorBidi" w:cstheme="majorBidi"/>
        </w:rPr>
        <w:t>awprotectionculturalproperty_engtof.pdf</w:t>
      </w:r>
      <w:r w:rsidRPr="007F0135">
        <w:rPr>
          <w:rFonts w:hint="eastAsia"/>
        </w:rPr>
        <w:t>(2016</w:t>
      </w:r>
      <w:r w:rsidRPr="007F0135">
        <w:rPr>
          <w:rFonts w:hint="eastAsia"/>
        </w:rPr>
        <w:t>年</w:t>
      </w:r>
      <w:r>
        <w:rPr>
          <w:rFonts w:hint="eastAsia"/>
        </w:rPr>
        <w:t>7</w:t>
      </w:r>
      <w:r w:rsidRPr="007F0135">
        <w:rPr>
          <w:rFonts w:hint="eastAsia"/>
        </w:rPr>
        <w:t>月</w:t>
      </w:r>
      <w:r w:rsidRPr="007F0135">
        <w:rPr>
          <w:rFonts w:hint="eastAsia"/>
        </w:rPr>
        <w:t>28</w:t>
      </w:r>
      <w:r w:rsidRPr="007F0135">
        <w:rPr>
          <w:rFonts w:hint="eastAsia"/>
        </w:rPr>
        <w:t>日检索</w:t>
      </w:r>
      <w:r w:rsidRPr="007F0135">
        <w:rPr>
          <w:rFonts w:hint="eastAsia"/>
        </w:rPr>
        <w:t>)</w:t>
      </w:r>
      <w:r w:rsidRPr="008F00E7">
        <w:rPr>
          <w:rFonts w:hint="eastAsia"/>
        </w:rPr>
        <w:t>。</w:t>
      </w:r>
    </w:p>
  </w:footnote>
  <w:footnote w:id="1350">
    <w:p w:rsidR="00AB00DE" w:rsidRPr="008F00E7" w:rsidRDefault="00AB00DE" w:rsidP="006735D4">
      <w:pPr>
        <w:pStyle w:val="a4"/>
      </w:pPr>
      <w:r w:rsidRPr="008F00E7">
        <w:tab/>
      </w:r>
      <w:r w:rsidRPr="00681AC8">
        <w:rPr>
          <w:rStyle w:val="a5"/>
          <w:rFonts w:cstheme="majorBidi"/>
        </w:rPr>
        <w:footnoteRef/>
      </w:r>
      <w:r w:rsidRPr="008F00E7">
        <w:tab/>
      </w:r>
      <w:r w:rsidRPr="008F00E7">
        <w:t>新南威尔士州综合法，《国家公园和野生生物法》，</w:t>
      </w:r>
      <w:r w:rsidRPr="008F00E7">
        <w:t>1974</w:t>
      </w:r>
      <w:r w:rsidRPr="008F00E7">
        <w:t>年第</w:t>
      </w:r>
      <w:r w:rsidRPr="008F00E7">
        <w:t>80</w:t>
      </w:r>
      <w:r w:rsidRPr="008F00E7">
        <w:t>号法</w:t>
      </w:r>
      <w:r w:rsidRPr="008F00E7">
        <w:rPr>
          <w:rFonts w:eastAsiaTheme="minorEastAsia" w:hint="eastAsia"/>
        </w:rPr>
        <w:t>。</w:t>
      </w:r>
      <w:r w:rsidRPr="008F00E7">
        <w:t>见</w:t>
      </w:r>
      <w:r w:rsidRPr="00C37E00">
        <w:rPr>
          <w:rFonts w:asciiTheme="majorBidi" w:hAnsiTheme="majorBidi" w:cstheme="majorBidi"/>
        </w:rPr>
        <w:t>http://www.austlii.</w:t>
      </w:r>
      <w:r w:rsidRPr="00C37E00">
        <w:rPr>
          <w:rFonts w:asciiTheme="majorBidi" w:hAnsiTheme="majorBidi" w:cstheme="majorBidi" w:hint="eastAsia"/>
        </w:rPr>
        <w:t xml:space="preserve"> </w:t>
      </w:r>
      <w:r w:rsidRPr="00C37E00">
        <w:rPr>
          <w:rFonts w:asciiTheme="majorBidi" w:hAnsiTheme="majorBidi" w:cstheme="majorBidi"/>
        </w:rPr>
        <w:t>edu.au/au/legis/nsw/consol_act/npawa1974247/</w:t>
      </w:r>
      <w:r w:rsidRPr="007F0135">
        <w:rPr>
          <w:rFonts w:hint="eastAsia"/>
        </w:rPr>
        <w:t>(2016</w:t>
      </w:r>
      <w:r w:rsidRPr="007F0135">
        <w:rPr>
          <w:rFonts w:hint="eastAsia"/>
        </w:rPr>
        <w:t>年</w:t>
      </w:r>
      <w:r>
        <w:rPr>
          <w:rFonts w:hint="eastAsia"/>
        </w:rPr>
        <w:t>7</w:t>
      </w:r>
      <w:r w:rsidRPr="007F0135">
        <w:rPr>
          <w:rFonts w:hint="eastAsia"/>
        </w:rPr>
        <w:t>月</w:t>
      </w:r>
      <w:r w:rsidRPr="007F0135">
        <w:rPr>
          <w:rFonts w:hint="eastAsia"/>
        </w:rPr>
        <w:t>28</w:t>
      </w:r>
      <w:r w:rsidRPr="007F0135">
        <w:rPr>
          <w:rFonts w:hint="eastAsia"/>
        </w:rPr>
        <w:t>日检索</w:t>
      </w:r>
      <w:r w:rsidRPr="007F0135">
        <w:rPr>
          <w:rFonts w:hint="eastAsia"/>
        </w:rPr>
        <w:t>)</w:t>
      </w:r>
      <w:r w:rsidRPr="008F00E7">
        <w:rPr>
          <w:rFonts w:hint="eastAsia"/>
        </w:rPr>
        <w:t>。</w:t>
      </w:r>
    </w:p>
  </w:footnote>
  <w:footnote w:id="1351">
    <w:p w:rsidR="00AB00DE" w:rsidRPr="008F00E7" w:rsidRDefault="00AB00DE" w:rsidP="006735D4">
      <w:pPr>
        <w:pStyle w:val="a4"/>
      </w:pPr>
      <w:r w:rsidRPr="008F00E7">
        <w:tab/>
      </w:r>
      <w:r w:rsidRPr="00681AC8">
        <w:rPr>
          <w:rStyle w:val="a5"/>
          <w:rFonts w:cstheme="majorBidi"/>
        </w:rPr>
        <w:footnoteRef/>
      </w:r>
      <w:r w:rsidRPr="008F00E7">
        <w:rPr>
          <w:rStyle w:val="a5"/>
          <w:rFonts w:asciiTheme="majorBidi" w:hAnsiTheme="majorBidi" w:cstheme="majorBidi"/>
          <w:color w:val="000000" w:themeColor="text1"/>
        </w:rPr>
        <w:tab/>
      </w:r>
      <w:r w:rsidRPr="008F00E7">
        <w:t>意大利第</w:t>
      </w:r>
      <w:r w:rsidRPr="008F00E7">
        <w:t>394</w:t>
      </w:r>
      <w:r w:rsidRPr="008F00E7">
        <w:t>号法奠定了保护区的法律框架，</w:t>
      </w:r>
      <w:r w:rsidRPr="008F00E7">
        <w:t>1991</w:t>
      </w:r>
      <w:r w:rsidRPr="008F00E7">
        <w:t>年</w:t>
      </w:r>
      <w:r w:rsidRPr="008F00E7">
        <w:t>12</w:t>
      </w:r>
      <w:r w:rsidRPr="008F00E7">
        <w:t>月</w:t>
      </w:r>
      <w:r w:rsidRPr="008F00E7">
        <w:t>6</w:t>
      </w:r>
      <w:r w:rsidRPr="008F00E7">
        <w:t>日，见</w:t>
      </w:r>
      <w:r w:rsidRPr="00C37E00">
        <w:rPr>
          <w:rFonts w:asciiTheme="majorBidi" w:hAnsiTheme="majorBidi" w:cstheme="majorBidi"/>
        </w:rPr>
        <w:t>http:</w:t>
      </w:r>
      <w:r w:rsidRPr="00C37E00">
        <w:rPr>
          <w:rFonts w:asciiTheme="majorBidi" w:hAnsiTheme="majorBidi" w:cstheme="majorBidi" w:hint="eastAsia"/>
        </w:rPr>
        <w:t>//</w:t>
      </w:r>
      <w:r w:rsidRPr="00C37E00">
        <w:rPr>
          <w:rFonts w:asciiTheme="majorBidi" w:hAnsiTheme="majorBidi" w:cstheme="majorBidi"/>
        </w:rPr>
        <w:t>faolex.fao.</w:t>
      </w:r>
      <w:r w:rsidRPr="00C37E00">
        <w:rPr>
          <w:rFonts w:asciiTheme="majorBidi" w:eastAsiaTheme="minorEastAsia" w:hAnsiTheme="majorBidi" w:cstheme="majorBidi" w:hint="eastAsia"/>
        </w:rPr>
        <w:t>org</w:t>
      </w:r>
      <w:r w:rsidRPr="008F00E7">
        <w:rPr>
          <w:rFonts w:hint="eastAsia"/>
        </w:rPr>
        <w:t>。</w:t>
      </w:r>
    </w:p>
  </w:footnote>
  <w:footnote w:id="1352">
    <w:p w:rsidR="00AB00DE" w:rsidRPr="00114DF4" w:rsidRDefault="00AB00DE" w:rsidP="00334F8C">
      <w:pPr>
        <w:pStyle w:val="a4"/>
      </w:pPr>
      <w:r w:rsidRPr="00114DF4">
        <w:tab/>
      </w:r>
      <w:r w:rsidRPr="00681AC8">
        <w:rPr>
          <w:rStyle w:val="a5"/>
          <w:rFonts w:cstheme="majorBidi"/>
        </w:rPr>
        <w:footnoteRef/>
      </w:r>
      <w:r w:rsidRPr="00114DF4">
        <w:tab/>
      </w:r>
      <w:r w:rsidRPr="00114DF4">
        <w:t>见《第一议定书》第三十五和第五十五条。</w:t>
      </w:r>
      <w:r>
        <w:t>红十字委员会</w:t>
      </w:r>
      <w:r w:rsidRPr="00114DF4">
        <w:t>关于《日内瓦四公约第一议定书》第五十五条的评注主张</w:t>
      </w:r>
      <w:r>
        <w:t>，</w:t>
      </w:r>
      <w:r w:rsidRPr="00114DF4">
        <w:t>应广义地理解</w:t>
      </w:r>
      <w:r>
        <w:rPr>
          <w:rFonts w:hint="eastAsia"/>
        </w:rPr>
        <w:t>“</w:t>
      </w:r>
      <w:r w:rsidRPr="00114DF4">
        <w:t>自然环境</w:t>
      </w:r>
      <w:r>
        <w:rPr>
          <w:rFonts w:hint="eastAsia"/>
        </w:rPr>
        <w:t>”</w:t>
      </w:r>
      <w:r>
        <w:t>，</w:t>
      </w:r>
      <w:r w:rsidRPr="00114DF4">
        <w:t>其中包括人口生活的</w:t>
      </w:r>
      <w:r>
        <w:rPr>
          <w:rFonts w:hint="eastAsia"/>
        </w:rPr>
        <w:t>“</w:t>
      </w:r>
      <w:r w:rsidRPr="00114DF4">
        <w:t>生物环境</w:t>
      </w:r>
      <w:r>
        <w:rPr>
          <w:rFonts w:hint="eastAsia"/>
        </w:rPr>
        <w:t>”</w:t>
      </w:r>
      <w:r w:rsidRPr="00114DF4">
        <w:t>。见</w:t>
      </w:r>
      <w:r>
        <w:t>Pilloud</w:t>
      </w:r>
      <w:r w:rsidRPr="00114DF4">
        <w:t>和</w:t>
      </w:r>
      <w:r>
        <w:t>Pictet</w:t>
      </w:r>
      <w:r>
        <w:rPr>
          <w:rFonts w:eastAsiaTheme="minorEastAsia" w:hint="eastAsia"/>
        </w:rPr>
        <w:t>(</w:t>
      </w:r>
      <w:r w:rsidRPr="00114DF4">
        <w:t>上文</w:t>
      </w:r>
      <w:r>
        <w:rPr>
          <w:rFonts w:eastAsiaTheme="minorEastAsia" w:hint="eastAsia"/>
        </w:rPr>
        <w:t>脚</w:t>
      </w:r>
      <w:r w:rsidRPr="00114DF4">
        <w:t>注</w:t>
      </w:r>
      <w:r>
        <w:fldChar w:fldCharType="begin"/>
      </w:r>
      <w:r>
        <w:instrText xml:space="preserve"> NOTEREF _Ref461978123 \h </w:instrText>
      </w:r>
      <w:r>
        <w:fldChar w:fldCharType="separate"/>
      </w:r>
      <w:r w:rsidR="00A73EB9">
        <w:t>1335</w:t>
      </w:r>
      <w:r>
        <w:fldChar w:fldCharType="end"/>
      </w:r>
      <w:r>
        <w:rPr>
          <w:rFonts w:eastAsiaTheme="minorEastAsia" w:hint="eastAsia"/>
        </w:rPr>
        <w:t>)</w:t>
      </w:r>
      <w:r>
        <w:rPr>
          <w:rFonts w:eastAsiaTheme="minorEastAsia" w:hint="eastAsia"/>
        </w:rPr>
        <w:t>，</w:t>
      </w:r>
      <w:r w:rsidRPr="00114DF4">
        <w:t>第</w:t>
      </w:r>
      <w:r>
        <w:t>662</w:t>
      </w:r>
      <w:r w:rsidRPr="00114DF4">
        <w:t>页</w:t>
      </w:r>
      <w:r>
        <w:t>，</w:t>
      </w:r>
      <w:r>
        <w:rPr>
          <w:rFonts w:hint="eastAsia"/>
        </w:rPr>
        <w:t>“</w:t>
      </w:r>
      <w:r w:rsidRPr="00114DF4">
        <w:t>自然环境</w:t>
      </w:r>
      <w:r>
        <w:rPr>
          <w:rFonts w:hint="eastAsia"/>
        </w:rPr>
        <w:t>”“</w:t>
      </w:r>
      <w:r w:rsidRPr="00114DF4">
        <w:t>不仅仅由对于生存而言不可或缺的物体组成</w:t>
      </w:r>
      <w:r>
        <w:t>，</w:t>
      </w:r>
      <w:r w:rsidRPr="009124FF">
        <w:rPr>
          <w:rFonts w:hint="eastAsia"/>
        </w:rPr>
        <w:t>……</w:t>
      </w:r>
      <w:r w:rsidRPr="00114DF4">
        <w:t>而且还包括森林和其他植被</w:t>
      </w:r>
      <w:r w:rsidRPr="009124FF">
        <w:rPr>
          <w:rFonts w:hint="eastAsia"/>
        </w:rPr>
        <w:t>……</w:t>
      </w:r>
      <w:r w:rsidRPr="00114DF4">
        <w:t>动植物及其他生物或气候要素</w:t>
      </w:r>
      <w:r>
        <w:rPr>
          <w:rFonts w:hint="eastAsia"/>
        </w:rPr>
        <w:t>”</w:t>
      </w:r>
      <w:r w:rsidRPr="00114DF4">
        <w:t>。</w:t>
      </w:r>
    </w:p>
  </w:footnote>
  <w:footnote w:id="1353">
    <w:p w:rsidR="00AB00DE" w:rsidRPr="00114DF4" w:rsidRDefault="00AB00DE" w:rsidP="006735D4">
      <w:pPr>
        <w:pStyle w:val="a4"/>
      </w:pPr>
      <w:r w:rsidRPr="00114DF4">
        <w:tab/>
      </w:r>
      <w:r w:rsidRPr="00681AC8">
        <w:rPr>
          <w:rStyle w:val="a5"/>
          <w:rFonts w:cstheme="majorBidi"/>
        </w:rPr>
        <w:footnoteRef/>
      </w:r>
      <w:r w:rsidRPr="00114DF4">
        <w:tab/>
      </w:r>
      <w:r w:rsidRPr="00114DF4">
        <w:t>关于武装冲突法、环境法和人权法的很多文书载有</w:t>
      </w:r>
      <w:r>
        <w:rPr>
          <w:rFonts w:hint="eastAsia"/>
        </w:rPr>
        <w:t>“</w:t>
      </w:r>
      <w:r w:rsidRPr="00114DF4">
        <w:t>尊重</w:t>
      </w:r>
      <w:r>
        <w:rPr>
          <w:rFonts w:hint="eastAsia"/>
        </w:rPr>
        <w:t>”</w:t>
      </w:r>
      <w:r w:rsidRPr="00114DF4">
        <w:t>和</w:t>
      </w:r>
      <w:r>
        <w:rPr>
          <w:rFonts w:hint="eastAsia"/>
        </w:rPr>
        <w:t>“</w:t>
      </w:r>
      <w:r w:rsidRPr="00114DF4">
        <w:t>保护</w:t>
      </w:r>
      <w:r>
        <w:rPr>
          <w:rFonts w:hint="eastAsia"/>
        </w:rPr>
        <w:t>”</w:t>
      </w:r>
      <w:r w:rsidRPr="00114DF4">
        <w:t>。最为相关的是《世界自然宪章》、联合国大会</w:t>
      </w:r>
      <w:r>
        <w:t>1982</w:t>
      </w:r>
      <w:r w:rsidRPr="00114DF4">
        <w:t>年</w:t>
      </w:r>
      <w:r>
        <w:t>10</w:t>
      </w:r>
      <w:r w:rsidRPr="00114DF4">
        <w:t>月</w:t>
      </w:r>
      <w:r>
        <w:t>28</w:t>
      </w:r>
      <w:r w:rsidRPr="00114DF4">
        <w:t>日第</w:t>
      </w:r>
      <w:r>
        <w:t>37/7</w:t>
      </w:r>
      <w:r w:rsidRPr="00114DF4">
        <w:t>号决议尤其是其中的序言和原则</w:t>
      </w:r>
      <w:r>
        <w:t>1</w:t>
      </w:r>
      <w:r w:rsidRPr="00114DF4">
        <w:t>以及《</w:t>
      </w:r>
      <w:r>
        <w:t>1949</w:t>
      </w:r>
      <w:r w:rsidRPr="00114DF4">
        <w:rPr>
          <w:rFonts w:ascii="宋体" w:hAnsi="宋体" w:cs="宋体" w:hint="eastAsia"/>
        </w:rPr>
        <w:t>年</w:t>
      </w:r>
      <w:r w:rsidRPr="00114DF4">
        <w:t>日内瓦四公约第一议定书》第四十八条第一款</w:t>
      </w:r>
      <w:r>
        <w:t>，</w:t>
      </w:r>
      <w:r w:rsidRPr="00114DF4">
        <w:t>其中规定应当尊重和保护民用物体。例如</w:t>
      </w:r>
      <w:r>
        <w:t>，</w:t>
      </w:r>
      <w:r w:rsidRPr="00114DF4">
        <w:t>又见《公民权利和政治权利国际公约》</w:t>
      </w:r>
      <w:r>
        <w:t>(1964</w:t>
      </w:r>
      <w:r w:rsidRPr="00114DF4">
        <w:t>年</w:t>
      </w:r>
      <w:r>
        <w:t>12</w:t>
      </w:r>
      <w:r w:rsidRPr="00114DF4">
        <w:t>月</w:t>
      </w:r>
      <w:r>
        <w:t>16</w:t>
      </w:r>
      <w:r w:rsidRPr="00114DF4">
        <w:t>日</w:t>
      </w:r>
      <w:r>
        <w:rPr>
          <w:rFonts w:eastAsiaTheme="minorEastAsia" w:hint="eastAsia"/>
        </w:rPr>
        <w:t>，</w:t>
      </w:r>
      <w:r w:rsidRPr="00114DF4">
        <w:t>纽约</w:t>
      </w:r>
      <w:r>
        <w:t>)</w:t>
      </w:r>
      <w:r>
        <w:t>，</w:t>
      </w:r>
      <w:r w:rsidRPr="00114DF4">
        <w:t>联合国</w:t>
      </w:r>
      <w:r>
        <w:t>，</w:t>
      </w:r>
      <w:r w:rsidRPr="00114DF4">
        <w:t>《条约汇编》</w:t>
      </w:r>
      <w:r>
        <w:rPr>
          <w:rFonts w:eastAsiaTheme="minorEastAsia" w:hint="eastAsia"/>
        </w:rPr>
        <w:t>，</w:t>
      </w:r>
      <w:r w:rsidRPr="00114DF4">
        <w:t>第</w:t>
      </w:r>
      <w:r>
        <w:t>999</w:t>
      </w:r>
      <w:r w:rsidRPr="00114DF4">
        <w:t>卷</w:t>
      </w:r>
      <w:r>
        <w:rPr>
          <w:rFonts w:eastAsiaTheme="minorEastAsia" w:hint="eastAsia"/>
        </w:rPr>
        <w:t>，</w:t>
      </w:r>
      <w:r w:rsidRPr="00114DF4">
        <w:t>第</w:t>
      </w:r>
      <w:r>
        <w:t>171</w:t>
      </w:r>
      <w:r w:rsidRPr="00114DF4">
        <w:t>页</w:t>
      </w:r>
      <w:r>
        <w:t>，</w:t>
      </w:r>
      <w:r w:rsidRPr="00114DF4">
        <w:t>第二条</w:t>
      </w:r>
      <w:r>
        <w:t>；</w:t>
      </w:r>
      <w:r w:rsidRPr="00114DF4">
        <w:t>《</w:t>
      </w:r>
      <w:r>
        <w:t>1949</w:t>
      </w:r>
      <w:r w:rsidRPr="00114DF4">
        <w:rPr>
          <w:rFonts w:ascii="宋体" w:hAnsi="宋体" w:cs="宋体" w:hint="eastAsia"/>
        </w:rPr>
        <w:t>年</w:t>
      </w:r>
      <w:r w:rsidRPr="00114DF4">
        <w:t>日内瓦四公约第一议定书》第五十五条以及《</w:t>
      </w:r>
      <w:r>
        <w:rPr>
          <w:rFonts w:eastAsiaTheme="minorEastAsia" w:hint="eastAsia"/>
        </w:rPr>
        <w:t>里约</w:t>
      </w:r>
      <w:r w:rsidRPr="00114DF4">
        <w:t>环境与发展宣言》</w:t>
      </w:r>
      <w:r>
        <w:t>(</w:t>
      </w:r>
      <w:r w:rsidRPr="00114DF4">
        <w:t>《里约宣言》</w:t>
      </w:r>
      <w:r>
        <w:t>)</w:t>
      </w:r>
      <w:r>
        <w:t>，</w:t>
      </w:r>
      <w:r>
        <w:rPr>
          <w:color w:val="000000"/>
        </w:rPr>
        <w:t>《联合国环境与发展会议的报告，</w:t>
      </w:r>
      <w:r>
        <w:rPr>
          <w:color w:val="000000"/>
        </w:rPr>
        <w:t>1992</w:t>
      </w:r>
      <w:r>
        <w:rPr>
          <w:color w:val="000000"/>
        </w:rPr>
        <w:t>年</w:t>
      </w:r>
      <w:r>
        <w:rPr>
          <w:color w:val="000000"/>
        </w:rPr>
        <w:t>6</w:t>
      </w:r>
      <w:r>
        <w:rPr>
          <w:color w:val="000000"/>
        </w:rPr>
        <w:t>月</w:t>
      </w:r>
      <w:r>
        <w:rPr>
          <w:color w:val="000000"/>
        </w:rPr>
        <w:t>3</w:t>
      </w:r>
      <w:r>
        <w:rPr>
          <w:color w:val="000000"/>
        </w:rPr>
        <w:t>日至</w:t>
      </w:r>
      <w:r>
        <w:rPr>
          <w:color w:val="000000"/>
        </w:rPr>
        <w:t>14</w:t>
      </w:r>
      <w:r>
        <w:rPr>
          <w:color w:val="000000"/>
        </w:rPr>
        <w:t>日，里约热内卢》，第一卷，《环发会议通过的决议》</w:t>
      </w:r>
      <w:r>
        <w:rPr>
          <w:color w:val="000000"/>
        </w:rPr>
        <w:t>(</w:t>
      </w:r>
      <w:r>
        <w:rPr>
          <w:color w:val="000000"/>
        </w:rPr>
        <w:t>联合国出版物，出售品编号：</w:t>
      </w:r>
      <w:r>
        <w:rPr>
          <w:color w:val="000000"/>
        </w:rPr>
        <w:t>C.93.I.8</w:t>
      </w:r>
      <w:r>
        <w:rPr>
          <w:color w:val="000000"/>
        </w:rPr>
        <w:t>和更正</w:t>
      </w:r>
      <w:r>
        <w:rPr>
          <w:color w:val="000000"/>
        </w:rPr>
        <w:t>)</w:t>
      </w:r>
      <w:r>
        <w:rPr>
          <w:color w:val="000000"/>
        </w:rPr>
        <w:t>，决议</w:t>
      </w:r>
      <w:r>
        <w:rPr>
          <w:color w:val="000000"/>
        </w:rPr>
        <w:t>1</w:t>
      </w:r>
      <w:r>
        <w:rPr>
          <w:color w:val="000000"/>
        </w:rPr>
        <w:t>，附件一</w:t>
      </w:r>
      <w:r>
        <w:rPr>
          <w:rFonts w:eastAsiaTheme="minorEastAsia" w:hint="eastAsia"/>
          <w:color w:val="000000"/>
        </w:rPr>
        <w:t>，</w:t>
      </w:r>
      <w:r w:rsidRPr="00114DF4">
        <w:rPr>
          <w:rFonts w:ascii="宋体" w:hAnsi="宋体" w:cs="宋体" w:hint="eastAsia"/>
        </w:rPr>
        <w:t>原则</w:t>
      </w:r>
      <w:r>
        <w:t>10</w:t>
      </w:r>
      <w:r>
        <w:rPr>
          <w:color w:val="000000"/>
        </w:rPr>
        <w:t>。</w:t>
      </w:r>
    </w:p>
  </w:footnote>
  <w:footnote w:id="1354">
    <w:p w:rsidR="00AB00DE" w:rsidRPr="008F00E7" w:rsidRDefault="00AB00DE" w:rsidP="006735D4">
      <w:pPr>
        <w:pStyle w:val="a4"/>
      </w:pPr>
      <w:r w:rsidRPr="00114DF4">
        <w:tab/>
      </w:r>
      <w:r w:rsidRPr="00681AC8">
        <w:rPr>
          <w:rStyle w:val="a5"/>
          <w:rFonts w:cstheme="majorBidi"/>
        </w:rPr>
        <w:footnoteRef/>
      </w:r>
      <w:r w:rsidRPr="00114DF4">
        <w:tab/>
      </w:r>
      <w:r w:rsidRPr="008F00E7">
        <w:t>以核武器进行威胁或使用核武器的合法性</w:t>
      </w:r>
      <w:r w:rsidRPr="008F00E7">
        <w:rPr>
          <w:rFonts w:hint="eastAsia"/>
        </w:rPr>
        <w:t>”</w:t>
      </w:r>
      <w:r w:rsidRPr="008F00E7">
        <w:t>，咨询意见，</w:t>
      </w:r>
      <w:r w:rsidRPr="008F00E7">
        <w:rPr>
          <w:rFonts w:eastAsiaTheme="minorEastAsia" w:hint="eastAsia"/>
        </w:rPr>
        <w:t>《</w:t>
      </w:r>
      <w:r w:rsidRPr="008F00E7">
        <w:t>1996</w:t>
      </w:r>
      <w:r w:rsidRPr="008F00E7">
        <w:rPr>
          <w:rFonts w:ascii="宋体" w:hAnsi="宋体" w:cs="宋体" w:hint="eastAsia"/>
        </w:rPr>
        <w:t>年国际法院案例汇编</w:t>
      </w:r>
      <w:r w:rsidRPr="008F00E7">
        <w:rPr>
          <w:rFonts w:eastAsiaTheme="minorEastAsia" w:hint="eastAsia"/>
        </w:rPr>
        <w:t>》</w:t>
      </w:r>
      <w:r w:rsidRPr="008F00E7">
        <w:t>，</w:t>
      </w:r>
      <w:r w:rsidRPr="008F00E7">
        <w:rPr>
          <w:rFonts w:eastAsiaTheme="minorEastAsia" w:hint="eastAsia"/>
        </w:rPr>
        <w:t>第</w:t>
      </w:r>
      <w:r w:rsidRPr="008F00E7">
        <w:rPr>
          <w:rFonts w:eastAsiaTheme="minorEastAsia" w:hint="eastAsia"/>
        </w:rPr>
        <w:t>226</w:t>
      </w:r>
      <w:r w:rsidRPr="008F00E7">
        <w:rPr>
          <w:rFonts w:eastAsiaTheme="minorEastAsia" w:hint="eastAsia"/>
        </w:rPr>
        <w:t>页，见</w:t>
      </w:r>
      <w:r w:rsidRPr="008F00E7">
        <w:t>第</w:t>
      </w:r>
      <w:r w:rsidRPr="008F00E7">
        <w:t>30</w:t>
      </w:r>
      <w:r w:rsidRPr="008F00E7">
        <w:t>和</w:t>
      </w:r>
      <w:r w:rsidRPr="008F00E7">
        <w:rPr>
          <w:rFonts w:eastAsiaTheme="minorEastAsia" w:hint="eastAsia"/>
        </w:rPr>
        <w:t>第</w:t>
      </w:r>
      <w:r w:rsidRPr="008F00E7">
        <w:t>63</w:t>
      </w:r>
      <w:r w:rsidRPr="008F00E7">
        <w:t>段。</w:t>
      </w:r>
    </w:p>
  </w:footnote>
  <w:footnote w:id="1355">
    <w:p w:rsidR="00AB00DE" w:rsidRPr="001C39B7" w:rsidRDefault="00AB00DE" w:rsidP="006735D4">
      <w:pPr>
        <w:pStyle w:val="a4"/>
        <w:rPr>
          <w:rFonts w:eastAsiaTheme="minorEastAsia"/>
          <w:spacing w:val="-6"/>
        </w:rPr>
      </w:pPr>
      <w:r w:rsidRPr="00114DF4">
        <w:tab/>
      </w:r>
      <w:r w:rsidRPr="00681AC8">
        <w:rPr>
          <w:rStyle w:val="a5"/>
          <w:rFonts w:cstheme="majorBidi"/>
        </w:rPr>
        <w:footnoteRef/>
      </w:r>
      <w:r w:rsidRPr="00114DF4">
        <w:tab/>
      </w:r>
      <w:r w:rsidRPr="00114DF4">
        <w:t>语义学说明见</w:t>
      </w:r>
      <w:r>
        <w:rPr>
          <w:spacing w:val="-6"/>
        </w:rPr>
        <w:t>Y</w:t>
      </w:r>
      <w:r>
        <w:rPr>
          <w:rFonts w:eastAsiaTheme="minorEastAsia" w:hint="eastAsia"/>
          <w:spacing w:val="-6"/>
        </w:rPr>
        <w:t>.</w:t>
      </w:r>
      <w:r>
        <w:rPr>
          <w:spacing w:val="-6"/>
        </w:rPr>
        <w:t xml:space="preserve"> Dinstein(ed)</w:t>
      </w:r>
      <w:r>
        <w:rPr>
          <w:spacing w:val="-6"/>
        </w:rPr>
        <w:t>，</w:t>
      </w:r>
      <w:r>
        <w:rPr>
          <w:i/>
          <w:spacing w:val="-6"/>
        </w:rPr>
        <w:t>The</w:t>
      </w:r>
      <w:r w:rsidRPr="00133D09">
        <w:rPr>
          <w:i/>
          <w:spacing w:val="-6"/>
        </w:rPr>
        <w:t xml:space="preserve"> </w:t>
      </w:r>
      <w:r>
        <w:rPr>
          <w:i/>
          <w:spacing w:val="-6"/>
        </w:rPr>
        <w:t>Conduct</w:t>
      </w:r>
      <w:r w:rsidRPr="00133D09">
        <w:rPr>
          <w:i/>
          <w:spacing w:val="-6"/>
        </w:rPr>
        <w:t xml:space="preserve"> </w:t>
      </w:r>
      <w:r>
        <w:rPr>
          <w:i/>
          <w:spacing w:val="-6"/>
        </w:rPr>
        <w:t>of</w:t>
      </w:r>
      <w:r w:rsidRPr="00133D09">
        <w:rPr>
          <w:i/>
          <w:spacing w:val="-6"/>
        </w:rPr>
        <w:t xml:space="preserve"> </w:t>
      </w:r>
      <w:r>
        <w:rPr>
          <w:i/>
          <w:spacing w:val="-6"/>
        </w:rPr>
        <w:t>Hostilities</w:t>
      </w:r>
      <w:r w:rsidRPr="00133D09">
        <w:rPr>
          <w:i/>
          <w:spacing w:val="-6"/>
        </w:rPr>
        <w:t xml:space="preserve"> </w:t>
      </w:r>
      <w:r>
        <w:rPr>
          <w:i/>
          <w:spacing w:val="-6"/>
        </w:rPr>
        <w:t>under</w:t>
      </w:r>
      <w:r w:rsidRPr="00133D09">
        <w:rPr>
          <w:i/>
          <w:spacing w:val="-6"/>
        </w:rPr>
        <w:t xml:space="preserve"> </w:t>
      </w:r>
      <w:r>
        <w:rPr>
          <w:i/>
          <w:spacing w:val="-6"/>
        </w:rPr>
        <w:t>the</w:t>
      </w:r>
      <w:r w:rsidRPr="00133D09">
        <w:rPr>
          <w:i/>
          <w:spacing w:val="-6"/>
        </w:rPr>
        <w:t xml:space="preserve"> </w:t>
      </w:r>
      <w:r>
        <w:rPr>
          <w:i/>
          <w:spacing w:val="-6"/>
        </w:rPr>
        <w:t>Law</w:t>
      </w:r>
      <w:r w:rsidRPr="00133D09">
        <w:rPr>
          <w:i/>
          <w:spacing w:val="-6"/>
        </w:rPr>
        <w:t xml:space="preserve"> </w:t>
      </w:r>
      <w:r>
        <w:rPr>
          <w:i/>
          <w:spacing w:val="-6"/>
        </w:rPr>
        <w:t>of</w:t>
      </w:r>
      <w:r w:rsidRPr="00133D09">
        <w:rPr>
          <w:i/>
          <w:spacing w:val="-6"/>
        </w:rPr>
        <w:t xml:space="preserve"> </w:t>
      </w:r>
      <w:r>
        <w:rPr>
          <w:i/>
          <w:spacing w:val="-6"/>
        </w:rPr>
        <w:t>International</w:t>
      </w:r>
      <w:r w:rsidRPr="00133D09">
        <w:rPr>
          <w:i/>
          <w:spacing w:val="-6"/>
        </w:rPr>
        <w:t xml:space="preserve"> </w:t>
      </w:r>
      <w:r>
        <w:rPr>
          <w:i/>
          <w:spacing w:val="-6"/>
        </w:rPr>
        <w:t>Armed</w:t>
      </w:r>
      <w:r w:rsidRPr="00133D09">
        <w:rPr>
          <w:i/>
          <w:spacing w:val="-6"/>
        </w:rPr>
        <w:t xml:space="preserve"> </w:t>
      </w:r>
      <w:r>
        <w:rPr>
          <w:i/>
          <w:spacing w:val="-6"/>
        </w:rPr>
        <w:t xml:space="preserve">Conflict, </w:t>
      </w:r>
      <w:r>
        <w:rPr>
          <w:spacing w:val="-6"/>
        </w:rPr>
        <w:t>2nd</w:t>
      </w:r>
      <w:r w:rsidRPr="00133D09">
        <w:rPr>
          <w:spacing w:val="-6"/>
        </w:rPr>
        <w:t xml:space="preserve"> </w:t>
      </w:r>
      <w:r>
        <w:rPr>
          <w:spacing w:val="-6"/>
        </w:rPr>
        <w:t>ed</w:t>
      </w:r>
      <w:r w:rsidRPr="00133D09">
        <w:rPr>
          <w:spacing w:val="-6"/>
        </w:rPr>
        <w:t xml:space="preserve">. </w:t>
      </w:r>
      <w:r>
        <w:rPr>
          <w:spacing w:val="-6"/>
        </w:rPr>
        <w:t>(Cambridge</w:t>
      </w:r>
      <w:r>
        <w:rPr>
          <w:rFonts w:eastAsiaTheme="minorEastAsia" w:hint="eastAsia"/>
          <w:spacing w:val="-6"/>
        </w:rPr>
        <w:t xml:space="preserve">, </w:t>
      </w:r>
      <w:r>
        <w:rPr>
          <w:spacing w:val="-6"/>
        </w:rPr>
        <w:t>Cambridge</w:t>
      </w:r>
      <w:r w:rsidRPr="00133D09">
        <w:rPr>
          <w:spacing w:val="-6"/>
        </w:rPr>
        <w:t xml:space="preserve"> </w:t>
      </w:r>
      <w:r>
        <w:rPr>
          <w:spacing w:val="-6"/>
        </w:rPr>
        <w:t>University</w:t>
      </w:r>
      <w:r w:rsidRPr="00133D09">
        <w:rPr>
          <w:spacing w:val="-6"/>
        </w:rPr>
        <w:t xml:space="preserve"> </w:t>
      </w:r>
      <w:r>
        <w:rPr>
          <w:spacing w:val="-6"/>
        </w:rPr>
        <w:t>Press, 2010)</w:t>
      </w:r>
      <w:r>
        <w:rPr>
          <w:spacing w:val="-6"/>
        </w:rPr>
        <w:t>，</w:t>
      </w:r>
      <w:r>
        <w:rPr>
          <w:spacing w:val="-6"/>
        </w:rPr>
        <w:t>at</w:t>
      </w:r>
      <w:r w:rsidRPr="00133D09">
        <w:rPr>
          <w:spacing w:val="-6"/>
        </w:rPr>
        <w:t xml:space="preserve"> </w:t>
      </w:r>
      <w:r>
        <w:rPr>
          <w:spacing w:val="-6"/>
        </w:rPr>
        <w:t>paras</w:t>
      </w:r>
      <w:r w:rsidRPr="00133D09">
        <w:rPr>
          <w:spacing w:val="-6"/>
        </w:rPr>
        <w:t xml:space="preserve">. </w:t>
      </w:r>
      <w:r>
        <w:rPr>
          <w:spacing w:val="-6"/>
        </w:rPr>
        <w:t>35</w:t>
      </w:r>
      <w:r w:rsidRPr="00133D09">
        <w:rPr>
          <w:spacing w:val="-6"/>
        </w:rPr>
        <w:t>-</w:t>
      </w:r>
      <w:r>
        <w:rPr>
          <w:spacing w:val="-6"/>
        </w:rPr>
        <w:t>37</w:t>
      </w:r>
      <w:r w:rsidRPr="00133D09">
        <w:rPr>
          <w:spacing w:val="-6"/>
        </w:rPr>
        <w:t xml:space="preserve"> </w:t>
      </w:r>
      <w:r>
        <w:rPr>
          <w:spacing w:val="-6"/>
        </w:rPr>
        <w:t>and</w:t>
      </w:r>
      <w:r w:rsidRPr="00133D09">
        <w:rPr>
          <w:spacing w:val="-6"/>
        </w:rPr>
        <w:t xml:space="preserve"> </w:t>
      </w:r>
      <w:r>
        <w:rPr>
          <w:spacing w:val="-6"/>
        </w:rPr>
        <w:t>41</w:t>
      </w:r>
      <w:r w:rsidRPr="00133D09">
        <w:rPr>
          <w:spacing w:val="-6"/>
        </w:rPr>
        <w:t>-</w:t>
      </w:r>
      <w:r>
        <w:rPr>
          <w:spacing w:val="-6"/>
        </w:rPr>
        <w:t>43</w:t>
      </w:r>
      <w:r>
        <w:rPr>
          <w:rFonts w:eastAsiaTheme="minorEastAsia" w:hint="eastAsia"/>
          <w:spacing w:val="-6"/>
        </w:rPr>
        <w:t>。</w:t>
      </w:r>
    </w:p>
  </w:footnote>
  <w:footnote w:id="1356">
    <w:p w:rsidR="00AB00DE" w:rsidRPr="00114DF4" w:rsidRDefault="00AB00DE" w:rsidP="006735D4">
      <w:pPr>
        <w:pStyle w:val="a4"/>
      </w:pPr>
      <w:r w:rsidRPr="00114DF4">
        <w:tab/>
      </w:r>
      <w:r w:rsidRPr="00681AC8">
        <w:rPr>
          <w:rStyle w:val="a5"/>
          <w:rFonts w:cstheme="majorBidi"/>
        </w:rPr>
        <w:footnoteRef/>
      </w:r>
      <w:r w:rsidRPr="00114DF4">
        <w:tab/>
      </w:r>
      <w:r>
        <w:rPr>
          <w:rFonts w:asciiTheme="majorBidi" w:hAnsiTheme="majorBidi" w:cstheme="majorBidi"/>
        </w:rPr>
        <w:t>See</w:t>
      </w:r>
      <w:r w:rsidRPr="00FB4307">
        <w:rPr>
          <w:rFonts w:asciiTheme="majorBidi" w:hAnsiTheme="majorBidi" w:cstheme="majorBidi"/>
        </w:rPr>
        <w:t xml:space="preserve"> </w:t>
      </w:r>
      <w:r>
        <w:rPr>
          <w:rFonts w:asciiTheme="majorBidi" w:hAnsiTheme="majorBidi" w:cstheme="majorBidi"/>
        </w:rPr>
        <w:t>e</w:t>
      </w:r>
      <w:r w:rsidRPr="00FB4307">
        <w:rPr>
          <w:rFonts w:asciiTheme="majorBidi" w:hAnsiTheme="majorBidi" w:cstheme="majorBidi"/>
        </w:rPr>
        <w:t>.</w:t>
      </w:r>
      <w:r>
        <w:rPr>
          <w:rFonts w:asciiTheme="majorBidi" w:hAnsiTheme="majorBidi" w:cstheme="majorBidi"/>
        </w:rPr>
        <w:t>g</w:t>
      </w:r>
      <w:r w:rsidRPr="00FB4307">
        <w:rPr>
          <w:rFonts w:asciiTheme="majorBidi" w:hAnsiTheme="majorBidi" w:cstheme="majorBidi"/>
        </w:rPr>
        <w:t>.</w:t>
      </w:r>
      <w:r w:rsidRPr="00FB4307">
        <w:rPr>
          <w:rFonts w:asciiTheme="majorBidi" w:hAnsiTheme="majorBidi" w:cstheme="majorBidi"/>
        </w:rPr>
        <w:t>，</w:t>
      </w:r>
      <w:r>
        <w:rPr>
          <w:rFonts w:asciiTheme="majorBidi" w:hAnsiTheme="majorBidi" w:cstheme="majorBidi"/>
        </w:rPr>
        <w:t>R</w:t>
      </w:r>
      <w:r>
        <w:rPr>
          <w:rFonts w:asciiTheme="majorBidi" w:eastAsiaTheme="minorEastAsia" w:hAnsiTheme="majorBidi" w:cstheme="majorBidi" w:hint="eastAsia"/>
        </w:rPr>
        <w:t>.</w:t>
      </w:r>
      <w:r w:rsidRPr="00FB4307">
        <w:rPr>
          <w:rFonts w:asciiTheme="majorBidi" w:hAnsiTheme="majorBidi" w:cstheme="majorBidi"/>
        </w:rPr>
        <w:t xml:space="preserve"> </w:t>
      </w:r>
      <w:r>
        <w:rPr>
          <w:rFonts w:asciiTheme="majorBidi" w:hAnsiTheme="majorBidi" w:cstheme="majorBidi"/>
        </w:rPr>
        <w:t>Kolb</w:t>
      </w:r>
      <w:r w:rsidRPr="00FB4307">
        <w:rPr>
          <w:rFonts w:asciiTheme="majorBidi" w:hAnsiTheme="majorBidi" w:cstheme="majorBidi"/>
        </w:rPr>
        <w:t xml:space="preserve"> </w:t>
      </w:r>
      <w:r>
        <w:rPr>
          <w:rFonts w:asciiTheme="majorBidi" w:hAnsiTheme="majorBidi" w:cstheme="majorBidi"/>
        </w:rPr>
        <w:t>and</w:t>
      </w:r>
      <w:r w:rsidRPr="00FB4307">
        <w:rPr>
          <w:rFonts w:asciiTheme="majorBidi" w:hAnsiTheme="majorBidi" w:cstheme="majorBidi"/>
        </w:rPr>
        <w:t xml:space="preserve"> </w:t>
      </w:r>
      <w:r>
        <w:rPr>
          <w:rFonts w:asciiTheme="majorBidi" w:hAnsiTheme="majorBidi" w:cstheme="majorBidi"/>
        </w:rPr>
        <w:t>R</w:t>
      </w:r>
      <w:r>
        <w:rPr>
          <w:rFonts w:asciiTheme="majorBidi" w:eastAsiaTheme="minorEastAsia" w:hAnsiTheme="majorBidi" w:cstheme="majorBidi" w:hint="eastAsia"/>
        </w:rPr>
        <w:t>.</w:t>
      </w:r>
      <w:r w:rsidRPr="00FB4307">
        <w:rPr>
          <w:rFonts w:asciiTheme="majorBidi" w:hAnsiTheme="majorBidi" w:cstheme="majorBidi"/>
        </w:rPr>
        <w:t xml:space="preserve"> </w:t>
      </w:r>
      <w:r>
        <w:rPr>
          <w:rFonts w:asciiTheme="majorBidi" w:hAnsiTheme="majorBidi" w:cstheme="majorBidi"/>
        </w:rPr>
        <w:t xml:space="preserve">Hyde, </w:t>
      </w:r>
      <w:r>
        <w:rPr>
          <w:rFonts w:asciiTheme="majorBidi" w:hAnsiTheme="majorBidi" w:cstheme="majorBidi"/>
          <w:i/>
        </w:rPr>
        <w:t>An</w:t>
      </w:r>
      <w:r w:rsidRPr="00FB4307">
        <w:rPr>
          <w:rFonts w:asciiTheme="majorBidi" w:hAnsiTheme="majorBidi" w:cstheme="majorBidi"/>
          <w:i/>
        </w:rPr>
        <w:t xml:space="preserve"> </w:t>
      </w:r>
      <w:r>
        <w:rPr>
          <w:rFonts w:asciiTheme="majorBidi" w:hAnsiTheme="majorBidi" w:cstheme="majorBidi"/>
          <w:i/>
        </w:rPr>
        <w:t>Introduction</w:t>
      </w:r>
      <w:r w:rsidRPr="00FB4307">
        <w:rPr>
          <w:rFonts w:asciiTheme="majorBidi" w:hAnsiTheme="majorBidi" w:cstheme="majorBidi"/>
          <w:i/>
        </w:rPr>
        <w:t xml:space="preserve"> </w:t>
      </w:r>
      <w:r>
        <w:rPr>
          <w:rFonts w:asciiTheme="majorBidi" w:hAnsiTheme="majorBidi" w:cstheme="majorBidi"/>
          <w:i/>
        </w:rPr>
        <w:t>to</w:t>
      </w:r>
      <w:r w:rsidRPr="00FB4307">
        <w:rPr>
          <w:rFonts w:asciiTheme="majorBidi" w:hAnsiTheme="majorBidi" w:cstheme="majorBidi"/>
          <w:i/>
        </w:rPr>
        <w:t xml:space="preserve"> </w:t>
      </w:r>
      <w:r>
        <w:rPr>
          <w:rFonts w:asciiTheme="majorBidi" w:hAnsiTheme="majorBidi" w:cstheme="majorBidi"/>
          <w:i/>
        </w:rPr>
        <w:t>the</w:t>
      </w:r>
      <w:r w:rsidRPr="00FB4307">
        <w:rPr>
          <w:rFonts w:asciiTheme="majorBidi" w:hAnsiTheme="majorBidi" w:cstheme="majorBidi"/>
          <w:i/>
        </w:rPr>
        <w:t xml:space="preserve"> </w:t>
      </w:r>
      <w:r>
        <w:rPr>
          <w:rFonts w:asciiTheme="majorBidi" w:hAnsiTheme="majorBidi" w:cstheme="majorBidi"/>
          <w:i/>
        </w:rPr>
        <w:t>International</w:t>
      </w:r>
      <w:r w:rsidRPr="00FB4307">
        <w:rPr>
          <w:rFonts w:asciiTheme="majorBidi" w:hAnsiTheme="majorBidi" w:cstheme="majorBidi"/>
          <w:i/>
        </w:rPr>
        <w:t xml:space="preserve"> </w:t>
      </w:r>
      <w:r>
        <w:rPr>
          <w:rFonts w:asciiTheme="majorBidi" w:hAnsiTheme="majorBidi" w:cstheme="majorBidi"/>
          <w:i/>
        </w:rPr>
        <w:t>Law</w:t>
      </w:r>
      <w:r w:rsidRPr="00FB4307">
        <w:rPr>
          <w:rFonts w:asciiTheme="majorBidi" w:hAnsiTheme="majorBidi" w:cstheme="majorBidi"/>
          <w:i/>
        </w:rPr>
        <w:t xml:space="preserve"> </w:t>
      </w:r>
      <w:r>
        <w:rPr>
          <w:rFonts w:asciiTheme="majorBidi" w:hAnsiTheme="majorBidi" w:cstheme="majorBidi"/>
          <w:i/>
        </w:rPr>
        <w:t>of</w:t>
      </w:r>
      <w:r w:rsidRPr="00FB4307">
        <w:rPr>
          <w:rFonts w:asciiTheme="majorBidi" w:hAnsiTheme="majorBidi" w:cstheme="majorBidi"/>
          <w:i/>
        </w:rPr>
        <w:t xml:space="preserve"> </w:t>
      </w:r>
      <w:r>
        <w:rPr>
          <w:rFonts w:asciiTheme="majorBidi" w:hAnsiTheme="majorBidi" w:cstheme="majorBidi"/>
          <w:i/>
        </w:rPr>
        <w:t>Armed</w:t>
      </w:r>
      <w:r w:rsidRPr="00FB4307">
        <w:rPr>
          <w:rFonts w:asciiTheme="majorBidi" w:hAnsiTheme="majorBidi" w:cstheme="majorBidi"/>
          <w:i/>
        </w:rPr>
        <w:t xml:space="preserve"> </w:t>
      </w:r>
      <w:r>
        <w:rPr>
          <w:rFonts w:asciiTheme="majorBidi" w:hAnsiTheme="majorBidi" w:cstheme="majorBidi"/>
          <w:i/>
        </w:rPr>
        <w:t>Conflicts</w:t>
      </w:r>
      <w:r w:rsidRPr="00FB4307">
        <w:rPr>
          <w:rFonts w:asciiTheme="majorBidi" w:hAnsiTheme="majorBidi" w:cstheme="majorBidi"/>
        </w:rPr>
        <w:t xml:space="preserve"> (</w:t>
      </w:r>
      <w:r>
        <w:rPr>
          <w:rFonts w:asciiTheme="majorBidi" w:hAnsiTheme="majorBidi" w:cstheme="majorBidi"/>
        </w:rPr>
        <w:t>Oxford</w:t>
      </w:r>
      <w:r>
        <w:rPr>
          <w:rFonts w:asciiTheme="majorBidi" w:eastAsiaTheme="minorEastAsia" w:hAnsiTheme="majorBidi" w:cstheme="majorBidi" w:hint="eastAsia"/>
        </w:rPr>
        <w:t xml:space="preserve">, </w:t>
      </w:r>
      <w:r>
        <w:rPr>
          <w:rFonts w:asciiTheme="majorBidi" w:hAnsiTheme="majorBidi" w:cstheme="majorBidi"/>
        </w:rPr>
        <w:t>Hart</w:t>
      </w:r>
      <w:r w:rsidRPr="00FB4307">
        <w:rPr>
          <w:rFonts w:asciiTheme="majorBidi" w:hAnsiTheme="majorBidi" w:cstheme="majorBidi"/>
        </w:rPr>
        <w:t xml:space="preserve"> </w:t>
      </w:r>
      <w:r>
        <w:rPr>
          <w:rFonts w:asciiTheme="majorBidi" w:hAnsiTheme="majorBidi" w:cstheme="majorBidi"/>
        </w:rPr>
        <w:t>Publishing, 2008</w:t>
      </w:r>
      <w:r w:rsidRPr="00FB4307">
        <w:rPr>
          <w:rFonts w:asciiTheme="majorBidi" w:hAnsiTheme="majorBidi" w:cstheme="majorBidi"/>
        </w:rPr>
        <w:t>)</w:t>
      </w:r>
      <w:r w:rsidRPr="00FB4307">
        <w:rPr>
          <w:rFonts w:asciiTheme="majorBidi" w:hAnsiTheme="majorBidi" w:cstheme="majorBidi"/>
        </w:rPr>
        <w:t>，</w:t>
      </w:r>
      <w:r>
        <w:rPr>
          <w:rFonts w:asciiTheme="majorBidi" w:hAnsiTheme="majorBidi" w:cstheme="majorBidi"/>
        </w:rPr>
        <w:t>pp</w:t>
      </w:r>
      <w:r w:rsidRPr="00FB4307">
        <w:rPr>
          <w:rFonts w:asciiTheme="majorBidi" w:hAnsiTheme="majorBidi" w:cstheme="majorBidi"/>
        </w:rPr>
        <w:t xml:space="preserve">. </w:t>
      </w:r>
      <w:r>
        <w:rPr>
          <w:rFonts w:asciiTheme="majorBidi" w:hAnsiTheme="majorBidi" w:cstheme="majorBidi"/>
        </w:rPr>
        <w:t>16</w:t>
      </w:r>
      <w:r w:rsidRPr="00FB4307">
        <w:rPr>
          <w:rFonts w:asciiTheme="majorBidi" w:hAnsiTheme="majorBidi" w:cstheme="majorBidi"/>
        </w:rPr>
        <w:t xml:space="preserve"> </w:t>
      </w:r>
      <w:r>
        <w:rPr>
          <w:rFonts w:asciiTheme="majorBidi" w:hAnsiTheme="majorBidi" w:cstheme="majorBidi"/>
        </w:rPr>
        <w:t>and</w:t>
      </w:r>
      <w:r w:rsidRPr="00FB4307">
        <w:rPr>
          <w:rFonts w:asciiTheme="majorBidi" w:hAnsiTheme="majorBidi" w:cstheme="majorBidi"/>
        </w:rPr>
        <w:t xml:space="preserve"> </w:t>
      </w:r>
      <w:r>
        <w:rPr>
          <w:rFonts w:asciiTheme="majorBidi" w:hAnsiTheme="majorBidi" w:cstheme="majorBidi"/>
        </w:rPr>
        <w:t>17</w:t>
      </w:r>
      <w:r w:rsidRPr="00FB4307">
        <w:rPr>
          <w:rFonts w:asciiTheme="majorBidi" w:hAnsiTheme="majorBidi" w:cstheme="majorBidi"/>
        </w:rPr>
        <w:t>.</w:t>
      </w:r>
    </w:p>
  </w:footnote>
  <w:footnote w:id="1357">
    <w:p w:rsidR="00AB00DE" w:rsidRDefault="00AB00DE" w:rsidP="006735D4">
      <w:pPr>
        <w:pStyle w:val="a4"/>
      </w:pPr>
      <w:r>
        <w:rPr>
          <w:rFonts w:hint="eastAsia"/>
        </w:rPr>
        <w:tab/>
      </w:r>
      <w:r w:rsidRPr="00681AC8">
        <w:rPr>
          <w:rStyle w:val="a5"/>
          <w:rFonts w:cstheme="majorBidi"/>
        </w:rPr>
        <w:footnoteRef/>
      </w:r>
      <w:r>
        <w:rPr>
          <w:rFonts w:hint="eastAsia"/>
        </w:rPr>
        <w:tab/>
      </w:r>
      <w:r w:rsidRPr="00802DF4">
        <w:rPr>
          <w:rFonts w:hint="eastAsia"/>
        </w:rPr>
        <w:t>同上。</w:t>
      </w:r>
    </w:p>
  </w:footnote>
  <w:footnote w:id="1358">
    <w:p w:rsidR="00AB00DE" w:rsidRPr="009E3BE7" w:rsidRDefault="00AB00DE" w:rsidP="006735D4">
      <w:pPr>
        <w:pStyle w:val="a4"/>
      </w:pPr>
      <w:r w:rsidRPr="009E3BE7">
        <w:tab/>
      </w:r>
      <w:r w:rsidRPr="00681AC8">
        <w:rPr>
          <w:rStyle w:val="a5"/>
          <w:rFonts w:cstheme="majorBidi"/>
        </w:rPr>
        <w:footnoteRef/>
      </w:r>
      <w:r w:rsidRPr="00E64449">
        <w:rPr>
          <w:rStyle w:val="a5"/>
          <w:rFonts w:asciiTheme="majorBidi" w:hAnsiTheme="majorBidi"/>
          <w:color w:val="000000" w:themeColor="text1"/>
        </w:rPr>
        <w:tab/>
      </w:r>
      <w:r w:rsidRPr="00EA00A4">
        <w:rPr>
          <w:spacing w:val="-4"/>
        </w:rPr>
        <w:t>《大会正式记录，第六十六届会议，补编第</w:t>
      </w:r>
      <w:r w:rsidRPr="00EA00A4">
        <w:rPr>
          <w:spacing w:val="-4"/>
        </w:rPr>
        <w:t>10</w:t>
      </w:r>
      <w:r w:rsidRPr="00EA00A4">
        <w:rPr>
          <w:spacing w:val="-4"/>
        </w:rPr>
        <w:t>号》</w:t>
      </w:r>
      <w:r w:rsidRPr="00EA00A4">
        <w:rPr>
          <w:spacing w:val="-4"/>
        </w:rPr>
        <w:t>(A/66/10)</w:t>
      </w:r>
      <w:r w:rsidRPr="00EA00A4">
        <w:rPr>
          <w:spacing w:val="-4"/>
        </w:rPr>
        <w:t>，关于第二条的评注，第</w:t>
      </w:r>
      <w:r w:rsidRPr="00EA00A4">
        <w:rPr>
          <w:spacing w:val="-4"/>
        </w:rPr>
        <w:t>182</w:t>
      </w:r>
      <w:r w:rsidRPr="00EA00A4">
        <w:rPr>
          <w:spacing w:val="-4"/>
        </w:rPr>
        <w:t>页</w:t>
      </w:r>
      <w:r w:rsidRPr="000F17F0">
        <w:t>。</w:t>
      </w:r>
    </w:p>
  </w:footnote>
  <w:footnote w:id="1359">
    <w:p w:rsidR="00AB00DE" w:rsidRPr="009E3BE7" w:rsidRDefault="00AB00DE" w:rsidP="006735D4">
      <w:pPr>
        <w:pStyle w:val="a4"/>
      </w:pPr>
      <w:r w:rsidRPr="009E3BE7">
        <w:tab/>
      </w:r>
      <w:r w:rsidRPr="00681AC8">
        <w:rPr>
          <w:rStyle w:val="a5"/>
          <w:rFonts w:cstheme="majorBidi"/>
        </w:rPr>
        <w:footnoteRef/>
      </w:r>
      <w:r w:rsidRPr="009E3BE7">
        <w:tab/>
      </w:r>
      <w:r>
        <w:rPr>
          <w:rFonts w:hint="eastAsia"/>
        </w:rPr>
        <w:t>“</w:t>
      </w:r>
      <w:r w:rsidRPr="009E3BE7">
        <w:t>以核武器进行威胁或使用核武器的合法性</w:t>
      </w:r>
      <w:r>
        <w:rPr>
          <w:rFonts w:hint="eastAsia"/>
        </w:rPr>
        <w:t>”</w:t>
      </w:r>
      <w:r>
        <w:rPr>
          <w:rFonts w:eastAsiaTheme="minorEastAsia" w:hint="eastAsia"/>
        </w:rPr>
        <w:t>(</w:t>
      </w:r>
      <w:r>
        <w:rPr>
          <w:rFonts w:eastAsiaTheme="minorEastAsia" w:hint="eastAsia"/>
        </w:rPr>
        <w:t>见</w:t>
      </w:r>
      <w:r w:rsidRPr="009E3BE7">
        <w:t>上文注</w:t>
      </w:r>
      <w:r>
        <w:rPr>
          <w:rFonts w:eastAsiaTheme="minorEastAsia" w:hint="eastAsia"/>
        </w:rPr>
        <w:t>脚注</w:t>
      </w:r>
      <w:r>
        <w:rPr>
          <w:rFonts w:eastAsiaTheme="minorEastAsia" w:hint="eastAsia"/>
        </w:rPr>
        <w:t>1353)</w:t>
      </w:r>
      <w:r>
        <w:t>，</w:t>
      </w:r>
      <w:r w:rsidRPr="009E3BE7">
        <w:t>第</w:t>
      </w:r>
      <w:r>
        <w:t>25</w:t>
      </w:r>
      <w:r w:rsidRPr="009E3BE7">
        <w:t>段和第</w:t>
      </w:r>
      <w:r>
        <w:t>27</w:t>
      </w:r>
      <w:r w:rsidRPr="009E3BE7">
        <w:t>-</w:t>
      </w:r>
      <w:r>
        <w:t>30</w:t>
      </w:r>
      <w:r w:rsidRPr="009E3BE7">
        <w:t>段。</w:t>
      </w:r>
    </w:p>
  </w:footnote>
  <w:footnote w:id="1360">
    <w:p w:rsidR="00AB00DE" w:rsidRPr="009E3BE7" w:rsidRDefault="00AB00DE" w:rsidP="006735D4">
      <w:pPr>
        <w:pStyle w:val="a4"/>
      </w:pPr>
      <w:r w:rsidRPr="009E3BE7">
        <w:tab/>
      </w:r>
      <w:r w:rsidRPr="00681AC8">
        <w:rPr>
          <w:rStyle w:val="a5"/>
          <w:rFonts w:cstheme="majorBidi"/>
        </w:rPr>
        <w:footnoteRef/>
      </w:r>
      <w:r w:rsidRPr="009E3BE7">
        <w:tab/>
      </w:r>
      <w:r w:rsidRPr="009E3BE7">
        <w:t>第五十五条</w:t>
      </w:r>
      <w:r w:rsidRPr="00E231D9">
        <w:rPr>
          <w:rFonts w:hint="eastAsia"/>
          <w:spacing w:val="-50"/>
        </w:rPr>
        <w:t>―</w:t>
      </w:r>
      <w:r w:rsidRPr="00E231D9">
        <w:rPr>
          <w:rFonts w:hint="eastAsia"/>
        </w:rPr>
        <w:t>―</w:t>
      </w:r>
      <w:r w:rsidRPr="009E3BE7">
        <w:t>对自然环境的保护</w:t>
      </w:r>
      <w:r>
        <w:t>：</w:t>
      </w:r>
    </w:p>
    <w:p w:rsidR="00AB00DE" w:rsidRPr="008A6324" w:rsidRDefault="00AB00DE" w:rsidP="006735D4">
      <w:pPr>
        <w:pStyle w:val="a4"/>
      </w:pPr>
      <w:r>
        <w:tab/>
      </w:r>
      <w:r>
        <w:rPr>
          <w:rFonts w:hint="eastAsia"/>
        </w:rPr>
        <w:tab/>
      </w:r>
      <w:r>
        <w:rPr>
          <w:rFonts w:hint="eastAsia"/>
        </w:rPr>
        <w:t>“</w:t>
      </w:r>
      <w:r w:rsidRPr="009E3BE7">
        <w:t>一</w:t>
      </w:r>
      <w:r w:rsidRPr="009E3BE7">
        <w:t>.</w:t>
      </w:r>
      <w:r w:rsidRPr="009E3BE7">
        <w:tab/>
      </w:r>
      <w:r w:rsidRPr="009E3BE7">
        <w:rPr>
          <w:spacing w:val="-8"/>
        </w:rPr>
        <w:t>在作战中</w:t>
      </w:r>
      <w:r>
        <w:rPr>
          <w:spacing w:val="-8"/>
        </w:rPr>
        <w:t>，</w:t>
      </w:r>
      <w:r w:rsidRPr="009E3BE7">
        <w:rPr>
          <w:spacing w:val="-8"/>
        </w:rPr>
        <w:t>应注意保护自然环境不受广泛、长期和严重地损害。这种保护包括禁止使用</w:t>
      </w:r>
      <w:r w:rsidRPr="008A6324">
        <w:t>旨在或可能对自然环境造成这种损害从而伤害居民的健康和生存的作战方法或手段。</w:t>
      </w:r>
    </w:p>
    <w:p w:rsidR="00AB00DE" w:rsidRPr="009E3BE7" w:rsidRDefault="00AB00DE" w:rsidP="006735D4">
      <w:pPr>
        <w:pStyle w:val="a4"/>
      </w:pPr>
      <w:r>
        <w:rPr>
          <w:rFonts w:hint="eastAsia"/>
        </w:rPr>
        <w:tab/>
      </w:r>
      <w:r>
        <w:rPr>
          <w:rFonts w:hint="eastAsia"/>
        </w:rPr>
        <w:tab/>
      </w:r>
      <w:r>
        <w:rPr>
          <w:rFonts w:eastAsiaTheme="minorEastAsia" w:hint="eastAsia"/>
        </w:rPr>
        <w:tab/>
      </w:r>
      <w:r w:rsidRPr="009E3BE7">
        <w:t>二</w:t>
      </w:r>
      <w:r w:rsidRPr="009E3BE7">
        <w:t>.</w:t>
      </w:r>
      <w:r w:rsidRPr="009E3BE7">
        <w:tab/>
      </w:r>
      <w:r w:rsidRPr="009E3BE7">
        <w:t>作为报复对自然环境的攻击</w:t>
      </w:r>
      <w:r>
        <w:t>，</w:t>
      </w:r>
      <w:r w:rsidRPr="009E3BE7">
        <w:t>是禁止的。</w:t>
      </w:r>
      <w:r>
        <w:rPr>
          <w:rFonts w:hint="eastAsia"/>
        </w:rPr>
        <w:t>”</w:t>
      </w:r>
    </w:p>
  </w:footnote>
  <w:footnote w:id="1361">
    <w:p w:rsidR="00AB00DE" w:rsidRPr="009E3BE7" w:rsidRDefault="00AB00DE" w:rsidP="00334F8C">
      <w:pPr>
        <w:pStyle w:val="a4"/>
      </w:pPr>
      <w:r w:rsidRPr="009E3BE7">
        <w:tab/>
      </w:r>
      <w:r w:rsidRPr="00681AC8">
        <w:rPr>
          <w:rStyle w:val="a5"/>
          <w:rFonts w:cstheme="majorBidi"/>
        </w:rPr>
        <w:footnoteRef/>
      </w:r>
      <w:r w:rsidRPr="00E64449">
        <w:rPr>
          <w:rStyle w:val="a5"/>
          <w:rFonts w:asciiTheme="majorBidi" w:hAnsiTheme="majorBidi"/>
          <w:color w:val="000000" w:themeColor="text1"/>
        </w:rPr>
        <w:tab/>
      </w:r>
      <w:r>
        <w:rPr>
          <w:highlight w:val="white"/>
        </w:rPr>
        <w:t>Pilloud</w:t>
      </w:r>
      <w:r w:rsidRPr="009E3BE7">
        <w:rPr>
          <w:highlight w:val="white"/>
        </w:rPr>
        <w:t>和</w:t>
      </w:r>
      <w:r>
        <w:rPr>
          <w:highlight w:val="white"/>
        </w:rPr>
        <w:t>Pictet</w:t>
      </w:r>
      <w:r>
        <w:rPr>
          <w:rFonts w:eastAsiaTheme="minorEastAsia" w:hint="eastAsia"/>
          <w:highlight w:val="white"/>
        </w:rPr>
        <w:t>(</w:t>
      </w:r>
      <w:r>
        <w:rPr>
          <w:rFonts w:eastAsiaTheme="minorEastAsia" w:hint="eastAsia"/>
          <w:highlight w:val="white"/>
        </w:rPr>
        <w:t>见</w:t>
      </w:r>
      <w:r w:rsidRPr="009E3BE7">
        <w:rPr>
          <w:highlight w:val="white"/>
        </w:rPr>
        <w:t>上文</w:t>
      </w:r>
      <w:r>
        <w:rPr>
          <w:rFonts w:eastAsiaTheme="minorEastAsia" w:hint="eastAsia"/>
          <w:highlight w:val="white"/>
        </w:rPr>
        <w:t>脚</w:t>
      </w:r>
      <w:r w:rsidRPr="009E3BE7">
        <w:rPr>
          <w:highlight w:val="white"/>
        </w:rPr>
        <w:t>注</w:t>
      </w:r>
      <w:r>
        <w:rPr>
          <w:highlight w:val="white"/>
        </w:rPr>
        <w:fldChar w:fldCharType="begin"/>
      </w:r>
      <w:r>
        <w:rPr>
          <w:highlight w:val="white"/>
        </w:rPr>
        <w:instrText xml:space="preserve"> NOTEREF _Ref461978123 \h </w:instrText>
      </w:r>
      <w:r>
        <w:rPr>
          <w:highlight w:val="white"/>
        </w:rPr>
      </w:r>
      <w:r>
        <w:rPr>
          <w:highlight w:val="white"/>
        </w:rPr>
        <w:fldChar w:fldCharType="separate"/>
      </w:r>
      <w:r w:rsidR="00A73EB9">
        <w:rPr>
          <w:highlight w:val="white"/>
        </w:rPr>
        <w:t>1335</w:t>
      </w:r>
      <w:r>
        <w:rPr>
          <w:highlight w:val="white"/>
        </w:rPr>
        <w:fldChar w:fldCharType="end"/>
      </w:r>
      <w:r>
        <w:rPr>
          <w:rFonts w:eastAsiaTheme="minorEastAsia" w:hint="eastAsia"/>
          <w:highlight w:val="white"/>
        </w:rPr>
        <w:t>)</w:t>
      </w:r>
      <w:r>
        <w:rPr>
          <w:highlight w:val="white"/>
        </w:rPr>
        <w:t>,</w:t>
      </w:r>
      <w:r>
        <w:rPr>
          <w:rFonts w:hint="eastAsia"/>
          <w:highlight w:val="white"/>
        </w:rPr>
        <w:t xml:space="preserve"> </w:t>
      </w:r>
      <w:r w:rsidRPr="009E3BE7">
        <w:rPr>
          <w:highlight w:val="white"/>
        </w:rPr>
        <w:t>第</w:t>
      </w:r>
      <w:r>
        <w:rPr>
          <w:highlight w:val="white"/>
        </w:rPr>
        <w:t>663</w:t>
      </w:r>
      <w:r w:rsidRPr="009E3BE7">
        <w:rPr>
          <w:highlight w:val="white"/>
        </w:rPr>
        <w:t>页。</w:t>
      </w:r>
      <w:r>
        <w:rPr>
          <w:rFonts w:eastAsiaTheme="minorEastAsia" w:hint="eastAsia"/>
          <w:highlight w:val="white"/>
        </w:rPr>
        <w:t>另</w:t>
      </w:r>
      <w:r w:rsidRPr="009E3BE7">
        <w:rPr>
          <w:highlight w:val="white"/>
        </w:rPr>
        <w:t>见</w:t>
      </w:r>
      <w:r>
        <w:rPr>
          <w:highlight w:val="white"/>
        </w:rPr>
        <w:t>K</w:t>
      </w:r>
      <w:r>
        <w:rPr>
          <w:rFonts w:eastAsiaTheme="minorEastAsia" w:hint="eastAsia"/>
          <w:highlight w:val="white"/>
        </w:rPr>
        <w:t>.</w:t>
      </w:r>
      <w:r w:rsidRPr="009E3BE7">
        <w:rPr>
          <w:highlight w:val="white"/>
        </w:rPr>
        <w:t xml:space="preserve"> </w:t>
      </w:r>
      <w:r>
        <w:rPr>
          <w:highlight w:val="white"/>
        </w:rPr>
        <w:t>Hulme</w:t>
      </w:r>
      <w:r>
        <w:rPr>
          <w:rFonts w:eastAsiaTheme="minorEastAsia" w:hint="eastAsia"/>
          <w:highlight w:val="white"/>
        </w:rPr>
        <w:t>，</w:t>
      </w:r>
      <w:r>
        <w:rPr>
          <w:rFonts w:hint="eastAsia"/>
          <w:highlight w:val="white"/>
        </w:rPr>
        <w:t>“</w:t>
      </w:r>
      <w:r w:rsidRPr="009E3BE7">
        <w:rPr>
          <w:highlight w:val="white"/>
        </w:rPr>
        <w:t>注意保护环境不受损毁</w:t>
      </w:r>
      <w:r>
        <w:rPr>
          <w:highlight w:val="white"/>
        </w:rPr>
        <w:t>：</w:t>
      </w:r>
      <w:r w:rsidRPr="009E3BE7">
        <w:rPr>
          <w:highlight w:val="white"/>
        </w:rPr>
        <w:t>是没有意义的义务吗</w:t>
      </w:r>
      <w:r>
        <w:rPr>
          <w:highlight w:val="white"/>
        </w:rPr>
        <w:t>？</w:t>
      </w:r>
      <w:r>
        <w:rPr>
          <w:rFonts w:hint="eastAsia"/>
          <w:highlight w:val="white"/>
        </w:rPr>
        <w:t>”</w:t>
      </w:r>
      <w:r w:rsidRPr="009E3BE7">
        <w:rPr>
          <w:highlight w:val="white"/>
        </w:rPr>
        <w:t>《红十字国际评论》</w:t>
      </w:r>
      <w:r>
        <w:rPr>
          <w:highlight w:val="white"/>
        </w:rPr>
        <w:t>，</w:t>
      </w:r>
      <w:r w:rsidRPr="009E3BE7">
        <w:rPr>
          <w:highlight w:val="white"/>
        </w:rPr>
        <w:t>第</w:t>
      </w:r>
      <w:r>
        <w:rPr>
          <w:highlight w:val="white"/>
        </w:rPr>
        <w:t>92</w:t>
      </w:r>
      <w:r w:rsidRPr="009E3BE7">
        <w:rPr>
          <w:highlight w:val="white"/>
        </w:rPr>
        <w:t>卷</w:t>
      </w:r>
      <w:r>
        <w:rPr>
          <w:highlight w:val="white"/>
        </w:rPr>
        <w:t>，</w:t>
      </w:r>
      <w:r w:rsidRPr="009E3BE7">
        <w:rPr>
          <w:highlight w:val="white"/>
        </w:rPr>
        <w:t>第</w:t>
      </w:r>
      <w:r>
        <w:rPr>
          <w:highlight w:val="white"/>
        </w:rPr>
        <w:t>879(2010)</w:t>
      </w:r>
      <w:r w:rsidRPr="009E3BE7">
        <w:rPr>
          <w:highlight w:val="white"/>
        </w:rPr>
        <w:t>号</w:t>
      </w:r>
      <w:r>
        <w:rPr>
          <w:highlight w:val="white"/>
        </w:rPr>
        <w:t>，</w:t>
      </w:r>
      <w:r w:rsidRPr="009E3BE7">
        <w:rPr>
          <w:highlight w:val="white"/>
        </w:rPr>
        <w:t>第</w:t>
      </w:r>
      <w:r>
        <w:rPr>
          <w:highlight w:val="white"/>
        </w:rPr>
        <w:t>675</w:t>
      </w:r>
      <w:r w:rsidRPr="009E3BE7">
        <w:rPr>
          <w:highlight w:val="white"/>
        </w:rPr>
        <w:t>-</w:t>
      </w:r>
      <w:r>
        <w:rPr>
          <w:highlight w:val="white"/>
        </w:rPr>
        <w:t>691</w:t>
      </w:r>
      <w:r w:rsidRPr="009E3BE7">
        <w:rPr>
          <w:highlight w:val="white"/>
        </w:rPr>
        <w:t>页。</w:t>
      </w:r>
    </w:p>
  </w:footnote>
  <w:footnote w:id="1362">
    <w:p w:rsidR="00AB00DE" w:rsidRPr="009E3BE7" w:rsidRDefault="00AB00DE" w:rsidP="006735D4">
      <w:pPr>
        <w:pStyle w:val="a4"/>
      </w:pPr>
      <w:r w:rsidRPr="009E3BE7">
        <w:tab/>
      </w:r>
      <w:r w:rsidRPr="00681AC8">
        <w:rPr>
          <w:rStyle w:val="a5"/>
          <w:rFonts w:cstheme="majorBidi"/>
        </w:rPr>
        <w:footnoteRef/>
      </w:r>
      <w:r w:rsidRPr="009E3BE7">
        <w:tab/>
      </w:r>
      <w:r w:rsidRPr="009E3BE7">
        <w:t>见关于与武装冲突有关的环境保护初步报告</w:t>
      </w:r>
      <w:r>
        <w:t>，</w:t>
      </w:r>
      <w:r>
        <w:t>A/CN</w:t>
      </w:r>
      <w:r w:rsidRPr="009E3BE7">
        <w:t>.</w:t>
      </w:r>
      <w:r>
        <w:t>4/674</w:t>
      </w:r>
      <w:r>
        <w:rPr>
          <w:rFonts w:eastAsiaTheme="minorEastAsia" w:hint="eastAsia"/>
        </w:rPr>
        <w:t>，</w:t>
      </w:r>
      <w:r w:rsidRPr="009E3BE7">
        <w:t>第</w:t>
      </w:r>
      <w:r>
        <w:t>21</w:t>
      </w:r>
      <w:r w:rsidRPr="009E3BE7">
        <w:t>页。</w:t>
      </w:r>
    </w:p>
  </w:footnote>
  <w:footnote w:id="1363">
    <w:p w:rsidR="00AB00DE" w:rsidRPr="004C45F6" w:rsidRDefault="00AB00DE" w:rsidP="00DE50E6">
      <w:pPr>
        <w:pStyle w:val="a4"/>
        <w:spacing w:line="230" w:lineRule="exact"/>
        <w:rPr>
          <w:rFonts w:asciiTheme="majorBidi" w:eastAsiaTheme="minorEastAsia" w:hAnsiTheme="majorBidi" w:cstheme="majorBidi"/>
        </w:rPr>
      </w:pPr>
      <w:r>
        <w:rPr>
          <w:rFonts w:hint="eastAsia"/>
          <w:color w:val="000000"/>
        </w:rPr>
        <w:tab/>
      </w:r>
      <w:r w:rsidRPr="00681AC8">
        <w:rPr>
          <w:rStyle w:val="a5"/>
          <w:rFonts w:cstheme="majorBidi"/>
        </w:rPr>
        <w:footnoteRef/>
      </w:r>
      <w:r>
        <w:rPr>
          <w:rFonts w:hint="eastAsia"/>
          <w:color w:val="000000"/>
        </w:rPr>
        <w:tab/>
      </w:r>
      <w:r w:rsidRPr="002A4016">
        <w:rPr>
          <w:rFonts w:asciiTheme="majorBidi" w:hAnsiTheme="majorBidi" w:cstheme="majorBidi"/>
        </w:rPr>
        <w:t>《改善战地武装部队伤者病者境遇之</w:t>
      </w:r>
      <w:r>
        <w:rPr>
          <w:rFonts w:asciiTheme="majorBidi" w:eastAsiaTheme="minorEastAsia" w:hAnsiTheme="majorBidi" w:cstheme="majorBidi" w:hint="eastAsia"/>
        </w:rPr>
        <w:t>日内瓦</w:t>
      </w:r>
      <w:r w:rsidRPr="002A4016">
        <w:rPr>
          <w:rFonts w:asciiTheme="majorBidi" w:hAnsiTheme="majorBidi" w:cstheme="majorBidi"/>
        </w:rPr>
        <w:t>公约》</w:t>
      </w:r>
      <w:r>
        <w:rPr>
          <w:rFonts w:asciiTheme="majorBidi" w:eastAsiaTheme="minorEastAsia" w:hAnsiTheme="majorBidi" w:cstheme="majorBidi" w:hint="eastAsia"/>
        </w:rPr>
        <w:t>(</w:t>
      </w:r>
      <w:r>
        <w:rPr>
          <w:rFonts w:asciiTheme="majorBidi" w:hAnsiTheme="majorBidi" w:cstheme="majorBidi"/>
        </w:rPr>
        <w:t>1949</w:t>
      </w:r>
      <w:r w:rsidRPr="002A4016">
        <w:rPr>
          <w:rFonts w:ascii="宋体" w:hAnsi="宋体" w:cs="宋体" w:hint="eastAsia"/>
        </w:rPr>
        <w:t>年</w:t>
      </w:r>
      <w:r>
        <w:rPr>
          <w:rFonts w:asciiTheme="majorBidi" w:hAnsiTheme="majorBidi" w:cstheme="majorBidi"/>
        </w:rPr>
        <w:t>8</w:t>
      </w:r>
      <w:r w:rsidRPr="002A4016">
        <w:rPr>
          <w:rFonts w:ascii="宋体" w:hAnsi="宋体" w:cs="宋体" w:hint="eastAsia"/>
        </w:rPr>
        <w:t>月</w:t>
      </w:r>
      <w:r>
        <w:rPr>
          <w:rFonts w:asciiTheme="majorBidi" w:hAnsiTheme="majorBidi" w:cstheme="majorBidi"/>
        </w:rPr>
        <w:t>12</w:t>
      </w:r>
      <w:r w:rsidRPr="002A4016">
        <w:rPr>
          <w:rFonts w:ascii="宋体" w:hAnsi="宋体" w:cs="宋体" w:hint="eastAsia"/>
        </w:rPr>
        <w:t>日</w:t>
      </w:r>
      <w:r>
        <w:rPr>
          <w:rFonts w:ascii="宋体" w:hAnsi="宋体" w:cs="宋体" w:hint="eastAsia"/>
        </w:rPr>
        <w:t>，</w:t>
      </w:r>
      <w:r w:rsidRPr="002A4016">
        <w:rPr>
          <w:rFonts w:ascii="宋体" w:hAnsi="宋体" w:cs="宋体" w:hint="eastAsia"/>
        </w:rPr>
        <w:t>日内瓦</w:t>
      </w:r>
      <w:r>
        <w:rPr>
          <w:rFonts w:asciiTheme="majorBidi" w:eastAsiaTheme="minorEastAsia" w:hAnsiTheme="majorBidi" w:cstheme="majorBidi" w:hint="eastAsia"/>
        </w:rPr>
        <w:t>)</w:t>
      </w:r>
      <w:r>
        <w:rPr>
          <w:rFonts w:asciiTheme="majorBidi" w:eastAsiaTheme="minorEastAsia" w:hAnsiTheme="majorBidi" w:cstheme="majorBidi" w:hint="eastAsia"/>
        </w:rPr>
        <w:t>，同上，</w:t>
      </w:r>
      <w:r w:rsidRPr="002A4016">
        <w:rPr>
          <w:rFonts w:asciiTheme="majorBidi" w:hAnsiTheme="majorBidi" w:cstheme="majorBidi"/>
        </w:rPr>
        <w:t>第</w:t>
      </w:r>
      <w:r>
        <w:rPr>
          <w:rFonts w:asciiTheme="majorBidi" w:hAnsiTheme="majorBidi" w:cstheme="majorBidi"/>
        </w:rPr>
        <w:t>75</w:t>
      </w:r>
      <w:r w:rsidRPr="002A4016">
        <w:rPr>
          <w:rFonts w:asciiTheme="majorBidi" w:hAnsiTheme="majorBidi" w:cstheme="majorBidi"/>
        </w:rPr>
        <w:t>卷</w:t>
      </w:r>
      <w:r>
        <w:rPr>
          <w:rFonts w:asciiTheme="majorBidi" w:hAnsiTheme="majorBidi" w:cstheme="majorBidi"/>
        </w:rPr>
        <w:t>，</w:t>
      </w:r>
      <w:r w:rsidRPr="00CC0941">
        <w:rPr>
          <w:rFonts w:hint="eastAsia"/>
        </w:rPr>
        <w:t>第</w:t>
      </w:r>
      <w:r>
        <w:t>97</w:t>
      </w:r>
      <w:r>
        <w:rPr>
          <w:rFonts w:hint="eastAsia"/>
        </w:rPr>
        <w:t>0</w:t>
      </w:r>
      <w:r w:rsidRPr="00CC0941">
        <w:rPr>
          <w:rFonts w:hint="eastAsia"/>
        </w:rPr>
        <w:t>号</w:t>
      </w:r>
      <w:r>
        <w:rPr>
          <w:rFonts w:hint="eastAsia"/>
        </w:rPr>
        <w:t>，</w:t>
      </w:r>
      <w:r w:rsidRPr="002A4016">
        <w:rPr>
          <w:rFonts w:asciiTheme="majorBidi" w:hAnsiTheme="majorBidi" w:cstheme="majorBidi"/>
        </w:rPr>
        <w:t>第</w:t>
      </w:r>
      <w:r>
        <w:rPr>
          <w:rFonts w:asciiTheme="majorBidi" w:hAnsiTheme="majorBidi" w:cstheme="majorBidi"/>
        </w:rPr>
        <w:t>31</w:t>
      </w:r>
      <w:r w:rsidRPr="002A4016">
        <w:rPr>
          <w:rFonts w:asciiTheme="majorBidi" w:hAnsiTheme="majorBidi" w:cstheme="majorBidi"/>
        </w:rPr>
        <w:t>页</w:t>
      </w:r>
      <w:r>
        <w:rPr>
          <w:rFonts w:asciiTheme="majorBidi" w:eastAsiaTheme="minorEastAsia" w:hAnsiTheme="majorBidi" w:cstheme="majorBidi" w:hint="eastAsia"/>
        </w:rPr>
        <w:t>，第四十九条</w:t>
      </w:r>
      <w:r>
        <w:rPr>
          <w:rFonts w:asciiTheme="majorBidi" w:hAnsiTheme="majorBidi" w:cstheme="majorBidi"/>
        </w:rPr>
        <w:t>；</w:t>
      </w:r>
      <w:r>
        <w:rPr>
          <w:rFonts w:asciiTheme="majorBidi" w:eastAsiaTheme="minorEastAsia" w:hAnsiTheme="majorBidi" w:cstheme="majorBidi" w:hint="eastAsia"/>
        </w:rPr>
        <w:t>(</w:t>
      </w:r>
      <w:r>
        <w:rPr>
          <w:rFonts w:asciiTheme="majorBidi" w:eastAsiaTheme="minorEastAsia" w:hAnsiTheme="majorBidi" w:cstheme="majorBidi" w:hint="eastAsia"/>
        </w:rPr>
        <w:t>《日内瓦第一公约》</w:t>
      </w:r>
      <w:r>
        <w:rPr>
          <w:rFonts w:asciiTheme="majorBidi" w:eastAsiaTheme="minorEastAsia" w:hAnsiTheme="majorBidi" w:cstheme="majorBidi" w:hint="eastAsia"/>
        </w:rPr>
        <w:t>)</w:t>
      </w:r>
      <w:r>
        <w:rPr>
          <w:rFonts w:asciiTheme="majorBidi" w:eastAsiaTheme="minorEastAsia" w:hAnsiTheme="majorBidi" w:cstheme="majorBidi" w:hint="eastAsia"/>
        </w:rPr>
        <w:t>；</w:t>
      </w:r>
      <w:r w:rsidRPr="002A4016">
        <w:rPr>
          <w:rFonts w:asciiTheme="majorBidi" w:hAnsiTheme="majorBidi" w:cstheme="majorBidi"/>
        </w:rPr>
        <w:t>《改善海上武装部队伤者病者及遇船难者境遇之</w:t>
      </w:r>
      <w:r>
        <w:rPr>
          <w:rFonts w:asciiTheme="majorBidi" w:eastAsiaTheme="minorEastAsia" w:hAnsiTheme="majorBidi" w:cstheme="majorBidi" w:hint="eastAsia"/>
        </w:rPr>
        <w:t>日内瓦</w:t>
      </w:r>
      <w:r w:rsidRPr="002A4016">
        <w:rPr>
          <w:rFonts w:asciiTheme="majorBidi" w:hAnsiTheme="majorBidi" w:cstheme="majorBidi"/>
        </w:rPr>
        <w:t>公约》</w:t>
      </w:r>
      <w:r>
        <w:rPr>
          <w:rFonts w:asciiTheme="majorBidi" w:eastAsiaTheme="minorEastAsia" w:hAnsiTheme="majorBidi" w:cstheme="majorBidi" w:hint="eastAsia"/>
        </w:rPr>
        <w:t>(</w:t>
      </w:r>
      <w:r w:rsidRPr="002A4016">
        <w:rPr>
          <w:rFonts w:ascii="宋体" w:hAnsi="宋体" w:cs="宋体" w:hint="eastAsia"/>
        </w:rPr>
        <w:t>日内瓦</w:t>
      </w:r>
      <w:r>
        <w:rPr>
          <w:rFonts w:ascii="宋体" w:hAnsi="宋体" w:cs="宋体" w:hint="eastAsia"/>
        </w:rPr>
        <w:t>，</w:t>
      </w:r>
      <w:r>
        <w:rPr>
          <w:rFonts w:asciiTheme="majorBidi" w:hAnsiTheme="majorBidi" w:cstheme="majorBidi"/>
        </w:rPr>
        <w:t>1949</w:t>
      </w:r>
      <w:r w:rsidRPr="002A4016">
        <w:rPr>
          <w:rFonts w:ascii="宋体" w:hAnsi="宋体" w:cs="宋体" w:hint="eastAsia"/>
        </w:rPr>
        <w:t>年</w:t>
      </w:r>
      <w:r>
        <w:rPr>
          <w:rFonts w:asciiTheme="majorBidi" w:hAnsiTheme="majorBidi" w:cstheme="majorBidi"/>
        </w:rPr>
        <w:t>8</w:t>
      </w:r>
      <w:r w:rsidRPr="002A4016">
        <w:rPr>
          <w:rFonts w:ascii="宋体" w:hAnsi="宋体" w:cs="宋体" w:hint="eastAsia"/>
        </w:rPr>
        <w:t>月</w:t>
      </w:r>
      <w:r>
        <w:rPr>
          <w:rFonts w:asciiTheme="majorBidi" w:hAnsiTheme="majorBidi" w:cstheme="majorBidi"/>
        </w:rPr>
        <w:t>12</w:t>
      </w:r>
      <w:r w:rsidRPr="002A4016">
        <w:rPr>
          <w:rFonts w:ascii="宋体" w:hAnsi="宋体" w:cs="宋体" w:hint="eastAsia"/>
        </w:rPr>
        <w:t>日</w:t>
      </w:r>
      <w:r>
        <w:rPr>
          <w:rFonts w:asciiTheme="majorBidi" w:eastAsiaTheme="minorEastAsia" w:hAnsiTheme="majorBidi" w:cstheme="majorBidi" w:hint="eastAsia"/>
        </w:rPr>
        <w:t>)</w:t>
      </w:r>
      <w:r>
        <w:rPr>
          <w:rFonts w:asciiTheme="majorBidi" w:eastAsiaTheme="minorEastAsia" w:hAnsiTheme="majorBidi" w:cstheme="majorBidi" w:hint="eastAsia"/>
        </w:rPr>
        <w:t>，同上，第</w:t>
      </w:r>
      <w:r>
        <w:rPr>
          <w:rFonts w:asciiTheme="majorBidi" w:eastAsiaTheme="minorEastAsia" w:hAnsiTheme="majorBidi" w:cstheme="majorBidi" w:hint="eastAsia"/>
        </w:rPr>
        <w:t>971</w:t>
      </w:r>
      <w:r>
        <w:rPr>
          <w:rFonts w:asciiTheme="majorBidi" w:eastAsiaTheme="minorEastAsia" w:hAnsiTheme="majorBidi" w:cstheme="majorBidi" w:hint="eastAsia"/>
        </w:rPr>
        <w:t>号，第</w:t>
      </w:r>
      <w:r>
        <w:rPr>
          <w:rFonts w:asciiTheme="majorBidi" w:eastAsiaTheme="minorEastAsia" w:hAnsiTheme="majorBidi" w:cstheme="majorBidi" w:hint="eastAsia"/>
        </w:rPr>
        <w:t>8</w:t>
      </w:r>
      <w:r>
        <w:rPr>
          <w:rFonts w:asciiTheme="majorBidi" w:hAnsiTheme="majorBidi" w:cstheme="majorBidi"/>
        </w:rPr>
        <w:t>5</w:t>
      </w:r>
      <w:r w:rsidRPr="002A4016">
        <w:rPr>
          <w:rFonts w:asciiTheme="majorBidi" w:hAnsiTheme="majorBidi" w:cstheme="majorBidi"/>
        </w:rPr>
        <w:t>页</w:t>
      </w:r>
      <w:r>
        <w:rPr>
          <w:rFonts w:asciiTheme="majorBidi" w:eastAsiaTheme="minorEastAsia" w:hAnsiTheme="majorBidi" w:cstheme="majorBidi" w:hint="eastAsia"/>
        </w:rPr>
        <w:t>，第五十条</w:t>
      </w:r>
      <w:r>
        <w:rPr>
          <w:rFonts w:asciiTheme="majorBidi" w:eastAsiaTheme="minorEastAsia" w:hAnsiTheme="majorBidi" w:cstheme="majorBidi" w:hint="eastAsia"/>
        </w:rPr>
        <w:t>(</w:t>
      </w:r>
      <w:r>
        <w:rPr>
          <w:rFonts w:asciiTheme="majorBidi" w:eastAsiaTheme="minorEastAsia" w:hAnsiTheme="majorBidi" w:cstheme="majorBidi" w:hint="eastAsia"/>
        </w:rPr>
        <w:t>《日内瓦第二公约》</w:t>
      </w:r>
      <w:r>
        <w:rPr>
          <w:rFonts w:asciiTheme="majorBidi" w:eastAsiaTheme="minorEastAsia" w:hAnsiTheme="majorBidi" w:cstheme="majorBidi" w:hint="eastAsia"/>
        </w:rPr>
        <w:t>)</w:t>
      </w:r>
      <w:r>
        <w:rPr>
          <w:rFonts w:asciiTheme="majorBidi" w:hAnsiTheme="majorBidi" w:cstheme="majorBidi"/>
        </w:rPr>
        <w:t>；</w:t>
      </w:r>
      <w:r w:rsidRPr="002A4016">
        <w:rPr>
          <w:rFonts w:asciiTheme="majorBidi" w:hAnsiTheme="majorBidi" w:cstheme="majorBidi"/>
        </w:rPr>
        <w:t>《关于战俘待遇之</w:t>
      </w:r>
      <w:r>
        <w:rPr>
          <w:rFonts w:asciiTheme="majorBidi" w:eastAsiaTheme="minorEastAsia" w:hAnsiTheme="majorBidi" w:cstheme="majorBidi" w:hint="eastAsia"/>
        </w:rPr>
        <w:t>日内瓦</w:t>
      </w:r>
      <w:r w:rsidRPr="002A4016">
        <w:rPr>
          <w:rFonts w:asciiTheme="majorBidi" w:hAnsiTheme="majorBidi" w:cstheme="majorBidi"/>
        </w:rPr>
        <w:t>公约》</w:t>
      </w:r>
      <w:r>
        <w:rPr>
          <w:rFonts w:asciiTheme="majorBidi" w:eastAsiaTheme="minorEastAsia" w:hAnsiTheme="majorBidi" w:cstheme="majorBidi" w:hint="eastAsia"/>
        </w:rPr>
        <w:t>(</w:t>
      </w:r>
      <w:r w:rsidRPr="002A4016">
        <w:rPr>
          <w:rFonts w:ascii="宋体" w:hAnsi="宋体" w:cs="宋体" w:hint="eastAsia"/>
        </w:rPr>
        <w:t>日内瓦</w:t>
      </w:r>
      <w:r>
        <w:rPr>
          <w:rFonts w:ascii="宋体" w:hAnsi="宋体" w:cs="宋体" w:hint="eastAsia"/>
        </w:rPr>
        <w:t>，</w:t>
      </w:r>
      <w:r>
        <w:rPr>
          <w:rFonts w:asciiTheme="majorBidi" w:hAnsiTheme="majorBidi" w:cstheme="majorBidi"/>
        </w:rPr>
        <w:t>1949</w:t>
      </w:r>
      <w:r w:rsidRPr="002A4016">
        <w:rPr>
          <w:rFonts w:ascii="宋体" w:hAnsi="宋体" w:cs="宋体" w:hint="eastAsia"/>
        </w:rPr>
        <w:t>年</w:t>
      </w:r>
      <w:r>
        <w:rPr>
          <w:rFonts w:asciiTheme="majorBidi" w:hAnsiTheme="majorBidi" w:cstheme="majorBidi"/>
        </w:rPr>
        <w:t>8</w:t>
      </w:r>
      <w:r w:rsidRPr="002A4016">
        <w:rPr>
          <w:rFonts w:ascii="宋体" w:hAnsi="宋体" w:cs="宋体" w:hint="eastAsia"/>
        </w:rPr>
        <w:t>月</w:t>
      </w:r>
      <w:r>
        <w:rPr>
          <w:rFonts w:asciiTheme="majorBidi" w:hAnsiTheme="majorBidi" w:cstheme="majorBidi"/>
        </w:rPr>
        <w:t>12</w:t>
      </w:r>
      <w:r w:rsidRPr="002A4016">
        <w:rPr>
          <w:rFonts w:ascii="宋体" w:hAnsi="宋体" w:cs="宋体" w:hint="eastAsia"/>
        </w:rPr>
        <w:t>日</w:t>
      </w:r>
      <w:r>
        <w:rPr>
          <w:rFonts w:asciiTheme="majorBidi" w:eastAsiaTheme="minorEastAsia" w:hAnsiTheme="majorBidi" w:cstheme="majorBidi" w:hint="eastAsia"/>
        </w:rPr>
        <w:t>)</w:t>
      </w:r>
      <w:r>
        <w:rPr>
          <w:rFonts w:asciiTheme="majorBidi" w:eastAsiaTheme="minorEastAsia" w:hAnsiTheme="majorBidi" w:cstheme="majorBidi" w:hint="eastAsia"/>
        </w:rPr>
        <w:t>，同上，第</w:t>
      </w:r>
      <w:r>
        <w:rPr>
          <w:rFonts w:asciiTheme="majorBidi" w:eastAsiaTheme="minorEastAsia" w:hAnsiTheme="majorBidi" w:cstheme="majorBidi" w:hint="eastAsia"/>
        </w:rPr>
        <w:t>972</w:t>
      </w:r>
      <w:r>
        <w:rPr>
          <w:rFonts w:asciiTheme="majorBidi" w:eastAsiaTheme="minorEastAsia" w:hAnsiTheme="majorBidi" w:cstheme="majorBidi" w:hint="eastAsia"/>
        </w:rPr>
        <w:t>号</w:t>
      </w:r>
      <w:r>
        <w:rPr>
          <w:rFonts w:asciiTheme="majorBidi" w:hAnsiTheme="majorBidi" w:cstheme="majorBidi"/>
        </w:rPr>
        <w:t>，</w:t>
      </w:r>
      <w:r w:rsidRPr="002A4016">
        <w:rPr>
          <w:rFonts w:asciiTheme="majorBidi" w:hAnsiTheme="majorBidi" w:cstheme="majorBidi"/>
        </w:rPr>
        <w:t>第</w:t>
      </w:r>
      <w:r>
        <w:rPr>
          <w:rFonts w:asciiTheme="majorBidi" w:hAnsiTheme="majorBidi" w:cstheme="majorBidi"/>
        </w:rPr>
        <w:t>135</w:t>
      </w:r>
      <w:r w:rsidRPr="002A4016">
        <w:rPr>
          <w:rFonts w:asciiTheme="majorBidi" w:hAnsiTheme="majorBidi" w:cstheme="majorBidi"/>
        </w:rPr>
        <w:t>页</w:t>
      </w:r>
      <w:r>
        <w:rPr>
          <w:rFonts w:asciiTheme="majorBidi" w:eastAsiaTheme="minorEastAsia" w:hAnsiTheme="majorBidi" w:cstheme="majorBidi" w:hint="eastAsia"/>
        </w:rPr>
        <w:t>，第一二九条</w:t>
      </w:r>
      <w:r>
        <w:rPr>
          <w:rFonts w:asciiTheme="majorBidi" w:eastAsiaTheme="minorEastAsia" w:hAnsiTheme="majorBidi" w:cstheme="majorBidi" w:hint="eastAsia"/>
        </w:rPr>
        <w:t>(</w:t>
      </w:r>
      <w:r>
        <w:rPr>
          <w:rFonts w:asciiTheme="majorBidi" w:eastAsiaTheme="minorEastAsia" w:hAnsiTheme="majorBidi" w:cstheme="majorBidi" w:hint="eastAsia"/>
        </w:rPr>
        <w:t>《日内瓦第三公约》</w:t>
      </w:r>
      <w:r>
        <w:rPr>
          <w:rFonts w:asciiTheme="majorBidi" w:eastAsiaTheme="minorEastAsia" w:hAnsiTheme="majorBidi" w:cstheme="majorBidi" w:hint="eastAsia"/>
        </w:rPr>
        <w:t>)</w:t>
      </w:r>
      <w:r>
        <w:rPr>
          <w:rFonts w:asciiTheme="majorBidi" w:hAnsiTheme="majorBidi" w:cstheme="majorBidi"/>
        </w:rPr>
        <w:t>；</w:t>
      </w:r>
      <w:r w:rsidRPr="002A4016">
        <w:rPr>
          <w:rFonts w:asciiTheme="majorBidi" w:hAnsiTheme="majorBidi" w:cstheme="majorBidi"/>
        </w:rPr>
        <w:t>《关于战时保护平民之</w:t>
      </w:r>
      <w:r>
        <w:rPr>
          <w:rFonts w:asciiTheme="majorBidi" w:eastAsiaTheme="minorEastAsia" w:hAnsiTheme="majorBidi" w:cstheme="majorBidi" w:hint="eastAsia"/>
        </w:rPr>
        <w:t>日内瓦</w:t>
      </w:r>
      <w:r w:rsidRPr="002A4016">
        <w:rPr>
          <w:rFonts w:asciiTheme="majorBidi" w:hAnsiTheme="majorBidi" w:cstheme="majorBidi"/>
        </w:rPr>
        <w:t>公约》</w:t>
      </w:r>
      <w:r>
        <w:rPr>
          <w:rFonts w:asciiTheme="majorBidi" w:eastAsiaTheme="minorEastAsia" w:hAnsiTheme="majorBidi" w:cstheme="majorBidi" w:hint="eastAsia"/>
        </w:rPr>
        <w:t>(</w:t>
      </w:r>
      <w:r w:rsidRPr="002A4016">
        <w:rPr>
          <w:rFonts w:ascii="宋体" w:hAnsi="宋体" w:cs="宋体" w:hint="eastAsia"/>
        </w:rPr>
        <w:t>日内瓦</w:t>
      </w:r>
      <w:r>
        <w:rPr>
          <w:rFonts w:ascii="宋体" w:hAnsi="宋体" w:cs="宋体" w:hint="eastAsia"/>
        </w:rPr>
        <w:t>，</w:t>
      </w:r>
      <w:r>
        <w:rPr>
          <w:rFonts w:asciiTheme="majorBidi" w:hAnsiTheme="majorBidi" w:cstheme="majorBidi"/>
        </w:rPr>
        <w:t>1949</w:t>
      </w:r>
      <w:r w:rsidRPr="002A4016">
        <w:rPr>
          <w:rFonts w:ascii="宋体" w:hAnsi="宋体" w:cs="宋体" w:hint="eastAsia"/>
        </w:rPr>
        <w:t>年</w:t>
      </w:r>
      <w:r>
        <w:rPr>
          <w:rFonts w:asciiTheme="majorBidi" w:hAnsiTheme="majorBidi" w:cstheme="majorBidi"/>
        </w:rPr>
        <w:t>8</w:t>
      </w:r>
      <w:r w:rsidRPr="002A4016">
        <w:rPr>
          <w:rFonts w:ascii="宋体" w:hAnsi="宋体" w:cs="宋体" w:hint="eastAsia"/>
        </w:rPr>
        <w:t>月</w:t>
      </w:r>
      <w:r>
        <w:rPr>
          <w:rFonts w:asciiTheme="majorBidi" w:hAnsiTheme="majorBidi" w:cstheme="majorBidi"/>
        </w:rPr>
        <w:t>12</w:t>
      </w:r>
      <w:r w:rsidRPr="002A4016">
        <w:rPr>
          <w:rFonts w:ascii="宋体" w:hAnsi="宋体" w:cs="宋体" w:hint="eastAsia"/>
        </w:rPr>
        <w:t>日</w:t>
      </w:r>
      <w:r>
        <w:rPr>
          <w:rFonts w:asciiTheme="majorBidi" w:eastAsiaTheme="minorEastAsia" w:hAnsiTheme="majorBidi" w:cstheme="majorBidi" w:hint="eastAsia"/>
        </w:rPr>
        <w:t>)</w:t>
      </w:r>
      <w:r>
        <w:rPr>
          <w:rFonts w:asciiTheme="majorBidi" w:eastAsiaTheme="minorEastAsia" w:hAnsiTheme="majorBidi" w:cstheme="majorBidi" w:hint="eastAsia"/>
        </w:rPr>
        <w:t>，同上，第</w:t>
      </w:r>
      <w:r>
        <w:rPr>
          <w:rFonts w:asciiTheme="majorBidi" w:eastAsiaTheme="minorEastAsia" w:hAnsiTheme="majorBidi" w:cstheme="majorBidi" w:hint="eastAsia"/>
        </w:rPr>
        <w:t>973</w:t>
      </w:r>
      <w:r>
        <w:rPr>
          <w:rFonts w:asciiTheme="majorBidi" w:eastAsiaTheme="minorEastAsia" w:hAnsiTheme="majorBidi" w:cstheme="majorBidi" w:hint="eastAsia"/>
        </w:rPr>
        <w:t>号，</w:t>
      </w:r>
      <w:r w:rsidRPr="002A4016">
        <w:rPr>
          <w:rFonts w:asciiTheme="majorBidi" w:hAnsiTheme="majorBidi" w:cstheme="majorBidi"/>
        </w:rPr>
        <w:t>第</w:t>
      </w:r>
      <w:r>
        <w:rPr>
          <w:rFonts w:asciiTheme="majorBidi" w:hAnsiTheme="majorBidi" w:cstheme="majorBidi"/>
        </w:rPr>
        <w:t>287</w:t>
      </w:r>
      <w:r w:rsidRPr="002A4016">
        <w:rPr>
          <w:rFonts w:asciiTheme="majorBidi" w:hAnsiTheme="majorBidi" w:cstheme="majorBidi"/>
        </w:rPr>
        <w:t>页</w:t>
      </w:r>
      <w:r>
        <w:rPr>
          <w:rFonts w:asciiTheme="majorBidi" w:hAnsiTheme="majorBidi" w:cstheme="majorBidi"/>
        </w:rPr>
        <w:t>，</w:t>
      </w:r>
      <w:r>
        <w:rPr>
          <w:rFonts w:asciiTheme="majorBidi" w:eastAsiaTheme="minorEastAsia" w:hAnsiTheme="majorBidi" w:cstheme="majorBidi" w:hint="eastAsia"/>
        </w:rPr>
        <w:t>第一四六条</w:t>
      </w:r>
      <w:r>
        <w:rPr>
          <w:rFonts w:asciiTheme="majorBidi" w:eastAsiaTheme="minorEastAsia" w:hAnsiTheme="majorBidi" w:cstheme="majorBidi" w:hint="eastAsia"/>
        </w:rPr>
        <w:t>(</w:t>
      </w:r>
      <w:r>
        <w:rPr>
          <w:rFonts w:asciiTheme="majorBidi" w:eastAsiaTheme="minorEastAsia" w:hAnsiTheme="majorBidi" w:cstheme="majorBidi" w:hint="eastAsia"/>
        </w:rPr>
        <w:t>《日内瓦第四公约》</w:t>
      </w:r>
      <w:r>
        <w:rPr>
          <w:rFonts w:asciiTheme="majorBidi" w:eastAsiaTheme="minorEastAsia" w:hAnsiTheme="majorBidi" w:cstheme="majorBidi" w:hint="eastAsia"/>
        </w:rPr>
        <w:t>)</w:t>
      </w:r>
      <w:r>
        <w:rPr>
          <w:rFonts w:asciiTheme="majorBidi" w:eastAsiaTheme="minorEastAsia" w:hAnsiTheme="majorBidi" w:cstheme="majorBidi" w:hint="eastAsia"/>
        </w:rPr>
        <w:t>，</w:t>
      </w:r>
      <w:r w:rsidRPr="002A4016">
        <w:rPr>
          <w:rFonts w:asciiTheme="majorBidi" w:hAnsiTheme="majorBidi" w:cstheme="majorBidi"/>
        </w:rPr>
        <w:t>共同的第二条和第三条</w:t>
      </w:r>
      <w:r>
        <w:rPr>
          <w:rFonts w:asciiTheme="majorBidi" w:hAnsiTheme="majorBidi" w:cstheme="majorBidi"/>
        </w:rPr>
        <w:t>；</w:t>
      </w:r>
      <w:r w:rsidRPr="002A4016">
        <w:rPr>
          <w:rFonts w:asciiTheme="majorBidi" w:hAnsiTheme="majorBidi" w:cstheme="majorBidi"/>
        </w:rPr>
        <w:t>《第一议定书》第一条</w:t>
      </w:r>
      <w:r>
        <w:rPr>
          <w:rFonts w:asciiTheme="majorBidi" w:hAnsiTheme="majorBidi" w:cstheme="majorBidi"/>
        </w:rPr>
        <w:t>；</w:t>
      </w:r>
      <w:r>
        <w:rPr>
          <w:rFonts w:asciiTheme="majorBidi" w:eastAsiaTheme="minorEastAsia" w:hAnsiTheme="majorBidi" w:cstheme="majorBidi" w:hint="eastAsia"/>
        </w:rPr>
        <w:t>《</w:t>
      </w:r>
      <w:r>
        <w:rPr>
          <w:rFonts w:asciiTheme="majorBidi" w:hAnsiTheme="majorBidi" w:cstheme="majorBidi"/>
        </w:rPr>
        <w:t>1949</w:t>
      </w:r>
      <w:r w:rsidRPr="002A4016">
        <w:rPr>
          <w:rFonts w:ascii="宋体" w:hAnsi="宋体" w:cs="宋体" w:hint="eastAsia"/>
        </w:rPr>
        <w:t>年</w:t>
      </w:r>
      <w:r>
        <w:rPr>
          <w:rFonts w:asciiTheme="majorBidi" w:hAnsiTheme="majorBidi" w:cstheme="majorBidi"/>
        </w:rPr>
        <w:t>8</w:t>
      </w:r>
      <w:r w:rsidRPr="002A4016">
        <w:rPr>
          <w:rFonts w:ascii="宋体" w:hAnsi="宋体" w:cs="宋体" w:hint="eastAsia"/>
        </w:rPr>
        <w:t>月</w:t>
      </w:r>
      <w:r>
        <w:rPr>
          <w:rFonts w:asciiTheme="majorBidi" w:hAnsiTheme="majorBidi" w:cstheme="majorBidi"/>
        </w:rPr>
        <w:t>12</w:t>
      </w:r>
      <w:r w:rsidRPr="002A4016">
        <w:rPr>
          <w:rFonts w:ascii="宋体" w:hAnsi="宋体" w:cs="宋体" w:hint="eastAsia"/>
        </w:rPr>
        <w:t>日</w:t>
      </w:r>
      <w:r>
        <w:rPr>
          <w:rFonts w:ascii="宋体" w:hAnsi="宋体" w:cs="宋体" w:hint="eastAsia"/>
        </w:rPr>
        <w:t>日内瓦四公约附加</w:t>
      </w:r>
      <w:r w:rsidRPr="002A4016">
        <w:rPr>
          <w:rFonts w:asciiTheme="majorBidi" w:hAnsiTheme="majorBidi" w:cstheme="majorBidi"/>
        </w:rPr>
        <w:t>议定书</w:t>
      </w:r>
      <w:r>
        <w:rPr>
          <w:rFonts w:asciiTheme="majorBidi" w:eastAsiaTheme="minorEastAsia" w:hAnsiTheme="majorBidi" w:cstheme="majorBidi" w:hint="eastAsia"/>
        </w:rPr>
        <w:t>》</w:t>
      </w:r>
      <w:r>
        <w:rPr>
          <w:rFonts w:asciiTheme="majorBidi" w:hAnsiTheme="majorBidi" w:cstheme="majorBidi"/>
        </w:rPr>
        <w:t>，</w:t>
      </w:r>
      <w:r w:rsidRPr="002A4016">
        <w:rPr>
          <w:rFonts w:asciiTheme="majorBidi" w:hAnsiTheme="majorBidi" w:cstheme="majorBidi"/>
        </w:rPr>
        <w:t>及关于保护非国际性武装冲突受难者的附加议定书</w:t>
      </w:r>
      <w:r>
        <w:rPr>
          <w:rFonts w:asciiTheme="majorBidi" w:hAnsiTheme="majorBidi" w:cstheme="majorBidi"/>
        </w:rPr>
        <w:t>(</w:t>
      </w:r>
      <w:r w:rsidRPr="002A4016">
        <w:rPr>
          <w:rFonts w:asciiTheme="majorBidi" w:hAnsiTheme="majorBidi" w:cstheme="majorBidi"/>
        </w:rPr>
        <w:t>《第二议定书》</w:t>
      </w:r>
      <w:r>
        <w:rPr>
          <w:rFonts w:asciiTheme="majorBidi" w:hAnsiTheme="majorBidi" w:cstheme="majorBidi"/>
        </w:rPr>
        <w:t>)</w:t>
      </w:r>
      <w:r>
        <w:rPr>
          <w:rFonts w:asciiTheme="majorBidi" w:hAnsiTheme="majorBidi" w:cstheme="majorBidi"/>
        </w:rPr>
        <w:t>，</w:t>
      </w:r>
      <w:r>
        <w:rPr>
          <w:rFonts w:asciiTheme="majorBidi" w:hAnsiTheme="majorBidi" w:cstheme="majorBidi"/>
        </w:rPr>
        <w:t>1977</w:t>
      </w:r>
      <w:r w:rsidRPr="002A4016">
        <w:rPr>
          <w:rFonts w:asciiTheme="majorBidi" w:hAnsiTheme="majorBidi" w:cstheme="majorBidi"/>
        </w:rPr>
        <w:t>年</w:t>
      </w:r>
      <w:r>
        <w:rPr>
          <w:rFonts w:asciiTheme="majorBidi" w:hAnsiTheme="majorBidi" w:cstheme="majorBidi"/>
        </w:rPr>
        <w:t>，</w:t>
      </w:r>
      <w:r>
        <w:rPr>
          <w:rFonts w:asciiTheme="majorBidi" w:eastAsiaTheme="minorEastAsia" w:hAnsiTheme="majorBidi" w:cstheme="majorBidi" w:hint="eastAsia"/>
        </w:rPr>
        <w:t>同上，</w:t>
      </w:r>
      <w:r w:rsidRPr="00CC0941">
        <w:rPr>
          <w:rFonts w:hint="eastAsia"/>
        </w:rPr>
        <w:t>第</w:t>
      </w:r>
      <w:r>
        <w:rPr>
          <w:rFonts w:hint="eastAsia"/>
        </w:rPr>
        <w:t>17513</w:t>
      </w:r>
      <w:r w:rsidRPr="00CC0941">
        <w:rPr>
          <w:rFonts w:hint="eastAsia"/>
        </w:rPr>
        <w:t>号</w:t>
      </w:r>
      <w:r>
        <w:rPr>
          <w:rFonts w:hint="eastAsia"/>
        </w:rPr>
        <w:t>，</w:t>
      </w:r>
      <w:r w:rsidRPr="002A4016">
        <w:rPr>
          <w:rFonts w:asciiTheme="majorBidi" w:hAnsiTheme="majorBidi" w:cstheme="majorBidi"/>
        </w:rPr>
        <w:t>第</w:t>
      </w:r>
      <w:r>
        <w:rPr>
          <w:rFonts w:asciiTheme="majorBidi" w:hAnsiTheme="majorBidi" w:cstheme="majorBidi"/>
        </w:rPr>
        <w:t>609</w:t>
      </w:r>
      <w:r w:rsidRPr="002A4016">
        <w:rPr>
          <w:rFonts w:asciiTheme="majorBidi" w:hAnsiTheme="majorBidi" w:cstheme="majorBidi"/>
        </w:rPr>
        <w:t>页</w:t>
      </w:r>
      <w:r>
        <w:rPr>
          <w:rFonts w:asciiTheme="majorBidi" w:hAnsiTheme="majorBidi" w:cstheme="majorBidi"/>
        </w:rPr>
        <w:t>，</w:t>
      </w:r>
      <w:r w:rsidRPr="002A4016">
        <w:rPr>
          <w:rFonts w:asciiTheme="majorBidi" w:hAnsiTheme="majorBidi" w:cstheme="majorBidi"/>
        </w:rPr>
        <w:t>第一条。</w:t>
      </w:r>
    </w:p>
  </w:footnote>
  <w:footnote w:id="1364">
    <w:p w:rsidR="00AB00DE" w:rsidRPr="00822B58" w:rsidRDefault="00AB00DE" w:rsidP="006735D4">
      <w:pPr>
        <w:pStyle w:val="a4"/>
        <w:rPr>
          <w:rFonts w:eastAsiaTheme="minorEastAsia"/>
        </w:rPr>
      </w:pPr>
      <w:r>
        <w:rPr>
          <w:rFonts w:hint="eastAsia"/>
          <w:color w:val="000000"/>
        </w:rPr>
        <w:tab/>
      </w:r>
      <w:r w:rsidRPr="00681AC8">
        <w:rPr>
          <w:rStyle w:val="a5"/>
          <w:rFonts w:cstheme="majorBidi"/>
        </w:rPr>
        <w:footnoteRef/>
      </w:r>
      <w:r w:rsidRPr="00E64449">
        <w:rPr>
          <w:rStyle w:val="a5"/>
          <w:rFonts w:asciiTheme="majorBidi" w:hAnsiTheme="majorBidi" w:cstheme="majorBidi" w:hint="eastAsia"/>
          <w:color w:val="000000" w:themeColor="text1"/>
        </w:rPr>
        <w:tab/>
      </w:r>
      <w:r w:rsidRPr="00822B58">
        <w:rPr>
          <w:rFonts w:eastAsiaTheme="minorEastAsia"/>
        </w:rPr>
        <w:t>《禁止为军事或任何其他敌对目的使用改变环境的技术的公约》</w:t>
      </w:r>
      <w:r w:rsidRPr="00822B58">
        <w:rPr>
          <w:rFonts w:eastAsiaTheme="minorEastAsia" w:hint="eastAsia"/>
        </w:rPr>
        <w:t>(</w:t>
      </w:r>
      <w:r w:rsidRPr="00822B58">
        <w:rPr>
          <w:rFonts w:eastAsiaTheme="minorEastAsia"/>
        </w:rPr>
        <w:t>《改变环境技术公约》</w:t>
      </w:r>
      <w:r w:rsidRPr="00822B58">
        <w:rPr>
          <w:rFonts w:eastAsiaTheme="minorEastAsia"/>
        </w:rPr>
        <w:t>)</w:t>
      </w:r>
      <w:r w:rsidRPr="00822B58">
        <w:rPr>
          <w:rFonts w:eastAsiaTheme="minorEastAsia"/>
        </w:rPr>
        <w:t>，</w:t>
      </w:r>
      <w:r>
        <w:rPr>
          <w:rFonts w:eastAsiaTheme="minorEastAsia" w:hint="eastAsia"/>
        </w:rPr>
        <w:t>(</w:t>
      </w:r>
      <w:r w:rsidRPr="00822B58">
        <w:rPr>
          <w:rFonts w:eastAsiaTheme="minorEastAsia"/>
        </w:rPr>
        <w:t>1976</w:t>
      </w:r>
      <w:r w:rsidRPr="00822B58">
        <w:rPr>
          <w:rFonts w:eastAsiaTheme="minorEastAsia"/>
        </w:rPr>
        <w:t>年</w:t>
      </w:r>
      <w:r w:rsidRPr="00822B58">
        <w:rPr>
          <w:rFonts w:eastAsiaTheme="minorEastAsia"/>
        </w:rPr>
        <w:t>12</w:t>
      </w:r>
      <w:r w:rsidRPr="00822B58">
        <w:rPr>
          <w:rFonts w:eastAsiaTheme="minorEastAsia"/>
        </w:rPr>
        <w:t>月</w:t>
      </w:r>
      <w:r w:rsidRPr="00822B58">
        <w:rPr>
          <w:rFonts w:eastAsiaTheme="minorEastAsia"/>
        </w:rPr>
        <w:t>10</w:t>
      </w:r>
      <w:r w:rsidRPr="00822B58">
        <w:rPr>
          <w:rFonts w:eastAsiaTheme="minorEastAsia"/>
        </w:rPr>
        <w:t>日</w:t>
      </w:r>
      <w:r>
        <w:rPr>
          <w:rFonts w:eastAsiaTheme="minorEastAsia" w:hint="eastAsia"/>
        </w:rPr>
        <w:t>，</w:t>
      </w:r>
      <w:r w:rsidRPr="00822B58">
        <w:rPr>
          <w:rFonts w:eastAsiaTheme="minorEastAsia"/>
        </w:rPr>
        <w:t>纽约</w:t>
      </w:r>
      <w:r>
        <w:rPr>
          <w:rFonts w:eastAsiaTheme="minorEastAsia" w:hint="eastAsia"/>
        </w:rPr>
        <w:t>)</w:t>
      </w:r>
      <w:r>
        <w:rPr>
          <w:rFonts w:eastAsiaTheme="minorEastAsia" w:hint="eastAsia"/>
        </w:rPr>
        <w:t>，同上</w:t>
      </w:r>
      <w:r w:rsidRPr="00822B58">
        <w:rPr>
          <w:rFonts w:eastAsiaTheme="minorEastAsia"/>
        </w:rPr>
        <w:t>，第</w:t>
      </w:r>
      <w:r w:rsidRPr="00822B58">
        <w:rPr>
          <w:rFonts w:eastAsiaTheme="minorEastAsia"/>
        </w:rPr>
        <w:t>1108</w:t>
      </w:r>
      <w:r w:rsidRPr="00822B58">
        <w:rPr>
          <w:rFonts w:eastAsiaTheme="minorEastAsia"/>
        </w:rPr>
        <w:t>卷，第</w:t>
      </w:r>
      <w:r w:rsidRPr="00822B58">
        <w:rPr>
          <w:rFonts w:eastAsiaTheme="minorEastAsia"/>
        </w:rPr>
        <w:t>17119</w:t>
      </w:r>
      <w:r w:rsidRPr="00822B58">
        <w:rPr>
          <w:rFonts w:eastAsiaTheme="minorEastAsia"/>
        </w:rPr>
        <w:t>号，第</w:t>
      </w:r>
      <w:r w:rsidRPr="00822B58">
        <w:rPr>
          <w:rFonts w:eastAsiaTheme="minorEastAsia"/>
        </w:rPr>
        <w:t>151</w:t>
      </w:r>
      <w:r w:rsidRPr="00822B58">
        <w:rPr>
          <w:rFonts w:eastAsiaTheme="minorEastAsia"/>
        </w:rPr>
        <w:t>页，第二条。按照对第二条的理解，</w:t>
      </w:r>
      <w:r w:rsidRPr="00822B58">
        <w:rPr>
          <w:rFonts w:eastAsiaTheme="minorEastAsia" w:hint="eastAsia"/>
        </w:rPr>
        <w:t>“</w:t>
      </w:r>
      <w:r w:rsidRPr="00822B58">
        <w:rPr>
          <w:rFonts w:eastAsiaTheme="minorEastAsia"/>
        </w:rPr>
        <w:t>广泛</w:t>
      </w:r>
      <w:r w:rsidRPr="00822B58">
        <w:rPr>
          <w:rFonts w:eastAsiaTheme="minorEastAsia" w:hint="eastAsia"/>
        </w:rPr>
        <w:t>”</w:t>
      </w:r>
      <w:r w:rsidRPr="00822B58">
        <w:rPr>
          <w:rFonts w:eastAsiaTheme="minorEastAsia"/>
        </w:rPr>
        <w:t>、</w:t>
      </w:r>
      <w:r w:rsidRPr="00822B58">
        <w:rPr>
          <w:rFonts w:eastAsiaTheme="minorEastAsia" w:hint="eastAsia"/>
        </w:rPr>
        <w:t>“</w:t>
      </w:r>
      <w:r w:rsidRPr="00822B58">
        <w:rPr>
          <w:rFonts w:eastAsiaTheme="minorEastAsia"/>
        </w:rPr>
        <w:t>长期</w:t>
      </w:r>
      <w:r w:rsidRPr="00822B58">
        <w:rPr>
          <w:rFonts w:eastAsiaTheme="minorEastAsia" w:hint="eastAsia"/>
        </w:rPr>
        <w:t>”</w:t>
      </w:r>
      <w:r w:rsidRPr="00822B58">
        <w:rPr>
          <w:rFonts w:eastAsiaTheme="minorEastAsia"/>
        </w:rPr>
        <w:t>和</w:t>
      </w:r>
      <w:r w:rsidRPr="00822B58">
        <w:rPr>
          <w:rFonts w:eastAsiaTheme="minorEastAsia" w:hint="eastAsia"/>
        </w:rPr>
        <w:t>“</w:t>
      </w:r>
      <w:r w:rsidRPr="00822B58">
        <w:rPr>
          <w:rFonts w:eastAsiaTheme="minorEastAsia"/>
        </w:rPr>
        <w:t>严重</w:t>
      </w:r>
      <w:r w:rsidRPr="00822B58">
        <w:rPr>
          <w:rFonts w:eastAsiaTheme="minorEastAsia" w:hint="eastAsia"/>
        </w:rPr>
        <w:t>”</w:t>
      </w:r>
      <w:r w:rsidRPr="00822B58">
        <w:rPr>
          <w:rFonts w:eastAsiaTheme="minorEastAsia"/>
        </w:rPr>
        <w:t>这三个词的理解如下：</w:t>
      </w:r>
      <w:r w:rsidRPr="00822B58">
        <w:rPr>
          <w:rFonts w:eastAsiaTheme="minorEastAsia" w:hint="eastAsia"/>
        </w:rPr>
        <w:t>“</w:t>
      </w:r>
      <w:r w:rsidRPr="00822B58">
        <w:rPr>
          <w:rFonts w:eastAsiaTheme="minorEastAsia"/>
        </w:rPr>
        <w:t>‘</w:t>
      </w:r>
      <w:r w:rsidRPr="00822B58">
        <w:rPr>
          <w:rFonts w:eastAsiaTheme="minorEastAsia"/>
        </w:rPr>
        <w:t>广泛</w:t>
      </w:r>
      <w:r w:rsidRPr="00822B58">
        <w:rPr>
          <w:rFonts w:eastAsiaTheme="minorEastAsia"/>
        </w:rPr>
        <w:t>’</w:t>
      </w:r>
      <w:r w:rsidRPr="00822B58">
        <w:rPr>
          <w:rFonts w:eastAsiaTheme="minorEastAsia"/>
        </w:rPr>
        <w:t>：指包括几百平方公里大小的地区</w:t>
      </w:r>
      <w:r w:rsidRPr="00822B58">
        <w:rPr>
          <w:rFonts w:eastAsiaTheme="minorEastAsia" w:hint="eastAsia"/>
        </w:rPr>
        <w:t>”</w:t>
      </w:r>
      <w:r w:rsidRPr="00822B58">
        <w:rPr>
          <w:rFonts w:eastAsiaTheme="minorEastAsia"/>
        </w:rPr>
        <w:t>；</w:t>
      </w:r>
      <w:r w:rsidRPr="00822B58">
        <w:rPr>
          <w:rFonts w:eastAsiaTheme="minorEastAsia" w:hint="eastAsia"/>
        </w:rPr>
        <w:t>“</w:t>
      </w:r>
      <w:r w:rsidRPr="00822B58">
        <w:rPr>
          <w:rFonts w:eastAsiaTheme="minorEastAsia"/>
        </w:rPr>
        <w:t>‘</w:t>
      </w:r>
      <w:r w:rsidRPr="00822B58">
        <w:rPr>
          <w:rFonts w:eastAsiaTheme="minorEastAsia"/>
        </w:rPr>
        <w:t>长期</w:t>
      </w:r>
      <w:r w:rsidRPr="00822B58">
        <w:rPr>
          <w:rFonts w:eastAsiaTheme="minorEastAsia"/>
        </w:rPr>
        <w:t>’</w:t>
      </w:r>
      <w:r w:rsidRPr="00822B58">
        <w:rPr>
          <w:rFonts w:eastAsiaTheme="minorEastAsia"/>
        </w:rPr>
        <w:t>：指持续几个月或大约一个季节的时间</w:t>
      </w:r>
      <w:r w:rsidRPr="00822B58">
        <w:rPr>
          <w:rFonts w:eastAsiaTheme="minorEastAsia" w:hint="eastAsia"/>
        </w:rPr>
        <w:t>”</w:t>
      </w:r>
      <w:r w:rsidRPr="00822B58">
        <w:rPr>
          <w:rFonts w:eastAsiaTheme="minorEastAsia"/>
        </w:rPr>
        <w:t>；</w:t>
      </w:r>
      <w:r w:rsidRPr="00822B58">
        <w:rPr>
          <w:rFonts w:eastAsiaTheme="minorEastAsia" w:hint="eastAsia"/>
        </w:rPr>
        <w:t>“</w:t>
      </w:r>
      <w:r w:rsidRPr="00822B58">
        <w:rPr>
          <w:rFonts w:eastAsiaTheme="minorEastAsia"/>
        </w:rPr>
        <w:t>‘</w:t>
      </w:r>
      <w:r w:rsidRPr="00822B58">
        <w:rPr>
          <w:rFonts w:eastAsiaTheme="minorEastAsia"/>
        </w:rPr>
        <w:t>严重</w:t>
      </w:r>
      <w:r w:rsidRPr="00822B58">
        <w:rPr>
          <w:rFonts w:eastAsiaTheme="minorEastAsia"/>
        </w:rPr>
        <w:t>’</w:t>
      </w:r>
      <w:r w:rsidRPr="00822B58">
        <w:rPr>
          <w:rFonts w:eastAsiaTheme="minorEastAsia"/>
        </w:rPr>
        <w:t>：指人命、自然和经济资源或其他财产受到严重或重大破坏或伤害</w:t>
      </w:r>
      <w:r w:rsidRPr="00822B58">
        <w:rPr>
          <w:rFonts w:eastAsiaTheme="minorEastAsia" w:hint="eastAsia"/>
        </w:rPr>
        <w:t>”</w:t>
      </w:r>
      <w:r w:rsidRPr="00822B58">
        <w:rPr>
          <w:rFonts w:eastAsiaTheme="minorEastAsia"/>
        </w:rPr>
        <w:t>(</w:t>
      </w:r>
      <w:r w:rsidRPr="00822B58">
        <w:rPr>
          <w:rFonts w:eastAsiaTheme="minorEastAsia"/>
        </w:rPr>
        <w:t>裁军委员会会议的报告，《大会正式记录</w:t>
      </w:r>
      <w:r>
        <w:rPr>
          <w:rFonts w:eastAsiaTheme="minorEastAsia" w:hint="eastAsia"/>
        </w:rPr>
        <w:t>，</w:t>
      </w:r>
      <w:r w:rsidRPr="00822B58">
        <w:rPr>
          <w:rFonts w:eastAsiaTheme="minorEastAsia"/>
        </w:rPr>
        <w:t>第三十一届会议，补编第</w:t>
      </w:r>
      <w:r w:rsidRPr="00822B58">
        <w:rPr>
          <w:rFonts w:eastAsiaTheme="minorEastAsia"/>
        </w:rPr>
        <w:t>27</w:t>
      </w:r>
      <w:r w:rsidRPr="00822B58">
        <w:rPr>
          <w:rFonts w:eastAsiaTheme="minorEastAsia"/>
        </w:rPr>
        <w:t>号》</w:t>
      </w:r>
      <w:r w:rsidRPr="00822B58">
        <w:rPr>
          <w:rFonts w:eastAsiaTheme="minorEastAsia"/>
          <w:color w:val="000000"/>
        </w:rPr>
        <w:t>(A/31/27)</w:t>
      </w:r>
      <w:r w:rsidRPr="00822B58">
        <w:rPr>
          <w:rFonts w:eastAsiaTheme="minorEastAsia"/>
        </w:rPr>
        <w:t>，</w:t>
      </w:r>
      <w:r>
        <w:rPr>
          <w:rFonts w:eastAsiaTheme="minorEastAsia" w:hint="eastAsia"/>
        </w:rPr>
        <w:t>第一卷，第</w:t>
      </w:r>
      <w:r>
        <w:rPr>
          <w:rFonts w:eastAsiaTheme="minorEastAsia" w:hint="eastAsia"/>
        </w:rPr>
        <w:t>91-92</w:t>
      </w:r>
      <w:r>
        <w:rPr>
          <w:rFonts w:eastAsiaTheme="minorEastAsia" w:hint="eastAsia"/>
        </w:rPr>
        <w:t>页</w:t>
      </w:r>
      <w:r w:rsidRPr="00822B58">
        <w:rPr>
          <w:rFonts w:eastAsiaTheme="minorEastAsia"/>
          <w:color w:val="000000"/>
        </w:rPr>
        <w:t>。</w:t>
      </w:r>
    </w:p>
  </w:footnote>
  <w:footnote w:id="1365">
    <w:p w:rsidR="00AB00DE" w:rsidRPr="00822B58" w:rsidRDefault="00AB00DE" w:rsidP="006735D4">
      <w:pPr>
        <w:pStyle w:val="a4"/>
        <w:rPr>
          <w:rFonts w:eastAsiaTheme="minorEastAsia"/>
        </w:rPr>
      </w:pPr>
      <w:r>
        <w:rPr>
          <w:rStyle w:val="a5"/>
          <w:rFonts w:asciiTheme="majorBidi" w:hAnsiTheme="majorBidi" w:cstheme="majorBidi" w:hint="eastAsia"/>
        </w:rPr>
        <w:tab/>
      </w:r>
      <w:r w:rsidRPr="00681AC8">
        <w:rPr>
          <w:rStyle w:val="a5"/>
          <w:rFonts w:cstheme="majorBidi"/>
        </w:rPr>
        <w:footnoteRef/>
      </w:r>
      <w:r w:rsidRPr="00E64449">
        <w:rPr>
          <w:rStyle w:val="a5"/>
          <w:rFonts w:asciiTheme="majorBidi" w:hAnsiTheme="majorBidi" w:cstheme="majorBidi" w:hint="eastAsia"/>
          <w:color w:val="000000" w:themeColor="text1"/>
        </w:rPr>
        <w:tab/>
      </w:r>
      <w:r w:rsidRPr="00822B58">
        <w:rPr>
          <w:rFonts w:eastAsiaTheme="minorEastAsia"/>
        </w:rPr>
        <w:t>例如，见</w:t>
      </w:r>
      <w:r>
        <w:rPr>
          <w:rFonts w:eastAsiaTheme="minorEastAsia" w:hint="eastAsia"/>
          <w:color w:val="000000" w:themeColor="text1"/>
        </w:rPr>
        <w:t xml:space="preserve">K. </w:t>
      </w:r>
      <w:r w:rsidRPr="00824609">
        <w:rPr>
          <w:rFonts w:eastAsiaTheme="minorEastAsia"/>
          <w:color w:val="000000" w:themeColor="text1"/>
        </w:rPr>
        <w:t>拉万德，</w:t>
      </w:r>
      <w:r w:rsidRPr="00824609">
        <w:rPr>
          <w:rFonts w:eastAsiaTheme="minorEastAsia" w:hint="eastAsia"/>
          <w:color w:val="000000" w:themeColor="text1"/>
        </w:rPr>
        <w:t>“</w:t>
      </w:r>
      <w:r w:rsidRPr="00824609">
        <w:rPr>
          <w:rFonts w:eastAsiaTheme="minorEastAsia"/>
          <w:color w:val="000000" w:themeColor="text1"/>
        </w:rPr>
        <w:t>新武器及作战手段和方法的合法性述评</w:t>
      </w:r>
      <w:r w:rsidRPr="00824609">
        <w:rPr>
          <w:rFonts w:eastAsiaTheme="minorEastAsia" w:hint="eastAsia"/>
          <w:color w:val="000000" w:themeColor="text1"/>
        </w:rPr>
        <w:t>”</w:t>
      </w:r>
      <w:r w:rsidRPr="00824609">
        <w:rPr>
          <w:rFonts w:eastAsiaTheme="minorEastAsia"/>
          <w:color w:val="000000" w:themeColor="text1"/>
        </w:rPr>
        <w:t>《</w:t>
      </w:r>
      <w:r w:rsidRPr="00824609">
        <w:rPr>
          <w:rFonts w:eastAsiaTheme="minorEastAsia"/>
          <w:color w:val="000000" w:themeColor="text1"/>
          <w:highlight w:val="white"/>
        </w:rPr>
        <w:t>红十字国际评论</w:t>
      </w:r>
      <w:r w:rsidRPr="00824609">
        <w:rPr>
          <w:rFonts w:eastAsiaTheme="minorEastAsia"/>
          <w:color w:val="000000" w:themeColor="text1"/>
        </w:rPr>
        <w:t>》</w:t>
      </w:r>
      <w:r w:rsidRPr="00824609">
        <w:rPr>
          <w:rFonts w:eastAsiaTheme="minorEastAsia"/>
          <w:color w:val="000000" w:themeColor="text1"/>
          <w:highlight w:val="white"/>
        </w:rPr>
        <w:t>第</w:t>
      </w:r>
      <w:r w:rsidRPr="00824609">
        <w:rPr>
          <w:rFonts w:eastAsiaTheme="minorEastAsia"/>
          <w:color w:val="000000" w:themeColor="text1"/>
          <w:highlight w:val="white"/>
        </w:rPr>
        <w:t>88</w:t>
      </w:r>
      <w:r w:rsidRPr="00824609">
        <w:rPr>
          <w:rFonts w:eastAsiaTheme="minorEastAsia"/>
          <w:color w:val="000000" w:themeColor="text1"/>
          <w:highlight w:val="white"/>
        </w:rPr>
        <w:t>卷，第</w:t>
      </w:r>
      <w:r w:rsidRPr="00824609">
        <w:rPr>
          <w:rFonts w:eastAsiaTheme="minorEastAsia"/>
          <w:color w:val="000000" w:themeColor="text1"/>
          <w:highlight w:val="white"/>
        </w:rPr>
        <w:t>64(2006)</w:t>
      </w:r>
      <w:r w:rsidRPr="00824609">
        <w:rPr>
          <w:rFonts w:eastAsiaTheme="minorEastAsia"/>
          <w:color w:val="000000" w:themeColor="text1"/>
          <w:highlight w:val="white"/>
        </w:rPr>
        <w:t>号，第</w:t>
      </w:r>
      <w:r w:rsidRPr="00824609">
        <w:rPr>
          <w:rFonts w:eastAsiaTheme="minorEastAsia"/>
          <w:color w:val="000000" w:themeColor="text1"/>
          <w:highlight w:val="white"/>
        </w:rPr>
        <w:t>925</w:t>
      </w:r>
      <w:r w:rsidRPr="00824609">
        <w:rPr>
          <w:rFonts w:eastAsiaTheme="minorEastAsia"/>
          <w:color w:val="000000" w:themeColor="text1"/>
          <w:highlight w:val="white"/>
        </w:rPr>
        <w:t>页</w:t>
      </w:r>
      <w:r w:rsidRPr="00824609">
        <w:rPr>
          <w:rFonts w:eastAsiaTheme="minorEastAsia"/>
          <w:color w:val="000000" w:themeColor="text1"/>
        </w:rPr>
        <w:t>；</w:t>
      </w:r>
      <w:r>
        <w:rPr>
          <w:rFonts w:eastAsiaTheme="minorEastAsia" w:hint="eastAsia"/>
          <w:color w:val="000000" w:themeColor="text1"/>
        </w:rPr>
        <w:t>J.</w:t>
      </w:r>
      <w:r w:rsidRPr="00D67454">
        <w:rPr>
          <w:rFonts w:eastAsiaTheme="minorEastAsia"/>
          <w:color w:val="000000" w:themeColor="text1"/>
        </w:rPr>
        <w:t>马克莱兰德</w:t>
      </w:r>
      <w:r w:rsidRPr="00822B58">
        <w:rPr>
          <w:rFonts w:eastAsiaTheme="minorEastAsia"/>
          <w:color w:val="000000"/>
        </w:rPr>
        <w:t>，</w:t>
      </w:r>
      <w:r w:rsidRPr="00822B58">
        <w:rPr>
          <w:rFonts w:eastAsiaTheme="minorEastAsia" w:hint="eastAsia"/>
          <w:color w:val="000000"/>
        </w:rPr>
        <w:t>“</w:t>
      </w:r>
      <w:r w:rsidRPr="00822B58">
        <w:rPr>
          <w:rFonts w:eastAsiaTheme="minorEastAsia"/>
          <w:color w:val="000000"/>
        </w:rPr>
        <w:t>按照《第一附加议定书》审查武器</w:t>
      </w:r>
      <w:r w:rsidRPr="00822B58">
        <w:rPr>
          <w:rFonts w:eastAsiaTheme="minorEastAsia" w:hint="eastAsia"/>
          <w:color w:val="000000"/>
        </w:rPr>
        <w:t>”</w:t>
      </w:r>
      <w:r w:rsidRPr="00822B58">
        <w:rPr>
          <w:rFonts w:eastAsiaTheme="minorEastAsia"/>
          <w:color w:val="000000"/>
        </w:rPr>
        <w:t>《</w:t>
      </w:r>
      <w:r w:rsidRPr="00822B58">
        <w:rPr>
          <w:rFonts w:eastAsiaTheme="minorEastAsia"/>
          <w:color w:val="000000"/>
          <w:highlight w:val="white"/>
        </w:rPr>
        <w:t>红十字国际评论</w:t>
      </w:r>
      <w:r w:rsidRPr="00822B58">
        <w:rPr>
          <w:rFonts w:eastAsiaTheme="minorEastAsia"/>
          <w:color w:val="000000"/>
        </w:rPr>
        <w:t>》</w:t>
      </w:r>
      <w:r w:rsidRPr="00822B58">
        <w:rPr>
          <w:rFonts w:eastAsiaTheme="minorEastAsia"/>
          <w:color w:val="000000"/>
          <w:highlight w:val="white"/>
        </w:rPr>
        <w:t>第</w:t>
      </w:r>
      <w:r w:rsidRPr="00822B58">
        <w:rPr>
          <w:rFonts w:eastAsiaTheme="minorEastAsia"/>
          <w:color w:val="000000"/>
          <w:highlight w:val="white"/>
        </w:rPr>
        <w:t>85</w:t>
      </w:r>
      <w:r w:rsidRPr="00822B58">
        <w:rPr>
          <w:rFonts w:eastAsiaTheme="minorEastAsia"/>
          <w:color w:val="000000"/>
          <w:highlight w:val="white"/>
        </w:rPr>
        <w:t>卷，第</w:t>
      </w:r>
      <w:r w:rsidRPr="00822B58">
        <w:rPr>
          <w:rFonts w:eastAsiaTheme="minorEastAsia"/>
          <w:color w:val="000000"/>
          <w:highlight w:val="white"/>
        </w:rPr>
        <w:t>850(2003)</w:t>
      </w:r>
      <w:r w:rsidRPr="00822B58">
        <w:rPr>
          <w:rFonts w:eastAsiaTheme="minorEastAsia"/>
          <w:color w:val="000000"/>
          <w:highlight w:val="white"/>
        </w:rPr>
        <w:t>号，第</w:t>
      </w:r>
      <w:r w:rsidRPr="00822B58">
        <w:rPr>
          <w:rFonts w:eastAsiaTheme="minorEastAsia"/>
          <w:color w:val="000000"/>
          <w:highlight w:val="white"/>
        </w:rPr>
        <w:t>397</w:t>
      </w:r>
      <w:r w:rsidRPr="00822B58">
        <w:rPr>
          <w:rFonts w:eastAsiaTheme="minorEastAsia"/>
          <w:color w:val="000000"/>
          <w:highlight w:val="white"/>
        </w:rPr>
        <w:t>页</w:t>
      </w:r>
      <w:r w:rsidRPr="00822B58">
        <w:rPr>
          <w:rFonts w:eastAsiaTheme="minorEastAsia"/>
          <w:color w:val="000000"/>
        </w:rPr>
        <w:t>；环境署，《武装冲突中对于环境的保护：国际法详索及分析》</w:t>
      </w:r>
      <w:r w:rsidRPr="00822B58">
        <w:rPr>
          <w:rFonts w:eastAsiaTheme="minorEastAsia"/>
          <w:color w:val="000000"/>
        </w:rPr>
        <w:t>(</w:t>
      </w:r>
      <w:r w:rsidRPr="00822B58">
        <w:rPr>
          <w:rFonts w:eastAsiaTheme="minorEastAsia"/>
          <w:color w:val="000000"/>
        </w:rPr>
        <w:t>内罗毕：环境规划署，</w:t>
      </w:r>
      <w:r w:rsidRPr="00822B58">
        <w:rPr>
          <w:rFonts w:eastAsiaTheme="minorEastAsia"/>
          <w:color w:val="000000"/>
        </w:rPr>
        <w:t>2009</w:t>
      </w:r>
      <w:r w:rsidRPr="00822B58">
        <w:rPr>
          <w:rFonts w:eastAsiaTheme="minorEastAsia"/>
          <w:color w:val="000000"/>
        </w:rPr>
        <w:t>年</w:t>
      </w:r>
      <w:r w:rsidRPr="00822B58">
        <w:rPr>
          <w:rFonts w:eastAsiaTheme="minorEastAsia"/>
          <w:color w:val="000000"/>
        </w:rPr>
        <w:t>)</w:t>
      </w:r>
      <w:r w:rsidRPr="00822B58">
        <w:rPr>
          <w:rFonts w:eastAsiaTheme="minorEastAsia"/>
          <w:color w:val="000000"/>
        </w:rPr>
        <w:t>，第</w:t>
      </w:r>
      <w:r w:rsidRPr="00822B58">
        <w:rPr>
          <w:rFonts w:eastAsiaTheme="minorEastAsia"/>
          <w:color w:val="000000"/>
        </w:rPr>
        <w:t>16</w:t>
      </w:r>
      <w:r w:rsidRPr="00822B58">
        <w:rPr>
          <w:rFonts w:eastAsiaTheme="minorEastAsia"/>
          <w:color w:val="000000"/>
        </w:rPr>
        <w:t>页。</w:t>
      </w:r>
    </w:p>
  </w:footnote>
  <w:footnote w:id="1366">
    <w:p w:rsidR="00AB00DE" w:rsidRPr="008F00E7" w:rsidRDefault="00AB00DE" w:rsidP="00334F8C">
      <w:pPr>
        <w:pStyle w:val="a4"/>
        <w:rPr>
          <w:rFonts w:eastAsiaTheme="minorEastAsia"/>
        </w:rPr>
      </w:pPr>
      <w:r>
        <w:rPr>
          <w:rFonts w:hint="eastAsia"/>
        </w:rPr>
        <w:tab/>
      </w:r>
      <w:r w:rsidRPr="00681AC8">
        <w:rPr>
          <w:rStyle w:val="a5"/>
          <w:rFonts w:cstheme="majorBidi"/>
        </w:rPr>
        <w:footnoteRef/>
      </w:r>
      <w:r w:rsidRPr="00E64449">
        <w:rPr>
          <w:rStyle w:val="a5"/>
          <w:rFonts w:asciiTheme="majorBidi" w:hAnsiTheme="majorBidi" w:cstheme="majorBidi" w:hint="eastAsia"/>
          <w:color w:val="000000" w:themeColor="text1"/>
        </w:rPr>
        <w:tab/>
      </w:r>
      <w:r w:rsidRPr="008F00E7">
        <w:t>一般性阐述见</w:t>
      </w:r>
      <w:r w:rsidRPr="008F00E7">
        <w:t>Henckaerts</w:t>
      </w:r>
      <w:r w:rsidRPr="008F00E7">
        <w:rPr>
          <w:rFonts w:ascii="宋体" w:hAnsi="宋体" w:cs="宋体" w:hint="eastAsia"/>
        </w:rPr>
        <w:t>和</w:t>
      </w:r>
      <w:r w:rsidRPr="008F00E7">
        <w:t>Doswald-Beck</w:t>
      </w:r>
      <w:r w:rsidRPr="008F00E7">
        <w:rPr>
          <w:rFonts w:eastAsiaTheme="minorEastAsia" w:hint="eastAsia"/>
        </w:rPr>
        <w:t>，</w:t>
      </w:r>
      <w:r w:rsidRPr="008F00E7">
        <w:rPr>
          <w:i/>
          <w:iCs/>
        </w:rPr>
        <w:t>Customary International Humanitarian Law</w:t>
      </w:r>
      <w:r w:rsidRPr="008F00E7">
        <w:rPr>
          <w:rFonts w:eastAsiaTheme="minorEastAsia"/>
          <w:i/>
          <w:iCs/>
        </w:rPr>
        <w:t>…</w:t>
      </w:r>
      <w:r w:rsidRPr="008F00E7">
        <w:rPr>
          <w:rFonts w:eastAsiaTheme="minorEastAsia" w:hint="eastAsia"/>
        </w:rPr>
        <w:t>(</w:t>
      </w:r>
      <w:r w:rsidRPr="008F00E7">
        <w:rPr>
          <w:rFonts w:hint="eastAsia"/>
        </w:rPr>
        <w:t>上文</w:t>
      </w:r>
      <w:r w:rsidRPr="008F00E7">
        <w:rPr>
          <w:rFonts w:eastAsiaTheme="minorEastAsia" w:hint="eastAsia"/>
        </w:rPr>
        <w:t>脚</w:t>
      </w:r>
      <w:r w:rsidRPr="008F00E7">
        <w:rPr>
          <w:rFonts w:hint="eastAsia"/>
        </w:rPr>
        <w:t>注</w:t>
      </w:r>
      <w:r>
        <w:rPr>
          <w:rFonts w:eastAsiaTheme="minorEastAsia"/>
        </w:rPr>
        <w:fldChar w:fldCharType="begin"/>
      </w:r>
      <w:r>
        <w:instrText xml:space="preserve"> </w:instrText>
      </w:r>
      <w:r>
        <w:rPr>
          <w:rFonts w:hint="eastAsia"/>
        </w:rPr>
        <w:instrText>NOTEREF _Ref454970788 \h</w:instrText>
      </w:r>
      <w:r>
        <w:instrText xml:space="preserve"> </w:instrText>
      </w:r>
      <w:r>
        <w:rPr>
          <w:rFonts w:eastAsiaTheme="minorEastAsia"/>
        </w:rPr>
      </w:r>
      <w:r>
        <w:rPr>
          <w:rFonts w:eastAsiaTheme="minorEastAsia"/>
        </w:rPr>
        <w:fldChar w:fldCharType="separate"/>
      </w:r>
      <w:r w:rsidR="00A73EB9">
        <w:t>1331</w:t>
      </w:r>
      <w:r>
        <w:rPr>
          <w:rFonts w:eastAsiaTheme="minorEastAsia"/>
        </w:rPr>
        <w:fldChar w:fldCharType="end"/>
      </w:r>
      <w:r w:rsidRPr="008F00E7">
        <w:rPr>
          <w:rFonts w:eastAsiaTheme="minorEastAsia" w:hint="eastAsia"/>
        </w:rPr>
        <w:t>)</w:t>
      </w:r>
      <w:r w:rsidRPr="008F00E7">
        <w:rPr>
          <w:rFonts w:hint="eastAsia"/>
        </w:rPr>
        <w:t>，第</w:t>
      </w:r>
      <w:r w:rsidRPr="008F00E7">
        <w:t>25-29</w:t>
      </w:r>
      <w:r w:rsidRPr="008F00E7">
        <w:rPr>
          <w:rFonts w:hint="eastAsia"/>
        </w:rPr>
        <w:t>页和第</w:t>
      </w:r>
      <w:r w:rsidRPr="008F00E7">
        <w:t>143</w:t>
      </w:r>
      <w:r w:rsidRPr="008F00E7">
        <w:rPr>
          <w:rFonts w:hint="eastAsia"/>
        </w:rPr>
        <w:t>页。</w:t>
      </w:r>
    </w:p>
  </w:footnote>
  <w:footnote w:id="1367">
    <w:p w:rsidR="00AB00DE" w:rsidRPr="00822B58" w:rsidRDefault="00AB00DE" w:rsidP="005D4032">
      <w:pPr>
        <w:pStyle w:val="a4"/>
        <w:keepLines w:val="0"/>
        <w:rPr>
          <w:rFonts w:eastAsiaTheme="minorEastAsia"/>
        </w:rPr>
      </w:pPr>
      <w:r>
        <w:rPr>
          <w:rFonts w:hint="eastAsia"/>
          <w:color w:val="000000"/>
        </w:rPr>
        <w:tab/>
      </w:r>
      <w:r w:rsidRPr="00681AC8">
        <w:rPr>
          <w:rStyle w:val="a5"/>
          <w:rFonts w:cstheme="majorBidi"/>
        </w:rPr>
        <w:footnoteRef/>
      </w:r>
      <w:r>
        <w:rPr>
          <w:rFonts w:hint="eastAsia"/>
          <w:color w:val="000000"/>
        </w:rPr>
        <w:tab/>
      </w:r>
      <w:r>
        <w:rPr>
          <w:rFonts w:asciiTheme="majorBidi" w:eastAsiaTheme="minorEastAsia" w:hAnsiTheme="majorBidi" w:cstheme="majorBidi" w:hint="eastAsia"/>
        </w:rPr>
        <w:t>《</w:t>
      </w:r>
      <w:r>
        <w:rPr>
          <w:rFonts w:asciiTheme="majorBidi" w:eastAsiaTheme="minorEastAsia" w:hAnsiTheme="majorBidi" w:cstheme="majorBidi" w:hint="eastAsia"/>
        </w:rPr>
        <w:t>1949</w:t>
      </w:r>
      <w:r>
        <w:rPr>
          <w:rFonts w:asciiTheme="majorBidi" w:eastAsiaTheme="minorEastAsia" w:hAnsiTheme="majorBidi" w:cstheme="majorBidi" w:hint="eastAsia"/>
        </w:rPr>
        <w:t>年日内瓦四公约第一议定书》</w:t>
      </w:r>
      <w:r>
        <w:rPr>
          <w:rFonts w:eastAsiaTheme="minorEastAsia" w:hint="eastAsia"/>
        </w:rPr>
        <w:t>，</w:t>
      </w:r>
      <w:r w:rsidRPr="00822B58">
        <w:rPr>
          <w:rFonts w:eastAsiaTheme="minorEastAsia" w:hint="eastAsia"/>
        </w:rPr>
        <w:t>第五十二条第二款。《特定常规武器公约》的下列议定书列有类似定义：《特定常规武器公约》所附《禁止或限制使用地雷、诱杀装置和其他装置的议定书》</w:t>
      </w:r>
      <w:r>
        <w:rPr>
          <w:rFonts w:eastAsiaTheme="minorEastAsia" w:hint="eastAsia"/>
        </w:rPr>
        <w:t>(</w:t>
      </w:r>
      <w:r w:rsidRPr="00822B58">
        <w:rPr>
          <w:rFonts w:eastAsiaTheme="minorEastAsia"/>
        </w:rPr>
        <w:t>1980</w:t>
      </w:r>
      <w:r w:rsidRPr="00822B58">
        <w:rPr>
          <w:rFonts w:eastAsiaTheme="minorEastAsia" w:hint="eastAsia"/>
        </w:rPr>
        <w:t>年</w:t>
      </w:r>
      <w:r w:rsidRPr="00822B58">
        <w:rPr>
          <w:rFonts w:eastAsiaTheme="minorEastAsia"/>
        </w:rPr>
        <w:t>10</w:t>
      </w:r>
      <w:r w:rsidRPr="00822B58">
        <w:rPr>
          <w:rFonts w:eastAsiaTheme="minorEastAsia" w:hint="eastAsia"/>
        </w:rPr>
        <w:t>月</w:t>
      </w:r>
      <w:r w:rsidRPr="00822B58">
        <w:rPr>
          <w:rFonts w:eastAsiaTheme="minorEastAsia"/>
        </w:rPr>
        <w:t>10</w:t>
      </w:r>
      <w:r w:rsidRPr="00822B58">
        <w:rPr>
          <w:rFonts w:eastAsiaTheme="minorEastAsia" w:hint="eastAsia"/>
        </w:rPr>
        <w:t>日</w:t>
      </w:r>
      <w:r>
        <w:rPr>
          <w:rFonts w:eastAsiaTheme="minorEastAsia" w:hint="eastAsia"/>
        </w:rPr>
        <w:t>，</w:t>
      </w:r>
      <w:r w:rsidRPr="00822B58">
        <w:rPr>
          <w:rFonts w:eastAsiaTheme="minorEastAsia" w:hint="eastAsia"/>
        </w:rPr>
        <w:t>日内瓦</w:t>
      </w:r>
      <w:r>
        <w:rPr>
          <w:rFonts w:eastAsiaTheme="minorEastAsia" w:hint="eastAsia"/>
        </w:rPr>
        <w:t>)</w:t>
      </w:r>
      <w:r w:rsidRPr="00822B58">
        <w:rPr>
          <w:rFonts w:eastAsiaTheme="minorEastAsia"/>
        </w:rPr>
        <w:t>(</w:t>
      </w:r>
      <w:r w:rsidRPr="00822B58">
        <w:rPr>
          <w:rFonts w:eastAsiaTheme="minorEastAsia" w:hint="eastAsia"/>
        </w:rPr>
        <w:t>《特定常规武器公约第二号议定书》</w:t>
      </w:r>
      <w:r>
        <w:rPr>
          <w:rFonts w:eastAsiaTheme="minorEastAsia" w:hint="eastAsia"/>
        </w:rPr>
        <w:t>)</w:t>
      </w:r>
      <w:r>
        <w:rPr>
          <w:rFonts w:eastAsiaTheme="minorEastAsia" w:hint="eastAsia"/>
        </w:rPr>
        <w:t>，</w:t>
      </w:r>
      <w:r w:rsidRPr="00822B58">
        <w:rPr>
          <w:rFonts w:eastAsiaTheme="minorEastAsia" w:hint="eastAsia"/>
        </w:rPr>
        <w:t>联合国，《条约汇编》</w:t>
      </w:r>
      <w:r>
        <w:rPr>
          <w:rFonts w:eastAsiaTheme="minorEastAsia" w:hint="eastAsia"/>
        </w:rPr>
        <w:t>，</w:t>
      </w:r>
      <w:r w:rsidRPr="00822B58">
        <w:rPr>
          <w:rFonts w:eastAsiaTheme="minorEastAsia" w:hint="eastAsia"/>
        </w:rPr>
        <w:t>第</w:t>
      </w:r>
      <w:r w:rsidRPr="00822B58">
        <w:rPr>
          <w:rFonts w:eastAsiaTheme="minorEastAsia"/>
        </w:rPr>
        <w:t>1342</w:t>
      </w:r>
      <w:r w:rsidRPr="00822B58">
        <w:rPr>
          <w:rFonts w:eastAsiaTheme="minorEastAsia" w:hint="eastAsia"/>
        </w:rPr>
        <w:t>卷，第</w:t>
      </w:r>
      <w:r w:rsidRPr="00822B58">
        <w:rPr>
          <w:rFonts w:eastAsiaTheme="minorEastAsia"/>
        </w:rPr>
        <w:t>22495</w:t>
      </w:r>
      <w:r w:rsidRPr="00822B58">
        <w:rPr>
          <w:rFonts w:eastAsiaTheme="minorEastAsia" w:hint="eastAsia"/>
        </w:rPr>
        <w:t>号，</w:t>
      </w:r>
      <w:r>
        <w:rPr>
          <w:rFonts w:eastAsiaTheme="minorEastAsia" w:hint="eastAsia"/>
        </w:rPr>
        <w:t>第</w:t>
      </w:r>
      <w:r>
        <w:rPr>
          <w:rFonts w:eastAsiaTheme="minorEastAsia" w:hint="eastAsia"/>
        </w:rPr>
        <w:t>137</w:t>
      </w:r>
      <w:r>
        <w:rPr>
          <w:rFonts w:eastAsiaTheme="minorEastAsia" w:hint="eastAsia"/>
        </w:rPr>
        <w:t>页起，见</w:t>
      </w:r>
      <w:r w:rsidRPr="00822B58">
        <w:rPr>
          <w:rFonts w:eastAsiaTheme="minorEastAsia" w:hint="eastAsia"/>
        </w:rPr>
        <w:t>第</w:t>
      </w:r>
      <w:r w:rsidRPr="00822B58">
        <w:rPr>
          <w:rFonts w:eastAsiaTheme="minorEastAsia"/>
        </w:rPr>
        <w:t>168</w:t>
      </w:r>
      <w:r w:rsidRPr="00822B58">
        <w:rPr>
          <w:rFonts w:eastAsiaTheme="minorEastAsia" w:hint="eastAsia"/>
        </w:rPr>
        <w:t>页；《禁止或限制使用某些可被认为具有过分伤害力或滥杀滥伤作用的常规武器公约》所附</w:t>
      </w:r>
      <w:r>
        <w:rPr>
          <w:rFonts w:eastAsiaTheme="minorEastAsia" w:hint="eastAsia"/>
        </w:rPr>
        <w:t>、于</w:t>
      </w:r>
      <w:r w:rsidRPr="00822B58">
        <w:rPr>
          <w:rFonts w:eastAsiaTheme="minorEastAsia"/>
        </w:rPr>
        <w:t>1996</w:t>
      </w:r>
      <w:r w:rsidRPr="00822B58">
        <w:rPr>
          <w:rFonts w:eastAsiaTheme="minorEastAsia" w:hint="eastAsia"/>
        </w:rPr>
        <w:t>年</w:t>
      </w:r>
      <w:r w:rsidRPr="00822B58">
        <w:rPr>
          <w:rFonts w:eastAsiaTheme="minorEastAsia"/>
        </w:rPr>
        <w:t>5</w:t>
      </w:r>
      <w:r w:rsidRPr="00822B58">
        <w:rPr>
          <w:rFonts w:eastAsiaTheme="minorEastAsia" w:hint="eastAsia"/>
        </w:rPr>
        <w:t>月</w:t>
      </w:r>
      <w:r w:rsidRPr="00822B58">
        <w:rPr>
          <w:rFonts w:eastAsiaTheme="minorEastAsia"/>
        </w:rPr>
        <w:t>3</w:t>
      </w:r>
      <w:r>
        <w:rPr>
          <w:rFonts w:eastAsiaTheme="minorEastAsia" w:hint="eastAsia"/>
        </w:rPr>
        <w:t>日修正</w:t>
      </w:r>
      <w:r w:rsidRPr="00822B58">
        <w:rPr>
          <w:rFonts w:eastAsiaTheme="minorEastAsia" w:hint="eastAsia"/>
        </w:rPr>
        <w:t>的《禁止或限制使用地雷、诱杀装置和其他装置的议定书》</w:t>
      </w:r>
      <w:r w:rsidRPr="00822B58">
        <w:rPr>
          <w:rFonts w:eastAsiaTheme="minorEastAsia" w:hint="eastAsia"/>
        </w:rPr>
        <w:t>(</w:t>
      </w:r>
      <w:r w:rsidRPr="00822B58">
        <w:rPr>
          <w:rFonts w:eastAsiaTheme="minorEastAsia"/>
        </w:rPr>
        <w:t>1996</w:t>
      </w:r>
      <w:r w:rsidRPr="00822B58">
        <w:rPr>
          <w:rFonts w:eastAsiaTheme="minorEastAsia" w:hint="eastAsia"/>
        </w:rPr>
        <w:t>年</w:t>
      </w:r>
      <w:r w:rsidRPr="00822B58">
        <w:rPr>
          <w:rFonts w:eastAsiaTheme="minorEastAsia"/>
        </w:rPr>
        <w:t>5</w:t>
      </w:r>
      <w:r w:rsidRPr="00822B58">
        <w:rPr>
          <w:rFonts w:eastAsiaTheme="minorEastAsia" w:hint="eastAsia"/>
        </w:rPr>
        <w:t>月</w:t>
      </w:r>
      <w:r w:rsidRPr="00822B58">
        <w:rPr>
          <w:rFonts w:eastAsiaTheme="minorEastAsia"/>
        </w:rPr>
        <w:t>3</w:t>
      </w:r>
      <w:r w:rsidRPr="00822B58">
        <w:rPr>
          <w:rFonts w:eastAsiaTheme="minorEastAsia" w:hint="eastAsia"/>
        </w:rPr>
        <w:t>日修正的</w:t>
      </w:r>
      <w:r>
        <w:rPr>
          <w:rFonts w:eastAsiaTheme="minorEastAsia" w:hint="eastAsia"/>
        </w:rPr>
        <w:t>《</w:t>
      </w:r>
      <w:r w:rsidRPr="00822B58">
        <w:rPr>
          <w:rFonts w:eastAsiaTheme="minorEastAsia" w:hint="eastAsia"/>
        </w:rPr>
        <w:t>第二号议定书</w:t>
      </w:r>
      <w:r>
        <w:rPr>
          <w:rFonts w:eastAsiaTheme="minorEastAsia" w:hint="eastAsia"/>
        </w:rPr>
        <w:t>》</w:t>
      </w:r>
      <w:r w:rsidRPr="00822B58">
        <w:rPr>
          <w:rFonts w:eastAsiaTheme="minorEastAsia" w:hint="eastAsia"/>
        </w:rPr>
        <w:t>)</w:t>
      </w:r>
      <w:r>
        <w:rPr>
          <w:rFonts w:eastAsiaTheme="minorEastAsia" w:hint="eastAsia"/>
        </w:rPr>
        <w:t>(1996</w:t>
      </w:r>
      <w:r>
        <w:rPr>
          <w:rFonts w:eastAsiaTheme="minorEastAsia" w:hint="eastAsia"/>
        </w:rPr>
        <w:t>年</w:t>
      </w:r>
      <w:r>
        <w:rPr>
          <w:rFonts w:eastAsiaTheme="minorEastAsia" w:hint="eastAsia"/>
        </w:rPr>
        <w:t>5</w:t>
      </w:r>
      <w:r>
        <w:rPr>
          <w:rFonts w:eastAsiaTheme="minorEastAsia" w:hint="eastAsia"/>
        </w:rPr>
        <w:t>月</w:t>
      </w:r>
      <w:r>
        <w:rPr>
          <w:rFonts w:eastAsiaTheme="minorEastAsia" w:hint="eastAsia"/>
        </w:rPr>
        <w:t>3</w:t>
      </w:r>
      <w:r>
        <w:rPr>
          <w:rFonts w:eastAsiaTheme="minorEastAsia" w:hint="eastAsia"/>
        </w:rPr>
        <w:t>日，日内瓦</w:t>
      </w:r>
      <w:r>
        <w:rPr>
          <w:rFonts w:eastAsiaTheme="minorEastAsia" w:hint="eastAsia"/>
        </w:rPr>
        <w:t>)</w:t>
      </w:r>
      <w:r>
        <w:rPr>
          <w:rFonts w:eastAsiaTheme="minorEastAsia" w:hint="eastAsia"/>
        </w:rPr>
        <w:t>，同上，</w:t>
      </w:r>
      <w:r w:rsidRPr="00822B58">
        <w:rPr>
          <w:rFonts w:eastAsiaTheme="minorEastAsia" w:hint="eastAsia"/>
        </w:rPr>
        <w:t>第</w:t>
      </w:r>
      <w:r w:rsidRPr="00822B58">
        <w:rPr>
          <w:rFonts w:eastAsiaTheme="minorEastAsia"/>
        </w:rPr>
        <w:t>2048</w:t>
      </w:r>
      <w:r w:rsidRPr="00822B58">
        <w:rPr>
          <w:rFonts w:eastAsiaTheme="minorEastAsia" w:hint="eastAsia"/>
        </w:rPr>
        <w:t>卷，第</w:t>
      </w:r>
      <w:r w:rsidRPr="00822B58">
        <w:rPr>
          <w:rFonts w:eastAsiaTheme="minorEastAsia"/>
        </w:rPr>
        <w:t>22495</w:t>
      </w:r>
      <w:r w:rsidRPr="00822B58">
        <w:rPr>
          <w:rFonts w:eastAsiaTheme="minorEastAsia" w:hint="eastAsia"/>
        </w:rPr>
        <w:t>号，第</w:t>
      </w:r>
      <w:r w:rsidRPr="00822B58">
        <w:rPr>
          <w:rFonts w:eastAsiaTheme="minorEastAsia"/>
        </w:rPr>
        <w:t>93</w:t>
      </w:r>
      <w:r w:rsidRPr="00822B58">
        <w:rPr>
          <w:rFonts w:eastAsiaTheme="minorEastAsia" w:hint="eastAsia"/>
        </w:rPr>
        <w:t>页和《禁止或限制使用某些可被认为具有过分伤害力或滥杀滥伤作用的常规武器公约</w:t>
      </w:r>
      <w:r>
        <w:rPr>
          <w:rFonts w:eastAsiaTheme="minorEastAsia" w:hint="eastAsia"/>
        </w:rPr>
        <w:t>》</w:t>
      </w:r>
      <w:r w:rsidRPr="00822B58">
        <w:rPr>
          <w:rFonts w:eastAsiaTheme="minorEastAsia" w:hint="eastAsia"/>
        </w:rPr>
        <w:t>所附</w:t>
      </w:r>
      <w:r>
        <w:rPr>
          <w:rFonts w:eastAsiaTheme="minorEastAsia" w:hint="eastAsia"/>
        </w:rPr>
        <w:t>的《</w:t>
      </w:r>
      <w:r>
        <w:t>禁止或限制使用燃烧武器的</w:t>
      </w:r>
      <w:r w:rsidRPr="00822B58">
        <w:rPr>
          <w:rFonts w:eastAsiaTheme="minorEastAsia" w:hint="eastAsia"/>
        </w:rPr>
        <w:t>第三号</w:t>
      </w:r>
      <w:r>
        <w:t>议定书</w:t>
      </w:r>
      <w:r>
        <w:rPr>
          <w:rFonts w:eastAsiaTheme="minorEastAsia" w:hint="eastAsia"/>
        </w:rPr>
        <w:t>》</w:t>
      </w:r>
      <w:r>
        <w:rPr>
          <w:rFonts w:eastAsiaTheme="minorEastAsia" w:hint="eastAsia"/>
        </w:rPr>
        <w:t>(</w:t>
      </w:r>
      <w:r w:rsidRPr="00822B58">
        <w:rPr>
          <w:rFonts w:eastAsiaTheme="minorEastAsia" w:hint="eastAsia"/>
        </w:rPr>
        <w:t>《特定常规武器公约第三号议定书》</w:t>
      </w:r>
      <w:r>
        <w:rPr>
          <w:rFonts w:eastAsiaTheme="minorEastAsia" w:hint="eastAsia"/>
        </w:rPr>
        <w:t>)</w:t>
      </w:r>
      <w:r>
        <w:rPr>
          <w:rFonts w:eastAsiaTheme="minorEastAsia" w:hint="eastAsia"/>
        </w:rPr>
        <w:t>，同上，</w:t>
      </w:r>
      <w:r w:rsidRPr="00822B58">
        <w:rPr>
          <w:rFonts w:eastAsiaTheme="minorEastAsia" w:hint="eastAsia"/>
        </w:rPr>
        <w:t>联合国，第</w:t>
      </w:r>
      <w:r w:rsidRPr="00822B58">
        <w:rPr>
          <w:rFonts w:eastAsiaTheme="minorEastAsia"/>
        </w:rPr>
        <w:t>1342</w:t>
      </w:r>
      <w:r w:rsidRPr="00822B58">
        <w:rPr>
          <w:rFonts w:eastAsiaTheme="minorEastAsia" w:hint="eastAsia"/>
        </w:rPr>
        <w:t>卷，第</w:t>
      </w:r>
      <w:r w:rsidRPr="00822B58">
        <w:rPr>
          <w:rFonts w:eastAsiaTheme="minorEastAsia"/>
        </w:rPr>
        <w:t>22495</w:t>
      </w:r>
      <w:r w:rsidRPr="00822B58">
        <w:rPr>
          <w:rFonts w:eastAsiaTheme="minorEastAsia" w:hint="eastAsia"/>
        </w:rPr>
        <w:t>号，第</w:t>
      </w:r>
      <w:r w:rsidRPr="00822B58">
        <w:rPr>
          <w:rFonts w:eastAsiaTheme="minorEastAsia"/>
        </w:rPr>
        <w:t>171</w:t>
      </w:r>
      <w:r w:rsidRPr="00822B58">
        <w:rPr>
          <w:rFonts w:eastAsiaTheme="minorEastAsia" w:hint="eastAsia"/>
        </w:rPr>
        <w:t>页</w:t>
      </w:r>
      <w:r>
        <w:rPr>
          <w:rFonts w:eastAsiaTheme="minorEastAsia" w:hint="eastAsia"/>
        </w:rPr>
        <w:t>，</w:t>
      </w:r>
      <w:r w:rsidRPr="00822B58">
        <w:rPr>
          <w:rFonts w:eastAsiaTheme="minorEastAsia" w:hint="eastAsia"/>
        </w:rPr>
        <w:t>以及《</w:t>
      </w:r>
      <w:r>
        <w:rPr>
          <w:rFonts w:eastAsiaTheme="minorEastAsia" w:hint="eastAsia"/>
        </w:rPr>
        <w:t>1954</w:t>
      </w:r>
      <w:r>
        <w:rPr>
          <w:rFonts w:eastAsiaTheme="minorEastAsia" w:hint="eastAsia"/>
        </w:rPr>
        <w:t>年</w:t>
      </w:r>
      <w:r w:rsidRPr="00822B58">
        <w:rPr>
          <w:rFonts w:eastAsiaTheme="minorEastAsia" w:hint="eastAsia"/>
        </w:rPr>
        <w:t>关于武装冲突情况下保护文化财产的海牙公约第二议定书》</w:t>
      </w:r>
      <w:r w:rsidRPr="00822B58">
        <w:rPr>
          <w:rFonts w:eastAsiaTheme="minorEastAsia" w:hint="eastAsia"/>
        </w:rPr>
        <w:t>(</w:t>
      </w:r>
      <w:r w:rsidRPr="00822B58">
        <w:rPr>
          <w:rFonts w:eastAsiaTheme="minorEastAsia"/>
        </w:rPr>
        <w:t>1999</w:t>
      </w:r>
      <w:r w:rsidRPr="00822B58">
        <w:rPr>
          <w:rFonts w:eastAsiaTheme="minorEastAsia" w:hint="eastAsia"/>
        </w:rPr>
        <w:t>年</w:t>
      </w:r>
      <w:r>
        <w:rPr>
          <w:rFonts w:eastAsiaTheme="minorEastAsia" w:hint="eastAsia"/>
        </w:rPr>
        <w:t>《</w:t>
      </w:r>
      <w:r w:rsidRPr="00822B58">
        <w:rPr>
          <w:rFonts w:eastAsiaTheme="minorEastAsia" w:hint="eastAsia"/>
        </w:rPr>
        <w:t>第二号议定书</w:t>
      </w:r>
      <w:r>
        <w:rPr>
          <w:rFonts w:eastAsiaTheme="minorEastAsia" w:hint="eastAsia"/>
        </w:rPr>
        <w:t>》</w:t>
      </w:r>
      <w:r w:rsidRPr="00822B58">
        <w:rPr>
          <w:rFonts w:eastAsiaTheme="minorEastAsia" w:hint="eastAsia"/>
        </w:rPr>
        <w:t>)</w:t>
      </w:r>
      <w:r>
        <w:rPr>
          <w:rFonts w:eastAsiaTheme="minorEastAsia" w:hint="eastAsia"/>
        </w:rPr>
        <w:t>(</w:t>
      </w:r>
      <w:r w:rsidRPr="00822B58">
        <w:rPr>
          <w:rFonts w:eastAsiaTheme="minorEastAsia"/>
        </w:rPr>
        <w:t>1999</w:t>
      </w:r>
      <w:r w:rsidRPr="00822B58">
        <w:rPr>
          <w:rFonts w:eastAsiaTheme="minorEastAsia" w:hint="eastAsia"/>
        </w:rPr>
        <w:t>年</w:t>
      </w:r>
      <w:r w:rsidRPr="00822B58">
        <w:rPr>
          <w:rFonts w:eastAsiaTheme="minorEastAsia"/>
        </w:rPr>
        <w:t>3</w:t>
      </w:r>
      <w:r w:rsidRPr="00822B58">
        <w:rPr>
          <w:rFonts w:eastAsiaTheme="minorEastAsia" w:hint="eastAsia"/>
        </w:rPr>
        <w:t>月</w:t>
      </w:r>
      <w:r w:rsidRPr="00822B58">
        <w:rPr>
          <w:rFonts w:eastAsiaTheme="minorEastAsia"/>
        </w:rPr>
        <w:t>26</w:t>
      </w:r>
      <w:r w:rsidRPr="00822B58">
        <w:rPr>
          <w:rFonts w:eastAsiaTheme="minorEastAsia" w:hint="eastAsia"/>
        </w:rPr>
        <w:t>日</w:t>
      </w:r>
      <w:r>
        <w:rPr>
          <w:rFonts w:eastAsiaTheme="minorEastAsia" w:hint="eastAsia"/>
        </w:rPr>
        <w:t>，</w:t>
      </w:r>
      <w:r w:rsidRPr="00822B58">
        <w:rPr>
          <w:rFonts w:eastAsiaTheme="minorEastAsia" w:hint="eastAsia"/>
        </w:rPr>
        <w:t>海牙</w:t>
      </w:r>
      <w:r>
        <w:rPr>
          <w:rFonts w:eastAsiaTheme="minorEastAsia" w:hint="eastAsia"/>
        </w:rPr>
        <w:t>)</w:t>
      </w:r>
      <w:r>
        <w:rPr>
          <w:rFonts w:eastAsiaTheme="minorEastAsia" w:hint="eastAsia"/>
        </w:rPr>
        <w:t>，同上，</w:t>
      </w:r>
      <w:r w:rsidRPr="00822B58">
        <w:rPr>
          <w:rFonts w:eastAsiaTheme="minorEastAsia" w:hint="eastAsia"/>
        </w:rPr>
        <w:t>第</w:t>
      </w:r>
      <w:r w:rsidRPr="00822B58">
        <w:rPr>
          <w:rFonts w:eastAsiaTheme="minorEastAsia"/>
        </w:rPr>
        <w:t>2253</w:t>
      </w:r>
      <w:r w:rsidRPr="00822B58">
        <w:rPr>
          <w:rFonts w:eastAsiaTheme="minorEastAsia" w:hint="eastAsia"/>
        </w:rPr>
        <w:t>卷，第</w:t>
      </w:r>
      <w:r w:rsidRPr="00822B58">
        <w:rPr>
          <w:rFonts w:eastAsiaTheme="minorEastAsia"/>
        </w:rPr>
        <w:t>3511</w:t>
      </w:r>
      <w:r w:rsidRPr="00822B58">
        <w:rPr>
          <w:rFonts w:eastAsiaTheme="minorEastAsia" w:hint="eastAsia"/>
        </w:rPr>
        <w:t>号，第</w:t>
      </w:r>
      <w:r w:rsidRPr="00822B58">
        <w:rPr>
          <w:rFonts w:eastAsiaTheme="minorEastAsia"/>
        </w:rPr>
        <w:t>172</w:t>
      </w:r>
      <w:r w:rsidRPr="00822B58">
        <w:rPr>
          <w:rFonts w:eastAsiaTheme="minorEastAsia" w:hint="eastAsia"/>
        </w:rPr>
        <w:t>页。</w:t>
      </w:r>
    </w:p>
  </w:footnote>
  <w:footnote w:id="1368">
    <w:p w:rsidR="00AB00DE" w:rsidRPr="008F00E7" w:rsidRDefault="00AB00DE" w:rsidP="006735D4">
      <w:pPr>
        <w:pStyle w:val="a4"/>
      </w:pPr>
      <w:r>
        <w:rPr>
          <w:rFonts w:hint="eastAsia"/>
          <w:color w:val="000000"/>
        </w:rPr>
        <w:tab/>
      </w:r>
      <w:r w:rsidRPr="00681AC8">
        <w:rPr>
          <w:rStyle w:val="a5"/>
          <w:rFonts w:cstheme="majorBidi"/>
        </w:rPr>
        <w:footnoteRef/>
      </w:r>
      <w:r>
        <w:rPr>
          <w:rFonts w:hint="eastAsia"/>
          <w:color w:val="000000"/>
        </w:rPr>
        <w:tab/>
      </w:r>
      <w:r w:rsidRPr="008F00E7">
        <w:rPr>
          <w:rFonts w:hint="eastAsia"/>
        </w:rPr>
        <w:t>见</w:t>
      </w:r>
      <w:r w:rsidRPr="008F00E7">
        <w:rPr>
          <w:rFonts w:asciiTheme="majorBidi" w:eastAsiaTheme="minorEastAsia" w:hAnsiTheme="majorBidi" w:cstheme="majorBidi" w:hint="eastAsia"/>
        </w:rPr>
        <w:t>《</w:t>
      </w:r>
      <w:r w:rsidRPr="008F00E7">
        <w:rPr>
          <w:rFonts w:asciiTheme="majorBidi" w:eastAsiaTheme="minorEastAsia" w:hAnsiTheme="majorBidi" w:cstheme="majorBidi" w:hint="eastAsia"/>
        </w:rPr>
        <w:t>1949</w:t>
      </w:r>
      <w:r w:rsidRPr="008F00E7">
        <w:rPr>
          <w:rFonts w:asciiTheme="majorBidi" w:eastAsiaTheme="minorEastAsia" w:hAnsiTheme="majorBidi" w:cstheme="majorBidi" w:hint="eastAsia"/>
        </w:rPr>
        <w:t>年日内瓦四公约第一议定书》</w:t>
      </w:r>
      <w:r w:rsidRPr="008F00E7">
        <w:rPr>
          <w:rFonts w:hint="eastAsia"/>
        </w:rPr>
        <w:t>第五十二条第一款以及《特定常规武器公约第二号议定书》第二条第五款；《特定常规武器公约经修</w:t>
      </w:r>
      <w:r w:rsidRPr="008F00E7">
        <w:rPr>
          <w:rFonts w:eastAsiaTheme="minorEastAsia" w:hint="eastAsia"/>
        </w:rPr>
        <w:t>正</w:t>
      </w:r>
      <w:r w:rsidRPr="008F00E7">
        <w:rPr>
          <w:rFonts w:hint="eastAsia"/>
        </w:rPr>
        <w:t>的第二号议定书》第二条第七款和《特定常规武器公约第三号议定书》第一条第四款。</w:t>
      </w:r>
    </w:p>
  </w:footnote>
  <w:footnote w:id="1369">
    <w:p w:rsidR="00AB00DE" w:rsidRPr="008F00E7" w:rsidRDefault="00AB00DE" w:rsidP="00334F8C">
      <w:pPr>
        <w:pStyle w:val="a4"/>
      </w:pPr>
      <w:r w:rsidRPr="008F00E7">
        <w:rPr>
          <w:rFonts w:hint="eastAsia"/>
        </w:rPr>
        <w:tab/>
      </w:r>
      <w:r w:rsidRPr="00681AC8">
        <w:rPr>
          <w:rStyle w:val="a5"/>
          <w:rFonts w:cstheme="majorBidi"/>
        </w:rPr>
        <w:footnoteRef/>
      </w:r>
      <w:r w:rsidRPr="008F00E7">
        <w:rPr>
          <w:rFonts w:hint="eastAsia"/>
        </w:rPr>
        <w:tab/>
      </w:r>
      <w:r w:rsidRPr="008F00E7">
        <w:rPr>
          <w:rFonts w:hint="eastAsia"/>
        </w:rPr>
        <w:t>一般性阐述见</w:t>
      </w:r>
      <w:r w:rsidRPr="008F00E7">
        <w:t>Henckaerts</w:t>
      </w:r>
      <w:r w:rsidRPr="008F00E7">
        <w:rPr>
          <w:rFonts w:ascii="宋体" w:hAnsi="宋体" w:cs="宋体" w:hint="eastAsia"/>
        </w:rPr>
        <w:t>和</w:t>
      </w:r>
      <w:r w:rsidRPr="008F00E7">
        <w:t>Doswald-Beck</w:t>
      </w:r>
      <w:r w:rsidRPr="008F00E7">
        <w:rPr>
          <w:rFonts w:eastAsiaTheme="minorEastAsia" w:hint="eastAsia"/>
        </w:rPr>
        <w:t>，</w:t>
      </w:r>
      <w:r w:rsidRPr="008F00E7">
        <w:rPr>
          <w:i/>
          <w:iCs/>
        </w:rPr>
        <w:t>Customary International Humanitarian Law</w:t>
      </w:r>
      <w:r w:rsidRPr="008F00E7">
        <w:rPr>
          <w:rFonts w:eastAsiaTheme="minorEastAsia"/>
          <w:i/>
          <w:iCs/>
        </w:rPr>
        <w:t>…</w:t>
      </w:r>
      <w:r w:rsidRPr="008F00E7">
        <w:rPr>
          <w:rFonts w:eastAsiaTheme="minorEastAsia" w:hint="eastAsia"/>
        </w:rPr>
        <w:t>(</w:t>
      </w:r>
      <w:r w:rsidRPr="008F00E7">
        <w:rPr>
          <w:rFonts w:hint="eastAsia"/>
        </w:rPr>
        <w:t>上文</w:t>
      </w:r>
      <w:r w:rsidRPr="008F00E7">
        <w:rPr>
          <w:rFonts w:eastAsiaTheme="minorEastAsia" w:hint="eastAsia"/>
        </w:rPr>
        <w:t>脚</w:t>
      </w:r>
      <w:r w:rsidRPr="008F00E7">
        <w:rPr>
          <w:rFonts w:hint="eastAsia"/>
        </w:rPr>
        <w:t>注</w:t>
      </w:r>
      <w:r>
        <w:rPr>
          <w:rFonts w:eastAsiaTheme="minorEastAsia"/>
        </w:rPr>
        <w:fldChar w:fldCharType="begin"/>
      </w:r>
      <w:r>
        <w:instrText xml:space="preserve"> </w:instrText>
      </w:r>
      <w:r>
        <w:rPr>
          <w:rFonts w:hint="eastAsia"/>
        </w:rPr>
        <w:instrText>NOTEREF _Ref454970788 \h</w:instrText>
      </w:r>
      <w:r>
        <w:instrText xml:space="preserve"> </w:instrText>
      </w:r>
      <w:r>
        <w:rPr>
          <w:rFonts w:eastAsiaTheme="minorEastAsia"/>
        </w:rPr>
      </w:r>
      <w:r>
        <w:rPr>
          <w:rFonts w:eastAsiaTheme="minorEastAsia"/>
        </w:rPr>
        <w:fldChar w:fldCharType="separate"/>
      </w:r>
      <w:r w:rsidR="00A73EB9">
        <w:t>1331</w:t>
      </w:r>
      <w:r>
        <w:rPr>
          <w:rFonts w:eastAsiaTheme="minorEastAsia"/>
        </w:rPr>
        <w:fldChar w:fldCharType="end"/>
      </w:r>
      <w:r w:rsidRPr="008F00E7">
        <w:rPr>
          <w:rFonts w:eastAsiaTheme="minorEastAsia" w:hint="eastAsia"/>
        </w:rPr>
        <w:t>)</w:t>
      </w:r>
      <w:r w:rsidRPr="008F00E7">
        <w:rPr>
          <w:rFonts w:hint="eastAsia"/>
        </w:rPr>
        <w:t>，</w:t>
      </w:r>
      <w:r w:rsidRPr="008F00E7">
        <w:rPr>
          <w:rFonts w:hint="eastAsia"/>
          <w:color w:val="000000"/>
        </w:rPr>
        <w:t>规则</w:t>
      </w:r>
      <w:r w:rsidRPr="008F00E7">
        <w:rPr>
          <w:color w:val="000000"/>
        </w:rPr>
        <w:t>7</w:t>
      </w:r>
      <w:r w:rsidRPr="008F00E7">
        <w:rPr>
          <w:rFonts w:eastAsiaTheme="minorEastAsia" w:hint="eastAsia"/>
          <w:color w:val="000000"/>
        </w:rPr>
        <w:t>，</w:t>
      </w:r>
      <w:r w:rsidRPr="008F00E7">
        <w:rPr>
          <w:rFonts w:hint="eastAsia"/>
          <w:color w:val="000000"/>
        </w:rPr>
        <w:t>第</w:t>
      </w:r>
      <w:r w:rsidRPr="008F00E7">
        <w:rPr>
          <w:color w:val="000000"/>
        </w:rPr>
        <w:t>25-29</w:t>
      </w:r>
      <w:r w:rsidRPr="008F00E7">
        <w:rPr>
          <w:rFonts w:hint="eastAsia"/>
          <w:color w:val="000000"/>
        </w:rPr>
        <w:t>页。</w:t>
      </w:r>
      <w:r w:rsidRPr="008F00E7">
        <w:rPr>
          <w:rFonts w:hint="eastAsia"/>
        </w:rPr>
        <w:t>除其他外，区别原则的编纂见《第一附加议定书》第四十八条和第五十二条第二款，以及《特定常规武器公约经修</w:t>
      </w:r>
      <w:r w:rsidRPr="008F00E7">
        <w:rPr>
          <w:rFonts w:eastAsiaTheme="minorEastAsia" w:hint="eastAsia"/>
        </w:rPr>
        <w:t>正</w:t>
      </w:r>
      <w:r w:rsidRPr="008F00E7">
        <w:rPr>
          <w:rFonts w:hint="eastAsia"/>
        </w:rPr>
        <w:t>的第二号议定书</w:t>
      </w:r>
      <w:r w:rsidRPr="008F00E7">
        <w:rPr>
          <w:rFonts w:eastAsiaTheme="minorEastAsia" w:hint="eastAsia"/>
        </w:rPr>
        <w:t>》</w:t>
      </w:r>
      <w:r w:rsidRPr="008F00E7">
        <w:rPr>
          <w:rFonts w:hint="eastAsia"/>
        </w:rPr>
        <w:t>和</w:t>
      </w:r>
      <w:r w:rsidRPr="008F00E7">
        <w:rPr>
          <w:rFonts w:eastAsiaTheme="minorEastAsia" w:hint="eastAsia"/>
        </w:rPr>
        <w:t>《</w:t>
      </w:r>
      <w:r w:rsidRPr="008F00E7">
        <w:rPr>
          <w:rFonts w:hint="eastAsia"/>
        </w:rPr>
        <w:t>第三号议定书》。这项原则被承认为国际和非国际武装冲突下习惯国际人道法的一条规则</w:t>
      </w:r>
      <w:r w:rsidRPr="008F00E7">
        <w:rPr>
          <w:rFonts w:hint="eastAsia"/>
          <w:color w:val="000000"/>
        </w:rPr>
        <w:t>。</w:t>
      </w:r>
    </w:p>
  </w:footnote>
  <w:footnote w:id="1370">
    <w:p w:rsidR="00AB00DE" w:rsidRPr="008F00E7" w:rsidRDefault="00AB00DE" w:rsidP="00334F8C">
      <w:pPr>
        <w:pStyle w:val="a4"/>
      </w:pPr>
      <w:r w:rsidRPr="008F00E7">
        <w:rPr>
          <w:rFonts w:hint="eastAsia"/>
        </w:rPr>
        <w:tab/>
      </w:r>
      <w:r w:rsidRPr="00681AC8">
        <w:rPr>
          <w:rStyle w:val="a5"/>
          <w:rFonts w:cstheme="majorBidi"/>
        </w:rPr>
        <w:footnoteRef/>
      </w:r>
      <w:r w:rsidRPr="008F00E7">
        <w:rPr>
          <w:rFonts w:hint="eastAsia"/>
        </w:rPr>
        <w:tab/>
      </w:r>
      <w:r w:rsidRPr="008F00E7">
        <w:rPr>
          <w:rFonts w:hint="eastAsia"/>
        </w:rPr>
        <w:t>除其他外，所提到的文书包括《特定常规武器公约第三号议定书》第二条第四款、《武装冲突期间保护环境准则》、保护战争受难者国际会议通过的《最后宣言》、联合国大会第</w:t>
      </w:r>
      <w:r w:rsidRPr="008F00E7">
        <w:rPr>
          <w:color w:val="000000"/>
        </w:rPr>
        <w:t>49/50</w:t>
      </w:r>
      <w:r w:rsidRPr="008F00E7">
        <w:rPr>
          <w:rFonts w:hint="eastAsia"/>
        </w:rPr>
        <w:t>号和第</w:t>
      </w:r>
      <w:r w:rsidRPr="008F00E7">
        <w:rPr>
          <w:color w:val="000000"/>
        </w:rPr>
        <w:t>51/157</w:t>
      </w:r>
      <w:r w:rsidRPr="008F00E7">
        <w:rPr>
          <w:rFonts w:hint="eastAsia"/>
        </w:rPr>
        <w:t>号决议附件、澳大利亚和美国的军事手册以及尼加拉瓜和西班牙的国家立法。见</w:t>
      </w:r>
      <w:r w:rsidRPr="008F00E7">
        <w:t>Henckaerts</w:t>
      </w:r>
      <w:r w:rsidRPr="008F00E7">
        <w:rPr>
          <w:rFonts w:ascii="宋体" w:hAnsi="宋体" w:cs="宋体" w:hint="eastAsia"/>
        </w:rPr>
        <w:t>和</w:t>
      </w:r>
      <w:r w:rsidRPr="008F00E7">
        <w:t>Doswald-Beck</w:t>
      </w:r>
      <w:r w:rsidRPr="008F00E7">
        <w:rPr>
          <w:rFonts w:eastAsiaTheme="minorEastAsia" w:hint="eastAsia"/>
        </w:rPr>
        <w:t>，</w:t>
      </w:r>
      <w:r w:rsidRPr="008F00E7">
        <w:rPr>
          <w:i/>
          <w:iCs/>
        </w:rPr>
        <w:t>Customary International Humanitarian Law</w:t>
      </w:r>
      <w:r w:rsidRPr="008F00E7">
        <w:rPr>
          <w:rFonts w:eastAsiaTheme="minorEastAsia"/>
          <w:i/>
          <w:iCs/>
        </w:rPr>
        <w:t>…</w:t>
      </w:r>
      <w:r w:rsidRPr="008F00E7">
        <w:rPr>
          <w:rFonts w:eastAsiaTheme="minorEastAsia" w:hint="eastAsia"/>
        </w:rPr>
        <w:t>(</w:t>
      </w:r>
      <w:r w:rsidRPr="008F00E7">
        <w:rPr>
          <w:rFonts w:hint="eastAsia"/>
        </w:rPr>
        <w:t>上文</w:t>
      </w:r>
      <w:r w:rsidRPr="008F00E7">
        <w:rPr>
          <w:rFonts w:eastAsiaTheme="minorEastAsia" w:hint="eastAsia"/>
        </w:rPr>
        <w:t>脚</w:t>
      </w:r>
      <w:r w:rsidRPr="008F00E7">
        <w:rPr>
          <w:rFonts w:hint="eastAsia"/>
        </w:rPr>
        <w:t>注</w:t>
      </w:r>
      <w:r>
        <w:rPr>
          <w:rFonts w:eastAsiaTheme="minorEastAsia"/>
        </w:rPr>
        <w:fldChar w:fldCharType="begin"/>
      </w:r>
      <w:r>
        <w:instrText xml:space="preserve"> </w:instrText>
      </w:r>
      <w:r>
        <w:rPr>
          <w:rFonts w:hint="eastAsia"/>
        </w:rPr>
        <w:instrText>NOTEREF _Ref454970788 \h</w:instrText>
      </w:r>
      <w:r>
        <w:instrText xml:space="preserve"> </w:instrText>
      </w:r>
      <w:r>
        <w:rPr>
          <w:rFonts w:eastAsiaTheme="minorEastAsia"/>
        </w:rPr>
      </w:r>
      <w:r>
        <w:rPr>
          <w:rFonts w:eastAsiaTheme="minorEastAsia"/>
        </w:rPr>
        <w:fldChar w:fldCharType="separate"/>
      </w:r>
      <w:r w:rsidR="00A73EB9">
        <w:t>1331</w:t>
      </w:r>
      <w:r>
        <w:rPr>
          <w:rFonts w:eastAsiaTheme="minorEastAsia"/>
        </w:rPr>
        <w:fldChar w:fldCharType="end"/>
      </w:r>
      <w:r w:rsidRPr="008F00E7">
        <w:rPr>
          <w:rFonts w:eastAsiaTheme="minorEastAsia" w:hint="eastAsia"/>
        </w:rPr>
        <w:t>)</w:t>
      </w:r>
      <w:r w:rsidRPr="008F00E7">
        <w:rPr>
          <w:rFonts w:hint="eastAsia"/>
        </w:rPr>
        <w:t>，第</w:t>
      </w:r>
      <w:r w:rsidRPr="008F00E7">
        <w:rPr>
          <w:color w:val="000000"/>
        </w:rPr>
        <w:t>143</w:t>
      </w:r>
      <w:r w:rsidRPr="008F00E7">
        <w:rPr>
          <w:rFonts w:hint="eastAsia"/>
        </w:rPr>
        <w:t>和</w:t>
      </w:r>
      <w:r w:rsidRPr="008F00E7">
        <w:rPr>
          <w:color w:val="000000"/>
        </w:rPr>
        <w:t>144</w:t>
      </w:r>
      <w:r w:rsidRPr="008F00E7">
        <w:rPr>
          <w:rFonts w:hint="eastAsia"/>
        </w:rPr>
        <w:t>页。</w:t>
      </w:r>
    </w:p>
  </w:footnote>
  <w:footnote w:id="1371">
    <w:p w:rsidR="00AB00DE" w:rsidRPr="00DE50E6" w:rsidRDefault="00AB00DE" w:rsidP="00DE50E6">
      <w:pPr>
        <w:pStyle w:val="a4"/>
        <w:spacing w:after="80"/>
        <w:rPr>
          <w:color w:val="000000" w:themeColor="text1"/>
        </w:rPr>
      </w:pPr>
      <w:r>
        <w:rPr>
          <w:rFonts w:hint="eastAsia"/>
          <w:color w:val="000000"/>
          <w:sz w:val="20"/>
        </w:rPr>
        <w:tab/>
      </w:r>
      <w:r w:rsidRPr="003D3D39">
        <w:rPr>
          <w:rStyle w:val="a5"/>
          <w:rFonts w:cstheme="majorBidi"/>
        </w:rPr>
        <w:footnoteRef/>
      </w:r>
      <w:r>
        <w:rPr>
          <w:rFonts w:hint="eastAsia"/>
          <w:color w:val="000000"/>
          <w:sz w:val="20"/>
        </w:rPr>
        <w:tab/>
      </w:r>
      <w:r>
        <w:rPr>
          <w:rFonts w:ascii="宋体" w:hAnsi="宋体" w:cs="宋体" w:hint="eastAsia"/>
          <w:color w:val="000000"/>
          <w:sz w:val="20"/>
        </w:rPr>
        <w:t>例如，见</w:t>
      </w:r>
      <w:r w:rsidRPr="00D71585">
        <w:rPr>
          <w:rFonts w:ascii="宋体" w:hAnsi="宋体" w:cs="宋体" w:hint="eastAsia"/>
        </w:rPr>
        <w:t>米夏埃尔米博特，</w:t>
      </w:r>
      <w:r>
        <w:rPr>
          <w:rFonts w:hint="eastAsia"/>
        </w:rPr>
        <w:t>“</w:t>
      </w:r>
      <w:r w:rsidRPr="00037228">
        <w:rPr>
          <w:rFonts w:ascii="宋体" w:hAnsi="宋体" w:cs="宋体" w:hint="eastAsia"/>
        </w:rPr>
        <w:t>武装冲突中保护环境的国际法</w:t>
      </w:r>
      <w:r>
        <w:rPr>
          <w:rFonts w:ascii="宋体" w:hAnsi="宋体" w:cs="宋体" w:hint="eastAsia"/>
        </w:rPr>
        <w:t>：</w:t>
      </w:r>
      <w:r w:rsidRPr="00037228">
        <w:rPr>
          <w:rFonts w:ascii="宋体" w:hAnsi="宋体" w:cs="宋体" w:hint="eastAsia"/>
        </w:rPr>
        <w:t>不足与机遇</w:t>
      </w:r>
      <w:r>
        <w:rPr>
          <w:rFonts w:hint="eastAsia"/>
        </w:rPr>
        <w:t>”</w:t>
      </w:r>
      <w:r w:rsidRPr="00037228">
        <w:rPr>
          <w:rFonts w:ascii="宋体" w:hAnsi="宋体" w:cs="宋体" w:hint="eastAsia"/>
        </w:rPr>
        <w:t>《红十字国际评论》</w:t>
      </w:r>
      <w:r>
        <w:rPr>
          <w:rFonts w:eastAsiaTheme="minorEastAsia" w:hint="eastAsia"/>
        </w:rPr>
        <w:t>，</w:t>
      </w:r>
      <w:r w:rsidRPr="00037228">
        <w:rPr>
          <w:rFonts w:ascii="宋体" w:hAnsi="宋体" w:cs="宋体" w:hint="eastAsia"/>
        </w:rPr>
        <w:t>第</w:t>
      </w:r>
      <w:r>
        <w:t>92(2010)</w:t>
      </w:r>
      <w:r w:rsidRPr="00037228">
        <w:rPr>
          <w:rFonts w:ascii="宋体" w:hAnsi="宋体" w:cs="宋体" w:hint="eastAsia"/>
        </w:rPr>
        <w:t>卷</w:t>
      </w:r>
      <w:r>
        <w:rPr>
          <w:rFonts w:ascii="宋体" w:hAnsi="宋体" w:cs="宋体" w:hint="eastAsia"/>
        </w:rPr>
        <w:t>，</w:t>
      </w:r>
      <w:r w:rsidRPr="00037228">
        <w:rPr>
          <w:rFonts w:ascii="宋体" w:hAnsi="宋体" w:cs="宋体" w:hint="eastAsia"/>
        </w:rPr>
        <w:t>第</w:t>
      </w:r>
      <w:r>
        <w:t>576</w:t>
      </w:r>
      <w:r w:rsidRPr="00037228">
        <w:rPr>
          <w:rFonts w:ascii="宋体" w:hAnsi="宋体" w:cs="宋体" w:hint="eastAsia"/>
        </w:rPr>
        <w:t>页</w:t>
      </w:r>
      <w:r>
        <w:rPr>
          <w:rFonts w:ascii="宋体" w:hAnsi="宋体" w:cs="宋体" w:hint="eastAsia"/>
        </w:rPr>
        <w:t>；</w:t>
      </w:r>
      <w:r w:rsidRPr="005715FC">
        <w:rPr>
          <w:color w:val="000000" w:themeColor="text1"/>
          <w:szCs w:val="18"/>
        </w:rPr>
        <w:t>R</w:t>
      </w:r>
      <w:r>
        <w:rPr>
          <w:color w:val="000000" w:themeColor="text1"/>
          <w:szCs w:val="18"/>
        </w:rPr>
        <w:t>.</w:t>
      </w:r>
      <w:r w:rsidRPr="005715FC">
        <w:rPr>
          <w:color w:val="000000" w:themeColor="text1"/>
          <w:szCs w:val="18"/>
        </w:rPr>
        <w:t xml:space="preserve"> Rayfuse, “Introduction” in </w:t>
      </w:r>
      <w:r w:rsidRPr="005715FC">
        <w:rPr>
          <w:i/>
          <w:color w:val="000000" w:themeColor="text1"/>
          <w:szCs w:val="18"/>
        </w:rPr>
        <w:t>War and the Environment: New Approaches to Protecting the Environment in Relation to Armed Conflict</w:t>
      </w:r>
      <w:r w:rsidRPr="005715FC">
        <w:rPr>
          <w:iCs/>
          <w:color w:val="000000" w:themeColor="text1"/>
          <w:szCs w:val="18"/>
        </w:rPr>
        <w:t>,</w:t>
      </w:r>
      <w:r w:rsidRPr="005715FC">
        <w:rPr>
          <w:color w:val="000000" w:themeColor="text1"/>
          <w:szCs w:val="18"/>
        </w:rPr>
        <w:t xml:space="preserve"> R. Rayfuse (ed) (Leiden, Brill Nijhoff, 2015) p. 6; see also C</w:t>
      </w:r>
      <w:r>
        <w:rPr>
          <w:color w:val="000000" w:themeColor="text1"/>
          <w:szCs w:val="18"/>
        </w:rPr>
        <w:t>.</w:t>
      </w:r>
      <w:r w:rsidRPr="005715FC">
        <w:rPr>
          <w:color w:val="000000" w:themeColor="text1"/>
          <w:szCs w:val="18"/>
        </w:rPr>
        <w:t xml:space="preserve"> Droege and M</w:t>
      </w:r>
      <w:r>
        <w:rPr>
          <w:color w:val="000000" w:themeColor="text1"/>
          <w:szCs w:val="18"/>
        </w:rPr>
        <w:t>.</w:t>
      </w:r>
      <w:r w:rsidRPr="005715FC">
        <w:rPr>
          <w:color w:val="000000" w:themeColor="text1"/>
          <w:szCs w:val="18"/>
        </w:rPr>
        <w:t>-L</w:t>
      </w:r>
      <w:r>
        <w:rPr>
          <w:color w:val="000000" w:themeColor="text1"/>
          <w:szCs w:val="18"/>
        </w:rPr>
        <w:t>.</w:t>
      </w:r>
      <w:r w:rsidRPr="005715FC">
        <w:rPr>
          <w:color w:val="000000" w:themeColor="text1"/>
          <w:szCs w:val="18"/>
        </w:rPr>
        <w:t xml:space="preserve"> Tougas, “The protection of the natural environment in armed conflict-existing rules and need for further legal protection”, ibid., pp. 17-19; D</w:t>
      </w:r>
      <w:r>
        <w:rPr>
          <w:color w:val="000000" w:themeColor="text1"/>
          <w:szCs w:val="18"/>
        </w:rPr>
        <w:t>.</w:t>
      </w:r>
      <w:r w:rsidRPr="005715FC">
        <w:rPr>
          <w:color w:val="000000" w:themeColor="text1"/>
          <w:szCs w:val="18"/>
        </w:rPr>
        <w:t xml:space="preserve"> Fleck, “The protection of the environment in armed conflict: legal obligations in the absence of specific rules”, ibid.,  pp. 47-52; E</w:t>
      </w:r>
      <w:r>
        <w:rPr>
          <w:color w:val="000000" w:themeColor="text1"/>
          <w:szCs w:val="18"/>
        </w:rPr>
        <w:t>.</w:t>
      </w:r>
      <w:r w:rsidRPr="005715FC">
        <w:rPr>
          <w:color w:val="000000" w:themeColor="text1"/>
          <w:szCs w:val="18"/>
        </w:rPr>
        <w:t xml:space="preserve"> Koppe, “The principle of ambiguity and the prohibition against excessive collateral damage to the environment during armed conflict”,  ibid., pp. 76-82; and M</w:t>
      </w:r>
      <w:r>
        <w:rPr>
          <w:color w:val="000000" w:themeColor="text1"/>
          <w:szCs w:val="18"/>
        </w:rPr>
        <w:t>.</w:t>
      </w:r>
      <w:r w:rsidRPr="005715FC">
        <w:rPr>
          <w:color w:val="000000" w:themeColor="text1"/>
          <w:szCs w:val="18"/>
        </w:rPr>
        <w:t xml:space="preserve"> Bothe, “The ethics, principles and objectives of protection of the environment in times of armed conflict”, ibid., p. 99.</w:t>
      </w:r>
    </w:p>
  </w:footnote>
  <w:footnote w:id="1372">
    <w:p w:rsidR="00AB00DE" w:rsidRPr="00D12246" w:rsidRDefault="00AB00DE" w:rsidP="00396D56">
      <w:pPr>
        <w:pStyle w:val="a4"/>
        <w:spacing w:after="80"/>
      </w:pPr>
      <w:r>
        <w:rPr>
          <w:rFonts w:hint="eastAsia"/>
          <w:color w:val="000000"/>
        </w:rPr>
        <w:tab/>
      </w:r>
      <w:r w:rsidRPr="003D3D39">
        <w:rPr>
          <w:rStyle w:val="a5"/>
          <w:rFonts w:cstheme="majorBidi"/>
        </w:rPr>
        <w:footnoteRef/>
      </w:r>
      <w:r>
        <w:rPr>
          <w:rFonts w:hint="eastAsia"/>
          <w:color w:val="000000"/>
        </w:rPr>
        <w:tab/>
      </w:r>
      <w:r w:rsidRPr="00D12246">
        <w:rPr>
          <w:rFonts w:ascii="宋体" w:hAnsi="宋体" w:cs="宋体" w:hint="eastAsia"/>
        </w:rPr>
        <w:t>此处的提法是军事必要性规则</w:t>
      </w:r>
      <w:r>
        <w:rPr>
          <w:rFonts w:ascii="宋体" w:hAnsi="宋体" w:cs="宋体" w:hint="eastAsia"/>
        </w:rPr>
        <w:t>，</w:t>
      </w:r>
      <w:r w:rsidRPr="00D12246">
        <w:rPr>
          <w:rFonts w:ascii="宋体" w:hAnsi="宋体" w:cs="宋体" w:hint="eastAsia"/>
        </w:rPr>
        <w:t>而不是必要性原则</w:t>
      </w:r>
      <w:r>
        <w:rPr>
          <w:rFonts w:ascii="宋体" w:hAnsi="宋体" w:cs="宋体" w:hint="eastAsia"/>
        </w:rPr>
        <w:t>，</w:t>
      </w:r>
      <w:r w:rsidRPr="00D12246">
        <w:rPr>
          <w:rFonts w:ascii="宋体" w:hAnsi="宋体" w:cs="宋体" w:hint="eastAsia"/>
        </w:rPr>
        <w:t>因为有些国家认为</w:t>
      </w:r>
      <w:r>
        <w:rPr>
          <w:rFonts w:ascii="宋体" w:hAnsi="宋体" w:cs="宋体" w:hint="eastAsia"/>
        </w:rPr>
        <w:t>，</w:t>
      </w:r>
      <w:r w:rsidRPr="00D12246">
        <w:rPr>
          <w:rFonts w:ascii="宋体" w:hAnsi="宋体" w:cs="宋体" w:hint="eastAsia"/>
        </w:rPr>
        <w:t>军事必要性不是一种一般性的免责</w:t>
      </w:r>
      <w:r>
        <w:rPr>
          <w:rFonts w:ascii="宋体" w:hAnsi="宋体" w:cs="宋体" w:hint="eastAsia"/>
        </w:rPr>
        <w:t>，</w:t>
      </w:r>
      <w:r w:rsidRPr="00D12246">
        <w:rPr>
          <w:rFonts w:ascii="宋体" w:hAnsi="宋体" w:cs="宋体" w:hint="eastAsia"/>
        </w:rPr>
        <w:t>而是需要以国际条约的条款为依据。</w:t>
      </w:r>
    </w:p>
  </w:footnote>
  <w:footnote w:id="1373">
    <w:p w:rsidR="00AB00DE" w:rsidRPr="00D12246" w:rsidRDefault="00AB00DE" w:rsidP="00334F8C">
      <w:pPr>
        <w:pStyle w:val="a4"/>
        <w:spacing w:after="80"/>
      </w:pPr>
      <w:r>
        <w:rPr>
          <w:rFonts w:hint="eastAsia"/>
          <w:color w:val="000000"/>
        </w:rPr>
        <w:tab/>
      </w:r>
      <w:r w:rsidRPr="003D3D39">
        <w:rPr>
          <w:rStyle w:val="a5"/>
          <w:rFonts w:cstheme="majorBidi"/>
        </w:rPr>
        <w:footnoteRef/>
      </w:r>
      <w:r>
        <w:rPr>
          <w:rFonts w:hint="eastAsia"/>
          <w:color w:val="000000"/>
        </w:rPr>
        <w:tab/>
      </w:r>
      <w:r>
        <w:rPr>
          <w:color w:val="000000" w:themeColor="text1"/>
        </w:rPr>
        <w:t>See</w:t>
      </w:r>
      <w:r w:rsidRPr="005715FC">
        <w:rPr>
          <w:color w:val="000000" w:themeColor="text1"/>
        </w:rPr>
        <w:t xml:space="preserve"> </w:t>
      </w:r>
      <w:r>
        <w:rPr>
          <w:color w:val="000000" w:themeColor="text1"/>
        </w:rPr>
        <w:t>R.</w:t>
      </w:r>
      <w:r w:rsidRPr="005715FC">
        <w:rPr>
          <w:color w:val="000000" w:themeColor="text1"/>
        </w:rPr>
        <w:t xml:space="preserve"> </w:t>
      </w:r>
      <w:r>
        <w:rPr>
          <w:color w:val="000000" w:themeColor="text1"/>
        </w:rPr>
        <w:t>Rayfuse</w:t>
      </w:r>
      <w:r w:rsidRPr="005715FC">
        <w:rPr>
          <w:color w:val="000000" w:themeColor="text1"/>
        </w:rPr>
        <w:t xml:space="preserve">, </w:t>
      </w:r>
      <w:r>
        <w:rPr>
          <w:rFonts w:hint="eastAsia"/>
          <w:color w:val="000000" w:themeColor="text1"/>
        </w:rPr>
        <w:t>“</w:t>
      </w:r>
      <w:r>
        <w:rPr>
          <w:color w:val="000000" w:themeColor="text1"/>
        </w:rPr>
        <w:t>Rethinking</w:t>
      </w:r>
      <w:r w:rsidRPr="005715FC">
        <w:rPr>
          <w:color w:val="000000" w:themeColor="text1"/>
        </w:rPr>
        <w:t xml:space="preserve"> </w:t>
      </w:r>
      <w:r>
        <w:rPr>
          <w:color w:val="000000" w:themeColor="text1"/>
        </w:rPr>
        <w:t>international</w:t>
      </w:r>
      <w:r w:rsidRPr="005715FC">
        <w:rPr>
          <w:color w:val="000000" w:themeColor="text1"/>
        </w:rPr>
        <w:t xml:space="preserve"> </w:t>
      </w:r>
      <w:r>
        <w:rPr>
          <w:color w:val="000000" w:themeColor="text1"/>
        </w:rPr>
        <w:t>law</w:t>
      </w:r>
      <w:r w:rsidRPr="005715FC">
        <w:rPr>
          <w:color w:val="000000" w:themeColor="text1"/>
        </w:rPr>
        <w:t xml:space="preserve"> </w:t>
      </w:r>
      <w:r>
        <w:rPr>
          <w:color w:val="000000" w:themeColor="text1"/>
        </w:rPr>
        <w:t>and</w:t>
      </w:r>
      <w:r w:rsidRPr="005715FC">
        <w:rPr>
          <w:color w:val="000000" w:themeColor="text1"/>
        </w:rPr>
        <w:t xml:space="preserve"> </w:t>
      </w:r>
      <w:r>
        <w:rPr>
          <w:color w:val="000000" w:themeColor="text1"/>
        </w:rPr>
        <w:t>the</w:t>
      </w:r>
      <w:r w:rsidRPr="005715FC">
        <w:rPr>
          <w:color w:val="000000" w:themeColor="text1"/>
        </w:rPr>
        <w:t xml:space="preserve"> </w:t>
      </w:r>
      <w:r>
        <w:rPr>
          <w:color w:val="000000" w:themeColor="text1"/>
        </w:rPr>
        <w:t>protection</w:t>
      </w:r>
      <w:r w:rsidRPr="005715FC">
        <w:rPr>
          <w:color w:val="000000" w:themeColor="text1"/>
        </w:rPr>
        <w:t xml:space="preserve"> </w:t>
      </w:r>
      <w:r>
        <w:rPr>
          <w:color w:val="000000" w:themeColor="text1"/>
        </w:rPr>
        <w:t>of</w:t>
      </w:r>
      <w:r w:rsidRPr="005715FC">
        <w:rPr>
          <w:color w:val="000000" w:themeColor="text1"/>
        </w:rPr>
        <w:t xml:space="preserve"> </w:t>
      </w:r>
      <w:r>
        <w:rPr>
          <w:color w:val="000000" w:themeColor="text1"/>
        </w:rPr>
        <w:t>the</w:t>
      </w:r>
      <w:r w:rsidRPr="005715FC">
        <w:rPr>
          <w:color w:val="000000" w:themeColor="text1"/>
        </w:rPr>
        <w:t xml:space="preserve"> </w:t>
      </w:r>
      <w:r>
        <w:rPr>
          <w:color w:val="000000" w:themeColor="text1"/>
        </w:rPr>
        <w:t>environment</w:t>
      </w:r>
      <w:r w:rsidRPr="005715FC">
        <w:rPr>
          <w:color w:val="000000" w:themeColor="text1"/>
        </w:rPr>
        <w:t xml:space="preserve"> </w:t>
      </w:r>
      <w:r>
        <w:rPr>
          <w:color w:val="000000" w:themeColor="text1"/>
        </w:rPr>
        <w:t>in</w:t>
      </w:r>
      <w:r w:rsidRPr="005715FC">
        <w:rPr>
          <w:color w:val="000000" w:themeColor="text1"/>
        </w:rPr>
        <w:t xml:space="preserve"> </w:t>
      </w:r>
      <w:r>
        <w:rPr>
          <w:color w:val="000000" w:themeColor="text1"/>
        </w:rPr>
        <w:t>relation</w:t>
      </w:r>
      <w:r w:rsidRPr="005715FC">
        <w:rPr>
          <w:color w:val="000000" w:themeColor="text1"/>
        </w:rPr>
        <w:t xml:space="preserve"> </w:t>
      </w:r>
      <w:r>
        <w:rPr>
          <w:color w:val="000000" w:themeColor="text1"/>
        </w:rPr>
        <w:t>to</w:t>
      </w:r>
      <w:r w:rsidRPr="005715FC">
        <w:rPr>
          <w:color w:val="000000" w:themeColor="text1"/>
        </w:rPr>
        <w:t xml:space="preserve"> </w:t>
      </w:r>
      <w:r>
        <w:rPr>
          <w:color w:val="000000" w:themeColor="text1"/>
        </w:rPr>
        <w:t>armed</w:t>
      </w:r>
      <w:r w:rsidRPr="005715FC">
        <w:rPr>
          <w:color w:val="000000" w:themeColor="text1"/>
        </w:rPr>
        <w:t xml:space="preserve"> </w:t>
      </w:r>
      <w:r>
        <w:rPr>
          <w:color w:val="000000" w:themeColor="text1"/>
        </w:rPr>
        <w:t>conflict</w:t>
      </w:r>
      <w:r>
        <w:rPr>
          <w:rFonts w:hint="eastAsia"/>
          <w:color w:val="000000" w:themeColor="text1"/>
        </w:rPr>
        <w:t>”</w:t>
      </w:r>
      <w:r w:rsidRPr="005715FC">
        <w:rPr>
          <w:color w:val="000000" w:themeColor="text1"/>
        </w:rPr>
        <w:t xml:space="preserve"> </w:t>
      </w:r>
      <w:r>
        <w:rPr>
          <w:color w:val="000000" w:themeColor="text1"/>
        </w:rPr>
        <w:t>in</w:t>
      </w:r>
      <w:r w:rsidRPr="005715FC">
        <w:rPr>
          <w:color w:val="000000" w:themeColor="text1"/>
        </w:rPr>
        <w:t xml:space="preserve"> </w:t>
      </w:r>
      <w:r>
        <w:rPr>
          <w:i/>
          <w:color w:val="000000" w:themeColor="text1"/>
        </w:rPr>
        <w:t>War</w:t>
      </w:r>
      <w:r w:rsidRPr="005715FC">
        <w:rPr>
          <w:i/>
          <w:color w:val="000000" w:themeColor="text1"/>
        </w:rPr>
        <w:t xml:space="preserve"> </w:t>
      </w:r>
      <w:r>
        <w:rPr>
          <w:i/>
          <w:color w:val="000000" w:themeColor="text1"/>
        </w:rPr>
        <w:t>and</w:t>
      </w:r>
      <w:r w:rsidRPr="005715FC">
        <w:rPr>
          <w:i/>
          <w:color w:val="000000" w:themeColor="text1"/>
        </w:rPr>
        <w:t xml:space="preserve"> </w:t>
      </w:r>
      <w:r>
        <w:rPr>
          <w:i/>
          <w:color w:val="000000" w:themeColor="text1"/>
        </w:rPr>
        <w:t>the</w:t>
      </w:r>
      <w:r w:rsidRPr="005715FC">
        <w:rPr>
          <w:i/>
          <w:color w:val="000000" w:themeColor="text1"/>
        </w:rPr>
        <w:t xml:space="preserve"> </w:t>
      </w:r>
      <w:r>
        <w:rPr>
          <w:i/>
          <w:color w:val="000000" w:themeColor="text1"/>
        </w:rPr>
        <w:t>Environment</w:t>
      </w:r>
      <w:r w:rsidRPr="005715FC">
        <w:rPr>
          <w:i/>
          <w:color w:val="000000" w:themeColor="text1"/>
        </w:rPr>
        <w:t xml:space="preserve"> …, </w:t>
      </w:r>
      <w:r>
        <w:rPr>
          <w:color w:val="000000" w:themeColor="text1"/>
        </w:rPr>
        <w:t>Rayfuse</w:t>
      </w:r>
      <w:r w:rsidRPr="005715FC">
        <w:rPr>
          <w:color w:val="000000" w:themeColor="text1"/>
        </w:rPr>
        <w:t xml:space="preserve"> (</w:t>
      </w:r>
      <w:r>
        <w:rPr>
          <w:color w:val="000000" w:themeColor="text1"/>
        </w:rPr>
        <w:t>ed</w:t>
      </w:r>
      <w:r w:rsidRPr="005715FC">
        <w:rPr>
          <w:color w:val="000000" w:themeColor="text1"/>
        </w:rPr>
        <w:t>.) (</w:t>
      </w:r>
      <w:r>
        <w:rPr>
          <w:rFonts w:eastAsiaTheme="minorEastAsia" w:hint="eastAsia"/>
          <w:color w:val="000000" w:themeColor="text1"/>
        </w:rPr>
        <w:t>上文脚注</w:t>
      </w:r>
      <w:r>
        <w:rPr>
          <w:color w:val="000000" w:themeColor="text1"/>
        </w:rPr>
        <w:fldChar w:fldCharType="begin"/>
      </w:r>
      <w:r>
        <w:rPr>
          <w:rFonts w:eastAsiaTheme="minorEastAsia"/>
          <w:color w:val="000000" w:themeColor="text1"/>
        </w:rPr>
        <w:instrText xml:space="preserve"> </w:instrText>
      </w:r>
      <w:r>
        <w:rPr>
          <w:rFonts w:eastAsiaTheme="minorEastAsia" w:hint="eastAsia"/>
          <w:color w:val="000000" w:themeColor="text1"/>
        </w:rPr>
        <w:instrText>NOTEREF _Ref461885507 \h</w:instrText>
      </w:r>
      <w:r>
        <w:rPr>
          <w:rFonts w:eastAsiaTheme="minorEastAsia"/>
          <w:color w:val="000000" w:themeColor="text1"/>
        </w:rPr>
        <w:instrText xml:space="preserve"> </w:instrText>
      </w:r>
      <w:r>
        <w:rPr>
          <w:color w:val="000000" w:themeColor="text1"/>
        </w:rPr>
      </w:r>
      <w:r>
        <w:rPr>
          <w:color w:val="000000" w:themeColor="text1"/>
        </w:rPr>
        <w:fldChar w:fldCharType="separate"/>
      </w:r>
      <w:r w:rsidR="00A73EB9">
        <w:rPr>
          <w:rFonts w:eastAsiaTheme="minorEastAsia"/>
          <w:color w:val="000000" w:themeColor="text1"/>
        </w:rPr>
        <w:t>1370</w:t>
      </w:r>
      <w:r>
        <w:rPr>
          <w:color w:val="000000" w:themeColor="text1"/>
        </w:rPr>
        <w:fldChar w:fldCharType="end"/>
      </w:r>
      <w:r w:rsidRPr="005715FC">
        <w:rPr>
          <w:color w:val="000000" w:themeColor="text1"/>
        </w:rPr>
        <w:t xml:space="preserve">), </w:t>
      </w:r>
      <w:r>
        <w:rPr>
          <w:color w:val="000000" w:themeColor="text1"/>
        </w:rPr>
        <w:t>p</w:t>
      </w:r>
      <w:r w:rsidRPr="005715FC">
        <w:rPr>
          <w:color w:val="000000" w:themeColor="text1"/>
        </w:rPr>
        <w:t xml:space="preserve">. </w:t>
      </w:r>
      <w:r>
        <w:rPr>
          <w:color w:val="000000" w:themeColor="text1"/>
        </w:rPr>
        <w:t>6</w:t>
      </w:r>
      <w:r w:rsidRPr="005715FC">
        <w:rPr>
          <w:color w:val="000000" w:themeColor="text1"/>
        </w:rPr>
        <w:t>;</w:t>
      </w:r>
      <w:r w:rsidRPr="00656F23">
        <w:rPr>
          <w:rFonts w:eastAsiaTheme="minorEastAsia"/>
          <w:color w:val="000000"/>
        </w:rPr>
        <w:t xml:space="preserve"> </w:t>
      </w:r>
      <w:r w:rsidRPr="00822B58">
        <w:rPr>
          <w:rFonts w:eastAsiaTheme="minorEastAsia"/>
          <w:color w:val="000000"/>
        </w:rPr>
        <w:t>环境署，《武装冲突中对于环境的保护</w:t>
      </w:r>
      <w:r>
        <w:rPr>
          <w:rFonts w:eastAsiaTheme="minorEastAsia" w:hint="eastAsia"/>
          <w:color w:val="000000"/>
        </w:rPr>
        <w:t>……</w:t>
      </w:r>
      <w:r w:rsidRPr="00822B58">
        <w:rPr>
          <w:rFonts w:eastAsiaTheme="minorEastAsia"/>
          <w:color w:val="000000"/>
        </w:rPr>
        <w:t>》</w:t>
      </w:r>
      <w:r w:rsidRPr="00822B58">
        <w:rPr>
          <w:rFonts w:eastAsiaTheme="minorEastAsia"/>
          <w:color w:val="000000"/>
        </w:rPr>
        <w:t>(</w:t>
      </w:r>
      <w:r>
        <w:rPr>
          <w:rFonts w:eastAsiaTheme="minorEastAsia" w:hint="eastAsia"/>
          <w:color w:val="000000"/>
        </w:rPr>
        <w:t>上文脚注</w:t>
      </w:r>
      <w:r>
        <w:rPr>
          <w:rFonts w:eastAsiaTheme="minorEastAsia"/>
          <w:color w:val="000000"/>
        </w:rPr>
        <w:fldChar w:fldCharType="begin"/>
      </w:r>
      <w:r>
        <w:rPr>
          <w:rFonts w:eastAsiaTheme="minorEastAsia"/>
          <w:color w:val="000000"/>
        </w:rPr>
        <w:instrText xml:space="preserve"> </w:instrText>
      </w:r>
      <w:r>
        <w:rPr>
          <w:rFonts w:eastAsiaTheme="minorEastAsia" w:hint="eastAsia"/>
          <w:color w:val="000000"/>
        </w:rPr>
        <w:instrText>NOTEREF _Ref454971211 \h</w:instrText>
      </w:r>
      <w:r>
        <w:rPr>
          <w:rFonts w:eastAsiaTheme="minorEastAsia"/>
          <w:color w:val="000000"/>
        </w:rPr>
        <w:instrText xml:space="preserve"> </w:instrText>
      </w:r>
      <w:r>
        <w:rPr>
          <w:rFonts w:eastAsiaTheme="minorEastAsia"/>
          <w:color w:val="000000"/>
        </w:rPr>
      </w:r>
      <w:r>
        <w:rPr>
          <w:rFonts w:eastAsiaTheme="minorEastAsia"/>
          <w:color w:val="000000"/>
        </w:rPr>
        <w:fldChar w:fldCharType="separate"/>
      </w:r>
      <w:r w:rsidR="00A73EB9">
        <w:rPr>
          <w:rFonts w:eastAsiaTheme="minorEastAsia"/>
          <w:color w:val="000000"/>
        </w:rPr>
        <w:t>1364</w:t>
      </w:r>
      <w:r>
        <w:rPr>
          <w:rFonts w:eastAsiaTheme="minorEastAsia"/>
          <w:color w:val="000000"/>
        </w:rPr>
        <w:fldChar w:fldCharType="end"/>
      </w:r>
      <w:r w:rsidRPr="00822B58">
        <w:rPr>
          <w:rFonts w:eastAsiaTheme="minorEastAsia"/>
          <w:color w:val="000000"/>
        </w:rPr>
        <w:t>)</w:t>
      </w:r>
      <w:r w:rsidRPr="00822B58">
        <w:rPr>
          <w:rFonts w:eastAsiaTheme="minorEastAsia"/>
          <w:color w:val="000000"/>
        </w:rPr>
        <w:t>，第</w:t>
      </w:r>
      <w:r>
        <w:rPr>
          <w:rFonts w:eastAsiaTheme="minorEastAsia" w:hint="eastAsia"/>
          <w:color w:val="000000"/>
        </w:rPr>
        <w:t>12</w:t>
      </w:r>
      <w:r>
        <w:rPr>
          <w:rFonts w:eastAsiaTheme="minorEastAsia" w:hint="eastAsia"/>
          <w:color w:val="000000"/>
        </w:rPr>
        <w:t>和</w:t>
      </w:r>
      <w:r>
        <w:rPr>
          <w:rFonts w:eastAsiaTheme="minorEastAsia" w:hint="eastAsia"/>
          <w:color w:val="000000"/>
        </w:rPr>
        <w:t>13</w:t>
      </w:r>
      <w:r w:rsidRPr="00822B58">
        <w:rPr>
          <w:rFonts w:eastAsiaTheme="minorEastAsia"/>
          <w:color w:val="000000"/>
        </w:rPr>
        <w:t>页。</w:t>
      </w:r>
    </w:p>
  </w:footnote>
  <w:footnote w:id="1374">
    <w:p w:rsidR="00AB00DE" w:rsidRPr="002A4016" w:rsidRDefault="00AB00DE" w:rsidP="00396D56">
      <w:pPr>
        <w:pStyle w:val="a4"/>
        <w:spacing w:after="80"/>
        <w:rPr>
          <w:rFonts w:asciiTheme="majorBidi" w:hAnsiTheme="majorBidi" w:cstheme="majorBidi"/>
          <w:spacing w:val="-2"/>
        </w:rPr>
      </w:pPr>
      <w:r>
        <w:rPr>
          <w:rFonts w:asciiTheme="majorBidi" w:hAnsiTheme="majorBidi" w:cstheme="majorBidi" w:hint="eastAsia"/>
          <w:color w:val="000000"/>
        </w:rPr>
        <w:tab/>
      </w:r>
      <w:r w:rsidRPr="003D3D39">
        <w:rPr>
          <w:rStyle w:val="a5"/>
          <w:rFonts w:cstheme="majorBidi"/>
        </w:rPr>
        <w:footnoteRef/>
      </w:r>
      <w:r>
        <w:rPr>
          <w:rFonts w:asciiTheme="majorBidi" w:hAnsiTheme="majorBidi" w:cstheme="majorBidi" w:hint="eastAsia"/>
          <w:color w:val="000000"/>
        </w:rPr>
        <w:tab/>
      </w:r>
      <w:r w:rsidRPr="00822B58">
        <w:rPr>
          <w:rFonts w:asciiTheme="majorBidi" w:eastAsiaTheme="minorEastAsia" w:hAnsiTheme="majorBidi" w:cstheme="majorBidi"/>
          <w:spacing w:val="-2"/>
        </w:rPr>
        <w:t>除其他外，其中包括</w:t>
      </w:r>
      <w:r>
        <w:rPr>
          <w:rFonts w:asciiTheme="majorBidi" w:eastAsiaTheme="minorEastAsia" w:hAnsiTheme="majorBidi" w:cstheme="majorBidi" w:hint="eastAsia"/>
        </w:rPr>
        <w:t>《</w:t>
      </w:r>
      <w:r>
        <w:rPr>
          <w:rFonts w:asciiTheme="majorBidi" w:eastAsiaTheme="minorEastAsia" w:hAnsiTheme="majorBidi" w:cstheme="majorBidi" w:hint="eastAsia"/>
        </w:rPr>
        <w:t>1949</w:t>
      </w:r>
      <w:r>
        <w:rPr>
          <w:rFonts w:asciiTheme="majorBidi" w:eastAsiaTheme="minorEastAsia" w:hAnsiTheme="majorBidi" w:cstheme="majorBidi" w:hint="eastAsia"/>
        </w:rPr>
        <w:t>年日内瓦四公约第一议定书》</w:t>
      </w:r>
      <w:r w:rsidRPr="00822B58">
        <w:rPr>
          <w:rFonts w:asciiTheme="majorBidi" w:eastAsiaTheme="minorEastAsia" w:hAnsiTheme="majorBidi" w:cstheme="majorBidi"/>
          <w:spacing w:val="-2"/>
        </w:rPr>
        <w:t>第三十五和第五十五条。《第一议定书》和《第二议定书》以及其他武装冲突法文书中可能间接有利于保护环境的的其他条款，例如禁止对含有危险力量的工程和装置实施攻击的条款</w:t>
      </w:r>
      <w:r w:rsidRPr="00822B58">
        <w:rPr>
          <w:rFonts w:asciiTheme="majorBidi" w:eastAsiaTheme="minorEastAsia" w:hAnsiTheme="majorBidi" w:cstheme="majorBidi"/>
          <w:spacing w:val="-2"/>
        </w:rPr>
        <w:t>(</w:t>
      </w:r>
      <w:r w:rsidRPr="00822B58">
        <w:rPr>
          <w:rFonts w:asciiTheme="majorBidi" w:eastAsiaTheme="minorEastAsia" w:hAnsiTheme="majorBidi" w:cstheme="majorBidi"/>
          <w:spacing w:val="-2"/>
        </w:rPr>
        <w:t>《第一议定书》第五十六条、《第二议定书》第十五条</w:t>
      </w:r>
      <w:r w:rsidRPr="00822B58">
        <w:rPr>
          <w:rFonts w:asciiTheme="majorBidi" w:eastAsiaTheme="minorEastAsia" w:hAnsiTheme="majorBidi" w:cstheme="majorBidi"/>
          <w:spacing w:val="-2"/>
        </w:rPr>
        <w:t>)</w:t>
      </w:r>
      <w:r w:rsidRPr="00822B58">
        <w:rPr>
          <w:rFonts w:asciiTheme="majorBidi" w:eastAsiaTheme="minorEastAsia" w:hAnsiTheme="majorBidi" w:cstheme="majorBidi"/>
          <w:spacing w:val="-2"/>
        </w:rPr>
        <w:t>、禁止对平民居民生存所不可缺少的物体的攻击的条款</w:t>
      </w:r>
      <w:r w:rsidRPr="00822B58">
        <w:rPr>
          <w:rFonts w:asciiTheme="majorBidi" w:eastAsiaTheme="minorEastAsia" w:hAnsiTheme="majorBidi" w:cstheme="majorBidi"/>
          <w:spacing w:val="-2"/>
        </w:rPr>
        <w:t>(</w:t>
      </w:r>
      <w:r w:rsidRPr="00822B58">
        <w:rPr>
          <w:rFonts w:asciiTheme="majorBidi" w:eastAsiaTheme="minorEastAsia" w:hAnsiTheme="majorBidi" w:cstheme="majorBidi"/>
          <w:spacing w:val="-2"/>
        </w:rPr>
        <w:t>《第一议定书》第五十四条、《第二议定书》第十四条</w:t>
      </w:r>
      <w:r w:rsidRPr="00822B58">
        <w:rPr>
          <w:rFonts w:asciiTheme="majorBidi" w:eastAsiaTheme="minorEastAsia" w:hAnsiTheme="majorBidi" w:cstheme="majorBidi"/>
          <w:spacing w:val="-2"/>
        </w:rPr>
        <w:t>)</w:t>
      </w:r>
      <w:r w:rsidRPr="00822B58">
        <w:rPr>
          <w:rFonts w:asciiTheme="majorBidi" w:eastAsiaTheme="minorEastAsia" w:hAnsiTheme="majorBidi" w:cstheme="majorBidi"/>
          <w:spacing w:val="-2"/>
        </w:rPr>
        <w:t>、</w:t>
      </w:r>
      <w:r>
        <w:rPr>
          <w:rFonts w:asciiTheme="majorBidi" w:eastAsiaTheme="minorEastAsia" w:hAnsiTheme="majorBidi" w:cstheme="majorBidi" w:hint="eastAsia"/>
          <w:spacing w:val="-2"/>
        </w:rPr>
        <w:t>禁止掠夺</w:t>
      </w:r>
      <w:r>
        <w:rPr>
          <w:rFonts w:asciiTheme="majorBidi" w:eastAsiaTheme="minorEastAsia" w:hAnsiTheme="majorBidi" w:cstheme="majorBidi" w:hint="eastAsia"/>
          <w:spacing w:val="-2"/>
        </w:rPr>
        <w:t>(</w:t>
      </w:r>
      <w:r>
        <w:rPr>
          <w:rFonts w:asciiTheme="majorBidi" w:eastAsiaTheme="minorEastAsia" w:hAnsiTheme="majorBidi" w:cstheme="majorBidi" w:hint="eastAsia"/>
          <w:spacing w:val="-2"/>
        </w:rPr>
        <w:t>《</w:t>
      </w:r>
      <w:r>
        <w:rPr>
          <w:rStyle w:val="preferred"/>
          <w:rFonts w:ascii="宋体" w:hAnsi="宋体" w:cs="宋体" w:hint="eastAsia"/>
        </w:rPr>
        <w:t>关于陆战法规和习惯的章程</w:t>
      </w:r>
      <w:r>
        <w:rPr>
          <w:rFonts w:asciiTheme="majorBidi" w:eastAsiaTheme="minorEastAsia" w:hAnsiTheme="majorBidi" w:cstheme="majorBidi" w:hint="eastAsia"/>
          <w:spacing w:val="-2"/>
        </w:rPr>
        <w:t>》</w:t>
      </w:r>
      <w:r>
        <w:rPr>
          <w:rFonts w:asciiTheme="majorBidi" w:eastAsiaTheme="minorEastAsia" w:hAnsiTheme="majorBidi" w:cstheme="majorBidi" w:hint="eastAsia"/>
          <w:spacing w:val="-2"/>
        </w:rPr>
        <w:t>(1907</w:t>
      </w:r>
      <w:r>
        <w:rPr>
          <w:rFonts w:asciiTheme="majorBidi" w:eastAsiaTheme="minorEastAsia" w:hAnsiTheme="majorBidi" w:cstheme="majorBidi" w:hint="eastAsia"/>
          <w:spacing w:val="-2"/>
        </w:rPr>
        <w:t>年</w:t>
      </w:r>
      <w:r>
        <w:rPr>
          <w:rFonts w:asciiTheme="majorBidi" w:eastAsiaTheme="minorEastAsia" w:hAnsiTheme="majorBidi" w:cstheme="majorBidi" w:hint="eastAsia"/>
          <w:spacing w:val="-2"/>
        </w:rPr>
        <w:t>10</w:t>
      </w:r>
      <w:r>
        <w:rPr>
          <w:rFonts w:asciiTheme="majorBidi" w:eastAsiaTheme="minorEastAsia" w:hAnsiTheme="majorBidi" w:cstheme="majorBidi" w:hint="eastAsia"/>
          <w:spacing w:val="-2"/>
        </w:rPr>
        <w:t>月</w:t>
      </w:r>
      <w:r>
        <w:rPr>
          <w:rFonts w:asciiTheme="majorBidi" w:eastAsiaTheme="minorEastAsia" w:hAnsiTheme="majorBidi" w:cstheme="majorBidi" w:hint="eastAsia"/>
          <w:spacing w:val="-2"/>
        </w:rPr>
        <w:t>18</w:t>
      </w:r>
      <w:r>
        <w:rPr>
          <w:rFonts w:asciiTheme="majorBidi" w:eastAsiaTheme="minorEastAsia" w:hAnsiTheme="majorBidi" w:cstheme="majorBidi" w:hint="eastAsia"/>
          <w:spacing w:val="-2"/>
        </w:rPr>
        <w:t>日，海牙</w:t>
      </w:r>
      <w:r>
        <w:rPr>
          <w:rFonts w:asciiTheme="majorBidi" w:eastAsiaTheme="minorEastAsia" w:hAnsiTheme="majorBidi" w:cstheme="majorBidi" w:hint="eastAsia"/>
          <w:spacing w:val="-2"/>
        </w:rPr>
        <w:t>)</w:t>
      </w:r>
      <w:r w:rsidRPr="00822B58">
        <w:rPr>
          <w:rFonts w:asciiTheme="majorBidi" w:eastAsiaTheme="minorEastAsia" w:hAnsiTheme="majorBidi" w:cstheme="majorBidi"/>
          <w:spacing w:val="-2"/>
        </w:rPr>
        <w:t>第二十八条</w:t>
      </w:r>
      <w:r>
        <w:rPr>
          <w:rFonts w:asciiTheme="majorBidi" w:eastAsiaTheme="minorEastAsia" w:hAnsiTheme="majorBidi" w:cstheme="majorBidi" w:hint="eastAsia"/>
          <w:spacing w:val="-2"/>
        </w:rPr>
        <w:t>)</w:t>
      </w:r>
      <w:r w:rsidRPr="00822B58">
        <w:rPr>
          <w:rFonts w:asciiTheme="majorBidi" w:eastAsiaTheme="minorEastAsia" w:hAnsiTheme="majorBidi" w:cstheme="majorBidi"/>
          <w:spacing w:val="-2"/>
        </w:rPr>
        <w:t>、《第二议定书》第四条第二款第</w:t>
      </w:r>
      <w:r w:rsidRPr="00822B58">
        <w:rPr>
          <w:rFonts w:asciiTheme="majorBidi" w:eastAsiaTheme="minorEastAsia" w:hAnsiTheme="majorBidi" w:cstheme="majorBidi"/>
          <w:spacing w:val="-2"/>
        </w:rPr>
        <w:t>(</w:t>
      </w:r>
      <w:r w:rsidRPr="00822B58">
        <w:rPr>
          <w:rFonts w:asciiTheme="majorBidi" w:eastAsiaTheme="minorEastAsia" w:hAnsiTheme="majorBidi" w:cstheme="majorBidi"/>
          <w:spacing w:val="-2"/>
        </w:rPr>
        <w:t>七</w:t>
      </w:r>
      <w:r w:rsidRPr="00822B58">
        <w:rPr>
          <w:rFonts w:asciiTheme="majorBidi" w:eastAsiaTheme="minorEastAsia" w:hAnsiTheme="majorBidi" w:cstheme="majorBidi"/>
          <w:spacing w:val="-2"/>
        </w:rPr>
        <w:t>)</w:t>
      </w:r>
      <w:r w:rsidRPr="00822B58">
        <w:rPr>
          <w:rFonts w:asciiTheme="majorBidi" w:eastAsiaTheme="minorEastAsia" w:hAnsiTheme="majorBidi" w:cstheme="majorBidi"/>
          <w:spacing w:val="-2"/>
        </w:rPr>
        <w:t>项和禁止强迫平民迁移</w:t>
      </w:r>
      <w:r w:rsidRPr="00822B58">
        <w:rPr>
          <w:rFonts w:asciiTheme="majorBidi" w:eastAsiaTheme="minorEastAsia" w:hAnsiTheme="majorBidi" w:cstheme="majorBidi"/>
          <w:spacing w:val="-2"/>
        </w:rPr>
        <w:t>(</w:t>
      </w:r>
      <w:r w:rsidRPr="00822B58">
        <w:rPr>
          <w:rFonts w:asciiTheme="majorBidi" w:eastAsiaTheme="minorEastAsia" w:hAnsiTheme="majorBidi" w:cstheme="majorBidi"/>
          <w:spacing w:val="-2"/>
        </w:rPr>
        <w:t>《第二议定书》第十七条</w:t>
      </w:r>
      <w:r w:rsidRPr="00822B58">
        <w:rPr>
          <w:rFonts w:asciiTheme="majorBidi" w:eastAsiaTheme="minorEastAsia" w:hAnsiTheme="majorBidi" w:cstheme="majorBidi"/>
          <w:spacing w:val="-2"/>
        </w:rPr>
        <w:t>)</w:t>
      </w:r>
      <w:r w:rsidRPr="00822B58">
        <w:rPr>
          <w:rFonts w:asciiTheme="majorBidi" w:eastAsiaTheme="minorEastAsia" w:hAnsiTheme="majorBidi" w:cstheme="majorBidi"/>
          <w:spacing w:val="-2"/>
        </w:rPr>
        <w:t>。</w:t>
      </w:r>
      <w:r>
        <w:rPr>
          <w:rFonts w:asciiTheme="majorBidi" w:eastAsiaTheme="minorEastAsia" w:hAnsiTheme="majorBidi" w:cstheme="majorBidi" w:hint="eastAsia"/>
          <w:spacing w:val="-2"/>
        </w:rPr>
        <w:t>另</w:t>
      </w:r>
      <w:r w:rsidRPr="00822B58">
        <w:rPr>
          <w:rFonts w:asciiTheme="majorBidi" w:eastAsiaTheme="minorEastAsia" w:hAnsiTheme="majorBidi" w:cstheme="majorBidi"/>
          <w:spacing w:val="-2"/>
        </w:rPr>
        <w:t>见环境署，</w:t>
      </w:r>
      <w:r>
        <w:rPr>
          <w:rFonts w:asciiTheme="majorBidi" w:eastAsiaTheme="minorEastAsia" w:hAnsiTheme="majorBidi" w:cstheme="majorBidi" w:hint="eastAsia"/>
          <w:spacing w:val="-2"/>
        </w:rPr>
        <w:t>“</w:t>
      </w:r>
      <w:r w:rsidRPr="00822B58">
        <w:rPr>
          <w:rFonts w:asciiTheme="majorBidi" w:eastAsiaTheme="minorEastAsia" w:hAnsiTheme="majorBidi" w:cstheme="majorBidi"/>
          <w:spacing w:val="-2"/>
        </w:rPr>
        <w:t>利比里亚人口迁移的环境考虑：政策制定者和从业人员指南</w:t>
      </w:r>
      <w:r>
        <w:rPr>
          <w:rFonts w:asciiTheme="majorBidi" w:eastAsiaTheme="minorEastAsia" w:hAnsiTheme="majorBidi" w:cstheme="majorBidi" w:hint="eastAsia"/>
          <w:spacing w:val="-2"/>
        </w:rPr>
        <w:t>”</w:t>
      </w:r>
      <w:r w:rsidRPr="00822B58">
        <w:rPr>
          <w:rFonts w:asciiTheme="majorBidi" w:eastAsiaTheme="minorEastAsia" w:hAnsiTheme="majorBidi" w:cstheme="majorBidi"/>
          <w:spacing w:val="-2"/>
        </w:rPr>
        <w:t>(</w:t>
      </w:r>
      <w:r>
        <w:rPr>
          <w:rFonts w:asciiTheme="majorBidi" w:eastAsiaTheme="minorEastAsia" w:hAnsiTheme="majorBidi" w:cstheme="majorBidi"/>
          <w:spacing w:val="-2"/>
        </w:rPr>
        <w:t>2006</w:t>
      </w:r>
      <w:r w:rsidRPr="00822B58">
        <w:rPr>
          <w:rFonts w:asciiTheme="majorBidi" w:eastAsiaTheme="minorEastAsia" w:hAnsiTheme="majorBidi" w:cstheme="majorBidi"/>
          <w:spacing w:val="-2"/>
        </w:rPr>
        <w:t>年</w:t>
      </w:r>
      <w:r w:rsidRPr="00822B58">
        <w:rPr>
          <w:rFonts w:asciiTheme="majorBidi" w:eastAsiaTheme="minorEastAsia" w:hAnsiTheme="majorBidi" w:cstheme="majorBidi"/>
          <w:spacing w:val="-2"/>
        </w:rPr>
        <w:t>)</w:t>
      </w:r>
      <w:r w:rsidRPr="00822B58">
        <w:rPr>
          <w:rFonts w:asciiTheme="majorBidi" w:eastAsiaTheme="minorEastAsia" w:hAnsiTheme="majorBidi" w:cstheme="majorBidi"/>
          <w:spacing w:val="-2"/>
        </w:rPr>
        <w:t>。</w:t>
      </w:r>
    </w:p>
  </w:footnote>
  <w:footnote w:id="1375">
    <w:p w:rsidR="00AB00DE" w:rsidRPr="00D12246" w:rsidRDefault="00AB00DE" w:rsidP="00396D56">
      <w:pPr>
        <w:pStyle w:val="a4"/>
        <w:spacing w:after="80"/>
        <w:rPr>
          <w:rFonts w:asciiTheme="majorBidi" w:hAnsiTheme="majorBidi" w:cstheme="majorBidi"/>
        </w:rPr>
      </w:pPr>
      <w:r>
        <w:rPr>
          <w:rFonts w:asciiTheme="majorBidi" w:hAnsiTheme="majorBidi" w:cstheme="majorBidi" w:hint="eastAsia"/>
          <w:color w:val="000000"/>
        </w:rPr>
        <w:tab/>
      </w:r>
      <w:r w:rsidRPr="003D3D39">
        <w:rPr>
          <w:rStyle w:val="a5"/>
          <w:rFonts w:cstheme="majorBidi"/>
        </w:rPr>
        <w:footnoteRef/>
      </w:r>
      <w:r>
        <w:rPr>
          <w:rFonts w:asciiTheme="majorBidi" w:hAnsiTheme="majorBidi" w:cstheme="majorBidi" w:hint="eastAsia"/>
          <w:color w:val="000000"/>
        </w:rPr>
        <w:tab/>
      </w:r>
      <w:r>
        <w:rPr>
          <w:rFonts w:asciiTheme="majorBidi" w:hAnsiTheme="majorBidi" w:cstheme="majorBidi" w:hint="eastAsia"/>
        </w:rPr>
        <w:t>“</w:t>
      </w:r>
      <w:r w:rsidRPr="00D12246">
        <w:rPr>
          <w:rFonts w:ascii="宋体" w:hAnsi="宋体" w:cs="宋体" w:hint="eastAsia"/>
        </w:rPr>
        <w:t>以核武器进行威胁或使用核武器的合法性</w:t>
      </w:r>
      <w:r>
        <w:rPr>
          <w:rFonts w:asciiTheme="majorBidi" w:hAnsiTheme="majorBidi" w:cstheme="majorBidi" w:hint="eastAsia"/>
        </w:rPr>
        <w:t>”</w:t>
      </w:r>
      <w:r>
        <w:rPr>
          <w:rFonts w:ascii="宋体" w:hAnsi="宋体" w:cs="宋体" w:hint="eastAsia"/>
        </w:rPr>
        <w:t>，</w:t>
      </w:r>
      <w:r w:rsidRPr="00D12246">
        <w:rPr>
          <w:rFonts w:ascii="宋体" w:hAnsi="宋体" w:cs="宋体" w:hint="eastAsia"/>
        </w:rPr>
        <w:t>咨询意见</w:t>
      </w:r>
      <w:r>
        <w:rPr>
          <w:rFonts w:ascii="宋体" w:hAnsi="宋体" w:cs="宋体" w:hint="eastAsia"/>
        </w:rPr>
        <w:t>，</w:t>
      </w:r>
      <w:r>
        <w:rPr>
          <w:rFonts w:asciiTheme="majorBidi" w:eastAsiaTheme="minorEastAsia" w:hAnsiTheme="majorBidi" w:cstheme="majorBidi" w:hint="eastAsia"/>
        </w:rPr>
        <w:t>《</w:t>
      </w:r>
      <w:r>
        <w:rPr>
          <w:rFonts w:asciiTheme="majorBidi" w:eastAsiaTheme="minorEastAsia" w:hAnsiTheme="majorBidi" w:cstheme="majorBidi" w:hint="eastAsia"/>
        </w:rPr>
        <w:t>1996</w:t>
      </w:r>
      <w:r>
        <w:rPr>
          <w:rFonts w:asciiTheme="majorBidi" w:eastAsiaTheme="minorEastAsia" w:hAnsiTheme="majorBidi" w:cstheme="majorBidi" w:hint="eastAsia"/>
        </w:rPr>
        <w:t>年国际法院案例汇编》，第</w:t>
      </w:r>
      <w:r>
        <w:rPr>
          <w:rFonts w:asciiTheme="majorBidi" w:eastAsiaTheme="minorEastAsia" w:hAnsiTheme="majorBidi" w:cstheme="majorBidi" w:hint="eastAsia"/>
        </w:rPr>
        <w:t>226</w:t>
      </w:r>
      <w:r>
        <w:rPr>
          <w:rFonts w:asciiTheme="majorBidi" w:eastAsiaTheme="minorEastAsia" w:hAnsiTheme="majorBidi" w:cstheme="majorBidi" w:hint="eastAsia"/>
        </w:rPr>
        <w:t>页，见</w:t>
      </w:r>
      <w:r w:rsidRPr="00D12246">
        <w:rPr>
          <w:rFonts w:ascii="宋体" w:hAnsi="宋体" w:cs="宋体" w:hint="eastAsia"/>
        </w:rPr>
        <w:t>第</w:t>
      </w:r>
      <w:r>
        <w:rPr>
          <w:rFonts w:asciiTheme="majorBidi" w:hAnsiTheme="majorBidi" w:cstheme="majorBidi"/>
        </w:rPr>
        <w:t>257</w:t>
      </w:r>
      <w:r w:rsidRPr="00D12246">
        <w:rPr>
          <w:rFonts w:ascii="宋体" w:hAnsi="宋体" w:cs="宋体" w:hint="eastAsia"/>
        </w:rPr>
        <w:t>段</w:t>
      </w:r>
      <w:r>
        <w:rPr>
          <w:rFonts w:ascii="宋体" w:hAnsi="宋体" w:cs="宋体" w:hint="eastAsia"/>
        </w:rPr>
        <w:t>；</w:t>
      </w:r>
      <w:r>
        <w:rPr>
          <w:rFonts w:asciiTheme="majorBidi" w:hAnsiTheme="majorBidi" w:cstheme="majorBidi"/>
          <w:color w:val="000000"/>
        </w:rPr>
        <w:t>M</w:t>
      </w:r>
      <w:r>
        <w:rPr>
          <w:rFonts w:asciiTheme="majorBidi" w:eastAsiaTheme="minorEastAsia" w:hAnsiTheme="majorBidi" w:cstheme="majorBidi" w:hint="eastAsia"/>
          <w:color w:val="000000"/>
        </w:rPr>
        <w:t>.</w:t>
      </w:r>
      <w:r w:rsidRPr="00D12246">
        <w:rPr>
          <w:rFonts w:asciiTheme="majorBidi" w:hAnsiTheme="majorBidi" w:cstheme="majorBidi"/>
          <w:color w:val="000000"/>
        </w:rPr>
        <w:t xml:space="preserve"> </w:t>
      </w:r>
      <w:r>
        <w:rPr>
          <w:rFonts w:asciiTheme="majorBidi" w:hAnsiTheme="majorBidi" w:cstheme="majorBidi"/>
          <w:color w:val="000000"/>
        </w:rPr>
        <w:t xml:space="preserve">Schmitt, </w:t>
      </w:r>
      <w:r>
        <w:rPr>
          <w:rFonts w:asciiTheme="majorBidi" w:hAnsiTheme="majorBidi" w:cstheme="majorBidi" w:hint="eastAsia"/>
          <w:color w:val="000000"/>
        </w:rPr>
        <w:t>“</w:t>
      </w:r>
      <w:r>
        <w:rPr>
          <w:rFonts w:asciiTheme="majorBidi" w:hAnsiTheme="majorBidi" w:cstheme="majorBidi"/>
          <w:color w:val="000000"/>
        </w:rPr>
        <w:t>Military</w:t>
      </w:r>
      <w:r w:rsidRPr="00D12246">
        <w:rPr>
          <w:rFonts w:asciiTheme="majorBidi" w:hAnsiTheme="majorBidi" w:cstheme="majorBidi"/>
          <w:color w:val="000000"/>
        </w:rPr>
        <w:t xml:space="preserve"> </w:t>
      </w:r>
      <w:r>
        <w:rPr>
          <w:rFonts w:asciiTheme="majorBidi" w:hAnsiTheme="majorBidi" w:cstheme="majorBidi"/>
          <w:color w:val="000000"/>
        </w:rPr>
        <w:t>Necessity</w:t>
      </w:r>
      <w:r w:rsidRPr="00D12246">
        <w:rPr>
          <w:rFonts w:asciiTheme="majorBidi" w:hAnsiTheme="majorBidi" w:cstheme="majorBidi"/>
          <w:color w:val="000000"/>
        </w:rPr>
        <w:t xml:space="preserve"> </w:t>
      </w:r>
      <w:r>
        <w:rPr>
          <w:rFonts w:asciiTheme="majorBidi" w:hAnsiTheme="majorBidi" w:cstheme="majorBidi"/>
          <w:color w:val="000000"/>
        </w:rPr>
        <w:t>and</w:t>
      </w:r>
      <w:r w:rsidRPr="00D12246">
        <w:rPr>
          <w:rFonts w:asciiTheme="majorBidi" w:hAnsiTheme="majorBidi" w:cstheme="majorBidi"/>
          <w:color w:val="000000"/>
        </w:rPr>
        <w:t xml:space="preserve"> </w:t>
      </w:r>
      <w:r>
        <w:rPr>
          <w:rFonts w:asciiTheme="majorBidi" w:hAnsiTheme="majorBidi" w:cstheme="majorBidi"/>
          <w:color w:val="000000"/>
        </w:rPr>
        <w:t>Humanity</w:t>
      </w:r>
      <w:r w:rsidRPr="00D12246">
        <w:rPr>
          <w:rFonts w:asciiTheme="majorBidi" w:hAnsiTheme="majorBidi" w:cstheme="majorBidi"/>
          <w:color w:val="000000"/>
        </w:rPr>
        <w:t xml:space="preserve"> </w:t>
      </w:r>
      <w:r>
        <w:rPr>
          <w:rFonts w:asciiTheme="majorBidi" w:hAnsiTheme="majorBidi" w:cstheme="majorBidi"/>
          <w:color w:val="000000"/>
        </w:rPr>
        <w:t>in</w:t>
      </w:r>
      <w:r w:rsidRPr="00D12246">
        <w:rPr>
          <w:rFonts w:asciiTheme="majorBidi" w:hAnsiTheme="majorBidi" w:cstheme="majorBidi"/>
          <w:color w:val="000000"/>
        </w:rPr>
        <w:t xml:space="preserve"> </w:t>
      </w:r>
      <w:r>
        <w:rPr>
          <w:rFonts w:asciiTheme="majorBidi" w:hAnsiTheme="majorBidi" w:cstheme="majorBidi"/>
          <w:color w:val="000000"/>
        </w:rPr>
        <w:t>International</w:t>
      </w:r>
      <w:r w:rsidRPr="00D12246">
        <w:rPr>
          <w:rFonts w:asciiTheme="majorBidi" w:hAnsiTheme="majorBidi" w:cstheme="majorBidi"/>
          <w:color w:val="000000"/>
        </w:rPr>
        <w:t xml:space="preserve"> </w:t>
      </w:r>
      <w:r>
        <w:rPr>
          <w:rFonts w:asciiTheme="majorBidi" w:hAnsiTheme="majorBidi" w:cstheme="majorBidi"/>
          <w:color w:val="000000"/>
        </w:rPr>
        <w:t>Humanitarian</w:t>
      </w:r>
      <w:r w:rsidRPr="00D12246">
        <w:rPr>
          <w:rFonts w:asciiTheme="majorBidi" w:hAnsiTheme="majorBidi" w:cstheme="majorBidi"/>
          <w:color w:val="000000"/>
        </w:rPr>
        <w:t xml:space="preserve"> </w:t>
      </w:r>
      <w:r>
        <w:rPr>
          <w:rFonts w:asciiTheme="majorBidi" w:hAnsiTheme="majorBidi" w:cstheme="majorBidi"/>
          <w:color w:val="000000"/>
        </w:rPr>
        <w:t>Law:Preserving</w:t>
      </w:r>
      <w:r w:rsidRPr="00D12246">
        <w:rPr>
          <w:rFonts w:asciiTheme="majorBidi" w:hAnsiTheme="majorBidi" w:cstheme="majorBidi"/>
          <w:color w:val="000000"/>
        </w:rPr>
        <w:t xml:space="preserve"> </w:t>
      </w:r>
      <w:r>
        <w:rPr>
          <w:rFonts w:asciiTheme="majorBidi" w:hAnsiTheme="majorBidi" w:cstheme="majorBidi"/>
          <w:color w:val="000000"/>
        </w:rPr>
        <w:t>the</w:t>
      </w:r>
      <w:r w:rsidRPr="00D12246">
        <w:rPr>
          <w:rFonts w:asciiTheme="majorBidi" w:hAnsiTheme="majorBidi" w:cstheme="majorBidi"/>
          <w:color w:val="000000"/>
        </w:rPr>
        <w:t xml:space="preserve"> </w:t>
      </w:r>
      <w:r>
        <w:rPr>
          <w:rFonts w:asciiTheme="majorBidi" w:hAnsiTheme="majorBidi" w:cstheme="majorBidi"/>
          <w:color w:val="000000"/>
        </w:rPr>
        <w:t>Delicate</w:t>
      </w:r>
      <w:r w:rsidRPr="00D12246">
        <w:rPr>
          <w:rFonts w:asciiTheme="majorBidi" w:hAnsiTheme="majorBidi" w:cstheme="majorBidi"/>
          <w:color w:val="000000"/>
        </w:rPr>
        <w:t xml:space="preserve"> </w:t>
      </w:r>
      <w:r>
        <w:rPr>
          <w:rFonts w:asciiTheme="majorBidi" w:hAnsiTheme="majorBidi" w:cstheme="majorBidi"/>
          <w:color w:val="000000"/>
        </w:rPr>
        <w:t>Balance</w:t>
      </w:r>
      <w:r>
        <w:rPr>
          <w:rFonts w:asciiTheme="majorBidi" w:hAnsiTheme="majorBidi" w:cstheme="majorBidi" w:hint="eastAsia"/>
          <w:color w:val="000000"/>
        </w:rPr>
        <w:t>”</w:t>
      </w:r>
      <w:r>
        <w:rPr>
          <w:rFonts w:asciiTheme="majorBidi" w:hAnsiTheme="majorBidi" w:cstheme="majorBidi"/>
          <w:i/>
          <w:color w:val="000000"/>
        </w:rPr>
        <w:t>Virginia</w:t>
      </w:r>
      <w:r w:rsidRPr="00D12246">
        <w:rPr>
          <w:rFonts w:asciiTheme="majorBidi" w:hAnsiTheme="majorBidi" w:cstheme="majorBidi"/>
          <w:i/>
          <w:color w:val="000000"/>
        </w:rPr>
        <w:t xml:space="preserve"> </w:t>
      </w:r>
      <w:r>
        <w:rPr>
          <w:rFonts w:asciiTheme="majorBidi" w:hAnsiTheme="majorBidi" w:cstheme="majorBidi"/>
          <w:i/>
          <w:color w:val="000000"/>
        </w:rPr>
        <w:t>Journal</w:t>
      </w:r>
      <w:r w:rsidRPr="00D12246">
        <w:rPr>
          <w:rFonts w:asciiTheme="majorBidi" w:hAnsiTheme="majorBidi" w:cstheme="majorBidi"/>
          <w:i/>
          <w:color w:val="000000"/>
        </w:rPr>
        <w:t xml:space="preserve"> </w:t>
      </w:r>
      <w:r>
        <w:rPr>
          <w:rFonts w:asciiTheme="majorBidi" w:hAnsiTheme="majorBidi" w:cstheme="majorBidi"/>
          <w:i/>
          <w:color w:val="000000"/>
        </w:rPr>
        <w:t>of</w:t>
      </w:r>
      <w:r w:rsidRPr="00D12246">
        <w:rPr>
          <w:rFonts w:asciiTheme="majorBidi" w:hAnsiTheme="majorBidi" w:cstheme="majorBidi"/>
          <w:i/>
          <w:color w:val="000000"/>
        </w:rPr>
        <w:t xml:space="preserve"> </w:t>
      </w:r>
      <w:r>
        <w:rPr>
          <w:rFonts w:asciiTheme="majorBidi" w:hAnsiTheme="majorBidi" w:cstheme="majorBidi"/>
          <w:i/>
          <w:color w:val="000000"/>
        </w:rPr>
        <w:t>International</w:t>
      </w:r>
      <w:r w:rsidRPr="00D12246">
        <w:rPr>
          <w:rFonts w:asciiTheme="majorBidi" w:hAnsiTheme="majorBidi" w:cstheme="majorBidi"/>
          <w:i/>
          <w:color w:val="000000"/>
        </w:rPr>
        <w:t xml:space="preserve"> </w:t>
      </w:r>
      <w:r>
        <w:rPr>
          <w:rFonts w:asciiTheme="majorBidi" w:hAnsiTheme="majorBidi" w:cstheme="majorBidi"/>
          <w:i/>
          <w:color w:val="000000"/>
        </w:rPr>
        <w:t xml:space="preserve">Law, </w:t>
      </w:r>
      <w:r>
        <w:rPr>
          <w:rFonts w:asciiTheme="majorBidi" w:hAnsiTheme="majorBidi" w:cstheme="majorBidi"/>
          <w:color w:val="000000"/>
        </w:rPr>
        <w:t>vol</w:t>
      </w:r>
      <w:r w:rsidRPr="00D12246">
        <w:rPr>
          <w:rFonts w:asciiTheme="majorBidi" w:hAnsiTheme="majorBidi" w:cstheme="majorBidi"/>
          <w:color w:val="000000"/>
        </w:rPr>
        <w:t xml:space="preserve">. </w:t>
      </w:r>
      <w:r>
        <w:rPr>
          <w:rFonts w:asciiTheme="majorBidi" w:hAnsiTheme="majorBidi" w:cstheme="majorBidi"/>
          <w:color w:val="000000"/>
        </w:rPr>
        <w:t>50</w:t>
      </w:r>
      <w:r w:rsidRPr="00D12246">
        <w:rPr>
          <w:rFonts w:asciiTheme="majorBidi" w:hAnsiTheme="majorBidi" w:cstheme="majorBidi"/>
          <w:color w:val="000000"/>
        </w:rPr>
        <w:t xml:space="preserve"> </w:t>
      </w:r>
      <w:r>
        <w:rPr>
          <w:rFonts w:asciiTheme="majorBidi" w:hAnsiTheme="majorBidi" w:cstheme="majorBidi"/>
          <w:color w:val="000000"/>
        </w:rPr>
        <w:t>(2010)</w:t>
      </w:r>
      <w:r>
        <w:rPr>
          <w:rFonts w:ascii="宋体" w:hAnsi="宋体" w:cs="宋体" w:hint="eastAsia"/>
          <w:color w:val="000000"/>
        </w:rPr>
        <w:t>，</w:t>
      </w:r>
      <w:r>
        <w:rPr>
          <w:rFonts w:asciiTheme="majorBidi" w:hAnsiTheme="majorBidi" w:cstheme="majorBidi"/>
          <w:color w:val="000000"/>
        </w:rPr>
        <w:t>p</w:t>
      </w:r>
      <w:r w:rsidRPr="00D12246">
        <w:rPr>
          <w:rFonts w:asciiTheme="majorBidi" w:hAnsiTheme="majorBidi" w:cstheme="majorBidi"/>
          <w:color w:val="000000"/>
        </w:rPr>
        <w:t xml:space="preserve">. </w:t>
      </w:r>
      <w:r>
        <w:rPr>
          <w:rFonts w:asciiTheme="majorBidi" w:hAnsiTheme="majorBidi" w:cstheme="majorBidi"/>
          <w:color w:val="000000"/>
        </w:rPr>
        <w:t>803</w:t>
      </w:r>
      <w:r>
        <w:rPr>
          <w:rFonts w:ascii="宋体" w:hAnsi="宋体" w:cs="宋体" w:hint="eastAsia"/>
          <w:color w:val="000000"/>
        </w:rPr>
        <w:t>。</w:t>
      </w:r>
    </w:p>
  </w:footnote>
  <w:footnote w:id="1376">
    <w:p w:rsidR="00AB00DE" w:rsidRPr="00D12246" w:rsidRDefault="00AB00DE" w:rsidP="00396D56">
      <w:pPr>
        <w:pStyle w:val="a4"/>
        <w:spacing w:after="80"/>
        <w:rPr>
          <w:rFonts w:asciiTheme="majorBidi" w:hAnsiTheme="majorBidi" w:cstheme="majorBidi"/>
        </w:rPr>
      </w:pPr>
      <w:r>
        <w:rPr>
          <w:rFonts w:asciiTheme="majorBidi" w:hAnsiTheme="majorBidi" w:cstheme="majorBidi" w:hint="eastAsia"/>
          <w:color w:val="000000"/>
        </w:rPr>
        <w:tab/>
      </w:r>
      <w:r w:rsidRPr="003D3D39">
        <w:rPr>
          <w:rStyle w:val="a5"/>
          <w:rFonts w:cstheme="majorBidi"/>
        </w:rPr>
        <w:footnoteRef/>
      </w:r>
      <w:r>
        <w:rPr>
          <w:rFonts w:asciiTheme="majorBidi" w:hAnsiTheme="majorBidi" w:cstheme="majorBidi" w:hint="eastAsia"/>
          <w:color w:val="000000"/>
        </w:rPr>
        <w:tab/>
      </w:r>
      <w:r w:rsidRPr="00D12246">
        <w:rPr>
          <w:rFonts w:ascii="宋体" w:hAnsi="宋体" w:cs="宋体" w:hint="eastAsia"/>
        </w:rPr>
        <w:t>区分原则目前的编纂见</w:t>
      </w:r>
      <w:r>
        <w:rPr>
          <w:rFonts w:asciiTheme="majorBidi" w:eastAsiaTheme="minorEastAsia" w:hAnsiTheme="majorBidi" w:cstheme="majorBidi" w:hint="eastAsia"/>
        </w:rPr>
        <w:t>《</w:t>
      </w:r>
      <w:r>
        <w:rPr>
          <w:rFonts w:asciiTheme="majorBidi" w:eastAsiaTheme="minorEastAsia" w:hAnsiTheme="majorBidi" w:cstheme="majorBidi" w:hint="eastAsia"/>
        </w:rPr>
        <w:t>1949</w:t>
      </w:r>
      <w:r w:rsidRPr="00E7366D">
        <w:rPr>
          <w:rFonts w:asciiTheme="majorBidi" w:eastAsiaTheme="minorEastAsia" w:hAnsiTheme="majorBidi" w:cstheme="majorBidi" w:hint="eastAsia"/>
        </w:rPr>
        <w:t>年日内瓦四公约</w:t>
      </w:r>
      <w:r w:rsidRPr="00E7366D">
        <w:rPr>
          <w:rFonts w:ascii="宋体" w:hAnsi="宋体" w:cs="宋体" w:hint="eastAsia"/>
        </w:rPr>
        <w:t>第</w:t>
      </w:r>
      <w:r w:rsidRPr="00D12246">
        <w:rPr>
          <w:rFonts w:ascii="宋体" w:hAnsi="宋体" w:cs="宋体" w:hint="eastAsia"/>
        </w:rPr>
        <w:t>一议定书</w:t>
      </w:r>
      <w:r>
        <w:rPr>
          <w:rFonts w:asciiTheme="majorBidi" w:eastAsiaTheme="minorEastAsia" w:hAnsiTheme="majorBidi" w:cstheme="majorBidi" w:hint="eastAsia"/>
        </w:rPr>
        <w:t>》</w:t>
      </w:r>
      <w:r w:rsidRPr="00D12246">
        <w:rPr>
          <w:rFonts w:ascii="宋体" w:hAnsi="宋体" w:cs="宋体" w:hint="eastAsia"/>
        </w:rPr>
        <w:t>第四十八条、第五十一条第二款和第五十二条第二款、</w:t>
      </w:r>
      <w:r>
        <w:rPr>
          <w:rFonts w:asciiTheme="majorBidi" w:eastAsiaTheme="minorEastAsia" w:hAnsiTheme="majorBidi" w:cstheme="majorBidi" w:hint="eastAsia"/>
        </w:rPr>
        <w:t>《</w:t>
      </w:r>
      <w:r w:rsidRPr="00D12246">
        <w:rPr>
          <w:rFonts w:ascii="宋体" w:hAnsi="宋体" w:cs="宋体" w:hint="eastAsia"/>
        </w:rPr>
        <w:t>第二议定书</w:t>
      </w:r>
      <w:r>
        <w:rPr>
          <w:rFonts w:asciiTheme="majorBidi" w:eastAsiaTheme="minorEastAsia" w:hAnsiTheme="majorBidi" w:cstheme="majorBidi" w:hint="eastAsia"/>
        </w:rPr>
        <w:t>》</w:t>
      </w:r>
      <w:r w:rsidRPr="00D12246">
        <w:rPr>
          <w:rFonts w:ascii="宋体" w:hAnsi="宋体" w:cs="宋体" w:hint="eastAsia"/>
        </w:rPr>
        <w:t>第十三条第二款、《特定常规武器公约经修</w:t>
      </w:r>
      <w:r>
        <w:rPr>
          <w:rFonts w:asciiTheme="majorBidi" w:eastAsiaTheme="minorEastAsia" w:hAnsiTheme="majorBidi" w:cstheme="majorBidi" w:hint="eastAsia"/>
        </w:rPr>
        <w:t>正</w:t>
      </w:r>
      <w:r w:rsidRPr="00D12246">
        <w:rPr>
          <w:rFonts w:ascii="宋体" w:hAnsi="宋体" w:cs="宋体" w:hint="eastAsia"/>
        </w:rPr>
        <w:t>的第二号议定书》、《特定常规武器公约第三号议定书》以及《关于禁止使用、储存、生产和转让杀伤人员地雷及销毁此种地雷的公约》</w:t>
      </w:r>
      <w:r>
        <w:rPr>
          <w:rFonts w:asciiTheme="majorBidi" w:eastAsiaTheme="minorEastAsia" w:hAnsiTheme="majorBidi" w:cstheme="majorBidi" w:hint="eastAsia"/>
        </w:rPr>
        <w:t>(</w:t>
      </w:r>
      <w:r>
        <w:rPr>
          <w:rFonts w:asciiTheme="majorBidi" w:hAnsiTheme="majorBidi" w:cstheme="majorBidi"/>
        </w:rPr>
        <w:t>1997</w:t>
      </w:r>
      <w:r w:rsidRPr="00D12246">
        <w:rPr>
          <w:rFonts w:ascii="宋体" w:hAnsi="宋体" w:cs="宋体" w:hint="eastAsia"/>
        </w:rPr>
        <w:t>年</w:t>
      </w:r>
      <w:r>
        <w:rPr>
          <w:rFonts w:asciiTheme="majorBidi" w:hAnsiTheme="majorBidi" w:cstheme="majorBidi"/>
        </w:rPr>
        <w:t>9</w:t>
      </w:r>
      <w:r w:rsidRPr="00D12246">
        <w:rPr>
          <w:rFonts w:ascii="宋体" w:hAnsi="宋体" w:cs="宋体" w:hint="eastAsia"/>
        </w:rPr>
        <w:t>月</w:t>
      </w:r>
      <w:r>
        <w:rPr>
          <w:rFonts w:asciiTheme="majorBidi" w:hAnsiTheme="majorBidi" w:cstheme="majorBidi"/>
        </w:rPr>
        <w:t>18</w:t>
      </w:r>
      <w:r w:rsidRPr="00D12246">
        <w:rPr>
          <w:rFonts w:ascii="宋体" w:hAnsi="宋体" w:cs="宋体" w:hint="eastAsia"/>
        </w:rPr>
        <w:t>日</w:t>
      </w:r>
      <w:r>
        <w:rPr>
          <w:rFonts w:ascii="宋体" w:hAnsi="宋体" w:cs="宋体" w:hint="eastAsia"/>
        </w:rPr>
        <w:t>，</w:t>
      </w:r>
      <w:r w:rsidRPr="00D12246">
        <w:rPr>
          <w:rFonts w:ascii="宋体" w:hAnsi="宋体" w:cs="宋体" w:hint="eastAsia"/>
        </w:rPr>
        <w:t>奥斯陆</w:t>
      </w:r>
      <w:r>
        <w:rPr>
          <w:rFonts w:asciiTheme="majorBidi" w:eastAsiaTheme="minorEastAsia" w:hAnsiTheme="majorBidi" w:cstheme="majorBidi" w:hint="eastAsia"/>
        </w:rPr>
        <w:t>)</w:t>
      </w:r>
      <w:r>
        <w:rPr>
          <w:rFonts w:ascii="宋体" w:hAnsi="宋体" w:cs="宋体" w:hint="eastAsia"/>
        </w:rPr>
        <w:t>，</w:t>
      </w:r>
      <w:r w:rsidRPr="00D12246">
        <w:rPr>
          <w:rFonts w:ascii="宋体" w:hAnsi="宋体" w:cs="宋体" w:hint="eastAsia"/>
        </w:rPr>
        <w:t>联合国</w:t>
      </w:r>
      <w:r>
        <w:rPr>
          <w:rFonts w:ascii="宋体" w:hAnsi="宋体" w:cs="宋体" w:hint="eastAsia"/>
        </w:rPr>
        <w:t>，</w:t>
      </w:r>
      <w:r w:rsidRPr="00D12246">
        <w:rPr>
          <w:rFonts w:ascii="宋体" w:hAnsi="宋体" w:cs="宋体" w:hint="eastAsia"/>
        </w:rPr>
        <w:t>《条约汇编》</w:t>
      </w:r>
      <w:r>
        <w:rPr>
          <w:rFonts w:ascii="宋体" w:hAnsi="宋体" w:cs="宋体" w:hint="eastAsia"/>
        </w:rPr>
        <w:t>，</w:t>
      </w:r>
      <w:r w:rsidRPr="00D12246">
        <w:rPr>
          <w:rFonts w:ascii="宋体" w:hAnsi="宋体" w:cs="宋体" w:hint="eastAsia"/>
        </w:rPr>
        <w:t>第</w:t>
      </w:r>
      <w:r>
        <w:rPr>
          <w:rFonts w:asciiTheme="majorBidi" w:hAnsiTheme="majorBidi" w:cstheme="majorBidi"/>
          <w:color w:val="000000"/>
        </w:rPr>
        <w:t>2056</w:t>
      </w:r>
      <w:r w:rsidRPr="00D12246">
        <w:rPr>
          <w:rFonts w:ascii="宋体" w:hAnsi="宋体" w:cs="宋体" w:hint="eastAsia"/>
        </w:rPr>
        <w:t>卷</w:t>
      </w:r>
      <w:r>
        <w:rPr>
          <w:rFonts w:ascii="宋体" w:hAnsi="宋体" w:cs="宋体" w:hint="eastAsia"/>
        </w:rPr>
        <w:t>，</w:t>
      </w:r>
      <w:r w:rsidRPr="00D12246">
        <w:rPr>
          <w:rFonts w:ascii="宋体" w:hAnsi="宋体" w:cs="宋体" w:hint="eastAsia"/>
        </w:rPr>
        <w:t>第</w:t>
      </w:r>
      <w:r>
        <w:rPr>
          <w:rFonts w:asciiTheme="majorBidi" w:hAnsiTheme="majorBidi" w:cstheme="majorBidi"/>
          <w:color w:val="000000"/>
        </w:rPr>
        <w:t>35597</w:t>
      </w:r>
      <w:r w:rsidRPr="00D12246">
        <w:rPr>
          <w:rFonts w:ascii="宋体" w:hAnsi="宋体" w:cs="宋体" w:hint="eastAsia"/>
        </w:rPr>
        <w:t>号</w:t>
      </w:r>
      <w:r>
        <w:rPr>
          <w:rFonts w:ascii="宋体" w:hAnsi="宋体" w:cs="宋体" w:hint="eastAsia"/>
        </w:rPr>
        <w:t>，</w:t>
      </w:r>
      <w:r w:rsidRPr="00D12246">
        <w:rPr>
          <w:rFonts w:ascii="宋体" w:hAnsi="宋体" w:cs="宋体" w:hint="eastAsia"/>
        </w:rPr>
        <w:t>第</w:t>
      </w:r>
      <w:r>
        <w:rPr>
          <w:rFonts w:asciiTheme="majorBidi" w:hAnsiTheme="majorBidi" w:cstheme="majorBidi"/>
        </w:rPr>
        <w:t>211</w:t>
      </w:r>
      <w:r w:rsidRPr="00D12246">
        <w:rPr>
          <w:rFonts w:ascii="宋体" w:hAnsi="宋体" w:cs="宋体" w:hint="eastAsia"/>
        </w:rPr>
        <w:t>页。</w:t>
      </w:r>
    </w:p>
  </w:footnote>
  <w:footnote w:id="1377">
    <w:p w:rsidR="00AB00DE" w:rsidRPr="00A54EAA" w:rsidRDefault="00AB00DE" w:rsidP="00396D56">
      <w:pPr>
        <w:pStyle w:val="a4"/>
        <w:spacing w:after="80"/>
        <w:rPr>
          <w:rFonts w:eastAsiaTheme="minorEastAsia"/>
        </w:rPr>
      </w:pPr>
      <w:r>
        <w:rPr>
          <w:rFonts w:asciiTheme="majorBidi" w:hAnsiTheme="majorBidi" w:cstheme="majorBidi" w:hint="eastAsia"/>
          <w:color w:val="000000"/>
        </w:rPr>
        <w:tab/>
      </w:r>
      <w:r w:rsidRPr="003D3D39">
        <w:rPr>
          <w:rStyle w:val="a5"/>
          <w:rFonts w:cstheme="majorBidi"/>
        </w:rPr>
        <w:footnoteRef/>
      </w:r>
      <w:r w:rsidRPr="00E64449">
        <w:rPr>
          <w:rStyle w:val="a5"/>
          <w:rFonts w:asciiTheme="majorBidi" w:hAnsiTheme="majorBidi" w:hint="eastAsia"/>
          <w:color w:val="000000" w:themeColor="text1"/>
        </w:rPr>
        <w:tab/>
      </w:r>
      <w:r>
        <w:rPr>
          <w:rFonts w:eastAsiaTheme="minorEastAsia" w:hint="eastAsia"/>
          <w:color w:val="000000" w:themeColor="text1"/>
        </w:rPr>
        <w:t>见</w:t>
      </w:r>
      <w:r>
        <w:rPr>
          <w:color w:val="000000" w:themeColor="text1"/>
        </w:rPr>
        <w:t>Henckaerts</w:t>
      </w:r>
      <w:r w:rsidRPr="005715FC">
        <w:rPr>
          <w:color w:val="000000" w:themeColor="text1"/>
        </w:rPr>
        <w:t xml:space="preserve"> </w:t>
      </w:r>
      <w:r>
        <w:rPr>
          <w:color w:val="000000" w:themeColor="text1"/>
        </w:rPr>
        <w:t>and</w:t>
      </w:r>
      <w:r w:rsidRPr="005715FC">
        <w:rPr>
          <w:color w:val="000000" w:themeColor="text1"/>
        </w:rPr>
        <w:t xml:space="preserve"> </w:t>
      </w:r>
      <w:r>
        <w:rPr>
          <w:color w:val="000000" w:themeColor="text1"/>
        </w:rPr>
        <w:t>Doswald</w:t>
      </w:r>
      <w:r w:rsidRPr="005715FC">
        <w:rPr>
          <w:color w:val="000000" w:themeColor="text1"/>
        </w:rPr>
        <w:t>-</w:t>
      </w:r>
      <w:r>
        <w:rPr>
          <w:color w:val="000000" w:themeColor="text1"/>
        </w:rPr>
        <w:t>Beck</w:t>
      </w:r>
      <w:r w:rsidRPr="005715FC">
        <w:rPr>
          <w:color w:val="000000" w:themeColor="text1"/>
        </w:rPr>
        <w:t xml:space="preserve">, </w:t>
      </w:r>
      <w:r>
        <w:rPr>
          <w:i/>
          <w:iCs/>
          <w:color w:val="000000" w:themeColor="text1"/>
        </w:rPr>
        <w:t>Customary</w:t>
      </w:r>
      <w:r w:rsidRPr="005715FC">
        <w:rPr>
          <w:i/>
          <w:iCs/>
          <w:color w:val="000000" w:themeColor="text1"/>
        </w:rPr>
        <w:t xml:space="preserve"> </w:t>
      </w:r>
      <w:r>
        <w:rPr>
          <w:i/>
          <w:iCs/>
          <w:color w:val="000000" w:themeColor="text1"/>
        </w:rPr>
        <w:t>International</w:t>
      </w:r>
      <w:r w:rsidRPr="005715FC">
        <w:rPr>
          <w:i/>
          <w:iCs/>
          <w:color w:val="000000" w:themeColor="text1"/>
        </w:rPr>
        <w:t xml:space="preserve"> </w:t>
      </w:r>
      <w:r>
        <w:rPr>
          <w:i/>
          <w:iCs/>
          <w:color w:val="000000" w:themeColor="text1"/>
        </w:rPr>
        <w:t>Humanitarian</w:t>
      </w:r>
      <w:r w:rsidRPr="005715FC">
        <w:rPr>
          <w:i/>
          <w:iCs/>
          <w:color w:val="000000" w:themeColor="text1"/>
        </w:rPr>
        <w:t xml:space="preserve"> </w:t>
      </w:r>
      <w:r>
        <w:rPr>
          <w:i/>
          <w:iCs/>
          <w:color w:val="000000" w:themeColor="text1"/>
        </w:rPr>
        <w:t>Law</w:t>
      </w:r>
      <w:r w:rsidRPr="00FD5B0C">
        <w:rPr>
          <w:i/>
          <w:iCs/>
          <w:color w:val="000000" w:themeColor="text1"/>
        </w:rPr>
        <w:t>…</w:t>
      </w:r>
      <w:r w:rsidRPr="005715FC">
        <w:rPr>
          <w:color w:val="000000" w:themeColor="text1"/>
        </w:rPr>
        <w:t>(</w:t>
      </w:r>
      <w:r>
        <w:rPr>
          <w:rFonts w:eastAsiaTheme="minorEastAsia" w:hint="eastAsia"/>
          <w:color w:val="000000" w:themeColor="text1"/>
        </w:rPr>
        <w:t>上文脚注</w:t>
      </w:r>
      <w:r w:rsidRPr="004847A4">
        <w:rPr>
          <w:color w:val="000000" w:themeColor="text1"/>
        </w:rPr>
        <w:fldChar w:fldCharType="begin"/>
      </w:r>
      <w:r w:rsidRPr="004847A4">
        <w:rPr>
          <w:color w:val="000000" w:themeColor="text1"/>
        </w:rPr>
        <w:instrText xml:space="preserve"> NOTEREF _Ref454970788 \h  \* MERGEFORMAT </w:instrText>
      </w:r>
      <w:r w:rsidRPr="004847A4">
        <w:rPr>
          <w:color w:val="000000" w:themeColor="text1"/>
        </w:rPr>
      </w:r>
      <w:r w:rsidRPr="004847A4">
        <w:rPr>
          <w:color w:val="000000" w:themeColor="text1"/>
        </w:rPr>
        <w:fldChar w:fldCharType="separate"/>
      </w:r>
      <w:r w:rsidR="00A73EB9">
        <w:rPr>
          <w:color w:val="000000" w:themeColor="text1"/>
        </w:rPr>
        <w:t>1331</w:t>
      </w:r>
      <w:r w:rsidRPr="004847A4">
        <w:rPr>
          <w:color w:val="000000" w:themeColor="text1"/>
        </w:rPr>
        <w:fldChar w:fldCharType="end"/>
      </w:r>
      <w:r w:rsidRPr="005715FC">
        <w:rPr>
          <w:color w:val="000000" w:themeColor="text1"/>
        </w:rPr>
        <w:t>)</w:t>
      </w:r>
      <w:r>
        <w:rPr>
          <w:rFonts w:eastAsiaTheme="minorEastAsia" w:hint="eastAsia"/>
          <w:color w:val="000000" w:themeColor="text1"/>
        </w:rPr>
        <w:t>，第</w:t>
      </w:r>
      <w:r>
        <w:rPr>
          <w:color w:val="000000" w:themeColor="text1"/>
        </w:rPr>
        <w:t>25</w:t>
      </w:r>
      <w:r>
        <w:rPr>
          <w:rFonts w:eastAsiaTheme="minorEastAsia" w:hint="eastAsia"/>
          <w:color w:val="000000" w:themeColor="text1"/>
        </w:rPr>
        <w:t>页。</w:t>
      </w:r>
    </w:p>
  </w:footnote>
  <w:footnote w:id="1378">
    <w:p w:rsidR="00AB00DE" w:rsidRPr="00D12246" w:rsidRDefault="00AB00DE" w:rsidP="00396D56">
      <w:pPr>
        <w:pStyle w:val="a4"/>
        <w:spacing w:after="80"/>
        <w:rPr>
          <w:rFonts w:asciiTheme="majorBidi" w:hAnsiTheme="majorBidi" w:cstheme="majorBidi"/>
        </w:rPr>
      </w:pPr>
      <w:r>
        <w:rPr>
          <w:rFonts w:hint="eastAsia"/>
        </w:rPr>
        <w:tab/>
      </w:r>
      <w:r w:rsidRPr="003D3D39">
        <w:rPr>
          <w:rStyle w:val="a5"/>
          <w:rFonts w:cstheme="majorBidi"/>
        </w:rPr>
        <w:footnoteRef/>
      </w:r>
      <w:r w:rsidRPr="00E64449">
        <w:rPr>
          <w:rStyle w:val="a5"/>
          <w:rFonts w:asciiTheme="majorBidi" w:hAnsiTheme="majorBidi" w:cstheme="majorBidi" w:hint="eastAsia"/>
          <w:color w:val="000000" w:themeColor="text1"/>
        </w:rPr>
        <w:tab/>
      </w:r>
      <w:r w:rsidRPr="00D12246">
        <w:rPr>
          <w:rFonts w:ascii="宋体" w:hAnsi="宋体" w:cs="宋体" w:hint="eastAsia"/>
        </w:rPr>
        <w:t>《</w:t>
      </w:r>
      <w:r>
        <w:rPr>
          <w:rFonts w:asciiTheme="majorBidi" w:eastAsiaTheme="minorEastAsia" w:hAnsiTheme="majorBidi" w:cstheme="majorBidi" w:hint="eastAsia"/>
        </w:rPr>
        <w:t>1949</w:t>
      </w:r>
      <w:r>
        <w:rPr>
          <w:rFonts w:asciiTheme="majorBidi" w:eastAsiaTheme="minorEastAsia" w:hAnsiTheme="majorBidi" w:cstheme="majorBidi" w:hint="eastAsia"/>
        </w:rPr>
        <w:t>年日内瓦四公约</w:t>
      </w:r>
      <w:r w:rsidRPr="00D12246">
        <w:rPr>
          <w:rFonts w:ascii="宋体" w:hAnsi="宋体" w:cs="宋体" w:hint="eastAsia"/>
        </w:rPr>
        <w:t>第一议定书》第五十一条</w:t>
      </w:r>
      <w:r>
        <w:rPr>
          <w:rFonts w:ascii="宋体" w:hAnsi="宋体" w:cs="宋体" w:hint="eastAsia"/>
        </w:rPr>
        <w:t>第五</w:t>
      </w:r>
      <w:r w:rsidRPr="00D12246">
        <w:rPr>
          <w:rFonts w:ascii="宋体" w:hAnsi="宋体" w:cs="宋体" w:hint="eastAsia"/>
        </w:rPr>
        <w:t>款</w:t>
      </w:r>
      <w:r>
        <w:rPr>
          <w:rFonts w:ascii="宋体" w:hAnsi="宋体" w:cs="宋体" w:hint="eastAsia"/>
        </w:rPr>
        <w:t>第二项</w:t>
      </w:r>
      <w:r w:rsidRPr="00D12246">
        <w:rPr>
          <w:rFonts w:ascii="宋体" w:hAnsi="宋体" w:cs="宋体" w:hint="eastAsia"/>
        </w:rPr>
        <w:t>。</w:t>
      </w:r>
      <w:r>
        <w:rPr>
          <w:rFonts w:asciiTheme="majorBidi" w:eastAsiaTheme="minorEastAsia" w:hAnsiTheme="majorBidi" w:cstheme="majorBidi" w:hint="eastAsia"/>
        </w:rPr>
        <w:t>另</w:t>
      </w:r>
      <w:r w:rsidRPr="00D12246">
        <w:rPr>
          <w:rFonts w:ascii="宋体" w:hAnsi="宋体" w:cs="宋体" w:hint="eastAsia"/>
        </w:rPr>
        <w:t>见</w:t>
      </w:r>
      <w:r>
        <w:rPr>
          <w:rFonts w:asciiTheme="majorBidi" w:hAnsiTheme="majorBidi" w:cstheme="majorBidi"/>
        </w:rPr>
        <w:t>Yoram</w:t>
      </w:r>
      <w:r w:rsidRPr="00D12246">
        <w:rPr>
          <w:rFonts w:asciiTheme="majorBidi" w:hAnsiTheme="majorBidi" w:cstheme="majorBidi"/>
        </w:rPr>
        <w:t xml:space="preserve"> </w:t>
      </w:r>
      <w:r>
        <w:rPr>
          <w:rFonts w:asciiTheme="majorBidi" w:hAnsiTheme="majorBidi" w:cstheme="majorBidi"/>
        </w:rPr>
        <w:t>Dinstein,</w:t>
      </w:r>
      <w:r>
        <w:rPr>
          <w:rFonts w:asciiTheme="majorBidi" w:hAnsiTheme="majorBidi" w:cstheme="majorBidi" w:hint="eastAsia"/>
        </w:rPr>
        <w:t>“</w:t>
      </w:r>
      <w:r>
        <w:rPr>
          <w:rFonts w:asciiTheme="majorBidi" w:hAnsiTheme="majorBidi" w:cstheme="majorBidi"/>
        </w:rPr>
        <w:t>Protection</w:t>
      </w:r>
      <w:r w:rsidRPr="00D12246">
        <w:rPr>
          <w:rFonts w:asciiTheme="majorBidi" w:hAnsiTheme="majorBidi" w:cstheme="majorBidi"/>
        </w:rPr>
        <w:t xml:space="preserve"> </w:t>
      </w:r>
      <w:r>
        <w:rPr>
          <w:rFonts w:asciiTheme="majorBidi" w:hAnsiTheme="majorBidi" w:cstheme="majorBidi"/>
        </w:rPr>
        <w:t>of</w:t>
      </w:r>
      <w:r w:rsidRPr="00D12246">
        <w:rPr>
          <w:rFonts w:asciiTheme="majorBidi" w:hAnsiTheme="majorBidi" w:cstheme="majorBidi"/>
        </w:rPr>
        <w:t xml:space="preserve"> </w:t>
      </w:r>
      <w:r>
        <w:rPr>
          <w:rFonts w:asciiTheme="majorBidi" w:hAnsiTheme="majorBidi" w:cstheme="majorBidi"/>
        </w:rPr>
        <w:t>the</w:t>
      </w:r>
      <w:r w:rsidRPr="00D12246">
        <w:rPr>
          <w:rFonts w:asciiTheme="majorBidi" w:hAnsiTheme="majorBidi" w:cstheme="majorBidi"/>
        </w:rPr>
        <w:t xml:space="preserve"> </w:t>
      </w:r>
      <w:r>
        <w:rPr>
          <w:rFonts w:asciiTheme="majorBidi" w:hAnsiTheme="majorBidi" w:cstheme="majorBidi"/>
        </w:rPr>
        <w:t>Environment</w:t>
      </w:r>
      <w:r w:rsidRPr="00D12246">
        <w:rPr>
          <w:rFonts w:asciiTheme="majorBidi" w:hAnsiTheme="majorBidi" w:cstheme="majorBidi"/>
        </w:rPr>
        <w:t xml:space="preserve"> </w:t>
      </w:r>
      <w:r>
        <w:rPr>
          <w:rFonts w:asciiTheme="majorBidi" w:hAnsiTheme="majorBidi" w:cstheme="majorBidi"/>
        </w:rPr>
        <w:t>in</w:t>
      </w:r>
      <w:r w:rsidRPr="00D12246">
        <w:rPr>
          <w:rFonts w:asciiTheme="majorBidi" w:hAnsiTheme="majorBidi" w:cstheme="majorBidi"/>
        </w:rPr>
        <w:t xml:space="preserve"> </w:t>
      </w:r>
      <w:r>
        <w:rPr>
          <w:rFonts w:asciiTheme="majorBidi" w:hAnsiTheme="majorBidi" w:cstheme="majorBidi"/>
        </w:rPr>
        <w:t>International</w:t>
      </w:r>
      <w:r w:rsidRPr="00D12246">
        <w:rPr>
          <w:rFonts w:asciiTheme="majorBidi" w:hAnsiTheme="majorBidi" w:cstheme="majorBidi"/>
        </w:rPr>
        <w:t xml:space="preserve"> </w:t>
      </w:r>
      <w:r>
        <w:rPr>
          <w:rFonts w:asciiTheme="majorBidi" w:hAnsiTheme="majorBidi" w:cstheme="majorBidi"/>
        </w:rPr>
        <w:t>Armed</w:t>
      </w:r>
      <w:r w:rsidRPr="00D12246">
        <w:rPr>
          <w:rFonts w:asciiTheme="majorBidi" w:hAnsiTheme="majorBidi" w:cstheme="majorBidi"/>
        </w:rPr>
        <w:t xml:space="preserve"> </w:t>
      </w:r>
      <w:r>
        <w:rPr>
          <w:rFonts w:asciiTheme="majorBidi" w:hAnsiTheme="majorBidi" w:cstheme="majorBidi"/>
        </w:rPr>
        <w:t>Conflict</w:t>
      </w:r>
      <w:r>
        <w:rPr>
          <w:rFonts w:asciiTheme="majorBidi" w:hAnsiTheme="majorBidi" w:cstheme="majorBidi" w:hint="eastAsia"/>
        </w:rPr>
        <w:t>”</w:t>
      </w:r>
      <w:r>
        <w:rPr>
          <w:rFonts w:asciiTheme="majorBidi" w:eastAsiaTheme="minorEastAsia" w:hAnsiTheme="majorBidi" w:cstheme="majorBidi" w:hint="eastAsia"/>
        </w:rPr>
        <w:t xml:space="preserve">, </w:t>
      </w:r>
      <w:r>
        <w:rPr>
          <w:i/>
          <w:iCs/>
          <w:color w:val="000000" w:themeColor="text1"/>
        </w:rPr>
        <w:t>Max</w:t>
      </w:r>
      <w:r w:rsidRPr="008A21A7">
        <w:rPr>
          <w:i/>
          <w:iCs/>
          <w:color w:val="000000" w:themeColor="text1"/>
        </w:rPr>
        <w:t xml:space="preserve"> </w:t>
      </w:r>
      <w:r>
        <w:rPr>
          <w:i/>
          <w:iCs/>
          <w:color w:val="000000" w:themeColor="text1"/>
        </w:rPr>
        <w:t>Planck</w:t>
      </w:r>
      <w:r w:rsidRPr="008A21A7">
        <w:rPr>
          <w:i/>
          <w:iCs/>
          <w:color w:val="000000" w:themeColor="text1"/>
        </w:rPr>
        <w:t xml:space="preserve"> </w:t>
      </w:r>
      <w:r>
        <w:rPr>
          <w:i/>
          <w:iCs/>
          <w:color w:val="000000" w:themeColor="text1"/>
        </w:rPr>
        <w:t>Yearbook</w:t>
      </w:r>
      <w:r w:rsidRPr="008A21A7">
        <w:rPr>
          <w:i/>
          <w:iCs/>
          <w:color w:val="000000" w:themeColor="text1"/>
        </w:rPr>
        <w:t xml:space="preserve"> </w:t>
      </w:r>
      <w:r>
        <w:rPr>
          <w:i/>
          <w:iCs/>
          <w:color w:val="000000" w:themeColor="text1"/>
        </w:rPr>
        <w:t>of</w:t>
      </w:r>
      <w:r w:rsidRPr="008A21A7">
        <w:rPr>
          <w:i/>
          <w:iCs/>
          <w:color w:val="000000" w:themeColor="text1"/>
        </w:rPr>
        <w:t xml:space="preserve"> </w:t>
      </w:r>
      <w:r>
        <w:rPr>
          <w:i/>
          <w:iCs/>
          <w:color w:val="000000" w:themeColor="text1"/>
        </w:rPr>
        <w:t>United</w:t>
      </w:r>
      <w:r w:rsidRPr="008A21A7">
        <w:rPr>
          <w:i/>
          <w:iCs/>
          <w:color w:val="000000" w:themeColor="text1"/>
        </w:rPr>
        <w:t xml:space="preserve"> </w:t>
      </w:r>
      <w:r>
        <w:rPr>
          <w:i/>
          <w:iCs/>
          <w:color w:val="000000" w:themeColor="text1"/>
        </w:rPr>
        <w:t>Nations</w:t>
      </w:r>
      <w:r w:rsidRPr="008A21A7">
        <w:rPr>
          <w:i/>
          <w:iCs/>
          <w:color w:val="000000" w:themeColor="text1"/>
        </w:rPr>
        <w:t xml:space="preserve"> </w:t>
      </w:r>
      <w:r>
        <w:rPr>
          <w:i/>
          <w:iCs/>
          <w:color w:val="000000" w:themeColor="text1"/>
        </w:rPr>
        <w:t>Law</w:t>
      </w:r>
      <w:r w:rsidRPr="005715FC">
        <w:rPr>
          <w:color w:val="000000" w:themeColor="text1"/>
        </w:rPr>
        <w:t>,</w:t>
      </w:r>
      <w:r>
        <w:rPr>
          <w:rFonts w:asciiTheme="majorBidi" w:hAnsiTheme="majorBidi" w:cstheme="majorBidi"/>
        </w:rPr>
        <w:t xml:space="preserve"> vol</w:t>
      </w:r>
      <w:r w:rsidRPr="00D12246">
        <w:rPr>
          <w:rFonts w:asciiTheme="majorBidi" w:hAnsiTheme="majorBidi" w:cstheme="majorBidi"/>
        </w:rPr>
        <w:t xml:space="preserve">. </w:t>
      </w:r>
      <w:r>
        <w:rPr>
          <w:rFonts w:asciiTheme="majorBidi" w:hAnsiTheme="majorBidi" w:cstheme="majorBidi"/>
        </w:rPr>
        <w:t>5(2001)</w:t>
      </w:r>
      <w:r>
        <w:rPr>
          <w:rFonts w:ascii="宋体" w:hAnsi="宋体" w:cs="宋体" w:hint="eastAsia"/>
        </w:rPr>
        <w:t>，</w:t>
      </w:r>
      <w:r>
        <w:rPr>
          <w:rFonts w:asciiTheme="majorBidi" w:hAnsiTheme="majorBidi" w:cstheme="majorBidi"/>
        </w:rPr>
        <w:t>p</w:t>
      </w:r>
      <w:r w:rsidRPr="00D12246">
        <w:rPr>
          <w:rFonts w:asciiTheme="majorBidi" w:hAnsiTheme="majorBidi" w:cstheme="majorBidi"/>
        </w:rPr>
        <w:t xml:space="preserve">. </w:t>
      </w:r>
      <w:r>
        <w:rPr>
          <w:rFonts w:asciiTheme="majorBidi" w:hAnsiTheme="majorBidi" w:cstheme="majorBidi"/>
        </w:rPr>
        <w:t>523,</w:t>
      </w:r>
      <w:r w:rsidRPr="00D12246">
        <w:rPr>
          <w:rFonts w:asciiTheme="majorBidi" w:hAnsiTheme="majorBidi" w:cstheme="majorBidi"/>
        </w:rPr>
        <w:t xml:space="preserve"> </w:t>
      </w:r>
      <w:r>
        <w:rPr>
          <w:rFonts w:asciiTheme="majorBidi" w:eastAsiaTheme="minorEastAsia" w:hAnsiTheme="majorBidi" w:cstheme="majorBidi" w:hint="eastAsia"/>
        </w:rPr>
        <w:t xml:space="preserve">at </w:t>
      </w:r>
      <w:r>
        <w:rPr>
          <w:rFonts w:asciiTheme="majorBidi" w:hAnsiTheme="majorBidi" w:cstheme="majorBidi"/>
        </w:rPr>
        <w:t>pp</w:t>
      </w:r>
      <w:r w:rsidRPr="00D12246">
        <w:rPr>
          <w:rFonts w:asciiTheme="majorBidi" w:hAnsiTheme="majorBidi" w:cstheme="majorBidi"/>
        </w:rPr>
        <w:t xml:space="preserve">. </w:t>
      </w:r>
      <w:r>
        <w:rPr>
          <w:rFonts w:asciiTheme="majorBidi" w:hAnsiTheme="majorBidi" w:cstheme="majorBidi"/>
          <w:iCs/>
        </w:rPr>
        <w:t>524</w:t>
      </w:r>
      <w:r w:rsidRPr="00D12246">
        <w:rPr>
          <w:rFonts w:asciiTheme="majorBidi" w:hAnsiTheme="majorBidi" w:cstheme="majorBidi"/>
          <w:iCs/>
        </w:rPr>
        <w:t>-</w:t>
      </w:r>
      <w:r>
        <w:rPr>
          <w:rFonts w:asciiTheme="majorBidi" w:hAnsiTheme="majorBidi" w:cstheme="majorBidi"/>
          <w:iCs/>
        </w:rPr>
        <w:t>525</w:t>
      </w:r>
      <w:r>
        <w:rPr>
          <w:rFonts w:asciiTheme="majorBidi" w:eastAsiaTheme="minorEastAsia" w:hAnsiTheme="majorBidi" w:cstheme="majorBidi" w:hint="eastAsia"/>
          <w:iCs/>
        </w:rPr>
        <w:t>。</w:t>
      </w:r>
      <w:r w:rsidRPr="00D12246">
        <w:rPr>
          <w:rFonts w:ascii="宋体" w:hAnsi="宋体" w:cs="宋体" w:hint="eastAsia"/>
        </w:rPr>
        <w:t>又见</w:t>
      </w:r>
      <w:r>
        <w:rPr>
          <w:rFonts w:asciiTheme="majorBidi" w:eastAsiaTheme="minorEastAsia" w:hAnsiTheme="majorBidi" w:cstheme="majorBidi" w:hint="eastAsia"/>
        </w:rPr>
        <w:t xml:space="preserve">L. </w:t>
      </w:r>
      <w:r w:rsidRPr="00D12246">
        <w:rPr>
          <w:rFonts w:ascii="宋体" w:hAnsi="宋体" w:cs="宋体" w:hint="eastAsia"/>
        </w:rPr>
        <w:t>多斯瓦尔德</w:t>
      </w:r>
      <w:r>
        <w:rPr>
          <w:rFonts w:ascii="宋体" w:hAnsi="宋体" w:cs="宋体" w:hint="eastAsia"/>
        </w:rPr>
        <w:t>－</w:t>
      </w:r>
      <w:r w:rsidRPr="00D12246">
        <w:rPr>
          <w:rFonts w:ascii="宋体" w:hAnsi="宋体" w:cs="宋体" w:hint="eastAsia"/>
        </w:rPr>
        <w:t>贝克</w:t>
      </w:r>
      <w:r>
        <w:rPr>
          <w:rFonts w:ascii="宋体" w:hAnsi="宋体" w:cs="宋体" w:hint="eastAsia"/>
        </w:rPr>
        <w:t>，</w:t>
      </w:r>
      <w:r>
        <w:rPr>
          <w:rFonts w:asciiTheme="majorBidi" w:hAnsiTheme="majorBidi" w:cstheme="majorBidi" w:hint="eastAsia"/>
        </w:rPr>
        <w:t>“</w:t>
      </w:r>
      <w:r w:rsidRPr="00D12246">
        <w:rPr>
          <w:rFonts w:ascii="宋体" w:hAnsi="宋体" w:cs="宋体" w:hint="eastAsia"/>
        </w:rPr>
        <w:t>国际人道主义法和国际法院关于以核武器进行威胁和使用核武器的咨询意见</w:t>
      </w:r>
      <w:r>
        <w:rPr>
          <w:rFonts w:asciiTheme="majorBidi" w:hAnsiTheme="majorBidi" w:cstheme="majorBidi" w:hint="eastAsia"/>
        </w:rPr>
        <w:t>”</w:t>
      </w:r>
      <w:r>
        <w:rPr>
          <w:rFonts w:asciiTheme="majorBidi" w:eastAsiaTheme="minorEastAsia" w:hAnsiTheme="majorBidi" w:cstheme="majorBidi" w:hint="eastAsia"/>
        </w:rPr>
        <w:t>，《</w:t>
      </w:r>
      <w:r w:rsidRPr="00D12246">
        <w:rPr>
          <w:rFonts w:ascii="宋体" w:hAnsi="宋体" w:cs="宋体" w:hint="eastAsia"/>
        </w:rPr>
        <w:t>红十字国际评论</w:t>
      </w:r>
      <w:r>
        <w:rPr>
          <w:rFonts w:asciiTheme="majorBidi" w:eastAsiaTheme="minorEastAsia" w:hAnsiTheme="majorBidi" w:cstheme="majorBidi" w:hint="eastAsia"/>
        </w:rPr>
        <w:t>》</w:t>
      </w:r>
      <w:r>
        <w:rPr>
          <w:rFonts w:ascii="宋体" w:hAnsi="宋体" w:cs="宋体" w:hint="eastAsia"/>
        </w:rPr>
        <w:t>，</w:t>
      </w:r>
      <w:r w:rsidRPr="00D12246">
        <w:rPr>
          <w:rFonts w:ascii="宋体" w:hAnsi="宋体" w:cs="宋体" w:hint="eastAsia"/>
        </w:rPr>
        <w:t>第</w:t>
      </w:r>
      <w:r>
        <w:rPr>
          <w:rFonts w:asciiTheme="majorBidi" w:hAnsiTheme="majorBidi" w:cstheme="majorBidi"/>
        </w:rPr>
        <w:t>37(1997)</w:t>
      </w:r>
      <w:r w:rsidRPr="00D12246">
        <w:rPr>
          <w:rFonts w:ascii="宋体" w:hAnsi="宋体" w:cs="宋体" w:hint="eastAsia"/>
        </w:rPr>
        <w:t>卷</w:t>
      </w:r>
      <w:r>
        <w:rPr>
          <w:rFonts w:ascii="宋体" w:hAnsi="宋体" w:cs="宋体" w:hint="eastAsia"/>
        </w:rPr>
        <w:t>，</w:t>
      </w:r>
      <w:r w:rsidRPr="00D12246">
        <w:rPr>
          <w:rFonts w:ascii="宋体" w:hAnsi="宋体" w:cs="宋体" w:hint="eastAsia"/>
        </w:rPr>
        <w:t>第</w:t>
      </w:r>
      <w:r>
        <w:rPr>
          <w:rFonts w:asciiTheme="majorBidi" w:hAnsiTheme="majorBidi" w:cstheme="majorBidi"/>
        </w:rPr>
        <w:t>52</w:t>
      </w:r>
      <w:r w:rsidRPr="00D12246">
        <w:rPr>
          <w:rFonts w:ascii="宋体" w:hAnsi="宋体" w:cs="宋体" w:hint="eastAsia"/>
        </w:rPr>
        <w:t>页。</w:t>
      </w:r>
    </w:p>
  </w:footnote>
  <w:footnote w:id="1379">
    <w:p w:rsidR="00AB00DE" w:rsidRPr="00D12246" w:rsidRDefault="00AB00DE" w:rsidP="004847A4">
      <w:pPr>
        <w:pStyle w:val="a4"/>
        <w:spacing w:after="80"/>
        <w:rPr>
          <w:rFonts w:asciiTheme="majorBidi" w:hAnsiTheme="majorBidi" w:cstheme="majorBidi"/>
        </w:rPr>
      </w:pPr>
      <w:r>
        <w:rPr>
          <w:rFonts w:asciiTheme="majorBidi" w:hAnsiTheme="majorBidi" w:cstheme="majorBidi" w:hint="eastAsia"/>
        </w:rPr>
        <w:tab/>
      </w:r>
      <w:r w:rsidRPr="003D3D39">
        <w:rPr>
          <w:rStyle w:val="a5"/>
          <w:rFonts w:cstheme="majorBidi"/>
        </w:rPr>
        <w:footnoteRef/>
      </w:r>
      <w:r>
        <w:rPr>
          <w:rFonts w:asciiTheme="majorBidi" w:hAnsiTheme="majorBidi" w:cstheme="majorBidi" w:hint="eastAsia"/>
        </w:rPr>
        <w:tab/>
      </w:r>
      <w:r>
        <w:rPr>
          <w:color w:val="000000" w:themeColor="text1"/>
        </w:rPr>
        <w:t>Schmitt</w:t>
      </w:r>
      <w:r w:rsidRPr="005715FC">
        <w:rPr>
          <w:color w:val="000000" w:themeColor="text1"/>
        </w:rPr>
        <w:t xml:space="preserve">, </w:t>
      </w:r>
      <w:r>
        <w:rPr>
          <w:rFonts w:hint="eastAsia"/>
          <w:color w:val="000000" w:themeColor="text1"/>
        </w:rPr>
        <w:t>“</w:t>
      </w:r>
      <w:r>
        <w:t>Military</w:t>
      </w:r>
      <w:r w:rsidRPr="005715FC">
        <w:t xml:space="preserve"> </w:t>
      </w:r>
      <w:r>
        <w:t>necessity</w:t>
      </w:r>
      <w:r w:rsidRPr="005715FC">
        <w:t xml:space="preserve"> </w:t>
      </w:r>
      <w:r>
        <w:t>and</w:t>
      </w:r>
      <w:r w:rsidRPr="005715FC">
        <w:t xml:space="preserve"> </w:t>
      </w:r>
      <w:r>
        <w:t>humanity</w:t>
      </w:r>
      <w:r w:rsidRPr="005715FC">
        <w:t> …</w:t>
      </w:r>
      <w:r>
        <w:rPr>
          <w:rFonts w:hint="eastAsia"/>
        </w:rPr>
        <w:t>”</w:t>
      </w:r>
      <w:r w:rsidRPr="005715FC">
        <w:t>(</w:t>
      </w:r>
      <w:r>
        <w:rPr>
          <w:rFonts w:eastAsiaTheme="minorEastAsia" w:hint="eastAsia"/>
        </w:rPr>
        <w:t>上文脚注</w:t>
      </w:r>
      <w:r>
        <w:rPr>
          <w:color w:val="000000" w:themeColor="text1"/>
        </w:rPr>
        <w:fldChar w:fldCharType="begin"/>
      </w:r>
      <w:r>
        <w:rPr>
          <w:rFonts w:eastAsiaTheme="minorEastAsia"/>
        </w:rPr>
        <w:instrText xml:space="preserve"> </w:instrText>
      </w:r>
      <w:r>
        <w:rPr>
          <w:rFonts w:eastAsiaTheme="minorEastAsia" w:hint="eastAsia"/>
        </w:rPr>
        <w:instrText>NOTEREF _Ref461885575 \h</w:instrText>
      </w:r>
      <w:r>
        <w:rPr>
          <w:rFonts w:eastAsiaTheme="minorEastAsia"/>
        </w:rPr>
        <w:instrText xml:space="preserve"> </w:instrText>
      </w:r>
      <w:r>
        <w:rPr>
          <w:color w:val="000000" w:themeColor="text1"/>
        </w:rPr>
      </w:r>
      <w:r>
        <w:rPr>
          <w:color w:val="000000" w:themeColor="text1"/>
        </w:rPr>
        <w:fldChar w:fldCharType="separate"/>
      </w:r>
      <w:r w:rsidR="00A73EB9">
        <w:rPr>
          <w:rFonts w:eastAsiaTheme="minorEastAsia"/>
        </w:rPr>
        <w:t>1374</w:t>
      </w:r>
      <w:r>
        <w:rPr>
          <w:color w:val="000000" w:themeColor="text1"/>
        </w:rPr>
        <w:fldChar w:fldCharType="end"/>
      </w:r>
      <w:r w:rsidRPr="005715FC">
        <w:rPr>
          <w:color w:val="000000" w:themeColor="text1"/>
        </w:rPr>
        <w:t>)</w:t>
      </w:r>
      <w:r>
        <w:rPr>
          <w:rFonts w:eastAsiaTheme="minorEastAsia" w:hint="eastAsia"/>
          <w:color w:val="000000" w:themeColor="text1"/>
        </w:rPr>
        <w:t>，</w:t>
      </w:r>
      <w:r w:rsidRPr="00D12246">
        <w:rPr>
          <w:rFonts w:ascii="宋体" w:hAnsi="宋体" w:cs="宋体" w:hint="eastAsia"/>
        </w:rPr>
        <w:t>第</w:t>
      </w:r>
      <w:r>
        <w:rPr>
          <w:rFonts w:asciiTheme="majorBidi" w:hAnsiTheme="majorBidi" w:cstheme="majorBidi"/>
        </w:rPr>
        <w:t>804</w:t>
      </w:r>
      <w:r w:rsidRPr="00D12246">
        <w:rPr>
          <w:rFonts w:ascii="宋体" w:hAnsi="宋体" w:cs="宋体" w:hint="eastAsia"/>
        </w:rPr>
        <w:t>页。</w:t>
      </w:r>
    </w:p>
  </w:footnote>
  <w:footnote w:id="1380">
    <w:p w:rsidR="00AB00DE" w:rsidRPr="00D12246" w:rsidRDefault="00AB00DE" w:rsidP="00396D56">
      <w:pPr>
        <w:pStyle w:val="a4"/>
        <w:spacing w:after="80"/>
        <w:rPr>
          <w:rFonts w:asciiTheme="majorBidi" w:hAnsiTheme="majorBidi" w:cstheme="majorBidi"/>
        </w:rPr>
      </w:pPr>
      <w:r>
        <w:rPr>
          <w:rFonts w:asciiTheme="majorBidi" w:hAnsiTheme="majorBidi" w:cstheme="majorBidi" w:hint="eastAsia"/>
        </w:rPr>
        <w:tab/>
      </w:r>
      <w:r w:rsidRPr="003D3D39">
        <w:rPr>
          <w:rStyle w:val="a5"/>
          <w:rFonts w:cstheme="majorBidi"/>
        </w:rPr>
        <w:footnoteRef/>
      </w:r>
      <w:r w:rsidRPr="00E64449">
        <w:rPr>
          <w:rStyle w:val="a5"/>
          <w:rFonts w:asciiTheme="majorBidi" w:hAnsiTheme="majorBidi" w:hint="eastAsia"/>
          <w:color w:val="000000" w:themeColor="text1"/>
        </w:rPr>
        <w:tab/>
      </w:r>
      <w:r w:rsidRPr="00D12246">
        <w:rPr>
          <w:rFonts w:ascii="宋体" w:hAnsi="宋体" w:cs="宋体" w:hint="eastAsia"/>
        </w:rPr>
        <w:t>《</w:t>
      </w:r>
      <w:r>
        <w:rPr>
          <w:rFonts w:asciiTheme="majorBidi" w:eastAsiaTheme="minorEastAsia" w:hAnsiTheme="majorBidi" w:cstheme="majorBidi" w:hint="eastAsia"/>
        </w:rPr>
        <w:t>1949</w:t>
      </w:r>
      <w:r>
        <w:rPr>
          <w:rFonts w:asciiTheme="majorBidi" w:eastAsiaTheme="minorEastAsia" w:hAnsiTheme="majorBidi" w:cstheme="majorBidi" w:hint="eastAsia"/>
        </w:rPr>
        <w:t>年日内瓦四公约</w:t>
      </w:r>
      <w:r w:rsidRPr="00D12246">
        <w:rPr>
          <w:rFonts w:ascii="宋体" w:hAnsi="宋体" w:cs="宋体" w:hint="eastAsia"/>
        </w:rPr>
        <w:t>第一</w:t>
      </w:r>
      <w:r w:rsidRPr="00066F00">
        <w:rPr>
          <w:rFonts w:ascii="宋体" w:hAnsi="宋体" w:cs="宋体" w:hint="eastAsia"/>
        </w:rPr>
        <w:t>议定书》第五十一</w:t>
      </w:r>
      <w:r w:rsidRPr="00066F00">
        <w:rPr>
          <w:rFonts w:asciiTheme="majorBidi" w:eastAsiaTheme="minorEastAsia" w:hAnsiTheme="majorBidi" w:cstheme="majorBidi" w:hint="eastAsia"/>
        </w:rPr>
        <w:t>条</w:t>
      </w:r>
      <w:r w:rsidRPr="00066F00">
        <w:rPr>
          <w:rFonts w:ascii="宋体" w:hAnsi="宋体" w:cs="宋体" w:hint="eastAsia"/>
        </w:rPr>
        <w:t>和</w:t>
      </w:r>
      <w:r w:rsidRPr="00066F00">
        <w:rPr>
          <w:rFonts w:asciiTheme="majorBidi" w:eastAsiaTheme="minorEastAsia" w:hAnsiTheme="majorBidi" w:cstheme="majorBidi" w:hint="eastAsia"/>
        </w:rPr>
        <w:t>《第二议定书》</w:t>
      </w:r>
      <w:r w:rsidRPr="00066F00">
        <w:rPr>
          <w:rFonts w:ascii="宋体" w:hAnsi="宋体" w:cs="宋体" w:hint="eastAsia"/>
        </w:rPr>
        <w:t>第五十七条、《特定常规武器公约经修</w:t>
      </w:r>
      <w:r w:rsidRPr="00066F00">
        <w:rPr>
          <w:rFonts w:asciiTheme="majorBidi" w:eastAsiaTheme="minorEastAsia" w:hAnsiTheme="majorBidi" w:cstheme="majorBidi" w:hint="eastAsia"/>
        </w:rPr>
        <w:t>正</w:t>
      </w:r>
      <w:r w:rsidRPr="00066F00">
        <w:rPr>
          <w:rFonts w:ascii="宋体" w:hAnsi="宋体" w:cs="宋体" w:hint="eastAsia"/>
        </w:rPr>
        <w:t>的第二号议定书》</w:t>
      </w:r>
      <w:r w:rsidRPr="00D12246">
        <w:rPr>
          <w:rFonts w:ascii="宋体" w:hAnsi="宋体" w:cs="宋体" w:hint="eastAsia"/>
        </w:rPr>
        <w:t>以及《国际刑事法院规约》第</w:t>
      </w:r>
      <w:r>
        <w:rPr>
          <w:rFonts w:asciiTheme="majorBidi" w:eastAsiaTheme="minorEastAsia" w:hAnsiTheme="majorBidi" w:cstheme="majorBidi" w:hint="eastAsia"/>
        </w:rPr>
        <w:t>8</w:t>
      </w:r>
      <w:r w:rsidRPr="00D12246">
        <w:rPr>
          <w:rFonts w:ascii="宋体" w:hAnsi="宋体" w:cs="宋体" w:hint="eastAsia"/>
        </w:rPr>
        <w:t>条第</w:t>
      </w:r>
      <w:r>
        <w:rPr>
          <w:rFonts w:asciiTheme="majorBidi" w:hAnsiTheme="majorBidi" w:cstheme="majorBidi"/>
        </w:rPr>
        <w:t>2</w:t>
      </w:r>
      <w:r>
        <w:rPr>
          <w:rFonts w:asciiTheme="majorBidi" w:eastAsiaTheme="minorEastAsia" w:hAnsiTheme="majorBidi" w:cstheme="majorBidi" w:hint="eastAsia"/>
        </w:rPr>
        <w:t>(b)(iv)</w:t>
      </w:r>
      <w:r w:rsidRPr="00D12246">
        <w:rPr>
          <w:rFonts w:ascii="宋体" w:hAnsi="宋体" w:cs="宋体" w:hint="eastAsia"/>
        </w:rPr>
        <w:t>款。</w:t>
      </w:r>
      <w:r>
        <w:rPr>
          <w:rFonts w:asciiTheme="majorBidi" w:eastAsiaTheme="minorEastAsia" w:hAnsiTheme="majorBidi" w:cstheme="majorBidi" w:hint="eastAsia"/>
        </w:rPr>
        <w:t>另</w:t>
      </w:r>
      <w:r w:rsidRPr="00D12246">
        <w:rPr>
          <w:rFonts w:ascii="宋体" w:hAnsi="宋体" w:cs="宋体" w:hint="eastAsia"/>
        </w:rPr>
        <w:t>见</w:t>
      </w:r>
      <w:r>
        <w:rPr>
          <w:rFonts w:asciiTheme="majorBidi" w:hAnsiTheme="majorBidi" w:cstheme="majorBidi" w:hint="eastAsia"/>
        </w:rPr>
        <w:t>“</w:t>
      </w:r>
      <w:r>
        <w:rPr>
          <w:rFonts w:asciiTheme="majorBidi" w:eastAsiaTheme="minorEastAsia" w:hAnsiTheme="majorBidi" w:cstheme="majorBidi" w:hint="eastAsia"/>
        </w:rPr>
        <w:t>以核武器进行威胁或使用核武器</w:t>
      </w:r>
      <w:r w:rsidRPr="00D12246">
        <w:rPr>
          <w:rFonts w:ascii="宋体" w:hAnsi="宋体" w:cs="宋体" w:hint="eastAsia"/>
        </w:rPr>
        <w:t>的</w:t>
      </w:r>
      <w:r>
        <w:rPr>
          <w:rFonts w:asciiTheme="majorBidi" w:eastAsiaTheme="minorEastAsia" w:hAnsiTheme="majorBidi" w:cstheme="majorBidi" w:hint="eastAsia"/>
        </w:rPr>
        <w:t>合法性</w:t>
      </w:r>
      <w:r>
        <w:rPr>
          <w:rFonts w:asciiTheme="majorBidi" w:hAnsiTheme="majorBidi" w:cstheme="majorBidi" w:hint="eastAsia"/>
        </w:rPr>
        <w:t>”</w:t>
      </w:r>
      <w:r>
        <w:rPr>
          <w:rFonts w:asciiTheme="majorBidi" w:eastAsiaTheme="minorEastAsia" w:hAnsiTheme="majorBidi" w:cstheme="majorBidi" w:hint="eastAsia"/>
        </w:rPr>
        <w:t>，</w:t>
      </w:r>
      <w:r w:rsidRPr="00D12246">
        <w:rPr>
          <w:rFonts w:ascii="宋体" w:hAnsi="宋体" w:cs="宋体" w:hint="eastAsia"/>
        </w:rPr>
        <w:t>咨询意见</w:t>
      </w:r>
      <w:r>
        <w:rPr>
          <w:rFonts w:asciiTheme="majorBidi" w:eastAsiaTheme="minorEastAsia" w:hAnsiTheme="majorBidi" w:cstheme="majorBidi" w:hint="eastAsia"/>
        </w:rPr>
        <w:t>，《</w:t>
      </w:r>
      <w:r>
        <w:rPr>
          <w:rFonts w:asciiTheme="majorBidi" w:eastAsiaTheme="minorEastAsia" w:hAnsiTheme="majorBidi" w:cstheme="majorBidi" w:hint="eastAsia"/>
        </w:rPr>
        <w:t>1996</w:t>
      </w:r>
      <w:r>
        <w:rPr>
          <w:rFonts w:asciiTheme="majorBidi" w:eastAsiaTheme="minorEastAsia" w:hAnsiTheme="majorBidi" w:cstheme="majorBidi" w:hint="eastAsia"/>
        </w:rPr>
        <w:t>年国际法院案例汇编》，第</w:t>
      </w:r>
      <w:r>
        <w:rPr>
          <w:rFonts w:asciiTheme="majorBidi" w:eastAsiaTheme="minorEastAsia" w:hAnsiTheme="majorBidi" w:cstheme="majorBidi" w:hint="eastAsia"/>
        </w:rPr>
        <w:t>296</w:t>
      </w:r>
      <w:r>
        <w:rPr>
          <w:rFonts w:asciiTheme="majorBidi" w:eastAsiaTheme="minorEastAsia" w:hAnsiTheme="majorBidi" w:cstheme="majorBidi" w:hint="eastAsia"/>
        </w:rPr>
        <w:t>页，</w:t>
      </w:r>
      <w:r w:rsidRPr="00D12246">
        <w:rPr>
          <w:rFonts w:ascii="宋体" w:hAnsi="宋体" w:cs="宋体" w:hint="eastAsia"/>
        </w:rPr>
        <w:t>第</w:t>
      </w:r>
      <w:r>
        <w:rPr>
          <w:rFonts w:asciiTheme="majorBidi" w:hAnsiTheme="majorBidi" w:cstheme="majorBidi"/>
        </w:rPr>
        <w:t>30</w:t>
      </w:r>
      <w:r w:rsidRPr="00D12246">
        <w:rPr>
          <w:rFonts w:ascii="宋体" w:hAnsi="宋体" w:cs="宋体" w:hint="eastAsia"/>
        </w:rPr>
        <w:t>段。</w:t>
      </w:r>
    </w:p>
  </w:footnote>
  <w:footnote w:id="1381">
    <w:p w:rsidR="00AB00DE" w:rsidRPr="00D12246" w:rsidRDefault="00AB00DE" w:rsidP="00A01826">
      <w:pPr>
        <w:pStyle w:val="a4"/>
        <w:spacing w:after="80"/>
        <w:rPr>
          <w:rFonts w:asciiTheme="majorBidi" w:hAnsiTheme="majorBidi" w:cstheme="majorBidi"/>
        </w:rPr>
      </w:pPr>
      <w:r>
        <w:rPr>
          <w:rFonts w:asciiTheme="majorBidi" w:hAnsiTheme="majorBidi" w:cstheme="majorBidi" w:hint="eastAsia"/>
        </w:rPr>
        <w:tab/>
      </w:r>
      <w:r w:rsidRPr="003D3D39">
        <w:rPr>
          <w:rStyle w:val="a5"/>
          <w:rFonts w:cstheme="majorBidi"/>
        </w:rPr>
        <w:footnoteRef/>
      </w:r>
      <w:r w:rsidRPr="00E64449">
        <w:rPr>
          <w:rStyle w:val="a5"/>
          <w:rFonts w:asciiTheme="majorBidi" w:hAnsiTheme="majorBidi" w:hint="eastAsia"/>
          <w:color w:val="000000" w:themeColor="text1"/>
        </w:rPr>
        <w:tab/>
      </w:r>
      <w:r>
        <w:rPr>
          <w:color w:val="000000" w:themeColor="text1"/>
        </w:rPr>
        <w:t>Henckaerts</w:t>
      </w:r>
      <w:r w:rsidRPr="005715FC">
        <w:rPr>
          <w:color w:val="000000" w:themeColor="text1"/>
        </w:rPr>
        <w:t xml:space="preserve"> </w:t>
      </w:r>
      <w:r>
        <w:rPr>
          <w:color w:val="000000" w:themeColor="text1"/>
        </w:rPr>
        <w:t>and</w:t>
      </w:r>
      <w:r w:rsidRPr="005715FC">
        <w:rPr>
          <w:color w:val="000000" w:themeColor="text1"/>
        </w:rPr>
        <w:t xml:space="preserve"> </w:t>
      </w:r>
      <w:r>
        <w:rPr>
          <w:color w:val="000000" w:themeColor="text1"/>
        </w:rPr>
        <w:t>Doswald</w:t>
      </w:r>
      <w:r w:rsidRPr="005715FC">
        <w:rPr>
          <w:color w:val="000000" w:themeColor="text1"/>
        </w:rPr>
        <w:t>-</w:t>
      </w:r>
      <w:r>
        <w:rPr>
          <w:color w:val="000000" w:themeColor="text1"/>
        </w:rPr>
        <w:t>Beck</w:t>
      </w:r>
      <w:r w:rsidRPr="005715FC">
        <w:rPr>
          <w:color w:val="000000" w:themeColor="text1"/>
        </w:rPr>
        <w:t xml:space="preserve">, </w:t>
      </w:r>
      <w:r>
        <w:rPr>
          <w:i/>
          <w:iCs/>
          <w:color w:val="000000" w:themeColor="text1"/>
        </w:rPr>
        <w:t>Customary</w:t>
      </w:r>
      <w:r w:rsidRPr="005715FC">
        <w:rPr>
          <w:i/>
          <w:iCs/>
          <w:color w:val="000000" w:themeColor="text1"/>
        </w:rPr>
        <w:t xml:space="preserve"> </w:t>
      </w:r>
      <w:r>
        <w:rPr>
          <w:i/>
          <w:iCs/>
          <w:color w:val="000000" w:themeColor="text1"/>
        </w:rPr>
        <w:t>International</w:t>
      </w:r>
      <w:r w:rsidRPr="005715FC">
        <w:rPr>
          <w:i/>
          <w:iCs/>
          <w:color w:val="000000" w:themeColor="text1"/>
        </w:rPr>
        <w:t xml:space="preserve"> </w:t>
      </w:r>
      <w:r>
        <w:rPr>
          <w:i/>
          <w:iCs/>
          <w:color w:val="000000" w:themeColor="text1"/>
        </w:rPr>
        <w:t>Humanitarian</w:t>
      </w:r>
      <w:r w:rsidRPr="005715FC">
        <w:rPr>
          <w:i/>
          <w:iCs/>
          <w:color w:val="000000" w:themeColor="text1"/>
        </w:rPr>
        <w:t xml:space="preserve"> </w:t>
      </w:r>
      <w:r>
        <w:rPr>
          <w:i/>
          <w:iCs/>
          <w:color w:val="000000" w:themeColor="text1"/>
        </w:rPr>
        <w:t>Law</w:t>
      </w:r>
      <w:r w:rsidRPr="005715FC">
        <w:rPr>
          <w:i/>
          <w:iCs/>
          <w:color w:val="000000" w:themeColor="text1"/>
        </w:rPr>
        <w:t> </w:t>
      </w:r>
      <w:r w:rsidRPr="00FD5B0C">
        <w:rPr>
          <w:i/>
          <w:iCs/>
          <w:color w:val="000000" w:themeColor="text1"/>
        </w:rPr>
        <w:t>…</w:t>
      </w:r>
      <w:r w:rsidRPr="005715FC">
        <w:rPr>
          <w:color w:val="000000" w:themeColor="text1"/>
        </w:rPr>
        <w:t>(</w:t>
      </w:r>
      <w:r>
        <w:rPr>
          <w:rFonts w:eastAsiaTheme="minorEastAsia" w:hint="eastAsia"/>
          <w:color w:val="000000" w:themeColor="text1"/>
        </w:rPr>
        <w:t>上文脚注</w:t>
      </w:r>
      <w:r w:rsidRPr="004847A4">
        <w:rPr>
          <w:color w:val="000000" w:themeColor="text1"/>
        </w:rPr>
        <w:fldChar w:fldCharType="begin"/>
      </w:r>
      <w:r w:rsidRPr="004847A4">
        <w:rPr>
          <w:color w:val="000000" w:themeColor="text1"/>
        </w:rPr>
        <w:instrText xml:space="preserve"> NOTEREF _Ref454970788 \h  \* MERGEFORMAT </w:instrText>
      </w:r>
      <w:r w:rsidRPr="004847A4">
        <w:rPr>
          <w:color w:val="000000" w:themeColor="text1"/>
        </w:rPr>
      </w:r>
      <w:r w:rsidRPr="004847A4">
        <w:rPr>
          <w:color w:val="000000" w:themeColor="text1"/>
        </w:rPr>
        <w:fldChar w:fldCharType="separate"/>
      </w:r>
      <w:r w:rsidR="00A73EB9">
        <w:rPr>
          <w:color w:val="000000" w:themeColor="text1"/>
        </w:rPr>
        <w:t>1331</w:t>
      </w:r>
      <w:r w:rsidRPr="004847A4">
        <w:rPr>
          <w:color w:val="000000" w:themeColor="text1"/>
        </w:rPr>
        <w:fldChar w:fldCharType="end"/>
      </w:r>
      <w:r w:rsidRPr="005715FC">
        <w:rPr>
          <w:color w:val="000000" w:themeColor="text1"/>
        </w:rPr>
        <w:t>)</w:t>
      </w:r>
      <w:r>
        <w:rPr>
          <w:rFonts w:eastAsiaTheme="minorEastAsia" w:hint="eastAsia"/>
          <w:color w:val="000000" w:themeColor="text1"/>
        </w:rPr>
        <w:t>，</w:t>
      </w:r>
      <w:r w:rsidRPr="00D12246">
        <w:rPr>
          <w:rFonts w:ascii="宋体" w:hAnsi="宋体" w:cs="宋体" w:hint="eastAsia"/>
        </w:rPr>
        <w:t>第</w:t>
      </w:r>
      <w:r>
        <w:rPr>
          <w:rFonts w:asciiTheme="majorBidi" w:hAnsiTheme="majorBidi" w:cstheme="majorBidi"/>
        </w:rPr>
        <w:t>46</w:t>
      </w:r>
      <w:r w:rsidRPr="00D12246">
        <w:rPr>
          <w:rFonts w:ascii="宋体" w:hAnsi="宋体" w:cs="宋体" w:hint="eastAsia"/>
        </w:rPr>
        <w:t>页。</w:t>
      </w:r>
    </w:p>
  </w:footnote>
  <w:footnote w:id="1382">
    <w:p w:rsidR="00AB00DE" w:rsidRPr="006F0B4B" w:rsidRDefault="00AB00DE" w:rsidP="00A01826">
      <w:pPr>
        <w:pStyle w:val="a4"/>
        <w:spacing w:after="80"/>
        <w:rPr>
          <w:rFonts w:asciiTheme="majorBidi" w:eastAsiaTheme="minorEastAsia" w:hAnsiTheme="majorBidi" w:cstheme="majorBidi"/>
        </w:rPr>
      </w:pPr>
      <w:r>
        <w:rPr>
          <w:rFonts w:asciiTheme="majorBidi" w:hAnsiTheme="majorBidi" w:cstheme="majorBidi" w:hint="eastAsia"/>
        </w:rPr>
        <w:tab/>
      </w:r>
      <w:r w:rsidRPr="003D3D39">
        <w:rPr>
          <w:rStyle w:val="a5"/>
          <w:rFonts w:cstheme="majorBidi"/>
        </w:rPr>
        <w:footnoteRef/>
      </w:r>
      <w:r>
        <w:rPr>
          <w:rFonts w:asciiTheme="majorBidi" w:hAnsiTheme="majorBidi" w:cstheme="majorBidi" w:hint="eastAsia"/>
        </w:rPr>
        <w:tab/>
      </w:r>
      <w:r>
        <w:rPr>
          <w:rFonts w:asciiTheme="majorBidi" w:eastAsiaTheme="minorEastAsia" w:hAnsiTheme="majorBidi" w:cstheme="majorBidi" w:hint="eastAsia"/>
        </w:rPr>
        <w:t>同上，</w:t>
      </w:r>
      <w:r w:rsidRPr="00D12246">
        <w:rPr>
          <w:rFonts w:ascii="宋体" w:hAnsi="宋体" w:cs="宋体" w:hint="eastAsia"/>
        </w:rPr>
        <w:t>第</w:t>
      </w:r>
      <w:r>
        <w:rPr>
          <w:rFonts w:asciiTheme="majorBidi" w:hAnsiTheme="majorBidi" w:cstheme="majorBidi"/>
        </w:rPr>
        <w:t>150</w:t>
      </w:r>
      <w:r w:rsidRPr="00D12246">
        <w:rPr>
          <w:rFonts w:ascii="宋体" w:hAnsi="宋体" w:cs="宋体" w:hint="eastAsia"/>
        </w:rPr>
        <w:t>页</w:t>
      </w:r>
      <w:r>
        <w:rPr>
          <w:rFonts w:ascii="宋体" w:hAnsi="宋体" w:cs="宋体" w:hint="eastAsia"/>
        </w:rPr>
        <w:t>；</w:t>
      </w:r>
      <w:r>
        <w:rPr>
          <w:rFonts w:asciiTheme="majorBidi" w:hAnsiTheme="majorBidi" w:cstheme="majorBidi"/>
        </w:rPr>
        <w:t>Droege</w:t>
      </w:r>
      <w:r w:rsidRPr="00D12246">
        <w:rPr>
          <w:rFonts w:asciiTheme="majorBidi" w:hAnsiTheme="majorBidi" w:cstheme="majorBidi"/>
        </w:rPr>
        <w:t xml:space="preserve"> </w:t>
      </w:r>
      <w:r>
        <w:rPr>
          <w:rFonts w:asciiTheme="majorBidi" w:hAnsiTheme="majorBidi" w:cstheme="majorBidi"/>
        </w:rPr>
        <w:t>and</w:t>
      </w:r>
      <w:r w:rsidRPr="00D12246">
        <w:rPr>
          <w:rFonts w:asciiTheme="majorBidi" w:hAnsiTheme="majorBidi" w:cstheme="majorBidi"/>
        </w:rPr>
        <w:t xml:space="preserve"> </w:t>
      </w:r>
      <w:r>
        <w:rPr>
          <w:rFonts w:asciiTheme="majorBidi" w:hAnsiTheme="majorBidi" w:cstheme="majorBidi"/>
        </w:rPr>
        <w:t>Tougas</w:t>
      </w:r>
      <w:r>
        <w:rPr>
          <w:rFonts w:asciiTheme="majorBidi" w:eastAsiaTheme="minorEastAsia" w:hAnsiTheme="majorBidi" w:cstheme="majorBidi" w:hint="eastAsia"/>
        </w:rPr>
        <w:t>，</w:t>
      </w:r>
      <w:r>
        <w:rPr>
          <w:rFonts w:hint="eastAsia"/>
          <w:color w:val="000000" w:themeColor="text1"/>
        </w:rPr>
        <w:t>“</w:t>
      </w:r>
      <w:r>
        <w:rPr>
          <w:color w:val="000000" w:themeColor="text1"/>
        </w:rPr>
        <w:t>The</w:t>
      </w:r>
      <w:r w:rsidRPr="005715FC">
        <w:rPr>
          <w:color w:val="000000" w:themeColor="text1"/>
        </w:rPr>
        <w:t xml:space="preserve"> </w:t>
      </w:r>
      <w:r>
        <w:rPr>
          <w:color w:val="000000" w:themeColor="text1"/>
        </w:rPr>
        <w:t>protection</w:t>
      </w:r>
      <w:r w:rsidRPr="005715FC">
        <w:rPr>
          <w:color w:val="000000" w:themeColor="text1"/>
        </w:rPr>
        <w:t xml:space="preserve"> </w:t>
      </w:r>
      <w:r>
        <w:rPr>
          <w:color w:val="000000" w:themeColor="text1"/>
        </w:rPr>
        <w:t>of</w:t>
      </w:r>
      <w:r w:rsidRPr="005715FC">
        <w:rPr>
          <w:color w:val="000000" w:themeColor="text1"/>
        </w:rPr>
        <w:t xml:space="preserve"> </w:t>
      </w:r>
      <w:r>
        <w:rPr>
          <w:color w:val="000000" w:themeColor="text1"/>
        </w:rPr>
        <w:t>the</w:t>
      </w:r>
      <w:r w:rsidRPr="005715FC">
        <w:rPr>
          <w:color w:val="000000" w:themeColor="text1"/>
        </w:rPr>
        <w:t xml:space="preserve"> </w:t>
      </w:r>
      <w:r>
        <w:rPr>
          <w:color w:val="000000" w:themeColor="text1"/>
        </w:rPr>
        <w:t>natural</w:t>
      </w:r>
      <w:r w:rsidRPr="005715FC">
        <w:rPr>
          <w:color w:val="000000" w:themeColor="text1"/>
        </w:rPr>
        <w:t xml:space="preserve"> </w:t>
      </w:r>
      <w:r>
        <w:rPr>
          <w:color w:val="000000" w:themeColor="text1"/>
        </w:rPr>
        <w:t>environment</w:t>
      </w:r>
      <w:r w:rsidRPr="005715FC">
        <w:rPr>
          <w:color w:val="000000" w:themeColor="text1"/>
        </w:rPr>
        <w:t xml:space="preserve"> </w:t>
      </w:r>
      <w:r>
        <w:rPr>
          <w:color w:val="000000" w:themeColor="text1"/>
        </w:rPr>
        <w:t>in</w:t>
      </w:r>
      <w:r w:rsidRPr="005715FC">
        <w:rPr>
          <w:color w:val="000000" w:themeColor="text1"/>
        </w:rPr>
        <w:t xml:space="preserve"> </w:t>
      </w:r>
      <w:r>
        <w:rPr>
          <w:color w:val="000000" w:themeColor="text1"/>
        </w:rPr>
        <w:t>armed</w:t>
      </w:r>
      <w:r w:rsidRPr="005715FC">
        <w:rPr>
          <w:color w:val="000000" w:themeColor="text1"/>
        </w:rPr>
        <w:t xml:space="preserve"> </w:t>
      </w:r>
      <w:r>
        <w:rPr>
          <w:color w:val="000000" w:themeColor="text1"/>
        </w:rPr>
        <w:t>conflict</w:t>
      </w:r>
      <w:r w:rsidRPr="005715FC">
        <w:rPr>
          <w:color w:val="000000" w:themeColor="text1"/>
        </w:rPr>
        <w:t> …</w:t>
      </w:r>
      <w:r>
        <w:rPr>
          <w:rFonts w:hint="eastAsia"/>
          <w:color w:val="000000" w:themeColor="text1"/>
        </w:rPr>
        <w:t>”</w:t>
      </w:r>
      <w:r w:rsidRPr="005715FC">
        <w:rPr>
          <w:color w:val="000000" w:themeColor="text1"/>
        </w:rPr>
        <w:t xml:space="preserve"> (</w:t>
      </w:r>
      <w:r>
        <w:rPr>
          <w:rFonts w:eastAsiaTheme="minorEastAsia" w:hint="eastAsia"/>
          <w:color w:val="000000" w:themeColor="text1"/>
        </w:rPr>
        <w:t>上文脚注</w:t>
      </w:r>
      <w:r>
        <w:rPr>
          <w:rFonts w:eastAsiaTheme="minorEastAsia"/>
          <w:color w:val="000000" w:themeColor="text1"/>
        </w:rPr>
        <w:fldChar w:fldCharType="begin"/>
      </w:r>
      <w:r>
        <w:rPr>
          <w:rFonts w:eastAsiaTheme="minorEastAsia"/>
          <w:color w:val="000000" w:themeColor="text1"/>
        </w:rPr>
        <w:instrText xml:space="preserve"> </w:instrText>
      </w:r>
      <w:r>
        <w:rPr>
          <w:rFonts w:eastAsiaTheme="minorEastAsia" w:hint="eastAsia"/>
          <w:color w:val="000000" w:themeColor="text1"/>
        </w:rPr>
        <w:instrText>NOTEREF _Ref461885507 \h</w:instrText>
      </w:r>
      <w:r>
        <w:rPr>
          <w:rFonts w:eastAsiaTheme="minorEastAsia"/>
          <w:color w:val="000000" w:themeColor="text1"/>
        </w:rPr>
        <w:instrText xml:space="preserve"> </w:instrText>
      </w:r>
      <w:r>
        <w:rPr>
          <w:rFonts w:eastAsiaTheme="minorEastAsia"/>
          <w:color w:val="000000" w:themeColor="text1"/>
        </w:rPr>
      </w:r>
      <w:r>
        <w:rPr>
          <w:rFonts w:eastAsiaTheme="minorEastAsia"/>
          <w:color w:val="000000" w:themeColor="text1"/>
        </w:rPr>
        <w:fldChar w:fldCharType="separate"/>
      </w:r>
      <w:r w:rsidR="00A73EB9">
        <w:rPr>
          <w:rFonts w:eastAsiaTheme="minorEastAsia"/>
          <w:color w:val="000000" w:themeColor="text1"/>
        </w:rPr>
        <w:t>1370</w:t>
      </w:r>
      <w:r>
        <w:rPr>
          <w:rFonts w:eastAsiaTheme="minorEastAsia"/>
          <w:color w:val="000000" w:themeColor="text1"/>
        </w:rPr>
        <w:fldChar w:fldCharType="end"/>
      </w:r>
      <w:r w:rsidRPr="005715FC">
        <w:rPr>
          <w:color w:val="000000" w:themeColor="text1"/>
        </w:rPr>
        <w:t>)</w:t>
      </w:r>
      <w:r>
        <w:rPr>
          <w:rFonts w:eastAsiaTheme="minorEastAsia" w:hint="eastAsia"/>
          <w:color w:val="000000" w:themeColor="text1"/>
        </w:rPr>
        <w:t>，</w:t>
      </w:r>
      <w:r w:rsidRPr="00D12246">
        <w:rPr>
          <w:rFonts w:ascii="宋体" w:hAnsi="宋体" w:cs="宋体" w:hint="eastAsia"/>
        </w:rPr>
        <w:t>第</w:t>
      </w:r>
      <w:r>
        <w:rPr>
          <w:rFonts w:asciiTheme="majorBidi" w:hAnsiTheme="majorBidi" w:cstheme="majorBidi"/>
        </w:rPr>
        <w:t>19</w:t>
      </w:r>
      <w:r w:rsidRPr="00D12246">
        <w:rPr>
          <w:rFonts w:ascii="宋体" w:hAnsi="宋体" w:cs="宋体" w:hint="eastAsia"/>
        </w:rPr>
        <w:t>页</w:t>
      </w:r>
      <w:r>
        <w:rPr>
          <w:rFonts w:ascii="宋体" w:hAnsi="宋体" w:cs="宋体" w:hint="eastAsia"/>
        </w:rPr>
        <w:t>，</w:t>
      </w:r>
      <w:r>
        <w:rPr>
          <w:rFonts w:asciiTheme="majorBidi" w:eastAsiaTheme="minorEastAsia" w:hAnsiTheme="majorBidi" w:cstheme="majorBidi" w:hint="eastAsia"/>
        </w:rPr>
        <w:t>另</w:t>
      </w:r>
      <w:r w:rsidRPr="00D12246">
        <w:rPr>
          <w:rFonts w:ascii="宋体" w:hAnsi="宋体" w:cs="宋体" w:hint="eastAsia"/>
        </w:rPr>
        <w:t>见</w:t>
      </w:r>
      <w:r>
        <w:rPr>
          <w:rFonts w:ascii="宋体" w:hAnsi="宋体" w:cs="宋体" w:hint="eastAsia"/>
        </w:rPr>
        <w:t>环境署，</w:t>
      </w:r>
      <w:r>
        <w:rPr>
          <w:rFonts w:asciiTheme="majorBidi" w:hAnsiTheme="majorBidi" w:cstheme="majorBidi" w:hint="eastAsia"/>
        </w:rPr>
        <w:t>“</w:t>
      </w:r>
      <w:r w:rsidRPr="00D12246">
        <w:rPr>
          <w:rFonts w:ascii="宋体" w:hAnsi="宋体" w:cs="宋体" w:hint="eastAsia"/>
        </w:rPr>
        <w:t>关于利比里亚环境的案头研究</w:t>
      </w:r>
      <w:r>
        <w:rPr>
          <w:rFonts w:asciiTheme="majorBidi" w:hAnsiTheme="majorBidi" w:cstheme="majorBidi" w:hint="eastAsia"/>
        </w:rPr>
        <w:t>”</w:t>
      </w:r>
      <w:r>
        <w:rPr>
          <w:rFonts w:asciiTheme="majorBidi" w:hAnsiTheme="majorBidi" w:cstheme="majorBidi"/>
        </w:rPr>
        <w:t>(</w:t>
      </w:r>
      <w:r>
        <w:rPr>
          <w:rFonts w:ascii="宋体" w:hAnsi="宋体" w:cs="宋体" w:hint="eastAsia"/>
        </w:rPr>
        <w:t>环境署，</w:t>
      </w:r>
      <w:r>
        <w:rPr>
          <w:rFonts w:asciiTheme="majorBidi" w:hAnsiTheme="majorBidi" w:cstheme="majorBidi"/>
        </w:rPr>
        <w:t>2004</w:t>
      </w:r>
      <w:r w:rsidRPr="00D12246">
        <w:rPr>
          <w:rFonts w:ascii="宋体" w:hAnsi="宋体" w:cs="宋体" w:hint="eastAsia"/>
        </w:rPr>
        <w:t>年</w:t>
      </w:r>
      <w:r>
        <w:rPr>
          <w:rFonts w:asciiTheme="majorBidi" w:hAnsiTheme="majorBidi" w:cstheme="majorBidi"/>
        </w:rPr>
        <w:t>)</w:t>
      </w:r>
      <w:r w:rsidRPr="00D12246">
        <w:rPr>
          <w:rFonts w:ascii="宋体" w:hAnsi="宋体" w:cs="宋体" w:hint="eastAsia"/>
        </w:rPr>
        <w:t>及</w:t>
      </w:r>
      <w:r>
        <w:rPr>
          <w:rFonts w:ascii="宋体" w:hAnsi="宋体" w:cs="宋体" w:hint="eastAsia"/>
        </w:rPr>
        <w:t>环境署，</w:t>
      </w:r>
      <w:r>
        <w:rPr>
          <w:rFonts w:asciiTheme="majorBidi" w:eastAsiaTheme="minorEastAsia" w:hAnsiTheme="majorBidi" w:cstheme="majorBidi" w:hint="eastAsia"/>
          <w:spacing w:val="-2"/>
        </w:rPr>
        <w:t>“</w:t>
      </w:r>
      <w:r w:rsidRPr="00822B58">
        <w:rPr>
          <w:rFonts w:asciiTheme="majorBidi" w:eastAsiaTheme="minorEastAsia" w:hAnsiTheme="majorBidi" w:cstheme="majorBidi"/>
          <w:spacing w:val="-2"/>
        </w:rPr>
        <w:t>利比里亚人口迁移的环境考虑</w:t>
      </w:r>
      <w:r>
        <w:rPr>
          <w:rFonts w:asciiTheme="majorBidi" w:eastAsiaTheme="minorEastAsia" w:hAnsiTheme="majorBidi" w:cstheme="majorBidi" w:hint="eastAsia"/>
          <w:spacing w:val="-2"/>
        </w:rPr>
        <w:t>……</w:t>
      </w:r>
      <w:r>
        <w:rPr>
          <w:rFonts w:asciiTheme="majorBidi" w:eastAsiaTheme="minorEastAsia" w:hAnsiTheme="majorBidi" w:cstheme="majorBidi" w:hint="eastAsia"/>
        </w:rPr>
        <w:t>”</w:t>
      </w:r>
      <w:r>
        <w:rPr>
          <w:rFonts w:asciiTheme="majorBidi" w:eastAsiaTheme="minorEastAsia" w:hAnsiTheme="majorBidi" w:cstheme="majorBidi" w:hint="eastAsia"/>
        </w:rPr>
        <w:t>(</w:t>
      </w:r>
      <w:r w:rsidRPr="00D12246">
        <w:rPr>
          <w:rFonts w:ascii="宋体" w:hAnsi="宋体" w:cs="宋体" w:hint="eastAsia"/>
        </w:rPr>
        <w:t>上文</w:t>
      </w:r>
      <w:r>
        <w:rPr>
          <w:rFonts w:asciiTheme="majorBidi" w:eastAsiaTheme="minorEastAsia" w:hAnsiTheme="majorBidi" w:cstheme="majorBidi" w:hint="eastAsia"/>
        </w:rPr>
        <w:t>脚</w:t>
      </w:r>
      <w:r w:rsidRPr="00D12246">
        <w:rPr>
          <w:rFonts w:ascii="宋体" w:hAnsi="宋体" w:cs="宋体" w:hint="eastAsia"/>
        </w:rPr>
        <w:t>注</w:t>
      </w:r>
      <w:r w:rsidRPr="000D22A0">
        <w:rPr>
          <w:color w:val="000000" w:themeColor="text1"/>
        </w:rPr>
        <w:fldChar w:fldCharType="begin"/>
      </w:r>
      <w:r w:rsidRPr="005715FC">
        <w:rPr>
          <w:color w:val="000000" w:themeColor="text1"/>
        </w:rPr>
        <w:instrText xml:space="preserve"> NOTEREF _Ref454973723 \h  \* MERGEFORMAT </w:instrText>
      </w:r>
      <w:r w:rsidRPr="000D22A0">
        <w:rPr>
          <w:color w:val="000000" w:themeColor="text1"/>
        </w:rPr>
      </w:r>
      <w:r w:rsidRPr="000D22A0">
        <w:rPr>
          <w:color w:val="000000" w:themeColor="text1"/>
        </w:rPr>
        <w:fldChar w:fldCharType="separate"/>
      </w:r>
      <w:r w:rsidR="00A73EB9">
        <w:rPr>
          <w:color w:val="000000" w:themeColor="text1"/>
        </w:rPr>
        <w:t>1373</w:t>
      </w:r>
      <w:r w:rsidRPr="000D22A0">
        <w:rPr>
          <w:color w:val="000000" w:themeColor="text1"/>
        </w:rPr>
        <w:fldChar w:fldCharType="end"/>
      </w:r>
      <w:r>
        <w:rPr>
          <w:rFonts w:asciiTheme="majorBidi" w:eastAsiaTheme="minorEastAsia" w:hAnsiTheme="majorBidi" w:cstheme="majorBidi" w:hint="eastAsia"/>
        </w:rPr>
        <w:t>)</w:t>
      </w:r>
      <w:r w:rsidRPr="00D12246">
        <w:rPr>
          <w:rFonts w:ascii="宋体" w:hAnsi="宋体" w:cs="宋体" w:hint="eastAsia"/>
        </w:rPr>
        <w:t>。</w:t>
      </w:r>
    </w:p>
  </w:footnote>
  <w:footnote w:id="1383">
    <w:p w:rsidR="00AB00DE" w:rsidRPr="00D12246" w:rsidRDefault="00AB00DE" w:rsidP="00A01826">
      <w:pPr>
        <w:pStyle w:val="a4"/>
        <w:spacing w:after="80"/>
        <w:rPr>
          <w:rFonts w:asciiTheme="majorBidi" w:hAnsiTheme="majorBidi" w:cstheme="majorBidi"/>
        </w:rPr>
      </w:pPr>
      <w:r>
        <w:rPr>
          <w:rFonts w:asciiTheme="majorBidi" w:hAnsiTheme="majorBidi" w:cstheme="majorBidi" w:hint="eastAsia"/>
        </w:rPr>
        <w:tab/>
      </w:r>
      <w:r w:rsidRPr="003D3D39">
        <w:rPr>
          <w:rStyle w:val="a5"/>
          <w:rFonts w:cstheme="majorBidi"/>
        </w:rPr>
        <w:footnoteRef/>
      </w:r>
      <w:r w:rsidRPr="00E64449">
        <w:rPr>
          <w:rStyle w:val="a5"/>
          <w:rFonts w:asciiTheme="majorBidi" w:hAnsiTheme="majorBidi" w:hint="eastAsia"/>
          <w:color w:val="000000" w:themeColor="text1"/>
        </w:rPr>
        <w:tab/>
      </w:r>
      <w:r>
        <w:rPr>
          <w:color w:val="000000" w:themeColor="text1"/>
        </w:rPr>
        <w:t>Henckaerts</w:t>
      </w:r>
      <w:r w:rsidRPr="005715FC">
        <w:rPr>
          <w:color w:val="000000" w:themeColor="text1"/>
        </w:rPr>
        <w:t xml:space="preserve"> </w:t>
      </w:r>
      <w:r>
        <w:rPr>
          <w:color w:val="000000" w:themeColor="text1"/>
        </w:rPr>
        <w:t>and</w:t>
      </w:r>
      <w:r w:rsidRPr="005715FC">
        <w:rPr>
          <w:color w:val="000000" w:themeColor="text1"/>
        </w:rPr>
        <w:t xml:space="preserve"> </w:t>
      </w:r>
      <w:r>
        <w:rPr>
          <w:color w:val="000000" w:themeColor="text1"/>
        </w:rPr>
        <w:t>Doswald</w:t>
      </w:r>
      <w:r w:rsidRPr="005715FC">
        <w:rPr>
          <w:color w:val="000000" w:themeColor="text1"/>
        </w:rPr>
        <w:t>-</w:t>
      </w:r>
      <w:r>
        <w:rPr>
          <w:color w:val="000000" w:themeColor="text1"/>
        </w:rPr>
        <w:t>Beck</w:t>
      </w:r>
      <w:r w:rsidRPr="005715FC">
        <w:rPr>
          <w:color w:val="000000" w:themeColor="text1"/>
        </w:rPr>
        <w:t xml:space="preserve">, </w:t>
      </w:r>
      <w:r>
        <w:rPr>
          <w:i/>
          <w:iCs/>
          <w:color w:val="000000" w:themeColor="text1"/>
        </w:rPr>
        <w:t>Customary</w:t>
      </w:r>
      <w:r w:rsidRPr="005715FC">
        <w:rPr>
          <w:i/>
          <w:iCs/>
          <w:color w:val="000000" w:themeColor="text1"/>
        </w:rPr>
        <w:t xml:space="preserve"> </w:t>
      </w:r>
      <w:r>
        <w:rPr>
          <w:i/>
          <w:iCs/>
          <w:color w:val="000000" w:themeColor="text1"/>
        </w:rPr>
        <w:t>International</w:t>
      </w:r>
      <w:r w:rsidRPr="005715FC">
        <w:rPr>
          <w:i/>
          <w:iCs/>
          <w:color w:val="000000" w:themeColor="text1"/>
        </w:rPr>
        <w:t xml:space="preserve"> </w:t>
      </w:r>
      <w:r>
        <w:rPr>
          <w:i/>
          <w:iCs/>
          <w:color w:val="000000" w:themeColor="text1"/>
        </w:rPr>
        <w:t>Humanitarian</w:t>
      </w:r>
      <w:r w:rsidRPr="005715FC">
        <w:rPr>
          <w:i/>
          <w:iCs/>
          <w:color w:val="000000" w:themeColor="text1"/>
        </w:rPr>
        <w:t xml:space="preserve"> </w:t>
      </w:r>
      <w:r>
        <w:rPr>
          <w:i/>
          <w:iCs/>
          <w:color w:val="000000" w:themeColor="text1"/>
        </w:rPr>
        <w:t>Law</w:t>
      </w:r>
      <w:r w:rsidRPr="005715FC">
        <w:rPr>
          <w:i/>
          <w:iCs/>
          <w:color w:val="000000" w:themeColor="text1"/>
        </w:rPr>
        <w:t> </w:t>
      </w:r>
      <w:r w:rsidRPr="00FD5B0C">
        <w:rPr>
          <w:i/>
          <w:iCs/>
          <w:color w:val="000000" w:themeColor="text1"/>
        </w:rPr>
        <w:t>…</w:t>
      </w:r>
      <w:r w:rsidRPr="005715FC">
        <w:rPr>
          <w:color w:val="000000" w:themeColor="text1"/>
        </w:rPr>
        <w:t>(</w:t>
      </w:r>
      <w:r>
        <w:rPr>
          <w:rFonts w:eastAsiaTheme="minorEastAsia" w:hint="eastAsia"/>
          <w:color w:val="000000" w:themeColor="text1"/>
        </w:rPr>
        <w:t>上文脚注</w:t>
      </w:r>
      <w:r w:rsidRPr="00334F8C">
        <w:rPr>
          <w:color w:val="000000" w:themeColor="text1"/>
        </w:rPr>
        <w:fldChar w:fldCharType="begin"/>
      </w:r>
      <w:r w:rsidRPr="00334F8C">
        <w:rPr>
          <w:color w:val="000000" w:themeColor="text1"/>
        </w:rPr>
        <w:instrText xml:space="preserve"> NOTEREF _Ref454970788 \h  \* MERGEFORMAT </w:instrText>
      </w:r>
      <w:r w:rsidRPr="00334F8C">
        <w:rPr>
          <w:color w:val="000000" w:themeColor="text1"/>
        </w:rPr>
      </w:r>
      <w:r w:rsidRPr="00334F8C">
        <w:rPr>
          <w:color w:val="000000" w:themeColor="text1"/>
        </w:rPr>
        <w:fldChar w:fldCharType="separate"/>
      </w:r>
      <w:r w:rsidR="00A73EB9">
        <w:rPr>
          <w:color w:val="000000" w:themeColor="text1"/>
        </w:rPr>
        <w:t>1331</w:t>
      </w:r>
      <w:r w:rsidRPr="00334F8C">
        <w:rPr>
          <w:color w:val="000000" w:themeColor="text1"/>
        </w:rPr>
        <w:fldChar w:fldCharType="end"/>
      </w:r>
      <w:r w:rsidRPr="005715FC">
        <w:rPr>
          <w:color w:val="000000" w:themeColor="text1"/>
        </w:rPr>
        <w:t>)</w:t>
      </w:r>
      <w:r>
        <w:rPr>
          <w:rFonts w:eastAsiaTheme="minorEastAsia" w:hint="eastAsia"/>
          <w:color w:val="000000" w:themeColor="text1"/>
        </w:rPr>
        <w:t>，规则</w:t>
      </w:r>
      <w:r>
        <w:rPr>
          <w:rFonts w:eastAsiaTheme="minorEastAsia" w:hint="eastAsia"/>
          <w:color w:val="000000" w:themeColor="text1"/>
        </w:rPr>
        <w:t>44</w:t>
      </w:r>
      <w:r>
        <w:rPr>
          <w:rFonts w:eastAsiaTheme="minorEastAsia" w:hint="eastAsia"/>
          <w:color w:val="000000" w:themeColor="text1"/>
        </w:rPr>
        <w:t>，</w:t>
      </w:r>
      <w:r w:rsidRPr="00D12246">
        <w:rPr>
          <w:rFonts w:ascii="宋体" w:hAnsi="宋体" w:cs="宋体" w:hint="eastAsia"/>
        </w:rPr>
        <w:t>第</w:t>
      </w:r>
      <w:r>
        <w:rPr>
          <w:rFonts w:asciiTheme="majorBidi" w:hAnsiTheme="majorBidi" w:cstheme="majorBidi"/>
        </w:rPr>
        <w:t>150</w:t>
      </w:r>
      <w:r w:rsidRPr="00D12246">
        <w:rPr>
          <w:rFonts w:ascii="宋体" w:hAnsi="宋体" w:cs="宋体" w:hint="eastAsia"/>
        </w:rPr>
        <w:t>页。</w:t>
      </w:r>
    </w:p>
  </w:footnote>
  <w:footnote w:id="1384">
    <w:p w:rsidR="00AB00DE" w:rsidRPr="00D12246" w:rsidRDefault="00AB00DE" w:rsidP="00A01826">
      <w:pPr>
        <w:pStyle w:val="a4"/>
        <w:spacing w:after="80"/>
        <w:rPr>
          <w:rFonts w:asciiTheme="majorBidi" w:hAnsiTheme="majorBidi" w:cstheme="majorBidi"/>
        </w:rPr>
      </w:pPr>
      <w:r>
        <w:rPr>
          <w:rStyle w:val="a5"/>
          <w:rFonts w:asciiTheme="majorBidi" w:eastAsiaTheme="minorEastAsia" w:hAnsiTheme="majorBidi" w:cstheme="majorBidi" w:hint="eastAsia"/>
        </w:rPr>
        <w:tab/>
      </w:r>
      <w:r w:rsidRPr="003D3D39">
        <w:rPr>
          <w:rStyle w:val="a5"/>
          <w:rFonts w:cstheme="majorBidi"/>
        </w:rPr>
        <w:footnoteRef/>
      </w:r>
      <w:r>
        <w:rPr>
          <w:rStyle w:val="a5"/>
          <w:rFonts w:asciiTheme="majorBidi" w:eastAsiaTheme="minorEastAsia" w:hAnsiTheme="majorBidi" w:cstheme="majorBidi" w:hint="eastAsia"/>
        </w:rPr>
        <w:tab/>
      </w:r>
      <w:r>
        <w:rPr>
          <w:rFonts w:asciiTheme="majorBidi" w:eastAsiaTheme="minorEastAsia" w:hAnsiTheme="majorBidi" w:cstheme="majorBidi" w:hint="eastAsia"/>
        </w:rPr>
        <w:t>另</w:t>
      </w:r>
      <w:r w:rsidRPr="00D12246">
        <w:rPr>
          <w:rFonts w:ascii="宋体" w:hAnsi="宋体" w:cs="宋体" w:hint="eastAsia"/>
        </w:rPr>
        <w:t>见</w:t>
      </w:r>
      <w:r>
        <w:rPr>
          <w:rFonts w:asciiTheme="majorBidi" w:hAnsiTheme="majorBidi" w:cstheme="majorBidi"/>
          <w:spacing w:val="-4"/>
        </w:rPr>
        <w:t>Dinstein</w:t>
      </w:r>
      <w:r>
        <w:rPr>
          <w:rFonts w:asciiTheme="majorBidi" w:eastAsiaTheme="minorEastAsia" w:hAnsiTheme="majorBidi" w:cstheme="majorBidi" w:hint="eastAsia"/>
          <w:spacing w:val="-4"/>
        </w:rPr>
        <w:t>，</w:t>
      </w:r>
      <w:r>
        <w:rPr>
          <w:rFonts w:hint="eastAsia"/>
        </w:rPr>
        <w:t>“</w:t>
      </w:r>
      <w:r>
        <w:rPr>
          <w:color w:val="000000" w:themeColor="text1"/>
        </w:rPr>
        <w:t>Protection</w:t>
      </w:r>
      <w:r w:rsidRPr="005715FC">
        <w:rPr>
          <w:color w:val="000000" w:themeColor="text1"/>
        </w:rPr>
        <w:t xml:space="preserve"> </w:t>
      </w:r>
      <w:r>
        <w:rPr>
          <w:color w:val="000000" w:themeColor="text1"/>
        </w:rPr>
        <w:t>of</w:t>
      </w:r>
      <w:r w:rsidRPr="005715FC">
        <w:rPr>
          <w:color w:val="000000" w:themeColor="text1"/>
        </w:rPr>
        <w:t xml:space="preserve"> </w:t>
      </w:r>
      <w:r>
        <w:rPr>
          <w:color w:val="000000" w:themeColor="text1"/>
        </w:rPr>
        <w:t>the</w:t>
      </w:r>
      <w:r w:rsidRPr="005715FC">
        <w:rPr>
          <w:color w:val="000000" w:themeColor="text1"/>
        </w:rPr>
        <w:t xml:space="preserve"> </w:t>
      </w:r>
      <w:r>
        <w:rPr>
          <w:color w:val="000000" w:themeColor="text1"/>
        </w:rPr>
        <w:t>environment</w:t>
      </w:r>
      <w:r w:rsidRPr="005715FC">
        <w:rPr>
          <w:color w:val="000000" w:themeColor="text1"/>
        </w:rPr>
        <w:t> …</w:t>
      </w:r>
      <w:r>
        <w:rPr>
          <w:rFonts w:hint="eastAsia"/>
          <w:color w:val="000000" w:themeColor="text1"/>
        </w:rPr>
        <w:t>”</w:t>
      </w:r>
      <w:r w:rsidRPr="005715FC">
        <w:rPr>
          <w:color w:val="000000" w:themeColor="text1"/>
        </w:rPr>
        <w:t xml:space="preserve"> (</w:t>
      </w:r>
      <w:r>
        <w:rPr>
          <w:rFonts w:eastAsiaTheme="minorEastAsia" w:hint="eastAsia"/>
          <w:color w:val="000000" w:themeColor="text1"/>
        </w:rPr>
        <w:t>上文脚注</w:t>
      </w:r>
      <w:r w:rsidRPr="000D22A0">
        <w:fldChar w:fldCharType="begin"/>
      </w:r>
      <w:r w:rsidRPr="005715FC">
        <w:instrText xml:space="preserve"> NOTEREF _Ref454973822 \h  \* MERGEFORMAT </w:instrText>
      </w:r>
      <w:r w:rsidRPr="000D22A0">
        <w:fldChar w:fldCharType="separate"/>
      </w:r>
      <w:r w:rsidR="00A73EB9">
        <w:t>1377</w:t>
      </w:r>
      <w:r w:rsidRPr="000D22A0">
        <w:fldChar w:fldCharType="end"/>
      </w:r>
      <w:r w:rsidRPr="005715FC">
        <w:t>)</w:t>
      </w:r>
      <w:r>
        <w:rPr>
          <w:rFonts w:eastAsiaTheme="minorEastAsia" w:hint="eastAsia"/>
        </w:rPr>
        <w:t>，第</w:t>
      </w:r>
      <w:r>
        <w:rPr>
          <w:iCs/>
        </w:rPr>
        <w:t>524</w:t>
      </w:r>
      <w:r w:rsidRPr="005715FC">
        <w:rPr>
          <w:iCs/>
        </w:rPr>
        <w:t>-</w:t>
      </w:r>
      <w:r>
        <w:rPr>
          <w:iCs/>
        </w:rPr>
        <w:t>525</w:t>
      </w:r>
      <w:r w:rsidRPr="00213A81">
        <w:t xml:space="preserve"> </w:t>
      </w:r>
      <w:r>
        <w:rPr>
          <w:rFonts w:eastAsiaTheme="minorEastAsia" w:hint="eastAsia"/>
        </w:rPr>
        <w:t>页；</w:t>
      </w:r>
      <w:r>
        <w:t>Doswald</w:t>
      </w:r>
      <w:r w:rsidRPr="005715FC">
        <w:t>-</w:t>
      </w:r>
      <w:r>
        <w:t>Beck</w:t>
      </w:r>
      <w:r w:rsidRPr="005715FC">
        <w:t>,</w:t>
      </w:r>
      <w:r w:rsidRPr="005715FC">
        <w:rPr>
          <w:i/>
        </w:rPr>
        <w:t xml:space="preserve"> </w:t>
      </w:r>
      <w:r>
        <w:rPr>
          <w:rFonts w:hint="eastAsia"/>
          <w:iCs/>
        </w:rPr>
        <w:t>“</w:t>
      </w:r>
      <w:r>
        <w:rPr>
          <w:color w:val="000000" w:themeColor="text1"/>
        </w:rPr>
        <w:t>International</w:t>
      </w:r>
      <w:r w:rsidRPr="005715FC">
        <w:rPr>
          <w:color w:val="000000" w:themeColor="text1"/>
        </w:rPr>
        <w:t xml:space="preserve"> </w:t>
      </w:r>
      <w:r>
        <w:rPr>
          <w:color w:val="000000" w:themeColor="text1"/>
        </w:rPr>
        <w:t>humanitarian</w:t>
      </w:r>
      <w:r w:rsidRPr="005715FC">
        <w:rPr>
          <w:color w:val="000000" w:themeColor="text1"/>
        </w:rPr>
        <w:t xml:space="preserve"> </w:t>
      </w:r>
      <w:r>
        <w:rPr>
          <w:color w:val="000000" w:themeColor="text1"/>
        </w:rPr>
        <w:t>law</w:t>
      </w:r>
      <w:r w:rsidRPr="005715FC">
        <w:rPr>
          <w:color w:val="000000" w:themeColor="text1"/>
        </w:rPr>
        <w:t xml:space="preserve"> </w:t>
      </w:r>
      <w:r>
        <w:rPr>
          <w:color w:val="000000" w:themeColor="text1"/>
        </w:rPr>
        <w:t>and</w:t>
      </w:r>
      <w:r w:rsidRPr="005715FC">
        <w:rPr>
          <w:color w:val="000000" w:themeColor="text1"/>
        </w:rPr>
        <w:t xml:space="preserve"> </w:t>
      </w:r>
      <w:r>
        <w:rPr>
          <w:color w:val="000000" w:themeColor="text1"/>
        </w:rPr>
        <w:t>the</w:t>
      </w:r>
      <w:r w:rsidRPr="005715FC">
        <w:rPr>
          <w:color w:val="000000" w:themeColor="text1"/>
        </w:rPr>
        <w:t xml:space="preserve"> </w:t>
      </w:r>
      <w:r>
        <w:rPr>
          <w:color w:val="000000" w:themeColor="text1"/>
        </w:rPr>
        <w:t>advisory</w:t>
      </w:r>
      <w:r w:rsidRPr="005715FC">
        <w:rPr>
          <w:color w:val="000000" w:themeColor="text1"/>
        </w:rPr>
        <w:t xml:space="preserve"> </w:t>
      </w:r>
      <w:r>
        <w:rPr>
          <w:color w:val="000000" w:themeColor="text1"/>
        </w:rPr>
        <w:t>opinion</w:t>
      </w:r>
      <w:r w:rsidRPr="005715FC">
        <w:rPr>
          <w:color w:val="000000" w:themeColor="text1"/>
        </w:rPr>
        <w:t xml:space="preserve"> </w:t>
      </w:r>
      <w:r>
        <w:rPr>
          <w:color w:val="000000" w:themeColor="text1"/>
        </w:rPr>
        <w:t>of</w:t>
      </w:r>
      <w:r w:rsidRPr="005715FC">
        <w:rPr>
          <w:color w:val="000000" w:themeColor="text1"/>
        </w:rPr>
        <w:t xml:space="preserve"> </w:t>
      </w:r>
      <w:r>
        <w:rPr>
          <w:color w:val="000000" w:themeColor="text1"/>
        </w:rPr>
        <w:t>the</w:t>
      </w:r>
      <w:r w:rsidRPr="005715FC">
        <w:rPr>
          <w:color w:val="000000" w:themeColor="text1"/>
        </w:rPr>
        <w:t xml:space="preserve"> </w:t>
      </w:r>
      <w:r>
        <w:rPr>
          <w:color w:val="000000" w:themeColor="text1"/>
        </w:rPr>
        <w:t>International Court of Justice …</w:t>
      </w:r>
      <w:r>
        <w:rPr>
          <w:rFonts w:hint="eastAsia"/>
          <w:color w:val="000000" w:themeColor="text1"/>
        </w:rPr>
        <w:t>”</w:t>
      </w:r>
      <w:r>
        <w:rPr>
          <w:color w:val="000000" w:themeColor="text1"/>
        </w:rPr>
        <w:t xml:space="preserve"> (</w:t>
      </w:r>
      <w:r>
        <w:rPr>
          <w:rFonts w:eastAsiaTheme="minorEastAsia" w:hint="eastAsia"/>
          <w:color w:val="000000" w:themeColor="text1"/>
        </w:rPr>
        <w:t>上文脚注</w:t>
      </w:r>
      <w:r w:rsidRPr="000D22A0">
        <w:fldChar w:fldCharType="begin"/>
      </w:r>
      <w:r w:rsidRPr="005715FC">
        <w:instrText xml:space="preserve"> NOTEREF _Ref454973822 \h  \* MERGEFORMAT </w:instrText>
      </w:r>
      <w:r w:rsidRPr="000D22A0">
        <w:fldChar w:fldCharType="separate"/>
      </w:r>
      <w:r w:rsidR="00A73EB9">
        <w:t>1377</w:t>
      </w:r>
      <w:r w:rsidRPr="000D22A0">
        <w:fldChar w:fldCharType="end"/>
      </w:r>
      <w:r w:rsidRPr="005715FC">
        <w:t>)</w:t>
      </w:r>
      <w:r>
        <w:rPr>
          <w:rFonts w:eastAsiaTheme="minorEastAsia" w:hint="eastAsia"/>
        </w:rPr>
        <w:t>；环境署，</w:t>
      </w:r>
      <w:r w:rsidRPr="00822B58">
        <w:rPr>
          <w:rFonts w:eastAsiaTheme="minorEastAsia"/>
          <w:color w:val="000000"/>
        </w:rPr>
        <w:t>《武装冲突中对于环境的保护</w:t>
      </w:r>
      <w:r>
        <w:rPr>
          <w:rFonts w:eastAsiaTheme="minorEastAsia" w:hint="eastAsia"/>
          <w:color w:val="000000"/>
        </w:rPr>
        <w:t>……</w:t>
      </w:r>
      <w:r w:rsidRPr="00822B58">
        <w:rPr>
          <w:rFonts w:eastAsiaTheme="minorEastAsia"/>
          <w:color w:val="000000"/>
        </w:rPr>
        <w:t>》</w:t>
      </w:r>
      <w:r>
        <w:rPr>
          <w:color w:val="000000" w:themeColor="text1"/>
        </w:rPr>
        <w:t>(</w:t>
      </w:r>
      <w:r>
        <w:rPr>
          <w:rFonts w:eastAsiaTheme="minorEastAsia" w:hint="eastAsia"/>
          <w:color w:val="000000" w:themeColor="text1"/>
        </w:rPr>
        <w:t>上文脚注</w:t>
      </w:r>
      <w:r>
        <w:rPr>
          <w:rFonts w:eastAsiaTheme="minorEastAsia"/>
        </w:rPr>
        <w:fldChar w:fldCharType="begin"/>
      </w:r>
      <w:r>
        <w:rPr>
          <w:rFonts w:eastAsiaTheme="minorEastAsia"/>
          <w:color w:val="000000" w:themeColor="text1"/>
        </w:rPr>
        <w:instrText xml:space="preserve"> </w:instrText>
      </w:r>
      <w:r>
        <w:rPr>
          <w:rFonts w:eastAsiaTheme="minorEastAsia" w:hint="eastAsia"/>
          <w:color w:val="000000" w:themeColor="text1"/>
        </w:rPr>
        <w:instrText>NOTEREF _Ref454971211 \h</w:instrText>
      </w:r>
      <w:r>
        <w:rPr>
          <w:rFonts w:eastAsiaTheme="minorEastAsia"/>
          <w:color w:val="000000" w:themeColor="text1"/>
        </w:rPr>
        <w:instrText xml:space="preserve"> </w:instrText>
      </w:r>
      <w:r>
        <w:rPr>
          <w:rFonts w:eastAsiaTheme="minorEastAsia"/>
        </w:rPr>
      </w:r>
      <w:r>
        <w:rPr>
          <w:rFonts w:eastAsiaTheme="minorEastAsia"/>
        </w:rPr>
        <w:fldChar w:fldCharType="separate"/>
      </w:r>
      <w:r w:rsidR="00A73EB9">
        <w:rPr>
          <w:rFonts w:eastAsiaTheme="minorEastAsia"/>
          <w:color w:val="000000" w:themeColor="text1"/>
        </w:rPr>
        <w:t>1364</w:t>
      </w:r>
      <w:r>
        <w:rPr>
          <w:rFonts w:eastAsiaTheme="minorEastAsia"/>
        </w:rPr>
        <w:fldChar w:fldCharType="end"/>
      </w:r>
      <w:r w:rsidRPr="005715FC">
        <w:t>)</w:t>
      </w:r>
      <w:r>
        <w:rPr>
          <w:rFonts w:eastAsiaTheme="minorEastAsia" w:hint="eastAsia"/>
        </w:rPr>
        <w:t>，</w:t>
      </w:r>
      <w:r w:rsidRPr="00822B58">
        <w:rPr>
          <w:rFonts w:eastAsiaTheme="minorEastAsia"/>
          <w:color w:val="000000"/>
        </w:rPr>
        <w:t>第</w:t>
      </w:r>
      <w:r>
        <w:rPr>
          <w:rFonts w:eastAsiaTheme="minorEastAsia"/>
          <w:color w:val="000000"/>
        </w:rPr>
        <w:t>1</w:t>
      </w:r>
      <w:r>
        <w:rPr>
          <w:rFonts w:eastAsiaTheme="minorEastAsia" w:hint="eastAsia"/>
          <w:color w:val="000000"/>
        </w:rPr>
        <w:t>3</w:t>
      </w:r>
      <w:r w:rsidRPr="00822B58">
        <w:rPr>
          <w:rFonts w:eastAsiaTheme="minorEastAsia"/>
          <w:color w:val="000000"/>
        </w:rPr>
        <w:t>页</w:t>
      </w:r>
      <w:r>
        <w:rPr>
          <w:rFonts w:eastAsiaTheme="minorEastAsia" w:hint="eastAsia"/>
        </w:rPr>
        <w:t>；</w:t>
      </w:r>
      <w:r>
        <w:t>Rayfuse</w:t>
      </w:r>
      <w:r w:rsidRPr="005715FC">
        <w:t xml:space="preserve">, </w:t>
      </w:r>
      <w:r>
        <w:t>introduction</w:t>
      </w:r>
      <w:r w:rsidRPr="005715FC">
        <w:t xml:space="preserve"> </w:t>
      </w:r>
      <w:r>
        <w:t>in</w:t>
      </w:r>
      <w:r w:rsidRPr="005715FC">
        <w:t xml:space="preserve"> </w:t>
      </w:r>
      <w:r>
        <w:rPr>
          <w:i/>
          <w:color w:val="000000" w:themeColor="text1"/>
        </w:rPr>
        <w:t>War</w:t>
      </w:r>
      <w:r w:rsidRPr="005715FC">
        <w:rPr>
          <w:i/>
          <w:color w:val="000000" w:themeColor="text1"/>
        </w:rPr>
        <w:t xml:space="preserve"> </w:t>
      </w:r>
      <w:r>
        <w:rPr>
          <w:i/>
          <w:color w:val="000000" w:themeColor="text1"/>
        </w:rPr>
        <w:t>and</w:t>
      </w:r>
      <w:r w:rsidRPr="005715FC">
        <w:rPr>
          <w:i/>
          <w:color w:val="000000" w:themeColor="text1"/>
        </w:rPr>
        <w:t xml:space="preserve"> </w:t>
      </w:r>
      <w:r>
        <w:rPr>
          <w:i/>
          <w:color w:val="000000" w:themeColor="text1"/>
        </w:rPr>
        <w:t>the</w:t>
      </w:r>
      <w:r w:rsidRPr="005715FC">
        <w:rPr>
          <w:i/>
          <w:color w:val="000000" w:themeColor="text1"/>
        </w:rPr>
        <w:t xml:space="preserve"> </w:t>
      </w:r>
      <w:r>
        <w:rPr>
          <w:i/>
          <w:color w:val="000000" w:themeColor="text1"/>
        </w:rPr>
        <w:t>Environment</w:t>
      </w:r>
      <w:r w:rsidRPr="005715FC">
        <w:rPr>
          <w:i/>
          <w:color w:val="000000" w:themeColor="text1"/>
        </w:rPr>
        <w:t> </w:t>
      </w:r>
      <w:r w:rsidRPr="00FD5B0C">
        <w:rPr>
          <w:i/>
          <w:iCs/>
          <w:color w:val="000000" w:themeColor="text1"/>
        </w:rPr>
        <w:t>…</w:t>
      </w:r>
      <w:r w:rsidRPr="005715FC">
        <w:rPr>
          <w:iCs/>
          <w:color w:val="000000" w:themeColor="text1"/>
        </w:rPr>
        <w:t>(</w:t>
      </w:r>
      <w:r>
        <w:rPr>
          <w:rFonts w:eastAsiaTheme="minorEastAsia" w:hint="eastAsia"/>
          <w:color w:val="000000" w:themeColor="text1"/>
        </w:rPr>
        <w:t>上文脚注</w:t>
      </w:r>
      <w:r>
        <w:rPr>
          <w:iCs/>
          <w:color w:val="000000" w:themeColor="text1"/>
        </w:rPr>
        <w:fldChar w:fldCharType="begin"/>
      </w:r>
      <w:r>
        <w:rPr>
          <w:rFonts w:eastAsiaTheme="minorEastAsia"/>
          <w:color w:val="000000" w:themeColor="text1"/>
        </w:rPr>
        <w:instrText xml:space="preserve"> </w:instrText>
      </w:r>
      <w:r>
        <w:rPr>
          <w:rFonts w:eastAsiaTheme="minorEastAsia" w:hint="eastAsia"/>
          <w:color w:val="000000" w:themeColor="text1"/>
        </w:rPr>
        <w:instrText>NOTEREF _Ref461885507 \h</w:instrText>
      </w:r>
      <w:r>
        <w:rPr>
          <w:rFonts w:eastAsiaTheme="minorEastAsia"/>
          <w:color w:val="000000" w:themeColor="text1"/>
        </w:rPr>
        <w:instrText xml:space="preserve"> </w:instrText>
      </w:r>
      <w:r>
        <w:rPr>
          <w:iCs/>
          <w:color w:val="000000" w:themeColor="text1"/>
        </w:rPr>
      </w:r>
      <w:r>
        <w:rPr>
          <w:iCs/>
          <w:color w:val="000000" w:themeColor="text1"/>
        </w:rPr>
        <w:fldChar w:fldCharType="separate"/>
      </w:r>
      <w:r w:rsidR="00A73EB9">
        <w:rPr>
          <w:rFonts w:eastAsiaTheme="minorEastAsia"/>
          <w:color w:val="000000" w:themeColor="text1"/>
        </w:rPr>
        <w:t>1370</w:t>
      </w:r>
      <w:r>
        <w:rPr>
          <w:iCs/>
          <w:color w:val="000000" w:themeColor="text1"/>
        </w:rPr>
        <w:fldChar w:fldCharType="end"/>
      </w:r>
      <w:r w:rsidRPr="005715FC">
        <w:rPr>
          <w:iCs/>
          <w:color w:val="000000" w:themeColor="text1"/>
        </w:rPr>
        <w:t>)</w:t>
      </w:r>
      <w:r>
        <w:rPr>
          <w:rFonts w:eastAsiaTheme="minorEastAsia" w:hint="eastAsia"/>
        </w:rPr>
        <w:t>，第</w:t>
      </w:r>
      <w:r>
        <w:t>6</w:t>
      </w:r>
      <w:r>
        <w:rPr>
          <w:rFonts w:eastAsiaTheme="minorEastAsia" w:hint="eastAsia"/>
        </w:rPr>
        <w:t>页；</w:t>
      </w:r>
      <w:r>
        <w:t>Droege</w:t>
      </w:r>
      <w:r w:rsidRPr="005715FC">
        <w:t xml:space="preserve"> </w:t>
      </w:r>
      <w:r>
        <w:t>and</w:t>
      </w:r>
      <w:r w:rsidRPr="005715FC">
        <w:t xml:space="preserve"> </w:t>
      </w:r>
      <w:r>
        <w:t>Tougas</w:t>
      </w:r>
      <w:r w:rsidRPr="005715FC">
        <w:t xml:space="preserve">, </w:t>
      </w:r>
      <w:r>
        <w:rPr>
          <w:rFonts w:hint="eastAsia"/>
        </w:rPr>
        <w:t>“</w:t>
      </w:r>
      <w:r>
        <w:t>The</w:t>
      </w:r>
      <w:r w:rsidRPr="005715FC">
        <w:t xml:space="preserve"> </w:t>
      </w:r>
      <w:r>
        <w:t>protection</w:t>
      </w:r>
      <w:r w:rsidRPr="005715FC">
        <w:t xml:space="preserve"> </w:t>
      </w:r>
      <w:r>
        <w:t>of</w:t>
      </w:r>
      <w:r w:rsidRPr="005715FC">
        <w:t xml:space="preserve"> </w:t>
      </w:r>
      <w:r>
        <w:t>the</w:t>
      </w:r>
      <w:r w:rsidRPr="005715FC">
        <w:t xml:space="preserve"> </w:t>
      </w:r>
      <w:r>
        <w:t>natural</w:t>
      </w:r>
      <w:r w:rsidRPr="005715FC">
        <w:t xml:space="preserve"> </w:t>
      </w:r>
      <w:r>
        <w:t>environment</w:t>
      </w:r>
      <w:r w:rsidRPr="005715FC">
        <w:t> …</w:t>
      </w:r>
      <w:r>
        <w:rPr>
          <w:rFonts w:hint="eastAsia"/>
        </w:rPr>
        <w:t>”</w:t>
      </w:r>
      <w:r w:rsidRPr="005715FC">
        <w:t xml:space="preserve"> (</w:t>
      </w:r>
      <w:r>
        <w:rPr>
          <w:rFonts w:eastAsiaTheme="minorEastAsia" w:hint="eastAsia"/>
          <w:color w:val="000000" w:themeColor="text1"/>
        </w:rPr>
        <w:t>上文脚注</w:t>
      </w:r>
      <w:r>
        <w:fldChar w:fldCharType="begin"/>
      </w:r>
      <w:r>
        <w:instrText xml:space="preserve"> </w:instrText>
      </w:r>
      <w:r>
        <w:rPr>
          <w:rFonts w:hint="eastAsia"/>
        </w:rPr>
        <w:instrText>NOTEREF _Ref461885507 \h</w:instrText>
      </w:r>
      <w:r>
        <w:instrText xml:space="preserve"> </w:instrText>
      </w:r>
      <w:r>
        <w:fldChar w:fldCharType="separate"/>
      </w:r>
      <w:r w:rsidR="00A73EB9">
        <w:t>1370</w:t>
      </w:r>
      <w:r>
        <w:fldChar w:fldCharType="end"/>
      </w:r>
      <w:r w:rsidRPr="005715FC">
        <w:t>)</w:t>
      </w:r>
      <w:r>
        <w:rPr>
          <w:rFonts w:eastAsiaTheme="minorEastAsia" w:hint="eastAsia"/>
        </w:rPr>
        <w:t>，第</w:t>
      </w:r>
      <w:r>
        <w:t>19</w:t>
      </w:r>
      <w:r w:rsidRPr="005715FC">
        <w:t>-</w:t>
      </w:r>
      <w:r>
        <w:t>23</w:t>
      </w:r>
      <w:r>
        <w:rPr>
          <w:rFonts w:eastAsiaTheme="minorEastAsia" w:hint="eastAsia"/>
        </w:rPr>
        <w:t>页。</w:t>
      </w:r>
    </w:p>
  </w:footnote>
  <w:footnote w:id="1385">
    <w:p w:rsidR="00AB00DE" w:rsidRPr="002F1545" w:rsidRDefault="00AB00DE" w:rsidP="00396D56">
      <w:pPr>
        <w:pStyle w:val="a4"/>
        <w:spacing w:after="80"/>
        <w:rPr>
          <w:rFonts w:asciiTheme="majorBidi" w:hAnsiTheme="majorBidi" w:cstheme="majorBidi"/>
          <w:lang w:val="es-ES"/>
        </w:rPr>
      </w:pPr>
      <w:r w:rsidRPr="00331E39">
        <w:rPr>
          <w:rStyle w:val="a5"/>
          <w:rFonts w:asciiTheme="majorBidi" w:eastAsiaTheme="minorEastAsia" w:hAnsiTheme="majorBidi" w:cstheme="majorBidi" w:hint="eastAsia"/>
        </w:rPr>
        <w:tab/>
      </w:r>
      <w:r w:rsidRPr="003D3D39">
        <w:rPr>
          <w:rStyle w:val="a5"/>
          <w:rFonts w:cstheme="majorBidi"/>
        </w:rPr>
        <w:footnoteRef/>
      </w:r>
      <w:r w:rsidRPr="00D12246">
        <w:rPr>
          <w:rStyle w:val="a5"/>
          <w:rFonts w:asciiTheme="majorBidi" w:eastAsiaTheme="minorEastAsia" w:hAnsiTheme="majorBidi" w:cstheme="majorBidi" w:hint="eastAsia"/>
          <w:lang w:val="es-ES"/>
        </w:rPr>
        <w:tab/>
      </w:r>
      <w:r w:rsidRPr="00D12246">
        <w:rPr>
          <w:rFonts w:ascii="宋体" w:hAnsi="宋体" w:cs="宋体" w:hint="eastAsia"/>
        </w:rPr>
        <w:t>前那斯拉夫问题国际刑事法庭</w:t>
      </w:r>
      <w:r>
        <w:rPr>
          <w:rFonts w:ascii="宋体" w:hAnsi="宋体" w:cs="宋体" w:hint="eastAsia"/>
          <w:lang w:val="es-ES"/>
        </w:rPr>
        <w:t>：</w:t>
      </w:r>
      <w:r w:rsidRPr="00D12246">
        <w:rPr>
          <w:rFonts w:ascii="宋体" w:hAnsi="宋体" w:cs="宋体" w:hint="eastAsia"/>
        </w:rPr>
        <w:t>检察官向为审查北约对南斯拉夫联盟共和国的轰炸而设立的委员会提交的最后报告</w:t>
      </w:r>
      <w:r>
        <w:rPr>
          <w:rFonts w:ascii="宋体" w:hAnsi="宋体" w:cs="宋体" w:hint="eastAsia"/>
          <w:lang w:val="es-ES"/>
        </w:rPr>
        <w:t>，</w:t>
      </w:r>
      <w:r>
        <w:rPr>
          <w:rFonts w:asciiTheme="majorBidi" w:eastAsiaTheme="minorEastAsia" w:hAnsiTheme="majorBidi" w:cstheme="majorBidi" w:hint="eastAsia"/>
          <w:lang w:val="es-ES"/>
        </w:rPr>
        <w:t>第</w:t>
      </w:r>
      <w:r>
        <w:rPr>
          <w:rFonts w:asciiTheme="majorBidi" w:eastAsiaTheme="minorEastAsia" w:hAnsiTheme="majorBidi" w:cstheme="majorBidi" w:hint="eastAsia"/>
          <w:lang w:val="es-ES"/>
        </w:rPr>
        <w:t>19</w:t>
      </w:r>
      <w:r>
        <w:rPr>
          <w:rFonts w:asciiTheme="majorBidi" w:eastAsiaTheme="minorEastAsia" w:hAnsiTheme="majorBidi" w:cstheme="majorBidi" w:hint="eastAsia"/>
          <w:lang w:val="es-ES"/>
        </w:rPr>
        <w:t>段。</w:t>
      </w:r>
      <w:r w:rsidRPr="00D12246">
        <w:rPr>
          <w:rFonts w:ascii="宋体" w:hAnsi="宋体" w:cs="宋体" w:hint="eastAsia"/>
        </w:rPr>
        <w:t>见</w:t>
      </w:r>
      <w:hyperlink r:id="rId329" w:history="1">
        <w:r w:rsidRPr="005715FC">
          <w:rPr>
            <w:rStyle w:val="af"/>
          </w:rPr>
          <w:t xml:space="preserve"> </w:t>
        </w:r>
        <w:r>
          <w:rPr>
            <w:rStyle w:val="af"/>
          </w:rPr>
          <w:t>http:</w:t>
        </w:r>
        <w:r w:rsidRPr="005715FC">
          <w:rPr>
            <w:rStyle w:val="af"/>
          </w:rPr>
          <w:t>//</w:t>
        </w:r>
        <w:r>
          <w:rPr>
            <w:rStyle w:val="af"/>
          </w:rPr>
          <w:t>www</w:t>
        </w:r>
        <w:r w:rsidRPr="005715FC">
          <w:rPr>
            <w:rStyle w:val="af"/>
          </w:rPr>
          <w:t>.</w:t>
        </w:r>
        <w:r>
          <w:rPr>
            <w:rStyle w:val="af"/>
          </w:rPr>
          <w:t>icty</w:t>
        </w:r>
        <w:r w:rsidRPr="005715FC">
          <w:rPr>
            <w:rStyle w:val="af"/>
          </w:rPr>
          <w:t>.</w:t>
        </w:r>
        <w:r>
          <w:rPr>
            <w:rStyle w:val="af"/>
          </w:rPr>
          <w:t>org</w:t>
        </w:r>
        <w:r w:rsidRPr="005715FC">
          <w:rPr>
            <w:rStyle w:val="af"/>
          </w:rPr>
          <w:t>/</w:t>
        </w:r>
        <w:r>
          <w:rPr>
            <w:rStyle w:val="af"/>
          </w:rPr>
          <w:t>x</w:t>
        </w:r>
        <w:r w:rsidRPr="005715FC">
          <w:rPr>
            <w:rStyle w:val="af"/>
          </w:rPr>
          <w:t>/</w:t>
        </w:r>
        <w:r>
          <w:rPr>
            <w:rStyle w:val="af"/>
          </w:rPr>
          <w:t>file</w:t>
        </w:r>
        <w:r w:rsidRPr="005715FC">
          <w:rPr>
            <w:rStyle w:val="af"/>
          </w:rPr>
          <w:t>/</w:t>
        </w:r>
        <w:r>
          <w:rPr>
            <w:rStyle w:val="af"/>
          </w:rPr>
          <w:t>Press</w:t>
        </w:r>
        <w:r w:rsidRPr="005715FC">
          <w:rPr>
            <w:rStyle w:val="af"/>
          </w:rPr>
          <w:t>/</w:t>
        </w:r>
        <w:r>
          <w:rPr>
            <w:rStyle w:val="af"/>
          </w:rPr>
          <w:t>nato061300</w:t>
        </w:r>
        <w:r w:rsidRPr="005715FC">
          <w:rPr>
            <w:rStyle w:val="af"/>
          </w:rPr>
          <w:t>.</w:t>
        </w:r>
        <w:r>
          <w:rPr>
            <w:rStyle w:val="af"/>
          </w:rPr>
          <w:t>pdf</w:t>
        </w:r>
      </w:hyperlink>
      <w:r>
        <w:rPr>
          <w:rStyle w:val="af"/>
          <w:rFonts w:eastAsiaTheme="minorEastAsia" w:hint="eastAsia"/>
        </w:rPr>
        <w:t>。另</w:t>
      </w:r>
      <w:r w:rsidRPr="00D525C7">
        <w:rPr>
          <w:rFonts w:ascii="宋体" w:hAnsi="宋体" w:cs="宋体" w:hint="eastAsia"/>
          <w:spacing w:val="-2"/>
        </w:rPr>
        <w:t>见</w:t>
      </w:r>
      <w:r>
        <w:rPr>
          <w:rFonts w:asciiTheme="majorBidi" w:hAnsiTheme="majorBidi" w:cstheme="majorBidi"/>
          <w:spacing w:val="-2"/>
          <w:lang w:val="es-ES"/>
        </w:rPr>
        <w:t>Dinstein</w:t>
      </w:r>
      <w:r>
        <w:rPr>
          <w:rFonts w:asciiTheme="majorBidi" w:eastAsiaTheme="minorEastAsia" w:hAnsiTheme="majorBidi" w:cstheme="majorBidi" w:hint="eastAsia"/>
          <w:spacing w:val="-2"/>
          <w:lang w:val="es-ES"/>
        </w:rPr>
        <w:t>，</w:t>
      </w:r>
      <w:r>
        <w:rPr>
          <w:color w:val="000000" w:themeColor="text1"/>
        </w:rPr>
        <w:t>Protection</w:t>
      </w:r>
      <w:r w:rsidRPr="005715FC">
        <w:rPr>
          <w:color w:val="000000" w:themeColor="text1"/>
        </w:rPr>
        <w:t xml:space="preserve"> </w:t>
      </w:r>
      <w:r>
        <w:rPr>
          <w:color w:val="000000" w:themeColor="text1"/>
        </w:rPr>
        <w:t>of</w:t>
      </w:r>
      <w:r w:rsidRPr="005715FC">
        <w:rPr>
          <w:color w:val="000000" w:themeColor="text1"/>
        </w:rPr>
        <w:t xml:space="preserve"> </w:t>
      </w:r>
      <w:r>
        <w:rPr>
          <w:color w:val="000000" w:themeColor="text1"/>
        </w:rPr>
        <w:t>the</w:t>
      </w:r>
      <w:r w:rsidRPr="005715FC">
        <w:rPr>
          <w:color w:val="000000" w:themeColor="text1"/>
        </w:rPr>
        <w:t xml:space="preserve"> </w:t>
      </w:r>
      <w:r>
        <w:rPr>
          <w:color w:val="000000" w:themeColor="text1"/>
        </w:rPr>
        <w:t>environment</w:t>
      </w:r>
      <w:r w:rsidRPr="005715FC">
        <w:rPr>
          <w:color w:val="000000" w:themeColor="text1"/>
        </w:rPr>
        <w:t> …</w:t>
      </w:r>
      <w:r>
        <w:rPr>
          <w:rFonts w:hint="eastAsia"/>
          <w:color w:val="000000" w:themeColor="text1"/>
        </w:rPr>
        <w:t>”</w:t>
      </w:r>
      <w:r w:rsidRPr="005715FC">
        <w:rPr>
          <w:color w:val="000000" w:themeColor="text1"/>
        </w:rPr>
        <w:t xml:space="preserve"> </w:t>
      </w:r>
      <w:r w:rsidRPr="005715FC">
        <w:rPr>
          <w:iCs/>
        </w:rPr>
        <w:t>(</w:t>
      </w:r>
      <w:r>
        <w:rPr>
          <w:rFonts w:eastAsiaTheme="minorEastAsia" w:hint="eastAsia"/>
          <w:color w:val="000000" w:themeColor="text1"/>
        </w:rPr>
        <w:t>上文脚注</w:t>
      </w:r>
      <w:r w:rsidRPr="000D22A0">
        <w:fldChar w:fldCharType="begin"/>
      </w:r>
      <w:r w:rsidRPr="005715FC">
        <w:instrText xml:space="preserve"> NOTEREF _Ref454973822 \h  \* MERGEFORMAT </w:instrText>
      </w:r>
      <w:r w:rsidRPr="000D22A0">
        <w:fldChar w:fldCharType="separate"/>
      </w:r>
      <w:r w:rsidR="00A73EB9">
        <w:t>1377</w:t>
      </w:r>
      <w:r w:rsidRPr="000D22A0">
        <w:fldChar w:fldCharType="end"/>
      </w:r>
      <w:r w:rsidRPr="005715FC">
        <w:t>)</w:t>
      </w:r>
      <w:r>
        <w:rPr>
          <w:rFonts w:eastAsiaTheme="minorEastAsia" w:hint="eastAsia"/>
        </w:rPr>
        <w:t>，</w:t>
      </w:r>
      <w:r w:rsidRPr="00D12246">
        <w:rPr>
          <w:rFonts w:ascii="宋体" w:hAnsi="宋体" w:cs="宋体" w:hint="eastAsia"/>
        </w:rPr>
        <w:t>第</w:t>
      </w:r>
      <w:r>
        <w:rPr>
          <w:rFonts w:asciiTheme="majorBidi" w:hAnsiTheme="majorBidi" w:cstheme="majorBidi"/>
          <w:iCs/>
          <w:lang w:val="es-ES"/>
        </w:rPr>
        <w:t>524</w:t>
      </w:r>
      <w:r w:rsidRPr="00D12246">
        <w:rPr>
          <w:rFonts w:ascii="宋体" w:hAnsi="宋体" w:cs="宋体" w:hint="eastAsia"/>
          <w:iCs/>
        </w:rPr>
        <w:t>和</w:t>
      </w:r>
      <w:r>
        <w:rPr>
          <w:rFonts w:asciiTheme="majorBidi" w:hAnsiTheme="majorBidi" w:cstheme="majorBidi"/>
          <w:iCs/>
          <w:lang w:val="es-ES"/>
        </w:rPr>
        <w:t>525</w:t>
      </w:r>
      <w:r w:rsidRPr="00D12246">
        <w:rPr>
          <w:rFonts w:ascii="宋体" w:hAnsi="宋体" w:cs="宋体" w:hint="eastAsia"/>
          <w:iCs/>
        </w:rPr>
        <w:t>页。</w:t>
      </w:r>
    </w:p>
  </w:footnote>
  <w:footnote w:id="1386">
    <w:p w:rsidR="00AB00DE" w:rsidRPr="00381B13" w:rsidRDefault="00AB00DE" w:rsidP="00396D56">
      <w:pPr>
        <w:pStyle w:val="a4"/>
        <w:spacing w:after="80"/>
        <w:rPr>
          <w:rFonts w:asciiTheme="majorBidi" w:eastAsiaTheme="minorEastAsia" w:hAnsiTheme="majorBidi" w:cstheme="majorBidi"/>
        </w:rPr>
      </w:pPr>
      <w:r w:rsidRPr="002F1545">
        <w:rPr>
          <w:rFonts w:hint="eastAsia"/>
          <w:lang w:val="es-ES"/>
        </w:rPr>
        <w:tab/>
      </w:r>
      <w:r w:rsidRPr="003D3D39">
        <w:rPr>
          <w:rStyle w:val="a5"/>
          <w:rFonts w:cstheme="majorBidi"/>
        </w:rPr>
        <w:footnoteRef/>
      </w:r>
      <w:r w:rsidRPr="00381B13">
        <w:rPr>
          <w:rFonts w:hint="eastAsia"/>
        </w:rPr>
        <w:tab/>
      </w:r>
      <w:r>
        <w:rPr>
          <w:color w:val="000000" w:themeColor="text1"/>
        </w:rPr>
        <w:t>M.</w:t>
      </w:r>
      <w:r w:rsidRPr="005715FC">
        <w:rPr>
          <w:color w:val="000000" w:themeColor="text1"/>
        </w:rPr>
        <w:t xml:space="preserve"> </w:t>
      </w:r>
      <w:r>
        <w:rPr>
          <w:color w:val="000000" w:themeColor="text1"/>
        </w:rPr>
        <w:t>Sassoli</w:t>
      </w:r>
      <w:r w:rsidRPr="005715FC">
        <w:rPr>
          <w:color w:val="000000" w:themeColor="text1"/>
        </w:rPr>
        <w:t xml:space="preserve">, </w:t>
      </w:r>
      <w:r>
        <w:rPr>
          <w:color w:val="000000" w:themeColor="text1"/>
        </w:rPr>
        <w:t>A.</w:t>
      </w:r>
      <w:r w:rsidRPr="005715FC">
        <w:rPr>
          <w:color w:val="000000" w:themeColor="text1"/>
        </w:rPr>
        <w:t xml:space="preserve"> </w:t>
      </w:r>
      <w:r>
        <w:rPr>
          <w:color w:val="000000" w:themeColor="text1"/>
        </w:rPr>
        <w:t>Bouvier</w:t>
      </w:r>
      <w:r w:rsidRPr="005715FC">
        <w:rPr>
          <w:color w:val="000000" w:themeColor="text1"/>
        </w:rPr>
        <w:t xml:space="preserve"> </w:t>
      </w:r>
      <w:r>
        <w:rPr>
          <w:color w:val="000000" w:themeColor="text1"/>
        </w:rPr>
        <w:t>and</w:t>
      </w:r>
      <w:r w:rsidRPr="005715FC">
        <w:rPr>
          <w:color w:val="000000" w:themeColor="text1"/>
        </w:rPr>
        <w:t xml:space="preserve"> </w:t>
      </w:r>
      <w:r>
        <w:rPr>
          <w:color w:val="000000" w:themeColor="text1"/>
        </w:rPr>
        <w:t>A.</w:t>
      </w:r>
      <w:r w:rsidRPr="005715FC">
        <w:rPr>
          <w:color w:val="000000" w:themeColor="text1"/>
        </w:rPr>
        <w:t xml:space="preserve"> </w:t>
      </w:r>
      <w:r>
        <w:rPr>
          <w:color w:val="000000" w:themeColor="text1"/>
        </w:rPr>
        <w:t>Quintin</w:t>
      </w:r>
      <w:r w:rsidRPr="005715FC">
        <w:rPr>
          <w:color w:val="000000" w:themeColor="text1"/>
        </w:rPr>
        <w:t xml:space="preserve">, </w:t>
      </w:r>
      <w:r>
        <w:rPr>
          <w:rFonts w:hint="eastAsia"/>
          <w:color w:val="000000" w:themeColor="text1"/>
        </w:rPr>
        <w:t>“</w:t>
      </w:r>
      <w:r>
        <w:rPr>
          <w:color w:val="000000" w:themeColor="text1"/>
        </w:rPr>
        <w:t>How</w:t>
      </w:r>
      <w:r w:rsidRPr="005715FC">
        <w:rPr>
          <w:color w:val="000000" w:themeColor="text1"/>
        </w:rPr>
        <w:t xml:space="preserve"> </w:t>
      </w:r>
      <w:r>
        <w:rPr>
          <w:color w:val="000000" w:themeColor="text1"/>
        </w:rPr>
        <w:t>does</w:t>
      </w:r>
      <w:r w:rsidRPr="005715FC">
        <w:rPr>
          <w:color w:val="000000" w:themeColor="text1"/>
        </w:rPr>
        <w:t xml:space="preserve"> </w:t>
      </w:r>
      <w:r>
        <w:rPr>
          <w:color w:val="000000" w:themeColor="text1"/>
        </w:rPr>
        <w:t>law</w:t>
      </w:r>
      <w:r w:rsidRPr="005715FC">
        <w:rPr>
          <w:color w:val="000000" w:themeColor="text1"/>
        </w:rPr>
        <w:t xml:space="preserve"> </w:t>
      </w:r>
      <w:r>
        <w:rPr>
          <w:color w:val="000000" w:themeColor="text1"/>
        </w:rPr>
        <w:t>protect</w:t>
      </w:r>
      <w:r w:rsidRPr="005715FC">
        <w:rPr>
          <w:color w:val="000000" w:themeColor="text1"/>
        </w:rPr>
        <w:t xml:space="preserve"> </w:t>
      </w:r>
      <w:r>
        <w:rPr>
          <w:color w:val="000000" w:themeColor="text1"/>
        </w:rPr>
        <w:t>in</w:t>
      </w:r>
      <w:r w:rsidRPr="005715FC">
        <w:rPr>
          <w:color w:val="000000" w:themeColor="text1"/>
        </w:rPr>
        <w:t xml:space="preserve"> </w:t>
      </w:r>
      <w:r>
        <w:rPr>
          <w:color w:val="000000" w:themeColor="text1"/>
        </w:rPr>
        <w:t>war:</w:t>
      </w:r>
      <w:r w:rsidRPr="005715FC">
        <w:rPr>
          <w:color w:val="000000" w:themeColor="text1"/>
        </w:rPr>
        <w:t xml:space="preserve"> </w:t>
      </w:r>
      <w:r>
        <w:rPr>
          <w:color w:val="000000" w:themeColor="text1"/>
        </w:rPr>
        <w:t>online</w:t>
      </w:r>
      <w:r w:rsidRPr="005715FC">
        <w:rPr>
          <w:color w:val="000000" w:themeColor="text1"/>
        </w:rPr>
        <w:t xml:space="preserve"> </w:t>
      </w:r>
      <w:r>
        <w:rPr>
          <w:color w:val="000000" w:themeColor="text1"/>
        </w:rPr>
        <w:t>glossary</w:t>
      </w:r>
      <w:r>
        <w:rPr>
          <w:rFonts w:hint="eastAsia"/>
          <w:color w:val="000000" w:themeColor="text1"/>
        </w:rPr>
        <w:t>”</w:t>
      </w:r>
      <w:r w:rsidRPr="005715FC">
        <w:rPr>
          <w:color w:val="000000" w:themeColor="text1"/>
        </w:rPr>
        <w:t xml:space="preserve">. </w:t>
      </w:r>
      <w:r>
        <w:rPr>
          <w:color w:val="000000" w:themeColor="text1"/>
        </w:rPr>
        <w:t>Available</w:t>
      </w:r>
      <w:r w:rsidRPr="005715FC">
        <w:rPr>
          <w:color w:val="000000" w:themeColor="text1"/>
        </w:rPr>
        <w:t xml:space="preserve"> </w:t>
      </w:r>
      <w:r>
        <w:rPr>
          <w:color w:val="000000" w:themeColor="text1"/>
        </w:rPr>
        <w:t>from</w:t>
      </w:r>
      <w:r w:rsidRPr="005715FC">
        <w:rPr>
          <w:color w:val="000000" w:themeColor="text1"/>
        </w:rPr>
        <w:t xml:space="preserve"> </w:t>
      </w:r>
      <w:hyperlink r:id="rId330" w:history="1">
        <w:r>
          <w:rPr>
            <w:rStyle w:val="af"/>
          </w:rPr>
          <w:t>www</w:t>
        </w:r>
        <w:r w:rsidRPr="008A21A7">
          <w:rPr>
            <w:rStyle w:val="af"/>
          </w:rPr>
          <w:t>.</w:t>
        </w:r>
        <w:r>
          <w:rPr>
            <w:rStyle w:val="af"/>
          </w:rPr>
          <w:t>icrc</w:t>
        </w:r>
        <w:r w:rsidRPr="008A21A7">
          <w:rPr>
            <w:rStyle w:val="af"/>
          </w:rPr>
          <w:t>.</w:t>
        </w:r>
        <w:r>
          <w:rPr>
            <w:rStyle w:val="af"/>
          </w:rPr>
          <w:t>org</w:t>
        </w:r>
        <w:r w:rsidRPr="008A21A7">
          <w:rPr>
            <w:rStyle w:val="af"/>
          </w:rPr>
          <w:t>/</w:t>
        </w:r>
        <w:r>
          <w:rPr>
            <w:rStyle w:val="af"/>
          </w:rPr>
          <w:t>casebook</w:t>
        </w:r>
        <w:r w:rsidRPr="008A21A7">
          <w:rPr>
            <w:rStyle w:val="af"/>
          </w:rPr>
          <w:t>/</w:t>
        </w:r>
        <w:r>
          <w:rPr>
            <w:rStyle w:val="af"/>
          </w:rPr>
          <w:t>doc</w:t>
        </w:r>
        <w:r w:rsidRPr="008A21A7">
          <w:rPr>
            <w:rStyle w:val="af"/>
          </w:rPr>
          <w:t>/</w:t>
        </w:r>
        <w:r>
          <w:rPr>
            <w:rStyle w:val="af"/>
          </w:rPr>
          <w:t>glossary</w:t>
        </w:r>
        <w:r w:rsidRPr="008A21A7">
          <w:rPr>
            <w:rStyle w:val="af"/>
          </w:rPr>
          <w:t>/</w:t>
        </w:r>
        <w:r>
          <w:rPr>
            <w:rStyle w:val="af"/>
          </w:rPr>
          <w:t>military</w:t>
        </w:r>
        <w:r w:rsidRPr="008A21A7">
          <w:rPr>
            <w:rStyle w:val="af"/>
          </w:rPr>
          <w:t>-</w:t>
        </w:r>
        <w:r>
          <w:rPr>
            <w:rStyle w:val="af"/>
          </w:rPr>
          <w:t>necessity</w:t>
        </w:r>
        <w:r w:rsidRPr="008A21A7">
          <w:rPr>
            <w:rStyle w:val="af"/>
          </w:rPr>
          <w:t>-</w:t>
        </w:r>
        <w:r>
          <w:rPr>
            <w:rStyle w:val="af"/>
          </w:rPr>
          <w:t>glossary</w:t>
        </w:r>
        <w:r w:rsidRPr="008A21A7">
          <w:rPr>
            <w:rStyle w:val="af"/>
          </w:rPr>
          <w:t>.</w:t>
        </w:r>
        <w:r>
          <w:rPr>
            <w:rStyle w:val="af"/>
          </w:rPr>
          <w:t>htm</w:t>
        </w:r>
      </w:hyperlink>
      <w:r w:rsidRPr="008A21A7">
        <w:rPr>
          <w:color w:val="000000" w:themeColor="text1"/>
        </w:rPr>
        <w:t xml:space="preserve"> (</w:t>
      </w:r>
      <w:r>
        <w:rPr>
          <w:color w:val="000000" w:themeColor="text1"/>
        </w:rPr>
        <w:t>2016</w:t>
      </w:r>
      <w:r>
        <w:rPr>
          <w:rFonts w:eastAsiaTheme="minorEastAsia" w:hint="eastAsia"/>
          <w:color w:val="000000" w:themeColor="text1"/>
        </w:rPr>
        <w:t>年</w:t>
      </w:r>
      <w:r>
        <w:rPr>
          <w:rFonts w:eastAsiaTheme="minorEastAsia" w:hint="eastAsia"/>
          <w:color w:val="000000" w:themeColor="text1"/>
        </w:rPr>
        <w:t>7</w:t>
      </w:r>
      <w:r>
        <w:rPr>
          <w:rFonts w:eastAsiaTheme="minorEastAsia" w:hint="eastAsia"/>
          <w:color w:val="000000" w:themeColor="text1"/>
        </w:rPr>
        <w:t>月</w:t>
      </w:r>
      <w:r>
        <w:rPr>
          <w:rFonts w:eastAsiaTheme="minorEastAsia" w:hint="eastAsia"/>
          <w:color w:val="000000" w:themeColor="text1"/>
        </w:rPr>
        <w:t>28</w:t>
      </w:r>
      <w:r>
        <w:rPr>
          <w:rFonts w:eastAsiaTheme="minorEastAsia" w:hint="eastAsia"/>
          <w:color w:val="000000" w:themeColor="text1"/>
        </w:rPr>
        <w:t>日检索</w:t>
      </w:r>
      <w:r w:rsidRPr="008A21A7">
        <w:rPr>
          <w:color w:val="000000" w:themeColor="text1"/>
        </w:rPr>
        <w:t>)</w:t>
      </w:r>
      <w:r>
        <w:rPr>
          <w:rFonts w:eastAsiaTheme="minorEastAsia" w:hint="eastAsia"/>
          <w:color w:val="000000" w:themeColor="text1"/>
        </w:rPr>
        <w:t>。</w:t>
      </w:r>
    </w:p>
  </w:footnote>
  <w:footnote w:id="1387">
    <w:p w:rsidR="00AB00DE" w:rsidRPr="00D8279F" w:rsidRDefault="00AB00DE" w:rsidP="00396D56">
      <w:pPr>
        <w:pStyle w:val="a4"/>
        <w:spacing w:after="80"/>
        <w:rPr>
          <w:rFonts w:asciiTheme="majorBidi" w:hAnsiTheme="majorBidi" w:cstheme="majorBidi"/>
        </w:rPr>
      </w:pPr>
      <w:r w:rsidRPr="00381B13">
        <w:rPr>
          <w:rFonts w:asciiTheme="majorBidi" w:hAnsiTheme="majorBidi" w:cstheme="majorBidi" w:hint="eastAsia"/>
        </w:rPr>
        <w:tab/>
      </w:r>
      <w:r w:rsidRPr="003D3D39">
        <w:rPr>
          <w:rStyle w:val="a5"/>
          <w:rFonts w:cstheme="majorBidi"/>
        </w:rPr>
        <w:footnoteRef/>
      </w:r>
      <w:r>
        <w:rPr>
          <w:rFonts w:asciiTheme="majorBidi" w:hAnsiTheme="majorBidi" w:cstheme="majorBidi" w:hint="eastAsia"/>
        </w:rPr>
        <w:tab/>
      </w:r>
      <w:r>
        <w:rPr>
          <w:rFonts w:ascii="宋体" w:hAnsi="宋体" w:cs="宋体" w:hint="eastAsia"/>
        </w:rPr>
        <w:t>《第一</w:t>
      </w:r>
      <w:r w:rsidRPr="00D8279F">
        <w:rPr>
          <w:rFonts w:ascii="宋体" w:hAnsi="宋体" w:cs="宋体" w:hint="eastAsia"/>
        </w:rPr>
        <w:t>议定书》第三十五条第三款。</w:t>
      </w:r>
    </w:p>
  </w:footnote>
  <w:footnote w:id="1388">
    <w:p w:rsidR="00AB00DE" w:rsidRPr="00D8279F" w:rsidRDefault="00AB00DE" w:rsidP="00396D56">
      <w:pPr>
        <w:pStyle w:val="a4"/>
        <w:spacing w:after="80"/>
        <w:rPr>
          <w:rFonts w:asciiTheme="majorBidi" w:hAnsiTheme="majorBidi" w:cstheme="majorBidi"/>
        </w:rPr>
      </w:pPr>
      <w:r>
        <w:rPr>
          <w:rFonts w:asciiTheme="majorBidi" w:hAnsiTheme="majorBidi" w:cstheme="majorBidi" w:hint="eastAsia"/>
        </w:rPr>
        <w:tab/>
      </w:r>
      <w:r w:rsidRPr="003D3D39">
        <w:rPr>
          <w:rStyle w:val="a5"/>
          <w:rFonts w:cstheme="majorBidi"/>
        </w:rPr>
        <w:footnoteRef/>
      </w:r>
      <w:r>
        <w:rPr>
          <w:rFonts w:asciiTheme="majorBidi" w:hAnsiTheme="majorBidi" w:cstheme="majorBidi" w:hint="eastAsia"/>
        </w:rPr>
        <w:tab/>
      </w:r>
      <w:r w:rsidRPr="00D8279F">
        <w:rPr>
          <w:rFonts w:ascii="宋体" w:hAnsi="宋体" w:cs="宋体" w:hint="eastAsia"/>
        </w:rPr>
        <w:t>同上</w:t>
      </w:r>
      <w:r>
        <w:rPr>
          <w:rFonts w:ascii="宋体" w:hAnsi="宋体" w:cs="宋体" w:hint="eastAsia"/>
        </w:rPr>
        <w:t>，</w:t>
      </w:r>
      <w:r w:rsidRPr="00D8279F">
        <w:rPr>
          <w:rFonts w:ascii="宋体" w:hAnsi="宋体" w:cs="宋体" w:hint="eastAsia"/>
        </w:rPr>
        <w:t>第五十一条第五款第</w:t>
      </w:r>
      <w:r>
        <w:rPr>
          <w:rFonts w:asciiTheme="majorBidi" w:hAnsiTheme="majorBidi" w:cstheme="majorBidi"/>
        </w:rPr>
        <w:t>(</w:t>
      </w:r>
      <w:r w:rsidRPr="00D8279F">
        <w:rPr>
          <w:rFonts w:ascii="宋体" w:hAnsi="宋体" w:cs="宋体" w:hint="eastAsia"/>
        </w:rPr>
        <w:t>二</w:t>
      </w:r>
      <w:r>
        <w:rPr>
          <w:rFonts w:asciiTheme="majorBidi" w:hAnsiTheme="majorBidi" w:cstheme="majorBidi"/>
        </w:rPr>
        <w:t>)</w:t>
      </w:r>
      <w:r w:rsidRPr="00D8279F">
        <w:rPr>
          <w:rFonts w:ascii="宋体" w:hAnsi="宋体" w:cs="宋体" w:hint="eastAsia"/>
        </w:rPr>
        <w:t>项。</w:t>
      </w:r>
    </w:p>
  </w:footnote>
  <w:footnote w:id="1389">
    <w:p w:rsidR="00AB00DE" w:rsidRPr="00D8279F" w:rsidRDefault="00AB00DE" w:rsidP="00396D56">
      <w:pPr>
        <w:pStyle w:val="a4"/>
        <w:spacing w:after="80"/>
      </w:pPr>
      <w:r>
        <w:rPr>
          <w:rFonts w:hint="eastAsia"/>
        </w:rPr>
        <w:tab/>
      </w:r>
      <w:r w:rsidRPr="003D3D39">
        <w:rPr>
          <w:rStyle w:val="a5"/>
          <w:rFonts w:cstheme="majorBidi"/>
        </w:rPr>
        <w:footnoteRef/>
      </w:r>
      <w:r>
        <w:rPr>
          <w:rFonts w:hint="eastAsia"/>
        </w:rPr>
        <w:tab/>
      </w:r>
      <w:r w:rsidRPr="00D8279F">
        <w:rPr>
          <w:rFonts w:ascii="宋体" w:hAnsi="宋体" w:cs="宋体" w:hint="eastAsia"/>
        </w:rPr>
        <w:t>攻击时采取预防措施的原则已写入</w:t>
      </w:r>
      <w:r>
        <w:t>1907</w:t>
      </w:r>
      <w:r w:rsidRPr="00D8279F">
        <w:rPr>
          <w:rFonts w:ascii="宋体" w:hAnsi="宋体" w:cs="宋体" w:hint="eastAsia"/>
        </w:rPr>
        <w:t>年《</w:t>
      </w:r>
      <w:r>
        <w:rPr>
          <w:rStyle w:val="preferred"/>
          <w:rFonts w:ascii="宋体" w:hAnsi="宋体" w:cs="宋体" w:hint="eastAsia"/>
        </w:rPr>
        <w:t>关于战时海军轰击</w:t>
      </w:r>
      <w:r>
        <w:rPr>
          <w:rStyle w:val="preferred"/>
          <w:rFonts w:eastAsiaTheme="minorEastAsia" w:hint="eastAsia"/>
        </w:rPr>
        <w:t>的</w:t>
      </w:r>
      <w:r w:rsidRPr="00D8279F">
        <w:rPr>
          <w:rFonts w:ascii="宋体" w:hAnsi="宋体" w:cs="宋体" w:hint="eastAsia"/>
        </w:rPr>
        <w:t>第九公约》</w:t>
      </w:r>
      <w:r>
        <w:rPr>
          <w:rFonts w:eastAsiaTheme="minorEastAsia" w:hint="eastAsia"/>
        </w:rPr>
        <w:t>(</w:t>
      </w:r>
      <w:r w:rsidRPr="00D8279F">
        <w:rPr>
          <w:rFonts w:ascii="宋体" w:hAnsi="宋体" w:cs="宋体" w:hint="eastAsia"/>
        </w:rPr>
        <w:t>海牙</w:t>
      </w:r>
      <w:r>
        <w:rPr>
          <w:rFonts w:eastAsiaTheme="minorEastAsia" w:hint="eastAsia"/>
        </w:rPr>
        <w:t>，</w:t>
      </w:r>
      <w:r>
        <w:t>1907</w:t>
      </w:r>
      <w:r w:rsidRPr="00D8279F">
        <w:rPr>
          <w:rFonts w:ascii="宋体" w:hAnsi="宋体" w:cs="宋体" w:hint="eastAsia"/>
        </w:rPr>
        <w:t>年</w:t>
      </w:r>
      <w:r>
        <w:t>10</w:t>
      </w:r>
      <w:r w:rsidRPr="00D8279F">
        <w:rPr>
          <w:rFonts w:ascii="宋体" w:hAnsi="宋体" w:cs="宋体" w:hint="eastAsia"/>
        </w:rPr>
        <w:t>月</w:t>
      </w:r>
      <w:r>
        <w:t>18</w:t>
      </w:r>
      <w:r w:rsidRPr="00D8279F">
        <w:rPr>
          <w:rFonts w:ascii="宋体" w:hAnsi="宋体" w:cs="宋体" w:hint="eastAsia"/>
        </w:rPr>
        <w:t>日</w:t>
      </w:r>
      <w:r>
        <w:rPr>
          <w:rFonts w:eastAsiaTheme="minorEastAsia" w:hint="eastAsia"/>
        </w:rPr>
        <w:t>)</w:t>
      </w:r>
      <w:r w:rsidRPr="00D8279F">
        <w:rPr>
          <w:rFonts w:ascii="宋体" w:hAnsi="宋体" w:cs="宋体" w:hint="eastAsia"/>
        </w:rPr>
        <w:t>第二条第三款、《</w:t>
      </w:r>
      <w:r>
        <w:rPr>
          <w:rFonts w:eastAsiaTheme="minorEastAsia" w:hint="eastAsia"/>
        </w:rPr>
        <w:t>1949</w:t>
      </w:r>
      <w:r>
        <w:rPr>
          <w:rFonts w:eastAsiaTheme="minorEastAsia" w:hint="eastAsia"/>
        </w:rPr>
        <w:t>年日内瓦四公约</w:t>
      </w:r>
      <w:r w:rsidRPr="00D8279F">
        <w:rPr>
          <w:rFonts w:ascii="宋体" w:hAnsi="宋体" w:cs="宋体" w:hint="eastAsia"/>
        </w:rPr>
        <w:t>第一议定书》第五十七条第一款</w:t>
      </w:r>
      <w:r>
        <w:rPr>
          <w:rFonts w:ascii="宋体" w:hAnsi="宋体" w:cs="宋体" w:hint="eastAsia"/>
        </w:rPr>
        <w:t>，以及《特定常规武器公约经修正</w:t>
      </w:r>
      <w:r w:rsidRPr="00D8279F">
        <w:rPr>
          <w:rFonts w:ascii="宋体" w:hAnsi="宋体" w:cs="宋体" w:hint="eastAsia"/>
        </w:rPr>
        <w:t>的第二号议定书》和《海牙保护文化财产公约第二议定书》。</w:t>
      </w:r>
    </w:p>
  </w:footnote>
  <w:footnote w:id="1390">
    <w:p w:rsidR="00AB00DE" w:rsidRPr="00D8279F" w:rsidRDefault="00AB00DE" w:rsidP="00A01826">
      <w:pPr>
        <w:pStyle w:val="a4"/>
        <w:spacing w:after="80"/>
      </w:pPr>
      <w:r>
        <w:rPr>
          <w:rFonts w:hint="eastAsia"/>
        </w:rPr>
        <w:tab/>
      </w:r>
      <w:r w:rsidRPr="003D3D39">
        <w:rPr>
          <w:rStyle w:val="a5"/>
          <w:rFonts w:cstheme="majorBidi"/>
        </w:rPr>
        <w:footnoteRef/>
      </w:r>
      <w:r w:rsidRPr="00E64449">
        <w:rPr>
          <w:rStyle w:val="a5"/>
          <w:rFonts w:asciiTheme="majorBidi" w:hAnsiTheme="majorBidi" w:cstheme="majorBidi" w:hint="eastAsia"/>
          <w:color w:val="000000" w:themeColor="text1"/>
        </w:rPr>
        <w:tab/>
      </w:r>
      <w:r>
        <w:rPr>
          <w:color w:val="000000" w:themeColor="text1"/>
        </w:rPr>
        <w:t>Henckaerts</w:t>
      </w:r>
      <w:r w:rsidRPr="005715FC">
        <w:rPr>
          <w:color w:val="000000" w:themeColor="text1"/>
        </w:rPr>
        <w:t xml:space="preserve"> </w:t>
      </w:r>
      <w:r>
        <w:rPr>
          <w:color w:val="000000" w:themeColor="text1"/>
        </w:rPr>
        <w:t>and</w:t>
      </w:r>
      <w:r w:rsidRPr="005715FC">
        <w:rPr>
          <w:color w:val="000000" w:themeColor="text1"/>
        </w:rPr>
        <w:t xml:space="preserve"> </w:t>
      </w:r>
      <w:r>
        <w:rPr>
          <w:color w:val="000000" w:themeColor="text1"/>
        </w:rPr>
        <w:t>Doswald</w:t>
      </w:r>
      <w:r w:rsidRPr="005715FC">
        <w:rPr>
          <w:color w:val="000000" w:themeColor="text1"/>
        </w:rPr>
        <w:t>-</w:t>
      </w:r>
      <w:r>
        <w:rPr>
          <w:color w:val="000000" w:themeColor="text1"/>
        </w:rPr>
        <w:t>Beck</w:t>
      </w:r>
      <w:r w:rsidRPr="005715FC">
        <w:rPr>
          <w:color w:val="000000" w:themeColor="text1"/>
        </w:rPr>
        <w:t xml:space="preserve">, </w:t>
      </w:r>
      <w:r>
        <w:rPr>
          <w:i/>
          <w:iCs/>
          <w:color w:val="000000" w:themeColor="text1"/>
        </w:rPr>
        <w:t>Customary</w:t>
      </w:r>
      <w:r w:rsidRPr="005715FC">
        <w:rPr>
          <w:i/>
          <w:iCs/>
          <w:color w:val="000000" w:themeColor="text1"/>
        </w:rPr>
        <w:t xml:space="preserve"> </w:t>
      </w:r>
      <w:r>
        <w:rPr>
          <w:i/>
          <w:iCs/>
          <w:color w:val="000000" w:themeColor="text1"/>
        </w:rPr>
        <w:t>International</w:t>
      </w:r>
      <w:r w:rsidRPr="005715FC">
        <w:rPr>
          <w:i/>
          <w:iCs/>
          <w:color w:val="000000" w:themeColor="text1"/>
        </w:rPr>
        <w:t xml:space="preserve"> </w:t>
      </w:r>
      <w:r>
        <w:rPr>
          <w:i/>
          <w:iCs/>
          <w:color w:val="000000" w:themeColor="text1"/>
        </w:rPr>
        <w:t>Humanitarian</w:t>
      </w:r>
      <w:r w:rsidRPr="005715FC">
        <w:rPr>
          <w:i/>
          <w:iCs/>
          <w:color w:val="000000" w:themeColor="text1"/>
        </w:rPr>
        <w:t xml:space="preserve"> </w:t>
      </w:r>
      <w:r>
        <w:rPr>
          <w:i/>
          <w:iCs/>
          <w:color w:val="000000" w:themeColor="text1"/>
        </w:rPr>
        <w:t>Law</w:t>
      </w:r>
      <w:r w:rsidRPr="005715FC">
        <w:rPr>
          <w:i/>
          <w:iCs/>
          <w:color w:val="000000" w:themeColor="text1"/>
        </w:rPr>
        <w:t> </w:t>
      </w:r>
      <w:r w:rsidRPr="00FD5B0C">
        <w:rPr>
          <w:i/>
          <w:iCs/>
          <w:color w:val="000000" w:themeColor="text1"/>
        </w:rPr>
        <w:t>…</w:t>
      </w:r>
      <w:r w:rsidRPr="005715FC">
        <w:rPr>
          <w:color w:val="000000" w:themeColor="text1"/>
        </w:rPr>
        <w:t>(</w:t>
      </w:r>
      <w:r>
        <w:rPr>
          <w:rFonts w:eastAsiaTheme="minorEastAsia" w:hint="eastAsia"/>
          <w:color w:val="000000" w:themeColor="text1"/>
        </w:rPr>
        <w:t>上文脚注</w:t>
      </w:r>
      <w:r w:rsidRPr="004847A4">
        <w:rPr>
          <w:color w:val="000000" w:themeColor="text1"/>
        </w:rPr>
        <w:fldChar w:fldCharType="begin"/>
      </w:r>
      <w:r w:rsidRPr="004847A4">
        <w:rPr>
          <w:color w:val="000000" w:themeColor="text1"/>
        </w:rPr>
        <w:instrText xml:space="preserve"> NOTEREF _Ref454970788 \h  \* MERGEFORMAT </w:instrText>
      </w:r>
      <w:r w:rsidRPr="004847A4">
        <w:rPr>
          <w:color w:val="000000" w:themeColor="text1"/>
        </w:rPr>
      </w:r>
      <w:r w:rsidRPr="004847A4">
        <w:rPr>
          <w:color w:val="000000" w:themeColor="text1"/>
        </w:rPr>
        <w:fldChar w:fldCharType="separate"/>
      </w:r>
      <w:r w:rsidR="00A73EB9">
        <w:rPr>
          <w:color w:val="000000" w:themeColor="text1"/>
        </w:rPr>
        <w:t>1331</w:t>
      </w:r>
      <w:r w:rsidRPr="004847A4">
        <w:rPr>
          <w:color w:val="000000" w:themeColor="text1"/>
        </w:rPr>
        <w:fldChar w:fldCharType="end"/>
      </w:r>
      <w:r w:rsidRPr="005715FC">
        <w:rPr>
          <w:color w:val="000000" w:themeColor="text1"/>
        </w:rPr>
        <w:t>)</w:t>
      </w:r>
      <w:r>
        <w:rPr>
          <w:rFonts w:eastAsiaTheme="minorEastAsia" w:hint="eastAsia"/>
          <w:color w:val="000000" w:themeColor="text1"/>
        </w:rPr>
        <w:t>，</w:t>
      </w:r>
      <w:r w:rsidRPr="00D8279F">
        <w:rPr>
          <w:rFonts w:ascii="宋体" w:hAnsi="宋体" w:cs="宋体" w:hint="eastAsia"/>
        </w:rPr>
        <w:t>规则</w:t>
      </w:r>
      <w:r>
        <w:t>15</w:t>
      </w:r>
      <w:r w:rsidRPr="00D8279F">
        <w:rPr>
          <w:rFonts w:ascii="宋体" w:hAnsi="宋体" w:cs="宋体" w:hint="eastAsia"/>
        </w:rPr>
        <w:t>。</w:t>
      </w:r>
    </w:p>
  </w:footnote>
  <w:footnote w:id="1391">
    <w:p w:rsidR="00AB00DE" w:rsidRPr="00AF387E" w:rsidRDefault="00AB00DE" w:rsidP="00396D56">
      <w:pPr>
        <w:pStyle w:val="a4"/>
        <w:spacing w:after="80"/>
      </w:pPr>
      <w:r>
        <w:rPr>
          <w:rFonts w:hint="eastAsia"/>
        </w:rPr>
        <w:tab/>
      </w:r>
      <w:r w:rsidRPr="003D3D39">
        <w:rPr>
          <w:rStyle w:val="a5"/>
          <w:rFonts w:cstheme="majorBidi"/>
        </w:rPr>
        <w:footnoteRef/>
      </w:r>
      <w:r>
        <w:rPr>
          <w:rFonts w:hint="eastAsia"/>
        </w:rPr>
        <w:tab/>
      </w:r>
      <w:r w:rsidRPr="00D8279F">
        <w:rPr>
          <w:rFonts w:ascii="宋体" w:hAnsi="宋体" w:cs="宋体" w:hint="eastAsia"/>
          <w:iCs/>
        </w:rPr>
        <w:t>同上</w:t>
      </w:r>
      <w:r>
        <w:rPr>
          <w:rFonts w:ascii="宋体" w:hAnsi="宋体" w:cs="宋体" w:hint="eastAsia"/>
          <w:iCs/>
        </w:rPr>
        <w:t>，</w:t>
      </w:r>
      <w:r w:rsidRPr="00D8279F">
        <w:rPr>
          <w:rFonts w:ascii="宋体" w:hAnsi="宋体" w:cs="宋体" w:hint="eastAsia"/>
          <w:iCs/>
        </w:rPr>
        <w:t>规则</w:t>
      </w:r>
      <w:r>
        <w:rPr>
          <w:iCs/>
        </w:rPr>
        <w:t>44</w:t>
      </w:r>
      <w:r>
        <w:rPr>
          <w:rFonts w:ascii="宋体" w:hAnsi="宋体" w:cs="宋体" w:hint="eastAsia"/>
        </w:rPr>
        <w:t>。</w:t>
      </w:r>
    </w:p>
  </w:footnote>
  <w:footnote w:id="1392">
    <w:p w:rsidR="00AB00DE" w:rsidRPr="00D8279F" w:rsidRDefault="00AB00DE" w:rsidP="00396D56">
      <w:pPr>
        <w:pStyle w:val="a4"/>
        <w:spacing w:after="80"/>
        <w:rPr>
          <w:color w:val="000000" w:themeColor="text1"/>
        </w:rPr>
      </w:pPr>
      <w:r>
        <w:rPr>
          <w:rFonts w:ascii="宋体" w:hAnsi="宋体" w:cs="宋体" w:hint="eastAsia"/>
        </w:rPr>
        <w:tab/>
      </w:r>
      <w:r w:rsidRPr="003D3D39">
        <w:rPr>
          <w:rStyle w:val="a5"/>
          <w:rFonts w:cstheme="majorBidi"/>
        </w:rPr>
        <w:footnoteRef/>
      </w:r>
      <w:r w:rsidRPr="00E64449">
        <w:rPr>
          <w:rStyle w:val="a5"/>
          <w:rFonts w:asciiTheme="majorBidi" w:hAnsiTheme="majorBidi" w:cstheme="majorBidi" w:hint="eastAsia"/>
          <w:color w:val="000000" w:themeColor="text1"/>
        </w:rPr>
        <w:tab/>
      </w:r>
      <w:r>
        <w:rPr>
          <w:rFonts w:ascii="宋体" w:hAnsi="宋体" w:cs="宋体" w:hint="eastAsia"/>
        </w:rPr>
        <w:t>“</w:t>
      </w:r>
      <w:r w:rsidRPr="0040789C">
        <w:rPr>
          <w:rFonts w:ascii="宋体" w:hAnsi="宋体" w:cs="宋体" w:hint="eastAsia"/>
        </w:rPr>
        <w:t>以核武器</w:t>
      </w:r>
      <w:r w:rsidRPr="00D8279F">
        <w:rPr>
          <w:rFonts w:ascii="宋体" w:hAnsi="宋体" w:cs="宋体" w:hint="eastAsia"/>
        </w:rPr>
        <w:t>进行威胁或使用核武器的合法性</w:t>
      </w:r>
      <w:r>
        <w:rPr>
          <w:rFonts w:hint="eastAsia"/>
        </w:rPr>
        <w:t>”</w:t>
      </w:r>
      <w:r>
        <w:rPr>
          <w:rFonts w:ascii="宋体" w:hAnsi="宋体" w:cs="宋体" w:hint="eastAsia"/>
        </w:rPr>
        <w:t>，</w:t>
      </w:r>
      <w:r>
        <w:rPr>
          <w:rFonts w:eastAsiaTheme="minorEastAsia" w:hint="eastAsia"/>
        </w:rPr>
        <w:t>咨询意见，《</w:t>
      </w:r>
      <w:r>
        <w:rPr>
          <w:rFonts w:eastAsiaTheme="minorEastAsia" w:hint="eastAsia"/>
        </w:rPr>
        <w:t>1996</w:t>
      </w:r>
      <w:r>
        <w:rPr>
          <w:rFonts w:eastAsiaTheme="minorEastAsia" w:hint="eastAsia"/>
        </w:rPr>
        <w:t>年国际法院案例汇编》，第</w:t>
      </w:r>
      <w:r>
        <w:rPr>
          <w:rFonts w:eastAsiaTheme="minorEastAsia" w:hint="eastAsia"/>
        </w:rPr>
        <w:t>226</w:t>
      </w:r>
      <w:r>
        <w:rPr>
          <w:rFonts w:eastAsiaTheme="minorEastAsia" w:hint="eastAsia"/>
        </w:rPr>
        <w:t>页，</w:t>
      </w:r>
      <w:r w:rsidRPr="00D8279F">
        <w:rPr>
          <w:rFonts w:ascii="宋体" w:hAnsi="宋体" w:cs="宋体" w:hint="eastAsia"/>
        </w:rPr>
        <w:t>第</w:t>
      </w:r>
      <w:r>
        <w:rPr>
          <w:color w:val="000000" w:themeColor="text1"/>
        </w:rPr>
        <w:t>30</w:t>
      </w:r>
      <w:r w:rsidRPr="00D8279F">
        <w:rPr>
          <w:rFonts w:ascii="宋体" w:hAnsi="宋体" w:cs="宋体" w:hint="eastAsia"/>
          <w:color w:val="000000" w:themeColor="text1"/>
        </w:rPr>
        <w:t>段。</w:t>
      </w:r>
    </w:p>
  </w:footnote>
  <w:footnote w:id="1393">
    <w:p w:rsidR="00AB00DE" w:rsidRPr="0029487B" w:rsidRDefault="00AB00DE" w:rsidP="00396D56">
      <w:pPr>
        <w:pStyle w:val="a4"/>
        <w:spacing w:after="80"/>
        <w:rPr>
          <w:rFonts w:asciiTheme="majorBidi" w:hAnsiTheme="majorBidi" w:cstheme="majorBidi"/>
        </w:rPr>
      </w:pPr>
      <w:r>
        <w:rPr>
          <w:rFonts w:hint="eastAsia"/>
        </w:rPr>
        <w:tab/>
      </w:r>
      <w:r w:rsidRPr="003D3D39">
        <w:rPr>
          <w:rStyle w:val="a5"/>
          <w:rFonts w:cstheme="majorBidi"/>
        </w:rPr>
        <w:footnoteRef/>
      </w:r>
      <w:r>
        <w:rPr>
          <w:rFonts w:hint="eastAsia"/>
        </w:rPr>
        <w:tab/>
      </w:r>
      <w:r w:rsidRPr="00D8279F">
        <w:rPr>
          <w:rFonts w:ascii="宋体" w:hAnsi="宋体" w:cs="宋体" w:hint="eastAsia"/>
        </w:rPr>
        <w:t>见《</w:t>
      </w:r>
      <w:r>
        <w:rPr>
          <w:rFonts w:eastAsiaTheme="minorEastAsia" w:hint="eastAsia"/>
        </w:rPr>
        <w:t>1949</w:t>
      </w:r>
      <w:r>
        <w:rPr>
          <w:rFonts w:eastAsiaTheme="minorEastAsia" w:hint="eastAsia"/>
        </w:rPr>
        <w:t>年日内瓦四公约</w:t>
      </w:r>
      <w:r w:rsidRPr="00D8279F">
        <w:rPr>
          <w:rFonts w:ascii="宋体" w:hAnsi="宋体" w:cs="宋体" w:hint="eastAsia"/>
        </w:rPr>
        <w:t>第一议定书》第四十八、五十、五十一条</w:t>
      </w:r>
      <w:r>
        <w:t>(</w:t>
      </w:r>
      <w:r w:rsidRPr="00D8279F">
        <w:rPr>
          <w:rFonts w:ascii="宋体" w:hAnsi="宋体" w:cs="宋体" w:hint="eastAsia"/>
        </w:rPr>
        <w:t>尤其是第四款</w:t>
      </w:r>
      <w:r>
        <w:t>)</w:t>
      </w:r>
      <w:r w:rsidRPr="00D8279F">
        <w:rPr>
          <w:rFonts w:ascii="宋体" w:hAnsi="宋体" w:cs="宋体" w:hint="eastAsia"/>
        </w:rPr>
        <w:t>、第五十二条</w:t>
      </w:r>
      <w:r>
        <w:t>(</w:t>
      </w:r>
      <w:r w:rsidRPr="00D8279F">
        <w:rPr>
          <w:rFonts w:ascii="宋体" w:hAnsi="宋体" w:cs="宋体" w:hint="eastAsia"/>
        </w:rPr>
        <w:t>尤其是第二款</w:t>
      </w:r>
      <w:r>
        <w:t>)</w:t>
      </w:r>
      <w:r w:rsidRPr="00D8279F">
        <w:rPr>
          <w:rFonts w:ascii="宋体" w:hAnsi="宋体" w:cs="宋体" w:hint="eastAsia"/>
        </w:rPr>
        <w:t>、第五十七条第二款和《第二议定书》第十三条第二款。</w:t>
      </w:r>
      <w:r>
        <w:t>See</w:t>
      </w:r>
      <w:r w:rsidRPr="00D8279F">
        <w:t xml:space="preserve"> </w:t>
      </w:r>
      <w:r>
        <w:t>Y</w:t>
      </w:r>
      <w:r>
        <w:rPr>
          <w:rFonts w:eastAsiaTheme="minorEastAsia" w:hint="eastAsia"/>
        </w:rPr>
        <w:t>.</w:t>
      </w:r>
      <w:r w:rsidRPr="00D8279F">
        <w:t xml:space="preserve"> </w:t>
      </w:r>
      <w:r>
        <w:t xml:space="preserve">Dinstein, </w:t>
      </w:r>
      <w:r>
        <w:rPr>
          <w:rFonts w:hint="eastAsia"/>
        </w:rPr>
        <w:t>“</w:t>
      </w:r>
      <w:r>
        <w:t>Legitimate</w:t>
      </w:r>
      <w:r w:rsidRPr="00D8279F">
        <w:t xml:space="preserve"> </w:t>
      </w:r>
      <w:r>
        <w:t>Military</w:t>
      </w:r>
      <w:r w:rsidRPr="00D8279F">
        <w:t xml:space="preserve"> </w:t>
      </w:r>
      <w:r>
        <w:t>Objectives</w:t>
      </w:r>
      <w:r w:rsidRPr="00D8279F">
        <w:t xml:space="preserve"> </w:t>
      </w:r>
      <w:r>
        <w:t>Under</w:t>
      </w:r>
      <w:r w:rsidRPr="00D8279F">
        <w:t xml:space="preserve"> </w:t>
      </w:r>
      <w:r>
        <w:t>the</w:t>
      </w:r>
      <w:r w:rsidRPr="00D8279F">
        <w:t xml:space="preserve"> </w:t>
      </w:r>
      <w:r>
        <w:t>Current</w:t>
      </w:r>
      <w:r w:rsidRPr="00D8279F">
        <w:t xml:space="preserve"> </w:t>
      </w:r>
      <w:r>
        <w:rPr>
          <w:i/>
        </w:rPr>
        <w:t>Jus</w:t>
      </w:r>
      <w:r w:rsidRPr="00D8279F">
        <w:rPr>
          <w:i/>
        </w:rPr>
        <w:t xml:space="preserve"> </w:t>
      </w:r>
      <w:r>
        <w:rPr>
          <w:i/>
        </w:rPr>
        <w:t>In</w:t>
      </w:r>
      <w:r w:rsidRPr="00D8279F">
        <w:rPr>
          <w:i/>
        </w:rPr>
        <w:t xml:space="preserve"> </w:t>
      </w:r>
      <w:r>
        <w:rPr>
          <w:i/>
        </w:rPr>
        <w:t>Bello</w:t>
      </w:r>
      <w:r>
        <w:rPr>
          <w:rFonts w:hint="eastAsia"/>
        </w:rPr>
        <w:t>”</w:t>
      </w:r>
      <w:r>
        <w:rPr>
          <w:i/>
        </w:rPr>
        <w:t>International</w:t>
      </w:r>
      <w:r w:rsidRPr="00D8279F">
        <w:rPr>
          <w:i/>
        </w:rPr>
        <w:t xml:space="preserve"> </w:t>
      </w:r>
      <w:r>
        <w:rPr>
          <w:i/>
        </w:rPr>
        <w:t>Law</w:t>
      </w:r>
      <w:r w:rsidRPr="00D8279F">
        <w:rPr>
          <w:i/>
        </w:rPr>
        <w:t xml:space="preserve"> </w:t>
      </w:r>
      <w:r>
        <w:rPr>
          <w:i/>
        </w:rPr>
        <w:t xml:space="preserve">Studies, </w:t>
      </w:r>
      <w:r>
        <w:t>vol</w:t>
      </w:r>
      <w:r w:rsidRPr="00D8279F">
        <w:t xml:space="preserve">. </w:t>
      </w:r>
      <w:r>
        <w:t>78</w:t>
      </w:r>
      <w:r w:rsidRPr="00D8279F">
        <w:t xml:space="preserve"> </w:t>
      </w:r>
      <w:r>
        <w:t>(2002)</w:t>
      </w:r>
      <w:r>
        <w:rPr>
          <w:rFonts w:ascii="宋体" w:hAnsi="宋体" w:cs="宋体" w:hint="eastAsia"/>
        </w:rPr>
        <w:t>，</w:t>
      </w:r>
      <w:r>
        <w:t>p.139,</w:t>
      </w:r>
      <w:r w:rsidRPr="00D8279F">
        <w:t xml:space="preserve"> </w:t>
      </w:r>
      <w:r>
        <w:t>and</w:t>
      </w:r>
      <w:r w:rsidRPr="00D8279F">
        <w:t xml:space="preserve"> </w:t>
      </w:r>
      <w:r>
        <w:t>L</w:t>
      </w:r>
      <w:r>
        <w:rPr>
          <w:rFonts w:eastAsiaTheme="minorEastAsia" w:hint="eastAsia"/>
        </w:rPr>
        <w:t>.</w:t>
      </w:r>
      <w:r w:rsidRPr="00D8279F">
        <w:t xml:space="preserve"> </w:t>
      </w:r>
      <w:r>
        <w:t>R</w:t>
      </w:r>
      <w:r w:rsidRPr="00D8279F">
        <w:t xml:space="preserve">. </w:t>
      </w:r>
      <w:r>
        <w:t>Blank,</w:t>
      </w:r>
      <w:r>
        <w:rPr>
          <w:rFonts w:hint="eastAsia"/>
        </w:rPr>
        <w:t>“</w:t>
      </w:r>
      <w:r>
        <w:t>Extending</w:t>
      </w:r>
      <w:r w:rsidRPr="00D8279F">
        <w:t xml:space="preserve"> </w:t>
      </w:r>
      <w:r>
        <w:t>Positive</w:t>
      </w:r>
      <w:r w:rsidRPr="00D8279F">
        <w:t xml:space="preserve"> </w:t>
      </w:r>
      <w:r>
        <w:t>Identification</w:t>
      </w:r>
      <w:r w:rsidRPr="00D8279F">
        <w:t xml:space="preserve"> </w:t>
      </w:r>
      <w:r>
        <w:t>from</w:t>
      </w:r>
      <w:r w:rsidRPr="00D8279F">
        <w:t xml:space="preserve"> </w:t>
      </w:r>
      <w:r>
        <w:t>Persons</w:t>
      </w:r>
      <w:r w:rsidRPr="00D8279F">
        <w:t xml:space="preserve"> </w:t>
      </w:r>
      <w:r>
        <w:t>to</w:t>
      </w:r>
      <w:r w:rsidRPr="00D8279F">
        <w:t xml:space="preserve"> </w:t>
      </w:r>
      <w:r>
        <w:t>Places:Terrorism, Armed</w:t>
      </w:r>
      <w:r w:rsidRPr="00D8279F">
        <w:t xml:space="preserve"> </w:t>
      </w:r>
      <w:r>
        <w:t>Conflict, and</w:t>
      </w:r>
      <w:r w:rsidRPr="00D8279F">
        <w:t xml:space="preserve"> </w:t>
      </w:r>
      <w:r>
        <w:t>the</w:t>
      </w:r>
      <w:r w:rsidRPr="00D8279F">
        <w:t xml:space="preserve"> </w:t>
      </w:r>
      <w:r>
        <w:t>Identification</w:t>
      </w:r>
      <w:r w:rsidRPr="00D8279F">
        <w:t xml:space="preserve"> </w:t>
      </w:r>
      <w:r>
        <w:t>of</w:t>
      </w:r>
      <w:r w:rsidRPr="00D8279F">
        <w:t xml:space="preserve"> </w:t>
      </w:r>
      <w:r>
        <w:t>Military</w:t>
      </w:r>
      <w:r w:rsidRPr="00D8279F">
        <w:t xml:space="preserve"> </w:t>
      </w:r>
      <w:r>
        <w:t>Objectives</w:t>
      </w:r>
      <w:r>
        <w:rPr>
          <w:rFonts w:hint="eastAsia"/>
        </w:rPr>
        <w:t>”</w:t>
      </w:r>
      <w:r>
        <w:rPr>
          <w:i/>
        </w:rPr>
        <w:t>Utah</w:t>
      </w:r>
      <w:r w:rsidRPr="00D8279F">
        <w:rPr>
          <w:i/>
        </w:rPr>
        <w:t xml:space="preserve"> </w:t>
      </w:r>
      <w:r>
        <w:rPr>
          <w:i/>
        </w:rPr>
        <w:t>Law</w:t>
      </w:r>
      <w:r w:rsidRPr="00D8279F">
        <w:rPr>
          <w:i/>
        </w:rPr>
        <w:t xml:space="preserve"> </w:t>
      </w:r>
      <w:r>
        <w:rPr>
          <w:i/>
        </w:rPr>
        <w:t xml:space="preserve">Review, </w:t>
      </w:r>
      <w:r>
        <w:t>No</w:t>
      </w:r>
      <w:r w:rsidRPr="00D8279F">
        <w:t xml:space="preserve">. </w:t>
      </w:r>
      <w:r>
        <w:t>5(2013)</w:t>
      </w:r>
      <w:r>
        <w:rPr>
          <w:rFonts w:ascii="宋体" w:hAnsi="宋体" w:cs="宋体" w:hint="eastAsia"/>
        </w:rPr>
        <w:t>，</w:t>
      </w:r>
      <w:r>
        <w:t>p</w:t>
      </w:r>
      <w:r w:rsidRPr="00D8279F">
        <w:t xml:space="preserve">. </w:t>
      </w:r>
      <w:r>
        <w:t>1227.</w:t>
      </w:r>
      <w:r w:rsidRPr="00D8279F">
        <w:rPr>
          <w:rFonts w:ascii="宋体" w:hAnsi="宋体" w:cs="宋体" w:hint="eastAsia"/>
        </w:rPr>
        <w:t>例如</w:t>
      </w:r>
      <w:r>
        <w:rPr>
          <w:rFonts w:ascii="宋体" w:hAnsi="宋体" w:cs="宋体" w:hint="eastAsia"/>
        </w:rPr>
        <w:t>，</w:t>
      </w:r>
      <w:r w:rsidRPr="00D8279F">
        <w:rPr>
          <w:rFonts w:ascii="宋体" w:hAnsi="宋体" w:cs="宋体" w:hint="eastAsia"/>
        </w:rPr>
        <w:t>见</w:t>
      </w:r>
      <w:r>
        <w:rPr>
          <w:rFonts w:asciiTheme="majorBidi" w:eastAsiaTheme="minorEastAsia" w:hAnsiTheme="majorBidi" w:cstheme="majorBidi" w:hint="eastAsia"/>
        </w:rPr>
        <w:t>联合王国</w:t>
      </w:r>
      <w:r w:rsidRPr="0029487B">
        <w:rPr>
          <w:rFonts w:ascii="宋体" w:hAnsi="宋体" w:cs="宋体" w:hint="eastAsia"/>
        </w:rPr>
        <w:t>国防部</w:t>
      </w:r>
      <w:r>
        <w:rPr>
          <w:rFonts w:ascii="宋体" w:hAnsi="宋体" w:cs="宋体" w:hint="eastAsia"/>
        </w:rPr>
        <w:t>，</w:t>
      </w:r>
      <w:r w:rsidRPr="0029487B">
        <w:rPr>
          <w:rFonts w:ascii="宋体" w:hAnsi="宋体" w:cs="宋体" w:hint="eastAsia"/>
        </w:rPr>
        <w:t>《武装冲突法手册》</w:t>
      </w:r>
      <w:r>
        <w:rPr>
          <w:rFonts w:asciiTheme="majorBidi" w:hAnsiTheme="majorBidi" w:cstheme="majorBidi"/>
        </w:rPr>
        <w:t>(</w:t>
      </w:r>
      <w:r w:rsidRPr="0029487B">
        <w:rPr>
          <w:rFonts w:ascii="宋体" w:hAnsi="宋体" w:cs="宋体" w:hint="eastAsia"/>
        </w:rPr>
        <w:t>牛津</w:t>
      </w:r>
      <w:r>
        <w:rPr>
          <w:rFonts w:ascii="宋体" w:hAnsi="宋体" w:cs="宋体" w:hint="eastAsia"/>
        </w:rPr>
        <w:t>，</w:t>
      </w:r>
      <w:r w:rsidRPr="0029487B">
        <w:rPr>
          <w:rFonts w:ascii="宋体" w:hAnsi="宋体" w:cs="宋体" w:hint="eastAsia"/>
        </w:rPr>
        <w:t>牛津大学出版社</w:t>
      </w:r>
      <w:r>
        <w:rPr>
          <w:rFonts w:ascii="宋体" w:hAnsi="宋体" w:cs="宋体" w:hint="eastAsia"/>
        </w:rPr>
        <w:t>，</w:t>
      </w:r>
      <w:r>
        <w:rPr>
          <w:rFonts w:asciiTheme="majorBidi" w:hAnsiTheme="majorBidi" w:cstheme="majorBidi"/>
        </w:rPr>
        <w:t>2004</w:t>
      </w:r>
      <w:r w:rsidRPr="0029487B">
        <w:rPr>
          <w:rFonts w:ascii="宋体" w:hAnsi="宋体" w:cs="宋体" w:hint="eastAsia"/>
        </w:rPr>
        <w:t>年</w:t>
      </w:r>
      <w:r>
        <w:rPr>
          <w:rFonts w:asciiTheme="majorBidi" w:hAnsiTheme="majorBidi" w:cstheme="majorBidi"/>
        </w:rPr>
        <w:t>)</w:t>
      </w:r>
      <w:r>
        <w:rPr>
          <w:rFonts w:ascii="宋体" w:hAnsi="宋体" w:cs="宋体" w:hint="eastAsia"/>
        </w:rPr>
        <w:t>，</w:t>
      </w:r>
      <w:r w:rsidRPr="0029487B">
        <w:rPr>
          <w:rFonts w:ascii="宋体" w:hAnsi="宋体" w:cs="宋体" w:hint="eastAsia"/>
        </w:rPr>
        <w:t>第</w:t>
      </w:r>
      <w:r>
        <w:rPr>
          <w:rFonts w:asciiTheme="majorBidi" w:hAnsiTheme="majorBidi" w:cstheme="majorBidi"/>
        </w:rPr>
        <w:t>5.4</w:t>
      </w:r>
      <w:r w:rsidRPr="0029487B">
        <w:rPr>
          <w:rFonts w:ascii="宋体" w:hAnsi="宋体" w:cs="宋体" w:hint="eastAsia"/>
        </w:rPr>
        <w:t>段</w:t>
      </w:r>
      <w:r>
        <w:rPr>
          <w:rFonts w:ascii="宋体" w:hAnsi="宋体" w:cs="宋体" w:hint="eastAsia"/>
        </w:rPr>
        <w:t>；</w:t>
      </w:r>
      <w:r w:rsidRPr="0029487B">
        <w:rPr>
          <w:rFonts w:ascii="宋体" w:hAnsi="宋体" w:cs="宋体" w:hint="eastAsia"/>
        </w:rPr>
        <w:t>加拿大国防部</w:t>
      </w:r>
      <w:r>
        <w:rPr>
          <w:rFonts w:ascii="宋体" w:hAnsi="宋体" w:cs="宋体" w:hint="eastAsia"/>
        </w:rPr>
        <w:t>，</w:t>
      </w:r>
      <w:r w:rsidRPr="0029487B">
        <w:rPr>
          <w:rFonts w:ascii="宋体" w:hAnsi="宋体" w:cs="宋体" w:hint="eastAsia"/>
        </w:rPr>
        <w:t>《作战和战术层面的武装冲突法》</w:t>
      </w:r>
      <w:r>
        <w:rPr>
          <w:rFonts w:asciiTheme="majorBidi" w:hAnsiTheme="majorBidi" w:cstheme="majorBidi"/>
        </w:rPr>
        <w:t>(2001</w:t>
      </w:r>
      <w:r w:rsidRPr="0029487B">
        <w:rPr>
          <w:rFonts w:ascii="宋体" w:hAnsi="宋体" w:cs="宋体" w:hint="eastAsia"/>
        </w:rPr>
        <w:t>年</w:t>
      </w:r>
      <w:r>
        <w:rPr>
          <w:rFonts w:asciiTheme="majorBidi" w:hAnsiTheme="majorBidi" w:cstheme="majorBidi"/>
        </w:rPr>
        <w:t>)</w:t>
      </w:r>
      <w:r w:rsidRPr="0029487B">
        <w:rPr>
          <w:rFonts w:asciiTheme="majorBidi" w:hAnsiTheme="majorBidi" w:cstheme="majorBidi"/>
        </w:rPr>
        <w:t xml:space="preserve"> </w:t>
      </w:r>
      <w:r>
        <w:rPr>
          <w:rFonts w:asciiTheme="majorBidi" w:hAnsiTheme="majorBidi" w:cstheme="majorBidi"/>
        </w:rPr>
        <w:t>B</w:t>
      </w:r>
      <w:r w:rsidRPr="0029487B">
        <w:rPr>
          <w:rFonts w:asciiTheme="majorBidi" w:hAnsiTheme="majorBidi" w:cstheme="majorBidi"/>
        </w:rPr>
        <w:t>-</w:t>
      </w:r>
      <w:r>
        <w:rPr>
          <w:rFonts w:asciiTheme="majorBidi" w:hAnsiTheme="majorBidi" w:cstheme="majorBidi"/>
        </w:rPr>
        <w:t>GJ</w:t>
      </w:r>
      <w:r w:rsidRPr="0029487B">
        <w:rPr>
          <w:rFonts w:asciiTheme="majorBidi" w:hAnsiTheme="majorBidi" w:cstheme="majorBidi"/>
        </w:rPr>
        <w:t>-</w:t>
      </w:r>
      <w:r>
        <w:rPr>
          <w:rFonts w:asciiTheme="majorBidi" w:hAnsiTheme="majorBidi" w:cstheme="majorBidi"/>
        </w:rPr>
        <w:t>005</w:t>
      </w:r>
      <w:r w:rsidRPr="0029487B">
        <w:rPr>
          <w:rFonts w:asciiTheme="majorBidi" w:hAnsiTheme="majorBidi" w:cstheme="majorBidi"/>
        </w:rPr>
        <w:t>-</w:t>
      </w:r>
      <w:r>
        <w:rPr>
          <w:rFonts w:asciiTheme="majorBidi" w:hAnsiTheme="majorBidi" w:cstheme="majorBidi"/>
        </w:rPr>
        <w:t>104/FP</w:t>
      </w:r>
      <w:r w:rsidRPr="0029487B">
        <w:rPr>
          <w:rFonts w:asciiTheme="majorBidi" w:hAnsiTheme="majorBidi" w:cstheme="majorBidi"/>
        </w:rPr>
        <w:t>-</w:t>
      </w:r>
      <w:r>
        <w:rPr>
          <w:rFonts w:asciiTheme="majorBidi" w:hAnsiTheme="majorBidi" w:cstheme="majorBidi"/>
        </w:rPr>
        <w:t>021,</w:t>
      </w:r>
      <w:r>
        <w:rPr>
          <w:rFonts w:asciiTheme="majorBidi" w:hAnsiTheme="majorBidi" w:cstheme="majorBidi" w:hint="eastAsia"/>
        </w:rPr>
        <w:t xml:space="preserve"> </w:t>
      </w:r>
      <w:r w:rsidRPr="0029487B">
        <w:rPr>
          <w:rFonts w:ascii="宋体" w:hAnsi="宋体" w:cs="宋体" w:hint="eastAsia"/>
        </w:rPr>
        <w:t>第</w:t>
      </w:r>
      <w:r>
        <w:rPr>
          <w:rFonts w:asciiTheme="majorBidi" w:hAnsiTheme="majorBidi" w:cstheme="majorBidi"/>
        </w:rPr>
        <w:t>405</w:t>
      </w:r>
      <w:r w:rsidRPr="0029487B">
        <w:rPr>
          <w:rFonts w:asciiTheme="majorBidi" w:hAnsiTheme="majorBidi" w:cstheme="majorBidi"/>
        </w:rPr>
        <w:t>-</w:t>
      </w:r>
      <w:r>
        <w:rPr>
          <w:rFonts w:asciiTheme="majorBidi" w:hAnsiTheme="majorBidi" w:cstheme="majorBidi"/>
        </w:rPr>
        <w:t>427</w:t>
      </w:r>
      <w:r w:rsidRPr="0029487B">
        <w:rPr>
          <w:rFonts w:ascii="宋体" w:hAnsi="宋体" w:cs="宋体" w:hint="eastAsia"/>
        </w:rPr>
        <w:t>页</w:t>
      </w:r>
      <w:r>
        <w:rPr>
          <w:rFonts w:ascii="宋体" w:hAnsi="宋体" w:cs="宋体" w:hint="eastAsia"/>
        </w:rPr>
        <w:t>；</w:t>
      </w:r>
      <w:r w:rsidRPr="0029487B">
        <w:rPr>
          <w:rFonts w:ascii="宋体" w:hAnsi="宋体" w:cs="宋体" w:hint="eastAsia"/>
        </w:rPr>
        <w:t>美国国防部</w:t>
      </w:r>
      <w:r>
        <w:rPr>
          <w:rFonts w:ascii="宋体" w:hAnsi="宋体" w:cs="宋体" w:hint="eastAsia"/>
        </w:rPr>
        <w:t>，</w:t>
      </w:r>
      <w:r w:rsidRPr="0029487B">
        <w:rPr>
          <w:rFonts w:ascii="宋体" w:hAnsi="宋体" w:cs="宋体" w:hint="eastAsia"/>
        </w:rPr>
        <w:t>《战争法手册》</w:t>
      </w:r>
      <w:r>
        <w:rPr>
          <w:rFonts w:asciiTheme="majorBidi" w:hAnsiTheme="majorBidi" w:cstheme="majorBidi"/>
        </w:rPr>
        <w:t>(2015</w:t>
      </w:r>
      <w:r w:rsidRPr="0029487B">
        <w:rPr>
          <w:rFonts w:ascii="宋体" w:hAnsi="宋体" w:cs="宋体" w:hint="eastAsia"/>
        </w:rPr>
        <w:t>年</w:t>
      </w:r>
      <w:r>
        <w:rPr>
          <w:rFonts w:asciiTheme="majorBidi" w:hAnsiTheme="majorBidi" w:cstheme="majorBidi"/>
        </w:rPr>
        <w:t>)</w:t>
      </w:r>
      <w:r w:rsidRPr="0029487B">
        <w:rPr>
          <w:rFonts w:ascii="宋体" w:hAnsi="宋体" w:cs="宋体" w:hint="eastAsia"/>
        </w:rPr>
        <w:t>。</w:t>
      </w:r>
    </w:p>
  </w:footnote>
  <w:footnote w:id="1394">
    <w:p w:rsidR="00AB00DE" w:rsidRPr="00430FA8" w:rsidRDefault="00AB00DE" w:rsidP="00334F8C">
      <w:pPr>
        <w:pStyle w:val="a4"/>
        <w:spacing w:after="80"/>
        <w:rPr>
          <w:rFonts w:eastAsiaTheme="minorEastAsia"/>
          <w:color w:val="000000" w:themeColor="text1"/>
        </w:rPr>
      </w:pPr>
      <w:r w:rsidRPr="0029487B">
        <w:rPr>
          <w:rFonts w:asciiTheme="majorBidi" w:hAnsiTheme="majorBidi" w:cstheme="majorBidi"/>
        </w:rPr>
        <w:tab/>
      </w:r>
      <w:r w:rsidRPr="003D3D39">
        <w:rPr>
          <w:rStyle w:val="a5"/>
          <w:rFonts w:cstheme="majorBidi"/>
        </w:rPr>
        <w:footnoteRef/>
      </w:r>
      <w:r w:rsidRPr="0029487B">
        <w:rPr>
          <w:rFonts w:asciiTheme="majorBidi" w:hAnsiTheme="majorBidi" w:cstheme="majorBidi"/>
        </w:rPr>
        <w:tab/>
      </w:r>
      <w:r w:rsidRPr="0029487B">
        <w:rPr>
          <w:rFonts w:ascii="宋体" w:hAnsi="宋体" w:cs="宋体" w:hint="eastAsia"/>
        </w:rPr>
        <w:t>《第一议定书》</w:t>
      </w:r>
      <w:r>
        <w:rPr>
          <w:rFonts w:ascii="宋体" w:hAnsi="宋体" w:cs="宋体" w:hint="eastAsia"/>
        </w:rPr>
        <w:t>，</w:t>
      </w:r>
      <w:r w:rsidRPr="0029487B">
        <w:rPr>
          <w:rFonts w:ascii="宋体" w:hAnsi="宋体" w:cs="宋体" w:hint="eastAsia"/>
        </w:rPr>
        <w:t>第五十一</w:t>
      </w:r>
      <w:r w:rsidRPr="00F0412C">
        <w:rPr>
          <w:rFonts w:ascii="宋体" w:hAnsi="宋体" w:cs="宋体" w:hint="eastAsia"/>
        </w:rPr>
        <w:t>条，尤其是第六款。见</w:t>
      </w:r>
      <w:r>
        <w:rPr>
          <w:rFonts w:asciiTheme="majorBidi" w:hAnsiTheme="majorBidi" w:cstheme="majorBidi"/>
        </w:rPr>
        <w:t>C</w:t>
      </w:r>
      <w:r w:rsidRPr="00F0412C">
        <w:rPr>
          <w:rFonts w:asciiTheme="majorBidi" w:hAnsiTheme="majorBidi" w:cstheme="majorBidi" w:hint="eastAsia"/>
        </w:rPr>
        <w:t>.</w:t>
      </w:r>
      <w:r w:rsidRPr="00F0412C">
        <w:rPr>
          <w:rFonts w:asciiTheme="majorBidi" w:hAnsiTheme="majorBidi" w:cstheme="majorBidi"/>
        </w:rPr>
        <w:t xml:space="preserve"> </w:t>
      </w:r>
      <w:r>
        <w:rPr>
          <w:rFonts w:asciiTheme="majorBidi" w:hAnsiTheme="majorBidi" w:cstheme="majorBidi"/>
        </w:rPr>
        <w:t>Pilloud</w:t>
      </w:r>
      <w:r w:rsidRPr="00F0412C">
        <w:rPr>
          <w:rFonts w:ascii="宋体" w:hAnsi="宋体" w:cs="宋体" w:hint="eastAsia"/>
        </w:rPr>
        <w:t>和</w:t>
      </w:r>
      <w:r>
        <w:rPr>
          <w:rFonts w:asciiTheme="majorBidi" w:hAnsiTheme="majorBidi" w:cstheme="majorBidi"/>
        </w:rPr>
        <w:t>J</w:t>
      </w:r>
      <w:r w:rsidRPr="00F0412C">
        <w:rPr>
          <w:rFonts w:asciiTheme="majorBidi" w:hAnsiTheme="majorBidi" w:cstheme="majorBidi" w:hint="eastAsia"/>
        </w:rPr>
        <w:t>.</w:t>
      </w:r>
      <w:r w:rsidRPr="00F0412C">
        <w:rPr>
          <w:rFonts w:asciiTheme="majorBidi" w:hAnsiTheme="majorBidi" w:cstheme="majorBidi"/>
        </w:rPr>
        <w:t xml:space="preserve"> </w:t>
      </w:r>
      <w:r>
        <w:rPr>
          <w:rFonts w:asciiTheme="majorBidi" w:hAnsiTheme="majorBidi" w:cstheme="majorBidi"/>
        </w:rPr>
        <w:t>Pictet</w:t>
      </w:r>
      <w:r w:rsidRPr="00F0412C">
        <w:rPr>
          <w:rFonts w:ascii="宋体" w:hAnsi="宋体" w:cs="宋体" w:hint="eastAsia"/>
        </w:rPr>
        <w:t>，</w:t>
      </w:r>
      <w:r>
        <w:rPr>
          <w:rFonts w:ascii="Calibri" w:hAnsi="Calibri" w:cs="Calibri" w:hint="eastAsia"/>
        </w:rPr>
        <w:t>“</w:t>
      </w:r>
      <w:r w:rsidRPr="00F0412C">
        <w:rPr>
          <w:rFonts w:ascii="宋体" w:hAnsi="宋体" w:cs="宋体" w:hint="eastAsia"/>
        </w:rPr>
        <w:t>第五十一条</w:t>
      </w:r>
      <w:r>
        <w:rPr>
          <w:rFonts w:ascii="Calibri" w:hAnsi="Calibri" w:cs="Calibri" w:hint="eastAsia"/>
        </w:rPr>
        <w:t>”</w:t>
      </w:r>
      <w:r w:rsidRPr="00F0412C">
        <w:rPr>
          <w:rFonts w:ascii="宋体" w:hAnsi="宋体" w:cs="宋体" w:hint="eastAsia"/>
        </w:rPr>
        <w:t>，载于</w:t>
      </w:r>
      <w:r>
        <w:rPr>
          <w:rFonts w:asciiTheme="majorBidi" w:hAnsiTheme="majorBidi" w:cstheme="majorBidi"/>
        </w:rPr>
        <w:t>Sandoz</w:t>
      </w:r>
      <w:r w:rsidRPr="00F0412C">
        <w:rPr>
          <w:rFonts w:ascii="宋体" w:hAnsi="宋体" w:cs="宋体" w:hint="eastAsia"/>
        </w:rPr>
        <w:t>等编，《红十字委员会对</w:t>
      </w:r>
      <w:r>
        <w:rPr>
          <w:rFonts w:hint="eastAsia"/>
          <w:lang w:val="fr-CH"/>
        </w:rPr>
        <w:t>……</w:t>
      </w:r>
      <w:r w:rsidRPr="00F0412C">
        <w:rPr>
          <w:rFonts w:ascii="宋体" w:hAnsi="宋体" w:cs="宋体" w:hint="eastAsia"/>
        </w:rPr>
        <w:t>附加议定书的评注》</w:t>
      </w:r>
      <w:r w:rsidRPr="00F0412C">
        <w:rPr>
          <w:rFonts w:asciiTheme="majorBidi" w:hAnsiTheme="majorBidi" w:cstheme="majorBidi"/>
        </w:rPr>
        <w:t>(</w:t>
      </w:r>
      <w:r w:rsidRPr="00F0412C">
        <w:rPr>
          <w:rFonts w:ascii="宋体" w:hAnsi="宋体" w:cs="宋体" w:hint="eastAsia"/>
        </w:rPr>
        <w:t>上文脚注</w:t>
      </w:r>
      <w:r w:rsidRPr="00334F8C">
        <w:rPr>
          <w:rFonts w:asciiTheme="majorBidi" w:hAnsiTheme="majorBidi" w:cstheme="majorBidi"/>
        </w:rPr>
        <w:fldChar w:fldCharType="begin"/>
      </w:r>
      <w:r w:rsidRPr="00334F8C">
        <w:rPr>
          <w:rFonts w:asciiTheme="majorBidi" w:hAnsiTheme="majorBidi" w:cstheme="majorBidi"/>
        </w:rPr>
        <w:instrText xml:space="preserve"> NOTEREF _Ref461978123 \h </w:instrText>
      </w:r>
      <w:r>
        <w:rPr>
          <w:rFonts w:asciiTheme="majorBidi" w:hAnsiTheme="majorBidi" w:cstheme="majorBidi"/>
        </w:rPr>
        <w:instrText xml:space="preserve"> \* MERGEFORMAT </w:instrText>
      </w:r>
      <w:r w:rsidRPr="00334F8C">
        <w:rPr>
          <w:rFonts w:asciiTheme="majorBidi" w:hAnsiTheme="majorBidi" w:cstheme="majorBidi"/>
        </w:rPr>
      </w:r>
      <w:r w:rsidRPr="00334F8C">
        <w:rPr>
          <w:rFonts w:asciiTheme="majorBidi" w:hAnsiTheme="majorBidi" w:cstheme="majorBidi"/>
        </w:rPr>
        <w:fldChar w:fldCharType="separate"/>
      </w:r>
      <w:r w:rsidR="00A73EB9">
        <w:rPr>
          <w:rFonts w:asciiTheme="majorBidi" w:hAnsiTheme="majorBidi" w:cstheme="majorBidi"/>
        </w:rPr>
        <w:t>1335</w:t>
      </w:r>
      <w:r w:rsidRPr="00334F8C">
        <w:rPr>
          <w:rFonts w:asciiTheme="majorBidi" w:hAnsiTheme="majorBidi" w:cstheme="majorBidi"/>
        </w:rPr>
        <w:fldChar w:fldCharType="end"/>
      </w:r>
      <w:r w:rsidRPr="00F0412C">
        <w:rPr>
          <w:rFonts w:asciiTheme="majorBidi" w:hAnsiTheme="majorBidi" w:cstheme="majorBidi"/>
        </w:rPr>
        <w:t>)</w:t>
      </w:r>
      <w:r w:rsidRPr="00F0412C">
        <w:rPr>
          <w:rFonts w:ascii="宋体" w:hAnsi="宋体" w:cs="宋体" w:hint="eastAsia"/>
        </w:rPr>
        <w:t>，第</w:t>
      </w:r>
      <w:r>
        <w:rPr>
          <w:rFonts w:asciiTheme="majorBidi" w:hAnsiTheme="majorBidi" w:cstheme="majorBidi"/>
        </w:rPr>
        <w:t>615</w:t>
      </w:r>
      <w:r w:rsidRPr="000E267A">
        <w:rPr>
          <w:rFonts w:ascii="宋体" w:hAnsi="宋体" w:cs="宋体" w:hint="eastAsia"/>
        </w:rPr>
        <w:t>页</w:t>
      </w:r>
      <w:r w:rsidRPr="00F0412C">
        <w:rPr>
          <w:rFonts w:ascii="宋体" w:hAnsi="宋体" w:cs="宋体" w:hint="eastAsia"/>
        </w:rPr>
        <w:t>。</w:t>
      </w:r>
    </w:p>
  </w:footnote>
  <w:footnote w:id="1395">
    <w:p w:rsidR="00AB00DE" w:rsidRPr="00500F89" w:rsidRDefault="00AB00DE" w:rsidP="00A01826">
      <w:pPr>
        <w:pStyle w:val="a4"/>
        <w:spacing w:after="80"/>
        <w:rPr>
          <w:rFonts w:asciiTheme="majorBidi" w:hAnsiTheme="majorBidi" w:cstheme="majorBidi"/>
        </w:rPr>
      </w:pPr>
      <w:r>
        <w:rPr>
          <w:rFonts w:hint="eastAsia"/>
          <w:sz w:val="20"/>
        </w:rPr>
        <w:tab/>
      </w:r>
      <w:r w:rsidRPr="003D3D39">
        <w:rPr>
          <w:rStyle w:val="a5"/>
          <w:rFonts w:cstheme="majorBidi"/>
        </w:rPr>
        <w:footnoteRef/>
      </w:r>
      <w:r>
        <w:rPr>
          <w:rFonts w:hint="eastAsia"/>
          <w:sz w:val="20"/>
        </w:rPr>
        <w:tab/>
      </w:r>
      <w:r w:rsidRPr="00F8046B">
        <w:rPr>
          <w:rFonts w:ascii="宋体" w:hAnsi="宋体" w:cs="宋体" w:hint="eastAsia"/>
        </w:rPr>
        <w:t>关于报复的习惯法地位的讨论，</w:t>
      </w:r>
      <w:r w:rsidRPr="0029487B">
        <w:rPr>
          <w:rFonts w:ascii="宋体" w:hAnsi="宋体" w:cs="宋体" w:hint="eastAsia"/>
        </w:rPr>
        <w:t>见</w:t>
      </w:r>
      <w:r>
        <w:rPr>
          <w:color w:val="000000" w:themeColor="text1"/>
        </w:rPr>
        <w:t>Henckaerts</w:t>
      </w:r>
      <w:r w:rsidRPr="005715FC">
        <w:rPr>
          <w:color w:val="000000" w:themeColor="text1"/>
        </w:rPr>
        <w:t xml:space="preserve"> </w:t>
      </w:r>
      <w:r>
        <w:rPr>
          <w:color w:val="000000" w:themeColor="text1"/>
        </w:rPr>
        <w:t>and</w:t>
      </w:r>
      <w:r w:rsidRPr="005715FC">
        <w:rPr>
          <w:color w:val="000000" w:themeColor="text1"/>
        </w:rPr>
        <w:t xml:space="preserve"> </w:t>
      </w:r>
      <w:r>
        <w:rPr>
          <w:color w:val="000000" w:themeColor="text1"/>
        </w:rPr>
        <w:t>Doswald</w:t>
      </w:r>
      <w:r w:rsidRPr="005715FC">
        <w:rPr>
          <w:color w:val="000000" w:themeColor="text1"/>
        </w:rPr>
        <w:t>-</w:t>
      </w:r>
      <w:r>
        <w:rPr>
          <w:color w:val="000000" w:themeColor="text1"/>
        </w:rPr>
        <w:t>Beck</w:t>
      </w:r>
      <w:r w:rsidRPr="005715FC">
        <w:rPr>
          <w:color w:val="000000" w:themeColor="text1"/>
        </w:rPr>
        <w:t xml:space="preserve">, </w:t>
      </w:r>
      <w:r>
        <w:rPr>
          <w:i/>
          <w:iCs/>
          <w:color w:val="000000" w:themeColor="text1"/>
        </w:rPr>
        <w:t>Customary</w:t>
      </w:r>
      <w:r w:rsidRPr="005715FC">
        <w:rPr>
          <w:i/>
          <w:iCs/>
          <w:color w:val="000000" w:themeColor="text1"/>
        </w:rPr>
        <w:t xml:space="preserve"> </w:t>
      </w:r>
      <w:r>
        <w:rPr>
          <w:i/>
          <w:iCs/>
          <w:color w:val="000000" w:themeColor="text1"/>
        </w:rPr>
        <w:t>International</w:t>
      </w:r>
      <w:r w:rsidRPr="005715FC">
        <w:rPr>
          <w:i/>
          <w:iCs/>
          <w:color w:val="000000" w:themeColor="text1"/>
        </w:rPr>
        <w:t xml:space="preserve"> </w:t>
      </w:r>
      <w:r>
        <w:rPr>
          <w:i/>
          <w:iCs/>
          <w:color w:val="000000" w:themeColor="text1"/>
        </w:rPr>
        <w:t>Humanitarian</w:t>
      </w:r>
      <w:r w:rsidRPr="005715FC">
        <w:rPr>
          <w:i/>
          <w:iCs/>
          <w:color w:val="000000" w:themeColor="text1"/>
        </w:rPr>
        <w:t xml:space="preserve"> </w:t>
      </w:r>
      <w:r>
        <w:rPr>
          <w:i/>
          <w:iCs/>
          <w:color w:val="000000" w:themeColor="text1"/>
        </w:rPr>
        <w:t>Law</w:t>
      </w:r>
      <w:r w:rsidRPr="005715FC">
        <w:rPr>
          <w:i/>
          <w:iCs/>
          <w:color w:val="000000" w:themeColor="text1"/>
        </w:rPr>
        <w:t> </w:t>
      </w:r>
      <w:r w:rsidRPr="00FD5B0C">
        <w:rPr>
          <w:i/>
          <w:iCs/>
          <w:color w:val="000000" w:themeColor="text1"/>
        </w:rPr>
        <w:t>…</w:t>
      </w:r>
      <w:r w:rsidRPr="005715FC">
        <w:rPr>
          <w:color w:val="000000" w:themeColor="text1"/>
        </w:rPr>
        <w:t>(</w:t>
      </w:r>
      <w:r>
        <w:rPr>
          <w:rFonts w:eastAsiaTheme="minorEastAsia" w:hint="eastAsia"/>
          <w:color w:val="000000" w:themeColor="text1"/>
        </w:rPr>
        <w:t>上文脚注</w:t>
      </w:r>
      <w:r w:rsidRPr="004847A4">
        <w:rPr>
          <w:color w:val="000000" w:themeColor="text1"/>
        </w:rPr>
        <w:fldChar w:fldCharType="begin"/>
      </w:r>
      <w:r w:rsidRPr="004847A4">
        <w:rPr>
          <w:color w:val="000000" w:themeColor="text1"/>
        </w:rPr>
        <w:instrText xml:space="preserve"> NOTEREF _Ref454970788 \h  \* MERGEFORMAT </w:instrText>
      </w:r>
      <w:r w:rsidRPr="004847A4">
        <w:rPr>
          <w:color w:val="000000" w:themeColor="text1"/>
        </w:rPr>
      </w:r>
      <w:r w:rsidRPr="004847A4">
        <w:rPr>
          <w:color w:val="000000" w:themeColor="text1"/>
        </w:rPr>
        <w:fldChar w:fldCharType="separate"/>
      </w:r>
      <w:r w:rsidR="00A73EB9">
        <w:rPr>
          <w:color w:val="000000" w:themeColor="text1"/>
        </w:rPr>
        <w:t>1331</w:t>
      </w:r>
      <w:r w:rsidRPr="004847A4">
        <w:rPr>
          <w:color w:val="000000" w:themeColor="text1"/>
        </w:rPr>
        <w:fldChar w:fldCharType="end"/>
      </w:r>
      <w:r w:rsidRPr="005715FC">
        <w:rPr>
          <w:color w:val="000000" w:themeColor="text1"/>
        </w:rPr>
        <w:t>)</w:t>
      </w:r>
      <w:r>
        <w:rPr>
          <w:rFonts w:eastAsiaTheme="minorEastAsia" w:hint="eastAsia"/>
          <w:color w:val="000000" w:themeColor="text1"/>
        </w:rPr>
        <w:t>，</w:t>
      </w:r>
      <w:r w:rsidRPr="00500F89">
        <w:rPr>
          <w:rFonts w:ascii="宋体" w:hAnsi="宋体" w:cs="宋体" w:hint="eastAsia"/>
        </w:rPr>
        <w:t>第</w:t>
      </w:r>
      <w:r>
        <w:rPr>
          <w:rFonts w:asciiTheme="majorBidi" w:hAnsiTheme="majorBidi" w:cstheme="majorBidi"/>
        </w:rPr>
        <w:t>523</w:t>
      </w:r>
      <w:r w:rsidRPr="00500F89">
        <w:rPr>
          <w:rFonts w:asciiTheme="majorBidi" w:hAnsiTheme="majorBidi" w:cstheme="majorBidi"/>
        </w:rPr>
        <w:t>-</w:t>
      </w:r>
      <w:r>
        <w:rPr>
          <w:rFonts w:asciiTheme="majorBidi" w:hAnsiTheme="majorBidi" w:cstheme="majorBidi"/>
        </w:rPr>
        <w:t>530</w:t>
      </w:r>
      <w:r w:rsidRPr="00500F89">
        <w:rPr>
          <w:rFonts w:ascii="宋体" w:hAnsi="宋体" w:cs="宋体" w:hint="eastAsia"/>
        </w:rPr>
        <w:t>页</w:t>
      </w:r>
      <w:r>
        <w:rPr>
          <w:rFonts w:ascii="宋体" w:hAnsi="宋体" w:cs="宋体" w:hint="eastAsia"/>
        </w:rPr>
        <w:t>；</w:t>
      </w:r>
      <w:r>
        <w:rPr>
          <w:rFonts w:asciiTheme="majorBidi" w:hAnsiTheme="majorBidi" w:cstheme="majorBidi"/>
        </w:rPr>
        <w:t>Y</w:t>
      </w:r>
      <w:r>
        <w:rPr>
          <w:rFonts w:asciiTheme="majorBidi" w:eastAsiaTheme="minorEastAsia" w:hAnsiTheme="majorBidi" w:cstheme="majorBidi" w:hint="eastAsia"/>
        </w:rPr>
        <w:t>.</w:t>
      </w:r>
      <w:r w:rsidRPr="00500F89">
        <w:rPr>
          <w:rFonts w:asciiTheme="majorBidi" w:hAnsiTheme="majorBidi" w:cstheme="majorBidi"/>
        </w:rPr>
        <w:t xml:space="preserve"> </w:t>
      </w:r>
      <w:r>
        <w:rPr>
          <w:rFonts w:asciiTheme="majorBidi" w:hAnsiTheme="majorBidi" w:cstheme="majorBidi"/>
        </w:rPr>
        <w:t>Arai</w:t>
      </w:r>
      <w:r w:rsidRPr="00500F89">
        <w:rPr>
          <w:rFonts w:asciiTheme="majorBidi" w:hAnsiTheme="majorBidi" w:cstheme="majorBidi"/>
        </w:rPr>
        <w:t>-</w:t>
      </w:r>
      <w:r>
        <w:rPr>
          <w:rFonts w:asciiTheme="majorBidi" w:hAnsiTheme="majorBidi" w:cstheme="majorBidi"/>
        </w:rPr>
        <w:t>Takahashi,</w:t>
      </w:r>
      <w:r>
        <w:rPr>
          <w:rFonts w:asciiTheme="majorBidi" w:hAnsiTheme="majorBidi" w:cstheme="majorBidi" w:hint="eastAsia"/>
        </w:rPr>
        <w:t xml:space="preserve"> </w:t>
      </w:r>
      <w:r>
        <w:rPr>
          <w:rFonts w:asciiTheme="majorBidi" w:hAnsiTheme="majorBidi" w:cstheme="majorBidi"/>
        </w:rPr>
        <w:t>The</w:t>
      </w:r>
      <w:r w:rsidRPr="00500F89">
        <w:rPr>
          <w:rFonts w:asciiTheme="majorBidi" w:hAnsiTheme="majorBidi" w:cstheme="majorBidi"/>
        </w:rPr>
        <w:t xml:space="preserve"> </w:t>
      </w:r>
      <w:r>
        <w:rPr>
          <w:rFonts w:asciiTheme="majorBidi" w:hAnsiTheme="majorBidi" w:cstheme="majorBidi"/>
        </w:rPr>
        <w:t>Law</w:t>
      </w:r>
      <w:r w:rsidRPr="00500F89">
        <w:rPr>
          <w:rFonts w:asciiTheme="majorBidi" w:hAnsiTheme="majorBidi" w:cstheme="majorBidi"/>
        </w:rPr>
        <w:t xml:space="preserve"> </w:t>
      </w:r>
      <w:r>
        <w:rPr>
          <w:rFonts w:asciiTheme="majorBidi" w:hAnsiTheme="majorBidi" w:cstheme="majorBidi"/>
        </w:rPr>
        <w:t>of</w:t>
      </w:r>
      <w:r w:rsidRPr="00500F89">
        <w:rPr>
          <w:rFonts w:asciiTheme="majorBidi" w:hAnsiTheme="majorBidi" w:cstheme="majorBidi"/>
        </w:rPr>
        <w:t xml:space="preserve"> </w:t>
      </w:r>
      <w:r>
        <w:rPr>
          <w:rFonts w:asciiTheme="majorBidi" w:hAnsiTheme="majorBidi" w:cstheme="majorBidi"/>
        </w:rPr>
        <w:t>Occupation:</w:t>
      </w:r>
      <w:r w:rsidRPr="00500F89">
        <w:rPr>
          <w:rFonts w:asciiTheme="majorBidi" w:hAnsiTheme="majorBidi" w:cstheme="majorBidi"/>
        </w:rPr>
        <w:t xml:space="preserve"> </w:t>
      </w:r>
      <w:r>
        <w:rPr>
          <w:rFonts w:asciiTheme="majorBidi" w:hAnsiTheme="majorBidi" w:cstheme="majorBidi"/>
        </w:rPr>
        <w:t>Continuity</w:t>
      </w:r>
      <w:r w:rsidRPr="00500F89">
        <w:rPr>
          <w:rFonts w:asciiTheme="majorBidi" w:hAnsiTheme="majorBidi" w:cstheme="majorBidi"/>
        </w:rPr>
        <w:t xml:space="preserve"> </w:t>
      </w:r>
      <w:r>
        <w:rPr>
          <w:rFonts w:asciiTheme="majorBidi" w:hAnsiTheme="majorBidi" w:cstheme="majorBidi"/>
        </w:rPr>
        <w:t>and</w:t>
      </w:r>
      <w:r w:rsidRPr="00500F89">
        <w:rPr>
          <w:rFonts w:asciiTheme="majorBidi" w:hAnsiTheme="majorBidi" w:cstheme="majorBidi"/>
        </w:rPr>
        <w:t xml:space="preserve"> </w:t>
      </w:r>
      <w:r>
        <w:rPr>
          <w:rFonts w:asciiTheme="majorBidi" w:hAnsiTheme="majorBidi" w:cstheme="majorBidi"/>
        </w:rPr>
        <w:t>Change</w:t>
      </w:r>
      <w:r w:rsidRPr="00500F89">
        <w:rPr>
          <w:rFonts w:asciiTheme="majorBidi" w:hAnsiTheme="majorBidi" w:cstheme="majorBidi"/>
        </w:rPr>
        <w:t xml:space="preserve"> </w:t>
      </w:r>
      <w:r>
        <w:rPr>
          <w:rFonts w:asciiTheme="majorBidi" w:hAnsiTheme="majorBidi" w:cstheme="majorBidi"/>
        </w:rPr>
        <w:t>of</w:t>
      </w:r>
      <w:r w:rsidRPr="00500F89">
        <w:rPr>
          <w:rFonts w:asciiTheme="majorBidi" w:hAnsiTheme="majorBidi" w:cstheme="majorBidi"/>
        </w:rPr>
        <w:t xml:space="preserve"> </w:t>
      </w:r>
      <w:r>
        <w:rPr>
          <w:rFonts w:asciiTheme="majorBidi" w:hAnsiTheme="majorBidi" w:cstheme="majorBidi"/>
        </w:rPr>
        <w:t>International</w:t>
      </w:r>
      <w:r w:rsidRPr="00500F89">
        <w:rPr>
          <w:rFonts w:asciiTheme="majorBidi" w:hAnsiTheme="majorBidi" w:cstheme="majorBidi"/>
        </w:rPr>
        <w:t xml:space="preserve"> </w:t>
      </w:r>
      <w:r>
        <w:rPr>
          <w:rFonts w:asciiTheme="majorBidi" w:hAnsiTheme="majorBidi" w:cstheme="majorBidi"/>
        </w:rPr>
        <w:t>Humanitarian</w:t>
      </w:r>
      <w:r w:rsidRPr="00500F89">
        <w:rPr>
          <w:rFonts w:asciiTheme="majorBidi" w:hAnsiTheme="majorBidi" w:cstheme="majorBidi"/>
        </w:rPr>
        <w:t xml:space="preserve"> </w:t>
      </w:r>
      <w:r>
        <w:rPr>
          <w:rFonts w:asciiTheme="majorBidi" w:hAnsiTheme="majorBidi" w:cstheme="majorBidi"/>
        </w:rPr>
        <w:t>Law</w:t>
      </w:r>
      <w:r w:rsidRPr="00500F89">
        <w:rPr>
          <w:rFonts w:asciiTheme="majorBidi" w:hAnsiTheme="majorBidi" w:cstheme="majorBidi"/>
        </w:rPr>
        <w:t xml:space="preserve"> </w:t>
      </w:r>
      <w:r>
        <w:rPr>
          <w:rFonts w:asciiTheme="majorBidi" w:hAnsiTheme="majorBidi" w:cstheme="majorBidi"/>
        </w:rPr>
        <w:t>and</w:t>
      </w:r>
      <w:r w:rsidRPr="00500F89">
        <w:rPr>
          <w:rFonts w:asciiTheme="majorBidi" w:hAnsiTheme="majorBidi" w:cstheme="majorBidi"/>
        </w:rPr>
        <w:t xml:space="preserve"> </w:t>
      </w:r>
      <w:r>
        <w:rPr>
          <w:rFonts w:asciiTheme="majorBidi" w:hAnsiTheme="majorBidi" w:cstheme="majorBidi"/>
        </w:rPr>
        <w:t>its</w:t>
      </w:r>
      <w:r w:rsidRPr="00500F89">
        <w:rPr>
          <w:rFonts w:asciiTheme="majorBidi" w:hAnsiTheme="majorBidi" w:cstheme="majorBidi"/>
        </w:rPr>
        <w:t xml:space="preserve"> </w:t>
      </w:r>
      <w:r>
        <w:rPr>
          <w:rFonts w:asciiTheme="majorBidi" w:hAnsiTheme="majorBidi" w:cstheme="majorBidi"/>
        </w:rPr>
        <w:t>Interaction</w:t>
      </w:r>
      <w:r w:rsidRPr="00500F89">
        <w:rPr>
          <w:rFonts w:asciiTheme="majorBidi" w:hAnsiTheme="majorBidi" w:cstheme="majorBidi"/>
        </w:rPr>
        <w:t xml:space="preserve"> </w:t>
      </w:r>
      <w:r>
        <w:rPr>
          <w:rFonts w:asciiTheme="majorBidi" w:hAnsiTheme="majorBidi" w:cstheme="majorBidi"/>
        </w:rPr>
        <w:t>with</w:t>
      </w:r>
      <w:r w:rsidRPr="00500F89">
        <w:rPr>
          <w:rFonts w:asciiTheme="majorBidi" w:hAnsiTheme="majorBidi" w:cstheme="majorBidi"/>
        </w:rPr>
        <w:t xml:space="preserve"> </w:t>
      </w:r>
      <w:r>
        <w:rPr>
          <w:rFonts w:asciiTheme="majorBidi" w:hAnsiTheme="majorBidi" w:cstheme="majorBidi"/>
        </w:rPr>
        <w:t>International</w:t>
      </w:r>
      <w:r w:rsidRPr="00500F89">
        <w:rPr>
          <w:rFonts w:asciiTheme="majorBidi" w:hAnsiTheme="majorBidi" w:cstheme="majorBidi"/>
        </w:rPr>
        <w:t xml:space="preserve"> </w:t>
      </w:r>
      <w:r>
        <w:rPr>
          <w:rFonts w:asciiTheme="majorBidi" w:hAnsiTheme="majorBidi" w:cstheme="majorBidi"/>
        </w:rPr>
        <w:t>Human</w:t>
      </w:r>
      <w:r w:rsidRPr="00500F89">
        <w:rPr>
          <w:rFonts w:asciiTheme="majorBidi" w:hAnsiTheme="majorBidi" w:cstheme="majorBidi"/>
        </w:rPr>
        <w:t xml:space="preserve"> </w:t>
      </w:r>
      <w:r>
        <w:rPr>
          <w:rFonts w:asciiTheme="majorBidi" w:hAnsiTheme="majorBidi" w:cstheme="majorBidi"/>
        </w:rPr>
        <w:t>Rights</w:t>
      </w:r>
      <w:r w:rsidRPr="00500F89">
        <w:rPr>
          <w:rFonts w:asciiTheme="majorBidi" w:hAnsiTheme="majorBidi" w:cstheme="majorBidi"/>
        </w:rPr>
        <w:t xml:space="preserve"> </w:t>
      </w:r>
      <w:r>
        <w:rPr>
          <w:rFonts w:asciiTheme="majorBidi" w:hAnsiTheme="majorBidi" w:cstheme="majorBidi"/>
        </w:rPr>
        <w:t>Law</w:t>
      </w:r>
      <w:r w:rsidRPr="00500F89">
        <w:rPr>
          <w:rFonts w:asciiTheme="majorBidi" w:hAnsiTheme="majorBidi" w:cstheme="majorBidi"/>
        </w:rPr>
        <w:t xml:space="preserve"> </w:t>
      </w:r>
      <w:r>
        <w:rPr>
          <w:rFonts w:asciiTheme="majorBidi" w:hAnsiTheme="majorBidi" w:cstheme="majorBidi"/>
        </w:rPr>
        <w:t>(Leiden</w:t>
      </w:r>
      <w:r>
        <w:rPr>
          <w:rFonts w:asciiTheme="majorBidi" w:eastAsiaTheme="minorEastAsia" w:hAnsiTheme="majorBidi" w:cstheme="majorBidi" w:hint="eastAsia"/>
        </w:rPr>
        <w:t xml:space="preserve">, </w:t>
      </w:r>
      <w:r>
        <w:rPr>
          <w:rFonts w:asciiTheme="majorBidi" w:hAnsiTheme="majorBidi" w:cstheme="majorBidi"/>
        </w:rPr>
        <w:t>Martinus</w:t>
      </w:r>
      <w:r w:rsidRPr="00500F89">
        <w:rPr>
          <w:rFonts w:asciiTheme="majorBidi" w:hAnsiTheme="majorBidi" w:cstheme="majorBidi"/>
        </w:rPr>
        <w:t xml:space="preserve"> </w:t>
      </w:r>
      <w:r>
        <w:rPr>
          <w:rFonts w:asciiTheme="majorBidi" w:hAnsiTheme="majorBidi" w:cstheme="majorBidi"/>
        </w:rPr>
        <w:t>Nijhoff, 2009)</w:t>
      </w:r>
      <w:r>
        <w:rPr>
          <w:rFonts w:ascii="宋体" w:hAnsi="宋体" w:cs="宋体" w:hint="eastAsia"/>
        </w:rPr>
        <w:t>，</w:t>
      </w:r>
      <w:r>
        <w:rPr>
          <w:rFonts w:asciiTheme="majorBidi" w:hAnsiTheme="majorBidi" w:cstheme="majorBidi"/>
        </w:rPr>
        <w:t>pp</w:t>
      </w:r>
      <w:r w:rsidRPr="00500F89">
        <w:rPr>
          <w:rFonts w:asciiTheme="majorBidi" w:hAnsiTheme="majorBidi" w:cstheme="majorBidi"/>
        </w:rPr>
        <w:t xml:space="preserve">. </w:t>
      </w:r>
      <w:r>
        <w:rPr>
          <w:rFonts w:asciiTheme="majorBidi" w:hAnsiTheme="majorBidi" w:cstheme="majorBidi"/>
        </w:rPr>
        <w:t>285</w:t>
      </w:r>
      <w:r w:rsidRPr="00500F89">
        <w:rPr>
          <w:rFonts w:asciiTheme="majorBidi" w:hAnsiTheme="majorBidi" w:cstheme="majorBidi"/>
        </w:rPr>
        <w:t>-</w:t>
      </w:r>
      <w:r>
        <w:rPr>
          <w:rFonts w:asciiTheme="majorBidi" w:hAnsiTheme="majorBidi" w:cstheme="majorBidi"/>
        </w:rPr>
        <w:t>289</w:t>
      </w:r>
      <w:r>
        <w:rPr>
          <w:rFonts w:ascii="宋体" w:hAnsi="宋体" w:cs="宋体" w:hint="eastAsia"/>
        </w:rPr>
        <w:t>；</w:t>
      </w:r>
      <w:r>
        <w:rPr>
          <w:rFonts w:asciiTheme="majorBidi" w:hAnsiTheme="majorBidi" w:cstheme="majorBidi"/>
        </w:rPr>
        <w:t>M</w:t>
      </w:r>
      <w:r>
        <w:rPr>
          <w:rFonts w:asciiTheme="majorBidi" w:eastAsiaTheme="minorEastAsia" w:hAnsiTheme="majorBidi" w:cstheme="majorBidi" w:hint="eastAsia"/>
        </w:rPr>
        <w:t>.</w:t>
      </w:r>
      <w:r w:rsidRPr="00500F89">
        <w:rPr>
          <w:rFonts w:asciiTheme="majorBidi" w:hAnsiTheme="majorBidi" w:cstheme="majorBidi"/>
        </w:rPr>
        <w:t xml:space="preserve"> </w:t>
      </w:r>
      <w:r>
        <w:rPr>
          <w:rFonts w:asciiTheme="majorBidi" w:hAnsiTheme="majorBidi" w:cstheme="majorBidi"/>
        </w:rPr>
        <w:t>A</w:t>
      </w:r>
      <w:r w:rsidRPr="00500F89">
        <w:rPr>
          <w:rFonts w:asciiTheme="majorBidi" w:hAnsiTheme="majorBidi" w:cstheme="majorBidi"/>
        </w:rPr>
        <w:t xml:space="preserve">. </w:t>
      </w:r>
      <w:r>
        <w:rPr>
          <w:rFonts w:asciiTheme="majorBidi" w:hAnsiTheme="majorBidi" w:cstheme="majorBidi"/>
        </w:rPr>
        <w:t>Newton,</w:t>
      </w:r>
      <w:r>
        <w:rPr>
          <w:rFonts w:asciiTheme="majorBidi" w:hAnsiTheme="majorBidi" w:cstheme="majorBidi" w:hint="eastAsia"/>
        </w:rPr>
        <w:t>“</w:t>
      </w:r>
      <w:r>
        <w:rPr>
          <w:rFonts w:asciiTheme="majorBidi" w:hAnsiTheme="majorBidi" w:cstheme="majorBidi"/>
        </w:rPr>
        <w:t>Reconsidering</w:t>
      </w:r>
      <w:r w:rsidRPr="00500F89">
        <w:rPr>
          <w:rFonts w:asciiTheme="majorBidi" w:hAnsiTheme="majorBidi" w:cstheme="majorBidi"/>
        </w:rPr>
        <w:t xml:space="preserve"> </w:t>
      </w:r>
      <w:r>
        <w:rPr>
          <w:rFonts w:asciiTheme="majorBidi" w:hAnsiTheme="majorBidi" w:cstheme="majorBidi"/>
        </w:rPr>
        <w:t>Reprisals</w:t>
      </w:r>
      <w:r>
        <w:rPr>
          <w:rFonts w:asciiTheme="majorBidi" w:hAnsiTheme="majorBidi" w:cstheme="majorBidi" w:hint="eastAsia"/>
        </w:rPr>
        <w:t>”</w:t>
      </w:r>
      <w:r>
        <w:rPr>
          <w:rFonts w:asciiTheme="majorBidi" w:hAnsiTheme="majorBidi" w:cstheme="majorBidi"/>
        </w:rPr>
        <w:t>Duke</w:t>
      </w:r>
      <w:r w:rsidRPr="00500F89">
        <w:rPr>
          <w:rFonts w:asciiTheme="majorBidi" w:hAnsiTheme="majorBidi" w:cstheme="majorBidi"/>
        </w:rPr>
        <w:t xml:space="preserve"> </w:t>
      </w:r>
      <w:r>
        <w:rPr>
          <w:rFonts w:asciiTheme="majorBidi" w:hAnsiTheme="majorBidi" w:cstheme="majorBidi"/>
        </w:rPr>
        <w:t>Journal</w:t>
      </w:r>
      <w:r w:rsidRPr="00500F89">
        <w:rPr>
          <w:rFonts w:asciiTheme="majorBidi" w:hAnsiTheme="majorBidi" w:cstheme="majorBidi"/>
        </w:rPr>
        <w:t xml:space="preserve"> </w:t>
      </w:r>
      <w:r>
        <w:rPr>
          <w:rFonts w:asciiTheme="majorBidi" w:hAnsiTheme="majorBidi" w:cstheme="majorBidi"/>
        </w:rPr>
        <w:t>of</w:t>
      </w:r>
      <w:r w:rsidRPr="00500F89">
        <w:rPr>
          <w:rFonts w:asciiTheme="majorBidi" w:hAnsiTheme="majorBidi" w:cstheme="majorBidi"/>
        </w:rPr>
        <w:t xml:space="preserve"> </w:t>
      </w:r>
      <w:r>
        <w:rPr>
          <w:rFonts w:asciiTheme="majorBidi" w:hAnsiTheme="majorBidi" w:cstheme="majorBidi"/>
        </w:rPr>
        <w:t>Comparative</w:t>
      </w:r>
      <w:r w:rsidRPr="00500F89">
        <w:rPr>
          <w:rFonts w:asciiTheme="majorBidi" w:hAnsiTheme="majorBidi" w:cstheme="majorBidi"/>
        </w:rPr>
        <w:t xml:space="preserve"> </w:t>
      </w:r>
      <w:r>
        <w:rPr>
          <w:rFonts w:asciiTheme="majorBidi" w:hAnsiTheme="majorBidi" w:cstheme="majorBidi"/>
        </w:rPr>
        <w:t>and</w:t>
      </w:r>
      <w:r w:rsidRPr="00500F89">
        <w:rPr>
          <w:rFonts w:asciiTheme="majorBidi" w:hAnsiTheme="majorBidi" w:cstheme="majorBidi"/>
        </w:rPr>
        <w:t xml:space="preserve"> </w:t>
      </w:r>
      <w:r>
        <w:rPr>
          <w:rFonts w:asciiTheme="majorBidi" w:hAnsiTheme="majorBidi" w:cstheme="majorBidi"/>
        </w:rPr>
        <w:t>International</w:t>
      </w:r>
      <w:r w:rsidRPr="00500F89">
        <w:rPr>
          <w:rFonts w:asciiTheme="majorBidi" w:hAnsiTheme="majorBidi" w:cstheme="majorBidi"/>
        </w:rPr>
        <w:t xml:space="preserve"> </w:t>
      </w:r>
      <w:r>
        <w:rPr>
          <w:rFonts w:asciiTheme="majorBidi" w:hAnsiTheme="majorBidi" w:cstheme="majorBidi"/>
        </w:rPr>
        <w:t>Law, vol</w:t>
      </w:r>
      <w:r w:rsidRPr="00500F89">
        <w:rPr>
          <w:rFonts w:asciiTheme="majorBidi" w:hAnsiTheme="majorBidi" w:cstheme="majorBidi"/>
        </w:rPr>
        <w:t xml:space="preserve">. </w:t>
      </w:r>
      <w:r>
        <w:rPr>
          <w:rFonts w:asciiTheme="majorBidi" w:hAnsiTheme="majorBidi" w:cstheme="majorBidi"/>
        </w:rPr>
        <w:t>20</w:t>
      </w:r>
      <w:r w:rsidRPr="00500F89">
        <w:rPr>
          <w:rFonts w:asciiTheme="majorBidi" w:hAnsiTheme="majorBidi" w:cstheme="majorBidi"/>
        </w:rPr>
        <w:t xml:space="preserve"> </w:t>
      </w:r>
      <w:r>
        <w:rPr>
          <w:rFonts w:asciiTheme="majorBidi" w:hAnsiTheme="majorBidi" w:cstheme="majorBidi"/>
        </w:rPr>
        <w:t>(2010)</w:t>
      </w:r>
      <w:r>
        <w:rPr>
          <w:rFonts w:ascii="宋体" w:hAnsi="宋体" w:cs="宋体" w:hint="eastAsia"/>
        </w:rPr>
        <w:t>，</w:t>
      </w:r>
      <w:r>
        <w:rPr>
          <w:rFonts w:asciiTheme="majorBidi" w:hAnsiTheme="majorBidi" w:cstheme="majorBidi"/>
        </w:rPr>
        <w:t>p</w:t>
      </w:r>
      <w:r w:rsidRPr="00500F89">
        <w:rPr>
          <w:rFonts w:asciiTheme="majorBidi" w:hAnsiTheme="majorBidi" w:cstheme="majorBidi"/>
        </w:rPr>
        <w:t xml:space="preserve">. </w:t>
      </w:r>
      <w:r>
        <w:rPr>
          <w:rFonts w:asciiTheme="majorBidi" w:hAnsiTheme="majorBidi" w:cstheme="majorBidi"/>
        </w:rPr>
        <w:t>361</w:t>
      </w:r>
      <w:r>
        <w:rPr>
          <w:rFonts w:ascii="宋体" w:hAnsi="宋体" w:cs="宋体" w:hint="eastAsia"/>
        </w:rPr>
        <w:t>；</w:t>
      </w:r>
      <w:r>
        <w:rPr>
          <w:rFonts w:asciiTheme="majorBidi" w:hAnsiTheme="majorBidi" w:cstheme="majorBidi"/>
        </w:rPr>
        <w:t>S</w:t>
      </w:r>
      <w:r>
        <w:rPr>
          <w:rFonts w:asciiTheme="majorBidi" w:eastAsiaTheme="minorEastAsia" w:hAnsiTheme="majorBidi" w:cstheme="majorBidi" w:hint="eastAsia"/>
        </w:rPr>
        <w:t>.</w:t>
      </w:r>
      <w:r w:rsidRPr="00500F89">
        <w:rPr>
          <w:rFonts w:asciiTheme="majorBidi" w:hAnsiTheme="majorBidi" w:cstheme="majorBidi"/>
        </w:rPr>
        <w:t xml:space="preserve"> </w:t>
      </w:r>
      <w:r>
        <w:rPr>
          <w:rFonts w:asciiTheme="majorBidi" w:hAnsiTheme="majorBidi" w:cstheme="majorBidi"/>
        </w:rPr>
        <w:t>Darcy, Collective</w:t>
      </w:r>
      <w:r w:rsidRPr="00500F89">
        <w:rPr>
          <w:rFonts w:asciiTheme="majorBidi" w:hAnsiTheme="majorBidi" w:cstheme="majorBidi"/>
        </w:rPr>
        <w:t xml:space="preserve"> </w:t>
      </w:r>
      <w:r>
        <w:rPr>
          <w:rFonts w:asciiTheme="majorBidi" w:hAnsiTheme="majorBidi" w:cstheme="majorBidi"/>
        </w:rPr>
        <w:t>Responsibility</w:t>
      </w:r>
      <w:r w:rsidRPr="00500F89">
        <w:rPr>
          <w:rFonts w:asciiTheme="majorBidi" w:hAnsiTheme="majorBidi" w:cstheme="majorBidi"/>
        </w:rPr>
        <w:t xml:space="preserve"> </w:t>
      </w:r>
      <w:r>
        <w:rPr>
          <w:rFonts w:asciiTheme="majorBidi" w:hAnsiTheme="majorBidi" w:cstheme="majorBidi"/>
        </w:rPr>
        <w:t>and</w:t>
      </w:r>
      <w:r w:rsidRPr="00500F89">
        <w:rPr>
          <w:rFonts w:asciiTheme="majorBidi" w:hAnsiTheme="majorBidi" w:cstheme="majorBidi"/>
        </w:rPr>
        <w:t xml:space="preserve"> </w:t>
      </w:r>
      <w:r>
        <w:rPr>
          <w:rFonts w:asciiTheme="majorBidi" w:hAnsiTheme="majorBidi" w:cstheme="majorBidi"/>
        </w:rPr>
        <w:t>Accountability</w:t>
      </w:r>
      <w:r w:rsidRPr="00500F89">
        <w:rPr>
          <w:rFonts w:asciiTheme="majorBidi" w:hAnsiTheme="majorBidi" w:cstheme="majorBidi"/>
        </w:rPr>
        <w:t xml:space="preserve"> </w:t>
      </w:r>
      <w:r>
        <w:rPr>
          <w:rFonts w:asciiTheme="majorBidi" w:hAnsiTheme="majorBidi" w:cstheme="majorBidi"/>
        </w:rPr>
        <w:t>under</w:t>
      </w:r>
      <w:r w:rsidRPr="00500F89">
        <w:rPr>
          <w:rFonts w:asciiTheme="majorBidi" w:hAnsiTheme="majorBidi" w:cstheme="majorBidi"/>
        </w:rPr>
        <w:t xml:space="preserve"> </w:t>
      </w:r>
      <w:r>
        <w:rPr>
          <w:rFonts w:asciiTheme="majorBidi" w:hAnsiTheme="majorBidi" w:cstheme="majorBidi"/>
        </w:rPr>
        <w:t>International</w:t>
      </w:r>
      <w:r w:rsidRPr="00500F89">
        <w:rPr>
          <w:rFonts w:asciiTheme="majorBidi" w:hAnsiTheme="majorBidi" w:cstheme="majorBidi"/>
        </w:rPr>
        <w:t xml:space="preserve"> </w:t>
      </w:r>
      <w:r>
        <w:rPr>
          <w:rFonts w:asciiTheme="majorBidi" w:hAnsiTheme="majorBidi" w:cstheme="majorBidi"/>
        </w:rPr>
        <w:t>Law</w:t>
      </w:r>
      <w:r w:rsidRPr="00500F89">
        <w:rPr>
          <w:rFonts w:asciiTheme="majorBidi" w:hAnsiTheme="majorBidi" w:cstheme="majorBidi"/>
        </w:rPr>
        <w:t xml:space="preserve"> </w:t>
      </w:r>
      <w:r>
        <w:rPr>
          <w:rFonts w:asciiTheme="majorBidi" w:hAnsiTheme="majorBidi" w:cstheme="majorBidi"/>
        </w:rPr>
        <w:t>(Leiden</w:t>
      </w:r>
      <w:r>
        <w:rPr>
          <w:rFonts w:asciiTheme="majorBidi" w:eastAsiaTheme="minorEastAsia" w:hAnsiTheme="majorBidi" w:cstheme="majorBidi" w:hint="eastAsia"/>
        </w:rPr>
        <w:t xml:space="preserve">, </w:t>
      </w:r>
      <w:r>
        <w:rPr>
          <w:rFonts w:asciiTheme="majorBidi" w:hAnsiTheme="majorBidi" w:cstheme="majorBidi"/>
        </w:rPr>
        <w:t>Brill, 2007)</w:t>
      </w:r>
      <w:r w:rsidRPr="00500F89">
        <w:rPr>
          <w:rFonts w:asciiTheme="majorBidi" w:hAnsiTheme="majorBidi" w:cstheme="majorBidi"/>
        </w:rPr>
        <w:t xml:space="preserve"> </w:t>
      </w:r>
      <w:r>
        <w:rPr>
          <w:rFonts w:asciiTheme="majorBidi" w:hAnsiTheme="majorBidi" w:cstheme="majorBidi"/>
        </w:rPr>
        <w:t>pp</w:t>
      </w:r>
      <w:r w:rsidRPr="00500F89">
        <w:rPr>
          <w:rFonts w:asciiTheme="majorBidi" w:hAnsiTheme="majorBidi" w:cstheme="majorBidi"/>
        </w:rPr>
        <w:t xml:space="preserve">. </w:t>
      </w:r>
      <w:r>
        <w:rPr>
          <w:rFonts w:asciiTheme="majorBidi" w:hAnsiTheme="majorBidi" w:cstheme="majorBidi"/>
        </w:rPr>
        <w:t>154</w:t>
      </w:r>
      <w:r w:rsidRPr="00500F89">
        <w:rPr>
          <w:rFonts w:asciiTheme="majorBidi" w:hAnsiTheme="majorBidi" w:cstheme="majorBidi"/>
        </w:rPr>
        <w:t>-</w:t>
      </w:r>
      <w:r>
        <w:rPr>
          <w:rFonts w:asciiTheme="majorBidi" w:hAnsiTheme="majorBidi" w:cstheme="majorBidi"/>
        </w:rPr>
        <w:t>156</w:t>
      </w:r>
      <w:r w:rsidRPr="00500F89">
        <w:rPr>
          <w:rFonts w:ascii="宋体" w:hAnsi="宋体" w:cs="宋体" w:hint="eastAsia"/>
        </w:rPr>
        <w:t>。</w:t>
      </w:r>
    </w:p>
  </w:footnote>
  <w:footnote w:id="1396">
    <w:p w:rsidR="00AB00DE" w:rsidRPr="00E92102" w:rsidRDefault="00AB00DE" w:rsidP="00396D56">
      <w:pPr>
        <w:pStyle w:val="a4"/>
        <w:spacing w:after="80"/>
        <w:rPr>
          <w:rFonts w:asciiTheme="majorBidi" w:hAnsiTheme="majorBidi" w:cstheme="majorBidi"/>
        </w:rPr>
      </w:pPr>
      <w:r w:rsidRPr="00500F89">
        <w:rPr>
          <w:rFonts w:asciiTheme="majorBidi" w:hAnsiTheme="majorBidi" w:cstheme="majorBidi"/>
        </w:rPr>
        <w:tab/>
      </w:r>
      <w:r w:rsidRPr="003D3D39">
        <w:rPr>
          <w:rStyle w:val="a5"/>
          <w:rFonts w:cstheme="majorBidi"/>
        </w:rPr>
        <w:footnoteRef/>
      </w:r>
      <w:r w:rsidRPr="00500F89">
        <w:rPr>
          <w:rFonts w:asciiTheme="majorBidi" w:hAnsiTheme="majorBidi" w:cstheme="majorBidi"/>
        </w:rPr>
        <w:tab/>
      </w:r>
      <w:r w:rsidRPr="00500F89">
        <w:rPr>
          <w:rFonts w:ascii="宋体" w:hAnsi="宋体" w:cs="宋体" w:hint="eastAsia"/>
        </w:rPr>
        <w:t>目前《第一议定书》共有</w:t>
      </w:r>
      <w:r>
        <w:rPr>
          <w:rFonts w:asciiTheme="majorBidi" w:hAnsiTheme="majorBidi" w:cstheme="majorBidi"/>
        </w:rPr>
        <w:t>174</w:t>
      </w:r>
      <w:r w:rsidRPr="00500F89">
        <w:rPr>
          <w:rFonts w:ascii="宋体" w:hAnsi="宋体" w:cs="宋体" w:hint="eastAsia"/>
        </w:rPr>
        <w:t>个缔约国。见</w:t>
      </w:r>
      <w:r>
        <w:rPr>
          <w:rFonts w:ascii="宋体" w:hAnsi="宋体" w:cs="宋体" w:hint="eastAsia"/>
        </w:rPr>
        <w:t>红十字委员会</w:t>
      </w:r>
      <w:r w:rsidRPr="00500F89">
        <w:rPr>
          <w:rFonts w:ascii="宋体" w:hAnsi="宋体" w:cs="宋体" w:hint="eastAsia"/>
        </w:rPr>
        <w:t>网站</w:t>
      </w:r>
      <w:r w:rsidRPr="00E92102">
        <w:rPr>
          <w:rFonts w:ascii="宋体" w:hAnsi="宋体" w:cs="宋体" w:hint="eastAsia"/>
        </w:rPr>
        <w:t>：</w:t>
      </w:r>
      <w:r w:rsidRPr="004847A4">
        <w:rPr>
          <w:rFonts w:asciiTheme="majorBidi" w:hAnsiTheme="majorBidi" w:cstheme="majorBidi"/>
        </w:rPr>
        <w:t>https://www.icrc.org/</w:t>
      </w:r>
      <w:r w:rsidRPr="004847A4">
        <w:rPr>
          <w:rFonts w:asciiTheme="majorBidi" w:hAnsiTheme="majorBidi" w:cstheme="majorBidi" w:hint="eastAsia"/>
        </w:rPr>
        <w:t xml:space="preserve"> </w:t>
      </w:r>
      <w:r w:rsidRPr="004847A4">
        <w:rPr>
          <w:rFonts w:asciiTheme="majorBidi" w:hAnsiTheme="majorBidi" w:cstheme="majorBidi"/>
        </w:rPr>
        <w:t>ihl/INTRO/470</w:t>
      </w:r>
      <w:r w:rsidRPr="00E92102">
        <w:rPr>
          <w:rFonts w:ascii="宋体" w:hAnsi="宋体" w:cs="宋体" w:hint="eastAsia"/>
        </w:rPr>
        <w:t>。</w:t>
      </w:r>
    </w:p>
  </w:footnote>
  <w:footnote w:id="1397">
    <w:p w:rsidR="00AB00DE" w:rsidRPr="00500F89" w:rsidRDefault="00AB00DE" w:rsidP="00DE50E6">
      <w:pPr>
        <w:pStyle w:val="a4"/>
        <w:keepLines w:val="0"/>
        <w:spacing w:after="80"/>
        <w:rPr>
          <w:rFonts w:asciiTheme="majorBidi" w:hAnsiTheme="majorBidi" w:cstheme="majorBidi"/>
        </w:rPr>
      </w:pPr>
      <w:r w:rsidRPr="00500F89">
        <w:rPr>
          <w:rFonts w:asciiTheme="majorBidi" w:hAnsiTheme="majorBidi" w:cstheme="majorBidi"/>
        </w:rPr>
        <w:tab/>
      </w:r>
      <w:r w:rsidRPr="003D3D39">
        <w:rPr>
          <w:rStyle w:val="a5"/>
          <w:rFonts w:cstheme="majorBidi"/>
        </w:rPr>
        <w:footnoteRef/>
      </w:r>
      <w:r w:rsidRPr="00E64449">
        <w:rPr>
          <w:rStyle w:val="a5"/>
          <w:rFonts w:asciiTheme="majorBidi" w:hAnsiTheme="majorBidi"/>
          <w:color w:val="000000" w:themeColor="text1"/>
        </w:rPr>
        <w:tab/>
      </w:r>
      <w:r w:rsidRPr="00500F89">
        <w:rPr>
          <w:rFonts w:ascii="宋体" w:hAnsi="宋体" w:cs="宋体" w:hint="eastAsia"/>
        </w:rPr>
        <w:t>关于各国就第五十五条和其他条款所做的声明、说明和保留的情况</w:t>
      </w:r>
      <w:r>
        <w:rPr>
          <w:rFonts w:ascii="宋体" w:hAnsi="宋体" w:cs="宋体" w:hint="eastAsia"/>
        </w:rPr>
        <w:t>，</w:t>
      </w:r>
      <w:r w:rsidRPr="00500F89">
        <w:rPr>
          <w:rFonts w:ascii="宋体" w:hAnsi="宋体" w:cs="宋体" w:hint="eastAsia"/>
        </w:rPr>
        <w:t>见</w:t>
      </w:r>
      <w:r>
        <w:rPr>
          <w:rFonts w:asciiTheme="majorBidi" w:hAnsiTheme="majorBidi" w:cstheme="majorBidi"/>
        </w:rPr>
        <w:t>A/C</w:t>
      </w:r>
      <w:r w:rsidRPr="00500F89">
        <w:rPr>
          <w:rFonts w:asciiTheme="majorBidi" w:hAnsiTheme="majorBidi" w:cstheme="majorBidi"/>
        </w:rPr>
        <w:t>.</w:t>
      </w:r>
      <w:r>
        <w:rPr>
          <w:rFonts w:asciiTheme="majorBidi" w:hAnsiTheme="majorBidi" w:cstheme="majorBidi"/>
        </w:rPr>
        <w:t>N</w:t>
      </w:r>
      <w:r w:rsidRPr="00500F89">
        <w:rPr>
          <w:rFonts w:asciiTheme="majorBidi" w:hAnsiTheme="majorBidi" w:cstheme="majorBidi"/>
        </w:rPr>
        <w:t>.</w:t>
      </w:r>
      <w:r>
        <w:rPr>
          <w:rFonts w:asciiTheme="majorBidi" w:hAnsiTheme="majorBidi" w:cstheme="majorBidi"/>
        </w:rPr>
        <w:t>4/685</w:t>
      </w:r>
      <w:r>
        <w:rPr>
          <w:rFonts w:asciiTheme="majorBidi" w:eastAsiaTheme="minorEastAsia" w:hAnsiTheme="majorBidi" w:cstheme="majorBidi" w:hint="eastAsia"/>
        </w:rPr>
        <w:t>，</w:t>
      </w:r>
      <w:r w:rsidRPr="00500F89">
        <w:rPr>
          <w:rFonts w:ascii="宋体" w:hAnsi="宋体" w:cs="宋体" w:hint="eastAsia"/>
        </w:rPr>
        <w:t>第</w:t>
      </w:r>
      <w:r>
        <w:rPr>
          <w:rFonts w:asciiTheme="majorBidi" w:hAnsiTheme="majorBidi" w:cstheme="majorBidi"/>
        </w:rPr>
        <w:t>129</w:t>
      </w:r>
      <w:r w:rsidRPr="00500F89">
        <w:rPr>
          <w:rFonts w:ascii="宋体" w:hAnsi="宋体" w:cs="宋体" w:hint="eastAsia"/>
        </w:rPr>
        <w:t>和</w:t>
      </w:r>
      <w:r>
        <w:rPr>
          <w:rFonts w:asciiTheme="majorBidi" w:hAnsiTheme="majorBidi" w:cstheme="majorBidi"/>
        </w:rPr>
        <w:t>130</w:t>
      </w:r>
      <w:r w:rsidRPr="00500F89">
        <w:rPr>
          <w:rFonts w:ascii="宋体" w:hAnsi="宋体" w:cs="宋体" w:hint="eastAsia"/>
        </w:rPr>
        <w:t>段。还应指出</w:t>
      </w:r>
      <w:r>
        <w:rPr>
          <w:rFonts w:ascii="宋体" w:hAnsi="宋体" w:cs="宋体" w:hint="eastAsia"/>
        </w:rPr>
        <w:t>，</w:t>
      </w:r>
      <w:r w:rsidRPr="00500F89">
        <w:rPr>
          <w:rFonts w:ascii="宋体" w:hAnsi="宋体" w:cs="宋体" w:hint="eastAsia"/>
        </w:rPr>
        <w:t>联合王国声明</w:t>
      </w:r>
      <w:r>
        <w:rPr>
          <w:rFonts w:ascii="宋体" w:hAnsi="宋体" w:cs="宋体" w:hint="eastAsia"/>
        </w:rPr>
        <w:t>：</w:t>
      </w:r>
      <w:r>
        <w:rPr>
          <w:rFonts w:asciiTheme="majorBidi" w:hAnsiTheme="majorBidi" w:cstheme="majorBidi" w:hint="eastAsia"/>
        </w:rPr>
        <w:t>“</w:t>
      </w:r>
      <w:r w:rsidRPr="00500F89">
        <w:rPr>
          <w:rFonts w:ascii="宋体" w:hAnsi="宋体" w:cs="宋体" w:hint="eastAsia"/>
        </w:rPr>
        <w:t>接受第五十一条和第五十五条的义务的基础是</w:t>
      </w:r>
      <w:r>
        <w:rPr>
          <w:rFonts w:ascii="宋体" w:hAnsi="宋体" w:cs="宋体" w:hint="eastAsia"/>
        </w:rPr>
        <w:t>，</w:t>
      </w:r>
      <w:r w:rsidRPr="00500F89">
        <w:rPr>
          <w:rFonts w:ascii="宋体" w:hAnsi="宋体" w:cs="宋体" w:hint="eastAsia"/>
        </w:rPr>
        <w:t>联合王国可能交战的任何敌对方本身严格遵守这些义务。如果一敌对方违反第五十一条或第五十二条</w:t>
      </w:r>
      <w:r>
        <w:rPr>
          <w:rFonts w:ascii="宋体" w:hAnsi="宋体" w:cs="宋体" w:hint="eastAsia"/>
        </w:rPr>
        <w:t>，</w:t>
      </w:r>
      <w:r w:rsidRPr="00500F89">
        <w:rPr>
          <w:rFonts w:ascii="宋体" w:hAnsi="宋体" w:cs="宋体" w:hint="eastAsia"/>
        </w:rPr>
        <w:t>对平民居民、平民或民用目标发动严重和蓄意的攻击</w:t>
      </w:r>
      <w:r>
        <w:rPr>
          <w:rFonts w:ascii="宋体" w:hAnsi="宋体" w:cs="宋体" w:hint="eastAsia"/>
        </w:rPr>
        <w:t>，</w:t>
      </w:r>
      <w:r w:rsidRPr="00500F89">
        <w:rPr>
          <w:rFonts w:ascii="宋体" w:hAnsi="宋体" w:cs="宋体" w:hint="eastAsia"/>
        </w:rPr>
        <w:t>或违反第五十三、五十四和五十五条</w:t>
      </w:r>
      <w:r>
        <w:rPr>
          <w:rFonts w:ascii="宋体" w:hAnsi="宋体" w:cs="宋体" w:hint="eastAsia"/>
        </w:rPr>
        <w:t>，</w:t>
      </w:r>
      <w:r w:rsidRPr="00500F89">
        <w:rPr>
          <w:rFonts w:ascii="宋体" w:hAnsi="宋体" w:cs="宋体" w:hint="eastAsia"/>
        </w:rPr>
        <w:t>对受这些条款保护的目标和物品发动严重和蓄意的攻击</w:t>
      </w:r>
      <w:r>
        <w:rPr>
          <w:rFonts w:ascii="宋体" w:hAnsi="宋体" w:cs="宋体" w:hint="eastAsia"/>
        </w:rPr>
        <w:t>，</w:t>
      </w:r>
      <w:r w:rsidRPr="00500F89">
        <w:rPr>
          <w:rFonts w:ascii="宋体" w:hAnsi="宋体" w:cs="宋体" w:hint="eastAsia"/>
        </w:rPr>
        <w:t>联合王国将认为自己有权采取有关条款禁止的措施</w:t>
      </w:r>
      <w:r>
        <w:rPr>
          <w:rFonts w:ascii="宋体" w:hAnsi="宋体" w:cs="宋体" w:hint="eastAsia"/>
        </w:rPr>
        <w:t>，</w:t>
      </w:r>
      <w:r w:rsidRPr="00500F89">
        <w:rPr>
          <w:rFonts w:ascii="宋体" w:hAnsi="宋体" w:cs="宋体" w:hint="eastAsia"/>
        </w:rPr>
        <w:t>但条件是</w:t>
      </w:r>
      <w:r>
        <w:rPr>
          <w:rFonts w:ascii="宋体" w:hAnsi="宋体" w:cs="宋体" w:hint="eastAsia"/>
        </w:rPr>
        <w:t>，</w:t>
      </w:r>
      <w:r w:rsidRPr="00500F89">
        <w:rPr>
          <w:rFonts w:ascii="宋体" w:hAnsi="宋体" w:cs="宋体" w:hint="eastAsia"/>
        </w:rPr>
        <w:t>联合王国认为出于迫使敌对方依照这些条款停止违约行动的唯一目的</w:t>
      </w:r>
      <w:r>
        <w:rPr>
          <w:rFonts w:ascii="宋体" w:hAnsi="宋体" w:cs="宋体" w:hint="eastAsia"/>
        </w:rPr>
        <w:t>，</w:t>
      </w:r>
      <w:r w:rsidRPr="00500F89">
        <w:rPr>
          <w:rFonts w:ascii="宋体" w:hAnsi="宋体" w:cs="宋体" w:hint="eastAsia"/>
        </w:rPr>
        <w:t>采取这种措施是必要的</w:t>
      </w:r>
      <w:r>
        <w:rPr>
          <w:rFonts w:ascii="宋体" w:hAnsi="宋体" w:cs="宋体" w:hint="eastAsia"/>
        </w:rPr>
        <w:t>，</w:t>
      </w:r>
      <w:r w:rsidRPr="00500F89">
        <w:rPr>
          <w:rFonts w:ascii="宋体" w:hAnsi="宋体" w:cs="宋体" w:hint="eastAsia"/>
        </w:rPr>
        <w:t>而且只是在要求敌对方停止违约行动的正式警告被漠视、并由政府最高领导层做出决定之后才可采取。联合王国据此采取的措施将不会与所涉违约行动不相称</w:t>
      </w:r>
      <w:r>
        <w:rPr>
          <w:rFonts w:ascii="宋体" w:hAnsi="宋体" w:cs="宋体" w:hint="eastAsia"/>
        </w:rPr>
        <w:t>，</w:t>
      </w:r>
      <w:r w:rsidRPr="00500F89">
        <w:rPr>
          <w:rFonts w:ascii="宋体" w:hAnsi="宋体" w:cs="宋体" w:hint="eastAsia"/>
        </w:rPr>
        <w:t>而且不会涉及</w:t>
      </w:r>
      <w:r>
        <w:rPr>
          <w:rFonts w:asciiTheme="majorBidi" w:hAnsiTheme="majorBidi" w:cstheme="majorBidi"/>
        </w:rPr>
        <w:t>1949</w:t>
      </w:r>
      <w:r w:rsidRPr="00500F89">
        <w:rPr>
          <w:rFonts w:ascii="宋体" w:hAnsi="宋体" w:cs="宋体" w:hint="eastAsia"/>
        </w:rPr>
        <w:t>年日内瓦四公约所禁止的任何行动</w:t>
      </w:r>
      <w:r>
        <w:rPr>
          <w:rFonts w:ascii="宋体" w:hAnsi="宋体" w:cs="宋体" w:hint="eastAsia"/>
        </w:rPr>
        <w:t>，</w:t>
      </w:r>
      <w:r w:rsidRPr="00500F89">
        <w:rPr>
          <w:rFonts w:ascii="宋体" w:hAnsi="宋体" w:cs="宋体" w:hint="eastAsia"/>
        </w:rPr>
        <w:t>在违约行动停止后</w:t>
      </w:r>
      <w:r>
        <w:rPr>
          <w:rFonts w:ascii="宋体" w:hAnsi="宋体" w:cs="宋体" w:hint="eastAsia"/>
        </w:rPr>
        <w:t>，</w:t>
      </w:r>
      <w:r w:rsidRPr="00500F89">
        <w:rPr>
          <w:rFonts w:ascii="宋体" w:hAnsi="宋体" w:cs="宋体" w:hint="eastAsia"/>
        </w:rPr>
        <w:t>这些措施也将停止。联合王国将向保护国通报发给敌对方的这种正式警告</w:t>
      </w:r>
      <w:r>
        <w:rPr>
          <w:rFonts w:ascii="宋体" w:hAnsi="宋体" w:cs="宋体" w:hint="eastAsia"/>
        </w:rPr>
        <w:t>，</w:t>
      </w:r>
      <w:r w:rsidRPr="00500F89">
        <w:rPr>
          <w:rFonts w:ascii="宋体" w:hAnsi="宋体" w:cs="宋体" w:hint="eastAsia"/>
        </w:rPr>
        <w:t>如果警告遭到漠视</w:t>
      </w:r>
      <w:r>
        <w:rPr>
          <w:rFonts w:ascii="宋体" w:hAnsi="宋体" w:cs="宋体" w:hint="eastAsia"/>
        </w:rPr>
        <w:t>，</w:t>
      </w:r>
      <w:r w:rsidRPr="00500F89">
        <w:rPr>
          <w:rFonts w:ascii="宋体" w:hAnsi="宋体" w:cs="宋体" w:hint="eastAsia"/>
        </w:rPr>
        <w:t>将通报因此而采取的任何措施。</w:t>
      </w:r>
      <w:r>
        <w:rPr>
          <w:rFonts w:asciiTheme="majorBidi" w:hAnsiTheme="majorBidi" w:cstheme="majorBidi" w:hint="eastAsia"/>
        </w:rPr>
        <w:t>”</w:t>
      </w:r>
      <w:r w:rsidRPr="00500F89">
        <w:rPr>
          <w:rFonts w:ascii="宋体" w:hAnsi="宋体" w:cs="宋体" w:hint="eastAsia"/>
        </w:rPr>
        <w:t>保留的案文可登陆</w:t>
      </w:r>
      <w:r>
        <w:rPr>
          <w:rFonts w:ascii="宋体" w:hAnsi="宋体" w:cs="宋体" w:hint="eastAsia"/>
        </w:rPr>
        <w:t>红十字委员会</w:t>
      </w:r>
      <w:r w:rsidRPr="00500F89">
        <w:rPr>
          <w:rFonts w:ascii="宋体" w:hAnsi="宋体" w:cs="宋体" w:hint="eastAsia"/>
        </w:rPr>
        <w:t>网站</w:t>
      </w:r>
      <w:r w:rsidRPr="00D525C7">
        <w:rPr>
          <w:rFonts w:ascii="宋体" w:hAnsi="宋体" w:cs="宋体" w:hint="eastAsia"/>
        </w:rPr>
        <w:t>查阅：</w:t>
      </w:r>
      <w:r w:rsidRPr="004847A4">
        <w:rPr>
          <w:rFonts w:asciiTheme="majorBidi" w:hAnsiTheme="majorBidi" w:cstheme="majorBidi"/>
          <w:spacing w:val="-8"/>
        </w:rPr>
        <w:t>www.icrc.org/ihl.nsf/NORM/0A9E03F0F2EE757CC1256402003FB6D2?OpenDocument</w:t>
      </w:r>
      <w:r>
        <w:rPr>
          <w:rFonts w:ascii="宋体" w:hAnsi="宋体" w:cs="宋体" w:hint="eastAsia"/>
          <w:spacing w:val="-8"/>
        </w:rPr>
        <w:t>，</w:t>
      </w:r>
      <w:r w:rsidRPr="00500F89">
        <w:rPr>
          <w:rFonts w:ascii="宋体" w:hAnsi="宋体" w:cs="宋体" w:hint="eastAsia"/>
        </w:rPr>
        <w:t>见</w:t>
      </w:r>
      <w:r>
        <w:rPr>
          <w:rFonts w:asciiTheme="majorBidi" w:hAnsiTheme="majorBidi" w:cstheme="majorBidi"/>
        </w:rPr>
        <w:t>(m)</w:t>
      </w:r>
      <w:r w:rsidRPr="00500F89">
        <w:rPr>
          <w:rFonts w:ascii="宋体" w:hAnsi="宋体" w:cs="宋体" w:hint="eastAsia"/>
        </w:rPr>
        <w:t>段。</w:t>
      </w:r>
      <w:r>
        <w:rPr>
          <w:rFonts w:asciiTheme="majorBidi" w:eastAsiaTheme="minorEastAsia" w:hAnsiTheme="majorBidi" w:cstheme="majorBidi" w:hint="eastAsia"/>
        </w:rPr>
        <w:t>联合王国</w:t>
      </w:r>
      <w:r>
        <w:rPr>
          <w:rFonts w:ascii="宋体" w:hAnsi="宋体" w:cs="宋体" w:hint="eastAsia"/>
        </w:rPr>
        <w:t>国防部</w:t>
      </w:r>
      <w:r w:rsidRPr="0029487B">
        <w:rPr>
          <w:rFonts w:ascii="宋体" w:hAnsi="宋体" w:cs="宋体" w:hint="eastAsia"/>
        </w:rPr>
        <w:t>《武装冲突法手册》</w:t>
      </w:r>
      <w:r w:rsidRPr="00500F89">
        <w:rPr>
          <w:rFonts w:ascii="宋体" w:hAnsi="宋体" w:cs="宋体" w:hint="eastAsia"/>
        </w:rPr>
        <w:t>中述及可以在交战中报复自然环境的部分条件</w:t>
      </w:r>
      <w:r>
        <w:rPr>
          <w:rFonts w:asciiTheme="majorBidi" w:eastAsiaTheme="minorEastAsia" w:hAnsiTheme="majorBidi" w:cstheme="majorBidi" w:hint="eastAsia"/>
        </w:rPr>
        <w:t>(</w:t>
      </w:r>
      <w:r>
        <w:rPr>
          <w:rFonts w:asciiTheme="majorBidi" w:eastAsiaTheme="minorEastAsia" w:hAnsiTheme="majorBidi" w:cstheme="majorBidi" w:hint="eastAsia"/>
        </w:rPr>
        <w:t>上文脚注</w:t>
      </w:r>
      <w:r>
        <w:rPr>
          <w:rFonts w:asciiTheme="majorBidi" w:eastAsiaTheme="minorEastAsia" w:hAnsiTheme="majorBidi" w:cstheme="majorBidi"/>
        </w:rPr>
        <w:fldChar w:fldCharType="begin"/>
      </w:r>
      <w:r>
        <w:rPr>
          <w:rFonts w:asciiTheme="majorBidi" w:eastAsiaTheme="minorEastAsia" w:hAnsiTheme="majorBidi" w:cstheme="majorBidi"/>
        </w:rPr>
        <w:instrText xml:space="preserve"> </w:instrText>
      </w:r>
      <w:r>
        <w:rPr>
          <w:rFonts w:asciiTheme="majorBidi" w:eastAsiaTheme="minorEastAsia" w:hAnsiTheme="majorBidi" w:cstheme="majorBidi" w:hint="eastAsia"/>
        </w:rPr>
        <w:instrText>NOTEREF _Ref454974186 \h</w:instrText>
      </w:r>
      <w:r>
        <w:rPr>
          <w:rFonts w:asciiTheme="majorBidi" w:eastAsiaTheme="minorEastAsia" w:hAnsiTheme="majorBidi" w:cstheme="majorBidi"/>
        </w:rPr>
        <w:instrText xml:space="preserve"> </w:instrText>
      </w:r>
      <w:r>
        <w:rPr>
          <w:rFonts w:asciiTheme="majorBidi" w:eastAsiaTheme="minorEastAsia" w:hAnsiTheme="majorBidi" w:cstheme="majorBidi"/>
        </w:rPr>
      </w:r>
      <w:r>
        <w:rPr>
          <w:rFonts w:asciiTheme="majorBidi" w:eastAsiaTheme="minorEastAsia" w:hAnsiTheme="majorBidi" w:cstheme="majorBidi"/>
        </w:rPr>
        <w:fldChar w:fldCharType="separate"/>
      </w:r>
      <w:r w:rsidR="00A73EB9">
        <w:rPr>
          <w:rFonts w:asciiTheme="majorBidi" w:eastAsiaTheme="minorEastAsia" w:hAnsiTheme="majorBidi" w:cstheme="majorBidi"/>
        </w:rPr>
        <w:t>1392</w:t>
      </w:r>
      <w:r>
        <w:rPr>
          <w:rFonts w:asciiTheme="majorBidi" w:eastAsiaTheme="minorEastAsia" w:hAnsiTheme="majorBidi" w:cstheme="majorBidi"/>
        </w:rPr>
        <w:fldChar w:fldCharType="end"/>
      </w:r>
      <w:r>
        <w:rPr>
          <w:rFonts w:asciiTheme="majorBidi" w:eastAsiaTheme="minorEastAsia" w:hAnsiTheme="majorBidi" w:cstheme="majorBidi" w:hint="eastAsia"/>
        </w:rPr>
        <w:t>)</w:t>
      </w:r>
      <w:r>
        <w:rPr>
          <w:rFonts w:ascii="宋体" w:hAnsi="宋体" w:cs="宋体" w:hint="eastAsia"/>
        </w:rPr>
        <w:t>，</w:t>
      </w:r>
      <w:r w:rsidRPr="00500F89">
        <w:rPr>
          <w:rFonts w:ascii="宋体" w:hAnsi="宋体" w:cs="宋体" w:hint="eastAsia"/>
        </w:rPr>
        <w:t>第</w:t>
      </w:r>
      <w:r>
        <w:rPr>
          <w:rFonts w:asciiTheme="majorBidi" w:hAnsiTheme="majorBidi" w:cstheme="majorBidi"/>
        </w:rPr>
        <w:t>16.18</w:t>
      </w:r>
      <w:r w:rsidRPr="00500F89">
        <w:rPr>
          <w:rFonts w:asciiTheme="majorBidi" w:hAnsiTheme="majorBidi" w:cstheme="majorBidi"/>
        </w:rPr>
        <w:t>-</w:t>
      </w:r>
      <w:r>
        <w:rPr>
          <w:rFonts w:asciiTheme="majorBidi" w:hAnsiTheme="majorBidi" w:cstheme="majorBidi"/>
        </w:rPr>
        <w:t>16.19.1</w:t>
      </w:r>
      <w:r w:rsidRPr="00500F89">
        <w:rPr>
          <w:rFonts w:ascii="宋体" w:hAnsi="宋体" w:cs="宋体" w:hint="eastAsia"/>
        </w:rPr>
        <w:t>段。有关《第一议定书》是否仅适用于常规武器而不适用于核武器的理解的声明</w:t>
      </w:r>
      <w:r>
        <w:rPr>
          <w:rFonts w:ascii="宋体" w:hAnsi="宋体" w:cs="宋体" w:hint="eastAsia"/>
        </w:rPr>
        <w:t>，</w:t>
      </w:r>
      <w:r w:rsidRPr="00500F89">
        <w:rPr>
          <w:rFonts w:ascii="宋体" w:hAnsi="宋体" w:cs="宋体" w:hint="eastAsia"/>
        </w:rPr>
        <w:t>见</w:t>
      </w:r>
      <w:r>
        <w:rPr>
          <w:rFonts w:asciiTheme="majorBidi" w:hAnsiTheme="majorBidi" w:cstheme="majorBidi"/>
        </w:rPr>
        <w:t>A/C</w:t>
      </w:r>
      <w:r w:rsidRPr="00500F89">
        <w:rPr>
          <w:rFonts w:asciiTheme="majorBidi" w:hAnsiTheme="majorBidi" w:cstheme="majorBidi"/>
        </w:rPr>
        <w:t>.</w:t>
      </w:r>
      <w:r>
        <w:rPr>
          <w:rFonts w:asciiTheme="majorBidi" w:hAnsiTheme="majorBidi" w:cstheme="majorBidi"/>
        </w:rPr>
        <w:t>N/4/685</w:t>
      </w:r>
      <w:r>
        <w:rPr>
          <w:rFonts w:asciiTheme="majorBidi" w:eastAsiaTheme="minorEastAsia" w:hAnsiTheme="majorBidi" w:cstheme="majorBidi" w:hint="eastAsia"/>
        </w:rPr>
        <w:t>，</w:t>
      </w:r>
      <w:r w:rsidRPr="00500F89">
        <w:rPr>
          <w:rFonts w:ascii="宋体" w:hAnsi="宋体" w:cs="宋体" w:hint="eastAsia"/>
        </w:rPr>
        <w:t>第</w:t>
      </w:r>
      <w:r>
        <w:rPr>
          <w:rFonts w:asciiTheme="majorBidi" w:hAnsiTheme="majorBidi" w:cstheme="majorBidi"/>
        </w:rPr>
        <w:t>130</w:t>
      </w:r>
      <w:r w:rsidRPr="00500F89">
        <w:rPr>
          <w:rFonts w:ascii="宋体" w:hAnsi="宋体" w:cs="宋体" w:hint="eastAsia"/>
        </w:rPr>
        <w:t>段。见爱尔兰的声明和保留</w:t>
      </w:r>
      <w:r>
        <w:rPr>
          <w:rFonts w:ascii="宋体" w:hAnsi="宋体" w:cs="宋体" w:hint="eastAsia"/>
        </w:rPr>
        <w:t>：</w:t>
      </w:r>
      <w:r>
        <w:rPr>
          <w:rFonts w:asciiTheme="majorBidi" w:hAnsiTheme="majorBidi" w:cstheme="majorBidi" w:hint="eastAsia"/>
        </w:rPr>
        <w:t>“</w:t>
      </w:r>
      <w:r w:rsidRPr="00500F89">
        <w:rPr>
          <w:rFonts w:ascii="宋体" w:hAnsi="宋体" w:cs="宋体" w:hint="eastAsia"/>
        </w:rPr>
        <w:t>第五十五条</w:t>
      </w:r>
      <w:r>
        <w:rPr>
          <w:rFonts w:ascii="宋体" w:hAnsi="宋体" w:cs="宋体" w:hint="eastAsia"/>
        </w:rPr>
        <w:t>：</w:t>
      </w:r>
      <w:r w:rsidRPr="00500F89">
        <w:rPr>
          <w:rFonts w:ascii="宋体" w:hAnsi="宋体" w:cs="宋体" w:hint="eastAsia"/>
        </w:rPr>
        <w:t>为确保在作战中注意保护自然环境不受广泛、长期和严重的损害</w:t>
      </w:r>
      <w:r>
        <w:rPr>
          <w:rFonts w:ascii="宋体" w:hAnsi="宋体" w:cs="宋体" w:hint="eastAsia"/>
        </w:rPr>
        <w:t>，</w:t>
      </w:r>
      <w:r w:rsidRPr="00500F89">
        <w:rPr>
          <w:rFonts w:ascii="宋体" w:hAnsi="宋体" w:cs="宋体" w:hint="eastAsia"/>
        </w:rPr>
        <w:t>并考虑到应禁止使用旨在或可能对自然环境造成这种损害从而妨害居民的健康和生存的作战方法或手段</w:t>
      </w:r>
      <w:r>
        <w:rPr>
          <w:rFonts w:ascii="宋体" w:hAnsi="宋体" w:cs="宋体" w:hint="eastAsia"/>
        </w:rPr>
        <w:t>，</w:t>
      </w:r>
      <w:r w:rsidRPr="00500F89">
        <w:rPr>
          <w:rFonts w:ascii="宋体" w:hAnsi="宋体" w:cs="宋体" w:hint="eastAsia"/>
        </w:rPr>
        <w:t>爱尔兰声明</w:t>
      </w:r>
      <w:r>
        <w:rPr>
          <w:rFonts w:ascii="宋体" w:hAnsi="宋体" w:cs="宋体" w:hint="eastAsia"/>
        </w:rPr>
        <w:t>，</w:t>
      </w:r>
      <w:r w:rsidRPr="00500F89">
        <w:rPr>
          <w:rFonts w:ascii="宋体" w:hAnsi="宋体" w:cs="宋体" w:hint="eastAsia"/>
        </w:rPr>
        <w:t>核武器即便不直接受《第一附加议定书》管辖</w:t>
      </w:r>
      <w:r>
        <w:rPr>
          <w:rFonts w:ascii="宋体" w:hAnsi="宋体" w:cs="宋体" w:hint="eastAsia"/>
        </w:rPr>
        <w:t>，</w:t>
      </w:r>
      <w:r w:rsidRPr="00500F89">
        <w:rPr>
          <w:rFonts w:ascii="宋体" w:hAnsi="宋体" w:cs="宋体" w:hint="eastAsia"/>
        </w:rPr>
        <w:t>也依然受</w:t>
      </w:r>
      <w:r>
        <w:rPr>
          <w:rFonts w:asciiTheme="majorBidi" w:hAnsiTheme="majorBidi" w:cstheme="majorBidi"/>
        </w:rPr>
        <w:t>1996</w:t>
      </w:r>
      <w:r w:rsidRPr="00500F89">
        <w:rPr>
          <w:rFonts w:ascii="宋体" w:hAnsi="宋体" w:cs="宋体" w:hint="eastAsia"/>
        </w:rPr>
        <w:t>年国际法院关于</w:t>
      </w:r>
      <w:r>
        <w:rPr>
          <w:rFonts w:asciiTheme="majorBidi" w:eastAsiaTheme="minorEastAsia" w:hAnsiTheme="majorBidi" w:cstheme="majorBidi" w:hint="eastAsia"/>
        </w:rPr>
        <w:t>‘</w:t>
      </w:r>
      <w:r w:rsidRPr="00500F89">
        <w:rPr>
          <w:rFonts w:ascii="宋体" w:hAnsi="宋体" w:cs="宋体" w:hint="eastAsia"/>
        </w:rPr>
        <w:t>以核武器进行威胁或使用核武器的合法性</w:t>
      </w:r>
      <w:r>
        <w:rPr>
          <w:rFonts w:asciiTheme="majorBidi" w:eastAsiaTheme="minorEastAsia" w:hAnsiTheme="majorBidi" w:cstheme="majorBidi" w:hint="eastAsia"/>
        </w:rPr>
        <w:t>’</w:t>
      </w:r>
      <w:r w:rsidRPr="00500F89">
        <w:rPr>
          <w:rFonts w:ascii="宋体" w:hAnsi="宋体" w:cs="宋体" w:hint="eastAsia"/>
        </w:rPr>
        <w:t>的咨询意见中确认的现有国际法规则的制约。爱尔兰将本着能为平民居民提供最好保护的精神来解释并适用本条款。</w:t>
      </w:r>
      <w:r>
        <w:rPr>
          <w:rFonts w:asciiTheme="majorBidi" w:hAnsiTheme="majorBidi" w:cstheme="majorBidi" w:hint="eastAsia"/>
        </w:rPr>
        <w:t>”</w:t>
      </w:r>
      <w:r w:rsidRPr="00500F89">
        <w:rPr>
          <w:rFonts w:ascii="宋体" w:hAnsi="宋体" w:cs="宋体" w:hint="eastAsia"/>
        </w:rPr>
        <w:t>本声明可登陆</w:t>
      </w:r>
      <w:r>
        <w:rPr>
          <w:rFonts w:ascii="宋体" w:hAnsi="宋体" w:cs="宋体" w:hint="eastAsia"/>
        </w:rPr>
        <w:t>红十字委员会</w:t>
      </w:r>
      <w:r w:rsidRPr="00500F89">
        <w:rPr>
          <w:rFonts w:ascii="宋体" w:hAnsi="宋体" w:cs="宋体" w:hint="eastAsia"/>
        </w:rPr>
        <w:t>网站查阅</w:t>
      </w:r>
      <w:r>
        <w:rPr>
          <w:rFonts w:ascii="宋体" w:hAnsi="宋体" w:cs="宋体" w:hint="eastAsia"/>
        </w:rPr>
        <w:t>：</w:t>
      </w:r>
      <w:r w:rsidRPr="00334F8C">
        <w:rPr>
          <w:rFonts w:asciiTheme="majorBidi" w:hAnsiTheme="majorBidi" w:cstheme="majorBidi"/>
          <w:spacing w:val="-4"/>
        </w:rPr>
        <w:t>www.icrc.org/applic/ihl/ihl.nsf/Notification.xsp</w:t>
      </w:r>
      <w:r w:rsidRPr="00334F8C">
        <w:rPr>
          <w:rFonts w:asciiTheme="majorBidi" w:hAnsiTheme="majorBidi" w:cstheme="majorBidi"/>
          <w:spacing w:val="-8"/>
        </w:rPr>
        <w:t>?</w:t>
      </w:r>
      <w:r w:rsidRPr="00334F8C">
        <w:rPr>
          <w:rFonts w:asciiTheme="majorBidi" w:hAnsiTheme="majorBidi" w:cstheme="majorBidi"/>
          <w:spacing w:val="-4"/>
        </w:rPr>
        <w:t>documentId=27BBCD34A4918BFBC125</w:t>
      </w:r>
      <w:r>
        <w:rPr>
          <w:rFonts w:asciiTheme="majorBidi" w:hAnsiTheme="majorBidi" w:cstheme="majorBidi" w:hint="eastAsia"/>
          <w:spacing w:val="-4"/>
        </w:rPr>
        <w:t xml:space="preserve"> </w:t>
      </w:r>
      <w:r w:rsidRPr="004847A4">
        <w:rPr>
          <w:rFonts w:asciiTheme="majorBidi" w:hAnsiTheme="majorBidi" w:cstheme="majorBidi"/>
          <w:spacing w:val="-4"/>
        </w:rPr>
        <w:t>6402003FB43</w:t>
      </w:r>
      <w:r w:rsidRPr="004847A4">
        <w:rPr>
          <w:rFonts w:asciiTheme="majorBidi" w:hAnsiTheme="majorBidi" w:cstheme="majorBidi" w:hint="eastAsia"/>
          <w:spacing w:val="-8"/>
        </w:rPr>
        <w:t xml:space="preserve"> </w:t>
      </w:r>
      <w:r w:rsidRPr="004847A4">
        <w:rPr>
          <w:rFonts w:asciiTheme="majorBidi" w:hAnsiTheme="majorBidi" w:cstheme="majorBidi"/>
          <w:spacing w:val="-8"/>
        </w:rPr>
        <w:t>A&amp;action</w:t>
      </w:r>
      <w:r w:rsidRPr="004847A4">
        <w:rPr>
          <w:rFonts w:asciiTheme="majorBidi" w:hAnsiTheme="majorBidi" w:cstheme="majorBidi"/>
          <w:spacing w:val="-6"/>
        </w:rPr>
        <w:t>=Open</w:t>
      </w:r>
      <w:r w:rsidRPr="004847A4">
        <w:rPr>
          <w:rFonts w:asciiTheme="majorBidi" w:hAnsiTheme="majorBidi" w:cstheme="majorBidi"/>
        </w:rPr>
        <w:t>Document</w:t>
      </w:r>
      <w:r w:rsidRPr="00500F89">
        <w:rPr>
          <w:rFonts w:ascii="宋体" w:hAnsi="宋体" w:cs="宋体" w:hint="eastAsia"/>
        </w:rPr>
        <w:t>。还应指出</w:t>
      </w:r>
      <w:r>
        <w:rPr>
          <w:rFonts w:ascii="宋体" w:hAnsi="宋体" w:cs="宋体" w:hint="eastAsia"/>
        </w:rPr>
        <w:t>，</w:t>
      </w:r>
      <w:r w:rsidRPr="00500F89">
        <w:rPr>
          <w:rFonts w:ascii="宋体" w:hAnsi="宋体" w:cs="宋体" w:hint="eastAsia"/>
        </w:rPr>
        <w:t>法院在</w:t>
      </w:r>
      <w:r>
        <w:rPr>
          <w:rFonts w:asciiTheme="majorBidi" w:hAnsiTheme="majorBidi" w:cstheme="majorBidi" w:hint="eastAsia"/>
        </w:rPr>
        <w:t>“</w:t>
      </w:r>
      <w:r>
        <w:rPr>
          <w:rFonts w:asciiTheme="majorBidi" w:eastAsiaTheme="minorEastAsia" w:hAnsiTheme="majorBidi" w:cstheme="majorBidi" w:hint="eastAsia"/>
        </w:rPr>
        <w:t>关于</w:t>
      </w:r>
      <w:r w:rsidRPr="00500F89">
        <w:rPr>
          <w:rFonts w:ascii="宋体" w:hAnsi="宋体" w:cs="宋体" w:hint="eastAsia"/>
        </w:rPr>
        <w:t>以核武器进行威胁或使用核武器的合法性</w:t>
      </w:r>
      <w:r>
        <w:rPr>
          <w:rFonts w:asciiTheme="majorBidi" w:eastAsiaTheme="minorEastAsia" w:hAnsiTheme="majorBidi" w:cstheme="majorBidi" w:hint="eastAsia"/>
        </w:rPr>
        <w:t>的</w:t>
      </w:r>
      <w:r w:rsidRPr="00500F89">
        <w:rPr>
          <w:rFonts w:ascii="宋体" w:hAnsi="宋体" w:cs="宋体" w:hint="eastAsia"/>
        </w:rPr>
        <w:t>咨询意见</w:t>
      </w:r>
      <w:r>
        <w:rPr>
          <w:rFonts w:asciiTheme="majorBidi" w:hAnsiTheme="majorBidi" w:cstheme="majorBidi" w:hint="eastAsia"/>
        </w:rPr>
        <w:t>”</w:t>
      </w:r>
      <w:r>
        <w:rPr>
          <w:rFonts w:asciiTheme="majorBidi" w:hAnsiTheme="majorBidi" w:cstheme="majorBidi"/>
        </w:rPr>
        <w:t>(</w:t>
      </w:r>
      <w:r>
        <w:rPr>
          <w:rFonts w:asciiTheme="majorBidi" w:eastAsiaTheme="minorEastAsia" w:hAnsiTheme="majorBidi" w:cstheme="majorBidi" w:hint="eastAsia"/>
        </w:rPr>
        <w:t>《</w:t>
      </w:r>
      <w:r>
        <w:rPr>
          <w:rFonts w:asciiTheme="majorBidi" w:eastAsiaTheme="minorEastAsia" w:hAnsiTheme="majorBidi" w:cstheme="majorBidi" w:hint="eastAsia"/>
        </w:rPr>
        <w:t>1996</w:t>
      </w:r>
      <w:r>
        <w:rPr>
          <w:rFonts w:asciiTheme="majorBidi" w:eastAsiaTheme="minorEastAsia" w:hAnsiTheme="majorBidi" w:cstheme="majorBidi" w:hint="eastAsia"/>
        </w:rPr>
        <w:t>年国际法院案例汇编》，第</w:t>
      </w:r>
      <w:r>
        <w:rPr>
          <w:rFonts w:asciiTheme="majorBidi" w:eastAsiaTheme="minorEastAsia" w:hAnsiTheme="majorBidi" w:cstheme="majorBidi" w:hint="eastAsia"/>
        </w:rPr>
        <w:t>226</w:t>
      </w:r>
      <w:r>
        <w:rPr>
          <w:rFonts w:asciiTheme="majorBidi" w:eastAsiaTheme="minorEastAsia" w:hAnsiTheme="majorBidi" w:cstheme="majorBidi" w:hint="eastAsia"/>
        </w:rPr>
        <w:t>页，</w:t>
      </w:r>
      <w:r w:rsidRPr="00500F89">
        <w:rPr>
          <w:rFonts w:ascii="宋体" w:hAnsi="宋体" w:cs="宋体" w:hint="eastAsia"/>
        </w:rPr>
        <w:t>第</w:t>
      </w:r>
      <w:r>
        <w:rPr>
          <w:rFonts w:asciiTheme="majorBidi" w:hAnsiTheme="majorBidi" w:cstheme="majorBidi"/>
        </w:rPr>
        <w:t>46</w:t>
      </w:r>
      <w:r w:rsidRPr="00500F89">
        <w:rPr>
          <w:rFonts w:ascii="宋体" w:hAnsi="宋体" w:cs="宋体" w:hint="eastAsia"/>
        </w:rPr>
        <w:t>段</w:t>
      </w:r>
      <w:r>
        <w:rPr>
          <w:rFonts w:asciiTheme="majorBidi" w:hAnsiTheme="majorBidi" w:cstheme="majorBidi"/>
        </w:rPr>
        <w:t>)</w:t>
      </w:r>
      <w:r w:rsidRPr="00500F89">
        <w:rPr>
          <w:rFonts w:ascii="宋体" w:hAnsi="宋体" w:cs="宋体" w:hint="eastAsia"/>
        </w:rPr>
        <w:t>中指出</w:t>
      </w:r>
      <w:r>
        <w:rPr>
          <w:rFonts w:ascii="宋体" w:hAnsi="宋体" w:cs="宋体" w:hint="eastAsia"/>
        </w:rPr>
        <w:t>，</w:t>
      </w:r>
      <w:r>
        <w:rPr>
          <w:rFonts w:asciiTheme="majorBidi" w:hAnsiTheme="majorBidi" w:cstheme="majorBidi" w:hint="eastAsia"/>
        </w:rPr>
        <w:t>“</w:t>
      </w:r>
      <w:r w:rsidRPr="00500F89">
        <w:rPr>
          <w:rFonts w:ascii="宋体" w:hAnsi="宋体" w:cs="宋体" w:hint="eastAsia"/>
        </w:rPr>
        <w:t>某些国家坚称使用核武器进行报复是合法的。在这方面</w:t>
      </w:r>
      <w:r>
        <w:rPr>
          <w:rFonts w:ascii="宋体" w:hAnsi="宋体" w:cs="宋体" w:hint="eastAsia"/>
        </w:rPr>
        <w:t>，</w:t>
      </w:r>
      <w:r w:rsidRPr="00500F89">
        <w:rPr>
          <w:rFonts w:ascii="宋体" w:hAnsi="宋体" w:cs="宋体" w:hint="eastAsia"/>
        </w:rPr>
        <w:t>本院不必审查和平时期进行武装报复的问题</w:t>
      </w:r>
      <w:r>
        <w:rPr>
          <w:rFonts w:ascii="宋体" w:hAnsi="宋体" w:cs="宋体" w:hint="eastAsia"/>
        </w:rPr>
        <w:t>，</w:t>
      </w:r>
      <w:r w:rsidRPr="00500F89">
        <w:rPr>
          <w:rFonts w:ascii="宋体" w:hAnsi="宋体" w:cs="宋体" w:hint="eastAsia"/>
        </w:rPr>
        <w:t>因为这被认为是不合法的。本院也不必对交战国的报复问题发表意见</w:t>
      </w:r>
      <w:r>
        <w:rPr>
          <w:rFonts w:ascii="宋体" w:hAnsi="宋体" w:cs="宋体" w:hint="eastAsia"/>
        </w:rPr>
        <w:t>，</w:t>
      </w:r>
      <w:r w:rsidRPr="00500F89">
        <w:rPr>
          <w:rFonts w:ascii="宋体" w:hAnsi="宋体" w:cs="宋体" w:hint="eastAsia"/>
        </w:rPr>
        <w:t>只须指出</w:t>
      </w:r>
      <w:r>
        <w:rPr>
          <w:rFonts w:ascii="宋体" w:hAnsi="宋体" w:cs="宋体" w:hint="eastAsia"/>
        </w:rPr>
        <w:t>，</w:t>
      </w:r>
      <w:r w:rsidRPr="00500F89">
        <w:rPr>
          <w:rFonts w:ascii="宋体" w:hAnsi="宋体" w:cs="宋体" w:hint="eastAsia"/>
        </w:rPr>
        <w:t>在任何情况下</w:t>
      </w:r>
      <w:r>
        <w:rPr>
          <w:rFonts w:ascii="宋体" w:hAnsi="宋体" w:cs="宋体" w:hint="eastAsia"/>
        </w:rPr>
        <w:t>，任何采取这种报复的权利都</w:t>
      </w:r>
      <w:r>
        <w:rPr>
          <w:rFonts w:asciiTheme="majorBidi" w:eastAsiaTheme="minorEastAsia" w:hAnsiTheme="majorBidi" w:cstheme="majorBidi" w:hint="eastAsia"/>
        </w:rPr>
        <w:t>像</w:t>
      </w:r>
      <w:r w:rsidRPr="00500F89">
        <w:rPr>
          <w:rFonts w:ascii="宋体" w:hAnsi="宋体" w:cs="宋体" w:hint="eastAsia"/>
        </w:rPr>
        <w:t>自卫一样</w:t>
      </w:r>
      <w:r>
        <w:rPr>
          <w:rFonts w:ascii="宋体" w:hAnsi="宋体" w:cs="宋体" w:hint="eastAsia"/>
        </w:rPr>
        <w:t>，</w:t>
      </w:r>
      <w:r w:rsidRPr="00500F89">
        <w:rPr>
          <w:rFonts w:ascii="宋体" w:hAnsi="宋体" w:cs="宋体" w:hint="eastAsia"/>
        </w:rPr>
        <w:t>必须遵守相称性原则。</w:t>
      </w:r>
      <w:r>
        <w:rPr>
          <w:rFonts w:asciiTheme="majorBidi" w:hAnsiTheme="majorBidi" w:cstheme="majorBidi" w:hint="eastAsia"/>
        </w:rPr>
        <w:t>”</w:t>
      </w:r>
    </w:p>
  </w:footnote>
  <w:footnote w:id="1398">
    <w:p w:rsidR="00AB00DE" w:rsidRPr="00805D6C" w:rsidRDefault="00AB00DE" w:rsidP="00396D56">
      <w:pPr>
        <w:pStyle w:val="a4"/>
        <w:spacing w:after="80"/>
      </w:pPr>
      <w:r>
        <w:rPr>
          <w:rFonts w:hint="eastAsia"/>
        </w:rPr>
        <w:tab/>
      </w:r>
      <w:r w:rsidRPr="003D3D39">
        <w:rPr>
          <w:rStyle w:val="a5"/>
          <w:rFonts w:cstheme="majorBidi"/>
        </w:rPr>
        <w:footnoteRef/>
      </w:r>
      <w:r w:rsidRPr="00E64449">
        <w:rPr>
          <w:rStyle w:val="a5"/>
          <w:rFonts w:asciiTheme="majorBidi" w:hAnsiTheme="majorBidi" w:cstheme="majorBidi" w:hint="eastAsia"/>
          <w:color w:val="000000" w:themeColor="text1"/>
        </w:rPr>
        <w:tab/>
      </w:r>
      <w:r>
        <w:rPr>
          <w:rFonts w:ascii="宋体" w:hAnsi="宋体" w:cs="宋体" w:hint="eastAsia"/>
        </w:rPr>
        <w:t>法国、爱尔兰和</w:t>
      </w:r>
      <w:r w:rsidRPr="00805D6C">
        <w:rPr>
          <w:rFonts w:ascii="宋体" w:hAnsi="宋体" w:cs="宋体" w:hint="eastAsia"/>
        </w:rPr>
        <w:t>联合王国。</w:t>
      </w:r>
    </w:p>
  </w:footnote>
  <w:footnote w:id="1399">
    <w:p w:rsidR="00AB00DE" w:rsidRPr="00805D6C" w:rsidRDefault="00AB00DE" w:rsidP="00A01826">
      <w:pPr>
        <w:pStyle w:val="a4"/>
        <w:spacing w:after="80"/>
      </w:pPr>
      <w:r>
        <w:rPr>
          <w:rFonts w:hint="eastAsia"/>
        </w:rPr>
        <w:tab/>
      </w:r>
      <w:r w:rsidRPr="003D3D39">
        <w:rPr>
          <w:rStyle w:val="a5"/>
          <w:rFonts w:cstheme="majorBidi"/>
        </w:rPr>
        <w:footnoteRef/>
      </w:r>
      <w:r>
        <w:rPr>
          <w:rFonts w:hint="eastAsia"/>
        </w:rPr>
        <w:tab/>
      </w:r>
      <w:r w:rsidRPr="00061AC4">
        <w:rPr>
          <w:rFonts w:ascii="宋体" w:hAnsi="宋体" w:cs="宋体" w:hint="eastAsia"/>
          <w:spacing w:val="-4"/>
        </w:rPr>
        <w:t>见《关于重申和发展适用于武装冲突的国际人道主义法律的外交会议正式记录》</w:t>
      </w:r>
      <w:r w:rsidRPr="00061AC4">
        <w:rPr>
          <w:spacing w:val="-4"/>
        </w:rPr>
        <w:t>(</w:t>
      </w:r>
      <w:r>
        <w:rPr>
          <w:spacing w:val="-4"/>
        </w:rPr>
        <w:t>1974</w:t>
      </w:r>
      <w:r w:rsidRPr="00061AC4">
        <w:rPr>
          <w:spacing w:val="-4"/>
        </w:rPr>
        <w:t>-</w:t>
      </w:r>
      <w:r>
        <w:rPr>
          <w:spacing w:val="-4"/>
        </w:rPr>
        <w:t>1977</w:t>
      </w:r>
      <w:r w:rsidRPr="00061AC4">
        <w:rPr>
          <w:rFonts w:ascii="宋体" w:hAnsi="宋体" w:cs="宋体" w:hint="eastAsia"/>
          <w:spacing w:val="-4"/>
        </w:rPr>
        <w:t>年，</w:t>
      </w:r>
      <w:r w:rsidRPr="00805D6C">
        <w:rPr>
          <w:rFonts w:ascii="宋体" w:hAnsi="宋体" w:cs="宋体" w:hint="eastAsia"/>
        </w:rPr>
        <w:t>日内瓦</w:t>
      </w:r>
      <w:r>
        <w:t>)</w:t>
      </w:r>
      <w:r w:rsidRPr="00805D6C">
        <w:rPr>
          <w:rFonts w:ascii="宋体" w:hAnsi="宋体" w:cs="宋体" w:hint="eastAsia"/>
        </w:rPr>
        <w:t>第九卷</w:t>
      </w:r>
      <w:r>
        <w:rPr>
          <w:rFonts w:ascii="宋体" w:hAnsi="宋体" w:cs="宋体" w:hint="eastAsia"/>
        </w:rPr>
        <w:t>，</w:t>
      </w:r>
      <w:r w:rsidRPr="00805D6C">
        <w:rPr>
          <w:rFonts w:ascii="宋体" w:hAnsi="宋体" w:cs="宋体" w:hint="eastAsia"/>
        </w:rPr>
        <w:t>见</w:t>
      </w:r>
      <w:r w:rsidRPr="008022D4">
        <w:rPr>
          <w:rFonts w:asciiTheme="majorBidi" w:hAnsiTheme="majorBidi" w:cstheme="majorBidi"/>
        </w:rPr>
        <w:t>www.loc.gov/rr/frd/Military_Law/RC-dipl-conference-records.html</w:t>
      </w:r>
      <w:r>
        <w:rPr>
          <w:rFonts w:ascii="宋体" w:hAnsi="宋体" w:cs="宋体" w:hint="eastAsia"/>
        </w:rPr>
        <w:t>，</w:t>
      </w:r>
      <w:r w:rsidRPr="00805D6C">
        <w:rPr>
          <w:rFonts w:ascii="宋体" w:hAnsi="宋体" w:cs="宋体" w:hint="eastAsia"/>
        </w:rPr>
        <w:t>最值得注意的是加拿大</w:t>
      </w:r>
      <w:r>
        <w:t>(</w:t>
      </w:r>
      <w:r w:rsidRPr="00805D6C">
        <w:rPr>
          <w:rFonts w:ascii="宋体" w:hAnsi="宋体" w:cs="宋体" w:hint="eastAsia"/>
        </w:rPr>
        <w:t>第</w:t>
      </w:r>
      <w:r>
        <w:t>428</w:t>
      </w:r>
      <w:r w:rsidRPr="00805D6C">
        <w:rPr>
          <w:rFonts w:ascii="宋体" w:hAnsi="宋体" w:cs="宋体" w:hint="eastAsia"/>
        </w:rPr>
        <w:t>页</w:t>
      </w:r>
      <w:r>
        <w:t>)</w:t>
      </w:r>
      <w:r w:rsidRPr="00805D6C">
        <w:rPr>
          <w:rFonts w:ascii="宋体" w:hAnsi="宋体" w:cs="宋体" w:hint="eastAsia"/>
        </w:rPr>
        <w:t>、伊朗伊斯兰共和国</w:t>
      </w:r>
      <w:r>
        <w:t>(</w:t>
      </w:r>
      <w:r w:rsidRPr="00805D6C">
        <w:rPr>
          <w:rFonts w:ascii="宋体" w:hAnsi="宋体" w:cs="宋体" w:hint="eastAsia"/>
        </w:rPr>
        <w:t>第</w:t>
      </w:r>
      <w:r>
        <w:t>429</w:t>
      </w:r>
      <w:r w:rsidRPr="00805D6C">
        <w:rPr>
          <w:rFonts w:ascii="宋体" w:hAnsi="宋体" w:cs="宋体" w:hint="eastAsia"/>
        </w:rPr>
        <w:t>页</w:t>
      </w:r>
      <w:r>
        <w:t>)</w:t>
      </w:r>
      <w:r w:rsidRPr="00805D6C">
        <w:rPr>
          <w:rFonts w:ascii="宋体" w:hAnsi="宋体" w:cs="宋体" w:hint="eastAsia"/>
        </w:rPr>
        <w:t>、伊拉克</w:t>
      </w:r>
      <w:r>
        <w:t>(</w:t>
      </w:r>
      <w:r w:rsidRPr="00805D6C">
        <w:rPr>
          <w:rFonts w:ascii="宋体" w:hAnsi="宋体" w:cs="宋体" w:hint="eastAsia"/>
        </w:rPr>
        <w:t>第</w:t>
      </w:r>
      <w:r>
        <w:t>314</w:t>
      </w:r>
      <w:r w:rsidRPr="00805D6C">
        <w:rPr>
          <w:rFonts w:ascii="宋体" w:hAnsi="宋体" w:cs="宋体" w:hint="eastAsia"/>
        </w:rPr>
        <w:t>页</w:t>
      </w:r>
      <w:r>
        <w:t>)</w:t>
      </w:r>
      <w:r w:rsidRPr="00805D6C">
        <w:rPr>
          <w:rFonts w:ascii="宋体" w:hAnsi="宋体" w:cs="宋体" w:hint="eastAsia"/>
        </w:rPr>
        <w:t>、墨西哥</w:t>
      </w:r>
      <w:r>
        <w:t>(</w:t>
      </w:r>
      <w:r w:rsidRPr="00805D6C">
        <w:rPr>
          <w:rFonts w:ascii="宋体" w:hAnsi="宋体" w:cs="宋体" w:hint="eastAsia"/>
        </w:rPr>
        <w:t>第</w:t>
      </w:r>
      <w:r>
        <w:t>318</w:t>
      </w:r>
      <w:r w:rsidRPr="00805D6C">
        <w:rPr>
          <w:rFonts w:ascii="宋体" w:hAnsi="宋体" w:cs="宋体" w:hint="eastAsia"/>
        </w:rPr>
        <w:t>页</w:t>
      </w:r>
      <w:r>
        <w:t>)</w:t>
      </w:r>
      <w:r w:rsidRPr="00805D6C">
        <w:rPr>
          <w:rFonts w:ascii="宋体" w:hAnsi="宋体" w:cs="宋体" w:hint="eastAsia"/>
        </w:rPr>
        <w:t>和希腊</w:t>
      </w:r>
      <w:r>
        <w:t>(</w:t>
      </w:r>
      <w:r w:rsidRPr="00805D6C">
        <w:rPr>
          <w:rFonts w:ascii="宋体" w:hAnsi="宋体" w:cs="宋体" w:hint="eastAsia"/>
        </w:rPr>
        <w:t>第</w:t>
      </w:r>
      <w:r>
        <w:t>429</w:t>
      </w:r>
      <w:r w:rsidRPr="00805D6C">
        <w:rPr>
          <w:rFonts w:ascii="宋体" w:hAnsi="宋体" w:cs="宋体" w:hint="eastAsia"/>
        </w:rPr>
        <w:t>页</w:t>
      </w:r>
      <w:r>
        <w:t>)</w:t>
      </w:r>
      <w:r w:rsidRPr="00805D6C">
        <w:rPr>
          <w:rFonts w:ascii="宋体" w:hAnsi="宋体" w:cs="宋体" w:hint="eastAsia"/>
        </w:rPr>
        <w:t>的发言。另见</w:t>
      </w:r>
      <w:r>
        <w:rPr>
          <w:color w:val="000000" w:themeColor="text1"/>
        </w:rPr>
        <w:t>Henckaerts</w:t>
      </w:r>
      <w:r w:rsidRPr="005715FC">
        <w:rPr>
          <w:color w:val="000000" w:themeColor="text1"/>
        </w:rPr>
        <w:t xml:space="preserve"> </w:t>
      </w:r>
      <w:r>
        <w:rPr>
          <w:color w:val="000000" w:themeColor="text1"/>
        </w:rPr>
        <w:t>and</w:t>
      </w:r>
      <w:r w:rsidRPr="005715FC">
        <w:rPr>
          <w:color w:val="000000" w:themeColor="text1"/>
        </w:rPr>
        <w:t xml:space="preserve"> </w:t>
      </w:r>
      <w:r>
        <w:rPr>
          <w:color w:val="000000" w:themeColor="text1"/>
        </w:rPr>
        <w:t>Doswald</w:t>
      </w:r>
      <w:r w:rsidRPr="005715FC">
        <w:rPr>
          <w:color w:val="000000" w:themeColor="text1"/>
        </w:rPr>
        <w:t>-</w:t>
      </w:r>
      <w:r>
        <w:rPr>
          <w:color w:val="000000" w:themeColor="text1"/>
        </w:rPr>
        <w:t>Beck</w:t>
      </w:r>
      <w:r w:rsidRPr="005715FC">
        <w:rPr>
          <w:color w:val="000000" w:themeColor="text1"/>
        </w:rPr>
        <w:t xml:space="preserve">, </w:t>
      </w:r>
      <w:r>
        <w:rPr>
          <w:i/>
          <w:iCs/>
          <w:color w:val="000000" w:themeColor="text1"/>
        </w:rPr>
        <w:t>Customary</w:t>
      </w:r>
      <w:r w:rsidRPr="005715FC">
        <w:rPr>
          <w:i/>
          <w:iCs/>
          <w:color w:val="000000" w:themeColor="text1"/>
        </w:rPr>
        <w:t xml:space="preserve"> </w:t>
      </w:r>
      <w:r>
        <w:rPr>
          <w:i/>
          <w:iCs/>
          <w:color w:val="000000" w:themeColor="text1"/>
        </w:rPr>
        <w:t>International</w:t>
      </w:r>
      <w:r w:rsidRPr="005715FC">
        <w:rPr>
          <w:i/>
          <w:iCs/>
          <w:color w:val="000000" w:themeColor="text1"/>
        </w:rPr>
        <w:t xml:space="preserve"> </w:t>
      </w:r>
      <w:r>
        <w:rPr>
          <w:i/>
          <w:iCs/>
          <w:color w:val="000000" w:themeColor="text1"/>
        </w:rPr>
        <w:t>Humanitarian</w:t>
      </w:r>
      <w:r w:rsidRPr="005715FC">
        <w:rPr>
          <w:i/>
          <w:iCs/>
          <w:color w:val="000000" w:themeColor="text1"/>
        </w:rPr>
        <w:t xml:space="preserve"> </w:t>
      </w:r>
      <w:r>
        <w:rPr>
          <w:i/>
          <w:iCs/>
          <w:color w:val="000000" w:themeColor="text1"/>
        </w:rPr>
        <w:t>Law</w:t>
      </w:r>
      <w:r w:rsidRPr="005715FC">
        <w:rPr>
          <w:i/>
          <w:iCs/>
          <w:color w:val="000000" w:themeColor="text1"/>
        </w:rPr>
        <w:t> </w:t>
      </w:r>
      <w:r w:rsidRPr="00FD5B0C">
        <w:rPr>
          <w:i/>
          <w:iCs/>
          <w:color w:val="000000" w:themeColor="text1"/>
        </w:rPr>
        <w:t>…</w:t>
      </w:r>
      <w:r w:rsidRPr="005715FC">
        <w:rPr>
          <w:color w:val="000000" w:themeColor="text1"/>
        </w:rPr>
        <w:t>(</w:t>
      </w:r>
      <w:r>
        <w:rPr>
          <w:rFonts w:eastAsiaTheme="minorEastAsia" w:hint="eastAsia"/>
          <w:color w:val="000000" w:themeColor="text1"/>
        </w:rPr>
        <w:t>上文脚注</w:t>
      </w:r>
      <w:r w:rsidRPr="00852022">
        <w:rPr>
          <w:color w:val="000000" w:themeColor="text1"/>
        </w:rPr>
        <w:fldChar w:fldCharType="begin"/>
      </w:r>
      <w:r w:rsidRPr="00852022">
        <w:rPr>
          <w:color w:val="000000" w:themeColor="text1"/>
        </w:rPr>
        <w:instrText xml:space="preserve"> NOTEREF _Ref454970788 \h  \* MERGEFORMAT </w:instrText>
      </w:r>
      <w:r w:rsidRPr="00852022">
        <w:rPr>
          <w:color w:val="000000" w:themeColor="text1"/>
        </w:rPr>
      </w:r>
      <w:r w:rsidRPr="00852022">
        <w:rPr>
          <w:color w:val="000000" w:themeColor="text1"/>
        </w:rPr>
        <w:fldChar w:fldCharType="separate"/>
      </w:r>
      <w:r w:rsidR="00A73EB9">
        <w:rPr>
          <w:color w:val="000000" w:themeColor="text1"/>
        </w:rPr>
        <w:t>1331</w:t>
      </w:r>
      <w:r w:rsidRPr="00852022">
        <w:rPr>
          <w:color w:val="000000" w:themeColor="text1"/>
        </w:rPr>
        <w:fldChar w:fldCharType="end"/>
      </w:r>
      <w:r w:rsidRPr="005715FC">
        <w:rPr>
          <w:color w:val="000000" w:themeColor="text1"/>
        </w:rPr>
        <w:t>)</w:t>
      </w:r>
      <w:r>
        <w:rPr>
          <w:rFonts w:ascii="宋体" w:hAnsi="宋体" w:cs="宋体" w:hint="eastAsia"/>
        </w:rPr>
        <w:t>，</w:t>
      </w:r>
      <w:r w:rsidRPr="00805D6C">
        <w:rPr>
          <w:rFonts w:ascii="宋体" w:hAnsi="宋体" w:cs="宋体" w:hint="eastAsia"/>
        </w:rPr>
        <w:t>第</w:t>
      </w:r>
      <w:r>
        <w:t>528</w:t>
      </w:r>
      <w:r w:rsidRPr="00805D6C">
        <w:rPr>
          <w:rFonts w:ascii="宋体" w:hAnsi="宋体" w:cs="宋体" w:hint="eastAsia"/>
        </w:rPr>
        <w:t>页。</w:t>
      </w:r>
    </w:p>
  </w:footnote>
  <w:footnote w:id="1400">
    <w:p w:rsidR="00AB00DE" w:rsidRPr="00805D6C" w:rsidRDefault="00AB00DE" w:rsidP="00396D56">
      <w:pPr>
        <w:pStyle w:val="a4"/>
        <w:spacing w:after="80"/>
      </w:pPr>
      <w:r>
        <w:rPr>
          <w:rFonts w:hint="eastAsia"/>
        </w:rPr>
        <w:tab/>
      </w:r>
      <w:r w:rsidRPr="003D3D39">
        <w:rPr>
          <w:rStyle w:val="a5"/>
          <w:rFonts w:cstheme="majorBidi"/>
        </w:rPr>
        <w:footnoteRef/>
      </w:r>
      <w:r w:rsidRPr="00E64449">
        <w:rPr>
          <w:rStyle w:val="a5"/>
          <w:rFonts w:asciiTheme="majorBidi" w:hAnsiTheme="majorBidi" w:cstheme="majorBidi" w:hint="eastAsia"/>
          <w:color w:val="000000" w:themeColor="text1"/>
        </w:rPr>
        <w:tab/>
      </w:r>
      <w:r w:rsidRPr="00805D6C">
        <w:rPr>
          <w:rFonts w:ascii="宋体" w:hAnsi="宋体" w:cs="宋体" w:hint="eastAsia"/>
        </w:rPr>
        <w:t>见</w:t>
      </w:r>
      <w:r>
        <w:t>V</w:t>
      </w:r>
      <w:r>
        <w:rPr>
          <w:rFonts w:eastAsiaTheme="minorEastAsia" w:hint="eastAsia"/>
        </w:rPr>
        <w:t>.</w:t>
      </w:r>
      <w:r w:rsidRPr="00805D6C">
        <w:t xml:space="preserve"> </w:t>
      </w:r>
      <w:r>
        <w:t>B</w:t>
      </w:r>
      <w:r w:rsidRPr="00805D6C">
        <w:t>í</w:t>
      </w:r>
      <w:r>
        <w:t>lkov</w:t>
      </w:r>
      <w:r w:rsidRPr="00805D6C">
        <w:t>á</w:t>
      </w:r>
      <w:r>
        <w:rPr>
          <w:rFonts w:ascii="宋体" w:hAnsi="宋体" w:cs="宋体" w:hint="eastAsia"/>
        </w:rPr>
        <w:t>，</w:t>
      </w:r>
      <w:r>
        <w:rPr>
          <w:rFonts w:hint="eastAsia"/>
        </w:rPr>
        <w:t>“</w:t>
      </w:r>
      <w:r w:rsidRPr="00805D6C">
        <w:rPr>
          <w:rFonts w:ascii="宋体" w:hAnsi="宋体" w:cs="宋体" w:hint="eastAsia"/>
        </w:rPr>
        <w:t>非国际性武装冲突中的交战报复</w:t>
      </w:r>
      <w:r>
        <w:rPr>
          <w:rFonts w:hint="eastAsia"/>
        </w:rPr>
        <w:t>”</w:t>
      </w:r>
      <w:r>
        <w:rPr>
          <w:rFonts w:eastAsiaTheme="minorEastAsia" w:hint="eastAsia"/>
        </w:rPr>
        <w:t>，</w:t>
      </w:r>
      <w:r w:rsidRPr="00805D6C">
        <w:rPr>
          <w:rFonts w:ascii="宋体" w:hAnsi="宋体" w:cs="宋体" w:hint="eastAsia"/>
        </w:rPr>
        <w:t>《国际法和比较法季刊》</w:t>
      </w:r>
      <w:r>
        <w:rPr>
          <w:rFonts w:ascii="宋体" w:hAnsi="宋体" w:cs="宋体" w:hint="eastAsia"/>
        </w:rPr>
        <w:t>，</w:t>
      </w:r>
      <w:r w:rsidRPr="00805D6C">
        <w:rPr>
          <w:rFonts w:ascii="宋体" w:hAnsi="宋体" w:cs="宋体" w:hint="eastAsia"/>
        </w:rPr>
        <w:t>第</w:t>
      </w:r>
      <w:r>
        <w:t>63</w:t>
      </w:r>
      <w:r w:rsidRPr="00805D6C">
        <w:rPr>
          <w:rFonts w:ascii="宋体" w:hAnsi="宋体" w:cs="宋体" w:hint="eastAsia"/>
        </w:rPr>
        <w:t>卷</w:t>
      </w:r>
      <w:r w:rsidRPr="00061AC4">
        <w:rPr>
          <w:spacing w:val="-4"/>
        </w:rPr>
        <w:t>(</w:t>
      </w:r>
      <w:r>
        <w:rPr>
          <w:spacing w:val="-4"/>
        </w:rPr>
        <w:t>2014</w:t>
      </w:r>
      <w:r w:rsidRPr="00061AC4">
        <w:rPr>
          <w:rFonts w:ascii="宋体" w:hAnsi="宋体" w:cs="宋体" w:hint="eastAsia"/>
          <w:spacing w:val="-4"/>
        </w:rPr>
        <w:t>年</w:t>
      </w:r>
      <w:r w:rsidRPr="00061AC4">
        <w:rPr>
          <w:spacing w:val="-4"/>
        </w:rPr>
        <w:t>)</w:t>
      </w:r>
      <w:r w:rsidRPr="00061AC4">
        <w:rPr>
          <w:rFonts w:ascii="宋体" w:hAnsi="宋体" w:cs="宋体" w:hint="eastAsia"/>
          <w:spacing w:val="-4"/>
        </w:rPr>
        <w:t>，第</w:t>
      </w:r>
      <w:r>
        <w:rPr>
          <w:spacing w:val="-4"/>
        </w:rPr>
        <w:t>31</w:t>
      </w:r>
      <w:r w:rsidRPr="00061AC4">
        <w:rPr>
          <w:rFonts w:ascii="宋体" w:hAnsi="宋体" w:cs="宋体" w:hint="eastAsia"/>
          <w:spacing w:val="-4"/>
        </w:rPr>
        <w:t>页；</w:t>
      </w:r>
      <w:r>
        <w:rPr>
          <w:spacing w:val="-4"/>
        </w:rPr>
        <w:t>Sandesh</w:t>
      </w:r>
      <w:r w:rsidRPr="00061AC4">
        <w:rPr>
          <w:spacing w:val="-4"/>
        </w:rPr>
        <w:t xml:space="preserve"> </w:t>
      </w:r>
      <w:r>
        <w:rPr>
          <w:spacing w:val="-4"/>
        </w:rPr>
        <w:t>Sivakumaran</w:t>
      </w:r>
      <w:r w:rsidRPr="00061AC4">
        <w:rPr>
          <w:spacing w:val="-4"/>
        </w:rPr>
        <w:t xml:space="preserve">, </w:t>
      </w:r>
      <w:r w:rsidRPr="00061AC4">
        <w:rPr>
          <w:rFonts w:ascii="宋体" w:hAnsi="宋体" w:cs="宋体" w:hint="eastAsia"/>
          <w:spacing w:val="-4"/>
        </w:rPr>
        <w:t>《非国际性武装冲突法》</w:t>
      </w:r>
      <w:r w:rsidRPr="00061AC4">
        <w:rPr>
          <w:spacing w:val="-4"/>
        </w:rPr>
        <w:t>(</w:t>
      </w:r>
      <w:r w:rsidRPr="00061AC4">
        <w:rPr>
          <w:rFonts w:ascii="宋体" w:hAnsi="宋体" w:cs="宋体" w:hint="eastAsia"/>
          <w:spacing w:val="-4"/>
        </w:rPr>
        <w:t>牛津</w:t>
      </w:r>
      <w:r>
        <w:rPr>
          <w:rFonts w:eastAsiaTheme="minorEastAsia" w:hint="eastAsia"/>
          <w:spacing w:val="-4"/>
        </w:rPr>
        <w:t>，</w:t>
      </w:r>
      <w:r w:rsidRPr="00061AC4">
        <w:rPr>
          <w:rFonts w:ascii="宋体" w:hAnsi="宋体" w:cs="宋体" w:hint="eastAsia"/>
          <w:spacing w:val="-4"/>
        </w:rPr>
        <w:t>牛津大学出版社，</w:t>
      </w:r>
      <w:r>
        <w:t>2012</w:t>
      </w:r>
      <w:r w:rsidRPr="00805D6C">
        <w:rPr>
          <w:rFonts w:ascii="宋体" w:hAnsi="宋体" w:cs="宋体" w:hint="eastAsia"/>
        </w:rPr>
        <w:t>年</w:t>
      </w:r>
      <w:r>
        <w:t>)</w:t>
      </w:r>
      <w:r>
        <w:rPr>
          <w:rFonts w:ascii="宋体" w:hAnsi="宋体" w:cs="宋体" w:hint="eastAsia"/>
        </w:rPr>
        <w:t>，</w:t>
      </w:r>
      <w:r w:rsidRPr="00805D6C">
        <w:rPr>
          <w:rFonts w:ascii="宋体" w:hAnsi="宋体" w:cs="宋体" w:hint="eastAsia"/>
        </w:rPr>
        <w:t>第</w:t>
      </w:r>
      <w:r>
        <w:t>449</w:t>
      </w:r>
      <w:r w:rsidRPr="00805D6C">
        <w:t>-</w:t>
      </w:r>
      <w:r>
        <w:t>457</w:t>
      </w:r>
      <w:r w:rsidRPr="00805D6C">
        <w:rPr>
          <w:rFonts w:ascii="宋体" w:hAnsi="宋体" w:cs="宋体" w:hint="eastAsia"/>
        </w:rPr>
        <w:t>页。</w:t>
      </w:r>
    </w:p>
  </w:footnote>
  <w:footnote w:id="1401">
    <w:p w:rsidR="00AB00DE" w:rsidRPr="00905AD0" w:rsidRDefault="00AB00DE" w:rsidP="00A01826">
      <w:pPr>
        <w:pStyle w:val="a4"/>
        <w:spacing w:after="80"/>
        <w:rPr>
          <w:rFonts w:eastAsiaTheme="minorEastAsia"/>
          <w:i/>
        </w:rPr>
      </w:pPr>
      <w:r>
        <w:rPr>
          <w:rFonts w:eastAsia="楷体" w:hint="eastAsia"/>
          <w:iCs/>
        </w:rPr>
        <w:tab/>
      </w:r>
      <w:r w:rsidRPr="003D3D39">
        <w:rPr>
          <w:rStyle w:val="a5"/>
          <w:rFonts w:cstheme="majorBidi"/>
        </w:rPr>
        <w:footnoteRef/>
      </w:r>
      <w:r w:rsidRPr="00E64449">
        <w:rPr>
          <w:rStyle w:val="a5"/>
          <w:rFonts w:asciiTheme="majorBidi" w:hAnsiTheme="majorBidi" w:cstheme="majorBidi" w:hint="eastAsia"/>
          <w:color w:val="000000" w:themeColor="text1"/>
        </w:rPr>
        <w:tab/>
      </w:r>
      <w:r w:rsidRPr="00805D6C">
        <w:rPr>
          <w:rFonts w:eastAsia="楷体"/>
          <w:iCs/>
        </w:rPr>
        <w:t>检察官诉</w:t>
      </w:r>
      <w:r>
        <w:rPr>
          <w:rFonts w:eastAsia="楷体"/>
          <w:iCs/>
        </w:rPr>
        <w:t>Du</w:t>
      </w:r>
      <w:r w:rsidRPr="00805D6C">
        <w:rPr>
          <w:rFonts w:eastAsia="楷体"/>
          <w:iCs/>
        </w:rPr>
        <w:t>š</w:t>
      </w:r>
      <w:r>
        <w:rPr>
          <w:rFonts w:eastAsia="楷体"/>
          <w:iCs/>
        </w:rPr>
        <w:t>ko</w:t>
      </w:r>
      <w:r w:rsidRPr="00805D6C">
        <w:rPr>
          <w:rFonts w:eastAsia="楷体"/>
          <w:iCs/>
        </w:rPr>
        <w:t xml:space="preserve"> </w:t>
      </w:r>
      <w:r>
        <w:rPr>
          <w:rFonts w:eastAsia="楷体"/>
          <w:iCs/>
        </w:rPr>
        <w:t>Tadi</w:t>
      </w:r>
      <w:r w:rsidRPr="00805D6C">
        <w:rPr>
          <w:rFonts w:eastAsia="楷体"/>
          <w:iCs/>
        </w:rPr>
        <w:t>ć</w:t>
      </w:r>
      <w:r>
        <w:rPr>
          <w:rFonts w:ascii="宋体" w:hAnsi="宋体" w:cs="宋体" w:hint="eastAsia"/>
          <w:iCs/>
        </w:rPr>
        <w:t>，</w:t>
      </w:r>
      <w:r>
        <w:rPr>
          <w:iCs/>
        </w:rPr>
        <w:t>IT</w:t>
      </w:r>
      <w:r w:rsidRPr="00805D6C">
        <w:rPr>
          <w:iCs/>
        </w:rPr>
        <w:t>-</w:t>
      </w:r>
      <w:r>
        <w:rPr>
          <w:iCs/>
        </w:rPr>
        <w:t>94</w:t>
      </w:r>
      <w:r w:rsidRPr="00805D6C">
        <w:rPr>
          <w:iCs/>
        </w:rPr>
        <w:t>-</w:t>
      </w:r>
      <w:r>
        <w:rPr>
          <w:iCs/>
        </w:rPr>
        <w:t>1</w:t>
      </w:r>
      <w:r w:rsidRPr="00805D6C">
        <w:rPr>
          <w:iCs/>
        </w:rPr>
        <w:t>-</w:t>
      </w:r>
      <w:r>
        <w:rPr>
          <w:iCs/>
        </w:rPr>
        <w:t>AR72</w:t>
      </w:r>
      <w:r w:rsidRPr="00805D6C">
        <w:rPr>
          <w:rFonts w:ascii="宋体" w:hAnsi="宋体" w:cs="宋体" w:hint="eastAsia"/>
          <w:iCs/>
        </w:rPr>
        <w:t>号案</w:t>
      </w:r>
      <w:r>
        <w:rPr>
          <w:rFonts w:ascii="宋体" w:hAnsi="宋体" w:cs="宋体" w:hint="eastAsia"/>
          <w:iCs/>
        </w:rPr>
        <w:t>，</w:t>
      </w:r>
      <w:r>
        <w:rPr>
          <w:rFonts w:ascii="宋体" w:hAnsi="宋体" w:cs="宋体" w:hint="eastAsia"/>
        </w:rPr>
        <w:t>对辩方关于就管辖权问题提出中间上诉的请求所做出的裁决</w:t>
      </w:r>
      <w:r>
        <w:rPr>
          <w:rFonts w:ascii="宋体" w:hAnsi="宋体" w:cs="宋体" w:hint="eastAsia"/>
          <w:iCs/>
        </w:rPr>
        <w:t>，</w:t>
      </w:r>
      <w:r>
        <w:rPr>
          <w:iCs/>
        </w:rPr>
        <w:t>1995</w:t>
      </w:r>
      <w:r w:rsidRPr="00805D6C">
        <w:rPr>
          <w:rFonts w:ascii="宋体" w:hAnsi="宋体" w:cs="宋体" w:hint="eastAsia"/>
          <w:iCs/>
        </w:rPr>
        <w:t>年</w:t>
      </w:r>
      <w:r>
        <w:rPr>
          <w:iCs/>
        </w:rPr>
        <w:t>10</w:t>
      </w:r>
      <w:r w:rsidRPr="00805D6C">
        <w:rPr>
          <w:rFonts w:ascii="宋体" w:hAnsi="宋体" w:cs="宋体" w:hint="eastAsia"/>
          <w:iCs/>
        </w:rPr>
        <w:t>月</w:t>
      </w:r>
      <w:r>
        <w:rPr>
          <w:iCs/>
        </w:rPr>
        <w:t>2</w:t>
      </w:r>
      <w:r w:rsidRPr="00805D6C">
        <w:rPr>
          <w:rFonts w:ascii="宋体" w:hAnsi="宋体" w:cs="宋体" w:hint="eastAsia"/>
          <w:iCs/>
        </w:rPr>
        <w:t>日</w:t>
      </w:r>
      <w:r>
        <w:rPr>
          <w:rFonts w:ascii="宋体" w:hAnsi="宋体" w:cs="宋体" w:hint="eastAsia"/>
          <w:iCs/>
        </w:rPr>
        <w:t>，</w:t>
      </w:r>
      <w:r w:rsidRPr="00805D6C">
        <w:rPr>
          <w:rFonts w:ascii="宋体" w:hAnsi="宋体" w:cs="宋体" w:hint="eastAsia"/>
          <w:iCs/>
        </w:rPr>
        <w:t>前南斯拉夫问题国际刑事法庭</w:t>
      </w:r>
      <w:r>
        <w:rPr>
          <w:rFonts w:ascii="宋体" w:hAnsi="宋体" w:cs="宋体" w:hint="eastAsia"/>
          <w:iCs/>
        </w:rPr>
        <w:t>，</w:t>
      </w:r>
      <w:r w:rsidRPr="00805D6C">
        <w:rPr>
          <w:rFonts w:ascii="宋体" w:hAnsi="宋体" w:cs="宋体" w:hint="eastAsia"/>
          <w:iCs/>
        </w:rPr>
        <w:t>第</w:t>
      </w:r>
      <w:r>
        <w:t>111</w:t>
      </w:r>
      <w:r w:rsidRPr="00805D6C">
        <w:rPr>
          <w:rFonts w:ascii="宋体" w:hAnsi="宋体" w:cs="宋体" w:hint="eastAsia"/>
        </w:rPr>
        <w:t>和</w:t>
      </w:r>
      <w:r>
        <w:t>112</w:t>
      </w:r>
      <w:r w:rsidRPr="00805D6C">
        <w:rPr>
          <w:rFonts w:ascii="宋体" w:hAnsi="宋体" w:cs="宋体" w:hint="eastAsia"/>
        </w:rPr>
        <w:t>段。</w:t>
      </w:r>
      <w:r>
        <w:rPr>
          <w:rFonts w:eastAsiaTheme="minorEastAsia" w:hint="eastAsia"/>
        </w:rPr>
        <w:t>一般性阐述</w:t>
      </w:r>
      <w:r w:rsidRPr="00805D6C">
        <w:rPr>
          <w:rFonts w:ascii="宋体" w:hAnsi="宋体" w:cs="宋体" w:hint="eastAsia"/>
        </w:rPr>
        <w:t>另见</w:t>
      </w:r>
      <w:r>
        <w:rPr>
          <w:color w:val="000000" w:themeColor="text1"/>
        </w:rPr>
        <w:t>Henckaerts</w:t>
      </w:r>
      <w:r w:rsidRPr="005715FC">
        <w:rPr>
          <w:color w:val="000000" w:themeColor="text1"/>
        </w:rPr>
        <w:t xml:space="preserve"> </w:t>
      </w:r>
      <w:r>
        <w:rPr>
          <w:color w:val="000000" w:themeColor="text1"/>
        </w:rPr>
        <w:t>and</w:t>
      </w:r>
      <w:r w:rsidRPr="005715FC">
        <w:rPr>
          <w:color w:val="000000" w:themeColor="text1"/>
        </w:rPr>
        <w:t xml:space="preserve"> </w:t>
      </w:r>
      <w:r>
        <w:rPr>
          <w:color w:val="000000" w:themeColor="text1"/>
        </w:rPr>
        <w:t>Doswald</w:t>
      </w:r>
      <w:r w:rsidRPr="005715FC">
        <w:rPr>
          <w:color w:val="000000" w:themeColor="text1"/>
        </w:rPr>
        <w:t>-</w:t>
      </w:r>
      <w:r>
        <w:rPr>
          <w:color w:val="000000" w:themeColor="text1"/>
        </w:rPr>
        <w:t>Beck</w:t>
      </w:r>
      <w:r w:rsidRPr="005715FC">
        <w:rPr>
          <w:color w:val="000000" w:themeColor="text1"/>
        </w:rPr>
        <w:t xml:space="preserve">, </w:t>
      </w:r>
      <w:r>
        <w:rPr>
          <w:i/>
          <w:iCs/>
          <w:color w:val="000000" w:themeColor="text1"/>
        </w:rPr>
        <w:t>Customary</w:t>
      </w:r>
      <w:r w:rsidRPr="005715FC">
        <w:rPr>
          <w:i/>
          <w:iCs/>
          <w:color w:val="000000" w:themeColor="text1"/>
        </w:rPr>
        <w:t xml:space="preserve"> </w:t>
      </w:r>
      <w:r>
        <w:rPr>
          <w:i/>
          <w:iCs/>
          <w:color w:val="000000" w:themeColor="text1"/>
        </w:rPr>
        <w:t>International</w:t>
      </w:r>
      <w:r w:rsidRPr="005715FC">
        <w:rPr>
          <w:i/>
          <w:iCs/>
          <w:color w:val="000000" w:themeColor="text1"/>
        </w:rPr>
        <w:t xml:space="preserve"> </w:t>
      </w:r>
      <w:r>
        <w:rPr>
          <w:i/>
          <w:iCs/>
          <w:color w:val="000000" w:themeColor="text1"/>
        </w:rPr>
        <w:t>Humanitarian</w:t>
      </w:r>
      <w:r w:rsidRPr="005715FC">
        <w:rPr>
          <w:i/>
          <w:iCs/>
          <w:color w:val="000000" w:themeColor="text1"/>
        </w:rPr>
        <w:t xml:space="preserve"> </w:t>
      </w:r>
      <w:r>
        <w:rPr>
          <w:i/>
          <w:iCs/>
          <w:color w:val="000000" w:themeColor="text1"/>
        </w:rPr>
        <w:t>Law</w:t>
      </w:r>
      <w:r w:rsidRPr="005715FC">
        <w:rPr>
          <w:i/>
          <w:iCs/>
          <w:color w:val="000000" w:themeColor="text1"/>
        </w:rPr>
        <w:t> </w:t>
      </w:r>
      <w:r w:rsidRPr="00FD5B0C">
        <w:rPr>
          <w:i/>
          <w:iCs/>
          <w:color w:val="000000" w:themeColor="text1"/>
        </w:rPr>
        <w:t>…</w:t>
      </w:r>
      <w:r w:rsidRPr="005715FC">
        <w:rPr>
          <w:color w:val="000000" w:themeColor="text1"/>
        </w:rPr>
        <w:t>(</w:t>
      </w:r>
      <w:r>
        <w:rPr>
          <w:rFonts w:eastAsiaTheme="minorEastAsia" w:hint="eastAsia"/>
          <w:color w:val="000000" w:themeColor="text1"/>
        </w:rPr>
        <w:t>上文脚注</w:t>
      </w:r>
      <w:r w:rsidRPr="00852022">
        <w:rPr>
          <w:color w:val="000000" w:themeColor="text1"/>
        </w:rPr>
        <w:fldChar w:fldCharType="begin"/>
      </w:r>
      <w:r w:rsidRPr="00852022">
        <w:rPr>
          <w:color w:val="000000" w:themeColor="text1"/>
        </w:rPr>
        <w:instrText xml:space="preserve"> NOTEREF _Ref454970788 \h  \* MERGEFORMAT </w:instrText>
      </w:r>
      <w:r w:rsidRPr="00852022">
        <w:rPr>
          <w:color w:val="000000" w:themeColor="text1"/>
        </w:rPr>
      </w:r>
      <w:r w:rsidRPr="00852022">
        <w:rPr>
          <w:color w:val="000000" w:themeColor="text1"/>
        </w:rPr>
        <w:fldChar w:fldCharType="separate"/>
      </w:r>
      <w:r w:rsidR="00A73EB9">
        <w:rPr>
          <w:color w:val="000000" w:themeColor="text1"/>
        </w:rPr>
        <w:t>1331</w:t>
      </w:r>
      <w:r w:rsidRPr="00852022">
        <w:rPr>
          <w:color w:val="000000" w:themeColor="text1"/>
        </w:rPr>
        <w:fldChar w:fldCharType="end"/>
      </w:r>
      <w:r w:rsidRPr="005715FC">
        <w:rPr>
          <w:color w:val="000000" w:themeColor="text1"/>
        </w:rPr>
        <w:t>)</w:t>
      </w:r>
      <w:r>
        <w:rPr>
          <w:rFonts w:ascii="宋体" w:hAnsi="宋体" w:cs="宋体" w:hint="eastAsia"/>
        </w:rPr>
        <w:t>，</w:t>
      </w:r>
      <w:r w:rsidRPr="00805D6C">
        <w:rPr>
          <w:rFonts w:ascii="宋体" w:hAnsi="宋体" w:cs="宋体" w:hint="eastAsia"/>
        </w:rPr>
        <w:t>第</w:t>
      </w:r>
      <w:r>
        <w:t>526</w:t>
      </w:r>
      <w:r w:rsidRPr="00805D6C">
        <w:t>-</w:t>
      </w:r>
      <w:r>
        <w:t>529</w:t>
      </w:r>
      <w:r w:rsidRPr="00805D6C">
        <w:rPr>
          <w:rFonts w:ascii="宋体" w:hAnsi="宋体" w:cs="宋体" w:hint="eastAsia"/>
        </w:rPr>
        <w:t>页。</w:t>
      </w:r>
    </w:p>
  </w:footnote>
  <w:footnote w:id="1402">
    <w:p w:rsidR="00AB00DE" w:rsidRPr="00986A0D" w:rsidRDefault="00AB00DE" w:rsidP="005D4032">
      <w:pPr>
        <w:pStyle w:val="a4"/>
        <w:spacing w:after="60" w:line="230" w:lineRule="exact"/>
      </w:pPr>
      <w:r>
        <w:tab/>
      </w:r>
      <w:r w:rsidRPr="003D3D39">
        <w:rPr>
          <w:rStyle w:val="a5"/>
        </w:rPr>
        <w:footnoteRef/>
      </w:r>
      <w:r w:rsidRPr="00986A0D">
        <w:tab/>
      </w:r>
      <w:r>
        <w:rPr>
          <w:rFonts w:hint="eastAsia"/>
        </w:rPr>
        <w:t>2007</w:t>
      </w:r>
      <w:r w:rsidRPr="005910E5">
        <w:rPr>
          <w:rFonts w:ascii="宋体" w:hAnsi="宋体" w:cs="宋体" w:hint="eastAsia"/>
        </w:rPr>
        <w:t>年</w:t>
      </w:r>
      <w:r>
        <w:rPr>
          <w:rFonts w:hint="eastAsia"/>
        </w:rPr>
        <w:t>7</w:t>
      </w:r>
      <w:r w:rsidRPr="005910E5">
        <w:rPr>
          <w:rFonts w:ascii="宋体" w:hAnsi="宋体" w:cs="宋体" w:hint="eastAsia"/>
        </w:rPr>
        <w:t>月</w:t>
      </w:r>
      <w:r>
        <w:rPr>
          <w:rFonts w:hint="eastAsia"/>
        </w:rPr>
        <w:t>20</w:t>
      </w:r>
      <w:r w:rsidRPr="005910E5">
        <w:rPr>
          <w:rFonts w:ascii="宋体" w:hAnsi="宋体" w:cs="宋体" w:hint="eastAsia"/>
        </w:rPr>
        <w:t>日第</w:t>
      </w:r>
      <w:r>
        <w:rPr>
          <w:rFonts w:hint="eastAsia"/>
        </w:rPr>
        <w:t>2940</w:t>
      </w:r>
      <w:r w:rsidRPr="005910E5">
        <w:rPr>
          <w:rFonts w:ascii="宋体" w:hAnsi="宋体" w:cs="宋体" w:hint="eastAsia"/>
        </w:rPr>
        <w:t>次会议</w:t>
      </w:r>
      <w:r w:rsidRPr="005910E5">
        <w:rPr>
          <w:rFonts w:hint="eastAsia"/>
        </w:rPr>
        <w:t>(</w:t>
      </w:r>
      <w:r w:rsidRPr="005910E5">
        <w:rPr>
          <w:rFonts w:ascii="宋体" w:hAnsi="宋体" w:cs="宋体" w:hint="eastAsia"/>
        </w:rPr>
        <w:t>《大会正式记录，第六十二届会议，补编第</w:t>
      </w:r>
      <w:r>
        <w:rPr>
          <w:rFonts w:hint="eastAsia"/>
        </w:rPr>
        <w:t>10</w:t>
      </w:r>
      <w:r w:rsidRPr="005910E5">
        <w:rPr>
          <w:rFonts w:ascii="宋体" w:hAnsi="宋体" w:cs="宋体" w:hint="eastAsia"/>
        </w:rPr>
        <w:t>号》</w:t>
      </w:r>
      <w:r w:rsidRPr="005910E5">
        <w:rPr>
          <w:rFonts w:hint="eastAsia"/>
        </w:rPr>
        <w:t>(</w:t>
      </w:r>
      <w:r>
        <w:rPr>
          <w:rFonts w:hint="eastAsia"/>
        </w:rPr>
        <w:t>A</w:t>
      </w:r>
      <w:r w:rsidRPr="005910E5">
        <w:rPr>
          <w:rFonts w:hint="eastAsia"/>
        </w:rPr>
        <w:t>/</w:t>
      </w:r>
      <w:r>
        <w:rPr>
          <w:rFonts w:hint="eastAsia"/>
        </w:rPr>
        <w:t>62</w:t>
      </w:r>
      <w:r w:rsidRPr="005910E5">
        <w:rPr>
          <w:rFonts w:hint="eastAsia"/>
        </w:rPr>
        <w:t>/</w:t>
      </w:r>
      <w:r>
        <w:rPr>
          <w:rFonts w:hint="eastAsia"/>
        </w:rPr>
        <w:t>10</w:t>
      </w:r>
      <w:r w:rsidRPr="005910E5">
        <w:rPr>
          <w:rFonts w:hint="eastAsia"/>
        </w:rPr>
        <w:t>)</w:t>
      </w:r>
      <w:r w:rsidRPr="005910E5">
        <w:rPr>
          <w:rFonts w:ascii="宋体" w:hAnsi="宋体" w:cs="宋体" w:hint="eastAsia"/>
        </w:rPr>
        <w:t>，第</w:t>
      </w:r>
      <w:r>
        <w:rPr>
          <w:rFonts w:hint="eastAsia"/>
        </w:rPr>
        <w:t>376</w:t>
      </w:r>
      <w:r w:rsidRPr="005910E5">
        <w:rPr>
          <w:rFonts w:ascii="宋体" w:hAnsi="宋体" w:cs="宋体" w:hint="eastAsia"/>
        </w:rPr>
        <w:t>段</w:t>
      </w:r>
      <w:r w:rsidRPr="005910E5">
        <w:rPr>
          <w:rFonts w:hint="eastAsia"/>
        </w:rPr>
        <w:t>)</w:t>
      </w:r>
      <w:r w:rsidRPr="005910E5">
        <w:rPr>
          <w:rFonts w:ascii="宋体" w:hAnsi="宋体" w:cs="宋体" w:hint="eastAsia"/>
        </w:rPr>
        <w:t>。大会</w:t>
      </w:r>
      <w:r>
        <w:rPr>
          <w:rFonts w:hint="eastAsia"/>
        </w:rPr>
        <w:t>2007</w:t>
      </w:r>
      <w:r w:rsidRPr="005910E5">
        <w:rPr>
          <w:rFonts w:ascii="宋体" w:hAnsi="宋体" w:cs="宋体" w:hint="eastAsia"/>
        </w:rPr>
        <w:t>年</w:t>
      </w:r>
      <w:r>
        <w:rPr>
          <w:rFonts w:hint="eastAsia"/>
        </w:rPr>
        <w:t>12</w:t>
      </w:r>
      <w:r w:rsidRPr="005910E5">
        <w:rPr>
          <w:rFonts w:ascii="宋体" w:hAnsi="宋体" w:cs="宋体" w:hint="eastAsia"/>
        </w:rPr>
        <w:t>月</w:t>
      </w:r>
      <w:r>
        <w:rPr>
          <w:rFonts w:hint="eastAsia"/>
        </w:rPr>
        <w:t>6</w:t>
      </w:r>
      <w:r w:rsidRPr="005910E5">
        <w:rPr>
          <w:rFonts w:ascii="宋体" w:hAnsi="宋体" w:cs="宋体" w:hint="eastAsia"/>
        </w:rPr>
        <w:t>日第</w:t>
      </w:r>
      <w:r>
        <w:rPr>
          <w:rFonts w:hint="eastAsia"/>
        </w:rPr>
        <w:t>62</w:t>
      </w:r>
      <w:r w:rsidRPr="005910E5">
        <w:rPr>
          <w:rFonts w:hint="eastAsia"/>
        </w:rPr>
        <w:t>/</w:t>
      </w:r>
      <w:r>
        <w:rPr>
          <w:rFonts w:hint="eastAsia"/>
        </w:rPr>
        <w:t>66</w:t>
      </w:r>
      <w:r w:rsidRPr="005910E5">
        <w:rPr>
          <w:rFonts w:ascii="宋体" w:hAnsi="宋体" w:cs="宋体" w:hint="eastAsia"/>
        </w:rPr>
        <w:t>号决议第</w:t>
      </w:r>
      <w:r>
        <w:rPr>
          <w:rFonts w:hint="eastAsia"/>
        </w:rPr>
        <w:t>7</w:t>
      </w:r>
      <w:r w:rsidRPr="005910E5">
        <w:rPr>
          <w:rFonts w:ascii="宋体" w:hAnsi="宋体" w:cs="宋体" w:hint="eastAsia"/>
        </w:rPr>
        <w:t>段注意到委员会将本专题列入其工作方案的决定。在第五十八届会议上</w:t>
      </w:r>
      <w:r w:rsidRPr="005910E5">
        <w:rPr>
          <w:rFonts w:hint="eastAsia"/>
        </w:rPr>
        <w:t>(</w:t>
      </w:r>
      <w:r>
        <w:rPr>
          <w:rFonts w:hint="eastAsia"/>
        </w:rPr>
        <w:t>2006</w:t>
      </w:r>
      <w:r w:rsidRPr="005910E5">
        <w:rPr>
          <w:rFonts w:ascii="宋体" w:hAnsi="宋体" w:cs="宋体" w:hint="eastAsia"/>
        </w:rPr>
        <w:t>年</w:t>
      </w:r>
      <w:r w:rsidRPr="005910E5">
        <w:rPr>
          <w:rFonts w:hint="eastAsia"/>
        </w:rPr>
        <w:t>)</w:t>
      </w:r>
      <w:r w:rsidRPr="005910E5">
        <w:rPr>
          <w:rFonts w:ascii="宋体" w:hAnsi="宋体" w:cs="宋体" w:hint="eastAsia"/>
        </w:rPr>
        <w:t>，委员会已根据其报告附件</w:t>
      </w:r>
      <w:r>
        <w:rPr>
          <w:rFonts w:hint="eastAsia"/>
        </w:rPr>
        <w:t>A</w:t>
      </w:r>
      <w:r w:rsidRPr="005910E5">
        <w:rPr>
          <w:rFonts w:ascii="宋体" w:hAnsi="宋体" w:cs="宋体" w:hint="eastAsia"/>
        </w:rPr>
        <w:t>中所载建议</w:t>
      </w:r>
      <w:r w:rsidRPr="005910E5">
        <w:rPr>
          <w:rFonts w:hint="eastAsia"/>
        </w:rPr>
        <w:t>(</w:t>
      </w:r>
      <w:r w:rsidRPr="005910E5">
        <w:rPr>
          <w:rFonts w:ascii="宋体" w:hAnsi="宋体" w:cs="宋体" w:hint="eastAsia"/>
        </w:rPr>
        <w:t>《大会正式记录，第六十一届会议，补编第</w:t>
      </w:r>
      <w:r>
        <w:rPr>
          <w:rFonts w:hint="eastAsia"/>
        </w:rPr>
        <w:t>10</w:t>
      </w:r>
      <w:r w:rsidRPr="005910E5">
        <w:rPr>
          <w:rFonts w:ascii="宋体" w:hAnsi="宋体" w:cs="宋体" w:hint="eastAsia"/>
        </w:rPr>
        <w:t>号》</w:t>
      </w:r>
      <w:r w:rsidRPr="005910E5">
        <w:rPr>
          <w:rFonts w:hint="eastAsia"/>
        </w:rPr>
        <w:t>(</w:t>
      </w:r>
      <w:r>
        <w:rPr>
          <w:rFonts w:hint="eastAsia"/>
        </w:rPr>
        <w:t>A</w:t>
      </w:r>
      <w:r w:rsidRPr="005910E5">
        <w:rPr>
          <w:rFonts w:hint="eastAsia"/>
        </w:rPr>
        <w:t>/</w:t>
      </w:r>
      <w:r>
        <w:rPr>
          <w:rFonts w:hint="eastAsia"/>
        </w:rPr>
        <w:t>61</w:t>
      </w:r>
      <w:r w:rsidRPr="005910E5">
        <w:rPr>
          <w:rFonts w:hint="eastAsia"/>
        </w:rPr>
        <w:t>/</w:t>
      </w:r>
      <w:r>
        <w:rPr>
          <w:rFonts w:hint="eastAsia"/>
        </w:rPr>
        <w:t>10</w:t>
      </w:r>
      <w:r w:rsidRPr="005910E5">
        <w:rPr>
          <w:rFonts w:hint="eastAsia"/>
        </w:rPr>
        <w:t>)</w:t>
      </w:r>
      <w:r w:rsidRPr="005910E5">
        <w:rPr>
          <w:rFonts w:ascii="宋体" w:hAnsi="宋体" w:cs="宋体" w:hint="eastAsia"/>
        </w:rPr>
        <w:t>，第</w:t>
      </w:r>
      <w:r>
        <w:rPr>
          <w:rFonts w:hint="eastAsia"/>
        </w:rPr>
        <w:t>257</w:t>
      </w:r>
      <w:r w:rsidRPr="005910E5">
        <w:rPr>
          <w:rFonts w:ascii="宋体" w:hAnsi="宋体" w:cs="宋体" w:hint="eastAsia"/>
        </w:rPr>
        <w:t>段</w:t>
      </w:r>
      <w:r w:rsidRPr="005910E5">
        <w:rPr>
          <w:rFonts w:hint="eastAsia"/>
        </w:rPr>
        <w:t>)</w:t>
      </w:r>
      <w:r w:rsidRPr="005910E5">
        <w:rPr>
          <w:rFonts w:ascii="宋体" w:hAnsi="宋体" w:cs="宋体" w:hint="eastAsia"/>
        </w:rPr>
        <w:t>将本专题列入其长期工作方案。</w:t>
      </w:r>
    </w:p>
  </w:footnote>
  <w:footnote w:id="1403">
    <w:p w:rsidR="00AB00DE" w:rsidRPr="00986A0D" w:rsidRDefault="00AB00DE" w:rsidP="005D4032">
      <w:pPr>
        <w:pStyle w:val="a4"/>
        <w:spacing w:after="60" w:line="230" w:lineRule="exact"/>
      </w:pPr>
      <w:r>
        <w:tab/>
      </w:r>
      <w:r w:rsidRPr="003D3D39">
        <w:rPr>
          <w:rStyle w:val="a5"/>
        </w:rPr>
        <w:footnoteRef/>
      </w:r>
      <w:r w:rsidRPr="00986A0D">
        <w:tab/>
      </w:r>
      <w:r w:rsidRPr="005910E5">
        <w:rPr>
          <w:rFonts w:ascii="宋体" w:hAnsi="宋体" w:cs="宋体" w:hint="eastAsia"/>
        </w:rPr>
        <w:t>同上，《第六十二届会议，补编第</w:t>
      </w:r>
      <w:r>
        <w:rPr>
          <w:rFonts w:hint="eastAsia"/>
        </w:rPr>
        <w:t>10</w:t>
      </w:r>
      <w:r w:rsidRPr="005910E5">
        <w:rPr>
          <w:rFonts w:ascii="宋体" w:hAnsi="宋体" w:cs="宋体" w:hint="eastAsia"/>
        </w:rPr>
        <w:t>号》</w:t>
      </w:r>
      <w:r w:rsidRPr="005910E5">
        <w:rPr>
          <w:rFonts w:hint="eastAsia"/>
        </w:rPr>
        <w:t>(</w:t>
      </w:r>
      <w:r>
        <w:rPr>
          <w:rFonts w:hint="eastAsia"/>
        </w:rPr>
        <w:t>A</w:t>
      </w:r>
      <w:r w:rsidRPr="005910E5">
        <w:rPr>
          <w:rFonts w:hint="eastAsia"/>
        </w:rPr>
        <w:t>/</w:t>
      </w:r>
      <w:r>
        <w:rPr>
          <w:rFonts w:hint="eastAsia"/>
        </w:rPr>
        <w:t>62</w:t>
      </w:r>
      <w:r w:rsidRPr="005910E5">
        <w:rPr>
          <w:rFonts w:hint="eastAsia"/>
        </w:rPr>
        <w:t>/</w:t>
      </w:r>
      <w:r>
        <w:rPr>
          <w:rFonts w:hint="eastAsia"/>
        </w:rPr>
        <w:t>10</w:t>
      </w:r>
      <w:r w:rsidRPr="005910E5">
        <w:rPr>
          <w:rFonts w:hint="eastAsia"/>
        </w:rPr>
        <w:t>)</w:t>
      </w:r>
      <w:r w:rsidRPr="005910E5">
        <w:rPr>
          <w:rFonts w:ascii="宋体" w:hAnsi="宋体" w:cs="宋体" w:hint="eastAsia"/>
        </w:rPr>
        <w:t>，第</w:t>
      </w:r>
      <w:r>
        <w:rPr>
          <w:rFonts w:hint="eastAsia"/>
        </w:rPr>
        <w:t>386</w:t>
      </w:r>
      <w:r w:rsidRPr="005910E5">
        <w:rPr>
          <w:rFonts w:ascii="宋体" w:hAnsi="宋体" w:cs="宋体" w:hint="eastAsia"/>
        </w:rPr>
        <w:t>段。秘书处编写的备忘录见</w:t>
      </w:r>
      <w:r>
        <w:rPr>
          <w:rFonts w:hint="eastAsia"/>
        </w:rPr>
        <w:t>A</w:t>
      </w:r>
      <w:r w:rsidRPr="005910E5">
        <w:rPr>
          <w:rFonts w:hint="eastAsia"/>
        </w:rPr>
        <w:t>/</w:t>
      </w:r>
      <w:r>
        <w:rPr>
          <w:rFonts w:hint="eastAsia"/>
        </w:rPr>
        <w:t>CN</w:t>
      </w:r>
      <w:r w:rsidRPr="005910E5">
        <w:rPr>
          <w:rFonts w:hint="eastAsia"/>
        </w:rPr>
        <w:t>.</w:t>
      </w:r>
      <w:r>
        <w:rPr>
          <w:rFonts w:hint="eastAsia"/>
        </w:rPr>
        <w:t>4</w:t>
      </w:r>
      <w:r w:rsidRPr="005910E5">
        <w:rPr>
          <w:rFonts w:hint="eastAsia"/>
        </w:rPr>
        <w:t>/</w:t>
      </w:r>
      <w:r>
        <w:rPr>
          <w:rFonts w:hint="eastAsia"/>
        </w:rPr>
        <w:t>596</w:t>
      </w:r>
      <w:r w:rsidRPr="005910E5">
        <w:rPr>
          <w:rFonts w:ascii="宋体" w:hAnsi="宋体" w:cs="宋体" w:hint="eastAsia"/>
        </w:rPr>
        <w:t>和</w:t>
      </w:r>
      <w:r>
        <w:rPr>
          <w:rFonts w:hint="eastAsia"/>
        </w:rPr>
        <w:t>Corr</w:t>
      </w:r>
      <w:r w:rsidRPr="005910E5">
        <w:rPr>
          <w:rFonts w:hint="eastAsia"/>
        </w:rPr>
        <w:t>.</w:t>
      </w:r>
      <w:r>
        <w:rPr>
          <w:rFonts w:hint="eastAsia"/>
        </w:rPr>
        <w:t>1</w:t>
      </w:r>
      <w:r w:rsidRPr="005910E5">
        <w:rPr>
          <w:rFonts w:ascii="宋体" w:hAnsi="宋体" w:cs="宋体" w:hint="eastAsia"/>
        </w:rPr>
        <w:t>号文件。</w:t>
      </w:r>
    </w:p>
  </w:footnote>
  <w:footnote w:id="1404">
    <w:p w:rsidR="00AB00DE" w:rsidRPr="00986A0D" w:rsidRDefault="00AB00DE" w:rsidP="005D4032">
      <w:pPr>
        <w:pStyle w:val="a4"/>
        <w:spacing w:after="60" w:line="230" w:lineRule="exact"/>
      </w:pPr>
      <w:r>
        <w:tab/>
      </w:r>
      <w:r w:rsidRPr="003D3D39">
        <w:rPr>
          <w:rStyle w:val="a5"/>
        </w:rPr>
        <w:footnoteRef/>
      </w:r>
      <w:r w:rsidRPr="00986A0D">
        <w:tab/>
      </w:r>
      <w:r>
        <w:rPr>
          <w:rFonts w:hint="eastAsia"/>
        </w:rPr>
        <w:t>A</w:t>
      </w:r>
      <w:r w:rsidRPr="005910E5">
        <w:rPr>
          <w:rFonts w:hint="eastAsia"/>
        </w:rPr>
        <w:t>/</w:t>
      </w:r>
      <w:r>
        <w:rPr>
          <w:rFonts w:hint="eastAsia"/>
        </w:rPr>
        <w:t>CN</w:t>
      </w:r>
      <w:r w:rsidRPr="005910E5">
        <w:rPr>
          <w:rFonts w:hint="eastAsia"/>
        </w:rPr>
        <w:t>.</w:t>
      </w:r>
      <w:r>
        <w:rPr>
          <w:rFonts w:hint="eastAsia"/>
        </w:rPr>
        <w:t>4</w:t>
      </w:r>
      <w:r w:rsidRPr="005910E5">
        <w:rPr>
          <w:rFonts w:hint="eastAsia"/>
        </w:rPr>
        <w:t>/</w:t>
      </w:r>
      <w:r>
        <w:rPr>
          <w:rFonts w:hint="eastAsia"/>
        </w:rPr>
        <w:t>601</w:t>
      </w:r>
      <w:r w:rsidRPr="005910E5">
        <w:rPr>
          <w:rFonts w:hint="eastAsia"/>
        </w:rPr>
        <w:t>(</w:t>
      </w:r>
      <w:r w:rsidRPr="005910E5">
        <w:rPr>
          <w:rFonts w:ascii="宋体" w:hAnsi="宋体" w:cs="宋体" w:hint="eastAsia"/>
        </w:rPr>
        <w:t>初步报告</w:t>
      </w:r>
      <w:r w:rsidRPr="005910E5">
        <w:rPr>
          <w:rFonts w:hint="eastAsia"/>
        </w:rPr>
        <w:t>)</w:t>
      </w:r>
      <w:r w:rsidRPr="005910E5">
        <w:rPr>
          <w:rFonts w:ascii="宋体" w:hAnsi="宋体" w:cs="宋体" w:hint="eastAsia"/>
        </w:rPr>
        <w:t>、</w:t>
      </w:r>
      <w:r>
        <w:rPr>
          <w:rFonts w:hint="eastAsia"/>
        </w:rPr>
        <w:t>A</w:t>
      </w:r>
      <w:r w:rsidRPr="005910E5">
        <w:rPr>
          <w:rFonts w:hint="eastAsia"/>
        </w:rPr>
        <w:t>/</w:t>
      </w:r>
      <w:r>
        <w:rPr>
          <w:rFonts w:hint="eastAsia"/>
        </w:rPr>
        <w:t>CN</w:t>
      </w:r>
      <w:r w:rsidRPr="005910E5">
        <w:rPr>
          <w:rFonts w:hint="eastAsia"/>
        </w:rPr>
        <w:t>.</w:t>
      </w:r>
      <w:r>
        <w:rPr>
          <w:rFonts w:hint="eastAsia"/>
        </w:rPr>
        <w:t>4</w:t>
      </w:r>
      <w:r w:rsidRPr="005910E5">
        <w:rPr>
          <w:rFonts w:hint="eastAsia"/>
        </w:rPr>
        <w:t>/</w:t>
      </w:r>
      <w:r>
        <w:rPr>
          <w:rFonts w:hint="eastAsia"/>
        </w:rPr>
        <w:t>631</w:t>
      </w:r>
      <w:r w:rsidRPr="005910E5">
        <w:rPr>
          <w:rFonts w:hint="eastAsia"/>
        </w:rPr>
        <w:t>(</w:t>
      </w:r>
      <w:r w:rsidRPr="005910E5">
        <w:rPr>
          <w:rFonts w:ascii="宋体" w:hAnsi="宋体" w:cs="宋体" w:hint="eastAsia"/>
        </w:rPr>
        <w:t>第二次报告</w:t>
      </w:r>
      <w:r w:rsidRPr="005910E5">
        <w:rPr>
          <w:rFonts w:hint="eastAsia"/>
        </w:rPr>
        <w:t>)</w:t>
      </w:r>
      <w:r w:rsidRPr="005910E5">
        <w:rPr>
          <w:rFonts w:ascii="宋体" w:hAnsi="宋体" w:cs="宋体" w:hint="eastAsia"/>
        </w:rPr>
        <w:t>和</w:t>
      </w:r>
      <w:r>
        <w:rPr>
          <w:rFonts w:hint="eastAsia"/>
        </w:rPr>
        <w:t>A</w:t>
      </w:r>
      <w:r w:rsidRPr="005910E5">
        <w:rPr>
          <w:rFonts w:hint="eastAsia"/>
        </w:rPr>
        <w:t>/</w:t>
      </w:r>
      <w:r>
        <w:rPr>
          <w:rFonts w:hint="eastAsia"/>
        </w:rPr>
        <w:t>CN</w:t>
      </w:r>
      <w:r w:rsidRPr="005910E5">
        <w:rPr>
          <w:rFonts w:hint="eastAsia"/>
        </w:rPr>
        <w:t>.</w:t>
      </w:r>
      <w:r>
        <w:rPr>
          <w:rFonts w:hint="eastAsia"/>
        </w:rPr>
        <w:t>4</w:t>
      </w:r>
      <w:r w:rsidRPr="005910E5">
        <w:rPr>
          <w:rFonts w:hint="eastAsia"/>
        </w:rPr>
        <w:t>/</w:t>
      </w:r>
      <w:r>
        <w:rPr>
          <w:rFonts w:hint="eastAsia"/>
        </w:rPr>
        <w:t>646</w:t>
      </w:r>
      <w:r w:rsidRPr="005910E5">
        <w:rPr>
          <w:rFonts w:hint="eastAsia"/>
        </w:rPr>
        <w:t>(</w:t>
      </w:r>
      <w:r w:rsidRPr="005910E5">
        <w:rPr>
          <w:rFonts w:ascii="宋体" w:hAnsi="宋体" w:cs="宋体" w:hint="eastAsia"/>
        </w:rPr>
        <w:t>第三次报告</w:t>
      </w:r>
      <w:r w:rsidRPr="005910E5">
        <w:rPr>
          <w:rFonts w:hint="eastAsia"/>
        </w:rPr>
        <w:t>)</w:t>
      </w:r>
      <w:r w:rsidRPr="005910E5">
        <w:rPr>
          <w:rFonts w:ascii="宋体" w:hAnsi="宋体" w:cs="宋体" w:hint="eastAsia"/>
        </w:rPr>
        <w:t>。</w:t>
      </w:r>
    </w:p>
  </w:footnote>
  <w:footnote w:id="1405">
    <w:p w:rsidR="00AB00DE" w:rsidRPr="00986A0D" w:rsidRDefault="00AB00DE" w:rsidP="005D4032">
      <w:pPr>
        <w:pStyle w:val="a4"/>
        <w:spacing w:after="60" w:line="230" w:lineRule="exact"/>
      </w:pPr>
      <w:r>
        <w:tab/>
      </w:r>
      <w:r w:rsidRPr="003D3D39">
        <w:rPr>
          <w:rStyle w:val="a5"/>
        </w:rPr>
        <w:footnoteRef/>
      </w:r>
      <w:r w:rsidRPr="00986A0D">
        <w:tab/>
      </w:r>
      <w:r w:rsidRPr="005910E5">
        <w:rPr>
          <w:rFonts w:ascii="宋体" w:hAnsi="宋体" w:cs="宋体" w:hint="eastAsia"/>
        </w:rPr>
        <w:t>见《大会正式记录，第六十四届会议，补编第</w:t>
      </w:r>
      <w:r>
        <w:rPr>
          <w:rFonts w:hint="eastAsia"/>
        </w:rPr>
        <w:t>10</w:t>
      </w:r>
      <w:r w:rsidRPr="005910E5">
        <w:rPr>
          <w:rFonts w:ascii="宋体" w:hAnsi="宋体" w:cs="宋体" w:hint="eastAsia"/>
        </w:rPr>
        <w:t>号》</w:t>
      </w:r>
      <w:r w:rsidRPr="005910E5">
        <w:rPr>
          <w:rFonts w:hint="eastAsia"/>
        </w:rPr>
        <w:t>(</w:t>
      </w:r>
      <w:r>
        <w:rPr>
          <w:rFonts w:hint="eastAsia"/>
        </w:rPr>
        <w:t>A</w:t>
      </w:r>
      <w:r w:rsidRPr="005910E5">
        <w:rPr>
          <w:rFonts w:hint="eastAsia"/>
        </w:rPr>
        <w:t>/</w:t>
      </w:r>
      <w:r>
        <w:rPr>
          <w:rFonts w:hint="eastAsia"/>
        </w:rPr>
        <w:t>64</w:t>
      </w:r>
      <w:r w:rsidRPr="005910E5">
        <w:rPr>
          <w:rFonts w:hint="eastAsia"/>
        </w:rPr>
        <w:t>/</w:t>
      </w:r>
      <w:r>
        <w:rPr>
          <w:rFonts w:hint="eastAsia"/>
        </w:rPr>
        <w:t>10</w:t>
      </w:r>
      <w:r w:rsidRPr="005910E5">
        <w:rPr>
          <w:rFonts w:hint="eastAsia"/>
        </w:rPr>
        <w:t>)</w:t>
      </w:r>
      <w:r w:rsidRPr="005910E5">
        <w:rPr>
          <w:rFonts w:ascii="宋体" w:hAnsi="宋体" w:cs="宋体" w:hint="eastAsia"/>
        </w:rPr>
        <w:t>，第</w:t>
      </w:r>
      <w:r>
        <w:rPr>
          <w:rFonts w:hint="eastAsia"/>
        </w:rPr>
        <w:t>207</w:t>
      </w:r>
      <w:r w:rsidRPr="005910E5">
        <w:rPr>
          <w:rFonts w:ascii="宋体" w:hAnsi="宋体" w:cs="宋体" w:hint="eastAsia"/>
        </w:rPr>
        <w:t>段；</w:t>
      </w:r>
      <w:r>
        <w:rPr>
          <w:rFonts w:ascii="宋体" w:hAnsi="宋体" w:cs="宋体" w:hint="eastAsia"/>
        </w:rPr>
        <w:t>和</w:t>
      </w:r>
      <w:r w:rsidRPr="005910E5">
        <w:rPr>
          <w:rFonts w:ascii="宋体" w:hAnsi="宋体" w:cs="宋体" w:hint="eastAsia"/>
        </w:rPr>
        <w:t>同上，《第六十五届会议，补编第</w:t>
      </w:r>
      <w:r>
        <w:rPr>
          <w:rFonts w:hint="eastAsia"/>
        </w:rPr>
        <w:t>10</w:t>
      </w:r>
      <w:r w:rsidRPr="005910E5">
        <w:rPr>
          <w:rFonts w:ascii="宋体" w:hAnsi="宋体" w:cs="宋体" w:hint="eastAsia"/>
        </w:rPr>
        <w:t>号》</w:t>
      </w:r>
      <w:r w:rsidRPr="005910E5">
        <w:rPr>
          <w:rFonts w:hint="eastAsia"/>
        </w:rPr>
        <w:t>(</w:t>
      </w:r>
      <w:r>
        <w:rPr>
          <w:rFonts w:hint="eastAsia"/>
        </w:rPr>
        <w:t>A</w:t>
      </w:r>
      <w:r w:rsidRPr="005910E5">
        <w:rPr>
          <w:rFonts w:hint="eastAsia"/>
        </w:rPr>
        <w:t>/</w:t>
      </w:r>
      <w:r>
        <w:rPr>
          <w:rFonts w:hint="eastAsia"/>
        </w:rPr>
        <w:t>65</w:t>
      </w:r>
      <w:r w:rsidRPr="005910E5">
        <w:rPr>
          <w:rFonts w:hint="eastAsia"/>
        </w:rPr>
        <w:t>/</w:t>
      </w:r>
      <w:r>
        <w:rPr>
          <w:rFonts w:hint="eastAsia"/>
        </w:rPr>
        <w:t>10</w:t>
      </w:r>
      <w:r w:rsidRPr="005910E5">
        <w:rPr>
          <w:rFonts w:hint="eastAsia"/>
        </w:rPr>
        <w:t>)</w:t>
      </w:r>
      <w:r w:rsidRPr="005910E5">
        <w:rPr>
          <w:rFonts w:ascii="宋体" w:hAnsi="宋体" w:cs="宋体" w:hint="eastAsia"/>
        </w:rPr>
        <w:t>，第</w:t>
      </w:r>
      <w:r>
        <w:rPr>
          <w:rFonts w:hint="eastAsia"/>
        </w:rPr>
        <w:t>343</w:t>
      </w:r>
      <w:r w:rsidRPr="005910E5">
        <w:rPr>
          <w:rFonts w:ascii="宋体" w:hAnsi="宋体" w:cs="宋体" w:hint="eastAsia"/>
        </w:rPr>
        <w:t>段。</w:t>
      </w:r>
    </w:p>
  </w:footnote>
  <w:footnote w:id="1406">
    <w:p w:rsidR="00AB00DE" w:rsidRPr="00CE5672" w:rsidRDefault="00AB00DE" w:rsidP="005D4032">
      <w:pPr>
        <w:pStyle w:val="a4"/>
        <w:spacing w:after="60" w:line="230" w:lineRule="exact"/>
      </w:pPr>
      <w:r>
        <w:rPr>
          <w:i/>
          <w:iCs/>
        </w:rPr>
        <w:tab/>
      </w:r>
      <w:r w:rsidRPr="003D3D39">
        <w:rPr>
          <w:rStyle w:val="a5"/>
        </w:rPr>
        <w:footnoteRef/>
      </w:r>
      <w:r>
        <w:rPr>
          <w:i/>
          <w:iCs/>
        </w:rPr>
        <w:tab/>
      </w:r>
      <w:r w:rsidRPr="005910E5">
        <w:rPr>
          <w:rFonts w:ascii="宋体" w:hAnsi="宋体" w:cs="宋体" w:hint="eastAsia"/>
        </w:rPr>
        <w:t>同上，《</w:t>
      </w:r>
      <w:r>
        <w:rPr>
          <w:rFonts w:ascii="宋体" w:hAnsi="宋体" w:cs="宋体" w:hint="eastAsia"/>
        </w:rPr>
        <w:t>第六十七</w:t>
      </w:r>
      <w:r w:rsidRPr="005910E5">
        <w:rPr>
          <w:rFonts w:ascii="宋体" w:hAnsi="宋体" w:cs="宋体" w:hint="eastAsia"/>
        </w:rPr>
        <w:t>届会议，补编第</w:t>
      </w:r>
      <w:r>
        <w:rPr>
          <w:rFonts w:hint="eastAsia"/>
        </w:rPr>
        <w:t>10</w:t>
      </w:r>
      <w:r w:rsidRPr="005910E5">
        <w:rPr>
          <w:rFonts w:ascii="宋体" w:hAnsi="宋体" w:cs="宋体" w:hint="eastAsia"/>
        </w:rPr>
        <w:t>号》</w:t>
      </w:r>
      <w:r>
        <w:rPr>
          <w:rFonts w:hint="eastAsia"/>
        </w:rPr>
        <w:t>(A/67</w:t>
      </w:r>
      <w:r w:rsidRPr="005910E5">
        <w:rPr>
          <w:rFonts w:hint="eastAsia"/>
        </w:rPr>
        <w:t>/</w:t>
      </w:r>
      <w:r>
        <w:rPr>
          <w:rFonts w:hint="eastAsia"/>
        </w:rPr>
        <w:t>10</w:t>
      </w:r>
      <w:r w:rsidRPr="005910E5">
        <w:rPr>
          <w:rFonts w:hint="eastAsia"/>
        </w:rPr>
        <w:t>)</w:t>
      </w:r>
      <w:r w:rsidRPr="005910E5">
        <w:rPr>
          <w:rFonts w:ascii="宋体" w:hAnsi="宋体" w:cs="宋体" w:hint="eastAsia"/>
        </w:rPr>
        <w:t>，第</w:t>
      </w:r>
      <w:r>
        <w:rPr>
          <w:rFonts w:hint="eastAsia"/>
        </w:rPr>
        <w:t>266</w:t>
      </w:r>
      <w:r w:rsidRPr="005910E5">
        <w:rPr>
          <w:rFonts w:ascii="宋体" w:hAnsi="宋体" w:cs="宋体" w:hint="eastAsia"/>
        </w:rPr>
        <w:t>段。</w:t>
      </w:r>
    </w:p>
  </w:footnote>
  <w:footnote w:id="1407">
    <w:p w:rsidR="00AB00DE" w:rsidRPr="00986A0D" w:rsidRDefault="00AB00DE" w:rsidP="005D4032">
      <w:pPr>
        <w:pStyle w:val="a4"/>
        <w:spacing w:after="60" w:line="230" w:lineRule="exact"/>
      </w:pPr>
      <w:r>
        <w:tab/>
      </w:r>
      <w:r w:rsidRPr="003D3D39">
        <w:rPr>
          <w:rStyle w:val="a5"/>
        </w:rPr>
        <w:footnoteRef/>
      </w:r>
      <w:r>
        <w:tab/>
      </w:r>
      <w:r>
        <w:rPr>
          <w:rFonts w:hint="eastAsia"/>
        </w:rPr>
        <w:t>A/CN.4/654</w:t>
      </w:r>
      <w:r w:rsidRPr="005910E5">
        <w:rPr>
          <w:rFonts w:hint="eastAsia"/>
        </w:rPr>
        <w:t>(</w:t>
      </w:r>
      <w:r>
        <w:rPr>
          <w:rFonts w:ascii="宋体" w:hAnsi="宋体" w:cs="宋体" w:hint="eastAsia"/>
        </w:rPr>
        <w:t>初步</w:t>
      </w:r>
      <w:r w:rsidRPr="005910E5">
        <w:rPr>
          <w:rFonts w:ascii="宋体" w:hAnsi="宋体" w:cs="宋体" w:hint="eastAsia"/>
        </w:rPr>
        <w:t>报告</w:t>
      </w:r>
      <w:r w:rsidRPr="005910E5">
        <w:rPr>
          <w:rFonts w:hint="eastAsia"/>
        </w:rPr>
        <w:t>)</w:t>
      </w:r>
      <w:r w:rsidRPr="005910E5">
        <w:rPr>
          <w:rFonts w:ascii="宋体" w:hAnsi="宋体" w:cs="宋体" w:hint="eastAsia"/>
        </w:rPr>
        <w:t>；</w:t>
      </w:r>
      <w:r>
        <w:rPr>
          <w:rFonts w:hint="eastAsia"/>
        </w:rPr>
        <w:t>A/CN.4/661</w:t>
      </w:r>
      <w:r w:rsidRPr="005910E5">
        <w:rPr>
          <w:rFonts w:hint="eastAsia"/>
        </w:rPr>
        <w:t>(</w:t>
      </w:r>
      <w:r w:rsidRPr="005910E5">
        <w:rPr>
          <w:rFonts w:ascii="宋体" w:hAnsi="宋体" w:cs="宋体" w:hint="eastAsia"/>
        </w:rPr>
        <w:t>第二次报告</w:t>
      </w:r>
      <w:r w:rsidRPr="005910E5">
        <w:rPr>
          <w:rFonts w:hint="eastAsia"/>
        </w:rPr>
        <w:t>)</w:t>
      </w:r>
      <w:r>
        <w:rPr>
          <w:rFonts w:ascii="宋体" w:hAnsi="宋体" w:cs="宋体" w:hint="eastAsia"/>
        </w:rPr>
        <w:t>；</w:t>
      </w:r>
      <w:r>
        <w:rPr>
          <w:rFonts w:hint="eastAsia"/>
        </w:rPr>
        <w:t>A</w:t>
      </w:r>
      <w:r w:rsidRPr="005910E5">
        <w:rPr>
          <w:rFonts w:hint="eastAsia"/>
        </w:rPr>
        <w:t>/</w:t>
      </w:r>
      <w:r>
        <w:rPr>
          <w:rFonts w:hint="eastAsia"/>
        </w:rPr>
        <w:t>CN</w:t>
      </w:r>
      <w:r w:rsidRPr="005910E5">
        <w:rPr>
          <w:rFonts w:hint="eastAsia"/>
        </w:rPr>
        <w:t>.</w:t>
      </w:r>
      <w:r>
        <w:rPr>
          <w:rFonts w:hint="eastAsia"/>
        </w:rPr>
        <w:t>4</w:t>
      </w:r>
      <w:r w:rsidRPr="005910E5">
        <w:rPr>
          <w:rFonts w:hint="eastAsia"/>
        </w:rPr>
        <w:t>/</w:t>
      </w:r>
      <w:r>
        <w:rPr>
          <w:rFonts w:hint="eastAsia"/>
        </w:rPr>
        <w:t>673</w:t>
      </w:r>
      <w:r w:rsidRPr="005910E5">
        <w:rPr>
          <w:rFonts w:ascii="宋体" w:hAnsi="宋体" w:cs="宋体" w:hint="eastAsia"/>
        </w:rPr>
        <w:t>和</w:t>
      </w:r>
      <w:r>
        <w:rPr>
          <w:rFonts w:hint="eastAsia"/>
        </w:rPr>
        <w:t>Corr</w:t>
      </w:r>
      <w:r w:rsidRPr="005910E5">
        <w:rPr>
          <w:rFonts w:hint="eastAsia"/>
        </w:rPr>
        <w:t>.</w:t>
      </w:r>
      <w:r>
        <w:rPr>
          <w:rFonts w:hint="eastAsia"/>
        </w:rPr>
        <w:t>1</w:t>
      </w:r>
      <w:r w:rsidRPr="005910E5">
        <w:rPr>
          <w:rFonts w:hint="eastAsia"/>
        </w:rPr>
        <w:t>(</w:t>
      </w:r>
      <w:r w:rsidRPr="005910E5">
        <w:rPr>
          <w:rFonts w:ascii="宋体" w:hAnsi="宋体" w:cs="宋体" w:hint="eastAsia"/>
        </w:rPr>
        <w:t>第三次报告</w:t>
      </w:r>
      <w:r w:rsidRPr="005910E5">
        <w:rPr>
          <w:rFonts w:hint="eastAsia"/>
        </w:rPr>
        <w:t>)</w:t>
      </w:r>
      <w:r>
        <w:rPr>
          <w:rFonts w:ascii="宋体" w:hAnsi="宋体" w:cs="宋体" w:hint="eastAsia"/>
        </w:rPr>
        <w:t>；和</w:t>
      </w:r>
      <w:r>
        <w:rPr>
          <w:rFonts w:hint="eastAsia"/>
        </w:rPr>
        <w:t>A/CN.4/687</w:t>
      </w:r>
      <w:r w:rsidRPr="005910E5">
        <w:rPr>
          <w:rFonts w:hint="eastAsia"/>
        </w:rPr>
        <w:t>(</w:t>
      </w:r>
      <w:r>
        <w:rPr>
          <w:rFonts w:ascii="宋体" w:hAnsi="宋体" w:cs="宋体" w:hint="eastAsia"/>
        </w:rPr>
        <w:t>第四</w:t>
      </w:r>
      <w:r w:rsidRPr="005910E5">
        <w:rPr>
          <w:rFonts w:ascii="宋体" w:hAnsi="宋体" w:cs="宋体" w:hint="eastAsia"/>
        </w:rPr>
        <w:t>次报告</w:t>
      </w:r>
      <w:r w:rsidRPr="005910E5">
        <w:rPr>
          <w:rFonts w:hint="eastAsia"/>
        </w:rPr>
        <w:t>)</w:t>
      </w:r>
      <w:r w:rsidRPr="005910E5">
        <w:rPr>
          <w:rFonts w:ascii="宋体" w:hAnsi="宋体" w:cs="宋体" w:hint="eastAsia"/>
        </w:rPr>
        <w:t>。</w:t>
      </w:r>
    </w:p>
  </w:footnote>
  <w:footnote w:id="1408">
    <w:p w:rsidR="00AB00DE" w:rsidRPr="00986A0D" w:rsidRDefault="00AB00DE" w:rsidP="005D4032">
      <w:pPr>
        <w:pStyle w:val="a4"/>
        <w:spacing w:after="60" w:line="230" w:lineRule="exact"/>
      </w:pPr>
      <w:r>
        <w:rPr>
          <w:i/>
          <w:iCs/>
        </w:rPr>
        <w:tab/>
      </w:r>
      <w:r w:rsidRPr="003D3D39">
        <w:rPr>
          <w:rStyle w:val="a5"/>
        </w:rPr>
        <w:footnoteRef/>
      </w:r>
      <w:r w:rsidRPr="00986A0D">
        <w:rPr>
          <w:i/>
          <w:iCs/>
        </w:rPr>
        <w:tab/>
      </w:r>
      <w:r>
        <w:rPr>
          <w:rFonts w:ascii="宋体" w:hAnsi="宋体" w:cs="宋体" w:hint="eastAsia"/>
        </w:rPr>
        <w:t>见</w:t>
      </w:r>
      <w:r w:rsidRPr="00031ACE">
        <w:rPr>
          <w:rFonts w:ascii="宋体" w:hAnsi="宋体" w:cs="宋体" w:hint="eastAsia"/>
        </w:rPr>
        <w:t>《大会正式记录，第六十八届会议，补编第</w:t>
      </w:r>
      <w:r>
        <w:rPr>
          <w:rFonts w:hint="eastAsia"/>
        </w:rPr>
        <w:t>10</w:t>
      </w:r>
      <w:r w:rsidRPr="00031ACE">
        <w:rPr>
          <w:rFonts w:ascii="宋体" w:hAnsi="宋体" w:cs="宋体" w:hint="eastAsia"/>
        </w:rPr>
        <w:t>号》</w:t>
      </w:r>
      <w:r w:rsidRPr="00031ACE">
        <w:rPr>
          <w:rFonts w:hint="eastAsia"/>
        </w:rPr>
        <w:t>(</w:t>
      </w:r>
      <w:r>
        <w:rPr>
          <w:rFonts w:hint="eastAsia"/>
        </w:rPr>
        <w:t>A</w:t>
      </w:r>
      <w:r w:rsidRPr="00031ACE">
        <w:rPr>
          <w:rFonts w:hint="eastAsia"/>
        </w:rPr>
        <w:t>/</w:t>
      </w:r>
      <w:r>
        <w:rPr>
          <w:rFonts w:hint="eastAsia"/>
        </w:rPr>
        <w:t>68</w:t>
      </w:r>
      <w:r w:rsidRPr="00031ACE">
        <w:rPr>
          <w:rFonts w:hint="eastAsia"/>
        </w:rPr>
        <w:t>/</w:t>
      </w:r>
      <w:r>
        <w:rPr>
          <w:rFonts w:hint="eastAsia"/>
        </w:rPr>
        <w:t>10</w:t>
      </w:r>
      <w:r w:rsidRPr="00031ACE">
        <w:rPr>
          <w:rFonts w:hint="eastAsia"/>
        </w:rPr>
        <w:t>)</w:t>
      </w:r>
      <w:r w:rsidRPr="00031ACE">
        <w:rPr>
          <w:rFonts w:ascii="宋体" w:hAnsi="宋体" w:cs="宋体" w:hint="eastAsia"/>
        </w:rPr>
        <w:t>，第</w:t>
      </w:r>
      <w:r>
        <w:rPr>
          <w:rFonts w:hint="eastAsia"/>
        </w:rPr>
        <w:t>48</w:t>
      </w:r>
      <w:r w:rsidRPr="00031ACE">
        <w:rPr>
          <w:rFonts w:ascii="宋体" w:hAnsi="宋体" w:cs="宋体" w:hint="eastAsia"/>
        </w:rPr>
        <w:t>和第</w:t>
      </w:r>
      <w:r>
        <w:rPr>
          <w:rFonts w:hint="eastAsia"/>
        </w:rPr>
        <w:t>49</w:t>
      </w:r>
      <w:r w:rsidRPr="00031ACE">
        <w:rPr>
          <w:rFonts w:ascii="宋体" w:hAnsi="宋体" w:cs="宋体" w:hint="eastAsia"/>
        </w:rPr>
        <w:t>段。在</w:t>
      </w:r>
      <w:r>
        <w:rPr>
          <w:rFonts w:hint="eastAsia"/>
        </w:rPr>
        <w:t>2013</w:t>
      </w:r>
      <w:r w:rsidRPr="00031ACE">
        <w:rPr>
          <w:rFonts w:ascii="宋体" w:hAnsi="宋体" w:cs="宋体" w:hint="eastAsia"/>
        </w:rPr>
        <w:t>年</w:t>
      </w:r>
      <w:r>
        <w:rPr>
          <w:rFonts w:hint="eastAsia"/>
        </w:rPr>
        <w:t>6</w:t>
      </w:r>
      <w:r w:rsidRPr="00031ACE">
        <w:rPr>
          <w:rFonts w:ascii="宋体" w:hAnsi="宋体" w:cs="宋体" w:hint="eastAsia"/>
        </w:rPr>
        <w:t>月</w:t>
      </w:r>
      <w:r>
        <w:rPr>
          <w:rFonts w:hint="eastAsia"/>
        </w:rPr>
        <w:t>7</w:t>
      </w:r>
      <w:r w:rsidRPr="00031ACE">
        <w:rPr>
          <w:rFonts w:ascii="宋体" w:hAnsi="宋体" w:cs="宋体" w:hint="eastAsia"/>
        </w:rPr>
        <w:t>日第</w:t>
      </w:r>
      <w:r>
        <w:rPr>
          <w:rFonts w:hint="eastAsia"/>
        </w:rPr>
        <w:t>3174</w:t>
      </w:r>
      <w:r w:rsidRPr="00031ACE">
        <w:rPr>
          <w:rFonts w:ascii="宋体" w:hAnsi="宋体" w:cs="宋体" w:hint="eastAsia"/>
        </w:rPr>
        <w:t>次会议上，委员会收到起草委员会的报告并暂时通过了第</w:t>
      </w:r>
      <w:r>
        <w:rPr>
          <w:rFonts w:hint="eastAsia"/>
        </w:rPr>
        <w:t>1</w:t>
      </w:r>
      <w:r w:rsidRPr="00031ACE">
        <w:rPr>
          <w:rFonts w:ascii="宋体" w:hAnsi="宋体" w:cs="宋体" w:hint="eastAsia"/>
        </w:rPr>
        <w:t>、</w:t>
      </w:r>
      <w:r>
        <w:rPr>
          <w:rFonts w:ascii="宋体" w:hAnsi="宋体" w:cs="宋体" w:hint="eastAsia"/>
        </w:rPr>
        <w:t>第</w:t>
      </w:r>
      <w:r>
        <w:rPr>
          <w:rFonts w:hint="eastAsia"/>
        </w:rPr>
        <w:t>3</w:t>
      </w:r>
      <w:r w:rsidRPr="00031ACE">
        <w:rPr>
          <w:rFonts w:ascii="宋体" w:hAnsi="宋体" w:cs="宋体" w:hint="eastAsia"/>
        </w:rPr>
        <w:t>和</w:t>
      </w:r>
      <w:r>
        <w:rPr>
          <w:rFonts w:ascii="宋体" w:hAnsi="宋体" w:cs="宋体" w:hint="eastAsia"/>
        </w:rPr>
        <w:t>第</w:t>
      </w:r>
      <w:r>
        <w:rPr>
          <w:rFonts w:hint="eastAsia"/>
        </w:rPr>
        <w:t>4</w:t>
      </w:r>
      <w:r>
        <w:rPr>
          <w:rFonts w:ascii="宋体" w:hAnsi="宋体" w:cs="宋体" w:hint="eastAsia"/>
        </w:rPr>
        <w:t>这</w:t>
      </w:r>
      <w:r w:rsidRPr="00031ACE">
        <w:rPr>
          <w:rFonts w:ascii="宋体" w:hAnsi="宋体" w:cs="宋体" w:hint="eastAsia"/>
        </w:rPr>
        <w:t>三条草案，在</w:t>
      </w:r>
      <w:r>
        <w:rPr>
          <w:rFonts w:hint="eastAsia"/>
        </w:rPr>
        <w:t>2013</w:t>
      </w:r>
      <w:r w:rsidRPr="00031ACE">
        <w:rPr>
          <w:rFonts w:ascii="宋体" w:hAnsi="宋体" w:cs="宋体" w:hint="eastAsia"/>
        </w:rPr>
        <w:t>年</w:t>
      </w:r>
      <w:r>
        <w:rPr>
          <w:rFonts w:hint="eastAsia"/>
        </w:rPr>
        <w:t>8</w:t>
      </w:r>
      <w:r w:rsidRPr="00031ACE">
        <w:rPr>
          <w:rFonts w:ascii="宋体" w:hAnsi="宋体" w:cs="宋体" w:hint="eastAsia"/>
        </w:rPr>
        <w:t>月</w:t>
      </w:r>
      <w:r>
        <w:rPr>
          <w:rFonts w:hint="eastAsia"/>
        </w:rPr>
        <w:t>6</w:t>
      </w:r>
      <w:r w:rsidRPr="00031ACE">
        <w:rPr>
          <w:rFonts w:ascii="宋体" w:hAnsi="宋体" w:cs="宋体" w:hint="eastAsia"/>
        </w:rPr>
        <w:t>日和</w:t>
      </w:r>
      <w:r>
        <w:rPr>
          <w:rFonts w:hint="eastAsia"/>
        </w:rPr>
        <w:t>7</w:t>
      </w:r>
      <w:r w:rsidRPr="00031ACE">
        <w:rPr>
          <w:rFonts w:ascii="宋体" w:hAnsi="宋体" w:cs="宋体" w:hint="eastAsia"/>
        </w:rPr>
        <w:t>日第</w:t>
      </w:r>
      <w:r>
        <w:rPr>
          <w:rFonts w:hint="eastAsia"/>
        </w:rPr>
        <w:t>3193</w:t>
      </w:r>
      <w:r w:rsidRPr="00031ACE">
        <w:rPr>
          <w:rFonts w:ascii="宋体" w:hAnsi="宋体" w:cs="宋体" w:hint="eastAsia"/>
        </w:rPr>
        <w:t>至</w:t>
      </w:r>
      <w:r>
        <w:rPr>
          <w:rFonts w:ascii="宋体" w:hAnsi="宋体" w:cs="宋体" w:hint="eastAsia"/>
        </w:rPr>
        <w:t>第</w:t>
      </w:r>
      <w:r>
        <w:rPr>
          <w:rFonts w:hint="eastAsia"/>
        </w:rPr>
        <w:t>3196</w:t>
      </w:r>
      <w:r>
        <w:rPr>
          <w:rFonts w:ascii="宋体" w:hAnsi="宋体" w:cs="宋体" w:hint="eastAsia"/>
        </w:rPr>
        <w:t>次会议上通过了</w:t>
      </w:r>
      <w:r w:rsidRPr="00031ACE">
        <w:rPr>
          <w:rFonts w:ascii="宋体" w:hAnsi="宋体" w:cs="宋体" w:hint="eastAsia"/>
        </w:rPr>
        <w:t>这三条</w:t>
      </w:r>
      <w:r>
        <w:rPr>
          <w:rFonts w:ascii="宋体" w:hAnsi="宋体" w:cs="宋体" w:hint="eastAsia"/>
        </w:rPr>
        <w:t>的评注</w:t>
      </w:r>
      <w:r>
        <w:rPr>
          <w:rFonts w:hint="eastAsia"/>
        </w:rPr>
        <w:t>(</w:t>
      </w:r>
      <w:r>
        <w:rPr>
          <w:rFonts w:ascii="宋体" w:hAnsi="宋体" w:cs="宋体" w:hint="eastAsia"/>
        </w:rPr>
        <w:t>同上，</w:t>
      </w:r>
      <w:r w:rsidRPr="00031ACE">
        <w:rPr>
          <w:rFonts w:ascii="宋体" w:hAnsi="宋体" w:cs="宋体" w:hint="eastAsia"/>
        </w:rPr>
        <w:t>《大会正式记录，第六十九届会议，补编第</w:t>
      </w:r>
      <w:r>
        <w:rPr>
          <w:rFonts w:hint="eastAsia"/>
        </w:rPr>
        <w:t>10</w:t>
      </w:r>
      <w:r w:rsidRPr="00031ACE">
        <w:rPr>
          <w:rFonts w:ascii="宋体" w:hAnsi="宋体" w:cs="宋体" w:hint="eastAsia"/>
        </w:rPr>
        <w:t>号》</w:t>
      </w:r>
      <w:r w:rsidRPr="00031ACE">
        <w:rPr>
          <w:rFonts w:hint="eastAsia"/>
        </w:rPr>
        <w:t>(</w:t>
      </w:r>
      <w:r>
        <w:rPr>
          <w:rFonts w:hint="eastAsia"/>
        </w:rPr>
        <w:t>A</w:t>
      </w:r>
      <w:r w:rsidRPr="00031ACE">
        <w:rPr>
          <w:rFonts w:hint="eastAsia"/>
        </w:rPr>
        <w:t>/</w:t>
      </w:r>
      <w:r>
        <w:rPr>
          <w:rFonts w:hint="eastAsia"/>
        </w:rPr>
        <w:t>69</w:t>
      </w:r>
      <w:r w:rsidRPr="00031ACE">
        <w:rPr>
          <w:rFonts w:hint="eastAsia"/>
        </w:rPr>
        <w:t>/</w:t>
      </w:r>
      <w:r>
        <w:rPr>
          <w:rFonts w:hint="eastAsia"/>
        </w:rPr>
        <w:t>10</w:t>
      </w:r>
      <w:r w:rsidRPr="00031ACE">
        <w:rPr>
          <w:rFonts w:hint="eastAsia"/>
        </w:rPr>
        <w:t>)</w:t>
      </w:r>
      <w:r w:rsidRPr="00031ACE">
        <w:rPr>
          <w:rFonts w:ascii="宋体" w:hAnsi="宋体" w:cs="宋体" w:hint="eastAsia"/>
        </w:rPr>
        <w:t>，第</w:t>
      </w:r>
      <w:r>
        <w:rPr>
          <w:rFonts w:hint="eastAsia"/>
        </w:rPr>
        <w:t>48</w:t>
      </w:r>
      <w:r w:rsidRPr="00031ACE">
        <w:rPr>
          <w:rFonts w:ascii="宋体" w:hAnsi="宋体" w:cs="宋体" w:hint="eastAsia"/>
        </w:rPr>
        <w:t>和第</w:t>
      </w:r>
      <w:r>
        <w:rPr>
          <w:rFonts w:hint="eastAsia"/>
        </w:rPr>
        <w:t>49</w:t>
      </w:r>
      <w:r w:rsidRPr="00031ACE">
        <w:rPr>
          <w:rFonts w:ascii="宋体" w:hAnsi="宋体" w:cs="宋体" w:hint="eastAsia"/>
        </w:rPr>
        <w:t>段</w:t>
      </w:r>
      <w:r>
        <w:rPr>
          <w:rFonts w:hint="eastAsia"/>
        </w:rPr>
        <w:t>)</w:t>
      </w:r>
      <w:r w:rsidRPr="00031ACE">
        <w:rPr>
          <w:rFonts w:ascii="宋体" w:hAnsi="宋体" w:cs="宋体" w:hint="eastAsia"/>
        </w:rPr>
        <w:t>。</w:t>
      </w:r>
      <w:r>
        <w:rPr>
          <w:rFonts w:ascii="宋体" w:hAnsi="宋体" w:cs="宋体" w:hint="eastAsia"/>
        </w:rPr>
        <w:t>委员会</w:t>
      </w:r>
      <w:r w:rsidRPr="00031ACE">
        <w:rPr>
          <w:rFonts w:ascii="宋体" w:hAnsi="宋体" w:cs="宋体" w:hint="eastAsia"/>
        </w:rPr>
        <w:t>在</w:t>
      </w:r>
      <w:r>
        <w:rPr>
          <w:rFonts w:hint="eastAsia"/>
        </w:rPr>
        <w:t>2014</w:t>
      </w:r>
      <w:r w:rsidRPr="00031ACE">
        <w:rPr>
          <w:rFonts w:ascii="宋体" w:hAnsi="宋体" w:cs="宋体" w:hint="eastAsia"/>
        </w:rPr>
        <w:t>年</w:t>
      </w:r>
      <w:r>
        <w:rPr>
          <w:rFonts w:hint="eastAsia"/>
        </w:rPr>
        <w:t>7</w:t>
      </w:r>
      <w:r w:rsidRPr="00031ACE">
        <w:rPr>
          <w:rFonts w:ascii="宋体" w:hAnsi="宋体" w:cs="宋体" w:hint="eastAsia"/>
        </w:rPr>
        <w:t>月</w:t>
      </w:r>
      <w:r>
        <w:rPr>
          <w:rFonts w:hint="eastAsia"/>
        </w:rPr>
        <w:t>25</w:t>
      </w:r>
      <w:r w:rsidRPr="00031ACE">
        <w:rPr>
          <w:rFonts w:ascii="宋体" w:hAnsi="宋体" w:cs="宋体" w:hint="eastAsia"/>
        </w:rPr>
        <w:t>日第</w:t>
      </w:r>
      <w:r>
        <w:rPr>
          <w:rFonts w:hint="eastAsia"/>
        </w:rPr>
        <w:t>3231</w:t>
      </w:r>
      <w:r>
        <w:rPr>
          <w:rFonts w:ascii="宋体" w:hAnsi="宋体" w:cs="宋体" w:hint="eastAsia"/>
        </w:rPr>
        <w:t>次会议上</w:t>
      </w:r>
      <w:r w:rsidRPr="00031ACE">
        <w:rPr>
          <w:rFonts w:ascii="宋体" w:hAnsi="宋体" w:cs="宋体" w:hint="eastAsia"/>
        </w:rPr>
        <w:t>收到了起草委员会的报告并暂时通过了第</w:t>
      </w:r>
      <w:r>
        <w:rPr>
          <w:rFonts w:hint="eastAsia"/>
        </w:rPr>
        <w:t>2</w:t>
      </w:r>
      <w:r w:rsidRPr="00031ACE">
        <w:rPr>
          <w:rFonts w:ascii="宋体" w:hAnsi="宋体" w:cs="宋体" w:hint="eastAsia"/>
        </w:rPr>
        <w:t>条草案</w:t>
      </w:r>
      <w:r w:rsidRPr="00031ACE">
        <w:rPr>
          <w:rFonts w:hint="eastAsia"/>
        </w:rPr>
        <w:t>(</w:t>
      </w:r>
      <w:r>
        <w:rPr>
          <w:rFonts w:hint="eastAsia"/>
        </w:rPr>
        <w:t>e</w:t>
      </w:r>
      <w:r w:rsidRPr="00031ACE">
        <w:rPr>
          <w:rFonts w:hint="eastAsia"/>
        </w:rPr>
        <w:t>)</w:t>
      </w:r>
      <w:r>
        <w:rPr>
          <w:rFonts w:ascii="宋体" w:hAnsi="宋体" w:cs="宋体" w:hint="eastAsia"/>
        </w:rPr>
        <w:t>项</w:t>
      </w:r>
      <w:r w:rsidRPr="00031ACE">
        <w:rPr>
          <w:rFonts w:ascii="宋体" w:hAnsi="宋体" w:cs="宋体" w:hint="eastAsia"/>
        </w:rPr>
        <w:t>和第</w:t>
      </w:r>
      <w:r>
        <w:rPr>
          <w:rFonts w:hint="eastAsia"/>
        </w:rPr>
        <w:t>5</w:t>
      </w:r>
      <w:r w:rsidRPr="00031ACE">
        <w:rPr>
          <w:rFonts w:ascii="宋体" w:hAnsi="宋体" w:cs="宋体" w:hint="eastAsia"/>
        </w:rPr>
        <w:t>条草案，</w:t>
      </w:r>
      <w:r>
        <w:rPr>
          <w:rFonts w:ascii="宋体" w:hAnsi="宋体" w:cs="宋体" w:hint="eastAsia"/>
        </w:rPr>
        <w:t>又</w:t>
      </w:r>
      <w:r w:rsidRPr="00031ACE">
        <w:rPr>
          <w:rFonts w:ascii="宋体" w:hAnsi="宋体" w:cs="宋体" w:hint="eastAsia"/>
        </w:rPr>
        <w:t>在</w:t>
      </w:r>
      <w:r>
        <w:rPr>
          <w:rFonts w:hint="eastAsia"/>
        </w:rPr>
        <w:t>2014</w:t>
      </w:r>
      <w:r w:rsidRPr="00031ACE">
        <w:rPr>
          <w:rFonts w:ascii="宋体" w:hAnsi="宋体" w:cs="宋体" w:hint="eastAsia"/>
        </w:rPr>
        <w:t>年</w:t>
      </w:r>
      <w:r>
        <w:rPr>
          <w:rFonts w:hint="eastAsia"/>
        </w:rPr>
        <w:t>8</w:t>
      </w:r>
      <w:r w:rsidRPr="00031ACE">
        <w:rPr>
          <w:rFonts w:ascii="宋体" w:hAnsi="宋体" w:cs="宋体" w:hint="eastAsia"/>
        </w:rPr>
        <w:t>月</w:t>
      </w:r>
      <w:r>
        <w:rPr>
          <w:rFonts w:hint="eastAsia"/>
        </w:rPr>
        <w:t>6</w:t>
      </w:r>
      <w:r w:rsidRPr="00031ACE">
        <w:rPr>
          <w:rFonts w:ascii="宋体" w:hAnsi="宋体" w:cs="宋体" w:hint="eastAsia"/>
        </w:rPr>
        <w:t>日和</w:t>
      </w:r>
      <w:r>
        <w:rPr>
          <w:rFonts w:hint="eastAsia"/>
        </w:rPr>
        <w:t>7</w:t>
      </w:r>
      <w:r w:rsidRPr="00031ACE">
        <w:rPr>
          <w:rFonts w:ascii="宋体" w:hAnsi="宋体" w:cs="宋体" w:hint="eastAsia"/>
        </w:rPr>
        <w:t>日的第</w:t>
      </w:r>
      <w:r>
        <w:rPr>
          <w:rFonts w:hint="eastAsia"/>
        </w:rPr>
        <w:t>3240</w:t>
      </w:r>
      <w:r w:rsidRPr="00031ACE">
        <w:rPr>
          <w:rFonts w:ascii="宋体" w:hAnsi="宋体" w:cs="宋体" w:hint="eastAsia"/>
        </w:rPr>
        <w:t>至</w:t>
      </w:r>
      <w:r>
        <w:rPr>
          <w:rFonts w:ascii="宋体" w:hAnsi="宋体" w:cs="宋体" w:hint="eastAsia"/>
        </w:rPr>
        <w:t>第</w:t>
      </w:r>
      <w:r>
        <w:rPr>
          <w:rFonts w:hint="eastAsia"/>
        </w:rPr>
        <w:t>3242</w:t>
      </w:r>
      <w:r>
        <w:rPr>
          <w:rFonts w:ascii="宋体" w:hAnsi="宋体" w:cs="宋体" w:hint="eastAsia"/>
        </w:rPr>
        <w:t>次会议上通过了其</w:t>
      </w:r>
      <w:r w:rsidRPr="00031ACE">
        <w:rPr>
          <w:rFonts w:ascii="宋体" w:hAnsi="宋体" w:cs="宋体" w:hint="eastAsia"/>
        </w:rPr>
        <w:t>评注。</w:t>
      </w:r>
      <w:r w:rsidRPr="001B435D">
        <w:rPr>
          <w:rFonts w:ascii="宋体" w:hAnsi="宋体" w:cs="宋体" w:hint="eastAsia"/>
        </w:rPr>
        <w:t>在</w:t>
      </w:r>
      <w:r>
        <w:rPr>
          <w:rFonts w:hint="eastAsia"/>
        </w:rPr>
        <w:t>2015</w:t>
      </w:r>
      <w:r w:rsidRPr="001B435D">
        <w:rPr>
          <w:rFonts w:ascii="宋体" w:hAnsi="宋体" w:cs="宋体" w:hint="eastAsia"/>
        </w:rPr>
        <w:t>年</w:t>
      </w:r>
      <w:r>
        <w:rPr>
          <w:rFonts w:hint="eastAsia"/>
        </w:rPr>
        <w:t>8</w:t>
      </w:r>
      <w:r w:rsidRPr="001B435D">
        <w:rPr>
          <w:rFonts w:ascii="宋体" w:hAnsi="宋体" w:cs="宋体" w:hint="eastAsia"/>
        </w:rPr>
        <w:t>月</w:t>
      </w:r>
      <w:r>
        <w:rPr>
          <w:rFonts w:hint="eastAsia"/>
        </w:rPr>
        <w:t>4</w:t>
      </w:r>
      <w:r w:rsidRPr="001B435D">
        <w:rPr>
          <w:rFonts w:ascii="宋体" w:hAnsi="宋体" w:cs="宋体" w:hint="eastAsia"/>
        </w:rPr>
        <w:t>日第</w:t>
      </w:r>
      <w:r>
        <w:rPr>
          <w:rFonts w:hint="eastAsia"/>
        </w:rPr>
        <w:t>3284</w:t>
      </w:r>
      <w:r w:rsidRPr="001B435D">
        <w:rPr>
          <w:rFonts w:ascii="宋体" w:hAnsi="宋体" w:cs="宋体" w:hint="eastAsia"/>
        </w:rPr>
        <w:t>次会议上，起草委员会主席提交了</w:t>
      </w:r>
      <w:r>
        <w:rPr>
          <w:rFonts w:ascii="宋体" w:hAnsi="宋体" w:cs="宋体" w:hint="eastAsia"/>
        </w:rPr>
        <w:t>该</w:t>
      </w:r>
      <w:r w:rsidRPr="001B435D">
        <w:rPr>
          <w:rFonts w:ascii="宋体" w:hAnsi="宋体" w:cs="宋体" w:hint="eastAsia"/>
        </w:rPr>
        <w:t>委员会关于</w:t>
      </w:r>
      <w:r>
        <w:rPr>
          <w:rFonts w:ascii="Calibri" w:hAnsi="Calibri" w:cs="Calibri" w:hint="eastAsia"/>
        </w:rPr>
        <w:t>“</w:t>
      </w:r>
      <w:r w:rsidRPr="001B435D">
        <w:rPr>
          <w:rFonts w:ascii="宋体" w:hAnsi="宋体" w:cs="宋体" w:hint="eastAsia"/>
        </w:rPr>
        <w:t>国家官员的外国刑事管辖豁免</w:t>
      </w:r>
      <w:r>
        <w:rPr>
          <w:rFonts w:ascii="Calibri" w:hAnsi="Calibri" w:cs="Calibri" w:hint="eastAsia"/>
        </w:rPr>
        <w:t>”</w:t>
      </w:r>
      <w:r w:rsidRPr="001B435D">
        <w:rPr>
          <w:rFonts w:ascii="宋体" w:hAnsi="宋体" w:cs="宋体" w:hint="eastAsia"/>
        </w:rPr>
        <w:t>的报告，其中载有起草委员会在第六十七届会议上暂时通过的第</w:t>
      </w:r>
      <w:r>
        <w:rPr>
          <w:rFonts w:hint="eastAsia"/>
        </w:rPr>
        <w:t>2</w:t>
      </w:r>
      <w:r w:rsidRPr="001B435D">
        <w:rPr>
          <w:rFonts w:ascii="宋体" w:hAnsi="宋体" w:cs="宋体" w:hint="eastAsia"/>
        </w:rPr>
        <w:t>条草案</w:t>
      </w:r>
      <w:r w:rsidRPr="001B435D">
        <w:rPr>
          <w:rFonts w:hint="eastAsia"/>
        </w:rPr>
        <w:t>(</w:t>
      </w:r>
      <w:r>
        <w:rPr>
          <w:rFonts w:hint="eastAsia"/>
        </w:rPr>
        <w:t>f</w:t>
      </w:r>
      <w:r w:rsidRPr="001B435D">
        <w:rPr>
          <w:rFonts w:hint="eastAsia"/>
        </w:rPr>
        <w:t>)</w:t>
      </w:r>
      <w:r>
        <w:rPr>
          <w:rFonts w:ascii="宋体" w:hAnsi="宋体" w:cs="宋体" w:hint="eastAsia"/>
        </w:rPr>
        <w:t>项</w:t>
      </w:r>
      <w:r w:rsidRPr="001B435D">
        <w:rPr>
          <w:rFonts w:ascii="宋体" w:hAnsi="宋体" w:cs="宋体" w:hint="eastAsia"/>
        </w:rPr>
        <w:t>和第</w:t>
      </w:r>
      <w:r>
        <w:rPr>
          <w:rFonts w:hint="eastAsia"/>
        </w:rPr>
        <w:t>6</w:t>
      </w:r>
      <w:r w:rsidRPr="001B435D">
        <w:rPr>
          <w:rFonts w:ascii="宋体" w:hAnsi="宋体" w:cs="宋体" w:hint="eastAsia"/>
        </w:rPr>
        <w:t>条草案</w:t>
      </w:r>
      <w:r>
        <w:rPr>
          <w:rFonts w:ascii="宋体" w:hAnsi="宋体" w:cs="宋体" w:hint="eastAsia"/>
        </w:rPr>
        <w:t>。</w:t>
      </w:r>
      <w:r w:rsidRPr="001B435D">
        <w:rPr>
          <w:rFonts w:ascii="宋体" w:hAnsi="宋体" w:cs="宋体" w:hint="eastAsia"/>
        </w:rPr>
        <w:t>委员会注意到</w:t>
      </w:r>
      <w:r>
        <w:rPr>
          <w:rFonts w:ascii="宋体" w:hAnsi="宋体" w:cs="宋体" w:hint="eastAsia"/>
        </w:rPr>
        <w:t>这些</w:t>
      </w:r>
      <w:r w:rsidRPr="001B435D">
        <w:rPr>
          <w:rFonts w:ascii="宋体" w:hAnsi="宋体" w:cs="宋体" w:hint="eastAsia"/>
        </w:rPr>
        <w:t>草案</w:t>
      </w:r>
      <w:r w:rsidRPr="001B435D">
        <w:rPr>
          <w:rFonts w:hint="eastAsia"/>
        </w:rPr>
        <w:t>(</w:t>
      </w:r>
      <w:r>
        <w:rPr>
          <w:rFonts w:ascii="宋体" w:hAnsi="宋体" w:cs="宋体" w:hint="eastAsia"/>
        </w:rPr>
        <w:t>同上，《第七十</w:t>
      </w:r>
      <w:r w:rsidRPr="001B435D">
        <w:rPr>
          <w:rFonts w:ascii="宋体" w:hAnsi="宋体" w:cs="宋体" w:hint="eastAsia"/>
        </w:rPr>
        <w:t>届会议，补编第</w:t>
      </w:r>
      <w:r>
        <w:rPr>
          <w:rFonts w:hint="eastAsia"/>
        </w:rPr>
        <w:t>10</w:t>
      </w:r>
      <w:r w:rsidRPr="001B435D">
        <w:rPr>
          <w:rFonts w:ascii="宋体" w:hAnsi="宋体" w:cs="宋体" w:hint="eastAsia"/>
        </w:rPr>
        <w:t>号》</w:t>
      </w:r>
      <w:r>
        <w:rPr>
          <w:rFonts w:hint="eastAsia"/>
        </w:rPr>
        <w:t>(A/70</w:t>
      </w:r>
      <w:r w:rsidRPr="001B435D">
        <w:rPr>
          <w:rFonts w:hint="eastAsia"/>
        </w:rPr>
        <w:t>/</w:t>
      </w:r>
      <w:r>
        <w:rPr>
          <w:rFonts w:hint="eastAsia"/>
        </w:rPr>
        <w:t>10</w:t>
      </w:r>
      <w:r w:rsidRPr="001B435D">
        <w:rPr>
          <w:rFonts w:hint="eastAsia"/>
        </w:rPr>
        <w:t>)</w:t>
      </w:r>
      <w:r w:rsidRPr="001B435D">
        <w:rPr>
          <w:rFonts w:ascii="宋体" w:hAnsi="宋体" w:cs="宋体" w:hint="eastAsia"/>
        </w:rPr>
        <w:t>，第</w:t>
      </w:r>
      <w:r>
        <w:rPr>
          <w:rFonts w:hint="eastAsia"/>
        </w:rPr>
        <w:t>176</w:t>
      </w:r>
      <w:r w:rsidRPr="001B435D">
        <w:rPr>
          <w:rFonts w:ascii="宋体" w:hAnsi="宋体" w:cs="宋体" w:hint="eastAsia"/>
        </w:rPr>
        <w:t>段</w:t>
      </w:r>
      <w:r w:rsidRPr="001B435D">
        <w:rPr>
          <w:rFonts w:hint="eastAsia"/>
        </w:rPr>
        <w:t>)</w:t>
      </w:r>
      <w:r w:rsidRPr="001B435D">
        <w:rPr>
          <w:rFonts w:ascii="宋体" w:hAnsi="宋体" w:cs="宋体" w:hint="eastAsia"/>
        </w:rPr>
        <w:t>。</w:t>
      </w:r>
      <w:r w:rsidRPr="00986A0D">
        <w:t xml:space="preserve"> </w:t>
      </w:r>
    </w:p>
  </w:footnote>
  <w:footnote w:id="1409">
    <w:p w:rsidR="00AB00DE" w:rsidRPr="008D44CD" w:rsidRDefault="00AB00DE" w:rsidP="00396D56">
      <w:pPr>
        <w:pStyle w:val="a4"/>
        <w:spacing w:after="80"/>
      </w:pPr>
      <w:r>
        <w:tab/>
      </w:r>
      <w:r w:rsidRPr="003D3D39">
        <w:rPr>
          <w:rStyle w:val="a5"/>
        </w:rPr>
        <w:footnoteRef/>
      </w:r>
      <w:r>
        <w:tab/>
      </w:r>
      <w:r w:rsidRPr="008D44CD">
        <w:rPr>
          <w:rFonts w:ascii="宋体" w:hAnsi="宋体" w:cs="宋体" w:hint="eastAsia"/>
        </w:rPr>
        <w:t>特别报告员</w:t>
      </w:r>
      <w:r>
        <w:rPr>
          <w:rFonts w:eastAsiaTheme="minorEastAsia" w:hint="eastAsia"/>
        </w:rPr>
        <w:t>第五次报告</w:t>
      </w:r>
      <w:r w:rsidRPr="008D44CD">
        <w:rPr>
          <w:rFonts w:ascii="宋体" w:hAnsi="宋体" w:cs="宋体" w:hint="eastAsia"/>
        </w:rPr>
        <w:t>建议的第</w:t>
      </w:r>
      <w:r>
        <w:rPr>
          <w:rFonts w:hint="eastAsia"/>
        </w:rPr>
        <w:t>7</w:t>
      </w:r>
      <w:r w:rsidRPr="008D44CD">
        <w:rPr>
          <w:rFonts w:ascii="宋体" w:hAnsi="宋体" w:cs="宋体" w:hint="eastAsia"/>
        </w:rPr>
        <w:t>条草案案文如下：</w:t>
      </w:r>
    </w:p>
    <w:p w:rsidR="00AB00DE" w:rsidRPr="00083AFD" w:rsidRDefault="00AB00DE" w:rsidP="00396D56">
      <w:pPr>
        <w:pStyle w:val="a4"/>
        <w:spacing w:after="80"/>
        <w:rPr>
          <w:rFonts w:ascii="黑体" w:eastAsia="黑体" w:hAnsi="黑体"/>
        </w:rPr>
      </w:pPr>
      <w:r>
        <w:rPr>
          <w:rFonts w:ascii="黑体" w:eastAsia="黑体" w:hAnsi="黑体" w:hint="eastAsia"/>
        </w:rPr>
        <w:tab/>
      </w:r>
      <w:r>
        <w:rPr>
          <w:rFonts w:ascii="黑体" w:eastAsia="黑体" w:hAnsi="黑体" w:hint="eastAsia"/>
        </w:rPr>
        <w:tab/>
      </w:r>
      <w:r w:rsidRPr="00083AFD">
        <w:rPr>
          <w:rFonts w:ascii="黑体" w:eastAsia="黑体" w:hAnsi="黑体" w:hint="eastAsia"/>
        </w:rPr>
        <w:t>第</w:t>
      </w:r>
      <w:r w:rsidRPr="003D3D39">
        <w:rPr>
          <w:rFonts w:asciiTheme="majorBidi" w:eastAsia="黑体" w:hAnsiTheme="majorBidi" w:cstheme="majorBidi"/>
        </w:rPr>
        <w:t>7</w:t>
      </w:r>
      <w:r w:rsidRPr="00083AFD">
        <w:rPr>
          <w:rFonts w:ascii="黑体" w:eastAsia="黑体" w:hAnsi="黑体" w:hint="eastAsia"/>
        </w:rPr>
        <w:t>条草案</w:t>
      </w:r>
      <w:r w:rsidRPr="00083AFD">
        <w:rPr>
          <w:rFonts w:ascii="黑体" w:eastAsia="黑体" w:hAnsi="黑体"/>
        </w:rPr>
        <w:br/>
      </w:r>
      <w:r w:rsidRPr="00083AFD">
        <w:rPr>
          <w:rFonts w:ascii="黑体" w:eastAsia="黑体" w:hAnsi="黑体" w:hint="eastAsia"/>
        </w:rPr>
        <w:t>不适用豁免的罪行</w:t>
      </w:r>
    </w:p>
    <w:p w:rsidR="00AB00DE" w:rsidRPr="00083AFD" w:rsidRDefault="00AB00DE" w:rsidP="00396D56">
      <w:pPr>
        <w:pStyle w:val="a4"/>
        <w:spacing w:after="80"/>
      </w:pPr>
      <w:r>
        <w:rPr>
          <w:rFonts w:hint="eastAsia"/>
        </w:rPr>
        <w:tab/>
      </w:r>
      <w:r>
        <w:rPr>
          <w:rFonts w:hint="eastAsia"/>
        </w:rPr>
        <w:tab/>
        <w:t>1</w:t>
      </w:r>
      <w:r w:rsidRPr="00083AFD">
        <w:rPr>
          <w:rFonts w:hint="eastAsia"/>
        </w:rPr>
        <w:t>.</w:t>
      </w:r>
      <w:r>
        <w:rPr>
          <w:rFonts w:hint="eastAsia"/>
        </w:rPr>
        <w:t xml:space="preserve">  </w:t>
      </w:r>
      <w:r w:rsidRPr="00083AFD">
        <w:rPr>
          <w:rFonts w:ascii="宋体" w:hAnsi="宋体" w:cs="宋体" w:hint="eastAsia"/>
        </w:rPr>
        <w:t>豁免不应适用于下列罪行：</w:t>
      </w:r>
    </w:p>
    <w:p w:rsidR="00AB00DE" w:rsidRPr="00083AFD" w:rsidRDefault="00AB00DE" w:rsidP="00396D56">
      <w:pPr>
        <w:pStyle w:val="a4"/>
        <w:spacing w:after="80"/>
        <w:ind w:left="1843" w:hanging="373"/>
      </w:pPr>
      <w:r w:rsidRPr="00083AFD">
        <w:rPr>
          <w:rFonts w:ascii="宋体" w:hAnsi="宋体" w:cs="宋体" w:hint="eastAsia"/>
        </w:rPr>
        <w:t>㈠</w:t>
      </w:r>
      <w:r w:rsidRPr="00083AFD">
        <w:rPr>
          <w:rFonts w:hint="eastAsia"/>
        </w:rPr>
        <w:tab/>
      </w:r>
      <w:r w:rsidRPr="00083AFD">
        <w:rPr>
          <w:rFonts w:ascii="宋体" w:hAnsi="宋体" w:cs="宋体" w:hint="eastAsia"/>
        </w:rPr>
        <w:t>灭绝种族罪、危害人类罪、战争罪、酷刑和强迫失踪；</w:t>
      </w:r>
    </w:p>
    <w:p w:rsidR="00AB00DE" w:rsidRPr="00083AFD" w:rsidRDefault="00AB00DE" w:rsidP="00396D56">
      <w:pPr>
        <w:pStyle w:val="a4"/>
        <w:spacing w:after="80"/>
        <w:ind w:left="1843" w:hanging="373"/>
      </w:pPr>
      <w:r w:rsidRPr="00083AFD">
        <w:rPr>
          <w:rFonts w:ascii="宋体" w:hAnsi="宋体" w:cs="宋体" w:hint="eastAsia"/>
        </w:rPr>
        <w:t>㈡</w:t>
      </w:r>
      <w:r w:rsidRPr="00083AFD">
        <w:rPr>
          <w:rFonts w:hint="eastAsia"/>
        </w:rPr>
        <w:tab/>
      </w:r>
      <w:r w:rsidRPr="00083AFD">
        <w:rPr>
          <w:rFonts w:ascii="宋体" w:hAnsi="宋体" w:cs="宋体" w:hint="eastAsia"/>
        </w:rPr>
        <w:t>腐败罪行；</w:t>
      </w:r>
    </w:p>
    <w:p w:rsidR="00AB00DE" w:rsidRPr="00083AFD" w:rsidRDefault="00AB00DE" w:rsidP="00396D56">
      <w:pPr>
        <w:pStyle w:val="a4"/>
        <w:spacing w:after="80"/>
        <w:ind w:left="1843" w:hanging="373"/>
      </w:pPr>
      <w:r w:rsidRPr="00083AFD">
        <w:rPr>
          <w:rFonts w:ascii="宋体" w:hAnsi="宋体" w:cs="宋体" w:hint="eastAsia"/>
        </w:rPr>
        <w:t>㈢</w:t>
      </w:r>
      <w:r w:rsidRPr="00083AFD">
        <w:rPr>
          <w:rFonts w:hint="eastAsia"/>
        </w:rPr>
        <w:tab/>
      </w:r>
      <w:r w:rsidRPr="00083AFD">
        <w:rPr>
          <w:rFonts w:ascii="宋体" w:hAnsi="宋体" w:cs="宋体" w:hint="eastAsia"/>
        </w:rPr>
        <w:t>造成人身伤害</w:t>
      </w:r>
      <w:r w:rsidRPr="00083AFD">
        <w:rPr>
          <w:rFonts w:hint="eastAsia"/>
        </w:rPr>
        <w:t>(</w:t>
      </w:r>
      <w:r w:rsidRPr="00083AFD">
        <w:rPr>
          <w:rFonts w:ascii="宋体" w:hAnsi="宋体" w:cs="宋体" w:hint="eastAsia"/>
        </w:rPr>
        <w:t>包括死亡和重伤</w:t>
      </w:r>
      <w:r w:rsidRPr="00083AFD">
        <w:rPr>
          <w:rFonts w:hint="eastAsia"/>
        </w:rPr>
        <w:t>)</w:t>
      </w:r>
      <w:r w:rsidRPr="00083AFD">
        <w:rPr>
          <w:rFonts w:ascii="宋体" w:hAnsi="宋体" w:cs="宋体" w:hint="eastAsia"/>
        </w:rPr>
        <w:t>或财产损失的罪行，前提是这种罪行发生在法院地国的领土上，而且犯下该罪行时国家官员在该国领土上。</w:t>
      </w:r>
    </w:p>
    <w:p w:rsidR="00AB00DE" w:rsidRPr="00083AFD" w:rsidRDefault="00AB00DE" w:rsidP="00396D56">
      <w:pPr>
        <w:pStyle w:val="a4"/>
        <w:spacing w:after="80"/>
      </w:pPr>
      <w:r>
        <w:rPr>
          <w:rFonts w:hint="eastAsia"/>
        </w:rPr>
        <w:tab/>
      </w:r>
      <w:r>
        <w:rPr>
          <w:rFonts w:hint="eastAsia"/>
        </w:rPr>
        <w:tab/>
        <w:t xml:space="preserve">2.  </w:t>
      </w:r>
      <w:r w:rsidRPr="00083AFD">
        <w:rPr>
          <w:rFonts w:ascii="宋体" w:hAnsi="宋体" w:cs="宋体" w:hint="eastAsia"/>
        </w:rPr>
        <w:t>第</w:t>
      </w:r>
      <w:r>
        <w:rPr>
          <w:rFonts w:hint="eastAsia"/>
        </w:rPr>
        <w:t>1</w:t>
      </w:r>
      <w:r w:rsidRPr="00083AFD">
        <w:rPr>
          <w:rFonts w:ascii="宋体" w:hAnsi="宋体" w:cs="宋体" w:hint="eastAsia"/>
        </w:rPr>
        <w:t>款不应适用于在任期内享有属人豁免的人员。</w:t>
      </w:r>
    </w:p>
    <w:p w:rsidR="00AB00DE" w:rsidRPr="00083AFD" w:rsidRDefault="00AB00DE" w:rsidP="00396D56">
      <w:pPr>
        <w:pStyle w:val="a4"/>
        <w:spacing w:after="80"/>
      </w:pPr>
      <w:r>
        <w:rPr>
          <w:rFonts w:hint="eastAsia"/>
        </w:rPr>
        <w:tab/>
      </w:r>
      <w:r>
        <w:rPr>
          <w:rFonts w:hint="eastAsia"/>
        </w:rPr>
        <w:tab/>
        <w:t>3</w:t>
      </w:r>
      <w:r w:rsidRPr="00083AFD">
        <w:rPr>
          <w:rFonts w:hint="eastAsia"/>
        </w:rPr>
        <w:t>.</w:t>
      </w:r>
      <w:r>
        <w:rPr>
          <w:rFonts w:hint="eastAsia"/>
        </w:rPr>
        <w:t xml:space="preserve">  </w:t>
      </w:r>
      <w:r w:rsidRPr="00083AFD">
        <w:rPr>
          <w:rFonts w:ascii="宋体" w:hAnsi="宋体" w:cs="宋体" w:hint="eastAsia"/>
        </w:rPr>
        <w:t>第</w:t>
      </w:r>
      <w:r>
        <w:rPr>
          <w:rFonts w:hint="eastAsia"/>
        </w:rPr>
        <w:t>1</w:t>
      </w:r>
      <w:r w:rsidRPr="00083AFD">
        <w:rPr>
          <w:rFonts w:ascii="宋体" w:hAnsi="宋体" w:cs="宋体" w:hint="eastAsia"/>
        </w:rPr>
        <w:t>款和第</w:t>
      </w:r>
      <w:r>
        <w:rPr>
          <w:rFonts w:hint="eastAsia"/>
        </w:rPr>
        <w:t>2</w:t>
      </w:r>
      <w:r w:rsidRPr="00083AFD">
        <w:rPr>
          <w:rFonts w:ascii="宋体" w:hAnsi="宋体" w:cs="宋体" w:hint="eastAsia"/>
        </w:rPr>
        <w:t>款不妨碍：</w:t>
      </w:r>
    </w:p>
    <w:p w:rsidR="00AB00DE" w:rsidRPr="00083AFD" w:rsidRDefault="00AB00DE" w:rsidP="00396D56">
      <w:pPr>
        <w:pStyle w:val="a4"/>
        <w:spacing w:after="80"/>
        <w:ind w:left="1843" w:hanging="373"/>
      </w:pPr>
      <w:r w:rsidRPr="00083AFD">
        <w:rPr>
          <w:rFonts w:ascii="宋体" w:hAnsi="宋体" w:cs="宋体" w:hint="eastAsia"/>
        </w:rPr>
        <w:t>㈠</w:t>
      </w:r>
      <w:r w:rsidRPr="00083AFD">
        <w:rPr>
          <w:rFonts w:hint="eastAsia"/>
        </w:rPr>
        <w:tab/>
      </w:r>
      <w:r w:rsidRPr="00083AFD">
        <w:rPr>
          <w:rFonts w:ascii="宋体" w:hAnsi="宋体" w:cs="宋体" w:hint="eastAsia"/>
        </w:rPr>
        <w:t>对法院地国和官员所属国都有约束力的条约中任何规定不适用豁免的条款；</w:t>
      </w:r>
    </w:p>
    <w:p w:rsidR="00AB00DE" w:rsidRPr="00565A70" w:rsidRDefault="00AB00DE" w:rsidP="00396D56">
      <w:pPr>
        <w:pStyle w:val="a4"/>
        <w:spacing w:after="80"/>
        <w:ind w:left="1843" w:hanging="373"/>
      </w:pPr>
      <w:r w:rsidRPr="00083AFD">
        <w:rPr>
          <w:rFonts w:ascii="宋体" w:hAnsi="宋体" w:cs="宋体" w:hint="eastAsia"/>
        </w:rPr>
        <w:t>㈡</w:t>
      </w:r>
      <w:r w:rsidRPr="00083AFD">
        <w:rPr>
          <w:rFonts w:hint="eastAsia"/>
        </w:rPr>
        <w:tab/>
      </w:r>
      <w:r>
        <w:rPr>
          <w:rFonts w:ascii="宋体" w:hAnsi="宋体" w:cs="宋体" w:hint="eastAsia"/>
        </w:rPr>
        <w:t>与要求法院地国履行义务的国际法庭</w:t>
      </w:r>
      <w:r w:rsidRPr="00083AFD">
        <w:rPr>
          <w:rFonts w:ascii="宋体" w:hAnsi="宋体" w:cs="宋体" w:hint="eastAsia"/>
        </w:rPr>
        <w:t>开展合作的义务。</w:t>
      </w:r>
    </w:p>
  </w:footnote>
  <w:footnote w:id="1410">
    <w:p w:rsidR="00AB00DE" w:rsidRPr="00D237F6" w:rsidRDefault="00AB00DE" w:rsidP="00396D56">
      <w:pPr>
        <w:pStyle w:val="a4"/>
        <w:spacing w:after="80"/>
        <w:rPr>
          <w:rFonts w:asciiTheme="majorBidi" w:eastAsiaTheme="minorEastAsia" w:hAnsiTheme="majorBidi" w:cstheme="majorBidi"/>
          <w:i/>
        </w:rPr>
      </w:pPr>
      <w:r>
        <w:rPr>
          <w:rStyle w:val="a5"/>
          <w:rFonts w:asciiTheme="majorBidi" w:eastAsiaTheme="minorEastAsia" w:hAnsiTheme="majorBidi" w:cstheme="majorBidi"/>
        </w:rPr>
        <w:tab/>
      </w:r>
      <w:r w:rsidRPr="003D3D39">
        <w:rPr>
          <w:rStyle w:val="a5"/>
          <w:rFonts w:eastAsiaTheme="minorEastAsia" w:cstheme="majorBidi"/>
        </w:rPr>
        <w:footnoteRef/>
      </w:r>
      <w:r>
        <w:rPr>
          <w:rStyle w:val="a5"/>
          <w:rFonts w:asciiTheme="majorBidi" w:eastAsiaTheme="minorEastAsia" w:hAnsiTheme="majorBidi" w:cstheme="majorBidi"/>
        </w:rPr>
        <w:tab/>
      </w:r>
      <w:r w:rsidRPr="00D237F6">
        <w:rPr>
          <w:rFonts w:asciiTheme="majorBidi" w:eastAsiaTheme="minorEastAsia" w:hAnsiTheme="majorBidi" w:cstheme="majorBidi"/>
        </w:rPr>
        <w:t>见第</w:t>
      </w:r>
      <w:r>
        <w:rPr>
          <w:rFonts w:asciiTheme="majorBidi" w:eastAsiaTheme="minorEastAsia" w:hAnsiTheme="majorBidi" w:cstheme="majorBidi"/>
        </w:rPr>
        <w:t>4</w:t>
      </w:r>
      <w:r w:rsidRPr="00D237F6">
        <w:rPr>
          <w:rFonts w:asciiTheme="majorBidi" w:eastAsiaTheme="minorEastAsia" w:hAnsiTheme="majorBidi" w:cstheme="majorBidi"/>
        </w:rPr>
        <w:t>条草案评注第</w:t>
      </w:r>
      <w:r>
        <w:rPr>
          <w:rFonts w:asciiTheme="majorBidi" w:eastAsiaTheme="minorEastAsia" w:hAnsiTheme="majorBidi" w:cstheme="majorBidi" w:hint="eastAsia"/>
        </w:rPr>
        <w:t>(</w:t>
      </w:r>
      <w:r>
        <w:rPr>
          <w:rFonts w:asciiTheme="majorBidi" w:eastAsiaTheme="minorEastAsia" w:hAnsiTheme="majorBidi" w:cstheme="majorBidi"/>
        </w:rPr>
        <w:t>5</w:t>
      </w:r>
      <w:r>
        <w:rPr>
          <w:rFonts w:asciiTheme="majorBidi" w:eastAsiaTheme="minorEastAsia" w:hAnsiTheme="majorBidi" w:cstheme="majorBidi" w:hint="eastAsia"/>
        </w:rPr>
        <w:t>)</w:t>
      </w:r>
      <w:r w:rsidRPr="00D237F6">
        <w:rPr>
          <w:rFonts w:asciiTheme="majorBidi" w:eastAsiaTheme="minorEastAsia" w:hAnsiTheme="majorBidi" w:cstheme="majorBidi"/>
        </w:rPr>
        <w:t>段，《大会正式记录，第六十八届会议，补编第</w:t>
      </w:r>
      <w:r>
        <w:rPr>
          <w:rFonts w:asciiTheme="majorBidi" w:eastAsiaTheme="minorEastAsia" w:hAnsiTheme="majorBidi" w:cstheme="majorBidi"/>
        </w:rPr>
        <w:t>10</w:t>
      </w:r>
      <w:r w:rsidRPr="00D237F6">
        <w:rPr>
          <w:rFonts w:asciiTheme="majorBidi" w:eastAsiaTheme="minorEastAsia" w:hAnsiTheme="majorBidi" w:cstheme="majorBidi"/>
        </w:rPr>
        <w:t>号》</w:t>
      </w:r>
      <w:r w:rsidRPr="00D237F6">
        <w:rPr>
          <w:rFonts w:asciiTheme="majorBidi" w:eastAsiaTheme="minorEastAsia" w:hAnsiTheme="majorBidi" w:cstheme="majorBidi"/>
        </w:rPr>
        <w:t>(</w:t>
      </w:r>
      <w:r>
        <w:rPr>
          <w:rFonts w:asciiTheme="majorBidi" w:eastAsiaTheme="minorEastAsia" w:hAnsiTheme="majorBidi" w:cstheme="majorBidi"/>
        </w:rPr>
        <w:t>A</w:t>
      </w:r>
      <w:r w:rsidRPr="00D237F6">
        <w:rPr>
          <w:rFonts w:asciiTheme="majorBidi" w:eastAsiaTheme="minorEastAsia" w:hAnsiTheme="majorBidi" w:cstheme="majorBidi"/>
        </w:rPr>
        <w:t>/</w:t>
      </w:r>
      <w:r>
        <w:rPr>
          <w:rFonts w:asciiTheme="majorBidi" w:eastAsiaTheme="minorEastAsia" w:hAnsiTheme="majorBidi" w:cstheme="majorBidi"/>
        </w:rPr>
        <w:t>68</w:t>
      </w:r>
      <w:r w:rsidRPr="00D237F6">
        <w:rPr>
          <w:rFonts w:asciiTheme="majorBidi" w:eastAsiaTheme="minorEastAsia" w:hAnsiTheme="majorBidi" w:cstheme="majorBidi"/>
        </w:rPr>
        <w:t>/</w:t>
      </w:r>
      <w:r>
        <w:rPr>
          <w:rFonts w:asciiTheme="majorBidi" w:eastAsiaTheme="minorEastAsia" w:hAnsiTheme="majorBidi" w:cstheme="majorBidi"/>
        </w:rPr>
        <w:t>10</w:t>
      </w:r>
      <w:r w:rsidRPr="00D237F6">
        <w:rPr>
          <w:rFonts w:asciiTheme="majorBidi" w:eastAsiaTheme="minorEastAsia" w:hAnsiTheme="majorBidi" w:cstheme="majorBidi"/>
        </w:rPr>
        <w:t>)</w:t>
      </w:r>
      <w:r w:rsidRPr="00D237F6">
        <w:rPr>
          <w:rFonts w:asciiTheme="majorBidi" w:eastAsiaTheme="minorEastAsia" w:hAnsiTheme="majorBidi" w:cstheme="majorBidi"/>
        </w:rPr>
        <w:t>，第</w:t>
      </w:r>
      <w:r>
        <w:rPr>
          <w:rFonts w:asciiTheme="majorBidi" w:eastAsiaTheme="minorEastAsia" w:hAnsiTheme="majorBidi" w:cstheme="majorBidi" w:hint="eastAsia"/>
        </w:rPr>
        <w:t>68-69</w:t>
      </w:r>
      <w:r w:rsidRPr="00D237F6">
        <w:rPr>
          <w:rFonts w:asciiTheme="majorBidi" w:eastAsiaTheme="minorEastAsia" w:hAnsiTheme="majorBidi" w:cstheme="majorBidi"/>
        </w:rPr>
        <w:t>页。</w:t>
      </w:r>
    </w:p>
  </w:footnote>
  <w:footnote w:id="1411">
    <w:p w:rsidR="00AB00DE" w:rsidRPr="00D237F6" w:rsidRDefault="00AB00DE" w:rsidP="00396D56">
      <w:pPr>
        <w:pStyle w:val="a4"/>
        <w:spacing w:after="80"/>
        <w:rPr>
          <w:rFonts w:asciiTheme="majorBidi" w:eastAsiaTheme="minorEastAsia" w:hAnsiTheme="majorBidi" w:cstheme="majorBidi"/>
        </w:rPr>
      </w:pPr>
      <w:r>
        <w:rPr>
          <w:rStyle w:val="a5"/>
          <w:rFonts w:asciiTheme="majorBidi" w:eastAsiaTheme="minorEastAsia" w:hAnsiTheme="majorBidi" w:cstheme="majorBidi"/>
        </w:rPr>
        <w:tab/>
      </w:r>
      <w:r w:rsidRPr="003D3D39">
        <w:rPr>
          <w:rStyle w:val="a5"/>
          <w:rFonts w:eastAsiaTheme="minorEastAsia" w:cstheme="majorBidi"/>
        </w:rPr>
        <w:footnoteRef/>
      </w:r>
      <w:r>
        <w:rPr>
          <w:rStyle w:val="a5"/>
          <w:rFonts w:asciiTheme="majorBidi" w:eastAsiaTheme="minorEastAsia" w:hAnsiTheme="majorBidi" w:cstheme="majorBidi"/>
        </w:rPr>
        <w:tab/>
      </w:r>
      <w:r w:rsidRPr="00D237F6">
        <w:rPr>
          <w:rFonts w:asciiTheme="majorBidi" w:eastAsiaTheme="minorEastAsia" w:hAnsiTheme="majorBidi" w:cstheme="majorBidi"/>
        </w:rPr>
        <w:t>《</w:t>
      </w:r>
      <w:r>
        <w:rPr>
          <w:rFonts w:asciiTheme="majorBidi" w:eastAsiaTheme="minorEastAsia" w:hAnsiTheme="majorBidi" w:cstheme="majorBidi"/>
        </w:rPr>
        <w:t>1996</w:t>
      </w:r>
      <w:r w:rsidRPr="00D237F6">
        <w:rPr>
          <w:rFonts w:asciiTheme="majorBidi" w:eastAsiaTheme="minorEastAsia" w:hAnsiTheme="majorBidi" w:cstheme="majorBidi"/>
        </w:rPr>
        <w:t>年</w:t>
      </w:r>
      <w:r>
        <w:rPr>
          <w:rFonts w:hint="eastAsia"/>
        </w:rPr>
        <w:t>……</w:t>
      </w:r>
      <w:r w:rsidRPr="00D237F6">
        <w:rPr>
          <w:rFonts w:asciiTheme="majorBidi" w:eastAsiaTheme="minorEastAsia" w:hAnsiTheme="majorBidi" w:cstheme="majorBidi"/>
        </w:rPr>
        <w:t>年鉴》，第二卷</w:t>
      </w:r>
      <w:r w:rsidRPr="00D237F6">
        <w:rPr>
          <w:rFonts w:asciiTheme="majorBidi" w:eastAsiaTheme="minorEastAsia" w:hAnsiTheme="majorBidi" w:cstheme="majorBidi"/>
        </w:rPr>
        <w:t>(</w:t>
      </w:r>
      <w:r w:rsidRPr="00D237F6">
        <w:rPr>
          <w:rFonts w:asciiTheme="majorBidi" w:eastAsiaTheme="minorEastAsia" w:hAnsiTheme="majorBidi" w:cstheme="majorBidi"/>
        </w:rPr>
        <w:t>第二部分</w:t>
      </w:r>
      <w:r w:rsidRPr="00D237F6">
        <w:rPr>
          <w:rFonts w:asciiTheme="majorBidi" w:eastAsiaTheme="minorEastAsia" w:hAnsiTheme="majorBidi" w:cstheme="majorBidi"/>
        </w:rPr>
        <w:t>)</w:t>
      </w:r>
      <w:r w:rsidRPr="00D237F6">
        <w:rPr>
          <w:rFonts w:asciiTheme="majorBidi" w:eastAsiaTheme="minorEastAsia" w:hAnsiTheme="majorBidi" w:cstheme="majorBidi"/>
        </w:rPr>
        <w:t>，第</w:t>
      </w:r>
      <w:r>
        <w:rPr>
          <w:rFonts w:asciiTheme="majorBidi" w:eastAsiaTheme="minorEastAsia" w:hAnsiTheme="majorBidi" w:cstheme="majorBidi"/>
        </w:rPr>
        <w:t>2</w:t>
      </w:r>
      <w:r>
        <w:rPr>
          <w:rFonts w:asciiTheme="majorBidi" w:eastAsiaTheme="minorEastAsia" w:hAnsiTheme="majorBidi" w:cstheme="majorBidi" w:hint="eastAsia"/>
        </w:rPr>
        <w:t>3</w:t>
      </w:r>
      <w:r w:rsidRPr="00D237F6">
        <w:rPr>
          <w:rFonts w:asciiTheme="majorBidi" w:eastAsiaTheme="minorEastAsia" w:hAnsiTheme="majorBidi" w:cstheme="majorBidi"/>
        </w:rPr>
        <w:t>页。</w:t>
      </w:r>
    </w:p>
  </w:footnote>
  <w:footnote w:id="1412">
    <w:p w:rsidR="00AB00DE" w:rsidRPr="00D237F6" w:rsidRDefault="00AB00DE" w:rsidP="00396D56">
      <w:pPr>
        <w:pStyle w:val="a4"/>
        <w:spacing w:after="80"/>
        <w:rPr>
          <w:rFonts w:asciiTheme="majorBidi" w:eastAsiaTheme="minorEastAsia" w:hAnsiTheme="majorBidi" w:cstheme="majorBidi"/>
        </w:rPr>
      </w:pPr>
      <w:r>
        <w:rPr>
          <w:rStyle w:val="a5"/>
          <w:rFonts w:asciiTheme="majorBidi" w:eastAsiaTheme="minorEastAsia" w:hAnsiTheme="majorBidi" w:cstheme="majorBidi"/>
        </w:rPr>
        <w:tab/>
      </w:r>
      <w:r w:rsidRPr="003D3D39">
        <w:rPr>
          <w:rStyle w:val="a5"/>
          <w:rFonts w:eastAsiaTheme="minorEastAsia" w:cstheme="majorBidi"/>
        </w:rPr>
        <w:footnoteRef/>
      </w:r>
      <w:r>
        <w:rPr>
          <w:rStyle w:val="a5"/>
          <w:rFonts w:asciiTheme="majorBidi" w:eastAsiaTheme="minorEastAsia" w:hAnsiTheme="majorBidi" w:cstheme="majorBidi"/>
        </w:rPr>
        <w:tab/>
      </w:r>
      <w:r w:rsidRPr="00D237F6">
        <w:rPr>
          <w:rFonts w:asciiTheme="majorBidi" w:eastAsiaTheme="minorEastAsia" w:hAnsiTheme="majorBidi" w:cstheme="majorBidi"/>
        </w:rPr>
        <w:t>《</w:t>
      </w:r>
      <w:r>
        <w:rPr>
          <w:rFonts w:asciiTheme="majorBidi" w:eastAsiaTheme="minorEastAsia" w:hAnsiTheme="majorBidi" w:cstheme="majorBidi"/>
        </w:rPr>
        <w:t>2001</w:t>
      </w:r>
      <w:r w:rsidRPr="00D237F6">
        <w:rPr>
          <w:rFonts w:asciiTheme="majorBidi" w:eastAsiaTheme="minorEastAsia" w:hAnsiTheme="majorBidi" w:cstheme="majorBidi"/>
        </w:rPr>
        <w:t>年</w:t>
      </w:r>
      <w:r>
        <w:rPr>
          <w:rFonts w:hint="eastAsia"/>
        </w:rPr>
        <w:t>……</w:t>
      </w:r>
      <w:r w:rsidRPr="00D237F6">
        <w:rPr>
          <w:rFonts w:asciiTheme="majorBidi" w:eastAsiaTheme="minorEastAsia" w:hAnsiTheme="majorBidi" w:cstheme="majorBidi"/>
        </w:rPr>
        <w:t>年鉴》，第二卷</w:t>
      </w:r>
      <w:r w:rsidRPr="00D237F6">
        <w:rPr>
          <w:rFonts w:asciiTheme="majorBidi" w:eastAsiaTheme="minorEastAsia" w:hAnsiTheme="majorBidi" w:cstheme="majorBidi"/>
        </w:rPr>
        <w:t>(</w:t>
      </w:r>
      <w:r w:rsidRPr="00D237F6">
        <w:rPr>
          <w:rFonts w:asciiTheme="majorBidi" w:eastAsiaTheme="minorEastAsia" w:hAnsiTheme="majorBidi" w:cstheme="majorBidi"/>
        </w:rPr>
        <w:t>第二部分</w:t>
      </w:r>
      <w:r w:rsidRPr="00D237F6">
        <w:rPr>
          <w:rFonts w:asciiTheme="majorBidi" w:eastAsiaTheme="minorEastAsia" w:hAnsiTheme="majorBidi" w:cstheme="majorBidi"/>
        </w:rPr>
        <w:t>)</w:t>
      </w:r>
      <w:r w:rsidRPr="00D237F6">
        <w:rPr>
          <w:rFonts w:asciiTheme="majorBidi" w:eastAsiaTheme="minorEastAsia" w:hAnsiTheme="majorBidi" w:cstheme="majorBidi"/>
        </w:rPr>
        <w:t>和更正，第</w:t>
      </w:r>
      <w:r>
        <w:rPr>
          <w:rFonts w:asciiTheme="majorBidi" w:eastAsiaTheme="minorEastAsia" w:hAnsiTheme="majorBidi" w:cstheme="majorBidi" w:hint="eastAsia"/>
        </w:rPr>
        <w:t>142</w:t>
      </w:r>
      <w:r w:rsidRPr="00D237F6">
        <w:rPr>
          <w:rFonts w:asciiTheme="majorBidi" w:eastAsiaTheme="minorEastAsia" w:hAnsiTheme="majorBidi" w:cstheme="majorBidi"/>
        </w:rPr>
        <w:t>页。委员会在第五十三届会议上通过的关于国家对国际不法行为的责任条款载于大会</w:t>
      </w:r>
      <w:r>
        <w:rPr>
          <w:rFonts w:asciiTheme="majorBidi" w:eastAsiaTheme="minorEastAsia" w:hAnsiTheme="majorBidi" w:cstheme="majorBidi"/>
        </w:rPr>
        <w:t>2001</w:t>
      </w:r>
      <w:r w:rsidRPr="00D237F6">
        <w:rPr>
          <w:rFonts w:asciiTheme="majorBidi" w:eastAsiaTheme="minorEastAsia" w:hAnsiTheme="majorBidi" w:cstheme="majorBidi"/>
        </w:rPr>
        <w:t>年</w:t>
      </w:r>
      <w:r>
        <w:rPr>
          <w:rFonts w:asciiTheme="majorBidi" w:eastAsiaTheme="minorEastAsia" w:hAnsiTheme="majorBidi" w:cstheme="majorBidi"/>
        </w:rPr>
        <w:t>12</w:t>
      </w:r>
      <w:r w:rsidRPr="00D237F6">
        <w:rPr>
          <w:rFonts w:asciiTheme="majorBidi" w:eastAsiaTheme="minorEastAsia" w:hAnsiTheme="majorBidi" w:cstheme="majorBidi"/>
        </w:rPr>
        <w:t>月</w:t>
      </w:r>
      <w:r>
        <w:rPr>
          <w:rFonts w:asciiTheme="majorBidi" w:eastAsiaTheme="minorEastAsia" w:hAnsiTheme="majorBidi" w:cstheme="majorBidi"/>
        </w:rPr>
        <w:t>12</w:t>
      </w:r>
      <w:r w:rsidRPr="00D237F6">
        <w:rPr>
          <w:rFonts w:asciiTheme="majorBidi" w:eastAsiaTheme="minorEastAsia" w:hAnsiTheme="majorBidi" w:cstheme="majorBidi"/>
        </w:rPr>
        <w:t>日第</w:t>
      </w:r>
      <w:r>
        <w:rPr>
          <w:rFonts w:asciiTheme="majorBidi" w:eastAsiaTheme="minorEastAsia" w:hAnsiTheme="majorBidi" w:cstheme="majorBidi"/>
        </w:rPr>
        <w:t>56</w:t>
      </w:r>
      <w:r w:rsidRPr="00D237F6">
        <w:rPr>
          <w:rFonts w:asciiTheme="majorBidi" w:eastAsiaTheme="minorEastAsia" w:hAnsiTheme="majorBidi" w:cstheme="majorBidi"/>
        </w:rPr>
        <w:t>/</w:t>
      </w:r>
      <w:r>
        <w:rPr>
          <w:rFonts w:asciiTheme="majorBidi" w:eastAsiaTheme="minorEastAsia" w:hAnsiTheme="majorBidi" w:cstheme="majorBidi"/>
        </w:rPr>
        <w:t>83</w:t>
      </w:r>
      <w:r w:rsidRPr="00D237F6">
        <w:rPr>
          <w:rFonts w:asciiTheme="majorBidi" w:eastAsiaTheme="minorEastAsia" w:hAnsiTheme="majorBidi" w:cstheme="majorBidi"/>
        </w:rPr>
        <w:t>号决议附件。</w:t>
      </w:r>
    </w:p>
  </w:footnote>
  <w:footnote w:id="1413">
    <w:p w:rsidR="00AB00DE" w:rsidRPr="00D237F6" w:rsidRDefault="00AB00DE" w:rsidP="00396D56">
      <w:pPr>
        <w:pStyle w:val="a4"/>
        <w:spacing w:after="80"/>
        <w:rPr>
          <w:rFonts w:asciiTheme="majorBidi" w:eastAsiaTheme="minorEastAsia" w:hAnsiTheme="majorBidi" w:cstheme="majorBidi"/>
        </w:rPr>
      </w:pPr>
      <w:r>
        <w:rPr>
          <w:rStyle w:val="a5"/>
          <w:rFonts w:asciiTheme="majorBidi" w:eastAsiaTheme="minorEastAsia" w:hAnsiTheme="majorBidi" w:cstheme="majorBidi"/>
        </w:rPr>
        <w:tab/>
      </w:r>
      <w:r w:rsidRPr="003D3D39">
        <w:rPr>
          <w:rStyle w:val="a5"/>
          <w:rFonts w:eastAsiaTheme="minorEastAsia" w:cstheme="majorBidi"/>
        </w:rPr>
        <w:footnoteRef/>
      </w:r>
      <w:r>
        <w:rPr>
          <w:rStyle w:val="a5"/>
          <w:rFonts w:asciiTheme="majorBidi" w:eastAsiaTheme="minorEastAsia" w:hAnsiTheme="majorBidi" w:cstheme="majorBidi"/>
        </w:rPr>
        <w:tab/>
      </w:r>
      <w:r w:rsidRPr="00D237F6">
        <w:rPr>
          <w:rFonts w:asciiTheme="majorBidi" w:eastAsiaTheme="minorEastAsia" w:hAnsiTheme="majorBidi" w:cstheme="majorBidi"/>
        </w:rPr>
        <w:t>《大会正式记录，第六十六届会议，补编第</w:t>
      </w:r>
      <w:r>
        <w:rPr>
          <w:rFonts w:asciiTheme="majorBidi" w:eastAsiaTheme="minorEastAsia" w:hAnsiTheme="majorBidi" w:cstheme="majorBidi"/>
        </w:rPr>
        <w:t>10</w:t>
      </w:r>
      <w:r w:rsidRPr="00D237F6">
        <w:rPr>
          <w:rFonts w:asciiTheme="majorBidi" w:eastAsiaTheme="minorEastAsia" w:hAnsiTheme="majorBidi" w:cstheme="majorBidi"/>
        </w:rPr>
        <w:t>号》</w:t>
      </w:r>
      <w:r w:rsidRPr="00D237F6">
        <w:rPr>
          <w:rFonts w:asciiTheme="majorBidi" w:eastAsiaTheme="minorEastAsia" w:hAnsiTheme="majorBidi" w:cstheme="majorBidi"/>
        </w:rPr>
        <w:t>(</w:t>
      </w:r>
      <w:r>
        <w:rPr>
          <w:rFonts w:asciiTheme="majorBidi" w:eastAsiaTheme="minorEastAsia" w:hAnsiTheme="majorBidi" w:cstheme="majorBidi"/>
        </w:rPr>
        <w:t>A</w:t>
      </w:r>
      <w:r w:rsidRPr="00D237F6">
        <w:rPr>
          <w:rFonts w:asciiTheme="majorBidi" w:eastAsiaTheme="minorEastAsia" w:hAnsiTheme="majorBidi" w:cstheme="majorBidi"/>
        </w:rPr>
        <w:t>/</w:t>
      </w:r>
      <w:r>
        <w:rPr>
          <w:rFonts w:asciiTheme="majorBidi" w:eastAsiaTheme="minorEastAsia" w:hAnsiTheme="majorBidi" w:cstheme="majorBidi"/>
        </w:rPr>
        <w:t>66</w:t>
      </w:r>
      <w:r w:rsidRPr="00D237F6">
        <w:rPr>
          <w:rFonts w:asciiTheme="majorBidi" w:eastAsiaTheme="minorEastAsia" w:hAnsiTheme="majorBidi" w:cstheme="majorBidi"/>
        </w:rPr>
        <w:t>/</w:t>
      </w:r>
      <w:r>
        <w:rPr>
          <w:rFonts w:asciiTheme="majorBidi" w:eastAsiaTheme="minorEastAsia" w:hAnsiTheme="majorBidi" w:cstheme="majorBidi"/>
        </w:rPr>
        <w:t>10</w:t>
      </w:r>
      <w:r w:rsidRPr="00D237F6">
        <w:rPr>
          <w:rFonts w:asciiTheme="majorBidi" w:eastAsiaTheme="minorEastAsia" w:hAnsiTheme="majorBidi" w:cstheme="majorBidi"/>
        </w:rPr>
        <w:t>)</w:t>
      </w:r>
      <w:r w:rsidRPr="00D237F6">
        <w:rPr>
          <w:rFonts w:asciiTheme="majorBidi" w:eastAsiaTheme="minorEastAsia" w:hAnsiTheme="majorBidi" w:cstheme="majorBidi"/>
        </w:rPr>
        <w:t>，第</w:t>
      </w:r>
      <w:r>
        <w:rPr>
          <w:rFonts w:asciiTheme="majorBidi" w:eastAsiaTheme="minorEastAsia" w:hAnsiTheme="majorBidi" w:cstheme="majorBidi" w:hint="eastAsia"/>
        </w:rPr>
        <w:t>171</w:t>
      </w:r>
      <w:r w:rsidRPr="00D237F6">
        <w:rPr>
          <w:rFonts w:asciiTheme="majorBidi" w:eastAsiaTheme="minorEastAsia" w:hAnsiTheme="majorBidi" w:cstheme="majorBidi"/>
        </w:rPr>
        <w:t>页。委员会在第六十三届会议上通过的关于国际组织的责任条款载于大会</w:t>
      </w:r>
      <w:r>
        <w:rPr>
          <w:rFonts w:asciiTheme="majorBidi" w:eastAsiaTheme="minorEastAsia" w:hAnsiTheme="majorBidi" w:cstheme="majorBidi"/>
        </w:rPr>
        <w:t>2011</w:t>
      </w:r>
      <w:r w:rsidRPr="00D237F6">
        <w:rPr>
          <w:rFonts w:asciiTheme="majorBidi" w:eastAsiaTheme="minorEastAsia" w:hAnsiTheme="majorBidi" w:cstheme="majorBidi"/>
        </w:rPr>
        <w:t>年</w:t>
      </w:r>
      <w:r>
        <w:rPr>
          <w:rFonts w:asciiTheme="majorBidi" w:eastAsiaTheme="minorEastAsia" w:hAnsiTheme="majorBidi" w:cstheme="majorBidi"/>
        </w:rPr>
        <w:t>12</w:t>
      </w:r>
      <w:r w:rsidRPr="00D237F6">
        <w:rPr>
          <w:rFonts w:asciiTheme="majorBidi" w:eastAsiaTheme="minorEastAsia" w:hAnsiTheme="majorBidi" w:cstheme="majorBidi"/>
        </w:rPr>
        <w:t>月</w:t>
      </w:r>
      <w:r>
        <w:rPr>
          <w:rFonts w:asciiTheme="majorBidi" w:eastAsiaTheme="minorEastAsia" w:hAnsiTheme="majorBidi" w:cstheme="majorBidi"/>
        </w:rPr>
        <w:t>9</w:t>
      </w:r>
      <w:r w:rsidRPr="00D237F6">
        <w:rPr>
          <w:rFonts w:asciiTheme="majorBidi" w:eastAsiaTheme="minorEastAsia" w:hAnsiTheme="majorBidi" w:cstheme="majorBidi"/>
        </w:rPr>
        <w:t>日第</w:t>
      </w:r>
      <w:r>
        <w:rPr>
          <w:rFonts w:asciiTheme="majorBidi" w:eastAsiaTheme="minorEastAsia" w:hAnsiTheme="majorBidi" w:cstheme="majorBidi"/>
        </w:rPr>
        <w:t>66</w:t>
      </w:r>
      <w:r w:rsidRPr="00D237F6">
        <w:rPr>
          <w:rFonts w:asciiTheme="majorBidi" w:eastAsiaTheme="minorEastAsia" w:hAnsiTheme="majorBidi" w:cstheme="majorBidi"/>
        </w:rPr>
        <w:t>/</w:t>
      </w:r>
      <w:r>
        <w:rPr>
          <w:rFonts w:asciiTheme="majorBidi" w:eastAsiaTheme="minorEastAsia" w:hAnsiTheme="majorBidi" w:cstheme="majorBidi"/>
        </w:rPr>
        <w:t>100</w:t>
      </w:r>
      <w:r w:rsidRPr="00D237F6">
        <w:rPr>
          <w:rFonts w:asciiTheme="majorBidi" w:eastAsiaTheme="minorEastAsia" w:hAnsiTheme="majorBidi" w:cstheme="majorBidi"/>
        </w:rPr>
        <w:t>号决议附件。</w:t>
      </w:r>
    </w:p>
  </w:footnote>
  <w:footnote w:id="1414">
    <w:p w:rsidR="00AB00DE" w:rsidRPr="00D237F6" w:rsidRDefault="00AB00DE" w:rsidP="00396D56">
      <w:pPr>
        <w:pStyle w:val="a4"/>
        <w:spacing w:after="80"/>
        <w:rPr>
          <w:rFonts w:asciiTheme="majorBidi" w:eastAsiaTheme="minorEastAsia" w:hAnsiTheme="majorBidi" w:cstheme="majorBidi"/>
        </w:rPr>
      </w:pPr>
      <w:r>
        <w:rPr>
          <w:rStyle w:val="a5"/>
          <w:rFonts w:asciiTheme="majorBidi" w:eastAsiaTheme="minorEastAsia" w:hAnsiTheme="majorBidi" w:cstheme="majorBidi"/>
        </w:rPr>
        <w:tab/>
      </w:r>
      <w:r w:rsidRPr="003D3D39">
        <w:rPr>
          <w:rStyle w:val="a5"/>
          <w:rFonts w:eastAsiaTheme="minorEastAsia" w:cstheme="majorBidi"/>
        </w:rPr>
        <w:footnoteRef/>
      </w:r>
      <w:r>
        <w:rPr>
          <w:rStyle w:val="a5"/>
          <w:rFonts w:asciiTheme="majorBidi" w:eastAsiaTheme="minorEastAsia" w:hAnsiTheme="majorBidi" w:cstheme="majorBidi"/>
        </w:rPr>
        <w:tab/>
      </w:r>
      <w:r w:rsidRPr="00D237F6">
        <w:rPr>
          <w:rFonts w:asciiTheme="majorBidi" w:eastAsiaTheme="minorEastAsia" w:hAnsiTheme="majorBidi" w:cstheme="majorBidi"/>
        </w:rPr>
        <w:t>具体而言，美国一家法院作出了以下解释，澄清排除越权行为的理由：</w:t>
      </w:r>
      <w:r>
        <w:rPr>
          <w:rFonts w:asciiTheme="majorBidi" w:eastAsiaTheme="minorEastAsia" w:hAnsiTheme="majorBidi" w:cstheme="majorBidi" w:hint="eastAsia"/>
        </w:rPr>
        <w:t>“</w:t>
      </w:r>
      <w:r w:rsidRPr="00D237F6">
        <w:rPr>
          <w:rFonts w:asciiTheme="majorBidi" w:eastAsiaTheme="minorEastAsia" w:hAnsiTheme="majorBidi" w:cstheme="majorBidi"/>
        </w:rPr>
        <w:t>如果官员的权力受规章的限制，超越此限制的行动即被视为个人行动，而非主权行动。官员所作所为不是主权国家授予的</w:t>
      </w:r>
      <w:r>
        <w:rPr>
          <w:rFonts w:asciiTheme="majorBidi" w:eastAsiaTheme="minorEastAsia" w:hAnsiTheme="majorBidi" w:cstheme="majorBidi" w:hint="eastAsia"/>
        </w:rPr>
        <w:t>”</w:t>
      </w:r>
      <w:r w:rsidRPr="00D237F6">
        <w:rPr>
          <w:rFonts w:asciiTheme="majorBidi" w:eastAsiaTheme="minorEastAsia" w:hAnsiTheme="majorBidi" w:cstheme="majorBidi"/>
        </w:rPr>
        <w:t>。该法院指出，</w:t>
      </w:r>
      <w:r>
        <w:rPr>
          <w:rFonts w:asciiTheme="majorBidi" w:eastAsiaTheme="minorEastAsia" w:hAnsiTheme="majorBidi" w:cstheme="majorBidi" w:hint="eastAsia"/>
        </w:rPr>
        <w:t>“</w:t>
      </w:r>
      <w:r w:rsidRPr="00D237F6">
        <w:rPr>
          <w:rFonts w:asciiTheme="majorBidi" w:eastAsiaTheme="minorEastAsia" w:hAnsiTheme="majorBidi" w:cstheme="majorBidi"/>
        </w:rPr>
        <w:t>外国主权豁免法并不豁免政府官员的非法行为</w:t>
      </w:r>
      <w:r>
        <w:rPr>
          <w:rFonts w:asciiTheme="majorBidi" w:eastAsiaTheme="minorEastAsia" w:hAnsiTheme="majorBidi" w:cstheme="majorBidi" w:hint="eastAsia"/>
        </w:rPr>
        <w:t>”</w:t>
      </w:r>
      <w:r w:rsidRPr="00D237F6">
        <w:rPr>
          <w:rFonts w:asciiTheme="majorBidi" w:eastAsiaTheme="minorEastAsia" w:hAnsiTheme="majorBidi" w:cstheme="majorBidi"/>
        </w:rPr>
        <w:t>，因此，</w:t>
      </w:r>
      <w:r>
        <w:rPr>
          <w:rFonts w:asciiTheme="majorBidi" w:eastAsiaTheme="minorEastAsia" w:hAnsiTheme="majorBidi" w:cstheme="majorBidi" w:hint="eastAsia"/>
        </w:rPr>
        <w:t>“</w:t>
      </w:r>
      <w:r w:rsidRPr="00D237F6">
        <w:rPr>
          <w:rFonts w:asciiTheme="majorBidi" w:eastAsiaTheme="minorEastAsia" w:hAnsiTheme="majorBidi" w:cstheme="majorBidi"/>
        </w:rPr>
        <w:t>官员虽具有权力身份，但没有在官方授权范围内行事，这就违反了国际法，无权享有外国主权豁免法规定的豁免</w:t>
      </w:r>
      <w:r>
        <w:rPr>
          <w:rFonts w:asciiTheme="majorBidi" w:eastAsiaTheme="minorEastAsia" w:hAnsiTheme="majorBidi" w:cstheme="majorBidi" w:hint="eastAsia"/>
        </w:rPr>
        <w:t>”</w:t>
      </w:r>
      <w:r w:rsidRPr="00D237F6">
        <w:rPr>
          <w:rFonts w:asciiTheme="majorBidi" w:eastAsiaTheme="minorEastAsia" w:hAnsiTheme="majorBidi" w:cstheme="majorBidi"/>
        </w:rPr>
        <w:t>。</w:t>
      </w:r>
      <w:r w:rsidRPr="00D237F6">
        <w:rPr>
          <w:rFonts w:asciiTheme="majorBidi" w:eastAsiaTheme="minorEastAsia" w:hAnsiTheme="majorBidi" w:cstheme="majorBidi"/>
        </w:rPr>
        <w:t>(</w:t>
      </w:r>
      <w:r w:rsidRPr="00D237F6">
        <w:rPr>
          <w:rFonts w:ascii="Time New Roman" w:eastAsia="楷体" w:hAnsi="Time New Roman" w:cstheme="majorBidi"/>
        </w:rPr>
        <w:t>费迪南</w:t>
      </w:r>
      <w:r>
        <w:rPr>
          <w:rFonts w:hint="eastAsia"/>
        </w:rPr>
        <w:t>·</w:t>
      </w:r>
      <w:r w:rsidRPr="00D237F6">
        <w:rPr>
          <w:rFonts w:ascii="Time New Roman" w:eastAsia="楷体" w:hAnsi="Time New Roman" w:cstheme="majorBidi"/>
        </w:rPr>
        <w:t>马科斯的遗产人权诉讼案；</w:t>
      </w:r>
      <w:r>
        <w:rPr>
          <w:rFonts w:ascii="Time New Roman" w:eastAsia="楷体" w:hAnsi="Time New Roman" w:cstheme="majorBidi"/>
        </w:rPr>
        <w:t>Hilao</w:t>
      </w:r>
      <w:r w:rsidRPr="00D237F6">
        <w:rPr>
          <w:rFonts w:ascii="Time New Roman" w:eastAsia="楷体" w:hAnsi="Time New Roman" w:cstheme="majorBidi"/>
        </w:rPr>
        <w:t>等人诉马科斯遗产</w:t>
      </w:r>
      <w:r w:rsidRPr="005D2876">
        <w:rPr>
          <w:rFonts w:asciiTheme="majorBidi" w:eastAsiaTheme="minorEastAsia" w:hAnsiTheme="majorBidi" w:cstheme="majorBidi"/>
        </w:rPr>
        <w:t>，</w:t>
      </w:r>
      <w:r w:rsidRPr="00D237F6">
        <w:rPr>
          <w:rFonts w:asciiTheme="majorBidi" w:eastAsiaTheme="minorEastAsia" w:hAnsiTheme="majorBidi" w:cstheme="majorBidi"/>
        </w:rPr>
        <w:t>美国上诉法院，第九巡回法庭，</w:t>
      </w:r>
      <w:r>
        <w:rPr>
          <w:rFonts w:asciiTheme="majorBidi" w:eastAsiaTheme="minorEastAsia" w:hAnsiTheme="majorBidi" w:cstheme="majorBidi"/>
        </w:rPr>
        <w:t>1994</w:t>
      </w:r>
      <w:r w:rsidRPr="00D237F6">
        <w:rPr>
          <w:rFonts w:asciiTheme="majorBidi" w:eastAsiaTheme="minorEastAsia" w:hAnsiTheme="majorBidi" w:cstheme="majorBidi"/>
        </w:rPr>
        <w:t>年</w:t>
      </w:r>
      <w:r>
        <w:rPr>
          <w:rFonts w:asciiTheme="majorBidi" w:eastAsiaTheme="minorEastAsia" w:hAnsiTheme="majorBidi" w:cstheme="majorBidi"/>
        </w:rPr>
        <w:t>6</w:t>
      </w:r>
      <w:r w:rsidRPr="00D237F6">
        <w:rPr>
          <w:rFonts w:asciiTheme="majorBidi" w:eastAsiaTheme="minorEastAsia" w:hAnsiTheme="majorBidi" w:cstheme="majorBidi"/>
        </w:rPr>
        <w:t>月</w:t>
      </w:r>
      <w:r>
        <w:rPr>
          <w:rFonts w:asciiTheme="majorBidi" w:eastAsiaTheme="minorEastAsia" w:hAnsiTheme="majorBidi" w:cstheme="majorBidi"/>
        </w:rPr>
        <w:t>16</w:t>
      </w:r>
      <w:r w:rsidRPr="00D237F6">
        <w:rPr>
          <w:rFonts w:asciiTheme="majorBidi" w:eastAsiaTheme="minorEastAsia" w:hAnsiTheme="majorBidi" w:cstheme="majorBidi"/>
        </w:rPr>
        <w:t>日的判决，</w:t>
      </w:r>
      <w:r>
        <w:rPr>
          <w:rFonts w:asciiTheme="majorBidi" w:eastAsiaTheme="minorEastAsia" w:hAnsiTheme="majorBidi" w:cstheme="majorBidi"/>
        </w:rPr>
        <w:t>25</w:t>
      </w:r>
      <w:r>
        <w:rPr>
          <w:rFonts w:asciiTheme="majorBidi" w:eastAsiaTheme="minorEastAsia" w:hAnsiTheme="majorBidi" w:cstheme="majorBidi" w:hint="eastAsia"/>
        </w:rPr>
        <w:t xml:space="preserve"> </w:t>
      </w:r>
      <w:r>
        <w:rPr>
          <w:rFonts w:asciiTheme="majorBidi" w:eastAsiaTheme="minorEastAsia" w:hAnsiTheme="majorBidi" w:cstheme="majorBidi"/>
        </w:rPr>
        <w:t>F</w:t>
      </w:r>
      <w:r w:rsidRPr="00D237F6">
        <w:rPr>
          <w:rFonts w:asciiTheme="majorBidi" w:eastAsiaTheme="minorEastAsia" w:hAnsiTheme="majorBidi" w:cstheme="majorBidi"/>
        </w:rPr>
        <w:t>.</w:t>
      </w:r>
      <w:r>
        <w:rPr>
          <w:rFonts w:asciiTheme="majorBidi" w:eastAsiaTheme="minorEastAsia" w:hAnsiTheme="majorBidi" w:cstheme="majorBidi"/>
        </w:rPr>
        <w:t>3d</w:t>
      </w:r>
      <w:r>
        <w:rPr>
          <w:rFonts w:asciiTheme="majorBidi" w:eastAsiaTheme="minorEastAsia" w:hAnsiTheme="majorBidi" w:cstheme="majorBidi" w:hint="eastAsia"/>
        </w:rPr>
        <w:t xml:space="preserve"> </w:t>
      </w:r>
      <w:r>
        <w:rPr>
          <w:rFonts w:asciiTheme="majorBidi" w:eastAsiaTheme="minorEastAsia" w:hAnsiTheme="majorBidi" w:cstheme="majorBidi"/>
        </w:rPr>
        <w:t>1467</w:t>
      </w:r>
      <w:r>
        <w:rPr>
          <w:rFonts w:asciiTheme="majorBidi" w:eastAsiaTheme="minorEastAsia" w:hAnsiTheme="majorBidi" w:cstheme="majorBidi" w:hint="eastAsia"/>
        </w:rPr>
        <w:t xml:space="preserve"> </w:t>
      </w:r>
      <w:r w:rsidRPr="00D237F6">
        <w:rPr>
          <w:rFonts w:asciiTheme="majorBidi" w:eastAsiaTheme="minorEastAsia" w:hAnsiTheme="majorBidi" w:cstheme="majorBidi"/>
          <w:color w:val="000000"/>
        </w:rPr>
        <w:t>(</w:t>
      </w:r>
      <w:r>
        <w:rPr>
          <w:rFonts w:asciiTheme="majorBidi" w:eastAsiaTheme="minorEastAsia" w:hAnsiTheme="majorBidi" w:cstheme="majorBidi"/>
          <w:color w:val="000000"/>
        </w:rPr>
        <w:t>9</w:t>
      </w:r>
      <w:r>
        <w:rPr>
          <w:rFonts w:asciiTheme="majorBidi" w:eastAsiaTheme="minorEastAsia" w:hAnsiTheme="majorBidi" w:cstheme="majorBidi" w:hint="eastAsia"/>
          <w:color w:val="000000"/>
        </w:rPr>
        <w:t xml:space="preserve">th </w:t>
      </w:r>
      <w:r>
        <w:rPr>
          <w:rFonts w:asciiTheme="majorBidi" w:eastAsiaTheme="minorEastAsia" w:hAnsiTheme="majorBidi" w:cstheme="majorBidi"/>
          <w:color w:val="000000"/>
        </w:rPr>
        <w:t>Cir</w:t>
      </w:r>
      <w:r w:rsidRPr="00D237F6">
        <w:rPr>
          <w:rFonts w:asciiTheme="majorBidi" w:eastAsiaTheme="minorEastAsia" w:hAnsiTheme="majorBidi" w:cstheme="majorBidi"/>
          <w:color w:val="000000"/>
        </w:rPr>
        <w:t>.</w:t>
      </w:r>
      <w:r>
        <w:rPr>
          <w:rFonts w:asciiTheme="majorBidi" w:eastAsiaTheme="minorEastAsia" w:hAnsiTheme="majorBidi" w:cstheme="majorBidi"/>
          <w:color w:val="000000"/>
        </w:rPr>
        <w:t>1994</w:t>
      </w:r>
      <w:r w:rsidRPr="00D237F6">
        <w:rPr>
          <w:rFonts w:asciiTheme="majorBidi" w:eastAsiaTheme="minorEastAsia" w:hAnsiTheme="majorBidi" w:cstheme="majorBidi"/>
          <w:color w:val="000000"/>
        </w:rPr>
        <w:t>)</w:t>
      </w:r>
      <w:r w:rsidRPr="00D237F6">
        <w:rPr>
          <w:rFonts w:asciiTheme="majorBidi" w:eastAsiaTheme="minorEastAsia" w:hAnsiTheme="majorBidi" w:cstheme="majorBidi"/>
        </w:rPr>
        <w:t>，《国际法案例汇编》，第</w:t>
      </w:r>
      <w:r>
        <w:rPr>
          <w:rFonts w:asciiTheme="majorBidi" w:eastAsiaTheme="minorEastAsia" w:hAnsiTheme="majorBidi" w:cstheme="majorBidi"/>
        </w:rPr>
        <w:t>104</w:t>
      </w:r>
      <w:r w:rsidRPr="00D237F6">
        <w:rPr>
          <w:rFonts w:asciiTheme="majorBidi" w:eastAsiaTheme="minorEastAsia" w:hAnsiTheme="majorBidi" w:cstheme="majorBidi"/>
        </w:rPr>
        <w:t>卷，第</w:t>
      </w:r>
      <w:r>
        <w:rPr>
          <w:rFonts w:asciiTheme="majorBidi" w:eastAsiaTheme="minorEastAsia" w:hAnsiTheme="majorBidi" w:cstheme="majorBidi"/>
        </w:rPr>
        <w:t>119</w:t>
      </w:r>
      <w:r w:rsidRPr="00D237F6">
        <w:rPr>
          <w:rFonts w:asciiTheme="majorBidi" w:eastAsiaTheme="minorEastAsia" w:hAnsiTheme="majorBidi" w:cstheme="majorBidi"/>
        </w:rPr>
        <w:t>及以下各页，特别是第</w:t>
      </w:r>
      <w:r>
        <w:rPr>
          <w:rFonts w:asciiTheme="majorBidi" w:eastAsiaTheme="minorEastAsia" w:hAnsiTheme="majorBidi" w:cstheme="majorBidi"/>
        </w:rPr>
        <w:t>123</w:t>
      </w:r>
      <w:r w:rsidRPr="00D237F6">
        <w:rPr>
          <w:rFonts w:asciiTheme="majorBidi" w:eastAsiaTheme="minorEastAsia" w:hAnsiTheme="majorBidi" w:cstheme="majorBidi"/>
        </w:rPr>
        <w:t>和</w:t>
      </w:r>
      <w:r>
        <w:rPr>
          <w:rFonts w:asciiTheme="majorBidi" w:eastAsiaTheme="minorEastAsia" w:hAnsiTheme="majorBidi" w:cstheme="majorBidi"/>
        </w:rPr>
        <w:t>125</w:t>
      </w:r>
      <w:r w:rsidRPr="00D237F6">
        <w:rPr>
          <w:rFonts w:asciiTheme="majorBidi" w:eastAsiaTheme="minorEastAsia" w:hAnsiTheme="majorBidi" w:cstheme="majorBidi"/>
        </w:rPr>
        <w:t>页</w:t>
      </w:r>
      <w:r w:rsidRPr="00D237F6">
        <w:rPr>
          <w:rFonts w:asciiTheme="majorBidi" w:eastAsiaTheme="minorEastAsia" w:hAnsiTheme="majorBidi" w:cstheme="majorBidi"/>
        </w:rPr>
        <w:t>)</w:t>
      </w:r>
      <w:r w:rsidRPr="00D237F6">
        <w:rPr>
          <w:rFonts w:asciiTheme="majorBidi" w:eastAsiaTheme="minorEastAsia" w:hAnsiTheme="majorBidi" w:cstheme="majorBidi"/>
        </w:rPr>
        <w:t>。同样，另一法院也认为越权行为不享受主权豁免，因为行为人侵犯原告人权的行为是在权力之外实施的：</w:t>
      </w:r>
      <w:r>
        <w:rPr>
          <w:rFonts w:asciiTheme="majorBidi" w:eastAsiaTheme="minorEastAsia" w:hAnsiTheme="majorBidi" w:cstheme="majorBidi" w:hint="eastAsia"/>
        </w:rPr>
        <w:t>“</w:t>
      </w:r>
      <w:r w:rsidRPr="00D237F6">
        <w:rPr>
          <w:rFonts w:asciiTheme="majorBidi" w:eastAsiaTheme="minorEastAsia" w:hAnsiTheme="majorBidi" w:cstheme="majorBidi"/>
        </w:rPr>
        <w:t>如果官员实施未经国家官方授权的行为，即如果他们不是</w:t>
      </w:r>
      <w:r w:rsidRPr="00D237F6">
        <w:rPr>
          <w:rFonts w:asciiTheme="majorBidi" w:eastAsiaTheme="minorEastAsia" w:hAnsiTheme="majorBidi" w:cstheme="majorBidi"/>
        </w:rPr>
        <w:t>‘</w:t>
      </w:r>
      <w:r w:rsidRPr="00D237F6">
        <w:rPr>
          <w:rFonts w:asciiTheme="majorBidi" w:eastAsiaTheme="minorEastAsia" w:hAnsiTheme="majorBidi" w:cstheme="majorBidi"/>
        </w:rPr>
        <w:t>在其权力范围内以官方身份行事</w:t>
      </w:r>
      <w:r w:rsidRPr="00D237F6">
        <w:rPr>
          <w:rFonts w:asciiTheme="majorBidi" w:eastAsiaTheme="minorEastAsia" w:hAnsiTheme="majorBidi" w:cstheme="majorBidi"/>
        </w:rPr>
        <w:t>’</w:t>
      </w:r>
      <w:r w:rsidRPr="00D237F6">
        <w:rPr>
          <w:rFonts w:asciiTheme="majorBidi" w:eastAsiaTheme="minorEastAsia" w:hAnsiTheme="majorBidi" w:cstheme="majorBidi"/>
        </w:rPr>
        <w:t>，那么他们就不能享受豁免。</w:t>
      </w:r>
      <w:r>
        <w:rPr>
          <w:rFonts w:asciiTheme="majorBidi" w:eastAsiaTheme="minorEastAsia" w:hAnsiTheme="majorBidi" w:cstheme="majorBidi" w:hint="eastAsia"/>
        </w:rPr>
        <w:t>”</w:t>
      </w:r>
      <w:r w:rsidRPr="00D237F6">
        <w:rPr>
          <w:rFonts w:asciiTheme="majorBidi" w:eastAsiaTheme="minorEastAsia" w:hAnsiTheme="majorBidi" w:cstheme="majorBidi"/>
        </w:rPr>
        <w:t>(</w:t>
      </w:r>
      <w:r>
        <w:rPr>
          <w:rFonts w:ascii="Time New Roman" w:eastAsia="楷体" w:hAnsi="Time New Roman" w:cstheme="majorBidi"/>
        </w:rPr>
        <w:t>DoeI</w:t>
      </w:r>
      <w:r w:rsidRPr="00D237F6">
        <w:rPr>
          <w:rFonts w:ascii="Time New Roman" w:eastAsia="楷体" w:hAnsi="Time New Roman" w:cstheme="majorBidi"/>
        </w:rPr>
        <w:t>等诉刘淇等、原告</w:t>
      </w:r>
      <w:r>
        <w:rPr>
          <w:rFonts w:ascii="Time New Roman" w:eastAsia="楷体" w:hAnsi="Time New Roman" w:cstheme="majorBidi"/>
        </w:rPr>
        <w:t>A</w:t>
      </w:r>
      <w:r w:rsidRPr="00D237F6">
        <w:rPr>
          <w:rFonts w:ascii="Time New Roman" w:eastAsia="楷体" w:hAnsi="Time New Roman" w:cstheme="majorBidi"/>
        </w:rPr>
        <w:t>等诉夏德仁等，</w:t>
      </w:r>
      <w:r w:rsidRPr="00D237F6">
        <w:rPr>
          <w:rFonts w:asciiTheme="majorBidi" w:eastAsiaTheme="minorEastAsia" w:hAnsiTheme="majorBidi" w:cstheme="majorBidi"/>
        </w:rPr>
        <w:t>美国地区法院，加利福尼亚北部地区，</w:t>
      </w:r>
      <w:r>
        <w:rPr>
          <w:rFonts w:asciiTheme="majorBidi" w:eastAsiaTheme="minorEastAsia" w:hAnsiTheme="majorBidi" w:cstheme="majorBidi"/>
        </w:rPr>
        <w:t>C</w:t>
      </w:r>
      <w:r>
        <w:rPr>
          <w:rFonts w:asciiTheme="majorBidi" w:eastAsiaTheme="minorEastAsia" w:hAnsiTheme="majorBidi" w:cstheme="majorBidi" w:hint="eastAsia"/>
        </w:rPr>
        <w:t xml:space="preserve"> </w:t>
      </w:r>
      <w:r>
        <w:rPr>
          <w:rFonts w:asciiTheme="majorBidi" w:eastAsiaTheme="minorEastAsia" w:hAnsiTheme="majorBidi" w:cstheme="majorBidi"/>
        </w:rPr>
        <w:t>02</w:t>
      </w:r>
      <w:r w:rsidRPr="00D237F6">
        <w:rPr>
          <w:rFonts w:asciiTheme="majorBidi" w:eastAsiaTheme="minorEastAsia" w:hAnsiTheme="majorBidi" w:cstheme="majorBidi"/>
        </w:rPr>
        <w:t>-</w:t>
      </w:r>
      <w:r>
        <w:rPr>
          <w:rFonts w:asciiTheme="majorBidi" w:eastAsiaTheme="minorEastAsia" w:hAnsiTheme="majorBidi" w:cstheme="majorBidi"/>
        </w:rPr>
        <w:t>0672</w:t>
      </w:r>
      <w:r>
        <w:rPr>
          <w:rFonts w:asciiTheme="majorBidi" w:eastAsiaTheme="minorEastAsia" w:hAnsiTheme="majorBidi" w:cstheme="majorBidi" w:hint="eastAsia"/>
        </w:rPr>
        <w:t xml:space="preserve"> </w:t>
      </w:r>
      <w:r>
        <w:rPr>
          <w:rFonts w:asciiTheme="majorBidi" w:eastAsiaTheme="minorEastAsia" w:hAnsiTheme="majorBidi" w:cstheme="majorBidi"/>
        </w:rPr>
        <w:t>CW</w:t>
      </w:r>
      <w:r w:rsidRPr="00D237F6">
        <w:rPr>
          <w:rFonts w:asciiTheme="majorBidi" w:eastAsiaTheme="minorEastAsia" w:hAnsiTheme="majorBidi" w:cstheme="majorBidi"/>
        </w:rPr>
        <w:t>,</w:t>
      </w:r>
      <w:r>
        <w:rPr>
          <w:rFonts w:asciiTheme="majorBidi" w:eastAsiaTheme="minorEastAsia" w:hAnsiTheme="majorBidi" w:cstheme="majorBidi" w:hint="eastAsia"/>
        </w:rPr>
        <w:t xml:space="preserve"> </w:t>
      </w:r>
      <w:r>
        <w:rPr>
          <w:rFonts w:asciiTheme="majorBidi" w:eastAsiaTheme="minorEastAsia" w:hAnsiTheme="majorBidi" w:cstheme="majorBidi"/>
        </w:rPr>
        <w:t>C</w:t>
      </w:r>
      <w:r>
        <w:rPr>
          <w:rFonts w:asciiTheme="majorBidi" w:eastAsiaTheme="minorEastAsia" w:hAnsiTheme="majorBidi" w:cstheme="majorBidi" w:hint="eastAsia"/>
        </w:rPr>
        <w:t xml:space="preserve"> </w:t>
      </w:r>
      <w:r>
        <w:rPr>
          <w:rFonts w:asciiTheme="majorBidi" w:eastAsiaTheme="minorEastAsia" w:hAnsiTheme="majorBidi" w:cstheme="majorBidi"/>
        </w:rPr>
        <w:t>02</w:t>
      </w:r>
      <w:r w:rsidRPr="00D237F6">
        <w:rPr>
          <w:rFonts w:asciiTheme="majorBidi" w:eastAsiaTheme="minorEastAsia" w:hAnsiTheme="majorBidi" w:cstheme="majorBidi"/>
        </w:rPr>
        <w:t>-</w:t>
      </w:r>
      <w:r>
        <w:rPr>
          <w:rFonts w:asciiTheme="majorBidi" w:eastAsiaTheme="minorEastAsia" w:hAnsiTheme="majorBidi" w:cstheme="majorBidi"/>
        </w:rPr>
        <w:t>0695</w:t>
      </w:r>
      <w:r>
        <w:rPr>
          <w:rFonts w:asciiTheme="majorBidi" w:eastAsiaTheme="minorEastAsia" w:hAnsiTheme="majorBidi" w:cstheme="majorBidi" w:hint="eastAsia"/>
        </w:rPr>
        <w:t xml:space="preserve"> </w:t>
      </w:r>
      <w:r>
        <w:rPr>
          <w:rFonts w:asciiTheme="majorBidi" w:eastAsiaTheme="minorEastAsia" w:hAnsiTheme="majorBidi" w:cstheme="majorBidi"/>
        </w:rPr>
        <w:t>CW</w:t>
      </w:r>
      <w:r w:rsidRPr="00D237F6">
        <w:rPr>
          <w:rFonts w:asciiTheme="majorBidi" w:eastAsiaTheme="minorEastAsia" w:hAnsiTheme="majorBidi" w:cstheme="majorBidi"/>
        </w:rPr>
        <w:t>)</w:t>
      </w:r>
      <w:r w:rsidRPr="00D237F6">
        <w:rPr>
          <w:rFonts w:asciiTheme="majorBidi" w:eastAsiaTheme="minorEastAsia" w:hAnsiTheme="majorBidi" w:cstheme="majorBidi"/>
        </w:rPr>
        <w:t>。</w:t>
      </w:r>
    </w:p>
  </w:footnote>
  <w:footnote w:id="1415">
    <w:p w:rsidR="00AB00DE" w:rsidRPr="00D237F6" w:rsidRDefault="00AB00DE" w:rsidP="00396D56">
      <w:pPr>
        <w:pStyle w:val="a4"/>
        <w:spacing w:after="80"/>
        <w:rPr>
          <w:rFonts w:asciiTheme="majorBidi" w:eastAsiaTheme="minorEastAsia" w:hAnsiTheme="majorBidi" w:cstheme="majorBidi"/>
        </w:rPr>
      </w:pPr>
      <w:r>
        <w:rPr>
          <w:rStyle w:val="a5"/>
          <w:rFonts w:asciiTheme="majorBidi" w:eastAsiaTheme="minorEastAsia" w:hAnsiTheme="majorBidi" w:cstheme="majorBidi"/>
        </w:rPr>
        <w:tab/>
      </w:r>
      <w:r w:rsidRPr="003D3D39">
        <w:rPr>
          <w:rStyle w:val="a5"/>
          <w:rFonts w:eastAsiaTheme="minorEastAsia" w:cstheme="majorBidi"/>
        </w:rPr>
        <w:footnoteRef/>
      </w:r>
      <w:r>
        <w:rPr>
          <w:rStyle w:val="a5"/>
          <w:rFonts w:asciiTheme="majorBidi" w:eastAsiaTheme="minorEastAsia" w:hAnsiTheme="majorBidi" w:cstheme="majorBidi"/>
        </w:rPr>
        <w:tab/>
      </w:r>
      <w:r>
        <w:rPr>
          <w:rFonts w:ascii="Time New Roman" w:eastAsia="楷体" w:hAnsi="Time New Roman" w:cstheme="majorBidi"/>
        </w:rPr>
        <w:t>Jaffe</w:t>
      </w:r>
      <w:r w:rsidRPr="00D237F6">
        <w:rPr>
          <w:rFonts w:ascii="Time New Roman" w:eastAsia="楷体" w:hAnsi="Time New Roman" w:cstheme="majorBidi"/>
        </w:rPr>
        <w:t>诉</w:t>
      </w:r>
      <w:r>
        <w:rPr>
          <w:rFonts w:ascii="Time New Roman" w:eastAsia="楷体" w:hAnsi="Time New Roman" w:cstheme="majorBidi"/>
        </w:rPr>
        <w:t>Miller</w:t>
      </w:r>
      <w:r w:rsidRPr="00D237F6">
        <w:rPr>
          <w:rFonts w:ascii="Time New Roman" w:eastAsia="楷体" w:hAnsi="Time New Roman" w:cstheme="majorBidi"/>
        </w:rPr>
        <w:t>等</w:t>
      </w:r>
      <w:r w:rsidRPr="00D237F6">
        <w:rPr>
          <w:rFonts w:asciiTheme="majorBidi" w:eastAsiaTheme="minorEastAsia" w:hAnsiTheme="majorBidi" w:cstheme="majorBidi"/>
        </w:rPr>
        <w:t>，安大略上诉法院</w:t>
      </w:r>
      <w:r w:rsidRPr="00D237F6">
        <w:rPr>
          <w:rFonts w:asciiTheme="majorBidi" w:eastAsiaTheme="minorEastAsia" w:hAnsiTheme="majorBidi" w:cstheme="majorBidi"/>
        </w:rPr>
        <w:t>(</w:t>
      </w:r>
      <w:r w:rsidRPr="00D237F6">
        <w:rPr>
          <w:rFonts w:asciiTheme="majorBidi" w:eastAsiaTheme="minorEastAsia" w:hAnsiTheme="majorBidi" w:cstheme="majorBidi"/>
        </w:rPr>
        <w:t>加拿大</w:t>
      </w:r>
      <w:r w:rsidRPr="00D237F6">
        <w:rPr>
          <w:rFonts w:asciiTheme="majorBidi" w:eastAsiaTheme="minorEastAsia" w:hAnsiTheme="majorBidi" w:cstheme="majorBidi"/>
        </w:rPr>
        <w:t>)</w:t>
      </w:r>
      <w:r w:rsidRPr="00D237F6">
        <w:rPr>
          <w:rFonts w:asciiTheme="majorBidi" w:eastAsiaTheme="minorEastAsia" w:hAnsiTheme="majorBidi" w:cstheme="majorBidi"/>
        </w:rPr>
        <w:t>，</w:t>
      </w:r>
      <w:r>
        <w:rPr>
          <w:rFonts w:asciiTheme="majorBidi" w:eastAsiaTheme="minorEastAsia" w:hAnsiTheme="majorBidi" w:cstheme="majorBidi"/>
        </w:rPr>
        <w:t>1993</w:t>
      </w:r>
      <w:r w:rsidRPr="00D237F6">
        <w:rPr>
          <w:rFonts w:asciiTheme="majorBidi" w:eastAsiaTheme="minorEastAsia" w:hAnsiTheme="majorBidi" w:cstheme="majorBidi"/>
        </w:rPr>
        <w:t>年</w:t>
      </w:r>
      <w:r>
        <w:rPr>
          <w:rFonts w:asciiTheme="majorBidi" w:eastAsiaTheme="minorEastAsia" w:hAnsiTheme="majorBidi" w:cstheme="majorBidi"/>
        </w:rPr>
        <w:t>6</w:t>
      </w:r>
      <w:r w:rsidRPr="00D237F6">
        <w:rPr>
          <w:rFonts w:asciiTheme="majorBidi" w:eastAsiaTheme="minorEastAsia" w:hAnsiTheme="majorBidi" w:cstheme="majorBidi"/>
        </w:rPr>
        <w:t>月</w:t>
      </w:r>
      <w:r>
        <w:rPr>
          <w:rFonts w:asciiTheme="majorBidi" w:eastAsiaTheme="minorEastAsia" w:hAnsiTheme="majorBidi" w:cstheme="majorBidi"/>
        </w:rPr>
        <w:t>17</w:t>
      </w:r>
      <w:r w:rsidRPr="00D237F6">
        <w:rPr>
          <w:rFonts w:asciiTheme="majorBidi" w:eastAsiaTheme="minorEastAsia" w:hAnsiTheme="majorBidi" w:cstheme="majorBidi"/>
        </w:rPr>
        <w:t>日的判决，《国际法案例汇编》，第</w:t>
      </w:r>
      <w:r>
        <w:rPr>
          <w:rFonts w:asciiTheme="majorBidi" w:eastAsiaTheme="minorEastAsia" w:hAnsiTheme="majorBidi" w:cstheme="majorBidi"/>
        </w:rPr>
        <w:t>95</w:t>
      </w:r>
      <w:r w:rsidRPr="00D237F6">
        <w:rPr>
          <w:rFonts w:asciiTheme="majorBidi" w:eastAsiaTheme="minorEastAsia" w:hAnsiTheme="majorBidi" w:cstheme="majorBidi"/>
        </w:rPr>
        <w:t>卷，第</w:t>
      </w:r>
      <w:r>
        <w:rPr>
          <w:rFonts w:asciiTheme="majorBidi" w:eastAsiaTheme="minorEastAsia" w:hAnsiTheme="majorBidi" w:cstheme="majorBidi"/>
        </w:rPr>
        <w:t>446</w:t>
      </w:r>
      <w:r w:rsidRPr="00D237F6">
        <w:rPr>
          <w:rFonts w:asciiTheme="majorBidi" w:eastAsiaTheme="minorEastAsia" w:hAnsiTheme="majorBidi" w:cstheme="majorBidi"/>
        </w:rPr>
        <w:t>页；</w:t>
      </w:r>
      <w:r w:rsidRPr="00D237F6">
        <w:rPr>
          <w:rFonts w:ascii="Time New Roman" w:eastAsia="楷体" w:hAnsi="Time New Roman" w:cstheme="majorBidi"/>
        </w:rPr>
        <w:t>阿根廷共和国诉</w:t>
      </w:r>
      <w:r>
        <w:rPr>
          <w:rFonts w:ascii="Time New Roman" w:eastAsia="楷体" w:hAnsi="Time New Roman" w:cstheme="majorBidi"/>
        </w:rPr>
        <w:t>Amerada</w:t>
      </w:r>
      <w:r>
        <w:rPr>
          <w:rFonts w:ascii="Time New Roman" w:eastAsia="楷体" w:hAnsi="Time New Roman" w:cstheme="majorBidi" w:hint="eastAsia"/>
        </w:rPr>
        <w:t xml:space="preserve"> </w:t>
      </w:r>
      <w:r>
        <w:rPr>
          <w:rFonts w:ascii="Time New Roman" w:eastAsia="楷体" w:hAnsi="Time New Roman" w:cstheme="majorBidi"/>
        </w:rPr>
        <w:t>Hess</w:t>
      </w:r>
      <w:r w:rsidRPr="00D237F6">
        <w:rPr>
          <w:rFonts w:ascii="Time New Roman" w:eastAsia="楷体" w:hAnsi="Time New Roman" w:cstheme="majorBidi"/>
        </w:rPr>
        <w:t>船运公司等</w:t>
      </w:r>
      <w:r w:rsidRPr="00D237F6">
        <w:rPr>
          <w:rFonts w:asciiTheme="majorBidi" w:eastAsiaTheme="minorEastAsia" w:hAnsiTheme="majorBidi" w:cstheme="majorBidi"/>
        </w:rPr>
        <w:t>，美国最高法院，</w:t>
      </w:r>
      <w:r>
        <w:rPr>
          <w:rFonts w:asciiTheme="majorBidi" w:eastAsiaTheme="minorEastAsia" w:hAnsiTheme="majorBidi" w:cstheme="majorBidi"/>
        </w:rPr>
        <w:t>1989</w:t>
      </w:r>
      <w:r w:rsidRPr="00D237F6">
        <w:rPr>
          <w:rFonts w:asciiTheme="majorBidi" w:eastAsiaTheme="minorEastAsia" w:hAnsiTheme="majorBidi" w:cstheme="majorBidi"/>
        </w:rPr>
        <w:t>年</w:t>
      </w:r>
      <w:r>
        <w:rPr>
          <w:rFonts w:asciiTheme="majorBidi" w:eastAsiaTheme="minorEastAsia" w:hAnsiTheme="majorBidi" w:cstheme="majorBidi"/>
        </w:rPr>
        <w:t>1</w:t>
      </w:r>
      <w:r w:rsidRPr="00D237F6">
        <w:rPr>
          <w:rFonts w:asciiTheme="majorBidi" w:eastAsiaTheme="minorEastAsia" w:hAnsiTheme="majorBidi" w:cstheme="majorBidi"/>
        </w:rPr>
        <w:t>月</w:t>
      </w:r>
      <w:r>
        <w:rPr>
          <w:rFonts w:asciiTheme="majorBidi" w:eastAsiaTheme="minorEastAsia" w:hAnsiTheme="majorBidi" w:cstheme="majorBidi"/>
        </w:rPr>
        <w:t>23</w:t>
      </w:r>
      <w:r w:rsidRPr="00D237F6">
        <w:rPr>
          <w:rFonts w:asciiTheme="majorBidi" w:eastAsiaTheme="minorEastAsia" w:hAnsiTheme="majorBidi" w:cstheme="majorBidi"/>
        </w:rPr>
        <w:t>日，《国际法案例汇编》，第</w:t>
      </w:r>
      <w:r>
        <w:rPr>
          <w:rFonts w:asciiTheme="majorBidi" w:eastAsiaTheme="minorEastAsia" w:hAnsiTheme="majorBidi" w:cstheme="majorBidi"/>
        </w:rPr>
        <w:t>81</w:t>
      </w:r>
      <w:r w:rsidRPr="00D237F6">
        <w:rPr>
          <w:rFonts w:asciiTheme="majorBidi" w:eastAsiaTheme="minorEastAsia" w:hAnsiTheme="majorBidi" w:cstheme="majorBidi"/>
        </w:rPr>
        <w:t>卷，第</w:t>
      </w:r>
      <w:r>
        <w:rPr>
          <w:rFonts w:asciiTheme="majorBidi" w:eastAsiaTheme="minorEastAsia" w:hAnsiTheme="majorBidi" w:cstheme="majorBidi"/>
        </w:rPr>
        <w:t>658</w:t>
      </w:r>
      <w:r w:rsidRPr="00D237F6">
        <w:rPr>
          <w:rFonts w:asciiTheme="majorBidi" w:eastAsiaTheme="minorEastAsia" w:hAnsiTheme="majorBidi" w:cstheme="majorBidi"/>
        </w:rPr>
        <w:t>页；</w:t>
      </w:r>
      <w:r>
        <w:rPr>
          <w:rFonts w:ascii="Time New Roman" w:eastAsia="楷体" w:hAnsi="Time New Roman" w:cstheme="majorBidi"/>
        </w:rPr>
        <w:t>McElhinney</w:t>
      </w:r>
      <w:r w:rsidRPr="00D237F6">
        <w:rPr>
          <w:rFonts w:ascii="Time New Roman" w:eastAsia="楷体" w:hAnsi="Time New Roman" w:cstheme="majorBidi"/>
        </w:rPr>
        <w:t>诉</w:t>
      </w:r>
      <w:r>
        <w:rPr>
          <w:rFonts w:ascii="Time New Roman" w:eastAsia="楷体" w:hAnsi="Time New Roman" w:cstheme="majorBidi"/>
        </w:rPr>
        <w:t>Williams</w:t>
      </w:r>
      <w:r w:rsidRPr="00D237F6">
        <w:rPr>
          <w:rFonts w:ascii="Time New Roman" w:eastAsia="楷体" w:hAnsi="Time New Roman" w:cstheme="majorBidi"/>
        </w:rPr>
        <w:t>,</w:t>
      </w:r>
      <w:r>
        <w:rPr>
          <w:rFonts w:ascii="Time New Roman" w:eastAsia="楷体" w:hAnsi="Time New Roman" w:cstheme="majorBidi" w:hint="eastAsia"/>
        </w:rPr>
        <w:t xml:space="preserve"> </w:t>
      </w:r>
      <w:r w:rsidRPr="00D237F6">
        <w:rPr>
          <w:rFonts w:asciiTheme="majorBidi" w:eastAsiaTheme="minorEastAsia" w:hAnsiTheme="majorBidi" w:cstheme="majorBidi"/>
        </w:rPr>
        <w:t>爱尔兰高等法院，</w:t>
      </w:r>
      <w:r>
        <w:rPr>
          <w:rFonts w:asciiTheme="majorBidi" w:eastAsiaTheme="minorEastAsia" w:hAnsiTheme="majorBidi" w:cstheme="majorBidi"/>
        </w:rPr>
        <w:t>1995</w:t>
      </w:r>
      <w:r w:rsidRPr="00D237F6">
        <w:rPr>
          <w:rFonts w:asciiTheme="majorBidi" w:eastAsiaTheme="minorEastAsia" w:hAnsiTheme="majorBidi" w:cstheme="majorBidi"/>
        </w:rPr>
        <w:t>年</w:t>
      </w:r>
      <w:r>
        <w:rPr>
          <w:rFonts w:asciiTheme="majorBidi" w:eastAsiaTheme="minorEastAsia" w:hAnsiTheme="majorBidi" w:cstheme="majorBidi"/>
        </w:rPr>
        <w:t>12</w:t>
      </w:r>
      <w:r w:rsidRPr="00D237F6">
        <w:rPr>
          <w:rFonts w:asciiTheme="majorBidi" w:eastAsiaTheme="minorEastAsia" w:hAnsiTheme="majorBidi" w:cstheme="majorBidi"/>
        </w:rPr>
        <w:t>月</w:t>
      </w:r>
      <w:r>
        <w:rPr>
          <w:rFonts w:asciiTheme="majorBidi" w:eastAsiaTheme="minorEastAsia" w:hAnsiTheme="majorBidi" w:cstheme="majorBidi"/>
        </w:rPr>
        <w:t>15</w:t>
      </w:r>
      <w:r w:rsidRPr="00D237F6">
        <w:rPr>
          <w:rFonts w:asciiTheme="majorBidi" w:eastAsiaTheme="minorEastAsia" w:hAnsiTheme="majorBidi" w:cstheme="majorBidi"/>
        </w:rPr>
        <w:t>日，《国际法案例汇编》，第</w:t>
      </w:r>
      <w:r>
        <w:rPr>
          <w:rFonts w:asciiTheme="majorBidi" w:eastAsiaTheme="minorEastAsia" w:hAnsiTheme="majorBidi" w:cstheme="majorBidi"/>
        </w:rPr>
        <w:t>104</w:t>
      </w:r>
      <w:r w:rsidRPr="00D237F6">
        <w:rPr>
          <w:rFonts w:asciiTheme="majorBidi" w:eastAsiaTheme="minorEastAsia" w:hAnsiTheme="majorBidi" w:cstheme="majorBidi"/>
        </w:rPr>
        <w:t>卷，第</w:t>
      </w:r>
      <w:r>
        <w:rPr>
          <w:rFonts w:asciiTheme="majorBidi" w:eastAsiaTheme="minorEastAsia" w:hAnsiTheme="majorBidi" w:cstheme="majorBidi"/>
        </w:rPr>
        <w:t>691</w:t>
      </w:r>
      <w:r w:rsidRPr="00D237F6">
        <w:rPr>
          <w:rFonts w:asciiTheme="majorBidi" w:eastAsiaTheme="minorEastAsia" w:hAnsiTheme="majorBidi" w:cstheme="majorBidi"/>
        </w:rPr>
        <w:t>页。</w:t>
      </w:r>
    </w:p>
  </w:footnote>
  <w:footnote w:id="1416">
    <w:p w:rsidR="00AB00DE" w:rsidRPr="00D237F6" w:rsidRDefault="00AB00DE" w:rsidP="00396D56">
      <w:pPr>
        <w:pStyle w:val="a4"/>
        <w:spacing w:after="80"/>
        <w:rPr>
          <w:rFonts w:asciiTheme="majorBidi" w:eastAsiaTheme="minorEastAsia" w:hAnsiTheme="majorBidi" w:cstheme="majorBidi"/>
        </w:rPr>
      </w:pPr>
      <w:r>
        <w:rPr>
          <w:rStyle w:val="a5"/>
          <w:rFonts w:asciiTheme="majorBidi" w:eastAsiaTheme="minorEastAsia" w:hAnsiTheme="majorBidi" w:cstheme="majorBidi"/>
        </w:rPr>
        <w:tab/>
      </w:r>
      <w:r w:rsidRPr="003D3D39">
        <w:rPr>
          <w:rStyle w:val="a5"/>
          <w:rFonts w:eastAsiaTheme="minorEastAsia" w:cstheme="majorBidi"/>
        </w:rPr>
        <w:footnoteRef/>
      </w:r>
      <w:r>
        <w:rPr>
          <w:rStyle w:val="a5"/>
          <w:rFonts w:asciiTheme="majorBidi" w:eastAsiaTheme="minorEastAsia" w:hAnsiTheme="majorBidi" w:cstheme="majorBidi"/>
        </w:rPr>
        <w:tab/>
      </w:r>
      <w:r>
        <w:rPr>
          <w:rFonts w:asciiTheme="majorBidi" w:eastAsiaTheme="minorEastAsia" w:hAnsiTheme="majorBidi" w:cstheme="majorBidi"/>
          <w:i/>
        </w:rPr>
        <w:t>I</w:t>
      </w:r>
      <w:r>
        <w:rPr>
          <w:rFonts w:asciiTheme="majorBidi" w:eastAsiaTheme="minorEastAsia" w:hAnsiTheme="majorBidi" w:cstheme="majorBidi" w:hint="eastAsia"/>
          <w:i/>
        </w:rPr>
        <w:t xml:space="preserve"> </w:t>
      </w:r>
      <w:r>
        <w:rPr>
          <w:rFonts w:asciiTheme="majorBidi" w:eastAsiaTheme="minorEastAsia" w:hAnsiTheme="majorBidi" w:cstheme="majorBidi"/>
          <w:i/>
        </w:rPr>
        <w:t>Congresodel</w:t>
      </w:r>
      <w:r>
        <w:rPr>
          <w:rFonts w:asciiTheme="majorBidi" w:eastAsiaTheme="minorEastAsia" w:hAnsiTheme="majorBidi" w:cstheme="majorBidi" w:hint="eastAsia"/>
          <w:i/>
        </w:rPr>
        <w:t xml:space="preserve"> </w:t>
      </w:r>
      <w:r>
        <w:rPr>
          <w:rFonts w:asciiTheme="majorBidi" w:eastAsiaTheme="minorEastAsia" w:hAnsiTheme="majorBidi" w:cstheme="majorBidi"/>
          <w:i/>
        </w:rPr>
        <w:t>Partido</w:t>
      </w:r>
      <w:r w:rsidRPr="00D237F6">
        <w:rPr>
          <w:rFonts w:asciiTheme="majorBidi" w:eastAsiaTheme="minorEastAsia" w:hAnsiTheme="majorBidi" w:cstheme="majorBidi"/>
          <w:i/>
        </w:rPr>
        <w:t>,</w:t>
      </w:r>
      <w:r>
        <w:rPr>
          <w:rFonts w:asciiTheme="majorBidi" w:eastAsiaTheme="minorEastAsia" w:hAnsiTheme="majorBidi" w:cstheme="majorBidi" w:hint="eastAsia"/>
          <w:i/>
        </w:rPr>
        <w:t xml:space="preserve"> </w:t>
      </w:r>
      <w:r w:rsidRPr="00D237F6">
        <w:rPr>
          <w:rFonts w:asciiTheme="majorBidi" w:eastAsiaTheme="minorEastAsia" w:hAnsiTheme="majorBidi" w:cstheme="majorBidi"/>
        </w:rPr>
        <w:t>联合王国上议院，</w:t>
      </w:r>
      <w:r>
        <w:rPr>
          <w:rFonts w:asciiTheme="majorBidi" w:eastAsiaTheme="minorEastAsia" w:hAnsiTheme="majorBidi" w:cstheme="majorBidi"/>
        </w:rPr>
        <w:t>1981</w:t>
      </w:r>
      <w:r w:rsidRPr="00D237F6">
        <w:rPr>
          <w:rFonts w:asciiTheme="majorBidi" w:eastAsiaTheme="minorEastAsia" w:hAnsiTheme="majorBidi" w:cstheme="majorBidi"/>
        </w:rPr>
        <w:t>年</w:t>
      </w:r>
      <w:r>
        <w:rPr>
          <w:rFonts w:asciiTheme="majorBidi" w:eastAsiaTheme="minorEastAsia" w:hAnsiTheme="majorBidi" w:cstheme="majorBidi"/>
        </w:rPr>
        <w:t>7</w:t>
      </w:r>
      <w:r w:rsidRPr="00D237F6">
        <w:rPr>
          <w:rFonts w:asciiTheme="majorBidi" w:eastAsiaTheme="minorEastAsia" w:hAnsiTheme="majorBidi" w:cstheme="majorBidi"/>
        </w:rPr>
        <w:t>月</w:t>
      </w:r>
      <w:r>
        <w:rPr>
          <w:rFonts w:asciiTheme="majorBidi" w:eastAsiaTheme="minorEastAsia" w:hAnsiTheme="majorBidi" w:cstheme="majorBidi"/>
        </w:rPr>
        <w:t>16</w:t>
      </w:r>
      <w:r w:rsidRPr="00D237F6">
        <w:rPr>
          <w:rFonts w:asciiTheme="majorBidi" w:eastAsiaTheme="minorEastAsia" w:hAnsiTheme="majorBidi" w:cstheme="majorBidi"/>
        </w:rPr>
        <w:t>日，</w:t>
      </w:r>
      <w:r w:rsidRPr="00D237F6">
        <w:rPr>
          <w:rFonts w:asciiTheme="majorBidi" w:eastAsiaTheme="minorEastAsia" w:hAnsiTheme="majorBidi" w:cstheme="majorBidi"/>
        </w:rPr>
        <w:t>[</w:t>
      </w:r>
      <w:r>
        <w:rPr>
          <w:rFonts w:asciiTheme="majorBidi" w:eastAsiaTheme="minorEastAsia" w:hAnsiTheme="majorBidi" w:cstheme="majorBidi"/>
        </w:rPr>
        <w:t>1983</w:t>
      </w:r>
      <w:r w:rsidRPr="00D237F6">
        <w:rPr>
          <w:rFonts w:asciiTheme="majorBidi" w:eastAsiaTheme="minorEastAsia" w:hAnsiTheme="majorBidi" w:cstheme="majorBidi"/>
        </w:rPr>
        <w:t>]</w:t>
      </w:r>
      <w:r>
        <w:rPr>
          <w:rFonts w:asciiTheme="majorBidi" w:eastAsiaTheme="minorEastAsia" w:hAnsiTheme="majorBidi" w:cstheme="majorBidi" w:hint="eastAsia"/>
        </w:rPr>
        <w:t xml:space="preserve"> </w:t>
      </w:r>
      <w:r>
        <w:rPr>
          <w:rFonts w:asciiTheme="majorBidi" w:eastAsiaTheme="minorEastAsia" w:hAnsiTheme="majorBidi" w:cstheme="majorBidi"/>
        </w:rPr>
        <w:t>A</w:t>
      </w:r>
      <w:r w:rsidRPr="00D237F6">
        <w:rPr>
          <w:rFonts w:asciiTheme="majorBidi" w:eastAsiaTheme="minorEastAsia" w:hAnsiTheme="majorBidi" w:cstheme="majorBidi"/>
        </w:rPr>
        <w:t>.</w:t>
      </w:r>
      <w:r>
        <w:rPr>
          <w:rFonts w:asciiTheme="majorBidi" w:eastAsiaTheme="minorEastAsia" w:hAnsiTheme="majorBidi" w:cstheme="majorBidi"/>
        </w:rPr>
        <w:t>C</w:t>
      </w:r>
      <w:r w:rsidRPr="00D237F6">
        <w:rPr>
          <w:rFonts w:asciiTheme="majorBidi" w:eastAsiaTheme="minorEastAsia" w:hAnsiTheme="majorBidi" w:cstheme="majorBidi"/>
        </w:rPr>
        <w:t>.</w:t>
      </w:r>
      <w:r>
        <w:rPr>
          <w:rFonts w:asciiTheme="majorBidi" w:eastAsiaTheme="minorEastAsia" w:hAnsiTheme="majorBidi" w:cstheme="majorBidi" w:hint="eastAsia"/>
        </w:rPr>
        <w:t xml:space="preserve"> </w:t>
      </w:r>
      <w:r>
        <w:rPr>
          <w:rFonts w:asciiTheme="majorBidi" w:eastAsiaTheme="minorEastAsia" w:hAnsiTheme="majorBidi" w:cstheme="majorBidi"/>
        </w:rPr>
        <w:t>244</w:t>
      </w:r>
      <w:r w:rsidRPr="00D237F6">
        <w:rPr>
          <w:rFonts w:asciiTheme="majorBidi" w:eastAsiaTheme="minorEastAsia" w:hAnsiTheme="majorBidi" w:cstheme="majorBidi"/>
        </w:rPr>
        <w:t>,</w:t>
      </w:r>
      <w:r w:rsidRPr="00D237F6">
        <w:rPr>
          <w:rFonts w:asciiTheme="majorBidi" w:eastAsiaTheme="minorEastAsia" w:hAnsiTheme="majorBidi" w:cstheme="majorBidi"/>
        </w:rPr>
        <w:t>《国际法案例汇编》，第</w:t>
      </w:r>
      <w:r>
        <w:rPr>
          <w:rFonts w:asciiTheme="majorBidi" w:eastAsiaTheme="minorEastAsia" w:hAnsiTheme="majorBidi" w:cstheme="majorBidi"/>
        </w:rPr>
        <w:t>64</w:t>
      </w:r>
      <w:r w:rsidRPr="00D237F6">
        <w:rPr>
          <w:rFonts w:asciiTheme="majorBidi" w:eastAsiaTheme="minorEastAsia" w:hAnsiTheme="majorBidi" w:cstheme="majorBidi"/>
        </w:rPr>
        <w:t>卷，第</w:t>
      </w:r>
      <w:r>
        <w:rPr>
          <w:rFonts w:asciiTheme="majorBidi" w:eastAsiaTheme="minorEastAsia" w:hAnsiTheme="majorBidi" w:cstheme="majorBidi"/>
        </w:rPr>
        <w:t>307</w:t>
      </w:r>
      <w:r w:rsidRPr="00D237F6">
        <w:rPr>
          <w:rFonts w:asciiTheme="majorBidi" w:eastAsiaTheme="minorEastAsia" w:hAnsiTheme="majorBidi" w:cstheme="majorBidi"/>
        </w:rPr>
        <w:t>页。在</w:t>
      </w:r>
      <w:r>
        <w:rPr>
          <w:rFonts w:asciiTheme="majorBidi" w:eastAsiaTheme="minorEastAsia" w:hAnsiTheme="majorBidi" w:cstheme="majorBidi"/>
        </w:rPr>
        <w:t>2006</w:t>
      </w:r>
      <w:r w:rsidRPr="00D237F6">
        <w:rPr>
          <w:rFonts w:asciiTheme="majorBidi" w:eastAsiaTheme="minorEastAsia" w:hAnsiTheme="majorBidi" w:cstheme="majorBidi"/>
        </w:rPr>
        <w:t>年</w:t>
      </w:r>
      <w:r>
        <w:rPr>
          <w:rFonts w:asciiTheme="majorBidi" w:eastAsiaTheme="minorEastAsia" w:hAnsiTheme="majorBidi" w:cstheme="majorBidi"/>
        </w:rPr>
        <w:t>6</w:t>
      </w:r>
      <w:r w:rsidRPr="00D237F6">
        <w:rPr>
          <w:rFonts w:asciiTheme="majorBidi" w:eastAsiaTheme="minorEastAsia" w:hAnsiTheme="majorBidi" w:cstheme="majorBidi"/>
        </w:rPr>
        <w:t>月</w:t>
      </w:r>
      <w:r>
        <w:rPr>
          <w:rFonts w:asciiTheme="majorBidi" w:eastAsiaTheme="minorEastAsia" w:hAnsiTheme="majorBidi" w:cstheme="majorBidi"/>
        </w:rPr>
        <w:t>14</w:t>
      </w:r>
      <w:r w:rsidRPr="00D237F6">
        <w:rPr>
          <w:rFonts w:asciiTheme="majorBidi" w:eastAsiaTheme="minorEastAsia" w:hAnsiTheme="majorBidi" w:cstheme="majorBidi"/>
        </w:rPr>
        <w:t>日上议院</w:t>
      </w:r>
      <w:r>
        <w:rPr>
          <w:rFonts w:asciiTheme="majorBidi" w:eastAsiaTheme="minorEastAsia" w:hAnsiTheme="majorBidi" w:cstheme="majorBidi"/>
        </w:rPr>
        <w:t>Jones</w:t>
      </w:r>
      <w:r w:rsidRPr="00CB40BD">
        <w:rPr>
          <w:rFonts w:ascii="Time New Roman" w:eastAsia="楷体" w:hAnsi="Time New Roman" w:cstheme="majorBidi"/>
        </w:rPr>
        <w:t>诉沙特阿拉伯</w:t>
      </w:r>
      <w:r w:rsidRPr="00D237F6">
        <w:rPr>
          <w:rFonts w:asciiTheme="majorBidi" w:eastAsiaTheme="minorEastAsia" w:hAnsiTheme="majorBidi" w:cstheme="majorBidi"/>
          <w:iCs/>
        </w:rPr>
        <w:t>一案</w:t>
      </w:r>
      <w:r w:rsidRPr="00D237F6">
        <w:rPr>
          <w:rFonts w:asciiTheme="majorBidi" w:eastAsiaTheme="minorEastAsia" w:hAnsiTheme="majorBidi" w:cstheme="majorBidi"/>
        </w:rPr>
        <w:t>([</w:t>
      </w:r>
      <w:r>
        <w:rPr>
          <w:rFonts w:asciiTheme="majorBidi" w:eastAsiaTheme="minorEastAsia" w:hAnsiTheme="majorBidi" w:cstheme="majorBidi"/>
        </w:rPr>
        <w:t>2006</w:t>
      </w:r>
      <w:r w:rsidRPr="00D237F6">
        <w:rPr>
          <w:rFonts w:asciiTheme="majorBidi" w:eastAsiaTheme="minorEastAsia" w:hAnsiTheme="majorBidi" w:cstheme="majorBidi"/>
        </w:rPr>
        <w:t>]</w:t>
      </w:r>
      <w:r>
        <w:rPr>
          <w:rFonts w:asciiTheme="majorBidi" w:eastAsiaTheme="minorEastAsia" w:hAnsiTheme="majorBidi" w:cstheme="majorBidi" w:hint="eastAsia"/>
        </w:rPr>
        <w:t xml:space="preserve"> </w:t>
      </w:r>
      <w:r>
        <w:rPr>
          <w:rFonts w:asciiTheme="majorBidi" w:eastAsiaTheme="minorEastAsia" w:hAnsiTheme="majorBidi" w:cstheme="majorBidi"/>
        </w:rPr>
        <w:t>UKHL</w:t>
      </w:r>
      <w:r>
        <w:rPr>
          <w:rFonts w:asciiTheme="majorBidi" w:eastAsiaTheme="minorEastAsia" w:hAnsiTheme="majorBidi" w:cstheme="majorBidi" w:hint="eastAsia"/>
        </w:rPr>
        <w:t xml:space="preserve"> </w:t>
      </w:r>
      <w:r>
        <w:rPr>
          <w:rFonts w:asciiTheme="majorBidi" w:eastAsiaTheme="minorEastAsia" w:hAnsiTheme="majorBidi" w:cstheme="majorBidi"/>
        </w:rPr>
        <w:t>26</w:t>
      </w:r>
      <w:r w:rsidRPr="00D237F6">
        <w:rPr>
          <w:rFonts w:asciiTheme="majorBidi" w:eastAsiaTheme="minorEastAsia" w:hAnsiTheme="majorBidi" w:cstheme="majorBidi"/>
        </w:rPr>
        <w:t>)</w:t>
      </w:r>
      <w:r w:rsidRPr="00D237F6">
        <w:rPr>
          <w:rFonts w:asciiTheme="majorBidi" w:eastAsiaTheme="minorEastAsia" w:hAnsiTheme="majorBidi" w:cstheme="majorBidi"/>
          <w:iCs/>
        </w:rPr>
        <w:t>中</w:t>
      </w:r>
      <w:r w:rsidRPr="00D237F6">
        <w:rPr>
          <w:rFonts w:asciiTheme="majorBidi" w:eastAsiaTheme="minorEastAsia" w:hAnsiTheme="majorBidi" w:cstheme="majorBidi"/>
        </w:rPr>
        <w:t>，</w:t>
      </w:r>
      <w:r>
        <w:rPr>
          <w:rFonts w:asciiTheme="majorBidi" w:eastAsiaTheme="minorEastAsia" w:hAnsiTheme="majorBidi" w:cstheme="majorBidi"/>
        </w:rPr>
        <w:t>Hoffmann</w:t>
      </w:r>
      <w:r w:rsidRPr="00D237F6">
        <w:rPr>
          <w:rFonts w:asciiTheme="majorBidi" w:eastAsiaTheme="minorEastAsia" w:hAnsiTheme="majorBidi" w:cstheme="majorBidi"/>
        </w:rPr>
        <w:t>勋爵不接受关于违反强行法的行为不可能为官方行为的论点</w:t>
      </w:r>
      <w:r w:rsidRPr="00D237F6">
        <w:rPr>
          <w:rFonts w:asciiTheme="majorBidi" w:eastAsiaTheme="minorEastAsia" w:hAnsiTheme="majorBidi" w:cstheme="majorBidi"/>
        </w:rPr>
        <w:t>(</w:t>
      </w:r>
      <w:r w:rsidRPr="00D237F6">
        <w:rPr>
          <w:rFonts w:asciiTheme="majorBidi" w:eastAsiaTheme="minorEastAsia" w:hAnsiTheme="majorBidi" w:cstheme="majorBidi"/>
        </w:rPr>
        <w:t>见《国际法案例汇编》，第</w:t>
      </w:r>
      <w:r>
        <w:rPr>
          <w:rFonts w:asciiTheme="majorBidi" w:eastAsiaTheme="minorEastAsia" w:hAnsiTheme="majorBidi" w:cstheme="majorBidi"/>
        </w:rPr>
        <w:t>129</w:t>
      </w:r>
      <w:r w:rsidRPr="00D237F6">
        <w:rPr>
          <w:rFonts w:asciiTheme="majorBidi" w:eastAsiaTheme="minorEastAsia" w:hAnsiTheme="majorBidi" w:cstheme="majorBidi"/>
        </w:rPr>
        <w:t>卷，第</w:t>
      </w:r>
      <w:r>
        <w:rPr>
          <w:rFonts w:asciiTheme="majorBidi" w:eastAsiaTheme="minorEastAsia" w:hAnsiTheme="majorBidi" w:cstheme="majorBidi"/>
        </w:rPr>
        <w:t>744</w:t>
      </w:r>
      <w:r w:rsidRPr="00D237F6">
        <w:rPr>
          <w:rFonts w:asciiTheme="majorBidi" w:eastAsiaTheme="minorEastAsia" w:hAnsiTheme="majorBidi" w:cstheme="majorBidi"/>
        </w:rPr>
        <w:t>页</w:t>
      </w:r>
      <w:r w:rsidRPr="00D237F6">
        <w:rPr>
          <w:rFonts w:asciiTheme="majorBidi" w:eastAsiaTheme="minorEastAsia" w:hAnsiTheme="majorBidi" w:cstheme="majorBidi"/>
        </w:rPr>
        <w:t>)</w:t>
      </w:r>
      <w:r w:rsidRPr="00D237F6">
        <w:rPr>
          <w:rFonts w:asciiTheme="majorBidi" w:eastAsiaTheme="minorEastAsia" w:hAnsiTheme="majorBidi" w:cstheme="majorBidi"/>
        </w:rPr>
        <w:t>。</w:t>
      </w:r>
    </w:p>
  </w:footnote>
  <w:footnote w:id="1417">
    <w:p w:rsidR="00AB00DE" w:rsidRPr="00D237F6" w:rsidRDefault="00AB00DE" w:rsidP="00396D56">
      <w:pPr>
        <w:pStyle w:val="a4"/>
        <w:spacing w:after="80"/>
        <w:rPr>
          <w:rFonts w:asciiTheme="majorBidi" w:eastAsiaTheme="minorEastAsia" w:hAnsiTheme="majorBidi" w:cstheme="majorBidi"/>
        </w:rPr>
      </w:pPr>
      <w:r>
        <w:rPr>
          <w:rStyle w:val="a5"/>
          <w:rFonts w:asciiTheme="majorBidi" w:eastAsiaTheme="minorEastAsia" w:hAnsiTheme="majorBidi" w:cstheme="majorBidi"/>
        </w:rPr>
        <w:tab/>
      </w:r>
      <w:r w:rsidRPr="003D3D39">
        <w:rPr>
          <w:rStyle w:val="a5"/>
          <w:rFonts w:eastAsiaTheme="minorEastAsia" w:cstheme="majorBidi"/>
        </w:rPr>
        <w:footnoteRef/>
      </w:r>
      <w:r>
        <w:rPr>
          <w:rStyle w:val="a5"/>
          <w:rFonts w:asciiTheme="majorBidi" w:eastAsiaTheme="minorEastAsia" w:hAnsiTheme="majorBidi" w:cstheme="majorBidi"/>
        </w:rPr>
        <w:tab/>
      </w:r>
      <w:r w:rsidRPr="00D237F6">
        <w:rPr>
          <w:rFonts w:asciiTheme="majorBidi" w:eastAsiaTheme="minorEastAsia" w:hAnsiTheme="majorBidi" w:cstheme="majorBidi"/>
        </w:rPr>
        <w:t>《大会正式记录，第六十九届会议，补编第</w:t>
      </w:r>
      <w:r>
        <w:rPr>
          <w:rFonts w:asciiTheme="majorBidi" w:eastAsiaTheme="minorEastAsia" w:hAnsiTheme="majorBidi" w:cstheme="majorBidi"/>
        </w:rPr>
        <w:t>10</w:t>
      </w:r>
      <w:r w:rsidRPr="00D237F6">
        <w:rPr>
          <w:rFonts w:asciiTheme="majorBidi" w:eastAsiaTheme="minorEastAsia" w:hAnsiTheme="majorBidi" w:cstheme="majorBidi"/>
        </w:rPr>
        <w:t>号》</w:t>
      </w:r>
      <w:r w:rsidRPr="00D237F6">
        <w:rPr>
          <w:rFonts w:asciiTheme="majorBidi" w:eastAsiaTheme="minorEastAsia" w:hAnsiTheme="majorBidi" w:cstheme="majorBidi"/>
        </w:rPr>
        <w:t>(</w:t>
      </w:r>
      <w:r>
        <w:rPr>
          <w:rFonts w:asciiTheme="majorBidi" w:eastAsiaTheme="minorEastAsia" w:hAnsiTheme="majorBidi" w:cstheme="majorBidi"/>
        </w:rPr>
        <w:t>A</w:t>
      </w:r>
      <w:r w:rsidRPr="00D237F6">
        <w:rPr>
          <w:rFonts w:asciiTheme="majorBidi" w:eastAsiaTheme="minorEastAsia" w:hAnsiTheme="majorBidi" w:cstheme="majorBidi"/>
        </w:rPr>
        <w:t>/</w:t>
      </w:r>
      <w:r>
        <w:rPr>
          <w:rFonts w:asciiTheme="majorBidi" w:eastAsiaTheme="minorEastAsia" w:hAnsiTheme="majorBidi" w:cstheme="majorBidi"/>
        </w:rPr>
        <w:t>69</w:t>
      </w:r>
      <w:r w:rsidRPr="00D237F6">
        <w:rPr>
          <w:rFonts w:asciiTheme="majorBidi" w:eastAsiaTheme="minorEastAsia" w:hAnsiTheme="majorBidi" w:cstheme="majorBidi"/>
        </w:rPr>
        <w:t>/</w:t>
      </w:r>
      <w:r>
        <w:rPr>
          <w:rFonts w:asciiTheme="majorBidi" w:eastAsiaTheme="minorEastAsia" w:hAnsiTheme="majorBidi" w:cstheme="majorBidi"/>
        </w:rPr>
        <w:t>10</w:t>
      </w:r>
      <w:r w:rsidRPr="00D237F6">
        <w:rPr>
          <w:rFonts w:asciiTheme="majorBidi" w:eastAsiaTheme="minorEastAsia" w:hAnsiTheme="majorBidi" w:cstheme="majorBidi"/>
        </w:rPr>
        <w:t>)</w:t>
      </w:r>
      <w:r w:rsidRPr="00D237F6">
        <w:rPr>
          <w:rFonts w:asciiTheme="majorBidi" w:eastAsiaTheme="minorEastAsia" w:hAnsiTheme="majorBidi" w:cstheme="majorBidi"/>
        </w:rPr>
        <w:t>，第</w:t>
      </w:r>
      <w:r>
        <w:rPr>
          <w:rFonts w:asciiTheme="majorBidi" w:eastAsiaTheme="minorEastAsia" w:hAnsiTheme="majorBidi" w:cstheme="majorBidi"/>
        </w:rPr>
        <w:t>2</w:t>
      </w:r>
      <w:r>
        <w:rPr>
          <w:rFonts w:asciiTheme="majorBidi" w:eastAsiaTheme="minorEastAsia" w:hAnsiTheme="majorBidi" w:cstheme="majorBidi" w:hint="eastAsia"/>
        </w:rPr>
        <w:t>31</w:t>
      </w:r>
      <w:r w:rsidRPr="00D237F6">
        <w:rPr>
          <w:rFonts w:asciiTheme="majorBidi" w:eastAsiaTheme="minorEastAsia" w:hAnsiTheme="majorBidi" w:cstheme="majorBidi"/>
        </w:rPr>
        <w:t>页。</w:t>
      </w:r>
    </w:p>
  </w:footnote>
  <w:footnote w:id="1418">
    <w:p w:rsidR="00AB00DE" w:rsidRPr="00D237F6" w:rsidRDefault="00AB00DE" w:rsidP="00396D56">
      <w:pPr>
        <w:pStyle w:val="a4"/>
        <w:spacing w:after="80"/>
        <w:rPr>
          <w:rFonts w:asciiTheme="majorBidi" w:eastAsiaTheme="minorEastAsia" w:hAnsiTheme="majorBidi" w:cstheme="majorBidi"/>
        </w:rPr>
      </w:pPr>
      <w:r>
        <w:rPr>
          <w:rStyle w:val="a5"/>
          <w:rFonts w:asciiTheme="majorBidi" w:eastAsiaTheme="minorEastAsia" w:hAnsiTheme="majorBidi" w:cstheme="majorBidi"/>
        </w:rPr>
        <w:tab/>
      </w:r>
      <w:r w:rsidRPr="003D3D39">
        <w:rPr>
          <w:rStyle w:val="a5"/>
          <w:rFonts w:eastAsiaTheme="minorEastAsia" w:cstheme="majorBidi"/>
        </w:rPr>
        <w:footnoteRef/>
      </w:r>
      <w:r>
        <w:rPr>
          <w:rStyle w:val="a5"/>
          <w:rFonts w:asciiTheme="majorBidi" w:eastAsiaTheme="minorEastAsia" w:hAnsiTheme="majorBidi" w:cstheme="majorBidi"/>
        </w:rPr>
        <w:tab/>
      </w:r>
      <w:r w:rsidRPr="00D237F6">
        <w:rPr>
          <w:rFonts w:asciiTheme="majorBidi" w:eastAsiaTheme="minorEastAsia" w:hAnsiTheme="majorBidi" w:cstheme="majorBidi"/>
        </w:rPr>
        <w:t>见第</w:t>
      </w:r>
      <w:r>
        <w:rPr>
          <w:rFonts w:asciiTheme="majorBidi" w:eastAsiaTheme="minorEastAsia" w:hAnsiTheme="majorBidi" w:cstheme="majorBidi"/>
        </w:rPr>
        <w:t>2</w:t>
      </w:r>
      <w:r w:rsidRPr="00D237F6">
        <w:rPr>
          <w:rFonts w:asciiTheme="majorBidi" w:eastAsiaTheme="minorEastAsia" w:hAnsiTheme="majorBidi" w:cstheme="majorBidi"/>
        </w:rPr>
        <w:t>条草案</w:t>
      </w:r>
      <w:r w:rsidRPr="00D237F6">
        <w:rPr>
          <w:rFonts w:asciiTheme="majorBidi" w:eastAsiaTheme="minorEastAsia" w:hAnsiTheme="majorBidi" w:cstheme="majorBidi"/>
        </w:rPr>
        <w:t>(</w:t>
      </w:r>
      <w:r>
        <w:rPr>
          <w:rFonts w:asciiTheme="majorBidi" w:eastAsiaTheme="minorEastAsia" w:hAnsiTheme="majorBidi" w:cstheme="majorBidi"/>
        </w:rPr>
        <w:t>e</w:t>
      </w:r>
      <w:r w:rsidRPr="00D237F6">
        <w:rPr>
          <w:rFonts w:asciiTheme="majorBidi" w:eastAsiaTheme="minorEastAsia" w:hAnsiTheme="majorBidi" w:cstheme="majorBidi"/>
        </w:rPr>
        <w:t>)</w:t>
      </w:r>
      <w:r>
        <w:rPr>
          <w:rFonts w:asciiTheme="majorBidi" w:eastAsiaTheme="minorEastAsia" w:hAnsiTheme="majorBidi" w:cstheme="majorBidi" w:hint="eastAsia"/>
        </w:rPr>
        <w:t>项</w:t>
      </w:r>
      <w:r w:rsidRPr="00D237F6">
        <w:rPr>
          <w:rFonts w:asciiTheme="majorBidi" w:eastAsiaTheme="minorEastAsia" w:hAnsiTheme="majorBidi" w:cstheme="majorBidi"/>
        </w:rPr>
        <w:t>的评注第</w:t>
      </w:r>
      <w:r>
        <w:rPr>
          <w:rFonts w:asciiTheme="majorBidi" w:eastAsiaTheme="minorEastAsia" w:hAnsiTheme="majorBidi" w:cstheme="majorBidi" w:hint="eastAsia"/>
        </w:rPr>
        <w:t>(</w:t>
      </w:r>
      <w:r>
        <w:rPr>
          <w:rFonts w:asciiTheme="majorBidi" w:eastAsiaTheme="minorEastAsia" w:hAnsiTheme="majorBidi" w:cstheme="majorBidi"/>
        </w:rPr>
        <w:t>11</w:t>
      </w:r>
      <w:r>
        <w:rPr>
          <w:rFonts w:asciiTheme="majorBidi" w:eastAsiaTheme="minorEastAsia" w:hAnsiTheme="majorBidi" w:cstheme="majorBidi" w:hint="eastAsia"/>
        </w:rPr>
        <w:t>)</w:t>
      </w:r>
      <w:r w:rsidRPr="00D237F6">
        <w:rPr>
          <w:rFonts w:asciiTheme="majorBidi" w:eastAsiaTheme="minorEastAsia" w:hAnsiTheme="majorBidi" w:cstheme="majorBidi"/>
        </w:rPr>
        <w:t>段，同上，第</w:t>
      </w:r>
      <w:r>
        <w:rPr>
          <w:rFonts w:asciiTheme="majorBidi" w:eastAsiaTheme="minorEastAsia" w:hAnsiTheme="majorBidi" w:cstheme="majorBidi"/>
        </w:rPr>
        <w:t>2</w:t>
      </w:r>
      <w:r>
        <w:rPr>
          <w:rFonts w:asciiTheme="majorBidi" w:eastAsiaTheme="minorEastAsia" w:hAnsiTheme="majorBidi" w:cstheme="majorBidi" w:hint="eastAsia"/>
        </w:rPr>
        <w:t>35</w:t>
      </w:r>
      <w:r w:rsidRPr="00D237F6">
        <w:rPr>
          <w:rFonts w:asciiTheme="majorBidi" w:eastAsiaTheme="minorEastAsia" w:hAnsiTheme="majorBidi" w:cstheme="majorBidi"/>
        </w:rPr>
        <w:t>页。在此背景下，委员会认为，</w:t>
      </w:r>
      <w:r>
        <w:rPr>
          <w:rFonts w:asciiTheme="majorBidi" w:eastAsiaTheme="minorEastAsia" w:hAnsiTheme="majorBidi" w:cstheme="majorBidi" w:hint="eastAsia"/>
        </w:rPr>
        <w:t>“</w:t>
      </w:r>
      <w:r w:rsidRPr="00D237F6">
        <w:rPr>
          <w:rFonts w:asciiTheme="majorBidi" w:eastAsiaTheme="minorEastAsia" w:hAnsiTheme="majorBidi" w:cstheme="majorBidi"/>
        </w:rPr>
        <w:t>国家职能</w:t>
      </w:r>
      <w:r>
        <w:rPr>
          <w:rFonts w:asciiTheme="majorBidi" w:eastAsiaTheme="minorEastAsia" w:hAnsiTheme="majorBidi" w:cstheme="majorBidi" w:hint="eastAsia"/>
        </w:rPr>
        <w:t>”</w:t>
      </w:r>
      <w:r w:rsidRPr="00D237F6">
        <w:rPr>
          <w:rFonts w:asciiTheme="majorBidi" w:eastAsiaTheme="minorEastAsia" w:hAnsiTheme="majorBidi" w:cstheme="majorBidi"/>
        </w:rPr>
        <w:t>包括</w:t>
      </w:r>
      <w:r>
        <w:rPr>
          <w:rFonts w:asciiTheme="majorBidi" w:eastAsiaTheme="minorEastAsia" w:hAnsiTheme="majorBidi" w:cstheme="majorBidi" w:hint="eastAsia"/>
        </w:rPr>
        <w:t>“</w:t>
      </w:r>
      <w:r w:rsidRPr="00D237F6">
        <w:rPr>
          <w:rFonts w:asciiTheme="majorBidi" w:eastAsiaTheme="minorEastAsia" w:hAnsiTheme="majorBidi" w:cstheme="majorBidi"/>
        </w:rPr>
        <w:t>由国家履行的立法、司法、执法或其他职能</w:t>
      </w:r>
      <w:r>
        <w:rPr>
          <w:rFonts w:asciiTheme="majorBidi" w:eastAsiaTheme="minorEastAsia" w:hAnsiTheme="majorBidi" w:cstheme="majorBidi" w:hint="eastAsia"/>
        </w:rPr>
        <w:t>”</w:t>
      </w:r>
      <w:r w:rsidRPr="00D237F6">
        <w:rPr>
          <w:rFonts w:asciiTheme="majorBidi" w:eastAsiaTheme="minorEastAsia" w:hAnsiTheme="majorBidi" w:cstheme="majorBidi"/>
        </w:rPr>
        <w:t>(</w:t>
      </w:r>
      <w:r w:rsidRPr="00D237F6">
        <w:rPr>
          <w:rFonts w:asciiTheme="majorBidi" w:eastAsiaTheme="minorEastAsia" w:hAnsiTheme="majorBidi" w:cstheme="majorBidi"/>
        </w:rPr>
        <w:t>同上</w:t>
      </w:r>
      <w:r w:rsidRPr="00D237F6">
        <w:rPr>
          <w:rFonts w:asciiTheme="majorBidi" w:eastAsiaTheme="minorEastAsia" w:hAnsiTheme="majorBidi" w:cstheme="majorBidi"/>
        </w:rPr>
        <w:t>)</w:t>
      </w:r>
      <w:r w:rsidRPr="00D237F6">
        <w:rPr>
          <w:rFonts w:asciiTheme="majorBidi" w:eastAsiaTheme="minorEastAsia" w:hAnsiTheme="majorBidi" w:cstheme="majorBidi"/>
        </w:rPr>
        <w:t>。</w:t>
      </w:r>
    </w:p>
  </w:footnote>
  <w:footnote w:id="1419">
    <w:p w:rsidR="00AB00DE" w:rsidRPr="00D237F6" w:rsidRDefault="00AB00DE" w:rsidP="00396D56">
      <w:pPr>
        <w:pStyle w:val="a4"/>
        <w:spacing w:after="80"/>
        <w:rPr>
          <w:rFonts w:asciiTheme="majorBidi" w:eastAsiaTheme="minorEastAsia" w:hAnsiTheme="majorBidi" w:cstheme="majorBidi"/>
        </w:rPr>
      </w:pPr>
      <w:r>
        <w:rPr>
          <w:rStyle w:val="a5"/>
          <w:rFonts w:asciiTheme="majorBidi" w:eastAsiaTheme="minorEastAsia" w:hAnsiTheme="majorBidi" w:cstheme="majorBidi"/>
        </w:rPr>
        <w:tab/>
      </w:r>
      <w:r w:rsidRPr="003D3D39">
        <w:rPr>
          <w:rStyle w:val="a5"/>
          <w:rFonts w:eastAsiaTheme="minorEastAsia" w:cstheme="majorBidi"/>
        </w:rPr>
        <w:footnoteRef/>
      </w:r>
      <w:r>
        <w:rPr>
          <w:rStyle w:val="a5"/>
          <w:rFonts w:asciiTheme="majorBidi" w:eastAsiaTheme="minorEastAsia" w:hAnsiTheme="majorBidi" w:cstheme="majorBidi"/>
        </w:rPr>
        <w:tab/>
      </w:r>
      <w:r w:rsidRPr="00D237F6">
        <w:rPr>
          <w:rFonts w:ascii="Time New Roman" w:eastAsia="楷体" w:hAnsi="Time New Roman" w:cstheme="majorBidi"/>
        </w:rPr>
        <w:t>伊朗帝国案</w:t>
      </w:r>
      <w:bookmarkStart w:id="344" w:name="hit4"/>
      <w:bookmarkEnd w:id="344"/>
      <w:r w:rsidRPr="00D237F6">
        <w:rPr>
          <w:rFonts w:asciiTheme="majorBidi" w:eastAsiaTheme="minorEastAsia" w:hAnsiTheme="majorBidi" w:cstheme="majorBidi"/>
          <w:iCs/>
        </w:rPr>
        <w:t>，</w:t>
      </w:r>
      <w:r w:rsidRPr="00D237F6">
        <w:rPr>
          <w:rFonts w:asciiTheme="majorBidi" w:eastAsiaTheme="minorEastAsia" w:hAnsiTheme="majorBidi" w:cstheme="majorBidi"/>
        </w:rPr>
        <w:t>德国联邦宪法法院，</w:t>
      </w:r>
      <w:r>
        <w:rPr>
          <w:rFonts w:asciiTheme="majorBidi" w:eastAsiaTheme="minorEastAsia" w:hAnsiTheme="majorBidi" w:cstheme="majorBidi"/>
        </w:rPr>
        <w:t>1963</w:t>
      </w:r>
      <w:r w:rsidRPr="00D237F6">
        <w:rPr>
          <w:rFonts w:asciiTheme="majorBidi" w:eastAsiaTheme="minorEastAsia" w:hAnsiTheme="majorBidi" w:cstheme="majorBidi"/>
        </w:rPr>
        <w:t>年，《国际法案例汇编》，第</w:t>
      </w:r>
      <w:r>
        <w:rPr>
          <w:rFonts w:asciiTheme="majorBidi" w:eastAsiaTheme="minorEastAsia" w:hAnsiTheme="majorBidi" w:cstheme="majorBidi"/>
        </w:rPr>
        <w:t>45</w:t>
      </w:r>
      <w:r w:rsidRPr="00D237F6">
        <w:rPr>
          <w:rFonts w:asciiTheme="majorBidi" w:eastAsiaTheme="minorEastAsia" w:hAnsiTheme="majorBidi" w:cstheme="majorBidi"/>
        </w:rPr>
        <w:t>卷，第</w:t>
      </w:r>
      <w:r>
        <w:rPr>
          <w:rFonts w:asciiTheme="majorBidi" w:eastAsiaTheme="minorEastAsia" w:hAnsiTheme="majorBidi" w:cstheme="majorBidi"/>
        </w:rPr>
        <w:t>57</w:t>
      </w:r>
      <w:r w:rsidRPr="00D237F6">
        <w:rPr>
          <w:rFonts w:asciiTheme="majorBidi" w:eastAsiaTheme="minorEastAsia" w:hAnsiTheme="majorBidi" w:cstheme="majorBidi"/>
        </w:rPr>
        <w:t>页；</w:t>
      </w:r>
      <w:r>
        <w:rPr>
          <w:rFonts w:asciiTheme="majorBidi" w:eastAsia="楷体" w:hAnsiTheme="majorBidi" w:cstheme="majorBidi"/>
        </w:rPr>
        <w:t>Victory</w:t>
      </w:r>
      <w:r w:rsidRPr="003A2527">
        <w:rPr>
          <w:rFonts w:asciiTheme="majorBidi" w:eastAsia="楷体" w:hAnsiTheme="majorBidi" w:cstheme="majorBidi"/>
        </w:rPr>
        <w:t>诉</w:t>
      </w:r>
      <w:r>
        <w:rPr>
          <w:rFonts w:asciiTheme="majorBidi" w:eastAsia="楷体" w:hAnsiTheme="majorBidi" w:cstheme="majorBidi"/>
        </w:rPr>
        <w:t>Comisar</w:t>
      </w:r>
      <w:r w:rsidRPr="003A2527">
        <w:rPr>
          <w:rFonts w:asciiTheme="majorBidi" w:eastAsia="楷体" w:hAnsiTheme="majorBidi" w:cstheme="majorBidi"/>
        </w:rPr>
        <w:t>í</w:t>
      </w:r>
      <w:r>
        <w:rPr>
          <w:rFonts w:asciiTheme="majorBidi" w:eastAsia="楷体" w:hAnsiTheme="majorBidi" w:cstheme="majorBidi"/>
        </w:rPr>
        <w:t>a</w:t>
      </w:r>
      <w:r w:rsidRPr="00D237F6">
        <w:rPr>
          <w:rFonts w:asciiTheme="majorBidi" w:eastAsiaTheme="minorEastAsia" w:hAnsiTheme="majorBidi" w:cstheme="majorBidi"/>
        </w:rPr>
        <w:t>,</w:t>
      </w:r>
      <w:r>
        <w:rPr>
          <w:rFonts w:asciiTheme="majorBidi" w:eastAsiaTheme="minorEastAsia" w:hAnsiTheme="majorBidi" w:cstheme="majorBidi" w:hint="eastAsia"/>
        </w:rPr>
        <w:t xml:space="preserve"> </w:t>
      </w:r>
      <w:r>
        <w:rPr>
          <w:rFonts w:asciiTheme="majorBidi" w:eastAsiaTheme="minorEastAsia" w:hAnsiTheme="majorBidi" w:cstheme="majorBidi"/>
        </w:rPr>
        <w:t>US</w:t>
      </w:r>
      <w:r>
        <w:rPr>
          <w:rFonts w:asciiTheme="majorBidi" w:eastAsiaTheme="minorEastAsia" w:hAnsiTheme="majorBidi" w:cstheme="majorBidi" w:hint="eastAsia"/>
        </w:rPr>
        <w:t xml:space="preserve"> </w:t>
      </w:r>
      <w:r>
        <w:rPr>
          <w:rFonts w:asciiTheme="majorBidi" w:eastAsiaTheme="minorEastAsia" w:hAnsiTheme="majorBidi" w:cstheme="majorBidi"/>
        </w:rPr>
        <w:t>336</w:t>
      </w:r>
      <w:r>
        <w:rPr>
          <w:rFonts w:asciiTheme="majorBidi" w:eastAsiaTheme="minorEastAsia" w:hAnsiTheme="majorBidi" w:cstheme="majorBidi" w:hint="eastAsia"/>
        </w:rPr>
        <w:t xml:space="preserve"> </w:t>
      </w:r>
      <w:r>
        <w:rPr>
          <w:rFonts w:asciiTheme="majorBidi" w:eastAsiaTheme="minorEastAsia" w:hAnsiTheme="majorBidi" w:cstheme="majorBidi"/>
        </w:rPr>
        <w:t>F</w:t>
      </w:r>
      <w:r w:rsidRPr="00D237F6">
        <w:rPr>
          <w:rFonts w:asciiTheme="majorBidi" w:eastAsiaTheme="minorEastAsia" w:hAnsiTheme="majorBidi" w:cstheme="majorBidi"/>
        </w:rPr>
        <w:t>.</w:t>
      </w:r>
      <w:r>
        <w:rPr>
          <w:rFonts w:asciiTheme="majorBidi" w:eastAsiaTheme="minorEastAsia" w:hAnsiTheme="majorBidi" w:cstheme="majorBidi" w:hint="eastAsia"/>
        </w:rPr>
        <w:t xml:space="preserve"> </w:t>
      </w:r>
      <w:r>
        <w:rPr>
          <w:rFonts w:asciiTheme="majorBidi" w:eastAsiaTheme="minorEastAsia" w:hAnsiTheme="majorBidi" w:cstheme="majorBidi"/>
        </w:rPr>
        <w:t>2d</w:t>
      </w:r>
      <w:r>
        <w:rPr>
          <w:rFonts w:asciiTheme="majorBidi" w:eastAsiaTheme="minorEastAsia" w:hAnsiTheme="majorBidi" w:cstheme="majorBidi" w:hint="eastAsia"/>
        </w:rPr>
        <w:t xml:space="preserve"> </w:t>
      </w:r>
      <w:r>
        <w:rPr>
          <w:rFonts w:asciiTheme="majorBidi" w:eastAsiaTheme="minorEastAsia" w:hAnsiTheme="majorBidi" w:cstheme="majorBidi"/>
        </w:rPr>
        <w:t>354</w:t>
      </w:r>
      <w:r w:rsidRPr="00D237F6">
        <w:rPr>
          <w:rFonts w:asciiTheme="majorBidi" w:eastAsiaTheme="minorEastAsia" w:hAnsiTheme="majorBidi" w:cstheme="majorBidi"/>
        </w:rPr>
        <w:t>(</w:t>
      </w:r>
      <w:r w:rsidRPr="00D237F6">
        <w:rPr>
          <w:rFonts w:asciiTheme="majorBidi" w:eastAsiaTheme="minorEastAsia" w:hAnsiTheme="majorBidi" w:cstheme="majorBidi"/>
        </w:rPr>
        <w:t>第二巡回法庭，</w:t>
      </w:r>
      <w:r>
        <w:rPr>
          <w:rFonts w:asciiTheme="majorBidi" w:eastAsiaTheme="minorEastAsia" w:hAnsiTheme="majorBidi" w:cstheme="majorBidi"/>
        </w:rPr>
        <w:t>1964</w:t>
      </w:r>
      <w:r w:rsidRPr="00D237F6">
        <w:rPr>
          <w:rFonts w:asciiTheme="majorBidi" w:eastAsiaTheme="minorEastAsia" w:hAnsiTheme="majorBidi" w:cstheme="majorBidi"/>
        </w:rPr>
        <w:t>)</w:t>
      </w:r>
      <w:r w:rsidRPr="00D237F6">
        <w:rPr>
          <w:rFonts w:asciiTheme="majorBidi" w:eastAsiaTheme="minorEastAsia" w:hAnsiTheme="majorBidi" w:cstheme="majorBidi"/>
        </w:rPr>
        <w:t>，《国际法案例汇编》，第</w:t>
      </w:r>
      <w:r>
        <w:rPr>
          <w:rFonts w:asciiTheme="majorBidi" w:eastAsiaTheme="minorEastAsia" w:hAnsiTheme="majorBidi" w:cstheme="majorBidi"/>
        </w:rPr>
        <w:t>35</w:t>
      </w:r>
      <w:r w:rsidRPr="00D237F6">
        <w:rPr>
          <w:rFonts w:asciiTheme="majorBidi" w:eastAsiaTheme="minorEastAsia" w:hAnsiTheme="majorBidi" w:cstheme="majorBidi"/>
        </w:rPr>
        <w:t>卷，第</w:t>
      </w:r>
      <w:r>
        <w:rPr>
          <w:rFonts w:asciiTheme="majorBidi" w:eastAsiaTheme="minorEastAsia" w:hAnsiTheme="majorBidi" w:cstheme="majorBidi"/>
        </w:rPr>
        <w:t>110</w:t>
      </w:r>
      <w:r w:rsidRPr="00D237F6">
        <w:rPr>
          <w:rFonts w:asciiTheme="majorBidi" w:eastAsiaTheme="minorEastAsia" w:hAnsiTheme="majorBidi" w:cstheme="majorBidi"/>
        </w:rPr>
        <w:t>页；</w:t>
      </w:r>
      <w:bookmarkStart w:id="345" w:name="hit2"/>
      <w:bookmarkEnd w:id="345"/>
      <w:r>
        <w:rPr>
          <w:rFonts w:ascii="Time New Roman" w:eastAsia="楷体" w:hAnsi="Time New Roman" w:cstheme="majorBidi"/>
        </w:rPr>
        <w:t>Saltany</w:t>
      </w:r>
      <w:r w:rsidRPr="003A2527">
        <w:rPr>
          <w:rFonts w:ascii="Time New Roman" w:eastAsia="楷体" w:hAnsi="Time New Roman" w:cstheme="majorBidi"/>
        </w:rPr>
        <w:t>等诉</w:t>
      </w:r>
      <w:r>
        <w:rPr>
          <w:rFonts w:ascii="Time New Roman" w:eastAsia="楷体" w:hAnsi="Time New Roman" w:cstheme="majorBidi"/>
        </w:rPr>
        <w:t>Reagan</w:t>
      </w:r>
      <w:r w:rsidRPr="003A2527">
        <w:rPr>
          <w:rFonts w:ascii="Time New Roman" w:eastAsia="楷体" w:hAnsi="Time New Roman" w:cstheme="majorBidi"/>
        </w:rPr>
        <w:t>等</w:t>
      </w:r>
      <w:r w:rsidRPr="00D237F6">
        <w:rPr>
          <w:rFonts w:asciiTheme="majorBidi" w:eastAsiaTheme="minorEastAsia" w:hAnsiTheme="majorBidi" w:cstheme="majorBidi"/>
          <w:i/>
          <w:iCs/>
        </w:rPr>
        <w:t>，</w:t>
      </w:r>
      <w:r w:rsidRPr="00D237F6">
        <w:rPr>
          <w:rFonts w:asciiTheme="majorBidi" w:eastAsiaTheme="minorEastAsia" w:hAnsiTheme="majorBidi" w:cstheme="majorBidi"/>
        </w:rPr>
        <w:t>哥伦比亚特区地方法院</w:t>
      </w:r>
      <w:r w:rsidRPr="00D237F6">
        <w:rPr>
          <w:rFonts w:asciiTheme="majorBidi" w:eastAsiaTheme="minorEastAsia" w:hAnsiTheme="majorBidi" w:cstheme="majorBidi"/>
        </w:rPr>
        <w:t>(</w:t>
      </w:r>
      <w:r w:rsidRPr="00D237F6">
        <w:rPr>
          <w:rFonts w:asciiTheme="majorBidi" w:eastAsiaTheme="minorEastAsia" w:hAnsiTheme="majorBidi" w:cstheme="majorBidi"/>
        </w:rPr>
        <w:t>美国</w:t>
      </w:r>
      <w:r w:rsidRPr="00D237F6">
        <w:rPr>
          <w:rFonts w:asciiTheme="majorBidi" w:eastAsiaTheme="minorEastAsia" w:hAnsiTheme="majorBidi" w:cstheme="majorBidi"/>
        </w:rPr>
        <w:t>)</w:t>
      </w:r>
      <w:r w:rsidRPr="00D237F6">
        <w:rPr>
          <w:rFonts w:asciiTheme="majorBidi" w:eastAsiaTheme="minorEastAsia" w:hAnsiTheme="majorBidi" w:cstheme="majorBidi"/>
        </w:rPr>
        <w:t>，</w:t>
      </w:r>
      <w:r>
        <w:rPr>
          <w:rFonts w:asciiTheme="majorBidi" w:eastAsiaTheme="minorEastAsia" w:hAnsiTheme="majorBidi" w:cstheme="majorBidi"/>
        </w:rPr>
        <w:t>1988</w:t>
      </w:r>
      <w:r w:rsidRPr="00D237F6">
        <w:rPr>
          <w:rFonts w:asciiTheme="majorBidi" w:eastAsiaTheme="minorEastAsia" w:hAnsiTheme="majorBidi" w:cstheme="majorBidi"/>
        </w:rPr>
        <w:t>年</w:t>
      </w:r>
      <w:r>
        <w:rPr>
          <w:rFonts w:asciiTheme="majorBidi" w:eastAsiaTheme="minorEastAsia" w:hAnsiTheme="majorBidi" w:cstheme="majorBidi"/>
        </w:rPr>
        <w:t>12</w:t>
      </w:r>
      <w:r w:rsidRPr="00D237F6">
        <w:rPr>
          <w:rFonts w:asciiTheme="majorBidi" w:eastAsiaTheme="minorEastAsia" w:hAnsiTheme="majorBidi" w:cstheme="majorBidi"/>
        </w:rPr>
        <w:t>月</w:t>
      </w:r>
      <w:r>
        <w:rPr>
          <w:rFonts w:asciiTheme="majorBidi" w:eastAsiaTheme="minorEastAsia" w:hAnsiTheme="majorBidi" w:cstheme="majorBidi"/>
        </w:rPr>
        <w:t>23</w:t>
      </w:r>
      <w:r w:rsidRPr="00D237F6">
        <w:rPr>
          <w:rFonts w:asciiTheme="majorBidi" w:eastAsiaTheme="minorEastAsia" w:hAnsiTheme="majorBidi" w:cstheme="majorBidi"/>
        </w:rPr>
        <w:t>日的判决，《国际法案例汇编》，第</w:t>
      </w:r>
      <w:r>
        <w:rPr>
          <w:rFonts w:asciiTheme="majorBidi" w:eastAsiaTheme="minorEastAsia" w:hAnsiTheme="majorBidi" w:cstheme="majorBidi"/>
        </w:rPr>
        <w:t>80</w:t>
      </w:r>
      <w:r w:rsidRPr="00D237F6">
        <w:rPr>
          <w:rFonts w:asciiTheme="majorBidi" w:eastAsiaTheme="minorEastAsia" w:hAnsiTheme="majorBidi" w:cstheme="majorBidi"/>
        </w:rPr>
        <w:t>卷，第</w:t>
      </w:r>
      <w:r>
        <w:rPr>
          <w:rFonts w:asciiTheme="majorBidi" w:eastAsiaTheme="minorEastAsia" w:hAnsiTheme="majorBidi" w:cstheme="majorBidi"/>
        </w:rPr>
        <w:t>19</w:t>
      </w:r>
      <w:r w:rsidRPr="00D237F6">
        <w:rPr>
          <w:rFonts w:asciiTheme="majorBidi" w:eastAsiaTheme="minorEastAsia" w:hAnsiTheme="majorBidi" w:cstheme="majorBidi"/>
        </w:rPr>
        <w:t>页；</w:t>
      </w:r>
      <w:bookmarkStart w:id="346" w:name="hit1"/>
      <w:bookmarkEnd w:id="346"/>
      <w:r w:rsidRPr="00D237F6">
        <w:rPr>
          <w:rFonts w:ascii="Time New Roman" w:eastAsia="楷体" w:hAnsi="Time New Roman" w:cstheme="majorBidi"/>
        </w:rPr>
        <w:t>荷兰诉</w:t>
      </w:r>
      <w:bookmarkStart w:id="347" w:name="hit3"/>
      <w:bookmarkEnd w:id="347"/>
      <w:r>
        <w:rPr>
          <w:rFonts w:ascii="Time New Roman" w:eastAsia="楷体" w:hAnsi="Time New Roman" w:cstheme="majorBidi"/>
        </w:rPr>
        <w:t>Lampen</w:t>
      </w:r>
      <w:r w:rsidRPr="00D237F6">
        <w:rPr>
          <w:rFonts w:ascii="Time New Roman" w:eastAsia="楷体" w:hAnsi="Time New Roman" w:cstheme="majorBidi"/>
        </w:rPr>
        <w:t>-</w:t>
      </w:r>
      <w:r>
        <w:rPr>
          <w:rFonts w:ascii="Time New Roman" w:eastAsia="楷体" w:hAnsi="Time New Roman" w:cstheme="majorBidi"/>
        </w:rPr>
        <w:t>Wolf</w:t>
      </w:r>
      <w:r>
        <w:rPr>
          <w:rFonts w:ascii="Time New Roman" w:eastAsia="楷体" w:hAnsi="Time New Roman" w:cstheme="majorBidi" w:hint="eastAsia"/>
        </w:rPr>
        <w:t xml:space="preserve"> </w:t>
      </w:r>
      <w:r w:rsidRPr="00D237F6">
        <w:rPr>
          <w:rFonts w:asciiTheme="majorBidi" w:eastAsiaTheme="minorEastAsia" w:hAnsiTheme="majorBidi" w:cstheme="majorBidi"/>
        </w:rPr>
        <w:t>(</w:t>
      </w:r>
      <w:r w:rsidRPr="00D237F6">
        <w:rPr>
          <w:rFonts w:asciiTheme="majorBidi" w:eastAsiaTheme="minorEastAsia" w:hAnsiTheme="majorBidi" w:cstheme="majorBidi"/>
        </w:rPr>
        <w:t>联合王国</w:t>
      </w:r>
      <w:r w:rsidRPr="00D237F6">
        <w:rPr>
          <w:rFonts w:asciiTheme="majorBidi" w:eastAsiaTheme="minorEastAsia" w:hAnsiTheme="majorBidi" w:cstheme="majorBidi"/>
        </w:rPr>
        <w:t>)</w:t>
      </w:r>
      <w:r w:rsidRPr="00D237F6">
        <w:rPr>
          <w:rFonts w:asciiTheme="majorBidi" w:eastAsiaTheme="minorEastAsia" w:hAnsiTheme="majorBidi" w:cstheme="majorBidi"/>
        </w:rPr>
        <w:t>，</w:t>
      </w:r>
      <w:r w:rsidRPr="00D237F6">
        <w:rPr>
          <w:rFonts w:asciiTheme="majorBidi" w:eastAsiaTheme="minorEastAsia" w:hAnsiTheme="majorBidi" w:cstheme="majorBidi"/>
        </w:rPr>
        <w:t>[</w:t>
      </w:r>
      <w:r>
        <w:rPr>
          <w:rFonts w:asciiTheme="majorBidi" w:eastAsiaTheme="minorEastAsia" w:hAnsiTheme="majorBidi" w:cstheme="majorBidi"/>
        </w:rPr>
        <w:t>2000</w:t>
      </w:r>
      <w:r w:rsidRPr="00D237F6">
        <w:rPr>
          <w:rFonts w:asciiTheme="majorBidi" w:eastAsiaTheme="minorEastAsia" w:hAnsiTheme="majorBidi" w:cstheme="majorBidi"/>
        </w:rPr>
        <w:t>]</w:t>
      </w:r>
      <w:r>
        <w:rPr>
          <w:rFonts w:asciiTheme="majorBidi" w:eastAsiaTheme="minorEastAsia" w:hAnsiTheme="majorBidi" w:cstheme="majorBidi" w:hint="eastAsia"/>
        </w:rPr>
        <w:t xml:space="preserve"> </w:t>
      </w:r>
      <w:r>
        <w:rPr>
          <w:rFonts w:asciiTheme="majorBidi" w:eastAsiaTheme="minorEastAsia" w:hAnsiTheme="majorBidi" w:cstheme="majorBidi"/>
        </w:rPr>
        <w:t>1</w:t>
      </w:r>
      <w:r>
        <w:rPr>
          <w:rFonts w:asciiTheme="majorBidi" w:eastAsiaTheme="minorEastAsia" w:hAnsiTheme="majorBidi" w:cstheme="majorBidi" w:hint="eastAsia"/>
        </w:rPr>
        <w:t xml:space="preserve"> </w:t>
      </w:r>
      <w:r>
        <w:rPr>
          <w:rFonts w:asciiTheme="majorBidi" w:eastAsiaTheme="minorEastAsia" w:hAnsiTheme="majorBidi" w:cstheme="majorBidi"/>
        </w:rPr>
        <w:t>WLR</w:t>
      </w:r>
      <w:r>
        <w:rPr>
          <w:rFonts w:asciiTheme="majorBidi" w:eastAsiaTheme="minorEastAsia" w:hAnsiTheme="majorBidi" w:cstheme="majorBidi" w:hint="eastAsia"/>
        </w:rPr>
        <w:t xml:space="preserve"> </w:t>
      </w:r>
      <w:r>
        <w:rPr>
          <w:rFonts w:asciiTheme="majorBidi" w:eastAsiaTheme="minorEastAsia" w:hAnsiTheme="majorBidi" w:cstheme="majorBidi"/>
        </w:rPr>
        <w:t>1573</w:t>
      </w:r>
      <w:r w:rsidRPr="00D237F6">
        <w:rPr>
          <w:rFonts w:asciiTheme="majorBidi" w:eastAsiaTheme="minorEastAsia" w:hAnsiTheme="majorBidi" w:cstheme="majorBidi"/>
        </w:rPr>
        <w:t>；</w:t>
      </w:r>
      <w:r>
        <w:rPr>
          <w:rFonts w:ascii="Time New Roman" w:eastAsia="楷体" w:hAnsi="Time New Roman" w:cstheme="majorBidi"/>
        </w:rPr>
        <w:t>Lozano</w:t>
      </w:r>
      <w:r w:rsidRPr="00D237F6">
        <w:rPr>
          <w:rFonts w:ascii="Time New Roman" w:eastAsia="楷体" w:hAnsi="Time New Roman" w:cstheme="majorBidi"/>
        </w:rPr>
        <w:t>诉意大利</w:t>
      </w:r>
      <w:r w:rsidRPr="00D237F6">
        <w:rPr>
          <w:rFonts w:asciiTheme="majorBidi" w:eastAsiaTheme="minorEastAsia" w:hAnsiTheme="majorBidi" w:cstheme="majorBidi"/>
        </w:rPr>
        <w:t>，第</w:t>
      </w:r>
      <w:r>
        <w:rPr>
          <w:rFonts w:asciiTheme="majorBidi" w:eastAsiaTheme="minorEastAsia" w:hAnsiTheme="majorBidi" w:cstheme="majorBidi"/>
        </w:rPr>
        <w:t>31171</w:t>
      </w:r>
      <w:r w:rsidRPr="00D237F6">
        <w:rPr>
          <w:rFonts w:asciiTheme="majorBidi" w:eastAsiaTheme="minorEastAsia" w:hAnsiTheme="majorBidi" w:cstheme="majorBidi"/>
        </w:rPr>
        <w:t>/</w:t>
      </w:r>
      <w:r>
        <w:rPr>
          <w:rFonts w:asciiTheme="majorBidi" w:eastAsiaTheme="minorEastAsia" w:hAnsiTheme="majorBidi" w:cstheme="majorBidi"/>
        </w:rPr>
        <w:t>2008</w:t>
      </w:r>
      <w:r w:rsidRPr="00D237F6">
        <w:rPr>
          <w:rFonts w:asciiTheme="majorBidi" w:eastAsiaTheme="minorEastAsia" w:hAnsiTheme="majorBidi" w:cstheme="majorBidi"/>
        </w:rPr>
        <w:t>号案件，意大利，上诉法院，</w:t>
      </w:r>
      <w:r>
        <w:rPr>
          <w:rFonts w:asciiTheme="majorBidi" w:eastAsiaTheme="minorEastAsia" w:hAnsiTheme="majorBidi" w:cstheme="majorBidi"/>
        </w:rPr>
        <w:t>2008</w:t>
      </w:r>
      <w:r w:rsidRPr="00D237F6">
        <w:rPr>
          <w:rFonts w:asciiTheme="majorBidi" w:eastAsiaTheme="minorEastAsia" w:hAnsiTheme="majorBidi" w:cstheme="majorBidi"/>
        </w:rPr>
        <w:t>年</w:t>
      </w:r>
      <w:r>
        <w:rPr>
          <w:rFonts w:asciiTheme="majorBidi" w:eastAsiaTheme="minorEastAsia" w:hAnsiTheme="majorBidi" w:cstheme="majorBidi"/>
        </w:rPr>
        <w:t>7</w:t>
      </w:r>
      <w:r w:rsidRPr="00D237F6">
        <w:rPr>
          <w:rFonts w:asciiTheme="majorBidi" w:eastAsiaTheme="minorEastAsia" w:hAnsiTheme="majorBidi" w:cstheme="majorBidi"/>
        </w:rPr>
        <w:t>月</w:t>
      </w:r>
      <w:r>
        <w:rPr>
          <w:rFonts w:asciiTheme="majorBidi" w:eastAsiaTheme="minorEastAsia" w:hAnsiTheme="majorBidi" w:cstheme="majorBidi"/>
        </w:rPr>
        <w:t>24</w:t>
      </w:r>
      <w:r>
        <w:rPr>
          <w:rFonts w:asciiTheme="majorBidi" w:eastAsiaTheme="minorEastAsia" w:hAnsiTheme="majorBidi" w:cstheme="majorBidi"/>
        </w:rPr>
        <w:t>日的判决</w:t>
      </w:r>
      <w:r w:rsidRPr="00D237F6">
        <w:rPr>
          <w:rFonts w:asciiTheme="majorBidi" w:eastAsiaTheme="minorEastAsia" w:hAnsiTheme="majorBidi" w:cstheme="majorBidi"/>
        </w:rPr>
        <w:t>(</w:t>
      </w:r>
      <w:r w:rsidRPr="00D237F6">
        <w:rPr>
          <w:rFonts w:asciiTheme="majorBidi" w:eastAsiaTheme="minorEastAsia" w:hAnsiTheme="majorBidi" w:cstheme="majorBidi"/>
        </w:rPr>
        <w:t>可查阅：</w:t>
      </w:r>
      <w:r>
        <w:rPr>
          <w:rFonts w:asciiTheme="majorBidi" w:eastAsiaTheme="minorEastAsia" w:hAnsiTheme="majorBidi" w:cstheme="majorBidi"/>
        </w:rPr>
        <w:t>http:</w:t>
      </w:r>
      <w:r w:rsidRPr="001C640E">
        <w:rPr>
          <w:rFonts w:asciiTheme="majorBidi" w:eastAsiaTheme="minorEastAsia" w:hAnsiTheme="majorBidi" w:cstheme="majorBidi"/>
        </w:rPr>
        <w:t>//</w:t>
      </w:r>
      <w:r>
        <w:rPr>
          <w:rFonts w:asciiTheme="majorBidi" w:eastAsiaTheme="minorEastAsia" w:hAnsiTheme="majorBidi" w:cstheme="majorBidi"/>
        </w:rPr>
        <w:t>opil</w:t>
      </w:r>
      <w:r w:rsidRPr="001C640E">
        <w:rPr>
          <w:rFonts w:asciiTheme="majorBidi" w:eastAsiaTheme="minorEastAsia" w:hAnsiTheme="majorBidi" w:cstheme="majorBidi"/>
        </w:rPr>
        <w:t>.</w:t>
      </w:r>
      <w:r>
        <w:rPr>
          <w:rFonts w:asciiTheme="majorBidi" w:eastAsiaTheme="minorEastAsia" w:hAnsiTheme="majorBidi" w:cstheme="majorBidi"/>
        </w:rPr>
        <w:t>ouplaw</w:t>
      </w:r>
      <w:r w:rsidRPr="001C640E">
        <w:rPr>
          <w:rFonts w:asciiTheme="majorBidi" w:eastAsiaTheme="minorEastAsia" w:hAnsiTheme="majorBidi" w:cstheme="majorBidi"/>
        </w:rPr>
        <w:t>.</w:t>
      </w:r>
      <w:r>
        <w:rPr>
          <w:rFonts w:asciiTheme="majorBidi" w:eastAsiaTheme="minorEastAsia" w:hAnsiTheme="majorBidi" w:cstheme="majorBidi"/>
        </w:rPr>
        <w:t>com</w:t>
      </w:r>
      <w:r w:rsidRPr="001C640E">
        <w:rPr>
          <w:rFonts w:asciiTheme="majorBidi" w:eastAsiaTheme="minorEastAsia" w:hAnsiTheme="majorBidi" w:cstheme="majorBidi"/>
        </w:rPr>
        <w:t>，</w:t>
      </w:r>
      <w:r>
        <w:rPr>
          <w:rFonts w:asciiTheme="majorBidi" w:eastAsiaTheme="minorEastAsia" w:hAnsiTheme="majorBidi" w:cstheme="majorBidi"/>
          <w:i/>
          <w:iCs/>
        </w:rPr>
        <w:t>International</w:t>
      </w:r>
      <w:r>
        <w:rPr>
          <w:rFonts w:asciiTheme="majorBidi" w:eastAsiaTheme="minorEastAsia" w:hAnsiTheme="majorBidi" w:cstheme="majorBidi" w:hint="eastAsia"/>
          <w:i/>
          <w:iCs/>
        </w:rPr>
        <w:t xml:space="preserve"> </w:t>
      </w:r>
      <w:r>
        <w:rPr>
          <w:rFonts w:asciiTheme="majorBidi" w:eastAsiaTheme="minorEastAsia" w:hAnsiTheme="majorBidi" w:cstheme="majorBidi"/>
          <w:i/>
          <w:iCs/>
        </w:rPr>
        <w:t>Law</w:t>
      </w:r>
      <w:r>
        <w:rPr>
          <w:rFonts w:asciiTheme="majorBidi" w:eastAsiaTheme="minorEastAsia" w:hAnsiTheme="majorBidi" w:cstheme="majorBidi" w:hint="eastAsia"/>
          <w:i/>
          <w:iCs/>
        </w:rPr>
        <w:t xml:space="preserve"> </w:t>
      </w:r>
      <w:r>
        <w:rPr>
          <w:rFonts w:asciiTheme="majorBidi" w:eastAsiaTheme="minorEastAsia" w:hAnsiTheme="majorBidi" w:cstheme="majorBidi"/>
          <w:i/>
          <w:iCs/>
        </w:rPr>
        <w:t>in</w:t>
      </w:r>
      <w:r>
        <w:rPr>
          <w:rFonts w:asciiTheme="majorBidi" w:eastAsiaTheme="minorEastAsia" w:hAnsiTheme="majorBidi" w:cstheme="majorBidi" w:hint="eastAsia"/>
          <w:i/>
          <w:iCs/>
        </w:rPr>
        <w:t xml:space="preserve"> </w:t>
      </w:r>
      <w:r>
        <w:rPr>
          <w:rFonts w:asciiTheme="majorBidi" w:eastAsiaTheme="minorEastAsia" w:hAnsiTheme="majorBidi" w:cstheme="majorBidi"/>
          <w:i/>
          <w:iCs/>
        </w:rPr>
        <w:t>Domestic</w:t>
      </w:r>
      <w:r>
        <w:rPr>
          <w:rFonts w:asciiTheme="majorBidi" w:eastAsiaTheme="minorEastAsia" w:hAnsiTheme="majorBidi" w:cstheme="majorBidi" w:hint="eastAsia"/>
          <w:i/>
          <w:iCs/>
        </w:rPr>
        <w:t xml:space="preserve"> </w:t>
      </w:r>
      <w:r>
        <w:rPr>
          <w:rFonts w:asciiTheme="majorBidi" w:eastAsiaTheme="minorEastAsia" w:hAnsiTheme="majorBidi" w:cstheme="majorBidi"/>
          <w:i/>
          <w:iCs/>
        </w:rPr>
        <w:t>Courts</w:t>
      </w:r>
      <w:r>
        <w:rPr>
          <w:rFonts w:asciiTheme="majorBidi" w:eastAsiaTheme="minorEastAsia" w:hAnsiTheme="majorBidi" w:cstheme="majorBidi" w:hint="eastAsia"/>
          <w:i/>
          <w:iCs/>
        </w:rPr>
        <w:t xml:space="preserve"> </w:t>
      </w:r>
      <w:r w:rsidRPr="00D237F6">
        <w:rPr>
          <w:rFonts w:asciiTheme="majorBidi" w:eastAsiaTheme="minorEastAsia" w:hAnsiTheme="majorBidi" w:cstheme="majorBidi"/>
          <w:iCs/>
        </w:rPr>
        <w:t>[</w:t>
      </w:r>
      <w:r>
        <w:rPr>
          <w:rFonts w:asciiTheme="majorBidi" w:eastAsiaTheme="minorEastAsia" w:hAnsiTheme="majorBidi" w:cstheme="majorBidi"/>
          <w:iCs/>
        </w:rPr>
        <w:t>ILDC</w:t>
      </w:r>
      <w:r>
        <w:rPr>
          <w:rFonts w:asciiTheme="majorBidi" w:eastAsiaTheme="minorEastAsia" w:hAnsiTheme="majorBidi" w:cstheme="majorBidi" w:hint="eastAsia"/>
          <w:iCs/>
        </w:rPr>
        <w:t xml:space="preserve"> </w:t>
      </w:r>
      <w:r>
        <w:rPr>
          <w:rFonts w:asciiTheme="majorBidi" w:eastAsiaTheme="minorEastAsia" w:hAnsiTheme="majorBidi" w:cstheme="majorBidi"/>
          <w:iCs/>
        </w:rPr>
        <w:t>1085</w:t>
      </w:r>
      <w:r>
        <w:rPr>
          <w:rFonts w:asciiTheme="majorBidi" w:eastAsiaTheme="minorEastAsia" w:hAnsiTheme="majorBidi" w:cstheme="majorBidi" w:hint="eastAsia"/>
          <w:iCs/>
        </w:rPr>
        <w:t xml:space="preserve"> </w:t>
      </w:r>
      <w:r w:rsidRPr="00D237F6">
        <w:rPr>
          <w:rFonts w:asciiTheme="majorBidi" w:eastAsiaTheme="minorEastAsia" w:hAnsiTheme="majorBidi" w:cstheme="majorBidi"/>
          <w:iCs/>
        </w:rPr>
        <w:t>(</w:t>
      </w:r>
      <w:r>
        <w:rPr>
          <w:rFonts w:asciiTheme="majorBidi" w:eastAsiaTheme="minorEastAsia" w:hAnsiTheme="majorBidi" w:cstheme="majorBidi"/>
          <w:iCs/>
        </w:rPr>
        <w:t>IT</w:t>
      </w:r>
      <w:r>
        <w:rPr>
          <w:rFonts w:asciiTheme="majorBidi" w:eastAsiaTheme="minorEastAsia" w:hAnsiTheme="majorBidi" w:cstheme="majorBidi" w:hint="eastAsia"/>
          <w:iCs/>
        </w:rPr>
        <w:t xml:space="preserve"> </w:t>
      </w:r>
      <w:r>
        <w:rPr>
          <w:rFonts w:asciiTheme="majorBidi" w:eastAsiaTheme="minorEastAsia" w:hAnsiTheme="majorBidi" w:cstheme="majorBidi"/>
          <w:iCs/>
        </w:rPr>
        <w:t>2008</w:t>
      </w:r>
      <w:r w:rsidRPr="00D237F6">
        <w:rPr>
          <w:rFonts w:asciiTheme="majorBidi" w:eastAsiaTheme="minorEastAsia" w:hAnsiTheme="majorBidi" w:cstheme="majorBidi"/>
          <w:iCs/>
        </w:rPr>
        <w:t>)])</w:t>
      </w:r>
      <w:r w:rsidRPr="00D237F6">
        <w:rPr>
          <w:rFonts w:asciiTheme="majorBidi" w:eastAsiaTheme="minorEastAsia" w:hAnsiTheme="majorBidi" w:cstheme="majorBidi"/>
        </w:rPr>
        <w:t>。</w:t>
      </w:r>
    </w:p>
  </w:footnote>
  <w:footnote w:id="1420">
    <w:p w:rsidR="00AB00DE" w:rsidRPr="00D237F6" w:rsidRDefault="00AB00DE" w:rsidP="00334F8C">
      <w:pPr>
        <w:pStyle w:val="a4"/>
        <w:spacing w:after="80"/>
        <w:rPr>
          <w:rFonts w:asciiTheme="majorBidi" w:eastAsiaTheme="minorEastAsia" w:hAnsiTheme="majorBidi" w:cstheme="majorBidi"/>
        </w:rPr>
      </w:pPr>
      <w:r>
        <w:rPr>
          <w:rStyle w:val="a5"/>
          <w:rFonts w:asciiTheme="majorBidi" w:eastAsiaTheme="minorEastAsia" w:hAnsiTheme="majorBidi" w:cstheme="majorBidi"/>
        </w:rPr>
        <w:tab/>
      </w:r>
      <w:r w:rsidRPr="003D3D39">
        <w:rPr>
          <w:rStyle w:val="a5"/>
          <w:rFonts w:eastAsiaTheme="minorEastAsia" w:cstheme="majorBidi"/>
        </w:rPr>
        <w:footnoteRef/>
      </w:r>
      <w:r>
        <w:rPr>
          <w:rStyle w:val="a5"/>
          <w:rFonts w:asciiTheme="majorBidi" w:eastAsiaTheme="minorEastAsia" w:hAnsiTheme="majorBidi" w:cstheme="majorBidi"/>
        </w:rPr>
        <w:tab/>
      </w:r>
      <w:r w:rsidRPr="00D237F6">
        <w:rPr>
          <w:rFonts w:ascii="Time New Roman" w:eastAsia="楷体" w:hAnsi="Time New Roman" w:cstheme="majorBidi"/>
        </w:rPr>
        <w:t>伊朗帝国案</w:t>
      </w:r>
      <w:r w:rsidRPr="00D237F6">
        <w:rPr>
          <w:rFonts w:asciiTheme="majorBidi" w:eastAsiaTheme="minorEastAsia" w:hAnsiTheme="majorBidi" w:cstheme="majorBidi"/>
          <w:iCs/>
        </w:rPr>
        <w:t>(</w:t>
      </w:r>
      <w:r w:rsidRPr="00D237F6">
        <w:rPr>
          <w:rFonts w:asciiTheme="majorBidi" w:eastAsiaTheme="minorEastAsia" w:hAnsiTheme="majorBidi" w:cstheme="majorBidi"/>
          <w:iCs/>
        </w:rPr>
        <w:t>见上文脚注</w:t>
      </w:r>
      <w:r>
        <w:rPr>
          <w:rFonts w:asciiTheme="majorBidi" w:eastAsiaTheme="minorEastAsia" w:hAnsiTheme="majorBidi" w:cstheme="majorBidi"/>
          <w:iCs/>
        </w:rPr>
        <w:fldChar w:fldCharType="begin"/>
      </w:r>
      <w:r>
        <w:rPr>
          <w:rFonts w:asciiTheme="majorBidi" w:eastAsiaTheme="minorEastAsia" w:hAnsiTheme="majorBidi" w:cstheme="majorBidi"/>
          <w:iCs/>
        </w:rPr>
        <w:instrText xml:space="preserve"> NOTEREF _Ref457292885 \h </w:instrText>
      </w:r>
      <w:r>
        <w:rPr>
          <w:rFonts w:asciiTheme="majorBidi" w:eastAsiaTheme="minorEastAsia" w:hAnsiTheme="majorBidi" w:cstheme="majorBidi"/>
          <w:iCs/>
        </w:rPr>
      </w:r>
      <w:r>
        <w:rPr>
          <w:rFonts w:asciiTheme="majorBidi" w:eastAsiaTheme="minorEastAsia" w:hAnsiTheme="majorBidi" w:cstheme="majorBidi"/>
          <w:iCs/>
        </w:rPr>
        <w:fldChar w:fldCharType="separate"/>
      </w:r>
      <w:r w:rsidR="00A73EB9">
        <w:rPr>
          <w:rFonts w:asciiTheme="majorBidi" w:eastAsiaTheme="minorEastAsia" w:hAnsiTheme="majorBidi" w:cstheme="majorBidi"/>
          <w:iCs/>
        </w:rPr>
        <w:t>1418</w:t>
      </w:r>
      <w:r>
        <w:rPr>
          <w:rFonts w:asciiTheme="majorBidi" w:eastAsiaTheme="minorEastAsia" w:hAnsiTheme="majorBidi" w:cstheme="majorBidi"/>
          <w:iCs/>
        </w:rPr>
        <w:fldChar w:fldCharType="end"/>
      </w:r>
      <w:r w:rsidRPr="00D237F6">
        <w:rPr>
          <w:rFonts w:asciiTheme="majorBidi" w:eastAsiaTheme="minorEastAsia" w:hAnsiTheme="majorBidi" w:cstheme="majorBidi"/>
          <w:iCs/>
        </w:rPr>
        <w:t>)</w:t>
      </w:r>
      <w:r w:rsidRPr="00D237F6">
        <w:rPr>
          <w:rFonts w:asciiTheme="majorBidi" w:eastAsiaTheme="minorEastAsia" w:hAnsiTheme="majorBidi" w:cstheme="majorBidi"/>
        </w:rPr>
        <w:t>；</w:t>
      </w:r>
      <w:r w:rsidRPr="00D237F6">
        <w:rPr>
          <w:rFonts w:ascii="Time New Roman" w:eastAsia="楷体" w:hAnsi="Time New Roman" w:cstheme="majorBidi"/>
        </w:rPr>
        <w:t>科学派教会案</w:t>
      </w:r>
      <w:r w:rsidRPr="00D237F6">
        <w:rPr>
          <w:rFonts w:asciiTheme="majorBidi" w:eastAsiaTheme="minorEastAsia" w:hAnsiTheme="majorBidi" w:cstheme="majorBidi"/>
        </w:rPr>
        <w:t>，德国联邦最高法院，</w:t>
      </w:r>
      <w:r>
        <w:rPr>
          <w:rFonts w:asciiTheme="majorBidi" w:eastAsiaTheme="minorEastAsia" w:hAnsiTheme="majorBidi" w:cstheme="majorBidi"/>
        </w:rPr>
        <w:t>1978</w:t>
      </w:r>
      <w:r w:rsidRPr="00D237F6">
        <w:rPr>
          <w:rFonts w:asciiTheme="majorBidi" w:eastAsiaTheme="minorEastAsia" w:hAnsiTheme="majorBidi" w:cstheme="majorBidi"/>
        </w:rPr>
        <w:t>年</w:t>
      </w:r>
      <w:r>
        <w:rPr>
          <w:rFonts w:asciiTheme="majorBidi" w:eastAsiaTheme="minorEastAsia" w:hAnsiTheme="majorBidi" w:cstheme="majorBidi"/>
        </w:rPr>
        <w:t>9</w:t>
      </w:r>
      <w:r w:rsidRPr="00D237F6">
        <w:rPr>
          <w:rFonts w:asciiTheme="majorBidi" w:eastAsiaTheme="minorEastAsia" w:hAnsiTheme="majorBidi" w:cstheme="majorBidi"/>
        </w:rPr>
        <w:t>月</w:t>
      </w:r>
      <w:r>
        <w:rPr>
          <w:rFonts w:asciiTheme="majorBidi" w:eastAsiaTheme="minorEastAsia" w:hAnsiTheme="majorBidi" w:cstheme="majorBidi"/>
        </w:rPr>
        <w:t>26</w:t>
      </w:r>
      <w:r w:rsidRPr="00D237F6">
        <w:rPr>
          <w:rFonts w:asciiTheme="majorBidi" w:eastAsiaTheme="minorEastAsia" w:hAnsiTheme="majorBidi" w:cstheme="majorBidi"/>
        </w:rPr>
        <w:t>日的判决，《国际法案例汇编》，第</w:t>
      </w:r>
      <w:r>
        <w:rPr>
          <w:rFonts w:asciiTheme="majorBidi" w:eastAsiaTheme="minorEastAsia" w:hAnsiTheme="majorBidi" w:cstheme="majorBidi"/>
        </w:rPr>
        <w:t>65</w:t>
      </w:r>
      <w:r w:rsidRPr="00D237F6">
        <w:rPr>
          <w:rFonts w:asciiTheme="majorBidi" w:eastAsiaTheme="minorEastAsia" w:hAnsiTheme="majorBidi" w:cstheme="majorBidi"/>
        </w:rPr>
        <w:t>卷，第</w:t>
      </w:r>
      <w:r>
        <w:rPr>
          <w:rFonts w:asciiTheme="majorBidi" w:eastAsiaTheme="minorEastAsia" w:hAnsiTheme="majorBidi" w:cstheme="majorBidi"/>
        </w:rPr>
        <w:t>193</w:t>
      </w:r>
      <w:r w:rsidRPr="00D237F6">
        <w:rPr>
          <w:rFonts w:asciiTheme="majorBidi" w:eastAsiaTheme="minorEastAsia" w:hAnsiTheme="majorBidi" w:cstheme="majorBidi"/>
        </w:rPr>
        <w:t>页；</w:t>
      </w:r>
      <w:r w:rsidRPr="00D237F6">
        <w:rPr>
          <w:rFonts w:ascii="Time New Roman" w:eastAsia="楷体" w:hAnsi="Time New Roman" w:cstheme="majorBidi"/>
        </w:rPr>
        <w:t>沙特阿拉伯等诉</w:t>
      </w:r>
      <w:r>
        <w:rPr>
          <w:rFonts w:ascii="Time New Roman" w:eastAsia="楷体" w:hAnsi="Time New Roman" w:cstheme="majorBidi"/>
        </w:rPr>
        <w:t>Nelson</w:t>
      </w:r>
      <w:r w:rsidRPr="00D237F6">
        <w:rPr>
          <w:rFonts w:ascii="Time New Roman" w:eastAsia="楷体" w:hAnsi="Time New Roman" w:cstheme="majorBidi"/>
        </w:rPr>
        <w:t>,</w:t>
      </w:r>
      <w:r>
        <w:rPr>
          <w:rFonts w:ascii="Time New Roman" w:eastAsia="楷体" w:hAnsi="Time New Roman" w:cstheme="majorBidi" w:hint="eastAsia"/>
        </w:rPr>
        <w:t xml:space="preserve"> </w:t>
      </w:r>
      <w:r w:rsidRPr="00D237F6">
        <w:rPr>
          <w:rFonts w:asciiTheme="majorBidi" w:eastAsiaTheme="minorEastAsia" w:hAnsiTheme="majorBidi" w:cstheme="majorBidi"/>
        </w:rPr>
        <w:t>美国最高法院，《国际法案例汇编》，第</w:t>
      </w:r>
      <w:r>
        <w:rPr>
          <w:rFonts w:asciiTheme="majorBidi" w:eastAsiaTheme="minorEastAsia" w:hAnsiTheme="majorBidi" w:cstheme="majorBidi"/>
        </w:rPr>
        <w:t>100</w:t>
      </w:r>
      <w:r w:rsidRPr="00D237F6">
        <w:rPr>
          <w:rFonts w:asciiTheme="majorBidi" w:eastAsiaTheme="minorEastAsia" w:hAnsiTheme="majorBidi" w:cstheme="majorBidi"/>
        </w:rPr>
        <w:t>卷，第</w:t>
      </w:r>
      <w:r>
        <w:rPr>
          <w:rFonts w:asciiTheme="majorBidi" w:eastAsiaTheme="minorEastAsia" w:hAnsiTheme="majorBidi" w:cstheme="majorBidi"/>
        </w:rPr>
        <w:t>544</w:t>
      </w:r>
      <w:r w:rsidRPr="00D237F6">
        <w:rPr>
          <w:rFonts w:asciiTheme="majorBidi" w:eastAsiaTheme="minorEastAsia" w:hAnsiTheme="majorBidi" w:cstheme="majorBidi"/>
        </w:rPr>
        <w:t>页；</w:t>
      </w:r>
      <w:r>
        <w:rPr>
          <w:rFonts w:ascii="Time New Roman" w:eastAsia="楷体" w:hAnsi="Time New Roman" w:cstheme="majorBidi"/>
        </w:rPr>
        <w:t>Propend</w:t>
      </w:r>
      <w:r>
        <w:rPr>
          <w:rFonts w:ascii="Time New Roman" w:eastAsia="楷体" w:hAnsi="Time New Roman" w:cstheme="majorBidi" w:hint="eastAsia"/>
        </w:rPr>
        <w:t xml:space="preserve"> </w:t>
      </w:r>
      <w:r>
        <w:rPr>
          <w:rFonts w:ascii="Time New Roman" w:eastAsia="楷体" w:hAnsi="Time New Roman" w:cstheme="majorBidi"/>
        </w:rPr>
        <w:t>Finance</w:t>
      </w:r>
      <w:r>
        <w:rPr>
          <w:rFonts w:ascii="Time New Roman" w:eastAsia="楷体" w:hAnsi="Time New Roman" w:cstheme="majorBidi" w:hint="eastAsia"/>
        </w:rPr>
        <w:t xml:space="preserve"> </w:t>
      </w:r>
      <w:r>
        <w:rPr>
          <w:rFonts w:ascii="Time New Roman" w:eastAsia="楷体" w:hAnsi="Time New Roman" w:cstheme="majorBidi"/>
        </w:rPr>
        <w:t>Pty</w:t>
      </w:r>
      <w:r>
        <w:rPr>
          <w:rFonts w:ascii="Time New Roman" w:eastAsia="楷体" w:hAnsi="Time New Roman" w:cstheme="majorBidi" w:hint="eastAsia"/>
        </w:rPr>
        <w:t xml:space="preserve"> </w:t>
      </w:r>
      <w:r>
        <w:rPr>
          <w:rFonts w:ascii="Time New Roman" w:eastAsia="楷体" w:hAnsi="Time New Roman" w:cstheme="majorBidi"/>
        </w:rPr>
        <w:t>Ltd</w:t>
      </w:r>
      <w:r w:rsidRPr="00D237F6">
        <w:rPr>
          <w:rFonts w:ascii="Time New Roman" w:eastAsia="楷体" w:hAnsi="Time New Roman" w:cstheme="majorBidi"/>
        </w:rPr>
        <w:t>.</w:t>
      </w:r>
      <w:r w:rsidRPr="00D237F6">
        <w:rPr>
          <w:rFonts w:ascii="Time New Roman" w:eastAsia="楷体" w:hAnsi="Time New Roman" w:cstheme="majorBidi"/>
        </w:rPr>
        <w:t>诉</w:t>
      </w:r>
      <w:r>
        <w:rPr>
          <w:rFonts w:ascii="Time New Roman" w:eastAsia="楷体" w:hAnsi="Time New Roman" w:cstheme="majorBidi"/>
        </w:rPr>
        <w:t>Sing</w:t>
      </w:r>
      <w:r>
        <w:rPr>
          <w:rFonts w:ascii="Time New Roman" w:eastAsia="楷体" w:hAnsi="Time New Roman" w:cstheme="majorBidi" w:hint="eastAsia"/>
        </w:rPr>
        <w:t>，</w:t>
      </w:r>
      <w:r w:rsidRPr="00D237F6">
        <w:rPr>
          <w:rFonts w:asciiTheme="majorBidi" w:eastAsiaTheme="minorEastAsia" w:hAnsiTheme="majorBidi" w:cstheme="majorBidi"/>
        </w:rPr>
        <w:t>英国，上诉法院，</w:t>
      </w:r>
      <w:r>
        <w:rPr>
          <w:rFonts w:asciiTheme="majorBidi" w:eastAsiaTheme="minorEastAsia" w:hAnsiTheme="majorBidi" w:cstheme="majorBidi"/>
        </w:rPr>
        <w:t>1997</w:t>
      </w:r>
      <w:r w:rsidRPr="00D237F6">
        <w:rPr>
          <w:rFonts w:asciiTheme="majorBidi" w:eastAsiaTheme="minorEastAsia" w:hAnsiTheme="majorBidi" w:cstheme="majorBidi"/>
        </w:rPr>
        <w:t>年；《国际法案例汇编》，第</w:t>
      </w:r>
      <w:r>
        <w:rPr>
          <w:rFonts w:asciiTheme="majorBidi" w:eastAsiaTheme="minorEastAsia" w:hAnsiTheme="majorBidi" w:cstheme="majorBidi"/>
        </w:rPr>
        <w:t>111</w:t>
      </w:r>
      <w:r w:rsidRPr="00D237F6">
        <w:rPr>
          <w:rFonts w:asciiTheme="majorBidi" w:eastAsiaTheme="minorEastAsia" w:hAnsiTheme="majorBidi" w:cstheme="majorBidi"/>
        </w:rPr>
        <w:t>卷，第</w:t>
      </w:r>
      <w:r>
        <w:rPr>
          <w:rFonts w:asciiTheme="majorBidi" w:eastAsiaTheme="minorEastAsia" w:hAnsiTheme="majorBidi" w:cstheme="majorBidi"/>
        </w:rPr>
        <w:t>611</w:t>
      </w:r>
      <w:r w:rsidRPr="00D237F6">
        <w:rPr>
          <w:rFonts w:asciiTheme="majorBidi" w:eastAsiaTheme="minorEastAsia" w:hAnsiTheme="majorBidi" w:cstheme="majorBidi"/>
        </w:rPr>
        <w:t>页；</w:t>
      </w:r>
      <w:r>
        <w:rPr>
          <w:rFonts w:asciiTheme="majorBidi" w:eastAsiaTheme="minorEastAsia" w:hAnsiTheme="majorBidi" w:cstheme="majorBidi"/>
          <w:iCs/>
        </w:rPr>
        <w:t>Norbert</w:t>
      </w:r>
      <w:r>
        <w:rPr>
          <w:rFonts w:asciiTheme="majorBidi" w:eastAsiaTheme="minorEastAsia" w:hAnsiTheme="majorBidi" w:cstheme="majorBidi" w:hint="eastAsia"/>
          <w:iCs/>
        </w:rPr>
        <w:t xml:space="preserve"> </w:t>
      </w:r>
      <w:r>
        <w:rPr>
          <w:rFonts w:asciiTheme="majorBidi" w:eastAsiaTheme="minorEastAsia" w:hAnsiTheme="majorBidi" w:cstheme="majorBidi"/>
          <w:iCs/>
        </w:rPr>
        <w:t>Schmidt</w:t>
      </w:r>
      <w:r w:rsidRPr="0067641D">
        <w:rPr>
          <w:rFonts w:ascii="Time New Roman" w:eastAsia="楷体" w:hAnsi="Time New Roman" w:cstheme="majorBidi"/>
          <w:iCs/>
        </w:rPr>
        <w:t>诉</w:t>
      </w:r>
      <w:r w:rsidRPr="00D237F6">
        <w:rPr>
          <w:rFonts w:ascii="Time New Roman" w:eastAsia="楷体" w:hAnsi="Time New Roman" w:cstheme="majorBidi"/>
        </w:rPr>
        <w:t>联合王国政府内政大臣，</w:t>
      </w:r>
      <w:r w:rsidRPr="00D237F6">
        <w:rPr>
          <w:rFonts w:asciiTheme="majorBidi" w:eastAsiaTheme="minorEastAsia" w:hAnsiTheme="majorBidi" w:cstheme="majorBidi"/>
          <w:iCs/>
        </w:rPr>
        <w:t>爱尔兰</w:t>
      </w:r>
      <w:r w:rsidRPr="00D237F6">
        <w:rPr>
          <w:rFonts w:asciiTheme="majorBidi" w:eastAsiaTheme="minorEastAsia" w:hAnsiTheme="majorBidi" w:cstheme="majorBidi"/>
        </w:rPr>
        <w:t>高等法院，</w:t>
      </w:r>
      <w:r>
        <w:rPr>
          <w:rFonts w:asciiTheme="majorBidi" w:eastAsiaTheme="minorEastAsia" w:hAnsiTheme="majorBidi" w:cstheme="majorBidi"/>
        </w:rPr>
        <w:t>1997</w:t>
      </w:r>
      <w:r w:rsidRPr="00D237F6">
        <w:rPr>
          <w:rFonts w:asciiTheme="majorBidi" w:eastAsiaTheme="minorEastAsia" w:hAnsiTheme="majorBidi" w:cstheme="majorBidi"/>
        </w:rPr>
        <w:t>年</w:t>
      </w:r>
      <w:r>
        <w:rPr>
          <w:rFonts w:asciiTheme="majorBidi" w:eastAsiaTheme="minorEastAsia" w:hAnsiTheme="majorBidi" w:cstheme="majorBidi"/>
        </w:rPr>
        <w:t>4</w:t>
      </w:r>
      <w:r w:rsidRPr="00D237F6">
        <w:rPr>
          <w:rFonts w:asciiTheme="majorBidi" w:eastAsiaTheme="minorEastAsia" w:hAnsiTheme="majorBidi" w:cstheme="majorBidi"/>
        </w:rPr>
        <w:t>月</w:t>
      </w:r>
      <w:r>
        <w:rPr>
          <w:rFonts w:asciiTheme="majorBidi" w:eastAsiaTheme="minorEastAsia" w:hAnsiTheme="majorBidi" w:cstheme="majorBidi"/>
        </w:rPr>
        <w:t>24</w:t>
      </w:r>
      <w:r w:rsidRPr="00D237F6">
        <w:rPr>
          <w:rFonts w:asciiTheme="majorBidi" w:eastAsiaTheme="minorEastAsia" w:hAnsiTheme="majorBidi" w:cstheme="majorBidi"/>
        </w:rPr>
        <w:t>日的判决</w:t>
      </w:r>
      <w:r w:rsidRPr="00D237F6">
        <w:rPr>
          <w:rFonts w:asciiTheme="majorBidi" w:eastAsiaTheme="minorEastAsia" w:hAnsiTheme="majorBidi" w:cstheme="majorBidi"/>
        </w:rPr>
        <w:t>([</w:t>
      </w:r>
      <w:r>
        <w:rPr>
          <w:rFonts w:asciiTheme="majorBidi" w:eastAsiaTheme="minorEastAsia" w:hAnsiTheme="majorBidi" w:cstheme="majorBidi"/>
        </w:rPr>
        <w:t>1997</w:t>
      </w:r>
      <w:r w:rsidRPr="00D237F6">
        <w:rPr>
          <w:rFonts w:asciiTheme="majorBidi" w:eastAsiaTheme="minorEastAsia" w:hAnsiTheme="majorBidi" w:cstheme="majorBidi"/>
        </w:rPr>
        <w:t>]</w:t>
      </w:r>
      <w:r>
        <w:rPr>
          <w:rFonts w:asciiTheme="majorBidi" w:eastAsiaTheme="minorEastAsia" w:hAnsiTheme="majorBidi" w:cstheme="majorBidi" w:hint="eastAsia"/>
        </w:rPr>
        <w:t xml:space="preserve"> </w:t>
      </w:r>
      <w:r>
        <w:rPr>
          <w:rFonts w:asciiTheme="majorBidi" w:eastAsiaTheme="minorEastAsia" w:hAnsiTheme="majorBidi" w:cstheme="majorBidi"/>
        </w:rPr>
        <w:t>2IR</w:t>
      </w:r>
      <w:r>
        <w:rPr>
          <w:rFonts w:asciiTheme="majorBidi" w:eastAsiaTheme="minorEastAsia" w:hAnsiTheme="majorBidi" w:cstheme="majorBidi" w:hint="eastAsia"/>
        </w:rPr>
        <w:t xml:space="preserve"> </w:t>
      </w:r>
      <w:r>
        <w:rPr>
          <w:rFonts w:asciiTheme="majorBidi" w:eastAsiaTheme="minorEastAsia" w:hAnsiTheme="majorBidi" w:cstheme="majorBidi"/>
        </w:rPr>
        <w:t>121</w:t>
      </w:r>
      <w:r w:rsidRPr="00D237F6">
        <w:rPr>
          <w:rFonts w:asciiTheme="majorBidi" w:eastAsiaTheme="minorEastAsia" w:hAnsiTheme="majorBidi" w:cstheme="majorBidi"/>
        </w:rPr>
        <w:t>)</w:t>
      </w:r>
      <w:r w:rsidRPr="00D237F6">
        <w:rPr>
          <w:rFonts w:asciiTheme="majorBidi" w:eastAsiaTheme="minorEastAsia" w:hAnsiTheme="majorBidi" w:cstheme="majorBidi"/>
        </w:rPr>
        <w:t>；</w:t>
      </w:r>
      <w:r>
        <w:rPr>
          <w:rFonts w:ascii="Time New Roman" w:eastAsia="楷体" w:hAnsi="Time New Roman" w:cstheme="majorBidi"/>
        </w:rPr>
        <w:t>First</w:t>
      </w:r>
      <w:r>
        <w:rPr>
          <w:rFonts w:ascii="Time New Roman" w:eastAsia="楷体" w:hAnsi="Time New Roman" w:cstheme="majorBidi" w:hint="eastAsia"/>
        </w:rPr>
        <w:t xml:space="preserve"> </w:t>
      </w:r>
      <w:r>
        <w:rPr>
          <w:rFonts w:ascii="Time New Roman" w:eastAsia="楷体" w:hAnsi="Time New Roman" w:cstheme="majorBidi"/>
        </w:rPr>
        <w:t>Merchants</w:t>
      </w:r>
      <w:r>
        <w:rPr>
          <w:rFonts w:ascii="Time New Roman" w:eastAsia="楷体" w:hAnsi="Time New Roman" w:cstheme="majorBidi" w:hint="eastAsia"/>
        </w:rPr>
        <w:t xml:space="preserve"> </w:t>
      </w:r>
      <w:r>
        <w:rPr>
          <w:rFonts w:ascii="Time New Roman" w:eastAsia="楷体" w:hAnsi="Time New Roman" w:cstheme="majorBidi"/>
        </w:rPr>
        <w:t>Collection</w:t>
      </w:r>
      <w:r w:rsidRPr="00D237F6">
        <w:rPr>
          <w:rFonts w:ascii="Time New Roman" w:eastAsia="楷体" w:hAnsi="Time New Roman" w:cstheme="majorBidi"/>
        </w:rPr>
        <w:t>诉阿根廷共和国</w:t>
      </w:r>
      <w:r w:rsidRPr="00D237F6">
        <w:rPr>
          <w:rFonts w:asciiTheme="majorBidi" w:eastAsiaTheme="minorEastAsia" w:hAnsiTheme="majorBidi" w:cstheme="majorBidi"/>
          <w:i/>
        </w:rPr>
        <w:t>，</w:t>
      </w:r>
      <w:r w:rsidRPr="00D237F6">
        <w:rPr>
          <w:rFonts w:asciiTheme="majorBidi" w:eastAsiaTheme="minorEastAsia" w:hAnsiTheme="majorBidi" w:cstheme="majorBidi"/>
        </w:rPr>
        <w:t>美国地区法院，佛罗里达南部地区，</w:t>
      </w:r>
      <w:r>
        <w:rPr>
          <w:rFonts w:asciiTheme="majorBidi" w:eastAsiaTheme="minorEastAsia" w:hAnsiTheme="majorBidi" w:cstheme="majorBidi"/>
        </w:rPr>
        <w:t>2002</w:t>
      </w:r>
      <w:r w:rsidRPr="00D237F6">
        <w:rPr>
          <w:rFonts w:asciiTheme="majorBidi" w:eastAsiaTheme="minorEastAsia" w:hAnsiTheme="majorBidi" w:cstheme="majorBidi"/>
        </w:rPr>
        <w:t>年</w:t>
      </w:r>
      <w:r>
        <w:rPr>
          <w:rFonts w:asciiTheme="majorBidi" w:eastAsiaTheme="minorEastAsia" w:hAnsiTheme="majorBidi" w:cstheme="majorBidi"/>
        </w:rPr>
        <w:t>1</w:t>
      </w:r>
      <w:r w:rsidRPr="00D237F6">
        <w:rPr>
          <w:rFonts w:asciiTheme="majorBidi" w:eastAsiaTheme="minorEastAsia" w:hAnsiTheme="majorBidi" w:cstheme="majorBidi"/>
        </w:rPr>
        <w:t>月</w:t>
      </w:r>
      <w:r>
        <w:rPr>
          <w:rFonts w:asciiTheme="majorBidi" w:eastAsiaTheme="minorEastAsia" w:hAnsiTheme="majorBidi" w:cstheme="majorBidi"/>
        </w:rPr>
        <w:t>31</w:t>
      </w:r>
      <w:r w:rsidRPr="00D237F6">
        <w:rPr>
          <w:rFonts w:asciiTheme="majorBidi" w:eastAsiaTheme="minorEastAsia" w:hAnsiTheme="majorBidi" w:cstheme="majorBidi"/>
        </w:rPr>
        <w:t>日，</w:t>
      </w:r>
      <w:r>
        <w:rPr>
          <w:rFonts w:asciiTheme="majorBidi" w:eastAsiaTheme="minorEastAsia" w:hAnsiTheme="majorBidi" w:cstheme="majorBidi"/>
        </w:rPr>
        <w:t>190</w:t>
      </w:r>
      <w:r>
        <w:rPr>
          <w:rFonts w:asciiTheme="majorBidi" w:eastAsiaTheme="minorEastAsia" w:hAnsiTheme="majorBidi" w:cstheme="majorBidi" w:hint="eastAsia"/>
        </w:rPr>
        <w:t xml:space="preserve"> </w:t>
      </w:r>
      <w:r>
        <w:rPr>
          <w:rFonts w:asciiTheme="majorBidi" w:eastAsiaTheme="minorEastAsia" w:hAnsiTheme="majorBidi" w:cstheme="majorBidi"/>
        </w:rPr>
        <w:t>F</w:t>
      </w:r>
      <w:r w:rsidRPr="00D237F6">
        <w:rPr>
          <w:rFonts w:asciiTheme="majorBidi" w:eastAsiaTheme="minorEastAsia" w:hAnsiTheme="majorBidi" w:cstheme="majorBidi"/>
        </w:rPr>
        <w:t>.</w:t>
      </w:r>
      <w:r>
        <w:rPr>
          <w:rFonts w:asciiTheme="majorBidi" w:eastAsiaTheme="minorEastAsia" w:hAnsiTheme="majorBidi" w:cstheme="majorBidi" w:hint="eastAsia"/>
        </w:rPr>
        <w:t xml:space="preserve"> </w:t>
      </w:r>
      <w:r>
        <w:rPr>
          <w:rFonts w:asciiTheme="majorBidi" w:eastAsiaTheme="minorEastAsia" w:hAnsiTheme="majorBidi" w:cstheme="majorBidi"/>
        </w:rPr>
        <w:t>Supp</w:t>
      </w:r>
      <w:r w:rsidRPr="00D237F6">
        <w:rPr>
          <w:rFonts w:asciiTheme="majorBidi" w:eastAsiaTheme="minorEastAsia" w:hAnsiTheme="majorBidi" w:cstheme="majorBidi"/>
        </w:rPr>
        <w:t>.</w:t>
      </w:r>
      <w:r>
        <w:rPr>
          <w:rFonts w:asciiTheme="majorBidi" w:eastAsiaTheme="minorEastAsia" w:hAnsiTheme="majorBidi" w:cstheme="majorBidi" w:hint="eastAsia"/>
        </w:rPr>
        <w:t xml:space="preserve"> </w:t>
      </w:r>
      <w:r>
        <w:rPr>
          <w:rFonts w:asciiTheme="majorBidi" w:eastAsiaTheme="minorEastAsia" w:hAnsiTheme="majorBidi" w:cstheme="majorBidi"/>
        </w:rPr>
        <w:t>2d</w:t>
      </w:r>
      <w:r>
        <w:rPr>
          <w:rFonts w:asciiTheme="majorBidi" w:eastAsiaTheme="minorEastAsia" w:hAnsiTheme="majorBidi" w:cstheme="majorBidi" w:hint="eastAsia"/>
        </w:rPr>
        <w:t xml:space="preserve"> </w:t>
      </w:r>
      <w:r>
        <w:rPr>
          <w:rFonts w:asciiTheme="majorBidi" w:eastAsiaTheme="minorEastAsia" w:hAnsiTheme="majorBidi" w:cstheme="majorBidi"/>
        </w:rPr>
        <w:t>1336</w:t>
      </w:r>
      <w:r>
        <w:rPr>
          <w:rFonts w:asciiTheme="majorBidi" w:eastAsiaTheme="minorEastAsia" w:hAnsiTheme="majorBidi" w:cstheme="majorBidi" w:hint="eastAsia"/>
        </w:rPr>
        <w:t xml:space="preserve"> </w:t>
      </w:r>
      <w:r w:rsidRPr="00D237F6">
        <w:rPr>
          <w:rFonts w:asciiTheme="majorBidi" w:eastAsiaTheme="minorEastAsia" w:hAnsiTheme="majorBidi" w:cstheme="majorBidi"/>
        </w:rPr>
        <w:t>(</w:t>
      </w:r>
      <w:r>
        <w:rPr>
          <w:rFonts w:asciiTheme="majorBidi" w:eastAsiaTheme="minorEastAsia" w:hAnsiTheme="majorBidi" w:cstheme="majorBidi"/>
        </w:rPr>
        <w:t>S</w:t>
      </w:r>
      <w:r w:rsidRPr="00D237F6">
        <w:rPr>
          <w:rFonts w:asciiTheme="majorBidi" w:eastAsiaTheme="minorEastAsia" w:hAnsiTheme="majorBidi" w:cstheme="majorBidi"/>
        </w:rPr>
        <w:t>.</w:t>
      </w:r>
      <w:r>
        <w:rPr>
          <w:rFonts w:asciiTheme="majorBidi" w:eastAsiaTheme="minorEastAsia" w:hAnsiTheme="majorBidi" w:cstheme="majorBidi"/>
        </w:rPr>
        <w:t>D</w:t>
      </w:r>
      <w:r w:rsidRPr="00D237F6">
        <w:rPr>
          <w:rFonts w:asciiTheme="majorBidi" w:eastAsiaTheme="minorEastAsia" w:hAnsiTheme="majorBidi" w:cstheme="majorBidi"/>
        </w:rPr>
        <w:t>.</w:t>
      </w:r>
      <w:r>
        <w:rPr>
          <w:rFonts w:asciiTheme="majorBidi" w:eastAsiaTheme="minorEastAsia" w:hAnsiTheme="majorBidi" w:cstheme="majorBidi" w:hint="eastAsia"/>
        </w:rPr>
        <w:t xml:space="preserve"> </w:t>
      </w:r>
      <w:r>
        <w:rPr>
          <w:rFonts w:asciiTheme="majorBidi" w:eastAsiaTheme="minorEastAsia" w:hAnsiTheme="majorBidi" w:cstheme="majorBidi"/>
        </w:rPr>
        <w:t>Fla</w:t>
      </w:r>
      <w:r w:rsidRPr="00D237F6">
        <w:rPr>
          <w:rFonts w:asciiTheme="majorBidi" w:eastAsiaTheme="minorEastAsia" w:hAnsiTheme="majorBidi" w:cstheme="majorBidi"/>
        </w:rPr>
        <w:t>.</w:t>
      </w:r>
      <w:r>
        <w:rPr>
          <w:rFonts w:asciiTheme="majorBidi" w:eastAsiaTheme="minorEastAsia" w:hAnsiTheme="majorBidi" w:cstheme="majorBidi" w:hint="eastAsia"/>
        </w:rPr>
        <w:t xml:space="preserve"> </w:t>
      </w:r>
      <w:r>
        <w:rPr>
          <w:rFonts w:asciiTheme="majorBidi" w:eastAsiaTheme="minorEastAsia" w:hAnsiTheme="majorBidi" w:cstheme="majorBidi"/>
        </w:rPr>
        <w:t>2002</w:t>
      </w:r>
      <w:r w:rsidRPr="00D237F6">
        <w:rPr>
          <w:rFonts w:asciiTheme="majorBidi" w:eastAsiaTheme="minorEastAsia" w:hAnsiTheme="majorBidi" w:cstheme="majorBidi"/>
        </w:rPr>
        <w:t>)</w:t>
      </w:r>
      <w:r w:rsidRPr="00D237F6">
        <w:rPr>
          <w:rFonts w:asciiTheme="majorBidi" w:eastAsiaTheme="minorEastAsia" w:hAnsiTheme="majorBidi" w:cstheme="majorBidi"/>
        </w:rPr>
        <w:t>。</w:t>
      </w:r>
    </w:p>
  </w:footnote>
  <w:footnote w:id="1421">
    <w:p w:rsidR="00AB00DE" w:rsidRPr="00D237F6" w:rsidRDefault="00AB00DE" w:rsidP="00334F8C">
      <w:pPr>
        <w:pStyle w:val="a4"/>
        <w:spacing w:after="80"/>
        <w:rPr>
          <w:rFonts w:asciiTheme="majorBidi" w:eastAsiaTheme="minorEastAsia" w:hAnsiTheme="majorBidi" w:cstheme="majorBidi"/>
        </w:rPr>
      </w:pPr>
      <w:r>
        <w:rPr>
          <w:rStyle w:val="a5"/>
          <w:rFonts w:asciiTheme="majorBidi" w:eastAsiaTheme="minorEastAsia" w:hAnsiTheme="majorBidi" w:cstheme="majorBidi"/>
        </w:rPr>
        <w:tab/>
      </w:r>
      <w:r w:rsidRPr="003D3D39">
        <w:rPr>
          <w:rStyle w:val="a5"/>
          <w:rFonts w:eastAsiaTheme="minorEastAsia" w:cstheme="majorBidi"/>
        </w:rPr>
        <w:footnoteRef/>
      </w:r>
      <w:r>
        <w:rPr>
          <w:rStyle w:val="a5"/>
          <w:rFonts w:asciiTheme="majorBidi" w:eastAsiaTheme="minorEastAsia" w:hAnsiTheme="majorBidi" w:cstheme="majorBidi"/>
        </w:rPr>
        <w:tab/>
      </w:r>
      <w:r w:rsidRPr="00D237F6">
        <w:rPr>
          <w:rFonts w:ascii="Time New Roman" w:eastAsia="楷体" w:hAnsi="Time New Roman" w:cstheme="majorBidi"/>
        </w:rPr>
        <w:t>伊朗帝国案</w:t>
      </w:r>
      <w:r w:rsidRPr="00D237F6">
        <w:rPr>
          <w:rFonts w:asciiTheme="majorBidi" w:eastAsiaTheme="minorEastAsia" w:hAnsiTheme="majorBidi" w:cstheme="majorBidi"/>
          <w:iCs/>
        </w:rPr>
        <w:t>(</w:t>
      </w:r>
      <w:r w:rsidRPr="00D237F6">
        <w:rPr>
          <w:rFonts w:asciiTheme="majorBidi" w:eastAsiaTheme="minorEastAsia" w:hAnsiTheme="majorBidi" w:cstheme="majorBidi"/>
          <w:iCs/>
        </w:rPr>
        <w:t>见上文脚注</w:t>
      </w:r>
      <w:r>
        <w:rPr>
          <w:rFonts w:asciiTheme="majorBidi" w:eastAsiaTheme="minorEastAsia" w:hAnsiTheme="majorBidi" w:cstheme="majorBidi"/>
          <w:iCs/>
        </w:rPr>
        <w:fldChar w:fldCharType="begin"/>
      </w:r>
      <w:r>
        <w:rPr>
          <w:rFonts w:asciiTheme="majorBidi" w:eastAsiaTheme="minorEastAsia" w:hAnsiTheme="majorBidi" w:cstheme="majorBidi"/>
          <w:iCs/>
        </w:rPr>
        <w:instrText xml:space="preserve"> NOTEREF _Ref457292885 \h </w:instrText>
      </w:r>
      <w:r>
        <w:rPr>
          <w:rFonts w:asciiTheme="majorBidi" w:eastAsiaTheme="minorEastAsia" w:hAnsiTheme="majorBidi" w:cstheme="majorBidi"/>
          <w:iCs/>
        </w:rPr>
      </w:r>
      <w:r>
        <w:rPr>
          <w:rFonts w:asciiTheme="majorBidi" w:eastAsiaTheme="minorEastAsia" w:hAnsiTheme="majorBidi" w:cstheme="majorBidi"/>
          <w:iCs/>
        </w:rPr>
        <w:fldChar w:fldCharType="separate"/>
      </w:r>
      <w:r w:rsidR="00A73EB9">
        <w:rPr>
          <w:rFonts w:asciiTheme="majorBidi" w:eastAsiaTheme="minorEastAsia" w:hAnsiTheme="majorBidi" w:cstheme="majorBidi"/>
          <w:iCs/>
        </w:rPr>
        <w:t>1418</w:t>
      </w:r>
      <w:r>
        <w:rPr>
          <w:rFonts w:asciiTheme="majorBidi" w:eastAsiaTheme="minorEastAsia" w:hAnsiTheme="majorBidi" w:cstheme="majorBidi"/>
          <w:iCs/>
        </w:rPr>
        <w:fldChar w:fldCharType="end"/>
      </w:r>
      <w:r w:rsidRPr="00D237F6">
        <w:rPr>
          <w:rFonts w:asciiTheme="majorBidi" w:eastAsiaTheme="minorEastAsia" w:hAnsiTheme="majorBidi" w:cstheme="majorBidi"/>
          <w:iCs/>
        </w:rPr>
        <w:t>)</w:t>
      </w:r>
      <w:r w:rsidRPr="00D237F6">
        <w:rPr>
          <w:rFonts w:asciiTheme="majorBidi" w:eastAsiaTheme="minorEastAsia" w:hAnsiTheme="majorBidi" w:cstheme="majorBidi"/>
        </w:rPr>
        <w:t>；</w:t>
      </w:r>
      <w:r>
        <w:rPr>
          <w:rFonts w:ascii="Time New Roman" w:eastAsia="楷体" w:hAnsi="Time New Roman" w:cstheme="majorBidi"/>
        </w:rPr>
        <w:t>Victory</w:t>
      </w:r>
      <w:r w:rsidRPr="00D237F6">
        <w:rPr>
          <w:rFonts w:ascii="Time New Roman" w:eastAsia="楷体" w:hAnsi="Time New Roman" w:cstheme="majorBidi"/>
        </w:rPr>
        <w:t>诉</w:t>
      </w:r>
      <w:r>
        <w:rPr>
          <w:rFonts w:ascii="Time New Roman" w:eastAsia="楷体" w:hAnsi="Time New Roman" w:cstheme="majorBidi"/>
        </w:rPr>
        <w:t>Comisar</w:t>
      </w:r>
      <w:r w:rsidRPr="00D237F6">
        <w:rPr>
          <w:rFonts w:ascii="Time New Roman" w:eastAsia="楷体" w:hAnsi="Time New Roman" w:cstheme="majorBidi"/>
        </w:rPr>
        <w:t>í</w:t>
      </w:r>
      <w:r>
        <w:rPr>
          <w:rFonts w:ascii="Time New Roman" w:eastAsia="楷体" w:hAnsi="Time New Roman" w:cstheme="majorBidi"/>
        </w:rPr>
        <w:t>a</w:t>
      </w:r>
      <w:r w:rsidRPr="00D237F6">
        <w:rPr>
          <w:rFonts w:asciiTheme="majorBidi" w:eastAsiaTheme="minorEastAsia" w:hAnsiTheme="majorBidi" w:cstheme="majorBidi"/>
          <w:iCs/>
        </w:rPr>
        <w:t>(</w:t>
      </w:r>
      <w:r w:rsidRPr="00D237F6">
        <w:rPr>
          <w:rFonts w:asciiTheme="majorBidi" w:eastAsiaTheme="minorEastAsia" w:hAnsiTheme="majorBidi" w:cstheme="majorBidi"/>
          <w:iCs/>
        </w:rPr>
        <w:t>见上文脚注</w:t>
      </w:r>
      <w:r>
        <w:rPr>
          <w:rFonts w:asciiTheme="majorBidi" w:eastAsiaTheme="minorEastAsia" w:hAnsiTheme="majorBidi" w:cstheme="majorBidi"/>
          <w:iCs/>
        </w:rPr>
        <w:fldChar w:fldCharType="begin"/>
      </w:r>
      <w:r>
        <w:rPr>
          <w:rFonts w:asciiTheme="majorBidi" w:eastAsiaTheme="minorEastAsia" w:hAnsiTheme="majorBidi" w:cstheme="majorBidi"/>
          <w:iCs/>
        </w:rPr>
        <w:instrText xml:space="preserve"> NOTEREF _Ref457292885 \h </w:instrText>
      </w:r>
      <w:r>
        <w:rPr>
          <w:rFonts w:asciiTheme="majorBidi" w:eastAsiaTheme="minorEastAsia" w:hAnsiTheme="majorBidi" w:cstheme="majorBidi"/>
          <w:iCs/>
        </w:rPr>
      </w:r>
      <w:r>
        <w:rPr>
          <w:rFonts w:asciiTheme="majorBidi" w:eastAsiaTheme="minorEastAsia" w:hAnsiTheme="majorBidi" w:cstheme="majorBidi"/>
          <w:iCs/>
        </w:rPr>
        <w:fldChar w:fldCharType="separate"/>
      </w:r>
      <w:r w:rsidR="00A73EB9">
        <w:rPr>
          <w:rFonts w:asciiTheme="majorBidi" w:eastAsiaTheme="minorEastAsia" w:hAnsiTheme="majorBidi" w:cstheme="majorBidi"/>
          <w:iCs/>
        </w:rPr>
        <w:t>1418</w:t>
      </w:r>
      <w:r>
        <w:rPr>
          <w:rFonts w:asciiTheme="majorBidi" w:eastAsiaTheme="minorEastAsia" w:hAnsiTheme="majorBidi" w:cstheme="majorBidi"/>
          <w:iCs/>
        </w:rPr>
        <w:fldChar w:fldCharType="end"/>
      </w:r>
      <w:r w:rsidRPr="00D237F6">
        <w:rPr>
          <w:rFonts w:asciiTheme="majorBidi" w:eastAsiaTheme="minorEastAsia" w:hAnsiTheme="majorBidi" w:cstheme="majorBidi"/>
          <w:iCs/>
        </w:rPr>
        <w:t>)</w:t>
      </w:r>
      <w:r w:rsidRPr="00D237F6">
        <w:rPr>
          <w:rFonts w:asciiTheme="majorBidi" w:eastAsiaTheme="minorEastAsia" w:hAnsiTheme="majorBidi" w:cstheme="majorBidi"/>
        </w:rPr>
        <w:t>。</w:t>
      </w:r>
    </w:p>
  </w:footnote>
  <w:footnote w:id="1422">
    <w:p w:rsidR="00AB00DE" w:rsidRPr="00D237F6" w:rsidRDefault="00AB00DE" w:rsidP="00334F8C">
      <w:pPr>
        <w:pStyle w:val="a4"/>
        <w:spacing w:after="80"/>
        <w:rPr>
          <w:rFonts w:asciiTheme="majorBidi" w:eastAsiaTheme="minorEastAsia" w:hAnsiTheme="majorBidi" w:cstheme="majorBidi"/>
        </w:rPr>
      </w:pPr>
      <w:r>
        <w:rPr>
          <w:rStyle w:val="a5"/>
          <w:rFonts w:asciiTheme="majorBidi" w:eastAsiaTheme="minorEastAsia" w:hAnsiTheme="majorBidi" w:cstheme="majorBidi"/>
        </w:rPr>
        <w:tab/>
      </w:r>
      <w:r w:rsidRPr="003D3D39">
        <w:rPr>
          <w:rStyle w:val="a5"/>
          <w:rFonts w:eastAsiaTheme="minorEastAsia" w:cstheme="majorBidi"/>
        </w:rPr>
        <w:footnoteRef/>
      </w:r>
      <w:r>
        <w:rPr>
          <w:rStyle w:val="a5"/>
          <w:rFonts w:asciiTheme="majorBidi" w:eastAsiaTheme="minorEastAsia" w:hAnsiTheme="majorBidi" w:cstheme="majorBidi"/>
        </w:rPr>
        <w:tab/>
      </w:r>
      <w:r w:rsidRPr="00D237F6">
        <w:rPr>
          <w:rFonts w:ascii="Time New Roman" w:eastAsia="楷体" w:hAnsi="Time New Roman" w:cstheme="majorBidi"/>
        </w:rPr>
        <w:t>伊朗帝国案</w:t>
      </w:r>
      <w:r w:rsidRPr="00D237F6">
        <w:rPr>
          <w:rFonts w:asciiTheme="majorBidi" w:eastAsiaTheme="minorEastAsia" w:hAnsiTheme="majorBidi" w:cstheme="majorBidi"/>
          <w:iCs/>
        </w:rPr>
        <w:t>(</w:t>
      </w:r>
      <w:r w:rsidRPr="00D237F6">
        <w:rPr>
          <w:rFonts w:asciiTheme="majorBidi" w:eastAsiaTheme="minorEastAsia" w:hAnsiTheme="majorBidi" w:cstheme="majorBidi"/>
          <w:iCs/>
        </w:rPr>
        <w:t>见</w:t>
      </w:r>
      <w:r w:rsidRPr="00D237F6">
        <w:rPr>
          <w:rFonts w:asciiTheme="majorBidi" w:eastAsiaTheme="minorEastAsia" w:hAnsiTheme="majorBidi" w:cstheme="majorBidi"/>
        </w:rPr>
        <w:t>上文</w:t>
      </w:r>
      <w:r w:rsidRPr="00D237F6">
        <w:rPr>
          <w:rFonts w:asciiTheme="majorBidi" w:eastAsiaTheme="minorEastAsia" w:hAnsiTheme="majorBidi" w:cstheme="majorBidi"/>
          <w:iCs/>
        </w:rPr>
        <w:t>脚注</w:t>
      </w:r>
      <w:r>
        <w:rPr>
          <w:rFonts w:asciiTheme="majorBidi" w:eastAsiaTheme="minorEastAsia" w:hAnsiTheme="majorBidi" w:cstheme="majorBidi"/>
          <w:iCs/>
        </w:rPr>
        <w:fldChar w:fldCharType="begin"/>
      </w:r>
      <w:r>
        <w:rPr>
          <w:rFonts w:asciiTheme="majorBidi" w:eastAsiaTheme="minorEastAsia" w:hAnsiTheme="majorBidi" w:cstheme="majorBidi"/>
          <w:iCs/>
        </w:rPr>
        <w:instrText xml:space="preserve"> NOTEREF _Ref457292885 \h </w:instrText>
      </w:r>
      <w:r>
        <w:rPr>
          <w:rFonts w:asciiTheme="majorBidi" w:eastAsiaTheme="minorEastAsia" w:hAnsiTheme="majorBidi" w:cstheme="majorBidi"/>
          <w:iCs/>
        </w:rPr>
      </w:r>
      <w:r>
        <w:rPr>
          <w:rFonts w:asciiTheme="majorBidi" w:eastAsiaTheme="minorEastAsia" w:hAnsiTheme="majorBidi" w:cstheme="majorBidi"/>
          <w:iCs/>
        </w:rPr>
        <w:fldChar w:fldCharType="separate"/>
      </w:r>
      <w:r w:rsidR="00A73EB9">
        <w:rPr>
          <w:rFonts w:asciiTheme="majorBidi" w:eastAsiaTheme="minorEastAsia" w:hAnsiTheme="majorBidi" w:cstheme="majorBidi"/>
          <w:iCs/>
        </w:rPr>
        <w:t>1418</w:t>
      </w:r>
      <w:r>
        <w:rPr>
          <w:rFonts w:asciiTheme="majorBidi" w:eastAsiaTheme="minorEastAsia" w:hAnsiTheme="majorBidi" w:cstheme="majorBidi"/>
          <w:iCs/>
        </w:rPr>
        <w:fldChar w:fldCharType="end"/>
      </w:r>
      <w:r w:rsidRPr="00D237F6">
        <w:rPr>
          <w:rFonts w:asciiTheme="majorBidi" w:eastAsiaTheme="minorEastAsia" w:hAnsiTheme="majorBidi" w:cstheme="majorBidi"/>
          <w:iCs/>
        </w:rPr>
        <w:t>)</w:t>
      </w:r>
      <w:r w:rsidRPr="00D237F6">
        <w:rPr>
          <w:rFonts w:asciiTheme="majorBidi" w:eastAsiaTheme="minorEastAsia" w:hAnsiTheme="majorBidi" w:cstheme="majorBidi"/>
        </w:rPr>
        <w:t>；</w:t>
      </w:r>
      <w:r>
        <w:rPr>
          <w:rFonts w:ascii="Time New Roman" w:eastAsia="楷体" w:hAnsi="Time New Roman" w:cstheme="majorBidi"/>
        </w:rPr>
        <w:t>Victory</w:t>
      </w:r>
      <w:r w:rsidRPr="00D237F6">
        <w:rPr>
          <w:rFonts w:ascii="Time New Roman" w:eastAsia="楷体" w:hAnsi="Time New Roman" w:cstheme="majorBidi"/>
        </w:rPr>
        <w:t>诉</w:t>
      </w:r>
      <w:r>
        <w:rPr>
          <w:rFonts w:ascii="Time New Roman" w:eastAsia="楷体" w:hAnsi="Time New Roman" w:cstheme="majorBidi"/>
        </w:rPr>
        <w:t>Comisar</w:t>
      </w:r>
      <w:r w:rsidRPr="00D237F6">
        <w:rPr>
          <w:rFonts w:ascii="Time New Roman" w:eastAsia="楷体" w:hAnsi="Time New Roman" w:cstheme="majorBidi"/>
        </w:rPr>
        <w:t>í</w:t>
      </w:r>
      <w:r>
        <w:rPr>
          <w:rFonts w:ascii="Time New Roman" w:eastAsia="楷体" w:hAnsi="Time New Roman" w:cstheme="majorBidi"/>
        </w:rPr>
        <w:t>a</w:t>
      </w:r>
      <w:r w:rsidRPr="00D237F6">
        <w:rPr>
          <w:rFonts w:asciiTheme="majorBidi" w:eastAsiaTheme="minorEastAsia" w:hAnsiTheme="majorBidi" w:cstheme="majorBidi"/>
          <w:iCs/>
        </w:rPr>
        <w:t>(</w:t>
      </w:r>
      <w:r w:rsidRPr="00D237F6">
        <w:rPr>
          <w:rFonts w:asciiTheme="majorBidi" w:eastAsiaTheme="minorEastAsia" w:hAnsiTheme="majorBidi" w:cstheme="majorBidi"/>
          <w:iCs/>
        </w:rPr>
        <w:t>见上文脚注</w:t>
      </w:r>
      <w:r>
        <w:rPr>
          <w:rFonts w:asciiTheme="majorBidi" w:eastAsiaTheme="minorEastAsia" w:hAnsiTheme="majorBidi" w:cstheme="majorBidi"/>
          <w:iCs/>
        </w:rPr>
        <w:fldChar w:fldCharType="begin"/>
      </w:r>
      <w:r>
        <w:rPr>
          <w:rFonts w:asciiTheme="majorBidi" w:eastAsiaTheme="minorEastAsia" w:hAnsiTheme="majorBidi" w:cstheme="majorBidi"/>
          <w:iCs/>
        </w:rPr>
        <w:instrText xml:space="preserve"> NOTEREF _Ref457292885 \h </w:instrText>
      </w:r>
      <w:r>
        <w:rPr>
          <w:rFonts w:asciiTheme="majorBidi" w:eastAsiaTheme="minorEastAsia" w:hAnsiTheme="majorBidi" w:cstheme="majorBidi"/>
          <w:iCs/>
        </w:rPr>
      </w:r>
      <w:r>
        <w:rPr>
          <w:rFonts w:asciiTheme="majorBidi" w:eastAsiaTheme="minorEastAsia" w:hAnsiTheme="majorBidi" w:cstheme="majorBidi"/>
          <w:iCs/>
        </w:rPr>
        <w:fldChar w:fldCharType="separate"/>
      </w:r>
      <w:r w:rsidR="00A73EB9">
        <w:rPr>
          <w:rFonts w:asciiTheme="majorBidi" w:eastAsiaTheme="minorEastAsia" w:hAnsiTheme="majorBidi" w:cstheme="majorBidi"/>
          <w:iCs/>
        </w:rPr>
        <w:t>1418</w:t>
      </w:r>
      <w:r>
        <w:rPr>
          <w:rFonts w:asciiTheme="majorBidi" w:eastAsiaTheme="minorEastAsia" w:hAnsiTheme="majorBidi" w:cstheme="majorBidi"/>
          <w:iCs/>
        </w:rPr>
        <w:fldChar w:fldCharType="end"/>
      </w:r>
      <w:r w:rsidRPr="00D237F6">
        <w:rPr>
          <w:rFonts w:asciiTheme="majorBidi" w:eastAsiaTheme="minorEastAsia" w:hAnsiTheme="majorBidi" w:cstheme="majorBidi"/>
          <w:iCs/>
        </w:rPr>
        <w:t>)</w:t>
      </w:r>
      <w:r w:rsidRPr="00D237F6">
        <w:rPr>
          <w:rFonts w:asciiTheme="majorBidi" w:eastAsiaTheme="minorEastAsia" w:hAnsiTheme="majorBidi" w:cstheme="majorBidi"/>
        </w:rPr>
        <w:t>。</w:t>
      </w:r>
    </w:p>
  </w:footnote>
  <w:footnote w:id="1423">
    <w:p w:rsidR="00AB00DE" w:rsidRPr="00D237F6" w:rsidRDefault="00AB00DE" w:rsidP="00334F8C">
      <w:pPr>
        <w:pStyle w:val="a4"/>
        <w:spacing w:after="80"/>
        <w:rPr>
          <w:rFonts w:asciiTheme="majorBidi" w:eastAsiaTheme="minorEastAsia" w:hAnsiTheme="majorBidi" w:cstheme="majorBidi"/>
        </w:rPr>
      </w:pPr>
      <w:r>
        <w:rPr>
          <w:rStyle w:val="a5"/>
          <w:rFonts w:asciiTheme="majorBidi" w:eastAsiaTheme="minorEastAsia" w:hAnsiTheme="majorBidi" w:cstheme="majorBidi"/>
        </w:rPr>
        <w:tab/>
      </w:r>
      <w:r w:rsidRPr="004364AE">
        <w:rPr>
          <w:rStyle w:val="a5"/>
          <w:rFonts w:eastAsiaTheme="minorEastAsia" w:cstheme="majorBidi"/>
        </w:rPr>
        <w:footnoteRef/>
      </w:r>
      <w:r>
        <w:rPr>
          <w:rStyle w:val="a5"/>
          <w:rFonts w:asciiTheme="majorBidi" w:eastAsiaTheme="minorEastAsia" w:hAnsiTheme="majorBidi" w:cstheme="majorBidi"/>
        </w:rPr>
        <w:tab/>
      </w:r>
      <w:r w:rsidRPr="00D237F6">
        <w:rPr>
          <w:rFonts w:ascii="Time New Roman" w:eastAsia="楷体" w:hAnsi="Time New Roman" w:cstheme="majorBidi"/>
        </w:rPr>
        <w:t>伊朗帝国案</w:t>
      </w:r>
      <w:r w:rsidRPr="00D237F6">
        <w:rPr>
          <w:rFonts w:asciiTheme="majorBidi" w:eastAsiaTheme="minorEastAsia" w:hAnsiTheme="majorBidi" w:cstheme="majorBidi"/>
          <w:iCs/>
        </w:rPr>
        <w:t>(</w:t>
      </w:r>
      <w:r w:rsidRPr="00D237F6">
        <w:rPr>
          <w:rFonts w:asciiTheme="majorBidi" w:eastAsiaTheme="minorEastAsia" w:hAnsiTheme="majorBidi" w:cstheme="majorBidi"/>
          <w:iCs/>
        </w:rPr>
        <w:t>见</w:t>
      </w:r>
      <w:r w:rsidRPr="00D237F6">
        <w:rPr>
          <w:rFonts w:asciiTheme="majorBidi" w:eastAsiaTheme="minorEastAsia" w:hAnsiTheme="majorBidi" w:cstheme="majorBidi"/>
        </w:rPr>
        <w:t>上文</w:t>
      </w:r>
      <w:r w:rsidRPr="00D237F6">
        <w:rPr>
          <w:rFonts w:asciiTheme="majorBidi" w:eastAsiaTheme="minorEastAsia" w:hAnsiTheme="majorBidi" w:cstheme="majorBidi"/>
          <w:iCs/>
        </w:rPr>
        <w:t>脚注</w:t>
      </w:r>
      <w:r>
        <w:rPr>
          <w:rFonts w:asciiTheme="majorBidi" w:eastAsiaTheme="minorEastAsia" w:hAnsiTheme="majorBidi" w:cstheme="majorBidi"/>
          <w:iCs/>
        </w:rPr>
        <w:fldChar w:fldCharType="begin"/>
      </w:r>
      <w:r>
        <w:rPr>
          <w:rFonts w:asciiTheme="majorBidi" w:eastAsiaTheme="minorEastAsia" w:hAnsiTheme="majorBidi" w:cstheme="majorBidi"/>
          <w:iCs/>
        </w:rPr>
        <w:instrText xml:space="preserve"> NOTEREF _Ref457292885 \h </w:instrText>
      </w:r>
      <w:r>
        <w:rPr>
          <w:rFonts w:asciiTheme="majorBidi" w:eastAsiaTheme="minorEastAsia" w:hAnsiTheme="majorBidi" w:cstheme="majorBidi"/>
          <w:iCs/>
        </w:rPr>
      </w:r>
      <w:r>
        <w:rPr>
          <w:rFonts w:asciiTheme="majorBidi" w:eastAsiaTheme="minorEastAsia" w:hAnsiTheme="majorBidi" w:cstheme="majorBidi"/>
          <w:iCs/>
        </w:rPr>
        <w:fldChar w:fldCharType="separate"/>
      </w:r>
      <w:r w:rsidR="00A73EB9">
        <w:rPr>
          <w:rFonts w:asciiTheme="majorBidi" w:eastAsiaTheme="minorEastAsia" w:hAnsiTheme="majorBidi" w:cstheme="majorBidi"/>
          <w:iCs/>
        </w:rPr>
        <w:t>1418</w:t>
      </w:r>
      <w:r>
        <w:rPr>
          <w:rFonts w:asciiTheme="majorBidi" w:eastAsiaTheme="minorEastAsia" w:hAnsiTheme="majorBidi" w:cstheme="majorBidi"/>
          <w:iCs/>
        </w:rPr>
        <w:fldChar w:fldCharType="end"/>
      </w:r>
      <w:r w:rsidRPr="00D237F6">
        <w:rPr>
          <w:rFonts w:asciiTheme="majorBidi" w:eastAsiaTheme="minorEastAsia" w:hAnsiTheme="majorBidi" w:cstheme="majorBidi"/>
          <w:iCs/>
        </w:rPr>
        <w:t>)</w:t>
      </w:r>
      <w:r w:rsidRPr="00D237F6">
        <w:rPr>
          <w:rFonts w:asciiTheme="majorBidi" w:eastAsiaTheme="minorEastAsia" w:hAnsiTheme="majorBidi" w:cstheme="majorBidi"/>
        </w:rPr>
        <w:t>；第</w:t>
      </w:r>
      <w:r>
        <w:rPr>
          <w:rFonts w:asciiTheme="majorBidi" w:eastAsiaTheme="minorEastAsia" w:hAnsiTheme="majorBidi" w:cstheme="majorBidi"/>
        </w:rPr>
        <w:t>12</w:t>
      </w:r>
      <w:r w:rsidRPr="00D237F6">
        <w:rPr>
          <w:rFonts w:asciiTheme="majorBidi" w:eastAsiaTheme="minorEastAsia" w:hAnsiTheme="majorBidi" w:cstheme="majorBidi"/>
        </w:rPr>
        <w:t>-</w:t>
      </w:r>
      <w:r>
        <w:rPr>
          <w:rFonts w:asciiTheme="majorBidi" w:eastAsiaTheme="minorEastAsia" w:hAnsiTheme="majorBidi" w:cstheme="majorBidi"/>
        </w:rPr>
        <w:t>81</w:t>
      </w:r>
      <w:r w:rsidRPr="00D237F6">
        <w:rPr>
          <w:rFonts w:asciiTheme="majorBidi" w:eastAsiaTheme="minorEastAsia" w:hAnsiTheme="majorBidi" w:cstheme="majorBidi"/>
        </w:rPr>
        <w:t>.</w:t>
      </w:r>
      <w:r>
        <w:rPr>
          <w:rFonts w:asciiTheme="majorBidi" w:eastAsiaTheme="minorEastAsia" w:hAnsiTheme="majorBidi" w:cstheme="majorBidi"/>
        </w:rPr>
        <w:t>676</w:t>
      </w:r>
      <w:r w:rsidRPr="00D237F6">
        <w:rPr>
          <w:rFonts w:asciiTheme="majorBidi" w:eastAsiaTheme="minorEastAsia" w:hAnsiTheme="majorBidi" w:cstheme="majorBidi"/>
        </w:rPr>
        <w:t>号案件，最高上诉法院刑事庭</w:t>
      </w:r>
      <w:r w:rsidRPr="00D237F6">
        <w:rPr>
          <w:rFonts w:asciiTheme="majorBidi" w:eastAsiaTheme="minorEastAsia" w:hAnsiTheme="majorBidi" w:cstheme="majorBidi"/>
        </w:rPr>
        <w:t>(</w:t>
      </w:r>
      <w:r w:rsidRPr="00D237F6">
        <w:rPr>
          <w:rFonts w:asciiTheme="majorBidi" w:eastAsiaTheme="minorEastAsia" w:hAnsiTheme="majorBidi" w:cstheme="majorBidi"/>
        </w:rPr>
        <w:t>法国</w:t>
      </w:r>
      <w:r w:rsidRPr="00D237F6">
        <w:rPr>
          <w:rFonts w:asciiTheme="majorBidi" w:eastAsiaTheme="minorEastAsia" w:hAnsiTheme="majorBidi" w:cstheme="majorBidi"/>
        </w:rPr>
        <w:t>)</w:t>
      </w:r>
      <w:r w:rsidRPr="00D237F6">
        <w:rPr>
          <w:rFonts w:asciiTheme="majorBidi" w:eastAsiaTheme="minorEastAsia" w:hAnsiTheme="majorBidi" w:cstheme="majorBidi"/>
        </w:rPr>
        <w:t>，</w:t>
      </w:r>
      <w:r>
        <w:rPr>
          <w:rFonts w:asciiTheme="majorBidi" w:eastAsiaTheme="minorEastAsia" w:hAnsiTheme="majorBidi" w:cstheme="majorBidi"/>
        </w:rPr>
        <w:t>2013</w:t>
      </w:r>
      <w:r w:rsidRPr="00D237F6">
        <w:rPr>
          <w:rFonts w:asciiTheme="majorBidi" w:eastAsiaTheme="minorEastAsia" w:hAnsiTheme="majorBidi" w:cstheme="majorBidi"/>
        </w:rPr>
        <w:t>年</w:t>
      </w:r>
      <w:r>
        <w:rPr>
          <w:rFonts w:asciiTheme="majorBidi" w:eastAsiaTheme="minorEastAsia" w:hAnsiTheme="majorBidi" w:cstheme="majorBidi"/>
        </w:rPr>
        <w:t>3</w:t>
      </w:r>
      <w:r w:rsidRPr="00D237F6">
        <w:rPr>
          <w:rFonts w:asciiTheme="majorBidi" w:eastAsiaTheme="minorEastAsia" w:hAnsiTheme="majorBidi" w:cstheme="majorBidi"/>
        </w:rPr>
        <w:t>月</w:t>
      </w:r>
      <w:r>
        <w:rPr>
          <w:rFonts w:asciiTheme="majorBidi" w:eastAsiaTheme="minorEastAsia" w:hAnsiTheme="majorBidi" w:cstheme="majorBidi"/>
        </w:rPr>
        <w:t>19</w:t>
      </w:r>
      <w:r w:rsidRPr="00D237F6">
        <w:rPr>
          <w:rFonts w:asciiTheme="majorBidi" w:eastAsiaTheme="minorEastAsia" w:hAnsiTheme="majorBidi" w:cstheme="majorBidi"/>
        </w:rPr>
        <w:t>日的判决，以及第</w:t>
      </w:r>
      <w:r>
        <w:rPr>
          <w:rFonts w:asciiTheme="majorBidi" w:eastAsiaTheme="minorEastAsia" w:hAnsiTheme="majorBidi" w:cstheme="majorBidi"/>
        </w:rPr>
        <w:t>13</w:t>
      </w:r>
      <w:r w:rsidRPr="00D237F6">
        <w:rPr>
          <w:rFonts w:asciiTheme="majorBidi" w:eastAsiaTheme="minorEastAsia" w:hAnsiTheme="majorBidi" w:cstheme="majorBidi"/>
        </w:rPr>
        <w:t>-</w:t>
      </w:r>
      <w:r>
        <w:rPr>
          <w:rFonts w:asciiTheme="majorBidi" w:eastAsiaTheme="minorEastAsia" w:hAnsiTheme="majorBidi" w:cstheme="majorBidi"/>
        </w:rPr>
        <w:t>80</w:t>
      </w:r>
      <w:r w:rsidRPr="00D237F6">
        <w:rPr>
          <w:rFonts w:asciiTheme="majorBidi" w:eastAsiaTheme="minorEastAsia" w:hAnsiTheme="majorBidi" w:cstheme="majorBidi"/>
        </w:rPr>
        <w:t>.</w:t>
      </w:r>
      <w:r>
        <w:rPr>
          <w:rFonts w:asciiTheme="majorBidi" w:eastAsiaTheme="minorEastAsia" w:hAnsiTheme="majorBidi" w:cstheme="majorBidi"/>
        </w:rPr>
        <w:t>158</w:t>
      </w:r>
      <w:r w:rsidRPr="00D237F6">
        <w:rPr>
          <w:rFonts w:asciiTheme="majorBidi" w:eastAsiaTheme="minorEastAsia" w:hAnsiTheme="majorBidi" w:cstheme="majorBidi"/>
        </w:rPr>
        <w:t>号案件，最高上诉法院刑事庭</w:t>
      </w:r>
      <w:r w:rsidRPr="00D237F6">
        <w:rPr>
          <w:rFonts w:asciiTheme="majorBidi" w:eastAsiaTheme="minorEastAsia" w:hAnsiTheme="majorBidi" w:cstheme="majorBidi"/>
        </w:rPr>
        <w:t>(</w:t>
      </w:r>
      <w:r w:rsidRPr="00D237F6">
        <w:rPr>
          <w:rFonts w:asciiTheme="majorBidi" w:eastAsiaTheme="minorEastAsia" w:hAnsiTheme="majorBidi" w:cstheme="majorBidi"/>
        </w:rPr>
        <w:t>法国</w:t>
      </w:r>
      <w:r w:rsidRPr="00D237F6">
        <w:rPr>
          <w:rFonts w:asciiTheme="majorBidi" w:eastAsiaTheme="minorEastAsia" w:hAnsiTheme="majorBidi" w:cstheme="majorBidi"/>
        </w:rPr>
        <w:t>)</w:t>
      </w:r>
      <w:r w:rsidRPr="00D237F6">
        <w:rPr>
          <w:rFonts w:asciiTheme="majorBidi" w:eastAsiaTheme="minorEastAsia" w:hAnsiTheme="majorBidi" w:cstheme="majorBidi"/>
        </w:rPr>
        <w:t>，</w:t>
      </w:r>
      <w:r>
        <w:rPr>
          <w:rFonts w:asciiTheme="majorBidi" w:eastAsiaTheme="minorEastAsia" w:hAnsiTheme="majorBidi" w:cstheme="majorBidi"/>
        </w:rPr>
        <w:t>2014</w:t>
      </w:r>
      <w:r w:rsidRPr="00D237F6">
        <w:rPr>
          <w:rFonts w:asciiTheme="majorBidi" w:eastAsiaTheme="minorEastAsia" w:hAnsiTheme="majorBidi" w:cstheme="majorBidi"/>
        </w:rPr>
        <w:t>年</w:t>
      </w:r>
      <w:r>
        <w:rPr>
          <w:rFonts w:asciiTheme="majorBidi" w:eastAsiaTheme="minorEastAsia" w:hAnsiTheme="majorBidi" w:cstheme="majorBidi"/>
        </w:rPr>
        <w:t>6</w:t>
      </w:r>
      <w:r w:rsidRPr="00D237F6">
        <w:rPr>
          <w:rFonts w:asciiTheme="majorBidi" w:eastAsiaTheme="minorEastAsia" w:hAnsiTheme="majorBidi" w:cstheme="majorBidi"/>
        </w:rPr>
        <w:t>月</w:t>
      </w:r>
      <w:r>
        <w:rPr>
          <w:rFonts w:asciiTheme="majorBidi" w:eastAsiaTheme="minorEastAsia" w:hAnsiTheme="majorBidi" w:cstheme="majorBidi"/>
        </w:rPr>
        <w:t>17</w:t>
      </w:r>
      <w:r w:rsidRPr="00D237F6">
        <w:rPr>
          <w:rFonts w:asciiTheme="majorBidi" w:eastAsiaTheme="minorEastAsia" w:hAnsiTheme="majorBidi" w:cstheme="majorBidi"/>
        </w:rPr>
        <w:t>日的判决</w:t>
      </w:r>
      <w:r w:rsidRPr="00D237F6">
        <w:rPr>
          <w:rFonts w:asciiTheme="majorBidi" w:eastAsiaTheme="minorEastAsia" w:hAnsiTheme="majorBidi" w:cstheme="majorBidi"/>
        </w:rPr>
        <w:t>(</w:t>
      </w:r>
      <w:r w:rsidRPr="00D237F6">
        <w:rPr>
          <w:rFonts w:asciiTheme="majorBidi" w:eastAsiaTheme="minorEastAsia" w:hAnsiTheme="majorBidi" w:cstheme="majorBidi"/>
        </w:rPr>
        <w:t>见</w:t>
      </w:r>
      <w:hyperlink r:id="rId331" w:history="1">
        <w:r>
          <w:rPr>
            <w:rFonts w:asciiTheme="majorBidi" w:eastAsiaTheme="minorEastAsia" w:hAnsiTheme="majorBidi" w:cstheme="majorBidi"/>
          </w:rPr>
          <w:t>www</w:t>
        </w:r>
        <w:r w:rsidRPr="00D237F6">
          <w:rPr>
            <w:rFonts w:asciiTheme="majorBidi" w:eastAsiaTheme="minorEastAsia" w:hAnsiTheme="majorBidi" w:cstheme="majorBidi"/>
          </w:rPr>
          <w:t>.</w:t>
        </w:r>
        <w:r>
          <w:rPr>
            <w:rFonts w:asciiTheme="majorBidi" w:eastAsiaTheme="minorEastAsia" w:hAnsiTheme="majorBidi" w:cstheme="majorBidi"/>
          </w:rPr>
          <w:t>legifrance</w:t>
        </w:r>
        <w:r w:rsidRPr="00D237F6">
          <w:rPr>
            <w:rFonts w:asciiTheme="majorBidi" w:eastAsiaTheme="minorEastAsia" w:hAnsiTheme="majorBidi" w:cstheme="majorBidi"/>
          </w:rPr>
          <w:t>.</w:t>
        </w:r>
        <w:r>
          <w:rPr>
            <w:rFonts w:asciiTheme="majorBidi" w:eastAsiaTheme="minorEastAsia" w:hAnsiTheme="majorBidi" w:cstheme="majorBidi"/>
          </w:rPr>
          <w:t>gouv</w:t>
        </w:r>
        <w:r w:rsidRPr="00D237F6">
          <w:rPr>
            <w:rFonts w:asciiTheme="majorBidi" w:eastAsiaTheme="minorEastAsia" w:hAnsiTheme="majorBidi" w:cstheme="majorBidi"/>
          </w:rPr>
          <w:t>.</w:t>
        </w:r>
        <w:r>
          <w:rPr>
            <w:rFonts w:asciiTheme="majorBidi" w:eastAsiaTheme="minorEastAsia" w:hAnsiTheme="majorBidi" w:cstheme="majorBidi"/>
          </w:rPr>
          <w:t>fr</w:t>
        </w:r>
      </w:hyperlink>
      <w:r w:rsidRPr="00D237F6">
        <w:rPr>
          <w:rFonts w:asciiTheme="majorBidi" w:eastAsiaTheme="minorEastAsia" w:hAnsiTheme="majorBidi" w:cstheme="majorBidi"/>
        </w:rPr>
        <w:t>)</w:t>
      </w:r>
      <w:r w:rsidRPr="00D237F6">
        <w:rPr>
          <w:rFonts w:asciiTheme="majorBidi" w:eastAsiaTheme="minorEastAsia" w:hAnsiTheme="majorBidi" w:cstheme="majorBidi"/>
        </w:rPr>
        <w:t>。瑞士法院在涉及西班牙一名法官发出的国际拘留令的</w:t>
      </w:r>
      <w:r>
        <w:t>ATF</w:t>
      </w:r>
      <w:r w:rsidRPr="004D25D3">
        <w:t xml:space="preserve"> </w:t>
      </w:r>
      <w:r>
        <w:t>130</w:t>
      </w:r>
      <w:r w:rsidRPr="004D25D3">
        <w:t xml:space="preserve"> </w:t>
      </w:r>
      <w:r>
        <w:t>III</w:t>
      </w:r>
      <w:r w:rsidRPr="004D25D3">
        <w:t xml:space="preserve"> </w:t>
      </w:r>
      <w:r>
        <w:t>136</w:t>
      </w:r>
      <w:r w:rsidRPr="00D237F6">
        <w:rPr>
          <w:rFonts w:asciiTheme="majorBidi" w:eastAsiaTheme="minorEastAsia" w:hAnsiTheme="majorBidi" w:cstheme="majorBidi"/>
        </w:rPr>
        <w:t>案中作了类似的裁决。</w:t>
      </w:r>
    </w:p>
  </w:footnote>
  <w:footnote w:id="1424">
    <w:p w:rsidR="00AB00DE" w:rsidRPr="00D237F6" w:rsidRDefault="00AB00DE" w:rsidP="00334F8C">
      <w:pPr>
        <w:pStyle w:val="a4"/>
        <w:spacing w:after="80"/>
        <w:rPr>
          <w:rFonts w:asciiTheme="majorBidi" w:eastAsiaTheme="minorEastAsia" w:hAnsiTheme="majorBidi" w:cstheme="majorBidi"/>
        </w:rPr>
      </w:pPr>
      <w:r>
        <w:rPr>
          <w:rStyle w:val="a5"/>
          <w:rFonts w:asciiTheme="majorBidi" w:eastAsiaTheme="minorEastAsia" w:hAnsiTheme="majorBidi" w:cstheme="majorBidi"/>
        </w:rPr>
        <w:tab/>
      </w:r>
      <w:r w:rsidRPr="003D3D39">
        <w:rPr>
          <w:rStyle w:val="a5"/>
          <w:rFonts w:eastAsiaTheme="minorEastAsia" w:cstheme="majorBidi"/>
        </w:rPr>
        <w:footnoteRef/>
      </w:r>
      <w:r>
        <w:rPr>
          <w:rStyle w:val="a5"/>
          <w:rFonts w:asciiTheme="majorBidi" w:eastAsiaTheme="minorEastAsia" w:hAnsiTheme="majorBidi" w:cstheme="majorBidi"/>
        </w:rPr>
        <w:tab/>
      </w:r>
      <w:r>
        <w:rPr>
          <w:rFonts w:ascii="Time New Roman" w:eastAsia="楷体" w:hAnsi="Time New Roman" w:cstheme="majorBidi"/>
        </w:rPr>
        <w:t>Victory</w:t>
      </w:r>
      <w:r w:rsidRPr="00D237F6">
        <w:rPr>
          <w:rFonts w:ascii="Time New Roman" w:eastAsia="楷体" w:hAnsi="Time New Roman" w:cstheme="majorBidi"/>
        </w:rPr>
        <w:t>诉</w:t>
      </w:r>
      <w:r>
        <w:rPr>
          <w:rFonts w:ascii="Time New Roman" w:eastAsia="楷体" w:hAnsi="Time New Roman" w:cstheme="majorBidi"/>
        </w:rPr>
        <w:t>Comisar</w:t>
      </w:r>
      <w:r w:rsidRPr="00D237F6">
        <w:rPr>
          <w:rFonts w:ascii="Time New Roman" w:eastAsia="楷体" w:hAnsi="Time New Roman" w:cstheme="majorBidi"/>
        </w:rPr>
        <w:t>í</w:t>
      </w:r>
      <w:r>
        <w:rPr>
          <w:rFonts w:ascii="Time New Roman" w:eastAsia="楷体" w:hAnsi="Time New Roman" w:cstheme="majorBidi"/>
        </w:rPr>
        <w:t>a</w:t>
      </w:r>
      <w:r w:rsidRPr="00D237F6">
        <w:rPr>
          <w:rFonts w:asciiTheme="majorBidi" w:eastAsiaTheme="minorEastAsia" w:hAnsiTheme="majorBidi" w:cstheme="majorBidi"/>
          <w:iCs/>
        </w:rPr>
        <w:t>(</w:t>
      </w:r>
      <w:r w:rsidRPr="00D237F6">
        <w:rPr>
          <w:rFonts w:asciiTheme="majorBidi" w:eastAsiaTheme="minorEastAsia" w:hAnsiTheme="majorBidi" w:cstheme="majorBidi"/>
          <w:iCs/>
        </w:rPr>
        <w:t>见上文脚注</w:t>
      </w:r>
      <w:r>
        <w:rPr>
          <w:rFonts w:asciiTheme="majorBidi" w:eastAsiaTheme="minorEastAsia" w:hAnsiTheme="majorBidi" w:cstheme="majorBidi"/>
          <w:iCs/>
        </w:rPr>
        <w:fldChar w:fldCharType="begin"/>
      </w:r>
      <w:r>
        <w:rPr>
          <w:rFonts w:asciiTheme="majorBidi" w:eastAsiaTheme="minorEastAsia" w:hAnsiTheme="majorBidi" w:cstheme="majorBidi"/>
          <w:iCs/>
        </w:rPr>
        <w:instrText xml:space="preserve"> NOTEREF _Ref457292885 \h </w:instrText>
      </w:r>
      <w:r>
        <w:rPr>
          <w:rFonts w:asciiTheme="majorBidi" w:eastAsiaTheme="minorEastAsia" w:hAnsiTheme="majorBidi" w:cstheme="majorBidi"/>
          <w:iCs/>
        </w:rPr>
      </w:r>
      <w:r>
        <w:rPr>
          <w:rFonts w:asciiTheme="majorBidi" w:eastAsiaTheme="minorEastAsia" w:hAnsiTheme="majorBidi" w:cstheme="majorBidi"/>
          <w:iCs/>
        </w:rPr>
        <w:fldChar w:fldCharType="separate"/>
      </w:r>
      <w:r w:rsidR="00A73EB9">
        <w:rPr>
          <w:rFonts w:asciiTheme="majorBidi" w:eastAsiaTheme="minorEastAsia" w:hAnsiTheme="majorBidi" w:cstheme="majorBidi"/>
          <w:iCs/>
        </w:rPr>
        <w:t>1418</w:t>
      </w:r>
      <w:r>
        <w:rPr>
          <w:rFonts w:asciiTheme="majorBidi" w:eastAsiaTheme="minorEastAsia" w:hAnsiTheme="majorBidi" w:cstheme="majorBidi"/>
          <w:iCs/>
        </w:rPr>
        <w:fldChar w:fldCharType="end"/>
      </w:r>
      <w:r w:rsidRPr="00D237F6">
        <w:rPr>
          <w:rFonts w:asciiTheme="majorBidi" w:eastAsiaTheme="minorEastAsia" w:hAnsiTheme="majorBidi" w:cstheme="majorBidi"/>
          <w:iCs/>
        </w:rPr>
        <w:t>)</w:t>
      </w:r>
      <w:r w:rsidRPr="00D237F6">
        <w:rPr>
          <w:rFonts w:asciiTheme="majorBidi" w:eastAsiaTheme="minorEastAsia" w:hAnsiTheme="majorBidi" w:cstheme="majorBidi"/>
        </w:rPr>
        <w:t>；</w:t>
      </w:r>
      <w:r>
        <w:rPr>
          <w:rFonts w:ascii="Time New Roman" w:eastAsia="楷体" w:hAnsi="Time New Roman" w:cstheme="majorBidi"/>
        </w:rPr>
        <w:t>Rukmini</w:t>
      </w:r>
      <w:r>
        <w:rPr>
          <w:rFonts w:ascii="Time New Roman" w:eastAsia="楷体" w:hAnsi="Time New Roman" w:cstheme="majorBidi" w:hint="eastAsia"/>
        </w:rPr>
        <w:t xml:space="preserve"> </w:t>
      </w:r>
      <w:r>
        <w:rPr>
          <w:rFonts w:ascii="Time New Roman" w:eastAsia="楷体" w:hAnsi="Time New Roman" w:cstheme="majorBidi"/>
        </w:rPr>
        <w:t>S</w:t>
      </w:r>
      <w:r w:rsidRPr="00D237F6">
        <w:rPr>
          <w:rFonts w:ascii="Time New Roman" w:eastAsia="楷体" w:hAnsi="Time New Roman" w:cstheme="majorBidi"/>
        </w:rPr>
        <w:t>.</w:t>
      </w:r>
      <w:r>
        <w:rPr>
          <w:rFonts w:ascii="Time New Roman" w:eastAsia="楷体" w:hAnsi="Time New Roman" w:cstheme="majorBidi" w:hint="eastAsia"/>
        </w:rPr>
        <w:t xml:space="preserve"> </w:t>
      </w:r>
      <w:r>
        <w:rPr>
          <w:rFonts w:ascii="Time New Roman" w:eastAsia="楷体" w:hAnsi="Time New Roman" w:cstheme="majorBidi"/>
        </w:rPr>
        <w:t>Kline</w:t>
      </w:r>
      <w:r w:rsidRPr="00D237F6">
        <w:rPr>
          <w:rFonts w:ascii="Time New Roman" w:eastAsia="楷体" w:hAnsi="Time New Roman" w:cstheme="majorBidi"/>
        </w:rPr>
        <w:t>等诉</w:t>
      </w:r>
      <w:r>
        <w:rPr>
          <w:rFonts w:ascii="Time New Roman" w:eastAsia="楷体" w:hAnsi="Time New Roman" w:cstheme="majorBidi"/>
        </w:rPr>
        <w:t>Yasuyuki</w:t>
      </w:r>
      <w:r>
        <w:rPr>
          <w:rFonts w:ascii="Time New Roman" w:eastAsia="楷体" w:hAnsi="Time New Roman" w:cstheme="majorBidi" w:hint="eastAsia"/>
        </w:rPr>
        <w:t xml:space="preserve"> </w:t>
      </w:r>
      <w:r>
        <w:rPr>
          <w:rFonts w:ascii="Time New Roman" w:eastAsia="楷体" w:hAnsi="Time New Roman" w:cstheme="majorBidi"/>
        </w:rPr>
        <w:t>Kaneko</w:t>
      </w:r>
      <w:r w:rsidRPr="00D237F6">
        <w:rPr>
          <w:rFonts w:ascii="Time New Roman" w:eastAsia="楷体" w:hAnsi="Time New Roman" w:cstheme="majorBidi"/>
        </w:rPr>
        <w:t>等</w:t>
      </w:r>
      <w:r w:rsidRPr="005D2876">
        <w:rPr>
          <w:rFonts w:asciiTheme="majorBidi" w:eastAsiaTheme="minorEastAsia" w:hAnsiTheme="majorBidi" w:cstheme="majorBidi"/>
          <w:iCs/>
        </w:rPr>
        <w:t>，</w:t>
      </w:r>
      <w:r>
        <w:t>US</w:t>
      </w:r>
      <w:r w:rsidRPr="004D25D3">
        <w:t xml:space="preserve">, </w:t>
      </w:r>
      <w:r>
        <w:t>685</w:t>
      </w:r>
      <w:r w:rsidRPr="004D25D3">
        <w:t xml:space="preserve"> </w:t>
      </w:r>
      <w:r>
        <w:t>F</w:t>
      </w:r>
      <w:r w:rsidRPr="004D25D3">
        <w:t xml:space="preserve"> </w:t>
      </w:r>
      <w:r>
        <w:t>Supp</w:t>
      </w:r>
      <w:r w:rsidRPr="004D25D3">
        <w:t xml:space="preserve"> </w:t>
      </w:r>
      <w:r>
        <w:t>386</w:t>
      </w:r>
      <w:r w:rsidRPr="004D25D3">
        <w:t xml:space="preserve"> (</w:t>
      </w:r>
      <w:r>
        <w:t>SDNY</w:t>
      </w:r>
      <w:r w:rsidRPr="004D25D3">
        <w:t xml:space="preserve"> </w:t>
      </w:r>
      <w:r>
        <w:t>1988</w:t>
      </w:r>
      <w:r w:rsidRPr="00D237F6">
        <w:rPr>
          <w:rFonts w:asciiTheme="majorBidi" w:eastAsiaTheme="minorEastAsia" w:hAnsiTheme="majorBidi" w:cstheme="majorBidi"/>
        </w:rPr>
        <w:t>)</w:t>
      </w:r>
      <w:r w:rsidRPr="00D237F6">
        <w:rPr>
          <w:rFonts w:asciiTheme="majorBidi" w:eastAsiaTheme="minorEastAsia" w:hAnsiTheme="majorBidi" w:cstheme="majorBidi"/>
        </w:rPr>
        <w:t>，《国际法案例汇编》，第</w:t>
      </w:r>
      <w:r>
        <w:rPr>
          <w:rFonts w:asciiTheme="majorBidi" w:eastAsiaTheme="minorEastAsia" w:hAnsiTheme="majorBidi" w:cstheme="majorBidi"/>
        </w:rPr>
        <w:t>101</w:t>
      </w:r>
      <w:r w:rsidRPr="00D237F6">
        <w:rPr>
          <w:rFonts w:asciiTheme="majorBidi" w:eastAsiaTheme="minorEastAsia" w:hAnsiTheme="majorBidi" w:cstheme="majorBidi"/>
        </w:rPr>
        <w:t>卷，第</w:t>
      </w:r>
      <w:r>
        <w:rPr>
          <w:rFonts w:asciiTheme="majorBidi" w:eastAsiaTheme="minorEastAsia" w:hAnsiTheme="majorBidi" w:cstheme="majorBidi"/>
        </w:rPr>
        <w:t>497</w:t>
      </w:r>
      <w:r w:rsidRPr="00D237F6">
        <w:rPr>
          <w:rFonts w:asciiTheme="majorBidi" w:eastAsiaTheme="minorEastAsia" w:hAnsiTheme="majorBidi" w:cstheme="majorBidi"/>
        </w:rPr>
        <w:t>页；</w:t>
      </w:r>
      <w:r w:rsidRPr="00D237F6">
        <w:rPr>
          <w:rFonts w:ascii="Time New Roman" w:eastAsia="楷体" w:hAnsi="Time New Roman" w:cstheme="majorBidi"/>
        </w:rPr>
        <w:t>马耳他海事当局，</w:t>
      </w:r>
      <w:r>
        <w:rPr>
          <w:rFonts w:asciiTheme="majorBidi" w:eastAsiaTheme="minorEastAsia" w:hAnsiTheme="majorBidi" w:cstheme="majorBidi" w:hint="eastAsia"/>
        </w:rPr>
        <w:t>第</w:t>
      </w:r>
      <w:r>
        <w:rPr>
          <w:rFonts w:asciiTheme="majorBidi" w:eastAsiaTheme="minorEastAsia" w:hAnsiTheme="majorBidi" w:cstheme="majorBidi" w:hint="eastAsia"/>
        </w:rPr>
        <w:t xml:space="preserve"> </w:t>
      </w:r>
      <w:r>
        <w:rPr>
          <w:rFonts w:asciiTheme="majorBidi" w:eastAsiaTheme="minorEastAsia" w:hAnsiTheme="majorBidi" w:cstheme="majorBidi"/>
        </w:rPr>
        <w:t>04</w:t>
      </w:r>
      <w:r w:rsidRPr="00D237F6">
        <w:rPr>
          <w:rFonts w:asciiTheme="majorBidi" w:eastAsiaTheme="minorEastAsia" w:hAnsiTheme="majorBidi" w:cstheme="majorBidi"/>
        </w:rPr>
        <w:t>-</w:t>
      </w:r>
      <w:r>
        <w:rPr>
          <w:rFonts w:asciiTheme="majorBidi" w:eastAsiaTheme="minorEastAsia" w:hAnsiTheme="majorBidi" w:cstheme="majorBidi"/>
        </w:rPr>
        <w:t>84</w:t>
      </w:r>
      <w:r w:rsidRPr="00D237F6">
        <w:rPr>
          <w:rFonts w:asciiTheme="majorBidi" w:eastAsiaTheme="minorEastAsia" w:hAnsiTheme="majorBidi" w:cstheme="majorBidi"/>
        </w:rPr>
        <w:t>.</w:t>
      </w:r>
      <w:r>
        <w:rPr>
          <w:rFonts w:asciiTheme="majorBidi" w:eastAsiaTheme="minorEastAsia" w:hAnsiTheme="majorBidi" w:cstheme="majorBidi"/>
        </w:rPr>
        <w:t>265</w:t>
      </w:r>
      <w:r>
        <w:rPr>
          <w:rFonts w:asciiTheme="majorBidi" w:eastAsiaTheme="minorEastAsia" w:hAnsiTheme="majorBidi" w:cstheme="majorBidi" w:hint="eastAsia"/>
        </w:rPr>
        <w:t>号案件，</w:t>
      </w:r>
      <w:r w:rsidRPr="00D237F6">
        <w:rPr>
          <w:rFonts w:asciiTheme="majorBidi" w:eastAsiaTheme="minorEastAsia" w:hAnsiTheme="majorBidi" w:cstheme="majorBidi"/>
        </w:rPr>
        <w:t>最高上诉法院刑事庭</w:t>
      </w:r>
      <w:r w:rsidRPr="00D237F6">
        <w:rPr>
          <w:rFonts w:asciiTheme="majorBidi" w:eastAsiaTheme="minorEastAsia" w:hAnsiTheme="majorBidi" w:cstheme="majorBidi"/>
        </w:rPr>
        <w:t>(</w:t>
      </w:r>
      <w:r w:rsidRPr="00D237F6">
        <w:rPr>
          <w:rFonts w:asciiTheme="majorBidi" w:eastAsiaTheme="minorEastAsia" w:hAnsiTheme="majorBidi" w:cstheme="majorBidi"/>
        </w:rPr>
        <w:t>法国</w:t>
      </w:r>
      <w:r w:rsidRPr="00D237F6">
        <w:rPr>
          <w:rFonts w:asciiTheme="majorBidi" w:eastAsiaTheme="minorEastAsia" w:hAnsiTheme="majorBidi" w:cstheme="majorBidi"/>
        </w:rPr>
        <w:t>)</w:t>
      </w:r>
      <w:r w:rsidRPr="00D237F6">
        <w:rPr>
          <w:rFonts w:asciiTheme="majorBidi" w:eastAsiaTheme="minorEastAsia" w:hAnsiTheme="majorBidi" w:cstheme="majorBidi"/>
        </w:rPr>
        <w:t>，</w:t>
      </w:r>
      <w:r>
        <w:rPr>
          <w:rFonts w:asciiTheme="majorBidi" w:eastAsiaTheme="minorEastAsia" w:hAnsiTheme="majorBidi" w:cstheme="majorBidi"/>
        </w:rPr>
        <w:t>2004</w:t>
      </w:r>
      <w:r w:rsidRPr="00D237F6">
        <w:rPr>
          <w:rFonts w:asciiTheme="majorBidi" w:eastAsiaTheme="minorEastAsia" w:hAnsiTheme="majorBidi" w:cstheme="majorBidi"/>
        </w:rPr>
        <w:t>年</w:t>
      </w:r>
      <w:r>
        <w:rPr>
          <w:rFonts w:asciiTheme="majorBidi" w:eastAsiaTheme="minorEastAsia" w:hAnsiTheme="majorBidi" w:cstheme="majorBidi"/>
        </w:rPr>
        <w:t>11</w:t>
      </w:r>
      <w:r w:rsidRPr="00D237F6">
        <w:rPr>
          <w:rFonts w:asciiTheme="majorBidi" w:eastAsiaTheme="minorEastAsia" w:hAnsiTheme="majorBidi" w:cstheme="majorBidi"/>
        </w:rPr>
        <w:t>月</w:t>
      </w:r>
      <w:r>
        <w:rPr>
          <w:rFonts w:asciiTheme="majorBidi" w:eastAsiaTheme="minorEastAsia" w:hAnsiTheme="majorBidi" w:cstheme="majorBidi"/>
        </w:rPr>
        <w:t>23</w:t>
      </w:r>
      <w:r w:rsidRPr="00D237F6">
        <w:rPr>
          <w:rFonts w:asciiTheme="majorBidi" w:eastAsiaTheme="minorEastAsia" w:hAnsiTheme="majorBidi" w:cstheme="majorBidi"/>
        </w:rPr>
        <w:t>日的判决，</w:t>
      </w:r>
      <w:r>
        <w:rPr>
          <w:rFonts w:asciiTheme="majorBidi" w:eastAsiaTheme="minorEastAsia" w:hAnsiTheme="majorBidi" w:cstheme="majorBidi"/>
          <w:i/>
          <w:iCs/>
        </w:rPr>
        <w:t>Bulletin</w:t>
      </w:r>
      <w:r>
        <w:rPr>
          <w:rFonts w:asciiTheme="majorBidi" w:eastAsiaTheme="minorEastAsia" w:hAnsiTheme="majorBidi" w:cstheme="majorBidi" w:hint="eastAsia"/>
          <w:i/>
          <w:iCs/>
        </w:rPr>
        <w:t xml:space="preserve"> </w:t>
      </w:r>
      <w:r>
        <w:rPr>
          <w:rFonts w:asciiTheme="majorBidi" w:eastAsiaTheme="minorEastAsia" w:hAnsiTheme="majorBidi" w:cstheme="majorBidi"/>
          <w:i/>
          <w:iCs/>
        </w:rPr>
        <w:t>criminal</w:t>
      </w:r>
      <w:r>
        <w:rPr>
          <w:rFonts w:asciiTheme="majorBidi" w:eastAsiaTheme="minorEastAsia" w:hAnsiTheme="majorBidi" w:cstheme="majorBidi" w:hint="eastAsia"/>
          <w:i/>
          <w:iCs/>
        </w:rPr>
        <w:t xml:space="preserve"> </w:t>
      </w:r>
      <w:r>
        <w:rPr>
          <w:rFonts w:asciiTheme="majorBidi" w:eastAsiaTheme="minorEastAsia" w:hAnsiTheme="majorBidi" w:cstheme="majorBidi"/>
          <w:i/>
          <w:iCs/>
        </w:rPr>
        <w:t>2004</w:t>
      </w:r>
      <w:r>
        <w:rPr>
          <w:rFonts w:asciiTheme="majorBidi" w:eastAsiaTheme="minorEastAsia" w:hAnsiTheme="majorBidi" w:cstheme="majorBidi" w:hint="eastAsia"/>
          <w:i/>
          <w:iCs/>
        </w:rPr>
        <w:t>，</w:t>
      </w:r>
      <w:r>
        <w:rPr>
          <w:rFonts w:asciiTheme="majorBidi" w:eastAsiaTheme="minorEastAsia" w:hAnsiTheme="majorBidi" w:cstheme="majorBidi"/>
        </w:rPr>
        <w:t>No</w:t>
      </w:r>
      <w:r>
        <w:rPr>
          <w:rFonts w:asciiTheme="majorBidi" w:eastAsiaTheme="minorEastAsia" w:hAnsiTheme="majorBidi" w:cstheme="majorBidi" w:hint="eastAsia"/>
        </w:rPr>
        <w:t xml:space="preserve"> </w:t>
      </w:r>
      <w:r w:rsidRPr="00D237F6">
        <w:rPr>
          <w:rFonts w:asciiTheme="majorBidi" w:eastAsiaTheme="minorEastAsia" w:hAnsiTheme="majorBidi" w:cstheme="majorBidi"/>
        </w:rPr>
        <w:t>.</w:t>
      </w:r>
      <w:r>
        <w:rPr>
          <w:rFonts w:asciiTheme="majorBidi" w:eastAsiaTheme="minorEastAsia" w:hAnsiTheme="majorBidi" w:cstheme="majorBidi"/>
        </w:rPr>
        <w:t>292</w:t>
      </w:r>
      <w:r w:rsidRPr="00D237F6">
        <w:rPr>
          <w:rFonts w:asciiTheme="majorBidi" w:eastAsiaTheme="minorEastAsia" w:hAnsiTheme="majorBidi" w:cstheme="majorBidi"/>
        </w:rPr>
        <w:t>,</w:t>
      </w:r>
      <w:r>
        <w:rPr>
          <w:rFonts w:asciiTheme="majorBidi" w:eastAsiaTheme="minorEastAsia" w:hAnsiTheme="majorBidi" w:cstheme="majorBidi" w:hint="eastAsia"/>
        </w:rPr>
        <w:t xml:space="preserve"> </w:t>
      </w:r>
      <w:r>
        <w:rPr>
          <w:rFonts w:asciiTheme="majorBidi" w:eastAsiaTheme="minorEastAsia" w:hAnsiTheme="majorBidi" w:cstheme="majorBidi"/>
        </w:rPr>
        <w:t>p</w:t>
      </w:r>
      <w:r w:rsidRPr="00D237F6">
        <w:rPr>
          <w:rFonts w:asciiTheme="majorBidi" w:eastAsiaTheme="minorEastAsia" w:hAnsiTheme="majorBidi" w:cstheme="majorBidi"/>
        </w:rPr>
        <w:t>.</w:t>
      </w:r>
      <w:r>
        <w:rPr>
          <w:rFonts w:asciiTheme="majorBidi" w:eastAsiaTheme="minorEastAsia" w:hAnsiTheme="majorBidi" w:cstheme="majorBidi" w:hint="eastAsia"/>
        </w:rPr>
        <w:t xml:space="preserve"> </w:t>
      </w:r>
      <w:r>
        <w:rPr>
          <w:rFonts w:asciiTheme="majorBidi" w:eastAsiaTheme="minorEastAsia" w:hAnsiTheme="majorBidi" w:cstheme="majorBidi"/>
        </w:rPr>
        <w:t>1096</w:t>
      </w:r>
      <w:r w:rsidRPr="00D237F6">
        <w:rPr>
          <w:rFonts w:asciiTheme="majorBidi" w:eastAsiaTheme="minorEastAsia" w:hAnsiTheme="majorBidi" w:cstheme="majorBidi"/>
        </w:rPr>
        <w:t>。</w:t>
      </w:r>
    </w:p>
  </w:footnote>
  <w:footnote w:id="1425">
    <w:p w:rsidR="00AB00DE" w:rsidRPr="00D237F6" w:rsidRDefault="00AB00DE" w:rsidP="00334F8C">
      <w:pPr>
        <w:pStyle w:val="a4"/>
        <w:spacing w:after="80"/>
        <w:rPr>
          <w:rFonts w:asciiTheme="majorBidi" w:eastAsiaTheme="minorEastAsia" w:hAnsiTheme="majorBidi" w:cstheme="majorBidi"/>
        </w:rPr>
      </w:pPr>
      <w:r>
        <w:rPr>
          <w:rStyle w:val="a5"/>
          <w:rFonts w:asciiTheme="majorBidi" w:eastAsiaTheme="minorEastAsia" w:hAnsiTheme="majorBidi" w:cstheme="majorBidi"/>
        </w:rPr>
        <w:tab/>
      </w:r>
      <w:r w:rsidRPr="003D3D39">
        <w:rPr>
          <w:rStyle w:val="a5"/>
          <w:rFonts w:eastAsiaTheme="minorEastAsia" w:cstheme="majorBidi"/>
        </w:rPr>
        <w:footnoteRef/>
      </w:r>
      <w:r>
        <w:rPr>
          <w:rStyle w:val="a5"/>
          <w:rFonts w:asciiTheme="majorBidi" w:eastAsiaTheme="minorEastAsia" w:hAnsiTheme="majorBidi" w:cstheme="majorBidi"/>
        </w:rPr>
        <w:tab/>
      </w:r>
      <w:r>
        <w:rPr>
          <w:rFonts w:ascii="Time New Roman" w:eastAsia="楷体" w:hAnsi="Time New Roman" w:cstheme="majorBidi"/>
        </w:rPr>
        <w:t>Victory</w:t>
      </w:r>
      <w:r w:rsidRPr="00D237F6">
        <w:rPr>
          <w:rFonts w:ascii="Time New Roman" w:eastAsia="楷体" w:hAnsi="Time New Roman" w:cstheme="majorBidi"/>
        </w:rPr>
        <w:t>诉</w:t>
      </w:r>
      <w:r>
        <w:rPr>
          <w:rFonts w:ascii="Time New Roman" w:eastAsia="楷体" w:hAnsi="Time New Roman" w:cstheme="majorBidi"/>
        </w:rPr>
        <w:t>Comisar</w:t>
      </w:r>
      <w:r w:rsidRPr="00D237F6">
        <w:rPr>
          <w:rFonts w:ascii="Time New Roman" w:eastAsia="楷体" w:hAnsi="Time New Roman" w:cstheme="majorBidi"/>
        </w:rPr>
        <w:t>í</w:t>
      </w:r>
      <w:r>
        <w:rPr>
          <w:rFonts w:ascii="Time New Roman" w:eastAsia="楷体" w:hAnsi="Time New Roman" w:cstheme="majorBidi"/>
        </w:rPr>
        <w:t>a</w:t>
      </w:r>
      <w:r w:rsidRPr="00D237F6">
        <w:rPr>
          <w:rFonts w:asciiTheme="majorBidi" w:eastAsiaTheme="minorEastAsia" w:hAnsiTheme="majorBidi" w:cstheme="majorBidi"/>
          <w:iCs/>
        </w:rPr>
        <w:t>(</w:t>
      </w:r>
      <w:r w:rsidRPr="00D237F6">
        <w:rPr>
          <w:rFonts w:asciiTheme="majorBidi" w:eastAsiaTheme="minorEastAsia" w:hAnsiTheme="majorBidi" w:cstheme="majorBidi"/>
          <w:iCs/>
        </w:rPr>
        <w:t>见上文</w:t>
      </w:r>
      <w:r w:rsidRPr="00D237F6">
        <w:rPr>
          <w:rFonts w:asciiTheme="majorBidi" w:eastAsiaTheme="minorEastAsia" w:hAnsiTheme="majorBidi" w:cstheme="majorBidi"/>
        </w:rPr>
        <w:t>脚注</w:t>
      </w:r>
      <w:r>
        <w:rPr>
          <w:rFonts w:asciiTheme="majorBidi" w:eastAsiaTheme="minorEastAsia" w:hAnsiTheme="majorBidi" w:cstheme="majorBidi"/>
          <w:iCs/>
        </w:rPr>
        <w:fldChar w:fldCharType="begin"/>
      </w:r>
      <w:r>
        <w:rPr>
          <w:rFonts w:asciiTheme="majorBidi" w:eastAsiaTheme="minorEastAsia" w:hAnsiTheme="majorBidi" w:cstheme="majorBidi"/>
          <w:iCs/>
        </w:rPr>
        <w:instrText xml:space="preserve"> NOTEREF _Ref457292885 \h </w:instrText>
      </w:r>
      <w:r>
        <w:rPr>
          <w:rFonts w:asciiTheme="majorBidi" w:eastAsiaTheme="minorEastAsia" w:hAnsiTheme="majorBidi" w:cstheme="majorBidi"/>
          <w:iCs/>
        </w:rPr>
      </w:r>
      <w:r>
        <w:rPr>
          <w:rFonts w:asciiTheme="majorBidi" w:eastAsiaTheme="minorEastAsia" w:hAnsiTheme="majorBidi" w:cstheme="majorBidi"/>
          <w:iCs/>
        </w:rPr>
        <w:fldChar w:fldCharType="separate"/>
      </w:r>
      <w:r w:rsidR="00A73EB9">
        <w:rPr>
          <w:rFonts w:asciiTheme="majorBidi" w:eastAsiaTheme="minorEastAsia" w:hAnsiTheme="majorBidi" w:cstheme="majorBidi"/>
          <w:iCs/>
        </w:rPr>
        <w:t>1418</w:t>
      </w:r>
      <w:r>
        <w:rPr>
          <w:rFonts w:asciiTheme="majorBidi" w:eastAsiaTheme="minorEastAsia" w:hAnsiTheme="majorBidi" w:cstheme="majorBidi"/>
          <w:iCs/>
        </w:rPr>
        <w:fldChar w:fldCharType="end"/>
      </w:r>
      <w:r w:rsidRPr="00D237F6">
        <w:rPr>
          <w:rFonts w:asciiTheme="majorBidi" w:eastAsiaTheme="minorEastAsia" w:hAnsiTheme="majorBidi" w:cstheme="majorBidi"/>
          <w:iCs/>
        </w:rPr>
        <w:t>)</w:t>
      </w:r>
      <w:r w:rsidRPr="00D237F6">
        <w:rPr>
          <w:rFonts w:asciiTheme="majorBidi" w:eastAsiaTheme="minorEastAsia" w:hAnsiTheme="majorBidi" w:cstheme="majorBidi"/>
        </w:rPr>
        <w:t>。</w:t>
      </w:r>
    </w:p>
  </w:footnote>
  <w:footnote w:id="1426">
    <w:p w:rsidR="00AB00DE" w:rsidRPr="00D237F6" w:rsidRDefault="00AB00DE" w:rsidP="00396D56">
      <w:pPr>
        <w:pStyle w:val="a4"/>
        <w:spacing w:after="80"/>
        <w:rPr>
          <w:rFonts w:asciiTheme="majorBidi" w:eastAsiaTheme="minorEastAsia" w:hAnsiTheme="majorBidi" w:cstheme="majorBidi"/>
        </w:rPr>
      </w:pPr>
      <w:r>
        <w:rPr>
          <w:rStyle w:val="a5"/>
          <w:rFonts w:asciiTheme="majorBidi" w:eastAsiaTheme="minorEastAsia" w:hAnsiTheme="majorBidi" w:cstheme="majorBidi"/>
        </w:rPr>
        <w:tab/>
      </w:r>
      <w:r w:rsidRPr="003D3D39">
        <w:rPr>
          <w:rStyle w:val="a5"/>
          <w:rFonts w:eastAsiaTheme="minorEastAsia" w:cstheme="majorBidi"/>
        </w:rPr>
        <w:footnoteRef/>
      </w:r>
      <w:r>
        <w:rPr>
          <w:rStyle w:val="a5"/>
          <w:rFonts w:asciiTheme="majorBidi" w:eastAsiaTheme="minorEastAsia" w:hAnsiTheme="majorBidi" w:cstheme="majorBidi"/>
        </w:rPr>
        <w:tab/>
      </w:r>
      <w:r>
        <w:rPr>
          <w:rFonts w:ascii="Time New Roman" w:eastAsia="楷体" w:hAnsi="Time New Roman" w:cstheme="majorBidi"/>
        </w:rPr>
        <w:t>Doe</w:t>
      </w:r>
      <w:r>
        <w:rPr>
          <w:rFonts w:ascii="Time New Roman" w:eastAsia="楷体" w:hAnsi="Time New Roman" w:cstheme="majorBidi" w:hint="eastAsia"/>
        </w:rPr>
        <w:t xml:space="preserve"> </w:t>
      </w:r>
      <w:r>
        <w:rPr>
          <w:rFonts w:ascii="Time New Roman" w:eastAsia="楷体" w:hAnsi="Time New Roman" w:cstheme="majorBidi"/>
        </w:rPr>
        <w:t>I</w:t>
      </w:r>
      <w:r w:rsidRPr="00D237F6">
        <w:rPr>
          <w:rFonts w:ascii="Time New Roman" w:eastAsia="楷体" w:hAnsi="Time New Roman" w:cstheme="majorBidi"/>
        </w:rPr>
        <w:t>诉以色列案</w:t>
      </w:r>
      <w:r w:rsidRPr="00D237F6">
        <w:rPr>
          <w:rFonts w:asciiTheme="majorBidi" w:eastAsiaTheme="minorEastAsia" w:hAnsiTheme="majorBidi" w:cstheme="majorBidi"/>
        </w:rPr>
        <w:t>，</w:t>
      </w:r>
      <w:r>
        <w:t>US</w:t>
      </w:r>
      <w:r w:rsidRPr="004D25D3">
        <w:t xml:space="preserve">, </w:t>
      </w:r>
      <w:r>
        <w:t>400</w:t>
      </w:r>
      <w:r w:rsidRPr="004D25D3">
        <w:t xml:space="preserve"> </w:t>
      </w:r>
      <w:r>
        <w:t>F</w:t>
      </w:r>
      <w:r w:rsidRPr="004D25D3">
        <w:t>.</w:t>
      </w:r>
      <w:r>
        <w:t>Supp</w:t>
      </w:r>
      <w:r w:rsidRPr="004D25D3">
        <w:t>.</w:t>
      </w:r>
      <w:r>
        <w:rPr>
          <w:rFonts w:hint="eastAsia"/>
        </w:rPr>
        <w:t xml:space="preserve"> </w:t>
      </w:r>
      <w:r>
        <w:t>2d</w:t>
      </w:r>
      <w:r w:rsidRPr="004D25D3">
        <w:t xml:space="preserve"> </w:t>
      </w:r>
      <w:r>
        <w:t>86</w:t>
      </w:r>
      <w:r w:rsidRPr="004D25D3">
        <w:t xml:space="preserve">, </w:t>
      </w:r>
      <w:r>
        <w:t>106</w:t>
      </w:r>
      <w:r w:rsidRPr="004D25D3">
        <w:t xml:space="preserve"> (</w:t>
      </w:r>
      <w:r>
        <w:t>DCC</w:t>
      </w:r>
      <w:r w:rsidRPr="004D25D3">
        <w:t xml:space="preserve"> </w:t>
      </w:r>
      <w:r>
        <w:t>2005</w:t>
      </w:r>
      <w:r w:rsidRPr="00D237F6">
        <w:rPr>
          <w:rFonts w:asciiTheme="majorBidi" w:eastAsiaTheme="minorEastAsia" w:hAnsiTheme="majorBidi" w:cstheme="majorBidi"/>
        </w:rPr>
        <w:t>)(</w:t>
      </w:r>
      <w:r w:rsidRPr="00D237F6">
        <w:rPr>
          <w:rFonts w:asciiTheme="majorBidi" w:eastAsiaTheme="minorEastAsia" w:hAnsiTheme="majorBidi" w:cstheme="majorBidi"/>
        </w:rPr>
        <w:t>以色列在被占领土建立定居点</w:t>
      </w:r>
      <w:r w:rsidRPr="00D237F6">
        <w:rPr>
          <w:rFonts w:asciiTheme="majorBidi" w:eastAsiaTheme="minorEastAsia" w:hAnsiTheme="majorBidi" w:cstheme="majorBidi"/>
        </w:rPr>
        <w:t>)</w:t>
      </w:r>
      <w:r w:rsidRPr="00D237F6">
        <w:rPr>
          <w:rFonts w:asciiTheme="majorBidi" w:eastAsiaTheme="minorEastAsia" w:hAnsiTheme="majorBidi" w:cstheme="majorBidi"/>
        </w:rPr>
        <w:t>；</w:t>
      </w:r>
      <w:r>
        <w:rPr>
          <w:rFonts w:ascii="Time New Roman" w:eastAsia="楷体" w:hAnsi="Time New Roman" w:cstheme="majorBidi"/>
        </w:rPr>
        <w:t>Youming</w:t>
      </w:r>
      <w:r w:rsidRPr="00D237F6">
        <w:rPr>
          <w:rFonts w:ascii="Time New Roman" w:eastAsia="楷体" w:hAnsi="Time New Roman" w:cstheme="majorBidi"/>
        </w:rPr>
        <w:t>案</w:t>
      </w:r>
      <w:r w:rsidRPr="00D237F6">
        <w:rPr>
          <w:rFonts w:asciiTheme="majorBidi" w:eastAsiaTheme="minorEastAsia" w:hAnsiTheme="majorBidi" w:cstheme="majorBidi"/>
        </w:rPr>
        <w:t>，</w:t>
      </w:r>
      <w:r>
        <w:t>US</w:t>
      </w:r>
      <w:r w:rsidRPr="004D25D3">
        <w:t xml:space="preserve">, </w:t>
      </w:r>
      <w:r>
        <w:t>557</w:t>
      </w:r>
      <w:r w:rsidRPr="004D25D3">
        <w:t xml:space="preserve"> </w:t>
      </w:r>
      <w:r>
        <w:t>F</w:t>
      </w:r>
      <w:r w:rsidRPr="004D25D3">
        <w:t xml:space="preserve">. </w:t>
      </w:r>
      <w:r>
        <w:t>Supp</w:t>
      </w:r>
      <w:r w:rsidRPr="004D25D3">
        <w:t xml:space="preserve">. </w:t>
      </w:r>
      <w:r>
        <w:t>2d</w:t>
      </w:r>
      <w:r w:rsidRPr="004D25D3">
        <w:t xml:space="preserve"> </w:t>
      </w:r>
      <w:r>
        <w:t>131</w:t>
      </w:r>
      <w:r w:rsidRPr="004D25D3">
        <w:t xml:space="preserve"> (</w:t>
      </w:r>
      <w:r>
        <w:t>DDC</w:t>
      </w:r>
      <w:r w:rsidRPr="004D25D3">
        <w:t xml:space="preserve"> </w:t>
      </w:r>
      <w:r>
        <w:t>2008</w:t>
      </w:r>
      <w:r w:rsidRPr="00D237F6">
        <w:rPr>
          <w:rFonts w:asciiTheme="majorBidi" w:eastAsiaTheme="minorEastAsia" w:hAnsiTheme="majorBidi" w:cstheme="majorBidi"/>
        </w:rPr>
        <w:t>)(</w:t>
      </w:r>
      <w:r w:rsidRPr="00D237F6">
        <w:rPr>
          <w:rFonts w:asciiTheme="majorBidi" w:eastAsiaTheme="minorEastAsia" w:hAnsiTheme="majorBidi" w:cstheme="majorBidi"/>
        </w:rPr>
        <w:t>雇用职业杀手威胁宗教团体成员</w:t>
      </w:r>
      <w:r w:rsidRPr="00D237F6">
        <w:rPr>
          <w:rFonts w:asciiTheme="majorBidi" w:eastAsiaTheme="minorEastAsia" w:hAnsiTheme="majorBidi" w:cstheme="majorBidi"/>
        </w:rPr>
        <w:t>)</w:t>
      </w:r>
      <w:r w:rsidRPr="00D237F6">
        <w:rPr>
          <w:rFonts w:asciiTheme="majorBidi" w:eastAsiaTheme="minorEastAsia" w:hAnsiTheme="majorBidi" w:cstheme="majorBidi"/>
        </w:rPr>
        <w:t>。</w:t>
      </w:r>
    </w:p>
  </w:footnote>
  <w:footnote w:id="1427">
    <w:p w:rsidR="00AB00DE" w:rsidRPr="00D237F6" w:rsidRDefault="00AB00DE" w:rsidP="004364AE">
      <w:pPr>
        <w:pStyle w:val="a4"/>
        <w:spacing w:after="80"/>
        <w:rPr>
          <w:rFonts w:asciiTheme="majorBidi" w:eastAsiaTheme="minorEastAsia" w:hAnsiTheme="majorBidi" w:cstheme="majorBidi"/>
        </w:rPr>
      </w:pPr>
      <w:r>
        <w:rPr>
          <w:rStyle w:val="a5"/>
          <w:rFonts w:asciiTheme="majorBidi" w:eastAsiaTheme="minorEastAsia" w:hAnsiTheme="majorBidi" w:cstheme="majorBidi"/>
        </w:rPr>
        <w:tab/>
      </w:r>
      <w:r w:rsidRPr="003D3D39">
        <w:rPr>
          <w:rStyle w:val="a5"/>
          <w:rFonts w:eastAsiaTheme="minorEastAsia" w:cstheme="majorBidi"/>
        </w:rPr>
        <w:footnoteRef/>
      </w:r>
      <w:r>
        <w:rPr>
          <w:rStyle w:val="a5"/>
          <w:rFonts w:asciiTheme="majorBidi" w:eastAsiaTheme="minorEastAsia" w:hAnsiTheme="majorBidi" w:cstheme="majorBidi"/>
        </w:rPr>
        <w:tab/>
      </w:r>
      <w:r>
        <w:rPr>
          <w:rFonts w:ascii="Time New Roman" w:eastAsia="楷体" w:hAnsi="Time New Roman" w:cstheme="majorBidi"/>
        </w:rPr>
        <w:t>Rauter</w:t>
      </w:r>
      <w:r w:rsidRPr="00D237F6">
        <w:rPr>
          <w:rFonts w:ascii="Time New Roman" w:eastAsia="楷体" w:hAnsi="Time New Roman" w:cstheme="majorBidi"/>
        </w:rPr>
        <w:t>案</w:t>
      </w:r>
      <w:r w:rsidRPr="00D237F6">
        <w:rPr>
          <w:rFonts w:asciiTheme="majorBidi" w:eastAsiaTheme="minorEastAsia" w:hAnsiTheme="majorBidi" w:cstheme="majorBidi"/>
          <w:iCs/>
        </w:rPr>
        <w:t>，</w:t>
      </w:r>
      <w:r w:rsidRPr="00D237F6">
        <w:rPr>
          <w:rFonts w:asciiTheme="majorBidi" w:eastAsiaTheme="minorEastAsia" w:hAnsiTheme="majorBidi" w:cstheme="majorBidi"/>
        </w:rPr>
        <w:t>荷兰最高上诉法院</w:t>
      </w:r>
      <w:r w:rsidRPr="00D237F6">
        <w:rPr>
          <w:rFonts w:asciiTheme="majorBidi" w:eastAsiaTheme="minorEastAsia" w:hAnsiTheme="majorBidi" w:cstheme="majorBidi"/>
          <w:iCs/>
        </w:rPr>
        <w:t>特别法庭，</w:t>
      </w:r>
      <w:r>
        <w:rPr>
          <w:rFonts w:asciiTheme="majorBidi" w:eastAsiaTheme="minorEastAsia" w:hAnsiTheme="majorBidi" w:cstheme="majorBidi"/>
          <w:iCs/>
        </w:rPr>
        <w:t>1949</w:t>
      </w:r>
      <w:r w:rsidRPr="00D237F6">
        <w:rPr>
          <w:rFonts w:asciiTheme="majorBidi" w:eastAsiaTheme="minorEastAsia" w:hAnsiTheme="majorBidi" w:cstheme="majorBidi"/>
          <w:iCs/>
        </w:rPr>
        <w:t>年</w:t>
      </w:r>
      <w:r>
        <w:rPr>
          <w:rFonts w:asciiTheme="majorBidi" w:eastAsiaTheme="minorEastAsia" w:hAnsiTheme="majorBidi" w:cstheme="majorBidi"/>
          <w:iCs/>
        </w:rPr>
        <w:t>1</w:t>
      </w:r>
      <w:r w:rsidRPr="00D237F6">
        <w:rPr>
          <w:rFonts w:asciiTheme="majorBidi" w:eastAsiaTheme="minorEastAsia" w:hAnsiTheme="majorBidi" w:cstheme="majorBidi"/>
          <w:iCs/>
        </w:rPr>
        <w:t>月</w:t>
      </w:r>
      <w:r>
        <w:rPr>
          <w:rFonts w:asciiTheme="majorBidi" w:eastAsiaTheme="minorEastAsia" w:hAnsiTheme="majorBidi" w:cstheme="majorBidi"/>
          <w:iCs/>
        </w:rPr>
        <w:t>12</w:t>
      </w:r>
      <w:r w:rsidRPr="00D237F6">
        <w:rPr>
          <w:rFonts w:asciiTheme="majorBidi" w:eastAsiaTheme="minorEastAsia" w:hAnsiTheme="majorBidi" w:cstheme="majorBidi"/>
          <w:iCs/>
        </w:rPr>
        <w:t>日的判决，</w:t>
      </w:r>
      <w:r w:rsidRPr="00D237F6">
        <w:rPr>
          <w:rFonts w:asciiTheme="majorBidi" w:eastAsiaTheme="minorEastAsia" w:hAnsiTheme="majorBidi" w:cstheme="majorBidi"/>
        </w:rPr>
        <w:t>《国际法案例汇编》，第</w:t>
      </w:r>
      <w:r>
        <w:rPr>
          <w:rFonts w:asciiTheme="majorBidi" w:eastAsiaTheme="minorEastAsia" w:hAnsiTheme="majorBidi" w:cstheme="majorBidi"/>
        </w:rPr>
        <w:t>16</w:t>
      </w:r>
      <w:r w:rsidRPr="00D237F6">
        <w:rPr>
          <w:rFonts w:asciiTheme="majorBidi" w:eastAsiaTheme="minorEastAsia" w:hAnsiTheme="majorBidi" w:cstheme="majorBidi"/>
        </w:rPr>
        <w:t>卷，第</w:t>
      </w:r>
      <w:r>
        <w:rPr>
          <w:rFonts w:asciiTheme="majorBidi" w:eastAsiaTheme="minorEastAsia" w:hAnsiTheme="majorBidi" w:cstheme="majorBidi"/>
        </w:rPr>
        <w:t>526</w:t>
      </w:r>
      <w:r w:rsidRPr="00D237F6">
        <w:rPr>
          <w:rFonts w:asciiTheme="majorBidi" w:eastAsiaTheme="minorEastAsia" w:hAnsiTheme="majorBidi" w:cstheme="majorBidi"/>
        </w:rPr>
        <w:t>页</w:t>
      </w:r>
      <w:r w:rsidRPr="00D237F6">
        <w:rPr>
          <w:rFonts w:asciiTheme="majorBidi" w:eastAsiaTheme="minorEastAsia" w:hAnsiTheme="majorBidi" w:cstheme="majorBidi"/>
        </w:rPr>
        <w:t>(</w:t>
      </w:r>
      <w:r w:rsidRPr="00D237F6">
        <w:rPr>
          <w:rFonts w:asciiTheme="majorBidi" w:eastAsiaTheme="minorEastAsia" w:hAnsiTheme="majorBidi" w:cstheme="majorBidi"/>
        </w:rPr>
        <w:t>德国占领军在丹麦所犯罪行</w:t>
      </w:r>
      <w:r w:rsidRPr="00D237F6">
        <w:rPr>
          <w:rFonts w:asciiTheme="majorBidi" w:eastAsiaTheme="minorEastAsia" w:hAnsiTheme="majorBidi" w:cstheme="majorBidi"/>
        </w:rPr>
        <w:t>)</w:t>
      </w:r>
      <w:r w:rsidRPr="00D237F6">
        <w:rPr>
          <w:rFonts w:asciiTheme="majorBidi" w:eastAsiaTheme="minorEastAsia" w:hAnsiTheme="majorBidi" w:cstheme="majorBidi"/>
        </w:rPr>
        <w:t>；</w:t>
      </w:r>
      <w:r w:rsidRPr="00D237F6">
        <w:rPr>
          <w:rFonts w:ascii="Time New Roman" w:eastAsia="楷体" w:hAnsi="Time New Roman" w:cstheme="majorBidi"/>
        </w:rPr>
        <w:t>以色列总检察长诉</w:t>
      </w:r>
      <w:r>
        <w:rPr>
          <w:rFonts w:ascii="Time New Roman" w:eastAsia="楷体" w:hAnsi="Time New Roman" w:cstheme="majorBidi"/>
        </w:rPr>
        <w:t>Adolf</w:t>
      </w:r>
      <w:r>
        <w:rPr>
          <w:rFonts w:ascii="Time New Roman" w:eastAsia="楷体" w:hAnsi="Time New Roman" w:cstheme="majorBidi" w:hint="eastAsia"/>
        </w:rPr>
        <w:t xml:space="preserve"> </w:t>
      </w:r>
      <w:r>
        <w:rPr>
          <w:rFonts w:ascii="Time New Roman" w:eastAsia="楷体" w:hAnsi="Time New Roman" w:cstheme="majorBidi"/>
        </w:rPr>
        <w:t>Eichmann</w:t>
      </w:r>
      <w:r w:rsidRPr="00D237F6">
        <w:rPr>
          <w:rFonts w:ascii="Time New Roman" w:eastAsia="楷体" w:hAnsi="Time New Roman" w:cstheme="majorBidi"/>
        </w:rPr>
        <w:t>案</w:t>
      </w:r>
      <w:r w:rsidRPr="00D237F6">
        <w:rPr>
          <w:rFonts w:asciiTheme="majorBidi" w:eastAsiaTheme="minorEastAsia" w:hAnsiTheme="majorBidi" w:cstheme="majorBidi"/>
        </w:rPr>
        <w:t>，耶路撒冷地区法院</w:t>
      </w:r>
      <w:r w:rsidRPr="00D237F6">
        <w:rPr>
          <w:rFonts w:asciiTheme="majorBidi" w:eastAsiaTheme="minorEastAsia" w:hAnsiTheme="majorBidi" w:cstheme="majorBidi"/>
        </w:rPr>
        <w:t>(</w:t>
      </w:r>
      <w:r w:rsidRPr="00D237F6">
        <w:rPr>
          <w:rFonts w:asciiTheme="majorBidi" w:eastAsiaTheme="minorEastAsia" w:hAnsiTheme="majorBidi" w:cstheme="majorBidi"/>
        </w:rPr>
        <w:t>第</w:t>
      </w:r>
      <w:r>
        <w:rPr>
          <w:rFonts w:asciiTheme="majorBidi" w:eastAsiaTheme="minorEastAsia" w:hAnsiTheme="majorBidi" w:cstheme="majorBidi"/>
        </w:rPr>
        <w:t>40</w:t>
      </w:r>
      <w:r w:rsidRPr="00D237F6">
        <w:rPr>
          <w:rFonts w:asciiTheme="majorBidi" w:eastAsiaTheme="minorEastAsia" w:hAnsiTheme="majorBidi" w:cstheme="majorBidi"/>
        </w:rPr>
        <w:t>/</w:t>
      </w:r>
      <w:r>
        <w:rPr>
          <w:rFonts w:asciiTheme="majorBidi" w:eastAsiaTheme="minorEastAsia" w:hAnsiTheme="majorBidi" w:cstheme="majorBidi"/>
        </w:rPr>
        <w:t>61</w:t>
      </w:r>
      <w:r w:rsidRPr="00D237F6">
        <w:rPr>
          <w:rFonts w:asciiTheme="majorBidi" w:eastAsiaTheme="minorEastAsia" w:hAnsiTheme="majorBidi" w:cstheme="majorBidi"/>
        </w:rPr>
        <w:t>号案件</w:t>
      </w:r>
      <w:r w:rsidRPr="00D237F6">
        <w:rPr>
          <w:rFonts w:asciiTheme="majorBidi" w:eastAsiaTheme="minorEastAsia" w:hAnsiTheme="majorBidi" w:cstheme="majorBidi"/>
        </w:rPr>
        <w:t>)</w:t>
      </w:r>
      <w:r w:rsidRPr="00D237F6">
        <w:rPr>
          <w:rFonts w:asciiTheme="majorBidi" w:eastAsiaTheme="minorEastAsia" w:hAnsiTheme="majorBidi" w:cstheme="majorBidi"/>
        </w:rPr>
        <w:t>，</w:t>
      </w:r>
      <w:r>
        <w:rPr>
          <w:rFonts w:asciiTheme="majorBidi" w:eastAsiaTheme="minorEastAsia" w:hAnsiTheme="majorBidi" w:cstheme="majorBidi"/>
        </w:rPr>
        <w:t>1961</w:t>
      </w:r>
      <w:r w:rsidRPr="00D237F6">
        <w:rPr>
          <w:rFonts w:asciiTheme="majorBidi" w:eastAsiaTheme="minorEastAsia" w:hAnsiTheme="majorBidi" w:cstheme="majorBidi"/>
        </w:rPr>
        <w:t>年</w:t>
      </w:r>
      <w:r>
        <w:rPr>
          <w:rFonts w:asciiTheme="majorBidi" w:eastAsiaTheme="minorEastAsia" w:hAnsiTheme="majorBidi" w:cstheme="majorBidi"/>
        </w:rPr>
        <w:t>12</w:t>
      </w:r>
      <w:r w:rsidRPr="00D237F6">
        <w:rPr>
          <w:rFonts w:asciiTheme="majorBidi" w:eastAsiaTheme="minorEastAsia" w:hAnsiTheme="majorBidi" w:cstheme="majorBidi"/>
        </w:rPr>
        <w:t>月</w:t>
      </w:r>
      <w:r>
        <w:rPr>
          <w:rFonts w:asciiTheme="majorBidi" w:eastAsiaTheme="minorEastAsia" w:hAnsiTheme="majorBidi" w:cstheme="majorBidi"/>
        </w:rPr>
        <w:t>12</w:t>
      </w:r>
      <w:r w:rsidRPr="00D237F6">
        <w:rPr>
          <w:rFonts w:asciiTheme="majorBidi" w:eastAsiaTheme="minorEastAsia" w:hAnsiTheme="majorBidi" w:cstheme="majorBidi"/>
        </w:rPr>
        <w:t>日的判决；以及上诉法院，</w:t>
      </w:r>
      <w:r>
        <w:rPr>
          <w:rFonts w:asciiTheme="majorBidi" w:eastAsiaTheme="minorEastAsia" w:hAnsiTheme="majorBidi" w:cstheme="majorBidi"/>
        </w:rPr>
        <w:t>1962</w:t>
      </w:r>
      <w:r w:rsidRPr="00D237F6">
        <w:rPr>
          <w:rFonts w:asciiTheme="majorBidi" w:eastAsiaTheme="minorEastAsia" w:hAnsiTheme="majorBidi" w:cstheme="majorBidi"/>
        </w:rPr>
        <w:t>年</w:t>
      </w:r>
      <w:r>
        <w:rPr>
          <w:rFonts w:asciiTheme="majorBidi" w:eastAsiaTheme="minorEastAsia" w:hAnsiTheme="majorBidi" w:cstheme="majorBidi"/>
        </w:rPr>
        <w:t>5</w:t>
      </w:r>
      <w:r w:rsidRPr="00D237F6">
        <w:rPr>
          <w:rFonts w:asciiTheme="majorBidi" w:eastAsiaTheme="minorEastAsia" w:hAnsiTheme="majorBidi" w:cstheme="majorBidi"/>
        </w:rPr>
        <w:t>月</w:t>
      </w:r>
      <w:r>
        <w:rPr>
          <w:rFonts w:asciiTheme="majorBidi" w:eastAsiaTheme="minorEastAsia" w:hAnsiTheme="majorBidi" w:cstheme="majorBidi"/>
        </w:rPr>
        <w:t>29</w:t>
      </w:r>
      <w:r w:rsidRPr="00D237F6">
        <w:rPr>
          <w:rFonts w:asciiTheme="majorBidi" w:eastAsiaTheme="minorEastAsia" w:hAnsiTheme="majorBidi" w:cstheme="majorBidi"/>
        </w:rPr>
        <w:t>日的裁决，《国际法案例汇编》，第</w:t>
      </w:r>
      <w:r>
        <w:rPr>
          <w:rFonts w:asciiTheme="majorBidi" w:eastAsiaTheme="minorEastAsia" w:hAnsiTheme="majorBidi" w:cstheme="majorBidi"/>
        </w:rPr>
        <w:t>36</w:t>
      </w:r>
      <w:r w:rsidRPr="00D237F6">
        <w:rPr>
          <w:rFonts w:asciiTheme="majorBidi" w:eastAsiaTheme="minorEastAsia" w:hAnsiTheme="majorBidi" w:cstheme="majorBidi"/>
        </w:rPr>
        <w:t>卷，第</w:t>
      </w:r>
      <w:r>
        <w:rPr>
          <w:rFonts w:asciiTheme="majorBidi" w:eastAsiaTheme="minorEastAsia" w:hAnsiTheme="majorBidi" w:cstheme="majorBidi"/>
        </w:rPr>
        <w:t>18</w:t>
      </w:r>
      <w:r w:rsidRPr="00D237F6">
        <w:rPr>
          <w:rFonts w:asciiTheme="majorBidi" w:eastAsiaTheme="minorEastAsia" w:hAnsiTheme="majorBidi" w:cstheme="majorBidi"/>
        </w:rPr>
        <w:t>和</w:t>
      </w:r>
      <w:r>
        <w:rPr>
          <w:rFonts w:asciiTheme="majorBidi" w:eastAsiaTheme="minorEastAsia" w:hAnsiTheme="majorBidi" w:cstheme="majorBidi"/>
        </w:rPr>
        <w:t>277</w:t>
      </w:r>
      <w:r w:rsidRPr="00D237F6">
        <w:rPr>
          <w:rFonts w:asciiTheme="majorBidi" w:eastAsiaTheme="minorEastAsia" w:hAnsiTheme="majorBidi" w:cstheme="majorBidi"/>
        </w:rPr>
        <w:t>页</w:t>
      </w:r>
      <w:r w:rsidRPr="00D237F6">
        <w:rPr>
          <w:rFonts w:asciiTheme="majorBidi" w:eastAsiaTheme="minorEastAsia" w:hAnsiTheme="majorBidi" w:cstheme="majorBidi"/>
        </w:rPr>
        <w:t>(</w:t>
      </w:r>
      <w:r w:rsidRPr="00D237F6">
        <w:rPr>
          <w:rFonts w:asciiTheme="majorBidi" w:eastAsiaTheme="minorEastAsia" w:hAnsiTheme="majorBidi" w:cstheme="majorBidi"/>
        </w:rPr>
        <w:t>二战期间所犯罪行，包括战争罪、危害人类罪和灭绝种族</w:t>
      </w:r>
      <w:r w:rsidRPr="00D237F6">
        <w:rPr>
          <w:rFonts w:asciiTheme="majorBidi" w:eastAsiaTheme="minorEastAsia" w:hAnsiTheme="majorBidi" w:cstheme="majorBidi"/>
        </w:rPr>
        <w:t>)</w:t>
      </w:r>
      <w:r w:rsidRPr="00D237F6">
        <w:rPr>
          <w:rFonts w:asciiTheme="majorBidi" w:eastAsiaTheme="minorEastAsia" w:hAnsiTheme="majorBidi" w:cstheme="majorBidi"/>
        </w:rPr>
        <w:t>；</w:t>
      </w:r>
      <w:r w:rsidRPr="00D237F6">
        <w:rPr>
          <w:rFonts w:ascii="Time New Roman" w:eastAsia="楷体" w:hAnsi="Time New Roman" w:cstheme="majorBidi"/>
        </w:rPr>
        <w:t>亚西尔</w:t>
      </w:r>
      <w:r>
        <w:rPr>
          <w:rFonts w:asciiTheme="majorBidi" w:eastAsiaTheme="minorEastAsia" w:hAnsiTheme="majorBidi" w:cstheme="majorBidi" w:hint="eastAsia"/>
        </w:rPr>
        <w:t>·</w:t>
      </w:r>
      <w:r w:rsidRPr="00D237F6">
        <w:rPr>
          <w:rFonts w:ascii="Time New Roman" w:eastAsia="楷体" w:hAnsi="Time New Roman" w:cstheme="majorBidi"/>
        </w:rPr>
        <w:t>阿拉法特</w:t>
      </w:r>
      <w:r w:rsidRPr="00D237F6">
        <w:rPr>
          <w:rFonts w:ascii="Time New Roman" w:eastAsia="楷体" w:hAnsi="Time New Roman" w:cstheme="majorBidi"/>
        </w:rPr>
        <w:t>(</w:t>
      </w:r>
      <w:r>
        <w:rPr>
          <w:rFonts w:ascii="Time New Roman" w:eastAsia="楷体" w:hAnsi="Time New Roman" w:cstheme="majorBidi"/>
        </w:rPr>
        <w:t>Carnevale</w:t>
      </w:r>
      <w:r w:rsidRPr="0067641D">
        <w:rPr>
          <w:rFonts w:ascii="Time New Roman" w:eastAsia="楷体" w:hAnsi="Time New Roman" w:cstheme="majorBidi"/>
        </w:rPr>
        <w:t xml:space="preserve"> </w:t>
      </w:r>
      <w:r>
        <w:rPr>
          <w:rFonts w:ascii="Time New Roman" w:eastAsia="楷体" w:hAnsi="Time New Roman" w:cstheme="majorBidi"/>
        </w:rPr>
        <w:t>re</w:t>
      </w:r>
      <w:r w:rsidRPr="0067641D">
        <w:rPr>
          <w:rFonts w:ascii="Time New Roman" w:eastAsia="楷体" w:hAnsi="Time New Roman" w:cstheme="majorBidi"/>
        </w:rPr>
        <w:t xml:space="preserve">. </w:t>
      </w:r>
      <w:r>
        <w:rPr>
          <w:rFonts w:ascii="Time New Roman" w:eastAsia="楷体" w:hAnsi="Time New Roman" w:cstheme="majorBidi"/>
        </w:rPr>
        <w:t>Valente</w:t>
      </w:r>
      <w:r w:rsidRPr="0067641D">
        <w:rPr>
          <w:rFonts w:ascii="Time New Roman" w:eastAsia="楷体" w:hAnsi="Time New Roman" w:cstheme="majorBidi"/>
        </w:rPr>
        <w:t xml:space="preserve"> – </w:t>
      </w:r>
      <w:r>
        <w:rPr>
          <w:rFonts w:ascii="Time New Roman" w:eastAsia="楷体" w:hAnsi="Time New Roman" w:cstheme="majorBidi"/>
        </w:rPr>
        <w:t>Imp</w:t>
      </w:r>
      <w:r w:rsidRPr="0067641D">
        <w:rPr>
          <w:rFonts w:ascii="Time New Roman" w:eastAsia="楷体" w:hAnsi="Time New Roman" w:cstheme="majorBidi"/>
        </w:rPr>
        <w:t xml:space="preserve">. </w:t>
      </w:r>
      <w:r>
        <w:rPr>
          <w:rFonts w:ascii="Time New Roman" w:eastAsia="楷体" w:hAnsi="Time New Roman" w:cstheme="majorBidi"/>
        </w:rPr>
        <w:t>Arafat</w:t>
      </w:r>
      <w:r w:rsidRPr="0067641D">
        <w:rPr>
          <w:rFonts w:ascii="Time New Roman" w:eastAsia="楷体" w:hAnsi="Time New Roman" w:cstheme="majorBidi"/>
        </w:rPr>
        <w:t xml:space="preserve"> </w:t>
      </w:r>
      <w:r>
        <w:rPr>
          <w:rFonts w:ascii="Time New Roman" w:eastAsia="楷体" w:hAnsi="Time New Roman" w:cstheme="majorBidi"/>
        </w:rPr>
        <w:t>e</w:t>
      </w:r>
      <w:r w:rsidRPr="0067641D">
        <w:rPr>
          <w:rFonts w:ascii="Time New Roman" w:eastAsia="楷体" w:hAnsi="Time New Roman" w:cstheme="majorBidi"/>
        </w:rPr>
        <w:t xml:space="preserve"> </w:t>
      </w:r>
      <w:r>
        <w:rPr>
          <w:rFonts w:ascii="Time New Roman" w:eastAsia="楷体" w:hAnsi="Time New Roman" w:cstheme="majorBidi"/>
        </w:rPr>
        <w:t>Salah</w:t>
      </w:r>
      <w:r w:rsidRPr="00D237F6">
        <w:rPr>
          <w:rFonts w:ascii="Time New Roman" w:eastAsia="楷体" w:hAnsi="Time New Roman" w:cstheme="majorBidi"/>
        </w:rPr>
        <w:t>)</w:t>
      </w:r>
      <w:r w:rsidRPr="00D237F6">
        <w:rPr>
          <w:rFonts w:ascii="Time New Roman" w:eastAsia="楷体" w:hAnsi="Time New Roman" w:cstheme="majorBidi"/>
        </w:rPr>
        <w:t>案</w:t>
      </w:r>
      <w:r w:rsidRPr="00D237F6">
        <w:rPr>
          <w:rFonts w:asciiTheme="majorBidi" w:eastAsiaTheme="minorEastAsia" w:hAnsiTheme="majorBidi" w:cstheme="majorBidi"/>
        </w:rPr>
        <w:t>，意大利，上诉法院，</w:t>
      </w:r>
      <w:r>
        <w:rPr>
          <w:rFonts w:asciiTheme="majorBidi" w:eastAsiaTheme="minorEastAsia" w:hAnsiTheme="majorBidi" w:cstheme="majorBidi"/>
        </w:rPr>
        <w:t>1985</w:t>
      </w:r>
      <w:r w:rsidRPr="00D237F6">
        <w:rPr>
          <w:rFonts w:asciiTheme="majorBidi" w:eastAsiaTheme="minorEastAsia" w:hAnsiTheme="majorBidi" w:cstheme="majorBidi"/>
        </w:rPr>
        <w:t>年</w:t>
      </w:r>
      <w:r>
        <w:rPr>
          <w:rFonts w:asciiTheme="majorBidi" w:eastAsiaTheme="minorEastAsia" w:hAnsiTheme="majorBidi" w:cstheme="majorBidi"/>
        </w:rPr>
        <w:t>6</w:t>
      </w:r>
      <w:r w:rsidRPr="00D237F6">
        <w:rPr>
          <w:rFonts w:asciiTheme="majorBidi" w:eastAsiaTheme="minorEastAsia" w:hAnsiTheme="majorBidi" w:cstheme="majorBidi"/>
        </w:rPr>
        <w:t>月</w:t>
      </w:r>
      <w:r>
        <w:rPr>
          <w:rFonts w:asciiTheme="majorBidi" w:eastAsiaTheme="minorEastAsia" w:hAnsiTheme="majorBidi" w:cstheme="majorBidi"/>
        </w:rPr>
        <w:t>28</w:t>
      </w:r>
      <w:r w:rsidRPr="00D237F6">
        <w:rPr>
          <w:rFonts w:asciiTheme="majorBidi" w:eastAsiaTheme="minorEastAsia" w:hAnsiTheme="majorBidi" w:cstheme="majorBidi"/>
        </w:rPr>
        <w:t>日的判决，</w:t>
      </w:r>
      <w:r>
        <w:rPr>
          <w:rFonts w:ascii="Time New Roman" w:eastAsia="楷体" w:hAnsi="Time New Roman" w:cstheme="majorBidi"/>
        </w:rPr>
        <w:t>Rivista</w:t>
      </w:r>
      <w:r w:rsidRPr="0067641D">
        <w:rPr>
          <w:rFonts w:ascii="Time New Roman" w:eastAsia="楷体" w:hAnsi="Time New Roman" w:cstheme="majorBidi"/>
        </w:rPr>
        <w:t xml:space="preserve"> </w:t>
      </w:r>
      <w:r>
        <w:rPr>
          <w:rFonts w:ascii="Time New Roman" w:eastAsia="楷体" w:hAnsi="Time New Roman" w:cstheme="majorBidi"/>
        </w:rPr>
        <w:t>di</w:t>
      </w:r>
      <w:r w:rsidRPr="0067641D">
        <w:rPr>
          <w:rFonts w:ascii="Time New Roman" w:eastAsia="楷体" w:hAnsi="Time New Roman" w:cstheme="majorBidi"/>
        </w:rPr>
        <w:t xml:space="preserve"> </w:t>
      </w:r>
      <w:r>
        <w:rPr>
          <w:rFonts w:ascii="Time New Roman" w:eastAsia="楷体" w:hAnsi="Time New Roman" w:cstheme="majorBidi"/>
        </w:rPr>
        <w:t>diritto</w:t>
      </w:r>
      <w:r w:rsidRPr="0067641D">
        <w:rPr>
          <w:rFonts w:ascii="Time New Roman" w:eastAsia="楷体" w:hAnsi="Time New Roman" w:cstheme="majorBidi"/>
        </w:rPr>
        <w:t xml:space="preserve"> </w:t>
      </w:r>
      <w:r>
        <w:rPr>
          <w:rFonts w:ascii="Time New Roman" w:eastAsia="楷体" w:hAnsi="Time New Roman" w:cstheme="majorBidi"/>
        </w:rPr>
        <w:t>internazionale</w:t>
      </w:r>
      <w:r w:rsidRPr="0067641D">
        <w:rPr>
          <w:rFonts w:ascii="Time New Roman" w:eastAsia="楷体" w:hAnsi="Time New Roman" w:cstheme="majorBidi"/>
        </w:rPr>
        <w:t xml:space="preserve"> </w:t>
      </w:r>
      <w:r>
        <w:rPr>
          <w:rFonts w:ascii="Time New Roman" w:eastAsia="楷体" w:hAnsi="Time New Roman" w:cstheme="majorBidi"/>
        </w:rPr>
        <w:t>69</w:t>
      </w:r>
      <w:r w:rsidRPr="0067641D">
        <w:rPr>
          <w:rFonts w:ascii="Time New Roman" w:eastAsia="楷体" w:hAnsi="Time New Roman" w:cstheme="majorBidi"/>
        </w:rPr>
        <w:t xml:space="preserve"> (</w:t>
      </w:r>
      <w:r>
        <w:rPr>
          <w:rFonts w:ascii="Time New Roman" w:eastAsia="楷体" w:hAnsi="Time New Roman" w:cstheme="majorBidi"/>
        </w:rPr>
        <w:t>1986</w:t>
      </w:r>
      <w:r w:rsidRPr="00D237F6">
        <w:rPr>
          <w:rFonts w:asciiTheme="majorBidi" w:eastAsiaTheme="minorEastAsia" w:hAnsiTheme="majorBidi" w:cstheme="majorBidi"/>
        </w:rPr>
        <w:t>)</w:t>
      </w:r>
      <w:r w:rsidRPr="00D237F6">
        <w:rPr>
          <w:rFonts w:asciiTheme="majorBidi" w:eastAsiaTheme="minorEastAsia" w:hAnsiTheme="majorBidi" w:cstheme="majorBidi"/>
        </w:rPr>
        <w:t>，</w:t>
      </w:r>
      <w:r>
        <w:rPr>
          <w:rFonts w:asciiTheme="majorBidi" w:eastAsiaTheme="minorEastAsia" w:hAnsiTheme="majorBidi" w:cstheme="majorBidi"/>
        </w:rPr>
        <w:t>No</w:t>
      </w:r>
      <w:r w:rsidRPr="00D237F6">
        <w:rPr>
          <w:rFonts w:asciiTheme="majorBidi" w:eastAsiaTheme="minorEastAsia" w:hAnsiTheme="majorBidi" w:cstheme="majorBidi"/>
        </w:rPr>
        <w:t>.</w:t>
      </w:r>
      <w:r>
        <w:rPr>
          <w:rFonts w:asciiTheme="majorBidi" w:eastAsiaTheme="minorEastAsia" w:hAnsiTheme="majorBidi" w:cstheme="majorBidi"/>
        </w:rPr>
        <w:t>4</w:t>
      </w:r>
      <w:r w:rsidRPr="00D237F6">
        <w:rPr>
          <w:rFonts w:asciiTheme="majorBidi" w:eastAsiaTheme="minorEastAsia" w:hAnsiTheme="majorBidi" w:cstheme="majorBidi"/>
        </w:rPr>
        <w:t>,</w:t>
      </w:r>
      <w:r>
        <w:rPr>
          <w:rFonts w:asciiTheme="majorBidi" w:eastAsiaTheme="minorEastAsia" w:hAnsiTheme="majorBidi" w:cstheme="majorBidi" w:hint="eastAsia"/>
        </w:rPr>
        <w:t xml:space="preserve"> </w:t>
      </w:r>
      <w:r>
        <w:rPr>
          <w:rFonts w:asciiTheme="majorBidi" w:eastAsiaTheme="minorEastAsia" w:hAnsiTheme="majorBidi" w:cstheme="majorBidi"/>
        </w:rPr>
        <w:t>p</w:t>
      </w:r>
      <w:r w:rsidRPr="00D237F6">
        <w:rPr>
          <w:rFonts w:asciiTheme="majorBidi" w:eastAsiaTheme="minorEastAsia" w:hAnsiTheme="majorBidi" w:cstheme="majorBidi"/>
        </w:rPr>
        <w:t>.</w:t>
      </w:r>
      <w:r>
        <w:rPr>
          <w:rFonts w:asciiTheme="majorBidi" w:eastAsiaTheme="minorEastAsia" w:hAnsiTheme="majorBidi" w:cstheme="majorBidi" w:hint="eastAsia"/>
        </w:rPr>
        <w:t xml:space="preserve"> </w:t>
      </w:r>
      <w:r>
        <w:rPr>
          <w:rFonts w:asciiTheme="majorBidi" w:eastAsiaTheme="minorEastAsia" w:hAnsiTheme="majorBidi" w:cstheme="majorBidi"/>
        </w:rPr>
        <w:t>884</w:t>
      </w:r>
      <w:r>
        <w:rPr>
          <w:rFonts w:asciiTheme="majorBidi" w:eastAsiaTheme="minorEastAsia" w:hAnsiTheme="majorBidi" w:cstheme="majorBidi" w:hint="eastAsia"/>
        </w:rPr>
        <w:t xml:space="preserve"> </w:t>
      </w:r>
      <w:r w:rsidRPr="00D237F6">
        <w:rPr>
          <w:rFonts w:asciiTheme="majorBidi" w:eastAsiaTheme="minorEastAsia" w:hAnsiTheme="majorBidi" w:cstheme="majorBidi"/>
        </w:rPr>
        <w:t>(</w:t>
      </w:r>
      <w:r w:rsidRPr="00D237F6">
        <w:rPr>
          <w:rFonts w:asciiTheme="majorBidi" w:eastAsiaTheme="minorEastAsia" w:hAnsiTheme="majorBidi" w:cstheme="majorBidi"/>
        </w:rPr>
        <w:t>销售武器及与赤军勾结从事恐怖行为</w:t>
      </w:r>
      <w:r w:rsidRPr="00D237F6">
        <w:rPr>
          <w:rFonts w:asciiTheme="majorBidi" w:eastAsiaTheme="minorEastAsia" w:hAnsiTheme="majorBidi" w:cstheme="majorBidi"/>
        </w:rPr>
        <w:t>)</w:t>
      </w:r>
      <w:r w:rsidRPr="00D237F6">
        <w:rPr>
          <w:rFonts w:asciiTheme="majorBidi" w:eastAsiaTheme="minorEastAsia" w:hAnsiTheme="majorBidi" w:cstheme="majorBidi"/>
        </w:rPr>
        <w:t>；</w:t>
      </w:r>
      <w:r>
        <w:rPr>
          <w:rFonts w:ascii="Time New Roman" w:eastAsia="楷体" w:hAnsi="Time New Roman" w:cstheme="majorBidi"/>
        </w:rPr>
        <w:t>R</w:t>
      </w:r>
      <w:r w:rsidRPr="00D237F6">
        <w:rPr>
          <w:rFonts w:ascii="Time New Roman" w:eastAsia="楷体" w:hAnsi="Time New Roman" w:cstheme="majorBidi"/>
        </w:rPr>
        <w:t>.</w:t>
      </w:r>
      <w:r w:rsidRPr="00D237F6">
        <w:rPr>
          <w:rFonts w:ascii="Time New Roman" w:eastAsia="楷体" w:hAnsi="Time New Roman" w:cstheme="majorBidi"/>
        </w:rPr>
        <w:t>诉</w:t>
      </w:r>
      <w:r>
        <w:rPr>
          <w:rFonts w:ascii="Time New Roman" w:eastAsia="楷体" w:hAnsi="Time New Roman" w:cstheme="majorBidi"/>
        </w:rPr>
        <w:t>Mafart</w:t>
      </w:r>
      <w:r>
        <w:rPr>
          <w:rFonts w:ascii="Time New Roman" w:eastAsia="楷体" w:hAnsi="Time New Roman" w:cstheme="majorBidi" w:hint="eastAsia"/>
        </w:rPr>
        <w:t xml:space="preserve"> </w:t>
      </w:r>
      <w:r>
        <w:rPr>
          <w:rFonts w:ascii="Time New Roman" w:eastAsia="楷体" w:hAnsi="Time New Roman" w:cstheme="majorBidi"/>
        </w:rPr>
        <w:t>and</w:t>
      </w:r>
      <w:r>
        <w:rPr>
          <w:rFonts w:ascii="Time New Roman" w:eastAsia="楷体" w:hAnsi="Time New Roman" w:cstheme="majorBidi" w:hint="eastAsia"/>
        </w:rPr>
        <w:t xml:space="preserve"> </w:t>
      </w:r>
      <w:r>
        <w:rPr>
          <w:rFonts w:ascii="Time New Roman" w:eastAsia="楷体" w:hAnsi="Time New Roman" w:cstheme="majorBidi"/>
        </w:rPr>
        <w:t>Prieur</w:t>
      </w:r>
      <w:r w:rsidRPr="00D237F6">
        <w:rPr>
          <w:rFonts w:ascii="Time New Roman" w:eastAsia="楷体" w:hAnsi="Time New Roman" w:cstheme="majorBidi"/>
        </w:rPr>
        <w:t>/</w:t>
      </w:r>
      <w:r>
        <w:rPr>
          <w:rFonts w:ascii="Time New Roman" w:eastAsia="楷体" w:hAnsi="Time New Roman" w:cstheme="majorBidi" w:hint="eastAsia"/>
        </w:rPr>
        <w:t>“</w:t>
      </w:r>
      <w:r w:rsidRPr="00D237F6">
        <w:rPr>
          <w:rFonts w:ascii="Time New Roman" w:eastAsia="楷体" w:hAnsi="Time New Roman" w:cstheme="majorBidi"/>
        </w:rPr>
        <w:t>彩虹勇士</w:t>
      </w:r>
      <w:r>
        <w:rPr>
          <w:rFonts w:ascii="Time New Roman" w:eastAsia="楷体" w:hAnsi="Time New Roman" w:cstheme="majorBidi" w:hint="eastAsia"/>
        </w:rPr>
        <w:t>”</w:t>
      </w:r>
      <w:r w:rsidRPr="00D237F6">
        <w:rPr>
          <w:rFonts w:ascii="Time New Roman" w:eastAsia="楷体" w:hAnsi="Time New Roman" w:cstheme="majorBidi"/>
        </w:rPr>
        <w:t>案，</w:t>
      </w:r>
      <w:r w:rsidRPr="00D237F6">
        <w:rPr>
          <w:rFonts w:asciiTheme="majorBidi" w:eastAsiaTheme="minorEastAsia" w:hAnsiTheme="majorBidi" w:cstheme="majorBidi"/>
        </w:rPr>
        <w:t>新西兰高等法院，奥克兰登记处，</w:t>
      </w:r>
      <w:r>
        <w:rPr>
          <w:rFonts w:asciiTheme="majorBidi" w:eastAsiaTheme="minorEastAsia" w:hAnsiTheme="majorBidi" w:cstheme="majorBidi"/>
        </w:rPr>
        <w:t>1985</w:t>
      </w:r>
      <w:r w:rsidRPr="00D237F6">
        <w:rPr>
          <w:rFonts w:asciiTheme="majorBidi" w:eastAsiaTheme="minorEastAsia" w:hAnsiTheme="majorBidi" w:cstheme="majorBidi"/>
        </w:rPr>
        <w:t>年</w:t>
      </w:r>
      <w:r>
        <w:rPr>
          <w:rFonts w:asciiTheme="majorBidi" w:eastAsiaTheme="minorEastAsia" w:hAnsiTheme="majorBidi" w:cstheme="majorBidi"/>
        </w:rPr>
        <w:t>11</w:t>
      </w:r>
      <w:r w:rsidRPr="00D237F6">
        <w:rPr>
          <w:rFonts w:asciiTheme="majorBidi" w:eastAsiaTheme="minorEastAsia" w:hAnsiTheme="majorBidi" w:cstheme="majorBidi"/>
        </w:rPr>
        <w:t>月</w:t>
      </w:r>
      <w:r>
        <w:rPr>
          <w:rFonts w:asciiTheme="majorBidi" w:eastAsiaTheme="minorEastAsia" w:hAnsiTheme="majorBidi" w:cstheme="majorBidi"/>
        </w:rPr>
        <w:t>22</w:t>
      </w:r>
      <w:r w:rsidRPr="00D237F6">
        <w:rPr>
          <w:rFonts w:asciiTheme="majorBidi" w:eastAsiaTheme="minorEastAsia" w:hAnsiTheme="majorBidi" w:cstheme="majorBidi"/>
        </w:rPr>
        <w:t>日，《国际法案例汇编》，第</w:t>
      </w:r>
      <w:r>
        <w:rPr>
          <w:rFonts w:asciiTheme="majorBidi" w:eastAsiaTheme="minorEastAsia" w:hAnsiTheme="majorBidi" w:cstheme="majorBidi"/>
        </w:rPr>
        <w:t>74</w:t>
      </w:r>
      <w:r w:rsidRPr="00D237F6">
        <w:rPr>
          <w:rFonts w:asciiTheme="majorBidi" w:eastAsiaTheme="minorEastAsia" w:hAnsiTheme="majorBidi" w:cstheme="majorBidi"/>
        </w:rPr>
        <w:t>卷，第</w:t>
      </w:r>
      <w:r>
        <w:rPr>
          <w:rFonts w:asciiTheme="majorBidi" w:eastAsiaTheme="minorEastAsia" w:hAnsiTheme="majorBidi" w:cstheme="majorBidi"/>
        </w:rPr>
        <w:t>241</w:t>
      </w:r>
      <w:r>
        <w:rPr>
          <w:rFonts w:asciiTheme="majorBidi" w:eastAsiaTheme="minorEastAsia" w:hAnsiTheme="majorBidi" w:cstheme="majorBidi" w:hint="eastAsia"/>
        </w:rPr>
        <w:t>页</w:t>
      </w:r>
      <w:r w:rsidRPr="00D237F6">
        <w:rPr>
          <w:rFonts w:asciiTheme="majorBidi" w:eastAsiaTheme="minorEastAsia" w:hAnsiTheme="majorBidi" w:cstheme="majorBidi"/>
        </w:rPr>
        <w:t>(</w:t>
      </w:r>
      <w:r w:rsidRPr="00D237F6">
        <w:rPr>
          <w:rFonts w:asciiTheme="majorBidi" w:eastAsiaTheme="minorEastAsia" w:hAnsiTheme="majorBidi" w:cstheme="majorBidi"/>
        </w:rPr>
        <w:t>法国武装部队和安全部队成员用水雷炸</w:t>
      </w:r>
      <w:r>
        <w:rPr>
          <w:rFonts w:asciiTheme="majorBidi" w:eastAsiaTheme="minorEastAsia" w:hAnsiTheme="majorBidi" w:cstheme="majorBidi" w:hint="eastAsia"/>
        </w:rPr>
        <w:t>“</w:t>
      </w:r>
      <w:r w:rsidRPr="00D237F6">
        <w:rPr>
          <w:rFonts w:asciiTheme="majorBidi" w:eastAsiaTheme="minorEastAsia" w:hAnsiTheme="majorBidi" w:cstheme="majorBidi"/>
        </w:rPr>
        <w:t>彩虹勇士</w:t>
      </w:r>
      <w:r>
        <w:rPr>
          <w:rFonts w:asciiTheme="majorBidi" w:eastAsiaTheme="minorEastAsia" w:hAnsiTheme="majorBidi" w:cstheme="majorBidi" w:hint="eastAsia"/>
        </w:rPr>
        <w:t>”</w:t>
      </w:r>
      <w:r w:rsidRPr="00D237F6">
        <w:rPr>
          <w:rFonts w:asciiTheme="majorBidi" w:eastAsiaTheme="minorEastAsia" w:hAnsiTheme="majorBidi" w:cstheme="majorBidi"/>
        </w:rPr>
        <w:t>号船的行为，结果导致船只沉没，数人死亡；这些行为被称为恐怖行为</w:t>
      </w:r>
      <w:r w:rsidRPr="00D237F6">
        <w:rPr>
          <w:rFonts w:asciiTheme="majorBidi" w:eastAsiaTheme="minorEastAsia" w:hAnsiTheme="majorBidi" w:cstheme="majorBidi"/>
        </w:rPr>
        <w:t>)</w:t>
      </w:r>
      <w:r w:rsidRPr="00D237F6">
        <w:rPr>
          <w:rFonts w:asciiTheme="majorBidi" w:eastAsiaTheme="minorEastAsia" w:hAnsiTheme="majorBidi" w:cstheme="majorBidi"/>
        </w:rPr>
        <w:t>。</w:t>
      </w:r>
      <w:r w:rsidRPr="00D237F6">
        <w:rPr>
          <w:rFonts w:ascii="Time New Roman" w:eastAsia="楷体" w:hAnsi="Time New Roman" w:cstheme="majorBidi"/>
        </w:rPr>
        <w:t>叙利亚驻德意志民主共和国前大使案</w:t>
      </w:r>
      <w:r w:rsidRPr="00D237F6">
        <w:rPr>
          <w:rFonts w:asciiTheme="majorBidi" w:eastAsiaTheme="minorEastAsia" w:hAnsiTheme="majorBidi" w:cstheme="majorBidi"/>
        </w:rPr>
        <w:t>，德国联邦最高法院，德国联邦宪法法院，</w:t>
      </w:r>
      <w:r>
        <w:rPr>
          <w:rFonts w:asciiTheme="majorBidi" w:eastAsiaTheme="minorEastAsia" w:hAnsiTheme="majorBidi" w:cstheme="majorBidi"/>
        </w:rPr>
        <w:t>1997</w:t>
      </w:r>
      <w:r w:rsidRPr="00D237F6">
        <w:rPr>
          <w:rFonts w:asciiTheme="majorBidi" w:eastAsiaTheme="minorEastAsia" w:hAnsiTheme="majorBidi" w:cstheme="majorBidi"/>
        </w:rPr>
        <w:t>年</w:t>
      </w:r>
      <w:r>
        <w:rPr>
          <w:rFonts w:asciiTheme="majorBidi" w:eastAsiaTheme="minorEastAsia" w:hAnsiTheme="majorBidi" w:cstheme="majorBidi"/>
        </w:rPr>
        <w:t>6</w:t>
      </w:r>
      <w:r w:rsidRPr="00D237F6">
        <w:rPr>
          <w:rFonts w:asciiTheme="majorBidi" w:eastAsiaTheme="minorEastAsia" w:hAnsiTheme="majorBidi" w:cstheme="majorBidi"/>
        </w:rPr>
        <w:t>月</w:t>
      </w:r>
      <w:r>
        <w:rPr>
          <w:rFonts w:asciiTheme="majorBidi" w:eastAsiaTheme="minorEastAsia" w:hAnsiTheme="majorBidi" w:cstheme="majorBidi"/>
        </w:rPr>
        <w:t>10</w:t>
      </w:r>
      <w:r w:rsidRPr="00D237F6">
        <w:rPr>
          <w:rFonts w:asciiTheme="majorBidi" w:eastAsiaTheme="minorEastAsia" w:hAnsiTheme="majorBidi" w:cstheme="majorBidi"/>
        </w:rPr>
        <w:t>日的判决，《国际法案例汇编》，第</w:t>
      </w:r>
      <w:r>
        <w:rPr>
          <w:rFonts w:asciiTheme="majorBidi" w:eastAsiaTheme="minorEastAsia" w:hAnsiTheme="majorBidi" w:cstheme="majorBidi"/>
        </w:rPr>
        <w:t>115</w:t>
      </w:r>
      <w:r w:rsidRPr="00D237F6">
        <w:rPr>
          <w:rFonts w:asciiTheme="majorBidi" w:eastAsiaTheme="minorEastAsia" w:hAnsiTheme="majorBidi" w:cstheme="majorBidi"/>
        </w:rPr>
        <w:t>卷，第</w:t>
      </w:r>
      <w:r>
        <w:rPr>
          <w:rFonts w:asciiTheme="majorBidi" w:eastAsiaTheme="minorEastAsia" w:hAnsiTheme="majorBidi" w:cstheme="majorBidi"/>
        </w:rPr>
        <w:t>595</w:t>
      </w:r>
      <w:r w:rsidRPr="00D237F6">
        <w:rPr>
          <w:rFonts w:asciiTheme="majorBidi" w:eastAsiaTheme="minorEastAsia" w:hAnsiTheme="majorBidi" w:cstheme="majorBidi"/>
        </w:rPr>
        <w:t>页</w:t>
      </w:r>
      <w:r w:rsidRPr="00D237F6">
        <w:rPr>
          <w:rFonts w:asciiTheme="majorBidi" w:eastAsiaTheme="minorEastAsia" w:hAnsiTheme="majorBidi" w:cstheme="majorBidi"/>
        </w:rPr>
        <w:t>(</w:t>
      </w:r>
      <w:r w:rsidRPr="00D237F6">
        <w:rPr>
          <w:rFonts w:asciiTheme="majorBidi" w:eastAsiaTheme="minorEastAsia" w:hAnsiTheme="majorBidi" w:cstheme="majorBidi"/>
        </w:rPr>
        <w:t>案件审查了针对一名前大使的法律行动，据称该大使曾在外交房舍内藏有武器，这些武器后来被用于恐怖行为</w:t>
      </w:r>
      <w:r w:rsidRPr="00D237F6">
        <w:rPr>
          <w:rFonts w:asciiTheme="majorBidi" w:eastAsiaTheme="minorEastAsia" w:hAnsiTheme="majorBidi" w:cstheme="majorBidi"/>
        </w:rPr>
        <w:t>)</w:t>
      </w:r>
      <w:r w:rsidRPr="00D237F6">
        <w:rPr>
          <w:rFonts w:asciiTheme="majorBidi" w:eastAsiaTheme="minorEastAsia" w:hAnsiTheme="majorBidi" w:cstheme="majorBidi"/>
        </w:rPr>
        <w:t>；</w:t>
      </w:r>
      <w:r>
        <w:rPr>
          <w:rFonts w:ascii="Time New Roman" w:eastAsia="楷体" w:hAnsi="Time New Roman" w:cstheme="majorBidi"/>
        </w:rPr>
        <w:t>Bouterse</w:t>
      </w:r>
      <w:r w:rsidRPr="00D237F6">
        <w:rPr>
          <w:rFonts w:ascii="Time New Roman" w:eastAsia="楷体" w:hAnsi="Time New Roman" w:cstheme="majorBidi"/>
        </w:rPr>
        <w:t>案</w:t>
      </w:r>
      <w:r w:rsidRPr="00D237F6">
        <w:rPr>
          <w:rFonts w:asciiTheme="majorBidi" w:eastAsiaTheme="minorEastAsia" w:hAnsiTheme="majorBidi" w:cstheme="majorBidi"/>
          <w:iCs/>
        </w:rPr>
        <w:t>，</w:t>
      </w:r>
      <w:r>
        <w:rPr>
          <w:rFonts w:asciiTheme="majorBidi" w:eastAsiaTheme="minorEastAsia" w:hAnsiTheme="majorBidi" w:cstheme="majorBidi"/>
        </w:rPr>
        <w:t>R</w:t>
      </w:r>
      <w:r>
        <w:rPr>
          <w:rFonts w:asciiTheme="majorBidi" w:eastAsiaTheme="minorEastAsia" w:hAnsiTheme="majorBidi" w:cstheme="majorBidi" w:hint="eastAsia"/>
        </w:rPr>
        <w:t xml:space="preserve"> </w:t>
      </w:r>
      <w:r>
        <w:rPr>
          <w:rFonts w:asciiTheme="majorBidi" w:eastAsiaTheme="minorEastAsia" w:hAnsiTheme="majorBidi" w:cstheme="majorBidi"/>
        </w:rPr>
        <w:t>97</w:t>
      </w:r>
      <w:r w:rsidRPr="00D237F6">
        <w:rPr>
          <w:rFonts w:asciiTheme="majorBidi" w:eastAsiaTheme="minorEastAsia" w:hAnsiTheme="majorBidi" w:cstheme="majorBidi"/>
        </w:rPr>
        <w:t>/</w:t>
      </w:r>
      <w:r>
        <w:rPr>
          <w:rFonts w:asciiTheme="majorBidi" w:eastAsiaTheme="minorEastAsia" w:hAnsiTheme="majorBidi" w:cstheme="majorBidi"/>
        </w:rPr>
        <w:t>163</w:t>
      </w:r>
      <w:r w:rsidRPr="00D237F6">
        <w:rPr>
          <w:rFonts w:asciiTheme="majorBidi" w:eastAsiaTheme="minorEastAsia" w:hAnsiTheme="majorBidi" w:cstheme="majorBidi"/>
        </w:rPr>
        <w:t>/</w:t>
      </w:r>
      <w:r>
        <w:rPr>
          <w:rFonts w:asciiTheme="majorBidi" w:eastAsiaTheme="minorEastAsia" w:hAnsiTheme="majorBidi" w:cstheme="majorBidi"/>
        </w:rPr>
        <w:t>12</w:t>
      </w:r>
      <w:r>
        <w:rPr>
          <w:rFonts w:asciiTheme="majorBidi" w:eastAsiaTheme="minorEastAsia" w:hAnsiTheme="majorBidi" w:cstheme="majorBidi" w:hint="eastAsia"/>
        </w:rPr>
        <w:t xml:space="preserve"> </w:t>
      </w:r>
      <w:r>
        <w:rPr>
          <w:rFonts w:asciiTheme="majorBidi" w:eastAsiaTheme="minorEastAsia" w:hAnsiTheme="majorBidi" w:cstheme="majorBidi"/>
        </w:rPr>
        <w:t>Sv</w:t>
      </w:r>
      <w:r w:rsidRPr="00D237F6">
        <w:rPr>
          <w:rFonts w:asciiTheme="majorBidi" w:eastAsiaTheme="minorEastAsia" w:hAnsiTheme="majorBidi" w:cstheme="majorBidi"/>
        </w:rPr>
        <w:t>和</w:t>
      </w:r>
      <w:r>
        <w:rPr>
          <w:rFonts w:asciiTheme="majorBidi" w:eastAsiaTheme="minorEastAsia" w:hAnsiTheme="majorBidi" w:cstheme="majorBidi"/>
        </w:rPr>
        <w:t>R</w:t>
      </w:r>
      <w:r>
        <w:rPr>
          <w:rFonts w:asciiTheme="majorBidi" w:eastAsiaTheme="minorEastAsia" w:hAnsiTheme="majorBidi" w:cstheme="majorBidi" w:hint="eastAsia"/>
        </w:rPr>
        <w:t xml:space="preserve"> </w:t>
      </w:r>
      <w:r>
        <w:rPr>
          <w:rFonts w:asciiTheme="majorBidi" w:eastAsiaTheme="minorEastAsia" w:hAnsiTheme="majorBidi" w:cstheme="majorBidi"/>
        </w:rPr>
        <w:t>97</w:t>
      </w:r>
      <w:r w:rsidRPr="00D237F6">
        <w:rPr>
          <w:rFonts w:asciiTheme="majorBidi" w:eastAsiaTheme="minorEastAsia" w:hAnsiTheme="majorBidi" w:cstheme="majorBidi"/>
        </w:rPr>
        <w:t>/</w:t>
      </w:r>
      <w:r>
        <w:rPr>
          <w:rFonts w:asciiTheme="majorBidi" w:eastAsiaTheme="minorEastAsia" w:hAnsiTheme="majorBidi" w:cstheme="majorBidi"/>
        </w:rPr>
        <w:t>176</w:t>
      </w:r>
      <w:r w:rsidRPr="00D237F6">
        <w:rPr>
          <w:rFonts w:asciiTheme="majorBidi" w:eastAsiaTheme="minorEastAsia" w:hAnsiTheme="majorBidi" w:cstheme="majorBidi"/>
        </w:rPr>
        <w:t>/</w:t>
      </w:r>
      <w:r>
        <w:rPr>
          <w:rFonts w:asciiTheme="majorBidi" w:eastAsiaTheme="minorEastAsia" w:hAnsiTheme="majorBidi" w:cstheme="majorBidi"/>
        </w:rPr>
        <w:t>12</w:t>
      </w:r>
      <w:r>
        <w:rPr>
          <w:rFonts w:asciiTheme="majorBidi" w:eastAsiaTheme="minorEastAsia" w:hAnsiTheme="majorBidi" w:cstheme="majorBidi" w:hint="eastAsia"/>
        </w:rPr>
        <w:t xml:space="preserve"> </w:t>
      </w:r>
      <w:r>
        <w:rPr>
          <w:rFonts w:asciiTheme="majorBidi" w:eastAsiaTheme="minorEastAsia" w:hAnsiTheme="majorBidi" w:cstheme="majorBidi"/>
        </w:rPr>
        <w:t>Sv</w:t>
      </w:r>
      <w:r>
        <w:rPr>
          <w:rFonts w:asciiTheme="majorBidi" w:eastAsiaTheme="minorEastAsia" w:hAnsiTheme="majorBidi" w:cstheme="majorBidi" w:hint="eastAsia"/>
        </w:rPr>
        <w:t>，</w:t>
      </w:r>
      <w:r w:rsidRPr="00D237F6">
        <w:rPr>
          <w:rFonts w:asciiTheme="majorBidi" w:eastAsiaTheme="minorEastAsia" w:hAnsiTheme="majorBidi" w:cstheme="majorBidi"/>
        </w:rPr>
        <w:t>阿姆斯特丹上诉法院，</w:t>
      </w:r>
      <w:r>
        <w:rPr>
          <w:rFonts w:asciiTheme="majorBidi" w:eastAsiaTheme="minorEastAsia" w:hAnsiTheme="majorBidi" w:cstheme="majorBidi"/>
        </w:rPr>
        <w:t>2000</w:t>
      </w:r>
      <w:r w:rsidRPr="00D237F6">
        <w:rPr>
          <w:rFonts w:asciiTheme="majorBidi" w:eastAsiaTheme="minorEastAsia" w:hAnsiTheme="majorBidi" w:cstheme="majorBidi"/>
        </w:rPr>
        <w:t>年</w:t>
      </w:r>
      <w:r>
        <w:rPr>
          <w:rFonts w:asciiTheme="majorBidi" w:eastAsiaTheme="minorEastAsia" w:hAnsiTheme="majorBidi" w:cstheme="majorBidi"/>
        </w:rPr>
        <w:t>11</w:t>
      </w:r>
      <w:r w:rsidRPr="00D237F6">
        <w:rPr>
          <w:rFonts w:asciiTheme="majorBidi" w:eastAsiaTheme="minorEastAsia" w:hAnsiTheme="majorBidi" w:cstheme="majorBidi"/>
        </w:rPr>
        <w:t>月</w:t>
      </w:r>
      <w:r>
        <w:rPr>
          <w:rFonts w:asciiTheme="majorBidi" w:eastAsiaTheme="minorEastAsia" w:hAnsiTheme="majorBidi" w:cstheme="majorBidi"/>
        </w:rPr>
        <w:t>20</w:t>
      </w:r>
      <w:r w:rsidRPr="00D237F6">
        <w:rPr>
          <w:rFonts w:asciiTheme="majorBidi" w:eastAsiaTheme="minorEastAsia" w:hAnsiTheme="majorBidi" w:cstheme="majorBidi"/>
        </w:rPr>
        <w:t>日，《荷兰国际法年鉴》第</w:t>
      </w:r>
      <w:r>
        <w:rPr>
          <w:rFonts w:asciiTheme="majorBidi" w:eastAsiaTheme="minorEastAsia" w:hAnsiTheme="majorBidi" w:cstheme="majorBidi"/>
        </w:rPr>
        <w:t>32</w:t>
      </w:r>
      <w:r w:rsidRPr="00D237F6">
        <w:rPr>
          <w:rFonts w:asciiTheme="majorBidi" w:eastAsiaTheme="minorEastAsia" w:hAnsiTheme="majorBidi" w:cstheme="majorBidi"/>
        </w:rPr>
        <w:t>卷</w:t>
      </w:r>
      <w:r w:rsidRPr="00D237F6">
        <w:rPr>
          <w:rFonts w:asciiTheme="majorBidi" w:eastAsiaTheme="minorEastAsia" w:hAnsiTheme="majorBidi" w:cstheme="majorBidi"/>
        </w:rPr>
        <w:t>(</w:t>
      </w:r>
      <w:r>
        <w:rPr>
          <w:rFonts w:asciiTheme="majorBidi" w:eastAsiaTheme="minorEastAsia" w:hAnsiTheme="majorBidi" w:cstheme="majorBidi"/>
        </w:rPr>
        <w:t>2001</w:t>
      </w:r>
      <w:r w:rsidRPr="00D237F6">
        <w:rPr>
          <w:rFonts w:asciiTheme="majorBidi" w:eastAsiaTheme="minorEastAsia" w:hAnsiTheme="majorBidi" w:cstheme="majorBidi"/>
        </w:rPr>
        <w:t>)</w:t>
      </w:r>
      <w:r w:rsidRPr="00D237F6">
        <w:rPr>
          <w:rFonts w:asciiTheme="majorBidi" w:eastAsiaTheme="minorEastAsia" w:hAnsiTheme="majorBidi" w:cstheme="majorBidi"/>
        </w:rPr>
        <w:t>，第</w:t>
      </w:r>
      <w:r>
        <w:rPr>
          <w:rFonts w:asciiTheme="majorBidi" w:eastAsiaTheme="minorEastAsia" w:hAnsiTheme="majorBidi" w:cstheme="majorBidi"/>
        </w:rPr>
        <w:t>266</w:t>
      </w:r>
      <w:r w:rsidRPr="00D237F6">
        <w:rPr>
          <w:rFonts w:asciiTheme="majorBidi" w:eastAsiaTheme="minorEastAsia" w:hAnsiTheme="majorBidi" w:cstheme="majorBidi"/>
        </w:rPr>
        <w:t>至</w:t>
      </w:r>
      <w:r>
        <w:rPr>
          <w:rFonts w:asciiTheme="majorBidi" w:eastAsiaTheme="minorEastAsia" w:hAnsiTheme="majorBidi" w:cstheme="majorBidi"/>
        </w:rPr>
        <w:t>282</w:t>
      </w:r>
      <w:r w:rsidRPr="00D237F6">
        <w:rPr>
          <w:rFonts w:asciiTheme="majorBidi" w:eastAsiaTheme="minorEastAsia" w:hAnsiTheme="majorBidi" w:cstheme="majorBidi"/>
        </w:rPr>
        <w:t>页</w:t>
      </w:r>
      <w:r w:rsidRPr="00D237F6">
        <w:rPr>
          <w:rFonts w:asciiTheme="majorBidi" w:eastAsiaTheme="minorEastAsia" w:hAnsiTheme="majorBidi" w:cstheme="majorBidi"/>
        </w:rPr>
        <w:t>(</w:t>
      </w:r>
      <w:r w:rsidRPr="00D237F6">
        <w:rPr>
          <w:rFonts w:asciiTheme="majorBidi" w:eastAsiaTheme="minorEastAsia" w:hAnsiTheme="majorBidi" w:cstheme="majorBidi"/>
        </w:rPr>
        <w:t>酷刑、危害人类罪</w:t>
      </w:r>
      <w:r w:rsidRPr="00D237F6">
        <w:rPr>
          <w:rFonts w:asciiTheme="majorBidi" w:eastAsiaTheme="minorEastAsia" w:hAnsiTheme="majorBidi" w:cstheme="majorBidi"/>
        </w:rPr>
        <w:t>)</w:t>
      </w:r>
      <w:r w:rsidRPr="00D237F6">
        <w:rPr>
          <w:rFonts w:asciiTheme="majorBidi" w:eastAsiaTheme="minorEastAsia" w:hAnsiTheme="majorBidi" w:cstheme="majorBidi"/>
        </w:rPr>
        <w:t>；</w:t>
      </w:r>
      <w:r w:rsidRPr="00D237F6">
        <w:rPr>
          <w:rFonts w:ascii="Time New Roman" w:eastAsia="楷体" w:hAnsi="Time New Roman" w:cstheme="majorBidi"/>
        </w:rPr>
        <w:t>卡扎菲案</w:t>
      </w:r>
      <w:r w:rsidRPr="00D237F6">
        <w:rPr>
          <w:rFonts w:asciiTheme="majorBidi" w:eastAsiaTheme="minorEastAsia" w:hAnsiTheme="majorBidi" w:cstheme="majorBidi"/>
          <w:iCs/>
        </w:rPr>
        <w:t>，巴黎上诉法院，</w:t>
      </w:r>
      <w:r>
        <w:rPr>
          <w:rFonts w:asciiTheme="majorBidi" w:eastAsiaTheme="minorEastAsia" w:hAnsiTheme="majorBidi" w:cstheme="majorBidi"/>
          <w:iCs/>
        </w:rPr>
        <w:t>2000</w:t>
      </w:r>
      <w:r w:rsidRPr="00D237F6">
        <w:rPr>
          <w:rFonts w:asciiTheme="majorBidi" w:eastAsiaTheme="minorEastAsia" w:hAnsiTheme="majorBidi" w:cstheme="majorBidi"/>
          <w:iCs/>
        </w:rPr>
        <w:t>年</w:t>
      </w:r>
      <w:r>
        <w:rPr>
          <w:rFonts w:asciiTheme="majorBidi" w:eastAsiaTheme="minorEastAsia" w:hAnsiTheme="majorBidi" w:cstheme="majorBidi"/>
          <w:iCs/>
        </w:rPr>
        <w:t>10</w:t>
      </w:r>
      <w:r w:rsidRPr="00D237F6">
        <w:rPr>
          <w:rFonts w:asciiTheme="majorBidi" w:eastAsiaTheme="minorEastAsia" w:hAnsiTheme="majorBidi" w:cstheme="majorBidi"/>
          <w:iCs/>
        </w:rPr>
        <w:t>月</w:t>
      </w:r>
      <w:r>
        <w:rPr>
          <w:rFonts w:asciiTheme="majorBidi" w:eastAsiaTheme="minorEastAsia" w:hAnsiTheme="majorBidi" w:cstheme="majorBidi"/>
          <w:iCs/>
        </w:rPr>
        <w:t>20</w:t>
      </w:r>
      <w:r w:rsidRPr="00D237F6">
        <w:rPr>
          <w:rFonts w:asciiTheme="majorBidi" w:eastAsiaTheme="minorEastAsia" w:hAnsiTheme="majorBidi" w:cstheme="majorBidi"/>
          <w:iCs/>
        </w:rPr>
        <w:t>日的判决，以及最高上诉法院，</w:t>
      </w:r>
      <w:r>
        <w:rPr>
          <w:rFonts w:asciiTheme="majorBidi" w:eastAsiaTheme="minorEastAsia" w:hAnsiTheme="majorBidi" w:cstheme="majorBidi"/>
          <w:iCs/>
        </w:rPr>
        <w:t>2001</w:t>
      </w:r>
      <w:r w:rsidRPr="00D237F6">
        <w:rPr>
          <w:rFonts w:asciiTheme="majorBidi" w:eastAsiaTheme="minorEastAsia" w:hAnsiTheme="majorBidi" w:cstheme="majorBidi"/>
          <w:iCs/>
        </w:rPr>
        <w:t>年</w:t>
      </w:r>
      <w:r>
        <w:rPr>
          <w:rFonts w:asciiTheme="majorBidi" w:eastAsiaTheme="minorEastAsia" w:hAnsiTheme="majorBidi" w:cstheme="majorBidi"/>
          <w:iCs/>
        </w:rPr>
        <w:t>3</w:t>
      </w:r>
      <w:r w:rsidRPr="00D237F6">
        <w:rPr>
          <w:rFonts w:asciiTheme="majorBidi" w:eastAsiaTheme="minorEastAsia" w:hAnsiTheme="majorBidi" w:cstheme="majorBidi"/>
          <w:iCs/>
        </w:rPr>
        <w:t>月</w:t>
      </w:r>
      <w:r>
        <w:rPr>
          <w:rFonts w:asciiTheme="majorBidi" w:eastAsiaTheme="minorEastAsia" w:hAnsiTheme="majorBidi" w:cstheme="majorBidi"/>
          <w:iCs/>
        </w:rPr>
        <w:t>13</w:t>
      </w:r>
      <w:r w:rsidRPr="00D237F6">
        <w:rPr>
          <w:rFonts w:asciiTheme="majorBidi" w:eastAsiaTheme="minorEastAsia" w:hAnsiTheme="majorBidi" w:cstheme="majorBidi"/>
          <w:iCs/>
        </w:rPr>
        <w:t>日的判决，</w:t>
      </w:r>
      <w:r w:rsidRPr="00D237F6">
        <w:rPr>
          <w:rFonts w:asciiTheme="majorBidi" w:eastAsiaTheme="minorEastAsia" w:hAnsiTheme="majorBidi" w:cstheme="majorBidi"/>
        </w:rPr>
        <w:t>《国际法案例汇编》，第</w:t>
      </w:r>
      <w:r>
        <w:rPr>
          <w:rFonts w:asciiTheme="majorBidi" w:eastAsiaTheme="minorEastAsia" w:hAnsiTheme="majorBidi" w:cstheme="majorBidi"/>
        </w:rPr>
        <w:t>125</w:t>
      </w:r>
      <w:r w:rsidRPr="00D237F6">
        <w:rPr>
          <w:rFonts w:asciiTheme="majorBidi" w:eastAsiaTheme="minorEastAsia" w:hAnsiTheme="majorBidi" w:cstheme="majorBidi"/>
        </w:rPr>
        <w:t>卷，第</w:t>
      </w:r>
      <w:r>
        <w:rPr>
          <w:rFonts w:asciiTheme="majorBidi" w:eastAsiaTheme="minorEastAsia" w:hAnsiTheme="majorBidi" w:cstheme="majorBidi"/>
        </w:rPr>
        <w:t>490</w:t>
      </w:r>
      <w:r w:rsidRPr="00D237F6">
        <w:rPr>
          <w:rFonts w:asciiTheme="majorBidi" w:eastAsiaTheme="minorEastAsia" w:hAnsiTheme="majorBidi" w:cstheme="majorBidi"/>
        </w:rPr>
        <w:t>和</w:t>
      </w:r>
      <w:r>
        <w:rPr>
          <w:rFonts w:asciiTheme="majorBidi" w:eastAsiaTheme="minorEastAsia" w:hAnsiTheme="majorBidi" w:cstheme="majorBidi"/>
        </w:rPr>
        <w:t>508</w:t>
      </w:r>
      <w:r w:rsidRPr="00D237F6">
        <w:rPr>
          <w:rFonts w:asciiTheme="majorBidi" w:eastAsiaTheme="minorEastAsia" w:hAnsiTheme="majorBidi" w:cstheme="majorBidi"/>
        </w:rPr>
        <w:t>页</w:t>
      </w:r>
      <w:r w:rsidRPr="00D237F6">
        <w:rPr>
          <w:rFonts w:asciiTheme="majorBidi" w:eastAsiaTheme="minorEastAsia" w:hAnsiTheme="majorBidi" w:cstheme="majorBidi"/>
          <w:iCs/>
        </w:rPr>
        <w:t>(</w:t>
      </w:r>
      <w:r w:rsidRPr="00D237F6">
        <w:rPr>
          <w:rFonts w:asciiTheme="majorBidi" w:eastAsiaTheme="minorEastAsia" w:hAnsiTheme="majorBidi" w:cstheme="majorBidi"/>
          <w:iCs/>
        </w:rPr>
        <w:t>下令用炸药使一架飞机坠毁，造成</w:t>
      </w:r>
      <w:r>
        <w:rPr>
          <w:rFonts w:asciiTheme="majorBidi" w:eastAsiaTheme="minorEastAsia" w:hAnsiTheme="majorBidi" w:cstheme="majorBidi"/>
          <w:iCs/>
        </w:rPr>
        <w:t>170</w:t>
      </w:r>
      <w:r w:rsidRPr="00D237F6">
        <w:rPr>
          <w:rFonts w:asciiTheme="majorBidi" w:eastAsiaTheme="minorEastAsia" w:hAnsiTheme="majorBidi" w:cstheme="majorBidi"/>
          <w:iCs/>
        </w:rPr>
        <w:t>人死亡，被认为是恐怖行为</w:t>
      </w:r>
      <w:r w:rsidRPr="00D237F6">
        <w:rPr>
          <w:rFonts w:asciiTheme="majorBidi" w:eastAsiaTheme="minorEastAsia" w:hAnsiTheme="majorBidi" w:cstheme="majorBidi"/>
          <w:iCs/>
        </w:rPr>
        <w:t>)</w:t>
      </w:r>
      <w:r w:rsidRPr="00D237F6">
        <w:rPr>
          <w:rFonts w:asciiTheme="majorBidi" w:eastAsiaTheme="minorEastAsia" w:hAnsiTheme="majorBidi" w:cstheme="majorBidi"/>
          <w:iCs/>
        </w:rPr>
        <w:t>；</w:t>
      </w:r>
      <w:r w:rsidRPr="00D237F6">
        <w:rPr>
          <w:rFonts w:ascii="Time New Roman" w:eastAsia="楷体" w:hAnsi="Time New Roman" w:cstheme="majorBidi"/>
        </w:rPr>
        <w:t>哈布雷案</w:t>
      </w:r>
      <w:r w:rsidRPr="00D237F6">
        <w:rPr>
          <w:rFonts w:asciiTheme="majorBidi" w:eastAsiaTheme="minorEastAsia" w:hAnsiTheme="majorBidi" w:cstheme="majorBidi"/>
          <w:iCs/>
        </w:rPr>
        <w:t>，达喀尔上诉法院</w:t>
      </w:r>
      <w:r w:rsidRPr="00D237F6">
        <w:rPr>
          <w:rFonts w:asciiTheme="majorBidi" w:eastAsiaTheme="minorEastAsia" w:hAnsiTheme="majorBidi" w:cstheme="majorBidi"/>
          <w:iCs/>
        </w:rPr>
        <w:t>(</w:t>
      </w:r>
      <w:r w:rsidRPr="00D237F6">
        <w:rPr>
          <w:rFonts w:asciiTheme="majorBidi" w:eastAsiaTheme="minorEastAsia" w:hAnsiTheme="majorBidi" w:cstheme="majorBidi"/>
          <w:iCs/>
        </w:rPr>
        <w:t>塞内加尔</w:t>
      </w:r>
      <w:r w:rsidRPr="00D237F6">
        <w:rPr>
          <w:rFonts w:asciiTheme="majorBidi" w:eastAsiaTheme="minorEastAsia" w:hAnsiTheme="majorBidi" w:cstheme="majorBidi"/>
          <w:iCs/>
        </w:rPr>
        <w:t>)</w:t>
      </w:r>
      <w:r w:rsidRPr="00D237F6">
        <w:rPr>
          <w:rFonts w:asciiTheme="majorBidi" w:eastAsiaTheme="minorEastAsia" w:hAnsiTheme="majorBidi" w:cstheme="majorBidi"/>
          <w:iCs/>
        </w:rPr>
        <w:t>，</w:t>
      </w:r>
      <w:r>
        <w:rPr>
          <w:rFonts w:asciiTheme="majorBidi" w:eastAsiaTheme="minorEastAsia" w:hAnsiTheme="majorBidi" w:cstheme="majorBidi"/>
          <w:iCs/>
        </w:rPr>
        <w:t>2000</w:t>
      </w:r>
      <w:r w:rsidRPr="00D237F6">
        <w:rPr>
          <w:rFonts w:asciiTheme="majorBidi" w:eastAsiaTheme="minorEastAsia" w:hAnsiTheme="majorBidi" w:cstheme="majorBidi"/>
          <w:iCs/>
        </w:rPr>
        <w:t>年</w:t>
      </w:r>
      <w:r>
        <w:rPr>
          <w:rFonts w:asciiTheme="majorBidi" w:eastAsiaTheme="minorEastAsia" w:hAnsiTheme="majorBidi" w:cstheme="majorBidi"/>
          <w:iCs/>
        </w:rPr>
        <w:t>7</w:t>
      </w:r>
      <w:r w:rsidRPr="00D237F6">
        <w:rPr>
          <w:rFonts w:asciiTheme="majorBidi" w:eastAsiaTheme="minorEastAsia" w:hAnsiTheme="majorBidi" w:cstheme="majorBidi"/>
          <w:iCs/>
        </w:rPr>
        <w:t>月</w:t>
      </w:r>
      <w:r>
        <w:rPr>
          <w:rFonts w:asciiTheme="majorBidi" w:eastAsiaTheme="minorEastAsia" w:hAnsiTheme="majorBidi" w:cstheme="majorBidi"/>
          <w:iCs/>
        </w:rPr>
        <w:t>4</w:t>
      </w:r>
      <w:r w:rsidRPr="00D237F6">
        <w:rPr>
          <w:rFonts w:asciiTheme="majorBidi" w:eastAsiaTheme="minorEastAsia" w:hAnsiTheme="majorBidi" w:cstheme="majorBidi"/>
          <w:iCs/>
        </w:rPr>
        <w:t>日判决，以及最高上诉法院</w:t>
      </w:r>
      <w:r>
        <w:rPr>
          <w:rFonts w:asciiTheme="majorBidi" w:eastAsiaTheme="minorEastAsia" w:hAnsiTheme="majorBidi" w:cstheme="majorBidi"/>
          <w:iCs/>
        </w:rPr>
        <w:t>2001</w:t>
      </w:r>
      <w:r w:rsidRPr="00D237F6">
        <w:rPr>
          <w:rFonts w:asciiTheme="majorBidi" w:eastAsiaTheme="minorEastAsia" w:hAnsiTheme="majorBidi" w:cstheme="majorBidi"/>
          <w:iCs/>
        </w:rPr>
        <w:t>年</w:t>
      </w:r>
      <w:r>
        <w:rPr>
          <w:rFonts w:asciiTheme="majorBidi" w:eastAsiaTheme="minorEastAsia" w:hAnsiTheme="majorBidi" w:cstheme="majorBidi"/>
          <w:iCs/>
        </w:rPr>
        <w:t>3</w:t>
      </w:r>
      <w:r w:rsidRPr="00D237F6">
        <w:rPr>
          <w:rFonts w:asciiTheme="majorBidi" w:eastAsiaTheme="minorEastAsia" w:hAnsiTheme="majorBidi" w:cstheme="majorBidi"/>
          <w:iCs/>
        </w:rPr>
        <w:t>月</w:t>
      </w:r>
      <w:r>
        <w:rPr>
          <w:rFonts w:asciiTheme="majorBidi" w:eastAsiaTheme="minorEastAsia" w:hAnsiTheme="majorBidi" w:cstheme="majorBidi"/>
          <w:iCs/>
        </w:rPr>
        <w:t>20</w:t>
      </w:r>
      <w:r w:rsidRPr="00D237F6">
        <w:rPr>
          <w:rFonts w:asciiTheme="majorBidi" w:eastAsiaTheme="minorEastAsia" w:hAnsiTheme="majorBidi" w:cstheme="majorBidi"/>
          <w:iCs/>
        </w:rPr>
        <w:t>日的判决；</w:t>
      </w:r>
      <w:r w:rsidRPr="00D237F6">
        <w:rPr>
          <w:rFonts w:asciiTheme="majorBidi" w:eastAsiaTheme="minorEastAsia" w:hAnsiTheme="majorBidi" w:cstheme="majorBidi"/>
        </w:rPr>
        <w:t>《国际法案例汇编》，第</w:t>
      </w:r>
      <w:r>
        <w:rPr>
          <w:rFonts w:asciiTheme="majorBidi" w:eastAsiaTheme="minorEastAsia" w:hAnsiTheme="majorBidi" w:cstheme="majorBidi"/>
        </w:rPr>
        <w:t>125</w:t>
      </w:r>
      <w:r w:rsidRPr="00D237F6">
        <w:rPr>
          <w:rFonts w:asciiTheme="majorBidi" w:eastAsiaTheme="minorEastAsia" w:hAnsiTheme="majorBidi" w:cstheme="majorBidi"/>
        </w:rPr>
        <w:t>卷，第</w:t>
      </w:r>
      <w:r>
        <w:rPr>
          <w:rFonts w:asciiTheme="majorBidi" w:eastAsiaTheme="minorEastAsia" w:hAnsiTheme="majorBidi" w:cstheme="majorBidi"/>
        </w:rPr>
        <w:t>571</w:t>
      </w:r>
      <w:r w:rsidRPr="00D237F6">
        <w:rPr>
          <w:rFonts w:asciiTheme="majorBidi" w:eastAsiaTheme="minorEastAsia" w:hAnsiTheme="majorBidi" w:cstheme="majorBidi"/>
        </w:rPr>
        <w:t>和</w:t>
      </w:r>
      <w:r>
        <w:rPr>
          <w:rFonts w:asciiTheme="majorBidi" w:eastAsiaTheme="minorEastAsia" w:hAnsiTheme="majorBidi" w:cstheme="majorBidi"/>
        </w:rPr>
        <w:t>577</w:t>
      </w:r>
      <w:r w:rsidRPr="00D237F6">
        <w:rPr>
          <w:rFonts w:asciiTheme="majorBidi" w:eastAsiaTheme="minorEastAsia" w:hAnsiTheme="majorBidi" w:cstheme="majorBidi"/>
        </w:rPr>
        <w:t>页</w:t>
      </w:r>
      <w:r w:rsidRPr="00D237F6">
        <w:rPr>
          <w:rFonts w:asciiTheme="majorBidi" w:eastAsiaTheme="minorEastAsia" w:hAnsiTheme="majorBidi" w:cstheme="majorBidi"/>
        </w:rPr>
        <w:t>(</w:t>
      </w:r>
      <w:r w:rsidRPr="00D237F6">
        <w:rPr>
          <w:rFonts w:asciiTheme="majorBidi" w:eastAsiaTheme="minorEastAsia" w:hAnsiTheme="majorBidi" w:cstheme="majorBidi"/>
        </w:rPr>
        <w:t>酷刑行为和危害人类罪</w:t>
      </w:r>
      <w:r w:rsidRPr="00D237F6">
        <w:rPr>
          <w:rFonts w:asciiTheme="majorBidi" w:eastAsiaTheme="minorEastAsia" w:hAnsiTheme="majorBidi" w:cstheme="majorBidi"/>
        </w:rPr>
        <w:t>)</w:t>
      </w:r>
      <w:r w:rsidRPr="00D237F6">
        <w:rPr>
          <w:rFonts w:asciiTheme="majorBidi" w:eastAsiaTheme="minorEastAsia" w:hAnsiTheme="majorBidi" w:cstheme="majorBidi"/>
        </w:rPr>
        <w:t>；</w:t>
      </w:r>
      <w:r>
        <w:rPr>
          <w:rFonts w:ascii="Time New Roman" w:eastAsia="楷体" w:hAnsi="Time New Roman" w:cstheme="majorBidi"/>
        </w:rPr>
        <w:t>Sharon</w:t>
      </w:r>
      <w:r w:rsidRPr="00D237F6">
        <w:rPr>
          <w:rFonts w:ascii="Time New Roman" w:eastAsia="楷体" w:hAnsi="Time New Roman" w:cstheme="majorBidi"/>
        </w:rPr>
        <w:t>和</w:t>
      </w:r>
      <w:r>
        <w:rPr>
          <w:rFonts w:ascii="Time New Roman" w:eastAsia="楷体" w:hAnsi="Time New Roman" w:cstheme="majorBidi"/>
        </w:rPr>
        <w:t>Yaron</w:t>
      </w:r>
      <w:r w:rsidRPr="00D237F6">
        <w:rPr>
          <w:rFonts w:ascii="Time New Roman" w:eastAsia="楷体" w:hAnsi="Time New Roman" w:cstheme="majorBidi"/>
        </w:rPr>
        <w:t>案</w:t>
      </w:r>
      <w:r w:rsidRPr="00D237F6">
        <w:rPr>
          <w:rFonts w:asciiTheme="majorBidi" w:eastAsiaTheme="minorEastAsia" w:hAnsiTheme="majorBidi" w:cstheme="majorBidi"/>
          <w:iCs/>
        </w:rPr>
        <w:t>，</w:t>
      </w:r>
      <w:r w:rsidRPr="00D237F6">
        <w:rPr>
          <w:rFonts w:asciiTheme="majorBidi" w:eastAsiaTheme="minorEastAsia" w:hAnsiTheme="majorBidi" w:cstheme="majorBidi"/>
        </w:rPr>
        <w:t>布鲁塞尔上诉法院，</w:t>
      </w:r>
      <w:r>
        <w:rPr>
          <w:rFonts w:asciiTheme="majorBidi" w:eastAsiaTheme="minorEastAsia" w:hAnsiTheme="majorBidi" w:cstheme="majorBidi"/>
        </w:rPr>
        <w:t>2002</w:t>
      </w:r>
      <w:r w:rsidRPr="00D237F6">
        <w:rPr>
          <w:rFonts w:asciiTheme="majorBidi" w:eastAsiaTheme="minorEastAsia" w:hAnsiTheme="majorBidi" w:cstheme="majorBidi"/>
        </w:rPr>
        <w:t>年</w:t>
      </w:r>
      <w:r>
        <w:rPr>
          <w:rFonts w:asciiTheme="majorBidi" w:eastAsiaTheme="minorEastAsia" w:hAnsiTheme="majorBidi" w:cstheme="majorBidi"/>
        </w:rPr>
        <w:t>6</w:t>
      </w:r>
      <w:r w:rsidRPr="00D237F6">
        <w:rPr>
          <w:rFonts w:asciiTheme="majorBidi" w:eastAsiaTheme="minorEastAsia" w:hAnsiTheme="majorBidi" w:cstheme="majorBidi"/>
        </w:rPr>
        <w:t>月</w:t>
      </w:r>
      <w:r>
        <w:rPr>
          <w:rFonts w:asciiTheme="majorBidi" w:eastAsiaTheme="minorEastAsia" w:hAnsiTheme="majorBidi" w:cstheme="majorBidi"/>
        </w:rPr>
        <w:t>26</w:t>
      </w:r>
      <w:r w:rsidRPr="00D237F6">
        <w:rPr>
          <w:rFonts w:asciiTheme="majorBidi" w:eastAsiaTheme="minorEastAsia" w:hAnsiTheme="majorBidi" w:cstheme="majorBidi"/>
        </w:rPr>
        <w:t>日的判决，《国际法案例汇编》，第</w:t>
      </w:r>
      <w:r>
        <w:rPr>
          <w:rFonts w:asciiTheme="majorBidi" w:eastAsiaTheme="minorEastAsia" w:hAnsiTheme="majorBidi" w:cstheme="majorBidi"/>
        </w:rPr>
        <w:t>127</w:t>
      </w:r>
      <w:r w:rsidRPr="00D237F6">
        <w:rPr>
          <w:rFonts w:asciiTheme="majorBidi" w:eastAsiaTheme="minorEastAsia" w:hAnsiTheme="majorBidi" w:cstheme="majorBidi"/>
        </w:rPr>
        <w:t>卷，第</w:t>
      </w:r>
      <w:r>
        <w:rPr>
          <w:rFonts w:asciiTheme="majorBidi" w:eastAsiaTheme="minorEastAsia" w:hAnsiTheme="majorBidi" w:cstheme="majorBidi"/>
        </w:rPr>
        <w:t>110</w:t>
      </w:r>
      <w:r w:rsidRPr="00D237F6">
        <w:rPr>
          <w:rFonts w:asciiTheme="majorBidi" w:eastAsiaTheme="minorEastAsia" w:hAnsiTheme="majorBidi" w:cstheme="majorBidi"/>
        </w:rPr>
        <w:t>页</w:t>
      </w:r>
      <w:r w:rsidRPr="00D237F6">
        <w:rPr>
          <w:rFonts w:asciiTheme="majorBidi" w:eastAsiaTheme="minorEastAsia" w:hAnsiTheme="majorBidi" w:cstheme="majorBidi"/>
        </w:rPr>
        <w:t>(</w:t>
      </w:r>
      <w:r w:rsidRPr="00D237F6">
        <w:rPr>
          <w:rFonts w:asciiTheme="majorBidi" w:eastAsiaTheme="minorEastAsia" w:hAnsiTheme="majorBidi" w:cstheme="majorBidi"/>
        </w:rPr>
        <w:t>战争罪、危害人类罪和灭绝种族</w:t>
      </w:r>
      <w:r w:rsidRPr="00D237F6">
        <w:rPr>
          <w:rFonts w:asciiTheme="majorBidi" w:eastAsiaTheme="minorEastAsia" w:hAnsiTheme="majorBidi" w:cstheme="majorBidi"/>
        </w:rPr>
        <w:t>)</w:t>
      </w:r>
      <w:r w:rsidRPr="00D237F6">
        <w:rPr>
          <w:rFonts w:asciiTheme="majorBidi" w:eastAsiaTheme="minorEastAsia" w:hAnsiTheme="majorBidi" w:cstheme="majorBidi"/>
        </w:rPr>
        <w:t>；</w:t>
      </w:r>
      <w:r>
        <w:rPr>
          <w:rFonts w:ascii="Time New Roman" w:eastAsia="楷体" w:hAnsi="Time New Roman" w:cstheme="majorBidi"/>
        </w:rPr>
        <w:t>A</w:t>
      </w:r>
      <w:r w:rsidRPr="00D237F6">
        <w:rPr>
          <w:rFonts w:ascii="Time New Roman" w:eastAsia="楷体" w:hAnsi="Time New Roman" w:cstheme="majorBidi"/>
        </w:rPr>
        <w:t>.</w:t>
      </w:r>
      <w:r w:rsidRPr="00D237F6">
        <w:rPr>
          <w:rFonts w:ascii="Time New Roman" w:eastAsia="楷体" w:hAnsi="Time New Roman" w:cstheme="majorBidi"/>
        </w:rPr>
        <w:t>诉联邦检察官办公室</w:t>
      </w:r>
      <w:r w:rsidRPr="00D237F6">
        <w:rPr>
          <w:rFonts w:ascii="Time New Roman" w:eastAsia="楷体" w:hAnsi="Time New Roman" w:cstheme="majorBidi"/>
        </w:rPr>
        <w:t>(</w:t>
      </w:r>
      <w:r>
        <w:rPr>
          <w:rFonts w:ascii="Time New Roman" w:eastAsia="楷体" w:hAnsi="Time New Roman" w:cstheme="majorBidi"/>
        </w:rPr>
        <w:t>Nezzar</w:t>
      </w:r>
      <w:r w:rsidRPr="00D237F6">
        <w:rPr>
          <w:rFonts w:ascii="Time New Roman" w:eastAsia="楷体" w:hAnsi="Time New Roman" w:cstheme="majorBidi"/>
        </w:rPr>
        <w:t>案</w:t>
      </w:r>
      <w:r w:rsidRPr="00D237F6">
        <w:rPr>
          <w:rFonts w:ascii="Time New Roman" w:eastAsia="楷体" w:hAnsi="Time New Roman" w:cstheme="majorBidi"/>
        </w:rPr>
        <w:t>)</w:t>
      </w:r>
      <w:r w:rsidRPr="00D237F6">
        <w:rPr>
          <w:rFonts w:ascii="Time New Roman" w:eastAsia="楷体" w:hAnsi="Time New Roman" w:cstheme="majorBidi"/>
        </w:rPr>
        <w:t>，</w:t>
      </w:r>
      <w:r w:rsidRPr="00D237F6">
        <w:rPr>
          <w:rFonts w:asciiTheme="majorBidi" w:eastAsiaTheme="minorEastAsia" w:hAnsiTheme="majorBidi" w:cstheme="majorBidi"/>
        </w:rPr>
        <w:t>瑞士联邦刑事法院</w:t>
      </w:r>
      <w:r w:rsidRPr="00D237F6">
        <w:rPr>
          <w:rFonts w:asciiTheme="majorBidi" w:eastAsiaTheme="minorEastAsia" w:hAnsiTheme="majorBidi" w:cstheme="majorBidi"/>
        </w:rPr>
        <w:t>(</w:t>
      </w:r>
      <w:r w:rsidRPr="00D237F6">
        <w:rPr>
          <w:rFonts w:asciiTheme="majorBidi" w:eastAsiaTheme="minorEastAsia" w:hAnsiTheme="majorBidi" w:cstheme="majorBidi"/>
        </w:rPr>
        <w:t>第</w:t>
      </w:r>
      <w:r>
        <w:rPr>
          <w:rFonts w:asciiTheme="majorBidi" w:eastAsiaTheme="minorEastAsia" w:hAnsiTheme="majorBidi" w:cstheme="majorBidi"/>
        </w:rPr>
        <w:t>BB</w:t>
      </w:r>
      <w:r w:rsidRPr="00D237F6">
        <w:rPr>
          <w:rFonts w:asciiTheme="majorBidi" w:eastAsiaTheme="minorEastAsia" w:hAnsiTheme="majorBidi" w:cstheme="majorBidi"/>
        </w:rPr>
        <w:t>.</w:t>
      </w:r>
      <w:r>
        <w:rPr>
          <w:rFonts w:asciiTheme="majorBidi" w:eastAsiaTheme="minorEastAsia" w:hAnsiTheme="majorBidi" w:cstheme="majorBidi"/>
        </w:rPr>
        <w:t>2011</w:t>
      </w:r>
      <w:r w:rsidRPr="00D237F6">
        <w:rPr>
          <w:rFonts w:asciiTheme="majorBidi" w:eastAsiaTheme="minorEastAsia" w:hAnsiTheme="majorBidi" w:cstheme="majorBidi"/>
        </w:rPr>
        <w:t>.</w:t>
      </w:r>
      <w:r>
        <w:rPr>
          <w:rFonts w:asciiTheme="majorBidi" w:eastAsiaTheme="minorEastAsia" w:hAnsiTheme="majorBidi" w:cstheme="majorBidi"/>
        </w:rPr>
        <w:t>140</w:t>
      </w:r>
      <w:r w:rsidRPr="00D237F6">
        <w:rPr>
          <w:rFonts w:asciiTheme="majorBidi" w:eastAsiaTheme="minorEastAsia" w:hAnsiTheme="majorBidi" w:cstheme="majorBidi"/>
        </w:rPr>
        <w:t>号案件</w:t>
      </w:r>
      <w:r w:rsidRPr="00D237F6">
        <w:rPr>
          <w:rFonts w:asciiTheme="majorBidi" w:eastAsiaTheme="minorEastAsia" w:hAnsiTheme="majorBidi" w:cstheme="majorBidi"/>
        </w:rPr>
        <w:t>)</w:t>
      </w:r>
      <w:r w:rsidRPr="00D237F6">
        <w:rPr>
          <w:rFonts w:asciiTheme="majorBidi" w:eastAsiaTheme="minorEastAsia" w:hAnsiTheme="majorBidi" w:cstheme="majorBidi"/>
        </w:rPr>
        <w:t>，</w:t>
      </w:r>
      <w:r>
        <w:rPr>
          <w:rFonts w:asciiTheme="majorBidi" w:eastAsiaTheme="minorEastAsia" w:hAnsiTheme="majorBidi" w:cstheme="majorBidi"/>
        </w:rPr>
        <w:t>2012</w:t>
      </w:r>
      <w:r w:rsidRPr="00D237F6">
        <w:rPr>
          <w:rFonts w:asciiTheme="majorBidi" w:eastAsiaTheme="minorEastAsia" w:hAnsiTheme="majorBidi" w:cstheme="majorBidi"/>
        </w:rPr>
        <w:t>年</w:t>
      </w:r>
      <w:r>
        <w:rPr>
          <w:rFonts w:asciiTheme="majorBidi" w:eastAsiaTheme="minorEastAsia" w:hAnsiTheme="majorBidi" w:cstheme="majorBidi"/>
        </w:rPr>
        <w:t>7</w:t>
      </w:r>
      <w:r w:rsidRPr="00D237F6">
        <w:rPr>
          <w:rFonts w:asciiTheme="majorBidi" w:eastAsiaTheme="minorEastAsia" w:hAnsiTheme="majorBidi" w:cstheme="majorBidi"/>
        </w:rPr>
        <w:t>月</w:t>
      </w:r>
      <w:r>
        <w:rPr>
          <w:rFonts w:asciiTheme="majorBidi" w:eastAsiaTheme="minorEastAsia" w:hAnsiTheme="majorBidi" w:cstheme="majorBidi"/>
        </w:rPr>
        <w:t>25</w:t>
      </w:r>
      <w:r w:rsidRPr="00D237F6">
        <w:rPr>
          <w:rFonts w:asciiTheme="majorBidi" w:eastAsiaTheme="minorEastAsia" w:hAnsiTheme="majorBidi" w:cstheme="majorBidi"/>
        </w:rPr>
        <w:t>日的判决</w:t>
      </w:r>
      <w:r w:rsidRPr="00D237F6">
        <w:rPr>
          <w:rFonts w:asciiTheme="majorBidi" w:eastAsiaTheme="minorEastAsia" w:hAnsiTheme="majorBidi" w:cstheme="majorBidi"/>
        </w:rPr>
        <w:t>(</w:t>
      </w:r>
      <w:r w:rsidRPr="00D237F6">
        <w:rPr>
          <w:rFonts w:asciiTheme="majorBidi" w:eastAsiaTheme="minorEastAsia" w:hAnsiTheme="majorBidi" w:cstheme="majorBidi"/>
        </w:rPr>
        <w:t>酷刑和其他危害人类罪</w:t>
      </w:r>
      <w:r w:rsidRPr="00D237F6">
        <w:rPr>
          <w:rFonts w:asciiTheme="majorBidi" w:eastAsiaTheme="minorEastAsia" w:hAnsiTheme="majorBidi" w:cstheme="majorBidi"/>
        </w:rPr>
        <w:t>)</w:t>
      </w:r>
      <w:r w:rsidRPr="00D237F6">
        <w:rPr>
          <w:rFonts w:asciiTheme="majorBidi" w:eastAsiaTheme="minorEastAsia" w:hAnsiTheme="majorBidi" w:cstheme="majorBidi"/>
        </w:rPr>
        <w:t>。</w:t>
      </w:r>
    </w:p>
  </w:footnote>
  <w:footnote w:id="1428">
    <w:p w:rsidR="00AB00DE" w:rsidRPr="00D237F6" w:rsidRDefault="00AB00DE" w:rsidP="00396D56">
      <w:pPr>
        <w:pStyle w:val="a4"/>
        <w:spacing w:after="80"/>
        <w:rPr>
          <w:rFonts w:asciiTheme="majorBidi" w:eastAsiaTheme="minorEastAsia" w:hAnsiTheme="majorBidi" w:cstheme="majorBidi"/>
        </w:rPr>
      </w:pPr>
      <w:r>
        <w:rPr>
          <w:rStyle w:val="a5"/>
          <w:rFonts w:asciiTheme="majorBidi" w:eastAsiaTheme="minorEastAsia" w:hAnsiTheme="majorBidi" w:cstheme="majorBidi"/>
        </w:rPr>
        <w:tab/>
      </w:r>
      <w:r w:rsidRPr="003D3D39">
        <w:rPr>
          <w:rStyle w:val="a5"/>
          <w:rFonts w:eastAsiaTheme="minorEastAsia" w:cstheme="majorBidi"/>
        </w:rPr>
        <w:footnoteRef/>
      </w:r>
      <w:r>
        <w:rPr>
          <w:rStyle w:val="a5"/>
          <w:rFonts w:asciiTheme="majorBidi" w:eastAsiaTheme="minorEastAsia" w:hAnsiTheme="majorBidi" w:cstheme="majorBidi"/>
        </w:rPr>
        <w:tab/>
      </w:r>
      <w:r>
        <w:rPr>
          <w:rFonts w:ascii="Time New Roman" w:eastAsia="楷体" w:hAnsi="Time New Roman" w:cstheme="majorBidi" w:hint="eastAsia"/>
        </w:rPr>
        <w:t>Ye</w:t>
      </w:r>
      <w:r w:rsidRPr="0059398C">
        <w:rPr>
          <w:rFonts w:ascii="Time New Roman" w:eastAsia="楷体" w:hAnsi="Time New Roman" w:cstheme="majorBidi" w:hint="eastAsia"/>
        </w:rPr>
        <w:t>诉</w:t>
      </w:r>
      <w:r>
        <w:rPr>
          <w:rFonts w:asciiTheme="majorBidi" w:eastAsiaTheme="minorEastAsia" w:hAnsiTheme="majorBidi" w:cstheme="majorBidi" w:hint="eastAsia"/>
        </w:rPr>
        <w:t>Zemin</w:t>
      </w:r>
      <w:r>
        <w:rPr>
          <w:rFonts w:ascii="Time New Roman" w:eastAsia="楷体" w:hAnsi="Time New Roman" w:cstheme="majorBidi"/>
        </w:rPr>
        <w:t>Doe</w:t>
      </w:r>
      <w:r w:rsidRPr="00D237F6">
        <w:rPr>
          <w:rFonts w:ascii="Time New Roman" w:eastAsia="楷体" w:hAnsi="Time New Roman" w:cstheme="majorBidi"/>
        </w:rPr>
        <w:t>案</w:t>
      </w:r>
      <w:r w:rsidRPr="00D237F6">
        <w:rPr>
          <w:rFonts w:asciiTheme="majorBidi" w:eastAsiaTheme="minorEastAsia" w:hAnsiTheme="majorBidi" w:cstheme="majorBidi"/>
        </w:rPr>
        <w:t>，美国上诉法院，第</w:t>
      </w:r>
      <w:r>
        <w:rPr>
          <w:rFonts w:asciiTheme="majorBidi" w:eastAsiaTheme="minorEastAsia" w:hAnsiTheme="majorBidi" w:cstheme="majorBidi" w:hint="eastAsia"/>
        </w:rPr>
        <w:t>七</w:t>
      </w:r>
      <w:r w:rsidRPr="00D237F6">
        <w:rPr>
          <w:rFonts w:asciiTheme="majorBidi" w:eastAsiaTheme="minorEastAsia" w:hAnsiTheme="majorBidi" w:cstheme="majorBidi"/>
        </w:rPr>
        <w:t>巡回法庭，</w:t>
      </w:r>
      <w:r>
        <w:rPr>
          <w:iCs/>
        </w:rPr>
        <w:t xml:space="preserve">383F. 3d 620 (2004) </w:t>
      </w:r>
      <w:r>
        <w:rPr>
          <w:rFonts w:asciiTheme="majorBidi" w:eastAsiaTheme="minorEastAsia" w:hAnsiTheme="majorBidi" w:cstheme="majorBidi" w:hint="eastAsia"/>
        </w:rPr>
        <w:t>(</w:t>
      </w:r>
      <w:r>
        <w:rPr>
          <w:rFonts w:asciiTheme="majorBidi" w:eastAsiaTheme="minorEastAsia" w:hAnsiTheme="majorBidi" w:cstheme="majorBidi" w:hint="eastAsia"/>
        </w:rPr>
        <w:t>与脚注</w:t>
      </w:r>
      <w:r>
        <w:rPr>
          <w:rFonts w:asciiTheme="majorBidi" w:eastAsiaTheme="minorEastAsia" w:hAnsiTheme="majorBidi" w:cstheme="majorBidi" w:hint="eastAsia"/>
        </w:rPr>
        <w:t>1426</w:t>
      </w:r>
      <w:r>
        <w:rPr>
          <w:rFonts w:asciiTheme="majorBidi" w:eastAsiaTheme="minorEastAsia" w:hAnsiTheme="majorBidi" w:cstheme="majorBidi" w:hint="eastAsia"/>
        </w:rPr>
        <w:t>和</w:t>
      </w:r>
      <w:r>
        <w:rPr>
          <w:rFonts w:asciiTheme="majorBidi" w:eastAsiaTheme="minorEastAsia" w:hAnsiTheme="majorBidi" w:cstheme="majorBidi" w:hint="eastAsia"/>
        </w:rPr>
        <w:t>1428</w:t>
      </w:r>
      <w:r>
        <w:rPr>
          <w:rFonts w:asciiTheme="majorBidi" w:eastAsiaTheme="minorEastAsia" w:hAnsiTheme="majorBidi" w:cstheme="majorBidi" w:hint="eastAsia"/>
        </w:rPr>
        <w:t>所述案件不同，这是一个向民事法院提起的案件</w:t>
      </w:r>
      <w:r>
        <w:rPr>
          <w:rFonts w:asciiTheme="majorBidi" w:eastAsiaTheme="minorEastAsia" w:hAnsiTheme="majorBidi" w:cstheme="majorBidi" w:hint="eastAsia"/>
        </w:rPr>
        <w:t>)</w:t>
      </w:r>
      <w:r w:rsidRPr="00D237F6">
        <w:rPr>
          <w:rFonts w:asciiTheme="majorBidi" w:eastAsiaTheme="minorEastAsia" w:hAnsiTheme="majorBidi" w:cstheme="majorBidi"/>
        </w:rPr>
        <w:t>。</w:t>
      </w:r>
    </w:p>
  </w:footnote>
  <w:footnote w:id="1429">
    <w:p w:rsidR="00AB00DE" w:rsidRPr="00D237F6" w:rsidRDefault="00AB00DE" w:rsidP="00334F8C">
      <w:pPr>
        <w:pStyle w:val="a4"/>
        <w:spacing w:after="80"/>
        <w:rPr>
          <w:rFonts w:asciiTheme="majorBidi" w:eastAsiaTheme="minorEastAsia" w:hAnsiTheme="majorBidi" w:cstheme="majorBidi"/>
        </w:rPr>
      </w:pPr>
      <w:r>
        <w:rPr>
          <w:rStyle w:val="a5"/>
          <w:rFonts w:asciiTheme="majorBidi" w:eastAsiaTheme="minorEastAsia" w:hAnsiTheme="majorBidi" w:cstheme="majorBidi"/>
        </w:rPr>
        <w:tab/>
      </w:r>
      <w:r w:rsidRPr="003D3D39">
        <w:rPr>
          <w:rStyle w:val="a5"/>
          <w:rFonts w:eastAsiaTheme="minorEastAsia" w:cstheme="majorBidi"/>
        </w:rPr>
        <w:footnoteRef/>
      </w:r>
      <w:r>
        <w:rPr>
          <w:rStyle w:val="a5"/>
          <w:rFonts w:asciiTheme="majorBidi" w:eastAsiaTheme="minorEastAsia" w:hAnsiTheme="majorBidi" w:cstheme="majorBidi"/>
        </w:rPr>
        <w:tab/>
      </w:r>
      <w:r w:rsidRPr="00D237F6">
        <w:rPr>
          <w:rFonts w:ascii="Time New Roman" w:eastAsia="楷体" w:hAnsi="Time New Roman" w:cstheme="majorBidi"/>
        </w:rPr>
        <w:t>边界卫兵案</w:t>
      </w:r>
      <w:r w:rsidRPr="00D237F6">
        <w:rPr>
          <w:rFonts w:asciiTheme="majorBidi" w:eastAsiaTheme="minorEastAsia" w:hAnsiTheme="majorBidi" w:cstheme="majorBidi"/>
        </w:rPr>
        <w:t>，德国联邦刑事法院，</w:t>
      </w:r>
      <w:r>
        <w:rPr>
          <w:rFonts w:asciiTheme="majorBidi" w:eastAsiaTheme="minorEastAsia" w:hAnsiTheme="majorBidi" w:cstheme="majorBidi"/>
        </w:rPr>
        <w:t>1992</w:t>
      </w:r>
      <w:r w:rsidRPr="00D237F6">
        <w:rPr>
          <w:rFonts w:asciiTheme="majorBidi" w:eastAsiaTheme="minorEastAsia" w:hAnsiTheme="majorBidi" w:cstheme="majorBidi"/>
        </w:rPr>
        <w:t>年</w:t>
      </w:r>
      <w:r>
        <w:rPr>
          <w:rFonts w:asciiTheme="majorBidi" w:eastAsiaTheme="minorEastAsia" w:hAnsiTheme="majorBidi" w:cstheme="majorBidi"/>
        </w:rPr>
        <w:t>11</w:t>
      </w:r>
      <w:r w:rsidRPr="00D237F6">
        <w:rPr>
          <w:rFonts w:asciiTheme="majorBidi" w:eastAsiaTheme="minorEastAsia" w:hAnsiTheme="majorBidi" w:cstheme="majorBidi"/>
        </w:rPr>
        <w:t>月</w:t>
      </w:r>
      <w:r>
        <w:rPr>
          <w:rFonts w:asciiTheme="majorBidi" w:eastAsiaTheme="minorEastAsia" w:hAnsiTheme="majorBidi" w:cstheme="majorBidi"/>
        </w:rPr>
        <w:t>3</w:t>
      </w:r>
      <w:r w:rsidRPr="00D237F6">
        <w:rPr>
          <w:rFonts w:asciiTheme="majorBidi" w:eastAsiaTheme="minorEastAsia" w:hAnsiTheme="majorBidi" w:cstheme="majorBidi"/>
        </w:rPr>
        <w:t>日的判决</w:t>
      </w:r>
      <w:r w:rsidRPr="00D237F6">
        <w:rPr>
          <w:rFonts w:asciiTheme="majorBidi" w:eastAsiaTheme="minorEastAsia" w:hAnsiTheme="majorBidi" w:cstheme="majorBidi"/>
        </w:rPr>
        <w:t>(</w:t>
      </w:r>
      <w:r w:rsidRPr="00D237F6">
        <w:rPr>
          <w:rFonts w:asciiTheme="majorBidi" w:eastAsiaTheme="minorEastAsia" w:hAnsiTheme="majorBidi" w:cstheme="majorBidi"/>
        </w:rPr>
        <w:t>第</w:t>
      </w:r>
      <w:r>
        <w:rPr>
          <w:rFonts w:asciiTheme="majorBidi" w:eastAsiaTheme="minorEastAsia" w:hAnsiTheme="majorBidi" w:cstheme="majorBidi"/>
        </w:rPr>
        <w:t>5</w:t>
      </w:r>
      <w:r>
        <w:rPr>
          <w:rFonts w:asciiTheme="majorBidi" w:eastAsiaTheme="minorEastAsia" w:hAnsiTheme="majorBidi" w:cstheme="majorBidi" w:hint="eastAsia"/>
        </w:rPr>
        <w:t xml:space="preserve"> </w:t>
      </w:r>
      <w:r>
        <w:rPr>
          <w:rFonts w:asciiTheme="majorBidi" w:eastAsiaTheme="minorEastAsia" w:hAnsiTheme="majorBidi" w:cstheme="majorBidi"/>
        </w:rPr>
        <w:t>StR</w:t>
      </w:r>
      <w:r>
        <w:rPr>
          <w:rFonts w:asciiTheme="majorBidi" w:eastAsiaTheme="minorEastAsia" w:hAnsiTheme="majorBidi" w:cstheme="majorBidi" w:hint="eastAsia"/>
        </w:rPr>
        <w:t xml:space="preserve"> </w:t>
      </w:r>
      <w:r>
        <w:rPr>
          <w:rFonts w:asciiTheme="majorBidi" w:eastAsiaTheme="minorEastAsia" w:hAnsiTheme="majorBidi" w:cstheme="majorBidi"/>
        </w:rPr>
        <w:t>370</w:t>
      </w:r>
      <w:r w:rsidRPr="00D237F6">
        <w:rPr>
          <w:rFonts w:asciiTheme="majorBidi" w:eastAsiaTheme="minorEastAsia" w:hAnsiTheme="majorBidi" w:cstheme="majorBidi"/>
        </w:rPr>
        <w:t>/</w:t>
      </w:r>
      <w:r>
        <w:rPr>
          <w:rFonts w:asciiTheme="majorBidi" w:eastAsiaTheme="minorEastAsia" w:hAnsiTheme="majorBidi" w:cstheme="majorBidi"/>
        </w:rPr>
        <w:t>92</w:t>
      </w:r>
      <w:r w:rsidRPr="00D237F6">
        <w:rPr>
          <w:rFonts w:asciiTheme="majorBidi" w:eastAsiaTheme="minorEastAsia" w:hAnsiTheme="majorBidi" w:cstheme="majorBidi"/>
        </w:rPr>
        <w:t>号案件</w:t>
      </w:r>
      <w:r w:rsidRPr="00D237F6">
        <w:rPr>
          <w:rFonts w:asciiTheme="majorBidi" w:eastAsiaTheme="minorEastAsia" w:hAnsiTheme="majorBidi" w:cstheme="majorBidi"/>
        </w:rPr>
        <w:t>)</w:t>
      </w:r>
      <w:r w:rsidRPr="00D237F6">
        <w:rPr>
          <w:rFonts w:asciiTheme="majorBidi" w:eastAsiaTheme="minorEastAsia" w:hAnsiTheme="majorBidi" w:cstheme="majorBidi"/>
        </w:rPr>
        <w:t>，《国际法案例汇编》，第</w:t>
      </w:r>
      <w:r>
        <w:rPr>
          <w:rFonts w:asciiTheme="majorBidi" w:eastAsiaTheme="minorEastAsia" w:hAnsiTheme="majorBidi" w:cstheme="majorBidi"/>
        </w:rPr>
        <w:t>100</w:t>
      </w:r>
      <w:r w:rsidRPr="00D237F6">
        <w:rPr>
          <w:rFonts w:asciiTheme="majorBidi" w:eastAsiaTheme="minorEastAsia" w:hAnsiTheme="majorBidi" w:cstheme="majorBidi"/>
        </w:rPr>
        <w:t>卷，第</w:t>
      </w:r>
      <w:r>
        <w:rPr>
          <w:rFonts w:asciiTheme="majorBidi" w:eastAsiaTheme="minorEastAsia" w:hAnsiTheme="majorBidi" w:cstheme="majorBidi"/>
        </w:rPr>
        <w:t>364</w:t>
      </w:r>
      <w:r w:rsidRPr="00D237F6">
        <w:rPr>
          <w:rFonts w:asciiTheme="majorBidi" w:eastAsiaTheme="minorEastAsia" w:hAnsiTheme="majorBidi" w:cstheme="majorBidi"/>
        </w:rPr>
        <w:t>页</w:t>
      </w:r>
      <w:r w:rsidRPr="00D237F6">
        <w:rPr>
          <w:rFonts w:asciiTheme="majorBidi" w:eastAsiaTheme="minorEastAsia" w:hAnsiTheme="majorBidi" w:cstheme="majorBidi"/>
        </w:rPr>
        <w:t>(</w:t>
      </w:r>
      <w:r w:rsidRPr="00D237F6">
        <w:rPr>
          <w:rFonts w:asciiTheme="majorBidi" w:eastAsiaTheme="minorEastAsia" w:hAnsiTheme="majorBidi" w:cstheme="majorBidi"/>
        </w:rPr>
        <w:t>一名年轻德国人试图越过柏林墙时被德意志民主共和国边界卫兵开枪打死</w:t>
      </w:r>
      <w:r w:rsidRPr="00D237F6">
        <w:rPr>
          <w:rFonts w:asciiTheme="majorBidi" w:eastAsiaTheme="minorEastAsia" w:hAnsiTheme="majorBidi" w:cstheme="majorBidi"/>
        </w:rPr>
        <w:t>)</w:t>
      </w:r>
      <w:r w:rsidRPr="00D237F6">
        <w:rPr>
          <w:rFonts w:asciiTheme="majorBidi" w:eastAsiaTheme="minorEastAsia" w:hAnsiTheme="majorBidi" w:cstheme="majorBidi"/>
        </w:rPr>
        <w:t>；</w:t>
      </w:r>
      <w:r>
        <w:rPr>
          <w:rFonts w:ascii="Time New Roman" w:eastAsia="楷体" w:hAnsi="Time New Roman" w:cstheme="majorBidi"/>
        </w:rPr>
        <w:t>Norburt</w:t>
      </w:r>
      <w:r>
        <w:rPr>
          <w:rFonts w:ascii="Time New Roman" w:eastAsia="楷体" w:hAnsi="Time New Roman" w:cstheme="majorBidi" w:hint="eastAsia"/>
        </w:rPr>
        <w:t xml:space="preserve"> </w:t>
      </w:r>
      <w:r>
        <w:rPr>
          <w:rFonts w:ascii="Time New Roman" w:eastAsia="楷体" w:hAnsi="Time New Roman" w:cstheme="majorBidi"/>
        </w:rPr>
        <w:t>Schmidt</w:t>
      </w:r>
      <w:r w:rsidRPr="00D237F6">
        <w:rPr>
          <w:rFonts w:ascii="Time New Roman" w:eastAsia="楷体" w:hAnsi="Time New Roman" w:cstheme="majorBidi"/>
        </w:rPr>
        <w:t>诉联合王国政府内政大臣案</w:t>
      </w:r>
      <w:r w:rsidRPr="00D237F6">
        <w:rPr>
          <w:rFonts w:asciiTheme="majorBidi" w:eastAsiaTheme="minorEastAsia" w:hAnsiTheme="majorBidi" w:cstheme="majorBidi"/>
        </w:rPr>
        <w:t>(</w:t>
      </w:r>
      <w:r w:rsidRPr="00D237F6">
        <w:rPr>
          <w:rFonts w:asciiTheme="majorBidi" w:eastAsiaTheme="minorEastAsia" w:hAnsiTheme="majorBidi" w:cstheme="majorBidi"/>
        </w:rPr>
        <w:t>见上文脚注</w:t>
      </w:r>
      <w:r>
        <w:rPr>
          <w:rFonts w:asciiTheme="majorBidi" w:eastAsiaTheme="minorEastAsia" w:hAnsiTheme="majorBidi" w:cstheme="majorBidi"/>
        </w:rPr>
        <w:fldChar w:fldCharType="begin"/>
      </w:r>
      <w:r>
        <w:rPr>
          <w:rFonts w:asciiTheme="majorBidi" w:eastAsiaTheme="minorEastAsia" w:hAnsiTheme="majorBidi" w:cstheme="majorBidi"/>
        </w:rPr>
        <w:instrText xml:space="preserve"> NOTEREF _Ref457292961 \h </w:instrText>
      </w:r>
      <w:r>
        <w:rPr>
          <w:rFonts w:asciiTheme="majorBidi" w:eastAsiaTheme="minorEastAsia" w:hAnsiTheme="majorBidi" w:cstheme="majorBidi"/>
        </w:rPr>
      </w:r>
      <w:r>
        <w:rPr>
          <w:rFonts w:asciiTheme="majorBidi" w:eastAsiaTheme="minorEastAsia" w:hAnsiTheme="majorBidi" w:cstheme="majorBidi"/>
        </w:rPr>
        <w:fldChar w:fldCharType="separate"/>
      </w:r>
      <w:r w:rsidR="00A73EB9">
        <w:rPr>
          <w:rFonts w:asciiTheme="majorBidi" w:eastAsiaTheme="minorEastAsia" w:hAnsiTheme="majorBidi" w:cstheme="majorBidi"/>
        </w:rPr>
        <w:t>1419</w:t>
      </w:r>
      <w:r>
        <w:rPr>
          <w:rFonts w:asciiTheme="majorBidi" w:eastAsiaTheme="minorEastAsia" w:hAnsiTheme="majorBidi" w:cstheme="majorBidi"/>
        </w:rPr>
        <w:fldChar w:fldCharType="end"/>
      </w:r>
      <w:r w:rsidRPr="00D237F6">
        <w:rPr>
          <w:rFonts w:asciiTheme="majorBidi" w:eastAsiaTheme="minorEastAsia" w:hAnsiTheme="majorBidi" w:cstheme="majorBidi"/>
        </w:rPr>
        <w:t>)(</w:t>
      </w:r>
      <w:r w:rsidRPr="00D237F6">
        <w:rPr>
          <w:rFonts w:asciiTheme="majorBidi" w:eastAsiaTheme="minorEastAsia" w:hAnsiTheme="majorBidi" w:cstheme="majorBidi"/>
        </w:rPr>
        <w:t>原告被国家官员拘留的非正常情形</w:t>
      </w:r>
      <w:r w:rsidRPr="00D237F6">
        <w:rPr>
          <w:rFonts w:asciiTheme="majorBidi" w:eastAsiaTheme="minorEastAsia" w:hAnsiTheme="majorBidi" w:cstheme="majorBidi"/>
        </w:rPr>
        <w:t>)</w:t>
      </w:r>
      <w:r w:rsidRPr="00D237F6">
        <w:rPr>
          <w:rFonts w:asciiTheme="majorBidi" w:eastAsiaTheme="minorEastAsia" w:hAnsiTheme="majorBidi" w:cstheme="majorBidi"/>
        </w:rPr>
        <w:t>；</w:t>
      </w:r>
      <w:r>
        <w:rPr>
          <w:rFonts w:ascii="Time New Roman" w:eastAsia="楷体" w:hAnsi="Time New Roman" w:cstheme="majorBidi"/>
        </w:rPr>
        <w:t>Khurts</w:t>
      </w:r>
      <w:r>
        <w:rPr>
          <w:rFonts w:ascii="Time New Roman" w:eastAsia="楷体" w:hAnsi="Time New Roman" w:cstheme="majorBidi" w:hint="eastAsia"/>
        </w:rPr>
        <w:t xml:space="preserve"> </w:t>
      </w:r>
      <w:r>
        <w:rPr>
          <w:rFonts w:ascii="Time New Roman" w:eastAsia="楷体" w:hAnsi="Time New Roman" w:cstheme="majorBidi"/>
        </w:rPr>
        <w:t>Bat</w:t>
      </w:r>
      <w:r w:rsidRPr="00D237F6">
        <w:rPr>
          <w:rFonts w:ascii="Time New Roman" w:eastAsia="楷体" w:hAnsi="Time New Roman" w:cstheme="majorBidi"/>
        </w:rPr>
        <w:t>诉德国联邦法院调查法官案</w:t>
      </w:r>
      <w:r w:rsidRPr="00D237F6">
        <w:rPr>
          <w:rFonts w:asciiTheme="majorBidi" w:eastAsiaTheme="minorEastAsia" w:hAnsiTheme="majorBidi" w:cstheme="majorBidi"/>
        </w:rPr>
        <w:t>，联合王国</w:t>
      </w:r>
      <w:r>
        <w:rPr>
          <w:rFonts w:asciiTheme="majorBidi" w:eastAsiaTheme="minorEastAsia" w:hAnsiTheme="majorBidi" w:cstheme="majorBidi"/>
        </w:rPr>
        <w:t>([2011] EWHC 2029 (Admin)</w:t>
      </w:r>
      <w:r w:rsidRPr="00D237F6">
        <w:rPr>
          <w:rFonts w:asciiTheme="majorBidi" w:eastAsiaTheme="minorEastAsia" w:hAnsiTheme="majorBidi" w:cstheme="majorBidi"/>
        </w:rPr>
        <w:t>，《国际法案例汇编》，第</w:t>
      </w:r>
      <w:r>
        <w:rPr>
          <w:rFonts w:asciiTheme="majorBidi" w:eastAsiaTheme="minorEastAsia" w:hAnsiTheme="majorBidi" w:cstheme="majorBidi"/>
        </w:rPr>
        <w:t>147</w:t>
      </w:r>
      <w:r w:rsidRPr="00D237F6">
        <w:rPr>
          <w:rFonts w:asciiTheme="majorBidi" w:eastAsiaTheme="minorEastAsia" w:hAnsiTheme="majorBidi" w:cstheme="majorBidi"/>
        </w:rPr>
        <w:t>卷，第</w:t>
      </w:r>
      <w:r>
        <w:rPr>
          <w:rFonts w:asciiTheme="majorBidi" w:eastAsiaTheme="minorEastAsia" w:hAnsiTheme="majorBidi" w:cstheme="majorBidi"/>
        </w:rPr>
        <w:t>633</w:t>
      </w:r>
      <w:r w:rsidRPr="00D237F6">
        <w:rPr>
          <w:rFonts w:asciiTheme="majorBidi" w:eastAsiaTheme="minorEastAsia" w:hAnsiTheme="majorBidi" w:cstheme="majorBidi"/>
        </w:rPr>
        <w:t>页</w:t>
      </w:r>
      <w:r w:rsidRPr="00D237F6">
        <w:rPr>
          <w:rFonts w:asciiTheme="majorBidi" w:eastAsiaTheme="minorEastAsia" w:hAnsiTheme="majorBidi" w:cstheme="majorBidi"/>
        </w:rPr>
        <w:t>(</w:t>
      </w:r>
      <w:r w:rsidRPr="00D237F6">
        <w:rPr>
          <w:rFonts w:asciiTheme="majorBidi" w:eastAsiaTheme="minorEastAsia" w:hAnsiTheme="majorBidi" w:cstheme="majorBidi"/>
        </w:rPr>
        <w:t>绑架和非法拘留</w:t>
      </w:r>
      <w:r w:rsidRPr="00D237F6">
        <w:rPr>
          <w:rFonts w:asciiTheme="majorBidi" w:eastAsiaTheme="minorEastAsia" w:hAnsiTheme="majorBidi" w:cstheme="majorBidi"/>
        </w:rPr>
        <w:t>)</w:t>
      </w:r>
      <w:r w:rsidRPr="00D237F6">
        <w:rPr>
          <w:rFonts w:asciiTheme="majorBidi" w:eastAsiaTheme="minorEastAsia" w:hAnsiTheme="majorBidi" w:cstheme="majorBidi"/>
        </w:rPr>
        <w:t>。</w:t>
      </w:r>
    </w:p>
  </w:footnote>
  <w:footnote w:id="1430">
    <w:p w:rsidR="00AB00DE" w:rsidRPr="00D237F6" w:rsidRDefault="00AB00DE" w:rsidP="00396D56">
      <w:pPr>
        <w:pStyle w:val="a4"/>
        <w:spacing w:after="80"/>
        <w:rPr>
          <w:rFonts w:asciiTheme="majorBidi" w:eastAsiaTheme="minorEastAsia" w:hAnsiTheme="majorBidi" w:cstheme="majorBidi"/>
        </w:rPr>
      </w:pPr>
      <w:r>
        <w:rPr>
          <w:rStyle w:val="a5"/>
          <w:rFonts w:asciiTheme="majorBidi" w:eastAsiaTheme="minorEastAsia" w:hAnsiTheme="majorBidi" w:cstheme="majorBidi"/>
        </w:rPr>
        <w:tab/>
      </w:r>
      <w:r w:rsidRPr="003D3D39">
        <w:rPr>
          <w:rStyle w:val="a5"/>
          <w:rFonts w:eastAsiaTheme="minorEastAsia" w:cstheme="majorBidi"/>
        </w:rPr>
        <w:footnoteRef/>
      </w:r>
      <w:r>
        <w:rPr>
          <w:rStyle w:val="a5"/>
          <w:rFonts w:asciiTheme="majorBidi" w:eastAsiaTheme="minorEastAsia" w:hAnsiTheme="majorBidi" w:cstheme="majorBidi"/>
        </w:rPr>
        <w:tab/>
      </w:r>
      <w:r>
        <w:rPr>
          <w:rFonts w:ascii="Time New Roman" w:eastAsia="楷体" w:hAnsi="Time New Roman" w:cstheme="majorBidi"/>
        </w:rPr>
        <w:t>Letelier</w:t>
      </w:r>
      <w:r w:rsidRPr="00D237F6">
        <w:rPr>
          <w:rFonts w:ascii="Time New Roman" w:eastAsia="楷体" w:hAnsi="Time New Roman" w:cstheme="majorBidi"/>
        </w:rPr>
        <w:t>等诉智利共和国和智利国家航空公司</w:t>
      </w:r>
      <w:r w:rsidRPr="00D237F6">
        <w:rPr>
          <w:rFonts w:asciiTheme="majorBidi" w:eastAsiaTheme="minorEastAsia" w:hAnsiTheme="majorBidi" w:cstheme="majorBidi"/>
        </w:rPr>
        <w:t>，美国上诉法院，第二巡回法庭，</w:t>
      </w:r>
      <w:r>
        <w:rPr>
          <w:rFonts w:asciiTheme="majorBidi" w:eastAsiaTheme="minorEastAsia" w:hAnsiTheme="majorBidi" w:cstheme="majorBidi"/>
        </w:rPr>
        <w:t>748</w:t>
      </w:r>
      <w:r>
        <w:rPr>
          <w:rFonts w:asciiTheme="majorBidi" w:eastAsiaTheme="minorEastAsia" w:hAnsiTheme="majorBidi" w:cstheme="majorBidi" w:hint="eastAsia"/>
        </w:rPr>
        <w:t xml:space="preserve"> </w:t>
      </w:r>
      <w:r>
        <w:rPr>
          <w:rFonts w:asciiTheme="majorBidi" w:eastAsiaTheme="minorEastAsia" w:hAnsiTheme="majorBidi" w:cstheme="majorBidi"/>
        </w:rPr>
        <w:t>F</w:t>
      </w:r>
      <w:r>
        <w:rPr>
          <w:rFonts w:asciiTheme="majorBidi" w:eastAsiaTheme="minorEastAsia" w:hAnsiTheme="majorBidi" w:cstheme="majorBidi" w:hint="eastAsia"/>
        </w:rPr>
        <w:t xml:space="preserve"> </w:t>
      </w:r>
      <w:r>
        <w:rPr>
          <w:rFonts w:asciiTheme="majorBidi" w:eastAsiaTheme="minorEastAsia" w:hAnsiTheme="majorBidi" w:cstheme="majorBidi"/>
        </w:rPr>
        <w:t>2d</w:t>
      </w:r>
      <w:r>
        <w:rPr>
          <w:rFonts w:asciiTheme="majorBidi" w:eastAsiaTheme="minorEastAsia" w:hAnsiTheme="majorBidi" w:cstheme="majorBidi" w:hint="eastAsia"/>
        </w:rPr>
        <w:t xml:space="preserve"> </w:t>
      </w:r>
      <w:r>
        <w:rPr>
          <w:rFonts w:asciiTheme="majorBidi" w:eastAsiaTheme="minorEastAsia" w:hAnsiTheme="majorBidi" w:cstheme="majorBidi"/>
        </w:rPr>
        <w:t>790</w:t>
      </w:r>
      <w:r>
        <w:rPr>
          <w:rFonts w:asciiTheme="majorBidi" w:eastAsiaTheme="minorEastAsia" w:hAnsiTheme="majorBidi" w:cstheme="majorBidi" w:hint="eastAsia"/>
        </w:rPr>
        <w:t xml:space="preserve"> </w:t>
      </w:r>
      <w:r w:rsidRPr="00D237F6">
        <w:rPr>
          <w:rFonts w:asciiTheme="majorBidi" w:eastAsiaTheme="minorEastAsia" w:hAnsiTheme="majorBidi" w:cstheme="majorBidi"/>
        </w:rPr>
        <w:t>(</w:t>
      </w:r>
      <w:r>
        <w:rPr>
          <w:rFonts w:asciiTheme="majorBidi" w:eastAsiaTheme="minorEastAsia" w:hAnsiTheme="majorBidi" w:cstheme="majorBidi"/>
        </w:rPr>
        <w:t>1984</w:t>
      </w:r>
      <w:r w:rsidRPr="00D237F6">
        <w:rPr>
          <w:rFonts w:asciiTheme="majorBidi" w:eastAsiaTheme="minorEastAsia" w:hAnsiTheme="majorBidi" w:cstheme="majorBidi"/>
        </w:rPr>
        <w:t>)</w:t>
      </w:r>
      <w:r w:rsidRPr="00D237F6">
        <w:rPr>
          <w:rFonts w:asciiTheme="majorBidi" w:eastAsiaTheme="minorEastAsia" w:hAnsiTheme="majorBidi" w:cstheme="majorBidi"/>
        </w:rPr>
        <w:t>，《国际法案例汇编》，第</w:t>
      </w:r>
      <w:r>
        <w:rPr>
          <w:rFonts w:asciiTheme="majorBidi" w:eastAsiaTheme="minorEastAsia" w:hAnsiTheme="majorBidi" w:cstheme="majorBidi"/>
        </w:rPr>
        <w:t>79</w:t>
      </w:r>
      <w:r w:rsidRPr="00D237F6">
        <w:rPr>
          <w:rFonts w:asciiTheme="majorBidi" w:eastAsiaTheme="minorEastAsia" w:hAnsiTheme="majorBidi" w:cstheme="majorBidi"/>
        </w:rPr>
        <w:t>卷，第</w:t>
      </w:r>
      <w:r>
        <w:rPr>
          <w:rFonts w:asciiTheme="majorBidi" w:eastAsiaTheme="minorEastAsia" w:hAnsiTheme="majorBidi" w:cstheme="majorBidi"/>
        </w:rPr>
        <w:t>561</w:t>
      </w:r>
      <w:r w:rsidRPr="00D237F6">
        <w:rPr>
          <w:rFonts w:asciiTheme="majorBidi" w:eastAsiaTheme="minorEastAsia" w:hAnsiTheme="majorBidi" w:cstheme="majorBidi"/>
        </w:rPr>
        <w:t>页。</w:t>
      </w:r>
    </w:p>
  </w:footnote>
  <w:footnote w:id="1431">
    <w:p w:rsidR="00AB00DE" w:rsidRPr="00D237F6" w:rsidRDefault="00AB00DE" w:rsidP="00396D56">
      <w:pPr>
        <w:pStyle w:val="a4"/>
        <w:spacing w:after="80"/>
        <w:rPr>
          <w:rFonts w:asciiTheme="majorBidi" w:eastAsiaTheme="minorEastAsia" w:hAnsiTheme="majorBidi" w:cstheme="majorBidi"/>
          <w:i/>
        </w:rPr>
      </w:pPr>
      <w:r>
        <w:rPr>
          <w:rStyle w:val="a5"/>
          <w:rFonts w:asciiTheme="majorBidi" w:eastAsiaTheme="minorEastAsia" w:hAnsiTheme="majorBidi" w:cstheme="majorBidi"/>
        </w:rPr>
        <w:tab/>
      </w:r>
      <w:r w:rsidRPr="003D3D39">
        <w:rPr>
          <w:rStyle w:val="a5"/>
          <w:rFonts w:eastAsiaTheme="minorEastAsia" w:cstheme="majorBidi"/>
        </w:rPr>
        <w:footnoteRef/>
      </w:r>
      <w:r>
        <w:rPr>
          <w:rStyle w:val="a5"/>
          <w:rFonts w:asciiTheme="majorBidi" w:eastAsiaTheme="minorEastAsia" w:hAnsiTheme="majorBidi" w:cstheme="majorBidi"/>
        </w:rPr>
        <w:tab/>
      </w:r>
      <w:r w:rsidRPr="00D237F6">
        <w:rPr>
          <w:rFonts w:ascii="Time New Roman" w:eastAsia="楷体" w:hAnsi="Time New Roman" w:cstheme="majorBidi"/>
        </w:rPr>
        <w:t>美利坚合众国诉诺列加，</w:t>
      </w:r>
      <w:r w:rsidRPr="00D237F6">
        <w:rPr>
          <w:rFonts w:asciiTheme="majorBidi" w:eastAsiaTheme="minorEastAsia" w:hAnsiTheme="majorBidi" w:cstheme="majorBidi"/>
        </w:rPr>
        <w:t>美国上诉法院，第十一巡回法庭，</w:t>
      </w:r>
      <w:r>
        <w:rPr>
          <w:rFonts w:asciiTheme="majorBidi" w:eastAsiaTheme="minorEastAsia" w:hAnsiTheme="majorBidi" w:cstheme="majorBidi"/>
        </w:rPr>
        <w:t>1997</w:t>
      </w:r>
      <w:r w:rsidRPr="00D237F6">
        <w:rPr>
          <w:rFonts w:asciiTheme="majorBidi" w:eastAsiaTheme="minorEastAsia" w:hAnsiTheme="majorBidi" w:cstheme="majorBidi"/>
        </w:rPr>
        <w:t>年</w:t>
      </w:r>
      <w:r>
        <w:rPr>
          <w:rFonts w:asciiTheme="majorBidi" w:eastAsiaTheme="minorEastAsia" w:hAnsiTheme="majorBidi" w:cstheme="majorBidi"/>
        </w:rPr>
        <w:t>7</w:t>
      </w:r>
      <w:r w:rsidRPr="00D237F6">
        <w:rPr>
          <w:rFonts w:asciiTheme="majorBidi" w:eastAsiaTheme="minorEastAsia" w:hAnsiTheme="majorBidi" w:cstheme="majorBidi"/>
        </w:rPr>
        <w:t>月</w:t>
      </w:r>
      <w:r>
        <w:rPr>
          <w:rFonts w:asciiTheme="majorBidi" w:eastAsiaTheme="minorEastAsia" w:hAnsiTheme="majorBidi" w:cstheme="majorBidi"/>
        </w:rPr>
        <w:t>7</w:t>
      </w:r>
      <w:r w:rsidRPr="00D237F6">
        <w:rPr>
          <w:rFonts w:asciiTheme="majorBidi" w:eastAsiaTheme="minorEastAsia" w:hAnsiTheme="majorBidi" w:cstheme="majorBidi"/>
        </w:rPr>
        <w:t>日的判决，《国际法案例汇编》，第</w:t>
      </w:r>
      <w:r>
        <w:rPr>
          <w:rFonts w:asciiTheme="majorBidi" w:eastAsiaTheme="minorEastAsia" w:hAnsiTheme="majorBidi" w:cstheme="majorBidi"/>
        </w:rPr>
        <w:t>121</w:t>
      </w:r>
      <w:r w:rsidRPr="00D237F6">
        <w:rPr>
          <w:rFonts w:asciiTheme="majorBidi" w:eastAsiaTheme="minorEastAsia" w:hAnsiTheme="majorBidi" w:cstheme="majorBidi"/>
        </w:rPr>
        <w:t>卷，第</w:t>
      </w:r>
      <w:r>
        <w:rPr>
          <w:rFonts w:asciiTheme="majorBidi" w:eastAsiaTheme="minorEastAsia" w:hAnsiTheme="majorBidi" w:cstheme="majorBidi"/>
        </w:rPr>
        <w:t>591</w:t>
      </w:r>
      <w:r w:rsidRPr="00D237F6">
        <w:rPr>
          <w:rFonts w:asciiTheme="majorBidi" w:eastAsiaTheme="minorEastAsia" w:hAnsiTheme="majorBidi" w:cstheme="majorBidi"/>
        </w:rPr>
        <w:t>页。</w:t>
      </w:r>
    </w:p>
  </w:footnote>
  <w:footnote w:id="1432">
    <w:p w:rsidR="00AB00DE" w:rsidRPr="00D237F6" w:rsidRDefault="00AB00DE" w:rsidP="00396D56">
      <w:pPr>
        <w:pStyle w:val="a4"/>
        <w:spacing w:after="80"/>
        <w:rPr>
          <w:rFonts w:asciiTheme="majorBidi" w:eastAsiaTheme="minorEastAsia" w:hAnsiTheme="majorBidi" w:cstheme="majorBidi"/>
        </w:rPr>
      </w:pPr>
      <w:r>
        <w:rPr>
          <w:rStyle w:val="a5"/>
          <w:rFonts w:asciiTheme="majorBidi" w:eastAsiaTheme="minorEastAsia" w:hAnsiTheme="majorBidi" w:cstheme="majorBidi"/>
        </w:rPr>
        <w:tab/>
      </w:r>
      <w:r w:rsidRPr="003D3D39">
        <w:rPr>
          <w:rStyle w:val="a5"/>
          <w:rFonts w:eastAsiaTheme="minorEastAsia" w:cstheme="majorBidi"/>
        </w:rPr>
        <w:footnoteRef/>
      </w:r>
      <w:r>
        <w:rPr>
          <w:rStyle w:val="a5"/>
          <w:rFonts w:asciiTheme="majorBidi" w:eastAsiaTheme="minorEastAsia" w:hAnsiTheme="majorBidi" w:cstheme="majorBidi"/>
        </w:rPr>
        <w:tab/>
      </w:r>
      <w:r>
        <w:rPr>
          <w:rFonts w:ascii="Time New Roman" w:eastAsia="楷体" w:hAnsi="Time New Roman" w:cstheme="majorBidi"/>
        </w:rPr>
        <w:t>Teodoro</w:t>
      </w:r>
      <w:r w:rsidRPr="0067641D">
        <w:rPr>
          <w:rFonts w:ascii="Time New Roman" w:eastAsia="楷体" w:hAnsi="Time New Roman" w:cstheme="majorBidi"/>
        </w:rPr>
        <w:t xml:space="preserve"> </w:t>
      </w:r>
      <w:r>
        <w:rPr>
          <w:rFonts w:ascii="Time New Roman" w:eastAsia="楷体" w:hAnsi="Time New Roman" w:cstheme="majorBidi"/>
        </w:rPr>
        <w:t>Nguema</w:t>
      </w:r>
      <w:r w:rsidRPr="0067641D">
        <w:rPr>
          <w:rFonts w:ascii="Time New Roman" w:eastAsia="楷体" w:hAnsi="Time New Roman" w:cstheme="majorBidi"/>
        </w:rPr>
        <w:t xml:space="preserve"> </w:t>
      </w:r>
      <w:r>
        <w:rPr>
          <w:rFonts w:ascii="Time New Roman" w:eastAsia="楷体" w:hAnsi="Time New Roman" w:cstheme="majorBidi"/>
        </w:rPr>
        <w:t>Obiang</w:t>
      </w:r>
      <w:r w:rsidRPr="0067641D">
        <w:rPr>
          <w:rFonts w:ascii="Time New Roman" w:eastAsia="楷体" w:hAnsi="Time New Roman" w:cstheme="majorBidi"/>
        </w:rPr>
        <w:t xml:space="preserve"> </w:t>
      </w:r>
      <w:r>
        <w:rPr>
          <w:rFonts w:ascii="Time New Roman" w:eastAsia="楷体" w:hAnsi="Time New Roman" w:cstheme="majorBidi"/>
        </w:rPr>
        <w:t>Mangue</w:t>
      </w:r>
      <w:r w:rsidRPr="00D237F6">
        <w:rPr>
          <w:rFonts w:ascii="Time New Roman" w:eastAsia="楷体" w:hAnsi="Time New Roman" w:cstheme="majorBidi"/>
        </w:rPr>
        <w:t>等，</w:t>
      </w:r>
      <w:r w:rsidRPr="00D237F6">
        <w:rPr>
          <w:rFonts w:asciiTheme="majorBidi" w:eastAsiaTheme="minorEastAsia" w:hAnsiTheme="majorBidi" w:cstheme="majorBidi"/>
        </w:rPr>
        <w:t>巴黎上诉法院</w:t>
      </w:r>
      <w:r w:rsidRPr="00D237F6">
        <w:rPr>
          <w:rFonts w:asciiTheme="majorBidi" w:eastAsiaTheme="minorEastAsia" w:hAnsiTheme="majorBidi" w:cstheme="majorBidi"/>
          <w:iCs/>
        </w:rPr>
        <w:t>，</w:t>
      </w:r>
      <w:r>
        <w:rPr>
          <w:rFonts w:asciiTheme="majorBidi" w:eastAsiaTheme="minorEastAsia" w:hAnsiTheme="majorBidi" w:cstheme="majorBidi"/>
          <w:i/>
        </w:rPr>
        <w:t>P</w:t>
      </w:r>
      <w:r w:rsidRPr="00D237F6">
        <w:rPr>
          <w:rFonts w:asciiTheme="majorBidi" w:eastAsiaTheme="minorEastAsia" w:hAnsiTheme="majorBidi" w:cstheme="majorBidi"/>
          <w:i/>
        </w:rPr>
        <w:t>ô</w:t>
      </w:r>
      <w:r>
        <w:rPr>
          <w:rFonts w:asciiTheme="majorBidi" w:eastAsiaTheme="minorEastAsia" w:hAnsiTheme="majorBidi" w:cstheme="majorBidi"/>
          <w:i/>
        </w:rPr>
        <w:t>le</w:t>
      </w:r>
      <w:r>
        <w:rPr>
          <w:rFonts w:asciiTheme="majorBidi" w:eastAsiaTheme="minorEastAsia" w:hAnsiTheme="majorBidi" w:cstheme="majorBidi" w:hint="eastAsia"/>
          <w:i/>
        </w:rPr>
        <w:t xml:space="preserve"> </w:t>
      </w:r>
      <w:r>
        <w:rPr>
          <w:rFonts w:asciiTheme="majorBidi" w:eastAsiaTheme="minorEastAsia" w:hAnsiTheme="majorBidi" w:cstheme="majorBidi"/>
        </w:rPr>
        <w:t>7</w:t>
      </w:r>
      <w:r w:rsidRPr="00D237F6">
        <w:rPr>
          <w:rFonts w:asciiTheme="majorBidi" w:eastAsiaTheme="minorEastAsia" w:hAnsiTheme="majorBidi" w:cstheme="majorBidi"/>
        </w:rPr>
        <w:t>,</w:t>
      </w:r>
      <w:r>
        <w:rPr>
          <w:rFonts w:asciiTheme="majorBidi" w:eastAsiaTheme="minorEastAsia" w:hAnsiTheme="majorBidi" w:cstheme="majorBidi" w:hint="eastAsia"/>
        </w:rPr>
        <w:t xml:space="preserve"> </w:t>
      </w:r>
      <w:r w:rsidRPr="00D237F6">
        <w:rPr>
          <w:rFonts w:asciiTheme="majorBidi" w:eastAsiaTheme="minorEastAsia" w:hAnsiTheme="majorBidi" w:cstheme="majorBidi"/>
        </w:rPr>
        <w:t>第二调查庭，</w:t>
      </w:r>
      <w:r>
        <w:rPr>
          <w:rFonts w:asciiTheme="majorBidi" w:eastAsiaTheme="minorEastAsia" w:hAnsiTheme="majorBidi" w:cstheme="majorBidi"/>
        </w:rPr>
        <w:t>2013</w:t>
      </w:r>
      <w:r w:rsidRPr="00D237F6">
        <w:rPr>
          <w:rFonts w:asciiTheme="majorBidi" w:eastAsiaTheme="minorEastAsia" w:hAnsiTheme="majorBidi" w:cstheme="majorBidi"/>
        </w:rPr>
        <w:t>年</w:t>
      </w:r>
      <w:r>
        <w:rPr>
          <w:rFonts w:asciiTheme="majorBidi" w:eastAsiaTheme="minorEastAsia" w:hAnsiTheme="majorBidi" w:cstheme="majorBidi"/>
        </w:rPr>
        <w:t>6</w:t>
      </w:r>
      <w:r w:rsidRPr="00D237F6">
        <w:rPr>
          <w:rFonts w:asciiTheme="majorBidi" w:eastAsiaTheme="minorEastAsia" w:hAnsiTheme="majorBidi" w:cstheme="majorBidi"/>
        </w:rPr>
        <w:t>月</w:t>
      </w:r>
      <w:r>
        <w:rPr>
          <w:rFonts w:asciiTheme="majorBidi" w:eastAsiaTheme="minorEastAsia" w:hAnsiTheme="majorBidi" w:cstheme="majorBidi"/>
        </w:rPr>
        <w:t>13</w:t>
      </w:r>
      <w:r w:rsidRPr="00D237F6">
        <w:rPr>
          <w:rFonts w:asciiTheme="majorBidi" w:eastAsiaTheme="minorEastAsia" w:hAnsiTheme="majorBidi" w:cstheme="majorBidi"/>
        </w:rPr>
        <w:t>日的判决。</w:t>
      </w:r>
    </w:p>
  </w:footnote>
  <w:footnote w:id="1433">
    <w:p w:rsidR="00AB00DE" w:rsidRPr="00D237F6" w:rsidRDefault="00AB00DE" w:rsidP="00396D56">
      <w:pPr>
        <w:pStyle w:val="a4"/>
        <w:spacing w:after="80"/>
        <w:rPr>
          <w:rFonts w:asciiTheme="majorBidi" w:eastAsiaTheme="minorEastAsia" w:hAnsiTheme="majorBidi" w:cstheme="majorBidi"/>
        </w:rPr>
      </w:pPr>
      <w:r>
        <w:rPr>
          <w:rStyle w:val="a5"/>
          <w:rFonts w:asciiTheme="majorBidi" w:eastAsiaTheme="minorEastAsia" w:hAnsiTheme="majorBidi" w:cstheme="majorBidi"/>
        </w:rPr>
        <w:tab/>
      </w:r>
      <w:r w:rsidRPr="003D3D39">
        <w:rPr>
          <w:rStyle w:val="a5"/>
          <w:rFonts w:eastAsiaTheme="minorEastAsia" w:cstheme="majorBidi"/>
        </w:rPr>
        <w:footnoteRef/>
      </w:r>
      <w:r>
        <w:rPr>
          <w:rStyle w:val="a5"/>
          <w:rFonts w:asciiTheme="majorBidi" w:eastAsiaTheme="minorEastAsia" w:hAnsiTheme="majorBidi" w:cstheme="majorBidi"/>
        </w:rPr>
        <w:tab/>
      </w:r>
      <w:r>
        <w:rPr>
          <w:rFonts w:ascii="Time New Roman" w:eastAsia="楷体" w:hAnsi="Time New Roman" w:cstheme="majorBidi"/>
        </w:rPr>
        <w:t>Teodoro</w:t>
      </w:r>
      <w:r w:rsidRPr="00AE0A97">
        <w:rPr>
          <w:rFonts w:ascii="Time New Roman" w:eastAsia="楷体" w:hAnsi="Time New Roman" w:cstheme="majorBidi"/>
        </w:rPr>
        <w:t xml:space="preserve"> </w:t>
      </w:r>
      <w:r>
        <w:rPr>
          <w:rFonts w:ascii="Time New Roman" w:eastAsia="楷体" w:hAnsi="Time New Roman" w:cstheme="majorBidi"/>
        </w:rPr>
        <w:t>Nguema</w:t>
      </w:r>
      <w:r w:rsidRPr="00AE0A97">
        <w:rPr>
          <w:rFonts w:ascii="Time New Roman" w:eastAsia="楷体" w:hAnsi="Time New Roman" w:cstheme="majorBidi"/>
        </w:rPr>
        <w:t xml:space="preserve"> </w:t>
      </w:r>
      <w:r>
        <w:rPr>
          <w:rFonts w:ascii="Time New Roman" w:eastAsia="楷体" w:hAnsi="Time New Roman" w:cstheme="majorBidi"/>
        </w:rPr>
        <w:t>Obiang</w:t>
      </w:r>
      <w:r w:rsidRPr="00AE0A97">
        <w:rPr>
          <w:rFonts w:ascii="Time New Roman" w:eastAsia="楷体" w:hAnsi="Time New Roman" w:cstheme="majorBidi"/>
        </w:rPr>
        <w:t xml:space="preserve"> </w:t>
      </w:r>
      <w:r>
        <w:rPr>
          <w:rFonts w:ascii="Time New Roman" w:eastAsia="楷体" w:hAnsi="Time New Roman" w:cstheme="majorBidi"/>
        </w:rPr>
        <w:t>Mangue</w:t>
      </w:r>
      <w:r w:rsidRPr="00D237F6">
        <w:rPr>
          <w:rFonts w:ascii="Time New Roman" w:eastAsia="楷体" w:hAnsi="Time New Roman" w:cstheme="majorBidi"/>
        </w:rPr>
        <w:t>等，</w:t>
      </w:r>
      <w:r w:rsidRPr="00D237F6">
        <w:rPr>
          <w:rFonts w:asciiTheme="majorBidi" w:eastAsiaTheme="minorEastAsia" w:hAnsiTheme="majorBidi" w:cstheme="majorBidi"/>
        </w:rPr>
        <w:t>巴黎上诉法院</w:t>
      </w:r>
      <w:r w:rsidRPr="00D237F6">
        <w:rPr>
          <w:rFonts w:asciiTheme="majorBidi" w:eastAsiaTheme="minorEastAsia" w:hAnsiTheme="majorBidi" w:cstheme="majorBidi"/>
          <w:iCs/>
        </w:rPr>
        <w:t>，</w:t>
      </w:r>
      <w:r>
        <w:rPr>
          <w:rFonts w:asciiTheme="majorBidi" w:eastAsiaTheme="minorEastAsia" w:hAnsiTheme="majorBidi" w:cstheme="majorBidi"/>
          <w:i/>
        </w:rPr>
        <w:t>P</w:t>
      </w:r>
      <w:r w:rsidRPr="00D237F6">
        <w:rPr>
          <w:rFonts w:asciiTheme="majorBidi" w:eastAsiaTheme="minorEastAsia" w:hAnsiTheme="majorBidi" w:cstheme="majorBidi"/>
          <w:i/>
        </w:rPr>
        <w:t>ô</w:t>
      </w:r>
      <w:r>
        <w:rPr>
          <w:rFonts w:asciiTheme="majorBidi" w:eastAsiaTheme="minorEastAsia" w:hAnsiTheme="majorBidi" w:cstheme="majorBidi"/>
          <w:i/>
        </w:rPr>
        <w:t>le</w:t>
      </w:r>
      <w:r>
        <w:rPr>
          <w:rFonts w:asciiTheme="majorBidi" w:eastAsiaTheme="minorEastAsia" w:hAnsiTheme="majorBidi" w:cstheme="majorBidi" w:hint="eastAsia"/>
          <w:i/>
        </w:rPr>
        <w:t xml:space="preserve"> </w:t>
      </w:r>
      <w:r>
        <w:rPr>
          <w:rFonts w:asciiTheme="majorBidi" w:eastAsiaTheme="minorEastAsia" w:hAnsiTheme="majorBidi" w:cstheme="majorBidi"/>
        </w:rPr>
        <w:t>7</w:t>
      </w:r>
      <w:r w:rsidRPr="00D237F6">
        <w:rPr>
          <w:rFonts w:asciiTheme="majorBidi" w:eastAsiaTheme="minorEastAsia" w:hAnsiTheme="majorBidi" w:cstheme="majorBidi"/>
        </w:rPr>
        <w:t>,</w:t>
      </w:r>
      <w:r>
        <w:rPr>
          <w:rFonts w:asciiTheme="majorBidi" w:eastAsiaTheme="minorEastAsia" w:hAnsiTheme="majorBidi" w:cstheme="majorBidi" w:hint="eastAsia"/>
        </w:rPr>
        <w:t xml:space="preserve"> </w:t>
      </w:r>
      <w:r w:rsidRPr="00D237F6">
        <w:rPr>
          <w:rFonts w:asciiTheme="majorBidi" w:eastAsiaTheme="minorEastAsia" w:hAnsiTheme="majorBidi" w:cstheme="majorBidi"/>
        </w:rPr>
        <w:t>第二调查庭，请求废止，</w:t>
      </w:r>
      <w:r>
        <w:rPr>
          <w:rFonts w:asciiTheme="majorBidi" w:eastAsiaTheme="minorEastAsia" w:hAnsiTheme="majorBidi" w:cstheme="majorBidi"/>
        </w:rPr>
        <w:t>2015</w:t>
      </w:r>
      <w:r w:rsidRPr="00D237F6">
        <w:rPr>
          <w:rFonts w:asciiTheme="majorBidi" w:eastAsiaTheme="minorEastAsia" w:hAnsiTheme="majorBidi" w:cstheme="majorBidi"/>
        </w:rPr>
        <w:t>年</w:t>
      </w:r>
      <w:r>
        <w:rPr>
          <w:rFonts w:asciiTheme="majorBidi" w:eastAsiaTheme="minorEastAsia" w:hAnsiTheme="majorBidi" w:cstheme="majorBidi"/>
        </w:rPr>
        <w:t>4</w:t>
      </w:r>
      <w:r w:rsidRPr="00D237F6">
        <w:rPr>
          <w:rFonts w:asciiTheme="majorBidi" w:eastAsiaTheme="minorEastAsia" w:hAnsiTheme="majorBidi" w:cstheme="majorBidi"/>
        </w:rPr>
        <w:t>月</w:t>
      </w:r>
      <w:r>
        <w:rPr>
          <w:rFonts w:asciiTheme="majorBidi" w:eastAsiaTheme="minorEastAsia" w:hAnsiTheme="majorBidi" w:cstheme="majorBidi"/>
        </w:rPr>
        <w:t>16</w:t>
      </w:r>
      <w:r w:rsidRPr="00D237F6">
        <w:rPr>
          <w:rFonts w:asciiTheme="majorBidi" w:eastAsiaTheme="minorEastAsia" w:hAnsiTheme="majorBidi" w:cstheme="majorBidi"/>
        </w:rPr>
        <w:t>日的判决。</w:t>
      </w:r>
    </w:p>
  </w:footnote>
  <w:footnote w:id="1434">
    <w:p w:rsidR="00AB00DE" w:rsidRPr="00D237F6" w:rsidRDefault="00AB00DE" w:rsidP="00C8126A">
      <w:pPr>
        <w:pStyle w:val="a4"/>
        <w:spacing w:after="0" w:line="230" w:lineRule="exact"/>
        <w:rPr>
          <w:rFonts w:asciiTheme="majorBidi" w:eastAsiaTheme="minorEastAsia" w:hAnsiTheme="majorBidi" w:cstheme="majorBidi"/>
        </w:rPr>
      </w:pPr>
      <w:r>
        <w:rPr>
          <w:rStyle w:val="a5"/>
          <w:rFonts w:asciiTheme="majorBidi" w:eastAsiaTheme="minorEastAsia" w:hAnsiTheme="majorBidi" w:cstheme="majorBidi"/>
        </w:rPr>
        <w:tab/>
      </w:r>
      <w:r w:rsidRPr="003D3D39">
        <w:rPr>
          <w:rStyle w:val="a5"/>
          <w:rFonts w:eastAsiaTheme="minorEastAsia" w:cstheme="majorBidi"/>
        </w:rPr>
        <w:footnoteRef/>
      </w:r>
      <w:r>
        <w:rPr>
          <w:rStyle w:val="a5"/>
          <w:rFonts w:asciiTheme="majorBidi" w:eastAsiaTheme="minorEastAsia" w:hAnsiTheme="majorBidi" w:cstheme="majorBidi"/>
        </w:rPr>
        <w:tab/>
      </w:r>
      <w:r w:rsidRPr="00D237F6">
        <w:rPr>
          <w:rFonts w:ascii="Time New Roman" w:eastAsia="楷体" w:hAnsi="Time New Roman" w:cstheme="majorBidi"/>
        </w:rPr>
        <w:t>美利坚合众国诉诺列加</w:t>
      </w:r>
      <w:r w:rsidRPr="00D237F6">
        <w:rPr>
          <w:rFonts w:asciiTheme="majorBidi" w:eastAsiaTheme="minorEastAsia" w:hAnsiTheme="majorBidi" w:cstheme="majorBidi"/>
        </w:rPr>
        <w:t>(</w:t>
      </w:r>
      <w:r w:rsidRPr="00D237F6">
        <w:rPr>
          <w:rFonts w:asciiTheme="majorBidi" w:eastAsiaTheme="minorEastAsia" w:hAnsiTheme="majorBidi" w:cstheme="majorBidi"/>
        </w:rPr>
        <w:t>见上文脚注</w:t>
      </w:r>
      <w:r>
        <w:rPr>
          <w:rFonts w:asciiTheme="majorBidi" w:eastAsiaTheme="minorEastAsia" w:hAnsiTheme="majorBidi" w:cstheme="majorBidi"/>
        </w:rPr>
        <w:fldChar w:fldCharType="begin"/>
      </w:r>
      <w:r>
        <w:rPr>
          <w:rFonts w:asciiTheme="majorBidi" w:eastAsiaTheme="minorEastAsia" w:hAnsiTheme="majorBidi" w:cstheme="majorBidi"/>
        </w:rPr>
        <w:instrText xml:space="preserve"> NOTEREF _Ref457292977 \h </w:instrText>
      </w:r>
      <w:r>
        <w:rPr>
          <w:rFonts w:asciiTheme="majorBidi" w:eastAsiaTheme="minorEastAsia" w:hAnsiTheme="majorBidi" w:cstheme="majorBidi"/>
        </w:rPr>
      </w:r>
      <w:r>
        <w:rPr>
          <w:rFonts w:asciiTheme="majorBidi" w:eastAsiaTheme="minorEastAsia" w:hAnsiTheme="majorBidi" w:cstheme="majorBidi"/>
        </w:rPr>
        <w:fldChar w:fldCharType="separate"/>
      </w:r>
      <w:r w:rsidR="00A73EB9">
        <w:rPr>
          <w:rFonts w:asciiTheme="majorBidi" w:eastAsiaTheme="minorEastAsia" w:hAnsiTheme="majorBidi" w:cstheme="majorBidi"/>
        </w:rPr>
        <w:t>1430</w:t>
      </w:r>
      <w:r>
        <w:rPr>
          <w:rFonts w:asciiTheme="majorBidi" w:eastAsiaTheme="minorEastAsia" w:hAnsiTheme="majorBidi" w:cstheme="majorBidi"/>
        </w:rPr>
        <w:fldChar w:fldCharType="end"/>
      </w:r>
      <w:r w:rsidRPr="00D237F6">
        <w:rPr>
          <w:rFonts w:asciiTheme="majorBidi" w:eastAsiaTheme="minorEastAsia" w:hAnsiTheme="majorBidi" w:cstheme="majorBidi"/>
        </w:rPr>
        <w:t>)</w:t>
      </w:r>
      <w:r w:rsidRPr="00D237F6">
        <w:rPr>
          <w:rFonts w:asciiTheme="majorBidi" w:eastAsiaTheme="minorEastAsia" w:hAnsiTheme="majorBidi" w:cstheme="majorBidi"/>
        </w:rPr>
        <w:t>；</w:t>
      </w:r>
      <w:r>
        <w:rPr>
          <w:rFonts w:ascii="Time New Roman" w:eastAsia="楷体" w:hAnsi="Time New Roman" w:cstheme="majorBidi"/>
        </w:rPr>
        <w:t>Jungquist</w:t>
      </w:r>
      <w:r w:rsidRPr="00D237F6">
        <w:rPr>
          <w:rFonts w:ascii="Time New Roman" w:eastAsia="楷体" w:hAnsi="Time New Roman" w:cstheme="majorBidi"/>
        </w:rPr>
        <w:t>诉</w:t>
      </w:r>
      <w:r>
        <w:rPr>
          <w:rFonts w:ascii="Time New Roman" w:eastAsia="楷体" w:hAnsi="Time New Roman" w:cstheme="majorBidi"/>
        </w:rPr>
        <w:t>Sheikh</w:t>
      </w:r>
      <w:r w:rsidRPr="00AE0A97">
        <w:rPr>
          <w:rFonts w:ascii="Time New Roman" w:eastAsia="楷体" w:hAnsi="Time New Roman" w:cstheme="majorBidi"/>
        </w:rPr>
        <w:t xml:space="preserve"> </w:t>
      </w:r>
      <w:r>
        <w:rPr>
          <w:rFonts w:ascii="Time New Roman" w:eastAsia="楷体" w:hAnsi="Time New Roman" w:cstheme="majorBidi"/>
        </w:rPr>
        <w:t>Sultan</w:t>
      </w:r>
      <w:r w:rsidRPr="00AE0A97">
        <w:rPr>
          <w:rFonts w:ascii="Time New Roman" w:eastAsia="楷体" w:hAnsi="Time New Roman" w:cstheme="majorBidi"/>
        </w:rPr>
        <w:t xml:space="preserve"> </w:t>
      </w:r>
      <w:r>
        <w:rPr>
          <w:rFonts w:ascii="Time New Roman" w:eastAsia="楷体" w:hAnsi="Time New Roman" w:cstheme="majorBidi"/>
        </w:rPr>
        <w:t>Bin</w:t>
      </w:r>
      <w:r w:rsidRPr="00AE0A97">
        <w:rPr>
          <w:rFonts w:ascii="Time New Roman" w:eastAsia="楷体" w:hAnsi="Time New Roman" w:cstheme="majorBidi"/>
        </w:rPr>
        <w:t xml:space="preserve"> </w:t>
      </w:r>
      <w:r>
        <w:rPr>
          <w:rFonts w:ascii="Time New Roman" w:eastAsia="楷体" w:hAnsi="Time New Roman" w:cstheme="majorBidi"/>
        </w:rPr>
        <w:t>Khalifa</w:t>
      </w:r>
      <w:r w:rsidRPr="00AE0A97">
        <w:rPr>
          <w:rFonts w:ascii="Time New Roman" w:eastAsia="楷体" w:hAnsi="Time New Roman" w:cstheme="majorBidi"/>
        </w:rPr>
        <w:t xml:space="preserve"> </w:t>
      </w:r>
      <w:r>
        <w:rPr>
          <w:rFonts w:ascii="Time New Roman" w:eastAsia="楷体" w:hAnsi="Time New Roman" w:cstheme="majorBidi"/>
        </w:rPr>
        <w:t>al</w:t>
      </w:r>
      <w:r w:rsidRPr="00AE0A97">
        <w:rPr>
          <w:rFonts w:ascii="Time New Roman" w:eastAsia="楷体" w:hAnsi="Time New Roman" w:cstheme="majorBidi"/>
        </w:rPr>
        <w:t xml:space="preserve"> </w:t>
      </w:r>
      <w:r>
        <w:rPr>
          <w:rFonts w:ascii="Time New Roman" w:eastAsia="楷体" w:hAnsi="Time New Roman" w:cstheme="majorBidi"/>
        </w:rPr>
        <w:t>Nahyan</w:t>
      </w:r>
      <w:r w:rsidRPr="00D237F6">
        <w:rPr>
          <w:rFonts w:ascii="Time New Roman" w:eastAsia="楷体" w:hAnsi="Time New Roman" w:cstheme="majorBidi"/>
        </w:rPr>
        <w:t>,</w:t>
      </w:r>
      <w:r w:rsidRPr="00D237F6">
        <w:rPr>
          <w:rFonts w:asciiTheme="majorBidi" w:eastAsiaTheme="minorEastAsia" w:hAnsiTheme="majorBidi" w:cstheme="majorBidi"/>
        </w:rPr>
        <w:t>美国哥伦比亚特区地区法院，</w:t>
      </w:r>
      <w:r>
        <w:rPr>
          <w:rFonts w:asciiTheme="majorBidi" w:eastAsiaTheme="minorEastAsia" w:hAnsiTheme="majorBidi" w:cstheme="majorBidi"/>
        </w:rPr>
        <w:t>1996</w:t>
      </w:r>
      <w:r w:rsidRPr="00D237F6">
        <w:rPr>
          <w:rFonts w:asciiTheme="majorBidi" w:eastAsiaTheme="minorEastAsia" w:hAnsiTheme="majorBidi" w:cstheme="majorBidi"/>
        </w:rPr>
        <w:t>年</w:t>
      </w:r>
      <w:r>
        <w:rPr>
          <w:rFonts w:asciiTheme="majorBidi" w:eastAsiaTheme="minorEastAsia" w:hAnsiTheme="majorBidi" w:cstheme="majorBidi"/>
        </w:rPr>
        <w:t>9</w:t>
      </w:r>
      <w:r w:rsidRPr="00D237F6">
        <w:rPr>
          <w:rFonts w:asciiTheme="majorBidi" w:eastAsiaTheme="minorEastAsia" w:hAnsiTheme="majorBidi" w:cstheme="majorBidi"/>
        </w:rPr>
        <w:t>月</w:t>
      </w:r>
      <w:r>
        <w:rPr>
          <w:rFonts w:asciiTheme="majorBidi" w:eastAsiaTheme="minorEastAsia" w:hAnsiTheme="majorBidi" w:cstheme="majorBidi"/>
        </w:rPr>
        <w:t>20</w:t>
      </w:r>
      <w:r w:rsidRPr="00D237F6">
        <w:rPr>
          <w:rFonts w:asciiTheme="majorBidi" w:eastAsiaTheme="minorEastAsia" w:hAnsiTheme="majorBidi" w:cstheme="majorBidi"/>
        </w:rPr>
        <w:t>日的判决，《国际法案例汇编》，第</w:t>
      </w:r>
      <w:r>
        <w:rPr>
          <w:rFonts w:asciiTheme="majorBidi" w:eastAsiaTheme="minorEastAsia" w:hAnsiTheme="majorBidi" w:cstheme="majorBidi"/>
        </w:rPr>
        <w:t>113</w:t>
      </w:r>
      <w:r w:rsidRPr="00D237F6">
        <w:rPr>
          <w:rFonts w:asciiTheme="majorBidi" w:eastAsiaTheme="minorEastAsia" w:hAnsiTheme="majorBidi" w:cstheme="majorBidi"/>
        </w:rPr>
        <w:t>卷，第</w:t>
      </w:r>
      <w:r>
        <w:rPr>
          <w:rFonts w:asciiTheme="majorBidi" w:eastAsiaTheme="minorEastAsia" w:hAnsiTheme="majorBidi" w:cstheme="majorBidi"/>
        </w:rPr>
        <w:t>522</w:t>
      </w:r>
      <w:r w:rsidRPr="00D237F6">
        <w:rPr>
          <w:rFonts w:asciiTheme="majorBidi" w:eastAsiaTheme="minorEastAsia" w:hAnsiTheme="majorBidi" w:cstheme="majorBidi"/>
        </w:rPr>
        <w:t>页；</w:t>
      </w:r>
      <w:r>
        <w:rPr>
          <w:rFonts w:ascii="Time New Roman" w:eastAsia="楷体" w:hAnsi="Time New Roman" w:cstheme="majorBidi"/>
        </w:rPr>
        <w:t>Mellerio</w:t>
      </w:r>
      <w:r w:rsidRPr="00D237F6">
        <w:rPr>
          <w:rFonts w:ascii="Time New Roman" w:eastAsia="楷体" w:hAnsi="Time New Roman" w:cstheme="majorBidi"/>
        </w:rPr>
        <w:t>诉西班牙前女王</w:t>
      </w:r>
      <w:r>
        <w:rPr>
          <w:rFonts w:ascii="Time New Roman" w:eastAsia="楷体" w:hAnsi="Time New Roman" w:cstheme="majorBidi"/>
        </w:rPr>
        <w:t>Isabelle</w:t>
      </w:r>
      <w:r>
        <w:rPr>
          <w:rFonts w:ascii="Time New Roman" w:eastAsia="楷体" w:hAnsi="Time New Roman" w:cstheme="majorBidi" w:hint="eastAsia"/>
        </w:rPr>
        <w:t xml:space="preserve"> </w:t>
      </w:r>
      <w:r>
        <w:rPr>
          <w:rFonts w:ascii="Time New Roman" w:eastAsia="楷体" w:hAnsi="Time New Roman" w:cstheme="majorBidi"/>
        </w:rPr>
        <w:t>de</w:t>
      </w:r>
      <w:r>
        <w:rPr>
          <w:rFonts w:ascii="Time New Roman" w:eastAsia="楷体" w:hAnsi="Time New Roman" w:cstheme="majorBidi" w:hint="eastAsia"/>
        </w:rPr>
        <w:t xml:space="preserve"> </w:t>
      </w:r>
      <w:r>
        <w:rPr>
          <w:rFonts w:ascii="Time New Roman" w:eastAsia="楷体" w:hAnsi="Time New Roman" w:cstheme="majorBidi"/>
        </w:rPr>
        <w:t>Bourbon</w:t>
      </w:r>
      <w:r w:rsidRPr="00D237F6">
        <w:rPr>
          <w:rFonts w:ascii="Time New Roman" w:eastAsia="楷体" w:hAnsi="Time New Roman" w:cstheme="majorBidi"/>
        </w:rPr>
        <w:t>,</w:t>
      </w:r>
      <w:r w:rsidRPr="00D237F6">
        <w:rPr>
          <w:rFonts w:asciiTheme="majorBidi" w:eastAsiaTheme="minorEastAsia" w:hAnsiTheme="majorBidi" w:cstheme="majorBidi"/>
        </w:rPr>
        <w:t>《国际公法案件年度摘要和报告》，第</w:t>
      </w:r>
      <w:r>
        <w:rPr>
          <w:rFonts w:asciiTheme="majorBidi" w:eastAsiaTheme="minorEastAsia" w:hAnsiTheme="majorBidi" w:cstheme="majorBidi"/>
        </w:rPr>
        <w:t>1872</w:t>
      </w:r>
      <w:r w:rsidRPr="00D237F6">
        <w:rPr>
          <w:rFonts w:asciiTheme="majorBidi" w:eastAsiaTheme="minorEastAsia" w:hAnsiTheme="majorBidi" w:cstheme="majorBidi"/>
        </w:rPr>
        <w:t>号案件，</w:t>
      </w:r>
      <w:r w:rsidRPr="00D237F6">
        <w:rPr>
          <w:rFonts w:asciiTheme="majorBidi" w:eastAsiaTheme="minorEastAsia" w:hAnsiTheme="majorBidi" w:cstheme="majorBidi"/>
          <w:iCs/>
        </w:rPr>
        <w:t>第</w:t>
      </w:r>
      <w:r>
        <w:rPr>
          <w:rFonts w:asciiTheme="majorBidi" w:eastAsiaTheme="minorEastAsia" w:hAnsiTheme="majorBidi" w:cstheme="majorBidi"/>
        </w:rPr>
        <w:t>293</w:t>
      </w:r>
      <w:r w:rsidRPr="00D237F6">
        <w:rPr>
          <w:rFonts w:asciiTheme="majorBidi" w:eastAsiaTheme="minorEastAsia" w:hAnsiTheme="majorBidi" w:cstheme="majorBidi"/>
        </w:rPr>
        <w:t>页；</w:t>
      </w:r>
      <w:r>
        <w:rPr>
          <w:rFonts w:ascii="Time New Roman" w:eastAsia="楷体" w:hAnsi="Time New Roman" w:cstheme="majorBidi"/>
        </w:rPr>
        <w:t>Seyyid</w:t>
      </w:r>
      <w:r>
        <w:rPr>
          <w:rFonts w:ascii="Time New Roman" w:eastAsia="楷体" w:hAnsi="Time New Roman" w:cstheme="majorBidi" w:hint="eastAsia"/>
        </w:rPr>
        <w:t xml:space="preserve"> </w:t>
      </w:r>
      <w:r>
        <w:rPr>
          <w:rFonts w:ascii="Time New Roman" w:eastAsia="楷体" w:hAnsi="Time New Roman" w:cstheme="majorBidi"/>
        </w:rPr>
        <w:t>Ali</w:t>
      </w:r>
      <w:r>
        <w:rPr>
          <w:rFonts w:ascii="Time New Roman" w:eastAsia="楷体" w:hAnsi="Time New Roman" w:cstheme="majorBidi" w:hint="eastAsia"/>
        </w:rPr>
        <w:t xml:space="preserve"> </w:t>
      </w:r>
      <w:r>
        <w:rPr>
          <w:rFonts w:ascii="Time New Roman" w:eastAsia="楷体" w:hAnsi="Time New Roman" w:cstheme="majorBidi"/>
        </w:rPr>
        <w:t>Ben</w:t>
      </w:r>
      <w:r>
        <w:rPr>
          <w:rFonts w:ascii="Time New Roman" w:eastAsia="楷体" w:hAnsi="Time New Roman" w:cstheme="majorBidi" w:hint="eastAsia"/>
        </w:rPr>
        <w:t xml:space="preserve"> </w:t>
      </w:r>
      <w:r>
        <w:rPr>
          <w:rFonts w:ascii="Time New Roman" w:eastAsia="楷体" w:hAnsi="Time New Roman" w:cstheme="majorBidi"/>
        </w:rPr>
        <w:t>Hammoud</w:t>
      </w:r>
      <w:r w:rsidRPr="00D237F6">
        <w:rPr>
          <w:rFonts w:ascii="Time New Roman" w:eastAsia="楷体" w:hAnsi="Time New Roman" w:cstheme="majorBidi"/>
        </w:rPr>
        <w:t>、</w:t>
      </w:r>
      <w:r>
        <w:rPr>
          <w:rFonts w:ascii="Time New Roman" w:eastAsia="楷体" w:hAnsi="Time New Roman" w:cstheme="majorBidi"/>
        </w:rPr>
        <w:t>Prince</w:t>
      </w:r>
      <w:r>
        <w:rPr>
          <w:rFonts w:ascii="Time New Roman" w:eastAsia="楷体" w:hAnsi="Time New Roman" w:cstheme="majorBidi" w:hint="eastAsia"/>
        </w:rPr>
        <w:t xml:space="preserve"> </w:t>
      </w:r>
      <w:r>
        <w:rPr>
          <w:rFonts w:ascii="Time New Roman" w:eastAsia="楷体" w:hAnsi="Time New Roman" w:cstheme="majorBidi"/>
        </w:rPr>
        <w:t>Rashid</w:t>
      </w:r>
      <w:r w:rsidRPr="00D237F6">
        <w:rPr>
          <w:rFonts w:ascii="Time New Roman" w:eastAsia="楷体" w:hAnsi="Time New Roman" w:cstheme="majorBidi"/>
        </w:rPr>
        <w:t>诉</w:t>
      </w:r>
      <w:r>
        <w:rPr>
          <w:rFonts w:ascii="Time New Roman" w:eastAsia="楷体" w:hAnsi="Time New Roman" w:cstheme="majorBidi"/>
        </w:rPr>
        <w:t>Wiercinski</w:t>
      </w:r>
      <w:r w:rsidRPr="005D2876">
        <w:rPr>
          <w:rFonts w:asciiTheme="majorBidi" w:eastAsiaTheme="minorEastAsia" w:hAnsiTheme="majorBidi" w:cstheme="majorBidi"/>
          <w:iCs/>
        </w:rPr>
        <w:t>,</w:t>
      </w:r>
      <w:r>
        <w:rPr>
          <w:rFonts w:asciiTheme="majorBidi" w:eastAsiaTheme="minorEastAsia" w:hAnsiTheme="majorBidi" w:cstheme="majorBidi" w:hint="eastAsia"/>
          <w:iCs/>
        </w:rPr>
        <w:t xml:space="preserve"> </w:t>
      </w:r>
      <w:r>
        <w:rPr>
          <w:rFonts w:asciiTheme="majorBidi" w:eastAsiaTheme="minorEastAsia" w:hAnsiTheme="majorBidi" w:cstheme="majorBidi"/>
        </w:rPr>
        <w:t>Seine</w:t>
      </w:r>
      <w:r w:rsidRPr="00D237F6">
        <w:rPr>
          <w:rFonts w:asciiTheme="majorBidi" w:eastAsiaTheme="minorEastAsia" w:hAnsiTheme="majorBidi" w:cstheme="majorBidi"/>
        </w:rPr>
        <w:t>民事法庭，</w:t>
      </w:r>
      <w:r>
        <w:rPr>
          <w:rFonts w:asciiTheme="majorBidi" w:eastAsiaTheme="minorEastAsia" w:hAnsiTheme="majorBidi" w:cstheme="majorBidi"/>
        </w:rPr>
        <w:t>1916</w:t>
      </w:r>
      <w:r w:rsidRPr="00D237F6">
        <w:rPr>
          <w:rFonts w:asciiTheme="majorBidi" w:eastAsiaTheme="minorEastAsia" w:hAnsiTheme="majorBidi" w:cstheme="majorBidi"/>
        </w:rPr>
        <w:t>年</w:t>
      </w:r>
      <w:r>
        <w:rPr>
          <w:rFonts w:asciiTheme="majorBidi" w:eastAsiaTheme="minorEastAsia" w:hAnsiTheme="majorBidi" w:cstheme="majorBidi"/>
        </w:rPr>
        <w:t>7</w:t>
      </w:r>
      <w:r w:rsidRPr="00D237F6">
        <w:rPr>
          <w:rFonts w:asciiTheme="majorBidi" w:eastAsiaTheme="minorEastAsia" w:hAnsiTheme="majorBidi" w:cstheme="majorBidi"/>
        </w:rPr>
        <w:t>月</w:t>
      </w:r>
      <w:r>
        <w:rPr>
          <w:rFonts w:asciiTheme="majorBidi" w:eastAsiaTheme="minorEastAsia" w:hAnsiTheme="majorBidi" w:cstheme="majorBidi"/>
        </w:rPr>
        <w:t>25</w:t>
      </w:r>
      <w:r w:rsidRPr="00D237F6">
        <w:rPr>
          <w:rFonts w:asciiTheme="majorBidi" w:eastAsiaTheme="minorEastAsia" w:hAnsiTheme="majorBidi" w:cstheme="majorBidi"/>
        </w:rPr>
        <w:t>日的判决，</w:t>
      </w:r>
      <w:r>
        <w:rPr>
          <w:rFonts w:asciiTheme="majorBidi" w:eastAsiaTheme="minorEastAsia" w:hAnsiTheme="majorBidi" w:cstheme="majorBidi"/>
        </w:rPr>
        <w:t>Revue</w:t>
      </w:r>
      <w:r w:rsidRPr="00AE0A97">
        <w:rPr>
          <w:rFonts w:asciiTheme="majorBidi" w:eastAsiaTheme="minorEastAsia" w:hAnsiTheme="majorBidi" w:cstheme="majorBidi"/>
        </w:rPr>
        <w:t xml:space="preserve"> </w:t>
      </w:r>
      <w:r>
        <w:rPr>
          <w:rFonts w:asciiTheme="majorBidi" w:eastAsiaTheme="minorEastAsia" w:hAnsiTheme="majorBidi" w:cstheme="majorBidi"/>
        </w:rPr>
        <w:t>de</w:t>
      </w:r>
      <w:r w:rsidRPr="00AE0A97">
        <w:rPr>
          <w:rFonts w:asciiTheme="majorBidi" w:eastAsiaTheme="minorEastAsia" w:hAnsiTheme="majorBidi" w:cstheme="majorBidi"/>
        </w:rPr>
        <w:t xml:space="preserve"> </w:t>
      </w:r>
      <w:r>
        <w:rPr>
          <w:rFonts w:asciiTheme="majorBidi" w:eastAsiaTheme="minorEastAsia" w:hAnsiTheme="majorBidi" w:cstheme="majorBidi"/>
        </w:rPr>
        <w:t>droit</w:t>
      </w:r>
      <w:r w:rsidRPr="00AE0A97">
        <w:rPr>
          <w:rFonts w:asciiTheme="majorBidi" w:eastAsiaTheme="minorEastAsia" w:hAnsiTheme="majorBidi" w:cstheme="majorBidi"/>
        </w:rPr>
        <w:t xml:space="preserve"> </w:t>
      </w:r>
      <w:r>
        <w:rPr>
          <w:rFonts w:asciiTheme="majorBidi" w:eastAsiaTheme="minorEastAsia" w:hAnsiTheme="majorBidi" w:cstheme="majorBidi"/>
        </w:rPr>
        <w:t>international</w:t>
      </w:r>
      <w:r w:rsidRPr="00AE0A97">
        <w:rPr>
          <w:rFonts w:asciiTheme="majorBidi" w:eastAsiaTheme="minorEastAsia" w:hAnsiTheme="majorBidi" w:cstheme="majorBidi"/>
        </w:rPr>
        <w:t xml:space="preserve"> </w:t>
      </w:r>
      <w:r>
        <w:rPr>
          <w:rFonts w:asciiTheme="majorBidi" w:eastAsiaTheme="minorEastAsia" w:hAnsiTheme="majorBidi" w:cstheme="majorBidi"/>
        </w:rPr>
        <w:t>priv</w:t>
      </w:r>
      <w:r w:rsidRPr="00AE0A97">
        <w:rPr>
          <w:rFonts w:asciiTheme="majorBidi" w:eastAsiaTheme="minorEastAsia" w:hAnsiTheme="majorBidi" w:cstheme="majorBidi"/>
        </w:rPr>
        <w:t xml:space="preserve">é </w:t>
      </w:r>
      <w:r>
        <w:rPr>
          <w:rFonts w:asciiTheme="majorBidi" w:eastAsiaTheme="minorEastAsia" w:hAnsiTheme="majorBidi" w:cstheme="majorBidi"/>
        </w:rPr>
        <w:t>et</w:t>
      </w:r>
      <w:r w:rsidRPr="00AE0A97">
        <w:rPr>
          <w:rFonts w:asciiTheme="majorBidi" w:eastAsiaTheme="minorEastAsia" w:hAnsiTheme="majorBidi" w:cstheme="majorBidi"/>
        </w:rPr>
        <w:t xml:space="preserve"> </w:t>
      </w:r>
      <w:r>
        <w:rPr>
          <w:rFonts w:asciiTheme="majorBidi" w:eastAsiaTheme="minorEastAsia" w:hAnsiTheme="majorBidi" w:cstheme="majorBidi"/>
        </w:rPr>
        <w:t>de</w:t>
      </w:r>
      <w:r w:rsidRPr="00AE0A97">
        <w:rPr>
          <w:rFonts w:asciiTheme="majorBidi" w:eastAsiaTheme="minorEastAsia" w:hAnsiTheme="majorBidi" w:cstheme="majorBidi"/>
        </w:rPr>
        <w:t xml:space="preserve"> </w:t>
      </w:r>
      <w:r>
        <w:rPr>
          <w:rFonts w:asciiTheme="majorBidi" w:eastAsiaTheme="minorEastAsia" w:hAnsiTheme="majorBidi" w:cstheme="majorBidi"/>
        </w:rPr>
        <w:t>droit</w:t>
      </w:r>
      <w:r w:rsidRPr="00AE0A97">
        <w:rPr>
          <w:rFonts w:asciiTheme="majorBidi" w:eastAsiaTheme="minorEastAsia" w:hAnsiTheme="majorBidi" w:cstheme="majorBidi"/>
        </w:rPr>
        <w:t xml:space="preserve"> </w:t>
      </w:r>
      <w:r>
        <w:rPr>
          <w:rFonts w:asciiTheme="majorBidi" w:eastAsiaTheme="minorEastAsia" w:hAnsiTheme="majorBidi" w:cstheme="majorBidi"/>
        </w:rPr>
        <w:t>p</w:t>
      </w:r>
      <w:r w:rsidRPr="00AE0A97">
        <w:rPr>
          <w:rFonts w:asciiTheme="majorBidi" w:eastAsiaTheme="minorEastAsia" w:hAnsiTheme="majorBidi" w:cstheme="majorBidi"/>
        </w:rPr>
        <w:t>é</w:t>
      </w:r>
      <w:r>
        <w:rPr>
          <w:rFonts w:asciiTheme="majorBidi" w:eastAsiaTheme="minorEastAsia" w:hAnsiTheme="majorBidi" w:cstheme="majorBidi"/>
        </w:rPr>
        <w:t>nal</w:t>
      </w:r>
      <w:r w:rsidRPr="00AE0A97">
        <w:rPr>
          <w:rFonts w:asciiTheme="majorBidi" w:eastAsiaTheme="minorEastAsia" w:hAnsiTheme="majorBidi" w:cstheme="majorBidi"/>
        </w:rPr>
        <w:t xml:space="preserve"> </w:t>
      </w:r>
      <w:r>
        <w:rPr>
          <w:rFonts w:asciiTheme="majorBidi" w:eastAsiaTheme="minorEastAsia" w:hAnsiTheme="majorBidi" w:cstheme="majorBidi"/>
        </w:rPr>
        <w:t>international</w:t>
      </w:r>
      <w:r w:rsidRPr="00D237F6">
        <w:rPr>
          <w:rFonts w:asciiTheme="majorBidi" w:eastAsiaTheme="minorEastAsia" w:hAnsiTheme="majorBidi" w:cstheme="majorBidi"/>
        </w:rPr>
        <w:t>,</w:t>
      </w:r>
      <w:r>
        <w:rPr>
          <w:rFonts w:asciiTheme="majorBidi" w:eastAsiaTheme="minorEastAsia" w:hAnsiTheme="majorBidi" w:cstheme="majorBidi" w:hint="eastAsia"/>
        </w:rPr>
        <w:t xml:space="preserve"> </w:t>
      </w:r>
      <w:r>
        <w:rPr>
          <w:rFonts w:asciiTheme="majorBidi" w:eastAsiaTheme="minorEastAsia" w:hAnsiTheme="majorBidi" w:cstheme="majorBidi"/>
        </w:rPr>
        <w:t>vol</w:t>
      </w:r>
      <w:r w:rsidRPr="00D237F6">
        <w:rPr>
          <w:rFonts w:asciiTheme="majorBidi" w:eastAsiaTheme="minorEastAsia" w:hAnsiTheme="majorBidi" w:cstheme="majorBidi"/>
        </w:rPr>
        <w:t>.</w:t>
      </w:r>
      <w:r>
        <w:rPr>
          <w:rFonts w:asciiTheme="majorBidi" w:eastAsiaTheme="minorEastAsia" w:hAnsiTheme="majorBidi" w:cstheme="majorBidi"/>
        </w:rPr>
        <w:t>15</w:t>
      </w:r>
      <w:r>
        <w:rPr>
          <w:rFonts w:asciiTheme="majorBidi" w:eastAsiaTheme="minorEastAsia" w:hAnsiTheme="majorBidi" w:cstheme="majorBidi" w:hint="eastAsia"/>
        </w:rPr>
        <w:t xml:space="preserve"> </w:t>
      </w:r>
      <w:r w:rsidRPr="00D237F6">
        <w:rPr>
          <w:rFonts w:asciiTheme="majorBidi" w:eastAsiaTheme="minorEastAsia" w:hAnsiTheme="majorBidi" w:cstheme="majorBidi"/>
        </w:rPr>
        <w:t>(</w:t>
      </w:r>
      <w:r>
        <w:rPr>
          <w:rFonts w:asciiTheme="majorBidi" w:eastAsiaTheme="minorEastAsia" w:hAnsiTheme="majorBidi" w:cstheme="majorBidi"/>
        </w:rPr>
        <w:t>1919</w:t>
      </w:r>
      <w:r w:rsidRPr="00D237F6">
        <w:rPr>
          <w:rFonts w:asciiTheme="majorBidi" w:eastAsiaTheme="minorEastAsia" w:hAnsiTheme="majorBidi" w:cstheme="majorBidi"/>
        </w:rPr>
        <w:t>)</w:t>
      </w:r>
      <w:r w:rsidRPr="00D237F6">
        <w:rPr>
          <w:rFonts w:asciiTheme="majorBidi" w:eastAsiaTheme="minorEastAsia" w:hAnsiTheme="majorBidi" w:cstheme="majorBidi"/>
        </w:rPr>
        <w:t>，</w:t>
      </w:r>
      <w:r>
        <w:rPr>
          <w:rFonts w:asciiTheme="majorBidi" w:eastAsiaTheme="minorEastAsia" w:hAnsiTheme="majorBidi" w:cstheme="majorBidi"/>
        </w:rPr>
        <w:t>p</w:t>
      </w:r>
      <w:r w:rsidRPr="00D237F6">
        <w:rPr>
          <w:rFonts w:asciiTheme="majorBidi" w:eastAsiaTheme="minorEastAsia" w:hAnsiTheme="majorBidi" w:cstheme="majorBidi"/>
        </w:rPr>
        <w:t>.</w:t>
      </w:r>
      <w:r>
        <w:rPr>
          <w:rFonts w:asciiTheme="majorBidi" w:eastAsiaTheme="minorEastAsia" w:hAnsiTheme="majorBidi" w:cstheme="majorBidi" w:hint="eastAsia"/>
        </w:rPr>
        <w:t xml:space="preserve"> </w:t>
      </w:r>
      <w:r>
        <w:rPr>
          <w:rFonts w:asciiTheme="majorBidi" w:eastAsiaTheme="minorEastAsia" w:hAnsiTheme="majorBidi" w:cstheme="majorBidi"/>
        </w:rPr>
        <w:t>505</w:t>
      </w:r>
      <w:r w:rsidRPr="00D237F6">
        <w:rPr>
          <w:rFonts w:asciiTheme="majorBidi" w:eastAsiaTheme="minorEastAsia" w:hAnsiTheme="majorBidi" w:cstheme="majorBidi"/>
        </w:rPr>
        <w:t>；</w:t>
      </w:r>
      <w:r w:rsidRPr="00D237F6">
        <w:rPr>
          <w:rFonts w:ascii="Time New Roman" w:eastAsia="楷体" w:hAnsi="Time New Roman" w:cstheme="majorBidi"/>
        </w:rPr>
        <w:t>埃及前国王</w:t>
      </w:r>
      <w:r>
        <w:rPr>
          <w:rFonts w:ascii="Time New Roman" w:eastAsia="楷体" w:hAnsi="Time New Roman" w:cstheme="majorBidi"/>
        </w:rPr>
        <w:t>Farouk</w:t>
      </w:r>
      <w:r w:rsidRPr="00D237F6">
        <w:rPr>
          <w:rFonts w:ascii="Time New Roman" w:eastAsia="楷体" w:hAnsi="Time New Roman" w:cstheme="majorBidi"/>
        </w:rPr>
        <w:t>诉克里斯汀</w:t>
      </w:r>
      <w:r>
        <w:rPr>
          <w:rFonts w:hint="eastAsia"/>
        </w:rPr>
        <w:t>·</w:t>
      </w:r>
      <w:r w:rsidRPr="00D237F6">
        <w:rPr>
          <w:rFonts w:ascii="Time New Roman" w:eastAsia="楷体" w:hAnsi="Time New Roman" w:cstheme="majorBidi"/>
        </w:rPr>
        <w:t>迪奥案，</w:t>
      </w:r>
      <w:r w:rsidRPr="00D237F6">
        <w:rPr>
          <w:rFonts w:asciiTheme="majorBidi" w:eastAsiaTheme="minorEastAsia" w:hAnsiTheme="majorBidi" w:cstheme="majorBidi"/>
        </w:rPr>
        <w:t>巴黎上诉法院，</w:t>
      </w:r>
      <w:r>
        <w:rPr>
          <w:rFonts w:asciiTheme="majorBidi" w:eastAsiaTheme="minorEastAsia" w:hAnsiTheme="majorBidi" w:cstheme="majorBidi"/>
        </w:rPr>
        <w:t>1957</w:t>
      </w:r>
      <w:r w:rsidRPr="00D237F6">
        <w:rPr>
          <w:rFonts w:asciiTheme="majorBidi" w:eastAsiaTheme="minorEastAsia" w:hAnsiTheme="majorBidi" w:cstheme="majorBidi"/>
        </w:rPr>
        <w:t>年</w:t>
      </w:r>
      <w:r>
        <w:rPr>
          <w:rFonts w:asciiTheme="majorBidi" w:eastAsiaTheme="minorEastAsia" w:hAnsiTheme="majorBidi" w:cstheme="majorBidi"/>
        </w:rPr>
        <w:t>4</w:t>
      </w:r>
      <w:r w:rsidRPr="00D237F6">
        <w:rPr>
          <w:rFonts w:asciiTheme="majorBidi" w:eastAsiaTheme="minorEastAsia" w:hAnsiTheme="majorBidi" w:cstheme="majorBidi"/>
        </w:rPr>
        <w:t>月</w:t>
      </w:r>
      <w:r>
        <w:rPr>
          <w:rFonts w:asciiTheme="majorBidi" w:eastAsiaTheme="minorEastAsia" w:hAnsiTheme="majorBidi" w:cstheme="majorBidi"/>
        </w:rPr>
        <w:t>11</w:t>
      </w:r>
      <w:r w:rsidRPr="00D237F6">
        <w:rPr>
          <w:rFonts w:asciiTheme="majorBidi" w:eastAsiaTheme="minorEastAsia" w:hAnsiTheme="majorBidi" w:cstheme="majorBidi"/>
        </w:rPr>
        <w:t>日的判决，</w:t>
      </w:r>
      <w:r>
        <w:rPr>
          <w:rFonts w:asciiTheme="majorBidi" w:eastAsiaTheme="minorEastAsia" w:hAnsiTheme="majorBidi" w:cstheme="majorBidi"/>
        </w:rPr>
        <w:t>Journal</w:t>
      </w:r>
      <w:r w:rsidRPr="00AE0A97">
        <w:rPr>
          <w:rFonts w:asciiTheme="majorBidi" w:eastAsiaTheme="minorEastAsia" w:hAnsiTheme="majorBidi" w:cstheme="majorBidi"/>
        </w:rPr>
        <w:t xml:space="preserve"> </w:t>
      </w:r>
      <w:r>
        <w:rPr>
          <w:rFonts w:asciiTheme="majorBidi" w:eastAsiaTheme="minorEastAsia" w:hAnsiTheme="majorBidi" w:cstheme="majorBidi"/>
        </w:rPr>
        <w:t>du</w:t>
      </w:r>
      <w:r w:rsidRPr="00AE0A97">
        <w:rPr>
          <w:rFonts w:asciiTheme="majorBidi" w:eastAsiaTheme="minorEastAsia" w:hAnsiTheme="majorBidi" w:cstheme="majorBidi"/>
        </w:rPr>
        <w:t xml:space="preserve"> </w:t>
      </w:r>
      <w:r>
        <w:rPr>
          <w:rFonts w:asciiTheme="majorBidi" w:eastAsiaTheme="minorEastAsia" w:hAnsiTheme="majorBidi" w:cstheme="majorBidi"/>
        </w:rPr>
        <w:t>droit</w:t>
      </w:r>
      <w:r w:rsidRPr="00AE0A97">
        <w:rPr>
          <w:rFonts w:asciiTheme="majorBidi" w:eastAsiaTheme="minorEastAsia" w:hAnsiTheme="majorBidi" w:cstheme="majorBidi"/>
        </w:rPr>
        <w:t xml:space="preserve"> </w:t>
      </w:r>
      <w:r>
        <w:rPr>
          <w:rFonts w:asciiTheme="majorBidi" w:eastAsiaTheme="minorEastAsia" w:hAnsiTheme="majorBidi" w:cstheme="majorBidi"/>
        </w:rPr>
        <w:t>international</w:t>
      </w:r>
      <w:r w:rsidRPr="00AE0A97">
        <w:rPr>
          <w:rFonts w:asciiTheme="majorBidi" w:eastAsiaTheme="minorEastAsia" w:hAnsiTheme="majorBidi" w:cstheme="majorBidi"/>
        </w:rPr>
        <w:t xml:space="preserve">, </w:t>
      </w:r>
      <w:r>
        <w:rPr>
          <w:rFonts w:asciiTheme="majorBidi" w:eastAsiaTheme="minorEastAsia" w:hAnsiTheme="majorBidi" w:cstheme="majorBidi"/>
        </w:rPr>
        <w:t>vol</w:t>
      </w:r>
      <w:r w:rsidRPr="00AE0A97">
        <w:rPr>
          <w:rFonts w:asciiTheme="majorBidi" w:eastAsiaTheme="minorEastAsia" w:hAnsiTheme="majorBidi" w:cstheme="majorBidi"/>
        </w:rPr>
        <w:t xml:space="preserve">. </w:t>
      </w:r>
      <w:r>
        <w:rPr>
          <w:rFonts w:asciiTheme="majorBidi" w:eastAsiaTheme="minorEastAsia" w:hAnsiTheme="majorBidi" w:cstheme="majorBidi"/>
        </w:rPr>
        <w:t>84</w:t>
      </w:r>
      <w:r w:rsidRPr="00AE0A97">
        <w:rPr>
          <w:rFonts w:asciiTheme="majorBidi" w:eastAsiaTheme="minorEastAsia" w:hAnsiTheme="majorBidi" w:cstheme="majorBidi"/>
        </w:rPr>
        <w:t xml:space="preserve">, </w:t>
      </w:r>
      <w:r>
        <w:rPr>
          <w:rFonts w:asciiTheme="majorBidi" w:eastAsiaTheme="minorEastAsia" w:hAnsiTheme="majorBidi" w:cstheme="majorBidi"/>
        </w:rPr>
        <w:t>No</w:t>
      </w:r>
      <w:r w:rsidRPr="00AE0A97">
        <w:rPr>
          <w:rFonts w:asciiTheme="majorBidi" w:eastAsiaTheme="minorEastAsia" w:hAnsiTheme="majorBidi" w:cstheme="majorBidi"/>
        </w:rPr>
        <w:t xml:space="preserve">. </w:t>
      </w:r>
      <w:r>
        <w:rPr>
          <w:rFonts w:asciiTheme="majorBidi" w:eastAsiaTheme="minorEastAsia" w:hAnsiTheme="majorBidi" w:cstheme="majorBidi"/>
        </w:rPr>
        <w:t>1</w:t>
      </w:r>
      <w:r w:rsidRPr="00AE0A97">
        <w:rPr>
          <w:rFonts w:asciiTheme="majorBidi" w:eastAsiaTheme="minorEastAsia" w:hAnsiTheme="majorBidi" w:cstheme="majorBidi"/>
        </w:rPr>
        <w:t xml:space="preserve"> (</w:t>
      </w:r>
      <w:r>
        <w:rPr>
          <w:rFonts w:asciiTheme="majorBidi" w:eastAsiaTheme="minorEastAsia" w:hAnsiTheme="majorBidi" w:cstheme="majorBidi"/>
        </w:rPr>
        <w:t>1957</w:t>
      </w:r>
      <w:r w:rsidRPr="00D237F6">
        <w:rPr>
          <w:rFonts w:asciiTheme="majorBidi" w:eastAsiaTheme="minorEastAsia" w:hAnsiTheme="majorBidi" w:cstheme="majorBidi"/>
        </w:rPr>
        <w:t>)</w:t>
      </w:r>
      <w:r w:rsidRPr="00D237F6">
        <w:rPr>
          <w:rFonts w:asciiTheme="majorBidi" w:eastAsiaTheme="minorEastAsia" w:hAnsiTheme="majorBidi" w:cstheme="majorBidi"/>
        </w:rPr>
        <w:t>，</w:t>
      </w:r>
      <w:r>
        <w:rPr>
          <w:rFonts w:asciiTheme="majorBidi" w:eastAsiaTheme="minorEastAsia" w:hAnsiTheme="majorBidi" w:cstheme="majorBidi"/>
        </w:rPr>
        <w:t>pp</w:t>
      </w:r>
      <w:r w:rsidRPr="00AE0A97">
        <w:rPr>
          <w:rFonts w:asciiTheme="majorBidi" w:eastAsiaTheme="minorEastAsia" w:hAnsiTheme="majorBidi" w:cstheme="majorBidi"/>
        </w:rPr>
        <w:t xml:space="preserve">. </w:t>
      </w:r>
      <w:r>
        <w:rPr>
          <w:rFonts w:asciiTheme="majorBidi" w:eastAsiaTheme="minorEastAsia" w:hAnsiTheme="majorBidi" w:cstheme="majorBidi"/>
        </w:rPr>
        <w:t>716</w:t>
      </w:r>
      <w:r w:rsidRPr="00AE0A97">
        <w:rPr>
          <w:rFonts w:asciiTheme="majorBidi" w:eastAsiaTheme="minorEastAsia" w:hAnsiTheme="majorBidi" w:cstheme="majorBidi"/>
        </w:rPr>
        <w:t xml:space="preserve"> </w:t>
      </w:r>
      <w:r>
        <w:rPr>
          <w:rFonts w:asciiTheme="majorBidi" w:eastAsiaTheme="minorEastAsia" w:hAnsiTheme="majorBidi" w:cstheme="majorBidi"/>
        </w:rPr>
        <w:t>to</w:t>
      </w:r>
      <w:r w:rsidRPr="00AE0A97">
        <w:rPr>
          <w:rFonts w:asciiTheme="majorBidi" w:eastAsiaTheme="minorEastAsia" w:hAnsiTheme="majorBidi" w:cstheme="majorBidi"/>
        </w:rPr>
        <w:t xml:space="preserve"> </w:t>
      </w:r>
      <w:r>
        <w:rPr>
          <w:rFonts w:asciiTheme="majorBidi" w:eastAsiaTheme="minorEastAsia" w:hAnsiTheme="majorBidi" w:cstheme="majorBidi"/>
        </w:rPr>
        <w:t>718</w:t>
      </w:r>
      <w:r w:rsidRPr="00AE0A97">
        <w:rPr>
          <w:rFonts w:asciiTheme="majorBidi" w:eastAsiaTheme="minorEastAsia" w:hAnsiTheme="majorBidi" w:cstheme="majorBidi"/>
        </w:rPr>
        <w:t xml:space="preserve">; </w:t>
      </w:r>
      <w:r>
        <w:rPr>
          <w:rFonts w:asciiTheme="majorBidi" w:eastAsiaTheme="minorEastAsia" w:hAnsiTheme="majorBidi" w:cstheme="majorBidi"/>
        </w:rPr>
        <w:t>Ali</w:t>
      </w:r>
      <w:r w:rsidRPr="00AE0A97">
        <w:rPr>
          <w:rFonts w:asciiTheme="majorBidi" w:eastAsiaTheme="minorEastAsia" w:hAnsiTheme="majorBidi" w:cstheme="majorBidi"/>
        </w:rPr>
        <w:t xml:space="preserve"> </w:t>
      </w:r>
      <w:r>
        <w:rPr>
          <w:rFonts w:asciiTheme="majorBidi" w:eastAsiaTheme="minorEastAsia" w:hAnsiTheme="majorBidi" w:cstheme="majorBidi"/>
        </w:rPr>
        <w:t>Ali</w:t>
      </w:r>
      <w:r w:rsidRPr="00AE0A97">
        <w:rPr>
          <w:rFonts w:asciiTheme="majorBidi" w:eastAsiaTheme="minorEastAsia" w:hAnsiTheme="majorBidi" w:cstheme="majorBidi"/>
        </w:rPr>
        <w:t xml:space="preserve"> </w:t>
      </w:r>
      <w:r>
        <w:rPr>
          <w:rFonts w:asciiTheme="majorBidi" w:eastAsiaTheme="minorEastAsia" w:hAnsiTheme="majorBidi" w:cstheme="majorBidi"/>
        </w:rPr>
        <w:t>Reza</w:t>
      </w:r>
      <w:r w:rsidRPr="005D2876">
        <w:rPr>
          <w:rFonts w:ascii="Time New Roman" w:eastAsia="楷体" w:hAnsi="Time New Roman" w:cstheme="majorBidi"/>
        </w:rPr>
        <w:t>诉</w:t>
      </w:r>
      <w:r>
        <w:rPr>
          <w:rFonts w:ascii="Time New Roman" w:eastAsia="楷体" w:hAnsi="Time New Roman" w:cstheme="majorBidi"/>
        </w:rPr>
        <w:t>Grimpel</w:t>
      </w:r>
      <w:r w:rsidRPr="005D2876">
        <w:rPr>
          <w:rFonts w:ascii="Time New Roman" w:eastAsia="楷体" w:hAnsi="Time New Roman" w:cstheme="majorBidi"/>
        </w:rPr>
        <w:t>,</w:t>
      </w:r>
      <w:r>
        <w:rPr>
          <w:rFonts w:ascii="Time New Roman" w:eastAsia="楷体" w:hAnsi="Time New Roman" w:cstheme="majorBidi" w:hint="eastAsia"/>
        </w:rPr>
        <w:t xml:space="preserve"> </w:t>
      </w:r>
      <w:r w:rsidRPr="00D237F6">
        <w:rPr>
          <w:rFonts w:asciiTheme="majorBidi" w:eastAsiaTheme="minorEastAsia" w:hAnsiTheme="majorBidi" w:cstheme="majorBidi"/>
        </w:rPr>
        <w:t>巴黎上诉法院，</w:t>
      </w:r>
      <w:r>
        <w:rPr>
          <w:rFonts w:asciiTheme="majorBidi" w:eastAsiaTheme="minorEastAsia" w:hAnsiTheme="majorBidi" w:cstheme="majorBidi"/>
        </w:rPr>
        <w:t>1961</w:t>
      </w:r>
      <w:r w:rsidRPr="00D237F6">
        <w:rPr>
          <w:rFonts w:asciiTheme="majorBidi" w:eastAsiaTheme="minorEastAsia" w:hAnsiTheme="majorBidi" w:cstheme="majorBidi"/>
        </w:rPr>
        <w:t>年</w:t>
      </w:r>
      <w:r>
        <w:rPr>
          <w:rFonts w:asciiTheme="majorBidi" w:eastAsiaTheme="minorEastAsia" w:hAnsiTheme="majorBidi" w:cstheme="majorBidi"/>
        </w:rPr>
        <w:t>4</w:t>
      </w:r>
      <w:r w:rsidRPr="00D237F6">
        <w:rPr>
          <w:rFonts w:asciiTheme="majorBidi" w:eastAsiaTheme="minorEastAsia" w:hAnsiTheme="majorBidi" w:cstheme="majorBidi"/>
        </w:rPr>
        <w:t>月</w:t>
      </w:r>
      <w:r>
        <w:rPr>
          <w:rFonts w:asciiTheme="majorBidi" w:eastAsiaTheme="minorEastAsia" w:hAnsiTheme="majorBidi" w:cstheme="majorBidi"/>
        </w:rPr>
        <w:t>28</w:t>
      </w:r>
      <w:r w:rsidRPr="00D237F6">
        <w:rPr>
          <w:rFonts w:asciiTheme="majorBidi" w:eastAsiaTheme="minorEastAsia" w:hAnsiTheme="majorBidi" w:cstheme="majorBidi"/>
        </w:rPr>
        <w:t>日的判决，</w:t>
      </w:r>
      <w:r>
        <w:rPr>
          <w:rFonts w:asciiTheme="majorBidi" w:eastAsiaTheme="minorEastAsia" w:hAnsiTheme="majorBidi" w:cstheme="majorBidi"/>
        </w:rPr>
        <w:t>Revue</w:t>
      </w:r>
      <w:r w:rsidRPr="00AE0A97">
        <w:rPr>
          <w:rFonts w:asciiTheme="majorBidi" w:eastAsiaTheme="minorEastAsia" w:hAnsiTheme="majorBidi" w:cstheme="majorBidi"/>
        </w:rPr>
        <w:t xml:space="preserve"> </w:t>
      </w:r>
      <w:r>
        <w:rPr>
          <w:rFonts w:asciiTheme="majorBidi" w:eastAsiaTheme="minorEastAsia" w:hAnsiTheme="majorBidi" w:cstheme="majorBidi"/>
        </w:rPr>
        <w:t>g</w:t>
      </w:r>
      <w:r w:rsidRPr="00AE0A97">
        <w:rPr>
          <w:rFonts w:asciiTheme="majorBidi" w:eastAsiaTheme="minorEastAsia" w:hAnsiTheme="majorBidi" w:cstheme="majorBidi"/>
        </w:rPr>
        <w:t>é</w:t>
      </w:r>
      <w:r>
        <w:rPr>
          <w:rFonts w:asciiTheme="majorBidi" w:eastAsiaTheme="minorEastAsia" w:hAnsiTheme="majorBidi" w:cstheme="majorBidi"/>
        </w:rPr>
        <w:t>n</w:t>
      </w:r>
      <w:r w:rsidRPr="00AE0A97">
        <w:rPr>
          <w:rFonts w:asciiTheme="majorBidi" w:eastAsiaTheme="minorEastAsia" w:hAnsiTheme="majorBidi" w:cstheme="majorBidi"/>
        </w:rPr>
        <w:t>é</w:t>
      </w:r>
      <w:r>
        <w:rPr>
          <w:rFonts w:asciiTheme="majorBidi" w:eastAsiaTheme="minorEastAsia" w:hAnsiTheme="majorBidi" w:cstheme="majorBidi"/>
        </w:rPr>
        <w:t>rale</w:t>
      </w:r>
      <w:r w:rsidRPr="00AE0A97">
        <w:rPr>
          <w:rFonts w:asciiTheme="majorBidi" w:eastAsiaTheme="minorEastAsia" w:hAnsiTheme="majorBidi" w:cstheme="majorBidi"/>
        </w:rPr>
        <w:t xml:space="preserve"> </w:t>
      </w:r>
      <w:r>
        <w:rPr>
          <w:rFonts w:asciiTheme="majorBidi" w:eastAsiaTheme="minorEastAsia" w:hAnsiTheme="majorBidi" w:cstheme="majorBidi"/>
        </w:rPr>
        <w:t>de</w:t>
      </w:r>
      <w:r w:rsidRPr="00AE0A97">
        <w:rPr>
          <w:rFonts w:asciiTheme="majorBidi" w:eastAsiaTheme="minorEastAsia" w:hAnsiTheme="majorBidi" w:cstheme="majorBidi"/>
        </w:rPr>
        <w:t xml:space="preserve"> </w:t>
      </w:r>
      <w:r>
        <w:rPr>
          <w:rFonts w:asciiTheme="majorBidi" w:eastAsiaTheme="minorEastAsia" w:hAnsiTheme="majorBidi" w:cstheme="majorBidi"/>
        </w:rPr>
        <w:t>droit</w:t>
      </w:r>
      <w:r w:rsidRPr="00AE0A97">
        <w:rPr>
          <w:rFonts w:asciiTheme="majorBidi" w:eastAsiaTheme="minorEastAsia" w:hAnsiTheme="majorBidi" w:cstheme="majorBidi"/>
        </w:rPr>
        <w:t xml:space="preserve"> </w:t>
      </w:r>
      <w:r>
        <w:rPr>
          <w:rFonts w:asciiTheme="majorBidi" w:eastAsiaTheme="minorEastAsia" w:hAnsiTheme="majorBidi" w:cstheme="majorBidi"/>
        </w:rPr>
        <w:t>international</w:t>
      </w:r>
      <w:r w:rsidRPr="00AE0A97">
        <w:rPr>
          <w:rFonts w:asciiTheme="majorBidi" w:eastAsiaTheme="minorEastAsia" w:hAnsiTheme="majorBidi" w:cstheme="majorBidi"/>
        </w:rPr>
        <w:t xml:space="preserve"> </w:t>
      </w:r>
      <w:r>
        <w:rPr>
          <w:rFonts w:asciiTheme="majorBidi" w:eastAsiaTheme="minorEastAsia" w:hAnsiTheme="majorBidi" w:cstheme="majorBidi"/>
        </w:rPr>
        <w:t>public</w:t>
      </w:r>
      <w:r w:rsidRPr="00AE0A97">
        <w:rPr>
          <w:rFonts w:asciiTheme="majorBidi" w:eastAsiaTheme="minorEastAsia" w:hAnsiTheme="majorBidi" w:cstheme="majorBidi"/>
        </w:rPr>
        <w:t xml:space="preserve">, </w:t>
      </w:r>
      <w:r>
        <w:rPr>
          <w:rFonts w:asciiTheme="majorBidi" w:eastAsiaTheme="minorEastAsia" w:hAnsiTheme="majorBidi" w:cstheme="majorBidi"/>
        </w:rPr>
        <w:t>vol</w:t>
      </w:r>
      <w:r w:rsidRPr="00AE0A97">
        <w:rPr>
          <w:rFonts w:asciiTheme="majorBidi" w:eastAsiaTheme="minorEastAsia" w:hAnsiTheme="majorBidi" w:cstheme="majorBidi"/>
        </w:rPr>
        <w:t xml:space="preserve">. </w:t>
      </w:r>
      <w:r>
        <w:rPr>
          <w:rFonts w:asciiTheme="majorBidi" w:eastAsiaTheme="minorEastAsia" w:hAnsiTheme="majorBidi" w:cstheme="majorBidi"/>
        </w:rPr>
        <w:t>66</w:t>
      </w:r>
      <w:r w:rsidRPr="00AE0A97">
        <w:rPr>
          <w:rFonts w:asciiTheme="majorBidi" w:eastAsiaTheme="minorEastAsia" w:hAnsiTheme="majorBidi" w:cstheme="majorBidi"/>
        </w:rPr>
        <w:t xml:space="preserve">, </w:t>
      </w:r>
      <w:r>
        <w:rPr>
          <w:rFonts w:asciiTheme="majorBidi" w:eastAsiaTheme="minorEastAsia" w:hAnsiTheme="majorBidi" w:cstheme="majorBidi"/>
        </w:rPr>
        <w:t>No</w:t>
      </w:r>
      <w:r w:rsidRPr="00AE0A97">
        <w:rPr>
          <w:rFonts w:asciiTheme="majorBidi" w:eastAsiaTheme="minorEastAsia" w:hAnsiTheme="majorBidi" w:cstheme="majorBidi"/>
        </w:rPr>
        <w:t xml:space="preserve">. </w:t>
      </w:r>
      <w:r>
        <w:rPr>
          <w:rFonts w:asciiTheme="majorBidi" w:eastAsiaTheme="minorEastAsia" w:hAnsiTheme="majorBidi" w:cstheme="majorBidi"/>
        </w:rPr>
        <w:t>2</w:t>
      </w:r>
      <w:r w:rsidRPr="00AE0A97">
        <w:rPr>
          <w:rFonts w:asciiTheme="majorBidi" w:eastAsiaTheme="minorEastAsia" w:hAnsiTheme="majorBidi" w:cstheme="majorBidi"/>
        </w:rPr>
        <w:t xml:space="preserve"> (</w:t>
      </w:r>
      <w:r>
        <w:rPr>
          <w:rFonts w:asciiTheme="majorBidi" w:eastAsiaTheme="minorEastAsia" w:hAnsiTheme="majorBidi" w:cstheme="majorBidi"/>
        </w:rPr>
        <w:t>1962</w:t>
      </w:r>
      <w:r w:rsidRPr="00D237F6">
        <w:rPr>
          <w:rFonts w:asciiTheme="majorBidi" w:eastAsiaTheme="minorEastAsia" w:hAnsiTheme="majorBidi" w:cstheme="majorBidi"/>
        </w:rPr>
        <w:t>)</w:t>
      </w:r>
      <w:r w:rsidRPr="00D237F6">
        <w:rPr>
          <w:rFonts w:asciiTheme="majorBidi" w:eastAsiaTheme="minorEastAsia" w:hAnsiTheme="majorBidi" w:cstheme="majorBidi"/>
        </w:rPr>
        <w:t>，</w:t>
      </w:r>
      <w:r>
        <w:rPr>
          <w:rFonts w:asciiTheme="majorBidi" w:eastAsiaTheme="minorEastAsia" w:hAnsiTheme="majorBidi" w:cstheme="majorBidi"/>
        </w:rPr>
        <w:t>p</w:t>
      </w:r>
      <w:r w:rsidRPr="00D237F6">
        <w:rPr>
          <w:rFonts w:asciiTheme="majorBidi" w:eastAsiaTheme="minorEastAsia" w:hAnsiTheme="majorBidi" w:cstheme="majorBidi"/>
        </w:rPr>
        <w:t>.</w:t>
      </w:r>
      <w:r>
        <w:rPr>
          <w:rFonts w:asciiTheme="majorBidi" w:eastAsiaTheme="minorEastAsia" w:hAnsiTheme="majorBidi" w:cstheme="majorBidi" w:hint="eastAsia"/>
        </w:rPr>
        <w:t xml:space="preserve"> </w:t>
      </w:r>
      <w:r>
        <w:rPr>
          <w:rFonts w:asciiTheme="majorBidi" w:eastAsiaTheme="minorEastAsia" w:hAnsiTheme="majorBidi" w:cstheme="majorBidi"/>
        </w:rPr>
        <w:t>418</w:t>
      </w:r>
      <w:r w:rsidRPr="00D237F6">
        <w:rPr>
          <w:rFonts w:asciiTheme="majorBidi" w:eastAsiaTheme="minorEastAsia" w:hAnsiTheme="majorBidi" w:cstheme="majorBidi"/>
        </w:rPr>
        <w:t>；</w:t>
      </w:r>
      <w:r w:rsidRPr="005D2876">
        <w:rPr>
          <w:rFonts w:ascii="Time New Roman" w:eastAsia="楷体" w:hAnsi="Time New Roman" w:cstheme="majorBidi"/>
        </w:rPr>
        <w:t>费迪南</w:t>
      </w:r>
      <w:r>
        <w:rPr>
          <w:rFonts w:hint="eastAsia"/>
        </w:rPr>
        <w:t>·</w:t>
      </w:r>
      <w:r w:rsidRPr="005D2876">
        <w:rPr>
          <w:rFonts w:ascii="Time New Roman" w:eastAsia="楷体" w:hAnsi="Time New Roman" w:cstheme="majorBidi"/>
        </w:rPr>
        <w:t>马科斯的遗产人权诉讼案；</w:t>
      </w:r>
      <w:r>
        <w:rPr>
          <w:rFonts w:ascii="Time New Roman" w:eastAsia="楷体" w:hAnsi="Time New Roman" w:cstheme="majorBidi"/>
        </w:rPr>
        <w:t>Trajano</w:t>
      </w:r>
      <w:r w:rsidRPr="005D2876">
        <w:rPr>
          <w:rFonts w:ascii="Time New Roman" w:eastAsia="楷体" w:hAnsi="Time New Roman" w:cstheme="majorBidi"/>
        </w:rPr>
        <w:t>诉马科斯等，</w:t>
      </w:r>
      <w:r w:rsidRPr="00D237F6">
        <w:rPr>
          <w:rFonts w:asciiTheme="majorBidi" w:eastAsiaTheme="minorEastAsia" w:hAnsiTheme="majorBidi" w:cstheme="majorBidi"/>
        </w:rPr>
        <w:t>美国上诉法院，第九巡回法庭，</w:t>
      </w:r>
      <w:r>
        <w:rPr>
          <w:rFonts w:asciiTheme="majorBidi" w:eastAsiaTheme="minorEastAsia" w:hAnsiTheme="majorBidi" w:cstheme="majorBidi"/>
        </w:rPr>
        <w:t>1992</w:t>
      </w:r>
      <w:r w:rsidRPr="00D237F6">
        <w:rPr>
          <w:rFonts w:asciiTheme="majorBidi" w:eastAsiaTheme="minorEastAsia" w:hAnsiTheme="majorBidi" w:cstheme="majorBidi"/>
        </w:rPr>
        <w:t>年</w:t>
      </w:r>
      <w:r>
        <w:rPr>
          <w:rFonts w:asciiTheme="majorBidi" w:eastAsiaTheme="minorEastAsia" w:hAnsiTheme="majorBidi" w:cstheme="majorBidi"/>
        </w:rPr>
        <w:t>10</w:t>
      </w:r>
      <w:r w:rsidRPr="00D237F6">
        <w:rPr>
          <w:rFonts w:asciiTheme="majorBidi" w:eastAsiaTheme="minorEastAsia" w:hAnsiTheme="majorBidi" w:cstheme="majorBidi"/>
        </w:rPr>
        <w:t>月</w:t>
      </w:r>
      <w:r>
        <w:rPr>
          <w:rFonts w:asciiTheme="majorBidi" w:eastAsiaTheme="minorEastAsia" w:hAnsiTheme="majorBidi" w:cstheme="majorBidi"/>
        </w:rPr>
        <w:t>21</w:t>
      </w:r>
      <w:r w:rsidRPr="00D237F6">
        <w:rPr>
          <w:rFonts w:asciiTheme="majorBidi" w:eastAsiaTheme="minorEastAsia" w:hAnsiTheme="majorBidi" w:cstheme="majorBidi"/>
        </w:rPr>
        <w:t>日，</w:t>
      </w:r>
      <w:r>
        <w:rPr>
          <w:rFonts w:asciiTheme="majorBidi" w:eastAsiaTheme="minorEastAsia" w:hAnsiTheme="majorBidi" w:cstheme="majorBidi"/>
        </w:rPr>
        <w:t>978</w:t>
      </w:r>
      <w:r w:rsidRPr="00AE0A97">
        <w:rPr>
          <w:rFonts w:asciiTheme="majorBidi" w:eastAsiaTheme="minorEastAsia" w:hAnsiTheme="majorBidi" w:cstheme="majorBidi"/>
        </w:rPr>
        <w:t xml:space="preserve"> </w:t>
      </w:r>
      <w:r>
        <w:rPr>
          <w:rFonts w:asciiTheme="majorBidi" w:eastAsiaTheme="minorEastAsia" w:hAnsiTheme="majorBidi" w:cstheme="majorBidi"/>
        </w:rPr>
        <w:t>F</w:t>
      </w:r>
      <w:r w:rsidRPr="00AE0A97">
        <w:rPr>
          <w:rFonts w:asciiTheme="majorBidi" w:eastAsiaTheme="minorEastAsia" w:hAnsiTheme="majorBidi" w:cstheme="majorBidi"/>
        </w:rPr>
        <w:t xml:space="preserve"> </w:t>
      </w:r>
      <w:r>
        <w:rPr>
          <w:rFonts w:asciiTheme="majorBidi" w:eastAsiaTheme="minorEastAsia" w:hAnsiTheme="majorBidi" w:cstheme="majorBidi"/>
        </w:rPr>
        <w:t>2d</w:t>
      </w:r>
      <w:r w:rsidRPr="00AE0A97">
        <w:rPr>
          <w:rFonts w:asciiTheme="majorBidi" w:eastAsiaTheme="minorEastAsia" w:hAnsiTheme="majorBidi" w:cstheme="majorBidi"/>
        </w:rPr>
        <w:t xml:space="preserve"> </w:t>
      </w:r>
      <w:r>
        <w:rPr>
          <w:rFonts w:asciiTheme="majorBidi" w:eastAsiaTheme="minorEastAsia" w:hAnsiTheme="majorBidi" w:cstheme="majorBidi"/>
        </w:rPr>
        <w:t>493</w:t>
      </w:r>
      <w:r w:rsidRPr="00AE0A97">
        <w:rPr>
          <w:rFonts w:asciiTheme="majorBidi" w:eastAsiaTheme="minorEastAsia" w:hAnsiTheme="majorBidi" w:cstheme="majorBidi"/>
        </w:rPr>
        <w:t xml:space="preserve"> (</w:t>
      </w:r>
      <w:r>
        <w:rPr>
          <w:rFonts w:asciiTheme="majorBidi" w:eastAsiaTheme="minorEastAsia" w:hAnsiTheme="majorBidi" w:cstheme="majorBidi"/>
        </w:rPr>
        <w:t>1992</w:t>
      </w:r>
      <w:r w:rsidRPr="00D237F6">
        <w:rPr>
          <w:rFonts w:asciiTheme="majorBidi" w:eastAsiaTheme="minorEastAsia" w:hAnsiTheme="majorBidi" w:cstheme="majorBidi"/>
        </w:rPr>
        <w:t>)</w:t>
      </w:r>
      <w:r w:rsidRPr="00D237F6">
        <w:rPr>
          <w:rFonts w:asciiTheme="majorBidi" w:eastAsiaTheme="minorEastAsia" w:hAnsiTheme="majorBidi" w:cstheme="majorBidi"/>
        </w:rPr>
        <w:t>，《国际法案例汇编》，第</w:t>
      </w:r>
      <w:r>
        <w:rPr>
          <w:rFonts w:asciiTheme="majorBidi" w:eastAsiaTheme="minorEastAsia" w:hAnsiTheme="majorBidi" w:cstheme="majorBidi"/>
        </w:rPr>
        <w:t>103</w:t>
      </w:r>
      <w:r w:rsidRPr="00D237F6">
        <w:rPr>
          <w:rFonts w:asciiTheme="majorBidi" w:eastAsiaTheme="minorEastAsia" w:hAnsiTheme="majorBidi" w:cstheme="majorBidi"/>
        </w:rPr>
        <w:t>卷，第</w:t>
      </w:r>
      <w:r>
        <w:rPr>
          <w:rFonts w:asciiTheme="majorBidi" w:eastAsiaTheme="minorEastAsia" w:hAnsiTheme="majorBidi" w:cstheme="majorBidi"/>
        </w:rPr>
        <w:t>521</w:t>
      </w:r>
      <w:r w:rsidRPr="00D237F6">
        <w:rPr>
          <w:rFonts w:asciiTheme="majorBidi" w:eastAsiaTheme="minorEastAsia" w:hAnsiTheme="majorBidi" w:cstheme="majorBidi"/>
        </w:rPr>
        <w:t>页；</w:t>
      </w:r>
      <w:r>
        <w:rPr>
          <w:rFonts w:ascii="Time New Roman" w:eastAsia="楷体" w:hAnsi="Time New Roman" w:cstheme="majorBidi"/>
        </w:rPr>
        <w:t>Doe</w:t>
      </w:r>
      <w:r w:rsidRPr="005D2876">
        <w:rPr>
          <w:rFonts w:ascii="Time New Roman" w:eastAsia="楷体" w:hAnsi="Time New Roman" w:cstheme="majorBidi"/>
        </w:rPr>
        <w:t>诉</w:t>
      </w:r>
      <w:r>
        <w:rPr>
          <w:rFonts w:ascii="Time New Roman" w:eastAsia="楷体" w:hAnsi="Time New Roman" w:cstheme="majorBidi"/>
        </w:rPr>
        <w:t>Zedillo</w:t>
      </w:r>
      <w:r>
        <w:rPr>
          <w:rFonts w:ascii="Time New Roman" w:eastAsia="楷体" w:hAnsi="Time New Roman" w:cstheme="majorBidi" w:hint="eastAsia"/>
        </w:rPr>
        <w:t xml:space="preserve"> </w:t>
      </w:r>
      <w:r>
        <w:rPr>
          <w:rFonts w:ascii="Time New Roman" w:eastAsia="楷体" w:hAnsi="Time New Roman" w:cstheme="majorBidi"/>
        </w:rPr>
        <w:t>Ponce</w:t>
      </w:r>
      <w:r>
        <w:rPr>
          <w:rFonts w:ascii="Time New Roman" w:eastAsia="楷体" w:hAnsi="Time New Roman" w:cstheme="majorBidi" w:hint="eastAsia"/>
        </w:rPr>
        <w:t xml:space="preserve"> </w:t>
      </w:r>
      <w:r>
        <w:rPr>
          <w:rFonts w:ascii="Time New Roman" w:eastAsia="楷体" w:hAnsi="Time New Roman" w:cstheme="majorBidi"/>
        </w:rPr>
        <w:t>de</w:t>
      </w:r>
      <w:r>
        <w:rPr>
          <w:rFonts w:ascii="Time New Roman" w:eastAsia="楷体" w:hAnsi="Time New Roman" w:cstheme="majorBidi" w:hint="eastAsia"/>
        </w:rPr>
        <w:t xml:space="preserve"> </w:t>
      </w:r>
      <w:r>
        <w:rPr>
          <w:rFonts w:ascii="Time New Roman" w:eastAsia="楷体" w:hAnsi="Time New Roman" w:cstheme="majorBidi"/>
        </w:rPr>
        <w:t>Le</w:t>
      </w:r>
      <w:r w:rsidRPr="005D2876">
        <w:rPr>
          <w:rFonts w:ascii="Time New Roman" w:eastAsia="楷体" w:hAnsi="Time New Roman" w:cstheme="majorBidi"/>
        </w:rPr>
        <w:t>ó</w:t>
      </w:r>
      <w:r>
        <w:rPr>
          <w:rFonts w:ascii="Time New Roman" w:eastAsia="楷体" w:hAnsi="Time New Roman" w:cstheme="majorBidi"/>
        </w:rPr>
        <w:t>n</w:t>
      </w:r>
      <w:r w:rsidRPr="005D2876">
        <w:rPr>
          <w:rFonts w:ascii="Time New Roman" w:eastAsia="楷体" w:hAnsi="Time New Roman" w:cstheme="majorBidi"/>
        </w:rPr>
        <w:t>；</w:t>
      </w:r>
      <w:r>
        <w:rPr>
          <w:rFonts w:ascii="Time New Roman" w:eastAsia="楷体" w:hAnsi="Time New Roman" w:cstheme="majorBidi"/>
        </w:rPr>
        <w:t>Jim</w:t>
      </w:r>
      <w:r>
        <w:rPr>
          <w:rFonts w:ascii="Time New Roman" w:eastAsia="楷体" w:hAnsi="Time New Roman" w:cstheme="majorBidi" w:hint="eastAsia"/>
        </w:rPr>
        <w:t>e</w:t>
      </w:r>
      <w:r>
        <w:rPr>
          <w:rFonts w:ascii="Time New Roman" w:eastAsia="楷体" w:hAnsi="Time New Roman" w:cstheme="majorBidi"/>
        </w:rPr>
        <w:t>nez</w:t>
      </w:r>
      <w:r w:rsidRPr="005D2876">
        <w:rPr>
          <w:rFonts w:ascii="Time New Roman" w:eastAsia="楷体" w:hAnsi="Time New Roman" w:cstheme="majorBidi"/>
        </w:rPr>
        <w:t>诉</w:t>
      </w:r>
      <w:r>
        <w:rPr>
          <w:rFonts w:ascii="Time New Roman" w:eastAsia="楷体" w:hAnsi="Time New Roman" w:cstheme="majorBidi"/>
        </w:rPr>
        <w:t>Aristeguieta</w:t>
      </w:r>
      <w:r w:rsidRPr="005D2876">
        <w:rPr>
          <w:rFonts w:ascii="Time New Roman" w:eastAsia="楷体" w:hAnsi="Time New Roman" w:cstheme="majorBidi"/>
        </w:rPr>
        <w:t>等</w:t>
      </w:r>
      <w:r>
        <w:rPr>
          <w:rFonts w:asciiTheme="majorBidi" w:eastAsiaTheme="minorEastAsia" w:hAnsiTheme="majorBidi" w:cstheme="majorBidi" w:hint="eastAsia"/>
          <w:iCs/>
        </w:rPr>
        <w:t>，美国上诉法院，第五巡回法庭，</w:t>
      </w:r>
      <w:r>
        <w:t>311</w:t>
      </w:r>
      <w:r w:rsidRPr="005715FC">
        <w:t xml:space="preserve"> </w:t>
      </w:r>
      <w:r>
        <w:t>F</w:t>
      </w:r>
      <w:r w:rsidRPr="005715FC">
        <w:t xml:space="preserve"> </w:t>
      </w:r>
      <w:r>
        <w:t>2d</w:t>
      </w:r>
      <w:r w:rsidRPr="005715FC">
        <w:t xml:space="preserve"> </w:t>
      </w:r>
      <w:r>
        <w:t>547</w:t>
      </w:r>
      <w:r w:rsidRPr="005715FC">
        <w:t xml:space="preserve"> (</w:t>
      </w:r>
      <w:r>
        <w:t>1962</w:t>
      </w:r>
      <w:r w:rsidRPr="005715FC">
        <w:t xml:space="preserve">), </w:t>
      </w:r>
      <w:r>
        <w:t>33</w:t>
      </w:r>
      <w:r w:rsidRPr="005715FC">
        <w:t xml:space="preserve"> </w:t>
      </w:r>
      <w:r>
        <w:t>ILR</w:t>
      </w:r>
      <w:r w:rsidRPr="005715FC">
        <w:t xml:space="preserve"> </w:t>
      </w:r>
      <w:r>
        <w:t>353</w:t>
      </w:r>
      <w:r>
        <w:rPr>
          <w:rFonts w:eastAsiaTheme="minorEastAsia" w:hint="eastAsia"/>
        </w:rPr>
        <w:t>；</w:t>
      </w:r>
      <w:r>
        <w:rPr>
          <w:rFonts w:ascii="Time New Roman" w:eastAsia="楷体" w:hAnsi="Time New Roman" w:cstheme="majorBidi"/>
        </w:rPr>
        <w:t>Jean</w:t>
      </w:r>
      <w:r w:rsidRPr="005D2876">
        <w:rPr>
          <w:rFonts w:ascii="Time New Roman" w:eastAsia="楷体" w:hAnsi="Time New Roman" w:cstheme="majorBidi"/>
        </w:rPr>
        <w:t>-</w:t>
      </w:r>
      <w:r>
        <w:rPr>
          <w:rFonts w:ascii="Time New Roman" w:eastAsia="楷体" w:hAnsi="Time New Roman" w:cstheme="majorBidi"/>
        </w:rPr>
        <w:t>Juste</w:t>
      </w:r>
      <w:r w:rsidRPr="005D2876">
        <w:rPr>
          <w:rFonts w:ascii="Time New Roman" w:eastAsia="楷体" w:hAnsi="Time New Roman" w:cstheme="majorBidi"/>
        </w:rPr>
        <w:t>诉</w:t>
      </w:r>
      <w:r>
        <w:rPr>
          <w:rFonts w:ascii="Time New Roman" w:eastAsia="楷体" w:hAnsi="Time New Roman" w:cstheme="majorBidi"/>
        </w:rPr>
        <w:t>Duvalier</w:t>
      </w:r>
      <w:r w:rsidRPr="00D237F6">
        <w:rPr>
          <w:rFonts w:asciiTheme="majorBidi" w:eastAsiaTheme="minorEastAsia" w:hAnsiTheme="majorBidi" w:cstheme="majorBidi"/>
        </w:rPr>
        <w:t>(</w:t>
      </w:r>
      <w:r>
        <w:rPr>
          <w:rFonts w:asciiTheme="majorBidi" w:eastAsiaTheme="minorEastAsia" w:hAnsiTheme="majorBidi" w:cstheme="majorBidi"/>
        </w:rPr>
        <w:t>1988</w:t>
      </w:r>
      <w:r w:rsidRPr="00D237F6">
        <w:rPr>
          <w:rFonts w:asciiTheme="majorBidi" w:eastAsiaTheme="minorEastAsia" w:hAnsiTheme="majorBidi" w:cstheme="majorBidi"/>
        </w:rPr>
        <w:t>)</w:t>
      </w:r>
      <w:r w:rsidRPr="00D237F6">
        <w:rPr>
          <w:rFonts w:asciiTheme="majorBidi" w:eastAsiaTheme="minorEastAsia" w:hAnsiTheme="majorBidi" w:cstheme="majorBidi"/>
        </w:rPr>
        <w:t>，</w:t>
      </w:r>
      <w:r>
        <w:rPr>
          <w:rFonts w:asciiTheme="majorBidi" w:eastAsiaTheme="minorEastAsia" w:hAnsiTheme="majorBidi" w:cstheme="majorBidi" w:hint="eastAsia"/>
        </w:rPr>
        <w:t xml:space="preserve"> </w:t>
      </w:r>
      <w:r>
        <w:rPr>
          <w:rFonts w:asciiTheme="majorBidi" w:eastAsiaTheme="minorEastAsia" w:hAnsiTheme="majorBidi" w:cstheme="majorBidi" w:hint="eastAsia"/>
        </w:rPr>
        <w:t>第</w:t>
      </w:r>
      <w:r>
        <w:rPr>
          <w:rFonts w:asciiTheme="majorBidi" w:eastAsiaTheme="minorEastAsia" w:hAnsiTheme="majorBidi" w:cstheme="majorBidi"/>
        </w:rPr>
        <w:t>86</w:t>
      </w:r>
      <w:r w:rsidRPr="00D237F6">
        <w:rPr>
          <w:rFonts w:asciiTheme="majorBidi" w:eastAsiaTheme="minorEastAsia" w:hAnsiTheme="majorBidi" w:cstheme="majorBidi"/>
        </w:rPr>
        <w:t>-</w:t>
      </w:r>
      <w:r>
        <w:rPr>
          <w:rFonts w:asciiTheme="majorBidi" w:eastAsiaTheme="minorEastAsia" w:hAnsiTheme="majorBidi" w:cstheme="majorBidi"/>
        </w:rPr>
        <w:t>0459</w:t>
      </w:r>
      <w:r>
        <w:rPr>
          <w:rFonts w:asciiTheme="majorBidi" w:eastAsiaTheme="minorEastAsia" w:hAnsiTheme="majorBidi" w:cstheme="majorBidi" w:hint="eastAsia"/>
        </w:rPr>
        <w:t xml:space="preserve"> </w:t>
      </w:r>
      <w:r>
        <w:rPr>
          <w:rFonts w:asciiTheme="majorBidi" w:eastAsiaTheme="minorEastAsia" w:hAnsiTheme="majorBidi" w:cstheme="majorBidi"/>
        </w:rPr>
        <w:t>Civ</w:t>
      </w:r>
      <w:r w:rsidRPr="00D237F6">
        <w:rPr>
          <w:rFonts w:asciiTheme="majorBidi" w:eastAsiaTheme="minorEastAsia" w:hAnsiTheme="majorBidi" w:cstheme="majorBidi"/>
        </w:rPr>
        <w:t>.</w:t>
      </w:r>
      <w:r>
        <w:rPr>
          <w:rFonts w:asciiTheme="majorBidi" w:eastAsiaTheme="minorEastAsia" w:hAnsiTheme="majorBidi" w:cstheme="majorBidi" w:hint="eastAsia"/>
        </w:rPr>
        <w:t>号案件</w:t>
      </w:r>
      <w:r w:rsidRPr="00D237F6">
        <w:rPr>
          <w:rFonts w:asciiTheme="majorBidi" w:eastAsiaTheme="minorEastAsia" w:hAnsiTheme="majorBidi" w:cstheme="majorBidi"/>
        </w:rPr>
        <w:t>(</w:t>
      </w:r>
      <w:r w:rsidRPr="00D237F6">
        <w:rPr>
          <w:rFonts w:asciiTheme="majorBidi" w:eastAsiaTheme="minorEastAsia" w:hAnsiTheme="majorBidi" w:cstheme="majorBidi"/>
        </w:rPr>
        <w:t>美国地区法院，佛罗里达南部地区，</w:t>
      </w:r>
      <w:r>
        <w:rPr>
          <w:rFonts w:asciiTheme="majorBidi" w:eastAsiaTheme="minorEastAsia" w:hAnsiTheme="majorBidi" w:cstheme="majorBidi"/>
        </w:rPr>
        <w:t>1988</w:t>
      </w:r>
      <w:r w:rsidRPr="00D237F6">
        <w:rPr>
          <w:rFonts w:asciiTheme="majorBidi" w:eastAsiaTheme="minorEastAsia" w:hAnsiTheme="majorBidi" w:cstheme="majorBidi"/>
        </w:rPr>
        <w:t>年</w:t>
      </w:r>
      <w:r>
        <w:rPr>
          <w:rFonts w:asciiTheme="majorBidi" w:eastAsiaTheme="minorEastAsia" w:hAnsiTheme="majorBidi" w:cstheme="majorBidi"/>
        </w:rPr>
        <w:t>1</w:t>
      </w:r>
      <w:r w:rsidRPr="00D237F6">
        <w:rPr>
          <w:rFonts w:asciiTheme="majorBidi" w:eastAsiaTheme="minorEastAsia" w:hAnsiTheme="majorBidi" w:cstheme="majorBidi"/>
        </w:rPr>
        <w:t>月</w:t>
      </w:r>
      <w:r>
        <w:rPr>
          <w:rFonts w:asciiTheme="majorBidi" w:eastAsiaTheme="minorEastAsia" w:hAnsiTheme="majorBidi" w:cstheme="majorBidi"/>
        </w:rPr>
        <w:t>8</w:t>
      </w:r>
      <w:r w:rsidRPr="00D237F6">
        <w:rPr>
          <w:rFonts w:asciiTheme="majorBidi" w:eastAsiaTheme="minorEastAsia" w:hAnsiTheme="majorBidi" w:cstheme="majorBidi"/>
        </w:rPr>
        <w:t>日，《美国国际法杂志》，第</w:t>
      </w:r>
      <w:r>
        <w:rPr>
          <w:rFonts w:asciiTheme="majorBidi" w:eastAsiaTheme="minorEastAsia" w:hAnsiTheme="majorBidi" w:cstheme="majorBidi"/>
        </w:rPr>
        <w:t>82</w:t>
      </w:r>
      <w:r w:rsidRPr="00D237F6">
        <w:rPr>
          <w:rFonts w:asciiTheme="majorBidi" w:eastAsiaTheme="minorEastAsia" w:hAnsiTheme="majorBidi" w:cstheme="majorBidi"/>
        </w:rPr>
        <w:t>卷，第</w:t>
      </w:r>
      <w:r>
        <w:rPr>
          <w:rFonts w:asciiTheme="majorBidi" w:eastAsiaTheme="minorEastAsia" w:hAnsiTheme="majorBidi" w:cstheme="majorBidi"/>
        </w:rPr>
        <w:t>3</w:t>
      </w:r>
      <w:r w:rsidRPr="00D237F6">
        <w:rPr>
          <w:rFonts w:asciiTheme="majorBidi" w:eastAsiaTheme="minorEastAsia" w:hAnsiTheme="majorBidi" w:cstheme="majorBidi"/>
        </w:rPr>
        <w:t>号</w:t>
      </w:r>
      <w:r w:rsidRPr="00D237F6">
        <w:rPr>
          <w:rFonts w:asciiTheme="majorBidi" w:eastAsiaTheme="minorEastAsia" w:hAnsiTheme="majorBidi" w:cstheme="majorBidi"/>
        </w:rPr>
        <w:t>(</w:t>
      </w:r>
      <w:r>
        <w:rPr>
          <w:rFonts w:asciiTheme="majorBidi" w:eastAsiaTheme="minorEastAsia" w:hAnsiTheme="majorBidi" w:cstheme="majorBidi"/>
        </w:rPr>
        <w:t>1988</w:t>
      </w:r>
      <w:r w:rsidRPr="00D237F6">
        <w:rPr>
          <w:rFonts w:asciiTheme="majorBidi" w:eastAsiaTheme="minorEastAsia" w:hAnsiTheme="majorBidi" w:cstheme="majorBidi"/>
        </w:rPr>
        <w:t>)</w:t>
      </w:r>
      <w:r w:rsidRPr="00D237F6">
        <w:rPr>
          <w:rFonts w:asciiTheme="majorBidi" w:eastAsiaTheme="minorEastAsia" w:hAnsiTheme="majorBidi" w:cstheme="majorBidi"/>
        </w:rPr>
        <w:t>，第</w:t>
      </w:r>
      <w:r>
        <w:rPr>
          <w:rFonts w:asciiTheme="majorBidi" w:eastAsiaTheme="minorEastAsia" w:hAnsiTheme="majorBidi" w:cstheme="majorBidi"/>
        </w:rPr>
        <w:t>594</w:t>
      </w:r>
      <w:r w:rsidRPr="00D237F6">
        <w:rPr>
          <w:rFonts w:asciiTheme="majorBidi" w:eastAsiaTheme="minorEastAsia" w:hAnsiTheme="majorBidi" w:cstheme="majorBidi"/>
        </w:rPr>
        <w:t>页；</w:t>
      </w:r>
      <w:r>
        <w:rPr>
          <w:rFonts w:asciiTheme="majorBidi" w:eastAsiaTheme="minorEastAsia" w:hAnsiTheme="majorBidi" w:cstheme="majorBidi"/>
        </w:rPr>
        <w:t>Evgeny</w:t>
      </w:r>
      <w:r>
        <w:rPr>
          <w:rFonts w:asciiTheme="majorBidi" w:eastAsiaTheme="minorEastAsia" w:hAnsiTheme="majorBidi" w:cstheme="majorBidi" w:hint="eastAsia"/>
        </w:rPr>
        <w:t xml:space="preserve"> </w:t>
      </w:r>
      <w:r>
        <w:rPr>
          <w:rFonts w:asciiTheme="majorBidi" w:eastAsiaTheme="minorEastAsia" w:hAnsiTheme="majorBidi" w:cstheme="majorBidi"/>
        </w:rPr>
        <w:t>Adamov</w:t>
      </w:r>
      <w:r w:rsidRPr="00CB40BD">
        <w:rPr>
          <w:rFonts w:ascii="Time New Roman" w:eastAsia="楷体" w:hAnsi="Time New Roman" w:cstheme="majorBidi"/>
        </w:rPr>
        <w:t>诉联邦司法办公室</w:t>
      </w:r>
      <w:r w:rsidRPr="00D237F6">
        <w:rPr>
          <w:rFonts w:asciiTheme="majorBidi" w:eastAsiaTheme="minorEastAsia" w:hAnsiTheme="majorBidi" w:cstheme="majorBidi"/>
        </w:rPr>
        <w:t>，瑞士联邦法庭，</w:t>
      </w:r>
      <w:r>
        <w:rPr>
          <w:rFonts w:asciiTheme="majorBidi" w:eastAsiaTheme="minorEastAsia" w:hAnsiTheme="majorBidi" w:cstheme="majorBidi"/>
        </w:rPr>
        <w:t>2005</w:t>
      </w:r>
      <w:r w:rsidRPr="00D237F6">
        <w:rPr>
          <w:rFonts w:asciiTheme="majorBidi" w:eastAsiaTheme="minorEastAsia" w:hAnsiTheme="majorBidi" w:cstheme="majorBidi"/>
        </w:rPr>
        <w:t>年</w:t>
      </w:r>
      <w:r>
        <w:rPr>
          <w:rFonts w:asciiTheme="majorBidi" w:eastAsiaTheme="minorEastAsia" w:hAnsiTheme="majorBidi" w:cstheme="majorBidi"/>
        </w:rPr>
        <w:t>12</w:t>
      </w:r>
      <w:r w:rsidRPr="00D237F6">
        <w:rPr>
          <w:rFonts w:asciiTheme="majorBidi" w:eastAsiaTheme="minorEastAsia" w:hAnsiTheme="majorBidi" w:cstheme="majorBidi"/>
        </w:rPr>
        <w:t>月</w:t>
      </w:r>
      <w:r>
        <w:rPr>
          <w:rFonts w:asciiTheme="majorBidi" w:eastAsiaTheme="minorEastAsia" w:hAnsiTheme="majorBidi" w:cstheme="majorBidi"/>
        </w:rPr>
        <w:t>22</w:t>
      </w:r>
      <w:r w:rsidRPr="00D237F6">
        <w:rPr>
          <w:rFonts w:asciiTheme="majorBidi" w:eastAsiaTheme="minorEastAsia" w:hAnsiTheme="majorBidi" w:cstheme="majorBidi"/>
        </w:rPr>
        <w:t>日的判决</w:t>
      </w:r>
      <w:r w:rsidRPr="00D237F6">
        <w:rPr>
          <w:rFonts w:asciiTheme="majorBidi" w:eastAsiaTheme="minorEastAsia" w:hAnsiTheme="majorBidi" w:cstheme="majorBidi"/>
        </w:rPr>
        <w:t>(</w:t>
      </w:r>
      <w:r>
        <w:rPr>
          <w:rFonts w:asciiTheme="majorBidi" w:eastAsiaTheme="minorEastAsia" w:hAnsiTheme="majorBidi" w:cstheme="majorBidi"/>
        </w:rPr>
        <w:t>1A</w:t>
      </w:r>
      <w:r>
        <w:rPr>
          <w:rFonts w:asciiTheme="majorBidi" w:eastAsiaTheme="minorEastAsia" w:hAnsiTheme="majorBidi" w:cstheme="majorBidi" w:hint="eastAsia"/>
        </w:rPr>
        <w:t xml:space="preserve"> </w:t>
      </w:r>
      <w:r>
        <w:rPr>
          <w:rFonts w:asciiTheme="majorBidi" w:eastAsiaTheme="minorEastAsia" w:hAnsiTheme="majorBidi" w:cstheme="majorBidi"/>
        </w:rPr>
        <w:t>288</w:t>
      </w:r>
      <w:r w:rsidRPr="00D237F6">
        <w:rPr>
          <w:rFonts w:asciiTheme="majorBidi" w:eastAsiaTheme="minorEastAsia" w:hAnsiTheme="majorBidi" w:cstheme="majorBidi"/>
        </w:rPr>
        <w:t>/</w:t>
      </w:r>
      <w:r>
        <w:rPr>
          <w:rFonts w:asciiTheme="majorBidi" w:eastAsiaTheme="minorEastAsia" w:hAnsiTheme="majorBidi" w:cstheme="majorBidi"/>
        </w:rPr>
        <w:t>2005</w:t>
      </w:r>
      <w:r w:rsidRPr="00D237F6">
        <w:rPr>
          <w:rFonts w:asciiTheme="majorBidi" w:eastAsiaTheme="minorEastAsia" w:hAnsiTheme="majorBidi" w:cstheme="majorBidi"/>
        </w:rPr>
        <w:t>)(</w:t>
      </w:r>
      <w:r w:rsidRPr="00D237F6">
        <w:rPr>
          <w:rFonts w:asciiTheme="majorBidi" w:eastAsiaTheme="minorEastAsia" w:hAnsiTheme="majorBidi" w:cstheme="majorBidi"/>
        </w:rPr>
        <w:t>可查阅：</w:t>
      </w:r>
      <w:hyperlink r:id="rId332" w:history="1">
        <w:r>
          <w:rPr>
            <w:rFonts w:asciiTheme="majorBidi" w:eastAsiaTheme="minorEastAsia" w:hAnsiTheme="majorBidi" w:cstheme="majorBidi"/>
          </w:rPr>
          <w:t>http:</w:t>
        </w:r>
        <w:r w:rsidRPr="00D237F6">
          <w:rPr>
            <w:rFonts w:asciiTheme="majorBidi" w:eastAsiaTheme="minorEastAsia" w:hAnsiTheme="majorBidi" w:cstheme="majorBidi"/>
          </w:rPr>
          <w:t>//</w:t>
        </w:r>
        <w:r>
          <w:rPr>
            <w:rFonts w:asciiTheme="majorBidi" w:eastAsiaTheme="minorEastAsia" w:hAnsiTheme="majorBidi" w:cstheme="majorBidi"/>
          </w:rPr>
          <w:t>opil</w:t>
        </w:r>
        <w:r w:rsidRPr="00D237F6">
          <w:rPr>
            <w:rFonts w:asciiTheme="majorBidi" w:eastAsiaTheme="minorEastAsia" w:hAnsiTheme="majorBidi" w:cstheme="majorBidi"/>
          </w:rPr>
          <w:t>.</w:t>
        </w:r>
        <w:r>
          <w:rPr>
            <w:rFonts w:asciiTheme="majorBidi" w:eastAsiaTheme="minorEastAsia" w:hAnsiTheme="majorBidi" w:cstheme="majorBidi"/>
          </w:rPr>
          <w:t>ouplaw</w:t>
        </w:r>
        <w:r w:rsidRPr="00D237F6">
          <w:rPr>
            <w:rFonts w:asciiTheme="majorBidi" w:eastAsiaTheme="minorEastAsia" w:hAnsiTheme="majorBidi" w:cstheme="majorBidi"/>
          </w:rPr>
          <w:t>.</w:t>
        </w:r>
        <w:r>
          <w:rPr>
            <w:rFonts w:asciiTheme="majorBidi" w:eastAsiaTheme="minorEastAsia" w:hAnsiTheme="majorBidi" w:cstheme="majorBidi"/>
          </w:rPr>
          <w:t>com</w:t>
        </w:r>
      </w:hyperlink>
      <w:r w:rsidRPr="00D237F6">
        <w:rPr>
          <w:rFonts w:asciiTheme="majorBidi" w:eastAsiaTheme="minorEastAsia" w:hAnsiTheme="majorBidi" w:cstheme="majorBidi"/>
        </w:rPr>
        <w:t>，</w:t>
      </w:r>
      <w:r>
        <w:rPr>
          <w:rFonts w:asciiTheme="majorBidi" w:eastAsiaTheme="minorEastAsia" w:hAnsiTheme="majorBidi" w:cstheme="majorBidi"/>
          <w:i/>
          <w:iCs/>
        </w:rPr>
        <w:t>International</w:t>
      </w:r>
      <w:r w:rsidRPr="00AE0A97">
        <w:rPr>
          <w:rFonts w:asciiTheme="majorBidi" w:eastAsiaTheme="minorEastAsia" w:hAnsiTheme="majorBidi" w:cstheme="majorBidi"/>
          <w:i/>
          <w:iCs/>
        </w:rPr>
        <w:t xml:space="preserve"> </w:t>
      </w:r>
      <w:r>
        <w:rPr>
          <w:rFonts w:asciiTheme="majorBidi" w:eastAsiaTheme="minorEastAsia" w:hAnsiTheme="majorBidi" w:cstheme="majorBidi"/>
          <w:i/>
          <w:iCs/>
        </w:rPr>
        <w:t>Law</w:t>
      </w:r>
      <w:r w:rsidRPr="00AE0A97">
        <w:rPr>
          <w:rFonts w:asciiTheme="majorBidi" w:eastAsiaTheme="minorEastAsia" w:hAnsiTheme="majorBidi" w:cstheme="majorBidi"/>
          <w:i/>
          <w:iCs/>
        </w:rPr>
        <w:t xml:space="preserve"> </w:t>
      </w:r>
      <w:r>
        <w:rPr>
          <w:rFonts w:asciiTheme="majorBidi" w:eastAsiaTheme="minorEastAsia" w:hAnsiTheme="majorBidi" w:cstheme="majorBidi"/>
          <w:i/>
          <w:iCs/>
        </w:rPr>
        <w:t>in</w:t>
      </w:r>
      <w:r w:rsidRPr="00AE0A97">
        <w:rPr>
          <w:rFonts w:asciiTheme="majorBidi" w:eastAsiaTheme="minorEastAsia" w:hAnsiTheme="majorBidi" w:cstheme="majorBidi"/>
          <w:i/>
          <w:iCs/>
        </w:rPr>
        <w:t xml:space="preserve"> </w:t>
      </w:r>
      <w:r>
        <w:rPr>
          <w:rFonts w:asciiTheme="majorBidi" w:eastAsiaTheme="minorEastAsia" w:hAnsiTheme="majorBidi" w:cstheme="majorBidi"/>
          <w:i/>
          <w:iCs/>
        </w:rPr>
        <w:t>Domestic</w:t>
      </w:r>
      <w:r w:rsidRPr="00AE0A97">
        <w:rPr>
          <w:rFonts w:asciiTheme="majorBidi" w:eastAsiaTheme="minorEastAsia" w:hAnsiTheme="majorBidi" w:cstheme="majorBidi"/>
          <w:i/>
          <w:iCs/>
        </w:rPr>
        <w:t xml:space="preserve"> </w:t>
      </w:r>
      <w:r>
        <w:rPr>
          <w:rFonts w:asciiTheme="majorBidi" w:eastAsiaTheme="minorEastAsia" w:hAnsiTheme="majorBidi" w:cstheme="majorBidi"/>
          <w:i/>
          <w:iCs/>
        </w:rPr>
        <w:t>Courts</w:t>
      </w:r>
      <w:r w:rsidRPr="00AE0A97">
        <w:rPr>
          <w:rFonts w:asciiTheme="majorBidi" w:eastAsiaTheme="minorEastAsia" w:hAnsiTheme="majorBidi" w:cstheme="majorBidi"/>
          <w:i/>
          <w:iCs/>
        </w:rPr>
        <w:t xml:space="preserve"> </w:t>
      </w:r>
      <w:r w:rsidRPr="00AE0A97">
        <w:rPr>
          <w:rFonts w:asciiTheme="majorBidi" w:eastAsiaTheme="minorEastAsia" w:hAnsiTheme="majorBidi" w:cstheme="majorBidi"/>
        </w:rPr>
        <w:t>[</w:t>
      </w:r>
      <w:r>
        <w:rPr>
          <w:rFonts w:asciiTheme="majorBidi" w:eastAsiaTheme="minorEastAsia" w:hAnsiTheme="majorBidi" w:cstheme="majorBidi"/>
        </w:rPr>
        <w:t>ILDC</w:t>
      </w:r>
      <w:r w:rsidRPr="00AE0A97">
        <w:rPr>
          <w:rFonts w:asciiTheme="majorBidi" w:eastAsiaTheme="minorEastAsia" w:hAnsiTheme="majorBidi" w:cstheme="majorBidi"/>
        </w:rPr>
        <w:t xml:space="preserve"> </w:t>
      </w:r>
      <w:r>
        <w:rPr>
          <w:rFonts w:asciiTheme="majorBidi" w:eastAsiaTheme="minorEastAsia" w:hAnsiTheme="majorBidi" w:cstheme="majorBidi"/>
        </w:rPr>
        <w:t>339</w:t>
      </w:r>
      <w:r w:rsidRPr="00AE0A97">
        <w:rPr>
          <w:rFonts w:asciiTheme="majorBidi" w:eastAsiaTheme="minorEastAsia" w:hAnsiTheme="majorBidi" w:cstheme="majorBidi"/>
        </w:rPr>
        <w:t xml:space="preserve"> (</w:t>
      </w:r>
      <w:r>
        <w:rPr>
          <w:rFonts w:asciiTheme="majorBidi" w:eastAsiaTheme="minorEastAsia" w:hAnsiTheme="majorBidi" w:cstheme="majorBidi"/>
        </w:rPr>
        <w:t>CH</w:t>
      </w:r>
      <w:r w:rsidRPr="00AE0A97">
        <w:rPr>
          <w:rFonts w:asciiTheme="majorBidi" w:eastAsiaTheme="minorEastAsia" w:hAnsiTheme="majorBidi" w:cstheme="majorBidi"/>
        </w:rPr>
        <w:t xml:space="preserve"> </w:t>
      </w:r>
      <w:r>
        <w:rPr>
          <w:rFonts w:asciiTheme="majorBidi" w:eastAsiaTheme="minorEastAsia" w:hAnsiTheme="majorBidi" w:cstheme="majorBidi"/>
        </w:rPr>
        <w:t>2005</w:t>
      </w:r>
      <w:r w:rsidRPr="00AE0A97">
        <w:rPr>
          <w:rFonts w:asciiTheme="majorBidi" w:eastAsiaTheme="minorEastAsia" w:hAnsiTheme="majorBidi" w:cstheme="majorBidi"/>
        </w:rPr>
        <w:t>)]</w:t>
      </w:r>
      <w:r w:rsidRPr="00D237F6">
        <w:rPr>
          <w:rFonts w:asciiTheme="majorBidi" w:eastAsiaTheme="minorEastAsia" w:hAnsiTheme="majorBidi" w:cstheme="majorBidi"/>
        </w:rPr>
        <w:t>；</w:t>
      </w:r>
      <w:r w:rsidRPr="005D2876">
        <w:rPr>
          <w:rFonts w:ascii="Time New Roman" w:eastAsia="楷体" w:hAnsi="Time New Roman" w:cstheme="majorBidi"/>
        </w:rPr>
        <w:t>菲律宾共和国诉马科斯</w:t>
      </w:r>
      <w:r w:rsidRPr="005D2876">
        <w:rPr>
          <w:rFonts w:ascii="宋体" w:hAnsi="宋体" w:cs="宋体" w:hint="eastAsia"/>
        </w:rPr>
        <w:t>等</w:t>
      </w:r>
      <w:r w:rsidRPr="005D2876">
        <w:rPr>
          <w:rFonts w:ascii="Time New Roman" w:eastAsia="楷体" w:hAnsi="Time New Roman" w:cstheme="majorBidi"/>
        </w:rPr>
        <w:t>，</w:t>
      </w:r>
      <w:r w:rsidRPr="00D237F6">
        <w:rPr>
          <w:rFonts w:asciiTheme="majorBidi" w:eastAsiaTheme="minorEastAsia" w:hAnsiTheme="majorBidi" w:cstheme="majorBidi"/>
        </w:rPr>
        <w:t>美国上诉法院，第二巡回法庭，</w:t>
      </w:r>
      <w:r>
        <w:rPr>
          <w:rFonts w:asciiTheme="majorBidi" w:eastAsiaTheme="minorEastAsia" w:hAnsiTheme="majorBidi" w:cstheme="majorBidi"/>
        </w:rPr>
        <w:t>1986</w:t>
      </w:r>
      <w:r w:rsidRPr="00D237F6">
        <w:rPr>
          <w:rFonts w:asciiTheme="majorBidi" w:eastAsiaTheme="minorEastAsia" w:hAnsiTheme="majorBidi" w:cstheme="majorBidi"/>
        </w:rPr>
        <w:t>年</w:t>
      </w:r>
      <w:r>
        <w:rPr>
          <w:rFonts w:asciiTheme="majorBidi" w:eastAsiaTheme="minorEastAsia" w:hAnsiTheme="majorBidi" w:cstheme="majorBidi"/>
        </w:rPr>
        <w:t>11</w:t>
      </w:r>
      <w:r w:rsidRPr="00D237F6">
        <w:rPr>
          <w:rFonts w:asciiTheme="majorBidi" w:eastAsiaTheme="minorEastAsia" w:hAnsiTheme="majorBidi" w:cstheme="majorBidi"/>
        </w:rPr>
        <w:t>月</w:t>
      </w:r>
      <w:r>
        <w:rPr>
          <w:rFonts w:asciiTheme="majorBidi" w:eastAsiaTheme="minorEastAsia" w:hAnsiTheme="majorBidi" w:cstheme="majorBidi"/>
        </w:rPr>
        <w:t>26</w:t>
      </w:r>
      <w:r w:rsidRPr="00D237F6">
        <w:rPr>
          <w:rFonts w:asciiTheme="majorBidi" w:eastAsiaTheme="minorEastAsia" w:hAnsiTheme="majorBidi" w:cstheme="majorBidi"/>
        </w:rPr>
        <w:t>日，《国际法案例汇编》，第</w:t>
      </w:r>
      <w:r>
        <w:rPr>
          <w:rFonts w:asciiTheme="majorBidi" w:eastAsiaTheme="minorEastAsia" w:hAnsiTheme="majorBidi" w:cstheme="majorBidi"/>
        </w:rPr>
        <w:t>81</w:t>
      </w:r>
      <w:r w:rsidRPr="00D237F6">
        <w:rPr>
          <w:rFonts w:asciiTheme="majorBidi" w:eastAsiaTheme="minorEastAsia" w:hAnsiTheme="majorBidi" w:cstheme="majorBidi"/>
        </w:rPr>
        <w:t>卷，第</w:t>
      </w:r>
      <w:r>
        <w:rPr>
          <w:rFonts w:asciiTheme="majorBidi" w:eastAsiaTheme="minorEastAsia" w:hAnsiTheme="majorBidi" w:cstheme="majorBidi"/>
        </w:rPr>
        <w:t>581</w:t>
      </w:r>
      <w:r w:rsidRPr="00D237F6">
        <w:rPr>
          <w:rFonts w:asciiTheme="majorBidi" w:eastAsiaTheme="minorEastAsia" w:hAnsiTheme="majorBidi" w:cstheme="majorBidi"/>
        </w:rPr>
        <w:t>页；</w:t>
      </w:r>
      <w:r w:rsidRPr="005D2876">
        <w:rPr>
          <w:rFonts w:ascii="Time New Roman" w:eastAsia="楷体" w:hAnsi="Time New Roman" w:cstheme="majorBidi"/>
        </w:rPr>
        <w:t>菲律宾共和国诉马科斯</w:t>
      </w:r>
      <w:r w:rsidRPr="00D237F6">
        <w:rPr>
          <w:rFonts w:asciiTheme="majorBidi" w:eastAsiaTheme="minorEastAsia" w:hAnsiTheme="majorBidi" w:cstheme="majorBidi"/>
        </w:rPr>
        <w:t>等</w:t>
      </w:r>
      <w:r w:rsidRPr="00D237F6">
        <w:rPr>
          <w:rFonts w:asciiTheme="majorBidi" w:eastAsiaTheme="minorEastAsia" w:hAnsiTheme="majorBidi" w:cstheme="majorBidi"/>
        </w:rPr>
        <w:t>(</w:t>
      </w:r>
      <w:r w:rsidRPr="00D237F6">
        <w:rPr>
          <w:rFonts w:asciiTheme="majorBidi" w:eastAsiaTheme="minorEastAsia" w:hAnsiTheme="majorBidi" w:cstheme="majorBidi"/>
        </w:rPr>
        <w:t>第</w:t>
      </w:r>
      <w:r>
        <w:rPr>
          <w:rFonts w:asciiTheme="majorBidi" w:eastAsiaTheme="minorEastAsia" w:hAnsiTheme="majorBidi" w:cstheme="majorBidi"/>
        </w:rPr>
        <w:t>2</w:t>
      </w:r>
      <w:r w:rsidRPr="00D237F6">
        <w:rPr>
          <w:rFonts w:asciiTheme="majorBidi" w:eastAsiaTheme="minorEastAsia" w:hAnsiTheme="majorBidi" w:cstheme="majorBidi"/>
        </w:rPr>
        <w:t>号</w:t>
      </w:r>
      <w:r w:rsidRPr="00D237F6">
        <w:rPr>
          <w:rFonts w:asciiTheme="majorBidi" w:eastAsiaTheme="minorEastAsia" w:hAnsiTheme="majorBidi" w:cstheme="majorBidi"/>
        </w:rPr>
        <w:t>)</w:t>
      </w:r>
      <w:r w:rsidRPr="00D237F6">
        <w:rPr>
          <w:rFonts w:asciiTheme="majorBidi" w:eastAsiaTheme="minorEastAsia" w:hAnsiTheme="majorBidi" w:cstheme="majorBidi"/>
        </w:rPr>
        <w:t>，美国上诉法院，第九巡回法庭，</w:t>
      </w:r>
      <w:r>
        <w:rPr>
          <w:rFonts w:asciiTheme="majorBidi" w:eastAsiaTheme="minorEastAsia" w:hAnsiTheme="majorBidi" w:cstheme="majorBidi"/>
        </w:rPr>
        <w:t>1987</w:t>
      </w:r>
      <w:r w:rsidRPr="00D237F6">
        <w:rPr>
          <w:rFonts w:asciiTheme="majorBidi" w:eastAsiaTheme="minorEastAsia" w:hAnsiTheme="majorBidi" w:cstheme="majorBidi"/>
        </w:rPr>
        <w:t>年</w:t>
      </w:r>
      <w:r>
        <w:rPr>
          <w:rFonts w:asciiTheme="majorBidi" w:eastAsiaTheme="minorEastAsia" w:hAnsiTheme="majorBidi" w:cstheme="majorBidi"/>
        </w:rPr>
        <w:t>6</w:t>
      </w:r>
      <w:r w:rsidRPr="00D237F6">
        <w:rPr>
          <w:rFonts w:asciiTheme="majorBidi" w:eastAsiaTheme="minorEastAsia" w:hAnsiTheme="majorBidi" w:cstheme="majorBidi"/>
        </w:rPr>
        <w:t>月</w:t>
      </w:r>
      <w:r>
        <w:rPr>
          <w:rFonts w:asciiTheme="majorBidi" w:eastAsiaTheme="minorEastAsia" w:hAnsiTheme="majorBidi" w:cstheme="majorBidi"/>
        </w:rPr>
        <w:t>4</w:t>
      </w:r>
      <w:r w:rsidRPr="00D237F6">
        <w:rPr>
          <w:rFonts w:asciiTheme="majorBidi" w:eastAsiaTheme="minorEastAsia" w:hAnsiTheme="majorBidi" w:cstheme="majorBidi"/>
        </w:rPr>
        <w:t>日和</w:t>
      </w:r>
      <w:r>
        <w:rPr>
          <w:rFonts w:asciiTheme="majorBidi" w:eastAsiaTheme="minorEastAsia" w:hAnsiTheme="majorBidi" w:cstheme="majorBidi"/>
        </w:rPr>
        <w:t>1988</w:t>
      </w:r>
      <w:r w:rsidRPr="00D237F6">
        <w:rPr>
          <w:rFonts w:asciiTheme="majorBidi" w:eastAsiaTheme="minorEastAsia" w:hAnsiTheme="majorBidi" w:cstheme="majorBidi"/>
        </w:rPr>
        <w:t>年</w:t>
      </w:r>
      <w:r>
        <w:rPr>
          <w:rFonts w:asciiTheme="majorBidi" w:eastAsiaTheme="minorEastAsia" w:hAnsiTheme="majorBidi" w:cstheme="majorBidi"/>
        </w:rPr>
        <w:t>12</w:t>
      </w:r>
      <w:r w:rsidRPr="00D237F6">
        <w:rPr>
          <w:rFonts w:asciiTheme="majorBidi" w:eastAsiaTheme="minorEastAsia" w:hAnsiTheme="majorBidi" w:cstheme="majorBidi"/>
        </w:rPr>
        <w:t>月</w:t>
      </w:r>
      <w:r>
        <w:rPr>
          <w:rFonts w:asciiTheme="majorBidi" w:eastAsiaTheme="minorEastAsia" w:hAnsiTheme="majorBidi" w:cstheme="majorBidi"/>
        </w:rPr>
        <w:t>1</w:t>
      </w:r>
      <w:r w:rsidRPr="00D237F6">
        <w:rPr>
          <w:rFonts w:asciiTheme="majorBidi" w:eastAsiaTheme="minorEastAsia" w:hAnsiTheme="majorBidi" w:cstheme="majorBidi"/>
        </w:rPr>
        <w:t>日，《国际法案例汇编》，第</w:t>
      </w:r>
      <w:r>
        <w:rPr>
          <w:rFonts w:asciiTheme="majorBidi" w:eastAsiaTheme="minorEastAsia" w:hAnsiTheme="majorBidi" w:cstheme="majorBidi"/>
        </w:rPr>
        <w:t>81</w:t>
      </w:r>
      <w:r w:rsidRPr="00D237F6">
        <w:rPr>
          <w:rFonts w:asciiTheme="majorBidi" w:eastAsiaTheme="minorEastAsia" w:hAnsiTheme="majorBidi" w:cstheme="majorBidi"/>
        </w:rPr>
        <w:t>卷，第</w:t>
      </w:r>
      <w:r>
        <w:rPr>
          <w:rFonts w:asciiTheme="majorBidi" w:eastAsiaTheme="minorEastAsia" w:hAnsiTheme="majorBidi" w:cstheme="majorBidi"/>
        </w:rPr>
        <w:t>608</w:t>
      </w:r>
      <w:r w:rsidRPr="00D237F6">
        <w:rPr>
          <w:rFonts w:asciiTheme="majorBidi" w:eastAsiaTheme="minorEastAsia" w:hAnsiTheme="majorBidi" w:cstheme="majorBidi"/>
        </w:rPr>
        <w:t>页；</w:t>
      </w:r>
      <w:r w:rsidRPr="005D2876">
        <w:rPr>
          <w:rFonts w:ascii="Time New Roman" w:eastAsia="楷体" w:hAnsi="Time New Roman" w:cstheme="majorBidi"/>
        </w:rPr>
        <w:t>海地共和国等诉杜瓦利埃等</w:t>
      </w:r>
      <w:r w:rsidRPr="00D237F6">
        <w:rPr>
          <w:rFonts w:asciiTheme="majorBidi" w:eastAsiaTheme="minorEastAsia" w:hAnsiTheme="majorBidi" w:cstheme="majorBidi"/>
        </w:rPr>
        <w:t>，</w:t>
      </w:r>
      <w:r w:rsidRPr="00D237F6">
        <w:rPr>
          <w:rFonts w:asciiTheme="majorBidi" w:eastAsiaTheme="minorEastAsia" w:hAnsiTheme="majorBidi" w:cstheme="majorBidi"/>
        </w:rPr>
        <w:t>[</w:t>
      </w:r>
      <w:r>
        <w:rPr>
          <w:rFonts w:asciiTheme="majorBidi" w:eastAsiaTheme="minorEastAsia" w:hAnsiTheme="majorBidi" w:cstheme="majorBidi"/>
        </w:rPr>
        <w:t>1990</w:t>
      </w:r>
      <w:r w:rsidRPr="00D237F6">
        <w:rPr>
          <w:rFonts w:asciiTheme="majorBidi" w:eastAsiaTheme="minorEastAsia" w:hAnsiTheme="majorBidi" w:cstheme="majorBidi"/>
        </w:rPr>
        <w:t>]</w:t>
      </w:r>
      <w:r>
        <w:rPr>
          <w:rFonts w:asciiTheme="majorBidi" w:eastAsiaTheme="minorEastAsia" w:hAnsiTheme="majorBidi" w:cstheme="majorBidi" w:hint="eastAsia"/>
        </w:rPr>
        <w:t xml:space="preserve"> </w:t>
      </w:r>
      <w:r>
        <w:rPr>
          <w:rFonts w:asciiTheme="majorBidi" w:eastAsiaTheme="minorEastAsia" w:hAnsiTheme="majorBidi" w:cstheme="majorBidi"/>
        </w:rPr>
        <w:t>1</w:t>
      </w:r>
      <w:r>
        <w:rPr>
          <w:rFonts w:asciiTheme="majorBidi" w:eastAsiaTheme="minorEastAsia" w:hAnsiTheme="majorBidi" w:cstheme="majorBidi" w:hint="eastAsia"/>
        </w:rPr>
        <w:t xml:space="preserve"> </w:t>
      </w:r>
      <w:r>
        <w:rPr>
          <w:rFonts w:asciiTheme="majorBidi" w:eastAsiaTheme="minorEastAsia" w:hAnsiTheme="majorBidi" w:cstheme="majorBidi"/>
        </w:rPr>
        <w:t>QB</w:t>
      </w:r>
      <w:r>
        <w:rPr>
          <w:rFonts w:asciiTheme="majorBidi" w:eastAsiaTheme="minorEastAsia" w:hAnsiTheme="majorBidi" w:cstheme="majorBidi" w:hint="eastAsia"/>
        </w:rPr>
        <w:t xml:space="preserve"> </w:t>
      </w:r>
      <w:r>
        <w:rPr>
          <w:rFonts w:asciiTheme="majorBidi" w:eastAsiaTheme="minorEastAsia" w:hAnsiTheme="majorBidi" w:cstheme="majorBidi"/>
        </w:rPr>
        <w:t>2002</w:t>
      </w:r>
      <w:r w:rsidRPr="00D237F6">
        <w:rPr>
          <w:rFonts w:asciiTheme="majorBidi" w:eastAsiaTheme="minorEastAsia" w:hAnsiTheme="majorBidi" w:cstheme="majorBidi"/>
        </w:rPr>
        <w:t>(</w:t>
      </w:r>
      <w:r w:rsidRPr="00D237F6">
        <w:rPr>
          <w:rFonts w:asciiTheme="majorBidi" w:eastAsiaTheme="minorEastAsia" w:hAnsiTheme="majorBidi" w:cstheme="majorBidi"/>
        </w:rPr>
        <w:t>联合王国</w:t>
      </w:r>
      <w:r w:rsidRPr="00D237F6">
        <w:rPr>
          <w:rFonts w:asciiTheme="majorBidi" w:eastAsiaTheme="minorEastAsia" w:hAnsiTheme="majorBidi" w:cstheme="majorBidi"/>
        </w:rPr>
        <w:t>)</w:t>
      </w:r>
      <w:r w:rsidRPr="00D237F6">
        <w:rPr>
          <w:rFonts w:asciiTheme="majorBidi" w:eastAsiaTheme="minorEastAsia" w:hAnsiTheme="majorBidi" w:cstheme="majorBidi"/>
        </w:rPr>
        <w:t>，《国际法案例汇编》，第</w:t>
      </w:r>
      <w:r>
        <w:rPr>
          <w:rFonts w:asciiTheme="majorBidi" w:eastAsiaTheme="minorEastAsia" w:hAnsiTheme="majorBidi" w:cstheme="majorBidi"/>
        </w:rPr>
        <w:t>107</w:t>
      </w:r>
      <w:r w:rsidRPr="00D237F6">
        <w:rPr>
          <w:rFonts w:asciiTheme="majorBidi" w:eastAsiaTheme="minorEastAsia" w:hAnsiTheme="majorBidi" w:cstheme="majorBidi"/>
        </w:rPr>
        <w:t>卷，第</w:t>
      </w:r>
      <w:r>
        <w:rPr>
          <w:rFonts w:asciiTheme="majorBidi" w:eastAsiaTheme="minorEastAsia" w:hAnsiTheme="majorBidi" w:cstheme="majorBidi"/>
        </w:rPr>
        <w:t>491</w:t>
      </w:r>
      <w:r w:rsidRPr="00D237F6">
        <w:rPr>
          <w:rFonts w:asciiTheme="majorBidi" w:eastAsiaTheme="minorEastAsia" w:hAnsiTheme="majorBidi" w:cstheme="majorBidi"/>
        </w:rPr>
        <w:t>页</w:t>
      </w:r>
      <w:r>
        <w:rPr>
          <w:rFonts w:asciiTheme="majorBidi" w:eastAsiaTheme="minorEastAsia" w:hAnsiTheme="majorBidi" w:cstheme="majorBidi" w:hint="eastAsia"/>
        </w:rPr>
        <w:t>。</w:t>
      </w:r>
    </w:p>
  </w:footnote>
  <w:footnote w:id="1435">
    <w:p w:rsidR="00AB00DE" w:rsidRPr="00D237F6" w:rsidRDefault="00AB00DE" w:rsidP="00334F8C">
      <w:pPr>
        <w:pStyle w:val="a4"/>
        <w:spacing w:after="80"/>
        <w:rPr>
          <w:rFonts w:asciiTheme="majorBidi" w:eastAsiaTheme="minorEastAsia" w:hAnsiTheme="majorBidi" w:cstheme="majorBidi"/>
        </w:rPr>
      </w:pPr>
      <w:r>
        <w:rPr>
          <w:rStyle w:val="a5"/>
          <w:rFonts w:asciiTheme="majorBidi" w:eastAsiaTheme="minorEastAsia" w:hAnsiTheme="majorBidi" w:cstheme="majorBidi"/>
        </w:rPr>
        <w:tab/>
      </w:r>
      <w:r w:rsidRPr="003D3D39">
        <w:rPr>
          <w:rStyle w:val="a5"/>
          <w:rFonts w:eastAsiaTheme="minorEastAsia" w:cstheme="majorBidi"/>
        </w:rPr>
        <w:footnoteRef/>
      </w:r>
      <w:r>
        <w:rPr>
          <w:rStyle w:val="a5"/>
          <w:rFonts w:asciiTheme="majorBidi" w:eastAsiaTheme="minorEastAsia" w:hAnsiTheme="majorBidi" w:cstheme="majorBidi"/>
        </w:rPr>
        <w:tab/>
      </w:r>
      <w:r>
        <w:rPr>
          <w:rFonts w:ascii="Time New Roman" w:eastAsia="楷体" w:hAnsi="Time New Roman" w:cstheme="majorBidi"/>
        </w:rPr>
        <w:t>Regina</w:t>
      </w:r>
      <w:r w:rsidRPr="005D2876">
        <w:rPr>
          <w:rFonts w:ascii="Time New Roman" w:eastAsia="楷体" w:hAnsi="Time New Roman" w:cstheme="majorBidi"/>
        </w:rPr>
        <w:t>诉</w:t>
      </w:r>
      <w:r>
        <w:rPr>
          <w:rFonts w:ascii="Time New Roman" w:eastAsia="楷体" w:hAnsi="Time New Roman" w:cstheme="majorBidi"/>
        </w:rPr>
        <w:t>Bow</w:t>
      </w:r>
      <w:r>
        <w:rPr>
          <w:rFonts w:ascii="Time New Roman" w:eastAsia="楷体" w:hAnsi="Time New Roman" w:cstheme="majorBidi" w:hint="eastAsia"/>
        </w:rPr>
        <w:t xml:space="preserve"> </w:t>
      </w:r>
      <w:r>
        <w:rPr>
          <w:rFonts w:ascii="Time New Roman" w:eastAsia="楷体" w:hAnsi="Time New Roman" w:cstheme="majorBidi"/>
        </w:rPr>
        <w:t>Street</w:t>
      </w:r>
      <w:r w:rsidRPr="005D2876">
        <w:rPr>
          <w:rFonts w:ascii="Time New Roman" w:eastAsia="楷体" w:hAnsi="Time New Roman" w:cstheme="majorBidi"/>
        </w:rPr>
        <w:t>都市领薪专职治安官，皮诺切特</w:t>
      </w:r>
      <w:r>
        <w:rPr>
          <w:rFonts w:hint="eastAsia"/>
        </w:rPr>
        <w:t>·</w:t>
      </w:r>
      <w:r w:rsidRPr="005D2876">
        <w:rPr>
          <w:rFonts w:ascii="Time New Roman" w:eastAsia="楷体" w:hAnsi="Time New Roman" w:cstheme="majorBidi"/>
        </w:rPr>
        <w:t>乌加特缺席</w:t>
      </w:r>
      <w:r w:rsidRPr="005D2876">
        <w:rPr>
          <w:rFonts w:ascii="Time New Roman" w:eastAsia="楷体" w:hAnsi="Time New Roman" w:cstheme="majorBidi"/>
        </w:rPr>
        <w:t>(</w:t>
      </w:r>
      <w:r w:rsidRPr="005D2876">
        <w:rPr>
          <w:rFonts w:ascii="Time New Roman" w:eastAsia="楷体" w:hAnsi="Time New Roman" w:cstheme="majorBidi"/>
        </w:rPr>
        <w:t>第</w:t>
      </w:r>
      <w:r>
        <w:rPr>
          <w:rFonts w:ascii="Time New Roman" w:eastAsia="楷体" w:hAnsi="Time New Roman" w:cstheme="majorBidi"/>
        </w:rPr>
        <w:t>3</w:t>
      </w:r>
      <w:r w:rsidRPr="005D2876">
        <w:rPr>
          <w:rFonts w:ascii="Time New Roman" w:eastAsia="楷体" w:hAnsi="Time New Roman" w:cstheme="majorBidi"/>
        </w:rPr>
        <w:t>号</w:t>
      </w:r>
      <w:r w:rsidRPr="005D2876">
        <w:rPr>
          <w:rFonts w:ascii="Time New Roman" w:eastAsia="楷体" w:hAnsi="Time New Roman" w:cstheme="majorBidi"/>
        </w:rPr>
        <w:t>)</w:t>
      </w:r>
      <w:r w:rsidRPr="005D2876">
        <w:rPr>
          <w:rFonts w:asciiTheme="majorBidi" w:eastAsiaTheme="minorEastAsia" w:hAnsiTheme="majorBidi" w:cstheme="majorBidi"/>
          <w:iCs/>
        </w:rPr>
        <w:t>，</w:t>
      </w:r>
      <w:r w:rsidRPr="00D237F6">
        <w:rPr>
          <w:rFonts w:asciiTheme="majorBidi" w:eastAsiaTheme="minorEastAsia" w:hAnsiTheme="majorBidi" w:cstheme="majorBidi"/>
        </w:rPr>
        <w:t>联合王国上议院，</w:t>
      </w:r>
      <w:r>
        <w:rPr>
          <w:rFonts w:asciiTheme="majorBidi" w:eastAsiaTheme="minorEastAsia" w:hAnsiTheme="majorBidi" w:cstheme="majorBidi"/>
        </w:rPr>
        <w:t>1999</w:t>
      </w:r>
      <w:r w:rsidRPr="00D237F6">
        <w:rPr>
          <w:rFonts w:asciiTheme="majorBidi" w:eastAsiaTheme="minorEastAsia" w:hAnsiTheme="majorBidi" w:cstheme="majorBidi"/>
        </w:rPr>
        <w:t>年</w:t>
      </w:r>
      <w:r>
        <w:rPr>
          <w:rFonts w:asciiTheme="majorBidi" w:eastAsiaTheme="minorEastAsia" w:hAnsiTheme="majorBidi" w:cstheme="majorBidi"/>
        </w:rPr>
        <w:t>3</w:t>
      </w:r>
      <w:r w:rsidRPr="00D237F6">
        <w:rPr>
          <w:rFonts w:asciiTheme="majorBidi" w:eastAsiaTheme="minorEastAsia" w:hAnsiTheme="majorBidi" w:cstheme="majorBidi"/>
        </w:rPr>
        <w:t>月</w:t>
      </w:r>
      <w:r>
        <w:rPr>
          <w:rFonts w:asciiTheme="majorBidi" w:eastAsiaTheme="minorEastAsia" w:hAnsiTheme="majorBidi" w:cstheme="majorBidi"/>
        </w:rPr>
        <w:t>24</w:t>
      </w:r>
      <w:r w:rsidRPr="00D237F6">
        <w:rPr>
          <w:rFonts w:asciiTheme="majorBidi" w:eastAsiaTheme="minorEastAsia" w:hAnsiTheme="majorBidi" w:cstheme="majorBidi"/>
        </w:rPr>
        <w:t>日，</w:t>
      </w:r>
      <w:r w:rsidRPr="00AE0A97">
        <w:rPr>
          <w:rFonts w:asciiTheme="majorBidi" w:eastAsiaTheme="minorEastAsia" w:hAnsiTheme="majorBidi" w:cstheme="majorBidi"/>
        </w:rPr>
        <w:t>[</w:t>
      </w:r>
      <w:r>
        <w:rPr>
          <w:rFonts w:asciiTheme="majorBidi" w:eastAsiaTheme="minorEastAsia" w:hAnsiTheme="majorBidi" w:cstheme="majorBidi"/>
        </w:rPr>
        <w:t>1999</w:t>
      </w:r>
      <w:r w:rsidRPr="00AE0A97">
        <w:rPr>
          <w:rFonts w:asciiTheme="majorBidi" w:eastAsiaTheme="minorEastAsia" w:hAnsiTheme="majorBidi" w:cstheme="majorBidi"/>
        </w:rPr>
        <w:t xml:space="preserve">] </w:t>
      </w:r>
      <w:r>
        <w:rPr>
          <w:rFonts w:asciiTheme="majorBidi" w:eastAsiaTheme="minorEastAsia" w:hAnsiTheme="majorBidi" w:cstheme="majorBidi"/>
        </w:rPr>
        <w:t>UKHL</w:t>
      </w:r>
      <w:r w:rsidRPr="00AE0A97">
        <w:rPr>
          <w:rFonts w:asciiTheme="majorBidi" w:eastAsiaTheme="minorEastAsia" w:hAnsiTheme="majorBidi" w:cstheme="majorBidi"/>
        </w:rPr>
        <w:t xml:space="preserve"> </w:t>
      </w:r>
      <w:r>
        <w:rPr>
          <w:rFonts w:asciiTheme="majorBidi" w:eastAsiaTheme="minorEastAsia" w:hAnsiTheme="majorBidi" w:cstheme="majorBidi"/>
        </w:rPr>
        <w:t>17</w:t>
      </w:r>
      <w:r w:rsidRPr="00AE0A97">
        <w:rPr>
          <w:rFonts w:asciiTheme="majorBidi" w:eastAsiaTheme="minorEastAsia" w:hAnsiTheme="majorBidi" w:cstheme="majorBidi"/>
        </w:rPr>
        <w:t>, [</w:t>
      </w:r>
      <w:r>
        <w:rPr>
          <w:rFonts w:asciiTheme="majorBidi" w:eastAsiaTheme="minorEastAsia" w:hAnsiTheme="majorBidi" w:cstheme="majorBidi"/>
        </w:rPr>
        <w:t>2000</w:t>
      </w:r>
      <w:r w:rsidRPr="00AE0A97">
        <w:rPr>
          <w:rFonts w:asciiTheme="majorBidi" w:eastAsiaTheme="minorEastAsia" w:hAnsiTheme="majorBidi" w:cstheme="majorBidi"/>
        </w:rPr>
        <w:t xml:space="preserve">] </w:t>
      </w:r>
      <w:r>
        <w:rPr>
          <w:rFonts w:asciiTheme="majorBidi" w:eastAsiaTheme="minorEastAsia" w:hAnsiTheme="majorBidi" w:cstheme="majorBidi"/>
        </w:rPr>
        <w:t>1</w:t>
      </w:r>
      <w:r w:rsidRPr="00AE0A97">
        <w:rPr>
          <w:rFonts w:asciiTheme="majorBidi" w:eastAsiaTheme="minorEastAsia" w:hAnsiTheme="majorBidi" w:cstheme="majorBidi"/>
        </w:rPr>
        <w:t xml:space="preserve"> </w:t>
      </w:r>
      <w:r>
        <w:rPr>
          <w:rFonts w:asciiTheme="majorBidi" w:eastAsiaTheme="minorEastAsia" w:hAnsiTheme="majorBidi" w:cstheme="majorBidi"/>
        </w:rPr>
        <w:t>AC</w:t>
      </w:r>
      <w:r w:rsidRPr="00AE0A97">
        <w:rPr>
          <w:rFonts w:asciiTheme="majorBidi" w:eastAsiaTheme="minorEastAsia" w:hAnsiTheme="majorBidi" w:cstheme="majorBidi"/>
        </w:rPr>
        <w:t xml:space="preserve"> </w:t>
      </w:r>
      <w:r>
        <w:rPr>
          <w:rFonts w:asciiTheme="majorBidi" w:eastAsiaTheme="minorEastAsia" w:hAnsiTheme="majorBidi" w:cstheme="majorBidi"/>
        </w:rPr>
        <w:t>147</w:t>
      </w:r>
      <w:r w:rsidRPr="00D237F6">
        <w:rPr>
          <w:rFonts w:asciiTheme="majorBidi" w:eastAsiaTheme="minorEastAsia" w:hAnsiTheme="majorBidi" w:cstheme="majorBidi"/>
        </w:rPr>
        <w:t>。只有</w:t>
      </w:r>
      <w:r>
        <w:rPr>
          <w:rFonts w:asciiTheme="majorBidi" w:eastAsiaTheme="minorEastAsia" w:hAnsiTheme="majorBidi" w:cstheme="majorBidi"/>
        </w:rPr>
        <w:t>Goff</w:t>
      </w:r>
      <w:r w:rsidRPr="00D237F6">
        <w:rPr>
          <w:rFonts w:asciiTheme="majorBidi" w:eastAsiaTheme="minorEastAsia" w:hAnsiTheme="majorBidi" w:cstheme="majorBidi"/>
        </w:rPr>
        <w:t>勋爵认为这种行为是豁免范围内的官方行为。</w:t>
      </w:r>
      <w:r>
        <w:rPr>
          <w:rFonts w:asciiTheme="majorBidi" w:eastAsiaTheme="minorEastAsia" w:hAnsiTheme="majorBidi" w:cstheme="majorBidi"/>
        </w:rPr>
        <w:t>Browne</w:t>
      </w:r>
      <w:r w:rsidRPr="00D237F6">
        <w:rPr>
          <w:rFonts w:asciiTheme="majorBidi" w:eastAsiaTheme="minorEastAsia" w:hAnsiTheme="majorBidi" w:cstheme="majorBidi"/>
        </w:rPr>
        <w:t>-</w:t>
      </w:r>
      <w:r>
        <w:rPr>
          <w:rFonts w:asciiTheme="majorBidi" w:eastAsiaTheme="minorEastAsia" w:hAnsiTheme="majorBidi" w:cstheme="majorBidi"/>
        </w:rPr>
        <w:t>Wilkinson</w:t>
      </w:r>
      <w:r w:rsidRPr="00D237F6">
        <w:rPr>
          <w:rFonts w:asciiTheme="majorBidi" w:eastAsiaTheme="minorEastAsia" w:hAnsiTheme="majorBidi" w:cstheme="majorBidi"/>
        </w:rPr>
        <w:t>勋爵</w:t>
      </w:r>
      <w:r>
        <w:rPr>
          <w:rFonts w:asciiTheme="majorBidi" w:eastAsiaTheme="minorEastAsia" w:hAnsiTheme="majorBidi" w:cstheme="majorBidi"/>
        </w:rPr>
        <w:t>Hutton</w:t>
      </w:r>
      <w:r w:rsidRPr="00D237F6">
        <w:rPr>
          <w:rFonts w:asciiTheme="majorBidi" w:eastAsiaTheme="minorEastAsia" w:hAnsiTheme="majorBidi" w:cstheme="majorBidi"/>
        </w:rPr>
        <w:t>勋爵认为，酷刑不是</w:t>
      </w:r>
      <w:r>
        <w:rPr>
          <w:rFonts w:asciiTheme="majorBidi" w:eastAsiaTheme="minorEastAsia" w:hAnsiTheme="majorBidi" w:cstheme="majorBidi" w:hint="eastAsia"/>
        </w:rPr>
        <w:t>“</w:t>
      </w:r>
      <w:r w:rsidRPr="00D237F6">
        <w:rPr>
          <w:rFonts w:asciiTheme="majorBidi" w:eastAsiaTheme="minorEastAsia" w:hAnsiTheme="majorBidi" w:cstheme="majorBidi"/>
        </w:rPr>
        <w:t>公共职能</w:t>
      </w:r>
      <w:r>
        <w:rPr>
          <w:rFonts w:asciiTheme="majorBidi" w:eastAsiaTheme="minorEastAsia" w:hAnsiTheme="majorBidi" w:cstheme="majorBidi" w:hint="eastAsia"/>
        </w:rPr>
        <w:t>”</w:t>
      </w:r>
      <w:r w:rsidRPr="00D237F6">
        <w:rPr>
          <w:rFonts w:asciiTheme="majorBidi" w:eastAsiaTheme="minorEastAsia" w:hAnsiTheme="majorBidi" w:cstheme="majorBidi"/>
        </w:rPr>
        <w:t>或</w:t>
      </w:r>
      <w:r>
        <w:rPr>
          <w:rFonts w:asciiTheme="majorBidi" w:eastAsiaTheme="minorEastAsia" w:hAnsiTheme="majorBidi" w:cstheme="majorBidi" w:hint="eastAsia"/>
        </w:rPr>
        <w:t>“</w:t>
      </w:r>
      <w:r w:rsidRPr="00D237F6">
        <w:rPr>
          <w:rFonts w:asciiTheme="majorBidi" w:eastAsiaTheme="minorEastAsia" w:hAnsiTheme="majorBidi" w:cstheme="majorBidi"/>
        </w:rPr>
        <w:t>政府职能</w:t>
      </w:r>
      <w:r>
        <w:rPr>
          <w:rFonts w:asciiTheme="majorBidi" w:eastAsiaTheme="minorEastAsia" w:hAnsiTheme="majorBidi" w:cstheme="majorBidi" w:hint="eastAsia"/>
        </w:rPr>
        <w:t>”</w:t>
      </w:r>
      <w:r w:rsidRPr="00D237F6">
        <w:rPr>
          <w:rFonts w:asciiTheme="majorBidi" w:eastAsiaTheme="minorEastAsia" w:hAnsiTheme="majorBidi" w:cstheme="majorBidi"/>
        </w:rPr>
        <w:t>。</w:t>
      </w:r>
      <w:r>
        <w:rPr>
          <w:rFonts w:asciiTheme="majorBidi" w:eastAsiaTheme="minorEastAsia" w:hAnsiTheme="majorBidi" w:cstheme="majorBidi"/>
        </w:rPr>
        <w:t>Goff</w:t>
      </w:r>
      <w:r w:rsidRPr="00D237F6">
        <w:rPr>
          <w:rFonts w:asciiTheme="majorBidi" w:eastAsiaTheme="minorEastAsia" w:hAnsiTheme="majorBidi" w:cstheme="majorBidi"/>
        </w:rPr>
        <w:t>勋爵在反对意见中指出，这是</w:t>
      </w:r>
      <w:r>
        <w:rPr>
          <w:rFonts w:asciiTheme="majorBidi" w:eastAsiaTheme="minorEastAsia" w:hAnsiTheme="majorBidi" w:cstheme="majorBidi" w:hint="eastAsia"/>
        </w:rPr>
        <w:t>“</w:t>
      </w:r>
      <w:r w:rsidRPr="00D237F6">
        <w:rPr>
          <w:rFonts w:asciiTheme="majorBidi" w:eastAsiaTheme="minorEastAsia" w:hAnsiTheme="majorBidi" w:cstheme="majorBidi"/>
        </w:rPr>
        <w:t>政府职能</w:t>
      </w:r>
      <w:r>
        <w:rPr>
          <w:rFonts w:asciiTheme="majorBidi" w:eastAsiaTheme="minorEastAsia" w:hAnsiTheme="majorBidi" w:cstheme="majorBidi" w:hint="eastAsia"/>
        </w:rPr>
        <w:t>”</w:t>
      </w:r>
      <w:r w:rsidRPr="00D237F6">
        <w:rPr>
          <w:rFonts w:asciiTheme="majorBidi" w:eastAsiaTheme="minorEastAsia" w:hAnsiTheme="majorBidi" w:cstheme="majorBidi"/>
        </w:rPr>
        <w:t>，其他人也提出类似的看法：克雷格黑德的</w:t>
      </w:r>
      <w:r>
        <w:rPr>
          <w:rFonts w:asciiTheme="majorBidi" w:eastAsiaTheme="minorEastAsia" w:hAnsiTheme="majorBidi" w:cstheme="majorBidi"/>
        </w:rPr>
        <w:t>Hope</w:t>
      </w:r>
      <w:r w:rsidRPr="00D237F6">
        <w:rPr>
          <w:rFonts w:asciiTheme="majorBidi" w:eastAsiaTheme="minorEastAsia" w:hAnsiTheme="majorBidi" w:cstheme="majorBidi"/>
        </w:rPr>
        <w:t>勋爵</w:t>
      </w:r>
      <w:r w:rsidRPr="00D237F6">
        <w:rPr>
          <w:rFonts w:asciiTheme="majorBidi" w:eastAsiaTheme="minorEastAsia" w:hAnsiTheme="majorBidi" w:cstheme="majorBidi"/>
        </w:rPr>
        <w:t>(</w:t>
      </w:r>
      <w:r>
        <w:rPr>
          <w:rFonts w:asciiTheme="majorBidi" w:eastAsiaTheme="minorEastAsia" w:hAnsiTheme="majorBidi" w:cstheme="majorBidi" w:hint="eastAsia"/>
        </w:rPr>
        <w:t>“</w:t>
      </w:r>
      <w:r w:rsidRPr="00D237F6">
        <w:rPr>
          <w:rFonts w:asciiTheme="majorBidi" w:eastAsiaTheme="minorEastAsia" w:hAnsiTheme="majorBidi" w:cstheme="majorBidi"/>
        </w:rPr>
        <w:t>这是犯罪行为，但也是政府行为</w:t>
      </w:r>
      <w:r>
        <w:rPr>
          <w:rFonts w:asciiTheme="majorBidi" w:eastAsiaTheme="minorEastAsia" w:hAnsiTheme="majorBidi" w:cstheme="majorBidi" w:hint="eastAsia"/>
        </w:rPr>
        <w:t>”</w:t>
      </w:r>
      <w:r w:rsidRPr="00D237F6">
        <w:rPr>
          <w:rFonts w:asciiTheme="majorBidi" w:eastAsiaTheme="minorEastAsia" w:hAnsiTheme="majorBidi" w:cstheme="majorBidi"/>
        </w:rPr>
        <w:t>)</w:t>
      </w:r>
      <w:r w:rsidRPr="00D237F6">
        <w:rPr>
          <w:rFonts w:asciiTheme="majorBidi" w:eastAsiaTheme="minorEastAsia" w:hAnsiTheme="majorBidi" w:cstheme="majorBidi"/>
        </w:rPr>
        <w:t>、纽迪吉特的</w:t>
      </w:r>
      <w:r>
        <w:rPr>
          <w:rFonts w:asciiTheme="majorBidi" w:eastAsiaTheme="minorEastAsia" w:hAnsiTheme="majorBidi" w:cstheme="majorBidi"/>
        </w:rPr>
        <w:t>Saville</w:t>
      </w:r>
      <w:r w:rsidRPr="00D237F6">
        <w:rPr>
          <w:rFonts w:asciiTheme="majorBidi" w:eastAsiaTheme="minorEastAsia" w:hAnsiTheme="majorBidi" w:cstheme="majorBidi"/>
        </w:rPr>
        <w:t>勋爵</w:t>
      </w:r>
      <w:r w:rsidRPr="00D237F6">
        <w:rPr>
          <w:rFonts w:asciiTheme="majorBidi" w:eastAsiaTheme="minorEastAsia" w:hAnsiTheme="majorBidi" w:cstheme="majorBidi"/>
        </w:rPr>
        <w:t>(</w:t>
      </w:r>
      <w:r w:rsidRPr="00D237F6">
        <w:rPr>
          <w:rFonts w:asciiTheme="majorBidi" w:eastAsiaTheme="minorEastAsia" w:hAnsiTheme="majorBidi" w:cstheme="majorBidi"/>
        </w:rPr>
        <w:t>提及</w:t>
      </w:r>
      <w:r>
        <w:rPr>
          <w:rFonts w:asciiTheme="majorBidi" w:eastAsiaTheme="minorEastAsia" w:hAnsiTheme="majorBidi" w:cstheme="majorBidi" w:hint="eastAsia"/>
        </w:rPr>
        <w:t>“</w:t>
      </w:r>
      <w:r w:rsidRPr="00D237F6">
        <w:rPr>
          <w:rFonts w:asciiTheme="majorBidi" w:eastAsiaTheme="minorEastAsia" w:hAnsiTheme="majorBidi" w:cstheme="majorBidi"/>
        </w:rPr>
        <w:t>官方酷刑</w:t>
      </w:r>
      <w:r>
        <w:rPr>
          <w:rFonts w:asciiTheme="majorBidi" w:eastAsiaTheme="minorEastAsia" w:hAnsiTheme="majorBidi" w:cstheme="majorBidi" w:hint="eastAsia"/>
        </w:rPr>
        <w:t>”</w:t>
      </w:r>
      <w:r w:rsidRPr="00D237F6">
        <w:rPr>
          <w:rFonts w:asciiTheme="majorBidi" w:eastAsiaTheme="minorEastAsia" w:hAnsiTheme="majorBidi" w:cstheme="majorBidi"/>
        </w:rPr>
        <w:t>)</w:t>
      </w:r>
      <w:r w:rsidRPr="00D237F6">
        <w:rPr>
          <w:rFonts w:asciiTheme="majorBidi" w:eastAsiaTheme="minorEastAsia" w:hAnsiTheme="majorBidi" w:cstheme="majorBidi"/>
        </w:rPr>
        <w:t>、</w:t>
      </w:r>
      <w:r>
        <w:rPr>
          <w:rFonts w:asciiTheme="majorBidi" w:eastAsiaTheme="minorEastAsia" w:hAnsiTheme="majorBidi" w:cstheme="majorBidi"/>
        </w:rPr>
        <w:t>Millett</w:t>
      </w:r>
      <w:r w:rsidRPr="00D237F6">
        <w:rPr>
          <w:rFonts w:asciiTheme="majorBidi" w:eastAsiaTheme="minorEastAsia" w:hAnsiTheme="majorBidi" w:cstheme="majorBidi"/>
        </w:rPr>
        <w:t>勋爵</w:t>
      </w:r>
      <w:r w:rsidRPr="00D237F6">
        <w:rPr>
          <w:rFonts w:asciiTheme="majorBidi" w:eastAsiaTheme="minorEastAsia" w:hAnsiTheme="majorBidi" w:cstheme="majorBidi"/>
        </w:rPr>
        <w:t>(</w:t>
      </w:r>
      <w:r>
        <w:rPr>
          <w:rFonts w:asciiTheme="majorBidi" w:eastAsiaTheme="minorEastAsia" w:hAnsiTheme="majorBidi" w:cstheme="majorBidi" w:hint="eastAsia"/>
        </w:rPr>
        <w:t>“</w:t>
      </w:r>
      <w:r w:rsidRPr="00D237F6">
        <w:rPr>
          <w:rFonts w:asciiTheme="majorBidi" w:eastAsiaTheme="minorEastAsia" w:hAnsiTheme="majorBidi" w:cstheme="majorBidi"/>
        </w:rPr>
        <w:t>公共官方行为</w:t>
      </w:r>
      <w:r>
        <w:rPr>
          <w:rFonts w:asciiTheme="majorBidi" w:eastAsiaTheme="minorEastAsia" w:hAnsiTheme="majorBidi" w:cstheme="majorBidi" w:hint="eastAsia"/>
        </w:rPr>
        <w:t>”</w:t>
      </w:r>
      <w:r w:rsidRPr="00D237F6">
        <w:rPr>
          <w:rFonts w:asciiTheme="majorBidi" w:eastAsiaTheme="minorEastAsia" w:hAnsiTheme="majorBidi" w:cstheme="majorBidi"/>
        </w:rPr>
        <w:t>)</w:t>
      </w:r>
      <w:r w:rsidRPr="00D237F6">
        <w:rPr>
          <w:rFonts w:asciiTheme="majorBidi" w:eastAsiaTheme="minorEastAsia" w:hAnsiTheme="majorBidi" w:cstheme="majorBidi"/>
        </w:rPr>
        <w:t>、</w:t>
      </w:r>
      <w:r>
        <w:rPr>
          <w:rFonts w:asciiTheme="majorBidi" w:eastAsiaTheme="minorEastAsia" w:hAnsiTheme="majorBidi" w:cstheme="majorBidi"/>
        </w:rPr>
        <w:t>Philips</w:t>
      </w:r>
      <w:r w:rsidRPr="00D237F6">
        <w:rPr>
          <w:rFonts w:asciiTheme="majorBidi" w:eastAsiaTheme="minorEastAsia" w:hAnsiTheme="majorBidi" w:cstheme="majorBidi"/>
        </w:rPr>
        <w:t>勋爵</w:t>
      </w:r>
      <w:r w:rsidRPr="00D237F6">
        <w:rPr>
          <w:rFonts w:asciiTheme="majorBidi" w:eastAsiaTheme="minorEastAsia" w:hAnsiTheme="majorBidi" w:cstheme="majorBidi"/>
        </w:rPr>
        <w:t>(</w:t>
      </w:r>
      <w:r>
        <w:rPr>
          <w:rFonts w:asciiTheme="majorBidi" w:eastAsiaTheme="minorEastAsia" w:hAnsiTheme="majorBidi" w:cstheme="majorBidi" w:hint="eastAsia"/>
        </w:rPr>
        <w:t>“</w:t>
      </w:r>
      <w:r w:rsidRPr="00D237F6">
        <w:rPr>
          <w:rFonts w:asciiTheme="majorBidi" w:eastAsiaTheme="minorEastAsia" w:hAnsiTheme="majorBidi" w:cstheme="majorBidi"/>
        </w:rPr>
        <w:t>这是犯罪行为，也是官方行为</w:t>
      </w:r>
      <w:r>
        <w:rPr>
          <w:rFonts w:asciiTheme="majorBidi" w:eastAsiaTheme="minorEastAsia" w:hAnsiTheme="majorBidi" w:cstheme="majorBidi" w:hint="eastAsia"/>
        </w:rPr>
        <w:t>”</w:t>
      </w:r>
      <w:r w:rsidRPr="00D237F6">
        <w:rPr>
          <w:rFonts w:asciiTheme="majorBidi" w:eastAsiaTheme="minorEastAsia" w:hAnsiTheme="majorBidi" w:cstheme="majorBidi"/>
        </w:rPr>
        <w:t>)</w:t>
      </w:r>
      <w:r w:rsidRPr="00D237F6">
        <w:rPr>
          <w:rFonts w:asciiTheme="majorBidi" w:eastAsiaTheme="minorEastAsia" w:hAnsiTheme="majorBidi" w:cstheme="majorBidi"/>
        </w:rPr>
        <w:t>。另见：</w:t>
      </w:r>
      <w:r>
        <w:rPr>
          <w:rFonts w:asciiTheme="majorBidi" w:eastAsiaTheme="minorEastAsia" w:hAnsiTheme="majorBidi" w:cstheme="majorBidi"/>
        </w:rPr>
        <w:t>Jones</w:t>
      </w:r>
      <w:r w:rsidRPr="00D237F6">
        <w:rPr>
          <w:rFonts w:asciiTheme="majorBidi" w:eastAsiaTheme="minorEastAsia" w:hAnsiTheme="majorBidi" w:cstheme="majorBidi"/>
        </w:rPr>
        <w:t>诉沙特阿拉伯</w:t>
      </w:r>
      <w:r w:rsidRPr="00D237F6">
        <w:rPr>
          <w:rFonts w:asciiTheme="majorBidi" w:eastAsiaTheme="minorEastAsia" w:hAnsiTheme="majorBidi" w:cstheme="majorBidi"/>
          <w:iCs/>
        </w:rPr>
        <w:t>(</w:t>
      </w:r>
      <w:r>
        <w:rPr>
          <w:rFonts w:asciiTheme="majorBidi" w:eastAsiaTheme="minorEastAsia" w:hAnsiTheme="majorBidi" w:cstheme="majorBidi" w:hint="eastAsia"/>
          <w:iCs/>
        </w:rPr>
        <w:t>见</w:t>
      </w:r>
      <w:r w:rsidRPr="00D237F6">
        <w:rPr>
          <w:rFonts w:asciiTheme="majorBidi" w:eastAsiaTheme="minorEastAsia" w:hAnsiTheme="majorBidi" w:cstheme="majorBidi"/>
          <w:iCs/>
        </w:rPr>
        <w:t>上文脚注</w:t>
      </w:r>
      <w:r>
        <w:rPr>
          <w:rFonts w:asciiTheme="majorBidi" w:eastAsiaTheme="minorEastAsia" w:hAnsiTheme="majorBidi" w:cstheme="majorBidi"/>
          <w:iCs/>
        </w:rPr>
        <w:fldChar w:fldCharType="begin"/>
      </w:r>
      <w:r>
        <w:rPr>
          <w:rFonts w:asciiTheme="majorBidi" w:eastAsiaTheme="minorEastAsia" w:hAnsiTheme="majorBidi" w:cstheme="majorBidi"/>
          <w:iCs/>
        </w:rPr>
        <w:instrText xml:space="preserve"> NOTEREF _Ref457292998 \h </w:instrText>
      </w:r>
      <w:r>
        <w:rPr>
          <w:rFonts w:asciiTheme="majorBidi" w:eastAsiaTheme="minorEastAsia" w:hAnsiTheme="majorBidi" w:cstheme="majorBidi"/>
          <w:iCs/>
        </w:rPr>
      </w:r>
      <w:r>
        <w:rPr>
          <w:rFonts w:asciiTheme="majorBidi" w:eastAsiaTheme="minorEastAsia" w:hAnsiTheme="majorBidi" w:cstheme="majorBidi"/>
          <w:iCs/>
        </w:rPr>
        <w:fldChar w:fldCharType="separate"/>
      </w:r>
      <w:r w:rsidR="00A73EB9">
        <w:rPr>
          <w:rFonts w:asciiTheme="majorBidi" w:eastAsiaTheme="minorEastAsia" w:hAnsiTheme="majorBidi" w:cstheme="majorBidi"/>
          <w:iCs/>
        </w:rPr>
        <w:t>1415</w:t>
      </w:r>
      <w:r>
        <w:rPr>
          <w:rFonts w:asciiTheme="majorBidi" w:eastAsiaTheme="minorEastAsia" w:hAnsiTheme="majorBidi" w:cstheme="majorBidi"/>
          <w:iCs/>
        </w:rPr>
        <w:fldChar w:fldCharType="end"/>
      </w:r>
      <w:r w:rsidRPr="00D237F6">
        <w:rPr>
          <w:rFonts w:asciiTheme="majorBidi" w:eastAsiaTheme="minorEastAsia" w:hAnsiTheme="majorBidi" w:cstheme="majorBidi"/>
          <w:iCs/>
        </w:rPr>
        <w:t>)</w:t>
      </w:r>
      <w:r w:rsidRPr="00D237F6">
        <w:rPr>
          <w:rFonts w:asciiTheme="majorBidi" w:eastAsiaTheme="minorEastAsia" w:hAnsiTheme="majorBidi" w:cstheme="majorBidi"/>
          <w:iCs/>
        </w:rPr>
        <w:t>和</w:t>
      </w:r>
      <w:r>
        <w:rPr>
          <w:rFonts w:ascii="Time New Roman" w:eastAsia="楷体" w:hAnsi="Time New Roman" w:cstheme="majorBidi"/>
        </w:rPr>
        <w:t>FF</w:t>
      </w:r>
      <w:r w:rsidRPr="005D2876">
        <w:rPr>
          <w:rFonts w:ascii="Time New Roman" w:eastAsia="楷体" w:hAnsi="Time New Roman" w:cstheme="majorBidi"/>
        </w:rPr>
        <w:t>诉公诉机构首领</w:t>
      </w:r>
      <w:r w:rsidRPr="005D2876">
        <w:rPr>
          <w:rFonts w:ascii="Time New Roman" w:eastAsia="楷体" w:hAnsi="Time New Roman" w:cstheme="majorBidi"/>
        </w:rPr>
        <w:t>(</w:t>
      </w:r>
      <w:r>
        <w:rPr>
          <w:rFonts w:ascii="Time New Roman" w:eastAsia="楷体" w:hAnsi="Time New Roman" w:cstheme="majorBidi"/>
        </w:rPr>
        <w:t>Principe</w:t>
      </w:r>
      <w:r>
        <w:rPr>
          <w:rFonts w:ascii="Time New Roman" w:eastAsia="楷体" w:hAnsi="Time New Roman" w:cstheme="majorBidi" w:hint="eastAsia"/>
        </w:rPr>
        <w:t xml:space="preserve"> </w:t>
      </w:r>
      <w:r>
        <w:rPr>
          <w:rFonts w:ascii="Time New Roman" w:eastAsia="楷体" w:hAnsi="Time New Roman" w:cstheme="majorBidi"/>
        </w:rPr>
        <w:t>Nasser</w:t>
      </w:r>
      <w:r w:rsidRPr="005D2876">
        <w:rPr>
          <w:rFonts w:ascii="Time New Roman" w:eastAsia="楷体" w:hAnsi="Time New Roman" w:cstheme="majorBidi"/>
        </w:rPr>
        <w:t>案</w:t>
      </w:r>
      <w:r w:rsidRPr="00D237F6">
        <w:rPr>
          <w:rFonts w:asciiTheme="majorBidi" w:eastAsiaTheme="minorEastAsia" w:hAnsiTheme="majorBidi" w:cstheme="majorBidi"/>
          <w:iCs/>
        </w:rPr>
        <w:t>)</w:t>
      </w:r>
      <w:r w:rsidRPr="00D237F6">
        <w:rPr>
          <w:rFonts w:asciiTheme="majorBidi" w:eastAsiaTheme="minorEastAsia" w:hAnsiTheme="majorBidi" w:cstheme="majorBidi"/>
        </w:rPr>
        <w:t>，高等法院王座法庭分庭</w:t>
      </w:r>
      <w:r w:rsidRPr="00D237F6">
        <w:rPr>
          <w:rFonts w:asciiTheme="majorBidi" w:eastAsiaTheme="minorEastAsia" w:hAnsiTheme="majorBidi" w:cstheme="majorBidi"/>
        </w:rPr>
        <w:t>(</w:t>
      </w:r>
      <w:r w:rsidRPr="00D237F6">
        <w:rPr>
          <w:rFonts w:asciiTheme="majorBidi" w:eastAsiaTheme="minorEastAsia" w:hAnsiTheme="majorBidi" w:cstheme="majorBidi"/>
        </w:rPr>
        <w:t>联合王国</w:t>
      </w:r>
      <w:r w:rsidRPr="00D237F6">
        <w:rPr>
          <w:rFonts w:asciiTheme="majorBidi" w:eastAsiaTheme="minorEastAsia" w:hAnsiTheme="majorBidi" w:cstheme="majorBidi"/>
        </w:rPr>
        <w:t>)</w:t>
      </w:r>
      <w:r w:rsidRPr="00D237F6">
        <w:rPr>
          <w:rFonts w:asciiTheme="majorBidi" w:eastAsiaTheme="minorEastAsia" w:hAnsiTheme="majorBidi" w:cstheme="majorBidi"/>
        </w:rPr>
        <w:t>，</w:t>
      </w:r>
      <w:r>
        <w:rPr>
          <w:rFonts w:asciiTheme="majorBidi" w:eastAsiaTheme="minorEastAsia" w:hAnsiTheme="majorBidi" w:cstheme="majorBidi"/>
        </w:rPr>
        <w:t>2014</w:t>
      </w:r>
      <w:r w:rsidRPr="00D237F6">
        <w:rPr>
          <w:rFonts w:asciiTheme="majorBidi" w:eastAsiaTheme="minorEastAsia" w:hAnsiTheme="majorBidi" w:cstheme="majorBidi"/>
        </w:rPr>
        <w:t>年</w:t>
      </w:r>
      <w:r>
        <w:rPr>
          <w:rFonts w:asciiTheme="majorBidi" w:eastAsiaTheme="minorEastAsia" w:hAnsiTheme="majorBidi" w:cstheme="majorBidi"/>
        </w:rPr>
        <w:t>10</w:t>
      </w:r>
      <w:r w:rsidRPr="00D237F6">
        <w:rPr>
          <w:rFonts w:asciiTheme="majorBidi" w:eastAsiaTheme="minorEastAsia" w:hAnsiTheme="majorBidi" w:cstheme="majorBidi"/>
        </w:rPr>
        <w:t>月</w:t>
      </w:r>
      <w:r>
        <w:rPr>
          <w:rFonts w:asciiTheme="majorBidi" w:eastAsiaTheme="minorEastAsia" w:hAnsiTheme="majorBidi" w:cstheme="majorBidi"/>
        </w:rPr>
        <w:t>7</w:t>
      </w:r>
      <w:r w:rsidRPr="00D237F6">
        <w:rPr>
          <w:rFonts w:asciiTheme="majorBidi" w:eastAsiaTheme="minorEastAsia" w:hAnsiTheme="majorBidi" w:cstheme="majorBidi"/>
        </w:rPr>
        <w:t>日的判决</w:t>
      </w:r>
      <w:r w:rsidRPr="00AE0A97">
        <w:rPr>
          <w:rFonts w:asciiTheme="majorBidi" w:eastAsiaTheme="minorEastAsia" w:hAnsiTheme="majorBidi" w:cstheme="majorBidi"/>
        </w:rPr>
        <w:t>[</w:t>
      </w:r>
      <w:r>
        <w:rPr>
          <w:rFonts w:asciiTheme="majorBidi" w:eastAsiaTheme="minorEastAsia" w:hAnsiTheme="majorBidi" w:cstheme="majorBidi"/>
        </w:rPr>
        <w:t>2014</w:t>
      </w:r>
      <w:r w:rsidRPr="00AE0A97">
        <w:rPr>
          <w:rFonts w:asciiTheme="majorBidi" w:eastAsiaTheme="minorEastAsia" w:hAnsiTheme="majorBidi" w:cstheme="majorBidi"/>
        </w:rPr>
        <w:t xml:space="preserve">] </w:t>
      </w:r>
      <w:r>
        <w:rPr>
          <w:rFonts w:asciiTheme="majorBidi" w:eastAsiaTheme="minorEastAsia" w:hAnsiTheme="majorBidi" w:cstheme="majorBidi"/>
        </w:rPr>
        <w:t>EWHC</w:t>
      </w:r>
      <w:r w:rsidRPr="00AE0A97">
        <w:rPr>
          <w:rFonts w:asciiTheme="majorBidi" w:eastAsiaTheme="minorEastAsia" w:hAnsiTheme="majorBidi" w:cstheme="majorBidi"/>
        </w:rPr>
        <w:t xml:space="preserve"> </w:t>
      </w:r>
      <w:r>
        <w:rPr>
          <w:rFonts w:asciiTheme="majorBidi" w:eastAsiaTheme="minorEastAsia" w:hAnsiTheme="majorBidi" w:cstheme="majorBidi"/>
        </w:rPr>
        <w:t>3419</w:t>
      </w:r>
      <w:r w:rsidRPr="00AE0A97">
        <w:rPr>
          <w:rFonts w:asciiTheme="majorBidi" w:eastAsiaTheme="minorEastAsia" w:hAnsiTheme="majorBidi" w:cstheme="majorBidi"/>
        </w:rPr>
        <w:t xml:space="preserve"> </w:t>
      </w:r>
      <w:r w:rsidRPr="00D237F6">
        <w:rPr>
          <w:rFonts w:asciiTheme="majorBidi" w:eastAsiaTheme="minorEastAsia" w:hAnsiTheme="majorBidi" w:cstheme="majorBidi"/>
        </w:rPr>
        <w:t>(</w:t>
      </w:r>
      <w:r>
        <w:rPr>
          <w:rFonts w:asciiTheme="majorBidi" w:eastAsiaTheme="minorEastAsia" w:hAnsiTheme="majorBidi" w:cstheme="majorBidi"/>
        </w:rPr>
        <w:t>Admin</w:t>
      </w:r>
      <w:r w:rsidRPr="00D237F6">
        <w:rPr>
          <w:rFonts w:asciiTheme="majorBidi" w:eastAsiaTheme="minorEastAsia" w:hAnsiTheme="majorBidi" w:cstheme="majorBidi"/>
        </w:rPr>
        <w:t>.)</w:t>
      </w:r>
      <w:r w:rsidRPr="00D237F6">
        <w:rPr>
          <w:rFonts w:asciiTheme="majorBidi" w:eastAsiaTheme="minorEastAsia" w:hAnsiTheme="majorBidi" w:cstheme="majorBidi"/>
        </w:rPr>
        <w:t>。</w:t>
      </w:r>
    </w:p>
  </w:footnote>
  <w:footnote w:id="1436">
    <w:p w:rsidR="00AB00DE" w:rsidRPr="00D237F6" w:rsidRDefault="00AB00DE" w:rsidP="00334F8C">
      <w:pPr>
        <w:pStyle w:val="a4"/>
        <w:spacing w:after="80"/>
        <w:rPr>
          <w:rFonts w:asciiTheme="majorBidi" w:eastAsiaTheme="minorEastAsia" w:hAnsiTheme="majorBidi" w:cstheme="majorBidi"/>
        </w:rPr>
      </w:pPr>
      <w:r>
        <w:rPr>
          <w:rStyle w:val="a5"/>
          <w:rFonts w:asciiTheme="majorBidi" w:eastAsiaTheme="minorEastAsia" w:hAnsiTheme="majorBidi" w:cstheme="majorBidi"/>
        </w:rPr>
        <w:tab/>
      </w:r>
      <w:r w:rsidRPr="003D3D39">
        <w:rPr>
          <w:rStyle w:val="a5"/>
          <w:rFonts w:eastAsiaTheme="minorEastAsia" w:cstheme="majorBidi"/>
        </w:rPr>
        <w:footnoteRef/>
      </w:r>
      <w:r>
        <w:rPr>
          <w:rStyle w:val="a5"/>
          <w:rFonts w:asciiTheme="majorBidi" w:eastAsiaTheme="minorEastAsia" w:hAnsiTheme="majorBidi" w:cstheme="majorBidi"/>
        </w:rPr>
        <w:tab/>
      </w:r>
      <w:r w:rsidRPr="005D2876">
        <w:rPr>
          <w:rFonts w:ascii="Time New Roman" w:eastAsia="楷体" w:hAnsi="Time New Roman" w:cstheme="majorBidi"/>
        </w:rPr>
        <w:t>皮诺切特案</w:t>
      </w:r>
      <w:r w:rsidRPr="005D2876">
        <w:rPr>
          <w:rFonts w:asciiTheme="majorBidi" w:eastAsiaTheme="minorEastAsia" w:hAnsiTheme="majorBidi" w:cstheme="majorBidi"/>
        </w:rPr>
        <w:t>，</w:t>
      </w:r>
      <w:r w:rsidRPr="00D237F6">
        <w:rPr>
          <w:rFonts w:asciiTheme="majorBidi" w:eastAsiaTheme="minorEastAsia" w:hAnsiTheme="majorBidi" w:cstheme="majorBidi"/>
        </w:rPr>
        <w:t>布鲁塞尔预审法官，</w:t>
      </w:r>
      <w:r>
        <w:rPr>
          <w:rFonts w:asciiTheme="majorBidi" w:eastAsiaTheme="minorEastAsia" w:hAnsiTheme="majorBidi" w:cstheme="majorBidi"/>
        </w:rPr>
        <w:t>1998</w:t>
      </w:r>
      <w:r w:rsidRPr="00D237F6">
        <w:rPr>
          <w:rFonts w:asciiTheme="majorBidi" w:eastAsiaTheme="minorEastAsia" w:hAnsiTheme="majorBidi" w:cstheme="majorBidi"/>
        </w:rPr>
        <w:t>年</w:t>
      </w:r>
      <w:r>
        <w:rPr>
          <w:rFonts w:asciiTheme="majorBidi" w:eastAsiaTheme="minorEastAsia" w:hAnsiTheme="majorBidi" w:cstheme="majorBidi"/>
        </w:rPr>
        <w:t>11</w:t>
      </w:r>
      <w:r w:rsidRPr="00D237F6">
        <w:rPr>
          <w:rFonts w:asciiTheme="majorBidi" w:eastAsiaTheme="minorEastAsia" w:hAnsiTheme="majorBidi" w:cstheme="majorBidi"/>
        </w:rPr>
        <w:t>月</w:t>
      </w:r>
      <w:r>
        <w:rPr>
          <w:rFonts w:asciiTheme="majorBidi" w:eastAsiaTheme="minorEastAsia" w:hAnsiTheme="majorBidi" w:cstheme="majorBidi"/>
        </w:rPr>
        <w:t>6</w:t>
      </w:r>
      <w:r w:rsidRPr="00D237F6">
        <w:rPr>
          <w:rFonts w:asciiTheme="majorBidi" w:eastAsiaTheme="minorEastAsia" w:hAnsiTheme="majorBidi" w:cstheme="majorBidi"/>
        </w:rPr>
        <w:t>日令，《国际法案例汇编》，第</w:t>
      </w:r>
      <w:r>
        <w:rPr>
          <w:rFonts w:asciiTheme="majorBidi" w:eastAsiaTheme="minorEastAsia" w:hAnsiTheme="majorBidi" w:cstheme="majorBidi"/>
        </w:rPr>
        <w:t>119</w:t>
      </w:r>
      <w:r w:rsidRPr="00D237F6">
        <w:rPr>
          <w:rFonts w:asciiTheme="majorBidi" w:eastAsiaTheme="minorEastAsia" w:hAnsiTheme="majorBidi" w:cstheme="majorBidi"/>
        </w:rPr>
        <w:t>卷，第</w:t>
      </w:r>
      <w:r>
        <w:rPr>
          <w:rFonts w:asciiTheme="majorBidi" w:eastAsiaTheme="minorEastAsia" w:hAnsiTheme="majorBidi" w:cstheme="majorBidi"/>
        </w:rPr>
        <w:t>345</w:t>
      </w:r>
      <w:r w:rsidRPr="00D237F6">
        <w:rPr>
          <w:rFonts w:asciiTheme="majorBidi" w:eastAsiaTheme="minorEastAsia" w:hAnsiTheme="majorBidi" w:cstheme="majorBidi"/>
        </w:rPr>
        <w:t>页；</w:t>
      </w:r>
      <w:r>
        <w:rPr>
          <w:rFonts w:ascii="Time New Roman" w:eastAsia="楷体" w:hAnsi="Time New Roman" w:cstheme="majorBidi"/>
        </w:rPr>
        <w:t>Bouterse</w:t>
      </w:r>
      <w:r w:rsidRPr="005D2876">
        <w:rPr>
          <w:rFonts w:ascii="Time New Roman" w:eastAsia="楷体" w:hAnsi="Time New Roman" w:cstheme="majorBidi"/>
        </w:rPr>
        <w:t>案</w:t>
      </w:r>
      <w:r w:rsidRPr="005D2876">
        <w:rPr>
          <w:rFonts w:asciiTheme="majorBidi" w:eastAsiaTheme="minorEastAsia" w:hAnsiTheme="majorBidi" w:cstheme="majorBidi"/>
          <w:iCs/>
        </w:rPr>
        <w:t>(</w:t>
      </w:r>
      <w:r w:rsidRPr="00D237F6">
        <w:rPr>
          <w:rFonts w:asciiTheme="majorBidi" w:eastAsiaTheme="minorEastAsia" w:hAnsiTheme="majorBidi" w:cstheme="majorBidi"/>
          <w:iCs/>
        </w:rPr>
        <w:t>见上文脚注</w:t>
      </w:r>
      <w:r>
        <w:rPr>
          <w:rFonts w:asciiTheme="majorBidi" w:eastAsiaTheme="minorEastAsia" w:hAnsiTheme="majorBidi" w:cstheme="majorBidi"/>
          <w:iCs/>
        </w:rPr>
        <w:fldChar w:fldCharType="begin"/>
      </w:r>
      <w:r>
        <w:rPr>
          <w:rFonts w:asciiTheme="majorBidi" w:eastAsiaTheme="minorEastAsia" w:hAnsiTheme="majorBidi" w:cstheme="majorBidi"/>
          <w:iCs/>
        </w:rPr>
        <w:instrText xml:space="preserve"> NOTEREF _Ref457293011 \h </w:instrText>
      </w:r>
      <w:r>
        <w:rPr>
          <w:rFonts w:asciiTheme="majorBidi" w:eastAsiaTheme="minorEastAsia" w:hAnsiTheme="majorBidi" w:cstheme="majorBidi"/>
          <w:iCs/>
        </w:rPr>
      </w:r>
      <w:r>
        <w:rPr>
          <w:rFonts w:asciiTheme="majorBidi" w:eastAsiaTheme="minorEastAsia" w:hAnsiTheme="majorBidi" w:cstheme="majorBidi"/>
          <w:iCs/>
        </w:rPr>
        <w:fldChar w:fldCharType="separate"/>
      </w:r>
      <w:r w:rsidR="00A73EB9">
        <w:rPr>
          <w:rFonts w:asciiTheme="majorBidi" w:eastAsiaTheme="minorEastAsia" w:hAnsiTheme="majorBidi" w:cstheme="majorBidi"/>
          <w:iCs/>
        </w:rPr>
        <w:t>1426</w:t>
      </w:r>
      <w:r>
        <w:rPr>
          <w:rFonts w:asciiTheme="majorBidi" w:eastAsiaTheme="minorEastAsia" w:hAnsiTheme="majorBidi" w:cstheme="majorBidi"/>
          <w:iCs/>
        </w:rPr>
        <w:fldChar w:fldCharType="end"/>
      </w:r>
      <w:r w:rsidRPr="00D237F6">
        <w:rPr>
          <w:rFonts w:asciiTheme="majorBidi" w:eastAsiaTheme="minorEastAsia" w:hAnsiTheme="majorBidi" w:cstheme="majorBidi"/>
          <w:iCs/>
        </w:rPr>
        <w:t>)</w:t>
      </w:r>
      <w:r w:rsidRPr="00D237F6">
        <w:rPr>
          <w:rFonts w:asciiTheme="majorBidi" w:eastAsiaTheme="minorEastAsia" w:hAnsiTheme="majorBidi" w:cstheme="majorBidi"/>
          <w:iCs/>
        </w:rPr>
        <w:t>；</w:t>
      </w:r>
      <w:r>
        <w:rPr>
          <w:rFonts w:ascii="Time New Roman" w:eastAsia="楷体" w:hAnsi="Time New Roman" w:cstheme="majorBidi"/>
        </w:rPr>
        <w:t>Voiotia</w:t>
      </w:r>
      <w:r w:rsidRPr="005D2876">
        <w:rPr>
          <w:rFonts w:ascii="Time New Roman" w:eastAsia="楷体" w:hAnsi="Time New Roman" w:cstheme="majorBidi"/>
        </w:rPr>
        <w:t>区诉德意志联邦共和国</w:t>
      </w:r>
      <w:r w:rsidRPr="005D2876">
        <w:rPr>
          <w:rFonts w:asciiTheme="majorBidi" w:eastAsiaTheme="minorEastAsia" w:hAnsiTheme="majorBidi" w:cstheme="majorBidi"/>
        </w:rPr>
        <w:t>，</w:t>
      </w:r>
      <w:r>
        <w:rPr>
          <w:rFonts w:asciiTheme="majorBidi" w:eastAsiaTheme="minorEastAsia" w:hAnsiTheme="majorBidi" w:cstheme="majorBidi"/>
        </w:rPr>
        <w:t>Livadia</w:t>
      </w:r>
      <w:r w:rsidRPr="00D237F6">
        <w:rPr>
          <w:rFonts w:asciiTheme="majorBidi" w:eastAsiaTheme="minorEastAsia" w:hAnsiTheme="majorBidi" w:cstheme="majorBidi"/>
        </w:rPr>
        <w:t>(</w:t>
      </w:r>
      <w:r w:rsidRPr="00D237F6">
        <w:rPr>
          <w:rFonts w:asciiTheme="majorBidi" w:eastAsiaTheme="minorEastAsia" w:hAnsiTheme="majorBidi" w:cstheme="majorBidi"/>
        </w:rPr>
        <w:t>希腊</w:t>
      </w:r>
      <w:r w:rsidRPr="00D237F6">
        <w:rPr>
          <w:rFonts w:asciiTheme="majorBidi" w:eastAsiaTheme="minorEastAsia" w:hAnsiTheme="majorBidi" w:cstheme="majorBidi"/>
        </w:rPr>
        <w:t>)</w:t>
      </w:r>
      <w:r w:rsidRPr="00D237F6">
        <w:rPr>
          <w:rFonts w:asciiTheme="majorBidi" w:eastAsiaTheme="minorEastAsia" w:hAnsiTheme="majorBidi" w:cstheme="majorBidi"/>
        </w:rPr>
        <w:t>一审法院，</w:t>
      </w:r>
      <w:r>
        <w:rPr>
          <w:rFonts w:asciiTheme="majorBidi" w:eastAsiaTheme="minorEastAsia" w:hAnsiTheme="majorBidi" w:cstheme="majorBidi"/>
        </w:rPr>
        <w:t>1997</w:t>
      </w:r>
      <w:r w:rsidRPr="00D237F6">
        <w:rPr>
          <w:rFonts w:asciiTheme="majorBidi" w:eastAsiaTheme="minorEastAsia" w:hAnsiTheme="majorBidi" w:cstheme="majorBidi"/>
        </w:rPr>
        <w:t>年</w:t>
      </w:r>
      <w:r>
        <w:rPr>
          <w:rFonts w:asciiTheme="majorBidi" w:eastAsiaTheme="minorEastAsia" w:hAnsiTheme="majorBidi" w:cstheme="majorBidi"/>
        </w:rPr>
        <w:t>10</w:t>
      </w:r>
      <w:r w:rsidRPr="00D237F6">
        <w:rPr>
          <w:rFonts w:asciiTheme="majorBidi" w:eastAsiaTheme="minorEastAsia" w:hAnsiTheme="majorBidi" w:cstheme="majorBidi"/>
        </w:rPr>
        <w:t>月</w:t>
      </w:r>
      <w:r>
        <w:rPr>
          <w:rFonts w:asciiTheme="majorBidi" w:eastAsiaTheme="minorEastAsia" w:hAnsiTheme="majorBidi" w:cstheme="majorBidi"/>
        </w:rPr>
        <w:t>30</w:t>
      </w:r>
      <w:r w:rsidRPr="00D237F6">
        <w:rPr>
          <w:rFonts w:asciiTheme="majorBidi" w:eastAsiaTheme="minorEastAsia" w:hAnsiTheme="majorBidi" w:cstheme="majorBidi"/>
        </w:rPr>
        <w:t>日的判决。</w:t>
      </w:r>
    </w:p>
  </w:footnote>
  <w:footnote w:id="1437">
    <w:p w:rsidR="00AB00DE" w:rsidRPr="00640FD7" w:rsidRDefault="00AB00DE" w:rsidP="00396D56">
      <w:pPr>
        <w:pStyle w:val="a4"/>
        <w:spacing w:after="80"/>
        <w:rPr>
          <w:sz w:val="20"/>
        </w:rPr>
      </w:pPr>
      <w:r>
        <w:rPr>
          <w:rFonts w:hint="eastAsia"/>
          <w:sz w:val="20"/>
        </w:rPr>
        <w:tab/>
      </w:r>
      <w:r w:rsidRPr="003D3D39">
        <w:rPr>
          <w:rStyle w:val="a5"/>
        </w:rPr>
        <w:footnoteRef/>
      </w:r>
      <w:r>
        <w:rPr>
          <w:rFonts w:hint="eastAsia"/>
          <w:sz w:val="20"/>
        </w:rPr>
        <w:tab/>
      </w:r>
      <w:r w:rsidRPr="002B1334">
        <w:rPr>
          <w:rFonts w:ascii="宋体" w:hAnsi="宋体" w:cs="宋体" w:hint="eastAsia"/>
        </w:rPr>
        <w:t>见以上委员会暂时通过的第</w:t>
      </w:r>
      <w:r>
        <w:rPr>
          <w:rFonts w:hint="eastAsia"/>
        </w:rPr>
        <w:t>2</w:t>
      </w:r>
      <w:r w:rsidRPr="002B1334">
        <w:rPr>
          <w:rFonts w:ascii="宋体" w:hAnsi="宋体" w:cs="宋体" w:hint="eastAsia"/>
        </w:rPr>
        <w:t>条草案</w:t>
      </w:r>
      <w:r w:rsidRPr="002B1334">
        <w:rPr>
          <w:rFonts w:hint="eastAsia"/>
        </w:rPr>
        <w:t>(</w:t>
      </w:r>
      <w:r>
        <w:rPr>
          <w:rFonts w:hint="eastAsia"/>
        </w:rPr>
        <w:t>f</w:t>
      </w:r>
      <w:r w:rsidRPr="002B1334">
        <w:rPr>
          <w:rFonts w:hint="eastAsia"/>
        </w:rPr>
        <w:t>)</w:t>
      </w:r>
      <w:r w:rsidRPr="002B1334">
        <w:rPr>
          <w:rFonts w:ascii="宋体" w:hAnsi="宋体" w:cs="宋体" w:hint="eastAsia"/>
        </w:rPr>
        <w:t>项及其评注。</w:t>
      </w:r>
    </w:p>
  </w:footnote>
  <w:footnote w:id="1438">
    <w:p w:rsidR="00AB00DE" w:rsidRPr="00C207B9" w:rsidRDefault="00AB00DE" w:rsidP="00396D56">
      <w:pPr>
        <w:pStyle w:val="a4"/>
        <w:spacing w:after="80"/>
      </w:pPr>
      <w:r>
        <w:rPr>
          <w:rFonts w:hint="eastAsia"/>
          <w:sz w:val="20"/>
        </w:rPr>
        <w:tab/>
      </w:r>
      <w:r w:rsidRPr="003D3D39">
        <w:rPr>
          <w:rStyle w:val="a5"/>
        </w:rPr>
        <w:footnoteRef/>
      </w:r>
      <w:r>
        <w:rPr>
          <w:rFonts w:hint="eastAsia"/>
          <w:sz w:val="20"/>
        </w:rPr>
        <w:tab/>
      </w:r>
      <w:r w:rsidRPr="00C207B9">
        <w:rPr>
          <w:rFonts w:ascii="宋体" w:hAnsi="宋体" w:cs="宋体" w:hint="eastAsia"/>
        </w:rPr>
        <w:t>见第</w:t>
      </w:r>
      <w:r>
        <w:rPr>
          <w:rFonts w:hint="eastAsia"/>
        </w:rPr>
        <w:t>5</w:t>
      </w:r>
      <w:r w:rsidRPr="00C207B9">
        <w:rPr>
          <w:rFonts w:ascii="宋体" w:hAnsi="宋体" w:cs="宋体" w:hint="eastAsia"/>
        </w:rPr>
        <w:t>条草案评注第</w:t>
      </w:r>
      <w:r>
        <w:rPr>
          <w:rFonts w:eastAsiaTheme="minorEastAsia" w:hint="eastAsia"/>
        </w:rPr>
        <w:t>(</w:t>
      </w:r>
      <w:r>
        <w:rPr>
          <w:rFonts w:hint="eastAsia"/>
        </w:rPr>
        <w:t>4</w:t>
      </w:r>
      <w:r>
        <w:rPr>
          <w:rFonts w:eastAsiaTheme="minorEastAsia" w:hint="eastAsia"/>
        </w:rPr>
        <w:t>)</w:t>
      </w:r>
      <w:r w:rsidRPr="00C207B9">
        <w:rPr>
          <w:rFonts w:ascii="宋体" w:hAnsi="宋体" w:cs="宋体" w:hint="eastAsia"/>
        </w:rPr>
        <w:t>段，《大会正式记录，第六十九届会议，补编第</w:t>
      </w:r>
      <w:r>
        <w:rPr>
          <w:rFonts w:hint="eastAsia"/>
        </w:rPr>
        <w:t>10</w:t>
      </w:r>
      <w:r w:rsidRPr="00C207B9">
        <w:rPr>
          <w:rFonts w:ascii="宋体" w:hAnsi="宋体" w:cs="宋体" w:hint="eastAsia"/>
        </w:rPr>
        <w:t>号》</w:t>
      </w:r>
      <w:r w:rsidRPr="00C207B9">
        <w:rPr>
          <w:rFonts w:hint="eastAsia"/>
        </w:rPr>
        <w:t>(</w:t>
      </w:r>
      <w:r>
        <w:rPr>
          <w:rFonts w:hint="eastAsia"/>
        </w:rPr>
        <w:t>A</w:t>
      </w:r>
      <w:r w:rsidRPr="00C207B9">
        <w:rPr>
          <w:rFonts w:hint="eastAsia"/>
        </w:rPr>
        <w:t>/</w:t>
      </w:r>
      <w:r>
        <w:rPr>
          <w:rFonts w:hint="eastAsia"/>
        </w:rPr>
        <w:t>69</w:t>
      </w:r>
      <w:r w:rsidRPr="00C207B9">
        <w:rPr>
          <w:rFonts w:hint="eastAsia"/>
        </w:rPr>
        <w:t>/</w:t>
      </w:r>
      <w:r>
        <w:rPr>
          <w:rFonts w:hint="eastAsia"/>
        </w:rPr>
        <w:t>10</w:t>
      </w:r>
      <w:r w:rsidRPr="00C207B9">
        <w:rPr>
          <w:rFonts w:hint="eastAsia"/>
        </w:rPr>
        <w:t>)</w:t>
      </w:r>
      <w:r w:rsidRPr="00C207B9">
        <w:rPr>
          <w:rFonts w:ascii="宋体" w:hAnsi="宋体" w:cs="宋体" w:hint="eastAsia"/>
        </w:rPr>
        <w:t>，</w:t>
      </w:r>
      <w:r w:rsidRPr="00C207B9">
        <w:rPr>
          <w:rFonts w:ascii="宋体" w:hAnsi="宋体" w:cs="宋体" w:hint="eastAsia"/>
          <w:color w:val="000000" w:themeColor="text1"/>
        </w:rPr>
        <w:t>第</w:t>
      </w:r>
      <w:r>
        <w:rPr>
          <w:rFonts w:hint="eastAsia"/>
          <w:color w:val="000000" w:themeColor="text1"/>
        </w:rPr>
        <w:t>23</w:t>
      </w:r>
      <w:r>
        <w:rPr>
          <w:rFonts w:eastAsiaTheme="minorEastAsia" w:hint="eastAsia"/>
          <w:color w:val="000000" w:themeColor="text1"/>
        </w:rPr>
        <w:t>7</w:t>
      </w:r>
      <w:r w:rsidRPr="00C207B9">
        <w:rPr>
          <w:rFonts w:ascii="宋体" w:hAnsi="宋体" w:cs="宋体" w:hint="eastAsia"/>
          <w:color w:val="000000" w:themeColor="text1"/>
        </w:rPr>
        <w:t>页。</w:t>
      </w:r>
    </w:p>
  </w:footnote>
  <w:footnote w:id="1439">
    <w:p w:rsidR="00AB00DE" w:rsidRPr="00C207B9" w:rsidRDefault="00AB00DE" w:rsidP="00396D56">
      <w:pPr>
        <w:pStyle w:val="a4"/>
        <w:spacing w:after="80"/>
      </w:pPr>
      <w:r>
        <w:rPr>
          <w:rFonts w:hint="eastAsia"/>
          <w:sz w:val="20"/>
        </w:rPr>
        <w:tab/>
      </w:r>
      <w:r w:rsidRPr="003D3D39">
        <w:rPr>
          <w:rStyle w:val="a5"/>
        </w:rPr>
        <w:footnoteRef/>
      </w:r>
      <w:r>
        <w:rPr>
          <w:rFonts w:hint="eastAsia"/>
          <w:sz w:val="20"/>
        </w:rPr>
        <w:tab/>
      </w:r>
      <w:r w:rsidRPr="00C207B9">
        <w:rPr>
          <w:rFonts w:ascii="宋体" w:hAnsi="宋体" w:cs="宋体" w:hint="eastAsia"/>
        </w:rPr>
        <w:t>见，从另方面来说，委员会第四十三届会议通过的国家及其财产的管辖豁免条款草案第</w:t>
      </w:r>
      <w:r>
        <w:t>2</w:t>
      </w:r>
      <w:r w:rsidRPr="00C207B9">
        <w:rPr>
          <w:rFonts w:ascii="宋体" w:hAnsi="宋体" w:cs="宋体" w:hint="eastAsia"/>
        </w:rPr>
        <w:t>条草案第</w:t>
      </w:r>
      <w:r>
        <w:t>1</w:t>
      </w:r>
      <w:r w:rsidRPr="00C207B9">
        <w:rPr>
          <w:rFonts w:ascii="宋体" w:hAnsi="宋体" w:cs="宋体" w:hint="eastAsia"/>
        </w:rPr>
        <w:t>款</w:t>
      </w:r>
      <w:r w:rsidRPr="00C207B9">
        <w:rPr>
          <w:color w:val="000000" w:themeColor="text1"/>
        </w:rPr>
        <w:t>(</w:t>
      </w:r>
      <w:r>
        <w:rPr>
          <w:color w:val="000000" w:themeColor="text1"/>
        </w:rPr>
        <w:t>b</w:t>
      </w:r>
      <w:r w:rsidRPr="00C207B9">
        <w:rPr>
          <w:color w:val="000000" w:themeColor="text1"/>
        </w:rPr>
        <w:t>)</w:t>
      </w:r>
      <w:r>
        <w:rPr>
          <w:rFonts w:hint="eastAsia"/>
          <w:color w:val="000000" w:themeColor="text1"/>
        </w:rPr>
        <w:t>(</w:t>
      </w:r>
      <w:r w:rsidRPr="00C207B9">
        <w:rPr>
          <w:rFonts w:ascii="宋体" w:hAnsi="宋体" w:cs="宋体" w:hint="eastAsia"/>
          <w:color w:val="000000" w:themeColor="text1"/>
        </w:rPr>
        <w:t>五</w:t>
      </w:r>
      <w:r>
        <w:rPr>
          <w:rFonts w:hint="eastAsia"/>
          <w:color w:val="000000" w:themeColor="text1"/>
        </w:rPr>
        <w:t>)</w:t>
      </w:r>
      <w:r w:rsidRPr="00C207B9">
        <w:rPr>
          <w:rFonts w:ascii="宋体" w:hAnsi="宋体" w:cs="宋体" w:hint="eastAsia"/>
          <w:color w:val="000000" w:themeColor="text1"/>
        </w:rPr>
        <w:t>项评注第</w:t>
      </w:r>
      <w:r>
        <w:rPr>
          <w:color w:val="000000" w:themeColor="text1"/>
        </w:rPr>
        <w:t>19</w:t>
      </w:r>
      <w:r w:rsidRPr="00C207B9">
        <w:rPr>
          <w:rFonts w:ascii="宋体" w:hAnsi="宋体" w:cs="宋体" w:hint="eastAsia"/>
          <w:color w:val="000000" w:themeColor="text1"/>
        </w:rPr>
        <w:t>段：</w:t>
      </w:r>
      <w:r>
        <w:rPr>
          <w:rFonts w:hint="eastAsia"/>
          <w:color w:val="000000" w:themeColor="text1"/>
        </w:rPr>
        <w:t>“</w:t>
      </w:r>
      <w:r w:rsidRPr="00C207B9">
        <w:rPr>
          <w:rFonts w:ascii="宋体" w:hAnsi="宋体" w:cs="宋体" w:hint="eastAsia"/>
          <w:color w:val="000000" w:themeColor="text1"/>
        </w:rPr>
        <w:t>属人豁免与属事豁免不同，后者在官方职务终止后仍然继续存在，前者则于公职一旦解除或终止后即无效。</w:t>
      </w:r>
      <w:r>
        <w:rPr>
          <w:rFonts w:hint="eastAsia"/>
          <w:color w:val="000000" w:themeColor="text1"/>
        </w:rPr>
        <w:t>”</w:t>
      </w:r>
      <w:r w:rsidRPr="00C207B9">
        <w:rPr>
          <w:color w:val="000000" w:themeColor="text1"/>
        </w:rPr>
        <w:t>(</w:t>
      </w:r>
      <w:r w:rsidRPr="00C207B9">
        <w:rPr>
          <w:rFonts w:ascii="宋体" w:hAnsi="宋体" w:cs="宋体" w:hint="eastAsia"/>
          <w:color w:val="000000" w:themeColor="text1"/>
        </w:rPr>
        <w:t>《</w:t>
      </w:r>
      <w:r>
        <w:rPr>
          <w:color w:val="000000" w:themeColor="text1"/>
        </w:rPr>
        <w:t>1991</w:t>
      </w:r>
      <w:r w:rsidRPr="00C207B9">
        <w:rPr>
          <w:rFonts w:ascii="宋体" w:hAnsi="宋体" w:cs="宋体" w:hint="eastAsia"/>
          <w:color w:val="000000" w:themeColor="text1"/>
        </w:rPr>
        <w:t>年</w:t>
      </w:r>
      <w:r>
        <w:rPr>
          <w:rFonts w:hint="eastAsia"/>
        </w:rPr>
        <w:t>……</w:t>
      </w:r>
      <w:r>
        <w:rPr>
          <w:rFonts w:ascii="宋体" w:hAnsi="宋体" w:cs="宋体" w:hint="eastAsia"/>
          <w:color w:val="000000" w:themeColor="text1"/>
        </w:rPr>
        <w:t>年鉴》，第二卷</w:t>
      </w:r>
      <w:r>
        <w:rPr>
          <w:rFonts w:hint="eastAsia"/>
          <w:color w:val="000000" w:themeColor="text1"/>
        </w:rPr>
        <w:t>(</w:t>
      </w:r>
      <w:r>
        <w:rPr>
          <w:rFonts w:ascii="宋体" w:hAnsi="宋体" w:cs="宋体" w:hint="eastAsia"/>
          <w:color w:val="000000" w:themeColor="text1"/>
        </w:rPr>
        <w:t>第二部分</w:t>
      </w:r>
      <w:r>
        <w:rPr>
          <w:rFonts w:hint="eastAsia"/>
          <w:color w:val="000000" w:themeColor="text1"/>
        </w:rPr>
        <w:t>)</w:t>
      </w:r>
      <w:r w:rsidRPr="00C207B9">
        <w:rPr>
          <w:rFonts w:ascii="宋体" w:hAnsi="宋体" w:cs="宋体" w:hint="eastAsia"/>
          <w:color w:val="000000" w:themeColor="text1"/>
        </w:rPr>
        <w:t>，第</w:t>
      </w:r>
      <w:r>
        <w:rPr>
          <w:rFonts w:eastAsiaTheme="minorEastAsia" w:hint="eastAsia"/>
          <w:color w:val="000000" w:themeColor="text1"/>
        </w:rPr>
        <w:t>18</w:t>
      </w:r>
      <w:r w:rsidRPr="00C207B9">
        <w:rPr>
          <w:rFonts w:ascii="宋体" w:hAnsi="宋体" w:cs="宋体" w:hint="eastAsia"/>
          <w:color w:val="000000" w:themeColor="text1"/>
        </w:rPr>
        <w:t>页</w:t>
      </w:r>
      <w:r w:rsidRPr="00C207B9">
        <w:rPr>
          <w:color w:val="000000" w:themeColor="text1"/>
        </w:rPr>
        <w:t>)</w:t>
      </w:r>
      <w:r w:rsidRPr="00C207B9">
        <w:rPr>
          <w:rFonts w:ascii="宋体" w:hAnsi="宋体" w:cs="宋体" w:hint="eastAsia"/>
          <w:color w:val="000000" w:themeColor="text1"/>
        </w:rPr>
        <w:t>。</w:t>
      </w:r>
    </w:p>
  </w:footnote>
  <w:footnote w:id="1440">
    <w:p w:rsidR="00AB00DE" w:rsidRPr="00C207B9" w:rsidRDefault="00AB00DE" w:rsidP="00E83B81">
      <w:pPr>
        <w:pStyle w:val="a4"/>
        <w:spacing w:after="80"/>
      </w:pPr>
      <w:r>
        <w:rPr>
          <w:rFonts w:hint="eastAsia"/>
          <w:sz w:val="20"/>
        </w:rPr>
        <w:tab/>
      </w:r>
      <w:r w:rsidRPr="003D3D39">
        <w:rPr>
          <w:rStyle w:val="a5"/>
        </w:rPr>
        <w:footnoteRef/>
      </w:r>
      <w:r>
        <w:rPr>
          <w:rFonts w:hint="eastAsia"/>
          <w:sz w:val="20"/>
        </w:rPr>
        <w:tab/>
      </w:r>
      <w:r w:rsidRPr="00C207B9">
        <w:rPr>
          <w:rFonts w:ascii="宋体" w:hAnsi="宋体" w:cs="宋体" w:hint="eastAsia"/>
          <w:color w:val="000000"/>
          <w:lang w:val="es-ES"/>
        </w:rPr>
        <w:t>全部见国际法学会，</w:t>
      </w:r>
      <w:r>
        <w:rPr>
          <w:rFonts w:hint="eastAsia"/>
          <w:color w:val="000000"/>
          <w:lang w:val="es-ES"/>
        </w:rPr>
        <w:t>“</w:t>
      </w:r>
      <w:r w:rsidRPr="00C207B9">
        <w:rPr>
          <w:rFonts w:ascii="宋体" w:hAnsi="宋体" w:cs="宋体" w:hint="eastAsia"/>
          <w:color w:val="000000"/>
          <w:lang w:val="es-ES"/>
        </w:rPr>
        <w:t>关于国际法中国家元首和政府首脑的管辖和执行豁免的决议</w:t>
      </w:r>
      <w:r>
        <w:rPr>
          <w:rFonts w:hint="eastAsia"/>
          <w:color w:val="000000"/>
          <w:lang w:val="es-ES"/>
        </w:rPr>
        <w:t>”</w:t>
      </w:r>
      <w:r w:rsidRPr="00C207B9">
        <w:rPr>
          <w:rFonts w:ascii="宋体" w:hAnsi="宋体" w:cs="宋体" w:hint="eastAsia"/>
          <w:color w:val="000000"/>
          <w:lang w:val="es-ES"/>
        </w:rPr>
        <w:t>，该决议</w:t>
      </w:r>
      <w:r w:rsidRPr="00E83B81">
        <w:rPr>
          <w:rFonts w:ascii="Time New Roman" w:hAnsi="Time New Roman" w:hint="eastAsia"/>
          <w:spacing w:val="-50"/>
        </w:rPr>
        <w:t>―</w:t>
      </w:r>
      <w:r w:rsidRPr="00E83B81">
        <w:rPr>
          <w:rFonts w:ascii="Time New Roman" w:hAnsi="Time New Roman" w:hint="eastAsia"/>
        </w:rPr>
        <w:t>―</w:t>
      </w:r>
      <w:r w:rsidRPr="00C207B9">
        <w:rPr>
          <w:rFonts w:ascii="宋体" w:hAnsi="宋体" w:cs="宋体" w:hint="eastAsia"/>
          <w:color w:val="000000"/>
          <w:lang w:val="es-ES"/>
        </w:rPr>
        <w:t>从另方面来说</w:t>
      </w:r>
      <w:r w:rsidRPr="00E83B81">
        <w:rPr>
          <w:rFonts w:ascii="Time New Roman" w:hAnsi="Time New Roman" w:hint="eastAsia"/>
          <w:spacing w:val="-50"/>
        </w:rPr>
        <w:t>―</w:t>
      </w:r>
      <w:r w:rsidRPr="00E83B81">
        <w:rPr>
          <w:rFonts w:ascii="Time New Roman" w:hAnsi="Time New Roman" w:hint="eastAsia"/>
        </w:rPr>
        <w:t>―</w:t>
      </w:r>
      <w:r w:rsidRPr="00C207B9">
        <w:rPr>
          <w:rFonts w:ascii="宋体" w:hAnsi="宋体" w:cs="宋体" w:hint="eastAsia"/>
          <w:color w:val="000000"/>
          <w:lang w:val="es-ES"/>
        </w:rPr>
        <w:t>在第</w:t>
      </w:r>
      <w:r>
        <w:rPr>
          <w:color w:val="000000"/>
          <w:lang w:val="es-ES"/>
        </w:rPr>
        <w:t>13</w:t>
      </w:r>
      <w:r w:rsidRPr="00C207B9">
        <w:rPr>
          <w:rFonts w:ascii="宋体" w:hAnsi="宋体" w:cs="宋体" w:hint="eastAsia"/>
          <w:color w:val="000000"/>
          <w:lang w:val="es-ES"/>
        </w:rPr>
        <w:t>条第</w:t>
      </w:r>
      <w:r>
        <w:rPr>
          <w:color w:val="000000"/>
          <w:lang w:val="es-ES"/>
        </w:rPr>
        <w:t>1</w:t>
      </w:r>
      <w:r w:rsidRPr="00C207B9">
        <w:rPr>
          <w:rFonts w:ascii="宋体" w:hAnsi="宋体" w:cs="宋体" w:hint="eastAsia"/>
          <w:color w:val="000000"/>
          <w:lang w:val="es-ES"/>
        </w:rPr>
        <w:t>款和第</w:t>
      </w:r>
      <w:r>
        <w:rPr>
          <w:color w:val="000000"/>
          <w:lang w:val="es-ES"/>
        </w:rPr>
        <w:t>2</w:t>
      </w:r>
      <w:r w:rsidRPr="00C207B9">
        <w:rPr>
          <w:rFonts w:ascii="宋体" w:hAnsi="宋体" w:cs="宋体" w:hint="eastAsia"/>
          <w:color w:val="000000"/>
          <w:lang w:val="es-ES"/>
        </w:rPr>
        <w:t>款中采取了同样的立场</w:t>
      </w:r>
      <w:r w:rsidRPr="00C207B9">
        <w:rPr>
          <w:color w:val="000000"/>
          <w:lang w:val="es-ES"/>
        </w:rPr>
        <w:t>(</w:t>
      </w:r>
      <w:r w:rsidRPr="00C207B9">
        <w:rPr>
          <w:rFonts w:ascii="宋体" w:hAnsi="宋体" w:cs="宋体" w:hint="eastAsia"/>
          <w:color w:val="000000"/>
          <w:lang w:val="es-ES"/>
        </w:rPr>
        <w:t>《国际法学会年鉴》，第</w:t>
      </w:r>
      <w:r>
        <w:rPr>
          <w:color w:val="000000"/>
          <w:lang w:val="es-ES"/>
        </w:rPr>
        <w:t>69</w:t>
      </w:r>
      <w:r w:rsidRPr="00C207B9">
        <w:rPr>
          <w:rFonts w:ascii="宋体" w:hAnsi="宋体" w:cs="宋体" w:hint="eastAsia"/>
          <w:color w:val="000000"/>
          <w:lang w:val="es-ES"/>
        </w:rPr>
        <w:t>卷</w:t>
      </w:r>
      <w:r>
        <w:rPr>
          <w:rFonts w:hint="eastAsia"/>
          <w:color w:val="000000"/>
          <w:lang w:val="es-ES"/>
        </w:rPr>
        <w:t>(</w:t>
      </w:r>
      <w:r w:rsidRPr="00C207B9">
        <w:rPr>
          <w:rFonts w:ascii="宋体" w:hAnsi="宋体" w:cs="宋体" w:hint="eastAsia"/>
          <w:color w:val="000000"/>
          <w:lang w:val="es-ES"/>
        </w:rPr>
        <w:t>温哥华会议，</w:t>
      </w:r>
      <w:r>
        <w:rPr>
          <w:color w:val="000000"/>
          <w:lang w:val="es-ES"/>
        </w:rPr>
        <w:t>2001</w:t>
      </w:r>
      <w:r w:rsidRPr="00C207B9">
        <w:rPr>
          <w:rFonts w:ascii="宋体" w:hAnsi="宋体" w:cs="宋体" w:hint="eastAsia"/>
          <w:color w:val="000000"/>
          <w:lang w:val="es-ES"/>
        </w:rPr>
        <w:t>年），第</w:t>
      </w:r>
      <w:r>
        <w:rPr>
          <w:color w:val="000000"/>
          <w:lang w:val="es-ES"/>
        </w:rPr>
        <w:t>743</w:t>
      </w:r>
      <w:r w:rsidRPr="00C207B9">
        <w:rPr>
          <w:rFonts w:ascii="宋体" w:hAnsi="宋体" w:cs="宋体" w:hint="eastAsia"/>
          <w:color w:val="000000"/>
          <w:lang w:val="es-ES"/>
        </w:rPr>
        <w:t>页及其后，特别是第</w:t>
      </w:r>
      <w:r>
        <w:rPr>
          <w:color w:val="000000"/>
          <w:lang w:val="es-ES"/>
        </w:rPr>
        <w:t>753</w:t>
      </w:r>
      <w:r w:rsidRPr="00C207B9">
        <w:rPr>
          <w:rFonts w:ascii="宋体" w:hAnsi="宋体" w:cs="宋体" w:hint="eastAsia"/>
          <w:color w:val="000000"/>
          <w:lang w:val="es-ES"/>
        </w:rPr>
        <w:t>页</w:t>
      </w:r>
      <w:r w:rsidRPr="00C207B9">
        <w:rPr>
          <w:color w:val="000000"/>
          <w:lang w:val="es-ES"/>
        </w:rPr>
        <w:t>)</w:t>
      </w:r>
      <w:r w:rsidRPr="00C207B9">
        <w:rPr>
          <w:rFonts w:ascii="宋体" w:hAnsi="宋体" w:cs="宋体" w:hint="eastAsia"/>
          <w:color w:val="000000"/>
          <w:lang w:val="es-ES"/>
        </w:rPr>
        <w:t>；以及</w:t>
      </w:r>
      <w:r>
        <w:rPr>
          <w:rFonts w:hint="eastAsia"/>
          <w:color w:val="000000"/>
          <w:lang w:val="es-ES"/>
        </w:rPr>
        <w:t>“</w:t>
      </w:r>
      <w:r w:rsidRPr="00C207B9">
        <w:rPr>
          <w:rFonts w:ascii="宋体" w:hAnsi="宋体" w:cs="宋体" w:hint="eastAsia"/>
          <w:color w:val="000000"/>
          <w:lang w:val="es-ES"/>
        </w:rPr>
        <w:t>关于国家及其官员在国际犯罪中的管辖豁免的决议</w:t>
      </w:r>
      <w:r>
        <w:rPr>
          <w:rFonts w:hint="eastAsia"/>
          <w:color w:val="000000"/>
          <w:lang w:val="es-ES"/>
        </w:rPr>
        <w:t>”</w:t>
      </w:r>
      <w:r w:rsidRPr="00C207B9">
        <w:rPr>
          <w:rFonts w:ascii="宋体" w:hAnsi="宋体" w:cs="宋体" w:hint="eastAsia"/>
          <w:color w:val="000000"/>
          <w:lang w:val="es-ES"/>
        </w:rPr>
        <w:t>，第三条，第</w:t>
      </w:r>
      <w:r>
        <w:rPr>
          <w:color w:val="000000"/>
          <w:lang w:val="es-ES"/>
        </w:rPr>
        <w:t>1</w:t>
      </w:r>
      <w:r w:rsidRPr="00C207B9">
        <w:rPr>
          <w:rFonts w:ascii="宋体" w:hAnsi="宋体" w:cs="宋体" w:hint="eastAsia"/>
          <w:color w:val="000000"/>
          <w:lang w:val="es-ES"/>
        </w:rPr>
        <w:t>款和第</w:t>
      </w:r>
      <w:r>
        <w:rPr>
          <w:color w:val="000000"/>
          <w:lang w:val="es-ES"/>
        </w:rPr>
        <w:t>2</w:t>
      </w:r>
      <w:r w:rsidRPr="00C207B9">
        <w:rPr>
          <w:rFonts w:ascii="宋体" w:hAnsi="宋体" w:cs="宋体" w:hint="eastAsia"/>
          <w:color w:val="000000"/>
          <w:lang w:val="es-ES"/>
        </w:rPr>
        <w:t>款</w:t>
      </w:r>
      <w:r>
        <w:rPr>
          <w:rFonts w:eastAsiaTheme="minorEastAsia" w:hint="eastAsia"/>
          <w:color w:val="000000"/>
          <w:lang w:val="es-ES"/>
        </w:rPr>
        <w:t>，</w:t>
      </w:r>
      <w:r w:rsidRPr="00C207B9">
        <w:rPr>
          <w:rFonts w:ascii="宋体" w:hAnsi="宋体" w:cs="宋体" w:hint="eastAsia"/>
          <w:color w:val="000000"/>
          <w:lang w:val="es-ES"/>
        </w:rPr>
        <w:t>同上，第</w:t>
      </w:r>
      <w:r>
        <w:rPr>
          <w:color w:val="000000"/>
          <w:lang w:val="es-ES"/>
        </w:rPr>
        <w:t>73</w:t>
      </w:r>
      <w:r w:rsidRPr="00C207B9">
        <w:rPr>
          <w:rFonts w:ascii="宋体" w:hAnsi="宋体" w:cs="宋体" w:hint="eastAsia"/>
          <w:color w:val="000000"/>
          <w:lang w:val="es-ES"/>
        </w:rPr>
        <w:t>卷</w:t>
      </w:r>
      <w:r w:rsidRPr="00C207B9">
        <w:rPr>
          <w:color w:val="000000"/>
          <w:lang w:val="es-ES"/>
        </w:rPr>
        <w:t>(</w:t>
      </w:r>
      <w:r w:rsidRPr="00C207B9">
        <w:rPr>
          <w:rFonts w:ascii="宋体" w:hAnsi="宋体" w:cs="宋体" w:hint="eastAsia"/>
          <w:color w:val="000000"/>
          <w:lang w:val="es-ES"/>
        </w:rPr>
        <w:t>那不勒斯会议，</w:t>
      </w:r>
      <w:r>
        <w:rPr>
          <w:color w:val="000000"/>
          <w:lang w:val="es-ES"/>
        </w:rPr>
        <w:t>2009</w:t>
      </w:r>
      <w:r w:rsidRPr="00C207B9">
        <w:rPr>
          <w:rFonts w:ascii="宋体" w:hAnsi="宋体" w:cs="宋体" w:hint="eastAsia"/>
          <w:color w:val="000000"/>
          <w:lang w:val="es-ES"/>
        </w:rPr>
        <w:t>年</w:t>
      </w:r>
      <w:r w:rsidRPr="00C207B9">
        <w:rPr>
          <w:color w:val="000000"/>
          <w:lang w:val="es-ES"/>
        </w:rPr>
        <w:t>)</w:t>
      </w:r>
      <w:r w:rsidRPr="00C207B9">
        <w:rPr>
          <w:rFonts w:ascii="宋体" w:hAnsi="宋体" w:cs="宋体" w:hint="eastAsia"/>
          <w:color w:val="000000"/>
          <w:lang w:val="es-ES"/>
        </w:rPr>
        <w:t>，第</w:t>
      </w:r>
      <w:r>
        <w:rPr>
          <w:color w:val="000000"/>
          <w:lang w:val="es-ES"/>
        </w:rPr>
        <w:t>226</w:t>
      </w:r>
      <w:r w:rsidRPr="00C207B9">
        <w:rPr>
          <w:rFonts w:ascii="宋体" w:hAnsi="宋体" w:cs="宋体" w:hint="eastAsia"/>
          <w:color w:val="000000"/>
          <w:lang w:val="es-ES"/>
        </w:rPr>
        <w:t>页及其后，特别是第</w:t>
      </w:r>
      <w:r>
        <w:rPr>
          <w:color w:val="000000"/>
          <w:lang w:val="es-ES"/>
        </w:rPr>
        <w:t>227</w:t>
      </w:r>
      <w:r w:rsidRPr="00C207B9">
        <w:rPr>
          <w:rFonts w:ascii="宋体" w:hAnsi="宋体" w:cs="宋体" w:hint="eastAsia"/>
          <w:color w:val="000000"/>
          <w:lang w:val="es-ES"/>
        </w:rPr>
        <w:t>页。以上决议可查阅国际法学会网站：</w:t>
      </w:r>
      <w:hyperlink r:id="rId333" w:history="1">
        <w:r>
          <w:rPr>
            <w:rStyle w:val="af"/>
            <w:lang w:val="es-ES"/>
          </w:rPr>
          <w:t>www</w:t>
        </w:r>
        <w:r w:rsidRPr="00000D82">
          <w:rPr>
            <w:rStyle w:val="af"/>
            <w:lang w:val="es-ES"/>
          </w:rPr>
          <w:t>.</w:t>
        </w:r>
        <w:r>
          <w:rPr>
            <w:rStyle w:val="af"/>
            <w:lang w:val="es-ES"/>
          </w:rPr>
          <w:t>idi</w:t>
        </w:r>
        <w:r w:rsidRPr="00000D82">
          <w:rPr>
            <w:rStyle w:val="af"/>
            <w:lang w:val="es-ES"/>
          </w:rPr>
          <w:t>-</w:t>
        </w:r>
        <w:r>
          <w:rPr>
            <w:rStyle w:val="af"/>
            <w:lang w:val="es-ES"/>
          </w:rPr>
          <w:t>iil</w:t>
        </w:r>
        <w:r w:rsidRPr="00000D82">
          <w:rPr>
            <w:rStyle w:val="af"/>
            <w:lang w:val="es-ES"/>
          </w:rPr>
          <w:t>.</w:t>
        </w:r>
        <w:r>
          <w:rPr>
            <w:rStyle w:val="af"/>
            <w:lang w:val="es-ES"/>
          </w:rPr>
          <w:t>org</w:t>
        </w:r>
      </w:hyperlink>
      <w:r w:rsidRPr="00C207B9">
        <w:rPr>
          <w:rFonts w:ascii="宋体" w:hAnsi="宋体" w:cs="宋体" w:hint="eastAsia"/>
          <w:color w:val="000000"/>
          <w:lang w:val="es-ES"/>
        </w:rPr>
        <w:t>。</w:t>
      </w:r>
    </w:p>
  </w:footnote>
  <w:footnote w:id="1441">
    <w:p w:rsidR="00AB00DE" w:rsidRPr="00C207B9" w:rsidRDefault="00AB00DE" w:rsidP="00324F1C">
      <w:pPr>
        <w:pStyle w:val="a4"/>
        <w:spacing w:after="80"/>
      </w:pPr>
      <w:r>
        <w:rPr>
          <w:rFonts w:hint="eastAsia"/>
          <w:sz w:val="20"/>
        </w:rPr>
        <w:tab/>
      </w:r>
      <w:r w:rsidRPr="003D3D39">
        <w:rPr>
          <w:rStyle w:val="a5"/>
        </w:rPr>
        <w:footnoteRef/>
      </w:r>
      <w:r>
        <w:rPr>
          <w:rFonts w:hint="eastAsia"/>
          <w:sz w:val="20"/>
        </w:rPr>
        <w:tab/>
      </w:r>
      <w:r w:rsidRPr="00C207B9">
        <w:rPr>
          <w:rFonts w:ascii="宋体" w:hAnsi="宋体" w:cs="宋体" w:hint="eastAsia"/>
        </w:rPr>
        <w:t>该公约第三十九条第二款规定：</w:t>
      </w:r>
      <w:r>
        <w:rPr>
          <w:rFonts w:hint="eastAsia"/>
        </w:rPr>
        <w:t>“</w:t>
      </w:r>
      <w:r w:rsidRPr="00C207B9">
        <w:rPr>
          <w:rFonts w:ascii="宋体" w:hAnsi="宋体" w:cs="宋体" w:hint="eastAsia"/>
        </w:rPr>
        <w:t>享有特权与豁免人员之职务如已终止，此项特权与豁免通常于该员离境之时或听任其离境之合理期间终了之时停止，纵有武装冲突情事，亦应继续有效至该时为止。但关于其以使馆人员资格执行职务之行为，豁免应始终有效。</w:t>
      </w:r>
      <w:r>
        <w:rPr>
          <w:rFonts w:hint="eastAsia"/>
        </w:rPr>
        <w:t>”</w:t>
      </w:r>
      <w:r>
        <w:rPr>
          <w:rFonts w:hint="eastAsia"/>
        </w:rPr>
        <w:t>(</w:t>
      </w:r>
      <w:r w:rsidRPr="00C207B9">
        <w:rPr>
          <w:rFonts w:ascii="宋体" w:hAnsi="宋体" w:cs="宋体" w:hint="eastAsia"/>
        </w:rPr>
        <w:t>《维也纳外交关系公约》，联合国，《条约汇编》，第</w:t>
      </w:r>
      <w:r>
        <w:t>500</w:t>
      </w:r>
      <w:r w:rsidRPr="00C207B9">
        <w:rPr>
          <w:rFonts w:ascii="宋体" w:hAnsi="宋体" w:cs="宋体" w:hint="eastAsia"/>
        </w:rPr>
        <w:t>卷，第</w:t>
      </w:r>
      <w:r>
        <w:t>7310</w:t>
      </w:r>
      <w:r w:rsidRPr="00C207B9">
        <w:rPr>
          <w:rFonts w:ascii="宋体" w:hAnsi="宋体" w:cs="宋体" w:hint="eastAsia"/>
        </w:rPr>
        <w:t>号，第</w:t>
      </w:r>
      <w:r>
        <w:t>95</w:t>
      </w:r>
      <w:r w:rsidRPr="00C207B9">
        <w:rPr>
          <w:rFonts w:ascii="宋体" w:hAnsi="宋体" w:cs="宋体" w:hint="eastAsia"/>
        </w:rPr>
        <w:t>页，特别是第</w:t>
      </w:r>
      <w:r>
        <w:rPr>
          <w:rFonts w:hint="eastAsia"/>
        </w:rPr>
        <w:t>118</w:t>
      </w:r>
      <w:r w:rsidRPr="00C207B9">
        <w:rPr>
          <w:rFonts w:ascii="宋体" w:hAnsi="宋体" w:cs="宋体" w:hint="eastAsia"/>
        </w:rPr>
        <w:t>页</w:t>
      </w:r>
      <w:r>
        <w:rPr>
          <w:rFonts w:hint="eastAsia"/>
        </w:rPr>
        <w:t>)</w:t>
      </w:r>
      <w:r w:rsidRPr="00C207B9">
        <w:rPr>
          <w:rFonts w:ascii="宋体" w:hAnsi="宋体" w:cs="宋体" w:hint="eastAsia"/>
        </w:rPr>
        <w:t>。</w:t>
      </w:r>
    </w:p>
  </w:footnote>
  <w:footnote w:id="1442">
    <w:p w:rsidR="00AB00DE" w:rsidRPr="005A7C70" w:rsidRDefault="00AB00DE" w:rsidP="00324F1C">
      <w:pPr>
        <w:pStyle w:val="a4"/>
        <w:spacing w:after="80"/>
        <w:rPr>
          <w:sz w:val="20"/>
        </w:rPr>
      </w:pPr>
      <w:r>
        <w:rPr>
          <w:rFonts w:hint="eastAsia"/>
          <w:sz w:val="20"/>
        </w:rPr>
        <w:tab/>
      </w:r>
      <w:r w:rsidRPr="003D3D39">
        <w:rPr>
          <w:rStyle w:val="a5"/>
        </w:rPr>
        <w:footnoteRef/>
      </w:r>
      <w:r>
        <w:rPr>
          <w:rFonts w:hint="eastAsia"/>
          <w:sz w:val="20"/>
        </w:rPr>
        <w:tab/>
      </w:r>
      <w:r w:rsidRPr="00C207B9">
        <w:rPr>
          <w:rFonts w:ascii="宋体" w:hAnsi="宋体" w:cs="宋体" w:hint="eastAsia"/>
        </w:rPr>
        <w:t>该公约第四条第十二节规定：</w:t>
      </w:r>
      <w:r>
        <w:rPr>
          <w:rFonts w:hint="eastAsia"/>
        </w:rPr>
        <w:t>“</w:t>
      </w:r>
      <w:r w:rsidRPr="00C207B9">
        <w:rPr>
          <w:rFonts w:ascii="宋体" w:hAnsi="宋体" w:cs="宋体" w:hint="eastAsia"/>
        </w:rPr>
        <w:t>为确保出席联合国各主要和辅助机关及联合国所召开会议的各会员国代表于履行其职责时言论完全自由和态度完全独立起见，他们为履行职责而发表的口头或书面的言论和他们所实施的一切行为对法律程序的豁免虽在关系人不再担任会员国代表时仍应继续享有。</w:t>
      </w:r>
      <w:r>
        <w:rPr>
          <w:rFonts w:hint="eastAsia"/>
        </w:rPr>
        <w:t>”</w:t>
      </w:r>
      <w:r w:rsidRPr="00C207B9">
        <w:t>(</w:t>
      </w:r>
      <w:r w:rsidRPr="00C207B9">
        <w:rPr>
          <w:rFonts w:ascii="宋体" w:hAnsi="宋体" w:cs="宋体" w:hint="eastAsia"/>
        </w:rPr>
        <w:t>《联合国特权和豁免公约》，联合国，《条约汇编》，第</w:t>
      </w:r>
      <w:r>
        <w:t>1</w:t>
      </w:r>
      <w:r w:rsidRPr="00C207B9">
        <w:rPr>
          <w:rFonts w:ascii="宋体" w:hAnsi="宋体" w:cs="宋体" w:hint="eastAsia"/>
        </w:rPr>
        <w:t>卷第</w:t>
      </w:r>
      <w:r>
        <w:t>4</w:t>
      </w:r>
      <w:r w:rsidRPr="00C207B9">
        <w:rPr>
          <w:rFonts w:ascii="宋体" w:hAnsi="宋体" w:cs="宋体" w:hint="eastAsia"/>
        </w:rPr>
        <w:t>号，第</w:t>
      </w:r>
      <w:r>
        <w:t>15</w:t>
      </w:r>
      <w:r w:rsidRPr="00C207B9">
        <w:rPr>
          <w:rFonts w:ascii="宋体" w:hAnsi="宋体" w:cs="宋体" w:hint="eastAsia"/>
        </w:rPr>
        <w:t>页，特别是第</w:t>
      </w:r>
      <w:r>
        <w:t>22</w:t>
      </w:r>
      <w:r w:rsidRPr="00C207B9">
        <w:rPr>
          <w:rFonts w:ascii="宋体" w:hAnsi="宋体" w:cs="宋体" w:hint="eastAsia"/>
        </w:rPr>
        <w:t>页</w:t>
      </w:r>
      <w:r w:rsidRPr="00C207B9">
        <w:t>)</w:t>
      </w:r>
      <w:r w:rsidRPr="00C207B9">
        <w:rPr>
          <w:rFonts w:ascii="宋体" w:hAnsi="宋体" w:cs="宋体" w:hint="eastAsia"/>
        </w:rPr>
        <w:t>。</w:t>
      </w:r>
      <w:r>
        <w:t>1947</w:t>
      </w:r>
      <w:r w:rsidRPr="00C207B9">
        <w:rPr>
          <w:rFonts w:ascii="宋体" w:hAnsi="宋体" w:cs="宋体" w:hint="eastAsia"/>
        </w:rPr>
        <w:t>年《专门机构特权和豁免公约》沿袭了同样的模式，在第五条第十四节中规定：</w:t>
      </w:r>
      <w:r>
        <w:rPr>
          <w:rFonts w:ascii="Calibri" w:hAnsi="Calibri" w:cs="Calibri" w:hint="eastAsia"/>
        </w:rPr>
        <w:t>“</w:t>
      </w:r>
      <w:r w:rsidRPr="00C207B9">
        <w:rPr>
          <w:rFonts w:ascii="宋体" w:hAnsi="宋体" w:cs="宋体" w:hint="eastAsia"/>
        </w:rPr>
        <w:t>为确保出席专门机构所召开会议的各会员国代表于履行其职责时言论完全自由和态度完全独立起见，其为履行职责而发表的口头或书面的言论和所实施的一切行为，虽关系人已不再从事履行这种职责，仍应继续豁免法律程序。</w:t>
      </w:r>
      <w:r>
        <w:rPr>
          <w:rFonts w:asciiTheme="majorBidi" w:hAnsiTheme="majorBidi" w:cstheme="majorBidi" w:hint="eastAsia"/>
        </w:rPr>
        <w:t>”</w:t>
      </w:r>
      <w:r w:rsidRPr="00C207B9">
        <w:rPr>
          <w:rFonts w:asciiTheme="majorBidi" w:hAnsiTheme="majorBidi" w:cstheme="majorBidi" w:hint="eastAsia"/>
        </w:rPr>
        <w:t>(</w:t>
      </w:r>
      <w:r w:rsidRPr="00C207B9">
        <w:rPr>
          <w:rFonts w:ascii="宋体" w:hAnsi="宋体" w:cs="宋体" w:hint="eastAsia"/>
        </w:rPr>
        <w:t>同上，第</w:t>
      </w:r>
      <w:r>
        <w:rPr>
          <w:rFonts w:asciiTheme="majorBidi" w:hAnsiTheme="majorBidi" w:cstheme="majorBidi" w:hint="eastAsia"/>
        </w:rPr>
        <w:t>33</w:t>
      </w:r>
      <w:r w:rsidRPr="00C207B9">
        <w:rPr>
          <w:rFonts w:ascii="宋体" w:hAnsi="宋体" w:cs="宋体" w:hint="eastAsia"/>
        </w:rPr>
        <w:t>卷，第</w:t>
      </w:r>
      <w:r>
        <w:rPr>
          <w:rFonts w:asciiTheme="majorBidi" w:hAnsiTheme="majorBidi" w:cstheme="majorBidi" w:hint="eastAsia"/>
        </w:rPr>
        <w:t>521</w:t>
      </w:r>
      <w:r w:rsidRPr="00C207B9">
        <w:rPr>
          <w:rFonts w:ascii="宋体" w:hAnsi="宋体" w:cs="宋体" w:hint="eastAsia"/>
        </w:rPr>
        <w:t>号，第</w:t>
      </w:r>
      <w:r>
        <w:rPr>
          <w:rFonts w:asciiTheme="majorBidi" w:hAnsiTheme="majorBidi" w:cstheme="majorBidi" w:hint="eastAsia"/>
        </w:rPr>
        <w:t>261</w:t>
      </w:r>
      <w:r w:rsidRPr="00C207B9">
        <w:rPr>
          <w:rFonts w:ascii="宋体" w:hAnsi="宋体" w:cs="宋体" w:hint="eastAsia"/>
        </w:rPr>
        <w:t>页，特别是第</w:t>
      </w:r>
      <w:r>
        <w:rPr>
          <w:rFonts w:asciiTheme="majorBidi" w:hAnsiTheme="majorBidi" w:cstheme="majorBidi" w:hint="eastAsia"/>
        </w:rPr>
        <w:t>272</w:t>
      </w:r>
      <w:r w:rsidRPr="00C207B9">
        <w:rPr>
          <w:rFonts w:ascii="宋体" w:hAnsi="宋体" w:cs="宋体" w:hint="eastAsia"/>
        </w:rPr>
        <w:t>页</w:t>
      </w:r>
      <w:r w:rsidRPr="00C207B9">
        <w:rPr>
          <w:rFonts w:asciiTheme="majorBidi" w:hAnsiTheme="majorBidi" w:cstheme="majorBidi" w:hint="eastAsia"/>
        </w:rPr>
        <w:t>)</w:t>
      </w:r>
      <w:r w:rsidRPr="00C207B9">
        <w:rPr>
          <w:rFonts w:ascii="宋体" w:hAnsi="宋体" w:cs="宋体" w:hint="eastAsia"/>
        </w:rPr>
        <w:t>。</w:t>
      </w:r>
    </w:p>
  </w:footnote>
  <w:footnote w:id="1443">
    <w:p w:rsidR="00AB00DE" w:rsidRPr="00E74096" w:rsidRDefault="00AB00DE" w:rsidP="00396D56">
      <w:pPr>
        <w:pStyle w:val="a4"/>
        <w:spacing w:after="80"/>
        <w:rPr>
          <w:color w:val="000000" w:themeColor="text1"/>
          <w:sz w:val="20"/>
        </w:rPr>
      </w:pPr>
      <w:r>
        <w:rPr>
          <w:rFonts w:hint="eastAsia"/>
          <w:sz w:val="20"/>
        </w:rPr>
        <w:tab/>
      </w:r>
      <w:r w:rsidRPr="003D3D39">
        <w:rPr>
          <w:rStyle w:val="a5"/>
        </w:rPr>
        <w:footnoteRef/>
      </w:r>
      <w:r>
        <w:rPr>
          <w:rFonts w:hint="eastAsia"/>
          <w:sz w:val="20"/>
        </w:rPr>
        <w:tab/>
      </w:r>
      <w:r w:rsidRPr="00C207B9">
        <w:rPr>
          <w:rFonts w:ascii="宋体" w:hAnsi="宋体" w:cs="宋体" w:hint="eastAsia"/>
          <w:color w:val="000000" w:themeColor="text1"/>
        </w:rPr>
        <w:t>关于</w:t>
      </w:r>
      <w:r>
        <w:rPr>
          <w:rFonts w:ascii="Calibri" w:hAnsi="Calibri" w:cs="Calibri" w:hint="eastAsia"/>
          <w:color w:val="000000" w:themeColor="text1"/>
        </w:rPr>
        <w:t>“</w:t>
      </w:r>
      <w:r w:rsidRPr="00C207B9">
        <w:rPr>
          <w:rFonts w:ascii="宋体" w:hAnsi="宋体" w:cs="宋体" w:hint="eastAsia"/>
          <w:color w:val="000000" w:themeColor="text1"/>
        </w:rPr>
        <w:t>个人</w:t>
      </w:r>
      <w:r>
        <w:rPr>
          <w:rFonts w:ascii="Calibri" w:hAnsi="Calibri" w:cs="Calibri" w:hint="eastAsia"/>
          <w:color w:val="000000" w:themeColor="text1"/>
        </w:rPr>
        <w:t>”</w:t>
      </w:r>
      <w:r w:rsidRPr="00C207B9">
        <w:rPr>
          <w:rFonts w:ascii="宋体" w:hAnsi="宋体" w:cs="宋体" w:hint="eastAsia"/>
          <w:color w:val="000000" w:themeColor="text1"/>
        </w:rPr>
        <w:t>一词的定义，见第</w:t>
      </w:r>
      <w:r>
        <w:rPr>
          <w:rFonts w:hint="eastAsia"/>
          <w:color w:val="000000" w:themeColor="text1"/>
        </w:rPr>
        <w:t>2</w:t>
      </w:r>
      <w:r w:rsidRPr="00C207B9">
        <w:rPr>
          <w:rFonts w:ascii="宋体" w:hAnsi="宋体" w:cs="宋体" w:hint="eastAsia"/>
          <w:color w:val="000000" w:themeColor="text1"/>
        </w:rPr>
        <w:t>条草案</w:t>
      </w:r>
      <w:r w:rsidRPr="00C207B9">
        <w:rPr>
          <w:rFonts w:hint="eastAsia"/>
          <w:color w:val="000000" w:themeColor="text1"/>
        </w:rPr>
        <w:t>(</w:t>
      </w:r>
      <w:r>
        <w:rPr>
          <w:rFonts w:hint="eastAsia"/>
          <w:color w:val="000000" w:themeColor="text1"/>
        </w:rPr>
        <w:t>e</w:t>
      </w:r>
      <w:r w:rsidRPr="00C207B9">
        <w:rPr>
          <w:rFonts w:hint="eastAsia"/>
          <w:color w:val="000000" w:themeColor="text1"/>
        </w:rPr>
        <w:t>)</w:t>
      </w:r>
      <w:r w:rsidRPr="00C207B9">
        <w:rPr>
          <w:rFonts w:ascii="宋体" w:hAnsi="宋体" w:cs="宋体" w:hint="eastAsia"/>
          <w:color w:val="000000" w:themeColor="text1"/>
        </w:rPr>
        <w:t>项评注第</w:t>
      </w:r>
      <w:r>
        <w:rPr>
          <w:rFonts w:eastAsiaTheme="minorEastAsia" w:hint="eastAsia"/>
          <w:color w:val="000000" w:themeColor="text1"/>
        </w:rPr>
        <w:t>(</w:t>
      </w:r>
      <w:r>
        <w:rPr>
          <w:rFonts w:hint="eastAsia"/>
          <w:color w:val="000000" w:themeColor="text1"/>
        </w:rPr>
        <w:t>4</w:t>
      </w:r>
      <w:r>
        <w:rPr>
          <w:rFonts w:eastAsiaTheme="minorEastAsia" w:hint="eastAsia"/>
          <w:color w:val="000000" w:themeColor="text1"/>
        </w:rPr>
        <w:t>)</w:t>
      </w:r>
      <w:r w:rsidRPr="00C207B9">
        <w:rPr>
          <w:rFonts w:ascii="宋体" w:hAnsi="宋体" w:cs="宋体" w:hint="eastAsia"/>
          <w:color w:val="000000" w:themeColor="text1"/>
        </w:rPr>
        <w:t>段，《大会正式记录，第六十九届会议，补编第</w:t>
      </w:r>
      <w:r>
        <w:rPr>
          <w:rFonts w:hint="eastAsia"/>
          <w:color w:val="000000" w:themeColor="text1"/>
        </w:rPr>
        <w:t>10</w:t>
      </w:r>
      <w:r w:rsidRPr="00C207B9">
        <w:rPr>
          <w:rFonts w:ascii="宋体" w:hAnsi="宋体" w:cs="宋体" w:hint="eastAsia"/>
          <w:color w:val="000000" w:themeColor="text1"/>
        </w:rPr>
        <w:t>号》</w:t>
      </w:r>
      <w:r w:rsidRPr="00C207B9">
        <w:rPr>
          <w:rFonts w:hint="eastAsia"/>
          <w:color w:val="000000" w:themeColor="text1"/>
        </w:rPr>
        <w:t>(</w:t>
      </w:r>
      <w:r>
        <w:rPr>
          <w:rFonts w:hint="eastAsia"/>
          <w:color w:val="000000" w:themeColor="text1"/>
        </w:rPr>
        <w:t>A</w:t>
      </w:r>
      <w:r w:rsidRPr="00C207B9">
        <w:rPr>
          <w:rFonts w:hint="eastAsia"/>
          <w:color w:val="000000" w:themeColor="text1"/>
        </w:rPr>
        <w:t>/</w:t>
      </w:r>
      <w:r>
        <w:rPr>
          <w:rFonts w:hint="eastAsia"/>
          <w:color w:val="000000" w:themeColor="text1"/>
        </w:rPr>
        <w:t>69</w:t>
      </w:r>
      <w:r w:rsidRPr="00C207B9">
        <w:rPr>
          <w:rFonts w:hint="eastAsia"/>
          <w:color w:val="000000" w:themeColor="text1"/>
        </w:rPr>
        <w:t>/</w:t>
      </w:r>
      <w:r>
        <w:rPr>
          <w:rFonts w:hint="eastAsia"/>
          <w:color w:val="000000" w:themeColor="text1"/>
        </w:rPr>
        <w:t>10</w:t>
      </w:r>
      <w:r w:rsidRPr="00C207B9">
        <w:rPr>
          <w:rFonts w:hint="eastAsia"/>
          <w:color w:val="000000" w:themeColor="text1"/>
        </w:rPr>
        <w:t>)</w:t>
      </w:r>
      <w:r w:rsidRPr="00C207B9">
        <w:rPr>
          <w:rFonts w:ascii="宋体" w:hAnsi="宋体" w:cs="宋体" w:hint="eastAsia"/>
          <w:color w:val="000000" w:themeColor="text1"/>
        </w:rPr>
        <w:t>，第</w:t>
      </w:r>
      <w:r>
        <w:rPr>
          <w:rFonts w:hint="eastAsia"/>
          <w:color w:val="000000" w:themeColor="text1"/>
        </w:rPr>
        <w:t>2</w:t>
      </w:r>
      <w:r>
        <w:rPr>
          <w:rFonts w:eastAsiaTheme="minorEastAsia" w:hint="eastAsia"/>
          <w:color w:val="000000" w:themeColor="text1"/>
        </w:rPr>
        <w:t>32</w:t>
      </w:r>
      <w:r w:rsidRPr="00C207B9">
        <w:rPr>
          <w:rFonts w:ascii="宋体" w:hAnsi="宋体" w:cs="宋体" w:hint="eastAsia"/>
          <w:color w:val="000000" w:themeColor="text1"/>
        </w:rPr>
        <w:t>页。</w:t>
      </w:r>
    </w:p>
  </w:footnote>
  <w:footnote w:id="1444">
    <w:p w:rsidR="00AB00DE" w:rsidRPr="00C207B9" w:rsidRDefault="00AB00DE" w:rsidP="00396D56">
      <w:pPr>
        <w:pStyle w:val="a4"/>
        <w:spacing w:after="80"/>
        <w:rPr>
          <w:color w:val="000000" w:themeColor="text1"/>
        </w:rPr>
      </w:pPr>
      <w:r>
        <w:rPr>
          <w:rFonts w:hint="eastAsia"/>
          <w:color w:val="000000" w:themeColor="text1"/>
          <w:sz w:val="20"/>
        </w:rPr>
        <w:tab/>
      </w:r>
      <w:r w:rsidRPr="003D3D39">
        <w:rPr>
          <w:rStyle w:val="a5"/>
        </w:rPr>
        <w:footnoteRef/>
      </w:r>
      <w:r>
        <w:rPr>
          <w:rFonts w:hint="eastAsia"/>
          <w:color w:val="000000" w:themeColor="text1"/>
          <w:sz w:val="20"/>
        </w:rPr>
        <w:tab/>
      </w:r>
      <w:r>
        <w:rPr>
          <w:rFonts w:eastAsiaTheme="minorEastAsia" w:hint="eastAsia"/>
          <w:color w:val="000000" w:themeColor="text1"/>
        </w:rPr>
        <w:t>同上，《</w:t>
      </w:r>
      <w:r w:rsidRPr="00C207B9">
        <w:rPr>
          <w:rFonts w:ascii="宋体" w:hAnsi="宋体" w:cs="宋体" w:hint="eastAsia"/>
          <w:color w:val="000000" w:themeColor="text1"/>
        </w:rPr>
        <w:t>第六十八届会议，补编第</w:t>
      </w:r>
      <w:r>
        <w:rPr>
          <w:rFonts w:hint="eastAsia"/>
          <w:color w:val="000000" w:themeColor="text1"/>
        </w:rPr>
        <w:t>10</w:t>
      </w:r>
      <w:r>
        <w:rPr>
          <w:rFonts w:ascii="宋体" w:hAnsi="宋体" w:cs="宋体" w:hint="eastAsia"/>
          <w:color w:val="000000" w:themeColor="text1"/>
        </w:rPr>
        <w:t>号</w:t>
      </w:r>
      <w:r>
        <w:rPr>
          <w:rFonts w:eastAsiaTheme="minorEastAsia" w:hint="eastAsia"/>
          <w:color w:val="000000" w:themeColor="text1"/>
        </w:rPr>
        <w:t>》</w:t>
      </w:r>
      <w:r w:rsidRPr="00C207B9">
        <w:rPr>
          <w:rFonts w:hint="eastAsia"/>
          <w:color w:val="000000" w:themeColor="text1"/>
        </w:rPr>
        <w:t>(</w:t>
      </w:r>
      <w:r>
        <w:rPr>
          <w:rFonts w:hint="eastAsia"/>
          <w:color w:val="000000" w:themeColor="text1"/>
        </w:rPr>
        <w:t>A</w:t>
      </w:r>
      <w:r w:rsidRPr="00C207B9">
        <w:rPr>
          <w:rFonts w:hint="eastAsia"/>
          <w:color w:val="000000" w:themeColor="text1"/>
        </w:rPr>
        <w:t>/</w:t>
      </w:r>
      <w:r>
        <w:rPr>
          <w:rFonts w:hint="eastAsia"/>
          <w:color w:val="000000" w:themeColor="text1"/>
        </w:rPr>
        <w:t>68</w:t>
      </w:r>
      <w:r w:rsidRPr="00C207B9">
        <w:rPr>
          <w:rFonts w:hint="eastAsia"/>
          <w:color w:val="000000" w:themeColor="text1"/>
        </w:rPr>
        <w:t>/</w:t>
      </w:r>
      <w:r>
        <w:rPr>
          <w:rFonts w:hint="eastAsia"/>
          <w:color w:val="000000" w:themeColor="text1"/>
        </w:rPr>
        <w:t>10</w:t>
      </w:r>
      <w:r w:rsidRPr="00C207B9">
        <w:rPr>
          <w:rFonts w:hint="eastAsia"/>
          <w:color w:val="000000" w:themeColor="text1"/>
        </w:rPr>
        <w:t>)</w:t>
      </w:r>
      <w:r w:rsidRPr="00C207B9">
        <w:rPr>
          <w:rFonts w:ascii="宋体" w:hAnsi="宋体" w:cs="宋体" w:hint="eastAsia"/>
          <w:color w:val="000000" w:themeColor="text1"/>
        </w:rPr>
        <w:t>，第</w:t>
      </w:r>
      <w:r>
        <w:rPr>
          <w:rFonts w:hint="eastAsia"/>
          <w:color w:val="000000" w:themeColor="text1"/>
        </w:rPr>
        <w:t>67</w:t>
      </w:r>
      <w:r w:rsidRPr="00C207B9">
        <w:rPr>
          <w:rFonts w:ascii="宋体" w:hAnsi="宋体" w:cs="宋体" w:hint="eastAsia"/>
          <w:color w:val="000000" w:themeColor="text1"/>
        </w:rPr>
        <w:t>页</w:t>
      </w:r>
      <w:r w:rsidRPr="00C207B9">
        <w:rPr>
          <w:rFonts w:hint="eastAsia"/>
          <w:color w:val="000000" w:themeColor="text1"/>
        </w:rPr>
        <w:t>(</w:t>
      </w:r>
      <w:r w:rsidRPr="00C207B9">
        <w:rPr>
          <w:rFonts w:ascii="宋体" w:hAnsi="宋体" w:cs="宋体" w:hint="eastAsia"/>
          <w:color w:val="000000" w:themeColor="text1"/>
        </w:rPr>
        <w:t>第</w:t>
      </w:r>
      <w:r>
        <w:rPr>
          <w:rFonts w:hint="eastAsia"/>
          <w:color w:val="000000" w:themeColor="text1"/>
        </w:rPr>
        <w:t>4</w:t>
      </w:r>
      <w:r w:rsidRPr="00C207B9">
        <w:rPr>
          <w:rFonts w:ascii="宋体" w:hAnsi="宋体" w:cs="宋体" w:hint="eastAsia"/>
          <w:color w:val="000000" w:themeColor="text1"/>
        </w:rPr>
        <w:t>条草案评注第</w:t>
      </w:r>
      <w:r>
        <w:rPr>
          <w:rFonts w:eastAsiaTheme="minorEastAsia" w:hint="eastAsia"/>
          <w:color w:val="000000" w:themeColor="text1"/>
        </w:rPr>
        <w:t>(</w:t>
      </w:r>
      <w:r>
        <w:rPr>
          <w:rFonts w:hint="eastAsia"/>
          <w:color w:val="000000" w:themeColor="text1"/>
        </w:rPr>
        <w:t>2</w:t>
      </w:r>
      <w:r>
        <w:rPr>
          <w:rFonts w:eastAsiaTheme="minorEastAsia" w:hint="eastAsia"/>
          <w:color w:val="000000" w:themeColor="text1"/>
        </w:rPr>
        <w:t>)</w:t>
      </w:r>
      <w:r w:rsidRPr="00C207B9">
        <w:rPr>
          <w:rFonts w:ascii="宋体" w:hAnsi="宋体" w:cs="宋体" w:hint="eastAsia"/>
          <w:color w:val="000000" w:themeColor="text1"/>
        </w:rPr>
        <w:t>段</w:t>
      </w:r>
      <w:r w:rsidRPr="00C207B9">
        <w:rPr>
          <w:rFonts w:hint="eastAsia"/>
          <w:color w:val="000000" w:themeColor="text1"/>
        </w:rPr>
        <w:t>)</w:t>
      </w:r>
      <w:r w:rsidRPr="00C207B9">
        <w:rPr>
          <w:rFonts w:ascii="宋体" w:hAnsi="宋体" w:cs="宋体" w:hint="eastAsia"/>
          <w:color w:val="000000" w:themeColor="text1"/>
        </w:rPr>
        <w:t>。</w:t>
      </w:r>
    </w:p>
  </w:footnote>
  <w:footnote w:id="1445">
    <w:p w:rsidR="00AB00DE" w:rsidRPr="00C207B9" w:rsidRDefault="00AB00DE" w:rsidP="00396D56">
      <w:pPr>
        <w:pStyle w:val="a4"/>
        <w:spacing w:after="80"/>
        <w:rPr>
          <w:color w:val="000000" w:themeColor="text1"/>
        </w:rPr>
      </w:pPr>
      <w:r>
        <w:rPr>
          <w:rFonts w:hint="eastAsia"/>
          <w:color w:val="000000" w:themeColor="text1"/>
          <w:sz w:val="20"/>
        </w:rPr>
        <w:tab/>
      </w:r>
      <w:r w:rsidRPr="003D3D39">
        <w:rPr>
          <w:rStyle w:val="a5"/>
        </w:rPr>
        <w:footnoteRef/>
      </w:r>
      <w:r>
        <w:rPr>
          <w:rFonts w:hint="eastAsia"/>
          <w:color w:val="000000" w:themeColor="text1"/>
          <w:sz w:val="20"/>
        </w:rPr>
        <w:tab/>
      </w:r>
      <w:r w:rsidRPr="00C207B9">
        <w:rPr>
          <w:rFonts w:ascii="宋体" w:hAnsi="宋体" w:cs="宋体" w:hint="eastAsia"/>
          <w:color w:val="000000" w:themeColor="text1"/>
        </w:rPr>
        <w:t>同上，第</w:t>
      </w:r>
      <w:r>
        <w:rPr>
          <w:rFonts w:eastAsiaTheme="minorEastAsia" w:hint="eastAsia"/>
          <w:color w:val="000000" w:themeColor="text1"/>
        </w:rPr>
        <w:t>70</w:t>
      </w:r>
      <w:r w:rsidRPr="00C207B9">
        <w:rPr>
          <w:rFonts w:ascii="宋体" w:hAnsi="宋体" w:cs="宋体" w:hint="eastAsia"/>
          <w:color w:val="000000" w:themeColor="text1"/>
        </w:rPr>
        <w:t>页</w:t>
      </w:r>
      <w:r w:rsidRPr="00C207B9">
        <w:rPr>
          <w:rFonts w:hint="eastAsia"/>
          <w:color w:val="000000" w:themeColor="text1"/>
        </w:rPr>
        <w:t>(</w:t>
      </w:r>
      <w:r w:rsidRPr="00C207B9">
        <w:rPr>
          <w:rFonts w:ascii="宋体" w:hAnsi="宋体" w:cs="宋体" w:hint="eastAsia"/>
          <w:color w:val="000000" w:themeColor="text1"/>
        </w:rPr>
        <w:t>评注第</w:t>
      </w:r>
      <w:r>
        <w:rPr>
          <w:rFonts w:eastAsiaTheme="minorEastAsia" w:hint="eastAsia"/>
          <w:color w:val="000000" w:themeColor="text1"/>
        </w:rPr>
        <w:t>(</w:t>
      </w:r>
      <w:r>
        <w:rPr>
          <w:rFonts w:hint="eastAsia"/>
          <w:color w:val="000000" w:themeColor="text1"/>
        </w:rPr>
        <w:t>7</w:t>
      </w:r>
      <w:r>
        <w:rPr>
          <w:rFonts w:eastAsiaTheme="minorEastAsia" w:hint="eastAsia"/>
          <w:color w:val="000000" w:themeColor="text1"/>
        </w:rPr>
        <w:t>)</w:t>
      </w:r>
      <w:r w:rsidRPr="00C207B9">
        <w:rPr>
          <w:rFonts w:ascii="宋体" w:hAnsi="宋体" w:cs="宋体" w:hint="eastAsia"/>
          <w:color w:val="000000" w:themeColor="text1"/>
        </w:rPr>
        <w:t>段</w:t>
      </w:r>
      <w:r w:rsidRPr="00C207B9">
        <w:rPr>
          <w:rFonts w:hint="eastAsia"/>
          <w:color w:val="000000" w:themeColor="text1"/>
        </w:rPr>
        <w:t>)</w:t>
      </w:r>
      <w:r w:rsidRPr="00C207B9">
        <w:rPr>
          <w:rFonts w:ascii="宋体" w:hAnsi="宋体" w:cs="宋体" w:hint="eastAsia"/>
          <w:color w:val="000000" w:themeColor="text1"/>
        </w:rPr>
        <w:t>。</w:t>
      </w:r>
    </w:p>
  </w:footnote>
  <w:footnote w:id="1446">
    <w:p w:rsidR="00AB00DE" w:rsidRPr="00C207B9" w:rsidRDefault="00AB00DE" w:rsidP="00396D56">
      <w:pPr>
        <w:pStyle w:val="a4"/>
        <w:spacing w:after="80"/>
        <w:rPr>
          <w:color w:val="000000" w:themeColor="text1"/>
        </w:rPr>
      </w:pPr>
      <w:r>
        <w:rPr>
          <w:rFonts w:hint="eastAsia"/>
          <w:color w:val="000000" w:themeColor="text1"/>
          <w:sz w:val="20"/>
        </w:rPr>
        <w:tab/>
      </w:r>
      <w:r w:rsidRPr="003D3D39">
        <w:rPr>
          <w:rStyle w:val="a5"/>
        </w:rPr>
        <w:footnoteRef/>
      </w:r>
      <w:r>
        <w:rPr>
          <w:rFonts w:hint="eastAsia"/>
          <w:color w:val="000000" w:themeColor="text1"/>
          <w:sz w:val="20"/>
        </w:rPr>
        <w:tab/>
      </w:r>
      <w:r w:rsidRPr="00C207B9">
        <w:rPr>
          <w:rFonts w:ascii="宋体" w:hAnsi="宋体" w:cs="宋体" w:hint="eastAsia"/>
          <w:color w:val="000000" w:themeColor="text1"/>
        </w:rPr>
        <w:t>同上。</w:t>
      </w:r>
    </w:p>
  </w:footnote>
  <w:footnote w:id="1447">
    <w:p w:rsidR="00AB00DE" w:rsidRPr="00C207B9" w:rsidRDefault="00AB00DE" w:rsidP="00396D56">
      <w:pPr>
        <w:pStyle w:val="a4"/>
        <w:spacing w:after="80"/>
        <w:rPr>
          <w:color w:val="000000" w:themeColor="text1"/>
        </w:rPr>
      </w:pPr>
      <w:r>
        <w:rPr>
          <w:rFonts w:hint="eastAsia"/>
          <w:color w:val="000000" w:themeColor="text1"/>
          <w:sz w:val="20"/>
        </w:rPr>
        <w:tab/>
      </w:r>
      <w:r w:rsidRPr="003D3D39">
        <w:rPr>
          <w:rStyle w:val="a5"/>
        </w:rPr>
        <w:footnoteRef/>
      </w:r>
      <w:r>
        <w:rPr>
          <w:rFonts w:hint="eastAsia"/>
          <w:color w:val="000000" w:themeColor="text1"/>
          <w:sz w:val="20"/>
        </w:rPr>
        <w:tab/>
      </w:r>
      <w:r>
        <w:rPr>
          <w:rFonts w:eastAsiaTheme="minorEastAsia" w:hint="eastAsia"/>
          <w:color w:val="000000" w:themeColor="text1"/>
          <w:sz w:val="20"/>
        </w:rPr>
        <w:t>同上，</w:t>
      </w:r>
      <w:r w:rsidRPr="00C207B9">
        <w:rPr>
          <w:rFonts w:ascii="宋体" w:hAnsi="宋体" w:cs="宋体" w:hint="eastAsia"/>
          <w:color w:val="000000" w:themeColor="text1"/>
        </w:rPr>
        <w:t>《第六十九届会议，补编第</w:t>
      </w:r>
      <w:r>
        <w:rPr>
          <w:rFonts w:hint="eastAsia"/>
          <w:color w:val="000000" w:themeColor="text1"/>
        </w:rPr>
        <w:t>10</w:t>
      </w:r>
      <w:r w:rsidRPr="00C207B9">
        <w:rPr>
          <w:rFonts w:ascii="宋体" w:hAnsi="宋体" w:cs="宋体" w:hint="eastAsia"/>
          <w:color w:val="000000" w:themeColor="text1"/>
        </w:rPr>
        <w:t>号》</w:t>
      </w:r>
      <w:r w:rsidRPr="00C207B9">
        <w:rPr>
          <w:rFonts w:hint="eastAsia"/>
          <w:color w:val="000000" w:themeColor="text1"/>
        </w:rPr>
        <w:t>(</w:t>
      </w:r>
      <w:r>
        <w:rPr>
          <w:rFonts w:hint="eastAsia"/>
          <w:color w:val="000000" w:themeColor="text1"/>
        </w:rPr>
        <w:t>A</w:t>
      </w:r>
      <w:r w:rsidRPr="00C207B9">
        <w:rPr>
          <w:rFonts w:hint="eastAsia"/>
          <w:color w:val="000000" w:themeColor="text1"/>
        </w:rPr>
        <w:t>/</w:t>
      </w:r>
      <w:r>
        <w:rPr>
          <w:rFonts w:hint="eastAsia"/>
          <w:color w:val="000000" w:themeColor="text1"/>
        </w:rPr>
        <w:t>69</w:t>
      </w:r>
      <w:r w:rsidRPr="00C207B9">
        <w:rPr>
          <w:rFonts w:hint="eastAsia"/>
          <w:color w:val="000000" w:themeColor="text1"/>
        </w:rPr>
        <w:t>/</w:t>
      </w:r>
      <w:r>
        <w:rPr>
          <w:rFonts w:hint="eastAsia"/>
          <w:color w:val="000000" w:themeColor="text1"/>
        </w:rPr>
        <w:t>10</w:t>
      </w:r>
      <w:r w:rsidRPr="00C207B9">
        <w:rPr>
          <w:rFonts w:hint="eastAsia"/>
          <w:color w:val="000000" w:themeColor="text1"/>
        </w:rPr>
        <w:t>)</w:t>
      </w:r>
      <w:r w:rsidRPr="00C207B9">
        <w:rPr>
          <w:rFonts w:ascii="宋体" w:hAnsi="宋体" w:cs="宋体" w:hint="eastAsia"/>
          <w:color w:val="000000" w:themeColor="text1"/>
        </w:rPr>
        <w:t>，第</w:t>
      </w:r>
      <w:r>
        <w:rPr>
          <w:rFonts w:hint="eastAsia"/>
          <w:color w:val="000000" w:themeColor="text1"/>
        </w:rPr>
        <w:t>23</w:t>
      </w:r>
      <w:r>
        <w:rPr>
          <w:rFonts w:eastAsiaTheme="minorEastAsia" w:hint="eastAsia"/>
          <w:color w:val="000000" w:themeColor="text1"/>
        </w:rPr>
        <w:t>7</w:t>
      </w:r>
      <w:r w:rsidRPr="00C207B9">
        <w:rPr>
          <w:rFonts w:ascii="宋体" w:hAnsi="宋体" w:cs="宋体" w:hint="eastAsia"/>
          <w:color w:val="000000" w:themeColor="text1"/>
        </w:rPr>
        <w:t>页</w:t>
      </w:r>
      <w:r w:rsidRPr="00C207B9">
        <w:rPr>
          <w:rFonts w:hint="eastAsia"/>
          <w:color w:val="000000" w:themeColor="text1"/>
        </w:rPr>
        <w:t>(</w:t>
      </w:r>
      <w:r w:rsidRPr="00C207B9">
        <w:rPr>
          <w:rFonts w:ascii="宋体" w:hAnsi="宋体" w:cs="宋体" w:hint="eastAsia"/>
          <w:color w:val="000000" w:themeColor="text1"/>
        </w:rPr>
        <w:t>评注第</w:t>
      </w:r>
      <w:r>
        <w:rPr>
          <w:rFonts w:eastAsiaTheme="minorEastAsia" w:hint="eastAsia"/>
          <w:color w:val="000000" w:themeColor="text1"/>
        </w:rPr>
        <w:t>(</w:t>
      </w:r>
      <w:r>
        <w:rPr>
          <w:rFonts w:hint="eastAsia"/>
          <w:color w:val="000000" w:themeColor="text1"/>
        </w:rPr>
        <w:t>4</w:t>
      </w:r>
      <w:r>
        <w:rPr>
          <w:rFonts w:eastAsiaTheme="minorEastAsia" w:hint="eastAsia"/>
          <w:color w:val="000000" w:themeColor="text1"/>
        </w:rPr>
        <w:t>)</w:t>
      </w:r>
      <w:r w:rsidRPr="00C207B9">
        <w:rPr>
          <w:rFonts w:ascii="宋体" w:hAnsi="宋体" w:cs="宋体" w:hint="eastAsia"/>
          <w:color w:val="000000" w:themeColor="text1"/>
        </w:rPr>
        <w:t>段</w:t>
      </w:r>
      <w:r w:rsidRPr="00C207B9">
        <w:rPr>
          <w:rFonts w:hint="eastAsia"/>
          <w:color w:val="000000" w:themeColor="text1"/>
        </w:rPr>
        <w:t>)</w:t>
      </w:r>
      <w:r w:rsidRPr="00C207B9">
        <w:rPr>
          <w:rFonts w:ascii="宋体" w:hAnsi="宋体" w:cs="宋体" w:hint="eastAsia"/>
          <w:color w:val="000000" w:themeColor="text1"/>
        </w:rPr>
        <w:t>。</w:t>
      </w:r>
    </w:p>
  </w:footnote>
  <w:footnote w:id="1448">
    <w:p w:rsidR="00AB00DE" w:rsidRPr="00C207B9" w:rsidRDefault="00AB00DE" w:rsidP="00396D56">
      <w:pPr>
        <w:pStyle w:val="a4"/>
        <w:spacing w:after="80"/>
        <w:rPr>
          <w:color w:val="000000" w:themeColor="text1"/>
        </w:rPr>
      </w:pPr>
      <w:r>
        <w:rPr>
          <w:rFonts w:hint="eastAsia"/>
          <w:color w:val="000000" w:themeColor="text1"/>
          <w:sz w:val="20"/>
        </w:rPr>
        <w:tab/>
      </w:r>
      <w:r w:rsidRPr="003D3D39">
        <w:rPr>
          <w:rStyle w:val="a5"/>
        </w:rPr>
        <w:footnoteRef/>
      </w:r>
      <w:r>
        <w:rPr>
          <w:rFonts w:hint="eastAsia"/>
          <w:color w:val="000000" w:themeColor="text1"/>
          <w:sz w:val="20"/>
        </w:rPr>
        <w:tab/>
      </w:r>
      <w:r>
        <w:rPr>
          <w:rFonts w:eastAsiaTheme="minorEastAsia" w:hint="eastAsia"/>
          <w:color w:val="000000" w:themeColor="text1"/>
          <w:sz w:val="20"/>
        </w:rPr>
        <w:t>同上，</w:t>
      </w:r>
      <w:r w:rsidRPr="00C207B9">
        <w:rPr>
          <w:rFonts w:ascii="宋体" w:hAnsi="宋体" w:cs="宋体" w:hint="eastAsia"/>
          <w:color w:val="000000" w:themeColor="text1"/>
        </w:rPr>
        <w:t>《第六十八届会议，补编第</w:t>
      </w:r>
      <w:r>
        <w:rPr>
          <w:rFonts w:hint="eastAsia"/>
          <w:color w:val="000000" w:themeColor="text1"/>
        </w:rPr>
        <w:t>10</w:t>
      </w:r>
      <w:r w:rsidRPr="00C207B9">
        <w:rPr>
          <w:rFonts w:ascii="宋体" w:hAnsi="宋体" w:cs="宋体" w:hint="eastAsia"/>
          <w:color w:val="000000" w:themeColor="text1"/>
        </w:rPr>
        <w:t>号》</w:t>
      </w:r>
      <w:r w:rsidRPr="00C207B9">
        <w:rPr>
          <w:rFonts w:hint="eastAsia"/>
          <w:color w:val="000000" w:themeColor="text1"/>
        </w:rPr>
        <w:t>(</w:t>
      </w:r>
      <w:r>
        <w:rPr>
          <w:rFonts w:hint="eastAsia"/>
          <w:color w:val="000000" w:themeColor="text1"/>
        </w:rPr>
        <w:t>A</w:t>
      </w:r>
      <w:r w:rsidRPr="00C207B9">
        <w:rPr>
          <w:rFonts w:hint="eastAsia"/>
          <w:color w:val="000000" w:themeColor="text1"/>
        </w:rPr>
        <w:t>/</w:t>
      </w:r>
      <w:r>
        <w:rPr>
          <w:rFonts w:hint="eastAsia"/>
          <w:color w:val="000000" w:themeColor="text1"/>
        </w:rPr>
        <w:t>68</w:t>
      </w:r>
      <w:r w:rsidRPr="00C207B9">
        <w:rPr>
          <w:rFonts w:hint="eastAsia"/>
          <w:color w:val="000000" w:themeColor="text1"/>
        </w:rPr>
        <w:t>/</w:t>
      </w:r>
      <w:r>
        <w:rPr>
          <w:rFonts w:hint="eastAsia"/>
          <w:color w:val="000000" w:themeColor="text1"/>
        </w:rPr>
        <w:t>10</w:t>
      </w:r>
      <w:r w:rsidRPr="00C207B9">
        <w:rPr>
          <w:rFonts w:hint="eastAsia"/>
          <w:color w:val="000000" w:themeColor="text1"/>
        </w:rPr>
        <w:t>)</w:t>
      </w:r>
      <w:r w:rsidRPr="00C207B9">
        <w:rPr>
          <w:rFonts w:ascii="宋体" w:hAnsi="宋体" w:cs="宋体" w:hint="eastAsia"/>
          <w:color w:val="000000" w:themeColor="text1"/>
        </w:rPr>
        <w:t>，第</w:t>
      </w:r>
      <w:r>
        <w:rPr>
          <w:rFonts w:eastAsiaTheme="minorEastAsia" w:hint="eastAsia"/>
          <w:color w:val="000000" w:themeColor="text1"/>
        </w:rPr>
        <w:t>70</w:t>
      </w:r>
      <w:r w:rsidRPr="00C207B9">
        <w:rPr>
          <w:rFonts w:ascii="宋体" w:hAnsi="宋体" w:cs="宋体" w:hint="eastAsia"/>
          <w:color w:val="000000" w:themeColor="text1"/>
        </w:rPr>
        <w:t>页</w:t>
      </w:r>
      <w:r w:rsidRPr="00C207B9">
        <w:rPr>
          <w:rFonts w:hint="eastAsia"/>
          <w:color w:val="000000" w:themeColor="text1"/>
        </w:rPr>
        <w:t>(</w:t>
      </w:r>
      <w:r w:rsidRPr="00C207B9">
        <w:rPr>
          <w:rFonts w:ascii="宋体" w:hAnsi="宋体" w:cs="宋体" w:hint="eastAsia"/>
          <w:color w:val="000000" w:themeColor="text1"/>
        </w:rPr>
        <w:t>第</w:t>
      </w:r>
      <w:r>
        <w:rPr>
          <w:rFonts w:hint="eastAsia"/>
          <w:color w:val="000000" w:themeColor="text1"/>
        </w:rPr>
        <w:t>4</w:t>
      </w:r>
      <w:r w:rsidRPr="00C207B9">
        <w:rPr>
          <w:rFonts w:ascii="宋体" w:hAnsi="宋体" w:cs="宋体" w:hint="eastAsia"/>
          <w:color w:val="000000" w:themeColor="text1"/>
        </w:rPr>
        <w:t>条草案评注第</w:t>
      </w:r>
      <w:r>
        <w:rPr>
          <w:rFonts w:eastAsiaTheme="minorEastAsia" w:hint="eastAsia"/>
          <w:color w:val="000000" w:themeColor="text1"/>
        </w:rPr>
        <w:t>(</w:t>
      </w:r>
      <w:r>
        <w:rPr>
          <w:rFonts w:hint="eastAsia"/>
          <w:color w:val="000000" w:themeColor="text1"/>
        </w:rPr>
        <w:t>7</w:t>
      </w:r>
      <w:r>
        <w:rPr>
          <w:rFonts w:eastAsiaTheme="minorEastAsia" w:hint="eastAsia"/>
          <w:color w:val="000000" w:themeColor="text1"/>
        </w:rPr>
        <w:t>)</w:t>
      </w:r>
      <w:r w:rsidRPr="00C207B9">
        <w:rPr>
          <w:rFonts w:ascii="宋体" w:hAnsi="宋体" w:cs="宋体" w:hint="eastAsia"/>
          <w:color w:val="000000" w:themeColor="text1"/>
        </w:rPr>
        <w:t>段</w:t>
      </w:r>
      <w:r w:rsidRPr="00C207B9">
        <w:rPr>
          <w:rFonts w:hint="eastAsia"/>
          <w:color w:val="000000" w:themeColor="text1"/>
        </w:rPr>
        <w:t>)</w:t>
      </w:r>
      <w:r w:rsidRPr="00C207B9">
        <w:rPr>
          <w:rFonts w:ascii="宋体" w:hAnsi="宋体" w:cs="宋体" w:hint="eastAsia"/>
          <w:color w:val="000000" w:themeColor="text1"/>
        </w:rPr>
        <w:t>。</w:t>
      </w:r>
    </w:p>
  </w:footnote>
  <w:footnote w:id="1449">
    <w:p w:rsidR="00AB00DE" w:rsidRPr="00334F8C" w:rsidRDefault="00AB00DE" w:rsidP="00334F8C">
      <w:pPr>
        <w:pStyle w:val="a4"/>
        <w:spacing w:after="80"/>
        <w:rPr>
          <w:rFonts w:asciiTheme="majorBidi" w:hAnsiTheme="majorBidi" w:cstheme="majorBidi"/>
          <w:sz w:val="20"/>
        </w:rPr>
      </w:pPr>
      <w:r>
        <w:rPr>
          <w:rFonts w:hint="eastAsia"/>
          <w:color w:val="000000" w:themeColor="text1"/>
          <w:sz w:val="20"/>
        </w:rPr>
        <w:tab/>
      </w:r>
      <w:r w:rsidRPr="003D3D39">
        <w:rPr>
          <w:rStyle w:val="a5"/>
        </w:rPr>
        <w:footnoteRef/>
      </w:r>
      <w:r>
        <w:rPr>
          <w:rFonts w:hint="eastAsia"/>
          <w:color w:val="000000" w:themeColor="text1"/>
          <w:sz w:val="20"/>
        </w:rPr>
        <w:tab/>
      </w:r>
      <w:r w:rsidRPr="00C207B9">
        <w:rPr>
          <w:rFonts w:ascii="宋体" w:hAnsi="宋体" w:cs="宋体" w:hint="eastAsia"/>
          <w:color w:val="000000" w:themeColor="text1"/>
        </w:rPr>
        <w:t>见</w:t>
      </w:r>
      <w:r>
        <w:rPr>
          <w:rFonts w:eastAsiaTheme="minorEastAsia" w:hint="eastAsia"/>
          <w:color w:val="000000" w:themeColor="text1"/>
        </w:rPr>
        <w:t>上文</w:t>
      </w:r>
      <w:r w:rsidRPr="00334F8C">
        <w:rPr>
          <w:rFonts w:asciiTheme="majorBidi" w:hAnsiTheme="majorBidi" w:cstheme="majorBidi"/>
          <w:color w:val="000000" w:themeColor="text1"/>
        </w:rPr>
        <w:t>脚注</w:t>
      </w:r>
      <w:r w:rsidRPr="00334F8C">
        <w:rPr>
          <w:rFonts w:asciiTheme="majorBidi" w:eastAsiaTheme="minorEastAsia" w:hAnsiTheme="majorBidi" w:cstheme="majorBidi"/>
          <w:color w:val="000000" w:themeColor="text1"/>
        </w:rPr>
        <w:fldChar w:fldCharType="begin"/>
      </w:r>
      <w:r w:rsidRPr="00334F8C">
        <w:rPr>
          <w:rFonts w:asciiTheme="majorBidi" w:hAnsiTheme="majorBidi" w:cstheme="majorBidi"/>
          <w:color w:val="000000" w:themeColor="text1"/>
        </w:rPr>
        <w:instrText xml:space="preserve"> NOTEREF _Ref461978340 \h </w:instrText>
      </w:r>
      <w:r>
        <w:rPr>
          <w:rFonts w:asciiTheme="majorBidi" w:eastAsiaTheme="minorEastAsia" w:hAnsiTheme="majorBidi" w:cstheme="majorBidi"/>
          <w:color w:val="000000" w:themeColor="text1"/>
        </w:rPr>
        <w:instrText xml:space="preserve"> \* MERGEFORMAT </w:instrText>
      </w:r>
      <w:r w:rsidRPr="00334F8C">
        <w:rPr>
          <w:rFonts w:asciiTheme="majorBidi" w:eastAsiaTheme="minorEastAsia" w:hAnsiTheme="majorBidi" w:cstheme="majorBidi"/>
          <w:color w:val="000000" w:themeColor="text1"/>
        </w:rPr>
      </w:r>
      <w:r w:rsidRPr="00334F8C">
        <w:rPr>
          <w:rFonts w:asciiTheme="majorBidi" w:eastAsiaTheme="minorEastAsia" w:hAnsiTheme="majorBidi" w:cstheme="majorBidi"/>
          <w:color w:val="000000" w:themeColor="text1"/>
        </w:rPr>
        <w:fldChar w:fldCharType="separate"/>
      </w:r>
      <w:r w:rsidR="00A73EB9">
        <w:rPr>
          <w:rFonts w:asciiTheme="majorBidi" w:hAnsiTheme="majorBidi" w:cstheme="majorBidi"/>
          <w:color w:val="000000" w:themeColor="text1"/>
        </w:rPr>
        <w:t>1413</w:t>
      </w:r>
      <w:r w:rsidRPr="00334F8C">
        <w:rPr>
          <w:rFonts w:asciiTheme="majorBidi" w:eastAsiaTheme="minorEastAsia" w:hAnsiTheme="majorBidi" w:cstheme="majorBidi"/>
          <w:color w:val="000000" w:themeColor="text1"/>
        </w:rPr>
        <w:fldChar w:fldCharType="end"/>
      </w:r>
      <w:r w:rsidRPr="00334F8C">
        <w:rPr>
          <w:rFonts w:asciiTheme="majorBidi" w:hAnsiTheme="majorBidi" w:cstheme="majorBidi"/>
          <w:color w:val="000000" w:themeColor="text1"/>
        </w:rPr>
        <w:t>和</w:t>
      </w:r>
      <w:r w:rsidRPr="00334F8C">
        <w:rPr>
          <w:rFonts w:asciiTheme="majorBidi" w:eastAsiaTheme="minorEastAsia" w:hAnsiTheme="majorBidi" w:cstheme="majorBidi"/>
          <w:color w:val="000000" w:themeColor="text1"/>
        </w:rPr>
        <w:fldChar w:fldCharType="begin"/>
      </w:r>
      <w:r w:rsidRPr="00334F8C">
        <w:rPr>
          <w:rFonts w:asciiTheme="majorBidi" w:hAnsiTheme="majorBidi" w:cstheme="majorBidi"/>
          <w:color w:val="000000" w:themeColor="text1"/>
        </w:rPr>
        <w:instrText xml:space="preserve"> NOTEREF _Ref461978346 \h </w:instrText>
      </w:r>
      <w:r>
        <w:rPr>
          <w:rFonts w:asciiTheme="majorBidi" w:eastAsiaTheme="minorEastAsia" w:hAnsiTheme="majorBidi" w:cstheme="majorBidi"/>
          <w:color w:val="000000" w:themeColor="text1"/>
        </w:rPr>
        <w:instrText xml:space="preserve"> \* MERGEFORMAT </w:instrText>
      </w:r>
      <w:r w:rsidRPr="00334F8C">
        <w:rPr>
          <w:rFonts w:asciiTheme="majorBidi" w:eastAsiaTheme="minorEastAsia" w:hAnsiTheme="majorBidi" w:cstheme="majorBidi"/>
          <w:color w:val="000000" w:themeColor="text1"/>
        </w:rPr>
      </w:r>
      <w:r w:rsidRPr="00334F8C">
        <w:rPr>
          <w:rFonts w:asciiTheme="majorBidi" w:eastAsiaTheme="minorEastAsia" w:hAnsiTheme="majorBidi" w:cstheme="majorBidi"/>
          <w:color w:val="000000" w:themeColor="text1"/>
        </w:rPr>
        <w:fldChar w:fldCharType="separate"/>
      </w:r>
      <w:r w:rsidR="00A73EB9">
        <w:rPr>
          <w:rFonts w:asciiTheme="majorBidi" w:hAnsiTheme="majorBidi" w:cstheme="majorBidi"/>
          <w:color w:val="000000" w:themeColor="text1"/>
        </w:rPr>
        <w:t>1414</w:t>
      </w:r>
      <w:r w:rsidRPr="00334F8C">
        <w:rPr>
          <w:rFonts w:asciiTheme="majorBidi" w:eastAsiaTheme="minorEastAsia" w:hAnsiTheme="majorBidi" w:cstheme="majorBidi"/>
          <w:color w:val="000000" w:themeColor="text1"/>
        </w:rPr>
        <w:fldChar w:fldCharType="end"/>
      </w:r>
      <w:r w:rsidRPr="00334F8C">
        <w:rPr>
          <w:rFonts w:asciiTheme="majorBidi" w:hAnsiTheme="majorBidi" w:cstheme="majorBidi"/>
          <w:color w:val="000000" w:themeColor="text1"/>
        </w:rPr>
        <w:t>。</w:t>
      </w:r>
    </w:p>
  </w:footnote>
  <w:footnote w:id="1450">
    <w:p w:rsidR="00AB00DE" w:rsidRPr="00CA17D3" w:rsidRDefault="00AB00DE" w:rsidP="00813081">
      <w:pPr>
        <w:pStyle w:val="a4"/>
      </w:pPr>
      <w:r>
        <w:rPr>
          <w:rFonts w:hint="eastAsia"/>
        </w:rPr>
        <w:tab/>
      </w:r>
      <w:r w:rsidRPr="008258F3">
        <w:rPr>
          <w:rStyle w:val="a5"/>
          <w:rFonts w:cstheme="majorBidi"/>
        </w:rPr>
        <w:footnoteRef/>
      </w:r>
      <w:r>
        <w:rPr>
          <w:rFonts w:hint="eastAsia"/>
        </w:rPr>
        <w:tab/>
      </w:r>
      <w:r>
        <w:rPr>
          <w:rFonts w:hint="eastAsia"/>
        </w:rPr>
        <w:t>《</w:t>
      </w:r>
      <w:r w:rsidRPr="00BB06BA">
        <w:rPr>
          <w:rFonts w:ascii="Time New Roman" w:eastAsia="楷体" w:hAnsi="Time New Roman" w:hint="eastAsia"/>
        </w:rPr>
        <w:t>大会正式记录</w:t>
      </w:r>
      <w:r>
        <w:rPr>
          <w:rFonts w:ascii="Time New Roman" w:eastAsia="楷体" w:hAnsi="Time New Roman" w:hint="eastAsia"/>
        </w:rPr>
        <w:t>，</w:t>
      </w:r>
      <w:r w:rsidRPr="00BB06BA">
        <w:rPr>
          <w:rFonts w:ascii="Time New Roman" w:eastAsia="楷体" w:hAnsi="Time New Roman" w:hint="eastAsia"/>
        </w:rPr>
        <w:t>第六十七届会议</w:t>
      </w:r>
      <w:r>
        <w:rPr>
          <w:rFonts w:ascii="Time New Roman" w:eastAsia="楷体" w:hAnsi="Time New Roman" w:hint="eastAsia"/>
        </w:rPr>
        <w:t>，</w:t>
      </w:r>
      <w:r w:rsidRPr="00BB06BA">
        <w:rPr>
          <w:rFonts w:ascii="Time New Roman" w:eastAsia="楷体" w:hAnsi="Time New Roman" w:hint="eastAsia"/>
        </w:rPr>
        <w:t>补编第</w:t>
      </w:r>
      <w:r>
        <w:rPr>
          <w:rFonts w:ascii="Time New Roman" w:eastAsia="楷体" w:hAnsi="Time New Roman" w:hint="eastAsia"/>
        </w:rPr>
        <w:t>1</w:t>
      </w:r>
      <w:r w:rsidRPr="00BB06BA">
        <w:rPr>
          <w:rFonts w:ascii="Time New Roman" w:eastAsia="楷体" w:hAnsi="Time New Roman" w:hint="eastAsia"/>
        </w:rPr>
        <w:t>0</w:t>
      </w:r>
      <w:r w:rsidRPr="00BB06BA">
        <w:rPr>
          <w:rFonts w:ascii="Time New Roman" w:eastAsia="楷体" w:hAnsi="Time New Roman" w:hint="eastAsia"/>
        </w:rPr>
        <w:t>号</w:t>
      </w:r>
      <w:r>
        <w:rPr>
          <w:rFonts w:hint="eastAsia"/>
        </w:rPr>
        <w:t>》</w:t>
      </w:r>
      <w:r>
        <w:rPr>
          <w:rFonts w:hint="eastAsia"/>
        </w:rPr>
        <w:t>(</w:t>
      </w:r>
      <w:hyperlink r:id="rId334" w:history="1">
        <w:r>
          <w:rPr>
            <w:rStyle w:val="af"/>
          </w:rPr>
          <w:t>A/67/1</w:t>
        </w:r>
        <w:r w:rsidRPr="00D264AD">
          <w:rPr>
            <w:rStyle w:val="af"/>
          </w:rPr>
          <w:t>0</w:t>
        </w:r>
        <w:r>
          <w:rPr>
            <w:rStyle w:val="af"/>
            <w:rFonts w:hint="eastAsia"/>
          </w:rPr>
          <w:t>)</w:t>
        </w:r>
      </w:hyperlink>
      <w:r>
        <w:rPr>
          <w:rFonts w:hint="eastAsia"/>
        </w:rPr>
        <w:t>，第</w:t>
      </w:r>
      <w:r>
        <w:rPr>
          <w:rFonts w:hint="eastAsia"/>
        </w:rPr>
        <w:t>267</w:t>
      </w:r>
      <w:r>
        <w:rPr>
          <w:rFonts w:hint="eastAsia"/>
        </w:rPr>
        <w:t>段。</w:t>
      </w:r>
    </w:p>
  </w:footnote>
  <w:footnote w:id="1451">
    <w:p w:rsidR="00AB00DE" w:rsidRPr="00CA17D3" w:rsidRDefault="00AB00DE" w:rsidP="00813081">
      <w:pPr>
        <w:pStyle w:val="a4"/>
      </w:pPr>
      <w:r>
        <w:rPr>
          <w:rFonts w:hint="eastAsia"/>
        </w:rPr>
        <w:tab/>
      </w:r>
      <w:r w:rsidRPr="008258F3">
        <w:rPr>
          <w:rStyle w:val="a5"/>
          <w:rFonts w:cstheme="majorBidi"/>
        </w:rPr>
        <w:footnoteRef/>
      </w:r>
      <w:r>
        <w:rPr>
          <w:rFonts w:hint="eastAsia"/>
        </w:rPr>
        <w:tab/>
      </w:r>
      <w:r>
        <w:rPr>
          <w:rFonts w:hint="eastAsia"/>
        </w:rPr>
        <w:t>同上，第</w:t>
      </w:r>
      <w:r>
        <w:rPr>
          <w:rFonts w:hint="eastAsia"/>
        </w:rPr>
        <w:t>144-155</w:t>
      </w:r>
      <w:r>
        <w:rPr>
          <w:rFonts w:hint="eastAsia"/>
        </w:rPr>
        <w:t>段。</w:t>
      </w:r>
    </w:p>
  </w:footnote>
  <w:footnote w:id="1452">
    <w:p w:rsidR="00AB00DE" w:rsidRPr="00CA17D3" w:rsidRDefault="00AB00DE" w:rsidP="00813081">
      <w:pPr>
        <w:pStyle w:val="a4"/>
      </w:pPr>
      <w:r>
        <w:rPr>
          <w:rFonts w:hint="eastAsia"/>
        </w:rPr>
        <w:tab/>
      </w:r>
      <w:r w:rsidRPr="008258F3">
        <w:rPr>
          <w:rStyle w:val="a5"/>
          <w:rFonts w:cstheme="majorBidi"/>
        </w:rPr>
        <w:footnoteRef/>
      </w:r>
      <w:r>
        <w:rPr>
          <w:rFonts w:hint="eastAsia"/>
        </w:rPr>
        <w:tab/>
      </w:r>
      <w:r>
        <w:rPr>
          <w:rFonts w:eastAsiaTheme="minorEastAsia" w:hint="eastAsia"/>
        </w:rPr>
        <w:t>起草委员会主席的发言见委员会网站</w:t>
      </w:r>
      <w:r>
        <w:rPr>
          <w:rFonts w:eastAsiaTheme="minorEastAsia" w:hint="eastAsia"/>
        </w:rPr>
        <w:t>(</w:t>
      </w:r>
      <w:hyperlink r:id="rId335" w:history="1">
        <w:r>
          <w:rPr>
            <w:rStyle w:val="af"/>
            <w:rFonts w:asciiTheme="majorBidi" w:hAnsiTheme="majorBidi" w:cstheme="majorBidi"/>
          </w:rPr>
          <w:t>http://legal</w:t>
        </w:r>
        <w:r w:rsidRPr="00CA17D3">
          <w:rPr>
            <w:rStyle w:val="af"/>
            <w:rFonts w:asciiTheme="majorBidi" w:hAnsiTheme="majorBidi" w:cstheme="majorBidi"/>
          </w:rPr>
          <w:t>.</w:t>
        </w:r>
        <w:r>
          <w:rPr>
            <w:rStyle w:val="af"/>
            <w:rFonts w:asciiTheme="majorBidi" w:hAnsiTheme="majorBidi" w:cstheme="majorBidi"/>
          </w:rPr>
          <w:t>un</w:t>
        </w:r>
        <w:r w:rsidRPr="00CA17D3">
          <w:rPr>
            <w:rStyle w:val="af"/>
            <w:rFonts w:asciiTheme="majorBidi" w:hAnsiTheme="majorBidi" w:cstheme="majorBidi"/>
          </w:rPr>
          <w:t>.</w:t>
        </w:r>
        <w:r>
          <w:rPr>
            <w:rStyle w:val="af"/>
            <w:rFonts w:asciiTheme="majorBidi" w:hAnsiTheme="majorBidi" w:cstheme="majorBidi"/>
          </w:rPr>
          <w:t>org/ilc</w:t>
        </w:r>
      </w:hyperlink>
      <w:r>
        <w:rPr>
          <w:rFonts w:eastAsiaTheme="minorEastAsia" w:hint="eastAsia"/>
        </w:rPr>
        <w:t>)</w:t>
      </w:r>
      <w:r>
        <w:rPr>
          <w:rFonts w:hint="eastAsia"/>
        </w:rPr>
        <w:t>。</w:t>
      </w:r>
    </w:p>
  </w:footnote>
  <w:footnote w:id="1453">
    <w:p w:rsidR="00AB00DE" w:rsidRPr="00CA17D3" w:rsidRDefault="00AB00DE" w:rsidP="00813081">
      <w:pPr>
        <w:pStyle w:val="a4"/>
      </w:pPr>
      <w:r>
        <w:rPr>
          <w:rFonts w:hint="eastAsia"/>
        </w:rPr>
        <w:tab/>
      </w:r>
      <w:r w:rsidRPr="008258F3">
        <w:rPr>
          <w:rStyle w:val="a5"/>
          <w:rFonts w:cstheme="majorBidi"/>
        </w:rPr>
        <w:footnoteRef/>
      </w:r>
      <w:r>
        <w:rPr>
          <w:rFonts w:hint="eastAsia"/>
        </w:rPr>
        <w:tab/>
      </w:r>
      <w:r>
        <w:rPr>
          <w:rFonts w:hint="eastAsia"/>
        </w:rPr>
        <w:t>《</w:t>
      </w:r>
      <w:r w:rsidRPr="00BB06BA">
        <w:rPr>
          <w:rFonts w:ascii="Time New Roman" w:eastAsia="楷体" w:hAnsi="Time New Roman" w:hint="eastAsia"/>
        </w:rPr>
        <w:t>大会正式记录</w:t>
      </w:r>
      <w:r>
        <w:rPr>
          <w:rFonts w:ascii="Time New Roman" w:eastAsia="楷体" w:hAnsi="Time New Roman" w:hint="eastAsia"/>
        </w:rPr>
        <w:t>，</w:t>
      </w:r>
      <w:r w:rsidRPr="00BB06BA">
        <w:rPr>
          <w:rFonts w:ascii="Time New Roman" w:eastAsia="楷体" w:hAnsi="Time New Roman" w:hint="eastAsia"/>
        </w:rPr>
        <w:t>第七十届会议</w:t>
      </w:r>
      <w:r>
        <w:rPr>
          <w:rFonts w:ascii="Time New Roman" w:eastAsia="楷体" w:hAnsi="Time New Roman" w:hint="eastAsia"/>
        </w:rPr>
        <w:t>，</w:t>
      </w:r>
      <w:r w:rsidRPr="00BB06BA">
        <w:rPr>
          <w:rFonts w:ascii="Time New Roman" w:eastAsia="楷体" w:hAnsi="Time New Roman" w:hint="eastAsia"/>
        </w:rPr>
        <w:t>补编第</w:t>
      </w:r>
      <w:r>
        <w:rPr>
          <w:rFonts w:ascii="Time New Roman" w:eastAsia="楷体" w:hAnsi="Time New Roman" w:hint="eastAsia"/>
        </w:rPr>
        <w:t>1</w:t>
      </w:r>
      <w:r w:rsidRPr="00BB06BA">
        <w:rPr>
          <w:rFonts w:ascii="Time New Roman" w:eastAsia="楷体" w:hAnsi="Time New Roman" w:hint="eastAsia"/>
        </w:rPr>
        <w:t>0</w:t>
      </w:r>
      <w:r w:rsidRPr="00BB06BA">
        <w:rPr>
          <w:rFonts w:ascii="Time New Roman" w:eastAsia="楷体" w:hAnsi="Time New Roman" w:hint="eastAsia"/>
        </w:rPr>
        <w:t>号</w:t>
      </w:r>
      <w:r>
        <w:rPr>
          <w:rFonts w:hint="eastAsia"/>
        </w:rPr>
        <w:t>》</w:t>
      </w:r>
      <w:r>
        <w:rPr>
          <w:rFonts w:hint="eastAsia"/>
        </w:rPr>
        <w:t>(</w:t>
      </w:r>
      <w:hyperlink r:id="rId336" w:history="1">
        <w:r>
          <w:rPr>
            <w:rStyle w:val="af"/>
          </w:rPr>
          <w:t>A/</w:t>
        </w:r>
        <w:r>
          <w:rPr>
            <w:rStyle w:val="af"/>
            <w:rFonts w:hint="eastAsia"/>
          </w:rPr>
          <w:t>7</w:t>
        </w:r>
        <w:r w:rsidRPr="00D264AD">
          <w:rPr>
            <w:rStyle w:val="af"/>
            <w:rFonts w:hint="eastAsia"/>
          </w:rPr>
          <w:t>0</w:t>
        </w:r>
        <w:r>
          <w:rPr>
            <w:rStyle w:val="af"/>
          </w:rPr>
          <w:t>/1</w:t>
        </w:r>
        <w:r w:rsidRPr="00D264AD">
          <w:rPr>
            <w:rStyle w:val="af"/>
          </w:rPr>
          <w:t>0</w:t>
        </w:r>
        <w:r>
          <w:rPr>
            <w:rStyle w:val="af"/>
            <w:rFonts w:hint="eastAsia"/>
          </w:rPr>
          <w:t>)</w:t>
        </w:r>
      </w:hyperlink>
      <w:r>
        <w:rPr>
          <w:rFonts w:hint="eastAsia"/>
        </w:rPr>
        <w:t>，第</w:t>
      </w:r>
      <w:r>
        <w:rPr>
          <w:rFonts w:hint="eastAsia"/>
        </w:rPr>
        <w:t>251</w:t>
      </w:r>
      <w:r>
        <w:rPr>
          <w:rFonts w:hint="eastAsia"/>
        </w:rPr>
        <w:t>段。</w:t>
      </w:r>
    </w:p>
  </w:footnote>
  <w:footnote w:id="1454">
    <w:p w:rsidR="00AB00DE" w:rsidRPr="00CA17D3" w:rsidRDefault="00AB00DE" w:rsidP="00813081">
      <w:pPr>
        <w:pStyle w:val="a4"/>
      </w:pPr>
      <w:r>
        <w:rPr>
          <w:rFonts w:hint="eastAsia"/>
        </w:rPr>
        <w:tab/>
      </w:r>
      <w:r w:rsidRPr="008258F3">
        <w:rPr>
          <w:rStyle w:val="a5"/>
          <w:rFonts w:cstheme="majorBidi"/>
        </w:rPr>
        <w:footnoteRef/>
      </w:r>
      <w:r>
        <w:rPr>
          <w:rFonts w:hint="eastAsia"/>
        </w:rPr>
        <w:tab/>
      </w:r>
      <w:r>
        <w:rPr>
          <w:rFonts w:hint="eastAsia"/>
        </w:rPr>
        <w:t>特别报告员</w:t>
      </w:r>
      <w:r>
        <w:rPr>
          <w:rFonts w:eastAsiaTheme="minorEastAsia" w:hint="eastAsia"/>
        </w:rPr>
        <w:t>第四次报告</w:t>
      </w:r>
      <w:r>
        <w:rPr>
          <w:rFonts w:hint="eastAsia"/>
        </w:rPr>
        <w:t>建议的</w:t>
      </w:r>
      <w:r>
        <w:rPr>
          <w:rFonts w:eastAsiaTheme="minorEastAsia" w:hint="eastAsia"/>
        </w:rPr>
        <w:t>准则草案</w:t>
      </w:r>
      <w:r>
        <w:rPr>
          <w:rFonts w:eastAsiaTheme="minorEastAsia" w:hint="eastAsia"/>
        </w:rPr>
        <w:t>10</w:t>
      </w:r>
      <w:r>
        <w:rPr>
          <w:rFonts w:hint="eastAsia"/>
        </w:rPr>
        <w:t>案文如下：</w:t>
      </w:r>
    </w:p>
    <w:p w:rsidR="00AB00DE" w:rsidRPr="00CA3BEC" w:rsidRDefault="00AB00DE" w:rsidP="00813081">
      <w:pPr>
        <w:pStyle w:val="a4"/>
        <w:tabs>
          <w:tab w:val="left" w:pos="1526"/>
        </w:tabs>
        <w:ind w:firstLine="0"/>
        <w:rPr>
          <w:rFonts w:eastAsia="黑体"/>
        </w:rPr>
      </w:pPr>
      <w:r w:rsidRPr="00CA3BEC">
        <w:rPr>
          <w:rFonts w:eastAsia="黑体" w:hint="eastAsia"/>
        </w:rPr>
        <w:t>准则草案</w:t>
      </w:r>
      <w:r>
        <w:rPr>
          <w:rFonts w:eastAsia="黑体" w:hint="eastAsia"/>
        </w:rPr>
        <w:t>1</w:t>
      </w:r>
      <w:r w:rsidRPr="00CA3BEC">
        <w:rPr>
          <w:rFonts w:eastAsia="黑体" w:hint="eastAsia"/>
        </w:rPr>
        <w:t>0</w:t>
      </w:r>
      <w:r w:rsidRPr="00CA3BEC">
        <w:rPr>
          <w:rFonts w:eastAsia="黑体" w:hint="eastAsia"/>
        </w:rPr>
        <w:br/>
      </w:r>
      <w:r w:rsidRPr="00CA3BEC">
        <w:rPr>
          <w:rFonts w:eastAsia="黑体" w:hint="eastAsia"/>
        </w:rPr>
        <w:t>国内法与对条约的全部或局部的暂时适用</w:t>
      </w:r>
    </w:p>
    <w:p w:rsidR="00AB00DE" w:rsidRPr="00A45DBE" w:rsidRDefault="00AB00DE" w:rsidP="00813081">
      <w:pPr>
        <w:pStyle w:val="a4"/>
        <w:tabs>
          <w:tab w:val="left" w:pos="1526"/>
        </w:tabs>
        <w:ind w:firstLine="0"/>
      </w:pPr>
      <w:r>
        <w:rPr>
          <w:rFonts w:hint="eastAsia"/>
        </w:rPr>
        <w:tab/>
      </w:r>
      <w:r w:rsidRPr="00A45DBE">
        <w:rPr>
          <w:rFonts w:hint="eastAsia"/>
        </w:rPr>
        <w:t>同意通过暂时适用某一条约的</w:t>
      </w:r>
      <w:r w:rsidRPr="00D741A8">
        <w:rPr>
          <w:rFonts w:eastAsia="黑体" w:hint="eastAsia"/>
        </w:rPr>
        <w:t>全部</w:t>
      </w:r>
      <w:r w:rsidRPr="00A45DBE">
        <w:rPr>
          <w:rFonts w:hint="eastAsia"/>
        </w:rPr>
        <w:t>或局部而承担义务的国家</w:t>
      </w:r>
      <w:r>
        <w:rPr>
          <w:rFonts w:hint="eastAsia"/>
        </w:rPr>
        <w:t>，</w:t>
      </w:r>
      <w:r w:rsidRPr="00A45DBE">
        <w:rPr>
          <w:rFonts w:hint="eastAsia"/>
        </w:rPr>
        <w:t>不得援引其国内法条款</w:t>
      </w:r>
      <w:r>
        <w:rPr>
          <w:rFonts w:hint="eastAsia"/>
        </w:rPr>
        <w:t>，</w:t>
      </w:r>
      <w:r w:rsidRPr="00A45DBE">
        <w:rPr>
          <w:rFonts w:hint="eastAsia"/>
        </w:rPr>
        <w:t>作为不履行此类义务的理由。此一规则不妨碍</w:t>
      </w:r>
      <w:r>
        <w:rPr>
          <w:rFonts w:hint="eastAsia"/>
        </w:rPr>
        <w:t>1969</w:t>
      </w:r>
      <w:r w:rsidRPr="00A45DBE">
        <w:rPr>
          <w:rFonts w:hint="eastAsia"/>
        </w:rPr>
        <w:t>年《维也纳公约》第四十六条的施行。</w:t>
      </w:r>
    </w:p>
  </w:footnote>
  <w:footnote w:id="1455">
    <w:p w:rsidR="00AB00DE" w:rsidRPr="00187A23" w:rsidRDefault="00AB00DE" w:rsidP="00813081">
      <w:pPr>
        <w:pStyle w:val="a4"/>
        <w:rPr>
          <w:rFonts w:eastAsiaTheme="minorEastAsia"/>
        </w:rPr>
      </w:pPr>
      <w:r>
        <w:tab/>
      </w:r>
      <w:r w:rsidRPr="008258F3">
        <w:rPr>
          <w:rStyle w:val="a5"/>
        </w:rPr>
        <w:footnoteRef/>
      </w:r>
      <w:r>
        <w:rPr>
          <w:rFonts w:hint="eastAsia"/>
        </w:rPr>
        <w:tab/>
      </w:r>
      <w:r>
        <w:rPr>
          <w:rFonts w:eastAsiaTheme="minorEastAsia" w:hint="eastAsia"/>
        </w:rPr>
        <w:t>起草委员会暂时通过的准则草案案文如下：</w:t>
      </w:r>
    </w:p>
    <w:p w:rsidR="00AB00DE" w:rsidRPr="00243D98" w:rsidRDefault="00AB00DE" w:rsidP="00813081">
      <w:pPr>
        <w:pStyle w:val="H23GC"/>
        <w:spacing w:before="0" w:line="220" w:lineRule="exact"/>
        <w:rPr>
          <w:sz w:val="18"/>
          <w:szCs w:val="18"/>
        </w:rPr>
      </w:pPr>
      <w:r>
        <w:tab/>
      </w:r>
      <w:r w:rsidRPr="00243D98">
        <w:rPr>
          <w:sz w:val="18"/>
          <w:szCs w:val="18"/>
        </w:rPr>
        <w:tab/>
      </w:r>
      <w:r w:rsidRPr="00243D98">
        <w:rPr>
          <w:rFonts w:hint="eastAsia"/>
          <w:sz w:val="18"/>
          <w:szCs w:val="18"/>
        </w:rPr>
        <w:t>准则草案</w:t>
      </w:r>
      <w:r>
        <w:rPr>
          <w:sz w:val="18"/>
          <w:szCs w:val="18"/>
        </w:rPr>
        <w:t>1</w:t>
      </w:r>
      <w:r w:rsidRPr="00243D98">
        <w:rPr>
          <w:rFonts w:hint="eastAsia"/>
          <w:sz w:val="18"/>
          <w:szCs w:val="18"/>
        </w:rPr>
        <w:br/>
      </w:r>
      <w:r w:rsidRPr="00243D98">
        <w:rPr>
          <w:rFonts w:hint="eastAsia"/>
          <w:sz w:val="18"/>
          <w:szCs w:val="18"/>
        </w:rPr>
        <w:t>范围</w:t>
      </w:r>
    </w:p>
    <w:p w:rsidR="00AB00DE" w:rsidRPr="00243D98" w:rsidRDefault="00AB00DE" w:rsidP="00813081">
      <w:pPr>
        <w:pStyle w:val="a4"/>
        <w:tabs>
          <w:tab w:val="left" w:pos="1512"/>
        </w:tabs>
        <w:ind w:firstLine="0"/>
      </w:pPr>
      <w:r>
        <w:rPr>
          <w:rFonts w:hint="eastAsia"/>
          <w:lang w:val="zh-CN"/>
        </w:rPr>
        <w:tab/>
      </w:r>
      <w:r w:rsidRPr="00243D98">
        <w:rPr>
          <w:lang w:val="zh-CN"/>
        </w:rPr>
        <w:t>本准则草案涉及条约的暂时适用。</w:t>
      </w:r>
    </w:p>
    <w:p w:rsidR="00AB00DE" w:rsidRPr="00CA3BEC" w:rsidRDefault="00AB00DE" w:rsidP="00813081">
      <w:pPr>
        <w:pStyle w:val="H23GC"/>
        <w:spacing w:before="0" w:line="240" w:lineRule="exact"/>
        <w:rPr>
          <w:sz w:val="18"/>
          <w:szCs w:val="18"/>
        </w:rPr>
      </w:pPr>
      <w:r w:rsidRPr="00243D98">
        <w:rPr>
          <w:rFonts w:hint="eastAsia"/>
        </w:rPr>
        <w:tab/>
      </w:r>
      <w:r w:rsidRPr="00CA3BEC">
        <w:rPr>
          <w:rFonts w:hint="eastAsia"/>
          <w:sz w:val="18"/>
          <w:szCs w:val="18"/>
        </w:rPr>
        <w:tab/>
      </w:r>
      <w:r w:rsidRPr="00CA3BEC">
        <w:rPr>
          <w:rFonts w:hint="eastAsia"/>
          <w:sz w:val="18"/>
          <w:szCs w:val="18"/>
        </w:rPr>
        <w:t>准则草案</w:t>
      </w:r>
      <w:r>
        <w:rPr>
          <w:rFonts w:hint="eastAsia"/>
          <w:sz w:val="18"/>
          <w:szCs w:val="18"/>
        </w:rPr>
        <w:t>2</w:t>
      </w:r>
      <w:r w:rsidRPr="00CA3BEC">
        <w:rPr>
          <w:rFonts w:hint="eastAsia"/>
          <w:sz w:val="18"/>
          <w:szCs w:val="18"/>
        </w:rPr>
        <w:br/>
      </w:r>
      <w:r w:rsidRPr="00CA3BEC">
        <w:rPr>
          <w:rFonts w:hint="eastAsia"/>
          <w:sz w:val="18"/>
          <w:szCs w:val="18"/>
        </w:rPr>
        <w:t>目的</w:t>
      </w:r>
    </w:p>
    <w:p w:rsidR="00AB00DE" w:rsidRPr="00243D98" w:rsidRDefault="00AB00DE" w:rsidP="00813081">
      <w:pPr>
        <w:pStyle w:val="a4"/>
        <w:tabs>
          <w:tab w:val="left" w:pos="1526"/>
        </w:tabs>
        <w:ind w:firstLine="0"/>
      </w:pPr>
      <w:r>
        <w:rPr>
          <w:rFonts w:hint="eastAsia"/>
        </w:rPr>
        <w:tab/>
      </w:r>
      <w:r w:rsidRPr="00243D98">
        <w:rPr>
          <w:rFonts w:hint="eastAsia"/>
        </w:rPr>
        <w:t>本准则草案的目的是</w:t>
      </w:r>
      <w:r>
        <w:rPr>
          <w:rFonts w:hint="eastAsia"/>
        </w:rPr>
        <w:t>，</w:t>
      </w:r>
      <w:r w:rsidRPr="00243D98">
        <w:rPr>
          <w:rFonts w:hint="eastAsia"/>
        </w:rPr>
        <w:t>在《维也纳条约法公约》第二十五条和国际法其他规则的基础上</w:t>
      </w:r>
      <w:r>
        <w:rPr>
          <w:rFonts w:hint="eastAsia"/>
        </w:rPr>
        <w:t>，</w:t>
      </w:r>
      <w:r w:rsidRPr="00243D98">
        <w:rPr>
          <w:rFonts w:hint="eastAsia"/>
        </w:rPr>
        <w:t>就关于条约的</w:t>
      </w:r>
      <w:r w:rsidRPr="00243D98">
        <w:rPr>
          <w:lang w:val="zh-CN"/>
        </w:rPr>
        <w:t>暂时适用</w:t>
      </w:r>
      <w:r w:rsidRPr="00243D98">
        <w:rPr>
          <w:rFonts w:hint="eastAsia"/>
          <w:lang w:val="zh-CN"/>
        </w:rPr>
        <w:t>的</w:t>
      </w:r>
      <w:r w:rsidRPr="00243D98">
        <w:rPr>
          <w:rFonts w:hint="eastAsia"/>
        </w:rPr>
        <w:t>法律和实践</w:t>
      </w:r>
      <w:r w:rsidRPr="00243D98">
        <w:rPr>
          <w:rFonts w:hint="eastAsia"/>
          <w:lang w:val="zh-CN"/>
        </w:rPr>
        <w:t>提供</w:t>
      </w:r>
      <w:r w:rsidRPr="00243D98">
        <w:rPr>
          <w:rFonts w:hint="eastAsia"/>
        </w:rPr>
        <w:t>指导。</w:t>
      </w:r>
    </w:p>
    <w:p w:rsidR="00AB00DE" w:rsidRPr="00CA3BEC" w:rsidRDefault="00AB00DE" w:rsidP="00813081">
      <w:pPr>
        <w:pStyle w:val="H23GC"/>
        <w:spacing w:before="0" w:line="220" w:lineRule="exact"/>
        <w:rPr>
          <w:sz w:val="18"/>
          <w:szCs w:val="18"/>
        </w:rPr>
      </w:pPr>
      <w:r w:rsidRPr="00243D98">
        <w:rPr>
          <w:rFonts w:hint="eastAsia"/>
          <w:sz w:val="18"/>
          <w:szCs w:val="18"/>
        </w:rPr>
        <w:tab/>
      </w:r>
      <w:r w:rsidRPr="00243D98">
        <w:rPr>
          <w:rFonts w:hint="eastAsia"/>
          <w:sz w:val="18"/>
          <w:szCs w:val="18"/>
        </w:rPr>
        <w:tab/>
      </w:r>
      <w:r w:rsidRPr="00CA3BEC">
        <w:rPr>
          <w:rFonts w:hint="eastAsia"/>
          <w:sz w:val="18"/>
          <w:szCs w:val="18"/>
        </w:rPr>
        <w:t>准则草案</w:t>
      </w:r>
      <w:r>
        <w:rPr>
          <w:rFonts w:hint="eastAsia"/>
          <w:sz w:val="18"/>
          <w:szCs w:val="18"/>
        </w:rPr>
        <w:t>3</w:t>
      </w:r>
      <w:r w:rsidRPr="00CA3BEC">
        <w:rPr>
          <w:rFonts w:hint="eastAsia"/>
          <w:sz w:val="18"/>
          <w:szCs w:val="18"/>
        </w:rPr>
        <w:br/>
      </w:r>
      <w:r w:rsidRPr="00CA3BEC">
        <w:rPr>
          <w:rFonts w:hint="eastAsia"/>
          <w:sz w:val="18"/>
          <w:szCs w:val="18"/>
        </w:rPr>
        <w:t>一般规则</w:t>
      </w:r>
    </w:p>
    <w:p w:rsidR="00AB00DE" w:rsidRPr="00243D98" w:rsidRDefault="00AB00DE" w:rsidP="00813081">
      <w:pPr>
        <w:pStyle w:val="a4"/>
        <w:tabs>
          <w:tab w:val="left" w:pos="1526"/>
        </w:tabs>
        <w:ind w:firstLine="0"/>
      </w:pPr>
      <w:r>
        <w:rPr>
          <w:rFonts w:hint="eastAsia"/>
        </w:rPr>
        <w:tab/>
      </w:r>
      <w:r w:rsidRPr="00243D98">
        <w:rPr>
          <w:rFonts w:hint="eastAsia"/>
        </w:rPr>
        <w:t>如条约本身如此规定</w:t>
      </w:r>
      <w:r>
        <w:rPr>
          <w:rFonts w:hint="eastAsia"/>
        </w:rPr>
        <w:t>，</w:t>
      </w:r>
      <w:r w:rsidRPr="00243D98">
        <w:rPr>
          <w:rFonts w:hint="eastAsia"/>
        </w:rPr>
        <w:t>或以其他方式协议如此办理</w:t>
      </w:r>
      <w:r>
        <w:rPr>
          <w:rFonts w:hint="eastAsia"/>
        </w:rPr>
        <w:t>，</w:t>
      </w:r>
      <w:r w:rsidRPr="00243D98">
        <w:rPr>
          <w:rFonts w:hint="eastAsia"/>
        </w:rPr>
        <w:t>条约或条约之一部分可在条约生效前暂时适用。</w:t>
      </w:r>
    </w:p>
    <w:p w:rsidR="00AB00DE" w:rsidRPr="00CA3BEC" w:rsidRDefault="00AB00DE" w:rsidP="00813081">
      <w:pPr>
        <w:pStyle w:val="a4"/>
        <w:tabs>
          <w:tab w:val="left" w:pos="1526"/>
        </w:tabs>
        <w:ind w:firstLine="0"/>
        <w:rPr>
          <w:rFonts w:eastAsia="黑体"/>
        </w:rPr>
      </w:pPr>
      <w:r w:rsidRPr="00CA3BEC">
        <w:rPr>
          <w:rFonts w:eastAsia="黑体" w:hint="eastAsia"/>
        </w:rPr>
        <w:t>准则草案</w:t>
      </w:r>
      <w:r>
        <w:rPr>
          <w:rFonts w:eastAsia="黑体" w:hint="eastAsia"/>
        </w:rPr>
        <w:t>4</w:t>
      </w:r>
      <w:r w:rsidRPr="00CA3BEC">
        <w:rPr>
          <w:rFonts w:eastAsia="黑体" w:hint="eastAsia"/>
        </w:rPr>
        <w:br/>
      </w:r>
      <w:r w:rsidRPr="00CA3BEC">
        <w:rPr>
          <w:rFonts w:eastAsia="黑体" w:hint="eastAsia"/>
        </w:rPr>
        <w:t>形式</w:t>
      </w:r>
    </w:p>
    <w:p w:rsidR="00AB00DE" w:rsidRPr="00243D98" w:rsidRDefault="00AB00DE" w:rsidP="00813081">
      <w:pPr>
        <w:pStyle w:val="SingleTxtGC"/>
        <w:spacing w:line="220" w:lineRule="exact"/>
        <w:rPr>
          <w:sz w:val="18"/>
          <w:szCs w:val="18"/>
        </w:rPr>
      </w:pPr>
      <w:r>
        <w:rPr>
          <w:rFonts w:hint="eastAsia"/>
          <w:sz w:val="18"/>
          <w:szCs w:val="18"/>
        </w:rPr>
        <w:tab/>
      </w:r>
      <w:r w:rsidRPr="00243D98">
        <w:rPr>
          <w:sz w:val="18"/>
          <w:szCs w:val="18"/>
        </w:rPr>
        <w:t>除条约规定的情况</w:t>
      </w:r>
      <w:r w:rsidRPr="00243D98">
        <w:rPr>
          <w:rFonts w:hint="eastAsia"/>
          <w:sz w:val="18"/>
          <w:szCs w:val="18"/>
        </w:rPr>
        <w:t>外</w:t>
      </w:r>
      <w:r>
        <w:rPr>
          <w:sz w:val="18"/>
          <w:szCs w:val="18"/>
        </w:rPr>
        <w:t>，</w:t>
      </w:r>
      <w:r w:rsidRPr="00243D98">
        <w:rPr>
          <w:rFonts w:hint="eastAsia"/>
          <w:sz w:val="18"/>
          <w:szCs w:val="18"/>
        </w:rPr>
        <w:t>条约或条约之一部分的暂时适用</w:t>
      </w:r>
      <w:r w:rsidRPr="00243D98">
        <w:rPr>
          <w:sz w:val="18"/>
          <w:szCs w:val="18"/>
        </w:rPr>
        <w:t>可通过</w:t>
      </w:r>
      <w:r w:rsidRPr="00243D98">
        <w:rPr>
          <w:rFonts w:hint="eastAsia"/>
          <w:sz w:val="18"/>
          <w:szCs w:val="18"/>
        </w:rPr>
        <w:t>以下形式约定</w:t>
      </w:r>
      <w:r>
        <w:rPr>
          <w:sz w:val="18"/>
          <w:szCs w:val="18"/>
        </w:rPr>
        <w:t>：</w:t>
      </w:r>
    </w:p>
    <w:p w:rsidR="00AB00DE" w:rsidRPr="00243D98" w:rsidRDefault="00AB00DE" w:rsidP="00813081">
      <w:pPr>
        <w:pStyle w:val="SingleTxtGC"/>
        <w:numPr>
          <w:ilvl w:val="0"/>
          <w:numId w:val="30"/>
        </w:numPr>
        <w:tabs>
          <w:tab w:val="clear" w:pos="431"/>
          <w:tab w:val="clear" w:pos="2426"/>
          <w:tab w:val="num" w:pos="2058"/>
        </w:tabs>
        <w:spacing w:line="220" w:lineRule="exact"/>
        <w:rPr>
          <w:sz w:val="18"/>
          <w:szCs w:val="18"/>
        </w:rPr>
      </w:pPr>
      <w:r w:rsidRPr="00243D98">
        <w:rPr>
          <w:rFonts w:hint="eastAsia"/>
          <w:sz w:val="18"/>
          <w:szCs w:val="18"/>
        </w:rPr>
        <w:t>一项单独协定</w:t>
      </w:r>
      <w:r>
        <w:rPr>
          <w:rFonts w:hint="eastAsia"/>
          <w:sz w:val="18"/>
          <w:szCs w:val="18"/>
        </w:rPr>
        <w:t>；</w:t>
      </w:r>
      <w:r w:rsidRPr="00243D98">
        <w:rPr>
          <w:rFonts w:hint="eastAsia"/>
          <w:sz w:val="18"/>
          <w:szCs w:val="18"/>
        </w:rPr>
        <w:t>或</w:t>
      </w:r>
    </w:p>
    <w:p w:rsidR="00AB00DE" w:rsidRPr="00243D98" w:rsidRDefault="00AB00DE" w:rsidP="00813081">
      <w:pPr>
        <w:pStyle w:val="SingleTxtGC"/>
        <w:numPr>
          <w:ilvl w:val="0"/>
          <w:numId w:val="30"/>
        </w:numPr>
        <w:tabs>
          <w:tab w:val="clear" w:pos="431"/>
        </w:tabs>
        <w:spacing w:line="220" w:lineRule="exact"/>
        <w:rPr>
          <w:sz w:val="18"/>
          <w:szCs w:val="18"/>
        </w:rPr>
      </w:pPr>
      <w:r w:rsidRPr="00243D98">
        <w:rPr>
          <w:sz w:val="18"/>
          <w:szCs w:val="18"/>
        </w:rPr>
        <w:t>任何其他手段或安排</w:t>
      </w:r>
      <w:r>
        <w:rPr>
          <w:sz w:val="18"/>
          <w:szCs w:val="18"/>
        </w:rPr>
        <w:t>，</w:t>
      </w:r>
      <w:r w:rsidRPr="00243D98">
        <w:rPr>
          <w:sz w:val="18"/>
          <w:szCs w:val="18"/>
        </w:rPr>
        <w:t>包括国际组织通过的或在政府间会议上通过的决议。</w:t>
      </w:r>
    </w:p>
    <w:p w:rsidR="00AB00DE" w:rsidRPr="00CA3BEC" w:rsidRDefault="00AB00DE" w:rsidP="00813081">
      <w:pPr>
        <w:pStyle w:val="H23GC"/>
        <w:spacing w:before="0" w:line="220" w:lineRule="exact"/>
        <w:rPr>
          <w:sz w:val="18"/>
          <w:szCs w:val="18"/>
        </w:rPr>
      </w:pPr>
      <w:r w:rsidRPr="00243D98">
        <w:rPr>
          <w:rFonts w:hint="eastAsia"/>
          <w:sz w:val="18"/>
          <w:szCs w:val="18"/>
        </w:rPr>
        <w:tab/>
      </w:r>
      <w:r w:rsidRPr="00243D98">
        <w:rPr>
          <w:rFonts w:hint="eastAsia"/>
          <w:sz w:val="18"/>
          <w:szCs w:val="18"/>
        </w:rPr>
        <w:tab/>
      </w:r>
      <w:r w:rsidRPr="00CA3BEC">
        <w:rPr>
          <w:rFonts w:hint="eastAsia"/>
          <w:sz w:val="18"/>
          <w:szCs w:val="18"/>
        </w:rPr>
        <w:t>准则草案</w:t>
      </w:r>
      <w:r>
        <w:rPr>
          <w:rFonts w:hint="eastAsia"/>
          <w:sz w:val="18"/>
          <w:szCs w:val="18"/>
        </w:rPr>
        <w:t>5</w:t>
      </w:r>
      <w:r w:rsidRPr="00CA3BEC">
        <w:rPr>
          <w:rStyle w:val="a5"/>
          <w:rFonts w:hint="eastAsia"/>
          <w:sz w:val="18"/>
          <w:szCs w:val="18"/>
        </w:rPr>
        <w:t>*</w:t>
      </w:r>
      <w:r w:rsidRPr="00CA3BEC">
        <w:rPr>
          <w:rFonts w:hint="eastAsia"/>
          <w:b/>
          <w:bCs/>
          <w:sz w:val="18"/>
          <w:szCs w:val="18"/>
        </w:rPr>
        <w:br/>
      </w:r>
      <w:r>
        <w:rPr>
          <w:rFonts w:hint="eastAsia"/>
          <w:sz w:val="18"/>
          <w:szCs w:val="18"/>
        </w:rPr>
        <w:t>[</w:t>
      </w:r>
      <w:r w:rsidRPr="00CA3BEC">
        <w:rPr>
          <w:rFonts w:hint="eastAsia"/>
          <w:sz w:val="18"/>
          <w:szCs w:val="18"/>
        </w:rPr>
        <w:t>……</w:t>
      </w:r>
      <w:r>
        <w:rPr>
          <w:rFonts w:hint="eastAsia"/>
          <w:sz w:val="18"/>
          <w:szCs w:val="18"/>
        </w:rPr>
        <w:t>]</w:t>
      </w:r>
    </w:p>
    <w:p w:rsidR="00AB00DE" w:rsidRPr="00DE2F16" w:rsidRDefault="00AB00DE" w:rsidP="00813081">
      <w:pPr>
        <w:pStyle w:val="SingleTxtGC"/>
        <w:rPr>
          <w:sz w:val="18"/>
          <w:szCs w:val="18"/>
        </w:rPr>
      </w:pPr>
      <w:r>
        <w:rPr>
          <w:rFonts w:hint="eastAsia"/>
          <w:sz w:val="18"/>
          <w:szCs w:val="18"/>
        </w:rPr>
        <w:t>(*</w:t>
      </w:r>
      <w:r>
        <w:rPr>
          <w:sz w:val="18"/>
          <w:szCs w:val="18"/>
        </w:rPr>
        <w:tab/>
      </w:r>
      <w:r w:rsidRPr="00642476">
        <w:rPr>
          <w:rFonts w:ascii="Time New Roman" w:eastAsia="黑体" w:hAnsi="Time New Roman" w:hint="eastAsia"/>
          <w:sz w:val="18"/>
          <w:szCs w:val="18"/>
        </w:rPr>
        <w:t>起草委员会决定暂时搁置准则草案</w:t>
      </w:r>
      <w:r>
        <w:rPr>
          <w:rFonts w:ascii="Time New Roman" w:eastAsia="黑体" w:hAnsi="Time New Roman" w:hint="eastAsia"/>
          <w:sz w:val="18"/>
          <w:szCs w:val="18"/>
        </w:rPr>
        <w:t xml:space="preserve">5, </w:t>
      </w:r>
      <w:r w:rsidRPr="00642476">
        <w:rPr>
          <w:rFonts w:ascii="Time New Roman" w:eastAsia="黑体" w:hAnsi="Time New Roman" w:hint="eastAsia"/>
          <w:sz w:val="18"/>
          <w:szCs w:val="18"/>
        </w:rPr>
        <w:t>稍后阶段再回头讨论</w:t>
      </w:r>
      <w:r w:rsidRPr="00DE2F16">
        <w:rPr>
          <w:rFonts w:hint="eastAsia"/>
          <w:sz w:val="18"/>
          <w:szCs w:val="18"/>
        </w:rPr>
        <w:t>。</w:t>
      </w:r>
      <w:r>
        <w:rPr>
          <w:rFonts w:hint="eastAsia"/>
          <w:sz w:val="18"/>
          <w:szCs w:val="18"/>
        </w:rPr>
        <w:t>)</w:t>
      </w:r>
    </w:p>
    <w:p w:rsidR="00AB00DE" w:rsidRPr="00243D98" w:rsidRDefault="00AB00DE" w:rsidP="00813081">
      <w:pPr>
        <w:pStyle w:val="H23GC"/>
        <w:spacing w:before="0" w:line="240" w:lineRule="exact"/>
        <w:rPr>
          <w:sz w:val="18"/>
          <w:szCs w:val="18"/>
        </w:rPr>
      </w:pPr>
      <w:r w:rsidRPr="00243D98">
        <w:rPr>
          <w:rFonts w:hint="eastAsia"/>
          <w:sz w:val="18"/>
          <w:szCs w:val="18"/>
        </w:rPr>
        <w:tab/>
      </w:r>
      <w:r w:rsidRPr="00243D98">
        <w:rPr>
          <w:rFonts w:hint="eastAsia"/>
          <w:sz w:val="18"/>
          <w:szCs w:val="18"/>
        </w:rPr>
        <w:tab/>
      </w:r>
      <w:r w:rsidRPr="00243D98">
        <w:rPr>
          <w:rFonts w:hint="eastAsia"/>
          <w:sz w:val="18"/>
          <w:szCs w:val="18"/>
        </w:rPr>
        <w:t>准则草案</w:t>
      </w:r>
      <w:r>
        <w:rPr>
          <w:sz w:val="18"/>
          <w:szCs w:val="18"/>
        </w:rPr>
        <w:t>6</w:t>
      </w:r>
      <w:r w:rsidRPr="00243D98">
        <w:rPr>
          <w:rFonts w:hint="eastAsia"/>
          <w:sz w:val="18"/>
          <w:szCs w:val="18"/>
        </w:rPr>
        <w:br/>
      </w:r>
      <w:r w:rsidRPr="00243D98">
        <w:rPr>
          <w:sz w:val="18"/>
          <w:szCs w:val="18"/>
        </w:rPr>
        <w:t>暂时适用的</w:t>
      </w:r>
      <w:r w:rsidRPr="00243D98">
        <w:rPr>
          <w:rFonts w:hint="eastAsia"/>
          <w:sz w:val="18"/>
          <w:szCs w:val="18"/>
        </w:rPr>
        <w:t>开始</w:t>
      </w:r>
    </w:p>
    <w:p w:rsidR="00AB00DE" w:rsidRPr="00243D98" w:rsidRDefault="00AB00DE" w:rsidP="00813081">
      <w:pPr>
        <w:pStyle w:val="SingleTxtGC"/>
        <w:tabs>
          <w:tab w:val="clear" w:pos="1565"/>
          <w:tab w:val="left" w:pos="1484"/>
        </w:tabs>
        <w:spacing w:line="240" w:lineRule="exact"/>
        <w:rPr>
          <w:sz w:val="18"/>
          <w:szCs w:val="18"/>
        </w:rPr>
      </w:pPr>
      <w:r>
        <w:rPr>
          <w:rFonts w:hint="eastAsia"/>
          <w:sz w:val="18"/>
          <w:szCs w:val="18"/>
        </w:rPr>
        <w:tab/>
      </w:r>
      <w:r w:rsidRPr="00243D98">
        <w:rPr>
          <w:rFonts w:hint="eastAsia"/>
          <w:sz w:val="18"/>
          <w:szCs w:val="18"/>
        </w:rPr>
        <w:t>条约或条约之一部分在有关缔约国或国际组织之间生效前</w:t>
      </w:r>
      <w:r>
        <w:rPr>
          <w:rFonts w:hint="eastAsia"/>
          <w:sz w:val="18"/>
          <w:szCs w:val="18"/>
        </w:rPr>
        <w:t>，</w:t>
      </w:r>
      <w:r w:rsidRPr="00243D98">
        <w:rPr>
          <w:rFonts w:hint="eastAsia"/>
          <w:sz w:val="18"/>
          <w:szCs w:val="18"/>
        </w:rPr>
        <w:t>按条约规定的或以其他方式协定的日期、条件和程序生效。</w:t>
      </w:r>
    </w:p>
    <w:p w:rsidR="00AB00DE" w:rsidRPr="00243D98" w:rsidRDefault="00AB00DE" w:rsidP="00813081">
      <w:pPr>
        <w:pStyle w:val="H23GC"/>
        <w:spacing w:before="0" w:line="240" w:lineRule="exact"/>
        <w:rPr>
          <w:sz w:val="18"/>
          <w:szCs w:val="18"/>
        </w:rPr>
      </w:pPr>
      <w:r w:rsidRPr="00243D98">
        <w:rPr>
          <w:rFonts w:hint="eastAsia"/>
          <w:sz w:val="18"/>
          <w:szCs w:val="18"/>
        </w:rPr>
        <w:tab/>
      </w:r>
      <w:r w:rsidRPr="00243D98">
        <w:rPr>
          <w:rFonts w:hint="eastAsia"/>
          <w:sz w:val="18"/>
          <w:szCs w:val="18"/>
        </w:rPr>
        <w:tab/>
      </w:r>
      <w:r w:rsidRPr="00243D98">
        <w:rPr>
          <w:rFonts w:hint="eastAsia"/>
          <w:sz w:val="18"/>
          <w:szCs w:val="18"/>
        </w:rPr>
        <w:t>准则草案</w:t>
      </w:r>
      <w:r>
        <w:rPr>
          <w:sz w:val="18"/>
          <w:szCs w:val="18"/>
        </w:rPr>
        <w:t>7</w:t>
      </w:r>
      <w:r w:rsidRPr="00243D98">
        <w:rPr>
          <w:rFonts w:hint="eastAsia"/>
          <w:sz w:val="18"/>
          <w:szCs w:val="18"/>
        </w:rPr>
        <w:br/>
      </w:r>
      <w:r w:rsidRPr="00243D98">
        <w:rPr>
          <w:sz w:val="18"/>
          <w:szCs w:val="18"/>
        </w:rPr>
        <w:t>暂时适用的法律效力</w:t>
      </w:r>
    </w:p>
    <w:p w:rsidR="00AB00DE" w:rsidRPr="00243D98" w:rsidRDefault="00AB00DE" w:rsidP="00813081">
      <w:pPr>
        <w:pStyle w:val="SingleTxtGC"/>
        <w:tabs>
          <w:tab w:val="clear" w:pos="1565"/>
          <w:tab w:val="left" w:pos="1498"/>
        </w:tabs>
        <w:spacing w:line="240" w:lineRule="exact"/>
        <w:jc w:val="left"/>
        <w:rPr>
          <w:sz w:val="18"/>
          <w:szCs w:val="18"/>
        </w:rPr>
      </w:pPr>
      <w:r>
        <w:rPr>
          <w:rFonts w:hint="eastAsia"/>
          <w:sz w:val="18"/>
          <w:szCs w:val="18"/>
        </w:rPr>
        <w:tab/>
      </w:r>
      <w:r w:rsidRPr="00243D98">
        <w:rPr>
          <w:sz w:val="18"/>
          <w:szCs w:val="18"/>
        </w:rPr>
        <w:t>除条约另有规定或另经协议外</w:t>
      </w:r>
      <w:r>
        <w:rPr>
          <w:sz w:val="18"/>
          <w:szCs w:val="18"/>
        </w:rPr>
        <w:t>，</w:t>
      </w:r>
      <w:r w:rsidRPr="00243D98">
        <w:rPr>
          <w:rFonts w:hint="eastAsia"/>
          <w:sz w:val="18"/>
          <w:szCs w:val="18"/>
        </w:rPr>
        <w:t>条约或条约之一部分产生如条约在有关缔约国或国际组织之间生效相同的效果。</w:t>
      </w:r>
    </w:p>
    <w:p w:rsidR="00AB00DE" w:rsidRPr="00243D98" w:rsidRDefault="00AB00DE" w:rsidP="00813081">
      <w:pPr>
        <w:pStyle w:val="H23GC"/>
        <w:spacing w:before="0" w:line="240" w:lineRule="exact"/>
        <w:rPr>
          <w:sz w:val="18"/>
          <w:szCs w:val="18"/>
        </w:rPr>
      </w:pPr>
      <w:r w:rsidRPr="00243D98">
        <w:rPr>
          <w:rFonts w:hint="eastAsia"/>
          <w:sz w:val="18"/>
          <w:szCs w:val="18"/>
        </w:rPr>
        <w:tab/>
      </w:r>
      <w:r w:rsidRPr="00243D98">
        <w:rPr>
          <w:rFonts w:hint="eastAsia"/>
          <w:sz w:val="18"/>
          <w:szCs w:val="18"/>
        </w:rPr>
        <w:tab/>
      </w:r>
      <w:r w:rsidRPr="00243D98">
        <w:rPr>
          <w:rFonts w:hint="eastAsia"/>
          <w:sz w:val="18"/>
          <w:szCs w:val="18"/>
        </w:rPr>
        <w:t>准则草案</w:t>
      </w:r>
      <w:r>
        <w:rPr>
          <w:sz w:val="18"/>
          <w:szCs w:val="18"/>
        </w:rPr>
        <w:t>8</w:t>
      </w:r>
      <w:r w:rsidRPr="00243D98">
        <w:rPr>
          <w:sz w:val="18"/>
          <w:szCs w:val="18"/>
        </w:rPr>
        <w:br/>
      </w:r>
      <w:r w:rsidRPr="00243D98">
        <w:rPr>
          <w:rFonts w:hint="eastAsia"/>
          <w:sz w:val="18"/>
          <w:szCs w:val="18"/>
        </w:rPr>
        <w:t>违约责任</w:t>
      </w:r>
    </w:p>
    <w:p w:rsidR="00AB00DE" w:rsidRPr="00243D98" w:rsidRDefault="00AB00DE" w:rsidP="00813081">
      <w:pPr>
        <w:pStyle w:val="SingleTxtGC"/>
        <w:tabs>
          <w:tab w:val="clear" w:pos="1565"/>
          <w:tab w:val="left" w:pos="1498"/>
        </w:tabs>
        <w:spacing w:line="240" w:lineRule="exact"/>
        <w:rPr>
          <w:sz w:val="18"/>
          <w:szCs w:val="18"/>
        </w:rPr>
      </w:pPr>
      <w:r>
        <w:rPr>
          <w:rFonts w:hint="eastAsia"/>
          <w:sz w:val="18"/>
          <w:szCs w:val="18"/>
        </w:rPr>
        <w:tab/>
      </w:r>
      <w:r w:rsidRPr="00243D98">
        <w:rPr>
          <w:rFonts w:hint="eastAsia"/>
          <w:sz w:val="18"/>
          <w:szCs w:val="18"/>
        </w:rPr>
        <w:t>根据适用的国际法规则</w:t>
      </w:r>
      <w:r>
        <w:rPr>
          <w:rFonts w:hint="eastAsia"/>
          <w:sz w:val="18"/>
          <w:szCs w:val="18"/>
        </w:rPr>
        <w:t>，</w:t>
      </w:r>
      <w:r w:rsidRPr="00243D98">
        <w:rPr>
          <w:rFonts w:hint="eastAsia"/>
          <w:sz w:val="18"/>
          <w:szCs w:val="18"/>
        </w:rPr>
        <w:t>违反</w:t>
      </w:r>
      <w:r w:rsidRPr="00243D98">
        <w:rPr>
          <w:sz w:val="18"/>
          <w:szCs w:val="18"/>
        </w:rPr>
        <w:t>暂时适用</w:t>
      </w:r>
      <w:r w:rsidRPr="00243D98">
        <w:rPr>
          <w:rFonts w:hint="eastAsia"/>
          <w:sz w:val="18"/>
          <w:szCs w:val="18"/>
        </w:rPr>
        <w:t>的条约或条约之一部分产生的义务</w:t>
      </w:r>
      <w:r w:rsidRPr="00243D98">
        <w:rPr>
          <w:sz w:val="18"/>
          <w:szCs w:val="18"/>
        </w:rPr>
        <w:t>引起国际责任</w:t>
      </w:r>
      <w:r w:rsidRPr="00243D98">
        <w:rPr>
          <w:rFonts w:hint="eastAsia"/>
          <w:sz w:val="18"/>
          <w:szCs w:val="18"/>
        </w:rPr>
        <w:t>。</w:t>
      </w:r>
    </w:p>
    <w:p w:rsidR="00AB00DE" w:rsidRPr="00243D98" w:rsidRDefault="00AB00DE" w:rsidP="00813081">
      <w:pPr>
        <w:pStyle w:val="H23GC"/>
        <w:spacing w:before="0" w:line="240" w:lineRule="exact"/>
        <w:rPr>
          <w:sz w:val="18"/>
          <w:szCs w:val="18"/>
        </w:rPr>
      </w:pPr>
      <w:r w:rsidRPr="00243D98">
        <w:rPr>
          <w:rFonts w:hint="eastAsia"/>
          <w:sz w:val="18"/>
          <w:szCs w:val="18"/>
        </w:rPr>
        <w:tab/>
      </w:r>
      <w:r w:rsidRPr="00243D98">
        <w:rPr>
          <w:rFonts w:hint="eastAsia"/>
          <w:sz w:val="18"/>
          <w:szCs w:val="18"/>
        </w:rPr>
        <w:tab/>
      </w:r>
      <w:r w:rsidRPr="00243D98">
        <w:rPr>
          <w:rFonts w:hint="eastAsia"/>
          <w:sz w:val="18"/>
          <w:szCs w:val="18"/>
        </w:rPr>
        <w:t>准则草案</w:t>
      </w:r>
      <w:r>
        <w:rPr>
          <w:sz w:val="18"/>
          <w:szCs w:val="18"/>
        </w:rPr>
        <w:t>9</w:t>
      </w:r>
      <w:r w:rsidRPr="00243D98">
        <w:rPr>
          <w:sz w:val="18"/>
          <w:szCs w:val="18"/>
        </w:rPr>
        <w:br/>
      </w:r>
      <w:r w:rsidRPr="00243D98">
        <w:rPr>
          <w:rFonts w:hint="eastAsia"/>
          <w:sz w:val="18"/>
          <w:szCs w:val="18"/>
        </w:rPr>
        <w:t>在通知其不欲成为缔约国的意图时终止</w:t>
      </w:r>
    </w:p>
    <w:p w:rsidR="00AB00DE" w:rsidRPr="008A21A7" w:rsidRDefault="00AB00DE" w:rsidP="00813081">
      <w:pPr>
        <w:pStyle w:val="SingleTxtGC"/>
        <w:tabs>
          <w:tab w:val="clear" w:pos="1565"/>
          <w:tab w:val="left" w:pos="1498"/>
        </w:tabs>
        <w:spacing w:line="240" w:lineRule="exact"/>
      </w:pPr>
      <w:r>
        <w:rPr>
          <w:rFonts w:hint="eastAsia"/>
          <w:sz w:val="18"/>
          <w:szCs w:val="18"/>
          <w:lang w:val="zh-CN"/>
        </w:rPr>
        <w:tab/>
      </w:r>
      <w:r w:rsidRPr="00243D98">
        <w:rPr>
          <w:sz w:val="18"/>
          <w:szCs w:val="18"/>
          <w:lang w:val="zh-CN"/>
        </w:rPr>
        <w:t>除条约另有规定或另有协议外</w:t>
      </w:r>
      <w:r>
        <w:rPr>
          <w:sz w:val="18"/>
          <w:szCs w:val="18"/>
        </w:rPr>
        <w:t>，</w:t>
      </w:r>
      <w:r w:rsidRPr="00243D98">
        <w:rPr>
          <w:sz w:val="18"/>
          <w:szCs w:val="18"/>
          <w:lang w:val="zh-CN"/>
        </w:rPr>
        <w:t>对一国</w:t>
      </w:r>
      <w:r w:rsidRPr="00243D98">
        <w:rPr>
          <w:rFonts w:hint="eastAsia"/>
          <w:sz w:val="18"/>
          <w:szCs w:val="18"/>
          <w:lang w:val="zh-CN"/>
        </w:rPr>
        <w:t>或国际组织</w:t>
      </w:r>
      <w:r w:rsidRPr="00243D98">
        <w:rPr>
          <w:sz w:val="18"/>
          <w:szCs w:val="18"/>
          <w:lang w:val="zh-CN"/>
        </w:rPr>
        <w:t>暂时适用</w:t>
      </w:r>
      <w:r w:rsidRPr="00243D98">
        <w:rPr>
          <w:rFonts w:hint="eastAsia"/>
          <w:sz w:val="18"/>
          <w:szCs w:val="18"/>
          <w:lang w:val="zh-CN"/>
        </w:rPr>
        <w:t>的</w:t>
      </w:r>
      <w:r w:rsidRPr="00243D98">
        <w:rPr>
          <w:sz w:val="18"/>
          <w:szCs w:val="18"/>
          <w:lang w:val="zh-CN"/>
        </w:rPr>
        <w:t>条约或条约一部分</w:t>
      </w:r>
      <w:r>
        <w:rPr>
          <w:sz w:val="18"/>
          <w:szCs w:val="18"/>
        </w:rPr>
        <w:t>，</w:t>
      </w:r>
      <w:r w:rsidRPr="00243D98">
        <w:rPr>
          <w:rFonts w:hint="eastAsia"/>
          <w:sz w:val="18"/>
          <w:szCs w:val="18"/>
        </w:rPr>
        <w:t>应</w:t>
      </w:r>
      <w:r w:rsidRPr="00243D98">
        <w:rPr>
          <w:sz w:val="18"/>
          <w:szCs w:val="18"/>
          <w:lang w:val="zh-CN"/>
        </w:rPr>
        <w:t>于该国</w:t>
      </w:r>
      <w:r w:rsidRPr="00243D98">
        <w:rPr>
          <w:rFonts w:hint="eastAsia"/>
          <w:sz w:val="18"/>
          <w:szCs w:val="18"/>
          <w:lang w:val="zh-CN"/>
        </w:rPr>
        <w:t>或国际组织</w:t>
      </w:r>
      <w:r w:rsidRPr="00243D98">
        <w:rPr>
          <w:sz w:val="18"/>
          <w:szCs w:val="18"/>
          <w:lang w:val="zh-CN"/>
        </w:rPr>
        <w:t>通知条约或条约一部分</w:t>
      </w:r>
      <w:r w:rsidRPr="00243D98">
        <w:rPr>
          <w:rFonts w:hint="eastAsia"/>
          <w:sz w:val="18"/>
          <w:szCs w:val="18"/>
          <w:lang w:val="zh-CN"/>
        </w:rPr>
        <w:t>对其</w:t>
      </w:r>
      <w:r w:rsidRPr="00243D98">
        <w:rPr>
          <w:sz w:val="18"/>
          <w:szCs w:val="18"/>
          <w:lang w:val="zh-CN"/>
        </w:rPr>
        <w:t>暂时适用</w:t>
      </w:r>
      <w:r w:rsidRPr="00243D98">
        <w:rPr>
          <w:rFonts w:hint="eastAsia"/>
          <w:sz w:val="18"/>
          <w:szCs w:val="18"/>
          <w:lang w:val="zh-CN"/>
        </w:rPr>
        <w:t>的</w:t>
      </w:r>
      <w:r w:rsidRPr="00243D98">
        <w:rPr>
          <w:sz w:val="18"/>
          <w:szCs w:val="18"/>
          <w:lang w:val="zh-CN"/>
        </w:rPr>
        <w:t>其他各国</w:t>
      </w:r>
      <w:r w:rsidRPr="00243D98">
        <w:rPr>
          <w:rFonts w:hint="eastAsia"/>
          <w:sz w:val="18"/>
          <w:szCs w:val="18"/>
          <w:lang w:val="zh-CN"/>
        </w:rPr>
        <w:t>或国际组织</w:t>
      </w:r>
      <w:r w:rsidRPr="00243D98">
        <w:rPr>
          <w:sz w:val="18"/>
          <w:szCs w:val="18"/>
          <w:lang w:val="zh-CN"/>
        </w:rPr>
        <w:t>其</w:t>
      </w:r>
      <w:r w:rsidRPr="00243D98">
        <w:rPr>
          <w:rFonts w:hint="eastAsia"/>
          <w:sz w:val="18"/>
          <w:szCs w:val="18"/>
          <w:lang w:val="zh-CN"/>
        </w:rPr>
        <w:t>不欲</w:t>
      </w:r>
      <w:r w:rsidRPr="00243D98">
        <w:rPr>
          <w:sz w:val="18"/>
          <w:szCs w:val="18"/>
          <w:lang w:val="zh-CN"/>
        </w:rPr>
        <w:t>成为条约当事国</w:t>
      </w:r>
      <w:r w:rsidRPr="00243D98">
        <w:rPr>
          <w:rFonts w:hint="eastAsia"/>
          <w:sz w:val="18"/>
          <w:szCs w:val="18"/>
          <w:lang w:val="zh-CN"/>
        </w:rPr>
        <w:t>的意图</w:t>
      </w:r>
      <w:r w:rsidRPr="00243D98">
        <w:rPr>
          <w:sz w:val="18"/>
          <w:szCs w:val="18"/>
          <w:lang w:val="zh-CN"/>
        </w:rPr>
        <w:t>时终止。</w:t>
      </w:r>
    </w:p>
  </w:footnote>
  <w:footnote w:id="1456">
    <w:p w:rsidR="00AB00DE" w:rsidRPr="00C5606F" w:rsidRDefault="00AB00DE" w:rsidP="00813081">
      <w:pPr>
        <w:pStyle w:val="a4"/>
      </w:pPr>
      <w:r>
        <w:rPr>
          <w:rFonts w:hint="eastAsia"/>
        </w:rPr>
        <w:tab/>
      </w:r>
      <w:r w:rsidRPr="008258F3">
        <w:rPr>
          <w:rStyle w:val="a5"/>
          <w:rFonts w:cstheme="majorBidi"/>
        </w:rPr>
        <w:footnoteRef/>
      </w:r>
      <w:r>
        <w:rPr>
          <w:rFonts w:hint="eastAsia"/>
        </w:rPr>
        <w:tab/>
      </w:r>
      <w:r w:rsidRPr="00C5606F">
        <w:rPr>
          <w:rFonts w:hint="eastAsia"/>
        </w:rPr>
        <w:t>常设仲裁法院</w:t>
      </w:r>
      <w:r>
        <w:rPr>
          <w:rFonts w:hint="eastAsia"/>
        </w:rPr>
        <w:t>，</w:t>
      </w:r>
      <w:r>
        <w:rPr>
          <w:rFonts w:hint="eastAsia"/>
          <w:i/>
          <w:iCs/>
        </w:rPr>
        <w:t>Yukos</w:t>
      </w:r>
      <w:r w:rsidRPr="00890CE8">
        <w:rPr>
          <w:rFonts w:hint="eastAsia"/>
          <w:i/>
          <w:iCs/>
        </w:rPr>
        <w:t xml:space="preserve"> </w:t>
      </w:r>
      <w:r>
        <w:rPr>
          <w:rFonts w:hint="eastAsia"/>
          <w:i/>
          <w:iCs/>
        </w:rPr>
        <w:t>Universal</w:t>
      </w:r>
      <w:r w:rsidRPr="00890CE8">
        <w:rPr>
          <w:rFonts w:hint="eastAsia"/>
          <w:i/>
          <w:iCs/>
        </w:rPr>
        <w:t xml:space="preserve"> </w:t>
      </w:r>
      <w:r>
        <w:rPr>
          <w:rFonts w:hint="eastAsia"/>
          <w:i/>
          <w:iCs/>
        </w:rPr>
        <w:t>Limited(Isle</w:t>
      </w:r>
      <w:r w:rsidRPr="00890CE8">
        <w:rPr>
          <w:rFonts w:hint="eastAsia"/>
          <w:i/>
          <w:iCs/>
        </w:rPr>
        <w:t xml:space="preserve"> </w:t>
      </w:r>
      <w:r>
        <w:rPr>
          <w:rFonts w:hint="eastAsia"/>
          <w:i/>
          <w:iCs/>
        </w:rPr>
        <w:t>of</w:t>
      </w:r>
      <w:r w:rsidRPr="00890CE8">
        <w:rPr>
          <w:rFonts w:hint="eastAsia"/>
          <w:i/>
          <w:iCs/>
        </w:rPr>
        <w:t xml:space="preserve"> </w:t>
      </w:r>
      <w:r>
        <w:rPr>
          <w:rFonts w:hint="eastAsia"/>
          <w:i/>
          <w:iCs/>
        </w:rPr>
        <w:t>Man</w:t>
      </w:r>
      <w:r>
        <w:rPr>
          <w:rFonts w:hint="eastAsia"/>
        </w:rPr>
        <w:t>)</w:t>
      </w:r>
      <w:r w:rsidRPr="00B9008C">
        <w:rPr>
          <w:rFonts w:ascii="Time New Roman" w:eastAsia="楷体" w:hAnsi="Time New Roman" w:hint="eastAsia"/>
        </w:rPr>
        <w:t>诉俄罗斯联邦案</w:t>
      </w:r>
      <w:r>
        <w:rPr>
          <w:rFonts w:ascii="Time New Roman" w:eastAsia="楷体" w:hAnsi="Time New Roman" w:hint="eastAsia"/>
        </w:rPr>
        <w:t>，</w:t>
      </w:r>
      <w:r>
        <w:rPr>
          <w:rFonts w:hint="eastAsia"/>
        </w:rPr>
        <w:t>关于管辖权和可受理性问题的临时裁决，</w:t>
      </w:r>
      <w:r>
        <w:rPr>
          <w:rFonts w:hint="eastAsia"/>
        </w:rPr>
        <w:t>2</w:t>
      </w:r>
      <w:r w:rsidRPr="00C5606F">
        <w:rPr>
          <w:rFonts w:hint="eastAsia"/>
        </w:rPr>
        <w:t>00</w:t>
      </w:r>
      <w:r>
        <w:rPr>
          <w:rFonts w:hint="eastAsia"/>
        </w:rPr>
        <w:t>9</w:t>
      </w:r>
      <w:r w:rsidRPr="00C5606F">
        <w:rPr>
          <w:rFonts w:hint="eastAsia"/>
        </w:rPr>
        <w:t>年</w:t>
      </w:r>
      <w:r>
        <w:rPr>
          <w:rFonts w:hint="eastAsia"/>
        </w:rPr>
        <w:t>11</w:t>
      </w:r>
      <w:r>
        <w:rPr>
          <w:rFonts w:hint="eastAsia"/>
        </w:rPr>
        <w:t>月</w:t>
      </w:r>
      <w:r>
        <w:rPr>
          <w:rFonts w:hint="eastAsia"/>
        </w:rPr>
        <w:t>30</w:t>
      </w:r>
      <w:r>
        <w:rPr>
          <w:rFonts w:hint="eastAsia"/>
        </w:rPr>
        <w:t>日；另见海牙地区法院的合并案件，</w:t>
      </w:r>
      <w:r w:rsidRPr="00890CE8">
        <w:rPr>
          <w:rFonts w:ascii="Time New Roman" w:eastAsia="楷体" w:hAnsi="Time New Roman" w:hint="eastAsia"/>
        </w:rPr>
        <w:t>俄罗斯联邦诉</w:t>
      </w:r>
      <w:r>
        <w:rPr>
          <w:i/>
          <w:iCs/>
        </w:rPr>
        <w:t>Veteran</w:t>
      </w:r>
      <w:r w:rsidRPr="00890CE8">
        <w:rPr>
          <w:i/>
          <w:iCs/>
        </w:rPr>
        <w:t xml:space="preserve"> </w:t>
      </w:r>
      <w:r>
        <w:rPr>
          <w:i/>
          <w:iCs/>
        </w:rPr>
        <w:t>Petroleum</w:t>
      </w:r>
      <w:r w:rsidRPr="00890CE8">
        <w:rPr>
          <w:i/>
          <w:iCs/>
        </w:rPr>
        <w:t xml:space="preserve"> </w:t>
      </w:r>
      <w:r>
        <w:rPr>
          <w:i/>
          <w:iCs/>
        </w:rPr>
        <w:t>Limited</w:t>
      </w:r>
      <w:r w:rsidRPr="00D842FE">
        <w:rPr>
          <w:rFonts w:ascii="Time New Roman" w:eastAsia="楷体" w:hAnsi="Time New Roman" w:hint="eastAsia"/>
        </w:rPr>
        <w:t>案</w:t>
      </w:r>
      <w:r>
        <w:t>，</w:t>
      </w:r>
      <w:r w:rsidRPr="00890CE8">
        <w:rPr>
          <w:rFonts w:ascii="Time New Roman" w:eastAsia="楷体" w:hAnsi="Time New Roman" w:hint="eastAsia"/>
        </w:rPr>
        <w:t>俄罗斯联邦诉</w:t>
      </w:r>
      <w:r>
        <w:rPr>
          <w:i/>
          <w:iCs/>
        </w:rPr>
        <w:t>Yukos</w:t>
      </w:r>
      <w:r w:rsidRPr="00890CE8">
        <w:rPr>
          <w:i/>
          <w:iCs/>
        </w:rPr>
        <w:t xml:space="preserve"> </w:t>
      </w:r>
      <w:r>
        <w:rPr>
          <w:i/>
          <w:iCs/>
        </w:rPr>
        <w:t>Universal</w:t>
      </w:r>
      <w:r w:rsidRPr="00890CE8">
        <w:rPr>
          <w:i/>
          <w:iCs/>
        </w:rPr>
        <w:t xml:space="preserve"> </w:t>
      </w:r>
      <w:r>
        <w:rPr>
          <w:i/>
          <w:iCs/>
        </w:rPr>
        <w:t>Limited</w:t>
      </w:r>
      <w:r w:rsidRPr="00D842FE">
        <w:rPr>
          <w:rFonts w:ascii="Time New Roman" w:eastAsia="楷体" w:hAnsi="Time New Roman" w:hint="eastAsia"/>
        </w:rPr>
        <w:t>案</w:t>
      </w:r>
      <w:r w:rsidRPr="00C5606F">
        <w:rPr>
          <w:rFonts w:hint="eastAsia"/>
        </w:rPr>
        <w:t>和</w:t>
      </w:r>
      <w:r w:rsidRPr="00890CE8">
        <w:rPr>
          <w:rFonts w:ascii="Time New Roman" w:eastAsia="楷体" w:hAnsi="Time New Roman" w:hint="eastAsia"/>
        </w:rPr>
        <w:t>俄罗斯联邦诉</w:t>
      </w:r>
      <w:r>
        <w:rPr>
          <w:i/>
          <w:iCs/>
        </w:rPr>
        <w:t>Hulley</w:t>
      </w:r>
      <w:r w:rsidRPr="00890CE8">
        <w:rPr>
          <w:i/>
          <w:iCs/>
        </w:rPr>
        <w:t xml:space="preserve"> </w:t>
      </w:r>
      <w:r>
        <w:rPr>
          <w:i/>
          <w:iCs/>
        </w:rPr>
        <w:t>Entreprises</w:t>
      </w:r>
      <w:r w:rsidRPr="00890CE8">
        <w:rPr>
          <w:i/>
          <w:iCs/>
        </w:rPr>
        <w:t xml:space="preserve"> </w:t>
      </w:r>
      <w:r>
        <w:rPr>
          <w:i/>
          <w:iCs/>
        </w:rPr>
        <w:t>Limited</w:t>
      </w:r>
      <w:r w:rsidRPr="00D842FE">
        <w:rPr>
          <w:rFonts w:ascii="Time New Roman" w:eastAsia="楷体" w:hAnsi="Time New Roman" w:hint="eastAsia"/>
        </w:rPr>
        <w:t>案</w:t>
      </w:r>
      <w:r>
        <w:t>(</w:t>
      </w:r>
      <w:hyperlink r:id="rId337" w:history="1">
        <w:r>
          <w:rPr>
            <w:rStyle w:val="af"/>
            <w:rFonts w:asciiTheme="majorBidi" w:hAnsiTheme="majorBidi" w:cstheme="majorBidi"/>
          </w:rPr>
          <w:t>C/</w:t>
        </w:r>
        <w:r w:rsidRPr="00362454">
          <w:rPr>
            <w:rStyle w:val="af"/>
            <w:rFonts w:asciiTheme="majorBidi" w:hAnsiTheme="majorBidi" w:cstheme="majorBidi"/>
          </w:rPr>
          <w:t>0</w:t>
        </w:r>
        <w:r>
          <w:rPr>
            <w:rStyle w:val="af"/>
            <w:rFonts w:asciiTheme="majorBidi" w:hAnsiTheme="majorBidi" w:cstheme="majorBidi"/>
          </w:rPr>
          <w:t>9/47716</w:t>
        </w:r>
        <w:r w:rsidRPr="00362454">
          <w:rPr>
            <w:rStyle w:val="af"/>
            <w:rFonts w:asciiTheme="majorBidi" w:hAnsiTheme="majorBidi" w:cstheme="majorBidi"/>
          </w:rPr>
          <w:t>0</w:t>
        </w:r>
        <w:r>
          <w:rPr>
            <w:rStyle w:val="af"/>
            <w:rFonts w:asciiTheme="majorBidi" w:hAnsiTheme="majorBidi" w:cstheme="majorBidi"/>
          </w:rPr>
          <w:t>/HA</w:t>
        </w:r>
        <w:r w:rsidRPr="00362454">
          <w:rPr>
            <w:rStyle w:val="af"/>
            <w:rFonts w:asciiTheme="majorBidi" w:hAnsiTheme="majorBidi" w:cstheme="majorBidi"/>
          </w:rPr>
          <w:t xml:space="preserve"> </w:t>
        </w:r>
        <w:r>
          <w:rPr>
            <w:rStyle w:val="af"/>
            <w:rFonts w:asciiTheme="majorBidi" w:hAnsiTheme="majorBidi" w:cstheme="majorBidi"/>
          </w:rPr>
          <w:t>ZA</w:t>
        </w:r>
        <w:r w:rsidRPr="00362454">
          <w:rPr>
            <w:rStyle w:val="af"/>
            <w:rFonts w:asciiTheme="majorBidi" w:hAnsiTheme="majorBidi" w:cstheme="majorBidi"/>
          </w:rPr>
          <w:t xml:space="preserve"> </w:t>
        </w:r>
        <w:r>
          <w:rPr>
            <w:rStyle w:val="af"/>
            <w:rFonts w:asciiTheme="majorBidi" w:hAnsiTheme="majorBidi" w:cstheme="majorBidi"/>
          </w:rPr>
          <w:t>15</w:t>
        </w:r>
        <w:r w:rsidRPr="00362454">
          <w:rPr>
            <w:rStyle w:val="af"/>
            <w:rFonts w:asciiTheme="majorBidi" w:hAnsiTheme="majorBidi" w:cstheme="majorBidi"/>
          </w:rPr>
          <w:t>-</w:t>
        </w:r>
        <w:r>
          <w:rPr>
            <w:rStyle w:val="af"/>
            <w:rFonts w:asciiTheme="majorBidi" w:hAnsiTheme="majorBidi" w:cstheme="majorBidi"/>
          </w:rPr>
          <w:t>1</w:t>
        </w:r>
        <w:r>
          <w:rPr>
            <w:rStyle w:val="af"/>
            <w:rFonts w:asciiTheme="majorBidi" w:hAnsiTheme="majorBidi" w:cstheme="majorBidi"/>
          </w:rPr>
          <w:t>；</w:t>
        </w:r>
        <w:r>
          <w:rPr>
            <w:rStyle w:val="af"/>
            <w:rFonts w:asciiTheme="majorBidi" w:hAnsiTheme="majorBidi" w:cstheme="majorBidi"/>
          </w:rPr>
          <w:t>C/</w:t>
        </w:r>
        <w:r w:rsidRPr="00362454">
          <w:rPr>
            <w:rStyle w:val="af"/>
            <w:rFonts w:asciiTheme="majorBidi" w:hAnsiTheme="majorBidi" w:cstheme="majorBidi"/>
          </w:rPr>
          <w:t>0</w:t>
        </w:r>
        <w:r>
          <w:rPr>
            <w:rStyle w:val="af"/>
            <w:rFonts w:asciiTheme="majorBidi" w:hAnsiTheme="majorBidi" w:cstheme="majorBidi"/>
          </w:rPr>
          <w:t>9/477162/HA</w:t>
        </w:r>
        <w:r w:rsidRPr="00362454">
          <w:rPr>
            <w:rStyle w:val="af"/>
            <w:rFonts w:asciiTheme="majorBidi" w:hAnsiTheme="majorBidi" w:cstheme="majorBidi"/>
          </w:rPr>
          <w:t xml:space="preserve"> </w:t>
        </w:r>
        <w:r>
          <w:rPr>
            <w:rStyle w:val="af"/>
            <w:rFonts w:asciiTheme="majorBidi" w:hAnsiTheme="majorBidi" w:cstheme="majorBidi"/>
          </w:rPr>
          <w:t>ZA</w:t>
        </w:r>
        <w:r w:rsidRPr="00362454">
          <w:rPr>
            <w:rStyle w:val="af"/>
            <w:rFonts w:asciiTheme="majorBidi" w:hAnsiTheme="majorBidi" w:cstheme="majorBidi"/>
          </w:rPr>
          <w:t xml:space="preserve"> </w:t>
        </w:r>
        <w:r>
          <w:rPr>
            <w:rStyle w:val="af"/>
            <w:rFonts w:asciiTheme="majorBidi" w:hAnsiTheme="majorBidi" w:cstheme="majorBidi"/>
          </w:rPr>
          <w:t>15</w:t>
        </w:r>
        <w:r w:rsidRPr="00362454">
          <w:rPr>
            <w:rStyle w:val="af"/>
            <w:rFonts w:asciiTheme="majorBidi" w:hAnsiTheme="majorBidi" w:cstheme="majorBidi"/>
          </w:rPr>
          <w:t>-</w:t>
        </w:r>
        <w:r>
          <w:rPr>
            <w:rStyle w:val="af"/>
            <w:rFonts w:asciiTheme="majorBidi" w:hAnsiTheme="majorBidi" w:cstheme="majorBidi"/>
          </w:rPr>
          <w:t>2</w:t>
        </w:r>
        <w:r>
          <w:rPr>
            <w:rStyle w:val="af"/>
            <w:rFonts w:asciiTheme="majorBidi" w:hAnsiTheme="majorBidi" w:cstheme="majorBidi"/>
          </w:rPr>
          <w:t>；</w:t>
        </w:r>
        <w:r>
          <w:rPr>
            <w:rStyle w:val="af"/>
            <w:rFonts w:asciiTheme="majorBidi" w:hAnsiTheme="majorBidi" w:cstheme="majorBidi"/>
          </w:rPr>
          <w:t>C/</w:t>
        </w:r>
        <w:r w:rsidRPr="00362454">
          <w:rPr>
            <w:rStyle w:val="af"/>
            <w:rFonts w:asciiTheme="majorBidi" w:hAnsiTheme="majorBidi" w:cstheme="majorBidi"/>
          </w:rPr>
          <w:t>0</w:t>
        </w:r>
        <w:r>
          <w:rPr>
            <w:rStyle w:val="af"/>
            <w:rFonts w:asciiTheme="majorBidi" w:hAnsiTheme="majorBidi" w:cstheme="majorBidi"/>
          </w:rPr>
          <w:t>9/481619/HA</w:t>
        </w:r>
        <w:r w:rsidRPr="00362454">
          <w:rPr>
            <w:rStyle w:val="af"/>
            <w:rFonts w:asciiTheme="majorBidi" w:hAnsiTheme="majorBidi" w:cstheme="majorBidi"/>
          </w:rPr>
          <w:t xml:space="preserve"> </w:t>
        </w:r>
        <w:r>
          <w:rPr>
            <w:rStyle w:val="af"/>
            <w:rFonts w:asciiTheme="majorBidi" w:hAnsiTheme="majorBidi" w:cstheme="majorBidi"/>
          </w:rPr>
          <w:t>ZA</w:t>
        </w:r>
        <w:r w:rsidRPr="00362454">
          <w:rPr>
            <w:rStyle w:val="af"/>
            <w:rFonts w:asciiTheme="majorBidi" w:hAnsiTheme="majorBidi" w:cstheme="majorBidi"/>
          </w:rPr>
          <w:t xml:space="preserve"> </w:t>
        </w:r>
        <w:r>
          <w:rPr>
            <w:rStyle w:val="af"/>
            <w:rFonts w:asciiTheme="majorBidi" w:hAnsiTheme="majorBidi" w:cstheme="majorBidi"/>
          </w:rPr>
          <w:t>15</w:t>
        </w:r>
        <w:r w:rsidRPr="00362454">
          <w:rPr>
            <w:rStyle w:val="af"/>
            <w:rFonts w:asciiTheme="majorBidi" w:hAnsiTheme="majorBidi" w:cstheme="majorBidi"/>
          </w:rPr>
          <w:t>-</w:t>
        </w:r>
        <w:r>
          <w:rPr>
            <w:rStyle w:val="af"/>
            <w:rFonts w:asciiTheme="majorBidi" w:hAnsiTheme="majorBidi" w:cstheme="majorBidi"/>
          </w:rPr>
          <w:t>112</w:t>
        </w:r>
      </w:hyperlink>
      <w:r>
        <w:t>)</w:t>
      </w:r>
      <w:r>
        <w:rPr>
          <w:rFonts w:hint="eastAsia"/>
        </w:rPr>
        <w:t>，</w:t>
      </w:r>
      <w:r>
        <w:rPr>
          <w:rFonts w:hint="eastAsia"/>
        </w:rPr>
        <w:t>2016</w:t>
      </w:r>
      <w:r>
        <w:rPr>
          <w:rFonts w:hint="eastAsia"/>
        </w:rPr>
        <w:t>年</w:t>
      </w:r>
      <w:r>
        <w:rPr>
          <w:rFonts w:hint="eastAsia"/>
        </w:rPr>
        <w:t>4</w:t>
      </w:r>
      <w:r>
        <w:rPr>
          <w:rFonts w:hint="eastAsia"/>
        </w:rPr>
        <w:t>月</w:t>
      </w:r>
      <w:r>
        <w:rPr>
          <w:rFonts w:hint="eastAsia"/>
        </w:rPr>
        <w:t>20</w:t>
      </w:r>
      <w:r>
        <w:rPr>
          <w:rFonts w:hint="eastAsia"/>
        </w:rPr>
        <w:t>日。</w:t>
      </w:r>
    </w:p>
  </w:footnote>
  <w:footnote w:id="1457">
    <w:p w:rsidR="00AB00DE" w:rsidRPr="00CA17D3" w:rsidRDefault="00AB00DE" w:rsidP="00813081">
      <w:pPr>
        <w:pStyle w:val="a4"/>
      </w:pPr>
      <w:r>
        <w:rPr>
          <w:rFonts w:hint="eastAsia"/>
        </w:rPr>
        <w:tab/>
      </w:r>
      <w:r w:rsidRPr="008258F3">
        <w:rPr>
          <w:rStyle w:val="a5"/>
          <w:rFonts w:cstheme="majorBidi"/>
        </w:rPr>
        <w:footnoteRef/>
      </w:r>
      <w:r>
        <w:rPr>
          <w:rFonts w:hint="eastAsia"/>
        </w:rPr>
        <w:tab/>
      </w:r>
      <w:r>
        <w:t>国际投资争端解决中心</w:t>
      </w:r>
      <w:r>
        <w:rPr>
          <w:rFonts w:hint="eastAsia"/>
        </w:rPr>
        <w:t>，</w:t>
      </w:r>
      <w:r>
        <w:rPr>
          <w:i/>
          <w:iCs/>
        </w:rPr>
        <w:t>Ioannis</w:t>
      </w:r>
      <w:r w:rsidRPr="00CE7B93">
        <w:rPr>
          <w:i/>
          <w:iCs/>
        </w:rPr>
        <w:t xml:space="preserve"> </w:t>
      </w:r>
      <w:r>
        <w:rPr>
          <w:i/>
          <w:iCs/>
        </w:rPr>
        <w:t>Kardassopoulos</w:t>
      </w:r>
      <w:r w:rsidRPr="00D842FE">
        <w:rPr>
          <w:rFonts w:ascii="Time New Roman" w:eastAsia="楷体" w:hAnsi="Time New Roman" w:hint="eastAsia"/>
        </w:rPr>
        <w:t>诉格鲁吉亚案</w:t>
      </w:r>
      <w:r>
        <w:rPr>
          <w:rFonts w:hint="eastAsia"/>
        </w:rPr>
        <w:t>，</w:t>
      </w:r>
      <w:r w:rsidRPr="00AA41B4">
        <w:rPr>
          <w:rFonts w:hint="eastAsia"/>
        </w:rPr>
        <w:t>关于</w:t>
      </w:r>
      <w:r>
        <w:rPr>
          <w:rFonts w:hint="eastAsia"/>
        </w:rPr>
        <w:t>管辖权的决定，</w:t>
      </w:r>
      <w:r>
        <w:rPr>
          <w:rFonts w:hint="eastAsia"/>
        </w:rPr>
        <w:t>2</w:t>
      </w:r>
      <w:r w:rsidRPr="002776E3">
        <w:rPr>
          <w:rFonts w:hint="eastAsia"/>
        </w:rPr>
        <w:t>00</w:t>
      </w:r>
      <w:r>
        <w:rPr>
          <w:rFonts w:hint="eastAsia"/>
        </w:rPr>
        <w:t>7</w:t>
      </w:r>
      <w:r w:rsidRPr="002776E3">
        <w:rPr>
          <w:rFonts w:hint="eastAsia"/>
        </w:rPr>
        <w:t>年</w:t>
      </w:r>
      <w:r>
        <w:rPr>
          <w:rFonts w:hint="eastAsia"/>
        </w:rPr>
        <w:t>7</w:t>
      </w:r>
      <w:r w:rsidRPr="002776E3">
        <w:rPr>
          <w:rFonts w:hint="eastAsia"/>
        </w:rPr>
        <w:t>月</w:t>
      </w:r>
      <w:r>
        <w:rPr>
          <w:rFonts w:hint="eastAsia"/>
        </w:rPr>
        <w:t>6</w:t>
      </w:r>
      <w:r w:rsidRPr="002776E3">
        <w:rPr>
          <w:rFonts w:hint="eastAsia"/>
        </w:rPr>
        <w:t>日</w:t>
      </w:r>
      <w:r>
        <w:rPr>
          <w:rFonts w:hint="eastAsia"/>
        </w:rPr>
        <w:t>，第</w:t>
      </w:r>
      <w:r>
        <w:t>ARB/</w:t>
      </w:r>
      <w:r w:rsidRPr="00CA17D3">
        <w:t>0</w:t>
      </w:r>
      <w:r>
        <w:t>5/18</w:t>
      </w:r>
      <w:r>
        <w:rPr>
          <w:rFonts w:hint="eastAsia"/>
        </w:rPr>
        <w:t>号案。</w:t>
      </w:r>
    </w:p>
  </w:footnote>
  <w:footnote w:id="1458">
    <w:p w:rsidR="00AB00DE" w:rsidRPr="00413D5F" w:rsidRDefault="00AB00DE" w:rsidP="00813081">
      <w:pPr>
        <w:pStyle w:val="a4"/>
      </w:pPr>
      <w:r>
        <w:rPr>
          <w:rFonts w:hint="eastAsia"/>
        </w:rPr>
        <w:tab/>
      </w:r>
      <w:r>
        <w:rPr>
          <w:rStyle w:val="a5"/>
        </w:rPr>
        <w:footnoteRef/>
      </w:r>
      <w:r>
        <w:rPr>
          <w:rFonts w:hint="eastAsia"/>
        </w:rPr>
        <w:tab/>
        <w:t>1978</w:t>
      </w:r>
      <w:r w:rsidRPr="00390A1B">
        <w:rPr>
          <w:rFonts w:hint="eastAsia"/>
        </w:rPr>
        <w:t>年</w:t>
      </w:r>
      <w:r>
        <w:rPr>
          <w:rFonts w:hint="eastAsia"/>
        </w:rPr>
        <w:t>8</w:t>
      </w:r>
      <w:r w:rsidRPr="00390A1B">
        <w:rPr>
          <w:rFonts w:hint="eastAsia"/>
        </w:rPr>
        <w:t>月</w:t>
      </w:r>
      <w:r>
        <w:rPr>
          <w:rFonts w:hint="eastAsia"/>
        </w:rPr>
        <w:t>23</w:t>
      </w:r>
      <w:r w:rsidRPr="00390A1B">
        <w:rPr>
          <w:rFonts w:hint="eastAsia"/>
        </w:rPr>
        <w:t>日</w:t>
      </w:r>
      <w:r>
        <w:rPr>
          <w:rFonts w:hint="eastAsia"/>
        </w:rPr>
        <w:t>，维也纳，联合国，《</w:t>
      </w:r>
      <w:r w:rsidRPr="00CE7B93">
        <w:rPr>
          <w:rFonts w:ascii="Time New Roman" w:eastAsia="楷体" w:hAnsi="Time New Roman" w:hint="eastAsia"/>
        </w:rPr>
        <w:t>条约汇编</w:t>
      </w:r>
      <w:r>
        <w:rPr>
          <w:rFonts w:hint="eastAsia"/>
        </w:rPr>
        <w:t>》，第</w:t>
      </w:r>
      <w:r>
        <w:rPr>
          <w:rFonts w:hint="eastAsia"/>
        </w:rPr>
        <w:t>1946</w:t>
      </w:r>
      <w:r>
        <w:rPr>
          <w:rFonts w:hint="eastAsia"/>
        </w:rPr>
        <w:t>卷，第</w:t>
      </w:r>
      <w:r>
        <w:rPr>
          <w:rFonts w:hint="eastAsia"/>
        </w:rPr>
        <w:t>33356</w:t>
      </w:r>
      <w:r>
        <w:rPr>
          <w:rFonts w:hint="eastAsia"/>
        </w:rPr>
        <w:t>号，第</w:t>
      </w:r>
      <w:r>
        <w:rPr>
          <w:rFonts w:hint="eastAsia"/>
        </w:rPr>
        <w:t>3</w:t>
      </w:r>
      <w:r>
        <w:rPr>
          <w:rFonts w:hint="eastAsia"/>
        </w:rPr>
        <w:t>页。</w:t>
      </w:r>
    </w:p>
  </w:footnote>
  <w:footnote w:id="1459">
    <w:p w:rsidR="00AB00DE" w:rsidRPr="00413D5F" w:rsidRDefault="00AB00DE" w:rsidP="00813081">
      <w:pPr>
        <w:pStyle w:val="a4"/>
      </w:pPr>
      <w:r>
        <w:rPr>
          <w:rFonts w:hint="eastAsia"/>
        </w:rPr>
        <w:tab/>
      </w:r>
      <w:r w:rsidRPr="008258F3">
        <w:rPr>
          <w:rStyle w:val="a5"/>
        </w:rPr>
        <w:footnoteRef/>
      </w:r>
      <w:r>
        <w:rPr>
          <w:rFonts w:hint="eastAsia"/>
        </w:rPr>
        <w:tab/>
      </w:r>
      <w:r>
        <w:rPr>
          <w:rFonts w:hint="eastAsia"/>
        </w:rPr>
        <w:t>见大会</w:t>
      </w:r>
      <w:r>
        <w:rPr>
          <w:rFonts w:hint="eastAsia"/>
        </w:rPr>
        <w:t>1946</w:t>
      </w:r>
      <w:r>
        <w:rPr>
          <w:rFonts w:hint="eastAsia"/>
        </w:rPr>
        <w:t>年</w:t>
      </w:r>
      <w:r>
        <w:rPr>
          <w:rFonts w:hint="eastAsia"/>
        </w:rPr>
        <w:t>12</w:t>
      </w:r>
      <w:r>
        <w:rPr>
          <w:rFonts w:hint="eastAsia"/>
        </w:rPr>
        <w:t>月</w:t>
      </w:r>
      <w:r>
        <w:rPr>
          <w:rFonts w:hint="eastAsia"/>
        </w:rPr>
        <w:t>14</w:t>
      </w:r>
      <w:r>
        <w:rPr>
          <w:rFonts w:hint="eastAsia"/>
        </w:rPr>
        <w:t>日通过的落实《联合国宪章》第一</w:t>
      </w:r>
      <w:r w:rsidRPr="00D842FE">
        <w:rPr>
          <w:rFonts w:ascii="宋体" w:hAnsi="宋体" w:hint="eastAsia"/>
        </w:rPr>
        <w:t>〇</w:t>
      </w:r>
      <w:r>
        <w:rPr>
          <w:rFonts w:hint="eastAsia"/>
        </w:rPr>
        <w:t>二条的条例</w:t>
      </w:r>
      <w:r>
        <w:rPr>
          <w:rFonts w:hint="eastAsia"/>
        </w:rPr>
        <w:t>(</w:t>
      </w:r>
      <w:r>
        <w:rPr>
          <w:rFonts w:hint="eastAsia"/>
        </w:rPr>
        <w:t>联合国，《条约汇编》，第</w:t>
      </w:r>
      <w:r>
        <w:rPr>
          <w:rFonts w:hint="eastAsia"/>
        </w:rPr>
        <w:t>1</w:t>
      </w:r>
      <w:r>
        <w:rPr>
          <w:rFonts w:hint="eastAsia"/>
        </w:rPr>
        <w:t>卷，第十六页</w:t>
      </w:r>
      <w:r>
        <w:rPr>
          <w:rFonts w:hint="eastAsia"/>
        </w:rPr>
        <w:t>)</w:t>
      </w:r>
      <w:r>
        <w:rPr>
          <w:rFonts w:hint="eastAsia"/>
        </w:rPr>
        <w:t>，该条例后经大会</w:t>
      </w:r>
      <w:r>
        <w:rPr>
          <w:rFonts w:hint="eastAsia"/>
        </w:rPr>
        <w:t>1949</w:t>
      </w:r>
      <w:r>
        <w:rPr>
          <w:rFonts w:hint="eastAsia"/>
        </w:rPr>
        <w:t>年</w:t>
      </w:r>
      <w:r>
        <w:rPr>
          <w:rFonts w:hint="eastAsia"/>
        </w:rPr>
        <w:t>12</w:t>
      </w:r>
      <w:r>
        <w:rPr>
          <w:rFonts w:hint="eastAsia"/>
        </w:rPr>
        <w:t>月</w:t>
      </w:r>
      <w:r>
        <w:rPr>
          <w:rFonts w:hint="eastAsia"/>
        </w:rPr>
        <w:t>1</w:t>
      </w:r>
      <w:r>
        <w:rPr>
          <w:rFonts w:hint="eastAsia"/>
        </w:rPr>
        <w:t>日第</w:t>
      </w:r>
      <w:r>
        <w:t>364(IV)B</w:t>
      </w:r>
      <w:r>
        <w:rPr>
          <w:rFonts w:hint="eastAsia"/>
        </w:rPr>
        <w:t>、</w:t>
      </w:r>
      <w:r>
        <w:rPr>
          <w:rFonts w:hint="eastAsia"/>
        </w:rPr>
        <w:t>1950</w:t>
      </w:r>
      <w:r>
        <w:rPr>
          <w:rFonts w:hint="eastAsia"/>
        </w:rPr>
        <w:t>年</w:t>
      </w:r>
      <w:r>
        <w:rPr>
          <w:rFonts w:hint="eastAsia"/>
        </w:rPr>
        <w:t>12</w:t>
      </w:r>
      <w:r>
        <w:rPr>
          <w:rFonts w:hint="eastAsia"/>
        </w:rPr>
        <w:t>月</w:t>
      </w:r>
      <w:r>
        <w:rPr>
          <w:rFonts w:hint="eastAsia"/>
        </w:rPr>
        <w:t>12</w:t>
      </w:r>
      <w:r>
        <w:rPr>
          <w:rFonts w:hint="eastAsia"/>
        </w:rPr>
        <w:t>日第</w:t>
      </w:r>
      <w:hyperlink r:id="rId338" w:history="1">
        <w:r>
          <w:t>482(V)</w:t>
        </w:r>
      </w:hyperlink>
      <w:r w:rsidRPr="00413D5F">
        <w:rPr>
          <w:rFonts w:hint="eastAsia"/>
        </w:rPr>
        <w:t>和</w:t>
      </w:r>
      <w:r>
        <w:rPr>
          <w:rFonts w:hint="eastAsia"/>
        </w:rPr>
        <w:t>1978</w:t>
      </w:r>
      <w:r w:rsidRPr="00413D5F">
        <w:rPr>
          <w:rFonts w:hint="eastAsia"/>
        </w:rPr>
        <w:t>年</w:t>
      </w:r>
      <w:r>
        <w:rPr>
          <w:rFonts w:hint="eastAsia"/>
        </w:rPr>
        <w:t>12</w:t>
      </w:r>
      <w:r w:rsidRPr="00413D5F">
        <w:rPr>
          <w:rFonts w:hint="eastAsia"/>
        </w:rPr>
        <w:t>月</w:t>
      </w:r>
      <w:r>
        <w:rPr>
          <w:rFonts w:hint="eastAsia"/>
        </w:rPr>
        <w:t>19</w:t>
      </w:r>
      <w:r w:rsidRPr="00413D5F">
        <w:rPr>
          <w:rFonts w:hint="eastAsia"/>
        </w:rPr>
        <w:t>日第</w:t>
      </w:r>
      <w:r>
        <w:t>33/141</w:t>
      </w:r>
      <w:r w:rsidRPr="00413D5F">
        <w:t xml:space="preserve"> </w:t>
      </w:r>
      <w:r>
        <w:t>A</w:t>
      </w:r>
      <w:r>
        <w:rPr>
          <w:rFonts w:hint="eastAsia"/>
        </w:rPr>
        <w:t>号决议修正。</w:t>
      </w:r>
    </w:p>
  </w:footnote>
  <w:footnote w:id="1460">
    <w:p w:rsidR="00AB00DE" w:rsidRPr="00CA17D3" w:rsidRDefault="00AB00DE" w:rsidP="00813081">
      <w:pPr>
        <w:pStyle w:val="a4"/>
      </w:pPr>
      <w:r>
        <w:rPr>
          <w:rFonts w:hint="eastAsia"/>
        </w:rPr>
        <w:tab/>
      </w:r>
      <w:r w:rsidRPr="008258F3">
        <w:rPr>
          <w:rStyle w:val="a5"/>
          <w:rFonts w:cstheme="majorBidi"/>
        </w:rPr>
        <w:footnoteRef/>
      </w:r>
      <w:r>
        <w:rPr>
          <w:rFonts w:hint="eastAsia"/>
        </w:rPr>
        <w:tab/>
      </w:r>
      <w:r>
        <w:rPr>
          <w:rFonts w:hint="eastAsia"/>
        </w:rPr>
        <w:t>见《</w:t>
      </w:r>
      <w:r w:rsidRPr="00CE7B93">
        <w:rPr>
          <w:rFonts w:ascii="Time New Roman" w:eastAsia="楷体" w:hAnsi="Time New Roman" w:hint="eastAsia"/>
        </w:rPr>
        <w:t>大会正式纪录</w:t>
      </w:r>
      <w:r>
        <w:rPr>
          <w:rFonts w:ascii="Time New Roman" w:eastAsia="楷体" w:hAnsi="Time New Roman" w:hint="eastAsia"/>
        </w:rPr>
        <w:t>，</w:t>
      </w:r>
      <w:r w:rsidRPr="00CE7B93">
        <w:rPr>
          <w:rFonts w:ascii="Time New Roman" w:eastAsia="楷体" w:hAnsi="Time New Roman" w:hint="eastAsia"/>
        </w:rPr>
        <w:t>第六十六届会议</w:t>
      </w:r>
      <w:r>
        <w:rPr>
          <w:rFonts w:ascii="Time New Roman" w:eastAsia="楷体" w:hAnsi="Time New Roman" w:hint="eastAsia"/>
        </w:rPr>
        <w:t>，</w:t>
      </w:r>
      <w:r w:rsidRPr="00CE7B93">
        <w:rPr>
          <w:rFonts w:ascii="Time New Roman" w:eastAsia="楷体" w:hAnsi="Time New Roman" w:hint="eastAsia"/>
        </w:rPr>
        <w:t>补编第</w:t>
      </w:r>
      <w:r>
        <w:rPr>
          <w:rFonts w:ascii="Time New Roman" w:eastAsia="楷体" w:hAnsi="Time New Roman" w:hint="eastAsia"/>
        </w:rPr>
        <w:t>1</w:t>
      </w:r>
      <w:r w:rsidRPr="00CE7B93">
        <w:rPr>
          <w:rFonts w:ascii="Time New Roman" w:eastAsia="楷体" w:hAnsi="Time New Roman" w:hint="eastAsia"/>
        </w:rPr>
        <w:t>0</w:t>
      </w:r>
      <w:r w:rsidRPr="00CE7B93">
        <w:rPr>
          <w:rFonts w:ascii="Time New Roman" w:eastAsia="楷体" w:hAnsi="Time New Roman" w:hint="eastAsia"/>
        </w:rPr>
        <w:t>号</w:t>
      </w:r>
      <w:r>
        <w:rPr>
          <w:rFonts w:hint="eastAsia"/>
        </w:rPr>
        <w:t>》</w:t>
      </w:r>
      <w:r>
        <w:rPr>
          <w:rFonts w:hint="eastAsia"/>
        </w:rPr>
        <w:t>(A/66/10)</w:t>
      </w:r>
      <w:r>
        <w:rPr>
          <w:rFonts w:hint="eastAsia"/>
        </w:rPr>
        <w:t>，第四章</w:t>
      </w:r>
      <w:r>
        <w:rPr>
          <w:rFonts w:hint="eastAsia"/>
        </w:rPr>
        <w:t>F</w:t>
      </w:r>
      <w:r>
        <w:rPr>
          <w:rFonts w:hint="eastAsia"/>
        </w:rPr>
        <w:t>节，有关评注，同上，增编</w:t>
      </w:r>
      <w:r>
        <w:rPr>
          <w:rFonts w:hint="eastAsia"/>
        </w:rPr>
        <w:t>1</w:t>
      </w:r>
      <w:r>
        <w:t>(</w:t>
      </w:r>
      <w:hyperlink r:id="rId339" w:history="1">
        <w:r>
          <w:rPr>
            <w:rStyle w:val="af"/>
            <w:rFonts w:asciiTheme="majorBidi" w:hAnsiTheme="majorBidi" w:cstheme="majorBidi"/>
          </w:rPr>
          <w:t>A/66/1</w:t>
        </w:r>
        <w:r w:rsidRPr="005A685D">
          <w:rPr>
            <w:rStyle w:val="af"/>
            <w:rFonts w:asciiTheme="majorBidi" w:hAnsiTheme="majorBidi" w:cstheme="majorBidi"/>
          </w:rPr>
          <w:t>0</w:t>
        </w:r>
        <w:r>
          <w:rPr>
            <w:rStyle w:val="af"/>
            <w:rFonts w:asciiTheme="majorBidi" w:hAnsiTheme="majorBidi" w:cstheme="majorBidi"/>
          </w:rPr>
          <w:t>/Add</w:t>
        </w:r>
        <w:r w:rsidRPr="005A685D">
          <w:rPr>
            <w:rStyle w:val="af"/>
            <w:rFonts w:asciiTheme="majorBidi" w:hAnsiTheme="majorBidi" w:cstheme="majorBidi"/>
          </w:rPr>
          <w:t>.</w:t>
        </w:r>
        <w:r>
          <w:rPr>
            <w:rStyle w:val="af"/>
            <w:rFonts w:asciiTheme="majorBidi" w:hAnsiTheme="majorBidi" w:cstheme="majorBidi"/>
          </w:rPr>
          <w:t>1</w:t>
        </w:r>
      </w:hyperlink>
      <w:r>
        <w:t>)</w:t>
      </w:r>
      <w:r>
        <w:rPr>
          <w:rFonts w:hint="eastAsia"/>
        </w:rPr>
        <w:t>。</w:t>
      </w:r>
    </w:p>
  </w:footnote>
  <w:footnote w:id="1461">
    <w:p w:rsidR="00AB00DE" w:rsidRPr="00CA17D3" w:rsidRDefault="00AB00DE" w:rsidP="00813081">
      <w:pPr>
        <w:pStyle w:val="a4"/>
      </w:pPr>
      <w:r>
        <w:rPr>
          <w:rFonts w:hint="eastAsia"/>
        </w:rPr>
        <w:tab/>
      </w:r>
      <w:r w:rsidRPr="008258F3">
        <w:rPr>
          <w:rStyle w:val="a5"/>
          <w:rFonts w:cstheme="majorBidi"/>
        </w:rPr>
        <w:footnoteRef/>
      </w:r>
      <w:r>
        <w:rPr>
          <w:rFonts w:hint="eastAsia"/>
        </w:rPr>
        <w:tab/>
      </w:r>
      <w:r>
        <w:rPr>
          <w:rFonts w:hint="eastAsia"/>
        </w:rPr>
        <w:t>可查阅</w:t>
      </w:r>
      <w:r>
        <w:t xml:space="preserve"> </w:t>
      </w:r>
      <w:hyperlink r:id="rId340" w:history="1">
        <w:r>
          <w:rPr>
            <w:rStyle w:val="af"/>
            <w:rFonts w:asciiTheme="majorBidi" w:hAnsiTheme="majorBidi" w:cstheme="majorBidi"/>
          </w:rPr>
          <w:t>www</w:t>
        </w:r>
        <w:r w:rsidRPr="00A006D4">
          <w:rPr>
            <w:rStyle w:val="af"/>
            <w:rFonts w:asciiTheme="majorBidi" w:hAnsiTheme="majorBidi" w:cstheme="majorBidi"/>
          </w:rPr>
          <w:t>.</w:t>
        </w:r>
        <w:r>
          <w:rPr>
            <w:rStyle w:val="af"/>
            <w:rFonts w:asciiTheme="majorBidi" w:hAnsiTheme="majorBidi" w:cstheme="majorBidi"/>
          </w:rPr>
          <w:t>un</w:t>
        </w:r>
        <w:r w:rsidRPr="00A006D4">
          <w:rPr>
            <w:rStyle w:val="af"/>
            <w:rFonts w:asciiTheme="majorBidi" w:hAnsiTheme="majorBidi" w:cstheme="majorBidi"/>
          </w:rPr>
          <w:t>.</w:t>
        </w:r>
        <w:r>
          <w:rPr>
            <w:rStyle w:val="af"/>
            <w:rFonts w:asciiTheme="majorBidi" w:hAnsiTheme="majorBidi" w:cstheme="majorBidi"/>
          </w:rPr>
          <w:t>org/law/repertory</w:t>
        </w:r>
      </w:hyperlink>
      <w:r>
        <w:rPr>
          <w:rFonts w:hint="eastAsia"/>
        </w:rPr>
        <w:t>。</w:t>
      </w:r>
    </w:p>
  </w:footnote>
  <w:footnote w:id="1462">
    <w:p w:rsidR="00AB00DE" w:rsidRPr="006A4E5B" w:rsidRDefault="00AB00DE" w:rsidP="00463C13">
      <w:pPr>
        <w:pStyle w:val="a4"/>
      </w:pPr>
      <w:r>
        <w:rPr>
          <w:rFonts w:hint="eastAsia"/>
        </w:rPr>
        <w:tab/>
      </w:r>
      <w:r w:rsidRPr="008258F3">
        <w:rPr>
          <w:rStyle w:val="a5"/>
          <w:rFonts w:cstheme="majorBidi"/>
        </w:rPr>
        <w:footnoteRef/>
      </w:r>
      <w:r>
        <w:rPr>
          <w:rFonts w:hint="eastAsia"/>
        </w:rPr>
        <w:tab/>
      </w:r>
      <w:hyperlink r:id="rId341" w:history="1">
        <w:r w:rsidRPr="00463C13">
          <w:rPr>
            <w:rFonts w:hint="eastAsia"/>
          </w:rPr>
          <w:t>《条约手册》</w:t>
        </w:r>
      </w:hyperlink>
      <w:r>
        <w:t>(</w:t>
      </w:r>
      <w:r w:rsidRPr="006A4E5B">
        <w:rPr>
          <w:rFonts w:hint="eastAsia"/>
        </w:rPr>
        <w:t>联合国出版物</w:t>
      </w:r>
      <w:r>
        <w:rPr>
          <w:rFonts w:hint="eastAsia"/>
        </w:rPr>
        <w:t>，</w:t>
      </w:r>
      <w:r w:rsidRPr="006A4E5B">
        <w:rPr>
          <w:rFonts w:hint="eastAsia"/>
        </w:rPr>
        <w:t>出售品编号</w:t>
      </w:r>
      <w:r>
        <w:t>E</w:t>
      </w:r>
      <w:r w:rsidRPr="006A4E5B">
        <w:t>.</w:t>
      </w:r>
      <w:r>
        <w:t>12.V</w:t>
      </w:r>
      <w:r w:rsidRPr="006A4E5B">
        <w:t>.</w:t>
      </w:r>
      <w:r>
        <w:t>1)</w:t>
      </w:r>
      <w:r>
        <w:rPr>
          <w:rFonts w:hint="eastAsia"/>
        </w:rPr>
        <w:t>；</w:t>
      </w:r>
      <w:hyperlink r:id="rId342" w:history="1">
        <w:r w:rsidRPr="00463C13">
          <w:rPr>
            <w:rFonts w:hint="eastAsia"/>
          </w:rPr>
          <w:t>《多边条约最后条款</w:t>
        </w:r>
        <w:r>
          <w:rPr>
            <w:rFonts w:hint="eastAsia"/>
            <w:spacing w:val="-50"/>
          </w:rPr>
          <w:t>―</w:t>
        </w:r>
        <w:r>
          <w:rPr>
            <w:rFonts w:hint="eastAsia"/>
          </w:rPr>
          <w:t>―</w:t>
        </w:r>
        <w:r w:rsidRPr="00463C13">
          <w:rPr>
            <w:rFonts w:hint="eastAsia"/>
          </w:rPr>
          <w:t>手册》</w:t>
        </w:r>
      </w:hyperlink>
      <w:r w:rsidRPr="000E6A33">
        <w:t>(</w:t>
      </w:r>
      <w:r w:rsidRPr="000E6A33">
        <w:rPr>
          <w:rFonts w:hint="eastAsia"/>
        </w:rPr>
        <w:t>联合国出版物，出售品编号</w:t>
      </w:r>
      <w:r w:rsidRPr="000E6A33">
        <w:t>E.04.V.3)</w:t>
      </w:r>
      <w:r w:rsidRPr="000E6A33">
        <w:rPr>
          <w:rFonts w:hint="eastAsia"/>
        </w:rPr>
        <w:t>，和</w:t>
      </w:r>
      <w:hyperlink r:id="rId343" w:history="1">
        <w:r w:rsidRPr="00463C13">
          <w:rPr>
            <w:rFonts w:hint="eastAsia"/>
          </w:rPr>
          <w:t>《秘书长作为多边条约保存人的惯例摘要》</w:t>
        </w:r>
      </w:hyperlink>
      <w:r>
        <w:t>(ST/LEG/</w:t>
      </w:r>
      <w:r w:rsidRPr="006A4E5B">
        <w:rPr>
          <w:rFonts w:hint="eastAsia"/>
        </w:rPr>
        <w:t xml:space="preserve"> </w:t>
      </w:r>
      <w:r>
        <w:t>7/Rev</w:t>
      </w:r>
      <w:r w:rsidRPr="006A4E5B">
        <w:t>.</w:t>
      </w:r>
      <w:r>
        <w:t>1,</w:t>
      </w:r>
      <w:r w:rsidRPr="006A4E5B">
        <w:rPr>
          <w:rFonts w:hint="eastAsia"/>
        </w:rPr>
        <w:t xml:space="preserve"> </w:t>
      </w:r>
      <w:r w:rsidRPr="006A4E5B">
        <w:rPr>
          <w:rFonts w:hint="eastAsia"/>
        </w:rPr>
        <w:t>联合国出版物</w:t>
      </w:r>
      <w:r>
        <w:rPr>
          <w:rFonts w:hint="eastAsia"/>
        </w:rPr>
        <w:t>，</w:t>
      </w:r>
      <w:r w:rsidRPr="006A4E5B">
        <w:rPr>
          <w:rFonts w:hint="eastAsia"/>
        </w:rPr>
        <w:t>出售品编号</w:t>
      </w:r>
      <w:r>
        <w:t>E</w:t>
      </w:r>
      <w:r w:rsidRPr="006A4E5B">
        <w:t>.</w:t>
      </w:r>
      <w:r>
        <w:t>94.V</w:t>
      </w:r>
      <w:r w:rsidRPr="006A4E5B">
        <w:t>.</w:t>
      </w:r>
      <w:r>
        <w:t>15)</w:t>
      </w:r>
      <w:r w:rsidRPr="006A4E5B">
        <w:rPr>
          <w:rFonts w:hint="eastAsia"/>
        </w:rPr>
        <w:t>。</w:t>
      </w:r>
    </w:p>
  </w:footnote>
  <w:footnote w:id="1463">
    <w:p w:rsidR="00AB00DE" w:rsidRPr="002A456C" w:rsidRDefault="00AB00DE" w:rsidP="00813081">
      <w:pPr>
        <w:pStyle w:val="aa"/>
      </w:pPr>
      <w:r w:rsidRPr="002A456C">
        <w:rPr>
          <w:rFonts w:hint="eastAsia"/>
          <w:i/>
        </w:rPr>
        <w:tab/>
      </w:r>
      <w:r w:rsidRPr="008258F3">
        <w:rPr>
          <w:rStyle w:val="a5"/>
        </w:rPr>
        <w:footnoteRef/>
      </w:r>
      <w:r w:rsidRPr="002A456C">
        <w:rPr>
          <w:rFonts w:hint="eastAsia"/>
          <w:i/>
        </w:rPr>
        <w:tab/>
      </w:r>
      <w:r w:rsidRPr="002A456C">
        <w:rPr>
          <w:rFonts w:hint="eastAsia"/>
        </w:rPr>
        <w:t>《</w:t>
      </w:r>
      <w:r w:rsidRPr="00CE7B93">
        <w:rPr>
          <w:rFonts w:ascii="Time New Roman" w:eastAsia="楷体" w:hAnsi="Time New Roman" w:hint="eastAsia"/>
        </w:rPr>
        <w:t>大会正式记录</w:t>
      </w:r>
      <w:r>
        <w:rPr>
          <w:rFonts w:ascii="Time New Roman" w:eastAsia="楷体" w:hAnsi="Time New Roman" w:hint="eastAsia"/>
        </w:rPr>
        <w:t>，</w:t>
      </w:r>
      <w:r w:rsidRPr="00CE7B93">
        <w:rPr>
          <w:rFonts w:ascii="Time New Roman" w:eastAsia="楷体" w:hAnsi="Time New Roman" w:hint="eastAsia"/>
        </w:rPr>
        <w:t>第六十八届会议</w:t>
      </w:r>
      <w:r>
        <w:rPr>
          <w:rFonts w:ascii="Time New Roman" w:eastAsia="楷体" w:hAnsi="Time New Roman" w:hint="eastAsia"/>
        </w:rPr>
        <w:t>，</w:t>
      </w:r>
      <w:r w:rsidRPr="00CE7B93">
        <w:rPr>
          <w:rFonts w:ascii="Time New Roman" w:eastAsia="楷体" w:hAnsi="Time New Roman" w:hint="eastAsia"/>
        </w:rPr>
        <w:t>补编第</w:t>
      </w:r>
      <w:r>
        <w:rPr>
          <w:rFonts w:ascii="Time New Roman" w:eastAsia="楷体" w:hAnsi="Time New Roman" w:hint="eastAsia"/>
        </w:rPr>
        <w:t>1</w:t>
      </w:r>
      <w:r w:rsidRPr="00CE7B93">
        <w:rPr>
          <w:rFonts w:ascii="Time New Roman" w:eastAsia="楷体" w:hAnsi="Time New Roman" w:hint="eastAsia"/>
        </w:rPr>
        <w:t>0</w:t>
      </w:r>
      <w:r w:rsidRPr="00CE7B93">
        <w:rPr>
          <w:rFonts w:ascii="Time New Roman" w:eastAsia="楷体" w:hAnsi="Time New Roman" w:hint="eastAsia"/>
        </w:rPr>
        <w:t>号</w:t>
      </w:r>
      <w:r w:rsidRPr="002A456C">
        <w:rPr>
          <w:rFonts w:hint="eastAsia"/>
        </w:rPr>
        <w:t>》</w:t>
      </w:r>
      <w:r>
        <w:rPr>
          <w:rFonts w:hint="eastAsia"/>
        </w:rPr>
        <w:t>(</w:t>
      </w:r>
      <w:hyperlink r:id="rId344" w:history="1">
        <w:r>
          <w:rPr>
            <w:rStyle w:val="af"/>
            <w:rFonts w:hint="eastAsia"/>
          </w:rPr>
          <w:t>A/68/1</w:t>
        </w:r>
        <w:r w:rsidRPr="002A456C">
          <w:rPr>
            <w:rStyle w:val="af"/>
            <w:rFonts w:hint="eastAsia"/>
          </w:rPr>
          <w:t>0</w:t>
        </w:r>
        <w:r>
          <w:rPr>
            <w:rStyle w:val="af"/>
            <w:rFonts w:hint="eastAsia"/>
          </w:rPr>
          <w:t>)</w:t>
        </w:r>
      </w:hyperlink>
      <w:r>
        <w:rPr>
          <w:rFonts w:hint="eastAsia"/>
        </w:rPr>
        <w:t>，</w:t>
      </w:r>
      <w:r w:rsidRPr="002A456C">
        <w:rPr>
          <w:rFonts w:hint="eastAsia"/>
        </w:rPr>
        <w:t>第</w:t>
      </w:r>
      <w:r>
        <w:rPr>
          <w:rFonts w:hint="eastAsia"/>
        </w:rPr>
        <w:t>169</w:t>
      </w:r>
      <w:r w:rsidRPr="002A456C">
        <w:rPr>
          <w:rFonts w:hint="eastAsia"/>
        </w:rPr>
        <w:t>段和附件</w:t>
      </w:r>
      <w:r>
        <w:t>B</w:t>
      </w:r>
      <w:r w:rsidRPr="002A456C">
        <w:rPr>
          <w:rFonts w:hint="eastAsia"/>
        </w:rPr>
        <w:t>。</w:t>
      </w:r>
    </w:p>
  </w:footnote>
  <w:footnote w:id="1464">
    <w:p w:rsidR="00AB00DE" w:rsidRPr="002A456C" w:rsidRDefault="00AB00DE" w:rsidP="00813081">
      <w:pPr>
        <w:pStyle w:val="aa"/>
      </w:pPr>
      <w:r w:rsidRPr="002A456C">
        <w:rPr>
          <w:rFonts w:hint="eastAsia"/>
          <w:i/>
        </w:rPr>
        <w:tab/>
      </w:r>
      <w:r w:rsidRPr="008258F3">
        <w:rPr>
          <w:rStyle w:val="a5"/>
        </w:rPr>
        <w:footnoteRef/>
      </w:r>
      <w:r w:rsidRPr="002A456C">
        <w:rPr>
          <w:rFonts w:hint="eastAsia"/>
          <w:i/>
        </w:rPr>
        <w:tab/>
      </w:r>
      <w:r w:rsidRPr="002A456C">
        <w:rPr>
          <w:rFonts w:hint="eastAsia"/>
        </w:rPr>
        <w:t>同上</w:t>
      </w:r>
      <w:r>
        <w:rPr>
          <w:rFonts w:hint="eastAsia"/>
        </w:rPr>
        <w:t>，</w:t>
      </w:r>
      <w:r w:rsidRPr="002A456C">
        <w:rPr>
          <w:rFonts w:hint="eastAsia"/>
        </w:rPr>
        <w:t>《</w:t>
      </w:r>
      <w:r w:rsidRPr="00CE7B93">
        <w:rPr>
          <w:rFonts w:ascii="Time New Roman" w:eastAsia="楷体" w:hAnsi="Time New Roman" w:hint="eastAsia"/>
        </w:rPr>
        <w:t>第六十九届会议</w:t>
      </w:r>
      <w:r>
        <w:rPr>
          <w:rFonts w:ascii="Time New Roman" w:eastAsia="楷体" w:hAnsi="Time New Roman" w:hint="eastAsia"/>
        </w:rPr>
        <w:t>，</w:t>
      </w:r>
      <w:r w:rsidRPr="00CE7B93">
        <w:rPr>
          <w:rFonts w:ascii="Time New Roman" w:eastAsia="楷体" w:hAnsi="Time New Roman" w:hint="eastAsia"/>
        </w:rPr>
        <w:t>补编第</w:t>
      </w:r>
      <w:r>
        <w:rPr>
          <w:rFonts w:ascii="Time New Roman" w:eastAsia="楷体" w:hAnsi="Time New Roman" w:hint="eastAsia"/>
        </w:rPr>
        <w:t>1</w:t>
      </w:r>
      <w:r w:rsidRPr="00CE7B93">
        <w:rPr>
          <w:rFonts w:ascii="Time New Roman" w:eastAsia="楷体" w:hAnsi="Time New Roman" w:hint="eastAsia"/>
        </w:rPr>
        <w:t>0</w:t>
      </w:r>
      <w:r w:rsidRPr="00CE7B93">
        <w:rPr>
          <w:rFonts w:ascii="Time New Roman" w:eastAsia="楷体" w:hAnsi="Time New Roman" w:hint="eastAsia"/>
        </w:rPr>
        <w:t>号</w:t>
      </w:r>
      <w:r w:rsidRPr="002A456C">
        <w:rPr>
          <w:rFonts w:hint="eastAsia"/>
        </w:rPr>
        <w:t>》</w:t>
      </w:r>
      <w:r>
        <w:rPr>
          <w:rFonts w:hint="eastAsia"/>
        </w:rPr>
        <w:t>(</w:t>
      </w:r>
      <w:hyperlink r:id="rId345" w:history="1">
        <w:r>
          <w:rPr>
            <w:rStyle w:val="af"/>
            <w:rFonts w:hint="eastAsia"/>
          </w:rPr>
          <w:t>A/69/1</w:t>
        </w:r>
        <w:r w:rsidRPr="002A456C">
          <w:rPr>
            <w:rStyle w:val="af"/>
            <w:rFonts w:hint="eastAsia"/>
          </w:rPr>
          <w:t>0</w:t>
        </w:r>
        <w:r>
          <w:rPr>
            <w:rStyle w:val="af"/>
            <w:rFonts w:hint="eastAsia"/>
          </w:rPr>
          <w:t>)</w:t>
        </w:r>
      </w:hyperlink>
      <w:r>
        <w:rPr>
          <w:rFonts w:hint="eastAsia"/>
        </w:rPr>
        <w:t>，</w:t>
      </w:r>
      <w:r w:rsidRPr="002A456C">
        <w:rPr>
          <w:rFonts w:hint="eastAsia"/>
        </w:rPr>
        <w:t>第</w:t>
      </w:r>
      <w:r>
        <w:rPr>
          <w:rFonts w:hint="eastAsia"/>
        </w:rPr>
        <w:t>268</w:t>
      </w:r>
      <w:r w:rsidRPr="002A456C">
        <w:rPr>
          <w:rFonts w:hint="eastAsia"/>
        </w:rPr>
        <w:t>段和附件。</w:t>
      </w:r>
    </w:p>
  </w:footnote>
  <w:footnote w:id="1465">
    <w:p w:rsidR="00AB00DE" w:rsidRPr="002A456C" w:rsidRDefault="00AB00DE" w:rsidP="00852022">
      <w:pPr>
        <w:pStyle w:val="a4"/>
        <w:spacing w:after="80"/>
      </w:pPr>
      <w:r w:rsidRPr="002A456C">
        <w:rPr>
          <w:rFonts w:hint="eastAsia"/>
          <w:i/>
        </w:rPr>
        <w:tab/>
      </w:r>
      <w:r w:rsidRPr="008258F3">
        <w:rPr>
          <w:rStyle w:val="a5"/>
        </w:rPr>
        <w:footnoteRef/>
      </w:r>
      <w:r w:rsidRPr="002A456C">
        <w:rPr>
          <w:rFonts w:hint="eastAsia"/>
          <w:i/>
        </w:rPr>
        <w:tab/>
      </w:r>
      <w:r w:rsidRPr="002A456C">
        <w:rPr>
          <w:rFonts w:hint="eastAsia"/>
        </w:rPr>
        <w:t>《</w:t>
      </w:r>
      <w:r>
        <w:rPr>
          <w:rFonts w:ascii="Time New Roman" w:eastAsia="楷体" w:hAnsi="Time New Roman" w:hint="eastAsia"/>
        </w:rPr>
        <w:t>1998</w:t>
      </w:r>
      <w:r w:rsidRPr="00D72C8B">
        <w:rPr>
          <w:rFonts w:ascii="Time New Roman" w:eastAsia="楷体" w:hAnsi="Time New Roman" w:hint="eastAsia"/>
        </w:rPr>
        <w:t>年……年鉴</w:t>
      </w:r>
      <w:r w:rsidRPr="002A456C">
        <w:rPr>
          <w:rFonts w:hint="eastAsia"/>
        </w:rPr>
        <w:t>》第二卷第二部分</w:t>
      </w:r>
      <w:r>
        <w:rPr>
          <w:rFonts w:hint="eastAsia"/>
        </w:rPr>
        <w:t>，</w:t>
      </w:r>
      <w:r w:rsidRPr="002A456C">
        <w:rPr>
          <w:rFonts w:hint="eastAsia"/>
        </w:rPr>
        <w:t>第</w:t>
      </w:r>
      <w:r>
        <w:rPr>
          <w:rFonts w:hint="eastAsia"/>
        </w:rPr>
        <w:t>553</w:t>
      </w:r>
      <w:r w:rsidRPr="002A456C">
        <w:rPr>
          <w:rFonts w:hint="eastAsia"/>
        </w:rPr>
        <w:t>段。另见《</w:t>
      </w:r>
      <w:r>
        <w:rPr>
          <w:rFonts w:ascii="Time New Roman" w:eastAsia="楷体" w:hAnsi="Time New Roman" w:hint="eastAsia"/>
        </w:rPr>
        <w:t>1997</w:t>
      </w:r>
      <w:r w:rsidRPr="00D72C8B">
        <w:rPr>
          <w:rFonts w:ascii="Time New Roman" w:eastAsia="楷体" w:hAnsi="Time New Roman" w:hint="eastAsia"/>
        </w:rPr>
        <w:t>年……年鉴》</w:t>
      </w:r>
      <w:r w:rsidRPr="002A456C">
        <w:rPr>
          <w:rFonts w:hint="eastAsia"/>
        </w:rPr>
        <w:t>第二卷第二部分</w:t>
      </w:r>
      <w:r>
        <w:rPr>
          <w:rFonts w:hint="eastAsia"/>
        </w:rPr>
        <w:t>，</w:t>
      </w:r>
      <w:r w:rsidRPr="002A456C">
        <w:rPr>
          <w:rFonts w:hint="eastAsia"/>
        </w:rPr>
        <w:t>第</w:t>
      </w:r>
      <w:r>
        <w:rPr>
          <w:rFonts w:hint="eastAsia"/>
        </w:rPr>
        <w:t>238</w:t>
      </w:r>
      <w:r w:rsidRPr="002A456C">
        <w:rPr>
          <w:rFonts w:hint="eastAsia"/>
        </w:rPr>
        <w:t>段。</w:t>
      </w:r>
    </w:p>
  </w:footnote>
  <w:footnote w:id="1466">
    <w:p w:rsidR="00AB00DE" w:rsidRPr="002A456C" w:rsidRDefault="00AB00DE" w:rsidP="00852022">
      <w:pPr>
        <w:pStyle w:val="a4"/>
        <w:spacing w:after="80"/>
      </w:pPr>
      <w:r w:rsidRPr="002A456C">
        <w:rPr>
          <w:rFonts w:hint="eastAsia"/>
          <w:i/>
        </w:rPr>
        <w:tab/>
      </w:r>
      <w:r w:rsidRPr="008258F3">
        <w:rPr>
          <w:rStyle w:val="a5"/>
        </w:rPr>
        <w:footnoteRef/>
      </w:r>
      <w:r w:rsidRPr="002A456C">
        <w:rPr>
          <w:rFonts w:hint="eastAsia"/>
          <w:i/>
        </w:rPr>
        <w:tab/>
      </w:r>
      <w:r w:rsidRPr="002A456C">
        <w:rPr>
          <w:rFonts w:hint="eastAsia"/>
        </w:rPr>
        <w:t>同上</w:t>
      </w:r>
      <w:r>
        <w:rPr>
          <w:rFonts w:hint="eastAsia"/>
        </w:rPr>
        <w:t>，</w:t>
      </w:r>
      <w:r w:rsidRPr="002A456C">
        <w:rPr>
          <w:rFonts w:hint="eastAsia"/>
        </w:rPr>
        <w:t>《</w:t>
      </w:r>
      <w:r>
        <w:rPr>
          <w:rFonts w:hint="eastAsia"/>
        </w:rPr>
        <w:t>1996</w:t>
      </w:r>
      <w:r w:rsidRPr="002A456C">
        <w:rPr>
          <w:rFonts w:hint="eastAsia"/>
        </w:rPr>
        <w:t>年……年鉴》第二卷第二部分</w:t>
      </w:r>
      <w:r>
        <w:rPr>
          <w:rFonts w:hint="eastAsia"/>
        </w:rPr>
        <w:t>，</w:t>
      </w:r>
      <w:r w:rsidRPr="002A456C">
        <w:rPr>
          <w:rFonts w:hint="eastAsia"/>
        </w:rPr>
        <w:t>第</w:t>
      </w:r>
      <w:r>
        <w:rPr>
          <w:rFonts w:hint="eastAsia"/>
        </w:rPr>
        <w:t>97</w:t>
      </w:r>
      <w:r w:rsidRPr="002A456C">
        <w:rPr>
          <w:rFonts w:hint="eastAsia"/>
        </w:rPr>
        <w:t>页</w:t>
      </w:r>
      <w:r>
        <w:rPr>
          <w:rFonts w:hint="eastAsia"/>
        </w:rPr>
        <w:t>，</w:t>
      </w:r>
      <w:r w:rsidRPr="002A456C">
        <w:rPr>
          <w:rFonts w:hint="eastAsia"/>
        </w:rPr>
        <w:t>第</w:t>
      </w:r>
      <w:r>
        <w:rPr>
          <w:rFonts w:hint="eastAsia"/>
        </w:rPr>
        <w:t>248</w:t>
      </w:r>
      <w:r w:rsidRPr="002A456C">
        <w:rPr>
          <w:rFonts w:hint="eastAsia"/>
        </w:rPr>
        <w:t>段和附件二增编</w:t>
      </w:r>
      <w:r>
        <w:rPr>
          <w:rFonts w:hint="eastAsia"/>
        </w:rPr>
        <w:t>2</w:t>
      </w:r>
      <w:r w:rsidRPr="002A456C">
        <w:rPr>
          <w:rFonts w:hint="eastAsia"/>
        </w:rPr>
        <w:t>。</w:t>
      </w:r>
    </w:p>
  </w:footnote>
  <w:footnote w:id="1467">
    <w:p w:rsidR="00AB00DE" w:rsidRPr="002A456C" w:rsidRDefault="00AB00DE" w:rsidP="00852022">
      <w:pPr>
        <w:pStyle w:val="a4"/>
        <w:spacing w:after="80"/>
      </w:pPr>
      <w:r w:rsidRPr="002A456C">
        <w:rPr>
          <w:rFonts w:hint="eastAsia"/>
          <w:i/>
        </w:rPr>
        <w:tab/>
      </w:r>
      <w:r w:rsidRPr="008258F3">
        <w:rPr>
          <w:rStyle w:val="a5"/>
        </w:rPr>
        <w:footnoteRef/>
      </w:r>
      <w:r w:rsidRPr="002A456C">
        <w:rPr>
          <w:rFonts w:hint="eastAsia"/>
          <w:i/>
        </w:rPr>
        <w:tab/>
      </w:r>
      <w:r w:rsidRPr="002A456C">
        <w:rPr>
          <w:rFonts w:hint="eastAsia"/>
        </w:rPr>
        <w:t>《</w:t>
      </w:r>
      <w:r w:rsidRPr="00D72C8B">
        <w:rPr>
          <w:rFonts w:ascii="Time New Roman" w:eastAsia="楷体" w:hAnsi="Time New Roman" w:hint="eastAsia"/>
        </w:rPr>
        <w:t>大会正式记录</w:t>
      </w:r>
      <w:r>
        <w:rPr>
          <w:rFonts w:ascii="Time New Roman" w:eastAsia="楷体" w:hAnsi="Time New Roman" w:hint="eastAsia"/>
        </w:rPr>
        <w:t>，</w:t>
      </w:r>
      <w:r w:rsidRPr="00D72C8B">
        <w:rPr>
          <w:rFonts w:ascii="Time New Roman" w:eastAsia="楷体" w:hAnsi="Time New Roman" w:hint="eastAsia"/>
        </w:rPr>
        <w:t>第六十一届会议</w:t>
      </w:r>
      <w:r>
        <w:rPr>
          <w:rFonts w:ascii="Time New Roman" w:eastAsia="楷体" w:hAnsi="Time New Roman" w:hint="eastAsia"/>
        </w:rPr>
        <w:t>，</w:t>
      </w:r>
      <w:r w:rsidRPr="00D72C8B">
        <w:rPr>
          <w:rFonts w:ascii="Time New Roman" w:eastAsia="楷体" w:hAnsi="Time New Roman" w:hint="eastAsia"/>
        </w:rPr>
        <w:t>补编第</w:t>
      </w:r>
      <w:r>
        <w:rPr>
          <w:rFonts w:ascii="Time New Roman" w:eastAsia="楷体" w:hAnsi="Time New Roman" w:hint="eastAsia"/>
        </w:rPr>
        <w:t>1</w:t>
      </w:r>
      <w:r w:rsidRPr="00D72C8B">
        <w:rPr>
          <w:rFonts w:ascii="Time New Roman" w:eastAsia="楷体" w:hAnsi="Time New Roman" w:hint="eastAsia"/>
        </w:rPr>
        <w:t>0</w:t>
      </w:r>
      <w:r w:rsidRPr="00D72C8B">
        <w:rPr>
          <w:rFonts w:ascii="Time New Roman" w:eastAsia="楷体" w:hAnsi="Time New Roman" w:hint="eastAsia"/>
        </w:rPr>
        <w:t>号</w:t>
      </w:r>
      <w:r w:rsidRPr="002A456C">
        <w:rPr>
          <w:rFonts w:hint="eastAsia"/>
        </w:rPr>
        <w:t>》</w:t>
      </w:r>
      <w:r>
        <w:rPr>
          <w:rFonts w:hint="eastAsia"/>
        </w:rPr>
        <w:t>(</w:t>
      </w:r>
      <w:hyperlink r:id="rId346" w:history="1">
        <w:r>
          <w:rPr>
            <w:rStyle w:val="af"/>
            <w:rFonts w:hint="eastAsia"/>
          </w:rPr>
          <w:t>A/61/1</w:t>
        </w:r>
        <w:r w:rsidRPr="002A456C">
          <w:rPr>
            <w:rStyle w:val="af"/>
            <w:rFonts w:hint="eastAsia"/>
          </w:rPr>
          <w:t>0</w:t>
        </w:r>
        <w:r>
          <w:rPr>
            <w:rStyle w:val="af"/>
            <w:rFonts w:hint="eastAsia"/>
          </w:rPr>
          <w:t>)</w:t>
        </w:r>
      </w:hyperlink>
      <w:r>
        <w:rPr>
          <w:rFonts w:hint="eastAsia"/>
        </w:rPr>
        <w:t>，</w:t>
      </w:r>
      <w:r w:rsidRPr="002A456C">
        <w:rPr>
          <w:rFonts w:hint="eastAsia"/>
        </w:rPr>
        <w:t>第</w:t>
      </w:r>
      <w:r>
        <w:rPr>
          <w:rFonts w:hint="eastAsia"/>
        </w:rPr>
        <w:t>257</w:t>
      </w:r>
      <w:r w:rsidRPr="002A456C">
        <w:rPr>
          <w:rFonts w:hint="eastAsia"/>
        </w:rPr>
        <w:t>段和附件</w:t>
      </w:r>
      <w:r>
        <w:rPr>
          <w:rFonts w:hint="eastAsia"/>
        </w:rPr>
        <w:t>B</w:t>
      </w:r>
      <w:r w:rsidRPr="002A456C">
        <w:rPr>
          <w:rFonts w:hint="eastAsia"/>
        </w:rPr>
        <w:t>。</w:t>
      </w:r>
    </w:p>
  </w:footnote>
  <w:footnote w:id="1468">
    <w:p w:rsidR="00AB00DE" w:rsidRPr="002A456C" w:rsidRDefault="00AB00DE" w:rsidP="00852022">
      <w:pPr>
        <w:pStyle w:val="a4"/>
        <w:spacing w:after="80"/>
      </w:pPr>
      <w:r w:rsidRPr="002A456C">
        <w:rPr>
          <w:rFonts w:hint="eastAsia"/>
          <w:i/>
        </w:rPr>
        <w:tab/>
      </w:r>
      <w:r w:rsidRPr="008258F3">
        <w:rPr>
          <w:rStyle w:val="a5"/>
        </w:rPr>
        <w:footnoteRef/>
      </w:r>
      <w:r w:rsidRPr="002A456C">
        <w:rPr>
          <w:rFonts w:hint="eastAsia"/>
          <w:i/>
        </w:rPr>
        <w:tab/>
      </w:r>
      <w:r w:rsidRPr="002A456C">
        <w:rPr>
          <w:rFonts w:hint="eastAsia"/>
        </w:rPr>
        <w:t>同上</w:t>
      </w:r>
      <w:r>
        <w:rPr>
          <w:rFonts w:hint="eastAsia"/>
        </w:rPr>
        <w:t>，</w:t>
      </w:r>
      <w:r w:rsidRPr="002A456C">
        <w:rPr>
          <w:rFonts w:hint="eastAsia"/>
        </w:rPr>
        <w:t>附件</w:t>
      </w:r>
      <w:r>
        <w:t>C</w:t>
      </w:r>
      <w:r w:rsidRPr="002A456C">
        <w:rPr>
          <w:rFonts w:hint="eastAsia"/>
        </w:rPr>
        <w:t>。</w:t>
      </w:r>
    </w:p>
  </w:footnote>
  <w:footnote w:id="1469">
    <w:p w:rsidR="00AB00DE" w:rsidRPr="002A456C" w:rsidRDefault="00AB00DE" w:rsidP="00852022">
      <w:pPr>
        <w:pStyle w:val="a4"/>
        <w:spacing w:after="80"/>
      </w:pPr>
      <w:r w:rsidRPr="002A456C">
        <w:rPr>
          <w:rFonts w:hint="eastAsia"/>
          <w:i/>
        </w:rPr>
        <w:tab/>
      </w:r>
      <w:r w:rsidRPr="008258F3">
        <w:rPr>
          <w:rStyle w:val="a5"/>
        </w:rPr>
        <w:footnoteRef/>
      </w:r>
      <w:r w:rsidRPr="002A456C">
        <w:rPr>
          <w:rFonts w:hint="eastAsia"/>
          <w:i/>
        </w:rPr>
        <w:tab/>
      </w:r>
      <w:r w:rsidRPr="002A456C">
        <w:rPr>
          <w:rFonts w:hint="eastAsia"/>
        </w:rPr>
        <w:t>同上</w:t>
      </w:r>
      <w:r>
        <w:rPr>
          <w:rFonts w:hint="eastAsia"/>
        </w:rPr>
        <w:t>，</w:t>
      </w:r>
      <w:r w:rsidRPr="002A456C">
        <w:rPr>
          <w:rFonts w:hint="eastAsia"/>
        </w:rPr>
        <w:t>附件</w:t>
      </w:r>
      <w:r>
        <w:t>D</w:t>
      </w:r>
      <w:r w:rsidRPr="002A456C">
        <w:rPr>
          <w:rFonts w:hint="eastAsia"/>
        </w:rPr>
        <w:t>。</w:t>
      </w:r>
    </w:p>
  </w:footnote>
  <w:footnote w:id="1470">
    <w:p w:rsidR="00AB00DE" w:rsidRPr="002A456C" w:rsidRDefault="00AB00DE" w:rsidP="00852022">
      <w:pPr>
        <w:pStyle w:val="a4"/>
        <w:spacing w:after="80"/>
      </w:pPr>
      <w:r w:rsidRPr="002A456C">
        <w:rPr>
          <w:rFonts w:hint="eastAsia"/>
        </w:rPr>
        <w:tab/>
      </w:r>
      <w:r w:rsidRPr="008258F3">
        <w:rPr>
          <w:rStyle w:val="a5"/>
        </w:rPr>
        <w:footnoteRef/>
      </w:r>
      <w:r>
        <w:tab/>
      </w:r>
      <w:r w:rsidRPr="002A456C">
        <w:rPr>
          <w:rFonts w:hint="eastAsia"/>
        </w:rPr>
        <w:t>《</w:t>
      </w:r>
      <w:r w:rsidRPr="00D72C8B">
        <w:rPr>
          <w:rFonts w:ascii="Time New Roman" w:eastAsia="楷体" w:hAnsi="Time New Roman" w:hint="eastAsia"/>
        </w:rPr>
        <w:t>大会正式记录</w:t>
      </w:r>
      <w:r>
        <w:rPr>
          <w:rFonts w:ascii="Time New Roman" w:eastAsia="楷体" w:hAnsi="Time New Roman" w:hint="eastAsia"/>
        </w:rPr>
        <w:t>，</w:t>
      </w:r>
      <w:r w:rsidRPr="00D72C8B">
        <w:rPr>
          <w:rFonts w:ascii="Time New Roman" w:eastAsia="楷体" w:hAnsi="Time New Roman" w:hint="eastAsia"/>
        </w:rPr>
        <w:t>第六十六届会议</w:t>
      </w:r>
      <w:r>
        <w:rPr>
          <w:rFonts w:ascii="Time New Roman" w:eastAsia="楷体" w:hAnsi="Time New Roman" w:hint="eastAsia"/>
        </w:rPr>
        <w:t>，</w:t>
      </w:r>
      <w:r w:rsidRPr="00D72C8B">
        <w:rPr>
          <w:rFonts w:ascii="Time New Roman" w:eastAsia="楷体" w:hAnsi="Time New Roman" w:hint="eastAsia"/>
        </w:rPr>
        <w:t>补编第</w:t>
      </w:r>
      <w:r>
        <w:rPr>
          <w:rFonts w:ascii="Time New Roman" w:eastAsia="楷体" w:hAnsi="Time New Roman" w:hint="eastAsia"/>
        </w:rPr>
        <w:t>1</w:t>
      </w:r>
      <w:r w:rsidRPr="00D72C8B">
        <w:rPr>
          <w:rFonts w:ascii="Time New Roman" w:eastAsia="楷体" w:hAnsi="Time New Roman" w:hint="eastAsia"/>
        </w:rPr>
        <w:t>0</w:t>
      </w:r>
      <w:r w:rsidRPr="00D72C8B">
        <w:rPr>
          <w:rFonts w:ascii="Time New Roman" w:eastAsia="楷体" w:hAnsi="Time New Roman" w:hint="eastAsia"/>
        </w:rPr>
        <w:t>号</w:t>
      </w:r>
      <w:r w:rsidRPr="002A456C">
        <w:rPr>
          <w:rFonts w:hint="eastAsia"/>
        </w:rPr>
        <w:t>》</w:t>
      </w:r>
      <w:r>
        <w:rPr>
          <w:rFonts w:hint="eastAsia"/>
        </w:rPr>
        <w:t>(</w:t>
      </w:r>
      <w:hyperlink r:id="rId347" w:history="1">
        <w:r>
          <w:rPr>
            <w:rStyle w:val="af"/>
            <w:rFonts w:hint="eastAsia"/>
          </w:rPr>
          <w:t>A/66/1</w:t>
        </w:r>
        <w:r w:rsidRPr="002A456C">
          <w:rPr>
            <w:rStyle w:val="af"/>
            <w:rFonts w:hint="eastAsia"/>
          </w:rPr>
          <w:t>0</w:t>
        </w:r>
        <w:r>
          <w:rPr>
            <w:rStyle w:val="af"/>
            <w:rFonts w:hint="eastAsia"/>
          </w:rPr>
          <w:t>)</w:t>
        </w:r>
      </w:hyperlink>
      <w:r>
        <w:rPr>
          <w:rFonts w:hint="eastAsia"/>
        </w:rPr>
        <w:t>，</w:t>
      </w:r>
      <w:r w:rsidRPr="002A456C">
        <w:rPr>
          <w:rFonts w:hint="eastAsia"/>
        </w:rPr>
        <w:t>第</w:t>
      </w:r>
      <w:r>
        <w:rPr>
          <w:rFonts w:hint="eastAsia"/>
        </w:rPr>
        <w:t>365</w:t>
      </w:r>
      <w:r w:rsidRPr="002A456C">
        <w:rPr>
          <w:rFonts w:hint="eastAsia"/>
        </w:rPr>
        <w:t>段和附件</w:t>
      </w:r>
      <w:r>
        <w:t>D</w:t>
      </w:r>
      <w:r w:rsidRPr="002A456C">
        <w:rPr>
          <w:rFonts w:hint="eastAsia"/>
        </w:rPr>
        <w:t>。</w:t>
      </w:r>
    </w:p>
  </w:footnote>
  <w:footnote w:id="1471">
    <w:p w:rsidR="00AB00DE" w:rsidRPr="008A21A7" w:rsidRDefault="00AB00DE" w:rsidP="00852022">
      <w:pPr>
        <w:pStyle w:val="a4"/>
        <w:spacing w:after="80"/>
      </w:pPr>
      <w:r>
        <w:tab/>
      </w:r>
      <w:r w:rsidRPr="008258F3">
        <w:rPr>
          <w:rStyle w:val="a5"/>
        </w:rPr>
        <w:footnoteRef/>
      </w:r>
      <w:r>
        <w:rPr>
          <w:rFonts w:hint="eastAsia"/>
        </w:rPr>
        <w:tab/>
      </w:r>
      <w:r>
        <w:rPr>
          <w:rFonts w:eastAsiaTheme="minorEastAsia" w:hint="eastAsia"/>
        </w:rPr>
        <w:t>见上文第</w:t>
      </w:r>
      <w:r>
        <w:t>307</w:t>
      </w:r>
      <w:r>
        <w:rPr>
          <w:rFonts w:eastAsiaTheme="minorEastAsia" w:hint="eastAsia"/>
        </w:rPr>
        <w:t>段。</w:t>
      </w:r>
    </w:p>
  </w:footnote>
  <w:footnote w:id="1472">
    <w:p w:rsidR="00AB00DE" w:rsidRPr="002A456C" w:rsidRDefault="00AB00DE" w:rsidP="00813081">
      <w:pPr>
        <w:pStyle w:val="aa"/>
      </w:pPr>
      <w:r w:rsidRPr="002A456C">
        <w:tab/>
      </w:r>
      <w:r w:rsidRPr="008258F3">
        <w:rPr>
          <w:rStyle w:val="a5"/>
        </w:rPr>
        <w:footnoteRef/>
      </w:r>
      <w:r w:rsidRPr="002A456C">
        <w:rPr>
          <w:rFonts w:hint="eastAsia"/>
          <w:i/>
          <w:iCs/>
        </w:rPr>
        <w:tab/>
      </w:r>
      <w:r w:rsidRPr="002A456C">
        <w:rPr>
          <w:rFonts w:hint="eastAsia"/>
        </w:rPr>
        <w:t>《</w:t>
      </w:r>
      <w:r w:rsidRPr="00D72C8B">
        <w:rPr>
          <w:rFonts w:ascii="Time New Roman" w:eastAsia="楷体" w:hAnsi="Time New Roman" w:hint="eastAsia"/>
        </w:rPr>
        <w:t>大会正式记录</w:t>
      </w:r>
      <w:r>
        <w:rPr>
          <w:rFonts w:ascii="Time New Roman" w:eastAsia="楷体" w:hAnsi="Time New Roman" w:hint="eastAsia"/>
        </w:rPr>
        <w:t>，</w:t>
      </w:r>
      <w:r w:rsidRPr="00D72C8B">
        <w:rPr>
          <w:rFonts w:ascii="Time New Roman" w:eastAsia="楷体" w:hAnsi="Time New Roman" w:hint="eastAsia"/>
        </w:rPr>
        <w:t>第六十四届会议</w:t>
      </w:r>
      <w:r>
        <w:rPr>
          <w:rFonts w:ascii="Time New Roman" w:eastAsia="楷体" w:hAnsi="Time New Roman" w:hint="eastAsia"/>
        </w:rPr>
        <w:t>，</w:t>
      </w:r>
      <w:r w:rsidRPr="00D72C8B">
        <w:rPr>
          <w:rFonts w:ascii="Time New Roman" w:eastAsia="楷体" w:hAnsi="Time New Roman" w:hint="eastAsia"/>
        </w:rPr>
        <w:t>补编第</w:t>
      </w:r>
      <w:r>
        <w:rPr>
          <w:rFonts w:ascii="Time New Roman" w:eastAsia="楷体" w:hAnsi="Time New Roman" w:hint="eastAsia"/>
        </w:rPr>
        <w:t>1</w:t>
      </w:r>
      <w:r w:rsidRPr="00D72C8B">
        <w:rPr>
          <w:rFonts w:ascii="Time New Roman" w:eastAsia="楷体" w:hAnsi="Time New Roman" w:hint="eastAsia"/>
        </w:rPr>
        <w:t>0</w:t>
      </w:r>
      <w:r w:rsidRPr="00D72C8B">
        <w:rPr>
          <w:rFonts w:ascii="Time New Roman" w:eastAsia="楷体" w:hAnsi="Time New Roman" w:hint="eastAsia"/>
        </w:rPr>
        <w:t>号</w:t>
      </w:r>
      <w:r w:rsidRPr="002A456C">
        <w:rPr>
          <w:rFonts w:hint="eastAsia"/>
        </w:rPr>
        <w:t>》</w:t>
      </w:r>
      <w:r>
        <w:rPr>
          <w:rFonts w:hint="eastAsia"/>
        </w:rPr>
        <w:t>(</w:t>
      </w:r>
      <w:hyperlink r:id="rId348" w:history="1">
        <w:r>
          <w:rPr>
            <w:rStyle w:val="af"/>
            <w:rFonts w:hint="eastAsia"/>
          </w:rPr>
          <w:t>A/64/1</w:t>
        </w:r>
        <w:r w:rsidRPr="002A456C">
          <w:rPr>
            <w:rStyle w:val="af"/>
            <w:rFonts w:hint="eastAsia"/>
          </w:rPr>
          <w:t>0</w:t>
        </w:r>
        <w:r>
          <w:rPr>
            <w:rStyle w:val="af"/>
            <w:rFonts w:hint="eastAsia"/>
          </w:rPr>
          <w:t>)</w:t>
        </w:r>
      </w:hyperlink>
      <w:r>
        <w:rPr>
          <w:rFonts w:hint="eastAsia"/>
        </w:rPr>
        <w:t>，</w:t>
      </w:r>
      <w:r w:rsidRPr="002A456C">
        <w:rPr>
          <w:rFonts w:hint="eastAsia"/>
        </w:rPr>
        <w:t>第</w:t>
      </w:r>
      <w:r>
        <w:rPr>
          <w:rFonts w:hint="eastAsia"/>
        </w:rPr>
        <w:t>231</w:t>
      </w:r>
      <w:r w:rsidRPr="002A456C">
        <w:rPr>
          <w:rFonts w:hint="eastAsia"/>
        </w:rPr>
        <w:t>段</w:t>
      </w:r>
      <w:r>
        <w:rPr>
          <w:rFonts w:hint="eastAsia"/>
        </w:rPr>
        <w:t>；</w:t>
      </w:r>
      <w:r w:rsidRPr="002A456C">
        <w:rPr>
          <w:rFonts w:hint="eastAsia"/>
        </w:rPr>
        <w:t>同上</w:t>
      </w:r>
      <w:r>
        <w:rPr>
          <w:rFonts w:hint="eastAsia"/>
        </w:rPr>
        <w:t>，</w:t>
      </w:r>
      <w:r w:rsidRPr="002A456C">
        <w:rPr>
          <w:rFonts w:hint="eastAsia"/>
        </w:rPr>
        <w:t>《</w:t>
      </w:r>
      <w:r w:rsidRPr="00D72C8B">
        <w:rPr>
          <w:rFonts w:ascii="Time New Roman" w:eastAsia="楷体" w:hAnsi="Time New Roman" w:hint="eastAsia"/>
        </w:rPr>
        <w:t>第六十五届会议</w:t>
      </w:r>
      <w:r>
        <w:rPr>
          <w:rFonts w:ascii="Time New Roman" w:eastAsia="楷体" w:hAnsi="Time New Roman" w:hint="eastAsia"/>
        </w:rPr>
        <w:t>，</w:t>
      </w:r>
      <w:r w:rsidRPr="00D72C8B">
        <w:rPr>
          <w:rFonts w:ascii="Time New Roman" w:eastAsia="楷体" w:hAnsi="Time New Roman" w:hint="eastAsia"/>
        </w:rPr>
        <w:t>补编第</w:t>
      </w:r>
      <w:r>
        <w:rPr>
          <w:rFonts w:ascii="Time New Roman" w:eastAsia="楷体" w:hAnsi="Time New Roman" w:hint="eastAsia"/>
        </w:rPr>
        <w:t>1</w:t>
      </w:r>
      <w:r w:rsidRPr="00D72C8B">
        <w:rPr>
          <w:rFonts w:ascii="Time New Roman" w:eastAsia="楷体" w:hAnsi="Time New Roman" w:hint="eastAsia"/>
        </w:rPr>
        <w:t>0</w:t>
      </w:r>
      <w:r w:rsidRPr="00D72C8B">
        <w:rPr>
          <w:rFonts w:ascii="Time New Roman" w:eastAsia="楷体" w:hAnsi="Time New Roman" w:hint="eastAsia"/>
        </w:rPr>
        <w:t>号</w:t>
      </w:r>
      <w:r w:rsidRPr="002A456C">
        <w:rPr>
          <w:rFonts w:hint="eastAsia"/>
        </w:rPr>
        <w:t>》</w:t>
      </w:r>
      <w:r>
        <w:rPr>
          <w:rFonts w:hint="eastAsia"/>
        </w:rPr>
        <w:t>(</w:t>
      </w:r>
      <w:hyperlink r:id="rId349" w:history="1">
        <w:r>
          <w:rPr>
            <w:rStyle w:val="af"/>
            <w:rFonts w:hint="eastAsia"/>
          </w:rPr>
          <w:t>A/65/1</w:t>
        </w:r>
        <w:r w:rsidRPr="002A456C">
          <w:rPr>
            <w:rStyle w:val="af"/>
            <w:rFonts w:hint="eastAsia"/>
          </w:rPr>
          <w:t>0</w:t>
        </w:r>
        <w:r>
          <w:rPr>
            <w:rStyle w:val="af"/>
            <w:rFonts w:hint="eastAsia"/>
          </w:rPr>
          <w:t>)</w:t>
        </w:r>
      </w:hyperlink>
      <w:r>
        <w:rPr>
          <w:rFonts w:hint="eastAsia"/>
        </w:rPr>
        <w:t>，</w:t>
      </w:r>
      <w:r w:rsidRPr="002A456C">
        <w:rPr>
          <w:rFonts w:hint="eastAsia"/>
        </w:rPr>
        <w:t>第</w:t>
      </w:r>
      <w:r>
        <w:rPr>
          <w:rFonts w:hint="eastAsia"/>
        </w:rPr>
        <w:t>39</w:t>
      </w:r>
      <w:r w:rsidRPr="002A456C">
        <w:rPr>
          <w:rFonts w:hint="eastAsia"/>
        </w:rPr>
        <w:t>0-</w:t>
      </w:r>
      <w:r>
        <w:rPr>
          <w:rFonts w:hint="eastAsia"/>
        </w:rPr>
        <w:t>393</w:t>
      </w:r>
      <w:r w:rsidRPr="002A456C">
        <w:rPr>
          <w:rFonts w:hint="eastAsia"/>
        </w:rPr>
        <w:t>段</w:t>
      </w:r>
      <w:r>
        <w:rPr>
          <w:rFonts w:hint="eastAsia"/>
        </w:rPr>
        <w:t>；</w:t>
      </w:r>
      <w:r w:rsidRPr="002A456C">
        <w:rPr>
          <w:rFonts w:hint="eastAsia"/>
        </w:rPr>
        <w:t>同上</w:t>
      </w:r>
      <w:r>
        <w:rPr>
          <w:rFonts w:hint="eastAsia"/>
        </w:rPr>
        <w:t>，</w:t>
      </w:r>
      <w:r w:rsidRPr="002A456C">
        <w:rPr>
          <w:rFonts w:hint="eastAsia"/>
        </w:rPr>
        <w:t>《</w:t>
      </w:r>
      <w:r w:rsidRPr="00D72C8B">
        <w:rPr>
          <w:rFonts w:ascii="Time New Roman" w:eastAsia="楷体" w:hAnsi="Time New Roman" w:hint="eastAsia"/>
        </w:rPr>
        <w:t>第六十六届会议</w:t>
      </w:r>
      <w:r>
        <w:rPr>
          <w:rFonts w:ascii="Time New Roman" w:eastAsia="楷体" w:hAnsi="Time New Roman" w:hint="eastAsia"/>
        </w:rPr>
        <w:t>，</w:t>
      </w:r>
      <w:r w:rsidRPr="00D72C8B">
        <w:rPr>
          <w:rFonts w:ascii="Time New Roman" w:eastAsia="楷体" w:hAnsi="Time New Roman" w:hint="eastAsia"/>
        </w:rPr>
        <w:t>补编第</w:t>
      </w:r>
      <w:r>
        <w:rPr>
          <w:rFonts w:ascii="Time New Roman" w:eastAsia="楷体" w:hAnsi="Time New Roman" w:hint="eastAsia"/>
        </w:rPr>
        <w:t>1</w:t>
      </w:r>
      <w:r w:rsidRPr="00D72C8B">
        <w:rPr>
          <w:rFonts w:ascii="Time New Roman" w:eastAsia="楷体" w:hAnsi="Time New Roman" w:hint="eastAsia"/>
        </w:rPr>
        <w:t>0</w:t>
      </w:r>
      <w:r w:rsidRPr="00D72C8B">
        <w:rPr>
          <w:rFonts w:ascii="Time New Roman" w:eastAsia="楷体" w:hAnsi="Time New Roman" w:hint="eastAsia"/>
        </w:rPr>
        <w:t>号</w:t>
      </w:r>
      <w:r w:rsidRPr="002A456C">
        <w:rPr>
          <w:rFonts w:hint="eastAsia"/>
        </w:rPr>
        <w:t>》</w:t>
      </w:r>
      <w:r>
        <w:rPr>
          <w:rFonts w:hint="eastAsia"/>
        </w:rPr>
        <w:t>(</w:t>
      </w:r>
      <w:hyperlink r:id="rId350" w:history="1">
        <w:r>
          <w:rPr>
            <w:rStyle w:val="af"/>
            <w:rFonts w:hint="eastAsia"/>
          </w:rPr>
          <w:t>A/66/1</w:t>
        </w:r>
        <w:r w:rsidRPr="002A456C">
          <w:rPr>
            <w:rStyle w:val="af"/>
            <w:rFonts w:hint="eastAsia"/>
          </w:rPr>
          <w:t>0</w:t>
        </w:r>
        <w:r>
          <w:rPr>
            <w:rStyle w:val="af"/>
            <w:rFonts w:hint="eastAsia"/>
          </w:rPr>
          <w:t>)</w:t>
        </w:r>
      </w:hyperlink>
      <w:r>
        <w:rPr>
          <w:rFonts w:hint="eastAsia"/>
        </w:rPr>
        <w:t>，</w:t>
      </w:r>
      <w:r w:rsidRPr="002A456C">
        <w:rPr>
          <w:rFonts w:hint="eastAsia"/>
        </w:rPr>
        <w:t>第</w:t>
      </w:r>
      <w:r>
        <w:rPr>
          <w:rFonts w:hint="eastAsia"/>
        </w:rPr>
        <w:t>392</w:t>
      </w:r>
      <w:r w:rsidRPr="002A456C">
        <w:rPr>
          <w:rFonts w:hint="eastAsia"/>
        </w:rPr>
        <w:t>-</w:t>
      </w:r>
      <w:r>
        <w:rPr>
          <w:rFonts w:hint="eastAsia"/>
        </w:rPr>
        <w:t>398</w:t>
      </w:r>
      <w:r w:rsidRPr="002A456C">
        <w:rPr>
          <w:rFonts w:hint="eastAsia"/>
        </w:rPr>
        <w:t>段</w:t>
      </w:r>
      <w:r>
        <w:rPr>
          <w:rFonts w:hint="eastAsia"/>
        </w:rPr>
        <w:t>；</w:t>
      </w:r>
      <w:r w:rsidRPr="002A456C">
        <w:rPr>
          <w:rFonts w:hint="eastAsia"/>
        </w:rPr>
        <w:t>同上</w:t>
      </w:r>
      <w:r>
        <w:rPr>
          <w:rFonts w:hint="eastAsia"/>
        </w:rPr>
        <w:t>，</w:t>
      </w:r>
      <w:r w:rsidRPr="002A456C">
        <w:rPr>
          <w:rFonts w:hint="eastAsia"/>
        </w:rPr>
        <w:t>《</w:t>
      </w:r>
      <w:r w:rsidRPr="00D72C8B">
        <w:rPr>
          <w:rFonts w:ascii="Time New Roman" w:eastAsia="楷体" w:hAnsi="Time New Roman" w:hint="eastAsia"/>
        </w:rPr>
        <w:t>第六十七届会议</w:t>
      </w:r>
      <w:r>
        <w:rPr>
          <w:rFonts w:ascii="Time New Roman" w:eastAsia="楷体" w:hAnsi="Time New Roman" w:hint="eastAsia"/>
        </w:rPr>
        <w:t>，</w:t>
      </w:r>
      <w:r w:rsidRPr="00D72C8B">
        <w:rPr>
          <w:rFonts w:ascii="Time New Roman" w:eastAsia="楷体" w:hAnsi="Time New Roman" w:hint="eastAsia"/>
        </w:rPr>
        <w:t>补编第</w:t>
      </w:r>
      <w:r>
        <w:rPr>
          <w:rFonts w:ascii="Time New Roman" w:eastAsia="楷体" w:hAnsi="Time New Roman" w:hint="eastAsia"/>
        </w:rPr>
        <w:t>1</w:t>
      </w:r>
      <w:r w:rsidRPr="00D72C8B">
        <w:rPr>
          <w:rFonts w:ascii="Time New Roman" w:eastAsia="楷体" w:hAnsi="Time New Roman" w:hint="eastAsia"/>
        </w:rPr>
        <w:t>0</w:t>
      </w:r>
      <w:r w:rsidRPr="00D72C8B">
        <w:rPr>
          <w:rFonts w:ascii="Time New Roman" w:eastAsia="楷体" w:hAnsi="Time New Roman" w:hint="eastAsia"/>
        </w:rPr>
        <w:t>号</w:t>
      </w:r>
      <w:r w:rsidRPr="002A456C">
        <w:rPr>
          <w:rFonts w:hint="eastAsia"/>
        </w:rPr>
        <w:t>》</w:t>
      </w:r>
      <w:r>
        <w:rPr>
          <w:rFonts w:hint="eastAsia"/>
        </w:rPr>
        <w:t>(</w:t>
      </w:r>
      <w:hyperlink r:id="rId351" w:history="1">
        <w:r>
          <w:rPr>
            <w:rStyle w:val="af"/>
            <w:rFonts w:hint="eastAsia"/>
          </w:rPr>
          <w:t>A/67/1</w:t>
        </w:r>
        <w:r w:rsidRPr="002A456C">
          <w:rPr>
            <w:rStyle w:val="af"/>
            <w:rFonts w:hint="eastAsia"/>
          </w:rPr>
          <w:t>0</w:t>
        </w:r>
        <w:r>
          <w:rPr>
            <w:rStyle w:val="af"/>
            <w:rFonts w:hint="eastAsia"/>
          </w:rPr>
          <w:t>)</w:t>
        </w:r>
      </w:hyperlink>
      <w:r>
        <w:rPr>
          <w:rFonts w:hint="eastAsia"/>
        </w:rPr>
        <w:t>，</w:t>
      </w:r>
      <w:r w:rsidRPr="002A456C">
        <w:rPr>
          <w:rFonts w:hint="eastAsia"/>
        </w:rPr>
        <w:t>第</w:t>
      </w:r>
      <w:r>
        <w:rPr>
          <w:rFonts w:hint="eastAsia"/>
        </w:rPr>
        <w:t>274</w:t>
      </w:r>
      <w:r w:rsidRPr="002A456C">
        <w:rPr>
          <w:rFonts w:hint="eastAsia"/>
        </w:rPr>
        <w:t>-</w:t>
      </w:r>
      <w:r>
        <w:rPr>
          <w:rFonts w:hint="eastAsia"/>
        </w:rPr>
        <w:t>279</w:t>
      </w:r>
      <w:r w:rsidRPr="002A456C">
        <w:rPr>
          <w:rFonts w:hint="eastAsia"/>
        </w:rPr>
        <w:t>段</w:t>
      </w:r>
      <w:r>
        <w:rPr>
          <w:rFonts w:hint="eastAsia"/>
        </w:rPr>
        <w:t>；</w:t>
      </w:r>
      <w:r w:rsidRPr="002A456C">
        <w:rPr>
          <w:rFonts w:hint="eastAsia"/>
        </w:rPr>
        <w:t>同上</w:t>
      </w:r>
      <w:r>
        <w:rPr>
          <w:rFonts w:hint="eastAsia"/>
        </w:rPr>
        <w:t>，</w:t>
      </w:r>
      <w:r w:rsidRPr="002A456C">
        <w:rPr>
          <w:rFonts w:hint="eastAsia"/>
        </w:rPr>
        <w:t>《</w:t>
      </w:r>
      <w:r w:rsidRPr="00D72C8B">
        <w:rPr>
          <w:rFonts w:ascii="Time New Roman" w:eastAsia="楷体" w:hAnsi="Time New Roman" w:hint="eastAsia"/>
        </w:rPr>
        <w:t>第六十八届会议</w:t>
      </w:r>
      <w:r>
        <w:rPr>
          <w:rFonts w:ascii="Time New Roman" w:eastAsia="楷体" w:hAnsi="Time New Roman" w:hint="eastAsia"/>
        </w:rPr>
        <w:t>，</w:t>
      </w:r>
      <w:r w:rsidRPr="00D72C8B">
        <w:rPr>
          <w:rFonts w:ascii="Time New Roman" w:eastAsia="楷体" w:hAnsi="Time New Roman" w:hint="eastAsia"/>
        </w:rPr>
        <w:t>补编第</w:t>
      </w:r>
      <w:r>
        <w:rPr>
          <w:rFonts w:ascii="Time New Roman" w:eastAsia="楷体" w:hAnsi="Time New Roman" w:hint="eastAsia"/>
        </w:rPr>
        <w:t>1</w:t>
      </w:r>
      <w:r w:rsidRPr="00D72C8B">
        <w:rPr>
          <w:rFonts w:ascii="Time New Roman" w:eastAsia="楷体" w:hAnsi="Time New Roman" w:hint="eastAsia"/>
        </w:rPr>
        <w:t>0</w:t>
      </w:r>
      <w:r w:rsidRPr="00D72C8B">
        <w:rPr>
          <w:rFonts w:ascii="Time New Roman" w:eastAsia="楷体" w:hAnsi="Time New Roman" w:hint="eastAsia"/>
        </w:rPr>
        <w:t>号</w:t>
      </w:r>
      <w:r w:rsidRPr="002A456C">
        <w:rPr>
          <w:rFonts w:hint="eastAsia"/>
        </w:rPr>
        <w:t>》</w:t>
      </w:r>
      <w:r>
        <w:rPr>
          <w:rFonts w:hint="eastAsia"/>
        </w:rPr>
        <w:t>(</w:t>
      </w:r>
      <w:hyperlink r:id="rId352" w:history="1">
        <w:r>
          <w:rPr>
            <w:rStyle w:val="af"/>
            <w:rFonts w:hint="eastAsia"/>
          </w:rPr>
          <w:t>A/68/1</w:t>
        </w:r>
        <w:r w:rsidRPr="002A456C">
          <w:rPr>
            <w:rStyle w:val="af"/>
            <w:rFonts w:hint="eastAsia"/>
          </w:rPr>
          <w:t>0</w:t>
        </w:r>
        <w:r>
          <w:rPr>
            <w:rStyle w:val="af"/>
            <w:rFonts w:hint="eastAsia"/>
          </w:rPr>
          <w:t>)</w:t>
        </w:r>
      </w:hyperlink>
      <w:r>
        <w:rPr>
          <w:rFonts w:hint="eastAsia"/>
        </w:rPr>
        <w:t>，</w:t>
      </w:r>
      <w:r w:rsidRPr="002A456C">
        <w:rPr>
          <w:rFonts w:hint="eastAsia"/>
        </w:rPr>
        <w:t>第</w:t>
      </w:r>
      <w:r>
        <w:rPr>
          <w:rFonts w:hint="eastAsia"/>
        </w:rPr>
        <w:t>171</w:t>
      </w:r>
      <w:r w:rsidRPr="002A456C">
        <w:rPr>
          <w:rFonts w:hint="eastAsia"/>
        </w:rPr>
        <w:t>-</w:t>
      </w:r>
      <w:r>
        <w:rPr>
          <w:rFonts w:hint="eastAsia"/>
        </w:rPr>
        <w:t>179</w:t>
      </w:r>
      <w:r w:rsidRPr="002A456C">
        <w:rPr>
          <w:rFonts w:hint="eastAsia"/>
        </w:rPr>
        <w:t>段</w:t>
      </w:r>
      <w:r>
        <w:rPr>
          <w:rFonts w:hint="eastAsia"/>
        </w:rPr>
        <w:t>；</w:t>
      </w:r>
      <w:r w:rsidRPr="002A456C">
        <w:rPr>
          <w:rFonts w:hint="eastAsia"/>
        </w:rPr>
        <w:t>同上</w:t>
      </w:r>
      <w:r>
        <w:rPr>
          <w:rFonts w:hint="eastAsia"/>
        </w:rPr>
        <w:t>，</w:t>
      </w:r>
      <w:r w:rsidRPr="002A456C">
        <w:rPr>
          <w:rFonts w:hint="eastAsia"/>
        </w:rPr>
        <w:t>《</w:t>
      </w:r>
      <w:r w:rsidRPr="00D72C8B">
        <w:rPr>
          <w:rFonts w:ascii="Time New Roman" w:eastAsia="楷体" w:hAnsi="Time New Roman" w:hint="eastAsia"/>
        </w:rPr>
        <w:t>第六十九届会议</w:t>
      </w:r>
      <w:r>
        <w:rPr>
          <w:rFonts w:ascii="Time New Roman" w:eastAsia="楷体" w:hAnsi="Time New Roman" w:hint="eastAsia"/>
        </w:rPr>
        <w:t>，</w:t>
      </w:r>
      <w:r w:rsidRPr="00D72C8B">
        <w:rPr>
          <w:rFonts w:ascii="Time New Roman" w:eastAsia="楷体" w:hAnsi="Time New Roman" w:hint="eastAsia"/>
        </w:rPr>
        <w:t>补编第</w:t>
      </w:r>
      <w:r>
        <w:rPr>
          <w:rFonts w:ascii="Time New Roman" w:eastAsia="楷体" w:hAnsi="Time New Roman" w:hint="eastAsia"/>
        </w:rPr>
        <w:t>1</w:t>
      </w:r>
      <w:r w:rsidRPr="00D72C8B">
        <w:rPr>
          <w:rFonts w:ascii="Time New Roman" w:eastAsia="楷体" w:hAnsi="Time New Roman" w:hint="eastAsia"/>
        </w:rPr>
        <w:t>0</w:t>
      </w:r>
      <w:r w:rsidRPr="00D72C8B">
        <w:rPr>
          <w:rFonts w:ascii="Time New Roman" w:eastAsia="楷体" w:hAnsi="Time New Roman" w:hint="eastAsia"/>
        </w:rPr>
        <w:t>号</w:t>
      </w:r>
      <w:r w:rsidRPr="002A456C">
        <w:rPr>
          <w:rFonts w:hint="eastAsia"/>
        </w:rPr>
        <w:t>》</w:t>
      </w:r>
      <w:r>
        <w:rPr>
          <w:rFonts w:hint="eastAsia"/>
        </w:rPr>
        <w:t>(</w:t>
      </w:r>
      <w:hyperlink r:id="rId353" w:history="1">
        <w:r>
          <w:rPr>
            <w:rStyle w:val="af"/>
            <w:rFonts w:hint="eastAsia"/>
          </w:rPr>
          <w:t>A/69/1</w:t>
        </w:r>
        <w:r w:rsidRPr="002A456C">
          <w:rPr>
            <w:rStyle w:val="af"/>
            <w:rFonts w:hint="eastAsia"/>
          </w:rPr>
          <w:t>0</w:t>
        </w:r>
        <w:r>
          <w:rPr>
            <w:rStyle w:val="af"/>
            <w:rFonts w:hint="eastAsia"/>
          </w:rPr>
          <w:t>)</w:t>
        </w:r>
      </w:hyperlink>
      <w:r>
        <w:rPr>
          <w:rFonts w:hint="eastAsia"/>
        </w:rPr>
        <w:t>，</w:t>
      </w:r>
      <w:r w:rsidRPr="002A456C">
        <w:rPr>
          <w:rFonts w:hint="eastAsia"/>
        </w:rPr>
        <w:t>第</w:t>
      </w:r>
      <w:r>
        <w:rPr>
          <w:rFonts w:hint="eastAsia"/>
        </w:rPr>
        <w:t>273</w:t>
      </w:r>
      <w:r w:rsidRPr="002A456C">
        <w:rPr>
          <w:rFonts w:hint="eastAsia"/>
        </w:rPr>
        <w:t>至第</w:t>
      </w:r>
      <w:r>
        <w:rPr>
          <w:rFonts w:hint="eastAsia"/>
        </w:rPr>
        <w:t>28</w:t>
      </w:r>
      <w:r w:rsidRPr="002A456C">
        <w:rPr>
          <w:rFonts w:hint="eastAsia"/>
        </w:rPr>
        <w:t>0</w:t>
      </w:r>
      <w:r w:rsidRPr="002A456C">
        <w:rPr>
          <w:rFonts w:hint="eastAsia"/>
        </w:rPr>
        <w:t>段</w:t>
      </w:r>
      <w:r>
        <w:rPr>
          <w:rFonts w:eastAsiaTheme="minorEastAsia" w:hint="eastAsia"/>
        </w:rPr>
        <w:t>；</w:t>
      </w:r>
      <w:r w:rsidRPr="002A456C">
        <w:rPr>
          <w:rFonts w:hint="eastAsia"/>
        </w:rPr>
        <w:t>同上</w:t>
      </w:r>
      <w:r>
        <w:rPr>
          <w:rFonts w:hint="eastAsia"/>
        </w:rPr>
        <w:t>，</w:t>
      </w:r>
      <w:r w:rsidRPr="00D72C8B">
        <w:rPr>
          <w:rFonts w:ascii="Time New Roman" w:eastAsia="楷体" w:hAnsi="Time New Roman" w:hint="eastAsia"/>
        </w:rPr>
        <w:t>《第七十届会议</w:t>
      </w:r>
      <w:r>
        <w:rPr>
          <w:rFonts w:ascii="Time New Roman" w:eastAsia="楷体" w:hAnsi="Time New Roman" w:hint="eastAsia"/>
        </w:rPr>
        <w:t>，</w:t>
      </w:r>
      <w:r w:rsidRPr="00D72C8B">
        <w:rPr>
          <w:rFonts w:ascii="Time New Roman" w:eastAsia="楷体" w:hAnsi="Time New Roman" w:hint="eastAsia"/>
        </w:rPr>
        <w:t>补编第</w:t>
      </w:r>
      <w:r>
        <w:rPr>
          <w:rFonts w:ascii="Time New Roman" w:eastAsia="楷体" w:hAnsi="Time New Roman" w:hint="eastAsia"/>
        </w:rPr>
        <w:t>1</w:t>
      </w:r>
      <w:r w:rsidRPr="00D72C8B">
        <w:rPr>
          <w:rFonts w:ascii="Time New Roman" w:eastAsia="楷体" w:hAnsi="Time New Roman" w:hint="eastAsia"/>
        </w:rPr>
        <w:t>0</w:t>
      </w:r>
      <w:r w:rsidRPr="00D72C8B">
        <w:rPr>
          <w:rFonts w:ascii="Time New Roman" w:eastAsia="楷体" w:hAnsi="Time New Roman" w:hint="eastAsia"/>
        </w:rPr>
        <w:t>号</w:t>
      </w:r>
      <w:r w:rsidRPr="002A456C">
        <w:rPr>
          <w:rFonts w:hint="eastAsia"/>
        </w:rPr>
        <w:t>》</w:t>
      </w:r>
      <w:r>
        <w:rPr>
          <w:rFonts w:hint="eastAsia"/>
        </w:rPr>
        <w:t>(</w:t>
      </w:r>
      <w:hyperlink r:id="rId354" w:history="1">
        <w:r>
          <w:rPr>
            <w:rStyle w:val="af"/>
            <w:rFonts w:hint="eastAsia"/>
          </w:rPr>
          <w:t>A/7</w:t>
        </w:r>
        <w:r w:rsidRPr="002A456C">
          <w:rPr>
            <w:rStyle w:val="af"/>
            <w:rFonts w:hint="eastAsia"/>
          </w:rPr>
          <w:t>0</w:t>
        </w:r>
        <w:r>
          <w:rPr>
            <w:rStyle w:val="af"/>
            <w:rFonts w:hint="eastAsia"/>
          </w:rPr>
          <w:t>/1</w:t>
        </w:r>
        <w:r w:rsidRPr="002A456C">
          <w:rPr>
            <w:rStyle w:val="af"/>
            <w:rFonts w:hint="eastAsia"/>
          </w:rPr>
          <w:t>0</w:t>
        </w:r>
        <w:r>
          <w:rPr>
            <w:rStyle w:val="af"/>
            <w:rFonts w:hint="eastAsia"/>
          </w:rPr>
          <w:t>)</w:t>
        </w:r>
      </w:hyperlink>
      <w:r>
        <w:rPr>
          <w:rFonts w:hint="eastAsia"/>
        </w:rPr>
        <w:t>，</w:t>
      </w:r>
      <w:r w:rsidRPr="002A456C">
        <w:rPr>
          <w:rFonts w:hint="eastAsia"/>
        </w:rPr>
        <w:t>第</w:t>
      </w:r>
      <w:r>
        <w:rPr>
          <w:rFonts w:hint="eastAsia"/>
        </w:rPr>
        <w:t>288</w:t>
      </w:r>
      <w:r w:rsidRPr="002A456C">
        <w:rPr>
          <w:rFonts w:hint="eastAsia"/>
        </w:rPr>
        <w:t>-</w:t>
      </w:r>
      <w:r>
        <w:rPr>
          <w:rFonts w:hint="eastAsia"/>
        </w:rPr>
        <w:t>295</w:t>
      </w:r>
      <w:r w:rsidRPr="002A456C">
        <w:rPr>
          <w:rFonts w:hint="eastAsia"/>
        </w:rPr>
        <w:t>段。</w:t>
      </w:r>
    </w:p>
  </w:footnote>
  <w:footnote w:id="1473">
    <w:p w:rsidR="00AB00DE" w:rsidRPr="002A456C" w:rsidRDefault="00AB00DE" w:rsidP="00813081">
      <w:pPr>
        <w:pStyle w:val="aa"/>
      </w:pPr>
      <w:r w:rsidRPr="002A456C">
        <w:rPr>
          <w:rFonts w:hint="eastAsia"/>
        </w:rPr>
        <w:tab/>
      </w:r>
      <w:r w:rsidRPr="008258F3">
        <w:rPr>
          <w:rStyle w:val="a5"/>
        </w:rPr>
        <w:footnoteRef/>
      </w:r>
      <w:r w:rsidRPr="002A456C">
        <w:rPr>
          <w:rFonts w:hint="eastAsia"/>
        </w:rPr>
        <w:tab/>
      </w:r>
      <w:r w:rsidRPr="002A456C">
        <w:rPr>
          <w:rFonts w:hint="eastAsia"/>
        </w:rPr>
        <w:t>大会</w:t>
      </w:r>
      <w:r>
        <w:rPr>
          <w:rFonts w:hint="eastAsia"/>
        </w:rPr>
        <w:t>2</w:t>
      </w:r>
      <w:r w:rsidRPr="002A456C">
        <w:rPr>
          <w:rFonts w:hint="eastAsia"/>
        </w:rPr>
        <w:t>0</w:t>
      </w:r>
      <w:r>
        <w:rPr>
          <w:rFonts w:hint="eastAsia"/>
        </w:rPr>
        <w:t>12</w:t>
      </w:r>
      <w:r w:rsidRPr="002A456C">
        <w:rPr>
          <w:rFonts w:hint="eastAsia"/>
        </w:rPr>
        <w:t>年</w:t>
      </w:r>
      <w:r>
        <w:rPr>
          <w:rFonts w:hint="eastAsia"/>
        </w:rPr>
        <w:t>11</w:t>
      </w:r>
      <w:r w:rsidRPr="002A456C">
        <w:rPr>
          <w:rFonts w:hint="eastAsia"/>
        </w:rPr>
        <w:t>月</w:t>
      </w:r>
      <w:r>
        <w:rPr>
          <w:rFonts w:hint="eastAsia"/>
        </w:rPr>
        <w:t>3</w:t>
      </w:r>
      <w:r w:rsidRPr="002A456C">
        <w:rPr>
          <w:rFonts w:hint="eastAsia"/>
        </w:rPr>
        <w:t>0</w:t>
      </w:r>
      <w:r w:rsidRPr="002A456C">
        <w:rPr>
          <w:rFonts w:hint="eastAsia"/>
        </w:rPr>
        <w:t>日第</w:t>
      </w:r>
      <w:r>
        <w:rPr>
          <w:rFonts w:hint="eastAsia"/>
        </w:rPr>
        <w:t>67/1</w:t>
      </w:r>
      <w:r w:rsidRPr="002A456C">
        <w:rPr>
          <w:rFonts w:hint="eastAsia"/>
        </w:rPr>
        <w:t>号决议</w:t>
      </w:r>
      <w:r>
        <w:rPr>
          <w:rFonts w:hint="eastAsia"/>
        </w:rPr>
        <w:t>(</w:t>
      </w:r>
      <w:r w:rsidRPr="002A456C">
        <w:rPr>
          <w:rFonts w:hint="eastAsia"/>
        </w:rPr>
        <w:t>《国内和国际的法治问题大会高级别会议宣言》</w:t>
      </w:r>
      <w:r>
        <w:rPr>
          <w:rFonts w:hint="eastAsia"/>
        </w:rPr>
        <w:t>)</w:t>
      </w:r>
      <w:r>
        <w:rPr>
          <w:rFonts w:hint="eastAsia"/>
        </w:rPr>
        <w:t>，</w:t>
      </w:r>
      <w:r>
        <w:rPr>
          <w:rFonts w:hint="eastAsia"/>
        </w:rPr>
        <w:t>A/RES/67/1</w:t>
      </w:r>
      <w:r w:rsidRPr="002A456C">
        <w:rPr>
          <w:rFonts w:hint="eastAsia"/>
        </w:rPr>
        <w:t>号文件</w:t>
      </w:r>
      <w:r>
        <w:rPr>
          <w:rFonts w:hint="eastAsia"/>
        </w:rPr>
        <w:t>，</w:t>
      </w:r>
      <w:r w:rsidRPr="002A456C">
        <w:rPr>
          <w:rFonts w:hint="eastAsia"/>
        </w:rPr>
        <w:t>第</w:t>
      </w:r>
      <w:r>
        <w:rPr>
          <w:rFonts w:hint="eastAsia"/>
        </w:rPr>
        <w:t>41</w:t>
      </w:r>
      <w:r w:rsidRPr="002A456C">
        <w:rPr>
          <w:rFonts w:hint="eastAsia"/>
        </w:rPr>
        <w:t>段。</w:t>
      </w:r>
    </w:p>
  </w:footnote>
  <w:footnote w:id="1474">
    <w:p w:rsidR="00AB00DE" w:rsidRPr="002A456C" w:rsidRDefault="00AB00DE" w:rsidP="00813081">
      <w:pPr>
        <w:pStyle w:val="aa"/>
      </w:pPr>
      <w:r w:rsidRPr="002A456C">
        <w:rPr>
          <w:rFonts w:hint="eastAsia"/>
        </w:rPr>
        <w:tab/>
      </w:r>
      <w:r w:rsidRPr="008258F3">
        <w:rPr>
          <w:rStyle w:val="a5"/>
        </w:rPr>
        <w:footnoteRef/>
      </w:r>
      <w:r w:rsidRPr="002A456C">
        <w:rPr>
          <w:rFonts w:hint="eastAsia"/>
        </w:rPr>
        <w:tab/>
      </w:r>
      <w:r w:rsidRPr="002A456C">
        <w:rPr>
          <w:rFonts w:hint="eastAsia"/>
        </w:rPr>
        <w:t>衡量联合国系统在冲突中和冲突后支持促进法治的效力的秘书长报告</w:t>
      </w:r>
      <w:r>
        <w:rPr>
          <w:rFonts w:hint="eastAsia"/>
        </w:rPr>
        <w:t>，</w:t>
      </w:r>
      <w:r>
        <w:rPr>
          <w:rFonts w:hint="eastAsia"/>
        </w:rPr>
        <w:t>S/2</w:t>
      </w:r>
      <w:r w:rsidRPr="002A456C">
        <w:rPr>
          <w:rFonts w:hint="eastAsia"/>
        </w:rPr>
        <w:t>0</w:t>
      </w:r>
      <w:r>
        <w:rPr>
          <w:rFonts w:hint="eastAsia"/>
        </w:rPr>
        <w:t>13/341, 2</w:t>
      </w:r>
      <w:r w:rsidRPr="002A456C">
        <w:rPr>
          <w:rFonts w:hint="eastAsia"/>
        </w:rPr>
        <w:t>0</w:t>
      </w:r>
      <w:r>
        <w:rPr>
          <w:rFonts w:hint="eastAsia"/>
        </w:rPr>
        <w:t>13</w:t>
      </w:r>
      <w:r w:rsidRPr="002A456C">
        <w:rPr>
          <w:rFonts w:hint="eastAsia"/>
        </w:rPr>
        <w:t>年</w:t>
      </w:r>
      <w:r>
        <w:rPr>
          <w:rFonts w:hint="eastAsia"/>
        </w:rPr>
        <w:t>6</w:t>
      </w:r>
      <w:r w:rsidRPr="002A456C">
        <w:rPr>
          <w:rFonts w:hint="eastAsia"/>
        </w:rPr>
        <w:t>月</w:t>
      </w:r>
      <w:r>
        <w:rPr>
          <w:rFonts w:hint="eastAsia"/>
        </w:rPr>
        <w:t>11</w:t>
      </w:r>
      <w:r w:rsidRPr="002A456C">
        <w:rPr>
          <w:rFonts w:hint="eastAsia"/>
        </w:rPr>
        <w:t>日</w:t>
      </w:r>
      <w:r>
        <w:rPr>
          <w:rFonts w:hint="eastAsia"/>
        </w:rPr>
        <w:t>，</w:t>
      </w:r>
      <w:r w:rsidRPr="002A456C">
        <w:rPr>
          <w:rFonts w:hint="eastAsia"/>
        </w:rPr>
        <w:t>第</w:t>
      </w:r>
      <w:r>
        <w:rPr>
          <w:rFonts w:hint="eastAsia"/>
        </w:rPr>
        <w:t>7</w:t>
      </w:r>
      <w:r w:rsidRPr="002A456C">
        <w:rPr>
          <w:rFonts w:hint="eastAsia"/>
        </w:rPr>
        <w:t>0</w:t>
      </w:r>
      <w:r w:rsidRPr="002A456C">
        <w:rPr>
          <w:rFonts w:hint="eastAsia"/>
        </w:rPr>
        <w:t>段。</w:t>
      </w:r>
    </w:p>
  </w:footnote>
  <w:footnote w:id="1475">
    <w:p w:rsidR="00AB00DE" w:rsidRPr="001D3F02" w:rsidRDefault="00AB00DE" w:rsidP="00813081">
      <w:pPr>
        <w:pStyle w:val="aa"/>
        <w:rPr>
          <w:rFonts w:asciiTheme="majorBidi" w:hAnsiTheme="majorBidi" w:cstheme="majorBidi"/>
        </w:rPr>
      </w:pPr>
      <w:r w:rsidRPr="002A456C">
        <w:rPr>
          <w:rFonts w:hint="eastAsia"/>
        </w:rPr>
        <w:tab/>
      </w:r>
      <w:r w:rsidRPr="008258F3">
        <w:rPr>
          <w:rStyle w:val="a5"/>
        </w:rPr>
        <w:footnoteRef/>
      </w:r>
      <w:r w:rsidRPr="002A456C">
        <w:rPr>
          <w:rFonts w:hint="eastAsia"/>
        </w:rPr>
        <w:tab/>
      </w:r>
      <w:r w:rsidRPr="001D3F02">
        <w:rPr>
          <w:rFonts w:asciiTheme="majorBidi" w:hAnsiTheme="majorBidi" w:cstheme="majorBidi"/>
        </w:rPr>
        <w:t>大会</w:t>
      </w:r>
      <w:r>
        <w:rPr>
          <w:rFonts w:asciiTheme="majorBidi" w:hAnsiTheme="majorBidi" w:cstheme="majorBidi"/>
        </w:rPr>
        <w:t>2</w:t>
      </w:r>
      <w:r w:rsidRPr="001D3F02">
        <w:rPr>
          <w:rFonts w:asciiTheme="majorBidi" w:hAnsiTheme="majorBidi" w:cstheme="majorBidi"/>
        </w:rPr>
        <w:t>0</w:t>
      </w:r>
      <w:r>
        <w:rPr>
          <w:rFonts w:asciiTheme="majorBidi" w:hAnsiTheme="majorBidi" w:cstheme="majorBidi"/>
        </w:rPr>
        <w:t>15</w:t>
      </w:r>
      <w:r w:rsidRPr="001D3F02">
        <w:rPr>
          <w:rFonts w:asciiTheme="majorBidi" w:hAnsiTheme="majorBidi" w:cstheme="majorBidi"/>
        </w:rPr>
        <w:t>年</w:t>
      </w:r>
      <w:r>
        <w:rPr>
          <w:rFonts w:asciiTheme="majorBidi" w:hAnsiTheme="majorBidi" w:cstheme="majorBidi"/>
        </w:rPr>
        <w:t>1</w:t>
      </w:r>
      <w:r w:rsidRPr="001D3F02">
        <w:rPr>
          <w:rFonts w:asciiTheme="majorBidi" w:hAnsiTheme="majorBidi" w:cstheme="majorBidi"/>
        </w:rPr>
        <w:t>0</w:t>
      </w:r>
      <w:r w:rsidRPr="001D3F02">
        <w:rPr>
          <w:rFonts w:asciiTheme="majorBidi" w:hAnsiTheme="majorBidi" w:cstheme="majorBidi"/>
        </w:rPr>
        <w:t>月</w:t>
      </w:r>
      <w:r>
        <w:rPr>
          <w:rFonts w:asciiTheme="majorBidi" w:hAnsiTheme="majorBidi" w:cstheme="majorBidi"/>
        </w:rPr>
        <w:t>21</w:t>
      </w:r>
      <w:r w:rsidRPr="001D3F02">
        <w:rPr>
          <w:rFonts w:asciiTheme="majorBidi" w:hAnsiTheme="majorBidi" w:cstheme="majorBidi"/>
        </w:rPr>
        <w:t>日第</w:t>
      </w:r>
      <w:r>
        <w:rPr>
          <w:rFonts w:asciiTheme="majorBidi" w:hAnsiTheme="majorBidi" w:cstheme="majorBidi"/>
        </w:rPr>
        <w:t>7</w:t>
      </w:r>
      <w:r w:rsidRPr="001D3F02">
        <w:rPr>
          <w:rFonts w:asciiTheme="majorBidi" w:hAnsiTheme="majorBidi" w:cstheme="majorBidi"/>
        </w:rPr>
        <w:t>0</w:t>
      </w:r>
      <w:r>
        <w:rPr>
          <w:rFonts w:asciiTheme="majorBidi" w:hAnsiTheme="majorBidi" w:cstheme="majorBidi"/>
        </w:rPr>
        <w:t>/1</w:t>
      </w:r>
      <w:r w:rsidRPr="001D3F02">
        <w:rPr>
          <w:rFonts w:asciiTheme="majorBidi" w:hAnsiTheme="majorBidi" w:cstheme="majorBidi"/>
        </w:rPr>
        <w:t>号决议</w:t>
      </w:r>
      <w:r>
        <w:rPr>
          <w:rFonts w:asciiTheme="majorBidi" w:hAnsiTheme="majorBidi" w:cstheme="majorBidi"/>
        </w:rPr>
        <w:t>，</w:t>
      </w:r>
      <w:r w:rsidRPr="001D3F02">
        <w:rPr>
          <w:rFonts w:asciiTheme="majorBidi" w:hAnsiTheme="majorBidi" w:cstheme="majorBidi"/>
        </w:rPr>
        <w:t>第</w:t>
      </w:r>
      <w:r>
        <w:rPr>
          <w:rFonts w:asciiTheme="majorBidi" w:hAnsiTheme="majorBidi" w:cstheme="majorBidi"/>
        </w:rPr>
        <w:t>35</w:t>
      </w:r>
      <w:r w:rsidRPr="001D3F02">
        <w:rPr>
          <w:rFonts w:asciiTheme="majorBidi" w:hAnsiTheme="majorBidi" w:cstheme="majorBidi"/>
        </w:rPr>
        <w:t>段。</w:t>
      </w:r>
    </w:p>
  </w:footnote>
  <w:footnote w:id="1476">
    <w:p w:rsidR="00AB00DE" w:rsidRPr="001D3F02" w:rsidRDefault="00AB00DE" w:rsidP="00813081">
      <w:pPr>
        <w:pStyle w:val="aa"/>
        <w:rPr>
          <w:rFonts w:asciiTheme="majorBidi" w:hAnsiTheme="majorBidi" w:cstheme="majorBidi"/>
        </w:rPr>
      </w:pPr>
      <w:r w:rsidRPr="001D3F02">
        <w:rPr>
          <w:rFonts w:asciiTheme="majorBidi" w:hAnsiTheme="majorBidi" w:cstheme="majorBidi"/>
        </w:rPr>
        <w:tab/>
      </w:r>
      <w:r w:rsidRPr="008258F3">
        <w:rPr>
          <w:rStyle w:val="a5"/>
          <w:rFonts w:cstheme="majorBidi"/>
        </w:rPr>
        <w:footnoteRef/>
      </w:r>
      <w:r w:rsidRPr="001D3F02">
        <w:rPr>
          <w:rFonts w:asciiTheme="majorBidi" w:hAnsiTheme="majorBidi" w:cstheme="majorBidi"/>
        </w:rPr>
        <w:tab/>
      </w:r>
      <w:r w:rsidRPr="001D3F02">
        <w:rPr>
          <w:rFonts w:asciiTheme="majorBidi" w:hAnsiTheme="majorBidi" w:cstheme="majorBidi"/>
        </w:rPr>
        <w:t>大会</w:t>
      </w:r>
      <w:r>
        <w:rPr>
          <w:rFonts w:asciiTheme="majorBidi" w:hAnsiTheme="majorBidi" w:cstheme="majorBidi"/>
        </w:rPr>
        <w:t>2</w:t>
      </w:r>
      <w:r w:rsidRPr="001D3F02">
        <w:rPr>
          <w:rFonts w:asciiTheme="majorBidi" w:hAnsiTheme="majorBidi" w:cstheme="majorBidi"/>
        </w:rPr>
        <w:t>0</w:t>
      </w:r>
      <w:r>
        <w:rPr>
          <w:rFonts w:asciiTheme="majorBidi" w:hAnsiTheme="majorBidi" w:cstheme="majorBidi"/>
        </w:rPr>
        <w:t>15</w:t>
      </w:r>
      <w:r w:rsidRPr="001D3F02">
        <w:rPr>
          <w:rFonts w:asciiTheme="majorBidi" w:hAnsiTheme="majorBidi" w:cstheme="majorBidi"/>
        </w:rPr>
        <w:t>年</w:t>
      </w:r>
      <w:r>
        <w:rPr>
          <w:rFonts w:asciiTheme="majorBidi" w:hAnsiTheme="majorBidi" w:cstheme="majorBidi"/>
        </w:rPr>
        <w:t>12</w:t>
      </w:r>
      <w:r w:rsidRPr="001D3F02">
        <w:rPr>
          <w:rFonts w:asciiTheme="majorBidi" w:hAnsiTheme="majorBidi" w:cstheme="majorBidi"/>
        </w:rPr>
        <w:t>月</w:t>
      </w:r>
      <w:r>
        <w:rPr>
          <w:rFonts w:asciiTheme="majorBidi" w:hAnsiTheme="majorBidi" w:cstheme="majorBidi"/>
        </w:rPr>
        <w:t>18</w:t>
      </w:r>
      <w:r w:rsidRPr="001D3F02">
        <w:rPr>
          <w:rFonts w:asciiTheme="majorBidi" w:hAnsiTheme="majorBidi" w:cstheme="majorBidi"/>
        </w:rPr>
        <w:t>日第</w:t>
      </w:r>
      <w:r>
        <w:rPr>
          <w:rFonts w:asciiTheme="majorBidi" w:hAnsiTheme="majorBidi" w:cstheme="majorBidi"/>
        </w:rPr>
        <w:t>7</w:t>
      </w:r>
      <w:r w:rsidRPr="001D3F02">
        <w:rPr>
          <w:rFonts w:asciiTheme="majorBidi" w:hAnsiTheme="majorBidi" w:cstheme="majorBidi"/>
        </w:rPr>
        <w:t>0</w:t>
      </w:r>
      <w:r>
        <w:rPr>
          <w:rFonts w:asciiTheme="majorBidi" w:hAnsiTheme="majorBidi" w:cstheme="majorBidi"/>
        </w:rPr>
        <w:t>/118</w:t>
      </w:r>
      <w:r w:rsidRPr="001D3F02">
        <w:rPr>
          <w:rFonts w:asciiTheme="majorBidi" w:hAnsiTheme="majorBidi" w:cstheme="majorBidi"/>
        </w:rPr>
        <w:t>号决议</w:t>
      </w:r>
      <w:r>
        <w:rPr>
          <w:rFonts w:asciiTheme="majorBidi" w:hAnsiTheme="majorBidi" w:cstheme="majorBidi"/>
        </w:rPr>
        <w:t>，</w:t>
      </w:r>
      <w:r w:rsidRPr="001D3F02">
        <w:rPr>
          <w:rFonts w:asciiTheme="majorBidi" w:hAnsiTheme="majorBidi" w:cstheme="majorBidi"/>
        </w:rPr>
        <w:t>第</w:t>
      </w:r>
      <w:r>
        <w:rPr>
          <w:rFonts w:asciiTheme="majorBidi" w:hAnsiTheme="majorBidi" w:cstheme="majorBidi"/>
        </w:rPr>
        <w:t>13</w:t>
      </w:r>
      <w:r w:rsidRPr="001D3F02">
        <w:rPr>
          <w:rFonts w:asciiTheme="majorBidi" w:hAnsiTheme="majorBidi" w:cstheme="majorBidi"/>
        </w:rPr>
        <w:t>和第</w:t>
      </w:r>
      <w:r>
        <w:rPr>
          <w:rFonts w:asciiTheme="majorBidi" w:hAnsiTheme="majorBidi" w:cstheme="majorBidi"/>
        </w:rPr>
        <w:t>19</w:t>
      </w:r>
      <w:r w:rsidRPr="001D3F02">
        <w:rPr>
          <w:rFonts w:asciiTheme="majorBidi" w:hAnsiTheme="majorBidi" w:cstheme="majorBidi"/>
        </w:rPr>
        <w:t>段。</w:t>
      </w:r>
    </w:p>
  </w:footnote>
  <w:footnote w:id="1477">
    <w:p w:rsidR="00AB00DE" w:rsidRPr="001D3F02" w:rsidRDefault="00AB00DE" w:rsidP="00813081">
      <w:pPr>
        <w:pStyle w:val="aa"/>
        <w:rPr>
          <w:rFonts w:asciiTheme="majorBidi" w:hAnsiTheme="majorBidi" w:cstheme="majorBidi"/>
        </w:rPr>
      </w:pPr>
      <w:r w:rsidRPr="001D3F02">
        <w:rPr>
          <w:rFonts w:asciiTheme="majorBidi" w:hAnsiTheme="majorBidi" w:cstheme="majorBidi"/>
        </w:rPr>
        <w:tab/>
      </w:r>
      <w:r w:rsidRPr="008258F3">
        <w:rPr>
          <w:rStyle w:val="a5"/>
          <w:rFonts w:cstheme="majorBidi"/>
        </w:rPr>
        <w:footnoteRef/>
      </w:r>
      <w:r w:rsidRPr="001D3F02">
        <w:rPr>
          <w:rFonts w:asciiTheme="majorBidi" w:hAnsiTheme="majorBidi" w:cstheme="majorBidi"/>
        </w:rPr>
        <w:tab/>
      </w:r>
      <w:r w:rsidRPr="001D3F02">
        <w:rPr>
          <w:rFonts w:asciiTheme="majorBidi" w:hAnsiTheme="majorBidi" w:cstheme="majorBidi"/>
        </w:rPr>
        <w:t>大会</w:t>
      </w:r>
      <w:r>
        <w:rPr>
          <w:rFonts w:asciiTheme="majorBidi" w:hAnsiTheme="majorBidi" w:cstheme="majorBidi"/>
        </w:rPr>
        <w:t>2</w:t>
      </w:r>
      <w:r w:rsidRPr="001D3F02">
        <w:rPr>
          <w:rFonts w:asciiTheme="majorBidi" w:hAnsiTheme="majorBidi" w:cstheme="majorBidi"/>
        </w:rPr>
        <w:t>0</w:t>
      </w:r>
      <w:r>
        <w:rPr>
          <w:rFonts w:asciiTheme="majorBidi" w:hAnsiTheme="majorBidi" w:cstheme="majorBidi"/>
        </w:rPr>
        <w:t>15</w:t>
      </w:r>
      <w:r w:rsidRPr="001D3F02">
        <w:rPr>
          <w:rFonts w:asciiTheme="majorBidi" w:hAnsiTheme="majorBidi" w:cstheme="majorBidi"/>
        </w:rPr>
        <w:t>年</w:t>
      </w:r>
      <w:r>
        <w:rPr>
          <w:rFonts w:asciiTheme="majorBidi" w:hAnsiTheme="majorBidi" w:cstheme="majorBidi"/>
        </w:rPr>
        <w:t>12</w:t>
      </w:r>
      <w:r w:rsidRPr="001D3F02">
        <w:rPr>
          <w:rFonts w:asciiTheme="majorBidi" w:hAnsiTheme="majorBidi" w:cstheme="majorBidi"/>
        </w:rPr>
        <w:t>月</w:t>
      </w:r>
      <w:r>
        <w:rPr>
          <w:rFonts w:asciiTheme="majorBidi" w:hAnsiTheme="majorBidi" w:cstheme="majorBidi"/>
        </w:rPr>
        <w:t>18</w:t>
      </w:r>
      <w:r w:rsidRPr="001D3F02">
        <w:rPr>
          <w:rFonts w:asciiTheme="majorBidi" w:hAnsiTheme="majorBidi" w:cstheme="majorBidi"/>
        </w:rPr>
        <w:t>日第</w:t>
      </w:r>
      <w:r>
        <w:rPr>
          <w:rFonts w:asciiTheme="majorBidi" w:hAnsiTheme="majorBidi" w:cstheme="majorBidi"/>
        </w:rPr>
        <w:t>7</w:t>
      </w:r>
      <w:r w:rsidRPr="001D3F02">
        <w:rPr>
          <w:rFonts w:asciiTheme="majorBidi" w:hAnsiTheme="majorBidi" w:cstheme="majorBidi"/>
        </w:rPr>
        <w:t>0</w:t>
      </w:r>
      <w:r>
        <w:rPr>
          <w:rFonts w:asciiTheme="majorBidi" w:hAnsiTheme="majorBidi" w:cstheme="majorBidi"/>
        </w:rPr>
        <w:t>/118</w:t>
      </w:r>
      <w:r w:rsidRPr="001D3F02">
        <w:rPr>
          <w:rFonts w:asciiTheme="majorBidi" w:hAnsiTheme="majorBidi" w:cstheme="majorBidi"/>
        </w:rPr>
        <w:t>号决议</w:t>
      </w:r>
      <w:r>
        <w:rPr>
          <w:rFonts w:asciiTheme="majorBidi" w:hAnsiTheme="majorBidi" w:cstheme="majorBidi"/>
        </w:rPr>
        <w:t>，</w:t>
      </w:r>
      <w:r w:rsidRPr="001D3F02">
        <w:rPr>
          <w:rFonts w:asciiTheme="majorBidi" w:hAnsiTheme="majorBidi" w:cstheme="majorBidi"/>
        </w:rPr>
        <w:t>第</w:t>
      </w:r>
      <w:r>
        <w:rPr>
          <w:rFonts w:asciiTheme="majorBidi" w:hAnsiTheme="majorBidi" w:cstheme="majorBidi"/>
        </w:rPr>
        <w:t>8</w:t>
      </w:r>
      <w:r w:rsidRPr="001D3F02">
        <w:rPr>
          <w:rFonts w:asciiTheme="majorBidi" w:hAnsiTheme="majorBidi" w:cstheme="majorBidi"/>
        </w:rPr>
        <w:t>段。</w:t>
      </w:r>
    </w:p>
  </w:footnote>
  <w:footnote w:id="1478">
    <w:p w:rsidR="00AB00DE" w:rsidRPr="002A456C" w:rsidRDefault="00AB00DE" w:rsidP="00813081">
      <w:pPr>
        <w:pStyle w:val="aa"/>
      </w:pPr>
      <w:r w:rsidRPr="001D3F02">
        <w:rPr>
          <w:rFonts w:asciiTheme="majorBidi" w:hAnsiTheme="majorBidi" w:cstheme="majorBidi"/>
        </w:rPr>
        <w:tab/>
      </w:r>
      <w:r w:rsidRPr="008258F3">
        <w:rPr>
          <w:rStyle w:val="a5"/>
          <w:rFonts w:cstheme="majorBidi"/>
        </w:rPr>
        <w:footnoteRef/>
      </w:r>
      <w:r w:rsidRPr="001D3F02">
        <w:rPr>
          <w:rFonts w:asciiTheme="majorBidi" w:hAnsiTheme="majorBidi" w:cstheme="majorBidi"/>
        </w:rPr>
        <w:tab/>
      </w:r>
      <w:r w:rsidRPr="001D3F02">
        <w:rPr>
          <w:rFonts w:asciiTheme="majorBidi" w:hAnsiTheme="majorBidi" w:cstheme="majorBidi"/>
        </w:rPr>
        <w:t>具体见《</w:t>
      </w:r>
      <w:r w:rsidRPr="001D3F02">
        <w:rPr>
          <w:rFonts w:asciiTheme="majorBidi" w:eastAsia="楷体" w:hAnsiTheme="majorBidi" w:cstheme="majorBidi"/>
        </w:rPr>
        <w:t>大会正式记录</w:t>
      </w:r>
      <w:r>
        <w:rPr>
          <w:rFonts w:asciiTheme="majorBidi" w:eastAsia="楷体" w:hAnsiTheme="majorBidi" w:cstheme="majorBidi"/>
        </w:rPr>
        <w:t>，</w:t>
      </w:r>
      <w:r w:rsidRPr="001D3F02">
        <w:rPr>
          <w:rFonts w:asciiTheme="majorBidi" w:eastAsia="楷体" w:hAnsiTheme="majorBidi" w:cstheme="majorBidi"/>
        </w:rPr>
        <w:t>第七十届会议</w:t>
      </w:r>
      <w:r>
        <w:rPr>
          <w:rFonts w:asciiTheme="majorBidi" w:eastAsia="楷体" w:hAnsiTheme="majorBidi" w:cstheme="majorBidi"/>
        </w:rPr>
        <w:t>，</w:t>
      </w:r>
      <w:r w:rsidRPr="001D3F02">
        <w:rPr>
          <w:rFonts w:asciiTheme="majorBidi" w:eastAsia="楷体" w:hAnsiTheme="majorBidi" w:cstheme="majorBidi"/>
        </w:rPr>
        <w:t>补编第</w:t>
      </w:r>
      <w:r>
        <w:rPr>
          <w:rFonts w:asciiTheme="majorBidi" w:eastAsia="楷体" w:hAnsiTheme="majorBidi" w:cstheme="majorBidi"/>
        </w:rPr>
        <w:t>1</w:t>
      </w:r>
      <w:r w:rsidRPr="001D3F02">
        <w:rPr>
          <w:rFonts w:asciiTheme="majorBidi" w:eastAsia="楷体" w:hAnsiTheme="majorBidi" w:cstheme="majorBidi"/>
        </w:rPr>
        <w:t>0</w:t>
      </w:r>
      <w:r w:rsidRPr="001D3F02">
        <w:rPr>
          <w:rFonts w:asciiTheme="majorBidi" w:eastAsia="楷体" w:hAnsiTheme="majorBidi" w:cstheme="majorBidi"/>
        </w:rPr>
        <w:t>号</w:t>
      </w:r>
      <w:r w:rsidRPr="001D3F02">
        <w:rPr>
          <w:rFonts w:asciiTheme="majorBidi" w:hAnsiTheme="majorBidi" w:cstheme="majorBidi"/>
        </w:rPr>
        <w:t>》</w:t>
      </w:r>
      <w:r>
        <w:rPr>
          <w:rFonts w:hint="eastAsia"/>
        </w:rPr>
        <w:t>(A/7</w:t>
      </w:r>
      <w:r w:rsidRPr="002A456C">
        <w:rPr>
          <w:rFonts w:hint="eastAsia"/>
        </w:rPr>
        <w:t>0</w:t>
      </w:r>
      <w:r>
        <w:rPr>
          <w:rFonts w:hint="eastAsia"/>
        </w:rPr>
        <w:t>/1</w:t>
      </w:r>
      <w:r w:rsidRPr="002A456C">
        <w:rPr>
          <w:rFonts w:hint="eastAsia"/>
        </w:rPr>
        <w:t>0</w:t>
      </w:r>
      <w:r>
        <w:rPr>
          <w:rFonts w:hint="eastAsia"/>
        </w:rPr>
        <w:t>)</w:t>
      </w:r>
      <w:r>
        <w:rPr>
          <w:rFonts w:hint="eastAsia"/>
        </w:rPr>
        <w:t>，</w:t>
      </w:r>
      <w:r w:rsidRPr="002A456C">
        <w:rPr>
          <w:rFonts w:hint="eastAsia"/>
        </w:rPr>
        <w:t>第</w:t>
      </w:r>
      <w:r>
        <w:rPr>
          <w:rFonts w:hint="eastAsia"/>
        </w:rPr>
        <w:t>294</w:t>
      </w:r>
      <w:r w:rsidRPr="002A456C">
        <w:rPr>
          <w:rFonts w:hint="eastAsia"/>
        </w:rPr>
        <w:t>段。</w:t>
      </w:r>
    </w:p>
  </w:footnote>
  <w:footnote w:id="1479">
    <w:p w:rsidR="00AB00DE" w:rsidRPr="00852022" w:rsidRDefault="00AB00DE" w:rsidP="00852022">
      <w:pPr>
        <w:pStyle w:val="a4"/>
        <w:spacing w:after="100" w:line="230" w:lineRule="exact"/>
        <w:rPr>
          <w:spacing w:val="-2"/>
        </w:rPr>
      </w:pPr>
      <w:r w:rsidRPr="002A456C">
        <w:rPr>
          <w:rFonts w:hint="eastAsia"/>
        </w:rPr>
        <w:tab/>
      </w:r>
      <w:r w:rsidRPr="008258F3">
        <w:rPr>
          <w:rStyle w:val="a5"/>
        </w:rPr>
        <w:footnoteRef/>
      </w:r>
      <w:r w:rsidRPr="002A456C">
        <w:rPr>
          <w:rFonts w:hint="eastAsia"/>
        </w:rPr>
        <w:tab/>
      </w:r>
      <w:r w:rsidRPr="00852022">
        <w:rPr>
          <w:rFonts w:hint="eastAsia"/>
          <w:spacing w:val="-2"/>
        </w:rPr>
        <w:t>见《</w:t>
      </w:r>
      <w:r w:rsidRPr="00852022">
        <w:rPr>
          <w:rFonts w:ascii="Time New Roman" w:eastAsia="楷体" w:hAnsi="Time New Roman" w:hint="eastAsia"/>
          <w:spacing w:val="-2"/>
        </w:rPr>
        <w:t>大会正式记录，第五十七届会议，补编第</w:t>
      </w:r>
      <w:r w:rsidRPr="00852022">
        <w:rPr>
          <w:rFonts w:ascii="Time New Roman" w:eastAsia="楷体" w:hAnsi="Time New Roman" w:hint="eastAsia"/>
          <w:spacing w:val="-2"/>
        </w:rPr>
        <w:t>10</w:t>
      </w:r>
      <w:r w:rsidRPr="00852022">
        <w:rPr>
          <w:rFonts w:ascii="Time New Roman" w:eastAsia="楷体" w:hAnsi="Time New Roman" w:hint="eastAsia"/>
          <w:spacing w:val="-2"/>
        </w:rPr>
        <w:t>号</w:t>
      </w:r>
      <w:r w:rsidRPr="00852022">
        <w:rPr>
          <w:rFonts w:hint="eastAsia"/>
          <w:spacing w:val="-2"/>
        </w:rPr>
        <w:t>》</w:t>
      </w:r>
      <w:r w:rsidRPr="00852022">
        <w:rPr>
          <w:rFonts w:hint="eastAsia"/>
          <w:spacing w:val="-2"/>
        </w:rPr>
        <w:t>(A/57/10)</w:t>
      </w:r>
      <w:r w:rsidRPr="00852022">
        <w:rPr>
          <w:rFonts w:hint="eastAsia"/>
          <w:spacing w:val="-2"/>
        </w:rPr>
        <w:t>，第</w:t>
      </w:r>
      <w:r w:rsidRPr="00852022">
        <w:rPr>
          <w:rFonts w:hint="eastAsia"/>
          <w:spacing w:val="-2"/>
        </w:rPr>
        <w:t>525</w:t>
      </w:r>
      <w:r w:rsidRPr="00852022">
        <w:rPr>
          <w:rFonts w:hint="eastAsia"/>
          <w:spacing w:val="-2"/>
        </w:rPr>
        <w:t>至</w:t>
      </w:r>
      <w:r w:rsidRPr="00852022">
        <w:rPr>
          <w:rFonts w:hint="eastAsia"/>
          <w:spacing w:val="-2"/>
        </w:rPr>
        <w:t>531</w:t>
      </w:r>
      <w:r w:rsidRPr="00852022">
        <w:rPr>
          <w:rFonts w:hint="eastAsia"/>
          <w:spacing w:val="-2"/>
        </w:rPr>
        <w:t>段；同上，《</w:t>
      </w:r>
      <w:r w:rsidRPr="00852022">
        <w:rPr>
          <w:rFonts w:ascii="Time New Roman" w:eastAsia="楷体" w:hAnsi="Time New Roman" w:hint="eastAsia"/>
          <w:spacing w:val="-2"/>
        </w:rPr>
        <w:t>第五十八届会议，补编第</w:t>
      </w:r>
      <w:r w:rsidRPr="00852022">
        <w:rPr>
          <w:rFonts w:ascii="Time New Roman" w:eastAsia="楷体" w:hAnsi="Time New Roman" w:hint="eastAsia"/>
          <w:spacing w:val="-2"/>
        </w:rPr>
        <w:t>10</w:t>
      </w:r>
      <w:r w:rsidRPr="00852022">
        <w:rPr>
          <w:rFonts w:ascii="Time New Roman" w:eastAsia="楷体" w:hAnsi="Time New Roman" w:hint="eastAsia"/>
          <w:spacing w:val="-2"/>
        </w:rPr>
        <w:t>号</w:t>
      </w:r>
      <w:r w:rsidRPr="00852022">
        <w:rPr>
          <w:rFonts w:hint="eastAsia"/>
          <w:spacing w:val="-2"/>
        </w:rPr>
        <w:t>》</w:t>
      </w:r>
      <w:r w:rsidRPr="00852022">
        <w:rPr>
          <w:rFonts w:hint="eastAsia"/>
          <w:spacing w:val="-2"/>
        </w:rPr>
        <w:t>(A/58/10)</w:t>
      </w:r>
      <w:r w:rsidRPr="00852022">
        <w:rPr>
          <w:rFonts w:hint="eastAsia"/>
          <w:spacing w:val="-2"/>
        </w:rPr>
        <w:t>，第</w:t>
      </w:r>
      <w:r w:rsidRPr="00852022">
        <w:rPr>
          <w:rFonts w:hint="eastAsia"/>
          <w:spacing w:val="-2"/>
        </w:rPr>
        <w:t>447</w:t>
      </w:r>
      <w:r w:rsidRPr="00852022">
        <w:rPr>
          <w:rFonts w:hint="eastAsia"/>
          <w:spacing w:val="-2"/>
        </w:rPr>
        <w:t>段；同上，《</w:t>
      </w:r>
      <w:r w:rsidRPr="00852022">
        <w:rPr>
          <w:rFonts w:ascii="Time New Roman" w:eastAsia="楷体" w:hAnsi="Time New Roman" w:hint="eastAsia"/>
          <w:spacing w:val="-2"/>
        </w:rPr>
        <w:t>第五十九届会议，补编第</w:t>
      </w:r>
      <w:r w:rsidRPr="00852022">
        <w:rPr>
          <w:rFonts w:ascii="Time New Roman" w:eastAsia="楷体" w:hAnsi="Time New Roman" w:hint="eastAsia"/>
          <w:spacing w:val="-2"/>
        </w:rPr>
        <w:t>10</w:t>
      </w:r>
      <w:r w:rsidRPr="00852022">
        <w:rPr>
          <w:rFonts w:ascii="Time New Roman" w:eastAsia="楷体" w:hAnsi="Time New Roman" w:hint="eastAsia"/>
          <w:spacing w:val="-2"/>
        </w:rPr>
        <w:t>号》</w:t>
      </w:r>
      <w:r w:rsidRPr="00852022">
        <w:rPr>
          <w:rFonts w:hint="eastAsia"/>
          <w:spacing w:val="-2"/>
        </w:rPr>
        <w:t>(A/59/10)</w:t>
      </w:r>
      <w:r w:rsidRPr="00852022">
        <w:rPr>
          <w:rFonts w:hint="eastAsia"/>
          <w:spacing w:val="-2"/>
        </w:rPr>
        <w:t>，第</w:t>
      </w:r>
      <w:r w:rsidRPr="00852022">
        <w:rPr>
          <w:rFonts w:hint="eastAsia"/>
          <w:spacing w:val="-2"/>
        </w:rPr>
        <w:t>369</w:t>
      </w:r>
      <w:r w:rsidRPr="00852022">
        <w:rPr>
          <w:rFonts w:hint="eastAsia"/>
          <w:spacing w:val="-2"/>
        </w:rPr>
        <w:t>段；同上，《</w:t>
      </w:r>
      <w:r w:rsidRPr="00852022">
        <w:rPr>
          <w:rFonts w:ascii="Time New Roman" w:eastAsia="楷体" w:hAnsi="Time New Roman" w:hint="eastAsia"/>
          <w:spacing w:val="-2"/>
        </w:rPr>
        <w:t>第六十届会议，补编第</w:t>
      </w:r>
      <w:r w:rsidRPr="00852022">
        <w:rPr>
          <w:rFonts w:ascii="Time New Roman" w:eastAsia="楷体" w:hAnsi="Time New Roman" w:hint="eastAsia"/>
          <w:spacing w:val="-2"/>
        </w:rPr>
        <w:t>10</w:t>
      </w:r>
      <w:r w:rsidRPr="00852022">
        <w:rPr>
          <w:rFonts w:ascii="Time New Roman" w:eastAsia="楷体" w:hAnsi="Time New Roman" w:hint="eastAsia"/>
          <w:spacing w:val="-2"/>
        </w:rPr>
        <w:t>号</w:t>
      </w:r>
      <w:r w:rsidRPr="00852022">
        <w:rPr>
          <w:rFonts w:hint="eastAsia"/>
          <w:spacing w:val="-2"/>
        </w:rPr>
        <w:t>》</w:t>
      </w:r>
      <w:r w:rsidRPr="00852022">
        <w:rPr>
          <w:rFonts w:hint="eastAsia"/>
          <w:spacing w:val="-2"/>
        </w:rPr>
        <w:t>(A/60/10)</w:t>
      </w:r>
      <w:r w:rsidRPr="00852022">
        <w:rPr>
          <w:rFonts w:hint="eastAsia"/>
          <w:spacing w:val="-2"/>
        </w:rPr>
        <w:t>，第</w:t>
      </w:r>
      <w:r w:rsidRPr="00852022">
        <w:rPr>
          <w:rFonts w:hint="eastAsia"/>
          <w:spacing w:val="-2"/>
        </w:rPr>
        <w:t>501</w:t>
      </w:r>
      <w:r w:rsidRPr="00852022">
        <w:rPr>
          <w:rFonts w:hint="eastAsia"/>
          <w:spacing w:val="-2"/>
        </w:rPr>
        <w:t>段；同上，《</w:t>
      </w:r>
      <w:r w:rsidRPr="00852022">
        <w:rPr>
          <w:rFonts w:ascii="Time New Roman" w:eastAsia="楷体" w:hAnsi="Time New Roman" w:hint="eastAsia"/>
          <w:spacing w:val="-2"/>
        </w:rPr>
        <w:t>第六十一届会议，补编第</w:t>
      </w:r>
      <w:r w:rsidRPr="00852022">
        <w:rPr>
          <w:rFonts w:ascii="Time New Roman" w:eastAsia="楷体" w:hAnsi="Time New Roman" w:hint="eastAsia"/>
          <w:spacing w:val="-2"/>
        </w:rPr>
        <w:t>10</w:t>
      </w:r>
      <w:r w:rsidRPr="00852022">
        <w:rPr>
          <w:rFonts w:ascii="Time New Roman" w:eastAsia="楷体" w:hAnsi="Time New Roman" w:hint="eastAsia"/>
          <w:spacing w:val="-2"/>
        </w:rPr>
        <w:t>号</w:t>
      </w:r>
      <w:r w:rsidRPr="00852022">
        <w:rPr>
          <w:rFonts w:hint="eastAsia"/>
          <w:spacing w:val="-2"/>
        </w:rPr>
        <w:t>》</w:t>
      </w:r>
      <w:r w:rsidRPr="00852022">
        <w:rPr>
          <w:rFonts w:hint="eastAsia"/>
          <w:spacing w:val="-2"/>
        </w:rPr>
        <w:t>(A/61/10)</w:t>
      </w:r>
      <w:r w:rsidRPr="00852022">
        <w:rPr>
          <w:rFonts w:hint="eastAsia"/>
          <w:spacing w:val="-2"/>
        </w:rPr>
        <w:t>，第</w:t>
      </w:r>
      <w:r w:rsidRPr="00852022">
        <w:rPr>
          <w:rFonts w:hint="eastAsia"/>
          <w:spacing w:val="-2"/>
        </w:rPr>
        <w:t>269</w:t>
      </w:r>
      <w:r w:rsidRPr="00852022">
        <w:rPr>
          <w:rFonts w:hint="eastAsia"/>
          <w:spacing w:val="-2"/>
        </w:rPr>
        <w:t>段；同上，《</w:t>
      </w:r>
      <w:r w:rsidRPr="00852022">
        <w:rPr>
          <w:rFonts w:ascii="Time New Roman" w:eastAsia="楷体" w:hAnsi="Time New Roman" w:hint="eastAsia"/>
          <w:spacing w:val="-2"/>
        </w:rPr>
        <w:t>第六十二届会议，补编第</w:t>
      </w:r>
      <w:r w:rsidRPr="00852022">
        <w:rPr>
          <w:rFonts w:ascii="Time New Roman" w:eastAsia="楷体" w:hAnsi="Time New Roman" w:hint="eastAsia"/>
          <w:spacing w:val="-2"/>
        </w:rPr>
        <w:t>10</w:t>
      </w:r>
      <w:r w:rsidRPr="00852022">
        <w:rPr>
          <w:rFonts w:ascii="Time New Roman" w:eastAsia="楷体" w:hAnsi="Time New Roman" w:hint="eastAsia"/>
          <w:spacing w:val="-2"/>
        </w:rPr>
        <w:t>号</w:t>
      </w:r>
      <w:r w:rsidRPr="00852022">
        <w:rPr>
          <w:rFonts w:hint="eastAsia"/>
          <w:spacing w:val="-2"/>
        </w:rPr>
        <w:t>》</w:t>
      </w:r>
      <w:r w:rsidRPr="00852022">
        <w:rPr>
          <w:rFonts w:hint="eastAsia"/>
          <w:spacing w:val="-2"/>
        </w:rPr>
        <w:t>(A/62/10)</w:t>
      </w:r>
      <w:r w:rsidRPr="00852022">
        <w:rPr>
          <w:rFonts w:hint="eastAsia"/>
          <w:spacing w:val="-2"/>
        </w:rPr>
        <w:t>，第</w:t>
      </w:r>
      <w:r w:rsidRPr="00852022">
        <w:rPr>
          <w:rFonts w:hint="eastAsia"/>
          <w:spacing w:val="-2"/>
        </w:rPr>
        <w:t>379</w:t>
      </w:r>
      <w:r w:rsidRPr="00852022">
        <w:rPr>
          <w:rFonts w:hint="eastAsia"/>
          <w:spacing w:val="-2"/>
        </w:rPr>
        <w:t>段；同上，《</w:t>
      </w:r>
      <w:r w:rsidRPr="00852022">
        <w:rPr>
          <w:rFonts w:ascii="Time New Roman" w:eastAsia="楷体" w:hAnsi="Time New Roman" w:hint="eastAsia"/>
          <w:spacing w:val="-2"/>
        </w:rPr>
        <w:t>第六十三届会议，补编第</w:t>
      </w:r>
      <w:r w:rsidRPr="00852022">
        <w:rPr>
          <w:rFonts w:ascii="Time New Roman" w:eastAsia="楷体" w:hAnsi="Time New Roman" w:hint="eastAsia"/>
          <w:spacing w:val="-2"/>
        </w:rPr>
        <w:t>10</w:t>
      </w:r>
      <w:r w:rsidRPr="00852022">
        <w:rPr>
          <w:rFonts w:ascii="Time New Roman" w:eastAsia="楷体" w:hAnsi="Time New Roman" w:hint="eastAsia"/>
          <w:spacing w:val="-2"/>
        </w:rPr>
        <w:t>号</w:t>
      </w:r>
      <w:r w:rsidRPr="00852022">
        <w:rPr>
          <w:rFonts w:hint="eastAsia"/>
          <w:spacing w:val="-2"/>
        </w:rPr>
        <w:t>》</w:t>
      </w:r>
      <w:r w:rsidRPr="00852022">
        <w:rPr>
          <w:rFonts w:hint="eastAsia"/>
          <w:spacing w:val="-2"/>
        </w:rPr>
        <w:t>(A/63/10)</w:t>
      </w:r>
      <w:r w:rsidRPr="00852022">
        <w:rPr>
          <w:rFonts w:hint="eastAsia"/>
          <w:spacing w:val="-2"/>
        </w:rPr>
        <w:t>，第</w:t>
      </w:r>
      <w:r w:rsidRPr="00852022">
        <w:rPr>
          <w:rFonts w:hint="eastAsia"/>
          <w:spacing w:val="-2"/>
        </w:rPr>
        <w:t>358</w:t>
      </w:r>
      <w:r w:rsidRPr="00852022">
        <w:rPr>
          <w:rFonts w:hint="eastAsia"/>
          <w:spacing w:val="-2"/>
        </w:rPr>
        <w:t>段；同上，《</w:t>
      </w:r>
      <w:r w:rsidRPr="00852022">
        <w:rPr>
          <w:rFonts w:ascii="Time New Roman" w:eastAsia="楷体" w:hAnsi="Time New Roman" w:hint="eastAsia"/>
          <w:spacing w:val="-2"/>
        </w:rPr>
        <w:t>第六十四届会议，补编第</w:t>
      </w:r>
      <w:r w:rsidRPr="00852022">
        <w:rPr>
          <w:rFonts w:ascii="Time New Roman" w:eastAsia="楷体" w:hAnsi="Time New Roman" w:hint="eastAsia"/>
          <w:spacing w:val="-2"/>
        </w:rPr>
        <w:t>10</w:t>
      </w:r>
      <w:r w:rsidRPr="00852022">
        <w:rPr>
          <w:rFonts w:ascii="Time New Roman" w:eastAsia="楷体" w:hAnsi="Time New Roman" w:hint="eastAsia"/>
          <w:spacing w:val="-2"/>
        </w:rPr>
        <w:t>号</w:t>
      </w:r>
      <w:r w:rsidRPr="00852022">
        <w:rPr>
          <w:rFonts w:hint="eastAsia"/>
          <w:spacing w:val="-2"/>
        </w:rPr>
        <w:t>》</w:t>
      </w:r>
      <w:r w:rsidRPr="00852022">
        <w:rPr>
          <w:rFonts w:hint="eastAsia"/>
          <w:spacing w:val="-2"/>
        </w:rPr>
        <w:t>(A/64/10)</w:t>
      </w:r>
      <w:r w:rsidRPr="00852022">
        <w:rPr>
          <w:rFonts w:hint="eastAsia"/>
          <w:spacing w:val="-2"/>
        </w:rPr>
        <w:t>，第</w:t>
      </w:r>
      <w:r w:rsidRPr="00852022">
        <w:rPr>
          <w:rFonts w:hint="eastAsia"/>
          <w:spacing w:val="-2"/>
        </w:rPr>
        <w:t>240</w:t>
      </w:r>
      <w:r w:rsidRPr="00852022">
        <w:rPr>
          <w:rFonts w:hint="eastAsia"/>
          <w:spacing w:val="-2"/>
        </w:rPr>
        <w:t>段；同上，《</w:t>
      </w:r>
      <w:r w:rsidRPr="00852022">
        <w:rPr>
          <w:rFonts w:ascii="Time New Roman" w:eastAsia="楷体" w:hAnsi="Time New Roman" w:hint="eastAsia"/>
          <w:spacing w:val="-2"/>
        </w:rPr>
        <w:t>第六十五届会议，补编第</w:t>
      </w:r>
      <w:r w:rsidRPr="00852022">
        <w:rPr>
          <w:rFonts w:ascii="Time New Roman" w:eastAsia="楷体" w:hAnsi="Time New Roman" w:hint="eastAsia"/>
          <w:spacing w:val="-2"/>
        </w:rPr>
        <w:t>10</w:t>
      </w:r>
      <w:r w:rsidRPr="00852022">
        <w:rPr>
          <w:rFonts w:ascii="Time New Roman" w:eastAsia="楷体" w:hAnsi="Time New Roman" w:hint="eastAsia"/>
          <w:spacing w:val="-2"/>
        </w:rPr>
        <w:t>号</w:t>
      </w:r>
      <w:r w:rsidRPr="00852022">
        <w:rPr>
          <w:rFonts w:hint="eastAsia"/>
          <w:spacing w:val="-2"/>
        </w:rPr>
        <w:t>》</w:t>
      </w:r>
      <w:r w:rsidRPr="00852022">
        <w:rPr>
          <w:rFonts w:hint="eastAsia"/>
          <w:spacing w:val="-2"/>
        </w:rPr>
        <w:t>(A/65/10)</w:t>
      </w:r>
      <w:r w:rsidRPr="00852022">
        <w:rPr>
          <w:rFonts w:hint="eastAsia"/>
          <w:spacing w:val="-2"/>
        </w:rPr>
        <w:t>，第</w:t>
      </w:r>
      <w:r w:rsidRPr="00852022">
        <w:rPr>
          <w:rFonts w:hint="eastAsia"/>
          <w:spacing w:val="-2"/>
        </w:rPr>
        <w:t>396</w:t>
      </w:r>
      <w:r w:rsidRPr="00852022">
        <w:rPr>
          <w:rFonts w:hint="eastAsia"/>
          <w:spacing w:val="-2"/>
        </w:rPr>
        <w:t>段和同上，《第</w:t>
      </w:r>
      <w:r w:rsidRPr="00852022">
        <w:rPr>
          <w:rFonts w:ascii="Time New Roman" w:eastAsia="楷体" w:hAnsi="Time New Roman" w:hint="eastAsia"/>
          <w:spacing w:val="-2"/>
        </w:rPr>
        <w:t>六十六届会议</w:t>
      </w:r>
      <w:r w:rsidRPr="00852022">
        <w:rPr>
          <w:rFonts w:hint="eastAsia"/>
          <w:spacing w:val="-2"/>
        </w:rPr>
        <w:t>，</w:t>
      </w:r>
      <w:r w:rsidRPr="00852022">
        <w:rPr>
          <w:rFonts w:ascii="Time New Roman" w:eastAsia="楷体" w:hAnsi="Time New Roman" w:hint="eastAsia"/>
          <w:spacing w:val="-2"/>
        </w:rPr>
        <w:t>补编第</w:t>
      </w:r>
      <w:r w:rsidRPr="00852022">
        <w:rPr>
          <w:rFonts w:ascii="Time New Roman" w:eastAsia="楷体" w:hAnsi="Time New Roman" w:hint="eastAsia"/>
          <w:spacing w:val="-2"/>
        </w:rPr>
        <w:t>10</w:t>
      </w:r>
      <w:r w:rsidRPr="00852022">
        <w:rPr>
          <w:rFonts w:ascii="Time New Roman" w:eastAsia="楷体" w:hAnsi="Time New Roman" w:hint="eastAsia"/>
          <w:spacing w:val="-2"/>
        </w:rPr>
        <w:t>号</w:t>
      </w:r>
      <w:r w:rsidRPr="00852022">
        <w:rPr>
          <w:rFonts w:hint="eastAsia"/>
          <w:spacing w:val="-2"/>
        </w:rPr>
        <w:t>》</w:t>
      </w:r>
      <w:r w:rsidRPr="00852022">
        <w:rPr>
          <w:rFonts w:hint="eastAsia"/>
          <w:spacing w:val="-2"/>
        </w:rPr>
        <w:t>(A/66/10)</w:t>
      </w:r>
      <w:r w:rsidRPr="00852022">
        <w:rPr>
          <w:rFonts w:hint="eastAsia"/>
          <w:spacing w:val="-2"/>
        </w:rPr>
        <w:t>，第</w:t>
      </w:r>
      <w:r w:rsidRPr="00852022">
        <w:rPr>
          <w:rFonts w:hint="eastAsia"/>
          <w:spacing w:val="-2"/>
        </w:rPr>
        <w:t>399</w:t>
      </w:r>
      <w:r w:rsidRPr="00852022">
        <w:rPr>
          <w:rFonts w:hint="eastAsia"/>
          <w:spacing w:val="-2"/>
        </w:rPr>
        <w:t>段；同上，《</w:t>
      </w:r>
      <w:r w:rsidRPr="00852022">
        <w:rPr>
          <w:rFonts w:ascii="Time New Roman" w:eastAsia="楷体" w:hAnsi="Time New Roman" w:hint="eastAsia"/>
          <w:spacing w:val="-2"/>
        </w:rPr>
        <w:t>第六十七届会议，补编第</w:t>
      </w:r>
      <w:r w:rsidRPr="00852022">
        <w:rPr>
          <w:rFonts w:ascii="Time New Roman" w:eastAsia="楷体" w:hAnsi="Time New Roman" w:hint="eastAsia"/>
          <w:spacing w:val="-2"/>
        </w:rPr>
        <w:t>10</w:t>
      </w:r>
      <w:r w:rsidRPr="00852022">
        <w:rPr>
          <w:rFonts w:ascii="Time New Roman" w:eastAsia="楷体" w:hAnsi="Time New Roman" w:hint="eastAsia"/>
          <w:spacing w:val="-2"/>
        </w:rPr>
        <w:t>号</w:t>
      </w:r>
      <w:r w:rsidRPr="00852022">
        <w:rPr>
          <w:rFonts w:hint="eastAsia"/>
          <w:spacing w:val="-2"/>
        </w:rPr>
        <w:t>》</w:t>
      </w:r>
      <w:r w:rsidRPr="00852022">
        <w:rPr>
          <w:rFonts w:hint="eastAsia"/>
          <w:spacing w:val="-2"/>
        </w:rPr>
        <w:t>(A/67/10)</w:t>
      </w:r>
      <w:r w:rsidRPr="00852022">
        <w:rPr>
          <w:rFonts w:hint="eastAsia"/>
          <w:spacing w:val="-2"/>
        </w:rPr>
        <w:t>，第</w:t>
      </w:r>
      <w:r w:rsidRPr="00852022">
        <w:rPr>
          <w:rFonts w:hint="eastAsia"/>
          <w:spacing w:val="-2"/>
        </w:rPr>
        <w:t>280</w:t>
      </w:r>
      <w:r w:rsidRPr="00852022">
        <w:rPr>
          <w:rFonts w:hint="eastAsia"/>
          <w:spacing w:val="-2"/>
        </w:rPr>
        <w:t>段；同上，《</w:t>
      </w:r>
      <w:r w:rsidRPr="00852022">
        <w:rPr>
          <w:rFonts w:ascii="Time New Roman" w:eastAsia="楷体" w:hAnsi="Time New Roman" w:hint="eastAsia"/>
          <w:spacing w:val="-2"/>
        </w:rPr>
        <w:t>第六十八届会议，补编第</w:t>
      </w:r>
      <w:r w:rsidRPr="00852022">
        <w:rPr>
          <w:rFonts w:ascii="Time New Roman" w:eastAsia="楷体" w:hAnsi="Time New Roman" w:hint="eastAsia"/>
          <w:spacing w:val="-2"/>
        </w:rPr>
        <w:t>10</w:t>
      </w:r>
      <w:r w:rsidRPr="00852022">
        <w:rPr>
          <w:rFonts w:ascii="Time New Roman" w:eastAsia="楷体" w:hAnsi="Time New Roman" w:hint="eastAsia"/>
          <w:spacing w:val="-2"/>
        </w:rPr>
        <w:t>号</w:t>
      </w:r>
      <w:r w:rsidRPr="00852022">
        <w:rPr>
          <w:rFonts w:hint="eastAsia"/>
          <w:spacing w:val="-2"/>
        </w:rPr>
        <w:t>》</w:t>
      </w:r>
      <w:r w:rsidRPr="00852022">
        <w:rPr>
          <w:rFonts w:hint="eastAsia"/>
          <w:spacing w:val="-2"/>
        </w:rPr>
        <w:t>(A/68/10)</w:t>
      </w:r>
      <w:r w:rsidRPr="00852022">
        <w:rPr>
          <w:rFonts w:hint="eastAsia"/>
          <w:spacing w:val="-2"/>
        </w:rPr>
        <w:t>，第</w:t>
      </w:r>
      <w:r w:rsidRPr="00852022">
        <w:rPr>
          <w:rFonts w:hint="eastAsia"/>
          <w:spacing w:val="-2"/>
        </w:rPr>
        <w:t>181</w:t>
      </w:r>
      <w:r w:rsidRPr="00852022">
        <w:rPr>
          <w:rFonts w:hint="eastAsia"/>
          <w:spacing w:val="-2"/>
        </w:rPr>
        <w:t>段；同上，《</w:t>
      </w:r>
      <w:r w:rsidRPr="00852022">
        <w:rPr>
          <w:rFonts w:ascii="Time New Roman" w:eastAsia="楷体" w:hAnsi="Time New Roman" w:hint="eastAsia"/>
          <w:spacing w:val="-2"/>
        </w:rPr>
        <w:t>第六十九届会议，补编第</w:t>
      </w:r>
      <w:r w:rsidRPr="00852022">
        <w:rPr>
          <w:rFonts w:ascii="Time New Roman" w:eastAsia="楷体" w:hAnsi="Time New Roman" w:hint="eastAsia"/>
          <w:spacing w:val="-2"/>
        </w:rPr>
        <w:t>10</w:t>
      </w:r>
      <w:r w:rsidRPr="00852022">
        <w:rPr>
          <w:rFonts w:ascii="Time New Roman" w:eastAsia="楷体" w:hAnsi="Time New Roman" w:hint="eastAsia"/>
          <w:spacing w:val="-2"/>
        </w:rPr>
        <w:t>号</w:t>
      </w:r>
      <w:r w:rsidRPr="00852022">
        <w:rPr>
          <w:rFonts w:hint="eastAsia"/>
          <w:spacing w:val="-2"/>
        </w:rPr>
        <w:t>》</w:t>
      </w:r>
      <w:r w:rsidRPr="00852022">
        <w:rPr>
          <w:rFonts w:hint="eastAsia"/>
          <w:spacing w:val="-2"/>
        </w:rPr>
        <w:t>(A/69/10)</w:t>
      </w:r>
      <w:r w:rsidRPr="00852022">
        <w:rPr>
          <w:rFonts w:hint="eastAsia"/>
          <w:spacing w:val="-2"/>
        </w:rPr>
        <w:t>，第</w:t>
      </w:r>
      <w:r w:rsidRPr="00852022">
        <w:rPr>
          <w:rFonts w:hint="eastAsia"/>
          <w:spacing w:val="-2"/>
        </w:rPr>
        <w:t>281</w:t>
      </w:r>
      <w:r w:rsidRPr="00852022">
        <w:rPr>
          <w:rFonts w:hint="eastAsia"/>
          <w:spacing w:val="-2"/>
        </w:rPr>
        <w:t>段；和同上，《</w:t>
      </w:r>
      <w:r w:rsidRPr="00852022">
        <w:rPr>
          <w:rFonts w:ascii="Time New Roman" w:eastAsia="楷体" w:hAnsi="Time New Roman" w:hint="eastAsia"/>
          <w:spacing w:val="-2"/>
        </w:rPr>
        <w:t>第七十届会议，补编第</w:t>
      </w:r>
      <w:r w:rsidRPr="00852022">
        <w:rPr>
          <w:rFonts w:ascii="Time New Roman" w:eastAsia="楷体" w:hAnsi="Time New Roman" w:hint="eastAsia"/>
          <w:spacing w:val="-2"/>
        </w:rPr>
        <w:t>10</w:t>
      </w:r>
      <w:r w:rsidRPr="00852022">
        <w:rPr>
          <w:rFonts w:ascii="Time New Roman" w:eastAsia="楷体" w:hAnsi="Time New Roman" w:hint="eastAsia"/>
          <w:spacing w:val="-2"/>
        </w:rPr>
        <w:t>号</w:t>
      </w:r>
      <w:r w:rsidRPr="00852022">
        <w:rPr>
          <w:rFonts w:hint="eastAsia"/>
          <w:spacing w:val="-2"/>
        </w:rPr>
        <w:t>》</w:t>
      </w:r>
      <w:r w:rsidRPr="00852022">
        <w:rPr>
          <w:rFonts w:hint="eastAsia"/>
          <w:spacing w:val="-2"/>
        </w:rPr>
        <w:t>(A/70/10)</w:t>
      </w:r>
      <w:r w:rsidRPr="00852022">
        <w:rPr>
          <w:rFonts w:hint="eastAsia"/>
          <w:spacing w:val="-2"/>
        </w:rPr>
        <w:t>，第</w:t>
      </w:r>
      <w:r w:rsidRPr="00852022">
        <w:rPr>
          <w:rFonts w:hint="eastAsia"/>
          <w:spacing w:val="-2"/>
        </w:rPr>
        <w:t>299</w:t>
      </w:r>
      <w:r w:rsidRPr="00852022">
        <w:rPr>
          <w:rFonts w:hint="eastAsia"/>
          <w:spacing w:val="-2"/>
        </w:rPr>
        <w:t>段。</w:t>
      </w:r>
    </w:p>
  </w:footnote>
  <w:footnote w:id="1480">
    <w:p w:rsidR="00AB00DE" w:rsidRPr="002A456C" w:rsidRDefault="00AB00DE" w:rsidP="00813081">
      <w:pPr>
        <w:pStyle w:val="aa"/>
      </w:pPr>
      <w:r w:rsidRPr="002A456C">
        <w:rPr>
          <w:rFonts w:hint="eastAsia"/>
        </w:rPr>
        <w:tab/>
      </w:r>
      <w:r w:rsidRPr="008258F3">
        <w:rPr>
          <w:rStyle w:val="a5"/>
        </w:rPr>
        <w:footnoteRef/>
      </w:r>
      <w:r w:rsidRPr="002A456C">
        <w:rPr>
          <w:rFonts w:hint="eastAsia"/>
        </w:rPr>
        <w:tab/>
      </w:r>
      <w:r w:rsidRPr="002A456C">
        <w:rPr>
          <w:rFonts w:hint="eastAsia"/>
        </w:rPr>
        <w:t>见</w:t>
      </w:r>
      <w:r>
        <w:rPr>
          <w:rFonts w:eastAsiaTheme="minorEastAsia" w:hint="eastAsia"/>
        </w:rPr>
        <w:t>同上，</w:t>
      </w:r>
      <w:r w:rsidRPr="002A456C">
        <w:rPr>
          <w:rFonts w:hint="eastAsia"/>
        </w:rPr>
        <w:t>《</w:t>
      </w:r>
      <w:r w:rsidRPr="001D3F02">
        <w:rPr>
          <w:rFonts w:ascii="Time New Roman" w:eastAsia="楷体" w:hAnsi="Time New Roman" w:hint="eastAsia"/>
        </w:rPr>
        <w:t>第六十二届会议</w:t>
      </w:r>
      <w:r>
        <w:rPr>
          <w:rFonts w:ascii="Time New Roman" w:eastAsia="楷体" w:hAnsi="Time New Roman" w:hint="eastAsia"/>
        </w:rPr>
        <w:t>，</w:t>
      </w:r>
      <w:r w:rsidRPr="001D3F02">
        <w:rPr>
          <w:rFonts w:ascii="Time New Roman" w:eastAsia="楷体" w:hAnsi="Time New Roman" w:hint="eastAsia"/>
        </w:rPr>
        <w:t>补编第</w:t>
      </w:r>
      <w:r>
        <w:rPr>
          <w:rFonts w:ascii="Time New Roman" w:eastAsia="楷体" w:hAnsi="Time New Roman" w:hint="eastAsia"/>
        </w:rPr>
        <w:t>1</w:t>
      </w:r>
      <w:r w:rsidRPr="001D3F02">
        <w:rPr>
          <w:rFonts w:ascii="Time New Roman" w:eastAsia="楷体" w:hAnsi="Time New Roman" w:hint="eastAsia"/>
        </w:rPr>
        <w:t>0</w:t>
      </w:r>
      <w:r w:rsidRPr="001D3F02">
        <w:rPr>
          <w:rFonts w:ascii="Time New Roman" w:eastAsia="楷体" w:hAnsi="Time New Roman" w:hint="eastAsia"/>
        </w:rPr>
        <w:t>号</w:t>
      </w:r>
      <w:r w:rsidRPr="002A456C">
        <w:rPr>
          <w:rFonts w:hint="eastAsia"/>
        </w:rPr>
        <w:t>》</w:t>
      </w:r>
      <w:r>
        <w:rPr>
          <w:rFonts w:hint="eastAsia"/>
        </w:rPr>
        <w:t>(A/62/1</w:t>
      </w:r>
      <w:r w:rsidRPr="002A456C">
        <w:rPr>
          <w:rFonts w:hint="eastAsia"/>
        </w:rPr>
        <w:t>0</w:t>
      </w:r>
      <w:r>
        <w:rPr>
          <w:rFonts w:hint="eastAsia"/>
        </w:rPr>
        <w:t>)</w:t>
      </w:r>
      <w:r>
        <w:rPr>
          <w:rFonts w:hint="eastAsia"/>
        </w:rPr>
        <w:t>，</w:t>
      </w:r>
      <w:r w:rsidRPr="002A456C">
        <w:rPr>
          <w:rFonts w:hint="eastAsia"/>
        </w:rPr>
        <w:t>第</w:t>
      </w:r>
      <w:r>
        <w:rPr>
          <w:rFonts w:hint="eastAsia"/>
        </w:rPr>
        <w:t>387</w:t>
      </w:r>
      <w:r w:rsidRPr="002A456C">
        <w:rPr>
          <w:rFonts w:hint="eastAsia"/>
        </w:rPr>
        <w:t>-</w:t>
      </w:r>
      <w:r>
        <w:rPr>
          <w:rFonts w:hint="eastAsia"/>
        </w:rPr>
        <w:t>395</w:t>
      </w:r>
      <w:r w:rsidRPr="002A456C">
        <w:rPr>
          <w:rFonts w:hint="eastAsia"/>
        </w:rPr>
        <w:t>段。另见同上</w:t>
      </w:r>
      <w:r>
        <w:rPr>
          <w:rFonts w:hint="eastAsia"/>
        </w:rPr>
        <w:t>，</w:t>
      </w:r>
      <w:r w:rsidRPr="002A456C">
        <w:rPr>
          <w:rFonts w:hint="eastAsia"/>
        </w:rPr>
        <w:t>《第六十八届会议</w:t>
      </w:r>
      <w:r>
        <w:rPr>
          <w:rFonts w:hint="eastAsia"/>
        </w:rPr>
        <w:t>，</w:t>
      </w:r>
      <w:r w:rsidRPr="002A456C">
        <w:rPr>
          <w:rFonts w:hint="eastAsia"/>
        </w:rPr>
        <w:t>补编第</w:t>
      </w:r>
      <w:r>
        <w:rPr>
          <w:rFonts w:hint="eastAsia"/>
        </w:rPr>
        <w:t>1</w:t>
      </w:r>
      <w:r w:rsidRPr="002A456C">
        <w:rPr>
          <w:rFonts w:hint="eastAsia"/>
        </w:rPr>
        <w:t>0</w:t>
      </w:r>
      <w:r w:rsidRPr="002A456C">
        <w:rPr>
          <w:rFonts w:hint="eastAsia"/>
        </w:rPr>
        <w:t>号》</w:t>
      </w:r>
      <w:r>
        <w:rPr>
          <w:rFonts w:hint="eastAsia"/>
        </w:rPr>
        <w:t>(A/68/1</w:t>
      </w:r>
      <w:r w:rsidRPr="002A456C">
        <w:rPr>
          <w:rFonts w:hint="eastAsia"/>
        </w:rPr>
        <w:t>0</w:t>
      </w:r>
      <w:r>
        <w:rPr>
          <w:rFonts w:hint="eastAsia"/>
        </w:rPr>
        <w:t>)</w:t>
      </w:r>
      <w:r>
        <w:rPr>
          <w:rFonts w:hint="eastAsia"/>
        </w:rPr>
        <w:t>，</w:t>
      </w:r>
      <w:r w:rsidRPr="002A456C">
        <w:rPr>
          <w:rFonts w:hint="eastAsia"/>
        </w:rPr>
        <w:t>第</w:t>
      </w:r>
      <w:r>
        <w:rPr>
          <w:rFonts w:hint="eastAsia"/>
        </w:rPr>
        <w:t>185</w:t>
      </w:r>
      <w:r w:rsidRPr="002A456C">
        <w:rPr>
          <w:rFonts w:hint="eastAsia"/>
        </w:rPr>
        <w:t>段。</w:t>
      </w:r>
    </w:p>
  </w:footnote>
  <w:footnote w:id="1481">
    <w:p w:rsidR="00AB00DE" w:rsidRPr="002A456C" w:rsidRDefault="00AB00DE" w:rsidP="00813081">
      <w:pPr>
        <w:pStyle w:val="aa"/>
      </w:pPr>
      <w:r w:rsidRPr="002A456C">
        <w:tab/>
      </w:r>
      <w:r w:rsidRPr="008258F3">
        <w:rPr>
          <w:rStyle w:val="a5"/>
        </w:rPr>
        <w:footnoteRef/>
      </w:r>
      <w:r w:rsidRPr="002A456C">
        <w:tab/>
      </w:r>
      <w:r>
        <w:rPr>
          <w:rFonts w:hint="eastAsia"/>
        </w:rPr>
        <w:t>http://legal.un.org//ilc</w:t>
      </w:r>
      <w:r w:rsidRPr="002A456C">
        <w:rPr>
          <w:rFonts w:hint="eastAsia"/>
        </w:rPr>
        <w:t>。</w:t>
      </w:r>
    </w:p>
  </w:footnote>
  <w:footnote w:id="1482">
    <w:p w:rsidR="00AB00DE" w:rsidRPr="002A456C" w:rsidRDefault="00AB00DE" w:rsidP="00813081">
      <w:pPr>
        <w:pStyle w:val="aa"/>
      </w:pPr>
      <w:r w:rsidRPr="002A456C">
        <w:tab/>
      </w:r>
      <w:r w:rsidRPr="008258F3">
        <w:rPr>
          <w:rStyle w:val="a5"/>
        </w:rPr>
        <w:footnoteRef/>
      </w:r>
      <w:r w:rsidRPr="002A456C">
        <w:tab/>
      </w:r>
      <w:r w:rsidRPr="002A456C">
        <w:rPr>
          <w:rFonts w:hint="eastAsia"/>
        </w:rPr>
        <w:t>一般可查阅</w:t>
      </w:r>
      <w:r>
        <w:rPr>
          <w:rFonts w:hint="eastAsia"/>
        </w:rPr>
        <w:t>：</w:t>
      </w:r>
      <w:r w:rsidRPr="002A456C">
        <w:rPr>
          <w:rFonts w:hint="eastAsia"/>
        </w:rPr>
        <w:t>&lt;</w:t>
      </w:r>
      <w:r>
        <w:rPr>
          <w:rFonts w:hint="eastAsia"/>
        </w:rPr>
        <w:t>http://www</w:t>
      </w:r>
      <w:r w:rsidRPr="002A456C">
        <w:rPr>
          <w:rFonts w:hint="eastAsia"/>
        </w:rPr>
        <w:t>.</w:t>
      </w:r>
      <w:r>
        <w:rPr>
          <w:rFonts w:hint="eastAsia"/>
        </w:rPr>
        <w:t>un</w:t>
      </w:r>
      <w:r w:rsidRPr="002A456C">
        <w:rPr>
          <w:rFonts w:hint="eastAsia"/>
        </w:rPr>
        <w:t>.</w:t>
      </w:r>
      <w:r>
        <w:rPr>
          <w:rFonts w:hint="eastAsia"/>
        </w:rPr>
        <w:t>org/law/lindex</w:t>
      </w:r>
      <w:r w:rsidRPr="002A456C">
        <w:rPr>
          <w:rFonts w:hint="eastAsia"/>
        </w:rPr>
        <w:t>.</w:t>
      </w:r>
      <w:r>
        <w:rPr>
          <w:rFonts w:hint="eastAsia"/>
        </w:rPr>
        <w:t>htm</w:t>
      </w:r>
      <w:r w:rsidRPr="002A456C">
        <w:rPr>
          <w:rFonts w:hint="eastAsia"/>
        </w:rPr>
        <w:t>&gt;</w:t>
      </w:r>
      <w:r w:rsidRPr="002A456C">
        <w:rPr>
          <w:rFonts w:hint="eastAsia"/>
        </w:rPr>
        <w:t>。</w:t>
      </w:r>
    </w:p>
  </w:footnote>
  <w:footnote w:id="1483">
    <w:p w:rsidR="00AB00DE" w:rsidRPr="00BB0E98" w:rsidRDefault="00AB00DE" w:rsidP="00813081">
      <w:pPr>
        <w:pStyle w:val="a4"/>
        <w:rPr>
          <w:rFonts w:eastAsiaTheme="minorEastAsia"/>
        </w:rPr>
      </w:pPr>
      <w:r>
        <w:tab/>
      </w:r>
      <w:r w:rsidRPr="008258F3">
        <w:rPr>
          <w:rStyle w:val="a5"/>
        </w:rPr>
        <w:footnoteRef/>
      </w:r>
      <w:r>
        <w:rPr>
          <w:rFonts w:hint="eastAsia"/>
        </w:rPr>
        <w:tab/>
      </w:r>
      <w:hyperlink r:id="rId355" w:history="1">
        <w:r>
          <w:rPr>
            <w:rStyle w:val="af"/>
          </w:rPr>
          <w:t>www</w:t>
        </w:r>
        <w:r w:rsidRPr="001C178C">
          <w:rPr>
            <w:rStyle w:val="af"/>
          </w:rPr>
          <w:t>.</w:t>
        </w:r>
        <w:r>
          <w:rPr>
            <w:rStyle w:val="af"/>
          </w:rPr>
          <w:t>un</w:t>
        </w:r>
        <w:r w:rsidRPr="001C178C">
          <w:rPr>
            <w:rStyle w:val="af"/>
          </w:rPr>
          <w:t>.</w:t>
        </w:r>
        <w:r>
          <w:rPr>
            <w:rStyle w:val="af"/>
          </w:rPr>
          <w:t>org/law/avl/</w:t>
        </w:r>
      </w:hyperlink>
      <w:r>
        <w:rPr>
          <w:rFonts w:eastAsiaTheme="minorEastAsia" w:hint="eastAsia"/>
        </w:rPr>
        <w:t>。</w:t>
      </w:r>
    </w:p>
  </w:footnote>
  <w:footnote w:id="1484">
    <w:p w:rsidR="00AB00DE" w:rsidRPr="002A456C" w:rsidRDefault="00AB00DE" w:rsidP="00813081">
      <w:pPr>
        <w:pStyle w:val="aa"/>
      </w:pPr>
      <w:r>
        <w:rPr>
          <w:rFonts w:hint="eastAsia"/>
        </w:rPr>
        <w:tab/>
      </w:r>
      <w:r w:rsidRPr="008258F3">
        <w:rPr>
          <w:rStyle w:val="a5"/>
        </w:rPr>
        <w:footnoteRef/>
      </w:r>
      <w:r>
        <w:rPr>
          <w:rFonts w:hint="eastAsia"/>
        </w:rPr>
        <w:tab/>
      </w:r>
      <w:r w:rsidRPr="002A456C">
        <w:t>这一发言载于该次会议简要记录。</w:t>
      </w:r>
    </w:p>
  </w:footnote>
  <w:footnote w:id="1485">
    <w:p w:rsidR="00AB00DE" w:rsidRPr="002A456C" w:rsidRDefault="00AB00DE" w:rsidP="00813081">
      <w:pPr>
        <w:pStyle w:val="aa"/>
        <w:rPr>
          <w:i/>
          <w:iCs/>
        </w:rPr>
      </w:pPr>
      <w:r>
        <w:rPr>
          <w:rFonts w:hint="eastAsia"/>
        </w:rPr>
        <w:tab/>
      </w:r>
      <w:r w:rsidRPr="008258F3">
        <w:rPr>
          <w:rStyle w:val="a5"/>
        </w:rPr>
        <w:footnoteRef/>
      </w:r>
      <w:r>
        <w:rPr>
          <w:rFonts w:hint="eastAsia"/>
        </w:rPr>
        <w:tab/>
      </w:r>
      <w:r w:rsidRPr="002A456C">
        <w:rPr>
          <w:rFonts w:hint="eastAsia"/>
        </w:rPr>
        <w:t>同上。</w:t>
      </w:r>
    </w:p>
  </w:footnote>
  <w:footnote w:id="1486">
    <w:p w:rsidR="00AB00DE" w:rsidRPr="002A456C" w:rsidRDefault="00AB00DE" w:rsidP="00813081">
      <w:pPr>
        <w:pStyle w:val="aa"/>
      </w:pPr>
      <w:r>
        <w:rPr>
          <w:rFonts w:hint="eastAsia"/>
        </w:rPr>
        <w:tab/>
      </w:r>
      <w:r w:rsidRPr="008258F3">
        <w:rPr>
          <w:rStyle w:val="a5"/>
        </w:rPr>
        <w:footnoteRef/>
      </w:r>
      <w:r>
        <w:rPr>
          <w:rFonts w:hint="eastAsia"/>
        </w:rPr>
        <w:tab/>
      </w:r>
      <w:r w:rsidRPr="002A456C">
        <w:rPr>
          <w:rFonts w:hint="eastAsia"/>
        </w:rPr>
        <w:t>同上。</w:t>
      </w:r>
    </w:p>
  </w:footnote>
  <w:footnote w:id="1487">
    <w:p w:rsidR="00AB00DE" w:rsidRPr="00723098" w:rsidRDefault="00AB00DE" w:rsidP="00813081">
      <w:pPr>
        <w:pStyle w:val="a4"/>
        <w:rPr>
          <w:rFonts w:ascii="inherit" w:hAnsi="inherit" w:hint="eastAsia"/>
          <w:color w:val="212121"/>
          <w:spacing w:val="-2"/>
        </w:rPr>
      </w:pPr>
      <w:r>
        <w:rPr>
          <w:rFonts w:hint="eastAsia"/>
        </w:rPr>
        <w:tab/>
      </w:r>
      <w:r w:rsidRPr="008258F3">
        <w:rPr>
          <w:rStyle w:val="a5"/>
        </w:rPr>
        <w:footnoteRef/>
      </w:r>
      <w:r>
        <w:rPr>
          <w:rFonts w:hint="eastAsia"/>
        </w:rPr>
        <w:tab/>
      </w:r>
      <w:r w:rsidRPr="00723098">
        <w:rPr>
          <w:rFonts w:ascii="inherit" w:hAnsi="inherit" w:hint="eastAsia"/>
          <w:color w:val="212121"/>
          <w:spacing w:val="-2"/>
        </w:rPr>
        <w:t>发言的是红十字会国际法律和政策主任</w:t>
      </w:r>
      <w:r>
        <w:rPr>
          <w:spacing w:val="-2"/>
        </w:rPr>
        <w:t>Helen</w:t>
      </w:r>
      <w:r w:rsidRPr="00723098">
        <w:rPr>
          <w:spacing w:val="-2"/>
        </w:rPr>
        <w:t xml:space="preserve"> </w:t>
      </w:r>
      <w:r>
        <w:rPr>
          <w:spacing w:val="-2"/>
        </w:rPr>
        <w:t>Durham</w:t>
      </w:r>
      <w:r w:rsidRPr="00723098">
        <w:rPr>
          <w:rFonts w:ascii="inherit" w:hAnsi="inherit" w:hint="eastAsia"/>
          <w:color w:val="212121"/>
          <w:spacing w:val="-2"/>
        </w:rPr>
        <w:t>女士与委员会主席科米萨里奥·阿丰索先生。肖恩·墨菲先生作了关于</w:t>
      </w:r>
      <w:r>
        <w:rPr>
          <w:rFonts w:ascii="inherit" w:hAnsi="inherit" w:hint="eastAsia"/>
          <w:color w:val="212121"/>
          <w:spacing w:val="-2"/>
        </w:rPr>
        <w:t>“</w:t>
      </w:r>
      <w:r w:rsidRPr="00723098">
        <w:rPr>
          <w:rFonts w:ascii="inherit" w:hAnsi="inherit" w:hint="eastAsia"/>
          <w:color w:val="212121"/>
          <w:spacing w:val="-2"/>
        </w:rPr>
        <w:t>危害人类罪</w:t>
      </w:r>
      <w:r>
        <w:rPr>
          <w:rFonts w:ascii="inherit" w:hAnsi="inherit" w:hint="eastAsia"/>
          <w:color w:val="212121"/>
          <w:spacing w:val="-2"/>
        </w:rPr>
        <w:t>”</w:t>
      </w:r>
      <w:r w:rsidRPr="00723098">
        <w:rPr>
          <w:rFonts w:ascii="inherit" w:hAnsi="inherit" w:hint="eastAsia"/>
          <w:color w:val="212121"/>
          <w:spacing w:val="-2"/>
        </w:rPr>
        <w:t>的演讲</w:t>
      </w:r>
      <w:r>
        <w:rPr>
          <w:rFonts w:ascii="inherit" w:hAnsi="inherit" w:hint="eastAsia"/>
          <w:color w:val="212121"/>
          <w:spacing w:val="-2"/>
        </w:rPr>
        <w:t>，</w:t>
      </w:r>
      <w:r w:rsidRPr="00723098">
        <w:rPr>
          <w:rFonts w:hint="eastAsia"/>
          <w:spacing w:val="-2"/>
        </w:rPr>
        <w:t>玛丽·雅各布松女士作了关于</w:t>
      </w:r>
      <w:r>
        <w:rPr>
          <w:rFonts w:ascii="inherit" w:hAnsi="inherit" w:hint="eastAsia"/>
          <w:color w:val="212121"/>
          <w:spacing w:val="-2"/>
        </w:rPr>
        <w:t>“</w:t>
      </w:r>
      <w:r w:rsidRPr="00723098">
        <w:rPr>
          <w:rFonts w:ascii="inherit" w:hAnsi="inherit" w:hint="eastAsia"/>
          <w:color w:val="212121"/>
          <w:spacing w:val="-2"/>
        </w:rPr>
        <w:t>与武装冲突有关的环境保护</w:t>
      </w:r>
      <w:r>
        <w:rPr>
          <w:rFonts w:ascii="inherit" w:hAnsi="inherit" w:hint="eastAsia"/>
          <w:color w:val="212121"/>
          <w:spacing w:val="-2"/>
        </w:rPr>
        <w:t>”</w:t>
      </w:r>
      <w:r w:rsidRPr="00723098">
        <w:rPr>
          <w:rFonts w:ascii="inherit" w:hAnsi="inherit" w:hint="eastAsia"/>
          <w:color w:val="212121"/>
          <w:spacing w:val="-2"/>
        </w:rPr>
        <w:t>的演讲。介绍</w:t>
      </w:r>
      <w:r>
        <w:rPr>
          <w:rFonts w:asciiTheme="majorBidi" w:eastAsiaTheme="minorEastAsia" w:hAnsiTheme="majorBidi" w:cstheme="majorBidi" w:hint="eastAsia"/>
          <w:spacing w:val="-2"/>
        </w:rPr>
        <w:t>“</w:t>
      </w:r>
      <w:r w:rsidRPr="00723098">
        <w:rPr>
          <w:rFonts w:hint="eastAsia"/>
          <w:spacing w:val="-2"/>
        </w:rPr>
        <w:t>国际红十字和红新月运动第</w:t>
      </w:r>
      <w:r>
        <w:rPr>
          <w:rFonts w:hint="eastAsia"/>
          <w:spacing w:val="-2"/>
        </w:rPr>
        <w:t>32</w:t>
      </w:r>
      <w:r w:rsidRPr="00723098">
        <w:rPr>
          <w:rFonts w:hint="eastAsia"/>
          <w:spacing w:val="-2"/>
        </w:rPr>
        <w:t>届国际会议结果情况</w:t>
      </w:r>
      <w:r>
        <w:rPr>
          <w:rFonts w:asciiTheme="majorBidi" w:eastAsiaTheme="minorEastAsia" w:hAnsiTheme="majorBidi" w:cstheme="majorBidi" w:hint="eastAsia"/>
          <w:spacing w:val="-2"/>
        </w:rPr>
        <w:t>”</w:t>
      </w:r>
      <w:r w:rsidRPr="00723098">
        <w:rPr>
          <w:rFonts w:asciiTheme="majorBidi" w:eastAsiaTheme="minorEastAsia" w:hAnsiTheme="majorBidi" w:cstheme="majorBidi" w:hint="eastAsia"/>
          <w:spacing w:val="-2"/>
        </w:rPr>
        <w:t>的是</w:t>
      </w:r>
      <w:r w:rsidRPr="00723098">
        <w:rPr>
          <w:rFonts w:hint="eastAsia"/>
          <w:spacing w:val="-2"/>
        </w:rPr>
        <w:t>红十字会首席法务官兼法律司司长</w:t>
      </w:r>
      <w:r>
        <w:rPr>
          <w:rFonts w:hint="eastAsia"/>
          <w:spacing w:val="-2"/>
        </w:rPr>
        <w:t>Knut</w:t>
      </w:r>
      <w:r w:rsidRPr="00723098">
        <w:rPr>
          <w:rFonts w:hint="eastAsia"/>
          <w:spacing w:val="-2"/>
        </w:rPr>
        <w:t xml:space="preserve"> </w:t>
      </w:r>
      <w:r>
        <w:rPr>
          <w:rFonts w:hint="eastAsia"/>
          <w:spacing w:val="-2"/>
        </w:rPr>
        <w:t>Doermann</w:t>
      </w:r>
      <w:r w:rsidRPr="00723098">
        <w:rPr>
          <w:rFonts w:hint="eastAsia"/>
          <w:spacing w:val="-2"/>
        </w:rPr>
        <w:t>博士</w:t>
      </w:r>
      <w:r>
        <w:rPr>
          <w:rFonts w:hint="eastAsia"/>
          <w:spacing w:val="-2"/>
        </w:rPr>
        <w:t>，</w:t>
      </w:r>
      <w:r w:rsidRPr="00723098">
        <w:rPr>
          <w:rFonts w:hint="eastAsia"/>
          <w:spacing w:val="-2"/>
        </w:rPr>
        <w:t>介绍</w:t>
      </w:r>
      <w:r>
        <w:rPr>
          <w:rFonts w:asciiTheme="majorBidi" w:eastAsiaTheme="minorEastAsia" w:hAnsiTheme="majorBidi" w:cstheme="majorBidi" w:hint="eastAsia"/>
          <w:spacing w:val="-2"/>
        </w:rPr>
        <w:t>“</w:t>
      </w:r>
      <w:r w:rsidRPr="00723098">
        <w:rPr>
          <w:rFonts w:asciiTheme="majorBidi" w:eastAsiaTheme="minorEastAsia" w:hAnsiTheme="majorBidi" w:cstheme="majorBidi" w:hint="eastAsia"/>
          <w:spacing w:val="-2"/>
        </w:rPr>
        <w:t>国际人道主义法与处理反恐问题的法律框架的互动关系</w:t>
      </w:r>
      <w:r>
        <w:rPr>
          <w:rFonts w:asciiTheme="majorBidi" w:eastAsiaTheme="minorEastAsia" w:hAnsiTheme="majorBidi" w:cstheme="majorBidi" w:hint="eastAsia"/>
          <w:spacing w:val="-2"/>
        </w:rPr>
        <w:t>”</w:t>
      </w:r>
      <w:r w:rsidRPr="00723098">
        <w:rPr>
          <w:rFonts w:asciiTheme="majorBidi" w:eastAsiaTheme="minorEastAsia" w:hAnsiTheme="majorBidi" w:cstheme="majorBidi" w:hint="eastAsia"/>
          <w:spacing w:val="-2"/>
        </w:rPr>
        <w:t>的是</w:t>
      </w:r>
      <w:r w:rsidRPr="00723098">
        <w:rPr>
          <w:rFonts w:hint="eastAsia"/>
          <w:spacing w:val="-2"/>
        </w:rPr>
        <w:t>红十字会法律顾问</w:t>
      </w:r>
      <w:r>
        <w:rPr>
          <w:spacing w:val="-2"/>
        </w:rPr>
        <w:t>Tristan</w:t>
      </w:r>
      <w:r w:rsidRPr="00723098">
        <w:rPr>
          <w:spacing w:val="-2"/>
        </w:rPr>
        <w:t xml:space="preserve"> </w:t>
      </w:r>
      <w:r>
        <w:rPr>
          <w:spacing w:val="-2"/>
        </w:rPr>
        <w:t>Ferraro</w:t>
      </w:r>
      <w:r w:rsidRPr="00723098">
        <w:rPr>
          <w:rFonts w:hint="eastAsia"/>
          <w:spacing w:val="-2"/>
        </w:rPr>
        <w:t>先生。</w:t>
      </w:r>
    </w:p>
  </w:footnote>
  <w:footnote w:id="1488">
    <w:p w:rsidR="00AB00DE" w:rsidRPr="002A456C" w:rsidRDefault="00AB00DE" w:rsidP="00813081">
      <w:pPr>
        <w:pStyle w:val="aa"/>
      </w:pPr>
      <w:r>
        <w:rPr>
          <w:rFonts w:hint="eastAsia"/>
        </w:rPr>
        <w:tab/>
      </w:r>
      <w:r w:rsidRPr="008258F3">
        <w:rPr>
          <w:rStyle w:val="a5"/>
          <w:rFonts w:cstheme="majorBidi"/>
        </w:rPr>
        <w:footnoteRef/>
      </w:r>
      <w:r>
        <w:rPr>
          <w:rFonts w:hint="eastAsia"/>
        </w:rPr>
        <w:tab/>
      </w:r>
      <w:r w:rsidRPr="00723098">
        <w:rPr>
          <w:rFonts w:asciiTheme="majorBidi" w:hAnsiTheme="majorBidi" w:cstheme="majorBidi"/>
        </w:rPr>
        <w:t>下列人员参加了讲习班</w:t>
      </w:r>
      <w:r>
        <w:rPr>
          <w:rFonts w:asciiTheme="majorBidi" w:hAnsiTheme="majorBidi" w:cstheme="majorBidi"/>
        </w:rPr>
        <w:t>：</w:t>
      </w:r>
      <w:r>
        <w:rPr>
          <w:rFonts w:asciiTheme="majorBidi" w:hAnsiTheme="majorBidi" w:cstheme="majorBidi"/>
          <w:lang w:eastAsia="fr-FR"/>
        </w:rPr>
        <w:t>Humberto</w:t>
      </w:r>
      <w:r w:rsidRPr="00723098">
        <w:rPr>
          <w:rFonts w:asciiTheme="majorBidi" w:hAnsiTheme="majorBidi" w:cstheme="majorBidi"/>
          <w:lang w:eastAsia="fr-FR"/>
        </w:rPr>
        <w:t xml:space="preserve"> </w:t>
      </w:r>
      <w:r>
        <w:rPr>
          <w:rFonts w:asciiTheme="majorBidi" w:hAnsiTheme="majorBidi" w:cstheme="majorBidi"/>
          <w:lang w:eastAsia="fr-FR"/>
        </w:rPr>
        <w:t>Cant</w:t>
      </w:r>
      <w:r w:rsidRPr="00723098">
        <w:rPr>
          <w:rFonts w:asciiTheme="majorBidi" w:hAnsiTheme="majorBidi" w:cstheme="majorBidi"/>
          <w:lang w:eastAsia="fr-FR"/>
        </w:rPr>
        <w:t xml:space="preserve">ú </w:t>
      </w:r>
      <w:r>
        <w:rPr>
          <w:rFonts w:asciiTheme="majorBidi" w:hAnsiTheme="majorBidi" w:cstheme="majorBidi"/>
          <w:lang w:eastAsia="fr-FR"/>
        </w:rPr>
        <w:t>Rivera</w:t>
      </w:r>
      <w:r w:rsidRPr="00723098">
        <w:rPr>
          <w:rFonts w:asciiTheme="majorBidi" w:hAnsiTheme="majorBidi" w:cstheme="majorBidi"/>
        </w:rPr>
        <w:t>先生</w:t>
      </w:r>
      <w:r>
        <w:rPr>
          <w:rFonts w:asciiTheme="majorBidi" w:hAnsiTheme="majorBidi" w:cstheme="majorBidi"/>
          <w:lang w:eastAsia="fr-FR"/>
        </w:rPr>
        <w:t>(</w:t>
      </w:r>
      <w:r w:rsidRPr="00723098">
        <w:rPr>
          <w:rFonts w:asciiTheme="majorBidi" w:hAnsiTheme="majorBidi" w:cstheme="majorBidi"/>
          <w:lang w:eastAsia="fr-FR"/>
        </w:rPr>
        <w:t>墨西哥</w:t>
      </w:r>
      <w:r>
        <w:rPr>
          <w:rFonts w:asciiTheme="majorBidi" w:hAnsiTheme="majorBidi" w:cstheme="majorBidi"/>
          <w:lang w:eastAsia="fr-FR"/>
        </w:rPr>
        <w:t>)</w:t>
      </w:r>
      <w:r w:rsidRPr="00723098">
        <w:rPr>
          <w:rFonts w:asciiTheme="majorBidi" w:hAnsiTheme="majorBidi" w:cstheme="majorBidi"/>
        </w:rPr>
        <w:t>、</w:t>
      </w:r>
      <w:r>
        <w:rPr>
          <w:rFonts w:asciiTheme="majorBidi" w:hAnsiTheme="majorBidi" w:cstheme="majorBidi"/>
          <w:lang w:eastAsia="fr-FR"/>
        </w:rPr>
        <w:t>Hua</w:t>
      </w:r>
      <w:r w:rsidRPr="00723098">
        <w:rPr>
          <w:rFonts w:asciiTheme="majorBidi" w:hAnsiTheme="majorBidi" w:cstheme="majorBidi"/>
          <w:lang w:eastAsia="fr-FR"/>
        </w:rPr>
        <w:t xml:space="preserve"> </w:t>
      </w:r>
      <w:r>
        <w:rPr>
          <w:rFonts w:asciiTheme="majorBidi" w:hAnsiTheme="majorBidi" w:cstheme="majorBidi"/>
          <w:lang w:eastAsia="fr-FR"/>
        </w:rPr>
        <w:t>Deng(</w:t>
      </w:r>
      <w:r w:rsidRPr="00723098">
        <w:rPr>
          <w:rFonts w:asciiTheme="majorBidi" w:hAnsiTheme="majorBidi" w:cstheme="majorBidi"/>
          <w:lang w:eastAsia="fr-FR"/>
        </w:rPr>
        <w:t>中国</w:t>
      </w:r>
      <w:r>
        <w:rPr>
          <w:rFonts w:asciiTheme="majorBidi" w:hAnsiTheme="majorBidi" w:cstheme="majorBidi"/>
          <w:lang w:eastAsia="fr-FR"/>
        </w:rPr>
        <w:t>)</w:t>
      </w:r>
      <w:r w:rsidRPr="00723098">
        <w:rPr>
          <w:rFonts w:asciiTheme="majorBidi" w:hAnsiTheme="majorBidi" w:cstheme="majorBidi"/>
          <w:lang w:eastAsia="fr-FR"/>
        </w:rPr>
        <w:t>、</w:t>
      </w:r>
      <w:r>
        <w:rPr>
          <w:rFonts w:asciiTheme="majorBidi" w:hAnsiTheme="majorBidi" w:cstheme="majorBidi"/>
          <w:lang w:eastAsia="fr-FR"/>
        </w:rPr>
        <w:t>Martina</w:t>
      </w:r>
      <w:r w:rsidRPr="00723098">
        <w:rPr>
          <w:rFonts w:asciiTheme="majorBidi" w:hAnsiTheme="majorBidi" w:cstheme="majorBidi"/>
          <w:lang w:eastAsia="fr-FR"/>
        </w:rPr>
        <w:t xml:space="preserve"> </w:t>
      </w:r>
      <w:r>
        <w:rPr>
          <w:rFonts w:asciiTheme="majorBidi" w:hAnsiTheme="majorBidi" w:cstheme="majorBidi"/>
          <w:lang w:eastAsia="fr-FR"/>
        </w:rPr>
        <w:t>Filippiov</w:t>
      </w:r>
      <w:r w:rsidRPr="00723098">
        <w:rPr>
          <w:rFonts w:asciiTheme="majorBidi" w:hAnsiTheme="majorBidi" w:cstheme="majorBidi"/>
          <w:lang w:eastAsia="fr-FR"/>
        </w:rPr>
        <w:t>á</w:t>
      </w:r>
      <w:r w:rsidRPr="00723098">
        <w:rPr>
          <w:rFonts w:asciiTheme="majorBidi" w:hAnsiTheme="majorBidi" w:cstheme="majorBidi"/>
        </w:rPr>
        <w:t>先生</w:t>
      </w:r>
      <w:r>
        <w:rPr>
          <w:rFonts w:asciiTheme="majorBidi" w:hAnsiTheme="majorBidi" w:cstheme="majorBidi"/>
          <w:lang w:eastAsia="fr-FR"/>
        </w:rPr>
        <w:t>(</w:t>
      </w:r>
      <w:r w:rsidRPr="00723098">
        <w:rPr>
          <w:rFonts w:asciiTheme="majorBidi" w:hAnsiTheme="majorBidi" w:cstheme="majorBidi"/>
          <w:lang w:eastAsia="fr-FR"/>
        </w:rPr>
        <w:t>捷克共和国</w:t>
      </w:r>
      <w:r>
        <w:rPr>
          <w:rFonts w:asciiTheme="majorBidi" w:hAnsiTheme="majorBidi" w:cstheme="majorBidi"/>
          <w:lang w:eastAsia="fr-FR"/>
        </w:rPr>
        <w:t>)</w:t>
      </w:r>
      <w:r w:rsidRPr="00723098">
        <w:rPr>
          <w:rFonts w:asciiTheme="majorBidi" w:hAnsiTheme="majorBidi" w:cstheme="majorBidi"/>
          <w:lang w:eastAsia="fr-FR"/>
        </w:rPr>
        <w:t>、</w:t>
      </w:r>
      <w:r>
        <w:rPr>
          <w:rFonts w:asciiTheme="majorBidi" w:hAnsiTheme="majorBidi" w:cstheme="majorBidi"/>
        </w:rPr>
        <w:t>Fong</w:t>
      </w:r>
      <w:r w:rsidRPr="00723098">
        <w:rPr>
          <w:rFonts w:asciiTheme="majorBidi" w:hAnsiTheme="majorBidi" w:cstheme="majorBidi"/>
        </w:rPr>
        <w:t xml:space="preserve"> </w:t>
      </w:r>
      <w:r>
        <w:rPr>
          <w:rFonts w:asciiTheme="majorBidi" w:hAnsiTheme="majorBidi" w:cstheme="majorBidi"/>
        </w:rPr>
        <w:t>Mian</w:t>
      </w:r>
      <w:r w:rsidRPr="00723098">
        <w:rPr>
          <w:rFonts w:asciiTheme="majorBidi" w:hAnsiTheme="majorBidi" w:cstheme="majorBidi"/>
        </w:rPr>
        <w:t xml:space="preserve"> </w:t>
      </w:r>
      <w:r>
        <w:rPr>
          <w:rFonts w:asciiTheme="majorBidi" w:hAnsiTheme="majorBidi" w:cstheme="majorBidi"/>
        </w:rPr>
        <w:t>Yi</w:t>
      </w:r>
      <w:r w:rsidRPr="00723098">
        <w:rPr>
          <w:rFonts w:asciiTheme="majorBidi" w:hAnsiTheme="majorBidi" w:cstheme="majorBidi"/>
        </w:rPr>
        <w:t xml:space="preserve"> </w:t>
      </w:r>
      <w:r>
        <w:rPr>
          <w:rFonts w:asciiTheme="majorBidi" w:hAnsiTheme="majorBidi" w:cstheme="majorBidi"/>
        </w:rPr>
        <w:t>Seraphina</w:t>
      </w:r>
      <w:r w:rsidRPr="00723098">
        <w:rPr>
          <w:rFonts w:asciiTheme="majorBidi" w:hAnsiTheme="majorBidi" w:cstheme="majorBidi"/>
          <w:lang w:eastAsia="fr-FR"/>
        </w:rPr>
        <w:t xml:space="preserve"> </w:t>
      </w:r>
      <w:r w:rsidRPr="00723098">
        <w:rPr>
          <w:rFonts w:asciiTheme="majorBidi" w:hAnsiTheme="majorBidi" w:cstheme="majorBidi"/>
        </w:rPr>
        <w:t>女士</w:t>
      </w:r>
      <w:r>
        <w:rPr>
          <w:rFonts w:asciiTheme="majorBidi" w:hAnsiTheme="majorBidi" w:cstheme="majorBidi"/>
          <w:lang w:eastAsia="fr-FR"/>
        </w:rPr>
        <w:t>(</w:t>
      </w:r>
      <w:r w:rsidRPr="00723098">
        <w:rPr>
          <w:rFonts w:asciiTheme="majorBidi" w:hAnsiTheme="majorBidi" w:cstheme="majorBidi"/>
          <w:lang w:eastAsia="fr-FR"/>
        </w:rPr>
        <w:t>新加坡</w:t>
      </w:r>
      <w:r>
        <w:rPr>
          <w:rFonts w:asciiTheme="majorBidi" w:hAnsiTheme="majorBidi" w:cstheme="majorBidi"/>
          <w:lang w:eastAsia="fr-FR"/>
        </w:rPr>
        <w:t>)</w:t>
      </w:r>
      <w:r w:rsidRPr="00723098">
        <w:rPr>
          <w:rFonts w:asciiTheme="majorBidi" w:hAnsiTheme="majorBidi" w:cstheme="majorBidi"/>
          <w:lang w:eastAsia="fr-FR"/>
        </w:rPr>
        <w:t>、</w:t>
      </w:r>
      <w:r>
        <w:rPr>
          <w:rFonts w:asciiTheme="majorBidi" w:hAnsiTheme="majorBidi" w:cstheme="majorBidi"/>
          <w:lang w:eastAsia="fr-FR"/>
        </w:rPr>
        <w:t>Simon</w:t>
      </w:r>
      <w:r w:rsidRPr="00723098">
        <w:rPr>
          <w:rFonts w:asciiTheme="majorBidi" w:hAnsiTheme="majorBidi" w:cstheme="majorBidi"/>
          <w:lang w:eastAsia="fr-FR"/>
        </w:rPr>
        <w:t xml:space="preserve"> </w:t>
      </w:r>
      <w:r>
        <w:rPr>
          <w:rFonts w:asciiTheme="majorBidi" w:hAnsiTheme="majorBidi" w:cstheme="majorBidi"/>
          <w:lang w:eastAsia="fr-FR"/>
        </w:rPr>
        <w:t>E</w:t>
      </w:r>
      <w:r w:rsidRPr="00723098">
        <w:rPr>
          <w:rFonts w:asciiTheme="majorBidi" w:hAnsiTheme="majorBidi" w:cstheme="majorBidi"/>
          <w:lang w:eastAsia="fr-FR"/>
        </w:rPr>
        <w:t xml:space="preserve">. </w:t>
      </w:r>
      <w:r>
        <w:rPr>
          <w:rFonts w:asciiTheme="majorBidi" w:hAnsiTheme="majorBidi" w:cstheme="majorBidi"/>
          <w:lang w:eastAsia="fr-FR"/>
        </w:rPr>
        <w:t>Gomez</w:t>
      </w:r>
      <w:r w:rsidRPr="00723098">
        <w:rPr>
          <w:rFonts w:asciiTheme="majorBidi" w:hAnsiTheme="majorBidi" w:cstheme="majorBidi"/>
          <w:lang w:eastAsia="fr-FR"/>
        </w:rPr>
        <w:t xml:space="preserve"> </w:t>
      </w:r>
      <w:r>
        <w:rPr>
          <w:rFonts w:asciiTheme="majorBidi" w:hAnsiTheme="majorBidi" w:cstheme="majorBidi"/>
          <w:lang w:eastAsia="fr-FR"/>
        </w:rPr>
        <w:t>Guaimara</w:t>
      </w:r>
      <w:r w:rsidRPr="00723098">
        <w:rPr>
          <w:rFonts w:asciiTheme="majorBidi" w:hAnsiTheme="majorBidi" w:cstheme="majorBidi"/>
          <w:lang w:eastAsia="fr-FR"/>
        </w:rPr>
        <w:t xml:space="preserve"> </w:t>
      </w:r>
      <w:r w:rsidRPr="00723098">
        <w:rPr>
          <w:rFonts w:asciiTheme="majorBidi" w:hAnsiTheme="majorBidi" w:cstheme="majorBidi"/>
        </w:rPr>
        <w:t>先生</w:t>
      </w:r>
      <w:r>
        <w:rPr>
          <w:rFonts w:asciiTheme="majorBidi" w:hAnsiTheme="majorBidi" w:cstheme="majorBidi"/>
          <w:lang w:eastAsia="fr-FR"/>
        </w:rPr>
        <w:t>(</w:t>
      </w:r>
      <w:r w:rsidRPr="00723098">
        <w:rPr>
          <w:rFonts w:asciiTheme="majorBidi" w:hAnsiTheme="majorBidi" w:cstheme="majorBidi"/>
          <w:lang w:eastAsia="fr-FR"/>
        </w:rPr>
        <w:t>委内瑞拉</w:t>
      </w:r>
      <w:r>
        <w:rPr>
          <w:rFonts w:asciiTheme="majorBidi" w:hAnsiTheme="majorBidi" w:cstheme="majorBidi"/>
          <w:lang w:eastAsia="fr-FR"/>
        </w:rPr>
        <w:t>)</w:t>
      </w:r>
      <w:r w:rsidRPr="00723098">
        <w:rPr>
          <w:rFonts w:asciiTheme="majorBidi" w:hAnsiTheme="majorBidi" w:cstheme="majorBidi"/>
          <w:lang w:eastAsia="fr-FR"/>
        </w:rPr>
        <w:t>、</w:t>
      </w:r>
      <w:r>
        <w:rPr>
          <w:rFonts w:asciiTheme="majorBidi" w:hAnsiTheme="majorBidi" w:cstheme="majorBidi"/>
          <w:lang w:eastAsia="fr-FR"/>
        </w:rPr>
        <w:t>Sarah</w:t>
      </w:r>
      <w:r w:rsidRPr="00723098">
        <w:rPr>
          <w:rFonts w:asciiTheme="majorBidi" w:hAnsiTheme="majorBidi" w:cstheme="majorBidi"/>
          <w:lang w:eastAsia="fr-FR"/>
        </w:rPr>
        <w:t xml:space="preserve"> </w:t>
      </w:r>
      <w:r>
        <w:rPr>
          <w:rFonts w:asciiTheme="majorBidi" w:hAnsiTheme="majorBidi" w:cstheme="majorBidi"/>
          <w:lang w:eastAsia="fr-FR"/>
        </w:rPr>
        <w:t>Hayes</w:t>
      </w:r>
      <w:r w:rsidRPr="00723098">
        <w:rPr>
          <w:rFonts w:asciiTheme="majorBidi" w:hAnsiTheme="majorBidi" w:cstheme="majorBidi"/>
        </w:rPr>
        <w:t>女士</w:t>
      </w:r>
      <w:r>
        <w:rPr>
          <w:rFonts w:asciiTheme="majorBidi" w:hAnsiTheme="majorBidi" w:cstheme="majorBidi"/>
          <w:lang w:eastAsia="fr-FR"/>
        </w:rPr>
        <w:t>(</w:t>
      </w:r>
      <w:r w:rsidRPr="00723098">
        <w:rPr>
          <w:rFonts w:asciiTheme="majorBidi" w:hAnsiTheme="majorBidi" w:cstheme="majorBidi"/>
          <w:lang w:eastAsia="fr-FR"/>
        </w:rPr>
        <w:t>法国</w:t>
      </w:r>
      <w:r>
        <w:rPr>
          <w:rFonts w:asciiTheme="majorBidi" w:hAnsiTheme="majorBidi" w:cstheme="majorBidi"/>
          <w:lang w:eastAsia="fr-FR"/>
        </w:rPr>
        <w:t>)</w:t>
      </w:r>
      <w:r w:rsidRPr="00723098">
        <w:rPr>
          <w:rFonts w:asciiTheme="majorBidi" w:hAnsiTheme="majorBidi" w:cstheme="majorBidi"/>
          <w:lang w:eastAsia="fr-FR"/>
        </w:rPr>
        <w:t>、</w:t>
      </w:r>
      <w:r>
        <w:rPr>
          <w:rFonts w:asciiTheme="majorBidi" w:hAnsiTheme="majorBidi" w:cstheme="majorBidi"/>
          <w:lang w:eastAsia="fr-FR"/>
        </w:rPr>
        <w:t>Etienne</w:t>
      </w:r>
      <w:r w:rsidRPr="00723098">
        <w:rPr>
          <w:rFonts w:asciiTheme="majorBidi" w:hAnsiTheme="majorBidi" w:cstheme="majorBidi"/>
          <w:lang w:eastAsia="fr-FR"/>
        </w:rPr>
        <w:t xml:space="preserve"> </w:t>
      </w:r>
      <w:r>
        <w:rPr>
          <w:rFonts w:asciiTheme="majorBidi" w:hAnsiTheme="majorBidi" w:cstheme="majorBidi"/>
          <w:lang w:eastAsia="fr-FR"/>
        </w:rPr>
        <w:t>Henry</w:t>
      </w:r>
      <w:r w:rsidRPr="00723098">
        <w:rPr>
          <w:rFonts w:asciiTheme="majorBidi" w:hAnsiTheme="majorBidi" w:cstheme="majorBidi"/>
        </w:rPr>
        <w:t>先生</w:t>
      </w:r>
      <w:r>
        <w:rPr>
          <w:rFonts w:asciiTheme="majorBidi" w:hAnsiTheme="majorBidi" w:cstheme="majorBidi"/>
          <w:lang w:eastAsia="fr-FR"/>
        </w:rPr>
        <w:t>(</w:t>
      </w:r>
      <w:r w:rsidRPr="00723098">
        <w:rPr>
          <w:rFonts w:asciiTheme="majorBidi" w:hAnsiTheme="majorBidi" w:cstheme="majorBidi"/>
          <w:lang w:eastAsia="fr-FR"/>
        </w:rPr>
        <w:t>瑞士</w:t>
      </w:r>
      <w:r>
        <w:rPr>
          <w:rFonts w:asciiTheme="majorBidi" w:hAnsiTheme="majorBidi" w:cstheme="majorBidi"/>
          <w:lang w:eastAsia="fr-FR"/>
        </w:rPr>
        <w:t>)</w:t>
      </w:r>
      <w:r w:rsidRPr="00723098">
        <w:rPr>
          <w:rFonts w:asciiTheme="majorBidi" w:hAnsiTheme="majorBidi" w:cstheme="majorBidi"/>
          <w:lang w:eastAsia="fr-FR"/>
        </w:rPr>
        <w:t>、</w:t>
      </w:r>
      <w:r>
        <w:rPr>
          <w:rFonts w:asciiTheme="majorBidi" w:hAnsiTheme="majorBidi" w:cstheme="majorBidi"/>
          <w:lang w:eastAsia="fr-FR"/>
        </w:rPr>
        <w:t>Alonso</w:t>
      </w:r>
      <w:r w:rsidRPr="00723098">
        <w:rPr>
          <w:rFonts w:asciiTheme="majorBidi" w:hAnsiTheme="majorBidi" w:cstheme="majorBidi"/>
          <w:lang w:eastAsia="fr-FR"/>
        </w:rPr>
        <w:t xml:space="preserve"> </w:t>
      </w:r>
      <w:r>
        <w:rPr>
          <w:rFonts w:asciiTheme="majorBidi" w:hAnsiTheme="majorBidi" w:cstheme="majorBidi"/>
          <w:lang w:eastAsia="fr-FR"/>
        </w:rPr>
        <w:t>Emilio</w:t>
      </w:r>
      <w:r w:rsidRPr="00723098">
        <w:rPr>
          <w:rFonts w:asciiTheme="majorBidi" w:hAnsiTheme="majorBidi" w:cstheme="majorBidi"/>
          <w:lang w:eastAsia="fr-FR"/>
        </w:rPr>
        <w:t xml:space="preserve"> </w:t>
      </w:r>
      <w:r>
        <w:rPr>
          <w:rFonts w:asciiTheme="majorBidi" w:hAnsiTheme="majorBidi" w:cstheme="majorBidi"/>
          <w:lang w:eastAsia="fr-FR"/>
        </w:rPr>
        <w:t>Illueca</w:t>
      </w:r>
      <w:r w:rsidRPr="00723098">
        <w:rPr>
          <w:rFonts w:asciiTheme="majorBidi" w:hAnsiTheme="majorBidi" w:cstheme="majorBidi"/>
        </w:rPr>
        <w:t>先生</w:t>
      </w:r>
      <w:r>
        <w:rPr>
          <w:rFonts w:asciiTheme="majorBidi" w:hAnsiTheme="majorBidi" w:cstheme="majorBidi"/>
          <w:lang w:eastAsia="fr-FR"/>
        </w:rPr>
        <w:t>(</w:t>
      </w:r>
      <w:r w:rsidRPr="00723098">
        <w:rPr>
          <w:rFonts w:asciiTheme="majorBidi" w:hAnsiTheme="majorBidi" w:cstheme="majorBidi"/>
          <w:lang w:eastAsia="fr-FR"/>
        </w:rPr>
        <w:t>巴拿马</w:t>
      </w:r>
      <w:r>
        <w:rPr>
          <w:rFonts w:asciiTheme="majorBidi" w:hAnsiTheme="majorBidi" w:cstheme="majorBidi"/>
          <w:lang w:eastAsia="fr-FR"/>
        </w:rPr>
        <w:t>)</w:t>
      </w:r>
      <w:r w:rsidRPr="00723098">
        <w:rPr>
          <w:rFonts w:asciiTheme="majorBidi" w:hAnsiTheme="majorBidi" w:cstheme="majorBidi"/>
          <w:lang w:eastAsia="fr-FR"/>
        </w:rPr>
        <w:t>、</w:t>
      </w:r>
      <w:r>
        <w:rPr>
          <w:rFonts w:asciiTheme="majorBidi" w:hAnsiTheme="majorBidi" w:cstheme="majorBidi"/>
          <w:lang w:eastAsia="fr-FR"/>
        </w:rPr>
        <w:t>Fatma</w:t>
      </w:r>
      <w:r w:rsidRPr="00723098">
        <w:rPr>
          <w:rFonts w:asciiTheme="majorBidi" w:hAnsiTheme="majorBidi" w:cstheme="majorBidi"/>
          <w:lang w:eastAsia="fr-FR"/>
        </w:rPr>
        <w:t xml:space="preserve"> </w:t>
      </w:r>
      <w:r>
        <w:rPr>
          <w:rFonts w:asciiTheme="majorBidi" w:hAnsiTheme="majorBidi" w:cstheme="majorBidi"/>
          <w:lang w:eastAsia="fr-FR"/>
        </w:rPr>
        <w:t>Fathy</w:t>
      </w:r>
      <w:r w:rsidRPr="00723098">
        <w:rPr>
          <w:rFonts w:asciiTheme="majorBidi" w:hAnsiTheme="majorBidi" w:cstheme="majorBidi"/>
          <w:lang w:eastAsia="fr-FR"/>
        </w:rPr>
        <w:t xml:space="preserve"> </w:t>
      </w:r>
      <w:r>
        <w:rPr>
          <w:rFonts w:asciiTheme="majorBidi" w:hAnsiTheme="majorBidi" w:cstheme="majorBidi"/>
          <w:lang w:eastAsia="fr-FR"/>
        </w:rPr>
        <w:t>Khalifa</w:t>
      </w:r>
      <w:r w:rsidRPr="00723098">
        <w:rPr>
          <w:rFonts w:asciiTheme="majorBidi" w:hAnsiTheme="majorBidi" w:cstheme="majorBidi"/>
          <w:lang w:eastAsia="fr-FR"/>
        </w:rPr>
        <w:t xml:space="preserve"> </w:t>
      </w:r>
      <w:r w:rsidRPr="00723098">
        <w:rPr>
          <w:rFonts w:asciiTheme="majorBidi" w:hAnsiTheme="majorBidi" w:cstheme="majorBidi"/>
        </w:rPr>
        <w:t>女士</w:t>
      </w:r>
      <w:r>
        <w:rPr>
          <w:rFonts w:asciiTheme="majorBidi" w:hAnsiTheme="majorBidi" w:cstheme="majorBidi"/>
          <w:lang w:eastAsia="fr-FR"/>
        </w:rPr>
        <w:t>(</w:t>
      </w:r>
      <w:r w:rsidRPr="00723098">
        <w:rPr>
          <w:rFonts w:asciiTheme="majorBidi" w:hAnsiTheme="majorBidi" w:cstheme="majorBidi"/>
          <w:lang w:eastAsia="fr-FR"/>
        </w:rPr>
        <w:t>埃及</w:t>
      </w:r>
      <w:r>
        <w:rPr>
          <w:rFonts w:asciiTheme="majorBidi" w:hAnsiTheme="majorBidi" w:cstheme="majorBidi"/>
          <w:lang w:eastAsia="fr-FR"/>
        </w:rPr>
        <w:t>)</w:t>
      </w:r>
      <w:r w:rsidRPr="00723098">
        <w:rPr>
          <w:rFonts w:asciiTheme="majorBidi" w:hAnsiTheme="majorBidi" w:cstheme="majorBidi"/>
          <w:lang w:eastAsia="fr-FR"/>
        </w:rPr>
        <w:t>、</w:t>
      </w:r>
      <w:r>
        <w:rPr>
          <w:rFonts w:asciiTheme="majorBidi" w:hAnsiTheme="majorBidi" w:cstheme="majorBidi"/>
          <w:lang w:eastAsia="fr-FR"/>
        </w:rPr>
        <w:t>Ayechan</w:t>
      </w:r>
      <w:r w:rsidRPr="00723098">
        <w:rPr>
          <w:rFonts w:asciiTheme="majorBidi" w:hAnsiTheme="majorBidi" w:cstheme="majorBidi"/>
          <w:lang w:eastAsia="fr-FR"/>
        </w:rPr>
        <w:t xml:space="preserve"> </w:t>
      </w:r>
      <w:r>
        <w:rPr>
          <w:rFonts w:asciiTheme="majorBidi" w:hAnsiTheme="majorBidi" w:cstheme="majorBidi"/>
          <w:lang w:eastAsia="fr-FR"/>
        </w:rPr>
        <w:t>Lynn</w:t>
      </w:r>
      <w:r w:rsidRPr="00723098">
        <w:rPr>
          <w:rFonts w:asciiTheme="majorBidi" w:hAnsiTheme="majorBidi" w:cstheme="majorBidi"/>
          <w:lang w:eastAsia="fr-FR"/>
        </w:rPr>
        <w:t xml:space="preserve"> </w:t>
      </w:r>
      <w:r w:rsidRPr="00723098">
        <w:rPr>
          <w:rFonts w:asciiTheme="majorBidi" w:hAnsiTheme="majorBidi" w:cstheme="majorBidi"/>
        </w:rPr>
        <w:t>女士</w:t>
      </w:r>
      <w:r>
        <w:rPr>
          <w:rFonts w:asciiTheme="majorBidi" w:hAnsiTheme="majorBidi" w:cstheme="majorBidi"/>
          <w:lang w:eastAsia="fr-FR"/>
        </w:rPr>
        <w:t>(</w:t>
      </w:r>
      <w:r w:rsidRPr="00723098">
        <w:rPr>
          <w:rFonts w:asciiTheme="majorBidi" w:hAnsiTheme="majorBidi" w:cstheme="majorBidi"/>
          <w:lang w:eastAsia="fr-FR"/>
        </w:rPr>
        <w:t>缅甸</w:t>
      </w:r>
      <w:r>
        <w:rPr>
          <w:rFonts w:asciiTheme="majorBidi" w:hAnsiTheme="majorBidi" w:cstheme="majorBidi"/>
          <w:lang w:eastAsia="fr-FR"/>
        </w:rPr>
        <w:t>)</w:t>
      </w:r>
      <w:r w:rsidRPr="00723098">
        <w:rPr>
          <w:rFonts w:asciiTheme="majorBidi" w:hAnsiTheme="majorBidi" w:cstheme="majorBidi"/>
          <w:lang w:eastAsia="fr-FR"/>
        </w:rPr>
        <w:t>、</w:t>
      </w:r>
      <w:r>
        <w:rPr>
          <w:rFonts w:asciiTheme="majorBidi" w:hAnsiTheme="majorBidi" w:cstheme="majorBidi"/>
          <w:lang w:eastAsia="fr-FR"/>
        </w:rPr>
        <w:t>On</w:t>
      </w:r>
      <w:r w:rsidRPr="00723098">
        <w:rPr>
          <w:rFonts w:asciiTheme="majorBidi" w:hAnsiTheme="majorBidi" w:cstheme="majorBidi"/>
          <w:lang w:eastAsia="fr-FR"/>
        </w:rPr>
        <w:t>é</w:t>
      </w:r>
      <w:r>
        <w:rPr>
          <w:rFonts w:asciiTheme="majorBidi" w:hAnsiTheme="majorBidi" w:cstheme="majorBidi"/>
          <w:lang w:eastAsia="fr-FR"/>
        </w:rPr>
        <w:t>sime</w:t>
      </w:r>
      <w:r w:rsidRPr="00723098">
        <w:rPr>
          <w:rFonts w:asciiTheme="majorBidi" w:hAnsiTheme="majorBidi" w:cstheme="majorBidi"/>
          <w:lang w:eastAsia="fr-FR"/>
        </w:rPr>
        <w:t xml:space="preserve"> </w:t>
      </w:r>
      <w:r>
        <w:rPr>
          <w:rFonts w:asciiTheme="majorBidi" w:hAnsiTheme="majorBidi" w:cstheme="majorBidi"/>
          <w:lang w:eastAsia="fr-FR"/>
        </w:rPr>
        <w:t>Alain</w:t>
      </w:r>
      <w:r w:rsidRPr="00723098">
        <w:rPr>
          <w:rFonts w:asciiTheme="majorBidi" w:hAnsiTheme="majorBidi" w:cstheme="majorBidi"/>
          <w:lang w:eastAsia="fr-FR"/>
        </w:rPr>
        <w:t xml:space="preserve"> </w:t>
      </w:r>
      <w:r>
        <w:rPr>
          <w:rFonts w:asciiTheme="majorBidi" w:hAnsiTheme="majorBidi" w:cstheme="majorBidi"/>
          <w:lang w:eastAsia="fr-FR"/>
        </w:rPr>
        <w:t>Ndi</w:t>
      </w:r>
      <w:r w:rsidRPr="00723098">
        <w:rPr>
          <w:rFonts w:asciiTheme="majorBidi" w:hAnsiTheme="majorBidi" w:cstheme="majorBidi"/>
          <w:lang w:eastAsia="fr-FR"/>
        </w:rPr>
        <w:t xml:space="preserve"> </w:t>
      </w:r>
      <w:r>
        <w:rPr>
          <w:rFonts w:asciiTheme="majorBidi" w:hAnsiTheme="majorBidi" w:cstheme="majorBidi"/>
          <w:lang w:eastAsia="fr-FR"/>
        </w:rPr>
        <w:t>Bitan</w:t>
      </w:r>
      <w:r w:rsidRPr="00723098">
        <w:rPr>
          <w:rFonts w:asciiTheme="majorBidi" w:hAnsiTheme="majorBidi" w:cstheme="majorBidi"/>
        </w:rPr>
        <w:t>先生</w:t>
      </w:r>
      <w:r>
        <w:rPr>
          <w:rFonts w:asciiTheme="majorBidi" w:hAnsiTheme="majorBidi" w:cstheme="majorBidi"/>
          <w:lang w:eastAsia="fr-FR"/>
        </w:rPr>
        <w:t>(</w:t>
      </w:r>
      <w:r w:rsidRPr="00723098">
        <w:rPr>
          <w:rFonts w:asciiTheme="majorBidi" w:hAnsiTheme="majorBidi" w:cstheme="majorBidi"/>
          <w:lang w:eastAsia="fr-FR"/>
        </w:rPr>
        <w:t>喀麦隆</w:t>
      </w:r>
      <w:r>
        <w:rPr>
          <w:rFonts w:asciiTheme="majorBidi" w:hAnsiTheme="majorBidi" w:cstheme="majorBidi"/>
          <w:lang w:eastAsia="fr-FR"/>
        </w:rPr>
        <w:t>)</w:t>
      </w:r>
      <w:r w:rsidRPr="00723098">
        <w:rPr>
          <w:rFonts w:asciiTheme="majorBidi" w:hAnsiTheme="majorBidi" w:cstheme="majorBidi"/>
          <w:lang w:eastAsia="fr-FR"/>
        </w:rPr>
        <w:t>、</w:t>
      </w:r>
      <w:r>
        <w:rPr>
          <w:rFonts w:asciiTheme="majorBidi" w:hAnsiTheme="majorBidi" w:cstheme="majorBidi"/>
        </w:rPr>
        <w:t>Nguyen</w:t>
      </w:r>
      <w:r w:rsidRPr="00723098">
        <w:rPr>
          <w:rFonts w:asciiTheme="majorBidi" w:hAnsiTheme="majorBidi" w:cstheme="majorBidi"/>
        </w:rPr>
        <w:t xml:space="preserve"> </w:t>
      </w:r>
      <w:r>
        <w:rPr>
          <w:rFonts w:asciiTheme="majorBidi" w:hAnsiTheme="majorBidi" w:cstheme="majorBidi"/>
        </w:rPr>
        <w:t>Thi</w:t>
      </w:r>
      <w:r w:rsidRPr="00723098">
        <w:rPr>
          <w:rFonts w:asciiTheme="majorBidi" w:hAnsiTheme="majorBidi" w:cstheme="majorBidi"/>
        </w:rPr>
        <w:t xml:space="preserve"> </w:t>
      </w:r>
      <w:r>
        <w:rPr>
          <w:rFonts w:asciiTheme="majorBidi" w:hAnsiTheme="majorBidi" w:cstheme="majorBidi"/>
        </w:rPr>
        <w:t>Tuong</w:t>
      </w:r>
      <w:r w:rsidRPr="00723098">
        <w:rPr>
          <w:rFonts w:asciiTheme="majorBidi" w:hAnsiTheme="majorBidi" w:cstheme="majorBidi"/>
        </w:rPr>
        <w:t xml:space="preserve"> </w:t>
      </w:r>
      <w:r>
        <w:rPr>
          <w:rFonts w:asciiTheme="majorBidi" w:hAnsiTheme="majorBidi" w:cstheme="majorBidi"/>
        </w:rPr>
        <w:t>Van</w:t>
      </w:r>
      <w:r w:rsidRPr="00723098">
        <w:rPr>
          <w:rFonts w:asciiTheme="majorBidi" w:hAnsiTheme="majorBidi" w:cstheme="majorBidi"/>
        </w:rPr>
        <w:t>女士</w:t>
      </w:r>
      <w:r>
        <w:rPr>
          <w:rFonts w:asciiTheme="majorBidi" w:hAnsiTheme="majorBidi" w:cstheme="majorBidi"/>
          <w:lang w:eastAsia="fr-FR"/>
        </w:rPr>
        <w:t>(</w:t>
      </w:r>
      <w:r w:rsidRPr="00723098">
        <w:rPr>
          <w:rFonts w:asciiTheme="majorBidi" w:hAnsiTheme="majorBidi" w:cstheme="majorBidi"/>
          <w:lang w:eastAsia="fr-FR"/>
        </w:rPr>
        <w:t>越南</w:t>
      </w:r>
      <w:r>
        <w:rPr>
          <w:rFonts w:asciiTheme="majorBidi" w:hAnsiTheme="majorBidi" w:cstheme="majorBidi"/>
          <w:lang w:eastAsia="fr-FR"/>
        </w:rPr>
        <w:t>)</w:t>
      </w:r>
      <w:r w:rsidRPr="00723098">
        <w:rPr>
          <w:rFonts w:asciiTheme="majorBidi" w:hAnsiTheme="majorBidi" w:cstheme="majorBidi"/>
          <w:lang w:eastAsia="fr-FR"/>
        </w:rPr>
        <w:t>、</w:t>
      </w:r>
      <w:r>
        <w:rPr>
          <w:rFonts w:asciiTheme="majorBidi" w:hAnsiTheme="majorBidi" w:cstheme="majorBidi"/>
          <w:lang w:eastAsia="fr-FR"/>
        </w:rPr>
        <w:t>Irekpitan</w:t>
      </w:r>
      <w:r w:rsidRPr="00723098">
        <w:rPr>
          <w:rFonts w:asciiTheme="majorBidi" w:hAnsiTheme="majorBidi" w:cstheme="majorBidi"/>
          <w:lang w:eastAsia="fr-FR"/>
        </w:rPr>
        <w:t xml:space="preserve"> </w:t>
      </w:r>
      <w:r>
        <w:rPr>
          <w:rFonts w:asciiTheme="majorBidi" w:hAnsiTheme="majorBidi" w:cstheme="majorBidi"/>
          <w:lang w:eastAsia="fr-FR"/>
        </w:rPr>
        <w:t>Okukpon</w:t>
      </w:r>
      <w:r w:rsidRPr="00723098">
        <w:rPr>
          <w:rFonts w:asciiTheme="majorBidi" w:hAnsiTheme="majorBidi" w:cstheme="majorBidi"/>
        </w:rPr>
        <w:t>女士</w:t>
      </w:r>
      <w:r>
        <w:rPr>
          <w:rFonts w:asciiTheme="majorBidi" w:hAnsiTheme="majorBidi" w:cstheme="majorBidi"/>
          <w:lang w:eastAsia="fr-FR"/>
        </w:rPr>
        <w:t>(</w:t>
      </w:r>
      <w:r w:rsidRPr="00723098">
        <w:rPr>
          <w:rFonts w:asciiTheme="majorBidi" w:hAnsiTheme="majorBidi" w:cstheme="majorBidi"/>
          <w:lang w:eastAsia="fr-FR"/>
        </w:rPr>
        <w:t>尼日利亚</w:t>
      </w:r>
      <w:r>
        <w:rPr>
          <w:rFonts w:asciiTheme="majorBidi" w:hAnsiTheme="majorBidi" w:cstheme="majorBidi"/>
          <w:lang w:eastAsia="fr-FR"/>
        </w:rPr>
        <w:t>)</w:t>
      </w:r>
      <w:r w:rsidRPr="00723098">
        <w:rPr>
          <w:rFonts w:asciiTheme="majorBidi" w:hAnsiTheme="majorBidi" w:cstheme="majorBidi"/>
          <w:lang w:eastAsia="fr-FR"/>
        </w:rPr>
        <w:t>、</w:t>
      </w:r>
      <w:r>
        <w:rPr>
          <w:rFonts w:asciiTheme="majorBidi" w:hAnsiTheme="majorBidi" w:cstheme="majorBidi"/>
          <w:lang w:eastAsia="fr-FR"/>
        </w:rPr>
        <w:t>Edilen</w:t>
      </w:r>
      <w:r w:rsidRPr="00723098">
        <w:rPr>
          <w:rFonts w:asciiTheme="majorBidi" w:hAnsiTheme="majorBidi" w:cstheme="majorBidi"/>
          <w:lang w:eastAsia="fr-FR"/>
        </w:rPr>
        <w:t xml:space="preserve"> </w:t>
      </w:r>
      <w:r>
        <w:rPr>
          <w:rFonts w:asciiTheme="majorBidi" w:hAnsiTheme="majorBidi" w:cstheme="majorBidi"/>
          <w:lang w:eastAsia="fr-FR"/>
        </w:rPr>
        <w:t>B</w:t>
      </w:r>
      <w:r w:rsidRPr="00723098">
        <w:rPr>
          <w:rFonts w:asciiTheme="majorBidi" w:hAnsiTheme="majorBidi" w:cstheme="majorBidi"/>
          <w:lang w:eastAsia="fr-FR"/>
        </w:rPr>
        <w:t xml:space="preserve">. </w:t>
      </w:r>
      <w:r>
        <w:rPr>
          <w:rFonts w:asciiTheme="majorBidi" w:hAnsiTheme="majorBidi" w:cstheme="majorBidi"/>
          <w:lang w:eastAsia="fr-FR"/>
        </w:rPr>
        <w:t>Pita</w:t>
      </w:r>
      <w:r w:rsidRPr="00723098">
        <w:rPr>
          <w:rFonts w:asciiTheme="majorBidi" w:hAnsiTheme="majorBidi" w:cstheme="majorBidi"/>
          <w:lang w:eastAsia="fr-FR"/>
        </w:rPr>
        <w:t xml:space="preserve"> </w:t>
      </w:r>
      <w:r>
        <w:rPr>
          <w:rFonts w:asciiTheme="majorBidi" w:hAnsiTheme="majorBidi" w:cstheme="majorBidi"/>
          <w:lang w:eastAsia="fr-FR"/>
        </w:rPr>
        <w:t>Rodr</w:t>
      </w:r>
      <w:r w:rsidRPr="00723098">
        <w:rPr>
          <w:rFonts w:asciiTheme="majorBidi" w:hAnsiTheme="majorBidi" w:cstheme="majorBidi"/>
          <w:lang w:eastAsia="fr-FR"/>
        </w:rPr>
        <w:t>í</w:t>
      </w:r>
      <w:r>
        <w:rPr>
          <w:rFonts w:asciiTheme="majorBidi" w:hAnsiTheme="majorBidi" w:cstheme="majorBidi"/>
          <w:lang w:eastAsia="fr-FR"/>
        </w:rPr>
        <w:t>guez</w:t>
      </w:r>
      <w:r w:rsidRPr="00723098">
        <w:rPr>
          <w:rFonts w:asciiTheme="majorBidi" w:hAnsiTheme="majorBidi" w:cstheme="majorBidi"/>
          <w:lang w:eastAsia="fr-FR"/>
        </w:rPr>
        <w:t xml:space="preserve"> </w:t>
      </w:r>
      <w:r w:rsidRPr="00723098">
        <w:rPr>
          <w:rFonts w:asciiTheme="majorBidi" w:hAnsiTheme="majorBidi" w:cstheme="majorBidi"/>
        </w:rPr>
        <w:t>女士</w:t>
      </w:r>
      <w:r>
        <w:rPr>
          <w:rFonts w:asciiTheme="majorBidi" w:hAnsiTheme="majorBidi" w:cstheme="majorBidi"/>
          <w:lang w:eastAsia="fr-FR"/>
        </w:rPr>
        <w:t>(</w:t>
      </w:r>
      <w:r w:rsidRPr="00723098">
        <w:rPr>
          <w:rFonts w:asciiTheme="majorBidi" w:hAnsiTheme="majorBidi" w:cstheme="majorBidi"/>
          <w:lang w:eastAsia="fr-FR"/>
        </w:rPr>
        <w:t>古巴</w:t>
      </w:r>
      <w:r>
        <w:rPr>
          <w:rFonts w:asciiTheme="majorBidi" w:hAnsiTheme="majorBidi" w:cstheme="majorBidi"/>
          <w:lang w:eastAsia="fr-FR"/>
        </w:rPr>
        <w:t>)</w:t>
      </w:r>
      <w:r w:rsidRPr="00723098">
        <w:rPr>
          <w:rFonts w:asciiTheme="majorBidi" w:hAnsiTheme="majorBidi" w:cstheme="majorBidi"/>
          <w:lang w:eastAsia="fr-FR"/>
        </w:rPr>
        <w:t>、</w:t>
      </w:r>
      <w:r>
        <w:rPr>
          <w:rFonts w:asciiTheme="majorBidi" w:hAnsiTheme="majorBidi" w:cstheme="majorBidi"/>
          <w:lang w:eastAsia="fr-FR"/>
        </w:rPr>
        <w:t>Eric</w:t>
      </w:r>
      <w:r w:rsidRPr="00723098">
        <w:rPr>
          <w:rFonts w:asciiTheme="majorBidi" w:hAnsiTheme="majorBidi" w:cstheme="majorBidi"/>
          <w:lang w:eastAsia="fr-FR"/>
        </w:rPr>
        <w:t>-</w:t>
      </w:r>
      <w:r>
        <w:rPr>
          <w:rFonts w:asciiTheme="majorBidi" w:hAnsiTheme="majorBidi" w:cstheme="majorBidi"/>
          <w:lang w:eastAsia="fr-FR"/>
        </w:rPr>
        <w:t>Aim</w:t>
      </w:r>
      <w:r w:rsidRPr="00723098">
        <w:rPr>
          <w:rFonts w:asciiTheme="majorBidi" w:hAnsiTheme="majorBidi" w:cstheme="majorBidi"/>
          <w:lang w:eastAsia="fr-FR"/>
        </w:rPr>
        <w:t xml:space="preserve">é </w:t>
      </w:r>
      <w:r>
        <w:rPr>
          <w:rFonts w:asciiTheme="majorBidi" w:hAnsiTheme="majorBidi" w:cstheme="majorBidi"/>
          <w:lang w:eastAsia="fr-FR"/>
        </w:rPr>
        <w:t>Semien</w:t>
      </w:r>
      <w:r w:rsidRPr="00723098">
        <w:rPr>
          <w:rFonts w:asciiTheme="majorBidi" w:hAnsiTheme="majorBidi" w:cstheme="majorBidi"/>
        </w:rPr>
        <w:t>先生</w:t>
      </w:r>
      <w:r>
        <w:rPr>
          <w:rFonts w:asciiTheme="majorBidi" w:hAnsiTheme="majorBidi" w:cstheme="majorBidi"/>
          <w:lang w:eastAsia="fr-FR"/>
        </w:rPr>
        <w:t>(</w:t>
      </w:r>
      <w:r w:rsidRPr="00723098">
        <w:rPr>
          <w:rFonts w:asciiTheme="majorBidi" w:hAnsiTheme="majorBidi" w:cstheme="majorBidi"/>
          <w:lang w:eastAsia="fr-FR"/>
        </w:rPr>
        <w:t>科特迪瓦</w:t>
      </w:r>
      <w:r>
        <w:rPr>
          <w:rFonts w:asciiTheme="majorBidi" w:hAnsiTheme="majorBidi" w:cstheme="majorBidi"/>
          <w:lang w:eastAsia="fr-FR"/>
        </w:rPr>
        <w:t>)</w:t>
      </w:r>
      <w:r w:rsidRPr="00723098">
        <w:rPr>
          <w:rFonts w:asciiTheme="majorBidi" w:hAnsiTheme="majorBidi" w:cstheme="majorBidi"/>
          <w:lang w:eastAsia="fr-FR"/>
        </w:rPr>
        <w:t>、</w:t>
      </w:r>
      <w:r>
        <w:rPr>
          <w:rFonts w:asciiTheme="majorBidi" w:hAnsiTheme="majorBidi" w:cstheme="majorBidi"/>
          <w:lang w:eastAsia="fr-FR"/>
        </w:rPr>
        <w:t>Evgeny</w:t>
      </w:r>
      <w:r w:rsidRPr="00723098">
        <w:rPr>
          <w:rFonts w:asciiTheme="majorBidi" w:hAnsiTheme="majorBidi" w:cstheme="majorBidi"/>
          <w:lang w:eastAsia="fr-FR"/>
        </w:rPr>
        <w:t xml:space="preserve"> </w:t>
      </w:r>
      <w:r>
        <w:rPr>
          <w:rFonts w:asciiTheme="majorBidi" w:hAnsiTheme="majorBidi" w:cstheme="majorBidi"/>
          <w:lang w:eastAsia="fr-FR"/>
        </w:rPr>
        <w:t>Skachkov</w:t>
      </w:r>
      <w:r w:rsidRPr="00723098">
        <w:rPr>
          <w:rFonts w:asciiTheme="majorBidi" w:hAnsiTheme="majorBidi" w:cstheme="majorBidi"/>
          <w:lang w:eastAsia="fr-FR"/>
        </w:rPr>
        <w:t xml:space="preserve"> </w:t>
      </w:r>
      <w:r w:rsidRPr="00723098">
        <w:rPr>
          <w:rFonts w:asciiTheme="majorBidi" w:hAnsiTheme="majorBidi" w:cstheme="majorBidi"/>
        </w:rPr>
        <w:t>先生</w:t>
      </w:r>
      <w:r>
        <w:rPr>
          <w:rFonts w:asciiTheme="majorBidi" w:hAnsiTheme="majorBidi" w:cstheme="majorBidi"/>
          <w:lang w:eastAsia="fr-FR"/>
        </w:rPr>
        <w:t>(</w:t>
      </w:r>
      <w:r w:rsidRPr="00723098">
        <w:rPr>
          <w:rFonts w:asciiTheme="majorBidi" w:hAnsiTheme="majorBidi" w:cstheme="majorBidi"/>
        </w:rPr>
        <w:t>俄罗斯</w:t>
      </w:r>
      <w:r>
        <w:rPr>
          <w:rFonts w:asciiTheme="majorBidi" w:hAnsiTheme="majorBidi" w:cstheme="majorBidi"/>
          <w:lang w:eastAsia="fr-FR"/>
        </w:rPr>
        <w:t>)</w:t>
      </w:r>
      <w:r w:rsidRPr="00723098">
        <w:rPr>
          <w:rFonts w:asciiTheme="majorBidi" w:hAnsiTheme="majorBidi" w:cstheme="majorBidi"/>
          <w:lang w:eastAsia="fr-FR"/>
        </w:rPr>
        <w:t>、</w:t>
      </w:r>
      <w:r>
        <w:rPr>
          <w:rFonts w:asciiTheme="majorBidi" w:hAnsiTheme="majorBidi" w:cstheme="majorBidi"/>
          <w:lang w:eastAsia="fr-FR"/>
        </w:rPr>
        <w:t>Oratile</w:t>
      </w:r>
      <w:r w:rsidRPr="00723098">
        <w:rPr>
          <w:rFonts w:asciiTheme="majorBidi" w:hAnsiTheme="majorBidi" w:cstheme="majorBidi"/>
          <w:lang w:eastAsia="fr-FR"/>
        </w:rPr>
        <w:t xml:space="preserve"> </w:t>
      </w:r>
      <w:r>
        <w:rPr>
          <w:rFonts w:asciiTheme="majorBidi" w:hAnsiTheme="majorBidi" w:cstheme="majorBidi"/>
          <w:lang w:eastAsia="fr-FR"/>
        </w:rPr>
        <w:t>Slave</w:t>
      </w:r>
      <w:r w:rsidRPr="00723098">
        <w:rPr>
          <w:rFonts w:asciiTheme="majorBidi" w:hAnsiTheme="majorBidi" w:cstheme="majorBidi"/>
        </w:rPr>
        <w:t>女士</w:t>
      </w:r>
      <w:r>
        <w:rPr>
          <w:rFonts w:asciiTheme="majorBidi" w:hAnsiTheme="majorBidi" w:cstheme="majorBidi"/>
          <w:lang w:eastAsia="fr-FR"/>
        </w:rPr>
        <w:t>(</w:t>
      </w:r>
      <w:r w:rsidRPr="00723098">
        <w:rPr>
          <w:rFonts w:asciiTheme="majorBidi" w:hAnsiTheme="majorBidi" w:cstheme="majorBidi"/>
          <w:lang w:eastAsia="fr-FR"/>
        </w:rPr>
        <w:t>博茨瓦纳</w:t>
      </w:r>
      <w:r>
        <w:rPr>
          <w:rFonts w:asciiTheme="majorBidi" w:hAnsiTheme="majorBidi" w:cstheme="majorBidi"/>
          <w:lang w:eastAsia="fr-FR"/>
        </w:rPr>
        <w:t>)</w:t>
      </w:r>
      <w:r w:rsidRPr="00723098">
        <w:rPr>
          <w:rFonts w:asciiTheme="majorBidi" w:hAnsiTheme="majorBidi" w:cstheme="majorBidi"/>
          <w:lang w:eastAsia="fr-FR"/>
        </w:rPr>
        <w:t>、</w:t>
      </w:r>
      <w:r>
        <w:rPr>
          <w:rFonts w:asciiTheme="majorBidi" w:hAnsiTheme="majorBidi" w:cstheme="majorBidi"/>
          <w:lang w:eastAsia="fr-FR"/>
        </w:rPr>
        <w:t>Hidetaka</w:t>
      </w:r>
      <w:r w:rsidRPr="00723098">
        <w:rPr>
          <w:rFonts w:asciiTheme="majorBidi" w:hAnsiTheme="majorBidi" w:cstheme="majorBidi"/>
          <w:lang w:eastAsia="fr-FR"/>
        </w:rPr>
        <w:t xml:space="preserve"> </w:t>
      </w:r>
      <w:r>
        <w:rPr>
          <w:rFonts w:asciiTheme="majorBidi" w:hAnsiTheme="majorBidi" w:cstheme="majorBidi"/>
          <w:lang w:eastAsia="fr-FR"/>
        </w:rPr>
        <w:t>Takeuchi</w:t>
      </w:r>
      <w:r w:rsidRPr="00723098">
        <w:rPr>
          <w:rFonts w:asciiTheme="majorBidi" w:hAnsiTheme="majorBidi" w:cstheme="majorBidi"/>
        </w:rPr>
        <w:t>先生</w:t>
      </w:r>
      <w:r>
        <w:rPr>
          <w:rFonts w:asciiTheme="majorBidi" w:hAnsiTheme="majorBidi" w:cstheme="majorBidi"/>
          <w:lang w:eastAsia="fr-FR"/>
        </w:rPr>
        <w:t>(</w:t>
      </w:r>
      <w:r w:rsidRPr="00723098">
        <w:rPr>
          <w:rFonts w:asciiTheme="majorBidi" w:hAnsiTheme="majorBidi" w:cstheme="majorBidi"/>
          <w:lang w:eastAsia="fr-FR"/>
        </w:rPr>
        <w:t>日本</w:t>
      </w:r>
      <w:r>
        <w:rPr>
          <w:rFonts w:asciiTheme="majorBidi" w:hAnsiTheme="majorBidi" w:cstheme="majorBidi"/>
          <w:lang w:eastAsia="fr-FR"/>
        </w:rPr>
        <w:t>)</w:t>
      </w:r>
      <w:r w:rsidRPr="00723098">
        <w:rPr>
          <w:rFonts w:asciiTheme="majorBidi" w:hAnsiTheme="majorBidi" w:cstheme="majorBidi"/>
          <w:lang w:eastAsia="fr-FR"/>
        </w:rPr>
        <w:t>、</w:t>
      </w:r>
      <w:r>
        <w:rPr>
          <w:rFonts w:asciiTheme="majorBidi" w:hAnsiTheme="majorBidi" w:cstheme="majorBidi"/>
          <w:lang w:eastAsia="fr-FR"/>
        </w:rPr>
        <w:t>Sosena</w:t>
      </w:r>
      <w:r w:rsidRPr="00723098">
        <w:rPr>
          <w:rFonts w:asciiTheme="majorBidi" w:hAnsiTheme="majorBidi" w:cstheme="majorBidi"/>
          <w:lang w:eastAsia="fr-FR"/>
        </w:rPr>
        <w:t xml:space="preserve"> </w:t>
      </w:r>
      <w:r>
        <w:rPr>
          <w:rFonts w:asciiTheme="majorBidi" w:hAnsiTheme="majorBidi" w:cstheme="majorBidi"/>
          <w:lang w:eastAsia="fr-FR"/>
        </w:rPr>
        <w:t>Tesfamichael</w:t>
      </w:r>
      <w:r w:rsidRPr="00723098">
        <w:rPr>
          <w:rFonts w:asciiTheme="majorBidi" w:hAnsiTheme="majorBidi" w:cstheme="majorBidi"/>
          <w:lang w:eastAsia="fr-FR"/>
        </w:rPr>
        <w:t xml:space="preserve"> </w:t>
      </w:r>
      <w:r>
        <w:rPr>
          <w:rFonts w:asciiTheme="majorBidi" w:hAnsiTheme="majorBidi" w:cstheme="majorBidi"/>
          <w:lang w:eastAsia="fr-FR"/>
        </w:rPr>
        <w:t>Tefera</w:t>
      </w:r>
      <w:r w:rsidRPr="00723098">
        <w:rPr>
          <w:rFonts w:asciiTheme="majorBidi" w:hAnsiTheme="majorBidi" w:cstheme="majorBidi"/>
          <w:lang w:eastAsia="fr-FR"/>
        </w:rPr>
        <w:t xml:space="preserve"> </w:t>
      </w:r>
      <w:r w:rsidRPr="00723098">
        <w:rPr>
          <w:rFonts w:asciiTheme="majorBidi" w:hAnsiTheme="majorBidi" w:cstheme="majorBidi"/>
        </w:rPr>
        <w:t>女士</w:t>
      </w:r>
      <w:r>
        <w:rPr>
          <w:rFonts w:asciiTheme="majorBidi" w:hAnsiTheme="majorBidi" w:cstheme="majorBidi"/>
          <w:lang w:eastAsia="fr-FR"/>
        </w:rPr>
        <w:t>(</w:t>
      </w:r>
      <w:r w:rsidRPr="00723098">
        <w:rPr>
          <w:rFonts w:asciiTheme="majorBidi" w:hAnsiTheme="majorBidi" w:cstheme="majorBidi"/>
          <w:lang w:eastAsia="fr-FR"/>
        </w:rPr>
        <w:t>埃塞俄比亚</w:t>
      </w:r>
      <w:r>
        <w:rPr>
          <w:rFonts w:asciiTheme="majorBidi" w:hAnsiTheme="majorBidi" w:cstheme="majorBidi"/>
          <w:lang w:eastAsia="fr-FR"/>
        </w:rPr>
        <w:t>)</w:t>
      </w:r>
      <w:r w:rsidRPr="00723098">
        <w:rPr>
          <w:rFonts w:asciiTheme="majorBidi" w:hAnsiTheme="majorBidi" w:cstheme="majorBidi"/>
          <w:lang w:eastAsia="fr-FR"/>
        </w:rPr>
        <w:t>、</w:t>
      </w:r>
      <w:r>
        <w:rPr>
          <w:rFonts w:asciiTheme="majorBidi" w:hAnsiTheme="majorBidi" w:cstheme="majorBidi"/>
          <w:lang w:eastAsia="fr-FR"/>
        </w:rPr>
        <w:t>Manasawee</w:t>
      </w:r>
      <w:r w:rsidRPr="00723098">
        <w:rPr>
          <w:rFonts w:asciiTheme="majorBidi" w:hAnsiTheme="majorBidi" w:cstheme="majorBidi"/>
          <w:lang w:eastAsia="fr-FR"/>
        </w:rPr>
        <w:t xml:space="preserve"> </w:t>
      </w:r>
      <w:r>
        <w:rPr>
          <w:rFonts w:asciiTheme="majorBidi" w:hAnsiTheme="majorBidi" w:cstheme="majorBidi"/>
          <w:lang w:eastAsia="fr-FR"/>
        </w:rPr>
        <w:t>Tonyoopaiboon</w:t>
      </w:r>
      <w:r w:rsidRPr="00723098">
        <w:rPr>
          <w:rFonts w:asciiTheme="majorBidi" w:hAnsiTheme="majorBidi" w:cstheme="majorBidi"/>
          <w:lang w:eastAsia="fr-FR"/>
        </w:rPr>
        <w:t xml:space="preserve"> </w:t>
      </w:r>
      <w:r w:rsidRPr="00723098">
        <w:rPr>
          <w:rFonts w:asciiTheme="majorBidi" w:hAnsiTheme="majorBidi" w:cstheme="majorBidi"/>
        </w:rPr>
        <w:t>先生</w:t>
      </w:r>
      <w:r>
        <w:rPr>
          <w:rFonts w:asciiTheme="majorBidi" w:hAnsiTheme="majorBidi" w:cstheme="majorBidi"/>
          <w:lang w:eastAsia="fr-FR"/>
        </w:rPr>
        <w:t>(</w:t>
      </w:r>
      <w:r w:rsidRPr="00723098">
        <w:rPr>
          <w:rFonts w:asciiTheme="majorBidi" w:hAnsiTheme="majorBidi" w:cstheme="majorBidi"/>
          <w:lang w:eastAsia="fr-FR"/>
        </w:rPr>
        <w:t>泰国</w:t>
      </w:r>
      <w:r>
        <w:rPr>
          <w:rFonts w:asciiTheme="majorBidi" w:hAnsiTheme="majorBidi" w:cstheme="majorBidi"/>
          <w:lang w:eastAsia="fr-FR"/>
        </w:rPr>
        <w:t>)</w:t>
      </w:r>
      <w:r w:rsidRPr="00723098">
        <w:rPr>
          <w:rFonts w:asciiTheme="majorBidi" w:hAnsiTheme="majorBidi" w:cstheme="majorBidi"/>
          <w:lang w:eastAsia="fr-FR"/>
        </w:rPr>
        <w:t>、</w:t>
      </w:r>
      <w:r>
        <w:rPr>
          <w:rFonts w:asciiTheme="majorBidi" w:hAnsiTheme="majorBidi" w:cstheme="majorBidi"/>
          <w:lang w:eastAsia="fr-FR"/>
        </w:rPr>
        <w:t>Maru</w:t>
      </w:r>
      <w:r w:rsidRPr="00723098">
        <w:rPr>
          <w:rFonts w:asciiTheme="majorBidi" w:hAnsiTheme="majorBidi" w:cstheme="majorBidi"/>
          <w:lang w:eastAsia="fr-FR"/>
        </w:rPr>
        <w:t>š</w:t>
      </w:r>
      <w:r>
        <w:rPr>
          <w:rFonts w:asciiTheme="majorBidi" w:hAnsiTheme="majorBidi" w:cstheme="majorBidi"/>
          <w:lang w:eastAsia="fr-FR"/>
        </w:rPr>
        <w:t>a</w:t>
      </w:r>
      <w:r w:rsidRPr="00723098">
        <w:rPr>
          <w:rFonts w:asciiTheme="majorBidi" w:hAnsiTheme="majorBidi" w:cstheme="majorBidi"/>
          <w:lang w:eastAsia="fr-FR"/>
        </w:rPr>
        <w:t xml:space="preserve"> </w:t>
      </w:r>
      <w:r>
        <w:rPr>
          <w:rFonts w:asciiTheme="majorBidi" w:hAnsiTheme="majorBidi" w:cstheme="majorBidi"/>
          <w:lang w:eastAsia="fr-FR"/>
        </w:rPr>
        <w:t>Veber</w:t>
      </w:r>
      <w:r w:rsidRPr="00723098">
        <w:rPr>
          <w:rFonts w:asciiTheme="majorBidi" w:hAnsiTheme="majorBidi" w:cstheme="majorBidi"/>
          <w:lang w:eastAsia="fr-FR"/>
        </w:rPr>
        <w:t xml:space="preserve"> </w:t>
      </w:r>
      <w:r w:rsidRPr="00723098">
        <w:rPr>
          <w:rFonts w:asciiTheme="majorBidi" w:hAnsiTheme="majorBidi" w:cstheme="majorBidi"/>
        </w:rPr>
        <w:t>女士</w:t>
      </w:r>
      <w:r>
        <w:rPr>
          <w:rFonts w:asciiTheme="majorBidi" w:hAnsiTheme="majorBidi" w:cstheme="majorBidi"/>
          <w:lang w:eastAsia="fr-FR"/>
        </w:rPr>
        <w:t>(</w:t>
      </w:r>
      <w:r w:rsidRPr="00723098">
        <w:rPr>
          <w:rFonts w:asciiTheme="majorBidi" w:hAnsiTheme="majorBidi" w:cstheme="majorBidi"/>
          <w:lang w:eastAsia="fr-FR"/>
        </w:rPr>
        <w:t>斯洛文尼亚</w:t>
      </w:r>
      <w:r>
        <w:rPr>
          <w:rFonts w:asciiTheme="majorBidi" w:hAnsiTheme="majorBidi" w:cstheme="majorBidi"/>
          <w:lang w:eastAsia="fr-FR"/>
        </w:rPr>
        <w:t>)</w:t>
      </w:r>
      <w:r w:rsidRPr="00723098">
        <w:rPr>
          <w:rFonts w:asciiTheme="majorBidi" w:hAnsiTheme="majorBidi" w:cstheme="majorBidi"/>
          <w:lang w:eastAsia="fr-FR"/>
        </w:rPr>
        <w:t>、</w:t>
      </w:r>
      <w:r>
        <w:rPr>
          <w:rFonts w:asciiTheme="majorBidi" w:hAnsiTheme="majorBidi" w:cstheme="majorBidi"/>
          <w:lang w:eastAsia="fr-FR"/>
        </w:rPr>
        <w:t>Giovanny</w:t>
      </w:r>
      <w:r w:rsidRPr="00723098">
        <w:rPr>
          <w:rFonts w:asciiTheme="majorBidi" w:hAnsiTheme="majorBidi" w:cstheme="majorBidi"/>
          <w:lang w:eastAsia="fr-FR"/>
        </w:rPr>
        <w:t xml:space="preserve"> </w:t>
      </w:r>
      <w:r>
        <w:rPr>
          <w:rFonts w:asciiTheme="majorBidi" w:hAnsiTheme="majorBidi" w:cstheme="majorBidi"/>
          <w:lang w:eastAsia="fr-FR"/>
        </w:rPr>
        <w:t>Vega</w:t>
      </w:r>
      <w:r w:rsidRPr="00723098">
        <w:rPr>
          <w:rFonts w:asciiTheme="majorBidi" w:hAnsiTheme="majorBidi" w:cstheme="majorBidi"/>
          <w:lang w:eastAsia="fr-FR"/>
        </w:rPr>
        <w:t>-</w:t>
      </w:r>
      <w:r>
        <w:rPr>
          <w:rFonts w:asciiTheme="majorBidi" w:hAnsiTheme="majorBidi" w:cstheme="majorBidi"/>
          <w:lang w:eastAsia="fr-FR"/>
        </w:rPr>
        <w:t>Barbosa</w:t>
      </w:r>
      <w:r w:rsidRPr="00723098">
        <w:rPr>
          <w:rFonts w:asciiTheme="majorBidi" w:hAnsiTheme="majorBidi" w:cstheme="majorBidi"/>
          <w:lang w:eastAsia="fr-FR"/>
        </w:rPr>
        <w:t xml:space="preserve"> </w:t>
      </w:r>
      <w:r w:rsidRPr="00723098">
        <w:rPr>
          <w:rFonts w:asciiTheme="majorBidi" w:hAnsiTheme="majorBidi" w:cstheme="majorBidi"/>
        </w:rPr>
        <w:t>先生</w:t>
      </w:r>
      <w:r>
        <w:rPr>
          <w:rFonts w:asciiTheme="majorBidi" w:hAnsiTheme="majorBidi" w:cstheme="majorBidi"/>
          <w:lang w:eastAsia="fr-FR"/>
        </w:rPr>
        <w:t>(</w:t>
      </w:r>
      <w:r w:rsidRPr="00723098">
        <w:rPr>
          <w:rFonts w:asciiTheme="majorBidi" w:hAnsiTheme="majorBidi" w:cstheme="majorBidi"/>
          <w:lang w:eastAsia="fr-FR"/>
        </w:rPr>
        <w:t>哥伦比亚</w:t>
      </w:r>
      <w:r>
        <w:rPr>
          <w:rFonts w:asciiTheme="majorBidi" w:hAnsiTheme="majorBidi" w:cstheme="majorBidi"/>
          <w:lang w:eastAsia="fr-FR"/>
        </w:rPr>
        <w:t>)</w:t>
      </w:r>
      <w:r w:rsidRPr="00723098">
        <w:rPr>
          <w:rFonts w:asciiTheme="majorBidi" w:eastAsiaTheme="minorEastAsia" w:hAnsiTheme="majorBidi" w:cstheme="majorBidi"/>
        </w:rPr>
        <w:t>。</w:t>
      </w:r>
      <w:r w:rsidRPr="00723098">
        <w:rPr>
          <w:rFonts w:asciiTheme="majorBidi" w:hAnsiTheme="majorBidi" w:cstheme="majorBidi"/>
        </w:rPr>
        <w:t>由日内瓦大学国际法教授</w:t>
      </w:r>
      <w:r>
        <w:rPr>
          <w:rFonts w:asciiTheme="majorBidi" w:hAnsiTheme="majorBidi" w:cstheme="majorBidi"/>
        </w:rPr>
        <w:t>Makane</w:t>
      </w:r>
      <w:r w:rsidRPr="00723098">
        <w:rPr>
          <w:rFonts w:asciiTheme="majorBidi" w:hAnsiTheme="majorBidi" w:cstheme="majorBidi"/>
        </w:rPr>
        <w:t xml:space="preserve"> </w:t>
      </w:r>
      <w:r>
        <w:rPr>
          <w:rFonts w:asciiTheme="majorBidi" w:hAnsiTheme="majorBidi" w:cstheme="majorBidi"/>
        </w:rPr>
        <w:t>Mo</w:t>
      </w:r>
      <w:r w:rsidRPr="00723098">
        <w:rPr>
          <w:rFonts w:asciiTheme="majorBidi" w:hAnsiTheme="majorBidi" w:cstheme="majorBidi"/>
        </w:rPr>
        <w:t>ï</w:t>
      </w:r>
      <w:r>
        <w:rPr>
          <w:rFonts w:asciiTheme="majorBidi" w:hAnsiTheme="majorBidi" w:cstheme="majorBidi"/>
        </w:rPr>
        <w:t>se</w:t>
      </w:r>
      <w:r w:rsidRPr="00723098">
        <w:rPr>
          <w:rFonts w:asciiTheme="majorBidi" w:hAnsiTheme="majorBidi" w:cstheme="majorBidi"/>
        </w:rPr>
        <w:t xml:space="preserve"> </w:t>
      </w:r>
      <w:r>
        <w:rPr>
          <w:rFonts w:asciiTheme="majorBidi" w:hAnsiTheme="majorBidi" w:cstheme="majorBidi"/>
        </w:rPr>
        <w:t>Mbengue</w:t>
      </w:r>
      <w:r w:rsidRPr="00723098">
        <w:rPr>
          <w:rFonts w:asciiTheme="majorBidi" w:hAnsiTheme="majorBidi" w:cstheme="majorBidi"/>
        </w:rPr>
        <w:t>先生担任主席的甄选委员会于</w:t>
      </w:r>
      <w:r>
        <w:rPr>
          <w:rFonts w:asciiTheme="majorBidi" w:hAnsiTheme="majorBidi" w:cstheme="majorBidi"/>
        </w:rPr>
        <w:t>2</w:t>
      </w:r>
      <w:r w:rsidRPr="00723098">
        <w:rPr>
          <w:rFonts w:asciiTheme="majorBidi" w:hAnsiTheme="majorBidi" w:cstheme="majorBidi"/>
        </w:rPr>
        <w:t>0</w:t>
      </w:r>
      <w:r>
        <w:rPr>
          <w:rFonts w:asciiTheme="majorBidi" w:hAnsiTheme="majorBidi" w:cstheme="majorBidi"/>
        </w:rPr>
        <w:t>16</w:t>
      </w:r>
      <w:r w:rsidRPr="00723098">
        <w:rPr>
          <w:rFonts w:asciiTheme="majorBidi" w:hAnsiTheme="majorBidi" w:cstheme="majorBidi"/>
        </w:rPr>
        <w:t>年</w:t>
      </w:r>
      <w:r>
        <w:rPr>
          <w:rFonts w:asciiTheme="majorBidi" w:hAnsiTheme="majorBidi" w:cstheme="majorBidi"/>
        </w:rPr>
        <w:t>4</w:t>
      </w:r>
      <w:r w:rsidRPr="00723098">
        <w:rPr>
          <w:rFonts w:asciiTheme="majorBidi" w:hAnsiTheme="majorBidi" w:cstheme="majorBidi"/>
        </w:rPr>
        <w:t>月</w:t>
      </w:r>
      <w:r>
        <w:rPr>
          <w:rFonts w:asciiTheme="majorBidi" w:hAnsiTheme="majorBidi" w:cstheme="majorBidi"/>
        </w:rPr>
        <w:t>12</w:t>
      </w:r>
      <w:r w:rsidRPr="00723098">
        <w:rPr>
          <w:rFonts w:asciiTheme="majorBidi" w:hAnsiTheme="majorBidi" w:cstheme="majorBidi"/>
        </w:rPr>
        <w:t>日举行会议</w:t>
      </w:r>
      <w:r>
        <w:rPr>
          <w:rFonts w:asciiTheme="majorBidi" w:hAnsiTheme="majorBidi" w:cstheme="majorBidi"/>
        </w:rPr>
        <w:t>，</w:t>
      </w:r>
      <w:r w:rsidRPr="00723098">
        <w:rPr>
          <w:rFonts w:asciiTheme="majorBidi" w:hAnsiTheme="majorBidi" w:cstheme="majorBidi"/>
        </w:rPr>
        <w:t>从</w:t>
      </w:r>
      <w:r>
        <w:rPr>
          <w:rFonts w:asciiTheme="majorBidi" w:hAnsiTheme="majorBidi" w:cstheme="majorBidi"/>
        </w:rPr>
        <w:t>92</w:t>
      </w:r>
      <w:r w:rsidRPr="00723098">
        <w:rPr>
          <w:rFonts w:asciiTheme="majorBidi" w:hAnsiTheme="majorBidi" w:cstheme="majorBidi"/>
        </w:rPr>
        <w:t>名申请人中录取了</w:t>
      </w:r>
      <w:r>
        <w:rPr>
          <w:rFonts w:asciiTheme="majorBidi" w:hAnsiTheme="majorBidi" w:cstheme="majorBidi"/>
        </w:rPr>
        <w:t>23</w:t>
      </w:r>
      <w:r w:rsidRPr="00723098">
        <w:rPr>
          <w:rFonts w:asciiTheme="majorBidi" w:hAnsiTheme="majorBidi" w:cstheme="majorBidi"/>
        </w:rPr>
        <w:t>人参加本届讲习班。</w:t>
      </w:r>
      <w:r>
        <w:rPr>
          <w:rFonts w:asciiTheme="majorBidi" w:hAnsiTheme="majorBidi" w:cstheme="majorBidi"/>
        </w:rPr>
        <w:t>1</w:t>
      </w:r>
      <w:r w:rsidRPr="00723098">
        <w:rPr>
          <w:rFonts w:asciiTheme="majorBidi" w:hAnsiTheme="majorBidi" w:cstheme="majorBidi"/>
        </w:rPr>
        <w:t>名被录取的候选人最后未能</w:t>
      </w:r>
      <w:r w:rsidRPr="002A456C">
        <w:rPr>
          <w:rFonts w:hint="eastAsia"/>
        </w:rPr>
        <w:t>参加讲习班。</w:t>
      </w:r>
    </w:p>
  </w:footnote>
  <w:footnote w:id="1489">
    <w:p w:rsidR="00AB00DE" w:rsidRPr="000652A1" w:rsidRDefault="00AB00DE" w:rsidP="001A5FC1">
      <w:pPr>
        <w:pStyle w:val="a4"/>
        <w:rPr>
          <w:sz w:val="22"/>
          <w:szCs w:val="22"/>
        </w:rPr>
      </w:pPr>
      <w:r>
        <w:rPr>
          <w:rFonts w:hint="eastAsia"/>
          <w:sz w:val="22"/>
          <w:szCs w:val="22"/>
        </w:rPr>
        <w:tab/>
      </w:r>
      <w:r w:rsidRPr="008258F3">
        <w:rPr>
          <w:rStyle w:val="a5"/>
          <w:szCs w:val="22"/>
        </w:rPr>
        <w:footnoteRef/>
      </w:r>
      <w:r>
        <w:rPr>
          <w:rFonts w:hint="eastAsia"/>
          <w:sz w:val="22"/>
          <w:szCs w:val="22"/>
        </w:rPr>
        <w:tab/>
      </w:r>
      <w:r w:rsidRPr="00D25E46">
        <w:rPr>
          <w:rFonts w:asciiTheme="majorBidi" w:hAnsiTheme="majorBidi" w:cstheme="majorBidi"/>
        </w:rPr>
        <w:t>《</w:t>
      </w:r>
      <w:r w:rsidRPr="00FE27FF">
        <w:rPr>
          <w:rFonts w:ascii="Time New Roman" w:eastAsia="楷体" w:hAnsi="Time New Roman" w:cstheme="majorBidi"/>
        </w:rPr>
        <w:t>大会第六十六届会议正式记录</w:t>
      </w:r>
      <w:r w:rsidRPr="00D25E46">
        <w:rPr>
          <w:rFonts w:asciiTheme="majorBidi" w:hAnsiTheme="majorBidi" w:cstheme="majorBidi"/>
        </w:rPr>
        <w:t>》</w:t>
      </w:r>
      <w:r>
        <w:rPr>
          <w:rFonts w:asciiTheme="majorBidi" w:hAnsiTheme="majorBidi" w:cstheme="majorBidi"/>
        </w:rPr>
        <w:t>，</w:t>
      </w:r>
      <w:r w:rsidRPr="00D25E46">
        <w:rPr>
          <w:rFonts w:asciiTheme="majorBidi" w:hAnsiTheme="majorBidi" w:cstheme="majorBidi"/>
        </w:rPr>
        <w:t>补编第</w:t>
      </w:r>
      <w:r>
        <w:rPr>
          <w:rFonts w:asciiTheme="majorBidi" w:hAnsiTheme="majorBidi" w:cstheme="majorBidi"/>
        </w:rPr>
        <w:t>1</w:t>
      </w:r>
      <w:r w:rsidRPr="00D25E46">
        <w:rPr>
          <w:rFonts w:asciiTheme="majorBidi" w:hAnsiTheme="majorBidi" w:cstheme="majorBidi"/>
        </w:rPr>
        <w:t>0</w:t>
      </w:r>
      <w:r w:rsidRPr="00D25E46">
        <w:rPr>
          <w:rFonts w:asciiTheme="majorBidi" w:hAnsiTheme="majorBidi" w:cstheme="majorBidi"/>
        </w:rPr>
        <w:t>号</w:t>
      </w:r>
      <w:r>
        <w:rPr>
          <w:rFonts w:asciiTheme="majorBidi" w:hAnsiTheme="majorBidi" w:cstheme="majorBidi"/>
        </w:rPr>
        <w:t>(A/66/1</w:t>
      </w:r>
      <w:r w:rsidRPr="00D25E46">
        <w:rPr>
          <w:rFonts w:asciiTheme="majorBidi" w:hAnsiTheme="majorBidi" w:cstheme="majorBidi"/>
        </w:rPr>
        <w:t>0</w:t>
      </w:r>
      <w:r>
        <w:rPr>
          <w:rFonts w:asciiTheme="majorBidi" w:hAnsiTheme="majorBidi" w:cstheme="majorBidi"/>
        </w:rPr>
        <w:t>)</w:t>
      </w:r>
      <w:r>
        <w:rPr>
          <w:rFonts w:asciiTheme="majorBidi" w:hAnsiTheme="majorBidi" w:cstheme="majorBidi"/>
        </w:rPr>
        <w:t>，</w:t>
      </w:r>
      <w:r w:rsidRPr="00D25E46">
        <w:rPr>
          <w:rFonts w:asciiTheme="majorBidi" w:hAnsiTheme="majorBidi" w:cstheme="majorBidi"/>
        </w:rPr>
        <w:t>第</w:t>
      </w:r>
      <w:r>
        <w:rPr>
          <w:rFonts w:asciiTheme="majorBidi" w:hAnsiTheme="majorBidi" w:cstheme="majorBidi"/>
        </w:rPr>
        <w:t>8</w:t>
      </w:r>
      <w:r w:rsidRPr="00D25E46">
        <w:rPr>
          <w:rFonts w:asciiTheme="majorBidi" w:hAnsiTheme="majorBidi" w:cstheme="majorBidi"/>
        </w:rPr>
        <w:t>0-</w:t>
      </w:r>
      <w:r>
        <w:rPr>
          <w:rFonts w:asciiTheme="majorBidi" w:hAnsiTheme="majorBidi" w:cstheme="majorBidi"/>
        </w:rPr>
        <w:t>84</w:t>
      </w:r>
      <w:r w:rsidRPr="00D25E46">
        <w:rPr>
          <w:rFonts w:asciiTheme="majorBidi" w:hAnsiTheme="majorBidi" w:cstheme="majorBidi"/>
        </w:rPr>
        <w:t>段。</w:t>
      </w:r>
    </w:p>
  </w:footnote>
  <w:footnote w:id="1490">
    <w:p w:rsidR="00AB00DE" w:rsidRPr="00D25E46" w:rsidRDefault="00AB00DE" w:rsidP="001A5FC1">
      <w:pPr>
        <w:pStyle w:val="a4"/>
      </w:pPr>
      <w:r>
        <w:rPr>
          <w:rFonts w:hint="eastAsia"/>
          <w:sz w:val="22"/>
          <w:szCs w:val="22"/>
        </w:rPr>
        <w:tab/>
      </w:r>
      <w:r w:rsidRPr="008258F3">
        <w:rPr>
          <w:rStyle w:val="a5"/>
          <w:szCs w:val="22"/>
        </w:rPr>
        <w:footnoteRef/>
      </w:r>
      <w:r>
        <w:rPr>
          <w:rFonts w:hint="eastAsia"/>
          <w:sz w:val="22"/>
          <w:szCs w:val="22"/>
        </w:rPr>
        <w:tab/>
      </w:r>
      <w:r w:rsidRPr="00D25E46">
        <w:rPr>
          <w:rFonts w:hint="eastAsia"/>
        </w:rPr>
        <w:t>大会</w:t>
      </w:r>
      <w:r>
        <w:rPr>
          <w:rFonts w:hint="eastAsia"/>
        </w:rPr>
        <w:t>2</w:t>
      </w:r>
      <w:r w:rsidRPr="00D25E46">
        <w:rPr>
          <w:rFonts w:hint="eastAsia"/>
        </w:rPr>
        <w:t>0</w:t>
      </w:r>
      <w:r>
        <w:rPr>
          <w:rFonts w:hint="eastAsia"/>
        </w:rPr>
        <w:t>11</w:t>
      </w:r>
      <w:r w:rsidRPr="00D25E46">
        <w:rPr>
          <w:rFonts w:hint="eastAsia"/>
        </w:rPr>
        <w:t>年</w:t>
      </w:r>
      <w:r>
        <w:rPr>
          <w:rFonts w:hint="eastAsia"/>
        </w:rPr>
        <w:t>12</w:t>
      </w:r>
      <w:r w:rsidRPr="00D25E46">
        <w:rPr>
          <w:rFonts w:hint="eastAsia"/>
        </w:rPr>
        <w:t>月</w:t>
      </w:r>
      <w:r>
        <w:rPr>
          <w:rFonts w:hint="eastAsia"/>
        </w:rPr>
        <w:t>9</w:t>
      </w:r>
      <w:r w:rsidRPr="00D25E46">
        <w:rPr>
          <w:rFonts w:hint="eastAsia"/>
        </w:rPr>
        <w:t>日第</w:t>
      </w:r>
      <w:r>
        <w:t>66/1</w:t>
      </w:r>
      <w:r w:rsidRPr="00D25E46">
        <w:t>00</w:t>
      </w:r>
      <w:r w:rsidRPr="00D25E46">
        <w:rPr>
          <w:rFonts w:hint="eastAsia"/>
        </w:rPr>
        <w:t>号决议。</w:t>
      </w:r>
    </w:p>
  </w:footnote>
  <w:footnote w:id="1491">
    <w:p w:rsidR="00AB00DE" w:rsidRPr="00D25E46" w:rsidRDefault="00AB00DE" w:rsidP="001A5FC1">
      <w:pPr>
        <w:pStyle w:val="a4"/>
        <w:rPr>
          <w:rFonts w:asciiTheme="majorBidi" w:hAnsiTheme="majorBidi" w:cstheme="majorBidi"/>
        </w:rPr>
      </w:pPr>
      <w:r>
        <w:rPr>
          <w:rFonts w:hint="eastAsia"/>
          <w:sz w:val="22"/>
          <w:szCs w:val="22"/>
        </w:rPr>
        <w:tab/>
      </w:r>
      <w:r w:rsidRPr="008258F3">
        <w:rPr>
          <w:rStyle w:val="a5"/>
          <w:szCs w:val="22"/>
        </w:rPr>
        <w:footnoteRef/>
      </w:r>
      <w:r>
        <w:rPr>
          <w:rFonts w:hint="eastAsia"/>
          <w:sz w:val="22"/>
          <w:szCs w:val="22"/>
        </w:rPr>
        <w:tab/>
      </w:r>
      <w:r w:rsidRPr="00D25E46">
        <w:rPr>
          <w:rFonts w:asciiTheme="majorBidi" w:hAnsiTheme="majorBidi" w:cstheme="majorBidi" w:hint="eastAsia"/>
        </w:rPr>
        <w:t>《</w:t>
      </w:r>
      <w:r w:rsidRPr="00FE27FF">
        <w:rPr>
          <w:rFonts w:ascii="Time New Roman" w:eastAsia="楷体" w:hAnsi="Time New Roman" w:cstheme="majorBidi" w:hint="eastAsia"/>
        </w:rPr>
        <w:t>国际法年鉴</w:t>
      </w:r>
      <w:r w:rsidRPr="00D25E46">
        <w:rPr>
          <w:rFonts w:asciiTheme="majorBidi" w:hAnsiTheme="majorBidi" w:cstheme="majorBidi" w:hint="eastAsia"/>
        </w:rPr>
        <w:t>》</w:t>
      </w:r>
      <w:r>
        <w:rPr>
          <w:rFonts w:asciiTheme="majorBidi" w:hAnsiTheme="majorBidi" w:cstheme="majorBidi" w:hint="eastAsia"/>
        </w:rPr>
        <w:t>，</w:t>
      </w:r>
      <w:r>
        <w:rPr>
          <w:rFonts w:asciiTheme="majorBidi" w:hAnsiTheme="majorBidi" w:cstheme="majorBidi"/>
        </w:rPr>
        <w:t>2</w:t>
      </w:r>
      <w:r w:rsidRPr="00D25E46">
        <w:rPr>
          <w:rFonts w:asciiTheme="majorBidi" w:hAnsiTheme="majorBidi" w:cstheme="majorBidi"/>
        </w:rPr>
        <w:t>00</w:t>
      </w:r>
      <w:r>
        <w:rPr>
          <w:rFonts w:asciiTheme="majorBidi" w:hAnsiTheme="majorBidi" w:cstheme="majorBidi"/>
        </w:rPr>
        <w:t>2</w:t>
      </w:r>
      <w:r w:rsidRPr="00D25E46">
        <w:rPr>
          <w:rFonts w:asciiTheme="majorBidi" w:hAnsiTheme="majorBidi" w:cstheme="majorBidi" w:hint="eastAsia"/>
        </w:rPr>
        <w:t>年</w:t>
      </w:r>
      <w:r>
        <w:rPr>
          <w:rFonts w:asciiTheme="majorBidi" w:hAnsiTheme="majorBidi" w:cstheme="majorBidi" w:hint="eastAsia"/>
        </w:rPr>
        <w:t>，</w:t>
      </w:r>
      <w:r w:rsidRPr="00D25E46">
        <w:rPr>
          <w:rFonts w:asciiTheme="majorBidi" w:hAnsiTheme="majorBidi" w:cstheme="majorBidi" w:hint="eastAsia"/>
        </w:rPr>
        <w:t>第二卷第二部分</w:t>
      </w:r>
      <w:r>
        <w:rPr>
          <w:rFonts w:asciiTheme="majorBidi" w:hAnsiTheme="majorBidi" w:cstheme="majorBidi" w:hint="eastAsia"/>
        </w:rPr>
        <w:t>，</w:t>
      </w:r>
      <w:r>
        <w:rPr>
          <w:rFonts w:asciiTheme="majorBidi" w:hAnsiTheme="majorBidi" w:cstheme="majorBidi"/>
        </w:rPr>
        <w:t>96</w:t>
      </w:r>
      <w:r w:rsidRPr="00D25E46">
        <w:rPr>
          <w:rFonts w:asciiTheme="majorBidi" w:hAnsiTheme="majorBidi" w:cstheme="majorBidi" w:hint="eastAsia"/>
        </w:rPr>
        <w:t>页第</w:t>
      </w:r>
      <w:r>
        <w:rPr>
          <w:rFonts w:asciiTheme="majorBidi" w:hAnsiTheme="majorBidi" w:cstheme="majorBidi"/>
        </w:rPr>
        <w:t>486</w:t>
      </w:r>
      <w:r w:rsidRPr="00D25E46">
        <w:rPr>
          <w:rFonts w:asciiTheme="majorBidi" w:hAnsiTheme="majorBidi" w:cstheme="majorBidi" w:hint="eastAsia"/>
        </w:rPr>
        <w:t>段。</w:t>
      </w:r>
    </w:p>
  </w:footnote>
  <w:footnote w:id="1492">
    <w:p w:rsidR="00AB00DE" w:rsidRPr="00D25E46" w:rsidRDefault="00AB00DE" w:rsidP="001A5FC1">
      <w:pPr>
        <w:pStyle w:val="a4"/>
        <w:rPr>
          <w:rFonts w:asciiTheme="majorBidi" w:hAnsiTheme="majorBidi" w:cstheme="majorBidi"/>
        </w:rPr>
      </w:pPr>
      <w:r>
        <w:rPr>
          <w:rFonts w:eastAsiaTheme="minorEastAsia" w:hint="eastAsia"/>
          <w:sz w:val="22"/>
          <w:szCs w:val="22"/>
        </w:rPr>
        <w:tab/>
      </w:r>
      <w:r w:rsidRPr="008258F3">
        <w:rPr>
          <w:rStyle w:val="a5"/>
          <w:szCs w:val="22"/>
        </w:rPr>
        <w:footnoteRef/>
      </w:r>
      <w:r>
        <w:rPr>
          <w:rFonts w:eastAsiaTheme="minorEastAsia" w:hint="eastAsia"/>
          <w:sz w:val="22"/>
          <w:szCs w:val="22"/>
        </w:rPr>
        <w:tab/>
      </w:r>
      <w:r w:rsidRPr="00D25E46">
        <w:rPr>
          <w:rFonts w:asciiTheme="majorBidi" w:hAnsiTheme="majorBidi" w:cstheme="majorBidi" w:hint="eastAsia"/>
        </w:rPr>
        <w:t>见</w:t>
      </w:r>
      <w:r>
        <w:rPr>
          <w:rFonts w:asciiTheme="majorBidi" w:hAnsiTheme="majorBidi" w:cstheme="majorBidi" w:hint="eastAsia"/>
        </w:rPr>
        <w:t>2</w:t>
      </w:r>
      <w:r w:rsidRPr="00D25E46">
        <w:rPr>
          <w:rFonts w:asciiTheme="majorBidi" w:hAnsiTheme="majorBidi" w:cstheme="majorBidi" w:hint="eastAsia"/>
        </w:rPr>
        <w:t>0</w:t>
      </w:r>
      <w:r>
        <w:rPr>
          <w:rFonts w:asciiTheme="majorBidi" w:hAnsiTheme="majorBidi" w:cstheme="majorBidi" w:hint="eastAsia"/>
        </w:rPr>
        <w:t>1</w:t>
      </w:r>
      <w:r w:rsidRPr="00D25E46">
        <w:rPr>
          <w:rFonts w:asciiTheme="majorBidi" w:hAnsiTheme="majorBidi" w:cstheme="majorBidi" w:hint="eastAsia"/>
        </w:rPr>
        <w:t>0</w:t>
      </w:r>
      <w:r w:rsidRPr="00D25E46">
        <w:rPr>
          <w:rFonts w:asciiTheme="majorBidi" w:hAnsiTheme="majorBidi" w:cstheme="majorBidi" w:hint="eastAsia"/>
        </w:rPr>
        <w:t>年</w:t>
      </w:r>
      <w:r>
        <w:rPr>
          <w:rFonts w:asciiTheme="majorBidi" w:hAnsiTheme="majorBidi" w:cstheme="majorBidi" w:hint="eastAsia"/>
        </w:rPr>
        <w:t>7</w:t>
      </w:r>
      <w:r w:rsidRPr="00D25E46">
        <w:rPr>
          <w:rFonts w:asciiTheme="majorBidi" w:hAnsiTheme="majorBidi" w:cstheme="majorBidi" w:hint="eastAsia"/>
        </w:rPr>
        <w:t>月</w:t>
      </w:r>
      <w:r>
        <w:rPr>
          <w:rFonts w:asciiTheme="majorBidi" w:hAnsiTheme="majorBidi" w:cstheme="majorBidi" w:hint="eastAsia"/>
        </w:rPr>
        <w:t>29</w:t>
      </w:r>
      <w:r w:rsidRPr="00D25E46">
        <w:rPr>
          <w:rFonts w:asciiTheme="majorBidi" w:hAnsiTheme="majorBidi" w:cstheme="majorBidi" w:hint="eastAsia"/>
        </w:rPr>
        <w:t>日和</w:t>
      </w:r>
      <w:r>
        <w:rPr>
          <w:rFonts w:asciiTheme="majorBidi" w:hAnsiTheme="majorBidi" w:cstheme="majorBidi" w:hint="eastAsia"/>
        </w:rPr>
        <w:t>2</w:t>
      </w:r>
      <w:r w:rsidRPr="00D25E46">
        <w:rPr>
          <w:rFonts w:asciiTheme="majorBidi" w:hAnsiTheme="majorBidi" w:cstheme="majorBidi" w:hint="eastAsia"/>
        </w:rPr>
        <w:t>0</w:t>
      </w:r>
      <w:r>
        <w:rPr>
          <w:rFonts w:asciiTheme="majorBidi" w:hAnsiTheme="majorBidi" w:cstheme="majorBidi" w:hint="eastAsia"/>
        </w:rPr>
        <w:t>11</w:t>
      </w:r>
      <w:r w:rsidRPr="00D25E46">
        <w:rPr>
          <w:rFonts w:asciiTheme="majorBidi" w:hAnsiTheme="majorBidi" w:cstheme="majorBidi" w:hint="eastAsia"/>
        </w:rPr>
        <w:t>年</w:t>
      </w:r>
      <w:r>
        <w:rPr>
          <w:rFonts w:asciiTheme="majorBidi" w:hAnsiTheme="majorBidi" w:cstheme="majorBidi" w:hint="eastAsia"/>
        </w:rPr>
        <w:t>5</w:t>
      </w:r>
      <w:r w:rsidRPr="00D25E46">
        <w:rPr>
          <w:rFonts w:asciiTheme="majorBidi" w:hAnsiTheme="majorBidi" w:cstheme="majorBidi" w:hint="eastAsia"/>
        </w:rPr>
        <w:t>月</w:t>
      </w:r>
      <w:r>
        <w:rPr>
          <w:rFonts w:asciiTheme="majorBidi" w:hAnsiTheme="majorBidi" w:cstheme="majorBidi" w:hint="eastAsia"/>
        </w:rPr>
        <w:t>31</w:t>
      </w:r>
      <w:r w:rsidRPr="00D25E46">
        <w:rPr>
          <w:rFonts w:asciiTheme="majorBidi" w:hAnsiTheme="majorBidi" w:cstheme="majorBidi" w:hint="eastAsia"/>
        </w:rPr>
        <w:t>日及</w:t>
      </w:r>
      <w:r>
        <w:rPr>
          <w:rFonts w:asciiTheme="majorBidi" w:hAnsiTheme="majorBidi" w:cstheme="majorBidi" w:hint="eastAsia"/>
        </w:rPr>
        <w:t>6</w:t>
      </w:r>
      <w:r w:rsidRPr="00D25E46">
        <w:rPr>
          <w:rFonts w:asciiTheme="majorBidi" w:hAnsiTheme="majorBidi" w:cstheme="majorBidi" w:hint="eastAsia"/>
        </w:rPr>
        <w:t>月</w:t>
      </w:r>
      <w:r>
        <w:rPr>
          <w:rFonts w:asciiTheme="majorBidi" w:hAnsiTheme="majorBidi" w:cstheme="majorBidi" w:hint="eastAsia"/>
        </w:rPr>
        <w:t>1</w:t>
      </w:r>
      <w:r w:rsidRPr="00D25E46">
        <w:rPr>
          <w:rFonts w:asciiTheme="majorBidi" w:hAnsiTheme="majorBidi" w:cstheme="majorBidi" w:hint="eastAsia"/>
        </w:rPr>
        <w:t>日</w:t>
      </w:r>
      <w:r w:rsidRPr="00D25E46">
        <w:rPr>
          <w:rFonts w:asciiTheme="majorBidi" w:hAnsiTheme="majorBidi" w:cstheme="majorBidi"/>
        </w:rPr>
        <w:t>全体会议的简要记录</w:t>
      </w:r>
      <w:r>
        <w:rPr>
          <w:rFonts w:asciiTheme="majorBidi" w:hAnsiTheme="majorBidi" w:cstheme="majorBidi"/>
        </w:rPr>
        <w:t>：</w:t>
      </w:r>
      <w:r w:rsidRPr="00D25E46">
        <w:rPr>
          <w:rFonts w:asciiTheme="majorBidi" w:hAnsiTheme="majorBidi" w:cstheme="majorBidi" w:hint="eastAsia"/>
        </w:rPr>
        <w:t>文件</w:t>
      </w:r>
      <w:r>
        <w:rPr>
          <w:rFonts w:asciiTheme="majorBidi" w:hAnsiTheme="majorBidi" w:cstheme="majorBidi"/>
        </w:rPr>
        <w:t>A/CN</w:t>
      </w:r>
      <w:r w:rsidRPr="00D25E46">
        <w:rPr>
          <w:rFonts w:asciiTheme="majorBidi" w:hAnsiTheme="majorBidi" w:cstheme="majorBidi"/>
        </w:rPr>
        <w:t>.</w:t>
      </w:r>
      <w:r>
        <w:rPr>
          <w:rFonts w:asciiTheme="majorBidi" w:hAnsiTheme="majorBidi" w:cstheme="majorBidi"/>
        </w:rPr>
        <w:t>4/SR</w:t>
      </w:r>
      <w:r w:rsidRPr="00D25E46">
        <w:rPr>
          <w:rFonts w:asciiTheme="majorBidi" w:hAnsiTheme="majorBidi" w:cstheme="majorBidi"/>
        </w:rPr>
        <w:t>.</w:t>
      </w:r>
      <w:r>
        <w:rPr>
          <w:rFonts w:asciiTheme="majorBidi" w:hAnsiTheme="majorBidi" w:cstheme="majorBidi"/>
        </w:rPr>
        <w:t>3</w:t>
      </w:r>
      <w:r w:rsidRPr="00D25E46">
        <w:rPr>
          <w:rFonts w:asciiTheme="majorBidi" w:hAnsiTheme="majorBidi" w:cstheme="majorBidi"/>
        </w:rPr>
        <w:t>0</w:t>
      </w:r>
      <w:r>
        <w:rPr>
          <w:rFonts w:asciiTheme="majorBidi" w:hAnsiTheme="majorBidi" w:cstheme="majorBidi"/>
        </w:rPr>
        <w:t>7</w:t>
      </w:r>
      <w:r w:rsidRPr="00D25E46">
        <w:rPr>
          <w:rFonts w:asciiTheme="majorBidi" w:hAnsiTheme="majorBidi" w:cstheme="majorBidi"/>
        </w:rPr>
        <w:t>0</w:t>
      </w:r>
      <w:r w:rsidRPr="00D25E46">
        <w:rPr>
          <w:rFonts w:asciiTheme="majorBidi" w:hAnsiTheme="majorBidi" w:cstheme="majorBidi" w:hint="eastAsia"/>
        </w:rPr>
        <w:t>、</w:t>
      </w:r>
      <w:r>
        <w:rPr>
          <w:rFonts w:asciiTheme="majorBidi" w:hAnsiTheme="majorBidi" w:cstheme="majorBidi"/>
        </w:rPr>
        <w:t>A/CN</w:t>
      </w:r>
      <w:r w:rsidRPr="00D25E46">
        <w:rPr>
          <w:rFonts w:asciiTheme="majorBidi" w:hAnsiTheme="majorBidi" w:cstheme="majorBidi"/>
        </w:rPr>
        <w:t>.</w:t>
      </w:r>
      <w:r>
        <w:rPr>
          <w:rFonts w:asciiTheme="majorBidi" w:hAnsiTheme="majorBidi" w:cstheme="majorBidi"/>
        </w:rPr>
        <w:t>4/SR</w:t>
      </w:r>
      <w:r w:rsidRPr="00D25E46">
        <w:rPr>
          <w:rFonts w:asciiTheme="majorBidi" w:hAnsiTheme="majorBidi" w:cstheme="majorBidi"/>
        </w:rPr>
        <w:t>.</w:t>
      </w:r>
      <w:r>
        <w:rPr>
          <w:rFonts w:asciiTheme="majorBidi" w:hAnsiTheme="majorBidi" w:cstheme="majorBidi"/>
        </w:rPr>
        <w:t>3</w:t>
      </w:r>
      <w:r w:rsidRPr="00D25E46">
        <w:rPr>
          <w:rFonts w:asciiTheme="majorBidi" w:hAnsiTheme="majorBidi" w:cstheme="majorBidi"/>
        </w:rPr>
        <w:t>0</w:t>
      </w:r>
      <w:r>
        <w:rPr>
          <w:rFonts w:asciiTheme="majorBidi" w:hAnsiTheme="majorBidi" w:cstheme="majorBidi"/>
        </w:rPr>
        <w:t>95</w:t>
      </w:r>
      <w:r w:rsidRPr="00D25E46">
        <w:rPr>
          <w:rFonts w:asciiTheme="majorBidi" w:hAnsiTheme="majorBidi" w:cstheme="majorBidi" w:hint="eastAsia"/>
        </w:rPr>
        <w:t>和</w:t>
      </w:r>
      <w:r>
        <w:rPr>
          <w:rFonts w:asciiTheme="majorBidi" w:hAnsiTheme="majorBidi" w:cstheme="majorBidi"/>
        </w:rPr>
        <w:t>A/CN</w:t>
      </w:r>
      <w:r w:rsidRPr="00D25E46">
        <w:rPr>
          <w:rFonts w:asciiTheme="majorBidi" w:hAnsiTheme="majorBidi" w:cstheme="majorBidi"/>
        </w:rPr>
        <w:t>.</w:t>
      </w:r>
      <w:r>
        <w:rPr>
          <w:rFonts w:asciiTheme="majorBidi" w:hAnsiTheme="majorBidi" w:cstheme="majorBidi"/>
        </w:rPr>
        <w:t>4/SR</w:t>
      </w:r>
      <w:r w:rsidRPr="00D25E46">
        <w:rPr>
          <w:rFonts w:asciiTheme="majorBidi" w:hAnsiTheme="majorBidi" w:cstheme="majorBidi"/>
        </w:rPr>
        <w:t>.</w:t>
      </w:r>
      <w:r>
        <w:rPr>
          <w:rFonts w:asciiTheme="majorBidi" w:hAnsiTheme="majorBidi" w:cstheme="majorBidi"/>
        </w:rPr>
        <w:t>3</w:t>
      </w:r>
      <w:r w:rsidRPr="00D25E46">
        <w:rPr>
          <w:rFonts w:asciiTheme="majorBidi" w:hAnsiTheme="majorBidi" w:cstheme="majorBidi"/>
        </w:rPr>
        <w:t>0</w:t>
      </w:r>
      <w:r>
        <w:rPr>
          <w:rFonts w:asciiTheme="majorBidi" w:hAnsiTheme="majorBidi" w:cstheme="majorBidi"/>
        </w:rPr>
        <w:t>96</w:t>
      </w:r>
      <w:r w:rsidRPr="00D25E46">
        <w:rPr>
          <w:rFonts w:asciiTheme="majorBidi" w:hAnsiTheme="majorBidi" w:cstheme="majorBidi" w:hint="eastAsia"/>
        </w:rPr>
        <w:t>。</w:t>
      </w:r>
      <w:r w:rsidRPr="00D25E46">
        <w:rPr>
          <w:rFonts w:asciiTheme="majorBidi" w:hAnsiTheme="majorBidi" w:cstheme="majorBidi"/>
        </w:rPr>
        <w:t>委员会在</w:t>
      </w:r>
      <w:r>
        <w:rPr>
          <w:rFonts w:asciiTheme="majorBidi" w:hAnsiTheme="majorBidi" w:cstheme="majorBidi"/>
        </w:rPr>
        <w:t>2</w:t>
      </w:r>
      <w:r w:rsidRPr="00D25E46">
        <w:rPr>
          <w:rFonts w:asciiTheme="majorBidi" w:hAnsiTheme="majorBidi" w:cstheme="majorBidi"/>
        </w:rPr>
        <w:t>0</w:t>
      </w:r>
      <w:r>
        <w:rPr>
          <w:rFonts w:asciiTheme="majorBidi" w:hAnsiTheme="majorBidi" w:cstheme="majorBidi"/>
        </w:rPr>
        <w:t>1</w:t>
      </w:r>
      <w:r w:rsidRPr="00D25E46">
        <w:rPr>
          <w:rFonts w:asciiTheme="majorBidi" w:hAnsiTheme="majorBidi" w:cstheme="majorBidi"/>
        </w:rPr>
        <w:t>0</w:t>
      </w:r>
      <w:r w:rsidRPr="00D25E46">
        <w:rPr>
          <w:rFonts w:asciiTheme="majorBidi" w:hAnsiTheme="majorBidi" w:cstheme="majorBidi"/>
        </w:rPr>
        <w:t>年收到了秘书处关于解决争端条款的说明</w:t>
      </w:r>
      <w:r>
        <w:rPr>
          <w:rFonts w:asciiTheme="majorBidi" w:hAnsiTheme="majorBidi" w:cstheme="majorBidi"/>
        </w:rPr>
        <w:t>(</w:t>
      </w:r>
      <w:r w:rsidRPr="00D25E46">
        <w:rPr>
          <w:rFonts w:asciiTheme="majorBidi" w:hAnsiTheme="majorBidi" w:cstheme="majorBidi" w:hint="eastAsia"/>
        </w:rPr>
        <w:t>文件</w:t>
      </w:r>
      <w:r>
        <w:rPr>
          <w:rFonts w:asciiTheme="majorBidi" w:hAnsiTheme="majorBidi" w:cstheme="majorBidi"/>
        </w:rPr>
        <w:t>A/CN</w:t>
      </w:r>
      <w:r w:rsidRPr="00D25E46">
        <w:rPr>
          <w:rFonts w:asciiTheme="majorBidi" w:hAnsiTheme="majorBidi" w:cstheme="majorBidi"/>
        </w:rPr>
        <w:t>.</w:t>
      </w:r>
      <w:r>
        <w:rPr>
          <w:rFonts w:asciiTheme="majorBidi" w:hAnsiTheme="majorBidi" w:cstheme="majorBidi"/>
        </w:rPr>
        <w:t>4/623)</w:t>
      </w:r>
      <w:r>
        <w:rPr>
          <w:rFonts w:asciiTheme="majorBidi" w:hAnsiTheme="majorBidi" w:cstheme="majorBidi" w:hint="eastAsia"/>
        </w:rPr>
        <w:t>，</w:t>
      </w:r>
      <w:r>
        <w:rPr>
          <w:rFonts w:asciiTheme="majorBidi" w:hAnsiTheme="majorBidi" w:cstheme="majorBidi"/>
        </w:rPr>
        <w:t>2</w:t>
      </w:r>
      <w:r w:rsidRPr="00D25E46">
        <w:rPr>
          <w:rFonts w:asciiTheme="majorBidi" w:hAnsiTheme="majorBidi" w:cstheme="majorBidi"/>
        </w:rPr>
        <w:t>0</w:t>
      </w:r>
      <w:r>
        <w:rPr>
          <w:rFonts w:asciiTheme="majorBidi" w:hAnsiTheme="majorBidi" w:cstheme="majorBidi"/>
        </w:rPr>
        <w:t>11</w:t>
      </w:r>
      <w:r w:rsidRPr="00D25E46">
        <w:rPr>
          <w:rFonts w:asciiTheme="majorBidi" w:hAnsiTheme="majorBidi" w:cstheme="majorBidi"/>
        </w:rPr>
        <w:t>年收到了关于和平解决争端的工作文件</w:t>
      </w:r>
      <w:r>
        <w:rPr>
          <w:rFonts w:asciiTheme="majorBidi" w:hAnsiTheme="majorBidi" w:cstheme="majorBidi" w:hint="eastAsia"/>
        </w:rPr>
        <w:t>(</w:t>
      </w:r>
      <w:r w:rsidRPr="00D25E46">
        <w:rPr>
          <w:rFonts w:asciiTheme="majorBidi" w:hAnsiTheme="majorBidi" w:cstheme="majorBidi" w:hint="eastAsia"/>
        </w:rPr>
        <w:t>文件</w:t>
      </w:r>
      <w:r>
        <w:rPr>
          <w:rFonts w:asciiTheme="majorBidi" w:hAnsiTheme="majorBidi" w:cstheme="majorBidi"/>
        </w:rPr>
        <w:t>A/CN</w:t>
      </w:r>
      <w:r w:rsidRPr="00D25E46">
        <w:rPr>
          <w:rFonts w:asciiTheme="majorBidi" w:hAnsiTheme="majorBidi" w:cstheme="majorBidi"/>
        </w:rPr>
        <w:t>.</w:t>
      </w:r>
      <w:r>
        <w:rPr>
          <w:rFonts w:asciiTheme="majorBidi" w:hAnsiTheme="majorBidi" w:cstheme="majorBidi"/>
        </w:rPr>
        <w:t>4/641)</w:t>
      </w:r>
      <w:r w:rsidRPr="00D25E46">
        <w:rPr>
          <w:rFonts w:asciiTheme="majorBidi" w:hAnsiTheme="majorBidi" w:cstheme="majorBidi" w:hint="eastAsia"/>
        </w:rPr>
        <w:t>。</w:t>
      </w:r>
    </w:p>
  </w:footnote>
  <w:footnote w:id="1493">
    <w:p w:rsidR="00AB00DE" w:rsidRPr="00D25E46" w:rsidRDefault="00AB00DE" w:rsidP="001A5FC1">
      <w:pPr>
        <w:pStyle w:val="a4"/>
        <w:rPr>
          <w:rFonts w:eastAsiaTheme="minorEastAsia"/>
        </w:rPr>
      </w:pPr>
      <w:r>
        <w:rPr>
          <w:rFonts w:hint="eastAsia"/>
          <w:sz w:val="22"/>
          <w:szCs w:val="22"/>
        </w:rPr>
        <w:tab/>
      </w:r>
      <w:r w:rsidRPr="008258F3">
        <w:rPr>
          <w:rStyle w:val="a5"/>
          <w:szCs w:val="22"/>
        </w:rPr>
        <w:footnoteRef/>
      </w:r>
      <w:r>
        <w:rPr>
          <w:rFonts w:hint="eastAsia"/>
          <w:sz w:val="22"/>
          <w:szCs w:val="22"/>
        </w:rPr>
        <w:tab/>
      </w:r>
      <w:r>
        <w:rPr>
          <w:rFonts w:eastAsiaTheme="minorEastAsia" w:hint="eastAsia"/>
        </w:rPr>
        <w:t>“</w:t>
      </w:r>
      <w:r w:rsidRPr="00D25E46">
        <w:rPr>
          <w:rFonts w:eastAsiaTheme="minorEastAsia"/>
        </w:rPr>
        <w:t>国际组织</w:t>
      </w:r>
      <w:r>
        <w:rPr>
          <w:rFonts w:eastAsiaTheme="minorEastAsia" w:hint="eastAsia"/>
        </w:rPr>
        <w:t>”</w:t>
      </w:r>
      <w:r w:rsidRPr="00D25E46">
        <w:rPr>
          <w:rFonts w:eastAsiaTheme="minorEastAsia"/>
        </w:rPr>
        <w:t>一</w:t>
      </w:r>
      <w:r w:rsidRPr="00D25E46">
        <w:rPr>
          <w:rFonts w:eastAsiaTheme="minorEastAsia" w:hint="eastAsia"/>
        </w:rPr>
        <w:t>词</w:t>
      </w:r>
      <w:r w:rsidRPr="00D25E46">
        <w:rPr>
          <w:rFonts w:eastAsiaTheme="minorEastAsia"/>
        </w:rPr>
        <w:t>的理解</w:t>
      </w:r>
      <w:r w:rsidRPr="00D25E46">
        <w:rPr>
          <w:rFonts w:eastAsiaTheme="minorEastAsia" w:hint="eastAsia"/>
        </w:rPr>
        <w:t>应</w:t>
      </w:r>
      <w:r w:rsidRPr="00D25E46">
        <w:rPr>
          <w:rFonts w:eastAsiaTheme="minorEastAsia"/>
        </w:rPr>
        <w:t>沿循</w:t>
      </w:r>
      <w:r w:rsidRPr="00D25E46">
        <w:rPr>
          <w:rFonts w:eastAsiaTheme="minorEastAsia" w:hint="eastAsia"/>
        </w:rPr>
        <w:t>关于</w:t>
      </w:r>
      <w:r w:rsidRPr="00D25E46">
        <w:rPr>
          <w:rFonts w:eastAsiaTheme="minorEastAsia"/>
        </w:rPr>
        <w:t>国际组织责任</w:t>
      </w:r>
      <w:r>
        <w:rPr>
          <w:rFonts w:eastAsiaTheme="minorEastAsia" w:hint="eastAsia"/>
        </w:rPr>
        <w:t>的</w:t>
      </w:r>
      <w:r w:rsidRPr="00D25E46">
        <w:rPr>
          <w:rFonts w:eastAsiaTheme="minorEastAsia"/>
        </w:rPr>
        <w:t>条款草案中的定义</w:t>
      </w:r>
      <w:r>
        <w:rPr>
          <w:rFonts w:eastAsiaTheme="minorEastAsia" w:hint="eastAsia"/>
        </w:rPr>
        <w:t>(</w:t>
      </w:r>
      <w:r w:rsidRPr="00D25E46">
        <w:rPr>
          <w:rFonts w:eastAsiaTheme="minorEastAsia" w:hint="eastAsia"/>
        </w:rPr>
        <w:t>第</w:t>
      </w:r>
      <w:r>
        <w:rPr>
          <w:rFonts w:eastAsiaTheme="minorEastAsia"/>
        </w:rPr>
        <w:t>2</w:t>
      </w:r>
      <w:r w:rsidRPr="00D25E46">
        <w:rPr>
          <w:rFonts w:eastAsiaTheme="minorEastAsia" w:hint="eastAsia"/>
        </w:rPr>
        <w:t>条</w:t>
      </w:r>
      <w:r>
        <w:rPr>
          <w:rFonts w:eastAsiaTheme="minorEastAsia"/>
        </w:rPr>
        <w:t>(a)</w:t>
      </w:r>
      <w:r>
        <w:rPr>
          <w:rFonts w:eastAsiaTheme="minorEastAsia" w:hint="eastAsia"/>
        </w:rPr>
        <w:t>：“</w:t>
      </w:r>
      <w:r w:rsidRPr="00D25E46">
        <w:rPr>
          <w:rFonts w:eastAsiaTheme="minorEastAsia" w:hint="eastAsia"/>
        </w:rPr>
        <w:t>‘国际组织’是指根据条约或受国际法制约的其他文书建立的具有独立</w:t>
      </w:r>
      <w:r>
        <w:rPr>
          <w:rFonts w:eastAsiaTheme="minorEastAsia" w:hint="eastAsia"/>
        </w:rPr>
        <w:t>国际法律人格的组织。国际组织的成员除国家以外，还可包括其他实体”</w:t>
      </w:r>
      <w:r>
        <w:rPr>
          <w:rFonts w:eastAsiaTheme="minorEastAsia" w:hint="eastAsia"/>
        </w:rPr>
        <w:t>)</w:t>
      </w:r>
      <w:r w:rsidRPr="00D25E46">
        <w:rPr>
          <w:rFonts w:eastAsiaTheme="minorEastAsia" w:hint="eastAsia"/>
        </w:rPr>
        <w:t>。</w:t>
      </w:r>
    </w:p>
  </w:footnote>
  <w:footnote w:id="1494">
    <w:p w:rsidR="00AB00DE" w:rsidRPr="00D25E46" w:rsidRDefault="00AB00DE" w:rsidP="001A5FC1">
      <w:pPr>
        <w:pStyle w:val="a4"/>
        <w:rPr>
          <w:rFonts w:eastAsiaTheme="minorEastAsia"/>
        </w:rPr>
      </w:pPr>
      <w:r>
        <w:rPr>
          <w:rFonts w:hint="eastAsia"/>
          <w:sz w:val="22"/>
          <w:szCs w:val="22"/>
        </w:rPr>
        <w:tab/>
      </w:r>
      <w:r w:rsidRPr="008258F3">
        <w:rPr>
          <w:rStyle w:val="a5"/>
          <w:szCs w:val="22"/>
        </w:rPr>
        <w:footnoteRef/>
      </w:r>
      <w:r>
        <w:rPr>
          <w:rFonts w:hint="eastAsia"/>
          <w:sz w:val="22"/>
          <w:szCs w:val="22"/>
        </w:rPr>
        <w:tab/>
      </w:r>
      <w:r w:rsidRPr="00D25E46">
        <w:rPr>
          <w:rFonts w:eastAsiaTheme="minorEastAsia"/>
        </w:rPr>
        <w:t>例如</w:t>
      </w:r>
      <w:r w:rsidRPr="00D25E46">
        <w:rPr>
          <w:rFonts w:eastAsiaTheme="minorEastAsia" w:hint="eastAsia"/>
        </w:rPr>
        <w:t>见</w:t>
      </w:r>
      <w:r w:rsidRPr="001F6A68">
        <w:rPr>
          <w:rFonts w:eastAsia="楷体"/>
        </w:rPr>
        <w:t>对国际民用航空组织理事会管辖权的上诉案</w:t>
      </w:r>
      <w:r>
        <w:rPr>
          <w:rFonts w:eastAsiaTheme="minorEastAsia"/>
        </w:rPr>
        <w:t>，</w:t>
      </w:r>
      <w:r w:rsidRPr="00D25E46">
        <w:rPr>
          <w:rFonts w:eastAsiaTheme="minorEastAsia" w:hint="eastAsia"/>
        </w:rPr>
        <w:t>《</w:t>
      </w:r>
      <w:r>
        <w:rPr>
          <w:rFonts w:eastAsiaTheme="minorEastAsia"/>
        </w:rPr>
        <w:t>1972</w:t>
      </w:r>
      <w:r w:rsidRPr="00D25E46">
        <w:rPr>
          <w:rFonts w:ascii="宋体" w:eastAsiaTheme="minorEastAsia" w:hAnsi="宋体" w:cs="宋体" w:hint="eastAsia"/>
        </w:rPr>
        <w:t>年</w:t>
      </w:r>
      <w:r w:rsidRPr="00D25E46">
        <w:rPr>
          <w:rFonts w:eastAsiaTheme="minorEastAsia"/>
        </w:rPr>
        <w:t>国际法院</w:t>
      </w:r>
      <w:r>
        <w:rPr>
          <w:rFonts w:eastAsiaTheme="minorEastAsia" w:hint="eastAsia"/>
        </w:rPr>
        <w:t>案例汇编</w:t>
      </w:r>
      <w:r w:rsidRPr="00D25E46">
        <w:rPr>
          <w:rFonts w:eastAsiaTheme="minorEastAsia" w:hint="eastAsia"/>
        </w:rPr>
        <w:t>》</w:t>
      </w:r>
      <w:r>
        <w:rPr>
          <w:rFonts w:eastAsiaTheme="minorEastAsia"/>
        </w:rPr>
        <w:t>，</w:t>
      </w:r>
      <w:r w:rsidRPr="00D25E46">
        <w:rPr>
          <w:rFonts w:eastAsiaTheme="minorEastAsia"/>
        </w:rPr>
        <w:t>第</w:t>
      </w:r>
      <w:r>
        <w:rPr>
          <w:rFonts w:eastAsiaTheme="minorEastAsia" w:hint="eastAsia"/>
        </w:rPr>
        <w:t>46</w:t>
      </w:r>
      <w:r w:rsidRPr="00D25E46">
        <w:rPr>
          <w:rFonts w:eastAsiaTheme="minorEastAsia" w:hint="eastAsia"/>
        </w:rPr>
        <w:t>页</w:t>
      </w:r>
      <w:r>
        <w:rPr>
          <w:rFonts w:eastAsiaTheme="minorEastAsia" w:hint="eastAsia"/>
        </w:rPr>
        <w:t>起，</w:t>
      </w:r>
      <w:r w:rsidRPr="00D25E46">
        <w:rPr>
          <w:rFonts w:eastAsiaTheme="minorEastAsia" w:hint="eastAsia"/>
        </w:rPr>
        <w:t>见第</w:t>
      </w:r>
      <w:r>
        <w:rPr>
          <w:rFonts w:eastAsiaTheme="minorEastAsia" w:hint="eastAsia"/>
        </w:rPr>
        <w:t>6</w:t>
      </w:r>
      <w:r w:rsidRPr="00D25E46">
        <w:rPr>
          <w:rFonts w:eastAsiaTheme="minorEastAsia" w:hint="eastAsia"/>
        </w:rPr>
        <w:t>0</w:t>
      </w:r>
      <w:r w:rsidRPr="00D25E46">
        <w:rPr>
          <w:rFonts w:eastAsiaTheme="minorEastAsia" w:hint="eastAsia"/>
        </w:rPr>
        <w:t>页第</w:t>
      </w:r>
      <w:r>
        <w:rPr>
          <w:rFonts w:eastAsiaTheme="minorEastAsia"/>
        </w:rPr>
        <w:t>26</w:t>
      </w:r>
      <w:r w:rsidRPr="00D25E46">
        <w:rPr>
          <w:rFonts w:eastAsiaTheme="minorEastAsia"/>
        </w:rPr>
        <w:t>段</w:t>
      </w:r>
      <w:r w:rsidRPr="00D25E46">
        <w:rPr>
          <w:rFonts w:eastAsiaTheme="minorEastAsia" w:hint="eastAsia"/>
        </w:rPr>
        <w:t>。</w:t>
      </w:r>
      <w:r w:rsidRPr="00D25E46">
        <w:rPr>
          <w:rFonts w:eastAsiaTheme="minorEastAsia"/>
        </w:rPr>
        <w:t>国际法院在</w:t>
      </w:r>
      <w:r>
        <w:rPr>
          <w:rFonts w:eastAsiaTheme="minorEastAsia" w:hint="eastAsia"/>
        </w:rPr>
        <w:t>其</w:t>
      </w:r>
      <w:r w:rsidRPr="00D25E46">
        <w:rPr>
          <w:rFonts w:eastAsiaTheme="minorEastAsia"/>
        </w:rPr>
        <w:t>中指出</w:t>
      </w:r>
      <w:r>
        <w:rPr>
          <w:rFonts w:eastAsiaTheme="minorEastAsia"/>
        </w:rPr>
        <w:t>，</w:t>
      </w:r>
      <w:r>
        <w:rPr>
          <w:rFonts w:eastAsiaTheme="minorEastAsia" w:hint="eastAsia"/>
        </w:rPr>
        <w:t>“</w:t>
      </w:r>
      <w:r w:rsidRPr="00D25E46">
        <w:rPr>
          <w:rFonts w:eastAsiaTheme="minorEastAsia"/>
        </w:rPr>
        <w:t>本</w:t>
      </w:r>
      <w:r w:rsidRPr="00D25E46">
        <w:rPr>
          <w:rFonts w:eastAsiaTheme="minorEastAsia" w:hint="eastAsia"/>
        </w:rPr>
        <w:t>案</w:t>
      </w:r>
      <w:r w:rsidRPr="00D25E46">
        <w:rPr>
          <w:rFonts w:eastAsiaTheme="minorEastAsia"/>
        </w:rPr>
        <w:t>作为国家间的一</w:t>
      </w:r>
      <w:r w:rsidRPr="00D25E46">
        <w:rPr>
          <w:rFonts w:eastAsiaTheme="minorEastAsia" w:hint="eastAsia"/>
        </w:rPr>
        <w:t>般</w:t>
      </w:r>
      <w:r w:rsidRPr="00D25E46">
        <w:rPr>
          <w:rFonts w:eastAsiaTheme="minorEastAsia"/>
        </w:rPr>
        <w:t>冲突提交</w:t>
      </w:r>
      <w:r w:rsidRPr="00D25E46">
        <w:rPr>
          <w:rFonts w:eastAsiaTheme="minorEastAsia" w:hint="eastAsia"/>
        </w:rPr>
        <w:t>本</w:t>
      </w:r>
      <w:r w:rsidRPr="00D25E46">
        <w:rPr>
          <w:rFonts w:eastAsiaTheme="minorEastAsia"/>
        </w:rPr>
        <w:t>法院</w:t>
      </w:r>
      <w:r>
        <w:rPr>
          <w:rFonts w:eastAsiaTheme="minorEastAsia" w:hint="eastAsia"/>
        </w:rPr>
        <w:t>(</w:t>
      </w:r>
      <w:r w:rsidRPr="00D25E46">
        <w:rPr>
          <w:rFonts w:eastAsiaTheme="minorEastAsia" w:hint="eastAsia"/>
        </w:rPr>
        <w:t>也是这一冲突的起因</w:t>
      </w:r>
      <w:r>
        <w:rPr>
          <w:rFonts w:eastAsiaTheme="minorEastAsia" w:hint="eastAsia"/>
        </w:rPr>
        <w:t>)</w:t>
      </w:r>
      <w:r w:rsidRPr="00D25E46">
        <w:rPr>
          <w:rFonts w:eastAsiaTheme="minorEastAsia" w:hint="eastAsia"/>
        </w:rPr>
        <w:t>。</w:t>
      </w:r>
      <w:r w:rsidRPr="00D25E46">
        <w:rPr>
          <w:rFonts w:eastAsiaTheme="minorEastAsia"/>
        </w:rPr>
        <w:t>然而在法院的</w:t>
      </w:r>
      <w:r w:rsidRPr="00D25E46">
        <w:rPr>
          <w:rFonts w:eastAsiaTheme="minorEastAsia" w:hint="eastAsia"/>
        </w:rPr>
        <w:t>诉讼</w:t>
      </w:r>
      <w:r w:rsidRPr="00D25E46">
        <w:rPr>
          <w:rFonts w:eastAsiaTheme="minorEastAsia"/>
        </w:rPr>
        <w:t>中</w:t>
      </w:r>
      <w:r>
        <w:rPr>
          <w:rFonts w:eastAsiaTheme="minorEastAsia"/>
        </w:rPr>
        <w:t>，</w:t>
      </w:r>
      <w:r w:rsidRPr="00D25E46">
        <w:rPr>
          <w:rFonts w:eastAsiaTheme="minorEastAsia"/>
        </w:rPr>
        <w:t>实际上其中的一方所指责</w:t>
      </w:r>
      <w:r w:rsidRPr="00D25E46">
        <w:rPr>
          <w:rFonts w:eastAsiaTheme="minorEastAsia" w:hint="eastAsia"/>
        </w:rPr>
        <w:t>而另一方为</w:t>
      </w:r>
      <w:r w:rsidRPr="00D25E46">
        <w:rPr>
          <w:rFonts w:eastAsiaTheme="minorEastAsia"/>
        </w:rPr>
        <w:t>之辩护的</w:t>
      </w:r>
      <w:r w:rsidRPr="00D25E46">
        <w:rPr>
          <w:rFonts w:eastAsiaTheme="minorEastAsia" w:hint="eastAsia"/>
        </w:rPr>
        <w:t>却</w:t>
      </w:r>
      <w:r w:rsidRPr="00D25E46">
        <w:rPr>
          <w:rFonts w:eastAsiaTheme="minorEastAsia"/>
        </w:rPr>
        <w:t>是一个第三方</w:t>
      </w:r>
      <w:r w:rsidRPr="00D25E46">
        <w:rPr>
          <w:rFonts w:eastAsiaTheme="minorEastAsia" w:hint="eastAsia"/>
        </w:rPr>
        <w:t>实体</w:t>
      </w:r>
      <w:r>
        <w:rPr>
          <w:rFonts w:eastAsiaTheme="minorEastAsia" w:hint="eastAsia"/>
        </w:rPr>
        <w:t>，</w:t>
      </w:r>
      <w:r w:rsidRPr="00D25E46">
        <w:rPr>
          <w:rFonts w:eastAsiaTheme="minorEastAsia" w:hint="eastAsia"/>
        </w:rPr>
        <w:t>即</w:t>
      </w:r>
      <w:r w:rsidRPr="00D25E46">
        <w:rPr>
          <w:rFonts w:eastAsiaTheme="minorEastAsia"/>
        </w:rPr>
        <w:t>国际民用航空组织理事会</w:t>
      </w:r>
      <w:r w:rsidRPr="00D25E46">
        <w:rPr>
          <w:rFonts w:eastAsiaTheme="minorEastAsia" w:hint="eastAsia"/>
        </w:rPr>
        <w:t>的</w:t>
      </w:r>
      <w:r w:rsidRPr="00D25E46">
        <w:rPr>
          <w:rFonts w:eastAsiaTheme="minorEastAsia"/>
        </w:rPr>
        <w:t>行为</w:t>
      </w:r>
      <w:r w:rsidRPr="00D25E46">
        <w:rPr>
          <w:rFonts w:eastAsiaTheme="minorEastAsia" w:hint="eastAsia"/>
        </w:rPr>
        <w:t>。</w:t>
      </w:r>
      <w:r>
        <w:rPr>
          <w:rFonts w:eastAsiaTheme="minorEastAsia" w:hint="eastAsia"/>
        </w:rPr>
        <w:t>”</w:t>
      </w:r>
    </w:p>
  </w:footnote>
  <w:footnote w:id="1495">
    <w:p w:rsidR="00AB00DE" w:rsidRDefault="00AB00DE" w:rsidP="001A5FC1">
      <w:pPr>
        <w:pStyle w:val="a4"/>
      </w:pPr>
      <w:r>
        <w:rPr>
          <w:rFonts w:hint="eastAsia"/>
        </w:rPr>
        <w:tab/>
      </w:r>
      <w:r w:rsidRPr="008258F3">
        <w:rPr>
          <w:rStyle w:val="a5"/>
        </w:rPr>
        <w:footnoteRef/>
      </w:r>
      <w:r>
        <w:rPr>
          <w:rFonts w:hint="eastAsia"/>
        </w:rPr>
        <w:tab/>
      </w:r>
      <w:r w:rsidRPr="00D25E46">
        <w:rPr>
          <w:rFonts w:eastAsiaTheme="minorEastAsia" w:hint="eastAsia"/>
        </w:rPr>
        <w:t>解决有关这类问题的争端</w:t>
      </w:r>
      <w:r>
        <w:rPr>
          <w:rFonts w:eastAsiaTheme="minorEastAsia" w:hint="eastAsia"/>
        </w:rPr>
        <w:t>，</w:t>
      </w:r>
      <w:r w:rsidRPr="00D25E46">
        <w:rPr>
          <w:rFonts w:eastAsiaTheme="minorEastAsia" w:hint="eastAsia"/>
        </w:rPr>
        <w:t>必须考虑国际组织享有豁免</w:t>
      </w:r>
      <w:r>
        <w:rPr>
          <w:rFonts w:eastAsiaTheme="minorEastAsia" w:hint="eastAsia"/>
        </w:rPr>
        <w:t>，</w:t>
      </w:r>
      <w:r w:rsidRPr="00D25E46">
        <w:rPr>
          <w:rFonts w:eastAsiaTheme="minorEastAsia" w:hint="eastAsia"/>
        </w:rPr>
        <w:t>以及在一些条约下国际组织有义务对解决争端的适当方式作出规定。较为普遍的情况是</w:t>
      </w:r>
      <w:r>
        <w:rPr>
          <w:rFonts w:eastAsiaTheme="minorEastAsia" w:hint="eastAsia"/>
        </w:rPr>
        <w:t>，</w:t>
      </w:r>
      <w:r w:rsidRPr="00D25E46">
        <w:rPr>
          <w:rFonts w:eastAsiaTheme="minorEastAsia" w:hint="eastAsia"/>
        </w:rPr>
        <w:t>对这类案件规定采用包括仲裁在内的特别程序。欧洲委员会国际公法法律顾问委员会</w:t>
      </w:r>
      <w:r>
        <w:rPr>
          <w:rFonts w:eastAsiaTheme="minorEastAsia"/>
        </w:rPr>
        <w:t>(CAHDI)</w:t>
      </w:r>
      <w:r w:rsidRPr="00D25E46">
        <w:rPr>
          <w:rFonts w:eastAsiaTheme="minorEastAsia" w:hint="eastAsia"/>
        </w:rPr>
        <w:t>的议程上有一个项目</w:t>
      </w:r>
      <w:r>
        <w:rPr>
          <w:rFonts w:eastAsiaTheme="minorEastAsia" w:hint="eastAsia"/>
        </w:rPr>
        <w:t>：“</w:t>
      </w:r>
      <w:r w:rsidRPr="00D25E46">
        <w:rPr>
          <w:rFonts w:eastAsiaTheme="minorEastAsia" w:hint="eastAsia"/>
        </w:rPr>
        <w:t>国际组织作为当事方但带有私法性质的争端的解决</w:t>
      </w:r>
      <w:r>
        <w:rPr>
          <w:rFonts w:eastAsiaTheme="minorEastAsia" w:hint="eastAsia"/>
        </w:rPr>
        <w:t>”</w:t>
      </w:r>
      <w:r>
        <w:rPr>
          <w:rFonts w:eastAsiaTheme="minorEastAsia" w:hint="eastAsia"/>
        </w:rPr>
        <w:t>(</w:t>
      </w:r>
      <w:r w:rsidRPr="00D25E46">
        <w:rPr>
          <w:rFonts w:eastAsiaTheme="minorEastAsia" w:hint="eastAsia"/>
        </w:rPr>
        <w:t>见法律顾问委员会第五十次会议报告</w:t>
      </w:r>
      <w:r>
        <w:rPr>
          <w:rFonts w:eastAsiaTheme="minorEastAsia" w:hint="eastAsia"/>
        </w:rPr>
        <w:t>，</w:t>
      </w:r>
      <w:r w:rsidRPr="00D25E46">
        <w:rPr>
          <w:rFonts w:eastAsiaTheme="minorEastAsia" w:hint="eastAsia"/>
        </w:rPr>
        <w:t>斯特拉斯堡</w:t>
      </w:r>
      <w:r>
        <w:rPr>
          <w:rFonts w:eastAsiaTheme="minorEastAsia" w:hint="eastAsia"/>
        </w:rPr>
        <w:t>，</w:t>
      </w:r>
      <w:r>
        <w:rPr>
          <w:rFonts w:eastAsiaTheme="minorEastAsia" w:hint="eastAsia"/>
        </w:rPr>
        <w:t>2</w:t>
      </w:r>
      <w:r w:rsidRPr="00D25E46">
        <w:rPr>
          <w:rFonts w:eastAsiaTheme="minorEastAsia" w:hint="eastAsia"/>
        </w:rPr>
        <w:t>0</w:t>
      </w:r>
      <w:r>
        <w:rPr>
          <w:rFonts w:eastAsiaTheme="minorEastAsia" w:hint="eastAsia"/>
        </w:rPr>
        <w:t>15</w:t>
      </w:r>
      <w:r w:rsidRPr="00D25E46">
        <w:rPr>
          <w:rFonts w:eastAsiaTheme="minorEastAsia" w:hint="eastAsia"/>
        </w:rPr>
        <w:t>年</w:t>
      </w:r>
      <w:r>
        <w:rPr>
          <w:rFonts w:eastAsiaTheme="minorEastAsia" w:hint="eastAsia"/>
        </w:rPr>
        <w:t>9</w:t>
      </w:r>
      <w:r w:rsidRPr="00D25E46">
        <w:rPr>
          <w:rFonts w:eastAsiaTheme="minorEastAsia" w:hint="eastAsia"/>
        </w:rPr>
        <w:t>月</w:t>
      </w:r>
      <w:r>
        <w:rPr>
          <w:rFonts w:eastAsiaTheme="minorEastAsia" w:hint="eastAsia"/>
        </w:rPr>
        <w:t>24</w:t>
      </w:r>
      <w:r w:rsidRPr="00D25E46">
        <w:rPr>
          <w:rFonts w:eastAsiaTheme="minorEastAsia" w:hint="eastAsia"/>
        </w:rPr>
        <w:t>-</w:t>
      </w:r>
      <w:r>
        <w:rPr>
          <w:rFonts w:eastAsiaTheme="minorEastAsia" w:hint="eastAsia"/>
        </w:rPr>
        <w:t>25</w:t>
      </w:r>
      <w:r w:rsidRPr="00D25E46">
        <w:rPr>
          <w:rFonts w:eastAsiaTheme="minorEastAsia" w:hint="eastAsia"/>
        </w:rPr>
        <w:t>日</w:t>
      </w:r>
      <w:r>
        <w:rPr>
          <w:rFonts w:eastAsiaTheme="minorEastAsia" w:hint="eastAsia"/>
        </w:rPr>
        <w:t>，</w:t>
      </w:r>
      <w:r w:rsidRPr="00D25E46">
        <w:rPr>
          <w:rFonts w:eastAsiaTheme="minorEastAsia" w:hint="eastAsia"/>
        </w:rPr>
        <w:t>法律顾问委员会</w:t>
      </w:r>
      <w:r>
        <w:rPr>
          <w:rFonts w:eastAsiaTheme="minorEastAsia"/>
        </w:rPr>
        <w:t>(2</w:t>
      </w:r>
      <w:r w:rsidRPr="00D25E46">
        <w:rPr>
          <w:rFonts w:eastAsiaTheme="minorEastAsia"/>
        </w:rPr>
        <w:t>0</w:t>
      </w:r>
      <w:r>
        <w:rPr>
          <w:rFonts w:eastAsiaTheme="minorEastAsia"/>
        </w:rPr>
        <w:t>15)23,23</w:t>
      </w:r>
      <w:r w:rsidRPr="00D25E46">
        <w:rPr>
          <w:rFonts w:eastAsiaTheme="minorEastAsia"/>
        </w:rPr>
        <w:t>-</w:t>
      </w:r>
      <w:r>
        <w:rPr>
          <w:rFonts w:eastAsiaTheme="minorEastAsia"/>
        </w:rPr>
        <w:t>29</w:t>
      </w:r>
      <w:r w:rsidRPr="00D25E46">
        <w:rPr>
          <w:rFonts w:eastAsiaTheme="minorEastAsia" w:hint="eastAsia"/>
        </w:rPr>
        <w:t>段</w:t>
      </w:r>
      <w:r>
        <w:rPr>
          <w:rFonts w:eastAsiaTheme="minorEastAsia"/>
        </w:rPr>
        <w:t>)</w:t>
      </w:r>
      <w:r w:rsidRPr="00D25E46">
        <w:rPr>
          <w:rFonts w:eastAsiaTheme="minorEastAsia" w:hint="eastAsia"/>
        </w:rPr>
        <w:t>。法律</w:t>
      </w:r>
      <w:r w:rsidRPr="00D25E46">
        <w:rPr>
          <w:rFonts w:eastAsiaTheme="minorEastAsia"/>
        </w:rPr>
        <w:t>顾问委员会</w:t>
      </w:r>
      <w:r w:rsidRPr="00D25E46">
        <w:rPr>
          <w:rFonts w:eastAsiaTheme="minorEastAsia" w:hint="eastAsia"/>
        </w:rPr>
        <w:t>在</w:t>
      </w:r>
      <w:r w:rsidRPr="00D25E46">
        <w:rPr>
          <w:rFonts w:eastAsiaTheme="minorEastAsia"/>
        </w:rPr>
        <w:t>一份问卷调查</w:t>
      </w:r>
      <w:r w:rsidRPr="00D25E46">
        <w:rPr>
          <w:rFonts w:eastAsiaTheme="minorEastAsia" w:hint="eastAsia"/>
        </w:rPr>
        <w:t>中</w:t>
      </w:r>
      <w:r w:rsidRPr="00D25E46">
        <w:rPr>
          <w:rFonts w:eastAsiaTheme="minorEastAsia"/>
        </w:rPr>
        <w:t>征求各国的意见</w:t>
      </w:r>
      <w:r>
        <w:rPr>
          <w:rFonts w:eastAsiaTheme="minorEastAsia"/>
        </w:rPr>
        <w:t>，</w:t>
      </w:r>
      <w:r w:rsidRPr="00D25E46">
        <w:rPr>
          <w:rFonts w:eastAsiaTheme="minorEastAsia"/>
        </w:rPr>
        <w:t>但尚未公布</w:t>
      </w:r>
      <w:r>
        <w:rPr>
          <w:rFonts w:eastAsiaTheme="minorEastAsia"/>
        </w:rPr>
        <w:t>(CAHDI(2</w:t>
      </w:r>
      <w:r w:rsidRPr="00D25E46">
        <w:rPr>
          <w:rFonts w:eastAsiaTheme="minorEastAsia"/>
        </w:rPr>
        <w:t>0</w:t>
      </w:r>
      <w:r>
        <w:rPr>
          <w:rFonts w:eastAsiaTheme="minorEastAsia"/>
        </w:rPr>
        <w:t>16)</w:t>
      </w:r>
      <w:r w:rsidRPr="00D25E46">
        <w:rPr>
          <w:rFonts w:eastAsiaTheme="minorEastAsia"/>
        </w:rPr>
        <w:t xml:space="preserve"> </w:t>
      </w:r>
      <w:r>
        <w:rPr>
          <w:rFonts w:eastAsiaTheme="minorEastAsia"/>
        </w:rPr>
        <w:t>9</w:t>
      </w:r>
      <w:r w:rsidRPr="00D25E46">
        <w:rPr>
          <w:rFonts w:eastAsiaTheme="minorEastAsia"/>
        </w:rPr>
        <w:t xml:space="preserve"> </w:t>
      </w:r>
      <w:r>
        <w:rPr>
          <w:rFonts w:eastAsiaTheme="minorEastAsia"/>
        </w:rPr>
        <w:t>prov</w:t>
      </w:r>
      <w:r w:rsidRPr="00D25E46">
        <w:rPr>
          <w:rFonts w:eastAsiaTheme="minorEastAsia"/>
        </w:rPr>
        <w:t>.</w:t>
      </w:r>
      <w:r>
        <w:rPr>
          <w:rFonts w:eastAsiaTheme="minorEastAsia"/>
        </w:rPr>
        <w:t>)</w:t>
      </w:r>
      <w:r w:rsidRPr="00D25E46">
        <w:rPr>
          <w:rFonts w:eastAsiaTheme="minorEastAsia"/>
        </w:rPr>
        <w:t>。</w:t>
      </w:r>
    </w:p>
  </w:footnote>
  <w:footnote w:id="1496">
    <w:p w:rsidR="00AB00DE" w:rsidRPr="000B45B9" w:rsidRDefault="00AB00DE" w:rsidP="001A5FC1">
      <w:pPr>
        <w:pStyle w:val="a4"/>
      </w:pPr>
      <w:r>
        <w:rPr>
          <w:rFonts w:hint="eastAsia"/>
        </w:rPr>
        <w:tab/>
      </w:r>
      <w:r w:rsidRPr="008258F3">
        <w:rPr>
          <w:rStyle w:val="a5"/>
        </w:rPr>
        <w:footnoteRef/>
      </w:r>
      <w:r>
        <w:rPr>
          <w:rFonts w:hint="eastAsia"/>
        </w:rPr>
        <w:tab/>
      </w:r>
      <w:r w:rsidRPr="00D25E46">
        <w:rPr>
          <w:rFonts w:eastAsiaTheme="minorEastAsia"/>
        </w:rPr>
        <w:t>大会</w:t>
      </w:r>
      <w:r>
        <w:rPr>
          <w:rFonts w:eastAsiaTheme="minorEastAsia"/>
        </w:rPr>
        <w:t>1982</w:t>
      </w:r>
      <w:r w:rsidRPr="00D25E46">
        <w:rPr>
          <w:rFonts w:eastAsiaTheme="minorEastAsia"/>
        </w:rPr>
        <w:t>年</w:t>
      </w:r>
      <w:r>
        <w:rPr>
          <w:rFonts w:eastAsiaTheme="minorEastAsia"/>
        </w:rPr>
        <w:t>11</w:t>
      </w:r>
      <w:r w:rsidRPr="00D25E46">
        <w:rPr>
          <w:rFonts w:eastAsiaTheme="minorEastAsia"/>
        </w:rPr>
        <w:t>月</w:t>
      </w:r>
      <w:r>
        <w:rPr>
          <w:rFonts w:eastAsiaTheme="minorEastAsia"/>
        </w:rPr>
        <w:t>15</w:t>
      </w:r>
      <w:r w:rsidRPr="00D25E46">
        <w:rPr>
          <w:rFonts w:eastAsiaTheme="minorEastAsia"/>
        </w:rPr>
        <w:t>日第</w:t>
      </w:r>
      <w:r>
        <w:rPr>
          <w:rFonts w:eastAsiaTheme="minorEastAsia"/>
        </w:rPr>
        <w:t>37/1</w:t>
      </w:r>
      <w:r w:rsidRPr="00D25E46">
        <w:rPr>
          <w:rFonts w:eastAsiaTheme="minorEastAsia"/>
        </w:rPr>
        <w:t>0</w:t>
      </w:r>
      <w:r w:rsidRPr="00D25E46">
        <w:rPr>
          <w:rFonts w:eastAsiaTheme="minorEastAsia"/>
        </w:rPr>
        <w:t>号决议。</w:t>
      </w:r>
    </w:p>
  </w:footnote>
  <w:footnote w:id="1497">
    <w:p w:rsidR="00AB00DE" w:rsidRPr="002272A3" w:rsidRDefault="00AB00DE" w:rsidP="001A5FC1">
      <w:pPr>
        <w:pStyle w:val="a4"/>
        <w:rPr>
          <w:i/>
          <w:iCs/>
          <w:lang w:val="fr-CH"/>
        </w:rPr>
      </w:pPr>
      <w:r>
        <w:rPr>
          <w:rFonts w:hint="eastAsia"/>
          <w:sz w:val="22"/>
          <w:szCs w:val="22"/>
        </w:rPr>
        <w:tab/>
      </w:r>
      <w:r w:rsidRPr="008258F3">
        <w:rPr>
          <w:rStyle w:val="a5"/>
          <w:szCs w:val="22"/>
        </w:rPr>
        <w:footnoteRef/>
      </w:r>
      <w:r>
        <w:rPr>
          <w:rFonts w:hint="eastAsia"/>
          <w:sz w:val="22"/>
          <w:szCs w:val="22"/>
        </w:rPr>
        <w:tab/>
      </w:r>
      <w:r w:rsidRPr="002272A3">
        <w:rPr>
          <w:rFonts w:hint="eastAsia"/>
        </w:rPr>
        <w:t>原则上</w:t>
      </w:r>
      <w:r>
        <w:rPr>
          <w:rFonts w:hint="eastAsia"/>
        </w:rPr>
        <w:t>，</w:t>
      </w:r>
      <w:r w:rsidRPr="002272A3">
        <w:rPr>
          <w:rFonts w:hint="eastAsia"/>
        </w:rPr>
        <w:t>和平解决争端的机制适应于国际组织没有争议</w:t>
      </w:r>
      <w:r>
        <w:rPr>
          <w:rFonts w:hint="eastAsia"/>
        </w:rPr>
        <w:t>(</w:t>
      </w:r>
      <w:r w:rsidRPr="002272A3">
        <w:rPr>
          <w:rFonts w:hint="eastAsia"/>
        </w:rPr>
        <w:t>见</w:t>
      </w:r>
      <w:r>
        <w:rPr>
          <w:rFonts w:hint="eastAsia"/>
        </w:rPr>
        <w:t>“</w:t>
      </w:r>
      <w:r w:rsidRPr="002272A3">
        <w:rPr>
          <w:rFonts w:hint="eastAsia"/>
        </w:rPr>
        <w:t>为联合国服务期间所受伤害的赔偿</w:t>
      </w:r>
      <w:r>
        <w:rPr>
          <w:rFonts w:hint="eastAsia"/>
        </w:rPr>
        <w:t>，</w:t>
      </w:r>
      <w:r w:rsidRPr="002272A3">
        <w:rPr>
          <w:rFonts w:hint="eastAsia"/>
        </w:rPr>
        <w:t>咨询意见</w:t>
      </w:r>
      <w:r>
        <w:rPr>
          <w:rFonts w:hint="eastAsia"/>
        </w:rPr>
        <w:t>，</w:t>
      </w:r>
      <w:r w:rsidRPr="00B5348F">
        <w:rPr>
          <w:rFonts w:ascii="Time New Roman" w:eastAsia="楷体" w:hAnsi="Time New Roman" w:hint="eastAsia"/>
        </w:rPr>
        <w:t>《</w:t>
      </w:r>
      <w:r>
        <w:rPr>
          <w:rFonts w:ascii="Time New Roman" w:eastAsia="楷体" w:hAnsi="Time New Roman" w:hint="eastAsia"/>
        </w:rPr>
        <w:t>1949</w:t>
      </w:r>
      <w:r w:rsidRPr="00B5348F">
        <w:rPr>
          <w:rFonts w:ascii="Time New Roman" w:eastAsia="楷体" w:hAnsi="Time New Roman" w:hint="eastAsia"/>
        </w:rPr>
        <w:t>年国际法院案例汇编》</w:t>
      </w:r>
      <w:r>
        <w:rPr>
          <w:rFonts w:hint="eastAsia"/>
        </w:rPr>
        <w:t>”，</w:t>
      </w:r>
      <w:r w:rsidRPr="002272A3">
        <w:rPr>
          <w:rFonts w:hint="eastAsia"/>
        </w:rPr>
        <w:t>第</w:t>
      </w:r>
      <w:r>
        <w:rPr>
          <w:rFonts w:hint="eastAsia"/>
        </w:rPr>
        <w:t>174</w:t>
      </w:r>
      <w:r w:rsidRPr="002272A3">
        <w:rPr>
          <w:rFonts w:hint="eastAsia"/>
        </w:rPr>
        <w:t>页</w:t>
      </w:r>
      <w:r>
        <w:rPr>
          <w:rFonts w:hint="eastAsia"/>
        </w:rPr>
        <w:t>，</w:t>
      </w:r>
      <w:r w:rsidRPr="002272A3">
        <w:rPr>
          <w:rFonts w:hint="eastAsia"/>
        </w:rPr>
        <w:t>国际法院在意见中讲到联合国可以对国家提出国际索赔</w:t>
      </w:r>
      <w:r>
        <w:rPr>
          <w:rFonts w:hint="eastAsia"/>
        </w:rPr>
        <w:t>)</w:t>
      </w:r>
      <w:r w:rsidRPr="002272A3">
        <w:rPr>
          <w:rFonts w:hint="eastAsia"/>
        </w:rPr>
        <w:t>。这类机制</w:t>
      </w:r>
      <w:r>
        <w:rPr>
          <w:rFonts w:hint="eastAsia"/>
        </w:rPr>
        <w:t>，</w:t>
      </w:r>
      <w:r w:rsidRPr="002272A3">
        <w:rPr>
          <w:rFonts w:hint="eastAsia"/>
        </w:rPr>
        <w:t>包括</w:t>
      </w:r>
      <w:r>
        <w:rPr>
          <w:rFonts w:hint="eastAsia"/>
        </w:rPr>
        <w:t>“</w:t>
      </w:r>
      <w:r w:rsidRPr="002272A3">
        <w:rPr>
          <w:rFonts w:hint="eastAsia"/>
        </w:rPr>
        <w:t>谈判、调查、调停、和解、公断、司法解决、区域机关或区域办法之利用</w:t>
      </w:r>
      <w:r>
        <w:rPr>
          <w:rFonts w:hint="eastAsia"/>
        </w:rPr>
        <w:t>，</w:t>
      </w:r>
      <w:r w:rsidRPr="002272A3">
        <w:rPr>
          <w:rFonts w:hint="eastAsia"/>
        </w:rPr>
        <w:t>或</w:t>
      </w:r>
      <w:r>
        <w:t>[</w:t>
      </w:r>
      <w:r w:rsidRPr="002272A3">
        <w:rPr>
          <w:rFonts w:hint="eastAsia"/>
        </w:rPr>
        <w:t>各方</w:t>
      </w:r>
      <w:r>
        <w:t>]</w:t>
      </w:r>
      <w:r w:rsidRPr="002272A3">
        <w:rPr>
          <w:rFonts w:hint="eastAsia"/>
        </w:rPr>
        <w:t>自行选择之其他和平方法</w:t>
      </w:r>
      <w:r>
        <w:rPr>
          <w:rFonts w:hint="eastAsia"/>
        </w:rPr>
        <w:t>”</w:t>
      </w:r>
      <w:r>
        <w:rPr>
          <w:rFonts w:hint="eastAsia"/>
        </w:rPr>
        <w:t>(</w:t>
      </w:r>
      <w:r w:rsidRPr="002272A3">
        <w:rPr>
          <w:rFonts w:hint="eastAsia"/>
        </w:rPr>
        <w:t>《联合国宪章》第三十三条。另见</w:t>
      </w:r>
      <w:r>
        <w:rPr>
          <w:lang w:val="fr-CH"/>
        </w:rPr>
        <w:t>F</w:t>
      </w:r>
      <w:r w:rsidRPr="002272A3">
        <w:rPr>
          <w:lang w:val="fr-CH"/>
        </w:rPr>
        <w:t xml:space="preserve">. </w:t>
      </w:r>
      <w:r>
        <w:rPr>
          <w:lang w:val="fr-CH"/>
        </w:rPr>
        <w:t xml:space="preserve">Dopagne, </w:t>
      </w:r>
      <w:r>
        <w:rPr>
          <w:rFonts w:hint="eastAsia"/>
          <w:lang w:val="fr-CH"/>
        </w:rPr>
        <w:t>”</w:t>
      </w:r>
      <w:r>
        <w:rPr>
          <w:lang w:val="fr-CH"/>
        </w:rPr>
        <w:t>Les</w:t>
      </w:r>
      <w:r w:rsidRPr="002272A3">
        <w:rPr>
          <w:lang w:val="fr-CH"/>
        </w:rPr>
        <w:t xml:space="preserve"> </w:t>
      </w:r>
      <w:r>
        <w:rPr>
          <w:lang w:val="fr-CH"/>
        </w:rPr>
        <w:t>diff</w:t>
      </w:r>
      <w:r w:rsidRPr="002272A3">
        <w:rPr>
          <w:lang w:val="fr-CH"/>
        </w:rPr>
        <w:t>é</w:t>
      </w:r>
      <w:r>
        <w:rPr>
          <w:lang w:val="fr-CH"/>
        </w:rPr>
        <w:t>rends</w:t>
      </w:r>
      <w:r w:rsidRPr="002272A3">
        <w:rPr>
          <w:lang w:val="fr-CH"/>
        </w:rPr>
        <w:t xml:space="preserve"> </w:t>
      </w:r>
      <w:r>
        <w:rPr>
          <w:lang w:val="fr-CH"/>
        </w:rPr>
        <w:t>opposant</w:t>
      </w:r>
      <w:r w:rsidRPr="002272A3">
        <w:rPr>
          <w:lang w:val="fr-CH"/>
        </w:rPr>
        <w:t xml:space="preserve"> </w:t>
      </w:r>
      <w:r>
        <w:rPr>
          <w:lang w:val="fr-CH"/>
        </w:rPr>
        <w:t>l</w:t>
      </w:r>
      <w:r w:rsidRPr="002272A3">
        <w:rPr>
          <w:lang w:val="fr-CH"/>
        </w:rPr>
        <w:t>’</w:t>
      </w:r>
      <w:r>
        <w:rPr>
          <w:lang w:val="fr-CH"/>
        </w:rPr>
        <w:t>organisation</w:t>
      </w:r>
      <w:r w:rsidRPr="002272A3">
        <w:rPr>
          <w:lang w:val="fr-CH"/>
        </w:rPr>
        <w:t xml:space="preserve"> </w:t>
      </w:r>
      <w:r>
        <w:rPr>
          <w:lang w:val="fr-CH"/>
        </w:rPr>
        <w:t>international</w:t>
      </w:r>
      <w:r w:rsidRPr="002272A3">
        <w:rPr>
          <w:lang w:val="fr-CH"/>
        </w:rPr>
        <w:t xml:space="preserve"> à </w:t>
      </w:r>
      <w:r>
        <w:rPr>
          <w:lang w:val="fr-CH"/>
        </w:rPr>
        <w:t>un</w:t>
      </w:r>
      <w:r w:rsidRPr="002272A3">
        <w:rPr>
          <w:lang w:val="fr-CH"/>
        </w:rPr>
        <w:t xml:space="preserve"> é</w:t>
      </w:r>
      <w:r>
        <w:rPr>
          <w:lang w:val="fr-CH"/>
        </w:rPr>
        <w:t>tat</w:t>
      </w:r>
      <w:r w:rsidRPr="002272A3">
        <w:rPr>
          <w:lang w:val="fr-CH"/>
        </w:rPr>
        <w:t xml:space="preserve"> </w:t>
      </w:r>
      <w:r>
        <w:rPr>
          <w:lang w:val="fr-CH"/>
        </w:rPr>
        <w:t>ou</w:t>
      </w:r>
      <w:r w:rsidRPr="002272A3">
        <w:rPr>
          <w:lang w:val="fr-CH"/>
        </w:rPr>
        <w:t xml:space="preserve"> </w:t>
      </w:r>
      <w:r>
        <w:rPr>
          <w:lang w:val="fr-CH"/>
        </w:rPr>
        <w:t>une</w:t>
      </w:r>
      <w:r w:rsidRPr="002272A3">
        <w:rPr>
          <w:lang w:val="fr-CH"/>
        </w:rPr>
        <w:t xml:space="preserve"> </w:t>
      </w:r>
      <w:r>
        <w:rPr>
          <w:lang w:val="fr-CH"/>
        </w:rPr>
        <w:t>autre</w:t>
      </w:r>
      <w:r w:rsidRPr="002272A3">
        <w:rPr>
          <w:lang w:val="fr-CH"/>
        </w:rPr>
        <w:t xml:space="preserve"> </w:t>
      </w:r>
      <w:r>
        <w:rPr>
          <w:lang w:val="fr-CH"/>
        </w:rPr>
        <w:t>organisation</w:t>
      </w:r>
      <w:r w:rsidRPr="002272A3">
        <w:rPr>
          <w:lang w:val="fr-CH"/>
        </w:rPr>
        <w:t xml:space="preserve"> </w:t>
      </w:r>
      <w:r>
        <w:rPr>
          <w:lang w:val="fr-CH"/>
        </w:rPr>
        <w:t>internationale</w:t>
      </w:r>
      <w:r>
        <w:rPr>
          <w:rFonts w:hint="eastAsia"/>
          <w:lang w:val="fr-CH"/>
        </w:rPr>
        <w:t>”</w:t>
      </w:r>
      <w:r>
        <w:rPr>
          <w:lang w:val="fr-CH"/>
        </w:rPr>
        <w:t>，</w:t>
      </w:r>
      <w:r>
        <w:rPr>
          <w:lang w:val="fr-CH"/>
        </w:rPr>
        <w:t>in</w:t>
      </w:r>
      <w:r w:rsidRPr="002272A3">
        <w:rPr>
          <w:lang w:val="fr-CH"/>
        </w:rPr>
        <w:t xml:space="preserve"> </w:t>
      </w:r>
      <w:r>
        <w:rPr>
          <w:lang w:val="fr-CH"/>
        </w:rPr>
        <w:t>E</w:t>
      </w:r>
      <w:r w:rsidRPr="002272A3">
        <w:rPr>
          <w:lang w:val="fr-CH"/>
        </w:rPr>
        <w:t xml:space="preserve">. </w:t>
      </w:r>
      <w:r>
        <w:rPr>
          <w:lang w:val="fr-CH"/>
        </w:rPr>
        <w:t>Lagrange</w:t>
      </w:r>
      <w:r w:rsidRPr="002272A3">
        <w:rPr>
          <w:lang w:val="fr-CH"/>
        </w:rPr>
        <w:t xml:space="preserve"> </w:t>
      </w:r>
      <w:r>
        <w:rPr>
          <w:lang w:val="fr-CH"/>
        </w:rPr>
        <w:t>and</w:t>
      </w:r>
      <w:r w:rsidRPr="002272A3">
        <w:rPr>
          <w:lang w:val="fr-CH"/>
        </w:rPr>
        <w:t xml:space="preserve"> </w:t>
      </w:r>
      <w:r>
        <w:rPr>
          <w:lang w:val="fr-CH"/>
        </w:rPr>
        <w:t>J</w:t>
      </w:r>
      <w:r w:rsidRPr="002272A3">
        <w:rPr>
          <w:lang w:val="fr-CH"/>
        </w:rPr>
        <w:t>-</w:t>
      </w:r>
      <w:r>
        <w:rPr>
          <w:lang w:val="fr-CH"/>
        </w:rPr>
        <w:t>M</w:t>
      </w:r>
      <w:r w:rsidRPr="002272A3">
        <w:rPr>
          <w:lang w:val="fr-CH"/>
        </w:rPr>
        <w:t xml:space="preserve">. </w:t>
      </w:r>
      <w:r>
        <w:rPr>
          <w:lang w:val="fr-CH"/>
        </w:rPr>
        <w:t>Sorel(eds</w:t>
      </w:r>
      <w:r w:rsidRPr="002272A3">
        <w:rPr>
          <w:lang w:val="fr-CH"/>
        </w:rPr>
        <w:t>.</w:t>
      </w:r>
      <w:r>
        <w:rPr>
          <w:lang w:val="fr-CH"/>
        </w:rPr>
        <w:t>)</w:t>
      </w:r>
      <w:r>
        <w:rPr>
          <w:lang w:val="fr-CH"/>
        </w:rPr>
        <w:t>，</w:t>
      </w:r>
      <w:r>
        <w:rPr>
          <w:i/>
          <w:iCs/>
          <w:lang w:val="fr-CH"/>
        </w:rPr>
        <w:t>Droit</w:t>
      </w:r>
      <w:r w:rsidRPr="002272A3">
        <w:rPr>
          <w:i/>
          <w:iCs/>
          <w:lang w:val="fr-CH"/>
        </w:rPr>
        <w:t xml:space="preserve"> </w:t>
      </w:r>
      <w:r>
        <w:rPr>
          <w:i/>
          <w:iCs/>
          <w:lang w:val="fr-CH"/>
        </w:rPr>
        <w:t>des</w:t>
      </w:r>
      <w:r w:rsidRPr="002272A3">
        <w:rPr>
          <w:i/>
          <w:iCs/>
          <w:lang w:val="fr-CH"/>
        </w:rPr>
        <w:t xml:space="preserve"> </w:t>
      </w:r>
      <w:r>
        <w:rPr>
          <w:i/>
          <w:iCs/>
          <w:lang w:val="fr-CH"/>
        </w:rPr>
        <w:t>Organisations</w:t>
      </w:r>
      <w:r w:rsidRPr="002272A3">
        <w:rPr>
          <w:i/>
          <w:iCs/>
          <w:lang w:val="fr-CH"/>
        </w:rPr>
        <w:t xml:space="preserve"> </w:t>
      </w:r>
      <w:r>
        <w:rPr>
          <w:i/>
          <w:iCs/>
          <w:lang w:val="fr-CH"/>
        </w:rPr>
        <w:t>Internationales</w:t>
      </w:r>
      <w:r>
        <w:rPr>
          <w:lang w:val="fr-CH"/>
        </w:rPr>
        <w:t>(Paris</w:t>
      </w:r>
      <w:r w:rsidRPr="002272A3">
        <w:rPr>
          <w:lang w:val="fr-CH"/>
        </w:rPr>
        <w:t> </w:t>
      </w:r>
      <w:r>
        <w:rPr>
          <w:lang w:val="fr-CH"/>
        </w:rPr>
        <w:t>：</w:t>
      </w:r>
      <w:r>
        <w:rPr>
          <w:lang w:val="fr-CH"/>
        </w:rPr>
        <w:t>LGDJ, 2</w:t>
      </w:r>
      <w:r w:rsidRPr="002272A3">
        <w:rPr>
          <w:lang w:val="fr-CH"/>
        </w:rPr>
        <w:t>0</w:t>
      </w:r>
      <w:r>
        <w:rPr>
          <w:lang w:val="fr-CH"/>
        </w:rPr>
        <w:t>13)</w:t>
      </w:r>
      <w:r>
        <w:rPr>
          <w:lang w:val="fr-CH"/>
        </w:rPr>
        <w:t>，</w:t>
      </w:r>
      <w:r>
        <w:rPr>
          <w:lang w:val="fr-CH"/>
        </w:rPr>
        <w:t>pp</w:t>
      </w:r>
      <w:r w:rsidRPr="002272A3">
        <w:rPr>
          <w:lang w:val="fr-CH"/>
        </w:rPr>
        <w:t xml:space="preserve">. </w:t>
      </w:r>
      <w:r>
        <w:rPr>
          <w:lang w:val="fr-CH"/>
        </w:rPr>
        <w:t>11</w:t>
      </w:r>
      <w:r w:rsidRPr="002272A3">
        <w:rPr>
          <w:lang w:val="fr-CH"/>
        </w:rPr>
        <w:t>0</w:t>
      </w:r>
      <w:r>
        <w:rPr>
          <w:lang w:val="fr-CH"/>
        </w:rPr>
        <w:t>1</w:t>
      </w:r>
      <w:r w:rsidRPr="002272A3">
        <w:rPr>
          <w:lang w:val="fr-CH"/>
        </w:rPr>
        <w:t>-</w:t>
      </w:r>
      <w:r>
        <w:rPr>
          <w:lang w:val="fr-CH"/>
        </w:rPr>
        <w:t>1120,</w:t>
      </w:r>
      <w:r w:rsidRPr="002272A3">
        <w:rPr>
          <w:lang w:val="fr-CH"/>
        </w:rPr>
        <w:t xml:space="preserve"> </w:t>
      </w:r>
      <w:r>
        <w:rPr>
          <w:lang w:val="fr-CH"/>
        </w:rPr>
        <w:t>at</w:t>
      </w:r>
      <w:r w:rsidRPr="002272A3">
        <w:rPr>
          <w:lang w:val="fr-CH"/>
        </w:rPr>
        <w:t xml:space="preserve"> </w:t>
      </w:r>
      <w:r>
        <w:rPr>
          <w:lang w:val="fr-CH"/>
        </w:rPr>
        <w:t>p</w:t>
      </w:r>
      <w:r w:rsidRPr="002272A3">
        <w:rPr>
          <w:lang w:val="fr-CH"/>
        </w:rPr>
        <w:t xml:space="preserve">. </w:t>
      </w:r>
      <w:r>
        <w:rPr>
          <w:lang w:val="fr-CH"/>
        </w:rPr>
        <w:t>11</w:t>
      </w:r>
      <w:r w:rsidRPr="002272A3">
        <w:rPr>
          <w:lang w:val="fr-CH"/>
        </w:rPr>
        <w:t>0</w:t>
      </w:r>
      <w:r>
        <w:rPr>
          <w:lang w:val="fr-CH"/>
        </w:rPr>
        <w:t>9</w:t>
      </w:r>
      <w:r w:rsidRPr="002272A3">
        <w:rPr>
          <w:rFonts w:hint="eastAsia"/>
          <w:lang w:val="fr-CH"/>
        </w:rPr>
        <w:t>。</w:t>
      </w:r>
    </w:p>
  </w:footnote>
  <w:footnote w:id="1498">
    <w:p w:rsidR="00AB00DE" w:rsidRPr="002272A3" w:rsidRDefault="00AB00DE" w:rsidP="001A5FC1">
      <w:pPr>
        <w:pStyle w:val="a4"/>
      </w:pPr>
      <w:r w:rsidRPr="001C795A">
        <w:rPr>
          <w:rFonts w:hint="eastAsia"/>
          <w:sz w:val="22"/>
          <w:szCs w:val="22"/>
          <w:lang w:val="fr-FR"/>
        </w:rPr>
        <w:tab/>
      </w:r>
      <w:r w:rsidRPr="008258F3">
        <w:rPr>
          <w:rStyle w:val="a5"/>
          <w:szCs w:val="22"/>
        </w:rPr>
        <w:footnoteRef/>
      </w:r>
      <w:r>
        <w:rPr>
          <w:rFonts w:hint="eastAsia"/>
          <w:sz w:val="22"/>
          <w:szCs w:val="22"/>
        </w:rPr>
        <w:tab/>
      </w:r>
      <w:r>
        <w:rPr>
          <w:rFonts w:hint="eastAsia"/>
        </w:rPr>
        <w:t>“</w:t>
      </w:r>
      <w:r w:rsidRPr="002272A3">
        <w:rPr>
          <w:rFonts w:hint="eastAsia"/>
        </w:rPr>
        <w:t>在法院得为诉讼当事国者</w:t>
      </w:r>
      <w:r>
        <w:rPr>
          <w:rFonts w:hint="eastAsia"/>
        </w:rPr>
        <w:t>，</w:t>
      </w:r>
      <w:r w:rsidRPr="002272A3">
        <w:rPr>
          <w:rFonts w:hint="eastAsia"/>
        </w:rPr>
        <w:t>限于国家。</w:t>
      </w:r>
      <w:r>
        <w:rPr>
          <w:rFonts w:hint="eastAsia"/>
        </w:rPr>
        <w:t>”</w:t>
      </w:r>
    </w:p>
  </w:footnote>
  <w:footnote w:id="1499">
    <w:p w:rsidR="00AB00DE" w:rsidRPr="002272A3" w:rsidRDefault="00AB00DE" w:rsidP="001A5FC1">
      <w:pPr>
        <w:pStyle w:val="a4"/>
      </w:pPr>
      <w:r>
        <w:rPr>
          <w:rFonts w:hint="eastAsia"/>
          <w:sz w:val="22"/>
          <w:szCs w:val="22"/>
        </w:rPr>
        <w:tab/>
      </w:r>
      <w:r w:rsidRPr="008258F3">
        <w:rPr>
          <w:rStyle w:val="a5"/>
          <w:szCs w:val="22"/>
        </w:rPr>
        <w:footnoteRef/>
      </w:r>
      <w:r>
        <w:rPr>
          <w:rFonts w:hint="eastAsia"/>
          <w:sz w:val="22"/>
          <w:szCs w:val="22"/>
        </w:rPr>
        <w:tab/>
      </w:r>
      <w:r>
        <w:rPr>
          <w:rFonts w:hint="eastAsia"/>
        </w:rPr>
        <w:t>“</w:t>
      </w:r>
      <w:r w:rsidRPr="002272A3">
        <w:rPr>
          <w:rFonts w:hint="eastAsia"/>
        </w:rPr>
        <w:t>二</w:t>
      </w:r>
      <w:r>
        <w:rPr>
          <w:rFonts w:hint="eastAsia"/>
        </w:rPr>
        <w:t>.</w:t>
      </w:r>
      <w:r>
        <w:tab/>
      </w:r>
      <w:r w:rsidRPr="002272A3">
        <w:rPr>
          <w:rFonts w:hint="eastAsia"/>
        </w:rPr>
        <w:t>法院得依其规则</w:t>
      </w:r>
      <w:r>
        <w:rPr>
          <w:rFonts w:hint="eastAsia"/>
        </w:rPr>
        <w:t>，</w:t>
      </w:r>
      <w:r w:rsidRPr="002272A3">
        <w:rPr>
          <w:rFonts w:hint="eastAsia"/>
        </w:rPr>
        <w:t>请求公共国际团体供给关于正在审理案件之情报。该项团体自动供给之情报</w:t>
      </w:r>
      <w:r>
        <w:rPr>
          <w:rFonts w:hint="eastAsia"/>
        </w:rPr>
        <w:t>，</w:t>
      </w:r>
      <w:r w:rsidRPr="002272A3">
        <w:rPr>
          <w:rFonts w:hint="eastAsia"/>
        </w:rPr>
        <w:t>法院应接受之。三</w:t>
      </w:r>
      <w:r>
        <w:rPr>
          <w:rFonts w:hint="eastAsia"/>
        </w:rPr>
        <w:t>.</w:t>
      </w:r>
      <w:r>
        <w:tab/>
      </w:r>
      <w:r w:rsidRPr="002272A3">
        <w:rPr>
          <w:rFonts w:hint="eastAsia"/>
        </w:rPr>
        <w:t>法院于某一案件遇有公共国际团体之组织约章、或依该项约章所缔结之国际协约、发生解释问题时</w:t>
      </w:r>
      <w:r>
        <w:rPr>
          <w:rFonts w:hint="eastAsia"/>
        </w:rPr>
        <w:t>，</w:t>
      </w:r>
      <w:r w:rsidRPr="002272A3">
        <w:rPr>
          <w:rFonts w:hint="eastAsia"/>
        </w:rPr>
        <w:t>书记官长应通知有关公共国际团体井向其递送所有书面程序之文件副本。</w:t>
      </w:r>
      <w:r>
        <w:rPr>
          <w:rFonts w:hint="eastAsia"/>
        </w:rPr>
        <w:t>”</w:t>
      </w:r>
      <w:r w:rsidRPr="002272A3">
        <w:rPr>
          <w:rFonts w:hint="eastAsia"/>
        </w:rPr>
        <w:t>另见</w:t>
      </w:r>
      <w:r>
        <w:rPr>
          <w:rFonts w:hint="eastAsia"/>
        </w:rPr>
        <w:t>2</w:t>
      </w:r>
      <w:r w:rsidRPr="002272A3">
        <w:rPr>
          <w:rFonts w:hint="eastAsia"/>
        </w:rPr>
        <w:t>00</w:t>
      </w:r>
      <w:r>
        <w:rPr>
          <w:rFonts w:hint="eastAsia"/>
        </w:rPr>
        <w:t>5</w:t>
      </w:r>
      <w:r w:rsidRPr="002272A3">
        <w:rPr>
          <w:rFonts w:hint="eastAsia"/>
        </w:rPr>
        <w:t>年增加的法院规则第四十三条第三和第二款。</w:t>
      </w:r>
    </w:p>
  </w:footnote>
  <w:footnote w:id="1500">
    <w:p w:rsidR="00AB00DE" w:rsidRPr="002272A3" w:rsidRDefault="00AB00DE" w:rsidP="001A5FC1">
      <w:pPr>
        <w:pStyle w:val="a4"/>
      </w:pPr>
      <w:r>
        <w:rPr>
          <w:rFonts w:hint="eastAsia"/>
          <w:sz w:val="22"/>
          <w:szCs w:val="22"/>
        </w:rPr>
        <w:tab/>
      </w:r>
      <w:r w:rsidRPr="008258F3">
        <w:rPr>
          <w:rStyle w:val="a5"/>
          <w:szCs w:val="22"/>
        </w:rPr>
        <w:footnoteRef/>
      </w:r>
      <w:r>
        <w:rPr>
          <w:rFonts w:hint="eastAsia"/>
          <w:sz w:val="22"/>
          <w:szCs w:val="22"/>
        </w:rPr>
        <w:tab/>
      </w:r>
      <w:r w:rsidRPr="002272A3">
        <w:rPr>
          <w:rFonts w:hint="eastAsia"/>
        </w:rPr>
        <w:t>《联合国宪章》第九十六条。各种专门机关</w:t>
      </w:r>
      <w:r>
        <w:rPr>
          <w:rFonts w:hint="eastAsia"/>
        </w:rPr>
        <w:t>，</w:t>
      </w:r>
      <w:r w:rsidRPr="002272A3">
        <w:rPr>
          <w:rFonts w:hint="eastAsia"/>
        </w:rPr>
        <w:t>对于其工作范围内之任何法律问题</w:t>
      </w:r>
      <w:r>
        <w:rPr>
          <w:rFonts w:hint="eastAsia"/>
        </w:rPr>
        <w:t>，</w:t>
      </w:r>
      <w:r w:rsidRPr="002272A3">
        <w:rPr>
          <w:rFonts w:hint="eastAsia"/>
        </w:rPr>
        <w:t>得随时以大会之授权</w:t>
      </w:r>
      <w:r>
        <w:rPr>
          <w:rFonts w:hint="eastAsia"/>
        </w:rPr>
        <w:t>，</w:t>
      </w:r>
      <w:r w:rsidRPr="002272A3">
        <w:rPr>
          <w:rFonts w:hint="eastAsia"/>
        </w:rPr>
        <w:t>请求国际法院发表咨询意见。</w:t>
      </w:r>
    </w:p>
  </w:footnote>
  <w:footnote w:id="1501">
    <w:p w:rsidR="00AB00DE" w:rsidRPr="002272A3" w:rsidRDefault="00AB00DE" w:rsidP="001A5FC1">
      <w:pPr>
        <w:pStyle w:val="a4"/>
      </w:pPr>
      <w:r>
        <w:rPr>
          <w:rFonts w:hint="eastAsia"/>
          <w:sz w:val="22"/>
          <w:szCs w:val="22"/>
        </w:rPr>
        <w:tab/>
      </w:r>
      <w:r w:rsidRPr="008258F3">
        <w:rPr>
          <w:rStyle w:val="a5"/>
          <w:szCs w:val="22"/>
        </w:rPr>
        <w:footnoteRef/>
      </w:r>
      <w:r>
        <w:rPr>
          <w:rFonts w:hint="eastAsia"/>
          <w:sz w:val="22"/>
          <w:szCs w:val="22"/>
        </w:rPr>
        <w:tab/>
      </w:r>
      <w:r w:rsidRPr="002272A3">
        <w:rPr>
          <w:rFonts w:hint="eastAsia"/>
        </w:rPr>
        <w:t>《联合国特权和豁免公约》</w:t>
      </w:r>
      <w:r>
        <w:t>(1946</w:t>
      </w:r>
      <w:r w:rsidRPr="002272A3">
        <w:rPr>
          <w:rFonts w:hint="eastAsia"/>
        </w:rPr>
        <w:t>年</w:t>
      </w:r>
      <w:r>
        <w:rPr>
          <w:rFonts w:hint="eastAsia"/>
        </w:rPr>
        <w:t>2</w:t>
      </w:r>
      <w:r w:rsidRPr="002272A3">
        <w:rPr>
          <w:rFonts w:hint="eastAsia"/>
        </w:rPr>
        <w:t>月</w:t>
      </w:r>
      <w:r>
        <w:rPr>
          <w:rFonts w:hint="eastAsia"/>
        </w:rPr>
        <w:t>13</w:t>
      </w:r>
      <w:r w:rsidRPr="002272A3">
        <w:rPr>
          <w:rFonts w:hint="eastAsia"/>
        </w:rPr>
        <w:t>日</w:t>
      </w:r>
      <w:r>
        <w:rPr>
          <w:rFonts w:hint="eastAsia"/>
        </w:rPr>
        <w:t>，</w:t>
      </w:r>
      <w:r w:rsidRPr="002272A3">
        <w:rPr>
          <w:rFonts w:hint="eastAsia"/>
        </w:rPr>
        <w:t>纽约</w:t>
      </w:r>
      <w:r>
        <w:t>)</w:t>
      </w:r>
      <w:r w:rsidRPr="002272A3">
        <w:rPr>
          <w:rFonts w:hint="eastAsia"/>
        </w:rPr>
        <w:t>第八条第三十节</w:t>
      </w:r>
      <w:r>
        <w:rPr>
          <w:rFonts w:hint="eastAsia"/>
        </w:rPr>
        <w:t>，</w:t>
      </w:r>
      <w:r w:rsidRPr="002272A3">
        <w:rPr>
          <w:rFonts w:hint="eastAsia"/>
        </w:rPr>
        <w:t>联合国《条约汇编》第一卷第</w:t>
      </w:r>
      <w:r>
        <w:rPr>
          <w:rFonts w:hint="eastAsia"/>
        </w:rPr>
        <w:t>15</w:t>
      </w:r>
      <w:r w:rsidRPr="002272A3">
        <w:rPr>
          <w:rFonts w:hint="eastAsia"/>
        </w:rPr>
        <w:t>页。另见《专门机构特权和豁免公约》第九条第</w:t>
      </w:r>
      <w:r>
        <w:rPr>
          <w:rFonts w:hint="eastAsia"/>
        </w:rPr>
        <w:t>32</w:t>
      </w:r>
      <w:r w:rsidRPr="002272A3">
        <w:rPr>
          <w:rFonts w:hint="eastAsia"/>
        </w:rPr>
        <w:t>节</w:t>
      </w:r>
      <w:r>
        <w:t>(1947</w:t>
      </w:r>
      <w:r w:rsidRPr="002272A3">
        <w:rPr>
          <w:rFonts w:hint="eastAsia"/>
        </w:rPr>
        <w:t>年</w:t>
      </w:r>
      <w:r>
        <w:rPr>
          <w:rFonts w:hint="eastAsia"/>
        </w:rPr>
        <w:t>11</w:t>
      </w:r>
      <w:r w:rsidRPr="002272A3">
        <w:rPr>
          <w:rFonts w:hint="eastAsia"/>
        </w:rPr>
        <w:t>月</w:t>
      </w:r>
      <w:r>
        <w:rPr>
          <w:rFonts w:hint="eastAsia"/>
        </w:rPr>
        <w:t>21</w:t>
      </w:r>
      <w:r w:rsidRPr="002272A3">
        <w:rPr>
          <w:rFonts w:hint="eastAsia"/>
        </w:rPr>
        <w:t>日</w:t>
      </w:r>
      <w:r>
        <w:rPr>
          <w:rFonts w:hint="eastAsia"/>
        </w:rPr>
        <w:t>，</w:t>
      </w:r>
      <w:r w:rsidRPr="002272A3">
        <w:rPr>
          <w:rFonts w:hint="eastAsia"/>
        </w:rPr>
        <w:t>纽约</w:t>
      </w:r>
      <w:r>
        <w:t>)</w:t>
      </w:r>
      <w:r>
        <w:t>，</w:t>
      </w:r>
      <w:r w:rsidRPr="002272A3">
        <w:rPr>
          <w:rFonts w:hint="eastAsia"/>
        </w:rPr>
        <w:t>《国际原子能机构特权和豁免协定》</w:t>
      </w:r>
      <w:r>
        <w:t>(1959</w:t>
      </w:r>
      <w:r w:rsidRPr="002272A3">
        <w:rPr>
          <w:rFonts w:hint="eastAsia"/>
        </w:rPr>
        <w:t>年</w:t>
      </w:r>
      <w:r>
        <w:rPr>
          <w:rFonts w:hint="eastAsia"/>
        </w:rPr>
        <w:t>7</w:t>
      </w:r>
      <w:r w:rsidRPr="002272A3">
        <w:rPr>
          <w:rFonts w:hint="eastAsia"/>
        </w:rPr>
        <w:t>月</w:t>
      </w:r>
      <w:r>
        <w:rPr>
          <w:rFonts w:hint="eastAsia"/>
        </w:rPr>
        <w:t>1</w:t>
      </w:r>
      <w:r w:rsidRPr="002272A3">
        <w:rPr>
          <w:rFonts w:hint="eastAsia"/>
        </w:rPr>
        <w:t>日</w:t>
      </w:r>
      <w:r>
        <w:rPr>
          <w:rFonts w:hint="eastAsia"/>
        </w:rPr>
        <w:t>，</w:t>
      </w:r>
      <w:r w:rsidRPr="002272A3">
        <w:rPr>
          <w:rFonts w:hint="eastAsia"/>
        </w:rPr>
        <w:t>维也纳</w:t>
      </w:r>
      <w:r>
        <w:t>)</w:t>
      </w:r>
      <w:r>
        <w:rPr>
          <w:rFonts w:hint="eastAsia"/>
        </w:rPr>
        <w:t>，</w:t>
      </w:r>
      <w:r w:rsidRPr="002272A3">
        <w:rPr>
          <w:rFonts w:hint="eastAsia"/>
        </w:rPr>
        <w:t>联合国《条约汇编》第</w:t>
      </w:r>
      <w:r>
        <w:rPr>
          <w:rFonts w:hint="eastAsia"/>
        </w:rPr>
        <w:t>374</w:t>
      </w:r>
      <w:r w:rsidRPr="002272A3">
        <w:rPr>
          <w:rFonts w:hint="eastAsia"/>
        </w:rPr>
        <w:t>卷</w:t>
      </w:r>
      <w:r>
        <w:t>147</w:t>
      </w:r>
      <w:r w:rsidRPr="002272A3">
        <w:rPr>
          <w:rFonts w:hint="eastAsia"/>
        </w:rPr>
        <w:t>页</w:t>
      </w:r>
      <w:r>
        <w:rPr>
          <w:rFonts w:hint="eastAsia"/>
        </w:rPr>
        <w:t>；</w:t>
      </w:r>
      <w:r w:rsidRPr="002272A3">
        <w:rPr>
          <w:rFonts w:hint="eastAsia"/>
        </w:rPr>
        <w:t>《关于联合国拉丁美洲经济委员会在智利开展业务的协定</w:t>
      </w:r>
      <w:r>
        <w:rPr>
          <w:rFonts w:hint="eastAsia"/>
        </w:rPr>
        <w:t>(</w:t>
      </w:r>
      <w:r w:rsidRPr="002272A3">
        <w:rPr>
          <w:rFonts w:hint="eastAsia"/>
        </w:rPr>
        <w:t>附换文</w:t>
      </w:r>
      <w:r>
        <w:rPr>
          <w:rFonts w:hint="eastAsia"/>
        </w:rPr>
        <w:t>)</w:t>
      </w:r>
      <w:r w:rsidRPr="002272A3">
        <w:rPr>
          <w:rFonts w:hint="eastAsia"/>
        </w:rPr>
        <w:t>》第九条第</w:t>
      </w:r>
      <w:r>
        <w:rPr>
          <w:rFonts w:hint="eastAsia"/>
        </w:rPr>
        <w:t>21</w:t>
      </w:r>
      <w:r w:rsidRPr="002272A3">
        <w:rPr>
          <w:rFonts w:hint="eastAsia"/>
        </w:rPr>
        <w:t>节</w:t>
      </w:r>
      <w:r>
        <w:t>(1953</w:t>
      </w:r>
      <w:r w:rsidRPr="002272A3">
        <w:rPr>
          <w:rFonts w:hint="eastAsia"/>
        </w:rPr>
        <w:t>年</w:t>
      </w:r>
      <w:r>
        <w:rPr>
          <w:rFonts w:hint="eastAsia"/>
        </w:rPr>
        <w:t>2</w:t>
      </w:r>
      <w:r w:rsidRPr="002272A3">
        <w:rPr>
          <w:rFonts w:hint="eastAsia"/>
        </w:rPr>
        <w:t>月</w:t>
      </w:r>
      <w:r>
        <w:rPr>
          <w:rFonts w:hint="eastAsia"/>
        </w:rPr>
        <w:t>16</w:t>
      </w:r>
      <w:r w:rsidRPr="002272A3">
        <w:rPr>
          <w:rFonts w:hint="eastAsia"/>
        </w:rPr>
        <w:t>日</w:t>
      </w:r>
      <w:r>
        <w:rPr>
          <w:rFonts w:hint="eastAsia"/>
        </w:rPr>
        <w:t>，</w:t>
      </w:r>
      <w:r w:rsidRPr="002272A3">
        <w:rPr>
          <w:rFonts w:hint="eastAsia"/>
        </w:rPr>
        <w:t>圣地亚哥</w:t>
      </w:r>
      <w:r>
        <w:t>)</w:t>
      </w:r>
      <w:r>
        <w:rPr>
          <w:rFonts w:hint="eastAsia"/>
        </w:rPr>
        <w:t>，</w:t>
      </w:r>
      <w:r w:rsidRPr="002272A3">
        <w:rPr>
          <w:rFonts w:hint="eastAsia"/>
        </w:rPr>
        <w:t>联合国《条约汇编》第</w:t>
      </w:r>
      <w:r>
        <w:rPr>
          <w:rFonts w:hint="eastAsia"/>
        </w:rPr>
        <w:t>314</w:t>
      </w:r>
      <w:r w:rsidRPr="002272A3">
        <w:rPr>
          <w:rFonts w:hint="eastAsia"/>
        </w:rPr>
        <w:t>卷第</w:t>
      </w:r>
      <w:r>
        <w:rPr>
          <w:rFonts w:hint="eastAsia"/>
        </w:rPr>
        <w:t>49</w:t>
      </w:r>
      <w:r w:rsidRPr="002272A3">
        <w:rPr>
          <w:rFonts w:hint="eastAsia"/>
        </w:rPr>
        <w:t>页</w:t>
      </w:r>
      <w:r>
        <w:rPr>
          <w:rFonts w:hint="eastAsia"/>
        </w:rPr>
        <w:t>；</w:t>
      </w:r>
      <w:r w:rsidRPr="002272A3">
        <w:rPr>
          <w:rFonts w:hint="eastAsia"/>
        </w:rPr>
        <w:t>《联合国与泰国政府关于在泰国设立亚洲及远东经济委员会总部的协定》</w:t>
      </w:r>
      <w:r>
        <w:t>(</w:t>
      </w:r>
      <w:r>
        <w:rPr>
          <w:rFonts w:hint="eastAsia"/>
        </w:rPr>
        <w:t>1</w:t>
      </w:r>
      <w:r>
        <w:t>954</w:t>
      </w:r>
      <w:r w:rsidRPr="002272A3">
        <w:rPr>
          <w:rFonts w:hint="eastAsia"/>
        </w:rPr>
        <w:t>年</w:t>
      </w:r>
      <w:r>
        <w:rPr>
          <w:rFonts w:hint="eastAsia"/>
        </w:rPr>
        <w:t>5</w:t>
      </w:r>
      <w:r w:rsidRPr="002272A3">
        <w:rPr>
          <w:rFonts w:hint="eastAsia"/>
        </w:rPr>
        <w:t>月</w:t>
      </w:r>
      <w:r>
        <w:rPr>
          <w:rFonts w:hint="eastAsia"/>
        </w:rPr>
        <w:t>26</w:t>
      </w:r>
      <w:r w:rsidRPr="002272A3">
        <w:rPr>
          <w:rFonts w:hint="eastAsia"/>
        </w:rPr>
        <w:t>日</w:t>
      </w:r>
      <w:r>
        <w:rPr>
          <w:rFonts w:eastAsiaTheme="minorEastAsia" w:hint="eastAsia"/>
        </w:rPr>
        <w:t>，</w:t>
      </w:r>
      <w:r w:rsidRPr="002272A3">
        <w:rPr>
          <w:rFonts w:hint="eastAsia"/>
        </w:rPr>
        <w:t>日内瓦</w:t>
      </w:r>
      <w:r>
        <w:t>)</w:t>
      </w:r>
      <w:r w:rsidRPr="002272A3">
        <w:rPr>
          <w:rFonts w:hint="eastAsia"/>
        </w:rPr>
        <w:t>第十三条第</w:t>
      </w:r>
      <w:r>
        <w:rPr>
          <w:rFonts w:hint="eastAsia"/>
        </w:rPr>
        <w:t>26</w:t>
      </w:r>
      <w:r w:rsidRPr="002272A3">
        <w:rPr>
          <w:rFonts w:hint="eastAsia"/>
        </w:rPr>
        <w:t>节</w:t>
      </w:r>
      <w:r>
        <w:rPr>
          <w:rFonts w:hint="eastAsia"/>
        </w:rPr>
        <w:t>，</w:t>
      </w:r>
      <w:r w:rsidRPr="002272A3">
        <w:rPr>
          <w:rFonts w:hint="eastAsia"/>
        </w:rPr>
        <w:t>联合国《条约汇编》第</w:t>
      </w:r>
      <w:r>
        <w:rPr>
          <w:rFonts w:hint="eastAsia"/>
        </w:rPr>
        <w:t>26</w:t>
      </w:r>
      <w:r w:rsidRPr="002272A3">
        <w:rPr>
          <w:rFonts w:hint="eastAsia"/>
        </w:rPr>
        <w:t>0</w:t>
      </w:r>
      <w:r w:rsidRPr="002272A3">
        <w:rPr>
          <w:rFonts w:hint="eastAsia"/>
        </w:rPr>
        <w:t>卷第</w:t>
      </w:r>
      <w:r>
        <w:rPr>
          <w:rFonts w:hint="eastAsia"/>
        </w:rPr>
        <w:t>35</w:t>
      </w:r>
      <w:r w:rsidRPr="002272A3">
        <w:rPr>
          <w:rFonts w:hint="eastAsia"/>
        </w:rPr>
        <w:t>页</w:t>
      </w:r>
      <w:r>
        <w:rPr>
          <w:rFonts w:hint="eastAsia"/>
        </w:rPr>
        <w:t>；</w:t>
      </w:r>
      <w:r w:rsidRPr="002272A3">
        <w:rPr>
          <w:rFonts w:hint="eastAsia"/>
        </w:rPr>
        <w:t>均在</w:t>
      </w:r>
      <w:r>
        <w:t>J</w:t>
      </w:r>
      <w:r w:rsidRPr="002272A3">
        <w:t xml:space="preserve">. </w:t>
      </w:r>
      <w:r>
        <w:t>Sztucki</w:t>
      </w:r>
      <w:r w:rsidRPr="002272A3">
        <w:rPr>
          <w:rFonts w:hint="eastAsia"/>
        </w:rPr>
        <w:t>的</w:t>
      </w:r>
      <w:r>
        <w:rPr>
          <w:rFonts w:hint="eastAsia"/>
        </w:rPr>
        <w:t>“</w:t>
      </w:r>
      <w:r w:rsidRPr="002272A3">
        <w:rPr>
          <w:rFonts w:hint="eastAsia"/>
        </w:rPr>
        <w:t>国际组织在国际法院的诉讼程序中作为当事方</w:t>
      </w:r>
      <w:r>
        <w:rPr>
          <w:rFonts w:hint="eastAsia"/>
        </w:rPr>
        <w:t>”</w:t>
      </w:r>
      <w:r w:rsidRPr="002272A3">
        <w:rPr>
          <w:rFonts w:hint="eastAsia"/>
        </w:rPr>
        <w:t>一文中列举</w:t>
      </w:r>
      <w:r>
        <w:rPr>
          <w:rFonts w:hint="eastAsia"/>
        </w:rPr>
        <w:t>，</w:t>
      </w:r>
      <w:r>
        <w:t>A.S.M</w:t>
      </w:r>
      <w:r w:rsidRPr="002272A3">
        <w:t>ü</w:t>
      </w:r>
      <w:r>
        <w:t>ller</w:t>
      </w:r>
      <w:r w:rsidRPr="002272A3">
        <w:t xml:space="preserve"> </w:t>
      </w:r>
      <w:r>
        <w:t>et</w:t>
      </w:r>
      <w:r w:rsidRPr="002272A3">
        <w:t xml:space="preserve"> </w:t>
      </w:r>
      <w:r>
        <w:t>al</w:t>
      </w:r>
      <w:r w:rsidRPr="002272A3">
        <w:t>.</w:t>
      </w:r>
      <w:r>
        <w:t>(eds</w:t>
      </w:r>
      <w:r w:rsidRPr="002272A3">
        <w:t>.</w:t>
      </w:r>
      <w:r>
        <w:t>)</w:t>
      </w:r>
      <w:r>
        <w:t>，</w:t>
      </w:r>
      <w:r>
        <w:rPr>
          <w:i/>
          <w:iCs/>
        </w:rPr>
        <w:t>The</w:t>
      </w:r>
      <w:r w:rsidRPr="002272A3">
        <w:rPr>
          <w:i/>
          <w:iCs/>
        </w:rPr>
        <w:t xml:space="preserve"> </w:t>
      </w:r>
      <w:r>
        <w:rPr>
          <w:i/>
          <w:iCs/>
        </w:rPr>
        <w:t>International</w:t>
      </w:r>
      <w:r w:rsidRPr="002272A3">
        <w:rPr>
          <w:i/>
          <w:iCs/>
        </w:rPr>
        <w:t xml:space="preserve"> </w:t>
      </w:r>
      <w:r>
        <w:rPr>
          <w:i/>
          <w:iCs/>
        </w:rPr>
        <w:t>Court</w:t>
      </w:r>
      <w:r w:rsidRPr="002272A3">
        <w:rPr>
          <w:i/>
          <w:iCs/>
        </w:rPr>
        <w:t xml:space="preserve"> </w:t>
      </w:r>
      <w:r>
        <w:rPr>
          <w:i/>
          <w:iCs/>
        </w:rPr>
        <w:t>of</w:t>
      </w:r>
      <w:r w:rsidRPr="002272A3">
        <w:rPr>
          <w:i/>
          <w:iCs/>
        </w:rPr>
        <w:t xml:space="preserve"> </w:t>
      </w:r>
      <w:r>
        <w:rPr>
          <w:i/>
          <w:iCs/>
        </w:rPr>
        <w:t>Justice:Its</w:t>
      </w:r>
      <w:r w:rsidRPr="002272A3">
        <w:rPr>
          <w:i/>
          <w:iCs/>
        </w:rPr>
        <w:t xml:space="preserve"> </w:t>
      </w:r>
      <w:r>
        <w:rPr>
          <w:i/>
          <w:iCs/>
        </w:rPr>
        <w:t>Future</w:t>
      </w:r>
      <w:r w:rsidRPr="002272A3">
        <w:rPr>
          <w:i/>
          <w:iCs/>
        </w:rPr>
        <w:t xml:space="preserve"> </w:t>
      </w:r>
      <w:r>
        <w:rPr>
          <w:i/>
          <w:iCs/>
        </w:rPr>
        <w:t>Role</w:t>
      </w:r>
      <w:r w:rsidRPr="002272A3">
        <w:rPr>
          <w:i/>
          <w:iCs/>
        </w:rPr>
        <w:t xml:space="preserve"> </w:t>
      </w:r>
      <w:r>
        <w:rPr>
          <w:i/>
          <w:iCs/>
        </w:rPr>
        <w:t>After</w:t>
      </w:r>
      <w:r w:rsidRPr="002272A3">
        <w:rPr>
          <w:i/>
          <w:iCs/>
        </w:rPr>
        <w:t xml:space="preserve"> </w:t>
      </w:r>
      <w:r>
        <w:rPr>
          <w:i/>
          <w:iCs/>
        </w:rPr>
        <w:t>Fifty</w:t>
      </w:r>
      <w:r w:rsidRPr="002272A3">
        <w:rPr>
          <w:i/>
          <w:iCs/>
        </w:rPr>
        <w:t xml:space="preserve"> </w:t>
      </w:r>
      <w:r>
        <w:rPr>
          <w:i/>
          <w:iCs/>
        </w:rPr>
        <w:t>Years</w:t>
      </w:r>
      <w:r>
        <w:t>(The</w:t>
      </w:r>
      <w:r w:rsidRPr="002272A3">
        <w:t xml:space="preserve"> </w:t>
      </w:r>
      <w:r>
        <w:t>Hague:Nijhoff, 1977)</w:t>
      </w:r>
      <w:r>
        <w:t>，</w:t>
      </w:r>
      <w:r>
        <w:t>pp.141-167, at notes 24-25</w:t>
      </w:r>
      <w:r>
        <w:rPr>
          <w:rFonts w:hint="eastAsia"/>
        </w:rPr>
        <w:t>。</w:t>
      </w:r>
    </w:p>
  </w:footnote>
  <w:footnote w:id="1502">
    <w:p w:rsidR="00AB00DE" w:rsidRPr="002272A3" w:rsidRDefault="00AB00DE" w:rsidP="001A5FC1">
      <w:pPr>
        <w:pStyle w:val="a4"/>
      </w:pPr>
      <w:r>
        <w:rPr>
          <w:rFonts w:hint="eastAsia"/>
          <w:sz w:val="22"/>
          <w:szCs w:val="22"/>
        </w:rPr>
        <w:tab/>
      </w:r>
      <w:r w:rsidRPr="008258F3">
        <w:rPr>
          <w:rStyle w:val="a5"/>
          <w:szCs w:val="22"/>
        </w:rPr>
        <w:footnoteRef/>
      </w:r>
      <w:r>
        <w:rPr>
          <w:rFonts w:hint="eastAsia"/>
          <w:sz w:val="22"/>
          <w:szCs w:val="22"/>
        </w:rPr>
        <w:tab/>
      </w:r>
      <w:r w:rsidRPr="002272A3">
        <w:rPr>
          <w:rFonts w:hint="eastAsia"/>
        </w:rPr>
        <w:t>《联合国和美利坚合众国关于联合国总部的协定》</w:t>
      </w:r>
      <w:r>
        <w:t>(1947</w:t>
      </w:r>
      <w:r w:rsidRPr="002272A3">
        <w:rPr>
          <w:rFonts w:ascii="宋体" w:hAnsi="宋体" w:cs="宋体" w:hint="eastAsia"/>
        </w:rPr>
        <w:t>年</w:t>
      </w:r>
      <w:r>
        <w:t>6</w:t>
      </w:r>
      <w:r w:rsidRPr="002272A3">
        <w:rPr>
          <w:rFonts w:ascii="宋体" w:hAnsi="宋体" w:cs="宋体" w:hint="eastAsia"/>
        </w:rPr>
        <w:t>月</w:t>
      </w:r>
      <w:r>
        <w:t>26</w:t>
      </w:r>
      <w:r w:rsidRPr="002272A3">
        <w:rPr>
          <w:rFonts w:ascii="宋体" w:hAnsi="宋体" w:cs="宋体" w:hint="eastAsia"/>
        </w:rPr>
        <w:t>日</w:t>
      </w:r>
      <w:r>
        <w:rPr>
          <w:rFonts w:hint="eastAsia"/>
        </w:rPr>
        <w:t>，</w:t>
      </w:r>
      <w:r w:rsidRPr="002272A3">
        <w:rPr>
          <w:rFonts w:hint="eastAsia"/>
        </w:rPr>
        <w:t>成功湖村</w:t>
      </w:r>
      <w:r>
        <w:t>)</w:t>
      </w:r>
      <w:r>
        <w:rPr>
          <w:rFonts w:hint="eastAsia"/>
        </w:rPr>
        <w:t>，</w:t>
      </w:r>
      <w:r w:rsidRPr="002272A3">
        <w:rPr>
          <w:rFonts w:hint="eastAsia"/>
        </w:rPr>
        <w:t>第八条第二十一节</w:t>
      </w:r>
      <w:r>
        <w:rPr>
          <w:rFonts w:hint="eastAsia"/>
        </w:rPr>
        <w:t>，</w:t>
      </w:r>
      <w:r w:rsidRPr="002272A3">
        <w:rPr>
          <w:rFonts w:hint="eastAsia"/>
        </w:rPr>
        <w:t>联合国《</w:t>
      </w:r>
      <w:r w:rsidRPr="00C73A51">
        <w:rPr>
          <w:rFonts w:ascii="Time New Roman" w:eastAsia="黑体" w:hAnsi="Time New Roman" w:hint="eastAsia"/>
        </w:rPr>
        <w:t>条约汇编</w:t>
      </w:r>
      <w:r w:rsidRPr="002272A3">
        <w:rPr>
          <w:rFonts w:hint="eastAsia"/>
        </w:rPr>
        <w:t>》</w:t>
      </w:r>
      <w:r>
        <w:rPr>
          <w:rFonts w:hint="eastAsia"/>
        </w:rPr>
        <w:t>，</w:t>
      </w:r>
      <w:r w:rsidRPr="002272A3">
        <w:rPr>
          <w:rFonts w:hint="eastAsia"/>
        </w:rPr>
        <w:t>第</w:t>
      </w:r>
      <w:r>
        <w:t>11</w:t>
      </w:r>
      <w:r w:rsidRPr="002272A3">
        <w:rPr>
          <w:rFonts w:hint="eastAsia"/>
        </w:rPr>
        <w:t>卷第</w:t>
      </w:r>
      <w:r>
        <w:rPr>
          <w:rFonts w:hint="eastAsia"/>
        </w:rPr>
        <w:t>12</w:t>
      </w:r>
      <w:r w:rsidRPr="002272A3">
        <w:rPr>
          <w:rFonts w:hint="eastAsia"/>
        </w:rPr>
        <w:t>页</w:t>
      </w:r>
      <w:r>
        <w:rPr>
          <w:rFonts w:hint="eastAsia"/>
        </w:rPr>
        <w:t>：</w:t>
      </w:r>
    </w:p>
    <w:p w:rsidR="00AB00DE" w:rsidRPr="002272A3" w:rsidRDefault="00AB00DE" w:rsidP="001A5FC1">
      <w:pPr>
        <w:pStyle w:val="a4"/>
        <w:tabs>
          <w:tab w:val="left" w:pos="1876"/>
        </w:tabs>
        <w:ind w:firstLine="224"/>
      </w:pPr>
      <w:r>
        <w:rPr>
          <w:rFonts w:hint="eastAsia"/>
        </w:rPr>
        <w:t>“</w:t>
      </w:r>
      <w:r>
        <w:t>(a)</w:t>
      </w:r>
      <w:r>
        <w:rPr>
          <w:rFonts w:hint="eastAsia"/>
        </w:rPr>
        <w:tab/>
      </w:r>
      <w:r w:rsidRPr="002272A3">
        <w:rPr>
          <w:rFonts w:hint="eastAsia"/>
        </w:rPr>
        <w:t>联合国及美国关于解释及实施本协定或任何补充协定之争执</w:t>
      </w:r>
      <w:r>
        <w:rPr>
          <w:rFonts w:hint="eastAsia"/>
        </w:rPr>
        <w:t>，</w:t>
      </w:r>
      <w:r w:rsidRPr="002272A3">
        <w:rPr>
          <w:rFonts w:hint="eastAsia"/>
        </w:rPr>
        <w:t>如未能由磋商或其他双方同意之办法解决者</w:t>
      </w:r>
      <w:r>
        <w:rPr>
          <w:rFonts w:hint="eastAsia"/>
        </w:rPr>
        <w:t>，</w:t>
      </w:r>
      <w:r w:rsidRPr="002272A3">
        <w:rPr>
          <w:rFonts w:hint="eastAsia"/>
        </w:rPr>
        <w:t>应提交三仲裁人组织之法庭取决。仲裁人之一由秘书长提名</w:t>
      </w:r>
      <w:r>
        <w:rPr>
          <w:rFonts w:hint="eastAsia"/>
        </w:rPr>
        <w:t>，</w:t>
      </w:r>
      <w:r w:rsidRPr="002272A3">
        <w:rPr>
          <w:rFonts w:hint="eastAsia"/>
        </w:rPr>
        <w:t>另一由美国国务卿提名</w:t>
      </w:r>
      <w:r>
        <w:rPr>
          <w:rFonts w:hint="eastAsia"/>
        </w:rPr>
        <w:t>，</w:t>
      </w:r>
      <w:r w:rsidRPr="002272A3">
        <w:rPr>
          <w:rFonts w:hint="eastAsia"/>
        </w:rPr>
        <w:t>第三人由秘书长及国务卿一同抉择</w:t>
      </w:r>
      <w:r>
        <w:rPr>
          <w:rFonts w:hint="eastAsia"/>
        </w:rPr>
        <w:t>，</w:t>
      </w:r>
      <w:r w:rsidRPr="002272A3">
        <w:rPr>
          <w:rFonts w:hint="eastAsia"/>
        </w:rPr>
        <w:t>如双方不能同意第三仲裁人时</w:t>
      </w:r>
      <w:r>
        <w:rPr>
          <w:rFonts w:hint="eastAsia"/>
        </w:rPr>
        <w:t>，</w:t>
      </w:r>
      <w:r w:rsidRPr="002272A3">
        <w:rPr>
          <w:rFonts w:hint="eastAsia"/>
        </w:rPr>
        <w:t>则由国际法院院长指派之。</w:t>
      </w:r>
    </w:p>
    <w:p w:rsidR="00AB00DE" w:rsidRPr="002272A3" w:rsidRDefault="00AB00DE" w:rsidP="001A5FC1">
      <w:pPr>
        <w:pStyle w:val="a4"/>
        <w:tabs>
          <w:tab w:val="clear" w:pos="1021"/>
          <w:tab w:val="left" w:pos="1843"/>
        </w:tabs>
        <w:ind w:firstLine="364"/>
      </w:pPr>
      <w:r>
        <w:t>(b)</w:t>
      </w:r>
      <w:r>
        <w:rPr>
          <w:rFonts w:hint="eastAsia"/>
        </w:rPr>
        <w:tab/>
      </w:r>
      <w:r w:rsidRPr="002272A3">
        <w:rPr>
          <w:rFonts w:hint="eastAsia"/>
        </w:rPr>
        <w:t>秘书长或美国得就此项程序引起之法律问题请大会征询国际法院之咨询意见。于接获法院之意见以前</w:t>
      </w:r>
      <w:r>
        <w:rPr>
          <w:rFonts w:hint="eastAsia"/>
        </w:rPr>
        <w:t>，</w:t>
      </w:r>
      <w:r w:rsidRPr="002272A3">
        <w:rPr>
          <w:rFonts w:hint="eastAsia"/>
        </w:rPr>
        <w:t>双方应遵从仲裁法庭之临时裁定。其后</w:t>
      </w:r>
      <w:r>
        <w:rPr>
          <w:rFonts w:hint="eastAsia"/>
        </w:rPr>
        <w:t>，</w:t>
      </w:r>
      <w:r w:rsidRPr="002272A3">
        <w:rPr>
          <w:rFonts w:hint="eastAsia"/>
        </w:rPr>
        <w:t>仲裁法庭得参照法院之意见作成最后裁定。</w:t>
      </w:r>
      <w:r>
        <w:rPr>
          <w:rFonts w:hint="eastAsia"/>
        </w:rPr>
        <w:t>”</w:t>
      </w:r>
    </w:p>
    <w:p w:rsidR="00AB00DE" w:rsidRPr="002272A3" w:rsidRDefault="00AB00DE" w:rsidP="001A5FC1">
      <w:pPr>
        <w:pStyle w:val="a4"/>
        <w:ind w:firstLine="0"/>
      </w:pPr>
      <w:r w:rsidRPr="002272A3">
        <w:rPr>
          <w:rFonts w:hint="eastAsia"/>
        </w:rPr>
        <w:t>也见《国际民用航空组织与加拿大政府关于国际民用航空组织总部的协定》</w:t>
      </w:r>
      <w:r>
        <w:t>(</w:t>
      </w:r>
      <w:r>
        <w:rPr>
          <w:rFonts w:eastAsiaTheme="minorEastAsia"/>
        </w:rPr>
        <w:t>1951</w:t>
      </w:r>
      <w:r w:rsidRPr="0015421E">
        <w:rPr>
          <w:rFonts w:eastAsiaTheme="minorEastAsia" w:hint="eastAsia"/>
        </w:rPr>
        <w:t>年</w:t>
      </w:r>
      <w:r>
        <w:rPr>
          <w:rFonts w:eastAsiaTheme="minorEastAsia" w:hint="eastAsia"/>
        </w:rPr>
        <w:t>4</w:t>
      </w:r>
      <w:r w:rsidRPr="0015421E">
        <w:rPr>
          <w:rFonts w:eastAsiaTheme="minorEastAsia" w:hint="eastAsia"/>
        </w:rPr>
        <w:t>月</w:t>
      </w:r>
      <w:r>
        <w:rPr>
          <w:rFonts w:eastAsiaTheme="minorEastAsia" w:hint="eastAsia"/>
        </w:rPr>
        <w:t>14</w:t>
      </w:r>
      <w:r w:rsidRPr="0015421E">
        <w:rPr>
          <w:rFonts w:eastAsiaTheme="minorEastAsia" w:hint="eastAsia"/>
        </w:rPr>
        <w:t>日</w:t>
      </w:r>
      <w:r>
        <w:rPr>
          <w:rFonts w:eastAsiaTheme="minorEastAsia" w:hint="eastAsia"/>
        </w:rPr>
        <w:t>，</w:t>
      </w:r>
      <w:r w:rsidRPr="0015421E">
        <w:rPr>
          <w:rFonts w:eastAsiaTheme="minorEastAsia" w:hint="eastAsia"/>
        </w:rPr>
        <w:t>蒙特利尔</w:t>
      </w:r>
      <w:r>
        <w:t>)</w:t>
      </w:r>
      <w:r w:rsidRPr="002272A3">
        <w:rPr>
          <w:rFonts w:hint="eastAsia"/>
        </w:rPr>
        <w:t>第七条第</w:t>
      </w:r>
      <w:r>
        <w:t>31</w:t>
      </w:r>
      <w:r w:rsidRPr="002272A3">
        <w:rPr>
          <w:rFonts w:hint="eastAsia"/>
        </w:rPr>
        <w:t>节</w:t>
      </w:r>
      <w:r>
        <w:rPr>
          <w:rFonts w:hint="eastAsia"/>
        </w:rPr>
        <w:t>，</w:t>
      </w:r>
      <w:r w:rsidRPr="002272A3">
        <w:rPr>
          <w:rFonts w:hint="eastAsia"/>
        </w:rPr>
        <w:t>联合国《</w:t>
      </w:r>
      <w:r w:rsidRPr="00E857A3">
        <w:rPr>
          <w:rFonts w:ascii="Time New Roman" w:eastAsia="楷体" w:hAnsi="Time New Roman" w:hint="eastAsia"/>
        </w:rPr>
        <w:t>条约汇编</w:t>
      </w:r>
      <w:r w:rsidRPr="002272A3">
        <w:rPr>
          <w:rFonts w:hint="eastAsia"/>
        </w:rPr>
        <w:t>》第</w:t>
      </w:r>
      <w:r>
        <w:rPr>
          <w:rFonts w:hint="eastAsia"/>
        </w:rPr>
        <w:t>96</w:t>
      </w:r>
      <w:r w:rsidRPr="002272A3">
        <w:rPr>
          <w:rFonts w:hint="eastAsia"/>
        </w:rPr>
        <w:t>卷第</w:t>
      </w:r>
      <w:r>
        <w:t>1</w:t>
      </w:r>
      <w:r>
        <w:rPr>
          <w:rFonts w:hint="eastAsia"/>
        </w:rPr>
        <w:t>76</w:t>
      </w:r>
      <w:r w:rsidRPr="002272A3">
        <w:rPr>
          <w:rFonts w:hint="eastAsia"/>
        </w:rPr>
        <w:t>页</w:t>
      </w:r>
      <w:r>
        <w:rPr>
          <w:rFonts w:hint="eastAsia"/>
        </w:rPr>
        <w:t>。</w:t>
      </w:r>
    </w:p>
  </w:footnote>
  <w:footnote w:id="1503">
    <w:p w:rsidR="00AB00DE" w:rsidRPr="005B2112" w:rsidRDefault="00AB00DE" w:rsidP="000E6A33">
      <w:pPr>
        <w:pStyle w:val="a4"/>
        <w:tabs>
          <w:tab w:val="left" w:pos="5236"/>
          <w:tab w:val="left" w:pos="6719"/>
        </w:tabs>
        <w:rPr>
          <w:rFonts w:eastAsiaTheme="minorEastAsia"/>
        </w:rPr>
      </w:pPr>
      <w:r>
        <w:rPr>
          <w:rFonts w:hint="eastAsia"/>
          <w:sz w:val="22"/>
          <w:szCs w:val="22"/>
        </w:rPr>
        <w:tab/>
      </w:r>
      <w:r w:rsidRPr="008258F3">
        <w:rPr>
          <w:rStyle w:val="a5"/>
          <w:szCs w:val="22"/>
        </w:rPr>
        <w:footnoteRef/>
      </w:r>
      <w:r>
        <w:rPr>
          <w:rFonts w:hint="eastAsia"/>
          <w:sz w:val="22"/>
          <w:szCs w:val="22"/>
        </w:rPr>
        <w:tab/>
      </w:r>
      <w:r w:rsidRPr="005B2112">
        <w:rPr>
          <w:rFonts w:eastAsiaTheme="minorEastAsia" w:hint="eastAsia"/>
        </w:rPr>
        <w:t>《</w:t>
      </w:r>
      <w:r w:rsidRPr="005B2112">
        <w:t>国际法院规约</w:t>
      </w:r>
      <w:r w:rsidRPr="005B2112">
        <w:rPr>
          <w:rFonts w:ascii="宋体" w:hAnsi="宋体" w:cs="宋体" w:hint="eastAsia"/>
        </w:rPr>
        <w:t>》</w:t>
      </w:r>
      <w:r w:rsidRPr="005B2112">
        <w:rPr>
          <w:rFonts w:asciiTheme="minorEastAsia" w:eastAsiaTheme="minorEastAsia" w:hint="eastAsia"/>
        </w:rPr>
        <w:t>第六十五</w:t>
      </w:r>
      <w:r w:rsidRPr="005B2112">
        <w:t>条</w:t>
      </w:r>
      <w:r w:rsidRPr="005B2112">
        <w:rPr>
          <w:rFonts w:asciiTheme="minorEastAsia" w:eastAsiaTheme="minorEastAsia" w:hint="eastAsia"/>
        </w:rPr>
        <w:t>提到《</w:t>
      </w:r>
      <w:r w:rsidRPr="005B2112">
        <w:t>联合国宪章</w:t>
      </w:r>
      <w:r w:rsidRPr="005B2112">
        <w:rPr>
          <w:rFonts w:asciiTheme="minorEastAsia" w:eastAsiaTheme="minorEastAsia" w:hint="eastAsia"/>
        </w:rPr>
        <w:t>》第九十六</w:t>
      </w:r>
      <w:r w:rsidRPr="005B2112">
        <w:t>条</w:t>
      </w:r>
      <w:r>
        <w:t>：</w:t>
      </w:r>
      <w:r>
        <w:rPr>
          <w:rFonts w:hint="eastAsia"/>
        </w:rPr>
        <w:t>“</w:t>
      </w:r>
      <w:r w:rsidRPr="005B2112">
        <w:rPr>
          <w:rFonts w:ascii="宋体" w:hAnsi="宋体" w:cs="宋体" w:hint="eastAsia"/>
        </w:rPr>
        <w:t>一</w:t>
      </w:r>
      <w:r>
        <w:rPr>
          <w:rFonts w:ascii="宋体" w:hAnsi="宋体" w:cs="宋体" w:hint="eastAsia"/>
        </w:rPr>
        <w:t>.</w:t>
      </w:r>
      <w:r>
        <w:rPr>
          <w:rFonts w:ascii="宋体" w:hAnsi="宋体" w:cs="宋体"/>
        </w:rPr>
        <w:tab/>
      </w:r>
      <w:r w:rsidRPr="005B2112">
        <w:rPr>
          <w:rFonts w:ascii="宋体" w:hAnsi="宋体" w:cs="宋体" w:hint="eastAsia"/>
        </w:rPr>
        <w:t>大会或安全理事会对于任何法律问题得请国际法院发表咨询意见。二</w:t>
      </w:r>
      <w:r>
        <w:rPr>
          <w:rFonts w:ascii="宋体" w:hAnsi="宋体" w:cs="宋体" w:hint="eastAsia"/>
        </w:rPr>
        <w:t>.</w:t>
      </w:r>
      <w:r>
        <w:rPr>
          <w:rFonts w:ascii="宋体" w:hAnsi="宋体" w:cs="宋体"/>
        </w:rPr>
        <w:tab/>
      </w:r>
      <w:r w:rsidRPr="005B2112">
        <w:rPr>
          <w:rFonts w:ascii="宋体" w:hAnsi="宋体" w:cs="宋体" w:hint="eastAsia"/>
        </w:rPr>
        <w:t>联合国其他机关及各种专门机关</w:t>
      </w:r>
      <w:r>
        <w:rPr>
          <w:rFonts w:ascii="宋体" w:hAnsi="宋体" w:cs="宋体" w:hint="eastAsia"/>
        </w:rPr>
        <w:t>，</w:t>
      </w:r>
      <w:r w:rsidRPr="005B2112">
        <w:rPr>
          <w:rFonts w:ascii="宋体" w:hAnsi="宋体" w:cs="宋体" w:hint="eastAsia"/>
        </w:rPr>
        <w:t>对于其工作范围内之任何法律问题</w:t>
      </w:r>
      <w:r>
        <w:rPr>
          <w:rFonts w:ascii="宋体" w:hAnsi="宋体" w:cs="宋体" w:hint="eastAsia"/>
        </w:rPr>
        <w:t>，</w:t>
      </w:r>
      <w:r w:rsidRPr="005B2112">
        <w:rPr>
          <w:rFonts w:ascii="宋体" w:hAnsi="宋体" w:cs="宋体" w:hint="eastAsia"/>
        </w:rPr>
        <w:t>得随时以大会之授权</w:t>
      </w:r>
      <w:r>
        <w:rPr>
          <w:rFonts w:ascii="宋体" w:hAnsi="宋体" w:cs="宋体" w:hint="eastAsia"/>
        </w:rPr>
        <w:t>，</w:t>
      </w:r>
      <w:r w:rsidRPr="005B2112">
        <w:rPr>
          <w:rFonts w:ascii="宋体" w:hAnsi="宋体" w:cs="宋体" w:hint="eastAsia"/>
        </w:rPr>
        <w:t>请求国际法院发表咨询意见。</w:t>
      </w:r>
      <w:r>
        <w:rPr>
          <w:rFonts w:hint="eastAsia"/>
        </w:rPr>
        <w:t>”</w:t>
      </w:r>
      <w:r w:rsidRPr="005B2112">
        <w:rPr>
          <w:rFonts w:ascii="宋体" w:hAnsi="宋体" w:cs="宋体"/>
        </w:rPr>
        <w:t>得到此授权的机构包括经社理事会、托管理事会和大会临时委员会</w:t>
      </w:r>
      <w:r w:rsidRPr="005B2112">
        <w:rPr>
          <w:rFonts w:ascii="宋体" w:hAnsi="宋体" w:cs="宋体" w:hint="eastAsia"/>
        </w:rPr>
        <w:t>。</w:t>
      </w:r>
      <w:r w:rsidRPr="005B2112">
        <w:rPr>
          <w:rFonts w:ascii="宋体" w:hAnsi="宋体" w:cs="宋体"/>
        </w:rPr>
        <w:t>得到此授权的专门机构包括劳工组织、粮农组织、</w:t>
      </w:r>
      <w:r>
        <w:rPr>
          <w:rFonts w:ascii="宋体" w:eastAsiaTheme="minorEastAsia" w:hAnsi="宋体" w:cs="宋体" w:hint="eastAsia"/>
        </w:rPr>
        <w:t>教</w:t>
      </w:r>
      <w:r w:rsidRPr="005B2112">
        <w:rPr>
          <w:rFonts w:ascii="宋体" w:hAnsi="宋体" w:cs="宋体"/>
        </w:rPr>
        <w:t>科文组织、卫生组织、</w:t>
      </w:r>
      <w:r w:rsidRPr="005B2112">
        <w:rPr>
          <w:rFonts w:ascii="宋体" w:hAnsi="宋体" w:cs="宋体" w:hint="eastAsia"/>
        </w:rPr>
        <w:t>国际复兴开发银行、国际金融公司、国际开发协会、</w:t>
      </w:r>
      <w:r w:rsidRPr="005B2112">
        <w:rPr>
          <w:rFonts w:ascii="宋体" w:hAnsi="宋体" w:cs="宋体"/>
        </w:rPr>
        <w:t>货币基金组织、</w:t>
      </w:r>
      <w:r w:rsidRPr="005B2112">
        <w:rPr>
          <w:rFonts w:ascii="宋体" w:hAnsi="宋体" w:cs="宋体" w:hint="eastAsia"/>
        </w:rPr>
        <w:t>民航组织、</w:t>
      </w:r>
      <w:r w:rsidRPr="005B2112">
        <w:rPr>
          <w:rFonts w:ascii="宋体" w:hAnsi="宋体" w:cs="宋体"/>
        </w:rPr>
        <w:t>电信联盟、</w:t>
      </w:r>
      <w:r w:rsidRPr="005B2112">
        <w:rPr>
          <w:rFonts w:ascii="宋体" w:hAnsi="宋体" w:cs="宋体" w:hint="eastAsia"/>
        </w:rPr>
        <w:t>农发基金、</w:t>
      </w:r>
      <w:r w:rsidRPr="005B2112">
        <w:rPr>
          <w:rFonts w:ascii="宋体" w:hAnsi="宋体" w:cs="宋体"/>
        </w:rPr>
        <w:t>气象组织</w:t>
      </w:r>
      <w:r w:rsidRPr="005B2112">
        <w:rPr>
          <w:rFonts w:ascii="宋体" w:hAnsi="宋体" w:cs="宋体" w:hint="eastAsia"/>
        </w:rPr>
        <w:t>、海事组织、</w:t>
      </w:r>
      <w:r w:rsidRPr="005B2112">
        <w:rPr>
          <w:rFonts w:ascii="宋体" w:hAnsi="宋体" w:cs="宋体"/>
        </w:rPr>
        <w:t>知识产权组织和工发组织。国际原子能机构尽管不是联合国的专门机构</w:t>
      </w:r>
      <w:r>
        <w:rPr>
          <w:rFonts w:ascii="宋体" w:hAnsi="宋体" w:cs="宋体"/>
        </w:rPr>
        <w:t>，</w:t>
      </w:r>
      <w:r w:rsidRPr="005B2112">
        <w:rPr>
          <w:rFonts w:ascii="宋体" w:hAnsi="宋体" w:cs="宋体"/>
        </w:rPr>
        <w:t>但也得到</w:t>
      </w:r>
      <w:r w:rsidRPr="005B2112">
        <w:rPr>
          <w:rFonts w:ascii="宋体" w:hAnsi="宋体" w:cs="宋体" w:hint="eastAsia"/>
        </w:rPr>
        <w:t>咨询</w:t>
      </w:r>
      <w:r w:rsidRPr="005B2112">
        <w:rPr>
          <w:rFonts w:ascii="宋体" w:hAnsi="宋体" w:cs="宋体"/>
        </w:rPr>
        <w:t>授权。</w:t>
      </w:r>
      <w:r w:rsidRPr="005B2112">
        <w:rPr>
          <w:rFonts w:ascii="宋体" w:hAnsi="宋体" w:cs="宋体" w:hint="eastAsia"/>
        </w:rPr>
        <w:t>见</w:t>
      </w:r>
      <w:r>
        <w:rPr>
          <w:rFonts w:ascii="宋体" w:hAnsi="宋体" w:cs="宋体" w:hint="eastAsia"/>
        </w:rPr>
        <w:t>“</w:t>
      </w:r>
      <w:r w:rsidRPr="005B2112">
        <w:rPr>
          <w:rFonts w:ascii="宋体" w:hAnsi="宋体" w:cs="宋体" w:hint="eastAsia"/>
        </w:rPr>
        <w:t>得到联合国授权可请求咨询意见的组织和机构</w:t>
      </w:r>
      <w:r>
        <w:rPr>
          <w:rFonts w:ascii="宋体" w:hAnsi="宋体" w:cs="宋体" w:hint="eastAsia"/>
        </w:rPr>
        <w:t>”，</w:t>
      </w:r>
      <w:r w:rsidRPr="005B2112">
        <w:rPr>
          <w:rFonts w:ascii="宋体" w:hAnsi="宋体" w:cs="宋体" w:hint="eastAsia"/>
        </w:rPr>
        <w:t>可登录</w:t>
      </w:r>
      <w:r>
        <w:rPr>
          <w:rFonts w:ascii="宋体" w:hAnsi="宋体" w:cs="宋体" w:hint="eastAsia"/>
        </w:rPr>
        <w:t>：</w:t>
      </w:r>
      <w:r w:rsidRPr="000E6A33">
        <w:t>http://www.icj-cij.org/jurisdiction/</w:t>
      </w:r>
      <w:r>
        <w:rPr>
          <w:rFonts w:hint="eastAsia"/>
        </w:rPr>
        <w:t xml:space="preserve"> </w:t>
      </w:r>
      <w:r>
        <w:t>index</w:t>
      </w:r>
      <w:r w:rsidRPr="005B2112">
        <w:t>.</w:t>
      </w:r>
      <w:r>
        <w:t>php</w:t>
      </w:r>
      <w:r>
        <w:rPr>
          <w:rFonts w:hint="eastAsia"/>
        </w:rPr>
        <w:t>?</w:t>
      </w:r>
      <w:r>
        <w:t>p1</w:t>
      </w:r>
      <w:r w:rsidRPr="005B2112">
        <w:t>=</w:t>
      </w:r>
      <w:r>
        <w:t>5</w:t>
      </w:r>
      <w:r w:rsidRPr="005B2112">
        <w:t>&amp;</w:t>
      </w:r>
      <w:r>
        <w:t>p2</w:t>
      </w:r>
      <w:r w:rsidRPr="005B2112">
        <w:t>=</w:t>
      </w:r>
      <w:r>
        <w:t>2</w:t>
      </w:r>
      <w:r w:rsidRPr="005B2112">
        <w:t>&amp;</w:t>
      </w:r>
      <w:r>
        <w:t>p3</w:t>
      </w:r>
      <w:r w:rsidRPr="005B2112">
        <w:t>=</w:t>
      </w:r>
      <w:r>
        <w:t>1(visited</w:t>
      </w:r>
      <w:r w:rsidRPr="005B2112">
        <w:t xml:space="preserve"> </w:t>
      </w:r>
      <w:r>
        <w:t>29</w:t>
      </w:r>
      <w:r w:rsidRPr="005B2112">
        <w:t xml:space="preserve"> </w:t>
      </w:r>
      <w:r>
        <w:t>June</w:t>
      </w:r>
      <w:r w:rsidRPr="005B2112">
        <w:t xml:space="preserve"> </w:t>
      </w:r>
      <w:r>
        <w:t>2</w:t>
      </w:r>
      <w:r w:rsidRPr="005B2112">
        <w:t>0</w:t>
      </w:r>
      <w:r>
        <w:t>16)</w:t>
      </w:r>
      <w:r w:rsidRPr="005B2112">
        <w:rPr>
          <w:rFonts w:hint="eastAsia"/>
        </w:rPr>
        <w:t>。</w:t>
      </w:r>
    </w:p>
  </w:footnote>
  <w:footnote w:id="1504">
    <w:p w:rsidR="00AB00DE" w:rsidRPr="005B2112" w:rsidRDefault="00AB00DE" w:rsidP="001A5FC1">
      <w:pPr>
        <w:pStyle w:val="a4"/>
      </w:pPr>
      <w:r>
        <w:rPr>
          <w:rFonts w:hint="eastAsia"/>
          <w:sz w:val="22"/>
          <w:szCs w:val="22"/>
        </w:rPr>
        <w:tab/>
      </w:r>
      <w:r w:rsidRPr="008258F3">
        <w:rPr>
          <w:rStyle w:val="a5"/>
          <w:szCs w:val="22"/>
        </w:rPr>
        <w:footnoteRef/>
      </w:r>
      <w:r>
        <w:rPr>
          <w:rFonts w:hint="eastAsia"/>
          <w:sz w:val="22"/>
          <w:szCs w:val="22"/>
        </w:rPr>
        <w:tab/>
      </w:r>
      <w:r>
        <w:t>K</w:t>
      </w:r>
      <w:r w:rsidRPr="005B2112">
        <w:t xml:space="preserve">. </w:t>
      </w:r>
      <w:r>
        <w:t xml:space="preserve">Wellens, </w:t>
      </w:r>
      <w:r>
        <w:rPr>
          <w:i/>
          <w:iCs/>
        </w:rPr>
        <w:t>Remedies</w:t>
      </w:r>
      <w:r w:rsidRPr="005B2112">
        <w:rPr>
          <w:i/>
          <w:iCs/>
        </w:rPr>
        <w:t xml:space="preserve"> </w:t>
      </w:r>
      <w:r>
        <w:rPr>
          <w:i/>
          <w:iCs/>
        </w:rPr>
        <w:t>against</w:t>
      </w:r>
      <w:r w:rsidRPr="005B2112">
        <w:rPr>
          <w:i/>
          <w:iCs/>
        </w:rPr>
        <w:t xml:space="preserve"> </w:t>
      </w:r>
      <w:r>
        <w:rPr>
          <w:i/>
          <w:iCs/>
        </w:rPr>
        <w:t>international</w:t>
      </w:r>
      <w:r w:rsidRPr="005B2112">
        <w:rPr>
          <w:i/>
          <w:iCs/>
        </w:rPr>
        <w:t xml:space="preserve"> </w:t>
      </w:r>
      <w:r>
        <w:rPr>
          <w:i/>
          <w:iCs/>
        </w:rPr>
        <w:t>organizations</w:t>
      </w:r>
      <w:r w:rsidRPr="005B2112">
        <w:t xml:space="preserve"> </w:t>
      </w:r>
      <w:r>
        <w:rPr>
          <w:i/>
          <w:iCs/>
        </w:rPr>
        <w:t>s</w:t>
      </w:r>
      <w:r>
        <w:t>(Cambridge:Cambridge</w:t>
      </w:r>
      <w:r w:rsidRPr="005B2112">
        <w:t xml:space="preserve"> </w:t>
      </w:r>
      <w:r>
        <w:t>University</w:t>
      </w:r>
      <w:r w:rsidRPr="005B2112">
        <w:t xml:space="preserve"> </w:t>
      </w:r>
      <w:r>
        <w:t>Press, 2</w:t>
      </w:r>
      <w:r w:rsidRPr="005B2112">
        <w:t>00</w:t>
      </w:r>
      <w:r>
        <w:t>2)</w:t>
      </w:r>
      <w:r>
        <w:t>，</w:t>
      </w:r>
      <w:r>
        <w:t>at</w:t>
      </w:r>
      <w:r w:rsidRPr="005B2112">
        <w:t xml:space="preserve"> </w:t>
      </w:r>
      <w:r>
        <w:t>p</w:t>
      </w:r>
      <w:r w:rsidRPr="005B2112">
        <w:t xml:space="preserve">. </w:t>
      </w:r>
      <w:r>
        <w:t>233</w:t>
      </w:r>
      <w:r w:rsidRPr="005B2112">
        <w:rPr>
          <w:rFonts w:hint="eastAsia"/>
        </w:rPr>
        <w:t>。另见</w:t>
      </w:r>
      <w:r w:rsidRPr="005B2112">
        <w:rPr>
          <w:rFonts w:eastAsia="楷体" w:hint="eastAsia"/>
        </w:rPr>
        <w:t>关于人权委员会特别报告员享有法律程序豁免的争议</w:t>
      </w:r>
      <w:r>
        <w:rPr>
          <w:rFonts w:eastAsia="楷体" w:hint="eastAsia"/>
        </w:rPr>
        <w:t>，</w:t>
      </w:r>
      <w:r w:rsidRPr="005B2112">
        <w:rPr>
          <w:rFonts w:eastAsia="楷体" w:hint="eastAsia"/>
        </w:rPr>
        <w:t>咨询意见</w:t>
      </w:r>
      <w:r>
        <w:rPr>
          <w:rFonts w:eastAsia="楷体" w:hint="eastAsia"/>
        </w:rPr>
        <w:t>，</w:t>
      </w:r>
      <w:r w:rsidRPr="00E857A3">
        <w:rPr>
          <w:rFonts w:ascii="Time New Roman" w:eastAsia="楷体" w:hAnsi="Time New Roman" w:hint="eastAsia"/>
        </w:rPr>
        <w:t>《</w:t>
      </w:r>
      <w:r>
        <w:rPr>
          <w:rFonts w:ascii="Time New Roman" w:eastAsia="楷体" w:hAnsi="Time New Roman"/>
        </w:rPr>
        <w:t>1999</w:t>
      </w:r>
      <w:r w:rsidRPr="00E857A3">
        <w:rPr>
          <w:rFonts w:ascii="Time New Roman" w:eastAsia="楷体" w:hAnsi="Time New Roman" w:hint="eastAsia"/>
        </w:rPr>
        <w:t>年国际法院案例汇编》</w:t>
      </w:r>
      <w:r>
        <w:rPr>
          <w:rFonts w:hint="eastAsia"/>
        </w:rPr>
        <w:t>，</w:t>
      </w:r>
      <w:r w:rsidRPr="005B2112">
        <w:rPr>
          <w:rFonts w:hint="eastAsia"/>
        </w:rPr>
        <w:t>第</w:t>
      </w:r>
      <w:r>
        <w:t>62</w:t>
      </w:r>
      <w:r w:rsidRPr="005B2112">
        <w:rPr>
          <w:rFonts w:hint="eastAsia"/>
        </w:rPr>
        <w:t>页</w:t>
      </w:r>
      <w:r>
        <w:rPr>
          <w:rFonts w:eastAsiaTheme="minorEastAsia" w:hint="eastAsia"/>
        </w:rPr>
        <w:t>起</w:t>
      </w:r>
      <w:r>
        <w:rPr>
          <w:rFonts w:hint="eastAsia"/>
        </w:rPr>
        <w:t>，</w:t>
      </w:r>
      <w:r w:rsidRPr="005B2112">
        <w:rPr>
          <w:rFonts w:hint="eastAsia"/>
        </w:rPr>
        <w:t>见第</w:t>
      </w:r>
      <w:r>
        <w:t>8</w:t>
      </w:r>
      <w:r>
        <w:rPr>
          <w:rFonts w:hint="eastAsia"/>
        </w:rPr>
        <w:t>1</w:t>
      </w:r>
      <w:r w:rsidRPr="005B2112">
        <w:rPr>
          <w:rFonts w:hint="eastAsia"/>
        </w:rPr>
        <w:t>页第</w:t>
      </w:r>
      <w:r>
        <w:rPr>
          <w:rFonts w:eastAsiaTheme="minorEastAsia" w:hint="eastAsia"/>
        </w:rPr>
        <w:t>36</w:t>
      </w:r>
      <w:r w:rsidRPr="005B2112">
        <w:rPr>
          <w:rFonts w:eastAsiaTheme="minorEastAsia" w:hint="eastAsia"/>
        </w:rPr>
        <w:t>段。</w:t>
      </w:r>
    </w:p>
  </w:footnote>
  <w:footnote w:id="1505">
    <w:p w:rsidR="00AB00DE" w:rsidRPr="000652A1" w:rsidRDefault="00AB00DE" w:rsidP="001A5FC1">
      <w:pPr>
        <w:pStyle w:val="a4"/>
        <w:rPr>
          <w:sz w:val="22"/>
          <w:szCs w:val="22"/>
        </w:rPr>
      </w:pPr>
      <w:r>
        <w:rPr>
          <w:rFonts w:hint="eastAsia"/>
          <w:sz w:val="22"/>
          <w:szCs w:val="22"/>
        </w:rPr>
        <w:tab/>
      </w:r>
      <w:r w:rsidRPr="008258F3">
        <w:rPr>
          <w:rStyle w:val="a5"/>
          <w:szCs w:val="22"/>
        </w:rPr>
        <w:footnoteRef/>
      </w:r>
      <w:r>
        <w:rPr>
          <w:rFonts w:hint="eastAsia"/>
          <w:sz w:val="22"/>
          <w:szCs w:val="22"/>
        </w:rPr>
        <w:tab/>
      </w:r>
      <w:r w:rsidRPr="005B2112">
        <w:rPr>
          <w:rFonts w:hint="eastAsia"/>
        </w:rPr>
        <w:t>在</w:t>
      </w:r>
      <w:r w:rsidRPr="005B2112">
        <w:rPr>
          <w:rFonts w:eastAsiaTheme="minorEastAsia" w:hint="eastAsia"/>
        </w:rPr>
        <w:t>这方面</w:t>
      </w:r>
      <w:r>
        <w:rPr>
          <w:rFonts w:eastAsiaTheme="minorEastAsia" w:hint="eastAsia"/>
        </w:rPr>
        <w:t>，</w:t>
      </w:r>
      <w:r w:rsidRPr="005B2112">
        <w:rPr>
          <w:rFonts w:eastAsiaTheme="minorEastAsia" w:hint="eastAsia"/>
        </w:rPr>
        <w:t>见《</w:t>
      </w:r>
      <w:r w:rsidRPr="005B2112">
        <w:rPr>
          <w:rFonts w:hint="eastAsia"/>
        </w:rPr>
        <w:t>关于国家和国际组织间或国际组织相互间条约法的维也纳公约》</w:t>
      </w:r>
      <w:r>
        <w:rPr>
          <w:rFonts w:hint="eastAsia"/>
        </w:rPr>
        <w:t>(</w:t>
      </w:r>
      <w:r>
        <w:t>1986</w:t>
      </w:r>
      <w:r>
        <w:rPr>
          <w:rFonts w:eastAsiaTheme="minorEastAsia" w:hint="eastAsia"/>
        </w:rPr>
        <w:t>年</w:t>
      </w:r>
      <w:r>
        <w:rPr>
          <w:rFonts w:hint="eastAsia"/>
        </w:rPr>
        <w:t>)</w:t>
      </w:r>
      <w:r w:rsidRPr="005B2112">
        <w:rPr>
          <w:rFonts w:eastAsiaTheme="minorEastAsia" w:hint="eastAsia"/>
        </w:rPr>
        <w:t>第</w:t>
      </w:r>
      <w:r>
        <w:rPr>
          <w:rFonts w:eastAsiaTheme="minorEastAsia" w:hint="eastAsia"/>
        </w:rPr>
        <w:t>66</w:t>
      </w:r>
      <w:r w:rsidRPr="005B2112">
        <w:rPr>
          <w:rFonts w:eastAsiaTheme="minorEastAsia" w:hint="eastAsia"/>
        </w:rPr>
        <w:t>条第</w:t>
      </w:r>
      <w:r>
        <w:rPr>
          <w:rFonts w:eastAsiaTheme="minorEastAsia" w:hint="eastAsia"/>
        </w:rPr>
        <w:t>2</w:t>
      </w:r>
      <w:r w:rsidRPr="005B2112">
        <w:rPr>
          <w:rFonts w:eastAsiaTheme="minorEastAsia" w:hint="eastAsia"/>
        </w:rPr>
        <w:t>款中复杂的争端解决条款。</w:t>
      </w:r>
    </w:p>
  </w:footnote>
  <w:footnote w:id="1506">
    <w:p w:rsidR="00AB00DE" w:rsidRPr="005B2112" w:rsidRDefault="00AB00DE" w:rsidP="001A5FC1">
      <w:pPr>
        <w:pStyle w:val="a4"/>
      </w:pPr>
      <w:r>
        <w:rPr>
          <w:rFonts w:eastAsiaTheme="minorEastAsia" w:hint="eastAsia"/>
          <w:sz w:val="22"/>
          <w:szCs w:val="22"/>
        </w:rPr>
        <w:tab/>
      </w:r>
      <w:r w:rsidRPr="008258F3">
        <w:rPr>
          <w:rStyle w:val="a5"/>
          <w:szCs w:val="22"/>
        </w:rPr>
        <w:footnoteRef/>
      </w:r>
      <w:r>
        <w:rPr>
          <w:rFonts w:eastAsiaTheme="minorEastAsia" w:hint="eastAsia"/>
          <w:sz w:val="22"/>
          <w:szCs w:val="22"/>
        </w:rPr>
        <w:tab/>
      </w:r>
      <w:r w:rsidRPr="005B2112">
        <w:rPr>
          <w:rFonts w:eastAsiaTheme="minorEastAsia" w:hint="eastAsia"/>
        </w:rPr>
        <w:t>《</w:t>
      </w:r>
      <w:r w:rsidRPr="00E857A3">
        <w:rPr>
          <w:rFonts w:ascii="Time New Roman" w:eastAsia="楷体" w:hAnsi="Time New Roman"/>
        </w:rPr>
        <w:t>国际法</w:t>
      </w:r>
      <w:r w:rsidRPr="00E857A3">
        <w:rPr>
          <w:rFonts w:ascii="Time New Roman" w:eastAsia="楷体" w:hAnsi="Time New Roman" w:hint="eastAsia"/>
        </w:rPr>
        <w:t>委员会</w:t>
      </w:r>
      <w:r w:rsidRPr="00E857A3">
        <w:rPr>
          <w:rFonts w:ascii="Time New Roman" w:eastAsia="楷体" w:hAnsi="Time New Roman"/>
        </w:rPr>
        <w:t>年鉴</w:t>
      </w:r>
      <w:r w:rsidRPr="005B2112">
        <w:rPr>
          <w:rFonts w:asciiTheme="minorEastAsia" w:eastAsiaTheme="minorEastAsia" w:hint="eastAsia"/>
        </w:rPr>
        <w:t>》</w:t>
      </w:r>
      <w:r>
        <w:t>198</w:t>
      </w:r>
      <w:r w:rsidRPr="005B2112">
        <w:t>0</w:t>
      </w:r>
      <w:r>
        <w:rPr>
          <w:rFonts w:asciiTheme="minorEastAsia" w:eastAsiaTheme="minorEastAsia" w:hint="eastAsia"/>
        </w:rPr>
        <w:t>年</w:t>
      </w:r>
      <w:r>
        <w:t>，</w:t>
      </w:r>
      <w:r w:rsidRPr="005B2112">
        <w:t>第二卷</w:t>
      </w:r>
      <w:r>
        <w:rPr>
          <w:rFonts w:asciiTheme="minorEastAsia" w:eastAsiaTheme="minorEastAsia" w:hint="eastAsia"/>
        </w:rPr>
        <w:t>(</w:t>
      </w:r>
      <w:r w:rsidRPr="005B2112">
        <w:t>第二部分</w:t>
      </w:r>
      <w:r>
        <w:rPr>
          <w:rFonts w:asciiTheme="minorEastAsia" w:eastAsiaTheme="minorEastAsia" w:hint="eastAsia"/>
        </w:rPr>
        <w:t>)</w:t>
      </w:r>
      <w:r>
        <w:t>，</w:t>
      </w:r>
      <w:r w:rsidRPr="005B2112">
        <w:t>第</w:t>
      </w:r>
      <w:r>
        <w:t>87</w:t>
      </w:r>
      <w:r w:rsidRPr="005B2112">
        <w:t>-</w:t>
      </w:r>
      <w:r>
        <w:t>88</w:t>
      </w:r>
      <w:r w:rsidRPr="005B2112">
        <w:t>页</w:t>
      </w:r>
      <w:r>
        <w:t>，</w:t>
      </w:r>
      <w:r w:rsidRPr="005B2112">
        <w:t>第</w:t>
      </w:r>
      <w:r>
        <w:t>9</w:t>
      </w:r>
      <w:r w:rsidRPr="005B2112">
        <w:t>-</w:t>
      </w:r>
      <w:r>
        <w:t>11</w:t>
      </w:r>
      <w:r w:rsidRPr="005B2112">
        <w:t>段</w:t>
      </w:r>
      <w:r>
        <w:t>；</w:t>
      </w:r>
      <w:r w:rsidRPr="005B2112">
        <w:rPr>
          <w:rFonts w:asciiTheme="minorEastAsia" w:eastAsiaTheme="minorEastAsia" w:hint="eastAsia"/>
        </w:rPr>
        <w:t>《</w:t>
      </w:r>
      <w:r w:rsidRPr="00E857A3">
        <w:rPr>
          <w:rFonts w:ascii="Time New Roman" w:eastAsia="楷体" w:hAnsi="Time New Roman"/>
        </w:rPr>
        <w:t>国际法</w:t>
      </w:r>
      <w:r w:rsidRPr="00E857A3">
        <w:rPr>
          <w:rFonts w:ascii="Time New Roman" w:eastAsia="楷体" w:hAnsi="Time New Roman" w:hint="eastAsia"/>
        </w:rPr>
        <w:t>委员会</w:t>
      </w:r>
      <w:r w:rsidRPr="00E857A3">
        <w:rPr>
          <w:rFonts w:ascii="Time New Roman" w:eastAsia="楷体" w:hAnsi="Time New Roman"/>
        </w:rPr>
        <w:t>年鉴</w:t>
      </w:r>
      <w:r w:rsidRPr="005B2112">
        <w:rPr>
          <w:rFonts w:asciiTheme="minorEastAsia" w:eastAsiaTheme="minorEastAsia" w:hint="eastAsia"/>
        </w:rPr>
        <w:t>》</w:t>
      </w:r>
      <w:r>
        <w:rPr>
          <w:rFonts w:asciiTheme="minorEastAsia" w:eastAsiaTheme="minorEastAsia" w:hint="eastAsia"/>
        </w:rPr>
        <w:t>，</w:t>
      </w:r>
      <w:r>
        <w:t>1982</w:t>
      </w:r>
      <w:r>
        <w:rPr>
          <w:rFonts w:asciiTheme="minorEastAsia" w:eastAsiaTheme="minorEastAsia" w:hint="eastAsia"/>
        </w:rPr>
        <w:t>年</w:t>
      </w:r>
      <w:r>
        <w:t>，</w:t>
      </w:r>
      <w:r w:rsidRPr="005B2112">
        <w:t>第二卷</w:t>
      </w:r>
      <w:r>
        <w:rPr>
          <w:rFonts w:asciiTheme="minorEastAsia" w:eastAsiaTheme="minorEastAsia" w:hint="eastAsia"/>
        </w:rPr>
        <w:t>(</w:t>
      </w:r>
      <w:r w:rsidRPr="005B2112">
        <w:t>第二部分</w:t>
      </w:r>
      <w:r>
        <w:rPr>
          <w:rFonts w:asciiTheme="minorEastAsia" w:eastAsiaTheme="minorEastAsia" w:hint="eastAsia"/>
        </w:rPr>
        <w:t>)</w:t>
      </w:r>
      <w:r w:rsidRPr="005B2112">
        <w:t>第</w:t>
      </w:r>
      <w:r>
        <w:t>65</w:t>
      </w:r>
      <w:r w:rsidRPr="005B2112">
        <w:t>页第</w:t>
      </w:r>
      <w:r>
        <w:t>4</w:t>
      </w:r>
      <w:r w:rsidRPr="005B2112">
        <w:t>-</w:t>
      </w:r>
      <w:r>
        <w:t>6</w:t>
      </w:r>
      <w:r w:rsidRPr="005B2112">
        <w:t>段。</w:t>
      </w:r>
      <w:r w:rsidRPr="005B2112">
        <w:rPr>
          <w:rFonts w:asciiTheme="minorEastAsia" w:eastAsiaTheme="minorEastAsia" w:hint="eastAsia"/>
        </w:rPr>
        <w:t>上一个脚注表明</w:t>
      </w:r>
      <w:r>
        <w:rPr>
          <w:rFonts w:asciiTheme="minorEastAsia" w:eastAsiaTheme="minorEastAsia" w:hint="eastAsia"/>
        </w:rPr>
        <w:t>，</w:t>
      </w:r>
      <w:r w:rsidRPr="005B2112">
        <w:rPr>
          <w:rFonts w:asciiTheme="minorEastAsia" w:eastAsiaTheme="minorEastAsia" w:hint="eastAsia"/>
        </w:rPr>
        <w:t>各国拒绝了这些建议</w:t>
      </w:r>
      <w:r>
        <w:rPr>
          <w:rFonts w:asciiTheme="minorEastAsia" w:eastAsiaTheme="minorEastAsia" w:hint="eastAsia"/>
        </w:rPr>
        <w:t>，</w:t>
      </w:r>
      <w:r w:rsidRPr="005B2112">
        <w:rPr>
          <w:rFonts w:asciiTheme="minorEastAsia" w:eastAsiaTheme="minorEastAsia" w:hint="eastAsia"/>
        </w:rPr>
        <w:t>在</w:t>
      </w:r>
      <w:r w:rsidRPr="005B2112">
        <w:rPr>
          <w:rFonts w:eastAsiaTheme="minorEastAsia" w:hint="eastAsia"/>
        </w:rPr>
        <w:t>《</w:t>
      </w:r>
      <w:r w:rsidRPr="005B2112">
        <w:rPr>
          <w:rFonts w:hint="eastAsia"/>
        </w:rPr>
        <w:t>关于国家和国际组织间或国际组织相互间条约法的维也纳公约》</w:t>
      </w:r>
      <w:r w:rsidRPr="005B2112">
        <w:rPr>
          <w:rFonts w:asciiTheme="minorEastAsia" w:eastAsiaTheme="minorEastAsia" w:hint="eastAsia"/>
        </w:rPr>
        <w:t>中</w:t>
      </w:r>
      <w:r>
        <w:rPr>
          <w:rFonts w:asciiTheme="minorEastAsia" w:eastAsiaTheme="minorEastAsia" w:hint="eastAsia"/>
        </w:rPr>
        <w:t>，</w:t>
      </w:r>
      <w:r w:rsidRPr="005B2112">
        <w:rPr>
          <w:rFonts w:asciiTheme="minorEastAsia" w:eastAsiaTheme="minorEastAsia" w:hint="eastAsia"/>
        </w:rPr>
        <w:t>不将法律咨询程序纳入其解决争端程序。</w:t>
      </w:r>
    </w:p>
  </w:footnote>
  <w:footnote w:id="1507">
    <w:p w:rsidR="00AB00DE" w:rsidRPr="005B2112" w:rsidRDefault="00AB00DE" w:rsidP="001A5FC1">
      <w:pPr>
        <w:pStyle w:val="a4"/>
      </w:pPr>
      <w:r>
        <w:rPr>
          <w:rFonts w:eastAsiaTheme="minorEastAsia" w:hint="eastAsia"/>
          <w:sz w:val="22"/>
          <w:szCs w:val="22"/>
        </w:rPr>
        <w:tab/>
      </w:r>
      <w:r w:rsidRPr="008258F3">
        <w:rPr>
          <w:rStyle w:val="a5"/>
          <w:szCs w:val="22"/>
        </w:rPr>
        <w:footnoteRef/>
      </w:r>
      <w:r>
        <w:rPr>
          <w:rFonts w:eastAsiaTheme="minorEastAsia" w:hint="eastAsia"/>
          <w:sz w:val="22"/>
          <w:szCs w:val="22"/>
        </w:rPr>
        <w:tab/>
      </w:r>
      <w:r w:rsidRPr="005B2112">
        <w:rPr>
          <w:rFonts w:eastAsiaTheme="minorEastAsia" w:hint="eastAsia"/>
        </w:rPr>
        <w:t>在</w:t>
      </w:r>
      <w:r>
        <w:rPr>
          <w:rFonts w:eastAsiaTheme="minorEastAsia" w:hint="eastAsia"/>
        </w:rPr>
        <w:t>“</w:t>
      </w:r>
      <w:r w:rsidRPr="005B2112">
        <w:rPr>
          <w:rFonts w:eastAsia="楷体" w:hint="eastAsia"/>
        </w:rPr>
        <w:t>使用武力的合法性</w:t>
      </w:r>
      <w:r>
        <w:rPr>
          <w:rFonts w:eastAsiaTheme="minorEastAsia" w:hint="eastAsia"/>
        </w:rPr>
        <w:t>”</w:t>
      </w:r>
      <w:r w:rsidRPr="005B2112">
        <w:rPr>
          <w:rFonts w:eastAsiaTheme="minorEastAsia" w:hint="eastAsia"/>
        </w:rPr>
        <w:t>案中</w:t>
      </w:r>
      <w:r>
        <w:rPr>
          <w:rFonts w:eastAsiaTheme="minorEastAsia" w:hint="eastAsia"/>
        </w:rPr>
        <w:t>，</w:t>
      </w:r>
      <w:r w:rsidRPr="005B2112">
        <w:rPr>
          <w:rFonts w:eastAsiaTheme="minorEastAsia" w:hint="eastAsia"/>
        </w:rPr>
        <w:t>南斯拉夫联盟共和国必须对北约的所有成员国单独提出索赔</w:t>
      </w:r>
      <w:r>
        <w:rPr>
          <w:rFonts w:eastAsiaTheme="minorEastAsia" w:hint="eastAsia"/>
        </w:rPr>
        <w:t>，</w:t>
      </w:r>
      <w:r w:rsidRPr="005B2112">
        <w:rPr>
          <w:rFonts w:eastAsiaTheme="minorEastAsia" w:hint="eastAsia"/>
        </w:rPr>
        <w:t>而不是对北约提出一项索赔</w:t>
      </w:r>
      <w:r>
        <w:rPr>
          <w:rFonts w:eastAsiaTheme="minorEastAsia" w:hint="eastAsia"/>
        </w:rPr>
        <w:t>，</w:t>
      </w:r>
      <w:r w:rsidRPr="005B2112">
        <w:rPr>
          <w:rFonts w:eastAsiaTheme="minorEastAsia" w:hint="eastAsia"/>
        </w:rPr>
        <w:t>之后便有人提出了司法经济的考虑。</w:t>
      </w:r>
    </w:p>
  </w:footnote>
  <w:footnote w:id="1508">
    <w:p w:rsidR="00AB00DE" w:rsidRPr="002272A3" w:rsidRDefault="00AB00DE" w:rsidP="001A5FC1">
      <w:pPr>
        <w:pStyle w:val="a4"/>
      </w:pPr>
      <w:r>
        <w:rPr>
          <w:rFonts w:eastAsiaTheme="minorEastAsia" w:hint="eastAsia"/>
          <w:sz w:val="22"/>
          <w:szCs w:val="22"/>
        </w:rPr>
        <w:tab/>
      </w:r>
      <w:r w:rsidRPr="008258F3">
        <w:rPr>
          <w:rStyle w:val="a5"/>
          <w:szCs w:val="22"/>
        </w:rPr>
        <w:footnoteRef/>
      </w:r>
      <w:r>
        <w:rPr>
          <w:rFonts w:eastAsiaTheme="minorEastAsia" w:hint="eastAsia"/>
          <w:sz w:val="22"/>
          <w:szCs w:val="22"/>
        </w:rPr>
        <w:tab/>
      </w:r>
      <w:r w:rsidRPr="002272A3">
        <w:rPr>
          <w:rFonts w:eastAsiaTheme="minorEastAsia" w:hint="eastAsia"/>
        </w:rPr>
        <w:t>《</w:t>
      </w:r>
      <w:r w:rsidRPr="002E221F">
        <w:rPr>
          <w:rFonts w:ascii="Time New Roman" w:eastAsia="楷体" w:hAnsi="Time New Roman" w:hint="eastAsia"/>
        </w:rPr>
        <w:t>审查国际法院的作用</w:t>
      </w:r>
      <w:r w:rsidRPr="002272A3">
        <w:rPr>
          <w:rFonts w:eastAsiaTheme="minorEastAsia" w:hint="eastAsia"/>
        </w:rPr>
        <w:t>》</w:t>
      </w:r>
      <w:r>
        <w:rPr>
          <w:rFonts w:eastAsiaTheme="minorEastAsia" w:hint="eastAsia"/>
        </w:rPr>
        <w:t>，</w:t>
      </w:r>
      <w:r w:rsidRPr="002272A3">
        <w:rPr>
          <w:rFonts w:eastAsiaTheme="minorEastAsia" w:hint="eastAsia"/>
        </w:rPr>
        <w:t>秘书长的报告</w:t>
      </w:r>
      <w:r>
        <w:rPr>
          <w:rFonts w:eastAsiaTheme="minorEastAsia" w:hint="eastAsia"/>
        </w:rPr>
        <w:t>，</w:t>
      </w:r>
      <w:r w:rsidRPr="002272A3">
        <w:rPr>
          <w:rFonts w:eastAsiaTheme="minorEastAsia" w:hint="eastAsia"/>
        </w:rPr>
        <w:t>文件</w:t>
      </w:r>
      <w:r>
        <w:t>A/8382(1971)</w:t>
      </w:r>
      <w:r>
        <w:rPr>
          <w:rFonts w:hint="eastAsia"/>
        </w:rPr>
        <w:t>，</w:t>
      </w:r>
      <w:r w:rsidRPr="002272A3">
        <w:rPr>
          <w:rFonts w:eastAsiaTheme="minorEastAsia" w:hint="eastAsia"/>
        </w:rPr>
        <w:t>问题</w:t>
      </w:r>
      <w:r>
        <w:t>III(a)</w:t>
      </w:r>
      <w:r>
        <w:rPr>
          <w:rFonts w:hint="eastAsia"/>
        </w:rPr>
        <w:t>，</w:t>
      </w:r>
      <w:r w:rsidRPr="002272A3">
        <w:rPr>
          <w:rFonts w:eastAsiaTheme="minorEastAsia" w:hint="eastAsia"/>
        </w:rPr>
        <w:t>第</w:t>
      </w:r>
      <w:r>
        <w:t>6</w:t>
      </w:r>
      <w:r w:rsidRPr="002272A3">
        <w:rPr>
          <w:rFonts w:hint="eastAsia"/>
        </w:rPr>
        <w:t>页</w:t>
      </w:r>
      <w:r>
        <w:rPr>
          <w:rFonts w:hint="eastAsia"/>
        </w:rPr>
        <w:t>，</w:t>
      </w:r>
      <w:r w:rsidRPr="002272A3">
        <w:rPr>
          <w:rFonts w:eastAsiaTheme="minorEastAsia" w:hint="eastAsia"/>
        </w:rPr>
        <w:t>第</w:t>
      </w:r>
      <w:r>
        <w:t>7</w:t>
      </w:r>
      <w:r w:rsidRPr="002272A3">
        <w:t>0-</w:t>
      </w:r>
      <w:r>
        <w:t>77</w:t>
      </w:r>
      <w:r w:rsidRPr="002272A3">
        <w:rPr>
          <w:rFonts w:hint="eastAsia"/>
        </w:rPr>
        <w:t>页</w:t>
      </w:r>
      <w:r>
        <w:rPr>
          <w:rFonts w:eastAsiaTheme="minorEastAsia" w:hint="eastAsia"/>
        </w:rPr>
        <w:t>，</w:t>
      </w:r>
      <w:r w:rsidRPr="002272A3">
        <w:rPr>
          <w:rFonts w:eastAsiaTheme="minorEastAsia" w:hint="eastAsia"/>
        </w:rPr>
        <w:t>第</w:t>
      </w:r>
      <w:r>
        <w:t>2</w:t>
      </w:r>
      <w:r w:rsidRPr="002272A3">
        <w:t>00-</w:t>
      </w:r>
      <w:r>
        <w:t>224</w:t>
      </w:r>
      <w:r w:rsidRPr="002272A3">
        <w:rPr>
          <w:rFonts w:hint="eastAsia"/>
        </w:rPr>
        <w:t>段</w:t>
      </w:r>
      <w:r w:rsidRPr="002272A3">
        <w:rPr>
          <w:rFonts w:eastAsiaTheme="minorEastAsia" w:hint="eastAsia"/>
        </w:rPr>
        <w:t>。另见文件</w:t>
      </w:r>
      <w:r>
        <w:t>A/8382/Add</w:t>
      </w:r>
      <w:r w:rsidRPr="002272A3">
        <w:t>.</w:t>
      </w:r>
      <w:r>
        <w:t>1,</w:t>
      </w:r>
      <w:r w:rsidRPr="002272A3">
        <w:rPr>
          <w:rFonts w:eastAsiaTheme="minorEastAsia" w:hint="eastAsia"/>
        </w:rPr>
        <w:t>第</w:t>
      </w:r>
      <w:r>
        <w:t>6</w:t>
      </w:r>
      <w:r w:rsidRPr="002272A3">
        <w:rPr>
          <w:rFonts w:hint="eastAsia"/>
        </w:rPr>
        <w:t>页</w:t>
      </w:r>
      <w:r>
        <w:rPr>
          <w:rFonts w:eastAsiaTheme="minorEastAsia" w:hint="eastAsia"/>
        </w:rPr>
        <w:t>；</w:t>
      </w:r>
      <w:r>
        <w:t>A/8382/Add</w:t>
      </w:r>
      <w:r w:rsidRPr="002272A3">
        <w:t>.</w:t>
      </w:r>
      <w:r>
        <w:t>3,</w:t>
      </w:r>
      <w:r w:rsidRPr="002272A3">
        <w:rPr>
          <w:rFonts w:eastAsiaTheme="minorEastAsia" w:hint="eastAsia"/>
        </w:rPr>
        <w:t>第</w:t>
      </w:r>
      <w:r>
        <w:rPr>
          <w:rFonts w:eastAsiaTheme="minorEastAsia" w:hint="eastAsia"/>
        </w:rPr>
        <w:t>4</w:t>
      </w:r>
      <w:r w:rsidRPr="002272A3">
        <w:rPr>
          <w:rFonts w:eastAsiaTheme="minorEastAsia" w:hint="eastAsia"/>
        </w:rPr>
        <w:t>页</w:t>
      </w:r>
      <w:r>
        <w:rPr>
          <w:rFonts w:eastAsiaTheme="minorEastAsia" w:hint="eastAsia"/>
        </w:rPr>
        <w:t>；</w:t>
      </w:r>
      <w:r>
        <w:t>A/8382/Add</w:t>
      </w:r>
      <w:r w:rsidRPr="002272A3">
        <w:t>.</w:t>
      </w:r>
      <w:r>
        <w:t>4,</w:t>
      </w:r>
      <w:r w:rsidRPr="002272A3">
        <w:rPr>
          <w:rFonts w:eastAsiaTheme="minorEastAsia" w:hint="eastAsia"/>
        </w:rPr>
        <w:t>第</w:t>
      </w:r>
      <w:r>
        <w:t>3</w:t>
      </w:r>
      <w:r w:rsidRPr="002272A3">
        <w:rPr>
          <w:rFonts w:hint="eastAsia"/>
        </w:rPr>
        <w:t>页</w:t>
      </w:r>
      <w:r w:rsidRPr="002272A3">
        <w:rPr>
          <w:rFonts w:eastAsiaTheme="minorEastAsia" w:hint="eastAsia"/>
        </w:rPr>
        <w:t>。</w:t>
      </w:r>
    </w:p>
  </w:footnote>
  <w:footnote w:id="1509">
    <w:p w:rsidR="00AB00DE" w:rsidRPr="002272A3" w:rsidRDefault="00AB00DE" w:rsidP="001A5FC1">
      <w:pPr>
        <w:pStyle w:val="a4"/>
        <w:rPr>
          <w:rFonts w:eastAsiaTheme="minorEastAsia"/>
        </w:rPr>
      </w:pPr>
      <w:r>
        <w:rPr>
          <w:rFonts w:hint="eastAsia"/>
          <w:sz w:val="22"/>
          <w:szCs w:val="22"/>
        </w:rPr>
        <w:tab/>
      </w:r>
      <w:r w:rsidRPr="008258F3">
        <w:rPr>
          <w:rStyle w:val="a5"/>
          <w:szCs w:val="22"/>
        </w:rPr>
        <w:footnoteRef/>
      </w:r>
      <w:r>
        <w:rPr>
          <w:rFonts w:hint="eastAsia"/>
          <w:sz w:val="22"/>
          <w:szCs w:val="22"/>
        </w:rPr>
        <w:tab/>
      </w:r>
      <w:r w:rsidRPr="002272A3">
        <w:rPr>
          <w:rFonts w:eastAsiaTheme="minorEastAsia" w:hint="eastAsia"/>
        </w:rPr>
        <w:t>文件</w:t>
      </w:r>
      <w:r>
        <w:rPr>
          <w:rFonts w:eastAsiaTheme="minorEastAsia"/>
        </w:rPr>
        <w:t>A/AC</w:t>
      </w:r>
      <w:r w:rsidRPr="002272A3">
        <w:rPr>
          <w:rFonts w:eastAsiaTheme="minorEastAsia"/>
        </w:rPr>
        <w:t>.</w:t>
      </w:r>
      <w:r>
        <w:rPr>
          <w:rFonts w:eastAsiaTheme="minorEastAsia"/>
        </w:rPr>
        <w:t>182/L</w:t>
      </w:r>
      <w:r w:rsidRPr="002272A3">
        <w:rPr>
          <w:rFonts w:eastAsiaTheme="minorEastAsia"/>
        </w:rPr>
        <w:t>.</w:t>
      </w:r>
      <w:r>
        <w:rPr>
          <w:rFonts w:eastAsiaTheme="minorEastAsia"/>
        </w:rPr>
        <w:t>95</w:t>
      </w:r>
      <w:r w:rsidRPr="002272A3">
        <w:rPr>
          <w:rFonts w:eastAsiaTheme="minorEastAsia" w:hint="eastAsia"/>
        </w:rPr>
        <w:t>和</w:t>
      </w:r>
      <w:r>
        <w:rPr>
          <w:rFonts w:eastAsiaTheme="minorEastAsia"/>
        </w:rPr>
        <w:t>Rev</w:t>
      </w:r>
      <w:r w:rsidRPr="002272A3">
        <w:rPr>
          <w:rFonts w:eastAsiaTheme="minorEastAsia"/>
        </w:rPr>
        <w:t>.</w:t>
      </w:r>
      <w:r>
        <w:rPr>
          <w:rFonts w:eastAsiaTheme="minorEastAsia"/>
        </w:rPr>
        <w:t>1(1997)</w:t>
      </w:r>
      <w:r w:rsidRPr="002272A3">
        <w:rPr>
          <w:rFonts w:eastAsiaTheme="minorEastAsia" w:hint="eastAsia"/>
        </w:rPr>
        <w:t>。</w:t>
      </w:r>
    </w:p>
  </w:footnote>
  <w:footnote w:id="1510">
    <w:p w:rsidR="00AB00DE" w:rsidRPr="003C2F3A" w:rsidRDefault="00AB00DE" w:rsidP="001A5FC1">
      <w:pPr>
        <w:pStyle w:val="a4"/>
        <w:rPr>
          <w:rFonts w:eastAsiaTheme="minorEastAsia"/>
          <w:sz w:val="22"/>
          <w:szCs w:val="22"/>
        </w:rPr>
      </w:pPr>
      <w:r>
        <w:rPr>
          <w:rFonts w:hint="eastAsia"/>
          <w:sz w:val="22"/>
          <w:szCs w:val="22"/>
        </w:rPr>
        <w:tab/>
      </w:r>
      <w:r w:rsidRPr="008258F3">
        <w:rPr>
          <w:rStyle w:val="a5"/>
          <w:szCs w:val="22"/>
        </w:rPr>
        <w:footnoteRef/>
      </w:r>
      <w:r>
        <w:rPr>
          <w:rFonts w:hint="eastAsia"/>
          <w:sz w:val="22"/>
          <w:szCs w:val="22"/>
        </w:rPr>
        <w:tab/>
      </w:r>
      <w:r w:rsidRPr="002272A3">
        <w:rPr>
          <w:rFonts w:eastAsiaTheme="minorEastAsia" w:hint="eastAsia"/>
        </w:rPr>
        <w:t>文件</w:t>
      </w:r>
      <w:r>
        <w:rPr>
          <w:rFonts w:eastAsiaTheme="minorEastAsia"/>
        </w:rPr>
        <w:t>A/AC</w:t>
      </w:r>
      <w:r w:rsidRPr="002272A3">
        <w:rPr>
          <w:rFonts w:eastAsiaTheme="minorEastAsia"/>
        </w:rPr>
        <w:t>.</w:t>
      </w:r>
      <w:r>
        <w:rPr>
          <w:rFonts w:eastAsiaTheme="minorEastAsia"/>
        </w:rPr>
        <w:t>182/L</w:t>
      </w:r>
      <w:r w:rsidRPr="002272A3">
        <w:rPr>
          <w:rFonts w:eastAsiaTheme="minorEastAsia"/>
        </w:rPr>
        <w:t>.</w:t>
      </w:r>
      <w:r>
        <w:rPr>
          <w:rFonts w:eastAsiaTheme="minorEastAsia"/>
        </w:rPr>
        <w:t>97(1997)</w:t>
      </w:r>
      <w:r w:rsidRPr="002272A3">
        <w:rPr>
          <w:rFonts w:eastAsiaTheme="minorEastAsia" w:hint="eastAsia"/>
        </w:rPr>
        <w:t>。</w:t>
      </w:r>
    </w:p>
  </w:footnote>
  <w:footnote w:id="1511">
    <w:p w:rsidR="00AB00DE" w:rsidRPr="002E221F" w:rsidRDefault="00AB00DE" w:rsidP="001A5FC1">
      <w:pPr>
        <w:pStyle w:val="a4"/>
      </w:pPr>
      <w:r>
        <w:rPr>
          <w:rFonts w:hint="eastAsia"/>
          <w:sz w:val="22"/>
          <w:szCs w:val="22"/>
        </w:rPr>
        <w:tab/>
      </w:r>
      <w:r w:rsidRPr="008258F3">
        <w:rPr>
          <w:rStyle w:val="a5"/>
          <w:szCs w:val="22"/>
        </w:rPr>
        <w:footnoteRef/>
      </w:r>
      <w:r>
        <w:rPr>
          <w:rFonts w:hint="eastAsia"/>
          <w:sz w:val="22"/>
          <w:szCs w:val="22"/>
        </w:rPr>
        <w:tab/>
      </w:r>
      <w:r w:rsidRPr="002272A3">
        <w:rPr>
          <w:rFonts w:eastAsiaTheme="minorEastAsia" w:hint="eastAsia"/>
        </w:rPr>
        <w:t>见</w:t>
      </w:r>
      <w:r>
        <w:rPr>
          <w:rFonts w:eastAsiaTheme="minorEastAsia"/>
        </w:rPr>
        <w:t>Wellens(</w:t>
      </w:r>
      <w:r w:rsidRPr="002272A3">
        <w:rPr>
          <w:rFonts w:eastAsiaTheme="minorEastAsia" w:hint="eastAsia"/>
        </w:rPr>
        <w:t>上文脚注</w:t>
      </w:r>
      <w:r>
        <w:rPr>
          <w:rFonts w:eastAsiaTheme="minorEastAsia"/>
        </w:rPr>
        <w:t>16)</w:t>
      </w:r>
      <w:r>
        <w:rPr>
          <w:rFonts w:eastAsiaTheme="minorEastAsia" w:hint="eastAsia"/>
        </w:rPr>
        <w:t>，</w:t>
      </w:r>
      <w:r w:rsidRPr="002272A3">
        <w:rPr>
          <w:rFonts w:eastAsiaTheme="minorEastAsia" w:hint="eastAsia"/>
        </w:rPr>
        <w:t>第</w:t>
      </w:r>
      <w:r>
        <w:rPr>
          <w:rFonts w:eastAsiaTheme="minorEastAsia"/>
        </w:rPr>
        <w:t>237</w:t>
      </w:r>
      <w:r w:rsidRPr="002272A3">
        <w:rPr>
          <w:rFonts w:eastAsiaTheme="minorEastAsia"/>
        </w:rPr>
        <w:t>-</w:t>
      </w:r>
      <w:r>
        <w:rPr>
          <w:rFonts w:eastAsiaTheme="minorEastAsia"/>
        </w:rPr>
        <w:t>238</w:t>
      </w:r>
      <w:r w:rsidRPr="002272A3">
        <w:rPr>
          <w:rFonts w:eastAsiaTheme="minorEastAsia" w:hint="eastAsia"/>
        </w:rPr>
        <w:t>页</w:t>
      </w:r>
      <w:r>
        <w:rPr>
          <w:rFonts w:eastAsiaTheme="minorEastAsia" w:hint="eastAsia"/>
        </w:rPr>
        <w:t>；</w:t>
      </w:r>
      <w:r>
        <w:rPr>
          <w:rFonts w:eastAsiaTheme="minorEastAsia"/>
        </w:rPr>
        <w:t>Ph</w:t>
      </w:r>
      <w:r w:rsidRPr="002272A3">
        <w:rPr>
          <w:rFonts w:eastAsiaTheme="minorEastAsia"/>
        </w:rPr>
        <w:t xml:space="preserve">. </w:t>
      </w:r>
      <w:r w:rsidRPr="002E221F">
        <w:rPr>
          <w:rFonts w:eastAsiaTheme="minorEastAsia"/>
        </w:rPr>
        <w:t xml:space="preserve">Couvreur, </w:t>
      </w:r>
      <w:r w:rsidRPr="002E221F">
        <w:rPr>
          <w:rFonts w:eastAsiaTheme="minorEastAsia" w:hint="eastAsia"/>
        </w:rPr>
        <w:t>”</w:t>
      </w:r>
      <w:r w:rsidRPr="002E221F">
        <w:rPr>
          <w:rFonts w:eastAsiaTheme="minorEastAsia"/>
        </w:rPr>
        <w:t>Développements récents concernant l’accès des organisations intergouvernementales à la procédure contentieuse devant la Cour Internationale de Justice</w:t>
      </w:r>
      <w:r w:rsidRPr="002E221F">
        <w:rPr>
          <w:rFonts w:eastAsiaTheme="minorEastAsia" w:hint="eastAsia"/>
        </w:rPr>
        <w:t>”</w:t>
      </w:r>
      <w:r w:rsidRPr="002E221F">
        <w:rPr>
          <w:rFonts w:eastAsiaTheme="minorEastAsia"/>
        </w:rPr>
        <w:t>，</w:t>
      </w:r>
      <w:r w:rsidRPr="002E221F">
        <w:rPr>
          <w:rFonts w:eastAsiaTheme="minorEastAsia"/>
        </w:rPr>
        <w:t>in E. Yakpo and T. Boumedra(eds.)</w:t>
      </w:r>
      <w:r w:rsidRPr="002E221F">
        <w:rPr>
          <w:rFonts w:eastAsiaTheme="minorEastAsia"/>
        </w:rPr>
        <w:t>，</w:t>
      </w:r>
      <w:r w:rsidRPr="002E221F">
        <w:rPr>
          <w:i/>
          <w:iCs/>
        </w:rPr>
        <w:t>Liber Amicorum Mohammed Bedjaoui</w:t>
      </w:r>
      <w:r w:rsidRPr="002E221F">
        <w:t>(The Hague </w:t>
      </w:r>
      <w:r w:rsidRPr="002E221F">
        <w:t>：</w:t>
      </w:r>
      <w:r w:rsidRPr="002E221F">
        <w:t>Kluwer Law International, 1999)</w:t>
      </w:r>
      <w:r w:rsidRPr="002E221F">
        <w:t>，</w:t>
      </w:r>
      <w:r w:rsidRPr="002E221F">
        <w:t>pp. 293-323, at pp. 302-322</w:t>
      </w:r>
      <w:r>
        <w:rPr>
          <w:rFonts w:hint="eastAsia"/>
          <w:lang w:val="fr-FR"/>
        </w:rPr>
        <w:t>。</w:t>
      </w:r>
    </w:p>
  </w:footnote>
  <w:footnote w:id="1512">
    <w:p w:rsidR="00AB00DE" w:rsidRPr="005B2112" w:rsidRDefault="00AB00DE" w:rsidP="001A5FC1">
      <w:pPr>
        <w:pStyle w:val="a4"/>
      </w:pPr>
      <w:r w:rsidRPr="002E221F">
        <w:rPr>
          <w:rFonts w:hint="eastAsia"/>
        </w:rPr>
        <w:tab/>
      </w:r>
      <w:r w:rsidRPr="008258F3">
        <w:rPr>
          <w:rStyle w:val="a5"/>
        </w:rPr>
        <w:footnoteRef/>
      </w:r>
      <w:r>
        <w:rPr>
          <w:rFonts w:hint="eastAsia"/>
        </w:rPr>
        <w:tab/>
      </w:r>
      <w:r w:rsidRPr="005B2112">
        <w:t>见</w:t>
      </w:r>
      <w:r>
        <w:t>1982</w:t>
      </w:r>
      <w:r w:rsidRPr="005B2112">
        <w:t>年公约附件九</w:t>
      </w:r>
      <w:r>
        <w:t>，</w:t>
      </w:r>
      <w:r w:rsidRPr="005B2112">
        <w:t>其中的第七条对国际组织与一个或多个成员国同为争端当事方的情况和共同利益方的情况专门作了规定。</w:t>
      </w:r>
      <w:r w:rsidRPr="005B2112">
        <w:rPr>
          <w:rFonts w:eastAsiaTheme="minorEastAsia" w:cs="Calibri" w:hint="eastAsia"/>
        </w:rPr>
        <w:t>欧洲联盟曾经</w:t>
      </w:r>
      <w:r w:rsidRPr="005B2112">
        <w:rPr>
          <w:rFonts w:eastAsiaTheme="minorEastAsia" w:hint="eastAsia"/>
        </w:rPr>
        <w:t>在</w:t>
      </w:r>
      <w:r w:rsidRPr="005B2112">
        <w:rPr>
          <w:rFonts w:ascii="宋体" w:hAnsi="宋体" w:cs="宋体" w:hint="eastAsia"/>
        </w:rPr>
        <w:t>国际海洋法法庭的第</w:t>
      </w:r>
      <w:r>
        <w:rPr>
          <w:rFonts w:asciiTheme="majorBidi" w:hAnsiTheme="majorBidi" w:cstheme="majorBidi"/>
        </w:rPr>
        <w:t>7</w:t>
      </w:r>
      <w:r>
        <w:rPr>
          <w:rFonts w:ascii="宋体" w:hAnsi="宋体" w:cs="宋体" w:hint="eastAsia"/>
        </w:rPr>
        <w:t>号案</w:t>
      </w:r>
      <w:r w:rsidRPr="005B2112">
        <w:rPr>
          <w:rFonts w:ascii="宋体" w:hAnsi="宋体" w:cs="宋体" w:hint="eastAsia"/>
        </w:rPr>
        <w:t>—</w:t>
      </w:r>
      <w:r>
        <w:rPr>
          <w:rFonts w:hint="eastAsia"/>
        </w:rPr>
        <w:t>“</w:t>
      </w:r>
      <w:r w:rsidRPr="002E221F">
        <w:rPr>
          <w:rFonts w:ascii="Time New Roman" w:eastAsia="楷体" w:hAnsi="Time New Roman" w:cs="宋体" w:hint="eastAsia"/>
        </w:rPr>
        <w:t>东南太平洋箭鱼种群的保护和可持续开发案</w:t>
      </w:r>
      <w:r>
        <w:rPr>
          <w:rFonts w:cs="Calibri" w:hint="eastAsia"/>
        </w:rPr>
        <w:t>”</w:t>
      </w:r>
      <w:r w:rsidRPr="005B2112">
        <w:rPr>
          <w:rFonts w:cs="Calibri" w:hint="eastAsia"/>
        </w:rPr>
        <w:t>中</w:t>
      </w:r>
      <w:r w:rsidRPr="005B2112">
        <w:rPr>
          <w:rFonts w:eastAsiaTheme="minorEastAsia" w:cs="Calibri" w:hint="eastAsia"/>
        </w:rPr>
        <w:t>作为当事方</w:t>
      </w:r>
      <w:r>
        <w:t>(</w:t>
      </w:r>
      <w:r w:rsidRPr="005B2112">
        <w:rPr>
          <w:rFonts w:ascii="宋体" w:hAnsi="宋体" w:cs="宋体" w:hint="eastAsia"/>
        </w:rPr>
        <w:t>智利</w:t>
      </w:r>
      <w:r>
        <w:t>/</w:t>
      </w:r>
      <w:r w:rsidRPr="005B2112">
        <w:rPr>
          <w:rFonts w:ascii="宋体" w:hAnsi="宋体" w:cs="宋体" w:hint="eastAsia"/>
        </w:rPr>
        <w:t>欧洲共同体</w:t>
      </w:r>
      <w:r>
        <w:t>)</w:t>
      </w:r>
      <w:r w:rsidRPr="005B2112">
        <w:rPr>
          <w:rFonts w:ascii="宋体" w:hAnsi="宋体" w:cs="宋体" w:hint="eastAsia"/>
        </w:rPr>
        <w:t>。</w:t>
      </w:r>
    </w:p>
  </w:footnote>
  <w:footnote w:id="1513">
    <w:p w:rsidR="00AB00DE" w:rsidRPr="005B2112" w:rsidRDefault="00AB00DE" w:rsidP="001A5FC1">
      <w:pPr>
        <w:pStyle w:val="a4"/>
      </w:pPr>
      <w:r>
        <w:rPr>
          <w:rFonts w:hint="eastAsia"/>
        </w:rPr>
        <w:tab/>
      </w:r>
      <w:r w:rsidRPr="008258F3">
        <w:rPr>
          <w:rStyle w:val="a5"/>
        </w:rPr>
        <w:footnoteRef/>
      </w:r>
      <w:r>
        <w:rPr>
          <w:rFonts w:hint="eastAsia"/>
        </w:rPr>
        <w:tab/>
      </w:r>
      <w:r w:rsidRPr="005B2112">
        <w:t>国际法协会</w:t>
      </w:r>
      <w:r>
        <w:t>，</w:t>
      </w:r>
      <w:r w:rsidRPr="002E221F">
        <w:rPr>
          <w:rFonts w:ascii="Time New Roman" w:eastAsia="楷体" w:hAnsi="Time New Roman"/>
        </w:rPr>
        <w:t>决议：国际仲裁</w:t>
      </w:r>
      <w:r>
        <w:t>，</w:t>
      </w:r>
      <w:r>
        <w:t>Int</w:t>
      </w:r>
      <w:r w:rsidRPr="005B2112">
        <w:t>’</w:t>
      </w:r>
      <w:r>
        <w:t>l</w:t>
      </w:r>
      <w:r w:rsidRPr="005B2112">
        <w:t xml:space="preserve"> </w:t>
      </w:r>
      <w:r>
        <w:t>L</w:t>
      </w:r>
      <w:r w:rsidRPr="005B2112">
        <w:t xml:space="preserve">. </w:t>
      </w:r>
      <w:r>
        <w:t>Ass</w:t>
      </w:r>
      <w:r w:rsidRPr="005B2112">
        <w:t>’</w:t>
      </w:r>
      <w:r>
        <w:t>n</w:t>
      </w:r>
      <w:r w:rsidRPr="005B2112">
        <w:t xml:space="preserve"> </w:t>
      </w:r>
      <w:r>
        <w:t>Rep</w:t>
      </w:r>
      <w:r w:rsidRPr="005B2112">
        <w:t xml:space="preserve">. </w:t>
      </w:r>
      <w:r>
        <w:t>Conf</w:t>
      </w:r>
      <w:r w:rsidRPr="005B2112">
        <w:t>.</w:t>
      </w:r>
      <w:r>
        <w:t>，</w:t>
      </w:r>
      <w:r>
        <w:t>vol. 52(1966)</w:t>
      </w:r>
      <w:r>
        <w:t>，</w:t>
      </w:r>
      <w:r>
        <w:t>p. xii, para. 1</w:t>
      </w:r>
      <w:r>
        <w:rPr>
          <w:rFonts w:hint="eastAsia"/>
        </w:rPr>
        <w:t>。</w:t>
      </w:r>
    </w:p>
  </w:footnote>
  <w:footnote w:id="1514">
    <w:p w:rsidR="00AB00DE" w:rsidRPr="002272A3" w:rsidRDefault="00AB00DE" w:rsidP="001A5FC1">
      <w:pPr>
        <w:pStyle w:val="a4"/>
      </w:pPr>
      <w:r>
        <w:rPr>
          <w:rFonts w:hint="eastAsia"/>
          <w:sz w:val="22"/>
          <w:szCs w:val="22"/>
        </w:rPr>
        <w:tab/>
      </w:r>
      <w:r w:rsidRPr="008258F3">
        <w:rPr>
          <w:rStyle w:val="a5"/>
          <w:szCs w:val="22"/>
        </w:rPr>
        <w:footnoteRef/>
      </w:r>
      <w:r>
        <w:rPr>
          <w:rFonts w:hint="eastAsia"/>
          <w:sz w:val="22"/>
          <w:szCs w:val="22"/>
        </w:rPr>
        <w:tab/>
      </w:r>
      <w:r w:rsidRPr="002272A3">
        <w:rPr>
          <w:rFonts w:asciiTheme="minorEastAsia" w:eastAsiaTheme="minorEastAsia" w:hint="eastAsia"/>
        </w:rPr>
        <w:t>文件</w:t>
      </w:r>
      <w:r>
        <w:t>A/C</w:t>
      </w:r>
      <w:r w:rsidRPr="002272A3">
        <w:t>.</w:t>
      </w:r>
      <w:r>
        <w:t>6/47/L</w:t>
      </w:r>
      <w:r w:rsidRPr="002272A3">
        <w:t>.</w:t>
      </w:r>
      <w:r>
        <w:t>12(1992)</w:t>
      </w:r>
      <w:r>
        <w:rPr>
          <w:rFonts w:asciiTheme="minorEastAsia" w:eastAsiaTheme="minorEastAsia" w:hint="eastAsia"/>
        </w:rPr>
        <w:t>，</w:t>
      </w:r>
      <w:r w:rsidRPr="002272A3">
        <w:rPr>
          <w:rFonts w:asciiTheme="minorEastAsia" w:eastAsiaTheme="minorEastAsia" w:hint="eastAsia"/>
        </w:rPr>
        <w:t>第</w:t>
      </w:r>
      <w:r>
        <w:t>15</w:t>
      </w:r>
      <w:r w:rsidRPr="002272A3">
        <w:rPr>
          <w:rFonts w:asciiTheme="minorEastAsia" w:eastAsiaTheme="minorEastAsia" w:hint="eastAsia"/>
        </w:rPr>
        <w:t>段。</w:t>
      </w:r>
    </w:p>
  </w:footnote>
  <w:footnote w:id="1515">
    <w:p w:rsidR="00AB00DE" w:rsidRPr="00C8418B" w:rsidRDefault="00AB00DE" w:rsidP="001A5FC1">
      <w:pPr>
        <w:pStyle w:val="a4"/>
        <w:rPr>
          <w:sz w:val="22"/>
          <w:szCs w:val="22"/>
        </w:rPr>
      </w:pPr>
      <w:r>
        <w:rPr>
          <w:rFonts w:hint="eastAsia"/>
          <w:sz w:val="22"/>
          <w:szCs w:val="22"/>
        </w:rPr>
        <w:tab/>
      </w:r>
      <w:r w:rsidRPr="008258F3">
        <w:rPr>
          <w:rStyle w:val="a5"/>
          <w:szCs w:val="22"/>
        </w:rPr>
        <w:footnoteRef/>
      </w:r>
      <w:r>
        <w:rPr>
          <w:rFonts w:hint="eastAsia"/>
          <w:sz w:val="22"/>
          <w:szCs w:val="22"/>
        </w:rPr>
        <w:tab/>
      </w:r>
      <w:r w:rsidRPr="002272A3">
        <w:rPr>
          <w:rFonts w:eastAsia="楷体"/>
        </w:rPr>
        <w:t>向在法国定居的教科文组织退休官员支付的</w:t>
      </w:r>
      <w:r w:rsidRPr="002272A3">
        <w:rPr>
          <w:rFonts w:eastAsia="楷体" w:hint="eastAsia"/>
        </w:rPr>
        <w:t>退休</w:t>
      </w:r>
      <w:r w:rsidRPr="002272A3">
        <w:rPr>
          <w:rFonts w:eastAsia="楷体"/>
        </w:rPr>
        <w:t>金税收制度</w:t>
      </w:r>
      <w:r>
        <w:rPr>
          <w:rFonts w:eastAsia="楷体"/>
        </w:rPr>
        <w:t>(</w:t>
      </w:r>
      <w:r w:rsidRPr="002272A3">
        <w:rPr>
          <w:rFonts w:eastAsia="楷体"/>
        </w:rPr>
        <w:t>法国</w:t>
      </w:r>
      <w:r>
        <w:rPr>
          <w:rFonts w:hint="eastAsia"/>
        </w:rPr>
        <w:t>－</w:t>
      </w:r>
      <w:r w:rsidRPr="002272A3">
        <w:rPr>
          <w:rFonts w:eastAsia="楷体"/>
        </w:rPr>
        <w:t>教科文组织</w:t>
      </w:r>
      <w:r>
        <w:rPr>
          <w:rFonts w:eastAsia="楷体"/>
        </w:rPr>
        <w:t>)</w:t>
      </w:r>
      <w:r>
        <w:rPr>
          <w:rFonts w:eastAsia="楷体" w:hint="eastAsia"/>
        </w:rPr>
        <w:t>，</w:t>
      </w:r>
      <w:r>
        <w:rPr>
          <w:rFonts w:eastAsiaTheme="minorEastAsia" w:hint="eastAsia"/>
        </w:rPr>
        <w:t>联合国《</w:t>
      </w:r>
      <w:r w:rsidRPr="002E221F">
        <w:rPr>
          <w:rFonts w:ascii="Time New Roman" w:eastAsia="楷体" w:hAnsi="Time New Roman" w:hint="eastAsia"/>
        </w:rPr>
        <w:t>国际仲裁裁决汇编</w:t>
      </w:r>
      <w:r>
        <w:rPr>
          <w:rFonts w:eastAsiaTheme="minorEastAsia" w:hint="eastAsia"/>
        </w:rPr>
        <w:t>》，第二十五卷，第</w:t>
      </w:r>
      <w:r>
        <w:t>231</w:t>
      </w:r>
      <w:r w:rsidRPr="002272A3">
        <w:t>-</w:t>
      </w:r>
      <w:r>
        <w:t>266</w:t>
      </w:r>
      <w:r>
        <w:rPr>
          <w:rFonts w:eastAsiaTheme="minorEastAsia" w:hint="eastAsia"/>
        </w:rPr>
        <w:t>页</w:t>
      </w:r>
      <w:r>
        <w:t>；</w:t>
      </w:r>
      <w:r w:rsidRPr="002272A3">
        <w:rPr>
          <w:rFonts w:eastAsia="楷体" w:hint="eastAsia"/>
        </w:rPr>
        <w:t>欧洲分子生物学实验室</w:t>
      </w:r>
      <w:r>
        <w:rPr>
          <w:rFonts w:eastAsia="楷体"/>
        </w:rPr>
        <w:t>(EMBL)</w:t>
      </w:r>
      <w:r w:rsidRPr="002272A3">
        <w:rPr>
          <w:rFonts w:asciiTheme="minorEastAsia" w:eastAsia="楷体" w:hint="eastAsia"/>
        </w:rPr>
        <w:t>诉</w:t>
      </w:r>
      <w:r w:rsidRPr="002272A3">
        <w:rPr>
          <w:rFonts w:eastAsia="楷体"/>
        </w:rPr>
        <w:t>德意志联邦共和国</w:t>
      </w:r>
      <w:r>
        <w:rPr>
          <w:rFonts w:asciiTheme="minorEastAsia" w:eastAsiaTheme="minorEastAsia" w:hint="eastAsia"/>
        </w:rPr>
        <w:t>，《国际法案例汇编》，</w:t>
      </w:r>
      <w:r w:rsidRPr="00522788">
        <w:rPr>
          <w:rFonts w:asciiTheme="minorEastAsia" w:eastAsiaTheme="minorEastAsia" w:hint="eastAsia"/>
        </w:rPr>
        <w:t>第</w:t>
      </w:r>
      <w:r>
        <w:t>1</w:t>
      </w:r>
      <w:r w:rsidRPr="00522788">
        <w:t>0</w:t>
      </w:r>
      <w:r>
        <w:t>5</w:t>
      </w:r>
      <w:r w:rsidRPr="00522788">
        <w:rPr>
          <w:rFonts w:eastAsiaTheme="minorEastAsia" w:hint="eastAsia"/>
        </w:rPr>
        <w:t>卷</w:t>
      </w:r>
      <w:r>
        <w:rPr>
          <w:rFonts w:eastAsiaTheme="minorEastAsia" w:hint="eastAsia"/>
        </w:rPr>
        <w:t>，</w:t>
      </w:r>
      <w:r w:rsidRPr="00522788">
        <w:rPr>
          <w:rFonts w:eastAsiaTheme="minorEastAsia" w:hint="eastAsia"/>
        </w:rPr>
        <w:t>第</w:t>
      </w:r>
      <w:r>
        <w:t>1</w:t>
      </w:r>
      <w:r w:rsidRPr="00522788">
        <w:t>-</w:t>
      </w:r>
      <w:r>
        <w:t>74</w:t>
      </w:r>
      <w:r w:rsidRPr="00522788">
        <w:rPr>
          <w:rFonts w:eastAsiaTheme="minorEastAsia" w:hint="eastAsia"/>
        </w:rPr>
        <w:t>页</w:t>
      </w:r>
      <w:r w:rsidRPr="00522788">
        <w:rPr>
          <w:rFonts w:asciiTheme="minorEastAsia" w:eastAsiaTheme="minorEastAsia" w:hint="eastAsia"/>
        </w:rPr>
        <w:t>。</w:t>
      </w:r>
      <w:r w:rsidRPr="002272A3">
        <w:rPr>
          <w:rFonts w:asciiTheme="minorEastAsia" w:eastAsiaTheme="minorEastAsia" w:hint="eastAsia"/>
        </w:rPr>
        <w:t>另一个最新的案例未作出裁决结案</w:t>
      </w:r>
      <w:r>
        <w:rPr>
          <w:rFonts w:asciiTheme="minorEastAsia" w:eastAsiaTheme="minorEastAsia" w:hint="eastAsia"/>
        </w:rPr>
        <w:t>，</w:t>
      </w:r>
      <w:r w:rsidRPr="002272A3">
        <w:rPr>
          <w:rFonts w:asciiTheme="minorEastAsia" w:eastAsiaTheme="minorEastAsia" w:hint="eastAsia"/>
        </w:rPr>
        <w:t>是拉蓬塔</w:t>
      </w:r>
      <w:r w:rsidRPr="002272A3">
        <w:rPr>
          <w:rFonts w:eastAsia="楷体" w:hint="eastAsia"/>
        </w:rPr>
        <w:t>市区</w:t>
      </w:r>
      <w:r>
        <w:rPr>
          <w:rFonts w:eastAsia="楷体" w:hint="eastAsia"/>
        </w:rPr>
        <w:t>(</w:t>
      </w:r>
      <w:r w:rsidRPr="002272A3">
        <w:rPr>
          <w:rFonts w:eastAsia="楷体" w:hint="eastAsia"/>
        </w:rPr>
        <w:t>秘鲁</w:t>
      </w:r>
      <w:r>
        <w:rPr>
          <w:rFonts w:eastAsia="楷体" w:hint="eastAsia"/>
        </w:rPr>
        <w:t>)</w:t>
      </w:r>
      <w:r w:rsidRPr="002272A3">
        <w:rPr>
          <w:rFonts w:eastAsia="楷体" w:hint="eastAsia"/>
        </w:rPr>
        <w:t>诉联合国项目事务厅</w:t>
      </w:r>
      <w:r>
        <w:t>(PCA</w:t>
      </w:r>
      <w:r w:rsidRPr="002272A3">
        <w:t xml:space="preserve"> </w:t>
      </w:r>
      <w:r>
        <w:t>Case</w:t>
      </w:r>
      <w:r w:rsidRPr="002272A3">
        <w:t xml:space="preserve"> </w:t>
      </w:r>
      <w:r>
        <w:t>No</w:t>
      </w:r>
      <w:r w:rsidRPr="002272A3">
        <w:t xml:space="preserve">. </w:t>
      </w:r>
      <w:r>
        <w:t>2</w:t>
      </w:r>
      <w:r w:rsidRPr="002272A3">
        <w:t>0</w:t>
      </w:r>
      <w:r>
        <w:t>14</w:t>
      </w:r>
      <w:r w:rsidRPr="002272A3">
        <w:t>-</w:t>
      </w:r>
      <w:r>
        <w:t>38)(</w:t>
      </w:r>
      <w:r w:rsidRPr="00523D41">
        <w:t>https://pcacases.com/</w:t>
      </w:r>
      <w:r>
        <w:rPr>
          <w:rFonts w:hint="eastAsia"/>
        </w:rPr>
        <w:t xml:space="preserve"> </w:t>
      </w:r>
      <w:r>
        <w:t>web/view/1</w:t>
      </w:r>
      <w:r w:rsidRPr="002272A3">
        <w:t>0</w:t>
      </w:r>
      <w:r>
        <w:t>9,)</w:t>
      </w:r>
      <w:r>
        <w:rPr>
          <w:rFonts w:hint="eastAsia"/>
        </w:rPr>
        <w:t>，</w:t>
      </w:r>
      <w:r w:rsidRPr="002272A3">
        <w:rPr>
          <w:rFonts w:hint="eastAsia"/>
        </w:rPr>
        <w:t>还有在《联合国海洋法公约》第十五部分下提出的</w:t>
      </w:r>
      <w:r>
        <w:rPr>
          <w:i/>
        </w:rPr>
        <w:t>The</w:t>
      </w:r>
      <w:r w:rsidRPr="002272A3">
        <w:rPr>
          <w:i/>
        </w:rPr>
        <w:t xml:space="preserve"> </w:t>
      </w:r>
      <w:r>
        <w:rPr>
          <w:i/>
        </w:rPr>
        <w:t>Atlanto</w:t>
      </w:r>
      <w:r w:rsidRPr="002272A3">
        <w:rPr>
          <w:i/>
        </w:rPr>
        <w:t>-</w:t>
      </w:r>
      <w:r>
        <w:rPr>
          <w:i/>
        </w:rPr>
        <w:t>Scandian</w:t>
      </w:r>
      <w:r w:rsidRPr="002272A3">
        <w:rPr>
          <w:i/>
        </w:rPr>
        <w:t xml:space="preserve"> </w:t>
      </w:r>
      <w:r>
        <w:rPr>
          <w:i/>
        </w:rPr>
        <w:t>Herring</w:t>
      </w:r>
      <w:r w:rsidRPr="002272A3">
        <w:rPr>
          <w:i/>
        </w:rPr>
        <w:t xml:space="preserve"> </w:t>
      </w:r>
      <w:r>
        <w:rPr>
          <w:i/>
        </w:rPr>
        <w:t>Arbitration</w:t>
      </w:r>
      <w:r w:rsidRPr="00523D41">
        <w:rPr>
          <w:iCs/>
        </w:rPr>
        <w:t>(</w:t>
      </w:r>
      <w:r w:rsidRPr="00523D41">
        <w:rPr>
          <w:rFonts w:eastAsia="楷体" w:hint="eastAsia"/>
          <w:iCs/>
        </w:rPr>
        <w:t>丹麦王国因法罗群岛诉欧洲联盟</w:t>
      </w:r>
      <w:r w:rsidRPr="00523D41">
        <w:rPr>
          <w:iCs/>
        </w:rPr>
        <w:t>)</w:t>
      </w:r>
      <w:r>
        <w:t>(PCA</w:t>
      </w:r>
      <w:r w:rsidRPr="002272A3">
        <w:t xml:space="preserve"> </w:t>
      </w:r>
      <w:r>
        <w:t>Case</w:t>
      </w:r>
      <w:r w:rsidRPr="002272A3">
        <w:t xml:space="preserve"> </w:t>
      </w:r>
      <w:r>
        <w:t>No</w:t>
      </w:r>
      <w:r w:rsidRPr="002272A3">
        <w:t xml:space="preserve">. </w:t>
      </w:r>
      <w:r>
        <w:t>2</w:t>
      </w:r>
      <w:r w:rsidRPr="002272A3">
        <w:t>0</w:t>
      </w:r>
      <w:r>
        <w:t>13</w:t>
      </w:r>
      <w:r w:rsidRPr="002272A3">
        <w:t>-</w:t>
      </w:r>
      <w:r>
        <w:t>3</w:t>
      </w:r>
      <w:r w:rsidRPr="002272A3">
        <w:t>0</w:t>
      </w:r>
      <w:r>
        <w:t>(</w:t>
      </w:r>
      <w:r w:rsidRPr="00523D41">
        <w:t>https://pcacases</w:t>
      </w:r>
      <w:r w:rsidRPr="002272A3">
        <w:t>.</w:t>
      </w:r>
      <w:r>
        <w:rPr>
          <w:rFonts w:hint="eastAsia"/>
        </w:rPr>
        <w:t xml:space="preserve"> </w:t>
      </w:r>
      <w:r>
        <w:t>com/web/view/25)</w:t>
      </w:r>
      <w:r>
        <w:rPr>
          <w:rFonts w:hint="eastAsia"/>
        </w:rPr>
        <w:t>，</w:t>
      </w:r>
      <w:r w:rsidRPr="002272A3">
        <w:rPr>
          <w:rFonts w:hint="eastAsia"/>
        </w:rPr>
        <w:t>也在没有作出裁决的情况下结案。</w:t>
      </w:r>
    </w:p>
  </w:footnote>
  <w:footnote w:id="1516">
    <w:p w:rsidR="00AB00DE" w:rsidRPr="002272A3" w:rsidRDefault="00AB00DE" w:rsidP="001A5FC1">
      <w:pPr>
        <w:pStyle w:val="a4"/>
      </w:pPr>
      <w:r>
        <w:rPr>
          <w:rFonts w:eastAsiaTheme="minorEastAsia" w:hint="eastAsia"/>
          <w:sz w:val="22"/>
          <w:szCs w:val="22"/>
        </w:rPr>
        <w:tab/>
      </w:r>
      <w:r w:rsidRPr="008258F3">
        <w:rPr>
          <w:rStyle w:val="a5"/>
          <w:szCs w:val="22"/>
        </w:rPr>
        <w:footnoteRef/>
      </w:r>
      <w:r>
        <w:rPr>
          <w:rFonts w:eastAsiaTheme="minorEastAsia" w:hint="eastAsia"/>
          <w:sz w:val="22"/>
          <w:szCs w:val="22"/>
        </w:rPr>
        <w:tab/>
      </w:r>
      <w:r w:rsidRPr="002272A3">
        <w:rPr>
          <w:rFonts w:eastAsiaTheme="minorEastAsia" w:hint="eastAsia"/>
        </w:rPr>
        <w:t>采用类似规定的一些较新的协定包括</w:t>
      </w:r>
      <w:r>
        <w:rPr>
          <w:rFonts w:eastAsiaTheme="minorEastAsia" w:hint="eastAsia"/>
        </w:rPr>
        <w:t>：</w:t>
      </w:r>
      <w:r>
        <w:rPr>
          <w:rFonts w:eastAsiaTheme="minorEastAsia" w:hint="eastAsia"/>
        </w:rPr>
        <w:t>2</w:t>
      </w:r>
      <w:r w:rsidRPr="002272A3">
        <w:rPr>
          <w:rFonts w:eastAsiaTheme="minorEastAsia" w:hint="eastAsia"/>
        </w:rPr>
        <w:t>0</w:t>
      </w:r>
      <w:r>
        <w:rPr>
          <w:rFonts w:eastAsiaTheme="minorEastAsia" w:hint="eastAsia"/>
        </w:rPr>
        <w:t>1</w:t>
      </w:r>
      <w:r w:rsidRPr="002272A3">
        <w:rPr>
          <w:rFonts w:eastAsiaTheme="minorEastAsia" w:hint="eastAsia"/>
        </w:rPr>
        <w:t>0</w:t>
      </w:r>
      <w:r w:rsidRPr="002272A3">
        <w:rPr>
          <w:rFonts w:eastAsiaTheme="minorEastAsia" w:hint="eastAsia"/>
        </w:rPr>
        <w:t>年关于联合国减灾办公室在仁川设立办事处的协定</w:t>
      </w:r>
      <w:r>
        <w:rPr>
          <w:rFonts w:eastAsiaTheme="minorEastAsia" w:hint="eastAsia"/>
        </w:rPr>
        <w:t>；</w:t>
      </w:r>
      <w:r w:rsidRPr="002272A3">
        <w:rPr>
          <w:rFonts w:eastAsiaTheme="minorEastAsia" w:hint="eastAsia"/>
        </w:rPr>
        <w:t>儿童基金会与埃及的协定</w:t>
      </w:r>
      <w:r>
        <w:rPr>
          <w:rFonts w:eastAsiaTheme="minorEastAsia" w:hint="eastAsia"/>
        </w:rPr>
        <w:t>；</w:t>
      </w:r>
      <w:r>
        <w:rPr>
          <w:rFonts w:eastAsiaTheme="minorEastAsia" w:hint="eastAsia"/>
        </w:rPr>
        <w:t>2</w:t>
      </w:r>
      <w:r w:rsidRPr="002272A3">
        <w:rPr>
          <w:rFonts w:eastAsiaTheme="minorEastAsia" w:hint="eastAsia"/>
        </w:rPr>
        <w:t>0</w:t>
      </w:r>
      <w:r>
        <w:rPr>
          <w:rFonts w:eastAsiaTheme="minorEastAsia" w:hint="eastAsia"/>
        </w:rPr>
        <w:t>1</w:t>
      </w:r>
      <w:r w:rsidRPr="002272A3">
        <w:rPr>
          <w:rFonts w:eastAsiaTheme="minorEastAsia" w:hint="eastAsia"/>
        </w:rPr>
        <w:t>0</w:t>
      </w:r>
      <w:r w:rsidRPr="002272A3">
        <w:rPr>
          <w:rFonts w:eastAsiaTheme="minorEastAsia" w:hint="eastAsia"/>
        </w:rPr>
        <w:t>年开发署分享服务中心协定</w:t>
      </w:r>
      <w:r>
        <w:rPr>
          <w:rFonts w:eastAsiaTheme="minorEastAsia" w:hint="eastAsia"/>
        </w:rPr>
        <w:t>；</w:t>
      </w:r>
      <w:r w:rsidRPr="002272A3">
        <w:rPr>
          <w:rFonts w:eastAsiaTheme="minorEastAsia" w:hint="eastAsia"/>
        </w:rPr>
        <w:t>马来西亚政府与联合国开发署关于设立开发署全球分享服务中心的协定</w:t>
      </w:r>
      <w:r>
        <w:rPr>
          <w:rFonts w:eastAsiaTheme="minorEastAsia" w:hint="eastAsia"/>
        </w:rPr>
        <w:t>(2</w:t>
      </w:r>
      <w:r w:rsidRPr="002272A3">
        <w:rPr>
          <w:rFonts w:eastAsiaTheme="minorEastAsia" w:hint="eastAsia"/>
        </w:rPr>
        <w:t>0</w:t>
      </w:r>
      <w:r>
        <w:rPr>
          <w:rFonts w:eastAsiaTheme="minorEastAsia" w:hint="eastAsia"/>
        </w:rPr>
        <w:t>11</w:t>
      </w:r>
      <w:r w:rsidRPr="002272A3">
        <w:rPr>
          <w:rFonts w:eastAsiaTheme="minorEastAsia" w:hint="eastAsia"/>
        </w:rPr>
        <w:t>年</w:t>
      </w:r>
      <w:r>
        <w:rPr>
          <w:rFonts w:eastAsiaTheme="minorEastAsia" w:hint="eastAsia"/>
        </w:rPr>
        <w:t>1</w:t>
      </w:r>
      <w:r w:rsidRPr="002272A3">
        <w:rPr>
          <w:rFonts w:eastAsiaTheme="minorEastAsia" w:hint="eastAsia"/>
        </w:rPr>
        <w:t>0</w:t>
      </w:r>
      <w:r w:rsidRPr="002272A3">
        <w:rPr>
          <w:rFonts w:eastAsiaTheme="minorEastAsia" w:hint="eastAsia"/>
        </w:rPr>
        <w:t>月</w:t>
      </w:r>
      <w:r>
        <w:rPr>
          <w:rFonts w:eastAsiaTheme="minorEastAsia" w:hint="eastAsia"/>
        </w:rPr>
        <w:t>24</w:t>
      </w:r>
      <w:r w:rsidRPr="002272A3">
        <w:rPr>
          <w:rFonts w:eastAsiaTheme="minorEastAsia" w:hint="eastAsia"/>
        </w:rPr>
        <w:t>日</w:t>
      </w:r>
      <w:r>
        <w:rPr>
          <w:rFonts w:eastAsiaTheme="minorEastAsia" w:hint="eastAsia"/>
        </w:rPr>
        <w:t>，</w:t>
      </w:r>
      <w:r w:rsidRPr="002272A3">
        <w:rPr>
          <w:rFonts w:eastAsiaTheme="minorEastAsia" w:hint="eastAsia"/>
        </w:rPr>
        <w:t>科伦坡</w:t>
      </w:r>
      <w:r>
        <w:rPr>
          <w:rFonts w:eastAsiaTheme="minorEastAsia" w:hint="eastAsia"/>
        </w:rPr>
        <w:t>)</w:t>
      </w:r>
      <w:r>
        <w:rPr>
          <w:rFonts w:eastAsiaTheme="minorEastAsia" w:hint="eastAsia"/>
        </w:rPr>
        <w:t>，</w:t>
      </w:r>
      <w:r w:rsidRPr="002272A3">
        <w:rPr>
          <w:rFonts w:eastAsiaTheme="minorEastAsia" w:hint="eastAsia"/>
        </w:rPr>
        <w:t>联合国《条约汇编》</w:t>
      </w:r>
      <w:r>
        <w:rPr>
          <w:rFonts w:eastAsiaTheme="minorEastAsia" w:hint="eastAsia"/>
        </w:rPr>
        <w:t>，</w:t>
      </w:r>
      <w:r w:rsidRPr="002272A3">
        <w:rPr>
          <w:rFonts w:eastAsiaTheme="minorEastAsia" w:hint="eastAsia"/>
        </w:rPr>
        <w:t>第</w:t>
      </w:r>
      <w:r>
        <w:rPr>
          <w:rFonts w:eastAsiaTheme="minorEastAsia" w:hint="eastAsia"/>
        </w:rPr>
        <w:t>2794</w:t>
      </w:r>
      <w:r w:rsidRPr="002272A3">
        <w:rPr>
          <w:rFonts w:eastAsiaTheme="minorEastAsia" w:hint="eastAsia"/>
        </w:rPr>
        <w:t>卷。较早期的仲裁条款</w:t>
      </w:r>
      <w:r>
        <w:rPr>
          <w:rFonts w:eastAsiaTheme="minorEastAsia" w:hint="eastAsia"/>
        </w:rPr>
        <w:t>，</w:t>
      </w:r>
      <w:r w:rsidRPr="002272A3">
        <w:rPr>
          <w:rFonts w:eastAsiaTheme="minorEastAsia" w:hint="eastAsia"/>
        </w:rPr>
        <w:t>可参见</w:t>
      </w:r>
      <w:r w:rsidRPr="002272A3">
        <w:rPr>
          <w:rFonts w:hint="eastAsia"/>
        </w:rPr>
        <w:t>《联合国和美利坚合众国关于联合国总部的协定》</w:t>
      </w:r>
      <w:r>
        <w:rPr>
          <w:rFonts w:eastAsiaTheme="minorEastAsia" w:hint="eastAsia"/>
        </w:rPr>
        <w:t>(1947</w:t>
      </w:r>
      <w:r w:rsidRPr="002272A3">
        <w:rPr>
          <w:rFonts w:eastAsiaTheme="minorEastAsia" w:hint="eastAsia"/>
        </w:rPr>
        <w:t>年</w:t>
      </w:r>
      <w:r>
        <w:rPr>
          <w:rFonts w:eastAsiaTheme="minorEastAsia" w:hint="eastAsia"/>
        </w:rPr>
        <w:t>6</w:t>
      </w:r>
      <w:r w:rsidRPr="002272A3">
        <w:rPr>
          <w:rFonts w:eastAsiaTheme="minorEastAsia" w:hint="eastAsia"/>
        </w:rPr>
        <w:t>月</w:t>
      </w:r>
      <w:r>
        <w:rPr>
          <w:rFonts w:eastAsiaTheme="minorEastAsia" w:hint="eastAsia"/>
        </w:rPr>
        <w:t>26</w:t>
      </w:r>
      <w:r w:rsidRPr="002272A3">
        <w:rPr>
          <w:rFonts w:eastAsiaTheme="minorEastAsia" w:hint="eastAsia"/>
        </w:rPr>
        <w:t>日</w:t>
      </w:r>
      <w:r>
        <w:rPr>
          <w:rFonts w:eastAsiaTheme="minorEastAsia" w:hint="eastAsia"/>
        </w:rPr>
        <w:t>，</w:t>
      </w:r>
      <w:r w:rsidRPr="002272A3">
        <w:rPr>
          <w:rFonts w:eastAsiaTheme="minorEastAsia" w:hint="eastAsia"/>
        </w:rPr>
        <w:t>成功湖</w:t>
      </w:r>
      <w:r>
        <w:rPr>
          <w:rFonts w:eastAsiaTheme="minorEastAsia" w:hint="eastAsia"/>
        </w:rPr>
        <w:t>村</w:t>
      </w:r>
      <w:r>
        <w:rPr>
          <w:rFonts w:eastAsiaTheme="minorEastAsia" w:hint="eastAsia"/>
        </w:rPr>
        <w:t>)</w:t>
      </w:r>
      <w:r w:rsidRPr="002272A3">
        <w:rPr>
          <w:rFonts w:eastAsiaTheme="minorEastAsia" w:hint="eastAsia"/>
        </w:rPr>
        <w:t>第</w:t>
      </w:r>
      <w:r>
        <w:t>21</w:t>
      </w:r>
      <w:r>
        <w:rPr>
          <w:rFonts w:hint="eastAsia"/>
        </w:rPr>
        <w:t>(</w:t>
      </w:r>
      <w:r>
        <w:t>a)</w:t>
      </w:r>
      <w:r>
        <w:rPr>
          <w:rFonts w:eastAsiaTheme="minorEastAsia" w:hint="eastAsia"/>
        </w:rPr>
        <w:t>节，</w:t>
      </w:r>
      <w:r w:rsidRPr="002272A3">
        <w:rPr>
          <w:rFonts w:eastAsiaTheme="minorEastAsia" w:hint="eastAsia"/>
        </w:rPr>
        <w:t>联合国《条约汇编》第</w:t>
      </w:r>
      <w:r>
        <w:rPr>
          <w:rFonts w:eastAsiaTheme="minorEastAsia" w:hint="eastAsia"/>
        </w:rPr>
        <w:t>11</w:t>
      </w:r>
      <w:r w:rsidRPr="002272A3">
        <w:rPr>
          <w:rFonts w:eastAsiaTheme="minorEastAsia" w:hint="eastAsia"/>
        </w:rPr>
        <w:t>卷第</w:t>
      </w:r>
      <w:r>
        <w:rPr>
          <w:rFonts w:eastAsiaTheme="minorEastAsia" w:hint="eastAsia"/>
        </w:rPr>
        <w:t>11</w:t>
      </w:r>
      <w:r w:rsidRPr="002272A3">
        <w:rPr>
          <w:rFonts w:eastAsiaTheme="minorEastAsia" w:hint="eastAsia"/>
        </w:rPr>
        <w:t>页。根据早期的这类条款提交仲裁的义务</w:t>
      </w:r>
      <w:r>
        <w:rPr>
          <w:rFonts w:eastAsiaTheme="minorEastAsia" w:hint="eastAsia"/>
        </w:rPr>
        <w:t>，</w:t>
      </w:r>
      <w:r w:rsidRPr="002272A3">
        <w:rPr>
          <w:rFonts w:eastAsiaTheme="minorEastAsia" w:hint="eastAsia"/>
        </w:rPr>
        <w:t>有关分析见</w:t>
      </w:r>
      <w:r>
        <w:rPr>
          <w:rFonts w:eastAsiaTheme="minorEastAsia" w:hint="eastAsia"/>
        </w:rPr>
        <w:t>：</w:t>
      </w:r>
      <w:r w:rsidRPr="002272A3">
        <w:rPr>
          <w:rFonts w:eastAsiaTheme="minorEastAsia" w:hint="eastAsia"/>
        </w:rPr>
        <w:t>在</w:t>
      </w:r>
      <w:r>
        <w:rPr>
          <w:rFonts w:eastAsiaTheme="minorEastAsia" w:hint="eastAsia"/>
        </w:rPr>
        <w:t>1947</w:t>
      </w:r>
      <w:r w:rsidRPr="002272A3">
        <w:rPr>
          <w:rFonts w:eastAsiaTheme="minorEastAsia" w:hint="eastAsia"/>
        </w:rPr>
        <w:t>年</w:t>
      </w:r>
      <w:r>
        <w:rPr>
          <w:rFonts w:eastAsiaTheme="minorEastAsia" w:hint="eastAsia"/>
        </w:rPr>
        <w:t>6</w:t>
      </w:r>
      <w:r w:rsidRPr="002272A3">
        <w:rPr>
          <w:rFonts w:eastAsiaTheme="minorEastAsia" w:hint="eastAsia"/>
        </w:rPr>
        <w:t>月</w:t>
      </w:r>
      <w:r>
        <w:rPr>
          <w:rFonts w:eastAsiaTheme="minorEastAsia" w:hint="eastAsia"/>
        </w:rPr>
        <w:t>26</w:t>
      </w:r>
      <w:r w:rsidRPr="002272A3">
        <w:rPr>
          <w:rFonts w:eastAsiaTheme="minorEastAsia" w:hint="eastAsia"/>
        </w:rPr>
        <w:t>日</w:t>
      </w:r>
      <w:r>
        <w:rPr>
          <w:rFonts w:eastAsiaTheme="minorEastAsia" w:hint="eastAsia"/>
        </w:rPr>
        <w:t>《</w:t>
      </w:r>
      <w:r w:rsidRPr="002272A3">
        <w:rPr>
          <w:rFonts w:eastAsiaTheme="minorEastAsia" w:hint="eastAsia"/>
        </w:rPr>
        <w:t>联合国总部协定</w:t>
      </w:r>
      <w:r>
        <w:rPr>
          <w:rFonts w:eastAsiaTheme="minorEastAsia" w:hint="eastAsia"/>
        </w:rPr>
        <w:t>》</w:t>
      </w:r>
      <w:r w:rsidRPr="002272A3">
        <w:rPr>
          <w:rFonts w:eastAsiaTheme="minorEastAsia" w:hint="eastAsia"/>
        </w:rPr>
        <w:t>第二十一节下仲裁义务的适用</w:t>
      </w:r>
      <w:r>
        <w:rPr>
          <w:rFonts w:eastAsiaTheme="minorEastAsia" w:hint="eastAsia"/>
        </w:rPr>
        <w:t>，</w:t>
      </w:r>
      <w:r>
        <w:rPr>
          <w:rFonts w:eastAsiaTheme="minorEastAsia" w:hint="eastAsia"/>
        </w:rPr>
        <w:t>1988</w:t>
      </w:r>
      <w:r w:rsidRPr="002272A3">
        <w:rPr>
          <w:rFonts w:eastAsiaTheme="minorEastAsia" w:hint="eastAsia"/>
        </w:rPr>
        <w:t>年</w:t>
      </w:r>
      <w:r>
        <w:rPr>
          <w:rFonts w:eastAsiaTheme="minorEastAsia" w:hint="eastAsia"/>
        </w:rPr>
        <w:t>4</w:t>
      </w:r>
      <w:r w:rsidRPr="002272A3">
        <w:rPr>
          <w:rFonts w:eastAsiaTheme="minorEastAsia" w:hint="eastAsia"/>
        </w:rPr>
        <w:t>月</w:t>
      </w:r>
      <w:r>
        <w:rPr>
          <w:rFonts w:eastAsiaTheme="minorEastAsia" w:hint="eastAsia"/>
        </w:rPr>
        <w:t>26</w:t>
      </w:r>
      <w:r w:rsidRPr="002272A3">
        <w:rPr>
          <w:rFonts w:eastAsiaTheme="minorEastAsia" w:hint="eastAsia"/>
        </w:rPr>
        <w:t>日的咨询意见</w:t>
      </w:r>
      <w:r>
        <w:rPr>
          <w:rFonts w:eastAsiaTheme="minorEastAsia" w:hint="eastAsia"/>
        </w:rPr>
        <w:t>，</w:t>
      </w:r>
      <w:r w:rsidRPr="002272A3">
        <w:rPr>
          <w:rFonts w:eastAsiaTheme="minorEastAsia" w:hint="eastAsia"/>
        </w:rPr>
        <w:t>《</w:t>
      </w:r>
      <w:r>
        <w:rPr>
          <w:rFonts w:eastAsiaTheme="minorEastAsia" w:hint="eastAsia"/>
        </w:rPr>
        <w:t>1988</w:t>
      </w:r>
      <w:r w:rsidRPr="002272A3">
        <w:rPr>
          <w:rFonts w:eastAsiaTheme="minorEastAsia" w:hint="eastAsia"/>
        </w:rPr>
        <w:t>年国际</w:t>
      </w:r>
      <w:r>
        <w:rPr>
          <w:rFonts w:eastAsiaTheme="minorEastAsia" w:hint="eastAsia"/>
        </w:rPr>
        <w:t>法院案例汇编</w:t>
      </w:r>
      <w:r w:rsidRPr="002272A3">
        <w:rPr>
          <w:rFonts w:eastAsiaTheme="minorEastAsia" w:hint="eastAsia"/>
        </w:rPr>
        <w:t>》</w:t>
      </w:r>
      <w:r>
        <w:rPr>
          <w:rFonts w:eastAsiaTheme="minorEastAsia" w:hint="eastAsia"/>
        </w:rPr>
        <w:t>，</w:t>
      </w:r>
      <w:r w:rsidRPr="002272A3">
        <w:rPr>
          <w:rFonts w:eastAsiaTheme="minorEastAsia" w:hint="eastAsia"/>
        </w:rPr>
        <w:t>第</w:t>
      </w:r>
      <w:r>
        <w:rPr>
          <w:rFonts w:eastAsiaTheme="minorEastAsia" w:hint="eastAsia"/>
        </w:rPr>
        <w:t>12</w:t>
      </w:r>
      <w:r w:rsidRPr="002272A3">
        <w:rPr>
          <w:rFonts w:eastAsiaTheme="minorEastAsia" w:hint="eastAsia"/>
        </w:rPr>
        <w:t>页</w:t>
      </w:r>
      <w:r>
        <w:rPr>
          <w:rFonts w:eastAsiaTheme="minorEastAsia" w:hint="eastAsia"/>
        </w:rPr>
        <w:t>；</w:t>
      </w:r>
      <w:r w:rsidRPr="002272A3">
        <w:rPr>
          <w:rFonts w:eastAsiaTheme="minorEastAsia" w:hint="eastAsia"/>
        </w:rPr>
        <w:t>和平条约的解释</w:t>
      </w:r>
      <w:r>
        <w:rPr>
          <w:rFonts w:eastAsiaTheme="minorEastAsia" w:hint="eastAsia"/>
        </w:rPr>
        <w:t>，</w:t>
      </w:r>
      <w:r w:rsidRPr="002272A3">
        <w:rPr>
          <w:rFonts w:eastAsiaTheme="minorEastAsia" w:hint="eastAsia"/>
        </w:rPr>
        <w:t>咨询意见</w:t>
      </w:r>
      <w:r>
        <w:rPr>
          <w:rFonts w:eastAsiaTheme="minorEastAsia" w:hint="eastAsia"/>
        </w:rPr>
        <w:t>：</w:t>
      </w:r>
      <w:r w:rsidRPr="002272A3">
        <w:rPr>
          <w:rFonts w:eastAsiaTheme="minorEastAsia" w:hint="eastAsia"/>
        </w:rPr>
        <w:t>《</w:t>
      </w:r>
      <w:r>
        <w:rPr>
          <w:rFonts w:eastAsiaTheme="minorEastAsia" w:hint="eastAsia"/>
        </w:rPr>
        <w:t>195</w:t>
      </w:r>
      <w:r w:rsidRPr="002272A3">
        <w:rPr>
          <w:rFonts w:eastAsiaTheme="minorEastAsia" w:hint="eastAsia"/>
        </w:rPr>
        <w:t>0</w:t>
      </w:r>
      <w:r w:rsidRPr="002272A3">
        <w:rPr>
          <w:rFonts w:eastAsiaTheme="minorEastAsia" w:hint="eastAsia"/>
        </w:rPr>
        <w:t>年国际</w:t>
      </w:r>
      <w:r>
        <w:rPr>
          <w:rFonts w:eastAsiaTheme="minorEastAsia" w:hint="eastAsia"/>
        </w:rPr>
        <w:t>法院案例汇编</w:t>
      </w:r>
      <w:r w:rsidRPr="002272A3">
        <w:rPr>
          <w:rFonts w:eastAsiaTheme="minorEastAsia" w:hint="eastAsia"/>
        </w:rPr>
        <w:t>》</w:t>
      </w:r>
      <w:r>
        <w:rPr>
          <w:rFonts w:eastAsiaTheme="minorEastAsia" w:hint="eastAsia"/>
        </w:rPr>
        <w:t>，</w:t>
      </w:r>
      <w:r w:rsidRPr="002272A3">
        <w:rPr>
          <w:rFonts w:eastAsiaTheme="minorEastAsia" w:hint="eastAsia"/>
        </w:rPr>
        <w:t>第</w:t>
      </w:r>
      <w:r>
        <w:rPr>
          <w:rFonts w:eastAsiaTheme="minorEastAsia" w:hint="eastAsia"/>
        </w:rPr>
        <w:t>65</w:t>
      </w:r>
      <w:r w:rsidRPr="002272A3">
        <w:rPr>
          <w:rFonts w:eastAsiaTheme="minorEastAsia" w:hint="eastAsia"/>
        </w:rPr>
        <w:t>页</w:t>
      </w:r>
      <w:r>
        <w:rPr>
          <w:rFonts w:eastAsiaTheme="minorEastAsia" w:hint="eastAsia"/>
        </w:rPr>
        <w:t>起，</w:t>
      </w:r>
      <w:r w:rsidRPr="002272A3">
        <w:rPr>
          <w:rFonts w:eastAsiaTheme="minorEastAsia" w:hint="eastAsia"/>
        </w:rPr>
        <w:t>见第</w:t>
      </w:r>
      <w:r>
        <w:rPr>
          <w:rFonts w:eastAsiaTheme="minorEastAsia" w:hint="eastAsia"/>
        </w:rPr>
        <w:t>77</w:t>
      </w:r>
      <w:r w:rsidRPr="002272A3">
        <w:rPr>
          <w:rFonts w:eastAsiaTheme="minorEastAsia" w:hint="eastAsia"/>
        </w:rPr>
        <w:t>页。</w:t>
      </w:r>
    </w:p>
  </w:footnote>
  <w:footnote w:id="1517">
    <w:p w:rsidR="00AB00DE" w:rsidRPr="002272A3" w:rsidRDefault="00AB00DE" w:rsidP="001A5FC1">
      <w:pPr>
        <w:pStyle w:val="a4"/>
      </w:pPr>
      <w:r>
        <w:rPr>
          <w:rFonts w:hint="eastAsia"/>
          <w:sz w:val="22"/>
          <w:szCs w:val="22"/>
        </w:rPr>
        <w:tab/>
      </w:r>
      <w:r w:rsidRPr="008258F3">
        <w:rPr>
          <w:rStyle w:val="a5"/>
          <w:szCs w:val="22"/>
        </w:rPr>
        <w:footnoteRef/>
      </w:r>
      <w:r>
        <w:rPr>
          <w:rFonts w:hint="eastAsia"/>
          <w:sz w:val="22"/>
          <w:szCs w:val="22"/>
        </w:rPr>
        <w:tab/>
      </w:r>
      <w:r w:rsidRPr="002272A3">
        <w:t>常设仲裁法院</w:t>
      </w:r>
      <w:r>
        <w:t>，</w:t>
      </w:r>
      <w:r>
        <w:rPr>
          <w:rFonts w:eastAsiaTheme="minorEastAsia" w:hint="eastAsia"/>
        </w:rPr>
        <w:t>《</w:t>
      </w:r>
      <w:r w:rsidRPr="00F950AF">
        <w:rPr>
          <w:rFonts w:eastAsiaTheme="minorEastAsia" w:hint="eastAsia"/>
        </w:rPr>
        <w:t>常设仲裁法院国际组织和国家间仲裁任择规则</w:t>
      </w:r>
      <w:r>
        <w:rPr>
          <w:rFonts w:eastAsiaTheme="minorEastAsia" w:hint="eastAsia"/>
        </w:rPr>
        <w:t>》</w:t>
      </w:r>
      <w:r>
        <w:t>(1996</w:t>
      </w:r>
      <w:r>
        <w:rPr>
          <w:rFonts w:eastAsiaTheme="minorEastAsia" w:hint="eastAsia"/>
        </w:rPr>
        <w:t>年</w:t>
      </w:r>
      <w:r>
        <w:t>)</w:t>
      </w:r>
      <w:r>
        <w:rPr>
          <w:rFonts w:hint="eastAsia"/>
        </w:rPr>
        <w:t>，</w:t>
      </w:r>
      <w:r w:rsidRPr="002272A3">
        <w:rPr>
          <w:rFonts w:hint="eastAsia"/>
        </w:rPr>
        <w:t>见</w:t>
      </w:r>
      <w:r>
        <w:rPr>
          <w:rFonts w:eastAsiaTheme="minorEastAsia" w:hint="eastAsia"/>
        </w:rPr>
        <w:t>第七页</w:t>
      </w:r>
      <w:r w:rsidRPr="002272A3">
        <w:t>。</w:t>
      </w:r>
    </w:p>
  </w:footnote>
  <w:footnote w:id="1518">
    <w:p w:rsidR="00AB00DE" w:rsidRPr="00F950AF" w:rsidRDefault="00AB00DE" w:rsidP="001A5FC1">
      <w:pPr>
        <w:pStyle w:val="a4"/>
        <w:rPr>
          <w:rFonts w:eastAsiaTheme="minorEastAsia"/>
        </w:rPr>
      </w:pPr>
      <w:r>
        <w:rPr>
          <w:rFonts w:hint="eastAsia"/>
          <w:sz w:val="22"/>
          <w:szCs w:val="22"/>
        </w:rPr>
        <w:tab/>
      </w:r>
      <w:r w:rsidRPr="008258F3">
        <w:rPr>
          <w:rStyle w:val="a5"/>
          <w:szCs w:val="22"/>
        </w:rPr>
        <w:footnoteRef/>
      </w:r>
      <w:r>
        <w:rPr>
          <w:rFonts w:hint="eastAsia"/>
          <w:sz w:val="22"/>
          <w:szCs w:val="22"/>
        </w:rPr>
        <w:tab/>
      </w:r>
      <w:r>
        <w:rPr>
          <w:rFonts w:asciiTheme="majorBidi" w:hAnsiTheme="majorBidi" w:cstheme="majorBidi"/>
        </w:rPr>
        <w:t>International</w:t>
      </w:r>
      <w:r w:rsidRPr="006E463A">
        <w:rPr>
          <w:rFonts w:asciiTheme="majorBidi" w:hAnsiTheme="majorBidi" w:cstheme="majorBidi"/>
        </w:rPr>
        <w:t xml:space="preserve"> </w:t>
      </w:r>
      <w:r>
        <w:rPr>
          <w:rFonts w:asciiTheme="majorBidi" w:hAnsiTheme="majorBidi" w:cstheme="majorBidi"/>
        </w:rPr>
        <w:t>Law</w:t>
      </w:r>
      <w:r w:rsidRPr="006E463A">
        <w:rPr>
          <w:rFonts w:asciiTheme="majorBidi" w:hAnsiTheme="majorBidi" w:cstheme="majorBidi"/>
        </w:rPr>
        <w:t xml:space="preserve"> </w:t>
      </w:r>
      <w:r>
        <w:rPr>
          <w:rFonts w:asciiTheme="majorBidi" w:hAnsiTheme="majorBidi" w:cstheme="majorBidi"/>
        </w:rPr>
        <w:t>Association(Shaw</w:t>
      </w:r>
      <w:r w:rsidRPr="006E463A">
        <w:rPr>
          <w:rFonts w:asciiTheme="majorBidi" w:hAnsiTheme="majorBidi" w:cstheme="majorBidi"/>
        </w:rPr>
        <w:t xml:space="preserve"> </w:t>
      </w:r>
      <w:r>
        <w:rPr>
          <w:rFonts w:asciiTheme="majorBidi" w:hAnsiTheme="majorBidi" w:cstheme="majorBidi"/>
        </w:rPr>
        <w:t>and</w:t>
      </w:r>
      <w:r w:rsidRPr="006E463A">
        <w:rPr>
          <w:rFonts w:asciiTheme="majorBidi" w:hAnsiTheme="majorBidi" w:cstheme="majorBidi"/>
        </w:rPr>
        <w:t xml:space="preserve"> </w:t>
      </w:r>
      <w:r>
        <w:rPr>
          <w:rFonts w:asciiTheme="majorBidi" w:hAnsiTheme="majorBidi" w:cstheme="majorBidi"/>
        </w:rPr>
        <w:t>Wellens, co</w:t>
      </w:r>
      <w:r w:rsidRPr="006E463A">
        <w:rPr>
          <w:rFonts w:asciiTheme="majorBidi" w:hAnsiTheme="majorBidi" w:cstheme="majorBidi"/>
        </w:rPr>
        <w:t>-</w:t>
      </w:r>
      <w:r>
        <w:rPr>
          <w:rFonts w:asciiTheme="majorBidi" w:hAnsiTheme="majorBidi" w:cstheme="majorBidi"/>
        </w:rPr>
        <w:t>rapporteurs)</w:t>
      </w:r>
      <w:r>
        <w:rPr>
          <w:rFonts w:asciiTheme="majorBidi" w:hAnsiTheme="majorBidi" w:cstheme="majorBidi"/>
        </w:rPr>
        <w:t>，</w:t>
      </w:r>
      <w:r>
        <w:rPr>
          <w:rFonts w:asciiTheme="majorBidi" w:hAnsiTheme="majorBidi" w:cstheme="majorBidi"/>
          <w:i/>
          <w:iCs/>
        </w:rPr>
        <w:t>Final</w:t>
      </w:r>
      <w:r w:rsidRPr="006E463A">
        <w:rPr>
          <w:rFonts w:asciiTheme="majorBidi" w:hAnsiTheme="majorBidi" w:cstheme="majorBidi"/>
          <w:i/>
          <w:iCs/>
        </w:rPr>
        <w:t xml:space="preserve"> </w:t>
      </w:r>
      <w:r>
        <w:rPr>
          <w:rFonts w:asciiTheme="majorBidi" w:hAnsiTheme="majorBidi" w:cstheme="majorBidi"/>
          <w:i/>
          <w:iCs/>
        </w:rPr>
        <w:t>Report</w:t>
      </w:r>
      <w:r w:rsidRPr="006E463A">
        <w:rPr>
          <w:rFonts w:asciiTheme="majorBidi" w:hAnsiTheme="majorBidi" w:cstheme="majorBidi"/>
          <w:i/>
          <w:iCs/>
        </w:rPr>
        <w:t xml:space="preserve"> </w:t>
      </w:r>
      <w:r>
        <w:rPr>
          <w:rFonts w:asciiTheme="majorBidi" w:hAnsiTheme="majorBidi" w:cstheme="majorBidi"/>
          <w:i/>
          <w:iCs/>
        </w:rPr>
        <w:t>on</w:t>
      </w:r>
      <w:r w:rsidRPr="006E463A">
        <w:rPr>
          <w:rFonts w:asciiTheme="majorBidi" w:hAnsiTheme="majorBidi" w:cstheme="majorBidi"/>
          <w:i/>
          <w:iCs/>
        </w:rPr>
        <w:t xml:space="preserve"> </w:t>
      </w:r>
      <w:r>
        <w:rPr>
          <w:rFonts w:asciiTheme="majorBidi" w:hAnsiTheme="majorBidi" w:cstheme="majorBidi"/>
          <w:i/>
          <w:iCs/>
        </w:rPr>
        <w:t>Accountability</w:t>
      </w:r>
      <w:r w:rsidRPr="006E463A">
        <w:rPr>
          <w:rFonts w:asciiTheme="majorBidi" w:hAnsiTheme="majorBidi" w:cstheme="majorBidi"/>
          <w:i/>
          <w:iCs/>
        </w:rPr>
        <w:t xml:space="preserve"> </w:t>
      </w:r>
      <w:r>
        <w:rPr>
          <w:rFonts w:asciiTheme="majorBidi" w:hAnsiTheme="majorBidi" w:cstheme="majorBidi"/>
          <w:i/>
          <w:iCs/>
        </w:rPr>
        <w:t>of</w:t>
      </w:r>
      <w:r w:rsidRPr="006E463A">
        <w:rPr>
          <w:rFonts w:asciiTheme="majorBidi" w:hAnsiTheme="majorBidi" w:cstheme="majorBidi"/>
          <w:i/>
          <w:iCs/>
        </w:rPr>
        <w:t xml:space="preserve"> </w:t>
      </w:r>
      <w:r>
        <w:rPr>
          <w:rFonts w:asciiTheme="majorBidi" w:hAnsiTheme="majorBidi" w:cstheme="majorBidi"/>
          <w:i/>
          <w:iCs/>
        </w:rPr>
        <w:t>International</w:t>
      </w:r>
      <w:r w:rsidRPr="006E463A">
        <w:rPr>
          <w:rFonts w:asciiTheme="majorBidi" w:hAnsiTheme="majorBidi" w:cstheme="majorBidi"/>
          <w:i/>
          <w:iCs/>
        </w:rPr>
        <w:t xml:space="preserve"> </w:t>
      </w:r>
      <w:r>
        <w:rPr>
          <w:rFonts w:asciiTheme="majorBidi" w:hAnsiTheme="majorBidi" w:cstheme="majorBidi"/>
          <w:i/>
          <w:iCs/>
        </w:rPr>
        <w:t xml:space="preserve">Organisations, </w:t>
      </w:r>
      <w:r>
        <w:rPr>
          <w:rFonts w:asciiTheme="majorBidi" w:hAnsiTheme="majorBidi" w:cstheme="majorBidi"/>
        </w:rPr>
        <w:t>Int</w:t>
      </w:r>
      <w:r w:rsidRPr="006E463A">
        <w:rPr>
          <w:rFonts w:asciiTheme="majorBidi" w:hAnsiTheme="majorBidi" w:cstheme="majorBidi"/>
        </w:rPr>
        <w:t>’</w:t>
      </w:r>
      <w:r>
        <w:rPr>
          <w:rFonts w:asciiTheme="majorBidi" w:hAnsiTheme="majorBidi" w:cstheme="majorBidi"/>
        </w:rPr>
        <w:t>l</w:t>
      </w:r>
      <w:r w:rsidRPr="006E463A">
        <w:rPr>
          <w:rFonts w:asciiTheme="majorBidi" w:hAnsiTheme="majorBidi" w:cstheme="majorBidi"/>
        </w:rPr>
        <w:t xml:space="preserve"> </w:t>
      </w:r>
      <w:r>
        <w:rPr>
          <w:rFonts w:asciiTheme="majorBidi" w:hAnsiTheme="majorBidi" w:cstheme="majorBidi"/>
        </w:rPr>
        <w:t>L</w:t>
      </w:r>
      <w:r w:rsidRPr="006E463A">
        <w:rPr>
          <w:rFonts w:asciiTheme="majorBidi" w:hAnsiTheme="majorBidi" w:cstheme="majorBidi"/>
        </w:rPr>
        <w:t xml:space="preserve">. </w:t>
      </w:r>
      <w:r>
        <w:rPr>
          <w:rFonts w:asciiTheme="majorBidi" w:hAnsiTheme="majorBidi" w:cstheme="majorBidi"/>
        </w:rPr>
        <w:t>Ass</w:t>
      </w:r>
      <w:r w:rsidRPr="006E463A">
        <w:rPr>
          <w:rFonts w:asciiTheme="majorBidi" w:hAnsiTheme="majorBidi" w:cstheme="majorBidi"/>
        </w:rPr>
        <w:t>’</w:t>
      </w:r>
      <w:r>
        <w:rPr>
          <w:rFonts w:asciiTheme="majorBidi" w:hAnsiTheme="majorBidi" w:cstheme="majorBidi"/>
        </w:rPr>
        <w:t>n</w:t>
      </w:r>
      <w:r w:rsidRPr="006E463A">
        <w:rPr>
          <w:rFonts w:asciiTheme="majorBidi" w:hAnsiTheme="majorBidi" w:cstheme="majorBidi"/>
        </w:rPr>
        <w:t xml:space="preserve"> </w:t>
      </w:r>
      <w:r>
        <w:rPr>
          <w:rFonts w:asciiTheme="majorBidi" w:hAnsiTheme="majorBidi" w:cstheme="majorBidi"/>
        </w:rPr>
        <w:t>Rep</w:t>
      </w:r>
      <w:r w:rsidRPr="006E463A">
        <w:rPr>
          <w:rFonts w:asciiTheme="majorBidi" w:hAnsiTheme="majorBidi" w:cstheme="majorBidi"/>
        </w:rPr>
        <w:t xml:space="preserve">. </w:t>
      </w:r>
      <w:r>
        <w:rPr>
          <w:rFonts w:asciiTheme="majorBidi" w:hAnsiTheme="majorBidi" w:cstheme="majorBidi"/>
        </w:rPr>
        <w:t>Conf</w:t>
      </w:r>
      <w:r w:rsidRPr="006E463A">
        <w:rPr>
          <w:rFonts w:asciiTheme="majorBidi" w:hAnsiTheme="majorBidi" w:cstheme="majorBidi"/>
        </w:rPr>
        <w:t>.</w:t>
      </w:r>
      <w:r>
        <w:rPr>
          <w:rFonts w:asciiTheme="majorBidi" w:hAnsiTheme="majorBidi" w:cstheme="majorBidi"/>
        </w:rPr>
        <w:t>，</w:t>
      </w:r>
      <w:r>
        <w:rPr>
          <w:rFonts w:asciiTheme="majorBidi" w:hAnsiTheme="majorBidi" w:cstheme="majorBidi"/>
        </w:rPr>
        <w:t>vol</w:t>
      </w:r>
      <w:r w:rsidRPr="006E463A">
        <w:rPr>
          <w:rFonts w:asciiTheme="majorBidi" w:hAnsiTheme="majorBidi" w:cstheme="majorBidi"/>
        </w:rPr>
        <w:t xml:space="preserve">. </w:t>
      </w:r>
      <w:r>
        <w:rPr>
          <w:rFonts w:asciiTheme="majorBidi" w:hAnsiTheme="majorBidi" w:cstheme="majorBidi"/>
        </w:rPr>
        <w:t>71(2</w:t>
      </w:r>
      <w:r w:rsidRPr="006E463A">
        <w:rPr>
          <w:rFonts w:asciiTheme="majorBidi" w:hAnsiTheme="majorBidi" w:cstheme="majorBidi"/>
        </w:rPr>
        <w:t>00</w:t>
      </w:r>
      <w:r>
        <w:rPr>
          <w:rFonts w:asciiTheme="majorBidi" w:hAnsiTheme="majorBidi" w:cstheme="majorBidi"/>
        </w:rPr>
        <w:t>4</w:t>
      </w:r>
      <w:r>
        <w:rPr>
          <w:rFonts w:asciiTheme="majorBidi" w:hAnsiTheme="majorBidi" w:cstheme="majorBidi"/>
          <w:i/>
          <w:iCs/>
        </w:rPr>
        <w:t>)</w:t>
      </w:r>
      <w:r>
        <w:rPr>
          <w:rFonts w:asciiTheme="majorBidi" w:hAnsiTheme="majorBidi" w:cstheme="majorBidi"/>
          <w:i/>
          <w:iCs/>
        </w:rPr>
        <w:t>，</w:t>
      </w:r>
      <w:r w:rsidRPr="006E463A">
        <w:rPr>
          <w:rFonts w:asciiTheme="majorBidi" w:hAnsiTheme="majorBidi" w:cstheme="majorBidi"/>
        </w:rPr>
        <w:t xml:space="preserve"> </w:t>
      </w:r>
      <w:r>
        <w:rPr>
          <w:rFonts w:asciiTheme="majorBidi" w:hAnsiTheme="majorBidi" w:cstheme="majorBidi"/>
        </w:rPr>
        <w:t>p</w:t>
      </w:r>
      <w:r w:rsidRPr="006E463A">
        <w:rPr>
          <w:rFonts w:asciiTheme="majorBidi" w:hAnsiTheme="majorBidi" w:cstheme="majorBidi"/>
        </w:rPr>
        <w:t xml:space="preserve">. </w:t>
      </w:r>
      <w:r>
        <w:rPr>
          <w:rFonts w:asciiTheme="majorBidi" w:hAnsiTheme="majorBidi" w:cstheme="majorBidi"/>
        </w:rPr>
        <w:t>164,</w:t>
      </w:r>
      <w:r w:rsidRPr="006E463A">
        <w:rPr>
          <w:rFonts w:asciiTheme="majorBidi" w:hAnsiTheme="majorBidi" w:cstheme="majorBidi"/>
        </w:rPr>
        <w:t xml:space="preserve"> </w:t>
      </w:r>
      <w:r>
        <w:rPr>
          <w:rFonts w:asciiTheme="majorBidi" w:hAnsiTheme="majorBidi" w:cstheme="majorBidi"/>
        </w:rPr>
        <w:t>at</w:t>
      </w:r>
      <w:r w:rsidRPr="006E463A">
        <w:rPr>
          <w:rFonts w:asciiTheme="majorBidi" w:hAnsiTheme="majorBidi" w:cstheme="majorBidi"/>
        </w:rPr>
        <w:t xml:space="preserve"> </w:t>
      </w:r>
      <w:r>
        <w:rPr>
          <w:rFonts w:asciiTheme="majorBidi" w:hAnsiTheme="majorBidi" w:cstheme="majorBidi"/>
        </w:rPr>
        <w:t>p</w:t>
      </w:r>
      <w:r w:rsidRPr="006E463A">
        <w:rPr>
          <w:rFonts w:asciiTheme="majorBidi" w:hAnsiTheme="majorBidi" w:cstheme="majorBidi"/>
        </w:rPr>
        <w:t xml:space="preserve">. </w:t>
      </w:r>
      <w:r>
        <w:rPr>
          <w:rFonts w:asciiTheme="majorBidi" w:hAnsiTheme="majorBidi" w:cstheme="majorBidi"/>
        </w:rPr>
        <w:t>224</w:t>
      </w:r>
      <w:r w:rsidRPr="006E463A">
        <w:rPr>
          <w:rFonts w:asciiTheme="majorBidi" w:hAnsiTheme="majorBidi" w:cstheme="majorBidi"/>
        </w:rPr>
        <w:t>。</w:t>
      </w:r>
    </w:p>
  </w:footnote>
  <w:footnote w:id="1519">
    <w:p w:rsidR="00AB00DE" w:rsidRPr="006E463A" w:rsidRDefault="00AB00DE" w:rsidP="001A5FC1">
      <w:pPr>
        <w:pStyle w:val="a4"/>
        <w:rPr>
          <w:rFonts w:asciiTheme="majorBidi" w:eastAsiaTheme="minorEastAsia" w:hAnsiTheme="majorBidi" w:cstheme="majorBidi"/>
        </w:rPr>
      </w:pPr>
      <w:r>
        <w:rPr>
          <w:rFonts w:hint="eastAsia"/>
          <w:sz w:val="22"/>
          <w:szCs w:val="22"/>
        </w:rPr>
        <w:tab/>
      </w:r>
      <w:r w:rsidRPr="008258F3">
        <w:rPr>
          <w:rStyle w:val="a5"/>
          <w:szCs w:val="22"/>
        </w:rPr>
        <w:footnoteRef/>
      </w:r>
      <w:r>
        <w:rPr>
          <w:rFonts w:hint="eastAsia"/>
          <w:sz w:val="22"/>
          <w:szCs w:val="22"/>
        </w:rPr>
        <w:tab/>
      </w:r>
      <w:r w:rsidRPr="006E463A">
        <w:rPr>
          <w:rFonts w:asciiTheme="majorBidi" w:eastAsiaTheme="minorEastAsia" w:hAnsiTheme="majorBidi" w:cstheme="majorBidi" w:hint="eastAsia"/>
        </w:rPr>
        <w:t>同上</w:t>
      </w:r>
      <w:r>
        <w:rPr>
          <w:rFonts w:asciiTheme="majorBidi" w:eastAsiaTheme="minorEastAsia" w:hAnsiTheme="majorBidi" w:cstheme="majorBidi" w:hint="eastAsia"/>
        </w:rPr>
        <w:t>，</w:t>
      </w:r>
      <w:r w:rsidRPr="006E463A">
        <w:rPr>
          <w:rFonts w:asciiTheme="majorBidi" w:eastAsiaTheme="minorEastAsia" w:hAnsiTheme="majorBidi" w:cstheme="majorBidi" w:hint="eastAsia"/>
        </w:rPr>
        <w:t>建议</w:t>
      </w:r>
      <w:r>
        <w:rPr>
          <w:rFonts w:asciiTheme="majorBidi" w:eastAsiaTheme="minorEastAsia" w:hAnsiTheme="majorBidi" w:cstheme="majorBidi"/>
        </w:rPr>
        <w:t>2</w:t>
      </w:r>
      <w:r w:rsidRPr="006E463A">
        <w:rPr>
          <w:rFonts w:asciiTheme="majorBidi" w:eastAsiaTheme="minorEastAsia" w:hAnsiTheme="majorBidi" w:cstheme="majorBidi"/>
        </w:rPr>
        <w:t>-</w:t>
      </w:r>
      <w:r>
        <w:rPr>
          <w:rFonts w:asciiTheme="majorBidi" w:eastAsiaTheme="minorEastAsia" w:hAnsiTheme="majorBidi" w:cstheme="majorBidi"/>
        </w:rPr>
        <w:t>5,</w:t>
      </w:r>
      <w:r w:rsidRPr="006E463A">
        <w:rPr>
          <w:rFonts w:asciiTheme="majorBidi" w:eastAsiaTheme="minorEastAsia" w:hAnsiTheme="majorBidi" w:cstheme="majorBidi" w:hint="eastAsia"/>
        </w:rPr>
        <w:t>见第</w:t>
      </w:r>
      <w:r>
        <w:rPr>
          <w:rFonts w:asciiTheme="majorBidi" w:eastAsiaTheme="minorEastAsia" w:hAnsiTheme="majorBidi" w:cstheme="majorBidi"/>
        </w:rPr>
        <w:t>223</w:t>
      </w:r>
      <w:r w:rsidRPr="006E463A">
        <w:rPr>
          <w:rFonts w:asciiTheme="majorBidi" w:eastAsiaTheme="minorEastAsia" w:hAnsiTheme="majorBidi" w:cstheme="majorBidi"/>
        </w:rPr>
        <w:t>-</w:t>
      </w:r>
      <w:r>
        <w:rPr>
          <w:rFonts w:asciiTheme="majorBidi" w:eastAsiaTheme="minorEastAsia" w:hAnsiTheme="majorBidi" w:cstheme="majorBidi"/>
        </w:rPr>
        <w:t>224</w:t>
      </w:r>
      <w:r w:rsidRPr="006E463A">
        <w:rPr>
          <w:rFonts w:asciiTheme="majorBidi" w:eastAsiaTheme="minorEastAsia" w:hAnsiTheme="majorBidi" w:cstheme="majorBidi" w:hint="eastAsia"/>
        </w:rPr>
        <w:t>页。</w:t>
      </w:r>
    </w:p>
  </w:footnote>
  <w:footnote w:id="1520">
    <w:p w:rsidR="00AB00DE" w:rsidRPr="006E463A" w:rsidRDefault="00AB00DE" w:rsidP="001A5FC1">
      <w:pPr>
        <w:pStyle w:val="a4"/>
        <w:rPr>
          <w:rFonts w:asciiTheme="majorBidi" w:hAnsiTheme="majorBidi" w:cstheme="majorBidi"/>
        </w:rPr>
      </w:pPr>
      <w:r>
        <w:rPr>
          <w:rFonts w:hint="eastAsia"/>
          <w:sz w:val="22"/>
          <w:szCs w:val="22"/>
        </w:rPr>
        <w:tab/>
      </w:r>
      <w:r w:rsidRPr="008258F3">
        <w:rPr>
          <w:rStyle w:val="a5"/>
          <w:szCs w:val="22"/>
        </w:rPr>
        <w:footnoteRef/>
      </w:r>
      <w:r>
        <w:rPr>
          <w:rFonts w:hint="eastAsia"/>
          <w:sz w:val="22"/>
          <w:szCs w:val="22"/>
        </w:rPr>
        <w:tab/>
      </w:r>
      <w:r w:rsidRPr="006E463A">
        <w:rPr>
          <w:rFonts w:asciiTheme="majorBidi" w:hAnsiTheme="majorBidi" w:cstheme="majorBidi"/>
        </w:rPr>
        <w:t>国际法协会建议</w:t>
      </w:r>
      <w:r>
        <w:rPr>
          <w:rFonts w:asciiTheme="majorBidi" w:hAnsiTheme="majorBidi" w:cstheme="majorBidi"/>
        </w:rPr>
        <w:t>，</w:t>
      </w:r>
      <w:r w:rsidRPr="006E463A">
        <w:rPr>
          <w:rFonts w:asciiTheme="majorBidi" w:hAnsiTheme="majorBidi" w:cstheme="majorBidi"/>
        </w:rPr>
        <w:t>国际组织</w:t>
      </w:r>
      <w:r>
        <w:rPr>
          <w:rFonts w:asciiTheme="majorBidi" w:hAnsiTheme="majorBidi" w:cstheme="majorBidi" w:hint="eastAsia"/>
        </w:rPr>
        <w:t>“</w:t>
      </w:r>
      <w:r w:rsidRPr="006E463A">
        <w:rPr>
          <w:rFonts w:asciiTheme="majorBidi" w:hAnsiTheme="majorBidi" w:cstheme="majorBidi"/>
        </w:rPr>
        <w:t>可考虑设立一个国际调查委员会</w:t>
      </w:r>
      <w:r>
        <w:rPr>
          <w:rFonts w:asciiTheme="majorBidi" w:hAnsiTheme="majorBidi" w:cstheme="majorBidi"/>
        </w:rPr>
        <w:t>，</w:t>
      </w:r>
      <w:r w:rsidRPr="006E463A">
        <w:rPr>
          <w:rFonts w:asciiTheme="majorBidi" w:hAnsiTheme="majorBidi" w:cstheme="majorBidi"/>
        </w:rPr>
        <w:t>调查任何已成为公众严重关切问题的事项</w:t>
      </w:r>
      <w:r>
        <w:rPr>
          <w:rFonts w:asciiTheme="majorBidi" w:hAnsiTheme="majorBidi" w:cstheme="majorBidi" w:hint="eastAsia"/>
        </w:rPr>
        <w:t>”</w:t>
      </w:r>
      <w:r>
        <w:rPr>
          <w:rFonts w:asciiTheme="majorBidi" w:hAnsiTheme="majorBidi" w:cstheme="majorBidi"/>
        </w:rPr>
        <w:t>(</w:t>
      </w:r>
      <w:r w:rsidRPr="006E463A">
        <w:rPr>
          <w:rFonts w:asciiTheme="majorBidi" w:hAnsiTheme="majorBidi" w:cstheme="majorBidi"/>
        </w:rPr>
        <w:t>同上</w:t>
      </w:r>
      <w:r>
        <w:rPr>
          <w:rFonts w:asciiTheme="majorBidi" w:hAnsiTheme="majorBidi" w:cstheme="majorBidi"/>
        </w:rPr>
        <w:t>，</w:t>
      </w:r>
      <w:r w:rsidRPr="006E463A">
        <w:rPr>
          <w:rFonts w:asciiTheme="majorBidi" w:hAnsiTheme="majorBidi" w:cstheme="majorBidi"/>
        </w:rPr>
        <w:t>建议</w:t>
      </w:r>
      <w:r>
        <w:rPr>
          <w:rFonts w:asciiTheme="majorBidi" w:hAnsiTheme="majorBidi" w:cstheme="majorBidi"/>
        </w:rPr>
        <w:t>6,</w:t>
      </w:r>
      <w:r w:rsidRPr="006E463A">
        <w:rPr>
          <w:rFonts w:asciiTheme="majorBidi" w:hAnsiTheme="majorBidi" w:cstheme="majorBidi"/>
        </w:rPr>
        <w:t>见第</w:t>
      </w:r>
      <w:r>
        <w:rPr>
          <w:rFonts w:asciiTheme="majorBidi" w:hAnsiTheme="majorBidi" w:cstheme="majorBidi"/>
        </w:rPr>
        <w:t>224</w:t>
      </w:r>
      <w:r w:rsidRPr="006E463A">
        <w:rPr>
          <w:rFonts w:asciiTheme="majorBidi" w:hAnsiTheme="majorBidi" w:cstheme="majorBidi"/>
        </w:rPr>
        <w:t>页</w:t>
      </w:r>
      <w:r>
        <w:rPr>
          <w:rFonts w:asciiTheme="majorBidi" w:hAnsiTheme="majorBidi" w:cstheme="majorBidi"/>
        </w:rPr>
        <w:t>)</w:t>
      </w:r>
      <w:r w:rsidRPr="006E463A">
        <w:rPr>
          <w:rFonts w:asciiTheme="majorBidi" w:hAnsiTheme="majorBidi" w:cstheme="majorBidi"/>
        </w:rPr>
        <w:t>。国际法协会特别提到《调查联合国在</w:t>
      </w:r>
      <w:r>
        <w:rPr>
          <w:rFonts w:asciiTheme="majorBidi" w:hAnsiTheme="majorBidi" w:cstheme="majorBidi"/>
        </w:rPr>
        <w:t>1994</w:t>
      </w:r>
      <w:r w:rsidRPr="006E463A">
        <w:rPr>
          <w:rFonts w:asciiTheme="majorBidi" w:hAnsiTheme="majorBidi" w:cstheme="majorBidi"/>
        </w:rPr>
        <w:t>年卢旺达发生灭绝种族事件期间所采取的行动的独立调查委员会的报告》</w:t>
      </w:r>
      <w:r>
        <w:rPr>
          <w:rFonts w:asciiTheme="majorBidi" w:hAnsiTheme="majorBidi" w:cstheme="majorBidi"/>
        </w:rPr>
        <w:t>(S/1999/1257,</w:t>
      </w:r>
      <w:r w:rsidRPr="006E463A">
        <w:rPr>
          <w:rFonts w:asciiTheme="majorBidi" w:hAnsiTheme="majorBidi" w:cstheme="majorBidi"/>
        </w:rPr>
        <w:t>附件</w:t>
      </w:r>
      <w:r>
        <w:rPr>
          <w:rFonts w:asciiTheme="majorBidi" w:hAnsiTheme="majorBidi" w:cstheme="majorBidi"/>
        </w:rPr>
        <w:t>)</w:t>
      </w:r>
      <w:r w:rsidRPr="006E463A">
        <w:rPr>
          <w:rFonts w:asciiTheme="majorBidi" w:hAnsiTheme="majorBidi" w:cstheme="majorBidi"/>
        </w:rPr>
        <w:t>和《秘书长依照大会第</w:t>
      </w:r>
      <w:r>
        <w:rPr>
          <w:rFonts w:asciiTheme="majorBidi" w:hAnsiTheme="majorBidi" w:cstheme="majorBidi"/>
        </w:rPr>
        <w:t>53/35</w:t>
      </w:r>
      <w:r w:rsidRPr="006E463A">
        <w:rPr>
          <w:rFonts w:asciiTheme="majorBidi" w:hAnsiTheme="majorBidi" w:cstheme="majorBidi"/>
        </w:rPr>
        <w:t>号决议提出的报告》</w:t>
      </w:r>
      <w:r>
        <w:rPr>
          <w:rFonts w:asciiTheme="majorBidi" w:hAnsiTheme="majorBidi" w:cstheme="majorBidi"/>
        </w:rPr>
        <w:t>(A/54/549)(</w:t>
      </w:r>
      <w:r w:rsidRPr="006E463A">
        <w:rPr>
          <w:rFonts w:asciiTheme="majorBidi" w:hAnsiTheme="majorBidi" w:cstheme="majorBidi"/>
        </w:rPr>
        <w:t>同上</w:t>
      </w:r>
      <w:r>
        <w:rPr>
          <w:rFonts w:asciiTheme="majorBidi" w:hAnsiTheme="majorBidi" w:cstheme="majorBidi"/>
        </w:rPr>
        <w:t>，</w:t>
      </w:r>
      <w:r w:rsidRPr="006E463A">
        <w:rPr>
          <w:rFonts w:asciiTheme="majorBidi" w:hAnsiTheme="majorBidi" w:cstheme="majorBidi"/>
        </w:rPr>
        <w:t>见第</w:t>
      </w:r>
      <w:r>
        <w:rPr>
          <w:rFonts w:asciiTheme="majorBidi" w:hAnsiTheme="majorBidi" w:cstheme="majorBidi"/>
        </w:rPr>
        <w:t>226</w:t>
      </w:r>
      <w:r w:rsidRPr="006E463A">
        <w:rPr>
          <w:rFonts w:asciiTheme="majorBidi" w:hAnsiTheme="majorBidi" w:cstheme="majorBidi"/>
        </w:rPr>
        <w:t>页</w:t>
      </w:r>
      <w:r>
        <w:rPr>
          <w:rFonts w:asciiTheme="majorBidi" w:hAnsiTheme="majorBidi" w:cstheme="majorBidi"/>
        </w:rPr>
        <w:t>)</w:t>
      </w:r>
      <w:r w:rsidRPr="006E463A">
        <w:rPr>
          <w:rFonts w:asciiTheme="majorBidi" w:hAnsiTheme="majorBidi" w:cstheme="majorBidi"/>
        </w:rPr>
        <w:t>。</w:t>
      </w:r>
    </w:p>
  </w:footnote>
  <w:footnote w:id="1521">
    <w:p w:rsidR="00AB00DE" w:rsidRPr="006E463A" w:rsidRDefault="00AB00DE" w:rsidP="001A5FC1">
      <w:pPr>
        <w:pStyle w:val="a4"/>
      </w:pPr>
      <w:r>
        <w:rPr>
          <w:rFonts w:hint="eastAsia"/>
          <w:sz w:val="22"/>
          <w:szCs w:val="22"/>
        </w:rPr>
        <w:tab/>
      </w:r>
      <w:r w:rsidRPr="008258F3">
        <w:rPr>
          <w:rStyle w:val="a5"/>
          <w:szCs w:val="22"/>
        </w:rPr>
        <w:footnoteRef/>
      </w:r>
      <w:r>
        <w:rPr>
          <w:rFonts w:hint="eastAsia"/>
          <w:sz w:val="22"/>
          <w:szCs w:val="22"/>
        </w:rPr>
        <w:tab/>
      </w:r>
      <w:r w:rsidRPr="006E463A">
        <w:rPr>
          <w:rFonts w:hint="eastAsia"/>
        </w:rPr>
        <w:t>《联合国、各专门机构和国际原子能组织关于其地位、特权和豁免的惯例</w:t>
      </w:r>
      <w:r>
        <w:rPr>
          <w:rFonts w:hint="eastAsia"/>
        </w:rPr>
        <w:t>：</w:t>
      </w:r>
      <w:r w:rsidRPr="006E463A">
        <w:rPr>
          <w:rFonts w:hint="eastAsia"/>
        </w:rPr>
        <w:t>秘书处编写的研究报告》中简要介绍了</w:t>
      </w:r>
      <w:r>
        <w:rPr>
          <w:rFonts w:hint="eastAsia"/>
        </w:rPr>
        <w:t>1967</w:t>
      </w:r>
      <w:r w:rsidRPr="006E463A">
        <w:rPr>
          <w:rFonts w:hint="eastAsia"/>
        </w:rPr>
        <w:t>年之前的惯例</w:t>
      </w:r>
      <w:r>
        <w:rPr>
          <w:rFonts w:hint="eastAsia"/>
        </w:rPr>
        <w:t>，</w:t>
      </w:r>
      <w:r>
        <w:t>A/CN</w:t>
      </w:r>
      <w:r w:rsidRPr="006E463A">
        <w:t>.</w:t>
      </w:r>
      <w:r>
        <w:t>4/L</w:t>
      </w:r>
      <w:r w:rsidRPr="006E463A">
        <w:t>.</w:t>
      </w:r>
      <w:r>
        <w:t>118</w:t>
      </w:r>
      <w:r w:rsidRPr="006E463A">
        <w:rPr>
          <w:rFonts w:hint="eastAsia"/>
        </w:rPr>
        <w:t>及</w:t>
      </w:r>
      <w:r>
        <w:t>Add</w:t>
      </w:r>
      <w:r w:rsidRPr="006E463A">
        <w:t>.</w:t>
      </w:r>
      <w:r>
        <w:t>1</w:t>
      </w:r>
      <w:r w:rsidRPr="006E463A">
        <w:rPr>
          <w:rFonts w:hint="eastAsia"/>
        </w:rPr>
        <w:t>和</w:t>
      </w:r>
      <w:r>
        <w:t>Add</w:t>
      </w:r>
      <w:r w:rsidRPr="006E463A">
        <w:t>.</w:t>
      </w:r>
      <w:r>
        <w:t>2(1967</w:t>
      </w:r>
      <w:r w:rsidRPr="006E463A">
        <w:rPr>
          <w:rFonts w:hint="eastAsia"/>
        </w:rPr>
        <w:t>年</w:t>
      </w:r>
      <w:r>
        <w:t>)</w:t>
      </w:r>
      <w:r>
        <w:rPr>
          <w:rFonts w:hint="eastAsia"/>
        </w:rPr>
        <w:t>，</w:t>
      </w:r>
      <w:r w:rsidRPr="006E463A">
        <w:rPr>
          <w:rFonts w:hint="eastAsia"/>
        </w:rPr>
        <w:t>第</w:t>
      </w:r>
      <w:r>
        <w:t>218</w:t>
      </w:r>
      <w:r w:rsidRPr="006E463A">
        <w:t>-</w:t>
      </w:r>
      <w:r>
        <w:t>22</w:t>
      </w:r>
      <w:r w:rsidRPr="006E463A">
        <w:t>0</w:t>
      </w:r>
      <w:r w:rsidRPr="006E463A">
        <w:rPr>
          <w:rFonts w:hint="eastAsia"/>
        </w:rPr>
        <w:t>页</w:t>
      </w:r>
      <w:r>
        <w:rPr>
          <w:rFonts w:hint="eastAsia"/>
        </w:rPr>
        <w:t>，</w:t>
      </w:r>
      <w:r w:rsidRPr="006E463A">
        <w:rPr>
          <w:rFonts w:hint="eastAsia"/>
        </w:rPr>
        <w:t>第</w:t>
      </w:r>
      <w:r>
        <w:t>49</w:t>
      </w:r>
      <w:r w:rsidRPr="006E463A">
        <w:t>-</w:t>
      </w:r>
      <w:r>
        <w:t>56</w:t>
      </w:r>
      <w:r w:rsidRPr="006E463A">
        <w:rPr>
          <w:rFonts w:hint="eastAsia"/>
        </w:rPr>
        <w:t>段</w:t>
      </w:r>
      <w:r>
        <w:t>(</w:t>
      </w:r>
      <w:r w:rsidRPr="006E463A">
        <w:rPr>
          <w:rFonts w:hint="eastAsia"/>
        </w:rPr>
        <w:t>关于联合国</w:t>
      </w:r>
      <w:r>
        <w:t>)</w:t>
      </w:r>
      <w:r>
        <w:rPr>
          <w:rFonts w:hint="eastAsia"/>
        </w:rPr>
        <w:t>；</w:t>
      </w:r>
      <w:r w:rsidRPr="006E463A">
        <w:rPr>
          <w:rFonts w:hint="eastAsia"/>
        </w:rPr>
        <w:t>第</w:t>
      </w:r>
      <w:r>
        <w:t>3</w:t>
      </w:r>
      <w:r w:rsidRPr="006E463A">
        <w:t>0</w:t>
      </w:r>
      <w:r>
        <w:t>2</w:t>
      </w:r>
      <w:r w:rsidRPr="006E463A">
        <w:rPr>
          <w:rFonts w:hint="eastAsia"/>
        </w:rPr>
        <w:t>页</w:t>
      </w:r>
      <w:r>
        <w:rPr>
          <w:rFonts w:hint="eastAsia"/>
        </w:rPr>
        <w:t>，</w:t>
      </w:r>
      <w:r w:rsidRPr="006E463A">
        <w:rPr>
          <w:rFonts w:hint="eastAsia"/>
        </w:rPr>
        <w:t>第</w:t>
      </w:r>
      <w:r>
        <w:t>23</w:t>
      </w:r>
      <w:r w:rsidRPr="006E463A">
        <w:rPr>
          <w:rFonts w:hint="eastAsia"/>
        </w:rPr>
        <w:t>段</w:t>
      </w:r>
      <w:r>
        <w:t>(</w:t>
      </w:r>
      <w:r w:rsidRPr="006E463A">
        <w:rPr>
          <w:rFonts w:hint="eastAsia"/>
        </w:rPr>
        <w:t>关于各专门机构</w:t>
      </w:r>
      <w:r>
        <w:t>)</w:t>
      </w:r>
      <w:r w:rsidRPr="006E463A">
        <w:rPr>
          <w:rFonts w:hint="eastAsia"/>
        </w:rPr>
        <w:t>。</w:t>
      </w:r>
    </w:p>
  </w:footnote>
  <w:footnote w:id="1522">
    <w:p w:rsidR="00AB00DE" w:rsidRPr="000652A1" w:rsidRDefault="00AB00DE" w:rsidP="001A5FC1">
      <w:pPr>
        <w:pStyle w:val="a4"/>
        <w:rPr>
          <w:sz w:val="22"/>
          <w:szCs w:val="22"/>
        </w:rPr>
      </w:pPr>
      <w:r>
        <w:rPr>
          <w:rFonts w:hint="eastAsia"/>
          <w:i/>
          <w:iCs/>
          <w:sz w:val="22"/>
          <w:szCs w:val="22"/>
        </w:rPr>
        <w:tab/>
      </w:r>
      <w:r w:rsidRPr="008258F3">
        <w:rPr>
          <w:rStyle w:val="a5"/>
          <w:szCs w:val="22"/>
        </w:rPr>
        <w:footnoteRef/>
      </w:r>
      <w:r>
        <w:rPr>
          <w:rFonts w:hint="eastAsia"/>
          <w:i/>
          <w:iCs/>
          <w:sz w:val="22"/>
          <w:szCs w:val="22"/>
        </w:rPr>
        <w:tab/>
      </w:r>
      <w:r w:rsidRPr="006E463A">
        <w:rPr>
          <w:rFonts w:eastAsiaTheme="minorEastAsia" w:hint="eastAsia"/>
        </w:rPr>
        <w:t>执行联合国公务时所受损害的赔偿</w:t>
      </w:r>
      <w:r>
        <w:rPr>
          <w:rFonts w:eastAsiaTheme="minorEastAsia" w:hint="eastAsia"/>
        </w:rPr>
        <w:t>，</w:t>
      </w:r>
      <w:r w:rsidRPr="006E463A">
        <w:rPr>
          <w:rFonts w:eastAsiaTheme="minorEastAsia" w:hint="eastAsia"/>
        </w:rPr>
        <w:t>见第</w:t>
      </w:r>
      <w:r>
        <w:rPr>
          <w:rFonts w:eastAsiaTheme="minorEastAsia"/>
        </w:rPr>
        <w:t>184</w:t>
      </w:r>
      <w:r w:rsidRPr="006E463A">
        <w:rPr>
          <w:rFonts w:eastAsiaTheme="minorEastAsia" w:hint="eastAsia"/>
        </w:rPr>
        <w:t>页。国际法委员会外交保护条款草案</w:t>
      </w:r>
      <w:r>
        <w:rPr>
          <w:rFonts w:eastAsiaTheme="minorEastAsia" w:hint="eastAsia"/>
        </w:rPr>
        <w:t>，</w:t>
      </w:r>
      <w:r>
        <w:rPr>
          <w:rFonts w:eastAsiaTheme="minorEastAsia" w:hint="eastAsia"/>
        </w:rPr>
        <w:t>A</w:t>
      </w:r>
      <w:r>
        <w:rPr>
          <w:rFonts w:eastAsiaTheme="minorEastAsia"/>
        </w:rPr>
        <w:t>/61/1</w:t>
      </w:r>
      <w:r w:rsidRPr="006E463A">
        <w:rPr>
          <w:rFonts w:eastAsiaTheme="minorEastAsia"/>
        </w:rPr>
        <w:t>0</w:t>
      </w:r>
      <w:r w:rsidRPr="006E463A">
        <w:rPr>
          <w:rFonts w:eastAsiaTheme="minorEastAsia" w:hint="eastAsia"/>
        </w:rPr>
        <w:t>号文件</w:t>
      </w:r>
      <w:r>
        <w:rPr>
          <w:rFonts w:eastAsiaTheme="minorEastAsia"/>
        </w:rPr>
        <w:t>(2</w:t>
      </w:r>
      <w:r w:rsidRPr="006E463A">
        <w:rPr>
          <w:rFonts w:eastAsiaTheme="minorEastAsia"/>
        </w:rPr>
        <w:t>00</w:t>
      </w:r>
      <w:r>
        <w:rPr>
          <w:rFonts w:eastAsiaTheme="minorEastAsia"/>
        </w:rPr>
        <w:t>6</w:t>
      </w:r>
      <w:r w:rsidRPr="006E463A">
        <w:rPr>
          <w:rFonts w:eastAsiaTheme="minorEastAsia" w:hint="eastAsia"/>
        </w:rPr>
        <w:t>年</w:t>
      </w:r>
      <w:r>
        <w:rPr>
          <w:rFonts w:eastAsiaTheme="minorEastAsia"/>
        </w:rPr>
        <w:t>)</w:t>
      </w:r>
      <w:r w:rsidRPr="006E463A">
        <w:rPr>
          <w:rFonts w:eastAsiaTheme="minorEastAsia" w:hint="eastAsia"/>
        </w:rPr>
        <w:t>将外交保护定义为</w:t>
      </w:r>
      <w:r>
        <w:rPr>
          <w:rFonts w:eastAsiaTheme="minorEastAsia" w:hint="eastAsia"/>
        </w:rPr>
        <w:t>“</w:t>
      </w:r>
      <w:r w:rsidRPr="006E463A">
        <w:rPr>
          <w:rFonts w:eastAsiaTheme="minorEastAsia" w:hint="eastAsia"/>
        </w:rPr>
        <w:t>一国对于另一国国际不法行为给属于本国国民的自然人或法人造成损害</w:t>
      </w:r>
      <w:r>
        <w:rPr>
          <w:rFonts w:eastAsiaTheme="minorEastAsia" w:hint="eastAsia"/>
        </w:rPr>
        <w:t>，</w:t>
      </w:r>
      <w:r w:rsidRPr="006E463A">
        <w:rPr>
          <w:rFonts w:eastAsiaTheme="minorEastAsia" w:hint="eastAsia"/>
        </w:rPr>
        <w:t>通过外交行动或其他和平解决手段援引另一国的责任</w:t>
      </w:r>
      <w:r>
        <w:rPr>
          <w:rFonts w:eastAsiaTheme="minorEastAsia" w:hint="eastAsia"/>
        </w:rPr>
        <w:t>，</w:t>
      </w:r>
      <w:r w:rsidRPr="006E463A">
        <w:rPr>
          <w:rFonts w:eastAsiaTheme="minorEastAsia" w:hint="eastAsia"/>
        </w:rPr>
        <w:t>以期使该国责任得到履行。</w:t>
      </w:r>
      <w:r>
        <w:rPr>
          <w:rFonts w:eastAsiaTheme="minorEastAsia" w:hint="eastAsia"/>
        </w:rPr>
        <w:t>”</w:t>
      </w:r>
    </w:p>
  </w:footnote>
  <w:footnote w:id="1523">
    <w:p w:rsidR="00AB00DE" w:rsidRPr="00D23CD7" w:rsidRDefault="00AB00DE" w:rsidP="001A5FC1">
      <w:pPr>
        <w:pStyle w:val="a4"/>
      </w:pPr>
      <w:r>
        <w:rPr>
          <w:rFonts w:hint="eastAsia"/>
          <w:sz w:val="22"/>
          <w:szCs w:val="22"/>
        </w:rPr>
        <w:tab/>
      </w:r>
      <w:r w:rsidRPr="008258F3">
        <w:rPr>
          <w:rStyle w:val="a5"/>
          <w:szCs w:val="22"/>
        </w:rPr>
        <w:footnoteRef/>
      </w:r>
      <w:r>
        <w:rPr>
          <w:rFonts w:hint="eastAsia"/>
          <w:sz w:val="22"/>
          <w:szCs w:val="22"/>
        </w:rPr>
        <w:tab/>
      </w:r>
      <w:r w:rsidRPr="00BD231D">
        <w:rPr>
          <w:rFonts w:hint="eastAsia"/>
          <w:spacing w:val="-4"/>
        </w:rPr>
        <w:t>外交保护条款草案第</w:t>
      </w:r>
      <w:r>
        <w:rPr>
          <w:rFonts w:hint="eastAsia"/>
          <w:spacing w:val="-4"/>
        </w:rPr>
        <w:t>14</w:t>
      </w:r>
      <w:r w:rsidRPr="00BD231D">
        <w:rPr>
          <w:rFonts w:hint="eastAsia"/>
          <w:spacing w:val="-4"/>
        </w:rPr>
        <w:t>-</w:t>
      </w:r>
      <w:r>
        <w:rPr>
          <w:rFonts w:hint="eastAsia"/>
          <w:spacing w:val="-4"/>
        </w:rPr>
        <w:t>15</w:t>
      </w:r>
      <w:r w:rsidRPr="00BD231D">
        <w:rPr>
          <w:rFonts w:hint="eastAsia"/>
          <w:spacing w:val="-4"/>
        </w:rPr>
        <w:t>条</w:t>
      </w:r>
      <w:r>
        <w:rPr>
          <w:rFonts w:hint="eastAsia"/>
          <w:spacing w:val="-4"/>
        </w:rPr>
        <w:t>，</w:t>
      </w:r>
      <w:r w:rsidRPr="00BD231D">
        <w:rPr>
          <w:rFonts w:hint="eastAsia"/>
          <w:spacing w:val="-4"/>
        </w:rPr>
        <w:t>同上</w:t>
      </w:r>
      <w:r>
        <w:rPr>
          <w:rFonts w:hint="eastAsia"/>
          <w:spacing w:val="-4"/>
        </w:rPr>
        <w:t>，</w:t>
      </w:r>
      <w:r w:rsidRPr="00BD231D">
        <w:rPr>
          <w:rFonts w:hint="eastAsia"/>
          <w:spacing w:val="-4"/>
        </w:rPr>
        <w:t>定义了外交保护背景下用尽当地救济这一要求的范围</w:t>
      </w:r>
      <w:r w:rsidRPr="00D23CD7">
        <w:rPr>
          <w:rFonts w:hint="eastAsia"/>
        </w:rPr>
        <w:t>。</w:t>
      </w:r>
    </w:p>
  </w:footnote>
  <w:footnote w:id="1524">
    <w:p w:rsidR="00AB00DE" w:rsidRPr="00D23CD7" w:rsidRDefault="00AB00DE" w:rsidP="001A5FC1">
      <w:pPr>
        <w:pStyle w:val="a4"/>
      </w:pPr>
      <w:r>
        <w:rPr>
          <w:rFonts w:hint="eastAsia"/>
          <w:sz w:val="22"/>
          <w:szCs w:val="22"/>
        </w:rPr>
        <w:tab/>
      </w:r>
      <w:r w:rsidRPr="008258F3">
        <w:rPr>
          <w:rStyle w:val="a5"/>
          <w:szCs w:val="22"/>
        </w:rPr>
        <w:footnoteRef/>
      </w:r>
      <w:r>
        <w:rPr>
          <w:rFonts w:hint="eastAsia"/>
          <w:sz w:val="22"/>
          <w:szCs w:val="22"/>
        </w:rPr>
        <w:tab/>
      </w:r>
      <w:r w:rsidRPr="00D23CD7">
        <w:rPr>
          <w:rFonts w:hint="eastAsia"/>
        </w:rPr>
        <w:t>见</w:t>
      </w:r>
      <w:r>
        <w:t>C</w:t>
      </w:r>
      <w:r w:rsidRPr="00D23CD7">
        <w:t xml:space="preserve">. </w:t>
      </w:r>
      <w:r>
        <w:t xml:space="preserve">Eagleton, </w:t>
      </w:r>
      <w:r>
        <w:rPr>
          <w:rFonts w:hint="eastAsia"/>
        </w:rPr>
        <w:t>“</w:t>
      </w:r>
      <w:r>
        <w:t>International</w:t>
      </w:r>
      <w:r w:rsidRPr="00D23CD7">
        <w:t xml:space="preserve"> </w:t>
      </w:r>
      <w:r>
        <w:t>Organizations</w:t>
      </w:r>
      <w:r w:rsidRPr="00D23CD7">
        <w:t xml:space="preserve"> </w:t>
      </w:r>
      <w:r>
        <w:t>and</w:t>
      </w:r>
      <w:r w:rsidRPr="00D23CD7">
        <w:t xml:space="preserve"> </w:t>
      </w:r>
      <w:r>
        <w:t>the</w:t>
      </w:r>
      <w:r w:rsidRPr="00D23CD7">
        <w:t xml:space="preserve"> </w:t>
      </w:r>
      <w:r>
        <w:t>Law</w:t>
      </w:r>
      <w:r w:rsidRPr="00D23CD7">
        <w:t xml:space="preserve"> </w:t>
      </w:r>
      <w:r>
        <w:t>of</w:t>
      </w:r>
      <w:r w:rsidRPr="00D23CD7">
        <w:t xml:space="preserve"> </w:t>
      </w:r>
      <w:r>
        <w:t>Responsibility</w:t>
      </w:r>
      <w:r>
        <w:rPr>
          <w:rFonts w:hint="eastAsia"/>
        </w:rPr>
        <w:t>”</w:t>
      </w:r>
      <w:r>
        <w:t>，</w:t>
      </w:r>
      <w:r>
        <w:t>in</w:t>
      </w:r>
      <w:r w:rsidRPr="00D23CD7">
        <w:t xml:space="preserve"> </w:t>
      </w:r>
      <w:r>
        <w:rPr>
          <w:i/>
          <w:iCs/>
        </w:rPr>
        <w:t>Recueil</w:t>
      </w:r>
      <w:r w:rsidRPr="00D23CD7">
        <w:rPr>
          <w:i/>
          <w:iCs/>
        </w:rPr>
        <w:t xml:space="preserve"> </w:t>
      </w:r>
      <w:r>
        <w:rPr>
          <w:i/>
          <w:iCs/>
        </w:rPr>
        <w:t>des</w:t>
      </w:r>
      <w:r w:rsidRPr="00D23CD7">
        <w:rPr>
          <w:i/>
          <w:iCs/>
        </w:rPr>
        <w:t xml:space="preserve"> </w:t>
      </w:r>
      <w:r>
        <w:rPr>
          <w:i/>
          <w:iCs/>
        </w:rPr>
        <w:t xml:space="preserve">Cours, </w:t>
      </w:r>
      <w:r>
        <w:t>vol</w:t>
      </w:r>
      <w:r w:rsidRPr="00D23CD7">
        <w:t xml:space="preserve">. </w:t>
      </w:r>
      <w:r>
        <w:t>76,</w:t>
      </w:r>
      <w:r w:rsidRPr="00D23CD7">
        <w:t xml:space="preserve"> </w:t>
      </w:r>
      <w:r>
        <w:t>p</w:t>
      </w:r>
      <w:r w:rsidRPr="00D23CD7">
        <w:t>.</w:t>
      </w:r>
      <w:r>
        <w:t>319,</w:t>
      </w:r>
      <w:r w:rsidRPr="00D23CD7">
        <w:t xml:space="preserve"> </w:t>
      </w:r>
      <w:r>
        <w:t>at</w:t>
      </w:r>
      <w:r w:rsidRPr="00D23CD7">
        <w:t xml:space="preserve"> </w:t>
      </w:r>
      <w:r>
        <w:t>pp</w:t>
      </w:r>
      <w:r w:rsidRPr="00D23CD7">
        <w:t xml:space="preserve">. </w:t>
      </w:r>
      <w:r>
        <w:t>351</w:t>
      </w:r>
      <w:r w:rsidRPr="00D23CD7">
        <w:t>-</w:t>
      </w:r>
      <w:r>
        <w:t>352</w:t>
      </w:r>
      <w:r>
        <w:t>；</w:t>
      </w:r>
      <w:r>
        <w:t>Dopagne(</w:t>
      </w:r>
      <w:r w:rsidRPr="00D23CD7">
        <w:rPr>
          <w:rFonts w:hint="eastAsia"/>
        </w:rPr>
        <w:t>上文脚注</w:t>
      </w:r>
      <w:r>
        <w:t>9)</w:t>
      </w:r>
      <w:r>
        <w:t>，</w:t>
      </w:r>
      <w:r w:rsidRPr="00D23CD7">
        <w:t xml:space="preserve"> </w:t>
      </w:r>
      <w:r>
        <w:t>at</w:t>
      </w:r>
      <w:r w:rsidRPr="00D23CD7">
        <w:t xml:space="preserve"> </w:t>
      </w:r>
      <w:r>
        <w:t>p</w:t>
      </w:r>
      <w:r w:rsidRPr="00D23CD7">
        <w:t>.</w:t>
      </w:r>
      <w:r>
        <w:t>11</w:t>
      </w:r>
      <w:r w:rsidRPr="00D23CD7">
        <w:t>0</w:t>
      </w:r>
      <w:r>
        <w:t>8</w:t>
      </w:r>
      <w:r>
        <w:t>；</w:t>
      </w:r>
      <w:r>
        <w:t>C</w:t>
      </w:r>
      <w:r w:rsidRPr="00D23CD7">
        <w:t xml:space="preserve">. </w:t>
      </w:r>
      <w:r>
        <w:t xml:space="preserve">Trindade, </w:t>
      </w:r>
      <w:r>
        <w:rPr>
          <w:rFonts w:hint="eastAsia"/>
        </w:rPr>
        <w:t>“</w:t>
      </w:r>
      <w:r>
        <w:t>Exhaustion</w:t>
      </w:r>
      <w:r w:rsidRPr="00D23CD7">
        <w:t xml:space="preserve"> </w:t>
      </w:r>
      <w:r>
        <w:t>of</w:t>
      </w:r>
      <w:r w:rsidRPr="00D23CD7">
        <w:t xml:space="preserve"> </w:t>
      </w:r>
      <w:r>
        <w:t>Local</w:t>
      </w:r>
      <w:r w:rsidRPr="00D23CD7">
        <w:t xml:space="preserve"> </w:t>
      </w:r>
      <w:r>
        <w:t>Remedies</w:t>
      </w:r>
      <w:r w:rsidRPr="00D23CD7">
        <w:t xml:space="preserve"> </w:t>
      </w:r>
      <w:r>
        <w:t>and</w:t>
      </w:r>
      <w:r w:rsidRPr="00D23CD7">
        <w:t xml:space="preserve"> </w:t>
      </w:r>
      <w:r>
        <w:t>the</w:t>
      </w:r>
      <w:r w:rsidRPr="00D23CD7">
        <w:t xml:space="preserve"> </w:t>
      </w:r>
      <w:r>
        <w:t>Law</w:t>
      </w:r>
      <w:r w:rsidRPr="00D23CD7">
        <w:t xml:space="preserve"> </w:t>
      </w:r>
      <w:r>
        <w:t>of</w:t>
      </w:r>
      <w:r w:rsidRPr="00D23CD7">
        <w:t xml:space="preserve"> </w:t>
      </w:r>
      <w:r>
        <w:t>International</w:t>
      </w:r>
      <w:r w:rsidRPr="00D23CD7">
        <w:t xml:space="preserve"> </w:t>
      </w:r>
      <w:r>
        <w:t>Organizations</w:t>
      </w:r>
      <w:r>
        <w:rPr>
          <w:rFonts w:hint="eastAsia"/>
        </w:rPr>
        <w:t>”</w:t>
      </w:r>
      <w:r>
        <w:t>，</w:t>
      </w:r>
      <w:r>
        <w:rPr>
          <w:i/>
          <w:iCs/>
        </w:rPr>
        <w:t>Revue</w:t>
      </w:r>
      <w:r w:rsidRPr="00D23CD7">
        <w:rPr>
          <w:i/>
          <w:iCs/>
        </w:rPr>
        <w:t xml:space="preserve"> </w:t>
      </w:r>
      <w:r>
        <w:rPr>
          <w:i/>
          <w:iCs/>
        </w:rPr>
        <w:t>de</w:t>
      </w:r>
      <w:r w:rsidRPr="00D23CD7">
        <w:rPr>
          <w:i/>
          <w:iCs/>
        </w:rPr>
        <w:t xml:space="preserve"> </w:t>
      </w:r>
      <w:r>
        <w:rPr>
          <w:i/>
          <w:iCs/>
        </w:rPr>
        <w:t>Droit</w:t>
      </w:r>
      <w:r w:rsidRPr="00D23CD7">
        <w:rPr>
          <w:i/>
          <w:iCs/>
        </w:rPr>
        <w:t xml:space="preserve"> </w:t>
      </w:r>
      <w:r>
        <w:rPr>
          <w:i/>
          <w:iCs/>
        </w:rPr>
        <w:t>International, de</w:t>
      </w:r>
      <w:r w:rsidRPr="00D23CD7">
        <w:rPr>
          <w:i/>
          <w:iCs/>
        </w:rPr>
        <w:t xml:space="preserve"> </w:t>
      </w:r>
      <w:r>
        <w:rPr>
          <w:i/>
          <w:iCs/>
        </w:rPr>
        <w:t>sciences</w:t>
      </w:r>
      <w:r w:rsidRPr="00D23CD7">
        <w:rPr>
          <w:i/>
          <w:iCs/>
        </w:rPr>
        <w:t xml:space="preserve"> </w:t>
      </w:r>
      <w:r>
        <w:rPr>
          <w:i/>
          <w:iCs/>
        </w:rPr>
        <w:t>diplomatiques</w:t>
      </w:r>
      <w:r w:rsidRPr="00D23CD7">
        <w:rPr>
          <w:i/>
          <w:iCs/>
        </w:rPr>
        <w:t xml:space="preserve"> </w:t>
      </w:r>
      <w:r>
        <w:rPr>
          <w:i/>
          <w:iCs/>
        </w:rPr>
        <w:t>et</w:t>
      </w:r>
      <w:r w:rsidRPr="00D23CD7">
        <w:rPr>
          <w:i/>
          <w:iCs/>
        </w:rPr>
        <w:t xml:space="preserve"> </w:t>
      </w:r>
      <w:r>
        <w:rPr>
          <w:i/>
          <w:iCs/>
        </w:rPr>
        <w:t xml:space="preserve">politiques, </w:t>
      </w:r>
      <w:r>
        <w:t>vol</w:t>
      </w:r>
      <w:r w:rsidRPr="00D23CD7">
        <w:t xml:space="preserve">. </w:t>
      </w:r>
      <w:r>
        <w:t>57(1979)</w:t>
      </w:r>
      <w:r>
        <w:t>，</w:t>
      </w:r>
      <w:r>
        <w:t>p</w:t>
      </w:r>
      <w:r w:rsidRPr="00D23CD7">
        <w:t xml:space="preserve">. </w:t>
      </w:r>
      <w:r>
        <w:t>81,</w:t>
      </w:r>
      <w:r w:rsidRPr="00D23CD7">
        <w:t xml:space="preserve"> </w:t>
      </w:r>
      <w:r>
        <w:t>at</w:t>
      </w:r>
      <w:r w:rsidRPr="00D23CD7">
        <w:t xml:space="preserve"> </w:t>
      </w:r>
      <w:r>
        <w:t>pp</w:t>
      </w:r>
      <w:r w:rsidRPr="00D23CD7">
        <w:t xml:space="preserve">. </w:t>
      </w:r>
      <w:r>
        <w:t>82</w:t>
      </w:r>
      <w:r w:rsidRPr="00D23CD7">
        <w:t>-</w:t>
      </w:r>
      <w:r>
        <w:t>83.</w:t>
      </w:r>
      <w:r w:rsidRPr="00D23CD7">
        <w:t xml:space="preserve"> </w:t>
      </w:r>
      <w:r>
        <w:t>Eagleton</w:t>
      </w:r>
      <w:r w:rsidRPr="00D23CD7">
        <w:rPr>
          <w:rFonts w:hint="eastAsia"/>
        </w:rPr>
        <w:t>甚至断言</w:t>
      </w:r>
      <w:r>
        <w:rPr>
          <w:rFonts w:hint="eastAsia"/>
        </w:rPr>
        <w:t>，</w:t>
      </w:r>
      <w:r w:rsidRPr="00D23CD7">
        <w:rPr>
          <w:rFonts w:hint="eastAsia"/>
        </w:rPr>
        <w:t>用尽当地救济的要求适用于联合国提出的所有主张</w:t>
      </w:r>
      <w:r>
        <w:rPr>
          <w:rFonts w:hint="eastAsia"/>
        </w:rPr>
        <w:t>，</w:t>
      </w:r>
      <w:r w:rsidRPr="00D23CD7">
        <w:rPr>
          <w:rFonts w:hint="eastAsia"/>
        </w:rPr>
        <w:t>即便</w:t>
      </w:r>
      <w:r>
        <w:rPr>
          <w:rFonts w:hint="eastAsia"/>
        </w:rPr>
        <w:t>“</w:t>
      </w:r>
      <w:r w:rsidRPr="00D23CD7">
        <w:rPr>
          <w:rFonts w:hint="eastAsia"/>
        </w:rPr>
        <w:t>在联合国声称自身受到一国损害时</w:t>
      </w:r>
      <w:r>
        <w:rPr>
          <w:rFonts w:hint="eastAsia"/>
        </w:rPr>
        <w:t>”</w:t>
      </w:r>
      <w:r w:rsidRPr="00D23CD7">
        <w:rPr>
          <w:rFonts w:hint="eastAsia"/>
        </w:rPr>
        <w:t>也是如此</w:t>
      </w:r>
      <w:r>
        <w:rPr>
          <w:rFonts w:hint="eastAsia"/>
        </w:rPr>
        <w:t>(</w:t>
      </w:r>
      <w:r w:rsidRPr="00D23CD7">
        <w:rPr>
          <w:rFonts w:hint="eastAsia"/>
        </w:rPr>
        <w:t>见第</w:t>
      </w:r>
      <w:r>
        <w:rPr>
          <w:rFonts w:hint="eastAsia"/>
        </w:rPr>
        <w:t>352</w:t>
      </w:r>
      <w:r w:rsidRPr="00D23CD7">
        <w:rPr>
          <w:rFonts w:hint="eastAsia"/>
        </w:rPr>
        <w:t>页</w:t>
      </w:r>
      <w:r>
        <w:rPr>
          <w:rFonts w:hint="eastAsia"/>
        </w:rPr>
        <w:t>)</w:t>
      </w:r>
      <w:r w:rsidRPr="00D23CD7">
        <w:rPr>
          <w:rFonts w:hint="eastAsia"/>
        </w:rPr>
        <w:t>。这源自一种错误的认识</w:t>
      </w:r>
      <w:r>
        <w:rPr>
          <w:rFonts w:hint="eastAsia"/>
        </w:rPr>
        <w:t>，</w:t>
      </w:r>
      <w:r w:rsidRPr="00D23CD7">
        <w:rPr>
          <w:rFonts w:hint="eastAsia"/>
        </w:rPr>
        <w:t>即用尽当地救济的要求不仅适用于一国为一国民行使外交保护的情况</w:t>
      </w:r>
      <w:r>
        <w:rPr>
          <w:rFonts w:hint="eastAsia"/>
        </w:rPr>
        <w:t>，</w:t>
      </w:r>
      <w:r w:rsidRPr="00D23CD7">
        <w:rPr>
          <w:rFonts w:hint="eastAsia"/>
        </w:rPr>
        <w:t>也适用于对一外国造成的直接伤害。</w:t>
      </w:r>
      <w:r>
        <w:t>Amerasinghe</w:t>
      </w:r>
      <w:r w:rsidRPr="00D23CD7">
        <w:rPr>
          <w:rFonts w:hint="eastAsia"/>
        </w:rPr>
        <w:t>正确地指出</w:t>
      </w:r>
      <w:r>
        <w:rPr>
          <w:rFonts w:hint="eastAsia"/>
        </w:rPr>
        <w:t>，</w:t>
      </w:r>
      <w:r w:rsidRPr="00D23CD7">
        <w:rPr>
          <w:rFonts w:hint="eastAsia"/>
        </w:rPr>
        <w:t>关于对国家造成的直接伤害</w:t>
      </w:r>
      <w:r>
        <w:rPr>
          <w:rFonts w:hint="eastAsia"/>
        </w:rPr>
        <w:t>，“</w:t>
      </w:r>
      <w:r w:rsidRPr="00D23CD7">
        <w:rPr>
          <w:rFonts w:hint="eastAsia"/>
        </w:rPr>
        <w:t>若已经给组织造成了直接伤害</w:t>
      </w:r>
      <w:r>
        <w:rPr>
          <w:rFonts w:hint="eastAsia"/>
        </w:rPr>
        <w:t>，</w:t>
      </w:r>
      <w:r w:rsidRPr="00D23CD7">
        <w:rPr>
          <w:rFonts w:hint="eastAsia"/>
        </w:rPr>
        <w:t>则</w:t>
      </w:r>
      <w:r>
        <w:rPr>
          <w:rFonts w:hint="eastAsia"/>
        </w:rPr>
        <w:t>[</w:t>
      </w:r>
      <w:r w:rsidRPr="00D23CD7">
        <w:rPr>
          <w:rFonts w:hint="eastAsia"/>
        </w:rPr>
        <w:t>用尽</w:t>
      </w:r>
      <w:r>
        <w:rPr>
          <w:rFonts w:hint="eastAsia"/>
        </w:rPr>
        <w:t>]</w:t>
      </w:r>
      <w:r w:rsidRPr="00D23CD7">
        <w:rPr>
          <w:rFonts w:hint="eastAsia"/>
        </w:rPr>
        <w:t>这一规则不适用</w:t>
      </w:r>
      <w:r>
        <w:rPr>
          <w:rFonts w:hint="eastAsia"/>
        </w:rPr>
        <w:t>”</w:t>
      </w:r>
      <w:r w:rsidRPr="00D23CD7">
        <w:rPr>
          <w:rFonts w:hint="eastAsia"/>
        </w:rPr>
        <w:t>。参见</w:t>
      </w:r>
      <w:r>
        <w:t xml:space="preserve">Amerasinghe, </w:t>
      </w:r>
      <w:r>
        <w:rPr>
          <w:i/>
          <w:iCs/>
        </w:rPr>
        <w:t>Principles</w:t>
      </w:r>
      <w:r w:rsidRPr="00D23CD7">
        <w:rPr>
          <w:i/>
          <w:iCs/>
        </w:rPr>
        <w:t xml:space="preserve"> </w:t>
      </w:r>
      <w:r>
        <w:rPr>
          <w:i/>
          <w:iCs/>
        </w:rPr>
        <w:t>of</w:t>
      </w:r>
      <w:r w:rsidRPr="00D23CD7">
        <w:rPr>
          <w:i/>
          <w:iCs/>
        </w:rPr>
        <w:t xml:space="preserve"> </w:t>
      </w:r>
      <w:r>
        <w:rPr>
          <w:i/>
          <w:iCs/>
        </w:rPr>
        <w:t>the</w:t>
      </w:r>
      <w:r w:rsidRPr="00D23CD7">
        <w:rPr>
          <w:i/>
          <w:iCs/>
        </w:rPr>
        <w:t xml:space="preserve"> </w:t>
      </w:r>
      <w:r>
        <w:rPr>
          <w:i/>
          <w:iCs/>
        </w:rPr>
        <w:t>Institutional</w:t>
      </w:r>
      <w:r w:rsidRPr="00D23CD7">
        <w:rPr>
          <w:i/>
          <w:iCs/>
        </w:rPr>
        <w:t xml:space="preserve"> </w:t>
      </w:r>
      <w:r>
        <w:rPr>
          <w:i/>
          <w:iCs/>
        </w:rPr>
        <w:t>Law</w:t>
      </w:r>
      <w:r w:rsidRPr="00D23CD7">
        <w:rPr>
          <w:i/>
          <w:iCs/>
        </w:rPr>
        <w:t xml:space="preserve"> </w:t>
      </w:r>
      <w:r>
        <w:rPr>
          <w:i/>
          <w:iCs/>
        </w:rPr>
        <w:t>of</w:t>
      </w:r>
      <w:r w:rsidRPr="00D23CD7">
        <w:rPr>
          <w:i/>
          <w:iCs/>
        </w:rPr>
        <w:t xml:space="preserve"> </w:t>
      </w:r>
      <w:r>
        <w:rPr>
          <w:i/>
          <w:iCs/>
        </w:rPr>
        <w:t>International</w:t>
      </w:r>
      <w:r w:rsidRPr="00D23CD7">
        <w:rPr>
          <w:i/>
          <w:iCs/>
        </w:rPr>
        <w:t xml:space="preserve"> </w:t>
      </w:r>
      <w:r>
        <w:rPr>
          <w:i/>
          <w:iCs/>
        </w:rPr>
        <w:t xml:space="preserve">Organizations, </w:t>
      </w:r>
      <w:r>
        <w:t>2nd</w:t>
      </w:r>
      <w:r w:rsidRPr="00D23CD7">
        <w:t xml:space="preserve"> </w:t>
      </w:r>
      <w:r>
        <w:t>edition(Cambridge:Cambridge</w:t>
      </w:r>
      <w:r w:rsidRPr="00D23CD7">
        <w:t xml:space="preserve"> </w:t>
      </w:r>
      <w:r>
        <w:t>University Press, 2005)</w:t>
      </w:r>
      <w:r>
        <w:t>，</w:t>
      </w:r>
      <w:r>
        <w:t>at p. 482</w:t>
      </w:r>
      <w:r>
        <w:rPr>
          <w:rFonts w:hint="eastAsia"/>
        </w:rPr>
        <w:t>。</w:t>
      </w:r>
    </w:p>
  </w:footnote>
  <w:footnote w:id="1525">
    <w:p w:rsidR="00AB00DE" w:rsidRPr="00D23CD7" w:rsidRDefault="00AB00DE" w:rsidP="001A5FC1">
      <w:pPr>
        <w:pStyle w:val="a4"/>
      </w:pPr>
      <w:r>
        <w:rPr>
          <w:rFonts w:hint="eastAsia"/>
          <w:sz w:val="22"/>
          <w:szCs w:val="22"/>
        </w:rPr>
        <w:tab/>
      </w:r>
      <w:r w:rsidRPr="008258F3">
        <w:rPr>
          <w:rStyle w:val="a5"/>
          <w:szCs w:val="22"/>
        </w:rPr>
        <w:footnoteRef/>
      </w:r>
      <w:r>
        <w:rPr>
          <w:rFonts w:hint="eastAsia"/>
          <w:sz w:val="22"/>
          <w:szCs w:val="22"/>
        </w:rPr>
        <w:tab/>
      </w:r>
      <w:r w:rsidRPr="00D23CD7">
        <w:rPr>
          <w:rFonts w:eastAsia="楷体" w:hint="eastAsia"/>
        </w:rPr>
        <w:t>马夫罗马蒂斯在巴勒斯坦的特许权案</w:t>
      </w:r>
      <w:r>
        <w:rPr>
          <w:rFonts w:eastAsia="楷体"/>
        </w:rPr>
        <w:t>(</w:t>
      </w:r>
      <w:r w:rsidRPr="00D23CD7">
        <w:rPr>
          <w:rFonts w:eastAsia="楷体" w:hint="eastAsia"/>
        </w:rPr>
        <w:t>希腊诉联合王国</w:t>
      </w:r>
      <w:r>
        <w:rPr>
          <w:rFonts w:eastAsia="楷体"/>
        </w:rPr>
        <w:t>)</w:t>
      </w:r>
      <w:r>
        <w:rPr>
          <w:rFonts w:hint="eastAsia"/>
        </w:rPr>
        <w:t>，</w:t>
      </w:r>
      <w:r w:rsidRPr="00D23CD7">
        <w:rPr>
          <w:rFonts w:hint="eastAsia"/>
        </w:rPr>
        <w:t>《</w:t>
      </w:r>
      <w:r>
        <w:t>1924</w:t>
      </w:r>
      <w:r w:rsidRPr="00D23CD7">
        <w:rPr>
          <w:rFonts w:hint="eastAsia"/>
        </w:rPr>
        <w:t>年常设国际法院案例汇编</w:t>
      </w:r>
      <w:r>
        <w:rPr>
          <w:rFonts w:hint="eastAsia"/>
        </w:rPr>
        <w:t>，</w:t>
      </w:r>
      <w:r>
        <w:rPr>
          <w:rFonts w:hint="eastAsia"/>
        </w:rPr>
        <w:t>A</w:t>
      </w:r>
      <w:r w:rsidRPr="00D23CD7">
        <w:rPr>
          <w:rFonts w:hint="eastAsia"/>
        </w:rPr>
        <w:t>辑</w:t>
      </w:r>
      <w:r>
        <w:rPr>
          <w:rFonts w:hint="eastAsia"/>
        </w:rPr>
        <w:t>，</w:t>
      </w:r>
      <w:r w:rsidRPr="00D23CD7">
        <w:rPr>
          <w:rFonts w:hint="eastAsia"/>
        </w:rPr>
        <w:t>第</w:t>
      </w:r>
      <w:r>
        <w:rPr>
          <w:rFonts w:hint="eastAsia"/>
        </w:rPr>
        <w:t>2</w:t>
      </w:r>
      <w:r w:rsidRPr="00D23CD7">
        <w:rPr>
          <w:rFonts w:hint="eastAsia"/>
        </w:rPr>
        <w:t>号》</w:t>
      </w:r>
      <w:r>
        <w:rPr>
          <w:rFonts w:hint="eastAsia"/>
        </w:rPr>
        <w:t>，</w:t>
      </w:r>
      <w:r w:rsidRPr="00D23CD7">
        <w:rPr>
          <w:rFonts w:hint="eastAsia"/>
        </w:rPr>
        <w:t>见第</w:t>
      </w:r>
      <w:r>
        <w:t>12</w:t>
      </w:r>
      <w:r w:rsidRPr="00D23CD7">
        <w:rPr>
          <w:rFonts w:hint="eastAsia"/>
        </w:rPr>
        <w:t>页。</w:t>
      </w:r>
    </w:p>
  </w:footnote>
  <w:footnote w:id="1526">
    <w:p w:rsidR="00AB00DE" w:rsidRPr="00D23CD7" w:rsidRDefault="00AB00DE" w:rsidP="001A5FC1">
      <w:pPr>
        <w:pStyle w:val="a4"/>
      </w:pPr>
      <w:r>
        <w:rPr>
          <w:rFonts w:hint="eastAsia"/>
          <w:sz w:val="22"/>
          <w:szCs w:val="22"/>
        </w:rPr>
        <w:tab/>
      </w:r>
      <w:r w:rsidRPr="008258F3">
        <w:rPr>
          <w:rStyle w:val="a5"/>
          <w:szCs w:val="22"/>
        </w:rPr>
        <w:footnoteRef/>
      </w:r>
      <w:r>
        <w:rPr>
          <w:rFonts w:hint="eastAsia"/>
          <w:sz w:val="22"/>
          <w:szCs w:val="22"/>
        </w:rPr>
        <w:tab/>
      </w:r>
      <w:r w:rsidRPr="00D23CD7">
        <w:rPr>
          <w:rFonts w:hint="eastAsia"/>
        </w:rPr>
        <w:t>见</w:t>
      </w:r>
      <w:r w:rsidRPr="00D23CD7">
        <w:rPr>
          <w:rFonts w:eastAsia="楷体" w:hint="eastAsia"/>
        </w:rPr>
        <w:t>执行联合国公务时所受损害的赔偿</w:t>
      </w:r>
      <w:r>
        <w:rPr>
          <w:rFonts w:eastAsia="楷体" w:hint="eastAsia"/>
        </w:rPr>
        <w:t>，</w:t>
      </w:r>
      <w:r w:rsidRPr="00D23CD7">
        <w:rPr>
          <w:rFonts w:hint="eastAsia"/>
        </w:rPr>
        <w:t>见第</w:t>
      </w:r>
      <w:r>
        <w:t>181</w:t>
      </w:r>
      <w:r w:rsidRPr="00D23CD7">
        <w:t>-</w:t>
      </w:r>
      <w:r>
        <w:t>184</w:t>
      </w:r>
      <w:r w:rsidRPr="00D23CD7">
        <w:rPr>
          <w:rFonts w:hint="eastAsia"/>
        </w:rPr>
        <w:t>页。</w:t>
      </w:r>
    </w:p>
  </w:footnote>
  <w:footnote w:id="1527">
    <w:p w:rsidR="00AB00DE" w:rsidRPr="006243DD" w:rsidRDefault="00AB00DE" w:rsidP="001A5FC1">
      <w:pPr>
        <w:pStyle w:val="a4"/>
        <w:rPr>
          <w:sz w:val="22"/>
          <w:szCs w:val="22"/>
        </w:rPr>
      </w:pPr>
      <w:r>
        <w:rPr>
          <w:rFonts w:hint="eastAsia"/>
          <w:sz w:val="22"/>
          <w:szCs w:val="22"/>
        </w:rPr>
        <w:tab/>
      </w:r>
      <w:r w:rsidRPr="008258F3">
        <w:rPr>
          <w:rStyle w:val="a5"/>
          <w:szCs w:val="22"/>
        </w:rPr>
        <w:footnoteRef/>
      </w:r>
      <w:r>
        <w:rPr>
          <w:rFonts w:hint="eastAsia"/>
          <w:sz w:val="22"/>
          <w:szCs w:val="22"/>
        </w:rPr>
        <w:tab/>
      </w:r>
      <w:r w:rsidRPr="00D23CD7">
        <w:rPr>
          <w:rFonts w:hint="eastAsia"/>
        </w:rPr>
        <w:t>参见外交保护条款草案</w:t>
      </w:r>
      <w:r>
        <w:rPr>
          <w:rFonts w:hint="eastAsia"/>
        </w:rPr>
        <w:t>，</w:t>
      </w:r>
      <w:r w:rsidRPr="00D23CD7">
        <w:rPr>
          <w:rFonts w:hint="eastAsia"/>
        </w:rPr>
        <w:t>第</w:t>
      </w:r>
      <w:r>
        <w:rPr>
          <w:rFonts w:hint="eastAsia"/>
        </w:rPr>
        <w:t>7</w:t>
      </w:r>
      <w:r w:rsidRPr="00D23CD7">
        <w:rPr>
          <w:rFonts w:hint="eastAsia"/>
        </w:rPr>
        <w:t>条</w:t>
      </w:r>
      <w:r>
        <w:t>(</w:t>
      </w:r>
      <w:r w:rsidRPr="00D23CD7">
        <w:rPr>
          <w:rFonts w:hint="eastAsia"/>
        </w:rPr>
        <w:t>见上文脚注</w:t>
      </w:r>
      <w:r>
        <w:t>34)</w:t>
      </w:r>
      <w:r>
        <w:rPr>
          <w:rFonts w:hint="eastAsia"/>
        </w:rPr>
        <w:t>：“</w:t>
      </w:r>
      <w:r w:rsidRPr="00D23CD7">
        <w:rPr>
          <w:rFonts w:hint="eastAsia"/>
        </w:rPr>
        <w:t>一国籍国不得为同属另一国国民的人针对另一国籍国行使外交保护</w:t>
      </w:r>
      <w:r>
        <w:rPr>
          <w:rFonts w:hint="eastAsia"/>
        </w:rPr>
        <w:t>，</w:t>
      </w:r>
      <w:r w:rsidRPr="00D23CD7">
        <w:rPr>
          <w:rFonts w:hint="eastAsia"/>
        </w:rPr>
        <w:t>除非在发生损害之日和正式提出求偿之日</w:t>
      </w:r>
      <w:r>
        <w:rPr>
          <w:rFonts w:hint="eastAsia"/>
        </w:rPr>
        <w:t>，</w:t>
      </w:r>
      <w:r w:rsidRPr="00D23CD7">
        <w:rPr>
          <w:rFonts w:hint="eastAsia"/>
        </w:rPr>
        <w:t>该国的国籍均为该人的主要国籍。</w:t>
      </w:r>
      <w:r>
        <w:rPr>
          <w:rFonts w:hint="eastAsia"/>
        </w:rPr>
        <w:t>”</w:t>
      </w:r>
    </w:p>
  </w:footnote>
  <w:footnote w:id="1528">
    <w:p w:rsidR="00AB00DE" w:rsidRPr="009449D1" w:rsidRDefault="00AB00DE" w:rsidP="001A5FC1">
      <w:pPr>
        <w:pStyle w:val="a4"/>
        <w:rPr>
          <w:sz w:val="22"/>
          <w:szCs w:val="22"/>
        </w:rPr>
      </w:pPr>
      <w:r>
        <w:rPr>
          <w:rFonts w:hint="eastAsia"/>
          <w:sz w:val="22"/>
          <w:szCs w:val="22"/>
        </w:rPr>
        <w:tab/>
      </w:r>
      <w:r w:rsidRPr="008258F3">
        <w:rPr>
          <w:rStyle w:val="a5"/>
          <w:szCs w:val="22"/>
        </w:rPr>
        <w:footnoteRef/>
      </w:r>
      <w:r>
        <w:rPr>
          <w:rFonts w:hint="eastAsia"/>
          <w:sz w:val="22"/>
          <w:szCs w:val="22"/>
        </w:rPr>
        <w:tab/>
      </w:r>
      <w:r w:rsidRPr="00D23CD7">
        <w:rPr>
          <w:rFonts w:hint="eastAsia"/>
        </w:rPr>
        <w:t>见</w:t>
      </w:r>
      <w:r>
        <w:t>Amerasinghe(</w:t>
      </w:r>
      <w:r w:rsidRPr="00D23CD7">
        <w:rPr>
          <w:rFonts w:hint="eastAsia"/>
        </w:rPr>
        <w:t>上文脚注</w:t>
      </w:r>
      <w:r>
        <w:t>36)</w:t>
      </w:r>
      <w:r>
        <w:rPr>
          <w:rFonts w:hint="eastAsia"/>
        </w:rPr>
        <w:t>，</w:t>
      </w:r>
      <w:r w:rsidRPr="00D23CD7">
        <w:rPr>
          <w:rFonts w:hint="eastAsia"/>
        </w:rPr>
        <w:t>见第</w:t>
      </w:r>
      <w:r>
        <w:t>487</w:t>
      </w:r>
      <w:r w:rsidRPr="00D23CD7">
        <w:t>-</w:t>
      </w:r>
      <w:r>
        <w:t>488</w:t>
      </w:r>
      <w:r w:rsidRPr="00D23CD7">
        <w:rPr>
          <w:rFonts w:hint="eastAsia"/>
        </w:rPr>
        <w:t>页。</w:t>
      </w:r>
    </w:p>
  </w:footnote>
  <w:footnote w:id="1529">
    <w:p w:rsidR="00AB00DE" w:rsidRPr="00D23CD7" w:rsidRDefault="00AB00DE" w:rsidP="001A5FC1">
      <w:pPr>
        <w:pStyle w:val="a4"/>
        <w:rPr>
          <w:iCs/>
        </w:rPr>
      </w:pPr>
      <w:r>
        <w:rPr>
          <w:rFonts w:hint="eastAsia"/>
          <w:sz w:val="22"/>
          <w:szCs w:val="22"/>
        </w:rPr>
        <w:tab/>
      </w:r>
      <w:r w:rsidRPr="008258F3">
        <w:rPr>
          <w:rStyle w:val="a5"/>
          <w:szCs w:val="22"/>
        </w:rPr>
        <w:footnoteRef/>
      </w:r>
      <w:r>
        <w:rPr>
          <w:rFonts w:hint="eastAsia"/>
          <w:sz w:val="22"/>
          <w:szCs w:val="22"/>
        </w:rPr>
        <w:tab/>
      </w:r>
      <w:r w:rsidRPr="00D23CD7">
        <w:rPr>
          <w:rFonts w:hint="eastAsia"/>
        </w:rPr>
        <w:t>见</w:t>
      </w:r>
      <w:r w:rsidRPr="00D23CD7">
        <w:rPr>
          <w:rFonts w:eastAsia="楷体" w:hint="eastAsia"/>
        </w:rPr>
        <w:t>关于人权委员会特别报告员诉讼程序豁免权的分歧</w:t>
      </w:r>
      <w:r>
        <w:rPr>
          <w:rFonts w:eastAsia="楷体" w:hint="eastAsia"/>
        </w:rPr>
        <w:t>，</w:t>
      </w:r>
      <w:r w:rsidRPr="00D23CD7">
        <w:rPr>
          <w:rFonts w:eastAsia="楷体" w:hint="eastAsia"/>
        </w:rPr>
        <w:t>咨询意见</w:t>
      </w:r>
      <w:r>
        <w:rPr>
          <w:iCs/>
        </w:rPr>
        <w:t>(</w:t>
      </w:r>
      <w:r w:rsidRPr="00D23CD7">
        <w:rPr>
          <w:rFonts w:hint="eastAsia"/>
          <w:iCs/>
        </w:rPr>
        <w:t>上文脚注</w:t>
      </w:r>
      <w:r>
        <w:rPr>
          <w:iCs/>
        </w:rPr>
        <w:t>16)</w:t>
      </w:r>
      <w:r>
        <w:rPr>
          <w:rFonts w:hint="eastAsia"/>
          <w:iCs/>
        </w:rPr>
        <w:t>；</w:t>
      </w:r>
      <w:r w:rsidRPr="00D23CD7">
        <w:rPr>
          <w:rFonts w:eastAsia="楷体" w:hint="eastAsia"/>
          <w:iCs/>
        </w:rPr>
        <w:t>《联合国特权及豁免公约》第六条第</w:t>
      </w:r>
      <w:r>
        <w:rPr>
          <w:rFonts w:eastAsia="楷体" w:hint="eastAsia"/>
          <w:iCs/>
        </w:rPr>
        <w:t>22</w:t>
      </w:r>
      <w:r w:rsidRPr="00D23CD7">
        <w:rPr>
          <w:rFonts w:eastAsia="楷体" w:hint="eastAsia"/>
          <w:iCs/>
        </w:rPr>
        <w:t>节的适用性</w:t>
      </w:r>
      <w:r>
        <w:rPr>
          <w:rFonts w:eastAsia="楷体" w:hint="eastAsia"/>
          <w:iCs/>
        </w:rPr>
        <w:t>，</w:t>
      </w:r>
      <w:r w:rsidRPr="00D23CD7">
        <w:rPr>
          <w:rFonts w:eastAsia="楷体" w:hint="eastAsia"/>
          <w:iCs/>
        </w:rPr>
        <w:t>咨询意见</w:t>
      </w:r>
      <w:r>
        <w:rPr>
          <w:rFonts w:eastAsia="楷体" w:hint="eastAsia"/>
          <w:iCs/>
        </w:rPr>
        <w:t>，</w:t>
      </w:r>
      <w:r w:rsidRPr="00D23CD7">
        <w:rPr>
          <w:rFonts w:hint="eastAsia"/>
          <w:iCs/>
        </w:rPr>
        <w:t>《</w:t>
      </w:r>
      <w:r>
        <w:rPr>
          <w:rFonts w:hint="eastAsia"/>
          <w:iCs/>
        </w:rPr>
        <w:t>1989</w:t>
      </w:r>
      <w:r w:rsidRPr="00D23CD7">
        <w:rPr>
          <w:rFonts w:hint="eastAsia"/>
          <w:iCs/>
        </w:rPr>
        <w:t>年国际法院</w:t>
      </w:r>
      <w:r>
        <w:rPr>
          <w:rFonts w:eastAsiaTheme="minorEastAsia" w:hint="eastAsia"/>
          <w:iCs/>
        </w:rPr>
        <w:t>案例汇编</w:t>
      </w:r>
      <w:r w:rsidRPr="00D23CD7">
        <w:rPr>
          <w:rFonts w:hint="eastAsia"/>
          <w:iCs/>
        </w:rPr>
        <w:t>》</w:t>
      </w:r>
      <w:r>
        <w:rPr>
          <w:rFonts w:hint="eastAsia"/>
          <w:iCs/>
        </w:rPr>
        <w:t>，</w:t>
      </w:r>
      <w:r w:rsidRPr="00D23CD7">
        <w:rPr>
          <w:rFonts w:hint="eastAsia"/>
          <w:iCs/>
        </w:rPr>
        <w:t>第</w:t>
      </w:r>
      <w:r>
        <w:rPr>
          <w:iCs/>
        </w:rPr>
        <w:t>177</w:t>
      </w:r>
      <w:r w:rsidRPr="00D23CD7">
        <w:rPr>
          <w:rFonts w:hint="eastAsia"/>
          <w:iCs/>
        </w:rPr>
        <w:t>页。</w:t>
      </w:r>
    </w:p>
  </w:footnote>
  <w:footnote w:id="1530">
    <w:p w:rsidR="00AB00DE" w:rsidRPr="00D23CD7" w:rsidRDefault="00AB00DE" w:rsidP="001A5FC1">
      <w:pPr>
        <w:pStyle w:val="a4"/>
        <w:rPr>
          <w:lang w:val="fr-CH"/>
        </w:rPr>
      </w:pPr>
      <w:r>
        <w:rPr>
          <w:rFonts w:hint="eastAsia"/>
          <w:sz w:val="22"/>
          <w:szCs w:val="22"/>
          <w:lang w:val="fr-FR"/>
        </w:rPr>
        <w:tab/>
      </w:r>
      <w:r w:rsidRPr="008258F3">
        <w:rPr>
          <w:rStyle w:val="a5"/>
          <w:szCs w:val="22"/>
        </w:rPr>
        <w:footnoteRef/>
      </w:r>
      <w:r>
        <w:rPr>
          <w:rFonts w:hint="eastAsia"/>
          <w:sz w:val="22"/>
          <w:szCs w:val="22"/>
          <w:lang w:val="fr-FR"/>
        </w:rPr>
        <w:tab/>
      </w:r>
      <w:r>
        <w:rPr>
          <w:lang w:val="fr-FR"/>
        </w:rPr>
        <w:t>Jean</w:t>
      </w:r>
      <w:r w:rsidRPr="00D23CD7">
        <w:rPr>
          <w:lang w:val="fr-FR"/>
        </w:rPr>
        <w:t>-</w:t>
      </w:r>
      <w:r>
        <w:rPr>
          <w:lang w:val="fr-FR"/>
        </w:rPr>
        <w:t>Pierre</w:t>
      </w:r>
      <w:r w:rsidRPr="00D23CD7">
        <w:rPr>
          <w:lang w:val="fr-FR"/>
        </w:rPr>
        <w:t xml:space="preserve"> </w:t>
      </w:r>
      <w:r>
        <w:rPr>
          <w:lang w:val="fr-FR"/>
        </w:rPr>
        <w:t xml:space="preserve">Ritter, </w:t>
      </w:r>
      <w:r w:rsidRPr="00D23CD7">
        <w:rPr>
          <w:lang w:val="fr-FR"/>
        </w:rPr>
        <w:t>‘</w:t>
      </w:r>
      <w:r>
        <w:rPr>
          <w:lang w:val="fr-FR"/>
        </w:rPr>
        <w:t>La</w:t>
      </w:r>
      <w:r w:rsidRPr="00D23CD7">
        <w:rPr>
          <w:lang w:val="fr-FR"/>
        </w:rPr>
        <w:t xml:space="preserve"> </w:t>
      </w:r>
      <w:r>
        <w:rPr>
          <w:lang w:val="fr-FR"/>
        </w:rPr>
        <w:t>protection</w:t>
      </w:r>
      <w:r w:rsidRPr="00D23CD7">
        <w:rPr>
          <w:lang w:val="fr-FR"/>
        </w:rPr>
        <w:t xml:space="preserve"> </w:t>
      </w:r>
      <w:r>
        <w:rPr>
          <w:lang w:val="fr-FR"/>
        </w:rPr>
        <w:t>diplomatique</w:t>
      </w:r>
      <w:r w:rsidRPr="00D23CD7">
        <w:rPr>
          <w:lang w:val="fr-FR"/>
        </w:rPr>
        <w:t xml:space="preserve"> à </w:t>
      </w:r>
      <w:r>
        <w:rPr>
          <w:lang w:val="fr-FR"/>
        </w:rPr>
        <w:t>l</w:t>
      </w:r>
      <w:r w:rsidRPr="00D23CD7">
        <w:rPr>
          <w:lang w:val="fr-FR"/>
        </w:rPr>
        <w:t>’é</w:t>
      </w:r>
      <w:r>
        <w:rPr>
          <w:lang w:val="fr-FR"/>
        </w:rPr>
        <w:t>gard</w:t>
      </w:r>
      <w:r w:rsidRPr="00D23CD7">
        <w:rPr>
          <w:lang w:val="fr-FR"/>
        </w:rPr>
        <w:t xml:space="preserve"> </w:t>
      </w:r>
      <w:r>
        <w:rPr>
          <w:lang w:val="fr-FR"/>
        </w:rPr>
        <w:t>d</w:t>
      </w:r>
      <w:r w:rsidRPr="00D23CD7">
        <w:rPr>
          <w:lang w:val="fr-FR"/>
        </w:rPr>
        <w:t>’</w:t>
      </w:r>
      <w:r>
        <w:rPr>
          <w:lang w:val="fr-FR"/>
        </w:rPr>
        <w:t>une</w:t>
      </w:r>
      <w:r w:rsidRPr="00D23CD7">
        <w:rPr>
          <w:lang w:val="fr-FR"/>
        </w:rPr>
        <w:t xml:space="preserve"> </w:t>
      </w:r>
      <w:r>
        <w:rPr>
          <w:lang w:val="fr-FR"/>
        </w:rPr>
        <w:t>organisation</w:t>
      </w:r>
      <w:r w:rsidRPr="00D23CD7">
        <w:rPr>
          <w:lang w:val="fr-FR"/>
        </w:rPr>
        <w:t xml:space="preserve"> </w:t>
      </w:r>
      <w:r>
        <w:rPr>
          <w:lang w:val="fr-FR"/>
        </w:rPr>
        <w:t>internationale</w:t>
      </w:r>
      <w:r w:rsidRPr="00D23CD7">
        <w:rPr>
          <w:lang w:val="fr-FR"/>
        </w:rPr>
        <w:t>’</w:t>
      </w:r>
      <w:r>
        <w:rPr>
          <w:lang w:val="fr-FR"/>
        </w:rPr>
        <w:t>，</w:t>
      </w:r>
      <w:r w:rsidRPr="00D23CD7">
        <w:rPr>
          <w:lang w:val="fr-FR"/>
        </w:rPr>
        <w:t xml:space="preserve"> </w:t>
      </w:r>
      <w:r>
        <w:rPr>
          <w:lang w:val="fr-FR"/>
        </w:rPr>
        <w:t>in</w:t>
      </w:r>
      <w:r w:rsidRPr="00D23CD7">
        <w:rPr>
          <w:lang w:val="fr-FR"/>
        </w:rPr>
        <w:t xml:space="preserve"> </w:t>
      </w:r>
      <w:r>
        <w:rPr>
          <w:i/>
          <w:iCs/>
          <w:lang w:val="fr-FR"/>
        </w:rPr>
        <w:t>Annuaire</w:t>
      </w:r>
      <w:r w:rsidRPr="00D23CD7">
        <w:rPr>
          <w:i/>
          <w:iCs/>
          <w:lang w:val="fr-FR"/>
        </w:rPr>
        <w:t xml:space="preserve"> </w:t>
      </w:r>
      <w:r>
        <w:rPr>
          <w:i/>
          <w:iCs/>
          <w:lang w:val="fr-FR"/>
        </w:rPr>
        <w:t>fran</w:t>
      </w:r>
      <w:r w:rsidRPr="00D23CD7">
        <w:rPr>
          <w:i/>
          <w:iCs/>
          <w:lang w:val="fr-FR"/>
        </w:rPr>
        <w:t>ç</w:t>
      </w:r>
      <w:r>
        <w:rPr>
          <w:i/>
          <w:iCs/>
          <w:lang w:val="fr-FR"/>
        </w:rPr>
        <w:t>ais</w:t>
      </w:r>
      <w:r w:rsidRPr="00D23CD7">
        <w:rPr>
          <w:i/>
          <w:iCs/>
          <w:lang w:val="fr-FR"/>
        </w:rPr>
        <w:t xml:space="preserve"> </w:t>
      </w:r>
      <w:r>
        <w:rPr>
          <w:i/>
          <w:iCs/>
          <w:lang w:val="fr-FR"/>
        </w:rPr>
        <w:t>de</w:t>
      </w:r>
      <w:r w:rsidRPr="00D23CD7">
        <w:rPr>
          <w:i/>
          <w:iCs/>
          <w:lang w:val="fr-FR"/>
        </w:rPr>
        <w:t xml:space="preserve"> </w:t>
      </w:r>
      <w:r>
        <w:rPr>
          <w:i/>
          <w:iCs/>
          <w:lang w:val="fr-FR"/>
        </w:rPr>
        <w:t>droit</w:t>
      </w:r>
      <w:r w:rsidRPr="00D23CD7">
        <w:rPr>
          <w:i/>
          <w:iCs/>
          <w:lang w:val="fr-FR"/>
        </w:rPr>
        <w:t xml:space="preserve"> </w:t>
      </w:r>
      <w:r>
        <w:rPr>
          <w:i/>
          <w:iCs/>
          <w:lang w:val="fr-FR"/>
        </w:rPr>
        <w:t xml:space="preserve">international, </w:t>
      </w:r>
      <w:r>
        <w:rPr>
          <w:lang w:val="fr-FR"/>
        </w:rPr>
        <w:t>vol</w:t>
      </w:r>
      <w:r w:rsidRPr="00D23CD7">
        <w:rPr>
          <w:lang w:val="fr-FR"/>
        </w:rPr>
        <w:t xml:space="preserve">. </w:t>
      </w:r>
      <w:r>
        <w:rPr>
          <w:lang w:val="fr-FR"/>
        </w:rPr>
        <w:t>8(1962)</w:t>
      </w:r>
      <w:r>
        <w:rPr>
          <w:lang w:val="fr-FR"/>
        </w:rPr>
        <w:t>，</w:t>
      </w:r>
      <w:r w:rsidRPr="00D23CD7">
        <w:rPr>
          <w:lang w:val="fr-FR"/>
        </w:rPr>
        <w:t xml:space="preserve"> </w:t>
      </w:r>
      <w:r>
        <w:rPr>
          <w:lang w:val="fr-FR"/>
        </w:rPr>
        <w:t>p</w:t>
      </w:r>
      <w:r w:rsidRPr="00D23CD7">
        <w:rPr>
          <w:lang w:val="fr-FR"/>
        </w:rPr>
        <w:t>.</w:t>
      </w:r>
      <w:r w:rsidRPr="00D23CD7">
        <w:rPr>
          <w:i/>
          <w:iCs/>
          <w:lang w:val="fr-FR"/>
        </w:rPr>
        <w:t xml:space="preserve"> </w:t>
      </w:r>
      <w:r>
        <w:rPr>
          <w:lang w:val="fr-FR"/>
        </w:rPr>
        <w:t>427, at p. 454</w:t>
      </w:r>
      <w:r>
        <w:rPr>
          <w:rFonts w:hint="eastAsia"/>
          <w:lang w:val="fr-FR"/>
        </w:rPr>
        <w:t>。</w:t>
      </w:r>
    </w:p>
  </w:footnote>
  <w:footnote w:id="1531">
    <w:p w:rsidR="00AB00DE" w:rsidRPr="00D23CD7" w:rsidRDefault="00AB00DE" w:rsidP="001A5FC1">
      <w:pPr>
        <w:pStyle w:val="a4"/>
        <w:rPr>
          <w:lang w:val="fr-CH"/>
        </w:rPr>
      </w:pPr>
      <w:r>
        <w:rPr>
          <w:rFonts w:hint="eastAsia"/>
          <w:sz w:val="22"/>
          <w:szCs w:val="22"/>
          <w:lang w:val="fr-FR"/>
        </w:rPr>
        <w:tab/>
      </w:r>
      <w:r w:rsidRPr="008258F3">
        <w:rPr>
          <w:rStyle w:val="a5"/>
          <w:szCs w:val="22"/>
        </w:rPr>
        <w:footnoteRef/>
      </w:r>
      <w:r>
        <w:rPr>
          <w:rFonts w:hint="eastAsia"/>
          <w:sz w:val="22"/>
          <w:szCs w:val="22"/>
          <w:lang w:val="fr-FR"/>
        </w:rPr>
        <w:tab/>
      </w:r>
      <w:r>
        <w:rPr>
          <w:lang w:val="fr-FR"/>
        </w:rPr>
        <w:t>Institut</w:t>
      </w:r>
      <w:r w:rsidRPr="00D23CD7">
        <w:rPr>
          <w:lang w:val="fr-FR"/>
        </w:rPr>
        <w:t xml:space="preserve"> </w:t>
      </w:r>
      <w:r>
        <w:rPr>
          <w:lang w:val="fr-FR"/>
        </w:rPr>
        <w:t>de</w:t>
      </w:r>
      <w:r w:rsidRPr="00D23CD7">
        <w:rPr>
          <w:lang w:val="fr-FR"/>
        </w:rPr>
        <w:t xml:space="preserve"> </w:t>
      </w:r>
      <w:r>
        <w:rPr>
          <w:lang w:val="fr-FR"/>
        </w:rPr>
        <w:t>Droit</w:t>
      </w:r>
      <w:r w:rsidRPr="00D23CD7">
        <w:rPr>
          <w:lang w:val="fr-FR"/>
        </w:rPr>
        <w:t xml:space="preserve"> </w:t>
      </w:r>
      <w:r>
        <w:rPr>
          <w:lang w:val="fr-FR"/>
        </w:rPr>
        <w:t>international(de</w:t>
      </w:r>
      <w:r w:rsidRPr="00D23CD7">
        <w:rPr>
          <w:lang w:val="fr-FR"/>
        </w:rPr>
        <w:t xml:space="preserve"> </w:t>
      </w:r>
      <w:r>
        <w:rPr>
          <w:lang w:val="fr-FR"/>
        </w:rPr>
        <w:t>Vischer, rapporteur)</w:t>
      </w:r>
      <w:r>
        <w:rPr>
          <w:lang w:val="fr-FR"/>
        </w:rPr>
        <w:t>，</w:t>
      </w:r>
      <w:r>
        <w:rPr>
          <w:i/>
          <w:iCs/>
          <w:lang w:val="fr-FR"/>
        </w:rPr>
        <w:t>Les</w:t>
      </w:r>
      <w:r w:rsidRPr="00D23CD7">
        <w:rPr>
          <w:i/>
          <w:iCs/>
          <w:lang w:val="fr-FR"/>
        </w:rPr>
        <w:t xml:space="preserve"> </w:t>
      </w:r>
      <w:r>
        <w:rPr>
          <w:i/>
          <w:iCs/>
          <w:lang w:val="fr-FR"/>
        </w:rPr>
        <w:t>conditions</w:t>
      </w:r>
      <w:r w:rsidRPr="00D23CD7">
        <w:rPr>
          <w:i/>
          <w:iCs/>
          <w:lang w:val="fr-FR"/>
        </w:rPr>
        <w:t xml:space="preserve"> </w:t>
      </w:r>
      <w:r>
        <w:rPr>
          <w:i/>
          <w:iCs/>
          <w:lang w:val="fr-FR"/>
        </w:rPr>
        <w:t>d</w:t>
      </w:r>
      <w:r w:rsidRPr="00D23CD7">
        <w:rPr>
          <w:i/>
          <w:iCs/>
          <w:lang w:val="fr-FR"/>
        </w:rPr>
        <w:t>'</w:t>
      </w:r>
      <w:r>
        <w:rPr>
          <w:i/>
          <w:iCs/>
          <w:lang w:val="fr-FR"/>
        </w:rPr>
        <w:t>application</w:t>
      </w:r>
      <w:r w:rsidRPr="00D23CD7">
        <w:rPr>
          <w:i/>
          <w:iCs/>
          <w:lang w:val="fr-FR"/>
        </w:rPr>
        <w:t xml:space="preserve"> </w:t>
      </w:r>
      <w:r>
        <w:rPr>
          <w:i/>
          <w:iCs/>
          <w:lang w:val="fr-FR"/>
        </w:rPr>
        <w:t>des</w:t>
      </w:r>
      <w:r w:rsidRPr="00D23CD7">
        <w:rPr>
          <w:i/>
          <w:iCs/>
          <w:lang w:val="fr-FR"/>
        </w:rPr>
        <w:t xml:space="preserve"> </w:t>
      </w:r>
      <w:r>
        <w:rPr>
          <w:i/>
          <w:iCs/>
          <w:lang w:val="fr-FR"/>
        </w:rPr>
        <w:t>r</w:t>
      </w:r>
      <w:r w:rsidRPr="00D23CD7">
        <w:rPr>
          <w:i/>
          <w:iCs/>
          <w:lang w:val="fr-FR"/>
        </w:rPr>
        <w:t>è</w:t>
      </w:r>
      <w:r>
        <w:rPr>
          <w:i/>
          <w:iCs/>
          <w:lang w:val="fr-FR"/>
        </w:rPr>
        <w:t>gles</w:t>
      </w:r>
      <w:r w:rsidRPr="00D23CD7">
        <w:rPr>
          <w:i/>
          <w:iCs/>
          <w:lang w:val="fr-FR"/>
        </w:rPr>
        <w:t xml:space="preserve"> </w:t>
      </w:r>
      <w:r>
        <w:rPr>
          <w:i/>
          <w:iCs/>
          <w:lang w:val="fr-FR"/>
        </w:rPr>
        <w:t>humanitaires</w:t>
      </w:r>
      <w:r w:rsidRPr="00D23CD7">
        <w:rPr>
          <w:i/>
          <w:iCs/>
          <w:lang w:val="fr-FR"/>
        </w:rPr>
        <w:t xml:space="preserve"> </w:t>
      </w:r>
      <w:r>
        <w:rPr>
          <w:i/>
          <w:iCs/>
          <w:lang w:val="fr-FR"/>
        </w:rPr>
        <w:t>relatives</w:t>
      </w:r>
      <w:r w:rsidRPr="00D23CD7">
        <w:rPr>
          <w:i/>
          <w:iCs/>
          <w:lang w:val="fr-FR"/>
        </w:rPr>
        <w:t xml:space="preserve"> </w:t>
      </w:r>
      <w:r>
        <w:rPr>
          <w:i/>
          <w:iCs/>
          <w:lang w:val="fr-FR"/>
        </w:rPr>
        <w:t>aux</w:t>
      </w:r>
      <w:r w:rsidRPr="00D23CD7">
        <w:rPr>
          <w:i/>
          <w:iCs/>
          <w:lang w:val="fr-FR"/>
        </w:rPr>
        <w:t xml:space="preserve"> </w:t>
      </w:r>
      <w:r>
        <w:rPr>
          <w:i/>
          <w:iCs/>
          <w:lang w:val="fr-FR"/>
        </w:rPr>
        <w:t>conflits</w:t>
      </w:r>
      <w:r w:rsidRPr="00D23CD7">
        <w:rPr>
          <w:i/>
          <w:iCs/>
          <w:lang w:val="fr-FR"/>
        </w:rPr>
        <w:t xml:space="preserve"> </w:t>
      </w:r>
      <w:r>
        <w:rPr>
          <w:i/>
          <w:iCs/>
          <w:lang w:val="fr-FR"/>
        </w:rPr>
        <w:t>arm</w:t>
      </w:r>
      <w:r w:rsidRPr="00D23CD7">
        <w:rPr>
          <w:i/>
          <w:iCs/>
          <w:lang w:val="fr-FR"/>
        </w:rPr>
        <w:t>é</w:t>
      </w:r>
      <w:r>
        <w:rPr>
          <w:i/>
          <w:iCs/>
          <w:lang w:val="fr-FR"/>
        </w:rPr>
        <w:t>s</w:t>
      </w:r>
      <w:r w:rsidRPr="00D23CD7">
        <w:rPr>
          <w:i/>
          <w:iCs/>
          <w:lang w:val="fr-FR"/>
        </w:rPr>
        <w:t xml:space="preserve"> </w:t>
      </w:r>
      <w:r>
        <w:rPr>
          <w:i/>
          <w:iCs/>
          <w:lang w:val="fr-FR"/>
        </w:rPr>
        <w:t>aux</w:t>
      </w:r>
      <w:r w:rsidRPr="00D23CD7">
        <w:rPr>
          <w:i/>
          <w:iCs/>
          <w:lang w:val="fr-FR"/>
        </w:rPr>
        <w:t xml:space="preserve"> </w:t>
      </w:r>
      <w:r>
        <w:rPr>
          <w:i/>
          <w:iCs/>
          <w:lang w:val="fr-FR"/>
        </w:rPr>
        <w:t>hostilit</w:t>
      </w:r>
      <w:r w:rsidRPr="00D23CD7">
        <w:rPr>
          <w:i/>
          <w:iCs/>
          <w:lang w:val="fr-FR"/>
        </w:rPr>
        <w:t>é</w:t>
      </w:r>
      <w:r>
        <w:rPr>
          <w:i/>
          <w:iCs/>
          <w:lang w:val="fr-FR"/>
        </w:rPr>
        <w:t>s</w:t>
      </w:r>
      <w:r w:rsidRPr="00D23CD7">
        <w:rPr>
          <w:i/>
          <w:iCs/>
          <w:lang w:val="fr-FR"/>
        </w:rPr>
        <w:t xml:space="preserve"> </w:t>
      </w:r>
      <w:r>
        <w:rPr>
          <w:i/>
          <w:iCs/>
          <w:lang w:val="fr-FR"/>
        </w:rPr>
        <w:t>dans</w:t>
      </w:r>
      <w:r w:rsidRPr="00D23CD7">
        <w:rPr>
          <w:i/>
          <w:iCs/>
          <w:lang w:val="fr-FR"/>
        </w:rPr>
        <w:t xml:space="preserve"> </w:t>
      </w:r>
      <w:r>
        <w:rPr>
          <w:i/>
          <w:iCs/>
          <w:lang w:val="fr-FR"/>
        </w:rPr>
        <w:t>lesquelles</w:t>
      </w:r>
      <w:r w:rsidRPr="00D23CD7">
        <w:rPr>
          <w:i/>
          <w:iCs/>
          <w:lang w:val="fr-FR"/>
        </w:rPr>
        <w:t xml:space="preserve"> </w:t>
      </w:r>
      <w:r>
        <w:rPr>
          <w:i/>
          <w:iCs/>
          <w:lang w:val="fr-FR"/>
        </w:rPr>
        <w:t>les</w:t>
      </w:r>
      <w:r w:rsidRPr="00D23CD7">
        <w:rPr>
          <w:i/>
          <w:iCs/>
          <w:lang w:val="fr-FR"/>
        </w:rPr>
        <w:t xml:space="preserve"> </w:t>
      </w:r>
      <w:r>
        <w:rPr>
          <w:i/>
          <w:iCs/>
          <w:lang w:val="fr-FR"/>
        </w:rPr>
        <w:t>Forces</w:t>
      </w:r>
      <w:r w:rsidRPr="00D23CD7">
        <w:rPr>
          <w:i/>
          <w:iCs/>
          <w:lang w:val="fr-FR"/>
        </w:rPr>
        <w:t xml:space="preserve"> </w:t>
      </w:r>
      <w:r>
        <w:rPr>
          <w:i/>
          <w:iCs/>
          <w:lang w:val="fr-FR"/>
        </w:rPr>
        <w:t>des</w:t>
      </w:r>
      <w:r w:rsidRPr="00D23CD7">
        <w:rPr>
          <w:i/>
          <w:iCs/>
          <w:lang w:val="fr-FR"/>
        </w:rPr>
        <w:t xml:space="preserve"> </w:t>
      </w:r>
      <w:r>
        <w:rPr>
          <w:i/>
          <w:iCs/>
          <w:lang w:val="fr-FR"/>
        </w:rPr>
        <w:t>Nations</w:t>
      </w:r>
      <w:r w:rsidRPr="00D23CD7">
        <w:rPr>
          <w:i/>
          <w:iCs/>
          <w:lang w:val="fr-FR"/>
        </w:rPr>
        <w:t xml:space="preserve"> </w:t>
      </w:r>
      <w:r>
        <w:rPr>
          <w:i/>
          <w:iCs/>
          <w:lang w:val="fr-FR"/>
        </w:rPr>
        <w:t>Unies</w:t>
      </w:r>
      <w:r w:rsidRPr="00D23CD7">
        <w:rPr>
          <w:i/>
          <w:iCs/>
          <w:lang w:val="fr-FR"/>
        </w:rPr>
        <w:t xml:space="preserve"> </w:t>
      </w:r>
      <w:r>
        <w:rPr>
          <w:i/>
          <w:iCs/>
          <w:lang w:val="fr-FR"/>
        </w:rPr>
        <w:t>peuvent</w:t>
      </w:r>
      <w:r w:rsidRPr="00D23CD7">
        <w:rPr>
          <w:i/>
          <w:iCs/>
          <w:lang w:val="fr-FR"/>
        </w:rPr>
        <w:t xml:space="preserve"> ê</w:t>
      </w:r>
      <w:r>
        <w:rPr>
          <w:i/>
          <w:iCs/>
          <w:lang w:val="fr-FR"/>
        </w:rPr>
        <w:t>tre</w:t>
      </w:r>
      <w:r w:rsidRPr="00D23CD7">
        <w:rPr>
          <w:i/>
          <w:iCs/>
          <w:lang w:val="fr-FR"/>
        </w:rPr>
        <w:t xml:space="preserve"> </w:t>
      </w:r>
      <w:r>
        <w:rPr>
          <w:i/>
          <w:iCs/>
          <w:lang w:val="fr-FR"/>
        </w:rPr>
        <w:t>engag</w:t>
      </w:r>
      <w:r w:rsidRPr="00D23CD7">
        <w:rPr>
          <w:i/>
          <w:iCs/>
          <w:lang w:val="fr-FR"/>
        </w:rPr>
        <w:t>é</w:t>
      </w:r>
      <w:r>
        <w:rPr>
          <w:i/>
          <w:iCs/>
          <w:lang w:val="fr-FR"/>
        </w:rPr>
        <w:t>es</w:t>
      </w:r>
      <w:r>
        <w:rPr>
          <w:lang w:val="fr-FR"/>
        </w:rPr>
        <w:t>(1971)</w:t>
      </w:r>
      <w:r>
        <w:rPr>
          <w:lang w:val="fr-FR"/>
        </w:rPr>
        <w:t>，</w:t>
      </w:r>
      <w:r>
        <w:rPr>
          <w:lang w:val="fr-FR"/>
        </w:rPr>
        <w:t>Art</w:t>
      </w:r>
      <w:r w:rsidRPr="00D23CD7">
        <w:rPr>
          <w:lang w:val="fr-FR"/>
        </w:rPr>
        <w:t xml:space="preserve">. </w:t>
      </w:r>
      <w:r>
        <w:rPr>
          <w:lang w:val="fr-FR"/>
        </w:rPr>
        <w:t>8:</w:t>
      </w:r>
      <w:r>
        <w:rPr>
          <w:rFonts w:hint="eastAsia"/>
          <w:lang w:val="fr-FR"/>
        </w:rPr>
        <w:t>“</w:t>
      </w:r>
      <w:r>
        <w:rPr>
          <w:lang w:val="fr-FR"/>
        </w:rPr>
        <w:t>Il</w:t>
      </w:r>
      <w:r w:rsidRPr="00D23CD7">
        <w:rPr>
          <w:lang w:val="fr-FR"/>
        </w:rPr>
        <w:t xml:space="preserve"> </w:t>
      </w:r>
      <w:r>
        <w:rPr>
          <w:lang w:val="fr-FR"/>
        </w:rPr>
        <w:t>est</w:t>
      </w:r>
      <w:r w:rsidRPr="00D23CD7">
        <w:rPr>
          <w:lang w:val="fr-FR"/>
        </w:rPr>
        <w:t xml:space="preserve"> é</w:t>
      </w:r>
      <w:r>
        <w:rPr>
          <w:lang w:val="fr-FR"/>
        </w:rPr>
        <w:t>galement</w:t>
      </w:r>
      <w:r w:rsidRPr="00D23CD7">
        <w:rPr>
          <w:lang w:val="fr-FR"/>
        </w:rPr>
        <w:t xml:space="preserve"> </w:t>
      </w:r>
      <w:r>
        <w:rPr>
          <w:lang w:val="fr-FR"/>
        </w:rPr>
        <w:t>souhaitable</w:t>
      </w:r>
      <w:r w:rsidRPr="00D23CD7">
        <w:rPr>
          <w:lang w:val="fr-FR"/>
        </w:rPr>
        <w:t xml:space="preserve"> </w:t>
      </w:r>
      <w:r>
        <w:rPr>
          <w:lang w:val="fr-FR"/>
        </w:rPr>
        <w:t>que</w:t>
      </w:r>
      <w:r w:rsidRPr="00D23CD7">
        <w:rPr>
          <w:lang w:val="fr-FR"/>
        </w:rPr>
        <w:t xml:space="preserve"> </w:t>
      </w:r>
      <w:r>
        <w:rPr>
          <w:lang w:val="fr-FR"/>
        </w:rPr>
        <w:t>si</w:t>
      </w:r>
      <w:r w:rsidRPr="00D23CD7">
        <w:rPr>
          <w:lang w:val="fr-FR"/>
        </w:rPr>
        <w:t xml:space="preserve"> </w:t>
      </w:r>
      <w:r>
        <w:rPr>
          <w:lang w:val="fr-FR"/>
        </w:rPr>
        <w:t>de</w:t>
      </w:r>
      <w:r w:rsidRPr="00D23CD7">
        <w:rPr>
          <w:lang w:val="fr-FR"/>
        </w:rPr>
        <w:t xml:space="preserve"> </w:t>
      </w:r>
      <w:r>
        <w:rPr>
          <w:lang w:val="fr-FR"/>
        </w:rPr>
        <w:t>tels</w:t>
      </w:r>
      <w:r w:rsidRPr="00D23CD7">
        <w:rPr>
          <w:lang w:val="fr-FR"/>
        </w:rPr>
        <w:t xml:space="preserve"> </w:t>
      </w:r>
      <w:r>
        <w:rPr>
          <w:lang w:val="fr-FR"/>
        </w:rPr>
        <w:t>organismes</w:t>
      </w:r>
      <w:r w:rsidRPr="00D23CD7">
        <w:rPr>
          <w:lang w:val="fr-FR"/>
        </w:rPr>
        <w:t xml:space="preserve"> </w:t>
      </w:r>
      <w:r>
        <w:rPr>
          <w:lang w:val="fr-FR"/>
        </w:rPr>
        <w:t>ont</w:t>
      </w:r>
      <w:r w:rsidRPr="00D23CD7">
        <w:rPr>
          <w:lang w:val="fr-FR"/>
        </w:rPr>
        <w:t xml:space="preserve"> é</w:t>
      </w:r>
      <w:r>
        <w:rPr>
          <w:lang w:val="fr-FR"/>
        </w:rPr>
        <w:t>t</w:t>
      </w:r>
      <w:r w:rsidRPr="00D23CD7">
        <w:rPr>
          <w:lang w:val="fr-FR"/>
        </w:rPr>
        <w:t xml:space="preserve">é </w:t>
      </w:r>
      <w:r>
        <w:rPr>
          <w:lang w:val="fr-FR"/>
        </w:rPr>
        <w:t>d</w:t>
      </w:r>
      <w:r w:rsidRPr="00D23CD7">
        <w:rPr>
          <w:lang w:val="fr-FR"/>
        </w:rPr>
        <w:t>é</w:t>
      </w:r>
      <w:r>
        <w:rPr>
          <w:lang w:val="fr-FR"/>
        </w:rPr>
        <w:t>sign</w:t>
      </w:r>
      <w:r w:rsidRPr="00D23CD7">
        <w:rPr>
          <w:lang w:val="fr-FR"/>
        </w:rPr>
        <w:t>é</w:t>
      </w:r>
      <w:r>
        <w:rPr>
          <w:lang w:val="fr-FR"/>
        </w:rPr>
        <w:t>s</w:t>
      </w:r>
      <w:r w:rsidRPr="00D23CD7">
        <w:rPr>
          <w:lang w:val="fr-FR"/>
        </w:rPr>
        <w:t xml:space="preserve"> </w:t>
      </w:r>
      <w:r>
        <w:rPr>
          <w:lang w:val="fr-FR"/>
        </w:rPr>
        <w:t>ou</w:t>
      </w:r>
      <w:r w:rsidRPr="00D23CD7">
        <w:rPr>
          <w:lang w:val="fr-FR"/>
        </w:rPr>
        <w:t xml:space="preserve"> </w:t>
      </w:r>
      <w:r>
        <w:rPr>
          <w:lang w:val="fr-FR"/>
        </w:rPr>
        <w:t>institu</w:t>
      </w:r>
      <w:r w:rsidRPr="00D23CD7">
        <w:rPr>
          <w:lang w:val="fr-FR"/>
        </w:rPr>
        <w:t>é</w:t>
      </w:r>
      <w:r>
        <w:rPr>
          <w:lang w:val="fr-FR"/>
        </w:rPr>
        <w:t>s</w:t>
      </w:r>
      <w:r w:rsidRPr="00D23CD7">
        <w:rPr>
          <w:lang w:val="fr-FR"/>
        </w:rPr>
        <w:t xml:space="preserve"> </w:t>
      </w:r>
      <w:r>
        <w:rPr>
          <w:lang w:val="fr-FR"/>
        </w:rPr>
        <w:t>par</w:t>
      </w:r>
      <w:r w:rsidRPr="00D23CD7">
        <w:rPr>
          <w:lang w:val="fr-FR"/>
        </w:rPr>
        <w:t xml:space="preserve"> </w:t>
      </w:r>
      <w:r>
        <w:rPr>
          <w:lang w:val="fr-FR"/>
        </w:rPr>
        <w:t>d</w:t>
      </w:r>
      <w:r w:rsidRPr="00D23CD7">
        <w:rPr>
          <w:lang w:val="fr-FR"/>
        </w:rPr>
        <w:t>é</w:t>
      </w:r>
      <w:r>
        <w:rPr>
          <w:lang w:val="fr-FR"/>
        </w:rPr>
        <w:t>cision</w:t>
      </w:r>
      <w:r w:rsidRPr="00D23CD7">
        <w:rPr>
          <w:lang w:val="fr-FR"/>
        </w:rPr>
        <w:t xml:space="preserve"> </w:t>
      </w:r>
      <w:r>
        <w:rPr>
          <w:lang w:val="fr-FR"/>
        </w:rPr>
        <w:t>obligatoire</w:t>
      </w:r>
      <w:r w:rsidRPr="00D23CD7">
        <w:rPr>
          <w:lang w:val="fr-FR"/>
        </w:rPr>
        <w:t xml:space="preserve"> </w:t>
      </w:r>
      <w:r>
        <w:rPr>
          <w:lang w:val="fr-FR"/>
        </w:rPr>
        <w:t>des</w:t>
      </w:r>
      <w:r w:rsidRPr="00D23CD7">
        <w:rPr>
          <w:lang w:val="fr-FR"/>
        </w:rPr>
        <w:t xml:space="preserve"> </w:t>
      </w:r>
      <w:r>
        <w:rPr>
          <w:lang w:val="fr-FR"/>
        </w:rPr>
        <w:t>Nations</w:t>
      </w:r>
      <w:r w:rsidRPr="00D23CD7">
        <w:rPr>
          <w:lang w:val="fr-FR"/>
        </w:rPr>
        <w:t xml:space="preserve"> </w:t>
      </w:r>
      <w:r>
        <w:rPr>
          <w:lang w:val="fr-FR"/>
        </w:rPr>
        <w:t>Unies</w:t>
      </w:r>
      <w:r w:rsidRPr="00D23CD7">
        <w:rPr>
          <w:lang w:val="fr-FR"/>
        </w:rPr>
        <w:t xml:space="preserve"> </w:t>
      </w:r>
      <w:r>
        <w:rPr>
          <w:lang w:val="fr-FR"/>
        </w:rPr>
        <w:t>ou</w:t>
      </w:r>
      <w:r w:rsidRPr="00D23CD7">
        <w:rPr>
          <w:lang w:val="fr-FR"/>
        </w:rPr>
        <w:t xml:space="preserve"> </w:t>
      </w:r>
      <w:r>
        <w:rPr>
          <w:lang w:val="fr-FR"/>
        </w:rPr>
        <w:t>si</w:t>
      </w:r>
      <w:r w:rsidRPr="00D23CD7">
        <w:rPr>
          <w:lang w:val="fr-FR"/>
        </w:rPr>
        <w:t xml:space="preserve"> </w:t>
      </w:r>
      <w:r>
        <w:rPr>
          <w:lang w:val="fr-FR"/>
        </w:rPr>
        <w:t>la</w:t>
      </w:r>
      <w:r w:rsidRPr="00D23CD7">
        <w:rPr>
          <w:lang w:val="fr-FR"/>
        </w:rPr>
        <w:t xml:space="preserve"> </w:t>
      </w:r>
      <w:r>
        <w:rPr>
          <w:lang w:val="fr-FR"/>
        </w:rPr>
        <w:t>comp</w:t>
      </w:r>
      <w:r w:rsidRPr="00D23CD7">
        <w:rPr>
          <w:lang w:val="fr-FR"/>
        </w:rPr>
        <w:t>é</w:t>
      </w:r>
      <w:r>
        <w:rPr>
          <w:lang w:val="fr-FR"/>
        </w:rPr>
        <w:t>tence</w:t>
      </w:r>
      <w:r w:rsidRPr="00D23CD7">
        <w:rPr>
          <w:lang w:val="fr-FR"/>
        </w:rPr>
        <w:t xml:space="preserve"> </w:t>
      </w:r>
      <w:r>
        <w:rPr>
          <w:lang w:val="fr-FR"/>
        </w:rPr>
        <w:t>d</w:t>
      </w:r>
      <w:r w:rsidRPr="00D23CD7">
        <w:rPr>
          <w:lang w:val="fr-FR"/>
        </w:rPr>
        <w:t>'</w:t>
      </w:r>
      <w:r>
        <w:rPr>
          <w:lang w:val="fr-FR"/>
        </w:rPr>
        <w:t>organismes</w:t>
      </w:r>
      <w:r w:rsidRPr="00D23CD7">
        <w:rPr>
          <w:lang w:val="fr-FR"/>
        </w:rPr>
        <w:t xml:space="preserve"> </w:t>
      </w:r>
      <w:r>
        <w:rPr>
          <w:lang w:val="fr-FR"/>
        </w:rPr>
        <w:t>semblables</w:t>
      </w:r>
      <w:r w:rsidRPr="00D23CD7">
        <w:rPr>
          <w:lang w:val="fr-FR"/>
        </w:rPr>
        <w:t xml:space="preserve"> </w:t>
      </w:r>
      <w:r>
        <w:rPr>
          <w:lang w:val="fr-FR"/>
        </w:rPr>
        <w:t>a</w:t>
      </w:r>
      <w:r w:rsidRPr="00D23CD7">
        <w:rPr>
          <w:lang w:val="fr-FR"/>
        </w:rPr>
        <w:t xml:space="preserve"> é</w:t>
      </w:r>
      <w:r>
        <w:rPr>
          <w:lang w:val="fr-FR"/>
        </w:rPr>
        <w:t>t</w:t>
      </w:r>
      <w:r w:rsidRPr="00D23CD7">
        <w:rPr>
          <w:lang w:val="fr-FR"/>
        </w:rPr>
        <w:t xml:space="preserve">é </w:t>
      </w:r>
      <w:r>
        <w:rPr>
          <w:lang w:val="fr-FR"/>
        </w:rPr>
        <w:t>accept</w:t>
      </w:r>
      <w:r w:rsidRPr="00D23CD7">
        <w:rPr>
          <w:lang w:val="fr-FR"/>
        </w:rPr>
        <w:t>é</w:t>
      </w:r>
      <w:r>
        <w:rPr>
          <w:lang w:val="fr-FR"/>
        </w:rPr>
        <w:t>e</w:t>
      </w:r>
      <w:r w:rsidRPr="00D23CD7">
        <w:rPr>
          <w:lang w:val="fr-FR"/>
        </w:rPr>
        <w:t xml:space="preserve"> </w:t>
      </w:r>
      <w:r>
        <w:rPr>
          <w:lang w:val="fr-FR"/>
        </w:rPr>
        <w:t>par</w:t>
      </w:r>
      <w:r w:rsidRPr="00D23CD7">
        <w:rPr>
          <w:lang w:val="fr-FR"/>
        </w:rPr>
        <w:t xml:space="preserve"> </w:t>
      </w:r>
      <w:r>
        <w:rPr>
          <w:lang w:val="fr-FR"/>
        </w:rPr>
        <w:t>1</w:t>
      </w:r>
      <w:r w:rsidRPr="00D23CD7">
        <w:rPr>
          <w:lang w:val="fr-FR"/>
        </w:rPr>
        <w:t>'</w:t>
      </w:r>
      <w:r>
        <w:rPr>
          <w:lang w:val="fr-FR"/>
        </w:rPr>
        <w:t>Etat</w:t>
      </w:r>
      <w:r w:rsidRPr="00D23CD7">
        <w:rPr>
          <w:lang w:val="fr-FR"/>
        </w:rPr>
        <w:t xml:space="preserve"> </w:t>
      </w:r>
      <w:r>
        <w:rPr>
          <w:lang w:val="fr-FR"/>
        </w:rPr>
        <w:t>dont</w:t>
      </w:r>
      <w:r w:rsidRPr="00D23CD7">
        <w:rPr>
          <w:lang w:val="fr-FR"/>
        </w:rPr>
        <w:t xml:space="preserve"> </w:t>
      </w:r>
      <w:r>
        <w:rPr>
          <w:lang w:val="fr-FR"/>
        </w:rPr>
        <w:t>la</w:t>
      </w:r>
      <w:r w:rsidRPr="00D23CD7">
        <w:rPr>
          <w:lang w:val="fr-FR"/>
        </w:rPr>
        <w:t xml:space="preserve"> </w:t>
      </w:r>
      <w:r>
        <w:rPr>
          <w:lang w:val="fr-FR"/>
        </w:rPr>
        <w:t>victime</w:t>
      </w:r>
      <w:r w:rsidRPr="00D23CD7">
        <w:rPr>
          <w:lang w:val="fr-FR"/>
        </w:rPr>
        <w:t xml:space="preserve"> </w:t>
      </w:r>
      <w:r>
        <w:rPr>
          <w:lang w:val="fr-FR"/>
        </w:rPr>
        <w:t>est</w:t>
      </w:r>
      <w:r w:rsidRPr="00D23CD7">
        <w:rPr>
          <w:lang w:val="fr-FR"/>
        </w:rPr>
        <w:t xml:space="preserve"> </w:t>
      </w:r>
      <w:r>
        <w:rPr>
          <w:lang w:val="fr-FR"/>
        </w:rPr>
        <w:t>un</w:t>
      </w:r>
      <w:r w:rsidRPr="00D23CD7">
        <w:rPr>
          <w:lang w:val="fr-FR"/>
        </w:rPr>
        <w:t xml:space="preserve"> </w:t>
      </w:r>
      <w:r>
        <w:rPr>
          <w:lang w:val="fr-FR"/>
        </w:rPr>
        <w:t>ressortissant, aucune</w:t>
      </w:r>
      <w:r w:rsidRPr="00D23CD7">
        <w:rPr>
          <w:lang w:val="fr-FR"/>
        </w:rPr>
        <w:t xml:space="preserve"> </w:t>
      </w:r>
      <w:r>
        <w:rPr>
          <w:lang w:val="fr-FR"/>
        </w:rPr>
        <w:t>r</w:t>
      </w:r>
      <w:r w:rsidRPr="00D23CD7">
        <w:rPr>
          <w:lang w:val="fr-FR"/>
        </w:rPr>
        <w:t>é</w:t>
      </w:r>
      <w:r>
        <w:rPr>
          <w:lang w:val="fr-FR"/>
        </w:rPr>
        <w:t>clamation</w:t>
      </w:r>
      <w:r w:rsidRPr="00D23CD7">
        <w:rPr>
          <w:lang w:val="fr-FR"/>
        </w:rPr>
        <w:t xml:space="preserve"> </w:t>
      </w:r>
      <w:r>
        <w:rPr>
          <w:lang w:val="fr-FR"/>
        </w:rPr>
        <w:t>ne</w:t>
      </w:r>
      <w:r w:rsidRPr="00D23CD7">
        <w:rPr>
          <w:lang w:val="fr-FR"/>
        </w:rPr>
        <w:t xml:space="preserve"> </w:t>
      </w:r>
      <w:r>
        <w:rPr>
          <w:lang w:val="fr-FR"/>
        </w:rPr>
        <w:t>puisse</w:t>
      </w:r>
      <w:r w:rsidRPr="00D23CD7">
        <w:rPr>
          <w:lang w:val="fr-FR"/>
        </w:rPr>
        <w:t xml:space="preserve"> ê</w:t>
      </w:r>
      <w:r>
        <w:rPr>
          <w:lang w:val="fr-FR"/>
        </w:rPr>
        <w:t>tre</w:t>
      </w:r>
      <w:r w:rsidRPr="00D23CD7">
        <w:rPr>
          <w:lang w:val="fr-FR"/>
        </w:rPr>
        <w:t xml:space="preserve"> </w:t>
      </w:r>
      <w:r>
        <w:rPr>
          <w:lang w:val="fr-FR"/>
        </w:rPr>
        <w:t>introduite</w:t>
      </w:r>
      <w:r w:rsidRPr="00D23CD7">
        <w:rPr>
          <w:lang w:val="fr-FR"/>
        </w:rPr>
        <w:t xml:space="preserve"> </w:t>
      </w:r>
      <w:r>
        <w:rPr>
          <w:lang w:val="fr-FR"/>
        </w:rPr>
        <w:t>contre</w:t>
      </w:r>
      <w:r w:rsidRPr="00D23CD7">
        <w:rPr>
          <w:lang w:val="fr-FR"/>
        </w:rPr>
        <w:t xml:space="preserve"> </w:t>
      </w:r>
      <w:r>
        <w:rPr>
          <w:lang w:val="fr-FR"/>
        </w:rPr>
        <w:t>les</w:t>
      </w:r>
      <w:r w:rsidRPr="00D23CD7">
        <w:rPr>
          <w:lang w:val="fr-FR"/>
        </w:rPr>
        <w:t xml:space="preserve"> </w:t>
      </w:r>
      <w:r>
        <w:rPr>
          <w:lang w:val="fr-FR"/>
        </w:rPr>
        <w:t>Nations</w:t>
      </w:r>
      <w:r w:rsidRPr="00D23CD7">
        <w:rPr>
          <w:lang w:val="fr-FR"/>
        </w:rPr>
        <w:t xml:space="preserve"> </w:t>
      </w:r>
      <w:r>
        <w:rPr>
          <w:lang w:val="fr-FR"/>
        </w:rPr>
        <w:t>Unies</w:t>
      </w:r>
      <w:r w:rsidRPr="00D23CD7">
        <w:rPr>
          <w:lang w:val="fr-FR"/>
        </w:rPr>
        <w:t xml:space="preserve"> </w:t>
      </w:r>
      <w:r>
        <w:rPr>
          <w:lang w:val="fr-FR"/>
        </w:rPr>
        <w:t>par</w:t>
      </w:r>
      <w:r w:rsidRPr="00D23CD7">
        <w:rPr>
          <w:lang w:val="fr-FR"/>
        </w:rPr>
        <w:t xml:space="preserve"> </w:t>
      </w:r>
      <w:r>
        <w:rPr>
          <w:lang w:val="fr-FR"/>
        </w:rPr>
        <w:t>cet</w:t>
      </w:r>
      <w:r w:rsidRPr="00D23CD7">
        <w:rPr>
          <w:lang w:val="fr-FR"/>
        </w:rPr>
        <w:t xml:space="preserve"> </w:t>
      </w:r>
      <w:r>
        <w:rPr>
          <w:lang w:val="fr-FR"/>
        </w:rPr>
        <w:t>Etat</w:t>
      </w:r>
      <w:r w:rsidRPr="00D23CD7">
        <w:rPr>
          <w:lang w:val="fr-FR"/>
        </w:rPr>
        <w:t xml:space="preserve"> </w:t>
      </w:r>
      <w:r>
        <w:rPr>
          <w:lang w:val="fr-FR"/>
        </w:rPr>
        <w:t>avant</w:t>
      </w:r>
      <w:r w:rsidRPr="00D23CD7">
        <w:rPr>
          <w:lang w:val="fr-FR"/>
        </w:rPr>
        <w:t xml:space="preserve"> é</w:t>
      </w:r>
      <w:r>
        <w:rPr>
          <w:lang w:val="fr-FR"/>
        </w:rPr>
        <w:t>puisement</w:t>
      </w:r>
      <w:r w:rsidRPr="00D23CD7">
        <w:rPr>
          <w:lang w:val="fr-FR"/>
        </w:rPr>
        <w:t xml:space="preserve"> </w:t>
      </w:r>
      <w:r>
        <w:rPr>
          <w:lang w:val="fr-FR"/>
        </w:rPr>
        <w:t>pr</w:t>
      </w:r>
      <w:r w:rsidRPr="00D23CD7">
        <w:rPr>
          <w:lang w:val="fr-FR"/>
        </w:rPr>
        <w:t>é</w:t>
      </w:r>
      <w:r>
        <w:rPr>
          <w:lang w:val="fr-FR"/>
        </w:rPr>
        <w:t>alable</w:t>
      </w:r>
      <w:r w:rsidRPr="00D23CD7">
        <w:rPr>
          <w:lang w:val="fr-FR"/>
        </w:rPr>
        <w:t xml:space="preserve"> </w:t>
      </w:r>
      <w:r>
        <w:rPr>
          <w:lang w:val="fr-FR"/>
        </w:rPr>
        <w:t>par</w:t>
      </w:r>
      <w:r w:rsidRPr="00D23CD7">
        <w:rPr>
          <w:lang w:val="fr-FR"/>
        </w:rPr>
        <w:t xml:space="preserve"> </w:t>
      </w:r>
      <w:r>
        <w:rPr>
          <w:lang w:val="fr-FR"/>
        </w:rPr>
        <w:t>la</w:t>
      </w:r>
      <w:r w:rsidRPr="00D23CD7">
        <w:rPr>
          <w:lang w:val="fr-FR"/>
        </w:rPr>
        <w:t xml:space="preserve"> </w:t>
      </w:r>
      <w:r>
        <w:rPr>
          <w:lang w:val="fr-FR"/>
        </w:rPr>
        <w:t>victime</w:t>
      </w:r>
      <w:r w:rsidRPr="00D23CD7">
        <w:rPr>
          <w:lang w:val="fr-FR"/>
        </w:rPr>
        <w:t xml:space="preserve"> </w:t>
      </w:r>
      <w:r>
        <w:rPr>
          <w:lang w:val="fr-FR"/>
        </w:rPr>
        <w:t>du</w:t>
      </w:r>
      <w:r w:rsidRPr="00D23CD7">
        <w:rPr>
          <w:lang w:val="fr-FR"/>
        </w:rPr>
        <w:t xml:space="preserve"> </w:t>
      </w:r>
      <w:r>
        <w:rPr>
          <w:lang w:val="fr-FR"/>
        </w:rPr>
        <w:t>recours qui lui aura ainsi été ouvert</w:t>
      </w:r>
      <w:r>
        <w:rPr>
          <w:rFonts w:hint="eastAsia"/>
          <w:lang w:val="fr-FR"/>
        </w:rPr>
        <w:t>。”</w:t>
      </w:r>
    </w:p>
  </w:footnote>
  <w:footnote w:id="1532">
    <w:p w:rsidR="00AB00DE" w:rsidRPr="00D23CD7" w:rsidRDefault="00AB00DE" w:rsidP="001A5FC1">
      <w:pPr>
        <w:pStyle w:val="a4"/>
        <w:rPr>
          <w:lang w:val="fr-CH"/>
        </w:rPr>
      </w:pPr>
      <w:r>
        <w:rPr>
          <w:rFonts w:hint="eastAsia"/>
          <w:sz w:val="22"/>
          <w:szCs w:val="22"/>
          <w:lang w:val="fr-CH"/>
        </w:rPr>
        <w:tab/>
      </w:r>
      <w:r w:rsidRPr="008258F3">
        <w:rPr>
          <w:rStyle w:val="a5"/>
          <w:szCs w:val="22"/>
        </w:rPr>
        <w:footnoteRef/>
      </w:r>
      <w:r>
        <w:rPr>
          <w:rFonts w:hint="eastAsia"/>
          <w:sz w:val="22"/>
          <w:szCs w:val="22"/>
          <w:lang w:val="fr-CH"/>
        </w:rPr>
        <w:tab/>
      </w:r>
      <w:r>
        <w:rPr>
          <w:lang w:val="fr-CH"/>
        </w:rPr>
        <w:t>Amerasinghe(</w:t>
      </w:r>
      <w:r w:rsidRPr="00D23CD7">
        <w:rPr>
          <w:rFonts w:hint="eastAsia"/>
        </w:rPr>
        <w:t>上文脚注</w:t>
      </w:r>
      <w:r>
        <w:rPr>
          <w:lang w:val="fr-CH"/>
        </w:rPr>
        <w:t>36)</w:t>
      </w:r>
      <w:r>
        <w:rPr>
          <w:lang w:val="fr-CH"/>
        </w:rPr>
        <w:t>，</w:t>
      </w:r>
      <w:r>
        <w:rPr>
          <w:lang w:val="fr-CH"/>
        </w:rPr>
        <w:t>at p. 486</w:t>
      </w:r>
      <w:r>
        <w:rPr>
          <w:rFonts w:hint="eastAsia"/>
          <w:lang w:val="fr-CH"/>
        </w:rPr>
        <w:t>。</w:t>
      </w:r>
    </w:p>
  </w:footnote>
  <w:footnote w:id="1533">
    <w:p w:rsidR="00AB00DE" w:rsidRPr="00D23CD7" w:rsidRDefault="00AB00DE" w:rsidP="001A5FC1">
      <w:pPr>
        <w:pStyle w:val="a4"/>
        <w:rPr>
          <w:rFonts w:eastAsiaTheme="minorEastAsia"/>
        </w:rPr>
      </w:pPr>
      <w:r>
        <w:rPr>
          <w:rFonts w:hint="eastAsia"/>
          <w:sz w:val="22"/>
          <w:szCs w:val="22"/>
          <w:lang w:val="fr-CH"/>
        </w:rPr>
        <w:tab/>
      </w:r>
      <w:r w:rsidRPr="008258F3">
        <w:rPr>
          <w:rStyle w:val="a5"/>
          <w:szCs w:val="22"/>
        </w:rPr>
        <w:footnoteRef/>
      </w:r>
      <w:r>
        <w:rPr>
          <w:rFonts w:hint="eastAsia"/>
          <w:sz w:val="22"/>
          <w:szCs w:val="22"/>
          <w:lang w:val="fr-CH"/>
        </w:rPr>
        <w:tab/>
      </w:r>
      <w:r w:rsidRPr="00D23CD7">
        <w:rPr>
          <w:rFonts w:eastAsiaTheme="minorEastAsia" w:hint="eastAsia"/>
        </w:rPr>
        <w:t>见</w:t>
      </w:r>
      <w:r>
        <w:rPr>
          <w:rFonts w:eastAsiaTheme="minorEastAsia" w:hint="eastAsia"/>
          <w:lang w:val="fr-CH"/>
        </w:rPr>
        <w:t>：</w:t>
      </w:r>
      <w:r w:rsidRPr="00D23CD7">
        <w:rPr>
          <w:rFonts w:eastAsiaTheme="minorEastAsia" w:hint="eastAsia"/>
          <w:lang w:val="fr-CH"/>
        </w:rPr>
        <w:t>《构成联合国和比利时关于解决比利时国民对联合国刚果行动求偿案的协定的换文》</w:t>
      </w:r>
      <w:r>
        <w:rPr>
          <w:rFonts w:eastAsiaTheme="minorEastAsia"/>
          <w:lang w:val="fr-CH"/>
        </w:rPr>
        <w:t>(1965</w:t>
      </w:r>
      <w:r w:rsidRPr="00D23CD7">
        <w:rPr>
          <w:rFonts w:eastAsiaTheme="minorEastAsia" w:hint="eastAsia"/>
          <w:lang w:val="fr-CH"/>
        </w:rPr>
        <w:t>年</w:t>
      </w:r>
      <w:r>
        <w:rPr>
          <w:rFonts w:eastAsiaTheme="minorEastAsia" w:hint="eastAsia"/>
          <w:lang w:val="fr-CH"/>
        </w:rPr>
        <w:t>2</w:t>
      </w:r>
      <w:r w:rsidRPr="00D23CD7">
        <w:rPr>
          <w:rFonts w:eastAsiaTheme="minorEastAsia" w:hint="eastAsia"/>
          <w:lang w:val="fr-CH"/>
        </w:rPr>
        <w:t>月</w:t>
      </w:r>
      <w:r>
        <w:rPr>
          <w:rFonts w:eastAsiaTheme="minorEastAsia" w:hint="eastAsia"/>
          <w:lang w:val="fr-CH"/>
        </w:rPr>
        <w:t>2</w:t>
      </w:r>
      <w:r w:rsidRPr="00D23CD7">
        <w:rPr>
          <w:rFonts w:eastAsiaTheme="minorEastAsia" w:hint="eastAsia"/>
          <w:lang w:val="fr-CH"/>
        </w:rPr>
        <w:t>0</w:t>
      </w:r>
      <w:r w:rsidRPr="00D23CD7">
        <w:rPr>
          <w:rFonts w:eastAsiaTheme="minorEastAsia" w:hint="eastAsia"/>
          <w:lang w:val="fr-CH"/>
        </w:rPr>
        <w:t>日</w:t>
      </w:r>
      <w:r>
        <w:rPr>
          <w:rFonts w:eastAsiaTheme="minorEastAsia" w:hint="eastAsia"/>
          <w:lang w:val="fr-CH"/>
        </w:rPr>
        <w:t>，</w:t>
      </w:r>
      <w:r w:rsidRPr="00D23CD7">
        <w:rPr>
          <w:rFonts w:eastAsiaTheme="minorEastAsia" w:hint="eastAsia"/>
          <w:lang w:val="fr-CH"/>
        </w:rPr>
        <w:t>纽约</w:t>
      </w:r>
      <w:r>
        <w:rPr>
          <w:rFonts w:eastAsiaTheme="minorEastAsia"/>
          <w:lang w:val="fr-CH"/>
        </w:rPr>
        <w:t>)</w:t>
      </w:r>
      <w:r>
        <w:rPr>
          <w:rFonts w:eastAsiaTheme="minorEastAsia" w:hint="eastAsia"/>
          <w:lang w:val="fr-CH"/>
        </w:rPr>
        <w:t>，</w:t>
      </w:r>
      <w:r w:rsidRPr="00D23CD7">
        <w:rPr>
          <w:rFonts w:eastAsiaTheme="minorEastAsia" w:hint="eastAsia"/>
          <w:lang w:val="fr-CH"/>
        </w:rPr>
        <w:t>联合国</w:t>
      </w:r>
      <w:r>
        <w:rPr>
          <w:rFonts w:eastAsiaTheme="minorEastAsia" w:hint="eastAsia"/>
          <w:lang w:val="fr-CH"/>
        </w:rPr>
        <w:t>，</w:t>
      </w:r>
      <w:r w:rsidRPr="00D23CD7">
        <w:rPr>
          <w:rFonts w:eastAsiaTheme="minorEastAsia" w:hint="eastAsia"/>
          <w:lang w:val="fr-CH"/>
        </w:rPr>
        <w:t>《条约汇编》</w:t>
      </w:r>
      <w:r>
        <w:rPr>
          <w:rFonts w:eastAsiaTheme="minorEastAsia" w:hint="eastAsia"/>
          <w:lang w:val="fr-CH"/>
        </w:rPr>
        <w:t>，</w:t>
      </w:r>
      <w:r w:rsidRPr="00D23CD7">
        <w:rPr>
          <w:rFonts w:eastAsiaTheme="minorEastAsia" w:hint="eastAsia"/>
          <w:lang w:val="fr-CH"/>
        </w:rPr>
        <w:t>第</w:t>
      </w:r>
      <w:r>
        <w:rPr>
          <w:rFonts w:eastAsiaTheme="minorEastAsia"/>
          <w:lang w:val="fr-CH"/>
        </w:rPr>
        <w:t>535</w:t>
      </w:r>
      <w:r w:rsidRPr="00D23CD7">
        <w:rPr>
          <w:rFonts w:eastAsiaTheme="minorEastAsia" w:hint="eastAsia"/>
          <w:lang w:val="fr-CH"/>
        </w:rPr>
        <w:t>卷</w:t>
      </w:r>
      <w:r>
        <w:rPr>
          <w:rFonts w:eastAsiaTheme="minorEastAsia" w:hint="eastAsia"/>
          <w:lang w:val="fr-CH"/>
        </w:rPr>
        <w:t>，</w:t>
      </w:r>
      <w:r w:rsidRPr="00D23CD7">
        <w:rPr>
          <w:rFonts w:eastAsiaTheme="minorEastAsia" w:hint="eastAsia"/>
          <w:lang w:val="fr-CH"/>
        </w:rPr>
        <w:t>第</w:t>
      </w:r>
      <w:r>
        <w:rPr>
          <w:rFonts w:eastAsiaTheme="minorEastAsia"/>
          <w:lang w:val="fr-CH"/>
        </w:rPr>
        <w:t>199</w:t>
      </w:r>
      <w:r w:rsidRPr="00D23CD7">
        <w:rPr>
          <w:rFonts w:eastAsiaTheme="minorEastAsia" w:hint="eastAsia"/>
          <w:lang w:val="fr-CH"/>
        </w:rPr>
        <w:t>页</w:t>
      </w:r>
      <w:r>
        <w:rPr>
          <w:rFonts w:eastAsiaTheme="minorEastAsia" w:hint="eastAsia"/>
          <w:lang w:val="fr-CH"/>
        </w:rPr>
        <w:t>；</w:t>
      </w:r>
      <w:r w:rsidRPr="00D23CD7">
        <w:rPr>
          <w:rFonts w:eastAsiaTheme="minorEastAsia" w:hint="eastAsia"/>
          <w:lang w:val="fr-CH"/>
        </w:rPr>
        <w:t>《构成联合国和希腊关于解决希腊国民对联合国刚果行动求偿案的协定的换文》</w:t>
      </w:r>
      <w:r>
        <w:rPr>
          <w:rFonts w:eastAsiaTheme="minorEastAsia"/>
          <w:lang w:val="fr-CH"/>
        </w:rPr>
        <w:t>(1966</w:t>
      </w:r>
      <w:r w:rsidRPr="00D23CD7">
        <w:rPr>
          <w:rFonts w:eastAsiaTheme="minorEastAsia" w:hint="eastAsia"/>
          <w:lang w:val="fr-CH"/>
        </w:rPr>
        <w:t>年</w:t>
      </w:r>
      <w:r>
        <w:rPr>
          <w:rFonts w:eastAsiaTheme="minorEastAsia" w:hint="eastAsia"/>
          <w:lang w:val="fr-CH"/>
        </w:rPr>
        <w:t>6</w:t>
      </w:r>
      <w:r w:rsidRPr="00D23CD7">
        <w:rPr>
          <w:rFonts w:eastAsiaTheme="minorEastAsia" w:hint="eastAsia"/>
          <w:lang w:val="fr-CH"/>
        </w:rPr>
        <w:t>月</w:t>
      </w:r>
      <w:r>
        <w:rPr>
          <w:rFonts w:eastAsiaTheme="minorEastAsia" w:hint="eastAsia"/>
          <w:lang w:val="fr-CH"/>
        </w:rPr>
        <w:t>2</w:t>
      </w:r>
      <w:r w:rsidRPr="00D23CD7">
        <w:rPr>
          <w:rFonts w:eastAsiaTheme="minorEastAsia" w:hint="eastAsia"/>
          <w:lang w:val="fr-CH"/>
        </w:rPr>
        <w:t>0</w:t>
      </w:r>
      <w:r w:rsidRPr="00D23CD7">
        <w:rPr>
          <w:rFonts w:eastAsiaTheme="minorEastAsia" w:hint="eastAsia"/>
          <w:lang w:val="fr-CH"/>
        </w:rPr>
        <w:t>日</w:t>
      </w:r>
      <w:r>
        <w:rPr>
          <w:rFonts w:eastAsiaTheme="minorEastAsia" w:hint="eastAsia"/>
          <w:lang w:val="fr-CH"/>
        </w:rPr>
        <w:t>，</w:t>
      </w:r>
      <w:r w:rsidRPr="00D23CD7">
        <w:rPr>
          <w:rFonts w:eastAsiaTheme="minorEastAsia" w:hint="eastAsia"/>
          <w:lang w:val="fr-CH"/>
        </w:rPr>
        <w:t>纽约</w:t>
      </w:r>
      <w:r>
        <w:rPr>
          <w:rFonts w:eastAsiaTheme="minorEastAsia"/>
          <w:lang w:val="fr-CH"/>
        </w:rPr>
        <w:t>)</w:t>
      </w:r>
      <w:r>
        <w:rPr>
          <w:rFonts w:eastAsiaTheme="minorEastAsia" w:hint="eastAsia"/>
          <w:lang w:val="fr-CH"/>
        </w:rPr>
        <w:t>，</w:t>
      </w:r>
      <w:r w:rsidRPr="00D23CD7">
        <w:rPr>
          <w:rFonts w:eastAsiaTheme="minorEastAsia" w:hint="eastAsia"/>
          <w:lang w:val="fr-CH"/>
        </w:rPr>
        <w:t>联合国</w:t>
      </w:r>
      <w:r>
        <w:rPr>
          <w:rFonts w:eastAsiaTheme="minorEastAsia" w:hint="eastAsia"/>
          <w:lang w:val="fr-CH"/>
        </w:rPr>
        <w:t>，</w:t>
      </w:r>
      <w:r w:rsidRPr="00D23CD7">
        <w:rPr>
          <w:rFonts w:eastAsiaTheme="minorEastAsia" w:hint="eastAsia"/>
          <w:lang w:val="fr-CH"/>
        </w:rPr>
        <w:t>《条约汇编》</w:t>
      </w:r>
      <w:r>
        <w:rPr>
          <w:rFonts w:eastAsiaTheme="minorEastAsia" w:hint="eastAsia"/>
          <w:lang w:val="fr-CH"/>
        </w:rPr>
        <w:t>，</w:t>
      </w:r>
      <w:r w:rsidRPr="00D23CD7">
        <w:rPr>
          <w:rFonts w:eastAsiaTheme="minorEastAsia" w:hint="eastAsia"/>
          <w:lang w:val="fr-CH"/>
        </w:rPr>
        <w:t>第</w:t>
      </w:r>
      <w:r>
        <w:rPr>
          <w:rFonts w:eastAsiaTheme="minorEastAsia"/>
          <w:lang w:val="fr-CH"/>
        </w:rPr>
        <w:t>565</w:t>
      </w:r>
      <w:r w:rsidRPr="00D23CD7">
        <w:rPr>
          <w:rFonts w:eastAsiaTheme="minorEastAsia" w:hint="eastAsia"/>
          <w:lang w:val="fr-CH"/>
        </w:rPr>
        <w:t>卷</w:t>
      </w:r>
      <w:r>
        <w:rPr>
          <w:rFonts w:eastAsiaTheme="minorEastAsia" w:hint="eastAsia"/>
          <w:lang w:val="fr-CH"/>
        </w:rPr>
        <w:t>，</w:t>
      </w:r>
      <w:r w:rsidRPr="00D23CD7">
        <w:rPr>
          <w:rFonts w:eastAsiaTheme="minorEastAsia" w:hint="eastAsia"/>
          <w:lang w:val="fr-CH"/>
        </w:rPr>
        <w:t>第</w:t>
      </w:r>
      <w:r>
        <w:rPr>
          <w:rFonts w:eastAsiaTheme="minorEastAsia"/>
          <w:lang w:val="fr-CH"/>
        </w:rPr>
        <w:t>5</w:t>
      </w:r>
      <w:r w:rsidRPr="00D23CD7">
        <w:rPr>
          <w:rFonts w:eastAsiaTheme="minorEastAsia" w:hint="eastAsia"/>
          <w:lang w:val="fr-CH"/>
        </w:rPr>
        <w:t>页</w:t>
      </w:r>
      <w:r>
        <w:rPr>
          <w:rFonts w:eastAsiaTheme="minorEastAsia" w:hint="eastAsia"/>
          <w:lang w:val="fr-CH"/>
        </w:rPr>
        <w:t>；</w:t>
      </w:r>
      <w:r w:rsidRPr="00D23CD7">
        <w:rPr>
          <w:rFonts w:eastAsiaTheme="minorEastAsia" w:hint="eastAsia"/>
          <w:lang w:val="fr-CH"/>
        </w:rPr>
        <w:t>《构成联合国和意大利关于解决意大利国民对联合国刚果行动求偿案的协定的换文》</w:t>
      </w:r>
      <w:r>
        <w:rPr>
          <w:rFonts w:eastAsiaTheme="minorEastAsia"/>
          <w:lang w:val="fr-CH"/>
        </w:rPr>
        <w:t>(1967</w:t>
      </w:r>
      <w:r w:rsidRPr="00D23CD7">
        <w:rPr>
          <w:rFonts w:eastAsiaTheme="minorEastAsia" w:hint="eastAsia"/>
          <w:lang w:val="fr-CH"/>
        </w:rPr>
        <w:t>年</w:t>
      </w:r>
      <w:r>
        <w:rPr>
          <w:rFonts w:eastAsiaTheme="minorEastAsia" w:hint="eastAsia"/>
          <w:lang w:val="fr-CH"/>
        </w:rPr>
        <w:t>1</w:t>
      </w:r>
      <w:r w:rsidRPr="00D23CD7">
        <w:rPr>
          <w:rFonts w:eastAsiaTheme="minorEastAsia" w:hint="eastAsia"/>
          <w:lang w:val="fr-CH"/>
        </w:rPr>
        <w:t>月</w:t>
      </w:r>
      <w:r>
        <w:rPr>
          <w:rFonts w:eastAsiaTheme="minorEastAsia" w:hint="eastAsia"/>
          <w:lang w:val="fr-CH"/>
        </w:rPr>
        <w:t>18</w:t>
      </w:r>
      <w:r w:rsidRPr="00D23CD7">
        <w:rPr>
          <w:rFonts w:eastAsiaTheme="minorEastAsia" w:hint="eastAsia"/>
          <w:lang w:val="fr-CH"/>
        </w:rPr>
        <w:t>日</w:t>
      </w:r>
      <w:r>
        <w:rPr>
          <w:rFonts w:eastAsiaTheme="minorEastAsia" w:hint="eastAsia"/>
          <w:lang w:val="fr-CH"/>
        </w:rPr>
        <w:t>，</w:t>
      </w:r>
      <w:r w:rsidRPr="00D23CD7">
        <w:rPr>
          <w:rFonts w:eastAsiaTheme="minorEastAsia" w:hint="eastAsia"/>
          <w:lang w:val="fr-CH"/>
        </w:rPr>
        <w:t>纽约</w:t>
      </w:r>
      <w:r>
        <w:rPr>
          <w:rFonts w:eastAsiaTheme="minorEastAsia"/>
          <w:lang w:val="fr-CH"/>
        </w:rPr>
        <w:t>)</w:t>
      </w:r>
      <w:r>
        <w:rPr>
          <w:rFonts w:eastAsiaTheme="minorEastAsia" w:hint="eastAsia"/>
          <w:lang w:val="fr-CH"/>
        </w:rPr>
        <w:t>，</w:t>
      </w:r>
      <w:r w:rsidRPr="00D23CD7">
        <w:rPr>
          <w:rFonts w:eastAsiaTheme="minorEastAsia" w:hint="eastAsia"/>
          <w:lang w:val="fr-CH"/>
        </w:rPr>
        <w:t>联合国</w:t>
      </w:r>
      <w:r>
        <w:rPr>
          <w:rFonts w:eastAsiaTheme="minorEastAsia" w:hint="eastAsia"/>
          <w:lang w:val="fr-CH"/>
        </w:rPr>
        <w:t>，</w:t>
      </w:r>
      <w:r w:rsidRPr="00D23CD7">
        <w:rPr>
          <w:rFonts w:eastAsiaTheme="minorEastAsia" w:hint="eastAsia"/>
          <w:lang w:val="fr-CH"/>
        </w:rPr>
        <w:t>《条约汇编》</w:t>
      </w:r>
      <w:r>
        <w:rPr>
          <w:rFonts w:eastAsiaTheme="minorEastAsia" w:hint="eastAsia"/>
          <w:lang w:val="fr-CH"/>
        </w:rPr>
        <w:t>，</w:t>
      </w:r>
      <w:r w:rsidRPr="00D23CD7">
        <w:rPr>
          <w:rFonts w:eastAsiaTheme="minorEastAsia" w:hint="eastAsia"/>
          <w:lang w:val="fr-CH"/>
        </w:rPr>
        <w:t>第</w:t>
      </w:r>
      <w:r>
        <w:rPr>
          <w:rFonts w:eastAsiaTheme="minorEastAsia"/>
          <w:lang w:val="fr-CH"/>
        </w:rPr>
        <w:t>588</w:t>
      </w:r>
      <w:r w:rsidRPr="00D23CD7">
        <w:rPr>
          <w:rFonts w:eastAsiaTheme="minorEastAsia" w:hint="eastAsia"/>
          <w:lang w:val="fr-CH"/>
        </w:rPr>
        <w:t>卷</w:t>
      </w:r>
      <w:r>
        <w:rPr>
          <w:rFonts w:eastAsiaTheme="minorEastAsia" w:hint="eastAsia"/>
          <w:lang w:val="fr-CH"/>
        </w:rPr>
        <w:t>，</w:t>
      </w:r>
      <w:r w:rsidRPr="00D23CD7">
        <w:rPr>
          <w:rFonts w:eastAsiaTheme="minorEastAsia" w:hint="eastAsia"/>
          <w:lang w:val="fr-CH"/>
        </w:rPr>
        <w:t>第</w:t>
      </w:r>
      <w:r>
        <w:rPr>
          <w:rFonts w:eastAsiaTheme="minorEastAsia"/>
          <w:lang w:val="fr-CH"/>
        </w:rPr>
        <w:t>198</w:t>
      </w:r>
      <w:r w:rsidRPr="00D23CD7">
        <w:rPr>
          <w:rFonts w:eastAsiaTheme="minorEastAsia" w:hint="eastAsia"/>
          <w:lang w:val="fr-CH"/>
        </w:rPr>
        <w:t>页</w:t>
      </w:r>
      <w:r>
        <w:rPr>
          <w:rFonts w:eastAsiaTheme="minorEastAsia" w:hint="eastAsia"/>
          <w:lang w:val="fr-CH"/>
        </w:rPr>
        <w:t>；</w:t>
      </w:r>
      <w:r w:rsidRPr="00D23CD7">
        <w:rPr>
          <w:rFonts w:eastAsiaTheme="minorEastAsia" w:hint="eastAsia"/>
          <w:lang w:val="fr-CH"/>
        </w:rPr>
        <w:t>《构成联合国和卢森堡关于解决卢森堡国民对联合国刚果行动求偿案的协定的换文》</w:t>
      </w:r>
      <w:r>
        <w:rPr>
          <w:rFonts w:eastAsiaTheme="minorEastAsia"/>
          <w:lang w:val="fr-CH"/>
        </w:rPr>
        <w:t>(1966</w:t>
      </w:r>
      <w:r w:rsidRPr="00D23CD7">
        <w:rPr>
          <w:rFonts w:eastAsiaTheme="minorEastAsia" w:hint="eastAsia"/>
          <w:lang w:val="fr-CH"/>
        </w:rPr>
        <w:t>年</w:t>
      </w:r>
      <w:r>
        <w:rPr>
          <w:rFonts w:eastAsiaTheme="minorEastAsia" w:hint="eastAsia"/>
          <w:lang w:val="fr-CH"/>
        </w:rPr>
        <w:t>12</w:t>
      </w:r>
      <w:r w:rsidRPr="00D23CD7">
        <w:rPr>
          <w:rFonts w:eastAsiaTheme="minorEastAsia" w:hint="eastAsia"/>
          <w:lang w:val="fr-CH"/>
        </w:rPr>
        <w:t>月</w:t>
      </w:r>
      <w:r>
        <w:rPr>
          <w:rFonts w:eastAsiaTheme="minorEastAsia" w:hint="eastAsia"/>
          <w:lang w:val="fr-CH"/>
        </w:rPr>
        <w:t>28</w:t>
      </w:r>
      <w:r w:rsidRPr="00D23CD7">
        <w:rPr>
          <w:rFonts w:eastAsiaTheme="minorEastAsia" w:hint="eastAsia"/>
          <w:lang w:val="fr-CH"/>
        </w:rPr>
        <w:t>日</w:t>
      </w:r>
      <w:r>
        <w:rPr>
          <w:rFonts w:eastAsiaTheme="minorEastAsia" w:hint="eastAsia"/>
          <w:lang w:val="fr-CH"/>
        </w:rPr>
        <w:t>，</w:t>
      </w:r>
      <w:r w:rsidRPr="00D23CD7">
        <w:rPr>
          <w:rFonts w:eastAsiaTheme="minorEastAsia" w:hint="eastAsia"/>
          <w:lang w:val="fr-CH"/>
        </w:rPr>
        <w:t>纽约</w:t>
      </w:r>
      <w:r>
        <w:rPr>
          <w:rFonts w:eastAsiaTheme="minorEastAsia"/>
          <w:lang w:val="fr-CH"/>
        </w:rPr>
        <w:t>)</w:t>
      </w:r>
      <w:r>
        <w:rPr>
          <w:rFonts w:eastAsiaTheme="minorEastAsia" w:hint="eastAsia"/>
          <w:lang w:val="fr-CH"/>
        </w:rPr>
        <w:t>，</w:t>
      </w:r>
      <w:r w:rsidRPr="00D23CD7">
        <w:rPr>
          <w:rFonts w:eastAsiaTheme="minorEastAsia" w:hint="eastAsia"/>
          <w:lang w:val="fr-CH"/>
        </w:rPr>
        <w:t>联合国</w:t>
      </w:r>
      <w:r>
        <w:rPr>
          <w:rFonts w:eastAsiaTheme="minorEastAsia" w:hint="eastAsia"/>
          <w:lang w:val="fr-CH"/>
        </w:rPr>
        <w:t>，</w:t>
      </w:r>
      <w:r w:rsidRPr="00D23CD7">
        <w:rPr>
          <w:rFonts w:eastAsiaTheme="minorEastAsia" w:hint="eastAsia"/>
          <w:lang w:val="fr-CH"/>
        </w:rPr>
        <w:t>《条约汇编》</w:t>
      </w:r>
      <w:r>
        <w:rPr>
          <w:rFonts w:eastAsiaTheme="minorEastAsia" w:hint="eastAsia"/>
          <w:lang w:val="fr-CH"/>
        </w:rPr>
        <w:t>，</w:t>
      </w:r>
      <w:r w:rsidRPr="00D23CD7">
        <w:rPr>
          <w:rFonts w:eastAsiaTheme="minorEastAsia" w:hint="eastAsia"/>
          <w:lang w:val="fr-CH"/>
        </w:rPr>
        <w:t>第</w:t>
      </w:r>
      <w:r>
        <w:rPr>
          <w:rFonts w:eastAsiaTheme="minorEastAsia"/>
          <w:lang w:val="fr-CH"/>
        </w:rPr>
        <w:t>585</w:t>
      </w:r>
      <w:r w:rsidRPr="00D23CD7">
        <w:rPr>
          <w:rFonts w:eastAsiaTheme="minorEastAsia" w:hint="eastAsia"/>
          <w:lang w:val="fr-CH"/>
        </w:rPr>
        <w:t>卷</w:t>
      </w:r>
      <w:r>
        <w:rPr>
          <w:rFonts w:eastAsiaTheme="minorEastAsia" w:hint="eastAsia"/>
          <w:lang w:val="fr-CH"/>
        </w:rPr>
        <w:t>，</w:t>
      </w:r>
      <w:r w:rsidRPr="00D23CD7">
        <w:rPr>
          <w:rFonts w:eastAsiaTheme="minorEastAsia" w:hint="eastAsia"/>
          <w:lang w:val="fr-CH"/>
        </w:rPr>
        <w:t>第</w:t>
      </w:r>
      <w:r>
        <w:rPr>
          <w:rFonts w:eastAsiaTheme="minorEastAsia"/>
          <w:lang w:val="fr-CH"/>
        </w:rPr>
        <w:t>149</w:t>
      </w:r>
      <w:r w:rsidRPr="00D23CD7">
        <w:rPr>
          <w:rFonts w:eastAsiaTheme="minorEastAsia" w:hint="eastAsia"/>
          <w:lang w:val="fr-CH"/>
        </w:rPr>
        <w:t>页</w:t>
      </w:r>
      <w:r>
        <w:rPr>
          <w:rFonts w:eastAsiaTheme="minorEastAsia" w:hint="eastAsia"/>
          <w:lang w:val="fr-CH"/>
        </w:rPr>
        <w:t>；</w:t>
      </w:r>
      <w:r w:rsidRPr="00D23CD7">
        <w:rPr>
          <w:rFonts w:eastAsiaTheme="minorEastAsia" w:hint="eastAsia"/>
          <w:lang w:val="fr-CH"/>
        </w:rPr>
        <w:t>《构成联合国和瑞士关于解决瑞士国民对联合国刚果行动求偿案的协定的换文》</w:t>
      </w:r>
      <w:r>
        <w:rPr>
          <w:rFonts w:eastAsiaTheme="minorEastAsia"/>
          <w:lang w:val="fr-CH"/>
        </w:rPr>
        <w:t>(1966</w:t>
      </w:r>
      <w:r w:rsidRPr="00D23CD7">
        <w:rPr>
          <w:rFonts w:eastAsiaTheme="minorEastAsia" w:hint="eastAsia"/>
          <w:lang w:val="fr-CH"/>
        </w:rPr>
        <w:t>年</w:t>
      </w:r>
      <w:r>
        <w:rPr>
          <w:rFonts w:eastAsiaTheme="minorEastAsia" w:hint="eastAsia"/>
          <w:lang w:val="fr-CH"/>
        </w:rPr>
        <w:t>6</w:t>
      </w:r>
      <w:r w:rsidRPr="00D23CD7">
        <w:rPr>
          <w:rFonts w:eastAsiaTheme="minorEastAsia" w:hint="eastAsia"/>
          <w:lang w:val="fr-CH"/>
        </w:rPr>
        <w:t>月</w:t>
      </w:r>
      <w:r>
        <w:rPr>
          <w:rFonts w:eastAsiaTheme="minorEastAsia" w:hint="eastAsia"/>
          <w:spacing w:val="-4"/>
          <w:lang w:val="fr-CH"/>
        </w:rPr>
        <w:t>3</w:t>
      </w:r>
      <w:r w:rsidRPr="00110315">
        <w:rPr>
          <w:rFonts w:eastAsiaTheme="minorEastAsia" w:hint="eastAsia"/>
          <w:spacing w:val="-4"/>
          <w:lang w:val="fr-CH"/>
        </w:rPr>
        <w:t>日</w:t>
      </w:r>
      <w:r>
        <w:rPr>
          <w:rFonts w:eastAsiaTheme="minorEastAsia" w:hint="eastAsia"/>
          <w:spacing w:val="-4"/>
          <w:lang w:val="fr-CH"/>
        </w:rPr>
        <w:t>，</w:t>
      </w:r>
      <w:r w:rsidRPr="00110315">
        <w:rPr>
          <w:rFonts w:eastAsiaTheme="minorEastAsia" w:hint="eastAsia"/>
          <w:spacing w:val="-4"/>
          <w:lang w:val="fr-CH"/>
        </w:rPr>
        <w:t>纽约</w:t>
      </w:r>
      <w:r>
        <w:rPr>
          <w:rFonts w:eastAsiaTheme="minorEastAsia"/>
          <w:spacing w:val="-4"/>
          <w:lang w:val="fr-CH"/>
        </w:rPr>
        <w:t>)</w:t>
      </w:r>
      <w:r>
        <w:rPr>
          <w:rFonts w:eastAsiaTheme="minorEastAsia" w:hint="eastAsia"/>
          <w:spacing w:val="-4"/>
          <w:lang w:val="fr-CH"/>
        </w:rPr>
        <w:t>，</w:t>
      </w:r>
      <w:r w:rsidRPr="00110315">
        <w:rPr>
          <w:rFonts w:eastAsiaTheme="minorEastAsia" w:hint="eastAsia"/>
          <w:spacing w:val="-4"/>
          <w:lang w:val="fr-CH"/>
        </w:rPr>
        <w:t>联合国</w:t>
      </w:r>
      <w:r>
        <w:rPr>
          <w:rFonts w:eastAsiaTheme="minorEastAsia" w:hint="eastAsia"/>
          <w:spacing w:val="-4"/>
          <w:lang w:val="fr-CH"/>
        </w:rPr>
        <w:t>，</w:t>
      </w:r>
      <w:r w:rsidRPr="00110315">
        <w:rPr>
          <w:rFonts w:eastAsiaTheme="minorEastAsia" w:hint="eastAsia"/>
          <w:spacing w:val="-4"/>
          <w:lang w:val="fr-CH"/>
        </w:rPr>
        <w:t>《条约汇编》</w:t>
      </w:r>
      <w:r>
        <w:rPr>
          <w:rFonts w:eastAsiaTheme="minorEastAsia" w:hint="eastAsia"/>
          <w:spacing w:val="-4"/>
          <w:lang w:val="fr-CH"/>
        </w:rPr>
        <w:t>，</w:t>
      </w:r>
      <w:r w:rsidRPr="00110315">
        <w:rPr>
          <w:rFonts w:eastAsiaTheme="minorEastAsia" w:hint="eastAsia"/>
          <w:spacing w:val="-4"/>
          <w:lang w:val="fr-CH"/>
        </w:rPr>
        <w:t>第</w:t>
      </w:r>
      <w:r>
        <w:rPr>
          <w:rFonts w:eastAsiaTheme="minorEastAsia"/>
          <w:spacing w:val="-4"/>
          <w:lang w:val="fr-CH"/>
        </w:rPr>
        <w:t>565</w:t>
      </w:r>
      <w:r w:rsidRPr="00110315">
        <w:rPr>
          <w:rFonts w:eastAsiaTheme="minorEastAsia" w:hint="eastAsia"/>
          <w:spacing w:val="-4"/>
          <w:lang w:val="fr-CH"/>
        </w:rPr>
        <w:t>卷</w:t>
      </w:r>
      <w:r>
        <w:rPr>
          <w:rFonts w:eastAsiaTheme="minorEastAsia" w:hint="eastAsia"/>
          <w:spacing w:val="-4"/>
          <w:lang w:val="fr-CH"/>
        </w:rPr>
        <w:t>，</w:t>
      </w:r>
      <w:r w:rsidRPr="00110315">
        <w:rPr>
          <w:rFonts w:eastAsiaTheme="minorEastAsia" w:hint="eastAsia"/>
          <w:spacing w:val="-4"/>
          <w:lang w:val="fr-CH"/>
        </w:rPr>
        <w:t>第</w:t>
      </w:r>
      <w:r>
        <w:rPr>
          <w:rFonts w:eastAsiaTheme="minorEastAsia"/>
          <w:spacing w:val="-4"/>
          <w:lang w:val="fr-CH"/>
        </w:rPr>
        <w:t>195</w:t>
      </w:r>
      <w:r w:rsidRPr="00110315">
        <w:rPr>
          <w:rFonts w:eastAsiaTheme="minorEastAsia" w:hint="eastAsia"/>
          <w:spacing w:val="-4"/>
          <w:lang w:val="fr-CH"/>
        </w:rPr>
        <w:t>页。另见</w:t>
      </w:r>
      <w:r>
        <w:rPr>
          <w:rFonts w:eastAsiaTheme="minorEastAsia"/>
          <w:spacing w:val="-4"/>
        </w:rPr>
        <w:t>M</w:t>
      </w:r>
      <w:r w:rsidRPr="00110315">
        <w:rPr>
          <w:rFonts w:eastAsiaTheme="minorEastAsia"/>
          <w:spacing w:val="-4"/>
        </w:rPr>
        <w:t xml:space="preserve">. </w:t>
      </w:r>
      <w:r>
        <w:rPr>
          <w:rFonts w:eastAsiaTheme="minorEastAsia"/>
          <w:spacing w:val="-4"/>
        </w:rPr>
        <w:t xml:space="preserve">Guillaume, </w:t>
      </w:r>
      <w:r w:rsidRPr="00110315">
        <w:rPr>
          <w:rFonts w:eastAsiaTheme="minorEastAsia"/>
          <w:spacing w:val="-4"/>
        </w:rPr>
        <w:t>‘</w:t>
      </w:r>
      <w:r>
        <w:rPr>
          <w:rFonts w:eastAsiaTheme="minorEastAsia"/>
          <w:spacing w:val="-4"/>
        </w:rPr>
        <w:t>La</w:t>
      </w:r>
      <w:r w:rsidRPr="00110315">
        <w:rPr>
          <w:rFonts w:eastAsiaTheme="minorEastAsia"/>
          <w:spacing w:val="-4"/>
        </w:rPr>
        <w:t xml:space="preserve"> </w:t>
      </w:r>
      <w:r>
        <w:rPr>
          <w:rFonts w:eastAsiaTheme="minorEastAsia"/>
          <w:spacing w:val="-4"/>
        </w:rPr>
        <w:t>r</w:t>
      </w:r>
      <w:r w:rsidRPr="00110315">
        <w:rPr>
          <w:rFonts w:eastAsiaTheme="minorEastAsia"/>
          <w:spacing w:val="-4"/>
        </w:rPr>
        <w:t>é</w:t>
      </w:r>
      <w:r>
        <w:rPr>
          <w:rFonts w:eastAsiaTheme="minorEastAsia"/>
          <w:spacing w:val="-4"/>
        </w:rPr>
        <w:t>paratio</w:t>
      </w:r>
      <w:r>
        <w:rPr>
          <w:rFonts w:eastAsiaTheme="minorEastAsia"/>
        </w:rPr>
        <w:t>n</w:t>
      </w:r>
      <w:r w:rsidRPr="00D23CD7">
        <w:rPr>
          <w:rFonts w:eastAsiaTheme="minorEastAsia"/>
        </w:rPr>
        <w:t xml:space="preserve"> </w:t>
      </w:r>
      <w:r>
        <w:rPr>
          <w:rFonts w:eastAsiaTheme="minorEastAsia"/>
        </w:rPr>
        <w:t>des</w:t>
      </w:r>
      <w:r w:rsidRPr="00D23CD7">
        <w:rPr>
          <w:rFonts w:eastAsiaTheme="minorEastAsia"/>
        </w:rPr>
        <w:t xml:space="preserve"> </w:t>
      </w:r>
      <w:r>
        <w:rPr>
          <w:rFonts w:eastAsiaTheme="minorEastAsia"/>
        </w:rPr>
        <w:t>dommages</w:t>
      </w:r>
      <w:r w:rsidRPr="00D23CD7">
        <w:rPr>
          <w:rFonts w:eastAsiaTheme="minorEastAsia"/>
        </w:rPr>
        <w:t xml:space="preserve"> </w:t>
      </w:r>
      <w:r>
        <w:rPr>
          <w:rFonts w:eastAsiaTheme="minorEastAsia"/>
        </w:rPr>
        <w:t>caus</w:t>
      </w:r>
      <w:r w:rsidRPr="00D23CD7">
        <w:rPr>
          <w:rFonts w:eastAsiaTheme="minorEastAsia"/>
        </w:rPr>
        <w:t>é</w:t>
      </w:r>
      <w:r>
        <w:rPr>
          <w:rFonts w:eastAsiaTheme="minorEastAsia"/>
        </w:rPr>
        <w:t>s</w:t>
      </w:r>
      <w:r w:rsidRPr="00D23CD7">
        <w:rPr>
          <w:rFonts w:eastAsiaTheme="minorEastAsia"/>
        </w:rPr>
        <w:t xml:space="preserve"> </w:t>
      </w:r>
      <w:r>
        <w:rPr>
          <w:rFonts w:eastAsiaTheme="minorEastAsia"/>
        </w:rPr>
        <w:t>par</w:t>
      </w:r>
      <w:r w:rsidRPr="00D23CD7">
        <w:rPr>
          <w:rFonts w:eastAsiaTheme="minorEastAsia"/>
        </w:rPr>
        <w:t xml:space="preserve"> </w:t>
      </w:r>
      <w:r>
        <w:rPr>
          <w:rFonts w:eastAsiaTheme="minorEastAsia"/>
        </w:rPr>
        <w:t>les</w:t>
      </w:r>
      <w:r w:rsidRPr="00D23CD7">
        <w:rPr>
          <w:rFonts w:eastAsiaTheme="minorEastAsia"/>
        </w:rPr>
        <w:t xml:space="preserve"> </w:t>
      </w:r>
      <w:r>
        <w:rPr>
          <w:rFonts w:eastAsiaTheme="minorEastAsia"/>
        </w:rPr>
        <w:t>contingents</w:t>
      </w:r>
      <w:r w:rsidRPr="00D23CD7">
        <w:rPr>
          <w:rFonts w:eastAsiaTheme="minorEastAsia"/>
        </w:rPr>
        <w:t xml:space="preserve"> </w:t>
      </w:r>
      <w:r>
        <w:rPr>
          <w:rFonts w:eastAsiaTheme="minorEastAsia"/>
        </w:rPr>
        <w:t>fran</w:t>
      </w:r>
      <w:r w:rsidRPr="00D23CD7">
        <w:rPr>
          <w:rFonts w:eastAsiaTheme="minorEastAsia"/>
        </w:rPr>
        <w:t>ç</w:t>
      </w:r>
      <w:r>
        <w:rPr>
          <w:rFonts w:eastAsiaTheme="minorEastAsia"/>
        </w:rPr>
        <w:t>ais</w:t>
      </w:r>
      <w:r w:rsidRPr="00D23CD7">
        <w:rPr>
          <w:rFonts w:eastAsiaTheme="minorEastAsia"/>
        </w:rPr>
        <w:t xml:space="preserve"> </w:t>
      </w:r>
      <w:r>
        <w:rPr>
          <w:rFonts w:eastAsiaTheme="minorEastAsia"/>
        </w:rPr>
        <w:t>en</w:t>
      </w:r>
      <w:r w:rsidRPr="00D23CD7">
        <w:rPr>
          <w:rFonts w:eastAsiaTheme="minorEastAsia"/>
        </w:rPr>
        <w:t xml:space="preserve"> </w:t>
      </w:r>
      <w:r>
        <w:rPr>
          <w:rFonts w:eastAsiaTheme="minorEastAsia"/>
        </w:rPr>
        <w:t>ex</w:t>
      </w:r>
      <w:r w:rsidRPr="00D23CD7">
        <w:rPr>
          <w:rFonts w:eastAsiaTheme="minorEastAsia"/>
        </w:rPr>
        <w:t>-</w:t>
      </w:r>
      <w:r>
        <w:rPr>
          <w:rFonts w:eastAsiaTheme="minorEastAsia"/>
        </w:rPr>
        <w:t>Yougoslavie</w:t>
      </w:r>
      <w:r w:rsidRPr="00D23CD7">
        <w:rPr>
          <w:rFonts w:eastAsiaTheme="minorEastAsia"/>
        </w:rPr>
        <w:t xml:space="preserve"> </w:t>
      </w:r>
      <w:r>
        <w:rPr>
          <w:rFonts w:eastAsiaTheme="minorEastAsia"/>
        </w:rPr>
        <w:t>et</w:t>
      </w:r>
      <w:r w:rsidRPr="00D23CD7">
        <w:rPr>
          <w:rFonts w:eastAsiaTheme="minorEastAsia"/>
        </w:rPr>
        <w:t xml:space="preserve"> </w:t>
      </w:r>
      <w:r>
        <w:rPr>
          <w:rFonts w:eastAsiaTheme="minorEastAsia"/>
        </w:rPr>
        <w:t>en</w:t>
      </w:r>
      <w:r w:rsidRPr="00D23CD7">
        <w:rPr>
          <w:rFonts w:eastAsiaTheme="minorEastAsia"/>
        </w:rPr>
        <w:t xml:space="preserve"> </w:t>
      </w:r>
      <w:r>
        <w:rPr>
          <w:rFonts w:eastAsiaTheme="minorEastAsia"/>
        </w:rPr>
        <w:t>Albanie</w:t>
      </w:r>
      <w:r w:rsidRPr="00D23CD7">
        <w:rPr>
          <w:rFonts w:eastAsiaTheme="minorEastAsia"/>
        </w:rPr>
        <w:t>’</w:t>
      </w:r>
      <w:r>
        <w:rPr>
          <w:rFonts w:eastAsiaTheme="minorEastAsia"/>
        </w:rPr>
        <w:t>，</w:t>
      </w:r>
      <w:r>
        <w:rPr>
          <w:rFonts w:eastAsiaTheme="minorEastAsia"/>
        </w:rPr>
        <w:t>AFDI, vo</w:t>
      </w:r>
      <w:r w:rsidRPr="00D23CD7">
        <w:rPr>
          <w:rFonts w:eastAsiaTheme="minorEastAsia"/>
        </w:rPr>
        <w:t>.</w:t>
      </w:r>
      <w:r>
        <w:rPr>
          <w:rFonts w:eastAsiaTheme="minorEastAsia"/>
        </w:rPr>
        <w:t>l</w:t>
      </w:r>
      <w:r w:rsidRPr="00D23CD7">
        <w:rPr>
          <w:rFonts w:eastAsiaTheme="minorEastAsia"/>
        </w:rPr>
        <w:t xml:space="preserve"> </w:t>
      </w:r>
      <w:r>
        <w:rPr>
          <w:rFonts w:eastAsiaTheme="minorEastAsia"/>
        </w:rPr>
        <w:t>43(1997)</w:t>
      </w:r>
      <w:r>
        <w:rPr>
          <w:rFonts w:eastAsiaTheme="minorEastAsia"/>
        </w:rPr>
        <w:t>，</w:t>
      </w:r>
      <w:r>
        <w:rPr>
          <w:rFonts w:eastAsiaTheme="minorEastAsia"/>
        </w:rPr>
        <w:t>p</w:t>
      </w:r>
      <w:r w:rsidRPr="00D23CD7">
        <w:rPr>
          <w:rFonts w:eastAsiaTheme="minorEastAsia"/>
        </w:rPr>
        <w:t xml:space="preserve">. </w:t>
      </w:r>
      <w:r>
        <w:rPr>
          <w:rFonts w:eastAsiaTheme="minorEastAsia"/>
        </w:rPr>
        <w:t>151</w:t>
      </w:r>
      <w:r>
        <w:rPr>
          <w:rFonts w:eastAsiaTheme="minorEastAsia"/>
        </w:rPr>
        <w:t>；</w:t>
      </w:r>
      <w:r>
        <w:rPr>
          <w:rFonts w:eastAsiaTheme="minorEastAsia"/>
        </w:rPr>
        <w:t>K</w:t>
      </w:r>
      <w:r w:rsidRPr="00D23CD7">
        <w:rPr>
          <w:rFonts w:eastAsiaTheme="minorEastAsia"/>
        </w:rPr>
        <w:t xml:space="preserve">. </w:t>
      </w:r>
      <w:r>
        <w:rPr>
          <w:rFonts w:eastAsiaTheme="minorEastAsia"/>
        </w:rPr>
        <w:t xml:space="preserve">Schmalenbach, </w:t>
      </w:r>
      <w:r>
        <w:rPr>
          <w:rFonts w:eastAsiaTheme="minorEastAsia" w:hint="eastAsia"/>
        </w:rPr>
        <w:t>“</w:t>
      </w:r>
      <w:r>
        <w:rPr>
          <w:rFonts w:eastAsiaTheme="minorEastAsia"/>
        </w:rPr>
        <w:t>Dispute</w:t>
      </w:r>
      <w:r w:rsidRPr="00D23CD7">
        <w:rPr>
          <w:rFonts w:eastAsiaTheme="minorEastAsia"/>
        </w:rPr>
        <w:t xml:space="preserve"> </w:t>
      </w:r>
      <w:r>
        <w:rPr>
          <w:rFonts w:eastAsiaTheme="minorEastAsia"/>
        </w:rPr>
        <w:t>Settlement(Article</w:t>
      </w:r>
      <w:r w:rsidRPr="00D23CD7">
        <w:rPr>
          <w:rFonts w:eastAsiaTheme="minorEastAsia"/>
        </w:rPr>
        <w:t xml:space="preserve"> </w:t>
      </w:r>
      <w:r>
        <w:rPr>
          <w:rFonts w:eastAsiaTheme="minorEastAsia"/>
        </w:rPr>
        <w:t>VIII</w:t>
      </w:r>
      <w:r w:rsidRPr="00D23CD7">
        <w:rPr>
          <w:rFonts w:eastAsiaTheme="minorEastAsia"/>
        </w:rPr>
        <w:t xml:space="preserve"> </w:t>
      </w:r>
      <w:r>
        <w:rPr>
          <w:rFonts w:eastAsiaTheme="minorEastAsia"/>
        </w:rPr>
        <w:t>Sections</w:t>
      </w:r>
      <w:r w:rsidRPr="00D23CD7">
        <w:rPr>
          <w:rFonts w:eastAsiaTheme="minorEastAsia"/>
        </w:rPr>
        <w:t xml:space="preserve"> </w:t>
      </w:r>
      <w:r>
        <w:rPr>
          <w:rFonts w:eastAsiaTheme="minorEastAsia"/>
        </w:rPr>
        <w:t>29</w:t>
      </w:r>
      <w:r w:rsidRPr="00D23CD7">
        <w:rPr>
          <w:rFonts w:eastAsiaTheme="minorEastAsia"/>
        </w:rPr>
        <w:t>-</w:t>
      </w:r>
      <w:r>
        <w:rPr>
          <w:rFonts w:eastAsiaTheme="minorEastAsia"/>
        </w:rPr>
        <w:t>3</w:t>
      </w:r>
      <w:r w:rsidRPr="00D23CD7">
        <w:rPr>
          <w:rFonts w:eastAsiaTheme="minorEastAsia"/>
        </w:rPr>
        <w:t xml:space="preserve">0 </w:t>
      </w:r>
      <w:r>
        <w:rPr>
          <w:rFonts w:eastAsiaTheme="minorEastAsia"/>
        </w:rPr>
        <w:t>General</w:t>
      </w:r>
      <w:r w:rsidRPr="00D23CD7">
        <w:rPr>
          <w:rFonts w:eastAsiaTheme="minorEastAsia"/>
        </w:rPr>
        <w:t xml:space="preserve"> </w:t>
      </w:r>
      <w:r>
        <w:rPr>
          <w:rFonts w:eastAsiaTheme="minorEastAsia"/>
        </w:rPr>
        <w:t>Convention)</w:t>
      </w:r>
      <w:r>
        <w:rPr>
          <w:rFonts w:eastAsiaTheme="minorEastAsia" w:hint="eastAsia"/>
        </w:rPr>
        <w:t>”</w:t>
      </w:r>
      <w:r w:rsidRPr="00D23CD7">
        <w:rPr>
          <w:rFonts w:eastAsiaTheme="minorEastAsia"/>
        </w:rPr>
        <w:t xml:space="preserve"> </w:t>
      </w:r>
      <w:r>
        <w:rPr>
          <w:rFonts w:eastAsiaTheme="minorEastAsia"/>
        </w:rPr>
        <w:t>in</w:t>
      </w:r>
      <w:r w:rsidRPr="00D23CD7">
        <w:rPr>
          <w:rFonts w:eastAsiaTheme="minorEastAsia"/>
        </w:rPr>
        <w:t xml:space="preserve"> </w:t>
      </w:r>
      <w:r>
        <w:rPr>
          <w:rFonts w:eastAsiaTheme="minorEastAsia"/>
        </w:rPr>
        <w:t>A</w:t>
      </w:r>
      <w:r w:rsidRPr="00D23CD7">
        <w:rPr>
          <w:rFonts w:eastAsiaTheme="minorEastAsia"/>
        </w:rPr>
        <w:t xml:space="preserve">. </w:t>
      </w:r>
      <w:r>
        <w:rPr>
          <w:rFonts w:eastAsiaTheme="minorEastAsia"/>
        </w:rPr>
        <w:t>Reinisch(ed</w:t>
      </w:r>
      <w:r w:rsidRPr="00D23CD7">
        <w:rPr>
          <w:rFonts w:eastAsiaTheme="minorEastAsia"/>
        </w:rPr>
        <w:t>.</w:t>
      </w:r>
      <w:r>
        <w:rPr>
          <w:rFonts w:eastAsiaTheme="minorEastAsia"/>
        </w:rPr>
        <w:t>)</w:t>
      </w:r>
      <w:r>
        <w:rPr>
          <w:rFonts w:eastAsiaTheme="minorEastAsia"/>
        </w:rPr>
        <w:t>，</w:t>
      </w:r>
      <w:r>
        <w:rPr>
          <w:rFonts w:eastAsiaTheme="minorEastAsia"/>
          <w:i/>
          <w:iCs/>
        </w:rPr>
        <w:t>The</w:t>
      </w:r>
      <w:r w:rsidRPr="00D23CD7">
        <w:rPr>
          <w:rFonts w:eastAsiaTheme="minorEastAsia"/>
          <w:i/>
          <w:iCs/>
        </w:rPr>
        <w:t xml:space="preserve"> </w:t>
      </w:r>
      <w:r>
        <w:rPr>
          <w:rFonts w:eastAsiaTheme="minorEastAsia"/>
          <w:i/>
          <w:iCs/>
        </w:rPr>
        <w:t>Conventions</w:t>
      </w:r>
      <w:r w:rsidRPr="00D23CD7">
        <w:rPr>
          <w:rFonts w:eastAsiaTheme="minorEastAsia"/>
          <w:i/>
          <w:iCs/>
        </w:rPr>
        <w:t xml:space="preserve"> </w:t>
      </w:r>
      <w:r>
        <w:rPr>
          <w:rFonts w:eastAsiaTheme="minorEastAsia"/>
          <w:i/>
          <w:iCs/>
        </w:rPr>
        <w:t>on</w:t>
      </w:r>
      <w:r w:rsidRPr="00D23CD7">
        <w:rPr>
          <w:rFonts w:eastAsiaTheme="minorEastAsia"/>
          <w:i/>
          <w:iCs/>
        </w:rPr>
        <w:t xml:space="preserve"> </w:t>
      </w:r>
      <w:r>
        <w:rPr>
          <w:rFonts w:eastAsiaTheme="minorEastAsia"/>
          <w:i/>
          <w:iCs/>
        </w:rPr>
        <w:t>the</w:t>
      </w:r>
      <w:r w:rsidRPr="00D23CD7">
        <w:rPr>
          <w:rFonts w:eastAsiaTheme="minorEastAsia"/>
          <w:i/>
          <w:iCs/>
        </w:rPr>
        <w:t xml:space="preserve"> </w:t>
      </w:r>
      <w:r>
        <w:rPr>
          <w:rFonts w:eastAsiaTheme="minorEastAsia"/>
          <w:i/>
          <w:iCs/>
        </w:rPr>
        <w:t>Privileges</w:t>
      </w:r>
      <w:r w:rsidRPr="00D23CD7">
        <w:rPr>
          <w:rFonts w:eastAsiaTheme="minorEastAsia"/>
          <w:i/>
          <w:iCs/>
        </w:rPr>
        <w:t xml:space="preserve"> </w:t>
      </w:r>
      <w:r>
        <w:rPr>
          <w:rFonts w:eastAsiaTheme="minorEastAsia"/>
          <w:i/>
          <w:iCs/>
        </w:rPr>
        <w:t>and</w:t>
      </w:r>
      <w:r w:rsidRPr="00D23CD7">
        <w:rPr>
          <w:rFonts w:eastAsiaTheme="minorEastAsia"/>
          <w:i/>
          <w:iCs/>
        </w:rPr>
        <w:t xml:space="preserve"> </w:t>
      </w:r>
      <w:r>
        <w:rPr>
          <w:rFonts w:eastAsiaTheme="minorEastAsia"/>
          <w:i/>
          <w:iCs/>
        </w:rPr>
        <w:t>Immunities</w:t>
      </w:r>
      <w:r w:rsidRPr="00D23CD7">
        <w:rPr>
          <w:rFonts w:eastAsiaTheme="minorEastAsia"/>
          <w:i/>
          <w:iCs/>
        </w:rPr>
        <w:t xml:space="preserve"> </w:t>
      </w:r>
      <w:r>
        <w:rPr>
          <w:rFonts w:eastAsiaTheme="minorEastAsia"/>
          <w:i/>
          <w:iCs/>
        </w:rPr>
        <w:t>of</w:t>
      </w:r>
      <w:r w:rsidRPr="00D23CD7">
        <w:rPr>
          <w:rFonts w:eastAsiaTheme="minorEastAsia"/>
          <w:i/>
          <w:iCs/>
        </w:rPr>
        <w:t xml:space="preserve"> </w:t>
      </w:r>
      <w:r>
        <w:rPr>
          <w:rFonts w:eastAsiaTheme="minorEastAsia"/>
          <w:i/>
          <w:iCs/>
        </w:rPr>
        <w:t>the</w:t>
      </w:r>
      <w:r w:rsidRPr="00D23CD7">
        <w:rPr>
          <w:rFonts w:eastAsiaTheme="minorEastAsia"/>
          <w:i/>
          <w:iCs/>
        </w:rPr>
        <w:t xml:space="preserve"> </w:t>
      </w:r>
      <w:r>
        <w:rPr>
          <w:rFonts w:eastAsiaTheme="minorEastAsia"/>
          <w:i/>
          <w:iCs/>
        </w:rPr>
        <w:t>United</w:t>
      </w:r>
      <w:r w:rsidRPr="00D23CD7">
        <w:rPr>
          <w:rFonts w:eastAsiaTheme="minorEastAsia"/>
          <w:i/>
          <w:iCs/>
        </w:rPr>
        <w:t xml:space="preserve"> </w:t>
      </w:r>
      <w:r>
        <w:rPr>
          <w:rFonts w:eastAsiaTheme="minorEastAsia"/>
          <w:i/>
          <w:iCs/>
        </w:rPr>
        <w:t>Nations</w:t>
      </w:r>
      <w:r w:rsidRPr="00D23CD7">
        <w:rPr>
          <w:rFonts w:eastAsiaTheme="minorEastAsia"/>
          <w:i/>
          <w:iCs/>
        </w:rPr>
        <w:t xml:space="preserve"> </w:t>
      </w:r>
      <w:r>
        <w:rPr>
          <w:rFonts w:eastAsiaTheme="minorEastAsia"/>
          <w:i/>
          <w:iCs/>
        </w:rPr>
        <w:t>and</w:t>
      </w:r>
      <w:r w:rsidRPr="00D23CD7">
        <w:rPr>
          <w:rFonts w:eastAsiaTheme="minorEastAsia"/>
          <w:i/>
          <w:iCs/>
        </w:rPr>
        <w:t xml:space="preserve"> </w:t>
      </w:r>
      <w:r>
        <w:rPr>
          <w:rFonts w:eastAsiaTheme="minorEastAsia"/>
          <w:i/>
          <w:iCs/>
        </w:rPr>
        <w:t>its</w:t>
      </w:r>
      <w:r w:rsidRPr="00D23CD7">
        <w:rPr>
          <w:rFonts w:eastAsiaTheme="minorEastAsia"/>
          <w:i/>
          <w:iCs/>
        </w:rPr>
        <w:t xml:space="preserve"> </w:t>
      </w:r>
      <w:r>
        <w:rPr>
          <w:rFonts w:eastAsiaTheme="minorEastAsia"/>
          <w:i/>
          <w:iCs/>
        </w:rPr>
        <w:t>Specialized</w:t>
      </w:r>
      <w:r w:rsidRPr="00D23CD7">
        <w:rPr>
          <w:rFonts w:eastAsiaTheme="minorEastAsia"/>
          <w:i/>
          <w:iCs/>
        </w:rPr>
        <w:t xml:space="preserve"> </w:t>
      </w:r>
      <w:r>
        <w:rPr>
          <w:rFonts w:eastAsiaTheme="minorEastAsia"/>
          <w:i/>
          <w:iCs/>
        </w:rPr>
        <w:t>Agencies:A</w:t>
      </w:r>
      <w:r w:rsidRPr="00D23CD7">
        <w:rPr>
          <w:rFonts w:eastAsiaTheme="minorEastAsia"/>
          <w:i/>
          <w:iCs/>
        </w:rPr>
        <w:t xml:space="preserve"> </w:t>
      </w:r>
      <w:r>
        <w:rPr>
          <w:rFonts w:eastAsiaTheme="minorEastAsia"/>
          <w:i/>
          <w:iCs/>
        </w:rPr>
        <w:t>Commentary(</w:t>
      </w:r>
      <w:r>
        <w:rPr>
          <w:rFonts w:eastAsiaTheme="minorEastAsia"/>
        </w:rPr>
        <w:t>Oxford:Oxford</w:t>
      </w:r>
      <w:r w:rsidRPr="00D23CD7">
        <w:rPr>
          <w:rFonts w:eastAsiaTheme="minorEastAsia"/>
        </w:rPr>
        <w:t xml:space="preserve"> </w:t>
      </w:r>
      <w:r>
        <w:rPr>
          <w:rFonts w:eastAsiaTheme="minorEastAsia"/>
        </w:rPr>
        <w:t>University</w:t>
      </w:r>
      <w:r w:rsidRPr="00D23CD7">
        <w:rPr>
          <w:rFonts w:eastAsiaTheme="minorEastAsia"/>
        </w:rPr>
        <w:t xml:space="preserve"> </w:t>
      </w:r>
      <w:r>
        <w:rPr>
          <w:rFonts w:eastAsiaTheme="minorEastAsia"/>
        </w:rPr>
        <w:t>Press, 2016)</w:t>
      </w:r>
      <w:r>
        <w:rPr>
          <w:rFonts w:eastAsiaTheme="minorEastAsia"/>
        </w:rPr>
        <w:t>，</w:t>
      </w:r>
      <w:r>
        <w:rPr>
          <w:rFonts w:eastAsiaTheme="minorEastAsia"/>
        </w:rPr>
        <w:t>pp. 529-588, at p. 530</w:t>
      </w:r>
      <w:r>
        <w:rPr>
          <w:rFonts w:eastAsiaTheme="minorEastAsia" w:hint="eastAsia"/>
        </w:rPr>
        <w:t>。</w:t>
      </w:r>
    </w:p>
  </w:footnote>
  <w:footnote w:id="1534">
    <w:p w:rsidR="00AB00DE" w:rsidRPr="002904A3" w:rsidRDefault="00AB00DE" w:rsidP="000B444F">
      <w:pPr>
        <w:pStyle w:val="a4"/>
      </w:pPr>
      <w:r>
        <w:rPr>
          <w:rFonts w:hint="eastAsia"/>
        </w:rPr>
        <w:tab/>
      </w:r>
      <w:r w:rsidRPr="00523D41">
        <w:rPr>
          <w:rStyle w:val="a5"/>
        </w:rPr>
        <w:footnoteRef/>
      </w:r>
      <w:r>
        <w:rPr>
          <w:rFonts w:hint="eastAsia"/>
        </w:rPr>
        <w:tab/>
      </w:r>
      <w:r>
        <w:t>《国际法委员会年鉴》</w:t>
      </w:r>
      <w:r>
        <w:rPr>
          <w:rFonts w:hint="eastAsia"/>
        </w:rPr>
        <w:t>，</w:t>
      </w:r>
      <w:r w:rsidRPr="002904A3">
        <w:t>1998</w:t>
      </w:r>
      <w:r>
        <w:t>年</w:t>
      </w:r>
      <w:r>
        <w:rPr>
          <w:rFonts w:hint="eastAsia"/>
        </w:rPr>
        <w:t>，</w:t>
      </w:r>
      <w:r>
        <w:t>第二卷</w:t>
      </w:r>
      <w:r>
        <w:rPr>
          <w:rFonts w:hint="eastAsia"/>
        </w:rPr>
        <w:t>(</w:t>
      </w:r>
      <w:r>
        <w:rPr>
          <w:rFonts w:hint="eastAsia"/>
        </w:rPr>
        <w:t>第二部分</w:t>
      </w:r>
      <w:r>
        <w:rPr>
          <w:rFonts w:hint="eastAsia"/>
        </w:rPr>
        <w:t>)</w:t>
      </w:r>
      <w:r>
        <w:rPr>
          <w:rFonts w:hint="eastAsia"/>
        </w:rPr>
        <w:t>，第</w:t>
      </w:r>
      <w:r w:rsidRPr="002904A3">
        <w:t>110</w:t>
      </w:r>
      <w:r>
        <w:rPr>
          <w:rFonts w:hint="eastAsia"/>
        </w:rPr>
        <w:t>页。</w:t>
      </w:r>
    </w:p>
  </w:footnote>
  <w:footnote w:id="1535">
    <w:p w:rsidR="00AB00DE" w:rsidRPr="00032578" w:rsidRDefault="00AB00DE" w:rsidP="000B444F">
      <w:pPr>
        <w:pStyle w:val="a4"/>
      </w:pPr>
      <w:r>
        <w:rPr>
          <w:rFonts w:hint="eastAsia"/>
        </w:rPr>
        <w:tab/>
      </w:r>
      <w:r w:rsidRPr="00523D41">
        <w:rPr>
          <w:rStyle w:val="a5"/>
        </w:rPr>
        <w:footnoteRef/>
      </w:r>
      <w:r>
        <w:rPr>
          <w:rFonts w:hint="eastAsia"/>
        </w:rPr>
        <w:tab/>
      </w:r>
      <w:r>
        <w:rPr>
          <w:rFonts w:hint="eastAsia"/>
        </w:rPr>
        <w:t>关于国家责任的第一次报告</w:t>
      </w:r>
      <w:r>
        <w:rPr>
          <w:rFonts w:hint="eastAsia"/>
        </w:rPr>
        <w:t>(</w:t>
      </w:r>
      <w:r>
        <w:rPr>
          <w:rFonts w:hint="eastAsia"/>
        </w:rPr>
        <w:t>第</w:t>
      </w:r>
      <w:r w:rsidRPr="00032578">
        <w:t>5</w:t>
      </w:r>
      <w:r>
        <w:rPr>
          <w:rFonts w:hint="eastAsia"/>
        </w:rPr>
        <w:t>号增编</w:t>
      </w:r>
      <w:r>
        <w:rPr>
          <w:rFonts w:hint="eastAsia"/>
        </w:rPr>
        <w:t>)</w:t>
      </w:r>
      <w:r>
        <w:rPr>
          <w:rFonts w:hint="eastAsia"/>
        </w:rPr>
        <w:t>，詹姆斯·克劳福德先生，</w:t>
      </w:r>
      <w:r w:rsidRPr="00032578">
        <w:t>1998</w:t>
      </w:r>
      <w:r>
        <w:rPr>
          <w:rFonts w:hint="eastAsia"/>
        </w:rPr>
        <w:t>年</w:t>
      </w:r>
      <w:r>
        <w:rPr>
          <w:rFonts w:hint="eastAsia"/>
        </w:rPr>
        <w:t>7</w:t>
      </w:r>
      <w:r>
        <w:rPr>
          <w:rFonts w:hint="eastAsia"/>
        </w:rPr>
        <w:t>月</w:t>
      </w:r>
      <w:r>
        <w:rPr>
          <w:rFonts w:hint="eastAsia"/>
        </w:rPr>
        <w:t>22</w:t>
      </w:r>
      <w:r>
        <w:rPr>
          <w:rFonts w:hint="eastAsia"/>
        </w:rPr>
        <w:t>日，联合国文件</w:t>
      </w:r>
      <w:r>
        <w:t>A/CN.4/490/Add.5</w:t>
      </w:r>
      <w:r>
        <w:rPr>
          <w:rFonts w:hint="eastAsia"/>
        </w:rPr>
        <w:t>，第</w:t>
      </w:r>
      <w:r w:rsidRPr="00032578">
        <w:t>282</w:t>
      </w:r>
      <w:r>
        <w:rPr>
          <w:rFonts w:hint="eastAsia"/>
        </w:rPr>
        <w:t>段。</w:t>
      </w:r>
    </w:p>
  </w:footnote>
  <w:footnote w:id="1536">
    <w:p w:rsidR="00AB00DE" w:rsidRPr="00475DC4" w:rsidRDefault="00AB00DE" w:rsidP="000B444F">
      <w:pPr>
        <w:pStyle w:val="a4"/>
      </w:pPr>
      <w:r>
        <w:rPr>
          <w:rFonts w:hint="eastAsia"/>
        </w:rPr>
        <w:tab/>
      </w:r>
      <w:r w:rsidRPr="00523D41">
        <w:rPr>
          <w:rStyle w:val="a5"/>
        </w:rPr>
        <w:footnoteRef/>
      </w:r>
      <w:r>
        <w:rPr>
          <w:rFonts w:hint="eastAsia"/>
        </w:rPr>
        <w:tab/>
      </w:r>
      <w:r>
        <w:rPr>
          <w:rFonts w:hint="eastAsia"/>
        </w:rPr>
        <w:t>国际法委员会通过的</w:t>
      </w:r>
      <w:r w:rsidRPr="000B1A4C">
        <w:rPr>
          <w:rFonts w:hint="eastAsia"/>
        </w:rPr>
        <w:t>国家对国际不法行为的责任条款草案评注</w:t>
      </w:r>
      <w:r>
        <w:rPr>
          <w:rFonts w:hint="eastAsia"/>
        </w:rPr>
        <w:t>，国际法委员会的报告，第五十三届会议，</w:t>
      </w:r>
      <w:r w:rsidRPr="000B1A4C">
        <w:t>2001</w:t>
      </w:r>
      <w:r>
        <w:rPr>
          <w:rFonts w:hint="eastAsia"/>
        </w:rPr>
        <w:t>年，</w:t>
      </w:r>
      <w:r>
        <w:t>大会正式记录</w:t>
      </w:r>
      <w:r>
        <w:rPr>
          <w:rFonts w:hint="eastAsia"/>
        </w:rPr>
        <w:t>，补编第</w:t>
      </w:r>
      <w:r>
        <w:rPr>
          <w:rFonts w:hint="eastAsia"/>
        </w:rPr>
        <w:t>10</w:t>
      </w:r>
      <w:r>
        <w:rPr>
          <w:rFonts w:hint="eastAsia"/>
        </w:rPr>
        <w:t>号</w:t>
      </w:r>
      <w:r>
        <w:rPr>
          <w:rFonts w:hint="eastAsia"/>
        </w:rPr>
        <w:t>(</w:t>
      </w:r>
      <w:r w:rsidRPr="00475DC4">
        <w:t>A/56/10</w:t>
      </w:r>
      <w:r>
        <w:rPr>
          <w:rFonts w:hint="eastAsia"/>
        </w:rPr>
        <w:t>)</w:t>
      </w:r>
      <w:r>
        <w:rPr>
          <w:rFonts w:hint="eastAsia"/>
        </w:rPr>
        <w:t>，第</w:t>
      </w:r>
      <w:r w:rsidRPr="00475DC4">
        <w:t>119</w:t>
      </w:r>
      <w:r>
        <w:rPr>
          <w:rFonts w:hint="eastAsia"/>
        </w:rPr>
        <w:t>页，第</w:t>
      </w:r>
      <w:r w:rsidRPr="00475DC4">
        <w:t>3</w:t>
      </w:r>
      <w:r>
        <w:rPr>
          <w:rFonts w:hint="eastAsia"/>
        </w:rPr>
        <w:t>段。</w:t>
      </w:r>
    </w:p>
  </w:footnote>
  <w:footnote w:id="1537">
    <w:p w:rsidR="00AB00DE" w:rsidRDefault="00AB00DE" w:rsidP="000B444F">
      <w:pPr>
        <w:pStyle w:val="a4"/>
      </w:pPr>
      <w:r>
        <w:rPr>
          <w:rFonts w:hint="eastAsia"/>
        </w:rPr>
        <w:tab/>
      </w:r>
      <w:r w:rsidRPr="00523D41">
        <w:rPr>
          <w:rStyle w:val="a5"/>
        </w:rPr>
        <w:footnoteRef/>
      </w:r>
      <w:r>
        <w:rPr>
          <w:rFonts w:hint="eastAsia"/>
        </w:rPr>
        <w:tab/>
      </w:r>
      <w:r w:rsidRPr="00E40D7A">
        <w:t>J</w:t>
      </w:r>
      <w:r>
        <w:t xml:space="preserve">. </w:t>
      </w:r>
      <w:r w:rsidRPr="000F00D1">
        <w:t>Crawford</w:t>
      </w:r>
      <w:r w:rsidRPr="00736A2C">
        <w:rPr>
          <w:i/>
          <w:iCs/>
        </w:rPr>
        <w:t>., State Responsibility. The General Part,</w:t>
      </w:r>
      <w:r>
        <w:t xml:space="preserve"> Cambridge, CUP, 2013, pp. 435-455</w:t>
      </w:r>
      <w:r>
        <w:rPr>
          <w:rFonts w:hint="eastAsia"/>
        </w:rPr>
        <w:t>。</w:t>
      </w:r>
    </w:p>
  </w:footnote>
  <w:footnote w:id="1538">
    <w:p w:rsidR="00AB00DE" w:rsidRDefault="00AB00DE" w:rsidP="000B444F">
      <w:pPr>
        <w:pStyle w:val="a4"/>
      </w:pPr>
      <w:r>
        <w:rPr>
          <w:rFonts w:hint="eastAsia"/>
        </w:rPr>
        <w:tab/>
      </w:r>
      <w:r w:rsidRPr="00523D41">
        <w:rPr>
          <w:rStyle w:val="a5"/>
        </w:rPr>
        <w:footnoteRef/>
      </w:r>
      <w:r>
        <w:rPr>
          <w:rFonts w:hint="eastAsia"/>
        </w:rPr>
        <w:tab/>
      </w:r>
      <w:r w:rsidRPr="00362214">
        <w:rPr>
          <w:rFonts w:hint="eastAsia"/>
        </w:rPr>
        <w:t>国家和政府的继承问题小组委员会</w:t>
      </w:r>
      <w:r>
        <w:rPr>
          <w:rFonts w:hint="eastAsia"/>
        </w:rPr>
        <w:t>的报</w:t>
      </w:r>
      <w:r w:rsidRPr="00E42467">
        <w:rPr>
          <w:rFonts w:hint="eastAsia"/>
          <w:spacing w:val="-6"/>
        </w:rPr>
        <w:t>告，</w:t>
      </w:r>
      <w:r w:rsidRPr="00E42467">
        <w:rPr>
          <w:spacing w:val="-6"/>
        </w:rPr>
        <w:t>《国际法委员会年鉴》</w:t>
      </w:r>
      <w:r w:rsidRPr="00E42467">
        <w:rPr>
          <w:rFonts w:hint="eastAsia"/>
          <w:spacing w:val="-6"/>
        </w:rPr>
        <w:t>，</w:t>
      </w:r>
      <w:r w:rsidRPr="00E42467">
        <w:rPr>
          <w:spacing w:val="-6"/>
        </w:rPr>
        <w:t>1963</w:t>
      </w:r>
      <w:r w:rsidRPr="00E42467">
        <w:rPr>
          <w:spacing w:val="-6"/>
        </w:rPr>
        <w:t>年</w:t>
      </w:r>
      <w:r>
        <w:rPr>
          <w:rFonts w:hint="eastAsia"/>
          <w:spacing w:val="-6"/>
        </w:rPr>
        <w:t>，</w:t>
      </w:r>
      <w:r w:rsidRPr="00E42467">
        <w:rPr>
          <w:spacing w:val="-6"/>
        </w:rPr>
        <w:t>第二卷</w:t>
      </w:r>
      <w:r w:rsidRPr="00E42467">
        <w:rPr>
          <w:rFonts w:hint="eastAsia"/>
          <w:spacing w:val="-6"/>
        </w:rPr>
        <w:t>，第</w:t>
      </w:r>
      <w:r w:rsidRPr="00E42467">
        <w:rPr>
          <w:spacing w:val="-6"/>
        </w:rPr>
        <w:t>260</w:t>
      </w:r>
      <w:r>
        <w:rPr>
          <w:rFonts w:hint="eastAsia"/>
        </w:rPr>
        <w:t>页。</w:t>
      </w:r>
    </w:p>
  </w:footnote>
  <w:footnote w:id="1539">
    <w:p w:rsidR="00AB00DE" w:rsidRDefault="00AB00DE" w:rsidP="000B444F">
      <w:pPr>
        <w:pStyle w:val="a4"/>
      </w:pPr>
      <w:r>
        <w:rPr>
          <w:rFonts w:hint="eastAsia"/>
        </w:rPr>
        <w:tab/>
      </w:r>
      <w:r w:rsidRPr="00523D41">
        <w:rPr>
          <w:rStyle w:val="a5"/>
        </w:rPr>
        <w:footnoteRef/>
      </w:r>
      <w:r>
        <w:rPr>
          <w:rFonts w:hint="eastAsia"/>
        </w:rPr>
        <w:tab/>
      </w:r>
      <w:r w:rsidRPr="00D4081A">
        <w:t>《国际法委员会年鉴》</w:t>
      </w:r>
      <w:r>
        <w:rPr>
          <w:rFonts w:hint="eastAsia"/>
        </w:rPr>
        <w:t>，</w:t>
      </w:r>
      <w:r w:rsidRPr="00D4081A">
        <w:t>1963</w:t>
      </w:r>
      <w:r w:rsidRPr="00D4081A">
        <w:t>年</w:t>
      </w:r>
      <w:r>
        <w:rPr>
          <w:rFonts w:hint="eastAsia"/>
        </w:rPr>
        <w:t>，</w:t>
      </w:r>
      <w:r w:rsidRPr="00D4081A">
        <w:t>第二卷</w:t>
      </w:r>
      <w:r>
        <w:rPr>
          <w:rFonts w:hint="eastAsia"/>
        </w:rPr>
        <w:t>，第</w:t>
      </w:r>
      <w:r w:rsidRPr="00D4081A">
        <w:t>299</w:t>
      </w:r>
      <w:r>
        <w:rPr>
          <w:rFonts w:hint="eastAsia"/>
        </w:rPr>
        <w:t>页。</w:t>
      </w:r>
    </w:p>
  </w:footnote>
  <w:footnote w:id="1540">
    <w:p w:rsidR="00AB00DE" w:rsidRPr="00734485" w:rsidRDefault="00AB00DE" w:rsidP="000B444F">
      <w:pPr>
        <w:pStyle w:val="a4"/>
      </w:pPr>
      <w:r>
        <w:rPr>
          <w:rFonts w:hint="eastAsia"/>
        </w:rPr>
        <w:tab/>
      </w:r>
      <w:r w:rsidRPr="00523D41">
        <w:rPr>
          <w:rStyle w:val="a5"/>
        </w:rPr>
        <w:footnoteRef/>
      </w:r>
      <w:r>
        <w:rPr>
          <w:rFonts w:hint="eastAsia"/>
        </w:rPr>
        <w:tab/>
      </w:r>
      <w:r>
        <w:rPr>
          <w:rFonts w:hint="eastAsia"/>
        </w:rPr>
        <w:t>大会</w:t>
      </w:r>
      <w:r w:rsidRPr="00734485">
        <w:t>2000</w:t>
      </w:r>
      <w:r>
        <w:t>年</w:t>
      </w:r>
      <w:r>
        <w:t>12</w:t>
      </w:r>
      <w:r>
        <w:t>月</w:t>
      </w:r>
      <w:r w:rsidRPr="00734485">
        <w:t>12</w:t>
      </w:r>
      <w:r>
        <w:t>日</w:t>
      </w:r>
      <w:r>
        <w:rPr>
          <w:rFonts w:hint="eastAsia"/>
        </w:rPr>
        <w:t>第</w:t>
      </w:r>
      <w:r w:rsidRPr="00734485">
        <w:t>55/153</w:t>
      </w:r>
      <w:r>
        <w:rPr>
          <w:rFonts w:hint="eastAsia"/>
        </w:rPr>
        <w:t>号决议附件中通过的案文。</w:t>
      </w:r>
    </w:p>
  </w:footnote>
  <w:footnote w:id="1541">
    <w:p w:rsidR="00AB00DE" w:rsidRPr="003B76EB" w:rsidRDefault="00AB00DE" w:rsidP="000B444F">
      <w:pPr>
        <w:pStyle w:val="a4"/>
      </w:pPr>
      <w:r>
        <w:rPr>
          <w:rFonts w:hint="eastAsia"/>
        </w:rPr>
        <w:tab/>
      </w:r>
      <w:r w:rsidRPr="00523D41">
        <w:rPr>
          <w:rStyle w:val="a5"/>
        </w:rPr>
        <w:footnoteRef/>
      </w:r>
      <w:r>
        <w:rPr>
          <w:rFonts w:hint="eastAsia"/>
        </w:rPr>
        <w:tab/>
      </w:r>
      <w:r>
        <w:rPr>
          <w:rFonts w:hint="eastAsia"/>
        </w:rPr>
        <w:t>例如，</w:t>
      </w:r>
      <w:r>
        <w:t>见</w:t>
      </w:r>
      <w:r w:rsidRPr="003B76EB">
        <w:rPr>
          <w:bCs/>
          <w:color w:val="000000"/>
        </w:rPr>
        <w:t>《防止及惩治灭绝种族罪公约》的适用</w:t>
      </w:r>
      <w:r>
        <w:rPr>
          <w:rFonts w:hint="eastAsia"/>
          <w:bCs/>
          <w:color w:val="000000"/>
        </w:rPr>
        <w:t>(</w:t>
      </w:r>
      <w:r>
        <w:rPr>
          <w:bCs/>
          <w:color w:val="000000"/>
        </w:rPr>
        <w:t>克罗地亚诉塞尔维亚和黑山</w:t>
      </w:r>
      <w:r>
        <w:rPr>
          <w:rFonts w:hint="eastAsia"/>
          <w:bCs/>
          <w:color w:val="000000"/>
        </w:rPr>
        <w:t>)</w:t>
      </w:r>
      <w:r>
        <w:rPr>
          <w:rFonts w:hint="eastAsia"/>
          <w:bCs/>
          <w:color w:val="000000"/>
        </w:rPr>
        <w:t>，初步例外。</w:t>
      </w:r>
      <w:r w:rsidRPr="005871DF">
        <w:rPr>
          <w:rFonts w:hint="eastAsia"/>
          <w:bCs/>
          <w:color w:val="000000"/>
        </w:rPr>
        <w:t>2008</w:t>
      </w:r>
      <w:r w:rsidRPr="005871DF">
        <w:rPr>
          <w:rFonts w:hint="eastAsia"/>
          <w:bCs/>
          <w:color w:val="000000"/>
        </w:rPr>
        <w:t>年</w:t>
      </w:r>
      <w:r w:rsidRPr="005871DF">
        <w:rPr>
          <w:rFonts w:hint="eastAsia"/>
          <w:bCs/>
          <w:color w:val="000000"/>
        </w:rPr>
        <w:t>11</w:t>
      </w:r>
      <w:r w:rsidRPr="005871DF">
        <w:rPr>
          <w:rFonts w:hint="eastAsia"/>
          <w:bCs/>
          <w:color w:val="000000"/>
        </w:rPr>
        <w:t>月</w:t>
      </w:r>
      <w:r w:rsidRPr="005871DF">
        <w:rPr>
          <w:rFonts w:hint="eastAsia"/>
          <w:bCs/>
          <w:color w:val="000000"/>
        </w:rPr>
        <w:t>18</w:t>
      </w:r>
      <w:r w:rsidRPr="005871DF">
        <w:rPr>
          <w:rFonts w:hint="eastAsia"/>
          <w:bCs/>
          <w:color w:val="000000"/>
        </w:rPr>
        <w:t>日的判决</w:t>
      </w:r>
      <w:r>
        <w:rPr>
          <w:rFonts w:hint="eastAsia"/>
          <w:bCs/>
          <w:color w:val="000000"/>
        </w:rPr>
        <w:t>，</w:t>
      </w:r>
      <w:r>
        <w:rPr>
          <w:bCs/>
          <w:color w:val="000000"/>
        </w:rPr>
        <w:t>《</w:t>
      </w:r>
      <w:r>
        <w:rPr>
          <w:bCs/>
          <w:color w:val="000000"/>
        </w:rPr>
        <w:t>2008</w:t>
      </w:r>
      <w:r>
        <w:rPr>
          <w:bCs/>
          <w:color w:val="000000"/>
        </w:rPr>
        <w:t>年国际法院案例汇编》</w:t>
      </w:r>
      <w:r>
        <w:rPr>
          <w:rFonts w:hint="eastAsia"/>
          <w:bCs/>
          <w:color w:val="000000"/>
        </w:rPr>
        <w:t>，第</w:t>
      </w:r>
      <w:r w:rsidRPr="003B76EB">
        <w:rPr>
          <w:bCs/>
          <w:color w:val="000000"/>
        </w:rPr>
        <w:t>109</w:t>
      </w:r>
      <w:r>
        <w:rPr>
          <w:rFonts w:hint="eastAsia"/>
          <w:bCs/>
          <w:color w:val="000000"/>
        </w:rPr>
        <w:t>段。</w:t>
      </w:r>
    </w:p>
  </w:footnote>
  <w:footnote w:id="1542">
    <w:p w:rsidR="00AB00DE" w:rsidRPr="006171C1" w:rsidRDefault="00AB00DE" w:rsidP="000B444F">
      <w:pPr>
        <w:pStyle w:val="a4"/>
      </w:pPr>
      <w:r>
        <w:rPr>
          <w:rFonts w:hint="eastAsia"/>
        </w:rPr>
        <w:tab/>
      </w:r>
      <w:r w:rsidRPr="00523D41">
        <w:rPr>
          <w:rStyle w:val="a5"/>
        </w:rPr>
        <w:footnoteRef/>
      </w:r>
      <w:r>
        <w:rPr>
          <w:rFonts w:hint="eastAsia"/>
        </w:rPr>
        <w:tab/>
      </w:r>
      <w:r w:rsidRPr="006171C1">
        <w:rPr>
          <w:rFonts w:hint="eastAsia"/>
        </w:rPr>
        <w:t>例如，</w:t>
      </w:r>
      <w:r w:rsidRPr="006171C1">
        <w:t>捷克共和国</w:t>
      </w:r>
      <w:r w:rsidRPr="006171C1">
        <w:rPr>
          <w:rFonts w:hint="eastAsia"/>
        </w:rPr>
        <w:t>和斯洛伐克共和国在交存《</w:t>
      </w:r>
      <w:r w:rsidRPr="006171C1">
        <w:rPr>
          <w:rFonts w:hint="eastAsia"/>
        </w:rPr>
        <w:t>1978</w:t>
      </w:r>
      <w:r w:rsidRPr="006171C1">
        <w:rPr>
          <w:rFonts w:hint="eastAsia"/>
        </w:rPr>
        <w:t>年维也纳公约》批准书时，均根据第七条第</w:t>
      </w:r>
      <w:r w:rsidRPr="006171C1">
        <w:rPr>
          <w:rFonts w:hint="eastAsia"/>
        </w:rPr>
        <w:t>2</w:t>
      </w:r>
      <w:r w:rsidRPr="006171C1">
        <w:rPr>
          <w:rFonts w:hint="eastAsia"/>
        </w:rPr>
        <w:t>款和第</w:t>
      </w:r>
      <w:r w:rsidRPr="006171C1">
        <w:rPr>
          <w:rFonts w:hint="eastAsia"/>
        </w:rPr>
        <w:t>3</w:t>
      </w:r>
      <w:r w:rsidRPr="006171C1">
        <w:rPr>
          <w:rFonts w:hint="eastAsia"/>
        </w:rPr>
        <w:t>款发表声明，称将在本国于《</w:t>
      </w:r>
      <w:r w:rsidRPr="006171C1">
        <w:rPr>
          <w:rFonts w:hint="eastAsia"/>
        </w:rPr>
        <w:t>1978</w:t>
      </w:r>
      <w:r w:rsidRPr="006171C1">
        <w:rPr>
          <w:rFonts w:hint="eastAsia"/>
        </w:rPr>
        <w:t>年公约》生效之前发生的继承中适用《公约》。</w:t>
      </w:r>
      <w:r w:rsidRPr="006171C1">
        <w:t>见</w:t>
      </w:r>
      <w:r w:rsidRPr="006171C1">
        <w:rPr>
          <w:rFonts w:hint="eastAsia"/>
        </w:rPr>
        <w:t>截至</w:t>
      </w:r>
      <w:r w:rsidRPr="006171C1">
        <w:rPr>
          <w:rFonts w:hint="eastAsia"/>
        </w:rPr>
        <w:t>2014</w:t>
      </w:r>
      <w:r w:rsidRPr="006171C1">
        <w:rPr>
          <w:rFonts w:hint="eastAsia"/>
        </w:rPr>
        <w:t>年</w:t>
      </w:r>
      <w:r w:rsidRPr="006171C1">
        <w:rPr>
          <w:rFonts w:hint="eastAsia"/>
        </w:rPr>
        <w:t>4</w:t>
      </w:r>
      <w:r w:rsidRPr="006171C1">
        <w:rPr>
          <w:rFonts w:hint="eastAsia"/>
        </w:rPr>
        <w:t>月</w:t>
      </w:r>
      <w:r w:rsidRPr="006171C1">
        <w:rPr>
          <w:rFonts w:hint="eastAsia"/>
        </w:rPr>
        <w:t>15</w:t>
      </w:r>
      <w:r w:rsidRPr="006171C1">
        <w:rPr>
          <w:rFonts w:hint="eastAsia"/>
        </w:rPr>
        <w:t>日的条约状况表。第二十三章：条约法</w:t>
      </w:r>
      <w:r w:rsidRPr="006171C1">
        <w:t>(https://treaties.un.org/</w:t>
      </w:r>
      <w:r w:rsidRPr="006171C1">
        <w:rPr>
          <w:rFonts w:hint="eastAsia"/>
        </w:rPr>
        <w:t xml:space="preserve"> </w:t>
      </w:r>
      <w:r w:rsidRPr="006171C1">
        <w:t>pages/ViewDetails.aspx?src=TREATY&amp;mtdsg_no=XXIII-2&amp;chapter=23&amp;lang=en)</w:t>
      </w:r>
      <w:r w:rsidRPr="006171C1">
        <w:rPr>
          <w:rFonts w:hint="eastAsia"/>
          <w:lang w:val="fr-FR"/>
        </w:rPr>
        <w:t>。</w:t>
      </w:r>
    </w:p>
  </w:footnote>
  <w:footnote w:id="1543">
    <w:p w:rsidR="00AB00DE" w:rsidRPr="007E5D34" w:rsidRDefault="00AB00DE" w:rsidP="000B444F">
      <w:pPr>
        <w:pStyle w:val="a4"/>
      </w:pPr>
      <w:r w:rsidRPr="006171C1">
        <w:rPr>
          <w:rFonts w:hint="eastAsia"/>
        </w:rPr>
        <w:tab/>
      </w:r>
      <w:r w:rsidRPr="00523D41">
        <w:rPr>
          <w:rStyle w:val="a5"/>
        </w:rPr>
        <w:footnoteRef/>
      </w:r>
      <w:r>
        <w:rPr>
          <w:rFonts w:hint="eastAsia"/>
        </w:rPr>
        <w:tab/>
      </w:r>
      <w:r w:rsidRPr="00EE1A21">
        <w:rPr>
          <w:rFonts w:eastAsia="楷体"/>
        </w:rPr>
        <w:t>Robert E. Brown</w:t>
      </w:r>
      <w:r w:rsidRPr="00EE1A21">
        <w:rPr>
          <w:rFonts w:eastAsia="楷体" w:hint="eastAsia"/>
        </w:rPr>
        <w:t>求偿案</w:t>
      </w:r>
      <w:r>
        <w:rPr>
          <w:rFonts w:hint="eastAsia"/>
        </w:rPr>
        <w:t>(</w:t>
      </w:r>
      <w:r>
        <w:t>美国诉</w:t>
      </w:r>
      <w:r>
        <w:rPr>
          <w:rFonts w:hint="eastAsia"/>
        </w:rPr>
        <w:t>英国</w:t>
      </w:r>
      <w:r>
        <w:rPr>
          <w:rFonts w:hint="eastAsia"/>
        </w:rPr>
        <w:t>)</w:t>
      </w:r>
      <w:r>
        <w:rPr>
          <w:rFonts w:hint="eastAsia"/>
        </w:rPr>
        <w:t>，美国和英国申诉仲裁，第</w:t>
      </w:r>
      <w:r w:rsidRPr="007E5D34">
        <w:t>30</w:t>
      </w:r>
      <w:r>
        <w:rPr>
          <w:rFonts w:hint="eastAsia"/>
        </w:rPr>
        <w:t>号申诉；</w:t>
      </w:r>
      <w:r w:rsidRPr="007E5D34">
        <w:t>6</w:t>
      </w:r>
      <w:r>
        <w:t xml:space="preserve"> </w:t>
      </w:r>
      <w:r>
        <w:t>联合国《国际仲裁裁决汇编》</w:t>
      </w:r>
      <w:r>
        <w:rPr>
          <w:rFonts w:hint="eastAsia"/>
        </w:rPr>
        <w:t>(</w:t>
      </w:r>
      <w:r w:rsidRPr="007E5D34">
        <w:t>1923</w:t>
      </w:r>
      <w:r>
        <w:rPr>
          <w:rFonts w:hint="eastAsia"/>
        </w:rPr>
        <w:t>年</w:t>
      </w:r>
      <w:r>
        <w:rPr>
          <w:rFonts w:hint="eastAsia"/>
        </w:rPr>
        <w:t>)</w:t>
      </w:r>
      <w:r>
        <w:rPr>
          <w:rFonts w:hint="eastAsia"/>
        </w:rPr>
        <w:t>，第</w:t>
      </w:r>
      <w:r w:rsidRPr="007E5D34">
        <w:t>120</w:t>
      </w:r>
      <w:r>
        <w:rPr>
          <w:rFonts w:hint="eastAsia"/>
        </w:rPr>
        <w:t>页。</w:t>
      </w:r>
    </w:p>
  </w:footnote>
  <w:footnote w:id="1544">
    <w:p w:rsidR="00AB00DE" w:rsidRPr="00FD687B" w:rsidRDefault="00AB00DE" w:rsidP="000B444F">
      <w:pPr>
        <w:pStyle w:val="a4"/>
      </w:pPr>
      <w:r>
        <w:rPr>
          <w:rFonts w:hint="eastAsia"/>
        </w:rPr>
        <w:tab/>
      </w:r>
      <w:r w:rsidRPr="00523D41">
        <w:rPr>
          <w:rStyle w:val="a5"/>
        </w:rPr>
        <w:footnoteRef/>
      </w:r>
      <w:r>
        <w:rPr>
          <w:rFonts w:hint="eastAsia"/>
        </w:rPr>
        <w:tab/>
      </w:r>
      <w:r w:rsidRPr="00FD687B">
        <w:t>Frederick Henry Redward</w:t>
      </w:r>
      <w:r w:rsidRPr="00EE1A21">
        <w:rPr>
          <w:rFonts w:eastAsia="楷体" w:hint="eastAsia"/>
        </w:rPr>
        <w:t>求偿案</w:t>
      </w:r>
      <w:r>
        <w:rPr>
          <w:rFonts w:hint="eastAsia"/>
        </w:rPr>
        <w:t>(</w:t>
      </w:r>
      <w:r>
        <w:rPr>
          <w:rFonts w:hint="eastAsia"/>
        </w:rPr>
        <w:t>英国</w:t>
      </w:r>
      <w:r>
        <w:t>诉美国</w:t>
      </w:r>
      <w:r>
        <w:rPr>
          <w:rFonts w:hint="eastAsia"/>
        </w:rPr>
        <w:t>)</w:t>
      </w:r>
      <w:r>
        <w:rPr>
          <w:rFonts w:hint="eastAsia"/>
        </w:rPr>
        <w:t>，</w:t>
      </w:r>
      <w:r w:rsidRPr="00EE1A21">
        <w:rPr>
          <w:rFonts w:hint="eastAsia"/>
        </w:rPr>
        <w:t>美国和英国申诉仲裁，</w:t>
      </w:r>
      <w:r>
        <w:rPr>
          <w:rFonts w:hint="eastAsia"/>
        </w:rPr>
        <w:t>第</w:t>
      </w:r>
      <w:r w:rsidRPr="00FD687B">
        <w:t>85</w:t>
      </w:r>
      <w:r>
        <w:rPr>
          <w:rFonts w:hint="eastAsia"/>
        </w:rPr>
        <w:t>号申诉；</w:t>
      </w:r>
      <w:r w:rsidRPr="00FD687B">
        <w:t>6</w:t>
      </w:r>
      <w:r>
        <w:t xml:space="preserve"> </w:t>
      </w:r>
      <w:r>
        <w:t>联合国《国际仲裁裁决汇编》</w:t>
      </w:r>
      <w:r>
        <w:rPr>
          <w:rFonts w:hint="eastAsia"/>
        </w:rPr>
        <w:t>(</w:t>
      </w:r>
      <w:r w:rsidRPr="00FD687B">
        <w:t>1925</w:t>
      </w:r>
      <w:r>
        <w:rPr>
          <w:rFonts w:hint="eastAsia"/>
        </w:rPr>
        <w:t>年</w:t>
      </w:r>
      <w:r>
        <w:rPr>
          <w:rFonts w:hint="eastAsia"/>
        </w:rPr>
        <w:t>)</w:t>
      </w:r>
      <w:r>
        <w:rPr>
          <w:rFonts w:hint="eastAsia"/>
        </w:rPr>
        <w:t>，第</w:t>
      </w:r>
      <w:r w:rsidRPr="00FD687B">
        <w:t>157</w:t>
      </w:r>
      <w:r>
        <w:rPr>
          <w:rFonts w:hint="eastAsia"/>
        </w:rPr>
        <w:t>和</w:t>
      </w:r>
      <w:r w:rsidRPr="00FD687B">
        <w:t>158</w:t>
      </w:r>
      <w:r>
        <w:rPr>
          <w:rFonts w:hint="eastAsia"/>
        </w:rPr>
        <w:t>页。</w:t>
      </w:r>
    </w:p>
  </w:footnote>
  <w:footnote w:id="1545">
    <w:p w:rsidR="00AB00DE" w:rsidRPr="008E3162" w:rsidRDefault="00AB00DE" w:rsidP="000B444F">
      <w:pPr>
        <w:pStyle w:val="a4"/>
      </w:pPr>
      <w:r>
        <w:rPr>
          <w:rFonts w:hint="eastAsia"/>
        </w:rPr>
        <w:tab/>
      </w:r>
      <w:r w:rsidRPr="00523D41">
        <w:rPr>
          <w:rStyle w:val="a5"/>
        </w:rPr>
        <w:footnoteRef/>
      </w:r>
      <w:r>
        <w:rPr>
          <w:rFonts w:hint="eastAsia"/>
        </w:rPr>
        <w:tab/>
      </w:r>
      <w:r>
        <w:t>见</w:t>
      </w:r>
      <w:r w:rsidRPr="00E6293D">
        <w:t xml:space="preserve">D.P. O’Connell, State </w:t>
      </w:r>
      <w:r w:rsidRPr="004A67F9">
        <w:rPr>
          <w:i/>
          <w:iCs/>
        </w:rPr>
        <w:t>Succession in Municipal Law</w:t>
      </w:r>
      <w:r w:rsidRPr="00E6293D">
        <w:t xml:space="preserve"> </w:t>
      </w:r>
      <w:r w:rsidRPr="004A67F9">
        <w:rPr>
          <w:i/>
          <w:iCs/>
        </w:rPr>
        <w:t>and International Law,</w:t>
      </w:r>
      <w:r w:rsidRPr="00E6293D">
        <w:t xml:space="preserve"> vol. 1</w:t>
      </w:r>
      <w:r>
        <w:t xml:space="preserve"> </w:t>
      </w:r>
      <w:r w:rsidRPr="00E6293D">
        <w:t>(Cambridge: Cambridge University</w:t>
      </w:r>
      <w:r>
        <w:t xml:space="preserve"> Press, 1967), pp. 482, 485-486</w:t>
      </w:r>
      <w:r>
        <w:rPr>
          <w:rFonts w:hint="eastAsia"/>
        </w:rPr>
        <w:t>。</w:t>
      </w:r>
    </w:p>
  </w:footnote>
  <w:footnote w:id="1546">
    <w:p w:rsidR="00AB00DE" w:rsidRPr="0068063D" w:rsidRDefault="00AB00DE" w:rsidP="000B444F">
      <w:pPr>
        <w:pStyle w:val="a4"/>
      </w:pPr>
      <w:r>
        <w:rPr>
          <w:rFonts w:hint="eastAsia"/>
        </w:rPr>
        <w:tab/>
      </w:r>
      <w:r w:rsidRPr="00523D41">
        <w:rPr>
          <w:rStyle w:val="a5"/>
        </w:rPr>
        <w:footnoteRef/>
      </w:r>
      <w:r>
        <w:rPr>
          <w:rFonts w:hint="eastAsia"/>
        </w:rPr>
        <w:tab/>
      </w:r>
      <w:r w:rsidRPr="0068063D">
        <w:t xml:space="preserve">Restatement </w:t>
      </w:r>
      <w:r>
        <w:t>(</w:t>
      </w:r>
      <w:r w:rsidRPr="0068063D">
        <w:t>Third</w:t>
      </w:r>
      <w:r>
        <w:t>)</w:t>
      </w:r>
      <w:r w:rsidRPr="0068063D">
        <w:t xml:space="preserve"> of the Foreign Relations Law of the </w:t>
      </w:r>
      <w:r>
        <w:rPr>
          <w:rFonts w:hint="eastAsia"/>
        </w:rPr>
        <w:t>United States</w:t>
      </w:r>
      <w:r w:rsidRPr="0068063D">
        <w:t xml:space="preserve">, § 209; Reporters’ Note 7 </w:t>
      </w:r>
      <w:r>
        <w:t>(</w:t>
      </w:r>
      <w:r w:rsidRPr="0068063D">
        <w:t>1987</w:t>
      </w:r>
      <w:r>
        <w:t>)</w:t>
      </w:r>
      <w:r>
        <w:rPr>
          <w:rFonts w:hint="eastAsia"/>
        </w:rPr>
        <w:t>。</w:t>
      </w:r>
    </w:p>
  </w:footnote>
  <w:footnote w:id="1547">
    <w:p w:rsidR="00AB00DE" w:rsidRDefault="00AB00DE" w:rsidP="000B444F">
      <w:pPr>
        <w:pStyle w:val="a4"/>
      </w:pPr>
      <w:r>
        <w:rPr>
          <w:rFonts w:hint="eastAsia"/>
        </w:rPr>
        <w:tab/>
      </w:r>
      <w:r w:rsidRPr="00523D41">
        <w:rPr>
          <w:rStyle w:val="a5"/>
        </w:rPr>
        <w:footnoteRef/>
      </w:r>
      <w:r>
        <w:rPr>
          <w:rFonts w:hint="eastAsia"/>
        </w:rPr>
        <w:tab/>
      </w:r>
      <w:r>
        <w:rPr>
          <w:rFonts w:hint="eastAsia"/>
        </w:rPr>
        <w:t>见《关于国家继承的材料》</w:t>
      </w:r>
      <w:r>
        <w:t>联合国文件</w:t>
      </w:r>
      <w:r w:rsidRPr="00DC4B45">
        <w:t>ST/LEG/SER.B/14</w:t>
      </w:r>
      <w:r>
        <w:rPr>
          <w:rFonts w:hint="eastAsia"/>
        </w:rPr>
        <w:t>，</w:t>
      </w:r>
      <w:r w:rsidRPr="00DC4B45">
        <w:t>1967</w:t>
      </w:r>
      <w:r>
        <w:rPr>
          <w:rFonts w:hint="eastAsia"/>
        </w:rPr>
        <w:t>年。</w:t>
      </w:r>
    </w:p>
  </w:footnote>
  <w:footnote w:id="1548">
    <w:p w:rsidR="00AB00DE" w:rsidRDefault="00AB00DE" w:rsidP="000B444F">
      <w:pPr>
        <w:pStyle w:val="a4"/>
      </w:pPr>
      <w:r>
        <w:rPr>
          <w:rFonts w:hint="eastAsia"/>
        </w:rPr>
        <w:tab/>
      </w:r>
      <w:r w:rsidRPr="00523D41">
        <w:rPr>
          <w:rStyle w:val="a5"/>
          <w:rFonts w:cs="Arial"/>
        </w:rPr>
        <w:footnoteRef/>
      </w:r>
      <w:r>
        <w:rPr>
          <w:rFonts w:hint="eastAsia"/>
        </w:rPr>
        <w:tab/>
      </w:r>
      <w:r w:rsidRPr="00190DBA">
        <w:rPr>
          <w:rFonts w:eastAsia="楷体" w:hint="eastAsia"/>
        </w:rPr>
        <w:t>灯塔仲裁案</w:t>
      </w:r>
      <w:r>
        <w:rPr>
          <w:rFonts w:hint="eastAsia"/>
        </w:rPr>
        <w:t>(</w:t>
      </w:r>
      <w:r>
        <w:rPr>
          <w:rFonts w:hint="eastAsia"/>
        </w:rPr>
        <w:t>法国诉希腊，</w:t>
      </w:r>
      <w:r w:rsidRPr="00657977">
        <w:t>1956</w:t>
      </w:r>
      <w:r>
        <w:rPr>
          <w:rFonts w:hint="eastAsia"/>
        </w:rPr>
        <w:t>年</w:t>
      </w:r>
      <w:r>
        <w:rPr>
          <w:rFonts w:hint="eastAsia"/>
        </w:rPr>
        <w:t>)</w:t>
      </w:r>
      <w:r>
        <w:rPr>
          <w:rFonts w:hint="eastAsia"/>
        </w:rPr>
        <w:t>，联合国《国际仲裁裁决汇编》</w:t>
      </w:r>
      <w:r w:rsidRPr="00684A1D">
        <w:rPr>
          <w:rFonts w:hint="eastAsia"/>
        </w:rPr>
        <w:t>，</w:t>
      </w:r>
      <w:r>
        <w:rPr>
          <w:rFonts w:hint="eastAsia"/>
        </w:rPr>
        <w:t>第</w:t>
      </w:r>
      <w:r>
        <w:rPr>
          <w:rFonts w:hint="eastAsia"/>
        </w:rPr>
        <w:t>12</w:t>
      </w:r>
      <w:r>
        <w:rPr>
          <w:rFonts w:hint="eastAsia"/>
        </w:rPr>
        <w:t>卷，第</w:t>
      </w:r>
      <w:r>
        <w:rPr>
          <w:rFonts w:hint="eastAsia"/>
        </w:rPr>
        <w:t>155</w:t>
      </w:r>
      <w:r>
        <w:rPr>
          <w:rFonts w:hint="eastAsia"/>
        </w:rPr>
        <w:t>页。又见《国际法案例汇编》，第</w:t>
      </w:r>
      <w:r w:rsidRPr="00443961">
        <w:t>23</w:t>
      </w:r>
      <w:r>
        <w:rPr>
          <w:rFonts w:hint="eastAsia"/>
        </w:rPr>
        <w:t>卷，第</w:t>
      </w:r>
      <w:r>
        <w:t>81</w:t>
      </w:r>
      <w:r>
        <w:rPr>
          <w:rFonts w:hint="eastAsia"/>
        </w:rPr>
        <w:t>页。</w:t>
      </w:r>
    </w:p>
  </w:footnote>
  <w:footnote w:id="1549">
    <w:p w:rsidR="00AB00DE" w:rsidRPr="00624451" w:rsidRDefault="00AB00DE" w:rsidP="000B444F">
      <w:pPr>
        <w:pStyle w:val="a4"/>
        <w:rPr>
          <w:rFonts w:eastAsia="BatangChe"/>
        </w:rPr>
      </w:pPr>
      <w:r>
        <w:rPr>
          <w:rFonts w:eastAsiaTheme="minorEastAsia" w:hint="eastAsia"/>
        </w:rPr>
        <w:tab/>
      </w:r>
      <w:r w:rsidRPr="00523D41">
        <w:rPr>
          <w:rStyle w:val="a5"/>
          <w:rFonts w:eastAsia="BatangChe"/>
        </w:rPr>
        <w:footnoteRef/>
      </w:r>
      <w:r>
        <w:rPr>
          <w:rFonts w:eastAsiaTheme="minorEastAsia" w:hint="eastAsia"/>
        </w:rPr>
        <w:tab/>
      </w:r>
      <w:r>
        <w:rPr>
          <w:rFonts w:eastAsia="BatangChe"/>
        </w:rPr>
        <w:t>同上</w:t>
      </w:r>
      <w:r>
        <w:rPr>
          <w:rFonts w:hint="eastAsia"/>
        </w:rPr>
        <w:t>，第</w:t>
      </w:r>
      <w:r w:rsidRPr="00624451">
        <w:rPr>
          <w:rFonts w:eastAsia="BatangChe"/>
        </w:rPr>
        <w:t>92</w:t>
      </w:r>
      <w:r>
        <w:rPr>
          <w:rFonts w:ascii="宋体" w:hAnsi="宋体" w:cs="宋体" w:hint="eastAsia"/>
        </w:rPr>
        <w:t>页。</w:t>
      </w:r>
    </w:p>
  </w:footnote>
  <w:footnote w:id="1550">
    <w:p w:rsidR="00AB00DE" w:rsidRPr="00E505E7" w:rsidRDefault="00AB00DE" w:rsidP="000B444F">
      <w:pPr>
        <w:pStyle w:val="a4"/>
      </w:pPr>
      <w:r>
        <w:rPr>
          <w:rFonts w:hint="eastAsia"/>
        </w:rPr>
        <w:tab/>
      </w:r>
      <w:r w:rsidRPr="00523D41">
        <w:rPr>
          <w:rStyle w:val="a5"/>
        </w:rPr>
        <w:footnoteRef/>
      </w:r>
      <w:r>
        <w:rPr>
          <w:rFonts w:hint="eastAsia"/>
        </w:rPr>
        <w:tab/>
      </w:r>
      <w:r>
        <w:t>同上</w:t>
      </w:r>
      <w:r>
        <w:rPr>
          <w:rFonts w:hint="eastAsia"/>
        </w:rPr>
        <w:t>，第</w:t>
      </w:r>
      <w:r>
        <w:t>91</w:t>
      </w:r>
      <w:r>
        <w:rPr>
          <w:rFonts w:hint="eastAsia"/>
        </w:rPr>
        <w:t>页。</w:t>
      </w:r>
    </w:p>
  </w:footnote>
  <w:footnote w:id="1551">
    <w:p w:rsidR="00AB00DE" w:rsidRPr="00D008DF" w:rsidRDefault="00AB00DE" w:rsidP="000B444F">
      <w:pPr>
        <w:pStyle w:val="a4"/>
      </w:pPr>
      <w:r>
        <w:rPr>
          <w:rFonts w:hint="eastAsia"/>
        </w:rPr>
        <w:tab/>
      </w:r>
      <w:r w:rsidRPr="00523D41">
        <w:rPr>
          <w:rStyle w:val="a5"/>
        </w:rPr>
        <w:footnoteRef/>
      </w:r>
      <w:r>
        <w:rPr>
          <w:rFonts w:hint="eastAsia"/>
        </w:rPr>
        <w:tab/>
      </w:r>
      <w:r>
        <w:rPr>
          <w:rFonts w:hint="eastAsia"/>
        </w:rPr>
        <w:t>见</w:t>
      </w:r>
      <w:r w:rsidRPr="00684A1D">
        <w:t>L. Foscaneanu, "L’accord ayant pour objet l’indemnisation de la compagnie de Suez nationalisée par l’Egypte", AFDI, 1959, pp. 196</w:t>
      </w:r>
      <w:r>
        <w:rPr>
          <w:rFonts w:hint="eastAsia"/>
        </w:rPr>
        <w:t>。</w:t>
      </w:r>
    </w:p>
  </w:footnote>
  <w:footnote w:id="1552">
    <w:p w:rsidR="00AB00DE" w:rsidRPr="00E42467" w:rsidRDefault="00AB00DE" w:rsidP="000B444F">
      <w:pPr>
        <w:pStyle w:val="a4"/>
        <w:rPr>
          <w:lang w:val="fr-FR"/>
        </w:rPr>
      </w:pPr>
      <w:r w:rsidRPr="00C93C76">
        <w:rPr>
          <w:rFonts w:hint="eastAsia"/>
        </w:rPr>
        <w:tab/>
      </w:r>
      <w:r w:rsidRPr="00523D41">
        <w:rPr>
          <w:rStyle w:val="a5"/>
        </w:rPr>
        <w:footnoteRef/>
      </w:r>
      <w:r>
        <w:rPr>
          <w:rFonts w:hint="eastAsia"/>
          <w:lang w:val="fr-FR"/>
        </w:rPr>
        <w:tab/>
      </w:r>
      <w:r w:rsidRPr="00684A1D">
        <w:rPr>
          <w:lang w:val="fr-FR"/>
        </w:rPr>
        <w:t xml:space="preserve">Accord général entre le gouvernement de la République française et le gouvernement de la République arabe unie, in: </w:t>
      </w:r>
      <w:r w:rsidRPr="008D2F31">
        <w:rPr>
          <w:i/>
          <w:iCs/>
          <w:lang w:val="fr-FR"/>
        </w:rPr>
        <w:t>RGDIP</w:t>
      </w:r>
      <w:r w:rsidRPr="00684A1D">
        <w:rPr>
          <w:lang w:val="fr-FR"/>
        </w:rPr>
        <w:t xml:space="preserve">, 1958, p. 738 et seq.; cf. Ch. Rousseau, Chronique des faits internationaux, </w:t>
      </w:r>
      <w:r w:rsidRPr="008D2F31">
        <w:rPr>
          <w:i/>
          <w:iCs/>
          <w:lang w:val="fr-FR"/>
        </w:rPr>
        <w:t>RGDIP</w:t>
      </w:r>
      <w:r w:rsidRPr="00684A1D">
        <w:rPr>
          <w:lang w:val="fr-FR"/>
        </w:rPr>
        <w:t>, 1958, p. 681</w:t>
      </w:r>
      <w:r>
        <w:rPr>
          <w:rFonts w:hint="eastAsia"/>
          <w:lang w:val="fr-FR"/>
        </w:rPr>
        <w:t>。</w:t>
      </w:r>
    </w:p>
  </w:footnote>
  <w:footnote w:id="1553">
    <w:p w:rsidR="00AB00DE" w:rsidRPr="00FB5814" w:rsidRDefault="00AB00DE" w:rsidP="000B444F">
      <w:pPr>
        <w:pStyle w:val="a4"/>
        <w:rPr>
          <w:lang w:val="fr-FR"/>
        </w:rPr>
      </w:pPr>
      <w:r>
        <w:rPr>
          <w:rFonts w:hint="eastAsia"/>
          <w:lang w:val="fr-FR"/>
        </w:rPr>
        <w:tab/>
      </w:r>
      <w:r w:rsidRPr="00523D41">
        <w:rPr>
          <w:rStyle w:val="a5"/>
        </w:rPr>
        <w:footnoteRef/>
      </w:r>
      <w:r w:rsidRPr="00FB5814">
        <w:rPr>
          <w:rFonts w:hint="eastAsia"/>
          <w:lang w:val="fr-FR"/>
        </w:rPr>
        <w:tab/>
      </w:r>
      <w:r>
        <w:rPr>
          <w:rFonts w:hint="eastAsia"/>
        </w:rPr>
        <w:t>《英国政府与阿拉伯联合共和国政府关于财政和商业关系及英国在埃及的财产问题的协定》</w:t>
      </w:r>
      <w:r w:rsidRPr="00255315">
        <w:rPr>
          <w:rFonts w:eastAsiaTheme="minorEastAsia" w:hint="eastAsia"/>
          <w:lang w:val="fr-FR"/>
        </w:rPr>
        <w:t>，</w:t>
      </w:r>
      <w:r>
        <w:rPr>
          <w:rFonts w:ascii="宋体" w:hAnsi="宋体" w:cs="宋体" w:hint="eastAsia"/>
        </w:rPr>
        <w:t>联合国《条约汇编》</w:t>
      </w:r>
      <w:r w:rsidRPr="00FB5814">
        <w:rPr>
          <w:rFonts w:hint="eastAsia"/>
          <w:lang w:val="fr-FR"/>
        </w:rPr>
        <w:t>，</w:t>
      </w:r>
      <w:r>
        <w:rPr>
          <w:rFonts w:hint="eastAsia"/>
        </w:rPr>
        <w:t>第</w:t>
      </w:r>
      <w:r w:rsidRPr="00FB5814">
        <w:rPr>
          <w:lang w:val="fr-FR"/>
        </w:rPr>
        <w:t>343</w:t>
      </w:r>
      <w:r>
        <w:rPr>
          <w:rFonts w:hint="eastAsia"/>
        </w:rPr>
        <w:t>卷</w:t>
      </w:r>
      <w:r w:rsidRPr="00FB5814">
        <w:rPr>
          <w:rFonts w:hint="eastAsia"/>
          <w:lang w:val="fr-FR"/>
        </w:rPr>
        <w:t>，</w:t>
      </w:r>
      <w:r>
        <w:rPr>
          <w:rFonts w:hint="eastAsia"/>
        </w:rPr>
        <w:t>第</w:t>
      </w:r>
      <w:r w:rsidRPr="00FB5814">
        <w:rPr>
          <w:lang w:val="fr-FR"/>
        </w:rPr>
        <w:t>159</w:t>
      </w:r>
      <w:r>
        <w:rPr>
          <w:rFonts w:hint="eastAsia"/>
        </w:rPr>
        <w:t>页。参照</w:t>
      </w:r>
      <w:r w:rsidRPr="00FB5814">
        <w:rPr>
          <w:lang w:val="fr-FR"/>
        </w:rPr>
        <w:t>E. Cotran,</w:t>
      </w:r>
      <w:r>
        <w:rPr>
          <w:rFonts w:hint="eastAsia"/>
          <w:lang w:val="fr-FR"/>
        </w:rPr>
        <w:t>“</w:t>
      </w:r>
      <w:r w:rsidRPr="00FB5814">
        <w:rPr>
          <w:lang w:val="fr-FR"/>
        </w:rPr>
        <w:t>Some Legal Aspects of the Formation of the United Arab Republic and the United Arab States</w:t>
      </w:r>
      <w:r>
        <w:rPr>
          <w:rFonts w:hint="eastAsia"/>
          <w:lang w:val="fr-FR"/>
        </w:rPr>
        <w:t>”</w:t>
      </w:r>
      <w:r w:rsidRPr="00FB5814">
        <w:rPr>
          <w:lang w:val="fr-FR"/>
        </w:rPr>
        <w:t>,</w:t>
      </w:r>
      <w:r>
        <w:t>《国际法和比较法季刊</w:t>
      </w:r>
      <w:r>
        <w:rPr>
          <w:rFonts w:hint="eastAsia"/>
        </w:rPr>
        <w:t>》</w:t>
      </w:r>
      <w:r w:rsidRPr="00FB5814">
        <w:rPr>
          <w:rFonts w:hint="eastAsia"/>
          <w:lang w:val="fr-FR"/>
        </w:rPr>
        <w:t>，</w:t>
      </w:r>
      <w:r>
        <w:rPr>
          <w:rFonts w:hint="eastAsia"/>
        </w:rPr>
        <w:t>第</w:t>
      </w:r>
      <w:r w:rsidRPr="00FB5814">
        <w:rPr>
          <w:rFonts w:hint="eastAsia"/>
          <w:lang w:val="fr-FR"/>
        </w:rPr>
        <w:t>8</w:t>
      </w:r>
      <w:r>
        <w:rPr>
          <w:rFonts w:hint="eastAsia"/>
        </w:rPr>
        <w:t>卷</w:t>
      </w:r>
      <w:r w:rsidRPr="00FB5814">
        <w:rPr>
          <w:rFonts w:hint="eastAsia"/>
          <w:lang w:val="fr-FR"/>
        </w:rPr>
        <w:t>，</w:t>
      </w:r>
      <w:r w:rsidRPr="00FB5814">
        <w:rPr>
          <w:lang w:val="fr-FR"/>
        </w:rPr>
        <w:t>1959</w:t>
      </w:r>
      <w:r>
        <w:rPr>
          <w:rFonts w:hint="eastAsia"/>
        </w:rPr>
        <w:t>年</w:t>
      </w:r>
      <w:r w:rsidRPr="00FB5814">
        <w:rPr>
          <w:rFonts w:hint="eastAsia"/>
          <w:lang w:val="fr-FR"/>
        </w:rPr>
        <w:t>，</w:t>
      </w:r>
      <w:r>
        <w:rPr>
          <w:rFonts w:hint="eastAsia"/>
        </w:rPr>
        <w:t>第</w:t>
      </w:r>
      <w:r w:rsidRPr="00FB5814">
        <w:rPr>
          <w:lang w:val="fr-FR"/>
        </w:rPr>
        <w:t>366</w:t>
      </w:r>
      <w:r>
        <w:rPr>
          <w:rFonts w:hint="eastAsia"/>
        </w:rPr>
        <w:t>页。</w:t>
      </w:r>
    </w:p>
  </w:footnote>
  <w:footnote w:id="1554">
    <w:p w:rsidR="00AB00DE" w:rsidRPr="00FE76A2" w:rsidRDefault="00AB00DE" w:rsidP="000B444F">
      <w:pPr>
        <w:pStyle w:val="a4"/>
      </w:pPr>
      <w:r w:rsidRPr="00FB5814">
        <w:rPr>
          <w:rFonts w:hint="eastAsia"/>
          <w:lang w:val="fr-FR"/>
        </w:rPr>
        <w:tab/>
      </w:r>
      <w:r w:rsidRPr="00523D41">
        <w:rPr>
          <w:rStyle w:val="a5"/>
        </w:rPr>
        <w:footnoteRef/>
      </w:r>
      <w:r w:rsidRPr="002A141D">
        <w:rPr>
          <w:rFonts w:hint="eastAsia"/>
          <w:lang w:val="fr-FR"/>
        </w:rPr>
        <w:tab/>
      </w:r>
      <w:r>
        <w:t>见</w:t>
      </w:r>
      <w:r w:rsidRPr="002A141D">
        <w:rPr>
          <w:lang w:val="fr-FR"/>
        </w:rPr>
        <w:t xml:space="preserve">B.H. Weston, R.B. Lillich, D.J. Bederman, </w:t>
      </w:r>
      <w:r w:rsidRPr="006602DE">
        <w:rPr>
          <w:i/>
          <w:iCs/>
          <w:lang w:val="fr-FR"/>
        </w:rPr>
        <w:t>International Claims: Their Settlement by Lump Sum Agreements</w:t>
      </w:r>
      <w:r w:rsidRPr="002A141D">
        <w:rPr>
          <w:lang w:val="fr-FR"/>
        </w:rPr>
        <w:t xml:space="preserve"> (Ardsley, N.Y.: Transnational Publ., 1999), pp. 139, 179, 185, 235. </w:t>
      </w:r>
      <w:r w:rsidRPr="00684A1D">
        <w:t xml:space="preserve">Cf. P. Dumberry,  </w:t>
      </w:r>
      <w:r w:rsidRPr="006602DE">
        <w:rPr>
          <w:i/>
          <w:iCs/>
        </w:rPr>
        <w:t>State Succession to International Responsibility</w:t>
      </w:r>
      <w:r w:rsidRPr="00684A1D">
        <w:t xml:space="preserve"> (Leiden: Martinus Nijhoff, 2007), pp. 107-110</w:t>
      </w:r>
      <w:r>
        <w:rPr>
          <w:rFonts w:hint="eastAsia"/>
        </w:rPr>
        <w:t>。</w:t>
      </w:r>
    </w:p>
  </w:footnote>
  <w:footnote w:id="1555">
    <w:p w:rsidR="00AB00DE" w:rsidRPr="00AA2FDD" w:rsidRDefault="00AB00DE" w:rsidP="000B444F">
      <w:pPr>
        <w:pStyle w:val="a4"/>
      </w:pPr>
      <w:r>
        <w:rPr>
          <w:rFonts w:hint="eastAsia"/>
        </w:rPr>
        <w:tab/>
      </w:r>
      <w:r w:rsidRPr="00523D41">
        <w:rPr>
          <w:rStyle w:val="a5"/>
        </w:rPr>
        <w:footnoteRef/>
      </w:r>
      <w:r>
        <w:rPr>
          <w:rFonts w:hint="eastAsia"/>
        </w:rPr>
        <w:tab/>
      </w:r>
      <w:r>
        <w:rPr>
          <w:rFonts w:hint="eastAsia"/>
        </w:rPr>
        <w:t>《</w:t>
      </w:r>
      <w:r>
        <w:t>美国巴拿马</w:t>
      </w:r>
      <w:r>
        <w:rPr>
          <w:rFonts w:hint="eastAsia"/>
        </w:rPr>
        <w:t>索赔公约》</w:t>
      </w:r>
      <w:r>
        <w:rPr>
          <w:rFonts w:hint="eastAsia"/>
        </w:rPr>
        <w:t>(</w:t>
      </w:r>
      <w:r w:rsidRPr="00AA2FDD">
        <w:t>1926</w:t>
      </w:r>
      <w:r>
        <w:rPr>
          <w:rFonts w:hint="eastAsia"/>
        </w:rPr>
        <w:t>年</w:t>
      </w:r>
      <w:r>
        <w:rPr>
          <w:rFonts w:hint="eastAsia"/>
        </w:rPr>
        <w:t>)</w:t>
      </w:r>
      <w:r>
        <w:rPr>
          <w:rFonts w:hint="eastAsia"/>
        </w:rPr>
        <w:t>，载于</w:t>
      </w:r>
      <w:r>
        <w:t>联合国《国际仲裁裁决汇编》</w:t>
      </w:r>
      <w:r>
        <w:rPr>
          <w:rFonts w:hint="eastAsia"/>
        </w:rPr>
        <w:t>，第六卷，第</w:t>
      </w:r>
      <w:r w:rsidRPr="00AA2FDD">
        <w:t>301</w:t>
      </w:r>
      <w:r>
        <w:rPr>
          <w:rFonts w:hint="eastAsia"/>
        </w:rPr>
        <w:t>页。参照</w:t>
      </w:r>
      <w:r>
        <w:t xml:space="preserve"> </w:t>
      </w:r>
      <w:r w:rsidRPr="00684A1D">
        <w:t>P. Dumberry</w:t>
      </w:r>
      <w:r>
        <w:rPr>
          <w:rFonts w:hint="eastAsia"/>
        </w:rPr>
        <w:t>，同前，第</w:t>
      </w:r>
      <w:r>
        <w:rPr>
          <w:rFonts w:hint="eastAsia"/>
        </w:rPr>
        <w:t>1</w:t>
      </w:r>
      <w:r>
        <w:t>65</w:t>
      </w:r>
      <w:r>
        <w:rPr>
          <w:rFonts w:hint="eastAsia"/>
        </w:rPr>
        <w:t>页。</w:t>
      </w:r>
    </w:p>
  </w:footnote>
  <w:footnote w:id="1556">
    <w:p w:rsidR="00AB00DE" w:rsidRPr="00F15FE7" w:rsidRDefault="00AB00DE" w:rsidP="000B444F">
      <w:pPr>
        <w:pStyle w:val="a4"/>
      </w:pPr>
      <w:r>
        <w:rPr>
          <w:rFonts w:hint="eastAsia"/>
        </w:rPr>
        <w:tab/>
      </w:r>
      <w:r w:rsidRPr="00523D41">
        <w:rPr>
          <w:rStyle w:val="a5"/>
        </w:rPr>
        <w:footnoteRef/>
      </w:r>
      <w:r>
        <w:rPr>
          <w:rFonts w:hint="eastAsia"/>
        </w:rPr>
        <w:tab/>
      </w:r>
      <w:r>
        <w:rPr>
          <w:rFonts w:hint="eastAsia"/>
        </w:rPr>
        <w:t>载于：</w:t>
      </w:r>
      <w:r>
        <w:t>M.M</w:t>
      </w:r>
      <w:r w:rsidRPr="00684A1D">
        <w:t>. Whiteman</w:t>
      </w:r>
      <w:r w:rsidRPr="00F15FE7">
        <w:t xml:space="preserve">, </w:t>
      </w:r>
      <w:r w:rsidRPr="008D3F41">
        <w:rPr>
          <w:i/>
          <w:iCs/>
        </w:rPr>
        <w:t>Digest of International Law</w:t>
      </w:r>
      <w:r w:rsidRPr="00F15FE7">
        <w:t xml:space="preserve">, </w:t>
      </w:r>
      <w:r>
        <w:rPr>
          <w:rFonts w:hint="eastAsia"/>
        </w:rPr>
        <w:t>Vol.II</w:t>
      </w:r>
      <w:r>
        <w:t xml:space="preserve">, </w:t>
      </w:r>
      <w:r>
        <w:rPr>
          <w:rFonts w:hint="eastAsia"/>
        </w:rPr>
        <w:t>(</w:t>
      </w:r>
      <w:r>
        <w:t>Washington, 1973</w:t>
      </w:r>
      <w:r>
        <w:rPr>
          <w:rFonts w:hint="eastAsia"/>
        </w:rPr>
        <w:t>)</w:t>
      </w:r>
      <w:r>
        <w:t>, p. 873</w:t>
      </w:r>
      <w:r>
        <w:rPr>
          <w:rFonts w:hint="eastAsia"/>
        </w:rPr>
        <w:t>。</w:t>
      </w:r>
    </w:p>
  </w:footnote>
  <w:footnote w:id="1557">
    <w:p w:rsidR="00AB00DE" w:rsidRPr="00845282" w:rsidRDefault="00AB00DE" w:rsidP="000B444F">
      <w:pPr>
        <w:pStyle w:val="a4"/>
      </w:pPr>
      <w:r>
        <w:rPr>
          <w:rFonts w:hint="eastAsia"/>
        </w:rPr>
        <w:tab/>
      </w:r>
      <w:r w:rsidRPr="00523D41">
        <w:rPr>
          <w:rStyle w:val="a5"/>
        </w:rPr>
        <w:footnoteRef/>
      </w:r>
      <w:r>
        <w:rPr>
          <w:rFonts w:hint="eastAsia"/>
        </w:rPr>
        <w:tab/>
      </w:r>
      <w:r>
        <w:rPr>
          <w:rFonts w:hint="eastAsia"/>
        </w:rPr>
        <w:t>引文见：</w:t>
      </w:r>
      <w:r>
        <w:t>D.P. O’Connell</w:t>
      </w:r>
      <w:r w:rsidRPr="00187B65">
        <w:t xml:space="preserve">, </w:t>
      </w:r>
      <w:r w:rsidRPr="00D4422A">
        <w:rPr>
          <w:i/>
          <w:iCs/>
        </w:rPr>
        <w:t>State Succession</w:t>
      </w:r>
      <w:r>
        <w:t>…</w:t>
      </w:r>
      <w:r w:rsidRPr="00187B65">
        <w:t xml:space="preserve">, </w:t>
      </w:r>
      <w:r>
        <w:t xml:space="preserve">op. cit., </w:t>
      </w:r>
      <w:r w:rsidRPr="00187B65">
        <w:t>vol. I, p. 493</w:t>
      </w:r>
      <w:r>
        <w:rPr>
          <w:rFonts w:hint="eastAsia"/>
        </w:rPr>
        <w:t>。</w:t>
      </w:r>
    </w:p>
  </w:footnote>
  <w:footnote w:id="1558">
    <w:p w:rsidR="00AB00DE" w:rsidRPr="00845282" w:rsidRDefault="00AB00DE" w:rsidP="000B444F">
      <w:pPr>
        <w:pStyle w:val="a4"/>
      </w:pPr>
      <w:r>
        <w:rPr>
          <w:rFonts w:hint="eastAsia"/>
        </w:rPr>
        <w:tab/>
      </w:r>
      <w:r w:rsidRPr="00523D41">
        <w:rPr>
          <w:rStyle w:val="a5"/>
        </w:rPr>
        <w:footnoteRef/>
      </w:r>
      <w:r>
        <w:rPr>
          <w:rFonts w:hint="eastAsia"/>
        </w:rPr>
        <w:tab/>
      </w:r>
      <w:r w:rsidRPr="00845282">
        <w:t>见</w:t>
      </w:r>
      <w:r w:rsidRPr="00684A1D">
        <w:t>P. Dumberry</w:t>
      </w:r>
      <w:r w:rsidRPr="00845282">
        <w:rPr>
          <w:rFonts w:hint="eastAsia"/>
        </w:rPr>
        <w:t>，同前，第</w:t>
      </w:r>
      <w:r w:rsidRPr="00845282">
        <w:t>173</w:t>
      </w:r>
      <w:r w:rsidRPr="00845282">
        <w:rPr>
          <w:rFonts w:hint="eastAsia"/>
        </w:rPr>
        <w:t>页。</w:t>
      </w:r>
    </w:p>
  </w:footnote>
  <w:footnote w:id="1559">
    <w:p w:rsidR="00AB00DE" w:rsidRPr="00C75807" w:rsidRDefault="00AB00DE" w:rsidP="000B444F">
      <w:pPr>
        <w:pStyle w:val="a4"/>
      </w:pPr>
      <w:r>
        <w:rPr>
          <w:rFonts w:hint="eastAsia"/>
        </w:rPr>
        <w:tab/>
      </w:r>
      <w:r w:rsidRPr="00523D41">
        <w:rPr>
          <w:rStyle w:val="a5"/>
        </w:rPr>
        <w:footnoteRef/>
      </w:r>
      <w:r>
        <w:rPr>
          <w:rFonts w:hint="eastAsia"/>
        </w:rPr>
        <w:tab/>
      </w:r>
      <w:r>
        <w:rPr>
          <w:rFonts w:hint="eastAsia"/>
        </w:rPr>
        <w:t>欧共体解决争端仲裁委员会，第</w:t>
      </w:r>
      <w:r>
        <w:rPr>
          <w:rFonts w:hint="eastAsia"/>
        </w:rPr>
        <w:t>9</w:t>
      </w:r>
      <w:r>
        <w:rPr>
          <w:rFonts w:hint="eastAsia"/>
        </w:rPr>
        <w:t>号意见，</w:t>
      </w:r>
      <w:r w:rsidRPr="00FB5881">
        <w:t>1992</w:t>
      </w:r>
      <w:r>
        <w:t>年</w:t>
      </w:r>
      <w:r>
        <w:t>7</w:t>
      </w:r>
      <w:r>
        <w:t>月</w:t>
      </w:r>
      <w:r w:rsidRPr="00FB5881">
        <w:t>4</w:t>
      </w:r>
      <w:r>
        <w:t>日</w:t>
      </w:r>
      <w:r>
        <w:rPr>
          <w:rFonts w:hint="eastAsia"/>
        </w:rPr>
        <w:t>。</w:t>
      </w:r>
    </w:p>
  </w:footnote>
  <w:footnote w:id="1560">
    <w:p w:rsidR="00AB00DE" w:rsidRPr="00C11F66" w:rsidRDefault="00AB00DE" w:rsidP="000B444F">
      <w:pPr>
        <w:pStyle w:val="a4"/>
      </w:pPr>
      <w:r>
        <w:rPr>
          <w:rFonts w:hint="eastAsia"/>
        </w:rPr>
        <w:tab/>
      </w:r>
      <w:r w:rsidRPr="00523D41">
        <w:rPr>
          <w:rStyle w:val="a5"/>
        </w:rPr>
        <w:footnoteRef/>
      </w:r>
      <w:r>
        <w:rPr>
          <w:rFonts w:hint="eastAsia"/>
        </w:rPr>
        <w:tab/>
      </w:r>
      <w:r>
        <w:t>见</w:t>
      </w:r>
      <w:r>
        <w:rPr>
          <w:rFonts w:hint="eastAsia"/>
        </w:rPr>
        <w:t>《斯洛伐克共和国国务委员会告各国议会和世界人民书》</w:t>
      </w:r>
      <w:r>
        <w:t>(</w:t>
      </w:r>
      <w:r w:rsidRPr="00C11F66">
        <w:t>1992</w:t>
      </w:r>
      <w:r>
        <w:t>年</w:t>
      </w:r>
      <w:r>
        <w:t>12</w:t>
      </w:r>
      <w:r>
        <w:t>月</w:t>
      </w:r>
      <w:r w:rsidRPr="00C11F66">
        <w:t>3</w:t>
      </w:r>
      <w:r>
        <w:t>日</w:t>
      </w:r>
      <w:r>
        <w:t>)</w:t>
      </w:r>
      <w:r>
        <w:rPr>
          <w:rFonts w:hint="eastAsia"/>
        </w:rPr>
        <w:t>；</w:t>
      </w:r>
      <w:r w:rsidRPr="00A07EDA">
        <w:rPr>
          <w:rFonts w:hint="eastAsia"/>
        </w:rPr>
        <w:t>《</w:t>
      </w:r>
      <w:r>
        <w:t>捷克共和国</w:t>
      </w:r>
      <w:r w:rsidRPr="00A07EDA">
        <w:rPr>
          <w:rFonts w:hint="eastAsia"/>
        </w:rPr>
        <w:t>国务委员会告</w:t>
      </w:r>
      <w:r>
        <w:rPr>
          <w:rFonts w:hint="eastAsia"/>
        </w:rPr>
        <w:t>各国</w:t>
      </w:r>
      <w:r w:rsidRPr="00A07EDA">
        <w:rPr>
          <w:rFonts w:hint="eastAsia"/>
        </w:rPr>
        <w:t>议会和世界人民书》</w:t>
      </w:r>
      <w:r>
        <w:t>(</w:t>
      </w:r>
      <w:r w:rsidRPr="00C11F66">
        <w:t>1992</w:t>
      </w:r>
      <w:r>
        <w:t>年</w:t>
      </w:r>
      <w:r>
        <w:t>12</w:t>
      </w:r>
      <w:r>
        <w:t>月</w:t>
      </w:r>
      <w:r w:rsidRPr="00C11F66">
        <w:t>17</w:t>
      </w:r>
      <w:r>
        <w:t>日</w:t>
      </w:r>
      <w:r>
        <w:t>)</w:t>
      </w:r>
      <w:r>
        <w:rPr>
          <w:rFonts w:hint="eastAsia"/>
        </w:rPr>
        <w:t>。</w:t>
      </w:r>
    </w:p>
  </w:footnote>
  <w:footnote w:id="1561">
    <w:p w:rsidR="00AB00DE" w:rsidRPr="004521AC" w:rsidRDefault="00AB00DE" w:rsidP="000B444F">
      <w:pPr>
        <w:pStyle w:val="a4"/>
      </w:pPr>
      <w:r>
        <w:rPr>
          <w:rFonts w:hint="eastAsia"/>
        </w:rPr>
        <w:tab/>
      </w:r>
      <w:r w:rsidRPr="00523D41">
        <w:rPr>
          <w:rStyle w:val="a5"/>
        </w:rPr>
        <w:footnoteRef/>
      </w:r>
      <w:r>
        <w:rPr>
          <w:rFonts w:hint="eastAsia"/>
        </w:rPr>
        <w:tab/>
      </w:r>
      <w:r w:rsidRPr="004521AC">
        <w:rPr>
          <w:rFonts w:hint="eastAsia"/>
        </w:rPr>
        <w:t>第</w:t>
      </w:r>
      <w:r w:rsidRPr="004521AC">
        <w:t>4/1993</w:t>
      </w:r>
      <w:r w:rsidRPr="004521AC">
        <w:rPr>
          <w:rFonts w:hint="eastAsia"/>
        </w:rPr>
        <w:t>号宪法法案</w:t>
      </w:r>
      <w:r>
        <w:rPr>
          <w:rFonts w:hint="eastAsia"/>
        </w:rPr>
        <w:t>：与捷克斯洛伐克联邦共和国消亡有关的措施。</w:t>
      </w:r>
    </w:p>
  </w:footnote>
  <w:footnote w:id="1562">
    <w:p w:rsidR="00AB00DE" w:rsidRDefault="00AB00DE" w:rsidP="000B444F">
      <w:pPr>
        <w:pStyle w:val="a4"/>
      </w:pPr>
      <w:r>
        <w:rPr>
          <w:rFonts w:hint="eastAsia"/>
        </w:rPr>
        <w:tab/>
      </w:r>
      <w:r w:rsidRPr="00523D41">
        <w:rPr>
          <w:rStyle w:val="a5"/>
          <w:rFonts w:cs="Arial"/>
        </w:rPr>
        <w:footnoteRef/>
      </w:r>
      <w:r>
        <w:rPr>
          <w:rFonts w:hint="eastAsia"/>
        </w:rPr>
        <w:tab/>
      </w:r>
      <w:r w:rsidRPr="00E50C62">
        <w:rPr>
          <w:rFonts w:eastAsia="楷体"/>
          <w:i/>
          <w:iCs/>
          <w:spacing w:val="3"/>
        </w:rPr>
        <w:t xml:space="preserve">Gabčíkovo-Nagymaros </w:t>
      </w:r>
      <w:r w:rsidRPr="00E50C62">
        <w:rPr>
          <w:rFonts w:eastAsia="楷体" w:hint="eastAsia"/>
          <w:spacing w:val="3"/>
        </w:rPr>
        <w:t>项目</w:t>
      </w:r>
      <w:r w:rsidRPr="00E50C62">
        <w:rPr>
          <w:rFonts w:hint="eastAsia"/>
          <w:spacing w:val="3"/>
        </w:rPr>
        <w:t>(</w:t>
      </w:r>
      <w:r w:rsidRPr="00E50C62">
        <w:rPr>
          <w:spacing w:val="3"/>
        </w:rPr>
        <w:t>匈牙利</w:t>
      </w:r>
      <w:r w:rsidRPr="00E50C62">
        <w:rPr>
          <w:spacing w:val="3"/>
        </w:rPr>
        <w:t>/</w:t>
      </w:r>
      <w:r w:rsidRPr="00E50C62">
        <w:rPr>
          <w:spacing w:val="3"/>
        </w:rPr>
        <w:t>斯洛伐克</w:t>
      </w:r>
      <w:r w:rsidRPr="00E50C62">
        <w:rPr>
          <w:rFonts w:hint="eastAsia"/>
          <w:spacing w:val="3"/>
        </w:rPr>
        <w:t>)</w:t>
      </w:r>
      <w:r w:rsidRPr="00E50C62">
        <w:rPr>
          <w:spacing w:val="3"/>
        </w:rPr>
        <w:t>,</w:t>
      </w:r>
      <w:r w:rsidRPr="00E50C62">
        <w:rPr>
          <w:spacing w:val="3"/>
        </w:rPr>
        <w:t>《</w:t>
      </w:r>
      <w:r w:rsidRPr="00E50C62">
        <w:rPr>
          <w:spacing w:val="3"/>
        </w:rPr>
        <w:t>1997</w:t>
      </w:r>
      <w:r w:rsidRPr="00E50C62">
        <w:rPr>
          <w:spacing w:val="3"/>
        </w:rPr>
        <w:t>年国际法院案例汇编》</w:t>
      </w:r>
      <w:r w:rsidRPr="00E50C62">
        <w:rPr>
          <w:rFonts w:hint="eastAsia"/>
          <w:spacing w:val="3"/>
        </w:rPr>
        <w:t>，第</w:t>
      </w:r>
      <w:r w:rsidRPr="00E50C62">
        <w:rPr>
          <w:spacing w:val="3"/>
        </w:rPr>
        <w:t>78</w:t>
      </w:r>
      <w:r w:rsidRPr="00E50C62">
        <w:rPr>
          <w:rFonts w:hint="eastAsia"/>
          <w:spacing w:val="3"/>
        </w:rPr>
        <w:t>页</w:t>
      </w:r>
      <w:r w:rsidRPr="00E50C62">
        <w:rPr>
          <w:rFonts w:hint="eastAsia"/>
          <w:spacing w:val="3"/>
        </w:rPr>
        <w:t>(</w:t>
      </w:r>
      <w:r w:rsidRPr="00E50C62">
        <w:rPr>
          <w:rFonts w:hint="eastAsia"/>
          <w:spacing w:val="3"/>
        </w:rPr>
        <w:t>第</w:t>
      </w:r>
      <w:r w:rsidRPr="00E50C62">
        <w:rPr>
          <w:rFonts w:hint="eastAsia"/>
          <w:spacing w:val="3"/>
        </w:rPr>
        <w:t>151</w:t>
      </w:r>
      <w:r w:rsidRPr="00E50C62">
        <w:rPr>
          <w:rFonts w:hint="eastAsia"/>
          <w:spacing w:val="3"/>
        </w:rPr>
        <w:t>段</w:t>
      </w:r>
      <w:r w:rsidRPr="00E50C62">
        <w:rPr>
          <w:rFonts w:hint="eastAsia"/>
          <w:spacing w:val="3"/>
        </w:rPr>
        <w:t>)</w:t>
      </w:r>
      <w:r>
        <w:rPr>
          <w:rFonts w:hint="eastAsia"/>
        </w:rPr>
        <w:t>。</w:t>
      </w:r>
    </w:p>
  </w:footnote>
  <w:footnote w:id="1563">
    <w:p w:rsidR="00AB00DE" w:rsidRPr="00FB5881" w:rsidRDefault="00AB00DE" w:rsidP="000B444F">
      <w:pPr>
        <w:pStyle w:val="a4"/>
      </w:pPr>
      <w:r>
        <w:rPr>
          <w:rFonts w:hint="eastAsia"/>
        </w:rPr>
        <w:tab/>
      </w:r>
      <w:r w:rsidRPr="00523D41">
        <w:rPr>
          <w:rStyle w:val="a5"/>
        </w:rPr>
        <w:footnoteRef/>
      </w:r>
      <w:r>
        <w:rPr>
          <w:rFonts w:hint="eastAsia"/>
        </w:rPr>
        <w:tab/>
      </w:r>
      <w:r>
        <w:rPr>
          <w:rFonts w:hint="eastAsia"/>
        </w:rPr>
        <w:t>安理会第</w:t>
      </w:r>
      <w:r w:rsidRPr="00FB5881">
        <w:t>777</w:t>
      </w:r>
      <w:r>
        <w:rPr>
          <w:rFonts w:hint="eastAsia"/>
        </w:rPr>
        <w:t xml:space="preserve"> </w:t>
      </w:r>
      <w:r>
        <w:t>(</w:t>
      </w:r>
      <w:r w:rsidRPr="00FB5881">
        <w:t>1992</w:t>
      </w:r>
      <w:r>
        <w:t>)</w:t>
      </w:r>
      <w:r>
        <w:rPr>
          <w:rFonts w:hint="eastAsia"/>
        </w:rPr>
        <w:t>号决议，</w:t>
      </w:r>
      <w:r w:rsidRPr="00FB5881">
        <w:t>1992</w:t>
      </w:r>
      <w:r>
        <w:t>年</w:t>
      </w:r>
      <w:r>
        <w:t>9</w:t>
      </w:r>
      <w:r>
        <w:t>月</w:t>
      </w:r>
      <w:r w:rsidRPr="00FB5881">
        <w:t>19</w:t>
      </w:r>
      <w:r>
        <w:t>日</w:t>
      </w:r>
      <w:r>
        <w:rPr>
          <w:rFonts w:hint="eastAsia"/>
        </w:rPr>
        <w:t>；大会第</w:t>
      </w:r>
      <w:r w:rsidRPr="00FB5881">
        <w:t>47/1</w:t>
      </w:r>
      <w:r>
        <w:rPr>
          <w:rFonts w:hint="eastAsia"/>
        </w:rPr>
        <w:t xml:space="preserve"> </w:t>
      </w:r>
      <w:r>
        <w:t>(</w:t>
      </w:r>
      <w:r w:rsidRPr="00FB5881">
        <w:t>1992</w:t>
      </w:r>
      <w:r>
        <w:t>)</w:t>
      </w:r>
      <w:r>
        <w:rPr>
          <w:rFonts w:hint="eastAsia"/>
        </w:rPr>
        <w:t>号决议，</w:t>
      </w:r>
      <w:r w:rsidRPr="00FB5881">
        <w:t>1992</w:t>
      </w:r>
      <w:r>
        <w:t>年</w:t>
      </w:r>
      <w:r>
        <w:t>9</w:t>
      </w:r>
      <w:r>
        <w:t>月</w:t>
      </w:r>
      <w:r w:rsidRPr="00FB5881">
        <w:t>22</w:t>
      </w:r>
      <w:r>
        <w:t>日</w:t>
      </w:r>
      <w:r>
        <w:rPr>
          <w:rFonts w:hint="eastAsia"/>
        </w:rPr>
        <w:t>。</w:t>
      </w:r>
    </w:p>
  </w:footnote>
  <w:footnote w:id="1564">
    <w:p w:rsidR="00AB00DE" w:rsidRPr="00FB5881" w:rsidRDefault="00AB00DE" w:rsidP="000B444F">
      <w:pPr>
        <w:pStyle w:val="a4"/>
      </w:pPr>
      <w:r>
        <w:rPr>
          <w:rFonts w:hint="eastAsia"/>
        </w:rPr>
        <w:tab/>
      </w:r>
      <w:r w:rsidRPr="00523D41">
        <w:rPr>
          <w:rStyle w:val="a5"/>
        </w:rPr>
        <w:footnoteRef/>
      </w:r>
      <w:r>
        <w:rPr>
          <w:rFonts w:hint="eastAsia"/>
        </w:rPr>
        <w:tab/>
      </w:r>
      <w:r w:rsidRPr="001C1299">
        <w:rPr>
          <w:rFonts w:hint="eastAsia"/>
        </w:rPr>
        <w:t>欧共体解决争端仲裁委员会，第</w:t>
      </w:r>
      <w:r>
        <w:rPr>
          <w:rFonts w:hint="eastAsia"/>
        </w:rPr>
        <w:t>10</w:t>
      </w:r>
      <w:r w:rsidRPr="001C1299">
        <w:rPr>
          <w:rFonts w:hint="eastAsia"/>
        </w:rPr>
        <w:t>号意见，</w:t>
      </w:r>
      <w:r w:rsidRPr="00FB5881">
        <w:t>1992</w:t>
      </w:r>
      <w:r>
        <w:t>年</w:t>
      </w:r>
      <w:r>
        <w:t>7</w:t>
      </w:r>
      <w:r>
        <w:t>月</w:t>
      </w:r>
      <w:r w:rsidRPr="00FB5881">
        <w:t>4</w:t>
      </w:r>
      <w:r>
        <w:t>日</w:t>
      </w:r>
      <w:r>
        <w:rPr>
          <w:rFonts w:hint="eastAsia"/>
        </w:rPr>
        <w:t>。</w:t>
      </w:r>
    </w:p>
  </w:footnote>
  <w:footnote w:id="1565">
    <w:p w:rsidR="00AB00DE" w:rsidRPr="00AE1911" w:rsidRDefault="00AB00DE" w:rsidP="000B444F">
      <w:pPr>
        <w:pStyle w:val="a4"/>
      </w:pPr>
      <w:r>
        <w:rPr>
          <w:rFonts w:hint="eastAsia"/>
        </w:rPr>
        <w:tab/>
      </w:r>
      <w:r w:rsidRPr="00523D41">
        <w:rPr>
          <w:rStyle w:val="a5"/>
        </w:rPr>
        <w:footnoteRef/>
      </w:r>
      <w:r>
        <w:rPr>
          <w:rFonts w:hint="eastAsia"/>
        </w:rPr>
        <w:tab/>
      </w:r>
      <w:r>
        <w:rPr>
          <w:rFonts w:hint="eastAsia"/>
        </w:rPr>
        <w:t>大会第</w:t>
      </w:r>
      <w:r w:rsidRPr="00AE1911">
        <w:t>55/12</w:t>
      </w:r>
      <w:r>
        <w:rPr>
          <w:rFonts w:hint="eastAsia"/>
        </w:rPr>
        <w:t>号决议</w:t>
      </w:r>
      <w:r>
        <w:rPr>
          <w:rFonts w:hint="eastAsia"/>
        </w:rPr>
        <w:t>(</w:t>
      </w:r>
      <w:r w:rsidRPr="00AE1911">
        <w:t>2000</w:t>
      </w:r>
      <w:r>
        <w:t>年</w:t>
      </w:r>
      <w:r>
        <w:t>11</w:t>
      </w:r>
      <w:r>
        <w:t>月</w:t>
      </w:r>
      <w:r w:rsidRPr="00AE1911">
        <w:t>1</w:t>
      </w:r>
      <w:r>
        <w:t>日</w:t>
      </w:r>
      <w:r>
        <w:rPr>
          <w:rFonts w:hint="eastAsia"/>
        </w:rPr>
        <w:t>)</w:t>
      </w:r>
      <w:r>
        <w:rPr>
          <w:rFonts w:hint="eastAsia"/>
        </w:rPr>
        <w:t>。</w:t>
      </w:r>
    </w:p>
  </w:footnote>
  <w:footnote w:id="1566">
    <w:p w:rsidR="00AB00DE" w:rsidRPr="00F25A7E" w:rsidRDefault="00AB00DE" w:rsidP="000B444F">
      <w:pPr>
        <w:pStyle w:val="a4"/>
      </w:pPr>
      <w:r>
        <w:rPr>
          <w:rFonts w:hint="eastAsia"/>
        </w:rPr>
        <w:tab/>
      </w:r>
      <w:r w:rsidRPr="00523D41">
        <w:rPr>
          <w:rStyle w:val="a5"/>
        </w:rPr>
        <w:footnoteRef/>
      </w:r>
      <w:r>
        <w:rPr>
          <w:rFonts w:hint="eastAsia"/>
        </w:rPr>
        <w:tab/>
      </w:r>
      <w:r>
        <w:rPr>
          <w:rFonts w:ascii="宋体" w:hAnsi="宋体" w:cs="宋体" w:hint="eastAsia"/>
        </w:rPr>
        <w:t>联合国《条约汇编》</w:t>
      </w:r>
      <w:r>
        <w:rPr>
          <w:rFonts w:hint="eastAsia"/>
        </w:rPr>
        <w:t>，第</w:t>
      </w:r>
      <w:r w:rsidRPr="00F25A7E">
        <w:t>2262</w:t>
      </w:r>
      <w:r>
        <w:rPr>
          <w:rFonts w:hint="eastAsia"/>
        </w:rPr>
        <w:t>卷，第</w:t>
      </w:r>
      <w:r w:rsidRPr="00F25A7E">
        <w:t>40296</w:t>
      </w:r>
      <w:r>
        <w:rPr>
          <w:rFonts w:hint="eastAsia"/>
        </w:rPr>
        <w:t>号，第</w:t>
      </w:r>
      <w:r>
        <w:t>251</w:t>
      </w:r>
      <w:r>
        <w:rPr>
          <w:rFonts w:hint="eastAsia"/>
        </w:rPr>
        <w:t>页。</w:t>
      </w:r>
    </w:p>
  </w:footnote>
  <w:footnote w:id="1567">
    <w:p w:rsidR="00AB00DE" w:rsidRPr="0027042F" w:rsidRDefault="00AB00DE" w:rsidP="000B444F">
      <w:pPr>
        <w:pStyle w:val="a4"/>
      </w:pPr>
      <w:r>
        <w:rPr>
          <w:rFonts w:hint="eastAsia"/>
          <w:sz w:val="20"/>
        </w:rPr>
        <w:tab/>
      </w:r>
      <w:r w:rsidRPr="00523D41">
        <w:rPr>
          <w:rStyle w:val="a5"/>
        </w:rPr>
        <w:footnoteRef/>
      </w:r>
      <w:r>
        <w:rPr>
          <w:rFonts w:hint="eastAsia"/>
          <w:sz w:val="20"/>
        </w:rPr>
        <w:tab/>
      </w:r>
      <w:r w:rsidRPr="0027042F">
        <w:t xml:space="preserve">Cf. P. Dumberry, </w:t>
      </w:r>
      <w:r w:rsidRPr="0027042F">
        <w:rPr>
          <w:i/>
          <w:iCs/>
        </w:rPr>
        <w:t>State Succession to International Responsibility</w:t>
      </w:r>
      <w:r w:rsidRPr="0027042F">
        <w:t xml:space="preserve"> (Leiden: Martinus Nijhoff, 2007), p. 121</w:t>
      </w:r>
      <w:r w:rsidRPr="0027042F">
        <w:rPr>
          <w:rFonts w:hint="eastAsia"/>
        </w:rPr>
        <w:t>。</w:t>
      </w:r>
      <w:bookmarkStart w:id="357" w:name="_GoBack"/>
      <w:bookmarkEnd w:id="357"/>
    </w:p>
  </w:footnote>
  <w:footnote w:id="1568">
    <w:p w:rsidR="00AB00DE" w:rsidRPr="00CD13BA" w:rsidRDefault="00AB00DE" w:rsidP="000B444F">
      <w:pPr>
        <w:pStyle w:val="a4"/>
      </w:pPr>
      <w:r>
        <w:rPr>
          <w:rFonts w:hint="eastAsia"/>
        </w:rPr>
        <w:tab/>
      </w:r>
      <w:r w:rsidRPr="00523D41">
        <w:rPr>
          <w:rStyle w:val="a5"/>
        </w:rPr>
        <w:footnoteRef/>
      </w:r>
      <w:r>
        <w:rPr>
          <w:rFonts w:hint="eastAsia"/>
        </w:rPr>
        <w:tab/>
      </w:r>
      <w:r w:rsidRPr="00424A64">
        <w:rPr>
          <w:rFonts w:hint="eastAsia"/>
        </w:rPr>
        <w:t>“</w:t>
      </w:r>
      <w:r>
        <w:rPr>
          <w:rFonts w:hint="eastAsia"/>
        </w:rPr>
        <w:t>所有</w:t>
      </w:r>
      <w:r w:rsidRPr="00424A64">
        <w:rPr>
          <w:rFonts w:hint="eastAsia"/>
        </w:rPr>
        <w:t>本</w:t>
      </w:r>
      <w:r>
        <w:rPr>
          <w:rFonts w:hint="eastAsia"/>
        </w:rPr>
        <w:t>协定中</w:t>
      </w:r>
      <w:r w:rsidRPr="00424A64">
        <w:rPr>
          <w:rFonts w:hint="eastAsia"/>
        </w:rPr>
        <w:t>未</w:t>
      </w:r>
      <w:r>
        <w:rPr>
          <w:rFonts w:hint="eastAsia"/>
        </w:rPr>
        <w:t>以其他方式</w:t>
      </w:r>
      <w:r w:rsidRPr="00424A64">
        <w:rPr>
          <w:rFonts w:hint="eastAsia"/>
        </w:rPr>
        <w:t>处理的属于南斯拉夫</w:t>
      </w:r>
      <w:r>
        <w:rPr>
          <w:rFonts w:hint="eastAsia"/>
        </w:rPr>
        <w:t>社会主义联邦共和国</w:t>
      </w:r>
      <w:r w:rsidRPr="00424A64">
        <w:rPr>
          <w:rFonts w:hint="eastAsia"/>
        </w:rPr>
        <w:t>的权利和利益</w:t>
      </w:r>
      <w:r>
        <w:rPr>
          <w:rFonts w:hint="eastAsia"/>
        </w:rPr>
        <w:t>(</w:t>
      </w:r>
      <w:r>
        <w:rPr>
          <w:rFonts w:hint="eastAsia"/>
        </w:rPr>
        <w:t>包括但不限于专利、商标、版权、版税及债务和债权</w:t>
      </w:r>
      <w:r>
        <w:rPr>
          <w:rFonts w:hint="eastAsia"/>
        </w:rPr>
        <w:t>)</w:t>
      </w:r>
      <w:r w:rsidRPr="00424A64">
        <w:rPr>
          <w:rFonts w:hint="eastAsia"/>
        </w:rPr>
        <w:t>，</w:t>
      </w:r>
      <w:r>
        <w:rPr>
          <w:rFonts w:hint="eastAsia"/>
        </w:rPr>
        <w:t>均参照本协定附件</w:t>
      </w:r>
      <w:r>
        <w:rPr>
          <w:rFonts w:hint="eastAsia"/>
        </w:rPr>
        <w:t>C</w:t>
      </w:r>
      <w:r>
        <w:rPr>
          <w:rFonts w:hint="eastAsia"/>
        </w:rPr>
        <w:t>中南斯拉夫社会主义联邦共和国财政资产分割比例，由各继承国分担。”</w:t>
      </w:r>
    </w:p>
  </w:footnote>
  <w:footnote w:id="1569">
    <w:p w:rsidR="00AB00DE" w:rsidRDefault="00AB00DE" w:rsidP="000B444F">
      <w:pPr>
        <w:pStyle w:val="a4"/>
      </w:pPr>
      <w:r>
        <w:rPr>
          <w:rFonts w:hint="eastAsia"/>
        </w:rPr>
        <w:tab/>
      </w:r>
      <w:r w:rsidRPr="00523D41">
        <w:rPr>
          <w:rStyle w:val="a5"/>
          <w:rFonts w:cs="Arial"/>
        </w:rPr>
        <w:footnoteRef/>
      </w:r>
      <w:r>
        <w:rPr>
          <w:rFonts w:hint="eastAsia"/>
        </w:rPr>
        <w:tab/>
      </w:r>
      <w:r>
        <w:rPr>
          <w:bCs/>
          <w:color w:val="000000"/>
        </w:rPr>
        <w:t>《防止及惩治灭绝种族罪公约》的适用</w:t>
      </w:r>
      <w:r>
        <w:rPr>
          <w:rFonts w:hint="eastAsia"/>
          <w:bCs/>
          <w:color w:val="000000"/>
        </w:rPr>
        <w:t>(</w:t>
      </w:r>
      <w:r>
        <w:rPr>
          <w:bCs/>
          <w:color w:val="000000"/>
        </w:rPr>
        <w:t>波斯尼亚和黑塞哥维那</w:t>
      </w:r>
      <w:r>
        <w:rPr>
          <w:rFonts w:hint="eastAsia"/>
          <w:bCs/>
          <w:color w:val="000000"/>
        </w:rPr>
        <w:t>诉</w:t>
      </w:r>
      <w:r>
        <w:rPr>
          <w:bCs/>
          <w:color w:val="000000"/>
        </w:rPr>
        <w:t>塞尔维亚和黑山</w:t>
      </w:r>
      <w:r>
        <w:rPr>
          <w:rFonts w:hint="eastAsia"/>
          <w:bCs/>
          <w:color w:val="000000"/>
        </w:rPr>
        <w:t>)</w:t>
      </w:r>
      <w:r>
        <w:rPr>
          <w:rFonts w:hint="eastAsia"/>
          <w:bCs/>
          <w:color w:val="000000"/>
        </w:rPr>
        <w:t>，</w:t>
      </w:r>
      <w:r>
        <w:rPr>
          <w:bCs/>
          <w:color w:val="000000"/>
        </w:rPr>
        <w:t>2007</w:t>
      </w:r>
      <w:r>
        <w:rPr>
          <w:rFonts w:hint="eastAsia"/>
          <w:bCs/>
          <w:color w:val="000000"/>
        </w:rPr>
        <w:t>年</w:t>
      </w:r>
      <w:r>
        <w:rPr>
          <w:rFonts w:hint="eastAsia"/>
          <w:bCs/>
          <w:color w:val="000000"/>
        </w:rPr>
        <w:t>2</w:t>
      </w:r>
      <w:r>
        <w:rPr>
          <w:rFonts w:hint="eastAsia"/>
          <w:bCs/>
          <w:color w:val="000000"/>
        </w:rPr>
        <w:t>月</w:t>
      </w:r>
      <w:r>
        <w:rPr>
          <w:rFonts w:hint="eastAsia"/>
          <w:bCs/>
          <w:color w:val="000000"/>
        </w:rPr>
        <w:t>26</w:t>
      </w:r>
      <w:r>
        <w:rPr>
          <w:rFonts w:hint="eastAsia"/>
          <w:bCs/>
          <w:color w:val="000000"/>
        </w:rPr>
        <w:t>日的判决，</w:t>
      </w:r>
      <w:r>
        <w:rPr>
          <w:bCs/>
          <w:color w:val="000000"/>
        </w:rPr>
        <w:t>《</w:t>
      </w:r>
      <w:r>
        <w:rPr>
          <w:bCs/>
          <w:color w:val="000000"/>
        </w:rPr>
        <w:t>2007</w:t>
      </w:r>
      <w:r>
        <w:rPr>
          <w:bCs/>
          <w:color w:val="000000"/>
        </w:rPr>
        <w:t>年国际法院案例汇编》</w:t>
      </w:r>
      <w:r>
        <w:rPr>
          <w:rFonts w:hint="eastAsia"/>
          <w:bCs/>
          <w:color w:val="000000"/>
        </w:rPr>
        <w:t>，第</w:t>
      </w:r>
      <w:r>
        <w:rPr>
          <w:bCs/>
          <w:color w:val="000000"/>
        </w:rPr>
        <w:t>75-76</w:t>
      </w:r>
      <w:r>
        <w:rPr>
          <w:rFonts w:hint="eastAsia"/>
          <w:bCs/>
          <w:color w:val="000000"/>
        </w:rPr>
        <w:t>页</w:t>
      </w:r>
      <w:r>
        <w:rPr>
          <w:rFonts w:hint="eastAsia"/>
          <w:bCs/>
          <w:color w:val="000000"/>
        </w:rPr>
        <w:t>(</w:t>
      </w:r>
      <w:r>
        <w:rPr>
          <w:rFonts w:hint="eastAsia"/>
          <w:bCs/>
          <w:color w:val="000000"/>
        </w:rPr>
        <w:t>第</w:t>
      </w:r>
      <w:r>
        <w:rPr>
          <w:bCs/>
          <w:color w:val="000000"/>
        </w:rPr>
        <w:t>74</w:t>
      </w:r>
      <w:r>
        <w:rPr>
          <w:rFonts w:hint="eastAsia"/>
          <w:bCs/>
          <w:color w:val="000000"/>
        </w:rPr>
        <w:t>、</w:t>
      </w:r>
      <w:r>
        <w:rPr>
          <w:bCs/>
          <w:color w:val="000000"/>
        </w:rPr>
        <w:t>77-78</w:t>
      </w:r>
      <w:r>
        <w:rPr>
          <w:rFonts w:hint="eastAsia"/>
          <w:bCs/>
          <w:color w:val="000000"/>
        </w:rPr>
        <w:t>段</w:t>
      </w:r>
      <w:r>
        <w:rPr>
          <w:rFonts w:hint="eastAsia"/>
          <w:bCs/>
          <w:color w:val="000000"/>
        </w:rPr>
        <w:t>)</w:t>
      </w:r>
      <w:r>
        <w:rPr>
          <w:rFonts w:hint="eastAsia"/>
          <w:bCs/>
          <w:color w:val="000000"/>
        </w:rPr>
        <w:t>。</w:t>
      </w:r>
    </w:p>
  </w:footnote>
  <w:footnote w:id="1570">
    <w:p w:rsidR="00AB00DE" w:rsidRPr="006B5C4D" w:rsidRDefault="00AB00DE" w:rsidP="000B444F">
      <w:pPr>
        <w:pStyle w:val="a4"/>
      </w:pPr>
      <w:r>
        <w:rPr>
          <w:rFonts w:hint="eastAsia"/>
        </w:rPr>
        <w:tab/>
      </w:r>
      <w:r w:rsidRPr="00523D41">
        <w:rPr>
          <w:rStyle w:val="a5"/>
        </w:rPr>
        <w:footnoteRef/>
      </w:r>
      <w:r>
        <w:rPr>
          <w:rFonts w:hint="eastAsia"/>
        </w:rPr>
        <w:tab/>
      </w:r>
      <w:r w:rsidRPr="003B76EB">
        <w:rPr>
          <w:bCs/>
          <w:color w:val="000000"/>
        </w:rPr>
        <w:t>《防止及惩治灭绝种族罪公约》的适用</w:t>
      </w:r>
      <w:r>
        <w:rPr>
          <w:rFonts w:hint="eastAsia"/>
          <w:bCs/>
          <w:color w:val="000000"/>
        </w:rPr>
        <w:t>(</w:t>
      </w:r>
      <w:r>
        <w:rPr>
          <w:bCs/>
          <w:color w:val="000000"/>
        </w:rPr>
        <w:t>克罗地亚</w:t>
      </w:r>
      <w:r>
        <w:rPr>
          <w:rFonts w:hint="eastAsia"/>
          <w:bCs/>
          <w:color w:val="000000"/>
        </w:rPr>
        <w:t>诉</w:t>
      </w:r>
      <w:r>
        <w:rPr>
          <w:bCs/>
          <w:color w:val="000000"/>
        </w:rPr>
        <w:t>塞尔维亚和黑山</w:t>
      </w:r>
      <w:r>
        <w:rPr>
          <w:rFonts w:hint="eastAsia"/>
          <w:bCs/>
          <w:color w:val="000000"/>
        </w:rPr>
        <w:t>)</w:t>
      </w:r>
      <w:r>
        <w:rPr>
          <w:rFonts w:hint="eastAsia"/>
          <w:bCs/>
          <w:color w:val="000000"/>
        </w:rPr>
        <w:t>，初步例外。</w:t>
      </w:r>
      <w:r>
        <w:rPr>
          <w:rFonts w:hint="eastAsia"/>
          <w:bCs/>
          <w:color w:val="000000"/>
        </w:rPr>
        <w:t>2008</w:t>
      </w:r>
      <w:r>
        <w:rPr>
          <w:rFonts w:hint="eastAsia"/>
          <w:bCs/>
          <w:color w:val="000000"/>
        </w:rPr>
        <w:t>年</w:t>
      </w:r>
      <w:r>
        <w:rPr>
          <w:rFonts w:hint="eastAsia"/>
          <w:bCs/>
          <w:color w:val="000000"/>
        </w:rPr>
        <w:t>11</w:t>
      </w:r>
      <w:r>
        <w:rPr>
          <w:rFonts w:hint="eastAsia"/>
          <w:bCs/>
          <w:color w:val="000000"/>
        </w:rPr>
        <w:t>月</w:t>
      </w:r>
      <w:r>
        <w:rPr>
          <w:rFonts w:hint="eastAsia"/>
          <w:bCs/>
          <w:color w:val="000000"/>
        </w:rPr>
        <w:t>18</w:t>
      </w:r>
      <w:r>
        <w:rPr>
          <w:rFonts w:hint="eastAsia"/>
          <w:bCs/>
          <w:color w:val="000000"/>
        </w:rPr>
        <w:t>日的判决，</w:t>
      </w:r>
      <w:r>
        <w:rPr>
          <w:bCs/>
          <w:color w:val="000000"/>
        </w:rPr>
        <w:t>《</w:t>
      </w:r>
      <w:r>
        <w:rPr>
          <w:bCs/>
          <w:color w:val="000000"/>
        </w:rPr>
        <w:t>2008</w:t>
      </w:r>
      <w:r>
        <w:rPr>
          <w:bCs/>
          <w:color w:val="000000"/>
        </w:rPr>
        <w:t>年国际法院案例汇编》</w:t>
      </w:r>
      <w:r>
        <w:rPr>
          <w:rFonts w:hint="eastAsia"/>
          <w:bCs/>
          <w:color w:val="000000"/>
        </w:rPr>
        <w:t>，第</w:t>
      </w:r>
      <w:r w:rsidRPr="003B76EB">
        <w:rPr>
          <w:bCs/>
          <w:color w:val="000000"/>
        </w:rPr>
        <w:t>23-34</w:t>
      </w:r>
      <w:r>
        <w:rPr>
          <w:rFonts w:hint="eastAsia"/>
          <w:bCs/>
          <w:color w:val="000000"/>
        </w:rPr>
        <w:t>段。</w:t>
      </w:r>
    </w:p>
  </w:footnote>
  <w:footnote w:id="1571">
    <w:p w:rsidR="00AB00DE" w:rsidRDefault="00AB00DE" w:rsidP="000B444F">
      <w:pPr>
        <w:pStyle w:val="a4"/>
      </w:pPr>
      <w:r>
        <w:rPr>
          <w:rFonts w:hint="eastAsia"/>
        </w:rPr>
        <w:tab/>
      </w:r>
      <w:r w:rsidRPr="00523D41">
        <w:rPr>
          <w:rStyle w:val="a5"/>
        </w:rPr>
        <w:footnoteRef/>
      </w:r>
      <w:r>
        <w:rPr>
          <w:rFonts w:hint="eastAsia"/>
        </w:rPr>
        <w:tab/>
      </w:r>
      <w:r w:rsidRPr="003B76EB">
        <w:rPr>
          <w:bCs/>
          <w:color w:val="000000"/>
        </w:rPr>
        <w:t>《防止及惩治灭绝种族罪公约》的适用</w:t>
      </w:r>
      <w:r>
        <w:rPr>
          <w:rFonts w:hint="eastAsia"/>
          <w:bCs/>
          <w:color w:val="000000"/>
        </w:rPr>
        <w:t>(</w:t>
      </w:r>
      <w:r>
        <w:rPr>
          <w:bCs/>
          <w:color w:val="000000"/>
        </w:rPr>
        <w:t>克罗地亚诉塞尔维亚</w:t>
      </w:r>
      <w:r>
        <w:rPr>
          <w:rFonts w:hint="eastAsia"/>
          <w:bCs/>
          <w:color w:val="000000"/>
        </w:rPr>
        <w:t>)</w:t>
      </w:r>
      <w:r>
        <w:rPr>
          <w:bCs/>
          <w:color w:val="000000"/>
        </w:rPr>
        <w:t>，案情，</w:t>
      </w:r>
      <w:r>
        <w:rPr>
          <w:bCs/>
          <w:color w:val="000000"/>
        </w:rPr>
        <w:t>2015</w:t>
      </w:r>
      <w:r>
        <w:rPr>
          <w:bCs/>
          <w:color w:val="000000"/>
        </w:rPr>
        <w:t>年</w:t>
      </w:r>
      <w:r>
        <w:rPr>
          <w:bCs/>
          <w:color w:val="000000"/>
        </w:rPr>
        <w:t>2</w:t>
      </w:r>
      <w:r>
        <w:rPr>
          <w:bCs/>
          <w:color w:val="000000"/>
        </w:rPr>
        <w:t>月</w:t>
      </w:r>
      <w:r>
        <w:rPr>
          <w:bCs/>
          <w:color w:val="000000"/>
        </w:rPr>
        <w:t>3</w:t>
      </w:r>
      <w:r>
        <w:rPr>
          <w:bCs/>
          <w:color w:val="000000"/>
        </w:rPr>
        <w:t>日的判决，《</w:t>
      </w:r>
      <w:r>
        <w:rPr>
          <w:bCs/>
          <w:color w:val="000000"/>
        </w:rPr>
        <w:t>2015</w:t>
      </w:r>
      <w:r>
        <w:rPr>
          <w:bCs/>
          <w:color w:val="000000"/>
        </w:rPr>
        <w:t>年国际法院案例汇编》</w:t>
      </w:r>
      <w:r>
        <w:rPr>
          <w:rFonts w:hint="eastAsia"/>
          <w:bCs/>
          <w:color w:val="000000"/>
        </w:rPr>
        <w:t>。</w:t>
      </w:r>
    </w:p>
  </w:footnote>
  <w:footnote w:id="1572">
    <w:p w:rsidR="00AB00DE" w:rsidRPr="007E548A" w:rsidRDefault="00AB00DE" w:rsidP="000B444F">
      <w:pPr>
        <w:pStyle w:val="a4"/>
      </w:pPr>
      <w:r>
        <w:rPr>
          <w:rFonts w:hint="eastAsia"/>
        </w:rPr>
        <w:tab/>
      </w:r>
      <w:r w:rsidRPr="00523D41">
        <w:rPr>
          <w:rStyle w:val="a5"/>
        </w:rPr>
        <w:footnoteRef/>
      </w:r>
      <w:r>
        <w:rPr>
          <w:rFonts w:hint="eastAsia"/>
        </w:rPr>
        <w:tab/>
      </w:r>
      <w:r>
        <w:t>同上</w:t>
      </w:r>
      <w:r>
        <w:rPr>
          <w:rFonts w:hint="eastAsia"/>
        </w:rPr>
        <w:t>，第</w:t>
      </w:r>
      <w:r>
        <w:t>107</w:t>
      </w:r>
      <w:r>
        <w:rPr>
          <w:rFonts w:hint="eastAsia"/>
        </w:rPr>
        <w:t>段。</w:t>
      </w:r>
    </w:p>
  </w:footnote>
  <w:footnote w:id="1573">
    <w:p w:rsidR="00AB00DE" w:rsidRPr="0069320B" w:rsidRDefault="00AB00DE" w:rsidP="000B444F">
      <w:pPr>
        <w:pStyle w:val="a4"/>
      </w:pPr>
      <w:r>
        <w:rPr>
          <w:rFonts w:hint="eastAsia"/>
        </w:rPr>
        <w:tab/>
      </w:r>
      <w:r w:rsidRPr="00523D41">
        <w:rPr>
          <w:rStyle w:val="a5"/>
        </w:rPr>
        <w:footnoteRef/>
      </w:r>
      <w:r>
        <w:rPr>
          <w:rFonts w:hint="eastAsia"/>
        </w:rPr>
        <w:tab/>
      </w:r>
      <w:r>
        <w:rPr>
          <w:rFonts w:hint="eastAsia"/>
        </w:rPr>
        <w:t>见</w:t>
      </w:r>
      <w:r>
        <w:t xml:space="preserve"> </w:t>
      </w:r>
      <w:r w:rsidRPr="007E548A">
        <w:t>J.</w:t>
      </w:r>
      <w:r w:rsidRPr="007E548A">
        <w:t>克劳福德</w:t>
      </w:r>
      <w:r>
        <w:rPr>
          <w:rFonts w:hint="eastAsia"/>
        </w:rPr>
        <w:t>教授为</w:t>
      </w:r>
      <w:r>
        <w:t>克罗地亚</w:t>
      </w:r>
      <w:r w:rsidRPr="009708F3">
        <w:rPr>
          <w:rFonts w:hint="eastAsia"/>
        </w:rPr>
        <w:t>辩护</w:t>
      </w:r>
      <w:r>
        <w:rPr>
          <w:rFonts w:hint="eastAsia"/>
        </w:rPr>
        <w:t>的诉状</w:t>
      </w:r>
      <w:r w:rsidRPr="009708F3">
        <w:rPr>
          <w:rFonts w:hint="eastAsia"/>
        </w:rPr>
        <w:t>；</w:t>
      </w:r>
      <w:r w:rsidRPr="007E548A">
        <w:rPr>
          <w:color w:val="000000"/>
        </w:rPr>
        <w:t>2014</w:t>
      </w:r>
      <w:r>
        <w:rPr>
          <w:color w:val="000000"/>
        </w:rPr>
        <w:t>年</w:t>
      </w:r>
      <w:r>
        <w:rPr>
          <w:color w:val="000000"/>
        </w:rPr>
        <w:t>3</w:t>
      </w:r>
      <w:r>
        <w:rPr>
          <w:color w:val="000000"/>
        </w:rPr>
        <w:t>月</w:t>
      </w:r>
      <w:r w:rsidRPr="007E548A">
        <w:rPr>
          <w:color w:val="000000"/>
        </w:rPr>
        <w:t>21</w:t>
      </w:r>
      <w:r>
        <w:rPr>
          <w:color w:val="000000"/>
        </w:rPr>
        <w:t>日</w:t>
      </w:r>
      <w:r>
        <w:rPr>
          <w:rFonts w:hint="eastAsia"/>
          <w:color w:val="000000"/>
        </w:rPr>
        <w:t>星期五上午</w:t>
      </w:r>
      <w:r w:rsidRPr="007E548A">
        <w:rPr>
          <w:color w:val="000000"/>
        </w:rPr>
        <w:t>10</w:t>
      </w:r>
      <w:r>
        <w:rPr>
          <w:rFonts w:hint="eastAsia"/>
          <w:color w:val="000000"/>
        </w:rPr>
        <w:t>时在和平宫举行的公开审理，由院长通卡主持，案件涉及</w:t>
      </w:r>
      <w:r>
        <w:rPr>
          <w:color w:val="000000"/>
        </w:rPr>
        <w:t>《防止及惩治灭绝种族罪公约》的适用</w:t>
      </w:r>
      <w:r>
        <w:rPr>
          <w:rFonts w:hint="eastAsia"/>
          <w:color w:val="000000"/>
        </w:rPr>
        <w:t>(</w:t>
      </w:r>
      <w:r>
        <w:rPr>
          <w:color w:val="000000"/>
        </w:rPr>
        <w:t>克罗地亚诉塞尔维亚</w:t>
      </w:r>
      <w:r>
        <w:rPr>
          <w:rFonts w:hint="eastAsia"/>
          <w:color w:val="000000"/>
        </w:rPr>
        <w:t>)</w:t>
      </w:r>
      <w:r>
        <w:rPr>
          <w:rFonts w:hint="eastAsia"/>
          <w:color w:val="000000"/>
        </w:rPr>
        <w:t>，</w:t>
      </w:r>
      <w:r w:rsidRPr="007E548A">
        <w:rPr>
          <w:color w:val="000000"/>
        </w:rPr>
        <w:t>CR 2014/21</w:t>
      </w:r>
      <w:r>
        <w:rPr>
          <w:rFonts w:hint="eastAsia"/>
          <w:color w:val="000000"/>
        </w:rPr>
        <w:t>，第</w:t>
      </w:r>
      <w:r w:rsidRPr="007E548A">
        <w:rPr>
          <w:color w:val="000000"/>
        </w:rPr>
        <w:t>21</w:t>
      </w:r>
      <w:r>
        <w:rPr>
          <w:rFonts w:hint="eastAsia"/>
          <w:color w:val="000000"/>
        </w:rPr>
        <w:t>节，第</w:t>
      </w:r>
      <w:r w:rsidRPr="0069320B">
        <w:rPr>
          <w:color w:val="000000"/>
        </w:rPr>
        <w:t>42</w:t>
      </w:r>
      <w:r w:rsidRPr="0069320B">
        <w:rPr>
          <w:rFonts w:hint="eastAsia"/>
          <w:color w:val="000000"/>
        </w:rPr>
        <w:t>段：</w:t>
      </w:r>
      <w:r>
        <w:rPr>
          <w:rFonts w:hint="eastAsia"/>
          <w:color w:val="000000"/>
        </w:rPr>
        <w:t>“我们说，若有正当理由，特定情况下可以出现继承规则。没有关于责任继承的一般规则，但也没有反对责任继承的一般规则。</w:t>
      </w:r>
      <w:r>
        <w:rPr>
          <w:rFonts w:hint="eastAsia"/>
        </w:rPr>
        <w:t>”</w:t>
      </w:r>
    </w:p>
  </w:footnote>
  <w:footnote w:id="1574">
    <w:p w:rsidR="00AB00DE" w:rsidRPr="005C06FF" w:rsidRDefault="00AB00DE" w:rsidP="000B444F">
      <w:pPr>
        <w:pStyle w:val="a4"/>
      </w:pPr>
      <w:r>
        <w:rPr>
          <w:rFonts w:hint="eastAsia"/>
        </w:rPr>
        <w:tab/>
      </w:r>
      <w:r w:rsidRPr="00523D41">
        <w:rPr>
          <w:rStyle w:val="a5"/>
        </w:rPr>
        <w:footnoteRef/>
      </w:r>
      <w:r>
        <w:rPr>
          <w:rFonts w:hint="eastAsia"/>
        </w:rPr>
        <w:tab/>
      </w:r>
      <w:r>
        <w:rPr>
          <w:bCs/>
          <w:color w:val="000000"/>
        </w:rPr>
        <w:t>《防止及惩治灭绝种族罪公约》的适用</w:t>
      </w:r>
      <w:r>
        <w:rPr>
          <w:rFonts w:hint="eastAsia"/>
          <w:bCs/>
          <w:color w:val="000000"/>
        </w:rPr>
        <w:t>(</w:t>
      </w:r>
      <w:r>
        <w:rPr>
          <w:bCs/>
          <w:color w:val="000000"/>
        </w:rPr>
        <w:t>克罗地亚诉塞尔维亚</w:t>
      </w:r>
      <w:r>
        <w:rPr>
          <w:rFonts w:hint="eastAsia"/>
          <w:bCs/>
          <w:color w:val="000000"/>
        </w:rPr>
        <w:t>)</w:t>
      </w:r>
      <w:r>
        <w:rPr>
          <w:bCs/>
          <w:color w:val="000000"/>
        </w:rPr>
        <w:t>，案情，</w:t>
      </w:r>
      <w:r>
        <w:rPr>
          <w:bCs/>
          <w:color w:val="000000"/>
        </w:rPr>
        <w:t>2015</w:t>
      </w:r>
      <w:r>
        <w:rPr>
          <w:bCs/>
          <w:color w:val="000000"/>
        </w:rPr>
        <w:t>年</w:t>
      </w:r>
      <w:r>
        <w:rPr>
          <w:bCs/>
          <w:color w:val="000000"/>
        </w:rPr>
        <w:t>2</w:t>
      </w:r>
      <w:r>
        <w:rPr>
          <w:bCs/>
          <w:color w:val="000000"/>
        </w:rPr>
        <w:t>月</w:t>
      </w:r>
      <w:r>
        <w:rPr>
          <w:bCs/>
          <w:color w:val="000000"/>
        </w:rPr>
        <w:t>3</w:t>
      </w:r>
      <w:r>
        <w:rPr>
          <w:bCs/>
          <w:color w:val="000000"/>
        </w:rPr>
        <w:t>日的判决，</w:t>
      </w:r>
      <w:r>
        <w:rPr>
          <w:rFonts w:hint="eastAsia"/>
          <w:bCs/>
          <w:color w:val="000000"/>
        </w:rPr>
        <w:t>第</w:t>
      </w:r>
      <w:r>
        <w:rPr>
          <w:bCs/>
          <w:color w:val="000000"/>
        </w:rPr>
        <w:t>107</w:t>
      </w:r>
      <w:r>
        <w:rPr>
          <w:rFonts w:hint="eastAsia"/>
          <w:bCs/>
          <w:color w:val="000000"/>
        </w:rPr>
        <w:t>段。</w:t>
      </w:r>
    </w:p>
  </w:footnote>
  <w:footnote w:id="1575">
    <w:p w:rsidR="00AB00DE" w:rsidRPr="007D7621" w:rsidRDefault="00AB00DE" w:rsidP="000B444F">
      <w:pPr>
        <w:pStyle w:val="a4"/>
      </w:pPr>
      <w:r>
        <w:rPr>
          <w:rFonts w:hint="eastAsia"/>
        </w:rPr>
        <w:tab/>
      </w:r>
      <w:r w:rsidRPr="00523D41">
        <w:rPr>
          <w:rStyle w:val="a5"/>
        </w:rPr>
        <w:footnoteRef/>
      </w:r>
      <w:r>
        <w:rPr>
          <w:rFonts w:hint="eastAsia"/>
        </w:rPr>
        <w:tab/>
      </w:r>
      <w:r>
        <w:rPr>
          <w:rFonts w:hint="eastAsia"/>
        </w:rPr>
        <w:t>参照</w:t>
      </w:r>
      <w:r w:rsidRPr="007D7621">
        <w:t>A. Zimmermann</w:t>
      </w:r>
      <w:r>
        <w:rPr>
          <w:rFonts w:hint="eastAsia"/>
        </w:rPr>
        <w:t>教授</w:t>
      </w:r>
      <w:r w:rsidRPr="00B30686">
        <w:rPr>
          <w:rFonts w:hint="eastAsia"/>
        </w:rPr>
        <w:t>为</w:t>
      </w:r>
      <w:r>
        <w:rPr>
          <w:rFonts w:hint="eastAsia"/>
        </w:rPr>
        <w:t>塞尔维亚</w:t>
      </w:r>
      <w:r w:rsidRPr="00B30686">
        <w:rPr>
          <w:rFonts w:hint="eastAsia"/>
        </w:rPr>
        <w:t>辩护的诉状，</w:t>
      </w:r>
      <w:r>
        <w:rPr>
          <w:rFonts w:hint="eastAsia"/>
        </w:rPr>
        <w:t>他提到该协定附件</w:t>
      </w:r>
      <w:r>
        <w:rPr>
          <w:rFonts w:hint="eastAsia"/>
        </w:rPr>
        <w:t>F</w:t>
      </w:r>
      <w:r>
        <w:rPr>
          <w:rFonts w:hint="eastAsia"/>
        </w:rPr>
        <w:t>第</w:t>
      </w:r>
      <w:r>
        <w:rPr>
          <w:rFonts w:hint="eastAsia"/>
        </w:rPr>
        <w:t>2</w:t>
      </w:r>
      <w:r>
        <w:rPr>
          <w:rFonts w:hint="eastAsia"/>
        </w:rPr>
        <w:t>条规定，由常设联合委员会解决争端。</w:t>
      </w:r>
      <w:r w:rsidRPr="007D7621">
        <w:rPr>
          <w:color w:val="000000"/>
        </w:rPr>
        <w:t>2014</w:t>
      </w:r>
      <w:r>
        <w:rPr>
          <w:color w:val="000000"/>
        </w:rPr>
        <w:t>年</w:t>
      </w:r>
      <w:r>
        <w:rPr>
          <w:color w:val="000000"/>
        </w:rPr>
        <w:t>3</w:t>
      </w:r>
      <w:r>
        <w:rPr>
          <w:color w:val="000000"/>
        </w:rPr>
        <w:t>月</w:t>
      </w:r>
      <w:r w:rsidRPr="007D7621">
        <w:rPr>
          <w:color w:val="000000"/>
        </w:rPr>
        <w:t>27</w:t>
      </w:r>
      <w:r>
        <w:rPr>
          <w:color w:val="000000"/>
        </w:rPr>
        <w:t>日</w:t>
      </w:r>
      <w:r>
        <w:rPr>
          <w:rFonts w:hint="eastAsia"/>
          <w:color w:val="000000"/>
        </w:rPr>
        <w:t>星期四下午</w:t>
      </w:r>
      <w:r w:rsidRPr="007D7621">
        <w:rPr>
          <w:color w:val="000000"/>
        </w:rPr>
        <w:t>3</w:t>
      </w:r>
      <w:r>
        <w:rPr>
          <w:rFonts w:hint="eastAsia"/>
          <w:color w:val="000000"/>
        </w:rPr>
        <w:t>时举行的公开审理，</w:t>
      </w:r>
      <w:r w:rsidRPr="007D7621">
        <w:rPr>
          <w:color w:val="000000"/>
        </w:rPr>
        <w:t>CR 2014/22</w:t>
      </w:r>
      <w:r>
        <w:rPr>
          <w:rFonts w:hint="eastAsia"/>
          <w:color w:val="000000"/>
        </w:rPr>
        <w:t>，第</w:t>
      </w:r>
      <w:r w:rsidRPr="007D7621">
        <w:rPr>
          <w:color w:val="000000"/>
        </w:rPr>
        <w:t>27</w:t>
      </w:r>
      <w:r>
        <w:rPr>
          <w:rFonts w:hint="eastAsia"/>
          <w:color w:val="000000"/>
        </w:rPr>
        <w:t>节，第</w:t>
      </w:r>
      <w:r w:rsidRPr="007D7621">
        <w:rPr>
          <w:color w:val="000000"/>
        </w:rPr>
        <w:t>52-54</w:t>
      </w:r>
      <w:r>
        <w:rPr>
          <w:rFonts w:hint="eastAsia"/>
          <w:color w:val="000000"/>
        </w:rPr>
        <w:t>段。</w:t>
      </w:r>
    </w:p>
  </w:footnote>
  <w:footnote w:id="1576">
    <w:p w:rsidR="00AB00DE" w:rsidRPr="00E20A87" w:rsidRDefault="00AB00DE" w:rsidP="000B444F">
      <w:pPr>
        <w:pStyle w:val="a4"/>
      </w:pPr>
      <w:r>
        <w:rPr>
          <w:rFonts w:hint="eastAsia"/>
        </w:rPr>
        <w:tab/>
      </w:r>
      <w:r w:rsidRPr="00523D41">
        <w:rPr>
          <w:rStyle w:val="a5"/>
        </w:rPr>
        <w:footnoteRef/>
      </w:r>
      <w:r>
        <w:rPr>
          <w:rFonts w:hint="eastAsia"/>
        </w:rPr>
        <w:tab/>
      </w:r>
      <w:r>
        <w:rPr>
          <w:bCs/>
          <w:color w:val="000000"/>
        </w:rPr>
        <w:t>《防止及惩治灭绝种族罪公约》的适用</w:t>
      </w:r>
      <w:r>
        <w:rPr>
          <w:rFonts w:hint="eastAsia"/>
          <w:bCs/>
          <w:color w:val="000000"/>
        </w:rPr>
        <w:t>(</w:t>
      </w:r>
      <w:r>
        <w:rPr>
          <w:bCs/>
          <w:color w:val="000000"/>
        </w:rPr>
        <w:t>克罗地亚诉塞尔维亚</w:t>
      </w:r>
      <w:r>
        <w:rPr>
          <w:rFonts w:hint="eastAsia"/>
          <w:bCs/>
          <w:color w:val="000000"/>
        </w:rPr>
        <w:t>)</w:t>
      </w:r>
      <w:r>
        <w:rPr>
          <w:bCs/>
          <w:color w:val="000000"/>
        </w:rPr>
        <w:t>，案情，</w:t>
      </w:r>
      <w:r>
        <w:rPr>
          <w:bCs/>
          <w:color w:val="000000"/>
        </w:rPr>
        <w:t>2015</w:t>
      </w:r>
      <w:r>
        <w:rPr>
          <w:bCs/>
          <w:color w:val="000000"/>
        </w:rPr>
        <w:t>年</w:t>
      </w:r>
      <w:r>
        <w:rPr>
          <w:bCs/>
          <w:color w:val="000000"/>
        </w:rPr>
        <w:t>2</w:t>
      </w:r>
      <w:r>
        <w:rPr>
          <w:bCs/>
          <w:color w:val="000000"/>
        </w:rPr>
        <w:t>月</w:t>
      </w:r>
      <w:r>
        <w:rPr>
          <w:bCs/>
          <w:color w:val="000000"/>
        </w:rPr>
        <w:t>3</w:t>
      </w:r>
      <w:r>
        <w:rPr>
          <w:bCs/>
          <w:color w:val="000000"/>
        </w:rPr>
        <w:t>日的判决，</w:t>
      </w:r>
      <w:r>
        <w:rPr>
          <w:rFonts w:hint="eastAsia"/>
          <w:bCs/>
          <w:color w:val="000000"/>
        </w:rPr>
        <w:t>第</w:t>
      </w:r>
      <w:r>
        <w:rPr>
          <w:bCs/>
          <w:color w:val="000000"/>
        </w:rPr>
        <w:t>112</w:t>
      </w:r>
      <w:r>
        <w:rPr>
          <w:rFonts w:hint="eastAsia"/>
          <w:bCs/>
          <w:color w:val="000000"/>
        </w:rPr>
        <w:t>段。</w:t>
      </w:r>
    </w:p>
  </w:footnote>
  <w:footnote w:id="1577">
    <w:p w:rsidR="00AB00DE" w:rsidRPr="00A2466C" w:rsidRDefault="00AB00DE" w:rsidP="000B444F">
      <w:pPr>
        <w:pStyle w:val="a4"/>
      </w:pPr>
      <w:r>
        <w:rPr>
          <w:rFonts w:hint="eastAsia"/>
        </w:rPr>
        <w:tab/>
      </w:r>
      <w:r w:rsidRPr="00523D41">
        <w:rPr>
          <w:rStyle w:val="a5"/>
        </w:rPr>
        <w:footnoteRef/>
      </w:r>
      <w:r>
        <w:rPr>
          <w:rFonts w:hint="eastAsia"/>
        </w:rPr>
        <w:tab/>
      </w:r>
      <w:r>
        <w:t>同上</w:t>
      </w:r>
      <w:r>
        <w:rPr>
          <w:rFonts w:hint="eastAsia"/>
        </w:rPr>
        <w:t>，第</w:t>
      </w:r>
      <w:r w:rsidRPr="00A2466C">
        <w:t>115</w:t>
      </w:r>
      <w:r>
        <w:rPr>
          <w:rFonts w:hint="eastAsia"/>
        </w:rPr>
        <w:t>段。</w:t>
      </w:r>
    </w:p>
  </w:footnote>
  <w:footnote w:id="1578">
    <w:p w:rsidR="00AB00DE" w:rsidRPr="0060362D" w:rsidRDefault="00AB00DE" w:rsidP="000B444F">
      <w:pPr>
        <w:pStyle w:val="a4"/>
      </w:pPr>
      <w:r>
        <w:rPr>
          <w:rFonts w:hint="eastAsia"/>
        </w:rPr>
        <w:tab/>
      </w:r>
      <w:r w:rsidRPr="00523D41">
        <w:rPr>
          <w:rStyle w:val="a5"/>
        </w:rPr>
        <w:footnoteRef/>
      </w:r>
      <w:r>
        <w:rPr>
          <w:rFonts w:hint="eastAsia"/>
        </w:rPr>
        <w:tab/>
      </w:r>
      <w:r>
        <w:rPr>
          <w:bCs/>
          <w:color w:val="000000"/>
        </w:rPr>
        <w:t>《防止及惩治灭绝种族罪公约》的适用</w:t>
      </w:r>
      <w:r>
        <w:rPr>
          <w:rFonts w:hint="eastAsia"/>
          <w:bCs/>
          <w:color w:val="000000"/>
        </w:rPr>
        <w:t>(</w:t>
      </w:r>
      <w:r>
        <w:rPr>
          <w:bCs/>
          <w:color w:val="000000"/>
        </w:rPr>
        <w:t>克罗地亚诉塞尔维亚</w:t>
      </w:r>
      <w:r>
        <w:rPr>
          <w:rFonts w:hint="eastAsia"/>
          <w:bCs/>
          <w:color w:val="000000"/>
        </w:rPr>
        <w:t>)</w:t>
      </w:r>
      <w:r>
        <w:rPr>
          <w:bCs/>
          <w:color w:val="000000"/>
        </w:rPr>
        <w:t>，案情，</w:t>
      </w:r>
      <w:r>
        <w:rPr>
          <w:bCs/>
          <w:color w:val="000000"/>
        </w:rPr>
        <w:t>2015</w:t>
      </w:r>
      <w:r>
        <w:rPr>
          <w:bCs/>
          <w:color w:val="000000"/>
        </w:rPr>
        <w:t>年</w:t>
      </w:r>
      <w:r>
        <w:rPr>
          <w:bCs/>
          <w:color w:val="000000"/>
        </w:rPr>
        <w:t>2</w:t>
      </w:r>
      <w:r>
        <w:rPr>
          <w:bCs/>
          <w:color w:val="000000"/>
        </w:rPr>
        <w:t>月</w:t>
      </w:r>
      <w:r>
        <w:rPr>
          <w:bCs/>
          <w:color w:val="000000"/>
        </w:rPr>
        <w:t>3</w:t>
      </w:r>
      <w:r>
        <w:rPr>
          <w:bCs/>
          <w:color w:val="000000"/>
        </w:rPr>
        <w:t>日的判决，</w:t>
      </w:r>
      <w:r>
        <w:rPr>
          <w:rFonts w:hint="eastAsia"/>
          <w:bCs/>
          <w:color w:val="000000"/>
        </w:rPr>
        <w:t>薛法官的声明，第</w:t>
      </w:r>
      <w:r>
        <w:rPr>
          <w:bCs/>
          <w:color w:val="000000"/>
        </w:rPr>
        <w:t>23</w:t>
      </w:r>
      <w:r>
        <w:rPr>
          <w:rFonts w:hint="eastAsia"/>
          <w:bCs/>
          <w:color w:val="000000"/>
        </w:rPr>
        <w:t>段。</w:t>
      </w:r>
    </w:p>
  </w:footnote>
  <w:footnote w:id="1579">
    <w:p w:rsidR="00AB00DE" w:rsidRPr="00025F31" w:rsidRDefault="00AB00DE" w:rsidP="000B444F">
      <w:pPr>
        <w:pStyle w:val="a4"/>
      </w:pPr>
      <w:r>
        <w:rPr>
          <w:rFonts w:hint="eastAsia"/>
        </w:rPr>
        <w:tab/>
      </w:r>
      <w:r w:rsidRPr="00523D41">
        <w:rPr>
          <w:rStyle w:val="a5"/>
        </w:rPr>
        <w:footnoteRef/>
      </w:r>
      <w:r>
        <w:rPr>
          <w:rFonts w:hint="eastAsia"/>
        </w:rPr>
        <w:tab/>
      </w:r>
      <w:r w:rsidRPr="00647D31">
        <w:rPr>
          <w:rFonts w:eastAsia="楷体"/>
        </w:rPr>
        <w:t>Mytilineos Holdings SA</w:t>
      </w:r>
      <w:r w:rsidRPr="00647D31">
        <w:rPr>
          <w:rFonts w:eastAsia="楷体"/>
        </w:rPr>
        <w:t>诉</w:t>
      </w:r>
      <w:r w:rsidRPr="00647D31">
        <w:rPr>
          <w:rFonts w:eastAsia="楷体"/>
        </w:rPr>
        <w:t>1.</w:t>
      </w:r>
      <w:r w:rsidRPr="00647D31">
        <w:rPr>
          <w:rFonts w:eastAsia="楷体" w:hint="eastAsia"/>
        </w:rPr>
        <w:t xml:space="preserve"> </w:t>
      </w:r>
      <w:r w:rsidRPr="00647D31">
        <w:rPr>
          <w:rFonts w:eastAsia="楷体"/>
        </w:rPr>
        <w:t>塞尔维亚</w:t>
      </w:r>
      <w:r w:rsidRPr="00647D31">
        <w:rPr>
          <w:rFonts w:eastAsia="楷体" w:hint="eastAsia"/>
        </w:rPr>
        <w:t>和</w:t>
      </w:r>
      <w:r w:rsidRPr="00647D31">
        <w:rPr>
          <w:rFonts w:eastAsia="楷体"/>
        </w:rPr>
        <w:t>黑山</w:t>
      </w:r>
      <w:r w:rsidRPr="00647D31">
        <w:rPr>
          <w:rFonts w:eastAsia="楷体" w:hint="eastAsia"/>
        </w:rPr>
        <w:t>国家联盟，</w:t>
      </w:r>
      <w:r w:rsidRPr="00647D31">
        <w:rPr>
          <w:rFonts w:eastAsia="楷体"/>
        </w:rPr>
        <w:t>2.</w:t>
      </w:r>
      <w:r w:rsidRPr="00647D31">
        <w:rPr>
          <w:rFonts w:eastAsia="楷体" w:hint="eastAsia"/>
        </w:rPr>
        <w:t xml:space="preserve"> </w:t>
      </w:r>
      <w:r w:rsidRPr="00647D31">
        <w:rPr>
          <w:rFonts w:eastAsia="楷体"/>
        </w:rPr>
        <w:t>塞尔维亚</w:t>
      </w:r>
      <w:r w:rsidRPr="00647D31">
        <w:rPr>
          <w:rFonts w:eastAsia="楷体" w:hint="eastAsia"/>
        </w:rPr>
        <w:t>共和国，关于管辖权的部分裁决</w:t>
      </w:r>
      <w:r>
        <w:rPr>
          <w:rFonts w:hint="eastAsia"/>
        </w:rPr>
        <w:t>(</w:t>
      </w:r>
      <w:r>
        <w:rPr>
          <w:rFonts w:hint="eastAsia"/>
        </w:rPr>
        <w:t>根据国际贸易法委员会仲裁规则做出的仲裁</w:t>
      </w:r>
      <w:r>
        <w:rPr>
          <w:rFonts w:hint="eastAsia"/>
        </w:rPr>
        <w:t>)</w:t>
      </w:r>
      <w:r>
        <w:rPr>
          <w:rFonts w:hint="eastAsia"/>
        </w:rPr>
        <w:t>，苏黎世，</w:t>
      </w:r>
      <w:r w:rsidRPr="00D77CC4">
        <w:t>2006</w:t>
      </w:r>
      <w:r>
        <w:t>年</w:t>
      </w:r>
      <w:r>
        <w:t>9</w:t>
      </w:r>
      <w:r>
        <w:t>月</w:t>
      </w:r>
      <w:r w:rsidRPr="00D77CC4">
        <w:t>8</w:t>
      </w:r>
      <w:r>
        <w:t>日</w:t>
      </w:r>
      <w:r>
        <w:rPr>
          <w:rFonts w:hint="eastAsia"/>
        </w:rPr>
        <w:t>，第</w:t>
      </w:r>
      <w:r w:rsidRPr="00D77CC4">
        <w:t>158</w:t>
      </w:r>
      <w:r>
        <w:rPr>
          <w:rFonts w:hint="eastAsia"/>
        </w:rPr>
        <w:t>段。</w:t>
      </w:r>
    </w:p>
  </w:footnote>
  <w:footnote w:id="1580">
    <w:p w:rsidR="00AB00DE" w:rsidRPr="00CD13BA" w:rsidRDefault="00AB00DE" w:rsidP="000B444F">
      <w:pPr>
        <w:pStyle w:val="a4"/>
      </w:pPr>
      <w:r>
        <w:rPr>
          <w:rFonts w:hint="eastAsia"/>
        </w:rPr>
        <w:tab/>
      </w:r>
      <w:r w:rsidRPr="00523D41">
        <w:rPr>
          <w:rStyle w:val="a5"/>
        </w:rPr>
        <w:footnoteRef/>
      </w:r>
      <w:r>
        <w:rPr>
          <w:rFonts w:hint="eastAsia"/>
        </w:rPr>
        <w:tab/>
      </w:r>
      <w:r>
        <w:rPr>
          <w:rFonts w:hint="eastAsia"/>
        </w:rPr>
        <w:t>《德国统一条约》，第</w:t>
      </w:r>
      <w:r>
        <w:rPr>
          <w:rFonts w:hint="eastAsia"/>
        </w:rPr>
        <w:t>24</w:t>
      </w:r>
      <w:r>
        <w:rPr>
          <w:rFonts w:hint="eastAsia"/>
        </w:rPr>
        <w:t>条，</w:t>
      </w:r>
      <w:r w:rsidRPr="009708F3">
        <w:t>1990</w:t>
      </w:r>
      <w:r w:rsidRPr="009708F3">
        <w:t>年</w:t>
      </w:r>
      <w:r w:rsidRPr="009708F3">
        <w:t>8</w:t>
      </w:r>
      <w:r w:rsidRPr="009708F3">
        <w:t>月</w:t>
      </w:r>
      <w:r w:rsidRPr="009708F3">
        <w:t>31</w:t>
      </w:r>
      <w:r w:rsidRPr="009708F3">
        <w:t>日</w:t>
      </w:r>
      <w:r>
        <w:rPr>
          <w:rFonts w:hint="eastAsia"/>
        </w:rPr>
        <w:t>，</w:t>
      </w:r>
      <w:r>
        <w:t>ILM</w:t>
      </w:r>
      <w:r>
        <w:rPr>
          <w:rFonts w:hint="eastAsia"/>
        </w:rPr>
        <w:t>，第</w:t>
      </w:r>
      <w:r w:rsidRPr="009708F3">
        <w:t>30</w:t>
      </w:r>
      <w:r>
        <w:rPr>
          <w:rFonts w:hint="eastAsia"/>
        </w:rPr>
        <w:t>卷，第</w:t>
      </w:r>
      <w:r w:rsidRPr="009708F3">
        <w:t>463</w:t>
      </w:r>
      <w:r>
        <w:rPr>
          <w:rFonts w:hint="eastAsia"/>
        </w:rPr>
        <w:t>页。</w:t>
      </w:r>
    </w:p>
  </w:footnote>
  <w:footnote w:id="1581">
    <w:p w:rsidR="00AB00DE" w:rsidRPr="00BB6185" w:rsidRDefault="00AB00DE" w:rsidP="000B444F">
      <w:pPr>
        <w:pStyle w:val="a4"/>
      </w:pPr>
      <w:r>
        <w:rPr>
          <w:rFonts w:hint="eastAsia"/>
        </w:rPr>
        <w:tab/>
      </w:r>
      <w:r w:rsidRPr="00523D41">
        <w:rPr>
          <w:rStyle w:val="a5"/>
        </w:rPr>
        <w:footnoteRef/>
      </w:r>
      <w:r>
        <w:rPr>
          <w:rFonts w:hint="eastAsia"/>
        </w:rPr>
        <w:tab/>
      </w:r>
      <w:r w:rsidRPr="002904A3">
        <w:t xml:space="preserve">BGBl. 1990, </w:t>
      </w:r>
      <w:r>
        <w:rPr>
          <w:rFonts w:hint="eastAsia"/>
        </w:rPr>
        <w:t>Vol.II</w:t>
      </w:r>
      <w:r>
        <w:t>, s. 1237</w:t>
      </w:r>
      <w:r>
        <w:rPr>
          <w:rFonts w:hint="eastAsia"/>
        </w:rPr>
        <w:t>。</w:t>
      </w:r>
    </w:p>
  </w:footnote>
  <w:footnote w:id="1582">
    <w:p w:rsidR="00AB00DE" w:rsidRPr="00E5456E" w:rsidRDefault="00AB00DE" w:rsidP="000B444F">
      <w:pPr>
        <w:pStyle w:val="a4"/>
      </w:pPr>
      <w:r>
        <w:rPr>
          <w:rFonts w:hint="eastAsia"/>
        </w:rPr>
        <w:tab/>
      </w:r>
      <w:r w:rsidRPr="00523D41">
        <w:rPr>
          <w:rStyle w:val="a5"/>
        </w:rPr>
        <w:footnoteRef/>
      </w:r>
      <w:r>
        <w:rPr>
          <w:rFonts w:hint="eastAsia"/>
        </w:rPr>
        <w:tab/>
        <w:t>Dec</w:t>
      </w:r>
      <w:r>
        <w:t>ision of</w:t>
      </w:r>
      <w:r w:rsidRPr="00613095">
        <w:t> 1.7.1999,</w:t>
      </w:r>
      <w:r>
        <w:t xml:space="preserve"> BVerwG 7 B 2.99. Cf</w:t>
      </w:r>
      <w:r w:rsidRPr="00613095">
        <w:t xml:space="preserve">. </w:t>
      </w:r>
      <w:r w:rsidRPr="00DF19B2">
        <w:t>P. Dumberry</w:t>
      </w:r>
      <w:r w:rsidRPr="00613095">
        <w:t>,</w:t>
      </w:r>
      <w:r>
        <w:t xml:space="preserve"> op. cit., p. 90</w:t>
      </w:r>
      <w:r>
        <w:rPr>
          <w:rFonts w:hint="eastAsia"/>
        </w:rPr>
        <w:t>。</w:t>
      </w:r>
    </w:p>
  </w:footnote>
  <w:footnote w:id="1583">
    <w:p w:rsidR="00AB00DE" w:rsidRPr="00E5456E" w:rsidRDefault="00AB00DE" w:rsidP="000B444F">
      <w:pPr>
        <w:pStyle w:val="a4"/>
      </w:pPr>
      <w:r>
        <w:rPr>
          <w:rFonts w:hint="eastAsia"/>
        </w:rPr>
        <w:tab/>
      </w:r>
      <w:r w:rsidRPr="00523D41">
        <w:rPr>
          <w:rStyle w:val="a5"/>
        </w:rPr>
        <w:footnoteRef/>
      </w:r>
      <w:r>
        <w:rPr>
          <w:rFonts w:hint="eastAsia"/>
        </w:rPr>
        <w:tab/>
      </w:r>
      <w:r>
        <w:rPr>
          <w:rFonts w:ascii="宋体" w:hAnsi="宋体" w:cs="宋体" w:hint="eastAsia"/>
          <w:lang w:val="fr-CH"/>
        </w:rPr>
        <w:t>联合国《条约汇编》</w:t>
      </w:r>
      <w:r>
        <w:rPr>
          <w:rFonts w:hint="eastAsia"/>
          <w:lang w:val="fr-CH"/>
        </w:rPr>
        <w:t>，第</w:t>
      </w:r>
      <w:r w:rsidRPr="00BB6185">
        <w:rPr>
          <w:lang w:val="fr-CH"/>
        </w:rPr>
        <w:t>1911</w:t>
      </w:r>
      <w:r>
        <w:rPr>
          <w:rFonts w:hint="eastAsia"/>
          <w:lang w:val="fr-CH"/>
        </w:rPr>
        <w:t>卷，第</w:t>
      </w:r>
      <w:r w:rsidRPr="00BB6185">
        <w:rPr>
          <w:lang w:val="fr-CH"/>
        </w:rPr>
        <w:t>27</w:t>
      </w:r>
      <w:r>
        <w:rPr>
          <w:rFonts w:hint="eastAsia"/>
          <w:lang w:val="fr-CH"/>
        </w:rPr>
        <w:t>页。</w:t>
      </w:r>
    </w:p>
  </w:footnote>
  <w:footnote w:id="1584">
    <w:p w:rsidR="00AB00DE" w:rsidRPr="00D8472F" w:rsidRDefault="00AB00DE" w:rsidP="006026F0">
      <w:pPr>
        <w:pStyle w:val="a4"/>
        <w:spacing w:after="100" w:line="220" w:lineRule="exact"/>
      </w:pPr>
      <w:r>
        <w:rPr>
          <w:rFonts w:hint="eastAsia"/>
          <w:lang w:val="fr-FR"/>
        </w:rPr>
        <w:tab/>
      </w:r>
      <w:r w:rsidRPr="00523D41">
        <w:rPr>
          <w:rStyle w:val="a5"/>
        </w:rPr>
        <w:footnoteRef/>
      </w:r>
      <w:r w:rsidRPr="00DF19B2">
        <w:rPr>
          <w:rFonts w:hint="eastAsia"/>
        </w:rPr>
        <w:tab/>
      </w:r>
      <w:r w:rsidRPr="00DF19B2">
        <w:t>Cf. e.g. A. Cavaglieri, “Règles générales du droit de la paix“, RCADI, vol. 26, 1929-I, p. 374, 378, 416 et seq.; K. Marek, Identity and Continuity of States in Public International Law (Geneva: Librairie Droz, 1968), p. 11, 189; P.M. Eisemann, M. Koskenniemi (Dir.), State Succession: Codification Tested Against the Facts  (The Hague: Academy of International Law, Martinus Nijhoff Publ., 2000), p. 193-194; C.R. Craven, “The Problem of State Succession and the Identity of States under International Law”, EJIL, vol. 9, 1998, No. 1, p. 149-150; J. Malenovský, “Problèmes juridiques liés à la partition de la Tchécoslovaquie”, AFDI, vol. 39, 1993, p. 334; L. Mälksoo, Illegal Annexation and State Continuity: The Case of the Incorporation of the Baltic States by the USSR (A Study of the Tension between Normativity and Power in International Law) (Leiden: Martinus Nijhoff Publ., 2003), p. 257; J.P. Monnier, “La sucession d’Etats en matière de responsabilité internationale“, AFDI, vol. 8, 1962, p. 65-90; D.P. O’Connell, State Succession in Municipal law and International Law. Vol. I, (Cambridge: Cambridge University Press, 1967), p. 482</w:t>
      </w:r>
      <w:r>
        <w:rPr>
          <w:rFonts w:hint="eastAsia"/>
        </w:rPr>
        <w:t>。</w:t>
      </w:r>
    </w:p>
  </w:footnote>
  <w:footnote w:id="1585">
    <w:p w:rsidR="00AB00DE" w:rsidRPr="00975763" w:rsidRDefault="00AB00DE" w:rsidP="006026F0">
      <w:pPr>
        <w:pStyle w:val="a4"/>
        <w:spacing w:after="100" w:line="220" w:lineRule="exact"/>
      </w:pPr>
      <w:r>
        <w:rPr>
          <w:rFonts w:hint="eastAsia"/>
        </w:rPr>
        <w:tab/>
      </w:r>
      <w:r w:rsidRPr="00523D41">
        <w:rPr>
          <w:rStyle w:val="a5"/>
        </w:rPr>
        <w:footnoteRef/>
      </w:r>
      <w:r>
        <w:rPr>
          <w:rFonts w:hint="eastAsia"/>
        </w:rPr>
        <w:tab/>
      </w:r>
      <w:r w:rsidRPr="00DF19B2">
        <w:t>Cf. e.g. W. Czaplinski, “State Succession and State Responsibility”, Canadian YBIL 28 (1990), p. 346, 356; M.T. Kaminkga, “State Succession in Respect of Human Rights Treaties”, EJIL, vol. 7, 1996, No. 4, p. 483; V. Mikulka, “State succession and responsibility”, in: J. Crawford, A. Pellet, S. Olleson, Law of International Responsibility (Oxford: Oxford University Press, 2010), p. 291; P. Dumberry, State Succession to International Responsibility (Leiden: Martinus Nijhoff Publ., 2007); D.P. O’Connell, “Recent Problems of State Succession in Relation to New States”, RCADI, vol. 130, 1970-II, p. 162; B. Stern, “Responsabilité internationale et succession d’Etats”. In: L. Boisson de Chazournes, V. Gowland-Debbas, The International Legal System in Quest of Equity and Universality: Liber Amicorum Georges Abi-Saab (The Hague: Martinus Nijhoff Publ., 2001), p. 336</w:t>
      </w:r>
      <w:r>
        <w:rPr>
          <w:rStyle w:val="subfielddata1"/>
          <w:rFonts w:hint="eastAsia"/>
          <w:color w:val="000000"/>
        </w:rPr>
        <w:t>。</w:t>
      </w:r>
    </w:p>
  </w:footnote>
  <w:footnote w:id="1586">
    <w:p w:rsidR="00AB00DE" w:rsidRPr="008B770D" w:rsidRDefault="00AB00DE" w:rsidP="000B444F">
      <w:pPr>
        <w:pStyle w:val="a4"/>
        <w:spacing w:after="100"/>
      </w:pPr>
      <w:r>
        <w:rPr>
          <w:rFonts w:hint="eastAsia"/>
        </w:rPr>
        <w:tab/>
      </w:r>
      <w:r w:rsidRPr="00523D41">
        <w:rPr>
          <w:rStyle w:val="a5"/>
        </w:rPr>
        <w:footnoteRef/>
      </w:r>
      <w:r>
        <w:rPr>
          <w:rFonts w:hint="eastAsia"/>
        </w:rPr>
        <w:tab/>
      </w:r>
      <w:r w:rsidRPr="00DF19B2">
        <w:t>W. Czaplinski, “State Succession…”, op. cit., p. 357</w:t>
      </w:r>
      <w:r>
        <w:rPr>
          <w:rFonts w:hint="eastAsia"/>
        </w:rPr>
        <w:t>。</w:t>
      </w:r>
    </w:p>
  </w:footnote>
  <w:footnote w:id="1587">
    <w:p w:rsidR="00AB00DE" w:rsidRPr="00961FA0" w:rsidRDefault="00AB00DE" w:rsidP="000B444F">
      <w:pPr>
        <w:pStyle w:val="a4"/>
        <w:spacing w:after="100"/>
      </w:pPr>
      <w:r>
        <w:rPr>
          <w:rFonts w:hint="eastAsia"/>
        </w:rPr>
        <w:tab/>
      </w:r>
      <w:r w:rsidRPr="00523D41">
        <w:rPr>
          <w:rStyle w:val="a5"/>
        </w:rPr>
        <w:footnoteRef/>
      </w:r>
      <w:r>
        <w:rPr>
          <w:rFonts w:hint="eastAsia"/>
        </w:rPr>
        <w:tab/>
      </w:r>
      <w:r>
        <w:rPr>
          <w:rFonts w:hint="eastAsia"/>
        </w:rPr>
        <w:t>《国际法协会</w:t>
      </w:r>
      <w:r w:rsidRPr="00961FA0">
        <w:t>2008</w:t>
      </w:r>
      <w:r>
        <w:rPr>
          <w:rFonts w:hint="eastAsia"/>
        </w:rPr>
        <w:t>年会议报告》。</w:t>
      </w:r>
    </w:p>
  </w:footnote>
  <w:footnote w:id="1588">
    <w:p w:rsidR="00AB00DE" w:rsidRPr="00C82C1B" w:rsidRDefault="00AB00DE" w:rsidP="000B444F">
      <w:pPr>
        <w:pStyle w:val="a4"/>
        <w:spacing w:after="100"/>
      </w:pPr>
      <w:r>
        <w:rPr>
          <w:rFonts w:hint="eastAsia"/>
        </w:rPr>
        <w:tab/>
      </w:r>
      <w:r w:rsidRPr="00523D41">
        <w:rPr>
          <w:rStyle w:val="a5"/>
        </w:rPr>
        <w:footnoteRef/>
      </w:r>
      <w:r>
        <w:rPr>
          <w:rFonts w:hint="eastAsia"/>
        </w:rPr>
        <w:tab/>
      </w:r>
      <w:r>
        <w:rPr>
          <w:rFonts w:hint="eastAsia"/>
        </w:rPr>
        <w:t>国际法学会，第十四委员会：国家责任事项中的国家继承</w:t>
      </w:r>
      <w:r>
        <w:rPr>
          <w:rFonts w:hint="eastAsia"/>
          <w:bCs/>
        </w:rPr>
        <w:t>。</w:t>
      </w:r>
    </w:p>
  </w:footnote>
  <w:footnote w:id="1589">
    <w:p w:rsidR="00AB00DE" w:rsidRPr="00A940F3" w:rsidRDefault="00AB00DE" w:rsidP="000B444F">
      <w:pPr>
        <w:pStyle w:val="a4"/>
        <w:rPr>
          <w:sz w:val="20"/>
          <w:lang w:eastAsia="cs-CZ"/>
        </w:rPr>
      </w:pPr>
      <w:r>
        <w:rPr>
          <w:rFonts w:hint="eastAsia"/>
          <w:sz w:val="20"/>
        </w:rPr>
        <w:tab/>
      </w:r>
      <w:r w:rsidRPr="00523D41">
        <w:rPr>
          <w:rStyle w:val="a5"/>
        </w:rPr>
        <w:footnoteRef/>
      </w:r>
      <w:r>
        <w:rPr>
          <w:rFonts w:hint="eastAsia"/>
          <w:sz w:val="20"/>
        </w:rPr>
        <w:tab/>
      </w:r>
      <w:r w:rsidRPr="00F8105B">
        <w:rPr>
          <w:rFonts w:hint="eastAsia"/>
        </w:rPr>
        <w:t>国际法学会，</w:t>
      </w:r>
      <w:r w:rsidRPr="00F8105B">
        <w:t>2015</w:t>
      </w:r>
      <w:r w:rsidRPr="00F8105B">
        <w:rPr>
          <w:rFonts w:hint="eastAsia"/>
        </w:rPr>
        <w:t>年决议，序言部分第</w:t>
      </w:r>
      <w:r w:rsidRPr="00F8105B">
        <w:t>2</w:t>
      </w:r>
      <w:r w:rsidRPr="00F8105B">
        <w:rPr>
          <w:rFonts w:hint="eastAsia"/>
        </w:rPr>
        <w:t>段：“确信需要编纂和逐步发展与国家的国际责任事项中的国家继承有关的规则，以此为手段，确保在国际关系中加强法律保障”。</w:t>
      </w:r>
    </w:p>
  </w:footnote>
  <w:footnote w:id="1590">
    <w:p w:rsidR="00AB00DE" w:rsidRPr="00900EAA" w:rsidRDefault="00AB00DE" w:rsidP="000B444F">
      <w:pPr>
        <w:pStyle w:val="a4"/>
      </w:pPr>
      <w:r>
        <w:rPr>
          <w:rFonts w:hint="eastAsia"/>
        </w:rPr>
        <w:tab/>
      </w:r>
      <w:r w:rsidRPr="00523D41">
        <w:rPr>
          <w:rStyle w:val="a5"/>
        </w:rPr>
        <w:footnoteRef/>
      </w:r>
      <w:r>
        <w:rPr>
          <w:rFonts w:hint="eastAsia"/>
        </w:rPr>
        <w:tab/>
      </w:r>
      <w:r w:rsidRPr="006108B9">
        <w:rPr>
          <w:rFonts w:hint="eastAsia"/>
        </w:rPr>
        <w:t>国际法委员会报告</w:t>
      </w:r>
      <w:r>
        <w:rPr>
          <w:rFonts w:hint="eastAsia"/>
        </w:rPr>
        <w:t>，</w:t>
      </w:r>
      <w:r w:rsidRPr="006108B9">
        <w:rPr>
          <w:rFonts w:hint="eastAsia"/>
        </w:rPr>
        <w:t>第五十八届会议</w:t>
      </w:r>
      <w:r>
        <w:rPr>
          <w:rFonts w:hint="eastAsia"/>
        </w:rPr>
        <w:t>，</w:t>
      </w:r>
      <w:r w:rsidRPr="00900EAA">
        <w:t>2006</w:t>
      </w:r>
      <w:r>
        <w:rPr>
          <w:rFonts w:hint="eastAsia"/>
        </w:rPr>
        <w:t>年，</w:t>
      </w:r>
      <w:r>
        <w:t>大会正式记录</w:t>
      </w:r>
      <w:r>
        <w:rPr>
          <w:rFonts w:hint="eastAsia"/>
        </w:rPr>
        <w:t>，补编第</w:t>
      </w:r>
      <w:r>
        <w:t>10</w:t>
      </w:r>
      <w:r>
        <w:rPr>
          <w:rFonts w:hint="eastAsia"/>
        </w:rPr>
        <w:t>号，</w:t>
      </w:r>
      <w:r>
        <w:t>A/61/10</w:t>
      </w:r>
      <w:r>
        <w:rPr>
          <w:rFonts w:hint="eastAsia"/>
        </w:rPr>
        <w:t>，第</w:t>
      </w:r>
      <w:r w:rsidRPr="00900EAA">
        <w:t>35</w:t>
      </w:r>
      <w:r>
        <w:rPr>
          <w:rFonts w:hint="eastAsia"/>
        </w:rPr>
        <w:t>页：“</w:t>
      </w:r>
      <w:r w:rsidRPr="00900EAA">
        <w:t xml:space="preserve">2. </w:t>
      </w:r>
      <w:r w:rsidRPr="006108B9">
        <w:rPr>
          <w:rFonts w:hint="eastAsia"/>
        </w:rPr>
        <w:t>尽管有第</w:t>
      </w:r>
      <w:r w:rsidRPr="006108B9">
        <w:rPr>
          <w:rFonts w:hint="eastAsia"/>
        </w:rPr>
        <w:t>1</w:t>
      </w:r>
      <w:r w:rsidRPr="006108B9">
        <w:rPr>
          <w:rFonts w:hint="eastAsia"/>
        </w:rPr>
        <w:t>款的规定，一国对在正式提出求偿之日为其国民但在受到损害之日不是其国民的人，可行使外交保护，但条件是该人曾具有被继承国的国籍，或者已丧失原国籍，并且基于与提出求偿无关的原因、以不违反国际法的方式已获得该国的国籍。</w:t>
      </w:r>
      <w:r>
        <w:rPr>
          <w:rFonts w:hint="eastAsia"/>
        </w:rPr>
        <w:t>”</w:t>
      </w:r>
    </w:p>
  </w:footnote>
  <w:footnote w:id="1591">
    <w:p w:rsidR="00AB00DE" w:rsidRPr="00900EAA" w:rsidRDefault="00AB00DE" w:rsidP="000B444F">
      <w:pPr>
        <w:pStyle w:val="a4"/>
      </w:pPr>
      <w:r>
        <w:rPr>
          <w:rFonts w:hint="eastAsia"/>
        </w:rPr>
        <w:tab/>
      </w:r>
      <w:r w:rsidRPr="00523D41">
        <w:rPr>
          <w:rStyle w:val="a5"/>
        </w:rPr>
        <w:footnoteRef/>
      </w:r>
      <w:r>
        <w:rPr>
          <w:rFonts w:hint="eastAsia"/>
        </w:rPr>
        <w:tab/>
      </w:r>
      <w:r>
        <w:t>同上</w:t>
      </w:r>
      <w:r>
        <w:rPr>
          <w:rFonts w:hint="eastAsia"/>
        </w:rPr>
        <w:t>，第</w:t>
      </w:r>
      <w:r w:rsidRPr="00900EAA">
        <w:t>55</w:t>
      </w:r>
      <w:r>
        <w:rPr>
          <w:rFonts w:hint="eastAsia"/>
        </w:rPr>
        <w:t>页：“</w:t>
      </w:r>
      <w:r w:rsidRPr="007A36C3">
        <w:rPr>
          <w:rFonts w:hint="eastAsia"/>
        </w:rPr>
        <w:t xml:space="preserve">1. </w:t>
      </w:r>
      <w:r w:rsidRPr="007A36C3">
        <w:rPr>
          <w:rFonts w:hint="eastAsia"/>
        </w:rPr>
        <w:t>一国有权为</w:t>
      </w:r>
      <w:r>
        <w:rPr>
          <w:rFonts w:hint="eastAsia"/>
        </w:rPr>
        <w:t>……该国或被继承国国民的公司行使外交保护。”</w:t>
      </w:r>
    </w:p>
  </w:footnote>
  <w:footnote w:id="1592">
    <w:p w:rsidR="00AB00DE" w:rsidRPr="009E2528" w:rsidRDefault="00AB00DE" w:rsidP="000B444F">
      <w:pPr>
        <w:pStyle w:val="a4"/>
      </w:pPr>
      <w:r>
        <w:rPr>
          <w:rFonts w:hint="eastAsia"/>
        </w:rPr>
        <w:tab/>
      </w:r>
      <w:r w:rsidRPr="00523D41">
        <w:rPr>
          <w:rStyle w:val="a5"/>
        </w:rPr>
        <w:footnoteRef/>
      </w:r>
      <w:r>
        <w:rPr>
          <w:rFonts w:hint="eastAsia"/>
        </w:rPr>
        <w:tab/>
      </w:r>
      <w:r w:rsidRPr="009E2528">
        <w:t xml:space="preserve">Cf. e.g. National Bank of </w:t>
      </w:r>
      <w:r>
        <w:rPr>
          <w:rFonts w:hint="eastAsia"/>
        </w:rPr>
        <w:t>Egypt v.</w:t>
      </w:r>
      <w:r w:rsidRPr="009E2528">
        <w:t xml:space="preserve">German Government and Bank für Handel und Industrie, UK – </w:t>
      </w:r>
      <w:r>
        <w:rPr>
          <w:rFonts w:hint="eastAsia"/>
        </w:rPr>
        <w:t>Germany</w:t>
      </w:r>
      <w:r w:rsidRPr="009E2528">
        <w:t xml:space="preserve"> M.A.T., 14</w:t>
      </w:r>
      <w:r>
        <w:rPr>
          <w:rFonts w:hint="eastAsia"/>
        </w:rPr>
        <w:t xml:space="preserve"> December 1923</w:t>
      </w:r>
      <w:r w:rsidRPr="009E2528">
        <w:t xml:space="preserve"> and </w:t>
      </w:r>
      <w:r>
        <w:rPr>
          <w:rFonts w:hint="eastAsia"/>
        </w:rPr>
        <w:t xml:space="preserve">31 May </w:t>
      </w:r>
      <w:r w:rsidRPr="009E2528">
        <w:t>1924, Recueil des décisions des tribunau</w:t>
      </w:r>
      <w:r>
        <w:t>x arbitraux mixtes, vol. IV, p. 233</w:t>
      </w:r>
      <w:r>
        <w:rPr>
          <w:rFonts w:hint="eastAsia"/>
        </w:rPr>
        <w:t>。</w:t>
      </w:r>
    </w:p>
  </w:footnote>
  <w:footnote w:id="1593">
    <w:p w:rsidR="00AB00DE" w:rsidRPr="009E2528" w:rsidRDefault="00AB00DE" w:rsidP="000B444F">
      <w:pPr>
        <w:pStyle w:val="a4"/>
      </w:pPr>
      <w:r>
        <w:rPr>
          <w:rFonts w:hint="eastAsia"/>
        </w:rPr>
        <w:tab/>
      </w:r>
      <w:r w:rsidRPr="00523D41">
        <w:rPr>
          <w:rStyle w:val="a5"/>
        </w:rPr>
        <w:footnoteRef/>
      </w:r>
      <w:r>
        <w:rPr>
          <w:rFonts w:hint="eastAsia"/>
        </w:rPr>
        <w:tab/>
      </w:r>
      <w:r>
        <w:rPr>
          <w:rFonts w:hint="eastAsia"/>
        </w:rPr>
        <w:t>《凡尔赛条约》第</w:t>
      </w:r>
      <w:r>
        <w:t>296</w:t>
      </w:r>
      <w:r>
        <w:rPr>
          <w:rFonts w:hint="eastAsia"/>
        </w:rPr>
        <w:t>、</w:t>
      </w:r>
      <w:r>
        <w:t>297e</w:t>
      </w:r>
      <w:r>
        <w:rPr>
          <w:rFonts w:hint="eastAsia"/>
        </w:rPr>
        <w:t>和</w:t>
      </w:r>
      <w:r>
        <w:t>297h</w:t>
      </w:r>
      <w:r>
        <w:rPr>
          <w:rFonts w:hint="eastAsia"/>
        </w:rPr>
        <w:t>条。</w:t>
      </w:r>
    </w:p>
  </w:footnote>
  <w:footnote w:id="1594">
    <w:p w:rsidR="00AB00DE" w:rsidRPr="007D48C6" w:rsidRDefault="00AB00DE" w:rsidP="000B444F">
      <w:pPr>
        <w:pStyle w:val="a4"/>
      </w:pPr>
      <w:r>
        <w:rPr>
          <w:rFonts w:hint="eastAsia"/>
        </w:rPr>
        <w:tab/>
      </w:r>
      <w:r w:rsidRPr="00523D41">
        <w:rPr>
          <w:rStyle w:val="a5"/>
        </w:rPr>
        <w:footnoteRef/>
      </w:r>
      <w:r>
        <w:rPr>
          <w:rFonts w:hint="eastAsia"/>
        </w:rPr>
        <w:tab/>
      </w:r>
      <w:r w:rsidRPr="00B46BDE">
        <w:rPr>
          <w:rFonts w:hint="eastAsia"/>
        </w:rPr>
        <w:t>联合国赔偿委员会理事会第六届会议在</w:t>
      </w:r>
      <w:r w:rsidRPr="00B46BDE">
        <w:rPr>
          <w:rFonts w:hint="eastAsia"/>
        </w:rPr>
        <w:t>1992</w:t>
      </w:r>
      <w:r w:rsidRPr="00B46BDE">
        <w:rPr>
          <w:rFonts w:hint="eastAsia"/>
        </w:rPr>
        <w:t>年</w:t>
      </w:r>
      <w:r w:rsidRPr="00B46BDE">
        <w:t>6</w:t>
      </w:r>
      <w:r w:rsidRPr="00B46BDE">
        <w:t>月</w:t>
      </w:r>
      <w:r w:rsidRPr="00B46BDE">
        <w:t>26</w:t>
      </w:r>
      <w:r w:rsidRPr="00B46BDE">
        <w:t>日</w:t>
      </w:r>
      <w:r w:rsidRPr="00B46BDE">
        <w:rPr>
          <w:rFonts w:hint="eastAsia"/>
        </w:rPr>
        <w:t>第</w:t>
      </w:r>
      <w:r w:rsidRPr="00B46BDE">
        <w:rPr>
          <w:rFonts w:hint="eastAsia"/>
        </w:rPr>
        <w:t>27</w:t>
      </w:r>
      <w:r w:rsidRPr="00B46BDE">
        <w:rPr>
          <w:rFonts w:hint="eastAsia"/>
        </w:rPr>
        <w:t>次会议上通过的</w:t>
      </w:r>
      <w:r>
        <w:rPr>
          <w:rFonts w:hint="eastAsia"/>
        </w:rPr>
        <w:t>决定</w:t>
      </w:r>
      <w:r w:rsidRPr="00B46BDE">
        <w:rPr>
          <w:rFonts w:hint="eastAsia"/>
        </w:rPr>
        <w:t>。</w:t>
      </w:r>
    </w:p>
  </w:footnote>
  <w:footnote w:id="1595">
    <w:p w:rsidR="00AB00DE" w:rsidRPr="0042601A" w:rsidRDefault="00AB00DE" w:rsidP="00523D41">
      <w:pPr>
        <w:pStyle w:val="a4"/>
      </w:pPr>
      <w:r>
        <w:rPr>
          <w:rFonts w:hint="eastAsia"/>
        </w:rPr>
        <w:tab/>
      </w:r>
      <w:r w:rsidRPr="00523D41">
        <w:rPr>
          <w:rStyle w:val="a5"/>
        </w:rPr>
        <w:footnoteRef/>
      </w:r>
      <w:r>
        <w:rPr>
          <w:rFonts w:hint="eastAsia"/>
        </w:rPr>
        <w:tab/>
      </w:r>
      <w:r w:rsidRPr="008F62D7">
        <w:rPr>
          <w:rFonts w:hint="eastAsia"/>
        </w:rPr>
        <w:t>联合国赔偿委员会理事会</w:t>
      </w:r>
      <w:r>
        <w:rPr>
          <w:rFonts w:hint="eastAsia"/>
        </w:rPr>
        <w:t>在</w:t>
      </w:r>
      <w:r w:rsidRPr="00535CDF">
        <w:t>1994</w:t>
      </w:r>
      <w:r w:rsidRPr="00535CDF">
        <w:t>年</w:t>
      </w:r>
      <w:r w:rsidRPr="00535CDF">
        <w:t>5</w:t>
      </w:r>
      <w:r w:rsidRPr="00535CDF">
        <w:t>月</w:t>
      </w:r>
      <w:r w:rsidRPr="00535CDF">
        <w:t>26</w:t>
      </w:r>
      <w:r w:rsidRPr="00535CDF">
        <w:t>日</w:t>
      </w:r>
      <w:r>
        <w:rPr>
          <w:rFonts w:hint="eastAsia"/>
        </w:rPr>
        <w:t>第</w:t>
      </w:r>
      <w:r>
        <w:rPr>
          <w:rFonts w:hint="eastAsia"/>
        </w:rPr>
        <w:t>43</w:t>
      </w:r>
      <w:r>
        <w:rPr>
          <w:rFonts w:hint="eastAsia"/>
        </w:rPr>
        <w:t>次会议上针对关于严重人身伤害或死亡</w:t>
      </w:r>
      <w:r>
        <w:rPr>
          <w:rFonts w:hint="eastAsia"/>
        </w:rPr>
        <w:t>(</w:t>
      </w:r>
      <w:r>
        <w:rPr>
          <w:rFonts w:hint="eastAsia"/>
        </w:rPr>
        <w:t>“</w:t>
      </w:r>
      <w:r>
        <w:rPr>
          <w:rFonts w:hint="eastAsia"/>
        </w:rPr>
        <w:t>B</w:t>
      </w:r>
      <w:r>
        <w:rPr>
          <w:rFonts w:hint="eastAsia"/>
        </w:rPr>
        <w:t>”类索赔要求</w:t>
      </w:r>
      <w:r>
        <w:rPr>
          <w:rFonts w:hint="eastAsia"/>
        </w:rPr>
        <w:t>)</w:t>
      </w:r>
      <w:r>
        <w:rPr>
          <w:rFonts w:hint="eastAsia"/>
        </w:rPr>
        <w:t>的第一批索赔要求采取的决定，</w:t>
      </w:r>
      <w:r>
        <w:t>联合国赔偿委员会</w:t>
      </w:r>
      <w:r>
        <w:rPr>
          <w:rFonts w:hint="eastAsia"/>
        </w:rPr>
        <w:t>理事会第</w:t>
      </w:r>
      <w:r w:rsidRPr="00535CDF">
        <w:t>20</w:t>
      </w:r>
      <w:r>
        <w:rPr>
          <w:rFonts w:hint="eastAsia"/>
        </w:rPr>
        <w:t>号决定，</w:t>
      </w:r>
      <w:r w:rsidRPr="00535CDF">
        <w:t>联合国文件</w:t>
      </w:r>
      <w:hyperlink r:id="rId356" w:history="1">
        <w:r w:rsidRPr="00162084">
          <w:rPr>
            <w:rStyle w:val="af"/>
            <w:szCs w:val="18"/>
          </w:rPr>
          <w:t>S/AC.26/Dec.20</w:t>
        </w:r>
      </w:hyperlink>
      <w:r w:rsidRPr="00535CDF">
        <w:t xml:space="preserve"> (1994)</w:t>
      </w:r>
      <w:r>
        <w:rPr>
          <w:rFonts w:hint="eastAsia"/>
        </w:rPr>
        <w:t>；</w:t>
      </w:r>
      <w:r w:rsidRPr="008F62D7">
        <w:rPr>
          <w:rFonts w:hint="eastAsia"/>
        </w:rPr>
        <w:t>联合国赔偿委员会理事会在</w:t>
      </w:r>
      <w:r w:rsidRPr="00535CDF">
        <w:t>1994</w:t>
      </w:r>
      <w:r w:rsidRPr="00535CDF">
        <w:t>年</w:t>
      </w:r>
      <w:r w:rsidRPr="00535CDF">
        <w:t>10</w:t>
      </w:r>
      <w:r w:rsidRPr="00535CDF">
        <w:t>月</w:t>
      </w:r>
      <w:r w:rsidRPr="00535CDF">
        <w:t>20</w:t>
      </w:r>
      <w:r w:rsidRPr="00535CDF">
        <w:t>日</w:t>
      </w:r>
      <w:r>
        <w:rPr>
          <w:rFonts w:hint="eastAsia"/>
        </w:rPr>
        <w:t>第</w:t>
      </w:r>
      <w:r>
        <w:rPr>
          <w:rFonts w:hint="eastAsia"/>
        </w:rPr>
        <w:t>46</w:t>
      </w:r>
      <w:r>
        <w:rPr>
          <w:rFonts w:hint="eastAsia"/>
        </w:rPr>
        <w:t>次会议上所作关于离开</w:t>
      </w:r>
      <w:r w:rsidRPr="00535CDF">
        <w:t>伊拉克</w:t>
      </w:r>
      <w:r>
        <w:rPr>
          <w:rFonts w:hint="eastAsia"/>
        </w:rPr>
        <w:t>或</w:t>
      </w:r>
      <w:r w:rsidRPr="00535CDF">
        <w:t>科威特</w:t>
      </w:r>
      <w:r>
        <w:rPr>
          <w:rFonts w:hint="eastAsia"/>
        </w:rPr>
        <w:t>的第一批索赔要求</w:t>
      </w:r>
      <w:r>
        <w:rPr>
          <w:rFonts w:hint="eastAsia"/>
        </w:rPr>
        <w:t>(</w:t>
      </w:r>
      <w:r w:rsidRPr="008F62D7">
        <w:rPr>
          <w:rFonts w:hint="eastAsia"/>
        </w:rPr>
        <w:t>“</w:t>
      </w:r>
      <w:r>
        <w:rPr>
          <w:rFonts w:hint="eastAsia"/>
        </w:rPr>
        <w:t>A</w:t>
      </w:r>
      <w:r w:rsidRPr="008F62D7">
        <w:rPr>
          <w:rFonts w:hint="eastAsia"/>
        </w:rPr>
        <w:t>”类索赔要求</w:t>
      </w:r>
      <w:r>
        <w:rPr>
          <w:rFonts w:hint="eastAsia"/>
        </w:rPr>
        <w:t>)</w:t>
      </w:r>
      <w:r>
        <w:rPr>
          <w:rFonts w:hint="eastAsia"/>
        </w:rPr>
        <w:t>的决定，</w:t>
      </w:r>
      <w:r>
        <w:t>联合国赔偿委员会</w:t>
      </w:r>
      <w:r>
        <w:rPr>
          <w:rFonts w:hint="eastAsia"/>
        </w:rPr>
        <w:t>理事会第</w:t>
      </w:r>
      <w:r>
        <w:rPr>
          <w:rFonts w:hint="eastAsia"/>
        </w:rPr>
        <w:t>22</w:t>
      </w:r>
      <w:r>
        <w:rPr>
          <w:rFonts w:hint="eastAsia"/>
        </w:rPr>
        <w:t>号决定，</w:t>
      </w:r>
      <w:r w:rsidRPr="00535CDF">
        <w:t>联合国文件</w:t>
      </w:r>
      <w:hyperlink r:id="rId357" w:history="1">
        <w:r w:rsidRPr="00162084">
          <w:rPr>
            <w:rStyle w:val="af"/>
            <w:szCs w:val="18"/>
          </w:rPr>
          <w:t>S/AC.26/Dec.22</w:t>
        </w:r>
      </w:hyperlink>
      <w:r>
        <w:t xml:space="preserve"> (1994)</w:t>
      </w:r>
      <w:r>
        <w:rPr>
          <w:rFonts w:hint="eastAsia"/>
        </w:rPr>
        <w:t>。</w:t>
      </w:r>
    </w:p>
  </w:footnote>
  <w:footnote w:id="1596">
    <w:p w:rsidR="00AB00DE" w:rsidRPr="00E40D7A" w:rsidRDefault="00AB00DE" w:rsidP="000B444F">
      <w:pPr>
        <w:pStyle w:val="a4"/>
      </w:pPr>
      <w:r>
        <w:rPr>
          <w:rFonts w:hint="eastAsia"/>
        </w:rPr>
        <w:tab/>
      </w:r>
      <w:r w:rsidRPr="00523D41">
        <w:rPr>
          <w:rStyle w:val="a5"/>
        </w:rPr>
        <w:footnoteRef/>
      </w:r>
      <w:r>
        <w:rPr>
          <w:rFonts w:hint="eastAsia"/>
        </w:rPr>
        <w:tab/>
      </w:r>
      <w:r>
        <w:t>见</w:t>
      </w:r>
      <w:r w:rsidRPr="00D856B6">
        <w:rPr>
          <w:vertAlign w:val="superscript"/>
        </w:rPr>
        <w:t xml:space="preserve"> </w:t>
      </w:r>
      <w:r w:rsidRPr="001077A4">
        <w:t>J. Crawford, State Responsibility. The General Part (Cambridge: CUP, 2013), p. 455</w:t>
      </w:r>
      <w:r>
        <w:rPr>
          <w:rFonts w:hint="eastAsia"/>
        </w:rPr>
        <w:t>。</w:t>
      </w:r>
    </w:p>
  </w:footnote>
  <w:footnote w:id="1597">
    <w:p w:rsidR="00AB00DE" w:rsidRPr="009708F3" w:rsidRDefault="00AB00DE" w:rsidP="000B444F">
      <w:pPr>
        <w:pStyle w:val="a4"/>
      </w:pPr>
      <w:r>
        <w:rPr>
          <w:rFonts w:hint="eastAsia"/>
        </w:rPr>
        <w:tab/>
      </w:r>
      <w:r w:rsidRPr="00523D41">
        <w:rPr>
          <w:rStyle w:val="a5"/>
        </w:rPr>
        <w:footnoteRef/>
      </w:r>
      <w:r>
        <w:rPr>
          <w:rFonts w:hint="eastAsia"/>
        </w:rPr>
        <w:tab/>
      </w:r>
      <w:r>
        <w:rPr>
          <w:rFonts w:hint="eastAsia"/>
        </w:rPr>
        <w:t>在这方面，见</w:t>
      </w:r>
      <w:r>
        <w:rPr>
          <w:rFonts w:eastAsia="楷体"/>
          <w:iCs/>
        </w:rPr>
        <w:t>Ališić</w:t>
      </w:r>
      <w:r>
        <w:rPr>
          <w:rFonts w:eastAsia="楷体" w:hint="eastAsia"/>
          <w:iCs/>
        </w:rPr>
        <w:t>等</w:t>
      </w:r>
      <w:r w:rsidRPr="00E174C8">
        <w:rPr>
          <w:rFonts w:eastAsia="楷体"/>
          <w:iCs/>
        </w:rPr>
        <w:t>诉波斯尼亚和黑塞哥维那</w:t>
      </w:r>
      <w:r>
        <w:rPr>
          <w:rFonts w:eastAsia="楷体" w:hint="eastAsia"/>
          <w:iCs/>
        </w:rPr>
        <w:t>、</w:t>
      </w:r>
      <w:r w:rsidRPr="00E174C8">
        <w:rPr>
          <w:rFonts w:eastAsia="楷体"/>
          <w:iCs/>
        </w:rPr>
        <w:t>克罗地亚</w:t>
      </w:r>
      <w:r>
        <w:rPr>
          <w:rFonts w:eastAsia="楷体" w:hint="eastAsia"/>
          <w:iCs/>
        </w:rPr>
        <w:t>、</w:t>
      </w:r>
      <w:r w:rsidRPr="00E174C8">
        <w:rPr>
          <w:rFonts w:eastAsia="楷体"/>
          <w:iCs/>
        </w:rPr>
        <w:t>塞尔维亚</w:t>
      </w:r>
      <w:r>
        <w:rPr>
          <w:rFonts w:eastAsia="楷体" w:hint="eastAsia"/>
          <w:iCs/>
        </w:rPr>
        <w:t>、</w:t>
      </w:r>
      <w:r w:rsidRPr="00E174C8">
        <w:rPr>
          <w:rFonts w:eastAsia="楷体"/>
          <w:iCs/>
        </w:rPr>
        <w:t>斯洛文尼亚</w:t>
      </w:r>
      <w:r>
        <w:rPr>
          <w:rFonts w:eastAsia="楷体" w:hint="eastAsia"/>
          <w:iCs/>
        </w:rPr>
        <w:t>和</w:t>
      </w:r>
      <w:r w:rsidRPr="00E174C8">
        <w:rPr>
          <w:rFonts w:eastAsia="楷体"/>
          <w:iCs/>
        </w:rPr>
        <w:t>前南斯拉夫的马其顿共和国</w:t>
      </w:r>
      <w:r>
        <w:rPr>
          <w:rFonts w:eastAsia="楷体" w:hint="eastAsia"/>
          <w:iCs/>
        </w:rPr>
        <w:t>，</w:t>
      </w:r>
      <w:r w:rsidRPr="009708F3">
        <w:t xml:space="preserve">[GC], </w:t>
      </w:r>
      <w:r>
        <w:rPr>
          <w:rFonts w:hint="eastAsia"/>
        </w:rPr>
        <w:t>第</w:t>
      </w:r>
      <w:r w:rsidRPr="009708F3">
        <w:t>60642/08</w:t>
      </w:r>
      <w:r>
        <w:rPr>
          <w:rFonts w:hint="eastAsia"/>
        </w:rPr>
        <w:t>号，判决，</w:t>
      </w:r>
      <w:r w:rsidRPr="009708F3">
        <w:t>2014</w:t>
      </w:r>
      <w:r w:rsidRPr="009708F3">
        <w:t>年</w:t>
      </w:r>
      <w:r w:rsidRPr="009708F3">
        <w:t>7</w:t>
      </w:r>
      <w:r w:rsidRPr="009708F3">
        <w:t>月</w:t>
      </w:r>
      <w:r w:rsidRPr="009708F3">
        <w:t>16</w:t>
      </w:r>
      <w:r w:rsidRPr="009708F3">
        <w:t>日</w:t>
      </w:r>
      <w:r>
        <w:rPr>
          <w:rFonts w:hint="eastAsia"/>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0DE" w:rsidRDefault="00AB00DE" w:rsidP="003D4F4F">
    <w:pPr>
      <w:pStyle w:val="ad"/>
      <w:pBdr>
        <w:bottom w:val="none" w:sz="0" w:space="0" w:color="auto"/>
      </w:pBdr>
      <w:tabs>
        <w:tab w:val="clear" w:pos="992"/>
        <w:tab w:val="clear" w:pos="5772"/>
        <w:tab w:val="clear" w:pos="6634"/>
        <w:tab w:val="clear" w:pos="7144"/>
        <w:tab w:val="clear" w:pos="7655"/>
        <w:tab w:val="clear" w:pos="8165"/>
      </w:tabs>
      <w:rPr>
        <w:b w:val="0"/>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0DE" w:rsidRDefault="00AB00DE" w:rsidP="003D4F4F">
    <w:pPr>
      <w:pStyle w:val="ad"/>
      <w:pBdr>
        <w:bottom w:val="none" w:sz="0" w:space="0" w:color="auto"/>
      </w:pBdr>
      <w:tabs>
        <w:tab w:val="clear" w:pos="992"/>
        <w:tab w:val="clear" w:pos="5772"/>
        <w:tab w:val="clear" w:pos="6634"/>
        <w:tab w:val="clear" w:pos="7144"/>
        <w:tab w:val="clear" w:pos="7655"/>
        <w:tab w:val="clear" w:pos="8165"/>
      </w:tabs>
      <w:rPr>
        <w:b w:val="0"/>
        <w:lang w:val="en-US" w:eastAsia="zh-CN"/>
      </w:rPr>
    </w:pPr>
  </w:p>
  <w:p w:rsidR="00AB00DE" w:rsidRPr="009633AB" w:rsidRDefault="00AB00DE" w:rsidP="009633AB">
    <w:pPr>
      <w:pStyle w:val="ad"/>
      <w:pBdr>
        <w:bottom w:val="none" w:sz="0" w:space="0" w:color="auto"/>
      </w:pBdr>
      <w:tabs>
        <w:tab w:val="clear" w:pos="992"/>
        <w:tab w:val="clear" w:pos="5772"/>
        <w:tab w:val="clear" w:pos="6634"/>
        <w:tab w:val="clear" w:pos="7144"/>
        <w:tab w:val="clear" w:pos="7655"/>
        <w:tab w:val="clear" w:pos="8165"/>
      </w:tabs>
      <w:jc w:val="right"/>
      <w:rPr>
        <w:b w:val="0"/>
        <w:sz w:val="21"/>
        <w:szCs w:val="21"/>
        <w:lang w:val="en-US"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0DE" w:rsidRDefault="00AB00DE" w:rsidP="00633880">
    <w:pPr>
      <w:pStyle w:val="ad"/>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0DE" w:rsidRPr="009633AB" w:rsidRDefault="00AB00DE" w:rsidP="002D53A4">
    <w:pPr>
      <w:pStyle w:val="ad"/>
      <w:pBdr>
        <w:bottom w:val="none" w:sz="0" w:space="0" w:color="auto"/>
      </w:pBdr>
      <w:tabs>
        <w:tab w:val="clear" w:pos="992"/>
        <w:tab w:val="clear" w:pos="5772"/>
        <w:tab w:val="clear" w:pos="6634"/>
        <w:tab w:val="clear" w:pos="7144"/>
        <w:tab w:val="clear" w:pos="7655"/>
        <w:tab w:val="clear" w:pos="8165"/>
      </w:tabs>
      <w:jc w:val="left"/>
      <w:rPr>
        <w:b w:val="0"/>
        <w:sz w:val="21"/>
        <w:szCs w:val="21"/>
        <w:lang w:val="en-US"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0E2" w:rsidRPr="00B27F32" w:rsidRDefault="005460E2" w:rsidP="005460E2">
    <w:pPr>
      <w:pStyle w:val="ad"/>
      <w:pBdr>
        <w:bottom w:val="single" w:sz="4" w:space="1" w:color="auto"/>
      </w:pBdr>
      <w:tabs>
        <w:tab w:val="clear" w:pos="992"/>
        <w:tab w:val="clear" w:pos="5772"/>
        <w:tab w:val="clear" w:pos="6634"/>
        <w:tab w:val="clear" w:pos="7144"/>
        <w:tab w:val="clear" w:pos="7655"/>
        <w:tab w:val="clear" w:pos="8165"/>
      </w:tabs>
      <w:jc w:val="left"/>
      <w:rPr>
        <w:szCs w:val="18"/>
        <w:lang w:val="en-US" w:eastAsia="zh-CN"/>
      </w:rPr>
    </w:pPr>
    <w:r w:rsidRPr="00B27F32">
      <w:rPr>
        <w:rFonts w:hint="eastAsia"/>
        <w:szCs w:val="18"/>
        <w:lang w:val="en-US" w:eastAsia="zh-CN"/>
      </w:rPr>
      <w:t>A/</w:t>
    </w:r>
    <w:r>
      <w:rPr>
        <w:rFonts w:hint="eastAsia"/>
        <w:szCs w:val="18"/>
        <w:lang w:val="en-US" w:eastAsia="zh-CN"/>
      </w:rPr>
      <w:t>71/10</w:t>
    </w:r>
  </w:p>
  <w:p w:rsidR="00000000" w:rsidRDefault="00A73EB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0DE" w:rsidRPr="00B27F32" w:rsidRDefault="00AB00DE" w:rsidP="00B27F32">
    <w:pPr>
      <w:pStyle w:val="ad"/>
      <w:pBdr>
        <w:bottom w:val="single" w:sz="4" w:space="1" w:color="auto"/>
      </w:pBdr>
      <w:tabs>
        <w:tab w:val="clear" w:pos="992"/>
        <w:tab w:val="clear" w:pos="5772"/>
        <w:tab w:val="clear" w:pos="6634"/>
        <w:tab w:val="clear" w:pos="7144"/>
        <w:tab w:val="clear" w:pos="7655"/>
        <w:tab w:val="clear" w:pos="8165"/>
      </w:tabs>
      <w:jc w:val="right"/>
      <w:rPr>
        <w:szCs w:val="18"/>
        <w:lang w:val="en-US" w:eastAsia="zh-CN"/>
      </w:rPr>
    </w:pPr>
    <w:r w:rsidRPr="00B27F32">
      <w:rPr>
        <w:rFonts w:hint="eastAsia"/>
        <w:szCs w:val="18"/>
        <w:lang w:val="en-US" w:eastAsia="zh-CN"/>
      </w:rPr>
      <w:t>A/</w:t>
    </w:r>
    <w:r>
      <w:rPr>
        <w:rFonts w:hint="eastAsia"/>
        <w:szCs w:val="18"/>
        <w:lang w:val="en-US" w:eastAsia="zh-CN"/>
      </w:rPr>
      <w:t>71/10</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0DE" w:rsidRPr="00797768" w:rsidRDefault="00AB00DE" w:rsidP="00797768">
    <w:pPr>
      <w:pStyle w:val="ad"/>
      <w:pBdr>
        <w:bottom w:val="single" w:sz="4" w:space="1" w:color="auto"/>
      </w:pBdr>
      <w:tabs>
        <w:tab w:val="clear" w:pos="992"/>
        <w:tab w:val="clear" w:pos="5772"/>
        <w:tab w:val="clear" w:pos="6634"/>
        <w:tab w:val="clear" w:pos="7144"/>
        <w:tab w:val="clear" w:pos="7655"/>
        <w:tab w:val="clear" w:pos="8165"/>
      </w:tabs>
      <w:jc w:val="left"/>
      <w:rPr>
        <w:szCs w:val="18"/>
        <w:lang w:val="en-US" w:eastAsia="zh-CN"/>
      </w:rPr>
    </w:pPr>
    <w:r>
      <w:rPr>
        <w:rFonts w:hint="eastAsia"/>
        <w:lang w:eastAsia="zh-CN"/>
      </w:rPr>
      <w:t>A/71/10</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0DE" w:rsidRPr="00C222FC" w:rsidRDefault="00AB00DE" w:rsidP="00C222FC">
    <w:pPr>
      <w:pStyle w:val="ad"/>
      <w:pBdr>
        <w:bottom w:val="single" w:sz="4" w:space="1" w:color="auto"/>
      </w:pBdr>
      <w:tabs>
        <w:tab w:val="clear" w:pos="992"/>
        <w:tab w:val="clear" w:pos="5772"/>
        <w:tab w:val="clear" w:pos="6634"/>
        <w:tab w:val="clear" w:pos="7144"/>
        <w:tab w:val="clear" w:pos="7655"/>
        <w:tab w:val="clear" w:pos="8165"/>
      </w:tabs>
      <w:jc w:val="right"/>
      <w:rPr>
        <w:szCs w:val="18"/>
        <w:lang w:val="en-US" w:eastAsia="zh-CN"/>
      </w:rPr>
    </w:pPr>
    <w:r w:rsidRPr="00B27F32">
      <w:rPr>
        <w:rFonts w:hint="eastAsia"/>
        <w:szCs w:val="18"/>
        <w:lang w:val="en-US" w:eastAsia="zh-CN"/>
      </w:rPr>
      <w:t>A/</w:t>
    </w:r>
    <w:r>
      <w:rPr>
        <w:rFonts w:hint="eastAsia"/>
        <w:szCs w:val="18"/>
        <w:lang w:val="en-US" w:eastAsia="zh-CN"/>
      </w:rPr>
      <w:t>71/10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EB276D4"/>
    <w:lvl w:ilvl="0">
      <w:start w:val="1"/>
      <w:numFmt w:val="decimal"/>
      <w:lvlText w:val="%1."/>
      <w:lvlJc w:val="left"/>
      <w:pPr>
        <w:tabs>
          <w:tab w:val="num" w:pos="2040"/>
        </w:tabs>
        <w:ind w:left="2040" w:hanging="360"/>
      </w:pPr>
    </w:lvl>
  </w:abstractNum>
  <w:abstractNum w:abstractNumId="1">
    <w:nsid w:val="FFFFFF7D"/>
    <w:multiLevelType w:val="singleLevel"/>
    <w:tmpl w:val="3B0499A0"/>
    <w:lvl w:ilvl="0">
      <w:start w:val="1"/>
      <w:numFmt w:val="decimal"/>
      <w:lvlText w:val="%1."/>
      <w:lvlJc w:val="left"/>
      <w:pPr>
        <w:tabs>
          <w:tab w:val="num" w:pos="1620"/>
        </w:tabs>
        <w:ind w:left="1620" w:hanging="360"/>
      </w:pPr>
    </w:lvl>
  </w:abstractNum>
  <w:abstractNum w:abstractNumId="2">
    <w:nsid w:val="FFFFFF7E"/>
    <w:multiLevelType w:val="singleLevel"/>
    <w:tmpl w:val="1CB46B48"/>
    <w:lvl w:ilvl="0">
      <w:start w:val="1"/>
      <w:numFmt w:val="decimal"/>
      <w:lvlText w:val="%1."/>
      <w:lvlJc w:val="left"/>
      <w:pPr>
        <w:tabs>
          <w:tab w:val="num" w:pos="1200"/>
        </w:tabs>
        <w:ind w:left="1200" w:hanging="360"/>
      </w:pPr>
    </w:lvl>
  </w:abstractNum>
  <w:abstractNum w:abstractNumId="3">
    <w:nsid w:val="FFFFFF7F"/>
    <w:multiLevelType w:val="singleLevel"/>
    <w:tmpl w:val="BFAE08D4"/>
    <w:lvl w:ilvl="0">
      <w:start w:val="1"/>
      <w:numFmt w:val="decimal"/>
      <w:lvlText w:val="%1."/>
      <w:lvlJc w:val="left"/>
      <w:pPr>
        <w:tabs>
          <w:tab w:val="num" w:pos="780"/>
        </w:tabs>
        <w:ind w:left="780" w:hanging="360"/>
      </w:pPr>
    </w:lvl>
  </w:abstractNum>
  <w:abstractNum w:abstractNumId="4">
    <w:nsid w:val="FFFFFF80"/>
    <w:multiLevelType w:val="singleLevel"/>
    <w:tmpl w:val="5D68C99E"/>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FC68CC98"/>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428198"/>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837A8222"/>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190E714A"/>
    <w:lvl w:ilvl="0">
      <w:start w:val="1"/>
      <w:numFmt w:val="decimal"/>
      <w:lvlText w:val="%1."/>
      <w:lvlJc w:val="left"/>
      <w:pPr>
        <w:tabs>
          <w:tab w:val="num" w:pos="360"/>
        </w:tabs>
        <w:ind w:left="360" w:hanging="360"/>
      </w:pPr>
    </w:lvl>
  </w:abstractNum>
  <w:abstractNum w:abstractNumId="9">
    <w:nsid w:val="FFFFFF89"/>
    <w:multiLevelType w:val="singleLevel"/>
    <w:tmpl w:val="3EFCABAC"/>
    <w:lvl w:ilvl="0">
      <w:start w:val="1"/>
      <w:numFmt w:val="bullet"/>
      <w:lvlText w:val=""/>
      <w:lvlJc w:val="left"/>
      <w:pPr>
        <w:tabs>
          <w:tab w:val="num" w:pos="360"/>
        </w:tabs>
        <w:ind w:left="360" w:hanging="360"/>
      </w:pPr>
      <w:rPr>
        <w:rFonts w:ascii="Wingdings" w:hAnsi="Wingdings" w:hint="default"/>
      </w:rPr>
    </w:lvl>
  </w:abstractNum>
  <w:abstractNum w:abstractNumId="10">
    <w:nsid w:val="00322B3C"/>
    <w:multiLevelType w:val="hybridMultilevel"/>
    <w:tmpl w:val="C0840CF2"/>
    <w:lvl w:ilvl="0" w:tplc="7FD48168">
      <w:start w:val="1"/>
      <w:numFmt w:val="lowerLetter"/>
      <w:lvlRestart w:val="0"/>
      <w:lvlText w:val="(%1)"/>
      <w:lvlJc w:val="left"/>
      <w:pPr>
        <w:tabs>
          <w:tab w:val="num" w:pos="2426"/>
        </w:tabs>
        <w:ind w:left="1134" w:firstLine="431"/>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08000690"/>
    <w:multiLevelType w:val="hybridMultilevel"/>
    <w:tmpl w:val="FE54A614"/>
    <w:lvl w:ilvl="0" w:tplc="41EA2E00">
      <w:start w:val="1"/>
      <w:numFmt w:val="lowerLetter"/>
      <w:lvlRestart w:val="0"/>
      <w:lvlText w:val="(%1)"/>
      <w:lvlJc w:val="left"/>
      <w:pPr>
        <w:tabs>
          <w:tab w:val="num" w:pos="2846"/>
        </w:tabs>
        <w:ind w:left="1554" w:firstLine="431"/>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nsid w:val="0ABE44CC"/>
    <w:multiLevelType w:val="hybridMultilevel"/>
    <w:tmpl w:val="2FA88C3E"/>
    <w:lvl w:ilvl="0" w:tplc="09E28A7C">
      <w:start w:val="1"/>
      <w:numFmt w:val="lowerLetter"/>
      <w:lvlText w:val="(%1)"/>
      <w:lvlJc w:val="left"/>
      <w:pPr>
        <w:ind w:left="1140" w:hanging="705"/>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15">
    <w:nsid w:val="11325561"/>
    <w:multiLevelType w:val="hybridMultilevel"/>
    <w:tmpl w:val="88F6CBB2"/>
    <w:lvl w:ilvl="0" w:tplc="96A004EC">
      <w:start w:val="1"/>
      <w:numFmt w:val="lowerLetter"/>
      <w:lvlRestart w:val="0"/>
      <w:lvlText w:val="(%1)"/>
      <w:lvlJc w:val="left"/>
      <w:pPr>
        <w:tabs>
          <w:tab w:val="num" w:pos="2426"/>
        </w:tabs>
        <w:ind w:left="1134" w:firstLine="431"/>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13D86AAA"/>
    <w:multiLevelType w:val="hybridMultilevel"/>
    <w:tmpl w:val="065C6134"/>
    <w:lvl w:ilvl="0" w:tplc="D9B0BDC6">
      <w:start w:val="1"/>
      <w:numFmt w:val="bullet"/>
      <w:pStyle w:val="Bullet1GC"/>
      <w:lvlText w:val=""/>
      <w:lvlJc w:val="left"/>
      <w:pPr>
        <w:tabs>
          <w:tab w:val="num" w:pos="1996"/>
        </w:tabs>
        <w:ind w:left="1996" w:hanging="380"/>
      </w:pPr>
      <w:rPr>
        <w:rFonts w:ascii="Symbol" w:hAnsi="Symbol" w:hint="default"/>
      </w:rPr>
    </w:lvl>
    <w:lvl w:ilvl="1" w:tplc="04090003">
      <w:start w:val="1"/>
      <w:numFmt w:val="bullet"/>
      <w:lvlText w:val=""/>
      <w:lvlJc w:val="left"/>
      <w:pPr>
        <w:tabs>
          <w:tab w:val="num" w:pos="999"/>
        </w:tabs>
        <w:ind w:left="999" w:hanging="420"/>
      </w:pPr>
      <w:rPr>
        <w:rFonts w:ascii="Wingdings" w:hAnsi="Wingdings" w:hint="default"/>
      </w:rPr>
    </w:lvl>
    <w:lvl w:ilvl="2" w:tplc="04090005" w:tentative="1">
      <w:start w:val="1"/>
      <w:numFmt w:val="bullet"/>
      <w:lvlText w:val=""/>
      <w:lvlJc w:val="left"/>
      <w:pPr>
        <w:tabs>
          <w:tab w:val="num" w:pos="1419"/>
        </w:tabs>
        <w:ind w:left="1419" w:hanging="420"/>
      </w:pPr>
      <w:rPr>
        <w:rFonts w:ascii="Wingdings" w:hAnsi="Wingdings" w:hint="default"/>
      </w:rPr>
    </w:lvl>
    <w:lvl w:ilvl="3" w:tplc="04090001" w:tentative="1">
      <w:start w:val="1"/>
      <w:numFmt w:val="bullet"/>
      <w:lvlText w:val=""/>
      <w:lvlJc w:val="left"/>
      <w:pPr>
        <w:tabs>
          <w:tab w:val="num" w:pos="1839"/>
        </w:tabs>
        <w:ind w:left="1839" w:hanging="420"/>
      </w:pPr>
      <w:rPr>
        <w:rFonts w:ascii="Wingdings" w:hAnsi="Wingdings" w:hint="default"/>
      </w:rPr>
    </w:lvl>
    <w:lvl w:ilvl="4" w:tplc="04090003" w:tentative="1">
      <w:start w:val="1"/>
      <w:numFmt w:val="bullet"/>
      <w:lvlText w:val=""/>
      <w:lvlJc w:val="left"/>
      <w:pPr>
        <w:tabs>
          <w:tab w:val="num" w:pos="2259"/>
        </w:tabs>
        <w:ind w:left="2259" w:hanging="420"/>
      </w:pPr>
      <w:rPr>
        <w:rFonts w:ascii="Wingdings" w:hAnsi="Wingdings" w:hint="default"/>
      </w:rPr>
    </w:lvl>
    <w:lvl w:ilvl="5" w:tplc="04090005" w:tentative="1">
      <w:start w:val="1"/>
      <w:numFmt w:val="bullet"/>
      <w:lvlText w:val=""/>
      <w:lvlJc w:val="left"/>
      <w:pPr>
        <w:tabs>
          <w:tab w:val="num" w:pos="2679"/>
        </w:tabs>
        <w:ind w:left="2679" w:hanging="420"/>
      </w:pPr>
      <w:rPr>
        <w:rFonts w:ascii="Wingdings" w:hAnsi="Wingdings" w:hint="default"/>
      </w:rPr>
    </w:lvl>
    <w:lvl w:ilvl="6" w:tplc="04090001" w:tentative="1">
      <w:start w:val="1"/>
      <w:numFmt w:val="bullet"/>
      <w:lvlText w:val=""/>
      <w:lvlJc w:val="left"/>
      <w:pPr>
        <w:tabs>
          <w:tab w:val="num" w:pos="3099"/>
        </w:tabs>
        <w:ind w:left="3099" w:hanging="420"/>
      </w:pPr>
      <w:rPr>
        <w:rFonts w:ascii="Wingdings" w:hAnsi="Wingdings" w:hint="default"/>
      </w:rPr>
    </w:lvl>
    <w:lvl w:ilvl="7" w:tplc="04090003" w:tentative="1">
      <w:start w:val="1"/>
      <w:numFmt w:val="bullet"/>
      <w:lvlText w:val=""/>
      <w:lvlJc w:val="left"/>
      <w:pPr>
        <w:tabs>
          <w:tab w:val="num" w:pos="3519"/>
        </w:tabs>
        <w:ind w:left="3519" w:hanging="420"/>
      </w:pPr>
      <w:rPr>
        <w:rFonts w:ascii="Wingdings" w:hAnsi="Wingdings" w:hint="default"/>
      </w:rPr>
    </w:lvl>
    <w:lvl w:ilvl="8" w:tplc="04090005" w:tentative="1">
      <w:start w:val="1"/>
      <w:numFmt w:val="bullet"/>
      <w:lvlText w:val=""/>
      <w:lvlJc w:val="left"/>
      <w:pPr>
        <w:tabs>
          <w:tab w:val="num" w:pos="3939"/>
        </w:tabs>
        <w:ind w:left="3939" w:hanging="420"/>
      </w:pPr>
      <w:rPr>
        <w:rFonts w:ascii="Wingdings" w:hAnsi="Wingdings" w:hint="default"/>
      </w:rPr>
    </w:lvl>
  </w:abstractNum>
  <w:abstractNum w:abstractNumId="17">
    <w:nsid w:val="15662C53"/>
    <w:multiLevelType w:val="hybridMultilevel"/>
    <w:tmpl w:val="2A10FF4C"/>
    <w:lvl w:ilvl="0" w:tplc="6166126C">
      <w:start w:val="1"/>
      <w:numFmt w:val="bullet"/>
      <w:pStyle w:val="DashGC"/>
      <w:lvlText w:val=""/>
      <w:lvlJc w:val="left"/>
      <w:pPr>
        <w:tabs>
          <w:tab w:val="num" w:pos="1996"/>
        </w:tabs>
        <w:ind w:left="1996" w:hanging="380"/>
      </w:pPr>
      <w:rPr>
        <w:rFonts w:ascii="Symbol" w:hAnsi="Symbo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nsid w:val="15DD6575"/>
    <w:multiLevelType w:val="multilevel"/>
    <w:tmpl w:val="0409001D"/>
    <w:styleLink w:val="1111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1CF22D83"/>
    <w:multiLevelType w:val="hybridMultilevel"/>
    <w:tmpl w:val="4D1A3CC8"/>
    <w:lvl w:ilvl="0" w:tplc="5A806612">
      <w:start w:val="1"/>
      <w:numFmt w:val="lowerLetter"/>
      <w:lvlRestart w:val="0"/>
      <w:lvlText w:val="(%1)"/>
      <w:lvlJc w:val="left"/>
      <w:pPr>
        <w:tabs>
          <w:tab w:val="num" w:pos="2846"/>
        </w:tabs>
        <w:ind w:left="1554" w:firstLine="431"/>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nsid w:val="1E253887"/>
    <w:multiLevelType w:val="hybridMultilevel"/>
    <w:tmpl w:val="497EC7CC"/>
    <w:lvl w:ilvl="0" w:tplc="FAE4B376">
      <w:start w:val="1"/>
      <w:numFmt w:val="bullet"/>
      <w:pStyle w:val="H56G"/>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E501E81"/>
    <w:multiLevelType w:val="hybridMultilevel"/>
    <w:tmpl w:val="C6C29102"/>
    <w:lvl w:ilvl="0" w:tplc="A63E0AF2">
      <w:start w:val="1"/>
      <w:numFmt w:val="lowerLetter"/>
      <w:lvlRestart w:val="0"/>
      <w:lvlText w:val="(%1)"/>
      <w:lvlJc w:val="left"/>
      <w:pPr>
        <w:tabs>
          <w:tab w:val="num" w:pos="2857"/>
        </w:tabs>
        <w:ind w:left="1565" w:firstLine="431"/>
      </w:pPr>
    </w:lvl>
    <w:lvl w:ilvl="1" w:tplc="04090019" w:tentative="1">
      <w:start w:val="1"/>
      <w:numFmt w:val="lowerLetter"/>
      <w:lvlText w:val="%2)"/>
      <w:lvlJc w:val="left"/>
      <w:pPr>
        <w:ind w:left="1271" w:hanging="420"/>
      </w:pPr>
    </w:lvl>
    <w:lvl w:ilvl="2" w:tplc="0409001B" w:tentative="1">
      <w:start w:val="1"/>
      <w:numFmt w:val="lowerRoman"/>
      <w:lvlText w:val="%3."/>
      <w:lvlJc w:val="right"/>
      <w:pPr>
        <w:ind w:left="1691" w:hanging="420"/>
      </w:pPr>
    </w:lvl>
    <w:lvl w:ilvl="3" w:tplc="0409000F" w:tentative="1">
      <w:start w:val="1"/>
      <w:numFmt w:val="decimal"/>
      <w:lvlText w:val="%4."/>
      <w:lvlJc w:val="left"/>
      <w:pPr>
        <w:ind w:left="2111" w:hanging="420"/>
      </w:pPr>
    </w:lvl>
    <w:lvl w:ilvl="4" w:tplc="04090019" w:tentative="1">
      <w:start w:val="1"/>
      <w:numFmt w:val="lowerLetter"/>
      <w:lvlText w:val="%5)"/>
      <w:lvlJc w:val="left"/>
      <w:pPr>
        <w:ind w:left="2531" w:hanging="420"/>
      </w:pPr>
    </w:lvl>
    <w:lvl w:ilvl="5" w:tplc="0409001B" w:tentative="1">
      <w:start w:val="1"/>
      <w:numFmt w:val="lowerRoman"/>
      <w:lvlText w:val="%6."/>
      <w:lvlJc w:val="right"/>
      <w:pPr>
        <w:ind w:left="2951" w:hanging="420"/>
      </w:pPr>
    </w:lvl>
    <w:lvl w:ilvl="6" w:tplc="0409000F" w:tentative="1">
      <w:start w:val="1"/>
      <w:numFmt w:val="decimal"/>
      <w:lvlText w:val="%7."/>
      <w:lvlJc w:val="left"/>
      <w:pPr>
        <w:ind w:left="3371" w:hanging="420"/>
      </w:pPr>
    </w:lvl>
    <w:lvl w:ilvl="7" w:tplc="04090019" w:tentative="1">
      <w:start w:val="1"/>
      <w:numFmt w:val="lowerLetter"/>
      <w:lvlText w:val="%8)"/>
      <w:lvlJc w:val="left"/>
      <w:pPr>
        <w:ind w:left="3791" w:hanging="420"/>
      </w:pPr>
    </w:lvl>
    <w:lvl w:ilvl="8" w:tplc="0409001B" w:tentative="1">
      <w:start w:val="1"/>
      <w:numFmt w:val="lowerRoman"/>
      <w:lvlText w:val="%9."/>
      <w:lvlJc w:val="right"/>
      <w:pPr>
        <w:ind w:left="4211" w:hanging="420"/>
      </w:pPr>
    </w:lvl>
  </w:abstractNum>
  <w:abstractNum w:abstractNumId="22">
    <w:nsid w:val="21306D37"/>
    <w:multiLevelType w:val="hybridMultilevel"/>
    <w:tmpl w:val="5D6A0296"/>
    <w:lvl w:ilvl="0" w:tplc="16147134">
      <w:start w:val="1"/>
      <w:numFmt w:val="lowerLetter"/>
      <w:lvlRestart w:val="0"/>
      <w:lvlText w:val="(%1)"/>
      <w:lvlJc w:val="left"/>
      <w:pPr>
        <w:tabs>
          <w:tab w:val="num" w:pos="2426"/>
        </w:tabs>
        <w:ind w:left="1134" w:firstLine="431"/>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26233EA6"/>
    <w:multiLevelType w:val="hybridMultilevel"/>
    <w:tmpl w:val="28F817E2"/>
    <w:lvl w:ilvl="0" w:tplc="5E206DF0">
      <w:start w:val="1"/>
      <w:numFmt w:val="lowerLetter"/>
      <w:lvlText w:val="(%1)"/>
      <w:lvlJc w:val="left"/>
      <w:pPr>
        <w:ind w:left="2416" w:hanging="420"/>
      </w:pPr>
      <w:rPr>
        <w:rFonts w:hint="eastAsia"/>
      </w:rPr>
    </w:lvl>
    <w:lvl w:ilvl="1" w:tplc="04090019" w:tentative="1">
      <w:start w:val="1"/>
      <w:numFmt w:val="lowerLetter"/>
      <w:lvlText w:val="%2)"/>
      <w:lvlJc w:val="left"/>
      <w:pPr>
        <w:ind w:left="2836" w:hanging="420"/>
      </w:pPr>
    </w:lvl>
    <w:lvl w:ilvl="2" w:tplc="0409001B" w:tentative="1">
      <w:start w:val="1"/>
      <w:numFmt w:val="lowerRoman"/>
      <w:lvlText w:val="%3."/>
      <w:lvlJc w:val="right"/>
      <w:pPr>
        <w:ind w:left="3256" w:hanging="420"/>
      </w:pPr>
    </w:lvl>
    <w:lvl w:ilvl="3" w:tplc="0409000F" w:tentative="1">
      <w:start w:val="1"/>
      <w:numFmt w:val="decimal"/>
      <w:lvlText w:val="%4."/>
      <w:lvlJc w:val="left"/>
      <w:pPr>
        <w:ind w:left="3676" w:hanging="420"/>
      </w:pPr>
    </w:lvl>
    <w:lvl w:ilvl="4" w:tplc="04090019" w:tentative="1">
      <w:start w:val="1"/>
      <w:numFmt w:val="lowerLetter"/>
      <w:lvlText w:val="%5)"/>
      <w:lvlJc w:val="left"/>
      <w:pPr>
        <w:ind w:left="4096" w:hanging="420"/>
      </w:pPr>
    </w:lvl>
    <w:lvl w:ilvl="5" w:tplc="0409001B" w:tentative="1">
      <w:start w:val="1"/>
      <w:numFmt w:val="lowerRoman"/>
      <w:lvlText w:val="%6."/>
      <w:lvlJc w:val="right"/>
      <w:pPr>
        <w:ind w:left="4516" w:hanging="420"/>
      </w:pPr>
    </w:lvl>
    <w:lvl w:ilvl="6" w:tplc="0409000F" w:tentative="1">
      <w:start w:val="1"/>
      <w:numFmt w:val="decimal"/>
      <w:lvlText w:val="%7."/>
      <w:lvlJc w:val="left"/>
      <w:pPr>
        <w:ind w:left="4936" w:hanging="420"/>
      </w:pPr>
    </w:lvl>
    <w:lvl w:ilvl="7" w:tplc="04090019" w:tentative="1">
      <w:start w:val="1"/>
      <w:numFmt w:val="lowerLetter"/>
      <w:lvlText w:val="%8)"/>
      <w:lvlJc w:val="left"/>
      <w:pPr>
        <w:ind w:left="5356" w:hanging="420"/>
      </w:pPr>
    </w:lvl>
    <w:lvl w:ilvl="8" w:tplc="0409001B" w:tentative="1">
      <w:start w:val="1"/>
      <w:numFmt w:val="lowerRoman"/>
      <w:lvlText w:val="%9."/>
      <w:lvlJc w:val="right"/>
      <w:pPr>
        <w:ind w:left="5776" w:hanging="420"/>
      </w:pPr>
    </w:lvl>
  </w:abstractNum>
  <w:abstractNum w:abstractNumId="24">
    <w:nsid w:val="27790AEE"/>
    <w:multiLevelType w:val="hybridMultilevel"/>
    <w:tmpl w:val="7DD27E22"/>
    <w:lvl w:ilvl="0" w:tplc="72803D7E">
      <w:start w:val="1"/>
      <w:numFmt w:val="lowerLetter"/>
      <w:lvlText w:val="(%1)"/>
      <w:lvlJc w:val="left"/>
      <w:pPr>
        <w:ind w:left="1140" w:hanging="705"/>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25">
    <w:nsid w:val="2A5B22AF"/>
    <w:multiLevelType w:val="hybridMultilevel"/>
    <w:tmpl w:val="8640B742"/>
    <w:lvl w:ilvl="0" w:tplc="816A6858">
      <w:start w:val="1"/>
      <w:numFmt w:val="lowerLetter"/>
      <w:lvlRestart w:val="0"/>
      <w:lvlText w:val="(%1)"/>
      <w:lvlJc w:val="left"/>
      <w:pPr>
        <w:tabs>
          <w:tab w:val="num" w:pos="2426"/>
        </w:tabs>
        <w:ind w:left="1134" w:firstLine="431"/>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34E878E2"/>
    <w:multiLevelType w:val="hybridMultilevel"/>
    <w:tmpl w:val="EBF0DC2E"/>
    <w:lvl w:ilvl="0" w:tplc="151635A2">
      <w:start w:val="1"/>
      <w:numFmt w:val="bullet"/>
      <w:pStyle w:val="Bullet2"/>
      <w:lvlText w:val=""/>
      <w:lvlJc w:val="left"/>
      <w:pPr>
        <w:ind w:left="2447" w:hanging="360"/>
      </w:pPr>
      <w:rPr>
        <w:rFonts w:ascii="Symbol" w:hAnsi="Symbol" w:cs="Symbol" w:hint="default"/>
        <w:sz w:val="14"/>
        <w:szCs w:val="14"/>
      </w:rPr>
    </w:lvl>
    <w:lvl w:ilvl="1" w:tplc="04090003" w:tentative="1">
      <w:start w:val="1"/>
      <w:numFmt w:val="bullet"/>
      <w:lvlText w:val="o"/>
      <w:lvlJc w:val="left"/>
      <w:pPr>
        <w:ind w:left="3527" w:hanging="360"/>
      </w:pPr>
      <w:rPr>
        <w:rFonts w:ascii="Courier New" w:hAnsi="Courier New" w:cs="Courier New" w:hint="default"/>
      </w:rPr>
    </w:lvl>
    <w:lvl w:ilvl="2" w:tplc="04090005" w:tentative="1">
      <w:start w:val="1"/>
      <w:numFmt w:val="bullet"/>
      <w:lvlText w:val=""/>
      <w:lvlJc w:val="left"/>
      <w:pPr>
        <w:ind w:left="4247" w:hanging="360"/>
      </w:pPr>
      <w:rPr>
        <w:rFonts w:ascii="Wingdings" w:hAnsi="Wingdings" w:hint="default"/>
      </w:rPr>
    </w:lvl>
    <w:lvl w:ilvl="3" w:tplc="04090001" w:tentative="1">
      <w:start w:val="1"/>
      <w:numFmt w:val="bullet"/>
      <w:lvlText w:val=""/>
      <w:lvlJc w:val="left"/>
      <w:pPr>
        <w:ind w:left="4967" w:hanging="360"/>
      </w:pPr>
      <w:rPr>
        <w:rFonts w:ascii="Symbol" w:hAnsi="Symbol" w:hint="default"/>
      </w:rPr>
    </w:lvl>
    <w:lvl w:ilvl="4" w:tplc="04090003" w:tentative="1">
      <w:start w:val="1"/>
      <w:numFmt w:val="bullet"/>
      <w:lvlText w:val="o"/>
      <w:lvlJc w:val="left"/>
      <w:pPr>
        <w:ind w:left="5687" w:hanging="360"/>
      </w:pPr>
      <w:rPr>
        <w:rFonts w:ascii="Courier New" w:hAnsi="Courier New" w:cs="Courier New" w:hint="default"/>
      </w:rPr>
    </w:lvl>
    <w:lvl w:ilvl="5" w:tplc="04090005" w:tentative="1">
      <w:start w:val="1"/>
      <w:numFmt w:val="bullet"/>
      <w:lvlText w:val=""/>
      <w:lvlJc w:val="left"/>
      <w:pPr>
        <w:ind w:left="6407" w:hanging="360"/>
      </w:pPr>
      <w:rPr>
        <w:rFonts w:ascii="Wingdings" w:hAnsi="Wingdings" w:hint="default"/>
      </w:rPr>
    </w:lvl>
    <w:lvl w:ilvl="6" w:tplc="04090001" w:tentative="1">
      <w:start w:val="1"/>
      <w:numFmt w:val="bullet"/>
      <w:lvlText w:val=""/>
      <w:lvlJc w:val="left"/>
      <w:pPr>
        <w:ind w:left="7127" w:hanging="360"/>
      </w:pPr>
      <w:rPr>
        <w:rFonts w:ascii="Symbol" w:hAnsi="Symbol" w:hint="default"/>
      </w:rPr>
    </w:lvl>
    <w:lvl w:ilvl="7" w:tplc="04090003" w:tentative="1">
      <w:start w:val="1"/>
      <w:numFmt w:val="bullet"/>
      <w:lvlText w:val="o"/>
      <w:lvlJc w:val="left"/>
      <w:pPr>
        <w:ind w:left="7847" w:hanging="360"/>
      </w:pPr>
      <w:rPr>
        <w:rFonts w:ascii="Courier New" w:hAnsi="Courier New" w:cs="Courier New" w:hint="default"/>
      </w:rPr>
    </w:lvl>
    <w:lvl w:ilvl="8" w:tplc="04090005" w:tentative="1">
      <w:start w:val="1"/>
      <w:numFmt w:val="bullet"/>
      <w:lvlText w:val=""/>
      <w:lvlJc w:val="left"/>
      <w:pPr>
        <w:ind w:left="8567" w:hanging="360"/>
      </w:pPr>
      <w:rPr>
        <w:rFonts w:ascii="Wingdings" w:hAnsi="Wingdings" w:hint="default"/>
      </w:rPr>
    </w:lvl>
  </w:abstractNum>
  <w:abstractNum w:abstractNumId="27">
    <w:nsid w:val="35577D3C"/>
    <w:multiLevelType w:val="hybridMultilevel"/>
    <w:tmpl w:val="7FB24642"/>
    <w:lvl w:ilvl="0" w:tplc="B4BAB23E">
      <w:start w:val="1"/>
      <w:numFmt w:val="lowerLetter"/>
      <w:lvlRestart w:val="0"/>
      <w:lvlText w:val="(%1)"/>
      <w:lvlJc w:val="left"/>
      <w:pPr>
        <w:tabs>
          <w:tab w:val="num" w:pos="2846"/>
        </w:tabs>
        <w:ind w:left="1554" w:firstLine="431"/>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nsid w:val="38E31903"/>
    <w:multiLevelType w:val="hybridMultilevel"/>
    <w:tmpl w:val="6FBE6392"/>
    <w:lvl w:ilvl="0" w:tplc="CCF8ECD0">
      <w:start w:val="1"/>
      <w:numFmt w:val="lowerLetter"/>
      <w:lvlRestart w:val="0"/>
      <w:lvlText w:val="(%1)"/>
      <w:lvlJc w:val="left"/>
      <w:pPr>
        <w:tabs>
          <w:tab w:val="num" w:pos="2426"/>
        </w:tabs>
        <w:ind w:left="1134" w:firstLine="431"/>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3A730CB4"/>
    <w:multiLevelType w:val="hybridMultilevel"/>
    <w:tmpl w:val="708E4FFA"/>
    <w:lvl w:ilvl="0" w:tplc="A5924D62">
      <w:start w:val="1"/>
      <w:numFmt w:val="lowerLetter"/>
      <w:lvlRestart w:val="0"/>
      <w:lvlText w:val="(%1)"/>
      <w:lvlJc w:val="left"/>
      <w:pPr>
        <w:tabs>
          <w:tab w:val="num" w:pos="2846"/>
        </w:tabs>
        <w:ind w:left="1554" w:firstLine="431"/>
      </w:pPr>
      <w:rPr>
        <w:rFonts w:asciiTheme="majorBidi" w:hAnsiTheme="majorBidi" w:cstheme="majorBidi"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0">
    <w:nsid w:val="3C456276"/>
    <w:multiLevelType w:val="hybridMultilevel"/>
    <w:tmpl w:val="19149710"/>
    <w:lvl w:ilvl="0" w:tplc="F4AAAF66">
      <w:start w:val="1"/>
      <w:numFmt w:val="bullet"/>
      <w:pStyle w:val="Bullet3"/>
      <w:lvlText w:val=""/>
      <w:lvlJc w:val="left"/>
      <w:pPr>
        <w:ind w:left="3283" w:hanging="360"/>
      </w:pPr>
      <w:rPr>
        <w:rFonts w:ascii="Symbol" w:hAnsi="Symbol" w:cs="Symbol" w:hint="default"/>
        <w:sz w:val="14"/>
        <w:szCs w:val="14"/>
      </w:rPr>
    </w:lvl>
    <w:lvl w:ilvl="1" w:tplc="08090003" w:tentative="1">
      <w:start w:val="1"/>
      <w:numFmt w:val="bullet"/>
      <w:lvlText w:val="o"/>
      <w:lvlJc w:val="left"/>
      <w:pPr>
        <w:ind w:left="4003" w:hanging="360"/>
      </w:pPr>
      <w:rPr>
        <w:rFonts w:ascii="Courier New" w:hAnsi="Courier New" w:cs="Courier New" w:hint="default"/>
      </w:rPr>
    </w:lvl>
    <w:lvl w:ilvl="2" w:tplc="08090005" w:tentative="1">
      <w:start w:val="1"/>
      <w:numFmt w:val="bullet"/>
      <w:lvlText w:val=""/>
      <w:lvlJc w:val="left"/>
      <w:pPr>
        <w:ind w:left="4723" w:hanging="360"/>
      </w:pPr>
      <w:rPr>
        <w:rFonts w:ascii="Wingdings" w:hAnsi="Wingdings" w:hint="default"/>
      </w:rPr>
    </w:lvl>
    <w:lvl w:ilvl="3" w:tplc="08090001" w:tentative="1">
      <w:start w:val="1"/>
      <w:numFmt w:val="bullet"/>
      <w:lvlText w:val=""/>
      <w:lvlJc w:val="left"/>
      <w:pPr>
        <w:ind w:left="5443" w:hanging="360"/>
      </w:pPr>
      <w:rPr>
        <w:rFonts w:ascii="Symbol" w:hAnsi="Symbol" w:hint="default"/>
      </w:rPr>
    </w:lvl>
    <w:lvl w:ilvl="4" w:tplc="08090003" w:tentative="1">
      <w:start w:val="1"/>
      <w:numFmt w:val="bullet"/>
      <w:lvlText w:val="o"/>
      <w:lvlJc w:val="left"/>
      <w:pPr>
        <w:ind w:left="6163" w:hanging="360"/>
      </w:pPr>
      <w:rPr>
        <w:rFonts w:ascii="Courier New" w:hAnsi="Courier New" w:cs="Courier New" w:hint="default"/>
      </w:rPr>
    </w:lvl>
    <w:lvl w:ilvl="5" w:tplc="08090005" w:tentative="1">
      <w:start w:val="1"/>
      <w:numFmt w:val="bullet"/>
      <w:lvlText w:val=""/>
      <w:lvlJc w:val="left"/>
      <w:pPr>
        <w:ind w:left="6883" w:hanging="360"/>
      </w:pPr>
      <w:rPr>
        <w:rFonts w:ascii="Wingdings" w:hAnsi="Wingdings" w:hint="default"/>
      </w:rPr>
    </w:lvl>
    <w:lvl w:ilvl="6" w:tplc="08090001" w:tentative="1">
      <w:start w:val="1"/>
      <w:numFmt w:val="bullet"/>
      <w:lvlText w:val=""/>
      <w:lvlJc w:val="left"/>
      <w:pPr>
        <w:ind w:left="7603" w:hanging="360"/>
      </w:pPr>
      <w:rPr>
        <w:rFonts w:ascii="Symbol" w:hAnsi="Symbol" w:hint="default"/>
      </w:rPr>
    </w:lvl>
    <w:lvl w:ilvl="7" w:tplc="08090003" w:tentative="1">
      <w:start w:val="1"/>
      <w:numFmt w:val="bullet"/>
      <w:lvlText w:val="o"/>
      <w:lvlJc w:val="left"/>
      <w:pPr>
        <w:ind w:left="8323" w:hanging="360"/>
      </w:pPr>
      <w:rPr>
        <w:rFonts w:ascii="Courier New" w:hAnsi="Courier New" w:cs="Courier New" w:hint="default"/>
      </w:rPr>
    </w:lvl>
    <w:lvl w:ilvl="8" w:tplc="08090005" w:tentative="1">
      <w:start w:val="1"/>
      <w:numFmt w:val="bullet"/>
      <w:lvlText w:val=""/>
      <w:lvlJc w:val="left"/>
      <w:pPr>
        <w:ind w:left="9043" w:hanging="360"/>
      </w:pPr>
      <w:rPr>
        <w:rFonts w:ascii="Wingdings" w:hAnsi="Wingdings" w:hint="default"/>
      </w:rPr>
    </w:lvl>
  </w:abstractNum>
  <w:abstractNum w:abstractNumId="31">
    <w:nsid w:val="3F2C2951"/>
    <w:multiLevelType w:val="hybridMultilevel"/>
    <w:tmpl w:val="AA76E90C"/>
    <w:lvl w:ilvl="0" w:tplc="1BA6FB68">
      <w:start w:val="1"/>
      <w:numFmt w:val="lowerLetter"/>
      <w:lvlRestart w:val="0"/>
      <w:lvlText w:val="(%1)"/>
      <w:lvlJc w:val="left"/>
      <w:pPr>
        <w:tabs>
          <w:tab w:val="num" w:pos="2846"/>
        </w:tabs>
        <w:ind w:left="1554" w:firstLine="431"/>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2">
    <w:nsid w:val="49A92A1E"/>
    <w:multiLevelType w:val="hybridMultilevel"/>
    <w:tmpl w:val="F9443AB2"/>
    <w:lvl w:ilvl="0" w:tplc="5D02A02E">
      <w:start w:val="1"/>
      <w:numFmt w:val="lowerLetter"/>
      <w:lvlRestart w:val="0"/>
      <w:lvlText w:val="(%1)"/>
      <w:lvlJc w:val="left"/>
      <w:pPr>
        <w:tabs>
          <w:tab w:val="num" w:pos="2426"/>
        </w:tabs>
        <w:ind w:left="1134" w:firstLine="431"/>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4CBC1D86"/>
    <w:multiLevelType w:val="hybridMultilevel"/>
    <w:tmpl w:val="B276CA9A"/>
    <w:lvl w:ilvl="0" w:tplc="7930B796">
      <w:start w:val="1"/>
      <w:numFmt w:val="lowerLetter"/>
      <w:lvlRestart w:val="0"/>
      <w:lvlText w:val="(%1)"/>
      <w:lvlJc w:val="left"/>
      <w:pPr>
        <w:tabs>
          <w:tab w:val="num" w:pos="2846"/>
        </w:tabs>
        <w:ind w:left="1554" w:firstLine="431"/>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4">
    <w:nsid w:val="50732313"/>
    <w:multiLevelType w:val="hybridMultilevel"/>
    <w:tmpl w:val="942E4CFC"/>
    <w:lvl w:ilvl="0" w:tplc="5A8057B8">
      <w:start w:val="1"/>
      <w:numFmt w:val="lowerLetter"/>
      <w:lvlRestart w:val="0"/>
      <w:lvlText w:val="(%1)"/>
      <w:lvlJc w:val="left"/>
      <w:pPr>
        <w:tabs>
          <w:tab w:val="num" w:pos="2846"/>
        </w:tabs>
        <w:ind w:left="1554" w:firstLine="431"/>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5">
    <w:nsid w:val="552A6E83"/>
    <w:multiLevelType w:val="hybridMultilevel"/>
    <w:tmpl w:val="B682517A"/>
    <w:lvl w:ilvl="0" w:tplc="2B3A945A">
      <w:start w:val="1"/>
      <w:numFmt w:val="lowerLetter"/>
      <w:lvlRestart w:val="0"/>
      <w:lvlText w:val="(%1)"/>
      <w:lvlJc w:val="left"/>
      <w:pPr>
        <w:tabs>
          <w:tab w:val="num" w:pos="2426"/>
        </w:tabs>
        <w:ind w:left="1134" w:firstLine="431"/>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5F064078"/>
    <w:multiLevelType w:val="hybridMultilevel"/>
    <w:tmpl w:val="DD5A6FF2"/>
    <w:lvl w:ilvl="0" w:tplc="9ABE00BE">
      <w:start w:val="1"/>
      <w:numFmt w:val="lowerLetter"/>
      <w:lvlRestart w:val="0"/>
      <w:lvlText w:val="(%1)"/>
      <w:lvlJc w:val="left"/>
      <w:pPr>
        <w:tabs>
          <w:tab w:val="num" w:pos="2846"/>
        </w:tabs>
        <w:ind w:left="1554" w:firstLine="431"/>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7">
    <w:nsid w:val="606677AE"/>
    <w:multiLevelType w:val="multilevel"/>
    <w:tmpl w:val="0409001F"/>
    <w:styleLink w:val="111111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8">
    <w:nsid w:val="64805670"/>
    <w:multiLevelType w:val="hybridMultilevel"/>
    <w:tmpl w:val="696026C2"/>
    <w:lvl w:ilvl="0" w:tplc="98440EBA">
      <w:start w:val="1"/>
      <w:numFmt w:val="lowerLetter"/>
      <w:lvlRestart w:val="0"/>
      <w:lvlText w:val="(%1)"/>
      <w:lvlJc w:val="left"/>
      <w:pPr>
        <w:tabs>
          <w:tab w:val="num" w:pos="2852"/>
        </w:tabs>
        <w:ind w:left="1560" w:firstLine="431"/>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9">
    <w:nsid w:val="64F14A04"/>
    <w:multiLevelType w:val="hybridMultilevel"/>
    <w:tmpl w:val="0F8E0BF2"/>
    <w:lvl w:ilvl="0" w:tplc="F404D8B4">
      <w:start w:val="1"/>
      <w:numFmt w:val="bullet"/>
      <w:pStyle w:val="Bullet1"/>
      <w:lvlText w:val=""/>
      <w:lvlJc w:val="left"/>
      <w:pPr>
        <w:ind w:left="1976" w:hanging="360"/>
      </w:pPr>
      <w:rPr>
        <w:rFonts w:ascii="Symbol" w:hAnsi="Symbol" w:cs="Symbol" w:hint="default"/>
        <w:sz w:val="14"/>
      </w:rPr>
    </w:lvl>
    <w:lvl w:ilvl="1" w:tplc="04090003" w:tentative="1">
      <w:start w:val="1"/>
      <w:numFmt w:val="bullet"/>
      <w:lvlText w:val="o"/>
      <w:lvlJc w:val="left"/>
      <w:pPr>
        <w:ind w:left="3056" w:hanging="360"/>
      </w:pPr>
      <w:rPr>
        <w:rFonts w:ascii="Courier New" w:hAnsi="Courier New" w:cs="Courier New" w:hint="default"/>
      </w:rPr>
    </w:lvl>
    <w:lvl w:ilvl="2" w:tplc="04090005" w:tentative="1">
      <w:start w:val="1"/>
      <w:numFmt w:val="bullet"/>
      <w:lvlText w:val=""/>
      <w:lvlJc w:val="left"/>
      <w:pPr>
        <w:ind w:left="3776" w:hanging="360"/>
      </w:pPr>
      <w:rPr>
        <w:rFonts w:ascii="Wingdings" w:hAnsi="Wingdings" w:hint="default"/>
      </w:rPr>
    </w:lvl>
    <w:lvl w:ilvl="3" w:tplc="04090001" w:tentative="1">
      <w:start w:val="1"/>
      <w:numFmt w:val="bullet"/>
      <w:lvlText w:val=""/>
      <w:lvlJc w:val="left"/>
      <w:pPr>
        <w:ind w:left="4496" w:hanging="360"/>
      </w:pPr>
      <w:rPr>
        <w:rFonts w:ascii="Symbol" w:hAnsi="Symbol" w:hint="default"/>
      </w:rPr>
    </w:lvl>
    <w:lvl w:ilvl="4" w:tplc="04090003" w:tentative="1">
      <w:start w:val="1"/>
      <w:numFmt w:val="bullet"/>
      <w:lvlText w:val="o"/>
      <w:lvlJc w:val="left"/>
      <w:pPr>
        <w:ind w:left="5216" w:hanging="360"/>
      </w:pPr>
      <w:rPr>
        <w:rFonts w:ascii="Courier New" w:hAnsi="Courier New" w:cs="Courier New" w:hint="default"/>
      </w:rPr>
    </w:lvl>
    <w:lvl w:ilvl="5" w:tplc="04090005" w:tentative="1">
      <w:start w:val="1"/>
      <w:numFmt w:val="bullet"/>
      <w:lvlText w:val=""/>
      <w:lvlJc w:val="left"/>
      <w:pPr>
        <w:ind w:left="5936" w:hanging="360"/>
      </w:pPr>
      <w:rPr>
        <w:rFonts w:ascii="Wingdings" w:hAnsi="Wingdings" w:hint="default"/>
      </w:rPr>
    </w:lvl>
    <w:lvl w:ilvl="6" w:tplc="04090001" w:tentative="1">
      <w:start w:val="1"/>
      <w:numFmt w:val="bullet"/>
      <w:lvlText w:val=""/>
      <w:lvlJc w:val="left"/>
      <w:pPr>
        <w:ind w:left="6656" w:hanging="360"/>
      </w:pPr>
      <w:rPr>
        <w:rFonts w:ascii="Symbol" w:hAnsi="Symbol" w:hint="default"/>
      </w:rPr>
    </w:lvl>
    <w:lvl w:ilvl="7" w:tplc="04090003" w:tentative="1">
      <w:start w:val="1"/>
      <w:numFmt w:val="bullet"/>
      <w:lvlText w:val="o"/>
      <w:lvlJc w:val="left"/>
      <w:pPr>
        <w:ind w:left="7376" w:hanging="360"/>
      </w:pPr>
      <w:rPr>
        <w:rFonts w:ascii="Courier New" w:hAnsi="Courier New" w:cs="Courier New" w:hint="default"/>
      </w:rPr>
    </w:lvl>
    <w:lvl w:ilvl="8" w:tplc="04090005" w:tentative="1">
      <w:start w:val="1"/>
      <w:numFmt w:val="bullet"/>
      <w:lvlText w:val=""/>
      <w:lvlJc w:val="left"/>
      <w:pPr>
        <w:ind w:left="8096" w:hanging="360"/>
      </w:pPr>
      <w:rPr>
        <w:rFonts w:ascii="Wingdings" w:hAnsi="Wingdings" w:hint="default"/>
      </w:rPr>
    </w:lvl>
  </w:abstractNum>
  <w:abstractNum w:abstractNumId="40">
    <w:nsid w:val="671861DB"/>
    <w:multiLevelType w:val="hybridMultilevel"/>
    <w:tmpl w:val="A9B633D4"/>
    <w:lvl w:ilvl="0" w:tplc="34446D32">
      <w:start w:val="1"/>
      <w:numFmt w:val="bullet"/>
      <w:pStyle w:val="Bullet2GC"/>
      <w:lvlText w:val=""/>
      <w:lvlJc w:val="left"/>
      <w:pPr>
        <w:tabs>
          <w:tab w:val="num" w:pos="2427"/>
        </w:tabs>
        <w:ind w:left="2427" w:hanging="380"/>
      </w:pPr>
      <w:rPr>
        <w:rFonts w:ascii="Symbol" w:hAnsi="Symbo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1">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nsid w:val="6B3F11FF"/>
    <w:multiLevelType w:val="hybridMultilevel"/>
    <w:tmpl w:val="8A8EE452"/>
    <w:lvl w:ilvl="0" w:tplc="23B06D40">
      <w:start w:val="1"/>
      <w:numFmt w:val="lowerLetter"/>
      <w:lvlText w:val="(%1)"/>
      <w:lvlJc w:val="left"/>
      <w:pPr>
        <w:ind w:left="900" w:hanging="465"/>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43">
    <w:nsid w:val="74454FE6"/>
    <w:multiLevelType w:val="hybridMultilevel"/>
    <w:tmpl w:val="EC8EC98C"/>
    <w:lvl w:ilvl="0" w:tplc="B03A2042">
      <w:start w:val="1"/>
      <w:numFmt w:val="lowerLetter"/>
      <w:lvlRestart w:val="0"/>
      <w:lvlText w:val="(%1)"/>
      <w:lvlJc w:val="left"/>
      <w:pPr>
        <w:tabs>
          <w:tab w:val="num" w:pos="2846"/>
        </w:tabs>
        <w:ind w:left="1554" w:firstLine="431"/>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4">
    <w:nsid w:val="753414E5"/>
    <w:multiLevelType w:val="hybridMultilevel"/>
    <w:tmpl w:val="6D98F316"/>
    <w:lvl w:ilvl="0" w:tplc="0B4E2362">
      <w:start w:val="1"/>
      <w:numFmt w:val="lowerLetter"/>
      <w:lvlRestart w:val="0"/>
      <w:lvlText w:val="(%1)"/>
      <w:lvlJc w:val="left"/>
      <w:pPr>
        <w:tabs>
          <w:tab w:val="num" w:pos="2426"/>
        </w:tabs>
        <w:ind w:left="1134" w:firstLine="431"/>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75A468E7"/>
    <w:multiLevelType w:val="hybridMultilevel"/>
    <w:tmpl w:val="42925390"/>
    <w:lvl w:ilvl="0" w:tplc="80EE8F90">
      <w:start w:val="1"/>
      <w:numFmt w:val="lowerLetter"/>
      <w:lvlRestart w:val="0"/>
      <w:lvlText w:val="(%1)"/>
      <w:lvlJc w:val="left"/>
      <w:pPr>
        <w:tabs>
          <w:tab w:val="num" w:pos="2846"/>
        </w:tabs>
        <w:ind w:left="1554" w:firstLine="431"/>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6">
    <w:nsid w:val="78A22729"/>
    <w:multiLevelType w:val="hybridMultilevel"/>
    <w:tmpl w:val="17D6E864"/>
    <w:lvl w:ilvl="0" w:tplc="A4805F3C">
      <w:start w:val="1"/>
      <w:numFmt w:val="lowerLetter"/>
      <w:lvlText w:val="(%1)"/>
      <w:lvlJc w:val="left"/>
      <w:pPr>
        <w:ind w:left="1560" w:hanging="420"/>
      </w:pPr>
      <w:rPr>
        <w:rFonts w:hint="default"/>
      </w:rPr>
    </w:lvl>
    <w:lvl w:ilvl="1" w:tplc="04090019" w:tentative="1">
      <w:start w:val="1"/>
      <w:numFmt w:val="lowerLetter"/>
      <w:lvlText w:val="%2)"/>
      <w:lvlJc w:val="left"/>
      <w:pPr>
        <w:ind w:left="1980" w:hanging="420"/>
      </w:pPr>
    </w:lvl>
    <w:lvl w:ilvl="2" w:tplc="0409001B" w:tentative="1">
      <w:start w:val="1"/>
      <w:numFmt w:val="lowerRoman"/>
      <w:lvlText w:val="%3."/>
      <w:lvlJc w:val="right"/>
      <w:pPr>
        <w:ind w:left="2400" w:hanging="420"/>
      </w:pPr>
    </w:lvl>
    <w:lvl w:ilvl="3" w:tplc="0409000F" w:tentative="1">
      <w:start w:val="1"/>
      <w:numFmt w:val="decimal"/>
      <w:lvlText w:val="%4."/>
      <w:lvlJc w:val="left"/>
      <w:pPr>
        <w:ind w:left="2820" w:hanging="420"/>
      </w:pPr>
    </w:lvl>
    <w:lvl w:ilvl="4" w:tplc="04090019" w:tentative="1">
      <w:start w:val="1"/>
      <w:numFmt w:val="lowerLetter"/>
      <w:lvlText w:val="%5)"/>
      <w:lvlJc w:val="left"/>
      <w:pPr>
        <w:ind w:left="3240" w:hanging="420"/>
      </w:pPr>
    </w:lvl>
    <w:lvl w:ilvl="5" w:tplc="0409001B" w:tentative="1">
      <w:start w:val="1"/>
      <w:numFmt w:val="lowerRoman"/>
      <w:lvlText w:val="%6."/>
      <w:lvlJc w:val="right"/>
      <w:pPr>
        <w:ind w:left="3660" w:hanging="420"/>
      </w:pPr>
    </w:lvl>
    <w:lvl w:ilvl="6" w:tplc="0409000F" w:tentative="1">
      <w:start w:val="1"/>
      <w:numFmt w:val="decimal"/>
      <w:lvlText w:val="%7."/>
      <w:lvlJc w:val="left"/>
      <w:pPr>
        <w:ind w:left="4080" w:hanging="420"/>
      </w:pPr>
    </w:lvl>
    <w:lvl w:ilvl="7" w:tplc="04090019" w:tentative="1">
      <w:start w:val="1"/>
      <w:numFmt w:val="lowerLetter"/>
      <w:lvlText w:val="%8)"/>
      <w:lvlJc w:val="left"/>
      <w:pPr>
        <w:ind w:left="4500" w:hanging="420"/>
      </w:pPr>
    </w:lvl>
    <w:lvl w:ilvl="8" w:tplc="0409001B" w:tentative="1">
      <w:start w:val="1"/>
      <w:numFmt w:val="lowerRoman"/>
      <w:lvlText w:val="%9."/>
      <w:lvlJc w:val="right"/>
      <w:pPr>
        <w:ind w:left="4920" w:hanging="420"/>
      </w:pPr>
    </w:lvl>
  </w:abstractNum>
  <w:abstractNum w:abstractNumId="47">
    <w:nsid w:val="78FC319C"/>
    <w:multiLevelType w:val="hybridMultilevel"/>
    <w:tmpl w:val="EF727F54"/>
    <w:lvl w:ilvl="0" w:tplc="CB5C0E82">
      <w:start w:val="1"/>
      <w:numFmt w:val="lowerLetter"/>
      <w:lvlRestart w:val="0"/>
      <w:lvlText w:val="(%1)"/>
      <w:lvlJc w:val="left"/>
      <w:pPr>
        <w:tabs>
          <w:tab w:val="num" w:pos="2846"/>
        </w:tabs>
        <w:ind w:left="1554" w:firstLine="431"/>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8">
    <w:nsid w:val="7DA02D43"/>
    <w:multiLevelType w:val="hybridMultilevel"/>
    <w:tmpl w:val="209EC942"/>
    <w:lvl w:ilvl="0" w:tplc="C69AA0F8">
      <w:start w:val="1"/>
      <w:numFmt w:val="lowerLetter"/>
      <w:lvlRestart w:val="0"/>
      <w:lvlText w:val="(%1)"/>
      <w:lvlJc w:val="left"/>
      <w:pPr>
        <w:tabs>
          <w:tab w:val="num" w:pos="2846"/>
        </w:tabs>
        <w:ind w:left="1554" w:firstLine="431"/>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6"/>
  </w:num>
  <w:num w:numId="2">
    <w:abstractNumId w:val="40"/>
  </w:num>
  <w:num w:numId="3">
    <w:abstractNumId w:val="17"/>
  </w:num>
  <w:num w:numId="4">
    <w:abstractNumId w:val="25"/>
  </w:num>
  <w:num w:numId="5">
    <w:abstractNumId w:val="20"/>
  </w:num>
  <w:num w:numId="6">
    <w:abstractNumId w:val="37"/>
  </w:num>
  <w:num w:numId="7">
    <w:abstractNumId w:val="18"/>
  </w:num>
  <w:num w:numId="8">
    <w:abstractNumId w:val="26"/>
  </w:num>
  <w:num w:numId="9">
    <w:abstractNumId w:val="39"/>
  </w:num>
  <w:num w:numId="10">
    <w:abstractNumId w:val="30"/>
  </w:num>
  <w:num w:numId="11">
    <w:abstractNumId w:val="10"/>
  </w:num>
  <w:num w:numId="12">
    <w:abstractNumId w:val="32"/>
  </w:num>
  <w:num w:numId="13">
    <w:abstractNumId w:val="35"/>
  </w:num>
  <w:num w:numId="14">
    <w:abstractNumId w:val="27"/>
  </w:num>
  <w:num w:numId="15">
    <w:abstractNumId w:val="23"/>
  </w:num>
  <w:num w:numId="16">
    <w:abstractNumId w:val="29"/>
  </w:num>
  <w:num w:numId="17">
    <w:abstractNumId w:val="13"/>
  </w:num>
  <w:num w:numId="18">
    <w:abstractNumId w:val="33"/>
  </w:num>
  <w:num w:numId="19">
    <w:abstractNumId w:val="45"/>
  </w:num>
  <w:num w:numId="20">
    <w:abstractNumId w:val="38"/>
  </w:num>
  <w:num w:numId="21">
    <w:abstractNumId w:val="43"/>
  </w:num>
  <w:num w:numId="22">
    <w:abstractNumId w:val="31"/>
  </w:num>
  <w:num w:numId="23">
    <w:abstractNumId w:val="47"/>
  </w:num>
  <w:num w:numId="24">
    <w:abstractNumId w:val="34"/>
  </w:num>
  <w:num w:numId="25">
    <w:abstractNumId w:val="36"/>
  </w:num>
  <w:num w:numId="26">
    <w:abstractNumId w:val="21"/>
  </w:num>
  <w:num w:numId="27">
    <w:abstractNumId w:val="11"/>
  </w:num>
  <w:num w:numId="28">
    <w:abstractNumId w:val="12"/>
  </w:num>
  <w:num w:numId="29">
    <w:abstractNumId w:val="41"/>
  </w:num>
  <w:num w:numId="30">
    <w:abstractNumId w:val="22"/>
  </w:num>
  <w:num w:numId="31">
    <w:abstractNumId w:val="19"/>
  </w:num>
  <w:num w:numId="32">
    <w:abstractNumId w:val="46"/>
  </w:num>
  <w:num w:numId="33">
    <w:abstractNumId w:val="44"/>
  </w:num>
  <w:num w:numId="34">
    <w:abstractNumId w:val="24"/>
  </w:num>
  <w:num w:numId="35">
    <w:abstractNumId w:val="28"/>
  </w:num>
  <w:num w:numId="36">
    <w:abstractNumId w:val="14"/>
  </w:num>
  <w:num w:numId="37">
    <w:abstractNumId w:val="8"/>
  </w:num>
  <w:num w:numId="38">
    <w:abstractNumId w:val="3"/>
  </w:num>
  <w:num w:numId="39">
    <w:abstractNumId w:val="2"/>
  </w:num>
  <w:num w:numId="40">
    <w:abstractNumId w:val="1"/>
  </w:num>
  <w:num w:numId="41">
    <w:abstractNumId w:val="0"/>
  </w:num>
  <w:num w:numId="42">
    <w:abstractNumId w:val="9"/>
  </w:num>
  <w:num w:numId="43">
    <w:abstractNumId w:val="7"/>
  </w:num>
  <w:num w:numId="44">
    <w:abstractNumId w:val="6"/>
  </w:num>
  <w:num w:numId="45">
    <w:abstractNumId w:val="5"/>
  </w:num>
  <w:num w:numId="46">
    <w:abstractNumId w:val="4"/>
  </w:num>
  <w:num w:numId="47">
    <w:abstractNumId w:val="48"/>
  </w:num>
  <w:num w:numId="48">
    <w:abstractNumId w:val="42"/>
  </w:num>
  <w:num w:numId="49">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9"/>
  <w:bordersDoNotSurroundHeader/>
  <w:bordersDoNotSurroundFooter/>
  <w:hideSpellingErrors/>
  <w:activeWritingStyle w:appName="MSWord" w:lang="zh-CN" w:vendorID="64" w:dllVersion="131077" w:nlCheck="1" w:checkStyle="1"/>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de-DE" w:vendorID="64" w:dllVersion="131078" w:nlCheck="1" w:checkStyle="1"/>
  <w:activeWritingStyle w:appName="MSWord" w:lang="fr-FR" w:vendorID="64" w:dllVersion="131078" w:nlCheck="1" w:checkStyle="1"/>
  <w:activeWritingStyle w:appName="MSWord" w:lang="es-ES" w:vendorID="64" w:dllVersion="131078" w:nlCheck="1" w:checkStyle="1"/>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431"/>
  <w:evenAndOddHeaders/>
  <w:drawingGridHorizontalSpacing w:val="105"/>
  <w:drawingGridVerticalSpacing w:val="163"/>
  <w:displayHorizontalDrawingGridEvery w:val="0"/>
  <w:displayVerticalDrawingGridEvery w:val="2"/>
  <w:characterSpacingControl w:val="doNotCompress"/>
  <w:doNotValidateAgainstSchema/>
  <w:hdrShapeDefaults>
    <o:shapedefaults v:ext="edit" spidmax="45057"/>
  </w:hdrShapeDefaults>
  <w:footnotePr>
    <w:footnote w:id="-1"/>
    <w:footnote w:id="0"/>
    <w:footnote w:id="1"/>
  </w:footnotePr>
  <w:endnotePr>
    <w:numFmt w:val="decimal"/>
    <w:endnote w:id="-1"/>
    <w:endnote w:id="0"/>
    <w:endnote w:id="1"/>
  </w:endnotePr>
  <w:compat>
    <w:spaceForUL/>
    <w:balanceSingleByteDoubleByteWidth/>
    <w:doNotExpandShiftReturn/>
    <w:printColBlack/>
    <w:adjustLineHeightInTable/>
    <w:layoutRawTableWidth/>
    <w:doNotBreakWrappedTables/>
    <w:doNotSnapToGridInCell/>
    <w:selectFldWithFirstOrLastChar/>
    <w:growAutofi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EEC"/>
    <w:rsid w:val="000012AC"/>
    <w:rsid w:val="000056CD"/>
    <w:rsid w:val="000115F8"/>
    <w:rsid w:val="00011E9D"/>
    <w:rsid w:val="00011F3E"/>
    <w:rsid w:val="00011FCC"/>
    <w:rsid w:val="00012BE6"/>
    <w:rsid w:val="00014493"/>
    <w:rsid w:val="00015C3B"/>
    <w:rsid w:val="00016D83"/>
    <w:rsid w:val="00020A5C"/>
    <w:rsid w:val="00021745"/>
    <w:rsid w:val="000219A4"/>
    <w:rsid w:val="00023ECF"/>
    <w:rsid w:val="00027642"/>
    <w:rsid w:val="000276FC"/>
    <w:rsid w:val="00056EDE"/>
    <w:rsid w:val="00062052"/>
    <w:rsid w:val="00063C9A"/>
    <w:rsid w:val="000676F8"/>
    <w:rsid w:val="00067D61"/>
    <w:rsid w:val="00070698"/>
    <w:rsid w:val="00072523"/>
    <w:rsid w:val="000737CB"/>
    <w:rsid w:val="00074A5D"/>
    <w:rsid w:val="00080558"/>
    <w:rsid w:val="000A3B89"/>
    <w:rsid w:val="000A688F"/>
    <w:rsid w:val="000B373F"/>
    <w:rsid w:val="000B444F"/>
    <w:rsid w:val="000B7556"/>
    <w:rsid w:val="000C0AD7"/>
    <w:rsid w:val="000C689B"/>
    <w:rsid w:val="000C693C"/>
    <w:rsid w:val="000D02A1"/>
    <w:rsid w:val="000D2E59"/>
    <w:rsid w:val="000D50E8"/>
    <w:rsid w:val="000E0929"/>
    <w:rsid w:val="000E6A33"/>
    <w:rsid w:val="000E6BBE"/>
    <w:rsid w:val="000F0496"/>
    <w:rsid w:val="000F2832"/>
    <w:rsid w:val="000F2969"/>
    <w:rsid w:val="000F3044"/>
    <w:rsid w:val="000F31EE"/>
    <w:rsid w:val="000F7544"/>
    <w:rsid w:val="00101C49"/>
    <w:rsid w:val="00103498"/>
    <w:rsid w:val="001051E9"/>
    <w:rsid w:val="00107D11"/>
    <w:rsid w:val="00107D85"/>
    <w:rsid w:val="00110F4A"/>
    <w:rsid w:val="00113643"/>
    <w:rsid w:val="00120CF8"/>
    <w:rsid w:val="00121663"/>
    <w:rsid w:val="0012236B"/>
    <w:rsid w:val="00122881"/>
    <w:rsid w:val="00134D69"/>
    <w:rsid w:val="0014219B"/>
    <w:rsid w:val="0014695A"/>
    <w:rsid w:val="00147991"/>
    <w:rsid w:val="0015189F"/>
    <w:rsid w:val="001617DD"/>
    <w:rsid w:val="00161C99"/>
    <w:rsid w:val="00164873"/>
    <w:rsid w:val="001668E9"/>
    <w:rsid w:val="00170A15"/>
    <w:rsid w:val="00171262"/>
    <w:rsid w:val="00175083"/>
    <w:rsid w:val="00192F9E"/>
    <w:rsid w:val="001A5FC1"/>
    <w:rsid w:val="001A655C"/>
    <w:rsid w:val="001C4D9A"/>
    <w:rsid w:val="001C5F0C"/>
    <w:rsid w:val="001C6312"/>
    <w:rsid w:val="001D0F95"/>
    <w:rsid w:val="001D4E9E"/>
    <w:rsid w:val="001D67F0"/>
    <w:rsid w:val="001E246A"/>
    <w:rsid w:val="001E61B2"/>
    <w:rsid w:val="001E7BC1"/>
    <w:rsid w:val="001F4016"/>
    <w:rsid w:val="001F4085"/>
    <w:rsid w:val="001F524A"/>
    <w:rsid w:val="001F55C5"/>
    <w:rsid w:val="001F5B2F"/>
    <w:rsid w:val="0020075C"/>
    <w:rsid w:val="00202660"/>
    <w:rsid w:val="002107D8"/>
    <w:rsid w:val="002133DD"/>
    <w:rsid w:val="002148BD"/>
    <w:rsid w:val="00223E33"/>
    <w:rsid w:val="0022495D"/>
    <w:rsid w:val="0022574B"/>
    <w:rsid w:val="0023057B"/>
    <w:rsid w:val="00231463"/>
    <w:rsid w:val="00231E44"/>
    <w:rsid w:val="0023320D"/>
    <w:rsid w:val="002449F0"/>
    <w:rsid w:val="002458F3"/>
    <w:rsid w:val="00255402"/>
    <w:rsid w:val="00265044"/>
    <w:rsid w:val="00267AB1"/>
    <w:rsid w:val="00273C6C"/>
    <w:rsid w:val="00283E12"/>
    <w:rsid w:val="002843F9"/>
    <w:rsid w:val="0029201C"/>
    <w:rsid w:val="002923E0"/>
    <w:rsid w:val="00296C94"/>
    <w:rsid w:val="00296D61"/>
    <w:rsid w:val="002A1632"/>
    <w:rsid w:val="002A7884"/>
    <w:rsid w:val="002B22DF"/>
    <w:rsid w:val="002B6481"/>
    <w:rsid w:val="002B769F"/>
    <w:rsid w:val="002C12DF"/>
    <w:rsid w:val="002D0371"/>
    <w:rsid w:val="002D53A4"/>
    <w:rsid w:val="002E40FE"/>
    <w:rsid w:val="002E7E2A"/>
    <w:rsid w:val="002E7F50"/>
    <w:rsid w:val="002F3AFC"/>
    <w:rsid w:val="002F6260"/>
    <w:rsid w:val="003054CD"/>
    <w:rsid w:val="00311D38"/>
    <w:rsid w:val="0031389E"/>
    <w:rsid w:val="00315F6C"/>
    <w:rsid w:val="00317FB3"/>
    <w:rsid w:val="003201BF"/>
    <w:rsid w:val="00322E54"/>
    <w:rsid w:val="00324E57"/>
    <w:rsid w:val="00324F1C"/>
    <w:rsid w:val="00326795"/>
    <w:rsid w:val="00327505"/>
    <w:rsid w:val="0033276F"/>
    <w:rsid w:val="00334F8C"/>
    <w:rsid w:val="00335FAB"/>
    <w:rsid w:val="003361B6"/>
    <w:rsid w:val="00337694"/>
    <w:rsid w:val="00340368"/>
    <w:rsid w:val="003405A8"/>
    <w:rsid w:val="0034285E"/>
    <w:rsid w:val="003505B8"/>
    <w:rsid w:val="00351164"/>
    <w:rsid w:val="00351FD7"/>
    <w:rsid w:val="00362699"/>
    <w:rsid w:val="0036511D"/>
    <w:rsid w:val="00365F12"/>
    <w:rsid w:val="003772F1"/>
    <w:rsid w:val="003906C2"/>
    <w:rsid w:val="00392FA6"/>
    <w:rsid w:val="003933C0"/>
    <w:rsid w:val="00396D56"/>
    <w:rsid w:val="00396F90"/>
    <w:rsid w:val="003A15C5"/>
    <w:rsid w:val="003A3E44"/>
    <w:rsid w:val="003A711E"/>
    <w:rsid w:val="003B1119"/>
    <w:rsid w:val="003B5878"/>
    <w:rsid w:val="003C5E5B"/>
    <w:rsid w:val="003D448F"/>
    <w:rsid w:val="003D4F4F"/>
    <w:rsid w:val="003E2D9A"/>
    <w:rsid w:val="003E31C7"/>
    <w:rsid w:val="003F00C7"/>
    <w:rsid w:val="003F2ED5"/>
    <w:rsid w:val="003F3D65"/>
    <w:rsid w:val="003F7F52"/>
    <w:rsid w:val="00400D50"/>
    <w:rsid w:val="00403CEF"/>
    <w:rsid w:val="0040696F"/>
    <w:rsid w:val="00407515"/>
    <w:rsid w:val="00407FA6"/>
    <w:rsid w:val="00412567"/>
    <w:rsid w:val="0041374F"/>
    <w:rsid w:val="00421513"/>
    <w:rsid w:val="00424DA3"/>
    <w:rsid w:val="00426D1F"/>
    <w:rsid w:val="00431EB7"/>
    <w:rsid w:val="004364AE"/>
    <w:rsid w:val="00443216"/>
    <w:rsid w:val="00444966"/>
    <w:rsid w:val="00444D4E"/>
    <w:rsid w:val="00445DAC"/>
    <w:rsid w:val="00450FBE"/>
    <w:rsid w:val="00450FF3"/>
    <w:rsid w:val="00452722"/>
    <w:rsid w:val="004625DA"/>
    <w:rsid w:val="00463C13"/>
    <w:rsid w:val="00464E46"/>
    <w:rsid w:val="004704AB"/>
    <w:rsid w:val="00477F93"/>
    <w:rsid w:val="00484091"/>
    <w:rsid w:val="004847A4"/>
    <w:rsid w:val="004870D2"/>
    <w:rsid w:val="0049004C"/>
    <w:rsid w:val="00491A66"/>
    <w:rsid w:val="00492E5E"/>
    <w:rsid w:val="004A16A7"/>
    <w:rsid w:val="004A26EC"/>
    <w:rsid w:val="004A5DC8"/>
    <w:rsid w:val="004A5FDC"/>
    <w:rsid w:val="004A62DA"/>
    <w:rsid w:val="004A7908"/>
    <w:rsid w:val="004A79B9"/>
    <w:rsid w:val="004B5111"/>
    <w:rsid w:val="004C281A"/>
    <w:rsid w:val="004C2DC8"/>
    <w:rsid w:val="004C4FEB"/>
    <w:rsid w:val="004C5C77"/>
    <w:rsid w:val="004D02E7"/>
    <w:rsid w:val="004D0D36"/>
    <w:rsid w:val="004D0E06"/>
    <w:rsid w:val="004D338C"/>
    <w:rsid w:val="004D513A"/>
    <w:rsid w:val="004D5597"/>
    <w:rsid w:val="004E32A7"/>
    <w:rsid w:val="004E75A6"/>
    <w:rsid w:val="004F3A49"/>
    <w:rsid w:val="004F3EE3"/>
    <w:rsid w:val="00501254"/>
    <w:rsid w:val="00502435"/>
    <w:rsid w:val="00504474"/>
    <w:rsid w:val="00504EAE"/>
    <w:rsid w:val="005105CB"/>
    <w:rsid w:val="005157C9"/>
    <w:rsid w:val="00520FD6"/>
    <w:rsid w:val="00523D41"/>
    <w:rsid w:val="00524E8A"/>
    <w:rsid w:val="005251DA"/>
    <w:rsid w:val="00526A42"/>
    <w:rsid w:val="0053122A"/>
    <w:rsid w:val="00533155"/>
    <w:rsid w:val="00535AC4"/>
    <w:rsid w:val="00536F49"/>
    <w:rsid w:val="00543892"/>
    <w:rsid w:val="005460E2"/>
    <w:rsid w:val="0056003D"/>
    <w:rsid w:val="00560424"/>
    <w:rsid w:val="00565FA2"/>
    <w:rsid w:val="005729D0"/>
    <w:rsid w:val="00574DFE"/>
    <w:rsid w:val="00576D7B"/>
    <w:rsid w:val="005773BA"/>
    <w:rsid w:val="00586EF6"/>
    <w:rsid w:val="0058701C"/>
    <w:rsid w:val="005933F2"/>
    <w:rsid w:val="00594B9F"/>
    <w:rsid w:val="0059543A"/>
    <w:rsid w:val="005954FD"/>
    <w:rsid w:val="00596D56"/>
    <w:rsid w:val="005A0C8C"/>
    <w:rsid w:val="005A0F3D"/>
    <w:rsid w:val="005A14BC"/>
    <w:rsid w:val="005B07FA"/>
    <w:rsid w:val="005D4032"/>
    <w:rsid w:val="005D76A9"/>
    <w:rsid w:val="006026F0"/>
    <w:rsid w:val="00604315"/>
    <w:rsid w:val="006045FB"/>
    <w:rsid w:val="0060562F"/>
    <w:rsid w:val="0061499D"/>
    <w:rsid w:val="00614DD9"/>
    <w:rsid w:val="00616C66"/>
    <w:rsid w:val="006218C3"/>
    <w:rsid w:val="0062225A"/>
    <w:rsid w:val="00622360"/>
    <w:rsid w:val="00626DA9"/>
    <w:rsid w:val="00630B98"/>
    <w:rsid w:val="006317C5"/>
    <w:rsid w:val="00633880"/>
    <w:rsid w:val="00635B96"/>
    <w:rsid w:val="006368FB"/>
    <w:rsid w:val="00641A4E"/>
    <w:rsid w:val="00646EDC"/>
    <w:rsid w:val="0065211A"/>
    <w:rsid w:val="006564C7"/>
    <w:rsid w:val="00656EC0"/>
    <w:rsid w:val="006573AD"/>
    <w:rsid w:val="00661231"/>
    <w:rsid w:val="006638E4"/>
    <w:rsid w:val="006735D4"/>
    <w:rsid w:val="00674C64"/>
    <w:rsid w:val="00677FC3"/>
    <w:rsid w:val="00685199"/>
    <w:rsid w:val="006964A9"/>
    <w:rsid w:val="0069782F"/>
    <w:rsid w:val="00697DB7"/>
    <w:rsid w:val="006A3C66"/>
    <w:rsid w:val="006A4C3E"/>
    <w:rsid w:val="006B3670"/>
    <w:rsid w:val="006B3A8A"/>
    <w:rsid w:val="006B6373"/>
    <w:rsid w:val="006B69FA"/>
    <w:rsid w:val="006B70DD"/>
    <w:rsid w:val="006C1D90"/>
    <w:rsid w:val="006C26A5"/>
    <w:rsid w:val="006C724B"/>
    <w:rsid w:val="006D232A"/>
    <w:rsid w:val="006D4098"/>
    <w:rsid w:val="006D648D"/>
    <w:rsid w:val="006D7857"/>
    <w:rsid w:val="006D7863"/>
    <w:rsid w:val="006E1FD9"/>
    <w:rsid w:val="006F2FB9"/>
    <w:rsid w:val="006F3E71"/>
    <w:rsid w:val="007041AC"/>
    <w:rsid w:val="0070430B"/>
    <w:rsid w:val="0071115A"/>
    <w:rsid w:val="007119BC"/>
    <w:rsid w:val="00713BD5"/>
    <w:rsid w:val="007209BF"/>
    <w:rsid w:val="00720D87"/>
    <w:rsid w:val="00722C37"/>
    <w:rsid w:val="00724DA8"/>
    <w:rsid w:val="00724FC7"/>
    <w:rsid w:val="0072637C"/>
    <w:rsid w:val="00732ABA"/>
    <w:rsid w:val="00736FA0"/>
    <w:rsid w:val="00740573"/>
    <w:rsid w:val="00740FBC"/>
    <w:rsid w:val="00743820"/>
    <w:rsid w:val="00751A02"/>
    <w:rsid w:val="00751A1C"/>
    <w:rsid w:val="007552DD"/>
    <w:rsid w:val="0075574A"/>
    <w:rsid w:val="00755B64"/>
    <w:rsid w:val="00756819"/>
    <w:rsid w:val="00765E0D"/>
    <w:rsid w:val="00770C0C"/>
    <w:rsid w:val="007735A2"/>
    <w:rsid w:val="00781663"/>
    <w:rsid w:val="00782DB2"/>
    <w:rsid w:val="0078561F"/>
    <w:rsid w:val="007873D0"/>
    <w:rsid w:val="00790CCC"/>
    <w:rsid w:val="00796880"/>
    <w:rsid w:val="0079703B"/>
    <w:rsid w:val="00797768"/>
    <w:rsid w:val="007A55F4"/>
    <w:rsid w:val="007A56EE"/>
    <w:rsid w:val="007A78CE"/>
    <w:rsid w:val="007B0D3C"/>
    <w:rsid w:val="007B1C91"/>
    <w:rsid w:val="007B2773"/>
    <w:rsid w:val="007B4FBF"/>
    <w:rsid w:val="007B6276"/>
    <w:rsid w:val="007B670C"/>
    <w:rsid w:val="007C01DE"/>
    <w:rsid w:val="007C2AA0"/>
    <w:rsid w:val="007C36D2"/>
    <w:rsid w:val="007D6CF7"/>
    <w:rsid w:val="007D7A49"/>
    <w:rsid w:val="007E1063"/>
    <w:rsid w:val="007E10D3"/>
    <w:rsid w:val="007E41AD"/>
    <w:rsid w:val="007E75D0"/>
    <w:rsid w:val="007F012D"/>
    <w:rsid w:val="007F0135"/>
    <w:rsid w:val="0080020C"/>
    <w:rsid w:val="008022D4"/>
    <w:rsid w:val="00803BD2"/>
    <w:rsid w:val="008054E8"/>
    <w:rsid w:val="00807B0F"/>
    <w:rsid w:val="00807B36"/>
    <w:rsid w:val="0081099E"/>
    <w:rsid w:val="00813081"/>
    <w:rsid w:val="00813C5E"/>
    <w:rsid w:val="00814A1F"/>
    <w:rsid w:val="008154DC"/>
    <w:rsid w:val="00816601"/>
    <w:rsid w:val="00817868"/>
    <w:rsid w:val="00822792"/>
    <w:rsid w:val="00825306"/>
    <w:rsid w:val="00834115"/>
    <w:rsid w:val="008352B4"/>
    <w:rsid w:val="0085113D"/>
    <w:rsid w:val="00851BC5"/>
    <w:rsid w:val="00851C25"/>
    <w:rsid w:val="00851CB6"/>
    <w:rsid w:val="00852022"/>
    <w:rsid w:val="00852912"/>
    <w:rsid w:val="00861980"/>
    <w:rsid w:val="00865352"/>
    <w:rsid w:val="00874342"/>
    <w:rsid w:val="00875511"/>
    <w:rsid w:val="00875E6E"/>
    <w:rsid w:val="00876046"/>
    <w:rsid w:val="00877608"/>
    <w:rsid w:val="008835A5"/>
    <w:rsid w:val="00883F06"/>
    <w:rsid w:val="00884E25"/>
    <w:rsid w:val="00886564"/>
    <w:rsid w:val="008972C0"/>
    <w:rsid w:val="008A1A90"/>
    <w:rsid w:val="008A5061"/>
    <w:rsid w:val="008B3302"/>
    <w:rsid w:val="008B34FB"/>
    <w:rsid w:val="008B4705"/>
    <w:rsid w:val="008B4BDB"/>
    <w:rsid w:val="008B59CE"/>
    <w:rsid w:val="008B6DE6"/>
    <w:rsid w:val="008B7DD7"/>
    <w:rsid w:val="008D3F4D"/>
    <w:rsid w:val="008D49DF"/>
    <w:rsid w:val="008D5011"/>
    <w:rsid w:val="008D7906"/>
    <w:rsid w:val="008E0323"/>
    <w:rsid w:val="008E3BF4"/>
    <w:rsid w:val="008E424F"/>
    <w:rsid w:val="008E73BD"/>
    <w:rsid w:val="008F0A44"/>
    <w:rsid w:val="0090076F"/>
    <w:rsid w:val="00902E8A"/>
    <w:rsid w:val="00906D29"/>
    <w:rsid w:val="00907858"/>
    <w:rsid w:val="00910863"/>
    <w:rsid w:val="009115FA"/>
    <w:rsid w:val="00912921"/>
    <w:rsid w:val="00916402"/>
    <w:rsid w:val="00921C94"/>
    <w:rsid w:val="009255D8"/>
    <w:rsid w:val="00930677"/>
    <w:rsid w:val="00931E00"/>
    <w:rsid w:val="00934482"/>
    <w:rsid w:val="00937AA9"/>
    <w:rsid w:val="0094025C"/>
    <w:rsid w:val="00940E14"/>
    <w:rsid w:val="0094134D"/>
    <w:rsid w:val="00951C5C"/>
    <w:rsid w:val="009609DD"/>
    <w:rsid w:val="0096128E"/>
    <w:rsid w:val="0096169C"/>
    <w:rsid w:val="0096292E"/>
    <w:rsid w:val="009633AB"/>
    <w:rsid w:val="00966ED5"/>
    <w:rsid w:val="00971B6C"/>
    <w:rsid w:val="00972481"/>
    <w:rsid w:val="00974E4B"/>
    <w:rsid w:val="0097781A"/>
    <w:rsid w:val="009779A9"/>
    <w:rsid w:val="00982B42"/>
    <w:rsid w:val="00982F74"/>
    <w:rsid w:val="009857D6"/>
    <w:rsid w:val="00990B72"/>
    <w:rsid w:val="009A146A"/>
    <w:rsid w:val="009B4D71"/>
    <w:rsid w:val="009B5A10"/>
    <w:rsid w:val="009B7FB3"/>
    <w:rsid w:val="009C15B9"/>
    <w:rsid w:val="009C6C27"/>
    <w:rsid w:val="009D1EC2"/>
    <w:rsid w:val="009D4433"/>
    <w:rsid w:val="009E09F7"/>
    <w:rsid w:val="009E10B4"/>
    <w:rsid w:val="009E2C4E"/>
    <w:rsid w:val="009E4468"/>
    <w:rsid w:val="009E50B5"/>
    <w:rsid w:val="009E5DF7"/>
    <w:rsid w:val="009F4B43"/>
    <w:rsid w:val="009F7A6F"/>
    <w:rsid w:val="00A01826"/>
    <w:rsid w:val="00A04C06"/>
    <w:rsid w:val="00A1173F"/>
    <w:rsid w:val="00A15422"/>
    <w:rsid w:val="00A20BFA"/>
    <w:rsid w:val="00A22A8E"/>
    <w:rsid w:val="00A24BED"/>
    <w:rsid w:val="00A24E79"/>
    <w:rsid w:val="00A37B48"/>
    <w:rsid w:val="00A409D0"/>
    <w:rsid w:val="00A40DB9"/>
    <w:rsid w:val="00A468FA"/>
    <w:rsid w:val="00A47FDB"/>
    <w:rsid w:val="00A55C63"/>
    <w:rsid w:val="00A649A8"/>
    <w:rsid w:val="00A65023"/>
    <w:rsid w:val="00A659BC"/>
    <w:rsid w:val="00A7313D"/>
    <w:rsid w:val="00A73EB9"/>
    <w:rsid w:val="00A77784"/>
    <w:rsid w:val="00A87D76"/>
    <w:rsid w:val="00A900C7"/>
    <w:rsid w:val="00A90F9F"/>
    <w:rsid w:val="00A94E40"/>
    <w:rsid w:val="00AA1BBC"/>
    <w:rsid w:val="00AA35AB"/>
    <w:rsid w:val="00AA3675"/>
    <w:rsid w:val="00AA42BA"/>
    <w:rsid w:val="00AA49A4"/>
    <w:rsid w:val="00AB00DE"/>
    <w:rsid w:val="00AB4E43"/>
    <w:rsid w:val="00AB4FD9"/>
    <w:rsid w:val="00AB75D8"/>
    <w:rsid w:val="00AC08FE"/>
    <w:rsid w:val="00AC3C89"/>
    <w:rsid w:val="00AC70E2"/>
    <w:rsid w:val="00AD31AC"/>
    <w:rsid w:val="00AD5B44"/>
    <w:rsid w:val="00AD6B14"/>
    <w:rsid w:val="00AE6518"/>
    <w:rsid w:val="00AE6900"/>
    <w:rsid w:val="00AF34B5"/>
    <w:rsid w:val="00AF76E0"/>
    <w:rsid w:val="00B072B2"/>
    <w:rsid w:val="00B100DF"/>
    <w:rsid w:val="00B1028B"/>
    <w:rsid w:val="00B10F11"/>
    <w:rsid w:val="00B17345"/>
    <w:rsid w:val="00B23202"/>
    <w:rsid w:val="00B27F32"/>
    <w:rsid w:val="00B3723A"/>
    <w:rsid w:val="00B37E08"/>
    <w:rsid w:val="00B44972"/>
    <w:rsid w:val="00B464E0"/>
    <w:rsid w:val="00B46738"/>
    <w:rsid w:val="00B47845"/>
    <w:rsid w:val="00B53156"/>
    <w:rsid w:val="00B64E62"/>
    <w:rsid w:val="00B663AF"/>
    <w:rsid w:val="00B70A8A"/>
    <w:rsid w:val="00B75685"/>
    <w:rsid w:val="00B80FD2"/>
    <w:rsid w:val="00B81C40"/>
    <w:rsid w:val="00B95A94"/>
    <w:rsid w:val="00BA5164"/>
    <w:rsid w:val="00BA51F5"/>
    <w:rsid w:val="00BA5C19"/>
    <w:rsid w:val="00BA6448"/>
    <w:rsid w:val="00BA79EC"/>
    <w:rsid w:val="00BB0ABA"/>
    <w:rsid w:val="00BB42B2"/>
    <w:rsid w:val="00BB7948"/>
    <w:rsid w:val="00BC5AAC"/>
    <w:rsid w:val="00BC7801"/>
    <w:rsid w:val="00BE0ED1"/>
    <w:rsid w:val="00BE2670"/>
    <w:rsid w:val="00BE5069"/>
    <w:rsid w:val="00BF42B7"/>
    <w:rsid w:val="00BF75DC"/>
    <w:rsid w:val="00C01245"/>
    <w:rsid w:val="00C029B4"/>
    <w:rsid w:val="00C10484"/>
    <w:rsid w:val="00C11D90"/>
    <w:rsid w:val="00C1504E"/>
    <w:rsid w:val="00C16B71"/>
    <w:rsid w:val="00C222FC"/>
    <w:rsid w:val="00C234B1"/>
    <w:rsid w:val="00C24613"/>
    <w:rsid w:val="00C246E5"/>
    <w:rsid w:val="00C324CB"/>
    <w:rsid w:val="00C36DBE"/>
    <w:rsid w:val="00C375F8"/>
    <w:rsid w:val="00C37E00"/>
    <w:rsid w:val="00C46CB5"/>
    <w:rsid w:val="00C50EFF"/>
    <w:rsid w:val="00C51650"/>
    <w:rsid w:val="00C5201E"/>
    <w:rsid w:val="00C5676A"/>
    <w:rsid w:val="00C60ABA"/>
    <w:rsid w:val="00C64929"/>
    <w:rsid w:val="00C64E39"/>
    <w:rsid w:val="00C67483"/>
    <w:rsid w:val="00C701AC"/>
    <w:rsid w:val="00C73A42"/>
    <w:rsid w:val="00C73FCF"/>
    <w:rsid w:val="00C7733D"/>
    <w:rsid w:val="00C80274"/>
    <w:rsid w:val="00C8126A"/>
    <w:rsid w:val="00C83DAC"/>
    <w:rsid w:val="00C84FB9"/>
    <w:rsid w:val="00C87350"/>
    <w:rsid w:val="00C879A4"/>
    <w:rsid w:val="00C931E2"/>
    <w:rsid w:val="00C96146"/>
    <w:rsid w:val="00C96E69"/>
    <w:rsid w:val="00CA150C"/>
    <w:rsid w:val="00CB4913"/>
    <w:rsid w:val="00CB5EDE"/>
    <w:rsid w:val="00CB6B94"/>
    <w:rsid w:val="00CC1C57"/>
    <w:rsid w:val="00CC1F65"/>
    <w:rsid w:val="00CC2AC5"/>
    <w:rsid w:val="00CC41B4"/>
    <w:rsid w:val="00CD12D6"/>
    <w:rsid w:val="00CD5A8C"/>
    <w:rsid w:val="00CD61C6"/>
    <w:rsid w:val="00CE1485"/>
    <w:rsid w:val="00CE4A02"/>
    <w:rsid w:val="00CE5161"/>
    <w:rsid w:val="00CE517A"/>
    <w:rsid w:val="00CE64D7"/>
    <w:rsid w:val="00CF1901"/>
    <w:rsid w:val="00CF6DFC"/>
    <w:rsid w:val="00D00619"/>
    <w:rsid w:val="00D00B94"/>
    <w:rsid w:val="00D02A42"/>
    <w:rsid w:val="00D04086"/>
    <w:rsid w:val="00D111E4"/>
    <w:rsid w:val="00D17A94"/>
    <w:rsid w:val="00D20FA9"/>
    <w:rsid w:val="00D25CF9"/>
    <w:rsid w:val="00D31B00"/>
    <w:rsid w:val="00D37E46"/>
    <w:rsid w:val="00D42290"/>
    <w:rsid w:val="00D504B1"/>
    <w:rsid w:val="00D522D8"/>
    <w:rsid w:val="00D6467D"/>
    <w:rsid w:val="00D65856"/>
    <w:rsid w:val="00D72144"/>
    <w:rsid w:val="00D7405B"/>
    <w:rsid w:val="00D76177"/>
    <w:rsid w:val="00D779EA"/>
    <w:rsid w:val="00D83338"/>
    <w:rsid w:val="00D867DC"/>
    <w:rsid w:val="00D90936"/>
    <w:rsid w:val="00D9506B"/>
    <w:rsid w:val="00D95C40"/>
    <w:rsid w:val="00D97177"/>
    <w:rsid w:val="00DA0AC4"/>
    <w:rsid w:val="00DB255B"/>
    <w:rsid w:val="00DC0FA8"/>
    <w:rsid w:val="00DC1FAF"/>
    <w:rsid w:val="00DC4C6F"/>
    <w:rsid w:val="00DD2EAE"/>
    <w:rsid w:val="00DD5221"/>
    <w:rsid w:val="00DE50E6"/>
    <w:rsid w:val="00DE6A2A"/>
    <w:rsid w:val="00DF0D3C"/>
    <w:rsid w:val="00DF1F21"/>
    <w:rsid w:val="00DF5565"/>
    <w:rsid w:val="00E004EF"/>
    <w:rsid w:val="00E0288E"/>
    <w:rsid w:val="00E06517"/>
    <w:rsid w:val="00E066DF"/>
    <w:rsid w:val="00E07E70"/>
    <w:rsid w:val="00E203C9"/>
    <w:rsid w:val="00E2248A"/>
    <w:rsid w:val="00E22562"/>
    <w:rsid w:val="00E3311E"/>
    <w:rsid w:val="00E43C2A"/>
    <w:rsid w:val="00E53105"/>
    <w:rsid w:val="00E54C67"/>
    <w:rsid w:val="00E550CE"/>
    <w:rsid w:val="00E552D3"/>
    <w:rsid w:val="00E5685E"/>
    <w:rsid w:val="00E61025"/>
    <w:rsid w:val="00E6140B"/>
    <w:rsid w:val="00E70507"/>
    <w:rsid w:val="00E744EA"/>
    <w:rsid w:val="00E7671E"/>
    <w:rsid w:val="00E83B81"/>
    <w:rsid w:val="00EA034C"/>
    <w:rsid w:val="00EA60D2"/>
    <w:rsid w:val="00EB6098"/>
    <w:rsid w:val="00EC111A"/>
    <w:rsid w:val="00EC3B50"/>
    <w:rsid w:val="00EC664F"/>
    <w:rsid w:val="00EC67D4"/>
    <w:rsid w:val="00ED18FA"/>
    <w:rsid w:val="00EE0B4E"/>
    <w:rsid w:val="00EE17FF"/>
    <w:rsid w:val="00EE29E5"/>
    <w:rsid w:val="00EE2BC7"/>
    <w:rsid w:val="00EE2D97"/>
    <w:rsid w:val="00EF1045"/>
    <w:rsid w:val="00EF28B0"/>
    <w:rsid w:val="00EF44C0"/>
    <w:rsid w:val="00EF5F1A"/>
    <w:rsid w:val="00F0387B"/>
    <w:rsid w:val="00F0552F"/>
    <w:rsid w:val="00F07160"/>
    <w:rsid w:val="00F11323"/>
    <w:rsid w:val="00F20549"/>
    <w:rsid w:val="00F27032"/>
    <w:rsid w:val="00F44059"/>
    <w:rsid w:val="00F45A9D"/>
    <w:rsid w:val="00F5262E"/>
    <w:rsid w:val="00F53EEC"/>
    <w:rsid w:val="00F550C4"/>
    <w:rsid w:val="00F5514D"/>
    <w:rsid w:val="00F60202"/>
    <w:rsid w:val="00F6152C"/>
    <w:rsid w:val="00F62E5C"/>
    <w:rsid w:val="00F67E9C"/>
    <w:rsid w:val="00F709E3"/>
    <w:rsid w:val="00F70E1D"/>
    <w:rsid w:val="00F73330"/>
    <w:rsid w:val="00F7589F"/>
    <w:rsid w:val="00F80742"/>
    <w:rsid w:val="00F82240"/>
    <w:rsid w:val="00F8257F"/>
    <w:rsid w:val="00F85EE4"/>
    <w:rsid w:val="00F870B9"/>
    <w:rsid w:val="00F87DB6"/>
    <w:rsid w:val="00F922CF"/>
    <w:rsid w:val="00F92C31"/>
    <w:rsid w:val="00FA00F2"/>
    <w:rsid w:val="00FA073B"/>
    <w:rsid w:val="00FB0F65"/>
    <w:rsid w:val="00FB1226"/>
    <w:rsid w:val="00FB27A7"/>
    <w:rsid w:val="00FB479A"/>
    <w:rsid w:val="00FB5E02"/>
    <w:rsid w:val="00FB6D83"/>
    <w:rsid w:val="00FC23CE"/>
    <w:rsid w:val="00FC247B"/>
    <w:rsid w:val="00FC3EFC"/>
    <w:rsid w:val="00FC6293"/>
    <w:rsid w:val="00FC680D"/>
    <w:rsid w:val="00FD30DB"/>
    <w:rsid w:val="00FD3470"/>
    <w:rsid w:val="00FD5615"/>
    <w:rsid w:val="00FD6083"/>
    <w:rsid w:val="00FE1487"/>
    <w:rsid w:val="00FE57D9"/>
    <w:rsid w:val="00FE72C1"/>
    <w:rsid w:val="00FF0FBC"/>
    <w:rsid w:val="00FF2509"/>
    <w:rsid w:val="00FF50F2"/>
    <w:rsid w:val="00FF626F"/>
    <w:rsid w:val="00FF7E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qFormat="1"/>
    <w:lsdException w:name="annotation text" w:uiPriority="99"/>
    <w:lsdException w:name="header" w:qFormat="1"/>
    <w:lsdException w:name="footer" w:qFormat="1"/>
    <w:lsdException w:name="caption" w:semiHidden="1" w:uiPriority="35" w:unhideWhenUsed="1" w:qFormat="1"/>
    <w:lsdException w:name="footnote reference" w:qFormat="1"/>
    <w:lsdException w:name="annotation reference" w:uiPriority="99"/>
    <w:lsdException w:name="page number" w:qFormat="1"/>
    <w:lsdException w:name="endnote reference" w:qFormat="1"/>
    <w:lsdException w:name="endnote text"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tabs>
        <w:tab w:val="left" w:pos="431"/>
      </w:tabs>
      <w:overflowPunct w:val="0"/>
      <w:adjustRightInd w:val="0"/>
      <w:snapToGrid w:val="0"/>
      <w:spacing w:line="320" w:lineRule="exact"/>
      <w:jc w:val="both"/>
    </w:pPr>
    <w:rPr>
      <w:snapToGrid w:val="0"/>
      <w:sz w:val="21"/>
    </w:rPr>
  </w:style>
  <w:style w:type="paragraph" w:styleId="1">
    <w:name w:val="heading 1"/>
    <w:aliases w:val="Table_G"/>
    <w:basedOn w:val="a"/>
    <w:next w:val="a"/>
    <w:link w:val="1Char"/>
    <w:uiPriority w:val="9"/>
    <w:qFormat/>
    <w:pPr>
      <w:keepNext/>
      <w:keepLines/>
      <w:widowControl w:val="0"/>
      <w:spacing w:after="320" w:line="288" w:lineRule="auto"/>
      <w:jc w:val="center"/>
      <w:outlineLvl w:val="0"/>
    </w:pPr>
    <w:rPr>
      <w:b/>
      <w:snapToGrid/>
      <w:kern w:val="32"/>
      <w:sz w:val="30"/>
    </w:rPr>
  </w:style>
  <w:style w:type="paragraph" w:styleId="2">
    <w:name w:val="heading 2"/>
    <w:basedOn w:val="a"/>
    <w:next w:val="a"/>
    <w:link w:val="2Char"/>
    <w:uiPriority w:val="9"/>
    <w:qFormat/>
    <w:pPr>
      <w:keepNext/>
      <w:keepLines/>
      <w:widowControl w:val="0"/>
      <w:spacing w:after="320" w:line="288" w:lineRule="auto"/>
      <w:jc w:val="center"/>
      <w:outlineLvl w:val="1"/>
    </w:pPr>
    <w:rPr>
      <w:kern w:val="28"/>
      <w:sz w:val="28"/>
    </w:rPr>
  </w:style>
  <w:style w:type="paragraph" w:styleId="3">
    <w:name w:val="heading 3"/>
    <w:basedOn w:val="a"/>
    <w:next w:val="a"/>
    <w:link w:val="3Char"/>
    <w:uiPriority w:val="9"/>
    <w:qFormat/>
    <w:pPr>
      <w:keepNext/>
      <w:keepLines/>
      <w:widowControl w:val="0"/>
      <w:spacing w:after="320"/>
      <w:jc w:val="center"/>
      <w:outlineLvl w:val="2"/>
    </w:pPr>
    <w:rPr>
      <w:kern w:val="28"/>
      <w:u w:val="single"/>
    </w:rPr>
  </w:style>
  <w:style w:type="paragraph" w:styleId="4">
    <w:name w:val="heading 4"/>
    <w:basedOn w:val="a"/>
    <w:next w:val="a"/>
    <w:link w:val="4Char"/>
    <w:uiPriority w:val="9"/>
    <w:qFormat/>
    <w:pPr>
      <w:keepNext/>
      <w:keepLines/>
      <w:widowControl w:val="0"/>
      <w:spacing w:after="240"/>
      <w:outlineLvl w:val="3"/>
    </w:pPr>
    <w:rPr>
      <w:u w:val="single"/>
    </w:rPr>
  </w:style>
  <w:style w:type="paragraph" w:styleId="5">
    <w:name w:val="heading 5"/>
    <w:basedOn w:val="a"/>
    <w:next w:val="a"/>
    <w:link w:val="5Char"/>
    <w:uiPriority w:val="9"/>
    <w:qFormat/>
    <w:pPr>
      <w:spacing w:after="240"/>
      <w:outlineLvl w:val="4"/>
    </w:pPr>
    <w:rPr>
      <w:rFonts w:eastAsia="黑体"/>
      <w:bCs/>
      <w:szCs w:val="36"/>
    </w:rPr>
  </w:style>
  <w:style w:type="paragraph" w:styleId="6">
    <w:name w:val="heading 6"/>
    <w:basedOn w:val="a"/>
    <w:next w:val="a"/>
    <w:link w:val="6Char"/>
    <w:uiPriority w:val="9"/>
    <w:qFormat/>
    <w:pPr>
      <w:keepNext/>
      <w:keepLines/>
      <w:spacing w:before="240" w:after="64" w:line="320" w:lineRule="auto"/>
      <w:outlineLvl w:val="5"/>
    </w:pPr>
    <w:rPr>
      <w:rFonts w:ascii="Arial" w:eastAsia="黑体" w:hAnsi="Arial"/>
      <w:b/>
      <w:bCs/>
      <w:szCs w:val="24"/>
    </w:rPr>
  </w:style>
  <w:style w:type="paragraph" w:styleId="7">
    <w:name w:val="heading 7"/>
    <w:basedOn w:val="a"/>
    <w:next w:val="a"/>
    <w:link w:val="7Char"/>
    <w:uiPriority w:val="9"/>
    <w:qFormat/>
    <w:pPr>
      <w:keepNext/>
      <w:keepLines/>
      <w:spacing w:before="240" w:after="64" w:line="320" w:lineRule="auto"/>
      <w:outlineLvl w:val="6"/>
    </w:pPr>
    <w:rPr>
      <w:b/>
      <w:bCs/>
      <w:szCs w:val="24"/>
    </w:rPr>
  </w:style>
  <w:style w:type="paragraph" w:styleId="8">
    <w:name w:val="heading 8"/>
    <w:basedOn w:val="a"/>
    <w:next w:val="a"/>
    <w:link w:val="8Char"/>
    <w:uiPriority w:val="9"/>
    <w:qFormat/>
    <w:pPr>
      <w:keepNext/>
      <w:keepLines/>
      <w:spacing w:before="240" w:after="64" w:line="320" w:lineRule="auto"/>
      <w:outlineLvl w:val="7"/>
    </w:pPr>
    <w:rPr>
      <w:rFonts w:ascii="Arial" w:eastAsia="黑体" w:hAnsi="Arial"/>
      <w:szCs w:val="24"/>
    </w:rPr>
  </w:style>
  <w:style w:type="paragraph" w:styleId="9">
    <w:name w:val="heading 9"/>
    <w:basedOn w:val="a"/>
    <w:next w:val="a"/>
    <w:link w:val="9Char"/>
    <w:uiPriority w:val="9"/>
    <w:qFormat/>
    <w:pPr>
      <w:keepNext/>
      <w:keepLines/>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ashGC">
    <w:name w:val="_Dash_GC"/>
    <w:basedOn w:val="a"/>
    <w:qFormat/>
    <w:rsid w:val="000E6BBE"/>
    <w:pPr>
      <w:numPr>
        <w:numId w:val="3"/>
      </w:numPr>
      <w:spacing w:after="120"/>
      <w:ind w:right="1134"/>
    </w:pPr>
    <w:rPr>
      <w:lang w:val="fr-CH"/>
    </w:rPr>
  </w:style>
  <w:style w:type="paragraph" w:styleId="a3">
    <w:name w:val="macro"/>
    <w:link w:val="Char"/>
    <w:semiHidden/>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textAlignment w:val="baseline"/>
    </w:pPr>
    <w:rPr>
      <w:kern w:val="24"/>
      <w:sz w:val="24"/>
    </w:rPr>
  </w:style>
  <w:style w:type="paragraph" w:styleId="a4">
    <w:name w:val="footnote text"/>
    <w:aliases w:val="5_G,Footnote Expulsion, Char,Char,FOOTNOTES,fn,single space,footnote text,f,ft,Footnote Text 1,Footnote Text Char1,Footnote Text Char Char,Footnote Text Char Char Char,Footnote Text Char2 Char,Footnote Text Char1 Char Char,ALTS FOOTNOTE,AD,ADB"/>
    <w:basedOn w:val="a"/>
    <w:link w:val="Char1"/>
    <w:qFormat/>
    <w:rsid w:val="00396F90"/>
    <w:pPr>
      <w:keepLines/>
      <w:tabs>
        <w:tab w:val="clear" w:pos="431"/>
        <w:tab w:val="right" w:pos="1021"/>
      </w:tabs>
      <w:spacing w:after="120" w:line="240" w:lineRule="exact"/>
      <w:ind w:left="1134" w:right="1134" w:hanging="1134"/>
    </w:pPr>
    <w:rPr>
      <w:sz w:val="18"/>
    </w:rPr>
  </w:style>
  <w:style w:type="character" w:styleId="a5">
    <w:name w:val="footnote reference"/>
    <w:aliases w:val="脚注引用 Char,4_G Char,(Dipl..."/>
    <w:basedOn w:val="a0"/>
    <w:link w:val="10"/>
    <w:qFormat/>
    <w:rsid w:val="007D7A49"/>
    <w:rPr>
      <w:color w:val="0000FF"/>
      <w:sz w:val="21"/>
      <w:vertAlign w:val="superscript"/>
    </w:rPr>
  </w:style>
  <w:style w:type="paragraph" w:customStyle="1" w:styleId="a6">
    <w:name w:val="表中文字"/>
    <w:basedOn w:val="SingleTxtGC"/>
    <w:qFormat/>
    <w:rsid w:val="00966ED5"/>
    <w:pPr>
      <w:spacing w:before="40" w:line="240" w:lineRule="atLeast"/>
      <w:ind w:left="0" w:right="113"/>
    </w:pPr>
    <w:rPr>
      <w:sz w:val="18"/>
    </w:rPr>
  </w:style>
  <w:style w:type="paragraph" w:customStyle="1" w:styleId="a7">
    <w:name w:val="目录段页次"/>
    <w:basedOn w:val="a"/>
    <w:qFormat/>
    <w:rsid w:val="001E246A"/>
    <w:pPr>
      <w:widowControl w:val="0"/>
      <w:tabs>
        <w:tab w:val="clear" w:pos="431"/>
        <w:tab w:val="right" w:pos="851"/>
        <w:tab w:val="left" w:pos="1134"/>
        <w:tab w:val="left" w:pos="1565"/>
        <w:tab w:val="left" w:pos="1996"/>
        <w:tab w:val="right" w:leader="dot" w:pos="7655"/>
        <w:tab w:val="right" w:pos="8789"/>
        <w:tab w:val="right" w:pos="9554"/>
      </w:tabs>
      <w:spacing w:after="120"/>
      <w:ind w:left="1134" w:right="4253" w:hanging="1134"/>
    </w:pPr>
  </w:style>
  <w:style w:type="paragraph" w:customStyle="1" w:styleId="a8">
    <w:name w:val="目录页次"/>
    <w:basedOn w:val="a"/>
    <w:qFormat/>
    <w:rsid w:val="001E246A"/>
    <w:pPr>
      <w:widowControl w:val="0"/>
      <w:tabs>
        <w:tab w:val="clear" w:pos="431"/>
        <w:tab w:val="right" w:pos="851"/>
        <w:tab w:val="left" w:pos="1134"/>
        <w:tab w:val="left" w:pos="1565"/>
        <w:tab w:val="left" w:pos="1996"/>
        <w:tab w:val="right" w:leader="dot" w:pos="8789"/>
        <w:tab w:val="right" w:pos="9554"/>
      </w:tabs>
      <w:spacing w:after="120"/>
      <w:ind w:left="1134" w:right="3119" w:hanging="1134"/>
    </w:pPr>
  </w:style>
  <w:style w:type="paragraph" w:customStyle="1" w:styleId="a9">
    <w:name w:val="缩进正文"/>
    <w:basedOn w:val="SingleTxtGC"/>
    <w:qFormat/>
    <w:rsid w:val="006E1FD9"/>
    <w:pPr>
      <w:ind w:left="1565"/>
    </w:pPr>
  </w:style>
  <w:style w:type="paragraph" w:customStyle="1" w:styleId="SingleTxtGC">
    <w:name w:val="_ Single Txt_GC"/>
    <w:basedOn w:val="a"/>
    <w:link w:val="SingleTxtGCChar"/>
    <w:qFormat/>
    <w:rsid w:val="000B373F"/>
    <w:pPr>
      <w:tabs>
        <w:tab w:val="left" w:pos="1134"/>
        <w:tab w:val="left" w:pos="1565"/>
        <w:tab w:val="left" w:pos="1996"/>
        <w:tab w:val="left" w:pos="2427"/>
      </w:tabs>
      <w:spacing w:after="120"/>
      <w:ind w:left="1134" w:right="1134"/>
    </w:pPr>
  </w:style>
  <w:style w:type="paragraph" w:styleId="aa">
    <w:name w:val="endnote text"/>
    <w:aliases w:val="2_G"/>
    <w:basedOn w:val="a4"/>
    <w:link w:val="Char0"/>
    <w:qFormat/>
    <w:rsid w:val="00CE64D7"/>
  </w:style>
  <w:style w:type="paragraph" w:customStyle="1" w:styleId="Appelnotedebasdepage">
    <w:name w:val="Appel note de bas de page"/>
    <w:aliases w:val="Texto de nota al pie,referencia nota al pie,FZ,a Footnote Reference,a Footnote text + MetaNormal-Roman,Appel note de bas de page Char1 Char Char Char Char Char,FZ Char Char Char1 Char Char Char"/>
    <w:basedOn w:val="a"/>
    <w:rsid w:val="00790CCC"/>
    <w:pPr>
      <w:tabs>
        <w:tab w:val="clear" w:pos="431"/>
      </w:tabs>
      <w:overflowPunct/>
      <w:adjustRightInd/>
      <w:snapToGrid/>
      <w:spacing w:line="240" w:lineRule="auto"/>
      <w:jc w:val="left"/>
    </w:pPr>
    <w:rPr>
      <w:color w:val="0000FF"/>
      <w:vertAlign w:val="superscript"/>
    </w:rPr>
  </w:style>
  <w:style w:type="paragraph" w:styleId="ab">
    <w:name w:val="footer"/>
    <w:aliases w:val="3_G"/>
    <w:basedOn w:val="a"/>
    <w:link w:val="Char2"/>
    <w:qFormat/>
    <w:rsid w:val="002F3AFC"/>
    <w:pPr>
      <w:overflowPunct/>
      <w:spacing w:line="240" w:lineRule="auto"/>
      <w:jc w:val="left"/>
    </w:pPr>
    <w:rPr>
      <w:rFonts w:eastAsia="Times New Roman"/>
      <w:sz w:val="16"/>
      <w:szCs w:val="16"/>
      <w:lang w:val="en-GB" w:eastAsia="en-US"/>
    </w:rPr>
  </w:style>
  <w:style w:type="character" w:styleId="ac">
    <w:name w:val="page number"/>
    <w:aliases w:val="7_G"/>
    <w:qFormat/>
    <w:rsid w:val="002F3AFC"/>
    <w:rPr>
      <w:rFonts w:ascii="Times New Roman" w:hAnsi="Times New Roman"/>
      <w:b/>
      <w:i w:val="0"/>
      <w:snapToGrid w:val="0"/>
      <w:spacing w:val="0"/>
      <w:kern w:val="0"/>
      <w:sz w:val="18"/>
      <w14:cntxtAlts w14:val="0"/>
    </w:rPr>
  </w:style>
  <w:style w:type="paragraph" w:styleId="ad">
    <w:name w:val="header"/>
    <w:aliases w:val="6_G"/>
    <w:basedOn w:val="a"/>
    <w:link w:val="Char3"/>
    <w:qFormat/>
    <w:pPr>
      <w:pBdr>
        <w:bottom w:val="single" w:sz="4" w:space="4" w:color="auto"/>
      </w:pBdr>
      <w:tabs>
        <w:tab w:val="left" w:pos="992"/>
        <w:tab w:val="left" w:pos="5772"/>
        <w:tab w:val="left" w:pos="6634"/>
        <w:tab w:val="left" w:pos="7144"/>
        <w:tab w:val="left" w:pos="7655"/>
        <w:tab w:val="left" w:pos="8165"/>
      </w:tabs>
      <w:spacing w:line="240" w:lineRule="auto"/>
    </w:pPr>
    <w:rPr>
      <w:b/>
      <w:sz w:val="18"/>
      <w:lang w:val="en-GB" w:eastAsia="en-US"/>
    </w:rPr>
  </w:style>
  <w:style w:type="paragraph" w:customStyle="1" w:styleId="Bullet1GC">
    <w:name w:val="_Bullet 1_GC"/>
    <w:basedOn w:val="a"/>
    <w:qFormat/>
    <w:pPr>
      <w:numPr>
        <w:numId w:val="1"/>
      </w:numPr>
      <w:spacing w:after="120"/>
      <w:ind w:right="1134"/>
    </w:pPr>
  </w:style>
  <w:style w:type="paragraph" w:customStyle="1" w:styleId="Bullet2GC">
    <w:name w:val="_Bullet 2_GC"/>
    <w:basedOn w:val="a"/>
    <w:qFormat/>
    <w:rsid w:val="000E6BBE"/>
    <w:pPr>
      <w:numPr>
        <w:numId w:val="2"/>
      </w:numPr>
      <w:spacing w:after="120"/>
      <w:ind w:right="1134"/>
    </w:pPr>
  </w:style>
  <w:style w:type="paragraph" w:styleId="ae">
    <w:name w:val="Title"/>
    <w:basedOn w:val="a"/>
    <w:link w:val="Char4"/>
    <w:uiPriority w:val="10"/>
    <w:qFormat/>
    <w:rsid w:val="00080558"/>
    <w:pPr>
      <w:spacing w:before="240" w:after="60"/>
      <w:jc w:val="center"/>
      <w:outlineLvl w:val="0"/>
    </w:pPr>
    <w:rPr>
      <w:rFonts w:ascii="Arial" w:hAnsi="Arial" w:cs="Arial"/>
      <w:b/>
      <w:bCs/>
      <w:sz w:val="32"/>
      <w:szCs w:val="32"/>
    </w:rPr>
  </w:style>
  <w:style w:type="character" w:styleId="af">
    <w:name w:val="Hyperlink"/>
    <w:basedOn w:val="a0"/>
    <w:uiPriority w:val="99"/>
    <w:rPr>
      <w:color w:val="0000FF"/>
      <w:u w:val="none"/>
    </w:rPr>
  </w:style>
  <w:style w:type="character" w:styleId="af0">
    <w:name w:val="FollowedHyperlink"/>
    <w:basedOn w:val="a0"/>
    <w:uiPriority w:val="99"/>
    <w:rPr>
      <w:color w:val="800080"/>
      <w:u w:val="none"/>
    </w:rPr>
  </w:style>
  <w:style w:type="paragraph" w:customStyle="1" w:styleId="H56GC">
    <w:name w:val="_ H_5/6_GC"/>
    <w:basedOn w:val="a"/>
    <w:next w:val="SingleTxtGC"/>
    <w:qFormat/>
    <w:rsid w:val="003D4F4F"/>
    <w:pPr>
      <w:keepNext/>
      <w:keepLines/>
      <w:tabs>
        <w:tab w:val="clear" w:pos="431"/>
        <w:tab w:val="right" w:pos="851"/>
      </w:tabs>
      <w:spacing w:before="240" w:after="120"/>
      <w:ind w:left="1134" w:right="1134" w:hanging="1134"/>
      <w:outlineLvl w:val="5"/>
    </w:pPr>
  </w:style>
  <w:style w:type="paragraph" w:customStyle="1" w:styleId="H4GC">
    <w:name w:val="_ H_4_GC"/>
    <w:basedOn w:val="a"/>
    <w:next w:val="SingleTxtGC"/>
    <w:link w:val="H4GCChar"/>
    <w:qFormat/>
    <w:rsid w:val="003D4F4F"/>
    <w:pPr>
      <w:keepNext/>
      <w:keepLines/>
      <w:tabs>
        <w:tab w:val="clear" w:pos="431"/>
        <w:tab w:val="right" w:pos="851"/>
      </w:tabs>
      <w:spacing w:before="240" w:after="120"/>
      <w:ind w:left="1134" w:right="1134" w:hanging="1134"/>
      <w:outlineLvl w:val="4"/>
    </w:pPr>
    <w:rPr>
      <w:rFonts w:eastAsia="楷体_GB2312"/>
      <w:sz w:val="23"/>
    </w:rPr>
  </w:style>
  <w:style w:type="paragraph" w:customStyle="1" w:styleId="HChGC">
    <w:name w:val="_ H _Ch_GC"/>
    <w:basedOn w:val="a"/>
    <w:next w:val="SingleTxtGC"/>
    <w:link w:val="HChGCChar"/>
    <w:qFormat/>
    <w:rsid w:val="003D4F4F"/>
    <w:pPr>
      <w:keepNext/>
      <w:keepLines/>
      <w:tabs>
        <w:tab w:val="clear" w:pos="431"/>
        <w:tab w:val="right" w:pos="851"/>
      </w:tabs>
      <w:spacing w:before="360" w:after="240" w:line="400" w:lineRule="exact"/>
      <w:ind w:left="1134" w:right="1134" w:hanging="1134"/>
      <w:outlineLvl w:val="1"/>
    </w:pPr>
    <w:rPr>
      <w:rFonts w:eastAsia="黑体"/>
      <w:sz w:val="28"/>
    </w:rPr>
  </w:style>
  <w:style w:type="paragraph" w:customStyle="1" w:styleId="SLGC">
    <w:name w:val="__S_L_GC"/>
    <w:basedOn w:val="a"/>
    <w:next w:val="SingleTxtGC"/>
    <w:qFormat/>
    <w:rsid w:val="009E2C4E"/>
    <w:pPr>
      <w:keepNext/>
      <w:keepLines/>
      <w:spacing w:before="240" w:after="240" w:line="580" w:lineRule="exact"/>
      <w:ind w:left="1134" w:right="1134"/>
      <w:jc w:val="left"/>
    </w:pPr>
    <w:rPr>
      <w:rFonts w:eastAsia="黑体"/>
      <w:sz w:val="56"/>
    </w:rPr>
  </w:style>
  <w:style w:type="paragraph" w:customStyle="1" w:styleId="SMGC">
    <w:name w:val="__S_M_GC"/>
    <w:basedOn w:val="a"/>
    <w:next w:val="SingleTxtGC"/>
    <w:qFormat/>
    <w:rsid w:val="009E2C4E"/>
    <w:pPr>
      <w:keepNext/>
      <w:keepLines/>
      <w:spacing w:before="240" w:after="240" w:line="420" w:lineRule="exact"/>
      <w:ind w:left="1134" w:right="1134"/>
      <w:jc w:val="left"/>
    </w:pPr>
    <w:rPr>
      <w:rFonts w:eastAsia="黑体"/>
      <w:sz w:val="40"/>
    </w:rPr>
  </w:style>
  <w:style w:type="paragraph" w:customStyle="1" w:styleId="SSGC">
    <w:name w:val="__S_S_GC"/>
    <w:basedOn w:val="a"/>
    <w:next w:val="SingleTxtGC"/>
    <w:qFormat/>
    <w:rsid w:val="009E2C4E"/>
    <w:pPr>
      <w:keepNext/>
      <w:keepLines/>
      <w:spacing w:before="240" w:after="240" w:line="300" w:lineRule="exact"/>
      <w:ind w:left="1134" w:right="1134"/>
      <w:jc w:val="left"/>
    </w:pPr>
    <w:rPr>
      <w:rFonts w:eastAsia="黑体"/>
      <w:sz w:val="28"/>
    </w:rPr>
  </w:style>
  <w:style w:type="paragraph" w:customStyle="1" w:styleId="XLargeGC">
    <w:name w:val="__XLarge_GC"/>
    <w:basedOn w:val="a"/>
    <w:next w:val="SingleTxtGC"/>
    <w:qFormat/>
    <w:rsid w:val="009E2C4E"/>
    <w:pPr>
      <w:keepNext/>
      <w:keepLines/>
      <w:spacing w:before="240" w:after="240" w:line="420" w:lineRule="exact"/>
      <w:ind w:left="1134" w:right="1134"/>
      <w:jc w:val="left"/>
    </w:pPr>
    <w:rPr>
      <w:rFonts w:eastAsia="黑体"/>
      <w:sz w:val="40"/>
    </w:rPr>
  </w:style>
  <w:style w:type="paragraph" w:customStyle="1" w:styleId="HMGC">
    <w:name w:val="_ H __M_GC"/>
    <w:basedOn w:val="a"/>
    <w:next w:val="SingleTxtGC"/>
    <w:qFormat/>
    <w:rsid w:val="003D4F4F"/>
    <w:pPr>
      <w:keepNext/>
      <w:keepLines/>
      <w:tabs>
        <w:tab w:val="clear" w:pos="431"/>
        <w:tab w:val="right" w:pos="851"/>
      </w:tabs>
      <w:spacing w:before="240" w:after="240" w:line="440" w:lineRule="exact"/>
      <w:ind w:left="1134" w:right="1134" w:hanging="1134"/>
      <w:outlineLvl w:val="0"/>
    </w:pPr>
    <w:rPr>
      <w:rFonts w:eastAsia="黑体"/>
      <w:sz w:val="34"/>
    </w:rPr>
  </w:style>
  <w:style w:type="paragraph" w:customStyle="1" w:styleId="H1GC">
    <w:name w:val="_ H_1_GC"/>
    <w:basedOn w:val="a"/>
    <w:next w:val="SingleTxtGC"/>
    <w:link w:val="H1GCChar"/>
    <w:qFormat/>
    <w:rsid w:val="003D4F4F"/>
    <w:pPr>
      <w:keepNext/>
      <w:keepLines/>
      <w:tabs>
        <w:tab w:val="clear" w:pos="431"/>
        <w:tab w:val="right" w:pos="851"/>
      </w:tabs>
      <w:spacing w:before="360" w:after="240"/>
      <w:ind w:left="1134" w:right="1134" w:hanging="1134"/>
      <w:outlineLvl w:val="2"/>
    </w:pPr>
    <w:rPr>
      <w:rFonts w:eastAsia="黑体"/>
      <w:sz w:val="24"/>
    </w:rPr>
  </w:style>
  <w:style w:type="paragraph" w:customStyle="1" w:styleId="H23GC">
    <w:name w:val="_ H_2/3_GC"/>
    <w:basedOn w:val="a"/>
    <w:next w:val="SingleTxtGC"/>
    <w:link w:val="H23GCChar"/>
    <w:qFormat/>
    <w:rsid w:val="004F3A49"/>
    <w:pPr>
      <w:keepNext/>
      <w:keepLines/>
      <w:tabs>
        <w:tab w:val="clear" w:pos="431"/>
        <w:tab w:val="right" w:pos="851"/>
      </w:tabs>
      <w:spacing w:before="240" w:after="120"/>
      <w:ind w:left="1134" w:right="1134" w:hanging="1134"/>
      <w:outlineLvl w:val="3"/>
    </w:pPr>
    <w:rPr>
      <w:rFonts w:eastAsia="黑体"/>
      <w:sz w:val="22"/>
    </w:rPr>
  </w:style>
  <w:style w:type="paragraph" w:customStyle="1" w:styleId="af1">
    <w:name w:val="悬挂"/>
    <w:basedOn w:val="a"/>
    <w:qFormat/>
    <w:rsid w:val="002F3AFC"/>
    <w:pPr>
      <w:tabs>
        <w:tab w:val="left" w:pos="1134"/>
        <w:tab w:val="left" w:pos="1565"/>
        <w:tab w:val="left" w:pos="1996"/>
        <w:tab w:val="left" w:pos="2427"/>
      </w:tabs>
      <w:overflowPunct/>
      <w:spacing w:after="120"/>
      <w:ind w:left="1565" w:right="1134" w:hanging="431"/>
      <w:jc w:val="left"/>
    </w:pPr>
    <w:rPr>
      <w:szCs w:val="21"/>
    </w:rPr>
  </w:style>
  <w:style w:type="table" w:styleId="af2">
    <w:name w:val="Table Grid"/>
    <w:basedOn w:val="a1"/>
    <w:rsid w:val="00D7405B"/>
    <w:pPr>
      <w:tabs>
        <w:tab w:val="left" w:pos="431"/>
      </w:tabs>
      <w:overflowPunct w:val="0"/>
      <w:adjustRightInd w:val="0"/>
      <w:snapToGrid w:val="0"/>
      <w:spacing w:line="32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表中标题"/>
    <w:basedOn w:val="SingleTxtGC"/>
    <w:qFormat/>
    <w:rsid w:val="00D7405B"/>
    <w:pPr>
      <w:spacing w:before="80" w:after="80" w:line="200" w:lineRule="exact"/>
      <w:ind w:left="0" w:right="0"/>
      <w:jc w:val="left"/>
    </w:pPr>
    <w:rPr>
      <w:rFonts w:eastAsia="楷体_GB2312"/>
      <w:sz w:val="18"/>
    </w:rPr>
  </w:style>
  <w:style w:type="paragraph" w:customStyle="1" w:styleId="af4">
    <w:name w:val="表数文字"/>
    <w:basedOn w:val="SingleTxtGC"/>
    <w:qFormat/>
    <w:rsid w:val="00120CF8"/>
    <w:pPr>
      <w:spacing w:before="40" w:after="40" w:line="240" w:lineRule="atLeast"/>
      <w:ind w:left="0" w:right="113"/>
    </w:pPr>
    <w:rPr>
      <w:sz w:val="18"/>
    </w:rPr>
  </w:style>
  <w:style w:type="paragraph" w:styleId="af5">
    <w:name w:val="Balloon Text"/>
    <w:basedOn w:val="a"/>
    <w:link w:val="Char5"/>
    <w:uiPriority w:val="99"/>
    <w:rsid w:val="00324E57"/>
    <w:rPr>
      <w:sz w:val="18"/>
      <w:szCs w:val="18"/>
    </w:rPr>
  </w:style>
  <w:style w:type="character" w:customStyle="1" w:styleId="Char2">
    <w:name w:val="页脚 Char"/>
    <w:aliases w:val="3_G Char"/>
    <w:link w:val="ab"/>
    <w:rsid w:val="002F3AFC"/>
    <w:rPr>
      <w:rFonts w:eastAsia="Times New Roman"/>
      <w:snapToGrid w:val="0"/>
      <w:sz w:val="16"/>
      <w:szCs w:val="16"/>
      <w:lang w:val="en-GB" w:eastAsia="en-US"/>
    </w:rPr>
  </w:style>
  <w:style w:type="character" w:customStyle="1" w:styleId="1Char">
    <w:name w:val="标题 1 Char"/>
    <w:aliases w:val="Table_G Char"/>
    <w:link w:val="1"/>
    <w:uiPriority w:val="9"/>
    <w:rsid w:val="00103498"/>
    <w:rPr>
      <w:b/>
      <w:kern w:val="32"/>
      <w:sz w:val="30"/>
    </w:rPr>
  </w:style>
  <w:style w:type="character" w:customStyle="1" w:styleId="2Char">
    <w:name w:val="标题 2 Char"/>
    <w:link w:val="2"/>
    <w:uiPriority w:val="9"/>
    <w:rsid w:val="00103498"/>
    <w:rPr>
      <w:snapToGrid w:val="0"/>
      <w:kern w:val="28"/>
      <w:sz w:val="28"/>
    </w:rPr>
  </w:style>
  <w:style w:type="character" w:customStyle="1" w:styleId="3Char">
    <w:name w:val="标题 3 Char"/>
    <w:link w:val="3"/>
    <w:uiPriority w:val="9"/>
    <w:rsid w:val="00103498"/>
    <w:rPr>
      <w:snapToGrid w:val="0"/>
      <w:kern w:val="28"/>
      <w:sz w:val="21"/>
      <w:u w:val="single"/>
    </w:rPr>
  </w:style>
  <w:style w:type="character" w:customStyle="1" w:styleId="4Char">
    <w:name w:val="标题 4 Char"/>
    <w:link w:val="4"/>
    <w:uiPriority w:val="9"/>
    <w:rsid w:val="00103498"/>
    <w:rPr>
      <w:snapToGrid w:val="0"/>
      <w:sz w:val="21"/>
      <w:u w:val="single"/>
    </w:rPr>
  </w:style>
  <w:style w:type="character" w:customStyle="1" w:styleId="5Char">
    <w:name w:val="标题 5 Char"/>
    <w:link w:val="5"/>
    <w:uiPriority w:val="9"/>
    <w:rsid w:val="00103498"/>
    <w:rPr>
      <w:rFonts w:eastAsia="黑体"/>
      <w:bCs/>
      <w:snapToGrid w:val="0"/>
      <w:sz w:val="21"/>
      <w:szCs w:val="36"/>
    </w:rPr>
  </w:style>
  <w:style w:type="character" w:customStyle="1" w:styleId="6Char">
    <w:name w:val="标题 6 Char"/>
    <w:link w:val="6"/>
    <w:uiPriority w:val="9"/>
    <w:rsid w:val="00103498"/>
    <w:rPr>
      <w:rFonts w:ascii="Arial" w:eastAsia="黑体" w:hAnsi="Arial"/>
      <w:b/>
      <w:bCs/>
      <w:snapToGrid w:val="0"/>
      <w:sz w:val="21"/>
      <w:szCs w:val="24"/>
    </w:rPr>
  </w:style>
  <w:style w:type="character" w:customStyle="1" w:styleId="7Char">
    <w:name w:val="标题 7 Char"/>
    <w:link w:val="7"/>
    <w:uiPriority w:val="9"/>
    <w:rsid w:val="00103498"/>
    <w:rPr>
      <w:b/>
      <w:bCs/>
      <w:snapToGrid w:val="0"/>
      <w:sz w:val="21"/>
      <w:szCs w:val="24"/>
    </w:rPr>
  </w:style>
  <w:style w:type="character" w:customStyle="1" w:styleId="8Char">
    <w:name w:val="标题 8 Char"/>
    <w:link w:val="8"/>
    <w:uiPriority w:val="9"/>
    <w:rsid w:val="00103498"/>
    <w:rPr>
      <w:rFonts w:ascii="Arial" w:eastAsia="黑体" w:hAnsi="Arial"/>
      <w:snapToGrid w:val="0"/>
      <w:sz w:val="21"/>
      <w:szCs w:val="24"/>
    </w:rPr>
  </w:style>
  <w:style w:type="character" w:customStyle="1" w:styleId="9Char">
    <w:name w:val="标题 9 Char"/>
    <w:link w:val="9"/>
    <w:uiPriority w:val="9"/>
    <w:rsid w:val="00103498"/>
    <w:rPr>
      <w:rFonts w:ascii="Arial" w:eastAsia="黑体" w:hAnsi="Arial"/>
      <w:snapToGrid w:val="0"/>
      <w:sz w:val="21"/>
      <w:szCs w:val="21"/>
    </w:rPr>
  </w:style>
  <w:style w:type="character" w:customStyle="1" w:styleId="Char">
    <w:name w:val="宏文本 Char"/>
    <w:link w:val="a3"/>
    <w:semiHidden/>
    <w:rsid w:val="00103498"/>
    <w:rPr>
      <w:kern w:val="24"/>
      <w:sz w:val="24"/>
    </w:rPr>
  </w:style>
  <w:style w:type="character" w:customStyle="1" w:styleId="Char1">
    <w:name w:val="脚注文本 Char1"/>
    <w:aliases w:val="5_G Char1,Footnote Expulsion Char1, Char Char1,Char Char,FOOTNOTES Char1,fn Char1,single space Char1,footnote text Char1,f Char1,ft Char1,Footnote Text 1 Char1,Footnote Text Char1 Char1,Footnote Text Char Char Char2,ALTS FOOTNOTE Char1"/>
    <w:link w:val="a4"/>
    <w:uiPriority w:val="99"/>
    <w:rsid w:val="00103498"/>
    <w:rPr>
      <w:snapToGrid w:val="0"/>
      <w:sz w:val="18"/>
    </w:rPr>
  </w:style>
  <w:style w:type="paragraph" w:customStyle="1" w:styleId="10">
    <w:name w:val="脚注引用1"/>
    <w:aliases w:val="4_G,fr,英文脚注引用,Appel note de bas de page Char,Texto de nota al pie Char,referencia nota al pie Char,FZ Char,a Footnote Reference Char,a Footnote text + MetaNormal-Roman Char,Appel note de bas de page Char1 Char Char Char Char Char Char"/>
    <w:basedOn w:val="a"/>
    <w:link w:val="a5"/>
    <w:uiPriority w:val="99"/>
    <w:qFormat/>
    <w:rsid w:val="007D7A49"/>
    <w:pPr>
      <w:tabs>
        <w:tab w:val="clear" w:pos="431"/>
      </w:tabs>
      <w:overflowPunct/>
      <w:adjustRightInd/>
      <w:snapToGrid/>
      <w:spacing w:line="240" w:lineRule="auto"/>
      <w:jc w:val="left"/>
    </w:pPr>
    <w:rPr>
      <w:snapToGrid/>
      <w:color w:val="0000FF"/>
      <w:vertAlign w:val="superscript"/>
    </w:rPr>
  </w:style>
  <w:style w:type="character" w:customStyle="1" w:styleId="SingleTxtGCChar">
    <w:name w:val="_ Single Txt_GC Char"/>
    <w:link w:val="SingleTxtGC"/>
    <w:rsid w:val="00103498"/>
    <w:rPr>
      <w:snapToGrid w:val="0"/>
      <w:sz w:val="21"/>
    </w:rPr>
  </w:style>
  <w:style w:type="character" w:customStyle="1" w:styleId="Char0">
    <w:name w:val="尾注文本 Char"/>
    <w:aliases w:val="2_G Char"/>
    <w:link w:val="aa"/>
    <w:rsid w:val="00103498"/>
    <w:rPr>
      <w:snapToGrid w:val="0"/>
      <w:sz w:val="18"/>
    </w:rPr>
  </w:style>
  <w:style w:type="character" w:customStyle="1" w:styleId="Char3">
    <w:name w:val="页眉 Char"/>
    <w:aliases w:val="6_G Char"/>
    <w:link w:val="ad"/>
    <w:rsid w:val="00103498"/>
    <w:rPr>
      <w:b/>
      <w:snapToGrid w:val="0"/>
      <w:sz w:val="18"/>
      <w:lang w:val="en-GB" w:eastAsia="en-US"/>
    </w:rPr>
  </w:style>
  <w:style w:type="character" w:customStyle="1" w:styleId="H4GCChar">
    <w:name w:val="_ H_4_GC Char"/>
    <w:link w:val="H4GC"/>
    <w:rsid w:val="00103498"/>
    <w:rPr>
      <w:rFonts w:eastAsia="楷体_GB2312"/>
      <w:snapToGrid w:val="0"/>
      <w:sz w:val="23"/>
    </w:rPr>
  </w:style>
  <w:style w:type="character" w:customStyle="1" w:styleId="HChGCChar">
    <w:name w:val="_ H _Ch_GC Char"/>
    <w:link w:val="HChGC"/>
    <w:rsid w:val="00103498"/>
    <w:rPr>
      <w:rFonts w:eastAsia="黑体"/>
      <w:snapToGrid w:val="0"/>
      <w:sz w:val="28"/>
    </w:rPr>
  </w:style>
  <w:style w:type="character" w:customStyle="1" w:styleId="H1GCChar">
    <w:name w:val="_ H_1_GC Char"/>
    <w:link w:val="H1GC"/>
    <w:rsid w:val="00103498"/>
    <w:rPr>
      <w:rFonts w:eastAsia="黑体"/>
      <w:snapToGrid w:val="0"/>
      <w:sz w:val="24"/>
    </w:rPr>
  </w:style>
  <w:style w:type="character" w:customStyle="1" w:styleId="H23GCChar">
    <w:name w:val="_ H_2/3_GC Char"/>
    <w:link w:val="H23GC"/>
    <w:rsid w:val="00103498"/>
    <w:rPr>
      <w:rFonts w:eastAsia="黑体"/>
      <w:snapToGrid w:val="0"/>
      <w:sz w:val="22"/>
    </w:rPr>
  </w:style>
  <w:style w:type="paragraph" w:customStyle="1" w:styleId="SingleTxt">
    <w:name w:val="__Single Txt"/>
    <w:basedOn w:val="a"/>
    <w:qFormat/>
    <w:rsid w:val="00103498"/>
    <w:pPr>
      <w:tabs>
        <w:tab w:val="clear" w:pos="431"/>
        <w:tab w:val="left" w:pos="1264"/>
        <w:tab w:val="left" w:pos="1695"/>
        <w:tab w:val="left" w:pos="2126"/>
        <w:tab w:val="left" w:pos="2557"/>
        <w:tab w:val="left" w:pos="2988"/>
        <w:tab w:val="left" w:pos="3419"/>
        <w:tab w:val="left" w:pos="3850"/>
        <w:tab w:val="left" w:pos="4281"/>
        <w:tab w:val="left" w:pos="4712"/>
        <w:tab w:val="left" w:pos="5143"/>
        <w:tab w:val="left" w:pos="5574"/>
        <w:tab w:val="left" w:pos="6005"/>
        <w:tab w:val="left" w:pos="6435"/>
      </w:tabs>
      <w:overflowPunct/>
      <w:adjustRightInd/>
      <w:snapToGrid/>
      <w:spacing w:after="140"/>
      <w:ind w:left="1264" w:right="1264"/>
    </w:pPr>
    <w:rPr>
      <w:rFonts w:ascii="宋体"/>
      <w:snapToGrid/>
      <w:kern w:val="14"/>
    </w:rPr>
  </w:style>
  <w:style w:type="paragraph" w:customStyle="1" w:styleId="af6">
    <w:name w:val="目录"/>
    <w:basedOn w:val="a"/>
    <w:rsid w:val="00103498"/>
    <w:pPr>
      <w:widowControl w:val="0"/>
      <w:tabs>
        <w:tab w:val="clear" w:pos="431"/>
        <w:tab w:val="left" w:pos="510"/>
        <w:tab w:val="left" w:pos="7201"/>
        <w:tab w:val="left" w:pos="7711"/>
        <w:tab w:val="left" w:pos="8618"/>
        <w:tab w:val="right" w:pos="9356"/>
      </w:tabs>
      <w:spacing w:line="360" w:lineRule="auto"/>
      <w:jc w:val="left"/>
    </w:pPr>
    <w:rPr>
      <w:rFonts w:eastAsia="楷体_GB2312"/>
      <w:noProof/>
      <w:snapToGrid/>
      <w:sz w:val="24"/>
    </w:rPr>
  </w:style>
  <w:style w:type="paragraph" w:styleId="af7">
    <w:name w:val="Body Text"/>
    <w:basedOn w:val="a"/>
    <w:link w:val="Char6"/>
    <w:rsid w:val="00103498"/>
    <w:pPr>
      <w:tabs>
        <w:tab w:val="clear" w:pos="431"/>
      </w:tabs>
      <w:suppressAutoHyphens/>
      <w:overflowPunct/>
      <w:adjustRightInd/>
      <w:snapToGrid/>
      <w:spacing w:after="120" w:line="240" w:lineRule="auto"/>
      <w:jc w:val="left"/>
    </w:pPr>
    <w:rPr>
      <w:snapToGrid/>
      <w:sz w:val="24"/>
      <w:lang w:val="en-GB" w:eastAsia="ar-SA"/>
    </w:rPr>
  </w:style>
  <w:style w:type="character" w:customStyle="1" w:styleId="Char6">
    <w:name w:val="正文文本 Char"/>
    <w:basedOn w:val="a0"/>
    <w:link w:val="af7"/>
    <w:rsid w:val="00103498"/>
    <w:rPr>
      <w:sz w:val="24"/>
      <w:lang w:val="en-GB" w:eastAsia="ar-SA"/>
    </w:rPr>
  </w:style>
  <w:style w:type="paragraph" w:customStyle="1" w:styleId="H23G">
    <w:name w:val="_ H_2/3_G"/>
    <w:basedOn w:val="a"/>
    <w:next w:val="a"/>
    <w:link w:val="H23GChar"/>
    <w:qFormat/>
    <w:rsid w:val="00103498"/>
    <w:pPr>
      <w:keepNext/>
      <w:keepLines/>
      <w:tabs>
        <w:tab w:val="clear" w:pos="431"/>
        <w:tab w:val="right" w:pos="851"/>
      </w:tabs>
      <w:suppressAutoHyphens/>
      <w:overflowPunct/>
      <w:adjustRightInd/>
      <w:snapToGrid/>
      <w:spacing w:before="240" w:after="120" w:line="240" w:lineRule="exact"/>
      <w:ind w:left="1134" w:right="1134" w:hanging="1134"/>
      <w:jc w:val="left"/>
    </w:pPr>
    <w:rPr>
      <w:b/>
      <w:snapToGrid/>
      <w:sz w:val="20"/>
      <w:lang w:val="en-GB" w:eastAsia="en-US"/>
    </w:rPr>
  </w:style>
  <w:style w:type="character" w:customStyle="1" w:styleId="H23GChar">
    <w:name w:val="_ H_2/3_G Char"/>
    <w:link w:val="H23G"/>
    <w:rsid w:val="00103498"/>
    <w:rPr>
      <w:b/>
      <w:lang w:val="en-GB" w:eastAsia="en-US"/>
    </w:rPr>
  </w:style>
  <w:style w:type="paragraph" w:customStyle="1" w:styleId="SingleTxtG">
    <w:name w:val="_ Single Txt_G"/>
    <w:basedOn w:val="a"/>
    <w:link w:val="SingleTxtGChar"/>
    <w:qFormat/>
    <w:rsid w:val="00103498"/>
    <w:pPr>
      <w:tabs>
        <w:tab w:val="clear" w:pos="431"/>
      </w:tabs>
      <w:suppressAutoHyphens/>
      <w:overflowPunct/>
      <w:adjustRightInd/>
      <w:snapToGrid/>
      <w:spacing w:after="120" w:line="240" w:lineRule="atLeast"/>
      <w:ind w:left="1134" w:right="1134"/>
    </w:pPr>
    <w:rPr>
      <w:snapToGrid/>
      <w:sz w:val="20"/>
      <w:lang w:val="en-GB" w:eastAsia="en-US"/>
    </w:rPr>
  </w:style>
  <w:style w:type="paragraph" w:styleId="af8">
    <w:name w:val="Plain Text"/>
    <w:basedOn w:val="a"/>
    <w:link w:val="Char7"/>
    <w:rsid w:val="00103498"/>
    <w:rPr>
      <w:rFonts w:ascii="宋体" w:hAnsi="Courier New" w:cs="Courier New"/>
      <w:szCs w:val="21"/>
    </w:rPr>
  </w:style>
  <w:style w:type="character" w:customStyle="1" w:styleId="Char7">
    <w:name w:val="纯文本 Char"/>
    <w:basedOn w:val="a0"/>
    <w:link w:val="af8"/>
    <w:rsid w:val="00103498"/>
    <w:rPr>
      <w:rFonts w:ascii="宋体" w:hAnsi="Courier New" w:cs="Courier New"/>
      <w:snapToGrid w:val="0"/>
      <w:sz w:val="21"/>
      <w:szCs w:val="21"/>
    </w:rPr>
  </w:style>
  <w:style w:type="character" w:customStyle="1" w:styleId="5GChar">
    <w:name w:val="5_G Char"/>
    <w:aliases w:val="Footnote Expulsion Char, Char Char,Char Char Char,Footnote Text Char Char Char Char1,Footnote Text Char2 Char Char1"/>
    <w:rsid w:val="00103498"/>
    <w:rPr>
      <w:rFonts w:eastAsia="宋体"/>
      <w:snapToGrid w:val="0"/>
      <w:sz w:val="18"/>
      <w:lang w:val="en-US" w:eastAsia="zh-CN" w:bidi="ar-SA"/>
    </w:rPr>
  </w:style>
  <w:style w:type="paragraph" w:styleId="af9">
    <w:name w:val="annotation text"/>
    <w:basedOn w:val="a"/>
    <w:link w:val="Char8"/>
    <w:uiPriority w:val="99"/>
    <w:rsid w:val="00103498"/>
    <w:pPr>
      <w:tabs>
        <w:tab w:val="clear" w:pos="431"/>
      </w:tabs>
      <w:overflowPunct/>
      <w:adjustRightInd/>
      <w:snapToGrid/>
      <w:spacing w:line="240" w:lineRule="auto"/>
      <w:jc w:val="left"/>
    </w:pPr>
    <w:rPr>
      <w:rFonts w:ascii="Cambria" w:hAnsi="Cambria"/>
      <w:snapToGrid/>
      <w:sz w:val="20"/>
      <w:lang w:eastAsia="en-US"/>
    </w:rPr>
  </w:style>
  <w:style w:type="character" w:customStyle="1" w:styleId="Char8">
    <w:name w:val="批注文字 Char"/>
    <w:basedOn w:val="a0"/>
    <w:link w:val="af9"/>
    <w:uiPriority w:val="99"/>
    <w:rsid w:val="00103498"/>
    <w:rPr>
      <w:rFonts w:ascii="Cambria" w:hAnsi="Cambria"/>
      <w:lang w:eastAsia="en-US"/>
    </w:rPr>
  </w:style>
  <w:style w:type="character" w:customStyle="1" w:styleId="Char5">
    <w:name w:val="批注框文本 Char"/>
    <w:link w:val="af5"/>
    <w:uiPriority w:val="99"/>
    <w:rsid w:val="00103498"/>
    <w:rPr>
      <w:snapToGrid w:val="0"/>
      <w:sz w:val="18"/>
      <w:szCs w:val="18"/>
    </w:rPr>
  </w:style>
  <w:style w:type="character" w:customStyle="1" w:styleId="Char4">
    <w:name w:val="标题 Char"/>
    <w:link w:val="ae"/>
    <w:uiPriority w:val="10"/>
    <w:rsid w:val="00103498"/>
    <w:rPr>
      <w:rFonts w:ascii="Arial" w:hAnsi="Arial" w:cs="Arial"/>
      <w:b/>
      <w:bCs/>
      <w:snapToGrid w:val="0"/>
      <w:sz w:val="32"/>
      <w:szCs w:val="32"/>
    </w:rPr>
  </w:style>
  <w:style w:type="character" w:customStyle="1" w:styleId="sb8d990e2">
    <w:name w:val="sb8d990e2"/>
    <w:rsid w:val="00103498"/>
  </w:style>
  <w:style w:type="character" w:customStyle="1" w:styleId="apple-converted-space">
    <w:name w:val="apple-converted-space"/>
    <w:rsid w:val="00103498"/>
  </w:style>
  <w:style w:type="character" w:customStyle="1" w:styleId="s6b621b36">
    <w:name w:val="s6b621b36"/>
    <w:rsid w:val="00103498"/>
  </w:style>
  <w:style w:type="character" w:customStyle="1" w:styleId="5GCharChar">
    <w:name w:val="5_G Char Char"/>
    <w:rsid w:val="00103498"/>
    <w:rPr>
      <w:sz w:val="18"/>
      <w:lang w:val="en-GB" w:eastAsia="en-US" w:bidi="ar-SA"/>
    </w:rPr>
  </w:style>
  <w:style w:type="character" w:customStyle="1" w:styleId="shorttext">
    <w:name w:val="short_text"/>
    <w:basedOn w:val="a0"/>
    <w:rsid w:val="00103498"/>
  </w:style>
  <w:style w:type="paragraph" w:customStyle="1" w:styleId="afa">
    <w:name w:val="八"/>
    <w:semiHidden/>
    <w:rsid w:val="00103498"/>
    <w:pPr>
      <w:tabs>
        <w:tab w:val="left" w:pos="431"/>
        <w:tab w:val="left" w:pos="1134"/>
        <w:tab w:val="left" w:pos="1565"/>
        <w:tab w:val="left" w:pos="1996"/>
        <w:tab w:val="left" w:pos="2427"/>
      </w:tabs>
      <w:overflowPunct w:val="0"/>
      <w:adjustRightInd w:val="0"/>
      <w:snapToGrid w:val="0"/>
      <w:spacing w:after="120" w:line="320" w:lineRule="exact"/>
      <w:ind w:left="1134" w:right="1134"/>
      <w:jc w:val="both"/>
    </w:pPr>
    <w:rPr>
      <w:snapToGrid w:val="0"/>
      <w:sz w:val="21"/>
    </w:rPr>
  </w:style>
  <w:style w:type="paragraph" w:styleId="30">
    <w:name w:val="toc 3"/>
    <w:basedOn w:val="a"/>
    <w:next w:val="a"/>
    <w:autoRedefine/>
    <w:uiPriority w:val="39"/>
    <w:qFormat/>
    <w:rsid w:val="00103498"/>
    <w:pPr>
      <w:tabs>
        <w:tab w:val="clear" w:pos="431"/>
      </w:tabs>
      <w:ind w:left="840"/>
    </w:pPr>
  </w:style>
  <w:style w:type="paragraph" w:styleId="40">
    <w:name w:val="toc 4"/>
    <w:basedOn w:val="a"/>
    <w:next w:val="a"/>
    <w:autoRedefine/>
    <w:rsid w:val="00103498"/>
    <w:pPr>
      <w:tabs>
        <w:tab w:val="clear" w:pos="431"/>
      </w:tabs>
      <w:ind w:left="1260"/>
    </w:pPr>
  </w:style>
  <w:style w:type="character" w:styleId="afb">
    <w:name w:val="annotation reference"/>
    <w:uiPriority w:val="99"/>
    <w:rsid w:val="00103498"/>
    <w:rPr>
      <w:sz w:val="16"/>
      <w:szCs w:val="16"/>
    </w:rPr>
  </w:style>
  <w:style w:type="paragraph" w:customStyle="1" w:styleId="H23">
    <w:name w:val="_ H_2/3"/>
    <w:basedOn w:val="a"/>
    <w:next w:val="SingleTxt"/>
    <w:qFormat/>
    <w:rsid w:val="00103498"/>
    <w:pPr>
      <w:keepNext/>
      <w:keepLines/>
      <w:tabs>
        <w:tab w:val="clear" w:pos="431"/>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overflowPunct/>
      <w:adjustRightInd/>
      <w:snapToGrid/>
      <w:spacing w:line="240" w:lineRule="exact"/>
      <w:ind w:left="1267" w:right="1267" w:hanging="1267"/>
      <w:jc w:val="left"/>
      <w:outlineLvl w:val="1"/>
    </w:pPr>
    <w:rPr>
      <w:rFonts w:eastAsia="Times New Roman"/>
      <w:b/>
      <w:snapToGrid/>
      <w:spacing w:val="2"/>
      <w:w w:val="103"/>
      <w:kern w:val="14"/>
      <w:sz w:val="20"/>
      <w:lang w:val="en-GB" w:eastAsia="en-US"/>
    </w:rPr>
  </w:style>
  <w:style w:type="character" w:customStyle="1" w:styleId="st">
    <w:name w:val="st"/>
    <w:rsid w:val="00103498"/>
  </w:style>
  <w:style w:type="character" w:customStyle="1" w:styleId="Char9">
    <w:name w:val="脚注文本 Char"/>
    <w:aliases w:val="FOOTNOTES Char,fn Char,single space Char,footnote text Char,f Char,ft Char,Footnote Text 1 Char,Footnote Text Char1 Char,Footnote Text Char Char Char1,Footnote Text Char Char Char Char,Footnote Text Char2 Char Char,ALTS FOOTNOTE Char,ADB Char"/>
    <w:rsid w:val="00103498"/>
    <w:rPr>
      <w:rFonts w:eastAsia="宋体"/>
      <w:snapToGrid w:val="0"/>
      <w:sz w:val="18"/>
      <w:lang w:val="en-US" w:eastAsia="zh-CN" w:bidi="ar-SA"/>
    </w:rPr>
  </w:style>
  <w:style w:type="paragraph" w:customStyle="1" w:styleId="Paragraphedeliste">
    <w:name w:val="Paragraphe de liste"/>
    <w:basedOn w:val="a"/>
    <w:qFormat/>
    <w:rsid w:val="00103498"/>
    <w:pPr>
      <w:tabs>
        <w:tab w:val="clear" w:pos="431"/>
      </w:tabs>
      <w:overflowPunct/>
      <w:adjustRightInd/>
      <w:snapToGrid/>
      <w:spacing w:after="160" w:line="259" w:lineRule="auto"/>
      <w:ind w:left="720"/>
      <w:contextualSpacing/>
      <w:jc w:val="left"/>
    </w:pPr>
    <w:rPr>
      <w:rFonts w:ascii="Calibri" w:eastAsia="Calibri" w:hAnsi="Calibri"/>
      <w:snapToGrid/>
      <w:sz w:val="22"/>
      <w:szCs w:val="22"/>
      <w:lang w:val="en-GB" w:eastAsia="en-US"/>
    </w:rPr>
  </w:style>
  <w:style w:type="character" w:customStyle="1" w:styleId="atn">
    <w:name w:val="atn"/>
    <w:basedOn w:val="a0"/>
    <w:rsid w:val="00103498"/>
  </w:style>
  <w:style w:type="character" w:customStyle="1" w:styleId="hps">
    <w:name w:val="hps"/>
    <w:basedOn w:val="a0"/>
    <w:rsid w:val="00103498"/>
  </w:style>
  <w:style w:type="paragraph" w:customStyle="1" w:styleId="H1">
    <w:name w:val="_ H_1"/>
    <w:basedOn w:val="a"/>
    <w:next w:val="SingleTxt"/>
    <w:qFormat/>
    <w:rsid w:val="00103498"/>
    <w:pPr>
      <w:keepNext/>
      <w:keepLines/>
      <w:tabs>
        <w:tab w:val="clear" w:pos="431"/>
      </w:tabs>
      <w:suppressAutoHyphens/>
      <w:overflowPunct/>
      <w:adjustRightInd/>
      <w:snapToGrid/>
      <w:outlineLvl w:val="0"/>
    </w:pPr>
    <w:rPr>
      <w:rFonts w:ascii="黑体" w:eastAsia="黑体"/>
      <w:snapToGrid/>
      <w:kern w:val="14"/>
      <w:sz w:val="24"/>
    </w:rPr>
  </w:style>
  <w:style w:type="paragraph" w:customStyle="1" w:styleId="HCh">
    <w:name w:val="_ H _Ch"/>
    <w:basedOn w:val="H1"/>
    <w:next w:val="SingleTxt"/>
    <w:qFormat/>
    <w:rsid w:val="00103498"/>
    <w:pPr>
      <w:tabs>
        <w:tab w:val="left" w:pos="57"/>
      </w:tabs>
      <w:spacing w:line="400" w:lineRule="exact"/>
    </w:pPr>
    <w:rPr>
      <w:sz w:val="28"/>
    </w:rPr>
  </w:style>
  <w:style w:type="paragraph" w:styleId="afc">
    <w:name w:val="Subtitle"/>
    <w:basedOn w:val="a"/>
    <w:next w:val="a"/>
    <w:link w:val="Chara"/>
    <w:uiPriority w:val="11"/>
    <w:qFormat/>
    <w:rsid w:val="00103498"/>
    <w:pPr>
      <w:tabs>
        <w:tab w:val="clear" w:pos="431"/>
      </w:tabs>
      <w:overflowPunct/>
      <w:adjustRightInd/>
      <w:snapToGrid/>
      <w:spacing w:after="600" w:line="276" w:lineRule="auto"/>
      <w:jc w:val="left"/>
    </w:pPr>
    <w:rPr>
      <w:rFonts w:ascii="Cambria" w:hAnsi="Cambria"/>
      <w:i/>
      <w:iCs/>
      <w:snapToGrid/>
      <w:color w:val="000000"/>
      <w:spacing w:val="13"/>
      <w:sz w:val="24"/>
      <w:szCs w:val="24"/>
      <w:lang w:eastAsia="en-US"/>
    </w:rPr>
  </w:style>
  <w:style w:type="character" w:customStyle="1" w:styleId="Chara">
    <w:name w:val="副标题 Char"/>
    <w:basedOn w:val="a0"/>
    <w:link w:val="afc"/>
    <w:uiPriority w:val="11"/>
    <w:rsid w:val="00103498"/>
    <w:rPr>
      <w:rFonts w:ascii="Cambria" w:hAnsi="Cambria"/>
      <w:i/>
      <w:iCs/>
      <w:color w:val="000000"/>
      <w:spacing w:val="13"/>
      <w:sz w:val="24"/>
      <w:szCs w:val="24"/>
      <w:lang w:eastAsia="en-US"/>
    </w:rPr>
  </w:style>
  <w:style w:type="character" w:styleId="afd">
    <w:name w:val="Strong"/>
    <w:uiPriority w:val="22"/>
    <w:qFormat/>
    <w:rsid w:val="00103498"/>
    <w:rPr>
      <w:b/>
      <w:bCs/>
    </w:rPr>
  </w:style>
  <w:style w:type="character" w:styleId="afe">
    <w:name w:val="Emphasis"/>
    <w:uiPriority w:val="20"/>
    <w:qFormat/>
    <w:rsid w:val="00103498"/>
    <w:rPr>
      <w:b/>
      <w:bCs/>
      <w:i/>
      <w:iCs/>
      <w:spacing w:val="10"/>
      <w:bdr w:val="none" w:sz="0" w:space="0" w:color="auto"/>
      <w:shd w:val="clear" w:color="auto" w:fill="auto"/>
    </w:rPr>
  </w:style>
  <w:style w:type="paragraph" w:customStyle="1" w:styleId="-21">
    <w:name w:val="彩色列表 - 强调文字颜色 21"/>
    <w:basedOn w:val="a"/>
    <w:uiPriority w:val="1"/>
    <w:qFormat/>
    <w:rsid w:val="00103498"/>
    <w:pPr>
      <w:tabs>
        <w:tab w:val="clear" w:pos="431"/>
      </w:tabs>
      <w:overflowPunct/>
      <w:adjustRightInd/>
      <w:snapToGrid/>
      <w:spacing w:line="240" w:lineRule="auto"/>
      <w:jc w:val="left"/>
    </w:pPr>
    <w:rPr>
      <w:snapToGrid/>
      <w:color w:val="000000"/>
      <w:sz w:val="24"/>
      <w:szCs w:val="24"/>
      <w:lang w:eastAsia="en-US"/>
    </w:rPr>
  </w:style>
  <w:style w:type="paragraph" w:customStyle="1" w:styleId="2-41">
    <w:name w:val="中等深浅列表 2 - 强调文字颜色 41"/>
    <w:basedOn w:val="a"/>
    <w:uiPriority w:val="34"/>
    <w:qFormat/>
    <w:rsid w:val="00103498"/>
    <w:pPr>
      <w:tabs>
        <w:tab w:val="clear" w:pos="431"/>
      </w:tabs>
      <w:overflowPunct/>
      <w:adjustRightInd/>
      <w:snapToGrid/>
      <w:spacing w:after="200" w:line="276" w:lineRule="auto"/>
      <w:ind w:left="720"/>
      <w:contextualSpacing/>
      <w:jc w:val="left"/>
    </w:pPr>
    <w:rPr>
      <w:snapToGrid/>
      <w:color w:val="000000"/>
      <w:sz w:val="24"/>
      <w:szCs w:val="24"/>
      <w:lang w:eastAsia="en-US"/>
    </w:rPr>
  </w:style>
  <w:style w:type="paragraph" w:customStyle="1" w:styleId="1-41">
    <w:name w:val="中等深浅网格 1 - 强调文字颜色 41"/>
    <w:basedOn w:val="a"/>
    <w:next w:val="a"/>
    <w:link w:val="1-4Char"/>
    <w:uiPriority w:val="29"/>
    <w:qFormat/>
    <w:rsid w:val="00103498"/>
    <w:pPr>
      <w:tabs>
        <w:tab w:val="clear" w:pos="431"/>
      </w:tabs>
      <w:overflowPunct/>
      <w:adjustRightInd/>
      <w:snapToGrid/>
      <w:spacing w:before="200" w:line="276" w:lineRule="auto"/>
      <w:ind w:left="360" w:right="360"/>
      <w:jc w:val="left"/>
    </w:pPr>
    <w:rPr>
      <w:i/>
      <w:iCs/>
      <w:snapToGrid/>
      <w:color w:val="000000"/>
      <w:sz w:val="24"/>
      <w:szCs w:val="24"/>
      <w:lang w:eastAsia="en-US"/>
    </w:rPr>
  </w:style>
  <w:style w:type="character" w:customStyle="1" w:styleId="1-4Char">
    <w:name w:val="中等深浅网格 1 - 强调文字颜色 4 Char"/>
    <w:link w:val="1-41"/>
    <w:uiPriority w:val="29"/>
    <w:rsid w:val="00103498"/>
    <w:rPr>
      <w:i/>
      <w:iCs/>
      <w:color w:val="000000"/>
      <w:sz w:val="24"/>
      <w:szCs w:val="24"/>
      <w:lang w:eastAsia="en-US"/>
    </w:rPr>
  </w:style>
  <w:style w:type="paragraph" w:customStyle="1" w:styleId="2-410">
    <w:name w:val="中等深浅网格 2 - 强调文字颜色 41"/>
    <w:basedOn w:val="a"/>
    <w:next w:val="a"/>
    <w:link w:val="2-4Char"/>
    <w:uiPriority w:val="30"/>
    <w:qFormat/>
    <w:rsid w:val="00103498"/>
    <w:pPr>
      <w:pBdr>
        <w:bottom w:val="single" w:sz="4" w:space="1" w:color="auto"/>
      </w:pBdr>
      <w:tabs>
        <w:tab w:val="clear" w:pos="431"/>
      </w:tabs>
      <w:overflowPunct/>
      <w:adjustRightInd/>
      <w:snapToGrid/>
      <w:spacing w:before="200" w:after="280" w:line="276" w:lineRule="auto"/>
      <w:ind w:left="1008" w:right="1152"/>
    </w:pPr>
    <w:rPr>
      <w:b/>
      <w:bCs/>
      <w:i/>
      <w:iCs/>
      <w:snapToGrid/>
      <w:color w:val="000000"/>
      <w:sz w:val="24"/>
      <w:szCs w:val="24"/>
      <w:lang w:eastAsia="en-US"/>
    </w:rPr>
  </w:style>
  <w:style w:type="character" w:customStyle="1" w:styleId="2-4Char">
    <w:name w:val="中等深浅网格 2 - 强调文字颜色 4 Char"/>
    <w:link w:val="2-410"/>
    <w:uiPriority w:val="30"/>
    <w:rsid w:val="00103498"/>
    <w:rPr>
      <w:b/>
      <w:bCs/>
      <w:i/>
      <w:iCs/>
      <w:color w:val="000000"/>
      <w:sz w:val="24"/>
      <w:szCs w:val="24"/>
      <w:lang w:eastAsia="en-US"/>
    </w:rPr>
  </w:style>
  <w:style w:type="character" w:customStyle="1" w:styleId="11">
    <w:name w:val="不明显强调1"/>
    <w:uiPriority w:val="19"/>
    <w:qFormat/>
    <w:rsid w:val="00103498"/>
    <w:rPr>
      <w:i/>
      <w:iCs/>
    </w:rPr>
  </w:style>
  <w:style w:type="character" w:customStyle="1" w:styleId="12">
    <w:name w:val="明显强调1"/>
    <w:uiPriority w:val="21"/>
    <w:qFormat/>
    <w:rsid w:val="00103498"/>
    <w:rPr>
      <w:b/>
      <w:bCs/>
    </w:rPr>
  </w:style>
  <w:style w:type="character" w:customStyle="1" w:styleId="13">
    <w:name w:val="不明显参考1"/>
    <w:uiPriority w:val="31"/>
    <w:qFormat/>
    <w:rsid w:val="00103498"/>
    <w:rPr>
      <w:smallCaps/>
    </w:rPr>
  </w:style>
  <w:style w:type="character" w:customStyle="1" w:styleId="14">
    <w:name w:val="明显参考1"/>
    <w:uiPriority w:val="32"/>
    <w:qFormat/>
    <w:rsid w:val="00103498"/>
    <w:rPr>
      <w:smallCaps/>
      <w:spacing w:val="5"/>
      <w:u w:val="single"/>
    </w:rPr>
  </w:style>
  <w:style w:type="character" w:customStyle="1" w:styleId="15">
    <w:name w:val="书籍标题1"/>
    <w:uiPriority w:val="33"/>
    <w:qFormat/>
    <w:rsid w:val="00103498"/>
    <w:rPr>
      <w:i/>
      <w:iCs/>
      <w:smallCaps/>
      <w:spacing w:val="5"/>
    </w:rPr>
  </w:style>
  <w:style w:type="paragraph" w:customStyle="1" w:styleId="TOC1">
    <w:name w:val="TOC 标题1"/>
    <w:basedOn w:val="1"/>
    <w:next w:val="a"/>
    <w:uiPriority w:val="39"/>
    <w:unhideWhenUsed/>
    <w:qFormat/>
    <w:rsid w:val="00103498"/>
    <w:pPr>
      <w:keepNext w:val="0"/>
      <w:keepLines w:val="0"/>
      <w:widowControl/>
      <w:tabs>
        <w:tab w:val="clear" w:pos="431"/>
      </w:tabs>
      <w:overflowPunct/>
      <w:adjustRightInd/>
      <w:snapToGrid/>
      <w:spacing w:before="480" w:after="200" w:line="276" w:lineRule="auto"/>
      <w:contextualSpacing/>
      <w:jc w:val="left"/>
      <w:outlineLvl w:val="9"/>
    </w:pPr>
    <w:rPr>
      <w:rFonts w:ascii="Cambria" w:hAnsi="Cambria"/>
      <w:bCs/>
      <w:snapToGrid w:val="0"/>
      <w:color w:val="000000"/>
      <w:kern w:val="0"/>
      <w:sz w:val="28"/>
      <w:szCs w:val="28"/>
      <w:lang w:eastAsia="en-US" w:bidi="en-US"/>
    </w:rPr>
  </w:style>
  <w:style w:type="character" w:customStyle="1" w:styleId="breadcrumb">
    <w:name w:val="breadcrumb"/>
    <w:rsid w:val="00103498"/>
  </w:style>
  <w:style w:type="paragraph" w:styleId="aff">
    <w:name w:val="annotation subject"/>
    <w:basedOn w:val="af9"/>
    <w:next w:val="af9"/>
    <w:link w:val="Charb"/>
    <w:unhideWhenUsed/>
    <w:rsid w:val="00103498"/>
    <w:pPr>
      <w:spacing w:after="200"/>
    </w:pPr>
    <w:rPr>
      <w:rFonts w:ascii="Calibri" w:eastAsia="Calibri" w:hAnsi="Calibri" w:cs="Arial"/>
      <w:b/>
      <w:bCs/>
      <w:szCs w:val="24"/>
    </w:rPr>
  </w:style>
  <w:style w:type="character" w:customStyle="1" w:styleId="Charb">
    <w:name w:val="批注主题 Char"/>
    <w:basedOn w:val="Char8"/>
    <w:link w:val="aff"/>
    <w:rsid w:val="00103498"/>
    <w:rPr>
      <w:rFonts w:ascii="Calibri" w:eastAsia="Calibri" w:hAnsi="Calibri" w:cs="Arial"/>
      <w:b/>
      <w:bCs/>
      <w:szCs w:val="24"/>
      <w:lang w:eastAsia="en-US"/>
    </w:rPr>
  </w:style>
  <w:style w:type="paragraph" w:styleId="aff0">
    <w:name w:val="Normal (Web)"/>
    <w:basedOn w:val="a"/>
    <w:uiPriority w:val="99"/>
    <w:rsid w:val="00103498"/>
    <w:pPr>
      <w:tabs>
        <w:tab w:val="clear" w:pos="431"/>
      </w:tabs>
      <w:overflowPunct/>
      <w:adjustRightInd/>
      <w:snapToGrid/>
      <w:spacing w:beforeLines="1" w:afterLines="1" w:line="240" w:lineRule="auto"/>
      <w:jc w:val="left"/>
    </w:pPr>
    <w:rPr>
      <w:rFonts w:ascii="Times" w:hAnsi="Times"/>
      <w:snapToGrid/>
      <w:sz w:val="20"/>
      <w:szCs w:val="24"/>
      <w:lang w:eastAsia="ja-JP"/>
    </w:rPr>
  </w:style>
  <w:style w:type="paragraph" w:customStyle="1" w:styleId="style3style3style3">
    <w:name w:val="style3 style3 style3"/>
    <w:basedOn w:val="a"/>
    <w:rsid w:val="00103498"/>
    <w:pPr>
      <w:tabs>
        <w:tab w:val="clear" w:pos="431"/>
      </w:tabs>
      <w:overflowPunct/>
      <w:adjustRightInd/>
      <w:snapToGrid/>
      <w:spacing w:beforeLines="1" w:afterLines="1" w:line="240" w:lineRule="auto"/>
      <w:jc w:val="left"/>
    </w:pPr>
    <w:rPr>
      <w:rFonts w:ascii="Times" w:hAnsi="Times" w:cs="Arial"/>
      <w:snapToGrid/>
      <w:sz w:val="20"/>
      <w:szCs w:val="24"/>
      <w:lang w:eastAsia="ja-JP"/>
    </w:rPr>
  </w:style>
  <w:style w:type="character" w:customStyle="1" w:styleId="highlight">
    <w:name w:val="highlight"/>
    <w:rsid w:val="00103498"/>
  </w:style>
  <w:style w:type="character" w:customStyle="1" w:styleId="additionalfieldscustomsecondarytext">
    <w:name w:val="additionalfields customsecondarytext"/>
    <w:rsid w:val="00103498"/>
  </w:style>
  <w:style w:type="paragraph" w:customStyle="1" w:styleId="HChG">
    <w:name w:val="_ H _Ch_G"/>
    <w:basedOn w:val="a"/>
    <w:next w:val="a"/>
    <w:qFormat/>
    <w:rsid w:val="00103498"/>
    <w:pPr>
      <w:keepNext/>
      <w:keepLines/>
      <w:tabs>
        <w:tab w:val="clear" w:pos="431"/>
        <w:tab w:val="right" w:pos="851"/>
      </w:tabs>
      <w:suppressAutoHyphens/>
      <w:overflowPunct/>
      <w:adjustRightInd/>
      <w:snapToGrid/>
      <w:spacing w:before="360" w:after="240" w:line="300" w:lineRule="exact"/>
      <w:ind w:left="1134" w:right="1134" w:hanging="1134"/>
      <w:jc w:val="left"/>
    </w:pPr>
    <w:rPr>
      <w:b/>
      <w:snapToGrid/>
      <w:sz w:val="28"/>
      <w:szCs w:val="24"/>
      <w:lang w:val="en-GB" w:eastAsia="ja-JP"/>
    </w:rPr>
  </w:style>
  <w:style w:type="character" w:customStyle="1" w:styleId="il">
    <w:name w:val="il"/>
    <w:rsid w:val="00103498"/>
  </w:style>
  <w:style w:type="paragraph" w:styleId="16">
    <w:name w:val="toc 1"/>
    <w:basedOn w:val="a"/>
    <w:next w:val="a"/>
    <w:autoRedefine/>
    <w:uiPriority w:val="39"/>
    <w:unhideWhenUsed/>
    <w:qFormat/>
    <w:rsid w:val="00103498"/>
    <w:pPr>
      <w:tabs>
        <w:tab w:val="clear" w:pos="431"/>
      </w:tabs>
      <w:overflowPunct/>
      <w:adjustRightInd/>
      <w:snapToGrid/>
      <w:spacing w:before="120" w:line="240" w:lineRule="auto"/>
      <w:jc w:val="left"/>
    </w:pPr>
    <w:rPr>
      <w:rFonts w:eastAsia="MS Mincho"/>
      <w:b/>
      <w:snapToGrid/>
      <w:sz w:val="24"/>
      <w:szCs w:val="24"/>
      <w:lang w:eastAsia="en-US"/>
    </w:rPr>
  </w:style>
  <w:style w:type="paragraph" w:styleId="20">
    <w:name w:val="toc 2"/>
    <w:basedOn w:val="a"/>
    <w:next w:val="a"/>
    <w:autoRedefine/>
    <w:uiPriority w:val="39"/>
    <w:unhideWhenUsed/>
    <w:qFormat/>
    <w:rsid w:val="00103498"/>
    <w:pPr>
      <w:tabs>
        <w:tab w:val="clear" w:pos="431"/>
      </w:tabs>
      <w:overflowPunct/>
      <w:adjustRightInd/>
      <w:snapToGrid/>
      <w:spacing w:line="240" w:lineRule="auto"/>
      <w:ind w:left="240"/>
      <w:jc w:val="left"/>
    </w:pPr>
    <w:rPr>
      <w:rFonts w:ascii="Calibri" w:eastAsia="MS Mincho" w:hAnsi="Calibri"/>
      <w:b/>
      <w:snapToGrid/>
      <w:sz w:val="22"/>
      <w:szCs w:val="22"/>
      <w:lang w:eastAsia="en-US"/>
    </w:rPr>
  </w:style>
  <w:style w:type="paragraph" w:customStyle="1" w:styleId="XLarge">
    <w:name w:val="XLarge"/>
    <w:basedOn w:val="a"/>
    <w:rsid w:val="00103498"/>
    <w:pPr>
      <w:keepNext/>
      <w:keepLines/>
      <w:tabs>
        <w:tab w:val="clear" w:pos="431"/>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overflowPunct/>
      <w:adjustRightInd/>
      <w:snapToGrid/>
      <w:spacing w:line="390" w:lineRule="exact"/>
      <w:jc w:val="left"/>
      <w:outlineLvl w:val="0"/>
    </w:pPr>
    <w:rPr>
      <w:b/>
      <w:snapToGrid/>
      <w:spacing w:val="-4"/>
      <w:w w:val="98"/>
      <w:kern w:val="14"/>
      <w:sz w:val="40"/>
      <w:szCs w:val="24"/>
      <w:lang w:val="en-GB" w:eastAsia="en-US"/>
    </w:rPr>
  </w:style>
  <w:style w:type="paragraph" w:customStyle="1" w:styleId="H1G">
    <w:name w:val="_ H_1_G"/>
    <w:basedOn w:val="a"/>
    <w:next w:val="a"/>
    <w:qFormat/>
    <w:rsid w:val="00103498"/>
    <w:pPr>
      <w:keepNext/>
      <w:keepLines/>
      <w:tabs>
        <w:tab w:val="clear" w:pos="431"/>
        <w:tab w:val="right" w:pos="851"/>
      </w:tabs>
      <w:suppressAutoHyphens/>
      <w:overflowPunct/>
      <w:adjustRightInd/>
      <w:snapToGrid/>
      <w:spacing w:before="360" w:after="240" w:line="270" w:lineRule="exact"/>
      <w:ind w:left="1134" w:right="1134" w:hanging="1134"/>
      <w:jc w:val="left"/>
    </w:pPr>
    <w:rPr>
      <w:b/>
      <w:snapToGrid/>
      <w:sz w:val="24"/>
      <w:lang w:val="en-GB" w:eastAsia="en-US"/>
    </w:rPr>
  </w:style>
  <w:style w:type="paragraph" w:customStyle="1" w:styleId="Sponsors">
    <w:name w:val="Sponsors 提案国"/>
    <w:basedOn w:val="H23"/>
    <w:qFormat/>
    <w:rsid w:val="00103498"/>
    <w:pPr>
      <w:keepNext w:val="0"/>
      <w:keepLines w:val="0"/>
      <w:tabs>
        <w:tab w:val="clear" w:pos="1022"/>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pos="1021"/>
        <w:tab w:val="left" w:pos="1264"/>
        <w:tab w:val="left" w:pos="1695"/>
        <w:tab w:val="left" w:pos="2126"/>
        <w:tab w:val="left" w:pos="2557"/>
      </w:tabs>
      <w:suppressAutoHyphens w:val="0"/>
      <w:ind w:left="1264" w:right="1264" w:hanging="1264"/>
      <w:jc w:val="both"/>
    </w:pPr>
    <w:rPr>
      <w:rFonts w:ascii="黑体" w:eastAsia="黑体"/>
      <w:b w:val="0"/>
      <w:w w:val="100"/>
      <w:sz w:val="21"/>
      <w:lang w:val="en-US" w:eastAsia="zh-CN"/>
    </w:rPr>
  </w:style>
  <w:style w:type="character" w:customStyle="1" w:styleId="CharChar2">
    <w:name w:val="Char Char2"/>
    <w:rsid w:val="00103498"/>
    <w:rPr>
      <w:lang w:val="en-GB"/>
    </w:rPr>
  </w:style>
  <w:style w:type="character" w:customStyle="1" w:styleId="preferred">
    <w:name w:val="preferred"/>
    <w:rsid w:val="00103498"/>
  </w:style>
  <w:style w:type="character" w:customStyle="1" w:styleId="zh">
    <w:name w:val="zh"/>
    <w:rsid w:val="00103498"/>
  </w:style>
  <w:style w:type="paragraph" w:styleId="aff1">
    <w:name w:val="Document Map"/>
    <w:basedOn w:val="a"/>
    <w:link w:val="Charc"/>
    <w:rsid w:val="00103498"/>
    <w:pPr>
      <w:spacing w:line="240" w:lineRule="auto"/>
    </w:pPr>
    <w:rPr>
      <w:rFonts w:ascii="Lucida Grande" w:hAnsi="Lucida Grande" w:cs="Lucida Grande"/>
      <w:sz w:val="24"/>
      <w:szCs w:val="24"/>
    </w:rPr>
  </w:style>
  <w:style w:type="character" w:customStyle="1" w:styleId="Charc">
    <w:name w:val="文档结构图 Char"/>
    <w:basedOn w:val="a0"/>
    <w:link w:val="aff1"/>
    <w:rsid w:val="00103498"/>
    <w:rPr>
      <w:rFonts w:ascii="Lucida Grande" w:hAnsi="Lucida Grande" w:cs="Lucida Grande"/>
      <w:snapToGrid w:val="0"/>
      <w:sz w:val="24"/>
      <w:szCs w:val="24"/>
    </w:rPr>
  </w:style>
  <w:style w:type="paragraph" w:styleId="HTML">
    <w:name w:val="HTML Preformatted"/>
    <w:basedOn w:val="a"/>
    <w:link w:val="HTMLChar"/>
    <w:uiPriority w:val="99"/>
    <w:unhideWhenUsed/>
    <w:rsid w:val="00103498"/>
    <w:pPr>
      <w:tabs>
        <w:tab w:val="clear" w:pos="43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napToGrid/>
      <w:spacing w:line="240" w:lineRule="auto"/>
      <w:jc w:val="left"/>
    </w:pPr>
    <w:rPr>
      <w:rFonts w:ascii="Courier New" w:eastAsia="Times New Roman" w:hAnsi="Courier New" w:cs="Courier New"/>
      <w:snapToGrid/>
      <w:sz w:val="20"/>
    </w:rPr>
  </w:style>
  <w:style w:type="character" w:customStyle="1" w:styleId="HTMLChar">
    <w:name w:val="HTML 预设格式 Char"/>
    <w:basedOn w:val="a0"/>
    <w:link w:val="HTML"/>
    <w:uiPriority w:val="99"/>
    <w:rsid w:val="00103498"/>
    <w:rPr>
      <w:rFonts w:ascii="Courier New" w:eastAsia="Times New Roman" w:hAnsi="Courier New" w:cs="Courier New"/>
    </w:rPr>
  </w:style>
  <w:style w:type="paragraph" w:customStyle="1" w:styleId="SmallX">
    <w:name w:val="SmallX"/>
    <w:basedOn w:val="a"/>
    <w:next w:val="a"/>
    <w:rsid w:val="00103498"/>
    <w:pPr>
      <w:tabs>
        <w:tab w:val="clear" w:pos="431"/>
        <w:tab w:val="right" w:pos="9965"/>
      </w:tabs>
      <w:overflowPunct/>
      <w:adjustRightInd/>
      <w:snapToGrid/>
      <w:spacing w:line="180" w:lineRule="exact"/>
      <w:jc w:val="right"/>
    </w:pPr>
    <w:rPr>
      <w:noProof/>
      <w:snapToGrid/>
      <w:spacing w:val="6"/>
      <w:w w:val="106"/>
      <w:kern w:val="14"/>
      <w:sz w:val="14"/>
    </w:rPr>
  </w:style>
  <w:style w:type="paragraph" w:customStyle="1" w:styleId="SS">
    <w:name w:val="__S_S"/>
    <w:basedOn w:val="a"/>
    <w:next w:val="a"/>
    <w:qFormat/>
    <w:rsid w:val="00103498"/>
    <w:pPr>
      <w:keepNext/>
      <w:keepLines/>
      <w:tabs>
        <w:tab w:val="clear" w:pos="431"/>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overflowPunct/>
      <w:adjustRightInd/>
      <w:snapToGrid/>
      <w:spacing w:line="300" w:lineRule="exact"/>
      <w:ind w:left="1267" w:right="1267"/>
      <w:jc w:val="left"/>
      <w:outlineLvl w:val="0"/>
    </w:pPr>
    <w:rPr>
      <w:b/>
      <w:snapToGrid/>
      <w:spacing w:val="-2"/>
      <w:w w:val="103"/>
      <w:kern w:val="14"/>
      <w:sz w:val="28"/>
      <w:lang w:val="en-GB"/>
    </w:rPr>
  </w:style>
  <w:style w:type="paragraph" w:customStyle="1" w:styleId="SM">
    <w:name w:val="__S_M"/>
    <w:basedOn w:val="a"/>
    <w:next w:val="a"/>
    <w:qFormat/>
    <w:rsid w:val="00103498"/>
    <w:pPr>
      <w:keepNext/>
      <w:keepLines/>
      <w:tabs>
        <w:tab w:val="clear" w:pos="431"/>
        <w:tab w:val="right" w:leader="dot" w:pos="360"/>
      </w:tabs>
      <w:suppressAutoHyphens/>
      <w:overflowPunct/>
      <w:adjustRightInd/>
      <w:snapToGrid/>
      <w:spacing w:line="390" w:lineRule="exact"/>
      <w:ind w:left="1267" w:right="1267"/>
      <w:jc w:val="left"/>
      <w:outlineLvl w:val="0"/>
    </w:pPr>
    <w:rPr>
      <w:b/>
      <w:snapToGrid/>
      <w:spacing w:val="-4"/>
      <w:w w:val="98"/>
      <w:kern w:val="14"/>
      <w:sz w:val="40"/>
      <w:lang w:val="en-GB"/>
    </w:rPr>
  </w:style>
  <w:style w:type="character" w:customStyle="1" w:styleId="SingleTxtGChar">
    <w:name w:val="_ Single Txt_G Char"/>
    <w:link w:val="SingleTxtG"/>
    <w:rsid w:val="00103498"/>
    <w:rPr>
      <w:lang w:val="en-GB" w:eastAsia="en-US"/>
    </w:rPr>
  </w:style>
  <w:style w:type="paragraph" w:styleId="aff2">
    <w:name w:val="List Paragraph"/>
    <w:basedOn w:val="a"/>
    <w:uiPriority w:val="34"/>
    <w:qFormat/>
    <w:rsid w:val="00103498"/>
    <w:pPr>
      <w:tabs>
        <w:tab w:val="clear" w:pos="431"/>
      </w:tabs>
      <w:overflowPunct/>
      <w:adjustRightInd/>
      <w:snapToGrid/>
      <w:spacing w:after="160" w:line="259" w:lineRule="auto"/>
      <w:ind w:left="720"/>
      <w:contextualSpacing/>
      <w:jc w:val="left"/>
    </w:pPr>
    <w:rPr>
      <w:rFonts w:cs="Arial"/>
      <w:snapToGrid/>
      <w:sz w:val="24"/>
      <w:szCs w:val="22"/>
      <w:lang w:val="en-GB" w:eastAsia="en-US"/>
    </w:rPr>
  </w:style>
  <w:style w:type="character" w:customStyle="1" w:styleId="admitted">
    <w:name w:val="admitted"/>
    <w:rsid w:val="00103498"/>
  </w:style>
  <w:style w:type="paragraph" w:customStyle="1" w:styleId="SLG">
    <w:name w:val="__S_L_G"/>
    <w:basedOn w:val="a"/>
    <w:next w:val="a"/>
    <w:rsid w:val="00103498"/>
    <w:pPr>
      <w:keepNext/>
      <w:keepLines/>
      <w:tabs>
        <w:tab w:val="clear" w:pos="431"/>
      </w:tabs>
      <w:suppressAutoHyphens/>
      <w:overflowPunct/>
      <w:adjustRightInd/>
      <w:snapToGrid/>
      <w:spacing w:before="240" w:after="240" w:line="580" w:lineRule="exact"/>
      <w:ind w:left="1134" w:right="1134"/>
      <w:jc w:val="left"/>
    </w:pPr>
    <w:rPr>
      <w:rFonts w:eastAsia="Times New Roman"/>
      <w:b/>
      <w:snapToGrid/>
      <w:sz w:val="56"/>
      <w:lang w:val="en-GB" w:eastAsia="en-US"/>
    </w:rPr>
  </w:style>
  <w:style w:type="paragraph" w:customStyle="1" w:styleId="SMG">
    <w:name w:val="__S_M_G"/>
    <w:basedOn w:val="a"/>
    <w:next w:val="a"/>
    <w:rsid w:val="00103498"/>
    <w:pPr>
      <w:keepNext/>
      <w:keepLines/>
      <w:tabs>
        <w:tab w:val="clear" w:pos="431"/>
      </w:tabs>
      <w:suppressAutoHyphens/>
      <w:overflowPunct/>
      <w:adjustRightInd/>
      <w:snapToGrid/>
      <w:spacing w:before="240" w:after="240" w:line="420" w:lineRule="exact"/>
      <w:ind w:left="1134" w:right="1134"/>
      <w:jc w:val="left"/>
    </w:pPr>
    <w:rPr>
      <w:rFonts w:eastAsia="Times New Roman"/>
      <w:b/>
      <w:snapToGrid/>
      <w:sz w:val="40"/>
      <w:lang w:val="en-GB" w:eastAsia="en-US"/>
    </w:rPr>
  </w:style>
  <w:style w:type="paragraph" w:customStyle="1" w:styleId="HMG">
    <w:name w:val="_ H __M_G"/>
    <w:basedOn w:val="a"/>
    <w:next w:val="a"/>
    <w:qFormat/>
    <w:rsid w:val="00103498"/>
    <w:pPr>
      <w:keepNext/>
      <w:keepLines/>
      <w:tabs>
        <w:tab w:val="clear" w:pos="431"/>
        <w:tab w:val="right" w:pos="851"/>
      </w:tabs>
      <w:suppressAutoHyphens/>
      <w:overflowPunct/>
      <w:adjustRightInd/>
      <w:snapToGrid/>
      <w:spacing w:before="240" w:after="240" w:line="360" w:lineRule="exact"/>
      <w:ind w:left="1134" w:right="1134" w:hanging="1134"/>
      <w:jc w:val="left"/>
    </w:pPr>
    <w:rPr>
      <w:rFonts w:eastAsia="Times New Roman"/>
      <w:b/>
      <w:snapToGrid/>
      <w:sz w:val="34"/>
      <w:lang w:val="en-GB" w:eastAsia="en-US"/>
    </w:rPr>
  </w:style>
  <w:style w:type="paragraph" w:customStyle="1" w:styleId="ParaNoG">
    <w:name w:val="_ParaNo._G"/>
    <w:basedOn w:val="SingleTxtG"/>
    <w:qFormat/>
    <w:rsid w:val="00103498"/>
    <w:pPr>
      <w:tabs>
        <w:tab w:val="num" w:pos="780"/>
      </w:tabs>
      <w:ind w:left="780" w:hanging="360"/>
    </w:pPr>
    <w:rPr>
      <w:rFonts w:eastAsia="Times New Roman"/>
    </w:rPr>
  </w:style>
  <w:style w:type="paragraph" w:customStyle="1" w:styleId="SSG">
    <w:name w:val="__S_S_G"/>
    <w:basedOn w:val="a"/>
    <w:next w:val="a"/>
    <w:rsid w:val="00103498"/>
    <w:pPr>
      <w:keepNext/>
      <w:keepLines/>
      <w:tabs>
        <w:tab w:val="clear" w:pos="431"/>
      </w:tabs>
      <w:suppressAutoHyphens/>
      <w:overflowPunct/>
      <w:adjustRightInd/>
      <w:snapToGrid/>
      <w:spacing w:before="240" w:after="240" w:line="300" w:lineRule="exact"/>
      <w:ind w:left="1134" w:right="1134"/>
      <w:jc w:val="left"/>
    </w:pPr>
    <w:rPr>
      <w:rFonts w:eastAsia="Times New Roman"/>
      <w:b/>
      <w:snapToGrid/>
      <w:sz w:val="28"/>
      <w:lang w:val="en-GB" w:eastAsia="en-US"/>
    </w:rPr>
  </w:style>
  <w:style w:type="paragraph" w:customStyle="1" w:styleId="XLargeG">
    <w:name w:val="__XLarge_G"/>
    <w:basedOn w:val="a"/>
    <w:next w:val="a"/>
    <w:rsid w:val="00103498"/>
    <w:pPr>
      <w:keepNext/>
      <w:keepLines/>
      <w:tabs>
        <w:tab w:val="clear" w:pos="431"/>
      </w:tabs>
      <w:suppressAutoHyphens/>
      <w:overflowPunct/>
      <w:adjustRightInd/>
      <w:snapToGrid/>
      <w:spacing w:before="240" w:after="240" w:line="420" w:lineRule="exact"/>
      <w:ind w:left="1134" w:right="1134"/>
      <w:jc w:val="left"/>
    </w:pPr>
    <w:rPr>
      <w:rFonts w:eastAsia="Times New Roman"/>
      <w:b/>
      <w:snapToGrid/>
      <w:sz w:val="40"/>
      <w:lang w:val="en-GB" w:eastAsia="en-US"/>
    </w:rPr>
  </w:style>
  <w:style w:type="paragraph" w:customStyle="1" w:styleId="Bullet1G">
    <w:name w:val="_Bullet 1_G"/>
    <w:basedOn w:val="a"/>
    <w:qFormat/>
    <w:rsid w:val="00103498"/>
    <w:pPr>
      <w:tabs>
        <w:tab w:val="clear" w:pos="431"/>
        <w:tab w:val="num" w:pos="3141"/>
      </w:tabs>
      <w:suppressAutoHyphens/>
      <w:overflowPunct/>
      <w:adjustRightInd/>
      <w:snapToGrid/>
      <w:spacing w:after="120" w:line="240" w:lineRule="atLeast"/>
      <w:ind w:left="3141" w:right="1134" w:hanging="170"/>
    </w:pPr>
    <w:rPr>
      <w:rFonts w:eastAsia="Times New Roman"/>
      <w:snapToGrid/>
      <w:sz w:val="20"/>
      <w:lang w:val="en-GB" w:eastAsia="en-US"/>
    </w:rPr>
  </w:style>
  <w:style w:type="paragraph" w:customStyle="1" w:styleId="Bullet2G">
    <w:name w:val="_Bullet 2_G"/>
    <w:basedOn w:val="a"/>
    <w:qFormat/>
    <w:rsid w:val="00103498"/>
    <w:pPr>
      <w:tabs>
        <w:tab w:val="clear" w:pos="431"/>
        <w:tab w:val="num" w:pos="2268"/>
      </w:tabs>
      <w:suppressAutoHyphens/>
      <w:overflowPunct/>
      <w:adjustRightInd/>
      <w:snapToGrid/>
      <w:spacing w:after="120" w:line="240" w:lineRule="atLeast"/>
      <w:ind w:left="2268" w:right="1134" w:hanging="170"/>
    </w:pPr>
    <w:rPr>
      <w:rFonts w:eastAsia="Times New Roman"/>
      <w:snapToGrid/>
      <w:sz w:val="20"/>
      <w:lang w:val="en-GB" w:eastAsia="en-US"/>
    </w:rPr>
  </w:style>
  <w:style w:type="paragraph" w:customStyle="1" w:styleId="H4G">
    <w:name w:val="_ H_4_G"/>
    <w:basedOn w:val="a"/>
    <w:next w:val="a"/>
    <w:qFormat/>
    <w:rsid w:val="00103498"/>
    <w:pPr>
      <w:keepNext/>
      <w:keepLines/>
      <w:tabs>
        <w:tab w:val="clear" w:pos="431"/>
        <w:tab w:val="right" w:pos="851"/>
      </w:tabs>
      <w:suppressAutoHyphens/>
      <w:overflowPunct/>
      <w:adjustRightInd/>
      <w:snapToGrid/>
      <w:spacing w:before="240" w:after="120" w:line="240" w:lineRule="exact"/>
      <w:ind w:left="1134" w:right="1134" w:hanging="1134"/>
      <w:jc w:val="left"/>
    </w:pPr>
    <w:rPr>
      <w:rFonts w:eastAsia="Times New Roman"/>
      <w:i/>
      <w:snapToGrid/>
      <w:sz w:val="20"/>
      <w:lang w:val="en-GB" w:eastAsia="en-US"/>
    </w:rPr>
  </w:style>
  <w:style w:type="paragraph" w:customStyle="1" w:styleId="H56G">
    <w:name w:val="_ H_5/6_G"/>
    <w:basedOn w:val="a"/>
    <w:next w:val="a"/>
    <w:qFormat/>
    <w:rsid w:val="00103498"/>
    <w:pPr>
      <w:keepNext/>
      <w:keepLines/>
      <w:numPr>
        <w:numId w:val="5"/>
      </w:numPr>
      <w:tabs>
        <w:tab w:val="clear" w:pos="431"/>
        <w:tab w:val="clear" w:pos="2268"/>
        <w:tab w:val="right" w:pos="851"/>
      </w:tabs>
      <w:suppressAutoHyphens/>
      <w:overflowPunct/>
      <w:adjustRightInd/>
      <w:snapToGrid/>
      <w:spacing w:before="240" w:after="120" w:line="240" w:lineRule="exact"/>
      <w:ind w:left="1134" w:right="1134" w:hanging="1134"/>
      <w:jc w:val="left"/>
    </w:pPr>
    <w:rPr>
      <w:rFonts w:eastAsia="Times New Roman"/>
      <w:snapToGrid/>
      <w:sz w:val="20"/>
      <w:lang w:val="en-GB" w:eastAsia="en-US"/>
    </w:rPr>
  </w:style>
  <w:style w:type="numbering" w:styleId="1111110">
    <w:name w:val="Outline List 2"/>
    <w:basedOn w:val="a2"/>
    <w:rsid w:val="00103498"/>
    <w:pPr>
      <w:numPr>
        <w:numId w:val="6"/>
      </w:numPr>
    </w:pPr>
  </w:style>
  <w:style w:type="numbering" w:styleId="111111">
    <w:name w:val="Outline List 1"/>
    <w:basedOn w:val="a2"/>
    <w:rsid w:val="00103498"/>
    <w:pPr>
      <w:numPr>
        <w:numId w:val="7"/>
      </w:numPr>
    </w:pPr>
  </w:style>
  <w:style w:type="paragraph" w:styleId="aff3">
    <w:name w:val="envelope return"/>
    <w:basedOn w:val="a"/>
    <w:rsid w:val="00103498"/>
    <w:pPr>
      <w:tabs>
        <w:tab w:val="clear" w:pos="431"/>
      </w:tabs>
      <w:suppressAutoHyphens/>
      <w:overflowPunct/>
      <w:adjustRightInd/>
      <w:snapToGrid/>
      <w:spacing w:line="240" w:lineRule="atLeast"/>
      <w:jc w:val="left"/>
    </w:pPr>
    <w:rPr>
      <w:rFonts w:ascii="Arial" w:eastAsia="Times New Roman" w:hAnsi="Arial" w:cs="Arial"/>
      <w:snapToGrid/>
      <w:sz w:val="20"/>
      <w:lang w:val="en-GB" w:eastAsia="en-US"/>
    </w:rPr>
  </w:style>
  <w:style w:type="character" w:styleId="HTML0">
    <w:name w:val="HTML Acronym"/>
    <w:rsid w:val="00103498"/>
  </w:style>
  <w:style w:type="paragraph" w:styleId="aff4">
    <w:name w:val="envelope address"/>
    <w:basedOn w:val="a"/>
    <w:rsid w:val="00103498"/>
    <w:pPr>
      <w:framePr w:w="7920" w:h="1980" w:hRule="exact" w:hSpace="180" w:wrap="auto" w:hAnchor="page" w:xAlign="center" w:yAlign="bottom"/>
      <w:tabs>
        <w:tab w:val="clear" w:pos="431"/>
      </w:tabs>
      <w:suppressAutoHyphens/>
      <w:overflowPunct/>
      <w:adjustRightInd/>
      <w:snapToGrid/>
      <w:spacing w:line="240" w:lineRule="atLeast"/>
      <w:ind w:left="2880"/>
      <w:jc w:val="left"/>
    </w:pPr>
    <w:rPr>
      <w:rFonts w:ascii="Arial" w:eastAsia="Times New Roman" w:hAnsi="Arial" w:cs="Arial"/>
      <w:snapToGrid/>
      <w:sz w:val="24"/>
      <w:szCs w:val="24"/>
      <w:lang w:val="en-GB" w:eastAsia="en-US"/>
    </w:rPr>
  </w:style>
  <w:style w:type="paragraph" w:customStyle="1" w:styleId="NormalBefore18pt">
    <w:name w:val="Normal + Before:  18 pt"/>
    <w:aliases w:val="After:  36 pt"/>
    <w:basedOn w:val="H23G"/>
    <w:rsid w:val="00103498"/>
    <w:pPr>
      <w:ind w:left="360" w:right="720" w:firstLine="0"/>
    </w:pPr>
    <w:rPr>
      <w:rFonts w:eastAsia="Times New Roman"/>
    </w:rPr>
  </w:style>
  <w:style w:type="character" w:customStyle="1" w:styleId="CharChar5">
    <w:name w:val="Char Char5"/>
    <w:semiHidden/>
    <w:locked/>
    <w:rsid w:val="00103498"/>
    <w:rPr>
      <w:rFonts w:ascii="Times New Roman" w:hAnsi="Times New Roman" w:cs="Times New Roman"/>
      <w:sz w:val="20"/>
      <w:szCs w:val="20"/>
    </w:rPr>
  </w:style>
  <w:style w:type="character" w:customStyle="1" w:styleId="CharChar3">
    <w:name w:val="Char Char3"/>
    <w:semiHidden/>
    <w:locked/>
    <w:rsid w:val="00103498"/>
    <w:rPr>
      <w:rFonts w:ascii="Times New Roman" w:hAnsi="Times New Roman" w:cs="Times New Roman"/>
      <w:sz w:val="20"/>
      <w:szCs w:val="20"/>
    </w:rPr>
  </w:style>
  <w:style w:type="character" w:customStyle="1" w:styleId="doctitle">
    <w:name w:val="doctitle"/>
    <w:rsid w:val="00103498"/>
    <w:rPr>
      <w:rFonts w:cs="Times New Roman"/>
    </w:rPr>
  </w:style>
  <w:style w:type="paragraph" w:styleId="50">
    <w:name w:val="toc 5"/>
    <w:basedOn w:val="a"/>
    <w:next w:val="a"/>
    <w:autoRedefine/>
    <w:rsid w:val="00103498"/>
    <w:pPr>
      <w:tabs>
        <w:tab w:val="clear" w:pos="431"/>
      </w:tabs>
      <w:overflowPunct/>
      <w:adjustRightInd/>
      <w:snapToGrid/>
      <w:spacing w:line="240" w:lineRule="auto"/>
      <w:ind w:left="960"/>
      <w:jc w:val="left"/>
    </w:pPr>
    <w:rPr>
      <w:rFonts w:eastAsia="Times New Roman"/>
      <w:snapToGrid/>
      <w:sz w:val="24"/>
      <w:szCs w:val="24"/>
      <w:lang w:eastAsia="en-US"/>
    </w:rPr>
  </w:style>
  <w:style w:type="paragraph" w:styleId="60">
    <w:name w:val="toc 6"/>
    <w:basedOn w:val="a"/>
    <w:next w:val="a"/>
    <w:autoRedefine/>
    <w:rsid w:val="00103498"/>
    <w:pPr>
      <w:tabs>
        <w:tab w:val="clear" w:pos="431"/>
      </w:tabs>
      <w:overflowPunct/>
      <w:adjustRightInd/>
      <w:snapToGrid/>
      <w:spacing w:line="240" w:lineRule="auto"/>
      <w:ind w:left="1200"/>
      <w:jc w:val="left"/>
    </w:pPr>
    <w:rPr>
      <w:rFonts w:eastAsia="Times New Roman"/>
      <w:snapToGrid/>
      <w:sz w:val="24"/>
      <w:szCs w:val="24"/>
      <w:lang w:eastAsia="en-US"/>
    </w:rPr>
  </w:style>
  <w:style w:type="paragraph" w:styleId="70">
    <w:name w:val="toc 7"/>
    <w:basedOn w:val="a"/>
    <w:next w:val="a"/>
    <w:autoRedefine/>
    <w:rsid w:val="00103498"/>
    <w:pPr>
      <w:tabs>
        <w:tab w:val="clear" w:pos="431"/>
      </w:tabs>
      <w:overflowPunct/>
      <w:adjustRightInd/>
      <w:snapToGrid/>
      <w:spacing w:line="240" w:lineRule="auto"/>
      <w:ind w:left="1440"/>
      <w:jc w:val="left"/>
    </w:pPr>
    <w:rPr>
      <w:rFonts w:eastAsia="Times New Roman"/>
      <w:snapToGrid/>
      <w:sz w:val="24"/>
      <w:szCs w:val="24"/>
      <w:lang w:eastAsia="en-US"/>
    </w:rPr>
  </w:style>
  <w:style w:type="paragraph" w:styleId="80">
    <w:name w:val="toc 8"/>
    <w:basedOn w:val="a"/>
    <w:next w:val="a"/>
    <w:autoRedefine/>
    <w:rsid w:val="00103498"/>
    <w:pPr>
      <w:tabs>
        <w:tab w:val="clear" w:pos="431"/>
      </w:tabs>
      <w:overflowPunct/>
      <w:adjustRightInd/>
      <w:snapToGrid/>
      <w:spacing w:line="240" w:lineRule="auto"/>
      <w:ind w:left="1680"/>
      <w:jc w:val="left"/>
    </w:pPr>
    <w:rPr>
      <w:rFonts w:eastAsia="Times New Roman"/>
      <w:snapToGrid/>
      <w:sz w:val="24"/>
      <w:szCs w:val="24"/>
      <w:lang w:eastAsia="en-US"/>
    </w:rPr>
  </w:style>
  <w:style w:type="paragraph" w:styleId="90">
    <w:name w:val="toc 9"/>
    <w:basedOn w:val="a"/>
    <w:next w:val="a"/>
    <w:autoRedefine/>
    <w:rsid w:val="00103498"/>
    <w:pPr>
      <w:tabs>
        <w:tab w:val="clear" w:pos="431"/>
      </w:tabs>
      <w:overflowPunct/>
      <w:adjustRightInd/>
      <w:snapToGrid/>
      <w:spacing w:line="240" w:lineRule="auto"/>
      <w:ind w:left="1920"/>
      <w:jc w:val="left"/>
    </w:pPr>
    <w:rPr>
      <w:rFonts w:eastAsia="Times New Roman"/>
      <w:snapToGrid/>
      <w:sz w:val="24"/>
      <w:szCs w:val="24"/>
      <w:lang w:eastAsia="en-US"/>
    </w:rPr>
  </w:style>
  <w:style w:type="paragraph" w:customStyle="1" w:styleId="HM">
    <w:name w:val="_ H __M"/>
    <w:basedOn w:val="HCh"/>
    <w:next w:val="SingleTxt"/>
    <w:rsid w:val="00103498"/>
    <w:pPr>
      <w:tabs>
        <w:tab w:val="clear" w:pos="57"/>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360" w:lineRule="exact"/>
      <w:jc w:val="left"/>
    </w:pPr>
    <w:rPr>
      <w:rFonts w:ascii="Times New Roman" w:eastAsia="宋体"/>
      <w:b/>
      <w:spacing w:val="-3"/>
      <w:w w:val="99"/>
      <w:sz w:val="34"/>
      <w:lang w:val="en-GB"/>
    </w:rPr>
  </w:style>
  <w:style w:type="paragraph" w:customStyle="1" w:styleId="H4">
    <w:name w:val="_ H_4"/>
    <w:basedOn w:val="a"/>
    <w:next w:val="SingleTxt"/>
    <w:qFormat/>
    <w:rsid w:val="00103498"/>
    <w:pPr>
      <w:keepNext/>
      <w:keepLines/>
      <w:tabs>
        <w:tab w:val="clear" w:pos="431"/>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overflowPunct/>
      <w:adjustRightInd/>
      <w:snapToGrid/>
      <w:spacing w:line="240" w:lineRule="exact"/>
      <w:ind w:left="1267" w:right="1267" w:hanging="1267"/>
      <w:jc w:val="left"/>
      <w:outlineLvl w:val="3"/>
    </w:pPr>
    <w:rPr>
      <w:i/>
      <w:snapToGrid/>
      <w:spacing w:val="3"/>
      <w:w w:val="103"/>
      <w:kern w:val="14"/>
      <w:sz w:val="20"/>
      <w:lang w:val="en-GB"/>
    </w:rPr>
  </w:style>
  <w:style w:type="paragraph" w:customStyle="1" w:styleId="H56">
    <w:name w:val="_ H_5/6"/>
    <w:basedOn w:val="a"/>
    <w:next w:val="a"/>
    <w:rsid w:val="00103498"/>
    <w:pPr>
      <w:keepNext/>
      <w:keepLines/>
      <w:tabs>
        <w:tab w:val="clear" w:pos="431"/>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overflowPunct/>
      <w:adjustRightInd/>
      <w:snapToGrid/>
      <w:spacing w:line="240" w:lineRule="exact"/>
      <w:ind w:left="1267" w:right="1267" w:hanging="1267"/>
      <w:jc w:val="left"/>
      <w:outlineLvl w:val="4"/>
    </w:pPr>
    <w:rPr>
      <w:snapToGrid/>
      <w:spacing w:val="4"/>
      <w:w w:val="103"/>
      <w:kern w:val="14"/>
      <w:sz w:val="20"/>
      <w:lang w:val="en-GB"/>
    </w:rPr>
  </w:style>
  <w:style w:type="paragraph" w:customStyle="1" w:styleId="DualTxt">
    <w:name w:val="__Dual Txt"/>
    <w:basedOn w:val="a"/>
    <w:rsid w:val="00103498"/>
    <w:pPr>
      <w:tabs>
        <w:tab w:val="clear" w:pos="431"/>
        <w:tab w:val="left" w:pos="480"/>
        <w:tab w:val="left" w:pos="960"/>
        <w:tab w:val="left" w:pos="1440"/>
        <w:tab w:val="left" w:pos="1915"/>
        <w:tab w:val="left" w:pos="2405"/>
        <w:tab w:val="left" w:pos="2880"/>
        <w:tab w:val="left" w:pos="3355"/>
      </w:tabs>
      <w:suppressAutoHyphens/>
      <w:overflowPunct/>
      <w:adjustRightInd/>
      <w:snapToGrid/>
      <w:spacing w:after="120" w:line="240" w:lineRule="exact"/>
    </w:pPr>
    <w:rPr>
      <w:snapToGrid/>
      <w:spacing w:val="4"/>
      <w:w w:val="103"/>
      <w:kern w:val="14"/>
      <w:sz w:val="20"/>
      <w:lang w:val="en-GB"/>
    </w:rPr>
  </w:style>
  <w:style w:type="paragraph" w:customStyle="1" w:styleId="SL">
    <w:name w:val="__S_L"/>
    <w:basedOn w:val="SM"/>
    <w:next w:val="a"/>
    <w:rsid w:val="00103498"/>
    <w:pPr>
      <w:spacing w:line="540" w:lineRule="exact"/>
    </w:pPr>
    <w:rPr>
      <w:spacing w:val="-8"/>
      <w:w w:val="96"/>
      <w:sz w:val="57"/>
    </w:rPr>
  </w:style>
  <w:style w:type="paragraph" w:customStyle="1" w:styleId="Committee">
    <w:name w:val="Committee"/>
    <w:basedOn w:val="H1"/>
    <w:rsid w:val="00103498"/>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70" w:lineRule="exact"/>
      <w:ind w:right="1267"/>
      <w:jc w:val="left"/>
    </w:pPr>
    <w:rPr>
      <w:rFonts w:ascii="Times New Roman" w:eastAsia="宋体"/>
      <w:b/>
      <w:spacing w:val="4"/>
      <w:w w:val="103"/>
      <w:lang w:val="en-GB"/>
    </w:rPr>
  </w:style>
  <w:style w:type="paragraph" w:customStyle="1" w:styleId="Distribution">
    <w:name w:val="Distribution"/>
    <w:next w:val="a"/>
    <w:rsid w:val="00103498"/>
    <w:pPr>
      <w:spacing w:before="240"/>
    </w:pPr>
    <w:rPr>
      <w:spacing w:val="4"/>
      <w:w w:val="103"/>
      <w:kern w:val="14"/>
      <w:lang w:val="en-GB"/>
    </w:rPr>
  </w:style>
  <w:style w:type="character" w:styleId="aff5">
    <w:name w:val="line number"/>
    <w:rsid w:val="00103498"/>
    <w:rPr>
      <w:sz w:val="14"/>
    </w:rPr>
  </w:style>
  <w:style w:type="paragraph" w:customStyle="1" w:styleId="Original">
    <w:name w:val="Original"/>
    <w:next w:val="a"/>
    <w:rsid w:val="00103498"/>
    <w:rPr>
      <w:spacing w:val="4"/>
      <w:w w:val="103"/>
      <w:kern w:val="14"/>
      <w:lang w:val="en-GB"/>
    </w:rPr>
  </w:style>
  <w:style w:type="paragraph" w:customStyle="1" w:styleId="Publication">
    <w:name w:val="Publication"/>
    <w:next w:val="a"/>
    <w:rsid w:val="00103498"/>
    <w:rPr>
      <w:spacing w:val="4"/>
      <w:w w:val="103"/>
      <w:kern w:val="14"/>
      <w:lang w:val="en-GB"/>
    </w:rPr>
  </w:style>
  <w:style w:type="paragraph" w:customStyle="1" w:styleId="ReleaseDate">
    <w:name w:val="Release Date"/>
    <w:next w:val="ab"/>
    <w:rsid w:val="00103498"/>
    <w:rPr>
      <w:spacing w:val="4"/>
      <w:w w:val="103"/>
      <w:kern w:val="14"/>
      <w:lang w:val="en-GB"/>
    </w:rPr>
  </w:style>
  <w:style w:type="paragraph" w:customStyle="1" w:styleId="Session">
    <w:name w:val="Session"/>
    <w:basedOn w:val="H23"/>
    <w:rsid w:val="00103498"/>
    <w:pPr>
      <w:ind w:left="0" w:firstLine="0"/>
    </w:pPr>
    <w:rPr>
      <w:rFonts w:eastAsia="宋体"/>
      <w:spacing w:val="4"/>
      <w:lang w:eastAsia="zh-CN"/>
    </w:rPr>
  </w:style>
  <w:style w:type="paragraph" w:customStyle="1" w:styleId="Small">
    <w:name w:val="Small"/>
    <w:basedOn w:val="a"/>
    <w:next w:val="a"/>
    <w:rsid w:val="00103498"/>
    <w:pPr>
      <w:tabs>
        <w:tab w:val="clear" w:pos="431"/>
        <w:tab w:val="right" w:pos="9965"/>
      </w:tabs>
      <w:suppressAutoHyphens/>
      <w:overflowPunct/>
      <w:adjustRightInd/>
      <w:snapToGrid/>
      <w:spacing w:line="210" w:lineRule="exact"/>
      <w:jc w:val="left"/>
    </w:pPr>
    <w:rPr>
      <w:snapToGrid/>
      <w:spacing w:val="5"/>
      <w:w w:val="104"/>
      <w:kern w:val="14"/>
      <w:sz w:val="17"/>
      <w:lang w:val="en-GB"/>
    </w:rPr>
  </w:style>
  <w:style w:type="paragraph" w:customStyle="1" w:styleId="Sponsors0">
    <w:name w:val="Sponsors"/>
    <w:basedOn w:val="H23"/>
    <w:rsid w:val="00103498"/>
    <w:rPr>
      <w:rFonts w:eastAsia="宋体"/>
      <w:lang w:eastAsia="zh-CN"/>
    </w:rPr>
  </w:style>
  <w:style w:type="paragraph" w:customStyle="1" w:styleId="Title1">
    <w:name w:val="Title 1"/>
    <w:basedOn w:val="HCh"/>
    <w:rsid w:val="00103498"/>
    <w:pPr>
      <w:tabs>
        <w:tab w:val="clear" w:pos="57"/>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300" w:lineRule="exact"/>
      <w:ind w:left="1267" w:right="1267" w:hanging="1267"/>
      <w:jc w:val="left"/>
    </w:pPr>
    <w:rPr>
      <w:rFonts w:ascii="Times New Roman" w:eastAsia="宋体"/>
      <w:b/>
      <w:spacing w:val="-2"/>
      <w:w w:val="103"/>
      <w:lang w:val="en-GB"/>
    </w:rPr>
  </w:style>
  <w:style w:type="paragraph" w:customStyle="1" w:styleId="Bullet1">
    <w:name w:val="Bullet 1"/>
    <w:basedOn w:val="a"/>
    <w:qFormat/>
    <w:rsid w:val="00103498"/>
    <w:pPr>
      <w:numPr>
        <w:numId w:val="9"/>
      </w:numPr>
      <w:tabs>
        <w:tab w:val="clear" w:pos="431"/>
        <w:tab w:val="num" w:pos="2426"/>
      </w:tabs>
      <w:suppressAutoHyphens/>
      <w:overflowPunct/>
      <w:adjustRightInd/>
      <w:snapToGrid/>
      <w:spacing w:after="120" w:line="240" w:lineRule="atLeast"/>
      <w:ind w:left="1134" w:right="1267" w:firstLine="431"/>
    </w:pPr>
    <w:rPr>
      <w:snapToGrid/>
      <w:spacing w:val="4"/>
      <w:w w:val="103"/>
      <w:kern w:val="14"/>
      <w:sz w:val="20"/>
      <w:lang w:val="en-GB"/>
    </w:rPr>
  </w:style>
  <w:style w:type="paragraph" w:customStyle="1" w:styleId="Bullet2">
    <w:name w:val="Bullet 2"/>
    <w:basedOn w:val="a"/>
    <w:qFormat/>
    <w:rsid w:val="00103498"/>
    <w:pPr>
      <w:numPr>
        <w:numId w:val="8"/>
      </w:numPr>
      <w:tabs>
        <w:tab w:val="clear" w:pos="431"/>
        <w:tab w:val="num" w:pos="2426"/>
      </w:tabs>
      <w:suppressAutoHyphens/>
      <w:overflowPunct/>
      <w:adjustRightInd/>
      <w:snapToGrid/>
      <w:spacing w:after="120" w:line="240" w:lineRule="exact"/>
      <w:ind w:left="1134" w:right="1264" w:firstLine="431"/>
    </w:pPr>
    <w:rPr>
      <w:snapToGrid/>
      <w:spacing w:val="4"/>
      <w:w w:val="103"/>
      <w:kern w:val="14"/>
      <w:sz w:val="20"/>
      <w:lang w:val="en-GB"/>
    </w:rPr>
  </w:style>
  <w:style w:type="paragraph" w:customStyle="1" w:styleId="Bullet3">
    <w:name w:val="Bullet 3"/>
    <w:basedOn w:val="SingleTxt"/>
    <w:qFormat/>
    <w:rsid w:val="00103498"/>
    <w:pPr>
      <w:numPr>
        <w:numId w:val="10"/>
      </w:numPr>
      <w:tabs>
        <w:tab w:val="clear" w:pos="1264"/>
        <w:tab w:val="clear" w:pos="1695"/>
        <w:tab w:val="clear" w:pos="2126"/>
        <w:tab w:val="clear" w:pos="2557"/>
        <w:tab w:val="clear" w:pos="2988"/>
        <w:tab w:val="clear" w:pos="3419"/>
        <w:tab w:val="clear" w:pos="3850"/>
        <w:tab w:val="clear" w:pos="4281"/>
        <w:tab w:val="clear" w:pos="4712"/>
        <w:tab w:val="clear" w:pos="5143"/>
        <w:tab w:val="clear" w:pos="5574"/>
        <w:tab w:val="clear" w:pos="6005"/>
        <w:tab w:val="clear" w:pos="6435"/>
        <w:tab w:val="num" w:pos="2426"/>
      </w:tabs>
      <w:suppressAutoHyphens/>
      <w:spacing w:after="120" w:line="240" w:lineRule="exact"/>
      <w:ind w:left="1134" w:right="1267" w:firstLine="431"/>
    </w:pPr>
    <w:rPr>
      <w:rFonts w:ascii="Times New Roman"/>
      <w:spacing w:val="4"/>
      <w:w w:val="103"/>
      <w:sz w:val="20"/>
      <w:lang w:val="en-GB"/>
    </w:rPr>
  </w:style>
  <w:style w:type="paragraph" w:customStyle="1" w:styleId="Title2">
    <w:name w:val="Title 2"/>
    <w:basedOn w:val="H1"/>
    <w:rsid w:val="00103498"/>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70" w:lineRule="exact"/>
      <w:jc w:val="left"/>
    </w:pPr>
    <w:rPr>
      <w:rFonts w:ascii="Times New Roman" w:eastAsia="宋体"/>
      <w:b/>
      <w:spacing w:val="4"/>
      <w:w w:val="103"/>
      <w:lang w:val="en-GB"/>
    </w:rPr>
  </w:style>
  <w:style w:type="paragraph" w:customStyle="1" w:styleId="Type">
    <w:name w:val="Type"/>
    <w:basedOn w:val="H23"/>
    <w:autoRedefine/>
    <w:rsid w:val="00103498"/>
    <w:pPr>
      <w:ind w:left="0" w:right="576" w:firstLine="0"/>
    </w:pPr>
    <w:rPr>
      <w:rFonts w:eastAsia="宋体"/>
      <w:lang w:eastAsia="zh-CN"/>
    </w:rPr>
  </w:style>
  <w:style w:type="character" w:customStyle="1" w:styleId="FootnoteCharacters">
    <w:name w:val="Footnote Characters"/>
    <w:rsid w:val="00103498"/>
    <w:rPr>
      <w:vertAlign w:val="superscript"/>
    </w:rPr>
  </w:style>
  <w:style w:type="paragraph" w:customStyle="1" w:styleId="Rvision">
    <w:name w:val="Révision"/>
    <w:hidden/>
    <w:semiHidden/>
    <w:rsid w:val="00103498"/>
    <w:rPr>
      <w:rFonts w:eastAsia="Times New Roman"/>
      <w:lang w:val="en-GB" w:eastAsia="en-US"/>
    </w:rPr>
  </w:style>
  <w:style w:type="paragraph" w:styleId="aff6">
    <w:name w:val="Revision"/>
    <w:hidden/>
    <w:uiPriority w:val="99"/>
    <w:rsid w:val="00103498"/>
    <w:rPr>
      <w:rFonts w:eastAsia="Times New Roman"/>
      <w:color w:val="000000"/>
      <w:sz w:val="24"/>
      <w:szCs w:val="24"/>
      <w:lang w:eastAsia="en-US"/>
    </w:rPr>
  </w:style>
  <w:style w:type="paragraph" w:customStyle="1" w:styleId="IndentFootnot">
    <w:name w:val="IndentFootnot"/>
    <w:basedOn w:val="a4"/>
    <w:rsid w:val="00103498"/>
    <w:pPr>
      <w:keepLines w:val="0"/>
      <w:tabs>
        <w:tab w:val="clear" w:pos="1021"/>
        <w:tab w:val="right" w:pos="1080"/>
        <w:tab w:val="right" w:pos="1195"/>
        <w:tab w:val="left" w:pos="1267"/>
        <w:tab w:val="left" w:pos="1350"/>
        <w:tab w:val="left" w:pos="1800"/>
        <w:tab w:val="left" w:pos="1980"/>
        <w:tab w:val="left" w:pos="2218"/>
        <w:tab w:val="left" w:pos="2693"/>
      </w:tabs>
      <w:suppressAutoHyphens/>
      <w:overflowPunct/>
      <w:adjustRightInd/>
      <w:snapToGrid/>
      <w:spacing w:after="60" w:line="210" w:lineRule="exact"/>
      <w:ind w:left="1526" w:right="1267" w:firstLine="0"/>
      <w:jc w:val="left"/>
    </w:pPr>
    <w:rPr>
      <w:snapToGrid/>
      <w:spacing w:val="5"/>
      <w:w w:val="103"/>
      <w:kern w:val="14"/>
      <w:sz w:val="17"/>
      <w:szCs w:val="17"/>
      <w:lang w:val="en-GB"/>
    </w:rPr>
  </w:style>
  <w:style w:type="paragraph" w:customStyle="1" w:styleId="Style1">
    <w:name w:val="Style1"/>
    <w:basedOn w:val="SingleTxtG"/>
    <w:link w:val="Style1Char"/>
    <w:qFormat/>
    <w:rsid w:val="00103498"/>
    <w:pPr>
      <w:ind w:left="720" w:right="720"/>
      <w:jc w:val="left"/>
    </w:pPr>
    <w:rPr>
      <w:b/>
    </w:rPr>
  </w:style>
  <w:style w:type="paragraph" w:customStyle="1" w:styleId="Style2">
    <w:name w:val="Style2"/>
    <w:basedOn w:val="H23G"/>
    <w:link w:val="Style2Char"/>
    <w:qFormat/>
    <w:rsid w:val="00103498"/>
    <w:pPr>
      <w:ind w:left="360" w:right="720" w:firstLine="0"/>
    </w:pPr>
    <w:rPr>
      <w:rFonts w:eastAsia="Times New Roman"/>
    </w:rPr>
  </w:style>
  <w:style w:type="character" w:customStyle="1" w:styleId="Style1Char">
    <w:name w:val="Style1 Char"/>
    <w:link w:val="Style1"/>
    <w:rsid w:val="00103498"/>
    <w:rPr>
      <w:b/>
      <w:lang w:val="en-GB" w:eastAsia="en-US"/>
    </w:rPr>
  </w:style>
  <w:style w:type="paragraph" w:customStyle="1" w:styleId="Style3">
    <w:name w:val="Style3"/>
    <w:basedOn w:val="SingleTxtG"/>
    <w:link w:val="Style3Char"/>
    <w:qFormat/>
    <w:rsid w:val="00103498"/>
    <w:pPr>
      <w:ind w:left="360" w:right="720"/>
    </w:pPr>
    <w:rPr>
      <w:rFonts w:eastAsia="Times New Roman"/>
      <w:b/>
    </w:rPr>
  </w:style>
  <w:style w:type="character" w:customStyle="1" w:styleId="Style2Char">
    <w:name w:val="Style2 Char"/>
    <w:link w:val="Style2"/>
    <w:rsid w:val="00103498"/>
    <w:rPr>
      <w:rFonts w:eastAsia="Times New Roman"/>
      <w:b/>
      <w:lang w:val="en-GB" w:eastAsia="en-US"/>
    </w:rPr>
  </w:style>
  <w:style w:type="character" w:customStyle="1" w:styleId="Style3Char">
    <w:name w:val="Style3 Char"/>
    <w:link w:val="Style3"/>
    <w:rsid w:val="00103498"/>
    <w:rPr>
      <w:rFonts w:eastAsia="Times New Roman"/>
      <w:b/>
      <w:lang w:val="en-GB" w:eastAsia="en-US"/>
    </w:rPr>
  </w:style>
  <w:style w:type="character" w:customStyle="1" w:styleId="70Regular">
    <w:name w:val="70_Regular"/>
    <w:qFormat/>
    <w:rsid w:val="00103498"/>
    <w:rPr>
      <w:w w:val="100"/>
    </w:rPr>
  </w:style>
  <w:style w:type="character" w:customStyle="1" w:styleId="71Italique">
    <w:name w:val="71_Italique"/>
    <w:qFormat/>
    <w:rsid w:val="00103498"/>
    <w:rPr>
      <w:i/>
    </w:rPr>
  </w:style>
  <w:style w:type="character" w:styleId="aff7">
    <w:name w:val="endnote reference"/>
    <w:aliases w:val="1_G"/>
    <w:basedOn w:val="a5"/>
    <w:qFormat/>
    <w:rsid w:val="00B44972"/>
    <w:rPr>
      <w:rFonts w:ascii="Times New Roman" w:hAnsi="Times New Roman"/>
      <w:caps w:val="0"/>
      <w:smallCaps w:val="0"/>
      <w:strike w:val="0"/>
      <w:dstrike w:val="0"/>
      <w:snapToGrid w:val="0"/>
      <w:vanish w:val="0"/>
      <w:color w:val="0000FF"/>
      <w:spacing w:val="0"/>
      <w:w w:val="100"/>
      <w:kern w:val="0"/>
      <w:position w:val="0"/>
      <w:sz w:val="21"/>
      <w:vertAlign w:val="superscript"/>
      <w14:cntxtAlts w14:val="0"/>
    </w:rPr>
  </w:style>
  <w:style w:type="numbering" w:customStyle="1" w:styleId="17">
    <w:name w:val="无列表1"/>
    <w:next w:val="a2"/>
    <w:uiPriority w:val="99"/>
    <w:semiHidden/>
    <w:unhideWhenUsed/>
    <w:rsid w:val="003E31C7"/>
  </w:style>
  <w:style w:type="character" w:styleId="aff8">
    <w:name w:val="Book Title"/>
    <w:basedOn w:val="a0"/>
    <w:uiPriority w:val="33"/>
    <w:qFormat/>
    <w:rsid w:val="00CD5A8C"/>
    <w:rPr>
      <w:b/>
      <w:bCs/>
      <w:smallCaps/>
      <w:spacing w:val="5"/>
    </w:rPr>
  </w:style>
  <w:style w:type="paragraph" w:customStyle="1" w:styleId="18">
    <w:name w:val="批注框文本1"/>
    <w:basedOn w:val="a"/>
    <w:next w:val="af5"/>
    <w:uiPriority w:val="99"/>
    <w:unhideWhenUsed/>
    <w:rsid w:val="00CD5A8C"/>
    <w:pPr>
      <w:tabs>
        <w:tab w:val="clear" w:pos="431"/>
      </w:tabs>
      <w:suppressAutoHyphens/>
      <w:kinsoku w:val="0"/>
      <w:autoSpaceDE w:val="0"/>
      <w:autoSpaceDN w:val="0"/>
      <w:spacing w:line="240" w:lineRule="auto"/>
      <w:jc w:val="left"/>
    </w:pPr>
    <w:rPr>
      <w:rFonts w:ascii="Tahoma" w:eastAsia="Calibri" w:hAnsi="Tahoma" w:cs="Tahoma"/>
      <w:snapToGrid/>
      <w:sz w:val="16"/>
      <w:szCs w:val="16"/>
      <w:lang w:val="en-GB" w:eastAsia="en-US"/>
    </w:rPr>
  </w:style>
  <w:style w:type="table" w:customStyle="1" w:styleId="19">
    <w:name w:val="网格型1"/>
    <w:basedOn w:val="a1"/>
    <w:next w:val="af2"/>
    <w:rsid w:val="00CD5A8C"/>
    <w:pPr>
      <w:suppressAutoHyphens/>
      <w:spacing w:line="240" w:lineRule="atLeast"/>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1a">
    <w:name w:val="批注文字1"/>
    <w:basedOn w:val="a"/>
    <w:next w:val="af9"/>
    <w:uiPriority w:val="99"/>
    <w:unhideWhenUsed/>
    <w:rsid w:val="00CD5A8C"/>
    <w:pPr>
      <w:tabs>
        <w:tab w:val="clear" w:pos="431"/>
      </w:tabs>
      <w:overflowPunct/>
      <w:adjustRightInd/>
      <w:snapToGrid/>
      <w:spacing w:after="200" w:line="240" w:lineRule="auto"/>
      <w:jc w:val="left"/>
    </w:pPr>
    <w:rPr>
      <w:rFonts w:eastAsia="Calibri"/>
      <w:snapToGrid/>
      <w:sz w:val="20"/>
      <w:lang w:val="en-GB" w:eastAsia="en-US"/>
    </w:rPr>
  </w:style>
  <w:style w:type="character" w:customStyle="1" w:styleId="Char10">
    <w:name w:val="批注文字 Char1"/>
    <w:basedOn w:val="a0"/>
    <w:uiPriority w:val="99"/>
    <w:semiHidden/>
    <w:rsid w:val="00CD5A8C"/>
    <w:rPr>
      <w:snapToGrid w:val="0"/>
      <w:szCs w:val="21"/>
    </w:rPr>
  </w:style>
  <w:style w:type="paragraph" w:customStyle="1" w:styleId="1b">
    <w:name w:val="修订1"/>
    <w:next w:val="aff6"/>
    <w:hidden/>
    <w:uiPriority w:val="99"/>
    <w:semiHidden/>
    <w:rsid w:val="00CD5A8C"/>
    <w:rPr>
      <w:rFonts w:ascii="Calibri" w:eastAsia="Calibri" w:hAnsi="Calibri" w:cs="Arial"/>
      <w:sz w:val="22"/>
      <w:szCs w:val="22"/>
      <w:lang w:val="en-GB" w:eastAsia="en-US"/>
    </w:rPr>
  </w:style>
  <w:style w:type="paragraph" w:customStyle="1" w:styleId="Default">
    <w:name w:val="Default"/>
    <w:rsid w:val="00CD5A8C"/>
    <w:pPr>
      <w:autoSpaceDE w:val="0"/>
      <w:autoSpaceDN w:val="0"/>
      <w:adjustRightInd w:val="0"/>
    </w:pPr>
    <w:rPr>
      <w:rFonts w:eastAsia="Calibri"/>
      <w:color w:val="000000"/>
      <w:sz w:val="24"/>
      <w:szCs w:val="24"/>
      <w:lang w:eastAsia="en-US"/>
    </w:rPr>
  </w:style>
  <w:style w:type="paragraph" w:customStyle="1" w:styleId="1c">
    <w:name w:val="普通(网站)1"/>
    <w:basedOn w:val="a"/>
    <w:next w:val="aff0"/>
    <w:uiPriority w:val="99"/>
    <w:unhideWhenUsed/>
    <w:rsid w:val="00CD5A8C"/>
    <w:pPr>
      <w:tabs>
        <w:tab w:val="clear" w:pos="431"/>
      </w:tabs>
      <w:overflowPunct/>
      <w:adjustRightInd/>
      <w:snapToGrid/>
      <w:spacing w:after="200" w:line="276" w:lineRule="auto"/>
      <w:jc w:val="left"/>
    </w:pPr>
    <w:rPr>
      <w:rFonts w:eastAsia="Calibri"/>
      <w:snapToGrid/>
      <w:sz w:val="24"/>
      <w:szCs w:val="24"/>
      <w:lang w:val="en-GB" w:eastAsia="en-US"/>
    </w:rPr>
  </w:style>
  <w:style w:type="paragraph" w:customStyle="1" w:styleId="Body">
    <w:name w:val="Body"/>
    <w:rsid w:val="00CD5A8C"/>
    <w:rPr>
      <w:rFonts w:ascii="Helvetica" w:eastAsia="ヒラギノ角ゴ Pro W3" w:hAnsi="Helvetica"/>
      <w:color w:val="000000"/>
      <w:sz w:val="24"/>
      <w:lang w:eastAsia="en-US"/>
    </w:rPr>
  </w:style>
  <w:style w:type="paragraph" w:customStyle="1" w:styleId="1d">
    <w:name w:val="列出段落1"/>
    <w:basedOn w:val="a"/>
    <w:next w:val="aff2"/>
    <w:uiPriority w:val="34"/>
    <w:qFormat/>
    <w:rsid w:val="00CD5A8C"/>
    <w:pPr>
      <w:tabs>
        <w:tab w:val="clear" w:pos="431"/>
      </w:tabs>
      <w:overflowPunct/>
      <w:adjustRightInd/>
      <w:snapToGrid/>
      <w:spacing w:after="160" w:line="259" w:lineRule="auto"/>
      <w:ind w:left="720"/>
      <w:contextualSpacing/>
      <w:jc w:val="left"/>
    </w:pPr>
    <w:rPr>
      <w:rFonts w:eastAsia="Calibri" w:cs="Arial"/>
      <w:snapToGrid/>
      <w:sz w:val="24"/>
      <w:szCs w:val="22"/>
      <w:lang w:val="en-GB" w:eastAsia="en-US"/>
    </w:rPr>
  </w:style>
  <w:style w:type="paragraph" w:customStyle="1" w:styleId="Rvision1">
    <w:name w:val="Révision1"/>
    <w:hidden/>
    <w:semiHidden/>
    <w:rsid w:val="00CD5A8C"/>
    <w:rPr>
      <w:rFonts w:eastAsia="Times New Roman"/>
      <w:lang w:val="en-GB" w:eastAsia="en-US"/>
    </w:rPr>
  </w:style>
  <w:style w:type="paragraph" w:customStyle="1" w:styleId="1e">
    <w:name w:val="标题1"/>
    <w:basedOn w:val="a"/>
    <w:next w:val="a"/>
    <w:uiPriority w:val="10"/>
    <w:qFormat/>
    <w:rsid w:val="00CD5A8C"/>
    <w:pPr>
      <w:pBdr>
        <w:bottom w:val="single" w:sz="4" w:space="1" w:color="auto"/>
      </w:pBdr>
      <w:tabs>
        <w:tab w:val="clear" w:pos="431"/>
      </w:tabs>
      <w:overflowPunct/>
      <w:adjustRightInd/>
      <w:snapToGrid/>
      <w:spacing w:after="200" w:line="240" w:lineRule="auto"/>
      <w:contextualSpacing/>
      <w:jc w:val="left"/>
    </w:pPr>
    <w:rPr>
      <w:rFonts w:ascii="Cambria" w:hAnsi="Cambria"/>
      <w:snapToGrid/>
      <w:color w:val="000000"/>
      <w:spacing w:val="5"/>
      <w:sz w:val="52"/>
      <w:szCs w:val="52"/>
      <w:lang w:eastAsia="en-US"/>
    </w:rPr>
  </w:style>
  <w:style w:type="paragraph" w:customStyle="1" w:styleId="1f">
    <w:name w:val="副标题1"/>
    <w:basedOn w:val="a"/>
    <w:next w:val="a"/>
    <w:uiPriority w:val="11"/>
    <w:qFormat/>
    <w:rsid w:val="00CD5A8C"/>
    <w:pPr>
      <w:tabs>
        <w:tab w:val="clear" w:pos="431"/>
      </w:tabs>
      <w:overflowPunct/>
      <w:adjustRightInd/>
      <w:snapToGrid/>
      <w:spacing w:after="600" w:line="276" w:lineRule="auto"/>
      <w:jc w:val="left"/>
    </w:pPr>
    <w:rPr>
      <w:rFonts w:ascii="Cambria" w:hAnsi="Cambria"/>
      <w:i/>
      <w:iCs/>
      <w:snapToGrid/>
      <w:color w:val="000000"/>
      <w:spacing w:val="13"/>
      <w:sz w:val="24"/>
      <w:szCs w:val="24"/>
      <w:lang w:eastAsia="en-US"/>
    </w:rPr>
  </w:style>
  <w:style w:type="paragraph" w:styleId="aff9">
    <w:name w:val="No Spacing"/>
    <w:basedOn w:val="a"/>
    <w:uiPriority w:val="1"/>
    <w:qFormat/>
    <w:rsid w:val="00CD5A8C"/>
    <w:pPr>
      <w:tabs>
        <w:tab w:val="clear" w:pos="431"/>
      </w:tabs>
      <w:overflowPunct/>
      <w:adjustRightInd/>
      <w:snapToGrid/>
      <w:spacing w:line="240" w:lineRule="auto"/>
      <w:jc w:val="left"/>
    </w:pPr>
    <w:rPr>
      <w:rFonts w:eastAsia="Times New Roman"/>
      <w:snapToGrid/>
      <w:color w:val="000000"/>
      <w:sz w:val="24"/>
      <w:szCs w:val="24"/>
      <w:lang w:eastAsia="en-US"/>
    </w:rPr>
  </w:style>
  <w:style w:type="paragraph" w:styleId="affa">
    <w:name w:val="Quote"/>
    <w:basedOn w:val="a"/>
    <w:next w:val="a"/>
    <w:link w:val="Chard"/>
    <w:uiPriority w:val="29"/>
    <w:qFormat/>
    <w:rsid w:val="00CD5A8C"/>
    <w:pPr>
      <w:tabs>
        <w:tab w:val="clear" w:pos="431"/>
      </w:tabs>
      <w:overflowPunct/>
      <w:adjustRightInd/>
      <w:snapToGrid/>
      <w:spacing w:before="200" w:line="276" w:lineRule="auto"/>
      <w:ind w:left="360" w:right="360"/>
      <w:jc w:val="left"/>
    </w:pPr>
    <w:rPr>
      <w:rFonts w:eastAsia="Times New Roman"/>
      <w:i/>
      <w:iCs/>
      <w:snapToGrid/>
      <w:color w:val="000000"/>
      <w:sz w:val="24"/>
      <w:szCs w:val="24"/>
      <w:lang w:eastAsia="en-US"/>
    </w:rPr>
  </w:style>
  <w:style w:type="character" w:customStyle="1" w:styleId="Chard">
    <w:name w:val="引用 Char"/>
    <w:basedOn w:val="a0"/>
    <w:link w:val="affa"/>
    <w:uiPriority w:val="29"/>
    <w:rsid w:val="00CD5A8C"/>
    <w:rPr>
      <w:rFonts w:eastAsia="Times New Roman"/>
      <w:i/>
      <w:iCs/>
      <w:color w:val="000000"/>
      <w:sz w:val="24"/>
      <w:szCs w:val="24"/>
      <w:lang w:eastAsia="en-US"/>
    </w:rPr>
  </w:style>
  <w:style w:type="paragraph" w:styleId="affb">
    <w:name w:val="Intense Quote"/>
    <w:basedOn w:val="a"/>
    <w:next w:val="a"/>
    <w:link w:val="Chare"/>
    <w:uiPriority w:val="30"/>
    <w:qFormat/>
    <w:rsid w:val="00CD5A8C"/>
    <w:pPr>
      <w:pBdr>
        <w:bottom w:val="single" w:sz="4" w:space="1" w:color="auto"/>
      </w:pBdr>
      <w:tabs>
        <w:tab w:val="clear" w:pos="431"/>
      </w:tabs>
      <w:overflowPunct/>
      <w:adjustRightInd/>
      <w:snapToGrid/>
      <w:spacing w:before="200" w:after="280" w:line="276" w:lineRule="auto"/>
      <w:ind w:left="1008" w:right="1152"/>
    </w:pPr>
    <w:rPr>
      <w:rFonts w:eastAsia="Times New Roman"/>
      <w:b/>
      <w:bCs/>
      <w:i/>
      <w:iCs/>
      <w:snapToGrid/>
      <w:color w:val="000000"/>
      <w:sz w:val="24"/>
      <w:szCs w:val="24"/>
      <w:lang w:eastAsia="en-US"/>
    </w:rPr>
  </w:style>
  <w:style w:type="character" w:customStyle="1" w:styleId="Chare">
    <w:name w:val="明显引用 Char"/>
    <w:basedOn w:val="a0"/>
    <w:link w:val="affb"/>
    <w:uiPriority w:val="30"/>
    <w:rsid w:val="00CD5A8C"/>
    <w:rPr>
      <w:rFonts w:eastAsia="Times New Roman"/>
      <w:b/>
      <w:bCs/>
      <w:i/>
      <w:iCs/>
      <w:color w:val="000000"/>
      <w:sz w:val="24"/>
      <w:szCs w:val="24"/>
      <w:lang w:eastAsia="en-US"/>
    </w:rPr>
  </w:style>
  <w:style w:type="character" w:styleId="affc">
    <w:name w:val="Subtle Emphasis"/>
    <w:uiPriority w:val="19"/>
    <w:qFormat/>
    <w:rsid w:val="00CD5A8C"/>
    <w:rPr>
      <w:i/>
      <w:iCs/>
    </w:rPr>
  </w:style>
  <w:style w:type="character" w:styleId="affd">
    <w:name w:val="Intense Emphasis"/>
    <w:uiPriority w:val="21"/>
    <w:qFormat/>
    <w:rsid w:val="00CD5A8C"/>
    <w:rPr>
      <w:b/>
      <w:bCs/>
    </w:rPr>
  </w:style>
  <w:style w:type="character" w:styleId="affe">
    <w:name w:val="Subtle Reference"/>
    <w:uiPriority w:val="31"/>
    <w:qFormat/>
    <w:rsid w:val="00CD5A8C"/>
    <w:rPr>
      <w:smallCaps/>
    </w:rPr>
  </w:style>
  <w:style w:type="character" w:styleId="afff">
    <w:name w:val="Intense Reference"/>
    <w:uiPriority w:val="32"/>
    <w:qFormat/>
    <w:rsid w:val="00CD5A8C"/>
    <w:rPr>
      <w:smallCaps/>
      <w:spacing w:val="5"/>
      <w:u w:val="single"/>
    </w:rPr>
  </w:style>
  <w:style w:type="character" w:customStyle="1" w:styleId="BalloonTextChar1">
    <w:name w:val="Balloon Text Char1"/>
    <w:basedOn w:val="a0"/>
    <w:rsid w:val="00CD5A8C"/>
    <w:rPr>
      <w:rFonts w:ascii="Tahoma" w:eastAsia="Calibri" w:hAnsi="Tahoma" w:cs="Tahoma"/>
      <w:color w:val="auto"/>
      <w:sz w:val="16"/>
      <w:szCs w:val="16"/>
    </w:rPr>
  </w:style>
  <w:style w:type="character" w:customStyle="1" w:styleId="Hyperlink0">
    <w:name w:val="Hyperlink.0"/>
    <w:basedOn w:val="a0"/>
    <w:rsid w:val="00CD5A8C"/>
    <w:rPr>
      <w:rFonts w:ascii="Times New Roman" w:eastAsia="Times New Roman" w:hAnsi="Times New Roman" w:cs="Times New Roman"/>
      <w:color w:val="000000"/>
      <w:sz w:val="20"/>
      <w:szCs w:val="20"/>
      <w:u w:val="single" w:color="0000FF"/>
    </w:rPr>
  </w:style>
  <w:style w:type="character" w:customStyle="1" w:styleId="Hyperlink1">
    <w:name w:val="Hyperlink.1"/>
    <w:basedOn w:val="a0"/>
    <w:rsid w:val="00CD5A8C"/>
    <w:rPr>
      <w:rFonts w:ascii="Times New Roman" w:eastAsia="Times New Roman" w:hAnsi="Times New Roman" w:cs="Times New Roman"/>
      <w:color w:val="000000"/>
      <w:sz w:val="20"/>
      <w:szCs w:val="20"/>
      <w:u w:val="single" w:color="0000FF"/>
    </w:rPr>
  </w:style>
  <w:style w:type="character" w:customStyle="1" w:styleId="Hyperlink2">
    <w:name w:val="Hyperlink.2"/>
    <w:basedOn w:val="a0"/>
    <w:rsid w:val="00CD5A8C"/>
    <w:rPr>
      <w:color w:val="000000"/>
      <w:u w:val="single" w:color="0000FF"/>
    </w:rPr>
  </w:style>
  <w:style w:type="paragraph" w:customStyle="1" w:styleId="1f0">
    <w:name w:val="题注1"/>
    <w:basedOn w:val="a"/>
    <w:next w:val="a"/>
    <w:uiPriority w:val="35"/>
    <w:unhideWhenUsed/>
    <w:qFormat/>
    <w:rsid w:val="00CD5A8C"/>
    <w:pPr>
      <w:tabs>
        <w:tab w:val="clear" w:pos="431"/>
      </w:tabs>
      <w:suppressAutoHyphens/>
      <w:kinsoku w:val="0"/>
      <w:autoSpaceDE w:val="0"/>
      <w:autoSpaceDN w:val="0"/>
      <w:spacing w:before="120" w:line="240" w:lineRule="atLeast"/>
      <w:jc w:val="left"/>
    </w:pPr>
    <w:rPr>
      <w:rFonts w:eastAsia="Calibri"/>
      <w:b/>
      <w:bCs/>
      <w:snapToGrid/>
      <w:sz w:val="24"/>
      <w:lang w:val="en-GB" w:eastAsia="en-US"/>
    </w:rPr>
  </w:style>
  <w:style w:type="paragraph" w:styleId="afff0">
    <w:name w:val="Bibliography"/>
    <w:basedOn w:val="a"/>
    <w:next w:val="a"/>
    <w:uiPriority w:val="37"/>
    <w:semiHidden/>
    <w:unhideWhenUsed/>
    <w:rsid w:val="00CD5A8C"/>
    <w:pPr>
      <w:tabs>
        <w:tab w:val="clear" w:pos="431"/>
      </w:tabs>
      <w:overflowPunct/>
      <w:adjustRightInd/>
      <w:snapToGrid/>
      <w:spacing w:after="200" w:line="276" w:lineRule="auto"/>
      <w:jc w:val="left"/>
    </w:pPr>
    <w:rPr>
      <w:rFonts w:ascii="Calibri" w:eastAsia="Calibri" w:hAnsi="Calibri" w:cs="Arial"/>
      <w:snapToGrid/>
      <w:sz w:val="22"/>
      <w:szCs w:val="22"/>
      <w:lang w:eastAsia="en-US"/>
    </w:rPr>
  </w:style>
  <w:style w:type="character" w:customStyle="1" w:styleId="subfielddata1">
    <w:name w:val="subfielddata1"/>
    <w:uiPriority w:val="99"/>
    <w:rsid w:val="00CD5A8C"/>
    <w:rPr>
      <w:rFonts w:cs="Times New Roman"/>
    </w:rPr>
  </w:style>
  <w:style w:type="character" w:customStyle="1" w:styleId="BalloonTextChar">
    <w:name w:val="Balloon Text Char"/>
    <w:uiPriority w:val="99"/>
    <w:semiHidden/>
    <w:locked/>
    <w:rsid w:val="00CD5A8C"/>
    <w:rPr>
      <w:rFonts w:ascii="Tahoma" w:hAnsi="Tahoma" w:cs="Tahoma"/>
      <w:sz w:val="16"/>
      <w:szCs w:val="16"/>
    </w:rPr>
  </w:style>
  <w:style w:type="paragraph" w:customStyle="1" w:styleId="AppelnotedebasdepageCharChar">
    <w:name w:val="Appel note de bas de page Char Char"/>
    <w:aliases w:val="Texto de nota al pie Char Char,referencia nota al pie Char Char,a Footnote Reference Char Char,a Footnote text + MetaNormal-Roman Char Char,4_G Char Char Char"/>
    <w:basedOn w:val="a"/>
    <w:uiPriority w:val="99"/>
    <w:rsid w:val="00CD5A8C"/>
    <w:pPr>
      <w:tabs>
        <w:tab w:val="clear" w:pos="431"/>
      </w:tabs>
      <w:overflowPunct/>
      <w:adjustRightInd/>
      <w:snapToGrid/>
      <w:spacing w:after="200" w:line="276" w:lineRule="auto"/>
      <w:jc w:val="left"/>
    </w:pPr>
    <w:rPr>
      <w:noProof/>
      <w:snapToGrid/>
      <w:color w:val="0000FF"/>
      <w:szCs w:val="24"/>
      <w:vertAlign w:val="superscript"/>
    </w:rPr>
  </w:style>
  <w:style w:type="paragraph" w:customStyle="1" w:styleId="4GCharChar">
    <w:name w:val="4_G Char Char"/>
    <w:aliases w:val="Appel note de bas de page Char Char Char,Texto de nota al pie Char Char Char,referencia nota al pie Char Char Char,FZ Char Char Char,a Footnote Reference Char Char Char,a Footnote text + MetaNormal-Roman Char Char Char,4_G Char Char Char1"/>
    <w:basedOn w:val="a"/>
    <w:uiPriority w:val="99"/>
    <w:rsid w:val="00CD5A8C"/>
    <w:pPr>
      <w:tabs>
        <w:tab w:val="clear" w:pos="431"/>
      </w:tabs>
      <w:overflowPunct/>
      <w:adjustRightInd/>
      <w:snapToGrid/>
      <w:spacing w:after="200" w:line="276" w:lineRule="auto"/>
      <w:jc w:val="left"/>
    </w:pPr>
    <w:rPr>
      <w:noProof/>
      <w:snapToGrid/>
      <w:color w:val="0000FF"/>
      <w:szCs w:val="24"/>
      <w:vertAlign w:val="superscript"/>
    </w:rPr>
  </w:style>
  <w:style w:type="paragraph" w:customStyle="1" w:styleId="4GCharCharChar1Char">
    <w:name w:val="4_G Char Char Char1 Char"/>
    <w:aliases w:val="Appel note de bas de page Char Char Char Char Char,Texto de nota al pie Char Char Char Char Char,referencia nota al pie Char Char Char Char Char,FZ Char Char Char Char Char,a Footnote Reference Char Char Char Char Char"/>
    <w:basedOn w:val="a"/>
    <w:uiPriority w:val="99"/>
    <w:rsid w:val="00CD5A8C"/>
    <w:pPr>
      <w:tabs>
        <w:tab w:val="clear" w:pos="431"/>
      </w:tabs>
      <w:overflowPunct/>
      <w:adjustRightInd/>
      <w:snapToGrid/>
      <w:spacing w:after="200" w:line="276" w:lineRule="auto"/>
      <w:jc w:val="left"/>
    </w:pPr>
    <w:rPr>
      <w:noProof/>
      <w:snapToGrid/>
      <w:color w:val="0000FF"/>
      <w:szCs w:val="24"/>
      <w:vertAlign w:val="superscript"/>
    </w:rPr>
  </w:style>
  <w:style w:type="character" w:styleId="afff1">
    <w:name w:val="Placeholder Text"/>
    <w:basedOn w:val="a0"/>
    <w:uiPriority w:val="99"/>
    <w:semiHidden/>
    <w:rsid w:val="00CD5A8C"/>
    <w:rPr>
      <w:color w:val="808080"/>
    </w:rPr>
  </w:style>
  <w:style w:type="character" w:customStyle="1" w:styleId="high-light-bg4">
    <w:name w:val="high-light-bg4"/>
    <w:basedOn w:val="a0"/>
    <w:rsid w:val="00CD5A8C"/>
  </w:style>
  <w:style w:type="character" w:customStyle="1" w:styleId="Char11">
    <w:name w:val="批注框文本 Char1"/>
    <w:basedOn w:val="a0"/>
    <w:uiPriority w:val="99"/>
    <w:semiHidden/>
    <w:rsid w:val="00CD5A8C"/>
    <w:rPr>
      <w:snapToGrid w:val="0"/>
      <w:sz w:val="18"/>
      <w:szCs w:val="18"/>
    </w:rPr>
  </w:style>
  <w:style w:type="character" w:customStyle="1" w:styleId="Char12">
    <w:name w:val="标题 Char1"/>
    <w:basedOn w:val="a0"/>
    <w:uiPriority w:val="10"/>
    <w:semiHidden/>
    <w:rsid w:val="00CD5A8C"/>
    <w:rPr>
      <w:rFonts w:asciiTheme="majorHAnsi" w:hAnsiTheme="majorHAnsi" w:cstheme="majorBidi"/>
      <w:b/>
      <w:bCs/>
      <w:snapToGrid w:val="0"/>
      <w:sz w:val="32"/>
      <w:szCs w:val="32"/>
    </w:rPr>
  </w:style>
  <w:style w:type="character" w:customStyle="1" w:styleId="Char13">
    <w:name w:val="副标题 Char1"/>
    <w:basedOn w:val="a0"/>
    <w:uiPriority w:val="11"/>
    <w:semiHidden/>
    <w:rsid w:val="00CD5A8C"/>
    <w:rPr>
      <w:rFonts w:asciiTheme="majorHAnsi" w:hAnsiTheme="majorHAnsi" w:cstheme="majorBidi"/>
      <w:b/>
      <w:bCs/>
      <w:snapToGrid w:val="0"/>
      <w:kern w:val="28"/>
      <w:sz w:val="32"/>
      <w:szCs w:val="32"/>
    </w:rPr>
  </w:style>
  <w:style w:type="paragraph" w:styleId="TOC">
    <w:name w:val="TOC Heading"/>
    <w:basedOn w:val="1"/>
    <w:next w:val="a"/>
    <w:uiPriority w:val="39"/>
    <w:unhideWhenUsed/>
    <w:qFormat/>
    <w:rsid w:val="00396D56"/>
    <w:pPr>
      <w:keepNext w:val="0"/>
      <w:keepLines w:val="0"/>
      <w:widowControl/>
      <w:tabs>
        <w:tab w:val="clear" w:pos="431"/>
      </w:tabs>
      <w:overflowPunct/>
      <w:adjustRightInd/>
      <w:snapToGrid/>
      <w:spacing w:before="480" w:after="0" w:line="276" w:lineRule="auto"/>
      <w:contextualSpacing/>
      <w:jc w:val="left"/>
      <w:outlineLvl w:val="9"/>
    </w:pPr>
    <w:rPr>
      <w:rFonts w:asciiTheme="majorHAnsi" w:eastAsiaTheme="majorEastAsia" w:hAnsiTheme="majorHAnsi" w:cstheme="majorBidi"/>
      <w:bCs/>
      <w:color w:val="000000"/>
      <w:kern w:val="0"/>
      <w:sz w:val="28"/>
      <w:szCs w:val="28"/>
      <w:lang w:eastAsia="en-US" w:bidi="en-US"/>
    </w:rPr>
  </w:style>
  <w:style w:type="paragraph" w:styleId="afff2">
    <w:name w:val="caption"/>
    <w:basedOn w:val="a"/>
    <w:next w:val="a"/>
    <w:uiPriority w:val="35"/>
    <w:unhideWhenUsed/>
    <w:qFormat/>
    <w:rsid w:val="00396D56"/>
    <w:pPr>
      <w:tabs>
        <w:tab w:val="clear" w:pos="431"/>
      </w:tabs>
      <w:suppressAutoHyphens/>
      <w:kinsoku w:val="0"/>
      <w:autoSpaceDE w:val="0"/>
      <w:autoSpaceDN w:val="0"/>
      <w:spacing w:before="120" w:line="240" w:lineRule="atLeast"/>
      <w:jc w:val="left"/>
    </w:pPr>
    <w:rPr>
      <w:rFonts w:eastAsiaTheme="minorHAnsi"/>
      <w:b/>
      <w:bCs/>
      <w:snapToGrid/>
      <w:sz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qFormat="1"/>
    <w:lsdException w:name="annotation text" w:uiPriority="99"/>
    <w:lsdException w:name="header" w:qFormat="1"/>
    <w:lsdException w:name="footer" w:qFormat="1"/>
    <w:lsdException w:name="caption" w:semiHidden="1" w:uiPriority="35" w:unhideWhenUsed="1" w:qFormat="1"/>
    <w:lsdException w:name="footnote reference" w:qFormat="1"/>
    <w:lsdException w:name="annotation reference" w:uiPriority="99"/>
    <w:lsdException w:name="page number" w:qFormat="1"/>
    <w:lsdException w:name="endnote reference" w:qFormat="1"/>
    <w:lsdException w:name="endnote text"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tabs>
        <w:tab w:val="left" w:pos="431"/>
      </w:tabs>
      <w:overflowPunct w:val="0"/>
      <w:adjustRightInd w:val="0"/>
      <w:snapToGrid w:val="0"/>
      <w:spacing w:line="320" w:lineRule="exact"/>
      <w:jc w:val="both"/>
    </w:pPr>
    <w:rPr>
      <w:snapToGrid w:val="0"/>
      <w:sz w:val="21"/>
    </w:rPr>
  </w:style>
  <w:style w:type="paragraph" w:styleId="1">
    <w:name w:val="heading 1"/>
    <w:aliases w:val="Table_G"/>
    <w:basedOn w:val="a"/>
    <w:next w:val="a"/>
    <w:link w:val="1Char"/>
    <w:uiPriority w:val="9"/>
    <w:qFormat/>
    <w:pPr>
      <w:keepNext/>
      <w:keepLines/>
      <w:widowControl w:val="0"/>
      <w:spacing w:after="320" w:line="288" w:lineRule="auto"/>
      <w:jc w:val="center"/>
      <w:outlineLvl w:val="0"/>
    </w:pPr>
    <w:rPr>
      <w:b/>
      <w:snapToGrid/>
      <w:kern w:val="32"/>
      <w:sz w:val="30"/>
    </w:rPr>
  </w:style>
  <w:style w:type="paragraph" w:styleId="2">
    <w:name w:val="heading 2"/>
    <w:basedOn w:val="a"/>
    <w:next w:val="a"/>
    <w:link w:val="2Char"/>
    <w:uiPriority w:val="9"/>
    <w:qFormat/>
    <w:pPr>
      <w:keepNext/>
      <w:keepLines/>
      <w:widowControl w:val="0"/>
      <w:spacing w:after="320" w:line="288" w:lineRule="auto"/>
      <w:jc w:val="center"/>
      <w:outlineLvl w:val="1"/>
    </w:pPr>
    <w:rPr>
      <w:kern w:val="28"/>
      <w:sz w:val="28"/>
    </w:rPr>
  </w:style>
  <w:style w:type="paragraph" w:styleId="3">
    <w:name w:val="heading 3"/>
    <w:basedOn w:val="a"/>
    <w:next w:val="a"/>
    <w:link w:val="3Char"/>
    <w:uiPriority w:val="9"/>
    <w:qFormat/>
    <w:pPr>
      <w:keepNext/>
      <w:keepLines/>
      <w:widowControl w:val="0"/>
      <w:spacing w:after="320"/>
      <w:jc w:val="center"/>
      <w:outlineLvl w:val="2"/>
    </w:pPr>
    <w:rPr>
      <w:kern w:val="28"/>
      <w:u w:val="single"/>
    </w:rPr>
  </w:style>
  <w:style w:type="paragraph" w:styleId="4">
    <w:name w:val="heading 4"/>
    <w:basedOn w:val="a"/>
    <w:next w:val="a"/>
    <w:link w:val="4Char"/>
    <w:uiPriority w:val="9"/>
    <w:qFormat/>
    <w:pPr>
      <w:keepNext/>
      <w:keepLines/>
      <w:widowControl w:val="0"/>
      <w:spacing w:after="240"/>
      <w:outlineLvl w:val="3"/>
    </w:pPr>
    <w:rPr>
      <w:u w:val="single"/>
    </w:rPr>
  </w:style>
  <w:style w:type="paragraph" w:styleId="5">
    <w:name w:val="heading 5"/>
    <w:basedOn w:val="a"/>
    <w:next w:val="a"/>
    <w:link w:val="5Char"/>
    <w:uiPriority w:val="9"/>
    <w:qFormat/>
    <w:pPr>
      <w:spacing w:after="240"/>
      <w:outlineLvl w:val="4"/>
    </w:pPr>
    <w:rPr>
      <w:rFonts w:eastAsia="黑体"/>
      <w:bCs/>
      <w:szCs w:val="36"/>
    </w:rPr>
  </w:style>
  <w:style w:type="paragraph" w:styleId="6">
    <w:name w:val="heading 6"/>
    <w:basedOn w:val="a"/>
    <w:next w:val="a"/>
    <w:link w:val="6Char"/>
    <w:uiPriority w:val="9"/>
    <w:qFormat/>
    <w:pPr>
      <w:keepNext/>
      <w:keepLines/>
      <w:spacing w:before="240" w:after="64" w:line="320" w:lineRule="auto"/>
      <w:outlineLvl w:val="5"/>
    </w:pPr>
    <w:rPr>
      <w:rFonts w:ascii="Arial" w:eastAsia="黑体" w:hAnsi="Arial"/>
      <w:b/>
      <w:bCs/>
      <w:szCs w:val="24"/>
    </w:rPr>
  </w:style>
  <w:style w:type="paragraph" w:styleId="7">
    <w:name w:val="heading 7"/>
    <w:basedOn w:val="a"/>
    <w:next w:val="a"/>
    <w:link w:val="7Char"/>
    <w:uiPriority w:val="9"/>
    <w:qFormat/>
    <w:pPr>
      <w:keepNext/>
      <w:keepLines/>
      <w:spacing w:before="240" w:after="64" w:line="320" w:lineRule="auto"/>
      <w:outlineLvl w:val="6"/>
    </w:pPr>
    <w:rPr>
      <w:b/>
      <w:bCs/>
      <w:szCs w:val="24"/>
    </w:rPr>
  </w:style>
  <w:style w:type="paragraph" w:styleId="8">
    <w:name w:val="heading 8"/>
    <w:basedOn w:val="a"/>
    <w:next w:val="a"/>
    <w:link w:val="8Char"/>
    <w:uiPriority w:val="9"/>
    <w:qFormat/>
    <w:pPr>
      <w:keepNext/>
      <w:keepLines/>
      <w:spacing w:before="240" w:after="64" w:line="320" w:lineRule="auto"/>
      <w:outlineLvl w:val="7"/>
    </w:pPr>
    <w:rPr>
      <w:rFonts w:ascii="Arial" w:eastAsia="黑体" w:hAnsi="Arial"/>
      <w:szCs w:val="24"/>
    </w:rPr>
  </w:style>
  <w:style w:type="paragraph" w:styleId="9">
    <w:name w:val="heading 9"/>
    <w:basedOn w:val="a"/>
    <w:next w:val="a"/>
    <w:link w:val="9Char"/>
    <w:uiPriority w:val="9"/>
    <w:qFormat/>
    <w:pPr>
      <w:keepNext/>
      <w:keepLines/>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ashGC">
    <w:name w:val="_Dash_GC"/>
    <w:basedOn w:val="a"/>
    <w:qFormat/>
    <w:rsid w:val="000E6BBE"/>
    <w:pPr>
      <w:numPr>
        <w:numId w:val="3"/>
      </w:numPr>
      <w:spacing w:after="120"/>
      <w:ind w:right="1134"/>
    </w:pPr>
    <w:rPr>
      <w:lang w:val="fr-CH"/>
    </w:rPr>
  </w:style>
  <w:style w:type="paragraph" w:styleId="a3">
    <w:name w:val="macro"/>
    <w:link w:val="Char"/>
    <w:semiHidden/>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textAlignment w:val="baseline"/>
    </w:pPr>
    <w:rPr>
      <w:kern w:val="24"/>
      <w:sz w:val="24"/>
    </w:rPr>
  </w:style>
  <w:style w:type="paragraph" w:styleId="a4">
    <w:name w:val="footnote text"/>
    <w:aliases w:val="5_G,Footnote Expulsion, Char,Char,FOOTNOTES,fn,single space,footnote text,f,ft,Footnote Text 1,Footnote Text Char1,Footnote Text Char Char,Footnote Text Char Char Char,Footnote Text Char2 Char,Footnote Text Char1 Char Char,ALTS FOOTNOTE,AD,ADB"/>
    <w:basedOn w:val="a"/>
    <w:link w:val="Char1"/>
    <w:qFormat/>
    <w:rsid w:val="00396F90"/>
    <w:pPr>
      <w:keepLines/>
      <w:tabs>
        <w:tab w:val="clear" w:pos="431"/>
        <w:tab w:val="right" w:pos="1021"/>
      </w:tabs>
      <w:spacing w:after="120" w:line="240" w:lineRule="exact"/>
      <w:ind w:left="1134" w:right="1134" w:hanging="1134"/>
    </w:pPr>
    <w:rPr>
      <w:sz w:val="18"/>
    </w:rPr>
  </w:style>
  <w:style w:type="character" w:styleId="a5">
    <w:name w:val="footnote reference"/>
    <w:aliases w:val="脚注引用 Char,4_G Char,(Dipl..."/>
    <w:basedOn w:val="a0"/>
    <w:link w:val="10"/>
    <w:qFormat/>
    <w:rsid w:val="007D7A49"/>
    <w:rPr>
      <w:color w:val="0000FF"/>
      <w:sz w:val="21"/>
      <w:vertAlign w:val="superscript"/>
    </w:rPr>
  </w:style>
  <w:style w:type="paragraph" w:customStyle="1" w:styleId="a6">
    <w:name w:val="表中文字"/>
    <w:basedOn w:val="SingleTxtGC"/>
    <w:qFormat/>
    <w:rsid w:val="00966ED5"/>
    <w:pPr>
      <w:spacing w:before="40" w:line="240" w:lineRule="atLeast"/>
      <w:ind w:left="0" w:right="113"/>
    </w:pPr>
    <w:rPr>
      <w:sz w:val="18"/>
    </w:rPr>
  </w:style>
  <w:style w:type="paragraph" w:customStyle="1" w:styleId="a7">
    <w:name w:val="目录段页次"/>
    <w:basedOn w:val="a"/>
    <w:qFormat/>
    <w:rsid w:val="001E246A"/>
    <w:pPr>
      <w:widowControl w:val="0"/>
      <w:tabs>
        <w:tab w:val="clear" w:pos="431"/>
        <w:tab w:val="right" w:pos="851"/>
        <w:tab w:val="left" w:pos="1134"/>
        <w:tab w:val="left" w:pos="1565"/>
        <w:tab w:val="left" w:pos="1996"/>
        <w:tab w:val="right" w:leader="dot" w:pos="7655"/>
        <w:tab w:val="right" w:pos="8789"/>
        <w:tab w:val="right" w:pos="9554"/>
      </w:tabs>
      <w:spacing w:after="120"/>
      <w:ind w:left="1134" w:right="4253" w:hanging="1134"/>
    </w:pPr>
  </w:style>
  <w:style w:type="paragraph" w:customStyle="1" w:styleId="a8">
    <w:name w:val="目录页次"/>
    <w:basedOn w:val="a"/>
    <w:qFormat/>
    <w:rsid w:val="001E246A"/>
    <w:pPr>
      <w:widowControl w:val="0"/>
      <w:tabs>
        <w:tab w:val="clear" w:pos="431"/>
        <w:tab w:val="right" w:pos="851"/>
        <w:tab w:val="left" w:pos="1134"/>
        <w:tab w:val="left" w:pos="1565"/>
        <w:tab w:val="left" w:pos="1996"/>
        <w:tab w:val="right" w:leader="dot" w:pos="8789"/>
        <w:tab w:val="right" w:pos="9554"/>
      </w:tabs>
      <w:spacing w:after="120"/>
      <w:ind w:left="1134" w:right="3119" w:hanging="1134"/>
    </w:pPr>
  </w:style>
  <w:style w:type="paragraph" w:customStyle="1" w:styleId="a9">
    <w:name w:val="缩进正文"/>
    <w:basedOn w:val="SingleTxtGC"/>
    <w:qFormat/>
    <w:rsid w:val="006E1FD9"/>
    <w:pPr>
      <w:ind w:left="1565"/>
    </w:pPr>
  </w:style>
  <w:style w:type="paragraph" w:customStyle="1" w:styleId="SingleTxtGC">
    <w:name w:val="_ Single Txt_GC"/>
    <w:basedOn w:val="a"/>
    <w:link w:val="SingleTxtGCChar"/>
    <w:qFormat/>
    <w:rsid w:val="000B373F"/>
    <w:pPr>
      <w:tabs>
        <w:tab w:val="left" w:pos="1134"/>
        <w:tab w:val="left" w:pos="1565"/>
        <w:tab w:val="left" w:pos="1996"/>
        <w:tab w:val="left" w:pos="2427"/>
      </w:tabs>
      <w:spacing w:after="120"/>
      <w:ind w:left="1134" w:right="1134"/>
    </w:pPr>
  </w:style>
  <w:style w:type="paragraph" w:styleId="aa">
    <w:name w:val="endnote text"/>
    <w:aliases w:val="2_G"/>
    <w:basedOn w:val="a4"/>
    <w:link w:val="Char0"/>
    <w:qFormat/>
    <w:rsid w:val="00CE64D7"/>
  </w:style>
  <w:style w:type="paragraph" w:customStyle="1" w:styleId="Appelnotedebasdepage">
    <w:name w:val="Appel note de bas de page"/>
    <w:aliases w:val="Texto de nota al pie,referencia nota al pie,FZ,a Footnote Reference,a Footnote text + MetaNormal-Roman,Appel note de bas de page Char1 Char Char Char Char Char,FZ Char Char Char1 Char Char Char"/>
    <w:basedOn w:val="a"/>
    <w:rsid w:val="00790CCC"/>
    <w:pPr>
      <w:tabs>
        <w:tab w:val="clear" w:pos="431"/>
      </w:tabs>
      <w:overflowPunct/>
      <w:adjustRightInd/>
      <w:snapToGrid/>
      <w:spacing w:line="240" w:lineRule="auto"/>
      <w:jc w:val="left"/>
    </w:pPr>
    <w:rPr>
      <w:color w:val="0000FF"/>
      <w:vertAlign w:val="superscript"/>
    </w:rPr>
  </w:style>
  <w:style w:type="paragraph" w:styleId="ab">
    <w:name w:val="footer"/>
    <w:aliases w:val="3_G"/>
    <w:basedOn w:val="a"/>
    <w:link w:val="Char2"/>
    <w:qFormat/>
    <w:rsid w:val="002F3AFC"/>
    <w:pPr>
      <w:overflowPunct/>
      <w:spacing w:line="240" w:lineRule="auto"/>
      <w:jc w:val="left"/>
    </w:pPr>
    <w:rPr>
      <w:rFonts w:eastAsia="Times New Roman"/>
      <w:sz w:val="16"/>
      <w:szCs w:val="16"/>
      <w:lang w:val="en-GB" w:eastAsia="en-US"/>
    </w:rPr>
  </w:style>
  <w:style w:type="character" w:styleId="ac">
    <w:name w:val="page number"/>
    <w:aliases w:val="7_G"/>
    <w:qFormat/>
    <w:rsid w:val="002F3AFC"/>
    <w:rPr>
      <w:rFonts w:ascii="Times New Roman" w:hAnsi="Times New Roman"/>
      <w:b/>
      <w:i w:val="0"/>
      <w:snapToGrid w:val="0"/>
      <w:spacing w:val="0"/>
      <w:kern w:val="0"/>
      <w:sz w:val="18"/>
      <w14:cntxtAlts w14:val="0"/>
    </w:rPr>
  </w:style>
  <w:style w:type="paragraph" w:styleId="ad">
    <w:name w:val="header"/>
    <w:aliases w:val="6_G"/>
    <w:basedOn w:val="a"/>
    <w:link w:val="Char3"/>
    <w:qFormat/>
    <w:pPr>
      <w:pBdr>
        <w:bottom w:val="single" w:sz="4" w:space="4" w:color="auto"/>
      </w:pBdr>
      <w:tabs>
        <w:tab w:val="left" w:pos="992"/>
        <w:tab w:val="left" w:pos="5772"/>
        <w:tab w:val="left" w:pos="6634"/>
        <w:tab w:val="left" w:pos="7144"/>
        <w:tab w:val="left" w:pos="7655"/>
        <w:tab w:val="left" w:pos="8165"/>
      </w:tabs>
      <w:spacing w:line="240" w:lineRule="auto"/>
    </w:pPr>
    <w:rPr>
      <w:b/>
      <w:sz w:val="18"/>
      <w:lang w:val="en-GB" w:eastAsia="en-US"/>
    </w:rPr>
  </w:style>
  <w:style w:type="paragraph" w:customStyle="1" w:styleId="Bullet1GC">
    <w:name w:val="_Bullet 1_GC"/>
    <w:basedOn w:val="a"/>
    <w:qFormat/>
    <w:pPr>
      <w:numPr>
        <w:numId w:val="1"/>
      </w:numPr>
      <w:spacing w:after="120"/>
      <w:ind w:right="1134"/>
    </w:pPr>
  </w:style>
  <w:style w:type="paragraph" w:customStyle="1" w:styleId="Bullet2GC">
    <w:name w:val="_Bullet 2_GC"/>
    <w:basedOn w:val="a"/>
    <w:qFormat/>
    <w:rsid w:val="000E6BBE"/>
    <w:pPr>
      <w:numPr>
        <w:numId w:val="2"/>
      </w:numPr>
      <w:spacing w:after="120"/>
      <w:ind w:right="1134"/>
    </w:pPr>
  </w:style>
  <w:style w:type="paragraph" w:styleId="ae">
    <w:name w:val="Title"/>
    <w:basedOn w:val="a"/>
    <w:link w:val="Char4"/>
    <w:uiPriority w:val="10"/>
    <w:qFormat/>
    <w:rsid w:val="00080558"/>
    <w:pPr>
      <w:spacing w:before="240" w:after="60"/>
      <w:jc w:val="center"/>
      <w:outlineLvl w:val="0"/>
    </w:pPr>
    <w:rPr>
      <w:rFonts w:ascii="Arial" w:hAnsi="Arial" w:cs="Arial"/>
      <w:b/>
      <w:bCs/>
      <w:sz w:val="32"/>
      <w:szCs w:val="32"/>
    </w:rPr>
  </w:style>
  <w:style w:type="character" w:styleId="af">
    <w:name w:val="Hyperlink"/>
    <w:basedOn w:val="a0"/>
    <w:uiPriority w:val="99"/>
    <w:rPr>
      <w:color w:val="0000FF"/>
      <w:u w:val="none"/>
    </w:rPr>
  </w:style>
  <w:style w:type="character" w:styleId="af0">
    <w:name w:val="FollowedHyperlink"/>
    <w:basedOn w:val="a0"/>
    <w:uiPriority w:val="99"/>
    <w:rPr>
      <w:color w:val="800080"/>
      <w:u w:val="none"/>
    </w:rPr>
  </w:style>
  <w:style w:type="paragraph" w:customStyle="1" w:styleId="H56GC">
    <w:name w:val="_ H_5/6_GC"/>
    <w:basedOn w:val="a"/>
    <w:next w:val="SingleTxtGC"/>
    <w:qFormat/>
    <w:rsid w:val="003D4F4F"/>
    <w:pPr>
      <w:keepNext/>
      <w:keepLines/>
      <w:tabs>
        <w:tab w:val="clear" w:pos="431"/>
        <w:tab w:val="right" w:pos="851"/>
      </w:tabs>
      <w:spacing w:before="240" w:after="120"/>
      <w:ind w:left="1134" w:right="1134" w:hanging="1134"/>
      <w:outlineLvl w:val="5"/>
    </w:pPr>
  </w:style>
  <w:style w:type="paragraph" w:customStyle="1" w:styleId="H4GC">
    <w:name w:val="_ H_4_GC"/>
    <w:basedOn w:val="a"/>
    <w:next w:val="SingleTxtGC"/>
    <w:link w:val="H4GCChar"/>
    <w:qFormat/>
    <w:rsid w:val="003D4F4F"/>
    <w:pPr>
      <w:keepNext/>
      <w:keepLines/>
      <w:tabs>
        <w:tab w:val="clear" w:pos="431"/>
        <w:tab w:val="right" w:pos="851"/>
      </w:tabs>
      <w:spacing w:before="240" w:after="120"/>
      <w:ind w:left="1134" w:right="1134" w:hanging="1134"/>
      <w:outlineLvl w:val="4"/>
    </w:pPr>
    <w:rPr>
      <w:rFonts w:eastAsia="楷体_GB2312"/>
      <w:sz w:val="23"/>
    </w:rPr>
  </w:style>
  <w:style w:type="paragraph" w:customStyle="1" w:styleId="HChGC">
    <w:name w:val="_ H _Ch_GC"/>
    <w:basedOn w:val="a"/>
    <w:next w:val="SingleTxtGC"/>
    <w:link w:val="HChGCChar"/>
    <w:qFormat/>
    <w:rsid w:val="003D4F4F"/>
    <w:pPr>
      <w:keepNext/>
      <w:keepLines/>
      <w:tabs>
        <w:tab w:val="clear" w:pos="431"/>
        <w:tab w:val="right" w:pos="851"/>
      </w:tabs>
      <w:spacing w:before="360" w:after="240" w:line="400" w:lineRule="exact"/>
      <w:ind w:left="1134" w:right="1134" w:hanging="1134"/>
      <w:outlineLvl w:val="1"/>
    </w:pPr>
    <w:rPr>
      <w:rFonts w:eastAsia="黑体"/>
      <w:sz w:val="28"/>
    </w:rPr>
  </w:style>
  <w:style w:type="paragraph" w:customStyle="1" w:styleId="SLGC">
    <w:name w:val="__S_L_GC"/>
    <w:basedOn w:val="a"/>
    <w:next w:val="SingleTxtGC"/>
    <w:qFormat/>
    <w:rsid w:val="009E2C4E"/>
    <w:pPr>
      <w:keepNext/>
      <w:keepLines/>
      <w:spacing w:before="240" w:after="240" w:line="580" w:lineRule="exact"/>
      <w:ind w:left="1134" w:right="1134"/>
      <w:jc w:val="left"/>
    </w:pPr>
    <w:rPr>
      <w:rFonts w:eastAsia="黑体"/>
      <w:sz w:val="56"/>
    </w:rPr>
  </w:style>
  <w:style w:type="paragraph" w:customStyle="1" w:styleId="SMGC">
    <w:name w:val="__S_M_GC"/>
    <w:basedOn w:val="a"/>
    <w:next w:val="SingleTxtGC"/>
    <w:qFormat/>
    <w:rsid w:val="009E2C4E"/>
    <w:pPr>
      <w:keepNext/>
      <w:keepLines/>
      <w:spacing w:before="240" w:after="240" w:line="420" w:lineRule="exact"/>
      <w:ind w:left="1134" w:right="1134"/>
      <w:jc w:val="left"/>
    </w:pPr>
    <w:rPr>
      <w:rFonts w:eastAsia="黑体"/>
      <w:sz w:val="40"/>
    </w:rPr>
  </w:style>
  <w:style w:type="paragraph" w:customStyle="1" w:styleId="SSGC">
    <w:name w:val="__S_S_GC"/>
    <w:basedOn w:val="a"/>
    <w:next w:val="SingleTxtGC"/>
    <w:qFormat/>
    <w:rsid w:val="009E2C4E"/>
    <w:pPr>
      <w:keepNext/>
      <w:keepLines/>
      <w:spacing w:before="240" w:after="240" w:line="300" w:lineRule="exact"/>
      <w:ind w:left="1134" w:right="1134"/>
      <w:jc w:val="left"/>
    </w:pPr>
    <w:rPr>
      <w:rFonts w:eastAsia="黑体"/>
      <w:sz w:val="28"/>
    </w:rPr>
  </w:style>
  <w:style w:type="paragraph" w:customStyle="1" w:styleId="XLargeGC">
    <w:name w:val="__XLarge_GC"/>
    <w:basedOn w:val="a"/>
    <w:next w:val="SingleTxtGC"/>
    <w:qFormat/>
    <w:rsid w:val="009E2C4E"/>
    <w:pPr>
      <w:keepNext/>
      <w:keepLines/>
      <w:spacing w:before="240" w:after="240" w:line="420" w:lineRule="exact"/>
      <w:ind w:left="1134" w:right="1134"/>
      <w:jc w:val="left"/>
    </w:pPr>
    <w:rPr>
      <w:rFonts w:eastAsia="黑体"/>
      <w:sz w:val="40"/>
    </w:rPr>
  </w:style>
  <w:style w:type="paragraph" w:customStyle="1" w:styleId="HMGC">
    <w:name w:val="_ H __M_GC"/>
    <w:basedOn w:val="a"/>
    <w:next w:val="SingleTxtGC"/>
    <w:qFormat/>
    <w:rsid w:val="003D4F4F"/>
    <w:pPr>
      <w:keepNext/>
      <w:keepLines/>
      <w:tabs>
        <w:tab w:val="clear" w:pos="431"/>
        <w:tab w:val="right" w:pos="851"/>
      </w:tabs>
      <w:spacing w:before="240" w:after="240" w:line="440" w:lineRule="exact"/>
      <w:ind w:left="1134" w:right="1134" w:hanging="1134"/>
      <w:outlineLvl w:val="0"/>
    </w:pPr>
    <w:rPr>
      <w:rFonts w:eastAsia="黑体"/>
      <w:sz w:val="34"/>
    </w:rPr>
  </w:style>
  <w:style w:type="paragraph" w:customStyle="1" w:styleId="H1GC">
    <w:name w:val="_ H_1_GC"/>
    <w:basedOn w:val="a"/>
    <w:next w:val="SingleTxtGC"/>
    <w:link w:val="H1GCChar"/>
    <w:qFormat/>
    <w:rsid w:val="003D4F4F"/>
    <w:pPr>
      <w:keepNext/>
      <w:keepLines/>
      <w:tabs>
        <w:tab w:val="clear" w:pos="431"/>
        <w:tab w:val="right" w:pos="851"/>
      </w:tabs>
      <w:spacing w:before="360" w:after="240"/>
      <w:ind w:left="1134" w:right="1134" w:hanging="1134"/>
      <w:outlineLvl w:val="2"/>
    </w:pPr>
    <w:rPr>
      <w:rFonts w:eastAsia="黑体"/>
      <w:sz w:val="24"/>
    </w:rPr>
  </w:style>
  <w:style w:type="paragraph" w:customStyle="1" w:styleId="H23GC">
    <w:name w:val="_ H_2/3_GC"/>
    <w:basedOn w:val="a"/>
    <w:next w:val="SingleTxtGC"/>
    <w:link w:val="H23GCChar"/>
    <w:qFormat/>
    <w:rsid w:val="004F3A49"/>
    <w:pPr>
      <w:keepNext/>
      <w:keepLines/>
      <w:tabs>
        <w:tab w:val="clear" w:pos="431"/>
        <w:tab w:val="right" w:pos="851"/>
      </w:tabs>
      <w:spacing w:before="240" w:after="120"/>
      <w:ind w:left="1134" w:right="1134" w:hanging="1134"/>
      <w:outlineLvl w:val="3"/>
    </w:pPr>
    <w:rPr>
      <w:rFonts w:eastAsia="黑体"/>
      <w:sz w:val="22"/>
    </w:rPr>
  </w:style>
  <w:style w:type="paragraph" w:customStyle="1" w:styleId="af1">
    <w:name w:val="悬挂"/>
    <w:basedOn w:val="a"/>
    <w:qFormat/>
    <w:rsid w:val="002F3AFC"/>
    <w:pPr>
      <w:tabs>
        <w:tab w:val="left" w:pos="1134"/>
        <w:tab w:val="left" w:pos="1565"/>
        <w:tab w:val="left" w:pos="1996"/>
        <w:tab w:val="left" w:pos="2427"/>
      </w:tabs>
      <w:overflowPunct/>
      <w:spacing w:after="120"/>
      <w:ind w:left="1565" w:right="1134" w:hanging="431"/>
      <w:jc w:val="left"/>
    </w:pPr>
    <w:rPr>
      <w:szCs w:val="21"/>
    </w:rPr>
  </w:style>
  <w:style w:type="table" w:styleId="af2">
    <w:name w:val="Table Grid"/>
    <w:basedOn w:val="a1"/>
    <w:rsid w:val="00D7405B"/>
    <w:pPr>
      <w:tabs>
        <w:tab w:val="left" w:pos="431"/>
      </w:tabs>
      <w:overflowPunct w:val="0"/>
      <w:adjustRightInd w:val="0"/>
      <w:snapToGrid w:val="0"/>
      <w:spacing w:line="32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表中标题"/>
    <w:basedOn w:val="SingleTxtGC"/>
    <w:qFormat/>
    <w:rsid w:val="00D7405B"/>
    <w:pPr>
      <w:spacing w:before="80" w:after="80" w:line="200" w:lineRule="exact"/>
      <w:ind w:left="0" w:right="0"/>
      <w:jc w:val="left"/>
    </w:pPr>
    <w:rPr>
      <w:rFonts w:eastAsia="楷体_GB2312"/>
      <w:sz w:val="18"/>
    </w:rPr>
  </w:style>
  <w:style w:type="paragraph" w:customStyle="1" w:styleId="af4">
    <w:name w:val="表数文字"/>
    <w:basedOn w:val="SingleTxtGC"/>
    <w:qFormat/>
    <w:rsid w:val="00120CF8"/>
    <w:pPr>
      <w:spacing w:before="40" w:after="40" w:line="240" w:lineRule="atLeast"/>
      <w:ind w:left="0" w:right="113"/>
    </w:pPr>
    <w:rPr>
      <w:sz w:val="18"/>
    </w:rPr>
  </w:style>
  <w:style w:type="paragraph" w:styleId="af5">
    <w:name w:val="Balloon Text"/>
    <w:basedOn w:val="a"/>
    <w:link w:val="Char5"/>
    <w:uiPriority w:val="99"/>
    <w:rsid w:val="00324E57"/>
    <w:rPr>
      <w:sz w:val="18"/>
      <w:szCs w:val="18"/>
    </w:rPr>
  </w:style>
  <w:style w:type="character" w:customStyle="1" w:styleId="Char2">
    <w:name w:val="页脚 Char"/>
    <w:aliases w:val="3_G Char"/>
    <w:link w:val="ab"/>
    <w:rsid w:val="002F3AFC"/>
    <w:rPr>
      <w:rFonts w:eastAsia="Times New Roman"/>
      <w:snapToGrid w:val="0"/>
      <w:sz w:val="16"/>
      <w:szCs w:val="16"/>
      <w:lang w:val="en-GB" w:eastAsia="en-US"/>
    </w:rPr>
  </w:style>
  <w:style w:type="character" w:customStyle="1" w:styleId="1Char">
    <w:name w:val="标题 1 Char"/>
    <w:aliases w:val="Table_G Char"/>
    <w:link w:val="1"/>
    <w:uiPriority w:val="9"/>
    <w:rsid w:val="00103498"/>
    <w:rPr>
      <w:b/>
      <w:kern w:val="32"/>
      <w:sz w:val="30"/>
    </w:rPr>
  </w:style>
  <w:style w:type="character" w:customStyle="1" w:styleId="2Char">
    <w:name w:val="标题 2 Char"/>
    <w:link w:val="2"/>
    <w:uiPriority w:val="9"/>
    <w:rsid w:val="00103498"/>
    <w:rPr>
      <w:snapToGrid w:val="0"/>
      <w:kern w:val="28"/>
      <w:sz w:val="28"/>
    </w:rPr>
  </w:style>
  <w:style w:type="character" w:customStyle="1" w:styleId="3Char">
    <w:name w:val="标题 3 Char"/>
    <w:link w:val="3"/>
    <w:uiPriority w:val="9"/>
    <w:rsid w:val="00103498"/>
    <w:rPr>
      <w:snapToGrid w:val="0"/>
      <w:kern w:val="28"/>
      <w:sz w:val="21"/>
      <w:u w:val="single"/>
    </w:rPr>
  </w:style>
  <w:style w:type="character" w:customStyle="1" w:styleId="4Char">
    <w:name w:val="标题 4 Char"/>
    <w:link w:val="4"/>
    <w:uiPriority w:val="9"/>
    <w:rsid w:val="00103498"/>
    <w:rPr>
      <w:snapToGrid w:val="0"/>
      <w:sz w:val="21"/>
      <w:u w:val="single"/>
    </w:rPr>
  </w:style>
  <w:style w:type="character" w:customStyle="1" w:styleId="5Char">
    <w:name w:val="标题 5 Char"/>
    <w:link w:val="5"/>
    <w:uiPriority w:val="9"/>
    <w:rsid w:val="00103498"/>
    <w:rPr>
      <w:rFonts w:eastAsia="黑体"/>
      <w:bCs/>
      <w:snapToGrid w:val="0"/>
      <w:sz w:val="21"/>
      <w:szCs w:val="36"/>
    </w:rPr>
  </w:style>
  <w:style w:type="character" w:customStyle="1" w:styleId="6Char">
    <w:name w:val="标题 6 Char"/>
    <w:link w:val="6"/>
    <w:uiPriority w:val="9"/>
    <w:rsid w:val="00103498"/>
    <w:rPr>
      <w:rFonts w:ascii="Arial" w:eastAsia="黑体" w:hAnsi="Arial"/>
      <w:b/>
      <w:bCs/>
      <w:snapToGrid w:val="0"/>
      <w:sz w:val="21"/>
      <w:szCs w:val="24"/>
    </w:rPr>
  </w:style>
  <w:style w:type="character" w:customStyle="1" w:styleId="7Char">
    <w:name w:val="标题 7 Char"/>
    <w:link w:val="7"/>
    <w:uiPriority w:val="9"/>
    <w:rsid w:val="00103498"/>
    <w:rPr>
      <w:b/>
      <w:bCs/>
      <w:snapToGrid w:val="0"/>
      <w:sz w:val="21"/>
      <w:szCs w:val="24"/>
    </w:rPr>
  </w:style>
  <w:style w:type="character" w:customStyle="1" w:styleId="8Char">
    <w:name w:val="标题 8 Char"/>
    <w:link w:val="8"/>
    <w:uiPriority w:val="9"/>
    <w:rsid w:val="00103498"/>
    <w:rPr>
      <w:rFonts w:ascii="Arial" w:eastAsia="黑体" w:hAnsi="Arial"/>
      <w:snapToGrid w:val="0"/>
      <w:sz w:val="21"/>
      <w:szCs w:val="24"/>
    </w:rPr>
  </w:style>
  <w:style w:type="character" w:customStyle="1" w:styleId="9Char">
    <w:name w:val="标题 9 Char"/>
    <w:link w:val="9"/>
    <w:uiPriority w:val="9"/>
    <w:rsid w:val="00103498"/>
    <w:rPr>
      <w:rFonts w:ascii="Arial" w:eastAsia="黑体" w:hAnsi="Arial"/>
      <w:snapToGrid w:val="0"/>
      <w:sz w:val="21"/>
      <w:szCs w:val="21"/>
    </w:rPr>
  </w:style>
  <w:style w:type="character" w:customStyle="1" w:styleId="Char">
    <w:name w:val="宏文本 Char"/>
    <w:link w:val="a3"/>
    <w:semiHidden/>
    <w:rsid w:val="00103498"/>
    <w:rPr>
      <w:kern w:val="24"/>
      <w:sz w:val="24"/>
    </w:rPr>
  </w:style>
  <w:style w:type="character" w:customStyle="1" w:styleId="Char1">
    <w:name w:val="脚注文本 Char1"/>
    <w:aliases w:val="5_G Char1,Footnote Expulsion Char1, Char Char1,Char Char,FOOTNOTES Char1,fn Char1,single space Char1,footnote text Char1,f Char1,ft Char1,Footnote Text 1 Char1,Footnote Text Char1 Char1,Footnote Text Char Char Char2,ALTS FOOTNOTE Char1"/>
    <w:link w:val="a4"/>
    <w:uiPriority w:val="99"/>
    <w:rsid w:val="00103498"/>
    <w:rPr>
      <w:snapToGrid w:val="0"/>
      <w:sz w:val="18"/>
    </w:rPr>
  </w:style>
  <w:style w:type="paragraph" w:customStyle="1" w:styleId="10">
    <w:name w:val="脚注引用1"/>
    <w:aliases w:val="4_G,fr,英文脚注引用,Appel note de bas de page Char,Texto de nota al pie Char,referencia nota al pie Char,FZ Char,a Footnote Reference Char,a Footnote text + MetaNormal-Roman Char,Appel note de bas de page Char1 Char Char Char Char Char Char"/>
    <w:basedOn w:val="a"/>
    <w:link w:val="a5"/>
    <w:uiPriority w:val="99"/>
    <w:qFormat/>
    <w:rsid w:val="007D7A49"/>
    <w:pPr>
      <w:tabs>
        <w:tab w:val="clear" w:pos="431"/>
      </w:tabs>
      <w:overflowPunct/>
      <w:adjustRightInd/>
      <w:snapToGrid/>
      <w:spacing w:line="240" w:lineRule="auto"/>
      <w:jc w:val="left"/>
    </w:pPr>
    <w:rPr>
      <w:snapToGrid/>
      <w:color w:val="0000FF"/>
      <w:vertAlign w:val="superscript"/>
    </w:rPr>
  </w:style>
  <w:style w:type="character" w:customStyle="1" w:styleId="SingleTxtGCChar">
    <w:name w:val="_ Single Txt_GC Char"/>
    <w:link w:val="SingleTxtGC"/>
    <w:rsid w:val="00103498"/>
    <w:rPr>
      <w:snapToGrid w:val="0"/>
      <w:sz w:val="21"/>
    </w:rPr>
  </w:style>
  <w:style w:type="character" w:customStyle="1" w:styleId="Char0">
    <w:name w:val="尾注文本 Char"/>
    <w:aliases w:val="2_G Char"/>
    <w:link w:val="aa"/>
    <w:rsid w:val="00103498"/>
    <w:rPr>
      <w:snapToGrid w:val="0"/>
      <w:sz w:val="18"/>
    </w:rPr>
  </w:style>
  <w:style w:type="character" w:customStyle="1" w:styleId="Char3">
    <w:name w:val="页眉 Char"/>
    <w:aliases w:val="6_G Char"/>
    <w:link w:val="ad"/>
    <w:rsid w:val="00103498"/>
    <w:rPr>
      <w:b/>
      <w:snapToGrid w:val="0"/>
      <w:sz w:val="18"/>
      <w:lang w:val="en-GB" w:eastAsia="en-US"/>
    </w:rPr>
  </w:style>
  <w:style w:type="character" w:customStyle="1" w:styleId="H4GCChar">
    <w:name w:val="_ H_4_GC Char"/>
    <w:link w:val="H4GC"/>
    <w:rsid w:val="00103498"/>
    <w:rPr>
      <w:rFonts w:eastAsia="楷体_GB2312"/>
      <w:snapToGrid w:val="0"/>
      <w:sz w:val="23"/>
    </w:rPr>
  </w:style>
  <w:style w:type="character" w:customStyle="1" w:styleId="HChGCChar">
    <w:name w:val="_ H _Ch_GC Char"/>
    <w:link w:val="HChGC"/>
    <w:rsid w:val="00103498"/>
    <w:rPr>
      <w:rFonts w:eastAsia="黑体"/>
      <w:snapToGrid w:val="0"/>
      <w:sz w:val="28"/>
    </w:rPr>
  </w:style>
  <w:style w:type="character" w:customStyle="1" w:styleId="H1GCChar">
    <w:name w:val="_ H_1_GC Char"/>
    <w:link w:val="H1GC"/>
    <w:rsid w:val="00103498"/>
    <w:rPr>
      <w:rFonts w:eastAsia="黑体"/>
      <w:snapToGrid w:val="0"/>
      <w:sz w:val="24"/>
    </w:rPr>
  </w:style>
  <w:style w:type="character" w:customStyle="1" w:styleId="H23GCChar">
    <w:name w:val="_ H_2/3_GC Char"/>
    <w:link w:val="H23GC"/>
    <w:rsid w:val="00103498"/>
    <w:rPr>
      <w:rFonts w:eastAsia="黑体"/>
      <w:snapToGrid w:val="0"/>
      <w:sz w:val="22"/>
    </w:rPr>
  </w:style>
  <w:style w:type="paragraph" w:customStyle="1" w:styleId="SingleTxt">
    <w:name w:val="__Single Txt"/>
    <w:basedOn w:val="a"/>
    <w:qFormat/>
    <w:rsid w:val="00103498"/>
    <w:pPr>
      <w:tabs>
        <w:tab w:val="clear" w:pos="431"/>
        <w:tab w:val="left" w:pos="1264"/>
        <w:tab w:val="left" w:pos="1695"/>
        <w:tab w:val="left" w:pos="2126"/>
        <w:tab w:val="left" w:pos="2557"/>
        <w:tab w:val="left" w:pos="2988"/>
        <w:tab w:val="left" w:pos="3419"/>
        <w:tab w:val="left" w:pos="3850"/>
        <w:tab w:val="left" w:pos="4281"/>
        <w:tab w:val="left" w:pos="4712"/>
        <w:tab w:val="left" w:pos="5143"/>
        <w:tab w:val="left" w:pos="5574"/>
        <w:tab w:val="left" w:pos="6005"/>
        <w:tab w:val="left" w:pos="6435"/>
      </w:tabs>
      <w:overflowPunct/>
      <w:adjustRightInd/>
      <w:snapToGrid/>
      <w:spacing w:after="140"/>
      <w:ind w:left="1264" w:right="1264"/>
    </w:pPr>
    <w:rPr>
      <w:rFonts w:ascii="宋体"/>
      <w:snapToGrid/>
      <w:kern w:val="14"/>
    </w:rPr>
  </w:style>
  <w:style w:type="paragraph" w:customStyle="1" w:styleId="af6">
    <w:name w:val="目录"/>
    <w:basedOn w:val="a"/>
    <w:rsid w:val="00103498"/>
    <w:pPr>
      <w:widowControl w:val="0"/>
      <w:tabs>
        <w:tab w:val="clear" w:pos="431"/>
        <w:tab w:val="left" w:pos="510"/>
        <w:tab w:val="left" w:pos="7201"/>
        <w:tab w:val="left" w:pos="7711"/>
        <w:tab w:val="left" w:pos="8618"/>
        <w:tab w:val="right" w:pos="9356"/>
      </w:tabs>
      <w:spacing w:line="360" w:lineRule="auto"/>
      <w:jc w:val="left"/>
    </w:pPr>
    <w:rPr>
      <w:rFonts w:eastAsia="楷体_GB2312"/>
      <w:noProof/>
      <w:snapToGrid/>
      <w:sz w:val="24"/>
    </w:rPr>
  </w:style>
  <w:style w:type="paragraph" w:styleId="af7">
    <w:name w:val="Body Text"/>
    <w:basedOn w:val="a"/>
    <w:link w:val="Char6"/>
    <w:rsid w:val="00103498"/>
    <w:pPr>
      <w:tabs>
        <w:tab w:val="clear" w:pos="431"/>
      </w:tabs>
      <w:suppressAutoHyphens/>
      <w:overflowPunct/>
      <w:adjustRightInd/>
      <w:snapToGrid/>
      <w:spacing w:after="120" w:line="240" w:lineRule="auto"/>
      <w:jc w:val="left"/>
    </w:pPr>
    <w:rPr>
      <w:snapToGrid/>
      <w:sz w:val="24"/>
      <w:lang w:val="en-GB" w:eastAsia="ar-SA"/>
    </w:rPr>
  </w:style>
  <w:style w:type="character" w:customStyle="1" w:styleId="Char6">
    <w:name w:val="正文文本 Char"/>
    <w:basedOn w:val="a0"/>
    <w:link w:val="af7"/>
    <w:rsid w:val="00103498"/>
    <w:rPr>
      <w:sz w:val="24"/>
      <w:lang w:val="en-GB" w:eastAsia="ar-SA"/>
    </w:rPr>
  </w:style>
  <w:style w:type="paragraph" w:customStyle="1" w:styleId="H23G">
    <w:name w:val="_ H_2/3_G"/>
    <w:basedOn w:val="a"/>
    <w:next w:val="a"/>
    <w:link w:val="H23GChar"/>
    <w:qFormat/>
    <w:rsid w:val="00103498"/>
    <w:pPr>
      <w:keepNext/>
      <w:keepLines/>
      <w:tabs>
        <w:tab w:val="clear" w:pos="431"/>
        <w:tab w:val="right" w:pos="851"/>
      </w:tabs>
      <w:suppressAutoHyphens/>
      <w:overflowPunct/>
      <w:adjustRightInd/>
      <w:snapToGrid/>
      <w:spacing w:before="240" w:after="120" w:line="240" w:lineRule="exact"/>
      <w:ind w:left="1134" w:right="1134" w:hanging="1134"/>
      <w:jc w:val="left"/>
    </w:pPr>
    <w:rPr>
      <w:b/>
      <w:snapToGrid/>
      <w:sz w:val="20"/>
      <w:lang w:val="en-GB" w:eastAsia="en-US"/>
    </w:rPr>
  </w:style>
  <w:style w:type="character" w:customStyle="1" w:styleId="H23GChar">
    <w:name w:val="_ H_2/3_G Char"/>
    <w:link w:val="H23G"/>
    <w:rsid w:val="00103498"/>
    <w:rPr>
      <w:b/>
      <w:lang w:val="en-GB" w:eastAsia="en-US"/>
    </w:rPr>
  </w:style>
  <w:style w:type="paragraph" w:customStyle="1" w:styleId="SingleTxtG">
    <w:name w:val="_ Single Txt_G"/>
    <w:basedOn w:val="a"/>
    <w:link w:val="SingleTxtGChar"/>
    <w:qFormat/>
    <w:rsid w:val="00103498"/>
    <w:pPr>
      <w:tabs>
        <w:tab w:val="clear" w:pos="431"/>
      </w:tabs>
      <w:suppressAutoHyphens/>
      <w:overflowPunct/>
      <w:adjustRightInd/>
      <w:snapToGrid/>
      <w:spacing w:after="120" w:line="240" w:lineRule="atLeast"/>
      <w:ind w:left="1134" w:right="1134"/>
    </w:pPr>
    <w:rPr>
      <w:snapToGrid/>
      <w:sz w:val="20"/>
      <w:lang w:val="en-GB" w:eastAsia="en-US"/>
    </w:rPr>
  </w:style>
  <w:style w:type="paragraph" w:styleId="af8">
    <w:name w:val="Plain Text"/>
    <w:basedOn w:val="a"/>
    <w:link w:val="Char7"/>
    <w:rsid w:val="00103498"/>
    <w:rPr>
      <w:rFonts w:ascii="宋体" w:hAnsi="Courier New" w:cs="Courier New"/>
      <w:szCs w:val="21"/>
    </w:rPr>
  </w:style>
  <w:style w:type="character" w:customStyle="1" w:styleId="Char7">
    <w:name w:val="纯文本 Char"/>
    <w:basedOn w:val="a0"/>
    <w:link w:val="af8"/>
    <w:rsid w:val="00103498"/>
    <w:rPr>
      <w:rFonts w:ascii="宋体" w:hAnsi="Courier New" w:cs="Courier New"/>
      <w:snapToGrid w:val="0"/>
      <w:sz w:val="21"/>
      <w:szCs w:val="21"/>
    </w:rPr>
  </w:style>
  <w:style w:type="character" w:customStyle="1" w:styleId="5GChar">
    <w:name w:val="5_G Char"/>
    <w:aliases w:val="Footnote Expulsion Char, Char Char,Char Char Char,Footnote Text Char Char Char Char1,Footnote Text Char2 Char Char1"/>
    <w:rsid w:val="00103498"/>
    <w:rPr>
      <w:rFonts w:eastAsia="宋体"/>
      <w:snapToGrid w:val="0"/>
      <w:sz w:val="18"/>
      <w:lang w:val="en-US" w:eastAsia="zh-CN" w:bidi="ar-SA"/>
    </w:rPr>
  </w:style>
  <w:style w:type="paragraph" w:styleId="af9">
    <w:name w:val="annotation text"/>
    <w:basedOn w:val="a"/>
    <w:link w:val="Char8"/>
    <w:uiPriority w:val="99"/>
    <w:rsid w:val="00103498"/>
    <w:pPr>
      <w:tabs>
        <w:tab w:val="clear" w:pos="431"/>
      </w:tabs>
      <w:overflowPunct/>
      <w:adjustRightInd/>
      <w:snapToGrid/>
      <w:spacing w:line="240" w:lineRule="auto"/>
      <w:jc w:val="left"/>
    </w:pPr>
    <w:rPr>
      <w:rFonts w:ascii="Cambria" w:hAnsi="Cambria"/>
      <w:snapToGrid/>
      <w:sz w:val="20"/>
      <w:lang w:eastAsia="en-US"/>
    </w:rPr>
  </w:style>
  <w:style w:type="character" w:customStyle="1" w:styleId="Char8">
    <w:name w:val="批注文字 Char"/>
    <w:basedOn w:val="a0"/>
    <w:link w:val="af9"/>
    <w:uiPriority w:val="99"/>
    <w:rsid w:val="00103498"/>
    <w:rPr>
      <w:rFonts w:ascii="Cambria" w:hAnsi="Cambria"/>
      <w:lang w:eastAsia="en-US"/>
    </w:rPr>
  </w:style>
  <w:style w:type="character" w:customStyle="1" w:styleId="Char5">
    <w:name w:val="批注框文本 Char"/>
    <w:link w:val="af5"/>
    <w:uiPriority w:val="99"/>
    <w:rsid w:val="00103498"/>
    <w:rPr>
      <w:snapToGrid w:val="0"/>
      <w:sz w:val="18"/>
      <w:szCs w:val="18"/>
    </w:rPr>
  </w:style>
  <w:style w:type="character" w:customStyle="1" w:styleId="Char4">
    <w:name w:val="标题 Char"/>
    <w:link w:val="ae"/>
    <w:uiPriority w:val="10"/>
    <w:rsid w:val="00103498"/>
    <w:rPr>
      <w:rFonts w:ascii="Arial" w:hAnsi="Arial" w:cs="Arial"/>
      <w:b/>
      <w:bCs/>
      <w:snapToGrid w:val="0"/>
      <w:sz w:val="32"/>
      <w:szCs w:val="32"/>
    </w:rPr>
  </w:style>
  <w:style w:type="character" w:customStyle="1" w:styleId="sb8d990e2">
    <w:name w:val="sb8d990e2"/>
    <w:rsid w:val="00103498"/>
  </w:style>
  <w:style w:type="character" w:customStyle="1" w:styleId="apple-converted-space">
    <w:name w:val="apple-converted-space"/>
    <w:rsid w:val="00103498"/>
  </w:style>
  <w:style w:type="character" w:customStyle="1" w:styleId="s6b621b36">
    <w:name w:val="s6b621b36"/>
    <w:rsid w:val="00103498"/>
  </w:style>
  <w:style w:type="character" w:customStyle="1" w:styleId="5GCharChar">
    <w:name w:val="5_G Char Char"/>
    <w:rsid w:val="00103498"/>
    <w:rPr>
      <w:sz w:val="18"/>
      <w:lang w:val="en-GB" w:eastAsia="en-US" w:bidi="ar-SA"/>
    </w:rPr>
  </w:style>
  <w:style w:type="character" w:customStyle="1" w:styleId="shorttext">
    <w:name w:val="short_text"/>
    <w:basedOn w:val="a0"/>
    <w:rsid w:val="00103498"/>
  </w:style>
  <w:style w:type="paragraph" w:customStyle="1" w:styleId="afa">
    <w:name w:val="八"/>
    <w:semiHidden/>
    <w:rsid w:val="00103498"/>
    <w:pPr>
      <w:tabs>
        <w:tab w:val="left" w:pos="431"/>
        <w:tab w:val="left" w:pos="1134"/>
        <w:tab w:val="left" w:pos="1565"/>
        <w:tab w:val="left" w:pos="1996"/>
        <w:tab w:val="left" w:pos="2427"/>
      </w:tabs>
      <w:overflowPunct w:val="0"/>
      <w:adjustRightInd w:val="0"/>
      <w:snapToGrid w:val="0"/>
      <w:spacing w:after="120" w:line="320" w:lineRule="exact"/>
      <w:ind w:left="1134" w:right="1134"/>
      <w:jc w:val="both"/>
    </w:pPr>
    <w:rPr>
      <w:snapToGrid w:val="0"/>
      <w:sz w:val="21"/>
    </w:rPr>
  </w:style>
  <w:style w:type="paragraph" w:styleId="30">
    <w:name w:val="toc 3"/>
    <w:basedOn w:val="a"/>
    <w:next w:val="a"/>
    <w:autoRedefine/>
    <w:uiPriority w:val="39"/>
    <w:qFormat/>
    <w:rsid w:val="00103498"/>
    <w:pPr>
      <w:tabs>
        <w:tab w:val="clear" w:pos="431"/>
      </w:tabs>
      <w:ind w:left="840"/>
    </w:pPr>
  </w:style>
  <w:style w:type="paragraph" w:styleId="40">
    <w:name w:val="toc 4"/>
    <w:basedOn w:val="a"/>
    <w:next w:val="a"/>
    <w:autoRedefine/>
    <w:rsid w:val="00103498"/>
    <w:pPr>
      <w:tabs>
        <w:tab w:val="clear" w:pos="431"/>
      </w:tabs>
      <w:ind w:left="1260"/>
    </w:pPr>
  </w:style>
  <w:style w:type="character" w:styleId="afb">
    <w:name w:val="annotation reference"/>
    <w:uiPriority w:val="99"/>
    <w:rsid w:val="00103498"/>
    <w:rPr>
      <w:sz w:val="16"/>
      <w:szCs w:val="16"/>
    </w:rPr>
  </w:style>
  <w:style w:type="paragraph" w:customStyle="1" w:styleId="H23">
    <w:name w:val="_ H_2/3"/>
    <w:basedOn w:val="a"/>
    <w:next w:val="SingleTxt"/>
    <w:qFormat/>
    <w:rsid w:val="00103498"/>
    <w:pPr>
      <w:keepNext/>
      <w:keepLines/>
      <w:tabs>
        <w:tab w:val="clear" w:pos="431"/>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overflowPunct/>
      <w:adjustRightInd/>
      <w:snapToGrid/>
      <w:spacing w:line="240" w:lineRule="exact"/>
      <w:ind w:left="1267" w:right="1267" w:hanging="1267"/>
      <w:jc w:val="left"/>
      <w:outlineLvl w:val="1"/>
    </w:pPr>
    <w:rPr>
      <w:rFonts w:eastAsia="Times New Roman"/>
      <w:b/>
      <w:snapToGrid/>
      <w:spacing w:val="2"/>
      <w:w w:val="103"/>
      <w:kern w:val="14"/>
      <w:sz w:val="20"/>
      <w:lang w:val="en-GB" w:eastAsia="en-US"/>
    </w:rPr>
  </w:style>
  <w:style w:type="character" w:customStyle="1" w:styleId="st">
    <w:name w:val="st"/>
    <w:rsid w:val="00103498"/>
  </w:style>
  <w:style w:type="character" w:customStyle="1" w:styleId="Char9">
    <w:name w:val="脚注文本 Char"/>
    <w:aliases w:val="FOOTNOTES Char,fn Char,single space Char,footnote text Char,f Char,ft Char,Footnote Text 1 Char,Footnote Text Char1 Char,Footnote Text Char Char Char1,Footnote Text Char Char Char Char,Footnote Text Char2 Char Char,ALTS FOOTNOTE Char,ADB Char"/>
    <w:rsid w:val="00103498"/>
    <w:rPr>
      <w:rFonts w:eastAsia="宋体"/>
      <w:snapToGrid w:val="0"/>
      <w:sz w:val="18"/>
      <w:lang w:val="en-US" w:eastAsia="zh-CN" w:bidi="ar-SA"/>
    </w:rPr>
  </w:style>
  <w:style w:type="paragraph" w:customStyle="1" w:styleId="Paragraphedeliste">
    <w:name w:val="Paragraphe de liste"/>
    <w:basedOn w:val="a"/>
    <w:qFormat/>
    <w:rsid w:val="00103498"/>
    <w:pPr>
      <w:tabs>
        <w:tab w:val="clear" w:pos="431"/>
      </w:tabs>
      <w:overflowPunct/>
      <w:adjustRightInd/>
      <w:snapToGrid/>
      <w:spacing w:after="160" w:line="259" w:lineRule="auto"/>
      <w:ind w:left="720"/>
      <w:contextualSpacing/>
      <w:jc w:val="left"/>
    </w:pPr>
    <w:rPr>
      <w:rFonts w:ascii="Calibri" w:eastAsia="Calibri" w:hAnsi="Calibri"/>
      <w:snapToGrid/>
      <w:sz w:val="22"/>
      <w:szCs w:val="22"/>
      <w:lang w:val="en-GB" w:eastAsia="en-US"/>
    </w:rPr>
  </w:style>
  <w:style w:type="character" w:customStyle="1" w:styleId="atn">
    <w:name w:val="atn"/>
    <w:basedOn w:val="a0"/>
    <w:rsid w:val="00103498"/>
  </w:style>
  <w:style w:type="character" w:customStyle="1" w:styleId="hps">
    <w:name w:val="hps"/>
    <w:basedOn w:val="a0"/>
    <w:rsid w:val="00103498"/>
  </w:style>
  <w:style w:type="paragraph" w:customStyle="1" w:styleId="H1">
    <w:name w:val="_ H_1"/>
    <w:basedOn w:val="a"/>
    <w:next w:val="SingleTxt"/>
    <w:qFormat/>
    <w:rsid w:val="00103498"/>
    <w:pPr>
      <w:keepNext/>
      <w:keepLines/>
      <w:tabs>
        <w:tab w:val="clear" w:pos="431"/>
      </w:tabs>
      <w:suppressAutoHyphens/>
      <w:overflowPunct/>
      <w:adjustRightInd/>
      <w:snapToGrid/>
      <w:outlineLvl w:val="0"/>
    </w:pPr>
    <w:rPr>
      <w:rFonts w:ascii="黑体" w:eastAsia="黑体"/>
      <w:snapToGrid/>
      <w:kern w:val="14"/>
      <w:sz w:val="24"/>
    </w:rPr>
  </w:style>
  <w:style w:type="paragraph" w:customStyle="1" w:styleId="HCh">
    <w:name w:val="_ H _Ch"/>
    <w:basedOn w:val="H1"/>
    <w:next w:val="SingleTxt"/>
    <w:qFormat/>
    <w:rsid w:val="00103498"/>
    <w:pPr>
      <w:tabs>
        <w:tab w:val="left" w:pos="57"/>
      </w:tabs>
      <w:spacing w:line="400" w:lineRule="exact"/>
    </w:pPr>
    <w:rPr>
      <w:sz w:val="28"/>
    </w:rPr>
  </w:style>
  <w:style w:type="paragraph" w:styleId="afc">
    <w:name w:val="Subtitle"/>
    <w:basedOn w:val="a"/>
    <w:next w:val="a"/>
    <w:link w:val="Chara"/>
    <w:uiPriority w:val="11"/>
    <w:qFormat/>
    <w:rsid w:val="00103498"/>
    <w:pPr>
      <w:tabs>
        <w:tab w:val="clear" w:pos="431"/>
      </w:tabs>
      <w:overflowPunct/>
      <w:adjustRightInd/>
      <w:snapToGrid/>
      <w:spacing w:after="600" w:line="276" w:lineRule="auto"/>
      <w:jc w:val="left"/>
    </w:pPr>
    <w:rPr>
      <w:rFonts w:ascii="Cambria" w:hAnsi="Cambria"/>
      <w:i/>
      <w:iCs/>
      <w:snapToGrid/>
      <w:color w:val="000000"/>
      <w:spacing w:val="13"/>
      <w:sz w:val="24"/>
      <w:szCs w:val="24"/>
      <w:lang w:eastAsia="en-US"/>
    </w:rPr>
  </w:style>
  <w:style w:type="character" w:customStyle="1" w:styleId="Chara">
    <w:name w:val="副标题 Char"/>
    <w:basedOn w:val="a0"/>
    <w:link w:val="afc"/>
    <w:uiPriority w:val="11"/>
    <w:rsid w:val="00103498"/>
    <w:rPr>
      <w:rFonts w:ascii="Cambria" w:hAnsi="Cambria"/>
      <w:i/>
      <w:iCs/>
      <w:color w:val="000000"/>
      <w:spacing w:val="13"/>
      <w:sz w:val="24"/>
      <w:szCs w:val="24"/>
      <w:lang w:eastAsia="en-US"/>
    </w:rPr>
  </w:style>
  <w:style w:type="character" w:styleId="afd">
    <w:name w:val="Strong"/>
    <w:uiPriority w:val="22"/>
    <w:qFormat/>
    <w:rsid w:val="00103498"/>
    <w:rPr>
      <w:b/>
      <w:bCs/>
    </w:rPr>
  </w:style>
  <w:style w:type="character" w:styleId="afe">
    <w:name w:val="Emphasis"/>
    <w:uiPriority w:val="20"/>
    <w:qFormat/>
    <w:rsid w:val="00103498"/>
    <w:rPr>
      <w:b/>
      <w:bCs/>
      <w:i/>
      <w:iCs/>
      <w:spacing w:val="10"/>
      <w:bdr w:val="none" w:sz="0" w:space="0" w:color="auto"/>
      <w:shd w:val="clear" w:color="auto" w:fill="auto"/>
    </w:rPr>
  </w:style>
  <w:style w:type="paragraph" w:customStyle="1" w:styleId="-21">
    <w:name w:val="彩色列表 - 强调文字颜色 21"/>
    <w:basedOn w:val="a"/>
    <w:uiPriority w:val="1"/>
    <w:qFormat/>
    <w:rsid w:val="00103498"/>
    <w:pPr>
      <w:tabs>
        <w:tab w:val="clear" w:pos="431"/>
      </w:tabs>
      <w:overflowPunct/>
      <w:adjustRightInd/>
      <w:snapToGrid/>
      <w:spacing w:line="240" w:lineRule="auto"/>
      <w:jc w:val="left"/>
    </w:pPr>
    <w:rPr>
      <w:snapToGrid/>
      <w:color w:val="000000"/>
      <w:sz w:val="24"/>
      <w:szCs w:val="24"/>
      <w:lang w:eastAsia="en-US"/>
    </w:rPr>
  </w:style>
  <w:style w:type="paragraph" w:customStyle="1" w:styleId="2-41">
    <w:name w:val="中等深浅列表 2 - 强调文字颜色 41"/>
    <w:basedOn w:val="a"/>
    <w:uiPriority w:val="34"/>
    <w:qFormat/>
    <w:rsid w:val="00103498"/>
    <w:pPr>
      <w:tabs>
        <w:tab w:val="clear" w:pos="431"/>
      </w:tabs>
      <w:overflowPunct/>
      <w:adjustRightInd/>
      <w:snapToGrid/>
      <w:spacing w:after="200" w:line="276" w:lineRule="auto"/>
      <w:ind w:left="720"/>
      <w:contextualSpacing/>
      <w:jc w:val="left"/>
    </w:pPr>
    <w:rPr>
      <w:snapToGrid/>
      <w:color w:val="000000"/>
      <w:sz w:val="24"/>
      <w:szCs w:val="24"/>
      <w:lang w:eastAsia="en-US"/>
    </w:rPr>
  </w:style>
  <w:style w:type="paragraph" w:customStyle="1" w:styleId="1-41">
    <w:name w:val="中等深浅网格 1 - 强调文字颜色 41"/>
    <w:basedOn w:val="a"/>
    <w:next w:val="a"/>
    <w:link w:val="1-4Char"/>
    <w:uiPriority w:val="29"/>
    <w:qFormat/>
    <w:rsid w:val="00103498"/>
    <w:pPr>
      <w:tabs>
        <w:tab w:val="clear" w:pos="431"/>
      </w:tabs>
      <w:overflowPunct/>
      <w:adjustRightInd/>
      <w:snapToGrid/>
      <w:spacing w:before="200" w:line="276" w:lineRule="auto"/>
      <w:ind w:left="360" w:right="360"/>
      <w:jc w:val="left"/>
    </w:pPr>
    <w:rPr>
      <w:i/>
      <w:iCs/>
      <w:snapToGrid/>
      <w:color w:val="000000"/>
      <w:sz w:val="24"/>
      <w:szCs w:val="24"/>
      <w:lang w:eastAsia="en-US"/>
    </w:rPr>
  </w:style>
  <w:style w:type="character" w:customStyle="1" w:styleId="1-4Char">
    <w:name w:val="中等深浅网格 1 - 强调文字颜色 4 Char"/>
    <w:link w:val="1-41"/>
    <w:uiPriority w:val="29"/>
    <w:rsid w:val="00103498"/>
    <w:rPr>
      <w:i/>
      <w:iCs/>
      <w:color w:val="000000"/>
      <w:sz w:val="24"/>
      <w:szCs w:val="24"/>
      <w:lang w:eastAsia="en-US"/>
    </w:rPr>
  </w:style>
  <w:style w:type="paragraph" w:customStyle="1" w:styleId="2-410">
    <w:name w:val="中等深浅网格 2 - 强调文字颜色 41"/>
    <w:basedOn w:val="a"/>
    <w:next w:val="a"/>
    <w:link w:val="2-4Char"/>
    <w:uiPriority w:val="30"/>
    <w:qFormat/>
    <w:rsid w:val="00103498"/>
    <w:pPr>
      <w:pBdr>
        <w:bottom w:val="single" w:sz="4" w:space="1" w:color="auto"/>
      </w:pBdr>
      <w:tabs>
        <w:tab w:val="clear" w:pos="431"/>
      </w:tabs>
      <w:overflowPunct/>
      <w:adjustRightInd/>
      <w:snapToGrid/>
      <w:spacing w:before="200" w:after="280" w:line="276" w:lineRule="auto"/>
      <w:ind w:left="1008" w:right="1152"/>
    </w:pPr>
    <w:rPr>
      <w:b/>
      <w:bCs/>
      <w:i/>
      <w:iCs/>
      <w:snapToGrid/>
      <w:color w:val="000000"/>
      <w:sz w:val="24"/>
      <w:szCs w:val="24"/>
      <w:lang w:eastAsia="en-US"/>
    </w:rPr>
  </w:style>
  <w:style w:type="character" w:customStyle="1" w:styleId="2-4Char">
    <w:name w:val="中等深浅网格 2 - 强调文字颜色 4 Char"/>
    <w:link w:val="2-410"/>
    <w:uiPriority w:val="30"/>
    <w:rsid w:val="00103498"/>
    <w:rPr>
      <w:b/>
      <w:bCs/>
      <w:i/>
      <w:iCs/>
      <w:color w:val="000000"/>
      <w:sz w:val="24"/>
      <w:szCs w:val="24"/>
      <w:lang w:eastAsia="en-US"/>
    </w:rPr>
  </w:style>
  <w:style w:type="character" w:customStyle="1" w:styleId="11">
    <w:name w:val="不明显强调1"/>
    <w:uiPriority w:val="19"/>
    <w:qFormat/>
    <w:rsid w:val="00103498"/>
    <w:rPr>
      <w:i/>
      <w:iCs/>
    </w:rPr>
  </w:style>
  <w:style w:type="character" w:customStyle="1" w:styleId="12">
    <w:name w:val="明显强调1"/>
    <w:uiPriority w:val="21"/>
    <w:qFormat/>
    <w:rsid w:val="00103498"/>
    <w:rPr>
      <w:b/>
      <w:bCs/>
    </w:rPr>
  </w:style>
  <w:style w:type="character" w:customStyle="1" w:styleId="13">
    <w:name w:val="不明显参考1"/>
    <w:uiPriority w:val="31"/>
    <w:qFormat/>
    <w:rsid w:val="00103498"/>
    <w:rPr>
      <w:smallCaps/>
    </w:rPr>
  </w:style>
  <w:style w:type="character" w:customStyle="1" w:styleId="14">
    <w:name w:val="明显参考1"/>
    <w:uiPriority w:val="32"/>
    <w:qFormat/>
    <w:rsid w:val="00103498"/>
    <w:rPr>
      <w:smallCaps/>
      <w:spacing w:val="5"/>
      <w:u w:val="single"/>
    </w:rPr>
  </w:style>
  <w:style w:type="character" w:customStyle="1" w:styleId="15">
    <w:name w:val="书籍标题1"/>
    <w:uiPriority w:val="33"/>
    <w:qFormat/>
    <w:rsid w:val="00103498"/>
    <w:rPr>
      <w:i/>
      <w:iCs/>
      <w:smallCaps/>
      <w:spacing w:val="5"/>
    </w:rPr>
  </w:style>
  <w:style w:type="paragraph" w:customStyle="1" w:styleId="TOC1">
    <w:name w:val="TOC 标题1"/>
    <w:basedOn w:val="1"/>
    <w:next w:val="a"/>
    <w:uiPriority w:val="39"/>
    <w:unhideWhenUsed/>
    <w:qFormat/>
    <w:rsid w:val="00103498"/>
    <w:pPr>
      <w:keepNext w:val="0"/>
      <w:keepLines w:val="0"/>
      <w:widowControl/>
      <w:tabs>
        <w:tab w:val="clear" w:pos="431"/>
      </w:tabs>
      <w:overflowPunct/>
      <w:adjustRightInd/>
      <w:snapToGrid/>
      <w:spacing w:before="480" w:after="200" w:line="276" w:lineRule="auto"/>
      <w:contextualSpacing/>
      <w:jc w:val="left"/>
      <w:outlineLvl w:val="9"/>
    </w:pPr>
    <w:rPr>
      <w:rFonts w:ascii="Cambria" w:hAnsi="Cambria"/>
      <w:bCs/>
      <w:snapToGrid w:val="0"/>
      <w:color w:val="000000"/>
      <w:kern w:val="0"/>
      <w:sz w:val="28"/>
      <w:szCs w:val="28"/>
      <w:lang w:eastAsia="en-US" w:bidi="en-US"/>
    </w:rPr>
  </w:style>
  <w:style w:type="character" w:customStyle="1" w:styleId="breadcrumb">
    <w:name w:val="breadcrumb"/>
    <w:rsid w:val="00103498"/>
  </w:style>
  <w:style w:type="paragraph" w:styleId="aff">
    <w:name w:val="annotation subject"/>
    <w:basedOn w:val="af9"/>
    <w:next w:val="af9"/>
    <w:link w:val="Charb"/>
    <w:unhideWhenUsed/>
    <w:rsid w:val="00103498"/>
    <w:pPr>
      <w:spacing w:after="200"/>
    </w:pPr>
    <w:rPr>
      <w:rFonts w:ascii="Calibri" w:eastAsia="Calibri" w:hAnsi="Calibri" w:cs="Arial"/>
      <w:b/>
      <w:bCs/>
      <w:szCs w:val="24"/>
    </w:rPr>
  </w:style>
  <w:style w:type="character" w:customStyle="1" w:styleId="Charb">
    <w:name w:val="批注主题 Char"/>
    <w:basedOn w:val="Char8"/>
    <w:link w:val="aff"/>
    <w:rsid w:val="00103498"/>
    <w:rPr>
      <w:rFonts w:ascii="Calibri" w:eastAsia="Calibri" w:hAnsi="Calibri" w:cs="Arial"/>
      <w:b/>
      <w:bCs/>
      <w:szCs w:val="24"/>
      <w:lang w:eastAsia="en-US"/>
    </w:rPr>
  </w:style>
  <w:style w:type="paragraph" w:styleId="aff0">
    <w:name w:val="Normal (Web)"/>
    <w:basedOn w:val="a"/>
    <w:uiPriority w:val="99"/>
    <w:rsid w:val="00103498"/>
    <w:pPr>
      <w:tabs>
        <w:tab w:val="clear" w:pos="431"/>
      </w:tabs>
      <w:overflowPunct/>
      <w:adjustRightInd/>
      <w:snapToGrid/>
      <w:spacing w:beforeLines="1" w:afterLines="1" w:line="240" w:lineRule="auto"/>
      <w:jc w:val="left"/>
    </w:pPr>
    <w:rPr>
      <w:rFonts w:ascii="Times" w:hAnsi="Times"/>
      <w:snapToGrid/>
      <w:sz w:val="20"/>
      <w:szCs w:val="24"/>
      <w:lang w:eastAsia="ja-JP"/>
    </w:rPr>
  </w:style>
  <w:style w:type="paragraph" w:customStyle="1" w:styleId="style3style3style3">
    <w:name w:val="style3 style3 style3"/>
    <w:basedOn w:val="a"/>
    <w:rsid w:val="00103498"/>
    <w:pPr>
      <w:tabs>
        <w:tab w:val="clear" w:pos="431"/>
      </w:tabs>
      <w:overflowPunct/>
      <w:adjustRightInd/>
      <w:snapToGrid/>
      <w:spacing w:beforeLines="1" w:afterLines="1" w:line="240" w:lineRule="auto"/>
      <w:jc w:val="left"/>
    </w:pPr>
    <w:rPr>
      <w:rFonts w:ascii="Times" w:hAnsi="Times" w:cs="Arial"/>
      <w:snapToGrid/>
      <w:sz w:val="20"/>
      <w:szCs w:val="24"/>
      <w:lang w:eastAsia="ja-JP"/>
    </w:rPr>
  </w:style>
  <w:style w:type="character" w:customStyle="1" w:styleId="highlight">
    <w:name w:val="highlight"/>
    <w:rsid w:val="00103498"/>
  </w:style>
  <w:style w:type="character" w:customStyle="1" w:styleId="additionalfieldscustomsecondarytext">
    <w:name w:val="additionalfields customsecondarytext"/>
    <w:rsid w:val="00103498"/>
  </w:style>
  <w:style w:type="paragraph" w:customStyle="1" w:styleId="HChG">
    <w:name w:val="_ H _Ch_G"/>
    <w:basedOn w:val="a"/>
    <w:next w:val="a"/>
    <w:qFormat/>
    <w:rsid w:val="00103498"/>
    <w:pPr>
      <w:keepNext/>
      <w:keepLines/>
      <w:tabs>
        <w:tab w:val="clear" w:pos="431"/>
        <w:tab w:val="right" w:pos="851"/>
      </w:tabs>
      <w:suppressAutoHyphens/>
      <w:overflowPunct/>
      <w:adjustRightInd/>
      <w:snapToGrid/>
      <w:spacing w:before="360" w:after="240" w:line="300" w:lineRule="exact"/>
      <w:ind w:left="1134" w:right="1134" w:hanging="1134"/>
      <w:jc w:val="left"/>
    </w:pPr>
    <w:rPr>
      <w:b/>
      <w:snapToGrid/>
      <w:sz w:val="28"/>
      <w:szCs w:val="24"/>
      <w:lang w:val="en-GB" w:eastAsia="ja-JP"/>
    </w:rPr>
  </w:style>
  <w:style w:type="character" w:customStyle="1" w:styleId="il">
    <w:name w:val="il"/>
    <w:rsid w:val="00103498"/>
  </w:style>
  <w:style w:type="paragraph" w:styleId="16">
    <w:name w:val="toc 1"/>
    <w:basedOn w:val="a"/>
    <w:next w:val="a"/>
    <w:autoRedefine/>
    <w:uiPriority w:val="39"/>
    <w:unhideWhenUsed/>
    <w:qFormat/>
    <w:rsid w:val="00103498"/>
    <w:pPr>
      <w:tabs>
        <w:tab w:val="clear" w:pos="431"/>
      </w:tabs>
      <w:overflowPunct/>
      <w:adjustRightInd/>
      <w:snapToGrid/>
      <w:spacing w:before="120" w:line="240" w:lineRule="auto"/>
      <w:jc w:val="left"/>
    </w:pPr>
    <w:rPr>
      <w:rFonts w:eastAsia="MS Mincho"/>
      <w:b/>
      <w:snapToGrid/>
      <w:sz w:val="24"/>
      <w:szCs w:val="24"/>
      <w:lang w:eastAsia="en-US"/>
    </w:rPr>
  </w:style>
  <w:style w:type="paragraph" w:styleId="20">
    <w:name w:val="toc 2"/>
    <w:basedOn w:val="a"/>
    <w:next w:val="a"/>
    <w:autoRedefine/>
    <w:uiPriority w:val="39"/>
    <w:unhideWhenUsed/>
    <w:qFormat/>
    <w:rsid w:val="00103498"/>
    <w:pPr>
      <w:tabs>
        <w:tab w:val="clear" w:pos="431"/>
      </w:tabs>
      <w:overflowPunct/>
      <w:adjustRightInd/>
      <w:snapToGrid/>
      <w:spacing w:line="240" w:lineRule="auto"/>
      <w:ind w:left="240"/>
      <w:jc w:val="left"/>
    </w:pPr>
    <w:rPr>
      <w:rFonts w:ascii="Calibri" w:eastAsia="MS Mincho" w:hAnsi="Calibri"/>
      <w:b/>
      <w:snapToGrid/>
      <w:sz w:val="22"/>
      <w:szCs w:val="22"/>
      <w:lang w:eastAsia="en-US"/>
    </w:rPr>
  </w:style>
  <w:style w:type="paragraph" w:customStyle="1" w:styleId="XLarge">
    <w:name w:val="XLarge"/>
    <w:basedOn w:val="a"/>
    <w:rsid w:val="00103498"/>
    <w:pPr>
      <w:keepNext/>
      <w:keepLines/>
      <w:tabs>
        <w:tab w:val="clear" w:pos="431"/>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overflowPunct/>
      <w:adjustRightInd/>
      <w:snapToGrid/>
      <w:spacing w:line="390" w:lineRule="exact"/>
      <w:jc w:val="left"/>
      <w:outlineLvl w:val="0"/>
    </w:pPr>
    <w:rPr>
      <w:b/>
      <w:snapToGrid/>
      <w:spacing w:val="-4"/>
      <w:w w:val="98"/>
      <w:kern w:val="14"/>
      <w:sz w:val="40"/>
      <w:szCs w:val="24"/>
      <w:lang w:val="en-GB" w:eastAsia="en-US"/>
    </w:rPr>
  </w:style>
  <w:style w:type="paragraph" w:customStyle="1" w:styleId="H1G">
    <w:name w:val="_ H_1_G"/>
    <w:basedOn w:val="a"/>
    <w:next w:val="a"/>
    <w:qFormat/>
    <w:rsid w:val="00103498"/>
    <w:pPr>
      <w:keepNext/>
      <w:keepLines/>
      <w:tabs>
        <w:tab w:val="clear" w:pos="431"/>
        <w:tab w:val="right" w:pos="851"/>
      </w:tabs>
      <w:suppressAutoHyphens/>
      <w:overflowPunct/>
      <w:adjustRightInd/>
      <w:snapToGrid/>
      <w:spacing w:before="360" w:after="240" w:line="270" w:lineRule="exact"/>
      <w:ind w:left="1134" w:right="1134" w:hanging="1134"/>
      <w:jc w:val="left"/>
    </w:pPr>
    <w:rPr>
      <w:b/>
      <w:snapToGrid/>
      <w:sz w:val="24"/>
      <w:lang w:val="en-GB" w:eastAsia="en-US"/>
    </w:rPr>
  </w:style>
  <w:style w:type="paragraph" w:customStyle="1" w:styleId="Sponsors">
    <w:name w:val="Sponsors 提案国"/>
    <w:basedOn w:val="H23"/>
    <w:qFormat/>
    <w:rsid w:val="00103498"/>
    <w:pPr>
      <w:keepNext w:val="0"/>
      <w:keepLines w:val="0"/>
      <w:tabs>
        <w:tab w:val="clear" w:pos="1022"/>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pos="1021"/>
        <w:tab w:val="left" w:pos="1264"/>
        <w:tab w:val="left" w:pos="1695"/>
        <w:tab w:val="left" w:pos="2126"/>
        <w:tab w:val="left" w:pos="2557"/>
      </w:tabs>
      <w:suppressAutoHyphens w:val="0"/>
      <w:ind w:left="1264" w:right="1264" w:hanging="1264"/>
      <w:jc w:val="both"/>
    </w:pPr>
    <w:rPr>
      <w:rFonts w:ascii="黑体" w:eastAsia="黑体"/>
      <w:b w:val="0"/>
      <w:w w:val="100"/>
      <w:sz w:val="21"/>
      <w:lang w:val="en-US" w:eastAsia="zh-CN"/>
    </w:rPr>
  </w:style>
  <w:style w:type="character" w:customStyle="1" w:styleId="CharChar2">
    <w:name w:val="Char Char2"/>
    <w:rsid w:val="00103498"/>
    <w:rPr>
      <w:lang w:val="en-GB"/>
    </w:rPr>
  </w:style>
  <w:style w:type="character" w:customStyle="1" w:styleId="preferred">
    <w:name w:val="preferred"/>
    <w:rsid w:val="00103498"/>
  </w:style>
  <w:style w:type="character" w:customStyle="1" w:styleId="zh">
    <w:name w:val="zh"/>
    <w:rsid w:val="00103498"/>
  </w:style>
  <w:style w:type="paragraph" w:styleId="aff1">
    <w:name w:val="Document Map"/>
    <w:basedOn w:val="a"/>
    <w:link w:val="Charc"/>
    <w:rsid w:val="00103498"/>
    <w:pPr>
      <w:spacing w:line="240" w:lineRule="auto"/>
    </w:pPr>
    <w:rPr>
      <w:rFonts w:ascii="Lucida Grande" w:hAnsi="Lucida Grande" w:cs="Lucida Grande"/>
      <w:sz w:val="24"/>
      <w:szCs w:val="24"/>
    </w:rPr>
  </w:style>
  <w:style w:type="character" w:customStyle="1" w:styleId="Charc">
    <w:name w:val="文档结构图 Char"/>
    <w:basedOn w:val="a0"/>
    <w:link w:val="aff1"/>
    <w:rsid w:val="00103498"/>
    <w:rPr>
      <w:rFonts w:ascii="Lucida Grande" w:hAnsi="Lucida Grande" w:cs="Lucida Grande"/>
      <w:snapToGrid w:val="0"/>
      <w:sz w:val="24"/>
      <w:szCs w:val="24"/>
    </w:rPr>
  </w:style>
  <w:style w:type="paragraph" w:styleId="HTML">
    <w:name w:val="HTML Preformatted"/>
    <w:basedOn w:val="a"/>
    <w:link w:val="HTMLChar"/>
    <w:uiPriority w:val="99"/>
    <w:unhideWhenUsed/>
    <w:rsid w:val="00103498"/>
    <w:pPr>
      <w:tabs>
        <w:tab w:val="clear" w:pos="43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napToGrid/>
      <w:spacing w:line="240" w:lineRule="auto"/>
      <w:jc w:val="left"/>
    </w:pPr>
    <w:rPr>
      <w:rFonts w:ascii="Courier New" w:eastAsia="Times New Roman" w:hAnsi="Courier New" w:cs="Courier New"/>
      <w:snapToGrid/>
      <w:sz w:val="20"/>
    </w:rPr>
  </w:style>
  <w:style w:type="character" w:customStyle="1" w:styleId="HTMLChar">
    <w:name w:val="HTML 预设格式 Char"/>
    <w:basedOn w:val="a0"/>
    <w:link w:val="HTML"/>
    <w:uiPriority w:val="99"/>
    <w:rsid w:val="00103498"/>
    <w:rPr>
      <w:rFonts w:ascii="Courier New" w:eastAsia="Times New Roman" w:hAnsi="Courier New" w:cs="Courier New"/>
    </w:rPr>
  </w:style>
  <w:style w:type="paragraph" w:customStyle="1" w:styleId="SmallX">
    <w:name w:val="SmallX"/>
    <w:basedOn w:val="a"/>
    <w:next w:val="a"/>
    <w:rsid w:val="00103498"/>
    <w:pPr>
      <w:tabs>
        <w:tab w:val="clear" w:pos="431"/>
        <w:tab w:val="right" w:pos="9965"/>
      </w:tabs>
      <w:overflowPunct/>
      <w:adjustRightInd/>
      <w:snapToGrid/>
      <w:spacing w:line="180" w:lineRule="exact"/>
      <w:jc w:val="right"/>
    </w:pPr>
    <w:rPr>
      <w:noProof/>
      <w:snapToGrid/>
      <w:spacing w:val="6"/>
      <w:w w:val="106"/>
      <w:kern w:val="14"/>
      <w:sz w:val="14"/>
    </w:rPr>
  </w:style>
  <w:style w:type="paragraph" w:customStyle="1" w:styleId="SS">
    <w:name w:val="__S_S"/>
    <w:basedOn w:val="a"/>
    <w:next w:val="a"/>
    <w:qFormat/>
    <w:rsid w:val="00103498"/>
    <w:pPr>
      <w:keepNext/>
      <w:keepLines/>
      <w:tabs>
        <w:tab w:val="clear" w:pos="431"/>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overflowPunct/>
      <w:adjustRightInd/>
      <w:snapToGrid/>
      <w:spacing w:line="300" w:lineRule="exact"/>
      <w:ind w:left="1267" w:right="1267"/>
      <w:jc w:val="left"/>
      <w:outlineLvl w:val="0"/>
    </w:pPr>
    <w:rPr>
      <w:b/>
      <w:snapToGrid/>
      <w:spacing w:val="-2"/>
      <w:w w:val="103"/>
      <w:kern w:val="14"/>
      <w:sz w:val="28"/>
      <w:lang w:val="en-GB"/>
    </w:rPr>
  </w:style>
  <w:style w:type="paragraph" w:customStyle="1" w:styleId="SM">
    <w:name w:val="__S_M"/>
    <w:basedOn w:val="a"/>
    <w:next w:val="a"/>
    <w:qFormat/>
    <w:rsid w:val="00103498"/>
    <w:pPr>
      <w:keepNext/>
      <w:keepLines/>
      <w:tabs>
        <w:tab w:val="clear" w:pos="431"/>
        <w:tab w:val="right" w:leader="dot" w:pos="360"/>
      </w:tabs>
      <w:suppressAutoHyphens/>
      <w:overflowPunct/>
      <w:adjustRightInd/>
      <w:snapToGrid/>
      <w:spacing w:line="390" w:lineRule="exact"/>
      <w:ind w:left="1267" w:right="1267"/>
      <w:jc w:val="left"/>
      <w:outlineLvl w:val="0"/>
    </w:pPr>
    <w:rPr>
      <w:b/>
      <w:snapToGrid/>
      <w:spacing w:val="-4"/>
      <w:w w:val="98"/>
      <w:kern w:val="14"/>
      <w:sz w:val="40"/>
      <w:lang w:val="en-GB"/>
    </w:rPr>
  </w:style>
  <w:style w:type="character" w:customStyle="1" w:styleId="SingleTxtGChar">
    <w:name w:val="_ Single Txt_G Char"/>
    <w:link w:val="SingleTxtG"/>
    <w:rsid w:val="00103498"/>
    <w:rPr>
      <w:lang w:val="en-GB" w:eastAsia="en-US"/>
    </w:rPr>
  </w:style>
  <w:style w:type="paragraph" w:styleId="aff2">
    <w:name w:val="List Paragraph"/>
    <w:basedOn w:val="a"/>
    <w:uiPriority w:val="34"/>
    <w:qFormat/>
    <w:rsid w:val="00103498"/>
    <w:pPr>
      <w:tabs>
        <w:tab w:val="clear" w:pos="431"/>
      </w:tabs>
      <w:overflowPunct/>
      <w:adjustRightInd/>
      <w:snapToGrid/>
      <w:spacing w:after="160" w:line="259" w:lineRule="auto"/>
      <w:ind w:left="720"/>
      <w:contextualSpacing/>
      <w:jc w:val="left"/>
    </w:pPr>
    <w:rPr>
      <w:rFonts w:cs="Arial"/>
      <w:snapToGrid/>
      <w:sz w:val="24"/>
      <w:szCs w:val="22"/>
      <w:lang w:val="en-GB" w:eastAsia="en-US"/>
    </w:rPr>
  </w:style>
  <w:style w:type="character" w:customStyle="1" w:styleId="admitted">
    <w:name w:val="admitted"/>
    <w:rsid w:val="00103498"/>
  </w:style>
  <w:style w:type="paragraph" w:customStyle="1" w:styleId="SLG">
    <w:name w:val="__S_L_G"/>
    <w:basedOn w:val="a"/>
    <w:next w:val="a"/>
    <w:rsid w:val="00103498"/>
    <w:pPr>
      <w:keepNext/>
      <w:keepLines/>
      <w:tabs>
        <w:tab w:val="clear" w:pos="431"/>
      </w:tabs>
      <w:suppressAutoHyphens/>
      <w:overflowPunct/>
      <w:adjustRightInd/>
      <w:snapToGrid/>
      <w:spacing w:before="240" w:after="240" w:line="580" w:lineRule="exact"/>
      <w:ind w:left="1134" w:right="1134"/>
      <w:jc w:val="left"/>
    </w:pPr>
    <w:rPr>
      <w:rFonts w:eastAsia="Times New Roman"/>
      <w:b/>
      <w:snapToGrid/>
      <w:sz w:val="56"/>
      <w:lang w:val="en-GB" w:eastAsia="en-US"/>
    </w:rPr>
  </w:style>
  <w:style w:type="paragraph" w:customStyle="1" w:styleId="SMG">
    <w:name w:val="__S_M_G"/>
    <w:basedOn w:val="a"/>
    <w:next w:val="a"/>
    <w:rsid w:val="00103498"/>
    <w:pPr>
      <w:keepNext/>
      <w:keepLines/>
      <w:tabs>
        <w:tab w:val="clear" w:pos="431"/>
      </w:tabs>
      <w:suppressAutoHyphens/>
      <w:overflowPunct/>
      <w:adjustRightInd/>
      <w:snapToGrid/>
      <w:spacing w:before="240" w:after="240" w:line="420" w:lineRule="exact"/>
      <w:ind w:left="1134" w:right="1134"/>
      <w:jc w:val="left"/>
    </w:pPr>
    <w:rPr>
      <w:rFonts w:eastAsia="Times New Roman"/>
      <w:b/>
      <w:snapToGrid/>
      <w:sz w:val="40"/>
      <w:lang w:val="en-GB" w:eastAsia="en-US"/>
    </w:rPr>
  </w:style>
  <w:style w:type="paragraph" w:customStyle="1" w:styleId="HMG">
    <w:name w:val="_ H __M_G"/>
    <w:basedOn w:val="a"/>
    <w:next w:val="a"/>
    <w:qFormat/>
    <w:rsid w:val="00103498"/>
    <w:pPr>
      <w:keepNext/>
      <w:keepLines/>
      <w:tabs>
        <w:tab w:val="clear" w:pos="431"/>
        <w:tab w:val="right" w:pos="851"/>
      </w:tabs>
      <w:suppressAutoHyphens/>
      <w:overflowPunct/>
      <w:adjustRightInd/>
      <w:snapToGrid/>
      <w:spacing w:before="240" w:after="240" w:line="360" w:lineRule="exact"/>
      <w:ind w:left="1134" w:right="1134" w:hanging="1134"/>
      <w:jc w:val="left"/>
    </w:pPr>
    <w:rPr>
      <w:rFonts w:eastAsia="Times New Roman"/>
      <w:b/>
      <w:snapToGrid/>
      <w:sz w:val="34"/>
      <w:lang w:val="en-GB" w:eastAsia="en-US"/>
    </w:rPr>
  </w:style>
  <w:style w:type="paragraph" w:customStyle="1" w:styleId="ParaNoG">
    <w:name w:val="_ParaNo._G"/>
    <w:basedOn w:val="SingleTxtG"/>
    <w:qFormat/>
    <w:rsid w:val="00103498"/>
    <w:pPr>
      <w:tabs>
        <w:tab w:val="num" w:pos="780"/>
      </w:tabs>
      <w:ind w:left="780" w:hanging="360"/>
    </w:pPr>
    <w:rPr>
      <w:rFonts w:eastAsia="Times New Roman"/>
    </w:rPr>
  </w:style>
  <w:style w:type="paragraph" w:customStyle="1" w:styleId="SSG">
    <w:name w:val="__S_S_G"/>
    <w:basedOn w:val="a"/>
    <w:next w:val="a"/>
    <w:rsid w:val="00103498"/>
    <w:pPr>
      <w:keepNext/>
      <w:keepLines/>
      <w:tabs>
        <w:tab w:val="clear" w:pos="431"/>
      </w:tabs>
      <w:suppressAutoHyphens/>
      <w:overflowPunct/>
      <w:adjustRightInd/>
      <w:snapToGrid/>
      <w:spacing w:before="240" w:after="240" w:line="300" w:lineRule="exact"/>
      <w:ind w:left="1134" w:right="1134"/>
      <w:jc w:val="left"/>
    </w:pPr>
    <w:rPr>
      <w:rFonts w:eastAsia="Times New Roman"/>
      <w:b/>
      <w:snapToGrid/>
      <w:sz w:val="28"/>
      <w:lang w:val="en-GB" w:eastAsia="en-US"/>
    </w:rPr>
  </w:style>
  <w:style w:type="paragraph" w:customStyle="1" w:styleId="XLargeG">
    <w:name w:val="__XLarge_G"/>
    <w:basedOn w:val="a"/>
    <w:next w:val="a"/>
    <w:rsid w:val="00103498"/>
    <w:pPr>
      <w:keepNext/>
      <w:keepLines/>
      <w:tabs>
        <w:tab w:val="clear" w:pos="431"/>
      </w:tabs>
      <w:suppressAutoHyphens/>
      <w:overflowPunct/>
      <w:adjustRightInd/>
      <w:snapToGrid/>
      <w:spacing w:before="240" w:after="240" w:line="420" w:lineRule="exact"/>
      <w:ind w:left="1134" w:right="1134"/>
      <w:jc w:val="left"/>
    </w:pPr>
    <w:rPr>
      <w:rFonts w:eastAsia="Times New Roman"/>
      <w:b/>
      <w:snapToGrid/>
      <w:sz w:val="40"/>
      <w:lang w:val="en-GB" w:eastAsia="en-US"/>
    </w:rPr>
  </w:style>
  <w:style w:type="paragraph" w:customStyle="1" w:styleId="Bullet1G">
    <w:name w:val="_Bullet 1_G"/>
    <w:basedOn w:val="a"/>
    <w:qFormat/>
    <w:rsid w:val="00103498"/>
    <w:pPr>
      <w:tabs>
        <w:tab w:val="clear" w:pos="431"/>
        <w:tab w:val="num" w:pos="3141"/>
      </w:tabs>
      <w:suppressAutoHyphens/>
      <w:overflowPunct/>
      <w:adjustRightInd/>
      <w:snapToGrid/>
      <w:spacing w:after="120" w:line="240" w:lineRule="atLeast"/>
      <w:ind w:left="3141" w:right="1134" w:hanging="170"/>
    </w:pPr>
    <w:rPr>
      <w:rFonts w:eastAsia="Times New Roman"/>
      <w:snapToGrid/>
      <w:sz w:val="20"/>
      <w:lang w:val="en-GB" w:eastAsia="en-US"/>
    </w:rPr>
  </w:style>
  <w:style w:type="paragraph" w:customStyle="1" w:styleId="Bullet2G">
    <w:name w:val="_Bullet 2_G"/>
    <w:basedOn w:val="a"/>
    <w:qFormat/>
    <w:rsid w:val="00103498"/>
    <w:pPr>
      <w:tabs>
        <w:tab w:val="clear" w:pos="431"/>
        <w:tab w:val="num" w:pos="2268"/>
      </w:tabs>
      <w:suppressAutoHyphens/>
      <w:overflowPunct/>
      <w:adjustRightInd/>
      <w:snapToGrid/>
      <w:spacing w:after="120" w:line="240" w:lineRule="atLeast"/>
      <w:ind w:left="2268" w:right="1134" w:hanging="170"/>
    </w:pPr>
    <w:rPr>
      <w:rFonts w:eastAsia="Times New Roman"/>
      <w:snapToGrid/>
      <w:sz w:val="20"/>
      <w:lang w:val="en-GB" w:eastAsia="en-US"/>
    </w:rPr>
  </w:style>
  <w:style w:type="paragraph" w:customStyle="1" w:styleId="H4G">
    <w:name w:val="_ H_4_G"/>
    <w:basedOn w:val="a"/>
    <w:next w:val="a"/>
    <w:qFormat/>
    <w:rsid w:val="00103498"/>
    <w:pPr>
      <w:keepNext/>
      <w:keepLines/>
      <w:tabs>
        <w:tab w:val="clear" w:pos="431"/>
        <w:tab w:val="right" w:pos="851"/>
      </w:tabs>
      <w:suppressAutoHyphens/>
      <w:overflowPunct/>
      <w:adjustRightInd/>
      <w:snapToGrid/>
      <w:spacing w:before="240" w:after="120" w:line="240" w:lineRule="exact"/>
      <w:ind w:left="1134" w:right="1134" w:hanging="1134"/>
      <w:jc w:val="left"/>
    </w:pPr>
    <w:rPr>
      <w:rFonts w:eastAsia="Times New Roman"/>
      <w:i/>
      <w:snapToGrid/>
      <w:sz w:val="20"/>
      <w:lang w:val="en-GB" w:eastAsia="en-US"/>
    </w:rPr>
  </w:style>
  <w:style w:type="paragraph" w:customStyle="1" w:styleId="H56G">
    <w:name w:val="_ H_5/6_G"/>
    <w:basedOn w:val="a"/>
    <w:next w:val="a"/>
    <w:qFormat/>
    <w:rsid w:val="00103498"/>
    <w:pPr>
      <w:keepNext/>
      <w:keepLines/>
      <w:numPr>
        <w:numId w:val="5"/>
      </w:numPr>
      <w:tabs>
        <w:tab w:val="clear" w:pos="431"/>
        <w:tab w:val="clear" w:pos="2268"/>
        <w:tab w:val="right" w:pos="851"/>
      </w:tabs>
      <w:suppressAutoHyphens/>
      <w:overflowPunct/>
      <w:adjustRightInd/>
      <w:snapToGrid/>
      <w:spacing w:before="240" w:after="120" w:line="240" w:lineRule="exact"/>
      <w:ind w:left="1134" w:right="1134" w:hanging="1134"/>
      <w:jc w:val="left"/>
    </w:pPr>
    <w:rPr>
      <w:rFonts w:eastAsia="Times New Roman"/>
      <w:snapToGrid/>
      <w:sz w:val="20"/>
      <w:lang w:val="en-GB" w:eastAsia="en-US"/>
    </w:rPr>
  </w:style>
  <w:style w:type="numbering" w:styleId="1111110">
    <w:name w:val="Outline List 2"/>
    <w:basedOn w:val="a2"/>
    <w:rsid w:val="00103498"/>
    <w:pPr>
      <w:numPr>
        <w:numId w:val="6"/>
      </w:numPr>
    </w:pPr>
  </w:style>
  <w:style w:type="numbering" w:styleId="111111">
    <w:name w:val="Outline List 1"/>
    <w:basedOn w:val="a2"/>
    <w:rsid w:val="00103498"/>
    <w:pPr>
      <w:numPr>
        <w:numId w:val="7"/>
      </w:numPr>
    </w:pPr>
  </w:style>
  <w:style w:type="paragraph" w:styleId="aff3">
    <w:name w:val="envelope return"/>
    <w:basedOn w:val="a"/>
    <w:rsid w:val="00103498"/>
    <w:pPr>
      <w:tabs>
        <w:tab w:val="clear" w:pos="431"/>
      </w:tabs>
      <w:suppressAutoHyphens/>
      <w:overflowPunct/>
      <w:adjustRightInd/>
      <w:snapToGrid/>
      <w:spacing w:line="240" w:lineRule="atLeast"/>
      <w:jc w:val="left"/>
    </w:pPr>
    <w:rPr>
      <w:rFonts w:ascii="Arial" w:eastAsia="Times New Roman" w:hAnsi="Arial" w:cs="Arial"/>
      <w:snapToGrid/>
      <w:sz w:val="20"/>
      <w:lang w:val="en-GB" w:eastAsia="en-US"/>
    </w:rPr>
  </w:style>
  <w:style w:type="character" w:styleId="HTML0">
    <w:name w:val="HTML Acronym"/>
    <w:rsid w:val="00103498"/>
  </w:style>
  <w:style w:type="paragraph" w:styleId="aff4">
    <w:name w:val="envelope address"/>
    <w:basedOn w:val="a"/>
    <w:rsid w:val="00103498"/>
    <w:pPr>
      <w:framePr w:w="7920" w:h="1980" w:hRule="exact" w:hSpace="180" w:wrap="auto" w:hAnchor="page" w:xAlign="center" w:yAlign="bottom"/>
      <w:tabs>
        <w:tab w:val="clear" w:pos="431"/>
      </w:tabs>
      <w:suppressAutoHyphens/>
      <w:overflowPunct/>
      <w:adjustRightInd/>
      <w:snapToGrid/>
      <w:spacing w:line="240" w:lineRule="atLeast"/>
      <w:ind w:left="2880"/>
      <w:jc w:val="left"/>
    </w:pPr>
    <w:rPr>
      <w:rFonts w:ascii="Arial" w:eastAsia="Times New Roman" w:hAnsi="Arial" w:cs="Arial"/>
      <w:snapToGrid/>
      <w:sz w:val="24"/>
      <w:szCs w:val="24"/>
      <w:lang w:val="en-GB" w:eastAsia="en-US"/>
    </w:rPr>
  </w:style>
  <w:style w:type="paragraph" w:customStyle="1" w:styleId="NormalBefore18pt">
    <w:name w:val="Normal + Before:  18 pt"/>
    <w:aliases w:val="After:  36 pt"/>
    <w:basedOn w:val="H23G"/>
    <w:rsid w:val="00103498"/>
    <w:pPr>
      <w:ind w:left="360" w:right="720" w:firstLine="0"/>
    </w:pPr>
    <w:rPr>
      <w:rFonts w:eastAsia="Times New Roman"/>
    </w:rPr>
  </w:style>
  <w:style w:type="character" w:customStyle="1" w:styleId="CharChar5">
    <w:name w:val="Char Char5"/>
    <w:semiHidden/>
    <w:locked/>
    <w:rsid w:val="00103498"/>
    <w:rPr>
      <w:rFonts w:ascii="Times New Roman" w:hAnsi="Times New Roman" w:cs="Times New Roman"/>
      <w:sz w:val="20"/>
      <w:szCs w:val="20"/>
    </w:rPr>
  </w:style>
  <w:style w:type="character" w:customStyle="1" w:styleId="CharChar3">
    <w:name w:val="Char Char3"/>
    <w:semiHidden/>
    <w:locked/>
    <w:rsid w:val="00103498"/>
    <w:rPr>
      <w:rFonts w:ascii="Times New Roman" w:hAnsi="Times New Roman" w:cs="Times New Roman"/>
      <w:sz w:val="20"/>
      <w:szCs w:val="20"/>
    </w:rPr>
  </w:style>
  <w:style w:type="character" w:customStyle="1" w:styleId="doctitle">
    <w:name w:val="doctitle"/>
    <w:rsid w:val="00103498"/>
    <w:rPr>
      <w:rFonts w:cs="Times New Roman"/>
    </w:rPr>
  </w:style>
  <w:style w:type="paragraph" w:styleId="50">
    <w:name w:val="toc 5"/>
    <w:basedOn w:val="a"/>
    <w:next w:val="a"/>
    <w:autoRedefine/>
    <w:rsid w:val="00103498"/>
    <w:pPr>
      <w:tabs>
        <w:tab w:val="clear" w:pos="431"/>
      </w:tabs>
      <w:overflowPunct/>
      <w:adjustRightInd/>
      <w:snapToGrid/>
      <w:spacing w:line="240" w:lineRule="auto"/>
      <w:ind w:left="960"/>
      <w:jc w:val="left"/>
    </w:pPr>
    <w:rPr>
      <w:rFonts w:eastAsia="Times New Roman"/>
      <w:snapToGrid/>
      <w:sz w:val="24"/>
      <w:szCs w:val="24"/>
      <w:lang w:eastAsia="en-US"/>
    </w:rPr>
  </w:style>
  <w:style w:type="paragraph" w:styleId="60">
    <w:name w:val="toc 6"/>
    <w:basedOn w:val="a"/>
    <w:next w:val="a"/>
    <w:autoRedefine/>
    <w:rsid w:val="00103498"/>
    <w:pPr>
      <w:tabs>
        <w:tab w:val="clear" w:pos="431"/>
      </w:tabs>
      <w:overflowPunct/>
      <w:adjustRightInd/>
      <w:snapToGrid/>
      <w:spacing w:line="240" w:lineRule="auto"/>
      <w:ind w:left="1200"/>
      <w:jc w:val="left"/>
    </w:pPr>
    <w:rPr>
      <w:rFonts w:eastAsia="Times New Roman"/>
      <w:snapToGrid/>
      <w:sz w:val="24"/>
      <w:szCs w:val="24"/>
      <w:lang w:eastAsia="en-US"/>
    </w:rPr>
  </w:style>
  <w:style w:type="paragraph" w:styleId="70">
    <w:name w:val="toc 7"/>
    <w:basedOn w:val="a"/>
    <w:next w:val="a"/>
    <w:autoRedefine/>
    <w:rsid w:val="00103498"/>
    <w:pPr>
      <w:tabs>
        <w:tab w:val="clear" w:pos="431"/>
      </w:tabs>
      <w:overflowPunct/>
      <w:adjustRightInd/>
      <w:snapToGrid/>
      <w:spacing w:line="240" w:lineRule="auto"/>
      <w:ind w:left="1440"/>
      <w:jc w:val="left"/>
    </w:pPr>
    <w:rPr>
      <w:rFonts w:eastAsia="Times New Roman"/>
      <w:snapToGrid/>
      <w:sz w:val="24"/>
      <w:szCs w:val="24"/>
      <w:lang w:eastAsia="en-US"/>
    </w:rPr>
  </w:style>
  <w:style w:type="paragraph" w:styleId="80">
    <w:name w:val="toc 8"/>
    <w:basedOn w:val="a"/>
    <w:next w:val="a"/>
    <w:autoRedefine/>
    <w:rsid w:val="00103498"/>
    <w:pPr>
      <w:tabs>
        <w:tab w:val="clear" w:pos="431"/>
      </w:tabs>
      <w:overflowPunct/>
      <w:adjustRightInd/>
      <w:snapToGrid/>
      <w:spacing w:line="240" w:lineRule="auto"/>
      <w:ind w:left="1680"/>
      <w:jc w:val="left"/>
    </w:pPr>
    <w:rPr>
      <w:rFonts w:eastAsia="Times New Roman"/>
      <w:snapToGrid/>
      <w:sz w:val="24"/>
      <w:szCs w:val="24"/>
      <w:lang w:eastAsia="en-US"/>
    </w:rPr>
  </w:style>
  <w:style w:type="paragraph" w:styleId="90">
    <w:name w:val="toc 9"/>
    <w:basedOn w:val="a"/>
    <w:next w:val="a"/>
    <w:autoRedefine/>
    <w:rsid w:val="00103498"/>
    <w:pPr>
      <w:tabs>
        <w:tab w:val="clear" w:pos="431"/>
      </w:tabs>
      <w:overflowPunct/>
      <w:adjustRightInd/>
      <w:snapToGrid/>
      <w:spacing w:line="240" w:lineRule="auto"/>
      <w:ind w:left="1920"/>
      <w:jc w:val="left"/>
    </w:pPr>
    <w:rPr>
      <w:rFonts w:eastAsia="Times New Roman"/>
      <w:snapToGrid/>
      <w:sz w:val="24"/>
      <w:szCs w:val="24"/>
      <w:lang w:eastAsia="en-US"/>
    </w:rPr>
  </w:style>
  <w:style w:type="paragraph" w:customStyle="1" w:styleId="HM">
    <w:name w:val="_ H __M"/>
    <w:basedOn w:val="HCh"/>
    <w:next w:val="SingleTxt"/>
    <w:rsid w:val="00103498"/>
    <w:pPr>
      <w:tabs>
        <w:tab w:val="clear" w:pos="57"/>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360" w:lineRule="exact"/>
      <w:jc w:val="left"/>
    </w:pPr>
    <w:rPr>
      <w:rFonts w:ascii="Times New Roman" w:eastAsia="宋体"/>
      <w:b/>
      <w:spacing w:val="-3"/>
      <w:w w:val="99"/>
      <w:sz w:val="34"/>
      <w:lang w:val="en-GB"/>
    </w:rPr>
  </w:style>
  <w:style w:type="paragraph" w:customStyle="1" w:styleId="H4">
    <w:name w:val="_ H_4"/>
    <w:basedOn w:val="a"/>
    <w:next w:val="SingleTxt"/>
    <w:qFormat/>
    <w:rsid w:val="00103498"/>
    <w:pPr>
      <w:keepNext/>
      <w:keepLines/>
      <w:tabs>
        <w:tab w:val="clear" w:pos="431"/>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overflowPunct/>
      <w:adjustRightInd/>
      <w:snapToGrid/>
      <w:spacing w:line="240" w:lineRule="exact"/>
      <w:ind w:left="1267" w:right="1267" w:hanging="1267"/>
      <w:jc w:val="left"/>
      <w:outlineLvl w:val="3"/>
    </w:pPr>
    <w:rPr>
      <w:i/>
      <w:snapToGrid/>
      <w:spacing w:val="3"/>
      <w:w w:val="103"/>
      <w:kern w:val="14"/>
      <w:sz w:val="20"/>
      <w:lang w:val="en-GB"/>
    </w:rPr>
  </w:style>
  <w:style w:type="paragraph" w:customStyle="1" w:styleId="H56">
    <w:name w:val="_ H_5/6"/>
    <w:basedOn w:val="a"/>
    <w:next w:val="a"/>
    <w:rsid w:val="00103498"/>
    <w:pPr>
      <w:keepNext/>
      <w:keepLines/>
      <w:tabs>
        <w:tab w:val="clear" w:pos="431"/>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overflowPunct/>
      <w:adjustRightInd/>
      <w:snapToGrid/>
      <w:spacing w:line="240" w:lineRule="exact"/>
      <w:ind w:left="1267" w:right="1267" w:hanging="1267"/>
      <w:jc w:val="left"/>
      <w:outlineLvl w:val="4"/>
    </w:pPr>
    <w:rPr>
      <w:snapToGrid/>
      <w:spacing w:val="4"/>
      <w:w w:val="103"/>
      <w:kern w:val="14"/>
      <w:sz w:val="20"/>
      <w:lang w:val="en-GB"/>
    </w:rPr>
  </w:style>
  <w:style w:type="paragraph" w:customStyle="1" w:styleId="DualTxt">
    <w:name w:val="__Dual Txt"/>
    <w:basedOn w:val="a"/>
    <w:rsid w:val="00103498"/>
    <w:pPr>
      <w:tabs>
        <w:tab w:val="clear" w:pos="431"/>
        <w:tab w:val="left" w:pos="480"/>
        <w:tab w:val="left" w:pos="960"/>
        <w:tab w:val="left" w:pos="1440"/>
        <w:tab w:val="left" w:pos="1915"/>
        <w:tab w:val="left" w:pos="2405"/>
        <w:tab w:val="left" w:pos="2880"/>
        <w:tab w:val="left" w:pos="3355"/>
      </w:tabs>
      <w:suppressAutoHyphens/>
      <w:overflowPunct/>
      <w:adjustRightInd/>
      <w:snapToGrid/>
      <w:spacing w:after="120" w:line="240" w:lineRule="exact"/>
    </w:pPr>
    <w:rPr>
      <w:snapToGrid/>
      <w:spacing w:val="4"/>
      <w:w w:val="103"/>
      <w:kern w:val="14"/>
      <w:sz w:val="20"/>
      <w:lang w:val="en-GB"/>
    </w:rPr>
  </w:style>
  <w:style w:type="paragraph" w:customStyle="1" w:styleId="SL">
    <w:name w:val="__S_L"/>
    <w:basedOn w:val="SM"/>
    <w:next w:val="a"/>
    <w:rsid w:val="00103498"/>
    <w:pPr>
      <w:spacing w:line="540" w:lineRule="exact"/>
    </w:pPr>
    <w:rPr>
      <w:spacing w:val="-8"/>
      <w:w w:val="96"/>
      <w:sz w:val="57"/>
    </w:rPr>
  </w:style>
  <w:style w:type="paragraph" w:customStyle="1" w:styleId="Committee">
    <w:name w:val="Committee"/>
    <w:basedOn w:val="H1"/>
    <w:rsid w:val="00103498"/>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70" w:lineRule="exact"/>
      <w:ind w:right="1267"/>
      <w:jc w:val="left"/>
    </w:pPr>
    <w:rPr>
      <w:rFonts w:ascii="Times New Roman" w:eastAsia="宋体"/>
      <w:b/>
      <w:spacing w:val="4"/>
      <w:w w:val="103"/>
      <w:lang w:val="en-GB"/>
    </w:rPr>
  </w:style>
  <w:style w:type="paragraph" w:customStyle="1" w:styleId="Distribution">
    <w:name w:val="Distribution"/>
    <w:next w:val="a"/>
    <w:rsid w:val="00103498"/>
    <w:pPr>
      <w:spacing w:before="240"/>
    </w:pPr>
    <w:rPr>
      <w:spacing w:val="4"/>
      <w:w w:val="103"/>
      <w:kern w:val="14"/>
      <w:lang w:val="en-GB"/>
    </w:rPr>
  </w:style>
  <w:style w:type="character" w:styleId="aff5">
    <w:name w:val="line number"/>
    <w:rsid w:val="00103498"/>
    <w:rPr>
      <w:sz w:val="14"/>
    </w:rPr>
  </w:style>
  <w:style w:type="paragraph" w:customStyle="1" w:styleId="Original">
    <w:name w:val="Original"/>
    <w:next w:val="a"/>
    <w:rsid w:val="00103498"/>
    <w:rPr>
      <w:spacing w:val="4"/>
      <w:w w:val="103"/>
      <w:kern w:val="14"/>
      <w:lang w:val="en-GB"/>
    </w:rPr>
  </w:style>
  <w:style w:type="paragraph" w:customStyle="1" w:styleId="Publication">
    <w:name w:val="Publication"/>
    <w:next w:val="a"/>
    <w:rsid w:val="00103498"/>
    <w:rPr>
      <w:spacing w:val="4"/>
      <w:w w:val="103"/>
      <w:kern w:val="14"/>
      <w:lang w:val="en-GB"/>
    </w:rPr>
  </w:style>
  <w:style w:type="paragraph" w:customStyle="1" w:styleId="ReleaseDate">
    <w:name w:val="Release Date"/>
    <w:next w:val="ab"/>
    <w:rsid w:val="00103498"/>
    <w:rPr>
      <w:spacing w:val="4"/>
      <w:w w:val="103"/>
      <w:kern w:val="14"/>
      <w:lang w:val="en-GB"/>
    </w:rPr>
  </w:style>
  <w:style w:type="paragraph" w:customStyle="1" w:styleId="Session">
    <w:name w:val="Session"/>
    <w:basedOn w:val="H23"/>
    <w:rsid w:val="00103498"/>
    <w:pPr>
      <w:ind w:left="0" w:firstLine="0"/>
    </w:pPr>
    <w:rPr>
      <w:rFonts w:eastAsia="宋体"/>
      <w:spacing w:val="4"/>
      <w:lang w:eastAsia="zh-CN"/>
    </w:rPr>
  </w:style>
  <w:style w:type="paragraph" w:customStyle="1" w:styleId="Small">
    <w:name w:val="Small"/>
    <w:basedOn w:val="a"/>
    <w:next w:val="a"/>
    <w:rsid w:val="00103498"/>
    <w:pPr>
      <w:tabs>
        <w:tab w:val="clear" w:pos="431"/>
        <w:tab w:val="right" w:pos="9965"/>
      </w:tabs>
      <w:suppressAutoHyphens/>
      <w:overflowPunct/>
      <w:adjustRightInd/>
      <w:snapToGrid/>
      <w:spacing w:line="210" w:lineRule="exact"/>
      <w:jc w:val="left"/>
    </w:pPr>
    <w:rPr>
      <w:snapToGrid/>
      <w:spacing w:val="5"/>
      <w:w w:val="104"/>
      <w:kern w:val="14"/>
      <w:sz w:val="17"/>
      <w:lang w:val="en-GB"/>
    </w:rPr>
  </w:style>
  <w:style w:type="paragraph" w:customStyle="1" w:styleId="Sponsors0">
    <w:name w:val="Sponsors"/>
    <w:basedOn w:val="H23"/>
    <w:rsid w:val="00103498"/>
    <w:rPr>
      <w:rFonts w:eastAsia="宋体"/>
      <w:lang w:eastAsia="zh-CN"/>
    </w:rPr>
  </w:style>
  <w:style w:type="paragraph" w:customStyle="1" w:styleId="Title1">
    <w:name w:val="Title 1"/>
    <w:basedOn w:val="HCh"/>
    <w:rsid w:val="00103498"/>
    <w:pPr>
      <w:tabs>
        <w:tab w:val="clear" w:pos="57"/>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300" w:lineRule="exact"/>
      <w:ind w:left="1267" w:right="1267" w:hanging="1267"/>
      <w:jc w:val="left"/>
    </w:pPr>
    <w:rPr>
      <w:rFonts w:ascii="Times New Roman" w:eastAsia="宋体"/>
      <w:b/>
      <w:spacing w:val="-2"/>
      <w:w w:val="103"/>
      <w:lang w:val="en-GB"/>
    </w:rPr>
  </w:style>
  <w:style w:type="paragraph" w:customStyle="1" w:styleId="Bullet1">
    <w:name w:val="Bullet 1"/>
    <w:basedOn w:val="a"/>
    <w:qFormat/>
    <w:rsid w:val="00103498"/>
    <w:pPr>
      <w:numPr>
        <w:numId w:val="9"/>
      </w:numPr>
      <w:tabs>
        <w:tab w:val="clear" w:pos="431"/>
        <w:tab w:val="num" w:pos="2426"/>
      </w:tabs>
      <w:suppressAutoHyphens/>
      <w:overflowPunct/>
      <w:adjustRightInd/>
      <w:snapToGrid/>
      <w:spacing w:after="120" w:line="240" w:lineRule="atLeast"/>
      <w:ind w:left="1134" w:right="1267" w:firstLine="431"/>
    </w:pPr>
    <w:rPr>
      <w:snapToGrid/>
      <w:spacing w:val="4"/>
      <w:w w:val="103"/>
      <w:kern w:val="14"/>
      <w:sz w:val="20"/>
      <w:lang w:val="en-GB"/>
    </w:rPr>
  </w:style>
  <w:style w:type="paragraph" w:customStyle="1" w:styleId="Bullet2">
    <w:name w:val="Bullet 2"/>
    <w:basedOn w:val="a"/>
    <w:qFormat/>
    <w:rsid w:val="00103498"/>
    <w:pPr>
      <w:numPr>
        <w:numId w:val="8"/>
      </w:numPr>
      <w:tabs>
        <w:tab w:val="clear" w:pos="431"/>
        <w:tab w:val="num" w:pos="2426"/>
      </w:tabs>
      <w:suppressAutoHyphens/>
      <w:overflowPunct/>
      <w:adjustRightInd/>
      <w:snapToGrid/>
      <w:spacing w:after="120" w:line="240" w:lineRule="exact"/>
      <w:ind w:left="1134" w:right="1264" w:firstLine="431"/>
    </w:pPr>
    <w:rPr>
      <w:snapToGrid/>
      <w:spacing w:val="4"/>
      <w:w w:val="103"/>
      <w:kern w:val="14"/>
      <w:sz w:val="20"/>
      <w:lang w:val="en-GB"/>
    </w:rPr>
  </w:style>
  <w:style w:type="paragraph" w:customStyle="1" w:styleId="Bullet3">
    <w:name w:val="Bullet 3"/>
    <w:basedOn w:val="SingleTxt"/>
    <w:qFormat/>
    <w:rsid w:val="00103498"/>
    <w:pPr>
      <w:numPr>
        <w:numId w:val="10"/>
      </w:numPr>
      <w:tabs>
        <w:tab w:val="clear" w:pos="1264"/>
        <w:tab w:val="clear" w:pos="1695"/>
        <w:tab w:val="clear" w:pos="2126"/>
        <w:tab w:val="clear" w:pos="2557"/>
        <w:tab w:val="clear" w:pos="2988"/>
        <w:tab w:val="clear" w:pos="3419"/>
        <w:tab w:val="clear" w:pos="3850"/>
        <w:tab w:val="clear" w:pos="4281"/>
        <w:tab w:val="clear" w:pos="4712"/>
        <w:tab w:val="clear" w:pos="5143"/>
        <w:tab w:val="clear" w:pos="5574"/>
        <w:tab w:val="clear" w:pos="6005"/>
        <w:tab w:val="clear" w:pos="6435"/>
        <w:tab w:val="num" w:pos="2426"/>
      </w:tabs>
      <w:suppressAutoHyphens/>
      <w:spacing w:after="120" w:line="240" w:lineRule="exact"/>
      <w:ind w:left="1134" w:right="1267" w:firstLine="431"/>
    </w:pPr>
    <w:rPr>
      <w:rFonts w:ascii="Times New Roman"/>
      <w:spacing w:val="4"/>
      <w:w w:val="103"/>
      <w:sz w:val="20"/>
      <w:lang w:val="en-GB"/>
    </w:rPr>
  </w:style>
  <w:style w:type="paragraph" w:customStyle="1" w:styleId="Title2">
    <w:name w:val="Title 2"/>
    <w:basedOn w:val="H1"/>
    <w:rsid w:val="00103498"/>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70" w:lineRule="exact"/>
      <w:jc w:val="left"/>
    </w:pPr>
    <w:rPr>
      <w:rFonts w:ascii="Times New Roman" w:eastAsia="宋体"/>
      <w:b/>
      <w:spacing w:val="4"/>
      <w:w w:val="103"/>
      <w:lang w:val="en-GB"/>
    </w:rPr>
  </w:style>
  <w:style w:type="paragraph" w:customStyle="1" w:styleId="Type">
    <w:name w:val="Type"/>
    <w:basedOn w:val="H23"/>
    <w:autoRedefine/>
    <w:rsid w:val="00103498"/>
    <w:pPr>
      <w:ind w:left="0" w:right="576" w:firstLine="0"/>
    </w:pPr>
    <w:rPr>
      <w:rFonts w:eastAsia="宋体"/>
      <w:lang w:eastAsia="zh-CN"/>
    </w:rPr>
  </w:style>
  <w:style w:type="character" w:customStyle="1" w:styleId="FootnoteCharacters">
    <w:name w:val="Footnote Characters"/>
    <w:rsid w:val="00103498"/>
    <w:rPr>
      <w:vertAlign w:val="superscript"/>
    </w:rPr>
  </w:style>
  <w:style w:type="paragraph" w:customStyle="1" w:styleId="Rvision">
    <w:name w:val="Révision"/>
    <w:hidden/>
    <w:semiHidden/>
    <w:rsid w:val="00103498"/>
    <w:rPr>
      <w:rFonts w:eastAsia="Times New Roman"/>
      <w:lang w:val="en-GB" w:eastAsia="en-US"/>
    </w:rPr>
  </w:style>
  <w:style w:type="paragraph" w:styleId="aff6">
    <w:name w:val="Revision"/>
    <w:hidden/>
    <w:uiPriority w:val="99"/>
    <w:rsid w:val="00103498"/>
    <w:rPr>
      <w:rFonts w:eastAsia="Times New Roman"/>
      <w:color w:val="000000"/>
      <w:sz w:val="24"/>
      <w:szCs w:val="24"/>
      <w:lang w:eastAsia="en-US"/>
    </w:rPr>
  </w:style>
  <w:style w:type="paragraph" w:customStyle="1" w:styleId="IndentFootnot">
    <w:name w:val="IndentFootnot"/>
    <w:basedOn w:val="a4"/>
    <w:rsid w:val="00103498"/>
    <w:pPr>
      <w:keepLines w:val="0"/>
      <w:tabs>
        <w:tab w:val="clear" w:pos="1021"/>
        <w:tab w:val="right" w:pos="1080"/>
        <w:tab w:val="right" w:pos="1195"/>
        <w:tab w:val="left" w:pos="1267"/>
        <w:tab w:val="left" w:pos="1350"/>
        <w:tab w:val="left" w:pos="1800"/>
        <w:tab w:val="left" w:pos="1980"/>
        <w:tab w:val="left" w:pos="2218"/>
        <w:tab w:val="left" w:pos="2693"/>
      </w:tabs>
      <w:suppressAutoHyphens/>
      <w:overflowPunct/>
      <w:adjustRightInd/>
      <w:snapToGrid/>
      <w:spacing w:after="60" w:line="210" w:lineRule="exact"/>
      <w:ind w:left="1526" w:right="1267" w:firstLine="0"/>
      <w:jc w:val="left"/>
    </w:pPr>
    <w:rPr>
      <w:snapToGrid/>
      <w:spacing w:val="5"/>
      <w:w w:val="103"/>
      <w:kern w:val="14"/>
      <w:sz w:val="17"/>
      <w:szCs w:val="17"/>
      <w:lang w:val="en-GB"/>
    </w:rPr>
  </w:style>
  <w:style w:type="paragraph" w:customStyle="1" w:styleId="Style1">
    <w:name w:val="Style1"/>
    <w:basedOn w:val="SingleTxtG"/>
    <w:link w:val="Style1Char"/>
    <w:qFormat/>
    <w:rsid w:val="00103498"/>
    <w:pPr>
      <w:ind w:left="720" w:right="720"/>
      <w:jc w:val="left"/>
    </w:pPr>
    <w:rPr>
      <w:b/>
    </w:rPr>
  </w:style>
  <w:style w:type="paragraph" w:customStyle="1" w:styleId="Style2">
    <w:name w:val="Style2"/>
    <w:basedOn w:val="H23G"/>
    <w:link w:val="Style2Char"/>
    <w:qFormat/>
    <w:rsid w:val="00103498"/>
    <w:pPr>
      <w:ind w:left="360" w:right="720" w:firstLine="0"/>
    </w:pPr>
    <w:rPr>
      <w:rFonts w:eastAsia="Times New Roman"/>
    </w:rPr>
  </w:style>
  <w:style w:type="character" w:customStyle="1" w:styleId="Style1Char">
    <w:name w:val="Style1 Char"/>
    <w:link w:val="Style1"/>
    <w:rsid w:val="00103498"/>
    <w:rPr>
      <w:b/>
      <w:lang w:val="en-GB" w:eastAsia="en-US"/>
    </w:rPr>
  </w:style>
  <w:style w:type="paragraph" w:customStyle="1" w:styleId="Style3">
    <w:name w:val="Style3"/>
    <w:basedOn w:val="SingleTxtG"/>
    <w:link w:val="Style3Char"/>
    <w:qFormat/>
    <w:rsid w:val="00103498"/>
    <w:pPr>
      <w:ind w:left="360" w:right="720"/>
    </w:pPr>
    <w:rPr>
      <w:rFonts w:eastAsia="Times New Roman"/>
      <w:b/>
    </w:rPr>
  </w:style>
  <w:style w:type="character" w:customStyle="1" w:styleId="Style2Char">
    <w:name w:val="Style2 Char"/>
    <w:link w:val="Style2"/>
    <w:rsid w:val="00103498"/>
    <w:rPr>
      <w:rFonts w:eastAsia="Times New Roman"/>
      <w:b/>
      <w:lang w:val="en-GB" w:eastAsia="en-US"/>
    </w:rPr>
  </w:style>
  <w:style w:type="character" w:customStyle="1" w:styleId="Style3Char">
    <w:name w:val="Style3 Char"/>
    <w:link w:val="Style3"/>
    <w:rsid w:val="00103498"/>
    <w:rPr>
      <w:rFonts w:eastAsia="Times New Roman"/>
      <w:b/>
      <w:lang w:val="en-GB" w:eastAsia="en-US"/>
    </w:rPr>
  </w:style>
  <w:style w:type="character" w:customStyle="1" w:styleId="70Regular">
    <w:name w:val="70_Regular"/>
    <w:qFormat/>
    <w:rsid w:val="00103498"/>
    <w:rPr>
      <w:w w:val="100"/>
    </w:rPr>
  </w:style>
  <w:style w:type="character" w:customStyle="1" w:styleId="71Italique">
    <w:name w:val="71_Italique"/>
    <w:qFormat/>
    <w:rsid w:val="00103498"/>
    <w:rPr>
      <w:i/>
    </w:rPr>
  </w:style>
  <w:style w:type="character" w:styleId="aff7">
    <w:name w:val="endnote reference"/>
    <w:aliases w:val="1_G"/>
    <w:basedOn w:val="a5"/>
    <w:qFormat/>
    <w:rsid w:val="00B44972"/>
    <w:rPr>
      <w:rFonts w:ascii="Times New Roman" w:hAnsi="Times New Roman"/>
      <w:caps w:val="0"/>
      <w:smallCaps w:val="0"/>
      <w:strike w:val="0"/>
      <w:dstrike w:val="0"/>
      <w:snapToGrid w:val="0"/>
      <w:vanish w:val="0"/>
      <w:color w:val="0000FF"/>
      <w:spacing w:val="0"/>
      <w:w w:val="100"/>
      <w:kern w:val="0"/>
      <w:position w:val="0"/>
      <w:sz w:val="21"/>
      <w:vertAlign w:val="superscript"/>
      <w14:cntxtAlts w14:val="0"/>
    </w:rPr>
  </w:style>
  <w:style w:type="numbering" w:customStyle="1" w:styleId="17">
    <w:name w:val="无列表1"/>
    <w:next w:val="a2"/>
    <w:uiPriority w:val="99"/>
    <w:semiHidden/>
    <w:unhideWhenUsed/>
    <w:rsid w:val="003E31C7"/>
  </w:style>
  <w:style w:type="character" w:styleId="aff8">
    <w:name w:val="Book Title"/>
    <w:basedOn w:val="a0"/>
    <w:uiPriority w:val="33"/>
    <w:qFormat/>
    <w:rsid w:val="00CD5A8C"/>
    <w:rPr>
      <w:b/>
      <w:bCs/>
      <w:smallCaps/>
      <w:spacing w:val="5"/>
    </w:rPr>
  </w:style>
  <w:style w:type="paragraph" w:customStyle="1" w:styleId="18">
    <w:name w:val="批注框文本1"/>
    <w:basedOn w:val="a"/>
    <w:next w:val="af5"/>
    <w:uiPriority w:val="99"/>
    <w:unhideWhenUsed/>
    <w:rsid w:val="00CD5A8C"/>
    <w:pPr>
      <w:tabs>
        <w:tab w:val="clear" w:pos="431"/>
      </w:tabs>
      <w:suppressAutoHyphens/>
      <w:kinsoku w:val="0"/>
      <w:autoSpaceDE w:val="0"/>
      <w:autoSpaceDN w:val="0"/>
      <w:spacing w:line="240" w:lineRule="auto"/>
      <w:jc w:val="left"/>
    </w:pPr>
    <w:rPr>
      <w:rFonts w:ascii="Tahoma" w:eastAsia="Calibri" w:hAnsi="Tahoma" w:cs="Tahoma"/>
      <w:snapToGrid/>
      <w:sz w:val="16"/>
      <w:szCs w:val="16"/>
      <w:lang w:val="en-GB" w:eastAsia="en-US"/>
    </w:rPr>
  </w:style>
  <w:style w:type="table" w:customStyle="1" w:styleId="19">
    <w:name w:val="网格型1"/>
    <w:basedOn w:val="a1"/>
    <w:next w:val="af2"/>
    <w:rsid w:val="00CD5A8C"/>
    <w:pPr>
      <w:suppressAutoHyphens/>
      <w:spacing w:line="240" w:lineRule="atLeast"/>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1a">
    <w:name w:val="批注文字1"/>
    <w:basedOn w:val="a"/>
    <w:next w:val="af9"/>
    <w:uiPriority w:val="99"/>
    <w:unhideWhenUsed/>
    <w:rsid w:val="00CD5A8C"/>
    <w:pPr>
      <w:tabs>
        <w:tab w:val="clear" w:pos="431"/>
      </w:tabs>
      <w:overflowPunct/>
      <w:adjustRightInd/>
      <w:snapToGrid/>
      <w:spacing w:after="200" w:line="240" w:lineRule="auto"/>
      <w:jc w:val="left"/>
    </w:pPr>
    <w:rPr>
      <w:rFonts w:eastAsia="Calibri"/>
      <w:snapToGrid/>
      <w:sz w:val="20"/>
      <w:lang w:val="en-GB" w:eastAsia="en-US"/>
    </w:rPr>
  </w:style>
  <w:style w:type="character" w:customStyle="1" w:styleId="Char10">
    <w:name w:val="批注文字 Char1"/>
    <w:basedOn w:val="a0"/>
    <w:uiPriority w:val="99"/>
    <w:semiHidden/>
    <w:rsid w:val="00CD5A8C"/>
    <w:rPr>
      <w:snapToGrid w:val="0"/>
      <w:szCs w:val="21"/>
    </w:rPr>
  </w:style>
  <w:style w:type="paragraph" w:customStyle="1" w:styleId="1b">
    <w:name w:val="修订1"/>
    <w:next w:val="aff6"/>
    <w:hidden/>
    <w:uiPriority w:val="99"/>
    <w:semiHidden/>
    <w:rsid w:val="00CD5A8C"/>
    <w:rPr>
      <w:rFonts w:ascii="Calibri" w:eastAsia="Calibri" w:hAnsi="Calibri" w:cs="Arial"/>
      <w:sz w:val="22"/>
      <w:szCs w:val="22"/>
      <w:lang w:val="en-GB" w:eastAsia="en-US"/>
    </w:rPr>
  </w:style>
  <w:style w:type="paragraph" w:customStyle="1" w:styleId="Default">
    <w:name w:val="Default"/>
    <w:rsid w:val="00CD5A8C"/>
    <w:pPr>
      <w:autoSpaceDE w:val="0"/>
      <w:autoSpaceDN w:val="0"/>
      <w:adjustRightInd w:val="0"/>
    </w:pPr>
    <w:rPr>
      <w:rFonts w:eastAsia="Calibri"/>
      <w:color w:val="000000"/>
      <w:sz w:val="24"/>
      <w:szCs w:val="24"/>
      <w:lang w:eastAsia="en-US"/>
    </w:rPr>
  </w:style>
  <w:style w:type="paragraph" w:customStyle="1" w:styleId="1c">
    <w:name w:val="普通(网站)1"/>
    <w:basedOn w:val="a"/>
    <w:next w:val="aff0"/>
    <w:uiPriority w:val="99"/>
    <w:unhideWhenUsed/>
    <w:rsid w:val="00CD5A8C"/>
    <w:pPr>
      <w:tabs>
        <w:tab w:val="clear" w:pos="431"/>
      </w:tabs>
      <w:overflowPunct/>
      <w:adjustRightInd/>
      <w:snapToGrid/>
      <w:spacing w:after="200" w:line="276" w:lineRule="auto"/>
      <w:jc w:val="left"/>
    </w:pPr>
    <w:rPr>
      <w:rFonts w:eastAsia="Calibri"/>
      <w:snapToGrid/>
      <w:sz w:val="24"/>
      <w:szCs w:val="24"/>
      <w:lang w:val="en-GB" w:eastAsia="en-US"/>
    </w:rPr>
  </w:style>
  <w:style w:type="paragraph" w:customStyle="1" w:styleId="Body">
    <w:name w:val="Body"/>
    <w:rsid w:val="00CD5A8C"/>
    <w:rPr>
      <w:rFonts w:ascii="Helvetica" w:eastAsia="ヒラギノ角ゴ Pro W3" w:hAnsi="Helvetica"/>
      <w:color w:val="000000"/>
      <w:sz w:val="24"/>
      <w:lang w:eastAsia="en-US"/>
    </w:rPr>
  </w:style>
  <w:style w:type="paragraph" w:customStyle="1" w:styleId="1d">
    <w:name w:val="列出段落1"/>
    <w:basedOn w:val="a"/>
    <w:next w:val="aff2"/>
    <w:uiPriority w:val="34"/>
    <w:qFormat/>
    <w:rsid w:val="00CD5A8C"/>
    <w:pPr>
      <w:tabs>
        <w:tab w:val="clear" w:pos="431"/>
      </w:tabs>
      <w:overflowPunct/>
      <w:adjustRightInd/>
      <w:snapToGrid/>
      <w:spacing w:after="160" w:line="259" w:lineRule="auto"/>
      <w:ind w:left="720"/>
      <w:contextualSpacing/>
      <w:jc w:val="left"/>
    </w:pPr>
    <w:rPr>
      <w:rFonts w:eastAsia="Calibri" w:cs="Arial"/>
      <w:snapToGrid/>
      <w:sz w:val="24"/>
      <w:szCs w:val="22"/>
      <w:lang w:val="en-GB" w:eastAsia="en-US"/>
    </w:rPr>
  </w:style>
  <w:style w:type="paragraph" w:customStyle="1" w:styleId="Rvision1">
    <w:name w:val="Révision1"/>
    <w:hidden/>
    <w:semiHidden/>
    <w:rsid w:val="00CD5A8C"/>
    <w:rPr>
      <w:rFonts w:eastAsia="Times New Roman"/>
      <w:lang w:val="en-GB" w:eastAsia="en-US"/>
    </w:rPr>
  </w:style>
  <w:style w:type="paragraph" w:customStyle="1" w:styleId="1e">
    <w:name w:val="标题1"/>
    <w:basedOn w:val="a"/>
    <w:next w:val="a"/>
    <w:uiPriority w:val="10"/>
    <w:qFormat/>
    <w:rsid w:val="00CD5A8C"/>
    <w:pPr>
      <w:pBdr>
        <w:bottom w:val="single" w:sz="4" w:space="1" w:color="auto"/>
      </w:pBdr>
      <w:tabs>
        <w:tab w:val="clear" w:pos="431"/>
      </w:tabs>
      <w:overflowPunct/>
      <w:adjustRightInd/>
      <w:snapToGrid/>
      <w:spacing w:after="200" w:line="240" w:lineRule="auto"/>
      <w:contextualSpacing/>
      <w:jc w:val="left"/>
    </w:pPr>
    <w:rPr>
      <w:rFonts w:ascii="Cambria" w:hAnsi="Cambria"/>
      <w:snapToGrid/>
      <w:color w:val="000000"/>
      <w:spacing w:val="5"/>
      <w:sz w:val="52"/>
      <w:szCs w:val="52"/>
      <w:lang w:eastAsia="en-US"/>
    </w:rPr>
  </w:style>
  <w:style w:type="paragraph" w:customStyle="1" w:styleId="1f">
    <w:name w:val="副标题1"/>
    <w:basedOn w:val="a"/>
    <w:next w:val="a"/>
    <w:uiPriority w:val="11"/>
    <w:qFormat/>
    <w:rsid w:val="00CD5A8C"/>
    <w:pPr>
      <w:tabs>
        <w:tab w:val="clear" w:pos="431"/>
      </w:tabs>
      <w:overflowPunct/>
      <w:adjustRightInd/>
      <w:snapToGrid/>
      <w:spacing w:after="600" w:line="276" w:lineRule="auto"/>
      <w:jc w:val="left"/>
    </w:pPr>
    <w:rPr>
      <w:rFonts w:ascii="Cambria" w:hAnsi="Cambria"/>
      <w:i/>
      <w:iCs/>
      <w:snapToGrid/>
      <w:color w:val="000000"/>
      <w:spacing w:val="13"/>
      <w:sz w:val="24"/>
      <w:szCs w:val="24"/>
      <w:lang w:eastAsia="en-US"/>
    </w:rPr>
  </w:style>
  <w:style w:type="paragraph" w:styleId="aff9">
    <w:name w:val="No Spacing"/>
    <w:basedOn w:val="a"/>
    <w:uiPriority w:val="1"/>
    <w:qFormat/>
    <w:rsid w:val="00CD5A8C"/>
    <w:pPr>
      <w:tabs>
        <w:tab w:val="clear" w:pos="431"/>
      </w:tabs>
      <w:overflowPunct/>
      <w:adjustRightInd/>
      <w:snapToGrid/>
      <w:spacing w:line="240" w:lineRule="auto"/>
      <w:jc w:val="left"/>
    </w:pPr>
    <w:rPr>
      <w:rFonts w:eastAsia="Times New Roman"/>
      <w:snapToGrid/>
      <w:color w:val="000000"/>
      <w:sz w:val="24"/>
      <w:szCs w:val="24"/>
      <w:lang w:eastAsia="en-US"/>
    </w:rPr>
  </w:style>
  <w:style w:type="paragraph" w:styleId="affa">
    <w:name w:val="Quote"/>
    <w:basedOn w:val="a"/>
    <w:next w:val="a"/>
    <w:link w:val="Chard"/>
    <w:uiPriority w:val="29"/>
    <w:qFormat/>
    <w:rsid w:val="00CD5A8C"/>
    <w:pPr>
      <w:tabs>
        <w:tab w:val="clear" w:pos="431"/>
      </w:tabs>
      <w:overflowPunct/>
      <w:adjustRightInd/>
      <w:snapToGrid/>
      <w:spacing w:before="200" w:line="276" w:lineRule="auto"/>
      <w:ind w:left="360" w:right="360"/>
      <w:jc w:val="left"/>
    </w:pPr>
    <w:rPr>
      <w:rFonts w:eastAsia="Times New Roman"/>
      <w:i/>
      <w:iCs/>
      <w:snapToGrid/>
      <w:color w:val="000000"/>
      <w:sz w:val="24"/>
      <w:szCs w:val="24"/>
      <w:lang w:eastAsia="en-US"/>
    </w:rPr>
  </w:style>
  <w:style w:type="character" w:customStyle="1" w:styleId="Chard">
    <w:name w:val="引用 Char"/>
    <w:basedOn w:val="a0"/>
    <w:link w:val="affa"/>
    <w:uiPriority w:val="29"/>
    <w:rsid w:val="00CD5A8C"/>
    <w:rPr>
      <w:rFonts w:eastAsia="Times New Roman"/>
      <w:i/>
      <w:iCs/>
      <w:color w:val="000000"/>
      <w:sz w:val="24"/>
      <w:szCs w:val="24"/>
      <w:lang w:eastAsia="en-US"/>
    </w:rPr>
  </w:style>
  <w:style w:type="paragraph" w:styleId="affb">
    <w:name w:val="Intense Quote"/>
    <w:basedOn w:val="a"/>
    <w:next w:val="a"/>
    <w:link w:val="Chare"/>
    <w:uiPriority w:val="30"/>
    <w:qFormat/>
    <w:rsid w:val="00CD5A8C"/>
    <w:pPr>
      <w:pBdr>
        <w:bottom w:val="single" w:sz="4" w:space="1" w:color="auto"/>
      </w:pBdr>
      <w:tabs>
        <w:tab w:val="clear" w:pos="431"/>
      </w:tabs>
      <w:overflowPunct/>
      <w:adjustRightInd/>
      <w:snapToGrid/>
      <w:spacing w:before="200" w:after="280" w:line="276" w:lineRule="auto"/>
      <w:ind w:left="1008" w:right="1152"/>
    </w:pPr>
    <w:rPr>
      <w:rFonts w:eastAsia="Times New Roman"/>
      <w:b/>
      <w:bCs/>
      <w:i/>
      <w:iCs/>
      <w:snapToGrid/>
      <w:color w:val="000000"/>
      <w:sz w:val="24"/>
      <w:szCs w:val="24"/>
      <w:lang w:eastAsia="en-US"/>
    </w:rPr>
  </w:style>
  <w:style w:type="character" w:customStyle="1" w:styleId="Chare">
    <w:name w:val="明显引用 Char"/>
    <w:basedOn w:val="a0"/>
    <w:link w:val="affb"/>
    <w:uiPriority w:val="30"/>
    <w:rsid w:val="00CD5A8C"/>
    <w:rPr>
      <w:rFonts w:eastAsia="Times New Roman"/>
      <w:b/>
      <w:bCs/>
      <w:i/>
      <w:iCs/>
      <w:color w:val="000000"/>
      <w:sz w:val="24"/>
      <w:szCs w:val="24"/>
      <w:lang w:eastAsia="en-US"/>
    </w:rPr>
  </w:style>
  <w:style w:type="character" w:styleId="affc">
    <w:name w:val="Subtle Emphasis"/>
    <w:uiPriority w:val="19"/>
    <w:qFormat/>
    <w:rsid w:val="00CD5A8C"/>
    <w:rPr>
      <w:i/>
      <w:iCs/>
    </w:rPr>
  </w:style>
  <w:style w:type="character" w:styleId="affd">
    <w:name w:val="Intense Emphasis"/>
    <w:uiPriority w:val="21"/>
    <w:qFormat/>
    <w:rsid w:val="00CD5A8C"/>
    <w:rPr>
      <w:b/>
      <w:bCs/>
    </w:rPr>
  </w:style>
  <w:style w:type="character" w:styleId="affe">
    <w:name w:val="Subtle Reference"/>
    <w:uiPriority w:val="31"/>
    <w:qFormat/>
    <w:rsid w:val="00CD5A8C"/>
    <w:rPr>
      <w:smallCaps/>
    </w:rPr>
  </w:style>
  <w:style w:type="character" w:styleId="afff">
    <w:name w:val="Intense Reference"/>
    <w:uiPriority w:val="32"/>
    <w:qFormat/>
    <w:rsid w:val="00CD5A8C"/>
    <w:rPr>
      <w:smallCaps/>
      <w:spacing w:val="5"/>
      <w:u w:val="single"/>
    </w:rPr>
  </w:style>
  <w:style w:type="character" w:customStyle="1" w:styleId="BalloonTextChar1">
    <w:name w:val="Balloon Text Char1"/>
    <w:basedOn w:val="a0"/>
    <w:rsid w:val="00CD5A8C"/>
    <w:rPr>
      <w:rFonts w:ascii="Tahoma" w:eastAsia="Calibri" w:hAnsi="Tahoma" w:cs="Tahoma"/>
      <w:color w:val="auto"/>
      <w:sz w:val="16"/>
      <w:szCs w:val="16"/>
    </w:rPr>
  </w:style>
  <w:style w:type="character" w:customStyle="1" w:styleId="Hyperlink0">
    <w:name w:val="Hyperlink.0"/>
    <w:basedOn w:val="a0"/>
    <w:rsid w:val="00CD5A8C"/>
    <w:rPr>
      <w:rFonts w:ascii="Times New Roman" w:eastAsia="Times New Roman" w:hAnsi="Times New Roman" w:cs="Times New Roman"/>
      <w:color w:val="000000"/>
      <w:sz w:val="20"/>
      <w:szCs w:val="20"/>
      <w:u w:val="single" w:color="0000FF"/>
    </w:rPr>
  </w:style>
  <w:style w:type="character" w:customStyle="1" w:styleId="Hyperlink1">
    <w:name w:val="Hyperlink.1"/>
    <w:basedOn w:val="a0"/>
    <w:rsid w:val="00CD5A8C"/>
    <w:rPr>
      <w:rFonts w:ascii="Times New Roman" w:eastAsia="Times New Roman" w:hAnsi="Times New Roman" w:cs="Times New Roman"/>
      <w:color w:val="000000"/>
      <w:sz w:val="20"/>
      <w:szCs w:val="20"/>
      <w:u w:val="single" w:color="0000FF"/>
    </w:rPr>
  </w:style>
  <w:style w:type="character" w:customStyle="1" w:styleId="Hyperlink2">
    <w:name w:val="Hyperlink.2"/>
    <w:basedOn w:val="a0"/>
    <w:rsid w:val="00CD5A8C"/>
    <w:rPr>
      <w:color w:val="000000"/>
      <w:u w:val="single" w:color="0000FF"/>
    </w:rPr>
  </w:style>
  <w:style w:type="paragraph" w:customStyle="1" w:styleId="1f0">
    <w:name w:val="题注1"/>
    <w:basedOn w:val="a"/>
    <w:next w:val="a"/>
    <w:uiPriority w:val="35"/>
    <w:unhideWhenUsed/>
    <w:qFormat/>
    <w:rsid w:val="00CD5A8C"/>
    <w:pPr>
      <w:tabs>
        <w:tab w:val="clear" w:pos="431"/>
      </w:tabs>
      <w:suppressAutoHyphens/>
      <w:kinsoku w:val="0"/>
      <w:autoSpaceDE w:val="0"/>
      <w:autoSpaceDN w:val="0"/>
      <w:spacing w:before="120" w:line="240" w:lineRule="atLeast"/>
      <w:jc w:val="left"/>
    </w:pPr>
    <w:rPr>
      <w:rFonts w:eastAsia="Calibri"/>
      <w:b/>
      <w:bCs/>
      <w:snapToGrid/>
      <w:sz w:val="24"/>
      <w:lang w:val="en-GB" w:eastAsia="en-US"/>
    </w:rPr>
  </w:style>
  <w:style w:type="paragraph" w:styleId="afff0">
    <w:name w:val="Bibliography"/>
    <w:basedOn w:val="a"/>
    <w:next w:val="a"/>
    <w:uiPriority w:val="37"/>
    <w:semiHidden/>
    <w:unhideWhenUsed/>
    <w:rsid w:val="00CD5A8C"/>
    <w:pPr>
      <w:tabs>
        <w:tab w:val="clear" w:pos="431"/>
      </w:tabs>
      <w:overflowPunct/>
      <w:adjustRightInd/>
      <w:snapToGrid/>
      <w:spacing w:after="200" w:line="276" w:lineRule="auto"/>
      <w:jc w:val="left"/>
    </w:pPr>
    <w:rPr>
      <w:rFonts w:ascii="Calibri" w:eastAsia="Calibri" w:hAnsi="Calibri" w:cs="Arial"/>
      <w:snapToGrid/>
      <w:sz w:val="22"/>
      <w:szCs w:val="22"/>
      <w:lang w:eastAsia="en-US"/>
    </w:rPr>
  </w:style>
  <w:style w:type="character" w:customStyle="1" w:styleId="subfielddata1">
    <w:name w:val="subfielddata1"/>
    <w:uiPriority w:val="99"/>
    <w:rsid w:val="00CD5A8C"/>
    <w:rPr>
      <w:rFonts w:cs="Times New Roman"/>
    </w:rPr>
  </w:style>
  <w:style w:type="character" w:customStyle="1" w:styleId="BalloonTextChar">
    <w:name w:val="Balloon Text Char"/>
    <w:uiPriority w:val="99"/>
    <w:semiHidden/>
    <w:locked/>
    <w:rsid w:val="00CD5A8C"/>
    <w:rPr>
      <w:rFonts w:ascii="Tahoma" w:hAnsi="Tahoma" w:cs="Tahoma"/>
      <w:sz w:val="16"/>
      <w:szCs w:val="16"/>
    </w:rPr>
  </w:style>
  <w:style w:type="paragraph" w:customStyle="1" w:styleId="AppelnotedebasdepageCharChar">
    <w:name w:val="Appel note de bas de page Char Char"/>
    <w:aliases w:val="Texto de nota al pie Char Char,referencia nota al pie Char Char,a Footnote Reference Char Char,a Footnote text + MetaNormal-Roman Char Char,4_G Char Char Char"/>
    <w:basedOn w:val="a"/>
    <w:uiPriority w:val="99"/>
    <w:rsid w:val="00CD5A8C"/>
    <w:pPr>
      <w:tabs>
        <w:tab w:val="clear" w:pos="431"/>
      </w:tabs>
      <w:overflowPunct/>
      <w:adjustRightInd/>
      <w:snapToGrid/>
      <w:spacing w:after="200" w:line="276" w:lineRule="auto"/>
      <w:jc w:val="left"/>
    </w:pPr>
    <w:rPr>
      <w:noProof/>
      <w:snapToGrid/>
      <w:color w:val="0000FF"/>
      <w:szCs w:val="24"/>
      <w:vertAlign w:val="superscript"/>
    </w:rPr>
  </w:style>
  <w:style w:type="paragraph" w:customStyle="1" w:styleId="4GCharChar">
    <w:name w:val="4_G Char Char"/>
    <w:aliases w:val="Appel note de bas de page Char Char Char,Texto de nota al pie Char Char Char,referencia nota al pie Char Char Char,FZ Char Char Char,a Footnote Reference Char Char Char,a Footnote text + MetaNormal-Roman Char Char Char,4_G Char Char Char1"/>
    <w:basedOn w:val="a"/>
    <w:uiPriority w:val="99"/>
    <w:rsid w:val="00CD5A8C"/>
    <w:pPr>
      <w:tabs>
        <w:tab w:val="clear" w:pos="431"/>
      </w:tabs>
      <w:overflowPunct/>
      <w:adjustRightInd/>
      <w:snapToGrid/>
      <w:spacing w:after="200" w:line="276" w:lineRule="auto"/>
      <w:jc w:val="left"/>
    </w:pPr>
    <w:rPr>
      <w:noProof/>
      <w:snapToGrid/>
      <w:color w:val="0000FF"/>
      <w:szCs w:val="24"/>
      <w:vertAlign w:val="superscript"/>
    </w:rPr>
  </w:style>
  <w:style w:type="paragraph" w:customStyle="1" w:styleId="4GCharCharChar1Char">
    <w:name w:val="4_G Char Char Char1 Char"/>
    <w:aliases w:val="Appel note de bas de page Char Char Char Char Char,Texto de nota al pie Char Char Char Char Char,referencia nota al pie Char Char Char Char Char,FZ Char Char Char Char Char,a Footnote Reference Char Char Char Char Char"/>
    <w:basedOn w:val="a"/>
    <w:uiPriority w:val="99"/>
    <w:rsid w:val="00CD5A8C"/>
    <w:pPr>
      <w:tabs>
        <w:tab w:val="clear" w:pos="431"/>
      </w:tabs>
      <w:overflowPunct/>
      <w:adjustRightInd/>
      <w:snapToGrid/>
      <w:spacing w:after="200" w:line="276" w:lineRule="auto"/>
      <w:jc w:val="left"/>
    </w:pPr>
    <w:rPr>
      <w:noProof/>
      <w:snapToGrid/>
      <w:color w:val="0000FF"/>
      <w:szCs w:val="24"/>
      <w:vertAlign w:val="superscript"/>
    </w:rPr>
  </w:style>
  <w:style w:type="character" w:styleId="afff1">
    <w:name w:val="Placeholder Text"/>
    <w:basedOn w:val="a0"/>
    <w:uiPriority w:val="99"/>
    <w:semiHidden/>
    <w:rsid w:val="00CD5A8C"/>
    <w:rPr>
      <w:color w:val="808080"/>
    </w:rPr>
  </w:style>
  <w:style w:type="character" w:customStyle="1" w:styleId="high-light-bg4">
    <w:name w:val="high-light-bg4"/>
    <w:basedOn w:val="a0"/>
    <w:rsid w:val="00CD5A8C"/>
  </w:style>
  <w:style w:type="character" w:customStyle="1" w:styleId="Char11">
    <w:name w:val="批注框文本 Char1"/>
    <w:basedOn w:val="a0"/>
    <w:uiPriority w:val="99"/>
    <w:semiHidden/>
    <w:rsid w:val="00CD5A8C"/>
    <w:rPr>
      <w:snapToGrid w:val="0"/>
      <w:sz w:val="18"/>
      <w:szCs w:val="18"/>
    </w:rPr>
  </w:style>
  <w:style w:type="character" w:customStyle="1" w:styleId="Char12">
    <w:name w:val="标题 Char1"/>
    <w:basedOn w:val="a0"/>
    <w:uiPriority w:val="10"/>
    <w:semiHidden/>
    <w:rsid w:val="00CD5A8C"/>
    <w:rPr>
      <w:rFonts w:asciiTheme="majorHAnsi" w:hAnsiTheme="majorHAnsi" w:cstheme="majorBidi"/>
      <w:b/>
      <w:bCs/>
      <w:snapToGrid w:val="0"/>
      <w:sz w:val="32"/>
      <w:szCs w:val="32"/>
    </w:rPr>
  </w:style>
  <w:style w:type="character" w:customStyle="1" w:styleId="Char13">
    <w:name w:val="副标题 Char1"/>
    <w:basedOn w:val="a0"/>
    <w:uiPriority w:val="11"/>
    <w:semiHidden/>
    <w:rsid w:val="00CD5A8C"/>
    <w:rPr>
      <w:rFonts w:asciiTheme="majorHAnsi" w:hAnsiTheme="majorHAnsi" w:cstheme="majorBidi"/>
      <w:b/>
      <w:bCs/>
      <w:snapToGrid w:val="0"/>
      <w:kern w:val="28"/>
      <w:sz w:val="32"/>
      <w:szCs w:val="32"/>
    </w:rPr>
  </w:style>
  <w:style w:type="paragraph" w:styleId="TOC">
    <w:name w:val="TOC Heading"/>
    <w:basedOn w:val="1"/>
    <w:next w:val="a"/>
    <w:uiPriority w:val="39"/>
    <w:unhideWhenUsed/>
    <w:qFormat/>
    <w:rsid w:val="00396D56"/>
    <w:pPr>
      <w:keepNext w:val="0"/>
      <w:keepLines w:val="0"/>
      <w:widowControl/>
      <w:tabs>
        <w:tab w:val="clear" w:pos="431"/>
      </w:tabs>
      <w:overflowPunct/>
      <w:adjustRightInd/>
      <w:snapToGrid/>
      <w:spacing w:before="480" w:after="0" w:line="276" w:lineRule="auto"/>
      <w:contextualSpacing/>
      <w:jc w:val="left"/>
      <w:outlineLvl w:val="9"/>
    </w:pPr>
    <w:rPr>
      <w:rFonts w:asciiTheme="majorHAnsi" w:eastAsiaTheme="majorEastAsia" w:hAnsiTheme="majorHAnsi" w:cstheme="majorBidi"/>
      <w:bCs/>
      <w:color w:val="000000"/>
      <w:kern w:val="0"/>
      <w:sz w:val="28"/>
      <w:szCs w:val="28"/>
      <w:lang w:eastAsia="en-US" w:bidi="en-US"/>
    </w:rPr>
  </w:style>
  <w:style w:type="paragraph" w:styleId="afff2">
    <w:name w:val="caption"/>
    <w:basedOn w:val="a"/>
    <w:next w:val="a"/>
    <w:uiPriority w:val="35"/>
    <w:unhideWhenUsed/>
    <w:qFormat/>
    <w:rsid w:val="00396D56"/>
    <w:pPr>
      <w:tabs>
        <w:tab w:val="clear" w:pos="431"/>
      </w:tabs>
      <w:suppressAutoHyphens/>
      <w:kinsoku w:val="0"/>
      <w:autoSpaceDE w:val="0"/>
      <w:autoSpaceDN w:val="0"/>
      <w:spacing w:before="120" w:line="240" w:lineRule="atLeast"/>
      <w:jc w:val="left"/>
    </w:pPr>
    <w:rPr>
      <w:rFonts w:eastAsiaTheme="minorHAnsi"/>
      <w:b/>
      <w:bCs/>
      <w:snapToGrid/>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68741">
      <w:bodyDiv w:val="1"/>
      <w:marLeft w:val="0"/>
      <w:marRight w:val="0"/>
      <w:marTop w:val="0"/>
      <w:marBottom w:val="0"/>
      <w:divBdr>
        <w:top w:val="none" w:sz="0" w:space="0" w:color="auto"/>
        <w:left w:val="none" w:sz="0" w:space="0" w:color="auto"/>
        <w:bottom w:val="none" w:sz="0" w:space="0" w:color="auto"/>
        <w:right w:val="none" w:sz="0" w:space="0" w:color="auto"/>
      </w:divBdr>
    </w:div>
    <w:div w:id="1209151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undocs.org/ch/A/CN.4/697" TargetMode="External"/><Relationship Id="rId117" Type="http://schemas.openxmlformats.org/officeDocument/2006/relationships/hyperlink" Target="http://undocs.org/ch/A/63/10" TargetMode="External"/><Relationship Id="rId21" Type="http://schemas.openxmlformats.org/officeDocument/2006/relationships/header" Target="header5.xml"/><Relationship Id="rId42" Type="http://schemas.openxmlformats.org/officeDocument/2006/relationships/hyperlink" Target="http://undocs.org/ch/A/CN.4/L.870/" TargetMode="External"/><Relationship Id="rId47" Type="http://schemas.openxmlformats.org/officeDocument/2006/relationships/hyperlink" Target="http://undocs.org/ch/A/CN.4/L.877" TargetMode="External"/><Relationship Id="rId63" Type="http://schemas.openxmlformats.org/officeDocument/2006/relationships/hyperlink" Target="http://undocs.org/ch/A/RES/46/182" TargetMode="External"/><Relationship Id="rId68" Type="http://schemas.openxmlformats.org/officeDocument/2006/relationships/hyperlink" Target="http://undocs.org/ch/S/RES/2165(2014)" TargetMode="External"/><Relationship Id="rId84" Type="http://schemas.openxmlformats.org/officeDocument/2006/relationships/hyperlink" Target="http://undocs.org/A/CN.4/694" TargetMode="External"/><Relationship Id="rId89" Type="http://schemas.openxmlformats.org/officeDocument/2006/relationships/hyperlink" Target="http://undocs.org/A/CN.4/690" TargetMode="External"/><Relationship Id="rId112" Type="http://schemas.openxmlformats.org/officeDocument/2006/relationships/hyperlink" Target="http://undocs.org/ch/A/71/6" TargetMode="External"/><Relationship Id="rId133" Type="http://schemas.openxmlformats.org/officeDocument/2006/relationships/hyperlink" Target="http://undocs.org/ch/A/C.6/49/SR.16" TargetMode="External"/><Relationship Id="rId138" Type="http://schemas.openxmlformats.org/officeDocument/2006/relationships/hyperlink" Target="http://undocs.org/ch/A/8382" TargetMode="External"/><Relationship Id="rId16" Type="http://schemas.openxmlformats.org/officeDocument/2006/relationships/header" Target="header2.xml"/><Relationship Id="rId107" Type="http://schemas.openxmlformats.org/officeDocument/2006/relationships/hyperlink" Target="http://undocs.org/ch/A/CN.4/699" TargetMode="External"/><Relationship Id="rId11" Type="http://schemas.openxmlformats.org/officeDocument/2006/relationships/hyperlink" Target="http://undocs.org/ch/A/71/10" TargetMode="External"/><Relationship Id="rId32" Type="http://schemas.openxmlformats.org/officeDocument/2006/relationships/hyperlink" Target="http://undocs.org/ch/A/CN.4/694" TargetMode="External"/><Relationship Id="rId37" Type="http://schemas.openxmlformats.org/officeDocument/2006/relationships/hyperlink" Target="http://undocs.org/ch/A/CN.4/692" TargetMode="External"/><Relationship Id="rId53" Type="http://schemas.openxmlformats.org/officeDocument/2006/relationships/hyperlink" Target="http://undocs.org/ch/A/RES/45/100" TargetMode="External"/><Relationship Id="rId58" Type="http://schemas.openxmlformats.org/officeDocument/2006/relationships/hyperlink" Target="http://undocs.org/ch/A/RES/46/182" TargetMode="External"/><Relationship Id="rId74" Type="http://schemas.openxmlformats.org/officeDocument/2006/relationships/hyperlink" Target="http://undocs.org/A/CN.4/672" TargetMode="External"/><Relationship Id="rId79" Type="http://schemas.openxmlformats.org/officeDocument/2006/relationships/hyperlink" Target="http://undocs.org/A/CN.4/691" TargetMode="External"/><Relationship Id="rId102" Type="http://schemas.openxmlformats.org/officeDocument/2006/relationships/hyperlink" Target="http://undocs.org/ch/A/CN.4/664" TargetMode="External"/><Relationship Id="rId123" Type="http://schemas.openxmlformats.org/officeDocument/2006/relationships/hyperlink" Target="http://undocs.org/ch/A/RES/70/236" TargetMode="External"/><Relationship Id="rId128" Type="http://schemas.openxmlformats.org/officeDocument/2006/relationships/hyperlink" Target="http://undocs.org/ch/A/RES/70/236" TargetMode="External"/><Relationship Id="rId5" Type="http://schemas.openxmlformats.org/officeDocument/2006/relationships/settings" Target="settings.xml"/><Relationship Id="rId90" Type="http://schemas.openxmlformats.org/officeDocument/2006/relationships/hyperlink" Target="http://undocs.org/ch/A/RES/(A/CN.4/698)" TargetMode="External"/><Relationship Id="rId95" Type="http://schemas.openxmlformats.org/officeDocument/2006/relationships/hyperlink" Target="http://undocs.org/ch/A/CN.4/685" TargetMode="External"/><Relationship Id="rId22" Type="http://schemas.openxmlformats.org/officeDocument/2006/relationships/header" Target="header6.xml"/><Relationship Id="rId27" Type="http://schemas.openxmlformats.org/officeDocument/2006/relationships/hyperlink" Target="http://undocs.org/ch/A/CN.4/696" TargetMode="External"/><Relationship Id="rId43" Type="http://schemas.openxmlformats.org/officeDocument/2006/relationships/hyperlink" Target="http://undocs.org/ch/A/CN.4/701" TargetMode="External"/><Relationship Id="rId48" Type="http://schemas.openxmlformats.org/officeDocument/2006/relationships/hyperlink" Target="http://undocs.org/ch/A/RES/62/66" TargetMode="External"/><Relationship Id="rId64" Type="http://schemas.openxmlformats.org/officeDocument/2006/relationships/hyperlink" Target="http://undocs.org/ch/A/RES/43/131" TargetMode="External"/><Relationship Id="rId69" Type="http://schemas.openxmlformats.org/officeDocument/2006/relationships/hyperlink" Target="http://undocs.org/ch/A/RES/43/131" TargetMode="External"/><Relationship Id="rId113" Type="http://schemas.openxmlformats.org/officeDocument/2006/relationships/hyperlink" Target="http://undocs.org/ch/A/CN.4/679" TargetMode="External"/><Relationship Id="rId118" Type="http://schemas.openxmlformats.org/officeDocument/2006/relationships/hyperlink" Target="http://undocs.org/ch/A/RES/70/236" TargetMode="External"/><Relationship Id="rId134" Type="http://schemas.openxmlformats.org/officeDocument/2006/relationships/hyperlink" Target="http://www.editions-harmattan.fr/index.asp?navig=auteurs&amp;obj=artiste&amp;no=21353" TargetMode="External"/><Relationship Id="rId139" Type="http://schemas.openxmlformats.org/officeDocument/2006/relationships/footer" Target="footer9.xml"/><Relationship Id="rId8" Type="http://schemas.openxmlformats.org/officeDocument/2006/relationships/endnotes" Target="endnotes.xml"/><Relationship Id="rId51" Type="http://schemas.openxmlformats.org/officeDocument/2006/relationships/hyperlink" Target="http://undocs.org/ch/A/CN.4/L.871" TargetMode="External"/><Relationship Id="rId72" Type="http://schemas.openxmlformats.org/officeDocument/2006/relationships/hyperlink" Target="http://undocs.org/A/CN.4/663" TargetMode="External"/><Relationship Id="rId80" Type="http://schemas.openxmlformats.org/officeDocument/2006/relationships/hyperlink" Target="http://undocs.org/ch/A/CN.4/L.872" TargetMode="External"/><Relationship Id="rId85" Type="http://schemas.openxmlformats.org/officeDocument/2006/relationships/hyperlink" Target="http://undocs.org/ch/S/RES/1540(2004)" TargetMode="External"/><Relationship Id="rId93" Type="http://schemas.openxmlformats.org/officeDocument/2006/relationships/hyperlink" Target="http://www.un.org/en/ga/search/view_doc.asp?symbol=A/CN.4/693" TargetMode="External"/><Relationship Id="rId98" Type="http://schemas.openxmlformats.org/officeDocument/2006/relationships/hyperlink" Target="http://undocs.org/ch/A/CN.4/L.870" TargetMode="External"/><Relationship Id="rId121" Type="http://schemas.openxmlformats.org/officeDocument/2006/relationships/hyperlink" Target="http://undocs.org/ch/A/RES/56/272"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hyperlink" Target="http://undocs.org/ch/A/CN.4/690" TargetMode="External"/><Relationship Id="rId38" Type="http://schemas.openxmlformats.org/officeDocument/2006/relationships/hyperlink" Target="http://undocs.org/ch/A/CN.4/L.875" TargetMode="External"/><Relationship Id="rId46" Type="http://schemas.openxmlformats.org/officeDocument/2006/relationships/hyperlink" Target="http://undocs.org/ch/A/CN.4/699/Add.1" TargetMode="External"/><Relationship Id="rId59" Type="http://schemas.openxmlformats.org/officeDocument/2006/relationships/hyperlink" Target="http://undocs.org/ch/A/RES/46/182" TargetMode="External"/><Relationship Id="rId67" Type="http://schemas.openxmlformats.org/officeDocument/2006/relationships/hyperlink" Target="http://undocs.org/ch/A/RES/45/100" TargetMode="External"/><Relationship Id="rId103" Type="http://schemas.openxmlformats.org/officeDocument/2006/relationships/hyperlink" Target="http://undocs.org/ch/A/CN.4/658" TargetMode="External"/><Relationship Id="rId108" Type="http://schemas.openxmlformats.org/officeDocument/2006/relationships/hyperlink" Target="http://undocs.org/ch/A/CN.4/L.877" TargetMode="External"/><Relationship Id="rId116" Type="http://schemas.openxmlformats.org/officeDocument/2006/relationships/hyperlink" Target="http://undocs.org/ch/A/RES/70/118" TargetMode="External"/><Relationship Id="rId124" Type="http://schemas.openxmlformats.org/officeDocument/2006/relationships/hyperlink" Target="http://undocs.org/ch/A/RES/70/236" TargetMode="External"/><Relationship Id="rId129" Type="http://schemas.openxmlformats.org/officeDocument/2006/relationships/header" Target="header7.xml"/><Relationship Id="rId137" Type="http://schemas.openxmlformats.org/officeDocument/2006/relationships/hyperlink" Target="http://undocs.org/ch/A/CN.4/L.118" TargetMode="External"/><Relationship Id="rId20" Type="http://schemas.openxmlformats.org/officeDocument/2006/relationships/footer" Target="footer3.xml"/><Relationship Id="rId41" Type="http://schemas.openxmlformats.org/officeDocument/2006/relationships/hyperlink" Target="http://undocs.org/ch/A/CN.4/L.876" TargetMode="External"/><Relationship Id="rId54" Type="http://schemas.openxmlformats.org/officeDocument/2006/relationships/hyperlink" Target="http://undocs.org/ch/A/RES/46/182" TargetMode="External"/><Relationship Id="rId62" Type="http://schemas.openxmlformats.org/officeDocument/2006/relationships/hyperlink" Target="http://undocs.org/ch/A/RES/46/182" TargetMode="External"/><Relationship Id="rId70" Type="http://schemas.openxmlformats.org/officeDocument/2006/relationships/hyperlink" Target="http://undocs.org/ch/A/RES/45/100" TargetMode="External"/><Relationship Id="rId75" Type="http://schemas.openxmlformats.org/officeDocument/2006/relationships/hyperlink" Target="http://undocs.org/ch/A/CN.4/" TargetMode="External"/><Relationship Id="rId83" Type="http://schemas.openxmlformats.org/officeDocument/2006/relationships/hyperlink" Target="http://undocs.org/A/CN.4/683" TargetMode="External"/><Relationship Id="rId88" Type="http://schemas.openxmlformats.org/officeDocument/2006/relationships/hyperlink" Target="http://undocs.org/ch/A/RES/(A/CN.4/680)" TargetMode="External"/><Relationship Id="rId91" Type="http://schemas.openxmlformats.org/officeDocument/2006/relationships/hyperlink" Target="http://undocs.org/ch/A/CN.4/692" TargetMode="External"/><Relationship Id="rId96" Type="http://schemas.openxmlformats.org/officeDocument/2006/relationships/hyperlink" Target="http://undocs.org/ch/A/CN.4/L.870" TargetMode="External"/><Relationship Id="rId111" Type="http://schemas.openxmlformats.org/officeDocument/2006/relationships/hyperlink" Target="http://undocs.org/ch/A/RES/70/118" TargetMode="External"/><Relationship Id="rId132" Type="http://schemas.openxmlformats.org/officeDocument/2006/relationships/footer" Target="footer8.xm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4.xml"/><Relationship Id="rId28" Type="http://schemas.openxmlformats.org/officeDocument/2006/relationships/hyperlink" Target="http://undocs.org/ch/A/CN.4/696/Add.1" TargetMode="External"/><Relationship Id="rId36" Type="http://schemas.openxmlformats.org/officeDocument/2006/relationships/hyperlink" Target="http://undocs.org/ch/A/CN.4/L.873/Add.1" TargetMode="External"/><Relationship Id="rId49" Type="http://schemas.openxmlformats.org/officeDocument/2006/relationships/hyperlink" Target="http://undocs.org/ch/A/CN.4/697" TargetMode="External"/><Relationship Id="rId57" Type="http://schemas.openxmlformats.org/officeDocument/2006/relationships/hyperlink" Target="http://undocs.org/ch/A/RES/46/182" TargetMode="External"/><Relationship Id="rId106" Type="http://schemas.openxmlformats.org/officeDocument/2006/relationships/hyperlink" Target="http://undocs.org/ch/A/CN.4/676" TargetMode="External"/><Relationship Id="rId114" Type="http://schemas.openxmlformats.org/officeDocument/2006/relationships/hyperlink" Target="http://undocs.org/ch/A/CN.4/679/Add.1" TargetMode="External"/><Relationship Id="rId119" Type="http://schemas.openxmlformats.org/officeDocument/2006/relationships/hyperlink" Target="http://undocs.org/ch/A/RES/70/236" TargetMode="External"/><Relationship Id="rId127" Type="http://schemas.openxmlformats.org/officeDocument/2006/relationships/hyperlink" Target="http://undocs.org/ch/A/CN.4/679/Add.1" TargetMode="External"/><Relationship Id="rId10" Type="http://schemas.openxmlformats.org/officeDocument/2006/relationships/image" Target="media/image1.wmf"/><Relationship Id="rId31" Type="http://schemas.openxmlformats.org/officeDocument/2006/relationships/hyperlink" Target="http://undocs.org/ch/A/CN.4/" TargetMode="External"/><Relationship Id="rId44" Type="http://schemas.openxmlformats.org/officeDocument/2006/relationships/hyperlink" Target="http://undocs.org/ch/A/CN.4/L.865" TargetMode="External"/><Relationship Id="rId52" Type="http://schemas.openxmlformats.org/officeDocument/2006/relationships/hyperlink" Target="http://undocs.org/ch/A/RES/46/182" TargetMode="External"/><Relationship Id="rId60" Type="http://schemas.openxmlformats.org/officeDocument/2006/relationships/hyperlink" Target="http://undocs.org/ch/A/RES/69/284" TargetMode="External"/><Relationship Id="rId65" Type="http://schemas.openxmlformats.org/officeDocument/2006/relationships/hyperlink" Target="http://undocs.org/ch/A/RES/46/182" TargetMode="External"/><Relationship Id="rId73" Type="http://schemas.openxmlformats.org/officeDocument/2006/relationships/hyperlink" Target="http://undocs.org/A/CN.4/659" TargetMode="External"/><Relationship Id="rId78" Type="http://schemas.openxmlformats.org/officeDocument/2006/relationships/hyperlink" Target="http://undocs.org/A/CN.4/695/Add.1" TargetMode="External"/><Relationship Id="rId81" Type="http://schemas.openxmlformats.org/officeDocument/2006/relationships/hyperlink" Target="http://undocs.org/A/CN.4/660" TargetMode="External"/><Relationship Id="rId86" Type="http://schemas.openxmlformats.org/officeDocument/2006/relationships/hyperlink" Target="http://undocs.org/ch/A/RES/60/286" TargetMode="External"/><Relationship Id="rId94" Type="http://schemas.openxmlformats.org/officeDocument/2006/relationships/hyperlink" Target="http://undocs.org/ch/A/CN.4/674" TargetMode="External"/><Relationship Id="rId99" Type="http://schemas.openxmlformats.org/officeDocument/2006/relationships/hyperlink" Target="http://undocs.org/ch/A/CN.4/L.870/Rev.1" TargetMode="External"/><Relationship Id="rId101" Type="http://schemas.openxmlformats.org/officeDocument/2006/relationships/hyperlink" Target="http://undocs.org/ch/A/RES/67/92" TargetMode="External"/><Relationship Id="rId122" Type="http://schemas.openxmlformats.org/officeDocument/2006/relationships/hyperlink" Target="http://undocs.org/ch/A/RES/69/324" TargetMode="External"/><Relationship Id="rId130" Type="http://schemas.openxmlformats.org/officeDocument/2006/relationships/header" Target="header8.xml"/><Relationship Id="rId135" Type="http://schemas.openxmlformats.org/officeDocument/2006/relationships/hyperlink" Target="http://catalogue.ppl.nl/DB=1/SET=1/TTL=16/SHW?FRST=19" TargetMode="External"/><Relationship Id="rId4" Type="http://schemas.microsoft.com/office/2007/relationships/stylesWithEffects" Target="stylesWithEffects.xml"/><Relationship Id="rId9" Type="http://schemas.openxmlformats.org/officeDocument/2006/relationships/hyperlink" Target="http://undocs.org/ch/A/71/10" TargetMode="External"/><Relationship Id="rId13" Type="http://schemas.openxmlformats.org/officeDocument/2006/relationships/footer" Target="footer1.xml"/><Relationship Id="rId18" Type="http://schemas.openxmlformats.org/officeDocument/2006/relationships/header" Target="header3.xml"/><Relationship Id="rId39" Type="http://schemas.openxmlformats.org/officeDocument/2006/relationships/hyperlink" Target="http://undocs.org/ch/A/CN.4/693" TargetMode="External"/><Relationship Id="rId109" Type="http://schemas.openxmlformats.org/officeDocument/2006/relationships/hyperlink" Target="http://undocs.org/ch/A/71/6(Prog.6" TargetMode="External"/><Relationship Id="rId34" Type="http://schemas.openxmlformats.org/officeDocument/2006/relationships/hyperlink" Target="http://undocs.org/ch/A/CN.4/698" TargetMode="External"/><Relationship Id="rId50" Type="http://schemas.openxmlformats.org/officeDocument/2006/relationships/hyperlink" Target="http://undocs.org/ch/A/CN.4/696" TargetMode="External"/><Relationship Id="rId55" Type="http://schemas.openxmlformats.org/officeDocument/2006/relationships/hyperlink" Target="http://undocs.org/ch/A/RES/69/135" TargetMode="External"/><Relationship Id="rId76" Type="http://schemas.openxmlformats.org/officeDocument/2006/relationships/hyperlink" Target="http://undocs.org/A/CN.4/L.869" TargetMode="External"/><Relationship Id="rId97" Type="http://schemas.openxmlformats.org/officeDocument/2006/relationships/hyperlink" Target="http://undocs.org/ch/A/CN.4/700" TargetMode="External"/><Relationship Id="rId104" Type="http://schemas.openxmlformats.org/officeDocument/2006/relationships/hyperlink" Target="http://undocs.org/ch/A/CN.4/675" TargetMode="External"/><Relationship Id="rId120" Type="http://schemas.openxmlformats.org/officeDocument/2006/relationships/hyperlink" Target="http://undocs.org/ch/A/RES/56/272" TargetMode="External"/><Relationship Id="rId125" Type="http://schemas.openxmlformats.org/officeDocument/2006/relationships/hyperlink" Target="http://undocs.org/ch/A/CN.4/691" TargetMode="External"/><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undocs.org/A/CN.4/653" TargetMode="External"/><Relationship Id="rId92" Type="http://schemas.openxmlformats.org/officeDocument/2006/relationships/hyperlink" Target="http://undocs.org/ch/A/RES/70/236" TargetMode="External"/><Relationship Id="rId2" Type="http://schemas.openxmlformats.org/officeDocument/2006/relationships/numbering" Target="numbering.xml"/><Relationship Id="rId29" Type="http://schemas.openxmlformats.org/officeDocument/2006/relationships/hyperlink" Target="http://undocs.org/ch/A/CN.4/695" TargetMode="External"/><Relationship Id="rId24" Type="http://schemas.openxmlformats.org/officeDocument/2006/relationships/footer" Target="footer5.xml"/><Relationship Id="rId40" Type="http://schemas.openxmlformats.org/officeDocument/2006/relationships/hyperlink" Target="http://undocs.org/ch/A/CN.4/700" TargetMode="External"/><Relationship Id="rId45" Type="http://schemas.openxmlformats.org/officeDocument/2006/relationships/hyperlink" Target="http://undocs.org/ch/A/CN.4/699" TargetMode="External"/><Relationship Id="rId66" Type="http://schemas.openxmlformats.org/officeDocument/2006/relationships/hyperlink" Target="http://undocs.org/ch/A/RES/43/131" TargetMode="External"/><Relationship Id="rId87" Type="http://schemas.openxmlformats.org/officeDocument/2006/relationships/hyperlink" Target="http://undocs.org/ch/A/RES/69/118" TargetMode="External"/><Relationship Id="rId110" Type="http://schemas.openxmlformats.org/officeDocument/2006/relationships/hyperlink" Target="http://undocs.org/ch/A/RES/70/236" TargetMode="External"/><Relationship Id="rId115" Type="http://schemas.openxmlformats.org/officeDocument/2006/relationships/hyperlink" Target="http://undocs.org/ch/A/RES/70/118" TargetMode="External"/><Relationship Id="rId131" Type="http://schemas.openxmlformats.org/officeDocument/2006/relationships/footer" Target="footer7.xml"/><Relationship Id="rId136" Type="http://schemas.openxmlformats.org/officeDocument/2006/relationships/hyperlink" Target="http://catalogue.ppl.nl/DB=1/SET=1/TTL=1/SHW?FRST=13" TargetMode="External"/><Relationship Id="rId61" Type="http://schemas.openxmlformats.org/officeDocument/2006/relationships/hyperlink" Target="http://undocs.org/ch/A/RES/46/182" TargetMode="External"/><Relationship Id="rId82" Type="http://schemas.openxmlformats.org/officeDocument/2006/relationships/hyperlink" Target="http://undocs.org/A/CN.4/671" TargetMode="External"/><Relationship Id="rId19" Type="http://schemas.openxmlformats.org/officeDocument/2006/relationships/header" Target="header4.xml"/><Relationship Id="rId14" Type="http://schemas.openxmlformats.org/officeDocument/2006/relationships/hyperlink" Target="http://undocs.org/ch/A/71/10" TargetMode="External"/><Relationship Id="rId30" Type="http://schemas.openxmlformats.org/officeDocument/2006/relationships/hyperlink" Target="http://undocs.org/ch/A/CN.4/695/Add.1" TargetMode="External"/><Relationship Id="rId35" Type="http://schemas.openxmlformats.org/officeDocument/2006/relationships/hyperlink" Target="http://undocs.org/ch/A/CN.4/L.873" TargetMode="External"/><Relationship Id="rId56" Type="http://schemas.openxmlformats.org/officeDocument/2006/relationships/hyperlink" Target="http://undocs.org/ch/A/RES/46/182" TargetMode="External"/><Relationship Id="rId77" Type="http://schemas.openxmlformats.org/officeDocument/2006/relationships/hyperlink" Target="http://undocs.org/A/CN.4/695" TargetMode="External"/><Relationship Id="rId100" Type="http://schemas.openxmlformats.org/officeDocument/2006/relationships/hyperlink" Target="http://undocs.org/ch/A/CN.4/701" TargetMode="External"/><Relationship Id="rId105" Type="http://schemas.openxmlformats.org/officeDocument/2006/relationships/hyperlink" Target="http://undocs.org/ch/A/CN.4/687" TargetMode="External"/><Relationship Id="rId126" Type="http://schemas.openxmlformats.org/officeDocument/2006/relationships/hyperlink" Target="http://undocs.org/ch/A/CN.4/698"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footnotes.xml.rels><?xml version="1.0" encoding="UTF-8" standalone="yes"?>
<Relationships xmlns="http://schemas.openxmlformats.org/package/2006/relationships"><Relationship Id="rId117" Type="http://schemas.openxmlformats.org/officeDocument/2006/relationships/hyperlink" Target="file:///\\conf-share1\conf\Groups\PEPS-Share\REFERENCES\1_1961_NarcoticDrugs.pdf" TargetMode="External"/><Relationship Id="rId299" Type="http://schemas.openxmlformats.org/officeDocument/2006/relationships/hyperlink" Target="https://treaties.un.org/doc/Publication/UNTS/Volume%201108/v1108.pdf" TargetMode="External"/><Relationship Id="rId303" Type="http://schemas.openxmlformats.org/officeDocument/2006/relationships/hyperlink" Target="https://treaties.un.org/doc/Publication/UNTS/Volume%201046/v1046.pdf" TargetMode="External"/><Relationship Id="rId21" Type="http://schemas.openxmlformats.org/officeDocument/2006/relationships/hyperlink" Target="http://www.npc.gov.cn/englishnpc/Law/2009-02/20/content_%201471589.htm" TargetMode="External"/><Relationship Id="rId42" Type="http://schemas.openxmlformats.org/officeDocument/2006/relationships/hyperlink" Target="http://undocs.org/A/66/10" TargetMode="External"/><Relationship Id="rId63" Type="http://schemas.openxmlformats.org/officeDocument/2006/relationships/hyperlink" Target="http://www.icrc.org/eng/assets/files/other/statutes-en-a5.pdf(2016&#24180;5&#26376;17" TargetMode="External"/><Relationship Id="rId84" Type="http://schemas.openxmlformats.org/officeDocument/2006/relationships/hyperlink" Target="http://undocs.org/ch/A/CN.4/671" TargetMode="External"/><Relationship Id="rId138" Type="http://schemas.openxmlformats.org/officeDocument/2006/relationships/hyperlink" Target="file:///\\conf-share1\conf\Groups\PEPS-Share\REFERENCES\1_1984_UNTorture.pdf" TargetMode="External"/><Relationship Id="rId159" Type="http://schemas.openxmlformats.org/officeDocument/2006/relationships/hyperlink" Target="http://unbisnet.un.org:8080/ipac20/ipac.jsp?session=J467384744GN0.9642&amp;profile=bib&amp;uri=link=3100006~!1272584~!3100001~!3100040&amp;aspect=alpha&amp;menu=search&amp;ri=4&amp;source=~!horizon&amp;term=A%2FRES%2F65%2F221&amp;index=ZUNSYMA" TargetMode="External"/><Relationship Id="rId324" Type="http://schemas.openxmlformats.org/officeDocument/2006/relationships/hyperlink" Target="http://undocs.org/ch/A/70/10" TargetMode="External"/><Relationship Id="rId345" Type="http://schemas.openxmlformats.org/officeDocument/2006/relationships/hyperlink" Target="http://undocs.org/ch/A/69/10)" TargetMode="External"/><Relationship Id="rId170" Type="http://schemas.openxmlformats.org/officeDocument/2006/relationships/hyperlink" Target="file:///H:\PEPS-Share\REFERENCES\2_2014_Margus_Crotia_E.pdf" TargetMode="External"/><Relationship Id="rId191" Type="http://schemas.openxmlformats.org/officeDocument/2006/relationships/hyperlink" Target="file:///\\conf-share1\conf\Groups\PEPS-Share\REFERENCES\2_2010_Diallo.pdf" TargetMode="External"/><Relationship Id="rId205" Type="http://schemas.openxmlformats.org/officeDocument/2006/relationships/hyperlink" Target="https://documents-dds-ny.un.org/doc/UNDOC/GEN/G05/161/05/PDF/G0516105.pdf?OpenElement" TargetMode="External"/><Relationship Id="rId226" Type="http://schemas.openxmlformats.org/officeDocument/2006/relationships/hyperlink" Target="http://www.oas.org/juridico/english/treaties/a-51.html" TargetMode="External"/><Relationship Id="rId247" Type="http://schemas.openxmlformats.org/officeDocument/2006/relationships/hyperlink" Target="https://documents-dds-ny.un.org/doc/UNDOC/GEN/N94/265/34/IMG/N9426534.pdf?OpenElement" TargetMode="External"/><Relationship Id="rId107" Type="http://schemas.openxmlformats.org/officeDocument/2006/relationships/hyperlink" Target="http://undocs.org/ch/A/66/10" TargetMode="External"/><Relationship Id="rId268" Type="http://schemas.openxmlformats.org/officeDocument/2006/relationships/hyperlink" Target="https://treaties.un.org/doc/Publication/UNTS/Volume%201316/v1316.pdf" TargetMode="External"/><Relationship Id="rId289" Type="http://schemas.openxmlformats.org/officeDocument/2006/relationships/hyperlink" Target="http://www.icj-cij.org/docket/files/135/11235.pdf" TargetMode="External"/><Relationship Id="rId11" Type="http://schemas.openxmlformats.org/officeDocument/2006/relationships/hyperlink" Target="http://www.preventionweb" TargetMode="External"/><Relationship Id="rId32" Type="http://schemas.openxmlformats.org/officeDocument/2006/relationships/hyperlink" Target="http://undocs.org/A/69/10" TargetMode="External"/><Relationship Id="rId53" Type="http://schemas.openxmlformats.org/officeDocument/2006/relationships/hyperlink" Target="http://undocs.org/ch/A/CN.4/660" TargetMode="External"/><Relationship Id="rId74" Type="http://schemas.openxmlformats.org/officeDocument/2006/relationships/hyperlink" Target="http://www.dof.gob.mx" TargetMode="External"/><Relationship Id="rId128" Type="http://schemas.openxmlformats.org/officeDocument/2006/relationships/hyperlink" Target="http://undocs.org/E/C.12/1989/4" TargetMode="External"/><Relationship Id="rId149" Type="http://schemas.openxmlformats.org/officeDocument/2006/relationships/hyperlink" Target="file:///\\conf-share1\conf\Groups\PEPS-Share\REFERENCES\3_Ulfstein&amp;Werksmann_Kyoto_Compliance_System.pdf" TargetMode="External"/><Relationship Id="rId314" Type="http://schemas.openxmlformats.org/officeDocument/2006/relationships/hyperlink" Target="http://legal.un.org/docs/?symbol=A/CN.4/L.682/Corr.1" TargetMode="External"/><Relationship Id="rId335" Type="http://schemas.openxmlformats.org/officeDocument/2006/relationships/hyperlink" Target="http://legal.un.org/ilc" TargetMode="External"/><Relationship Id="rId356" Type="http://schemas.openxmlformats.org/officeDocument/2006/relationships/hyperlink" Target="http://undocs.org/S/AC.26/Dec.20" TargetMode="External"/><Relationship Id="rId5" Type="http://schemas.openxmlformats.org/officeDocument/2006/relationships/hyperlink" Target="http://nidm.gov.in/%20amcdrr/beijing.pdf" TargetMode="External"/><Relationship Id="rId95" Type="http://schemas.openxmlformats.org/officeDocument/2006/relationships/hyperlink" Target="http://undocs.org/ch/BWC/CONF.VI/6" TargetMode="External"/><Relationship Id="rId160" Type="http://schemas.openxmlformats.org/officeDocument/2006/relationships/hyperlink" Target="http://unbisnet.un.org:8080/ipac20/ipac.jsp?session=J467384744GN0.9642&amp;profile=bib&amp;uri=link=3100006~!1318316~!3100001~!3100040&amp;aspect=alpha&amp;menu=search&amp;ri=6&amp;source=~!horizon&amp;term=A%2FRES%2F68%2F178&amp;index=ZUNSYMA" TargetMode="External"/><Relationship Id="rId181" Type="http://schemas.openxmlformats.org/officeDocument/2006/relationships/hyperlink" Target="file:///\\conf-share1\conf\Groups\PEPS-Share\REFERENCES\2_2004_Legal_Consequences_Palestinian.pdf" TargetMode="External"/><Relationship Id="rId216" Type="http://schemas.openxmlformats.org/officeDocument/2006/relationships/hyperlink" Target="https://documents-dds-ny.un.org/doc/UNDOC/GEN/N77/179/98/PDF/N7717998.pdf?OpenElement" TargetMode="External"/><Relationship Id="rId237" Type="http://schemas.openxmlformats.org/officeDocument/2006/relationships/hyperlink" Target="http://www.icj-cij.org/docket/files/121/8126.pdf" TargetMode="External"/><Relationship Id="rId258" Type="http://schemas.openxmlformats.org/officeDocument/2006/relationships/hyperlink" Target="https://treaties.un.org/doc/Publication/UNTS/Volume%202149/v2149.pdf" TargetMode="External"/><Relationship Id="rId279" Type="http://schemas.openxmlformats.org/officeDocument/2006/relationships/hyperlink" Target="http://undocs.org/ch/A/CONF.151/26/Rev.1(&#31532;&#19968;&#21367;))" TargetMode="External"/><Relationship Id="rId22" Type="http://schemas.openxmlformats.org/officeDocument/2006/relationships/hyperlink" Target="http://www.ifrc.org/%20Global/Publications/IDRL/DM%20acts/Cambodia%20DM%20Law_English.pdf" TargetMode="External"/><Relationship Id="rId43" Type="http://schemas.openxmlformats.org/officeDocument/2006/relationships/hyperlink" Target="http://undocs.org/A/67/10" TargetMode="External"/><Relationship Id="rId64" Type="http://schemas.openxmlformats.org/officeDocument/2006/relationships/hyperlink" Target="http://www.icrc.org" TargetMode="External"/><Relationship Id="rId118" Type="http://schemas.openxmlformats.org/officeDocument/2006/relationships/hyperlink" Target="file:///\\conf-share1\conf\Groups\PEPS-Share\REFERENCES\1_1966_ICCPR.pdf" TargetMode="External"/><Relationship Id="rId139" Type="http://schemas.openxmlformats.org/officeDocument/2006/relationships/hyperlink" Target="file:///H:\PEPS-Share\REFERENCES\1_1966_ICCPR.pdf" TargetMode="External"/><Relationship Id="rId290" Type="http://schemas.openxmlformats.org/officeDocument/2006/relationships/hyperlink" Target="https://docs.wto.org/dol2fe/Pages/FE_Search/FE_S_S006.aspx?DataSource=Cat&amp;query=@Symbol=WT/DS58/AB/R&amp;Language=English&amp;Context=ScriptedSearches&amp;languageUIChanged=true" TargetMode="External"/><Relationship Id="rId304" Type="http://schemas.openxmlformats.org/officeDocument/2006/relationships/hyperlink" Target="http://www.unep.org/Documents.multilingual/Default.asp?DocumentID=62&amp;ArticleID=549&amp;l=en" TargetMode="External"/><Relationship Id="rId325" Type="http://schemas.openxmlformats.org/officeDocument/2006/relationships/hyperlink" Target="http://undocs.org/ch/A/66/10" TargetMode="External"/><Relationship Id="rId346" Type="http://schemas.openxmlformats.org/officeDocument/2006/relationships/hyperlink" Target="http://undocs.org/ch/A/61/10)" TargetMode="External"/><Relationship Id="rId85" Type="http://schemas.openxmlformats.org/officeDocument/2006/relationships/hyperlink" Target="http://undocs.org/ch/A/CN.4/L.682" TargetMode="External"/><Relationship Id="rId150" Type="http://schemas.openxmlformats.org/officeDocument/2006/relationships/hyperlink" Target="http://heinonline.org/HOL/Page?public=false&amp;handle=hein.journals/vantl42&amp;collection=journals&amp;id=911" TargetMode="External"/><Relationship Id="rId171" Type="http://schemas.openxmlformats.org/officeDocument/2006/relationships/hyperlink" Target="file:///H:\PEPS-Share\REFERENCES\2_2014_Baka_Hungary_E.pdf" TargetMode="External"/><Relationship Id="rId192" Type="http://schemas.openxmlformats.org/officeDocument/2006/relationships/hyperlink" Target="http://www.icj-cij.org/docket/files/103/16244.pdf" TargetMode="External"/><Relationship Id="rId206" Type="http://schemas.openxmlformats.org/officeDocument/2006/relationships/hyperlink" Target="https://documents-dds-ny.un.org/doc/UNDOC/GEN/G04/110/45/PDF/G0411045.pdf?OpenElement" TargetMode="External"/><Relationship Id="rId227" Type="http://schemas.openxmlformats.org/officeDocument/2006/relationships/hyperlink" Target="https://treaties.un.org/doc/Publication/UNTS/Volume%202051/v2051.pdf" TargetMode="External"/><Relationship Id="rId248" Type="http://schemas.openxmlformats.org/officeDocument/2006/relationships/hyperlink" Target="https://documents-dds-ny.un.org/doc/UNDOC/GEN/G01/436/26/PDF/G0143626.pdf?OpenElement" TargetMode="External"/><Relationship Id="rId269" Type="http://schemas.openxmlformats.org/officeDocument/2006/relationships/hyperlink" Target="http://undocs.org/A/68/10" TargetMode="External"/><Relationship Id="rId12" Type="http://schemas.openxmlformats.org/officeDocument/2006/relationships/hyperlink" Target="http://www.unisdr.org/files/18903_17934asdrrfinalenglishjanuary20111.pdf" TargetMode="External"/><Relationship Id="rId33" Type="http://schemas.openxmlformats.org/officeDocument/2006/relationships/hyperlink" Target="http://undocs.org/A/CN.4/695" TargetMode="External"/><Relationship Id="rId108" Type="http://schemas.openxmlformats.org/officeDocument/2006/relationships/hyperlink" Target="file:///\\conf-share1\conf\Groups\PEPS-Share\REFERENCES\1_1965_RacialDiscrimination.pdf" TargetMode="External"/><Relationship Id="rId129" Type="http://schemas.openxmlformats.org/officeDocument/2006/relationships/hyperlink" Target="file:///H:\PEPS-Share\REFERENCES\1_1997_KyotoProtocolUNFCCC.pdf" TargetMode="External"/><Relationship Id="rId280" Type="http://schemas.openxmlformats.org/officeDocument/2006/relationships/hyperlink" Target="file:///H:\PEPS-Share\ILC%20Extra%20Refs\2016_68%20th%20session\atmosphere\32AmJIntlL759-1.pdf" TargetMode="External"/><Relationship Id="rId315" Type="http://schemas.openxmlformats.org/officeDocument/2006/relationships/hyperlink" Target="http://www.un.org/en/ga/search/view_doc.asp?symbol=A/66/10" TargetMode="External"/><Relationship Id="rId336" Type="http://schemas.openxmlformats.org/officeDocument/2006/relationships/hyperlink" Target="http://undocs.org/ch/A/70/10)" TargetMode="External"/><Relationship Id="rId357" Type="http://schemas.openxmlformats.org/officeDocument/2006/relationships/hyperlink" Target="http://undocs.org/S/AC.26/Dec.22" TargetMode="External"/><Relationship Id="rId54" Type="http://schemas.openxmlformats.org/officeDocument/2006/relationships/hyperlink" Target="http://undocs.org/ch/A/CN.4/660" TargetMode="External"/><Relationship Id="rId75" Type="http://schemas.openxmlformats.org/officeDocument/2006/relationships/hyperlink" Target="http://undocs.org/ch/A/66/10" TargetMode="External"/><Relationship Id="rId96" Type="http://schemas.openxmlformats.org/officeDocument/2006/relationships/hyperlink" Target="http://undocs.org/ch/BWC/CONF.VII/INF.5" TargetMode="External"/><Relationship Id="rId140" Type="http://schemas.openxmlformats.org/officeDocument/2006/relationships/hyperlink" Target="file:///H:\PEPS-Share\REFERENCES\1_1990_Protection_All_migrant_worker.pdf" TargetMode="External"/><Relationship Id="rId161" Type="http://schemas.openxmlformats.org/officeDocument/2006/relationships/hyperlink" Target="http://unbisnet.un.org:8080/ipac20/ipac.jsp?session=J467384744GN0.9642&amp;profile=bib&amp;uri=link=3100006~!1052804~!3100001~!3100040&amp;aspect=alpha&amp;menu=search&amp;ri=12&amp;source=~!horizon&amp;term=A%2F56%2F40%5BVol.I%5D&amp;index=ZUNSYMA" TargetMode="External"/><Relationship Id="rId182" Type="http://schemas.openxmlformats.org/officeDocument/2006/relationships/hyperlink" Target="http://www.icj-cij.org/docket/files/131/1671.pdf" TargetMode="External"/><Relationship Id="rId217" Type="http://schemas.openxmlformats.org/officeDocument/2006/relationships/hyperlink" Target="http://www.ilo.org/dyn/natlex/docs/ELECTRONIC/95496/112458/F-1546437745/ECU95496.pdf" TargetMode="External"/><Relationship Id="rId6" Type="http://schemas.openxmlformats.org/officeDocument/2006/relationships/hyperlink" Target="http://www.preventionweb.net/files/3089_KLDeclarationonDisasterRiskReductioninAsia202008.pdf" TargetMode="External"/><Relationship Id="rId238" Type="http://schemas.openxmlformats.org/officeDocument/2006/relationships/hyperlink" Target="http://www.icj-cij.org/docket/files/121/8136.pdf" TargetMode="External"/><Relationship Id="rId259" Type="http://schemas.openxmlformats.org/officeDocument/2006/relationships/hyperlink" Target="https://treaties.un.org/doc/Publication/UNTS/Volume%202178/v2178.pdf" TargetMode="External"/><Relationship Id="rId23" Type="http://schemas.openxmlformats.org/officeDocument/2006/relationships/hyperlink" Target="https://matsne.gov.ge/en/document/view/2363013" TargetMode="External"/><Relationship Id="rId119" Type="http://schemas.openxmlformats.org/officeDocument/2006/relationships/hyperlink" Target="file:///H:\PEPS-Share\REFERENCES\3_Tomuschat_Human_Rights_Between_Idealism%20_Realism.pdf" TargetMode="External"/><Relationship Id="rId270" Type="http://schemas.openxmlformats.org/officeDocument/2006/relationships/hyperlink" Target="http://undocs.org/A/66/10" TargetMode="External"/><Relationship Id="rId291" Type="http://schemas.openxmlformats.org/officeDocument/2006/relationships/hyperlink" Target="http://legal.un.org/riaa/cases/vol_XXVII/35-125.pdf" TargetMode="External"/><Relationship Id="rId305" Type="http://schemas.openxmlformats.org/officeDocument/2006/relationships/hyperlink" Target="https://www.itlos.org/fileadmin/itlos/documents/cases/case_no_3_4/Order.27.08.99.E.pdf" TargetMode="External"/><Relationship Id="rId326" Type="http://schemas.openxmlformats.org/officeDocument/2006/relationships/hyperlink" Target="https://treaties.un.org/doc/Publication/UNTS/Volume%202048/v2048.pdf" TargetMode="External"/><Relationship Id="rId347" Type="http://schemas.openxmlformats.org/officeDocument/2006/relationships/hyperlink" Target="http://undocs.org/ch/A/66/10)" TargetMode="External"/><Relationship Id="rId44" Type="http://schemas.openxmlformats.org/officeDocument/2006/relationships/hyperlink" Target="http://undocs.org/A/67/10" TargetMode="External"/><Relationship Id="rId65" Type="http://schemas.openxmlformats.org/officeDocument/2006/relationships/hyperlink" Target="http://undocs.org/ch/A/CN.4/660" TargetMode="External"/><Relationship Id="rId86" Type="http://schemas.openxmlformats.org/officeDocument/2006/relationships/hyperlink" Target="http://undocs.org/ch/A/CN.4/L.682/Corr.1" TargetMode="External"/><Relationship Id="rId130" Type="http://schemas.openxmlformats.org/officeDocument/2006/relationships/hyperlink" Target="http://undocs.org/FCCC/CP/2001/13/Add.3" TargetMode="External"/><Relationship Id="rId151" Type="http://schemas.openxmlformats.org/officeDocument/2006/relationships/hyperlink" Target="file:///H:\PEPS-Share\REFERENCES\3_Boyle&amp;Chinkin_The_Making_of_International_Law.pdf" TargetMode="External"/><Relationship Id="rId172" Type="http://schemas.openxmlformats.org/officeDocument/2006/relationships/hyperlink" Target="http://hudoc.echr.coe.int/eng?i=001-108629" TargetMode="External"/><Relationship Id="rId193" Type="http://schemas.openxmlformats.org/officeDocument/2006/relationships/hyperlink" Target="http://undocs.org/A/69/10" TargetMode="External"/><Relationship Id="rId207" Type="http://schemas.openxmlformats.org/officeDocument/2006/relationships/hyperlink" Target="https://documents-dds-ny.un.org/doc/UNDOC/GEN/N93/091/18/IMG/N9309118.pdf?OpenElement" TargetMode="External"/><Relationship Id="rId228" Type="http://schemas.openxmlformats.org/officeDocument/2006/relationships/hyperlink" Target="http://www.oas.org/juridico/english/treaties/a-60.html" TargetMode="External"/><Relationship Id="rId249" Type="http://schemas.openxmlformats.org/officeDocument/2006/relationships/hyperlink" Target="https://documents-dds-ny.un.org/doc/UNDOC/GEN/G00/434/06/PDF/G0043406.pdf?OpenElement" TargetMode="External"/><Relationship Id="rId13" Type="http://schemas.openxmlformats.org/officeDocument/2006/relationships/hyperlink" Target="http://www.preventionweb.net/files/49235_asunciondeclaration2016" TargetMode="External"/><Relationship Id="rId109" Type="http://schemas.openxmlformats.org/officeDocument/2006/relationships/hyperlink" Target="file:///H:\PEPS-Share\REFERENCES\1_1966_ICCPR.pdf" TargetMode="External"/><Relationship Id="rId260" Type="http://schemas.openxmlformats.org/officeDocument/2006/relationships/hyperlink" Target="https://treaties.un.org/doc/Publication/UNTS/Volume%202716/Part/volume-2716-I-48088.pdf" TargetMode="External"/><Relationship Id="rId281" Type="http://schemas.openxmlformats.org/officeDocument/2006/relationships/hyperlink" Target="file:///H:\PEPS-Share\ILC%20Extra%20Refs\2016_68%20th%20session\atmosphere\35AmJIntlL651.pdf" TargetMode="External"/><Relationship Id="rId316" Type="http://schemas.openxmlformats.org/officeDocument/2006/relationships/hyperlink" Target="http://legal.un.org/docs/?path=../ilc/reports/2011/english/chp4.pdf&amp;lang=EFSRAC" TargetMode="External"/><Relationship Id="rId337" Type="http://schemas.openxmlformats.org/officeDocument/2006/relationships/hyperlink" Target="http://www.italaw.com/sites/default/files/case-documents/italaw7255.pdf" TargetMode="External"/><Relationship Id="rId34" Type="http://schemas.openxmlformats.org/officeDocument/2006/relationships/hyperlink" Target="http://undocs.org/ch/A/CN.4/695/Add.1)" TargetMode="External"/><Relationship Id="rId55" Type="http://schemas.openxmlformats.org/officeDocument/2006/relationships/hyperlink" Target="http://undocs.org/ch/A/66/10" TargetMode="External"/><Relationship Id="rId76" Type="http://schemas.openxmlformats.org/officeDocument/2006/relationships/hyperlink" Target="http://undocs.org/ch/A/66/10/Add.1" TargetMode="External"/><Relationship Id="rId97" Type="http://schemas.openxmlformats.org/officeDocument/2006/relationships/hyperlink" Target="http://undocs.org/ch/UNEP/OzL.Pro.15/9" TargetMode="External"/><Relationship Id="rId120" Type="http://schemas.openxmlformats.org/officeDocument/2006/relationships/hyperlink" Target="http://www.ilo.org/global/standards/applying-and-promoting-international-labour-standards/committee-of-experts-on-the-application-of-conventions-and-recommendations/lang--en/index.htm" TargetMode="External"/><Relationship Id="rId141" Type="http://schemas.openxmlformats.org/officeDocument/2006/relationships/hyperlink" Target="file:///\\conf-share1\conf\Groups\PEPS-Share\REFERENCES\1_1961_NarcoticDrugs.pdf" TargetMode="External"/><Relationship Id="rId7" Type="http://schemas.openxmlformats.org/officeDocument/2006/relationships/hyperlink" Target="http://www.preventionweb.net/files/16327_finalincheondeclaration1028.pdf" TargetMode="External"/><Relationship Id="rId162" Type="http://schemas.openxmlformats.org/officeDocument/2006/relationships/hyperlink" Target="http://unbisnet.un.org:8080/ipac20/ipac.jsp?session=L467I8618B870.9691&amp;profile=bib&amp;uri=link=3100006~!1076223~!3100001~!3100040&amp;aspect=alpha&amp;menu=search&amp;ri=1&amp;source=~!horizon&amp;term=E%2F2003%2F22&amp;index=ZUNSYMA" TargetMode="External"/><Relationship Id="rId183" Type="http://schemas.openxmlformats.org/officeDocument/2006/relationships/hyperlink" Target="file:///\\conf-share1\conf\Groups\PEPS-Share\REFERENCES\5_ILA_2004_Final_Report_E.pdf" TargetMode="External"/><Relationship Id="rId218" Type="http://schemas.openxmlformats.org/officeDocument/2006/relationships/hyperlink" Target="http://www.oecd.org/daf/anti-bribery/ConvCombatBribery_ENG.pdf" TargetMode="External"/><Relationship Id="rId239" Type="http://schemas.openxmlformats.org/officeDocument/2006/relationships/hyperlink" Target="http://www.oas.org/juridico/english/treaties/a-51.html" TargetMode="External"/><Relationship Id="rId250" Type="http://schemas.openxmlformats.org/officeDocument/2006/relationships/hyperlink" Target="https://documents-dds-ny.un.org/doc/UNDOC/GEN/G04/438/07/pdf/G0443807.pdf?OpenElement" TargetMode="External"/><Relationship Id="rId271" Type="http://schemas.openxmlformats.org/officeDocument/2006/relationships/hyperlink" Target="http://undocs.org/A/CN.4/667" TargetMode="External"/><Relationship Id="rId292" Type="http://schemas.openxmlformats.org/officeDocument/2006/relationships/hyperlink" Target="http://archive.pca-cpa.org/PK-IN%2020130218%20Partial%20Award18ba.pdf?fil_id=2101" TargetMode="External"/><Relationship Id="rId306" Type="http://schemas.openxmlformats.org/officeDocument/2006/relationships/hyperlink" Target="file:///\\conf-share1\conf\Groups\PEPS-Share\ILC%20Extra%20Refs\2016_68%20th%20session\atmosphere\MOX_Order.03.12.01.E.pdf" TargetMode="External"/><Relationship Id="rId24" Type="http://schemas.openxmlformats.org/officeDocument/2006/relationships/hyperlink" Target="http://www.preventionweb.net/files/globalplatform/pakistan-officialstatement" TargetMode="External"/><Relationship Id="rId45" Type="http://schemas.openxmlformats.org/officeDocument/2006/relationships/hyperlink" Target="http://undocs.org/A/68/10" TargetMode="External"/><Relationship Id="rId66" Type="http://schemas.openxmlformats.org/officeDocument/2006/relationships/hyperlink" Target="http://undocs.org/ch/A/CN.4/L.682" TargetMode="External"/><Relationship Id="rId87" Type="http://schemas.openxmlformats.org/officeDocument/2006/relationships/hyperlink" Target="http://undocs.org/ch/A/CN.4/L.682" TargetMode="External"/><Relationship Id="rId110" Type="http://schemas.openxmlformats.org/officeDocument/2006/relationships/hyperlink" Target="file:///H:\PEPS-Share\REFERENCES\1_1979_CEDAW.pdf" TargetMode="External"/><Relationship Id="rId131" Type="http://schemas.openxmlformats.org/officeDocument/2006/relationships/hyperlink" Target="file:///H:\PEPS-Share\REFERENCES\1_1966_ICCPR.pdf" TargetMode="External"/><Relationship Id="rId327" Type="http://schemas.openxmlformats.org/officeDocument/2006/relationships/hyperlink" Target="http://www.un.org/en/ga/search/view_doc.asp?symbol=A/RES/61/295" TargetMode="External"/><Relationship Id="rId348" Type="http://schemas.openxmlformats.org/officeDocument/2006/relationships/hyperlink" Target="http://undocs.org/ch/A/64/10)" TargetMode="External"/><Relationship Id="rId152" Type="http://schemas.openxmlformats.org/officeDocument/2006/relationships/hyperlink" Target="https://www.google.ch/url?sa=t&amp;rct=j&amp;q=&amp;esrc=s&amp;source=web&amp;cd=1&amp;cad=rja&amp;uact=8&amp;ved=0ahUKEwjts5Hrt9LNAhWB0RoKHXjrCLwQFggeMAA&amp;url=http%3A%2F%2Fwww2.ohchr.org%2Fenglish%2Fbodies%2Fhrc%2Fdocs%2FCCPR-C-GC-33-CRP3.doc&amp;usg=AFQjCNH4OQoxhkOQ4vQhZcK-wTcstItKzQ&amp;sig2=DG-_dlu_IIULbLrTjY30FQ" TargetMode="External"/><Relationship Id="rId173" Type="http://schemas.openxmlformats.org/officeDocument/2006/relationships/hyperlink" Target="http://www.echr.coe.int/Documents/Reports_Recueil_2010-IV.pdf" TargetMode="External"/><Relationship Id="rId194" Type="http://schemas.openxmlformats.org/officeDocument/2006/relationships/hyperlink" Target="http://undocs.org/A/70/10" TargetMode="External"/><Relationship Id="rId208" Type="http://schemas.openxmlformats.org/officeDocument/2006/relationships/hyperlink" Target="https://documents-dds-ny.un.org/doc/UNDOC/GEN/N03/348/67/PDF/N0334867.pdf?OpenElement" TargetMode="External"/><Relationship Id="rId229" Type="http://schemas.openxmlformats.org/officeDocument/2006/relationships/hyperlink" Target="https://treaties.un.org/doc/Publication/UNTS/Volume%202149/v2149.pdf" TargetMode="External"/><Relationship Id="rId240" Type="http://schemas.openxmlformats.org/officeDocument/2006/relationships/hyperlink" Target="https://treaties.un.org/doc/Publication/UNTS/Volume%202716/Part/volume-2716-I-48088.pdf" TargetMode="External"/><Relationship Id="rId261" Type="http://schemas.openxmlformats.org/officeDocument/2006/relationships/hyperlink" Target="file:///H:\PEPS-Share\REFERENCES\1_2007_ASEANCounterTerrorism.pdf" TargetMode="External"/><Relationship Id="rId14" Type="http://schemas.openxmlformats.org/officeDocument/2006/relationships/hyperlink" Target="http://www.preventionweb.net/" TargetMode="External"/><Relationship Id="rId35" Type="http://schemas.openxmlformats.org/officeDocument/2006/relationships/hyperlink" Target="http://legal.un.org/diplomaticconferences/lawofthesea-1982/Vol17.html" TargetMode="External"/><Relationship Id="rId56" Type="http://schemas.openxmlformats.org/officeDocument/2006/relationships/hyperlink" Target="http://undocs.org/ch/A/66/10" TargetMode="External"/><Relationship Id="rId77" Type="http://schemas.openxmlformats.org/officeDocument/2006/relationships/hyperlink" Target="http://www.international.gc.ca/protocol-protocole/" TargetMode="External"/><Relationship Id="rId100" Type="http://schemas.openxmlformats.org/officeDocument/2006/relationships/hyperlink" Target="http://undocs.org/ch/FCCC/CP/2013/10" TargetMode="External"/><Relationship Id="rId282" Type="http://schemas.openxmlformats.org/officeDocument/2006/relationships/hyperlink" Target="file:///H:\PEPS-Share\ILC%20Extra%20Refs\2016_68%20th%20session\atmosphere\1CanYBIntlL213.pdf" TargetMode="External"/><Relationship Id="rId317" Type="http://schemas.openxmlformats.org/officeDocument/2006/relationships/hyperlink" Target="http://www.un.org/en/ga/search/view_doc.asp?symbol=A/66/10/Add.1" TargetMode="External"/><Relationship Id="rId338" Type="http://schemas.openxmlformats.org/officeDocument/2006/relationships/hyperlink" Target="http://unbisnet.un.org:8080/ipac20/ipac.jsp?session=14I9787189LW8.23631&amp;profile=bib&amp;uri=link=3100006~!890667~!3100001~!3100040&amp;aspect=alpha&amp;menu=search&amp;ri=4&amp;source=~!horizon&amp;term=A%2FRES%2F482%28V%29&amp;index=ZUNSYMA" TargetMode="External"/><Relationship Id="rId8" Type="http://schemas.openxmlformats.org/officeDocument/2006/relationships/hyperlink" Target="http://www.pacificdisaster.net" TargetMode="External"/><Relationship Id="rId98" Type="http://schemas.openxmlformats.org/officeDocument/2006/relationships/hyperlink" Target="http://undocs.org/ch/FCCC/CP/1996/2" TargetMode="External"/><Relationship Id="rId121" Type="http://schemas.openxmlformats.org/officeDocument/2006/relationships/hyperlink" Target="http://www.ilo.org" TargetMode="External"/><Relationship Id="rId142" Type="http://schemas.openxmlformats.org/officeDocument/2006/relationships/hyperlink" Target="http://unbisnet.un.org:8080/ipac20/ipac.jsp?session=14S79720E25X7.6316&amp;profile=bib&amp;uri=link=3100006~!1345685~!3100001~!3100040&amp;aspect=alpha&amp;menu=search&amp;ri=2&amp;source=~!horizon&amp;term=A%2F70%2F10&amp;index=ZUNSYMA" TargetMode="External"/><Relationship Id="rId163" Type="http://schemas.openxmlformats.org/officeDocument/2006/relationships/hyperlink" Target="http://unbisnet.un.org:8080/ipac20/ipac.jsp?session=14U7790331KT4.2226&amp;profile=bib&amp;uri=link=3100006~!1357542~!3100001~!3100040&amp;aspect=alpha&amp;menu=search&amp;ri=4&amp;source=~!horizon&amp;term=A%2FRES%2F70%2F169&amp;index=ZUNSYMA" TargetMode="External"/><Relationship Id="rId184" Type="http://schemas.openxmlformats.org/officeDocument/2006/relationships/hyperlink" Target="http://heinonline.org/HOL/Page?handle=hein.journals/jpyintl38&amp;size=2&amp;collection=journals&amp;id=128" TargetMode="External"/><Relationship Id="rId219" Type="http://schemas.openxmlformats.org/officeDocument/2006/relationships/hyperlink" Target="http://www.sadc.int/files/7913/5292/8361/Protocol_Against_%20Corruption2001.pdf" TargetMode="External"/><Relationship Id="rId230" Type="http://schemas.openxmlformats.org/officeDocument/2006/relationships/hyperlink" Target="https://treaties.un.org/doc/Publication/UNTS/Volume%202178/v2178.pdf" TargetMode="External"/><Relationship Id="rId251" Type="http://schemas.openxmlformats.org/officeDocument/2006/relationships/hyperlink" Target="https://documents-dds-ny.un.org/doc/UNDOC/GEN/G06/444/57/pdf/G0644457.pdf?OpenElement" TargetMode="External"/><Relationship Id="rId25" Type="http://schemas.openxmlformats.org/officeDocument/2006/relationships/hyperlink" Target="http://www.unisdr.org/we/inform/terminology" TargetMode="External"/><Relationship Id="rId46" Type="http://schemas.openxmlformats.org/officeDocument/2006/relationships/hyperlink" Target="http://undocs.org/A/69/10" TargetMode="External"/><Relationship Id="rId67" Type="http://schemas.openxmlformats.org/officeDocument/2006/relationships/hyperlink" Target="http://undocs.org/ch/A/CN.4/L.682/Corr.1" TargetMode="External"/><Relationship Id="rId272" Type="http://schemas.openxmlformats.org/officeDocument/2006/relationships/hyperlink" Target="http://undocs.org/A/CN.4/681" TargetMode="External"/><Relationship Id="rId293" Type="http://schemas.openxmlformats.org/officeDocument/2006/relationships/hyperlink" Target="http://www.icj-cij.org/docket/files/69/6447.pdf" TargetMode="External"/><Relationship Id="rId307" Type="http://schemas.openxmlformats.org/officeDocument/2006/relationships/hyperlink" Target="file:///\\conf-share1\conf\Groups\PEPS-Share\ILC%20Extra%20Refs\2016_68%20th%20session\atmosphere\12_ITLOS%20order_081003_en.pdf" TargetMode="External"/><Relationship Id="rId328" Type="http://schemas.openxmlformats.org/officeDocument/2006/relationships/hyperlink" Target="https://treaties.un.org/doc/Publication/UNTS/Volume%201650/v1650.pdf" TargetMode="External"/><Relationship Id="rId349" Type="http://schemas.openxmlformats.org/officeDocument/2006/relationships/hyperlink" Target="http://undocs.org/ch/A/65/10)" TargetMode="External"/><Relationship Id="rId88" Type="http://schemas.openxmlformats.org/officeDocument/2006/relationships/hyperlink" Target="http://undocs.org/ch/A/CN.4/L.682/Corr.1" TargetMode="External"/><Relationship Id="rId111" Type="http://schemas.openxmlformats.org/officeDocument/2006/relationships/hyperlink" Target="file:///\\conf-share1\conf\Groups\PEPS-Share\REFERENCES\1_1965_RacialDiscrimination.pdf" TargetMode="External"/><Relationship Id="rId132" Type="http://schemas.openxmlformats.org/officeDocument/2006/relationships/hyperlink" Target="file:///H:\PEPS-Share\REFERENCES\1_1966_ICCPR_OptionalProtocol.pdf" TargetMode="External"/><Relationship Id="rId153" Type="http://schemas.openxmlformats.org/officeDocument/2006/relationships/hyperlink" Target="http://www.state.gov/documents/organization/138851.pdf" TargetMode="External"/><Relationship Id="rId174" Type="http://schemas.openxmlformats.org/officeDocument/2006/relationships/hyperlink" Target="http://www.bailii.org/ie/cases/IESC/2002/13.html" TargetMode="External"/><Relationship Id="rId195" Type="http://schemas.openxmlformats.org/officeDocument/2006/relationships/hyperlink" Target="http://undocs.org/A/70/10" TargetMode="External"/><Relationship Id="rId209" Type="http://schemas.openxmlformats.org/officeDocument/2006/relationships/hyperlink" Target="http://www.un.org/en/ga/search/view_doc.asp?symbol=A/RES/57/228B" TargetMode="External"/><Relationship Id="rId190" Type="http://schemas.openxmlformats.org/officeDocument/2006/relationships/hyperlink" Target="file:///H:\PEPS-Share\REFERENCES\4_CESCR_Gen'lComment03_eng.pdf" TargetMode="External"/><Relationship Id="rId204" Type="http://schemas.openxmlformats.org/officeDocument/2006/relationships/hyperlink" Target="http://www.eccc.gov.kh/en/documents/legal/law-establishment-extraordinary-chambers-amended" TargetMode="External"/><Relationship Id="rId220" Type="http://schemas.openxmlformats.org/officeDocument/2006/relationships/hyperlink" Target="file:///H:\PEPS-Share\ILC%20Yearbooks\English%20Yearbooks%201\ILC_1996_v2_p2_e.pdf" TargetMode="External"/><Relationship Id="rId225" Type="http://schemas.openxmlformats.org/officeDocument/2006/relationships/hyperlink" Target="https://treaties.un.org/doc/Publication/UNTS/Volume%201316/v1316.pdf" TargetMode="External"/><Relationship Id="rId241" Type="http://schemas.openxmlformats.org/officeDocument/2006/relationships/hyperlink" Target="https://www.coe.int/en/web/conventions/full-list/-/conventions/rms/090000168008482e" TargetMode="External"/><Relationship Id="rId246" Type="http://schemas.openxmlformats.org/officeDocument/2006/relationships/hyperlink" Target="https://documents-dds-ny.un.org/doc/UNDOC/GEN/N94/265/34/IMG/N9426534.pdf?OpenElement" TargetMode="External"/><Relationship Id="rId267" Type="http://schemas.openxmlformats.org/officeDocument/2006/relationships/hyperlink" Target="http://www.icj-cij.org/docket/files/104/7736.pdf" TargetMode="External"/><Relationship Id="rId288" Type="http://schemas.openxmlformats.org/officeDocument/2006/relationships/hyperlink" Target="file:///\\conf-share1\conf\Groups\PEPS-Share\ILC%20Yearbooks\English%20Yearbooks%201\ILC_2008_v2_p2_e.pdf" TargetMode="External"/><Relationship Id="rId15" Type="http://schemas.openxmlformats.org/officeDocument/2006/relationships/hyperlink" Target="http://eird.org/americas/noticias/protocolo-sobre-gestion-del-riesgo.pdf" TargetMode="External"/><Relationship Id="rId36" Type="http://schemas.openxmlformats.org/officeDocument/2006/relationships/hyperlink" Target="http://undocs.org/ch/S/RES/2008(2011)" TargetMode="External"/><Relationship Id="rId57" Type="http://schemas.openxmlformats.org/officeDocument/2006/relationships/hyperlink" Target="http://undocs.org/ch/A/66/10/Add.1" TargetMode="External"/><Relationship Id="rId106" Type="http://schemas.openxmlformats.org/officeDocument/2006/relationships/hyperlink" Target="http://undocs.org/ch/A/66/10" TargetMode="External"/><Relationship Id="rId127" Type="http://schemas.openxmlformats.org/officeDocument/2006/relationships/hyperlink" Target="http://www.ohchr.org/EN/Issues/Detention/Pages/WGADIndex.aspx" TargetMode="External"/><Relationship Id="rId262" Type="http://schemas.openxmlformats.org/officeDocument/2006/relationships/hyperlink" Target="http://www.icj-cij.org/docket/files/144/17064.pdf" TargetMode="External"/><Relationship Id="rId283" Type="http://schemas.openxmlformats.org/officeDocument/2006/relationships/hyperlink" Target="https://treaties.un.org" TargetMode="External"/><Relationship Id="rId313" Type="http://schemas.openxmlformats.org/officeDocument/2006/relationships/hyperlink" Target="http://legal.un.org/docs/?symbol=A/CN.4/L.682" TargetMode="External"/><Relationship Id="rId318" Type="http://schemas.openxmlformats.org/officeDocument/2006/relationships/hyperlink" Target="http://undocs.org/ch/A/68/10" TargetMode="External"/><Relationship Id="rId339" Type="http://schemas.openxmlformats.org/officeDocument/2006/relationships/hyperlink" Target="http://legal.un.org/docs/?symbol=A/66/10/Add.1" TargetMode="External"/><Relationship Id="rId10" Type="http://schemas.openxmlformats.org/officeDocument/2006/relationships/hyperlink" Target="http://www.unisdr.org/%20archive/31224" TargetMode="External"/><Relationship Id="rId31" Type="http://schemas.openxmlformats.org/officeDocument/2006/relationships/hyperlink" Target="http://undocs.org/A/69/10" TargetMode="External"/><Relationship Id="rId52" Type="http://schemas.openxmlformats.org/officeDocument/2006/relationships/hyperlink" Target="http://undocs.org/ch/A/CN.4/660" TargetMode="External"/><Relationship Id="rId73" Type="http://schemas.openxmlformats.org/officeDocument/2006/relationships/hyperlink" Target="http://undocs.org/ch/A/CN.4/671" TargetMode="External"/><Relationship Id="rId78" Type="http://schemas.openxmlformats.org/officeDocument/2006/relationships/hyperlink" Target="http://www.icrc.org/customary-ihl/eng/docs/v2_rul_rule15_" TargetMode="External"/><Relationship Id="rId94" Type="http://schemas.openxmlformats.org/officeDocument/2006/relationships/hyperlink" Target="http://undocs.org/ch/A/66/10/Add.1" TargetMode="External"/><Relationship Id="rId99" Type="http://schemas.openxmlformats.org/officeDocument/2006/relationships/hyperlink" Target="http://undocs.org/ch/FCCC/CP/1995/7" TargetMode="External"/><Relationship Id="rId101" Type="http://schemas.openxmlformats.org/officeDocument/2006/relationships/hyperlink" Target="http://legal.un.org/ola/" TargetMode="External"/><Relationship Id="rId122" Type="http://schemas.openxmlformats.org/officeDocument/2006/relationships/hyperlink" Target="file:///H:\PEPS-Share\ILC%20Extra%20Refs\2016_68%20th%20session\SASP\sasp_ilo.pdf" TargetMode="External"/><Relationship Id="rId143" Type="http://schemas.openxmlformats.org/officeDocument/2006/relationships/hyperlink" Target="http://www.venice.coe.int/webforms/documents/?pdf=CDL-AD(2014)036-e" TargetMode="External"/><Relationship Id="rId148" Type="http://schemas.openxmlformats.org/officeDocument/2006/relationships/hyperlink" Target="http://www.venice.coe.int/webforms/documents/?pdf=CDL-AD(2014)036-e" TargetMode="External"/><Relationship Id="rId164" Type="http://schemas.openxmlformats.org/officeDocument/2006/relationships/hyperlink" Target="http://unbisnet.un.org:8080/ipac20/ipac.jsp?session=14U7790331KT4.2226&amp;profile=bib&amp;uri=link=3100006~!1356134~!3100001~!3100040&amp;aspect=alpha&amp;menu=search&amp;ri=6&amp;source=~!horizon&amp;term=A%2FC.3%2F70%2FSR.55&amp;index=ZUNSYMA" TargetMode="External"/><Relationship Id="rId169" Type="http://schemas.openxmlformats.org/officeDocument/2006/relationships/hyperlink" Target="http://www.achpr.org/communications/decision/155.96/" TargetMode="External"/><Relationship Id="rId185" Type="http://schemas.openxmlformats.org/officeDocument/2006/relationships/hyperlink" Target="http://uitspraken.rechtspraak.nl/inziendocument?id=ECLI:NL:CRVB:2006:AY5560" TargetMode="External"/><Relationship Id="rId334" Type="http://schemas.openxmlformats.org/officeDocument/2006/relationships/hyperlink" Target="http://undocs.org/ch/A/67/10)" TargetMode="External"/><Relationship Id="rId350" Type="http://schemas.openxmlformats.org/officeDocument/2006/relationships/hyperlink" Target="http://undocs.org/ch/A/66/10)" TargetMode="External"/><Relationship Id="rId355" Type="http://schemas.openxmlformats.org/officeDocument/2006/relationships/hyperlink" Target="http://www.un.org/law/avl/" TargetMode="External"/><Relationship Id="rId4" Type="http://schemas.openxmlformats.org/officeDocument/2006/relationships/hyperlink" Target="http://www.un.org/ga/search/view_doc.asp?symbol=FCCC/CP/2015/10/Add.1" TargetMode="External"/><Relationship Id="rId9" Type="http://schemas.openxmlformats.org/officeDocument/2006/relationships/hyperlink" Target="http://www.unisdr.org/files/" TargetMode="External"/><Relationship Id="rId180" Type="http://schemas.openxmlformats.org/officeDocument/2006/relationships/hyperlink" Target="http://heinonline.org/HOL/Page?handle=hein.journals/jpyintl38&amp;size=2&amp;collection=journals&amp;id=128" TargetMode="External"/><Relationship Id="rId210" Type="http://schemas.openxmlformats.org/officeDocument/2006/relationships/hyperlink" Target="http://www.un.org/en/ga/search/view_doc.asp?symbol=A/RES/2338%28XXII%29" TargetMode="External"/><Relationship Id="rId215" Type="http://schemas.openxmlformats.org/officeDocument/2006/relationships/hyperlink" Target="https://documents-dds-ny.un.org/doc/UNDOC/GEN/G04/110/45/PDF/G0411045.pdf?OpenElement" TargetMode="External"/><Relationship Id="rId236" Type="http://schemas.openxmlformats.org/officeDocument/2006/relationships/hyperlink" Target="https://documents-dds-ny.un.org/doc/UNDOC/GEN/G15/180/57/PDF/G1518057.pdf?OpenElement" TargetMode="External"/><Relationship Id="rId257" Type="http://schemas.openxmlformats.org/officeDocument/2006/relationships/hyperlink" Target="http://www.oas.org/juridico/english/treaties/a-51.html" TargetMode="External"/><Relationship Id="rId278" Type="http://schemas.openxmlformats.org/officeDocument/2006/relationships/hyperlink" Target="http://www.heinonline.org/HOL/Page?handle=hein.journals/hilj14&amp;id=1&amp;size=2&amp;collection=journals&amp;index=journals/hilj" TargetMode="External"/><Relationship Id="rId26" Type="http://schemas.openxmlformats.org/officeDocument/2006/relationships/hyperlink" Target="http://www.bsec-organization.org/%20documents/LegalDocuments/agreementmous/agr4/Documents/Emergencyagreement%20071116.pdf" TargetMode="External"/><Relationship Id="rId231" Type="http://schemas.openxmlformats.org/officeDocument/2006/relationships/hyperlink" Target="https://treaties.un.org/doc/Publication/UNTS/Volume%202219/v2219.pdf" TargetMode="External"/><Relationship Id="rId252" Type="http://schemas.openxmlformats.org/officeDocument/2006/relationships/hyperlink" Target="https://documents-dds-ny.un.org/doc/UNDOC/GEN/N08/460/57/pdf/N0846057.pdf?OpenElement" TargetMode="External"/><Relationship Id="rId273" Type="http://schemas.openxmlformats.org/officeDocument/2006/relationships/hyperlink" Target="http://undocs.org/A/66/10" TargetMode="External"/><Relationship Id="rId294" Type="http://schemas.openxmlformats.org/officeDocument/2006/relationships/hyperlink" Target="http://www.cambridge.org/ch/academic/subjects/law/public-international-law/fifty-years-international-court-justice-essays-honour-sir-robert-jennings" TargetMode="External"/><Relationship Id="rId308" Type="http://schemas.openxmlformats.org/officeDocument/2006/relationships/hyperlink" Target="http://www.un.org/en/ga/search/view_doc.asp?symbol=A/70/10" TargetMode="External"/><Relationship Id="rId329" Type="http://schemas.openxmlformats.org/officeDocument/2006/relationships/hyperlink" Target="%20http://www.icty.org/x/file/Press/nato061300.pdf" TargetMode="External"/><Relationship Id="rId47" Type="http://schemas.openxmlformats.org/officeDocument/2006/relationships/hyperlink" Target="http://undocs.org/A/69/10" TargetMode="External"/><Relationship Id="rId68" Type="http://schemas.openxmlformats.org/officeDocument/2006/relationships/hyperlink" Target="http://undocs.org/ch/A/CN.4/671" TargetMode="External"/><Relationship Id="rId89" Type="http://schemas.openxmlformats.org/officeDocument/2006/relationships/hyperlink" Target="file:///C:\Users\Lagares\Documents\FL%20Travail\CDI%202013-vol-II\Work\www.idi-iil.org" TargetMode="External"/><Relationship Id="rId112" Type="http://schemas.openxmlformats.org/officeDocument/2006/relationships/hyperlink" Target="file:///\\conf-share1\conf\Groups\PEPS-Share\REFERENCES\1_1965_RacialDiscrimination.pdf" TargetMode="External"/><Relationship Id="rId133" Type="http://schemas.openxmlformats.org/officeDocument/2006/relationships/hyperlink" Target="https://treaties.un.org/doc/Publication/UNTS/Volume%20660/v660.pdf" TargetMode="External"/><Relationship Id="rId154" Type="http://schemas.openxmlformats.org/officeDocument/2006/relationships/hyperlink" Target="http://unbisnet.un.org:8080/ipac20/ipac.jsp?session=J467384744GN0.9642&amp;profile=bib&amp;uri=link=3100006~!1264227~!3100001~!3100040&amp;aspect=alpha&amp;menu=search&amp;ri=1&amp;source=~!horizon&amp;term=A%2F64%2F40%28Vol.I%29&amp;index=ZUNSYMA" TargetMode="External"/><Relationship Id="rId175" Type="http://schemas.openxmlformats.org/officeDocument/2006/relationships/hyperlink" Target="http://opil.ouplaw.com/view/10.1093/law:ildc/767fr01.case.1/law-ildc-767fr01" TargetMode="External"/><Relationship Id="rId340" Type="http://schemas.openxmlformats.org/officeDocument/2006/relationships/hyperlink" Target="http://www.un.org/law/repertory" TargetMode="External"/><Relationship Id="rId196" Type="http://schemas.openxmlformats.org/officeDocument/2006/relationships/hyperlink" Target="http://undocs.org/A/CN.4/SR.3296" TargetMode="External"/><Relationship Id="rId200" Type="http://schemas.openxmlformats.org/officeDocument/2006/relationships/hyperlink" Target="http://undocs.org/A/CN.4/SR.3300" TargetMode="External"/><Relationship Id="rId16" Type="http://schemas.openxmlformats.org/officeDocument/2006/relationships/hyperlink" Target="http://www.preventionweb.net/%20files/37662_communiqueguayaquilpr1428may14%5b1%5d.pdf" TargetMode="External"/><Relationship Id="rId221" Type="http://schemas.openxmlformats.org/officeDocument/2006/relationships/hyperlink" Target="https://documents-dds-ny.un.org/doc/UNDOC/GEN/G03/109/43/PDF/G0310943.pdf?OpenElement" TargetMode="External"/><Relationship Id="rId242" Type="http://schemas.openxmlformats.org/officeDocument/2006/relationships/hyperlink" Target="https://documents-dds-ny.un.org/doc/UNDOC/GEN/N98/269/72/IMG/N9826972.pdf?OpenElement" TargetMode="External"/><Relationship Id="rId263" Type="http://schemas.openxmlformats.org/officeDocument/2006/relationships/hyperlink" Target="http://www.oic-oci.org/english/convenion/terrorism_convention.htm" TargetMode="External"/><Relationship Id="rId284" Type="http://schemas.openxmlformats.org/officeDocument/2006/relationships/hyperlink" Target="http://www.unece.org/fileadmin/DAM/env/eia/documents/legaltexts/protocolenglish" TargetMode="External"/><Relationship Id="rId319" Type="http://schemas.openxmlformats.org/officeDocument/2006/relationships/hyperlink" Target="http://undocs.org/ch/A/66/10" TargetMode="External"/><Relationship Id="rId37" Type="http://schemas.openxmlformats.org/officeDocument/2006/relationships/hyperlink" Target="http://undocs.org/A/65/10" TargetMode="External"/><Relationship Id="rId58" Type="http://schemas.openxmlformats.org/officeDocument/2006/relationships/hyperlink" Target="http://undocs.org/ch/A/66/10" TargetMode="External"/><Relationship Id="rId79" Type="http://schemas.openxmlformats.org/officeDocument/2006/relationships/hyperlink" Target="http://undocs.org/ch/A/CN.4/671" TargetMode="External"/><Relationship Id="rId102" Type="http://schemas.openxmlformats.org/officeDocument/2006/relationships/hyperlink" Target="http://undocs.org/ch/FCCC/KP/CMP/2010/12" TargetMode="External"/><Relationship Id="rId123" Type="http://schemas.openxmlformats.org/officeDocument/2006/relationships/hyperlink" Target="http://legal.un.org/ilc/guide/%201_11.shtml" TargetMode="External"/><Relationship Id="rId144" Type="http://schemas.openxmlformats.org/officeDocument/2006/relationships/hyperlink" Target="file:///\\conf-share1\conf\Groups\PEPS-Share\REFERENCES\2_2010_Diallo.pdf" TargetMode="External"/><Relationship Id="rId330" Type="http://schemas.openxmlformats.org/officeDocument/2006/relationships/hyperlink" Target="http://www.icrc.org/casebook/doc/glossary/military-necessity-glossary.htm" TargetMode="External"/><Relationship Id="rId90" Type="http://schemas.openxmlformats.org/officeDocument/2006/relationships/hyperlink" Target="http://undocs.org/ch/A/CN.4/L.682" TargetMode="External"/><Relationship Id="rId165" Type="http://schemas.openxmlformats.org/officeDocument/2006/relationships/hyperlink" Target="file:///H:\PEPS-Share\REFERENCES\2_2012_Judgment%20no.2867%20of%20administrative%20Tribunal%20of%20ILO.pdf" TargetMode="External"/><Relationship Id="rId186" Type="http://schemas.openxmlformats.org/officeDocument/2006/relationships/hyperlink" Target="http://deeplink.rechtspraak.nl/uitspraak?id=ECLI:NL:CRVB:2006:AY5560" TargetMode="External"/><Relationship Id="rId351" Type="http://schemas.openxmlformats.org/officeDocument/2006/relationships/hyperlink" Target="http://undocs.org/ch/A/67/10)" TargetMode="External"/><Relationship Id="rId211" Type="http://schemas.openxmlformats.org/officeDocument/2006/relationships/hyperlink" Target="http://www.un.org/en/ga/search/view_doc.asp?symbol=A/RES/2712%28XXV%29" TargetMode="External"/><Relationship Id="rId232" Type="http://schemas.openxmlformats.org/officeDocument/2006/relationships/hyperlink" Target="https://treaties.un.org/doc/Publication/UNTS/Volume%202225/v2225.pdf" TargetMode="External"/><Relationship Id="rId253" Type="http://schemas.openxmlformats.org/officeDocument/2006/relationships/hyperlink" Target="http://undocs.org/ch/S/RES/1894(2009)" TargetMode="External"/><Relationship Id="rId274" Type="http://schemas.openxmlformats.org/officeDocument/2006/relationships/hyperlink" Target="http://legal.un.org/docs/?path=../ilc/sessions/68/pdfs/informal_dialogue_4may2016.pdf&amp;lang=E" TargetMode="External"/><Relationship Id="rId295" Type="http://schemas.openxmlformats.org/officeDocument/2006/relationships/hyperlink" Target="file:///H:\PEPS-Share\ILC%20Extra%20Refs\2016_68%20th%20session\atmosphere\PWeil_toc.pdf" TargetMode="External"/><Relationship Id="rId309" Type="http://schemas.openxmlformats.org/officeDocument/2006/relationships/hyperlink" Target="http://www.un.org/en/ga/search/view_doc.asp?symbol=A/69/10" TargetMode="External"/><Relationship Id="rId27" Type="http://schemas.openxmlformats.org/officeDocument/2006/relationships/hyperlink" Target="http://undocs.org/A/67/10" TargetMode="External"/><Relationship Id="rId48" Type="http://schemas.openxmlformats.org/officeDocument/2006/relationships/hyperlink" Target="http://undocs.org/ch/A/CN.4/660" TargetMode="External"/><Relationship Id="rId69" Type="http://schemas.openxmlformats.org/officeDocument/2006/relationships/hyperlink" Target="http://www.icrc.org/customary-ihl/eng/docs/v2_rul_" TargetMode="External"/><Relationship Id="rId113" Type="http://schemas.openxmlformats.org/officeDocument/2006/relationships/hyperlink" Target="file:///H:\PEPS-Share\REFERENCES\1_1984_UNTorture.pdf" TargetMode="External"/><Relationship Id="rId134" Type="http://schemas.openxmlformats.org/officeDocument/2006/relationships/hyperlink" Target="file:///H:\PEPS-Share\REFERENCES\1_1979_CEDAW.pdf" TargetMode="External"/><Relationship Id="rId320" Type="http://schemas.openxmlformats.org/officeDocument/2006/relationships/hyperlink" Target="http://undocs.org/ch/A/69/10" TargetMode="External"/><Relationship Id="rId80" Type="http://schemas.openxmlformats.org/officeDocument/2006/relationships/hyperlink" Target="http://undocs.org/ch/A/CN.4/671" TargetMode="External"/><Relationship Id="rId155" Type="http://schemas.openxmlformats.org/officeDocument/2006/relationships/hyperlink" Target="http://undocs.org/A/C.6/70/SR.22" TargetMode="External"/><Relationship Id="rId176" Type="http://schemas.openxmlformats.org/officeDocument/2006/relationships/hyperlink" Target="http://www.servat.unibe.ch/dfr/bv134001.html" TargetMode="External"/><Relationship Id="rId197" Type="http://schemas.openxmlformats.org/officeDocument/2006/relationships/hyperlink" Target="http://undocs.org/A/CN.4/SR.3297" TargetMode="External"/><Relationship Id="rId341" Type="http://schemas.openxmlformats.org/officeDocument/2006/relationships/hyperlink" Target="https://treaties.un.org/doc/source/publications/THB/English.pdf" TargetMode="External"/><Relationship Id="rId201" Type="http://schemas.openxmlformats.org/officeDocument/2006/relationships/hyperlink" Target="http://undocs.org/A/CN.4/SR.3301" TargetMode="External"/><Relationship Id="rId222" Type="http://schemas.openxmlformats.org/officeDocument/2006/relationships/hyperlink" Target="https://documents-dds-ny.un.org/doc/UNDOC/GEN/G05/161/05/pdf/G0516105.pdf?OpenElement" TargetMode="External"/><Relationship Id="rId243" Type="http://schemas.openxmlformats.org/officeDocument/2006/relationships/hyperlink" Target="https://documents-dds-ny.un.org/doc/UNDOC/GEN/G06/445/95/PDF/G0644595.pdf?OpenElement" TargetMode="External"/><Relationship Id="rId264" Type="http://schemas.openxmlformats.org/officeDocument/2006/relationships/hyperlink" Target="http://www.au.int/en/sites/default/files/treaties/7786-file-african_union_convention_preventing_combating_%20corruption.pdf,%20&#31532;15&#26465;&#31532;6" TargetMode="External"/><Relationship Id="rId285" Type="http://schemas.openxmlformats.org/officeDocument/2006/relationships/hyperlink" Target="http://legal.un.org/docs/?path=../ilc/reports/2015/english/chp5.pdf&amp;lang=EFSRAC" TargetMode="External"/><Relationship Id="rId17" Type="http://schemas.openxmlformats.org/officeDocument/2006/relationships/hyperlink" Target="http://www.unisdr.org/files/18603_communiquenayarit.pdf" TargetMode="External"/><Relationship Id="rId38" Type="http://schemas.openxmlformats.org/officeDocument/2006/relationships/hyperlink" Target="http://undocs.org/A/66/10" TargetMode="External"/><Relationship Id="rId59" Type="http://schemas.openxmlformats.org/officeDocument/2006/relationships/hyperlink" Target="http://undocs.org/ch/A/66/10/Add.1" TargetMode="External"/><Relationship Id="rId103" Type="http://schemas.openxmlformats.org/officeDocument/2006/relationships/hyperlink" Target="http://undocs.org/ch/FCCC/KP/CMP/2010/12/Add.1" TargetMode="External"/><Relationship Id="rId124" Type="http://schemas.openxmlformats.org/officeDocument/2006/relationships/hyperlink" Target="http://www.un.org/en/ga/search/view_doc.asp?symbol=%20A/RES/66/100" TargetMode="External"/><Relationship Id="rId310" Type="http://schemas.openxmlformats.org/officeDocument/2006/relationships/hyperlink" Target="http://legal.un.org/docs/?path=../ilc/documentation/english/a_cn4_63.pdf&amp;lang=E" TargetMode="External"/><Relationship Id="rId70" Type="http://schemas.openxmlformats.org/officeDocument/2006/relationships/hyperlink" Target="http://undocs.org/ch/A/CN.4/671" TargetMode="External"/><Relationship Id="rId91" Type="http://schemas.openxmlformats.org/officeDocument/2006/relationships/hyperlink" Target="http://undocs.org/ch/A/CN.4/L.682/Corr.1" TargetMode="External"/><Relationship Id="rId145" Type="http://schemas.openxmlformats.org/officeDocument/2006/relationships/hyperlink" Target="http://heinonline.org/HOL/Page?public=false&amp;handle=hein.journals/vantl42&amp;collection=journals&amp;id=911" TargetMode="External"/><Relationship Id="rId166" Type="http://schemas.openxmlformats.org/officeDocument/2006/relationships/hyperlink" Target="http://www.icj-cij.org/docket/files/131/1671.pdf" TargetMode="External"/><Relationship Id="rId187" Type="http://schemas.openxmlformats.org/officeDocument/2006/relationships/hyperlink" Target="https://www.publications.parliament.uk/pa/ld200506/ldjudgmt/jd051208/aand.pdf" TargetMode="External"/><Relationship Id="rId331" Type="http://schemas.openxmlformats.org/officeDocument/2006/relationships/hyperlink" Target="http://www.legifrance.gouv.fr" TargetMode="External"/><Relationship Id="rId352" Type="http://schemas.openxmlformats.org/officeDocument/2006/relationships/hyperlink" Target="http://undocs.org/ch/A/68/10)" TargetMode="External"/><Relationship Id="rId1" Type="http://schemas.openxmlformats.org/officeDocument/2006/relationships/hyperlink" Target="http://undocs.org/A/69/10" TargetMode="External"/><Relationship Id="rId212" Type="http://schemas.openxmlformats.org/officeDocument/2006/relationships/hyperlink" Target="http://www.un.org/en/ga/search/view_doc.asp?symbol=A/RES/2840%28XXVI%29" TargetMode="External"/><Relationship Id="rId233" Type="http://schemas.openxmlformats.org/officeDocument/2006/relationships/hyperlink" Target="https://treaties.un.org/doc/Publication/UNTS/Volume%202716/Part/volume-2716-I-48088.pdf" TargetMode="External"/><Relationship Id="rId254" Type="http://schemas.openxmlformats.org/officeDocument/2006/relationships/hyperlink" Target="https://documents-dds-ny.un.org/doc/UNDOC/GEN/G05/161/05/pdf/G0516105.pdf?OpenElement" TargetMode="External"/><Relationship Id="rId28" Type="http://schemas.openxmlformats.org/officeDocument/2006/relationships/hyperlink" Target="http://undocs.org/A/66/10" TargetMode="External"/><Relationship Id="rId49" Type="http://schemas.openxmlformats.org/officeDocument/2006/relationships/hyperlink" Target="http://undocs.org/ch/A/CN.4/660" TargetMode="External"/><Relationship Id="rId114" Type="http://schemas.openxmlformats.org/officeDocument/2006/relationships/hyperlink" Target="file:///H:\PEPS-Share\REFERENCES\1_1982_LawSea_A+C+E.pdf" TargetMode="External"/><Relationship Id="rId275" Type="http://schemas.openxmlformats.org/officeDocument/2006/relationships/hyperlink" Target="http://baike.baidu.com/view/32239.htm" TargetMode="External"/><Relationship Id="rId296" Type="http://schemas.openxmlformats.org/officeDocument/2006/relationships/hyperlink" Target="file:///H:\PEPS-Share\ILC%20Extra%20Refs\2016_68%20th%20session\atmosphere\OPIL_Equity_in_International_Law.pdf" TargetMode="External"/><Relationship Id="rId300" Type="http://schemas.openxmlformats.org/officeDocument/2006/relationships/hyperlink" Target="https://treaties.un.org/doc/Treaties/1998/07/19980717%2006-33%20PM/English.pdf" TargetMode="External"/><Relationship Id="rId60" Type="http://schemas.openxmlformats.org/officeDocument/2006/relationships/hyperlink" Target="http://undocs.org/ch/A/CN.4/660" TargetMode="External"/><Relationship Id="rId81" Type="http://schemas.openxmlformats.org/officeDocument/2006/relationships/hyperlink" Target="http://undocs.org/ch/A/67/10" TargetMode="External"/><Relationship Id="rId135" Type="http://schemas.openxmlformats.org/officeDocument/2006/relationships/hyperlink" Target="file:///\\conf-share1\conf\Groups\PEPS-Share\REFERENCES\1_1989_RightsOfTheChild.pdf" TargetMode="External"/><Relationship Id="rId156" Type="http://schemas.openxmlformats.org/officeDocument/2006/relationships/hyperlink" Target="http://heinonline.org/HOL/Page?public=false&amp;handle=hein.journals/vantl42&amp;collection=journals&amp;id=911" TargetMode="External"/><Relationship Id="rId177" Type="http://schemas.openxmlformats.org/officeDocument/2006/relationships/hyperlink" Target="http://legal.un.org/docs/?symbol=A/66/10" TargetMode="External"/><Relationship Id="rId198" Type="http://schemas.openxmlformats.org/officeDocument/2006/relationships/hyperlink" Target="http://undocs.org/A/CN.4/SR.3298" TargetMode="External"/><Relationship Id="rId321" Type="http://schemas.openxmlformats.org/officeDocument/2006/relationships/hyperlink" Target="http://undocs.org/ch/A/70/10" TargetMode="External"/><Relationship Id="rId342" Type="http://schemas.openxmlformats.org/officeDocument/2006/relationships/hyperlink" Target="https://treaties.un.org/doc/source/publications/FC/English.pdf" TargetMode="External"/><Relationship Id="rId202" Type="http://schemas.openxmlformats.org/officeDocument/2006/relationships/hyperlink" Target="http://undocs.org/A/CN.4/690" TargetMode="External"/><Relationship Id="rId223" Type="http://schemas.openxmlformats.org/officeDocument/2006/relationships/hyperlink" Target="https://treaties.un.org/doc/Publication/UNTS/Volume%20974/volume-974-I-14118-English.pdf" TargetMode="External"/><Relationship Id="rId244" Type="http://schemas.openxmlformats.org/officeDocument/2006/relationships/hyperlink" Target="https://documents-dds-ny.un.org/doc/UNDOC/GEN/G04/429/78/PDF/G0442978.pdf?OpenElement" TargetMode="External"/><Relationship Id="rId18" Type="http://schemas.openxmlformats.org/officeDocument/2006/relationships/hyperlink" Target="http://www.preventionweb.net/%20files/38378_europeandrrministerialstatement.pdf" TargetMode="External"/><Relationship Id="rId39" Type="http://schemas.openxmlformats.org/officeDocument/2006/relationships/hyperlink" Target="http://undocs.org/A/66/10" TargetMode="External"/><Relationship Id="rId265" Type="http://schemas.openxmlformats.org/officeDocument/2006/relationships/hyperlink" Target="http://legal.un.org/docs/?path=../ilc/reports/2014/english/chp6.pdf&amp;lang=EFSRAC" TargetMode="External"/><Relationship Id="rId286" Type="http://schemas.openxmlformats.org/officeDocument/2006/relationships/hyperlink" Target="file:///\\conf-share1\conf\Groups\PEPS-Share\ILC%20Yearbooks\English%20Yearbooks%201\ILC_1994_v2_p2_e.pdf" TargetMode="External"/><Relationship Id="rId50" Type="http://schemas.openxmlformats.org/officeDocument/2006/relationships/hyperlink" Target="http://undocs.org/ch/A/CN.4/660" TargetMode="External"/><Relationship Id="rId104" Type="http://schemas.openxmlformats.org/officeDocument/2006/relationships/hyperlink" Target="http://undocs.org/ch/A/68/10" TargetMode="External"/><Relationship Id="rId125" Type="http://schemas.openxmlformats.org/officeDocument/2006/relationships/hyperlink" Target="http://unbisnet.un.org:8080/ipac20/ipac.jsp?session=1E677SB676677.2184&amp;profile=bib&amp;uri=link=3100006~!1316885~!3100001~!3100040&amp;aspect=alpha&amp;menu=search&amp;ri=1&amp;source=~!horizon&amp;term=A%2FHRC%2FRES%2F24%2F7&amp;index=ZUNSYMA" TargetMode="External"/><Relationship Id="rId146" Type="http://schemas.openxmlformats.org/officeDocument/2006/relationships/hyperlink" Target="file:///\\conf-share1\conf\Groups\PEPS-Share\REFERENCES\3_Tomuschat_Human_Rights_Between_Idealism%20_Realism.pdf" TargetMode="External"/><Relationship Id="rId167" Type="http://schemas.openxmlformats.org/officeDocument/2006/relationships/hyperlink" Target="http://www.icj-cij.org/docket/files/144/17064.pdf" TargetMode="External"/><Relationship Id="rId188" Type="http://schemas.openxmlformats.org/officeDocument/2006/relationships/hyperlink" Target="http://opil.ouplaw.com/view/10.1093/law:ildc/376uk05.case.1/law-ildc-376uk05" TargetMode="External"/><Relationship Id="rId311" Type="http://schemas.openxmlformats.org/officeDocument/2006/relationships/hyperlink" Target="http://legal.un.org/docs/?path=../ilc/reports/2001/english/chp4.pdf&amp;lang=EFSRAC" TargetMode="External"/><Relationship Id="rId332" Type="http://schemas.openxmlformats.org/officeDocument/2006/relationships/hyperlink" Target="http://opil.ouplaw.com/" TargetMode="External"/><Relationship Id="rId353" Type="http://schemas.openxmlformats.org/officeDocument/2006/relationships/hyperlink" Target="http://undocs.org/ch/A/69/10)" TargetMode="External"/><Relationship Id="rId71" Type="http://schemas.openxmlformats.org/officeDocument/2006/relationships/hyperlink" Target="http://undocs.org/ch/A/CN.4/671" TargetMode="External"/><Relationship Id="rId92" Type="http://schemas.openxmlformats.org/officeDocument/2006/relationships/hyperlink" Target="http://undocs.org/ch/A/CN.4/L.682" TargetMode="External"/><Relationship Id="rId213" Type="http://schemas.openxmlformats.org/officeDocument/2006/relationships/hyperlink" Target="https://treaties.un.org/doc/Publication/UNTS/Volume%202716/Part/volume-2716-I-48088.pdf" TargetMode="External"/><Relationship Id="rId234" Type="http://schemas.openxmlformats.org/officeDocument/2006/relationships/hyperlink" Target="file:///H:\PEPS-Share\REFERENCES\1_2007_ASEANCounterTerrorism.pdf" TargetMode="External"/><Relationship Id="rId2" Type="http://schemas.openxmlformats.org/officeDocument/2006/relationships/hyperlink" Target="http://undocs.org/ch/A/70/10" TargetMode="External"/><Relationship Id="rId29" Type="http://schemas.openxmlformats.org/officeDocument/2006/relationships/hyperlink" Target="http://undocs.org/A/67/10" TargetMode="External"/><Relationship Id="rId255" Type="http://schemas.openxmlformats.org/officeDocument/2006/relationships/hyperlink" Target="https://treaties.un.org/doc/Publication/UNTS/Volume%20974/volume-974-I-14118-English.pdf" TargetMode="External"/><Relationship Id="rId276" Type="http://schemas.openxmlformats.org/officeDocument/2006/relationships/hyperlink" Target="https://books.google.ch/books?id=Z4nd3OByehsC&amp;source=gbs_book_other_versions" TargetMode="External"/><Relationship Id="rId297" Type="http://schemas.openxmlformats.org/officeDocument/2006/relationships/hyperlink" Target="https://global.oup.com/academic/product/the-oxford-handbook-of-international-climate-change-law-9780199684601?cc=ch&amp;lang=en&amp;" TargetMode="External"/><Relationship Id="rId40" Type="http://schemas.openxmlformats.org/officeDocument/2006/relationships/hyperlink" Target="http://undocs.org/A/67/10" TargetMode="External"/><Relationship Id="rId115" Type="http://schemas.openxmlformats.org/officeDocument/2006/relationships/hyperlink" Target="file:///H:\PEPS-Share\REFERENCES\1_1998_Convention_Access_Information.pdf" TargetMode="External"/><Relationship Id="rId136" Type="http://schemas.openxmlformats.org/officeDocument/2006/relationships/hyperlink" Target="file:///\\CONF-SHARE1\CONF\GROUPS\PEPS-Share\REFERENCES\1_2006_EnforcedDisappearance_UNTS.pdf" TargetMode="External"/><Relationship Id="rId157" Type="http://schemas.openxmlformats.org/officeDocument/2006/relationships/hyperlink" Target="http://heinonline.org/HOL/Page?public=false&amp;handle=hein.journals/vantl42&amp;collection=journals&amp;id=911" TargetMode="External"/><Relationship Id="rId178" Type="http://schemas.openxmlformats.org/officeDocument/2006/relationships/hyperlink" Target="file:///\\conf-share1\conf\Groups\PEPS-Share\REFERENCES\3_Alebeek&amp;Nollkaemper_legal_status_decisions_human_rights_treaty.pdf" TargetMode="External"/><Relationship Id="rId301" Type="http://schemas.openxmlformats.org/officeDocument/2006/relationships/hyperlink" Target="http://treaties.un.org/doc/Publication/UNTS/Volume%202187/v2187.pdf" TargetMode="External"/><Relationship Id="rId322" Type="http://schemas.openxmlformats.org/officeDocument/2006/relationships/hyperlink" Target="http://undocs.org/ch/A/66/10" TargetMode="External"/><Relationship Id="rId343" Type="http://schemas.openxmlformats.org/officeDocument/2006/relationships/hyperlink" Target="https://treaties.un.org/doc/source/publications/practice/Summary.pdf" TargetMode="External"/><Relationship Id="rId61" Type="http://schemas.openxmlformats.org/officeDocument/2006/relationships/hyperlink" Target="http://undocs.org/ch/A/CN.4/660" TargetMode="External"/><Relationship Id="rId82" Type="http://schemas.openxmlformats.org/officeDocument/2006/relationships/hyperlink" Target="http://undocs.org/ch/A/63/10" TargetMode="External"/><Relationship Id="rId199" Type="http://schemas.openxmlformats.org/officeDocument/2006/relationships/hyperlink" Target="http://undocs.org/A/CN.4/SR.3299" TargetMode="External"/><Relationship Id="rId203" Type="http://schemas.openxmlformats.org/officeDocument/2006/relationships/hyperlink" Target="http://www.icc-cpi.int/CourtRecords/CR2015_06088.PDF" TargetMode="External"/><Relationship Id="rId19" Type="http://schemas.openxmlformats.org/officeDocument/2006/relationships/hyperlink" Target="http://www.preventionweb.net/" TargetMode="External"/><Relationship Id="rId224" Type="http://schemas.openxmlformats.org/officeDocument/2006/relationships/hyperlink" Target="https://treaties.un.org/doc/Publication/UNTS/Volume%201035/volume-1035-I-15410-English.pdf" TargetMode="External"/><Relationship Id="rId245" Type="http://schemas.openxmlformats.org/officeDocument/2006/relationships/hyperlink" Target="https://documents-dds-ny.un.org/doc/UNDOC/GEN/G14/125/96/PDF/G1412596.pdf?OpenElement" TargetMode="External"/><Relationship Id="rId266" Type="http://schemas.openxmlformats.org/officeDocument/2006/relationships/hyperlink" Target="http://eur-lex.europa.eu/%20LexUriServ/LexUriServ.do?uri=CELEX:32002F0584:en:HTML" TargetMode="External"/><Relationship Id="rId287" Type="http://schemas.openxmlformats.org/officeDocument/2006/relationships/hyperlink" Target="http://www.un.org/en/ga/search/view_doc.asp?symbol=A/RES/63/124" TargetMode="External"/><Relationship Id="rId30" Type="http://schemas.openxmlformats.org/officeDocument/2006/relationships/hyperlink" Target="http://undocs.org/A/68/10" TargetMode="External"/><Relationship Id="rId105" Type="http://schemas.openxmlformats.org/officeDocument/2006/relationships/hyperlink" Target="http://undocs.org/ch/A/66/10" TargetMode="External"/><Relationship Id="rId126" Type="http://schemas.openxmlformats.org/officeDocument/2006/relationships/hyperlink" Target="file:///H:\PEPS-Share\ILC%20Extra%20Refs\2016_68%20th%20session\Protection%20of%20persons\G1318317-1_E.doc" TargetMode="External"/><Relationship Id="rId147" Type="http://schemas.openxmlformats.org/officeDocument/2006/relationships/hyperlink" Target="file:///\\conf-share1\conf\Groups\PEPS-Share\REFERENCES\3_Alebeek&amp;Nollkaemper_legal_status_decisions_human_rights_treaty.pdf" TargetMode="External"/><Relationship Id="rId168" Type="http://schemas.openxmlformats.org/officeDocument/2006/relationships/hyperlink" Target="file:///H:\PEPS-Share\REFERENCES\2_2013_Constitutional_Court(Canada%20Campos)_v._Ecuador.pdf" TargetMode="External"/><Relationship Id="rId312" Type="http://schemas.openxmlformats.org/officeDocument/2006/relationships/hyperlink" Target="http://legal.un.org/docs/?path=../ilc/reports/2006/english/chp12.pdf&amp;lang=EFSRAC" TargetMode="External"/><Relationship Id="rId333" Type="http://schemas.openxmlformats.org/officeDocument/2006/relationships/hyperlink" Target="http://undocs.org/ch/A/RES/www.idi-iil.org&#12290;" TargetMode="External"/><Relationship Id="rId354" Type="http://schemas.openxmlformats.org/officeDocument/2006/relationships/hyperlink" Target="http://undocs.org/ch/A/70/10)" TargetMode="External"/><Relationship Id="rId51" Type="http://schemas.openxmlformats.org/officeDocument/2006/relationships/hyperlink" Target="http://undocs.org/ch/A/CN.4/660" TargetMode="External"/><Relationship Id="rId72" Type="http://schemas.openxmlformats.org/officeDocument/2006/relationships/hyperlink" Target="http://undocs.org/ch/A/CN.4/671" TargetMode="External"/><Relationship Id="rId93" Type="http://schemas.openxmlformats.org/officeDocument/2006/relationships/hyperlink" Target="http://undocs.org/ch/A/CN.4/L.682/Corr.1" TargetMode="External"/><Relationship Id="rId189" Type="http://schemas.openxmlformats.org/officeDocument/2006/relationships/hyperlink" Target="http://www.saflii.org/za/cases/ZACC/2002/15.pdf" TargetMode="External"/><Relationship Id="rId3" Type="http://schemas.openxmlformats.org/officeDocument/2006/relationships/hyperlink" Target="http://baike.baidu.com/view/294698.htm" TargetMode="External"/><Relationship Id="rId214" Type="http://schemas.openxmlformats.org/officeDocument/2006/relationships/hyperlink" Target="https://documents-dds-ny.un.org/doc/UNDOC/GEN/G04/110/45/PDF/G0411045.pdf?OpenElement" TargetMode="External"/><Relationship Id="rId235" Type="http://schemas.openxmlformats.org/officeDocument/2006/relationships/hyperlink" Target="http://www.icj-cij.org/docket/files/121/8136.pdf" TargetMode="External"/><Relationship Id="rId256" Type="http://schemas.openxmlformats.org/officeDocument/2006/relationships/hyperlink" Target="https://treaties.un.org/doc/Publication/UNTS/Volume%201316/v1316.pdf" TargetMode="External"/><Relationship Id="rId277" Type="http://schemas.openxmlformats.org/officeDocument/2006/relationships/hyperlink" Target="http://undocs.org/ch/A/CONF.48/14/Rev.1etCorr." TargetMode="External"/><Relationship Id="rId298" Type="http://schemas.openxmlformats.org/officeDocument/2006/relationships/hyperlink" Target="https://www.amazon.com/Oxford-Handbook-International-Environmental-Handbooks/dp/0199552150" TargetMode="External"/><Relationship Id="rId116" Type="http://schemas.openxmlformats.org/officeDocument/2006/relationships/hyperlink" Target="http://unbisnet.un.org:8080/ipac20/ipac.jsp?session=V46729226N37I.7400&amp;profile=bib&amp;uri=link=3100006~!1101499~!3100001~!3100040&amp;aspect=alpha&amp;menu=search&amp;ri=1&amp;source=~!horizon&amp;term=ECE%2FMP.PP%2F2%2FAdd.8&amp;index=ZUNSYMA" TargetMode="External"/><Relationship Id="rId137" Type="http://schemas.openxmlformats.org/officeDocument/2006/relationships/hyperlink" Target="https://treaties.un.org/Pages/ViewDetailsIII.aspx?src=TREATY&amp;mtdsg_no=XXI-6&amp;chapter=21&amp;Temp=mtdsg3&amp;clang=_en" TargetMode="External"/><Relationship Id="rId158" Type="http://schemas.openxmlformats.org/officeDocument/2006/relationships/hyperlink" Target="file:///\\conf-share1\conf\Groups\PEPS-Share\REFERENCES\3_Ulfstein&amp;Werksmann_Kyoto_Compliance_System.pdf" TargetMode="External"/><Relationship Id="rId302" Type="http://schemas.openxmlformats.org/officeDocument/2006/relationships/hyperlink" Target="https://treaties.un.org/doc/Publication/UNTS/Volume%202303/v2303.pdf" TargetMode="External"/><Relationship Id="rId323" Type="http://schemas.openxmlformats.org/officeDocument/2006/relationships/hyperlink" Target="http://www.un.org/en/ga/search/view_doc.asp?symbol=A/RES/61/295" TargetMode="External"/><Relationship Id="rId344" Type="http://schemas.openxmlformats.org/officeDocument/2006/relationships/hyperlink" Target="http://undocs.org/ch/A/68/10)" TargetMode="External"/><Relationship Id="rId20" Type="http://schemas.openxmlformats.org/officeDocument/2006/relationships/hyperlink" Target="http://ec.europa.eu/echo/sites/echo-site/files/sendai_%20swd_2016_205_0.pdf" TargetMode="External"/><Relationship Id="rId41" Type="http://schemas.openxmlformats.org/officeDocument/2006/relationships/hyperlink" Target="http://undocs.org/A/67/10" TargetMode="External"/><Relationship Id="rId62" Type="http://schemas.openxmlformats.org/officeDocument/2006/relationships/hyperlink" Target="http://baike.baidu.com/view/294698.htm" TargetMode="External"/><Relationship Id="rId83" Type="http://schemas.openxmlformats.org/officeDocument/2006/relationships/hyperlink" Target="http://undocs.org/ch/A/CN.4/671" TargetMode="External"/><Relationship Id="rId179" Type="http://schemas.openxmlformats.org/officeDocument/2006/relationships/hyperlink" Target="file:///\\conf-share1\conf\Groups\PEPS-Share\REFERENCES\5_ILA_2004_Final_Report_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0\CoverPages\A_IL_Report.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4E729C-E76B-4393-8B58-2B5A7B9A3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A_IL_Report.dotm</Template>
  <TotalTime>1</TotalTime>
  <Pages>1</Pages>
  <Words>149261</Words>
  <Characters>161203</Characters>
  <Application>Microsoft Office Word</Application>
  <DocSecurity>0</DocSecurity>
  <Lines>5558</Lines>
  <Paragraphs>3043</Paragraphs>
  <ScaleCrop>false</ScaleCrop>
  <Company>CSD</Company>
  <LinksUpToDate>false</LinksUpToDate>
  <CharactersWithSpaces>307421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1614345</dc:title>
  <dc:subject>A/71/10</dc:subject>
  <dc:creator>Yang</dc:creator>
  <cp:keywords/>
  <dc:description/>
  <cp:lastModifiedBy>Lin L.</cp:lastModifiedBy>
  <cp:revision>3</cp:revision>
  <cp:lastPrinted>2016-09-19T14:39:00Z</cp:lastPrinted>
  <dcterms:created xsi:type="dcterms:W3CDTF">2016-09-19T14:39:00Z</dcterms:created>
  <dcterms:modified xsi:type="dcterms:W3CDTF">2016-09-19T14:40:00Z</dcterms:modified>
</cp:coreProperties>
</file>